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left="0" w:firstLine="0"/>
        <w:jc w:val="left"/>
        <w:rPr>
          <w:rFonts w:ascii="Times New Roman"/>
        </w:rPr>
      </w:pPr>
    </w:p>
    <w:p>
      <w:pPr>
        <w:pStyle w:val="6"/>
        <w:ind w:left="0" w:firstLine="0"/>
        <w:jc w:val="left"/>
        <w:rPr>
          <w:rFonts w:ascii="Times New Roman"/>
        </w:rPr>
      </w:pPr>
    </w:p>
    <w:p>
      <w:pPr>
        <w:pStyle w:val="6"/>
        <w:ind w:left="0" w:firstLine="0"/>
        <w:jc w:val="left"/>
        <w:rPr>
          <w:rFonts w:ascii="Times New Roman"/>
        </w:rPr>
      </w:pPr>
    </w:p>
    <w:p>
      <w:pPr>
        <w:pStyle w:val="6"/>
        <w:ind w:left="0" w:firstLine="0"/>
        <w:jc w:val="left"/>
        <w:rPr>
          <w:rFonts w:ascii="Times New Roman"/>
        </w:rPr>
      </w:pPr>
    </w:p>
    <w:p>
      <w:pPr>
        <w:pStyle w:val="6"/>
        <w:ind w:left="0" w:firstLine="0"/>
        <w:jc w:val="left"/>
        <w:rPr>
          <w:rFonts w:ascii="Times New Roman"/>
        </w:rPr>
      </w:pPr>
    </w:p>
    <w:p>
      <w:pPr>
        <w:spacing w:before="221"/>
        <w:ind w:left="308" w:right="0" w:firstLine="0"/>
        <w:jc w:val="center"/>
        <w:rPr>
          <w:sz w:val="45"/>
        </w:rPr>
      </w:pPr>
      <w:r>
        <w:rPr>
          <w:sz w:val="45"/>
        </w:rPr>
        <w:t>应急管理法律法规及相关规章全书</w:t>
      </w:r>
    </w:p>
    <w:p>
      <w:pPr>
        <w:spacing w:before="7"/>
        <w:ind w:left="279" w:right="0" w:firstLine="0"/>
        <w:jc w:val="center"/>
        <w:rPr>
          <w:sz w:val="45"/>
        </w:rPr>
      </w:pPr>
      <w:r>
        <w:rPr>
          <w:w w:val="90"/>
          <w:sz w:val="45"/>
        </w:rPr>
        <w:t>(</w:t>
      </w:r>
      <w:r>
        <w:rPr>
          <w:spacing w:val="-166"/>
          <w:w w:val="90"/>
          <w:sz w:val="45"/>
        </w:rPr>
        <w:t xml:space="preserve"> </w:t>
      </w:r>
      <w:r>
        <w:rPr>
          <w:spacing w:val="2"/>
          <w:w w:val="90"/>
          <w:sz w:val="45"/>
        </w:rPr>
        <w:t>２０２０)</w:t>
      </w:r>
    </w:p>
    <w:p>
      <w:pPr>
        <w:spacing w:after="0"/>
        <w:jc w:val="center"/>
        <w:rPr>
          <w:sz w:val="45"/>
        </w:rPr>
        <w:sectPr>
          <w:type w:val="continuous"/>
          <w:pgSz w:w="10500" w:h="14750"/>
          <w:pgMar w:top="1400" w:right="980" w:bottom="280" w:left="980" w:header="720" w:footer="720" w:gutter="0"/>
        </w:sectPr>
      </w:pPr>
    </w:p>
    <w:p>
      <w:pPr>
        <w:pStyle w:val="6"/>
        <w:spacing w:before="4"/>
        <w:ind w:left="0" w:firstLine="0"/>
        <w:jc w:val="left"/>
        <w:rPr>
          <w:rFonts w:ascii="Times New Roman"/>
          <w:sz w:val="17"/>
        </w:rPr>
      </w:pPr>
    </w:p>
    <w:p>
      <w:pPr>
        <w:spacing w:after="0"/>
        <w:jc w:val="left"/>
        <w:rPr>
          <w:rFonts w:ascii="Times New Roman"/>
          <w:sz w:val="17"/>
        </w:rPr>
        <w:sectPr>
          <w:pgSz w:w="10500" w:h="14750"/>
          <w:pgMar w:top="1400" w:right="980" w:bottom="280" w:left="980" w:header="720" w:footer="720" w:gutter="0"/>
        </w:sectPr>
      </w:pPr>
    </w:p>
    <w:p>
      <w:pPr>
        <w:pStyle w:val="6"/>
        <w:ind w:left="0" w:firstLine="0"/>
        <w:jc w:val="left"/>
        <w:rPr>
          <w:rFonts w:ascii="Times New Roman"/>
        </w:rPr>
      </w:pPr>
    </w:p>
    <w:p>
      <w:pPr>
        <w:pStyle w:val="6"/>
        <w:ind w:left="0" w:firstLine="0"/>
        <w:jc w:val="left"/>
        <w:rPr>
          <w:rFonts w:ascii="Times New Roman"/>
        </w:rPr>
      </w:pPr>
    </w:p>
    <w:p>
      <w:pPr>
        <w:pStyle w:val="6"/>
        <w:ind w:left="0" w:firstLine="0"/>
        <w:jc w:val="left"/>
        <w:rPr>
          <w:rFonts w:ascii="Times New Roman"/>
        </w:rPr>
      </w:pPr>
    </w:p>
    <w:p>
      <w:pPr>
        <w:pStyle w:val="6"/>
        <w:ind w:left="0" w:firstLine="0"/>
        <w:jc w:val="left"/>
        <w:rPr>
          <w:rFonts w:ascii="Times New Roman"/>
        </w:rPr>
      </w:pPr>
    </w:p>
    <w:p>
      <w:pPr>
        <w:pStyle w:val="6"/>
        <w:spacing w:before="7"/>
        <w:ind w:left="0" w:firstLine="0"/>
        <w:jc w:val="left"/>
        <w:rPr>
          <w:rFonts w:ascii="Times New Roman"/>
          <w:sz w:val="22"/>
        </w:rPr>
      </w:pPr>
    </w:p>
    <w:p>
      <w:pPr>
        <w:pStyle w:val="2"/>
        <w:tabs>
          <w:tab w:val="left" w:pos="1987"/>
        </w:tabs>
        <w:spacing w:before="64"/>
      </w:pPr>
      <w:r>
        <w:t>前</w:t>
      </w:r>
      <w:r>
        <w:tab/>
      </w:r>
      <w:r>
        <w:t>言</w:t>
      </w:r>
    </w:p>
    <w:p>
      <w:pPr>
        <w:pStyle w:val="6"/>
        <w:spacing w:before="5"/>
        <w:ind w:left="0" w:firstLine="0"/>
        <w:jc w:val="left"/>
        <w:rPr>
          <w:sz w:val="32"/>
        </w:rPr>
      </w:pPr>
    </w:p>
    <w:p>
      <w:pPr>
        <w:pStyle w:val="6"/>
        <w:spacing w:after="19" w:line="295" w:lineRule="auto"/>
        <w:ind w:left="440" w:right="126"/>
        <w:rPr>
          <w:rFonts w:hint="eastAsia" w:ascii="MS UI Gothic" w:hAnsi="MS UI Gothic" w:eastAsia="MS UI Gothic"/>
        </w:rPr>
      </w:pPr>
      <w:r>
        <w:t>为便于查阅掌握我国应急管理法律法规和相关规章</w:t>
      </w:r>
      <w:r>
        <w:rPr>
          <w:rFonts w:hint="eastAsia" w:ascii="MS UI Gothic" w:hAnsi="MS UI Gothic" w:eastAsia="MS UI Gothic"/>
          <w:w w:val="90"/>
        </w:rPr>
        <w:t xml:space="preserve">ꎬ </w:t>
      </w:r>
      <w:r>
        <w:t xml:space="preserve">我们组织编辑了 </w:t>
      </w:r>
      <w:r>
        <w:rPr>
          <w:rFonts w:hint="eastAsia" w:ascii="MS UI Gothic" w:hAnsi="MS UI Gothic" w:eastAsia="MS UI Gothic"/>
        </w:rPr>
        <w:t xml:space="preserve">« </w:t>
      </w:r>
      <w:r>
        <w:t>应急管理</w:t>
      </w:r>
      <w:r>
        <w:rPr>
          <w:w w:val="102"/>
        </w:rPr>
        <w:t>法律法规及相关规章全书</w:t>
      </w:r>
      <w:r>
        <w:t xml:space="preserve"> </w:t>
      </w:r>
      <w:r>
        <w:rPr>
          <w:rFonts w:hint="eastAsia" w:ascii="MS UI Gothic" w:hAnsi="MS UI Gothic" w:eastAsia="MS UI Gothic"/>
          <w:w w:val="168"/>
        </w:rPr>
        <w:t>(</w:t>
      </w:r>
      <w:r>
        <w:rPr>
          <w:rFonts w:hint="eastAsia" w:ascii="MS UI Gothic" w:hAnsi="MS UI Gothic" w:eastAsia="MS UI Gothic"/>
          <w:w w:val="75"/>
        </w:rPr>
        <w:t>２０２０</w:t>
      </w:r>
      <w:r>
        <w:rPr>
          <w:rFonts w:hint="eastAsia" w:ascii="MS UI Gothic" w:hAnsi="MS UI Gothic" w:eastAsia="MS UI Gothic"/>
          <w:w w:val="168"/>
        </w:rPr>
        <w:t>)</w:t>
      </w:r>
      <w:r>
        <w:rPr>
          <w:rFonts w:hint="eastAsia" w:ascii="MS UI Gothic" w:hAnsi="MS UI Gothic" w:eastAsia="MS UI Gothic"/>
          <w:w w:val="77"/>
        </w:rPr>
        <w:t>»</w:t>
      </w:r>
      <w:r>
        <w:rPr>
          <w:rFonts w:hint="eastAsia" w:ascii="MS UI Gothic" w:hAnsi="MS UI Gothic" w:eastAsia="MS UI Gothic"/>
        </w:rPr>
        <w:t xml:space="preserve"> </w:t>
      </w:r>
      <w:r>
        <w:rPr>
          <w:rFonts w:hint="eastAsia" w:ascii="MS UI Gothic" w:hAnsi="MS UI Gothic" w:eastAsia="MS UI Gothic"/>
          <w:w w:val="51"/>
        </w:rPr>
        <w:t>ꎬ</w:t>
      </w:r>
      <w:r>
        <w:rPr>
          <w:rFonts w:hint="eastAsia" w:ascii="MS UI Gothic" w:hAnsi="MS UI Gothic" w:eastAsia="MS UI Gothic"/>
        </w:rPr>
        <w:t xml:space="preserve">  </w:t>
      </w:r>
      <w:r>
        <w:rPr>
          <w:w w:val="102"/>
        </w:rPr>
        <w:t>书中收录现行有效的应急管理领域法律</w:t>
      </w:r>
      <w:r>
        <w:rPr>
          <w:rFonts w:hint="eastAsia" w:ascii="MS UI Gothic" w:hAnsi="MS UI Gothic" w:eastAsia="MS UI Gothic"/>
          <w:w w:val="77"/>
        </w:rPr>
        <w:t>、</w:t>
      </w:r>
      <w:r>
        <w:rPr>
          <w:rFonts w:hint="eastAsia" w:ascii="MS UI Gothic" w:hAnsi="MS UI Gothic" w:eastAsia="MS UI Gothic"/>
        </w:rPr>
        <w:t xml:space="preserve">  </w:t>
      </w:r>
      <w:r>
        <w:rPr>
          <w:w w:val="102"/>
        </w:rPr>
        <w:t>行政法</w:t>
      </w:r>
      <w:r>
        <w:t>规和相关规章共件</w:t>
      </w:r>
      <w:r>
        <w:rPr>
          <w:rFonts w:hint="eastAsia" w:ascii="MS UI Gothic" w:hAnsi="MS UI Gothic" w:eastAsia="MS UI Gothic"/>
          <w:w w:val="90"/>
        </w:rPr>
        <w:t xml:space="preserve">ꎬ </w:t>
      </w:r>
      <w:r>
        <w:t>按照宪法</w:t>
      </w:r>
      <w:r>
        <w:rPr>
          <w:rFonts w:hint="eastAsia" w:ascii="MS UI Gothic" w:hAnsi="MS UI Gothic" w:eastAsia="MS UI Gothic"/>
        </w:rPr>
        <w:t xml:space="preserve">、 </w:t>
      </w:r>
      <w:r>
        <w:t>国家法</w:t>
      </w:r>
      <w:r>
        <w:rPr>
          <w:rFonts w:hint="eastAsia" w:ascii="MS UI Gothic" w:hAnsi="MS UI Gothic" w:eastAsia="MS UI Gothic"/>
        </w:rPr>
        <w:t xml:space="preserve">、 </w:t>
      </w:r>
      <w:r>
        <w:t>刑法</w:t>
      </w:r>
      <w:r>
        <w:rPr>
          <w:rFonts w:hint="eastAsia" w:ascii="MS UI Gothic" w:hAnsi="MS UI Gothic" w:eastAsia="MS UI Gothic"/>
        </w:rPr>
        <w:t xml:space="preserve">、 </w:t>
      </w:r>
      <w:r>
        <w:t>应急管理基本法</w:t>
      </w:r>
      <w:r>
        <w:rPr>
          <w:rFonts w:hint="eastAsia" w:ascii="MS UI Gothic" w:hAnsi="MS UI Gothic" w:eastAsia="MS UI Gothic"/>
        </w:rPr>
        <w:t xml:space="preserve">、 </w:t>
      </w:r>
      <w:r>
        <w:t>安全生产法</w:t>
      </w:r>
      <w:r>
        <w:rPr>
          <w:rFonts w:hint="eastAsia" w:ascii="MS UI Gothic" w:hAnsi="MS UI Gothic" w:eastAsia="MS UI Gothic"/>
        </w:rPr>
        <w:t xml:space="preserve">、 </w:t>
      </w:r>
      <w:r>
        <w:t>危险化学品安全法</w:t>
      </w:r>
      <w:r>
        <w:rPr>
          <w:rFonts w:hint="eastAsia" w:ascii="MS UI Gothic" w:hAnsi="MS UI Gothic" w:eastAsia="MS UI Gothic"/>
        </w:rPr>
        <w:t xml:space="preserve">、 </w:t>
      </w:r>
      <w:r>
        <w:t>消防救援法</w:t>
      </w:r>
      <w:r>
        <w:rPr>
          <w:rFonts w:hint="eastAsia" w:ascii="MS UI Gothic" w:hAnsi="MS UI Gothic" w:eastAsia="MS UI Gothic"/>
        </w:rPr>
        <w:t xml:space="preserve">、 </w:t>
      </w:r>
      <w:r>
        <w:t>防灾救灾法</w:t>
      </w:r>
      <w:r>
        <w:rPr>
          <w:rFonts w:hint="eastAsia" w:ascii="MS UI Gothic" w:hAnsi="MS UI Gothic" w:eastAsia="MS UI Gothic"/>
        </w:rPr>
        <w:t xml:space="preserve">、 </w:t>
      </w:r>
      <w:r>
        <w:t>交通安全法</w:t>
      </w:r>
      <w:r>
        <w:rPr>
          <w:rFonts w:hint="eastAsia" w:ascii="MS UI Gothic" w:hAnsi="MS UI Gothic" w:eastAsia="MS UI Gothic"/>
        </w:rPr>
        <w:t xml:space="preserve">、 </w:t>
      </w:r>
      <w:r>
        <w:t>环境保护法</w:t>
      </w:r>
      <w:r>
        <w:rPr>
          <w:rFonts w:hint="eastAsia" w:ascii="MS UI Gothic" w:hAnsi="MS UI Gothic" w:eastAsia="MS UI Gothic"/>
        </w:rPr>
        <w:t xml:space="preserve">、 </w:t>
      </w:r>
      <w:r>
        <w:t>卫生应急法</w:t>
      </w:r>
      <w:r>
        <w:rPr>
          <w:rFonts w:hint="eastAsia" w:ascii="MS UI Gothic" w:hAnsi="MS UI Gothic" w:eastAsia="MS UI Gothic"/>
        </w:rPr>
        <w:t xml:space="preserve">、 </w:t>
      </w:r>
      <w:r>
        <w:t>行政法</w:t>
      </w:r>
      <w:r>
        <w:rPr>
          <w:rFonts w:hint="eastAsia" w:ascii="MS UI Gothic" w:hAnsi="MS UI Gothic" w:eastAsia="MS UI Gothic"/>
        </w:rPr>
        <w:t xml:space="preserve">、 </w:t>
      </w:r>
      <w:r>
        <w:t>社会法</w:t>
      </w:r>
      <w:r>
        <w:rPr>
          <w:rFonts w:hint="eastAsia" w:ascii="MS UI Gothic" w:hAnsi="MS UI Gothic" w:eastAsia="MS UI Gothic"/>
        </w:rPr>
        <w:t xml:space="preserve">、 </w:t>
      </w:r>
      <w:r>
        <w:t>诉讼法十二类</w:t>
      </w:r>
      <w:r>
        <w:rPr>
          <w:rFonts w:hint="eastAsia" w:ascii="MS UI Gothic" w:hAnsi="MS UI Gothic" w:eastAsia="MS UI Gothic"/>
          <w:w w:val="90"/>
        </w:rPr>
        <w:t xml:space="preserve">ꎬ </w:t>
      </w:r>
      <w:r>
        <w:t>相关司法解释作为刑法附件</w:t>
      </w:r>
      <w:r>
        <w:rPr>
          <w:rFonts w:hint="eastAsia" w:ascii="MS UI Gothic" w:hAnsi="MS UI Gothic" w:eastAsia="MS UI Gothic"/>
          <w:w w:val="90"/>
        </w:rPr>
        <w:t xml:space="preserve">ꎬ </w:t>
      </w:r>
      <w:r>
        <w:t>相关规章根据内容分类作为相关法的附件予以收录</w:t>
      </w:r>
      <w:r>
        <w:rPr>
          <w:rFonts w:hint="eastAsia" w:ascii="MS UI Gothic" w:hAnsi="MS UI Gothic" w:eastAsia="MS UI Gothic"/>
          <w:w w:val="90"/>
        </w:rPr>
        <w:t xml:space="preserve">ꎬ </w:t>
      </w:r>
      <w:r>
        <w:t xml:space="preserve">编辑截至时间为 </w:t>
      </w:r>
      <w:r>
        <w:rPr>
          <w:rFonts w:hint="eastAsia" w:ascii="MS UI Gothic" w:hAnsi="MS UI Gothic" w:eastAsia="MS UI Gothic"/>
        </w:rPr>
        <w:t xml:space="preserve">２０２０ </w:t>
      </w:r>
      <w:r>
        <w:t xml:space="preserve">年 </w:t>
      </w:r>
      <w:r>
        <w:rPr>
          <w:rFonts w:hint="eastAsia" w:ascii="MS UI Gothic" w:hAnsi="MS UI Gothic" w:eastAsia="MS UI Gothic"/>
        </w:rPr>
        <w:t xml:space="preserve">４ </w:t>
      </w:r>
      <w:r>
        <w:t xml:space="preserve">月 </w:t>
      </w:r>
      <w:r>
        <w:rPr>
          <w:rFonts w:hint="eastAsia" w:ascii="MS UI Gothic" w:hAnsi="MS UI Gothic" w:eastAsia="MS UI Gothic"/>
        </w:rPr>
        <w:t xml:space="preserve">３０ </w:t>
      </w:r>
      <w:r>
        <w:t>日</w:t>
      </w:r>
      <w:r>
        <w:rPr>
          <w:rFonts w:hint="eastAsia" w:ascii="MS UI Gothic" w:hAnsi="MS UI Gothic" w:eastAsia="MS UI Gothic"/>
          <w:w w:val="90"/>
        </w:rPr>
        <w:t>ꎮ</w:t>
      </w:r>
    </w:p>
    <w:p>
      <w:pPr>
        <w:pStyle w:val="6"/>
        <w:spacing w:line="204" w:lineRule="exact"/>
        <w:ind w:left="445" w:firstLine="0"/>
        <w:jc w:val="left"/>
        <w:rPr>
          <w:rFonts w:ascii="MS UI Gothic"/>
        </w:rPr>
      </w:pPr>
      <w:r>
        <w:rPr>
          <w:rFonts w:ascii="MS UI Gothic"/>
          <w:position w:val="-3"/>
        </w:rPr>
        <w:pict>
          <v:group id="_x0000_s1026" o:spid="_x0000_s1026" o:spt="203" style="height:10.25pt;width:349.6pt;" coordsize="6992,205">
            <o:lock v:ext="edit"/>
            <v:rect id="_x0000_s1027" o:spid="_x0000_s1027" o:spt="1" style="position:absolute;left:0;top:0;height:205;width:6992;" fillcolor="#FFFFFF" filled="t" stroked="f" coordsize="21600,21600">
              <v:path/>
              <v:fill on="t" focussize="0,0"/>
              <v:stroke on="f"/>
              <v:imagedata o:title=""/>
              <o:lock v:ext="edit"/>
            </v:rect>
            <w10:wrap type="none"/>
            <w10:anchorlock/>
          </v:group>
        </w:pict>
      </w:r>
    </w:p>
    <w:p>
      <w:pPr>
        <w:spacing w:after="0" w:line="204" w:lineRule="exact"/>
        <w:jc w:val="left"/>
        <w:rPr>
          <w:rFonts w:ascii="MS UI Gothic"/>
        </w:rPr>
        <w:sectPr>
          <w:pgSz w:w="10500" w:h="14750"/>
          <w:pgMar w:top="1400" w:right="980" w:bottom="280" w:left="980" w:header="720" w:footer="720" w:gutter="0"/>
        </w:sectPr>
      </w:pPr>
    </w:p>
    <w:p>
      <w:pPr>
        <w:pStyle w:val="6"/>
        <w:spacing w:before="4"/>
        <w:ind w:left="0" w:firstLine="0"/>
        <w:jc w:val="left"/>
        <w:rPr>
          <w:rFonts w:ascii="Times New Roman"/>
          <w:sz w:val="17"/>
        </w:rPr>
      </w:pPr>
    </w:p>
    <w:p>
      <w:pPr>
        <w:spacing w:after="0"/>
        <w:jc w:val="left"/>
        <w:rPr>
          <w:rFonts w:ascii="Times New Roman"/>
          <w:sz w:val="17"/>
        </w:rPr>
        <w:sectPr>
          <w:pgSz w:w="10500" w:h="14750"/>
          <w:pgMar w:top="1400" w:right="980" w:bottom="280" w:left="980" w:header="720" w:footer="720" w:gutter="0"/>
        </w:sectPr>
      </w:pPr>
    </w:p>
    <w:p>
      <w:pPr>
        <w:tabs>
          <w:tab w:val="left" w:pos="4692"/>
          <w:tab w:val="left" w:pos="7617"/>
        </w:tabs>
        <w:spacing w:before="162"/>
        <w:ind w:left="3971" w:right="0" w:firstLine="0"/>
        <w:jc w:val="left"/>
        <w:rPr>
          <w:rFonts w:hint="eastAsia" w:ascii="MS UI Gothic" w:eastAsia="MS UI Gothic"/>
          <w:sz w:val="20"/>
        </w:rPr>
      </w:pPr>
      <w:r>
        <w:pict>
          <v:group id="_x0000_s1028" o:spid="_x0000_s1028" o:spt="203" style="position:absolute;left:0pt;margin-left:70.95pt;margin-top:23.85pt;height:2.15pt;width:398.25pt;mso-position-horizontal-relative:page;mso-wrap-distance-bottom:0pt;mso-wrap-distance-top:0pt;z-index:-251657216;mso-width-relative:page;mso-height-relative:page;" coordorigin="1419,477" coordsize="7965,43">
            <o:lock v:ext="edit"/>
            <v:line id="_x0000_s1029" o:spid="_x0000_s1029" o:spt="20" style="position:absolute;left:1419;top:516;height:0;width:7965;" stroked="t" coordsize="21600,21600">
              <v:path arrowok="t"/>
              <v:fill focussize="0,0"/>
              <v:stroke weight="0.388031496062992pt" color="#231F20"/>
              <v:imagedata o:title=""/>
              <o:lock v:ext="edit"/>
            </v:line>
            <v:line id="_x0000_s1030" o:spid="_x0000_s1030" o:spt="20" style="position:absolute;left:1419;top:481;height:0;width:7965;" stroked="t" coordsize="21600,21600">
              <v:path arrowok="t"/>
              <v:fill focussize="0,0"/>
              <v:stroke weight="0.388031496062992pt" color="#231F20"/>
              <v:imagedata o:title=""/>
              <o:lock v:ext="edit"/>
            </v:line>
            <w10:wrap type="topAndBottom"/>
          </v:group>
        </w:pict>
      </w:r>
      <w:r>
        <w:rPr>
          <w:w w:val="103"/>
          <w:sz w:val="17"/>
        </w:rPr>
        <w:t>目</w:t>
      </w:r>
      <w:r>
        <w:rPr>
          <w:sz w:val="17"/>
        </w:rPr>
        <w:tab/>
      </w:r>
      <w:r>
        <w:rPr>
          <w:w w:val="103"/>
          <w:sz w:val="17"/>
        </w:rPr>
        <w:t>录</w:t>
      </w:r>
      <w:r>
        <w:rPr>
          <w:sz w:val="17"/>
        </w:rPr>
        <w:tab/>
      </w:r>
      <w:r>
        <w:rPr>
          <w:rFonts w:hint="eastAsia" w:ascii="MS UI Gothic" w:eastAsia="MS UI Gothic"/>
          <w:spacing w:val="1"/>
          <w:w w:val="75"/>
          <w:sz w:val="20"/>
        </w:rPr>
        <w:t>１</w:t>
      </w:r>
    </w:p>
    <w:p>
      <w:pPr>
        <w:pStyle w:val="6"/>
        <w:ind w:left="0" w:firstLine="0"/>
        <w:jc w:val="left"/>
        <w:rPr>
          <w:rFonts w:ascii="MS UI Gothic"/>
        </w:rPr>
      </w:pPr>
    </w:p>
    <w:p>
      <w:pPr>
        <w:pStyle w:val="6"/>
        <w:ind w:left="0" w:firstLine="0"/>
        <w:jc w:val="left"/>
        <w:rPr>
          <w:rFonts w:ascii="MS UI Gothic"/>
        </w:rPr>
      </w:pPr>
    </w:p>
    <w:p>
      <w:pPr>
        <w:pStyle w:val="6"/>
        <w:ind w:left="0" w:firstLine="0"/>
        <w:jc w:val="left"/>
        <w:rPr>
          <w:rFonts w:ascii="MS UI Gothic"/>
        </w:rPr>
      </w:pPr>
    </w:p>
    <w:p>
      <w:pPr>
        <w:pStyle w:val="6"/>
        <w:spacing w:before="7"/>
        <w:ind w:left="0" w:firstLine="0"/>
        <w:jc w:val="left"/>
        <w:rPr>
          <w:rFonts w:ascii="MS UI Gothic"/>
          <w:sz w:val="23"/>
        </w:rPr>
      </w:pPr>
    </w:p>
    <w:p>
      <w:pPr>
        <w:pStyle w:val="2"/>
        <w:tabs>
          <w:tab w:val="left" w:pos="1987"/>
        </w:tabs>
        <w:spacing w:before="64"/>
      </w:pPr>
      <w:r>
        <w:t>目</w:t>
      </w:r>
      <w:r>
        <w:tab/>
      </w:r>
      <w:r>
        <w:t>录</w:t>
      </w:r>
    </w:p>
    <w:p>
      <w:pPr>
        <w:pStyle w:val="6"/>
        <w:spacing w:before="5"/>
        <w:ind w:left="0" w:firstLine="0"/>
        <w:jc w:val="left"/>
        <w:rPr>
          <w:sz w:val="32"/>
        </w:rPr>
      </w:pPr>
    </w:p>
    <w:p>
      <w:pPr>
        <w:pStyle w:val="6"/>
        <w:spacing w:line="240" w:lineRule="exact"/>
        <w:ind w:left="310" w:firstLine="0"/>
        <w:jc w:val="center"/>
        <w:rPr>
          <w:rFonts w:hint="eastAsia" w:ascii="MS UI Gothic" w:eastAsia="MS UI Gothic"/>
        </w:rPr>
      </w:pPr>
      <w:r>
        <w:rPr>
          <w:spacing w:val="3"/>
        </w:rPr>
        <w:t>一</w:t>
      </w:r>
      <w:r>
        <w:rPr>
          <w:spacing w:val="24"/>
          <w:w w:val="90"/>
        </w:rPr>
        <w:t xml:space="preserve">、  </w:t>
      </w:r>
      <w:r>
        <w:rPr>
          <w:spacing w:val="4"/>
        </w:rPr>
        <w:t>宪法</w:t>
      </w:r>
      <w:r>
        <w:rPr>
          <w:rFonts w:hint="eastAsia" w:ascii="MS UI Gothic" w:eastAsia="MS UI Gothic"/>
          <w:spacing w:val="49"/>
          <w:w w:val="320"/>
        </w:rPr>
        <w:t xml:space="preserve"> </w:t>
      </w:r>
      <w:r>
        <w:rPr>
          <w:rFonts w:hint="eastAsia" w:ascii="MS UI Gothic"/>
          <w:spacing w:val="49"/>
          <w:w w:val="320"/>
          <w:lang w:val="en-US" w:eastAsia="zh-CN"/>
        </w:rPr>
        <w:t xml:space="preserve">                      </w:t>
      </w:r>
      <w:r>
        <w:rPr>
          <w:rFonts w:hint="eastAsia" w:ascii="MS UI Gothic" w:eastAsia="MS UI Gothic"/>
        </w:rPr>
        <w:t>１</w:t>
      </w:r>
    </w:p>
    <w:p>
      <w:pPr>
        <w:pStyle w:val="6"/>
        <w:tabs>
          <w:tab w:val="left" w:pos="4844"/>
        </w:tabs>
        <w:spacing w:before="74"/>
        <w:ind w:left="440" w:firstLine="0"/>
        <w:jc w:val="left"/>
        <w:rPr>
          <w:rFonts w:hint="eastAsia" w:ascii="MS UI Gothic" w:eastAsia="MS UI Gothic"/>
        </w:rPr>
      </w:pPr>
      <w:r>
        <w:rPr>
          <w:spacing w:val="3"/>
          <w:w w:val="102"/>
        </w:rPr>
        <w:t>中华人民共和国宪</w:t>
      </w:r>
      <w:r>
        <w:rPr>
          <w:w w:val="102"/>
        </w:rPr>
        <w:t>法</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节选</w:t>
      </w:r>
      <w:r>
        <w:rPr>
          <w:rFonts w:hint="eastAsia" w:ascii="MS UI Gothic" w:eastAsia="MS UI Gothic"/>
          <w:w w:val="168"/>
        </w:rPr>
        <w:t>)</w:t>
      </w:r>
      <w:r>
        <w:rPr>
          <w:rFonts w:hint="eastAsia" w:ascii="MS UI Gothic" w:eastAsia="MS UI Gothic"/>
        </w:rPr>
        <w:t xml:space="preserve"> </w:t>
      </w:r>
      <w:r>
        <w:rPr>
          <w:rFonts w:hint="eastAsia" w:ascii="MS UI Gothic" w:eastAsia="MS UI Gothic"/>
          <w:spacing w:val="4"/>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lang w:val="en-US" w:eastAsia="zh-CN"/>
        </w:rPr>
        <w:t xml:space="preserve">                                             </w:t>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１</w:t>
      </w:r>
    </w:p>
    <w:p>
      <w:pPr>
        <w:pStyle w:val="6"/>
        <w:spacing w:before="6"/>
        <w:ind w:left="0" w:firstLine="0"/>
        <w:jc w:val="left"/>
        <w:rPr>
          <w:rFonts w:ascii="MS UI Gothic"/>
          <w:sz w:val="15"/>
        </w:rPr>
      </w:pPr>
    </w:p>
    <w:p>
      <w:pPr>
        <w:pStyle w:val="6"/>
        <w:spacing w:before="175" w:line="240" w:lineRule="exact"/>
        <w:ind w:left="440" w:firstLine="0"/>
        <w:jc w:val="left"/>
        <w:rPr>
          <w:rFonts w:hint="eastAsia" w:ascii="MS UI Gothic" w:eastAsia="MS UI Gothic"/>
        </w:rPr>
      </w:pPr>
      <w:r>
        <w:rPr>
          <w:spacing w:val="3"/>
        </w:rPr>
        <w:t>二</w:t>
      </w:r>
      <w:r>
        <w:rPr>
          <w:spacing w:val="24"/>
          <w:w w:val="90"/>
        </w:rPr>
        <w:t xml:space="preserve">、  </w:t>
      </w:r>
      <w:r>
        <w:rPr>
          <w:spacing w:val="4"/>
        </w:rPr>
        <w:t>刑法</w:t>
      </w:r>
      <w:r>
        <w:rPr>
          <w:rFonts w:hint="eastAsia" w:ascii="MS UI Gothic" w:eastAsia="MS UI Gothic"/>
          <w:spacing w:val="49"/>
          <w:w w:val="320"/>
        </w:rPr>
        <w:t xml:space="preserve"> </w:t>
      </w:r>
      <w:r>
        <w:rPr>
          <w:rFonts w:hint="eastAsia" w:ascii="MS UI Gothic"/>
          <w:spacing w:val="49"/>
          <w:w w:val="320"/>
          <w:lang w:val="en-US" w:eastAsia="zh-CN"/>
        </w:rPr>
        <w:t xml:space="preserve">                        </w:t>
      </w:r>
      <w:r>
        <w:rPr>
          <w:rFonts w:hint="eastAsia" w:ascii="MS UI Gothic" w:eastAsia="MS UI Gothic"/>
        </w:rPr>
        <w:t>３</w:t>
      </w:r>
    </w:p>
    <w:p>
      <w:pPr>
        <w:pStyle w:val="6"/>
        <w:tabs>
          <w:tab w:val="left" w:pos="4844"/>
        </w:tabs>
        <w:spacing w:before="74" w:line="240" w:lineRule="exact"/>
        <w:ind w:left="440" w:firstLine="0"/>
        <w:jc w:val="left"/>
        <w:rPr>
          <w:rFonts w:hint="eastAsia" w:ascii="MS UI Gothic" w:eastAsia="MS UI Gothic"/>
        </w:rPr>
      </w:pPr>
      <w:r>
        <w:rPr>
          <w:spacing w:val="3"/>
          <w:w w:val="102"/>
        </w:rPr>
        <w:t>中华人民共和国刑</w:t>
      </w:r>
      <w:r>
        <w:rPr>
          <w:w w:val="102"/>
        </w:rPr>
        <w:t>法</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节选</w:t>
      </w:r>
      <w:r>
        <w:rPr>
          <w:rFonts w:hint="eastAsia" w:ascii="MS UI Gothic" w:eastAsia="MS UI Gothic"/>
          <w:w w:val="168"/>
        </w:rPr>
        <w:t>)</w:t>
      </w:r>
      <w:r>
        <w:rPr>
          <w:rFonts w:hint="eastAsia" w:ascii="MS UI Gothic" w:eastAsia="MS UI Gothic"/>
        </w:rPr>
        <w:t xml:space="preserve"> </w:t>
      </w:r>
      <w:r>
        <w:rPr>
          <w:rFonts w:hint="eastAsia" w:ascii="MS UI Gothic" w:eastAsia="MS UI Gothic"/>
          <w:spacing w:val="4"/>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３</w:t>
      </w:r>
    </w:p>
    <w:p>
      <w:pPr>
        <w:pStyle w:val="6"/>
        <w:spacing w:before="74"/>
        <w:ind w:left="440" w:firstLine="0"/>
        <w:jc w:val="left"/>
        <w:rPr>
          <w:rFonts w:hint="eastAsia" w:ascii="MS UI Gothic" w:eastAsia="MS UI Gothic"/>
        </w:rPr>
      </w:pPr>
      <w:r>
        <w:rPr>
          <w:spacing w:val="3"/>
        </w:rPr>
        <w:t>相关问题解释</w:t>
      </w:r>
      <w:r>
        <w:rPr>
          <w:rFonts w:hint="eastAsia" w:ascii="MS UI Gothic" w:eastAsia="MS UI Gothic"/>
          <w:spacing w:val="36"/>
          <w:w w:val="320"/>
        </w:rPr>
        <w:t xml:space="preserve">  </w:t>
      </w:r>
      <w:r>
        <w:rPr>
          <w:rFonts w:hint="eastAsia" w:ascii="MS UI Gothic"/>
          <w:spacing w:val="36"/>
          <w:w w:val="320"/>
          <w:lang w:val="en-US" w:eastAsia="zh-CN"/>
        </w:rPr>
        <w:t xml:space="preserve">                        </w:t>
      </w:r>
      <w:r>
        <w:rPr>
          <w:rFonts w:hint="eastAsia" w:ascii="MS UI Gothic" w:eastAsia="MS UI Gothic"/>
        </w:rPr>
        <w:t>７</w:t>
      </w:r>
    </w:p>
    <w:p>
      <w:pPr>
        <w:pStyle w:val="6"/>
        <w:spacing w:before="58" w:line="240" w:lineRule="exact"/>
        <w:ind w:left="440" w:firstLine="0"/>
        <w:jc w:val="left"/>
      </w:pPr>
      <w:r>
        <w:t>最高人民法院关于审理非法采矿</w:t>
      </w:r>
      <w:r>
        <w:rPr>
          <w:rFonts w:hint="eastAsia" w:ascii="MS UI Gothic" w:eastAsia="MS UI Gothic"/>
        </w:rPr>
        <w:t xml:space="preserve">、 </w:t>
      </w:r>
      <w:r>
        <w:t>破坏性采矿刑事案件具体应用法律若干问题</w:t>
      </w:r>
    </w:p>
    <w:p>
      <w:pPr>
        <w:pStyle w:val="6"/>
        <w:tabs>
          <w:tab w:val="left" w:pos="2957"/>
        </w:tabs>
        <w:spacing w:before="75"/>
        <w:ind w:left="650" w:firstLine="0"/>
        <w:jc w:val="left"/>
        <w:rPr>
          <w:rFonts w:hint="eastAsia" w:ascii="MS UI Gothic" w:eastAsia="MS UI Gothic"/>
        </w:rPr>
      </w:pPr>
      <w:r>
        <w:rPr>
          <w:spacing w:val="3"/>
          <w:w w:val="102"/>
        </w:rPr>
        <w:t>的解</w:t>
      </w:r>
      <w:r>
        <w:rPr>
          <w:w w:val="102"/>
        </w:rPr>
        <w:t>释</w:t>
      </w:r>
      <w:r>
        <w:rPr>
          <w:spacing w:val="8"/>
        </w:rPr>
        <w:t xml:space="preserve"> </w:t>
      </w:r>
      <w:r>
        <w:rPr>
          <w:rFonts w:hint="eastAsia" w:ascii="MS UI Gothic" w:eastAsia="MS UI Gothic"/>
          <w:spacing w:val="15"/>
          <w:w w:val="168"/>
        </w:rPr>
        <w:t>(</w:t>
      </w:r>
      <w:r>
        <w:rPr>
          <w:rFonts w:hint="eastAsia" w:ascii="MS UI Gothic" w:eastAsia="MS UI Gothic"/>
          <w:w w:val="75"/>
        </w:rPr>
        <w:t>２０１６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lang w:val="en-US" w:eastAsia="zh-CN"/>
        </w:rPr>
        <w:t xml:space="preserve">                                                                           </w:t>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７</w:t>
      </w:r>
    </w:p>
    <w:p>
      <w:pPr>
        <w:pStyle w:val="6"/>
        <w:tabs>
          <w:tab w:val="left" w:pos="1908"/>
          <w:tab w:val="left" w:pos="3584"/>
        </w:tabs>
        <w:spacing w:before="58" w:line="240" w:lineRule="exact"/>
        <w:ind w:left="440" w:firstLine="0"/>
        <w:jc w:val="left"/>
      </w:pPr>
      <w:r>
        <w:rPr>
          <w:spacing w:val="3"/>
          <w:w w:val="105"/>
        </w:rPr>
        <w:t>最高人民法</w:t>
      </w:r>
      <w:r>
        <w:rPr>
          <w:w w:val="105"/>
        </w:rPr>
        <w:t>院</w:t>
      </w:r>
      <w:r>
        <w:rPr>
          <w:w w:val="105"/>
        </w:rPr>
        <w:tab/>
      </w:r>
      <w:r>
        <w:rPr>
          <w:spacing w:val="3"/>
          <w:w w:val="105"/>
        </w:rPr>
        <w:t>最高人民检察</w:t>
      </w:r>
      <w:r>
        <w:rPr>
          <w:w w:val="105"/>
        </w:rPr>
        <w:t>院</w:t>
      </w:r>
      <w:r>
        <w:rPr>
          <w:w w:val="105"/>
        </w:rPr>
        <w:tab/>
      </w:r>
      <w:r>
        <w:rPr>
          <w:spacing w:val="3"/>
          <w:w w:val="105"/>
        </w:rPr>
        <w:t>关于办理渎职刑事案件适用法律若干问题</w:t>
      </w:r>
      <w:r>
        <w:rPr>
          <w:w w:val="105"/>
        </w:rPr>
        <w:t>的</w:t>
      </w:r>
    </w:p>
    <w:p>
      <w:pPr>
        <w:pStyle w:val="6"/>
        <w:tabs>
          <w:tab w:val="left" w:pos="3377"/>
        </w:tabs>
        <w:spacing w:before="74"/>
        <w:ind w:left="650" w:firstLine="0"/>
        <w:jc w:val="left"/>
        <w:rPr>
          <w:rFonts w:hint="eastAsia" w:ascii="MS UI Gothic" w:eastAsia="MS UI Gothic"/>
        </w:rPr>
      </w:pPr>
      <w:r>
        <w:rPr>
          <w:spacing w:val="3"/>
          <w:w w:val="102"/>
        </w:rPr>
        <w:t>解</w:t>
      </w:r>
      <w:r>
        <w:rPr>
          <w:w w:val="102"/>
        </w:rPr>
        <w:t>释</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一</w:t>
      </w:r>
      <w:r>
        <w:rPr>
          <w:rFonts w:hint="eastAsia" w:ascii="MS UI Gothic" w:eastAsia="MS UI Gothic"/>
          <w:w w:val="168"/>
        </w:rPr>
        <w:t>)</w:t>
      </w:r>
      <w:r>
        <w:rPr>
          <w:rFonts w:hint="eastAsia" w:ascii="MS UI Gothic" w:eastAsia="MS UI Gothic"/>
        </w:rPr>
        <w:t xml:space="preserve"> </w:t>
      </w:r>
      <w:r>
        <w:rPr>
          <w:rFonts w:hint="eastAsia" w:ascii="MS UI Gothic" w:eastAsia="MS UI Gothic"/>
          <w:spacing w:val="4"/>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９</w:t>
      </w:r>
    </w:p>
    <w:p>
      <w:pPr>
        <w:pStyle w:val="6"/>
        <w:tabs>
          <w:tab w:val="left" w:pos="1908"/>
        </w:tabs>
        <w:spacing w:before="58" w:line="240" w:lineRule="exact"/>
        <w:ind w:left="440" w:firstLine="0"/>
        <w:jc w:val="left"/>
      </w:pPr>
      <w:r>
        <w:rPr>
          <w:spacing w:val="3"/>
          <w:w w:val="105"/>
        </w:rPr>
        <w:t>最高人民法</w:t>
      </w:r>
      <w:r>
        <w:rPr>
          <w:w w:val="105"/>
        </w:rPr>
        <w:t>院</w:t>
      </w:r>
      <w:r>
        <w:rPr>
          <w:w w:val="105"/>
        </w:rPr>
        <w:tab/>
      </w:r>
      <w:r>
        <w:rPr>
          <w:spacing w:val="3"/>
          <w:w w:val="105"/>
        </w:rPr>
        <w:t>最高人民检察院关于办理危害生产安全刑事案件适用法律若</w:t>
      </w:r>
      <w:r>
        <w:rPr>
          <w:w w:val="105"/>
        </w:rPr>
        <w:t>干</w:t>
      </w:r>
    </w:p>
    <w:p>
      <w:pPr>
        <w:pStyle w:val="6"/>
        <w:spacing w:before="75"/>
        <w:ind w:left="650" w:firstLine="0"/>
        <w:jc w:val="left"/>
        <w:rPr>
          <w:rFonts w:hint="eastAsia" w:ascii="MS UI Gothic" w:eastAsia="MS UI Gothic"/>
        </w:rPr>
      </w:pPr>
      <w:r>
        <w:rPr>
          <w:spacing w:val="2"/>
          <w:w w:val="102"/>
        </w:rPr>
        <w:t>问题的解释</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２０１５</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4"/>
        </w:rPr>
        <w:t xml:space="preserve">  </w:t>
      </w:r>
      <w:r>
        <w:rPr>
          <w:rFonts w:hint="eastAsia" w:ascii="MS UI Gothic"/>
          <w:spacing w:val="14"/>
          <w:lang w:val="en-US" w:eastAsia="zh-CN"/>
        </w:rPr>
        <w:t xml:space="preserve">                                                       </w:t>
      </w:r>
      <w:r>
        <w:rPr>
          <w:rFonts w:hint="eastAsia" w:ascii="MS UI Gothic" w:eastAsia="MS UI Gothic"/>
          <w:spacing w:val="-10"/>
        </w:rPr>
        <w:t xml:space="preserve">  </w:t>
      </w:r>
      <w:r>
        <w:rPr>
          <w:rFonts w:hint="eastAsia" w:ascii="MS UI Gothic" w:eastAsia="MS UI Gothic"/>
          <w:w w:val="75"/>
        </w:rPr>
        <w:t>１１</w:t>
      </w:r>
    </w:p>
    <w:p>
      <w:pPr>
        <w:pStyle w:val="6"/>
        <w:tabs>
          <w:tab w:val="left" w:pos="1908"/>
        </w:tabs>
        <w:spacing w:before="58" w:line="240" w:lineRule="exact"/>
        <w:ind w:left="440" w:firstLine="0"/>
        <w:jc w:val="left"/>
      </w:pPr>
      <w:r>
        <w:rPr>
          <w:spacing w:val="3"/>
          <w:w w:val="105"/>
        </w:rPr>
        <w:t>最高人民法</w:t>
      </w:r>
      <w:r>
        <w:rPr>
          <w:w w:val="105"/>
        </w:rPr>
        <w:t>院</w:t>
      </w:r>
      <w:r>
        <w:rPr>
          <w:w w:val="105"/>
        </w:rPr>
        <w:tab/>
      </w:r>
      <w:r>
        <w:rPr>
          <w:spacing w:val="3"/>
          <w:w w:val="105"/>
        </w:rPr>
        <w:t>最高人民检察院公安部司法部关于依法惩治妨害新型冠状病</w:t>
      </w:r>
      <w:r>
        <w:rPr>
          <w:w w:val="105"/>
        </w:rPr>
        <w:t>毒</w:t>
      </w:r>
    </w:p>
    <w:p>
      <w:pPr>
        <w:pStyle w:val="6"/>
        <w:spacing w:before="74"/>
        <w:ind w:left="650" w:firstLine="0"/>
        <w:jc w:val="left"/>
        <w:rPr>
          <w:rFonts w:hint="eastAsia" w:ascii="MS UI Gothic" w:eastAsia="MS UI Gothic"/>
        </w:rPr>
      </w:pPr>
      <w:r>
        <w:t xml:space="preserve">感染肺炎疫情防控违法犯罪的意见 </w:t>
      </w:r>
      <w:r>
        <w:rPr>
          <w:rFonts w:hint="eastAsia" w:ascii="MS UI Gothic" w:eastAsia="MS UI Gothic"/>
          <w:w w:val="320"/>
        </w:rPr>
        <w:t xml:space="preserve"> </w:t>
      </w:r>
      <w:r>
        <w:rPr>
          <w:rFonts w:hint="eastAsia" w:ascii="MS UI Gothic"/>
          <w:w w:val="320"/>
          <w:lang w:val="en-US" w:eastAsia="zh-CN"/>
        </w:rPr>
        <w:t xml:space="preserve">                  </w:t>
      </w:r>
      <w:r>
        <w:rPr>
          <w:rFonts w:hint="eastAsia" w:ascii="MS UI Gothic" w:eastAsia="MS UI Gothic"/>
        </w:rPr>
        <w:t>１６</w:t>
      </w:r>
    </w:p>
    <w:p>
      <w:pPr>
        <w:pStyle w:val="6"/>
        <w:tabs>
          <w:tab w:val="left" w:pos="1908"/>
        </w:tabs>
        <w:spacing w:before="58" w:line="240" w:lineRule="exact"/>
        <w:ind w:left="440" w:firstLine="0"/>
        <w:jc w:val="left"/>
      </w:pPr>
      <w:r>
        <w:rPr>
          <w:spacing w:val="3"/>
          <w:w w:val="105"/>
        </w:rPr>
        <w:t>最高人民法</w:t>
      </w:r>
      <w:r>
        <w:rPr>
          <w:w w:val="105"/>
        </w:rPr>
        <w:t>院</w:t>
      </w:r>
      <w:r>
        <w:rPr>
          <w:w w:val="105"/>
        </w:rPr>
        <w:tab/>
      </w:r>
      <w:r>
        <w:rPr>
          <w:spacing w:val="3"/>
          <w:w w:val="105"/>
        </w:rPr>
        <w:t>最高人民检察院关于办理环境污染刑事案件适用法律若干问</w:t>
      </w:r>
      <w:r>
        <w:rPr>
          <w:w w:val="105"/>
        </w:rPr>
        <w:t>题</w:t>
      </w:r>
    </w:p>
    <w:p>
      <w:pPr>
        <w:pStyle w:val="6"/>
        <w:spacing w:before="75"/>
        <w:ind w:left="650" w:firstLine="0"/>
        <w:jc w:val="left"/>
        <w:rPr>
          <w:rFonts w:hint="eastAsia" w:ascii="MS UI Gothic" w:eastAsia="MS UI Gothic"/>
        </w:rPr>
      </w:pPr>
      <w:r>
        <w:rPr>
          <w:spacing w:val="1"/>
          <w:w w:val="102"/>
        </w:rPr>
        <w:t>的解释</w:t>
      </w:r>
      <w:r>
        <w:rPr>
          <w:spacing w:val="8"/>
        </w:rPr>
        <w:t xml:space="preserve"> </w:t>
      </w:r>
      <w:r>
        <w:rPr>
          <w:rFonts w:hint="eastAsia" w:ascii="MS UI Gothic" w:eastAsia="MS UI Gothic"/>
          <w:spacing w:val="15"/>
          <w:w w:val="168"/>
        </w:rPr>
        <w:t>(</w:t>
      </w:r>
      <w:r>
        <w:rPr>
          <w:rFonts w:hint="eastAsia" w:ascii="MS UI Gothic" w:eastAsia="MS UI Gothic"/>
          <w:w w:val="75"/>
        </w:rPr>
        <w:t>２０１６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4"/>
        </w:rPr>
        <w:t xml:space="preserve">  </w:t>
      </w:r>
      <w:r>
        <w:rPr>
          <w:rFonts w:hint="eastAsia" w:ascii="MS UI Gothic" w:eastAsia="MS UI Gothic"/>
          <w:spacing w:val="-10"/>
        </w:rPr>
        <w:t xml:space="preserve"> </w:t>
      </w:r>
      <w:r>
        <w:rPr>
          <w:rFonts w:hint="eastAsia" w:ascii="MS UI Gothic"/>
          <w:spacing w:val="-10"/>
          <w:lang w:val="en-US" w:eastAsia="zh-CN"/>
        </w:rPr>
        <w:t xml:space="preserve">                                                                                         </w:t>
      </w:r>
      <w:r>
        <w:rPr>
          <w:rFonts w:hint="eastAsia" w:ascii="MS UI Gothic" w:eastAsia="MS UI Gothic"/>
          <w:spacing w:val="-10"/>
        </w:rPr>
        <w:t xml:space="preserve"> </w:t>
      </w:r>
      <w:r>
        <w:rPr>
          <w:rFonts w:hint="eastAsia" w:ascii="MS UI Gothic" w:eastAsia="MS UI Gothic"/>
          <w:w w:val="75"/>
        </w:rPr>
        <w:t>２０</w:t>
      </w:r>
    </w:p>
    <w:p>
      <w:pPr>
        <w:pStyle w:val="6"/>
        <w:tabs>
          <w:tab w:val="left" w:pos="1908"/>
          <w:tab w:val="left" w:pos="3584"/>
          <w:tab w:val="left" w:pos="4423"/>
          <w:tab w:val="left" w:pos="5261"/>
        </w:tabs>
        <w:spacing w:before="58" w:line="240" w:lineRule="exact"/>
        <w:ind w:left="440" w:firstLine="0"/>
        <w:jc w:val="left"/>
      </w:pPr>
      <w:r>
        <w:rPr>
          <w:spacing w:val="3"/>
          <w:w w:val="105"/>
        </w:rPr>
        <w:t>最高人民法</w:t>
      </w:r>
      <w:r>
        <w:rPr>
          <w:w w:val="105"/>
        </w:rPr>
        <w:t>院</w:t>
      </w:r>
      <w:r>
        <w:rPr>
          <w:w w:val="105"/>
        </w:rPr>
        <w:tab/>
      </w:r>
      <w:r>
        <w:rPr>
          <w:spacing w:val="3"/>
          <w:w w:val="105"/>
        </w:rPr>
        <w:t>最高人民检察</w:t>
      </w:r>
      <w:r>
        <w:rPr>
          <w:w w:val="105"/>
        </w:rPr>
        <w:t>院</w:t>
      </w:r>
      <w:r>
        <w:rPr>
          <w:w w:val="105"/>
        </w:rPr>
        <w:tab/>
      </w:r>
      <w:r>
        <w:rPr>
          <w:spacing w:val="3"/>
          <w:w w:val="105"/>
        </w:rPr>
        <w:t>公安</w:t>
      </w:r>
      <w:r>
        <w:rPr>
          <w:w w:val="105"/>
        </w:rPr>
        <w:t>部</w:t>
      </w:r>
      <w:r>
        <w:rPr>
          <w:w w:val="105"/>
        </w:rPr>
        <w:tab/>
      </w:r>
      <w:r>
        <w:rPr>
          <w:spacing w:val="3"/>
          <w:w w:val="105"/>
        </w:rPr>
        <w:t>司法</w:t>
      </w:r>
      <w:r>
        <w:rPr>
          <w:w w:val="105"/>
        </w:rPr>
        <w:t>部</w:t>
      </w:r>
      <w:r>
        <w:rPr>
          <w:w w:val="105"/>
        </w:rPr>
        <w:tab/>
      </w:r>
      <w:r>
        <w:rPr>
          <w:spacing w:val="3"/>
          <w:w w:val="105"/>
        </w:rPr>
        <w:t>生态环境部关于办理环</w:t>
      </w:r>
      <w:r>
        <w:rPr>
          <w:w w:val="105"/>
        </w:rPr>
        <w:t>境</w:t>
      </w:r>
    </w:p>
    <w:p>
      <w:pPr>
        <w:pStyle w:val="6"/>
        <w:spacing w:before="74" w:line="240" w:lineRule="exact"/>
        <w:ind w:left="650" w:firstLine="0"/>
        <w:jc w:val="left"/>
        <w:rPr>
          <w:rFonts w:hint="eastAsia" w:ascii="MS UI Gothic" w:eastAsia="MS UI Gothic"/>
        </w:rPr>
      </w:pPr>
      <w:r>
        <w:rPr>
          <w:spacing w:val="2"/>
          <w:w w:val="102"/>
        </w:rPr>
        <w:t>污染刑事案件有关问题座谈会纪要</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２０１８</w:t>
      </w:r>
      <w:r>
        <w:rPr>
          <w:rFonts w:hint="eastAsia" w:ascii="MS UI Gothic" w:eastAsia="MS UI Gothic"/>
          <w:spacing w:val="-3"/>
        </w:rPr>
        <w:t xml:space="preserve"> </w:t>
      </w:r>
      <w:r>
        <w:rPr>
          <w:spacing w:val="3"/>
          <w:w w:val="102"/>
        </w:rPr>
        <w:t>年</w:t>
      </w:r>
      <w:r>
        <w:rPr>
          <w:rFonts w:hint="eastAsia" w:ascii="MS UI Gothic" w:eastAsia="MS UI Gothic"/>
          <w:w w:val="168"/>
        </w:rPr>
        <w:t>)</w:t>
      </w:r>
      <w:r>
        <w:rPr>
          <w:rFonts w:hint="eastAsia" w:ascii="MS UI Gothic" w:eastAsia="MS UI Gothic"/>
          <w:spacing w:val="14"/>
        </w:rPr>
        <w:t xml:space="preserve">  </w:t>
      </w:r>
      <w:r>
        <w:rPr>
          <w:rFonts w:hint="eastAsia" w:ascii="MS UI Gothic" w:eastAsia="MS UI Gothic"/>
          <w:spacing w:val="-10"/>
        </w:rPr>
        <w:t xml:space="preserve">  </w:t>
      </w:r>
      <w:r>
        <w:rPr>
          <w:rFonts w:hint="eastAsia" w:ascii="MS UI Gothic"/>
          <w:spacing w:val="-10"/>
          <w:lang w:val="en-US" w:eastAsia="zh-CN"/>
        </w:rPr>
        <w:t xml:space="preserve">                                               </w:t>
      </w:r>
      <w:r>
        <w:rPr>
          <w:rFonts w:hint="eastAsia" w:ascii="MS UI Gothic" w:eastAsia="MS UI Gothic"/>
          <w:w w:val="75"/>
        </w:rPr>
        <w:t>２３</w:t>
      </w:r>
    </w:p>
    <w:p>
      <w:pPr>
        <w:pStyle w:val="6"/>
        <w:spacing w:before="74"/>
        <w:ind w:left="440" w:firstLine="0"/>
        <w:jc w:val="left"/>
        <w:rPr>
          <w:rFonts w:hint="eastAsia" w:ascii="MS UI Gothic" w:eastAsia="MS UI Gothic"/>
        </w:rPr>
      </w:pPr>
      <w:r>
        <w:rPr>
          <w:spacing w:val="2"/>
        </w:rPr>
        <w:t xml:space="preserve">安全生产行政执法与刑事司法衔接工作办法  </w:t>
      </w:r>
      <w:r>
        <w:rPr>
          <w:rFonts w:hint="eastAsia" w:ascii="MS UI Gothic" w:eastAsia="MS UI Gothic"/>
          <w:spacing w:val="20"/>
          <w:w w:val="320"/>
        </w:rPr>
        <w:t xml:space="preserve"> </w:t>
      </w:r>
      <w:r>
        <w:rPr>
          <w:rFonts w:hint="eastAsia" w:ascii="MS UI Gothic"/>
          <w:spacing w:val="20"/>
          <w:w w:val="320"/>
          <w:lang w:val="en-US" w:eastAsia="zh-CN"/>
        </w:rPr>
        <w:t xml:space="preserve">            </w:t>
      </w:r>
      <w:r>
        <w:rPr>
          <w:rFonts w:hint="eastAsia" w:ascii="MS UI Gothic" w:eastAsia="MS UI Gothic"/>
        </w:rPr>
        <w:t>３１</w:t>
      </w:r>
    </w:p>
    <w:p>
      <w:pPr>
        <w:pStyle w:val="6"/>
        <w:spacing w:before="6"/>
        <w:ind w:left="0" w:firstLine="0"/>
        <w:jc w:val="left"/>
        <w:rPr>
          <w:rFonts w:ascii="MS UI Gothic"/>
          <w:sz w:val="15"/>
        </w:rPr>
      </w:pPr>
    </w:p>
    <w:p>
      <w:pPr>
        <w:pStyle w:val="6"/>
        <w:spacing w:before="175" w:line="240" w:lineRule="exact"/>
        <w:ind w:left="440" w:firstLine="0"/>
        <w:jc w:val="left"/>
        <w:rPr>
          <w:rFonts w:hint="eastAsia" w:ascii="MS UI Gothic" w:eastAsia="MS UI Gothic"/>
        </w:rPr>
      </w:pPr>
      <w:r>
        <w:rPr>
          <w:spacing w:val="3"/>
        </w:rPr>
        <w:t>三</w:t>
      </w:r>
      <w:r>
        <w:rPr>
          <w:spacing w:val="3"/>
          <w:w w:val="85"/>
        </w:rPr>
        <w:t xml:space="preserve">、  </w:t>
      </w:r>
      <w:r>
        <w:rPr>
          <w:spacing w:val="13"/>
        </w:rPr>
        <w:t xml:space="preserve">应急管理基本法 </w:t>
      </w:r>
      <w:r>
        <w:rPr>
          <w:rFonts w:hint="eastAsia" w:ascii="MS UI Gothic" w:eastAsia="MS UI Gothic"/>
          <w:spacing w:val="-21"/>
          <w:w w:val="320"/>
        </w:rPr>
        <w:t xml:space="preserve"> </w:t>
      </w:r>
      <w:r>
        <w:rPr>
          <w:rFonts w:hint="eastAsia" w:ascii="MS UI Gothic"/>
          <w:spacing w:val="-21"/>
          <w:w w:val="320"/>
          <w:lang w:val="en-US" w:eastAsia="zh-CN"/>
        </w:rPr>
        <w:t xml:space="preserve">                          </w:t>
      </w:r>
      <w:r>
        <w:rPr>
          <w:rFonts w:hint="eastAsia" w:ascii="MS UI Gothic" w:eastAsia="MS UI Gothic"/>
        </w:rPr>
        <w:t>３６</w:t>
      </w:r>
    </w:p>
    <w:p>
      <w:pPr>
        <w:spacing w:after="0" w:line="240" w:lineRule="exact"/>
        <w:jc w:val="left"/>
        <w:rPr>
          <w:rFonts w:hint="eastAsia" w:ascii="MS UI Gothic" w:eastAsia="MS UI Gothic"/>
        </w:rPr>
        <w:sectPr>
          <w:pgSz w:w="10500" w:h="14750"/>
          <w:pgMar w:top="960" w:right="980" w:bottom="280" w:left="980" w:header="720" w:footer="720" w:gutter="0"/>
        </w:sectPr>
      </w:pPr>
    </w:p>
    <w:p>
      <w:pPr>
        <w:pStyle w:val="6"/>
        <w:spacing w:before="74"/>
        <w:ind w:left="440" w:firstLine="0"/>
        <w:jc w:val="left"/>
        <w:rPr>
          <w:rFonts w:hint="eastAsia" w:ascii="MS UI Gothic" w:eastAsia="MS UI Gothic"/>
        </w:rPr>
      </w:pPr>
      <w:r>
        <w:rPr>
          <w:spacing w:val="2"/>
          <w:w w:val="102"/>
        </w:rPr>
        <w:t>中华人民共和国突发事件应对法</w:t>
      </w:r>
      <w:r>
        <w:rPr>
          <w:spacing w:val="8"/>
        </w:rPr>
        <w:t xml:space="preserve"> </w:t>
      </w:r>
      <w:r>
        <w:rPr>
          <w:rFonts w:hint="eastAsia" w:ascii="MS UI Gothic" w:eastAsia="MS UI Gothic"/>
          <w:spacing w:val="15"/>
          <w:w w:val="168"/>
        </w:rPr>
        <w:t>(</w:t>
      </w:r>
      <w:r>
        <w:rPr>
          <w:rFonts w:hint="eastAsia" w:ascii="MS UI Gothic" w:eastAsia="MS UI Gothic"/>
          <w:w w:val="75"/>
        </w:rPr>
        <w:t>２００７</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ind w:left="440" w:firstLine="0"/>
        <w:jc w:val="left"/>
        <w:rPr>
          <w:rFonts w:hint="eastAsia" w:ascii="MS UI Gothic" w:eastAsia="MS UI Gothic"/>
        </w:rPr>
      </w:pPr>
      <w:r>
        <w:rPr>
          <w:spacing w:val="2"/>
          <w:w w:val="102"/>
        </w:rPr>
        <w:t>国家突发公共事件总体应急预案</w:t>
      </w:r>
      <w:r>
        <w:rPr>
          <w:spacing w:val="8"/>
        </w:rPr>
        <w:t xml:space="preserve"> </w:t>
      </w:r>
      <w:r>
        <w:rPr>
          <w:rFonts w:hint="eastAsia" w:ascii="MS UI Gothic" w:eastAsia="MS UI Gothic"/>
          <w:spacing w:val="15"/>
          <w:w w:val="168"/>
        </w:rPr>
        <w:t>(</w:t>
      </w:r>
      <w:r>
        <w:rPr>
          <w:rFonts w:hint="eastAsia" w:ascii="MS UI Gothic" w:eastAsia="MS UI Gothic"/>
          <w:w w:val="75"/>
        </w:rPr>
        <w:t>２００６</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111" w:firstLine="0"/>
        <w:jc w:val="left"/>
        <w:rPr>
          <w:rFonts w:hint="eastAsia" w:ascii="MS UI Gothic" w:eastAsia="MS UI Gothic"/>
        </w:rPr>
      </w:pPr>
      <w:r>
        <w:br w:type="column"/>
      </w:r>
      <w:r>
        <w:rPr>
          <w:rFonts w:hint="eastAsia" w:ascii="MS UI Gothic" w:eastAsia="MS UI Gothic"/>
          <w:spacing w:val="-2"/>
          <w:w w:val="320"/>
        </w:rPr>
        <w:t xml:space="preserve"> </w:t>
      </w:r>
      <w:r>
        <w:rPr>
          <w:rFonts w:hint="eastAsia" w:ascii="MS UI Gothic"/>
          <w:spacing w:val="-2"/>
          <w:w w:val="320"/>
          <w:lang w:val="en-US" w:eastAsia="zh-CN"/>
        </w:rPr>
        <w:t xml:space="preserve">           </w:t>
      </w:r>
      <w:r>
        <w:rPr>
          <w:rFonts w:hint="eastAsia" w:ascii="MS UI Gothic" w:eastAsia="MS UI Gothic"/>
          <w:w w:val="105"/>
        </w:rPr>
        <w:t>３６</w:t>
      </w:r>
    </w:p>
    <w:p>
      <w:pPr>
        <w:pStyle w:val="6"/>
        <w:spacing w:before="58"/>
        <w:ind w:left="111" w:firstLine="0"/>
        <w:jc w:val="left"/>
        <w:rPr>
          <w:rFonts w:hint="eastAsia" w:ascii="MS UI Gothic" w:eastAsia="MS UI Gothic"/>
        </w:rPr>
      </w:pPr>
      <w:r>
        <w:rPr>
          <w:rFonts w:hint="eastAsia" w:ascii="MS UI Gothic" w:eastAsia="MS UI Gothic"/>
          <w:spacing w:val="-2"/>
          <w:w w:val="320"/>
        </w:rPr>
        <w:t xml:space="preserve"> </w:t>
      </w:r>
      <w:r>
        <w:rPr>
          <w:rFonts w:hint="eastAsia" w:ascii="MS UI Gothic"/>
          <w:spacing w:val="-2"/>
          <w:w w:val="320"/>
          <w:lang w:val="en-US" w:eastAsia="zh-CN"/>
        </w:rPr>
        <w:t xml:space="preserve">           </w:t>
      </w:r>
      <w:r>
        <w:rPr>
          <w:rFonts w:hint="eastAsia" w:ascii="MS UI Gothic" w:eastAsia="MS UI Gothic"/>
          <w:w w:val="105"/>
        </w:rPr>
        <w:t>４５</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4800" w:space="40"/>
            <w:col w:w="3700"/>
          </w:cols>
        </w:sectPr>
      </w:pPr>
    </w:p>
    <w:p>
      <w:pPr>
        <w:pStyle w:val="6"/>
        <w:spacing w:before="6"/>
        <w:ind w:left="0" w:firstLine="0"/>
        <w:jc w:val="left"/>
        <w:rPr>
          <w:rFonts w:ascii="MS UI Gothic"/>
          <w:sz w:val="15"/>
        </w:rPr>
      </w:pPr>
    </w:p>
    <w:p>
      <w:pPr>
        <w:pStyle w:val="6"/>
        <w:spacing w:before="175" w:line="240" w:lineRule="exact"/>
        <w:ind w:left="440" w:firstLine="0"/>
        <w:jc w:val="left"/>
        <w:rPr>
          <w:rFonts w:hint="eastAsia" w:ascii="MS UI Gothic" w:eastAsia="MS UI Gothic"/>
        </w:rPr>
      </w:pPr>
      <w:r>
        <w:rPr>
          <w:spacing w:val="3"/>
        </w:rPr>
        <w:t>四</w:t>
      </w:r>
      <w:r>
        <w:rPr>
          <w:w w:val="90"/>
        </w:rPr>
        <w:t xml:space="preserve">、  </w:t>
      </w:r>
      <w:r>
        <w:rPr>
          <w:spacing w:val="16"/>
        </w:rPr>
        <w:t xml:space="preserve">安全生产法 </w:t>
      </w:r>
      <w:r>
        <w:rPr>
          <w:rFonts w:hint="eastAsia" w:ascii="MS UI Gothic" w:eastAsia="MS UI Gothic"/>
          <w:spacing w:val="-21"/>
          <w:w w:val="320"/>
        </w:rPr>
        <w:t xml:space="preserve"> </w:t>
      </w:r>
      <w:r>
        <w:rPr>
          <w:rFonts w:hint="eastAsia" w:ascii="MS UI Gothic"/>
          <w:spacing w:val="-21"/>
          <w:w w:val="320"/>
          <w:lang w:val="en-US" w:eastAsia="zh-CN"/>
        </w:rPr>
        <w:t xml:space="preserve">                            </w:t>
      </w:r>
      <w:r>
        <w:rPr>
          <w:rFonts w:hint="eastAsia" w:ascii="MS UI Gothic" w:eastAsia="MS UI Gothic"/>
        </w:rPr>
        <w:t>５０</w:t>
      </w:r>
    </w:p>
    <w:p>
      <w:pPr>
        <w:pStyle w:val="6"/>
        <w:spacing w:before="74" w:line="240" w:lineRule="exact"/>
        <w:ind w:left="440" w:firstLine="0"/>
        <w:jc w:val="left"/>
        <w:rPr>
          <w:rFonts w:hint="eastAsia" w:ascii="MS UI Gothic" w:eastAsia="MS UI Gothic"/>
        </w:rPr>
      </w:pPr>
      <w:r>
        <w:rPr>
          <w:spacing w:val="2"/>
          <w:w w:val="102"/>
        </w:rPr>
        <w:t>中华人民共和国安全生产法</w:t>
      </w:r>
      <w:r>
        <w:rPr>
          <w:spacing w:val="8"/>
        </w:rPr>
        <w:t xml:space="preserve"> </w:t>
      </w:r>
      <w:r>
        <w:rPr>
          <w:rFonts w:hint="eastAsia" w:ascii="MS UI Gothic" w:eastAsia="MS UI Gothic"/>
          <w:spacing w:val="15"/>
          <w:w w:val="168"/>
        </w:rPr>
        <w:t>(</w:t>
      </w:r>
      <w:r>
        <w:rPr>
          <w:rFonts w:hint="eastAsia" w:ascii="MS UI Gothic" w:eastAsia="MS UI Gothic"/>
          <w:w w:val="75"/>
        </w:rPr>
        <w:t>２０１４</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4"/>
        </w:rPr>
        <w:t xml:space="preserve">  </w:t>
      </w:r>
      <w:r>
        <w:rPr>
          <w:rFonts w:hint="eastAsia" w:ascii="MS UI Gothic"/>
          <w:spacing w:val="14"/>
          <w:lang w:val="en-US" w:eastAsia="zh-CN"/>
        </w:rPr>
        <w:t xml:space="preserve">                                    </w:t>
      </w:r>
      <w:r>
        <w:rPr>
          <w:rFonts w:hint="eastAsia" w:ascii="MS UI Gothic" w:eastAsia="MS UI Gothic"/>
          <w:spacing w:val="-10"/>
        </w:rPr>
        <w:t xml:space="preserve">  </w:t>
      </w:r>
      <w:r>
        <w:rPr>
          <w:rFonts w:hint="eastAsia" w:ascii="MS UI Gothic" w:eastAsia="MS UI Gothic"/>
          <w:w w:val="75"/>
        </w:rPr>
        <w:t>５０</w:t>
      </w:r>
    </w:p>
    <w:p>
      <w:pPr>
        <w:pStyle w:val="6"/>
        <w:spacing w:before="74" w:line="240" w:lineRule="exact"/>
        <w:ind w:left="440" w:firstLine="0"/>
        <w:jc w:val="left"/>
        <w:rPr>
          <w:rFonts w:hint="eastAsia" w:ascii="MS UI Gothic" w:eastAsia="MS UI Gothic"/>
        </w:rPr>
      </w:pPr>
      <w:r>
        <w:rPr>
          <w:spacing w:val="2"/>
          <w:w w:val="102"/>
        </w:rPr>
        <w:t>安全生产许可证条例</w:t>
      </w:r>
      <w:r>
        <w:rPr>
          <w:spacing w:val="8"/>
        </w:rPr>
        <w:t xml:space="preserve"> </w:t>
      </w:r>
      <w:r>
        <w:rPr>
          <w:rFonts w:hint="eastAsia" w:ascii="MS UI Gothic" w:eastAsia="MS UI Gothic"/>
          <w:spacing w:val="15"/>
          <w:w w:val="168"/>
        </w:rPr>
        <w:t>(</w:t>
      </w:r>
      <w:r>
        <w:rPr>
          <w:rFonts w:hint="eastAsia" w:ascii="MS UI Gothic" w:eastAsia="MS UI Gothic"/>
          <w:w w:val="75"/>
        </w:rPr>
        <w:t>２０１４</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4"/>
        </w:rPr>
        <w:t xml:space="preserve">  </w:t>
      </w:r>
      <w:r>
        <w:rPr>
          <w:rFonts w:hint="eastAsia" w:ascii="MS UI Gothic" w:eastAsia="MS UI Gothic"/>
          <w:spacing w:val="-10"/>
        </w:rPr>
        <w:t xml:space="preserve"> </w:t>
      </w:r>
      <w:r>
        <w:rPr>
          <w:rFonts w:hint="eastAsia" w:ascii="MS UI Gothic"/>
          <w:spacing w:val="-10"/>
          <w:lang w:val="en-US" w:eastAsia="zh-CN"/>
        </w:rPr>
        <w:t xml:space="preserve">                                                                 </w:t>
      </w:r>
      <w:r>
        <w:rPr>
          <w:rFonts w:hint="eastAsia" w:ascii="MS UI Gothic" w:eastAsia="MS UI Gothic"/>
          <w:spacing w:val="-10"/>
        </w:rPr>
        <w:t xml:space="preserve"> </w:t>
      </w:r>
      <w:r>
        <w:rPr>
          <w:rFonts w:hint="eastAsia" w:ascii="MS UI Gothic" w:eastAsia="MS UI Gothic"/>
          <w:w w:val="75"/>
        </w:rPr>
        <w:t>６５</w:t>
      </w:r>
    </w:p>
    <w:p>
      <w:pPr>
        <w:pStyle w:val="6"/>
        <w:spacing w:before="75" w:line="240" w:lineRule="exact"/>
        <w:ind w:left="440" w:firstLine="0"/>
        <w:jc w:val="left"/>
        <w:rPr>
          <w:rFonts w:hint="eastAsia" w:ascii="MS UI Gothic" w:eastAsia="MS UI Gothic"/>
        </w:rPr>
      </w:pPr>
      <w:r>
        <w:rPr>
          <w:spacing w:val="2"/>
          <w:w w:val="102"/>
        </w:rPr>
        <w:t>生产安全事故应急条例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4"/>
        </w:rPr>
        <w:t xml:space="preserve">  </w:t>
      </w:r>
      <w:r>
        <w:rPr>
          <w:rFonts w:hint="eastAsia" w:ascii="MS UI Gothic" w:eastAsia="MS UI Gothic"/>
          <w:spacing w:val="-10"/>
        </w:rPr>
        <w:t xml:space="preserve"> </w:t>
      </w:r>
      <w:r>
        <w:rPr>
          <w:rFonts w:hint="eastAsia" w:ascii="MS UI Gothic"/>
          <w:spacing w:val="-10"/>
          <w:lang w:val="en-US" w:eastAsia="zh-CN"/>
        </w:rPr>
        <w:t xml:space="preserve">                                                             </w:t>
      </w:r>
      <w:r>
        <w:rPr>
          <w:rFonts w:hint="eastAsia" w:ascii="MS UI Gothic" w:eastAsia="MS UI Gothic"/>
          <w:spacing w:val="-10"/>
        </w:rPr>
        <w:t xml:space="preserve"> </w:t>
      </w:r>
      <w:r>
        <w:rPr>
          <w:rFonts w:hint="eastAsia" w:ascii="MS UI Gothic" w:eastAsia="MS UI Gothic"/>
          <w:w w:val="75"/>
        </w:rPr>
        <w:t>６７</w:t>
      </w:r>
    </w:p>
    <w:p>
      <w:pPr>
        <w:pStyle w:val="6"/>
        <w:spacing w:before="74" w:line="240" w:lineRule="exact"/>
        <w:ind w:left="440" w:firstLine="0"/>
        <w:jc w:val="left"/>
        <w:rPr>
          <w:rFonts w:hint="eastAsia" w:ascii="MS UI Gothic" w:eastAsia="MS UI Gothic"/>
        </w:rPr>
      </w:pPr>
      <w:r>
        <w:rPr>
          <w:spacing w:val="2"/>
          <w:w w:val="102"/>
        </w:rPr>
        <w:t>生产安全事故报告和调查处理条例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２００７</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4"/>
        </w:rPr>
        <w:t xml:space="preserve">  </w:t>
      </w:r>
      <w:r>
        <w:rPr>
          <w:rFonts w:hint="eastAsia" w:ascii="MS UI Gothic" w:eastAsia="MS UI Gothic"/>
          <w:spacing w:val="-10"/>
        </w:rPr>
        <w:t xml:space="preserve"> </w:t>
      </w:r>
      <w:r>
        <w:rPr>
          <w:rFonts w:hint="eastAsia" w:ascii="MS UI Gothic"/>
          <w:spacing w:val="-10"/>
          <w:lang w:val="en-US" w:eastAsia="zh-CN"/>
        </w:rPr>
        <w:t xml:space="preserve">                                         </w:t>
      </w:r>
      <w:r>
        <w:rPr>
          <w:rFonts w:hint="eastAsia" w:ascii="MS UI Gothic" w:eastAsia="MS UI Gothic"/>
          <w:spacing w:val="-10"/>
        </w:rPr>
        <w:t xml:space="preserve"> </w:t>
      </w:r>
      <w:r>
        <w:rPr>
          <w:rFonts w:hint="eastAsia" w:ascii="MS UI Gothic" w:eastAsia="MS UI Gothic"/>
          <w:w w:val="75"/>
        </w:rPr>
        <w:t>７２</w:t>
      </w:r>
    </w:p>
    <w:p>
      <w:pPr>
        <w:pStyle w:val="6"/>
        <w:spacing w:before="74" w:line="240" w:lineRule="exact"/>
        <w:ind w:left="440" w:firstLine="0"/>
        <w:jc w:val="left"/>
        <w:rPr>
          <w:rFonts w:hint="eastAsia" w:ascii="MS UI Gothic" w:eastAsia="MS UI Gothic"/>
        </w:rPr>
      </w:pPr>
      <w:r>
        <w:rPr>
          <w:spacing w:val="2"/>
          <w:w w:val="102"/>
        </w:rPr>
        <w:t>国务院关于特大安全事故行政责任追究的规定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２００１</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4"/>
        </w:rPr>
        <w:t xml:space="preserve">  </w:t>
      </w:r>
      <w:r>
        <w:rPr>
          <w:rFonts w:hint="eastAsia" w:ascii="MS UI Gothic" w:eastAsia="MS UI Gothic"/>
          <w:spacing w:val="-10"/>
        </w:rPr>
        <w:t xml:space="preserve">  </w:t>
      </w:r>
      <w:r>
        <w:rPr>
          <w:rFonts w:hint="eastAsia" w:ascii="MS UI Gothic"/>
          <w:spacing w:val="-10"/>
          <w:lang w:val="en-US" w:eastAsia="zh-CN"/>
        </w:rPr>
        <w:t xml:space="preserve">                    </w:t>
      </w:r>
      <w:r>
        <w:rPr>
          <w:rFonts w:hint="eastAsia" w:ascii="MS UI Gothic" w:eastAsia="MS UI Gothic"/>
          <w:w w:val="75"/>
        </w:rPr>
        <w:t>７８</w:t>
      </w:r>
    </w:p>
    <w:p>
      <w:pPr>
        <w:pStyle w:val="6"/>
        <w:spacing w:before="75" w:line="240" w:lineRule="exact"/>
        <w:ind w:left="440" w:firstLine="0"/>
        <w:jc w:val="left"/>
        <w:rPr>
          <w:rFonts w:hint="eastAsia" w:ascii="MS UI Gothic" w:eastAsia="MS UI Gothic"/>
        </w:rPr>
      </w:pPr>
      <w:r>
        <w:rPr>
          <w:spacing w:val="10"/>
        </w:rPr>
        <w:t xml:space="preserve">安全生产规章  </w:t>
      </w:r>
      <w:r>
        <w:rPr>
          <w:rFonts w:hint="eastAsia" w:ascii="MS UI Gothic" w:eastAsia="MS UI Gothic"/>
          <w:spacing w:val="57"/>
          <w:w w:val="320"/>
        </w:rPr>
        <w:t xml:space="preserve"> </w:t>
      </w:r>
      <w:r>
        <w:rPr>
          <w:rFonts w:hint="eastAsia" w:ascii="MS UI Gothic"/>
          <w:spacing w:val="57"/>
          <w:w w:val="320"/>
          <w:lang w:val="en-US" w:eastAsia="zh-CN"/>
        </w:rPr>
        <w:t xml:space="preserve">                    </w:t>
      </w:r>
      <w:r>
        <w:rPr>
          <w:rFonts w:hint="eastAsia" w:ascii="MS UI Gothic" w:eastAsia="MS UI Gothic"/>
        </w:rPr>
        <w:t>８１</w:t>
      </w:r>
    </w:p>
    <w:p>
      <w:pPr>
        <w:pStyle w:val="6"/>
        <w:spacing w:before="74" w:line="240" w:lineRule="exact"/>
        <w:ind w:left="440" w:firstLine="0"/>
        <w:jc w:val="left"/>
        <w:rPr>
          <w:rFonts w:hint="eastAsia" w:ascii="MS UI Gothic" w:eastAsia="MS UI Gothic"/>
        </w:rPr>
      </w:pPr>
      <w:r>
        <w:rPr>
          <w:spacing w:val="2"/>
          <w:w w:val="102"/>
        </w:rPr>
        <w:t>国家安全生产事故灾难应急预案</w:t>
      </w:r>
      <w:r>
        <w:rPr>
          <w:spacing w:val="8"/>
        </w:rPr>
        <w:t xml:space="preserve"> </w:t>
      </w:r>
      <w:r>
        <w:rPr>
          <w:rFonts w:hint="eastAsia" w:ascii="MS UI Gothic" w:eastAsia="MS UI Gothic"/>
          <w:spacing w:val="15"/>
          <w:w w:val="168"/>
        </w:rPr>
        <w:t>(</w:t>
      </w:r>
      <w:r>
        <w:rPr>
          <w:rFonts w:hint="eastAsia" w:ascii="MS UI Gothic" w:eastAsia="MS UI Gothic"/>
          <w:w w:val="75"/>
        </w:rPr>
        <w:t>２００６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4"/>
        </w:rPr>
        <w:t xml:space="preserve">  </w:t>
      </w:r>
      <w:r>
        <w:rPr>
          <w:rFonts w:hint="eastAsia" w:ascii="MS UI Gothic" w:eastAsia="MS UI Gothic"/>
          <w:spacing w:val="-10"/>
        </w:rPr>
        <w:t xml:space="preserve"> </w:t>
      </w:r>
      <w:r>
        <w:rPr>
          <w:rFonts w:hint="eastAsia" w:ascii="MS UI Gothic"/>
          <w:spacing w:val="-10"/>
          <w:lang w:val="en-US" w:eastAsia="zh-CN"/>
        </w:rPr>
        <w:t xml:space="preserve">                                            </w:t>
      </w:r>
      <w:r>
        <w:rPr>
          <w:rFonts w:hint="eastAsia" w:ascii="MS UI Gothic" w:eastAsia="MS UI Gothic"/>
          <w:spacing w:val="-10"/>
        </w:rPr>
        <w:t xml:space="preserve"> </w:t>
      </w:r>
      <w:r>
        <w:rPr>
          <w:rFonts w:hint="eastAsia" w:ascii="MS UI Gothic" w:eastAsia="MS UI Gothic"/>
          <w:w w:val="75"/>
        </w:rPr>
        <w:t>８１</w:t>
      </w:r>
    </w:p>
    <w:p>
      <w:pPr>
        <w:pStyle w:val="6"/>
        <w:spacing w:before="74"/>
        <w:ind w:left="440" w:firstLine="0"/>
        <w:jc w:val="left"/>
        <w:rPr>
          <w:rFonts w:hint="eastAsia" w:ascii="MS UI Gothic" w:eastAsia="MS UI Gothic"/>
        </w:rPr>
      </w:pPr>
      <w:r>
        <w:rPr>
          <w:spacing w:val="2"/>
          <w:w w:val="102"/>
        </w:rPr>
        <w:t>安全生产事故隐患排查治理暂行规定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２００８</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4"/>
        </w:rPr>
        <w:t xml:space="preserve">  </w:t>
      </w:r>
      <w:r>
        <w:rPr>
          <w:rFonts w:hint="eastAsia" w:ascii="MS UI Gothic"/>
          <w:spacing w:val="14"/>
          <w:lang w:val="en-US" w:eastAsia="zh-CN"/>
        </w:rPr>
        <w:t xml:space="preserve">                        </w:t>
      </w:r>
      <w:r>
        <w:rPr>
          <w:rFonts w:hint="eastAsia" w:ascii="MS UI Gothic" w:eastAsia="MS UI Gothic"/>
          <w:spacing w:val="-10"/>
        </w:rPr>
        <w:t xml:space="preserve">  </w:t>
      </w:r>
      <w:r>
        <w:rPr>
          <w:rFonts w:hint="eastAsia" w:ascii="MS UI Gothic" w:eastAsia="MS UI Gothic"/>
          <w:w w:val="75"/>
        </w:rPr>
        <w:t>８７</w:t>
      </w:r>
    </w:p>
    <w:p>
      <w:pPr>
        <w:spacing w:after="0"/>
        <w:jc w:val="left"/>
        <w:rPr>
          <w:rFonts w:hint="eastAsia" w:ascii="MS UI Gothic" w:eastAsia="MS UI Gothic"/>
        </w:rPr>
        <w:sectPr>
          <w:type w:val="continuous"/>
          <w:pgSz w:w="10500" w:h="14750"/>
          <w:pgMar w:top="1400" w:right="980" w:bottom="280" w:left="980" w:header="720" w:footer="720" w:gutter="0"/>
        </w:sectPr>
      </w:pPr>
    </w:p>
    <w:p>
      <w:pPr>
        <w:pStyle w:val="6"/>
        <w:spacing w:before="159"/>
        <w:ind w:left="384" w:firstLine="0"/>
        <w:jc w:val="left"/>
        <w:rPr>
          <w:rFonts w:hint="eastAsia" w:ascii="MS UI Gothic" w:eastAsia="MS UI Gothic"/>
        </w:rPr>
      </w:pPr>
      <w:r>
        <w:rPr>
          <w:rFonts w:hint="eastAsia" w:ascii="MS UI Gothic" w:eastAsia="MS UI Gothic"/>
          <w:spacing w:val="1"/>
          <w:w w:val="75"/>
        </w:rPr>
        <w:t>２</w:t>
      </w:r>
    </w:p>
    <w:p>
      <w:pPr>
        <w:spacing w:before="192"/>
        <w:ind w:left="38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45" w:space="1096"/>
            <w:col w:w="6499"/>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31" o:spid="_x0000_s1031" o:spt="203" style="height:2.15pt;width:398.25pt;" coordsize="7965,43">
            <o:lock v:ext="edit"/>
            <v:line id="_x0000_s1032" o:spid="_x0000_s1032" o:spt="20" style="position:absolute;left:0;top:39;height:0;width:7965;" stroked="t" coordsize="21600,21600">
              <v:path arrowok="t"/>
              <v:fill focussize="0,0"/>
              <v:stroke weight="0.388031496062992pt" color="#231F20"/>
              <v:imagedata o:title=""/>
              <o:lock v:ext="edit"/>
            </v:line>
            <v:line id="_x0000_s1033" o:spid="_x0000_s10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193" w:line="240" w:lineRule="exact"/>
        <w:ind w:firstLine="0"/>
        <w:jc w:val="left"/>
        <w:rPr>
          <w:rFonts w:hint="eastAsia" w:ascii="MS UI Gothic" w:eastAsia="MS UI Gothic"/>
        </w:rPr>
      </w:pPr>
      <w:r>
        <w:rPr>
          <w:spacing w:val="2"/>
          <w:w w:val="102"/>
        </w:rPr>
        <w:t>生产安全事故应急预案管理办法</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4"/>
        </w:rPr>
        <w:t xml:space="preserve">  </w:t>
      </w:r>
      <w:r>
        <w:rPr>
          <w:rFonts w:hint="eastAsia" w:ascii="MS UI Gothic" w:eastAsia="MS UI Gothic"/>
          <w:spacing w:val="-10"/>
        </w:rPr>
        <w:t xml:space="preserve">  </w:t>
      </w:r>
      <w:r>
        <w:rPr>
          <w:rFonts w:hint="eastAsia" w:ascii="MS UI Gothic"/>
          <w:spacing w:val="-10"/>
          <w:lang w:val="en-US" w:eastAsia="zh-CN"/>
        </w:rPr>
        <w:t xml:space="preserve">                                               </w:t>
      </w:r>
      <w:r>
        <w:rPr>
          <w:rFonts w:hint="eastAsia" w:ascii="MS UI Gothic" w:eastAsia="MS UI Gothic"/>
          <w:w w:val="75"/>
        </w:rPr>
        <w:t>９０</w:t>
      </w:r>
    </w:p>
    <w:p>
      <w:pPr>
        <w:pStyle w:val="6"/>
        <w:spacing w:before="74" w:line="240" w:lineRule="exact"/>
        <w:ind w:firstLine="0"/>
        <w:jc w:val="left"/>
        <w:rPr>
          <w:rFonts w:hint="eastAsia" w:ascii="MS UI Gothic" w:eastAsia="MS UI Gothic"/>
        </w:rPr>
      </w:pPr>
      <w:r>
        <w:rPr>
          <w:spacing w:val="2"/>
          <w:w w:val="102"/>
        </w:rPr>
        <w:t>生产经营单位安全培训规定</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4"/>
        </w:rPr>
        <w:t xml:space="preserve">  </w:t>
      </w:r>
      <w:r>
        <w:rPr>
          <w:rFonts w:hint="eastAsia" w:ascii="MS UI Gothic" w:eastAsia="MS UI Gothic"/>
          <w:spacing w:val="-10"/>
        </w:rPr>
        <w:t xml:space="preserve"> </w:t>
      </w:r>
      <w:r>
        <w:rPr>
          <w:rFonts w:hint="eastAsia" w:ascii="MS UI Gothic"/>
          <w:spacing w:val="-10"/>
          <w:lang w:val="en-US" w:eastAsia="zh-CN"/>
        </w:rPr>
        <w:t xml:space="preserve">                                                       </w:t>
      </w:r>
      <w:r>
        <w:rPr>
          <w:rFonts w:hint="eastAsia" w:ascii="MS UI Gothic" w:eastAsia="MS UI Gothic"/>
          <w:spacing w:val="-10"/>
        </w:rPr>
        <w:t xml:space="preserve"> </w:t>
      </w:r>
      <w:r>
        <w:rPr>
          <w:rFonts w:hint="eastAsia" w:ascii="MS UI Gothic" w:eastAsia="MS UI Gothic"/>
          <w:w w:val="75"/>
        </w:rPr>
        <w:t>９５</w:t>
      </w:r>
    </w:p>
    <w:p>
      <w:pPr>
        <w:pStyle w:val="6"/>
        <w:tabs>
          <w:tab w:val="left" w:pos="4741"/>
        </w:tabs>
        <w:spacing w:before="74" w:line="240" w:lineRule="exact"/>
        <w:ind w:firstLine="0"/>
        <w:jc w:val="left"/>
        <w:rPr>
          <w:rFonts w:hint="eastAsia" w:ascii="MS UI Gothic" w:eastAsia="MS UI Gothic"/>
        </w:rPr>
      </w:pPr>
      <w:r>
        <w:rPr>
          <w:spacing w:val="3"/>
          <w:w w:val="102"/>
        </w:rPr>
        <w:t>安全生产检测检验机构管理办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２００７</w:t>
      </w:r>
      <w:r>
        <w:rPr>
          <w:rFonts w:hint="eastAsia" w:ascii="MS UI Gothic" w:eastAsia="MS UI Gothic"/>
          <w:spacing w:val="-3"/>
        </w:rPr>
        <w:t xml:space="preserve"> </w:t>
      </w:r>
      <w:r>
        <w:rPr>
          <w:spacing w:val="3"/>
          <w:w w:val="102"/>
        </w:rPr>
        <w:t>年公布</w:t>
      </w:r>
      <w:r>
        <w:rPr>
          <w:rFonts w:hint="eastAsia"/>
          <w:color w:val="FF0000"/>
          <w:spacing w:val="3"/>
          <w:w w:val="102"/>
          <w:lang w:val="en-US" w:eastAsia="zh-CN"/>
        </w:rPr>
        <w:t>作废</w:t>
      </w:r>
      <w:r>
        <w:rPr>
          <w:rFonts w:hint="eastAsia" w:ascii="MS UI Gothic" w:eastAsia="MS UI Gothic"/>
          <w:w w:val="168"/>
        </w:rPr>
        <w:t>)</w:t>
      </w:r>
      <w:r>
        <w:rPr>
          <w:rFonts w:hint="eastAsia" w:ascii="MS UI Gothic" w:eastAsia="MS UI Gothic"/>
        </w:rPr>
        <w:tab/>
      </w:r>
      <w:r>
        <w:rPr>
          <w:rFonts w:hint="eastAsia" w:ascii="MS UI Gothic"/>
          <w:lang w:val="en-US" w:eastAsia="zh-CN"/>
        </w:rPr>
        <w:t xml:space="preserve">                               </w:t>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１００</w:t>
      </w:r>
    </w:p>
    <w:p>
      <w:pPr>
        <w:pStyle w:val="6"/>
        <w:tabs>
          <w:tab w:val="left" w:pos="5789"/>
        </w:tabs>
        <w:spacing w:before="75" w:line="240" w:lineRule="exact"/>
        <w:ind w:firstLine="0"/>
        <w:jc w:val="left"/>
        <w:rPr>
          <w:rFonts w:hint="eastAsia" w:ascii="MS UI Gothic" w:hAnsi="MS UI Gothic" w:eastAsia="MS UI Gothic"/>
        </w:rPr>
      </w:pPr>
      <w:r>
        <w:rPr>
          <w:spacing w:val="3"/>
          <w:w w:val="102"/>
        </w:rPr>
        <w:t>建设项目安全设</w:t>
      </w:r>
      <w:r>
        <w:rPr>
          <w:w w:val="102"/>
        </w:rPr>
        <w:t>施</w:t>
      </w:r>
      <w:r>
        <w:rPr>
          <w:spacing w:val="8"/>
        </w:rPr>
        <w:t xml:space="preserve"> </w:t>
      </w:r>
      <w:r>
        <w:rPr>
          <w:rFonts w:hint="eastAsia" w:ascii="MS UI Gothic" w:hAnsi="MS UI Gothic" w:eastAsia="MS UI Gothic"/>
          <w:w w:val="102"/>
        </w:rPr>
        <w:t>“</w:t>
      </w:r>
      <w:r>
        <w:rPr>
          <w:rFonts w:hint="eastAsia" w:ascii="MS UI Gothic" w:hAnsi="MS UI Gothic" w:eastAsia="MS UI Gothic"/>
          <w:spacing w:val="-40"/>
        </w:rPr>
        <w:t xml:space="preserve"> </w:t>
      </w:r>
      <w:r>
        <w:rPr>
          <w:spacing w:val="3"/>
          <w:w w:val="102"/>
        </w:rPr>
        <w:t>三同时</w:t>
      </w:r>
      <w:r>
        <w:rPr>
          <w:rFonts w:hint="eastAsia" w:ascii="MS UI Gothic" w:hAnsi="MS UI Gothic" w:eastAsia="MS UI Gothic"/>
          <w:w w:val="102"/>
        </w:rPr>
        <w:t>”</w:t>
      </w:r>
      <w:r>
        <w:rPr>
          <w:rFonts w:hint="eastAsia" w:ascii="MS UI Gothic" w:hAnsi="MS UI Gothic" w:eastAsia="MS UI Gothic"/>
        </w:rPr>
        <w:t xml:space="preserve"> </w:t>
      </w:r>
      <w:r>
        <w:rPr>
          <w:rFonts w:hint="eastAsia" w:ascii="MS UI Gothic" w:hAnsi="MS UI Gothic" w:eastAsia="MS UI Gothic"/>
          <w:spacing w:val="4"/>
        </w:rPr>
        <w:t xml:space="preserve"> </w:t>
      </w:r>
      <w:r>
        <w:rPr>
          <w:spacing w:val="3"/>
          <w:w w:val="102"/>
        </w:rPr>
        <w:t>监督管理办</w:t>
      </w:r>
      <w:r>
        <w:rPr>
          <w:w w:val="102"/>
        </w:rPr>
        <w:t>法</w:t>
      </w:r>
      <w:r>
        <w:rPr>
          <w:spacing w:val="8"/>
        </w:rPr>
        <w:t xml:space="preserve"> </w:t>
      </w:r>
      <w:r>
        <w:rPr>
          <w:rFonts w:hint="eastAsia" w:ascii="MS UI Gothic" w:hAnsi="MS UI Gothic" w:eastAsia="MS UI Gothic"/>
          <w:spacing w:val="15"/>
          <w:w w:val="168"/>
        </w:rPr>
        <w:t>(</w:t>
      </w:r>
      <w:r>
        <w:rPr>
          <w:rFonts w:hint="eastAsia" w:ascii="MS UI Gothic" w:hAnsi="MS UI Gothic" w:eastAsia="MS UI Gothic"/>
          <w:w w:val="75"/>
        </w:rPr>
        <w:t>２</w:t>
      </w:r>
      <w:r>
        <w:rPr>
          <w:rFonts w:hint="eastAsia" w:ascii="MS UI Gothic" w:hAnsi="MS UI Gothic" w:eastAsia="MS UI Gothic"/>
          <w:spacing w:val="-1"/>
          <w:w w:val="75"/>
        </w:rPr>
        <w:t>０</w:t>
      </w:r>
      <w:r>
        <w:rPr>
          <w:rFonts w:hint="eastAsia" w:ascii="MS UI Gothic" w:hAnsi="MS UI Gothic" w:eastAsia="MS UI Gothic"/>
          <w:w w:val="75"/>
        </w:rPr>
        <w:t>１５</w:t>
      </w:r>
      <w:r>
        <w:rPr>
          <w:rFonts w:hint="eastAsia" w:ascii="MS UI Gothic" w:hAnsi="MS UI Gothic" w:eastAsia="MS UI Gothic"/>
          <w:spacing w:val="-3"/>
        </w:rPr>
        <w:t xml:space="preserve"> </w:t>
      </w:r>
      <w:r>
        <w:rPr>
          <w:spacing w:val="3"/>
          <w:w w:val="102"/>
        </w:rPr>
        <w:t>年修订</w:t>
      </w:r>
      <w:r>
        <w:rPr>
          <w:rFonts w:hint="eastAsia" w:ascii="MS UI Gothic" w:hAnsi="MS UI Gothic" w:eastAsia="MS UI Gothic"/>
          <w:w w:val="168"/>
        </w:rPr>
        <w:t>)</w:t>
      </w:r>
      <w:r>
        <w:rPr>
          <w:rFonts w:hint="eastAsia" w:ascii="MS UI Gothic" w:hAnsi="MS UI Gothic" w:eastAsia="MS UI Gothic"/>
        </w:rPr>
        <w:tab/>
      </w:r>
      <w:r>
        <w:rPr>
          <w:rFonts w:hint="eastAsia" w:ascii="MS UI Gothic" w:hAnsi="MS UI Gothic"/>
          <w:lang w:val="en-US" w:eastAsia="zh-CN"/>
        </w:rPr>
        <w:t xml:space="preserve">                   </w:t>
      </w:r>
      <w:r>
        <w:rPr>
          <w:rFonts w:hint="eastAsia" w:ascii="MS UI Gothic" w:hAnsi="MS UI Gothic" w:eastAsia="MS UI Gothic"/>
        </w:rPr>
        <w:t xml:space="preserve"> </w:t>
      </w:r>
      <w:r>
        <w:rPr>
          <w:rFonts w:hint="eastAsia" w:ascii="MS UI Gothic" w:hAnsi="MS UI Gothic" w:eastAsia="MS UI Gothic"/>
          <w:spacing w:val="-20"/>
        </w:rPr>
        <w:t xml:space="preserve"> </w:t>
      </w:r>
      <w:r>
        <w:rPr>
          <w:rFonts w:hint="eastAsia" w:ascii="MS UI Gothic" w:hAnsi="MS UI Gothic" w:eastAsia="MS UI Gothic"/>
          <w:w w:val="75"/>
        </w:rPr>
        <w:t>１０５</w:t>
      </w:r>
    </w:p>
    <w:p>
      <w:pPr>
        <w:pStyle w:val="6"/>
        <w:tabs>
          <w:tab w:val="left" w:pos="3903"/>
        </w:tabs>
        <w:spacing w:before="74" w:line="240" w:lineRule="exact"/>
        <w:ind w:firstLine="0"/>
        <w:jc w:val="left"/>
        <w:rPr>
          <w:rFonts w:hint="eastAsia" w:ascii="MS UI Gothic" w:eastAsia="MS UI Gothic"/>
        </w:rPr>
      </w:pPr>
      <w:r>
        <w:rPr>
          <w:spacing w:val="3"/>
          <w:w w:val="102"/>
        </w:rPr>
        <w:t>安全生产培训管理办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５</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１１０</w:t>
      </w:r>
    </w:p>
    <w:p>
      <w:pPr>
        <w:pStyle w:val="6"/>
        <w:tabs>
          <w:tab w:val="left" w:pos="3064"/>
        </w:tabs>
        <w:spacing w:before="74" w:line="240" w:lineRule="exact"/>
        <w:ind w:firstLine="0"/>
        <w:jc w:val="left"/>
        <w:rPr>
          <w:rFonts w:hint="eastAsia" w:ascii="MS UI Gothic" w:eastAsia="MS UI Gothic"/>
        </w:rPr>
      </w:pPr>
      <w:r>
        <w:rPr>
          <w:spacing w:val="3"/>
          <w:w w:val="102"/>
        </w:rPr>
        <w:t>工伤认定办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１０</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spacing w:val="-20"/>
          <w:lang w:val="en-US" w:eastAsia="zh-CN"/>
        </w:rPr>
        <w:t xml:space="preserve">                                                                                               </w:t>
      </w:r>
      <w:r>
        <w:rPr>
          <w:rFonts w:hint="eastAsia" w:ascii="MS UI Gothic" w:eastAsia="MS UI Gothic"/>
          <w:w w:val="75"/>
        </w:rPr>
        <w:t>１１５</w:t>
      </w:r>
    </w:p>
    <w:p>
      <w:pPr>
        <w:pStyle w:val="6"/>
        <w:tabs>
          <w:tab w:val="left" w:pos="5370"/>
        </w:tabs>
        <w:spacing w:before="75" w:line="240" w:lineRule="exact"/>
        <w:ind w:firstLine="0"/>
        <w:jc w:val="left"/>
        <w:rPr>
          <w:rFonts w:hint="eastAsia" w:ascii="MS UI Gothic" w:eastAsia="MS UI Gothic"/>
        </w:rPr>
      </w:pPr>
      <w:r>
        <w:rPr>
          <w:spacing w:val="3"/>
          <w:w w:val="102"/>
        </w:rPr>
        <w:t>非法用工单位伤亡人员一次性赔偿办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２０１０</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１１７</w:t>
      </w:r>
    </w:p>
    <w:p>
      <w:pPr>
        <w:pStyle w:val="6"/>
        <w:tabs>
          <w:tab w:val="left" w:pos="5999"/>
        </w:tabs>
        <w:spacing w:before="74" w:line="240" w:lineRule="exact"/>
        <w:ind w:firstLine="0"/>
        <w:jc w:val="left"/>
        <w:rPr>
          <w:rFonts w:hint="eastAsia" w:ascii="MS UI Gothic" w:eastAsia="MS UI Gothic"/>
        </w:rPr>
      </w:pPr>
      <w:r>
        <w:rPr>
          <w:spacing w:val="3"/>
          <w:w w:val="102"/>
        </w:rPr>
        <w:t>安全生产领域违法违纪行为政纪处分暂行规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０６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lang w:val="en-US" w:eastAsia="zh-CN"/>
        </w:rPr>
        <w:t xml:space="preserve">                </w:t>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１１９</w:t>
      </w:r>
    </w:p>
    <w:p>
      <w:pPr>
        <w:pStyle w:val="6"/>
        <w:tabs>
          <w:tab w:val="left" w:pos="4741"/>
        </w:tabs>
        <w:spacing w:before="74" w:line="240" w:lineRule="exact"/>
        <w:ind w:firstLine="0"/>
        <w:jc w:val="left"/>
        <w:rPr>
          <w:rFonts w:hint="eastAsia" w:ascii="MS UI Gothic" w:eastAsia="MS UI Gothic"/>
        </w:rPr>
      </w:pPr>
      <w:r>
        <w:rPr>
          <w:spacing w:val="3"/>
          <w:w w:val="102"/>
        </w:rPr>
        <w:t>安全生产监督罚款管理暂行办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２００４</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１２２</w:t>
      </w:r>
    </w:p>
    <w:p>
      <w:pPr>
        <w:pStyle w:val="6"/>
        <w:tabs>
          <w:tab w:val="left" w:pos="5160"/>
        </w:tabs>
        <w:spacing w:before="75" w:line="240" w:lineRule="exact"/>
        <w:ind w:firstLine="0"/>
        <w:jc w:val="left"/>
        <w:rPr>
          <w:rFonts w:hint="eastAsia" w:ascii="MS UI Gothic" w:eastAsia="MS UI Gothic"/>
        </w:rPr>
      </w:pPr>
      <w:r>
        <w:rPr>
          <w:spacing w:val="3"/>
          <w:w w:val="102"/>
        </w:rPr>
        <w:t>生产安全事故罚款处罚规</w:t>
      </w:r>
      <w:r>
        <w:rPr>
          <w:w w:val="102"/>
        </w:rPr>
        <w:t>定</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试行</w:t>
      </w:r>
      <w:r>
        <w:rPr>
          <w:rFonts w:hint="eastAsia" w:ascii="MS UI Gothic" w:eastAsia="MS UI Gothic"/>
          <w:w w:val="168"/>
        </w:rPr>
        <w:t>)</w:t>
      </w:r>
      <w:r>
        <w:rPr>
          <w:rFonts w:hint="eastAsia" w:ascii="MS UI Gothic" w:eastAsia="MS UI Gothic"/>
        </w:rPr>
        <w:t xml:space="preserve"> </w:t>
      </w:r>
      <w:r>
        <w:rPr>
          <w:rFonts w:hint="eastAsia" w:ascii="MS UI Gothic" w:eastAsia="MS UI Gothic"/>
          <w:spacing w:val="4"/>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spacing w:val="-20"/>
          <w:lang w:val="en-US" w:eastAsia="zh-CN"/>
        </w:rPr>
        <w:t xml:space="preserve">                                            </w:t>
      </w:r>
      <w:r>
        <w:rPr>
          <w:rFonts w:hint="eastAsia" w:ascii="MS UI Gothic" w:eastAsia="MS UI Gothic"/>
          <w:w w:val="75"/>
        </w:rPr>
        <w:t>１２３</w:t>
      </w:r>
    </w:p>
    <w:p>
      <w:pPr>
        <w:pStyle w:val="6"/>
        <w:tabs>
          <w:tab w:val="left" w:pos="4741"/>
        </w:tabs>
        <w:spacing w:before="74" w:line="240" w:lineRule="exact"/>
        <w:ind w:firstLine="0"/>
        <w:jc w:val="left"/>
        <w:rPr>
          <w:rFonts w:hint="eastAsia" w:ascii="MS UI Gothic" w:eastAsia="MS UI Gothic"/>
        </w:rPr>
      </w:pPr>
      <w:r>
        <w:rPr>
          <w:spacing w:val="3"/>
          <w:w w:val="102"/>
        </w:rPr>
        <w:t>安全生产违法行为行政处罚办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２００７</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１２７</w:t>
      </w:r>
    </w:p>
    <w:p>
      <w:pPr>
        <w:pStyle w:val="6"/>
        <w:tabs>
          <w:tab w:val="left" w:pos="5999"/>
        </w:tabs>
        <w:spacing w:before="74" w:line="240" w:lineRule="exact"/>
        <w:ind w:firstLine="0"/>
        <w:jc w:val="left"/>
        <w:rPr>
          <w:rFonts w:hint="eastAsia" w:ascii="MS UI Gothic" w:eastAsia="MS UI Gothic"/>
        </w:rPr>
      </w:pPr>
      <w:r>
        <w:rPr>
          <w:spacing w:val="3"/>
          <w:w w:val="102"/>
        </w:rPr>
        <w:t>安全生产行政处罚自由裁量适用规</w:t>
      </w:r>
      <w:r>
        <w:rPr>
          <w:w w:val="102"/>
        </w:rPr>
        <w:t>则</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试行</w:t>
      </w:r>
      <w:r>
        <w:rPr>
          <w:rFonts w:hint="eastAsia" w:ascii="MS UI Gothic" w:eastAsia="MS UI Gothic"/>
          <w:w w:val="168"/>
        </w:rPr>
        <w:t>)</w:t>
      </w:r>
      <w:r>
        <w:rPr>
          <w:rFonts w:hint="eastAsia" w:ascii="MS UI Gothic" w:eastAsia="MS UI Gothic"/>
        </w:rPr>
        <w:t xml:space="preserve"> </w:t>
      </w:r>
      <w:r>
        <w:rPr>
          <w:rFonts w:hint="eastAsia" w:ascii="MS UI Gothic" w:eastAsia="MS UI Gothic"/>
          <w:spacing w:val="4"/>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０１０</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１３６</w:t>
      </w:r>
    </w:p>
    <w:p>
      <w:pPr>
        <w:pStyle w:val="6"/>
        <w:tabs>
          <w:tab w:val="left" w:pos="6837"/>
        </w:tabs>
        <w:spacing w:before="75" w:line="240" w:lineRule="exact"/>
        <w:ind w:firstLine="0"/>
        <w:jc w:val="left"/>
        <w:rPr>
          <w:rFonts w:hint="eastAsia" w:ascii="MS UI Gothic" w:eastAsia="MS UI Gothic"/>
        </w:rPr>
      </w:pPr>
      <w:r>
        <w:rPr>
          <w:spacing w:val="3"/>
          <w:w w:val="102"/>
        </w:rPr>
        <w:t>安全生产监管监察职责和行政执法责任追究的暂行规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lang w:val="en-US" w:eastAsia="zh-CN"/>
        </w:rPr>
        <w:t xml:space="preserve">  </w:t>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１４０</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4"/>
        <w:ind w:firstLine="0"/>
        <w:jc w:val="left"/>
        <w:rPr>
          <w:rFonts w:hint="eastAsia" w:ascii="MS UI Gothic" w:eastAsia="MS UI Gothic"/>
        </w:rPr>
      </w:pPr>
      <w:r>
        <w:rPr>
          <w:spacing w:val="2"/>
          <w:w w:val="102"/>
        </w:rPr>
        <w:t>安全生产监管监察部门信息公开办法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中央企业安全生产监督管理暂行办法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２００８</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firstLine="0"/>
        <w:jc w:val="left"/>
        <w:rPr>
          <w:rFonts w:hint="eastAsia" w:ascii="MS UI Gothic" w:eastAsia="MS UI Gothic"/>
        </w:rPr>
      </w:pPr>
      <w:r>
        <w:br w:type="column"/>
      </w:r>
    </w:p>
    <w:p>
      <w:pPr>
        <w:pStyle w:val="6"/>
        <w:spacing w:before="58" w:line="240" w:lineRule="exact"/>
        <w:ind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１４９</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１５３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943" w:space="93"/>
            <w:col w:w="2637" w:space="40"/>
            <w:col w:w="827"/>
          </w:cols>
        </w:sectPr>
      </w:pPr>
    </w:p>
    <w:p>
      <w:pPr>
        <w:pStyle w:val="6"/>
        <w:tabs>
          <w:tab w:val="left" w:pos="4322"/>
        </w:tabs>
        <w:spacing w:before="74" w:line="240" w:lineRule="exact"/>
        <w:ind w:firstLine="0"/>
        <w:jc w:val="left"/>
        <w:rPr>
          <w:rFonts w:hint="eastAsia" w:ascii="MS UI Gothic" w:eastAsia="MS UI Gothic"/>
        </w:rPr>
      </w:pPr>
      <w:r>
        <w:rPr>
          <w:spacing w:val="3"/>
          <w:w w:val="102"/>
        </w:rPr>
        <w:t>中央企业应急管理暂行办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２０１３</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１６８</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5370"/>
        </w:tabs>
        <w:spacing w:before="75" w:line="240" w:lineRule="exact"/>
        <w:ind w:firstLine="0"/>
        <w:jc w:val="left"/>
        <w:rPr>
          <w:rFonts w:hint="eastAsia" w:ascii="MS UI Gothic" w:eastAsia="MS UI Gothic"/>
        </w:rPr>
      </w:pPr>
      <w:r>
        <w:rPr>
          <w:spacing w:val="3"/>
          <w:w w:val="102"/>
        </w:rPr>
        <w:t>冶金企业和有色金属企业安全生产规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p>
    <w:p>
      <w:pPr>
        <w:spacing w:before="75"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１７３</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6208"/>
        </w:tabs>
        <w:spacing w:before="74" w:line="240" w:lineRule="exact"/>
        <w:ind w:firstLine="0"/>
        <w:jc w:val="left"/>
        <w:rPr>
          <w:rFonts w:hint="eastAsia" w:ascii="MS UI Gothic" w:eastAsia="MS UI Gothic"/>
        </w:rPr>
      </w:pPr>
      <w:r>
        <w:rPr>
          <w:spacing w:val="3"/>
          <w:w w:val="102"/>
        </w:rPr>
        <w:t>工贸企业有限空间作业安全管理与监督暂行规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１７８</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3903"/>
        </w:tabs>
        <w:spacing w:before="74" w:line="240" w:lineRule="exact"/>
        <w:ind w:firstLine="0"/>
        <w:jc w:val="left"/>
        <w:rPr>
          <w:rFonts w:hint="eastAsia" w:ascii="MS UI Gothic" w:eastAsia="MS UI Gothic"/>
        </w:rPr>
      </w:pPr>
      <w:r>
        <w:rPr>
          <w:spacing w:val="3"/>
          <w:w w:val="102"/>
        </w:rPr>
        <w:t>海洋石油安全管理细</w:t>
      </w:r>
      <w:r>
        <w:rPr>
          <w:w w:val="102"/>
        </w:rPr>
        <w:t>则</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３</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１８１</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3484"/>
        </w:tabs>
        <w:spacing w:before="75" w:line="240" w:lineRule="exact"/>
        <w:ind w:firstLine="0"/>
        <w:jc w:val="left"/>
        <w:rPr>
          <w:rFonts w:hint="eastAsia" w:ascii="MS UI Gothic" w:eastAsia="MS UI Gothic"/>
        </w:rPr>
      </w:pPr>
      <w:r>
        <w:rPr>
          <w:spacing w:val="3"/>
          <w:w w:val="102"/>
        </w:rPr>
        <w:t>气瓶安全监察规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２００３</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p>
    <w:p>
      <w:pPr>
        <w:spacing w:before="75"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２０２</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4322"/>
        </w:tabs>
        <w:spacing w:before="74" w:line="240" w:lineRule="exact"/>
        <w:ind w:firstLine="0"/>
        <w:jc w:val="left"/>
        <w:rPr>
          <w:rFonts w:hint="eastAsia" w:ascii="MS UI Gothic" w:eastAsia="MS UI Gothic"/>
        </w:rPr>
      </w:pPr>
      <w:r>
        <w:rPr>
          <w:spacing w:val="3"/>
          <w:w w:val="102"/>
        </w:rPr>
        <w:t>中华人民共和国矿产资源</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２００９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２０８</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3903"/>
        </w:tabs>
        <w:spacing w:before="74" w:line="240" w:lineRule="exact"/>
        <w:ind w:firstLine="0"/>
        <w:jc w:val="left"/>
        <w:rPr>
          <w:rFonts w:hint="eastAsia" w:ascii="MS UI Gothic" w:eastAsia="MS UI Gothic"/>
        </w:rPr>
      </w:pPr>
      <w:r>
        <w:rPr>
          <w:spacing w:val="3"/>
          <w:w w:val="102"/>
        </w:rPr>
        <w:t>中华人民共和国煤炭</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６</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２１３</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3484"/>
        </w:tabs>
        <w:spacing w:before="75" w:line="240" w:lineRule="exact"/>
        <w:ind w:firstLine="0"/>
        <w:jc w:val="left"/>
        <w:rPr>
          <w:rFonts w:hint="eastAsia" w:ascii="MS UI Gothic" w:eastAsia="MS UI Gothic"/>
        </w:rPr>
      </w:pPr>
      <w:r>
        <w:rPr>
          <w:spacing w:val="3"/>
          <w:w w:val="102"/>
        </w:rPr>
        <w:t>煤矿安全监察条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２０１３</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p>
    <w:p>
      <w:pPr>
        <w:spacing w:before="75"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２１８</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5999"/>
        </w:tabs>
        <w:spacing w:before="74" w:line="240" w:lineRule="exact"/>
        <w:ind w:firstLine="0"/>
        <w:jc w:val="left"/>
        <w:rPr>
          <w:rFonts w:hint="eastAsia" w:ascii="MS UI Gothic" w:eastAsia="MS UI Gothic"/>
        </w:rPr>
      </w:pPr>
      <w:r>
        <w:rPr>
          <w:spacing w:val="3"/>
          <w:w w:val="102"/>
        </w:rPr>
        <w:t>国务院关于预防煤矿生产安全事故的特别规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１３</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２２３</w:t>
      </w:r>
    </w:p>
    <w:p>
      <w:pPr>
        <w:pStyle w:val="6"/>
        <w:spacing w:before="74" w:line="240" w:lineRule="exact"/>
        <w:ind w:firstLine="0"/>
        <w:jc w:val="left"/>
        <w:rPr>
          <w:rFonts w:hint="eastAsia" w:ascii="MS UI Gothic" w:eastAsia="MS UI Gothic"/>
        </w:rPr>
      </w:pPr>
      <w:r>
        <w:rPr>
          <w:spacing w:val="3"/>
        </w:rPr>
        <w:t>煤矿安全规章</w:t>
      </w:r>
      <w:r>
        <w:rPr>
          <w:rFonts w:hint="eastAsia" w:ascii="MS UI Gothic" w:eastAsia="MS UI Gothic"/>
          <w:spacing w:val="188"/>
          <w:w w:val="320"/>
        </w:rPr>
        <w:t xml:space="preserve"> </w:t>
      </w:r>
      <w:r>
        <w:rPr>
          <w:rFonts w:hint="eastAsia" w:ascii="MS UI Gothic" w:eastAsia="MS UI Gothic"/>
        </w:rPr>
        <w:t>２２７</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5"/>
        <w:ind w:firstLine="0"/>
        <w:jc w:val="left"/>
        <w:rPr>
          <w:rFonts w:hint="eastAsia" w:ascii="MS UI Gothic" w:eastAsia="MS UI Gothic"/>
        </w:rPr>
      </w:pPr>
      <w:r>
        <w:rPr>
          <w:spacing w:val="2"/>
          <w:w w:val="102"/>
        </w:rPr>
        <w:t>煤矿建设项目安全设施监察规定</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煤矿企业安全生产许可证实施办法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5"/>
        <w:ind w:left="8" w:firstLine="0"/>
        <w:jc w:val="left"/>
        <w:rPr>
          <w:rFonts w:hint="eastAsia" w:ascii="MS UI Gothic" w:eastAsia="MS UI Gothic"/>
        </w:rPr>
      </w:pPr>
      <w:r>
        <w:br w:type="column"/>
      </w:r>
    </w:p>
    <w:p>
      <w:pPr>
        <w:pStyle w:val="6"/>
        <w:spacing w:before="58" w:line="240" w:lineRule="exact"/>
        <w:ind w:left="218" w:firstLine="0"/>
        <w:jc w:val="left"/>
        <w:rPr>
          <w:rFonts w:hint="eastAsia" w:ascii="MS UI Gothic" w:eastAsia="MS UI Gothic"/>
        </w:rPr>
      </w:pPr>
    </w:p>
    <w:p>
      <w:pPr>
        <w:spacing w:before="75"/>
        <w:ind w:left="62" w:right="0" w:firstLine="0"/>
        <w:jc w:val="left"/>
        <w:rPr>
          <w:rFonts w:hint="eastAsia" w:ascii="MS UI Gothic" w:eastAsia="MS UI Gothic"/>
          <w:sz w:val="20"/>
        </w:rPr>
      </w:pPr>
      <w:r>
        <w:br w:type="column"/>
      </w:r>
      <w:r>
        <w:rPr>
          <w:rFonts w:hint="eastAsia" w:ascii="MS UI Gothic" w:eastAsia="MS UI Gothic"/>
          <w:w w:val="85"/>
          <w:sz w:val="20"/>
        </w:rPr>
        <w:t>２２７</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２３０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694" w:space="40"/>
            <w:col w:w="2939" w:space="39"/>
            <w:col w:w="828"/>
          </w:cols>
        </w:sectPr>
      </w:pPr>
    </w:p>
    <w:p>
      <w:pPr>
        <w:pStyle w:val="6"/>
        <w:tabs>
          <w:tab w:val="left" w:pos="2645"/>
        </w:tabs>
        <w:spacing w:before="74" w:line="240" w:lineRule="exact"/>
        <w:ind w:firstLine="0"/>
        <w:jc w:val="left"/>
        <w:rPr>
          <w:rFonts w:hint="eastAsia" w:ascii="MS UI Gothic" w:eastAsia="MS UI Gothic"/>
        </w:rPr>
      </w:pPr>
      <w:r>
        <w:rPr>
          <w:spacing w:val="3"/>
          <w:w w:val="102"/>
        </w:rPr>
        <w:t>煤矿安全规</w:t>
      </w:r>
      <w:r>
        <w:rPr>
          <w:w w:val="102"/>
        </w:rPr>
        <w:t>程</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１６</w:t>
      </w:r>
      <w:r>
        <w:rPr>
          <w:rFonts w:hint="eastAsia" w:ascii="MS UI Gothic" w:eastAsia="MS UI Gothic"/>
          <w:spacing w:val="-3"/>
        </w:rPr>
        <w:t xml:space="preserve"> </w:t>
      </w:r>
      <w:r>
        <w:rPr>
          <w:spacing w:val="3"/>
          <w:w w:val="102"/>
        </w:rPr>
        <w:t>版</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２３８</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4951"/>
        </w:tabs>
        <w:spacing w:before="74" w:line="240" w:lineRule="exact"/>
        <w:ind w:firstLine="0"/>
        <w:jc w:val="left"/>
        <w:rPr>
          <w:rFonts w:hint="eastAsia" w:ascii="MS UI Gothic" w:eastAsia="MS UI Gothic"/>
        </w:rPr>
      </w:pPr>
      <w:r>
        <w:rPr>
          <w:spacing w:val="3"/>
          <w:w w:val="102"/>
        </w:rPr>
        <w:t>煤层气地面开采安全规</w:t>
      </w:r>
      <w:r>
        <w:rPr>
          <w:w w:val="102"/>
        </w:rPr>
        <w:t>程</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试行</w:t>
      </w:r>
      <w:r>
        <w:rPr>
          <w:rFonts w:hint="eastAsia" w:ascii="MS UI Gothic" w:eastAsia="MS UI Gothic"/>
          <w:w w:val="168"/>
        </w:rPr>
        <w:t>)</w:t>
      </w:r>
      <w:r>
        <w:rPr>
          <w:rFonts w:hint="eastAsia" w:ascii="MS UI Gothic" w:eastAsia="MS UI Gothic"/>
        </w:rPr>
        <w:t xml:space="preserve"> </w:t>
      </w:r>
      <w:r>
        <w:rPr>
          <w:rFonts w:hint="eastAsia" w:ascii="MS UI Gothic" w:eastAsia="MS UI Gothic"/>
          <w:spacing w:val="4"/>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３５３</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3064"/>
        </w:tabs>
        <w:spacing w:before="75" w:line="240" w:lineRule="exact"/>
        <w:ind w:firstLine="0"/>
        <w:jc w:val="left"/>
        <w:rPr>
          <w:rFonts w:hint="eastAsia" w:ascii="MS UI Gothic" w:eastAsia="MS UI Gothic"/>
        </w:rPr>
      </w:pPr>
      <w:r>
        <w:rPr>
          <w:spacing w:val="3"/>
          <w:w w:val="102"/>
        </w:rPr>
        <w:t>煤矿安全培训规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版</w:t>
      </w:r>
      <w:r>
        <w:rPr>
          <w:rFonts w:hint="eastAsia" w:ascii="MS UI Gothic" w:eastAsia="MS UI Gothic"/>
          <w:w w:val="168"/>
        </w:rPr>
        <w:t>)</w:t>
      </w:r>
      <w:r>
        <w:rPr>
          <w:rFonts w:hint="eastAsia" w:ascii="MS UI Gothic" w:eastAsia="MS UI Gothic"/>
        </w:rPr>
        <w:tab/>
      </w:r>
    </w:p>
    <w:p>
      <w:pPr>
        <w:spacing w:before="75"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３７２</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5370"/>
        </w:tabs>
        <w:spacing w:before="74" w:line="240" w:lineRule="exact"/>
        <w:ind w:firstLine="0"/>
        <w:jc w:val="left"/>
        <w:rPr>
          <w:rFonts w:hint="eastAsia" w:ascii="MS UI Gothic" w:eastAsia="MS UI Gothic"/>
        </w:rPr>
      </w:pPr>
      <w:r>
        <w:rPr>
          <w:spacing w:val="3"/>
          <w:w w:val="102"/>
        </w:rPr>
        <w:t>煤矿领导带班下井及安全监督检查规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２０１０</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３７８</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spacing w:before="74"/>
        <w:ind w:firstLine="0"/>
        <w:jc w:val="left"/>
        <w:rPr>
          <w:rFonts w:hint="eastAsia" w:ascii="MS UI Gothic" w:eastAsia="MS UI Gothic"/>
        </w:rPr>
      </w:pPr>
      <w:r>
        <w:rPr>
          <w:spacing w:val="2"/>
          <w:w w:val="102"/>
        </w:rPr>
        <w:t>煤矿安全监察行政处罚办法</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9"/>
        <w:ind w:firstLine="0"/>
        <w:jc w:val="left"/>
        <w:rPr>
          <w:rFonts w:hint="eastAsia" w:ascii="MS UI Gothic" w:eastAsia="MS UI Gothic"/>
        </w:rPr>
      </w:pPr>
      <w:r>
        <w:rPr>
          <w:spacing w:val="2"/>
          <w:w w:val="102"/>
        </w:rPr>
        <w:t>煤矿安全监察罚款管理办法</w:t>
      </w:r>
      <w:r>
        <w:rPr>
          <w:spacing w:val="8"/>
        </w:rPr>
        <w:t xml:space="preserve"> </w:t>
      </w:r>
      <w:r>
        <w:rPr>
          <w:rFonts w:hint="eastAsia" w:ascii="MS UI Gothic" w:eastAsia="MS UI Gothic"/>
          <w:spacing w:val="15"/>
          <w:w w:val="168"/>
        </w:rPr>
        <w:t>(</w:t>
      </w:r>
      <w:r>
        <w:rPr>
          <w:rFonts w:hint="eastAsia" w:ascii="MS UI Gothic" w:eastAsia="MS UI Gothic"/>
          <w:w w:val="75"/>
        </w:rPr>
        <w:t>２００３</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中华人民共和国矿山安全法</w:t>
      </w:r>
      <w:r>
        <w:rPr>
          <w:spacing w:val="8"/>
        </w:rPr>
        <w:t xml:space="preserve"> </w:t>
      </w:r>
      <w:r>
        <w:rPr>
          <w:rFonts w:hint="eastAsia" w:ascii="MS UI Gothic" w:eastAsia="MS UI Gothic"/>
          <w:spacing w:val="15"/>
          <w:w w:val="168"/>
        </w:rPr>
        <w:t>(</w:t>
      </w:r>
      <w:r>
        <w:rPr>
          <w:rFonts w:hint="eastAsia" w:ascii="MS UI Gothic" w:eastAsia="MS UI Gothic"/>
          <w:w w:val="75"/>
        </w:rPr>
        <w:t>２００９</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4"/>
        <w:ind w:firstLine="0"/>
        <w:jc w:val="left"/>
        <w:rPr>
          <w:rFonts w:hint="eastAsia" w:ascii="MS UI Gothic" w:eastAsia="MS UI Gothic"/>
        </w:rPr>
      </w:pPr>
      <w:r>
        <w:br w:type="column"/>
      </w:r>
    </w:p>
    <w:p>
      <w:pPr>
        <w:pStyle w:val="6"/>
        <w:spacing w:before="59"/>
        <w:ind w:firstLine="0"/>
        <w:jc w:val="left"/>
        <w:rPr>
          <w:rFonts w:hint="eastAsia" w:ascii="MS UI Gothic" w:eastAsia="MS UI Gothic"/>
        </w:rPr>
      </w:pPr>
    </w:p>
    <w:p>
      <w:pPr>
        <w:pStyle w:val="6"/>
        <w:spacing w:before="58" w:line="240" w:lineRule="exact"/>
        <w:ind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３８１</w:t>
      </w:r>
    </w:p>
    <w:p>
      <w:pPr>
        <w:pStyle w:val="6"/>
        <w:spacing w:before="59"/>
        <w:ind w:left="62" w:firstLine="0"/>
        <w:jc w:val="left"/>
        <w:rPr>
          <w:rFonts w:hint="eastAsia" w:ascii="MS UI Gothic" w:eastAsia="MS UI Gothic"/>
        </w:rPr>
      </w:pPr>
      <w:r>
        <w:rPr>
          <w:rFonts w:hint="eastAsia" w:ascii="MS UI Gothic" w:eastAsia="MS UI Gothic"/>
          <w:w w:val="85"/>
        </w:rPr>
        <w:t>３８４</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３８５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105" w:space="93"/>
            <w:col w:w="3475" w:space="39"/>
            <w:col w:w="828"/>
          </w:cols>
        </w:sectPr>
      </w:pPr>
    </w:p>
    <w:p>
      <w:pPr>
        <w:pStyle w:val="6"/>
        <w:tabs>
          <w:tab w:val="left" w:pos="5160"/>
        </w:tabs>
        <w:spacing w:before="74" w:line="240" w:lineRule="exact"/>
        <w:ind w:firstLine="0"/>
        <w:jc w:val="left"/>
        <w:rPr>
          <w:rFonts w:hint="eastAsia" w:ascii="MS UI Gothic" w:eastAsia="MS UI Gothic"/>
        </w:rPr>
      </w:pPr>
      <w:r>
        <w:rPr>
          <w:spacing w:val="3"/>
          <w:w w:val="102"/>
        </w:rPr>
        <w:t>中华人民共和国矿山安全法实施条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spacing w:val="-1"/>
          <w:w w:val="75"/>
        </w:rPr>
        <w:t>１</w:t>
      </w:r>
      <w:r>
        <w:rPr>
          <w:rFonts w:hint="eastAsia" w:ascii="MS UI Gothic" w:eastAsia="MS UI Gothic"/>
          <w:w w:val="75"/>
        </w:rPr>
        <w:t>９９６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３８９</w:t>
      </w:r>
    </w:p>
    <w:p>
      <w:pPr>
        <w:pStyle w:val="6"/>
        <w:spacing w:before="74" w:line="240" w:lineRule="exact"/>
        <w:ind w:firstLine="0"/>
        <w:jc w:val="left"/>
        <w:rPr>
          <w:rFonts w:hint="eastAsia" w:ascii="MS UI Gothic" w:eastAsia="MS UI Gothic"/>
        </w:rPr>
      </w:pPr>
      <w:r>
        <w:rPr>
          <w:spacing w:val="3"/>
        </w:rPr>
        <w:t>非煤矿山安全规章</w:t>
      </w:r>
      <w:r>
        <w:rPr>
          <w:rFonts w:hint="eastAsia" w:ascii="MS UI Gothic" w:eastAsia="MS UI Gothic"/>
          <w:spacing w:val="176"/>
          <w:w w:val="320"/>
        </w:rPr>
        <w:t xml:space="preserve"> </w:t>
      </w:r>
      <w:r>
        <w:rPr>
          <w:rFonts w:hint="eastAsia" w:ascii="MS UI Gothic" w:eastAsia="MS UI Gothic"/>
        </w:rPr>
        <w:t>３９７</w:t>
      </w:r>
    </w:p>
    <w:p>
      <w:pPr>
        <w:pStyle w:val="6"/>
        <w:tabs>
          <w:tab w:val="left" w:pos="4112"/>
        </w:tabs>
        <w:spacing w:before="75" w:line="240" w:lineRule="exact"/>
        <w:ind w:firstLine="0"/>
        <w:jc w:val="left"/>
        <w:rPr>
          <w:rFonts w:hint="eastAsia" w:ascii="MS UI Gothic" w:eastAsia="MS UI Gothic"/>
        </w:rPr>
      </w:pPr>
      <w:r>
        <w:rPr>
          <w:spacing w:val="3"/>
          <w:w w:val="102"/>
        </w:rPr>
        <w:t>尾矿库安全监督管理规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１１</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３９７</w:t>
      </w:r>
    </w:p>
    <w:p>
      <w:pPr>
        <w:pStyle w:val="6"/>
        <w:tabs>
          <w:tab w:val="left" w:pos="5579"/>
        </w:tabs>
        <w:spacing w:before="74" w:line="240" w:lineRule="exact"/>
        <w:ind w:firstLine="0"/>
        <w:jc w:val="left"/>
        <w:rPr>
          <w:rFonts w:hint="eastAsia" w:ascii="MS UI Gothic" w:eastAsia="MS UI Gothic"/>
        </w:rPr>
      </w:pPr>
      <w:r>
        <w:rPr>
          <w:spacing w:val="3"/>
          <w:w w:val="102"/>
        </w:rPr>
        <w:t>非煤矿矿山企业安全生产许可证实施办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lang w:val="en-US" w:eastAsia="zh-CN"/>
        </w:rPr>
        <w:t xml:space="preserve">                                   </w:t>
      </w:r>
      <w:r>
        <w:rPr>
          <w:rFonts w:hint="eastAsia" w:ascii="MS UI Gothic" w:eastAsia="MS UI Gothic"/>
          <w:spacing w:val="-20"/>
        </w:rPr>
        <w:t xml:space="preserve"> </w:t>
      </w:r>
      <w:r>
        <w:rPr>
          <w:rFonts w:hint="eastAsia" w:ascii="MS UI Gothic" w:eastAsia="MS UI Gothic"/>
          <w:w w:val="75"/>
        </w:rPr>
        <w:t>４０２</w:t>
      </w:r>
    </w:p>
    <w:p>
      <w:pPr>
        <w:pStyle w:val="6"/>
        <w:tabs>
          <w:tab w:val="left" w:pos="5160"/>
        </w:tabs>
        <w:spacing w:before="74"/>
        <w:ind w:firstLine="0"/>
        <w:jc w:val="left"/>
        <w:rPr>
          <w:rFonts w:hint="eastAsia" w:ascii="MS UI Gothic" w:eastAsia="MS UI Gothic"/>
        </w:rPr>
      </w:pPr>
      <w:r>
        <w:rPr>
          <w:spacing w:val="3"/>
          <w:w w:val="102"/>
        </w:rPr>
        <w:t>非煤矿山外包工程安全管理暂行办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０１３</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spacing w:val="-20"/>
          <w:lang w:val="en-US" w:eastAsia="zh-CN"/>
        </w:rPr>
        <w:t xml:space="preserve">                                                              </w:t>
      </w:r>
      <w:r>
        <w:rPr>
          <w:rFonts w:hint="eastAsia" w:ascii="MS UI Gothic" w:eastAsia="MS UI Gothic"/>
          <w:w w:val="75"/>
        </w:rPr>
        <w:t>４０９</w:t>
      </w:r>
    </w:p>
    <w:p>
      <w:pPr>
        <w:spacing w:after="0"/>
        <w:jc w:val="left"/>
        <w:rPr>
          <w:rFonts w:hint="eastAsia" w:ascii="MS UI Gothic" w:eastAsia="MS UI Gothic"/>
        </w:rPr>
        <w:sectPr>
          <w:type w:val="continuous"/>
          <w:pgSz w:w="10500" w:h="14750"/>
          <w:pgMar w:top="1400" w:right="980" w:bottom="280" w:left="980" w:header="720" w:footer="720" w:gutter="0"/>
        </w:sectPr>
      </w:pPr>
    </w:p>
    <w:p>
      <w:pPr>
        <w:tabs>
          <w:tab w:val="left" w:pos="4692"/>
          <w:tab w:val="left" w:pos="7617"/>
        </w:tabs>
        <w:spacing w:before="162"/>
        <w:ind w:left="3971" w:right="0" w:firstLine="0"/>
        <w:jc w:val="left"/>
        <w:rPr>
          <w:rFonts w:hint="eastAsia" w:ascii="MS UI Gothic" w:eastAsia="MS UI Gothic"/>
          <w:sz w:val="20"/>
        </w:rPr>
      </w:pPr>
      <w:r>
        <w:pict>
          <v:group id="_x0000_s1034" o:spid="_x0000_s1034" o:spt="203" style="position:absolute;left:0pt;margin-left:70.95pt;margin-top:23.85pt;height:2.15pt;width:398.25pt;mso-position-horizontal-relative:page;mso-wrap-distance-bottom:0pt;mso-wrap-distance-top:0pt;z-index:-251655168;mso-width-relative:page;mso-height-relative:page;" coordorigin="1419,477" coordsize="7965,43">
            <o:lock v:ext="edit"/>
            <v:line id="_x0000_s1035" o:spid="_x0000_s1035" o:spt="20" style="position:absolute;left:1419;top:516;height:0;width:7965;" stroked="t" coordsize="21600,21600">
              <v:path arrowok="t"/>
              <v:fill focussize="0,0"/>
              <v:stroke weight="0.388031496062992pt" color="#231F20"/>
              <v:imagedata o:title=""/>
              <o:lock v:ext="edit"/>
            </v:line>
            <v:line id="_x0000_s1036" o:spid="_x0000_s1036" o:spt="20" style="position:absolute;left:1419;top:481;height:0;width:7965;" stroked="t" coordsize="21600,21600">
              <v:path arrowok="t"/>
              <v:fill focussize="0,0"/>
              <v:stroke weight="0.388031496062992pt" color="#231F20"/>
              <v:imagedata o:title=""/>
              <o:lock v:ext="edit"/>
            </v:line>
            <w10:wrap type="topAndBottom"/>
          </v:group>
        </w:pict>
      </w:r>
      <w:r>
        <w:rPr>
          <w:w w:val="103"/>
          <w:sz w:val="17"/>
        </w:rPr>
        <w:t>目</w:t>
      </w:r>
      <w:r>
        <w:rPr>
          <w:sz w:val="17"/>
        </w:rPr>
        <w:tab/>
      </w:r>
      <w:r>
        <w:rPr>
          <w:w w:val="103"/>
          <w:sz w:val="17"/>
        </w:rPr>
        <w:t>录</w:t>
      </w:r>
      <w:r>
        <w:rPr>
          <w:sz w:val="17"/>
        </w:rPr>
        <w:tab/>
      </w:r>
      <w:r>
        <w:rPr>
          <w:rFonts w:hint="eastAsia" w:ascii="MS UI Gothic" w:eastAsia="MS UI Gothic"/>
          <w:spacing w:val="1"/>
          <w:w w:val="75"/>
          <w:sz w:val="20"/>
        </w:rPr>
        <w:t>３</w:t>
      </w:r>
    </w:p>
    <w:p>
      <w:pPr>
        <w:spacing w:after="0"/>
        <w:jc w:val="left"/>
        <w:rPr>
          <w:rFonts w:hint="eastAsia" w:ascii="MS UI Gothic" w:eastAsia="MS UI Gothic"/>
          <w:sz w:val="20"/>
        </w:rPr>
        <w:sectPr>
          <w:pgSz w:w="10500" w:h="14750"/>
          <w:pgMar w:top="960" w:right="980" w:bottom="280" w:left="980" w:header="720" w:footer="720" w:gutter="0"/>
        </w:sectPr>
      </w:pPr>
    </w:p>
    <w:p>
      <w:pPr>
        <w:pStyle w:val="6"/>
        <w:tabs>
          <w:tab w:val="left" w:pos="5896"/>
        </w:tabs>
        <w:spacing w:before="163" w:line="240" w:lineRule="exact"/>
        <w:ind w:left="440" w:firstLine="0"/>
        <w:jc w:val="left"/>
        <w:rPr>
          <w:rFonts w:hint="eastAsia" w:ascii="MS UI Gothic" w:eastAsia="MS UI Gothic"/>
        </w:rPr>
      </w:pPr>
      <w:r>
        <w:rPr>
          <w:spacing w:val="3"/>
          <w:w w:val="102"/>
        </w:rPr>
        <w:t>小型露天采石场安全管理与监督检查规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p>
    <w:p>
      <w:pPr>
        <w:spacing w:before="163"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４１５</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spacing w:before="74"/>
        <w:ind w:left="440" w:firstLine="0"/>
        <w:jc w:val="left"/>
        <w:rPr>
          <w:rFonts w:hint="eastAsia" w:ascii="MS UI Gothic" w:eastAsia="MS UI Gothic"/>
        </w:rPr>
      </w:pPr>
      <w:r>
        <w:rPr>
          <w:spacing w:val="2"/>
          <w:w w:val="102"/>
        </w:rPr>
        <w:t>金属非金属地下矿山企业领导带班下井及监督检查暂行规定</w:t>
      </w:r>
      <w:r>
        <w:rPr>
          <w:spacing w:val="8"/>
        </w:rPr>
        <w:t xml:space="preserve"> </w:t>
      </w:r>
      <w:r>
        <w:rPr>
          <w:rFonts w:hint="eastAsia" w:ascii="MS UI Gothic" w:eastAsia="MS UI Gothic"/>
          <w:spacing w:val="15"/>
          <w:w w:val="168"/>
        </w:rPr>
        <w:t>(</w:t>
      </w:r>
      <w:r>
        <w:rPr>
          <w:rFonts w:hint="eastAsia" w:ascii="MS UI Gothic" w:eastAsia="MS UI Gothic"/>
          <w:w w:val="75"/>
        </w:rPr>
        <w:t>２０１０</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left="440" w:firstLine="0"/>
        <w:jc w:val="left"/>
        <w:rPr>
          <w:rFonts w:hint="eastAsia" w:ascii="MS UI Gothic" w:eastAsia="MS UI Gothic"/>
        </w:rPr>
      </w:pPr>
      <w:r>
        <w:rPr>
          <w:spacing w:val="2"/>
          <w:w w:val="102"/>
        </w:rPr>
        <w:t>金属与非金属矿产资源地质勘探安全生产监督管理暂行规定</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218" w:firstLine="0"/>
        <w:jc w:val="left"/>
        <w:rPr>
          <w:rFonts w:hint="eastAsia" w:ascii="MS UI Gothic" w:eastAsia="MS UI Gothic"/>
        </w:rPr>
      </w:pPr>
      <w:r>
        <w:br w:type="column"/>
      </w:r>
    </w:p>
    <w:p>
      <w:pPr>
        <w:pStyle w:val="6"/>
        <w:spacing w:before="58" w:line="240" w:lineRule="exact"/>
        <w:ind w:left="218"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４１８</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４２１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7315" w:space="40"/>
            <w:col w:w="634" w:space="39"/>
            <w:col w:w="512"/>
          </w:cols>
        </w:sectPr>
      </w:pPr>
    </w:p>
    <w:p>
      <w:pPr>
        <w:pStyle w:val="6"/>
        <w:tabs>
          <w:tab w:val="left" w:pos="4219"/>
        </w:tabs>
        <w:spacing w:before="74" w:line="240" w:lineRule="exact"/>
        <w:ind w:left="440" w:firstLine="0"/>
        <w:jc w:val="left"/>
        <w:rPr>
          <w:rFonts w:hint="eastAsia" w:ascii="MS UI Gothic" w:eastAsia="MS UI Gothic"/>
        </w:rPr>
      </w:pPr>
      <w:r>
        <w:rPr>
          <w:spacing w:val="3"/>
          <w:w w:val="102"/>
        </w:rPr>
        <w:t>中华人民共和国建筑</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４２４</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tabs>
          <w:tab w:val="left" w:pos="4638"/>
        </w:tabs>
        <w:spacing w:before="75" w:line="240" w:lineRule="exact"/>
        <w:ind w:left="440" w:firstLine="0"/>
        <w:jc w:val="left"/>
        <w:rPr>
          <w:rFonts w:hint="eastAsia" w:ascii="MS UI Gothic" w:eastAsia="MS UI Gothic"/>
        </w:rPr>
      </w:pPr>
      <w:r>
        <w:rPr>
          <w:spacing w:val="3"/>
          <w:w w:val="102"/>
        </w:rPr>
        <w:t>建设工程安全生产管理条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２００３</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spacing w:val="-20"/>
          <w:lang w:val="en-US" w:eastAsia="zh-CN"/>
        </w:rPr>
        <w:t xml:space="preserve">                                                                                 </w:t>
      </w:r>
      <w:r>
        <w:rPr>
          <w:rFonts w:hint="eastAsia" w:ascii="MS UI Gothic" w:eastAsia="MS UI Gothic"/>
          <w:w w:val="75"/>
        </w:rPr>
        <w:t>４３１</w:t>
      </w:r>
    </w:p>
    <w:p>
      <w:pPr>
        <w:pStyle w:val="6"/>
        <w:spacing w:before="74" w:line="240" w:lineRule="exact"/>
        <w:ind w:left="646" w:leftChars="200" w:hanging="206" w:hangingChars="100"/>
        <w:jc w:val="left"/>
        <w:rPr>
          <w:rFonts w:hint="eastAsia" w:ascii="MS UI Gothic" w:eastAsia="MS UI Gothic"/>
        </w:rPr>
      </w:pPr>
      <w:r>
        <w:rPr>
          <w:spacing w:val="3"/>
        </w:rPr>
        <w:t>建筑安全规章</w:t>
      </w:r>
      <w:r>
        <w:rPr>
          <w:rFonts w:hint="eastAsia" w:ascii="MS UI Gothic" w:eastAsia="MS UI Gothic"/>
          <w:spacing w:val="188"/>
          <w:w w:val="320"/>
        </w:rPr>
        <w:t xml:space="preserve"> </w:t>
      </w:r>
      <w:r>
        <w:rPr>
          <w:rFonts w:hint="eastAsia" w:ascii="MS UI Gothic"/>
          <w:spacing w:val="188"/>
          <w:w w:val="320"/>
          <w:lang w:val="en-US" w:eastAsia="zh-CN"/>
        </w:rPr>
        <w:t xml:space="preserve">               </w:t>
      </w:r>
      <w:r>
        <w:rPr>
          <w:rFonts w:hint="eastAsia" w:ascii="MS UI Gothic" w:eastAsia="MS UI Gothic"/>
        </w:rPr>
        <w:t>４４０</w:t>
      </w:r>
    </w:p>
    <w:p>
      <w:pPr>
        <w:pStyle w:val="6"/>
        <w:tabs>
          <w:tab w:val="left" w:pos="5686"/>
        </w:tabs>
        <w:spacing w:before="74" w:line="240" w:lineRule="exact"/>
        <w:ind w:left="440" w:firstLine="0"/>
        <w:jc w:val="left"/>
        <w:rPr>
          <w:rFonts w:hint="eastAsia" w:ascii="MS UI Gothic" w:eastAsia="MS UI Gothic"/>
        </w:rPr>
      </w:pPr>
      <w:r>
        <w:rPr>
          <w:spacing w:val="3"/>
          <w:w w:val="102"/>
        </w:rPr>
        <w:t>建筑施工企业安全生产许可证管理规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２００４</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lang w:val="en-US" w:eastAsia="zh-CN"/>
        </w:rPr>
        <w:t xml:space="preserve">                                    </w:t>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４４０</w:t>
      </w:r>
    </w:p>
    <w:p>
      <w:pPr>
        <w:pStyle w:val="6"/>
        <w:tabs>
          <w:tab w:val="left" w:pos="5057"/>
        </w:tabs>
        <w:spacing w:before="75" w:line="240" w:lineRule="exact"/>
        <w:ind w:left="440" w:firstLine="0"/>
        <w:jc w:val="left"/>
        <w:rPr>
          <w:rFonts w:hint="eastAsia" w:ascii="MS UI Gothic" w:eastAsia="MS UI Gothic"/>
        </w:rPr>
      </w:pPr>
      <w:r>
        <w:rPr>
          <w:spacing w:val="3"/>
          <w:w w:val="102"/>
        </w:rPr>
        <w:t>建筑起重机械安全监督管理规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２００８</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spacing w:val="-20"/>
          <w:lang w:val="en-US" w:eastAsia="zh-CN"/>
        </w:rPr>
        <w:t xml:space="preserve">                                                                    </w:t>
      </w:r>
      <w:r>
        <w:rPr>
          <w:rFonts w:hint="eastAsia" w:ascii="MS UI Gothic" w:eastAsia="MS UI Gothic"/>
          <w:w w:val="75"/>
        </w:rPr>
        <w:t>４４４</w:t>
      </w:r>
    </w:p>
    <w:p>
      <w:pPr>
        <w:pStyle w:val="6"/>
        <w:spacing w:before="74" w:line="240" w:lineRule="exact"/>
        <w:ind w:left="440" w:firstLine="0"/>
        <w:jc w:val="left"/>
      </w:pPr>
      <w:r>
        <w:t>建筑施工企业主要负责人</w:t>
      </w:r>
      <w:r>
        <w:rPr>
          <w:rFonts w:hint="eastAsia" w:ascii="MS UI Gothic" w:eastAsia="MS UI Gothic"/>
        </w:rPr>
        <w:t xml:space="preserve">、 </w:t>
      </w:r>
      <w:r>
        <w:t>项目负责人和专职安全生产管理人员安全生产管理</w:t>
      </w:r>
    </w:p>
    <w:p>
      <w:pPr>
        <w:spacing w:after="0" w:line="240" w:lineRule="exact"/>
        <w:jc w:val="left"/>
        <w:sectPr>
          <w:type w:val="continuous"/>
          <w:pgSz w:w="10500" w:h="14750"/>
          <w:pgMar w:top="1400" w:right="980" w:bottom="280" w:left="980" w:header="720" w:footer="720" w:gutter="0"/>
        </w:sectPr>
      </w:pPr>
    </w:p>
    <w:p>
      <w:pPr>
        <w:pStyle w:val="6"/>
        <w:tabs>
          <w:tab w:val="left" w:pos="2752"/>
        </w:tabs>
        <w:spacing w:before="74" w:line="240" w:lineRule="exact"/>
        <w:ind w:left="650" w:firstLine="0"/>
        <w:jc w:val="left"/>
        <w:rPr>
          <w:rFonts w:hint="eastAsia" w:ascii="MS UI Gothic" w:eastAsia="MS UI Gothic"/>
        </w:rPr>
      </w:pPr>
      <w:r>
        <w:rPr>
          <w:spacing w:val="3"/>
          <w:w w:val="102"/>
        </w:rPr>
        <w:t>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２０１４</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４４９</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tabs>
          <w:tab w:val="left" w:pos="4638"/>
        </w:tabs>
        <w:spacing w:before="75" w:line="240" w:lineRule="exact"/>
        <w:ind w:left="440" w:firstLine="0"/>
        <w:jc w:val="left"/>
        <w:rPr>
          <w:rFonts w:hint="eastAsia" w:ascii="MS UI Gothic" w:eastAsia="MS UI Gothic"/>
        </w:rPr>
      </w:pPr>
      <w:r>
        <w:rPr>
          <w:spacing w:val="3"/>
          <w:w w:val="102"/>
        </w:rPr>
        <w:t>建筑工程施工许可管理办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p>
    <w:p>
      <w:pPr>
        <w:spacing w:before="75"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４５３</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tabs>
          <w:tab w:val="left" w:pos="5057"/>
        </w:tabs>
        <w:spacing w:before="74" w:line="240" w:lineRule="exact"/>
        <w:ind w:left="440" w:firstLine="0"/>
        <w:jc w:val="left"/>
        <w:rPr>
          <w:rFonts w:hint="eastAsia" w:ascii="MS UI Gothic" w:eastAsia="MS UI Gothic"/>
        </w:rPr>
      </w:pPr>
      <w:r>
        <w:rPr>
          <w:spacing w:val="3"/>
          <w:w w:val="102"/>
        </w:rPr>
        <w:t>中华人民共和国特种设备安全</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２０１３</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４５６</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tabs>
          <w:tab w:val="left" w:pos="4219"/>
        </w:tabs>
        <w:spacing w:before="74" w:line="240" w:lineRule="exact"/>
        <w:ind w:left="440" w:firstLine="0"/>
        <w:jc w:val="left"/>
        <w:rPr>
          <w:rFonts w:hint="eastAsia" w:ascii="MS UI Gothic" w:eastAsia="MS UI Gothic"/>
        </w:rPr>
      </w:pPr>
      <w:r>
        <w:rPr>
          <w:spacing w:val="3"/>
          <w:w w:val="102"/>
        </w:rPr>
        <w:t>特种设备安全监察条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０</w:t>
      </w:r>
      <w:r>
        <w:rPr>
          <w:rFonts w:hint="eastAsia" w:ascii="MS UI Gothic" w:eastAsia="MS UI Gothic"/>
          <w:w w:val="75"/>
        </w:rPr>
        <w:t>９</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４６７</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tabs>
          <w:tab w:val="left" w:pos="4638"/>
        </w:tabs>
        <w:spacing w:before="75" w:line="240" w:lineRule="exact"/>
        <w:ind w:left="440" w:firstLine="0"/>
        <w:jc w:val="left"/>
        <w:rPr>
          <w:rFonts w:hint="eastAsia" w:ascii="MS UI Gothic" w:eastAsia="MS UI Gothic"/>
        </w:rPr>
      </w:pPr>
      <w:r>
        <w:rPr>
          <w:spacing w:val="3"/>
          <w:w w:val="102"/>
        </w:rPr>
        <w:t>农业机械安全监督管理条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p>
    <w:p>
      <w:pPr>
        <w:spacing w:before="75"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４８２</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tabs>
          <w:tab w:val="left" w:pos="5686"/>
        </w:tabs>
        <w:spacing w:before="74" w:line="240" w:lineRule="exact"/>
        <w:ind w:left="440" w:firstLine="0"/>
        <w:jc w:val="left"/>
        <w:rPr>
          <w:rFonts w:hint="eastAsia" w:ascii="MS UI Gothic" w:eastAsia="MS UI Gothic"/>
        </w:rPr>
      </w:pPr>
      <w:r>
        <w:rPr>
          <w:spacing w:val="3"/>
          <w:w w:val="102"/>
        </w:rPr>
        <w:t>中华人民共和国石油天然气管道保护</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２０１０</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lang w:val="en-US" w:eastAsia="zh-CN"/>
        </w:rPr>
        <w:t xml:space="preserve">                                     </w:t>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４８８</w:t>
      </w:r>
    </w:p>
    <w:p>
      <w:pPr>
        <w:pStyle w:val="6"/>
        <w:spacing w:before="74" w:line="240" w:lineRule="exact"/>
        <w:ind w:left="1676" w:leftChars="200" w:hanging="1236" w:hangingChars="600"/>
        <w:jc w:val="left"/>
        <w:rPr>
          <w:rFonts w:hint="eastAsia" w:ascii="MS UI Gothic" w:eastAsia="MS UI Gothic"/>
        </w:rPr>
      </w:pPr>
      <w:r>
        <w:rPr>
          <w:spacing w:val="3"/>
        </w:rPr>
        <w:t>特种设备安全规章</w:t>
      </w:r>
      <w:r>
        <w:rPr>
          <w:rFonts w:hint="eastAsia" w:ascii="MS UI Gothic" w:eastAsia="MS UI Gothic"/>
          <w:spacing w:val="176"/>
          <w:w w:val="320"/>
        </w:rPr>
        <w:t xml:space="preserve"> </w:t>
      </w:r>
      <w:r>
        <w:rPr>
          <w:rFonts w:hint="eastAsia" w:ascii="MS UI Gothic"/>
          <w:spacing w:val="176"/>
          <w:w w:val="320"/>
          <w:lang w:val="en-US" w:eastAsia="zh-CN"/>
        </w:rPr>
        <w:t xml:space="preserve">               </w:t>
      </w:r>
      <w:r>
        <w:rPr>
          <w:rFonts w:hint="eastAsia" w:ascii="MS UI Gothic" w:eastAsia="MS UI Gothic"/>
        </w:rPr>
        <w:t>４９５</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5"/>
        <w:ind w:left="440" w:firstLine="0"/>
        <w:jc w:val="left"/>
        <w:rPr>
          <w:rFonts w:hint="eastAsia" w:ascii="MS UI Gothic" w:eastAsia="MS UI Gothic"/>
        </w:rPr>
      </w:pPr>
      <w:r>
        <w:rPr>
          <w:spacing w:val="2"/>
          <w:w w:val="102"/>
        </w:rPr>
        <w:t>特种设备质量监督与安全监察规定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２０００</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left="440" w:firstLine="0"/>
        <w:jc w:val="left"/>
        <w:rPr>
          <w:rFonts w:hint="eastAsia" w:ascii="MS UI Gothic" w:eastAsia="MS UI Gothic"/>
        </w:rPr>
      </w:pPr>
      <w:r>
        <w:rPr>
          <w:spacing w:val="2"/>
          <w:w w:val="102"/>
        </w:rPr>
        <w:t>特种设备作业人员监督管理办法</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75"/>
        <w:ind w:left="218" w:firstLine="0"/>
        <w:jc w:val="left"/>
        <w:rPr>
          <w:rFonts w:hint="eastAsia" w:ascii="MS UI Gothic" w:eastAsia="MS UI Gothic"/>
        </w:rPr>
      </w:pPr>
      <w:r>
        <w:br w:type="column"/>
      </w:r>
    </w:p>
    <w:p>
      <w:pPr>
        <w:pStyle w:val="6"/>
        <w:spacing w:before="58" w:line="240" w:lineRule="exact"/>
        <w:ind w:left="8" w:firstLine="0"/>
        <w:jc w:val="left"/>
        <w:rPr>
          <w:rFonts w:hint="eastAsia" w:ascii="MS UI Gothic" w:eastAsia="MS UI Gothic"/>
        </w:rPr>
      </w:pPr>
    </w:p>
    <w:p>
      <w:pPr>
        <w:spacing w:before="75"/>
        <w:ind w:left="62" w:right="0" w:firstLine="0"/>
        <w:jc w:val="left"/>
        <w:rPr>
          <w:rFonts w:hint="eastAsia" w:ascii="MS UI Gothic" w:eastAsia="MS UI Gothic"/>
          <w:sz w:val="20"/>
        </w:rPr>
      </w:pPr>
      <w:r>
        <w:br w:type="column"/>
      </w:r>
      <w:r>
        <w:rPr>
          <w:rFonts w:hint="eastAsia" w:ascii="MS UI Gothic" w:eastAsia="MS UI Gothic"/>
          <w:w w:val="85"/>
          <w:sz w:val="20"/>
        </w:rPr>
        <w:t>４９５</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５０５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5010" w:space="40"/>
            <w:col w:w="2939" w:space="39"/>
            <w:col w:w="512"/>
          </w:cols>
        </w:sectPr>
      </w:pPr>
    </w:p>
    <w:p>
      <w:pPr>
        <w:pStyle w:val="6"/>
        <w:spacing w:before="74" w:line="240" w:lineRule="exact"/>
        <w:ind w:left="440" w:firstLine="0"/>
        <w:jc w:val="left"/>
        <w:rPr>
          <w:rFonts w:hint="eastAsia" w:ascii="MS UI Gothic" w:eastAsia="MS UI Gothic"/>
        </w:rPr>
      </w:pPr>
      <w:r>
        <w:rPr>
          <w:spacing w:val="2"/>
          <w:w w:val="102"/>
        </w:rPr>
        <w:t>特种设备事故报告和调查处理规定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２０１９</w:t>
      </w:r>
      <w:r>
        <w:rPr>
          <w:rFonts w:hint="eastAsia" w:ascii="MS UI Gothic" w:eastAsia="MS UI Gothic"/>
          <w:spacing w:val="-3"/>
        </w:rPr>
        <w:t xml:space="preserve"> </w:t>
      </w:r>
      <w:r>
        <w:rPr>
          <w:w w:val="102"/>
        </w:rPr>
        <w:t>年</w:t>
      </w:r>
      <w:r>
        <w:rPr>
          <w:spacing w:val="-50"/>
        </w:rPr>
        <w:t xml:space="preserve"> </w:t>
      </w:r>
      <w:r>
        <w:rPr>
          <w:rFonts w:hint="eastAsia" w:ascii="MS UI Gothic" w:eastAsia="MS UI Gothic"/>
          <w:w w:val="75"/>
        </w:rPr>
        <w:t>５</w:t>
      </w:r>
      <w:r>
        <w:rPr>
          <w:rFonts w:hint="eastAsia" w:ascii="MS UI Gothic" w:eastAsia="MS UI Gothic"/>
          <w:spacing w:val="-3"/>
        </w:rPr>
        <w:t xml:space="preserve"> </w:t>
      </w:r>
      <w:r>
        <w:rPr>
          <w:spacing w:val="3"/>
          <w:w w:val="102"/>
        </w:rPr>
        <w:t>月征求意见稿</w:t>
      </w:r>
      <w:r>
        <w:rPr>
          <w:rFonts w:hint="eastAsia" w:ascii="MS UI Gothic" w:eastAsia="MS UI Gothic"/>
          <w:w w:val="168"/>
        </w:rPr>
        <w:t>)</w:t>
      </w:r>
    </w:p>
    <w:p>
      <w:pPr>
        <w:pStyle w:val="6"/>
        <w:spacing w:before="74" w:line="240" w:lineRule="exact"/>
        <w:ind w:left="220" w:firstLine="0"/>
        <w:jc w:val="left"/>
        <w:rPr>
          <w:rFonts w:hint="eastAsia" w:ascii="MS UI Gothic" w:eastAsia="MS UI Gothic"/>
        </w:rPr>
      </w:pPr>
      <w:r>
        <w:br w:type="column"/>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５０８</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3">
            <w:col w:w="6056" w:space="40"/>
            <w:col w:w="1893" w:space="39"/>
            <w:col w:w="512"/>
          </w:cols>
        </w:sectPr>
      </w:pPr>
    </w:p>
    <w:p>
      <w:pPr>
        <w:pStyle w:val="6"/>
        <w:spacing w:before="74"/>
        <w:ind w:left="440" w:firstLine="0"/>
        <w:jc w:val="left"/>
        <w:rPr>
          <w:rFonts w:hint="eastAsia" w:ascii="MS UI Gothic" w:eastAsia="MS UI Gothic"/>
        </w:rPr>
      </w:pPr>
      <w:r>
        <w:rPr>
          <w:spacing w:val="2"/>
          <w:w w:val="102"/>
        </w:rPr>
        <w:t>特种作业人员安全技术培训考核管理规定</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9" w:line="240" w:lineRule="exact"/>
        <w:ind w:left="440" w:firstLine="0"/>
        <w:jc w:val="left"/>
        <w:rPr>
          <w:rFonts w:hint="eastAsia" w:ascii="MS UI Gothic" w:eastAsia="MS UI Gothic"/>
        </w:rPr>
      </w:pPr>
      <w:r>
        <w:rPr>
          <w:spacing w:val="2"/>
          <w:w w:val="102"/>
        </w:rPr>
        <w:t>起重机械安全监察规定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２０１９</w:t>
      </w:r>
      <w:r>
        <w:rPr>
          <w:rFonts w:hint="eastAsia" w:ascii="MS UI Gothic" w:eastAsia="MS UI Gothic"/>
          <w:spacing w:val="-3"/>
        </w:rPr>
        <w:t xml:space="preserve"> </w:t>
      </w:r>
      <w:r>
        <w:rPr>
          <w:w w:val="102"/>
        </w:rPr>
        <w:t>年</w:t>
      </w:r>
      <w:r>
        <w:rPr>
          <w:spacing w:val="-50"/>
        </w:rPr>
        <w:t xml:space="preserve"> </w:t>
      </w:r>
      <w:r>
        <w:rPr>
          <w:rFonts w:hint="eastAsia" w:ascii="MS UI Gothic" w:eastAsia="MS UI Gothic"/>
          <w:w w:val="75"/>
        </w:rPr>
        <w:t>１１</w:t>
      </w:r>
      <w:r>
        <w:rPr>
          <w:rFonts w:hint="eastAsia" w:ascii="MS UI Gothic" w:eastAsia="MS UI Gothic"/>
          <w:spacing w:val="-3"/>
        </w:rPr>
        <w:t xml:space="preserve"> </w:t>
      </w:r>
      <w:r>
        <w:rPr>
          <w:spacing w:val="3"/>
          <w:w w:val="102"/>
        </w:rPr>
        <w:t>月修订征求意见稿</w:t>
      </w:r>
      <w:r>
        <w:rPr>
          <w:rFonts w:hint="eastAsia" w:ascii="MS UI Gothic" w:eastAsia="MS UI Gothic"/>
          <w:w w:val="168"/>
        </w:rPr>
        <w:t>)</w:t>
      </w:r>
    </w:p>
    <w:p>
      <w:pPr>
        <w:pStyle w:val="6"/>
        <w:spacing w:before="74"/>
        <w:ind w:left="218" w:firstLine="0"/>
        <w:jc w:val="left"/>
        <w:rPr>
          <w:rFonts w:hint="eastAsia" w:ascii="MS UI Gothic" w:eastAsia="MS UI Gothic"/>
        </w:rPr>
      </w:pPr>
      <w:r>
        <w:br w:type="column"/>
      </w:r>
    </w:p>
    <w:p>
      <w:pPr>
        <w:pStyle w:val="6"/>
        <w:spacing w:before="59" w:line="240" w:lineRule="exact"/>
        <w:ind w:left="8"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５１３</w:t>
      </w:r>
    </w:p>
    <w:p>
      <w:pPr>
        <w:pStyle w:val="6"/>
        <w:spacing w:before="59" w:line="240" w:lineRule="exact"/>
        <w:ind w:left="62" w:firstLine="0"/>
        <w:jc w:val="left"/>
        <w:rPr>
          <w:rFonts w:hint="eastAsia" w:ascii="MS UI Gothic" w:eastAsia="MS UI Gothic"/>
        </w:rPr>
      </w:pPr>
      <w:r>
        <w:rPr>
          <w:rFonts w:hint="eastAsia" w:ascii="MS UI Gothic" w:eastAsia="MS UI Gothic"/>
          <w:w w:val="85"/>
        </w:rPr>
        <w:t>５１８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5639" w:space="40"/>
            <w:col w:w="2311" w:space="39"/>
            <w:col w:w="511"/>
          </w:cols>
        </w:sectPr>
      </w:pPr>
    </w:p>
    <w:p>
      <w:pPr>
        <w:pStyle w:val="6"/>
        <w:tabs>
          <w:tab w:val="left" w:pos="4219"/>
        </w:tabs>
        <w:spacing w:before="74" w:line="240" w:lineRule="exact"/>
        <w:ind w:left="440" w:firstLine="0"/>
        <w:jc w:val="left"/>
        <w:rPr>
          <w:rFonts w:hint="eastAsia" w:ascii="MS UI Gothic" w:eastAsia="MS UI Gothic"/>
        </w:rPr>
      </w:pPr>
      <w:r>
        <w:rPr>
          <w:spacing w:val="3"/>
          <w:w w:val="102"/>
        </w:rPr>
        <w:t>中华人民共和国电力</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８</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５２２</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tabs>
          <w:tab w:val="left" w:pos="5686"/>
        </w:tabs>
        <w:spacing w:before="74" w:line="240" w:lineRule="exact"/>
        <w:ind w:left="440" w:firstLine="0"/>
        <w:jc w:val="left"/>
        <w:rPr>
          <w:rFonts w:hint="eastAsia" w:ascii="MS UI Gothic" w:eastAsia="MS UI Gothic"/>
        </w:rPr>
      </w:pPr>
      <w:r>
        <w:rPr>
          <w:spacing w:val="3"/>
          <w:w w:val="102"/>
        </w:rPr>
        <w:t>电力安全事故应急处置和调查处理条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spacing w:val="-20"/>
          <w:lang w:val="en-US" w:eastAsia="zh-CN"/>
        </w:rPr>
        <w:t xml:space="preserve">                                                        </w:t>
      </w:r>
      <w:r>
        <w:rPr>
          <w:rFonts w:hint="eastAsia" w:ascii="MS UI Gothic" w:eastAsia="MS UI Gothic"/>
          <w:w w:val="75"/>
        </w:rPr>
        <w:t>５２８</w:t>
      </w:r>
    </w:p>
    <w:p>
      <w:pPr>
        <w:pStyle w:val="6"/>
        <w:spacing w:before="75" w:line="240" w:lineRule="exact"/>
        <w:ind w:left="440" w:firstLine="0"/>
        <w:jc w:val="left"/>
        <w:rPr>
          <w:rFonts w:hint="eastAsia" w:ascii="MS UI Gothic" w:eastAsia="MS UI Gothic"/>
        </w:rPr>
      </w:pPr>
      <w:r>
        <w:rPr>
          <w:spacing w:val="3"/>
        </w:rPr>
        <w:t>电力安全规章</w:t>
      </w:r>
      <w:r>
        <w:rPr>
          <w:rFonts w:hint="eastAsia" w:ascii="MS UI Gothic" w:eastAsia="MS UI Gothic"/>
          <w:spacing w:val="188"/>
          <w:w w:val="320"/>
        </w:rPr>
        <w:t xml:space="preserve"> </w:t>
      </w:r>
      <w:r>
        <w:rPr>
          <w:rFonts w:hint="eastAsia" w:ascii="MS UI Gothic"/>
          <w:spacing w:val="188"/>
          <w:w w:val="320"/>
          <w:lang w:val="en-US" w:eastAsia="zh-CN"/>
        </w:rPr>
        <w:t xml:space="preserve">               </w:t>
      </w:r>
      <w:bookmarkStart w:id="0" w:name="_GoBack"/>
      <w:bookmarkEnd w:id="0"/>
      <w:r>
        <w:rPr>
          <w:rFonts w:hint="eastAsia" w:ascii="MS UI Gothic" w:eastAsia="MS UI Gothic"/>
        </w:rPr>
        <w:t>５３９</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4"/>
        <w:ind w:left="440" w:firstLine="0"/>
        <w:jc w:val="left"/>
        <w:rPr>
          <w:rFonts w:hint="eastAsia" w:ascii="MS UI Gothic" w:eastAsia="MS UI Gothic"/>
        </w:rPr>
      </w:pPr>
      <w:r>
        <w:rPr>
          <w:spacing w:val="2"/>
          <w:w w:val="102"/>
        </w:rPr>
        <w:t>电力安全生产监督管理办法</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ind w:left="440" w:firstLine="0"/>
        <w:jc w:val="left"/>
        <w:rPr>
          <w:rFonts w:hint="eastAsia" w:ascii="MS UI Gothic" w:eastAsia="MS UI Gothic"/>
        </w:rPr>
      </w:pPr>
      <w:r>
        <w:rPr>
          <w:spacing w:val="2"/>
          <w:w w:val="102"/>
        </w:rPr>
        <w:t>电力二次系统安全防护规定</w:t>
      </w:r>
      <w:r>
        <w:rPr>
          <w:spacing w:val="8"/>
        </w:rPr>
        <w:t xml:space="preserve"> </w:t>
      </w:r>
      <w:r>
        <w:rPr>
          <w:rFonts w:hint="eastAsia" w:ascii="MS UI Gothic" w:eastAsia="MS UI Gothic"/>
          <w:spacing w:val="15"/>
          <w:w w:val="168"/>
        </w:rPr>
        <w:t>(</w:t>
      </w:r>
      <w:r>
        <w:rPr>
          <w:rFonts w:hint="eastAsia" w:ascii="MS UI Gothic" w:eastAsia="MS UI Gothic"/>
          <w:w w:val="75"/>
        </w:rPr>
        <w:t>２００４</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218" w:firstLine="0"/>
        <w:jc w:val="left"/>
        <w:rPr>
          <w:rFonts w:hint="eastAsia" w:ascii="MS UI Gothic" w:eastAsia="MS UI Gothic"/>
        </w:rPr>
      </w:pPr>
      <w:r>
        <w:br w:type="column"/>
      </w:r>
    </w:p>
    <w:p>
      <w:pPr>
        <w:pStyle w:val="6"/>
        <w:spacing w:before="58"/>
        <w:ind w:left="218"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５３９</w:t>
      </w:r>
    </w:p>
    <w:p>
      <w:pPr>
        <w:pStyle w:val="6"/>
        <w:spacing w:before="58"/>
        <w:ind w:left="62" w:firstLine="0"/>
        <w:jc w:val="left"/>
        <w:rPr>
          <w:rFonts w:hint="eastAsia" w:ascii="MS UI Gothic" w:eastAsia="MS UI Gothic"/>
        </w:rPr>
      </w:pPr>
      <w:r>
        <w:rPr>
          <w:rFonts w:hint="eastAsia" w:ascii="MS UI Gothic" w:eastAsia="MS UI Gothic"/>
          <w:w w:val="85"/>
        </w:rPr>
        <w:t>５４３</w:t>
      </w:r>
    </w:p>
    <w:p>
      <w:pPr>
        <w:spacing w:after="0"/>
        <w:jc w:val="left"/>
        <w:rPr>
          <w:rFonts w:hint="eastAsia" w:ascii="MS UI Gothic" w:eastAsia="MS UI Gothic"/>
        </w:rPr>
        <w:sectPr>
          <w:type w:val="continuous"/>
          <w:pgSz w:w="10500" w:h="14750"/>
          <w:pgMar w:top="1400" w:right="980" w:bottom="280" w:left="980" w:header="720" w:footer="720" w:gutter="0"/>
          <w:cols w:equalWidth="0" w:num="3">
            <w:col w:w="4381" w:space="40"/>
            <w:col w:w="3568" w:space="39"/>
            <w:col w:w="512"/>
          </w:cols>
        </w:sectPr>
      </w:pPr>
    </w:p>
    <w:p>
      <w:pPr>
        <w:pStyle w:val="6"/>
        <w:spacing w:before="6"/>
        <w:ind w:left="0" w:firstLine="0"/>
        <w:jc w:val="left"/>
        <w:rPr>
          <w:rFonts w:ascii="MS UI Gothic"/>
          <w:sz w:val="15"/>
        </w:rPr>
      </w:pPr>
    </w:p>
    <w:p>
      <w:pPr>
        <w:pStyle w:val="6"/>
        <w:spacing w:before="174" w:line="240" w:lineRule="exact"/>
        <w:ind w:left="440" w:firstLine="0"/>
        <w:jc w:val="left"/>
        <w:rPr>
          <w:rFonts w:hint="eastAsia" w:ascii="MS UI Gothic" w:eastAsia="MS UI Gothic"/>
        </w:rPr>
      </w:pPr>
      <w:r>
        <w:rPr>
          <w:spacing w:val="3"/>
        </w:rPr>
        <w:t>五</w:t>
      </w:r>
      <w:r>
        <w:rPr>
          <w:spacing w:val="9"/>
          <w:w w:val="85"/>
        </w:rPr>
        <w:t xml:space="preserve">、  </w:t>
      </w:r>
      <w:r>
        <w:rPr>
          <w:spacing w:val="3"/>
        </w:rPr>
        <w:t>危化品安全及相关法</w:t>
      </w:r>
      <w:r>
        <w:rPr>
          <w:rFonts w:hint="eastAsia" w:ascii="MS UI Gothic" w:eastAsia="MS UI Gothic"/>
          <w:spacing w:val="-6"/>
          <w:w w:val="320"/>
        </w:rPr>
        <w:t xml:space="preserve"> </w:t>
      </w:r>
      <w:r>
        <w:rPr>
          <w:rFonts w:hint="eastAsia" w:ascii="MS UI Gothic" w:eastAsia="MS UI Gothic"/>
        </w:rPr>
        <w:t>５４６</w:t>
      </w:r>
    </w:p>
    <w:p>
      <w:pPr>
        <w:pStyle w:val="6"/>
        <w:tabs>
          <w:tab w:val="left" w:pos="4429"/>
        </w:tabs>
        <w:spacing w:before="75" w:line="240" w:lineRule="exact"/>
        <w:ind w:left="440" w:firstLine="0"/>
        <w:jc w:val="left"/>
        <w:rPr>
          <w:rFonts w:hint="eastAsia" w:ascii="MS UI Gothic" w:eastAsia="MS UI Gothic"/>
        </w:rPr>
      </w:pPr>
      <w:r>
        <w:rPr>
          <w:spacing w:val="3"/>
          <w:w w:val="102"/>
        </w:rPr>
        <w:t>危险化学品安全管理条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１３</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５４６</w:t>
      </w:r>
    </w:p>
    <w:p>
      <w:pPr>
        <w:pStyle w:val="6"/>
        <w:tabs>
          <w:tab w:val="left" w:pos="5476"/>
        </w:tabs>
        <w:spacing w:before="74" w:line="240" w:lineRule="exact"/>
        <w:ind w:left="440" w:firstLine="0"/>
        <w:jc w:val="left"/>
        <w:rPr>
          <w:rFonts w:hint="eastAsia" w:ascii="MS UI Gothic" w:eastAsia="MS UI Gothic"/>
        </w:rPr>
      </w:pPr>
      <w:r>
        <w:rPr>
          <w:spacing w:val="3"/>
          <w:w w:val="102"/>
        </w:rPr>
        <w:t>中华人民共和国监控化学品管理条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０１１</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５６３</w:t>
      </w:r>
    </w:p>
    <w:p>
      <w:pPr>
        <w:pStyle w:val="6"/>
        <w:tabs>
          <w:tab w:val="left" w:pos="4219"/>
        </w:tabs>
        <w:spacing w:before="74" w:line="240" w:lineRule="exact"/>
        <w:ind w:left="440" w:firstLine="0"/>
        <w:jc w:val="left"/>
        <w:rPr>
          <w:rFonts w:hint="eastAsia" w:ascii="MS UI Gothic" w:eastAsia="MS UI Gothic"/>
        </w:rPr>
      </w:pPr>
      <w:r>
        <w:rPr>
          <w:spacing w:val="3"/>
          <w:w w:val="102"/>
        </w:rPr>
        <w:t>易制毒化学品管理条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８</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５６６</w:t>
      </w:r>
    </w:p>
    <w:p>
      <w:pPr>
        <w:pStyle w:val="6"/>
        <w:spacing w:before="75" w:line="240" w:lineRule="exact"/>
        <w:ind w:left="440" w:firstLine="0"/>
        <w:jc w:val="left"/>
        <w:rPr>
          <w:rFonts w:hint="eastAsia" w:ascii="MS UI Gothic" w:eastAsia="MS UI Gothic"/>
        </w:rPr>
      </w:pPr>
      <w:r>
        <w:rPr>
          <w:spacing w:val="3"/>
        </w:rPr>
        <w:t>危化品安全规章</w:t>
      </w:r>
      <w:r>
        <w:rPr>
          <w:rFonts w:hint="eastAsia" w:ascii="MS UI Gothic" w:eastAsia="MS UI Gothic"/>
          <w:spacing w:val="182"/>
          <w:w w:val="320"/>
        </w:rPr>
        <w:t xml:space="preserve"> </w:t>
      </w:r>
      <w:r>
        <w:rPr>
          <w:rFonts w:hint="eastAsia" w:ascii="MS UI Gothic" w:eastAsia="MS UI Gothic"/>
        </w:rPr>
        <w:t>５７３</w:t>
      </w:r>
    </w:p>
    <w:p>
      <w:pPr>
        <w:pStyle w:val="6"/>
        <w:tabs>
          <w:tab w:val="left" w:pos="5896"/>
        </w:tabs>
        <w:spacing w:before="74" w:line="240" w:lineRule="exact"/>
        <w:ind w:left="440" w:firstLine="0"/>
        <w:jc w:val="left"/>
        <w:rPr>
          <w:rFonts w:hint="eastAsia" w:ascii="MS UI Gothic" w:eastAsia="MS UI Gothic"/>
        </w:rPr>
      </w:pPr>
      <w:r>
        <w:rPr>
          <w:spacing w:val="3"/>
          <w:w w:val="102"/>
        </w:rPr>
        <w:t>危险化学品重大危险源监督管理暂行规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５７３</w:t>
      </w:r>
    </w:p>
    <w:p>
      <w:pPr>
        <w:pStyle w:val="6"/>
        <w:tabs>
          <w:tab w:val="left" w:pos="5267"/>
        </w:tabs>
        <w:spacing w:before="74" w:line="240" w:lineRule="exact"/>
        <w:ind w:left="440" w:firstLine="0"/>
        <w:jc w:val="left"/>
        <w:rPr>
          <w:rFonts w:hint="eastAsia" w:ascii="MS UI Gothic" w:eastAsia="MS UI Gothic"/>
        </w:rPr>
      </w:pPr>
      <w:r>
        <w:rPr>
          <w:spacing w:val="3"/>
          <w:w w:val="102"/>
        </w:rPr>
        <w:t>危险化学品输送管道安全管理规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５８４</w:t>
      </w:r>
    </w:p>
    <w:p>
      <w:pPr>
        <w:pStyle w:val="6"/>
        <w:tabs>
          <w:tab w:val="left" w:pos="5686"/>
        </w:tabs>
        <w:spacing w:before="75" w:line="240" w:lineRule="exact"/>
        <w:ind w:left="440" w:firstLine="0"/>
        <w:jc w:val="left"/>
        <w:rPr>
          <w:rFonts w:hint="eastAsia" w:ascii="MS UI Gothic" w:eastAsia="MS UI Gothic"/>
        </w:rPr>
      </w:pPr>
      <w:r>
        <w:rPr>
          <w:spacing w:val="3"/>
          <w:w w:val="102"/>
        </w:rPr>
        <w:t>危险化学品建设项目安全监督管理办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５９１</w:t>
      </w:r>
    </w:p>
    <w:p>
      <w:pPr>
        <w:pStyle w:val="6"/>
        <w:tabs>
          <w:tab w:val="left" w:pos="4429"/>
        </w:tabs>
        <w:spacing w:before="74" w:line="240" w:lineRule="exact"/>
        <w:ind w:left="440" w:firstLine="0"/>
        <w:jc w:val="left"/>
        <w:rPr>
          <w:rFonts w:hint="eastAsia" w:ascii="MS UI Gothic" w:eastAsia="MS UI Gothic"/>
        </w:rPr>
      </w:pPr>
      <w:r>
        <w:rPr>
          <w:spacing w:val="3"/>
          <w:w w:val="102"/>
        </w:rPr>
        <w:t>危险化学品登记管理办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６０１</w:t>
      </w:r>
    </w:p>
    <w:p>
      <w:pPr>
        <w:pStyle w:val="6"/>
        <w:tabs>
          <w:tab w:val="left" w:pos="6315"/>
        </w:tabs>
        <w:spacing w:before="74" w:line="240" w:lineRule="exact"/>
        <w:ind w:left="440" w:firstLine="0"/>
        <w:jc w:val="left"/>
        <w:rPr>
          <w:rFonts w:hint="eastAsia" w:ascii="MS UI Gothic" w:eastAsia="MS UI Gothic"/>
        </w:rPr>
      </w:pPr>
      <w:r>
        <w:rPr>
          <w:spacing w:val="3"/>
          <w:w w:val="102"/>
        </w:rPr>
        <w:t>危险化学品生产企业安全生产许可证实施办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６０６</w:t>
      </w:r>
    </w:p>
    <w:p>
      <w:pPr>
        <w:pStyle w:val="6"/>
        <w:tabs>
          <w:tab w:val="left" w:pos="5057"/>
        </w:tabs>
        <w:spacing w:before="75" w:line="240" w:lineRule="exact"/>
        <w:ind w:left="440" w:firstLine="0"/>
        <w:jc w:val="left"/>
        <w:rPr>
          <w:rFonts w:hint="eastAsia" w:ascii="MS UI Gothic" w:eastAsia="MS UI Gothic"/>
        </w:rPr>
      </w:pPr>
      <w:r>
        <w:rPr>
          <w:spacing w:val="3"/>
          <w:w w:val="102"/>
        </w:rPr>
        <w:t>危险化学品经营许可证管理办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６１３</w:t>
      </w:r>
    </w:p>
    <w:p>
      <w:pPr>
        <w:pStyle w:val="6"/>
        <w:tabs>
          <w:tab w:val="left" w:pos="5476"/>
        </w:tabs>
        <w:spacing w:before="74"/>
        <w:ind w:left="440" w:firstLine="0"/>
        <w:jc w:val="left"/>
        <w:rPr>
          <w:rFonts w:hint="eastAsia" w:ascii="MS UI Gothic" w:eastAsia="MS UI Gothic"/>
        </w:rPr>
      </w:pPr>
      <w:r>
        <w:rPr>
          <w:spacing w:val="3"/>
          <w:w w:val="102"/>
        </w:rPr>
        <w:t>危险化学品安全使用许可证实施办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６１９</w:t>
      </w:r>
    </w:p>
    <w:p>
      <w:pPr>
        <w:spacing w:after="0"/>
        <w:jc w:val="left"/>
        <w:rPr>
          <w:rFonts w:hint="eastAsia" w:ascii="MS UI Gothic" w:eastAsia="MS UI Gothic"/>
        </w:rPr>
        <w:sectPr>
          <w:type w:val="continuous"/>
          <w:pgSz w:w="10500" w:h="14750"/>
          <w:pgMar w:top="1400" w:right="980" w:bottom="280" w:left="980" w:header="720" w:footer="720" w:gutter="0"/>
        </w:sectPr>
      </w:pPr>
    </w:p>
    <w:p>
      <w:pPr>
        <w:pStyle w:val="6"/>
        <w:spacing w:before="159"/>
        <w:ind w:left="384" w:firstLine="0"/>
        <w:jc w:val="left"/>
        <w:rPr>
          <w:rFonts w:hint="eastAsia" w:ascii="MS UI Gothic" w:eastAsia="MS UI Gothic"/>
        </w:rPr>
      </w:pPr>
      <w:r>
        <w:rPr>
          <w:rFonts w:hint="eastAsia" w:ascii="MS UI Gothic" w:eastAsia="MS UI Gothic"/>
          <w:spacing w:val="1"/>
          <w:w w:val="75"/>
        </w:rPr>
        <w:t>４</w:t>
      </w:r>
    </w:p>
    <w:p>
      <w:pPr>
        <w:spacing w:before="192"/>
        <w:ind w:left="38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45" w:space="1096"/>
            <w:col w:w="6499"/>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37" o:spid="_x0000_s1037" o:spt="203" style="height:2.15pt;width:398.25pt;" coordsize="7965,43">
            <o:lock v:ext="edit"/>
            <v:line id="_x0000_s1038" o:spid="_x0000_s1038" o:spt="20" style="position:absolute;left:0;top:39;height:0;width:7965;" stroked="t" coordsize="21600,21600">
              <v:path arrowok="t"/>
              <v:fill focussize="0,0"/>
              <v:stroke weight="0.388031496062992pt" color="#231F20"/>
              <v:imagedata o:title=""/>
              <o:lock v:ext="edit"/>
            </v:line>
            <v:line id="_x0000_s1039" o:spid="_x0000_s1039" o:spt="20" style="position:absolute;left:0;top:4;height:0;width:7965;" stroked="t" coordsize="21600,21600">
              <v:path arrowok="t"/>
              <v:fill focussize="0,0"/>
              <v:stroke weight="0.388031496062992pt" color="#231F20"/>
              <v:imagedata o:title=""/>
              <o:lock v:ext="edit"/>
            </v:line>
            <w10:wrap type="none"/>
            <w10:anchorlock/>
          </v:group>
        </w:pict>
      </w:r>
    </w:p>
    <w:p>
      <w:pPr>
        <w:pStyle w:val="6"/>
        <w:tabs>
          <w:tab w:val="left" w:pos="5370"/>
        </w:tabs>
        <w:spacing w:before="193" w:line="240" w:lineRule="exact"/>
        <w:ind w:firstLine="0"/>
        <w:jc w:val="left"/>
        <w:rPr>
          <w:rFonts w:hint="eastAsia" w:ascii="MS UI Gothic" w:eastAsia="MS UI Gothic"/>
        </w:rPr>
      </w:pPr>
      <w:r>
        <w:rPr>
          <w:spacing w:val="3"/>
          <w:w w:val="102"/>
        </w:rPr>
        <w:t>化学品物理危险性鉴定与分类管理办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２０１３</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６２６</w:t>
      </w:r>
    </w:p>
    <w:p>
      <w:pPr>
        <w:pStyle w:val="6"/>
        <w:spacing w:before="74" w:line="240" w:lineRule="exact"/>
        <w:ind w:firstLine="0"/>
        <w:jc w:val="left"/>
        <w:rPr>
          <w:rFonts w:hint="eastAsia" w:ascii="MS UI Gothic" w:eastAsia="MS UI Gothic"/>
        </w:rPr>
      </w:pPr>
      <w:r>
        <w:rPr>
          <w:spacing w:val="3"/>
        </w:rPr>
        <w:t>易制毒化学品安全规章</w:t>
      </w:r>
      <w:r>
        <w:rPr>
          <w:rFonts w:hint="eastAsia" w:ascii="MS UI Gothic" w:eastAsia="MS UI Gothic"/>
          <w:spacing w:val="164"/>
          <w:w w:val="320"/>
        </w:rPr>
        <w:t xml:space="preserve"> </w:t>
      </w:r>
      <w:r>
        <w:rPr>
          <w:rFonts w:hint="eastAsia" w:ascii="MS UI Gothic" w:eastAsia="MS UI Gothic"/>
        </w:rPr>
        <w:t>６２９</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21" w:line="310" w:lineRule="atLeast"/>
        <w:ind w:firstLine="0"/>
        <w:jc w:val="left"/>
        <w:rPr>
          <w:rFonts w:hint="eastAsia" w:ascii="MS UI Gothic" w:eastAsia="MS UI Gothic"/>
        </w:rPr>
      </w:pPr>
      <w:r>
        <w:rPr>
          <w:spacing w:val="3"/>
          <w:w w:val="102"/>
        </w:rPr>
        <w:t>非药品类易制毒化学品生产</w:t>
      </w:r>
      <w:r>
        <w:rPr>
          <w:rFonts w:hint="eastAsia" w:ascii="MS UI Gothic" w:eastAsia="MS UI Gothic"/>
          <w:w w:val="77"/>
        </w:rPr>
        <w:t>、</w:t>
      </w:r>
      <w:r>
        <w:rPr>
          <w:rFonts w:hint="eastAsia" w:ascii="MS UI Gothic" w:eastAsia="MS UI Gothic"/>
          <w:spacing w:val="-8"/>
        </w:rPr>
        <w:t xml:space="preserve">  </w:t>
      </w:r>
      <w:r>
        <w:rPr>
          <w:spacing w:val="2"/>
          <w:w w:val="102"/>
        </w:rPr>
        <w:t>经营许可办法</w:t>
      </w:r>
      <w:r>
        <w:rPr>
          <w:spacing w:val="8"/>
        </w:rPr>
        <w:t xml:space="preserve"> </w:t>
      </w:r>
      <w:r>
        <w:rPr>
          <w:rFonts w:hint="eastAsia" w:ascii="MS UI Gothic" w:eastAsia="MS UI Gothic"/>
          <w:spacing w:val="15"/>
          <w:w w:val="168"/>
        </w:rPr>
        <w:t>(</w:t>
      </w:r>
      <w:r>
        <w:rPr>
          <w:rFonts w:hint="eastAsia" w:ascii="MS UI Gothic" w:eastAsia="MS UI Gothic"/>
          <w:w w:val="75"/>
        </w:rPr>
        <w:t>２００６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spacing w:val="3"/>
          <w:w w:val="102"/>
        </w:rPr>
        <w:t xml:space="preserve"> </w:t>
      </w:r>
      <w:r>
        <w:rPr>
          <w:spacing w:val="2"/>
          <w:w w:val="102"/>
        </w:rPr>
        <w:t>剧毒化学品购买和公路运输许可证件管理办法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２００５</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8" w:firstLine="0"/>
        <w:jc w:val="left"/>
        <w:rPr>
          <w:rFonts w:hint="eastAsia" w:ascii="MS UI Gothic" w:eastAsia="MS UI Gothic"/>
        </w:rPr>
      </w:pPr>
      <w:r>
        <w:br w:type="column"/>
      </w:r>
    </w:p>
    <w:p>
      <w:pPr>
        <w:pStyle w:val="6"/>
        <w:spacing w:before="58" w:line="240" w:lineRule="exact"/>
        <w:ind w:left="218"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６２９</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６３４</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5742" w:space="40"/>
            <w:col w:w="1892" w:space="39"/>
            <w:col w:w="827"/>
          </w:cols>
        </w:sectPr>
      </w:pPr>
    </w:p>
    <w:p>
      <w:pPr>
        <w:pStyle w:val="6"/>
        <w:tabs>
          <w:tab w:val="left" w:pos="4951"/>
        </w:tabs>
        <w:spacing w:before="62" w:line="240" w:lineRule="exact"/>
        <w:ind w:firstLine="0"/>
        <w:jc w:val="left"/>
        <w:rPr>
          <w:rFonts w:hint="eastAsia" w:ascii="MS UI Gothic" w:eastAsia="MS UI Gothic"/>
        </w:rPr>
      </w:pPr>
      <w:r>
        <w:rPr>
          <w:spacing w:val="3"/>
          <w:w w:val="102"/>
        </w:rPr>
        <w:t>易制毒化学品购销和运输管理办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０</w:t>
      </w:r>
      <w:r>
        <w:rPr>
          <w:rFonts w:hint="eastAsia" w:ascii="MS UI Gothic" w:eastAsia="MS UI Gothic"/>
          <w:w w:val="75"/>
        </w:rPr>
        <w:t>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p>
    <w:p>
      <w:pPr>
        <w:spacing w:before="62"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６４０</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6627"/>
        </w:tabs>
        <w:spacing w:before="74" w:line="240" w:lineRule="exact"/>
        <w:ind w:firstLine="0"/>
        <w:jc w:val="left"/>
        <w:rPr>
          <w:rFonts w:hint="eastAsia" w:ascii="MS UI Gothic" w:eastAsia="MS UI Gothic"/>
        </w:rPr>
      </w:pPr>
      <w:r>
        <w:rPr>
          <w:spacing w:val="3"/>
          <w:w w:val="102"/>
        </w:rPr>
        <w:t>向特定国</w:t>
      </w:r>
      <w:r>
        <w:rPr>
          <w:w w:val="102"/>
        </w:rPr>
        <w:t>家</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地区</w:t>
      </w:r>
      <w:r>
        <w:rPr>
          <w:rFonts w:hint="eastAsia" w:ascii="MS UI Gothic" w:eastAsia="MS UI Gothic"/>
          <w:w w:val="168"/>
        </w:rPr>
        <w:t>)</w:t>
      </w:r>
      <w:r>
        <w:rPr>
          <w:rFonts w:hint="eastAsia" w:ascii="MS UI Gothic" w:eastAsia="MS UI Gothic"/>
        </w:rPr>
        <w:t xml:space="preserve"> </w:t>
      </w:r>
      <w:r>
        <w:rPr>
          <w:rFonts w:hint="eastAsia" w:ascii="MS UI Gothic" w:eastAsia="MS UI Gothic"/>
          <w:spacing w:val="4"/>
        </w:rPr>
        <w:t xml:space="preserve"> </w:t>
      </w:r>
      <w:r>
        <w:rPr>
          <w:spacing w:val="3"/>
          <w:w w:val="102"/>
        </w:rPr>
        <w:t>出口易制毒化学品暂行管理规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０</w:t>
      </w:r>
      <w:r>
        <w:rPr>
          <w:rFonts w:hint="eastAsia" w:ascii="MS UI Gothic" w:eastAsia="MS UI Gothic"/>
          <w:w w:val="75"/>
        </w:rPr>
        <w:t>５</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spacing w:val="-113"/>
        </w:rPr>
        <w:t xml:space="preserve"> </w:t>
      </w:r>
      <w:r>
        <w:rPr>
          <w:rFonts w:hint="eastAsia" w:ascii="MS UI Gothic" w:eastAsia="MS UI Gothic"/>
          <w:spacing w:val="-82"/>
        </w:rPr>
        <w:t xml:space="preserve"> </w:t>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６４６</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3903"/>
        </w:tabs>
        <w:spacing w:before="75" w:line="240" w:lineRule="exact"/>
        <w:ind w:firstLine="0"/>
        <w:jc w:val="left"/>
        <w:rPr>
          <w:rFonts w:hint="eastAsia" w:ascii="MS UI Gothic" w:eastAsia="MS UI Gothic"/>
        </w:rPr>
      </w:pPr>
      <w:r>
        <w:rPr>
          <w:spacing w:val="3"/>
          <w:w w:val="102"/>
        </w:rPr>
        <w:t>烟花爆竹安全管理条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６</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６４８</w:t>
      </w:r>
    </w:p>
    <w:p>
      <w:pPr>
        <w:pStyle w:val="6"/>
        <w:spacing w:before="74" w:line="240" w:lineRule="exact"/>
        <w:ind w:firstLine="0"/>
        <w:jc w:val="left"/>
        <w:rPr>
          <w:rFonts w:hint="eastAsia" w:ascii="MS UI Gothic" w:eastAsia="MS UI Gothic"/>
        </w:rPr>
      </w:pPr>
      <w:r>
        <w:rPr>
          <w:spacing w:val="3"/>
        </w:rPr>
        <w:t>烟花爆竹安全规章</w:t>
      </w:r>
      <w:r>
        <w:rPr>
          <w:rFonts w:hint="eastAsia" w:ascii="MS UI Gothic" w:eastAsia="MS UI Gothic"/>
          <w:spacing w:val="176"/>
          <w:w w:val="320"/>
        </w:rPr>
        <w:t xml:space="preserve"> </w:t>
      </w:r>
      <w:r>
        <w:rPr>
          <w:rFonts w:hint="eastAsia" w:ascii="MS UI Gothic" w:eastAsia="MS UI Gothic"/>
        </w:rPr>
        <w:t>６５３</w:t>
      </w:r>
    </w:p>
    <w:p>
      <w:pPr>
        <w:pStyle w:val="6"/>
        <w:tabs>
          <w:tab w:val="left" w:pos="5789"/>
        </w:tabs>
        <w:spacing w:before="74" w:line="240" w:lineRule="exact"/>
        <w:ind w:firstLine="0"/>
        <w:jc w:val="left"/>
        <w:rPr>
          <w:rFonts w:hint="eastAsia" w:ascii="MS UI Gothic" w:eastAsia="MS UI Gothic"/>
        </w:rPr>
      </w:pPr>
      <w:r>
        <w:rPr>
          <w:spacing w:val="3"/>
          <w:w w:val="102"/>
        </w:rPr>
        <w:t>烟花爆竹生产企业安全生产许可证实施办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６５４</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5"/>
        <w:ind w:firstLine="0"/>
        <w:jc w:val="left"/>
        <w:rPr>
          <w:rFonts w:hint="eastAsia" w:ascii="MS UI Gothic" w:eastAsia="MS UI Gothic"/>
        </w:rPr>
      </w:pPr>
      <w:r>
        <w:rPr>
          <w:spacing w:val="2"/>
          <w:w w:val="102"/>
        </w:rPr>
        <w:t>烟花爆竹经营许可实施办法</w:t>
      </w:r>
      <w:r>
        <w:rPr>
          <w:spacing w:val="8"/>
        </w:rPr>
        <w:t xml:space="preserve"> </w:t>
      </w:r>
      <w:r>
        <w:rPr>
          <w:rFonts w:hint="eastAsia" w:ascii="MS UI Gothic" w:eastAsia="MS UI Gothic"/>
          <w:spacing w:val="15"/>
          <w:w w:val="168"/>
        </w:rPr>
        <w:t>(</w:t>
      </w:r>
      <w:r>
        <w:rPr>
          <w:rFonts w:hint="eastAsia" w:ascii="MS UI Gothic" w:eastAsia="MS UI Gothic"/>
          <w:w w:val="75"/>
        </w:rPr>
        <w:t>２０１３</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ind w:firstLine="0"/>
        <w:jc w:val="left"/>
        <w:rPr>
          <w:rFonts w:hint="eastAsia" w:ascii="MS UI Gothic" w:eastAsia="MS UI Gothic"/>
        </w:rPr>
      </w:pPr>
      <w:r>
        <w:rPr>
          <w:spacing w:val="2"/>
          <w:w w:val="102"/>
        </w:rPr>
        <w:t>烟花爆竹生产经营安全规定</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民用爆炸物品安全管理条例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２０１４</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5"/>
        <w:ind w:firstLine="0"/>
        <w:jc w:val="left"/>
        <w:rPr>
          <w:rFonts w:hint="eastAsia" w:ascii="MS UI Gothic" w:eastAsia="MS UI Gothic"/>
        </w:rPr>
      </w:pPr>
      <w:r>
        <w:br w:type="column"/>
      </w:r>
    </w:p>
    <w:p>
      <w:pPr>
        <w:pStyle w:val="6"/>
        <w:spacing w:before="58"/>
        <w:ind w:firstLine="0"/>
        <w:jc w:val="left"/>
        <w:rPr>
          <w:rFonts w:hint="eastAsia" w:ascii="MS UI Gothic" w:eastAsia="MS UI Gothic"/>
        </w:rPr>
      </w:pPr>
    </w:p>
    <w:p>
      <w:pPr>
        <w:pStyle w:val="6"/>
        <w:spacing w:before="58" w:line="240" w:lineRule="exact"/>
        <w:ind w:firstLine="0"/>
        <w:jc w:val="left"/>
        <w:rPr>
          <w:rFonts w:hint="eastAsia" w:ascii="MS UI Gothic" w:eastAsia="MS UI Gothic"/>
        </w:rPr>
      </w:pPr>
    </w:p>
    <w:p>
      <w:pPr>
        <w:spacing w:before="75"/>
        <w:ind w:left="62" w:right="0" w:firstLine="0"/>
        <w:jc w:val="left"/>
        <w:rPr>
          <w:rFonts w:hint="eastAsia" w:ascii="MS UI Gothic" w:eastAsia="MS UI Gothic"/>
          <w:sz w:val="20"/>
        </w:rPr>
      </w:pPr>
      <w:r>
        <w:br w:type="column"/>
      </w:r>
      <w:r>
        <w:rPr>
          <w:rFonts w:hint="eastAsia" w:ascii="MS UI Gothic" w:eastAsia="MS UI Gothic"/>
          <w:w w:val="85"/>
          <w:sz w:val="20"/>
        </w:rPr>
        <w:t>６６３</w:t>
      </w:r>
    </w:p>
    <w:p>
      <w:pPr>
        <w:pStyle w:val="6"/>
        <w:spacing w:before="58"/>
        <w:ind w:left="62" w:firstLine="0"/>
        <w:jc w:val="left"/>
        <w:rPr>
          <w:rFonts w:hint="eastAsia" w:ascii="MS UI Gothic" w:eastAsia="MS UI Gothic"/>
        </w:rPr>
      </w:pPr>
      <w:r>
        <w:rPr>
          <w:rFonts w:hint="eastAsia" w:ascii="MS UI Gothic" w:eastAsia="MS UI Gothic"/>
          <w:w w:val="85"/>
        </w:rPr>
        <w:t>６７２</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６７７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105" w:space="93"/>
            <w:col w:w="3475" w:space="39"/>
            <w:col w:w="828"/>
          </w:cols>
        </w:sectPr>
      </w:pPr>
    </w:p>
    <w:p>
      <w:pPr>
        <w:pStyle w:val="6"/>
        <w:spacing w:before="74" w:line="240" w:lineRule="exact"/>
        <w:ind w:firstLine="0"/>
        <w:jc w:val="left"/>
        <w:rPr>
          <w:rFonts w:hint="eastAsia" w:ascii="MS UI Gothic" w:eastAsia="MS UI Gothic"/>
        </w:rPr>
      </w:pPr>
      <w:r>
        <w:rPr>
          <w:spacing w:val="3"/>
        </w:rPr>
        <w:t>民用爆炸物品安全规章</w:t>
      </w:r>
      <w:r>
        <w:rPr>
          <w:rFonts w:hint="eastAsia" w:ascii="MS UI Gothic" w:eastAsia="MS UI Gothic"/>
          <w:spacing w:val="-49"/>
          <w:w w:val="320"/>
        </w:rPr>
        <w:t xml:space="preserve"> </w:t>
      </w:r>
      <w:r>
        <w:rPr>
          <w:rFonts w:hint="eastAsia" w:ascii="MS UI Gothic" w:eastAsia="MS UI Gothic"/>
        </w:rPr>
        <w:t>６８５</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5"/>
        <w:ind w:firstLine="0"/>
        <w:jc w:val="left"/>
        <w:rPr>
          <w:rFonts w:hint="eastAsia" w:ascii="MS UI Gothic" w:eastAsia="MS UI Gothic"/>
        </w:rPr>
      </w:pPr>
      <w:r>
        <w:rPr>
          <w:spacing w:val="2"/>
          <w:w w:val="102"/>
        </w:rPr>
        <w:t>民用爆炸物品生产许可实施办法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民用爆炸物品销售许可实施办法</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75"/>
        <w:ind w:firstLine="0"/>
        <w:jc w:val="left"/>
        <w:rPr>
          <w:rFonts w:hint="eastAsia" w:ascii="MS UI Gothic" w:eastAsia="MS UI Gothic"/>
        </w:rPr>
      </w:pPr>
      <w:r>
        <w:br w:type="column"/>
      </w:r>
    </w:p>
    <w:p>
      <w:pPr>
        <w:pStyle w:val="6"/>
        <w:spacing w:before="58" w:line="240" w:lineRule="exact"/>
        <w:ind w:firstLine="0"/>
        <w:jc w:val="left"/>
        <w:rPr>
          <w:rFonts w:hint="eastAsia" w:ascii="MS UI Gothic" w:eastAsia="MS UI Gothic"/>
        </w:rPr>
      </w:pPr>
    </w:p>
    <w:p>
      <w:pPr>
        <w:spacing w:before="75"/>
        <w:ind w:left="62" w:right="0" w:firstLine="0"/>
        <w:jc w:val="left"/>
        <w:rPr>
          <w:rFonts w:hint="eastAsia" w:ascii="MS UI Gothic" w:eastAsia="MS UI Gothic"/>
          <w:sz w:val="20"/>
        </w:rPr>
      </w:pPr>
      <w:r>
        <w:br w:type="column"/>
      </w:r>
      <w:r>
        <w:rPr>
          <w:rFonts w:hint="eastAsia" w:ascii="MS UI Gothic" w:eastAsia="MS UI Gothic"/>
          <w:w w:val="85"/>
          <w:sz w:val="20"/>
        </w:rPr>
        <w:t>６８５</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６８９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524" w:space="93"/>
            <w:col w:w="3056" w:space="39"/>
            <w:col w:w="828"/>
          </w:cols>
        </w:sectPr>
      </w:pPr>
    </w:p>
    <w:p>
      <w:pPr>
        <w:pStyle w:val="6"/>
        <w:spacing w:before="74"/>
        <w:ind w:firstLine="0"/>
        <w:jc w:val="left"/>
        <w:rPr>
          <w:rFonts w:hint="eastAsia" w:ascii="MS UI Gothic" w:eastAsia="MS UI Gothic"/>
        </w:rPr>
      </w:pPr>
      <w:r>
        <w:rPr>
          <w:spacing w:val="2"/>
          <w:w w:val="102"/>
        </w:rPr>
        <w:t>民用爆炸物品安全生产许可实施办法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２０１５</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firstLine="0"/>
        <w:jc w:val="left"/>
        <w:rPr>
          <w:rFonts w:hint="eastAsia" w:ascii="MS UI Gothic" w:eastAsia="MS UI Gothic"/>
        </w:rPr>
      </w:pPr>
      <w:r>
        <w:br w:type="column"/>
      </w: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６９３</w:t>
      </w:r>
    </w:p>
    <w:p>
      <w:pPr>
        <w:spacing w:after="0"/>
        <w:jc w:val="left"/>
        <w:rPr>
          <w:rFonts w:hint="eastAsia" w:ascii="MS UI Gothic" w:eastAsia="MS UI Gothic"/>
          <w:sz w:val="20"/>
        </w:rPr>
        <w:sectPr>
          <w:type w:val="continuous"/>
          <w:pgSz w:w="10500" w:h="14750"/>
          <w:pgMar w:top="1400" w:right="980" w:bottom="280" w:left="980" w:header="720" w:footer="720" w:gutter="0"/>
          <w:cols w:equalWidth="0" w:num="3">
            <w:col w:w="4943" w:space="93"/>
            <w:col w:w="2637" w:space="40"/>
            <w:col w:w="827"/>
          </w:cols>
        </w:sectPr>
      </w:pPr>
    </w:p>
    <w:p>
      <w:pPr>
        <w:pStyle w:val="6"/>
        <w:spacing w:before="6"/>
        <w:ind w:left="0" w:firstLine="0"/>
        <w:jc w:val="left"/>
        <w:rPr>
          <w:rFonts w:ascii="MS UI Gothic"/>
          <w:sz w:val="15"/>
        </w:rPr>
      </w:pPr>
    </w:p>
    <w:p>
      <w:pPr>
        <w:pStyle w:val="6"/>
        <w:spacing w:before="175" w:line="240" w:lineRule="exact"/>
        <w:ind w:firstLine="0"/>
        <w:jc w:val="left"/>
        <w:rPr>
          <w:rFonts w:hint="eastAsia" w:ascii="MS UI Gothic" w:eastAsia="MS UI Gothic"/>
        </w:rPr>
      </w:pPr>
      <w:r>
        <w:rPr>
          <w:spacing w:val="3"/>
        </w:rPr>
        <w:t>六</w:t>
      </w:r>
      <w:r>
        <w:rPr>
          <w:spacing w:val="7"/>
          <w:w w:val="90"/>
        </w:rPr>
        <w:t xml:space="preserve">、  </w:t>
      </w:r>
      <w:r>
        <w:rPr>
          <w:spacing w:val="4"/>
        </w:rPr>
        <w:t>消防救援法</w:t>
      </w:r>
      <w:r>
        <w:rPr>
          <w:rFonts w:hint="eastAsia" w:ascii="MS UI Gothic" w:eastAsia="MS UI Gothic"/>
          <w:spacing w:val="1"/>
          <w:w w:val="320"/>
        </w:rPr>
        <w:t xml:space="preserve"> </w:t>
      </w:r>
      <w:r>
        <w:rPr>
          <w:rFonts w:hint="eastAsia" w:ascii="MS UI Gothic" w:eastAsia="MS UI Gothic"/>
        </w:rPr>
        <w:t>６９９</w:t>
      </w:r>
    </w:p>
    <w:p>
      <w:pPr>
        <w:pStyle w:val="6"/>
        <w:tabs>
          <w:tab w:val="left" w:pos="3903"/>
        </w:tabs>
        <w:spacing w:before="74" w:line="240" w:lineRule="exact"/>
        <w:ind w:firstLine="0"/>
        <w:jc w:val="left"/>
        <w:rPr>
          <w:rFonts w:hint="eastAsia" w:ascii="MS UI Gothic" w:eastAsia="MS UI Gothic"/>
        </w:rPr>
      </w:pPr>
      <w:r>
        <w:rPr>
          <w:spacing w:val="3"/>
          <w:w w:val="102"/>
        </w:rPr>
        <w:t>中华人民共和国消防</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６９９</w:t>
      </w:r>
    </w:p>
    <w:p>
      <w:pPr>
        <w:pStyle w:val="6"/>
        <w:tabs>
          <w:tab w:val="left" w:pos="4741"/>
        </w:tabs>
        <w:spacing w:before="74" w:line="240" w:lineRule="exact"/>
        <w:ind w:firstLine="0"/>
        <w:jc w:val="left"/>
        <w:rPr>
          <w:rFonts w:hint="eastAsia" w:ascii="MS UI Gothic" w:eastAsia="MS UI Gothic"/>
        </w:rPr>
      </w:pPr>
      <w:r>
        <w:rPr>
          <w:spacing w:val="3"/>
          <w:w w:val="102"/>
        </w:rPr>
        <w:t>中华人民共和国消防救援衔条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７０８</w:t>
      </w:r>
    </w:p>
    <w:p>
      <w:pPr>
        <w:pStyle w:val="6"/>
        <w:tabs>
          <w:tab w:val="left" w:pos="6208"/>
        </w:tabs>
        <w:spacing w:before="75" w:line="240" w:lineRule="exact"/>
        <w:ind w:firstLine="0"/>
        <w:jc w:val="left"/>
        <w:rPr>
          <w:rFonts w:hint="eastAsia" w:ascii="MS UI Gothic" w:eastAsia="MS UI Gothic"/>
        </w:rPr>
      </w:pPr>
      <w:r>
        <w:rPr>
          <w:spacing w:val="3"/>
          <w:w w:val="102"/>
        </w:rPr>
        <w:t>中华人民共和国消防救援衔标志式样和佩带办</w:t>
      </w:r>
      <w:r>
        <w:rPr>
          <w:w w:val="102"/>
        </w:rPr>
        <w:t>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０１８</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７１１</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4"/>
        <w:ind w:firstLine="0"/>
        <w:jc w:val="left"/>
        <w:rPr>
          <w:rFonts w:hint="eastAsia" w:ascii="MS UI Gothic" w:eastAsia="MS UI Gothic"/>
        </w:rPr>
      </w:pPr>
      <w:r>
        <w:rPr>
          <w:spacing w:val="2"/>
          <w:w w:val="102"/>
        </w:rPr>
        <w:t>森林防火条例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２００８</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草原防火条例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２００８</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74"/>
        <w:ind w:firstLine="0"/>
        <w:jc w:val="left"/>
        <w:rPr>
          <w:rFonts w:hint="eastAsia" w:ascii="MS UI Gothic" w:eastAsia="MS UI Gothic"/>
        </w:rPr>
      </w:pPr>
      <w:r>
        <w:br w:type="column"/>
      </w:r>
    </w:p>
    <w:p>
      <w:pPr>
        <w:pStyle w:val="6"/>
        <w:spacing w:before="58" w:line="240" w:lineRule="exact"/>
        <w:ind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７１６</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７２２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2847" w:space="93"/>
            <w:col w:w="4732" w:space="40"/>
            <w:col w:w="828"/>
          </w:cols>
        </w:sectPr>
      </w:pPr>
    </w:p>
    <w:p>
      <w:pPr>
        <w:pStyle w:val="6"/>
        <w:spacing w:before="74" w:line="240" w:lineRule="exact"/>
        <w:ind w:firstLine="0"/>
        <w:jc w:val="left"/>
        <w:rPr>
          <w:rFonts w:hint="eastAsia" w:ascii="MS UI Gothic" w:eastAsia="MS UI Gothic"/>
        </w:rPr>
      </w:pPr>
      <w:r>
        <w:rPr>
          <w:spacing w:val="3"/>
        </w:rPr>
        <w:t>消防救援规章</w:t>
      </w:r>
      <w:r>
        <w:rPr>
          <w:rFonts w:hint="eastAsia" w:ascii="MS UI Gothic" w:eastAsia="MS UI Gothic"/>
          <w:spacing w:val="188"/>
          <w:w w:val="320"/>
        </w:rPr>
        <w:t xml:space="preserve"> </w:t>
      </w:r>
      <w:r>
        <w:rPr>
          <w:rFonts w:hint="eastAsia" w:ascii="MS UI Gothic" w:eastAsia="MS UI Gothic"/>
        </w:rPr>
        <w:t>７２７</w:t>
      </w:r>
    </w:p>
    <w:p>
      <w:pPr>
        <w:pStyle w:val="6"/>
        <w:tabs>
          <w:tab w:val="left" w:pos="3903"/>
        </w:tabs>
        <w:spacing w:before="75" w:line="240" w:lineRule="exact"/>
        <w:ind w:firstLine="0"/>
        <w:jc w:val="left"/>
        <w:rPr>
          <w:rFonts w:hint="eastAsia" w:ascii="MS UI Gothic" w:eastAsia="MS UI Gothic"/>
        </w:rPr>
      </w:pPr>
      <w:r>
        <w:rPr>
          <w:spacing w:val="3"/>
          <w:w w:val="102"/>
        </w:rPr>
        <w:t>国家森林火灾应急预</w:t>
      </w:r>
      <w:r>
        <w:rPr>
          <w:w w:val="102"/>
        </w:rPr>
        <w:t>案</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７２７</w:t>
      </w:r>
    </w:p>
    <w:p>
      <w:pPr>
        <w:pStyle w:val="6"/>
        <w:tabs>
          <w:tab w:val="left" w:pos="6208"/>
        </w:tabs>
        <w:spacing w:before="74" w:line="240" w:lineRule="exact"/>
        <w:ind w:firstLine="0"/>
        <w:jc w:val="left"/>
        <w:rPr>
          <w:rFonts w:hint="eastAsia" w:ascii="MS UI Gothic" w:eastAsia="MS UI Gothic"/>
        </w:rPr>
      </w:pPr>
      <w:r>
        <w:rPr>
          <w:spacing w:val="3"/>
          <w:w w:val="102"/>
        </w:rPr>
        <w:t>机关</w:t>
      </w:r>
      <w:r>
        <w:rPr>
          <w:rFonts w:hint="eastAsia" w:ascii="MS UI Gothic" w:eastAsia="MS UI Gothic"/>
          <w:w w:val="77"/>
        </w:rPr>
        <w:t>、</w:t>
      </w:r>
      <w:r>
        <w:rPr>
          <w:rFonts w:hint="eastAsia" w:ascii="MS UI Gothic" w:eastAsia="MS UI Gothic"/>
        </w:rPr>
        <w:t xml:space="preserve"> </w:t>
      </w:r>
      <w:r>
        <w:rPr>
          <w:rFonts w:hint="eastAsia" w:ascii="MS UI Gothic" w:eastAsia="MS UI Gothic"/>
          <w:spacing w:val="-16"/>
        </w:rPr>
        <w:t xml:space="preserve"> </w:t>
      </w:r>
      <w:r>
        <w:rPr>
          <w:spacing w:val="3"/>
          <w:w w:val="102"/>
        </w:rPr>
        <w:t>团体</w:t>
      </w:r>
      <w:r>
        <w:rPr>
          <w:rFonts w:hint="eastAsia" w:ascii="MS UI Gothic" w:eastAsia="MS UI Gothic"/>
          <w:w w:val="77"/>
        </w:rPr>
        <w:t>、</w:t>
      </w:r>
      <w:r>
        <w:rPr>
          <w:rFonts w:hint="eastAsia" w:ascii="MS UI Gothic" w:eastAsia="MS UI Gothic"/>
        </w:rPr>
        <w:t xml:space="preserve"> </w:t>
      </w:r>
      <w:r>
        <w:rPr>
          <w:rFonts w:hint="eastAsia" w:ascii="MS UI Gothic" w:eastAsia="MS UI Gothic"/>
          <w:spacing w:val="-16"/>
        </w:rPr>
        <w:t xml:space="preserve"> </w:t>
      </w:r>
      <w:r>
        <w:rPr>
          <w:spacing w:val="3"/>
          <w:w w:val="102"/>
        </w:rPr>
        <w:t>企业</w:t>
      </w:r>
      <w:r>
        <w:rPr>
          <w:rFonts w:hint="eastAsia" w:ascii="MS UI Gothic" w:eastAsia="MS UI Gothic"/>
          <w:w w:val="77"/>
        </w:rPr>
        <w:t>、</w:t>
      </w:r>
      <w:r>
        <w:rPr>
          <w:rFonts w:hint="eastAsia" w:ascii="MS UI Gothic" w:eastAsia="MS UI Gothic"/>
        </w:rPr>
        <w:t xml:space="preserve"> </w:t>
      </w:r>
      <w:r>
        <w:rPr>
          <w:rFonts w:hint="eastAsia" w:ascii="MS UI Gothic" w:eastAsia="MS UI Gothic"/>
          <w:spacing w:val="-16"/>
        </w:rPr>
        <w:t xml:space="preserve"> </w:t>
      </w:r>
      <w:r>
        <w:rPr>
          <w:spacing w:val="3"/>
          <w:w w:val="102"/>
        </w:rPr>
        <w:t>事业单位消防安全管理规</w:t>
      </w:r>
      <w:r>
        <w:rPr>
          <w:w w:val="102"/>
        </w:rPr>
        <w:t>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００１</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７３３</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4"/>
        <w:ind w:firstLine="0"/>
        <w:jc w:val="left"/>
        <w:rPr>
          <w:rFonts w:hint="eastAsia" w:ascii="MS UI Gothic" w:eastAsia="MS UI Gothic"/>
        </w:rPr>
      </w:pPr>
      <w:r>
        <w:rPr>
          <w:spacing w:val="2"/>
          <w:w w:val="102"/>
        </w:rPr>
        <w:t>社会消防安全教育培训规定</w:t>
      </w:r>
      <w:r>
        <w:rPr>
          <w:spacing w:val="8"/>
        </w:rPr>
        <w:t xml:space="preserve"> </w:t>
      </w:r>
      <w:r>
        <w:rPr>
          <w:rFonts w:hint="eastAsia" w:ascii="MS UI Gothic" w:eastAsia="MS UI Gothic"/>
          <w:spacing w:val="15"/>
          <w:w w:val="168"/>
        </w:rPr>
        <w:t>(</w:t>
      </w:r>
      <w:r>
        <w:rPr>
          <w:rFonts w:hint="eastAsia" w:ascii="MS UI Gothic" w:eastAsia="MS UI Gothic"/>
          <w:w w:val="75"/>
        </w:rPr>
        <w:t>２００９</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建设工程消防监督管理规定</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74"/>
        <w:ind w:firstLine="0"/>
        <w:jc w:val="left"/>
        <w:rPr>
          <w:rFonts w:hint="eastAsia" w:ascii="MS UI Gothic" w:eastAsia="MS UI Gothic"/>
        </w:rPr>
      </w:pPr>
      <w:r>
        <w:br w:type="column"/>
      </w:r>
    </w:p>
    <w:p>
      <w:pPr>
        <w:pStyle w:val="6"/>
        <w:spacing w:before="58" w:line="240" w:lineRule="exact"/>
        <w:ind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７４０</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７４５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105" w:space="93"/>
            <w:col w:w="3475" w:space="39"/>
            <w:col w:w="828"/>
          </w:cols>
        </w:sectPr>
      </w:pPr>
    </w:p>
    <w:p>
      <w:pPr>
        <w:pStyle w:val="6"/>
        <w:spacing w:before="75"/>
        <w:ind w:firstLine="0"/>
        <w:jc w:val="left"/>
        <w:rPr>
          <w:rFonts w:hint="eastAsia" w:ascii="MS UI Gothic" w:eastAsia="MS UI Gothic"/>
        </w:rPr>
      </w:pPr>
      <w:r>
        <w:rPr>
          <w:spacing w:val="2"/>
          <w:w w:val="102"/>
        </w:rPr>
        <w:t>消防监督检查规定</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58"/>
        <w:ind w:firstLine="0"/>
        <w:jc w:val="left"/>
        <w:rPr>
          <w:rFonts w:hint="eastAsia" w:ascii="MS UI Gothic" w:eastAsia="MS UI Gothic"/>
        </w:rPr>
      </w:pPr>
      <w:r>
        <w:rPr>
          <w:spacing w:val="2"/>
          <w:w w:val="102"/>
        </w:rPr>
        <w:t>火灾事故调查规定</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75"/>
        <w:ind w:firstLine="0"/>
        <w:jc w:val="left"/>
        <w:rPr>
          <w:rFonts w:hint="eastAsia" w:ascii="MS UI Gothic" w:eastAsia="MS UI Gothic"/>
        </w:rPr>
      </w:pPr>
      <w:r>
        <w:br w:type="column"/>
      </w:r>
    </w:p>
    <w:p>
      <w:pPr>
        <w:pStyle w:val="6"/>
        <w:spacing w:before="58"/>
        <w:ind w:firstLine="0"/>
        <w:jc w:val="left"/>
        <w:rPr>
          <w:rFonts w:hint="eastAsia" w:ascii="MS UI Gothic" w:eastAsia="MS UI Gothic"/>
        </w:rPr>
      </w:pPr>
    </w:p>
    <w:p>
      <w:pPr>
        <w:spacing w:before="75"/>
        <w:ind w:left="62" w:right="0" w:firstLine="0"/>
        <w:jc w:val="left"/>
        <w:rPr>
          <w:rFonts w:hint="eastAsia" w:ascii="MS UI Gothic" w:eastAsia="MS UI Gothic"/>
          <w:sz w:val="20"/>
        </w:rPr>
      </w:pPr>
      <w:r>
        <w:br w:type="column"/>
      </w:r>
      <w:r>
        <w:rPr>
          <w:rFonts w:hint="eastAsia" w:ascii="MS UI Gothic" w:eastAsia="MS UI Gothic"/>
          <w:w w:val="85"/>
          <w:sz w:val="20"/>
        </w:rPr>
        <w:t>７５１</w:t>
      </w:r>
    </w:p>
    <w:p>
      <w:pPr>
        <w:pStyle w:val="6"/>
        <w:spacing w:before="58"/>
        <w:ind w:left="62" w:firstLine="0"/>
        <w:jc w:val="left"/>
        <w:rPr>
          <w:rFonts w:hint="eastAsia" w:ascii="MS UI Gothic" w:eastAsia="MS UI Gothic"/>
        </w:rPr>
      </w:pPr>
      <w:r>
        <w:rPr>
          <w:rFonts w:hint="eastAsia" w:ascii="MS UI Gothic" w:eastAsia="MS UI Gothic"/>
          <w:w w:val="85"/>
        </w:rPr>
        <w:t>７５９</w:t>
      </w:r>
    </w:p>
    <w:p>
      <w:pPr>
        <w:spacing w:after="0"/>
        <w:jc w:val="left"/>
        <w:rPr>
          <w:rFonts w:hint="eastAsia" w:ascii="MS UI Gothic" w:eastAsia="MS UI Gothic"/>
        </w:rPr>
        <w:sectPr>
          <w:type w:val="continuous"/>
          <w:pgSz w:w="10500" w:h="14750"/>
          <w:pgMar w:top="1400" w:right="980" w:bottom="280" w:left="980" w:header="720" w:footer="720" w:gutter="0"/>
          <w:cols w:equalWidth="0" w:num="3">
            <w:col w:w="3266" w:space="93"/>
            <w:col w:w="4313" w:space="40"/>
            <w:col w:w="828"/>
          </w:cols>
        </w:sectPr>
      </w:pPr>
    </w:p>
    <w:p>
      <w:pPr>
        <w:pStyle w:val="6"/>
        <w:spacing w:before="6"/>
        <w:ind w:left="0" w:firstLine="0"/>
        <w:jc w:val="left"/>
        <w:rPr>
          <w:rFonts w:ascii="MS UI Gothic"/>
          <w:sz w:val="15"/>
        </w:rPr>
      </w:pPr>
    </w:p>
    <w:p>
      <w:pPr>
        <w:pStyle w:val="6"/>
        <w:spacing w:before="174" w:line="240" w:lineRule="exact"/>
        <w:ind w:firstLine="0"/>
        <w:jc w:val="left"/>
        <w:rPr>
          <w:rFonts w:hint="eastAsia" w:ascii="MS UI Gothic" w:eastAsia="MS UI Gothic"/>
        </w:rPr>
      </w:pPr>
      <w:r>
        <w:rPr>
          <w:spacing w:val="3"/>
        </w:rPr>
        <w:t>七</w:t>
      </w:r>
      <w:r>
        <w:rPr>
          <w:spacing w:val="25"/>
          <w:w w:val="85"/>
        </w:rPr>
        <w:t xml:space="preserve">、 </w:t>
      </w:r>
      <w:r>
        <w:rPr>
          <w:spacing w:val="3"/>
        </w:rPr>
        <w:t>防灾减灾救灾法</w:t>
      </w:r>
      <w:r>
        <w:rPr>
          <w:rFonts w:hint="eastAsia" w:ascii="MS UI Gothic" w:eastAsia="MS UI Gothic"/>
          <w:spacing w:val="-66"/>
          <w:w w:val="320"/>
        </w:rPr>
        <w:t xml:space="preserve"> </w:t>
      </w:r>
      <w:r>
        <w:rPr>
          <w:rFonts w:hint="eastAsia" w:ascii="MS UI Gothic" w:eastAsia="MS UI Gothic"/>
        </w:rPr>
        <w:t>７６５</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5"/>
        <w:ind w:firstLine="0"/>
        <w:jc w:val="left"/>
        <w:rPr>
          <w:rFonts w:hint="eastAsia" w:ascii="MS UI Gothic" w:eastAsia="MS UI Gothic"/>
        </w:rPr>
      </w:pPr>
      <w:r>
        <w:rPr>
          <w:spacing w:val="2"/>
          <w:w w:val="102"/>
        </w:rPr>
        <w:t>自然灾害救助条例</w:t>
      </w:r>
      <w:r>
        <w:rPr>
          <w:spacing w:val="8"/>
        </w:rPr>
        <w:t xml:space="preserve"> </w:t>
      </w:r>
      <w:r>
        <w:rPr>
          <w:rFonts w:hint="eastAsia" w:ascii="MS UI Gothic" w:eastAsia="MS UI Gothic"/>
          <w:spacing w:val="15"/>
          <w:w w:val="168"/>
        </w:rPr>
        <w:t>(</w:t>
      </w:r>
      <w:r>
        <w:rPr>
          <w:rFonts w:hint="eastAsia" w:ascii="MS UI Gothic" w:eastAsia="MS UI Gothic"/>
          <w:w w:val="75"/>
        </w:rPr>
        <w:t>２０１０</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社会救助暂行办法</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75"/>
        <w:ind w:firstLine="0"/>
        <w:jc w:val="left"/>
        <w:rPr>
          <w:rFonts w:hint="eastAsia" w:ascii="MS UI Gothic" w:eastAsia="MS UI Gothic"/>
        </w:rPr>
      </w:pPr>
      <w:r>
        <w:br w:type="column"/>
      </w:r>
    </w:p>
    <w:p>
      <w:pPr>
        <w:pStyle w:val="6"/>
        <w:spacing w:before="58" w:line="240" w:lineRule="exact"/>
        <w:ind w:firstLine="0"/>
        <w:jc w:val="left"/>
        <w:rPr>
          <w:rFonts w:hint="eastAsia" w:ascii="MS UI Gothic" w:eastAsia="MS UI Gothic"/>
        </w:rPr>
      </w:pPr>
    </w:p>
    <w:p>
      <w:pPr>
        <w:spacing w:before="75"/>
        <w:ind w:left="62" w:right="0" w:firstLine="0"/>
        <w:jc w:val="left"/>
        <w:rPr>
          <w:rFonts w:hint="eastAsia" w:ascii="MS UI Gothic" w:eastAsia="MS UI Gothic"/>
          <w:sz w:val="20"/>
        </w:rPr>
      </w:pPr>
      <w:r>
        <w:br w:type="column"/>
      </w:r>
      <w:r>
        <w:rPr>
          <w:rFonts w:hint="eastAsia" w:ascii="MS UI Gothic" w:eastAsia="MS UI Gothic"/>
          <w:w w:val="85"/>
          <w:sz w:val="20"/>
        </w:rPr>
        <w:t>７６５</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７６９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3266" w:space="93"/>
            <w:col w:w="4313" w:space="40"/>
            <w:col w:w="828"/>
          </w:cols>
        </w:sectPr>
      </w:pPr>
    </w:p>
    <w:p>
      <w:pPr>
        <w:pStyle w:val="6"/>
        <w:spacing w:before="74"/>
        <w:ind w:firstLine="0"/>
        <w:jc w:val="left"/>
        <w:rPr>
          <w:rFonts w:hint="eastAsia" w:ascii="MS UI Gothic" w:eastAsia="MS UI Gothic"/>
        </w:rPr>
      </w:pPr>
      <w:r>
        <w:rPr>
          <w:spacing w:val="2"/>
          <w:w w:val="102"/>
        </w:rPr>
        <w:t>中华人民共和国气象法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２０１６</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人工影响天气管理条例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２００２</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firstLine="0"/>
        <w:jc w:val="left"/>
        <w:rPr>
          <w:rFonts w:hint="eastAsia" w:ascii="MS UI Gothic" w:eastAsia="MS UI Gothic"/>
        </w:rPr>
      </w:pPr>
      <w:r>
        <w:br w:type="column"/>
      </w:r>
    </w:p>
    <w:p>
      <w:pPr>
        <w:pStyle w:val="6"/>
        <w:spacing w:before="58" w:line="240" w:lineRule="exact"/>
        <w:ind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７７５</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７８０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3686" w:space="93"/>
            <w:col w:w="3894" w:space="39"/>
            <w:col w:w="828"/>
          </w:cols>
        </w:sectPr>
      </w:pPr>
    </w:p>
    <w:p>
      <w:pPr>
        <w:pStyle w:val="6"/>
        <w:tabs>
          <w:tab w:val="left" w:pos="3484"/>
        </w:tabs>
        <w:spacing w:before="75" w:line="240" w:lineRule="exact"/>
        <w:ind w:firstLine="0"/>
        <w:jc w:val="left"/>
        <w:rPr>
          <w:rFonts w:hint="eastAsia" w:ascii="MS UI Gothic" w:eastAsia="MS UI Gothic"/>
        </w:rPr>
      </w:pPr>
      <w:r>
        <w:rPr>
          <w:spacing w:val="3"/>
          <w:w w:val="102"/>
        </w:rPr>
        <w:t>气象灾害防御条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p>
    <w:p>
      <w:pPr>
        <w:spacing w:before="75"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７８３</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4951"/>
        </w:tabs>
        <w:spacing w:before="74" w:line="240" w:lineRule="exact"/>
        <w:ind w:firstLine="0"/>
        <w:jc w:val="left"/>
        <w:rPr>
          <w:rFonts w:hint="eastAsia" w:ascii="MS UI Gothic" w:eastAsia="MS UI Gothic"/>
        </w:rPr>
      </w:pPr>
      <w:r>
        <w:rPr>
          <w:spacing w:val="3"/>
          <w:w w:val="102"/>
        </w:rPr>
        <w:t>气象设施和气象探测环境保护条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７８８</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pStyle w:val="6"/>
        <w:tabs>
          <w:tab w:val="left" w:pos="3903"/>
        </w:tabs>
        <w:spacing w:before="74"/>
        <w:ind w:firstLine="0"/>
        <w:jc w:val="left"/>
        <w:rPr>
          <w:rFonts w:hint="eastAsia" w:ascii="MS UI Gothic" w:eastAsia="MS UI Gothic"/>
        </w:rPr>
      </w:pPr>
      <w:r>
        <w:rPr>
          <w:spacing w:val="3"/>
          <w:w w:val="102"/>
        </w:rPr>
        <w:t>海洋观测预报管理条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７９２</w:t>
      </w:r>
    </w:p>
    <w:p>
      <w:pPr>
        <w:spacing w:after="0"/>
        <w:jc w:val="left"/>
        <w:rPr>
          <w:rFonts w:hint="eastAsia" w:ascii="MS UI Gothic" w:eastAsia="MS UI Gothic"/>
          <w:sz w:val="20"/>
        </w:rPr>
        <w:sectPr>
          <w:type w:val="continuous"/>
          <w:pgSz w:w="10500" w:h="14750"/>
          <w:pgMar w:top="1400" w:right="980" w:bottom="280" w:left="980" w:header="720" w:footer="720" w:gutter="0"/>
          <w:cols w:equalWidth="0" w:num="2">
            <w:col w:w="7673" w:space="40"/>
            <w:col w:w="827"/>
          </w:cols>
        </w:sectPr>
      </w:pPr>
    </w:p>
    <w:p>
      <w:pPr>
        <w:tabs>
          <w:tab w:val="left" w:pos="4692"/>
          <w:tab w:val="left" w:pos="7617"/>
        </w:tabs>
        <w:spacing w:before="162"/>
        <w:ind w:left="3971" w:right="0" w:firstLine="0"/>
        <w:jc w:val="left"/>
        <w:rPr>
          <w:rFonts w:hint="eastAsia" w:ascii="MS UI Gothic" w:eastAsia="MS UI Gothic"/>
          <w:sz w:val="20"/>
        </w:rPr>
      </w:pPr>
      <w:r>
        <w:pict>
          <v:group id="_x0000_s1040" o:spid="_x0000_s1040" o:spt="203" style="position:absolute;left:0pt;margin-left:70.95pt;margin-top:23.85pt;height:2.15pt;width:398.25pt;mso-position-horizontal-relative:page;mso-wrap-distance-bottom:0pt;mso-wrap-distance-top:0pt;z-index:-251653120;mso-width-relative:page;mso-height-relative:page;" coordorigin="1419,477" coordsize="7965,43">
            <o:lock v:ext="edit"/>
            <v:line id="_x0000_s1041" o:spid="_x0000_s1041" o:spt="20" style="position:absolute;left:1419;top:516;height:0;width:7965;" stroked="t" coordsize="21600,21600">
              <v:path arrowok="t"/>
              <v:fill focussize="0,0"/>
              <v:stroke weight="0.388031496062992pt" color="#231F20"/>
              <v:imagedata o:title=""/>
              <o:lock v:ext="edit"/>
            </v:line>
            <v:line id="_x0000_s1042" o:spid="_x0000_s1042" o:spt="20" style="position:absolute;left:1419;top:481;height:0;width:7965;" stroked="t" coordsize="21600,21600">
              <v:path arrowok="t"/>
              <v:fill focussize="0,0"/>
              <v:stroke weight="0.388031496062992pt" color="#231F20"/>
              <v:imagedata o:title=""/>
              <o:lock v:ext="edit"/>
            </v:line>
            <w10:wrap type="topAndBottom"/>
          </v:group>
        </w:pict>
      </w:r>
      <w:r>
        <w:rPr>
          <w:w w:val="103"/>
          <w:sz w:val="17"/>
        </w:rPr>
        <w:t>目</w:t>
      </w:r>
      <w:r>
        <w:rPr>
          <w:sz w:val="17"/>
        </w:rPr>
        <w:tab/>
      </w:r>
      <w:r>
        <w:rPr>
          <w:w w:val="103"/>
          <w:sz w:val="17"/>
        </w:rPr>
        <w:t>录</w:t>
      </w:r>
      <w:r>
        <w:rPr>
          <w:sz w:val="17"/>
        </w:rPr>
        <w:tab/>
      </w:r>
      <w:r>
        <w:rPr>
          <w:rFonts w:hint="eastAsia" w:ascii="MS UI Gothic" w:eastAsia="MS UI Gothic"/>
          <w:spacing w:val="1"/>
          <w:w w:val="75"/>
          <w:sz w:val="20"/>
        </w:rPr>
        <w:t>５</w:t>
      </w:r>
    </w:p>
    <w:p>
      <w:pPr>
        <w:pStyle w:val="6"/>
        <w:spacing w:before="163" w:line="240" w:lineRule="exact"/>
        <w:ind w:left="440" w:firstLine="0"/>
        <w:jc w:val="left"/>
        <w:rPr>
          <w:rFonts w:hint="eastAsia" w:ascii="MS UI Gothic" w:eastAsia="MS UI Gothic"/>
        </w:rPr>
      </w:pPr>
      <w:r>
        <w:t>自然灾害救助规章</w:t>
      </w:r>
      <w:r>
        <w:rPr>
          <w:rFonts w:hint="eastAsia" w:ascii="MS UI Gothic" w:eastAsia="MS UI Gothic"/>
          <w:w w:val="320"/>
        </w:rPr>
        <w:t xml:space="preserve"> </w:t>
      </w:r>
      <w:r>
        <w:rPr>
          <w:rFonts w:hint="eastAsia" w:ascii="MS UI Gothic" w:eastAsia="MS UI Gothic"/>
        </w:rPr>
        <w:t>７９６</w:t>
      </w:r>
    </w:p>
    <w:p>
      <w:pPr>
        <w:spacing w:after="0" w:line="240" w:lineRule="exact"/>
        <w:jc w:val="left"/>
        <w:rPr>
          <w:rFonts w:hint="eastAsia" w:ascii="MS UI Gothic" w:eastAsia="MS UI Gothic"/>
        </w:rPr>
        <w:sectPr>
          <w:pgSz w:w="10500" w:h="14750"/>
          <w:pgMar w:top="960" w:right="980" w:bottom="280" w:left="980" w:header="720" w:footer="720" w:gutter="0"/>
        </w:sectPr>
      </w:pPr>
    </w:p>
    <w:p>
      <w:pPr>
        <w:pStyle w:val="6"/>
        <w:spacing w:before="74"/>
        <w:ind w:left="440" w:firstLine="0"/>
        <w:jc w:val="left"/>
        <w:rPr>
          <w:rFonts w:hint="eastAsia" w:ascii="MS UI Gothic" w:eastAsia="MS UI Gothic"/>
        </w:rPr>
      </w:pPr>
      <w:r>
        <w:rPr>
          <w:spacing w:val="2"/>
          <w:w w:val="102"/>
        </w:rPr>
        <w:t>国家自然灾害救助应急预案</w:t>
      </w:r>
      <w:r>
        <w:rPr>
          <w:spacing w:val="8"/>
        </w:rPr>
        <w:t xml:space="preserve"> </w:t>
      </w:r>
      <w:r>
        <w:rPr>
          <w:rFonts w:hint="eastAsia" w:ascii="MS UI Gothic" w:eastAsia="MS UI Gothic"/>
          <w:spacing w:val="15"/>
          <w:w w:val="168"/>
        </w:rPr>
        <w:t>(</w:t>
      </w:r>
      <w:r>
        <w:rPr>
          <w:rFonts w:hint="eastAsia" w:ascii="MS UI Gothic" w:eastAsia="MS UI Gothic"/>
          <w:w w:val="75"/>
        </w:rPr>
        <w:t>２０１６</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left="440" w:firstLine="0"/>
        <w:jc w:val="left"/>
        <w:rPr>
          <w:rFonts w:hint="eastAsia" w:ascii="MS UI Gothic" w:eastAsia="MS UI Gothic"/>
        </w:rPr>
      </w:pPr>
      <w:r>
        <w:rPr>
          <w:spacing w:val="2"/>
          <w:w w:val="102"/>
        </w:rPr>
        <w:t>中华人民共和国防震减灾法</w:t>
      </w:r>
      <w:r>
        <w:rPr>
          <w:spacing w:val="8"/>
        </w:rPr>
        <w:t xml:space="preserve"> </w:t>
      </w:r>
      <w:r>
        <w:rPr>
          <w:rFonts w:hint="eastAsia" w:ascii="MS UI Gothic" w:eastAsia="MS UI Gothic"/>
          <w:spacing w:val="15"/>
          <w:w w:val="168"/>
        </w:rPr>
        <w:t>(</w:t>
      </w:r>
      <w:r>
        <w:rPr>
          <w:rFonts w:hint="eastAsia" w:ascii="MS UI Gothic" w:eastAsia="MS UI Gothic"/>
          <w:w w:val="75"/>
        </w:rPr>
        <w:t>２００８</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74"/>
        <w:ind w:left="218" w:firstLine="0"/>
        <w:jc w:val="left"/>
        <w:rPr>
          <w:rFonts w:hint="eastAsia" w:ascii="MS UI Gothic" w:eastAsia="MS UI Gothic"/>
        </w:rPr>
      </w:pPr>
      <w:r>
        <w:br w:type="column"/>
      </w:r>
    </w:p>
    <w:p>
      <w:pPr>
        <w:pStyle w:val="6"/>
        <w:spacing w:before="58" w:line="240" w:lineRule="exact"/>
        <w:ind w:left="218"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７９７</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８０６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381" w:space="40"/>
            <w:col w:w="3568" w:space="39"/>
            <w:col w:w="512"/>
          </w:cols>
        </w:sectPr>
      </w:pPr>
    </w:p>
    <w:p>
      <w:pPr>
        <w:pStyle w:val="6"/>
        <w:spacing w:before="74"/>
        <w:ind w:left="440" w:firstLine="0"/>
        <w:jc w:val="left"/>
        <w:rPr>
          <w:rFonts w:hint="eastAsia" w:ascii="MS UI Gothic" w:eastAsia="MS UI Gothic"/>
        </w:rPr>
      </w:pPr>
      <w:r>
        <w:rPr>
          <w:spacing w:val="2"/>
          <w:w w:val="102"/>
        </w:rPr>
        <w:t>破坏性地震应急条例</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59" w:line="240" w:lineRule="exact"/>
        <w:ind w:left="440" w:firstLine="0"/>
        <w:jc w:val="left"/>
        <w:rPr>
          <w:rFonts w:hint="eastAsia" w:ascii="MS UI Gothic" w:eastAsia="MS UI Gothic"/>
        </w:rPr>
      </w:pPr>
      <w:r>
        <w:rPr>
          <w:spacing w:val="2"/>
          <w:w w:val="102"/>
        </w:rPr>
        <w:t>地震预报管理条例</w:t>
      </w:r>
      <w:r>
        <w:rPr>
          <w:spacing w:val="8"/>
        </w:rPr>
        <w:t xml:space="preserve"> </w:t>
      </w:r>
      <w:r>
        <w:rPr>
          <w:rFonts w:hint="eastAsia" w:ascii="MS UI Gothic" w:eastAsia="MS UI Gothic"/>
          <w:spacing w:val="15"/>
          <w:w w:val="168"/>
        </w:rPr>
        <w:t>(</w:t>
      </w:r>
      <w:r>
        <w:rPr>
          <w:rFonts w:hint="eastAsia" w:ascii="MS UI Gothic" w:eastAsia="MS UI Gothic"/>
          <w:w w:val="75"/>
        </w:rPr>
        <w:t>１９９８</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218" w:firstLine="0"/>
        <w:jc w:val="left"/>
        <w:rPr>
          <w:rFonts w:hint="eastAsia" w:ascii="MS UI Gothic" w:eastAsia="MS UI Gothic"/>
        </w:rPr>
      </w:pPr>
      <w:r>
        <w:br w:type="column"/>
      </w:r>
    </w:p>
    <w:p>
      <w:pPr>
        <w:pStyle w:val="6"/>
        <w:spacing w:before="59" w:line="240" w:lineRule="exact"/>
        <w:ind w:left="8"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８１６</w:t>
      </w:r>
    </w:p>
    <w:p>
      <w:pPr>
        <w:pStyle w:val="6"/>
        <w:spacing w:before="59" w:line="240" w:lineRule="exact"/>
        <w:ind w:left="62" w:firstLine="0"/>
        <w:jc w:val="left"/>
        <w:rPr>
          <w:rFonts w:hint="eastAsia" w:ascii="MS UI Gothic" w:eastAsia="MS UI Gothic"/>
        </w:rPr>
      </w:pPr>
      <w:r>
        <w:rPr>
          <w:rFonts w:hint="eastAsia" w:ascii="MS UI Gothic" w:eastAsia="MS UI Gothic"/>
          <w:w w:val="85"/>
        </w:rPr>
        <w:t>８２０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3752" w:space="40"/>
            <w:col w:w="4197" w:space="39"/>
            <w:col w:w="512"/>
          </w:cols>
        </w:sectPr>
      </w:pPr>
    </w:p>
    <w:p>
      <w:pPr>
        <w:pStyle w:val="6"/>
        <w:tabs>
          <w:tab w:val="left" w:pos="4429"/>
        </w:tabs>
        <w:spacing w:before="74" w:line="240" w:lineRule="exact"/>
        <w:ind w:left="440" w:firstLine="0"/>
        <w:jc w:val="left"/>
        <w:rPr>
          <w:rFonts w:hint="eastAsia" w:ascii="MS UI Gothic" w:eastAsia="MS UI Gothic"/>
        </w:rPr>
      </w:pPr>
      <w:r>
        <w:rPr>
          <w:spacing w:val="3"/>
          <w:w w:val="102"/>
        </w:rPr>
        <w:t>地震安全性评价管理条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１９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８２２</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tabs>
          <w:tab w:val="left" w:pos="3800"/>
        </w:tabs>
        <w:spacing w:before="74" w:line="240" w:lineRule="exact"/>
        <w:ind w:left="440" w:firstLine="0"/>
        <w:jc w:val="left"/>
        <w:rPr>
          <w:rFonts w:hint="eastAsia" w:ascii="MS UI Gothic" w:eastAsia="MS UI Gothic"/>
        </w:rPr>
      </w:pPr>
      <w:r>
        <w:rPr>
          <w:spacing w:val="3"/>
          <w:w w:val="102"/>
        </w:rPr>
        <w:t>地震监测管理条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８２４</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2">
            <w:col w:w="7989" w:space="40"/>
            <w:col w:w="511"/>
          </w:cols>
        </w:sectPr>
      </w:pPr>
    </w:p>
    <w:p>
      <w:pPr>
        <w:pStyle w:val="6"/>
        <w:tabs>
          <w:tab w:val="left" w:pos="4638"/>
        </w:tabs>
        <w:spacing w:before="75" w:line="240" w:lineRule="exact"/>
        <w:ind w:left="440" w:firstLine="0"/>
        <w:jc w:val="left"/>
        <w:rPr>
          <w:rFonts w:hint="eastAsia" w:ascii="MS UI Gothic" w:eastAsia="MS UI Gothic"/>
        </w:rPr>
      </w:pPr>
      <w:r>
        <w:rPr>
          <w:spacing w:val="3"/>
          <w:w w:val="102"/>
        </w:rPr>
        <w:t>汶川地震灾后恢复重建条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２００８</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８２８</w:t>
      </w:r>
    </w:p>
    <w:p>
      <w:pPr>
        <w:pStyle w:val="6"/>
        <w:spacing w:before="74" w:line="240" w:lineRule="exact"/>
        <w:ind w:left="440" w:firstLine="0"/>
        <w:jc w:val="left"/>
        <w:rPr>
          <w:rFonts w:hint="eastAsia" w:ascii="MS UI Gothic" w:eastAsia="MS UI Gothic"/>
        </w:rPr>
      </w:pPr>
      <w:r>
        <w:rPr>
          <w:spacing w:val="3"/>
        </w:rPr>
        <w:t>地震应急规章</w:t>
      </w:r>
      <w:r>
        <w:rPr>
          <w:rFonts w:hint="eastAsia" w:ascii="MS UI Gothic" w:eastAsia="MS UI Gothic"/>
          <w:spacing w:val="188"/>
          <w:w w:val="320"/>
        </w:rPr>
        <w:t xml:space="preserve"> </w:t>
      </w:r>
      <w:r>
        <w:rPr>
          <w:rFonts w:hint="eastAsia" w:ascii="MS UI Gothic" w:eastAsia="MS UI Gothic"/>
        </w:rPr>
        <w:t>８３７</w:t>
      </w:r>
    </w:p>
    <w:p>
      <w:pPr>
        <w:pStyle w:val="6"/>
        <w:tabs>
          <w:tab w:val="left" w:pos="3800"/>
        </w:tabs>
        <w:spacing w:before="74" w:line="240" w:lineRule="exact"/>
        <w:ind w:left="440" w:firstLine="0"/>
        <w:jc w:val="left"/>
        <w:rPr>
          <w:rFonts w:hint="eastAsia" w:ascii="MS UI Gothic" w:eastAsia="MS UI Gothic"/>
        </w:rPr>
      </w:pPr>
      <w:r>
        <w:rPr>
          <w:spacing w:val="3"/>
          <w:w w:val="102"/>
        </w:rPr>
        <w:t>国家地震应急预</w:t>
      </w:r>
      <w:r>
        <w:rPr>
          <w:w w:val="102"/>
        </w:rPr>
        <w:t>案</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８３７</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5"/>
        <w:ind w:left="440" w:firstLine="0"/>
        <w:jc w:val="left"/>
        <w:rPr>
          <w:rFonts w:hint="eastAsia" w:ascii="MS UI Gothic" w:eastAsia="MS UI Gothic"/>
        </w:rPr>
      </w:pPr>
      <w:r>
        <w:rPr>
          <w:spacing w:val="2"/>
          <w:w w:val="102"/>
        </w:rPr>
        <w:t>中华人民共和国防洪法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２０１６</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ind w:left="440" w:firstLine="0"/>
        <w:jc w:val="left"/>
        <w:rPr>
          <w:rFonts w:hint="eastAsia" w:ascii="MS UI Gothic" w:eastAsia="MS UI Gothic"/>
        </w:rPr>
      </w:pPr>
      <w:r>
        <w:rPr>
          <w:spacing w:val="2"/>
          <w:w w:val="102"/>
        </w:rPr>
        <w:t>中华人民共和国水法</w:t>
      </w:r>
      <w:r>
        <w:rPr>
          <w:spacing w:val="8"/>
        </w:rPr>
        <w:t xml:space="preserve"> </w:t>
      </w:r>
      <w:r>
        <w:rPr>
          <w:rFonts w:hint="eastAsia" w:ascii="MS UI Gothic" w:eastAsia="MS UI Gothic"/>
          <w:spacing w:val="15"/>
          <w:w w:val="168"/>
        </w:rPr>
        <w:t>(</w:t>
      </w:r>
      <w:r>
        <w:rPr>
          <w:rFonts w:hint="eastAsia" w:ascii="MS UI Gothic" w:eastAsia="MS UI Gothic"/>
          <w:w w:val="75"/>
        </w:rPr>
        <w:t>２０１６</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line="240" w:lineRule="exact"/>
        <w:ind w:left="440" w:firstLine="0"/>
        <w:jc w:val="left"/>
        <w:rPr>
          <w:rFonts w:hint="eastAsia" w:ascii="MS UI Gothic" w:eastAsia="MS UI Gothic"/>
        </w:rPr>
      </w:pPr>
      <w:r>
        <w:rPr>
          <w:spacing w:val="2"/>
          <w:w w:val="102"/>
        </w:rPr>
        <w:t>水库大坝安全管理条例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5"/>
        <w:ind w:left="218" w:firstLine="0"/>
        <w:jc w:val="left"/>
        <w:rPr>
          <w:rFonts w:hint="eastAsia" w:ascii="MS UI Gothic" w:eastAsia="MS UI Gothic"/>
        </w:rPr>
      </w:pPr>
      <w:r>
        <w:br w:type="column"/>
      </w:r>
    </w:p>
    <w:p>
      <w:pPr>
        <w:pStyle w:val="6"/>
        <w:spacing w:before="58"/>
        <w:ind w:left="8" w:firstLine="0"/>
        <w:jc w:val="left"/>
        <w:rPr>
          <w:rFonts w:hint="eastAsia" w:ascii="MS UI Gothic" w:eastAsia="MS UI Gothic"/>
        </w:rPr>
      </w:pPr>
    </w:p>
    <w:p>
      <w:pPr>
        <w:pStyle w:val="6"/>
        <w:spacing w:before="58" w:line="240" w:lineRule="exact"/>
        <w:ind w:left="218" w:firstLine="0"/>
        <w:jc w:val="left"/>
        <w:rPr>
          <w:rFonts w:hint="eastAsia" w:ascii="MS UI Gothic" w:eastAsia="MS UI Gothic"/>
        </w:rPr>
      </w:pPr>
    </w:p>
    <w:p>
      <w:pPr>
        <w:spacing w:before="75"/>
        <w:ind w:left="62" w:right="0" w:firstLine="0"/>
        <w:jc w:val="left"/>
        <w:rPr>
          <w:rFonts w:hint="eastAsia" w:ascii="MS UI Gothic" w:eastAsia="MS UI Gothic"/>
          <w:sz w:val="20"/>
        </w:rPr>
      </w:pPr>
      <w:r>
        <w:br w:type="column"/>
      </w:r>
      <w:r>
        <w:rPr>
          <w:rFonts w:hint="eastAsia" w:ascii="MS UI Gothic" w:eastAsia="MS UI Gothic"/>
          <w:w w:val="85"/>
          <w:sz w:val="20"/>
        </w:rPr>
        <w:t>８４７</w:t>
      </w:r>
    </w:p>
    <w:p>
      <w:pPr>
        <w:pStyle w:val="6"/>
        <w:spacing w:before="58"/>
        <w:ind w:left="62" w:firstLine="0"/>
        <w:jc w:val="left"/>
        <w:rPr>
          <w:rFonts w:hint="eastAsia" w:ascii="MS UI Gothic" w:eastAsia="MS UI Gothic"/>
        </w:rPr>
      </w:pPr>
      <w:r>
        <w:rPr>
          <w:rFonts w:hint="eastAsia" w:ascii="MS UI Gothic" w:eastAsia="MS UI Gothic"/>
          <w:w w:val="85"/>
        </w:rPr>
        <w:t>８５５</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８６４</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3962" w:space="40"/>
            <w:col w:w="3987" w:space="39"/>
            <w:col w:w="512"/>
          </w:cols>
        </w:sectPr>
      </w:pPr>
    </w:p>
    <w:p>
      <w:pPr>
        <w:pStyle w:val="6"/>
        <w:spacing w:before="74"/>
        <w:ind w:left="440" w:firstLine="0"/>
        <w:jc w:val="left"/>
        <w:rPr>
          <w:rFonts w:hint="eastAsia" w:ascii="MS UI Gothic" w:eastAsia="MS UI Gothic"/>
        </w:rPr>
      </w:pPr>
      <w:r>
        <w:rPr>
          <w:spacing w:val="2"/>
          <w:w w:val="102"/>
        </w:rPr>
        <w:t>中华人民共和国防汛条例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２０１１</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line="240" w:lineRule="exact"/>
        <w:ind w:left="440" w:firstLine="0"/>
        <w:jc w:val="left"/>
        <w:rPr>
          <w:rFonts w:hint="eastAsia" w:ascii="MS UI Gothic" w:eastAsia="MS UI Gothic"/>
        </w:rPr>
      </w:pPr>
      <w:r>
        <w:rPr>
          <w:spacing w:val="2"/>
          <w:w w:val="102"/>
        </w:rPr>
        <w:t>中华人民共和国抗旱条例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２００９</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218" w:firstLine="0"/>
        <w:jc w:val="left"/>
        <w:rPr>
          <w:rFonts w:hint="eastAsia" w:ascii="MS UI Gothic" w:eastAsia="MS UI Gothic"/>
        </w:rPr>
      </w:pPr>
      <w:r>
        <w:br w:type="column"/>
      </w:r>
    </w:p>
    <w:p>
      <w:pPr>
        <w:pStyle w:val="6"/>
        <w:spacing w:before="58" w:line="240" w:lineRule="exact"/>
        <w:ind w:left="218"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８６７</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８７３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172" w:space="40"/>
            <w:col w:w="3778" w:space="39"/>
            <w:col w:w="511"/>
          </w:cols>
        </w:sectPr>
      </w:pPr>
    </w:p>
    <w:p>
      <w:pPr>
        <w:pStyle w:val="6"/>
        <w:tabs>
          <w:tab w:val="left" w:pos="3800"/>
        </w:tabs>
        <w:spacing w:before="75" w:line="240" w:lineRule="exact"/>
        <w:ind w:left="440" w:firstLine="0"/>
        <w:jc w:val="left"/>
        <w:rPr>
          <w:rFonts w:hint="eastAsia" w:ascii="MS UI Gothic" w:eastAsia="MS UI Gothic"/>
        </w:rPr>
      </w:pPr>
      <w:r>
        <w:rPr>
          <w:spacing w:val="3"/>
          <w:w w:val="102"/>
        </w:rPr>
        <w:t>黄河水量调度条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２００６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８７８</w:t>
      </w:r>
    </w:p>
    <w:p>
      <w:pPr>
        <w:pStyle w:val="6"/>
        <w:spacing w:before="74" w:line="240" w:lineRule="exact"/>
        <w:ind w:left="440" w:firstLine="0"/>
        <w:jc w:val="left"/>
        <w:rPr>
          <w:rFonts w:hint="eastAsia" w:ascii="MS UI Gothic" w:eastAsia="MS UI Gothic"/>
        </w:rPr>
      </w:pPr>
      <w:r>
        <w:rPr>
          <w:spacing w:val="3"/>
        </w:rPr>
        <w:t>防汛抗旱应急规章</w:t>
      </w:r>
      <w:r>
        <w:rPr>
          <w:rFonts w:hint="eastAsia" w:ascii="MS UI Gothic" w:eastAsia="MS UI Gothic"/>
          <w:spacing w:val="176"/>
          <w:w w:val="320"/>
        </w:rPr>
        <w:t xml:space="preserve"> </w:t>
      </w:r>
      <w:r>
        <w:rPr>
          <w:rFonts w:hint="eastAsia" w:ascii="MS UI Gothic" w:eastAsia="MS UI Gothic"/>
        </w:rPr>
        <w:t>８８３</w:t>
      </w:r>
    </w:p>
    <w:p>
      <w:pPr>
        <w:pStyle w:val="6"/>
        <w:tabs>
          <w:tab w:val="left" w:pos="4219"/>
        </w:tabs>
        <w:spacing w:before="74" w:line="240" w:lineRule="exact"/>
        <w:ind w:left="440" w:firstLine="0"/>
        <w:jc w:val="left"/>
        <w:rPr>
          <w:rFonts w:hint="eastAsia" w:ascii="MS UI Gothic" w:eastAsia="MS UI Gothic"/>
        </w:rPr>
      </w:pPr>
      <w:r>
        <w:rPr>
          <w:spacing w:val="3"/>
          <w:w w:val="102"/>
        </w:rPr>
        <w:t>国家防汛抗旱应急预</w:t>
      </w:r>
      <w:r>
        <w:rPr>
          <w:w w:val="102"/>
        </w:rPr>
        <w:t>案</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０</w:t>
      </w:r>
      <w:r>
        <w:rPr>
          <w:rFonts w:hint="eastAsia" w:ascii="MS UI Gothic" w:eastAsia="MS UI Gothic"/>
          <w:w w:val="75"/>
        </w:rPr>
        <w:t>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８８３</w:t>
      </w:r>
    </w:p>
    <w:p>
      <w:pPr>
        <w:pStyle w:val="6"/>
        <w:tabs>
          <w:tab w:val="left" w:pos="5476"/>
        </w:tabs>
        <w:spacing w:before="75" w:line="240" w:lineRule="exact"/>
        <w:ind w:left="440" w:firstLine="0"/>
        <w:jc w:val="left"/>
        <w:rPr>
          <w:rFonts w:hint="eastAsia" w:ascii="MS UI Gothic" w:eastAsia="MS UI Gothic"/>
        </w:rPr>
      </w:pPr>
      <w:r>
        <w:rPr>
          <w:spacing w:val="3"/>
          <w:w w:val="102"/>
        </w:rPr>
        <w:t>中华人民共和国进出境动植物检疫</w:t>
      </w:r>
      <w:r>
        <w:rPr>
          <w:w w:val="102"/>
        </w:rPr>
        <w:t>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w:t>
      </w:r>
      <w:r>
        <w:rPr>
          <w:rFonts w:hint="eastAsia" w:ascii="MS UI Gothic" w:eastAsia="MS UI Gothic"/>
          <w:w w:val="75"/>
        </w:rPr>
        <w:t>００９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８９６</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4"/>
        <w:ind w:left="440" w:firstLine="0"/>
        <w:jc w:val="left"/>
        <w:rPr>
          <w:rFonts w:hint="eastAsia" w:ascii="MS UI Gothic" w:eastAsia="MS UI Gothic"/>
        </w:rPr>
      </w:pPr>
      <w:r>
        <w:rPr>
          <w:spacing w:val="2"/>
          <w:w w:val="102"/>
        </w:rPr>
        <w:t>地质灾害防治条例</w:t>
      </w:r>
      <w:r>
        <w:rPr>
          <w:spacing w:val="8"/>
        </w:rPr>
        <w:t xml:space="preserve"> </w:t>
      </w:r>
      <w:r>
        <w:rPr>
          <w:rFonts w:hint="eastAsia" w:ascii="MS UI Gothic" w:eastAsia="MS UI Gothic"/>
          <w:spacing w:val="15"/>
          <w:w w:val="168"/>
        </w:rPr>
        <w:t>(</w:t>
      </w:r>
      <w:r>
        <w:rPr>
          <w:rFonts w:hint="eastAsia" w:ascii="MS UI Gothic" w:eastAsia="MS UI Gothic"/>
          <w:w w:val="75"/>
        </w:rPr>
        <w:t>２００３</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left="440" w:firstLine="0"/>
        <w:jc w:val="left"/>
        <w:rPr>
          <w:rFonts w:hint="eastAsia" w:ascii="MS UI Gothic" w:eastAsia="MS UI Gothic"/>
        </w:rPr>
      </w:pPr>
      <w:r>
        <w:rPr>
          <w:spacing w:val="2"/>
          <w:w w:val="102"/>
        </w:rPr>
        <w:t>地质资料管理条例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74"/>
        <w:ind w:left="218" w:firstLine="0"/>
        <w:jc w:val="left"/>
        <w:rPr>
          <w:rFonts w:hint="eastAsia" w:ascii="MS UI Gothic" w:eastAsia="MS UI Gothic"/>
        </w:rPr>
      </w:pPr>
      <w:r>
        <w:br w:type="column"/>
      </w:r>
    </w:p>
    <w:p>
      <w:pPr>
        <w:pStyle w:val="6"/>
        <w:spacing w:before="58" w:line="240" w:lineRule="exact"/>
        <w:ind w:left="218"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９００</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９０７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3543" w:space="40"/>
            <w:col w:w="4407" w:space="39"/>
            <w:col w:w="511"/>
          </w:cols>
        </w:sectPr>
      </w:pPr>
    </w:p>
    <w:p>
      <w:pPr>
        <w:pStyle w:val="6"/>
        <w:spacing w:before="74" w:line="240" w:lineRule="exact"/>
        <w:ind w:left="440" w:firstLine="0"/>
        <w:jc w:val="left"/>
        <w:rPr>
          <w:rFonts w:hint="eastAsia" w:ascii="MS UI Gothic" w:eastAsia="MS UI Gothic"/>
        </w:rPr>
      </w:pPr>
      <w:r>
        <w:rPr>
          <w:spacing w:val="3"/>
        </w:rPr>
        <w:t>地质灾害应急规章</w:t>
      </w:r>
      <w:r>
        <w:rPr>
          <w:rFonts w:hint="eastAsia" w:ascii="MS UI Gothic" w:eastAsia="MS UI Gothic"/>
          <w:spacing w:val="176"/>
          <w:w w:val="320"/>
        </w:rPr>
        <w:t xml:space="preserve"> </w:t>
      </w:r>
      <w:r>
        <w:rPr>
          <w:rFonts w:hint="eastAsia" w:ascii="MS UI Gothic" w:eastAsia="MS UI Gothic"/>
        </w:rPr>
        <w:t>９１１</w:t>
      </w:r>
    </w:p>
    <w:p>
      <w:pPr>
        <w:pStyle w:val="6"/>
        <w:tabs>
          <w:tab w:val="left" w:pos="4638"/>
        </w:tabs>
        <w:spacing w:before="75" w:line="240" w:lineRule="exact"/>
        <w:ind w:left="440" w:firstLine="0"/>
        <w:jc w:val="left"/>
        <w:rPr>
          <w:rFonts w:hint="eastAsia" w:ascii="MS UI Gothic" w:eastAsia="MS UI Gothic"/>
        </w:rPr>
      </w:pPr>
      <w:r>
        <w:rPr>
          <w:spacing w:val="3"/>
          <w:w w:val="102"/>
        </w:rPr>
        <w:t>国家突发地质灾害应急预</w:t>
      </w:r>
      <w:r>
        <w:rPr>
          <w:w w:val="102"/>
        </w:rPr>
        <w:t>案</w:t>
      </w:r>
      <w:r>
        <w:rPr>
          <w:spacing w:val="8"/>
        </w:rPr>
        <w:t xml:space="preserve"> </w:t>
      </w:r>
      <w:r>
        <w:rPr>
          <w:rFonts w:hint="eastAsia" w:ascii="MS UI Gothic" w:eastAsia="MS UI Gothic"/>
          <w:spacing w:val="15"/>
          <w:w w:val="168"/>
        </w:rPr>
        <w:t>(</w:t>
      </w:r>
      <w:r>
        <w:rPr>
          <w:rFonts w:hint="eastAsia" w:ascii="MS UI Gothic" w:eastAsia="MS UI Gothic"/>
          <w:w w:val="75"/>
        </w:rPr>
        <w:t>２００６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９１１</w:t>
      </w:r>
    </w:p>
    <w:p>
      <w:pPr>
        <w:pStyle w:val="6"/>
        <w:tabs>
          <w:tab w:val="left" w:pos="4009"/>
        </w:tabs>
        <w:spacing w:before="74"/>
        <w:ind w:left="440" w:firstLine="0"/>
        <w:jc w:val="left"/>
        <w:rPr>
          <w:rFonts w:hint="eastAsia" w:ascii="MS UI Gothic" w:eastAsia="MS UI Gothic"/>
        </w:rPr>
      </w:pPr>
      <w:r>
        <w:rPr>
          <w:spacing w:val="3"/>
          <w:w w:val="102"/>
        </w:rPr>
        <w:t>森林病虫害防治条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１９８９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９１６</w:t>
      </w:r>
    </w:p>
    <w:p>
      <w:pPr>
        <w:pStyle w:val="6"/>
        <w:spacing w:before="6"/>
        <w:ind w:left="0" w:firstLine="0"/>
        <w:jc w:val="left"/>
        <w:rPr>
          <w:rFonts w:ascii="MS UI Gothic"/>
          <w:sz w:val="15"/>
        </w:rPr>
      </w:pPr>
    </w:p>
    <w:p>
      <w:pPr>
        <w:pStyle w:val="6"/>
        <w:spacing w:before="174" w:line="240" w:lineRule="exact"/>
        <w:ind w:left="440" w:firstLine="0"/>
        <w:jc w:val="left"/>
        <w:rPr>
          <w:rFonts w:hint="eastAsia" w:ascii="MS UI Gothic" w:eastAsia="MS UI Gothic"/>
        </w:rPr>
      </w:pPr>
      <w:r>
        <w:rPr>
          <w:spacing w:val="3"/>
        </w:rPr>
        <w:t>八</w:t>
      </w:r>
      <w:r>
        <w:rPr>
          <w:spacing w:val="7"/>
          <w:w w:val="90"/>
        </w:rPr>
        <w:t xml:space="preserve">、  </w:t>
      </w:r>
      <w:r>
        <w:rPr>
          <w:spacing w:val="4"/>
        </w:rPr>
        <w:t>交通安全法</w:t>
      </w:r>
      <w:r>
        <w:rPr>
          <w:rFonts w:hint="eastAsia" w:ascii="MS UI Gothic" w:eastAsia="MS UI Gothic"/>
          <w:spacing w:val="1"/>
          <w:w w:val="320"/>
        </w:rPr>
        <w:t xml:space="preserve"> </w:t>
      </w:r>
      <w:r>
        <w:rPr>
          <w:rFonts w:hint="eastAsia" w:ascii="MS UI Gothic" w:eastAsia="MS UI Gothic"/>
        </w:rPr>
        <w:t>９２０</w:t>
      </w:r>
    </w:p>
    <w:p>
      <w:pPr>
        <w:pStyle w:val="6"/>
        <w:tabs>
          <w:tab w:val="left" w:pos="5057"/>
        </w:tabs>
        <w:spacing w:before="75" w:line="240" w:lineRule="exact"/>
        <w:ind w:left="440" w:firstLine="0"/>
        <w:jc w:val="left"/>
        <w:rPr>
          <w:rFonts w:hint="eastAsia" w:ascii="MS UI Gothic" w:eastAsia="MS UI Gothic"/>
        </w:rPr>
      </w:pPr>
      <w:r>
        <w:rPr>
          <w:spacing w:val="3"/>
          <w:w w:val="102"/>
        </w:rPr>
        <w:t>中华人民共和国道路交通安全</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９２１</w:t>
      </w:r>
    </w:p>
    <w:p>
      <w:pPr>
        <w:pStyle w:val="6"/>
        <w:tabs>
          <w:tab w:val="left" w:pos="5896"/>
        </w:tabs>
        <w:spacing w:before="74" w:line="240" w:lineRule="exact"/>
        <w:ind w:left="440" w:firstLine="0"/>
        <w:jc w:val="left"/>
        <w:rPr>
          <w:rFonts w:hint="eastAsia" w:ascii="MS UI Gothic" w:eastAsia="MS UI Gothic"/>
        </w:rPr>
      </w:pPr>
      <w:r>
        <w:rPr>
          <w:spacing w:val="3"/>
          <w:w w:val="102"/>
        </w:rPr>
        <w:t>中华人民共和国道路交通安全法实施条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９３５</w:t>
      </w:r>
    </w:p>
    <w:p>
      <w:pPr>
        <w:pStyle w:val="6"/>
        <w:tabs>
          <w:tab w:val="left" w:pos="3381"/>
        </w:tabs>
        <w:spacing w:before="74" w:line="240" w:lineRule="exact"/>
        <w:ind w:left="440" w:firstLine="0"/>
        <w:jc w:val="left"/>
        <w:rPr>
          <w:rFonts w:hint="eastAsia" w:ascii="MS UI Gothic" w:eastAsia="MS UI Gothic"/>
        </w:rPr>
      </w:pPr>
      <w:r>
        <w:rPr>
          <w:spacing w:val="3"/>
          <w:w w:val="102"/>
        </w:rPr>
        <w:t>国防交通条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
          <w:w w:val="75"/>
        </w:rPr>
        <w:t>０</w:t>
      </w:r>
      <w:r>
        <w:rPr>
          <w:rFonts w:hint="eastAsia" w:ascii="MS UI Gothic" w:eastAsia="MS UI Gothic"/>
          <w:w w:val="75"/>
        </w:rPr>
        <w:t>１１</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９４８</w:t>
      </w:r>
    </w:p>
    <w:p>
      <w:pPr>
        <w:pStyle w:val="6"/>
        <w:tabs>
          <w:tab w:val="left" w:pos="4219"/>
        </w:tabs>
        <w:spacing w:before="75" w:line="240" w:lineRule="exact"/>
        <w:ind w:left="440" w:firstLine="0"/>
        <w:jc w:val="left"/>
        <w:rPr>
          <w:rFonts w:hint="eastAsia" w:ascii="MS UI Gothic" w:eastAsia="MS UI Gothic"/>
        </w:rPr>
      </w:pPr>
      <w:r>
        <w:rPr>
          <w:spacing w:val="3"/>
          <w:w w:val="102"/>
        </w:rPr>
        <w:t>国内交通卫生检疫条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１９</w:t>
      </w:r>
      <w:r>
        <w:rPr>
          <w:rFonts w:hint="eastAsia" w:ascii="MS UI Gothic" w:eastAsia="MS UI Gothic"/>
          <w:spacing w:val="-1"/>
          <w:w w:val="75"/>
        </w:rPr>
        <w:t>９</w:t>
      </w:r>
      <w:r>
        <w:rPr>
          <w:rFonts w:hint="eastAsia" w:ascii="MS UI Gothic" w:eastAsia="MS UI Gothic"/>
          <w:w w:val="75"/>
        </w:rPr>
        <w:t>８</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９５３</w:t>
      </w:r>
    </w:p>
    <w:p>
      <w:pPr>
        <w:pStyle w:val="6"/>
        <w:tabs>
          <w:tab w:val="left" w:pos="3800"/>
        </w:tabs>
        <w:spacing w:before="74" w:line="240" w:lineRule="exact"/>
        <w:ind w:left="440" w:firstLine="0"/>
        <w:jc w:val="left"/>
        <w:rPr>
          <w:rFonts w:hint="eastAsia" w:ascii="MS UI Gothic" w:eastAsia="MS UI Gothic"/>
        </w:rPr>
      </w:pPr>
      <w:r>
        <w:rPr>
          <w:spacing w:val="3"/>
          <w:w w:val="102"/>
        </w:rPr>
        <w:t>校车安全管理条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９５６</w:t>
      </w:r>
    </w:p>
    <w:p>
      <w:pPr>
        <w:pStyle w:val="6"/>
        <w:tabs>
          <w:tab w:val="left" w:pos="4219"/>
        </w:tabs>
        <w:spacing w:before="74" w:line="240" w:lineRule="exact"/>
        <w:ind w:left="440" w:firstLine="0"/>
        <w:jc w:val="left"/>
        <w:rPr>
          <w:rFonts w:hint="eastAsia" w:ascii="MS UI Gothic" w:eastAsia="MS UI Gothic"/>
        </w:rPr>
      </w:pPr>
      <w:r>
        <w:rPr>
          <w:spacing w:val="3"/>
          <w:w w:val="102"/>
        </w:rPr>
        <w:t>中华人民共和国公路</w:t>
      </w:r>
      <w:r>
        <w:rPr>
          <w:w w:val="102"/>
        </w:rPr>
        <w:t>法</w:t>
      </w:r>
      <w:r>
        <w:rPr>
          <w:spacing w:val="8"/>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1"/>
          <w:w w:val="75"/>
        </w:rPr>
        <w:t>１</w:t>
      </w:r>
      <w:r>
        <w:rPr>
          <w:rFonts w:hint="eastAsia" w:ascii="MS UI Gothic" w:eastAsia="MS UI Gothic"/>
          <w:w w:val="75"/>
        </w:rPr>
        <w:t>７</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９６２</w:t>
      </w:r>
    </w:p>
    <w:p>
      <w:pPr>
        <w:pStyle w:val="6"/>
        <w:tabs>
          <w:tab w:val="left" w:pos="4848"/>
        </w:tabs>
        <w:spacing w:before="75" w:line="240" w:lineRule="exact"/>
        <w:ind w:left="440" w:firstLine="0"/>
        <w:jc w:val="left"/>
        <w:rPr>
          <w:rFonts w:hint="eastAsia" w:ascii="MS UI Gothic" w:eastAsia="MS UI Gothic"/>
        </w:rPr>
      </w:pPr>
      <w:r>
        <w:rPr>
          <w:spacing w:val="3"/>
          <w:w w:val="102"/>
        </w:rPr>
        <w:t>放射性物品运输安全管理条</w:t>
      </w:r>
      <w:r>
        <w:rPr>
          <w:w w:val="102"/>
        </w:rPr>
        <w:t>例</w:t>
      </w:r>
      <w:r>
        <w:rPr>
          <w:spacing w:val="8"/>
        </w:rPr>
        <w:t xml:space="preserve"> </w:t>
      </w:r>
      <w:r>
        <w:rPr>
          <w:rFonts w:hint="eastAsia" w:ascii="MS UI Gothic" w:eastAsia="MS UI Gothic"/>
          <w:spacing w:val="15"/>
          <w:w w:val="168"/>
        </w:rPr>
        <w:t>(</w:t>
      </w:r>
      <w:r>
        <w:rPr>
          <w:rFonts w:hint="eastAsia" w:ascii="MS UI Gothic" w:eastAsia="MS UI Gothic"/>
          <w:w w:val="75"/>
        </w:rPr>
        <w:t>２００９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rPr>
        <w:tab/>
      </w:r>
      <w:r>
        <w:rPr>
          <w:rFonts w:hint="eastAsia" w:ascii="MS UI Gothic" w:eastAsia="MS UI Gothic"/>
        </w:rPr>
        <w:t xml:space="preserve"> </w:t>
      </w:r>
      <w:r>
        <w:rPr>
          <w:rFonts w:hint="eastAsia" w:ascii="MS UI Gothic" w:eastAsia="MS UI Gothic"/>
          <w:spacing w:val="-20"/>
        </w:rPr>
        <w:t xml:space="preserve"> </w:t>
      </w:r>
      <w:r>
        <w:rPr>
          <w:rFonts w:hint="eastAsia" w:ascii="MS UI Gothic" w:eastAsia="MS UI Gothic"/>
          <w:w w:val="75"/>
        </w:rPr>
        <w:t>９７０</w:t>
      </w:r>
    </w:p>
    <w:p>
      <w:pPr>
        <w:pStyle w:val="6"/>
        <w:spacing w:before="74" w:line="240" w:lineRule="exact"/>
        <w:ind w:left="440" w:firstLine="0"/>
        <w:jc w:val="left"/>
        <w:rPr>
          <w:rFonts w:hint="eastAsia" w:ascii="MS UI Gothic" w:eastAsia="MS UI Gothic"/>
        </w:rPr>
      </w:pPr>
      <w:r>
        <w:rPr>
          <w:spacing w:val="3"/>
        </w:rPr>
        <w:t>道路交通安全规章</w:t>
      </w:r>
      <w:r>
        <w:rPr>
          <w:rFonts w:hint="eastAsia" w:ascii="MS UI Gothic" w:eastAsia="MS UI Gothic"/>
          <w:spacing w:val="176"/>
          <w:w w:val="320"/>
        </w:rPr>
        <w:t xml:space="preserve"> </w:t>
      </w:r>
      <w:r>
        <w:rPr>
          <w:rFonts w:hint="eastAsia" w:ascii="MS UI Gothic" w:eastAsia="MS UI Gothic"/>
        </w:rPr>
        <w:t>９７９</w:t>
      </w:r>
    </w:p>
    <w:p>
      <w:pPr>
        <w:spacing w:after="0" w:line="240" w:lineRule="exact"/>
        <w:jc w:val="left"/>
        <w:rPr>
          <w:rFonts w:hint="eastAsia" w:ascii="MS UI Gothic" w:eastAsia="MS UI Gothic"/>
        </w:rPr>
        <w:sectPr>
          <w:type w:val="continuous"/>
          <w:pgSz w:w="10500" w:h="14750"/>
          <w:pgMar w:top="1400" w:right="980" w:bottom="280" w:left="980" w:header="720" w:footer="720" w:gutter="0"/>
        </w:sectPr>
      </w:pPr>
    </w:p>
    <w:p>
      <w:pPr>
        <w:pStyle w:val="6"/>
        <w:spacing w:before="74"/>
        <w:ind w:left="440" w:firstLine="0"/>
        <w:jc w:val="left"/>
        <w:rPr>
          <w:rFonts w:hint="eastAsia" w:ascii="MS UI Gothic" w:eastAsia="MS UI Gothic"/>
        </w:rPr>
      </w:pPr>
      <w:r>
        <w:rPr>
          <w:spacing w:val="2"/>
          <w:w w:val="102"/>
        </w:rPr>
        <w:t>交通运输突发事件应急管理规定</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9" w:line="240" w:lineRule="exact"/>
        <w:ind w:left="440" w:firstLine="0"/>
        <w:jc w:val="left"/>
        <w:rPr>
          <w:rFonts w:hint="eastAsia" w:ascii="MS UI Gothic" w:eastAsia="MS UI Gothic"/>
        </w:rPr>
      </w:pPr>
      <w:r>
        <w:rPr>
          <w:spacing w:val="2"/>
          <w:w w:val="102"/>
        </w:rPr>
        <w:t>高速公路交通应急管理程序规定</w:t>
      </w:r>
      <w:r>
        <w:rPr>
          <w:spacing w:val="8"/>
        </w:rPr>
        <w:t xml:space="preserve"> </w:t>
      </w:r>
      <w:r>
        <w:rPr>
          <w:rFonts w:hint="eastAsia" w:ascii="MS UI Gothic" w:eastAsia="MS UI Gothic"/>
          <w:spacing w:val="15"/>
          <w:w w:val="168"/>
        </w:rPr>
        <w:t>(</w:t>
      </w:r>
      <w:r>
        <w:rPr>
          <w:rFonts w:hint="eastAsia" w:ascii="MS UI Gothic" w:eastAsia="MS UI Gothic"/>
          <w:w w:val="75"/>
        </w:rPr>
        <w:t>２００８</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218" w:firstLine="0"/>
        <w:jc w:val="left"/>
        <w:rPr>
          <w:rFonts w:hint="eastAsia" w:ascii="MS UI Gothic" w:eastAsia="MS UI Gothic"/>
        </w:rPr>
      </w:pPr>
      <w:r>
        <w:br w:type="column"/>
      </w:r>
    </w:p>
    <w:p>
      <w:pPr>
        <w:pStyle w:val="6"/>
        <w:spacing w:before="59" w:line="240" w:lineRule="exact"/>
        <w:ind w:left="218" w:firstLine="0"/>
        <w:jc w:val="left"/>
        <w:rPr>
          <w:rFonts w:hint="eastAsia" w:ascii="MS UI Gothic" w:eastAsia="MS UI Gothic"/>
        </w:rPr>
      </w:pPr>
    </w:p>
    <w:p>
      <w:pPr>
        <w:spacing w:before="74"/>
        <w:ind w:left="62" w:right="0" w:firstLine="0"/>
        <w:jc w:val="left"/>
        <w:rPr>
          <w:rFonts w:hint="eastAsia" w:ascii="MS UI Gothic" w:eastAsia="MS UI Gothic"/>
          <w:sz w:val="20"/>
        </w:rPr>
      </w:pPr>
      <w:r>
        <w:br w:type="column"/>
      </w:r>
      <w:r>
        <w:rPr>
          <w:rFonts w:hint="eastAsia" w:ascii="MS UI Gothic" w:eastAsia="MS UI Gothic"/>
          <w:w w:val="85"/>
          <w:sz w:val="20"/>
        </w:rPr>
        <w:t>９７９</w:t>
      </w:r>
    </w:p>
    <w:p>
      <w:pPr>
        <w:pStyle w:val="6"/>
        <w:spacing w:before="59" w:line="240" w:lineRule="exact"/>
        <w:ind w:left="62" w:firstLine="0"/>
        <w:jc w:val="left"/>
        <w:rPr>
          <w:rFonts w:hint="eastAsia" w:ascii="MS UI Gothic" w:eastAsia="MS UI Gothic"/>
        </w:rPr>
      </w:pPr>
      <w:r>
        <w:rPr>
          <w:rFonts w:hint="eastAsia" w:ascii="MS UI Gothic" w:eastAsia="MS UI Gothic"/>
          <w:w w:val="85"/>
        </w:rPr>
        <w:t>９８４</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800" w:space="40"/>
            <w:col w:w="3149" w:space="39"/>
            <w:col w:w="512"/>
          </w:cols>
        </w:sectPr>
      </w:pPr>
    </w:p>
    <w:p>
      <w:pPr>
        <w:pStyle w:val="6"/>
        <w:spacing w:before="74" w:line="240" w:lineRule="exact"/>
        <w:ind w:left="440" w:firstLine="0"/>
        <w:jc w:val="left"/>
        <w:rPr>
          <w:rFonts w:hint="eastAsia" w:ascii="MS UI Gothic" w:eastAsia="MS UI Gothic"/>
        </w:rPr>
      </w:pPr>
      <w:r>
        <w:rPr>
          <w:spacing w:val="2"/>
          <w:w w:val="102"/>
        </w:rPr>
        <w:t>道路运输从业人员管理规定</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4" w:line="240" w:lineRule="exact"/>
        <w:ind w:left="218" w:firstLine="0"/>
        <w:jc w:val="left"/>
        <w:rPr>
          <w:rFonts w:hint="eastAsia" w:ascii="MS UI Gothic" w:eastAsia="MS UI Gothic"/>
        </w:rPr>
      </w:pPr>
      <w:r>
        <w:br w:type="column"/>
      </w:r>
    </w:p>
    <w:p>
      <w:pPr>
        <w:spacing w:before="74" w:line="240" w:lineRule="exact"/>
        <w:ind w:left="62" w:right="0" w:firstLine="0"/>
        <w:jc w:val="left"/>
        <w:rPr>
          <w:rFonts w:hint="eastAsia" w:ascii="MS UI Gothic" w:eastAsia="MS UI Gothic"/>
          <w:sz w:val="20"/>
        </w:rPr>
      </w:pPr>
      <w:r>
        <w:br w:type="column"/>
      </w:r>
      <w:r>
        <w:rPr>
          <w:rFonts w:hint="eastAsia" w:ascii="MS UI Gothic" w:eastAsia="MS UI Gothic"/>
          <w:w w:val="85"/>
          <w:sz w:val="20"/>
        </w:rPr>
        <w:t>９９０</w:t>
      </w:r>
    </w:p>
    <w:p>
      <w:pPr>
        <w:spacing w:after="0" w:line="240" w:lineRule="exact"/>
        <w:jc w:val="left"/>
        <w:rPr>
          <w:rFonts w:hint="eastAsia" w:ascii="MS UI Gothic" w:eastAsia="MS UI Gothic"/>
          <w:sz w:val="20"/>
        </w:rPr>
        <w:sectPr>
          <w:type w:val="continuous"/>
          <w:pgSz w:w="10500" w:h="14750"/>
          <w:pgMar w:top="1400" w:right="980" w:bottom="280" w:left="980" w:header="720" w:footer="720" w:gutter="0"/>
          <w:cols w:equalWidth="0" w:num="3">
            <w:col w:w="4381" w:space="40"/>
            <w:col w:w="3568" w:space="39"/>
            <w:col w:w="512"/>
          </w:cols>
        </w:sectPr>
      </w:pPr>
    </w:p>
    <w:p>
      <w:pPr>
        <w:pStyle w:val="6"/>
        <w:spacing w:before="74" w:line="240" w:lineRule="exact"/>
        <w:ind w:left="440" w:firstLine="0"/>
        <w:jc w:val="left"/>
        <w:rPr>
          <w:rFonts w:hint="eastAsia" w:ascii="MS UI Gothic" w:eastAsia="MS UI Gothic"/>
        </w:rPr>
      </w:pPr>
      <w:r>
        <w:rPr>
          <w:spacing w:val="2"/>
          <w:w w:val="102"/>
        </w:rPr>
        <w:t>道路危险货物运输管理规定</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１００５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ind w:left="440" w:firstLine="0"/>
        <w:jc w:val="left"/>
        <w:rPr>
          <w:rFonts w:hint="eastAsia" w:ascii="MS UI Gothic" w:eastAsia="MS UI Gothic"/>
        </w:rPr>
      </w:pPr>
      <w:r>
        <w:rPr>
          <w:spacing w:val="2"/>
          <w:w w:val="102"/>
        </w:rPr>
        <w:t>公路水运工程安全生产监督管理办法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２０１６</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74"/>
        <w:ind w:left="62" w:firstLine="0"/>
        <w:jc w:val="left"/>
        <w:rPr>
          <w:rFonts w:hint="eastAsia" w:ascii="MS UI Gothic" w:eastAsia="MS UI Gothic"/>
        </w:rPr>
      </w:pPr>
      <w:r>
        <w:br w:type="column"/>
      </w:r>
      <w:r>
        <w:rPr>
          <w:rFonts w:hint="eastAsia" w:ascii="MS UI Gothic" w:eastAsia="MS UI Gothic"/>
          <w:w w:val="85"/>
        </w:rPr>
        <w:t>１０１３</w:t>
      </w:r>
    </w:p>
    <w:p>
      <w:pPr>
        <w:spacing w:after="0"/>
        <w:jc w:val="left"/>
        <w:rPr>
          <w:rFonts w:hint="eastAsia" w:ascii="MS UI Gothic" w:eastAsia="MS UI Gothic"/>
        </w:rPr>
        <w:sectPr>
          <w:type w:val="continuous"/>
          <w:pgSz w:w="10500" w:h="14750"/>
          <w:pgMar w:top="1400" w:right="980" w:bottom="280" w:left="980" w:header="720" w:footer="720" w:gutter="0"/>
          <w:cols w:equalWidth="0" w:num="3">
            <w:col w:w="5219" w:space="40"/>
            <w:col w:w="2627" w:space="39"/>
            <w:col w:w="615"/>
          </w:cols>
        </w:sectPr>
      </w:pPr>
    </w:p>
    <w:p>
      <w:pPr>
        <w:pStyle w:val="6"/>
        <w:spacing w:before="159"/>
        <w:ind w:left="384" w:firstLine="0"/>
        <w:jc w:val="left"/>
        <w:rPr>
          <w:rFonts w:hint="eastAsia" w:ascii="MS UI Gothic" w:eastAsia="MS UI Gothic"/>
        </w:rPr>
      </w:pPr>
      <w:r>
        <w:rPr>
          <w:rFonts w:hint="eastAsia" w:ascii="MS UI Gothic" w:eastAsia="MS UI Gothic"/>
          <w:spacing w:val="1"/>
          <w:w w:val="75"/>
        </w:rPr>
        <w:t>６</w:t>
      </w:r>
    </w:p>
    <w:p>
      <w:pPr>
        <w:spacing w:before="192"/>
        <w:ind w:left="38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45" w:space="1096"/>
            <w:col w:w="6499"/>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43" o:spid="_x0000_s1043" o:spt="203" style="height:2.15pt;width:398.25pt;" coordsize="7965,43">
            <o:lock v:ext="edit"/>
            <v:line id="_x0000_s1044" o:spid="_x0000_s1044" o:spt="20" style="position:absolute;left:0;top:39;height:0;width:7965;" stroked="t" coordsize="21600,21600">
              <v:path arrowok="t"/>
              <v:fill focussize="0,0"/>
              <v:stroke weight="0.388031496062992pt" color="#231F20"/>
              <v:imagedata o:title=""/>
              <o:lock v:ext="edit"/>
            </v:line>
            <v:line id="_x0000_s1045" o:spid="_x0000_s104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40" w:lineRule="exact"/>
        <w:ind w:firstLine="0"/>
        <w:jc w:val="left"/>
        <w:rPr>
          <w:rFonts w:hint="eastAsia" w:ascii="MS UI Gothic" w:eastAsia="MS UI Gothic"/>
        </w:rPr>
      </w:pPr>
      <w:r>
        <w:rPr>
          <w:spacing w:val="2"/>
          <w:w w:val="102"/>
        </w:rPr>
        <w:t>中华人民共和国港口法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123" w:line="240" w:lineRule="exact"/>
        <w:ind w:left="62" w:firstLine="0"/>
        <w:jc w:val="left"/>
        <w:rPr>
          <w:rFonts w:hint="eastAsia" w:ascii="MS UI Gothic" w:eastAsia="MS UI Gothic"/>
        </w:rPr>
      </w:pPr>
      <w:r>
        <w:br w:type="column"/>
      </w:r>
      <w:r>
        <w:rPr>
          <w:rFonts w:hint="eastAsia" w:ascii="MS UI Gothic" w:eastAsia="MS UI Gothic"/>
          <w:w w:val="85"/>
        </w:rPr>
        <w:t>１０２０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中华人民共和国海上交通安全法</w:t>
      </w:r>
      <w:r>
        <w:rPr>
          <w:spacing w:val="8"/>
        </w:rPr>
        <w:t xml:space="preserve"> </w:t>
      </w:r>
      <w:r>
        <w:rPr>
          <w:rFonts w:hint="eastAsia" w:ascii="MS UI Gothic" w:eastAsia="MS UI Gothic"/>
          <w:spacing w:val="15"/>
          <w:w w:val="168"/>
        </w:rPr>
        <w:t>(</w:t>
      </w:r>
      <w:r>
        <w:rPr>
          <w:rFonts w:hint="eastAsia" w:ascii="MS UI Gothic" w:eastAsia="MS UI Gothic"/>
          <w:w w:val="75"/>
        </w:rPr>
        <w:t>２０１６</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１０２６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中华人民共和国海上交通事故调查处理条例</w:t>
      </w:r>
      <w:r>
        <w:rPr>
          <w:spacing w:val="8"/>
        </w:rPr>
        <w:t xml:space="preserve"> </w:t>
      </w:r>
      <w:r>
        <w:rPr>
          <w:rFonts w:hint="eastAsia" w:ascii="MS UI Gothic" w:eastAsia="MS UI Gothic"/>
          <w:spacing w:val="15"/>
          <w:w w:val="168"/>
        </w:rPr>
        <w:t>(</w:t>
      </w:r>
      <w:r>
        <w:rPr>
          <w:rFonts w:hint="eastAsia" w:ascii="MS UI Gothic" w:eastAsia="MS UI Gothic"/>
          <w:w w:val="75"/>
        </w:rPr>
        <w:t>１９９０</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１０２９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中华人民共和国内河交通安全管理条例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１０３３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中华人民共和国渔港水域交通安全管理条例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１０４３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中华人民共和国非机动船舶海上安全航行暂行规则</w:t>
      </w:r>
      <w:r>
        <w:rPr>
          <w:spacing w:val="8"/>
        </w:rPr>
        <w:t xml:space="preserve"> </w:t>
      </w:r>
      <w:r>
        <w:rPr>
          <w:rFonts w:hint="eastAsia" w:ascii="MS UI Gothic" w:eastAsia="MS UI Gothic"/>
          <w:spacing w:val="15"/>
          <w:w w:val="168"/>
        </w:rPr>
        <w:t>(</w:t>
      </w:r>
      <w:r>
        <w:rPr>
          <w:rFonts w:hint="eastAsia" w:ascii="MS UI Gothic" w:eastAsia="MS UI Gothic"/>
          <w:w w:val="75"/>
        </w:rPr>
        <w:t>１９５８</w:t>
      </w:r>
      <w:r>
        <w:rPr>
          <w:rFonts w:hint="eastAsia" w:ascii="MS UI Gothic" w:eastAsia="MS UI Gothic"/>
          <w:spacing w:val="-3"/>
        </w:rPr>
        <w:t xml:space="preserve"> </w:t>
      </w:r>
      <w:r>
        <w:rPr>
          <w:spacing w:val="3"/>
          <w:w w:val="102"/>
        </w:rPr>
        <w:t>年发布</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１０４５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w w:val="125"/>
        </w:rPr>
        <w:t xml:space="preserve">水上交通安全规章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１０４６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水路危险货物运输规则</w:t>
      </w:r>
      <w:r>
        <w:rPr>
          <w:spacing w:val="8"/>
        </w:rPr>
        <w:t xml:space="preserve"> </w:t>
      </w:r>
      <w:r>
        <w:rPr>
          <w:rFonts w:hint="eastAsia" w:ascii="MS UI Gothic" w:eastAsia="MS UI Gothic"/>
          <w:spacing w:val="15"/>
          <w:w w:val="168"/>
        </w:rPr>
        <w:t>(</w:t>
      </w:r>
      <w:r>
        <w:rPr>
          <w:rFonts w:hint="eastAsia" w:ascii="MS UI Gothic" w:eastAsia="MS UI Gothic"/>
          <w:spacing w:val="-1"/>
          <w:w w:val="75"/>
        </w:rPr>
        <w:t>１９９６</w:t>
      </w:r>
      <w:r>
        <w:rPr>
          <w:rFonts w:hint="eastAsia" w:ascii="MS UI Gothic" w:eastAsia="MS UI Gothic"/>
          <w:spacing w:val="-3"/>
        </w:rPr>
        <w:t xml:space="preserve"> </w:t>
      </w:r>
      <w:r>
        <w:rPr>
          <w:spacing w:val="3"/>
          <w:w w:val="102"/>
        </w:rPr>
        <w:t>年发布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１０４６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ind w:firstLine="0"/>
        <w:jc w:val="left"/>
        <w:rPr>
          <w:rFonts w:hint="eastAsia" w:ascii="MS UI Gothic" w:eastAsia="MS UI Gothic"/>
        </w:rPr>
      </w:pPr>
      <w:r>
        <w:rPr>
          <w:spacing w:val="2"/>
          <w:w w:val="102"/>
        </w:rPr>
        <w:t>内河交通事故调查处理规定</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港口危险货物安全管理规定</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5"/>
        <w:ind w:left="115" w:firstLine="0"/>
        <w:jc w:val="left"/>
        <w:rPr>
          <w:rFonts w:hint="eastAsia" w:ascii="MS UI Gothic" w:eastAsia="MS UI Gothic"/>
        </w:rPr>
      </w:pPr>
      <w:r>
        <w:br w:type="column"/>
      </w:r>
    </w:p>
    <w:p>
      <w:pPr>
        <w:pStyle w:val="6"/>
        <w:spacing w:before="58" w:line="240" w:lineRule="exact"/>
        <w:ind w:left="115" w:firstLine="0"/>
        <w:jc w:val="left"/>
        <w:rPr>
          <w:rFonts w:hint="eastAsia" w:ascii="MS UI Gothic" w:eastAsia="MS UI Gothic"/>
        </w:rPr>
      </w:pPr>
    </w:p>
    <w:p>
      <w:pPr>
        <w:pStyle w:val="6"/>
        <w:spacing w:before="75"/>
        <w:ind w:left="62" w:firstLine="0"/>
        <w:jc w:val="left"/>
        <w:rPr>
          <w:rFonts w:hint="eastAsia" w:ascii="MS UI Gothic" w:eastAsia="MS UI Gothic"/>
        </w:rPr>
      </w:pPr>
      <w:r>
        <w:br w:type="column"/>
      </w:r>
      <w:r>
        <w:rPr>
          <w:rFonts w:hint="eastAsia" w:ascii="MS UI Gothic" w:eastAsia="MS UI Gothic"/>
          <w:w w:val="85"/>
        </w:rPr>
        <w:t>１０５３</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１０５８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065" w:space="40"/>
            <w:col w:w="3465" w:space="39"/>
            <w:col w:w="931"/>
          </w:cols>
        </w:sectPr>
      </w:pPr>
    </w:p>
    <w:p>
      <w:pPr>
        <w:pStyle w:val="6"/>
        <w:spacing w:before="74" w:line="240" w:lineRule="exact"/>
        <w:ind w:firstLine="0"/>
        <w:jc w:val="left"/>
        <w:rPr>
          <w:rFonts w:hint="eastAsia" w:ascii="MS UI Gothic" w:eastAsia="MS UI Gothic"/>
        </w:rPr>
      </w:pPr>
      <w:r>
        <w:rPr>
          <w:spacing w:val="2"/>
          <w:w w:val="102"/>
        </w:rPr>
        <w:t>船舶载运危险货物安全监督管理规定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２０１８</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１０７０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海上滚装船舶安全监督管理规定</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１０７７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中华人民共和国铁路法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１０８１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铁路安全管理条例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２０１３</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１０８７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铁路交通事故应急救援和调查处理条例</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１０９８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w w:val="125"/>
        </w:rPr>
        <w:t xml:space="preserve">铁路交通安全规章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１１０２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ind w:firstLine="0"/>
        <w:jc w:val="left"/>
        <w:rPr>
          <w:rFonts w:hint="eastAsia" w:ascii="MS UI Gothic" w:eastAsia="MS UI Gothic"/>
        </w:rPr>
      </w:pPr>
      <w:r>
        <w:rPr>
          <w:spacing w:val="2"/>
          <w:w w:val="102"/>
        </w:rPr>
        <w:t>铁路交通事故应急救援规则</w:t>
      </w:r>
      <w:r>
        <w:rPr>
          <w:spacing w:val="8"/>
        </w:rPr>
        <w:t xml:space="preserve"> </w:t>
      </w:r>
      <w:r>
        <w:rPr>
          <w:rFonts w:hint="eastAsia" w:ascii="MS UI Gothic" w:eastAsia="MS UI Gothic"/>
          <w:spacing w:val="15"/>
          <w:w w:val="168"/>
        </w:rPr>
        <w:t>(</w:t>
      </w:r>
      <w:r>
        <w:rPr>
          <w:rFonts w:hint="eastAsia" w:ascii="MS UI Gothic" w:eastAsia="MS UI Gothic"/>
          <w:w w:val="75"/>
        </w:rPr>
        <w:t>２００７</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中华人民共和国民用航空法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58" w:line="240" w:lineRule="exact"/>
        <w:ind w:left="115" w:firstLine="0"/>
        <w:jc w:val="left"/>
        <w:rPr>
          <w:rFonts w:hint="eastAsia" w:ascii="MS UI Gothic" w:eastAsia="MS UI Gothic"/>
        </w:rPr>
      </w:pPr>
    </w:p>
    <w:p>
      <w:pPr>
        <w:pStyle w:val="6"/>
        <w:spacing w:before="74"/>
        <w:ind w:left="62" w:firstLine="0"/>
        <w:jc w:val="left"/>
        <w:rPr>
          <w:rFonts w:hint="eastAsia" w:ascii="MS UI Gothic" w:eastAsia="MS UI Gothic"/>
        </w:rPr>
      </w:pPr>
      <w:r>
        <w:br w:type="column"/>
      </w:r>
      <w:r>
        <w:rPr>
          <w:rFonts w:hint="eastAsia" w:ascii="MS UI Gothic" w:eastAsia="MS UI Gothic"/>
          <w:w w:val="85"/>
        </w:rPr>
        <w:t>１１０２</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１１０８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065" w:space="40"/>
            <w:col w:w="3465" w:space="39"/>
            <w:col w:w="931"/>
          </w:cols>
        </w:sectPr>
      </w:pPr>
    </w:p>
    <w:p>
      <w:pPr>
        <w:pStyle w:val="6"/>
        <w:spacing w:before="75" w:line="240" w:lineRule="exact"/>
        <w:ind w:firstLine="0"/>
        <w:jc w:val="left"/>
        <w:rPr>
          <w:rFonts w:hint="eastAsia" w:ascii="MS UI Gothic" w:eastAsia="MS UI Gothic"/>
        </w:rPr>
      </w:pPr>
      <w:r>
        <w:rPr>
          <w:spacing w:val="2"/>
          <w:w w:val="102"/>
        </w:rPr>
        <w:t>中华人民共和国民用航空安全保卫条例</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１１２８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民用机场管理条例</w:t>
      </w:r>
      <w:r>
        <w:rPr>
          <w:spacing w:val="8"/>
        </w:rPr>
        <w:t xml:space="preserve"> </w:t>
      </w:r>
      <w:r>
        <w:rPr>
          <w:rFonts w:hint="eastAsia" w:ascii="MS UI Gothic" w:eastAsia="MS UI Gothic"/>
          <w:spacing w:val="15"/>
          <w:w w:val="168"/>
        </w:rPr>
        <w:t>(</w:t>
      </w:r>
      <w:r>
        <w:rPr>
          <w:rFonts w:hint="eastAsia" w:ascii="MS UI Gothic" w:eastAsia="MS UI Gothic"/>
          <w:w w:val="75"/>
        </w:rPr>
        <w:t>２００９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１１３２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中华人民共和国民用航空器国籍登记条例</w:t>
      </w:r>
      <w:r>
        <w:rPr>
          <w:spacing w:val="8"/>
        </w:rPr>
        <w:t xml:space="preserve"> </w:t>
      </w:r>
      <w:r>
        <w:rPr>
          <w:rFonts w:hint="eastAsia" w:ascii="MS UI Gothic" w:eastAsia="MS UI Gothic"/>
          <w:spacing w:val="15"/>
          <w:w w:val="168"/>
        </w:rPr>
        <w:t>(</w:t>
      </w:r>
      <w:r>
        <w:rPr>
          <w:rFonts w:hint="eastAsia" w:ascii="MS UI Gothic" w:eastAsia="MS UI Gothic"/>
          <w:w w:val="75"/>
        </w:rPr>
        <w:t>１９９７</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１１４０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外国民用航空器飞行管理规则</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１１４３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中华人民共和国民用航空器权利登记条例</w:t>
      </w:r>
      <w:r>
        <w:rPr>
          <w:spacing w:val="8"/>
        </w:rPr>
        <w:t xml:space="preserve"> </w:t>
      </w:r>
      <w:r>
        <w:rPr>
          <w:rFonts w:hint="eastAsia" w:ascii="MS UI Gothic" w:eastAsia="MS UI Gothic"/>
          <w:spacing w:val="15"/>
          <w:w w:val="168"/>
        </w:rPr>
        <w:t>(</w:t>
      </w:r>
      <w:r>
        <w:rPr>
          <w:rFonts w:hint="eastAsia" w:ascii="MS UI Gothic" w:eastAsia="MS UI Gothic"/>
          <w:w w:val="75"/>
        </w:rPr>
        <w:t>１９９７</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１１４９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国务院关于通用航空管理的暂行规定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２０１４</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１１５１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中华人民共和国民用航空器适航管理条例</w:t>
      </w:r>
      <w:r>
        <w:rPr>
          <w:spacing w:val="8"/>
        </w:rPr>
        <w:t xml:space="preserve"> </w:t>
      </w:r>
      <w:r>
        <w:rPr>
          <w:rFonts w:hint="eastAsia" w:ascii="MS UI Gothic" w:eastAsia="MS UI Gothic"/>
          <w:spacing w:val="15"/>
          <w:w w:val="168"/>
        </w:rPr>
        <w:t>(</w:t>
      </w:r>
      <w:r>
        <w:rPr>
          <w:rFonts w:hint="eastAsia" w:ascii="MS UI Gothic" w:eastAsia="MS UI Gothic"/>
          <w:w w:val="75"/>
        </w:rPr>
        <w:t>１９８７</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１１５３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民用航空运输不定期飞行管理暂行规定</w:t>
      </w:r>
      <w:r>
        <w:rPr>
          <w:spacing w:val="8"/>
        </w:rPr>
        <w:t xml:space="preserve"> </w:t>
      </w:r>
      <w:r>
        <w:rPr>
          <w:rFonts w:hint="eastAsia" w:ascii="MS UI Gothic" w:eastAsia="MS UI Gothic"/>
          <w:spacing w:val="15"/>
          <w:w w:val="168"/>
        </w:rPr>
        <w:t>(</w:t>
      </w:r>
      <w:r>
        <w:rPr>
          <w:rFonts w:hint="eastAsia" w:ascii="MS UI Gothic" w:eastAsia="MS UI Gothic"/>
          <w:w w:val="75"/>
        </w:rPr>
        <w:t>１９８９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１１５５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中华人民共和国搜寻援救民用航空器规定</w:t>
      </w:r>
      <w:r>
        <w:rPr>
          <w:spacing w:val="8"/>
        </w:rPr>
        <w:t xml:space="preserve"> </w:t>
      </w:r>
      <w:r>
        <w:rPr>
          <w:rFonts w:hint="eastAsia" w:ascii="MS UI Gothic" w:eastAsia="MS UI Gothic"/>
          <w:spacing w:val="15"/>
          <w:w w:val="168"/>
        </w:rPr>
        <w:t>(</w:t>
      </w:r>
      <w:r>
        <w:rPr>
          <w:rFonts w:hint="eastAsia" w:ascii="MS UI Gothic" w:eastAsia="MS UI Gothic"/>
          <w:w w:val="75"/>
        </w:rPr>
        <w:t>１９９２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１１５６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w w:val="125"/>
        </w:rPr>
        <w:t xml:space="preserve">民用航空交通安全规章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１１５９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运输机场运行安全管理规定</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１１６０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ind w:firstLine="0"/>
        <w:jc w:val="left"/>
        <w:rPr>
          <w:rFonts w:hint="eastAsia" w:ascii="MS UI Gothic" w:eastAsia="MS UI Gothic"/>
        </w:rPr>
      </w:pPr>
      <w:r>
        <w:rPr>
          <w:spacing w:val="2"/>
          <w:w w:val="102"/>
        </w:rPr>
        <w:t>邮政业寄递安全监督管理办法</w:t>
      </w:r>
      <w:r>
        <w:rPr>
          <w:spacing w:val="8"/>
        </w:rPr>
        <w:t xml:space="preserve"> </w:t>
      </w:r>
      <w:r>
        <w:rPr>
          <w:rFonts w:hint="eastAsia" w:ascii="MS UI Gothic" w:eastAsia="MS UI Gothic"/>
          <w:spacing w:val="15"/>
          <w:w w:val="168"/>
        </w:rPr>
        <w:t>(</w:t>
      </w:r>
      <w:r>
        <w:rPr>
          <w:rFonts w:hint="eastAsia" w:ascii="MS UI Gothic" w:eastAsia="MS UI Gothic"/>
          <w:w w:val="75"/>
        </w:rPr>
        <w:t>２０２０</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ind w:left="62" w:firstLine="0"/>
        <w:jc w:val="left"/>
        <w:rPr>
          <w:rFonts w:hint="eastAsia" w:ascii="MS UI Gothic" w:eastAsia="MS UI Gothic"/>
        </w:rPr>
      </w:pPr>
      <w:r>
        <w:br w:type="column"/>
      </w:r>
      <w:r>
        <w:rPr>
          <w:rFonts w:hint="eastAsia" w:ascii="MS UI Gothic" w:eastAsia="MS UI Gothic"/>
          <w:w w:val="85"/>
        </w:rPr>
        <w:t>１１９１</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6"/>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75" w:line="240" w:lineRule="exact"/>
        <w:ind w:firstLine="0"/>
        <w:jc w:val="left"/>
        <w:rPr>
          <w:rFonts w:hint="eastAsia" w:ascii="MS UI Gothic" w:eastAsia="MS UI Gothic"/>
        </w:rPr>
      </w:pPr>
      <w:r>
        <w:rPr>
          <w:w w:val="125"/>
        </w:rPr>
        <w:t>九</w:t>
      </w:r>
      <w:r>
        <w:rPr>
          <w:w w:val="90"/>
        </w:rPr>
        <w:t xml:space="preserve">、 </w:t>
      </w:r>
      <w:r>
        <w:rPr>
          <w:w w:val="125"/>
        </w:rPr>
        <w:t xml:space="preserve">环境保护法 </w:t>
      </w:r>
    </w:p>
    <w:p>
      <w:pPr>
        <w:pStyle w:val="6"/>
        <w:spacing w:before="175" w:line="240" w:lineRule="exact"/>
        <w:ind w:left="62" w:firstLine="0"/>
        <w:jc w:val="left"/>
        <w:rPr>
          <w:rFonts w:hint="eastAsia" w:ascii="MS UI Gothic" w:eastAsia="MS UI Gothic"/>
        </w:rPr>
      </w:pPr>
      <w:r>
        <w:br w:type="column"/>
      </w:r>
      <w:r>
        <w:rPr>
          <w:rFonts w:hint="eastAsia" w:ascii="MS UI Gothic" w:eastAsia="MS UI Gothic"/>
          <w:w w:val="85"/>
        </w:rPr>
        <w:t>１１９７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ind w:firstLine="0"/>
        <w:jc w:val="left"/>
        <w:rPr>
          <w:rFonts w:hint="eastAsia" w:ascii="MS UI Gothic" w:eastAsia="MS UI Gothic"/>
        </w:rPr>
      </w:pPr>
      <w:r>
        <w:rPr>
          <w:spacing w:val="2"/>
          <w:w w:val="102"/>
        </w:rPr>
        <w:t>中华人民共和国环境保护法</w:t>
      </w:r>
      <w:r>
        <w:rPr>
          <w:spacing w:val="8"/>
        </w:rPr>
        <w:t xml:space="preserve"> </w:t>
      </w:r>
      <w:r>
        <w:rPr>
          <w:rFonts w:hint="eastAsia" w:ascii="MS UI Gothic" w:eastAsia="MS UI Gothic"/>
          <w:spacing w:val="15"/>
          <w:w w:val="168"/>
        </w:rPr>
        <w:t>(</w:t>
      </w:r>
      <w:r>
        <w:rPr>
          <w:rFonts w:hint="eastAsia" w:ascii="MS UI Gothic" w:eastAsia="MS UI Gothic"/>
          <w:w w:val="75"/>
        </w:rPr>
        <w:t>２０１４</w:t>
      </w:r>
      <w:r>
        <w:rPr>
          <w:rFonts w:hint="eastAsia" w:ascii="MS UI Gothic" w:eastAsia="MS UI Gothic"/>
          <w:spacing w:val="-3"/>
        </w:rPr>
        <w:t xml:space="preserve"> </w:t>
      </w:r>
      <w:r>
        <w:rPr>
          <w:spacing w:val="3"/>
          <w:w w:val="102"/>
        </w:rPr>
        <w:t>年修订</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中华人民共和国防沙治沙法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58" w:line="240" w:lineRule="exact"/>
        <w:ind w:left="115" w:firstLine="0"/>
        <w:jc w:val="left"/>
        <w:rPr>
          <w:rFonts w:hint="eastAsia" w:ascii="MS UI Gothic" w:eastAsia="MS UI Gothic"/>
        </w:rPr>
      </w:pPr>
    </w:p>
    <w:p>
      <w:pPr>
        <w:pStyle w:val="6"/>
        <w:spacing w:before="74"/>
        <w:ind w:left="62" w:firstLine="0"/>
        <w:jc w:val="left"/>
        <w:rPr>
          <w:rFonts w:hint="eastAsia" w:ascii="MS UI Gothic" w:eastAsia="MS UI Gothic"/>
        </w:rPr>
      </w:pPr>
      <w:r>
        <w:br w:type="column"/>
      </w:r>
      <w:r>
        <w:rPr>
          <w:rFonts w:hint="eastAsia" w:ascii="MS UI Gothic" w:eastAsia="MS UI Gothic"/>
          <w:w w:val="85"/>
        </w:rPr>
        <w:t>１１９７</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１２０４</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065" w:space="40"/>
            <w:col w:w="3465" w:space="39"/>
            <w:col w:w="931"/>
          </w:cols>
        </w:sectPr>
      </w:pPr>
    </w:p>
    <w:p>
      <w:pPr>
        <w:pStyle w:val="6"/>
        <w:spacing w:before="74" w:line="240" w:lineRule="exact"/>
        <w:ind w:firstLine="0"/>
        <w:jc w:val="left"/>
        <w:rPr>
          <w:rFonts w:hint="eastAsia" w:ascii="MS UI Gothic" w:eastAsia="MS UI Gothic"/>
        </w:rPr>
      </w:pPr>
      <w:r>
        <w:rPr>
          <w:spacing w:val="2"/>
          <w:w w:val="102"/>
        </w:rPr>
        <w:t>中华人民共和国环境影响评价法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１２１０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w w:val="125"/>
        </w:rPr>
        <w:t xml:space="preserve">环境安全规章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１２１５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ind w:firstLine="0"/>
        <w:jc w:val="left"/>
        <w:rPr>
          <w:rFonts w:hint="eastAsia" w:ascii="MS UI Gothic" w:eastAsia="MS UI Gothic"/>
        </w:rPr>
      </w:pPr>
      <w:r>
        <w:rPr>
          <w:spacing w:val="2"/>
          <w:w w:val="102"/>
        </w:rPr>
        <w:t>突发环境事件应急管理办法</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突发环境事件调查处理办法</w:t>
      </w:r>
      <w:r>
        <w:rPr>
          <w:spacing w:val="8"/>
        </w:rPr>
        <w:t xml:space="preserve"> </w:t>
      </w:r>
      <w:r>
        <w:rPr>
          <w:rFonts w:hint="eastAsia" w:ascii="MS UI Gothic" w:eastAsia="MS UI Gothic"/>
          <w:spacing w:val="15"/>
          <w:w w:val="168"/>
        </w:rPr>
        <w:t>(</w:t>
      </w:r>
      <w:r>
        <w:rPr>
          <w:rFonts w:hint="eastAsia" w:ascii="MS UI Gothic" w:eastAsia="MS UI Gothic"/>
          <w:w w:val="75"/>
        </w:rPr>
        <w:t>２０１４</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58" w:line="240" w:lineRule="exact"/>
        <w:ind w:left="115" w:firstLine="0"/>
        <w:jc w:val="left"/>
        <w:rPr>
          <w:rFonts w:hint="eastAsia" w:ascii="MS UI Gothic" w:eastAsia="MS UI Gothic"/>
        </w:rPr>
      </w:pPr>
    </w:p>
    <w:p>
      <w:pPr>
        <w:pStyle w:val="6"/>
        <w:spacing w:before="74"/>
        <w:ind w:left="62" w:firstLine="0"/>
        <w:jc w:val="left"/>
        <w:rPr>
          <w:rFonts w:hint="eastAsia" w:ascii="MS UI Gothic" w:eastAsia="MS UI Gothic"/>
        </w:rPr>
      </w:pPr>
      <w:r>
        <w:br w:type="column"/>
      </w:r>
      <w:r>
        <w:rPr>
          <w:rFonts w:hint="eastAsia" w:ascii="MS UI Gothic" w:eastAsia="MS UI Gothic"/>
          <w:w w:val="85"/>
        </w:rPr>
        <w:t>１２１５</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１２１９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065" w:space="40"/>
            <w:col w:w="3465" w:space="39"/>
            <w:col w:w="931"/>
          </w:cols>
        </w:sectPr>
      </w:pPr>
    </w:p>
    <w:p>
      <w:pPr>
        <w:pStyle w:val="6"/>
        <w:spacing w:before="74"/>
        <w:ind w:firstLine="0"/>
        <w:jc w:val="left"/>
        <w:rPr>
          <w:rFonts w:hint="eastAsia" w:ascii="MS UI Gothic" w:eastAsia="MS UI Gothic"/>
        </w:rPr>
      </w:pPr>
      <w:r>
        <w:rPr>
          <w:spacing w:val="2"/>
          <w:w w:val="102"/>
        </w:rPr>
        <w:t>企业事业单位突发环境事件应急预案备案管理办法</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试行</w:t>
      </w:r>
      <w:r>
        <w:rPr>
          <w:rFonts w:hint="eastAsia" w:ascii="MS UI Gothic" w:eastAsia="MS UI Gothic"/>
          <w:w w:val="168"/>
        </w:rPr>
        <w:t>)</w:t>
      </w:r>
      <w:r>
        <w:rPr>
          <w:rFonts w:hint="eastAsia" w:ascii="MS UI Gothic" w:eastAsia="MS UI Gothic"/>
          <w:spacing w:val="2"/>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年发布</w:t>
      </w:r>
      <w:r>
        <w:rPr>
          <w:rFonts w:hint="eastAsia" w:ascii="MS UI Gothic" w:eastAsia="MS UI Gothic"/>
          <w:w w:val="168"/>
        </w:rPr>
        <w:t>)</w:t>
      </w:r>
    </w:p>
    <w:p>
      <w:pPr>
        <w:pStyle w:val="6"/>
        <w:spacing w:before="74"/>
        <w:ind w:firstLine="0"/>
        <w:jc w:val="left"/>
        <w:rPr>
          <w:rFonts w:hint="eastAsia" w:ascii="MS UI Gothic" w:eastAsia="MS UI Gothic"/>
        </w:rPr>
      </w:pPr>
      <w:r>
        <w:br w:type="column"/>
      </w:r>
    </w:p>
    <w:p>
      <w:pPr>
        <w:pStyle w:val="6"/>
        <w:spacing w:before="74"/>
        <w:ind w:left="62" w:firstLine="0"/>
        <w:jc w:val="left"/>
        <w:rPr>
          <w:rFonts w:hint="eastAsia" w:ascii="MS UI Gothic" w:eastAsia="MS UI Gothic"/>
        </w:rPr>
      </w:pPr>
      <w:r>
        <w:br w:type="column"/>
      </w:r>
      <w:r>
        <w:rPr>
          <w:rFonts w:hint="eastAsia" w:ascii="MS UI Gothic" w:eastAsia="MS UI Gothic"/>
          <w:w w:val="85"/>
        </w:rPr>
        <w:t>１２２３</w:t>
      </w:r>
    </w:p>
    <w:p>
      <w:pPr>
        <w:spacing w:after="0"/>
        <w:jc w:val="left"/>
        <w:rPr>
          <w:rFonts w:hint="eastAsia" w:ascii="MS UI Gothic" w:eastAsia="MS UI Gothic"/>
        </w:rPr>
        <w:sectPr>
          <w:type w:val="continuous"/>
          <w:pgSz w:w="10500" w:h="14750"/>
          <w:pgMar w:top="1400" w:right="980" w:bottom="280" w:left="980" w:header="720" w:footer="720" w:gutter="0"/>
          <w:cols w:equalWidth="0" w:num="3">
            <w:col w:w="6973" w:space="56"/>
            <w:col w:w="541" w:space="40"/>
            <w:col w:w="930"/>
          </w:cols>
        </w:sectPr>
      </w:pPr>
    </w:p>
    <w:p>
      <w:pPr>
        <w:tabs>
          <w:tab w:val="left" w:pos="4692"/>
          <w:tab w:val="left" w:pos="7617"/>
        </w:tabs>
        <w:spacing w:before="162"/>
        <w:ind w:left="3971" w:right="0" w:firstLine="0"/>
        <w:jc w:val="left"/>
        <w:rPr>
          <w:rFonts w:hint="eastAsia" w:ascii="MS UI Gothic" w:eastAsia="MS UI Gothic"/>
          <w:sz w:val="20"/>
        </w:rPr>
      </w:pPr>
      <w:r>
        <w:pict>
          <v:group id="_x0000_s1046" o:spid="_x0000_s1046" o:spt="203" style="position:absolute;left:0pt;margin-left:70.95pt;margin-top:23.85pt;height:2.15pt;width:398.25pt;mso-position-horizontal-relative:page;mso-wrap-distance-bottom:0pt;mso-wrap-distance-top:0pt;z-index:-251651072;mso-width-relative:page;mso-height-relative:page;" coordorigin="1419,477" coordsize="7965,43">
            <o:lock v:ext="edit"/>
            <v:line id="_x0000_s1047" o:spid="_x0000_s1047" o:spt="20" style="position:absolute;left:1419;top:516;height:0;width:7965;" stroked="t" coordsize="21600,21600">
              <v:path arrowok="t"/>
              <v:fill focussize="0,0"/>
              <v:stroke weight="0.388031496062992pt" color="#231F20"/>
              <v:imagedata o:title=""/>
              <o:lock v:ext="edit"/>
            </v:line>
            <v:line id="_x0000_s1048" o:spid="_x0000_s1048" o:spt="20" style="position:absolute;left:1419;top:481;height:0;width:7965;" stroked="t" coordsize="21600,21600">
              <v:path arrowok="t"/>
              <v:fill focussize="0,0"/>
              <v:stroke weight="0.388031496062992pt" color="#231F20"/>
              <v:imagedata o:title=""/>
              <o:lock v:ext="edit"/>
            </v:line>
            <w10:wrap type="topAndBottom"/>
          </v:group>
        </w:pict>
      </w:r>
      <w:r>
        <w:rPr>
          <w:w w:val="103"/>
          <w:sz w:val="17"/>
        </w:rPr>
        <w:t>目</w:t>
      </w:r>
      <w:r>
        <w:rPr>
          <w:sz w:val="17"/>
        </w:rPr>
        <w:tab/>
      </w:r>
      <w:r>
        <w:rPr>
          <w:w w:val="103"/>
          <w:sz w:val="17"/>
        </w:rPr>
        <w:t>录</w:t>
      </w:r>
      <w:r>
        <w:rPr>
          <w:sz w:val="17"/>
        </w:rPr>
        <w:tab/>
      </w:r>
      <w:r>
        <w:rPr>
          <w:rFonts w:hint="eastAsia" w:ascii="MS UI Gothic" w:eastAsia="MS UI Gothic"/>
          <w:spacing w:val="1"/>
          <w:w w:val="75"/>
          <w:sz w:val="20"/>
        </w:rPr>
        <w:t>７</w:t>
      </w:r>
    </w:p>
    <w:p>
      <w:pPr>
        <w:pStyle w:val="6"/>
        <w:spacing w:before="163" w:line="240" w:lineRule="exact"/>
        <w:ind w:left="440" w:firstLine="0"/>
        <w:jc w:val="left"/>
      </w:pPr>
      <w:r>
        <w:t>生态环境部关于提升危险废物环境监管能力</w:t>
      </w:r>
      <w:r>
        <w:rPr>
          <w:rFonts w:hint="eastAsia" w:ascii="MS UI Gothic" w:eastAsia="MS UI Gothic"/>
        </w:rPr>
        <w:t xml:space="preserve">、 </w:t>
      </w:r>
      <w:r>
        <w:t>利用处置能力和环境风险防范能</w:t>
      </w:r>
    </w:p>
    <w:p>
      <w:pPr>
        <w:spacing w:after="0" w:line="240" w:lineRule="exact"/>
        <w:jc w:val="left"/>
        <w:sectPr>
          <w:pgSz w:w="10500" w:h="14750"/>
          <w:pgMar w:top="960" w:right="980" w:bottom="280" w:left="980" w:header="720" w:footer="720" w:gutter="0"/>
        </w:sectPr>
      </w:pPr>
    </w:p>
    <w:p>
      <w:pPr>
        <w:pStyle w:val="6"/>
        <w:spacing w:before="74" w:line="240" w:lineRule="exact"/>
        <w:ind w:left="650" w:firstLine="0"/>
        <w:jc w:val="left"/>
        <w:rPr>
          <w:rFonts w:hint="eastAsia" w:ascii="MS UI Gothic" w:eastAsia="MS UI Gothic"/>
        </w:rPr>
      </w:pPr>
      <w:r>
        <w:rPr>
          <w:spacing w:val="2"/>
          <w:w w:val="102"/>
        </w:rPr>
        <w:t>力的指导意见</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１２２７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中华人民共和国海洋环境保护法</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１２３１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中华人民共和国海岛保护法</w:t>
      </w:r>
      <w:r>
        <w:rPr>
          <w:spacing w:val="8"/>
        </w:rPr>
        <w:t xml:space="preserve"> </w:t>
      </w:r>
      <w:r>
        <w:rPr>
          <w:rFonts w:hint="eastAsia" w:ascii="MS UI Gothic" w:eastAsia="MS UI Gothic"/>
          <w:spacing w:val="15"/>
          <w:w w:val="168"/>
        </w:rPr>
        <w:t>(</w:t>
      </w:r>
      <w:r>
        <w:rPr>
          <w:rFonts w:hint="eastAsia" w:ascii="MS UI Gothic" w:eastAsia="MS UI Gothic"/>
          <w:w w:val="75"/>
        </w:rPr>
        <w:t>２００９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１２４１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防治船舶污染海洋环境管理条例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１２４７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中华人民共和国海洋石油勘探开发环境保护管理条例</w:t>
      </w:r>
      <w:r>
        <w:rPr>
          <w:spacing w:val="8"/>
        </w:rPr>
        <w:t xml:space="preserve"> </w:t>
      </w:r>
      <w:r>
        <w:rPr>
          <w:rFonts w:hint="eastAsia" w:ascii="MS UI Gothic" w:eastAsia="MS UI Gothic"/>
          <w:spacing w:val="15"/>
          <w:w w:val="168"/>
        </w:rPr>
        <w:t>(</w:t>
      </w:r>
      <w:r>
        <w:rPr>
          <w:rFonts w:hint="eastAsia" w:ascii="MS UI Gothic" w:eastAsia="MS UI Gothic"/>
          <w:w w:val="75"/>
        </w:rPr>
        <w:t>１９８３</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１２５５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中华人民共和国海洋倾废管理条例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２０１７</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１２５９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防止拆船污染环境管理条例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１２６３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中华人民共和国防治陆源污染物污染损害海洋环境管理条例</w:t>
      </w:r>
      <w:r>
        <w:rPr>
          <w:spacing w:val="8"/>
        </w:rPr>
        <w:t xml:space="preserve"> </w:t>
      </w:r>
      <w:r>
        <w:rPr>
          <w:rFonts w:hint="eastAsia" w:ascii="MS UI Gothic" w:eastAsia="MS UI Gothic"/>
          <w:spacing w:val="15"/>
          <w:w w:val="168"/>
        </w:rPr>
        <w:t>(</w:t>
      </w:r>
      <w:r>
        <w:rPr>
          <w:rFonts w:hint="eastAsia" w:ascii="MS UI Gothic" w:eastAsia="MS UI Gothic"/>
          <w:w w:val="75"/>
        </w:rPr>
        <w:t>１９９０</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１２６６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pPr>
      <w:r>
        <w:rPr>
          <w:w w:val="105"/>
        </w:rPr>
        <w:t xml:space="preserve">中华人民共和国防治海岸工程建设项目污染损害海洋环境管理条例 </w:t>
      </w:r>
      <w:r>
        <w:rPr>
          <w:rFonts w:hint="eastAsia" w:ascii="MS UI Gothic" w:eastAsia="MS UI Gothic"/>
          <w:w w:val="140"/>
        </w:rPr>
        <w:t xml:space="preserve">( </w:t>
      </w:r>
      <w:r>
        <w:rPr>
          <w:rFonts w:hint="eastAsia" w:ascii="MS UI Gothic" w:eastAsia="MS UI Gothic"/>
          <w:w w:val="95"/>
        </w:rPr>
        <w:t xml:space="preserve">２０１７ </w:t>
      </w:r>
      <w:r>
        <w:rPr>
          <w:w w:val="105"/>
        </w:rPr>
        <w:t>年</w:t>
      </w:r>
    </w:p>
    <w:p>
      <w:pPr>
        <w:spacing w:after="0" w:line="240" w:lineRule="exact"/>
        <w:jc w:val="left"/>
        <w:sectPr>
          <w:type w:val="continuous"/>
          <w:pgSz w:w="10500" w:h="14750"/>
          <w:pgMar w:top="1400" w:right="980" w:bottom="280" w:left="980" w:header="720" w:footer="720" w:gutter="0"/>
        </w:sectPr>
      </w:pPr>
    </w:p>
    <w:p>
      <w:pPr>
        <w:pStyle w:val="6"/>
        <w:tabs>
          <w:tab w:val="left" w:pos="1391"/>
        </w:tabs>
        <w:spacing w:before="74" w:line="240" w:lineRule="exact"/>
        <w:ind w:left="650" w:firstLine="0"/>
        <w:jc w:val="left"/>
        <w:rPr>
          <w:rFonts w:hint="eastAsia" w:ascii="MS UI Gothic" w:eastAsia="MS UI Gothic"/>
        </w:rPr>
      </w:pPr>
      <w:r>
        <w:rPr>
          <w:spacing w:val="3"/>
          <w:w w:val="130"/>
        </w:rPr>
        <w:t>修订</w:t>
      </w:r>
      <w:r>
        <w:rPr>
          <w:rFonts w:hint="eastAsia" w:ascii="MS UI Gothic" w:eastAsia="MS UI Gothic"/>
          <w:w w:val="130"/>
        </w:rPr>
        <w:t>)</w:t>
      </w:r>
      <w:r>
        <w:rPr>
          <w:rFonts w:hint="eastAsia" w:ascii="MS UI Gothic" w:eastAsia="MS UI Gothic"/>
          <w:w w:val="130"/>
        </w:rPr>
        <w:tab/>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１２６９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防治海洋工程建设项目污染损害海洋环境管理条例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１２７２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ind w:left="440" w:firstLine="0"/>
        <w:jc w:val="left"/>
        <w:rPr>
          <w:rFonts w:hint="eastAsia" w:ascii="MS UI Gothic" w:eastAsia="MS UI Gothic"/>
        </w:rPr>
      </w:pPr>
      <w:r>
        <w:rPr>
          <w:spacing w:val="2"/>
          <w:w w:val="102"/>
        </w:rPr>
        <w:t>中华人民共和国固体废物污染环境防治法</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修订草案</w:t>
      </w:r>
      <w:r>
        <w:rPr>
          <w:rFonts w:hint="eastAsia" w:ascii="MS UI Gothic" w:eastAsia="MS UI Gothic"/>
          <w:w w:val="168"/>
        </w:rPr>
        <w:t>)</w:t>
      </w:r>
      <w:r>
        <w:rPr>
          <w:rFonts w:hint="eastAsia" w:ascii="MS UI Gothic" w:eastAsia="MS UI Gothic"/>
          <w:spacing w:val="2"/>
        </w:rPr>
        <w:t xml:space="preserve">  </w:t>
      </w:r>
      <w:r>
        <w:rPr>
          <w:rFonts w:hint="eastAsia" w:ascii="MS UI Gothic" w:eastAsia="MS UI Gothic"/>
          <w:spacing w:val="15"/>
          <w:w w:val="168"/>
        </w:rPr>
        <w:t>(</w:t>
      </w:r>
      <w:r>
        <w:rPr>
          <w:rFonts w:hint="eastAsia" w:ascii="MS UI Gothic" w:eastAsia="MS UI Gothic"/>
          <w:spacing w:val="-1"/>
          <w:w w:val="75"/>
        </w:rPr>
        <w:t>２０１９</w:t>
      </w:r>
      <w:r>
        <w:rPr>
          <w:rFonts w:hint="eastAsia" w:ascii="MS UI Gothic" w:eastAsia="MS UI Gothic"/>
          <w:spacing w:val="-3"/>
        </w:rPr>
        <w:t xml:space="preserve"> </w:t>
      </w:r>
      <w:r>
        <w:rPr>
          <w:spacing w:val="3"/>
          <w:w w:val="102"/>
        </w:rPr>
        <w:t>年征求意见稿</w:t>
      </w:r>
      <w:r>
        <w:rPr>
          <w:rFonts w:hint="eastAsia" w:ascii="MS UI Gothic" w:eastAsia="MS UI Gothic"/>
          <w:w w:val="168"/>
        </w:rPr>
        <w:t>)</w:t>
      </w:r>
    </w:p>
    <w:p>
      <w:pPr>
        <w:pStyle w:val="6"/>
        <w:spacing w:before="58" w:line="240" w:lineRule="exact"/>
        <w:ind w:left="763" w:firstLine="0"/>
        <w:jc w:val="left"/>
        <w:rPr>
          <w:rFonts w:hint="eastAsia" w:ascii="MS UI Gothic" w:eastAsia="MS UI Gothic"/>
        </w:rPr>
      </w:pPr>
    </w:p>
    <w:p>
      <w:pPr>
        <w:pStyle w:val="6"/>
        <w:spacing w:before="389" w:line="240" w:lineRule="exact"/>
        <w:ind w:left="62" w:firstLine="0"/>
        <w:jc w:val="left"/>
        <w:rPr>
          <w:rFonts w:hint="eastAsia" w:ascii="MS UI Gothic" w:eastAsia="MS UI Gothic"/>
        </w:rPr>
      </w:pPr>
      <w:r>
        <w:br w:type="column"/>
      </w:r>
      <w:r>
        <w:rPr>
          <w:rFonts w:hint="eastAsia" w:ascii="MS UI Gothic" w:eastAsia="MS UI Gothic"/>
          <w:w w:val="85"/>
        </w:rPr>
        <w:t>１２７９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危险废物经营许可证管理办法</w:t>
      </w:r>
      <w:r>
        <w:rPr>
          <w:spacing w:val="8"/>
        </w:rPr>
        <w:t xml:space="preserve"> </w:t>
      </w:r>
      <w:r>
        <w:rPr>
          <w:rFonts w:hint="eastAsia" w:ascii="MS UI Gothic" w:eastAsia="MS UI Gothic"/>
          <w:spacing w:val="15"/>
          <w:w w:val="168"/>
        </w:rPr>
        <w:t>(</w:t>
      </w:r>
      <w:r>
        <w:rPr>
          <w:rFonts w:hint="eastAsia" w:ascii="MS UI Gothic" w:eastAsia="MS UI Gothic"/>
          <w:w w:val="75"/>
        </w:rPr>
        <w:t>２０１６</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１２９１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废弃电器电子产品回收处理管理条例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１２９５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畜禽规模养殖污染防治条例</w:t>
      </w:r>
      <w:r>
        <w:rPr>
          <w:spacing w:val="8"/>
        </w:rPr>
        <w:t xml:space="preserve"> </w:t>
      </w:r>
      <w:r>
        <w:rPr>
          <w:rFonts w:hint="eastAsia" w:ascii="MS UI Gothic" w:eastAsia="MS UI Gothic"/>
          <w:spacing w:val="15"/>
          <w:w w:val="168"/>
        </w:rPr>
        <w:t>(</w:t>
      </w:r>
      <w:r>
        <w:rPr>
          <w:rFonts w:hint="eastAsia" w:ascii="MS UI Gothic" w:eastAsia="MS UI Gothic"/>
          <w:w w:val="75"/>
        </w:rPr>
        <w:t>２０１３</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１２９８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中华人民共和国水污染防治法</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１３０２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ind w:left="440" w:firstLine="0"/>
        <w:jc w:val="left"/>
        <w:rPr>
          <w:rFonts w:hint="eastAsia" w:ascii="MS UI Gothic" w:eastAsia="MS UI Gothic"/>
        </w:rPr>
      </w:pPr>
      <w:r>
        <w:rPr>
          <w:spacing w:val="2"/>
          <w:w w:val="102"/>
        </w:rPr>
        <w:t>中华人民共和国大气污染防治法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9" w:line="240" w:lineRule="exact"/>
        <w:ind w:left="440" w:firstLine="0"/>
        <w:jc w:val="left"/>
        <w:rPr>
          <w:rFonts w:hint="eastAsia" w:ascii="MS UI Gothic" w:eastAsia="MS UI Gothic"/>
        </w:rPr>
      </w:pPr>
      <w:r>
        <w:rPr>
          <w:spacing w:val="2"/>
          <w:w w:val="102"/>
        </w:rPr>
        <w:t>中华人民共和国土壤污染防治法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59" w:line="240" w:lineRule="exact"/>
        <w:ind w:left="115" w:firstLine="0"/>
        <w:jc w:val="left"/>
        <w:rPr>
          <w:rFonts w:hint="eastAsia" w:ascii="MS UI Gothic" w:eastAsia="MS UI Gothic"/>
        </w:rPr>
      </w:pPr>
    </w:p>
    <w:p>
      <w:pPr>
        <w:pStyle w:val="6"/>
        <w:spacing w:before="74"/>
        <w:ind w:left="62" w:firstLine="0"/>
        <w:jc w:val="left"/>
        <w:rPr>
          <w:rFonts w:hint="eastAsia" w:ascii="MS UI Gothic" w:eastAsia="MS UI Gothic"/>
        </w:rPr>
      </w:pPr>
      <w:r>
        <w:br w:type="column"/>
      </w:r>
      <w:r>
        <w:rPr>
          <w:rFonts w:hint="eastAsia" w:ascii="MS UI Gothic" w:eastAsia="MS UI Gothic"/>
          <w:w w:val="85"/>
        </w:rPr>
        <w:t>１３１５</w:t>
      </w:r>
    </w:p>
    <w:p>
      <w:pPr>
        <w:pStyle w:val="6"/>
        <w:spacing w:before="59" w:line="240" w:lineRule="exact"/>
        <w:ind w:left="62" w:firstLine="0"/>
        <w:jc w:val="left"/>
        <w:rPr>
          <w:rFonts w:hint="eastAsia" w:ascii="MS UI Gothic" w:eastAsia="MS UI Gothic"/>
        </w:rPr>
      </w:pPr>
      <w:r>
        <w:rPr>
          <w:rFonts w:hint="eastAsia" w:ascii="MS UI Gothic" w:eastAsia="MS UI Gothic"/>
          <w:w w:val="85"/>
        </w:rPr>
        <w:t>１３３０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800" w:space="40"/>
            <w:col w:w="3046" w:space="39"/>
            <w:col w:w="615"/>
          </w:cols>
        </w:sectPr>
      </w:pPr>
    </w:p>
    <w:p>
      <w:pPr>
        <w:pStyle w:val="6"/>
        <w:spacing w:before="74" w:line="240" w:lineRule="exact"/>
        <w:ind w:left="440" w:firstLine="0"/>
        <w:jc w:val="left"/>
        <w:rPr>
          <w:rFonts w:hint="eastAsia" w:ascii="MS UI Gothic" w:eastAsia="MS UI Gothic"/>
        </w:rPr>
      </w:pPr>
      <w:r>
        <w:rPr>
          <w:spacing w:val="2"/>
          <w:w w:val="102"/>
        </w:rPr>
        <w:t>中华人民共和国放射性污染防治法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２００３</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１３４２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放射性废物安全管理条例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２０１１</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１３４９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放射性同位素与射线装置安全和防护条例</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１３５６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放射性物品运输安全管理条例</w:t>
      </w:r>
      <w:r>
        <w:rPr>
          <w:spacing w:val="8"/>
        </w:rPr>
        <w:t xml:space="preserve"> </w:t>
      </w:r>
      <w:r>
        <w:rPr>
          <w:rFonts w:hint="eastAsia" w:ascii="MS UI Gothic" w:eastAsia="MS UI Gothic"/>
          <w:spacing w:val="15"/>
          <w:w w:val="168"/>
        </w:rPr>
        <w:t>(</w:t>
      </w:r>
      <w:r>
        <w:rPr>
          <w:rFonts w:hint="eastAsia" w:ascii="MS UI Gothic" w:eastAsia="MS UI Gothic"/>
          <w:w w:val="75"/>
        </w:rPr>
        <w:t>２００９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１３６５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中华人民共和国核安全法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２０１７</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１３７４</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中华人民共和国民用核设施安全监督管理条例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１９８６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１３８６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民用核安全设备监督管理条例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１３８８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核电厂核事故应急管理条例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１３９５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w w:val="125"/>
        </w:rPr>
        <w:t xml:space="preserve">核应急安全规章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１４００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国家核应急预案</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２０１３</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１４００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ind w:left="440" w:firstLine="0"/>
        <w:jc w:val="left"/>
        <w:rPr>
          <w:rFonts w:hint="eastAsia" w:ascii="MS UI Gothic" w:eastAsia="MS UI Gothic"/>
        </w:rPr>
      </w:pPr>
      <w:r>
        <w:rPr>
          <w:spacing w:val="2"/>
          <w:w w:val="102"/>
        </w:rPr>
        <w:t>国家核事故医学应急管理规定</w:t>
      </w:r>
      <w:r>
        <w:rPr>
          <w:spacing w:val="8"/>
        </w:rPr>
        <w:t xml:space="preserve"> </w:t>
      </w:r>
      <w:r>
        <w:rPr>
          <w:rFonts w:hint="eastAsia" w:ascii="MS UI Gothic" w:eastAsia="MS UI Gothic"/>
          <w:spacing w:val="15"/>
          <w:w w:val="168"/>
        </w:rPr>
        <w:t>(</w:t>
      </w:r>
      <w:r>
        <w:rPr>
          <w:rFonts w:hint="eastAsia" w:ascii="MS UI Gothic" w:eastAsia="MS UI Gothic"/>
          <w:w w:val="75"/>
        </w:rPr>
        <w:t>１９９４</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ind w:left="62" w:firstLine="0"/>
        <w:jc w:val="left"/>
        <w:rPr>
          <w:rFonts w:hint="eastAsia" w:ascii="MS UI Gothic" w:eastAsia="MS UI Gothic"/>
        </w:rPr>
      </w:pPr>
      <w:r>
        <w:br w:type="column"/>
      </w:r>
      <w:r>
        <w:rPr>
          <w:rFonts w:hint="eastAsia" w:ascii="MS UI Gothic" w:eastAsia="MS UI Gothic"/>
          <w:w w:val="85"/>
        </w:rPr>
        <w:t>１４０７</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6"/>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74" w:line="240" w:lineRule="exact"/>
        <w:ind w:left="440" w:firstLine="0"/>
        <w:jc w:val="left"/>
        <w:rPr>
          <w:rFonts w:hint="eastAsia" w:ascii="MS UI Gothic" w:eastAsia="MS UI Gothic"/>
        </w:rPr>
      </w:pPr>
      <w:r>
        <w:rPr>
          <w:w w:val="125"/>
        </w:rPr>
        <w:t>十</w:t>
      </w:r>
      <w:r>
        <w:rPr>
          <w:w w:val="90"/>
        </w:rPr>
        <w:t xml:space="preserve">、 </w:t>
      </w:r>
      <w:r>
        <w:rPr>
          <w:w w:val="125"/>
        </w:rPr>
        <w:t xml:space="preserve">卫生应急法 </w:t>
      </w:r>
    </w:p>
    <w:p>
      <w:pPr>
        <w:pStyle w:val="6"/>
        <w:spacing w:before="174" w:line="240" w:lineRule="exact"/>
        <w:ind w:left="62" w:firstLine="0"/>
        <w:jc w:val="left"/>
        <w:rPr>
          <w:rFonts w:hint="eastAsia" w:ascii="MS UI Gothic" w:eastAsia="MS UI Gothic"/>
        </w:rPr>
      </w:pPr>
      <w:r>
        <w:br w:type="column"/>
      </w:r>
      <w:r>
        <w:rPr>
          <w:rFonts w:hint="eastAsia" w:ascii="MS UI Gothic" w:eastAsia="MS UI Gothic"/>
          <w:w w:val="85"/>
        </w:rPr>
        <w:t>１４１２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中华人民共和国传染病防治法</w:t>
      </w:r>
      <w:r>
        <w:rPr>
          <w:spacing w:val="8"/>
        </w:rPr>
        <w:t xml:space="preserve"> </w:t>
      </w:r>
      <w:r>
        <w:rPr>
          <w:rFonts w:hint="eastAsia" w:ascii="MS UI Gothic" w:eastAsia="MS UI Gothic"/>
          <w:spacing w:val="15"/>
          <w:w w:val="168"/>
        </w:rPr>
        <w:t>(</w:t>
      </w:r>
      <w:r>
        <w:rPr>
          <w:rFonts w:hint="eastAsia" w:ascii="MS UI Gothic" w:eastAsia="MS UI Gothic"/>
          <w:w w:val="75"/>
        </w:rPr>
        <w:t>２０１３</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１４１２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中华人民共和国传染病防治法实施办法</w:t>
      </w:r>
      <w:r>
        <w:rPr>
          <w:spacing w:val="8"/>
        </w:rPr>
        <w:t xml:space="preserve"> </w:t>
      </w:r>
      <w:r>
        <w:rPr>
          <w:rFonts w:hint="eastAsia" w:ascii="MS UI Gothic" w:eastAsia="MS UI Gothic"/>
          <w:spacing w:val="15"/>
          <w:w w:val="168"/>
        </w:rPr>
        <w:t>(</w:t>
      </w:r>
      <w:r>
        <w:rPr>
          <w:rFonts w:hint="eastAsia" w:ascii="MS UI Gothic" w:eastAsia="MS UI Gothic"/>
          <w:w w:val="75"/>
        </w:rPr>
        <w:t>１９９１</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１４２３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w w:val="120"/>
        </w:rPr>
        <w:t xml:space="preserve">中华人民共和国基本医疗卫生与健康促进法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１４３２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公共场所卫生管理条例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２０１９</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１４４３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ind w:left="440" w:firstLine="0"/>
        <w:jc w:val="left"/>
        <w:rPr>
          <w:rFonts w:hint="eastAsia" w:ascii="MS UI Gothic" w:eastAsia="MS UI Gothic"/>
        </w:rPr>
      </w:pPr>
      <w:r>
        <w:rPr>
          <w:spacing w:val="2"/>
          <w:w w:val="102"/>
        </w:rPr>
        <w:t>突发公共卫生事件应急条例</w:t>
      </w:r>
      <w:r>
        <w:rPr>
          <w:spacing w:val="8"/>
        </w:rPr>
        <w:t xml:space="preserve"> </w:t>
      </w:r>
      <w:r>
        <w:rPr>
          <w:rFonts w:hint="eastAsia" w:ascii="MS UI Gothic" w:eastAsia="MS UI Gothic"/>
          <w:spacing w:val="15"/>
          <w:w w:val="168"/>
        </w:rPr>
        <w:t>(</w:t>
      </w:r>
      <w:r>
        <w:rPr>
          <w:rFonts w:hint="eastAsia" w:ascii="MS UI Gothic" w:eastAsia="MS UI Gothic"/>
          <w:w w:val="75"/>
        </w:rPr>
        <w:t>２０１０</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ind w:left="440" w:firstLine="0"/>
        <w:jc w:val="left"/>
        <w:rPr>
          <w:rFonts w:hint="eastAsia" w:ascii="MS UI Gothic" w:eastAsia="MS UI Gothic"/>
        </w:rPr>
      </w:pPr>
      <w:r>
        <w:rPr>
          <w:spacing w:val="2"/>
          <w:w w:val="102"/>
        </w:rPr>
        <w:t>中华人民共和国动物防疫法</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58"/>
        <w:ind w:left="115" w:firstLine="0"/>
        <w:jc w:val="left"/>
        <w:rPr>
          <w:rFonts w:hint="eastAsia" w:ascii="MS UI Gothic" w:eastAsia="MS UI Gothic"/>
        </w:rPr>
      </w:pPr>
    </w:p>
    <w:p>
      <w:pPr>
        <w:pStyle w:val="6"/>
        <w:spacing w:before="74"/>
        <w:ind w:left="62" w:firstLine="0"/>
        <w:jc w:val="left"/>
        <w:rPr>
          <w:rFonts w:hint="eastAsia" w:ascii="MS UI Gothic" w:eastAsia="MS UI Gothic"/>
        </w:rPr>
      </w:pPr>
      <w:r>
        <w:br w:type="column"/>
      </w:r>
      <w:r>
        <w:rPr>
          <w:rFonts w:hint="eastAsia" w:ascii="MS UI Gothic" w:eastAsia="MS UI Gothic"/>
          <w:w w:val="85"/>
        </w:rPr>
        <w:t>１４４５</w:t>
      </w:r>
    </w:p>
    <w:p>
      <w:pPr>
        <w:pStyle w:val="6"/>
        <w:spacing w:before="58"/>
        <w:ind w:left="62" w:firstLine="0"/>
        <w:jc w:val="left"/>
        <w:rPr>
          <w:rFonts w:hint="eastAsia" w:ascii="MS UI Gothic" w:eastAsia="MS UI Gothic"/>
        </w:rPr>
      </w:pPr>
      <w:r>
        <w:rPr>
          <w:rFonts w:hint="eastAsia" w:ascii="MS UI Gothic" w:eastAsia="MS UI Gothic"/>
          <w:w w:val="85"/>
        </w:rPr>
        <w:t>１４５４</w:t>
      </w:r>
    </w:p>
    <w:p>
      <w:pPr>
        <w:spacing w:after="0"/>
        <w:jc w:val="left"/>
        <w:rPr>
          <w:rFonts w:hint="eastAsia" w:ascii="MS UI Gothic" w:eastAsia="MS UI Gothic"/>
        </w:rPr>
        <w:sectPr>
          <w:type w:val="continuous"/>
          <w:pgSz w:w="10500" w:h="14750"/>
          <w:pgMar w:top="1400" w:right="980" w:bottom="280" w:left="980" w:header="720" w:footer="720" w:gutter="0"/>
          <w:cols w:equalWidth="0" w:num="3">
            <w:col w:w="4381" w:space="40"/>
            <w:col w:w="3465" w:space="39"/>
            <w:col w:w="615"/>
          </w:cols>
        </w:sectPr>
      </w:pPr>
    </w:p>
    <w:p>
      <w:pPr>
        <w:pStyle w:val="6"/>
        <w:spacing w:before="159"/>
        <w:ind w:left="384" w:firstLine="0"/>
        <w:jc w:val="left"/>
        <w:rPr>
          <w:rFonts w:hint="eastAsia" w:ascii="MS UI Gothic" w:eastAsia="MS UI Gothic"/>
        </w:rPr>
      </w:pPr>
      <w:r>
        <w:rPr>
          <w:rFonts w:hint="eastAsia" w:ascii="MS UI Gothic" w:eastAsia="MS UI Gothic"/>
          <w:spacing w:val="1"/>
          <w:w w:val="75"/>
        </w:rPr>
        <w:t>８</w:t>
      </w:r>
    </w:p>
    <w:p>
      <w:pPr>
        <w:spacing w:before="192"/>
        <w:ind w:left="38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45" w:space="1096"/>
            <w:col w:w="6499"/>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49" o:spid="_x0000_s1049" o:spt="203" style="height:2.15pt;width:398.25pt;" coordsize="7965,43">
            <o:lock v:ext="edit"/>
            <v:line id="_x0000_s1050" o:spid="_x0000_s1050" o:spt="20" style="position:absolute;left:0;top:39;height:0;width:7965;" stroked="t" coordsize="21600,21600">
              <v:path arrowok="t"/>
              <v:fill focussize="0,0"/>
              <v:stroke weight="0.388031496062992pt" color="#231F20"/>
              <v:imagedata o:title=""/>
              <o:lock v:ext="edit"/>
            </v:line>
            <v:line id="_x0000_s1051" o:spid="_x0000_s105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40" w:lineRule="exact"/>
        <w:ind w:firstLine="0"/>
        <w:jc w:val="left"/>
        <w:rPr>
          <w:rFonts w:hint="eastAsia" w:ascii="MS UI Gothic" w:eastAsia="MS UI Gothic"/>
        </w:rPr>
      </w:pPr>
      <w:r>
        <w:rPr>
          <w:spacing w:val="2"/>
          <w:w w:val="102"/>
        </w:rPr>
        <w:t>重大动物疫情应急条例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２０１７</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123" w:line="240" w:lineRule="exact"/>
        <w:ind w:left="62" w:firstLine="0"/>
        <w:jc w:val="left"/>
        <w:rPr>
          <w:rFonts w:hint="eastAsia" w:ascii="MS UI Gothic" w:eastAsia="MS UI Gothic"/>
        </w:rPr>
      </w:pPr>
      <w:r>
        <w:br w:type="column"/>
      </w:r>
      <w:r>
        <w:rPr>
          <w:rFonts w:hint="eastAsia" w:ascii="MS UI Gothic" w:eastAsia="MS UI Gothic"/>
          <w:w w:val="85"/>
        </w:rPr>
        <w:t>１４６３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病原微生物实验室生物安全管理条例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２０１８</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１４６８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医疗废物管理条例</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１４７９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w w:val="125"/>
        </w:rPr>
        <w:t xml:space="preserve">公共卫生应急规章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１４８５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国家突发公共卫生事件应急预案</w:t>
      </w:r>
      <w:r>
        <w:rPr>
          <w:spacing w:val="8"/>
        </w:rPr>
        <w:t xml:space="preserve"> </w:t>
      </w:r>
      <w:r>
        <w:rPr>
          <w:rFonts w:hint="eastAsia" w:ascii="MS UI Gothic" w:eastAsia="MS UI Gothic"/>
          <w:spacing w:val="15"/>
          <w:w w:val="168"/>
        </w:rPr>
        <w:t>(</w:t>
      </w:r>
      <w:r>
        <w:rPr>
          <w:rFonts w:hint="eastAsia" w:ascii="MS UI Gothic" w:eastAsia="MS UI Gothic"/>
          <w:w w:val="75"/>
        </w:rPr>
        <w:t>２００６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１４８５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突发公共卫生事件与传染病疫情监测信息报告管理办法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２００６</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１４９０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中华人民共和国职业病防治法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１４９５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中华人民共和国尘肺病防治条例</w:t>
      </w:r>
      <w:r>
        <w:rPr>
          <w:spacing w:val="8"/>
        </w:rPr>
        <w:t xml:space="preserve"> </w:t>
      </w:r>
      <w:r>
        <w:rPr>
          <w:rFonts w:hint="eastAsia" w:ascii="MS UI Gothic" w:eastAsia="MS UI Gothic"/>
          <w:spacing w:val="15"/>
          <w:w w:val="168"/>
        </w:rPr>
        <w:t>(</w:t>
      </w:r>
      <w:r>
        <w:rPr>
          <w:rFonts w:hint="eastAsia" w:ascii="MS UI Gothic" w:eastAsia="MS UI Gothic"/>
          <w:w w:val="75"/>
        </w:rPr>
        <w:t>１９８７</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１５０７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w w:val="125"/>
        </w:rPr>
        <w:t xml:space="preserve">职业病防治规章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１５０９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工作场所职业卫生监督管理规定</w:t>
      </w:r>
      <w:r>
        <w:rPr>
          <w:spacing w:val="8"/>
        </w:rPr>
        <w:t xml:space="preserve"> </w:t>
      </w:r>
      <w:r>
        <w:rPr>
          <w:rFonts w:hint="eastAsia" w:ascii="MS UI Gothic" w:eastAsia="MS UI Gothic"/>
          <w:spacing w:val="15"/>
          <w:w w:val="168"/>
        </w:rPr>
        <w:t>(</w:t>
      </w:r>
      <w:r>
        <w:rPr>
          <w:rFonts w:hint="eastAsia" w:ascii="MS UI Gothic" w:eastAsia="MS UI Gothic"/>
          <w:w w:val="75"/>
        </w:rPr>
        <w:t>２０１２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１５０９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职业病危害项目申报办法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１５１８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用人单位职业健康监护监督管理办法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１５２１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职业卫生技术服务机构管理办法</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w w:val="102"/>
        </w:rPr>
        <w:t>年</w:t>
      </w:r>
      <w:r>
        <w:rPr>
          <w:spacing w:val="-50"/>
        </w:rPr>
        <w:t xml:space="preserve"> </w:t>
      </w:r>
      <w:r>
        <w:rPr>
          <w:rFonts w:hint="eastAsia" w:ascii="MS UI Gothic" w:eastAsia="MS UI Gothic"/>
          <w:w w:val="75"/>
        </w:rPr>
        <w:t>８</w:t>
      </w:r>
      <w:r>
        <w:rPr>
          <w:rFonts w:hint="eastAsia" w:ascii="MS UI Gothic" w:eastAsia="MS UI Gothic"/>
          <w:spacing w:val="-3"/>
        </w:rPr>
        <w:t xml:space="preserve"> </w:t>
      </w:r>
      <w:r>
        <w:rPr>
          <w:spacing w:val="3"/>
          <w:w w:val="102"/>
        </w:rPr>
        <w:t>月征求意见稿</w:t>
      </w:r>
      <w:r>
        <w:rPr>
          <w:rFonts w:hint="eastAsia" w:ascii="MS UI Gothic" w:eastAsia="MS UI Gothic"/>
          <w:w w:val="168"/>
        </w:rPr>
        <w:t>)</w:t>
      </w:r>
      <w:r>
        <w:rPr>
          <w:rFonts w:hint="eastAsia" w:ascii="MS UI Gothic" w:eastAsia="MS UI Gothic"/>
          <w:spacing w:val="-9"/>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１５２７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煤矿作业场所职业病危害防治规定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２０１５</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１５３５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tabs>
          <w:tab w:val="left" w:pos="6525"/>
        </w:tabs>
        <w:spacing w:before="75" w:line="240" w:lineRule="exact"/>
        <w:ind w:firstLine="0"/>
        <w:jc w:val="left"/>
        <w:rPr>
          <w:rFonts w:hint="eastAsia" w:ascii="MS UI Gothic" w:hAnsi="MS UI Gothic" w:eastAsia="MS UI Gothic"/>
        </w:rPr>
      </w:pPr>
      <w:r>
        <w:rPr>
          <w:spacing w:val="3"/>
          <w:w w:val="102"/>
        </w:rPr>
        <w:t>建设项目职业病防护设</w:t>
      </w:r>
      <w:r>
        <w:rPr>
          <w:w w:val="102"/>
        </w:rPr>
        <w:t>施</w:t>
      </w:r>
      <w:r>
        <w:rPr>
          <w:spacing w:val="8"/>
        </w:rPr>
        <w:t xml:space="preserve"> </w:t>
      </w:r>
      <w:r>
        <w:rPr>
          <w:rFonts w:hint="eastAsia" w:ascii="MS UI Gothic" w:hAnsi="MS UI Gothic" w:eastAsia="MS UI Gothic"/>
          <w:w w:val="102"/>
        </w:rPr>
        <w:t>“</w:t>
      </w:r>
      <w:r>
        <w:rPr>
          <w:rFonts w:hint="eastAsia" w:ascii="MS UI Gothic" w:hAnsi="MS UI Gothic" w:eastAsia="MS UI Gothic"/>
          <w:spacing w:val="-40"/>
        </w:rPr>
        <w:t xml:space="preserve"> </w:t>
      </w:r>
      <w:r>
        <w:rPr>
          <w:spacing w:val="3"/>
          <w:w w:val="102"/>
        </w:rPr>
        <w:t>三同时</w:t>
      </w:r>
      <w:r>
        <w:rPr>
          <w:rFonts w:hint="eastAsia" w:ascii="MS UI Gothic" w:hAnsi="MS UI Gothic" w:eastAsia="MS UI Gothic"/>
          <w:w w:val="102"/>
        </w:rPr>
        <w:t>”</w:t>
      </w:r>
      <w:r>
        <w:rPr>
          <w:rFonts w:hint="eastAsia" w:ascii="MS UI Gothic" w:hAnsi="MS UI Gothic" w:eastAsia="MS UI Gothic"/>
        </w:rPr>
        <w:t xml:space="preserve"> </w:t>
      </w:r>
      <w:r>
        <w:rPr>
          <w:rFonts w:hint="eastAsia" w:ascii="MS UI Gothic" w:hAnsi="MS UI Gothic" w:eastAsia="MS UI Gothic"/>
          <w:spacing w:val="4"/>
        </w:rPr>
        <w:t xml:space="preserve"> </w:t>
      </w:r>
      <w:r>
        <w:rPr>
          <w:spacing w:val="3"/>
          <w:w w:val="102"/>
        </w:rPr>
        <w:t>监督管理办</w:t>
      </w:r>
      <w:r>
        <w:rPr>
          <w:w w:val="102"/>
        </w:rPr>
        <w:t>法</w:t>
      </w:r>
      <w:r>
        <w:rPr>
          <w:spacing w:val="8"/>
        </w:rPr>
        <w:t xml:space="preserve"> </w:t>
      </w:r>
      <w:r>
        <w:rPr>
          <w:rFonts w:hint="eastAsia" w:ascii="MS UI Gothic" w:hAnsi="MS UI Gothic" w:eastAsia="MS UI Gothic"/>
          <w:spacing w:val="15"/>
          <w:w w:val="168"/>
        </w:rPr>
        <w:t>(</w:t>
      </w:r>
      <w:r>
        <w:rPr>
          <w:rFonts w:hint="eastAsia" w:ascii="MS UI Gothic" w:hAnsi="MS UI Gothic" w:eastAsia="MS UI Gothic"/>
          <w:w w:val="75"/>
        </w:rPr>
        <w:t>２０１７</w:t>
      </w:r>
      <w:r>
        <w:rPr>
          <w:rFonts w:hint="eastAsia" w:ascii="MS UI Gothic" w:hAnsi="MS UI Gothic" w:eastAsia="MS UI Gothic"/>
          <w:spacing w:val="-3"/>
        </w:rPr>
        <w:t xml:space="preserve"> </w:t>
      </w:r>
      <w:r>
        <w:rPr>
          <w:spacing w:val="3"/>
          <w:w w:val="102"/>
        </w:rPr>
        <w:t>年公布</w:t>
      </w:r>
      <w:r>
        <w:rPr>
          <w:rFonts w:hint="eastAsia" w:ascii="MS UI Gothic" w:hAnsi="MS UI Gothic" w:eastAsia="MS UI Gothic"/>
          <w:w w:val="168"/>
        </w:rPr>
        <w:t>)</w:t>
      </w:r>
      <w:r>
        <w:rPr>
          <w:rFonts w:hint="eastAsia" w:ascii="MS UI Gothic" w:hAnsi="MS UI Gothic" w:eastAsia="MS UI Gothic"/>
        </w:rPr>
        <w:tab/>
      </w:r>
      <w:r>
        <w:rPr>
          <w:rFonts w:hint="eastAsia" w:ascii="MS UI Gothic" w:hAnsi="MS UI Gothic" w:eastAsia="MS UI Gothic"/>
          <w:spacing w:val="-113"/>
        </w:rPr>
        <w:t xml:space="preserve"> </w:t>
      </w:r>
      <w:r>
        <w:rPr>
          <w:rFonts w:hint="eastAsia" w:ascii="MS UI Gothic" w:hAnsi="MS UI Gothic" w:eastAsia="MS UI Gothic"/>
          <w:spacing w:val="-82"/>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１５４４</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使用有毒物品作业场所劳动保护条例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１５５２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中华人民共和国食品安全法</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１５６２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中华人民共和国食品安全法实施条例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２０１９</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１５８７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中华人民共和国国境卫生检疫法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１５９６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rPr>
          <w:rFonts w:hint="eastAsia" w:ascii="MS UI Gothic" w:eastAsia="MS UI Gothic"/>
        </w:rPr>
      </w:pPr>
      <w:r>
        <w:rPr>
          <w:spacing w:val="2"/>
          <w:w w:val="102"/>
        </w:rPr>
        <w:t>中华人民共和国国境卫生检疫法实施细则</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１５９８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w w:val="125"/>
        </w:rPr>
        <w:t xml:space="preserve">食品生产安全规章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１６１１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ind w:firstLine="0"/>
        <w:jc w:val="left"/>
        <w:rPr>
          <w:rFonts w:hint="eastAsia" w:ascii="MS UI Gothic" w:eastAsia="MS UI Gothic"/>
        </w:rPr>
      </w:pPr>
      <w:r>
        <w:rPr>
          <w:spacing w:val="2"/>
          <w:w w:val="102"/>
        </w:rPr>
        <w:t>食品生产企业安全生产监督管理暂行规定</w:t>
      </w:r>
      <w:r>
        <w:rPr>
          <w:spacing w:val="8"/>
        </w:rPr>
        <w:t xml:space="preserve"> </w:t>
      </w:r>
      <w:r>
        <w:rPr>
          <w:rFonts w:hint="eastAsia" w:ascii="MS UI Gothic" w:eastAsia="MS UI Gothic"/>
          <w:spacing w:val="15"/>
          <w:w w:val="168"/>
        </w:rPr>
        <w:t>(</w:t>
      </w:r>
      <w:r>
        <w:rPr>
          <w:rFonts w:hint="eastAsia" w:ascii="MS UI Gothic" w:eastAsia="MS UI Gothic"/>
          <w:w w:val="75"/>
        </w:rPr>
        <w:t>２０１５</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ind w:left="62" w:firstLine="0"/>
        <w:jc w:val="left"/>
        <w:rPr>
          <w:rFonts w:hint="eastAsia" w:ascii="MS UI Gothic" w:eastAsia="MS UI Gothic"/>
        </w:rPr>
      </w:pPr>
      <w:r>
        <w:br w:type="column"/>
      </w:r>
      <w:r>
        <w:rPr>
          <w:rFonts w:hint="eastAsia" w:ascii="MS UI Gothic" w:eastAsia="MS UI Gothic"/>
          <w:w w:val="85"/>
        </w:rPr>
        <w:t>１６１１</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6"/>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74" w:line="240" w:lineRule="exact"/>
        <w:ind w:firstLine="0"/>
        <w:jc w:val="left"/>
        <w:rPr>
          <w:rFonts w:hint="eastAsia" w:ascii="MS UI Gothic" w:eastAsia="MS UI Gothic"/>
        </w:rPr>
      </w:pPr>
      <w:r>
        <w:rPr>
          <w:w w:val="125"/>
        </w:rPr>
        <w:t>十一</w:t>
      </w:r>
      <w:r>
        <w:rPr>
          <w:w w:val="90"/>
        </w:rPr>
        <w:t xml:space="preserve">、 </w:t>
      </w:r>
      <w:r>
        <w:rPr>
          <w:w w:val="125"/>
        </w:rPr>
        <w:t xml:space="preserve">国家法 </w:t>
      </w:r>
    </w:p>
    <w:p>
      <w:pPr>
        <w:pStyle w:val="6"/>
        <w:spacing w:before="174" w:line="240" w:lineRule="exact"/>
        <w:ind w:left="62" w:firstLine="0"/>
        <w:jc w:val="left"/>
        <w:rPr>
          <w:rFonts w:hint="eastAsia" w:ascii="MS UI Gothic" w:eastAsia="MS UI Gothic"/>
        </w:rPr>
      </w:pPr>
      <w:r>
        <w:br w:type="column"/>
      </w:r>
      <w:r>
        <w:rPr>
          <w:rFonts w:hint="eastAsia" w:ascii="MS UI Gothic" w:eastAsia="MS UI Gothic"/>
          <w:w w:val="85"/>
        </w:rPr>
        <w:t>１６１５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line="240" w:lineRule="exact"/>
        <w:ind w:firstLine="0"/>
        <w:jc w:val="left"/>
        <w:rPr>
          <w:rFonts w:hint="eastAsia" w:ascii="MS UI Gothic" w:eastAsia="MS UI Gothic"/>
        </w:rPr>
      </w:pPr>
      <w:r>
        <w:rPr>
          <w:spacing w:val="2"/>
          <w:w w:val="102"/>
        </w:rPr>
        <w:t>中华人民共和国国务院组织法</w:t>
      </w:r>
      <w:r>
        <w:rPr>
          <w:spacing w:val="8"/>
        </w:rPr>
        <w:t xml:space="preserve"> </w:t>
      </w:r>
      <w:r>
        <w:rPr>
          <w:rFonts w:hint="eastAsia" w:ascii="MS UI Gothic" w:eastAsia="MS UI Gothic"/>
          <w:spacing w:val="15"/>
          <w:w w:val="168"/>
        </w:rPr>
        <w:t>(</w:t>
      </w:r>
      <w:r>
        <w:rPr>
          <w:rFonts w:hint="eastAsia" w:ascii="MS UI Gothic" w:eastAsia="MS UI Gothic"/>
          <w:w w:val="75"/>
        </w:rPr>
        <w:t>１９８２</w:t>
      </w:r>
      <w:r>
        <w:rPr>
          <w:rFonts w:hint="eastAsia" w:ascii="MS UI Gothic" w:eastAsia="MS UI Gothic"/>
          <w:spacing w:val="-3"/>
        </w:rPr>
        <w:t xml:space="preserve"> </w:t>
      </w:r>
      <w:r>
        <w:rPr>
          <w:spacing w:val="3"/>
          <w:w w:val="102"/>
        </w:rPr>
        <w:t>年发布</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１６１５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line="240" w:lineRule="exact"/>
        <w:ind w:firstLine="0"/>
        <w:jc w:val="left"/>
      </w:pPr>
      <w:r>
        <w:rPr>
          <w:w w:val="105"/>
        </w:rPr>
        <w:t xml:space="preserve">中华人民共和国地方各级人民代表大会和地方各级人民政府组织法 </w:t>
      </w:r>
      <w:r>
        <w:rPr>
          <w:rFonts w:hint="eastAsia" w:ascii="MS UI Gothic" w:eastAsia="MS UI Gothic"/>
          <w:w w:val="140"/>
        </w:rPr>
        <w:t xml:space="preserve">( </w:t>
      </w:r>
      <w:r>
        <w:rPr>
          <w:rFonts w:hint="eastAsia" w:ascii="MS UI Gothic" w:eastAsia="MS UI Gothic"/>
          <w:w w:val="95"/>
        </w:rPr>
        <w:t xml:space="preserve">２０１５ </w:t>
      </w:r>
      <w:r>
        <w:rPr>
          <w:w w:val="105"/>
        </w:rPr>
        <w:t>年</w:t>
      </w:r>
    </w:p>
    <w:p>
      <w:pPr>
        <w:spacing w:after="0" w:line="240" w:lineRule="exact"/>
        <w:jc w:val="left"/>
        <w:sectPr>
          <w:type w:val="continuous"/>
          <w:pgSz w:w="10500" w:h="14750"/>
          <w:pgMar w:top="1400" w:right="980" w:bottom="280" w:left="980" w:header="720" w:footer="720" w:gutter="0"/>
        </w:sectPr>
      </w:pPr>
    </w:p>
    <w:p>
      <w:pPr>
        <w:pStyle w:val="6"/>
        <w:tabs>
          <w:tab w:val="left" w:pos="1075"/>
        </w:tabs>
        <w:spacing w:before="74" w:line="240" w:lineRule="exact"/>
        <w:ind w:left="334" w:firstLine="0"/>
        <w:jc w:val="left"/>
        <w:rPr>
          <w:rFonts w:hint="eastAsia" w:ascii="MS UI Gothic" w:eastAsia="MS UI Gothic"/>
        </w:rPr>
      </w:pPr>
      <w:r>
        <w:rPr>
          <w:spacing w:val="3"/>
          <w:w w:val="130"/>
        </w:rPr>
        <w:t>修正</w:t>
      </w:r>
      <w:r>
        <w:rPr>
          <w:rFonts w:hint="eastAsia" w:ascii="MS UI Gothic" w:eastAsia="MS UI Gothic"/>
          <w:w w:val="130"/>
        </w:rPr>
        <w:t>)</w:t>
      </w:r>
      <w:r>
        <w:rPr>
          <w:rFonts w:hint="eastAsia" w:ascii="MS UI Gothic" w:eastAsia="MS UI Gothic"/>
          <w:w w:val="130"/>
        </w:rPr>
        <w:tab/>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１６１６</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5"/>
        <w:ind w:firstLine="0"/>
        <w:jc w:val="left"/>
        <w:rPr>
          <w:rFonts w:hint="eastAsia" w:ascii="MS UI Gothic" w:eastAsia="MS UI Gothic"/>
        </w:rPr>
      </w:pPr>
      <w:r>
        <w:rPr>
          <w:spacing w:val="2"/>
          <w:w w:val="102"/>
        </w:rPr>
        <w:t>中华人民共和国戒严法</w:t>
      </w:r>
      <w:r>
        <w:rPr>
          <w:spacing w:val="8"/>
        </w:rPr>
        <w:t xml:space="preserve"> </w:t>
      </w:r>
      <w:r>
        <w:rPr>
          <w:rFonts w:hint="eastAsia" w:ascii="MS UI Gothic" w:eastAsia="MS UI Gothic"/>
          <w:spacing w:val="15"/>
          <w:w w:val="168"/>
        </w:rPr>
        <w:t>(</w:t>
      </w:r>
      <w:r>
        <w:rPr>
          <w:rFonts w:hint="eastAsia" w:ascii="MS UI Gothic" w:eastAsia="MS UI Gothic"/>
          <w:spacing w:val="-1"/>
          <w:w w:val="75"/>
        </w:rPr>
        <w:t>１９９６</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中华人民共和国国防法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２００９</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5"/>
        <w:ind w:left="115" w:firstLine="0"/>
        <w:jc w:val="left"/>
        <w:rPr>
          <w:rFonts w:hint="eastAsia" w:ascii="MS UI Gothic" w:eastAsia="MS UI Gothic"/>
        </w:rPr>
      </w:pPr>
      <w:r>
        <w:br w:type="column"/>
      </w:r>
    </w:p>
    <w:p>
      <w:pPr>
        <w:pStyle w:val="6"/>
        <w:spacing w:before="58" w:line="240" w:lineRule="exact"/>
        <w:ind w:left="115" w:firstLine="0"/>
        <w:jc w:val="left"/>
        <w:rPr>
          <w:rFonts w:hint="eastAsia" w:ascii="MS UI Gothic" w:eastAsia="MS UI Gothic"/>
        </w:rPr>
      </w:pPr>
    </w:p>
    <w:p>
      <w:pPr>
        <w:pStyle w:val="6"/>
        <w:spacing w:before="75"/>
        <w:ind w:left="62" w:firstLine="0"/>
        <w:jc w:val="left"/>
        <w:rPr>
          <w:rFonts w:hint="eastAsia" w:ascii="MS UI Gothic" w:eastAsia="MS UI Gothic"/>
        </w:rPr>
      </w:pPr>
      <w:r>
        <w:br w:type="column"/>
      </w:r>
      <w:r>
        <w:rPr>
          <w:rFonts w:hint="eastAsia" w:ascii="MS UI Gothic" w:eastAsia="MS UI Gothic"/>
          <w:w w:val="85"/>
        </w:rPr>
        <w:t>１６２７</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１６３０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3646" w:space="40"/>
            <w:col w:w="3885" w:space="39"/>
            <w:col w:w="930"/>
          </w:cols>
        </w:sectPr>
      </w:pPr>
    </w:p>
    <w:p>
      <w:pPr>
        <w:pStyle w:val="6"/>
        <w:spacing w:before="74"/>
        <w:ind w:firstLine="0"/>
        <w:jc w:val="left"/>
        <w:rPr>
          <w:rFonts w:hint="eastAsia" w:ascii="MS UI Gothic" w:eastAsia="MS UI Gothic"/>
        </w:rPr>
      </w:pPr>
      <w:r>
        <w:rPr>
          <w:spacing w:val="2"/>
          <w:w w:val="102"/>
        </w:rPr>
        <w:t>中华人民共和国国防动员法</w:t>
      </w:r>
      <w:r>
        <w:rPr>
          <w:spacing w:val="8"/>
        </w:rPr>
        <w:t xml:space="preserve"> </w:t>
      </w:r>
      <w:r>
        <w:rPr>
          <w:rFonts w:hint="eastAsia" w:ascii="MS UI Gothic" w:eastAsia="MS UI Gothic"/>
          <w:spacing w:val="15"/>
          <w:w w:val="168"/>
        </w:rPr>
        <w:t>(</w:t>
      </w:r>
      <w:r>
        <w:rPr>
          <w:rFonts w:hint="eastAsia" w:ascii="MS UI Gothic" w:eastAsia="MS UI Gothic"/>
          <w:w w:val="75"/>
        </w:rPr>
        <w:t>２０１０</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中华人民共和国国家赔偿法</w:t>
      </w:r>
      <w:r>
        <w:rPr>
          <w:spacing w:val="8"/>
        </w:rPr>
        <w:t xml:space="preserve"> </w:t>
      </w:r>
      <w:r>
        <w:rPr>
          <w:rFonts w:hint="eastAsia" w:ascii="MS UI Gothic" w:eastAsia="MS UI Gothic"/>
          <w:spacing w:val="15"/>
          <w:w w:val="168"/>
        </w:rPr>
        <w:t>(</w:t>
      </w:r>
      <w:r>
        <w:rPr>
          <w:rFonts w:hint="eastAsia" w:ascii="MS UI Gothic" w:eastAsia="MS UI Gothic"/>
          <w:w w:val="75"/>
        </w:rPr>
        <w:t>２０１３</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58" w:line="240" w:lineRule="exact"/>
        <w:ind w:left="115" w:firstLine="0"/>
        <w:jc w:val="left"/>
        <w:rPr>
          <w:rFonts w:hint="eastAsia" w:ascii="MS UI Gothic" w:eastAsia="MS UI Gothic"/>
        </w:rPr>
      </w:pPr>
    </w:p>
    <w:p>
      <w:pPr>
        <w:pStyle w:val="6"/>
        <w:spacing w:before="74"/>
        <w:ind w:left="62" w:firstLine="0"/>
        <w:jc w:val="left"/>
        <w:rPr>
          <w:rFonts w:hint="eastAsia" w:ascii="MS UI Gothic" w:eastAsia="MS UI Gothic"/>
        </w:rPr>
      </w:pPr>
      <w:r>
        <w:br w:type="column"/>
      </w:r>
      <w:r>
        <w:rPr>
          <w:rFonts w:hint="eastAsia" w:ascii="MS UI Gothic" w:eastAsia="MS UI Gothic"/>
          <w:w w:val="85"/>
        </w:rPr>
        <w:t>１６３６</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１６４３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065" w:space="40"/>
            <w:col w:w="3465" w:space="39"/>
            <w:col w:w="931"/>
          </w:cols>
        </w:sectPr>
      </w:pPr>
    </w:p>
    <w:p>
      <w:pPr>
        <w:pStyle w:val="6"/>
        <w:spacing w:before="75"/>
        <w:ind w:firstLine="0"/>
        <w:jc w:val="left"/>
        <w:rPr>
          <w:rFonts w:hint="eastAsia" w:ascii="MS UI Gothic" w:eastAsia="MS UI Gothic"/>
        </w:rPr>
      </w:pPr>
      <w:r>
        <w:rPr>
          <w:spacing w:val="2"/>
          <w:w w:val="102"/>
        </w:rPr>
        <w:t>军队参加抢险救灾条例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２００５</w:t>
      </w:r>
      <w:r>
        <w:rPr>
          <w:rFonts w:hint="eastAsia" w:ascii="MS UI Gothic" w:eastAsia="MS UI Gothic"/>
          <w:spacing w:val="-3"/>
        </w:rPr>
        <w:t xml:space="preserve"> </w:t>
      </w:r>
      <w:r>
        <w:rPr>
          <w:spacing w:val="3"/>
          <w:w w:val="102"/>
        </w:rPr>
        <w:t>年</w:t>
      </w:r>
      <w:r>
        <w:rPr>
          <w:rFonts w:hint="eastAsia" w:ascii="MS UI Gothic" w:eastAsia="MS UI Gothic"/>
          <w:w w:val="168"/>
        </w:rPr>
        <w:t>)</w:t>
      </w:r>
    </w:p>
    <w:p>
      <w:pPr>
        <w:pStyle w:val="6"/>
        <w:spacing w:before="75"/>
        <w:ind w:left="115" w:firstLine="0"/>
        <w:jc w:val="left"/>
        <w:rPr>
          <w:rFonts w:hint="eastAsia" w:ascii="MS UI Gothic" w:eastAsia="MS UI Gothic"/>
        </w:rPr>
      </w:pPr>
      <w:r>
        <w:br w:type="column"/>
      </w:r>
    </w:p>
    <w:p>
      <w:pPr>
        <w:pStyle w:val="6"/>
        <w:spacing w:before="75"/>
        <w:ind w:left="62" w:firstLine="0"/>
        <w:jc w:val="left"/>
        <w:rPr>
          <w:rFonts w:hint="eastAsia" w:ascii="MS UI Gothic" w:eastAsia="MS UI Gothic"/>
        </w:rPr>
      </w:pPr>
      <w:r>
        <w:br w:type="column"/>
      </w:r>
      <w:r>
        <w:rPr>
          <w:rFonts w:hint="eastAsia" w:ascii="MS UI Gothic" w:eastAsia="MS UI Gothic"/>
          <w:w w:val="85"/>
        </w:rPr>
        <w:t>１６４９</w:t>
      </w:r>
    </w:p>
    <w:p>
      <w:pPr>
        <w:spacing w:after="0"/>
        <w:jc w:val="left"/>
        <w:rPr>
          <w:rFonts w:hint="eastAsia" w:ascii="MS UI Gothic" w:eastAsia="MS UI Gothic"/>
        </w:rPr>
        <w:sectPr>
          <w:type w:val="continuous"/>
          <w:pgSz w:w="10500" w:h="14750"/>
          <w:pgMar w:top="1400" w:right="980" w:bottom="280" w:left="980" w:header="720" w:footer="720" w:gutter="0"/>
          <w:cols w:equalWidth="0" w:num="3">
            <w:col w:w="3226" w:space="40"/>
            <w:col w:w="4304" w:space="39"/>
            <w:col w:w="931"/>
          </w:cols>
        </w:sectPr>
      </w:pPr>
    </w:p>
    <w:p>
      <w:pPr>
        <w:pStyle w:val="6"/>
        <w:spacing w:before="5"/>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75" w:line="240" w:lineRule="exact"/>
        <w:ind w:firstLine="0"/>
        <w:jc w:val="left"/>
        <w:rPr>
          <w:rFonts w:hint="eastAsia" w:ascii="MS UI Gothic" w:eastAsia="MS UI Gothic"/>
        </w:rPr>
      </w:pPr>
      <w:r>
        <w:rPr>
          <w:w w:val="125"/>
        </w:rPr>
        <w:t>十二</w:t>
      </w:r>
      <w:r>
        <w:rPr>
          <w:w w:val="90"/>
        </w:rPr>
        <w:t xml:space="preserve">、 </w:t>
      </w:r>
      <w:r>
        <w:rPr>
          <w:w w:val="125"/>
        </w:rPr>
        <w:t xml:space="preserve">行政法 </w:t>
      </w:r>
    </w:p>
    <w:p>
      <w:pPr>
        <w:pStyle w:val="6"/>
        <w:spacing w:before="175" w:line="240" w:lineRule="exact"/>
        <w:ind w:left="62" w:firstLine="0"/>
        <w:jc w:val="left"/>
        <w:rPr>
          <w:rFonts w:hint="eastAsia" w:ascii="MS UI Gothic" w:eastAsia="MS UI Gothic"/>
        </w:rPr>
      </w:pPr>
      <w:r>
        <w:br w:type="column"/>
      </w:r>
      <w:r>
        <w:rPr>
          <w:rFonts w:hint="eastAsia" w:ascii="MS UI Gothic" w:eastAsia="MS UI Gothic"/>
          <w:w w:val="85"/>
        </w:rPr>
        <w:t>１６５２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570" w:space="40"/>
            <w:col w:w="930"/>
          </w:cols>
        </w:sectPr>
      </w:pPr>
    </w:p>
    <w:p>
      <w:pPr>
        <w:pStyle w:val="6"/>
        <w:spacing w:before="74"/>
        <w:ind w:firstLine="0"/>
        <w:jc w:val="left"/>
        <w:rPr>
          <w:rFonts w:hint="eastAsia" w:ascii="MS UI Gothic" w:eastAsia="MS UI Gothic"/>
        </w:rPr>
      </w:pPr>
      <w:r>
        <w:rPr>
          <w:spacing w:val="2"/>
          <w:w w:val="102"/>
        </w:rPr>
        <w:t>中华人民共和国行政处罚法</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line="240" w:lineRule="exact"/>
        <w:ind w:firstLine="0"/>
        <w:jc w:val="left"/>
        <w:rPr>
          <w:rFonts w:hint="eastAsia" w:ascii="MS UI Gothic" w:eastAsia="MS UI Gothic"/>
        </w:rPr>
      </w:pPr>
      <w:r>
        <w:rPr>
          <w:spacing w:val="2"/>
          <w:w w:val="102"/>
        </w:rPr>
        <w:t>中华人民共和国行政复议法</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58" w:line="240" w:lineRule="exact"/>
        <w:ind w:left="115" w:firstLine="0"/>
        <w:jc w:val="left"/>
        <w:rPr>
          <w:rFonts w:hint="eastAsia" w:ascii="MS UI Gothic" w:eastAsia="MS UI Gothic"/>
        </w:rPr>
      </w:pPr>
    </w:p>
    <w:p>
      <w:pPr>
        <w:pStyle w:val="6"/>
        <w:spacing w:before="74"/>
        <w:ind w:left="62" w:firstLine="0"/>
        <w:jc w:val="left"/>
        <w:rPr>
          <w:rFonts w:hint="eastAsia" w:ascii="MS UI Gothic" w:eastAsia="MS UI Gothic"/>
        </w:rPr>
      </w:pPr>
      <w:r>
        <w:br w:type="column"/>
      </w:r>
      <w:r>
        <w:rPr>
          <w:rFonts w:hint="eastAsia" w:ascii="MS UI Gothic" w:eastAsia="MS UI Gothic"/>
          <w:w w:val="85"/>
        </w:rPr>
        <w:t>１６５２</w:t>
      </w:r>
    </w:p>
    <w:p>
      <w:pPr>
        <w:pStyle w:val="6"/>
        <w:spacing w:before="58" w:line="240" w:lineRule="exact"/>
        <w:ind w:left="62" w:firstLine="0"/>
        <w:jc w:val="left"/>
        <w:rPr>
          <w:rFonts w:hint="eastAsia" w:ascii="MS UI Gothic" w:eastAsia="MS UI Gothic"/>
        </w:rPr>
      </w:pPr>
      <w:r>
        <w:rPr>
          <w:rFonts w:hint="eastAsia" w:ascii="MS UI Gothic" w:eastAsia="MS UI Gothic"/>
          <w:w w:val="85"/>
        </w:rPr>
        <w:t>１６５８</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065" w:space="40"/>
            <w:col w:w="3465" w:space="39"/>
            <w:col w:w="931"/>
          </w:cols>
        </w:sectPr>
      </w:pPr>
    </w:p>
    <w:p>
      <w:pPr>
        <w:pStyle w:val="6"/>
        <w:spacing w:before="75" w:line="240" w:lineRule="exact"/>
        <w:ind w:firstLine="0"/>
        <w:jc w:val="left"/>
        <w:rPr>
          <w:rFonts w:hint="eastAsia" w:ascii="MS UI Gothic" w:eastAsia="MS UI Gothic"/>
        </w:rPr>
      </w:pPr>
      <w:r>
        <w:rPr>
          <w:spacing w:val="2"/>
          <w:w w:val="102"/>
        </w:rPr>
        <w:t>中华人民共和国行政复议法实施条例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２００７</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5" w:line="240" w:lineRule="exact"/>
        <w:ind w:left="115" w:firstLine="0"/>
        <w:jc w:val="left"/>
        <w:rPr>
          <w:rFonts w:hint="eastAsia" w:ascii="MS UI Gothic" w:eastAsia="MS UI Gothic"/>
        </w:rPr>
      </w:pPr>
      <w:r>
        <w:br w:type="column"/>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１６６４</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4903" w:space="40"/>
            <w:col w:w="2627" w:space="39"/>
            <w:col w:w="931"/>
          </w:cols>
        </w:sectPr>
      </w:pPr>
    </w:p>
    <w:p>
      <w:pPr>
        <w:pStyle w:val="6"/>
        <w:spacing w:before="74"/>
        <w:ind w:firstLine="0"/>
        <w:jc w:val="left"/>
        <w:rPr>
          <w:rFonts w:hint="eastAsia" w:ascii="MS UI Gothic" w:eastAsia="MS UI Gothic"/>
        </w:rPr>
      </w:pPr>
      <w:r>
        <w:rPr>
          <w:spacing w:val="2"/>
          <w:w w:val="102"/>
        </w:rPr>
        <w:t>中华人民共和国行政许可法</w:t>
      </w:r>
      <w:r>
        <w:rPr>
          <w:spacing w:val="8"/>
        </w:rPr>
        <w:t xml:space="preserve"> </w:t>
      </w:r>
      <w:r>
        <w:rPr>
          <w:rFonts w:hint="eastAsia" w:ascii="MS UI Gothic" w:eastAsia="MS UI Gothic"/>
          <w:spacing w:val="15"/>
          <w:w w:val="168"/>
        </w:rPr>
        <w:t>(</w:t>
      </w:r>
      <w:r>
        <w:rPr>
          <w:rFonts w:hint="eastAsia" w:ascii="MS UI Gothic" w:eastAsia="MS UI Gothic"/>
          <w:w w:val="75"/>
        </w:rPr>
        <w:t>２０１９</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ind w:firstLine="0"/>
        <w:jc w:val="left"/>
        <w:rPr>
          <w:rFonts w:hint="eastAsia" w:ascii="MS UI Gothic" w:eastAsia="MS UI Gothic"/>
        </w:rPr>
      </w:pPr>
      <w:r>
        <w:rPr>
          <w:spacing w:val="2"/>
          <w:w w:val="102"/>
        </w:rPr>
        <w:t>中华人民共和国行政强制法</w:t>
      </w:r>
      <w:r>
        <w:rPr>
          <w:spacing w:val="8"/>
        </w:rPr>
        <w:t xml:space="preserve"> </w:t>
      </w:r>
      <w:r>
        <w:rPr>
          <w:rFonts w:hint="eastAsia" w:ascii="MS UI Gothic" w:eastAsia="MS UI Gothic"/>
          <w:spacing w:val="15"/>
          <w:w w:val="168"/>
        </w:rPr>
        <w:t>(</w:t>
      </w:r>
      <w:r>
        <w:rPr>
          <w:rFonts w:hint="eastAsia" w:ascii="MS UI Gothic" w:eastAsia="MS UI Gothic"/>
          <w:w w:val="75"/>
        </w:rPr>
        <w:t>２０１１</w:t>
      </w:r>
      <w:r>
        <w:rPr>
          <w:rFonts w:hint="eastAsia" w:ascii="MS UI Gothic" w:eastAsia="MS UI Gothic"/>
          <w:spacing w:val="-3"/>
        </w:rPr>
        <w:t xml:space="preserve"> </w:t>
      </w:r>
      <w:r>
        <w:rPr>
          <w:spacing w:val="3"/>
          <w:w w:val="102"/>
        </w:rPr>
        <w:t>年公布</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58"/>
        <w:ind w:left="115" w:firstLine="0"/>
        <w:jc w:val="left"/>
        <w:rPr>
          <w:rFonts w:hint="eastAsia" w:ascii="MS UI Gothic" w:eastAsia="MS UI Gothic"/>
        </w:rPr>
      </w:pPr>
    </w:p>
    <w:p>
      <w:pPr>
        <w:pStyle w:val="6"/>
        <w:spacing w:before="74"/>
        <w:ind w:left="62" w:firstLine="0"/>
        <w:jc w:val="left"/>
        <w:rPr>
          <w:rFonts w:hint="eastAsia" w:ascii="MS UI Gothic" w:eastAsia="MS UI Gothic"/>
        </w:rPr>
      </w:pPr>
      <w:r>
        <w:br w:type="column"/>
      </w:r>
      <w:r>
        <w:rPr>
          <w:rFonts w:hint="eastAsia" w:ascii="MS UI Gothic" w:eastAsia="MS UI Gothic"/>
          <w:w w:val="85"/>
        </w:rPr>
        <w:t>１６７１</w:t>
      </w:r>
    </w:p>
    <w:p>
      <w:pPr>
        <w:pStyle w:val="6"/>
        <w:spacing w:before="58"/>
        <w:ind w:left="62" w:firstLine="0"/>
        <w:jc w:val="left"/>
        <w:rPr>
          <w:rFonts w:hint="eastAsia" w:ascii="MS UI Gothic" w:eastAsia="MS UI Gothic"/>
        </w:rPr>
      </w:pPr>
      <w:r>
        <w:rPr>
          <w:rFonts w:hint="eastAsia" w:ascii="MS UI Gothic" w:eastAsia="MS UI Gothic"/>
          <w:w w:val="85"/>
        </w:rPr>
        <w:t>１６８１</w:t>
      </w:r>
    </w:p>
    <w:p>
      <w:pPr>
        <w:spacing w:after="0"/>
        <w:jc w:val="left"/>
        <w:rPr>
          <w:rFonts w:hint="eastAsia" w:ascii="MS UI Gothic" w:eastAsia="MS UI Gothic"/>
        </w:rPr>
        <w:sectPr>
          <w:type w:val="continuous"/>
          <w:pgSz w:w="10500" w:h="14750"/>
          <w:pgMar w:top="1400" w:right="980" w:bottom="280" w:left="980" w:header="720" w:footer="720" w:gutter="0"/>
          <w:cols w:equalWidth="0" w:num="3">
            <w:col w:w="4065" w:space="40"/>
            <w:col w:w="3465" w:space="39"/>
            <w:col w:w="931"/>
          </w:cols>
        </w:sectPr>
      </w:pPr>
    </w:p>
    <w:p>
      <w:pPr>
        <w:tabs>
          <w:tab w:val="left" w:pos="4692"/>
          <w:tab w:val="left" w:pos="7617"/>
        </w:tabs>
        <w:spacing w:before="162"/>
        <w:ind w:left="3971" w:right="0" w:firstLine="0"/>
        <w:jc w:val="left"/>
        <w:rPr>
          <w:rFonts w:hint="eastAsia" w:ascii="MS UI Gothic" w:eastAsia="MS UI Gothic"/>
          <w:sz w:val="20"/>
        </w:rPr>
      </w:pPr>
      <w:r>
        <w:pict>
          <v:group id="_x0000_s1052" o:spid="_x0000_s1052" o:spt="203" style="position:absolute;left:0pt;margin-left:70.95pt;margin-top:23.85pt;height:2.15pt;width:398.25pt;mso-position-horizontal-relative:page;mso-wrap-distance-bottom:0pt;mso-wrap-distance-top:0pt;z-index:-251649024;mso-width-relative:page;mso-height-relative:page;" coordorigin="1419,477" coordsize="7965,43">
            <o:lock v:ext="edit"/>
            <v:line id="_x0000_s1053" o:spid="_x0000_s1053" o:spt="20" style="position:absolute;left:1419;top:516;height:0;width:7965;" stroked="t" coordsize="21600,21600">
              <v:path arrowok="t"/>
              <v:fill focussize="0,0"/>
              <v:stroke weight="0.388031496062992pt" color="#231F20"/>
              <v:imagedata o:title=""/>
              <o:lock v:ext="edit"/>
            </v:line>
            <v:line id="_x0000_s1054" o:spid="_x0000_s1054" o:spt="20" style="position:absolute;left:1419;top:481;height:0;width:7965;" stroked="t" coordsize="21600,21600">
              <v:path arrowok="t"/>
              <v:fill focussize="0,0"/>
              <v:stroke weight="0.388031496062992pt" color="#231F20"/>
              <v:imagedata o:title=""/>
              <o:lock v:ext="edit"/>
            </v:line>
            <w10:wrap type="topAndBottom"/>
          </v:group>
        </w:pict>
      </w:r>
      <w:r>
        <w:rPr>
          <w:w w:val="103"/>
          <w:sz w:val="17"/>
        </w:rPr>
        <w:t>目</w:t>
      </w:r>
      <w:r>
        <w:rPr>
          <w:sz w:val="17"/>
        </w:rPr>
        <w:tab/>
      </w:r>
      <w:r>
        <w:rPr>
          <w:w w:val="103"/>
          <w:sz w:val="17"/>
        </w:rPr>
        <w:t>录</w:t>
      </w:r>
      <w:r>
        <w:rPr>
          <w:sz w:val="17"/>
        </w:rPr>
        <w:tab/>
      </w:r>
      <w:r>
        <w:rPr>
          <w:rFonts w:hint="eastAsia" w:ascii="MS UI Gothic" w:eastAsia="MS UI Gothic"/>
          <w:spacing w:val="1"/>
          <w:w w:val="75"/>
          <w:sz w:val="20"/>
        </w:rPr>
        <w:t>９</w:t>
      </w:r>
    </w:p>
    <w:p>
      <w:pPr>
        <w:spacing w:after="0"/>
        <w:jc w:val="left"/>
        <w:rPr>
          <w:rFonts w:hint="eastAsia" w:ascii="MS UI Gothic" w:eastAsia="MS UI Gothic"/>
          <w:sz w:val="20"/>
        </w:rPr>
        <w:sectPr>
          <w:pgSz w:w="10500" w:h="14750"/>
          <w:pgMar w:top="960" w:right="980" w:bottom="280" w:left="980" w:header="720" w:footer="720" w:gutter="0"/>
        </w:sectPr>
      </w:pPr>
    </w:p>
    <w:p>
      <w:pPr>
        <w:pStyle w:val="6"/>
        <w:spacing w:before="163" w:line="240" w:lineRule="exact"/>
        <w:ind w:left="440" w:firstLine="0"/>
        <w:jc w:val="left"/>
        <w:rPr>
          <w:rFonts w:hint="eastAsia" w:ascii="MS UI Gothic" w:eastAsia="MS UI Gothic"/>
        </w:rPr>
      </w:pPr>
      <w:r>
        <w:rPr>
          <w:spacing w:val="2"/>
          <w:w w:val="102"/>
        </w:rPr>
        <w:t>中华人民共和国政府采购法</w:t>
      </w:r>
      <w:r>
        <w:rPr>
          <w:spacing w:val="8"/>
        </w:rPr>
        <w:t xml:space="preserve"> </w:t>
      </w:r>
      <w:r>
        <w:rPr>
          <w:rFonts w:hint="eastAsia" w:ascii="MS UI Gothic" w:eastAsia="MS UI Gothic"/>
          <w:spacing w:val="15"/>
          <w:w w:val="168"/>
        </w:rPr>
        <w:t>(</w:t>
      </w:r>
      <w:r>
        <w:rPr>
          <w:rFonts w:hint="eastAsia" w:ascii="MS UI Gothic" w:eastAsia="MS UI Gothic"/>
          <w:w w:val="75"/>
        </w:rPr>
        <w:t>２０１４</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163" w:line="240" w:lineRule="exact"/>
        <w:ind w:left="62" w:firstLine="0"/>
        <w:jc w:val="left"/>
        <w:rPr>
          <w:rFonts w:hint="eastAsia" w:ascii="MS UI Gothic" w:eastAsia="MS UI Gothic"/>
        </w:rPr>
      </w:pPr>
      <w:r>
        <w:br w:type="column"/>
      </w:r>
      <w:r>
        <w:rPr>
          <w:rFonts w:hint="eastAsia" w:ascii="MS UI Gothic" w:eastAsia="MS UI Gothic"/>
          <w:w w:val="85"/>
        </w:rPr>
        <w:t>１６８９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中华人民共和国政府信息公开条例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２０１９</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１６９７</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ind w:left="440" w:firstLine="0"/>
        <w:jc w:val="left"/>
        <w:rPr>
          <w:rFonts w:hint="eastAsia" w:ascii="MS UI Gothic" w:eastAsia="MS UI Gothic"/>
        </w:rPr>
      </w:pPr>
      <w:r>
        <w:rPr>
          <w:spacing w:val="2"/>
          <w:w w:val="102"/>
        </w:rPr>
        <w:t>信访条例</w:t>
      </w:r>
      <w:r>
        <w:rPr>
          <w:spacing w:val="8"/>
        </w:rPr>
        <w:t xml:space="preserve"> </w:t>
      </w:r>
      <w:r>
        <w:rPr>
          <w:rFonts w:hint="eastAsia" w:ascii="MS UI Gothic" w:eastAsia="MS UI Gothic"/>
          <w:spacing w:val="15"/>
          <w:w w:val="168"/>
        </w:rPr>
        <w:t>(</w:t>
      </w:r>
      <w:r>
        <w:rPr>
          <w:rFonts w:hint="eastAsia" w:ascii="MS UI Gothic" w:eastAsia="MS UI Gothic"/>
          <w:w w:val="75"/>
        </w:rPr>
        <w:t>２００５</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ind w:left="62" w:firstLine="0"/>
        <w:jc w:val="left"/>
        <w:rPr>
          <w:rFonts w:hint="eastAsia" w:ascii="MS UI Gothic" w:eastAsia="MS UI Gothic"/>
        </w:rPr>
      </w:pPr>
      <w:r>
        <w:br w:type="column"/>
      </w:r>
      <w:r>
        <w:rPr>
          <w:rFonts w:hint="eastAsia" w:ascii="MS UI Gothic" w:eastAsia="MS UI Gothic"/>
          <w:w w:val="85"/>
        </w:rPr>
        <w:t>１７０４</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6"/>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75" w:line="240" w:lineRule="exact"/>
        <w:ind w:left="440" w:firstLine="0"/>
        <w:jc w:val="left"/>
        <w:rPr>
          <w:rFonts w:hint="eastAsia" w:ascii="MS UI Gothic" w:eastAsia="MS UI Gothic"/>
        </w:rPr>
      </w:pPr>
      <w:r>
        <w:rPr>
          <w:w w:val="125"/>
        </w:rPr>
        <w:t>十三</w:t>
      </w:r>
      <w:r>
        <w:rPr>
          <w:w w:val="90"/>
        </w:rPr>
        <w:t xml:space="preserve">、 </w:t>
      </w:r>
      <w:r>
        <w:rPr>
          <w:w w:val="125"/>
        </w:rPr>
        <w:t xml:space="preserve">社会法 </w:t>
      </w:r>
    </w:p>
    <w:p>
      <w:pPr>
        <w:pStyle w:val="6"/>
        <w:spacing w:before="175" w:line="240" w:lineRule="exact"/>
        <w:ind w:left="62" w:firstLine="0"/>
        <w:jc w:val="left"/>
        <w:rPr>
          <w:rFonts w:hint="eastAsia" w:ascii="MS UI Gothic" w:eastAsia="MS UI Gothic"/>
        </w:rPr>
      </w:pPr>
      <w:r>
        <w:br w:type="column"/>
      </w:r>
      <w:r>
        <w:rPr>
          <w:rFonts w:hint="eastAsia" w:ascii="MS UI Gothic" w:eastAsia="MS UI Gothic"/>
          <w:w w:val="85"/>
        </w:rPr>
        <w:t>１７１１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中华人民共和国红十字会法</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１７１１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中华人民共和国工会法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２００９</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１７１４</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中华人民共和国公益事业捐赠法</w:t>
      </w:r>
      <w:r>
        <w:rPr>
          <w:spacing w:val="8"/>
        </w:rPr>
        <w:t xml:space="preserve"> </w:t>
      </w:r>
      <w:r>
        <w:rPr>
          <w:rFonts w:hint="eastAsia" w:ascii="MS UI Gothic" w:eastAsia="MS UI Gothic"/>
          <w:spacing w:val="15"/>
          <w:w w:val="168"/>
        </w:rPr>
        <w:t>(</w:t>
      </w:r>
      <w:r>
        <w:rPr>
          <w:rFonts w:hint="eastAsia" w:ascii="MS UI Gothic" w:eastAsia="MS UI Gothic"/>
          <w:w w:val="75"/>
        </w:rPr>
        <w:t>１９９９</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１７１９</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中华人民共和国慈善法</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２０１６</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１７２２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中华人民共和国社会保险法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１７３３</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line="240" w:lineRule="exact"/>
        <w:ind w:left="440" w:firstLine="0"/>
        <w:jc w:val="left"/>
        <w:rPr>
          <w:rFonts w:hint="eastAsia" w:ascii="MS UI Gothic" w:eastAsia="MS UI Gothic"/>
        </w:rPr>
      </w:pPr>
      <w:r>
        <w:rPr>
          <w:spacing w:val="2"/>
          <w:w w:val="102"/>
        </w:rPr>
        <w:t>工伤保险条例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２０１０</w:t>
      </w:r>
      <w:r>
        <w:rPr>
          <w:rFonts w:hint="eastAsia" w:ascii="MS UI Gothic" w:eastAsia="MS UI Gothic"/>
          <w:spacing w:val="-3"/>
        </w:rPr>
        <w:t xml:space="preserve"> </w:t>
      </w:r>
      <w:r>
        <w:rPr>
          <w:spacing w:val="3"/>
          <w:w w:val="102"/>
        </w:rPr>
        <w:t>年修订</w:t>
      </w:r>
      <w:r>
        <w:rPr>
          <w:rFonts w:hint="eastAsia" w:ascii="MS UI Gothic" w:eastAsia="MS UI Gothic"/>
          <w:w w:val="168"/>
        </w:rPr>
        <w:t>)</w:t>
      </w:r>
      <w:r>
        <w:rPr>
          <w:rFonts w:hint="eastAsia" w:ascii="MS UI Gothic" w:eastAsia="MS UI Gothic"/>
          <w:spacing w:val="-10"/>
        </w:rPr>
        <w:t xml:space="preserve">   </w:t>
      </w:r>
    </w:p>
    <w:p>
      <w:pPr>
        <w:pStyle w:val="6"/>
        <w:spacing w:before="75" w:line="240" w:lineRule="exact"/>
        <w:ind w:left="62" w:firstLine="0"/>
        <w:jc w:val="left"/>
        <w:rPr>
          <w:rFonts w:hint="eastAsia" w:ascii="MS UI Gothic" w:eastAsia="MS UI Gothic"/>
        </w:rPr>
      </w:pPr>
      <w:r>
        <w:br w:type="column"/>
      </w:r>
      <w:r>
        <w:rPr>
          <w:rFonts w:hint="eastAsia" w:ascii="MS UI Gothic" w:eastAsia="MS UI Gothic"/>
          <w:w w:val="85"/>
        </w:rPr>
        <w:t>１７４２</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劳动保障监察条例</w:t>
      </w:r>
      <w:r>
        <w:rPr>
          <w:spacing w:val="8"/>
        </w:rPr>
        <w:t xml:space="preserve"> </w:t>
      </w:r>
      <w:r>
        <w:rPr>
          <w:rFonts w:hint="eastAsia" w:ascii="MS UI Gothic" w:eastAsia="MS UI Gothic"/>
          <w:spacing w:val="15"/>
          <w:w w:val="168"/>
        </w:rPr>
        <w:t>(</w:t>
      </w:r>
      <w:r>
        <w:rPr>
          <w:rFonts w:hint="eastAsia" w:ascii="MS UI Gothic" w:eastAsia="MS UI Gothic"/>
          <w:w w:val="75"/>
        </w:rPr>
        <w:t>２００４</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１７５０</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line="240" w:lineRule="exact"/>
        <w:ind w:left="440" w:firstLine="0"/>
        <w:jc w:val="left"/>
        <w:rPr>
          <w:rFonts w:hint="eastAsia" w:ascii="MS UI Gothic" w:eastAsia="MS UI Gothic"/>
        </w:rPr>
      </w:pPr>
      <w:r>
        <w:rPr>
          <w:spacing w:val="2"/>
          <w:w w:val="102"/>
        </w:rPr>
        <w:t>女职工劳动保护特别规定</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２０１２</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4" w:line="240" w:lineRule="exact"/>
        <w:ind w:left="62" w:firstLine="0"/>
        <w:jc w:val="left"/>
        <w:rPr>
          <w:rFonts w:hint="eastAsia" w:ascii="MS UI Gothic" w:eastAsia="MS UI Gothic"/>
        </w:rPr>
      </w:pPr>
      <w:r>
        <w:br w:type="column"/>
      </w:r>
      <w:r>
        <w:rPr>
          <w:rFonts w:hint="eastAsia" w:ascii="MS UI Gothic" w:eastAsia="MS UI Gothic"/>
          <w:w w:val="85"/>
        </w:rPr>
        <w:t>１７５５</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5"/>
        <w:ind w:left="440" w:firstLine="0"/>
        <w:jc w:val="left"/>
        <w:rPr>
          <w:rFonts w:hint="eastAsia" w:ascii="MS UI Gothic" w:eastAsia="MS UI Gothic"/>
        </w:rPr>
      </w:pPr>
      <w:r>
        <w:rPr>
          <w:spacing w:val="2"/>
          <w:w w:val="102"/>
        </w:rPr>
        <w:t>志愿服务条例</w:t>
      </w:r>
      <w:r>
        <w:rPr>
          <w:spacing w:val="8"/>
        </w:rPr>
        <w:t xml:space="preserve"> </w:t>
      </w:r>
      <w:r>
        <w:rPr>
          <w:rFonts w:hint="eastAsia" w:ascii="MS UI Gothic" w:eastAsia="MS UI Gothic"/>
          <w:spacing w:val="15"/>
          <w:w w:val="168"/>
        </w:rPr>
        <w:t>(</w:t>
      </w:r>
      <w:r>
        <w:rPr>
          <w:rFonts w:hint="eastAsia" w:ascii="MS UI Gothic" w:eastAsia="MS UI Gothic"/>
          <w:spacing w:val="-1"/>
          <w:w w:val="75"/>
        </w:rPr>
        <w:t>２０１７</w:t>
      </w:r>
      <w:r>
        <w:rPr>
          <w:rFonts w:hint="eastAsia" w:ascii="MS UI Gothic" w:eastAsia="MS UI Gothic"/>
          <w:spacing w:val="-3"/>
        </w:rPr>
        <w:t xml:space="preserve"> </w:t>
      </w:r>
      <w:r>
        <w:rPr>
          <w:spacing w:val="3"/>
          <w:w w:val="102"/>
        </w:rPr>
        <w:t>年公布</w:t>
      </w:r>
      <w:r>
        <w:rPr>
          <w:rFonts w:hint="eastAsia" w:ascii="MS UI Gothic" w:eastAsia="MS UI Gothic"/>
          <w:w w:val="168"/>
        </w:rPr>
        <w:t>)</w:t>
      </w:r>
      <w:r>
        <w:rPr>
          <w:rFonts w:hint="eastAsia" w:ascii="MS UI Gothic" w:eastAsia="MS UI Gothic"/>
          <w:spacing w:val="-10"/>
        </w:rPr>
        <w:t xml:space="preserve">   </w:t>
      </w:r>
    </w:p>
    <w:p>
      <w:pPr>
        <w:pStyle w:val="6"/>
        <w:spacing w:before="75"/>
        <w:ind w:left="62" w:firstLine="0"/>
        <w:jc w:val="left"/>
        <w:rPr>
          <w:rFonts w:hint="eastAsia" w:ascii="MS UI Gothic" w:eastAsia="MS UI Gothic"/>
        </w:rPr>
      </w:pPr>
      <w:r>
        <w:br w:type="column"/>
      </w:r>
      <w:r>
        <w:rPr>
          <w:rFonts w:hint="eastAsia" w:ascii="MS UI Gothic" w:eastAsia="MS UI Gothic"/>
          <w:w w:val="85"/>
        </w:rPr>
        <w:t>１７５７</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5"/>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75" w:line="240" w:lineRule="exact"/>
        <w:ind w:left="440" w:firstLine="0"/>
        <w:jc w:val="left"/>
        <w:rPr>
          <w:rFonts w:hint="eastAsia" w:ascii="MS UI Gothic" w:eastAsia="MS UI Gothic"/>
        </w:rPr>
      </w:pPr>
      <w:r>
        <w:rPr>
          <w:w w:val="125"/>
        </w:rPr>
        <w:t>十四</w:t>
      </w:r>
      <w:r>
        <w:rPr>
          <w:w w:val="90"/>
        </w:rPr>
        <w:t xml:space="preserve">、 </w:t>
      </w:r>
      <w:r>
        <w:rPr>
          <w:w w:val="125"/>
        </w:rPr>
        <w:t xml:space="preserve">诉讼法 </w:t>
      </w:r>
    </w:p>
    <w:p>
      <w:pPr>
        <w:pStyle w:val="6"/>
        <w:spacing w:before="175" w:line="240" w:lineRule="exact"/>
        <w:ind w:left="62" w:firstLine="0"/>
        <w:jc w:val="left"/>
        <w:rPr>
          <w:rFonts w:hint="eastAsia" w:ascii="MS UI Gothic" w:eastAsia="MS UI Gothic"/>
        </w:rPr>
      </w:pPr>
      <w:r>
        <w:br w:type="column"/>
      </w:r>
      <w:r>
        <w:rPr>
          <w:rFonts w:hint="eastAsia" w:ascii="MS UI Gothic" w:eastAsia="MS UI Gothic"/>
          <w:w w:val="85"/>
        </w:rPr>
        <w:t>１７６１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7886" w:space="40"/>
            <w:col w:w="614"/>
          </w:cols>
        </w:sectPr>
      </w:pPr>
    </w:p>
    <w:p>
      <w:pPr>
        <w:pStyle w:val="6"/>
        <w:spacing w:before="74"/>
        <w:ind w:left="440" w:firstLine="0"/>
        <w:jc w:val="left"/>
        <w:rPr>
          <w:rFonts w:hint="eastAsia" w:ascii="MS UI Gothic" w:eastAsia="MS UI Gothic"/>
        </w:rPr>
      </w:pPr>
      <w:r>
        <w:rPr>
          <w:spacing w:val="2"/>
          <w:w w:val="102"/>
        </w:rPr>
        <w:t>中华人民共和国刑事诉讼法</w:t>
      </w:r>
      <w:r>
        <w:rPr>
          <w:spacing w:val="8"/>
        </w:rPr>
        <w:t xml:space="preserve"> </w:t>
      </w:r>
      <w:r>
        <w:rPr>
          <w:rFonts w:hint="eastAsia" w:ascii="MS UI Gothic" w:eastAsia="MS UI Gothic"/>
          <w:spacing w:val="15"/>
          <w:w w:val="168"/>
        </w:rPr>
        <w:t>(</w:t>
      </w:r>
      <w:r>
        <w:rPr>
          <w:rFonts w:hint="eastAsia" w:ascii="MS UI Gothic" w:eastAsia="MS UI Gothic"/>
          <w:w w:val="75"/>
        </w:rPr>
        <w:t>２０１８</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58"/>
        <w:ind w:left="440" w:firstLine="0"/>
        <w:jc w:val="left"/>
        <w:rPr>
          <w:rFonts w:hint="eastAsia" w:ascii="MS UI Gothic" w:eastAsia="MS UI Gothic"/>
        </w:rPr>
      </w:pPr>
      <w:r>
        <w:rPr>
          <w:spacing w:val="2"/>
          <w:w w:val="102"/>
        </w:rPr>
        <w:t>中华人民共和国行政诉讼法</w:t>
      </w:r>
      <w:r>
        <w:rPr>
          <w:spacing w:val="8"/>
        </w:rPr>
        <w:t xml:space="preserve"> </w:t>
      </w:r>
      <w:r>
        <w:rPr>
          <w:rFonts w:hint="eastAsia" w:ascii="MS UI Gothic" w:eastAsia="MS UI Gothic"/>
          <w:spacing w:val="15"/>
          <w:w w:val="168"/>
        </w:rPr>
        <w:t>(</w:t>
      </w:r>
      <w:r>
        <w:rPr>
          <w:rFonts w:hint="eastAsia" w:ascii="MS UI Gothic" w:eastAsia="MS UI Gothic"/>
          <w:w w:val="75"/>
        </w:rPr>
        <w:t>２０１７</w:t>
      </w:r>
      <w:r>
        <w:rPr>
          <w:rFonts w:hint="eastAsia" w:ascii="MS UI Gothic" w:eastAsia="MS UI Gothic"/>
          <w:spacing w:val="-3"/>
        </w:rPr>
        <w:t xml:space="preserve"> </w:t>
      </w:r>
      <w:r>
        <w:rPr>
          <w:spacing w:val="3"/>
          <w:w w:val="102"/>
        </w:rPr>
        <w:t>年修正</w:t>
      </w:r>
      <w:r>
        <w:rPr>
          <w:rFonts w:hint="eastAsia" w:ascii="MS UI Gothic" w:eastAsia="MS UI Gothic"/>
          <w:w w:val="168"/>
        </w:rPr>
        <w:t>)</w:t>
      </w:r>
    </w:p>
    <w:p>
      <w:pPr>
        <w:pStyle w:val="6"/>
        <w:spacing w:before="74"/>
        <w:ind w:left="115" w:firstLine="0"/>
        <w:jc w:val="left"/>
        <w:rPr>
          <w:rFonts w:hint="eastAsia" w:ascii="MS UI Gothic" w:eastAsia="MS UI Gothic"/>
        </w:rPr>
      </w:pPr>
      <w:r>
        <w:br w:type="column"/>
      </w:r>
    </w:p>
    <w:p>
      <w:pPr>
        <w:pStyle w:val="6"/>
        <w:spacing w:before="58"/>
        <w:ind w:left="115" w:firstLine="0"/>
        <w:jc w:val="left"/>
        <w:rPr>
          <w:rFonts w:hint="eastAsia" w:ascii="MS UI Gothic" w:eastAsia="MS UI Gothic"/>
        </w:rPr>
      </w:pPr>
    </w:p>
    <w:p>
      <w:pPr>
        <w:pStyle w:val="6"/>
        <w:spacing w:before="74"/>
        <w:ind w:left="62" w:firstLine="0"/>
        <w:jc w:val="left"/>
        <w:rPr>
          <w:rFonts w:hint="eastAsia" w:ascii="MS UI Gothic" w:eastAsia="MS UI Gothic"/>
        </w:rPr>
      </w:pPr>
      <w:r>
        <w:br w:type="column"/>
      </w:r>
      <w:r>
        <w:rPr>
          <w:rFonts w:hint="eastAsia" w:ascii="MS UI Gothic" w:eastAsia="MS UI Gothic"/>
          <w:w w:val="85"/>
        </w:rPr>
        <w:t>１７６１</w:t>
      </w:r>
    </w:p>
    <w:p>
      <w:pPr>
        <w:pStyle w:val="6"/>
        <w:spacing w:before="58"/>
        <w:ind w:left="62" w:firstLine="0"/>
        <w:jc w:val="left"/>
        <w:rPr>
          <w:rFonts w:hint="eastAsia" w:ascii="MS UI Gothic" w:eastAsia="MS UI Gothic"/>
        </w:rPr>
      </w:pPr>
      <w:r>
        <w:rPr>
          <w:rFonts w:hint="eastAsia" w:ascii="MS UI Gothic" w:eastAsia="MS UI Gothic"/>
          <w:w w:val="85"/>
        </w:rPr>
        <w:t>１７９５</w:t>
      </w:r>
    </w:p>
    <w:p>
      <w:pPr>
        <w:spacing w:after="0"/>
        <w:jc w:val="left"/>
        <w:rPr>
          <w:rFonts w:hint="eastAsia" w:ascii="MS UI Gothic" w:eastAsia="MS UI Gothic"/>
        </w:rPr>
        <w:sectPr>
          <w:type w:val="continuous"/>
          <w:pgSz w:w="10500" w:h="14750"/>
          <w:pgMar w:top="1400" w:right="980" w:bottom="280" w:left="980" w:header="720" w:footer="720" w:gutter="0"/>
          <w:cols w:equalWidth="0" w:num="3">
            <w:col w:w="4381" w:space="40"/>
            <w:col w:w="3465" w:space="39"/>
            <w:col w:w="615"/>
          </w:cols>
        </w:sectPr>
      </w:pPr>
    </w:p>
    <w:p>
      <w:pPr>
        <w:pStyle w:val="6"/>
        <w:spacing w:before="4"/>
        <w:ind w:left="0" w:firstLine="0"/>
        <w:jc w:val="left"/>
        <w:rPr>
          <w:rFonts w:ascii="Times New Roman"/>
          <w:sz w:val="17"/>
        </w:rPr>
      </w:pPr>
    </w:p>
    <w:p>
      <w:pPr>
        <w:spacing w:after="0"/>
        <w:jc w:val="left"/>
        <w:rPr>
          <w:rFonts w:ascii="Times New Roman"/>
          <w:sz w:val="17"/>
        </w:rPr>
        <w:sectPr>
          <w:pgSz w:w="10500" w:h="14750"/>
          <w:pgMar w:top="1400" w:right="980" w:bottom="280" w:left="980" w:header="720" w:footer="720" w:gutter="0"/>
        </w:sectPr>
      </w:pPr>
    </w:p>
    <w:p>
      <w:pPr>
        <w:tabs>
          <w:tab w:val="left" w:pos="1080"/>
        </w:tabs>
        <w:spacing w:before="192"/>
        <w:ind w:left="0" w:right="0" w:firstLine="0"/>
        <w:jc w:val="right"/>
        <w:rPr>
          <w:sz w:val="17"/>
        </w:rPr>
      </w:pPr>
      <w:r>
        <w:rPr>
          <w:spacing w:val="3"/>
          <w:sz w:val="17"/>
        </w:rPr>
        <w:t>一</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宪</w:t>
      </w:r>
      <w:r>
        <w:rPr>
          <w:sz w:val="17"/>
        </w:rPr>
        <w:tab/>
      </w:r>
      <w:r>
        <w:rPr>
          <w:sz w:val="17"/>
        </w:rPr>
        <w:t>法</w:t>
      </w:r>
    </w:p>
    <w:p>
      <w:pPr>
        <w:pStyle w:val="6"/>
        <w:spacing w:before="159"/>
        <w:ind w:left="0" w:right="390" w:firstLine="0"/>
        <w:jc w:val="right"/>
        <w:rPr>
          <w:rFonts w:hint="eastAsia" w:ascii="MS UI Gothic" w:eastAsia="MS UI Gothic"/>
        </w:rPr>
      </w:pPr>
      <w:r>
        <w:br w:type="column"/>
      </w:r>
      <w:r>
        <w:rPr>
          <w:rFonts w:hint="eastAsia" w:ascii="MS UI Gothic" w:eastAsia="MS UI Gothic"/>
          <w:spacing w:val="1"/>
          <w:w w:val="75"/>
        </w:rPr>
        <w:t>１</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055" o:spid="_x0000_s1055" o:spt="203" style="height:2.15pt;width:398.25pt;" coordsize="7965,43">
            <o:lock v:ext="edit"/>
            <v:line id="_x0000_s1056" o:spid="_x0000_s1056" o:spt="20" style="position:absolute;left:0;top:39;height:0;width:7965;" stroked="t" coordsize="21600,21600">
              <v:path arrowok="t"/>
              <v:fill focussize="0,0"/>
              <v:stroke weight="0.388031496062992pt" color="#231F20"/>
              <v:imagedata o:title=""/>
              <o:lock v:ext="edit"/>
            </v:line>
            <v:line id="_x0000_s1057" o:spid="_x0000_s1057"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6"/>
        <w:ind w:left="0" w:firstLine="0"/>
        <w:jc w:val="left"/>
        <w:rPr>
          <w:rFonts w:ascii="MS UI Gothic"/>
        </w:rPr>
      </w:pPr>
    </w:p>
    <w:p>
      <w:pPr>
        <w:pStyle w:val="6"/>
        <w:ind w:left="0" w:firstLine="0"/>
        <w:jc w:val="left"/>
        <w:rPr>
          <w:rFonts w:ascii="MS UI Gothic"/>
        </w:rPr>
      </w:pPr>
    </w:p>
    <w:p>
      <w:pPr>
        <w:pStyle w:val="6"/>
        <w:spacing w:before="12"/>
        <w:ind w:left="0" w:firstLine="0"/>
        <w:jc w:val="left"/>
        <w:rPr>
          <w:rFonts w:ascii="MS UI Gothic"/>
          <w:sz w:val="18"/>
        </w:rPr>
      </w:pPr>
    </w:p>
    <w:p>
      <w:pPr>
        <w:pStyle w:val="2"/>
        <w:tabs>
          <w:tab w:val="left" w:pos="2825"/>
        </w:tabs>
      </w:pPr>
      <w:r>
        <w:rPr>
          <w:spacing w:val="25"/>
        </w:rPr>
        <w:t>一</w:t>
      </w:r>
      <w:r>
        <w:rPr>
          <w:rFonts w:hint="eastAsia" w:ascii="Microsoft Yi Baiti" w:eastAsia="Microsoft Yi Baiti"/>
        </w:rPr>
        <w:t>、</w:t>
      </w:r>
      <w:r>
        <w:rPr>
          <w:rFonts w:hint="eastAsia" w:ascii="Microsoft Yi Baiti" w:eastAsia="Microsoft Yi Baiti"/>
          <w:spacing w:val="21"/>
        </w:rPr>
        <w:t xml:space="preserve"> </w:t>
      </w:r>
      <w:r>
        <w:t>宪</w:t>
      </w:r>
      <w:r>
        <w:tab/>
      </w:r>
      <w:r>
        <w:t>法</w:t>
      </w:r>
    </w:p>
    <w:p>
      <w:pPr>
        <w:pStyle w:val="4"/>
        <w:spacing w:before="402"/>
        <w:ind w:left="286"/>
        <w:rPr>
          <w:rFonts w:hint="eastAsia" w:ascii="Microsoft Yi Baiti" w:eastAsia="Microsoft Yi Baiti"/>
        </w:rPr>
      </w:pPr>
      <w:r>
        <w:t xml:space="preserve">中华人民共和国宪法 ( 节选) </w:t>
      </w:r>
      <w:r>
        <w:rPr>
          <w:rFonts w:hint="eastAsia" w:ascii="Microsoft Yi Baiti" w:eastAsia="Microsoft Yi Baiti"/>
        </w:rPr>
        <w:t>(</w:t>
      </w:r>
      <w:r>
        <w:rPr>
          <w:rFonts w:hint="eastAsia" w:ascii="MS UI Gothic" w:eastAsia="MS UI Gothic"/>
        </w:rPr>
        <w:t xml:space="preserve">２０１８ </w:t>
      </w:r>
      <w:r>
        <w:t>年修正</w:t>
      </w:r>
      <w:r>
        <w:rPr>
          <w:rFonts w:hint="eastAsia" w:ascii="Microsoft Yi Baiti" w:eastAsia="Microsoft Yi Baiti"/>
        </w:rPr>
        <w:t>)</w:t>
      </w:r>
    </w:p>
    <w:p>
      <w:pPr>
        <w:pStyle w:val="6"/>
        <w:tabs>
          <w:tab w:val="left" w:pos="5711"/>
        </w:tabs>
        <w:spacing w:before="366"/>
        <w:ind w:left="0" w:right="126" w:firstLine="0"/>
        <w:jc w:val="right"/>
      </w:pPr>
      <w:r>
        <w:rPr>
          <w:rFonts w:hint="eastAsia" w:ascii="Microsoft Yi Baiti" w:eastAsia="Microsoft Yi Baiti"/>
          <w:spacing w:val="2"/>
        </w:rPr>
        <w:t>(</w:t>
      </w:r>
      <w:r>
        <w:rPr>
          <w:rFonts w:hint="eastAsia" w:ascii="MS UI Gothic" w:eastAsia="MS UI Gothic"/>
          <w:spacing w:val="2"/>
        </w:rPr>
        <w:t>１９８２</w:t>
      </w:r>
      <w:r>
        <w:rPr>
          <w:rFonts w:hint="eastAsia" w:ascii="MS UI Gothic" w:eastAsia="MS UI Gothic"/>
          <w:spacing w:val="-19"/>
        </w:rPr>
        <w:t xml:space="preserve"> </w:t>
      </w:r>
      <w:r>
        <w:t>年</w:t>
      </w:r>
      <w:r>
        <w:rPr>
          <w:spacing w:val="-64"/>
        </w:rPr>
        <w:t xml:space="preserve"> </w:t>
      </w:r>
      <w:r>
        <w:rPr>
          <w:rFonts w:hint="eastAsia" w:ascii="MS UI Gothic" w:eastAsia="MS UI Gothic"/>
        </w:rPr>
        <w:t>１２</w:t>
      </w:r>
      <w:r>
        <w:rPr>
          <w:rFonts w:hint="eastAsia" w:ascii="MS UI Gothic" w:eastAsia="MS UI Gothic"/>
          <w:spacing w:val="-19"/>
        </w:rPr>
        <w:t xml:space="preserve"> </w:t>
      </w:r>
      <w:r>
        <w:t>月</w:t>
      </w:r>
      <w:r>
        <w:rPr>
          <w:spacing w:val="-64"/>
        </w:rPr>
        <w:t xml:space="preserve"> </w:t>
      </w:r>
      <w:r>
        <w:rPr>
          <w:rFonts w:hint="eastAsia" w:ascii="MS UI Gothic" w:eastAsia="MS UI Gothic"/>
        </w:rPr>
        <w:t>４</w:t>
      </w:r>
      <w:r>
        <w:rPr>
          <w:rFonts w:hint="eastAsia" w:ascii="MS UI Gothic" w:eastAsia="MS UI Gothic"/>
          <w:spacing w:val="-19"/>
        </w:rPr>
        <w:t xml:space="preserve"> </w:t>
      </w:r>
      <w:r>
        <w:rPr>
          <w:spacing w:val="3"/>
        </w:rPr>
        <w:t>日第五届全国人民代表大会第五次会议通</w:t>
      </w:r>
      <w:r>
        <w:t>过</w:t>
      </w:r>
      <w:r>
        <w:tab/>
      </w:r>
      <w:r>
        <w:rPr>
          <w:rFonts w:hint="eastAsia" w:ascii="MS UI Gothic" w:eastAsia="MS UI Gothic"/>
          <w:w w:val="95"/>
        </w:rPr>
        <w:t>１９８２</w:t>
      </w:r>
      <w:r>
        <w:rPr>
          <w:rFonts w:hint="eastAsia" w:ascii="MS UI Gothic" w:eastAsia="MS UI Gothic"/>
          <w:spacing w:val="-26"/>
          <w:w w:val="95"/>
        </w:rPr>
        <w:t xml:space="preserve"> </w:t>
      </w:r>
      <w:r>
        <w:rPr>
          <w:w w:val="95"/>
        </w:rPr>
        <w:t>年</w:t>
      </w:r>
      <w:r>
        <w:rPr>
          <w:spacing w:val="-68"/>
          <w:w w:val="95"/>
        </w:rPr>
        <w:t xml:space="preserve"> </w:t>
      </w:r>
      <w:r>
        <w:rPr>
          <w:rFonts w:hint="eastAsia" w:ascii="MS UI Gothic" w:eastAsia="MS UI Gothic"/>
          <w:w w:val="95"/>
        </w:rPr>
        <w:t>１２</w:t>
      </w:r>
      <w:r>
        <w:rPr>
          <w:rFonts w:hint="eastAsia" w:ascii="MS UI Gothic" w:eastAsia="MS UI Gothic"/>
          <w:spacing w:val="-27"/>
          <w:w w:val="95"/>
        </w:rPr>
        <w:t xml:space="preserve"> </w:t>
      </w:r>
      <w:r>
        <w:rPr>
          <w:w w:val="95"/>
        </w:rPr>
        <w:t>月</w:t>
      </w:r>
      <w:r>
        <w:rPr>
          <w:spacing w:val="-68"/>
          <w:w w:val="95"/>
        </w:rPr>
        <w:t xml:space="preserve"> </w:t>
      </w:r>
      <w:r>
        <w:rPr>
          <w:rFonts w:hint="eastAsia" w:ascii="MS UI Gothic" w:eastAsia="MS UI Gothic"/>
          <w:w w:val="95"/>
        </w:rPr>
        <w:t>４</w:t>
      </w:r>
      <w:r>
        <w:rPr>
          <w:rFonts w:hint="eastAsia" w:ascii="MS UI Gothic" w:eastAsia="MS UI Gothic"/>
          <w:spacing w:val="-24"/>
          <w:w w:val="95"/>
        </w:rPr>
        <w:t xml:space="preserve"> </w:t>
      </w:r>
      <w:r>
        <w:rPr>
          <w:spacing w:val="7"/>
          <w:w w:val="95"/>
        </w:rPr>
        <w:t>日</w:t>
      </w:r>
      <w:r>
        <w:rPr>
          <w:w w:val="95"/>
        </w:rPr>
        <w:t>全</w:t>
      </w:r>
    </w:p>
    <w:p>
      <w:pPr>
        <w:pStyle w:val="6"/>
        <w:spacing w:before="58"/>
        <w:ind w:left="0" w:right="126" w:firstLine="0"/>
        <w:jc w:val="right"/>
      </w:pPr>
      <w:r>
        <w:rPr>
          <w:spacing w:val="1"/>
        </w:rPr>
        <w:t>国人民代表大会公告公布施行</w:t>
      </w:r>
      <w:r>
        <w:rPr>
          <w:rFonts w:hint="eastAsia" w:ascii="Microsoft Yi Baiti" w:eastAsia="Microsoft Yi Baiti"/>
          <w:spacing w:val="-2"/>
        </w:rPr>
        <w:t xml:space="preserve">ꎬ </w:t>
      </w:r>
      <w:r>
        <w:rPr>
          <w:spacing w:val="-20"/>
        </w:rPr>
        <w:t xml:space="preserve">根据 </w:t>
      </w:r>
      <w:r>
        <w:rPr>
          <w:rFonts w:hint="eastAsia" w:ascii="MS UI Gothic" w:eastAsia="MS UI Gothic"/>
          <w:spacing w:val="-3"/>
        </w:rPr>
        <w:t xml:space="preserve">１９８８ </w:t>
      </w:r>
      <w:r>
        <w:rPr>
          <w:spacing w:val="-30"/>
        </w:rPr>
        <w:t xml:space="preserve">年 </w:t>
      </w:r>
      <w:r>
        <w:rPr>
          <w:rFonts w:hint="eastAsia" w:ascii="MS UI Gothic" w:eastAsia="MS UI Gothic"/>
          <w:spacing w:val="-8"/>
        </w:rPr>
        <w:t xml:space="preserve">４ </w:t>
      </w:r>
      <w:r>
        <w:rPr>
          <w:spacing w:val="-30"/>
        </w:rPr>
        <w:t xml:space="preserve">月 </w:t>
      </w:r>
      <w:r>
        <w:rPr>
          <w:rFonts w:hint="eastAsia" w:ascii="MS UI Gothic" w:eastAsia="MS UI Gothic"/>
          <w:spacing w:val="-5"/>
        </w:rPr>
        <w:t xml:space="preserve">１２ </w:t>
      </w:r>
      <w:r>
        <w:rPr>
          <w:spacing w:val="2"/>
        </w:rPr>
        <w:t>日第七届全国人民代表大会第一次</w:t>
      </w:r>
    </w:p>
    <w:p>
      <w:pPr>
        <w:pStyle w:val="6"/>
        <w:spacing w:before="58"/>
        <w:ind w:left="0" w:right="126" w:firstLine="0"/>
        <w:jc w:val="right"/>
      </w:pPr>
      <w:r>
        <w:rPr>
          <w:spacing w:val="1"/>
        </w:rPr>
        <w:t xml:space="preserve">会议通过的 </w:t>
      </w:r>
      <w:r>
        <w:rPr>
          <w:rFonts w:hint="eastAsia" w:ascii="Microsoft Yi Baiti" w:hAnsi="Microsoft Yi Baiti" w:eastAsia="Microsoft Yi Baiti"/>
          <w:spacing w:val="-35"/>
        </w:rPr>
        <w:t xml:space="preserve">« </w:t>
      </w:r>
      <w:r>
        <w:rPr>
          <w:spacing w:val="4"/>
        </w:rPr>
        <w:t>中华人民共和国宪法修正案</w:t>
      </w:r>
      <w:r>
        <w:rPr>
          <w:rFonts w:hint="eastAsia" w:ascii="Microsoft Yi Baiti" w:hAnsi="Microsoft Yi Baiti" w:eastAsia="Microsoft Yi Baiti"/>
          <w:spacing w:val="-17"/>
        </w:rPr>
        <w:t xml:space="preserve">» ꎬ </w:t>
      </w:r>
      <w:r>
        <w:rPr>
          <w:rFonts w:hint="eastAsia" w:ascii="MS UI Gothic" w:hAnsi="MS UI Gothic" w:eastAsia="MS UI Gothic"/>
          <w:spacing w:val="-1"/>
        </w:rPr>
        <w:t xml:space="preserve">１９９３ </w:t>
      </w:r>
      <w:r>
        <w:rPr>
          <w:spacing w:val="-25"/>
        </w:rPr>
        <w:t xml:space="preserve">年 </w:t>
      </w:r>
      <w:r>
        <w:rPr>
          <w:rFonts w:hint="eastAsia" w:ascii="MS UI Gothic" w:hAnsi="MS UI Gothic" w:eastAsia="MS UI Gothic"/>
          <w:spacing w:val="-2"/>
        </w:rPr>
        <w:t xml:space="preserve">３ </w:t>
      </w:r>
      <w:r>
        <w:rPr>
          <w:spacing w:val="-25"/>
        </w:rPr>
        <w:t xml:space="preserve">月 </w:t>
      </w:r>
      <w:r>
        <w:rPr>
          <w:rFonts w:hint="eastAsia" w:ascii="MS UI Gothic" w:hAnsi="MS UI Gothic" w:eastAsia="MS UI Gothic"/>
          <w:spacing w:val="-1"/>
        </w:rPr>
        <w:t xml:space="preserve">２９ </w:t>
      </w:r>
      <w:r>
        <w:rPr>
          <w:spacing w:val="8"/>
        </w:rPr>
        <w:t>日第八届全国人民代表大</w:t>
      </w:r>
    </w:p>
    <w:p>
      <w:pPr>
        <w:pStyle w:val="6"/>
        <w:spacing w:before="58"/>
        <w:ind w:left="0" w:right="126" w:firstLine="0"/>
        <w:jc w:val="right"/>
      </w:pPr>
      <w:r>
        <w:rPr>
          <w:spacing w:val="1"/>
        </w:rPr>
        <w:t xml:space="preserve">会第一次会议通过的 </w:t>
      </w:r>
      <w:r>
        <w:rPr>
          <w:rFonts w:hint="eastAsia" w:ascii="Microsoft Yi Baiti" w:hAnsi="Microsoft Yi Baiti" w:eastAsia="Microsoft Yi Baiti"/>
          <w:spacing w:val="-35"/>
        </w:rPr>
        <w:t xml:space="preserve">« </w:t>
      </w:r>
      <w:r>
        <w:rPr>
          <w:spacing w:val="7"/>
        </w:rPr>
        <w:t>中华人民共和国宪法修正案</w:t>
      </w:r>
      <w:r>
        <w:rPr>
          <w:rFonts w:hint="eastAsia" w:ascii="Microsoft Yi Baiti" w:hAnsi="Microsoft Yi Baiti" w:eastAsia="Microsoft Yi Baiti"/>
          <w:spacing w:val="-17"/>
        </w:rPr>
        <w:t xml:space="preserve">» ꎬ </w:t>
      </w:r>
      <w:r>
        <w:rPr>
          <w:rFonts w:hint="eastAsia" w:ascii="MS UI Gothic" w:hAnsi="MS UI Gothic" w:eastAsia="MS UI Gothic"/>
          <w:spacing w:val="-1"/>
        </w:rPr>
        <w:t xml:space="preserve">１９９９ </w:t>
      </w:r>
      <w:r>
        <w:rPr>
          <w:spacing w:val="-25"/>
        </w:rPr>
        <w:t xml:space="preserve">年 </w:t>
      </w:r>
      <w:r>
        <w:rPr>
          <w:rFonts w:hint="eastAsia" w:ascii="MS UI Gothic" w:hAnsi="MS UI Gothic" w:eastAsia="MS UI Gothic"/>
          <w:spacing w:val="-2"/>
        </w:rPr>
        <w:t xml:space="preserve">３ </w:t>
      </w:r>
      <w:r>
        <w:rPr>
          <w:spacing w:val="-25"/>
        </w:rPr>
        <w:t xml:space="preserve">月 </w:t>
      </w:r>
      <w:r>
        <w:rPr>
          <w:rFonts w:hint="eastAsia" w:ascii="MS UI Gothic" w:hAnsi="MS UI Gothic" w:eastAsia="MS UI Gothic"/>
          <w:spacing w:val="-1"/>
        </w:rPr>
        <w:t xml:space="preserve">１５ </w:t>
      </w:r>
      <w:r>
        <w:rPr>
          <w:spacing w:val="7"/>
        </w:rPr>
        <w:t>日第九届全国人</w:t>
      </w:r>
    </w:p>
    <w:p>
      <w:pPr>
        <w:pStyle w:val="6"/>
        <w:spacing w:before="59" w:line="295" w:lineRule="auto"/>
        <w:ind w:left="435" w:right="126" w:firstLine="5"/>
        <w:rPr>
          <w:rFonts w:hint="eastAsia" w:ascii="Microsoft Yi Baiti" w:hAnsi="Microsoft Yi Baiti" w:eastAsia="Microsoft Yi Baiti"/>
        </w:rPr>
      </w:pPr>
      <w:r>
        <w:rPr>
          <w:spacing w:val="1"/>
        </w:rPr>
        <w:t xml:space="preserve">民代表大会第二次会议通过的 </w:t>
      </w:r>
      <w:r>
        <w:rPr>
          <w:rFonts w:hint="eastAsia" w:ascii="Microsoft Yi Baiti" w:hAnsi="Microsoft Yi Baiti" w:eastAsia="Microsoft Yi Baiti"/>
          <w:spacing w:val="-35"/>
          <w:w w:val="105"/>
        </w:rPr>
        <w:t xml:space="preserve">« </w:t>
      </w:r>
      <w:r>
        <w:rPr>
          <w:spacing w:val="8"/>
        </w:rPr>
        <w:t>中华人民共和国宪法修正案</w:t>
      </w:r>
      <w:r>
        <w:rPr>
          <w:rFonts w:hint="eastAsia" w:ascii="Microsoft Yi Baiti" w:hAnsi="Microsoft Yi Baiti" w:eastAsia="Microsoft Yi Baiti"/>
          <w:spacing w:val="-37"/>
          <w:w w:val="105"/>
        </w:rPr>
        <w:t xml:space="preserve">» </w:t>
      </w:r>
      <w:r>
        <w:rPr>
          <w:rFonts w:hint="eastAsia" w:ascii="Microsoft Yi Baiti" w:hAnsi="Microsoft Yi Baiti" w:eastAsia="Microsoft Yi Baiti"/>
          <w:spacing w:val="3"/>
        </w:rPr>
        <w:t xml:space="preserve">ꎬ </w:t>
      </w:r>
      <w:r>
        <w:rPr>
          <w:rFonts w:hint="eastAsia" w:ascii="MS UI Gothic" w:hAnsi="MS UI Gothic" w:eastAsia="MS UI Gothic"/>
          <w:spacing w:val="-1"/>
        </w:rPr>
        <w:t xml:space="preserve">２００４ </w:t>
      </w:r>
      <w:r>
        <w:rPr>
          <w:spacing w:val="-25"/>
        </w:rPr>
        <w:t xml:space="preserve">年 </w:t>
      </w:r>
      <w:r>
        <w:rPr>
          <w:rFonts w:hint="eastAsia" w:ascii="MS UI Gothic" w:hAnsi="MS UI Gothic" w:eastAsia="MS UI Gothic"/>
          <w:spacing w:val="-2"/>
        </w:rPr>
        <w:t xml:space="preserve">３ </w:t>
      </w:r>
      <w:r>
        <w:rPr>
          <w:spacing w:val="-25"/>
        </w:rPr>
        <w:t xml:space="preserve">月 </w:t>
      </w:r>
      <w:r>
        <w:rPr>
          <w:rFonts w:hint="eastAsia" w:ascii="MS UI Gothic" w:hAnsi="MS UI Gothic" w:eastAsia="MS UI Gothic"/>
          <w:spacing w:val="-1"/>
        </w:rPr>
        <w:t xml:space="preserve">１４ </w:t>
      </w:r>
      <w:r>
        <w:rPr>
          <w:spacing w:val="6"/>
        </w:rPr>
        <w:t>日第十</w:t>
      </w:r>
      <w:r>
        <w:rPr>
          <w:spacing w:val="3"/>
        </w:rPr>
        <w:t xml:space="preserve">届全国人民代表大会第二次会议通过的 </w:t>
      </w:r>
      <w:r>
        <w:rPr>
          <w:rFonts w:hint="eastAsia" w:ascii="Microsoft Yi Baiti" w:hAnsi="Microsoft Yi Baiti" w:eastAsia="Microsoft Yi Baiti"/>
          <w:spacing w:val="-34"/>
          <w:w w:val="105"/>
        </w:rPr>
        <w:t xml:space="preserve">« </w:t>
      </w:r>
      <w:r>
        <w:rPr>
          <w:spacing w:val="6"/>
        </w:rPr>
        <w:t>中华人民共和国宪法修正案</w:t>
      </w:r>
      <w:r>
        <w:rPr>
          <w:rFonts w:hint="eastAsia" w:ascii="Microsoft Yi Baiti" w:hAnsi="Microsoft Yi Baiti" w:eastAsia="Microsoft Yi Baiti"/>
          <w:spacing w:val="23"/>
          <w:w w:val="105"/>
        </w:rPr>
        <w:t xml:space="preserve">» </w:t>
      </w:r>
      <w:r>
        <w:rPr>
          <w:spacing w:val="-19"/>
        </w:rPr>
        <w:t xml:space="preserve">和 </w:t>
      </w:r>
      <w:r>
        <w:rPr>
          <w:rFonts w:hint="eastAsia" w:ascii="MS UI Gothic" w:hAnsi="MS UI Gothic" w:eastAsia="MS UI Gothic"/>
          <w:spacing w:val="1"/>
        </w:rPr>
        <w:t xml:space="preserve">２０１８ </w:t>
      </w:r>
      <w:r>
        <w:rPr>
          <w:spacing w:val="-20"/>
        </w:rPr>
        <w:t xml:space="preserve">年 </w:t>
      </w:r>
      <w:r>
        <w:rPr>
          <w:rFonts w:hint="eastAsia" w:ascii="MS UI Gothic" w:hAnsi="MS UI Gothic" w:eastAsia="MS UI Gothic"/>
          <w:spacing w:val="4"/>
        </w:rPr>
        <w:t xml:space="preserve">３ </w:t>
      </w:r>
      <w:r>
        <w:t>月</w:t>
      </w:r>
      <w:r>
        <w:rPr>
          <w:rFonts w:hint="eastAsia" w:ascii="MS UI Gothic" w:hAnsi="MS UI Gothic" w:eastAsia="MS UI Gothic"/>
          <w:spacing w:val="7"/>
        </w:rPr>
        <w:t xml:space="preserve">１１ </w:t>
      </w:r>
      <w:r>
        <w:rPr>
          <w:spacing w:val="4"/>
        </w:rPr>
        <w:t xml:space="preserve">日第十三届全国人民代表大会第一次会议通过的 </w:t>
      </w:r>
      <w:r>
        <w:rPr>
          <w:rFonts w:hint="eastAsia" w:ascii="Microsoft Yi Baiti" w:hAnsi="Microsoft Yi Baiti" w:eastAsia="Microsoft Yi Baiti"/>
          <w:spacing w:val="-27"/>
          <w:w w:val="105"/>
        </w:rPr>
        <w:t xml:space="preserve">« </w:t>
      </w:r>
      <w:r>
        <w:rPr>
          <w:spacing w:val="9"/>
        </w:rPr>
        <w:t>中华人民共和国宪法修正案</w:t>
      </w:r>
      <w:r>
        <w:rPr>
          <w:rFonts w:hint="eastAsia" w:ascii="Microsoft Yi Baiti" w:hAnsi="Microsoft Yi Baiti" w:eastAsia="Microsoft Yi Baiti"/>
          <w:spacing w:val="3"/>
          <w:w w:val="105"/>
        </w:rPr>
        <w:t xml:space="preserve">» </w:t>
      </w:r>
      <w:r>
        <w:t>修</w:t>
      </w:r>
      <w:r>
        <w:rPr>
          <w:spacing w:val="3"/>
        </w:rPr>
        <w:t>正</w:t>
      </w:r>
      <w:r>
        <w:rPr>
          <w:rFonts w:hint="eastAsia" w:ascii="Microsoft Yi Baiti" w:hAnsi="Microsoft Yi Baiti" w:eastAsia="Microsoft Yi Baiti"/>
        </w:rPr>
        <w:t>)</w:t>
      </w:r>
    </w:p>
    <w:p>
      <w:pPr>
        <w:pStyle w:val="6"/>
        <w:spacing w:before="3"/>
        <w:ind w:left="0" w:firstLine="0"/>
        <w:jc w:val="left"/>
        <w:rPr>
          <w:rFonts w:ascii="Microsoft Yi Baiti"/>
          <w:sz w:val="13"/>
        </w:rPr>
      </w:pPr>
    </w:p>
    <w:p>
      <w:pPr>
        <w:spacing w:after="0"/>
        <w:jc w:val="left"/>
        <w:rPr>
          <w:rFonts w:ascii="Microsoft Yi Baiti"/>
          <w:sz w:val="13"/>
        </w:rPr>
        <w:sectPr>
          <w:type w:val="continuous"/>
          <w:pgSz w:w="10500" w:h="14750"/>
          <w:pgMar w:top="1400" w:right="980" w:bottom="280" w:left="980" w:header="720" w:footer="720" w:gutter="0"/>
        </w:sectPr>
      </w:pPr>
    </w:p>
    <w:p>
      <w:pPr>
        <w:pStyle w:val="6"/>
        <w:spacing w:before="174" w:line="290" w:lineRule="auto"/>
        <w:ind w:left="440"/>
        <w:rPr>
          <w:rFonts w:hint="eastAsia" w:ascii="MS UI Gothic" w:eastAsia="MS UI Gothic"/>
        </w:rPr>
      </w:pPr>
      <w:r>
        <w:t>第十四条 国家通过提高劳动者的积极性和技术水平</w:t>
      </w:r>
      <w:r>
        <w:rPr>
          <w:rFonts w:hint="eastAsia" w:ascii="MS UI Gothic" w:eastAsia="MS UI Gothic"/>
          <w:w w:val="80"/>
        </w:rPr>
        <w:t xml:space="preserve">ꎬ </w:t>
      </w:r>
      <w:r>
        <w:t>推广先进的科学技术</w:t>
      </w:r>
      <w:r>
        <w:rPr>
          <w:rFonts w:hint="eastAsia" w:ascii="MS UI Gothic" w:eastAsia="MS UI Gothic"/>
          <w:w w:val="80"/>
        </w:rPr>
        <w:t>ꎬ</w:t>
      </w:r>
      <w:r>
        <w:t>完善经济管理体制和企业经营管理制度</w:t>
      </w:r>
      <w:r>
        <w:rPr>
          <w:rFonts w:hint="eastAsia" w:ascii="MS UI Gothic" w:eastAsia="MS UI Gothic"/>
          <w:w w:val="80"/>
        </w:rPr>
        <w:t>ꎬ</w:t>
      </w:r>
      <w:r>
        <w:t>实行各种形式的社会主义责任制</w:t>
      </w:r>
      <w:r>
        <w:rPr>
          <w:rFonts w:hint="eastAsia" w:ascii="MS UI Gothic" w:eastAsia="MS UI Gothic"/>
          <w:w w:val="80"/>
        </w:rPr>
        <w:t xml:space="preserve">ꎬ </w:t>
      </w:r>
      <w:r>
        <w:t>改进劳动组织</w:t>
      </w:r>
      <w:r>
        <w:rPr>
          <w:rFonts w:hint="eastAsia" w:ascii="MS UI Gothic" w:eastAsia="MS UI Gothic"/>
          <w:w w:val="80"/>
        </w:rPr>
        <w:t xml:space="preserve">ꎬ </w:t>
      </w:r>
      <w:r>
        <w:t>以不断提高劳动生产率和经济效益</w:t>
      </w:r>
      <w:r>
        <w:rPr>
          <w:rFonts w:hint="eastAsia" w:ascii="MS UI Gothic" w:eastAsia="MS UI Gothic"/>
          <w:w w:val="80"/>
        </w:rPr>
        <w:t xml:space="preserve">ꎬ </w:t>
      </w:r>
      <w:r>
        <w:t>发展社会生产力</w:t>
      </w:r>
      <w:r>
        <w:rPr>
          <w:rFonts w:hint="eastAsia" w:ascii="MS UI Gothic" w:eastAsia="MS UI Gothic"/>
          <w:w w:val="80"/>
        </w:rPr>
        <w:t>ꎮ</w:t>
      </w:r>
    </w:p>
    <w:p>
      <w:pPr>
        <w:pStyle w:val="6"/>
        <w:spacing w:before="7"/>
        <w:ind w:left="860" w:firstLine="0"/>
        <w:rPr>
          <w:rFonts w:hint="eastAsia" w:ascii="MS UI Gothic" w:eastAsia="MS UI Gothic"/>
        </w:rPr>
      </w:pPr>
      <w:r>
        <w:t>国家厉行节约</w:t>
      </w:r>
      <w:r>
        <w:rPr>
          <w:rFonts w:hint="eastAsia" w:ascii="MS UI Gothic" w:eastAsia="MS UI Gothic"/>
          <w:w w:val="80"/>
        </w:rPr>
        <w:t xml:space="preserve">ꎬ </w:t>
      </w:r>
      <w:r>
        <w:t>反对浪费</w:t>
      </w:r>
      <w:r>
        <w:rPr>
          <w:rFonts w:hint="eastAsia" w:ascii="MS UI Gothic" w:eastAsia="MS UI Gothic"/>
          <w:w w:val="80"/>
        </w:rPr>
        <w:t>ꎮ</w:t>
      </w:r>
    </w:p>
    <w:p>
      <w:pPr>
        <w:pStyle w:val="6"/>
        <w:spacing w:before="56" w:line="290" w:lineRule="auto"/>
        <w:ind w:left="440" w:right="1"/>
        <w:rPr>
          <w:rFonts w:hint="eastAsia" w:ascii="MS UI Gothic" w:eastAsia="MS UI Gothic"/>
        </w:rPr>
      </w:pPr>
      <w:r>
        <w:t>国家合理安排积累和消费</w:t>
      </w:r>
      <w:r>
        <w:rPr>
          <w:rFonts w:hint="eastAsia" w:ascii="MS UI Gothic" w:eastAsia="MS UI Gothic"/>
          <w:w w:val="80"/>
        </w:rPr>
        <w:t xml:space="preserve">ꎬ </w:t>
      </w:r>
      <w:r>
        <w:t>兼顾国家</w:t>
      </w:r>
      <w:r>
        <w:rPr>
          <w:rFonts w:hint="eastAsia" w:ascii="MS UI Gothic" w:eastAsia="MS UI Gothic"/>
          <w:w w:val="80"/>
        </w:rPr>
        <w:t xml:space="preserve">、 </w:t>
      </w:r>
      <w:r>
        <w:t>集体和个人的利益</w:t>
      </w:r>
      <w:r>
        <w:rPr>
          <w:rFonts w:hint="eastAsia" w:ascii="MS UI Gothic" w:eastAsia="MS UI Gothic"/>
          <w:w w:val="80"/>
        </w:rPr>
        <w:t xml:space="preserve">ꎬ </w:t>
      </w:r>
      <w:r>
        <w:t>在发展生产的基础上</w:t>
      </w:r>
      <w:r>
        <w:rPr>
          <w:rFonts w:hint="eastAsia" w:ascii="MS UI Gothic" w:eastAsia="MS UI Gothic"/>
          <w:w w:val="80"/>
        </w:rPr>
        <w:t xml:space="preserve">ꎬ </w:t>
      </w:r>
      <w:r>
        <w:t>逐步改善人民的物质生活和文化生活</w:t>
      </w:r>
      <w:r>
        <w:rPr>
          <w:rFonts w:hint="eastAsia" w:ascii="MS UI Gothic" w:eastAsia="MS UI Gothic"/>
          <w:w w:val="80"/>
        </w:rPr>
        <w:t>ꎮ</w:t>
      </w:r>
    </w:p>
    <w:p>
      <w:pPr>
        <w:pStyle w:val="6"/>
        <w:spacing w:before="4" w:line="290" w:lineRule="auto"/>
        <w:ind w:left="440" w:right="1"/>
        <w:jc w:val="left"/>
        <w:rPr>
          <w:rFonts w:hint="eastAsia" w:ascii="MS UI Gothic" w:eastAsia="MS UI Gothic"/>
        </w:rPr>
      </w:pPr>
      <w:r>
        <w:t>国家建立健全同经济发展水平相适应</w:t>
      </w:r>
      <w:r>
        <w:rPr>
          <w:w w:val="105"/>
        </w:rPr>
        <w:t>的社会保障制度</w:t>
      </w:r>
      <w:r>
        <w:rPr>
          <w:rFonts w:hint="eastAsia" w:ascii="MS UI Gothic" w:eastAsia="MS UI Gothic"/>
          <w:w w:val="80"/>
        </w:rPr>
        <w:t>ꎮ</w:t>
      </w:r>
    </w:p>
    <w:p>
      <w:pPr>
        <w:pStyle w:val="6"/>
        <w:tabs>
          <w:tab w:val="left" w:pos="2117"/>
        </w:tabs>
        <w:spacing w:before="1" w:line="292" w:lineRule="auto"/>
        <w:ind w:left="440" w:right="1"/>
        <w:jc w:val="left"/>
        <w:rPr>
          <w:rFonts w:hint="eastAsia" w:ascii="MS UI Gothic" w:eastAsia="MS UI Gothic"/>
        </w:rPr>
      </w:pPr>
      <w:r>
        <w:rPr>
          <w:spacing w:val="3"/>
          <w:w w:val="105"/>
        </w:rPr>
        <w:t>第三十三</w:t>
      </w:r>
      <w:r>
        <w:rPr>
          <w:w w:val="105"/>
        </w:rPr>
        <w:t>条</w:t>
      </w:r>
      <w:r>
        <w:rPr>
          <w:w w:val="105"/>
        </w:rPr>
        <w:tab/>
      </w:r>
      <w:r>
        <w:rPr>
          <w:spacing w:val="3"/>
        </w:rPr>
        <w:t>凡具有中华人民共和</w:t>
      </w:r>
      <w:r>
        <w:rPr>
          <w:spacing w:val="-11"/>
        </w:rPr>
        <w:t>国</w:t>
      </w:r>
      <w:r>
        <w:rPr>
          <w:spacing w:val="3"/>
          <w:w w:val="105"/>
        </w:rPr>
        <w:t>国籍的人都是中华人民共和国公民</w:t>
      </w:r>
      <w:r>
        <w:rPr>
          <w:rFonts w:hint="eastAsia" w:ascii="MS UI Gothic" w:eastAsia="MS UI Gothic"/>
          <w:w w:val="80"/>
        </w:rPr>
        <w:t>ꎮ</w:t>
      </w:r>
    </w:p>
    <w:p>
      <w:pPr>
        <w:pStyle w:val="6"/>
        <w:spacing w:line="290" w:lineRule="auto"/>
        <w:ind w:left="440" w:right="1"/>
        <w:jc w:val="left"/>
        <w:rPr>
          <w:rFonts w:hint="eastAsia" w:ascii="MS UI Gothic" w:eastAsia="MS UI Gothic"/>
        </w:rPr>
      </w:pPr>
      <w:r>
        <w:t>中华人民共和国公民在法律面前一律平等</w:t>
      </w:r>
      <w:r>
        <w:rPr>
          <w:rFonts w:hint="eastAsia" w:ascii="MS UI Gothic" w:eastAsia="MS UI Gothic"/>
          <w:w w:val="80"/>
        </w:rPr>
        <w:t>ꎮ</w:t>
      </w:r>
    </w:p>
    <w:p>
      <w:pPr>
        <w:pStyle w:val="6"/>
        <w:ind w:left="860" w:firstLine="0"/>
        <w:jc w:val="left"/>
        <w:rPr>
          <w:rFonts w:hint="eastAsia" w:ascii="MS UI Gothic" w:eastAsia="MS UI Gothic"/>
        </w:rPr>
      </w:pPr>
      <w:r>
        <w:t>国家尊重和保障人权</w:t>
      </w:r>
      <w:r>
        <w:rPr>
          <w:rFonts w:hint="eastAsia" w:ascii="MS UI Gothic" w:eastAsia="MS UI Gothic"/>
          <w:w w:val="80"/>
        </w:rPr>
        <w:t>ꎮ</w:t>
      </w:r>
    </w:p>
    <w:p>
      <w:pPr>
        <w:pStyle w:val="6"/>
        <w:spacing w:before="55" w:line="292" w:lineRule="auto"/>
        <w:ind w:left="440" w:right="1"/>
        <w:rPr>
          <w:rFonts w:hint="eastAsia" w:ascii="MS UI Gothic" w:eastAsia="MS UI Gothic"/>
        </w:rPr>
      </w:pPr>
      <w:r>
        <w:t>任何公民享有宪法和法律规定的权利</w:t>
      </w:r>
      <w:r>
        <w:rPr>
          <w:rFonts w:hint="eastAsia" w:ascii="MS UI Gothic" w:eastAsia="MS UI Gothic"/>
          <w:w w:val="80"/>
        </w:rPr>
        <w:t xml:space="preserve">ꎬ </w:t>
      </w:r>
      <w:r>
        <w:t>同时必须履行宪法和法律规定的义务</w:t>
      </w:r>
      <w:r>
        <w:rPr>
          <w:rFonts w:hint="eastAsia" w:ascii="MS UI Gothic" w:eastAsia="MS UI Gothic"/>
          <w:w w:val="80"/>
        </w:rPr>
        <w:t>ꎮ</w:t>
      </w:r>
    </w:p>
    <w:p>
      <w:pPr>
        <w:pStyle w:val="6"/>
        <w:tabs>
          <w:tab w:val="left" w:pos="2117"/>
        </w:tabs>
        <w:spacing w:line="252" w:lineRule="exact"/>
        <w:ind w:left="860" w:firstLine="0"/>
        <w:jc w:val="left"/>
      </w:pPr>
      <w:r>
        <w:rPr>
          <w:spacing w:val="3"/>
          <w:w w:val="105"/>
        </w:rPr>
        <w:t>第三十四</w:t>
      </w:r>
      <w:r>
        <w:rPr>
          <w:w w:val="105"/>
        </w:rPr>
        <w:t>条</w:t>
      </w:r>
      <w:r>
        <w:rPr>
          <w:w w:val="105"/>
        </w:rPr>
        <w:tab/>
      </w:r>
      <w:r>
        <w:rPr>
          <w:spacing w:val="3"/>
        </w:rPr>
        <w:t>中华人民共和国年满</w:t>
      </w:r>
      <w:r>
        <w:t>十</w:t>
      </w:r>
    </w:p>
    <w:p>
      <w:pPr>
        <w:pStyle w:val="6"/>
        <w:spacing w:before="174" w:line="292" w:lineRule="auto"/>
        <w:ind w:left="381" w:right="124" w:firstLine="0"/>
        <w:rPr>
          <w:rFonts w:hint="eastAsia" w:ascii="MS UI Gothic" w:eastAsia="MS UI Gothic"/>
        </w:rPr>
      </w:pPr>
      <w:r>
        <w:br w:type="column"/>
      </w:r>
      <w:r>
        <w:rPr>
          <w:spacing w:val="8"/>
        </w:rPr>
        <w:t>八周岁的公民</w:t>
      </w:r>
      <w:r>
        <w:rPr>
          <w:rFonts w:hint="eastAsia" w:ascii="MS UI Gothic" w:eastAsia="MS UI Gothic"/>
          <w:spacing w:val="21"/>
          <w:w w:val="80"/>
        </w:rPr>
        <w:t xml:space="preserve">ꎬ </w:t>
      </w:r>
      <w:r>
        <w:rPr>
          <w:spacing w:val="10"/>
        </w:rPr>
        <w:t>不分民族</w:t>
      </w:r>
      <w:r>
        <w:rPr>
          <w:rFonts w:hint="eastAsia" w:ascii="MS UI Gothic" w:eastAsia="MS UI Gothic"/>
          <w:spacing w:val="15"/>
        </w:rPr>
        <w:t xml:space="preserve">、 </w:t>
      </w:r>
      <w:r>
        <w:rPr>
          <w:spacing w:val="8"/>
        </w:rPr>
        <w:t>种族</w:t>
      </w:r>
      <w:r>
        <w:rPr>
          <w:rFonts w:hint="eastAsia" w:ascii="MS UI Gothic" w:eastAsia="MS UI Gothic"/>
          <w:spacing w:val="16"/>
        </w:rPr>
        <w:t xml:space="preserve">、 </w:t>
      </w:r>
      <w:r>
        <w:rPr>
          <w:spacing w:val="9"/>
        </w:rPr>
        <w:t>性别</w:t>
      </w:r>
      <w:r>
        <w:rPr>
          <w:rFonts w:hint="eastAsia" w:ascii="MS UI Gothic" w:eastAsia="MS UI Gothic"/>
        </w:rPr>
        <w:t>、</w:t>
      </w:r>
      <w:r>
        <w:rPr>
          <w:spacing w:val="3"/>
        </w:rPr>
        <w:t>职业</w:t>
      </w:r>
      <w:r>
        <w:rPr>
          <w:rFonts w:hint="eastAsia" w:ascii="MS UI Gothic" w:eastAsia="MS UI Gothic"/>
          <w:spacing w:val="17"/>
        </w:rPr>
        <w:t xml:space="preserve">、 </w:t>
      </w:r>
      <w:r>
        <w:rPr>
          <w:spacing w:val="10"/>
        </w:rPr>
        <w:t>家庭出身</w:t>
      </w:r>
      <w:r>
        <w:rPr>
          <w:rFonts w:hint="eastAsia" w:ascii="MS UI Gothic" w:eastAsia="MS UI Gothic"/>
          <w:spacing w:val="19"/>
        </w:rPr>
        <w:t xml:space="preserve">、 </w:t>
      </w:r>
      <w:r>
        <w:rPr>
          <w:spacing w:val="10"/>
        </w:rPr>
        <w:t>宗教信仰</w:t>
      </w:r>
      <w:r>
        <w:rPr>
          <w:rFonts w:hint="eastAsia" w:ascii="MS UI Gothic" w:eastAsia="MS UI Gothic"/>
          <w:spacing w:val="19"/>
        </w:rPr>
        <w:t xml:space="preserve">、 </w:t>
      </w:r>
      <w:r>
        <w:rPr>
          <w:spacing w:val="11"/>
        </w:rPr>
        <w:t>教育程度</w:t>
      </w:r>
      <w:r>
        <w:rPr>
          <w:rFonts w:hint="eastAsia" w:ascii="MS UI Gothic" w:eastAsia="MS UI Gothic"/>
        </w:rPr>
        <w:t>、</w:t>
      </w:r>
      <w:r>
        <w:rPr>
          <w:spacing w:val="3"/>
        </w:rPr>
        <w:t>财产状况</w:t>
      </w:r>
      <w:r>
        <w:rPr>
          <w:rFonts w:hint="eastAsia" w:ascii="MS UI Gothic" w:eastAsia="MS UI Gothic"/>
          <w:spacing w:val="23"/>
        </w:rPr>
        <w:t xml:space="preserve">、 </w:t>
      </w:r>
      <w:r>
        <w:rPr>
          <w:spacing w:val="3"/>
        </w:rPr>
        <w:t>居住期限</w:t>
      </w:r>
      <w:r>
        <w:rPr>
          <w:rFonts w:hint="eastAsia" w:ascii="MS UI Gothic" w:eastAsia="MS UI Gothic"/>
          <w:spacing w:val="5"/>
          <w:w w:val="80"/>
        </w:rPr>
        <w:t xml:space="preserve">ꎬ </w:t>
      </w:r>
      <w:r>
        <w:rPr>
          <w:spacing w:val="2"/>
        </w:rPr>
        <w:t>都有选举权和被选</w:t>
      </w:r>
      <w:r>
        <w:rPr>
          <w:spacing w:val="3"/>
        </w:rPr>
        <w:t>举权</w:t>
      </w:r>
      <w:r>
        <w:rPr>
          <w:rFonts w:hint="eastAsia" w:ascii="MS UI Gothic" w:eastAsia="MS UI Gothic"/>
          <w:spacing w:val="19"/>
          <w:w w:val="80"/>
        </w:rPr>
        <w:t xml:space="preserve">ꎻ </w:t>
      </w:r>
      <w:r>
        <w:rPr>
          <w:spacing w:val="2"/>
        </w:rPr>
        <w:t>但是依照法律被剥夺政治权利的人</w:t>
      </w:r>
      <w:r>
        <w:rPr>
          <w:spacing w:val="3"/>
        </w:rPr>
        <w:t>除外</w:t>
      </w:r>
      <w:r>
        <w:rPr>
          <w:rFonts w:hint="eastAsia" w:ascii="MS UI Gothic" w:eastAsia="MS UI Gothic"/>
          <w:w w:val="80"/>
        </w:rPr>
        <w:t>ꎮ</w:t>
      </w:r>
    </w:p>
    <w:p>
      <w:pPr>
        <w:pStyle w:val="6"/>
        <w:spacing w:line="290" w:lineRule="auto"/>
        <w:ind w:left="381" w:right="126"/>
        <w:rPr>
          <w:rFonts w:hint="eastAsia" w:ascii="MS UI Gothic" w:eastAsia="MS UI Gothic"/>
        </w:rPr>
      </w:pPr>
      <w:r>
        <w:rPr>
          <w:spacing w:val="4"/>
        </w:rPr>
        <w:t>第四十一条 中华人民共和国公民对</w:t>
      </w:r>
      <w:r>
        <w:rPr>
          <w:spacing w:val="3"/>
        </w:rPr>
        <w:t>于任何国家机关和国家工作人员</w:t>
      </w:r>
      <w:r>
        <w:rPr>
          <w:rFonts w:hint="eastAsia" w:ascii="MS UI Gothic" w:eastAsia="MS UI Gothic"/>
          <w:spacing w:val="20"/>
          <w:w w:val="80"/>
        </w:rPr>
        <w:t xml:space="preserve">ꎬ </w:t>
      </w:r>
      <w:r>
        <w:rPr>
          <w:spacing w:val="1"/>
        </w:rPr>
        <w:t>有提出</w:t>
      </w:r>
      <w:r>
        <w:rPr>
          <w:spacing w:val="3"/>
        </w:rPr>
        <w:t>批评和建议的权利</w:t>
      </w:r>
      <w:r>
        <w:rPr>
          <w:rFonts w:hint="eastAsia" w:ascii="MS UI Gothic" w:eastAsia="MS UI Gothic"/>
          <w:spacing w:val="20"/>
          <w:w w:val="80"/>
        </w:rPr>
        <w:t xml:space="preserve">ꎻ </w:t>
      </w:r>
      <w:r>
        <w:rPr>
          <w:spacing w:val="2"/>
        </w:rPr>
        <w:t>对于任何国家机关和</w:t>
      </w:r>
      <w:r>
        <w:rPr>
          <w:spacing w:val="3"/>
        </w:rPr>
        <w:t>国家工作人员的违法失职行为</w:t>
      </w:r>
      <w:r>
        <w:rPr>
          <w:rFonts w:hint="eastAsia" w:ascii="MS UI Gothic" w:eastAsia="MS UI Gothic"/>
          <w:spacing w:val="20"/>
          <w:w w:val="80"/>
        </w:rPr>
        <w:t xml:space="preserve">ꎬ </w:t>
      </w:r>
      <w:r>
        <w:rPr>
          <w:spacing w:val="2"/>
        </w:rPr>
        <w:t>有向有关</w:t>
      </w:r>
      <w:r>
        <w:rPr>
          <w:spacing w:val="12"/>
        </w:rPr>
        <w:t>国家机关提出申诉</w:t>
      </w:r>
      <w:r>
        <w:rPr>
          <w:rFonts w:hint="eastAsia" w:ascii="MS UI Gothic" w:eastAsia="MS UI Gothic"/>
          <w:spacing w:val="22"/>
          <w:w w:val="80"/>
        </w:rPr>
        <w:t xml:space="preserve">、 </w:t>
      </w:r>
      <w:r>
        <w:rPr>
          <w:spacing w:val="16"/>
        </w:rPr>
        <w:t>控告或者检举的权</w:t>
      </w:r>
      <w:r>
        <w:rPr>
          <w:spacing w:val="3"/>
        </w:rPr>
        <w:t>利</w:t>
      </w:r>
      <w:r>
        <w:rPr>
          <w:rFonts w:hint="eastAsia" w:ascii="MS UI Gothic" w:eastAsia="MS UI Gothic"/>
          <w:spacing w:val="20"/>
          <w:w w:val="80"/>
        </w:rPr>
        <w:t xml:space="preserve">ꎬ </w:t>
      </w:r>
      <w:r>
        <w:rPr>
          <w:spacing w:val="2"/>
        </w:rPr>
        <w:t>但是不得捏造或者歪曲事实进行诬告</w:t>
      </w:r>
      <w:r>
        <w:rPr>
          <w:spacing w:val="3"/>
        </w:rPr>
        <w:t>陷害</w:t>
      </w:r>
      <w:r>
        <w:rPr>
          <w:rFonts w:hint="eastAsia" w:ascii="MS UI Gothic" w:eastAsia="MS UI Gothic"/>
          <w:w w:val="80"/>
        </w:rPr>
        <w:t>ꎮ</w:t>
      </w:r>
    </w:p>
    <w:p>
      <w:pPr>
        <w:pStyle w:val="6"/>
        <w:spacing w:before="1" w:line="292" w:lineRule="auto"/>
        <w:ind w:left="381" w:right="126"/>
        <w:rPr>
          <w:rFonts w:hint="eastAsia" w:ascii="MS UI Gothic" w:eastAsia="MS UI Gothic"/>
        </w:rPr>
      </w:pPr>
      <w:r>
        <w:t>对于公民的申诉</w:t>
      </w:r>
      <w:r>
        <w:rPr>
          <w:rFonts w:hint="eastAsia" w:ascii="MS UI Gothic" w:eastAsia="MS UI Gothic"/>
        </w:rPr>
        <w:t xml:space="preserve">、 </w:t>
      </w:r>
      <w:r>
        <w:t>控告或者检举</w:t>
      </w:r>
      <w:r>
        <w:rPr>
          <w:rFonts w:hint="eastAsia" w:ascii="MS UI Gothic" w:eastAsia="MS UI Gothic"/>
          <w:w w:val="80"/>
        </w:rPr>
        <w:t xml:space="preserve">ꎬ </w:t>
      </w:r>
      <w:r>
        <w:t>有关国家机关必须查清事实</w:t>
      </w:r>
      <w:r>
        <w:rPr>
          <w:rFonts w:hint="eastAsia" w:ascii="MS UI Gothic" w:eastAsia="MS UI Gothic"/>
          <w:w w:val="80"/>
        </w:rPr>
        <w:t xml:space="preserve">ꎬ </w:t>
      </w:r>
      <w:r>
        <w:t>负责处理</w:t>
      </w:r>
      <w:r>
        <w:rPr>
          <w:rFonts w:hint="eastAsia" w:ascii="MS UI Gothic" w:eastAsia="MS UI Gothic"/>
          <w:w w:val="80"/>
        </w:rPr>
        <w:t xml:space="preserve">ꎮ </w:t>
      </w:r>
      <w:r>
        <w:t>任何人不得压制和打击报复</w:t>
      </w:r>
      <w:r>
        <w:rPr>
          <w:rFonts w:hint="eastAsia" w:ascii="MS UI Gothic" w:eastAsia="MS UI Gothic"/>
          <w:w w:val="80"/>
        </w:rPr>
        <w:t>ꎮ</w:t>
      </w:r>
    </w:p>
    <w:p>
      <w:pPr>
        <w:pStyle w:val="6"/>
        <w:spacing w:line="292" w:lineRule="auto"/>
        <w:ind w:left="381" w:right="126"/>
        <w:rPr>
          <w:rFonts w:hint="eastAsia" w:ascii="MS UI Gothic" w:eastAsia="MS UI Gothic"/>
        </w:rPr>
      </w:pPr>
      <w:r>
        <w:t>由于国家机关和国家工作人员侵犯公民权利而受到损失的人</w:t>
      </w:r>
      <w:r>
        <w:rPr>
          <w:rFonts w:hint="eastAsia" w:ascii="MS UI Gothic" w:eastAsia="MS UI Gothic"/>
          <w:w w:val="80"/>
        </w:rPr>
        <w:t xml:space="preserve">ꎬ </w:t>
      </w:r>
      <w:r>
        <w:t>有依照法律规定</w:t>
      </w:r>
      <w:r>
        <w:rPr>
          <w:w w:val="105"/>
        </w:rPr>
        <w:t>取得赔偿的权利</w:t>
      </w:r>
      <w:r>
        <w:rPr>
          <w:rFonts w:hint="eastAsia" w:ascii="MS UI Gothic" w:eastAsia="MS UI Gothic"/>
          <w:w w:val="80"/>
        </w:rPr>
        <w:t>ꎮ</w:t>
      </w:r>
    </w:p>
    <w:p>
      <w:pPr>
        <w:pStyle w:val="6"/>
        <w:spacing w:line="290" w:lineRule="auto"/>
        <w:ind w:left="381" w:right="126"/>
        <w:rPr>
          <w:rFonts w:hint="eastAsia" w:ascii="MS UI Gothic" w:eastAsia="MS UI Gothic"/>
        </w:rPr>
      </w:pPr>
      <w:r>
        <w:rPr>
          <w:w w:val="105"/>
        </w:rPr>
        <w:t>第四十二条 中华人民共和国公民有劳动的权利和义务</w:t>
      </w:r>
      <w:r>
        <w:rPr>
          <w:rFonts w:hint="eastAsia" w:ascii="MS UI Gothic" w:eastAsia="MS UI Gothic"/>
          <w:w w:val="80"/>
        </w:rPr>
        <w:t>ꎮ</w:t>
      </w:r>
    </w:p>
    <w:p>
      <w:pPr>
        <w:pStyle w:val="6"/>
        <w:spacing w:line="290" w:lineRule="auto"/>
        <w:ind w:left="381" w:right="126"/>
      </w:pPr>
      <w:r>
        <w:t>国家通过各种途径</w:t>
      </w:r>
      <w:r>
        <w:rPr>
          <w:rFonts w:hint="eastAsia" w:ascii="MS UI Gothic" w:eastAsia="MS UI Gothic"/>
          <w:w w:val="80"/>
        </w:rPr>
        <w:t xml:space="preserve">ꎬ </w:t>
      </w:r>
      <w:r>
        <w:t>创造劳动就业条件</w:t>
      </w:r>
      <w:r>
        <w:rPr>
          <w:rFonts w:hint="eastAsia" w:ascii="MS UI Gothic" w:eastAsia="MS UI Gothic"/>
          <w:w w:val="80"/>
        </w:rPr>
        <w:t xml:space="preserve">ꎬ </w:t>
      </w:r>
      <w:r>
        <w:t>加强劳动保护</w:t>
      </w:r>
      <w:r>
        <w:rPr>
          <w:rFonts w:hint="eastAsia" w:ascii="MS UI Gothic" w:eastAsia="MS UI Gothic"/>
          <w:w w:val="80"/>
        </w:rPr>
        <w:t xml:space="preserve">ꎬ </w:t>
      </w:r>
      <w:r>
        <w:t>改善劳动条件</w:t>
      </w:r>
      <w:r>
        <w:rPr>
          <w:rFonts w:hint="eastAsia" w:ascii="MS UI Gothic" w:eastAsia="MS UI Gothic"/>
          <w:w w:val="80"/>
        </w:rPr>
        <w:t xml:space="preserve">ꎬ </w:t>
      </w:r>
      <w:r>
        <w:t>并在</w:t>
      </w:r>
    </w:p>
    <w:p>
      <w:pPr>
        <w:spacing w:after="0" w:line="290" w:lineRule="auto"/>
        <w:sectPr>
          <w:type w:val="continuous"/>
          <w:pgSz w:w="10500" w:h="14750"/>
          <w:pgMar w:top="1400" w:right="980" w:bottom="280" w:left="980" w:header="720" w:footer="720" w:gutter="0"/>
          <w:cols w:equalWidth="0" w:num="2">
            <w:col w:w="4212" w:space="40"/>
            <w:col w:w="4288"/>
          </w:cols>
        </w:sectPr>
      </w:pPr>
    </w:p>
    <w:p>
      <w:pPr>
        <w:pStyle w:val="6"/>
        <w:spacing w:before="159"/>
        <w:ind w:left="384" w:firstLine="0"/>
        <w:jc w:val="left"/>
        <w:rPr>
          <w:rFonts w:hint="eastAsia" w:ascii="MS UI Gothic" w:eastAsia="MS UI Gothic"/>
        </w:rPr>
      </w:pPr>
      <w:r>
        <w:rPr>
          <w:rFonts w:hint="eastAsia" w:ascii="MS UI Gothic" w:eastAsia="MS UI Gothic"/>
          <w:spacing w:val="1"/>
          <w:w w:val="75"/>
        </w:rPr>
        <w:t>２</w:t>
      </w:r>
    </w:p>
    <w:p>
      <w:pPr>
        <w:spacing w:before="192"/>
        <w:ind w:left="38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45" w:space="1096"/>
            <w:col w:w="6499"/>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58" o:spid="_x0000_s1058" o:spt="203" style="height:2.15pt;width:398.25pt;" coordsize="7965,43">
            <o:lock v:ext="edit"/>
            <v:line id="_x0000_s1059" o:spid="_x0000_s1059" o:spt="20" style="position:absolute;left:0;top:39;height:0;width:7965;" stroked="t" coordsize="21600,21600">
              <v:path arrowok="t"/>
              <v:fill focussize="0,0"/>
              <v:stroke weight="0.388031496062992pt" color="#231F20"/>
              <v:imagedata o:title=""/>
              <o:lock v:ext="edit"/>
            </v:line>
            <v:line id="_x0000_s1060" o:spid="_x0000_s106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发展生产的基础上</w:t>
      </w:r>
      <w:r>
        <w:rPr>
          <w:rFonts w:hint="eastAsia" w:ascii="MS UI Gothic" w:eastAsia="MS UI Gothic"/>
          <w:w w:val="80"/>
        </w:rPr>
        <w:t xml:space="preserve">ꎬ </w:t>
      </w:r>
      <w:r>
        <w:t>提高劳动报酬和福利待遇</w:t>
      </w:r>
      <w:r>
        <w:rPr>
          <w:rFonts w:hint="eastAsia" w:ascii="MS UI Gothic" w:eastAsia="MS UI Gothic"/>
          <w:w w:val="80"/>
        </w:rPr>
        <w:t>ꎮ</w:t>
      </w:r>
    </w:p>
    <w:p>
      <w:pPr>
        <w:pStyle w:val="6"/>
        <w:spacing w:line="295" w:lineRule="auto"/>
        <w:ind w:right="39"/>
        <w:rPr>
          <w:rFonts w:hint="eastAsia" w:ascii="MS UI Gothic" w:eastAsia="MS UI Gothic"/>
        </w:rPr>
      </w:pPr>
      <w:r>
        <w:t>劳动是一切有劳动能力的公民的光荣职责</w:t>
      </w:r>
      <w:r>
        <w:rPr>
          <w:rFonts w:hint="eastAsia" w:ascii="MS UI Gothic" w:eastAsia="MS UI Gothic"/>
          <w:w w:val="80"/>
        </w:rPr>
        <w:t xml:space="preserve">ꎮ </w:t>
      </w:r>
      <w:r>
        <w:t>国有企业和城乡集体经济组织的劳动者都应当以国家主人翁的态度对待自己的劳动</w:t>
      </w:r>
      <w:r>
        <w:rPr>
          <w:rFonts w:hint="eastAsia" w:ascii="MS UI Gothic" w:eastAsia="MS UI Gothic"/>
          <w:w w:val="80"/>
        </w:rPr>
        <w:t xml:space="preserve">ꎮ </w:t>
      </w:r>
      <w:r>
        <w:t>国家提倡社会主义劳动竞赛</w:t>
      </w:r>
      <w:r>
        <w:rPr>
          <w:rFonts w:hint="eastAsia" w:ascii="MS UI Gothic" w:eastAsia="MS UI Gothic"/>
          <w:w w:val="80"/>
        </w:rPr>
        <w:t xml:space="preserve">ꎬ </w:t>
      </w:r>
      <w:r>
        <w:t>奖励劳动模范和先进工作者</w:t>
      </w:r>
      <w:r>
        <w:rPr>
          <w:rFonts w:hint="eastAsia" w:ascii="MS UI Gothic" w:eastAsia="MS UI Gothic"/>
          <w:w w:val="80"/>
        </w:rPr>
        <w:t xml:space="preserve">ꎮ </w:t>
      </w:r>
      <w:r>
        <w:t>国家提倡公民从事义务劳动</w:t>
      </w:r>
      <w:r>
        <w:rPr>
          <w:rFonts w:hint="eastAsia" w:ascii="MS UI Gothic" w:eastAsia="MS UI Gothic"/>
          <w:w w:val="80"/>
        </w:rPr>
        <w:t>ꎮ</w:t>
      </w:r>
    </w:p>
    <w:p>
      <w:pPr>
        <w:pStyle w:val="6"/>
        <w:spacing w:line="295" w:lineRule="auto"/>
        <w:ind w:right="39"/>
        <w:jc w:val="left"/>
        <w:rPr>
          <w:rFonts w:hint="eastAsia" w:ascii="MS UI Gothic" w:eastAsia="MS UI Gothic"/>
        </w:rPr>
      </w:pPr>
      <w:r>
        <w:t>国家对就业前的公民进行必要的劳动</w:t>
      </w:r>
      <w:r>
        <w:rPr>
          <w:w w:val="105"/>
        </w:rPr>
        <w:t>就业训练</w:t>
      </w:r>
      <w:r>
        <w:rPr>
          <w:rFonts w:hint="eastAsia" w:ascii="MS UI Gothic" w:eastAsia="MS UI Gothic"/>
          <w:w w:val="80"/>
        </w:rPr>
        <w:t>ꎮ</w:t>
      </w:r>
    </w:p>
    <w:p>
      <w:pPr>
        <w:pStyle w:val="6"/>
        <w:tabs>
          <w:tab w:val="left" w:pos="1801"/>
        </w:tabs>
        <w:spacing w:line="295" w:lineRule="auto"/>
        <w:ind w:right="39"/>
        <w:jc w:val="left"/>
        <w:rPr>
          <w:rFonts w:hint="eastAsia" w:ascii="MS UI Gothic" w:eastAsia="MS UI Gothic"/>
        </w:rPr>
      </w:pPr>
      <w:r>
        <w:rPr>
          <w:spacing w:val="3"/>
          <w:w w:val="105"/>
        </w:rPr>
        <w:t>第四十三</w:t>
      </w:r>
      <w:r>
        <w:rPr>
          <w:w w:val="105"/>
        </w:rPr>
        <w:t>条</w:t>
      </w:r>
      <w:r>
        <w:rPr>
          <w:w w:val="105"/>
        </w:rPr>
        <w:tab/>
      </w:r>
      <w:r>
        <w:rPr>
          <w:spacing w:val="3"/>
        </w:rPr>
        <w:t>中华人民共和国劳动</w:t>
      </w:r>
      <w:r>
        <w:t>者</w:t>
      </w:r>
      <w:r>
        <w:rPr>
          <w:spacing w:val="3"/>
          <w:w w:val="105"/>
        </w:rPr>
        <w:t>有休息的权利</w:t>
      </w:r>
      <w:r>
        <w:rPr>
          <w:rFonts w:hint="eastAsia" w:ascii="MS UI Gothic" w:eastAsia="MS UI Gothic"/>
          <w:w w:val="80"/>
        </w:rPr>
        <w:t>ꎮ</w:t>
      </w:r>
    </w:p>
    <w:p>
      <w:pPr>
        <w:pStyle w:val="6"/>
        <w:spacing w:line="295" w:lineRule="auto"/>
        <w:ind w:right="38"/>
        <w:jc w:val="left"/>
        <w:rPr>
          <w:rFonts w:hint="eastAsia" w:ascii="MS UI Gothic" w:eastAsia="MS UI Gothic"/>
        </w:rPr>
      </w:pPr>
      <w:r>
        <w:t>国家发展劳动者休息和休养的设施</w:t>
      </w:r>
      <w:r>
        <w:rPr>
          <w:rFonts w:hint="eastAsia" w:ascii="MS UI Gothic" w:eastAsia="MS UI Gothic"/>
          <w:w w:val="80"/>
        </w:rPr>
        <w:t>ꎬ</w:t>
      </w:r>
      <w:r>
        <w:t>规定职工的工作时间和休假制度</w:t>
      </w:r>
      <w:r>
        <w:rPr>
          <w:rFonts w:hint="eastAsia" w:ascii="MS UI Gothic" w:eastAsia="MS UI Gothic"/>
          <w:w w:val="80"/>
        </w:rPr>
        <w:t>ꎮ</w:t>
      </w:r>
    </w:p>
    <w:p>
      <w:pPr>
        <w:pStyle w:val="6"/>
        <w:spacing w:line="295" w:lineRule="auto"/>
        <w:ind w:right="38"/>
        <w:rPr>
          <w:rFonts w:hint="eastAsia" w:ascii="MS UI Gothic" w:eastAsia="MS UI Gothic"/>
        </w:rPr>
      </w:pPr>
      <w:r>
        <w:t>第八十条 中华人民共和国主席根据全国人民代表大会的决定和全国人民代表大会常务委员会的决定</w:t>
      </w:r>
      <w:r>
        <w:rPr>
          <w:rFonts w:hint="eastAsia" w:ascii="MS UI Gothic" w:eastAsia="MS UI Gothic"/>
          <w:w w:val="80"/>
        </w:rPr>
        <w:t xml:space="preserve">ꎬ </w:t>
      </w:r>
      <w:r>
        <w:t>公布法律</w:t>
      </w:r>
      <w:r>
        <w:rPr>
          <w:rFonts w:hint="eastAsia" w:ascii="MS UI Gothic" w:eastAsia="MS UI Gothic"/>
          <w:w w:val="80"/>
        </w:rPr>
        <w:t xml:space="preserve">ꎬ </w:t>
      </w:r>
      <w:r>
        <w:t>任免国务院总理</w:t>
      </w:r>
      <w:r>
        <w:rPr>
          <w:rFonts w:hint="eastAsia" w:ascii="MS UI Gothic" w:eastAsia="MS UI Gothic"/>
          <w:w w:val="80"/>
        </w:rPr>
        <w:t xml:space="preserve">、 </w:t>
      </w:r>
      <w:r>
        <w:t>副总理</w:t>
      </w:r>
      <w:r>
        <w:rPr>
          <w:rFonts w:hint="eastAsia" w:ascii="MS UI Gothic" w:eastAsia="MS UI Gothic"/>
          <w:w w:val="80"/>
        </w:rPr>
        <w:t xml:space="preserve">、 </w:t>
      </w:r>
      <w:r>
        <w:t>国务委员</w:t>
      </w:r>
      <w:r>
        <w:rPr>
          <w:rFonts w:hint="eastAsia" w:ascii="MS UI Gothic" w:eastAsia="MS UI Gothic"/>
          <w:w w:val="80"/>
        </w:rPr>
        <w:t xml:space="preserve">、 </w:t>
      </w:r>
      <w:r>
        <w:t>各部部长</w:t>
      </w:r>
      <w:r>
        <w:rPr>
          <w:rFonts w:hint="eastAsia" w:ascii="MS UI Gothic" w:eastAsia="MS UI Gothic"/>
          <w:w w:val="80"/>
        </w:rPr>
        <w:t xml:space="preserve">、 </w:t>
      </w:r>
      <w:r>
        <w:t>各委员会主任</w:t>
      </w:r>
      <w:r>
        <w:rPr>
          <w:rFonts w:hint="eastAsia" w:ascii="MS UI Gothic" w:eastAsia="MS UI Gothic"/>
          <w:w w:val="80"/>
        </w:rPr>
        <w:t xml:space="preserve">、 </w:t>
      </w:r>
      <w:r>
        <w:t>审计长</w:t>
      </w:r>
      <w:r>
        <w:rPr>
          <w:rFonts w:hint="eastAsia" w:ascii="MS UI Gothic" w:eastAsia="MS UI Gothic"/>
          <w:w w:val="80"/>
        </w:rPr>
        <w:t xml:space="preserve">、 </w:t>
      </w:r>
      <w:r>
        <w:t>秘书长</w:t>
      </w:r>
      <w:r>
        <w:rPr>
          <w:rFonts w:hint="eastAsia" w:ascii="MS UI Gothic" w:eastAsia="MS UI Gothic"/>
          <w:w w:val="80"/>
        </w:rPr>
        <w:t xml:space="preserve">ꎬ  </w:t>
      </w:r>
      <w:r>
        <w:t>授予国家的勋章和荣誉称号</w:t>
      </w:r>
      <w:r>
        <w:rPr>
          <w:rFonts w:hint="eastAsia" w:ascii="MS UI Gothic" w:eastAsia="MS UI Gothic"/>
          <w:w w:val="80"/>
        </w:rPr>
        <w:t xml:space="preserve">ꎬ </w:t>
      </w:r>
      <w:r>
        <w:t>发布特赦令</w:t>
      </w:r>
      <w:r>
        <w:rPr>
          <w:rFonts w:hint="eastAsia" w:ascii="MS UI Gothic" w:eastAsia="MS UI Gothic"/>
          <w:w w:val="80"/>
        </w:rPr>
        <w:t>ꎬ</w:t>
      </w:r>
      <w:r>
        <w:t>宣布进入紧急状态</w:t>
      </w:r>
      <w:r>
        <w:rPr>
          <w:rFonts w:hint="eastAsia" w:ascii="MS UI Gothic" w:eastAsia="MS UI Gothic"/>
          <w:w w:val="80"/>
        </w:rPr>
        <w:t xml:space="preserve">ꎬ </w:t>
      </w:r>
      <w:r>
        <w:t>宣布战争状态</w:t>
      </w:r>
      <w:r>
        <w:rPr>
          <w:rFonts w:hint="eastAsia" w:ascii="MS UI Gothic" w:eastAsia="MS UI Gothic"/>
          <w:w w:val="80"/>
        </w:rPr>
        <w:t xml:space="preserve">ꎬ </w:t>
      </w:r>
      <w:r>
        <w:t>发布动员令</w:t>
      </w:r>
      <w:r>
        <w:rPr>
          <w:rFonts w:hint="eastAsia" w:ascii="MS UI Gothic" w:eastAsia="MS UI Gothic"/>
          <w:w w:val="80"/>
        </w:rPr>
        <w:t>ꎮ</w:t>
      </w:r>
    </w:p>
    <w:p>
      <w:pPr>
        <w:pStyle w:val="6"/>
        <w:spacing w:line="295" w:lineRule="auto"/>
        <w:ind w:left="543" w:right="39" w:firstLine="0"/>
      </w:pPr>
      <w:r>
        <w:rPr>
          <w:spacing w:val="-2"/>
          <w:w w:val="110"/>
        </w:rPr>
        <w:t>第八十九条 国务院行使下列职权</w:t>
      </w:r>
      <w:r>
        <w:rPr>
          <w:rFonts w:hint="eastAsia" w:ascii="MS UI Gothic" w:eastAsia="MS UI Gothic"/>
          <w:w w:val="235"/>
        </w:rPr>
        <w:t xml:space="preserve">: </w:t>
      </w:r>
      <w:r>
        <w:rPr>
          <w:rFonts w:hint="eastAsia" w:ascii="MS UI Gothic" w:eastAsia="MS UI Gothic"/>
          <w:spacing w:val="-32"/>
          <w:w w:val="115"/>
        </w:rPr>
        <w:t xml:space="preserve">( </w:t>
      </w:r>
      <w:r>
        <w:rPr>
          <w:spacing w:val="3"/>
          <w:w w:val="110"/>
        </w:rPr>
        <w:t>一</w:t>
      </w:r>
      <w:r>
        <w:rPr>
          <w:rFonts w:hint="eastAsia" w:ascii="MS UI Gothic" w:eastAsia="MS UI Gothic"/>
          <w:spacing w:val="-13"/>
          <w:w w:val="115"/>
        </w:rPr>
        <w:t xml:space="preserve">) </w:t>
      </w:r>
      <w:r>
        <w:rPr>
          <w:spacing w:val="5"/>
          <w:w w:val="110"/>
        </w:rPr>
        <w:t>根据宪法和法律</w:t>
      </w:r>
      <w:r>
        <w:rPr>
          <w:rFonts w:hint="eastAsia" w:ascii="MS UI Gothic" w:eastAsia="MS UI Gothic"/>
          <w:spacing w:val="-5"/>
          <w:w w:val="80"/>
        </w:rPr>
        <w:t xml:space="preserve">ꎬ </w:t>
      </w:r>
      <w:r>
        <w:rPr>
          <w:spacing w:val="8"/>
          <w:w w:val="110"/>
        </w:rPr>
        <w:t>规定行政措</w:t>
      </w:r>
    </w:p>
    <w:p>
      <w:pPr>
        <w:pStyle w:val="6"/>
        <w:spacing w:line="255" w:lineRule="exact"/>
        <w:ind w:firstLine="0"/>
        <w:rPr>
          <w:rFonts w:hint="eastAsia" w:ascii="MS UI Gothic" w:eastAsia="MS UI Gothic"/>
        </w:rPr>
      </w:pPr>
      <w:r>
        <w:t>施</w:t>
      </w:r>
      <w:r>
        <w:rPr>
          <w:rFonts w:hint="eastAsia" w:ascii="MS UI Gothic" w:eastAsia="MS UI Gothic"/>
          <w:w w:val="80"/>
        </w:rPr>
        <w:t xml:space="preserve">ꎬ </w:t>
      </w:r>
      <w:r>
        <w:t>制定行政法规</w:t>
      </w:r>
      <w:r>
        <w:rPr>
          <w:rFonts w:hint="eastAsia" w:ascii="MS UI Gothic" w:eastAsia="MS UI Gothic"/>
          <w:w w:val="80"/>
        </w:rPr>
        <w:t xml:space="preserve">ꎬ </w:t>
      </w:r>
      <w:r>
        <w:t>发布决定和命令</w:t>
      </w:r>
      <w:r>
        <w:rPr>
          <w:rFonts w:hint="eastAsia" w:ascii="MS UI Gothic" w:eastAsia="MS UI Gothic"/>
          <w:w w:val="80"/>
        </w:rPr>
        <w:t>ꎻ</w:t>
      </w:r>
    </w:p>
    <w:p>
      <w:pPr>
        <w:pStyle w:val="6"/>
        <w:spacing w:before="41"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向全国人民代表大会或者全国人民代表大会常务委员会提出议案</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规定各部和各委员会的任务和</w:t>
      </w:r>
      <w:r>
        <w:t>职责</w:t>
      </w:r>
      <w:r>
        <w:rPr>
          <w:rFonts w:hint="eastAsia" w:ascii="MS UI Gothic" w:eastAsia="MS UI Gothic"/>
          <w:w w:val="80"/>
        </w:rPr>
        <w:t xml:space="preserve">ꎬ </w:t>
      </w:r>
      <w:r>
        <w:t>统一领导各部和各委员会的工作</w:t>
      </w:r>
      <w:r>
        <w:rPr>
          <w:rFonts w:hint="eastAsia" w:ascii="MS UI Gothic" w:eastAsia="MS UI Gothic"/>
          <w:w w:val="80"/>
        </w:rPr>
        <w:t>ꎬ</w:t>
      </w:r>
      <w:r>
        <w:t>并且领导不属于各部和各委员会的全国性</w:t>
      </w:r>
      <w:r>
        <w:rPr>
          <w:w w:val="105"/>
        </w:rPr>
        <w:t>的行政工作</w:t>
      </w:r>
      <w:r>
        <w:rPr>
          <w:rFonts w:hint="eastAsia" w:ascii="MS UI Gothic" w:eastAsia="MS UI Gothic"/>
          <w:w w:val="80"/>
        </w:rPr>
        <w:t>ꎻ</w:t>
      </w:r>
    </w:p>
    <w:p>
      <w:pPr>
        <w:pStyle w:val="6"/>
        <w:spacing w:line="295" w:lineRule="auto"/>
        <w:ind w:right="38"/>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统一领导全国地方各级国家行政机关的工作</w:t>
      </w:r>
      <w:r>
        <w:rPr>
          <w:rFonts w:hint="eastAsia" w:ascii="MS UI Gothic" w:eastAsia="MS UI Gothic"/>
          <w:w w:val="80"/>
        </w:rPr>
        <w:t xml:space="preserve">ꎬ </w:t>
      </w:r>
      <w:r>
        <w:rPr>
          <w:w w:val="105"/>
        </w:rPr>
        <w:t>规定中央和省</w:t>
      </w:r>
      <w:r>
        <w:rPr>
          <w:rFonts w:hint="eastAsia" w:ascii="MS UI Gothic" w:eastAsia="MS UI Gothic"/>
          <w:w w:val="80"/>
        </w:rPr>
        <w:t xml:space="preserve">、 </w:t>
      </w:r>
      <w:r>
        <w:rPr>
          <w:w w:val="105"/>
        </w:rPr>
        <w:t>自治区</w:t>
      </w:r>
      <w:r>
        <w:rPr>
          <w:rFonts w:hint="eastAsia" w:ascii="MS UI Gothic" w:eastAsia="MS UI Gothic"/>
          <w:w w:val="80"/>
        </w:rPr>
        <w:t>、</w:t>
      </w:r>
      <w:r>
        <w:t>直辖市的国家行政机关的职权的具体</w:t>
      </w:r>
    </w:p>
    <w:p>
      <w:pPr>
        <w:spacing w:before="123"/>
        <w:ind w:left="124" w:right="0" w:firstLine="0"/>
        <w:jc w:val="left"/>
        <w:rPr>
          <w:rFonts w:hint="eastAsia" w:ascii="MS UI Gothic" w:eastAsia="MS UI Gothic"/>
          <w:sz w:val="20"/>
        </w:rPr>
      </w:pPr>
      <w:r>
        <w:br w:type="column"/>
      </w:r>
      <w:r>
        <w:rPr>
          <w:sz w:val="20"/>
        </w:rPr>
        <w:t>划分</w:t>
      </w:r>
      <w:r>
        <w:rPr>
          <w:rFonts w:hint="eastAsia" w:ascii="MS UI Gothic" w:eastAsia="MS UI Gothic"/>
          <w:w w:val="80"/>
          <w:sz w:val="20"/>
        </w:rPr>
        <w:t>ꎻ</w:t>
      </w:r>
    </w:p>
    <w:p>
      <w:pPr>
        <w:pStyle w:val="6"/>
        <w:spacing w:before="58" w:line="295" w:lineRule="auto"/>
        <w:ind w:right="442"/>
        <w:jc w:val="left"/>
        <w:rPr>
          <w:rFonts w:hint="eastAsia" w:ascii="MS UI Gothic" w:eastAsia="MS UI Gothic"/>
        </w:rPr>
      </w:pPr>
      <w:r>
        <w:rPr>
          <w:rFonts w:hint="eastAsia" w:ascii="MS UI Gothic" w:eastAsia="MS UI Gothic"/>
          <w:spacing w:val="-21"/>
          <w:w w:val="105"/>
        </w:rPr>
        <w:t xml:space="preserve">( </w:t>
      </w:r>
      <w:r>
        <w:rPr>
          <w:spacing w:val="3"/>
          <w:w w:val="105"/>
        </w:rPr>
        <w:t>五</w:t>
      </w:r>
      <w:r>
        <w:rPr>
          <w:rFonts w:hint="eastAsia" w:ascii="MS UI Gothic" w:eastAsia="MS UI Gothic"/>
          <w:spacing w:val="5"/>
          <w:w w:val="105"/>
        </w:rPr>
        <w:t xml:space="preserve">) </w:t>
      </w:r>
      <w:r>
        <w:rPr>
          <w:spacing w:val="5"/>
          <w:w w:val="105"/>
        </w:rPr>
        <w:t>编制和执行国民经济和社会发</w:t>
      </w:r>
      <w:r>
        <w:rPr>
          <w:spacing w:val="3"/>
          <w:w w:val="110"/>
        </w:rPr>
        <w:t>展计划和国家预算</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spacing w:val="-38"/>
          <w:w w:val="150"/>
        </w:rPr>
        <w:t xml:space="preserve">( </w:t>
      </w:r>
      <w:r>
        <w:rPr>
          <w:spacing w:val="3"/>
          <w:w w:val="105"/>
        </w:rPr>
        <w:t>六</w:t>
      </w:r>
      <w:r>
        <w:rPr>
          <w:rFonts w:hint="eastAsia" w:ascii="MS UI Gothic" w:eastAsia="MS UI Gothic"/>
          <w:spacing w:val="4"/>
          <w:w w:val="150"/>
        </w:rPr>
        <w:t xml:space="preserve">) </w:t>
      </w:r>
      <w:r>
        <w:rPr>
          <w:spacing w:val="5"/>
          <w:w w:val="105"/>
        </w:rPr>
        <w:t>领导和管理经济工作和城乡建</w:t>
      </w:r>
      <w:r>
        <w:rPr>
          <w:spacing w:val="3"/>
          <w:w w:val="105"/>
        </w:rPr>
        <w:t>设</w:t>
      </w:r>
      <w:r>
        <w:rPr>
          <w:rFonts w:hint="eastAsia" w:ascii="MS UI Gothic" w:eastAsia="MS UI Gothic"/>
          <w:spacing w:val="1"/>
          <w:w w:val="80"/>
        </w:rPr>
        <w:t xml:space="preserve">、 </w:t>
      </w:r>
      <w:r>
        <w:rPr>
          <w:spacing w:val="3"/>
          <w:w w:val="105"/>
        </w:rPr>
        <w:t>生态文明建设</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领导和管理教育</w:t>
      </w:r>
      <w:r>
        <w:rPr>
          <w:rFonts w:hint="eastAsia" w:ascii="MS UI Gothic" w:eastAsia="MS UI Gothic"/>
          <w:w w:val="80"/>
        </w:rPr>
        <w:t xml:space="preserve">、 </w:t>
      </w:r>
      <w:r>
        <w:rPr>
          <w:w w:val="105"/>
        </w:rPr>
        <w:t>科学</w:t>
      </w:r>
      <w:r>
        <w:rPr>
          <w:rFonts w:hint="eastAsia" w:ascii="MS UI Gothic" w:eastAsia="MS UI Gothic"/>
          <w:w w:val="80"/>
        </w:rPr>
        <w:t xml:space="preserve">、 </w:t>
      </w:r>
      <w:r>
        <w:rPr>
          <w:w w:val="105"/>
        </w:rPr>
        <w:t>文化</w:t>
      </w:r>
      <w:r>
        <w:rPr>
          <w:rFonts w:hint="eastAsia" w:ascii="MS UI Gothic" w:eastAsia="MS UI Gothic"/>
          <w:w w:val="80"/>
        </w:rPr>
        <w:t xml:space="preserve">、 </w:t>
      </w:r>
      <w:r>
        <w:rPr>
          <w:w w:val="105"/>
        </w:rPr>
        <w:t>卫生</w:t>
      </w:r>
      <w:r>
        <w:rPr>
          <w:rFonts w:hint="eastAsia" w:ascii="MS UI Gothic" w:eastAsia="MS UI Gothic"/>
          <w:w w:val="80"/>
        </w:rPr>
        <w:t xml:space="preserve">、 </w:t>
      </w:r>
      <w:r>
        <w:rPr>
          <w:w w:val="105"/>
        </w:rPr>
        <w:t>体育和计划生育工作</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领导和管理民政</w:t>
      </w:r>
      <w:r>
        <w:rPr>
          <w:rFonts w:hint="eastAsia" w:ascii="MS UI Gothic" w:eastAsia="MS UI Gothic"/>
          <w:w w:val="80"/>
        </w:rPr>
        <w:t xml:space="preserve">、 </w:t>
      </w:r>
      <w:r>
        <w:rPr>
          <w:w w:val="105"/>
        </w:rPr>
        <w:t>公安</w:t>
      </w:r>
      <w:r>
        <w:rPr>
          <w:rFonts w:hint="eastAsia" w:ascii="MS UI Gothic" w:eastAsia="MS UI Gothic"/>
          <w:w w:val="80"/>
        </w:rPr>
        <w:t xml:space="preserve">、 </w:t>
      </w:r>
      <w:r>
        <w:rPr>
          <w:w w:val="105"/>
        </w:rPr>
        <w:t>司法行政等工作</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管理对外事务</w:t>
      </w:r>
      <w:r>
        <w:rPr>
          <w:rFonts w:hint="eastAsia" w:ascii="MS UI Gothic" w:eastAsia="MS UI Gothic"/>
          <w:w w:val="80"/>
        </w:rPr>
        <w:t xml:space="preserve">ꎬ </w:t>
      </w:r>
      <w:r>
        <w:rPr>
          <w:w w:val="105"/>
        </w:rPr>
        <w:t>同外国缔结条约和协定</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十</w:t>
      </w:r>
      <w:r>
        <w:rPr>
          <w:rFonts w:hint="eastAsia" w:ascii="MS UI Gothic" w:eastAsia="MS UI Gothic"/>
          <w:w w:val="150"/>
        </w:rPr>
        <w:t xml:space="preserve">) </w:t>
      </w:r>
      <w:r>
        <w:rPr>
          <w:w w:val="110"/>
        </w:rPr>
        <w:t>领导和管理国防建设事业</w:t>
      </w:r>
      <w:r>
        <w:rPr>
          <w:rFonts w:hint="eastAsia" w:ascii="MS UI Gothic" w:eastAsia="MS UI Gothic"/>
          <w:w w:val="80"/>
        </w:rPr>
        <w:t>ꎻ</w:t>
      </w:r>
    </w:p>
    <w:p>
      <w:pPr>
        <w:pStyle w:val="6"/>
        <w:spacing w:before="52" w:line="295" w:lineRule="auto"/>
        <w:ind w:right="442"/>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领导和管理民族事务</w:t>
      </w:r>
      <w:r>
        <w:rPr>
          <w:rFonts w:hint="eastAsia" w:ascii="MS UI Gothic" w:eastAsia="MS UI Gothic"/>
          <w:w w:val="80"/>
        </w:rPr>
        <w:t xml:space="preserve">ꎬ </w:t>
      </w:r>
      <w:r>
        <w:rPr>
          <w:w w:val="105"/>
        </w:rPr>
        <w:t>保障</w:t>
      </w:r>
      <w:r>
        <w:t>少数民族的平等权利和民族自治地方的自</w:t>
      </w:r>
      <w:r>
        <w:rPr>
          <w:w w:val="105"/>
        </w:rPr>
        <w:t>治权利</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十二</w:t>
      </w:r>
      <w:r>
        <w:rPr>
          <w:rFonts w:hint="eastAsia" w:ascii="MS UI Gothic" w:eastAsia="MS UI Gothic"/>
          <w:w w:val="150"/>
        </w:rPr>
        <w:t xml:space="preserve">) </w:t>
      </w:r>
      <w:r>
        <w:rPr>
          <w:w w:val="105"/>
        </w:rPr>
        <w:t>保护华侨的正当的权利和利</w:t>
      </w:r>
      <w:r>
        <w:t>益</w:t>
      </w:r>
      <w:r>
        <w:rPr>
          <w:rFonts w:hint="eastAsia" w:ascii="MS UI Gothic" w:eastAsia="MS UI Gothic"/>
          <w:w w:val="80"/>
        </w:rPr>
        <w:t xml:space="preserve">ꎬ </w:t>
      </w:r>
      <w:r>
        <w:t>保护归侨和侨眷的合法的权利和</w:t>
      </w:r>
      <w:r>
        <w:rPr>
          <w:w w:val="105"/>
        </w:rPr>
        <w:t>利益</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十三</w:t>
      </w:r>
      <w:r>
        <w:rPr>
          <w:rFonts w:hint="eastAsia" w:ascii="MS UI Gothic" w:eastAsia="MS UI Gothic"/>
          <w:w w:val="150"/>
        </w:rPr>
        <w:t xml:space="preserve">) </w:t>
      </w:r>
      <w:r>
        <w:rPr>
          <w:w w:val="105"/>
        </w:rPr>
        <w:t>改变或者撤销各部</w:t>
      </w:r>
      <w:r>
        <w:rPr>
          <w:rFonts w:hint="eastAsia" w:ascii="MS UI Gothic" w:eastAsia="MS UI Gothic"/>
          <w:w w:val="80"/>
        </w:rPr>
        <w:t xml:space="preserve">、 </w:t>
      </w:r>
      <w:r>
        <w:rPr>
          <w:w w:val="105"/>
        </w:rPr>
        <w:t>各委员会发布的不适当的命令</w:t>
      </w:r>
      <w:r>
        <w:rPr>
          <w:rFonts w:hint="eastAsia" w:ascii="MS UI Gothic" w:eastAsia="MS UI Gothic"/>
          <w:w w:val="80"/>
        </w:rPr>
        <w:t xml:space="preserve">、 </w:t>
      </w:r>
      <w:r>
        <w:rPr>
          <w:w w:val="105"/>
        </w:rPr>
        <w:t>指示和规章</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十四</w:t>
      </w:r>
      <w:r>
        <w:rPr>
          <w:rFonts w:hint="eastAsia" w:ascii="MS UI Gothic" w:eastAsia="MS UI Gothic"/>
          <w:w w:val="150"/>
        </w:rPr>
        <w:t xml:space="preserve">) </w:t>
      </w:r>
      <w:r>
        <w:rPr>
          <w:w w:val="105"/>
        </w:rPr>
        <w:t>改变或者撤销地方各级国家行政机关的不适当的决定和命令</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十五</w:t>
      </w:r>
      <w:r>
        <w:rPr>
          <w:rFonts w:hint="eastAsia" w:ascii="MS UI Gothic" w:eastAsia="MS UI Gothic"/>
          <w:w w:val="150"/>
        </w:rPr>
        <w:t xml:space="preserve">) </w:t>
      </w:r>
      <w:r>
        <w:rPr>
          <w:w w:val="105"/>
        </w:rPr>
        <w:t>批准省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直辖市的区域划分</w:t>
      </w:r>
      <w:r>
        <w:rPr>
          <w:rFonts w:hint="eastAsia" w:ascii="MS UI Gothic" w:eastAsia="MS UI Gothic"/>
          <w:w w:val="80"/>
        </w:rPr>
        <w:t xml:space="preserve">ꎬ </w:t>
      </w:r>
      <w:r>
        <w:rPr>
          <w:w w:val="105"/>
        </w:rPr>
        <w:t>批准自治州</w:t>
      </w:r>
      <w:r>
        <w:rPr>
          <w:rFonts w:hint="eastAsia" w:ascii="MS UI Gothic" w:eastAsia="MS UI Gothic"/>
          <w:w w:val="80"/>
        </w:rPr>
        <w:t xml:space="preserve">、 </w:t>
      </w:r>
      <w:r>
        <w:rPr>
          <w:w w:val="105"/>
        </w:rPr>
        <w:t>县</w:t>
      </w:r>
      <w:r>
        <w:rPr>
          <w:rFonts w:hint="eastAsia" w:ascii="MS UI Gothic" w:eastAsia="MS UI Gothic"/>
          <w:w w:val="80"/>
        </w:rPr>
        <w:t xml:space="preserve">、 </w:t>
      </w:r>
      <w:r>
        <w:rPr>
          <w:w w:val="105"/>
        </w:rPr>
        <w:t>自治县</w:t>
      </w:r>
      <w:r>
        <w:rPr>
          <w:rFonts w:hint="eastAsia" w:ascii="MS UI Gothic" w:eastAsia="MS UI Gothic"/>
          <w:w w:val="80"/>
        </w:rPr>
        <w:t xml:space="preserve">、 </w:t>
      </w:r>
      <w:r>
        <w:rPr>
          <w:w w:val="105"/>
        </w:rPr>
        <w:t>市的建置和区域划分</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十六</w:t>
      </w:r>
      <w:r>
        <w:rPr>
          <w:rFonts w:hint="eastAsia" w:ascii="MS UI Gothic" w:eastAsia="MS UI Gothic"/>
          <w:spacing w:val="9"/>
          <w:w w:val="150"/>
        </w:rPr>
        <w:t xml:space="preserve">) </w:t>
      </w:r>
      <w:r>
        <w:rPr>
          <w:spacing w:val="7"/>
          <w:w w:val="105"/>
        </w:rPr>
        <w:t>依照法律规定决定省</w:t>
      </w:r>
      <w:r>
        <w:rPr>
          <w:rFonts w:hint="eastAsia" w:ascii="MS UI Gothic" w:eastAsia="MS UI Gothic"/>
          <w:w w:val="80"/>
        </w:rPr>
        <w:t xml:space="preserve">、 </w:t>
      </w:r>
      <w:r>
        <w:rPr>
          <w:spacing w:val="5"/>
          <w:w w:val="105"/>
        </w:rPr>
        <w:t>自治</w:t>
      </w:r>
      <w:r>
        <w:rPr>
          <w:spacing w:val="3"/>
          <w:w w:val="105"/>
        </w:rPr>
        <w:t>区</w:t>
      </w:r>
      <w:r>
        <w:rPr>
          <w:rFonts w:hint="eastAsia" w:ascii="MS UI Gothic" w:eastAsia="MS UI Gothic"/>
          <w:spacing w:val="-2"/>
          <w:w w:val="80"/>
        </w:rPr>
        <w:t xml:space="preserve">、 </w:t>
      </w:r>
      <w:r>
        <w:rPr>
          <w:spacing w:val="14"/>
          <w:w w:val="105"/>
        </w:rPr>
        <w:t>直辖市的范围内部分地区进入紧急</w:t>
      </w:r>
      <w:r>
        <w:rPr>
          <w:spacing w:val="3"/>
          <w:w w:val="105"/>
        </w:rPr>
        <w:t>状态</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9"/>
          <w:w w:val="150"/>
        </w:rPr>
        <w:t xml:space="preserve">( </w:t>
      </w:r>
      <w:r>
        <w:rPr>
          <w:spacing w:val="3"/>
          <w:w w:val="105"/>
        </w:rPr>
        <w:t>十七</w:t>
      </w:r>
      <w:r>
        <w:rPr>
          <w:rFonts w:hint="eastAsia" w:ascii="MS UI Gothic" w:eastAsia="MS UI Gothic"/>
          <w:spacing w:val="-3"/>
          <w:w w:val="150"/>
        </w:rPr>
        <w:t xml:space="preserve">) </w:t>
      </w:r>
      <w:r>
        <w:rPr>
          <w:spacing w:val="7"/>
          <w:w w:val="105"/>
        </w:rPr>
        <w:t>审定行政机构的编制</w:t>
      </w:r>
      <w:r>
        <w:rPr>
          <w:rFonts w:hint="eastAsia" w:ascii="MS UI Gothic" w:eastAsia="MS UI Gothic"/>
          <w:spacing w:val="13"/>
          <w:w w:val="80"/>
        </w:rPr>
        <w:t xml:space="preserve">ꎬ </w:t>
      </w:r>
      <w:r>
        <w:rPr>
          <w:spacing w:val="5"/>
          <w:w w:val="105"/>
        </w:rPr>
        <w:t>依照</w:t>
      </w:r>
      <w:r>
        <w:rPr>
          <w:spacing w:val="10"/>
          <w:w w:val="105"/>
        </w:rPr>
        <w:t>法律规定任免</w:t>
      </w:r>
      <w:r>
        <w:rPr>
          <w:rFonts w:hint="eastAsia" w:ascii="MS UI Gothic" w:eastAsia="MS UI Gothic"/>
          <w:spacing w:val="18"/>
          <w:w w:val="80"/>
        </w:rPr>
        <w:t xml:space="preserve">、 </w:t>
      </w:r>
      <w:r>
        <w:rPr>
          <w:spacing w:val="13"/>
          <w:w w:val="105"/>
        </w:rPr>
        <w:t>培训</w:t>
      </w:r>
      <w:r>
        <w:rPr>
          <w:rFonts w:hint="eastAsia" w:ascii="MS UI Gothic" w:eastAsia="MS UI Gothic"/>
          <w:spacing w:val="18"/>
          <w:w w:val="80"/>
        </w:rPr>
        <w:t xml:space="preserve">、 </w:t>
      </w:r>
      <w:r>
        <w:rPr>
          <w:spacing w:val="19"/>
          <w:w w:val="105"/>
        </w:rPr>
        <w:t>考核和奖惩行政</w:t>
      </w:r>
      <w:r>
        <w:rPr>
          <w:spacing w:val="3"/>
          <w:w w:val="105"/>
        </w:rPr>
        <w:t>人员</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十八</w:t>
      </w:r>
      <w:r>
        <w:rPr>
          <w:rFonts w:hint="eastAsia" w:ascii="MS UI Gothic" w:eastAsia="MS UI Gothic"/>
          <w:w w:val="150"/>
        </w:rPr>
        <w:t xml:space="preserve">) </w:t>
      </w:r>
      <w:r>
        <w:rPr>
          <w:w w:val="105"/>
        </w:rPr>
        <w:t>全国人民代表大会和全国人</w:t>
      </w:r>
      <w:r>
        <w:t>民代表大会常务委员会授予的其他职权</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90" w:firstLine="0"/>
        <w:jc w:val="right"/>
        <w:rPr>
          <w:rFonts w:hint="eastAsia" w:ascii="MS UI Gothic" w:eastAsia="MS UI Gothic"/>
        </w:rPr>
      </w:pPr>
      <w:r>
        <w:br w:type="column"/>
      </w:r>
      <w:r>
        <w:rPr>
          <w:rFonts w:hint="eastAsia" w:ascii="MS UI Gothic" w:eastAsia="MS UI Gothic"/>
          <w:spacing w:val="1"/>
          <w:w w:val="75"/>
        </w:rPr>
        <w:t>３</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061" o:spid="_x0000_s1061" o:spt="203" style="height:2.15pt;width:398.25pt;" coordsize="7965,43">
            <o:lock v:ext="edit"/>
            <v:line id="_x0000_s1062" o:spid="_x0000_s1062" o:spt="20" style="position:absolute;left:0;top:39;height:0;width:7965;" stroked="t" coordsize="21600,21600">
              <v:path arrowok="t"/>
              <v:fill focussize="0,0"/>
              <v:stroke weight="0.388031496062992pt" color="#231F20"/>
              <v:imagedata o:title=""/>
              <o:lock v:ext="edit"/>
            </v:line>
            <v:line id="_x0000_s1063" o:spid="_x0000_s1063"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6"/>
        <w:ind w:left="0" w:firstLine="0"/>
        <w:jc w:val="left"/>
        <w:rPr>
          <w:rFonts w:ascii="MS UI Gothic"/>
        </w:rPr>
      </w:pPr>
    </w:p>
    <w:p>
      <w:pPr>
        <w:pStyle w:val="6"/>
        <w:ind w:left="0" w:firstLine="0"/>
        <w:jc w:val="left"/>
        <w:rPr>
          <w:rFonts w:ascii="MS UI Gothic"/>
        </w:rPr>
      </w:pPr>
    </w:p>
    <w:p>
      <w:pPr>
        <w:pStyle w:val="6"/>
        <w:spacing w:before="12"/>
        <w:ind w:left="0" w:firstLine="0"/>
        <w:jc w:val="left"/>
        <w:rPr>
          <w:rFonts w:ascii="MS UI Gothic"/>
          <w:sz w:val="18"/>
        </w:rPr>
      </w:pPr>
    </w:p>
    <w:p>
      <w:pPr>
        <w:pStyle w:val="2"/>
        <w:tabs>
          <w:tab w:val="left" w:pos="2825"/>
        </w:tabs>
      </w:pPr>
      <w:r>
        <w:rPr>
          <w:spacing w:val="25"/>
        </w:rPr>
        <w:t>二</w:t>
      </w:r>
      <w:r>
        <w:rPr>
          <w:rFonts w:hint="eastAsia" w:ascii="Microsoft Yi Baiti" w:eastAsia="Microsoft Yi Baiti"/>
        </w:rPr>
        <w:t>、</w:t>
      </w:r>
      <w:r>
        <w:rPr>
          <w:rFonts w:hint="eastAsia" w:ascii="Microsoft Yi Baiti" w:eastAsia="Microsoft Yi Baiti"/>
          <w:spacing w:val="21"/>
        </w:rPr>
        <w:t xml:space="preserve"> </w:t>
      </w:r>
      <w:r>
        <w:t>刑</w:t>
      </w:r>
      <w:r>
        <w:tab/>
      </w:r>
      <w:r>
        <w:t>法</w:t>
      </w:r>
    </w:p>
    <w:p>
      <w:pPr>
        <w:pStyle w:val="4"/>
        <w:spacing w:before="402"/>
        <w:ind w:left="286"/>
        <w:rPr>
          <w:rFonts w:hint="eastAsia" w:ascii="Microsoft Yi Baiti" w:eastAsia="Microsoft Yi Baiti"/>
        </w:rPr>
      </w:pPr>
      <w:r>
        <w:t xml:space="preserve">中华人民共和国刑法 ( 节选) </w:t>
      </w:r>
      <w:r>
        <w:rPr>
          <w:rFonts w:hint="eastAsia" w:ascii="Microsoft Yi Baiti" w:eastAsia="Microsoft Yi Baiti"/>
        </w:rPr>
        <w:t>(</w:t>
      </w:r>
      <w:r>
        <w:rPr>
          <w:rFonts w:hint="eastAsia" w:ascii="MS UI Gothic" w:eastAsia="MS UI Gothic"/>
        </w:rPr>
        <w:t xml:space="preserve">２０１７ </w:t>
      </w:r>
      <w:r>
        <w:t>年修正</w:t>
      </w:r>
      <w:r>
        <w:rPr>
          <w:rFonts w:hint="eastAsia" w:ascii="Microsoft Yi Baiti" w:eastAsia="Microsoft Yi Baiti"/>
        </w:rPr>
        <w:t>)</w:t>
      </w:r>
    </w:p>
    <w:p>
      <w:pPr>
        <w:pStyle w:val="6"/>
        <w:spacing w:before="366"/>
        <w:ind w:left="0" w:right="126" w:firstLine="0"/>
        <w:jc w:val="right"/>
      </w:pPr>
      <w:r>
        <w:rPr>
          <w:rFonts w:hint="eastAsia" w:ascii="Microsoft Yi Baiti" w:eastAsia="Microsoft Yi Baiti"/>
          <w:spacing w:val="-39"/>
        </w:rPr>
        <w:t xml:space="preserve">( </w:t>
      </w:r>
      <w:r>
        <w:rPr>
          <w:spacing w:val="-39"/>
        </w:rPr>
        <w:t xml:space="preserve">由 </w:t>
      </w:r>
      <w:r>
        <w:rPr>
          <w:rFonts w:hint="eastAsia" w:ascii="MS UI Gothic" w:eastAsia="MS UI Gothic"/>
          <w:spacing w:val="-6"/>
        </w:rPr>
        <w:t xml:space="preserve">１９７９ </w:t>
      </w:r>
      <w:r>
        <w:rPr>
          <w:spacing w:val="-39"/>
        </w:rPr>
        <w:t xml:space="preserve">年 </w:t>
      </w:r>
      <w:r>
        <w:rPr>
          <w:rFonts w:hint="eastAsia" w:ascii="MS UI Gothic" w:eastAsia="MS UI Gothic"/>
          <w:spacing w:val="-14"/>
        </w:rPr>
        <w:t xml:space="preserve">７ </w:t>
      </w:r>
      <w:r>
        <w:rPr>
          <w:spacing w:val="-39"/>
        </w:rPr>
        <w:t xml:space="preserve">月 </w:t>
      </w:r>
      <w:r>
        <w:rPr>
          <w:rFonts w:hint="eastAsia" w:ascii="MS UI Gothic" w:eastAsia="MS UI Gothic"/>
          <w:spacing w:val="-14"/>
        </w:rPr>
        <w:t xml:space="preserve">１ </w:t>
      </w:r>
      <w:r>
        <w:rPr>
          <w:spacing w:val="3"/>
        </w:rPr>
        <w:t>日第五届全国人民代表大会第二次会议通过</w:t>
      </w:r>
      <w:r>
        <w:rPr>
          <w:rFonts w:hint="eastAsia" w:ascii="Microsoft Yi Baiti" w:eastAsia="Microsoft Yi Baiti"/>
          <w:spacing w:val="-15"/>
        </w:rPr>
        <w:t xml:space="preserve">ꎬ </w:t>
      </w:r>
      <w:r>
        <w:rPr>
          <w:rFonts w:hint="eastAsia" w:ascii="MS UI Gothic" w:eastAsia="MS UI Gothic"/>
          <w:spacing w:val="-6"/>
        </w:rPr>
        <w:t xml:space="preserve">１９７９ </w:t>
      </w:r>
      <w:r>
        <w:rPr>
          <w:spacing w:val="-39"/>
        </w:rPr>
        <w:t xml:space="preserve">年 </w:t>
      </w:r>
      <w:r>
        <w:rPr>
          <w:rFonts w:hint="eastAsia" w:ascii="MS UI Gothic" w:eastAsia="MS UI Gothic"/>
          <w:spacing w:val="-14"/>
        </w:rPr>
        <w:t xml:space="preserve">７ </w:t>
      </w:r>
      <w:r>
        <w:rPr>
          <w:spacing w:val="-39"/>
        </w:rPr>
        <w:t xml:space="preserve">月 </w:t>
      </w:r>
      <w:r>
        <w:rPr>
          <w:rFonts w:hint="eastAsia" w:ascii="MS UI Gothic" w:eastAsia="MS UI Gothic"/>
          <w:spacing w:val="-14"/>
        </w:rPr>
        <w:t xml:space="preserve">６ </w:t>
      </w:r>
      <w:r>
        <w:rPr>
          <w:spacing w:val="1"/>
        </w:rPr>
        <w:t>日全</w:t>
      </w:r>
    </w:p>
    <w:p>
      <w:pPr>
        <w:pStyle w:val="6"/>
        <w:tabs>
          <w:tab w:val="left" w:pos="7279"/>
        </w:tabs>
        <w:spacing w:before="58"/>
        <w:ind w:left="0" w:right="126" w:firstLine="0"/>
        <w:jc w:val="right"/>
      </w:pPr>
      <w:r>
        <w:rPr>
          <w:spacing w:val="3"/>
        </w:rPr>
        <w:t>国人民代表大会常务委员会委员长令</w:t>
      </w:r>
      <w:r>
        <w:rPr>
          <w:spacing w:val="7"/>
        </w:rPr>
        <w:t>第五号公</w:t>
      </w:r>
      <w:r>
        <w:rPr>
          <w:spacing w:val="3"/>
        </w:rPr>
        <w:t>布</w:t>
      </w:r>
      <w:r>
        <w:rPr>
          <w:rFonts w:hint="eastAsia" w:ascii="Microsoft Yi Baiti" w:eastAsia="Microsoft Yi Baiti"/>
        </w:rPr>
        <w:t>ꎬ</w:t>
      </w:r>
      <w:r>
        <w:rPr>
          <w:rFonts w:hint="eastAsia" w:ascii="Microsoft Yi Baiti" w:eastAsia="Microsoft Yi Baiti"/>
          <w:spacing w:val="5"/>
        </w:rPr>
        <w:t xml:space="preserve"> </w:t>
      </w:r>
      <w:r>
        <w:t>自</w:t>
      </w:r>
      <w:r>
        <w:rPr>
          <w:spacing w:val="-53"/>
        </w:rPr>
        <w:t xml:space="preserve"> </w:t>
      </w:r>
      <w:r>
        <w:rPr>
          <w:rFonts w:hint="eastAsia" w:ascii="MS UI Gothic" w:eastAsia="MS UI Gothic"/>
        </w:rPr>
        <w:t>１９８０</w:t>
      </w:r>
      <w:r>
        <w:rPr>
          <w:rFonts w:hint="eastAsia" w:ascii="MS UI Gothic" w:eastAsia="MS UI Gothic"/>
          <w:spacing w:val="-7"/>
        </w:rPr>
        <w:t xml:space="preserve"> </w:t>
      </w:r>
      <w:r>
        <w:t>年</w:t>
      </w:r>
      <w:r>
        <w:rPr>
          <w:spacing w:val="-53"/>
        </w:rPr>
        <w:t xml:space="preserve"> </w:t>
      </w:r>
      <w:r>
        <w:rPr>
          <w:rFonts w:hint="eastAsia" w:ascii="MS UI Gothic" w:eastAsia="MS UI Gothic"/>
        </w:rPr>
        <w:t>１</w:t>
      </w:r>
      <w:r>
        <w:rPr>
          <w:rFonts w:hint="eastAsia" w:ascii="MS UI Gothic" w:eastAsia="MS UI Gothic"/>
          <w:spacing w:val="-7"/>
        </w:rPr>
        <w:t xml:space="preserve"> </w:t>
      </w:r>
      <w:r>
        <w:t>月</w:t>
      </w:r>
      <w:r>
        <w:rPr>
          <w:spacing w:val="-53"/>
        </w:rPr>
        <w:t xml:space="preserve"> </w:t>
      </w:r>
      <w:r>
        <w:rPr>
          <w:rFonts w:hint="eastAsia" w:ascii="MS UI Gothic" w:eastAsia="MS UI Gothic"/>
        </w:rPr>
        <w:t>１</w:t>
      </w:r>
      <w:r>
        <w:rPr>
          <w:rFonts w:hint="eastAsia" w:ascii="MS UI Gothic" w:eastAsia="MS UI Gothic"/>
          <w:spacing w:val="-7"/>
        </w:rPr>
        <w:t xml:space="preserve"> </w:t>
      </w:r>
      <w:r>
        <w:rPr>
          <w:spacing w:val="7"/>
        </w:rPr>
        <w:t>日起</w:t>
      </w:r>
      <w:r>
        <w:rPr>
          <w:spacing w:val="9"/>
        </w:rPr>
        <w:t>施</w:t>
      </w:r>
      <w:r>
        <w:t>行</w:t>
      </w:r>
      <w:r>
        <w:tab/>
      </w:r>
      <w:r>
        <w:rPr>
          <w:rFonts w:hint="eastAsia" w:ascii="MS UI Gothic" w:eastAsia="MS UI Gothic"/>
          <w:w w:val="85"/>
        </w:rPr>
        <w:t>１９９７</w:t>
      </w:r>
      <w:r>
        <w:rPr>
          <w:rFonts w:hint="eastAsia" w:ascii="MS UI Gothic" w:eastAsia="MS UI Gothic"/>
          <w:spacing w:val="-6"/>
          <w:w w:val="85"/>
        </w:rPr>
        <w:t xml:space="preserve"> </w:t>
      </w:r>
      <w:r>
        <w:rPr>
          <w:w w:val="85"/>
        </w:rPr>
        <w:t>年</w:t>
      </w:r>
    </w:p>
    <w:p>
      <w:pPr>
        <w:pStyle w:val="6"/>
        <w:spacing w:before="58"/>
        <w:ind w:left="0" w:right="126" w:firstLine="0"/>
        <w:jc w:val="right"/>
      </w:pPr>
      <w:r>
        <w:rPr>
          <w:rFonts w:hint="eastAsia" w:ascii="MS UI Gothic" w:eastAsia="MS UI Gothic"/>
          <w:spacing w:val="-13"/>
        </w:rPr>
        <w:t xml:space="preserve">３ </w:t>
      </w:r>
      <w:r>
        <w:rPr>
          <w:spacing w:val="-35"/>
        </w:rPr>
        <w:t xml:space="preserve">月 </w:t>
      </w:r>
      <w:r>
        <w:rPr>
          <w:rFonts w:hint="eastAsia" w:ascii="MS UI Gothic" w:eastAsia="MS UI Gothic"/>
          <w:spacing w:val="-8"/>
        </w:rPr>
        <w:t xml:space="preserve">１４ </w:t>
      </w:r>
      <w:r>
        <w:rPr>
          <w:spacing w:val="3"/>
        </w:rPr>
        <w:t>日第八届全国人民代表大会第五次会议修订</w:t>
      </w:r>
      <w:r>
        <w:rPr>
          <w:rFonts w:hint="eastAsia" w:ascii="Microsoft Yi Baiti" w:eastAsia="Microsoft Yi Baiti"/>
          <w:spacing w:val="-13"/>
        </w:rPr>
        <w:t xml:space="preserve">ꎬ </w:t>
      </w:r>
      <w:r>
        <w:rPr>
          <w:rFonts w:hint="eastAsia" w:ascii="MS UI Gothic" w:eastAsia="MS UI Gothic"/>
          <w:spacing w:val="-5"/>
        </w:rPr>
        <w:t xml:space="preserve">１９９７ </w:t>
      </w:r>
      <w:r>
        <w:rPr>
          <w:spacing w:val="-34"/>
        </w:rPr>
        <w:t xml:space="preserve">年 </w:t>
      </w:r>
      <w:r>
        <w:rPr>
          <w:rFonts w:hint="eastAsia" w:ascii="MS UI Gothic" w:eastAsia="MS UI Gothic"/>
          <w:spacing w:val="-13"/>
        </w:rPr>
        <w:t xml:space="preserve">３ </w:t>
      </w:r>
      <w:r>
        <w:rPr>
          <w:spacing w:val="-35"/>
        </w:rPr>
        <w:t xml:space="preserve">月 </w:t>
      </w:r>
      <w:r>
        <w:rPr>
          <w:rFonts w:hint="eastAsia" w:ascii="MS UI Gothic" w:eastAsia="MS UI Gothic"/>
          <w:spacing w:val="-8"/>
        </w:rPr>
        <w:t xml:space="preserve">１４ </w:t>
      </w:r>
      <w:r>
        <w:rPr>
          <w:spacing w:val="3"/>
        </w:rPr>
        <w:t>日中华人民共和国</w:t>
      </w:r>
    </w:p>
    <w:p>
      <w:pPr>
        <w:pStyle w:val="6"/>
        <w:tabs>
          <w:tab w:val="left" w:pos="4999"/>
        </w:tabs>
        <w:spacing w:before="58"/>
        <w:ind w:left="0" w:right="126" w:firstLine="0"/>
        <w:jc w:val="right"/>
      </w:pPr>
      <w:r>
        <w:rPr>
          <w:spacing w:val="3"/>
        </w:rPr>
        <w:t>主席令第八十三号公布</w:t>
      </w:r>
      <w:r>
        <w:rPr>
          <w:rFonts w:hint="eastAsia" w:ascii="Microsoft Yi Baiti" w:eastAsia="Microsoft Yi Baiti"/>
        </w:rPr>
        <w:t>ꎬ</w:t>
      </w:r>
      <w:r>
        <w:rPr>
          <w:rFonts w:hint="eastAsia" w:ascii="Microsoft Yi Baiti" w:eastAsia="Microsoft Yi Baiti"/>
          <w:spacing w:val="-16"/>
        </w:rPr>
        <w:t xml:space="preserve"> </w:t>
      </w:r>
      <w:r>
        <w:t>自</w:t>
      </w:r>
      <w:r>
        <w:rPr>
          <w:spacing w:val="-66"/>
        </w:rPr>
        <w:t xml:space="preserve"> </w:t>
      </w:r>
      <w:r>
        <w:rPr>
          <w:rFonts w:hint="eastAsia" w:ascii="MS UI Gothic" w:eastAsia="MS UI Gothic"/>
        </w:rPr>
        <w:t>１９９７</w:t>
      </w:r>
      <w:r>
        <w:rPr>
          <w:rFonts w:hint="eastAsia" w:ascii="MS UI Gothic" w:eastAsia="MS UI Gothic"/>
          <w:spacing w:val="-21"/>
        </w:rPr>
        <w:t xml:space="preserve"> </w:t>
      </w:r>
      <w:r>
        <w:t>年</w:t>
      </w:r>
      <w:r>
        <w:rPr>
          <w:spacing w:val="-70"/>
        </w:rPr>
        <w:t xml:space="preserve"> </w:t>
      </w:r>
      <w:r>
        <w:rPr>
          <w:rFonts w:hint="eastAsia" w:ascii="MS UI Gothic" w:eastAsia="MS UI Gothic"/>
        </w:rPr>
        <w:t>１０</w:t>
      </w:r>
      <w:r>
        <w:rPr>
          <w:rFonts w:hint="eastAsia" w:ascii="MS UI Gothic" w:eastAsia="MS UI Gothic"/>
          <w:spacing w:val="-22"/>
        </w:rPr>
        <w:t xml:space="preserve"> </w:t>
      </w:r>
      <w:r>
        <w:t>月</w:t>
      </w:r>
      <w:r>
        <w:rPr>
          <w:spacing w:val="-70"/>
        </w:rPr>
        <w:t xml:space="preserve"> </w:t>
      </w:r>
      <w:r>
        <w:rPr>
          <w:rFonts w:hint="eastAsia" w:ascii="MS UI Gothic" w:eastAsia="MS UI Gothic"/>
        </w:rPr>
        <w:t>１</w:t>
      </w:r>
      <w:r>
        <w:rPr>
          <w:rFonts w:hint="eastAsia" w:ascii="MS UI Gothic" w:eastAsia="MS UI Gothic"/>
          <w:spacing w:val="-21"/>
        </w:rPr>
        <w:t xml:space="preserve"> </w:t>
      </w:r>
      <w:r>
        <w:rPr>
          <w:spacing w:val="3"/>
        </w:rPr>
        <w:t>日起施</w:t>
      </w:r>
      <w:r>
        <w:t>行</w:t>
      </w:r>
      <w:r>
        <w:tab/>
      </w:r>
      <w:r>
        <w:rPr>
          <w:rFonts w:hint="eastAsia" w:ascii="MS UI Gothic" w:eastAsia="MS UI Gothic"/>
          <w:w w:val="95"/>
        </w:rPr>
        <w:t>１９９９</w:t>
      </w:r>
      <w:r>
        <w:rPr>
          <w:rFonts w:hint="eastAsia" w:ascii="MS UI Gothic" w:eastAsia="MS UI Gothic"/>
          <w:spacing w:val="-17"/>
          <w:w w:val="95"/>
        </w:rPr>
        <w:t xml:space="preserve"> </w:t>
      </w:r>
      <w:r>
        <w:rPr>
          <w:w w:val="95"/>
        </w:rPr>
        <w:t>年</w:t>
      </w:r>
      <w:r>
        <w:rPr>
          <w:spacing w:val="-64"/>
          <w:w w:val="95"/>
        </w:rPr>
        <w:t xml:space="preserve"> </w:t>
      </w:r>
      <w:r>
        <w:rPr>
          <w:rFonts w:hint="eastAsia" w:ascii="MS UI Gothic" w:eastAsia="MS UI Gothic"/>
          <w:w w:val="95"/>
        </w:rPr>
        <w:t>１２</w:t>
      </w:r>
      <w:r>
        <w:rPr>
          <w:rFonts w:hint="eastAsia" w:ascii="MS UI Gothic" w:eastAsia="MS UI Gothic"/>
          <w:spacing w:val="-16"/>
          <w:w w:val="95"/>
        </w:rPr>
        <w:t xml:space="preserve"> </w:t>
      </w:r>
      <w:r>
        <w:rPr>
          <w:w w:val="95"/>
        </w:rPr>
        <w:t>月</w:t>
      </w:r>
      <w:r>
        <w:rPr>
          <w:spacing w:val="-64"/>
          <w:w w:val="95"/>
        </w:rPr>
        <w:t xml:space="preserve"> </w:t>
      </w:r>
      <w:r>
        <w:rPr>
          <w:rFonts w:hint="eastAsia" w:ascii="MS UI Gothic" w:eastAsia="MS UI Gothic"/>
          <w:w w:val="95"/>
        </w:rPr>
        <w:t>２５</w:t>
      </w:r>
      <w:r>
        <w:rPr>
          <w:rFonts w:hint="eastAsia" w:ascii="MS UI Gothic" w:eastAsia="MS UI Gothic"/>
          <w:spacing w:val="-17"/>
          <w:w w:val="95"/>
        </w:rPr>
        <w:t xml:space="preserve"> </w:t>
      </w:r>
      <w:r>
        <w:rPr>
          <w:spacing w:val="3"/>
          <w:w w:val="95"/>
        </w:rPr>
        <w:t>日第九届全国</w:t>
      </w:r>
      <w:r>
        <w:rPr>
          <w:w w:val="95"/>
        </w:rPr>
        <w:t>人</w:t>
      </w:r>
    </w:p>
    <w:p>
      <w:pPr>
        <w:pStyle w:val="6"/>
        <w:spacing w:before="59"/>
        <w:ind w:left="0" w:right="126" w:firstLine="0"/>
        <w:jc w:val="right"/>
      </w:pPr>
      <w:r>
        <w:rPr>
          <w:spacing w:val="3"/>
        </w:rPr>
        <w:t>民代表大会常务委员会第十三次会议通过</w:t>
      </w:r>
      <w:r>
        <w:rPr>
          <w:rFonts w:hint="eastAsia" w:ascii="Microsoft Yi Baiti" w:eastAsia="Microsoft Yi Baiti"/>
          <w:spacing w:val="-7"/>
        </w:rPr>
        <w:t xml:space="preserve">ꎬ </w:t>
      </w:r>
      <w:r>
        <w:rPr>
          <w:rFonts w:hint="eastAsia" w:ascii="MS UI Gothic" w:eastAsia="MS UI Gothic"/>
          <w:spacing w:val="-3"/>
        </w:rPr>
        <w:t xml:space="preserve">１９９９ </w:t>
      </w:r>
      <w:r>
        <w:rPr>
          <w:spacing w:val="-30"/>
        </w:rPr>
        <w:t xml:space="preserve">年 </w:t>
      </w:r>
      <w:r>
        <w:rPr>
          <w:rFonts w:hint="eastAsia" w:ascii="MS UI Gothic" w:eastAsia="MS UI Gothic"/>
          <w:spacing w:val="-5"/>
        </w:rPr>
        <w:t xml:space="preserve">１２ </w:t>
      </w:r>
      <w:r>
        <w:rPr>
          <w:spacing w:val="-29"/>
        </w:rPr>
        <w:t xml:space="preserve">月 </w:t>
      </w:r>
      <w:r>
        <w:rPr>
          <w:rFonts w:hint="eastAsia" w:ascii="MS UI Gothic" w:eastAsia="MS UI Gothic"/>
          <w:spacing w:val="-5"/>
        </w:rPr>
        <w:t xml:space="preserve">２５ </w:t>
      </w:r>
      <w:r>
        <w:rPr>
          <w:spacing w:val="10"/>
        </w:rPr>
        <w:t>日中华人民共和国主席令</w:t>
      </w:r>
    </w:p>
    <w:p>
      <w:pPr>
        <w:pStyle w:val="6"/>
        <w:tabs>
          <w:tab w:val="left" w:pos="3578"/>
        </w:tabs>
        <w:spacing w:before="58"/>
        <w:ind w:left="0" w:right="126" w:firstLine="0"/>
        <w:jc w:val="right"/>
      </w:pPr>
      <w:r>
        <w:rPr>
          <w:spacing w:val="3"/>
        </w:rPr>
        <w:t>第二十七号公布</w:t>
      </w:r>
      <w:r>
        <w:rPr>
          <w:rFonts w:hint="eastAsia" w:ascii="Microsoft Yi Baiti" w:eastAsia="Microsoft Yi Baiti"/>
        </w:rPr>
        <w:t>ꎬ</w:t>
      </w:r>
      <w:r>
        <w:rPr>
          <w:rFonts w:hint="eastAsia" w:ascii="Microsoft Yi Baiti" w:eastAsia="Microsoft Yi Baiti"/>
          <w:spacing w:val="41"/>
        </w:rPr>
        <w:t xml:space="preserve"> </w:t>
      </w:r>
      <w:r>
        <w:rPr>
          <w:spacing w:val="5"/>
        </w:rPr>
        <w:t>自公布之日起施</w:t>
      </w:r>
      <w:r>
        <w:t>行</w:t>
      </w:r>
      <w:r>
        <w:tab/>
      </w:r>
      <w:r>
        <w:rPr>
          <w:rFonts w:hint="eastAsia" w:ascii="MS UI Gothic" w:eastAsia="MS UI Gothic"/>
        </w:rPr>
        <w:t>２００１</w:t>
      </w:r>
      <w:r>
        <w:rPr>
          <w:rFonts w:hint="eastAsia" w:ascii="MS UI Gothic" w:eastAsia="MS UI Gothic"/>
          <w:spacing w:val="-30"/>
        </w:rPr>
        <w:t xml:space="preserve"> </w:t>
      </w:r>
      <w:r>
        <w:t>年</w:t>
      </w:r>
      <w:r>
        <w:rPr>
          <w:spacing w:val="-73"/>
        </w:rPr>
        <w:t xml:space="preserve"> </w:t>
      </w:r>
      <w:r>
        <w:rPr>
          <w:rFonts w:hint="eastAsia" w:ascii="MS UI Gothic" w:eastAsia="MS UI Gothic"/>
        </w:rPr>
        <w:t>８</w:t>
      </w:r>
      <w:r>
        <w:rPr>
          <w:rFonts w:hint="eastAsia" w:ascii="MS UI Gothic" w:eastAsia="MS UI Gothic"/>
          <w:spacing w:val="-30"/>
        </w:rPr>
        <w:t xml:space="preserve"> </w:t>
      </w:r>
      <w:r>
        <w:t>月</w:t>
      </w:r>
      <w:r>
        <w:rPr>
          <w:spacing w:val="-73"/>
        </w:rPr>
        <w:t xml:space="preserve"> </w:t>
      </w:r>
      <w:r>
        <w:rPr>
          <w:rFonts w:hint="eastAsia" w:ascii="MS UI Gothic" w:eastAsia="MS UI Gothic"/>
        </w:rPr>
        <w:t>３１</w:t>
      </w:r>
      <w:r>
        <w:rPr>
          <w:rFonts w:hint="eastAsia" w:ascii="MS UI Gothic" w:eastAsia="MS UI Gothic"/>
          <w:spacing w:val="-31"/>
        </w:rPr>
        <w:t xml:space="preserve"> </w:t>
      </w:r>
      <w:r>
        <w:rPr>
          <w:spacing w:val="5"/>
        </w:rPr>
        <w:t>日第九届全国人民代表大会常</w:t>
      </w:r>
      <w:r>
        <w:t>务</w:t>
      </w:r>
    </w:p>
    <w:p>
      <w:pPr>
        <w:pStyle w:val="6"/>
        <w:spacing w:before="58"/>
        <w:ind w:left="0" w:right="126" w:firstLine="0"/>
        <w:jc w:val="right"/>
      </w:pPr>
      <w:r>
        <w:rPr>
          <w:spacing w:val="4"/>
        </w:rPr>
        <w:t>委员会第二十三次会议通过</w:t>
      </w:r>
      <w:r>
        <w:rPr>
          <w:rFonts w:hint="eastAsia" w:ascii="Microsoft Yi Baiti" w:eastAsia="Microsoft Yi Baiti"/>
          <w:spacing w:val="-3"/>
        </w:rPr>
        <w:t xml:space="preserve">ꎬ </w:t>
      </w:r>
      <w:r>
        <w:rPr>
          <w:rFonts w:hint="eastAsia" w:ascii="MS UI Gothic" w:eastAsia="MS UI Gothic"/>
          <w:spacing w:val="-2"/>
        </w:rPr>
        <w:t xml:space="preserve">２００１ </w:t>
      </w:r>
      <w:r>
        <w:rPr>
          <w:spacing w:val="-26"/>
        </w:rPr>
        <w:t xml:space="preserve">年 </w:t>
      </w:r>
      <w:r>
        <w:rPr>
          <w:rFonts w:hint="eastAsia" w:ascii="MS UI Gothic" w:eastAsia="MS UI Gothic"/>
          <w:spacing w:val="-4"/>
        </w:rPr>
        <w:t xml:space="preserve">８ </w:t>
      </w:r>
      <w:r>
        <w:rPr>
          <w:spacing w:val="-26"/>
        </w:rPr>
        <w:t xml:space="preserve">月 </w:t>
      </w:r>
      <w:r>
        <w:rPr>
          <w:rFonts w:hint="eastAsia" w:ascii="MS UI Gothic" w:eastAsia="MS UI Gothic"/>
          <w:spacing w:val="-3"/>
        </w:rPr>
        <w:t xml:space="preserve">３１ </w:t>
      </w:r>
      <w:r>
        <w:rPr>
          <w:spacing w:val="12"/>
        </w:rPr>
        <w:t>日中华人民共和国主席令第五十六号公</w:t>
      </w:r>
    </w:p>
    <w:p>
      <w:pPr>
        <w:pStyle w:val="6"/>
        <w:tabs>
          <w:tab w:val="left" w:pos="2299"/>
        </w:tabs>
        <w:spacing w:before="58"/>
        <w:ind w:left="0" w:right="126" w:firstLine="0"/>
        <w:jc w:val="right"/>
      </w:pPr>
      <w:r>
        <w:rPr>
          <w:spacing w:val="3"/>
        </w:rPr>
        <w:t>布</w:t>
      </w:r>
      <w:r>
        <w:rPr>
          <w:rFonts w:hint="eastAsia" w:ascii="Microsoft Yi Baiti" w:eastAsia="Microsoft Yi Baiti"/>
        </w:rPr>
        <w:t>ꎬ</w:t>
      </w:r>
      <w:r>
        <w:rPr>
          <w:rFonts w:hint="eastAsia" w:ascii="Microsoft Yi Baiti" w:eastAsia="Microsoft Yi Baiti"/>
          <w:spacing w:val="25"/>
        </w:rPr>
        <w:t xml:space="preserve"> </w:t>
      </w:r>
      <w:r>
        <w:rPr>
          <w:spacing w:val="3"/>
        </w:rPr>
        <w:t>自公布之日起施</w:t>
      </w:r>
      <w:r>
        <w:t>行</w:t>
      </w:r>
      <w:r>
        <w:tab/>
      </w:r>
      <w:r>
        <w:rPr>
          <w:rFonts w:hint="eastAsia" w:ascii="MS UI Gothic" w:eastAsia="MS UI Gothic"/>
        </w:rPr>
        <w:t>２００１</w:t>
      </w:r>
      <w:r>
        <w:rPr>
          <w:rFonts w:hint="eastAsia" w:ascii="MS UI Gothic" w:eastAsia="MS UI Gothic"/>
          <w:spacing w:val="-31"/>
        </w:rPr>
        <w:t xml:space="preserve"> </w:t>
      </w:r>
      <w:r>
        <w:t>年</w:t>
      </w:r>
      <w:r>
        <w:rPr>
          <w:spacing w:val="-73"/>
        </w:rPr>
        <w:t xml:space="preserve"> </w:t>
      </w:r>
      <w:r>
        <w:rPr>
          <w:rFonts w:hint="eastAsia" w:ascii="MS UI Gothic" w:eastAsia="MS UI Gothic"/>
        </w:rPr>
        <w:t>１２</w:t>
      </w:r>
      <w:r>
        <w:rPr>
          <w:rFonts w:hint="eastAsia" w:ascii="MS UI Gothic" w:eastAsia="MS UI Gothic"/>
          <w:spacing w:val="-27"/>
        </w:rPr>
        <w:t xml:space="preserve"> </w:t>
      </w:r>
      <w:r>
        <w:t>月</w:t>
      </w:r>
      <w:r>
        <w:rPr>
          <w:spacing w:val="-70"/>
        </w:rPr>
        <w:t xml:space="preserve"> </w:t>
      </w:r>
      <w:r>
        <w:rPr>
          <w:rFonts w:hint="eastAsia" w:ascii="MS UI Gothic" w:eastAsia="MS UI Gothic"/>
        </w:rPr>
        <w:t>２９</w:t>
      </w:r>
      <w:r>
        <w:rPr>
          <w:rFonts w:hint="eastAsia" w:ascii="MS UI Gothic" w:eastAsia="MS UI Gothic"/>
          <w:spacing w:val="-27"/>
        </w:rPr>
        <w:t xml:space="preserve"> </w:t>
      </w:r>
      <w:r>
        <w:rPr>
          <w:spacing w:val="11"/>
        </w:rPr>
        <w:t>日第九届全国人民代表大会常务委员会第</w:t>
      </w:r>
      <w:r>
        <w:t>二</w:t>
      </w:r>
    </w:p>
    <w:p>
      <w:pPr>
        <w:pStyle w:val="6"/>
        <w:spacing w:before="58"/>
        <w:ind w:left="0" w:right="126" w:firstLine="0"/>
        <w:jc w:val="right"/>
      </w:pPr>
      <w:r>
        <w:rPr>
          <w:spacing w:val="3"/>
        </w:rPr>
        <w:t>十五次会议通过</w:t>
      </w:r>
      <w:r>
        <w:rPr>
          <w:rFonts w:hint="eastAsia" w:ascii="Microsoft Yi Baiti" w:eastAsia="Microsoft Yi Baiti"/>
          <w:spacing w:val="-11"/>
        </w:rPr>
        <w:t xml:space="preserve">ꎬ </w:t>
      </w:r>
      <w:r>
        <w:rPr>
          <w:rFonts w:hint="eastAsia" w:ascii="MS UI Gothic" w:eastAsia="MS UI Gothic"/>
          <w:spacing w:val="-5"/>
        </w:rPr>
        <w:t xml:space="preserve">２００１ </w:t>
      </w:r>
      <w:r>
        <w:rPr>
          <w:spacing w:val="-33"/>
        </w:rPr>
        <w:t xml:space="preserve">年 </w:t>
      </w:r>
      <w:r>
        <w:rPr>
          <w:rFonts w:hint="eastAsia" w:ascii="MS UI Gothic" w:eastAsia="MS UI Gothic"/>
          <w:spacing w:val="-8"/>
        </w:rPr>
        <w:t xml:space="preserve">１２ </w:t>
      </w:r>
      <w:r>
        <w:rPr>
          <w:spacing w:val="-30"/>
        </w:rPr>
        <w:t xml:space="preserve">月 </w:t>
      </w:r>
      <w:r>
        <w:rPr>
          <w:rFonts w:hint="eastAsia" w:ascii="MS UI Gothic" w:eastAsia="MS UI Gothic"/>
          <w:spacing w:val="-6"/>
        </w:rPr>
        <w:t xml:space="preserve">２９ </w:t>
      </w:r>
      <w:r>
        <w:rPr>
          <w:spacing w:val="10"/>
        </w:rPr>
        <w:t>日中华人民共和国主席令第六十四号公布</w:t>
      </w:r>
      <w:r>
        <w:rPr>
          <w:rFonts w:hint="eastAsia" w:ascii="Microsoft Yi Baiti" w:eastAsia="Microsoft Yi Baiti"/>
          <w:spacing w:val="-6"/>
        </w:rPr>
        <w:t xml:space="preserve">ꎬ </w:t>
      </w:r>
      <w:r>
        <w:rPr>
          <w:spacing w:val="7"/>
        </w:rPr>
        <w:t>自公布</w:t>
      </w:r>
    </w:p>
    <w:p>
      <w:pPr>
        <w:pStyle w:val="6"/>
        <w:tabs>
          <w:tab w:val="left" w:pos="1251"/>
        </w:tabs>
        <w:spacing w:before="58"/>
        <w:ind w:left="0" w:right="126" w:firstLine="0"/>
        <w:jc w:val="right"/>
      </w:pPr>
      <w:r>
        <w:rPr>
          <w:spacing w:val="3"/>
        </w:rPr>
        <w:t>之日起施</w:t>
      </w:r>
      <w:r>
        <w:t>行</w:t>
      </w:r>
      <w:r>
        <w:tab/>
      </w:r>
      <w:r>
        <w:rPr>
          <w:rFonts w:hint="eastAsia" w:ascii="MS UI Gothic" w:eastAsia="MS UI Gothic"/>
        </w:rPr>
        <w:t>２００２</w:t>
      </w:r>
      <w:r>
        <w:rPr>
          <w:rFonts w:hint="eastAsia" w:ascii="MS UI Gothic" w:eastAsia="MS UI Gothic"/>
          <w:spacing w:val="-30"/>
        </w:rPr>
        <w:t xml:space="preserve"> </w:t>
      </w:r>
      <w:r>
        <w:t>年</w:t>
      </w:r>
      <w:r>
        <w:rPr>
          <w:spacing w:val="-72"/>
        </w:rPr>
        <w:t xml:space="preserve"> </w:t>
      </w:r>
      <w:r>
        <w:rPr>
          <w:rFonts w:hint="eastAsia" w:ascii="MS UI Gothic" w:eastAsia="MS UI Gothic"/>
        </w:rPr>
        <w:t>１２</w:t>
      </w:r>
      <w:r>
        <w:rPr>
          <w:rFonts w:hint="eastAsia" w:ascii="MS UI Gothic" w:eastAsia="MS UI Gothic"/>
          <w:spacing w:val="-29"/>
        </w:rPr>
        <w:t xml:space="preserve"> </w:t>
      </w:r>
      <w:r>
        <w:t>月</w:t>
      </w:r>
      <w:r>
        <w:rPr>
          <w:spacing w:val="-73"/>
        </w:rPr>
        <w:t xml:space="preserve"> </w:t>
      </w:r>
      <w:r>
        <w:rPr>
          <w:rFonts w:hint="eastAsia" w:ascii="MS UI Gothic" w:eastAsia="MS UI Gothic"/>
        </w:rPr>
        <w:t>２８</w:t>
      </w:r>
      <w:r>
        <w:rPr>
          <w:rFonts w:hint="eastAsia" w:ascii="MS UI Gothic" w:eastAsia="MS UI Gothic"/>
          <w:spacing w:val="-29"/>
        </w:rPr>
        <w:t xml:space="preserve"> </w:t>
      </w:r>
      <w:r>
        <w:rPr>
          <w:spacing w:val="7"/>
        </w:rPr>
        <w:t>日</w:t>
      </w:r>
      <w:r>
        <w:rPr>
          <w:spacing w:val="9"/>
        </w:rPr>
        <w:t>第</w:t>
      </w:r>
      <w:r>
        <w:rPr>
          <w:spacing w:val="11"/>
        </w:rPr>
        <w:t>九届全国人民代表大会常务委员会第三十一次会</w:t>
      </w:r>
      <w:r>
        <w:t>议</w:t>
      </w:r>
    </w:p>
    <w:p>
      <w:pPr>
        <w:pStyle w:val="6"/>
        <w:tabs>
          <w:tab w:val="left" w:pos="2520"/>
        </w:tabs>
        <w:spacing w:before="58"/>
        <w:ind w:left="0" w:right="126" w:firstLine="0"/>
        <w:jc w:val="right"/>
      </w:pPr>
      <w:r>
        <w:rPr>
          <w:spacing w:val="3"/>
        </w:rPr>
        <w:t>通过</w:t>
      </w:r>
      <w:r>
        <w:rPr>
          <w:rFonts w:hint="eastAsia" w:ascii="Microsoft Yi Baiti" w:eastAsia="Microsoft Yi Baiti"/>
        </w:rPr>
        <w:t>ꎬ</w:t>
      </w:r>
      <w:r>
        <w:rPr>
          <w:rFonts w:hint="eastAsia" w:ascii="Microsoft Yi Baiti" w:eastAsia="Microsoft Yi Baiti"/>
          <w:spacing w:val="28"/>
        </w:rPr>
        <w:t xml:space="preserve"> </w:t>
      </w:r>
      <w:r>
        <w:rPr>
          <w:spacing w:val="3"/>
        </w:rPr>
        <w:t>自公布之日</w:t>
      </w:r>
      <w:r>
        <w:rPr>
          <w:spacing w:val="5"/>
        </w:rPr>
        <w:t>起施</w:t>
      </w:r>
      <w:r>
        <w:t>行</w:t>
      </w:r>
      <w:r>
        <w:tab/>
      </w:r>
      <w:r>
        <w:rPr>
          <w:rFonts w:hint="eastAsia" w:ascii="MS UI Gothic" w:eastAsia="MS UI Gothic"/>
        </w:rPr>
        <w:t>２００５</w:t>
      </w:r>
      <w:r>
        <w:rPr>
          <w:rFonts w:hint="eastAsia" w:ascii="MS UI Gothic" w:eastAsia="MS UI Gothic"/>
          <w:spacing w:val="-24"/>
        </w:rPr>
        <w:t xml:space="preserve"> </w:t>
      </w:r>
      <w:r>
        <w:t>年</w:t>
      </w:r>
      <w:r>
        <w:rPr>
          <w:spacing w:val="-67"/>
        </w:rPr>
        <w:t xml:space="preserve"> </w:t>
      </w:r>
      <w:r>
        <w:rPr>
          <w:rFonts w:hint="eastAsia" w:ascii="MS UI Gothic" w:eastAsia="MS UI Gothic"/>
        </w:rPr>
        <w:t>２</w:t>
      </w:r>
      <w:r>
        <w:rPr>
          <w:rFonts w:hint="eastAsia" w:ascii="MS UI Gothic" w:eastAsia="MS UI Gothic"/>
          <w:spacing w:val="-24"/>
        </w:rPr>
        <w:t xml:space="preserve"> </w:t>
      </w:r>
      <w:r>
        <w:t>月</w:t>
      </w:r>
      <w:r>
        <w:rPr>
          <w:spacing w:val="-68"/>
        </w:rPr>
        <w:t xml:space="preserve"> </w:t>
      </w:r>
      <w:r>
        <w:rPr>
          <w:rFonts w:hint="eastAsia" w:ascii="MS UI Gothic" w:eastAsia="MS UI Gothic"/>
        </w:rPr>
        <w:t>２８</w:t>
      </w:r>
      <w:r>
        <w:rPr>
          <w:rFonts w:hint="eastAsia" w:ascii="MS UI Gothic" w:eastAsia="MS UI Gothic"/>
          <w:spacing w:val="-24"/>
        </w:rPr>
        <w:t xml:space="preserve"> </w:t>
      </w:r>
      <w:r>
        <w:rPr>
          <w:spacing w:val="5"/>
        </w:rPr>
        <w:t>日第十届全国人民代表大会常务委员会第</w:t>
      </w:r>
      <w:r>
        <w:t>十</w:t>
      </w:r>
    </w:p>
    <w:p>
      <w:pPr>
        <w:pStyle w:val="6"/>
        <w:tabs>
          <w:tab w:val="left" w:pos="3367"/>
        </w:tabs>
        <w:spacing w:before="59"/>
        <w:ind w:left="0" w:right="126" w:firstLine="0"/>
        <w:jc w:val="right"/>
      </w:pPr>
      <w:r>
        <w:rPr>
          <w:spacing w:val="3"/>
        </w:rPr>
        <w:t>四次会议通过</w:t>
      </w:r>
      <w:r>
        <w:rPr>
          <w:rFonts w:hint="eastAsia" w:ascii="Microsoft Yi Baiti" w:eastAsia="Microsoft Yi Baiti"/>
        </w:rPr>
        <w:t>ꎬ</w:t>
      </w:r>
      <w:r>
        <w:rPr>
          <w:rFonts w:hint="eastAsia" w:ascii="Microsoft Yi Baiti" w:eastAsia="Microsoft Yi Baiti"/>
          <w:spacing w:val="38"/>
        </w:rPr>
        <w:t xml:space="preserve"> </w:t>
      </w:r>
      <w:r>
        <w:rPr>
          <w:spacing w:val="3"/>
        </w:rPr>
        <w:t>自</w:t>
      </w:r>
      <w:r>
        <w:rPr>
          <w:spacing w:val="5"/>
        </w:rPr>
        <w:t>公布之日起施</w:t>
      </w:r>
      <w:r>
        <w:t>行</w:t>
      </w:r>
      <w:r>
        <w:tab/>
      </w:r>
      <w:r>
        <w:rPr>
          <w:rFonts w:hint="eastAsia" w:ascii="MS UI Gothic" w:eastAsia="MS UI Gothic"/>
        </w:rPr>
        <w:t>２００６</w:t>
      </w:r>
      <w:r>
        <w:rPr>
          <w:rFonts w:hint="eastAsia" w:ascii="MS UI Gothic" w:eastAsia="MS UI Gothic"/>
          <w:spacing w:val="-28"/>
        </w:rPr>
        <w:t xml:space="preserve"> </w:t>
      </w:r>
      <w:r>
        <w:t>年</w:t>
      </w:r>
      <w:r>
        <w:rPr>
          <w:spacing w:val="-72"/>
        </w:rPr>
        <w:t xml:space="preserve"> </w:t>
      </w:r>
      <w:r>
        <w:rPr>
          <w:rFonts w:hint="eastAsia" w:ascii="MS UI Gothic" w:eastAsia="MS UI Gothic"/>
        </w:rPr>
        <w:t>６</w:t>
      </w:r>
      <w:r>
        <w:rPr>
          <w:rFonts w:hint="eastAsia" w:ascii="MS UI Gothic" w:eastAsia="MS UI Gothic"/>
          <w:spacing w:val="-29"/>
        </w:rPr>
        <w:t xml:space="preserve"> </w:t>
      </w:r>
      <w:r>
        <w:t>月</w:t>
      </w:r>
      <w:r>
        <w:rPr>
          <w:spacing w:val="-72"/>
        </w:rPr>
        <w:t xml:space="preserve"> </w:t>
      </w:r>
      <w:r>
        <w:rPr>
          <w:rFonts w:hint="eastAsia" w:ascii="MS UI Gothic" w:eastAsia="MS UI Gothic"/>
        </w:rPr>
        <w:t>２９</w:t>
      </w:r>
      <w:r>
        <w:rPr>
          <w:rFonts w:hint="eastAsia" w:ascii="MS UI Gothic" w:eastAsia="MS UI Gothic"/>
          <w:spacing w:val="-28"/>
        </w:rPr>
        <w:t xml:space="preserve"> </w:t>
      </w:r>
      <w:r>
        <w:rPr>
          <w:spacing w:val="5"/>
        </w:rPr>
        <w:t>日第十届全国人民代表大会常务</w:t>
      </w:r>
      <w:r>
        <w:t>委</w:t>
      </w:r>
    </w:p>
    <w:p>
      <w:pPr>
        <w:pStyle w:val="6"/>
        <w:tabs>
          <w:tab w:val="left" w:pos="4424"/>
        </w:tabs>
        <w:spacing w:before="58"/>
        <w:ind w:left="0" w:right="126" w:firstLine="0"/>
        <w:jc w:val="right"/>
      </w:pPr>
      <w:r>
        <w:rPr>
          <w:spacing w:val="3"/>
        </w:rPr>
        <w:t>员会第二十二次</w:t>
      </w:r>
      <w:r>
        <w:rPr>
          <w:spacing w:val="5"/>
        </w:rPr>
        <w:t>会议通</w:t>
      </w:r>
      <w:r>
        <w:rPr>
          <w:spacing w:val="3"/>
        </w:rPr>
        <w:t>过</w:t>
      </w:r>
      <w:r>
        <w:rPr>
          <w:rFonts w:hint="eastAsia" w:ascii="Microsoft Yi Baiti" w:eastAsia="Microsoft Yi Baiti"/>
        </w:rPr>
        <w:t>ꎬ</w:t>
      </w:r>
      <w:r>
        <w:rPr>
          <w:rFonts w:hint="eastAsia" w:ascii="Microsoft Yi Baiti" w:eastAsia="Microsoft Yi Baiti"/>
          <w:spacing w:val="54"/>
        </w:rPr>
        <w:t xml:space="preserve"> </w:t>
      </w:r>
      <w:r>
        <w:rPr>
          <w:spacing w:val="5"/>
        </w:rPr>
        <w:t>自公布之日起施</w:t>
      </w:r>
      <w:r>
        <w:t>行</w:t>
      </w:r>
      <w:r>
        <w:tab/>
      </w:r>
      <w:r>
        <w:rPr>
          <w:rFonts w:hint="eastAsia" w:ascii="MS UI Gothic" w:eastAsia="MS UI Gothic"/>
        </w:rPr>
        <w:t>２００９</w:t>
      </w:r>
      <w:r>
        <w:rPr>
          <w:rFonts w:hint="eastAsia" w:ascii="MS UI Gothic" w:eastAsia="MS UI Gothic"/>
          <w:spacing w:val="-35"/>
        </w:rPr>
        <w:t xml:space="preserve"> </w:t>
      </w:r>
      <w:r>
        <w:t>年</w:t>
      </w:r>
      <w:r>
        <w:rPr>
          <w:spacing w:val="-77"/>
        </w:rPr>
        <w:t xml:space="preserve"> </w:t>
      </w:r>
      <w:r>
        <w:rPr>
          <w:rFonts w:hint="eastAsia" w:ascii="MS UI Gothic" w:eastAsia="MS UI Gothic"/>
        </w:rPr>
        <w:t>２</w:t>
      </w:r>
      <w:r>
        <w:rPr>
          <w:rFonts w:hint="eastAsia" w:ascii="MS UI Gothic" w:eastAsia="MS UI Gothic"/>
          <w:spacing w:val="-35"/>
        </w:rPr>
        <w:t xml:space="preserve"> </w:t>
      </w:r>
      <w:r>
        <w:t>月</w:t>
      </w:r>
      <w:r>
        <w:rPr>
          <w:spacing w:val="-77"/>
        </w:rPr>
        <w:t xml:space="preserve"> </w:t>
      </w:r>
      <w:r>
        <w:rPr>
          <w:rFonts w:hint="eastAsia" w:ascii="MS UI Gothic" w:eastAsia="MS UI Gothic"/>
        </w:rPr>
        <w:t>２８</w:t>
      </w:r>
      <w:r>
        <w:rPr>
          <w:rFonts w:hint="eastAsia" w:ascii="MS UI Gothic" w:eastAsia="MS UI Gothic"/>
          <w:spacing w:val="-35"/>
        </w:rPr>
        <w:t xml:space="preserve"> </w:t>
      </w:r>
      <w:r>
        <w:rPr>
          <w:spacing w:val="5"/>
        </w:rPr>
        <w:t>日第十一届全国人民</w:t>
      </w:r>
      <w:r>
        <w:t>代</w:t>
      </w:r>
    </w:p>
    <w:p>
      <w:pPr>
        <w:pStyle w:val="6"/>
        <w:tabs>
          <w:tab w:val="left" w:pos="5270"/>
        </w:tabs>
        <w:spacing w:before="58"/>
        <w:ind w:left="0" w:right="126" w:firstLine="0"/>
        <w:jc w:val="right"/>
      </w:pPr>
      <w:r>
        <w:rPr>
          <w:spacing w:val="3"/>
        </w:rPr>
        <w:t>表大会常务委员</w:t>
      </w:r>
      <w:r>
        <w:rPr>
          <w:spacing w:val="5"/>
        </w:rPr>
        <w:t>会第七次会议通</w:t>
      </w:r>
      <w:r>
        <w:rPr>
          <w:spacing w:val="3"/>
        </w:rPr>
        <w:t>过</w:t>
      </w:r>
      <w:r>
        <w:rPr>
          <w:rFonts w:hint="eastAsia" w:ascii="Microsoft Yi Baiti" w:eastAsia="Microsoft Yi Baiti"/>
        </w:rPr>
        <w:t>ꎬ</w:t>
      </w:r>
      <w:r>
        <w:rPr>
          <w:rFonts w:hint="eastAsia" w:ascii="Microsoft Yi Baiti" w:eastAsia="Microsoft Yi Baiti"/>
          <w:spacing w:val="64"/>
        </w:rPr>
        <w:t xml:space="preserve"> </w:t>
      </w:r>
      <w:r>
        <w:rPr>
          <w:spacing w:val="5"/>
        </w:rPr>
        <w:t>自公布之日起施</w:t>
      </w:r>
      <w:r>
        <w:t>行</w:t>
      </w:r>
      <w:r>
        <w:tab/>
      </w:r>
      <w:r>
        <w:rPr>
          <w:rFonts w:hint="eastAsia" w:ascii="MS UI Gothic" w:eastAsia="MS UI Gothic"/>
        </w:rPr>
        <w:t>２０１１</w:t>
      </w:r>
      <w:r>
        <w:rPr>
          <w:rFonts w:hint="eastAsia" w:ascii="MS UI Gothic" w:eastAsia="MS UI Gothic"/>
          <w:spacing w:val="-39"/>
        </w:rPr>
        <w:t xml:space="preserve"> </w:t>
      </w:r>
      <w:r>
        <w:t>年</w:t>
      </w:r>
      <w:r>
        <w:rPr>
          <w:spacing w:val="-81"/>
        </w:rPr>
        <w:t xml:space="preserve"> </w:t>
      </w:r>
      <w:r>
        <w:rPr>
          <w:rFonts w:hint="eastAsia" w:ascii="MS UI Gothic" w:eastAsia="MS UI Gothic"/>
        </w:rPr>
        <w:t>２</w:t>
      </w:r>
      <w:r>
        <w:rPr>
          <w:rFonts w:hint="eastAsia" w:ascii="MS UI Gothic" w:eastAsia="MS UI Gothic"/>
          <w:spacing w:val="-40"/>
        </w:rPr>
        <w:t xml:space="preserve"> </w:t>
      </w:r>
      <w:r>
        <w:t>月</w:t>
      </w:r>
      <w:r>
        <w:rPr>
          <w:spacing w:val="-81"/>
        </w:rPr>
        <w:t xml:space="preserve"> </w:t>
      </w:r>
      <w:r>
        <w:rPr>
          <w:rFonts w:hint="eastAsia" w:ascii="MS UI Gothic" w:eastAsia="MS UI Gothic"/>
        </w:rPr>
        <w:t>２５</w:t>
      </w:r>
      <w:r>
        <w:rPr>
          <w:rFonts w:hint="eastAsia" w:ascii="MS UI Gothic" w:eastAsia="MS UI Gothic"/>
          <w:spacing w:val="-39"/>
        </w:rPr>
        <w:t xml:space="preserve"> </w:t>
      </w:r>
      <w:r>
        <w:rPr>
          <w:spacing w:val="5"/>
        </w:rPr>
        <w:t>日第十一届</w:t>
      </w:r>
      <w:r>
        <w:t>全</w:t>
      </w:r>
    </w:p>
    <w:p>
      <w:pPr>
        <w:pStyle w:val="6"/>
        <w:tabs>
          <w:tab w:val="left" w:pos="7114"/>
        </w:tabs>
        <w:spacing w:before="58"/>
        <w:ind w:left="0" w:right="128" w:firstLine="0"/>
        <w:jc w:val="right"/>
        <w:rPr>
          <w:rFonts w:hint="eastAsia" w:ascii="MS UI Gothic" w:eastAsia="MS UI Gothic"/>
        </w:rPr>
      </w:pPr>
      <w:r>
        <w:rPr>
          <w:spacing w:val="3"/>
        </w:rPr>
        <w:t>国人民代表大会常务委员会第十</w:t>
      </w:r>
      <w:r>
        <w:rPr>
          <w:spacing w:val="5"/>
        </w:rPr>
        <w:t>九</w:t>
      </w:r>
      <w:r>
        <w:rPr>
          <w:spacing w:val="9"/>
        </w:rPr>
        <w:t>次会议通</w:t>
      </w:r>
      <w:r>
        <w:rPr>
          <w:spacing w:val="3"/>
        </w:rPr>
        <w:t>过</w:t>
      </w:r>
      <w:r>
        <w:rPr>
          <w:rFonts w:hint="eastAsia" w:ascii="Microsoft Yi Baiti" w:eastAsia="Microsoft Yi Baiti"/>
        </w:rPr>
        <w:t>ꎬ</w:t>
      </w:r>
      <w:r>
        <w:rPr>
          <w:rFonts w:hint="eastAsia" w:ascii="Microsoft Yi Baiti" w:eastAsia="Microsoft Yi Baiti"/>
          <w:spacing w:val="8"/>
        </w:rPr>
        <w:t xml:space="preserve"> </w:t>
      </w:r>
      <w:r>
        <w:t>自</w:t>
      </w:r>
      <w:r>
        <w:rPr>
          <w:spacing w:val="-50"/>
        </w:rPr>
        <w:t xml:space="preserve"> </w:t>
      </w:r>
      <w:r>
        <w:rPr>
          <w:rFonts w:hint="eastAsia" w:ascii="MS UI Gothic" w:eastAsia="MS UI Gothic"/>
        </w:rPr>
        <w:t>２０１１</w:t>
      </w:r>
      <w:r>
        <w:rPr>
          <w:rFonts w:hint="eastAsia" w:ascii="MS UI Gothic" w:eastAsia="MS UI Gothic"/>
          <w:spacing w:val="-4"/>
        </w:rPr>
        <w:t xml:space="preserve"> </w:t>
      </w:r>
      <w:r>
        <w:t>年</w:t>
      </w:r>
      <w:r>
        <w:rPr>
          <w:spacing w:val="-50"/>
        </w:rPr>
        <w:t xml:space="preserve"> </w:t>
      </w:r>
      <w:r>
        <w:rPr>
          <w:rFonts w:hint="eastAsia" w:ascii="MS UI Gothic" w:eastAsia="MS UI Gothic"/>
        </w:rPr>
        <w:t>５</w:t>
      </w:r>
      <w:r>
        <w:rPr>
          <w:rFonts w:hint="eastAsia" w:ascii="MS UI Gothic" w:eastAsia="MS UI Gothic"/>
          <w:spacing w:val="-4"/>
        </w:rPr>
        <w:t xml:space="preserve"> </w:t>
      </w:r>
      <w:r>
        <w:t>月</w:t>
      </w:r>
      <w:r>
        <w:rPr>
          <w:spacing w:val="-50"/>
        </w:rPr>
        <w:t xml:space="preserve"> </w:t>
      </w:r>
      <w:r>
        <w:rPr>
          <w:rFonts w:hint="eastAsia" w:ascii="MS UI Gothic" w:eastAsia="MS UI Gothic"/>
        </w:rPr>
        <w:t>１</w:t>
      </w:r>
      <w:r>
        <w:rPr>
          <w:rFonts w:hint="eastAsia" w:ascii="MS UI Gothic" w:eastAsia="MS UI Gothic"/>
          <w:spacing w:val="-4"/>
        </w:rPr>
        <w:t xml:space="preserve"> </w:t>
      </w:r>
      <w:r>
        <w:rPr>
          <w:spacing w:val="9"/>
        </w:rPr>
        <w:t>日起施</w:t>
      </w:r>
      <w:r>
        <w:t>行</w:t>
      </w:r>
      <w:r>
        <w:tab/>
      </w:r>
      <w:r>
        <w:rPr>
          <w:rFonts w:hint="eastAsia" w:ascii="MS UI Gothic" w:eastAsia="MS UI Gothic"/>
          <w:w w:val="90"/>
        </w:rPr>
        <w:t>２０１５</w:t>
      </w:r>
      <w:r>
        <w:rPr>
          <w:rFonts w:hint="eastAsia" w:ascii="MS UI Gothic" w:eastAsia="MS UI Gothic"/>
          <w:spacing w:val="-28"/>
          <w:w w:val="90"/>
        </w:rPr>
        <w:t xml:space="preserve"> </w:t>
      </w:r>
      <w:r>
        <w:rPr>
          <w:w w:val="90"/>
        </w:rPr>
        <w:t>年</w:t>
      </w:r>
      <w:r>
        <w:rPr>
          <w:spacing w:val="-68"/>
          <w:w w:val="90"/>
        </w:rPr>
        <w:t xml:space="preserve"> </w:t>
      </w:r>
      <w:r>
        <w:rPr>
          <w:rFonts w:hint="eastAsia" w:ascii="MS UI Gothic" w:eastAsia="MS UI Gothic"/>
          <w:w w:val="90"/>
        </w:rPr>
        <w:t>８</w:t>
      </w:r>
    </w:p>
    <w:p>
      <w:pPr>
        <w:pStyle w:val="6"/>
        <w:spacing w:before="58"/>
        <w:ind w:left="0" w:right="128" w:firstLine="0"/>
        <w:jc w:val="right"/>
        <w:rPr>
          <w:rFonts w:hint="eastAsia" w:ascii="MS UI Gothic" w:eastAsia="MS UI Gothic"/>
        </w:rPr>
      </w:pPr>
      <w:r>
        <w:rPr>
          <w:spacing w:val="-33"/>
        </w:rPr>
        <w:t xml:space="preserve">月 </w:t>
      </w:r>
      <w:r>
        <w:rPr>
          <w:rFonts w:hint="eastAsia" w:ascii="MS UI Gothic" w:eastAsia="MS UI Gothic"/>
          <w:spacing w:val="-8"/>
        </w:rPr>
        <w:t xml:space="preserve">２９ </w:t>
      </w:r>
      <w:r>
        <w:rPr>
          <w:spacing w:val="3"/>
        </w:rPr>
        <w:t>日第十二届全国人民代表大会常务委员会第十六次会议通过</w:t>
      </w:r>
      <w:r>
        <w:rPr>
          <w:rFonts w:hint="eastAsia" w:ascii="Microsoft Yi Baiti" w:eastAsia="Microsoft Yi Baiti"/>
          <w:spacing w:val="-6"/>
        </w:rPr>
        <w:t xml:space="preserve">ꎬ </w:t>
      </w:r>
      <w:r>
        <w:rPr>
          <w:spacing w:val="-30"/>
        </w:rPr>
        <w:t xml:space="preserve">自 </w:t>
      </w:r>
      <w:r>
        <w:rPr>
          <w:rFonts w:hint="eastAsia" w:ascii="MS UI Gothic" w:eastAsia="MS UI Gothic"/>
          <w:spacing w:val="-3"/>
        </w:rPr>
        <w:t xml:space="preserve">２０１５ </w:t>
      </w:r>
      <w:r>
        <w:rPr>
          <w:spacing w:val="-30"/>
        </w:rPr>
        <w:t xml:space="preserve">年 </w:t>
      </w:r>
      <w:r>
        <w:rPr>
          <w:rFonts w:hint="eastAsia" w:ascii="MS UI Gothic" w:eastAsia="MS UI Gothic"/>
          <w:spacing w:val="-5"/>
        </w:rPr>
        <w:t xml:space="preserve">１１ </w:t>
      </w:r>
      <w:r>
        <w:rPr>
          <w:spacing w:val="-29"/>
        </w:rPr>
        <w:t xml:space="preserve">月 </w:t>
      </w:r>
      <w:r>
        <w:rPr>
          <w:rFonts w:hint="eastAsia" w:ascii="MS UI Gothic" w:eastAsia="MS UI Gothic"/>
        </w:rPr>
        <w:t>１</w:t>
      </w:r>
    </w:p>
    <w:p>
      <w:pPr>
        <w:pStyle w:val="6"/>
        <w:tabs>
          <w:tab w:val="left" w:pos="1483"/>
        </w:tabs>
        <w:spacing w:before="58" w:line="295" w:lineRule="auto"/>
        <w:ind w:left="440" w:right="126" w:firstLine="0"/>
        <w:jc w:val="left"/>
        <w:rPr>
          <w:rFonts w:hint="eastAsia" w:ascii="Microsoft Yi Baiti" w:eastAsia="Microsoft Yi Baiti"/>
        </w:rPr>
      </w:pPr>
      <w:r>
        <w:rPr>
          <w:spacing w:val="3"/>
        </w:rPr>
        <w:t>日起施</w:t>
      </w:r>
      <w:r>
        <w:t>行</w:t>
      </w:r>
      <w:r>
        <w:tab/>
      </w:r>
      <w:r>
        <w:rPr>
          <w:rFonts w:hint="eastAsia" w:ascii="MS UI Gothic" w:eastAsia="MS UI Gothic"/>
        </w:rPr>
        <w:t>２０１７</w:t>
      </w:r>
      <w:r>
        <w:rPr>
          <w:rFonts w:hint="eastAsia" w:ascii="MS UI Gothic" w:eastAsia="MS UI Gothic"/>
          <w:spacing w:val="-16"/>
        </w:rPr>
        <w:t xml:space="preserve"> </w:t>
      </w:r>
      <w:r>
        <w:t>年</w:t>
      </w:r>
      <w:r>
        <w:rPr>
          <w:spacing w:val="-61"/>
        </w:rPr>
        <w:t xml:space="preserve"> </w:t>
      </w:r>
      <w:r>
        <w:rPr>
          <w:rFonts w:hint="eastAsia" w:ascii="MS UI Gothic" w:eastAsia="MS UI Gothic"/>
        </w:rPr>
        <w:t>１１</w:t>
      </w:r>
      <w:r>
        <w:rPr>
          <w:rFonts w:hint="eastAsia" w:ascii="MS UI Gothic" w:eastAsia="MS UI Gothic"/>
          <w:spacing w:val="-15"/>
        </w:rPr>
        <w:t xml:space="preserve"> </w:t>
      </w:r>
      <w:r>
        <w:t>月</w:t>
      </w:r>
      <w:r>
        <w:rPr>
          <w:spacing w:val="-61"/>
        </w:rPr>
        <w:t xml:space="preserve"> </w:t>
      </w:r>
      <w:r>
        <w:rPr>
          <w:rFonts w:hint="eastAsia" w:ascii="MS UI Gothic" w:eastAsia="MS UI Gothic"/>
        </w:rPr>
        <w:t>４</w:t>
      </w:r>
      <w:r>
        <w:rPr>
          <w:rFonts w:hint="eastAsia" w:ascii="MS UI Gothic" w:eastAsia="MS UI Gothic"/>
          <w:spacing w:val="-15"/>
        </w:rPr>
        <w:t xml:space="preserve"> </w:t>
      </w:r>
      <w:r>
        <w:rPr>
          <w:spacing w:val="5"/>
        </w:rPr>
        <w:t>日第十二届全国人大常委会第三十次会议表决通</w:t>
      </w:r>
      <w:r>
        <w:rPr>
          <w:spacing w:val="3"/>
        </w:rPr>
        <w:t>过</w:t>
      </w:r>
      <w:r>
        <w:rPr>
          <w:rFonts w:hint="eastAsia" w:ascii="Microsoft Yi Baiti" w:eastAsia="Microsoft Yi Baiti"/>
        </w:rPr>
        <w:t>ꎬ</w:t>
      </w:r>
      <w:r>
        <w:rPr>
          <w:rFonts w:hint="eastAsia" w:ascii="Microsoft Yi Baiti" w:eastAsia="Microsoft Yi Baiti"/>
          <w:spacing w:val="-10"/>
        </w:rPr>
        <w:t xml:space="preserve"> </w:t>
      </w:r>
      <w:r>
        <w:rPr>
          <w:spacing w:val="5"/>
        </w:rPr>
        <w:t>自公</w:t>
      </w:r>
      <w:r>
        <w:t>布</w:t>
      </w:r>
      <w:r>
        <w:rPr>
          <w:spacing w:val="3"/>
        </w:rPr>
        <w:t>之日起施行</w:t>
      </w:r>
      <w:r>
        <w:rPr>
          <w:rFonts w:hint="eastAsia" w:ascii="Microsoft Yi Baiti" w:eastAsia="Microsoft Yi Baiti"/>
        </w:rPr>
        <w:t>)</w:t>
      </w:r>
    </w:p>
    <w:p>
      <w:pPr>
        <w:pStyle w:val="6"/>
        <w:spacing w:before="5"/>
        <w:ind w:left="0" w:firstLine="0"/>
        <w:jc w:val="left"/>
        <w:rPr>
          <w:rFonts w:ascii="Microsoft Yi Baiti"/>
          <w:sz w:val="13"/>
        </w:rPr>
      </w:pPr>
    </w:p>
    <w:p>
      <w:pPr>
        <w:spacing w:after="0"/>
        <w:jc w:val="left"/>
        <w:rPr>
          <w:rFonts w:ascii="Microsoft Yi Baiti"/>
          <w:sz w:val="13"/>
        </w:rPr>
        <w:sectPr>
          <w:type w:val="continuous"/>
          <w:pgSz w:w="10500" w:h="14750"/>
          <w:pgMar w:top="1400" w:right="980" w:bottom="280" w:left="980" w:header="720" w:footer="720" w:gutter="0"/>
        </w:sectPr>
      </w:pPr>
    </w:p>
    <w:p>
      <w:pPr>
        <w:pStyle w:val="6"/>
        <w:spacing w:before="175" w:line="288" w:lineRule="auto"/>
        <w:ind w:left="440"/>
        <w:rPr>
          <w:rFonts w:hint="eastAsia" w:ascii="MS UI Gothic" w:eastAsia="MS UI Gothic"/>
        </w:rPr>
      </w:pPr>
      <w:r>
        <w:rPr>
          <w:spacing w:val="18"/>
        </w:rPr>
        <w:t xml:space="preserve">第一百二十五条  </w:t>
      </w:r>
      <w:r>
        <w:rPr>
          <w:rFonts w:hint="eastAsia" w:ascii="MS UI Gothic" w:eastAsia="MS UI Gothic"/>
          <w:spacing w:val="32"/>
        </w:rPr>
        <w:t>【</w:t>
      </w:r>
      <w:r>
        <w:rPr>
          <w:spacing w:val="18"/>
        </w:rPr>
        <w:t>非法制造</w:t>
      </w:r>
      <w:r>
        <w:rPr>
          <w:rFonts w:hint="eastAsia" w:ascii="MS UI Gothic" w:eastAsia="MS UI Gothic"/>
          <w:spacing w:val="2"/>
        </w:rPr>
        <w:t xml:space="preserve">、  </w:t>
      </w:r>
      <w:r>
        <w:rPr>
          <w:spacing w:val="-11"/>
        </w:rPr>
        <w:t>买</w:t>
      </w:r>
      <w:r>
        <w:rPr>
          <w:spacing w:val="3"/>
        </w:rPr>
        <w:t>卖</w:t>
      </w:r>
      <w:r>
        <w:rPr>
          <w:rFonts w:hint="eastAsia" w:ascii="MS UI Gothic" w:eastAsia="MS UI Gothic"/>
          <w:spacing w:val="15"/>
        </w:rPr>
        <w:t xml:space="preserve">、 </w:t>
      </w:r>
      <w:r>
        <w:rPr>
          <w:spacing w:val="3"/>
        </w:rPr>
        <w:t>运输</w:t>
      </w:r>
      <w:r>
        <w:rPr>
          <w:rFonts w:hint="eastAsia" w:ascii="MS UI Gothic" w:eastAsia="MS UI Gothic"/>
          <w:spacing w:val="15"/>
        </w:rPr>
        <w:t xml:space="preserve">、 </w:t>
      </w:r>
      <w:r>
        <w:rPr>
          <w:spacing w:val="3"/>
        </w:rPr>
        <w:t>邮寄</w:t>
      </w:r>
      <w:r>
        <w:rPr>
          <w:rFonts w:hint="eastAsia" w:ascii="MS UI Gothic" w:eastAsia="MS UI Gothic"/>
          <w:spacing w:val="15"/>
        </w:rPr>
        <w:t xml:space="preserve">、 </w:t>
      </w:r>
      <w:r>
        <w:rPr>
          <w:spacing w:val="3"/>
        </w:rPr>
        <w:t>储存枪支</w:t>
      </w:r>
      <w:r>
        <w:rPr>
          <w:rFonts w:hint="eastAsia" w:ascii="MS UI Gothic" w:eastAsia="MS UI Gothic"/>
          <w:spacing w:val="15"/>
        </w:rPr>
        <w:t xml:space="preserve">、 </w:t>
      </w:r>
      <w:r>
        <w:rPr>
          <w:spacing w:val="3"/>
        </w:rPr>
        <w:t>弹药</w:t>
      </w:r>
      <w:r>
        <w:rPr>
          <w:rFonts w:hint="eastAsia" w:ascii="MS UI Gothic" w:eastAsia="MS UI Gothic"/>
          <w:spacing w:val="15"/>
        </w:rPr>
        <w:t xml:space="preserve">、 </w:t>
      </w:r>
      <w:r>
        <w:rPr>
          <w:spacing w:val="1"/>
        </w:rPr>
        <w:t>爆炸</w:t>
      </w:r>
      <w:r>
        <w:rPr>
          <w:spacing w:val="3"/>
        </w:rPr>
        <w:t>物罪</w:t>
      </w:r>
      <w:r>
        <w:rPr>
          <w:rFonts w:hint="eastAsia" w:ascii="MS UI Gothic" w:eastAsia="MS UI Gothic"/>
          <w:spacing w:val="17"/>
        </w:rPr>
        <w:t xml:space="preserve">、 </w:t>
      </w:r>
      <w:r>
        <w:rPr>
          <w:spacing w:val="3"/>
        </w:rPr>
        <w:t>非法制造</w:t>
      </w:r>
      <w:r>
        <w:rPr>
          <w:rFonts w:hint="eastAsia" w:ascii="MS UI Gothic" w:eastAsia="MS UI Gothic"/>
          <w:spacing w:val="17"/>
        </w:rPr>
        <w:t xml:space="preserve">、 </w:t>
      </w:r>
      <w:r>
        <w:rPr>
          <w:spacing w:val="3"/>
        </w:rPr>
        <w:t>买卖</w:t>
      </w:r>
      <w:r>
        <w:rPr>
          <w:rFonts w:hint="eastAsia" w:ascii="MS UI Gothic" w:eastAsia="MS UI Gothic"/>
          <w:spacing w:val="18"/>
        </w:rPr>
        <w:t xml:space="preserve">、 </w:t>
      </w:r>
      <w:r>
        <w:rPr>
          <w:spacing w:val="3"/>
        </w:rPr>
        <w:t>运输</w:t>
      </w:r>
      <w:r>
        <w:rPr>
          <w:rFonts w:hint="eastAsia" w:ascii="MS UI Gothic" w:eastAsia="MS UI Gothic"/>
          <w:spacing w:val="17"/>
        </w:rPr>
        <w:t xml:space="preserve">、 </w:t>
      </w:r>
      <w:r>
        <w:rPr>
          <w:spacing w:val="2"/>
        </w:rPr>
        <w:t>储存危险</w:t>
      </w:r>
      <w:r>
        <w:rPr>
          <w:spacing w:val="5"/>
        </w:rPr>
        <w:t>物质罪</w:t>
      </w:r>
      <w:r>
        <w:rPr>
          <w:rFonts w:hint="eastAsia" w:ascii="MS UI Gothic" w:eastAsia="MS UI Gothic"/>
          <w:spacing w:val="29"/>
        </w:rPr>
        <w:t xml:space="preserve">】 </w:t>
      </w:r>
      <w:r>
        <w:rPr>
          <w:spacing w:val="9"/>
        </w:rPr>
        <w:t>非法制造</w:t>
      </w:r>
      <w:r>
        <w:rPr>
          <w:rFonts w:hint="eastAsia" w:ascii="MS UI Gothic" w:eastAsia="MS UI Gothic"/>
          <w:spacing w:val="20"/>
        </w:rPr>
        <w:t xml:space="preserve">、 </w:t>
      </w:r>
      <w:r>
        <w:rPr>
          <w:spacing w:val="8"/>
        </w:rPr>
        <w:t>买卖</w:t>
      </w:r>
      <w:r>
        <w:rPr>
          <w:rFonts w:hint="eastAsia" w:ascii="MS UI Gothic" w:eastAsia="MS UI Gothic"/>
          <w:spacing w:val="21"/>
        </w:rPr>
        <w:t xml:space="preserve">、 </w:t>
      </w:r>
      <w:r>
        <w:rPr>
          <w:spacing w:val="8"/>
        </w:rPr>
        <w:t>运输</w:t>
      </w:r>
      <w:r>
        <w:rPr>
          <w:rFonts w:hint="eastAsia" w:ascii="MS UI Gothic" w:eastAsia="MS UI Gothic"/>
          <w:spacing w:val="21"/>
        </w:rPr>
        <w:t xml:space="preserve">、 </w:t>
      </w:r>
      <w:r>
        <w:rPr>
          <w:spacing w:val="8"/>
        </w:rPr>
        <w:t>邮寄</w:t>
      </w:r>
      <w:r>
        <w:rPr>
          <w:rFonts w:hint="eastAsia" w:ascii="MS UI Gothic" w:eastAsia="MS UI Gothic"/>
        </w:rPr>
        <w:t>、</w:t>
      </w:r>
      <w:r>
        <w:rPr>
          <w:spacing w:val="3"/>
        </w:rPr>
        <w:t>储存枪支</w:t>
      </w:r>
      <w:r>
        <w:rPr>
          <w:rFonts w:hint="eastAsia" w:ascii="MS UI Gothic" w:eastAsia="MS UI Gothic"/>
          <w:spacing w:val="17"/>
        </w:rPr>
        <w:t xml:space="preserve">、 </w:t>
      </w:r>
      <w:r>
        <w:rPr>
          <w:spacing w:val="3"/>
        </w:rPr>
        <w:t>弹药</w:t>
      </w:r>
      <w:r>
        <w:rPr>
          <w:rFonts w:hint="eastAsia" w:ascii="MS UI Gothic" w:eastAsia="MS UI Gothic"/>
          <w:spacing w:val="17"/>
        </w:rPr>
        <w:t xml:space="preserve">、 </w:t>
      </w:r>
      <w:r>
        <w:rPr>
          <w:spacing w:val="3"/>
        </w:rPr>
        <w:t>爆炸物的</w:t>
      </w:r>
      <w:r>
        <w:rPr>
          <w:rFonts w:hint="eastAsia" w:ascii="MS UI Gothic" w:eastAsia="MS UI Gothic"/>
          <w:spacing w:val="23"/>
          <w:w w:val="80"/>
        </w:rPr>
        <w:t xml:space="preserve">ꎬ </w:t>
      </w:r>
      <w:r>
        <w:rPr>
          <w:spacing w:val="2"/>
        </w:rPr>
        <w:t>处三年以上</w:t>
      </w:r>
      <w:r>
        <w:rPr>
          <w:spacing w:val="3"/>
        </w:rPr>
        <w:t>十年以下有期徒刑</w:t>
      </w:r>
      <w:r>
        <w:rPr>
          <w:rFonts w:hint="eastAsia" w:ascii="MS UI Gothic" w:eastAsia="MS UI Gothic"/>
          <w:spacing w:val="23"/>
          <w:w w:val="80"/>
        </w:rPr>
        <w:t xml:space="preserve">ꎻ </w:t>
      </w:r>
      <w:r>
        <w:rPr>
          <w:spacing w:val="3"/>
        </w:rPr>
        <w:t>情节严重的</w:t>
      </w:r>
      <w:r>
        <w:rPr>
          <w:rFonts w:hint="eastAsia" w:ascii="MS UI Gothic" w:eastAsia="MS UI Gothic"/>
          <w:spacing w:val="23"/>
          <w:w w:val="80"/>
        </w:rPr>
        <w:t xml:space="preserve">ꎬ </w:t>
      </w:r>
      <w:r>
        <w:rPr>
          <w:spacing w:val="2"/>
        </w:rPr>
        <w:t>处十年</w:t>
      </w:r>
      <w:r>
        <w:rPr>
          <w:spacing w:val="3"/>
        </w:rPr>
        <w:t>以上有期徒刑</w:t>
      </w:r>
      <w:r>
        <w:rPr>
          <w:rFonts w:hint="eastAsia" w:ascii="MS UI Gothic" w:eastAsia="MS UI Gothic"/>
          <w:spacing w:val="21"/>
        </w:rPr>
        <w:t xml:space="preserve">、 </w:t>
      </w:r>
      <w:r>
        <w:rPr>
          <w:spacing w:val="3"/>
        </w:rPr>
        <w:t>无期徒刑或者死刑</w:t>
      </w:r>
      <w:r>
        <w:rPr>
          <w:rFonts w:hint="eastAsia" w:ascii="MS UI Gothic" w:eastAsia="MS UI Gothic"/>
          <w:w w:val="80"/>
        </w:rPr>
        <w:t>ꎮ</w:t>
      </w:r>
    </w:p>
    <w:p>
      <w:pPr>
        <w:pStyle w:val="6"/>
        <w:spacing w:before="5" w:line="288" w:lineRule="auto"/>
        <w:ind w:left="440" w:right="1"/>
        <w:rPr>
          <w:rFonts w:hint="eastAsia" w:ascii="MS UI Gothic" w:eastAsia="MS UI Gothic"/>
        </w:rPr>
      </w:pPr>
      <w:r>
        <w:rPr>
          <w:spacing w:val="12"/>
        </w:rPr>
        <w:t>非法制造</w:t>
      </w:r>
      <w:r>
        <w:rPr>
          <w:rFonts w:hint="eastAsia" w:ascii="MS UI Gothic" w:eastAsia="MS UI Gothic"/>
          <w:spacing w:val="27"/>
        </w:rPr>
        <w:t xml:space="preserve">、 </w:t>
      </w:r>
      <w:r>
        <w:rPr>
          <w:spacing w:val="16"/>
        </w:rPr>
        <w:t>买卖</w:t>
      </w:r>
      <w:r>
        <w:rPr>
          <w:rFonts w:hint="eastAsia" w:ascii="MS UI Gothic" w:eastAsia="MS UI Gothic"/>
          <w:spacing w:val="27"/>
        </w:rPr>
        <w:t xml:space="preserve">、 </w:t>
      </w:r>
      <w:r>
        <w:rPr>
          <w:spacing w:val="16"/>
        </w:rPr>
        <w:t>运输</w:t>
      </w:r>
      <w:r>
        <w:rPr>
          <w:rFonts w:hint="eastAsia" w:ascii="MS UI Gothic" w:eastAsia="MS UI Gothic"/>
          <w:spacing w:val="27"/>
        </w:rPr>
        <w:t xml:space="preserve">、 </w:t>
      </w:r>
      <w:r>
        <w:rPr>
          <w:spacing w:val="18"/>
        </w:rPr>
        <w:t>储存毒害</w:t>
      </w:r>
      <w:r>
        <w:rPr>
          <w:spacing w:val="3"/>
        </w:rPr>
        <w:t>性</w:t>
      </w:r>
      <w:r>
        <w:rPr>
          <w:rFonts w:hint="eastAsia" w:ascii="MS UI Gothic" w:eastAsia="MS UI Gothic"/>
          <w:spacing w:val="17"/>
        </w:rPr>
        <w:t xml:space="preserve">、 </w:t>
      </w:r>
      <w:r>
        <w:rPr>
          <w:spacing w:val="3"/>
        </w:rPr>
        <w:t>放射性</w:t>
      </w:r>
      <w:r>
        <w:rPr>
          <w:rFonts w:hint="eastAsia" w:ascii="MS UI Gothic" w:eastAsia="MS UI Gothic"/>
          <w:spacing w:val="17"/>
        </w:rPr>
        <w:t xml:space="preserve">、 </w:t>
      </w:r>
      <w:r>
        <w:rPr>
          <w:spacing w:val="3"/>
        </w:rPr>
        <w:t>传染病病原体等物质</w:t>
      </w:r>
      <w:r>
        <w:rPr>
          <w:rFonts w:hint="eastAsia" w:ascii="MS UI Gothic" w:eastAsia="MS UI Gothic"/>
          <w:spacing w:val="23"/>
          <w:w w:val="80"/>
        </w:rPr>
        <w:t xml:space="preserve">ꎬ </w:t>
      </w:r>
      <w:r>
        <w:rPr>
          <w:spacing w:val="1"/>
        </w:rPr>
        <w:t>危害</w:t>
      </w:r>
      <w:r>
        <w:rPr>
          <w:spacing w:val="3"/>
        </w:rPr>
        <w:t>公共安全的</w:t>
      </w:r>
      <w:r>
        <w:rPr>
          <w:rFonts w:hint="eastAsia" w:ascii="MS UI Gothic" w:eastAsia="MS UI Gothic"/>
          <w:spacing w:val="1"/>
          <w:w w:val="80"/>
        </w:rPr>
        <w:t xml:space="preserve">ꎬ </w:t>
      </w:r>
      <w:r>
        <w:rPr>
          <w:spacing w:val="3"/>
        </w:rPr>
        <w:t>依照前款的规定处罚</w:t>
      </w:r>
      <w:r>
        <w:rPr>
          <w:rFonts w:hint="eastAsia" w:ascii="MS UI Gothic" w:eastAsia="MS UI Gothic"/>
          <w:w w:val="80"/>
        </w:rPr>
        <w:t>ꎮ</w:t>
      </w:r>
    </w:p>
    <w:p>
      <w:pPr>
        <w:pStyle w:val="6"/>
        <w:spacing w:before="1" w:line="288" w:lineRule="auto"/>
        <w:ind w:left="440" w:right="1"/>
      </w:pPr>
      <w:r>
        <w:t>单位犯前两款罪的</w:t>
      </w:r>
      <w:r>
        <w:rPr>
          <w:rFonts w:hint="eastAsia" w:ascii="MS UI Gothic" w:eastAsia="MS UI Gothic"/>
          <w:w w:val="80"/>
        </w:rPr>
        <w:t xml:space="preserve">ꎬ </w:t>
      </w:r>
      <w:r>
        <w:t>对单位判处罚金</w:t>
      </w:r>
      <w:r>
        <w:rPr>
          <w:rFonts w:hint="eastAsia" w:ascii="MS UI Gothic" w:eastAsia="MS UI Gothic"/>
          <w:w w:val="80"/>
        </w:rPr>
        <w:t xml:space="preserve">ꎬ </w:t>
      </w:r>
      <w:r>
        <w:t>并对其直接负责的主管人员和其他直</w:t>
      </w:r>
    </w:p>
    <w:p>
      <w:pPr>
        <w:pStyle w:val="6"/>
        <w:spacing w:before="175"/>
        <w:ind w:left="381" w:firstLine="0"/>
        <w:rPr>
          <w:rFonts w:hint="eastAsia" w:ascii="MS UI Gothic" w:eastAsia="MS UI Gothic"/>
        </w:rPr>
      </w:pPr>
      <w:r>
        <w:br w:type="column"/>
      </w:r>
      <w:r>
        <w:t>接责任人员</w:t>
      </w:r>
      <w:r>
        <w:rPr>
          <w:rFonts w:hint="eastAsia" w:ascii="MS UI Gothic" w:eastAsia="MS UI Gothic"/>
          <w:w w:val="80"/>
        </w:rPr>
        <w:t xml:space="preserve">ꎬ </w:t>
      </w:r>
      <w:r>
        <w:t>依照第一款的规定处罚</w:t>
      </w:r>
      <w:r>
        <w:rPr>
          <w:rFonts w:hint="eastAsia" w:ascii="MS UI Gothic" w:eastAsia="MS UI Gothic"/>
          <w:w w:val="80"/>
        </w:rPr>
        <w:t>ꎮ</w:t>
      </w:r>
    </w:p>
    <w:p>
      <w:pPr>
        <w:pStyle w:val="6"/>
        <w:spacing w:before="52" w:line="288" w:lineRule="auto"/>
        <w:ind w:left="381" w:right="126"/>
        <w:rPr>
          <w:rFonts w:hint="eastAsia" w:ascii="MS UI Gothic" w:eastAsia="MS UI Gothic"/>
        </w:rPr>
      </w:pPr>
      <w:r>
        <w:t xml:space="preserve">第一百三十一条   </w:t>
      </w:r>
      <w:r>
        <w:rPr>
          <w:rFonts w:hint="eastAsia" w:ascii="MS UI Gothic" w:eastAsia="MS UI Gothic"/>
        </w:rPr>
        <w:t>【</w:t>
      </w:r>
      <w:r>
        <w:t>重大飞行事故罪</w:t>
      </w:r>
      <w:r>
        <w:rPr>
          <w:rFonts w:hint="eastAsia" w:ascii="MS UI Gothic" w:eastAsia="MS UI Gothic"/>
        </w:rPr>
        <w:t xml:space="preserve">】 </w:t>
      </w:r>
      <w:r>
        <w:t>航空人员违反规章制度</w:t>
      </w:r>
      <w:r>
        <w:rPr>
          <w:rFonts w:hint="eastAsia" w:ascii="MS UI Gothic" w:eastAsia="MS UI Gothic"/>
          <w:w w:val="80"/>
        </w:rPr>
        <w:t xml:space="preserve">ꎬ </w:t>
      </w:r>
      <w:r>
        <w:t>致使发生重大飞行事故</w:t>
      </w:r>
      <w:r>
        <w:rPr>
          <w:rFonts w:hint="eastAsia" w:ascii="MS UI Gothic" w:eastAsia="MS UI Gothic"/>
          <w:w w:val="80"/>
        </w:rPr>
        <w:t xml:space="preserve">ꎬ </w:t>
      </w:r>
      <w:r>
        <w:t>造成严重后果的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造成飞机坠毁或者人员死亡的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before="4" w:line="288" w:lineRule="auto"/>
        <w:ind w:left="381" w:right="126"/>
      </w:pPr>
      <w:r>
        <w:t xml:space="preserve">第一百三十二条   </w:t>
      </w:r>
      <w:r>
        <w:rPr>
          <w:rFonts w:hint="eastAsia" w:ascii="MS UI Gothic" w:eastAsia="MS UI Gothic"/>
        </w:rPr>
        <w:t>【</w:t>
      </w:r>
      <w:r>
        <w:t>铁路运营安全事故罪</w:t>
      </w:r>
      <w:r>
        <w:rPr>
          <w:rFonts w:hint="eastAsia" w:ascii="MS UI Gothic" w:eastAsia="MS UI Gothic"/>
        </w:rPr>
        <w:t xml:space="preserve">】 </w:t>
      </w:r>
      <w:r>
        <w:t>铁路职工违反规章制度</w:t>
      </w:r>
      <w:r>
        <w:rPr>
          <w:rFonts w:hint="eastAsia" w:ascii="MS UI Gothic" w:eastAsia="MS UI Gothic"/>
          <w:w w:val="80"/>
        </w:rPr>
        <w:t xml:space="preserve">ꎬ </w:t>
      </w:r>
      <w:r>
        <w:t>致使发生铁路运营安全事故</w:t>
      </w:r>
      <w:r>
        <w:rPr>
          <w:rFonts w:hint="eastAsia" w:ascii="MS UI Gothic" w:eastAsia="MS UI Gothic"/>
          <w:w w:val="80"/>
        </w:rPr>
        <w:t xml:space="preserve">ꎬ </w:t>
      </w:r>
      <w:r>
        <w:t>造成严重后果的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造成特别严重后果的</w:t>
      </w:r>
      <w:r>
        <w:rPr>
          <w:rFonts w:hint="eastAsia" w:ascii="MS UI Gothic" w:eastAsia="MS UI Gothic"/>
          <w:w w:val="80"/>
        </w:rPr>
        <w:t xml:space="preserve">ꎬ </w:t>
      </w:r>
      <w:r>
        <w:t>处三年以上七年以下有</w:t>
      </w:r>
    </w:p>
    <w:p>
      <w:pPr>
        <w:spacing w:after="0" w:line="288" w:lineRule="auto"/>
        <w:sectPr>
          <w:type w:val="continuous"/>
          <w:pgSz w:w="10500" w:h="14750"/>
          <w:pgMar w:top="1400" w:right="980" w:bottom="280" w:left="980" w:header="720" w:footer="720" w:gutter="0"/>
          <w:cols w:equalWidth="0" w:num="2">
            <w:col w:w="4212" w:space="40"/>
            <w:col w:w="4288"/>
          </w:cols>
        </w:sectPr>
      </w:pPr>
    </w:p>
    <w:p>
      <w:pPr>
        <w:pStyle w:val="6"/>
        <w:spacing w:before="159"/>
        <w:ind w:left="384" w:firstLine="0"/>
        <w:jc w:val="left"/>
        <w:rPr>
          <w:rFonts w:hint="eastAsia" w:ascii="MS UI Gothic" w:eastAsia="MS UI Gothic"/>
        </w:rPr>
      </w:pPr>
      <w:r>
        <w:pict>
          <v:shape id="_x0000_s1064" o:spid="_x0000_s1064" style="position:absolute;left:0pt;margin-left:0pt;margin-top:700.1pt;height:1.75pt;width:398.25pt;mso-position-horizontal-relative:page;z-index:251671552;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４</w:t>
      </w:r>
    </w:p>
    <w:p>
      <w:pPr>
        <w:pStyle w:val="6"/>
        <w:spacing w:before="297" w:line="240" w:lineRule="exact"/>
        <w:ind w:firstLine="0"/>
        <w:jc w:val="left"/>
        <w:rPr>
          <w:rFonts w:hint="eastAsia" w:ascii="MS UI Gothic" w:eastAsia="MS UI Gothic"/>
        </w:rPr>
      </w:pPr>
      <w:r>
        <w:t>期徒刑</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pPr>
      <w:r>
        <w:t>管人员和其他直接责任人员</w:t>
      </w:r>
      <w:r>
        <w:rPr>
          <w:rFonts w:hint="eastAsia" w:ascii="MS UI Gothic" w:eastAsia="MS UI Gothic"/>
          <w:w w:val="80"/>
        </w:rPr>
        <w:t xml:space="preserve">ꎬ </w:t>
      </w:r>
      <w:r>
        <w:t>处三年以下</w:t>
      </w:r>
    </w:p>
    <w:p>
      <w:pPr>
        <w:spacing w:after="0" w:line="240" w:lineRule="exact"/>
        <w:jc w:val="left"/>
        <w:sectPr>
          <w:pgSz w:w="10500" w:h="14750"/>
          <w:pgMar w:top="960" w:right="980" w:bottom="280" w:left="980" w:header="720" w:footer="720" w:gutter="0"/>
          <w:cols w:equalWidth="0" w:num="2">
            <w:col w:w="945" w:space="1356"/>
            <w:col w:w="6239"/>
          </w:cols>
        </w:sectPr>
      </w:pPr>
    </w:p>
    <w:p>
      <w:pPr>
        <w:pStyle w:val="6"/>
        <w:spacing w:before="74" w:line="295" w:lineRule="auto"/>
        <w:ind w:right="38"/>
        <w:rPr>
          <w:rFonts w:hint="eastAsia" w:ascii="MS UI Gothic" w:eastAsia="MS UI Gothic"/>
        </w:rPr>
      </w:pPr>
      <w:r>
        <w:t xml:space="preserve">第一百三十三条  </w:t>
      </w:r>
      <w:r>
        <w:rPr>
          <w:rFonts w:hint="eastAsia" w:ascii="MS UI Gothic" w:eastAsia="MS UI Gothic"/>
        </w:rPr>
        <w:t xml:space="preserve">【 </w:t>
      </w:r>
      <w:r>
        <w:t>交通肇事罪</w:t>
      </w:r>
      <w:r>
        <w:rPr>
          <w:rFonts w:hint="eastAsia" w:ascii="MS UI Gothic" w:eastAsia="MS UI Gothic"/>
          <w:w w:val="80"/>
        </w:rPr>
        <w:t>ꎻ</w:t>
      </w:r>
      <w:r>
        <w:t>危险驾驶罪</w:t>
      </w:r>
      <w:r>
        <w:rPr>
          <w:rFonts w:hint="eastAsia" w:ascii="MS UI Gothic" w:eastAsia="MS UI Gothic"/>
        </w:rPr>
        <w:t xml:space="preserve">】 </w:t>
      </w:r>
      <w:r>
        <w:t>违反交通运输管理法规</w:t>
      </w:r>
      <w:r>
        <w:rPr>
          <w:rFonts w:hint="eastAsia" w:ascii="MS UI Gothic" w:eastAsia="MS UI Gothic"/>
          <w:w w:val="80"/>
        </w:rPr>
        <w:t>ꎬ</w:t>
      </w:r>
      <w:r>
        <w:t>因而发生重大事故</w:t>
      </w:r>
      <w:r>
        <w:rPr>
          <w:rFonts w:hint="eastAsia" w:ascii="MS UI Gothic" w:eastAsia="MS UI Gothic"/>
          <w:w w:val="80"/>
        </w:rPr>
        <w:t xml:space="preserve">ꎬ </w:t>
      </w:r>
      <w:r>
        <w:t>致人重伤</w:t>
      </w:r>
      <w:r>
        <w:rPr>
          <w:rFonts w:hint="eastAsia" w:ascii="MS UI Gothic" w:eastAsia="MS UI Gothic"/>
          <w:w w:val="80"/>
        </w:rPr>
        <w:t xml:space="preserve">、 </w:t>
      </w:r>
      <w:r>
        <w:t>死亡或者使公私财产遭受重大损失的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交通运输肇事后逃逸或者有其他特别恶劣情节的</w:t>
      </w:r>
      <w:r>
        <w:rPr>
          <w:rFonts w:hint="eastAsia" w:ascii="MS UI Gothic" w:eastAsia="MS UI Gothic"/>
          <w:w w:val="80"/>
        </w:rPr>
        <w:t xml:space="preserve">ꎬ </w:t>
      </w:r>
      <w:r>
        <w:t>处三年以上七年以下有期徒刑</w:t>
      </w:r>
      <w:r>
        <w:rPr>
          <w:rFonts w:hint="eastAsia" w:ascii="MS UI Gothic" w:eastAsia="MS UI Gothic"/>
          <w:w w:val="80"/>
        </w:rPr>
        <w:t xml:space="preserve">ꎻ </w:t>
      </w:r>
      <w:r>
        <w:t>因逃逸致人死亡的</w:t>
      </w:r>
      <w:r>
        <w:rPr>
          <w:rFonts w:hint="eastAsia" w:ascii="MS UI Gothic" w:eastAsia="MS UI Gothic"/>
          <w:w w:val="80"/>
        </w:rPr>
        <w:t>ꎬ</w:t>
      </w:r>
      <w:r>
        <w:t>处七年以上有期徒刑</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第一百三十三条之一 在道路上驾驶</w:t>
      </w:r>
      <w:r>
        <w:t>机动车</w:t>
      </w:r>
      <w:r>
        <w:rPr>
          <w:rFonts w:hint="eastAsia" w:ascii="MS UI Gothic" w:eastAsia="MS UI Gothic"/>
          <w:w w:val="80"/>
        </w:rPr>
        <w:t xml:space="preserve">ꎬ </w:t>
      </w:r>
      <w:r>
        <w:t>有下列情形之一的</w:t>
      </w:r>
      <w:r>
        <w:rPr>
          <w:rFonts w:hint="eastAsia" w:ascii="MS UI Gothic" w:eastAsia="MS UI Gothic"/>
          <w:w w:val="80"/>
        </w:rPr>
        <w:t xml:space="preserve">ꎬ </w:t>
      </w:r>
      <w:r>
        <w:t>处拘役</w:t>
      </w:r>
      <w:r>
        <w:rPr>
          <w:rFonts w:hint="eastAsia" w:ascii="MS UI Gothic" w:eastAsia="MS UI Gothic"/>
          <w:w w:val="80"/>
        </w:rPr>
        <w:t xml:space="preserve">ꎬ </w:t>
      </w:r>
      <w:r>
        <w:t>并</w:t>
      </w:r>
      <w:r>
        <w:rPr>
          <w:w w:val="105"/>
        </w:rPr>
        <w:t>处罚金</w:t>
      </w:r>
      <w:r>
        <w:rPr>
          <w:rFonts w:hint="eastAsia" w:ascii="MS UI Gothic" w:eastAsia="MS UI Gothic"/>
          <w:w w:val="235"/>
        </w:rPr>
        <w:t>:</w:t>
      </w:r>
    </w:p>
    <w:p>
      <w:pPr>
        <w:pStyle w:val="6"/>
        <w:spacing w:line="295" w:lineRule="auto"/>
        <w:ind w:left="543" w:right="627" w:firstLine="0"/>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追逐竞驶</w:t>
      </w:r>
      <w:r>
        <w:rPr>
          <w:rFonts w:hint="eastAsia" w:ascii="MS UI Gothic" w:eastAsia="MS UI Gothic"/>
          <w:w w:val="80"/>
        </w:rPr>
        <w:t xml:space="preserve">ꎬ </w:t>
      </w:r>
      <w:r>
        <w:rPr>
          <w:w w:val="105"/>
        </w:rPr>
        <w:t>情节恶劣的</w:t>
      </w:r>
      <w:r>
        <w:rPr>
          <w:rFonts w:hint="eastAsia" w:ascii="MS UI Gothic" w:eastAsia="MS UI Gothic"/>
          <w:w w:val="80"/>
        </w:rPr>
        <w:t>ꎻ</w:t>
      </w: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醉酒驾驶机动车的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从事校车业务或者旅客运输</w:t>
      </w:r>
      <w:r>
        <w:rPr>
          <w:rFonts w:hint="eastAsia" w:ascii="MS UI Gothic" w:eastAsia="MS UI Gothic"/>
          <w:w w:val="80"/>
        </w:rPr>
        <w:t>ꎬ</w:t>
      </w:r>
      <w:r>
        <w:t>严重超过额定乘员载客</w:t>
      </w:r>
      <w:r>
        <w:rPr>
          <w:rFonts w:hint="eastAsia" w:ascii="MS UI Gothic" w:eastAsia="MS UI Gothic"/>
          <w:w w:val="80"/>
        </w:rPr>
        <w:t xml:space="preserve">ꎬ </w:t>
      </w:r>
      <w:r>
        <w:t>或者严重超过规</w:t>
      </w:r>
      <w:r>
        <w:rPr>
          <w:w w:val="105"/>
        </w:rPr>
        <w:t>定时速行驶的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违反危险化学品安全管理规定运输危险化学品</w:t>
      </w:r>
      <w:r>
        <w:rPr>
          <w:rFonts w:hint="eastAsia" w:ascii="MS UI Gothic" w:eastAsia="MS UI Gothic"/>
          <w:w w:val="80"/>
        </w:rPr>
        <w:t xml:space="preserve">ꎬ </w:t>
      </w:r>
      <w:r>
        <w:rPr>
          <w:w w:val="105"/>
        </w:rPr>
        <w:t>危及公共安全的</w:t>
      </w:r>
      <w:r>
        <w:rPr>
          <w:rFonts w:hint="eastAsia" w:ascii="MS UI Gothic" w:eastAsia="MS UI Gothic"/>
          <w:w w:val="80"/>
        </w:rPr>
        <w:t>ꎮ</w:t>
      </w:r>
    </w:p>
    <w:p>
      <w:pPr>
        <w:pStyle w:val="6"/>
        <w:spacing w:line="295" w:lineRule="auto"/>
        <w:ind w:right="39"/>
        <w:rPr>
          <w:rFonts w:hint="eastAsia" w:ascii="MS UI Gothic" w:eastAsia="MS UI Gothic"/>
        </w:rPr>
      </w:pPr>
      <w:r>
        <w:t>机动车所有人</w:t>
      </w:r>
      <w:r>
        <w:rPr>
          <w:rFonts w:hint="eastAsia" w:ascii="MS UI Gothic" w:eastAsia="MS UI Gothic"/>
          <w:w w:val="80"/>
        </w:rPr>
        <w:t xml:space="preserve">、 </w:t>
      </w:r>
      <w:r>
        <w:t>管理人对前款第三项</w:t>
      </w:r>
      <w:r>
        <w:rPr>
          <w:rFonts w:hint="eastAsia" w:ascii="MS UI Gothic" w:eastAsia="MS UI Gothic"/>
          <w:w w:val="80"/>
        </w:rPr>
        <w:t xml:space="preserve">、 </w:t>
      </w:r>
      <w:r>
        <w:t>第四项行为负有直接责任的</w:t>
      </w:r>
      <w:r>
        <w:rPr>
          <w:rFonts w:hint="eastAsia" w:ascii="MS UI Gothic" w:eastAsia="MS UI Gothic"/>
          <w:w w:val="80"/>
        </w:rPr>
        <w:t xml:space="preserve">ꎬ </w:t>
      </w:r>
      <w:r>
        <w:t>依照前款的规定处罚</w:t>
      </w:r>
      <w:r>
        <w:rPr>
          <w:rFonts w:hint="eastAsia" w:ascii="MS UI Gothic" w:eastAsia="MS UI Gothic"/>
          <w:w w:val="80"/>
        </w:rPr>
        <w:t>ꎮ</w:t>
      </w:r>
    </w:p>
    <w:p>
      <w:pPr>
        <w:pStyle w:val="6"/>
        <w:spacing w:line="295" w:lineRule="auto"/>
        <w:ind w:right="39"/>
        <w:rPr>
          <w:rFonts w:hint="eastAsia" w:ascii="MS UI Gothic" w:eastAsia="MS UI Gothic"/>
        </w:rPr>
      </w:pPr>
      <w:r>
        <w:t>有前两款行为</w:t>
      </w:r>
      <w:r>
        <w:rPr>
          <w:rFonts w:hint="eastAsia" w:ascii="MS UI Gothic" w:eastAsia="MS UI Gothic"/>
          <w:w w:val="80"/>
        </w:rPr>
        <w:t xml:space="preserve">ꎬ </w:t>
      </w:r>
      <w:r>
        <w:t>同时构成其他犯罪的</w:t>
      </w:r>
      <w:r>
        <w:rPr>
          <w:rFonts w:hint="eastAsia" w:ascii="MS UI Gothic" w:eastAsia="MS UI Gothic"/>
          <w:w w:val="80"/>
        </w:rPr>
        <w:t xml:space="preserve">ꎬ </w:t>
      </w:r>
      <w:r>
        <w:t>依照处罚较重的规定定罪处罚</w:t>
      </w:r>
      <w:r>
        <w:rPr>
          <w:rFonts w:hint="eastAsia" w:ascii="MS UI Gothic" w:eastAsia="MS UI Gothic"/>
          <w:w w:val="80"/>
        </w:rPr>
        <w:t>ꎮ</w:t>
      </w:r>
    </w:p>
    <w:p>
      <w:pPr>
        <w:pStyle w:val="6"/>
        <w:spacing w:line="295" w:lineRule="auto"/>
        <w:ind w:right="38"/>
        <w:rPr>
          <w:rFonts w:hint="eastAsia" w:ascii="MS UI Gothic" w:eastAsia="MS UI Gothic"/>
        </w:rPr>
      </w:pPr>
      <w:r>
        <w:t xml:space="preserve">第一百三十四条   </w:t>
      </w:r>
      <w:r>
        <w:rPr>
          <w:rFonts w:hint="eastAsia" w:ascii="MS UI Gothic" w:eastAsia="MS UI Gothic"/>
        </w:rPr>
        <w:t>【</w:t>
      </w:r>
      <w:r>
        <w:t>重大责任事故罪</w:t>
      </w:r>
      <w:r>
        <w:rPr>
          <w:rFonts w:hint="eastAsia" w:ascii="MS UI Gothic" w:eastAsia="MS UI Gothic"/>
          <w:w w:val="80"/>
        </w:rPr>
        <w:t xml:space="preserve">ꎻ </w:t>
      </w:r>
      <w:r>
        <w:t>强令违章冒险作业罪</w:t>
      </w:r>
      <w:r>
        <w:rPr>
          <w:rFonts w:hint="eastAsia" w:ascii="MS UI Gothic" w:eastAsia="MS UI Gothic"/>
        </w:rPr>
        <w:t xml:space="preserve">】 </w:t>
      </w:r>
      <w:r>
        <w:t>在生产</w:t>
      </w:r>
      <w:r>
        <w:rPr>
          <w:rFonts w:hint="eastAsia" w:ascii="MS UI Gothic" w:eastAsia="MS UI Gothic"/>
          <w:w w:val="80"/>
        </w:rPr>
        <w:t xml:space="preserve">、 </w:t>
      </w:r>
      <w:r>
        <w:t>作业中违反有关安全管理的规定</w:t>
      </w:r>
      <w:r>
        <w:rPr>
          <w:rFonts w:hint="eastAsia" w:ascii="MS UI Gothic" w:eastAsia="MS UI Gothic"/>
          <w:w w:val="80"/>
        </w:rPr>
        <w:t xml:space="preserve">ꎬ </w:t>
      </w:r>
      <w:r>
        <w:t>因而发生重大伤亡事故或者造成其他严重后果的</w:t>
      </w:r>
      <w:r>
        <w:rPr>
          <w:rFonts w:hint="eastAsia" w:ascii="MS UI Gothic" w:eastAsia="MS UI Gothic"/>
          <w:w w:val="80"/>
        </w:rPr>
        <w:t>ꎬ</w:t>
      </w:r>
      <w:r>
        <w:t>处三年以下有期徒刑或者拘役</w:t>
      </w:r>
      <w:r>
        <w:rPr>
          <w:rFonts w:hint="eastAsia" w:ascii="MS UI Gothic" w:eastAsia="MS UI Gothic"/>
          <w:w w:val="80"/>
        </w:rPr>
        <w:t xml:space="preserve">ꎻ </w:t>
      </w:r>
      <w:r>
        <w:t>情节特别恶劣的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39"/>
        <w:rPr>
          <w:rFonts w:hint="eastAsia" w:ascii="MS UI Gothic" w:eastAsia="MS UI Gothic"/>
        </w:rPr>
      </w:pPr>
      <w:r>
        <w:t>强令他人违章冒险作业</w:t>
      </w:r>
      <w:r>
        <w:rPr>
          <w:rFonts w:hint="eastAsia" w:ascii="MS UI Gothic" w:eastAsia="MS UI Gothic"/>
          <w:w w:val="80"/>
        </w:rPr>
        <w:t xml:space="preserve">ꎬ </w:t>
      </w:r>
      <w:r>
        <w:t>因而发生重大伤亡事故或者造成其他严重后果的</w:t>
      </w:r>
      <w:r>
        <w:rPr>
          <w:rFonts w:hint="eastAsia" w:ascii="MS UI Gothic" w:eastAsia="MS UI Gothic"/>
          <w:w w:val="80"/>
        </w:rPr>
        <w:t xml:space="preserve">ꎬ </w:t>
      </w:r>
      <w:r>
        <w:t>处五年以下有期徒刑或者拘役</w:t>
      </w:r>
      <w:r>
        <w:rPr>
          <w:rFonts w:hint="eastAsia" w:ascii="MS UI Gothic" w:eastAsia="MS UI Gothic"/>
          <w:w w:val="80"/>
        </w:rPr>
        <w:t xml:space="preserve">ꎻ </w:t>
      </w:r>
      <w:r>
        <w:t>情节特别恶劣的</w:t>
      </w:r>
      <w:r>
        <w:rPr>
          <w:rFonts w:hint="eastAsia" w:ascii="MS UI Gothic" w:eastAsia="MS UI Gothic"/>
          <w:w w:val="80"/>
        </w:rPr>
        <w:t xml:space="preserve">ꎬ </w:t>
      </w:r>
      <w:r>
        <w:t>处五年以上有期徒刑</w:t>
      </w:r>
      <w:r>
        <w:rPr>
          <w:rFonts w:hint="eastAsia" w:ascii="MS UI Gothic" w:eastAsia="MS UI Gothic"/>
          <w:w w:val="80"/>
        </w:rPr>
        <w:t>ꎮ</w:t>
      </w:r>
    </w:p>
    <w:p>
      <w:pPr>
        <w:pStyle w:val="6"/>
        <w:spacing w:line="295" w:lineRule="auto"/>
        <w:ind w:right="39"/>
      </w:pPr>
      <w:r>
        <w:rPr>
          <w:w w:val="105"/>
        </w:rPr>
        <w:t xml:space="preserve">第一百三十五条 </w:t>
      </w:r>
      <w:r>
        <w:rPr>
          <w:rFonts w:hint="eastAsia" w:ascii="MS UI Gothic" w:eastAsia="MS UI Gothic"/>
          <w:w w:val="105"/>
        </w:rPr>
        <w:t>【</w:t>
      </w:r>
      <w:r>
        <w:rPr>
          <w:w w:val="105"/>
        </w:rPr>
        <w:t>重大劳动安全</w:t>
      </w:r>
      <w:r>
        <w:t>事故罪</w:t>
      </w:r>
      <w:r>
        <w:rPr>
          <w:rFonts w:hint="eastAsia" w:ascii="MS UI Gothic" w:eastAsia="MS UI Gothic"/>
          <w:w w:val="80"/>
        </w:rPr>
        <w:t xml:space="preserve">ꎻ </w:t>
      </w:r>
      <w:r>
        <w:t>大型群众性活动重大安全事故</w:t>
      </w:r>
      <w:r>
        <w:rPr>
          <w:w w:val="105"/>
        </w:rPr>
        <w:t>罪</w:t>
      </w:r>
      <w:r>
        <w:rPr>
          <w:rFonts w:hint="eastAsia" w:ascii="MS UI Gothic" w:eastAsia="MS UI Gothic"/>
          <w:w w:val="105"/>
        </w:rPr>
        <w:t xml:space="preserve">】 </w:t>
      </w:r>
      <w:r>
        <w:rPr>
          <w:w w:val="105"/>
        </w:rPr>
        <w:t>安全生产设施或者安全生产条件不</w:t>
      </w:r>
      <w:r>
        <w:t>符合国家规定</w:t>
      </w:r>
      <w:r>
        <w:rPr>
          <w:rFonts w:hint="eastAsia" w:ascii="MS UI Gothic" w:eastAsia="MS UI Gothic"/>
          <w:w w:val="80"/>
        </w:rPr>
        <w:t xml:space="preserve">ꎬ </w:t>
      </w:r>
      <w:r>
        <w:t>因而发生重大伤亡事故或者造成其他严重后果的</w:t>
      </w:r>
      <w:r>
        <w:rPr>
          <w:rFonts w:hint="eastAsia" w:ascii="MS UI Gothic" w:eastAsia="MS UI Gothic"/>
          <w:w w:val="80"/>
        </w:rPr>
        <w:t xml:space="preserve">ꎬ </w:t>
      </w:r>
      <w:r>
        <w:t>对直接负责的主</w:t>
      </w:r>
    </w:p>
    <w:p>
      <w:pPr>
        <w:pStyle w:val="6"/>
        <w:spacing w:before="74" w:line="295" w:lineRule="auto"/>
        <w:ind w:right="442" w:firstLine="0"/>
        <w:rPr>
          <w:rFonts w:hint="eastAsia" w:ascii="MS UI Gothic" w:eastAsia="MS UI Gothic"/>
        </w:rPr>
      </w:pPr>
      <w:r>
        <w:br w:type="column"/>
      </w:r>
      <w:r>
        <w:t>有期徒刑或者拘役</w:t>
      </w:r>
      <w:r>
        <w:rPr>
          <w:rFonts w:hint="eastAsia" w:ascii="MS UI Gothic" w:eastAsia="MS UI Gothic"/>
          <w:w w:val="80"/>
        </w:rPr>
        <w:t xml:space="preserve">ꎻ </w:t>
      </w:r>
      <w:r>
        <w:t>情节特别恶劣的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440"/>
        <w:rPr>
          <w:rFonts w:hint="eastAsia" w:ascii="MS UI Gothic" w:eastAsia="MS UI Gothic"/>
        </w:rPr>
      </w:pPr>
      <w:r>
        <w:t>第一百三十五条之一 举办大型群众性活动违反安全管理规定</w:t>
      </w:r>
      <w:r>
        <w:rPr>
          <w:rFonts w:hint="eastAsia" w:ascii="MS UI Gothic" w:eastAsia="MS UI Gothic"/>
          <w:w w:val="80"/>
        </w:rPr>
        <w:t xml:space="preserve">ꎬ </w:t>
      </w:r>
      <w:r>
        <w:t>因而发生重大伤亡事故或者造成其他严重后果的</w:t>
      </w:r>
      <w:r>
        <w:rPr>
          <w:rFonts w:hint="eastAsia" w:ascii="MS UI Gothic" w:eastAsia="MS UI Gothic"/>
          <w:w w:val="80"/>
        </w:rPr>
        <w:t xml:space="preserve">ꎬ </w:t>
      </w:r>
      <w:r>
        <w:t>对直接负责的主管人员和其他直接责任人员</w:t>
      </w:r>
      <w:r>
        <w:rPr>
          <w:rFonts w:hint="eastAsia" w:ascii="MS UI Gothic" w:eastAsia="MS UI Gothic"/>
          <w:w w:val="80"/>
        </w:rPr>
        <w:t>ꎬ</w:t>
      </w:r>
      <w:r>
        <w:t>处三年以下有期徒刑或者拘役</w:t>
      </w:r>
      <w:r>
        <w:rPr>
          <w:rFonts w:hint="eastAsia" w:ascii="MS UI Gothic" w:eastAsia="MS UI Gothic"/>
          <w:w w:val="80"/>
        </w:rPr>
        <w:t xml:space="preserve">ꎻ </w:t>
      </w:r>
      <w:r>
        <w:t>情节特别恶劣的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440"/>
        <w:rPr>
          <w:rFonts w:hint="eastAsia" w:ascii="MS UI Gothic" w:eastAsia="MS UI Gothic"/>
        </w:rPr>
      </w:pPr>
      <w:r>
        <w:t xml:space="preserve">第一百三十六条   </w:t>
      </w:r>
      <w:r>
        <w:rPr>
          <w:rFonts w:hint="eastAsia" w:ascii="MS UI Gothic" w:eastAsia="MS UI Gothic"/>
        </w:rPr>
        <w:t>【</w:t>
      </w:r>
      <w:r>
        <w:t>危险物品肇事罪</w:t>
      </w:r>
      <w:r>
        <w:rPr>
          <w:rFonts w:hint="eastAsia" w:ascii="MS UI Gothic" w:eastAsia="MS UI Gothic"/>
        </w:rPr>
        <w:t xml:space="preserve">】 </w:t>
      </w:r>
      <w:r>
        <w:t>违反爆炸性</w:t>
      </w:r>
      <w:r>
        <w:rPr>
          <w:rFonts w:hint="eastAsia" w:ascii="MS UI Gothic" w:eastAsia="MS UI Gothic"/>
          <w:w w:val="80"/>
        </w:rPr>
        <w:t xml:space="preserve">、 </w:t>
      </w:r>
      <w:r>
        <w:t>易燃性</w:t>
      </w:r>
      <w:r>
        <w:rPr>
          <w:rFonts w:hint="eastAsia" w:ascii="MS UI Gothic" w:eastAsia="MS UI Gothic"/>
          <w:w w:val="80"/>
        </w:rPr>
        <w:t xml:space="preserve">、 </w:t>
      </w:r>
      <w:r>
        <w:t>放射性</w:t>
      </w:r>
      <w:r>
        <w:rPr>
          <w:rFonts w:hint="eastAsia" w:ascii="MS UI Gothic" w:eastAsia="MS UI Gothic"/>
          <w:w w:val="80"/>
        </w:rPr>
        <w:t xml:space="preserve">、  </w:t>
      </w:r>
      <w:r>
        <w:t>毒害性</w:t>
      </w:r>
      <w:r>
        <w:rPr>
          <w:rFonts w:hint="eastAsia" w:ascii="MS UI Gothic" w:eastAsia="MS UI Gothic"/>
          <w:w w:val="80"/>
        </w:rPr>
        <w:t xml:space="preserve">、 </w:t>
      </w:r>
      <w:r>
        <w:t>腐蚀性物品的管理规定</w:t>
      </w:r>
      <w:r>
        <w:rPr>
          <w:rFonts w:hint="eastAsia" w:ascii="MS UI Gothic" w:eastAsia="MS UI Gothic"/>
          <w:w w:val="80"/>
        </w:rPr>
        <w:t xml:space="preserve">ꎬ </w:t>
      </w:r>
      <w:r>
        <w:t>在生产</w:t>
      </w:r>
      <w:r>
        <w:rPr>
          <w:rFonts w:hint="eastAsia" w:ascii="MS UI Gothic" w:eastAsia="MS UI Gothic"/>
          <w:w w:val="80"/>
        </w:rPr>
        <w:t>、</w:t>
      </w:r>
      <w:r>
        <w:t>储存</w:t>
      </w:r>
      <w:r>
        <w:rPr>
          <w:rFonts w:hint="eastAsia" w:ascii="MS UI Gothic" w:eastAsia="MS UI Gothic"/>
          <w:w w:val="80"/>
        </w:rPr>
        <w:t xml:space="preserve">、 </w:t>
      </w:r>
      <w:r>
        <w:t>运输</w:t>
      </w:r>
      <w:r>
        <w:rPr>
          <w:rFonts w:hint="eastAsia" w:ascii="MS UI Gothic" w:eastAsia="MS UI Gothic"/>
          <w:w w:val="80"/>
        </w:rPr>
        <w:t xml:space="preserve">、 </w:t>
      </w:r>
      <w:r>
        <w:t>使用中发生重大事故</w:t>
      </w:r>
      <w:r>
        <w:rPr>
          <w:rFonts w:hint="eastAsia" w:ascii="MS UI Gothic" w:eastAsia="MS UI Gothic"/>
          <w:w w:val="80"/>
        </w:rPr>
        <w:t xml:space="preserve">ꎬ </w:t>
      </w:r>
      <w:r>
        <w:t>造成严重后果的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后果特别严重的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442"/>
        <w:rPr>
          <w:rFonts w:hint="eastAsia" w:ascii="MS UI Gothic" w:eastAsia="MS UI Gothic"/>
        </w:rPr>
      </w:pPr>
      <w:r>
        <w:t xml:space="preserve">第一百三十七条   </w:t>
      </w:r>
      <w:r>
        <w:rPr>
          <w:rFonts w:hint="eastAsia" w:ascii="MS UI Gothic" w:eastAsia="MS UI Gothic"/>
        </w:rPr>
        <w:t>【</w:t>
      </w:r>
      <w:r>
        <w:t>工程重大安全事故罪</w:t>
      </w:r>
      <w:r>
        <w:rPr>
          <w:rFonts w:hint="eastAsia" w:ascii="MS UI Gothic" w:eastAsia="MS UI Gothic"/>
        </w:rPr>
        <w:t xml:space="preserve">】 </w:t>
      </w:r>
      <w:r>
        <w:t>建设单位</w:t>
      </w:r>
      <w:r>
        <w:rPr>
          <w:rFonts w:hint="eastAsia" w:ascii="MS UI Gothic" w:eastAsia="MS UI Gothic"/>
          <w:w w:val="80"/>
        </w:rPr>
        <w:t xml:space="preserve">、 </w:t>
      </w:r>
      <w:r>
        <w:t>设计单位</w:t>
      </w:r>
      <w:r>
        <w:rPr>
          <w:rFonts w:hint="eastAsia" w:ascii="MS UI Gothic" w:eastAsia="MS UI Gothic"/>
          <w:w w:val="80"/>
        </w:rPr>
        <w:t xml:space="preserve">、 </w:t>
      </w:r>
      <w:r>
        <w:t>施工单位</w:t>
      </w:r>
      <w:r>
        <w:rPr>
          <w:rFonts w:hint="eastAsia" w:ascii="MS UI Gothic" w:eastAsia="MS UI Gothic"/>
          <w:w w:val="80"/>
        </w:rPr>
        <w:t xml:space="preserve">、 </w:t>
      </w:r>
      <w:r>
        <w:t>工程监理单位违反国家规定</w:t>
      </w:r>
      <w:r>
        <w:rPr>
          <w:rFonts w:hint="eastAsia" w:ascii="MS UI Gothic" w:eastAsia="MS UI Gothic"/>
          <w:w w:val="80"/>
        </w:rPr>
        <w:t xml:space="preserve">ꎬ </w:t>
      </w:r>
      <w:r>
        <w:t>降低工程质量标准</w:t>
      </w:r>
      <w:r>
        <w:rPr>
          <w:rFonts w:hint="eastAsia" w:ascii="MS UI Gothic" w:eastAsia="MS UI Gothic"/>
          <w:w w:val="80"/>
        </w:rPr>
        <w:t xml:space="preserve">ꎬ </w:t>
      </w:r>
      <w:r>
        <w:t>造成重大安全事故的</w:t>
      </w:r>
      <w:r>
        <w:rPr>
          <w:rFonts w:hint="eastAsia" w:ascii="MS UI Gothic" w:eastAsia="MS UI Gothic"/>
          <w:w w:val="80"/>
        </w:rPr>
        <w:t xml:space="preserve">ꎬ </w:t>
      </w:r>
      <w:r>
        <w:t>对直接责任人员</w:t>
      </w:r>
      <w:r>
        <w:rPr>
          <w:rFonts w:hint="eastAsia" w:ascii="MS UI Gothic" w:eastAsia="MS UI Gothic"/>
          <w:w w:val="80"/>
        </w:rPr>
        <w:t xml:space="preserve">ꎬ </w:t>
      </w:r>
      <w:r>
        <w:t>处五年以下有期徒刑或者拘役</w:t>
      </w:r>
      <w:r>
        <w:rPr>
          <w:rFonts w:hint="eastAsia" w:ascii="MS UI Gothic" w:eastAsia="MS UI Gothic"/>
          <w:w w:val="80"/>
        </w:rPr>
        <w:t xml:space="preserve">ꎬ </w:t>
      </w:r>
      <w:r>
        <w:t>并处罚金</w:t>
      </w:r>
      <w:r>
        <w:rPr>
          <w:rFonts w:hint="eastAsia" w:ascii="MS UI Gothic" w:eastAsia="MS UI Gothic"/>
          <w:w w:val="80"/>
        </w:rPr>
        <w:t xml:space="preserve">ꎻ </w:t>
      </w:r>
      <w:r>
        <w:t>后果特别严重的</w:t>
      </w:r>
      <w:r>
        <w:rPr>
          <w:rFonts w:hint="eastAsia" w:ascii="MS UI Gothic" w:eastAsia="MS UI Gothic"/>
          <w:w w:val="80"/>
        </w:rPr>
        <w:t xml:space="preserve">ꎬ </w:t>
      </w:r>
      <w:r>
        <w:t>处五年以上十年以下有期徒刑</w:t>
      </w:r>
      <w:r>
        <w:rPr>
          <w:rFonts w:hint="eastAsia" w:ascii="MS UI Gothic" w:eastAsia="MS UI Gothic"/>
          <w:w w:val="80"/>
        </w:rPr>
        <w:t xml:space="preserve">ꎬ </w:t>
      </w:r>
      <w:r>
        <w:t>并处罚金</w:t>
      </w:r>
      <w:r>
        <w:rPr>
          <w:rFonts w:hint="eastAsia" w:ascii="MS UI Gothic" w:eastAsia="MS UI Gothic"/>
          <w:w w:val="80"/>
        </w:rPr>
        <w:t>ꎮ</w:t>
      </w:r>
    </w:p>
    <w:p>
      <w:pPr>
        <w:pStyle w:val="6"/>
        <w:spacing w:line="295" w:lineRule="auto"/>
        <w:ind w:right="440"/>
        <w:rPr>
          <w:rFonts w:hint="eastAsia" w:ascii="MS UI Gothic" w:eastAsia="MS UI Gothic"/>
        </w:rPr>
      </w:pPr>
      <w:r>
        <w:t xml:space="preserve">第一百三十八条   </w:t>
      </w:r>
      <w:r>
        <w:rPr>
          <w:rFonts w:hint="eastAsia" w:ascii="MS UI Gothic" w:eastAsia="MS UI Gothic"/>
        </w:rPr>
        <w:t>【</w:t>
      </w:r>
      <w:r>
        <w:t>教育设施重大安全事故罪</w:t>
      </w:r>
      <w:r>
        <w:rPr>
          <w:rFonts w:hint="eastAsia" w:ascii="MS UI Gothic" w:eastAsia="MS UI Gothic"/>
        </w:rPr>
        <w:t xml:space="preserve">】 </w:t>
      </w:r>
      <w:r>
        <w:t>明知校舍或者教育教学设施有危险</w:t>
      </w:r>
      <w:r>
        <w:rPr>
          <w:rFonts w:hint="eastAsia" w:ascii="MS UI Gothic" w:eastAsia="MS UI Gothic"/>
          <w:w w:val="80"/>
        </w:rPr>
        <w:t xml:space="preserve">ꎬ </w:t>
      </w:r>
      <w:r>
        <w:t>而不采取措施或者不及时报告</w:t>
      </w:r>
      <w:r>
        <w:rPr>
          <w:rFonts w:hint="eastAsia" w:ascii="MS UI Gothic" w:eastAsia="MS UI Gothic"/>
          <w:w w:val="80"/>
        </w:rPr>
        <w:t xml:space="preserve">ꎬ </w:t>
      </w:r>
      <w:r>
        <w:t>致使发生重大伤亡事故的</w:t>
      </w:r>
      <w:r>
        <w:rPr>
          <w:rFonts w:hint="eastAsia" w:ascii="MS UI Gothic" w:eastAsia="MS UI Gothic"/>
          <w:w w:val="80"/>
        </w:rPr>
        <w:t xml:space="preserve">ꎬ </w:t>
      </w:r>
      <w:r>
        <w:t>对直接责任人员</w:t>
      </w:r>
      <w:r>
        <w:rPr>
          <w:rFonts w:hint="eastAsia" w:ascii="MS UI Gothic" w:eastAsia="MS UI Gothic"/>
          <w:w w:val="80"/>
        </w:rPr>
        <w:t xml:space="preserve">ꎬ </w:t>
      </w:r>
      <w:r>
        <w:t>处三年以下有期徒刑或者拘役</w:t>
      </w:r>
      <w:r>
        <w:rPr>
          <w:rFonts w:hint="eastAsia" w:ascii="MS UI Gothic" w:eastAsia="MS UI Gothic"/>
          <w:w w:val="80"/>
        </w:rPr>
        <w:t>ꎻ</w:t>
      </w:r>
      <w:r>
        <w:t>后果特别严重的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442"/>
        <w:rPr>
          <w:rFonts w:hint="eastAsia" w:ascii="MS UI Gothic" w:eastAsia="MS UI Gothic"/>
        </w:rPr>
      </w:pPr>
      <w:r>
        <w:t xml:space="preserve">第一百三十九条   </w:t>
      </w:r>
      <w:r>
        <w:rPr>
          <w:rFonts w:hint="eastAsia" w:ascii="MS UI Gothic" w:eastAsia="MS UI Gothic"/>
        </w:rPr>
        <w:t>【</w:t>
      </w:r>
      <w:r>
        <w:t>消防责任事故罪</w:t>
      </w:r>
      <w:r>
        <w:rPr>
          <w:rFonts w:hint="eastAsia" w:ascii="MS UI Gothic" w:eastAsia="MS UI Gothic"/>
          <w:w w:val="80"/>
        </w:rPr>
        <w:t xml:space="preserve">ꎻ </w:t>
      </w:r>
      <w:r>
        <w:t>不报</w:t>
      </w:r>
      <w:r>
        <w:rPr>
          <w:rFonts w:hint="eastAsia" w:ascii="MS UI Gothic" w:eastAsia="MS UI Gothic"/>
          <w:w w:val="80"/>
        </w:rPr>
        <w:t xml:space="preserve">、 </w:t>
      </w:r>
      <w:r>
        <w:t>谎报安全事故罪</w:t>
      </w:r>
      <w:r>
        <w:rPr>
          <w:rFonts w:hint="eastAsia" w:ascii="MS UI Gothic" w:eastAsia="MS UI Gothic"/>
        </w:rPr>
        <w:t xml:space="preserve">】 </w:t>
      </w:r>
      <w:r>
        <w:t>违反消防管理法规</w:t>
      </w:r>
      <w:r>
        <w:rPr>
          <w:rFonts w:hint="eastAsia" w:ascii="MS UI Gothic" w:eastAsia="MS UI Gothic"/>
          <w:w w:val="80"/>
        </w:rPr>
        <w:t xml:space="preserve">ꎬ </w:t>
      </w:r>
      <w:r>
        <w:t>经消防监督机构通知采取改正措施而拒绝执行</w:t>
      </w:r>
      <w:r>
        <w:rPr>
          <w:rFonts w:hint="eastAsia" w:ascii="MS UI Gothic" w:eastAsia="MS UI Gothic"/>
          <w:w w:val="80"/>
        </w:rPr>
        <w:t xml:space="preserve">ꎬ </w:t>
      </w:r>
      <w:r>
        <w:t>造成严重后果的</w:t>
      </w:r>
      <w:r>
        <w:rPr>
          <w:rFonts w:hint="eastAsia" w:ascii="MS UI Gothic" w:eastAsia="MS UI Gothic"/>
          <w:w w:val="80"/>
        </w:rPr>
        <w:t xml:space="preserve">ꎬ </w:t>
      </w:r>
      <w:r>
        <w:t>对直接责任人员</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后果特别严重的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442"/>
      </w:pPr>
      <w:r>
        <w:rPr>
          <w:w w:val="105"/>
        </w:rPr>
        <w:t>第一百三十九条之一 在安全事故发</w:t>
      </w:r>
      <w:r>
        <w:t>生后</w:t>
      </w:r>
      <w:r>
        <w:rPr>
          <w:rFonts w:hint="eastAsia" w:ascii="MS UI Gothic" w:eastAsia="MS UI Gothic"/>
          <w:w w:val="80"/>
        </w:rPr>
        <w:t xml:space="preserve">ꎬ </w:t>
      </w:r>
      <w:r>
        <w:t>负有报告职责的人员不报或者谎报</w:t>
      </w:r>
    </w:p>
    <w:p>
      <w:pPr>
        <w:spacing w:after="0" w:line="295" w:lineRule="auto"/>
        <w:sectPr>
          <w:type w:val="continuous"/>
          <w:pgSz w:w="10500" w:h="14750"/>
          <w:pgMar w:top="1400" w:right="980" w:bottom="280" w:left="980" w:header="720" w:footer="720" w:gutter="0"/>
          <w:cols w:equalWidth="0" w:num="2">
            <w:col w:w="3936" w:space="256"/>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90" w:firstLine="0"/>
        <w:jc w:val="right"/>
        <w:rPr>
          <w:rFonts w:hint="eastAsia" w:ascii="MS UI Gothic" w:eastAsia="MS UI Gothic"/>
        </w:rPr>
      </w:pPr>
      <w:r>
        <w:br w:type="column"/>
      </w:r>
      <w:r>
        <w:rPr>
          <w:rFonts w:hint="eastAsia" w:ascii="MS UI Gothic" w:eastAsia="MS UI Gothic"/>
          <w:spacing w:val="1"/>
          <w:w w:val="75"/>
        </w:rPr>
        <w:t>５</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065" o:spid="_x0000_s1065" o:spt="203" style="height:2.15pt;width:398.25pt;" coordsize="7965,43">
            <o:lock v:ext="edit"/>
            <v:line id="_x0000_s1066" o:spid="_x0000_s1066" o:spt="20" style="position:absolute;left:0;top:39;height:0;width:7965;" stroked="t" coordsize="21600,21600">
              <v:path arrowok="t"/>
              <v:fill focussize="0,0"/>
              <v:stroke weight="0.388031496062992pt" color="#231F20"/>
              <v:imagedata o:title=""/>
              <o:lock v:ext="edit"/>
            </v:line>
            <v:line id="_x0000_s1067" o:spid="_x0000_s106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事故情况</w:t>
      </w:r>
      <w:r>
        <w:rPr>
          <w:rFonts w:hint="eastAsia" w:ascii="MS UI Gothic" w:eastAsia="MS UI Gothic"/>
          <w:w w:val="80"/>
        </w:rPr>
        <w:t xml:space="preserve">ꎬ </w:t>
      </w:r>
      <w:r>
        <w:t>贻误事故抢救</w:t>
      </w:r>
      <w:r>
        <w:rPr>
          <w:rFonts w:hint="eastAsia" w:ascii="MS UI Gothic" w:eastAsia="MS UI Gothic"/>
          <w:w w:val="80"/>
        </w:rPr>
        <w:t xml:space="preserve">ꎬ </w:t>
      </w:r>
      <w:r>
        <w:t>情节严重的</w:t>
      </w:r>
      <w:r>
        <w:rPr>
          <w:rFonts w:hint="eastAsia" w:ascii="MS UI Gothic" w:eastAsia="MS UI Gothic"/>
          <w:w w:val="80"/>
        </w:rPr>
        <w:t>ꎬ</w:t>
      </w:r>
      <w:r>
        <w:t>处三年以下有期徒刑或者拘役</w:t>
      </w:r>
      <w:r>
        <w:rPr>
          <w:rFonts w:hint="eastAsia" w:ascii="MS UI Gothic" w:eastAsia="MS UI Gothic"/>
          <w:w w:val="80"/>
        </w:rPr>
        <w:t xml:space="preserve">ꎻ </w:t>
      </w:r>
      <w:r>
        <w:t>情节特别严重的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left="440"/>
        <w:rPr>
          <w:rFonts w:hint="eastAsia" w:ascii="MS UI Gothic" w:eastAsia="MS UI Gothic"/>
        </w:rPr>
      </w:pPr>
      <w:r>
        <w:t xml:space="preserve">第一百四十六条   </w:t>
      </w:r>
      <w:r>
        <w:rPr>
          <w:rFonts w:hint="eastAsia" w:ascii="MS UI Gothic" w:eastAsia="MS UI Gothic"/>
        </w:rPr>
        <w:t>【</w:t>
      </w:r>
      <w:r>
        <w:t>生产</w:t>
      </w:r>
      <w:r>
        <w:rPr>
          <w:rFonts w:hint="eastAsia" w:ascii="MS UI Gothic" w:eastAsia="MS UI Gothic"/>
          <w:w w:val="80"/>
        </w:rPr>
        <w:t xml:space="preserve">、  </w:t>
      </w:r>
      <w:r>
        <w:t>销售不符合安全标准的产品罪</w:t>
      </w:r>
      <w:r>
        <w:rPr>
          <w:rFonts w:hint="eastAsia" w:ascii="MS UI Gothic" w:eastAsia="MS UI Gothic"/>
        </w:rPr>
        <w:t xml:space="preserve">】 </w:t>
      </w:r>
      <w:r>
        <w:t>生产不符合保障人身</w:t>
      </w:r>
      <w:r>
        <w:rPr>
          <w:rFonts w:hint="eastAsia" w:ascii="MS UI Gothic" w:eastAsia="MS UI Gothic"/>
          <w:w w:val="80"/>
        </w:rPr>
        <w:t xml:space="preserve">、 </w:t>
      </w:r>
      <w:r>
        <w:t>财产安全的国家标准</w:t>
      </w:r>
      <w:r>
        <w:rPr>
          <w:rFonts w:hint="eastAsia" w:ascii="MS UI Gothic" w:eastAsia="MS UI Gothic"/>
          <w:w w:val="80"/>
        </w:rPr>
        <w:t xml:space="preserve">、 </w:t>
      </w:r>
      <w:r>
        <w:t>行业标准的电器</w:t>
      </w:r>
      <w:r>
        <w:rPr>
          <w:rFonts w:hint="eastAsia" w:ascii="MS UI Gothic" w:eastAsia="MS UI Gothic"/>
          <w:w w:val="80"/>
        </w:rPr>
        <w:t xml:space="preserve">、 </w:t>
      </w:r>
      <w:r>
        <w:t>压力容器</w:t>
      </w:r>
      <w:r>
        <w:rPr>
          <w:rFonts w:hint="eastAsia" w:ascii="MS UI Gothic" w:eastAsia="MS UI Gothic"/>
          <w:w w:val="80"/>
        </w:rPr>
        <w:t xml:space="preserve">、 </w:t>
      </w:r>
      <w:r>
        <w:t>易燃易爆产品或者其他不符合保障人身</w:t>
      </w:r>
      <w:r>
        <w:rPr>
          <w:rFonts w:hint="eastAsia" w:ascii="MS UI Gothic" w:eastAsia="MS UI Gothic"/>
          <w:w w:val="80"/>
        </w:rPr>
        <w:t xml:space="preserve">、 </w:t>
      </w:r>
      <w:r>
        <w:t>财产安全的国家标准</w:t>
      </w:r>
      <w:r>
        <w:rPr>
          <w:rFonts w:hint="eastAsia" w:ascii="MS UI Gothic" w:eastAsia="MS UI Gothic"/>
          <w:w w:val="80"/>
        </w:rPr>
        <w:t xml:space="preserve">、 </w:t>
      </w:r>
      <w:r>
        <w:t>行业标准的产品</w:t>
      </w:r>
      <w:r>
        <w:rPr>
          <w:rFonts w:hint="eastAsia" w:ascii="MS UI Gothic" w:eastAsia="MS UI Gothic"/>
          <w:w w:val="80"/>
        </w:rPr>
        <w:t xml:space="preserve">ꎬ </w:t>
      </w:r>
      <w:r>
        <w:t>或者销售明知是以上不符合保障人身</w:t>
      </w:r>
      <w:r>
        <w:rPr>
          <w:rFonts w:hint="eastAsia" w:ascii="MS UI Gothic" w:eastAsia="MS UI Gothic"/>
          <w:w w:val="80"/>
        </w:rPr>
        <w:t xml:space="preserve">、 </w:t>
      </w:r>
      <w:r>
        <w:t>财产安全的国家标准</w:t>
      </w:r>
      <w:r>
        <w:rPr>
          <w:rFonts w:hint="eastAsia" w:ascii="MS UI Gothic" w:eastAsia="MS UI Gothic"/>
          <w:w w:val="80"/>
        </w:rPr>
        <w:t xml:space="preserve">、 </w:t>
      </w:r>
      <w:r>
        <w:t>行业标准的产品</w:t>
      </w:r>
      <w:r>
        <w:rPr>
          <w:rFonts w:hint="eastAsia" w:ascii="MS UI Gothic" w:eastAsia="MS UI Gothic"/>
          <w:w w:val="80"/>
        </w:rPr>
        <w:t xml:space="preserve">ꎬ </w:t>
      </w:r>
      <w:r>
        <w:t>造成严重后果的</w:t>
      </w:r>
      <w:r>
        <w:rPr>
          <w:rFonts w:hint="eastAsia" w:ascii="MS UI Gothic" w:eastAsia="MS UI Gothic"/>
          <w:w w:val="80"/>
        </w:rPr>
        <w:t>ꎬ</w:t>
      </w:r>
      <w:r>
        <w:t>处五年以下有期徒刑</w:t>
      </w:r>
      <w:r>
        <w:rPr>
          <w:rFonts w:hint="eastAsia" w:ascii="MS UI Gothic" w:eastAsia="MS UI Gothic"/>
          <w:w w:val="80"/>
        </w:rPr>
        <w:t xml:space="preserve">ꎬ </w:t>
      </w:r>
      <w:r>
        <w:t>并处销售金额百分之五十以上二倍以下罚金</w:t>
      </w:r>
      <w:r>
        <w:rPr>
          <w:rFonts w:hint="eastAsia" w:ascii="MS UI Gothic" w:eastAsia="MS UI Gothic"/>
          <w:w w:val="80"/>
        </w:rPr>
        <w:t xml:space="preserve">ꎻ </w:t>
      </w:r>
      <w:r>
        <w:t>后果特别严重的</w:t>
      </w:r>
      <w:r>
        <w:rPr>
          <w:rFonts w:hint="eastAsia" w:ascii="MS UI Gothic" w:eastAsia="MS UI Gothic"/>
          <w:w w:val="80"/>
        </w:rPr>
        <w:t xml:space="preserve">ꎬ </w:t>
      </w:r>
      <w:r>
        <w:t>处五年以上有期徒刑</w:t>
      </w:r>
      <w:r>
        <w:rPr>
          <w:rFonts w:hint="eastAsia" w:ascii="MS UI Gothic" w:eastAsia="MS UI Gothic"/>
          <w:w w:val="80"/>
        </w:rPr>
        <w:t xml:space="preserve">ꎬ </w:t>
      </w:r>
      <w:r>
        <w:t>并处销售金额百分之五十以上二倍以下罚金</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 xml:space="preserve">第二百二十五条 </w:t>
      </w:r>
      <w:r>
        <w:rPr>
          <w:rFonts w:hint="eastAsia" w:ascii="MS UI Gothic" w:eastAsia="MS UI Gothic"/>
          <w:w w:val="105"/>
        </w:rPr>
        <w:t>【</w:t>
      </w:r>
      <w:r>
        <w:rPr>
          <w:w w:val="105"/>
        </w:rPr>
        <w:t>非法经营罪</w:t>
      </w:r>
      <w:r>
        <w:rPr>
          <w:rFonts w:hint="eastAsia" w:ascii="MS UI Gothic" w:eastAsia="MS UI Gothic"/>
          <w:w w:val="105"/>
        </w:rPr>
        <w:t>】</w:t>
      </w:r>
      <w:r>
        <w:t>违反国家规定</w:t>
      </w:r>
      <w:r>
        <w:rPr>
          <w:rFonts w:hint="eastAsia" w:ascii="MS UI Gothic" w:eastAsia="MS UI Gothic"/>
          <w:w w:val="80"/>
        </w:rPr>
        <w:t xml:space="preserve">ꎬ </w:t>
      </w:r>
      <w:r>
        <w:t>有下列非法经营行为之一</w:t>
      </w:r>
      <w:r>
        <w:rPr>
          <w:rFonts w:hint="eastAsia" w:ascii="MS UI Gothic" w:eastAsia="MS UI Gothic"/>
          <w:w w:val="80"/>
        </w:rPr>
        <w:t xml:space="preserve">ꎬ </w:t>
      </w:r>
      <w:r>
        <w:t>扰乱市场秩序</w:t>
      </w:r>
      <w:r>
        <w:rPr>
          <w:rFonts w:hint="eastAsia" w:ascii="MS UI Gothic" w:eastAsia="MS UI Gothic"/>
          <w:w w:val="80"/>
        </w:rPr>
        <w:t xml:space="preserve">ꎬ </w:t>
      </w:r>
      <w:r>
        <w:t>情节严重的</w:t>
      </w:r>
      <w:r>
        <w:rPr>
          <w:rFonts w:hint="eastAsia" w:ascii="MS UI Gothic" w:eastAsia="MS UI Gothic"/>
          <w:w w:val="80"/>
        </w:rPr>
        <w:t xml:space="preserve">ꎬ </w:t>
      </w:r>
      <w:r>
        <w:t>处五年以下有期徒刑或者拘役</w:t>
      </w:r>
      <w:r>
        <w:rPr>
          <w:rFonts w:hint="eastAsia" w:ascii="MS UI Gothic" w:eastAsia="MS UI Gothic"/>
          <w:w w:val="80"/>
        </w:rPr>
        <w:t xml:space="preserve">ꎬ </w:t>
      </w:r>
      <w:r>
        <w:t>并处或者单处违法所得一倍以上五倍以下罚金</w:t>
      </w:r>
      <w:r>
        <w:rPr>
          <w:rFonts w:hint="eastAsia" w:ascii="MS UI Gothic" w:eastAsia="MS UI Gothic"/>
          <w:w w:val="80"/>
        </w:rPr>
        <w:t xml:space="preserve">ꎻ </w:t>
      </w:r>
      <w:r>
        <w:t>情节特别严重的</w:t>
      </w:r>
      <w:r>
        <w:rPr>
          <w:rFonts w:hint="eastAsia" w:ascii="MS UI Gothic" w:eastAsia="MS UI Gothic"/>
          <w:w w:val="80"/>
        </w:rPr>
        <w:t xml:space="preserve">ꎬ </w:t>
      </w:r>
      <w:r>
        <w:t>处五年以上有期徒刑</w:t>
      </w:r>
      <w:r>
        <w:rPr>
          <w:rFonts w:hint="eastAsia" w:ascii="MS UI Gothic" w:eastAsia="MS UI Gothic"/>
          <w:w w:val="80"/>
        </w:rPr>
        <w:t xml:space="preserve">ꎬ </w:t>
      </w:r>
      <w:r>
        <w:t>并处违法所得一倍以上五倍以下罚金或者没收</w:t>
      </w:r>
      <w:r>
        <w:rPr>
          <w:w w:val="105"/>
        </w:rPr>
        <w:t>财产</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未经许可经营法律</w:t>
      </w:r>
      <w:r>
        <w:rPr>
          <w:rFonts w:hint="eastAsia" w:ascii="MS UI Gothic" w:eastAsia="MS UI Gothic"/>
          <w:w w:val="80"/>
        </w:rPr>
        <w:t xml:space="preserve">、 </w:t>
      </w:r>
      <w:r>
        <w:rPr>
          <w:w w:val="105"/>
        </w:rPr>
        <w:t>行政法规规定的专营</w:t>
      </w:r>
      <w:r>
        <w:rPr>
          <w:rFonts w:hint="eastAsia" w:ascii="MS UI Gothic" w:eastAsia="MS UI Gothic"/>
          <w:w w:val="80"/>
        </w:rPr>
        <w:t xml:space="preserve">、 </w:t>
      </w:r>
      <w:r>
        <w:rPr>
          <w:w w:val="105"/>
        </w:rPr>
        <w:t>专卖物品或者其他限制买卖的物品的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5"/>
          <w:w w:val="105"/>
        </w:rPr>
        <w:t>买卖进出口许可证</w:t>
      </w:r>
      <w:r>
        <w:rPr>
          <w:rFonts w:hint="eastAsia" w:ascii="MS UI Gothic" w:eastAsia="MS UI Gothic"/>
          <w:spacing w:val="24"/>
          <w:w w:val="80"/>
        </w:rPr>
        <w:t xml:space="preserve">、 </w:t>
      </w:r>
      <w:r>
        <w:rPr>
          <w:spacing w:val="8"/>
          <w:w w:val="105"/>
        </w:rPr>
        <w:t>进出口原</w:t>
      </w:r>
      <w:r>
        <w:rPr>
          <w:spacing w:val="3"/>
          <w:w w:val="105"/>
        </w:rPr>
        <w:t>产地证明以及其他法律</w:t>
      </w:r>
      <w:r>
        <w:rPr>
          <w:rFonts w:hint="eastAsia" w:ascii="MS UI Gothic" w:eastAsia="MS UI Gothic"/>
          <w:spacing w:val="-5"/>
          <w:w w:val="80"/>
        </w:rPr>
        <w:t xml:space="preserve">、 </w:t>
      </w:r>
      <w:r>
        <w:rPr>
          <w:spacing w:val="2"/>
          <w:w w:val="105"/>
        </w:rPr>
        <w:t>行政法规规定的</w:t>
      </w:r>
      <w:r>
        <w:rPr>
          <w:spacing w:val="3"/>
          <w:w w:val="105"/>
        </w:rPr>
        <w:t>经营许可证或者批准文件的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2"/>
          <w:w w:val="150"/>
        </w:rPr>
        <w:t xml:space="preserve">) </w:t>
      </w:r>
      <w:r>
        <w:rPr>
          <w:spacing w:val="5"/>
          <w:w w:val="105"/>
        </w:rPr>
        <w:t>未经国家有关主管部门批准非</w:t>
      </w:r>
      <w:r>
        <w:rPr>
          <w:spacing w:val="3"/>
          <w:w w:val="105"/>
        </w:rPr>
        <w:t>法经营证券</w:t>
      </w:r>
      <w:r>
        <w:rPr>
          <w:rFonts w:hint="eastAsia" w:ascii="MS UI Gothic" w:eastAsia="MS UI Gothic"/>
          <w:spacing w:val="8"/>
          <w:w w:val="80"/>
        </w:rPr>
        <w:t xml:space="preserve">、 </w:t>
      </w:r>
      <w:r>
        <w:rPr>
          <w:spacing w:val="3"/>
          <w:w w:val="105"/>
        </w:rPr>
        <w:t>期货</w:t>
      </w:r>
      <w:r>
        <w:rPr>
          <w:rFonts w:hint="eastAsia" w:ascii="MS UI Gothic" w:eastAsia="MS UI Gothic"/>
          <w:spacing w:val="8"/>
          <w:w w:val="80"/>
        </w:rPr>
        <w:t xml:space="preserve">、 </w:t>
      </w:r>
      <w:r>
        <w:rPr>
          <w:spacing w:val="3"/>
          <w:w w:val="105"/>
        </w:rPr>
        <w:t>保险业务的</w:t>
      </w:r>
      <w:r>
        <w:rPr>
          <w:rFonts w:hint="eastAsia" w:ascii="MS UI Gothic" w:eastAsia="MS UI Gothic"/>
          <w:spacing w:val="8"/>
          <w:w w:val="80"/>
        </w:rPr>
        <w:t xml:space="preserve">ꎬ </w:t>
      </w:r>
      <w:r>
        <w:rPr>
          <w:spacing w:val="2"/>
          <w:w w:val="105"/>
        </w:rPr>
        <w:t>或者非</w:t>
      </w:r>
      <w:r>
        <w:rPr>
          <w:spacing w:val="3"/>
          <w:w w:val="105"/>
        </w:rPr>
        <w:t>法从事资金支付结算业务的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其他严重扰乱市场秩序的非法</w:t>
      </w:r>
      <w:r>
        <w:rPr>
          <w:w w:val="110"/>
        </w:rPr>
        <w:t>经营行为</w:t>
      </w:r>
      <w:r>
        <w:rPr>
          <w:rFonts w:hint="eastAsia" w:ascii="MS UI Gothic" w:eastAsia="MS UI Gothic"/>
          <w:w w:val="80"/>
        </w:rPr>
        <w:t>ꎮ</w:t>
      </w:r>
    </w:p>
    <w:p>
      <w:pPr>
        <w:pStyle w:val="6"/>
        <w:spacing w:line="295" w:lineRule="auto"/>
        <w:ind w:left="440"/>
      </w:pPr>
      <w:r>
        <w:t xml:space="preserve">第二百二十九条   </w:t>
      </w:r>
      <w:r>
        <w:rPr>
          <w:rFonts w:hint="eastAsia" w:ascii="MS UI Gothic" w:eastAsia="MS UI Gothic"/>
        </w:rPr>
        <w:t>【</w:t>
      </w:r>
      <w:r>
        <w:t>提供虚假证明文件罪</w:t>
      </w:r>
      <w:r>
        <w:rPr>
          <w:rFonts w:hint="eastAsia" w:ascii="MS UI Gothic" w:eastAsia="MS UI Gothic"/>
          <w:w w:val="80"/>
        </w:rPr>
        <w:t xml:space="preserve">ꎻ </w:t>
      </w:r>
      <w:r>
        <w:t>出具证明文件重大失实罪</w:t>
      </w:r>
      <w:r>
        <w:rPr>
          <w:rFonts w:hint="eastAsia" w:ascii="MS UI Gothic" w:eastAsia="MS UI Gothic"/>
        </w:rPr>
        <w:t xml:space="preserve">】 </w:t>
      </w:r>
      <w:r>
        <w:t>承担资产评估</w:t>
      </w:r>
      <w:r>
        <w:rPr>
          <w:rFonts w:hint="eastAsia" w:ascii="MS UI Gothic" w:eastAsia="MS UI Gothic"/>
          <w:w w:val="80"/>
        </w:rPr>
        <w:t xml:space="preserve">、 </w:t>
      </w:r>
      <w:r>
        <w:t>验资</w:t>
      </w:r>
      <w:r>
        <w:rPr>
          <w:rFonts w:hint="eastAsia" w:ascii="MS UI Gothic" w:eastAsia="MS UI Gothic"/>
          <w:w w:val="80"/>
        </w:rPr>
        <w:t xml:space="preserve">、 </w:t>
      </w:r>
      <w:r>
        <w:t>验证</w:t>
      </w:r>
      <w:r>
        <w:rPr>
          <w:rFonts w:hint="eastAsia" w:ascii="MS UI Gothic" w:eastAsia="MS UI Gothic"/>
          <w:w w:val="80"/>
        </w:rPr>
        <w:t xml:space="preserve">、 </w:t>
      </w:r>
      <w:r>
        <w:t>会计</w:t>
      </w:r>
      <w:r>
        <w:rPr>
          <w:rFonts w:hint="eastAsia" w:ascii="MS UI Gothic" w:eastAsia="MS UI Gothic"/>
          <w:w w:val="80"/>
        </w:rPr>
        <w:t xml:space="preserve">、  </w:t>
      </w:r>
      <w:r>
        <w:t>审计</w:t>
      </w:r>
      <w:r>
        <w:rPr>
          <w:rFonts w:hint="eastAsia" w:ascii="MS UI Gothic" w:eastAsia="MS UI Gothic"/>
          <w:w w:val="80"/>
        </w:rPr>
        <w:t>、</w:t>
      </w:r>
      <w:r>
        <w:t>法律服务等职责的中介组织的人员故意提供虚假证明文件</w:t>
      </w:r>
      <w:r>
        <w:rPr>
          <w:rFonts w:hint="eastAsia" w:ascii="MS UI Gothic" w:eastAsia="MS UI Gothic"/>
          <w:w w:val="80"/>
        </w:rPr>
        <w:t xml:space="preserve">ꎬ </w:t>
      </w:r>
      <w:r>
        <w:t>情节严重的</w:t>
      </w:r>
      <w:r>
        <w:rPr>
          <w:rFonts w:hint="eastAsia" w:ascii="MS UI Gothic" w:eastAsia="MS UI Gothic"/>
          <w:w w:val="80"/>
        </w:rPr>
        <w:t xml:space="preserve">ꎬ </w:t>
      </w:r>
      <w:r>
        <w:t>处五年以</w:t>
      </w:r>
    </w:p>
    <w:p>
      <w:pPr>
        <w:pStyle w:val="6"/>
        <w:spacing w:before="124"/>
        <w:ind w:left="381" w:firstLine="0"/>
        <w:rPr>
          <w:rFonts w:hint="eastAsia" w:ascii="MS UI Gothic" w:eastAsia="MS UI Gothic"/>
        </w:rPr>
      </w:pPr>
      <w:r>
        <w:br w:type="column"/>
      </w:r>
      <w:r>
        <w:t>下有期徒刑或者拘役</w:t>
      </w:r>
      <w:r>
        <w:rPr>
          <w:rFonts w:hint="eastAsia" w:ascii="MS UI Gothic" w:eastAsia="MS UI Gothic"/>
          <w:w w:val="80"/>
        </w:rPr>
        <w:t xml:space="preserve">ꎬ </w:t>
      </w:r>
      <w:r>
        <w:t>并处罚金</w:t>
      </w:r>
      <w:r>
        <w:rPr>
          <w:rFonts w:hint="eastAsia" w:ascii="MS UI Gothic" w:eastAsia="MS UI Gothic"/>
          <w:w w:val="80"/>
        </w:rPr>
        <w:t>ꎮ</w:t>
      </w:r>
    </w:p>
    <w:p>
      <w:pPr>
        <w:pStyle w:val="6"/>
        <w:spacing w:before="58" w:line="295" w:lineRule="auto"/>
        <w:ind w:left="381" w:right="126"/>
        <w:rPr>
          <w:rFonts w:hint="eastAsia" w:ascii="MS UI Gothic" w:eastAsia="MS UI Gothic"/>
        </w:rPr>
      </w:pPr>
      <w:r>
        <w:t>前款规定的人员</w:t>
      </w:r>
      <w:r>
        <w:rPr>
          <w:rFonts w:hint="eastAsia" w:ascii="MS UI Gothic" w:eastAsia="MS UI Gothic"/>
          <w:w w:val="80"/>
        </w:rPr>
        <w:t xml:space="preserve">ꎬ </w:t>
      </w:r>
      <w:r>
        <w:t>索取他人财物或者非法收受他人财物</w:t>
      </w:r>
      <w:r>
        <w:rPr>
          <w:rFonts w:hint="eastAsia" w:ascii="MS UI Gothic" w:eastAsia="MS UI Gothic"/>
          <w:w w:val="80"/>
        </w:rPr>
        <w:t xml:space="preserve">ꎬ </w:t>
      </w:r>
      <w:r>
        <w:t>犯前款罪的</w:t>
      </w:r>
      <w:r>
        <w:rPr>
          <w:rFonts w:hint="eastAsia" w:ascii="MS UI Gothic" w:eastAsia="MS UI Gothic"/>
          <w:w w:val="80"/>
        </w:rPr>
        <w:t xml:space="preserve">ꎬ </w:t>
      </w:r>
      <w:r>
        <w:t>处五年以上十年以下有期徒刑</w:t>
      </w:r>
      <w:r>
        <w:rPr>
          <w:rFonts w:hint="eastAsia" w:ascii="MS UI Gothic" w:eastAsia="MS UI Gothic"/>
          <w:w w:val="80"/>
        </w:rPr>
        <w:t xml:space="preserve">ꎬ </w:t>
      </w:r>
      <w:r>
        <w:t>并处罚金</w:t>
      </w:r>
      <w:r>
        <w:rPr>
          <w:rFonts w:hint="eastAsia" w:ascii="MS UI Gothic" w:eastAsia="MS UI Gothic"/>
          <w:w w:val="80"/>
        </w:rPr>
        <w:t>ꎮ</w:t>
      </w:r>
    </w:p>
    <w:p>
      <w:pPr>
        <w:pStyle w:val="6"/>
        <w:spacing w:line="295" w:lineRule="auto"/>
        <w:ind w:left="381" w:right="124"/>
        <w:rPr>
          <w:rFonts w:hint="eastAsia" w:ascii="MS UI Gothic" w:eastAsia="MS UI Gothic"/>
        </w:rPr>
      </w:pPr>
      <w:r>
        <w:t>第一款规定的人员</w:t>
      </w:r>
      <w:r>
        <w:rPr>
          <w:rFonts w:hint="eastAsia" w:ascii="MS UI Gothic" w:eastAsia="MS UI Gothic"/>
          <w:w w:val="80"/>
        </w:rPr>
        <w:t xml:space="preserve">ꎬ </w:t>
      </w:r>
      <w:r>
        <w:t>严重不负责任</w:t>
      </w:r>
      <w:r>
        <w:rPr>
          <w:rFonts w:hint="eastAsia" w:ascii="MS UI Gothic" w:eastAsia="MS UI Gothic"/>
          <w:w w:val="80"/>
        </w:rPr>
        <w:t>ꎬ</w:t>
      </w:r>
      <w:r>
        <w:t>出具的证明文件有重大失实</w:t>
      </w:r>
      <w:r>
        <w:rPr>
          <w:rFonts w:hint="eastAsia" w:ascii="MS UI Gothic" w:eastAsia="MS UI Gothic"/>
          <w:w w:val="80"/>
        </w:rPr>
        <w:t xml:space="preserve">ꎬ </w:t>
      </w:r>
      <w:r>
        <w:t>造成严重后果的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ꎬ </w:t>
      </w:r>
      <w:r>
        <w:t>并处或者单处罚金</w:t>
      </w:r>
      <w:r>
        <w:rPr>
          <w:rFonts w:hint="eastAsia" w:ascii="MS UI Gothic" w:eastAsia="MS UI Gothic"/>
          <w:w w:val="80"/>
        </w:rPr>
        <w:t>ꎮ</w:t>
      </w:r>
    </w:p>
    <w:p>
      <w:pPr>
        <w:pStyle w:val="6"/>
        <w:spacing w:line="295" w:lineRule="auto"/>
        <w:ind w:left="381" w:right="126"/>
        <w:rPr>
          <w:rFonts w:hint="eastAsia" w:ascii="MS UI Gothic" w:eastAsia="MS UI Gothic"/>
        </w:rPr>
      </w:pPr>
      <w:r>
        <w:t xml:space="preserve">第二百三十二条   </w:t>
      </w:r>
      <w:r>
        <w:rPr>
          <w:rFonts w:hint="eastAsia" w:ascii="MS UI Gothic" w:eastAsia="MS UI Gothic"/>
        </w:rPr>
        <w:t>【</w:t>
      </w:r>
      <w:r>
        <w:t>故意杀人罪</w:t>
      </w:r>
      <w:r>
        <w:rPr>
          <w:rFonts w:hint="eastAsia" w:ascii="MS UI Gothic" w:eastAsia="MS UI Gothic"/>
        </w:rPr>
        <w:t>】</w:t>
      </w:r>
      <w:r>
        <w:t>故意杀人的</w:t>
      </w:r>
      <w:r>
        <w:rPr>
          <w:rFonts w:hint="eastAsia" w:ascii="MS UI Gothic" w:eastAsia="MS UI Gothic"/>
          <w:w w:val="80"/>
        </w:rPr>
        <w:t xml:space="preserve">ꎬ </w:t>
      </w:r>
      <w:r>
        <w:t>处死刑</w:t>
      </w:r>
      <w:r>
        <w:rPr>
          <w:rFonts w:hint="eastAsia" w:ascii="MS UI Gothic" w:eastAsia="MS UI Gothic"/>
          <w:w w:val="80"/>
        </w:rPr>
        <w:t xml:space="preserve">、 </w:t>
      </w:r>
      <w:r>
        <w:t>无期徒刑或者十年以上有期徒刑</w:t>
      </w:r>
      <w:r>
        <w:rPr>
          <w:rFonts w:hint="eastAsia" w:ascii="MS UI Gothic" w:eastAsia="MS UI Gothic"/>
          <w:w w:val="80"/>
        </w:rPr>
        <w:t xml:space="preserve">ꎻ </w:t>
      </w:r>
      <w:r>
        <w:t>情节较轻的</w:t>
      </w:r>
      <w:r>
        <w:rPr>
          <w:rFonts w:hint="eastAsia" w:ascii="MS UI Gothic" w:eastAsia="MS UI Gothic"/>
          <w:w w:val="80"/>
        </w:rPr>
        <w:t xml:space="preserve">ꎬ </w:t>
      </w:r>
      <w:r>
        <w:t>处三年以上十年以下有期徒刑</w:t>
      </w:r>
      <w:r>
        <w:rPr>
          <w:rFonts w:hint="eastAsia" w:ascii="MS UI Gothic" w:eastAsia="MS UI Gothic"/>
          <w:w w:val="80"/>
        </w:rPr>
        <w:t>ꎮ</w:t>
      </w:r>
    </w:p>
    <w:p>
      <w:pPr>
        <w:pStyle w:val="6"/>
        <w:spacing w:line="295" w:lineRule="auto"/>
        <w:ind w:left="381" w:right="124"/>
        <w:rPr>
          <w:rFonts w:hint="eastAsia" w:ascii="MS UI Gothic" w:eastAsia="MS UI Gothic"/>
        </w:rPr>
      </w:pPr>
      <w:r>
        <w:t xml:space="preserve">第二百三十四条  </w:t>
      </w:r>
      <w:r>
        <w:rPr>
          <w:rFonts w:hint="eastAsia" w:ascii="MS UI Gothic" w:eastAsia="MS UI Gothic"/>
        </w:rPr>
        <w:t xml:space="preserve">【 </w:t>
      </w:r>
      <w:r>
        <w:t>故意伤害罪</w:t>
      </w:r>
      <w:r>
        <w:rPr>
          <w:rFonts w:hint="eastAsia" w:ascii="MS UI Gothic" w:eastAsia="MS UI Gothic"/>
          <w:w w:val="80"/>
        </w:rPr>
        <w:t>ꎻ</w:t>
      </w:r>
      <w:r>
        <w:t>组织出卖人体器官罪</w:t>
      </w:r>
      <w:r>
        <w:rPr>
          <w:rFonts w:hint="eastAsia" w:ascii="MS UI Gothic" w:eastAsia="MS UI Gothic"/>
        </w:rPr>
        <w:t xml:space="preserve">】 </w:t>
      </w:r>
      <w:r>
        <w:t>故意伤害他人身体的</w:t>
      </w:r>
      <w:r>
        <w:rPr>
          <w:rFonts w:hint="eastAsia" w:ascii="MS UI Gothic" w:eastAsia="MS UI Gothic"/>
          <w:w w:val="80"/>
        </w:rPr>
        <w:t xml:space="preserve">ꎬ </w:t>
      </w:r>
      <w:r>
        <w:t>处三年以下有期徒刑</w:t>
      </w:r>
      <w:r>
        <w:rPr>
          <w:rFonts w:hint="eastAsia" w:ascii="MS UI Gothic" w:eastAsia="MS UI Gothic"/>
          <w:w w:val="80"/>
        </w:rPr>
        <w:t xml:space="preserve">、 </w:t>
      </w:r>
      <w:r>
        <w:t>拘役或者管制</w:t>
      </w:r>
      <w:r>
        <w:rPr>
          <w:rFonts w:hint="eastAsia" w:ascii="MS UI Gothic" w:eastAsia="MS UI Gothic"/>
          <w:w w:val="80"/>
        </w:rPr>
        <w:t>ꎮ</w:t>
      </w:r>
    </w:p>
    <w:p>
      <w:pPr>
        <w:pStyle w:val="6"/>
        <w:spacing w:line="295" w:lineRule="auto"/>
        <w:ind w:left="381" w:right="126"/>
        <w:rPr>
          <w:rFonts w:hint="eastAsia" w:ascii="MS UI Gothic" w:eastAsia="MS UI Gothic"/>
        </w:rPr>
      </w:pPr>
      <w:r>
        <w:t>犯前款罪</w:t>
      </w:r>
      <w:r>
        <w:rPr>
          <w:rFonts w:hint="eastAsia" w:ascii="MS UI Gothic" w:eastAsia="MS UI Gothic"/>
          <w:w w:val="80"/>
        </w:rPr>
        <w:t xml:space="preserve">ꎬ </w:t>
      </w:r>
      <w:r>
        <w:t>致人重伤的</w:t>
      </w:r>
      <w:r>
        <w:rPr>
          <w:rFonts w:hint="eastAsia" w:ascii="MS UI Gothic" w:eastAsia="MS UI Gothic"/>
          <w:w w:val="80"/>
        </w:rPr>
        <w:t xml:space="preserve">ꎬ </w:t>
      </w:r>
      <w:r>
        <w:t>处三年以上十年以下有期徒刑</w:t>
      </w:r>
      <w:r>
        <w:rPr>
          <w:rFonts w:hint="eastAsia" w:ascii="MS UI Gothic" w:eastAsia="MS UI Gothic"/>
          <w:w w:val="80"/>
        </w:rPr>
        <w:t xml:space="preserve">ꎻ </w:t>
      </w:r>
      <w:r>
        <w:t>致人死亡或者以特别残忍手段致人重伤造成严重残疾的</w:t>
      </w:r>
      <w:r>
        <w:rPr>
          <w:rFonts w:hint="eastAsia" w:ascii="MS UI Gothic" w:eastAsia="MS UI Gothic"/>
          <w:w w:val="80"/>
        </w:rPr>
        <w:t xml:space="preserve">ꎬ </w:t>
      </w:r>
      <w:r>
        <w:t>处十年以上有期徒刑</w:t>
      </w:r>
      <w:r>
        <w:rPr>
          <w:rFonts w:hint="eastAsia" w:ascii="MS UI Gothic" w:eastAsia="MS UI Gothic"/>
          <w:w w:val="80"/>
        </w:rPr>
        <w:t xml:space="preserve">、 </w:t>
      </w:r>
      <w:r>
        <w:t>无期徒刑或者死刑</w:t>
      </w:r>
      <w:r>
        <w:rPr>
          <w:rFonts w:hint="eastAsia" w:ascii="MS UI Gothic" w:eastAsia="MS UI Gothic"/>
          <w:w w:val="80"/>
        </w:rPr>
        <w:t xml:space="preserve">ꎮ </w:t>
      </w:r>
      <w:r>
        <w:t>本法另有规定的</w:t>
      </w:r>
      <w:r>
        <w:rPr>
          <w:rFonts w:hint="eastAsia" w:ascii="MS UI Gothic" w:eastAsia="MS UI Gothic"/>
          <w:w w:val="80"/>
        </w:rPr>
        <w:t xml:space="preserve">ꎬ </w:t>
      </w:r>
      <w:r>
        <w:t>依照规定</w:t>
      </w:r>
      <w:r>
        <w:rPr>
          <w:rFonts w:hint="eastAsia" w:ascii="MS UI Gothic" w:eastAsia="MS UI Gothic"/>
          <w:w w:val="80"/>
        </w:rPr>
        <w:t>ꎮ</w:t>
      </w:r>
    </w:p>
    <w:p>
      <w:pPr>
        <w:pStyle w:val="6"/>
        <w:spacing w:line="295" w:lineRule="auto"/>
        <w:ind w:left="381" w:right="124"/>
        <w:rPr>
          <w:rFonts w:hint="eastAsia" w:ascii="MS UI Gothic" w:eastAsia="MS UI Gothic"/>
        </w:rPr>
      </w:pPr>
      <w:r>
        <w:t xml:space="preserve">第三百四十三条  </w:t>
      </w:r>
      <w:r>
        <w:rPr>
          <w:rFonts w:hint="eastAsia" w:ascii="MS UI Gothic" w:eastAsia="MS UI Gothic"/>
        </w:rPr>
        <w:t xml:space="preserve">【 </w:t>
      </w:r>
      <w:r>
        <w:t>非法采矿罪</w:t>
      </w:r>
      <w:r>
        <w:rPr>
          <w:rFonts w:hint="eastAsia" w:ascii="MS UI Gothic" w:eastAsia="MS UI Gothic"/>
          <w:w w:val="80"/>
        </w:rPr>
        <w:t>ꎻ</w:t>
      </w:r>
      <w:r>
        <w:t>破坏性采矿罪</w:t>
      </w:r>
      <w:r>
        <w:rPr>
          <w:rFonts w:hint="eastAsia" w:ascii="MS UI Gothic" w:eastAsia="MS UI Gothic"/>
        </w:rPr>
        <w:t xml:space="preserve">】 </w:t>
      </w:r>
      <w:r>
        <w:t>违反矿产资源法的规定</w:t>
      </w:r>
      <w:r>
        <w:rPr>
          <w:rFonts w:hint="eastAsia" w:ascii="MS UI Gothic" w:eastAsia="MS UI Gothic"/>
          <w:w w:val="80"/>
        </w:rPr>
        <w:t>ꎬ</w:t>
      </w:r>
      <w:r>
        <w:t>未取得采矿许可证擅自采矿</w:t>
      </w:r>
      <w:r>
        <w:rPr>
          <w:rFonts w:hint="eastAsia" w:ascii="MS UI Gothic" w:eastAsia="MS UI Gothic"/>
          <w:w w:val="80"/>
        </w:rPr>
        <w:t xml:space="preserve">ꎬ </w:t>
      </w:r>
      <w:r>
        <w:t>擅自进入国家规划矿区</w:t>
      </w:r>
      <w:r>
        <w:rPr>
          <w:rFonts w:hint="eastAsia" w:ascii="MS UI Gothic" w:eastAsia="MS UI Gothic"/>
          <w:w w:val="80"/>
        </w:rPr>
        <w:t xml:space="preserve">、 </w:t>
      </w:r>
      <w:r>
        <w:t>对国民经济具有重要价值的矿区和他人矿区范围采矿</w:t>
      </w:r>
      <w:r>
        <w:rPr>
          <w:rFonts w:hint="eastAsia" w:ascii="MS UI Gothic" w:eastAsia="MS UI Gothic"/>
          <w:w w:val="80"/>
        </w:rPr>
        <w:t xml:space="preserve">ꎬ </w:t>
      </w:r>
      <w:r>
        <w:t>或者擅自开采国家规定实行保护性开采的特定矿种</w:t>
      </w:r>
      <w:r>
        <w:rPr>
          <w:rFonts w:hint="eastAsia" w:ascii="MS UI Gothic" w:eastAsia="MS UI Gothic"/>
          <w:w w:val="80"/>
        </w:rPr>
        <w:t xml:space="preserve">ꎬ </w:t>
      </w:r>
      <w:r>
        <w:t>情节严重的</w:t>
      </w:r>
      <w:r>
        <w:rPr>
          <w:rFonts w:hint="eastAsia" w:ascii="MS UI Gothic" w:eastAsia="MS UI Gothic"/>
          <w:w w:val="80"/>
        </w:rPr>
        <w:t xml:space="preserve">ꎬ </w:t>
      </w:r>
      <w:r>
        <w:t>处三年以下有期徒刑</w:t>
      </w:r>
      <w:r>
        <w:rPr>
          <w:rFonts w:hint="eastAsia" w:ascii="MS UI Gothic" w:eastAsia="MS UI Gothic"/>
          <w:w w:val="80"/>
        </w:rPr>
        <w:t xml:space="preserve">、 </w:t>
      </w:r>
      <w:r>
        <w:t>拘役或者管制</w:t>
      </w:r>
      <w:r>
        <w:rPr>
          <w:rFonts w:hint="eastAsia" w:ascii="MS UI Gothic" w:eastAsia="MS UI Gothic"/>
          <w:w w:val="80"/>
        </w:rPr>
        <w:t xml:space="preserve">ꎬ </w:t>
      </w:r>
      <w:r>
        <w:t>并处或者单处罚金</w:t>
      </w:r>
      <w:r>
        <w:rPr>
          <w:rFonts w:hint="eastAsia" w:ascii="MS UI Gothic" w:eastAsia="MS UI Gothic"/>
          <w:w w:val="80"/>
        </w:rPr>
        <w:t xml:space="preserve">ꎻ </w:t>
      </w:r>
      <w:r>
        <w:t>情节特别严重的</w:t>
      </w:r>
      <w:r>
        <w:rPr>
          <w:rFonts w:hint="eastAsia" w:ascii="MS UI Gothic" w:eastAsia="MS UI Gothic"/>
          <w:w w:val="80"/>
        </w:rPr>
        <w:t xml:space="preserve">ꎬ </w:t>
      </w:r>
      <w:r>
        <w:t>处三年以上七年以下有期徒刑</w:t>
      </w:r>
      <w:r>
        <w:rPr>
          <w:rFonts w:hint="eastAsia" w:ascii="MS UI Gothic" w:eastAsia="MS UI Gothic"/>
          <w:w w:val="80"/>
        </w:rPr>
        <w:t xml:space="preserve">ꎬ </w:t>
      </w:r>
      <w:r>
        <w:t>并处罚金</w:t>
      </w:r>
      <w:r>
        <w:rPr>
          <w:rFonts w:hint="eastAsia" w:ascii="MS UI Gothic" w:eastAsia="MS UI Gothic"/>
          <w:w w:val="80"/>
        </w:rPr>
        <w:t>ꎮ</w:t>
      </w:r>
    </w:p>
    <w:p>
      <w:pPr>
        <w:pStyle w:val="6"/>
        <w:spacing w:line="295" w:lineRule="auto"/>
        <w:ind w:left="381" w:right="126"/>
        <w:rPr>
          <w:rFonts w:hint="eastAsia" w:ascii="MS UI Gothic" w:eastAsia="MS UI Gothic"/>
        </w:rPr>
      </w:pPr>
      <w:r>
        <w:t xml:space="preserve">第三百八十九条  </w:t>
      </w:r>
      <w:r>
        <w:rPr>
          <w:rFonts w:hint="eastAsia" w:ascii="MS UI Gothic" w:eastAsia="MS UI Gothic"/>
        </w:rPr>
        <w:t>【</w:t>
      </w:r>
      <w:r>
        <w:t>行贿罪</w:t>
      </w:r>
      <w:r>
        <w:rPr>
          <w:rFonts w:hint="eastAsia" w:ascii="MS UI Gothic" w:eastAsia="MS UI Gothic"/>
        </w:rPr>
        <w:t xml:space="preserve">】  </w:t>
      </w:r>
      <w:r>
        <w:t>为谋取不正当利益</w:t>
      </w:r>
      <w:r>
        <w:rPr>
          <w:rFonts w:hint="eastAsia" w:ascii="MS UI Gothic" w:eastAsia="MS UI Gothic"/>
          <w:w w:val="80"/>
        </w:rPr>
        <w:t xml:space="preserve">ꎬ </w:t>
      </w:r>
      <w:r>
        <w:t>给予国家工作人员以财物的</w:t>
      </w:r>
      <w:r>
        <w:rPr>
          <w:rFonts w:hint="eastAsia" w:ascii="MS UI Gothic" w:eastAsia="MS UI Gothic"/>
          <w:w w:val="80"/>
        </w:rPr>
        <w:t xml:space="preserve">ꎬ </w:t>
      </w:r>
      <w:r>
        <w:t>是行贿罪</w:t>
      </w:r>
      <w:r>
        <w:rPr>
          <w:rFonts w:hint="eastAsia" w:ascii="MS UI Gothic" w:eastAsia="MS UI Gothic"/>
          <w:w w:val="80"/>
        </w:rPr>
        <w:t>ꎮ</w:t>
      </w:r>
    </w:p>
    <w:p>
      <w:pPr>
        <w:pStyle w:val="6"/>
        <w:spacing w:line="295" w:lineRule="auto"/>
        <w:ind w:left="381" w:right="126"/>
        <w:rPr>
          <w:rFonts w:hint="eastAsia" w:ascii="MS UI Gothic" w:eastAsia="MS UI Gothic"/>
        </w:rPr>
      </w:pPr>
      <w:r>
        <w:t>在经往来中</w:t>
      </w:r>
      <w:r>
        <w:rPr>
          <w:rFonts w:hint="eastAsia" w:ascii="MS UI Gothic" w:eastAsia="MS UI Gothic"/>
          <w:w w:val="80"/>
        </w:rPr>
        <w:t xml:space="preserve">ꎬ </w:t>
      </w:r>
      <w:r>
        <w:t>违反国家规定</w:t>
      </w:r>
      <w:r>
        <w:rPr>
          <w:rFonts w:hint="eastAsia" w:ascii="MS UI Gothic" w:eastAsia="MS UI Gothic"/>
          <w:w w:val="80"/>
        </w:rPr>
        <w:t xml:space="preserve">ꎬ </w:t>
      </w:r>
      <w:r>
        <w:t>给予国家工作人员以财物</w:t>
      </w:r>
      <w:r>
        <w:rPr>
          <w:rFonts w:hint="eastAsia" w:ascii="MS UI Gothic" w:eastAsia="MS UI Gothic"/>
          <w:w w:val="80"/>
        </w:rPr>
        <w:t xml:space="preserve">ꎬ </w:t>
      </w:r>
      <w:r>
        <w:t>数额较大的</w:t>
      </w:r>
      <w:r>
        <w:rPr>
          <w:rFonts w:hint="eastAsia" w:ascii="MS UI Gothic" w:eastAsia="MS UI Gothic"/>
          <w:w w:val="80"/>
        </w:rPr>
        <w:t xml:space="preserve">ꎬ </w:t>
      </w:r>
      <w:r>
        <w:t>或者违反国家规定</w:t>
      </w:r>
      <w:r>
        <w:rPr>
          <w:rFonts w:hint="eastAsia" w:ascii="MS UI Gothic" w:eastAsia="MS UI Gothic"/>
          <w:w w:val="80"/>
        </w:rPr>
        <w:t xml:space="preserve">ꎬ </w:t>
      </w:r>
      <w:r>
        <w:t>给予国家工作人员以各种名义的回扣</w:t>
      </w:r>
      <w:r>
        <w:rPr>
          <w:rFonts w:hint="eastAsia" w:ascii="MS UI Gothic" w:eastAsia="MS UI Gothic"/>
        </w:rPr>
        <w:t xml:space="preserve">、 </w:t>
      </w:r>
      <w:r>
        <w:t>手续费的</w:t>
      </w:r>
      <w:r>
        <w:rPr>
          <w:rFonts w:hint="eastAsia" w:ascii="MS UI Gothic" w:eastAsia="MS UI Gothic"/>
          <w:w w:val="80"/>
        </w:rPr>
        <w:t xml:space="preserve">ꎬ </w:t>
      </w:r>
      <w:r>
        <w:t>以行贿论处</w:t>
      </w:r>
      <w:r>
        <w:rPr>
          <w:rFonts w:hint="eastAsia" w:ascii="MS UI Gothic" w:eastAsia="MS UI Gothic"/>
          <w:w w:val="80"/>
        </w:rPr>
        <w:t>ꎮ</w:t>
      </w:r>
    </w:p>
    <w:p>
      <w:pPr>
        <w:pStyle w:val="6"/>
        <w:spacing w:line="253" w:lineRule="exact"/>
        <w:ind w:left="800" w:firstLine="0"/>
        <w:jc w:val="left"/>
        <w:rPr>
          <w:rFonts w:hint="eastAsia" w:ascii="MS UI Gothic" w:eastAsia="MS UI Gothic"/>
        </w:rPr>
      </w:pPr>
      <w:r>
        <w:t>因被勒索给予国家工作人员以财物</w:t>
      </w:r>
      <w:r>
        <w:rPr>
          <w:rFonts w:hint="eastAsia" w:ascii="MS UI Gothic" w:eastAsia="MS UI Gothic"/>
          <w:w w:val="80"/>
        </w:rPr>
        <w:t>ꎬ</w:t>
      </w:r>
    </w:p>
    <w:p>
      <w:pPr>
        <w:spacing w:after="0" w:line="253" w:lineRule="exact"/>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84" w:firstLine="0"/>
        <w:jc w:val="left"/>
        <w:rPr>
          <w:rFonts w:hint="eastAsia" w:ascii="MS UI Gothic" w:eastAsia="MS UI Gothic"/>
        </w:rPr>
      </w:pPr>
      <w:r>
        <w:rPr>
          <w:rFonts w:hint="eastAsia" w:ascii="MS UI Gothic" w:eastAsia="MS UI Gothic"/>
          <w:spacing w:val="1"/>
          <w:w w:val="75"/>
        </w:rPr>
        <w:t>６</w:t>
      </w:r>
    </w:p>
    <w:p>
      <w:pPr>
        <w:spacing w:before="192"/>
        <w:ind w:left="38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45" w:space="1096"/>
            <w:col w:w="6499"/>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68" o:spid="_x0000_s1068" o:spt="203" style="height:2.15pt;width:398.25pt;" coordsize="7965,43">
            <o:lock v:ext="edit"/>
            <v:line id="_x0000_s1069" o:spid="_x0000_s1069" o:spt="20" style="position:absolute;left:0;top:39;height:0;width:7965;" stroked="t" coordsize="21600,21600">
              <v:path arrowok="t"/>
              <v:fill focussize="0,0"/>
              <v:stroke weight="0.388031496062992pt" color="#231F20"/>
              <v:imagedata o:title=""/>
              <o:lock v:ext="edit"/>
            </v:line>
            <v:line id="_x0000_s1070" o:spid="_x0000_s107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rPr>
          <w:rFonts w:hint="eastAsia" w:ascii="MS UI Gothic" w:eastAsia="MS UI Gothic"/>
        </w:rPr>
      </w:pPr>
      <w:r>
        <w:t>没有获得不正当利益的</w:t>
      </w:r>
      <w:r>
        <w:rPr>
          <w:rFonts w:hint="eastAsia" w:ascii="MS UI Gothic" w:eastAsia="MS UI Gothic"/>
          <w:w w:val="80"/>
        </w:rPr>
        <w:t xml:space="preserve">ꎬ </w:t>
      </w:r>
      <w:r>
        <w:t>不是行贿</w:t>
      </w:r>
      <w:r>
        <w:rPr>
          <w:rFonts w:hint="eastAsia" w:ascii="MS UI Gothic" w:eastAsia="MS UI Gothic"/>
          <w:w w:val="80"/>
        </w:rPr>
        <w:t>ꎮ</w:t>
      </w:r>
    </w:p>
    <w:p>
      <w:pPr>
        <w:pStyle w:val="6"/>
        <w:spacing w:before="58" w:line="295" w:lineRule="auto"/>
        <w:ind w:right="38"/>
        <w:rPr>
          <w:rFonts w:hint="eastAsia" w:ascii="MS UI Gothic" w:eastAsia="MS UI Gothic"/>
        </w:rPr>
      </w:pPr>
      <w:r>
        <w:t xml:space="preserve">第三百九十七条  </w:t>
      </w:r>
      <w:r>
        <w:rPr>
          <w:rFonts w:hint="eastAsia" w:ascii="MS UI Gothic" w:eastAsia="MS UI Gothic"/>
        </w:rPr>
        <w:t xml:space="preserve">【 </w:t>
      </w:r>
      <w:r>
        <w:t>滥用职权罪</w:t>
      </w:r>
      <w:r>
        <w:rPr>
          <w:rFonts w:hint="eastAsia" w:ascii="MS UI Gothic" w:eastAsia="MS UI Gothic"/>
          <w:w w:val="80"/>
        </w:rPr>
        <w:t>ꎻ</w:t>
      </w:r>
      <w:r>
        <w:t>玩忽职守罪</w:t>
      </w:r>
      <w:r>
        <w:rPr>
          <w:rFonts w:hint="eastAsia" w:ascii="MS UI Gothic" w:eastAsia="MS UI Gothic"/>
        </w:rPr>
        <w:t xml:space="preserve">】 </w:t>
      </w:r>
      <w:r>
        <w:t>国家机关工作人员滥用职权或者玩忽职守</w:t>
      </w:r>
      <w:r>
        <w:rPr>
          <w:rFonts w:hint="eastAsia" w:ascii="MS UI Gothic" w:eastAsia="MS UI Gothic"/>
          <w:w w:val="80"/>
        </w:rPr>
        <w:t xml:space="preserve">ꎬ </w:t>
      </w:r>
      <w:r>
        <w:t>致使公共财产</w:t>
      </w:r>
      <w:r>
        <w:rPr>
          <w:rFonts w:hint="eastAsia" w:ascii="MS UI Gothic" w:eastAsia="MS UI Gothic"/>
          <w:w w:val="80"/>
        </w:rPr>
        <w:t xml:space="preserve">、 </w:t>
      </w:r>
      <w:r>
        <w:t>国家和人民利益遭受重大损失的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情节特别严重的</w:t>
      </w:r>
      <w:r>
        <w:rPr>
          <w:rFonts w:hint="eastAsia" w:ascii="MS UI Gothic" w:eastAsia="MS UI Gothic"/>
          <w:w w:val="80"/>
        </w:rPr>
        <w:t xml:space="preserve">ꎬ </w:t>
      </w:r>
      <w:r>
        <w:t>处三年以上七年以下有期徒刑</w:t>
      </w:r>
      <w:r>
        <w:rPr>
          <w:rFonts w:hint="eastAsia" w:ascii="MS UI Gothic" w:eastAsia="MS UI Gothic"/>
          <w:w w:val="80"/>
        </w:rPr>
        <w:t xml:space="preserve">ꎮ </w:t>
      </w:r>
      <w:r>
        <w:t>本法另有规定的</w:t>
      </w:r>
      <w:r>
        <w:rPr>
          <w:rFonts w:hint="eastAsia" w:ascii="MS UI Gothic" w:eastAsia="MS UI Gothic"/>
          <w:w w:val="80"/>
        </w:rPr>
        <w:t xml:space="preserve">ꎬ </w:t>
      </w:r>
      <w:r>
        <w:t>依照规定</w:t>
      </w:r>
      <w:r>
        <w:rPr>
          <w:rFonts w:hint="eastAsia" w:ascii="MS UI Gothic" w:eastAsia="MS UI Gothic"/>
          <w:w w:val="80"/>
        </w:rPr>
        <w:t>ꎮ</w:t>
      </w:r>
    </w:p>
    <w:p>
      <w:pPr>
        <w:pStyle w:val="6"/>
        <w:spacing w:line="295" w:lineRule="auto"/>
        <w:ind w:right="39"/>
        <w:rPr>
          <w:rFonts w:hint="eastAsia" w:ascii="MS UI Gothic" w:eastAsia="MS UI Gothic"/>
        </w:rPr>
      </w:pPr>
      <w:r>
        <w:t>国家机关工作人员徇私舞弊</w:t>
      </w:r>
      <w:r>
        <w:rPr>
          <w:rFonts w:hint="eastAsia" w:ascii="MS UI Gothic" w:eastAsia="MS UI Gothic"/>
          <w:w w:val="80"/>
        </w:rPr>
        <w:t xml:space="preserve">ꎬ </w:t>
      </w:r>
      <w:r>
        <w:t>犯前款罪的</w:t>
      </w:r>
      <w:r>
        <w:rPr>
          <w:rFonts w:hint="eastAsia" w:ascii="MS UI Gothic" w:eastAsia="MS UI Gothic"/>
          <w:w w:val="80"/>
        </w:rPr>
        <w:t xml:space="preserve">ꎬ </w:t>
      </w:r>
      <w:r>
        <w:t>处五年以下有期徒刑或者拘役</w:t>
      </w:r>
      <w:r>
        <w:rPr>
          <w:rFonts w:hint="eastAsia" w:ascii="MS UI Gothic" w:eastAsia="MS UI Gothic"/>
          <w:w w:val="80"/>
        </w:rPr>
        <w:t xml:space="preserve">ꎻ </w:t>
      </w:r>
      <w:r>
        <w:t>情节特别严重的</w:t>
      </w:r>
      <w:r>
        <w:rPr>
          <w:rFonts w:hint="eastAsia" w:ascii="MS UI Gothic" w:eastAsia="MS UI Gothic"/>
          <w:w w:val="80"/>
        </w:rPr>
        <w:t xml:space="preserve">ꎬ </w:t>
      </w:r>
      <w:r>
        <w:t>处五年以上十年以下有期徒刑</w:t>
      </w:r>
      <w:r>
        <w:rPr>
          <w:rFonts w:hint="eastAsia" w:ascii="MS UI Gothic" w:eastAsia="MS UI Gothic"/>
          <w:w w:val="80"/>
        </w:rPr>
        <w:t xml:space="preserve">ꎮ </w:t>
      </w:r>
      <w:r>
        <w:t>本法另有规定的</w:t>
      </w:r>
      <w:r>
        <w:rPr>
          <w:rFonts w:hint="eastAsia" w:ascii="MS UI Gothic" w:eastAsia="MS UI Gothic"/>
          <w:w w:val="80"/>
        </w:rPr>
        <w:t xml:space="preserve">ꎬ </w:t>
      </w:r>
      <w:r>
        <w:t>依照规定</w:t>
      </w:r>
      <w:r>
        <w:rPr>
          <w:rFonts w:hint="eastAsia" w:ascii="MS UI Gothic" w:eastAsia="MS UI Gothic"/>
          <w:w w:val="80"/>
        </w:rPr>
        <w:t>ꎮ</w:t>
      </w:r>
    </w:p>
    <w:p>
      <w:pPr>
        <w:pStyle w:val="6"/>
        <w:spacing w:line="295" w:lineRule="auto"/>
        <w:ind w:right="38"/>
        <w:rPr>
          <w:rFonts w:hint="eastAsia" w:ascii="MS UI Gothic" w:eastAsia="MS UI Gothic"/>
        </w:rPr>
      </w:pPr>
      <w:r>
        <w:t xml:space="preserve">第三百九十八条   </w:t>
      </w:r>
      <w:r>
        <w:rPr>
          <w:rFonts w:hint="eastAsia" w:ascii="MS UI Gothic" w:eastAsia="MS UI Gothic"/>
        </w:rPr>
        <w:t>【</w:t>
      </w:r>
      <w:r>
        <w:t>故意泄露国家秘密罪</w:t>
      </w:r>
      <w:r>
        <w:rPr>
          <w:rFonts w:hint="eastAsia" w:ascii="MS UI Gothic" w:eastAsia="MS UI Gothic"/>
          <w:w w:val="80"/>
        </w:rPr>
        <w:t xml:space="preserve">ꎻ </w:t>
      </w:r>
      <w:r>
        <w:t>过失泄露国家秘密罪</w:t>
      </w:r>
      <w:r>
        <w:rPr>
          <w:rFonts w:hint="eastAsia" w:ascii="MS UI Gothic" w:eastAsia="MS UI Gothic"/>
        </w:rPr>
        <w:t xml:space="preserve">】 </w:t>
      </w:r>
      <w:r>
        <w:t>国家机关工作人员违反保守国家秘密法的规定</w:t>
      </w:r>
      <w:r>
        <w:rPr>
          <w:rFonts w:hint="eastAsia" w:ascii="MS UI Gothic" w:eastAsia="MS UI Gothic"/>
          <w:w w:val="80"/>
        </w:rPr>
        <w:t>ꎬ</w:t>
      </w:r>
      <w:r>
        <w:t>故意或者过失泄露国家秘密</w:t>
      </w:r>
      <w:r>
        <w:rPr>
          <w:rFonts w:hint="eastAsia" w:ascii="MS UI Gothic" w:eastAsia="MS UI Gothic"/>
          <w:w w:val="80"/>
        </w:rPr>
        <w:t xml:space="preserve">ꎬ </w:t>
      </w:r>
      <w:r>
        <w:t>情节严重的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情节特别严重的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39"/>
        <w:rPr>
          <w:rFonts w:hint="eastAsia" w:ascii="MS UI Gothic" w:eastAsia="MS UI Gothic"/>
        </w:rPr>
      </w:pPr>
      <w:r>
        <w:t>非国家机关工作人员犯前款罪的</w:t>
      </w:r>
      <w:r>
        <w:rPr>
          <w:rFonts w:hint="eastAsia" w:ascii="MS UI Gothic" w:eastAsia="MS UI Gothic"/>
          <w:w w:val="80"/>
        </w:rPr>
        <w:t xml:space="preserve">ꎬ </w:t>
      </w:r>
      <w:r>
        <w:t>依照前款的规定酌情处罚</w:t>
      </w:r>
      <w:r>
        <w:rPr>
          <w:rFonts w:hint="eastAsia" w:ascii="MS UI Gothic" w:eastAsia="MS UI Gothic"/>
          <w:w w:val="80"/>
        </w:rPr>
        <w:t>ꎮ</w:t>
      </w:r>
    </w:p>
    <w:p>
      <w:pPr>
        <w:pStyle w:val="6"/>
        <w:spacing w:line="295" w:lineRule="auto"/>
        <w:ind w:right="38"/>
        <w:rPr>
          <w:rFonts w:hint="eastAsia" w:ascii="MS UI Gothic" w:eastAsia="MS UI Gothic"/>
        </w:rPr>
      </w:pPr>
      <w:r>
        <w:t xml:space="preserve">第四百零二条   </w:t>
      </w:r>
      <w:r>
        <w:rPr>
          <w:rFonts w:hint="eastAsia" w:ascii="MS UI Gothic" w:eastAsia="MS UI Gothic"/>
        </w:rPr>
        <w:t>【</w:t>
      </w:r>
      <w:r>
        <w:t>徇私舞弊不移交刑事案件罪</w:t>
      </w:r>
      <w:r>
        <w:rPr>
          <w:rFonts w:hint="eastAsia" w:ascii="MS UI Gothic" w:eastAsia="MS UI Gothic"/>
        </w:rPr>
        <w:t xml:space="preserve">】 </w:t>
      </w:r>
      <w:r>
        <w:t>行政执法人员徇私舞弊</w:t>
      </w:r>
      <w:r>
        <w:rPr>
          <w:rFonts w:hint="eastAsia" w:ascii="MS UI Gothic" w:eastAsia="MS UI Gothic"/>
          <w:w w:val="80"/>
        </w:rPr>
        <w:t>ꎬ</w:t>
      </w:r>
      <w:r>
        <w:t>对依法应当移交司法机关追究刑事责任的不移交</w:t>
      </w:r>
      <w:r>
        <w:rPr>
          <w:rFonts w:hint="eastAsia" w:ascii="MS UI Gothic" w:eastAsia="MS UI Gothic"/>
          <w:w w:val="80"/>
        </w:rPr>
        <w:t xml:space="preserve">ꎬ </w:t>
      </w:r>
      <w:r>
        <w:t>情节严重的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造成严重后果的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38"/>
        <w:rPr>
          <w:rFonts w:hint="eastAsia" w:ascii="MS UI Gothic" w:eastAsia="MS UI Gothic"/>
        </w:rPr>
      </w:pPr>
      <w:r>
        <w:t xml:space="preserve">第四百零六条   </w:t>
      </w:r>
      <w:r>
        <w:rPr>
          <w:rFonts w:hint="eastAsia" w:ascii="MS UI Gothic" w:eastAsia="MS UI Gothic"/>
        </w:rPr>
        <w:t>【</w:t>
      </w:r>
      <w:r>
        <w:t>国家机关工作人员签订</w:t>
      </w:r>
      <w:r>
        <w:rPr>
          <w:rFonts w:hint="eastAsia" w:ascii="MS UI Gothic" w:eastAsia="MS UI Gothic"/>
          <w:w w:val="80"/>
        </w:rPr>
        <w:t xml:space="preserve">、 </w:t>
      </w:r>
      <w:r>
        <w:t>履行合同失职被骗罪</w:t>
      </w:r>
      <w:r>
        <w:rPr>
          <w:rFonts w:hint="eastAsia" w:ascii="MS UI Gothic" w:eastAsia="MS UI Gothic"/>
        </w:rPr>
        <w:t xml:space="preserve">】  </w:t>
      </w:r>
      <w:r>
        <w:t>国家机关工作人员在签订</w:t>
      </w:r>
      <w:r>
        <w:rPr>
          <w:rFonts w:hint="eastAsia" w:ascii="MS UI Gothic" w:eastAsia="MS UI Gothic"/>
          <w:w w:val="80"/>
        </w:rPr>
        <w:t xml:space="preserve">、 </w:t>
      </w:r>
      <w:r>
        <w:t>履行合同过程中</w:t>
      </w:r>
      <w:r>
        <w:rPr>
          <w:rFonts w:hint="eastAsia" w:ascii="MS UI Gothic" w:eastAsia="MS UI Gothic"/>
          <w:w w:val="80"/>
        </w:rPr>
        <w:t xml:space="preserve">ꎬ </w:t>
      </w:r>
      <w:r>
        <w:t>因严重不负责任被诈骗</w:t>
      </w:r>
      <w:r>
        <w:rPr>
          <w:rFonts w:hint="eastAsia" w:ascii="MS UI Gothic" w:eastAsia="MS UI Gothic"/>
          <w:w w:val="80"/>
        </w:rPr>
        <w:t xml:space="preserve">ꎬ </w:t>
      </w:r>
      <w:r>
        <w:t>致使国家利益遭受重大损失的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致使国家利益遭受特别重大损失的</w:t>
      </w:r>
      <w:r>
        <w:rPr>
          <w:rFonts w:hint="eastAsia" w:ascii="MS UI Gothic" w:eastAsia="MS UI Gothic"/>
          <w:w w:val="80"/>
        </w:rPr>
        <w:t>ꎬ</w:t>
      </w:r>
      <w:r>
        <w:t>处三年以上七年以下有期徒刑</w:t>
      </w:r>
      <w:r>
        <w:rPr>
          <w:rFonts w:hint="eastAsia" w:ascii="MS UI Gothic" w:eastAsia="MS UI Gothic"/>
          <w:w w:val="80"/>
        </w:rPr>
        <w:t>ꎮ</w:t>
      </w:r>
    </w:p>
    <w:p>
      <w:pPr>
        <w:pStyle w:val="6"/>
        <w:spacing w:line="295" w:lineRule="auto"/>
        <w:ind w:right="39"/>
      </w:pPr>
      <w:r>
        <w:rPr>
          <w:w w:val="105"/>
        </w:rPr>
        <w:t xml:space="preserve">第四百零七条 </w:t>
      </w:r>
      <w:r>
        <w:rPr>
          <w:rFonts w:hint="eastAsia" w:ascii="MS UI Gothic" w:eastAsia="MS UI Gothic"/>
          <w:w w:val="105"/>
        </w:rPr>
        <w:t>【</w:t>
      </w:r>
      <w:r>
        <w:rPr>
          <w:w w:val="105"/>
        </w:rPr>
        <w:t>违法发放林木采伐许可证罪</w:t>
      </w:r>
      <w:r>
        <w:rPr>
          <w:rFonts w:hint="eastAsia" w:ascii="MS UI Gothic" w:eastAsia="MS UI Gothic"/>
          <w:w w:val="105"/>
        </w:rPr>
        <w:t xml:space="preserve">】 </w:t>
      </w:r>
      <w:r>
        <w:rPr>
          <w:w w:val="105"/>
        </w:rPr>
        <w:t>林业主管部门的工作人员</w:t>
      </w:r>
      <w:r>
        <w:t>违反森林法的规定</w:t>
      </w:r>
      <w:r>
        <w:rPr>
          <w:rFonts w:hint="eastAsia" w:ascii="MS UI Gothic" w:eastAsia="MS UI Gothic"/>
          <w:w w:val="80"/>
        </w:rPr>
        <w:t xml:space="preserve">ꎬ </w:t>
      </w:r>
      <w:r>
        <w:t>超过批准的年采伐限额发放林木采伐许可证或者违反规定滥发林木采伐许可证</w:t>
      </w:r>
      <w:r>
        <w:rPr>
          <w:rFonts w:hint="eastAsia" w:ascii="MS UI Gothic" w:eastAsia="MS UI Gothic"/>
          <w:w w:val="80"/>
        </w:rPr>
        <w:t xml:space="preserve">ꎬ </w:t>
      </w:r>
      <w:r>
        <w:t>情节严重</w:t>
      </w:r>
      <w:r>
        <w:rPr>
          <w:rFonts w:hint="eastAsia" w:ascii="MS UI Gothic" w:eastAsia="MS UI Gothic"/>
          <w:w w:val="80"/>
        </w:rPr>
        <w:t xml:space="preserve">ꎬ </w:t>
      </w:r>
      <w:r>
        <w:t>致使森林遭</w:t>
      </w:r>
    </w:p>
    <w:p>
      <w:pPr>
        <w:pStyle w:val="6"/>
        <w:spacing w:before="123" w:line="295" w:lineRule="auto"/>
        <w:ind w:right="442" w:firstLine="0"/>
        <w:rPr>
          <w:rFonts w:hint="eastAsia" w:ascii="MS UI Gothic" w:eastAsia="MS UI Gothic"/>
        </w:rPr>
      </w:pPr>
      <w:r>
        <w:br w:type="column"/>
      </w:r>
      <w:r>
        <w:rPr>
          <w:spacing w:val="3"/>
        </w:rPr>
        <w:t>受严重破坏的</w:t>
      </w:r>
      <w:r>
        <w:rPr>
          <w:rFonts w:hint="eastAsia" w:ascii="MS UI Gothic" w:eastAsia="MS UI Gothic"/>
          <w:spacing w:val="20"/>
          <w:w w:val="80"/>
        </w:rPr>
        <w:t xml:space="preserve">ꎬ </w:t>
      </w:r>
      <w:r>
        <w:rPr>
          <w:spacing w:val="2"/>
        </w:rPr>
        <w:t>处三年以下有期徒刑或者</w:t>
      </w:r>
      <w:r>
        <w:rPr>
          <w:spacing w:val="3"/>
        </w:rPr>
        <w:t>拘役</w:t>
      </w:r>
      <w:r>
        <w:rPr>
          <w:rFonts w:hint="eastAsia" w:ascii="MS UI Gothic" w:eastAsia="MS UI Gothic"/>
          <w:w w:val="80"/>
        </w:rPr>
        <w:t>ꎮ</w:t>
      </w:r>
    </w:p>
    <w:p>
      <w:pPr>
        <w:pStyle w:val="6"/>
        <w:spacing w:line="295" w:lineRule="auto"/>
        <w:ind w:right="440"/>
        <w:rPr>
          <w:rFonts w:hint="eastAsia" w:ascii="MS UI Gothic" w:eastAsia="MS UI Gothic"/>
        </w:rPr>
      </w:pPr>
      <w:r>
        <w:rPr>
          <w:spacing w:val="6"/>
          <w:w w:val="105"/>
        </w:rPr>
        <w:t xml:space="preserve">第四百零八条 </w:t>
      </w:r>
      <w:r>
        <w:rPr>
          <w:rFonts w:hint="eastAsia" w:ascii="MS UI Gothic" w:eastAsia="MS UI Gothic"/>
          <w:spacing w:val="25"/>
          <w:w w:val="105"/>
        </w:rPr>
        <w:t>【</w:t>
      </w:r>
      <w:r>
        <w:rPr>
          <w:spacing w:val="9"/>
          <w:w w:val="105"/>
        </w:rPr>
        <w:t>环境监管失职罪</w:t>
      </w:r>
      <w:r>
        <w:rPr>
          <w:rFonts w:hint="eastAsia" w:ascii="MS UI Gothic" w:eastAsia="MS UI Gothic"/>
          <w:w w:val="80"/>
        </w:rPr>
        <w:t>ꎻ</w:t>
      </w:r>
      <w:r>
        <w:rPr>
          <w:spacing w:val="11"/>
          <w:w w:val="105"/>
        </w:rPr>
        <w:t>食品监管渎职罪</w:t>
      </w:r>
      <w:r>
        <w:rPr>
          <w:rFonts w:hint="eastAsia" w:ascii="MS UI Gothic" w:eastAsia="MS UI Gothic"/>
          <w:spacing w:val="4"/>
          <w:w w:val="105"/>
        </w:rPr>
        <w:t xml:space="preserve">】 </w:t>
      </w:r>
      <w:r>
        <w:rPr>
          <w:spacing w:val="15"/>
          <w:w w:val="105"/>
        </w:rPr>
        <w:t>负有环境保护监督管</w:t>
      </w:r>
      <w:r>
        <w:rPr>
          <w:spacing w:val="11"/>
        </w:rPr>
        <w:t>理职责的国家机关工作人员严重不负责</w:t>
      </w:r>
      <w:r>
        <w:rPr>
          <w:spacing w:val="3"/>
        </w:rPr>
        <w:t>任</w:t>
      </w:r>
      <w:r>
        <w:rPr>
          <w:rFonts w:hint="eastAsia" w:ascii="MS UI Gothic" w:eastAsia="MS UI Gothic"/>
          <w:spacing w:val="23"/>
          <w:w w:val="80"/>
        </w:rPr>
        <w:t xml:space="preserve">ꎬ </w:t>
      </w:r>
      <w:r>
        <w:rPr>
          <w:spacing w:val="3"/>
        </w:rPr>
        <w:t>导致发生重大环境污染事故</w:t>
      </w:r>
      <w:r>
        <w:rPr>
          <w:rFonts w:hint="eastAsia" w:ascii="MS UI Gothic" w:eastAsia="MS UI Gothic"/>
          <w:spacing w:val="23"/>
          <w:w w:val="80"/>
        </w:rPr>
        <w:t xml:space="preserve">ꎬ </w:t>
      </w:r>
      <w:r>
        <w:rPr>
          <w:spacing w:val="2"/>
        </w:rPr>
        <w:t>致使公私财产遭受重大损失或者造成人身伤亡的</w:t>
      </w:r>
      <w:r>
        <w:rPr>
          <w:spacing w:val="10"/>
        </w:rPr>
        <w:t>严重后果的</w:t>
      </w:r>
      <w:r>
        <w:rPr>
          <w:rFonts w:hint="eastAsia" w:ascii="MS UI Gothic" w:eastAsia="MS UI Gothic"/>
          <w:spacing w:val="23"/>
          <w:w w:val="80"/>
        </w:rPr>
        <w:t xml:space="preserve">ꎬ </w:t>
      </w:r>
      <w:r>
        <w:rPr>
          <w:spacing w:val="17"/>
        </w:rPr>
        <w:t>处三年以下有期徒刑或者</w:t>
      </w:r>
      <w:r>
        <w:rPr>
          <w:spacing w:val="3"/>
          <w:w w:val="105"/>
        </w:rPr>
        <w:t>拘役</w:t>
      </w:r>
      <w:r>
        <w:rPr>
          <w:rFonts w:hint="eastAsia" w:ascii="MS UI Gothic" w:eastAsia="MS UI Gothic"/>
          <w:w w:val="80"/>
        </w:rPr>
        <w:t>ꎮ</w:t>
      </w:r>
    </w:p>
    <w:p>
      <w:pPr>
        <w:pStyle w:val="6"/>
        <w:spacing w:line="295" w:lineRule="auto"/>
        <w:ind w:right="442"/>
        <w:rPr>
          <w:rFonts w:hint="eastAsia" w:ascii="MS UI Gothic" w:eastAsia="MS UI Gothic"/>
        </w:rPr>
      </w:pPr>
      <w:r>
        <w:t>第四百零八条之一 负有食品安全监督管理职责的国家机关工作人员</w:t>
      </w:r>
      <w:r>
        <w:rPr>
          <w:rFonts w:hint="eastAsia" w:ascii="MS UI Gothic" w:eastAsia="MS UI Gothic"/>
          <w:w w:val="80"/>
        </w:rPr>
        <w:t xml:space="preserve">ꎬ </w:t>
      </w:r>
      <w:r>
        <w:t>滥用职权或者玩忽职守</w:t>
      </w:r>
      <w:r>
        <w:rPr>
          <w:rFonts w:hint="eastAsia" w:ascii="MS UI Gothic" w:eastAsia="MS UI Gothic"/>
          <w:w w:val="80"/>
        </w:rPr>
        <w:t xml:space="preserve">ꎬ </w:t>
      </w:r>
      <w:r>
        <w:t>导致发生重大食品安全事故或者造成其他严重后果的</w:t>
      </w:r>
      <w:r>
        <w:rPr>
          <w:rFonts w:hint="eastAsia" w:ascii="MS UI Gothic" w:eastAsia="MS UI Gothic"/>
          <w:w w:val="80"/>
        </w:rPr>
        <w:t xml:space="preserve">ꎬ </w:t>
      </w:r>
      <w:r>
        <w:t>处五年以下有期徒刑或者拘役</w:t>
      </w:r>
      <w:r>
        <w:rPr>
          <w:rFonts w:hint="eastAsia" w:ascii="MS UI Gothic" w:eastAsia="MS UI Gothic"/>
          <w:w w:val="80"/>
        </w:rPr>
        <w:t xml:space="preserve">ꎻ </w:t>
      </w:r>
      <w:r>
        <w:t>造成特别严重后果的</w:t>
      </w:r>
      <w:r>
        <w:rPr>
          <w:rFonts w:hint="eastAsia" w:ascii="MS UI Gothic" w:eastAsia="MS UI Gothic"/>
          <w:w w:val="80"/>
        </w:rPr>
        <w:t xml:space="preserve">ꎬ </w:t>
      </w:r>
      <w:r>
        <w:t>处五年以上十年以下有期徒刑</w:t>
      </w:r>
      <w:r>
        <w:rPr>
          <w:rFonts w:hint="eastAsia" w:ascii="MS UI Gothic" w:eastAsia="MS UI Gothic"/>
          <w:w w:val="80"/>
        </w:rPr>
        <w:t>ꎮ</w:t>
      </w:r>
    </w:p>
    <w:p>
      <w:pPr>
        <w:pStyle w:val="6"/>
        <w:spacing w:line="251" w:lineRule="exact"/>
        <w:ind w:left="543" w:firstLine="0"/>
        <w:rPr>
          <w:rFonts w:hint="eastAsia" w:ascii="MS UI Gothic" w:eastAsia="MS UI Gothic"/>
        </w:rPr>
      </w:pPr>
      <w:r>
        <w:t>徇私舞弊犯前款罪的</w:t>
      </w:r>
      <w:r>
        <w:rPr>
          <w:rFonts w:hint="eastAsia" w:ascii="MS UI Gothic" w:eastAsia="MS UI Gothic"/>
          <w:w w:val="80"/>
        </w:rPr>
        <w:t xml:space="preserve">ꎬ </w:t>
      </w:r>
      <w:r>
        <w:t>从重处罚</w:t>
      </w:r>
      <w:r>
        <w:rPr>
          <w:rFonts w:hint="eastAsia" w:ascii="MS UI Gothic" w:eastAsia="MS UI Gothic"/>
          <w:w w:val="80"/>
        </w:rPr>
        <w:t>ꎮ</w:t>
      </w:r>
    </w:p>
    <w:p>
      <w:pPr>
        <w:pStyle w:val="6"/>
        <w:spacing w:before="51" w:line="295" w:lineRule="auto"/>
        <w:ind w:right="442"/>
        <w:rPr>
          <w:rFonts w:hint="eastAsia" w:ascii="MS UI Gothic" w:eastAsia="MS UI Gothic"/>
        </w:rPr>
      </w:pPr>
      <w:r>
        <w:t xml:space="preserve">第四百零九条   </w:t>
      </w:r>
      <w:r>
        <w:rPr>
          <w:rFonts w:hint="eastAsia" w:ascii="MS UI Gothic" w:eastAsia="MS UI Gothic"/>
        </w:rPr>
        <w:t>【</w:t>
      </w:r>
      <w:r>
        <w:t>传染病防治失职罪</w:t>
      </w:r>
      <w:r>
        <w:rPr>
          <w:rFonts w:hint="eastAsia" w:ascii="MS UI Gothic" w:eastAsia="MS UI Gothic"/>
        </w:rPr>
        <w:t xml:space="preserve">】 </w:t>
      </w:r>
      <w:r>
        <w:t>从事传染病防治的政府卫生行政部门的工作人员严重不负责任</w:t>
      </w:r>
      <w:r>
        <w:rPr>
          <w:rFonts w:hint="eastAsia" w:ascii="MS UI Gothic" w:eastAsia="MS UI Gothic"/>
          <w:w w:val="80"/>
        </w:rPr>
        <w:t xml:space="preserve">ꎬ </w:t>
      </w:r>
      <w:r>
        <w:t>导致传染病传播或者流行</w:t>
      </w:r>
      <w:r>
        <w:rPr>
          <w:rFonts w:hint="eastAsia" w:ascii="MS UI Gothic" w:eastAsia="MS UI Gothic"/>
          <w:w w:val="80"/>
        </w:rPr>
        <w:t xml:space="preserve">ꎬ </w:t>
      </w:r>
      <w:r>
        <w:t>情节严重的</w:t>
      </w:r>
      <w:r>
        <w:rPr>
          <w:rFonts w:hint="eastAsia" w:ascii="MS UI Gothic" w:eastAsia="MS UI Gothic"/>
          <w:w w:val="80"/>
        </w:rPr>
        <w:t xml:space="preserve">ꎬ </w:t>
      </w:r>
      <w:r>
        <w:t>处三年以下有期徒刑或者拘役</w:t>
      </w:r>
      <w:r>
        <w:rPr>
          <w:rFonts w:hint="eastAsia" w:ascii="MS UI Gothic" w:eastAsia="MS UI Gothic"/>
          <w:w w:val="80"/>
        </w:rPr>
        <w:t>ꎮ</w:t>
      </w:r>
    </w:p>
    <w:p>
      <w:pPr>
        <w:pStyle w:val="6"/>
        <w:spacing w:line="295" w:lineRule="auto"/>
        <w:ind w:right="440"/>
        <w:rPr>
          <w:rFonts w:hint="eastAsia" w:ascii="MS UI Gothic" w:eastAsia="MS UI Gothic"/>
        </w:rPr>
      </w:pPr>
      <w:r>
        <w:t xml:space="preserve">第四百一十条   </w:t>
      </w:r>
      <w:r>
        <w:rPr>
          <w:rFonts w:hint="eastAsia" w:ascii="MS UI Gothic" w:eastAsia="MS UI Gothic"/>
        </w:rPr>
        <w:t xml:space="preserve">【 </w:t>
      </w:r>
      <w:r>
        <w:t>非法批准征收</w:t>
      </w:r>
      <w:r>
        <w:rPr>
          <w:rFonts w:hint="eastAsia" w:ascii="MS UI Gothic" w:eastAsia="MS UI Gothic"/>
          <w:w w:val="80"/>
        </w:rPr>
        <w:t>、</w:t>
      </w:r>
      <w:r>
        <w:t>征用</w:t>
      </w:r>
      <w:r>
        <w:rPr>
          <w:rFonts w:hint="eastAsia" w:ascii="MS UI Gothic" w:eastAsia="MS UI Gothic"/>
          <w:w w:val="80"/>
        </w:rPr>
        <w:t xml:space="preserve">、 </w:t>
      </w:r>
      <w:r>
        <w:t>占用土地罪</w:t>
      </w:r>
      <w:r>
        <w:rPr>
          <w:rFonts w:hint="eastAsia" w:ascii="MS UI Gothic" w:eastAsia="MS UI Gothic"/>
          <w:w w:val="80"/>
        </w:rPr>
        <w:t xml:space="preserve">ꎻ </w:t>
      </w:r>
      <w:r>
        <w:t>非法低价出让国有土地使用权罪</w:t>
      </w:r>
      <w:r>
        <w:rPr>
          <w:rFonts w:hint="eastAsia" w:ascii="MS UI Gothic" w:eastAsia="MS UI Gothic"/>
        </w:rPr>
        <w:t xml:space="preserve">】 </w:t>
      </w:r>
      <w:r>
        <w:t>国家机关工作人员徇私舞弊</w:t>
      </w:r>
      <w:r>
        <w:rPr>
          <w:rFonts w:hint="eastAsia" w:ascii="MS UI Gothic" w:eastAsia="MS UI Gothic"/>
          <w:w w:val="80"/>
        </w:rPr>
        <w:t xml:space="preserve">ꎬ </w:t>
      </w:r>
      <w:r>
        <w:t>违反土地管理法规</w:t>
      </w:r>
      <w:r>
        <w:rPr>
          <w:rFonts w:hint="eastAsia" w:ascii="MS UI Gothic" w:eastAsia="MS UI Gothic"/>
          <w:w w:val="80"/>
        </w:rPr>
        <w:t xml:space="preserve">ꎬ </w:t>
      </w:r>
      <w:r>
        <w:t>滥用职权</w:t>
      </w:r>
      <w:r>
        <w:rPr>
          <w:rFonts w:hint="eastAsia" w:ascii="MS UI Gothic" w:eastAsia="MS UI Gothic"/>
          <w:w w:val="80"/>
        </w:rPr>
        <w:t xml:space="preserve">ꎬ </w:t>
      </w:r>
      <w:r>
        <w:t>非法批准征收</w:t>
      </w:r>
      <w:r>
        <w:rPr>
          <w:rFonts w:hint="eastAsia" w:ascii="MS UI Gothic" w:eastAsia="MS UI Gothic"/>
          <w:w w:val="80"/>
        </w:rPr>
        <w:t xml:space="preserve">、 </w:t>
      </w:r>
      <w:r>
        <w:t>征用</w:t>
      </w:r>
      <w:r>
        <w:rPr>
          <w:rFonts w:hint="eastAsia" w:ascii="MS UI Gothic" w:eastAsia="MS UI Gothic"/>
          <w:w w:val="80"/>
        </w:rPr>
        <w:t xml:space="preserve">、 </w:t>
      </w:r>
      <w:r>
        <w:t>占用土地</w:t>
      </w:r>
      <w:r>
        <w:rPr>
          <w:rFonts w:hint="eastAsia" w:ascii="MS UI Gothic" w:eastAsia="MS UI Gothic"/>
          <w:w w:val="80"/>
        </w:rPr>
        <w:t xml:space="preserve">ꎬ </w:t>
      </w:r>
      <w:r>
        <w:t>或者非法低价出让国有土地使用权</w:t>
      </w:r>
      <w:r>
        <w:rPr>
          <w:rFonts w:hint="eastAsia" w:ascii="MS UI Gothic" w:eastAsia="MS UI Gothic"/>
          <w:w w:val="80"/>
        </w:rPr>
        <w:t xml:space="preserve">ꎬ </w:t>
      </w:r>
      <w:r>
        <w:t>情节严重的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致使国家或者集体利益遭受特别重大损失的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440"/>
        <w:rPr>
          <w:rFonts w:hint="eastAsia" w:ascii="MS UI Gothic" w:eastAsia="MS UI Gothic"/>
        </w:rPr>
      </w:pPr>
      <w:r>
        <w:t xml:space="preserve">第四百一十一条   </w:t>
      </w:r>
      <w:r>
        <w:rPr>
          <w:rFonts w:hint="eastAsia" w:ascii="MS UI Gothic" w:eastAsia="MS UI Gothic"/>
        </w:rPr>
        <w:t>【</w:t>
      </w:r>
      <w:r>
        <w:t>放纵走私罪</w:t>
      </w:r>
      <w:r>
        <w:rPr>
          <w:rFonts w:hint="eastAsia" w:ascii="MS UI Gothic" w:eastAsia="MS UI Gothic"/>
        </w:rPr>
        <w:t>】</w:t>
      </w:r>
      <w:r>
        <w:t>海关工作人员徇私舞弊</w:t>
      </w:r>
      <w:r>
        <w:rPr>
          <w:rFonts w:hint="eastAsia" w:ascii="MS UI Gothic" w:eastAsia="MS UI Gothic"/>
          <w:w w:val="80"/>
        </w:rPr>
        <w:t xml:space="preserve">ꎬ </w:t>
      </w:r>
      <w:r>
        <w:t>放纵走私</w:t>
      </w:r>
      <w:r>
        <w:rPr>
          <w:rFonts w:hint="eastAsia" w:ascii="MS UI Gothic" w:eastAsia="MS UI Gothic"/>
          <w:w w:val="80"/>
        </w:rPr>
        <w:t xml:space="preserve">ꎬ </w:t>
      </w:r>
      <w:r>
        <w:t>情节严重的</w:t>
      </w:r>
      <w:r>
        <w:rPr>
          <w:rFonts w:hint="eastAsia" w:ascii="MS UI Gothic" w:eastAsia="MS UI Gothic"/>
          <w:w w:val="80"/>
        </w:rPr>
        <w:t xml:space="preserve">ꎬ </w:t>
      </w:r>
      <w:r>
        <w:t>处五年以下有期徒刑或者拘役</w:t>
      </w:r>
      <w:r>
        <w:rPr>
          <w:rFonts w:hint="eastAsia" w:ascii="MS UI Gothic" w:eastAsia="MS UI Gothic"/>
          <w:w w:val="80"/>
        </w:rPr>
        <w:t>ꎻ</w:t>
      </w:r>
      <w:r>
        <w:t>情节特别严重的</w:t>
      </w:r>
      <w:r>
        <w:rPr>
          <w:rFonts w:hint="eastAsia" w:ascii="MS UI Gothic" w:eastAsia="MS UI Gothic"/>
          <w:w w:val="80"/>
        </w:rPr>
        <w:t xml:space="preserve">ꎬ </w:t>
      </w:r>
      <w:r>
        <w:t>处五年以上有期徒刑</w:t>
      </w:r>
      <w:r>
        <w:rPr>
          <w:rFonts w:hint="eastAsia" w:ascii="MS UI Gothic" w:eastAsia="MS UI Gothic"/>
          <w:w w:val="80"/>
        </w:rPr>
        <w:t>ꎮ</w:t>
      </w:r>
    </w:p>
    <w:p>
      <w:pPr>
        <w:pStyle w:val="6"/>
        <w:spacing w:line="295" w:lineRule="auto"/>
        <w:ind w:right="442"/>
      </w:pPr>
      <w:r>
        <w:t xml:space="preserve">第四百一十二条   </w:t>
      </w:r>
      <w:r>
        <w:rPr>
          <w:rFonts w:hint="eastAsia" w:ascii="MS UI Gothic" w:eastAsia="MS UI Gothic"/>
        </w:rPr>
        <w:t>【</w:t>
      </w:r>
      <w:r>
        <w:t>商检徇私舞弊罪</w:t>
      </w:r>
      <w:r>
        <w:rPr>
          <w:rFonts w:hint="eastAsia" w:ascii="MS UI Gothic" w:eastAsia="MS UI Gothic"/>
          <w:w w:val="80"/>
        </w:rPr>
        <w:t xml:space="preserve">ꎻ </w:t>
      </w:r>
      <w:r>
        <w:t>商检失职罪</w:t>
      </w:r>
      <w:r>
        <w:rPr>
          <w:rFonts w:hint="eastAsia" w:ascii="MS UI Gothic" w:eastAsia="MS UI Gothic"/>
        </w:rPr>
        <w:t xml:space="preserve">】 </w:t>
      </w:r>
      <w:r>
        <w:t>国家商检部门</w:t>
      </w:r>
      <w:r>
        <w:rPr>
          <w:rFonts w:hint="eastAsia" w:ascii="MS UI Gothic" w:eastAsia="MS UI Gothic"/>
          <w:w w:val="80"/>
        </w:rPr>
        <w:t xml:space="preserve">、 </w:t>
      </w:r>
      <w:r>
        <w:t>商检机构的工作人员徇私舞弊</w:t>
      </w:r>
      <w:r>
        <w:rPr>
          <w:rFonts w:hint="eastAsia" w:ascii="MS UI Gothic" w:eastAsia="MS UI Gothic"/>
          <w:w w:val="80"/>
        </w:rPr>
        <w:t xml:space="preserve">ꎬ </w:t>
      </w:r>
      <w:r>
        <w:t>伪造检验结果的</w:t>
      </w:r>
      <w:r>
        <w:rPr>
          <w:rFonts w:hint="eastAsia" w:ascii="MS UI Gothic" w:eastAsia="MS UI Gothic"/>
          <w:w w:val="80"/>
        </w:rPr>
        <w:t xml:space="preserve">ꎬ </w:t>
      </w:r>
      <w:r>
        <w:t>处五年以下有期徒刑或者拘役</w:t>
      </w:r>
      <w:r>
        <w:rPr>
          <w:rFonts w:hint="eastAsia" w:ascii="MS UI Gothic" w:eastAsia="MS UI Gothic"/>
          <w:w w:val="80"/>
        </w:rPr>
        <w:t xml:space="preserve">ꎻ </w:t>
      </w:r>
      <w:r>
        <w:t>造成严重后果的</w:t>
      </w:r>
      <w:r>
        <w:rPr>
          <w:rFonts w:hint="eastAsia" w:ascii="MS UI Gothic" w:eastAsia="MS UI Gothic"/>
          <w:w w:val="80"/>
        </w:rPr>
        <w:t xml:space="preserve">ꎬ </w:t>
      </w:r>
      <w:r>
        <w:t>处五年以上十年以下有期</w:t>
      </w:r>
    </w:p>
    <w:p>
      <w:pPr>
        <w:spacing w:after="0" w:line="295" w:lineRule="auto"/>
        <w:sectPr>
          <w:type w:val="continuous"/>
          <w:pgSz w:w="10500" w:h="14750"/>
          <w:pgMar w:top="1400" w:right="980" w:bottom="280" w:left="980" w:header="720" w:footer="720" w:gutter="0"/>
          <w:cols w:equalWidth="0" w:num="2">
            <w:col w:w="3936" w:space="256"/>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90" w:firstLine="0"/>
        <w:jc w:val="right"/>
        <w:rPr>
          <w:rFonts w:hint="eastAsia" w:ascii="MS UI Gothic" w:eastAsia="MS UI Gothic"/>
        </w:rPr>
      </w:pPr>
      <w:r>
        <w:br w:type="column"/>
      </w:r>
      <w:r>
        <w:rPr>
          <w:rFonts w:hint="eastAsia" w:ascii="MS UI Gothic" w:eastAsia="MS UI Gothic"/>
          <w:spacing w:val="1"/>
          <w:w w:val="75"/>
        </w:rPr>
        <w:t>７</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071" o:spid="_x0000_s1071" o:spt="203" style="height:2.15pt;width:398.25pt;" coordsize="7965,43">
            <o:lock v:ext="edit"/>
            <v:line id="_x0000_s1072" o:spid="_x0000_s1072" o:spt="20" style="position:absolute;left:0;top:39;height:0;width:7965;" stroked="t" coordsize="21600,21600">
              <v:path arrowok="t"/>
              <v:fill focussize="0,0"/>
              <v:stroke weight="0.388031496062992pt" color="#231F20"/>
              <v:imagedata o:title=""/>
              <o:lock v:ext="edit"/>
            </v:line>
            <v:line id="_x0000_s1073" o:spid="_x0000_s107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徒刑</w:t>
      </w:r>
      <w:r>
        <w:rPr>
          <w:rFonts w:hint="eastAsia" w:ascii="MS UI Gothic" w:eastAsia="MS UI Gothic"/>
          <w:w w:val="80"/>
        </w:rPr>
        <w:t>ꎮ</w:t>
      </w:r>
    </w:p>
    <w:p>
      <w:pPr>
        <w:pStyle w:val="6"/>
        <w:spacing w:before="58" w:line="295" w:lineRule="auto"/>
        <w:ind w:left="440"/>
        <w:rPr>
          <w:rFonts w:hint="eastAsia" w:ascii="MS UI Gothic" w:eastAsia="MS UI Gothic"/>
        </w:rPr>
      </w:pPr>
      <w:r>
        <w:t>前款所列人员严重不负责任</w:t>
      </w:r>
      <w:r>
        <w:rPr>
          <w:rFonts w:hint="eastAsia" w:ascii="MS UI Gothic" w:eastAsia="MS UI Gothic"/>
          <w:w w:val="80"/>
        </w:rPr>
        <w:t xml:space="preserve">ꎬ </w:t>
      </w:r>
      <w:r>
        <w:t>对应当检验的物品不检验</w:t>
      </w:r>
      <w:r>
        <w:rPr>
          <w:rFonts w:hint="eastAsia" w:ascii="MS UI Gothic" w:eastAsia="MS UI Gothic"/>
          <w:w w:val="80"/>
        </w:rPr>
        <w:t xml:space="preserve">ꎬ </w:t>
      </w:r>
      <w:r>
        <w:t>或者延误检验出证</w:t>
      </w:r>
      <w:r>
        <w:rPr>
          <w:rFonts w:hint="eastAsia" w:ascii="MS UI Gothic" w:eastAsia="MS UI Gothic"/>
          <w:w w:val="80"/>
        </w:rPr>
        <w:t>、</w:t>
      </w:r>
      <w:r>
        <w:t>错误出证</w:t>
      </w:r>
      <w:r>
        <w:rPr>
          <w:rFonts w:hint="eastAsia" w:ascii="MS UI Gothic" w:eastAsia="MS UI Gothic"/>
          <w:w w:val="80"/>
        </w:rPr>
        <w:t xml:space="preserve">ꎬ </w:t>
      </w:r>
      <w:r>
        <w:t>致使国家利益遭受重大损失的</w:t>
      </w:r>
      <w:r>
        <w:rPr>
          <w:rFonts w:hint="eastAsia" w:ascii="MS UI Gothic" w:eastAsia="MS UI Gothic"/>
          <w:w w:val="80"/>
        </w:rPr>
        <w:t xml:space="preserve">ꎬ </w:t>
      </w:r>
      <w:r>
        <w:t>处三年以下有期徒刑或者拘役</w:t>
      </w:r>
      <w:r>
        <w:rPr>
          <w:rFonts w:hint="eastAsia" w:ascii="MS UI Gothic" w:eastAsia="MS UI Gothic"/>
          <w:w w:val="80"/>
        </w:rPr>
        <w:t>ꎮ</w:t>
      </w:r>
    </w:p>
    <w:p>
      <w:pPr>
        <w:pStyle w:val="6"/>
        <w:spacing w:line="253" w:lineRule="exact"/>
        <w:ind w:left="860" w:firstLine="0"/>
      </w:pPr>
      <w:r>
        <w:rPr>
          <w:w w:val="105"/>
        </w:rPr>
        <w:t xml:space="preserve">第四百一十四条 </w:t>
      </w:r>
      <w:r>
        <w:rPr>
          <w:rFonts w:hint="eastAsia" w:ascii="MS UI Gothic" w:eastAsia="MS UI Gothic"/>
          <w:w w:val="105"/>
        </w:rPr>
        <w:t>【</w:t>
      </w:r>
      <w:r>
        <w:rPr>
          <w:w w:val="105"/>
        </w:rPr>
        <w:t>放纵制售伪劣</w:t>
      </w:r>
    </w:p>
    <w:p>
      <w:pPr>
        <w:pStyle w:val="4"/>
        <w:ind w:left="440"/>
        <w:jc w:val="left"/>
      </w:pPr>
      <w:r>
        <w:t>相关问题解释</w:t>
      </w:r>
    </w:p>
    <w:p>
      <w:pPr>
        <w:pStyle w:val="6"/>
        <w:spacing w:before="124" w:line="295" w:lineRule="auto"/>
        <w:ind w:left="381" w:right="126" w:firstLine="0"/>
        <w:rPr>
          <w:rFonts w:hint="eastAsia" w:ascii="MS UI Gothic" w:eastAsia="MS UI Gothic"/>
        </w:rPr>
      </w:pPr>
      <w:r>
        <w:br w:type="column"/>
      </w:r>
      <w:r>
        <w:t>商品犯罪行为罪</w:t>
      </w:r>
      <w:r>
        <w:rPr>
          <w:rFonts w:hint="eastAsia" w:ascii="MS UI Gothic" w:eastAsia="MS UI Gothic"/>
        </w:rPr>
        <w:t xml:space="preserve">】 </w:t>
      </w:r>
      <w:r>
        <w:t>对生产</w:t>
      </w:r>
      <w:r>
        <w:rPr>
          <w:rFonts w:hint="eastAsia" w:ascii="MS UI Gothic" w:eastAsia="MS UI Gothic"/>
          <w:w w:val="80"/>
        </w:rPr>
        <w:t xml:space="preserve">、 </w:t>
      </w:r>
      <w:r>
        <w:t>销售伪劣商品犯罪行为负有追究责任的国家机关工作人员</w:t>
      </w:r>
      <w:r>
        <w:rPr>
          <w:rFonts w:hint="eastAsia" w:ascii="MS UI Gothic" w:eastAsia="MS UI Gothic"/>
          <w:w w:val="80"/>
        </w:rPr>
        <w:t xml:space="preserve">ꎬ </w:t>
      </w:r>
      <w:r>
        <w:t>徇私舞弊</w:t>
      </w:r>
      <w:r>
        <w:rPr>
          <w:rFonts w:hint="eastAsia" w:ascii="MS UI Gothic" w:eastAsia="MS UI Gothic"/>
          <w:w w:val="80"/>
        </w:rPr>
        <w:t xml:space="preserve">ꎬ </w:t>
      </w:r>
      <w:r>
        <w:t>不履行法律规定的追究职责</w:t>
      </w:r>
      <w:r>
        <w:rPr>
          <w:rFonts w:hint="eastAsia" w:ascii="MS UI Gothic" w:eastAsia="MS UI Gothic"/>
          <w:w w:val="80"/>
        </w:rPr>
        <w:t xml:space="preserve">ꎬ </w:t>
      </w:r>
      <w:r>
        <w:t>情节严重的</w:t>
      </w:r>
      <w:r>
        <w:rPr>
          <w:rFonts w:hint="eastAsia" w:ascii="MS UI Gothic" w:eastAsia="MS UI Gothic"/>
          <w:w w:val="80"/>
        </w:rPr>
        <w:t xml:space="preserve">ꎬ </w:t>
      </w:r>
      <w:r>
        <w:t>处五年以下有期徒刑或者拘役</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0"/>
        <w:ind w:left="0" w:firstLine="0"/>
        <w:jc w:val="left"/>
        <w:rPr>
          <w:rFonts w:ascii="MS UI Gothic"/>
          <w:sz w:val="21"/>
        </w:rPr>
      </w:pPr>
    </w:p>
    <w:p>
      <w:pPr>
        <w:pStyle w:val="4"/>
        <w:spacing w:before="74"/>
      </w:pPr>
      <w:r>
        <w:t>中华人民共和国最高人民法院</w:t>
      </w:r>
    </w:p>
    <w:p>
      <w:pPr>
        <w:spacing w:before="38"/>
        <w:ind w:left="310" w:right="0" w:firstLine="0"/>
        <w:jc w:val="center"/>
        <w:rPr>
          <w:sz w:val="27"/>
        </w:rPr>
      </w:pPr>
      <w:r>
        <w:rPr>
          <w:sz w:val="27"/>
        </w:rPr>
        <w:t>中华人民共和国最高人民检察院公告</w:t>
      </w:r>
    </w:p>
    <w:p>
      <w:pPr>
        <w:pStyle w:val="6"/>
        <w:spacing w:before="7"/>
        <w:ind w:left="0" w:firstLine="0"/>
        <w:jc w:val="left"/>
        <w:rPr>
          <w:sz w:val="28"/>
        </w:rPr>
      </w:pPr>
    </w:p>
    <w:p>
      <w:pPr>
        <w:pStyle w:val="6"/>
        <w:spacing w:before="1" w:line="295" w:lineRule="auto"/>
        <w:ind w:left="440" w:right="124"/>
        <w:jc w:val="left"/>
        <w:rPr>
          <w:rFonts w:hint="eastAsia" w:ascii="MS UI Gothic" w:hAnsi="MS UI Gothic" w:eastAsia="MS UI Gothic"/>
        </w:rPr>
      </w:pPr>
      <w:r>
        <w:rPr>
          <w:rFonts w:hint="eastAsia" w:ascii="MS UI Gothic" w:hAnsi="MS UI Gothic" w:eastAsia="MS UI Gothic"/>
          <w:spacing w:val="-17"/>
        </w:rPr>
        <w:t xml:space="preserve">« </w:t>
      </w:r>
      <w:r>
        <w:rPr>
          <w:spacing w:val="3"/>
        </w:rPr>
        <w:t>最高人民法院</w:t>
      </w:r>
      <w:r>
        <w:rPr>
          <w:rFonts w:hint="eastAsia" w:ascii="MS UI Gothic" w:hAnsi="MS UI Gothic" w:eastAsia="MS UI Gothic"/>
          <w:spacing w:val="10"/>
        </w:rPr>
        <w:t xml:space="preserve">、 </w:t>
      </w:r>
      <w:r>
        <w:rPr>
          <w:spacing w:val="3"/>
        </w:rPr>
        <w:t>最高人民检察院关于办理非法采矿</w:t>
      </w:r>
      <w:r>
        <w:rPr>
          <w:rFonts w:hint="eastAsia" w:ascii="MS UI Gothic" w:hAnsi="MS UI Gothic" w:eastAsia="MS UI Gothic"/>
          <w:spacing w:val="12"/>
        </w:rPr>
        <w:t xml:space="preserve">、 </w:t>
      </w:r>
      <w:r>
        <w:rPr>
          <w:spacing w:val="8"/>
        </w:rPr>
        <w:t>破坏性采矿刑事案件适用法</w:t>
      </w:r>
      <w:r>
        <w:rPr>
          <w:spacing w:val="3"/>
        </w:rPr>
        <w:t>律若干问题的解释</w:t>
      </w:r>
      <w:r>
        <w:rPr>
          <w:rFonts w:hint="eastAsia" w:ascii="MS UI Gothic" w:hAnsi="MS UI Gothic" w:eastAsia="MS UI Gothic"/>
          <w:spacing w:val="2"/>
        </w:rPr>
        <w:t xml:space="preserve">» </w:t>
      </w:r>
      <w:r>
        <w:rPr>
          <w:spacing w:val="-24"/>
        </w:rPr>
        <w:t xml:space="preserve">已于 </w:t>
      </w:r>
      <w:r>
        <w:rPr>
          <w:rFonts w:hint="eastAsia" w:ascii="MS UI Gothic" w:hAnsi="MS UI Gothic" w:eastAsia="MS UI Gothic"/>
          <w:spacing w:val="-7"/>
        </w:rPr>
        <w:t xml:space="preserve">２０１６ </w:t>
      </w:r>
      <w:r>
        <w:rPr>
          <w:spacing w:val="-37"/>
        </w:rPr>
        <w:t xml:space="preserve">年 </w:t>
      </w:r>
      <w:r>
        <w:rPr>
          <w:rFonts w:hint="eastAsia" w:ascii="MS UI Gothic" w:hAnsi="MS UI Gothic" w:eastAsia="MS UI Gothic"/>
          <w:spacing w:val="-15"/>
        </w:rPr>
        <w:t xml:space="preserve">９ </w:t>
      </w:r>
      <w:r>
        <w:rPr>
          <w:spacing w:val="-37"/>
        </w:rPr>
        <w:t xml:space="preserve">月 </w:t>
      </w:r>
      <w:r>
        <w:rPr>
          <w:rFonts w:hint="eastAsia" w:ascii="MS UI Gothic" w:hAnsi="MS UI Gothic" w:eastAsia="MS UI Gothic"/>
          <w:spacing w:val="-11"/>
        </w:rPr>
        <w:t xml:space="preserve">２６ </w:t>
      </w:r>
      <w:r>
        <w:rPr>
          <w:spacing w:val="-4"/>
        </w:rPr>
        <w:t xml:space="preserve">日由最高人民法院审判委员会第 </w:t>
      </w:r>
      <w:r>
        <w:rPr>
          <w:rFonts w:hint="eastAsia" w:ascii="MS UI Gothic" w:hAnsi="MS UI Gothic" w:eastAsia="MS UI Gothic"/>
          <w:spacing w:val="-7"/>
        </w:rPr>
        <w:t xml:space="preserve">１６９４ </w:t>
      </w:r>
      <w:r>
        <w:rPr>
          <w:spacing w:val="4"/>
        </w:rPr>
        <w:t>次会议</w:t>
      </w:r>
      <w:r>
        <w:rPr>
          <w:rFonts w:hint="eastAsia" w:ascii="MS UI Gothic" w:hAnsi="MS UI Gothic" w:eastAsia="MS UI Gothic"/>
        </w:rPr>
        <w:t>、</w:t>
      </w:r>
    </w:p>
    <w:p>
      <w:pPr>
        <w:pStyle w:val="6"/>
        <w:spacing w:line="255" w:lineRule="exact"/>
        <w:ind w:left="435" w:firstLine="0"/>
        <w:jc w:val="left"/>
        <w:rPr>
          <w:rFonts w:hint="eastAsia" w:ascii="MS UI Gothic" w:eastAsia="MS UI Gothic"/>
        </w:rPr>
      </w:pPr>
      <w:r>
        <w:rPr>
          <w:rFonts w:hint="eastAsia" w:ascii="MS UI Gothic" w:eastAsia="MS UI Gothic"/>
          <w:spacing w:val="1"/>
          <w:w w:val="95"/>
        </w:rPr>
        <w:t xml:space="preserve">２０１６ </w:t>
      </w:r>
      <w:r>
        <w:rPr>
          <w:spacing w:val="-19"/>
          <w:w w:val="95"/>
        </w:rPr>
        <w:t xml:space="preserve">年 </w:t>
      </w:r>
      <w:r>
        <w:rPr>
          <w:rFonts w:hint="eastAsia" w:ascii="MS UI Gothic" w:eastAsia="MS UI Gothic"/>
          <w:spacing w:val="3"/>
          <w:w w:val="95"/>
        </w:rPr>
        <w:t xml:space="preserve">１１ </w:t>
      </w:r>
      <w:r>
        <w:rPr>
          <w:spacing w:val="-19"/>
          <w:w w:val="95"/>
        </w:rPr>
        <w:t xml:space="preserve">月 </w:t>
      </w:r>
      <w:r>
        <w:rPr>
          <w:rFonts w:hint="eastAsia" w:ascii="MS UI Gothic" w:eastAsia="MS UI Gothic"/>
          <w:spacing w:val="4"/>
          <w:w w:val="95"/>
        </w:rPr>
        <w:t xml:space="preserve">４ </w:t>
      </w:r>
      <w:r>
        <w:rPr>
          <w:w w:val="95"/>
        </w:rPr>
        <w:t xml:space="preserve">日由最高人民检察院第十二届检察委员会第 </w:t>
      </w:r>
      <w:r>
        <w:rPr>
          <w:rFonts w:hint="eastAsia" w:ascii="MS UI Gothic" w:eastAsia="MS UI Gothic"/>
          <w:spacing w:val="4"/>
          <w:w w:val="95"/>
        </w:rPr>
        <w:t xml:space="preserve">５７ </w:t>
      </w:r>
      <w:r>
        <w:rPr>
          <w:spacing w:val="6"/>
          <w:w w:val="95"/>
        </w:rPr>
        <w:t>次会议通过</w:t>
      </w:r>
      <w:r>
        <w:rPr>
          <w:rFonts w:hint="eastAsia" w:ascii="MS UI Gothic" w:eastAsia="MS UI Gothic"/>
          <w:spacing w:val="4"/>
          <w:w w:val="90"/>
        </w:rPr>
        <w:t xml:space="preserve">ꎬ  </w:t>
      </w:r>
      <w:r>
        <w:rPr>
          <w:spacing w:val="7"/>
          <w:w w:val="95"/>
        </w:rPr>
        <w:t>现予公布</w:t>
      </w:r>
      <w:r>
        <w:rPr>
          <w:rFonts w:hint="eastAsia" w:ascii="MS UI Gothic" w:eastAsia="MS UI Gothic"/>
          <w:w w:val="90"/>
        </w:rPr>
        <w:t>ꎬ</w:t>
      </w:r>
    </w:p>
    <w:p>
      <w:pPr>
        <w:pStyle w:val="6"/>
        <w:spacing w:before="58"/>
        <w:ind w:left="440" w:firstLine="0"/>
        <w:jc w:val="left"/>
        <w:rPr>
          <w:rFonts w:hint="eastAsia" w:ascii="MS UI Gothic" w:eastAsia="MS UI Gothic"/>
        </w:rPr>
      </w:pPr>
      <w:r>
        <w:rPr>
          <w:w w:val="95"/>
        </w:rPr>
        <w:t xml:space="preserve">自 </w:t>
      </w:r>
      <w:r>
        <w:rPr>
          <w:rFonts w:hint="eastAsia" w:ascii="MS UI Gothic" w:eastAsia="MS UI Gothic"/>
          <w:w w:val="95"/>
        </w:rPr>
        <w:t xml:space="preserve">２０１６ </w:t>
      </w:r>
      <w:r>
        <w:rPr>
          <w:w w:val="95"/>
        </w:rPr>
        <w:t xml:space="preserve">年 </w:t>
      </w:r>
      <w:r>
        <w:rPr>
          <w:rFonts w:hint="eastAsia" w:ascii="MS UI Gothic" w:eastAsia="MS UI Gothic"/>
          <w:w w:val="95"/>
        </w:rPr>
        <w:t xml:space="preserve">１２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tabs>
          <w:tab w:val="left" w:pos="6938"/>
        </w:tabs>
        <w:spacing w:before="372"/>
        <w:ind w:left="5471" w:firstLine="0"/>
        <w:jc w:val="left"/>
      </w:pPr>
      <w:r>
        <w:rPr>
          <w:spacing w:val="3"/>
          <w:w w:val="105"/>
        </w:rPr>
        <w:t>最高人民法</w:t>
      </w:r>
      <w:r>
        <w:rPr>
          <w:w w:val="105"/>
        </w:rPr>
        <w:t>院</w:t>
      </w:r>
      <w:r>
        <w:rPr>
          <w:w w:val="105"/>
        </w:rPr>
        <w:tab/>
      </w:r>
      <w:r>
        <w:rPr>
          <w:spacing w:val="3"/>
        </w:rPr>
        <w:t>最高人民检察</w:t>
      </w:r>
      <w:r>
        <w:t>院</w:t>
      </w:r>
    </w:p>
    <w:p>
      <w:pPr>
        <w:pStyle w:val="6"/>
        <w:spacing w:before="58"/>
        <w:ind w:left="0" w:right="126" w:firstLine="0"/>
        <w:jc w:val="right"/>
      </w:pPr>
      <w:r>
        <w:rPr>
          <w:rFonts w:hint="eastAsia" w:ascii="MS UI Gothic" w:eastAsia="MS UI Gothic"/>
          <w:spacing w:val="-8"/>
          <w:w w:val="95"/>
        </w:rPr>
        <w:t xml:space="preserve">２０１６ </w:t>
      </w:r>
      <w:r>
        <w:rPr>
          <w:spacing w:val="-38"/>
          <w:w w:val="95"/>
        </w:rPr>
        <w:t xml:space="preserve">年 </w:t>
      </w:r>
      <w:r>
        <w:rPr>
          <w:rFonts w:hint="eastAsia" w:ascii="MS UI Gothic" w:eastAsia="MS UI Gothic"/>
          <w:spacing w:val="-12"/>
          <w:w w:val="95"/>
        </w:rPr>
        <w:t xml:space="preserve">１１ </w:t>
      </w:r>
      <w:r>
        <w:rPr>
          <w:spacing w:val="-38"/>
          <w:w w:val="95"/>
        </w:rPr>
        <w:t xml:space="preserve">月 </w:t>
      </w:r>
      <w:r>
        <w:rPr>
          <w:rFonts w:hint="eastAsia" w:ascii="MS UI Gothic" w:eastAsia="MS UI Gothic"/>
          <w:spacing w:val="-12"/>
          <w:w w:val="95"/>
        </w:rPr>
        <w:t xml:space="preserve">２８ </w:t>
      </w:r>
      <w:r>
        <w:rPr>
          <w:w w:val="95"/>
        </w:rPr>
        <w:t>日</w:t>
      </w:r>
    </w:p>
    <w:p>
      <w:pPr>
        <w:pStyle w:val="4"/>
        <w:spacing w:line="266" w:lineRule="auto"/>
        <w:ind w:left="1908" w:right="1595"/>
      </w:pPr>
      <w:r>
        <w:t>最高人民法院关于审理非法采矿</w:t>
      </w:r>
      <w:r>
        <w:rPr>
          <w:w w:val="80"/>
        </w:rPr>
        <w:t xml:space="preserve">、 </w:t>
      </w:r>
      <w:r>
        <w:t>破坏性采矿刑事案件具体应用法律若干</w:t>
      </w:r>
    </w:p>
    <w:p>
      <w:pPr>
        <w:spacing w:before="1"/>
        <w:ind w:left="286" w:right="0" w:firstLine="0"/>
        <w:jc w:val="center"/>
        <w:rPr>
          <w:rFonts w:hint="eastAsia" w:ascii="Microsoft Yi Baiti" w:eastAsia="Microsoft Yi Baiti"/>
          <w:sz w:val="27"/>
        </w:rPr>
      </w:pPr>
      <w:r>
        <w:rPr>
          <w:sz w:val="27"/>
        </w:rPr>
        <w:t xml:space="preserve">问题的解释 </w:t>
      </w:r>
      <w:r>
        <w:rPr>
          <w:rFonts w:hint="eastAsia" w:ascii="Microsoft Yi Baiti" w:eastAsia="Microsoft Yi Baiti"/>
          <w:sz w:val="27"/>
        </w:rPr>
        <w:t>(</w:t>
      </w:r>
      <w:r>
        <w:rPr>
          <w:rFonts w:hint="eastAsia" w:ascii="MS UI Gothic" w:eastAsia="MS UI Gothic"/>
          <w:sz w:val="27"/>
        </w:rPr>
        <w:t xml:space="preserve">２０１６ </w:t>
      </w:r>
      <w:r>
        <w:rPr>
          <w:sz w:val="27"/>
        </w:rPr>
        <w:t>年公布</w:t>
      </w:r>
      <w:r>
        <w:rPr>
          <w:rFonts w:hint="eastAsia" w:ascii="Microsoft Yi Baiti" w:eastAsia="Microsoft Yi Baiti"/>
          <w:sz w:val="27"/>
        </w:rPr>
        <w:t>)</w:t>
      </w:r>
    </w:p>
    <w:p>
      <w:pPr>
        <w:pStyle w:val="6"/>
        <w:spacing w:before="366"/>
        <w:ind w:left="860" w:firstLine="0"/>
        <w:jc w:val="left"/>
      </w:pPr>
      <w:r>
        <w:rPr>
          <w:rFonts w:hint="eastAsia" w:ascii="Microsoft Yi Baiti" w:eastAsia="Microsoft Yi Baiti"/>
          <w:spacing w:val="2"/>
        </w:rPr>
        <w:t>(</w:t>
      </w:r>
      <w:r>
        <w:rPr>
          <w:rFonts w:hint="eastAsia" w:ascii="MS UI Gothic" w:eastAsia="MS UI Gothic"/>
          <w:spacing w:val="-6"/>
        </w:rPr>
        <w:t xml:space="preserve">２０１６ </w:t>
      </w:r>
      <w:r>
        <w:rPr>
          <w:spacing w:val="-38"/>
        </w:rPr>
        <w:t xml:space="preserve">年 </w:t>
      </w:r>
      <w:r>
        <w:rPr>
          <w:rFonts w:hint="eastAsia" w:ascii="MS UI Gothic" w:eastAsia="MS UI Gothic"/>
          <w:spacing w:val="-17"/>
        </w:rPr>
        <w:t xml:space="preserve">９ </w:t>
      </w:r>
      <w:r>
        <w:rPr>
          <w:spacing w:val="-37"/>
        </w:rPr>
        <w:t xml:space="preserve">月 </w:t>
      </w:r>
      <w:r>
        <w:rPr>
          <w:rFonts w:hint="eastAsia" w:ascii="MS UI Gothic" w:eastAsia="MS UI Gothic"/>
          <w:spacing w:val="-11"/>
        </w:rPr>
        <w:t xml:space="preserve">２６ </w:t>
      </w:r>
      <w:r>
        <w:t xml:space="preserve">日最高人民法院审判委员会第 </w:t>
      </w:r>
      <w:r>
        <w:rPr>
          <w:rFonts w:hint="eastAsia" w:ascii="MS UI Gothic" w:eastAsia="MS UI Gothic"/>
          <w:spacing w:val="-7"/>
        </w:rPr>
        <w:t xml:space="preserve">１６９４ </w:t>
      </w:r>
      <w:r>
        <w:rPr>
          <w:spacing w:val="5"/>
        </w:rPr>
        <w:t>次会议</w:t>
      </w:r>
      <w:r>
        <w:rPr>
          <w:rFonts w:hint="eastAsia" w:ascii="Microsoft Yi Baiti" w:eastAsia="Microsoft Yi Baiti"/>
          <w:spacing w:val="-19"/>
        </w:rPr>
        <w:t xml:space="preserve">、 </w:t>
      </w:r>
      <w:r>
        <w:rPr>
          <w:rFonts w:hint="eastAsia" w:ascii="MS UI Gothic" w:eastAsia="MS UI Gothic"/>
          <w:spacing w:val="-7"/>
        </w:rPr>
        <w:t xml:space="preserve">２０１６ </w:t>
      </w:r>
      <w:r>
        <w:rPr>
          <w:spacing w:val="-37"/>
        </w:rPr>
        <w:t xml:space="preserve">年 </w:t>
      </w:r>
      <w:r>
        <w:rPr>
          <w:rFonts w:hint="eastAsia" w:ascii="MS UI Gothic" w:eastAsia="MS UI Gothic"/>
          <w:spacing w:val="-10"/>
        </w:rPr>
        <w:t xml:space="preserve">１１ </w:t>
      </w:r>
      <w:r>
        <w:rPr>
          <w:spacing w:val="-37"/>
        </w:rPr>
        <w:t xml:space="preserve">月 </w:t>
      </w:r>
      <w:r>
        <w:rPr>
          <w:rFonts w:hint="eastAsia" w:ascii="MS UI Gothic" w:eastAsia="MS UI Gothic"/>
          <w:spacing w:val="-15"/>
        </w:rPr>
        <w:t xml:space="preserve">４ </w:t>
      </w:r>
      <w:r>
        <w:rPr>
          <w:spacing w:val="4"/>
        </w:rPr>
        <w:t>日最</w:t>
      </w:r>
    </w:p>
    <w:p>
      <w:pPr>
        <w:pStyle w:val="6"/>
        <w:spacing w:before="58"/>
        <w:ind w:left="440" w:firstLine="0"/>
        <w:jc w:val="left"/>
        <w:rPr>
          <w:rFonts w:hint="eastAsia" w:ascii="Microsoft Yi Baiti" w:eastAsia="Microsoft Yi Baiti"/>
        </w:rPr>
      </w:pPr>
      <w:r>
        <w:t xml:space="preserve">高人民检察院第十二届检察委员会第 </w:t>
      </w:r>
      <w:r>
        <w:rPr>
          <w:rFonts w:hint="eastAsia" w:ascii="MS UI Gothic" w:eastAsia="MS UI Gothic"/>
        </w:rPr>
        <w:t xml:space="preserve">５７ </w:t>
      </w:r>
      <w:r>
        <w:t>次会议通过</w:t>
      </w:r>
      <w:r>
        <w:rPr>
          <w:rFonts w:hint="eastAsia" w:ascii="Microsoft Yi Baiti" w:eastAsia="Microsoft Yi Baiti"/>
        </w:rPr>
        <w:t xml:space="preserve">ꎬ </w:t>
      </w:r>
      <w:r>
        <w:t xml:space="preserve">自 </w:t>
      </w:r>
      <w:r>
        <w:rPr>
          <w:rFonts w:hint="eastAsia" w:ascii="MS UI Gothic" w:eastAsia="MS UI Gothic"/>
        </w:rPr>
        <w:t xml:space="preserve">２０１６ </w:t>
      </w:r>
      <w:r>
        <w:t xml:space="preserve">年 </w:t>
      </w:r>
      <w:r>
        <w:rPr>
          <w:rFonts w:hint="eastAsia" w:ascii="MS UI Gothic" w:eastAsia="MS UI Gothic"/>
        </w:rPr>
        <w:t xml:space="preserve">１２ </w:t>
      </w:r>
      <w:r>
        <w:t xml:space="preserve">月 </w:t>
      </w:r>
      <w:r>
        <w:rPr>
          <w:rFonts w:hint="eastAsia" w:ascii="MS UI Gothic" w:eastAsia="MS UI Gothic"/>
        </w:rPr>
        <w:t xml:space="preserve">１ </w:t>
      </w:r>
      <w:r>
        <w:t>日起施行</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175" w:line="295" w:lineRule="auto"/>
        <w:ind w:left="440" w:right="1"/>
        <w:rPr>
          <w:rFonts w:hint="eastAsia" w:ascii="MS UI Gothic" w:hAnsi="MS UI Gothic" w:eastAsia="MS UI Gothic"/>
        </w:rPr>
      </w:pPr>
      <w:r>
        <w:t>为依法惩处非法采矿</w:t>
      </w:r>
      <w:r>
        <w:rPr>
          <w:rFonts w:hint="eastAsia" w:ascii="MS UI Gothic" w:hAnsi="MS UI Gothic" w:eastAsia="MS UI Gothic"/>
          <w:w w:val="80"/>
        </w:rPr>
        <w:t xml:space="preserve">、 </w:t>
      </w:r>
      <w:r>
        <w:t>破坏性采矿犯罪活动</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中华人民共和国刑法</w:t>
      </w:r>
      <w:r>
        <w:rPr>
          <w:rFonts w:hint="eastAsia" w:ascii="MS UI Gothic" w:hAnsi="MS UI Gothic" w:eastAsia="MS UI Gothic"/>
          <w:w w:val="80"/>
        </w:rPr>
        <w:t>»</w:t>
      </w:r>
    </w:p>
    <w:p>
      <w:pPr>
        <w:pStyle w:val="6"/>
        <w:spacing w:line="295" w:lineRule="auto"/>
        <w:ind w:left="440" w:right="1" w:firstLine="0"/>
        <w:rPr>
          <w:rFonts w:hint="eastAsia" w:ascii="MS UI Gothic" w:hAnsi="MS UI Gothic" w:eastAsia="MS UI Gothic"/>
        </w:rPr>
      </w:pPr>
      <w:r>
        <w:rPr>
          <w:rFonts w:hint="eastAsia" w:ascii="MS UI Gothic" w:hAnsi="MS UI Gothic" w:eastAsia="MS UI Gothic"/>
          <w:w w:val="80"/>
        </w:rPr>
        <w:t xml:space="preserve">« </w:t>
      </w:r>
      <w:r>
        <w:rPr>
          <w:w w:val="105"/>
        </w:rPr>
        <w:t>中华人民共和国刑事诉讼法</w:t>
      </w:r>
      <w:r>
        <w:rPr>
          <w:rFonts w:hint="eastAsia" w:ascii="MS UI Gothic" w:hAnsi="MS UI Gothic" w:eastAsia="MS UI Gothic"/>
          <w:w w:val="80"/>
        </w:rPr>
        <w:t xml:space="preserve">» </w:t>
      </w:r>
      <w:r>
        <w:rPr>
          <w:w w:val="105"/>
        </w:rPr>
        <w:t>的有关规</w:t>
      </w:r>
      <w:r>
        <w:t>定</w:t>
      </w:r>
      <w:r>
        <w:rPr>
          <w:rFonts w:hint="eastAsia" w:ascii="MS UI Gothic" w:hAnsi="MS UI Gothic" w:eastAsia="MS UI Gothic"/>
          <w:w w:val="80"/>
        </w:rPr>
        <w:t xml:space="preserve">ꎬ </w:t>
      </w:r>
      <w:r>
        <w:t>现就办理此类刑事案件适用法律的若</w:t>
      </w:r>
      <w:r>
        <w:rPr>
          <w:w w:val="105"/>
        </w:rPr>
        <w:t>干问题解释如下</w:t>
      </w:r>
      <w:r>
        <w:rPr>
          <w:rFonts w:hint="eastAsia" w:ascii="MS UI Gothic" w:hAnsi="MS UI Gothic" w:eastAsia="MS UI Gothic"/>
          <w:w w:val="235"/>
        </w:rPr>
        <w:t>:</w:t>
      </w:r>
    </w:p>
    <w:p>
      <w:pPr>
        <w:pStyle w:val="6"/>
        <w:spacing w:line="295" w:lineRule="auto"/>
        <w:ind w:left="440"/>
      </w:pPr>
      <w:r>
        <w:t xml:space="preserve">第一条 违反 </w:t>
      </w:r>
      <w:r>
        <w:rPr>
          <w:rFonts w:hint="eastAsia" w:ascii="MS UI Gothic" w:hAnsi="MS UI Gothic" w:eastAsia="MS UI Gothic"/>
          <w:w w:val="80"/>
        </w:rPr>
        <w:t xml:space="preserve">« </w:t>
      </w:r>
      <w:r>
        <w:t>中华人民共和国矿产资源法</w:t>
      </w:r>
      <w:r>
        <w:rPr>
          <w:rFonts w:hint="eastAsia" w:ascii="MS UI Gothic" w:hAnsi="MS UI Gothic" w:eastAsia="MS UI Gothic"/>
          <w:w w:val="80"/>
        </w:rPr>
        <w:t xml:space="preserve">» « </w:t>
      </w:r>
      <w:r>
        <w:t>中华人民共和国水法</w:t>
      </w:r>
      <w:r>
        <w:rPr>
          <w:rFonts w:hint="eastAsia" w:ascii="MS UI Gothic" w:hAnsi="MS UI Gothic" w:eastAsia="MS UI Gothic"/>
          <w:w w:val="80"/>
        </w:rPr>
        <w:t xml:space="preserve">»  </w:t>
      </w:r>
      <w:r>
        <w:t>等法律</w:t>
      </w:r>
      <w:r>
        <w:rPr>
          <w:rFonts w:hint="eastAsia" w:ascii="MS UI Gothic" w:hAnsi="MS UI Gothic" w:eastAsia="MS UI Gothic"/>
          <w:w w:val="80"/>
        </w:rPr>
        <w:t xml:space="preserve">、 </w:t>
      </w:r>
      <w:r>
        <w:t>行政法规有关矿产资源开发</w:t>
      </w:r>
      <w:r>
        <w:rPr>
          <w:rFonts w:hint="eastAsia" w:ascii="MS UI Gothic" w:hAnsi="MS UI Gothic" w:eastAsia="MS UI Gothic"/>
          <w:w w:val="80"/>
        </w:rPr>
        <w:t xml:space="preserve">、 </w:t>
      </w:r>
      <w:r>
        <w:t>利用</w:t>
      </w:r>
      <w:r>
        <w:rPr>
          <w:rFonts w:hint="eastAsia" w:ascii="MS UI Gothic" w:hAnsi="MS UI Gothic" w:eastAsia="MS UI Gothic"/>
          <w:w w:val="80"/>
        </w:rPr>
        <w:t>、</w:t>
      </w:r>
      <w:r>
        <w:t>保护和管理的规定的</w:t>
      </w:r>
      <w:r>
        <w:rPr>
          <w:rFonts w:hint="eastAsia" w:ascii="MS UI Gothic" w:hAnsi="MS UI Gothic" w:eastAsia="MS UI Gothic"/>
          <w:w w:val="80"/>
        </w:rPr>
        <w:t xml:space="preserve">ꎬ </w:t>
      </w:r>
      <w:r>
        <w:t xml:space="preserve">应当认定为刑法第三百四十三条规定的 </w:t>
      </w:r>
      <w:r>
        <w:rPr>
          <w:rFonts w:hint="eastAsia" w:ascii="MS UI Gothic" w:hAnsi="MS UI Gothic" w:eastAsia="MS UI Gothic"/>
        </w:rPr>
        <w:t xml:space="preserve">“ </w:t>
      </w:r>
      <w:r>
        <w:t>违反矿产资源法</w:t>
      </w:r>
    </w:p>
    <w:p>
      <w:pPr>
        <w:pStyle w:val="6"/>
        <w:spacing w:before="175"/>
        <w:ind w:left="381" w:firstLine="0"/>
        <w:jc w:val="left"/>
        <w:rPr>
          <w:rFonts w:hint="eastAsia" w:ascii="MS UI Gothic" w:hAnsi="MS UI Gothic" w:eastAsia="MS UI Gothic"/>
        </w:rPr>
      </w:pPr>
      <w:r>
        <w:br w:type="column"/>
      </w:r>
      <w:r>
        <w:t>的规定</w:t>
      </w:r>
      <w:r>
        <w:rPr>
          <w:rFonts w:hint="eastAsia" w:ascii="MS UI Gothic" w:hAnsi="MS UI Gothic" w:eastAsia="MS UI Gothic"/>
        </w:rPr>
        <w:t xml:space="preserve">” </w:t>
      </w:r>
      <w:r>
        <w:rPr>
          <w:rFonts w:hint="eastAsia" w:ascii="MS UI Gothic" w:hAnsi="MS UI Gothic" w:eastAsia="MS UI Gothic"/>
          <w:w w:val="80"/>
        </w:rPr>
        <w:t>ꎮ</w:t>
      </w:r>
    </w:p>
    <w:p>
      <w:pPr>
        <w:pStyle w:val="6"/>
        <w:spacing w:before="58" w:line="295" w:lineRule="auto"/>
        <w:ind w:left="381" w:right="126"/>
        <w:rPr>
          <w:rFonts w:hint="eastAsia" w:ascii="MS UI Gothic" w:hAnsi="MS UI Gothic" w:eastAsia="MS UI Gothic"/>
        </w:rPr>
      </w:pPr>
      <w:r>
        <w:rPr>
          <w:w w:val="105"/>
        </w:rPr>
        <w:t>第二条 具有下列情形之一的</w:t>
      </w:r>
      <w:r>
        <w:rPr>
          <w:rFonts w:hint="eastAsia" w:ascii="MS UI Gothic" w:hAnsi="MS UI Gothic" w:eastAsia="MS UI Gothic"/>
          <w:w w:val="80"/>
        </w:rPr>
        <w:t xml:space="preserve">ꎬ </w:t>
      </w:r>
      <w:r>
        <w:rPr>
          <w:w w:val="105"/>
        </w:rPr>
        <w:t>应当</w:t>
      </w:r>
      <w:r>
        <w:t>认定为刑法第三百四十三条第一款规定的</w:t>
      </w:r>
      <w:r>
        <w:rPr>
          <w:rFonts w:hint="eastAsia" w:ascii="MS UI Gothic" w:hAnsi="MS UI Gothic" w:eastAsia="MS UI Gothic"/>
          <w:w w:val="102"/>
        </w:rPr>
        <w:t>“</w:t>
      </w:r>
      <w:r>
        <w:rPr>
          <w:rFonts w:hint="eastAsia" w:ascii="MS UI Gothic" w:hAnsi="MS UI Gothic" w:eastAsia="MS UI Gothic"/>
        </w:rPr>
        <w:t xml:space="preserve"> </w:t>
      </w:r>
      <w:r>
        <w:rPr>
          <w:w w:val="102"/>
        </w:rPr>
        <w:t>未取得采矿许可证</w:t>
      </w:r>
      <w:r>
        <w:rPr>
          <w:rFonts w:hint="eastAsia" w:ascii="MS UI Gothic" w:hAnsi="MS UI Gothic" w:eastAsia="MS UI Gothic"/>
          <w:w w:val="102"/>
        </w:rPr>
        <w:t>”</w:t>
      </w:r>
      <w:r>
        <w:rPr>
          <w:rFonts w:hint="eastAsia" w:ascii="MS UI Gothic" w:hAnsi="MS UI Gothic" w:eastAsia="MS UI Gothic"/>
          <w:w w:val="253"/>
        </w:rPr>
        <w:t>:</w:t>
      </w:r>
    </w:p>
    <w:p>
      <w:pPr>
        <w:pStyle w:val="6"/>
        <w:spacing w:line="254" w:lineRule="exact"/>
        <w:ind w:left="800" w:firstLine="0"/>
        <w:jc w:val="left"/>
        <w:rPr>
          <w:rFonts w:hint="eastAsia" w:ascii="MS UI Gothic" w:eastAsia="MS UI Gothic"/>
        </w:rPr>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无许可证的</w:t>
      </w:r>
      <w:r>
        <w:rPr>
          <w:rFonts w:hint="eastAsia" w:ascii="MS UI Gothic" w:eastAsia="MS UI Gothic"/>
          <w:w w:val="80"/>
        </w:rPr>
        <w:t>ꎻ</w:t>
      </w:r>
    </w:p>
    <w:p>
      <w:pPr>
        <w:pStyle w:val="6"/>
        <w:spacing w:before="58" w:line="295" w:lineRule="auto"/>
        <w:ind w:left="381" w:right="126"/>
        <w:jc w:val="left"/>
        <w:rPr>
          <w:rFonts w:hint="eastAsia" w:ascii="MS UI Gothic" w:eastAsia="MS UI Gothic"/>
        </w:rPr>
      </w:pPr>
      <w:r>
        <w:rPr>
          <w:rFonts w:hint="eastAsia" w:ascii="MS UI Gothic" w:eastAsia="MS UI Gothic"/>
          <w:spacing w:val="-30"/>
          <w:w w:val="150"/>
        </w:rPr>
        <w:t xml:space="preserve">( </w:t>
      </w:r>
      <w:r>
        <w:rPr>
          <w:spacing w:val="36"/>
          <w:w w:val="105"/>
        </w:rPr>
        <w:t>二</w:t>
      </w:r>
      <w:r>
        <w:rPr>
          <w:rFonts w:hint="eastAsia" w:ascii="MS UI Gothic" w:eastAsia="MS UI Gothic"/>
          <w:spacing w:val="31"/>
          <w:w w:val="150"/>
        </w:rPr>
        <w:t xml:space="preserve">) </w:t>
      </w:r>
      <w:r>
        <w:rPr>
          <w:spacing w:val="-25"/>
          <w:w w:val="105"/>
        </w:rPr>
        <w:t>许 可 证 被 注 销</w:t>
      </w:r>
      <w:r>
        <w:rPr>
          <w:rFonts w:hint="eastAsia" w:ascii="MS UI Gothic" w:eastAsia="MS UI Gothic"/>
          <w:spacing w:val="20"/>
          <w:w w:val="80"/>
        </w:rPr>
        <w:t xml:space="preserve">、 </w:t>
      </w:r>
      <w:r>
        <w:rPr>
          <w:spacing w:val="-15"/>
          <w:w w:val="105"/>
        </w:rPr>
        <w:t>吊 销</w:t>
      </w:r>
      <w:r>
        <w:rPr>
          <w:rFonts w:hint="eastAsia" w:ascii="MS UI Gothic" w:eastAsia="MS UI Gothic"/>
          <w:spacing w:val="19"/>
          <w:w w:val="80"/>
        </w:rPr>
        <w:t xml:space="preserve">、 </w:t>
      </w:r>
      <w:r>
        <w:rPr>
          <w:spacing w:val="-12"/>
          <w:w w:val="105"/>
        </w:rPr>
        <w:t>撤</w:t>
      </w:r>
      <w:r>
        <w:rPr>
          <w:spacing w:val="3"/>
          <w:w w:val="105"/>
        </w:rPr>
        <w:t>销的</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超越许可证规定的矿区范围或</w:t>
      </w:r>
      <w:r>
        <w:rPr>
          <w:w w:val="110"/>
        </w:rPr>
        <w:t>者开采范围的</w:t>
      </w:r>
      <w:r>
        <w:rPr>
          <w:rFonts w:hint="eastAsia" w:ascii="MS UI Gothic" w:eastAsia="MS UI Gothic"/>
          <w:w w:val="80"/>
        </w:rPr>
        <w:t>ꎻ</w:t>
      </w:r>
    </w:p>
    <w:p>
      <w:pPr>
        <w:pStyle w:val="6"/>
        <w:spacing w:line="255" w:lineRule="exact"/>
        <w:ind w:left="800" w:firstLine="0"/>
        <w:jc w:val="left"/>
      </w:pPr>
      <w:r>
        <w:rPr>
          <w:rFonts w:hint="eastAsia" w:ascii="MS UI Gothic" w:eastAsia="MS UI Gothic"/>
          <w:spacing w:val="-42"/>
          <w:w w:val="150"/>
        </w:rPr>
        <w:t xml:space="preserve">( </w:t>
      </w:r>
      <w:r>
        <w:rPr>
          <w:spacing w:val="3"/>
          <w:w w:val="115"/>
        </w:rPr>
        <w:t>四</w:t>
      </w:r>
      <w:r>
        <w:rPr>
          <w:rFonts w:hint="eastAsia" w:ascii="MS UI Gothic" w:eastAsia="MS UI Gothic"/>
          <w:spacing w:val="-24"/>
          <w:w w:val="150"/>
        </w:rPr>
        <w:t xml:space="preserve">) </w:t>
      </w:r>
      <w:r>
        <w:rPr>
          <w:spacing w:val="-4"/>
          <w:w w:val="115"/>
        </w:rPr>
        <w:t xml:space="preserve">超出许可证规定的矿种的 </w:t>
      </w:r>
      <w:r>
        <w:rPr>
          <w:rFonts w:hint="eastAsia" w:ascii="MS UI Gothic" w:eastAsia="MS UI Gothic"/>
          <w:spacing w:val="-41"/>
          <w:w w:val="150"/>
        </w:rPr>
        <w:t xml:space="preserve">( </w:t>
      </w:r>
      <w:r>
        <w:rPr>
          <w:w w:val="115"/>
        </w:rPr>
        <w:t>共</w:t>
      </w:r>
    </w:p>
    <w:p>
      <w:pPr>
        <w:spacing w:after="0" w:line="255" w:lineRule="exact"/>
        <w:jc w:val="left"/>
        <w:sectPr>
          <w:type w:val="continuous"/>
          <w:pgSz w:w="10500" w:h="14750"/>
          <w:pgMar w:top="1400" w:right="980" w:bottom="280" w:left="980" w:header="720" w:footer="720" w:gutter="0"/>
          <w:cols w:equalWidth="0" w:num="2">
            <w:col w:w="4212" w:space="40"/>
            <w:col w:w="4288"/>
          </w:cols>
        </w:sectPr>
      </w:pPr>
    </w:p>
    <w:p>
      <w:pPr>
        <w:tabs>
          <w:tab w:val="left" w:pos="2426"/>
        </w:tabs>
        <w:spacing w:before="162"/>
        <w:ind w:left="384" w:right="0" w:firstLine="0"/>
        <w:jc w:val="left"/>
        <w:rPr>
          <w:rFonts w:hint="eastAsia" w:ascii="Microsoft Yi Baiti" w:eastAsia="Microsoft Yi Baiti"/>
          <w:sz w:val="17"/>
        </w:rPr>
      </w:pPr>
      <w:r>
        <w:pict>
          <v:group id="_x0000_s1074" o:spid="_x0000_s1074" o:spt="203" style="position:absolute;left:0pt;margin-left:55.1pt;margin-top:23.85pt;height:2.15pt;width:398.25pt;mso-position-horizontal-relative:page;mso-wrap-distance-bottom:0pt;mso-wrap-distance-top:0pt;z-index:-251640832;mso-width-relative:page;mso-height-relative:page;" coordorigin="1103,477" coordsize="7965,43">
            <o:lock v:ext="edit"/>
            <v:line id="_x0000_s1075" o:spid="_x0000_s1075" o:spt="20" style="position:absolute;left:1103;top:516;height:0;width:7964;" stroked="t" coordsize="21600,21600">
              <v:path arrowok="t"/>
              <v:fill focussize="0,0"/>
              <v:stroke weight="0.388031496062992pt" color="#231F20"/>
              <v:imagedata o:title=""/>
              <o:lock v:ext="edit"/>
            </v:line>
            <v:line id="_x0000_s1076" o:spid="_x0000_s1076"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８</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316"/>
        </w:tabs>
        <w:spacing w:before="163" w:line="240" w:lineRule="exact"/>
        <w:ind w:firstLine="0"/>
        <w:jc w:val="left"/>
        <w:rPr>
          <w:rFonts w:hint="eastAsia" w:ascii="MS UI Gothic" w:hAnsi="MS UI Gothic" w:eastAsia="MS UI Gothic"/>
        </w:rPr>
      </w:pPr>
      <w:r>
        <w:rPr>
          <w:spacing w:val="3"/>
        </w:rPr>
        <w:t>生</w:t>
      </w:r>
      <w:r>
        <w:rPr>
          <w:rFonts w:hint="eastAsia" w:ascii="MS UI Gothic" w:hAnsi="MS UI Gothic" w:eastAsia="MS UI Gothic"/>
          <w:w w:val="80"/>
        </w:rPr>
        <w:t xml:space="preserve">、 </w:t>
      </w:r>
      <w:r>
        <w:rPr>
          <w:rFonts w:hint="eastAsia" w:ascii="MS UI Gothic" w:hAnsi="MS UI Gothic" w:eastAsia="MS UI Gothic"/>
          <w:spacing w:val="4"/>
          <w:w w:val="80"/>
        </w:rPr>
        <w:t xml:space="preserve"> </w:t>
      </w:r>
      <w:r>
        <w:rPr>
          <w:spacing w:val="3"/>
        </w:rPr>
        <w:t>伴生矿种除外</w:t>
      </w:r>
      <w:r>
        <w:rPr>
          <w:rFonts w:hint="eastAsia" w:ascii="MS UI Gothic" w:hAnsi="MS UI Gothic" w:eastAsia="MS UI Gothic"/>
          <w:w w:val="150"/>
        </w:rPr>
        <w:t>)</w:t>
      </w:r>
      <w:r>
        <w:rPr>
          <w:rFonts w:hint="eastAsia" w:ascii="MS UI Gothic" w:hAnsi="MS UI Gothic" w:eastAsia="MS UI Gothic"/>
          <w:spacing w:val="-71"/>
          <w:w w:val="150"/>
        </w:rPr>
        <w:t xml:space="preserve"> </w:t>
      </w:r>
      <w:r>
        <w:rPr>
          <w:rFonts w:hint="eastAsia" w:ascii="MS UI Gothic" w:hAnsi="MS UI Gothic" w:eastAsia="MS UI Gothic"/>
          <w:w w:val="80"/>
        </w:rPr>
        <w:t>ꎻ</w:t>
      </w:r>
      <w:r>
        <w:rPr>
          <w:rFonts w:hint="eastAsia" w:ascii="MS UI Gothic" w:hAnsi="MS UI Gothic" w:eastAsia="MS UI Gothic"/>
          <w:w w:val="80"/>
        </w:rPr>
        <w:tab/>
      </w:r>
      <w:r>
        <w:rPr>
          <w:spacing w:val="3"/>
        </w:rPr>
        <w:t>严重</w:t>
      </w:r>
      <w:r>
        <w:rPr>
          <w:rFonts w:hint="eastAsia" w:ascii="MS UI Gothic" w:hAnsi="MS UI Gothic" w:eastAsia="MS UI Gothic"/>
        </w:rPr>
        <w:t>”</w:t>
      </w:r>
      <w:r>
        <w:rPr>
          <w:rFonts w:hint="eastAsia" w:ascii="MS UI Gothic" w:hAnsi="MS UI Gothic" w:eastAsia="MS UI Gothic"/>
          <w:spacing w:val="-40"/>
        </w:rPr>
        <w:t xml:space="preserve"> </w:t>
      </w:r>
      <w:r>
        <w:rPr>
          <w:rFonts w:hint="eastAsia" w:ascii="MS UI Gothic" w:hAnsi="MS UI Gothic" w:eastAsia="MS UI Gothic"/>
          <w:w w:val="80"/>
        </w:rPr>
        <w:t>ꎮ</w:t>
      </w:r>
    </w:p>
    <w:p>
      <w:pPr>
        <w:spacing w:after="0" w:line="240" w:lineRule="exact"/>
        <w:jc w:val="left"/>
        <w:rPr>
          <w:rFonts w:hint="eastAsia" w:ascii="MS UI Gothic" w:hAnsi="MS UI Gothic" w:eastAsia="MS UI Gothic"/>
        </w:rPr>
        <w:sectPr>
          <w:pgSz w:w="10500" w:h="14750"/>
          <w:pgMar w:top="960" w:right="980" w:bottom="280" w:left="980" w:header="720" w:footer="720" w:gutter="0"/>
        </w:sectPr>
      </w:pPr>
    </w:p>
    <w:p>
      <w:pPr>
        <w:pStyle w:val="6"/>
        <w:spacing w:before="74"/>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其他未取得许可证的情形</w:t>
      </w:r>
      <w:r>
        <w:rPr>
          <w:rFonts w:hint="eastAsia" w:ascii="MS UI Gothic" w:eastAsia="MS UI Gothic"/>
          <w:w w:val="80"/>
        </w:rPr>
        <w:t>ꎮ</w:t>
      </w:r>
    </w:p>
    <w:p>
      <w:pPr>
        <w:pStyle w:val="6"/>
        <w:spacing w:before="58" w:line="295" w:lineRule="auto"/>
        <w:ind w:right="38"/>
        <w:rPr>
          <w:rFonts w:hint="eastAsia" w:ascii="MS UI Gothic" w:hAnsi="MS UI Gothic" w:eastAsia="MS UI Gothic"/>
        </w:rPr>
      </w:pPr>
      <w:r>
        <w:t>第三条 实施非法采矿行为</w:t>
      </w:r>
      <w:r>
        <w:rPr>
          <w:rFonts w:hint="eastAsia" w:ascii="MS UI Gothic" w:hAnsi="MS UI Gothic" w:eastAsia="MS UI Gothic"/>
          <w:w w:val="80"/>
        </w:rPr>
        <w:t xml:space="preserve">ꎬ </w:t>
      </w:r>
      <w:r>
        <w:t>具有下列情形之一的</w:t>
      </w:r>
      <w:r>
        <w:rPr>
          <w:rFonts w:hint="eastAsia" w:ascii="MS UI Gothic" w:hAnsi="MS UI Gothic" w:eastAsia="MS UI Gothic"/>
          <w:w w:val="80"/>
        </w:rPr>
        <w:t xml:space="preserve">ꎬ </w:t>
      </w:r>
      <w:r>
        <w:t>应当认定为刑法第三百四</w:t>
      </w:r>
      <w:r>
        <w:rPr>
          <w:w w:val="102"/>
        </w:rPr>
        <w:t>十三条第一款规定的</w:t>
      </w:r>
      <w:r>
        <w:t xml:space="preserve"> </w:t>
      </w:r>
      <w:r>
        <w:rPr>
          <w:rFonts w:hint="eastAsia" w:ascii="MS UI Gothic" w:hAnsi="MS UI Gothic" w:eastAsia="MS UI Gothic"/>
          <w:w w:val="102"/>
        </w:rPr>
        <w:t>“</w:t>
      </w:r>
      <w:r>
        <w:rPr>
          <w:rFonts w:hint="eastAsia" w:ascii="MS UI Gothic" w:hAnsi="MS UI Gothic" w:eastAsia="MS UI Gothic"/>
        </w:rPr>
        <w:t xml:space="preserve"> </w:t>
      </w:r>
      <w:r>
        <w:rPr>
          <w:w w:val="102"/>
        </w:rPr>
        <w:t>情节严重</w:t>
      </w:r>
      <w:r>
        <w:rPr>
          <w:rFonts w:hint="eastAsia" w:ascii="MS UI Gothic" w:hAnsi="MS UI Gothic" w:eastAsia="MS UI Gothic"/>
          <w:w w:val="102"/>
        </w:rPr>
        <w:t>”</w:t>
      </w:r>
      <w:r>
        <w:rPr>
          <w:rFonts w:hint="eastAsia" w:ascii="MS UI Gothic" w:hAnsi="MS UI Gothic" w:eastAsia="MS UI Gothic"/>
          <w:w w:val="253"/>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开采的矿产品价值或者造成矿</w:t>
      </w:r>
      <w:r>
        <w:t>产资源破坏的价值在十万元至三十万元以</w:t>
      </w:r>
      <w:r>
        <w:rPr>
          <w:w w:val="105"/>
        </w:rPr>
        <w:t>上的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在国家规划矿区</w:t>
      </w:r>
      <w:r>
        <w:rPr>
          <w:rFonts w:hint="eastAsia" w:ascii="MS UI Gothic" w:eastAsia="MS UI Gothic"/>
          <w:w w:val="80"/>
        </w:rPr>
        <w:t xml:space="preserve">、  </w:t>
      </w:r>
      <w:r>
        <w:rPr>
          <w:w w:val="105"/>
        </w:rPr>
        <w:t>对国民经济</w:t>
      </w:r>
      <w:r>
        <w:t>具有重要价值的矿区采矿</w:t>
      </w:r>
      <w:r>
        <w:rPr>
          <w:rFonts w:hint="eastAsia" w:ascii="MS UI Gothic" w:eastAsia="MS UI Gothic"/>
          <w:w w:val="80"/>
        </w:rPr>
        <w:t xml:space="preserve">ꎬ </w:t>
      </w:r>
      <w:r>
        <w:t>开采国家规定实行保护性开采的特定矿种</w:t>
      </w:r>
      <w:r>
        <w:rPr>
          <w:rFonts w:hint="eastAsia" w:ascii="MS UI Gothic" w:eastAsia="MS UI Gothic"/>
          <w:w w:val="80"/>
        </w:rPr>
        <w:t xml:space="preserve">ꎬ </w:t>
      </w:r>
      <w:r>
        <w:t>或者在禁采</w:t>
      </w:r>
      <w:r>
        <w:rPr>
          <w:w w:val="105"/>
        </w:rPr>
        <w:t>区</w:t>
      </w:r>
      <w:r>
        <w:rPr>
          <w:rFonts w:hint="eastAsia" w:ascii="MS UI Gothic" w:eastAsia="MS UI Gothic"/>
          <w:w w:val="80"/>
        </w:rPr>
        <w:t xml:space="preserve">、 </w:t>
      </w:r>
      <w:r>
        <w:rPr>
          <w:w w:val="105"/>
        </w:rPr>
        <w:t>禁采期内采矿</w:t>
      </w:r>
      <w:r>
        <w:rPr>
          <w:rFonts w:hint="eastAsia" w:ascii="MS UI Gothic" w:eastAsia="MS UI Gothic"/>
          <w:w w:val="80"/>
        </w:rPr>
        <w:t xml:space="preserve">ꎬ </w:t>
      </w:r>
      <w:r>
        <w:rPr>
          <w:w w:val="105"/>
        </w:rPr>
        <w:t>开采的矿产品价值或</w:t>
      </w:r>
      <w:r>
        <w:t>者造成矿产资源破坏的价值在五万元至十</w:t>
      </w:r>
      <w:r>
        <w:rPr>
          <w:w w:val="105"/>
        </w:rPr>
        <w:t>五万元以上的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二年内曾因非法采矿受过两次</w:t>
      </w:r>
      <w:r>
        <w:t>以上行政处罚</w:t>
      </w:r>
      <w:r>
        <w:rPr>
          <w:rFonts w:hint="eastAsia" w:ascii="MS UI Gothic" w:eastAsia="MS UI Gothic"/>
          <w:w w:val="80"/>
        </w:rPr>
        <w:t xml:space="preserve">ꎬ </w:t>
      </w:r>
      <w:r>
        <w:t>又实施非法采矿行为的</w:t>
      </w:r>
      <w:r>
        <w:rPr>
          <w:rFonts w:hint="eastAsia" w:ascii="MS UI Gothic" w:eastAsia="MS UI Gothic"/>
          <w:w w:val="80"/>
        </w:rPr>
        <w:t>ꎻ</w:t>
      </w:r>
    </w:p>
    <w:p>
      <w:pPr>
        <w:pStyle w:val="6"/>
        <w:spacing w:line="295" w:lineRule="auto"/>
        <w:ind w:left="543" w:right="416" w:firstLine="0"/>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造成生态环境严重损害的</w:t>
      </w:r>
      <w:r>
        <w:rPr>
          <w:rFonts w:hint="eastAsia" w:ascii="MS UI Gothic" w:eastAsia="MS UI Gothic"/>
          <w:w w:val="80"/>
        </w:rPr>
        <w:t>ꎻ</w:t>
      </w: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其他情节严重的情形</w:t>
      </w:r>
      <w:r>
        <w:rPr>
          <w:rFonts w:hint="eastAsia" w:ascii="MS UI Gothic" w:eastAsia="MS UI Gothic"/>
          <w:w w:val="80"/>
        </w:rPr>
        <w:t>ꎮ</w:t>
      </w:r>
    </w:p>
    <w:p>
      <w:pPr>
        <w:pStyle w:val="6"/>
        <w:spacing w:line="295" w:lineRule="auto"/>
        <w:ind w:right="38"/>
        <w:rPr>
          <w:rFonts w:hint="eastAsia" w:ascii="MS UI Gothic" w:hAnsi="MS UI Gothic" w:eastAsia="MS UI Gothic"/>
        </w:rPr>
      </w:pPr>
      <w:r>
        <w:t>实施非法采矿行为</w:t>
      </w:r>
      <w:r>
        <w:rPr>
          <w:rFonts w:hint="eastAsia" w:ascii="MS UI Gothic" w:hAnsi="MS UI Gothic" w:eastAsia="MS UI Gothic"/>
          <w:w w:val="80"/>
        </w:rPr>
        <w:t xml:space="preserve">ꎬ </w:t>
      </w:r>
      <w:r>
        <w:t>具有下列情形之一的</w:t>
      </w:r>
      <w:r>
        <w:rPr>
          <w:rFonts w:hint="eastAsia" w:ascii="MS UI Gothic" w:hAnsi="MS UI Gothic" w:eastAsia="MS UI Gothic"/>
          <w:w w:val="80"/>
        </w:rPr>
        <w:t xml:space="preserve">ꎬ </w:t>
      </w:r>
      <w:r>
        <w:t>应当认定为刑法第三百四十三条第</w:t>
      </w:r>
      <w:r>
        <w:rPr>
          <w:w w:val="102"/>
        </w:rPr>
        <w:t>一款规定的</w:t>
      </w:r>
      <w:r>
        <w:t xml:space="preserve"> </w:t>
      </w:r>
      <w:r>
        <w:rPr>
          <w:rFonts w:hint="eastAsia" w:ascii="MS UI Gothic" w:hAnsi="MS UI Gothic" w:eastAsia="MS UI Gothic"/>
          <w:w w:val="102"/>
        </w:rPr>
        <w:t>“</w:t>
      </w:r>
      <w:r>
        <w:rPr>
          <w:rFonts w:hint="eastAsia" w:ascii="MS UI Gothic" w:hAnsi="MS UI Gothic" w:eastAsia="MS UI Gothic"/>
        </w:rPr>
        <w:t xml:space="preserve"> </w:t>
      </w:r>
      <w:r>
        <w:rPr>
          <w:w w:val="102"/>
        </w:rPr>
        <w:t>情节特别严重</w:t>
      </w:r>
      <w:r>
        <w:rPr>
          <w:rFonts w:hint="eastAsia" w:ascii="MS UI Gothic" w:hAnsi="MS UI Gothic" w:eastAsia="MS UI Gothic"/>
          <w:w w:val="102"/>
        </w:rPr>
        <w:t>”</w:t>
      </w:r>
      <w:r>
        <w:rPr>
          <w:rFonts w:hint="eastAsia" w:ascii="MS UI Gothic" w:hAnsi="MS UI Gothic" w:eastAsia="MS UI Gothic"/>
          <w:w w:val="253"/>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数额达到前款第一项</w:t>
      </w:r>
      <w:r>
        <w:rPr>
          <w:rFonts w:hint="eastAsia" w:ascii="MS UI Gothic" w:eastAsia="MS UI Gothic"/>
          <w:w w:val="80"/>
        </w:rPr>
        <w:t xml:space="preserve">、  </w:t>
      </w:r>
      <w:r>
        <w:rPr>
          <w:w w:val="105"/>
        </w:rPr>
        <w:t>第二项规定标准五倍以上的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6"/>
          <w:w w:val="130"/>
        </w:rPr>
        <w:t xml:space="preserve">( </w:t>
      </w:r>
      <w:r>
        <w:rPr>
          <w:spacing w:val="29"/>
          <w:w w:val="110"/>
        </w:rPr>
        <w:t>二</w:t>
      </w:r>
      <w:r>
        <w:rPr>
          <w:rFonts w:hint="eastAsia" w:ascii="MS UI Gothic" w:eastAsia="MS UI Gothic"/>
          <w:spacing w:val="-13"/>
          <w:w w:val="130"/>
        </w:rPr>
        <w:t xml:space="preserve">) </w:t>
      </w:r>
      <w:r>
        <w:rPr>
          <w:spacing w:val="40"/>
          <w:w w:val="110"/>
        </w:rPr>
        <w:t>造成生态环境特别严重损</w:t>
      </w:r>
      <w:r>
        <w:rPr>
          <w:spacing w:val="3"/>
          <w:w w:val="110"/>
        </w:rPr>
        <w:t>害的</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其他情节特别严重的情形</w:t>
      </w:r>
      <w:r>
        <w:rPr>
          <w:rFonts w:hint="eastAsia" w:ascii="MS UI Gothic" w:eastAsia="MS UI Gothic"/>
          <w:w w:val="80"/>
        </w:rPr>
        <w:t>ꎮ</w:t>
      </w:r>
    </w:p>
    <w:p>
      <w:pPr>
        <w:pStyle w:val="6"/>
        <w:spacing w:before="42" w:line="295" w:lineRule="auto"/>
        <w:ind w:right="38"/>
        <w:rPr>
          <w:rFonts w:hint="eastAsia" w:ascii="MS UI Gothic" w:eastAsia="MS UI Gothic"/>
        </w:rPr>
      </w:pPr>
      <w:r>
        <w:rPr>
          <w:w w:val="105"/>
        </w:rPr>
        <w:t>第四条 在河道管理范围内采砂</w:t>
      </w:r>
      <w:r>
        <w:rPr>
          <w:rFonts w:hint="eastAsia" w:ascii="MS UI Gothic" w:eastAsia="MS UI Gothic"/>
          <w:w w:val="80"/>
        </w:rPr>
        <w:t xml:space="preserve">ꎬ </w:t>
      </w:r>
      <w:r>
        <w:rPr>
          <w:w w:val="105"/>
        </w:rPr>
        <w:t>具</w:t>
      </w:r>
      <w:r>
        <w:t>有下列情形之一</w:t>
      </w:r>
      <w:r>
        <w:rPr>
          <w:rFonts w:hint="eastAsia" w:ascii="MS UI Gothic" w:eastAsia="MS UI Gothic"/>
          <w:w w:val="80"/>
        </w:rPr>
        <w:t xml:space="preserve">ꎬ </w:t>
      </w:r>
      <w:r>
        <w:t>符合刑法第三百四十三</w:t>
      </w:r>
      <w:r>
        <w:rPr>
          <w:w w:val="105"/>
        </w:rPr>
        <w:t>条第一款和本解释第二条</w:t>
      </w:r>
      <w:r>
        <w:rPr>
          <w:rFonts w:hint="eastAsia" w:ascii="MS UI Gothic" w:eastAsia="MS UI Gothic"/>
          <w:w w:val="80"/>
        </w:rPr>
        <w:t xml:space="preserve">、 </w:t>
      </w:r>
      <w:r>
        <w:rPr>
          <w:w w:val="105"/>
        </w:rPr>
        <w:t>第三条规定的</w:t>
      </w:r>
      <w:r>
        <w:rPr>
          <w:rFonts w:hint="eastAsia" w:ascii="MS UI Gothic" w:eastAsia="MS UI Gothic"/>
          <w:w w:val="80"/>
        </w:rPr>
        <w:t xml:space="preserve">ꎬ </w:t>
      </w:r>
      <w:r>
        <w:rPr>
          <w:w w:val="105"/>
        </w:rPr>
        <w:t>以非法采矿罪定罪处罚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依据相关规定应当办理河道采砂许可证</w:t>
      </w:r>
      <w:r>
        <w:rPr>
          <w:rFonts w:hint="eastAsia" w:ascii="MS UI Gothic" w:eastAsia="MS UI Gothic"/>
          <w:w w:val="80"/>
        </w:rPr>
        <w:t xml:space="preserve">ꎬ </w:t>
      </w:r>
      <w:r>
        <w:rPr>
          <w:w w:val="105"/>
        </w:rPr>
        <w:t>未取得河道采砂许可证的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依据相关规定应当办理河道采</w:t>
      </w:r>
      <w:r>
        <w:t>砂许可证和采矿许可证</w:t>
      </w:r>
      <w:r>
        <w:rPr>
          <w:rFonts w:hint="eastAsia" w:ascii="MS UI Gothic" w:eastAsia="MS UI Gothic"/>
          <w:w w:val="80"/>
        </w:rPr>
        <w:t xml:space="preserve">ꎬ </w:t>
      </w:r>
      <w:r>
        <w:t>既未取得河道采</w:t>
      </w:r>
      <w:r>
        <w:rPr>
          <w:w w:val="105"/>
        </w:rPr>
        <w:t>砂许可证</w:t>
      </w:r>
      <w:r>
        <w:rPr>
          <w:rFonts w:hint="eastAsia" w:ascii="MS UI Gothic" w:eastAsia="MS UI Gothic"/>
          <w:w w:val="80"/>
        </w:rPr>
        <w:t xml:space="preserve">ꎬ </w:t>
      </w:r>
      <w:r>
        <w:rPr>
          <w:w w:val="105"/>
        </w:rPr>
        <w:t>又未取得采矿许可证的</w:t>
      </w:r>
      <w:r>
        <w:rPr>
          <w:rFonts w:hint="eastAsia" w:ascii="MS UI Gothic" w:eastAsia="MS UI Gothic"/>
          <w:w w:val="80"/>
        </w:rPr>
        <w:t>ꎮ</w:t>
      </w:r>
    </w:p>
    <w:p>
      <w:pPr>
        <w:pStyle w:val="6"/>
        <w:spacing w:line="295" w:lineRule="auto"/>
        <w:ind w:right="38"/>
      </w:pPr>
      <w:r>
        <w:t>实施前款规定行为</w:t>
      </w:r>
      <w:r>
        <w:rPr>
          <w:rFonts w:hint="eastAsia" w:ascii="MS UI Gothic" w:hAnsi="MS UI Gothic" w:eastAsia="MS UI Gothic"/>
          <w:w w:val="80"/>
        </w:rPr>
        <w:t xml:space="preserve">ꎬ </w:t>
      </w:r>
      <w:r>
        <w:t>虽不具有本解释第三条第一款规定的情形</w:t>
      </w:r>
      <w:r>
        <w:rPr>
          <w:rFonts w:hint="eastAsia" w:ascii="MS UI Gothic" w:hAnsi="MS UI Gothic" w:eastAsia="MS UI Gothic"/>
          <w:w w:val="80"/>
        </w:rPr>
        <w:t xml:space="preserve">ꎬ </w:t>
      </w:r>
      <w:r>
        <w:t>但严重影响河势稳定</w:t>
      </w:r>
      <w:r>
        <w:rPr>
          <w:rFonts w:hint="eastAsia" w:ascii="MS UI Gothic" w:hAnsi="MS UI Gothic" w:eastAsia="MS UI Gothic"/>
          <w:w w:val="80"/>
        </w:rPr>
        <w:t xml:space="preserve">ꎬ </w:t>
      </w:r>
      <w:r>
        <w:t>危害防洪安全的</w:t>
      </w:r>
      <w:r>
        <w:rPr>
          <w:rFonts w:hint="eastAsia" w:ascii="MS UI Gothic" w:hAnsi="MS UI Gothic" w:eastAsia="MS UI Gothic"/>
          <w:w w:val="80"/>
        </w:rPr>
        <w:t xml:space="preserve">ꎬ </w:t>
      </w:r>
      <w:r>
        <w:t xml:space="preserve">应当认定为刑法第三百四十三条第一款规定的 </w:t>
      </w:r>
      <w:r>
        <w:rPr>
          <w:rFonts w:hint="eastAsia" w:ascii="MS UI Gothic" w:hAnsi="MS UI Gothic" w:eastAsia="MS UI Gothic"/>
        </w:rPr>
        <w:t xml:space="preserve">“ </w:t>
      </w:r>
      <w:r>
        <w:t>情节</w:t>
      </w:r>
    </w:p>
    <w:p>
      <w:pPr>
        <w:pStyle w:val="6"/>
        <w:spacing w:before="74" w:line="295" w:lineRule="auto"/>
        <w:ind w:right="442"/>
        <w:rPr>
          <w:rFonts w:hint="eastAsia" w:ascii="MS UI Gothic" w:eastAsia="MS UI Gothic"/>
        </w:rPr>
      </w:pPr>
      <w:r>
        <w:br w:type="column"/>
      </w:r>
      <w:r>
        <w:t>第五条 未取得海砂开采海域使用权证</w:t>
      </w:r>
      <w:r>
        <w:rPr>
          <w:rFonts w:hint="eastAsia" w:ascii="MS UI Gothic" w:eastAsia="MS UI Gothic"/>
          <w:w w:val="80"/>
        </w:rPr>
        <w:t xml:space="preserve">ꎬ </w:t>
      </w:r>
      <w:r>
        <w:t>且未取得采矿许可证</w:t>
      </w:r>
      <w:r>
        <w:rPr>
          <w:rFonts w:hint="eastAsia" w:ascii="MS UI Gothic" w:eastAsia="MS UI Gothic"/>
          <w:w w:val="80"/>
        </w:rPr>
        <w:t xml:space="preserve">ꎬ </w:t>
      </w:r>
      <w:r>
        <w:t>采挖海砂</w:t>
      </w:r>
      <w:r>
        <w:rPr>
          <w:rFonts w:hint="eastAsia" w:ascii="MS UI Gothic" w:eastAsia="MS UI Gothic"/>
          <w:w w:val="80"/>
        </w:rPr>
        <w:t xml:space="preserve">ꎬ </w:t>
      </w:r>
      <w:r>
        <w:t>符合刑法第三百四十三条第一款和本解释第二条</w:t>
      </w:r>
      <w:r>
        <w:rPr>
          <w:rFonts w:hint="eastAsia" w:ascii="MS UI Gothic" w:eastAsia="MS UI Gothic"/>
          <w:w w:val="80"/>
        </w:rPr>
        <w:t xml:space="preserve">、 </w:t>
      </w:r>
      <w:r>
        <w:t>第三条规定的</w:t>
      </w:r>
      <w:r>
        <w:rPr>
          <w:rFonts w:hint="eastAsia" w:ascii="MS UI Gothic" w:eastAsia="MS UI Gothic"/>
          <w:w w:val="80"/>
        </w:rPr>
        <w:t xml:space="preserve">ꎬ </w:t>
      </w:r>
      <w:r>
        <w:t>以非法采矿罪定罪处罚</w:t>
      </w:r>
      <w:r>
        <w:rPr>
          <w:rFonts w:hint="eastAsia" w:ascii="MS UI Gothic" w:eastAsia="MS UI Gothic"/>
          <w:w w:val="80"/>
        </w:rPr>
        <w:t>ꎮ</w:t>
      </w:r>
    </w:p>
    <w:p>
      <w:pPr>
        <w:pStyle w:val="6"/>
        <w:spacing w:line="295" w:lineRule="auto"/>
        <w:ind w:right="442"/>
        <w:rPr>
          <w:rFonts w:hint="eastAsia" w:ascii="MS UI Gothic" w:hAnsi="MS UI Gothic" w:eastAsia="MS UI Gothic"/>
        </w:rPr>
      </w:pPr>
      <w:r>
        <w:t>实施前款规定行为</w:t>
      </w:r>
      <w:r>
        <w:rPr>
          <w:rFonts w:hint="eastAsia" w:ascii="MS UI Gothic" w:hAnsi="MS UI Gothic" w:eastAsia="MS UI Gothic"/>
          <w:w w:val="80"/>
        </w:rPr>
        <w:t xml:space="preserve">ꎬ </w:t>
      </w:r>
      <w:r>
        <w:t>虽不具有本解释第三条第一款规定的情形</w:t>
      </w:r>
      <w:r>
        <w:rPr>
          <w:rFonts w:hint="eastAsia" w:ascii="MS UI Gothic" w:hAnsi="MS UI Gothic" w:eastAsia="MS UI Gothic"/>
          <w:w w:val="80"/>
        </w:rPr>
        <w:t xml:space="preserve">ꎬ </w:t>
      </w:r>
      <w:r>
        <w:t>但造成海岸线严重破坏的</w:t>
      </w:r>
      <w:r>
        <w:rPr>
          <w:rFonts w:hint="eastAsia" w:ascii="MS UI Gothic" w:hAnsi="MS UI Gothic" w:eastAsia="MS UI Gothic"/>
          <w:w w:val="80"/>
        </w:rPr>
        <w:t xml:space="preserve">ꎬ </w:t>
      </w:r>
      <w:r>
        <w:t xml:space="preserve">应当认定为刑法第三百四十三条第一款规定的 </w:t>
      </w:r>
      <w:r>
        <w:rPr>
          <w:rFonts w:hint="eastAsia" w:ascii="MS UI Gothic" w:hAnsi="MS UI Gothic" w:eastAsia="MS UI Gothic"/>
        </w:rPr>
        <w:t xml:space="preserve">“ </w:t>
      </w:r>
      <w:r>
        <w:t>情节严重</w:t>
      </w:r>
      <w:r>
        <w:rPr>
          <w:rFonts w:hint="eastAsia" w:ascii="MS UI Gothic" w:hAnsi="MS UI Gothic" w:eastAsia="MS UI Gothic"/>
        </w:rPr>
        <w:t xml:space="preserve">” </w:t>
      </w:r>
      <w:r>
        <w:rPr>
          <w:rFonts w:hint="eastAsia" w:ascii="MS UI Gothic" w:hAnsi="MS UI Gothic" w:eastAsia="MS UI Gothic"/>
          <w:w w:val="80"/>
        </w:rPr>
        <w:t>ꎮ</w:t>
      </w:r>
    </w:p>
    <w:p>
      <w:pPr>
        <w:pStyle w:val="6"/>
        <w:spacing w:line="295" w:lineRule="auto"/>
        <w:ind w:right="442"/>
        <w:rPr>
          <w:rFonts w:hint="eastAsia" w:ascii="MS UI Gothic" w:hAnsi="MS UI Gothic" w:eastAsia="MS UI Gothic"/>
        </w:rPr>
      </w:pPr>
      <w:r>
        <w:rPr>
          <w:w w:val="105"/>
        </w:rPr>
        <w:t>第六条 造成矿产资源破坏的价值在</w:t>
      </w:r>
      <w:r>
        <w:t>五十万元至一百万元以上</w:t>
      </w:r>
      <w:r>
        <w:rPr>
          <w:rFonts w:hint="eastAsia" w:ascii="MS UI Gothic" w:hAnsi="MS UI Gothic" w:eastAsia="MS UI Gothic"/>
          <w:w w:val="80"/>
        </w:rPr>
        <w:t xml:space="preserve">ꎬ </w:t>
      </w:r>
      <w:r>
        <w:t>或者造成国家</w:t>
      </w:r>
      <w:r>
        <w:rPr>
          <w:w w:val="105"/>
        </w:rPr>
        <w:t>规划矿区</w:t>
      </w:r>
      <w:r>
        <w:rPr>
          <w:rFonts w:hint="eastAsia" w:ascii="MS UI Gothic" w:hAnsi="MS UI Gothic" w:eastAsia="MS UI Gothic"/>
          <w:w w:val="80"/>
        </w:rPr>
        <w:t xml:space="preserve">、 </w:t>
      </w:r>
      <w:r>
        <w:rPr>
          <w:w w:val="105"/>
        </w:rPr>
        <w:t>对国民经济具有重要价值的矿</w:t>
      </w:r>
      <w:r>
        <w:t>区和国家规定实行保护性开采的特定矿种资源破坏的价值在二十五万元至五十万元以上的</w:t>
      </w:r>
      <w:r>
        <w:rPr>
          <w:rFonts w:hint="eastAsia" w:ascii="MS UI Gothic" w:hAnsi="MS UI Gothic" w:eastAsia="MS UI Gothic"/>
          <w:w w:val="80"/>
        </w:rPr>
        <w:t xml:space="preserve">ꎬ </w:t>
      </w:r>
      <w:r>
        <w:t>应当认定为刑法第三百四十三条</w:t>
      </w:r>
      <w:r>
        <w:rPr>
          <w:w w:val="105"/>
        </w:rPr>
        <w:t xml:space="preserve">第二款规定的 </w:t>
      </w:r>
      <w:r>
        <w:rPr>
          <w:rFonts w:hint="eastAsia" w:ascii="MS UI Gothic" w:hAnsi="MS UI Gothic" w:eastAsia="MS UI Gothic"/>
          <w:w w:val="105"/>
        </w:rPr>
        <w:t xml:space="preserve">“ </w:t>
      </w:r>
      <w:r>
        <w:rPr>
          <w:w w:val="105"/>
        </w:rPr>
        <w:t>造成矿产资源严重破坏</w:t>
      </w:r>
      <w:r>
        <w:rPr>
          <w:rFonts w:hint="eastAsia" w:ascii="MS UI Gothic" w:hAnsi="MS UI Gothic" w:eastAsia="MS UI Gothic"/>
          <w:w w:val="105"/>
        </w:rPr>
        <w:t xml:space="preserve">” </w:t>
      </w:r>
      <w:r>
        <w:rPr>
          <w:rFonts w:hint="eastAsia" w:ascii="MS UI Gothic" w:hAnsi="MS UI Gothic" w:eastAsia="MS UI Gothic"/>
          <w:w w:val="80"/>
        </w:rPr>
        <w:t>ꎮ</w:t>
      </w:r>
    </w:p>
    <w:p>
      <w:pPr>
        <w:pStyle w:val="6"/>
        <w:spacing w:line="295" w:lineRule="auto"/>
        <w:ind w:right="442"/>
        <w:rPr>
          <w:rFonts w:hint="eastAsia" w:ascii="MS UI Gothic" w:eastAsia="MS UI Gothic"/>
        </w:rPr>
      </w:pPr>
      <w:r>
        <w:t>第七条 明知是犯罪所得的矿产品及其产生的收益</w:t>
      </w:r>
      <w:r>
        <w:rPr>
          <w:rFonts w:hint="eastAsia" w:ascii="MS UI Gothic" w:eastAsia="MS UI Gothic"/>
          <w:w w:val="80"/>
        </w:rPr>
        <w:t xml:space="preserve">ꎬ </w:t>
      </w:r>
      <w:r>
        <w:t>而予以窝藏</w:t>
      </w:r>
      <w:r>
        <w:rPr>
          <w:rFonts w:hint="eastAsia" w:ascii="MS UI Gothic" w:eastAsia="MS UI Gothic"/>
          <w:w w:val="80"/>
        </w:rPr>
        <w:t xml:space="preserve">、 </w:t>
      </w:r>
      <w:r>
        <w:t>转移</w:t>
      </w:r>
      <w:r>
        <w:rPr>
          <w:rFonts w:hint="eastAsia" w:ascii="MS UI Gothic" w:eastAsia="MS UI Gothic"/>
          <w:w w:val="80"/>
        </w:rPr>
        <w:t xml:space="preserve">、 </w:t>
      </w:r>
      <w:r>
        <w:t>收购</w:t>
      </w:r>
      <w:r>
        <w:rPr>
          <w:rFonts w:hint="eastAsia" w:ascii="MS UI Gothic" w:eastAsia="MS UI Gothic"/>
          <w:w w:val="80"/>
        </w:rPr>
        <w:t xml:space="preserve">、 </w:t>
      </w:r>
      <w:r>
        <w:t>代为销售或者以其他方法掩饰</w:t>
      </w:r>
      <w:r>
        <w:rPr>
          <w:rFonts w:hint="eastAsia" w:ascii="MS UI Gothic" w:eastAsia="MS UI Gothic"/>
          <w:w w:val="80"/>
        </w:rPr>
        <w:t xml:space="preserve">、 </w:t>
      </w:r>
      <w:r>
        <w:t>隐瞒的</w:t>
      </w:r>
      <w:r>
        <w:rPr>
          <w:rFonts w:hint="eastAsia" w:ascii="MS UI Gothic" w:eastAsia="MS UI Gothic"/>
          <w:w w:val="80"/>
        </w:rPr>
        <w:t xml:space="preserve">ꎬ </w:t>
      </w:r>
      <w:r>
        <w:t>依照刑法第三百一十二条的规定</w:t>
      </w:r>
      <w:r>
        <w:rPr>
          <w:rFonts w:hint="eastAsia" w:ascii="MS UI Gothic" w:eastAsia="MS UI Gothic"/>
          <w:w w:val="80"/>
        </w:rPr>
        <w:t xml:space="preserve">ꎬ </w:t>
      </w:r>
      <w:r>
        <w:t>以掩饰</w:t>
      </w:r>
      <w:r>
        <w:rPr>
          <w:rFonts w:hint="eastAsia" w:ascii="MS UI Gothic" w:eastAsia="MS UI Gothic"/>
          <w:w w:val="80"/>
        </w:rPr>
        <w:t xml:space="preserve">、 </w:t>
      </w:r>
      <w:r>
        <w:t>隐瞒犯罪所得</w:t>
      </w:r>
      <w:r>
        <w:rPr>
          <w:rFonts w:hint="eastAsia" w:ascii="MS UI Gothic" w:eastAsia="MS UI Gothic"/>
          <w:w w:val="80"/>
        </w:rPr>
        <w:t xml:space="preserve">、 </w:t>
      </w:r>
      <w:r>
        <w:t>犯罪所得收益罪定罪处罚</w:t>
      </w:r>
      <w:r>
        <w:rPr>
          <w:rFonts w:hint="eastAsia" w:ascii="MS UI Gothic" w:eastAsia="MS UI Gothic"/>
          <w:w w:val="80"/>
        </w:rPr>
        <w:t>ꎮ</w:t>
      </w:r>
    </w:p>
    <w:p>
      <w:pPr>
        <w:pStyle w:val="6"/>
        <w:spacing w:line="295" w:lineRule="auto"/>
        <w:ind w:right="442"/>
        <w:rPr>
          <w:rFonts w:hint="eastAsia" w:ascii="MS UI Gothic" w:eastAsia="MS UI Gothic"/>
        </w:rPr>
      </w:pPr>
      <w:r>
        <w:t>实施前款规定的犯罪行为</w:t>
      </w:r>
      <w:r>
        <w:rPr>
          <w:rFonts w:hint="eastAsia" w:ascii="MS UI Gothic" w:eastAsia="MS UI Gothic"/>
          <w:w w:val="80"/>
        </w:rPr>
        <w:t xml:space="preserve">ꎬ </w:t>
      </w:r>
      <w:r>
        <w:t>事前通谋的</w:t>
      </w:r>
      <w:r>
        <w:rPr>
          <w:rFonts w:hint="eastAsia" w:ascii="MS UI Gothic" w:eastAsia="MS UI Gothic"/>
          <w:w w:val="80"/>
        </w:rPr>
        <w:t xml:space="preserve">ꎬ </w:t>
      </w:r>
      <w:r>
        <w:t>以共同犯罪论处</w:t>
      </w:r>
      <w:r>
        <w:rPr>
          <w:rFonts w:hint="eastAsia" w:ascii="MS UI Gothic" w:eastAsia="MS UI Gothic"/>
          <w:w w:val="80"/>
        </w:rPr>
        <w:t>ꎮ</w:t>
      </w:r>
    </w:p>
    <w:p>
      <w:pPr>
        <w:pStyle w:val="6"/>
        <w:spacing w:line="295" w:lineRule="auto"/>
        <w:ind w:right="440"/>
        <w:rPr>
          <w:rFonts w:hint="eastAsia" w:ascii="MS UI Gothic" w:eastAsia="MS UI Gothic"/>
        </w:rPr>
      </w:pPr>
      <w:r>
        <w:t>第八条 多次非法采矿</w:t>
      </w:r>
      <w:r>
        <w:rPr>
          <w:rFonts w:hint="eastAsia" w:ascii="MS UI Gothic" w:eastAsia="MS UI Gothic"/>
          <w:w w:val="80"/>
        </w:rPr>
        <w:t xml:space="preserve">、 </w:t>
      </w:r>
      <w:r>
        <w:t>破坏性采矿构成犯罪</w:t>
      </w:r>
      <w:r>
        <w:rPr>
          <w:rFonts w:hint="eastAsia" w:ascii="MS UI Gothic" w:eastAsia="MS UI Gothic"/>
          <w:w w:val="80"/>
        </w:rPr>
        <w:t xml:space="preserve">ꎬ </w:t>
      </w:r>
      <w:r>
        <w:t>依法应当追诉的</w:t>
      </w:r>
      <w:r>
        <w:rPr>
          <w:rFonts w:hint="eastAsia" w:ascii="MS UI Gothic" w:eastAsia="MS UI Gothic"/>
          <w:w w:val="80"/>
        </w:rPr>
        <w:t xml:space="preserve">ꎬ </w:t>
      </w:r>
      <w:r>
        <w:t>或者二年内多次非法采矿</w:t>
      </w:r>
      <w:r>
        <w:rPr>
          <w:rFonts w:hint="eastAsia" w:ascii="MS UI Gothic" w:eastAsia="MS UI Gothic"/>
          <w:w w:val="80"/>
        </w:rPr>
        <w:t xml:space="preserve">、 </w:t>
      </w:r>
      <w:r>
        <w:t>破坏性采矿未经处理的</w:t>
      </w:r>
      <w:r>
        <w:rPr>
          <w:rFonts w:hint="eastAsia" w:ascii="MS UI Gothic" w:eastAsia="MS UI Gothic"/>
          <w:w w:val="80"/>
        </w:rPr>
        <w:t>ꎬ</w:t>
      </w:r>
      <w:r>
        <w:t>价值数额累计计算</w:t>
      </w:r>
      <w:r>
        <w:rPr>
          <w:rFonts w:hint="eastAsia" w:ascii="MS UI Gothic" w:eastAsia="MS UI Gothic"/>
          <w:w w:val="80"/>
        </w:rPr>
        <w:t>ꎮ</w:t>
      </w:r>
    </w:p>
    <w:p>
      <w:pPr>
        <w:pStyle w:val="6"/>
        <w:spacing w:line="295" w:lineRule="auto"/>
        <w:ind w:right="442"/>
        <w:rPr>
          <w:rFonts w:hint="eastAsia" w:ascii="MS UI Gothic" w:eastAsia="MS UI Gothic"/>
        </w:rPr>
      </w:pPr>
      <w:r>
        <w:t>第九条 单位犯刑法第三百四十三条规定之罪的</w:t>
      </w:r>
      <w:r>
        <w:rPr>
          <w:rFonts w:hint="eastAsia" w:ascii="MS UI Gothic" w:eastAsia="MS UI Gothic"/>
          <w:w w:val="80"/>
        </w:rPr>
        <w:t xml:space="preserve">ꎬ </w:t>
      </w:r>
      <w:r>
        <w:t>依照本解释规定的相应自然人犯罪的定罪量刑标准</w:t>
      </w:r>
      <w:r>
        <w:rPr>
          <w:rFonts w:hint="eastAsia" w:ascii="MS UI Gothic" w:eastAsia="MS UI Gothic"/>
          <w:w w:val="80"/>
        </w:rPr>
        <w:t xml:space="preserve">ꎬ </w:t>
      </w:r>
      <w:r>
        <w:t>对直接负责的主管人员和其他直接责任人员定罪处罚</w:t>
      </w:r>
      <w:r>
        <w:rPr>
          <w:rFonts w:hint="eastAsia" w:ascii="MS UI Gothic" w:eastAsia="MS UI Gothic"/>
          <w:w w:val="80"/>
        </w:rPr>
        <w:t xml:space="preserve">ꎬ </w:t>
      </w:r>
      <w:r>
        <w:t>并对单位判处罚金</w:t>
      </w:r>
      <w:r>
        <w:rPr>
          <w:rFonts w:hint="eastAsia" w:ascii="MS UI Gothic" w:eastAsia="MS UI Gothic"/>
          <w:w w:val="80"/>
        </w:rPr>
        <w:t>ꎮ</w:t>
      </w:r>
    </w:p>
    <w:p>
      <w:pPr>
        <w:pStyle w:val="6"/>
        <w:spacing w:line="295" w:lineRule="auto"/>
        <w:ind w:right="442"/>
      </w:pPr>
      <w:r>
        <w:pict>
          <v:shape id="_x0000_s1077" o:spid="_x0000_s1077" o:spt="202" type="#_x0000_t202" style="position:absolute;left:0pt;margin-left:264.8pt;margin-top:12pt;height:24.35pt;width:5.15pt;mso-position-horizontal-relative:page;z-index:-27608678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hAnsi="MS UI Gothic"/>
                    </w:rPr>
                  </w:pPr>
                  <w:r>
                    <w:rPr>
                      <w:rFonts w:ascii="MS UI Gothic" w:hAnsi="MS UI Gothic"/>
                      <w:w w:val="102"/>
                    </w:rPr>
                    <w:t>“</w:t>
                  </w:r>
                </w:p>
              </w:txbxContent>
            </v:textbox>
          </v:shape>
        </w:pict>
      </w:r>
      <w:r>
        <w:t>第十条 实施非法采矿犯罪</w:t>
      </w:r>
      <w:r>
        <w:rPr>
          <w:rFonts w:hint="eastAsia" w:ascii="MS UI Gothic" w:hAnsi="MS UI Gothic" w:eastAsia="MS UI Gothic"/>
          <w:w w:val="80"/>
        </w:rPr>
        <w:t xml:space="preserve">ꎬ </w:t>
      </w:r>
      <w:r>
        <w:t>不属于情节特别严重</w:t>
      </w:r>
      <w:r>
        <w:rPr>
          <w:rFonts w:hint="eastAsia" w:ascii="MS UI Gothic" w:hAnsi="MS UI Gothic" w:eastAsia="MS UI Gothic"/>
        </w:rPr>
        <w:t xml:space="preserve">” </w:t>
      </w:r>
      <w:r>
        <w:rPr>
          <w:rFonts w:hint="eastAsia" w:ascii="MS UI Gothic" w:hAnsi="MS UI Gothic" w:eastAsia="MS UI Gothic"/>
          <w:w w:val="80"/>
        </w:rPr>
        <w:t xml:space="preserve">ꎬ  </w:t>
      </w:r>
      <w:r>
        <w:t>或者实施破坏性采矿犯罪</w:t>
      </w:r>
      <w:r>
        <w:rPr>
          <w:rFonts w:hint="eastAsia" w:ascii="MS UI Gothic" w:hAnsi="MS UI Gothic" w:eastAsia="MS UI Gothic"/>
          <w:w w:val="80"/>
        </w:rPr>
        <w:t xml:space="preserve">ꎬ </w:t>
      </w:r>
      <w:r>
        <w:t>行为人系初犯</w:t>
      </w:r>
      <w:r>
        <w:rPr>
          <w:rFonts w:hint="eastAsia" w:ascii="MS UI Gothic" w:hAnsi="MS UI Gothic" w:eastAsia="MS UI Gothic"/>
          <w:w w:val="80"/>
        </w:rPr>
        <w:t xml:space="preserve">ꎬ </w:t>
      </w:r>
      <w:r>
        <w:t>全部退赃退赔</w:t>
      </w:r>
      <w:r>
        <w:rPr>
          <w:rFonts w:hint="eastAsia" w:ascii="MS UI Gothic" w:hAnsi="MS UI Gothic" w:eastAsia="MS UI Gothic"/>
          <w:w w:val="80"/>
        </w:rPr>
        <w:t xml:space="preserve">ꎬ </w:t>
      </w:r>
      <w:r>
        <w:t>积极修复环境</w:t>
      </w:r>
      <w:r>
        <w:rPr>
          <w:rFonts w:hint="eastAsia" w:ascii="MS UI Gothic" w:hAnsi="MS UI Gothic" w:eastAsia="MS UI Gothic"/>
          <w:w w:val="80"/>
        </w:rPr>
        <w:t xml:space="preserve">ꎬ </w:t>
      </w:r>
      <w:r>
        <w:t>并确有悔改表现的</w:t>
      </w:r>
      <w:r>
        <w:rPr>
          <w:rFonts w:hint="eastAsia" w:ascii="MS UI Gothic" w:hAnsi="MS UI Gothic" w:eastAsia="MS UI Gothic"/>
          <w:w w:val="80"/>
        </w:rPr>
        <w:t xml:space="preserve">ꎬ </w:t>
      </w:r>
      <w:r>
        <w:t>可以认</w:t>
      </w:r>
    </w:p>
    <w:p>
      <w:pPr>
        <w:spacing w:after="0" w:line="295" w:lineRule="auto"/>
        <w:sectPr>
          <w:type w:val="continuous"/>
          <w:pgSz w:w="10500" w:h="14750"/>
          <w:pgMar w:top="1400" w:right="980" w:bottom="280" w:left="980" w:header="720" w:footer="720" w:gutter="0"/>
          <w:cols w:equalWidth="0" w:num="2">
            <w:col w:w="3934" w:space="258"/>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90" w:firstLine="0"/>
        <w:jc w:val="right"/>
        <w:rPr>
          <w:rFonts w:hint="eastAsia" w:ascii="MS UI Gothic" w:eastAsia="MS UI Gothic"/>
        </w:rPr>
      </w:pPr>
      <w:r>
        <w:br w:type="column"/>
      </w:r>
      <w:r>
        <w:rPr>
          <w:rFonts w:hint="eastAsia" w:ascii="MS UI Gothic" w:eastAsia="MS UI Gothic"/>
          <w:spacing w:val="1"/>
          <w:w w:val="75"/>
        </w:rPr>
        <w:t>９</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078" o:spid="_x0000_s1078" o:spt="203" style="height:2.15pt;width:398.25pt;" coordsize="7965,43">
            <o:lock v:ext="edit"/>
            <v:line id="_x0000_s1079" o:spid="_x0000_s1079" o:spt="20" style="position:absolute;left:0;top:39;height:0;width:7965;" stroked="t" coordsize="21600,21600">
              <v:path arrowok="t"/>
              <v:fill focussize="0,0"/>
              <v:stroke weight="0.388031496062992pt" color="#231F20"/>
              <v:imagedata o:title=""/>
              <o:lock v:ext="edit"/>
            </v:line>
            <v:line id="_x0000_s1080" o:spid="_x0000_s108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定为犯罪情节轻微</w:t>
      </w:r>
      <w:r>
        <w:rPr>
          <w:rFonts w:hint="eastAsia" w:ascii="MS UI Gothic" w:eastAsia="MS UI Gothic"/>
          <w:w w:val="80"/>
        </w:rPr>
        <w:t xml:space="preserve">ꎬ </w:t>
      </w:r>
      <w:r>
        <w:t>不起诉或者免予刑事处罚</w:t>
      </w:r>
      <w:r>
        <w:rPr>
          <w:rFonts w:hint="eastAsia" w:ascii="MS UI Gothic" w:eastAsia="MS UI Gothic"/>
          <w:w w:val="80"/>
        </w:rPr>
        <w:t>ꎮ</w:t>
      </w:r>
    </w:p>
    <w:p>
      <w:pPr>
        <w:pStyle w:val="6"/>
        <w:spacing w:line="295" w:lineRule="auto"/>
        <w:ind w:left="440" w:right="1"/>
        <w:rPr>
          <w:rFonts w:hint="eastAsia" w:ascii="MS UI Gothic" w:eastAsia="MS UI Gothic"/>
        </w:rPr>
      </w:pPr>
      <w:r>
        <w:t>第十一条 对受雇佣为非法采矿</w:t>
      </w:r>
      <w:r>
        <w:rPr>
          <w:rFonts w:hint="eastAsia" w:ascii="MS UI Gothic" w:eastAsia="MS UI Gothic"/>
          <w:w w:val="80"/>
        </w:rPr>
        <w:t xml:space="preserve">、 </w:t>
      </w:r>
      <w:r>
        <w:t>破坏性采矿犯罪提供劳务的人员</w:t>
      </w:r>
      <w:r>
        <w:rPr>
          <w:rFonts w:hint="eastAsia" w:ascii="MS UI Gothic" w:eastAsia="MS UI Gothic"/>
          <w:w w:val="80"/>
        </w:rPr>
        <w:t xml:space="preserve">ꎬ </w:t>
      </w:r>
      <w:r>
        <w:t>除参与利润分成或者领取高额固定工资的以外</w:t>
      </w:r>
      <w:r>
        <w:rPr>
          <w:rFonts w:hint="eastAsia" w:ascii="MS UI Gothic" w:eastAsia="MS UI Gothic"/>
          <w:w w:val="80"/>
        </w:rPr>
        <w:t xml:space="preserve">ꎬ </w:t>
      </w:r>
      <w:r>
        <w:t>一般不以犯罪论处</w:t>
      </w:r>
      <w:r>
        <w:rPr>
          <w:rFonts w:hint="eastAsia" w:ascii="MS UI Gothic" w:eastAsia="MS UI Gothic"/>
          <w:w w:val="80"/>
        </w:rPr>
        <w:t xml:space="preserve">ꎬ </w:t>
      </w:r>
      <w:r>
        <w:t>但曾因非法采矿</w:t>
      </w:r>
      <w:r>
        <w:rPr>
          <w:rFonts w:hint="eastAsia" w:ascii="MS UI Gothic" w:eastAsia="MS UI Gothic"/>
          <w:w w:val="80"/>
        </w:rPr>
        <w:t xml:space="preserve">、 </w:t>
      </w:r>
      <w:r>
        <w:t>破坏性采矿受过处罚的除外</w:t>
      </w:r>
      <w:r>
        <w:rPr>
          <w:rFonts w:hint="eastAsia" w:ascii="MS UI Gothic" w:eastAsia="MS UI Gothic"/>
          <w:w w:val="80"/>
        </w:rPr>
        <w:t>ꎮ</w:t>
      </w:r>
    </w:p>
    <w:p>
      <w:pPr>
        <w:pStyle w:val="6"/>
        <w:spacing w:line="295" w:lineRule="auto"/>
        <w:ind w:left="440" w:right="1"/>
        <w:rPr>
          <w:rFonts w:hint="eastAsia" w:ascii="MS UI Gothic" w:eastAsia="MS UI Gothic"/>
        </w:rPr>
      </w:pPr>
      <w:r>
        <w:t>第十二条 对非法采矿</w:t>
      </w:r>
      <w:r>
        <w:rPr>
          <w:rFonts w:hint="eastAsia" w:ascii="MS UI Gothic" w:eastAsia="MS UI Gothic"/>
          <w:w w:val="80"/>
        </w:rPr>
        <w:t xml:space="preserve">、 </w:t>
      </w:r>
      <w:r>
        <w:t>破坏性采矿犯罪的违法所得及其收益</w:t>
      </w:r>
      <w:r>
        <w:rPr>
          <w:rFonts w:hint="eastAsia" w:ascii="MS UI Gothic" w:eastAsia="MS UI Gothic"/>
          <w:w w:val="80"/>
        </w:rPr>
        <w:t xml:space="preserve">ꎬ </w:t>
      </w:r>
      <w:r>
        <w:t>应当依法追缴或者责令退赔</w:t>
      </w:r>
      <w:r>
        <w:rPr>
          <w:rFonts w:hint="eastAsia" w:ascii="MS UI Gothic" w:eastAsia="MS UI Gothic"/>
          <w:w w:val="80"/>
        </w:rPr>
        <w:t>ꎮ</w:t>
      </w:r>
    </w:p>
    <w:p>
      <w:pPr>
        <w:pStyle w:val="6"/>
        <w:spacing w:line="295" w:lineRule="auto"/>
        <w:ind w:left="440" w:right="1"/>
        <w:rPr>
          <w:rFonts w:hint="eastAsia" w:ascii="MS UI Gothic" w:eastAsia="MS UI Gothic"/>
        </w:rPr>
      </w:pPr>
      <w:r>
        <w:t>对用于非法采矿</w:t>
      </w:r>
      <w:r>
        <w:rPr>
          <w:rFonts w:hint="eastAsia" w:ascii="MS UI Gothic" w:eastAsia="MS UI Gothic"/>
          <w:w w:val="80"/>
        </w:rPr>
        <w:t xml:space="preserve">、 </w:t>
      </w:r>
      <w:r>
        <w:t>破坏性采矿犯罪的专门工具和供犯罪所用的本人财物</w:t>
      </w:r>
      <w:r>
        <w:rPr>
          <w:rFonts w:hint="eastAsia" w:ascii="MS UI Gothic" w:eastAsia="MS UI Gothic"/>
          <w:w w:val="80"/>
        </w:rPr>
        <w:t xml:space="preserve">ꎬ </w:t>
      </w:r>
      <w:r>
        <w:t>应当依法没收</w:t>
      </w:r>
      <w:r>
        <w:rPr>
          <w:rFonts w:hint="eastAsia" w:ascii="MS UI Gothic" w:eastAsia="MS UI Gothic"/>
          <w:w w:val="80"/>
        </w:rPr>
        <w:t>ꎮ</w:t>
      </w:r>
    </w:p>
    <w:p>
      <w:pPr>
        <w:pStyle w:val="6"/>
        <w:spacing w:line="295" w:lineRule="auto"/>
        <w:ind w:left="440"/>
        <w:rPr>
          <w:rFonts w:hint="eastAsia" w:ascii="MS UI Gothic" w:eastAsia="MS UI Gothic"/>
        </w:rPr>
      </w:pPr>
      <w:r>
        <w:rPr>
          <w:spacing w:val="10"/>
        </w:rPr>
        <w:t>第十三条 非法开采的矿产品价值</w:t>
      </w:r>
      <w:r>
        <w:rPr>
          <w:rFonts w:hint="eastAsia" w:ascii="MS UI Gothic" w:eastAsia="MS UI Gothic"/>
          <w:w w:val="80"/>
        </w:rPr>
        <w:t>ꎬ</w:t>
      </w:r>
      <w:r>
        <w:rPr>
          <w:spacing w:val="3"/>
        </w:rPr>
        <w:t>根据销赃数额认定</w:t>
      </w:r>
      <w:r>
        <w:rPr>
          <w:rFonts w:hint="eastAsia" w:ascii="MS UI Gothic" w:eastAsia="MS UI Gothic"/>
          <w:spacing w:val="23"/>
          <w:w w:val="80"/>
        </w:rPr>
        <w:t xml:space="preserve">ꎻ </w:t>
      </w:r>
      <w:r>
        <w:rPr>
          <w:spacing w:val="3"/>
        </w:rPr>
        <w:t>无销赃数额</w:t>
      </w:r>
      <w:r>
        <w:rPr>
          <w:rFonts w:hint="eastAsia" w:ascii="MS UI Gothic" w:eastAsia="MS UI Gothic"/>
          <w:spacing w:val="23"/>
          <w:w w:val="80"/>
        </w:rPr>
        <w:t xml:space="preserve">ꎬ </w:t>
      </w:r>
      <w:r>
        <w:rPr>
          <w:spacing w:val="2"/>
        </w:rPr>
        <w:t>销赃数</w:t>
      </w:r>
      <w:r>
        <w:rPr>
          <w:spacing w:val="3"/>
        </w:rPr>
        <w:t>额难以查证</w:t>
      </w:r>
      <w:r>
        <w:rPr>
          <w:rFonts w:hint="eastAsia" w:ascii="MS UI Gothic" w:eastAsia="MS UI Gothic"/>
          <w:spacing w:val="21"/>
          <w:w w:val="80"/>
        </w:rPr>
        <w:t xml:space="preserve">ꎬ </w:t>
      </w:r>
      <w:r>
        <w:rPr>
          <w:spacing w:val="2"/>
        </w:rPr>
        <w:t>或者根据销赃数额认定明显</w:t>
      </w:r>
      <w:r>
        <w:rPr>
          <w:spacing w:val="3"/>
        </w:rPr>
        <w:t>不合理的</w:t>
      </w:r>
      <w:r>
        <w:rPr>
          <w:rFonts w:hint="eastAsia" w:ascii="MS UI Gothic" w:eastAsia="MS UI Gothic"/>
          <w:spacing w:val="23"/>
          <w:w w:val="80"/>
        </w:rPr>
        <w:t xml:space="preserve">ꎬ </w:t>
      </w:r>
      <w:r>
        <w:rPr>
          <w:spacing w:val="3"/>
        </w:rPr>
        <w:t>根据矿产品价格和数量认定</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3"/>
        </w:rPr>
        <w:t>矿产品价值难以确定的</w:t>
      </w:r>
      <w:r>
        <w:rPr>
          <w:rFonts w:hint="eastAsia" w:ascii="MS UI Gothic" w:eastAsia="MS UI Gothic"/>
          <w:spacing w:val="16"/>
          <w:w w:val="80"/>
        </w:rPr>
        <w:t xml:space="preserve">ꎬ </w:t>
      </w:r>
      <w:r>
        <w:rPr>
          <w:spacing w:val="2"/>
        </w:rPr>
        <w:t>依据下列机</w:t>
      </w:r>
      <w:r>
        <w:rPr>
          <w:spacing w:val="3"/>
          <w:w w:val="105"/>
        </w:rPr>
        <w:t>构出具的报告</w:t>
      </w:r>
      <w:r>
        <w:rPr>
          <w:rFonts w:hint="eastAsia" w:ascii="MS UI Gothic" w:eastAsia="MS UI Gothic"/>
          <w:w w:val="80"/>
        </w:rPr>
        <w:t xml:space="preserve">ꎬ </w:t>
      </w:r>
      <w:r>
        <w:rPr>
          <w:spacing w:val="3"/>
          <w:w w:val="105"/>
        </w:rPr>
        <w:t>结合其他证据作出认定</w:t>
      </w:r>
      <w:r>
        <w:rPr>
          <w:rFonts w:hint="eastAsia" w:ascii="MS UI Gothic" w:eastAsia="MS UI Gothic"/>
          <w:w w:val="235"/>
        </w:rPr>
        <w:t>:</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价格认证机构出具的报告</w:t>
      </w:r>
      <w:r>
        <w:rPr>
          <w:rFonts w:hint="eastAsia" w:ascii="MS UI Gothic" w:eastAsia="MS UI Gothic"/>
          <w:w w:val="80"/>
        </w:rPr>
        <w:t>ꎻ</w:t>
      </w:r>
    </w:p>
    <w:p>
      <w:pPr>
        <w:pStyle w:val="6"/>
        <w:spacing w:before="45"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省级以上人民政府国土资源</w:t>
      </w:r>
      <w:r>
        <w:rPr>
          <w:rFonts w:hint="eastAsia" w:ascii="MS UI Gothic" w:eastAsia="MS UI Gothic"/>
          <w:w w:val="80"/>
        </w:rPr>
        <w:t>、</w:t>
      </w:r>
      <w:r>
        <w:rPr>
          <w:w w:val="105"/>
        </w:rPr>
        <w:t>水行政</w:t>
      </w:r>
      <w:r>
        <w:rPr>
          <w:rFonts w:hint="eastAsia" w:ascii="MS UI Gothic" w:eastAsia="MS UI Gothic"/>
          <w:w w:val="80"/>
        </w:rPr>
        <w:t xml:space="preserve">、 </w:t>
      </w:r>
      <w:r>
        <w:rPr>
          <w:w w:val="105"/>
        </w:rPr>
        <w:t>海洋等主管部门出具的报告</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国务院水行政主管部门在国家确定的重要江河</w:t>
      </w:r>
      <w:r>
        <w:rPr>
          <w:rFonts w:hint="eastAsia" w:ascii="MS UI Gothic" w:eastAsia="MS UI Gothic"/>
          <w:w w:val="80"/>
        </w:rPr>
        <w:t xml:space="preserve">、 </w:t>
      </w:r>
      <w:r>
        <w:rPr>
          <w:w w:val="105"/>
        </w:rPr>
        <w:t>湖泊设立的流域管理机构出具的报告</w:t>
      </w:r>
      <w:r>
        <w:rPr>
          <w:rFonts w:hint="eastAsia" w:ascii="MS UI Gothic" w:eastAsia="MS UI Gothic"/>
          <w:w w:val="80"/>
        </w:rPr>
        <w:t>ꎮ</w:t>
      </w:r>
    </w:p>
    <w:p>
      <w:pPr>
        <w:pStyle w:val="6"/>
        <w:spacing w:line="254" w:lineRule="exact"/>
        <w:ind w:left="860" w:firstLine="0"/>
      </w:pPr>
      <w:r>
        <w:rPr>
          <w:w w:val="105"/>
        </w:rPr>
        <w:t>第十四条 对案件所涉的有关专门性</w:t>
      </w:r>
    </w:p>
    <w:p>
      <w:pPr>
        <w:pStyle w:val="6"/>
        <w:spacing w:before="124" w:line="295" w:lineRule="auto"/>
        <w:ind w:left="381" w:right="126" w:firstLine="0"/>
        <w:rPr>
          <w:rFonts w:hint="eastAsia" w:ascii="MS UI Gothic" w:eastAsia="MS UI Gothic"/>
        </w:rPr>
      </w:pPr>
      <w:r>
        <w:br w:type="column"/>
      </w:r>
      <w:r>
        <w:t>问题难以确定的</w:t>
      </w:r>
      <w:r>
        <w:rPr>
          <w:rFonts w:hint="eastAsia" w:ascii="MS UI Gothic" w:eastAsia="MS UI Gothic"/>
          <w:w w:val="80"/>
        </w:rPr>
        <w:t xml:space="preserve">ꎬ </w:t>
      </w:r>
      <w:r>
        <w:t>依据下列机构出具的鉴定意见或者报告</w:t>
      </w:r>
      <w:r>
        <w:rPr>
          <w:rFonts w:hint="eastAsia" w:ascii="MS UI Gothic" w:eastAsia="MS UI Gothic"/>
          <w:w w:val="80"/>
        </w:rPr>
        <w:t xml:space="preserve">ꎬ </w:t>
      </w:r>
      <w:r>
        <w:t>结合其他证据作出</w:t>
      </w:r>
      <w:r>
        <w:rPr>
          <w:w w:val="105"/>
        </w:rPr>
        <w:t>认定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司法鉴定机构就生态环境损害</w:t>
      </w:r>
      <w:r>
        <w:rPr>
          <w:w w:val="110"/>
        </w:rPr>
        <w:t>出具的鉴定意见</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省级以上人民政府国土资源主</w:t>
      </w:r>
      <w:r>
        <w:rPr>
          <w:spacing w:val="3"/>
          <w:w w:val="105"/>
        </w:rPr>
        <w:t>管部门就造成矿产资源破坏的价值</w:t>
      </w:r>
      <w:r>
        <w:rPr>
          <w:rFonts w:hint="eastAsia" w:ascii="MS UI Gothic" w:eastAsia="MS UI Gothic"/>
          <w:spacing w:val="-2"/>
          <w:w w:val="80"/>
        </w:rPr>
        <w:t xml:space="preserve">、 </w:t>
      </w:r>
      <w:r>
        <w:rPr>
          <w:spacing w:val="1"/>
          <w:w w:val="105"/>
        </w:rPr>
        <w:t>是否</w:t>
      </w:r>
      <w:r>
        <w:rPr>
          <w:spacing w:val="3"/>
          <w:w w:val="105"/>
        </w:rPr>
        <w:t>属于破坏性开采方法出具的报告</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省级以上人民政府水行政主管</w:t>
      </w:r>
      <w:r>
        <w:rPr>
          <w:spacing w:val="2"/>
        </w:rPr>
        <w:t>部门或者国务院水行政主管部门在国家确</w:t>
      </w:r>
      <w:r>
        <w:rPr>
          <w:spacing w:val="3"/>
          <w:w w:val="105"/>
        </w:rPr>
        <w:t>定的重要江河</w:t>
      </w:r>
      <w:r>
        <w:rPr>
          <w:rFonts w:hint="eastAsia" w:ascii="MS UI Gothic" w:eastAsia="MS UI Gothic"/>
          <w:spacing w:val="-2"/>
          <w:w w:val="80"/>
        </w:rPr>
        <w:t xml:space="preserve">、 </w:t>
      </w:r>
      <w:r>
        <w:rPr>
          <w:spacing w:val="2"/>
          <w:w w:val="105"/>
        </w:rPr>
        <w:t>湖泊设立的流域管理机构</w:t>
      </w:r>
      <w:r>
        <w:rPr>
          <w:spacing w:val="3"/>
          <w:w w:val="105"/>
        </w:rPr>
        <w:t>就是否危害防洪安全出具的报告</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省级以上人民政府海洋主管部</w:t>
      </w:r>
      <w:r>
        <w:t>门就是否造成海岸线严重破坏出具的</w:t>
      </w:r>
      <w:r>
        <w:rPr>
          <w:w w:val="105"/>
        </w:rPr>
        <w:t>报告</w:t>
      </w:r>
      <w:r>
        <w:rPr>
          <w:rFonts w:hint="eastAsia" w:ascii="MS UI Gothic" w:eastAsia="MS UI Gothic"/>
          <w:w w:val="80"/>
        </w:rPr>
        <w:t>ꎮ</w:t>
      </w:r>
    </w:p>
    <w:p>
      <w:pPr>
        <w:pStyle w:val="6"/>
        <w:spacing w:line="295" w:lineRule="auto"/>
        <w:ind w:left="381" w:right="126"/>
        <w:rPr>
          <w:rFonts w:hint="eastAsia" w:ascii="MS UI Gothic" w:eastAsia="MS UI Gothic"/>
        </w:rPr>
      </w:pPr>
      <w:r>
        <w:t>第十五条 各省</w:t>
      </w:r>
      <w:r>
        <w:rPr>
          <w:rFonts w:hint="eastAsia" w:ascii="MS UI Gothic" w:eastAsia="MS UI Gothic"/>
          <w:w w:val="80"/>
        </w:rPr>
        <w:t xml:space="preserve">、 </w:t>
      </w:r>
      <w:r>
        <w:t>自治区</w:t>
      </w:r>
      <w:r>
        <w:rPr>
          <w:rFonts w:hint="eastAsia" w:ascii="MS UI Gothic" w:eastAsia="MS UI Gothic"/>
          <w:w w:val="80"/>
        </w:rPr>
        <w:t xml:space="preserve">、  </w:t>
      </w:r>
      <w:r>
        <w:t>直辖市高级人民法院</w:t>
      </w:r>
      <w:r>
        <w:rPr>
          <w:rFonts w:hint="eastAsia" w:ascii="MS UI Gothic" w:eastAsia="MS UI Gothic"/>
          <w:w w:val="80"/>
        </w:rPr>
        <w:t xml:space="preserve">、 </w:t>
      </w:r>
      <w:r>
        <w:t>人民检察院</w:t>
      </w:r>
      <w:r>
        <w:rPr>
          <w:rFonts w:hint="eastAsia" w:ascii="MS UI Gothic" w:eastAsia="MS UI Gothic"/>
          <w:w w:val="80"/>
        </w:rPr>
        <w:t xml:space="preserve">ꎬ </w:t>
      </w:r>
      <w:r>
        <w:t>可以根据本地区实际情况</w:t>
      </w:r>
      <w:r>
        <w:rPr>
          <w:rFonts w:hint="eastAsia" w:ascii="MS UI Gothic" w:eastAsia="MS UI Gothic"/>
          <w:w w:val="80"/>
        </w:rPr>
        <w:t xml:space="preserve">ꎬ </w:t>
      </w:r>
      <w:r>
        <w:t>在本解释第三条</w:t>
      </w:r>
      <w:r>
        <w:rPr>
          <w:rFonts w:hint="eastAsia" w:ascii="MS UI Gothic" w:eastAsia="MS UI Gothic"/>
          <w:w w:val="80"/>
        </w:rPr>
        <w:t xml:space="preserve">、 </w:t>
      </w:r>
      <w:r>
        <w:t>第六条规定的数额幅度内</w:t>
      </w:r>
      <w:r>
        <w:rPr>
          <w:rFonts w:hint="eastAsia" w:ascii="MS UI Gothic" w:eastAsia="MS UI Gothic"/>
          <w:w w:val="80"/>
        </w:rPr>
        <w:t xml:space="preserve">ꎬ </w:t>
      </w:r>
      <w:r>
        <w:t>确定本地区执行的具体数额标准</w:t>
      </w:r>
      <w:r>
        <w:rPr>
          <w:rFonts w:hint="eastAsia" w:ascii="MS UI Gothic" w:eastAsia="MS UI Gothic"/>
          <w:w w:val="80"/>
        </w:rPr>
        <w:t xml:space="preserve">ꎬ </w:t>
      </w:r>
      <w:r>
        <w:t>报最高人民法院</w:t>
      </w:r>
      <w:r>
        <w:rPr>
          <w:rFonts w:hint="eastAsia" w:ascii="MS UI Gothic" w:eastAsia="MS UI Gothic"/>
          <w:w w:val="80"/>
        </w:rPr>
        <w:t xml:space="preserve">、 </w:t>
      </w:r>
      <w:r>
        <w:t>最高人民检察院备案</w:t>
      </w:r>
      <w:r>
        <w:rPr>
          <w:rFonts w:hint="eastAsia" w:ascii="MS UI Gothic" w:eastAsia="MS UI Gothic"/>
          <w:w w:val="80"/>
        </w:rPr>
        <w:t>ꎮ</w:t>
      </w:r>
    </w:p>
    <w:p>
      <w:pPr>
        <w:pStyle w:val="6"/>
        <w:spacing w:line="295" w:lineRule="auto"/>
        <w:ind w:left="381" w:right="126"/>
      </w:pPr>
      <w:r>
        <w:rPr>
          <w:w w:val="95"/>
        </w:rPr>
        <w:t xml:space="preserve">第十六条 本解释自 </w:t>
      </w:r>
      <w:r>
        <w:rPr>
          <w:rFonts w:hint="eastAsia" w:ascii="MS UI Gothic" w:hAnsi="MS UI Gothic" w:eastAsia="MS UI Gothic"/>
          <w:w w:val="95"/>
        </w:rPr>
        <w:t xml:space="preserve">２０１６ </w:t>
      </w:r>
      <w:r>
        <w:rPr>
          <w:w w:val="95"/>
        </w:rPr>
        <w:t xml:space="preserve">年 </w:t>
      </w:r>
      <w:r>
        <w:rPr>
          <w:rFonts w:hint="eastAsia" w:ascii="MS UI Gothic" w:hAnsi="MS UI Gothic" w:eastAsia="MS UI Gothic"/>
          <w:w w:val="95"/>
        </w:rPr>
        <w:t xml:space="preserve">１２ </w:t>
      </w:r>
      <w:r>
        <w:rPr>
          <w:w w:val="95"/>
        </w:rPr>
        <w:t xml:space="preserve">月 </w:t>
      </w:r>
      <w:r>
        <w:rPr>
          <w:rFonts w:hint="eastAsia" w:ascii="MS UI Gothic" w:hAnsi="MS UI Gothic" w:eastAsia="MS UI Gothic"/>
          <w:w w:val="95"/>
        </w:rPr>
        <w:t xml:space="preserve">１ </w:t>
      </w:r>
      <w:r>
        <w:rPr>
          <w:w w:val="95"/>
        </w:rPr>
        <w:t>日起施行</w:t>
      </w:r>
      <w:r>
        <w:rPr>
          <w:rFonts w:hint="eastAsia" w:ascii="MS UI Gothic" w:hAnsi="MS UI Gothic" w:eastAsia="MS UI Gothic"/>
          <w:w w:val="85"/>
        </w:rPr>
        <w:t xml:space="preserve">ꎮ </w:t>
      </w:r>
      <w:r>
        <w:rPr>
          <w:w w:val="95"/>
        </w:rPr>
        <w:t>本解释施行后</w:t>
      </w:r>
      <w:r>
        <w:rPr>
          <w:rFonts w:hint="eastAsia" w:ascii="MS UI Gothic" w:hAnsi="MS UI Gothic" w:eastAsia="MS UI Gothic"/>
          <w:w w:val="85"/>
        </w:rPr>
        <w:t xml:space="preserve">ꎬ </w:t>
      </w:r>
      <w:r>
        <w:rPr>
          <w:rFonts w:hint="eastAsia" w:ascii="MS UI Gothic" w:hAnsi="MS UI Gothic" w:eastAsia="MS UI Gothic"/>
          <w:w w:val="95"/>
        </w:rPr>
        <w:t xml:space="preserve">« </w:t>
      </w:r>
      <w:r>
        <w:rPr>
          <w:w w:val="95"/>
        </w:rPr>
        <w:t>最高人民法院关于审理非法采矿</w:t>
      </w:r>
      <w:r>
        <w:rPr>
          <w:rFonts w:hint="eastAsia" w:ascii="MS UI Gothic" w:hAnsi="MS UI Gothic" w:eastAsia="MS UI Gothic"/>
          <w:w w:val="95"/>
        </w:rPr>
        <w:t xml:space="preserve">、   </w:t>
      </w:r>
      <w:r>
        <w:rPr>
          <w:w w:val="95"/>
        </w:rPr>
        <w:t>破坏性采矿刑事案件具体应用法律若干问题的解释</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法释</w:t>
      </w:r>
    </w:p>
    <w:p>
      <w:pPr>
        <w:pStyle w:val="6"/>
        <w:spacing w:line="253" w:lineRule="exact"/>
        <w:ind w:left="381" w:firstLine="0"/>
        <w:rPr>
          <w:rFonts w:hint="eastAsia" w:ascii="MS UI Gothic" w:eastAsia="MS UI Gothic"/>
        </w:rPr>
      </w:pPr>
      <w:r>
        <w:rPr>
          <w:rFonts w:hint="eastAsia" w:ascii="MS UI Gothic" w:eastAsia="MS UI Gothic"/>
          <w:w w:val="95"/>
        </w:rPr>
        <w:t xml:space="preserve">〔２００３〕 ９ </w:t>
      </w:r>
      <w:r>
        <w:rPr>
          <w:w w:val="95"/>
        </w:rPr>
        <w:t>号</w:t>
      </w:r>
      <w:r>
        <w:rPr>
          <w:rFonts w:hint="eastAsia" w:ascii="MS UI Gothic" w:eastAsia="MS UI Gothic"/>
          <w:w w:val="140"/>
        </w:rPr>
        <w:t xml:space="preserve">) </w:t>
      </w:r>
      <w:r>
        <w:rPr>
          <w:w w:val="95"/>
        </w:rPr>
        <w:t>同时废止</w:t>
      </w:r>
      <w:r>
        <w:rPr>
          <w:rFonts w:hint="eastAsia" w:ascii="MS UI Gothic" w:eastAsia="MS UI Gothic"/>
          <w:w w:val="85"/>
        </w:rPr>
        <w:t>ꎮ</w:t>
      </w:r>
    </w:p>
    <w:p>
      <w:pPr>
        <w:spacing w:after="0" w:line="253" w:lineRule="exac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8"/>
        <w:ind w:left="0" w:firstLine="0"/>
        <w:jc w:val="left"/>
        <w:rPr>
          <w:rFonts w:ascii="MS UI Gothic"/>
        </w:rPr>
      </w:pPr>
    </w:p>
    <w:p>
      <w:pPr>
        <w:pStyle w:val="4"/>
        <w:tabs>
          <w:tab w:val="left" w:pos="4423"/>
        </w:tabs>
        <w:spacing w:before="78" w:line="266" w:lineRule="auto"/>
        <w:ind w:left="2187" w:right="1875" w:firstLine="279"/>
        <w:jc w:val="left"/>
      </w:pPr>
      <w:r>
        <w:rPr>
          <w:spacing w:val="5"/>
        </w:rPr>
        <w:t>最高人民法</w:t>
      </w:r>
      <w:r>
        <w:t>院</w:t>
      </w:r>
      <w:r>
        <w:tab/>
      </w:r>
      <w:r>
        <w:rPr>
          <w:spacing w:val="5"/>
        </w:rPr>
        <w:t>最高人民检察</w:t>
      </w:r>
      <w:r>
        <w:t xml:space="preserve">院 </w:t>
      </w:r>
      <w:r>
        <w:rPr>
          <w:spacing w:val="5"/>
        </w:rPr>
        <w:t>关于办理渎职刑事案件适用法律若</w:t>
      </w:r>
      <w:r>
        <w:t>干</w:t>
      </w:r>
    </w:p>
    <w:p>
      <w:pPr>
        <w:spacing w:before="1"/>
        <w:ind w:left="286" w:right="0" w:firstLine="0"/>
        <w:jc w:val="center"/>
        <w:rPr>
          <w:rFonts w:hint="eastAsia" w:ascii="Microsoft Yi Baiti" w:eastAsia="Microsoft Yi Baiti"/>
          <w:sz w:val="27"/>
        </w:rPr>
      </w:pPr>
      <w:r>
        <w:rPr>
          <w:sz w:val="27"/>
        </w:rPr>
        <w:t xml:space="preserve">问题的解释 ( 一) </w:t>
      </w:r>
      <w:r>
        <w:rPr>
          <w:rFonts w:hint="eastAsia" w:ascii="Microsoft Yi Baiti" w:eastAsia="Microsoft Yi Baiti"/>
          <w:sz w:val="27"/>
        </w:rPr>
        <w:t>(</w:t>
      </w:r>
      <w:r>
        <w:rPr>
          <w:rFonts w:hint="eastAsia" w:ascii="MS UI Gothic" w:eastAsia="MS UI Gothic"/>
          <w:sz w:val="27"/>
        </w:rPr>
        <w:t xml:space="preserve">２０１２ </w:t>
      </w:r>
      <w:r>
        <w:rPr>
          <w:sz w:val="27"/>
        </w:rPr>
        <w:t>年公布</w:t>
      </w:r>
      <w:r>
        <w:rPr>
          <w:rFonts w:hint="eastAsia" w:ascii="Microsoft Yi Baiti" w:eastAsia="Microsoft Yi Baiti"/>
          <w:sz w:val="27"/>
        </w:rPr>
        <w:t>)</w:t>
      </w:r>
    </w:p>
    <w:p>
      <w:pPr>
        <w:pStyle w:val="6"/>
        <w:spacing w:before="366"/>
        <w:ind w:left="860" w:firstLine="0"/>
        <w:jc w:val="left"/>
      </w:pPr>
      <w:r>
        <w:rPr>
          <w:rFonts w:hint="eastAsia" w:ascii="Microsoft Yi Baiti" w:eastAsia="Microsoft Yi Baiti"/>
          <w:spacing w:val="2"/>
        </w:rPr>
        <w:t>(</w:t>
      </w:r>
      <w:r>
        <w:rPr>
          <w:rFonts w:hint="eastAsia" w:ascii="MS UI Gothic" w:eastAsia="MS UI Gothic"/>
          <w:spacing w:val="-5"/>
        </w:rPr>
        <w:t xml:space="preserve">２０１２ </w:t>
      </w:r>
      <w:r>
        <w:rPr>
          <w:spacing w:val="-38"/>
        </w:rPr>
        <w:t xml:space="preserve">年 </w:t>
      </w:r>
      <w:r>
        <w:rPr>
          <w:rFonts w:hint="eastAsia" w:ascii="MS UI Gothic" w:eastAsia="MS UI Gothic"/>
          <w:spacing w:val="-17"/>
        </w:rPr>
        <w:t xml:space="preserve">７ </w:t>
      </w:r>
      <w:r>
        <w:rPr>
          <w:spacing w:val="-38"/>
        </w:rPr>
        <w:t xml:space="preserve">月 </w:t>
      </w:r>
      <w:r>
        <w:rPr>
          <w:rFonts w:hint="eastAsia" w:ascii="MS UI Gothic" w:eastAsia="MS UI Gothic"/>
          <w:spacing w:val="-16"/>
        </w:rPr>
        <w:t xml:space="preserve">９ </w:t>
      </w:r>
      <w:r>
        <w:rPr>
          <w:spacing w:val="-4"/>
        </w:rPr>
        <w:t xml:space="preserve">日最高人民法院审判委员会第 </w:t>
      </w:r>
      <w:r>
        <w:rPr>
          <w:rFonts w:hint="eastAsia" w:ascii="MS UI Gothic" w:eastAsia="MS UI Gothic"/>
          <w:spacing w:val="-7"/>
        </w:rPr>
        <w:t xml:space="preserve">１５５２ </w:t>
      </w:r>
      <w:r>
        <w:rPr>
          <w:spacing w:val="3"/>
        </w:rPr>
        <w:t>次会议</w:t>
      </w:r>
      <w:r>
        <w:rPr>
          <w:rFonts w:hint="eastAsia" w:ascii="Microsoft Yi Baiti" w:eastAsia="Microsoft Yi Baiti"/>
          <w:spacing w:val="-20"/>
        </w:rPr>
        <w:t xml:space="preserve">、 </w:t>
      </w:r>
      <w:r>
        <w:rPr>
          <w:rFonts w:hint="eastAsia" w:ascii="MS UI Gothic" w:eastAsia="MS UI Gothic"/>
          <w:spacing w:val="-7"/>
        </w:rPr>
        <w:t xml:space="preserve">２０１２ </w:t>
      </w:r>
      <w:r>
        <w:rPr>
          <w:spacing w:val="-38"/>
        </w:rPr>
        <w:t xml:space="preserve">年 </w:t>
      </w:r>
      <w:r>
        <w:rPr>
          <w:rFonts w:hint="eastAsia" w:ascii="MS UI Gothic" w:eastAsia="MS UI Gothic"/>
          <w:spacing w:val="-17"/>
        </w:rPr>
        <w:t xml:space="preserve">９ </w:t>
      </w:r>
      <w:r>
        <w:rPr>
          <w:spacing w:val="-37"/>
        </w:rPr>
        <w:t xml:space="preserve">月 </w:t>
      </w:r>
      <w:r>
        <w:rPr>
          <w:rFonts w:hint="eastAsia" w:ascii="MS UI Gothic" w:eastAsia="MS UI Gothic"/>
          <w:spacing w:val="-11"/>
        </w:rPr>
        <w:t xml:space="preserve">１２ </w:t>
      </w:r>
      <w:r>
        <w:rPr>
          <w:spacing w:val="4"/>
        </w:rPr>
        <w:t>日最高</w:t>
      </w:r>
    </w:p>
    <w:p>
      <w:pPr>
        <w:pStyle w:val="6"/>
        <w:spacing w:before="58"/>
        <w:ind w:left="440" w:firstLine="0"/>
        <w:jc w:val="left"/>
        <w:rPr>
          <w:rFonts w:hint="eastAsia" w:ascii="Microsoft Yi Baiti" w:eastAsia="Microsoft Yi Baiti"/>
        </w:rPr>
      </w:pPr>
      <w:r>
        <w:t xml:space="preserve">人民检察院第十一届检察委员会第 </w:t>
      </w:r>
      <w:r>
        <w:rPr>
          <w:rFonts w:hint="eastAsia" w:ascii="MS UI Gothic" w:eastAsia="MS UI Gothic"/>
        </w:rPr>
        <w:t xml:space="preserve">７９ </w:t>
      </w:r>
      <w:r>
        <w:t>次会议通过</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174" w:line="295" w:lineRule="auto"/>
        <w:ind w:left="440"/>
        <w:rPr>
          <w:rFonts w:hint="eastAsia" w:ascii="MS UI Gothic" w:eastAsia="MS UI Gothic"/>
        </w:rPr>
      </w:pPr>
      <w:r>
        <w:t>为依法惩治渎职犯罪</w:t>
      </w:r>
      <w:r>
        <w:rPr>
          <w:rFonts w:hint="eastAsia" w:ascii="MS UI Gothic" w:eastAsia="MS UI Gothic"/>
          <w:w w:val="80"/>
        </w:rPr>
        <w:t xml:space="preserve">ꎬ </w:t>
      </w:r>
      <w:r>
        <w:t>根据刑法有关规定</w:t>
      </w:r>
      <w:r>
        <w:rPr>
          <w:rFonts w:hint="eastAsia" w:ascii="MS UI Gothic" w:eastAsia="MS UI Gothic"/>
          <w:w w:val="80"/>
        </w:rPr>
        <w:t xml:space="preserve">ꎬ </w:t>
      </w:r>
      <w:r>
        <w:t>现就办理渎职刑事案件适用法律的</w:t>
      </w:r>
      <w:r>
        <w:rPr>
          <w:w w:val="105"/>
        </w:rPr>
        <w:t>若干问题解释如下</w:t>
      </w:r>
      <w:r>
        <w:rPr>
          <w:rFonts w:hint="eastAsia" w:ascii="MS UI Gothic" w:eastAsia="MS UI Gothic"/>
          <w:w w:val="235"/>
        </w:rPr>
        <w:t>:</w:t>
      </w:r>
    </w:p>
    <w:p>
      <w:pPr>
        <w:pStyle w:val="6"/>
        <w:tabs>
          <w:tab w:val="left" w:pos="1698"/>
        </w:tabs>
        <w:spacing w:line="254" w:lineRule="exact"/>
        <w:ind w:left="860" w:firstLine="0"/>
        <w:jc w:val="left"/>
      </w:pPr>
      <w:r>
        <w:rPr>
          <w:spacing w:val="3"/>
          <w:w w:val="105"/>
        </w:rPr>
        <w:t>第一</w:t>
      </w:r>
      <w:r>
        <w:rPr>
          <w:w w:val="105"/>
        </w:rPr>
        <w:t>条</w:t>
      </w:r>
      <w:r>
        <w:rPr>
          <w:w w:val="105"/>
        </w:rPr>
        <w:tab/>
      </w:r>
      <w:r>
        <w:rPr>
          <w:spacing w:val="3"/>
        </w:rPr>
        <w:t>国家机关工作人员滥用职</w:t>
      </w:r>
      <w:r>
        <w:t>权</w:t>
      </w:r>
    </w:p>
    <w:p>
      <w:pPr>
        <w:pStyle w:val="6"/>
        <w:spacing w:before="174" w:line="295" w:lineRule="auto"/>
        <w:ind w:left="383" w:right="126" w:firstLine="0"/>
        <w:rPr>
          <w:rFonts w:hint="eastAsia" w:ascii="MS UI Gothic" w:hAnsi="MS UI Gothic" w:eastAsia="MS UI Gothic"/>
        </w:rPr>
      </w:pPr>
      <w:r>
        <w:br w:type="column"/>
      </w:r>
      <w:r>
        <w:rPr>
          <w:spacing w:val="3"/>
        </w:rPr>
        <w:t>或者玩忽职守</w:t>
      </w:r>
      <w:r>
        <w:rPr>
          <w:rFonts w:hint="eastAsia" w:ascii="MS UI Gothic" w:hAnsi="MS UI Gothic" w:eastAsia="MS UI Gothic"/>
          <w:spacing w:val="23"/>
          <w:w w:val="80"/>
        </w:rPr>
        <w:t xml:space="preserve">ꎬ </w:t>
      </w:r>
      <w:r>
        <w:rPr>
          <w:spacing w:val="3"/>
        </w:rPr>
        <w:t>具有下列情形之一的</w:t>
      </w:r>
      <w:r>
        <w:rPr>
          <w:rFonts w:hint="eastAsia" w:ascii="MS UI Gothic" w:hAnsi="MS UI Gothic" w:eastAsia="MS UI Gothic"/>
          <w:spacing w:val="23"/>
          <w:w w:val="80"/>
        </w:rPr>
        <w:t xml:space="preserve">ꎬ </w:t>
      </w:r>
      <w:r>
        <w:t>应</w:t>
      </w:r>
      <w:r>
        <w:rPr>
          <w:spacing w:val="24"/>
        </w:rPr>
        <w:t xml:space="preserve">当认定为刑法第三百九十七条规定的 </w:t>
      </w:r>
      <w:r>
        <w:rPr>
          <w:rFonts w:hint="eastAsia" w:ascii="MS UI Gothic" w:hAnsi="MS UI Gothic" w:eastAsia="MS UI Gothic"/>
          <w:spacing w:val="-5"/>
        </w:rPr>
        <w:t xml:space="preserve">“ </w:t>
      </w:r>
      <w:r>
        <w:rPr>
          <w:spacing w:val="3"/>
        </w:rPr>
        <w:t>致使公共财产</w:t>
      </w:r>
      <w:r>
        <w:rPr>
          <w:rFonts w:hint="eastAsia" w:ascii="MS UI Gothic" w:hAnsi="MS UI Gothic" w:eastAsia="MS UI Gothic"/>
          <w:spacing w:val="18"/>
        </w:rPr>
        <w:t xml:space="preserve">、 </w:t>
      </w:r>
      <w:r>
        <w:rPr>
          <w:spacing w:val="9"/>
        </w:rPr>
        <w:t>国家和人民利益遭受重</w:t>
      </w:r>
      <w:r>
        <w:rPr>
          <w:spacing w:val="3"/>
          <w:w w:val="102"/>
        </w:rPr>
        <w:t>大损失</w:t>
      </w:r>
      <w:r>
        <w:rPr>
          <w:rFonts w:hint="eastAsia" w:ascii="MS UI Gothic" w:hAnsi="MS UI Gothic" w:eastAsia="MS UI Gothic"/>
          <w:spacing w:val="21"/>
          <w:w w:val="102"/>
        </w:rPr>
        <w:t>”</w:t>
      </w:r>
      <w:r>
        <w:rPr>
          <w:rFonts w:hint="eastAsia" w:ascii="MS UI Gothic" w:hAnsi="MS UI Gothic" w:eastAsia="MS UI Gothic"/>
          <w:w w:val="253"/>
        </w:rPr>
        <w:t>:</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１０</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81" o:spid="_x0000_s1081" o:spt="203" style="height:2.15pt;width:398.25pt;" coordsize="7965,43">
            <o:lock v:ext="edit"/>
            <v:line id="_x0000_s1082" o:spid="_x0000_s1082" o:spt="20" style="position:absolute;left:0;top:39;height:0;width:7965;" stroked="t" coordsize="21600,21600">
              <v:path arrowok="t"/>
              <v:fill focussize="0,0"/>
              <v:stroke weight="0.388031496062992pt" color="#231F20"/>
              <v:imagedata o:title=""/>
              <o:lock v:ext="edit"/>
            </v:line>
            <v:line id="_x0000_s1083" o:spid="_x0000_s108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tabs>
          <w:tab w:val="left" w:pos="543"/>
        </w:tabs>
        <w:spacing w:before="25" w:line="24" w:lineRule="auto"/>
        <w:ind w:left="118" w:firstLine="0"/>
        <w:jc w:val="left"/>
      </w:pPr>
      <w:r>
        <w:rPr>
          <w:rFonts w:hint="eastAsia" w:ascii="MS UI Gothic" w:eastAsia="MS UI Gothic"/>
          <w:w w:val="80"/>
          <w:position w:val="-30"/>
        </w:rPr>
        <w:t>３</w:t>
      </w:r>
      <w:r>
        <w:rPr>
          <w:rFonts w:hint="eastAsia" w:ascii="MS UI Gothic" w:eastAsia="MS UI Gothic"/>
          <w:w w:val="80"/>
          <w:position w:val="-30"/>
        </w:rPr>
        <w:tab/>
      </w: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10"/>
          <w:w w:val="105"/>
        </w:rPr>
        <w:t xml:space="preserve">造成死亡 </w:t>
      </w:r>
      <w:r>
        <w:rPr>
          <w:rFonts w:hint="eastAsia" w:ascii="MS UI Gothic" w:eastAsia="MS UI Gothic"/>
          <w:spacing w:val="2"/>
          <w:w w:val="80"/>
        </w:rPr>
        <w:t xml:space="preserve">１ </w:t>
      </w:r>
      <w:r>
        <w:rPr>
          <w:spacing w:val="8"/>
          <w:w w:val="105"/>
        </w:rPr>
        <w:t>人以上</w:t>
      </w:r>
      <w:r>
        <w:rPr>
          <w:rFonts w:hint="eastAsia" w:ascii="MS UI Gothic" w:eastAsia="MS UI Gothic"/>
          <w:spacing w:val="20"/>
          <w:w w:val="80"/>
        </w:rPr>
        <w:t xml:space="preserve">ꎬ </w:t>
      </w:r>
      <w:r>
        <w:rPr>
          <w:spacing w:val="8"/>
          <w:w w:val="105"/>
        </w:rPr>
        <w:t>或者重伤</w:t>
      </w:r>
    </w:p>
    <w:p>
      <w:pPr>
        <w:pStyle w:val="6"/>
        <w:spacing w:before="123" w:line="240" w:lineRule="exact"/>
        <w:ind w:left="118" w:firstLine="0"/>
        <w:jc w:val="left"/>
      </w:pPr>
      <w:r>
        <w:br w:type="column"/>
      </w:r>
      <w:r>
        <w:t>国家机关工作人员与他人共谋</w:t>
      </w:r>
      <w:r>
        <w:rPr>
          <w:rFonts w:hint="eastAsia" w:ascii="MS UI Gothic" w:eastAsia="MS UI Gothic"/>
          <w:w w:val="80"/>
        </w:rPr>
        <w:t xml:space="preserve">ꎬ </w:t>
      </w:r>
      <w:r>
        <w:t>利用</w:t>
      </w:r>
    </w:p>
    <w:p>
      <w:pPr>
        <w:spacing w:after="0" w:line="240" w:lineRule="exact"/>
        <w:jc w:val="left"/>
        <w:sectPr>
          <w:type w:val="continuous"/>
          <w:pgSz w:w="10500" w:h="14750"/>
          <w:pgMar w:top="1400" w:right="980" w:bottom="280" w:left="980" w:header="720" w:footer="720" w:gutter="0"/>
          <w:cols w:equalWidth="0" w:num="2">
            <w:col w:w="3934" w:space="683"/>
            <w:col w:w="3923"/>
          </w:cols>
        </w:sectPr>
      </w:pPr>
    </w:p>
    <w:p>
      <w:pPr>
        <w:pStyle w:val="6"/>
        <w:spacing w:before="74" w:line="295" w:lineRule="auto"/>
        <w:ind w:left="280" w:right="38" w:firstLine="0"/>
      </w:pPr>
      <w:r>
        <w:pict>
          <v:shape id="_x0000_s1084" o:spid="_x0000_s1084" o:spt="202" type="#_x0000_t202" style="position:absolute;left:0pt;margin-left:54.9pt;margin-top:15.7pt;height:24.35pt;width:5.15pt;mso-position-horizontal-relative:page;z-index:-276083712;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２</w:t>
                  </w:r>
                </w:p>
              </w:txbxContent>
            </v:textbox>
          </v:shape>
        </w:pict>
      </w:r>
      <w:r>
        <w:t>人以上</w:t>
      </w:r>
      <w:r>
        <w:rPr>
          <w:rFonts w:hint="eastAsia" w:ascii="MS UI Gothic" w:eastAsia="MS UI Gothic"/>
          <w:w w:val="80"/>
        </w:rPr>
        <w:t xml:space="preserve">ꎬ </w:t>
      </w:r>
      <w:r>
        <w:t xml:space="preserve">或者轻伤 </w:t>
      </w:r>
      <w:r>
        <w:rPr>
          <w:rFonts w:hint="eastAsia" w:ascii="MS UI Gothic" w:eastAsia="MS UI Gothic"/>
        </w:rPr>
        <w:t xml:space="preserve">９ </w:t>
      </w:r>
      <w:r>
        <w:t>人以上</w:t>
      </w:r>
      <w:r>
        <w:rPr>
          <w:rFonts w:hint="eastAsia" w:ascii="MS UI Gothic" w:eastAsia="MS UI Gothic"/>
          <w:w w:val="80"/>
        </w:rPr>
        <w:t xml:space="preserve">ꎬ </w:t>
      </w:r>
      <w:r>
        <w:t>或者重伤人</w:t>
      </w:r>
      <w:r>
        <w:rPr>
          <w:rFonts w:hint="eastAsia" w:ascii="MS UI Gothic" w:eastAsia="MS UI Gothic"/>
        </w:rPr>
        <w:t xml:space="preserve">、 </w:t>
      </w:r>
      <w:r>
        <w:t xml:space="preserve">轻伤 </w:t>
      </w:r>
      <w:r>
        <w:rPr>
          <w:rFonts w:hint="eastAsia" w:ascii="MS UI Gothic" w:eastAsia="MS UI Gothic"/>
        </w:rPr>
        <w:t xml:space="preserve">３ </w:t>
      </w:r>
      <w:r>
        <w:t>人以上</w:t>
      </w:r>
      <w:r>
        <w:rPr>
          <w:rFonts w:hint="eastAsia" w:ascii="MS UI Gothic" w:eastAsia="MS UI Gothic"/>
          <w:w w:val="80"/>
        </w:rPr>
        <w:t xml:space="preserve">ꎬ </w:t>
      </w:r>
      <w:r>
        <w:t xml:space="preserve">或者重伤 </w:t>
      </w:r>
      <w:r>
        <w:rPr>
          <w:rFonts w:hint="eastAsia" w:ascii="MS UI Gothic" w:eastAsia="MS UI Gothic"/>
        </w:rPr>
        <w:t xml:space="preserve">１ </w:t>
      </w:r>
      <w:r>
        <w:t>人</w:t>
      </w:r>
      <w:r>
        <w:rPr>
          <w:rFonts w:hint="eastAsia" w:ascii="MS UI Gothic" w:eastAsia="MS UI Gothic"/>
        </w:rPr>
        <w:t xml:space="preserve">、 </w:t>
      </w:r>
      <w:r>
        <w:t>轻</w:t>
      </w:r>
    </w:p>
    <w:p>
      <w:pPr>
        <w:pStyle w:val="6"/>
        <w:spacing w:line="255" w:lineRule="exact"/>
        <w:ind w:firstLine="0"/>
        <w:rPr>
          <w:rFonts w:hint="eastAsia" w:ascii="MS UI Gothic" w:eastAsia="MS UI Gothic"/>
        </w:rPr>
      </w:pPr>
      <w:r>
        <w:t xml:space="preserve">伤 </w:t>
      </w:r>
      <w:r>
        <w:rPr>
          <w:rFonts w:hint="eastAsia" w:ascii="MS UI Gothic" w:eastAsia="MS UI Gothic"/>
        </w:rPr>
        <w:t xml:space="preserve">６ </w:t>
      </w:r>
      <w:r>
        <w:t>人以上的</w:t>
      </w:r>
      <w:r>
        <w:rPr>
          <w:rFonts w:hint="eastAsia" w:ascii="MS UI Gothic" w:eastAsia="MS UI Gothic"/>
          <w:w w:val="80"/>
        </w:rPr>
        <w:t>ꎻ</w:t>
      </w:r>
    </w:p>
    <w:p>
      <w:pPr>
        <w:pStyle w:val="6"/>
        <w:spacing w:before="58" w:line="295" w:lineRule="auto"/>
        <w:ind w:left="543" w:right="105" w:firstLine="0"/>
        <w:rPr>
          <w:rFonts w:hint="eastAsia" w:ascii="MS UI Gothic" w:eastAsia="MS UI Gothic"/>
        </w:rPr>
      </w:pPr>
      <w:r>
        <w:rPr>
          <w:rFonts w:hint="eastAsia" w:ascii="MS UI Gothic" w:eastAsia="MS UI Gothic"/>
          <w:spacing w:val="-25"/>
          <w:w w:val="105"/>
        </w:rPr>
        <w:t xml:space="preserve">( </w:t>
      </w:r>
      <w:r>
        <w:rPr>
          <w:spacing w:val="3"/>
          <w:w w:val="105"/>
        </w:rPr>
        <w:t>二</w:t>
      </w:r>
      <w:r>
        <w:rPr>
          <w:rFonts w:hint="eastAsia" w:ascii="MS UI Gothic" w:eastAsia="MS UI Gothic"/>
          <w:spacing w:val="15"/>
          <w:w w:val="105"/>
        </w:rPr>
        <w:t xml:space="preserve">) </w:t>
      </w:r>
      <w:r>
        <w:rPr>
          <w:spacing w:val="-8"/>
          <w:w w:val="105"/>
        </w:rPr>
        <w:t xml:space="preserve">造成经济损失 </w:t>
      </w:r>
      <w:r>
        <w:rPr>
          <w:rFonts w:hint="eastAsia" w:ascii="MS UI Gothic" w:eastAsia="MS UI Gothic"/>
          <w:spacing w:val="-3"/>
          <w:w w:val="85"/>
        </w:rPr>
        <w:t xml:space="preserve">３０ </w:t>
      </w:r>
      <w:r>
        <w:rPr>
          <w:spacing w:val="3"/>
          <w:w w:val="105"/>
        </w:rPr>
        <w:t>万元以上的</w:t>
      </w:r>
      <w:r>
        <w:rPr>
          <w:rFonts w:hint="eastAsia" w:ascii="MS UI Gothic" w:eastAsia="MS UI Gothic"/>
          <w:w w:val="85"/>
        </w:rPr>
        <w:t>ꎻ</w:t>
      </w:r>
      <w:r>
        <w:rPr>
          <w:rFonts w:hint="eastAsia" w:ascii="MS UI Gothic" w:eastAsia="MS UI Gothic"/>
          <w:spacing w:val="-36"/>
          <w:w w:val="145"/>
        </w:rPr>
        <w:t xml:space="preserve">( </w:t>
      </w:r>
      <w:r>
        <w:rPr>
          <w:spacing w:val="3"/>
          <w:w w:val="110"/>
        </w:rPr>
        <w:t>三</w:t>
      </w:r>
      <w:r>
        <w:rPr>
          <w:rFonts w:hint="eastAsia" w:ascii="MS UI Gothic" w:eastAsia="MS UI Gothic"/>
          <w:spacing w:val="6"/>
          <w:w w:val="145"/>
        </w:rPr>
        <w:t xml:space="preserve">) </w:t>
      </w:r>
      <w:r>
        <w:rPr>
          <w:spacing w:val="3"/>
          <w:w w:val="110"/>
        </w:rPr>
        <w:t>造成恶劣社会影响的</w:t>
      </w:r>
      <w:r>
        <w:rPr>
          <w:rFonts w:hint="eastAsia" w:ascii="MS UI Gothic" w:eastAsia="MS UI Gothic"/>
          <w:w w:val="85"/>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其他致使公共财产</w:t>
      </w:r>
      <w:r>
        <w:rPr>
          <w:rFonts w:hint="eastAsia" w:ascii="MS UI Gothic" w:eastAsia="MS UI Gothic"/>
          <w:w w:val="80"/>
        </w:rPr>
        <w:t xml:space="preserve">、  </w:t>
      </w:r>
      <w:r>
        <w:rPr>
          <w:w w:val="105"/>
        </w:rPr>
        <w:t>国家和人民利益遭受重大损失的情形</w:t>
      </w:r>
      <w:r>
        <w:rPr>
          <w:rFonts w:hint="eastAsia" w:ascii="MS UI Gothic" w:eastAsia="MS UI Gothic"/>
          <w:w w:val="80"/>
        </w:rPr>
        <w:t>ꎮ</w:t>
      </w:r>
    </w:p>
    <w:p>
      <w:pPr>
        <w:pStyle w:val="6"/>
        <w:spacing w:line="295" w:lineRule="auto"/>
        <w:ind w:right="38"/>
        <w:rPr>
          <w:rFonts w:hint="eastAsia" w:ascii="MS UI Gothic" w:hAnsi="MS UI Gothic" w:eastAsia="MS UI Gothic"/>
        </w:rPr>
      </w:pPr>
      <w:r>
        <w:t>具有下列情形之一的</w:t>
      </w:r>
      <w:r>
        <w:rPr>
          <w:rFonts w:hint="eastAsia" w:ascii="MS UI Gothic" w:hAnsi="MS UI Gothic" w:eastAsia="MS UI Gothic"/>
          <w:w w:val="80"/>
        </w:rPr>
        <w:t xml:space="preserve">ꎬ </w:t>
      </w:r>
      <w:r>
        <w:t>应当认定为刑</w:t>
      </w:r>
      <w:r>
        <w:rPr>
          <w:w w:val="105"/>
        </w:rPr>
        <w:t xml:space="preserve">法第三百九十七条规定的 </w:t>
      </w:r>
      <w:r>
        <w:rPr>
          <w:rFonts w:hint="eastAsia" w:ascii="MS UI Gothic" w:hAnsi="MS UI Gothic" w:eastAsia="MS UI Gothic"/>
          <w:w w:val="105"/>
        </w:rPr>
        <w:t xml:space="preserve">“ </w:t>
      </w:r>
      <w:r>
        <w:rPr>
          <w:w w:val="105"/>
        </w:rPr>
        <w:t>情节特别严</w:t>
      </w:r>
      <w:r>
        <w:rPr>
          <w:w w:val="102"/>
        </w:rPr>
        <w:t>重</w:t>
      </w:r>
      <w:r>
        <w:rPr>
          <w:rFonts w:hint="eastAsia" w:ascii="MS UI Gothic" w:hAnsi="MS UI Gothic" w:eastAsia="MS UI Gothic"/>
          <w:w w:val="102"/>
        </w:rPr>
        <w:t>”</w:t>
      </w:r>
      <w:r>
        <w:rPr>
          <w:rFonts w:hint="eastAsia" w:ascii="MS UI Gothic" w:hAnsi="MS UI Gothic" w:eastAsia="MS UI Gothic"/>
          <w:w w:val="253"/>
        </w:rPr>
        <w:t>:</w:t>
      </w:r>
    </w:p>
    <w:p>
      <w:pPr>
        <w:pStyle w:val="6"/>
        <w:spacing w:line="295" w:lineRule="auto"/>
        <w:ind w:right="38"/>
        <w:rPr>
          <w:rFonts w:hint="eastAsia" w:ascii="MS UI Gothic" w:eastAsia="MS UI Gothic"/>
        </w:rPr>
      </w:pPr>
      <w:r>
        <w:rPr>
          <w:rFonts w:hint="eastAsia" w:ascii="MS UI Gothic" w:eastAsia="MS UI Gothic"/>
          <w:spacing w:val="-39"/>
          <w:w w:val="150"/>
        </w:rPr>
        <w:t xml:space="preserve">( </w:t>
      </w:r>
      <w:r>
        <w:rPr>
          <w:spacing w:val="3"/>
          <w:w w:val="110"/>
        </w:rPr>
        <w:t>一</w:t>
      </w:r>
      <w:r>
        <w:rPr>
          <w:rFonts w:hint="eastAsia" w:ascii="MS UI Gothic" w:eastAsia="MS UI Gothic"/>
          <w:spacing w:val="-2"/>
          <w:w w:val="150"/>
        </w:rPr>
        <w:t xml:space="preserve">) </w:t>
      </w:r>
      <w:r>
        <w:rPr>
          <w:spacing w:val="-2"/>
          <w:w w:val="110"/>
        </w:rPr>
        <w:t xml:space="preserve">造成伤亡达到前款第 </w:t>
      </w:r>
      <w:r>
        <w:rPr>
          <w:rFonts w:hint="eastAsia" w:ascii="MS UI Gothic" w:eastAsia="MS UI Gothic"/>
          <w:spacing w:val="-37"/>
          <w:w w:val="150"/>
        </w:rPr>
        <w:t xml:space="preserve">( </w:t>
      </w:r>
      <w:r>
        <w:rPr>
          <w:spacing w:val="7"/>
          <w:w w:val="110"/>
        </w:rPr>
        <w:t>一</w:t>
      </w:r>
      <w:r>
        <w:rPr>
          <w:rFonts w:hint="eastAsia" w:ascii="MS UI Gothic" w:eastAsia="MS UI Gothic"/>
          <w:w w:val="150"/>
        </w:rPr>
        <w:t xml:space="preserve">) </w:t>
      </w:r>
      <w:r>
        <w:rPr>
          <w:w w:val="110"/>
        </w:rPr>
        <w:t>项</w:t>
      </w:r>
      <w:r>
        <w:rPr>
          <w:spacing w:val="-12"/>
          <w:w w:val="110"/>
        </w:rPr>
        <w:t xml:space="preserve">规定人数 </w:t>
      </w:r>
      <w:r>
        <w:rPr>
          <w:rFonts w:hint="eastAsia" w:ascii="MS UI Gothic" w:eastAsia="MS UI Gothic"/>
          <w:spacing w:val="2"/>
          <w:w w:val="80"/>
        </w:rPr>
        <w:t xml:space="preserve">３ </w:t>
      </w:r>
      <w:r>
        <w:rPr>
          <w:spacing w:val="3"/>
          <w:w w:val="110"/>
        </w:rPr>
        <w:t>倍以上的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29"/>
          <w:w w:val="140"/>
        </w:rPr>
        <w:t xml:space="preserve">( </w:t>
      </w:r>
      <w:r>
        <w:rPr>
          <w:spacing w:val="31"/>
          <w:w w:val="105"/>
        </w:rPr>
        <w:t>二</w:t>
      </w:r>
      <w:r>
        <w:rPr>
          <w:rFonts w:hint="eastAsia" w:ascii="MS UI Gothic" w:eastAsia="MS UI Gothic"/>
          <w:spacing w:val="25"/>
          <w:w w:val="140"/>
        </w:rPr>
        <w:t xml:space="preserve">) </w:t>
      </w:r>
      <w:r>
        <w:rPr>
          <w:spacing w:val="32"/>
          <w:w w:val="105"/>
        </w:rPr>
        <w:t xml:space="preserve">造成经济损失 </w:t>
      </w:r>
      <w:r>
        <w:rPr>
          <w:rFonts w:hint="eastAsia" w:ascii="MS UI Gothic" w:eastAsia="MS UI Gothic"/>
          <w:spacing w:val="12"/>
          <w:w w:val="85"/>
        </w:rPr>
        <w:t xml:space="preserve">１５０ </w:t>
      </w:r>
      <w:r>
        <w:rPr>
          <w:spacing w:val="29"/>
          <w:w w:val="105"/>
        </w:rPr>
        <w:t>万元以</w:t>
      </w:r>
      <w:r>
        <w:rPr>
          <w:spacing w:val="3"/>
          <w:w w:val="105"/>
        </w:rPr>
        <w:t>上的</w:t>
      </w:r>
      <w:r>
        <w:rPr>
          <w:rFonts w:hint="eastAsia" w:ascii="MS UI Gothic" w:eastAsia="MS UI Gothic"/>
          <w:w w:val="85"/>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造成前款规定的损失后果</w:t>
      </w:r>
      <w:r>
        <w:rPr>
          <w:rFonts w:hint="eastAsia" w:ascii="MS UI Gothic" w:eastAsia="MS UI Gothic"/>
          <w:w w:val="80"/>
        </w:rPr>
        <w:t xml:space="preserve">ꎬ </w:t>
      </w:r>
      <w:r>
        <w:t>不报</w:t>
      </w:r>
      <w:r>
        <w:rPr>
          <w:rFonts w:hint="eastAsia" w:ascii="MS UI Gothic" w:eastAsia="MS UI Gothic"/>
          <w:w w:val="80"/>
        </w:rPr>
        <w:t xml:space="preserve">、 </w:t>
      </w:r>
      <w:r>
        <w:t>迟报</w:t>
      </w:r>
      <w:r>
        <w:rPr>
          <w:rFonts w:hint="eastAsia" w:ascii="MS UI Gothic" w:eastAsia="MS UI Gothic"/>
          <w:w w:val="80"/>
        </w:rPr>
        <w:t xml:space="preserve">、 </w:t>
      </w:r>
      <w:r>
        <w:t>谎报或者授意</w:t>
      </w:r>
      <w:r>
        <w:rPr>
          <w:rFonts w:hint="eastAsia" w:ascii="MS UI Gothic" w:eastAsia="MS UI Gothic"/>
          <w:w w:val="80"/>
        </w:rPr>
        <w:t xml:space="preserve">、 </w:t>
      </w:r>
      <w:r>
        <w:t>指使</w:t>
      </w:r>
      <w:r>
        <w:rPr>
          <w:rFonts w:hint="eastAsia" w:ascii="MS UI Gothic" w:eastAsia="MS UI Gothic"/>
          <w:w w:val="80"/>
        </w:rPr>
        <w:t xml:space="preserve">、  </w:t>
      </w:r>
      <w:r>
        <w:t>强令他人不报</w:t>
      </w:r>
      <w:r>
        <w:rPr>
          <w:rFonts w:hint="eastAsia" w:ascii="MS UI Gothic" w:eastAsia="MS UI Gothic"/>
          <w:w w:val="80"/>
        </w:rPr>
        <w:t xml:space="preserve">、 </w:t>
      </w:r>
      <w:r>
        <w:t>迟报</w:t>
      </w:r>
      <w:r>
        <w:rPr>
          <w:rFonts w:hint="eastAsia" w:ascii="MS UI Gothic" w:eastAsia="MS UI Gothic"/>
          <w:w w:val="80"/>
        </w:rPr>
        <w:t xml:space="preserve">、 </w:t>
      </w:r>
      <w:r>
        <w:t>谎报事故情况</w:t>
      </w:r>
      <w:r>
        <w:rPr>
          <w:rFonts w:hint="eastAsia" w:ascii="MS UI Gothic" w:eastAsia="MS UI Gothic"/>
          <w:w w:val="80"/>
        </w:rPr>
        <w:t xml:space="preserve">ꎬ </w:t>
      </w:r>
      <w:r>
        <w:t>致使损失后果持续</w:t>
      </w:r>
      <w:r>
        <w:rPr>
          <w:rFonts w:hint="eastAsia" w:ascii="MS UI Gothic" w:eastAsia="MS UI Gothic"/>
          <w:w w:val="80"/>
        </w:rPr>
        <w:t xml:space="preserve">、 </w:t>
      </w:r>
      <w:r>
        <w:t>扩大或者抢救工作延误的</w:t>
      </w:r>
      <w:r>
        <w:rPr>
          <w:rFonts w:hint="eastAsia" w:ascii="MS UI Gothic" w:eastAsia="MS UI Gothic"/>
          <w:w w:val="80"/>
        </w:rPr>
        <w:t>ꎻ</w:t>
      </w:r>
    </w:p>
    <w:p>
      <w:pPr>
        <w:pStyle w:val="6"/>
        <w:spacing w:line="295" w:lineRule="auto"/>
        <w:ind w:left="543" w:right="416" w:firstLine="0"/>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造成特别恶劣社会影响的</w:t>
      </w:r>
      <w:r>
        <w:rPr>
          <w:rFonts w:hint="eastAsia" w:ascii="MS UI Gothic" w:eastAsia="MS UI Gothic"/>
          <w:w w:val="80"/>
        </w:rPr>
        <w:t>ꎻ</w:t>
      </w: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其他特别严重的情节</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第二条 国家机关工作人员实施滥用</w:t>
      </w:r>
      <w:r>
        <w:t>职权或者玩忽职守犯罪行为</w:t>
      </w:r>
      <w:r>
        <w:rPr>
          <w:rFonts w:hint="eastAsia" w:ascii="MS UI Gothic" w:eastAsia="MS UI Gothic"/>
          <w:w w:val="80"/>
        </w:rPr>
        <w:t xml:space="preserve">ꎬ </w:t>
      </w:r>
      <w:r>
        <w:t>触犯刑法分则第九章第三百九十八条至第四百一十九</w:t>
      </w:r>
      <w:r>
        <w:rPr>
          <w:w w:val="105"/>
        </w:rPr>
        <w:t>条规定的</w:t>
      </w:r>
      <w:r>
        <w:rPr>
          <w:rFonts w:hint="eastAsia" w:ascii="MS UI Gothic" w:eastAsia="MS UI Gothic"/>
          <w:w w:val="80"/>
        </w:rPr>
        <w:t xml:space="preserve">ꎬ </w:t>
      </w:r>
      <w:r>
        <w:rPr>
          <w:w w:val="105"/>
        </w:rPr>
        <w:t>依照该规定定罪处罚</w:t>
      </w:r>
      <w:r>
        <w:rPr>
          <w:rFonts w:hint="eastAsia" w:ascii="MS UI Gothic" w:eastAsia="MS UI Gothic"/>
          <w:w w:val="80"/>
        </w:rPr>
        <w:t>ꎮ</w:t>
      </w:r>
    </w:p>
    <w:p>
      <w:pPr>
        <w:pStyle w:val="6"/>
        <w:spacing w:line="295" w:lineRule="auto"/>
        <w:ind w:right="38"/>
        <w:rPr>
          <w:rFonts w:hint="eastAsia" w:ascii="MS UI Gothic" w:eastAsia="MS UI Gothic"/>
        </w:rPr>
      </w:pPr>
      <w:r>
        <w:t>国家机关工作人员滥用职权或者玩忽职守</w:t>
      </w:r>
      <w:r>
        <w:rPr>
          <w:rFonts w:hint="eastAsia" w:ascii="MS UI Gothic" w:eastAsia="MS UI Gothic"/>
          <w:w w:val="80"/>
        </w:rPr>
        <w:t xml:space="preserve">ꎬ </w:t>
      </w:r>
      <w:r>
        <w:t>因不具备徇私舞弊等情形</w:t>
      </w:r>
      <w:r>
        <w:rPr>
          <w:rFonts w:hint="eastAsia" w:ascii="MS UI Gothic" w:eastAsia="MS UI Gothic"/>
          <w:w w:val="80"/>
        </w:rPr>
        <w:t xml:space="preserve">ꎬ </w:t>
      </w:r>
      <w:r>
        <w:t>不符合刑法分则第九章第三百九十八条至第四百一十九条的规定</w:t>
      </w:r>
      <w:r>
        <w:rPr>
          <w:rFonts w:hint="eastAsia" w:ascii="MS UI Gothic" w:eastAsia="MS UI Gothic"/>
          <w:w w:val="80"/>
        </w:rPr>
        <w:t xml:space="preserve">ꎬ </w:t>
      </w:r>
      <w:r>
        <w:t>但依法构成第三百九十七条规定的犯罪的</w:t>
      </w:r>
      <w:r>
        <w:rPr>
          <w:rFonts w:hint="eastAsia" w:ascii="MS UI Gothic" w:eastAsia="MS UI Gothic"/>
          <w:w w:val="80"/>
        </w:rPr>
        <w:t xml:space="preserve">ꎬ </w:t>
      </w:r>
      <w:r>
        <w:t>以滥用职权罪或者玩忽职守罪定罪处罚</w:t>
      </w:r>
      <w:r>
        <w:rPr>
          <w:rFonts w:hint="eastAsia" w:ascii="MS UI Gothic" w:eastAsia="MS UI Gothic"/>
          <w:w w:val="80"/>
        </w:rPr>
        <w:t>ꎮ</w:t>
      </w:r>
    </w:p>
    <w:p>
      <w:pPr>
        <w:pStyle w:val="6"/>
        <w:spacing w:line="295" w:lineRule="auto"/>
        <w:ind w:right="38"/>
        <w:rPr>
          <w:rFonts w:hint="eastAsia" w:ascii="MS UI Gothic" w:eastAsia="MS UI Gothic"/>
        </w:rPr>
      </w:pPr>
      <w:r>
        <w:t>第三条 国家机关工作人员实施渎职犯罪并收受贿赂</w:t>
      </w:r>
      <w:r>
        <w:rPr>
          <w:rFonts w:hint="eastAsia" w:ascii="MS UI Gothic" w:eastAsia="MS UI Gothic"/>
          <w:w w:val="80"/>
        </w:rPr>
        <w:t xml:space="preserve">ꎬ </w:t>
      </w:r>
      <w:r>
        <w:t>同时构成受贿罪的</w:t>
      </w:r>
      <w:r>
        <w:rPr>
          <w:rFonts w:hint="eastAsia" w:ascii="MS UI Gothic" w:eastAsia="MS UI Gothic"/>
          <w:w w:val="80"/>
        </w:rPr>
        <w:t xml:space="preserve">ꎬ </w:t>
      </w:r>
      <w:r>
        <w:t>除刑法另有规定外</w:t>
      </w:r>
      <w:r>
        <w:rPr>
          <w:rFonts w:hint="eastAsia" w:ascii="MS UI Gothic" w:eastAsia="MS UI Gothic"/>
          <w:w w:val="80"/>
        </w:rPr>
        <w:t xml:space="preserve">ꎬ </w:t>
      </w:r>
      <w:r>
        <w:t>以渎职犯罪和受贿罪数罪并罚</w:t>
      </w:r>
      <w:r>
        <w:rPr>
          <w:rFonts w:hint="eastAsia" w:ascii="MS UI Gothic" w:eastAsia="MS UI Gothic"/>
          <w:w w:val="80"/>
        </w:rPr>
        <w:t>ꎮ</w:t>
      </w:r>
    </w:p>
    <w:p>
      <w:pPr>
        <w:pStyle w:val="6"/>
        <w:spacing w:line="295" w:lineRule="auto"/>
        <w:ind w:right="38"/>
        <w:rPr>
          <w:rFonts w:hint="eastAsia" w:ascii="MS UI Gothic" w:eastAsia="MS UI Gothic"/>
        </w:rPr>
      </w:pPr>
      <w:r>
        <w:t>第四条 国家机关工作人员实施渎职行为</w:t>
      </w:r>
      <w:r>
        <w:rPr>
          <w:rFonts w:hint="eastAsia" w:ascii="MS UI Gothic" w:eastAsia="MS UI Gothic"/>
          <w:w w:val="80"/>
        </w:rPr>
        <w:t xml:space="preserve">ꎬ </w:t>
      </w:r>
      <w:r>
        <w:t>放纵他人犯罪或者帮助他人逃避刑事处罚</w:t>
      </w:r>
      <w:r>
        <w:rPr>
          <w:rFonts w:hint="eastAsia" w:ascii="MS UI Gothic" w:eastAsia="MS UI Gothic"/>
          <w:w w:val="80"/>
        </w:rPr>
        <w:t xml:space="preserve">ꎬ </w:t>
      </w:r>
      <w:r>
        <w:t>构成犯罪的</w:t>
      </w:r>
      <w:r>
        <w:rPr>
          <w:rFonts w:hint="eastAsia" w:ascii="MS UI Gothic" w:eastAsia="MS UI Gothic"/>
          <w:w w:val="80"/>
        </w:rPr>
        <w:t xml:space="preserve">ꎬ </w:t>
      </w:r>
      <w:r>
        <w:t>依照渎职罪的规定定罪处罚</w:t>
      </w:r>
      <w:r>
        <w:rPr>
          <w:rFonts w:hint="eastAsia" w:ascii="MS UI Gothic" w:eastAsia="MS UI Gothic"/>
          <w:w w:val="80"/>
        </w:rPr>
        <w:t>ꎮ</w:t>
      </w:r>
    </w:p>
    <w:p>
      <w:pPr>
        <w:pStyle w:val="6"/>
        <w:spacing w:before="74" w:line="295" w:lineRule="auto"/>
        <w:ind w:right="440" w:firstLine="0"/>
        <w:rPr>
          <w:rFonts w:hint="eastAsia" w:ascii="MS UI Gothic" w:eastAsia="MS UI Gothic"/>
        </w:rPr>
      </w:pPr>
      <w:r>
        <w:br w:type="column"/>
      </w:r>
      <w:r>
        <w:t>其职务行为帮助他人实施其他犯罪行为</w:t>
      </w:r>
      <w:r>
        <w:rPr>
          <w:rFonts w:hint="eastAsia" w:ascii="MS UI Gothic" w:eastAsia="MS UI Gothic"/>
          <w:w w:val="80"/>
        </w:rPr>
        <w:t>ꎬ</w:t>
      </w:r>
      <w:r>
        <w:t>同时构成渎职犯罪和共谋实施的其他犯罪共犯的</w:t>
      </w:r>
      <w:r>
        <w:rPr>
          <w:rFonts w:hint="eastAsia" w:ascii="MS UI Gothic" w:eastAsia="MS UI Gothic"/>
          <w:w w:val="80"/>
        </w:rPr>
        <w:t xml:space="preserve">ꎬ </w:t>
      </w:r>
      <w:r>
        <w:t>依照处罚较重的规定定罪处罚</w:t>
      </w:r>
      <w:r>
        <w:rPr>
          <w:rFonts w:hint="eastAsia" w:ascii="MS UI Gothic" w:eastAsia="MS UI Gothic"/>
          <w:w w:val="80"/>
        </w:rPr>
        <w:t>ꎮ</w:t>
      </w:r>
    </w:p>
    <w:p>
      <w:pPr>
        <w:pStyle w:val="6"/>
        <w:spacing w:line="295" w:lineRule="auto"/>
        <w:ind w:right="442"/>
        <w:rPr>
          <w:rFonts w:hint="eastAsia" w:ascii="MS UI Gothic" w:eastAsia="MS UI Gothic"/>
        </w:rPr>
      </w:pPr>
      <w:r>
        <w:t>国家机关工作人员与他人共谋</w:t>
      </w:r>
      <w:r>
        <w:rPr>
          <w:rFonts w:hint="eastAsia" w:ascii="MS UI Gothic" w:eastAsia="MS UI Gothic"/>
          <w:w w:val="80"/>
        </w:rPr>
        <w:t xml:space="preserve">ꎬ </w:t>
      </w:r>
      <w:r>
        <w:t>既利用其职务行为帮助他人实施其他犯罪</w:t>
      </w:r>
      <w:r>
        <w:rPr>
          <w:rFonts w:hint="eastAsia" w:ascii="MS UI Gothic" w:eastAsia="MS UI Gothic"/>
          <w:w w:val="80"/>
        </w:rPr>
        <w:t xml:space="preserve">ꎬ </w:t>
      </w:r>
      <w:r>
        <w:t>又以非职务行为与他人共同实施该其他犯罪行为</w:t>
      </w:r>
      <w:r>
        <w:rPr>
          <w:rFonts w:hint="eastAsia" w:ascii="MS UI Gothic" w:eastAsia="MS UI Gothic"/>
          <w:w w:val="80"/>
        </w:rPr>
        <w:t xml:space="preserve">ꎬ </w:t>
      </w:r>
      <w:r>
        <w:t>同时构成渎职犯罪和其他犯罪的共犯的</w:t>
      </w:r>
      <w:r>
        <w:rPr>
          <w:rFonts w:hint="eastAsia" w:ascii="MS UI Gothic" w:eastAsia="MS UI Gothic"/>
          <w:w w:val="80"/>
        </w:rPr>
        <w:t xml:space="preserve">ꎬ </w:t>
      </w:r>
      <w:r>
        <w:t>依照数罪并罚的规定定罪处罚</w:t>
      </w:r>
      <w:r>
        <w:rPr>
          <w:rFonts w:hint="eastAsia" w:ascii="MS UI Gothic" w:eastAsia="MS UI Gothic"/>
          <w:w w:val="80"/>
        </w:rPr>
        <w:t>ꎮ</w:t>
      </w:r>
    </w:p>
    <w:p>
      <w:pPr>
        <w:pStyle w:val="6"/>
        <w:spacing w:line="295" w:lineRule="auto"/>
        <w:ind w:right="440"/>
        <w:rPr>
          <w:rFonts w:hint="eastAsia" w:ascii="MS UI Gothic" w:eastAsia="MS UI Gothic"/>
        </w:rPr>
      </w:pPr>
      <w:r>
        <w:t>第五条  国家机关负责人员违法决定</w:t>
      </w:r>
      <w:r>
        <w:rPr>
          <w:rFonts w:hint="eastAsia" w:ascii="MS UI Gothic" w:eastAsia="MS UI Gothic"/>
          <w:w w:val="80"/>
        </w:rPr>
        <w:t xml:space="preserve">ꎬ </w:t>
      </w:r>
      <w:r>
        <w:t>或者指使</w:t>
      </w:r>
      <w:r>
        <w:rPr>
          <w:rFonts w:hint="eastAsia" w:ascii="MS UI Gothic" w:eastAsia="MS UI Gothic"/>
          <w:w w:val="80"/>
        </w:rPr>
        <w:t xml:space="preserve">、 </w:t>
      </w:r>
      <w:r>
        <w:t>授意</w:t>
      </w:r>
      <w:r>
        <w:rPr>
          <w:rFonts w:hint="eastAsia" w:ascii="MS UI Gothic" w:eastAsia="MS UI Gothic"/>
          <w:w w:val="80"/>
        </w:rPr>
        <w:t xml:space="preserve">、 </w:t>
      </w:r>
      <w:r>
        <w:t>强令其他国家机关工作人员违法履行职务或者不履行职务</w:t>
      </w:r>
      <w:r>
        <w:rPr>
          <w:rFonts w:hint="eastAsia" w:ascii="MS UI Gothic" w:eastAsia="MS UI Gothic"/>
          <w:w w:val="80"/>
        </w:rPr>
        <w:t>ꎬ</w:t>
      </w:r>
      <w:r>
        <w:t>构成刑法分则第九章规定的渎职犯罪的</w:t>
      </w:r>
      <w:r>
        <w:rPr>
          <w:rFonts w:hint="eastAsia" w:ascii="MS UI Gothic" w:eastAsia="MS UI Gothic"/>
          <w:w w:val="80"/>
        </w:rPr>
        <w:t>ꎬ</w:t>
      </w:r>
      <w:r>
        <w:t>应当依法追究刑事责任</w:t>
      </w:r>
      <w:r>
        <w:rPr>
          <w:rFonts w:hint="eastAsia" w:ascii="MS UI Gothic" w:eastAsia="MS UI Gothic"/>
          <w:w w:val="80"/>
        </w:rPr>
        <w:t>ꎮ</w:t>
      </w:r>
    </w:p>
    <w:p>
      <w:pPr>
        <w:pStyle w:val="6"/>
        <w:spacing w:line="295" w:lineRule="auto"/>
        <w:ind w:right="442"/>
        <w:rPr>
          <w:rFonts w:hint="eastAsia" w:ascii="MS UI Gothic" w:hAnsi="MS UI Gothic" w:eastAsia="MS UI Gothic"/>
        </w:rPr>
      </w:pPr>
      <w:r>
        <w:rPr>
          <w:w w:val="105"/>
        </w:rPr>
        <w:t xml:space="preserve">以 </w:t>
      </w:r>
      <w:r>
        <w:rPr>
          <w:rFonts w:hint="eastAsia" w:ascii="MS UI Gothic" w:hAnsi="MS UI Gothic" w:eastAsia="MS UI Gothic"/>
          <w:w w:val="105"/>
        </w:rPr>
        <w:t xml:space="preserve">“ </w:t>
      </w:r>
      <w:r>
        <w:rPr>
          <w:w w:val="105"/>
        </w:rPr>
        <w:t>集体研究</w:t>
      </w:r>
      <w:r>
        <w:rPr>
          <w:rFonts w:hint="eastAsia" w:ascii="MS UI Gothic" w:hAnsi="MS UI Gothic" w:eastAsia="MS UI Gothic"/>
          <w:w w:val="105"/>
        </w:rPr>
        <w:t xml:space="preserve">” </w:t>
      </w:r>
      <w:r>
        <w:rPr>
          <w:w w:val="105"/>
        </w:rPr>
        <w:t>形式实施的渎职犯</w:t>
      </w:r>
      <w:r>
        <w:t>罪</w:t>
      </w:r>
      <w:r>
        <w:rPr>
          <w:rFonts w:hint="eastAsia" w:ascii="MS UI Gothic" w:hAnsi="MS UI Gothic" w:eastAsia="MS UI Gothic"/>
          <w:w w:val="80"/>
        </w:rPr>
        <w:t xml:space="preserve">ꎬ </w:t>
      </w:r>
      <w:r>
        <w:t>应当依照刑法分则第九章的规定追究国家机关负有责任的人员的刑事责任</w:t>
      </w:r>
      <w:r>
        <w:rPr>
          <w:rFonts w:hint="eastAsia" w:ascii="MS UI Gothic" w:hAnsi="MS UI Gothic" w:eastAsia="MS UI Gothic"/>
          <w:w w:val="80"/>
        </w:rPr>
        <w:t xml:space="preserve">ꎮ </w:t>
      </w:r>
      <w:r>
        <w:t>对于具体执行人员</w:t>
      </w:r>
      <w:r>
        <w:rPr>
          <w:rFonts w:hint="eastAsia" w:ascii="MS UI Gothic" w:hAnsi="MS UI Gothic" w:eastAsia="MS UI Gothic"/>
          <w:w w:val="80"/>
        </w:rPr>
        <w:t xml:space="preserve">ꎬ </w:t>
      </w:r>
      <w:r>
        <w:t>应当在综合认定其行为</w:t>
      </w:r>
      <w:r>
        <w:rPr>
          <w:w w:val="105"/>
        </w:rPr>
        <w:t>性质</w:t>
      </w:r>
      <w:r>
        <w:rPr>
          <w:rFonts w:hint="eastAsia" w:ascii="MS UI Gothic" w:hAnsi="MS UI Gothic" w:eastAsia="MS UI Gothic"/>
          <w:w w:val="80"/>
        </w:rPr>
        <w:t xml:space="preserve">、 </w:t>
      </w:r>
      <w:r>
        <w:rPr>
          <w:w w:val="105"/>
        </w:rPr>
        <w:t>是否提出反对意见</w:t>
      </w:r>
      <w:r>
        <w:rPr>
          <w:rFonts w:hint="eastAsia" w:ascii="MS UI Gothic" w:hAnsi="MS UI Gothic" w:eastAsia="MS UI Gothic"/>
          <w:w w:val="80"/>
        </w:rPr>
        <w:t xml:space="preserve">、 </w:t>
      </w:r>
      <w:r>
        <w:rPr>
          <w:w w:val="105"/>
        </w:rPr>
        <w:t>危害结果大小</w:t>
      </w:r>
      <w:r>
        <w:t>等情节的基础上决定是否追究刑事责任和</w:t>
      </w:r>
      <w:r>
        <w:rPr>
          <w:w w:val="105"/>
        </w:rPr>
        <w:t>应当判处的刑罚</w:t>
      </w:r>
      <w:r>
        <w:rPr>
          <w:rFonts w:hint="eastAsia" w:ascii="MS UI Gothic" w:hAnsi="MS UI Gothic" w:eastAsia="MS UI Gothic"/>
          <w:w w:val="80"/>
        </w:rPr>
        <w:t>ꎮ</w:t>
      </w:r>
    </w:p>
    <w:p>
      <w:pPr>
        <w:pStyle w:val="6"/>
        <w:spacing w:line="295" w:lineRule="auto"/>
        <w:ind w:right="442"/>
        <w:rPr>
          <w:rFonts w:hint="eastAsia" w:ascii="MS UI Gothic" w:eastAsia="MS UI Gothic"/>
        </w:rPr>
      </w:pPr>
      <w:r>
        <w:t>第六条 以危害结果为条件的渎职犯罪的追诉期限</w:t>
      </w:r>
      <w:r>
        <w:rPr>
          <w:rFonts w:hint="eastAsia" w:ascii="MS UI Gothic" w:eastAsia="MS UI Gothic"/>
          <w:w w:val="80"/>
        </w:rPr>
        <w:t xml:space="preserve">ꎬ </w:t>
      </w:r>
      <w:r>
        <w:t>从危害结果发生之日起计算</w:t>
      </w:r>
      <w:r>
        <w:rPr>
          <w:rFonts w:hint="eastAsia" w:ascii="MS UI Gothic" w:eastAsia="MS UI Gothic"/>
          <w:w w:val="80"/>
        </w:rPr>
        <w:t xml:space="preserve">ꎻ </w:t>
      </w:r>
      <w:r>
        <w:t>有数个危害结果的</w:t>
      </w:r>
      <w:r>
        <w:rPr>
          <w:rFonts w:hint="eastAsia" w:ascii="MS UI Gothic" w:eastAsia="MS UI Gothic"/>
          <w:w w:val="80"/>
        </w:rPr>
        <w:t xml:space="preserve">ꎬ </w:t>
      </w:r>
      <w:r>
        <w:t>从最后一个危害结果发生之日起计算</w:t>
      </w:r>
      <w:r>
        <w:rPr>
          <w:rFonts w:hint="eastAsia" w:ascii="MS UI Gothic" w:eastAsia="MS UI Gothic"/>
          <w:w w:val="80"/>
        </w:rPr>
        <w:t>ꎮ</w:t>
      </w:r>
    </w:p>
    <w:p>
      <w:pPr>
        <w:pStyle w:val="6"/>
        <w:spacing w:line="295" w:lineRule="auto"/>
        <w:ind w:right="442"/>
      </w:pPr>
      <w:r>
        <w:t>第七条 依法或者受委托行使国家行政管理职权的公司</w:t>
      </w:r>
      <w:r>
        <w:rPr>
          <w:rFonts w:hint="eastAsia" w:ascii="MS UI Gothic" w:eastAsia="MS UI Gothic"/>
          <w:w w:val="80"/>
        </w:rPr>
        <w:t xml:space="preserve">、 </w:t>
      </w:r>
      <w:r>
        <w:t>企业</w:t>
      </w:r>
      <w:r>
        <w:rPr>
          <w:rFonts w:hint="eastAsia" w:ascii="MS UI Gothic" w:eastAsia="MS UI Gothic"/>
          <w:w w:val="80"/>
        </w:rPr>
        <w:t xml:space="preserve">、 </w:t>
      </w:r>
      <w:r>
        <w:t>事业单位的工作人员</w:t>
      </w:r>
      <w:r>
        <w:rPr>
          <w:rFonts w:hint="eastAsia" w:ascii="MS UI Gothic" w:eastAsia="MS UI Gothic"/>
          <w:w w:val="80"/>
        </w:rPr>
        <w:t xml:space="preserve">ꎬ </w:t>
      </w:r>
      <w:r>
        <w:t>在行使行政管理职权时滥用职权或者玩忽职守</w:t>
      </w:r>
      <w:r>
        <w:rPr>
          <w:rFonts w:hint="eastAsia" w:ascii="MS UI Gothic" w:eastAsia="MS UI Gothic"/>
          <w:w w:val="80"/>
        </w:rPr>
        <w:t xml:space="preserve">ꎬ </w:t>
      </w:r>
      <w:r>
        <w:t>构成犯罪的</w:t>
      </w:r>
      <w:r>
        <w:rPr>
          <w:rFonts w:hint="eastAsia" w:ascii="MS UI Gothic" w:eastAsia="MS UI Gothic"/>
          <w:w w:val="80"/>
        </w:rPr>
        <w:t xml:space="preserve">ꎬ </w:t>
      </w:r>
      <w:r>
        <w:t>应当依照</w:t>
      </w:r>
    </w:p>
    <w:p>
      <w:pPr>
        <w:pStyle w:val="6"/>
        <w:spacing w:line="295" w:lineRule="auto"/>
        <w:ind w:right="442" w:firstLine="0"/>
        <w:rPr>
          <w:rFonts w:hint="eastAsia" w:ascii="MS UI Gothic" w:hAnsi="MS UI Gothic" w:eastAsia="MS UI Gothic"/>
        </w:rPr>
      </w:pPr>
      <w:r>
        <w:rPr>
          <w:rFonts w:hint="eastAsia" w:ascii="MS UI Gothic" w:hAnsi="MS UI Gothic" w:eastAsia="MS UI Gothic"/>
          <w:spacing w:val="-19"/>
          <w:w w:val="80"/>
        </w:rPr>
        <w:t xml:space="preserve">« </w:t>
      </w:r>
      <w:r>
        <w:rPr>
          <w:w w:val="105"/>
        </w:rPr>
        <w:t xml:space="preserve">全国人民代表大会常务委员会关于 </w:t>
      </w:r>
      <w:r>
        <w:rPr>
          <w:rFonts w:hint="eastAsia" w:ascii="MS UI Gothic" w:hAnsi="MS UI Gothic" w:eastAsia="MS UI Gothic"/>
          <w:spacing w:val="-25"/>
          <w:w w:val="105"/>
        </w:rPr>
        <w:t xml:space="preserve">‹ </w:t>
      </w:r>
      <w:r>
        <w:rPr>
          <w:w w:val="105"/>
        </w:rPr>
        <w:t>中</w:t>
      </w:r>
      <w:r>
        <w:rPr>
          <w:spacing w:val="11"/>
          <w:w w:val="105"/>
        </w:rPr>
        <w:t>华人民共和国刑法</w:t>
      </w:r>
      <w:r>
        <w:rPr>
          <w:rFonts w:hint="eastAsia" w:ascii="MS UI Gothic" w:hAnsi="MS UI Gothic" w:eastAsia="MS UI Gothic"/>
          <w:spacing w:val="4"/>
          <w:w w:val="105"/>
        </w:rPr>
        <w:t xml:space="preserve">› </w:t>
      </w:r>
      <w:r>
        <w:rPr>
          <w:spacing w:val="14"/>
          <w:w w:val="105"/>
        </w:rPr>
        <w:t>第九章渎职罪主体</w:t>
      </w:r>
      <w:r>
        <w:rPr>
          <w:spacing w:val="11"/>
          <w:w w:val="105"/>
        </w:rPr>
        <w:t>适用问题的解释</w:t>
      </w:r>
      <w:r>
        <w:rPr>
          <w:rFonts w:hint="eastAsia" w:ascii="MS UI Gothic" w:hAnsi="MS UI Gothic" w:eastAsia="MS UI Gothic"/>
          <w:spacing w:val="13"/>
          <w:w w:val="80"/>
        </w:rPr>
        <w:t xml:space="preserve">» </w:t>
      </w:r>
      <w:r>
        <w:rPr>
          <w:spacing w:val="15"/>
          <w:w w:val="105"/>
        </w:rPr>
        <w:t>的规定</w:t>
      </w:r>
      <w:r>
        <w:rPr>
          <w:rFonts w:hint="eastAsia" w:ascii="MS UI Gothic" w:hAnsi="MS UI Gothic" w:eastAsia="MS UI Gothic"/>
          <w:spacing w:val="7"/>
          <w:w w:val="80"/>
        </w:rPr>
        <w:t xml:space="preserve">ꎬ </w:t>
      </w:r>
      <w:r>
        <w:rPr>
          <w:spacing w:val="16"/>
          <w:w w:val="105"/>
        </w:rPr>
        <w:t>适用渎职罪</w:t>
      </w:r>
      <w:r>
        <w:rPr>
          <w:spacing w:val="3"/>
          <w:w w:val="105"/>
        </w:rPr>
        <w:t>的规定追究刑事责任</w:t>
      </w:r>
      <w:r>
        <w:rPr>
          <w:rFonts w:hint="eastAsia" w:ascii="MS UI Gothic" w:hAnsi="MS UI Gothic" w:eastAsia="MS UI Gothic"/>
          <w:w w:val="80"/>
        </w:rPr>
        <w:t>ꎮ</w:t>
      </w:r>
    </w:p>
    <w:p>
      <w:pPr>
        <w:pStyle w:val="6"/>
        <w:spacing w:line="295" w:lineRule="auto"/>
        <w:ind w:right="442"/>
      </w:pPr>
      <w:r>
        <w:rPr>
          <w:w w:val="105"/>
        </w:rPr>
        <w:t xml:space="preserve">第八条 本解释规定的 </w:t>
      </w:r>
      <w:r>
        <w:rPr>
          <w:rFonts w:hint="eastAsia" w:ascii="MS UI Gothic" w:hAnsi="MS UI Gothic" w:eastAsia="MS UI Gothic"/>
          <w:w w:val="105"/>
        </w:rPr>
        <w:t xml:space="preserve">“ </w:t>
      </w:r>
      <w:r>
        <w:rPr>
          <w:w w:val="105"/>
        </w:rPr>
        <w:t>经济损</w:t>
      </w:r>
      <w:r>
        <w:t>失</w:t>
      </w:r>
      <w:r>
        <w:rPr>
          <w:rFonts w:hint="eastAsia" w:ascii="MS UI Gothic" w:hAnsi="MS UI Gothic" w:eastAsia="MS UI Gothic"/>
        </w:rPr>
        <w:t xml:space="preserve">” </w:t>
      </w:r>
      <w:r>
        <w:rPr>
          <w:rFonts w:hint="eastAsia" w:ascii="MS UI Gothic" w:hAnsi="MS UI Gothic" w:eastAsia="MS UI Gothic"/>
          <w:w w:val="80"/>
        </w:rPr>
        <w:t xml:space="preserve">ꎬ </w:t>
      </w:r>
      <w:r>
        <w:t>是指渎职犯罪或者与渎职犯罪相关联的犯罪立案时已经实际造成的财产损失</w:t>
      </w:r>
      <w:r>
        <w:rPr>
          <w:rFonts w:hint="eastAsia" w:ascii="MS UI Gothic" w:hAnsi="MS UI Gothic" w:eastAsia="MS UI Gothic"/>
          <w:w w:val="80"/>
        </w:rPr>
        <w:t xml:space="preserve">ꎬ </w:t>
      </w:r>
      <w:r>
        <w:t>包括为挽回渎职犯罪所造成损失而支</w:t>
      </w:r>
      <w:r>
        <w:rPr>
          <w:w w:val="105"/>
        </w:rPr>
        <w:t>付的各种开支</w:t>
      </w:r>
      <w:r>
        <w:rPr>
          <w:rFonts w:hint="eastAsia" w:ascii="MS UI Gothic" w:hAnsi="MS UI Gothic" w:eastAsia="MS UI Gothic"/>
          <w:w w:val="80"/>
        </w:rPr>
        <w:t xml:space="preserve">、 </w:t>
      </w:r>
      <w:r>
        <w:rPr>
          <w:w w:val="105"/>
        </w:rPr>
        <w:t>费用等</w:t>
      </w:r>
      <w:r>
        <w:rPr>
          <w:rFonts w:hint="eastAsia" w:ascii="MS UI Gothic" w:hAnsi="MS UI Gothic" w:eastAsia="MS UI Gothic"/>
          <w:w w:val="80"/>
        </w:rPr>
        <w:t xml:space="preserve">ꎮ </w:t>
      </w:r>
      <w:r>
        <w:rPr>
          <w:w w:val="105"/>
        </w:rPr>
        <w:t>立案后至提起公</w:t>
      </w:r>
      <w:r>
        <w:t>诉前持续发生的经济损失</w:t>
      </w:r>
      <w:r>
        <w:rPr>
          <w:rFonts w:hint="eastAsia" w:ascii="MS UI Gothic" w:hAnsi="MS UI Gothic" w:eastAsia="MS UI Gothic"/>
          <w:w w:val="80"/>
        </w:rPr>
        <w:t xml:space="preserve">ꎬ </w:t>
      </w:r>
      <w:r>
        <w:t>应一并计入渎</w:t>
      </w:r>
    </w:p>
    <w:p>
      <w:pPr>
        <w:spacing w:after="0" w:line="295" w:lineRule="auto"/>
        <w:sectPr>
          <w:type w:val="continuous"/>
          <w:pgSz w:w="10500" w:h="14750"/>
          <w:pgMar w:top="1400" w:right="980" w:bottom="280" w:left="980" w:header="720" w:footer="720" w:gutter="0"/>
          <w:cols w:equalWidth="0" w:num="2">
            <w:col w:w="3934" w:space="258"/>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１１</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085" o:spid="_x0000_s1085" o:spt="203" style="height:2.15pt;width:398.25pt;" coordsize="7965,43">
            <o:lock v:ext="edit"/>
            <v:line id="_x0000_s1086" o:spid="_x0000_s1086" o:spt="20" style="position:absolute;left:0;top:39;height:0;width:7965;" stroked="t" coordsize="21600,21600">
              <v:path arrowok="t"/>
              <v:fill focussize="0,0"/>
              <v:stroke weight="0.388031496062992pt" color="#231F20"/>
              <v:imagedata o:title=""/>
              <o:lock v:ext="edit"/>
            </v:line>
            <v:line id="_x0000_s1087" o:spid="_x0000_s108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职犯罪造成的经济损失</w:t>
      </w:r>
      <w:r>
        <w:rPr>
          <w:rFonts w:hint="eastAsia" w:ascii="MS UI Gothic" w:eastAsia="MS UI Gothic"/>
          <w:w w:val="80"/>
        </w:rPr>
        <w:t>ꎮ</w:t>
      </w:r>
    </w:p>
    <w:p>
      <w:pPr>
        <w:pStyle w:val="6"/>
        <w:spacing w:before="58" w:line="295" w:lineRule="auto"/>
        <w:ind w:left="440"/>
        <w:rPr>
          <w:rFonts w:hint="eastAsia" w:ascii="MS UI Gothic" w:eastAsia="MS UI Gothic"/>
        </w:rPr>
      </w:pPr>
      <w:r>
        <w:t>债务人经法定程序被宣告破产</w:t>
      </w:r>
      <w:r>
        <w:rPr>
          <w:rFonts w:hint="eastAsia" w:ascii="MS UI Gothic" w:eastAsia="MS UI Gothic"/>
          <w:w w:val="80"/>
        </w:rPr>
        <w:t xml:space="preserve">ꎬ </w:t>
      </w:r>
      <w:r>
        <w:t>债务人潜逃</w:t>
      </w:r>
      <w:r>
        <w:rPr>
          <w:rFonts w:hint="eastAsia" w:ascii="MS UI Gothic" w:eastAsia="MS UI Gothic"/>
          <w:w w:val="80"/>
        </w:rPr>
        <w:t xml:space="preserve">、 </w:t>
      </w:r>
      <w:r>
        <w:t>去向不明</w:t>
      </w:r>
      <w:r>
        <w:rPr>
          <w:rFonts w:hint="eastAsia" w:ascii="MS UI Gothic" w:eastAsia="MS UI Gothic"/>
          <w:w w:val="80"/>
        </w:rPr>
        <w:t xml:space="preserve">ꎬ </w:t>
      </w:r>
      <w:r>
        <w:t>或者因行为人的责任超过诉讼时效等</w:t>
      </w:r>
      <w:r>
        <w:rPr>
          <w:rFonts w:hint="eastAsia" w:ascii="MS UI Gothic" w:eastAsia="MS UI Gothic"/>
          <w:w w:val="80"/>
        </w:rPr>
        <w:t xml:space="preserve">ꎬ </w:t>
      </w:r>
      <w:r>
        <w:t>致使债权已经无法实现的</w:t>
      </w:r>
      <w:r>
        <w:rPr>
          <w:rFonts w:hint="eastAsia" w:ascii="MS UI Gothic" w:eastAsia="MS UI Gothic"/>
          <w:w w:val="80"/>
        </w:rPr>
        <w:t xml:space="preserve">ꎬ </w:t>
      </w:r>
      <w:r>
        <w:t>无法实现的债权部分应当认定为渎职犯罪的经济损失</w:t>
      </w:r>
      <w:r>
        <w:rPr>
          <w:rFonts w:hint="eastAsia" w:ascii="MS UI Gothic" w:eastAsia="MS UI Gothic"/>
          <w:w w:val="80"/>
        </w:rPr>
        <w:t>ꎮ</w:t>
      </w:r>
    </w:p>
    <w:p>
      <w:pPr>
        <w:pStyle w:val="6"/>
        <w:spacing w:line="295" w:lineRule="auto"/>
        <w:ind w:left="440"/>
      </w:pPr>
      <w:r>
        <w:t>渎职犯罪或者与渎职犯罪相关联的犯罪立案后</w:t>
      </w:r>
      <w:r>
        <w:rPr>
          <w:rFonts w:hint="eastAsia" w:ascii="MS UI Gothic" w:eastAsia="MS UI Gothic"/>
          <w:w w:val="80"/>
        </w:rPr>
        <w:t xml:space="preserve">ꎬ </w:t>
      </w:r>
      <w:r>
        <w:t>犯罪分子及其亲友自行挽回的经济损失</w:t>
      </w:r>
      <w:r>
        <w:rPr>
          <w:rFonts w:hint="eastAsia" w:ascii="MS UI Gothic" w:eastAsia="MS UI Gothic"/>
          <w:w w:val="80"/>
        </w:rPr>
        <w:t xml:space="preserve">ꎬ </w:t>
      </w:r>
      <w:r>
        <w:t>司法机关或者犯罪分子所在单位及其上级主管部门挽回的经济损失</w:t>
      </w:r>
      <w:r>
        <w:rPr>
          <w:rFonts w:hint="eastAsia" w:ascii="MS UI Gothic" w:eastAsia="MS UI Gothic"/>
          <w:w w:val="80"/>
        </w:rPr>
        <w:t xml:space="preserve">ꎬ </w:t>
      </w:r>
      <w:r>
        <w:t>或者因客观原因减少的经济损失</w:t>
      </w:r>
      <w:r>
        <w:rPr>
          <w:rFonts w:hint="eastAsia" w:ascii="MS UI Gothic" w:eastAsia="MS UI Gothic"/>
          <w:w w:val="80"/>
        </w:rPr>
        <w:t xml:space="preserve">ꎬ </w:t>
      </w:r>
      <w:r>
        <w:t>不予扣</w:t>
      </w:r>
    </w:p>
    <w:p>
      <w:pPr>
        <w:pStyle w:val="6"/>
        <w:spacing w:before="124"/>
        <w:ind w:left="383" w:firstLine="0"/>
        <w:rPr>
          <w:rFonts w:hint="eastAsia" w:ascii="MS UI Gothic" w:eastAsia="MS UI Gothic"/>
        </w:rPr>
      </w:pPr>
      <w:r>
        <w:br w:type="column"/>
      </w:r>
      <w:r>
        <w:t>减</w:t>
      </w:r>
      <w:r>
        <w:rPr>
          <w:rFonts w:hint="eastAsia" w:ascii="MS UI Gothic" w:eastAsia="MS UI Gothic"/>
          <w:w w:val="80"/>
        </w:rPr>
        <w:t xml:space="preserve">ꎬ </w:t>
      </w:r>
      <w:r>
        <w:t>但可以作为酌定从轻处罚的情节</w:t>
      </w:r>
      <w:r>
        <w:rPr>
          <w:rFonts w:hint="eastAsia" w:ascii="MS UI Gothic" w:eastAsia="MS UI Gothic"/>
          <w:w w:val="80"/>
        </w:rPr>
        <w:t>ꎮ</w:t>
      </w:r>
    </w:p>
    <w:p>
      <w:pPr>
        <w:pStyle w:val="6"/>
        <w:spacing w:before="58" w:line="295" w:lineRule="auto"/>
        <w:ind w:left="383" w:right="124"/>
        <w:rPr>
          <w:rFonts w:hint="eastAsia" w:ascii="MS UI Gothic" w:eastAsia="MS UI Gothic"/>
        </w:rPr>
      </w:pPr>
      <w:r>
        <w:rPr>
          <w:spacing w:val="4"/>
        </w:rPr>
        <w:t>第九条 负有监督管理职责的国家机</w:t>
      </w:r>
      <w:r>
        <w:rPr>
          <w:spacing w:val="3"/>
        </w:rPr>
        <w:t>关工作人员滥用职权或者玩忽职守</w:t>
      </w:r>
      <w:r>
        <w:rPr>
          <w:rFonts w:hint="eastAsia" w:ascii="MS UI Gothic" w:eastAsia="MS UI Gothic"/>
          <w:spacing w:val="19"/>
          <w:w w:val="80"/>
        </w:rPr>
        <w:t xml:space="preserve">ꎬ </w:t>
      </w:r>
      <w:r>
        <w:rPr>
          <w:spacing w:val="1"/>
        </w:rPr>
        <w:t>致使</w:t>
      </w:r>
      <w:r>
        <w:rPr>
          <w:spacing w:val="5"/>
        </w:rPr>
        <w:t>不符合安全标准的食品</w:t>
      </w:r>
      <w:r>
        <w:rPr>
          <w:rFonts w:hint="eastAsia" w:ascii="MS UI Gothic" w:eastAsia="MS UI Gothic"/>
          <w:spacing w:val="18"/>
          <w:w w:val="80"/>
        </w:rPr>
        <w:t xml:space="preserve">、 </w:t>
      </w:r>
      <w:r>
        <w:rPr>
          <w:spacing w:val="11"/>
        </w:rPr>
        <w:t>有毒有害食品</w:t>
      </w:r>
      <w:r>
        <w:rPr>
          <w:rFonts w:hint="eastAsia" w:ascii="MS UI Gothic" w:eastAsia="MS UI Gothic"/>
          <w:w w:val="80"/>
        </w:rPr>
        <w:t>、</w:t>
      </w:r>
      <w:r>
        <w:rPr>
          <w:spacing w:val="3"/>
        </w:rPr>
        <w:t>假药</w:t>
      </w:r>
      <w:r>
        <w:rPr>
          <w:rFonts w:hint="eastAsia" w:ascii="MS UI Gothic" w:eastAsia="MS UI Gothic"/>
          <w:spacing w:val="9"/>
          <w:w w:val="80"/>
        </w:rPr>
        <w:t xml:space="preserve">、 </w:t>
      </w:r>
      <w:r>
        <w:rPr>
          <w:spacing w:val="16"/>
        </w:rPr>
        <w:t>劣药等流入社会</w:t>
      </w:r>
      <w:r>
        <w:rPr>
          <w:rFonts w:hint="eastAsia" w:ascii="MS UI Gothic" w:eastAsia="MS UI Gothic"/>
          <w:spacing w:val="16"/>
          <w:w w:val="80"/>
        </w:rPr>
        <w:t xml:space="preserve">ꎬ </w:t>
      </w:r>
      <w:r>
        <w:rPr>
          <w:spacing w:val="19"/>
        </w:rPr>
        <w:t>对人民群众生</w:t>
      </w:r>
      <w:r>
        <w:rPr>
          <w:spacing w:val="3"/>
        </w:rPr>
        <w:t>命</w:t>
      </w:r>
      <w:r>
        <w:rPr>
          <w:rFonts w:hint="eastAsia" w:ascii="MS UI Gothic" w:eastAsia="MS UI Gothic"/>
          <w:spacing w:val="11"/>
          <w:w w:val="80"/>
        </w:rPr>
        <w:t xml:space="preserve">、 </w:t>
      </w:r>
      <w:r>
        <w:rPr>
          <w:spacing w:val="3"/>
        </w:rPr>
        <w:t>健康造成严重危害后果的</w:t>
      </w:r>
      <w:r>
        <w:rPr>
          <w:rFonts w:hint="eastAsia" w:ascii="MS UI Gothic" w:eastAsia="MS UI Gothic"/>
          <w:spacing w:val="11"/>
          <w:w w:val="80"/>
        </w:rPr>
        <w:t xml:space="preserve">ꎬ </w:t>
      </w:r>
      <w:r>
        <w:rPr>
          <w:spacing w:val="2"/>
        </w:rPr>
        <w:t>依照渎职</w:t>
      </w:r>
      <w:r>
        <w:rPr>
          <w:spacing w:val="3"/>
        </w:rPr>
        <w:t>罪的规定从严惩处</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6"/>
        </w:rPr>
        <w:t>第十条 最高人民法院</w:t>
      </w:r>
      <w:r>
        <w:rPr>
          <w:rFonts w:hint="eastAsia" w:ascii="MS UI Gothic" w:eastAsia="MS UI Gothic"/>
          <w:spacing w:val="16"/>
          <w:w w:val="80"/>
        </w:rPr>
        <w:t xml:space="preserve">、 </w:t>
      </w:r>
      <w:r>
        <w:rPr>
          <w:spacing w:val="2"/>
        </w:rPr>
        <w:t>最高人民检察院此前发布的司法解释与本解释不一致</w:t>
      </w:r>
      <w:r>
        <w:rPr>
          <w:spacing w:val="3"/>
        </w:rPr>
        <w:t>的</w:t>
      </w:r>
      <w:r>
        <w:rPr>
          <w:rFonts w:hint="eastAsia" w:ascii="MS UI Gothic" w:eastAsia="MS UI Gothic"/>
          <w:spacing w:val="2"/>
          <w:w w:val="80"/>
        </w:rPr>
        <w:t xml:space="preserve">ꎬ </w:t>
      </w:r>
      <w:r>
        <w:rPr>
          <w:spacing w:val="3"/>
        </w:rPr>
        <w:t>以本解释为准</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0"/>
        <w:ind w:left="0" w:firstLine="0"/>
        <w:jc w:val="left"/>
        <w:rPr>
          <w:rFonts w:ascii="MS UI Gothic"/>
          <w:sz w:val="16"/>
        </w:rPr>
      </w:pPr>
    </w:p>
    <w:p>
      <w:pPr>
        <w:pStyle w:val="4"/>
        <w:tabs>
          <w:tab w:val="left" w:pos="3305"/>
        </w:tabs>
        <w:spacing w:before="78" w:line="266" w:lineRule="auto"/>
        <w:ind w:left="1085" w:right="797" w:firstLine="263"/>
        <w:jc w:val="left"/>
        <w:rPr>
          <w:rFonts w:hint="eastAsia" w:ascii="Microsoft Yi Baiti" w:eastAsia="Microsoft Yi Baiti"/>
        </w:rPr>
      </w:pPr>
      <w:r>
        <w:rPr>
          <w:spacing w:val="5"/>
        </w:rPr>
        <w:t>最高人民法</w:t>
      </w:r>
      <w:r>
        <w:t>院</w:t>
      </w:r>
      <w:r>
        <w:tab/>
      </w:r>
      <w:r>
        <w:rPr>
          <w:spacing w:val="5"/>
        </w:rPr>
        <w:t>最高人民检察院关于办理危害生</w:t>
      </w:r>
      <w:r>
        <w:t xml:space="preserve">产 </w:t>
      </w:r>
      <w:r>
        <w:rPr>
          <w:spacing w:val="5"/>
        </w:rPr>
        <w:t>安全刑事案件适用法律若干问题的解</w:t>
      </w:r>
      <w:r>
        <w:t>释</w:t>
      </w:r>
      <w:r>
        <w:rPr>
          <w:spacing w:val="-56"/>
        </w:rPr>
        <w:t xml:space="preserve"> </w:t>
      </w:r>
      <w:r>
        <w:rPr>
          <w:rFonts w:hint="eastAsia" w:ascii="Microsoft Yi Baiti" w:eastAsia="Microsoft Yi Baiti"/>
          <w:spacing w:val="3"/>
        </w:rPr>
        <w:t>(</w:t>
      </w:r>
      <w:r>
        <w:rPr>
          <w:rFonts w:hint="eastAsia" w:ascii="MS UI Gothic" w:eastAsia="MS UI Gothic"/>
          <w:spacing w:val="3"/>
        </w:rPr>
        <w:t>２０１５</w:t>
      </w:r>
      <w:r>
        <w:rPr>
          <w:rFonts w:hint="eastAsia" w:ascii="MS UI Gothic" w:eastAsia="MS UI Gothic"/>
          <w:spacing w:val="-40"/>
        </w:rPr>
        <w:t xml:space="preserve"> </w:t>
      </w:r>
      <w:r>
        <w:rPr>
          <w:spacing w:val="5"/>
        </w:rPr>
        <w:t>年公布</w:t>
      </w:r>
      <w:r>
        <w:rPr>
          <w:rFonts w:hint="eastAsia" w:ascii="Microsoft Yi Baiti" w:eastAsia="Microsoft Yi Baiti"/>
        </w:rPr>
        <w:t>)</w:t>
      </w:r>
    </w:p>
    <w:p>
      <w:pPr>
        <w:pStyle w:val="5"/>
        <w:spacing w:before="309"/>
      </w:pPr>
      <w:r>
        <w:rPr>
          <w:w w:val="90"/>
        </w:rPr>
        <w:t>法释 〔</w:t>
      </w:r>
      <w:r>
        <w:rPr>
          <w:rFonts w:hint="eastAsia" w:ascii="MS UI Gothic" w:eastAsia="MS UI Gothic"/>
          <w:w w:val="90"/>
        </w:rPr>
        <w:t>２０１５</w:t>
      </w:r>
      <w:r>
        <w:rPr>
          <w:w w:val="90"/>
        </w:rPr>
        <w:t xml:space="preserve">〕 </w:t>
      </w:r>
      <w:r>
        <w:rPr>
          <w:rFonts w:hint="eastAsia" w:ascii="MS UI Gothic" w:eastAsia="MS UI Gothic"/>
          <w:w w:val="90"/>
        </w:rPr>
        <w:t xml:space="preserve">２２ </w:t>
      </w:r>
      <w:r>
        <w:rPr>
          <w:w w:val="90"/>
        </w:rPr>
        <w:t>号</w:t>
      </w:r>
    </w:p>
    <w:p>
      <w:pPr>
        <w:pStyle w:val="6"/>
        <w:spacing w:before="354"/>
        <w:ind w:left="860" w:firstLine="0"/>
        <w:jc w:val="left"/>
      </w:pPr>
      <w:r>
        <w:rPr>
          <w:rFonts w:hint="eastAsia" w:ascii="Microsoft Yi Baiti" w:eastAsia="Microsoft Yi Baiti"/>
          <w:spacing w:val="2"/>
        </w:rPr>
        <w:t>(</w:t>
      </w:r>
      <w:r>
        <w:rPr>
          <w:rFonts w:hint="eastAsia" w:ascii="MS UI Gothic" w:eastAsia="MS UI Gothic"/>
          <w:spacing w:val="-6"/>
        </w:rPr>
        <w:t xml:space="preserve">２０１５ </w:t>
      </w:r>
      <w:r>
        <w:rPr>
          <w:spacing w:val="-38"/>
        </w:rPr>
        <w:t xml:space="preserve">年 </w:t>
      </w:r>
      <w:r>
        <w:rPr>
          <w:rFonts w:hint="eastAsia" w:ascii="MS UI Gothic" w:eastAsia="MS UI Gothic"/>
          <w:spacing w:val="-12"/>
        </w:rPr>
        <w:t xml:space="preserve">１１ </w:t>
      </w:r>
      <w:r>
        <w:rPr>
          <w:spacing w:val="-37"/>
        </w:rPr>
        <w:t xml:space="preserve">月 </w:t>
      </w:r>
      <w:r>
        <w:rPr>
          <w:rFonts w:hint="eastAsia" w:ascii="MS UI Gothic" w:eastAsia="MS UI Gothic"/>
          <w:spacing w:val="-16"/>
        </w:rPr>
        <w:t xml:space="preserve">９ </w:t>
      </w:r>
      <w:r>
        <w:t xml:space="preserve">日最高人民法院审判委员会第 </w:t>
      </w:r>
      <w:r>
        <w:rPr>
          <w:rFonts w:hint="eastAsia" w:ascii="MS UI Gothic" w:eastAsia="MS UI Gothic"/>
          <w:spacing w:val="-7"/>
        </w:rPr>
        <w:t xml:space="preserve">１６６５ </w:t>
      </w:r>
      <w:r>
        <w:rPr>
          <w:spacing w:val="5"/>
        </w:rPr>
        <w:t>次会议</w:t>
      </w:r>
      <w:r>
        <w:rPr>
          <w:rFonts w:hint="eastAsia" w:ascii="Microsoft Yi Baiti" w:eastAsia="Microsoft Yi Baiti"/>
          <w:spacing w:val="-19"/>
        </w:rPr>
        <w:t xml:space="preserve">、 </w:t>
      </w:r>
      <w:r>
        <w:rPr>
          <w:rFonts w:hint="eastAsia" w:ascii="MS UI Gothic" w:eastAsia="MS UI Gothic"/>
          <w:spacing w:val="-7"/>
        </w:rPr>
        <w:t xml:space="preserve">２０１５ </w:t>
      </w:r>
      <w:r>
        <w:rPr>
          <w:spacing w:val="-37"/>
        </w:rPr>
        <w:t xml:space="preserve">年 </w:t>
      </w:r>
      <w:r>
        <w:rPr>
          <w:rFonts w:hint="eastAsia" w:ascii="MS UI Gothic" w:eastAsia="MS UI Gothic"/>
          <w:spacing w:val="-10"/>
        </w:rPr>
        <w:t xml:space="preserve">１２ </w:t>
      </w:r>
      <w:r>
        <w:rPr>
          <w:spacing w:val="-37"/>
        </w:rPr>
        <w:t xml:space="preserve">月 </w:t>
      </w:r>
      <w:r>
        <w:rPr>
          <w:rFonts w:hint="eastAsia" w:ascii="MS UI Gothic" w:eastAsia="MS UI Gothic"/>
          <w:spacing w:val="-15"/>
        </w:rPr>
        <w:t xml:space="preserve">９ </w:t>
      </w:r>
      <w:r>
        <w:rPr>
          <w:spacing w:val="4"/>
        </w:rPr>
        <w:t>日最</w:t>
      </w:r>
    </w:p>
    <w:p>
      <w:pPr>
        <w:pStyle w:val="6"/>
        <w:spacing w:before="58"/>
        <w:ind w:left="440" w:firstLine="0"/>
        <w:jc w:val="left"/>
        <w:rPr>
          <w:rFonts w:hint="eastAsia" w:ascii="Microsoft Yi Baiti" w:eastAsia="Microsoft Yi Baiti"/>
        </w:rPr>
      </w:pPr>
      <w:r>
        <w:t xml:space="preserve">高人民检察院第十二届检察委员会第 </w:t>
      </w:r>
      <w:r>
        <w:rPr>
          <w:rFonts w:hint="eastAsia" w:ascii="MS UI Gothic" w:eastAsia="MS UI Gothic"/>
        </w:rPr>
        <w:t xml:space="preserve">４４ </w:t>
      </w:r>
      <w:r>
        <w:t>次会议通过</w:t>
      </w:r>
      <w:r>
        <w:rPr>
          <w:rFonts w:hint="eastAsia" w:ascii="Microsoft Yi Baiti" w:eastAsia="Microsoft Yi Baiti"/>
        </w:rPr>
        <w:t xml:space="preserve">ꎬ </w:t>
      </w:r>
      <w:r>
        <w:t xml:space="preserve">自 </w:t>
      </w:r>
      <w:r>
        <w:rPr>
          <w:rFonts w:hint="eastAsia" w:ascii="MS UI Gothic" w:eastAsia="MS UI Gothic"/>
        </w:rPr>
        <w:t xml:space="preserve">２０１５ </w:t>
      </w:r>
      <w:r>
        <w:t xml:space="preserve">年 </w:t>
      </w:r>
      <w:r>
        <w:rPr>
          <w:rFonts w:hint="eastAsia" w:ascii="MS UI Gothic" w:eastAsia="MS UI Gothic"/>
        </w:rPr>
        <w:t xml:space="preserve">１２ </w:t>
      </w:r>
      <w:r>
        <w:t xml:space="preserve">月 </w:t>
      </w:r>
      <w:r>
        <w:rPr>
          <w:rFonts w:hint="eastAsia" w:ascii="MS UI Gothic" w:eastAsia="MS UI Gothic"/>
        </w:rPr>
        <w:t xml:space="preserve">１６ </w:t>
      </w:r>
      <w:r>
        <w:t>日起施行</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174" w:line="295" w:lineRule="auto"/>
        <w:ind w:left="440"/>
        <w:rPr>
          <w:rFonts w:hint="eastAsia" w:ascii="MS UI Gothic" w:eastAsia="MS UI Gothic"/>
        </w:rPr>
      </w:pPr>
      <w:r>
        <w:rPr>
          <w:spacing w:val="3"/>
        </w:rPr>
        <w:t>为依法惩治危害生产安全犯罪</w:t>
      </w:r>
      <w:r>
        <w:rPr>
          <w:rFonts w:hint="eastAsia" w:ascii="MS UI Gothic" w:eastAsia="MS UI Gothic"/>
          <w:spacing w:val="16"/>
          <w:w w:val="80"/>
        </w:rPr>
        <w:t xml:space="preserve">ꎬ </w:t>
      </w:r>
      <w:r>
        <w:rPr>
          <w:spacing w:val="1"/>
        </w:rPr>
        <w:t>根据</w:t>
      </w:r>
      <w:r>
        <w:rPr>
          <w:spacing w:val="3"/>
        </w:rPr>
        <w:t>刑法有关规定</w:t>
      </w:r>
      <w:r>
        <w:rPr>
          <w:rFonts w:hint="eastAsia" w:ascii="MS UI Gothic" w:eastAsia="MS UI Gothic"/>
          <w:spacing w:val="21"/>
          <w:w w:val="80"/>
        </w:rPr>
        <w:t xml:space="preserve">ꎬ </w:t>
      </w:r>
      <w:r>
        <w:rPr>
          <w:spacing w:val="2"/>
        </w:rPr>
        <w:t>现就办理此类刑事案件适</w:t>
      </w:r>
      <w:r>
        <w:rPr>
          <w:spacing w:val="3"/>
          <w:w w:val="105"/>
        </w:rPr>
        <w:t>用法律的若干问题解释如下</w:t>
      </w:r>
      <w:r>
        <w:rPr>
          <w:rFonts w:hint="eastAsia" w:ascii="MS UI Gothic" w:eastAsia="MS UI Gothic"/>
          <w:w w:val="235"/>
        </w:rPr>
        <w:t>:</w:t>
      </w:r>
    </w:p>
    <w:p>
      <w:pPr>
        <w:pStyle w:val="6"/>
        <w:spacing w:line="295" w:lineRule="auto"/>
        <w:ind w:left="440"/>
        <w:rPr>
          <w:rFonts w:hint="eastAsia" w:ascii="MS UI Gothic" w:eastAsia="MS UI Gothic"/>
        </w:rPr>
      </w:pPr>
      <w:r>
        <w:rPr>
          <w:spacing w:val="4"/>
        </w:rPr>
        <w:t>第一条 刑法第一百三十四条第一款</w:t>
      </w:r>
      <w:r>
        <w:rPr>
          <w:spacing w:val="3"/>
        </w:rPr>
        <w:t>规定的犯罪主体</w:t>
      </w:r>
      <w:r>
        <w:rPr>
          <w:rFonts w:hint="eastAsia" w:ascii="MS UI Gothic" w:eastAsia="MS UI Gothic"/>
          <w:spacing w:val="11"/>
          <w:w w:val="80"/>
        </w:rPr>
        <w:t xml:space="preserve">ꎬ </w:t>
      </w:r>
      <w:r>
        <w:rPr>
          <w:spacing w:val="3"/>
        </w:rPr>
        <w:t>包括对生产</w:t>
      </w:r>
      <w:r>
        <w:rPr>
          <w:rFonts w:hint="eastAsia" w:ascii="MS UI Gothic" w:eastAsia="MS UI Gothic"/>
          <w:spacing w:val="11"/>
          <w:w w:val="80"/>
        </w:rPr>
        <w:t xml:space="preserve">、 </w:t>
      </w:r>
      <w:r>
        <w:rPr>
          <w:spacing w:val="2"/>
        </w:rPr>
        <w:t>作业负有</w:t>
      </w:r>
      <w:r>
        <w:rPr>
          <w:spacing w:val="3"/>
        </w:rPr>
        <w:t>组织</w:t>
      </w:r>
      <w:r>
        <w:rPr>
          <w:rFonts w:hint="eastAsia" w:ascii="MS UI Gothic" w:eastAsia="MS UI Gothic"/>
          <w:spacing w:val="23"/>
          <w:w w:val="80"/>
        </w:rPr>
        <w:t xml:space="preserve">、 </w:t>
      </w:r>
      <w:r>
        <w:rPr>
          <w:spacing w:val="3"/>
        </w:rPr>
        <w:t>指挥或者管理职责的负责人</w:t>
      </w:r>
      <w:r>
        <w:rPr>
          <w:rFonts w:hint="eastAsia" w:ascii="MS UI Gothic" w:eastAsia="MS UI Gothic"/>
          <w:spacing w:val="24"/>
          <w:w w:val="80"/>
        </w:rPr>
        <w:t xml:space="preserve">、 </w:t>
      </w:r>
      <w:r>
        <w:rPr>
          <w:spacing w:val="1"/>
        </w:rPr>
        <w:t>管理</w:t>
      </w:r>
      <w:r>
        <w:rPr>
          <w:spacing w:val="3"/>
        </w:rPr>
        <w:t>人员</w:t>
      </w:r>
      <w:r>
        <w:rPr>
          <w:rFonts w:hint="eastAsia" w:ascii="MS UI Gothic" w:eastAsia="MS UI Gothic"/>
          <w:spacing w:val="7"/>
          <w:w w:val="80"/>
        </w:rPr>
        <w:t xml:space="preserve">、 </w:t>
      </w:r>
      <w:r>
        <w:rPr>
          <w:spacing w:val="3"/>
        </w:rPr>
        <w:t>实际控制人</w:t>
      </w:r>
      <w:r>
        <w:rPr>
          <w:rFonts w:hint="eastAsia" w:ascii="MS UI Gothic" w:eastAsia="MS UI Gothic"/>
          <w:spacing w:val="7"/>
          <w:w w:val="80"/>
        </w:rPr>
        <w:t xml:space="preserve">、 </w:t>
      </w:r>
      <w:r>
        <w:rPr>
          <w:spacing w:val="3"/>
        </w:rPr>
        <w:t>投资人等人员</w:t>
      </w:r>
      <w:r>
        <w:rPr>
          <w:rFonts w:hint="eastAsia" w:ascii="MS UI Gothic" w:eastAsia="MS UI Gothic"/>
          <w:spacing w:val="7"/>
          <w:w w:val="80"/>
        </w:rPr>
        <w:t xml:space="preserve">ꎬ </w:t>
      </w:r>
      <w:r>
        <w:rPr>
          <w:spacing w:val="1"/>
        </w:rPr>
        <w:t>以及</w:t>
      </w:r>
      <w:r>
        <w:rPr>
          <w:spacing w:val="3"/>
        </w:rPr>
        <w:t>直接从事生产</w:t>
      </w:r>
      <w:r>
        <w:rPr>
          <w:rFonts w:hint="eastAsia" w:ascii="MS UI Gothic" w:eastAsia="MS UI Gothic"/>
          <w:spacing w:val="4"/>
          <w:w w:val="80"/>
        </w:rPr>
        <w:t xml:space="preserve">、 </w:t>
      </w:r>
      <w:r>
        <w:rPr>
          <w:spacing w:val="3"/>
        </w:rPr>
        <w:t>作业的人员</w:t>
      </w:r>
      <w:r>
        <w:rPr>
          <w:rFonts w:hint="eastAsia" w:ascii="MS UI Gothic" w:eastAsia="MS UI Gothic"/>
          <w:w w:val="80"/>
        </w:rPr>
        <w:t>ꎮ</w:t>
      </w:r>
    </w:p>
    <w:p>
      <w:pPr>
        <w:pStyle w:val="6"/>
        <w:spacing w:line="295" w:lineRule="auto"/>
        <w:ind w:left="440"/>
      </w:pPr>
      <w:r>
        <w:rPr>
          <w:w w:val="105"/>
        </w:rPr>
        <w:t>第二条 刑法第一百三十四条第二款规定的犯罪主体</w:t>
      </w:r>
      <w:r>
        <w:rPr>
          <w:rFonts w:hint="eastAsia" w:ascii="MS UI Gothic" w:eastAsia="MS UI Gothic"/>
          <w:w w:val="80"/>
        </w:rPr>
        <w:t xml:space="preserve">ꎬ </w:t>
      </w:r>
      <w:r>
        <w:rPr>
          <w:w w:val="105"/>
        </w:rPr>
        <w:t>包括对生产</w:t>
      </w:r>
      <w:r>
        <w:rPr>
          <w:rFonts w:hint="eastAsia" w:ascii="MS UI Gothic" w:eastAsia="MS UI Gothic"/>
          <w:w w:val="80"/>
        </w:rPr>
        <w:t xml:space="preserve">、 </w:t>
      </w:r>
      <w:r>
        <w:rPr>
          <w:w w:val="105"/>
        </w:rPr>
        <w:t>作业负有组织</w:t>
      </w:r>
      <w:r>
        <w:rPr>
          <w:rFonts w:hint="eastAsia" w:ascii="MS UI Gothic" w:eastAsia="MS UI Gothic"/>
          <w:w w:val="80"/>
        </w:rPr>
        <w:t xml:space="preserve">、 </w:t>
      </w:r>
      <w:r>
        <w:rPr>
          <w:w w:val="105"/>
        </w:rPr>
        <w:t>指挥或者管理职责的负责人</w:t>
      </w:r>
      <w:r>
        <w:rPr>
          <w:rFonts w:hint="eastAsia" w:ascii="MS UI Gothic" w:eastAsia="MS UI Gothic"/>
          <w:w w:val="80"/>
        </w:rPr>
        <w:t xml:space="preserve">、 </w:t>
      </w:r>
      <w:r>
        <w:rPr>
          <w:w w:val="105"/>
        </w:rPr>
        <w:t>管理</w:t>
      </w:r>
    </w:p>
    <w:p>
      <w:pPr>
        <w:pStyle w:val="6"/>
        <w:spacing w:line="238" w:lineRule="exact"/>
        <w:ind w:left="440" w:firstLine="0"/>
        <w:jc w:val="left"/>
        <w:rPr>
          <w:rFonts w:hint="eastAsia" w:ascii="MS UI Gothic" w:eastAsia="MS UI Gothic"/>
        </w:rPr>
      </w:pPr>
      <w:r>
        <w:t>人员</w:t>
      </w:r>
      <w:r>
        <w:rPr>
          <w:rFonts w:hint="eastAsia" w:ascii="MS UI Gothic" w:eastAsia="MS UI Gothic"/>
        </w:rPr>
        <w:t xml:space="preserve">、 </w:t>
      </w:r>
      <w:r>
        <w:t>实际控制人</w:t>
      </w:r>
      <w:r>
        <w:rPr>
          <w:rFonts w:hint="eastAsia" w:ascii="MS UI Gothic" w:eastAsia="MS UI Gothic"/>
        </w:rPr>
        <w:t xml:space="preserve">、 </w:t>
      </w:r>
      <w:r>
        <w:t>投资人等人员</w:t>
      </w:r>
      <w:r>
        <w:rPr>
          <w:rFonts w:hint="eastAsia" w:ascii="MS UI Gothic" w:eastAsia="MS UI Gothic"/>
          <w:w w:val="80"/>
        </w:rPr>
        <w:t>ꎮ</w:t>
      </w:r>
    </w:p>
    <w:p>
      <w:pPr>
        <w:pStyle w:val="6"/>
        <w:spacing w:before="174" w:line="295" w:lineRule="auto"/>
        <w:ind w:left="383" w:right="126" w:firstLine="0"/>
        <w:rPr>
          <w:rFonts w:hint="eastAsia" w:ascii="MS UI Gothic" w:eastAsia="MS UI Gothic"/>
        </w:rPr>
      </w:pPr>
      <w:r>
        <w:br w:type="column"/>
      </w:r>
      <w:r>
        <w:t>者安全生产条件负有管理</w:t>
      </w:r>
      <w:r>
        <w:rPr>
          <w:rFonts w:hint="eastAsia" w:ascii="MS UI Gothic" w:eastAsia="MS UI Gothic"/>
          <w:w w:val="80"/>
        </w:rPr>
        <w:t xml:space="preserve">、 </w:t>
      </w:r>
      <w:r>
        <w:t>维护职责的人员</w:t>
      </w:r>
      <w:r>
        <w:rPr>
          <w:rFonts w:hint="eastAsia" w:ascii="MS UI Gothic" w:eastAsia="MS UI Gothic"/>
          <w:w w:val="80"/>
        </w:rPr>
        <w:t>ꎮ</w:t>
      </w:r>
    </w:p>
    <w:p>
      <w:pPr>
        <w:pStyle w:val="6"/>
        <w:spacing w:line="295" w:lineRule="auto"/>
        <w:ind w:left="383" w:right="126"/>
        <w:rPr>
          <w:rFonts w:hint="eastAsia" w:ascii="MS UI Gothic" w:hAnsi="MS UI Gothic" w:eastAsia="MS UI Gothic"/>
        </w:rPr>
      </w:pPr>
      <w:r>
        <w:t xml:space="preserve">第四条 刑法第一百三十九条之一规定的 </w:t>
      </w:r>
      <w:r>
        <w:rPr>
          <w:rFonts w:hint="eastAsia" w:ascii="MS UI Gothic" w:hAnsi="MS UI Gothic" w:eastAsia="MS UI Gothic"/>
        </w:rPr>
        <w:t xml:space="preserve">“ </w:t>
      </w:r>
      <w:r>
        <w:t>负有报告职责的人员</w:t>
      </w:r>
      <w:r>
        <w:rPr>
          <w:rFonts w:hint="eastAsia" w:ascii="MS UI Gothic" w:hAnsi="MS UI Gothic" w:eastAsia="MS UI Gothic"/>
        </w:rPr>
        <w:t xml:space="preserve">” </w:t>
      </w:r>
      <w:r>
        <w:rPr>
          <w:rFonts w:hint="eastAsia" w:ascii="MS UI Gothic" w:hAnsi="MS UI Gothic" w:eastAsia="MS UI Gothic"/>
          <w:w w:val="80"/>
        </w:rPr>
        <w:t xml:space="preserve">ꎬ </w:t>
      </w:r>
      <w:r>
        <w:t>是指负有组织</w:t>
      </w:r>
      <w:r>
        <w:rPr>
          <w:rFonts w:hint="eastAsia" w:ascii="MS UI Gothic" w:hAnsi="MS UI Gothic" w:eastAsia="MS UI Gothic"/>
          <w:w w:val="80"/>
        </w:rPr>
        <w:t xml:space="preserve">、 </w:t>
      </w:r>
      <w:r>
        <w:t>指挥或者管理职责的负责人</w:t>
      </w:r>
      <w:r>
        <w:rPr>
          <w:rFonts w:hint="eastAsia" w:ascii="MS UI Gothic" w:hAnsi="MS UI Gothic" w:eastAsia="MS UI Gothic"/>
          <w:w w:val="80"/>
        </w:rPr>
        <w:t xml:space="preserve">、 </w:t>
      </w:r>
      <w:r>
        <w:t>管理人员</w:t>
      </w:r>
      <w:r>
        <w:rPr>
          <w:rFonts w:hint="eastAsia" w:ascii="MS UI Gothic" w:hAnsi="MS UI Gothic" w:eastAsia="MS UI Gothic"/>
          <w:w w:val="80"/>
        </w:rPr>
        <w:t xml:space="preserve">、 </w:t>
      </w:r>
      <w:r>
        <w:t>实际控制人</w:t>
      </w:r>
      <w:r>
        <w:rPr>
          <w:rFonts w:hint="eastAsia" w:ascii="MS UI Gothic" w:hAnsi="MS UI Gothic" w:eastAsia="MS UI Gothic"/>
          <w:w w:val="80"/>
        </w:rPr>
        <w:t xml:space="preserve">、 </w:t>
      </w:r>
      <w:r>
        <w:t>投资人</w:t>
      </w:r>
      <w:r>
        <w:rPr>
          <w:rFonts w:hint="eastAsia" w:ascii="MS UI Gothic" w:hAnsi="MS UI Gothic" w:eastAsia="MS UI Gothic"/>
          <w:w w:val="80"/>
        </w:rPr>
        <w:t xml:space="preserve">ꎬ </w:t>
      </w:r>
      <w:r>
        <w:t>以及其他负有报告职责的人员</w:t>
      </w:r>
      <w:r>
        <w:rPr>
          <w:rFonts w:hint="eastAsia" w:ascii="MS UI Gothic" w:hAnsi="MS UI Gothic" w:eastAsia="MS UI Gothic"/>
          <w:w w:val="80"/>
        </w:rPr>
        <w:t>ꎮ</w:t>
      </w:r>
    </w:p>
    <w:p>
      <w:pPr>
        <w:pStyle w:val="6"/>
        <w:spacing w:line="295" w:lineRule="auto"/>
        <w:ind w:left="383" w:right="126"/>
      </w:pPr>
      <w:r>
        <w:t>第五条 明知存在事故隐患</w:t>
      </w:r>
      <w:r>
        <w:rPr>
          <w:rFonts w:hint="eastAsia" w:ascii="MS UI Gothic" w:hAnsi="MS UI Gothic" w:eastAsia="MS UI Gothic"/>
          <w:w w:val="80"/>
        </w:rPr>
        <w:t xml:space="preserve">、 </w:t>
      </w:r>
      <w:r>
        <w:t>继续作业存在危险</w:t>
      </w:r>
      <w:r>
        <w:rPr>
          <w:rFonts w:hint="eastAsia" w:ascii="MS UI Gothic" w:hAnsi="MS UI Gothic" w:eastAsia="MS UI Gothic"/>
          <w:w w:val="80"/>
        </w:rPr>
        <w:t xml:space="preserve">ꎬ </w:t>
      </w:r>
      <w:r>
        <w:t>仍然违反有关安全管理的规定</w:t>
      </w:r>
      <w:r>
        <w:rPr>
          <w:rFonts w:hint="eastAsia" w:ascii="MS UI Gothic" w:hAnsi="MS UI Gothic" w:eastAsia="MS UI Gothic"/>
          <w:w w:val="80"/>
        </w:rPr>
        <w:t xml:space="preserve">ꎬ </w:t>
      </w:r>
      <w:r>
        <w:t>实施下列行为之一的</w:t>
      </w:r>
      <w:r>
        <w:rPr>
          <w:rFonts w:hint="eastAsia" w:ascii="MS UI Gothic" w:hAnsi="MS UI Gothic" w:eastAsia="MS UI Gothic"/>
          <w:w w:val="80"/>
        </w:rPr>
        <w:t xml:space="preserve">ꎬ </w:t>
      </w:r>
      <w:r>
        <w:t xml:space="preserve">应当认定为刑法第一百三十四条第二款规定的 </w:t>
      </w:r>
      <w:r>
        <w:rPr>
          <w:rFonts w:hint="eastAsia" w:ascii="MS UI Gothic" w:hAnsi="MS UI Gothic" w:eastAsia="MS UI Gothic"/>
        </w:rPr>
        <w:t xml:space="preserve">“ </w:t>
      </w:r>
      <w:r>
        <w:t>强令</w:t>
      </w:r>
    </w:p>
    <w:p>
      <w:pPr>
        <w:pStyle w:val="6"/>
        <w:spacing w:line="237" w:lineRule="exact"/>
        <w:ind w:left="383" w:firstLine="0"/>
        <w:jc w:val="left"/>
        <w:rPr>
          <w:rFonts w:hint="eastAsia" w:ascii="MS UI Gothic" w:hAnsi="MS UI Gothic" w:eastAsia="MS UI Gothic"/>
        </w:rPr>
      </w:pPr>
      <w:r>
        <w:rPr>
          <w:spacing w:val="3"/>
          <w:w w:val="102"/>
        </w:rPr>
        <w:t>他人违章冒险作业</w:t>
      </w:r>
      <w:r>
        <w:rPr>
          <w:rFonts w:hint="eastAsia" w:ascii="MS UI Gothic" w:hAnsi="MS UI Gothic" w:eastAsia="MS UI Gothic"/>
          <w:spacing w:val="21"/>
          <w:w w:val="102"/>
        </w:rPr>
        <w:t>”</w:t>
      </w:r>
      <w:r>
        <w:rPr>
          <w:rFonts w:hint="eastAsia" w:ascii="MS UI Gothic" w:hAnsi="MS UI Gothic" w:eastAsia="MS UI Gothic"/>
          <w:w w:val="253"/>
        </w:rPr>
        <w:t>:</w:t>
      </w:r>
    </w:p>
    <w:p>
      <w:pPr>
        <w:spacing w:after="0" w:line="237" w:lineRule="exact"/>
        <w:jc w:val="left"/>
        <w:rPr>
          <w:rFonts w:hint="eastAsia" w:ascii="MS UI Gothic" w:hAns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68" w:line="295" w:lineRule="auto"/>
        <w:ind w:left="440"/>
      </w:pPr>
      <w:r>
        <w:rPr>
          <w:w w:val="105"/>
        </w:rPr>
        <w:t>第三条 刑法第一百三十五条规定的</w:t>
      </w:r>
      <w:r>
        <w:rPr>
          <w:rFonts w:hint="eastAsia" w:ascii="MS UI Gothic" w:hAnsi="MS UI Gothic" w:eastAsia="MS UI Gothic"/>
        </w:rPr>
        <w:t xml:space="preserve">“ </w:t>
      </w:r>
      <w:r>
        <w:t>直接负责的主管人员和其他直接责任人员</w:t>
      </w:r>
      <w:r>
        <w:rPr>
          <w:rFonts w:hint="eastAsia" w:ascii="MS UI Gothic" w:hAnsi="MS UI Gothic" w:eastAsia="MS UI Gothic"/>
        </w:rPr>
        <w:t xml:space="preserve">” </w:t>
      </w:r>
      <w:r>
        <w:rPr>
          <w:rFonts w:hint="eastAsia" w:ascii="MS UI Gothic" w:hAnsi="MS UI Gothic" w:eastAsia="MS UI Gothic"/>
          <w:w w:val="80"/>
        </w:rPr>
        <w:t xml:space="preserve">ꎬ </w:t>
      </w:r>
      <w:r>
        <w:t>是指对安全生产设施或者安全生产条件不符合国家规定负有直接责任的生产</w:t>
      </w:r>
      <w:r>
        <w:rPr>
          <w:w w:val="105"/>
        </w:rPr>
        <w:t>经营单位负责人</w:t>
      </w:r>
      <w:r>
        <w:rPr>
          <w:rFonts w:hint="eastAsia" w:ascii="MS UI Gothic" w:hAnsi="MS UI Gothic" w:eastAsia="MS UI Gothic"/>
          <w:w w:val="80"/>
        </w:rPr>
        <w:t xml:space="preserve">、 </w:t>
      </w:r>
      <w:r>
        <w:rPr>
          <w:w w:val="105"/>
        </w:rPr>
        <w:t>管理人员</w:t>
      </w:r>
      <w:r>
        <w:rPr>
          <w:rFonts w:hint="eastAsia" w:ascii="MS UI Gothic" w:hAnsi="MS UI Gothic" w:eastAsia="MS UI Gothic"/>
          <w:w w:val="80"/>
        </w:rPr>
        <w:t xml:space="preserve">、 </w:t>
      </w:r>
      <w:r>
        <w:rPr>
          <w:w w:val="105"/>
        </w:rPr>
        <w:t>实际控制人</w:t>
      </w:r>
      <w:r>
        <w:rPr>
          <w:rFonts w:hint="eastAsia" w:ascii="MS UI Gothic" w:hAnsi="MS UI Gothic" w:eastAsia="MS UI Gothic"/>
          <w:w w:val="80"/>
        </w:rPr>
        <w:t xml:space="preserve">、 </w:t>
      </w:r>
      <w:r>
        <w:rPr>
          <w:w w:val="105"/>
        </w:rPr>
        <w:t>投资人</w:t>
      </w:r>
      <w:r>
        <w:rPr>
          <w:rFonts w:hint="eastAsia" w:ascii="MS UI Gothic" w:hAnsi="MS UI Gothic" w:eastAsia="MS UI Gothic"/>
          <w:w w:val="80"/>
        </w:rPr>
        <w:t xml:space="preserve">ꎬ </w:t>
      </w:r>
      <w:r>
        <w:rPr>
          <w:w w:val="105"/>
        </w:rPr>
        <w:t>以及其他对安全生产设施或</w:t>
      </w:r>
    </w:p>
    <w:p>
      <w:pPr>
        <w:pStyle w:val="6"/>
        <w:spacing w:before="68" w:line="295" w:lineRule="auto"/>
        <w:ind w:left="383" w:right="124"/>
        <w:jc w:val="left"/>
        <w:rPr>
          <w:rFonts w:hint="eastAsia" w:ascii="MS UI Gothic" w:eastAsia="MS UI Gothic"/>
        </w:rPr>
      </w:pPr>
      <w:r>
        <w:br w:type="column"/>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利用组织</w:t>
      </w:r>
      <w:r>
        <w:rPr>
          <w:rFonts w:hint="eastAsia" w:ascii="MS UI Gothic" w:eastAsia="MS UI Gothic"/>
          <w:w w:val="80"/>
        </w:rPr>
        <w:t xml:space="preserve">、 </w:t>
      </w:r>
      <w:r>
        <w:rPr>
          <w:w w:val="105"/>
        </w:rPr>
        <w:t>指挥</w:t>
      </w:r>
      <w:r>
        <w:rPr>
          <w:rFonts w:hint="eastAsia" w:ascii="MS UI Gothic" w:eastAsia="MS UI Gothic"/>
          <w:w w:val="80"/>
        </w:rPr>
        <w:t xml:space="preserve">、 </w:t>
      </w:r>
      <w:r>
        <w:rPr>
          <w:w w:val="105"/>
        </w:rPr>
        <w:t>管理职权</w:t>
      </w:r>
      <w:r>
        <w:rPr>
          <w:rFonts w:hint="eastAsia" w:ascii="MS UI Gothic" w:eastAsia="MS UI Gothic"/>
          <w:w w:val="80"/>
        </w:rPr>
        <w:t>ꎬ</w:t>
      </w:r>
      <w:r>
        <w:rPr>
          <w:w w:val="105"/>
        </w:rPr>
        <w:t>强制他人违章作业的</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采取威逼</w:t>
      </w:r>
      <w:r>
        <w:rPr>
          <w:rFonts w:hint="eastAsia" w:ascii="MS UI Gothic" w:eastAsia="MS UI Gothic"/>
          <w:w w:val="80"/>
        </w:rPr>
        <w:t xml:space="preserve">、 </w:t>
      </w:r>
      <w:r>
        <w:rPr>
          <w:w w:val="105"/>
        </w:rPr>
        <w:t>胁迫</w:t>
      </w:r>
      <w:r>
        <w:rPr>
          <w:rFonts w:hint="eastAsia" w:ascii="MS UI Gothic" w:eastAsia="MS UI Gothic"/>
          <w:w w:val="80"/>
        </w:rPr>
        <w:t xml:space="preserve">、 </w:t>
      </w:r>
      <w:r>
        <w:rPr>
          <w:w w:val="105"/>
        </w:rPr>
        <w:t>恐吓等手段</w:t>
      </w:r>
      <w:r>
        <w:rPr>
          <w:rFonts w:hint="eastAsia" w:ascii="MS UI Gothic" w:eastAsia="MS UI Gothic"/>
          <w:w w:val="80"/>
        </w:rPr>
        <w:t xml:space="preserve">ꎬ </w:t>
      </w:r>
      <w:r>
        <w:rPr>
          <w:w w:val="105"/>
        </w:rPr>
        <w:t>强制他人违章作业的</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故意掩盖事故隐患</w:t>
      </w:r>
      <w:r>
        <w:rPr>
          <w:rFonts w:hint="eastAsia" w:ascii="MS UI Gothic" w:eastAsia="MS UI Gothic"/>
          <w:w w:val="80"/>
        </w:rPr>
        <w:t xml:space="preserve">ꎬ </w:t>
      </w:r>
      <w:r>
        <w:rPr>
          <w:w w:val="105"/>
        </w:rPr>
        <w:t>组织他人违章作业的</w:t>
      </w:r>
      <w:r>
        <w:rPr>
          <w:rFonts w:hint="eastAsia" w:ascii="MS UI Gothic" w:eastAsia="MS UI Gothic"/>
          <w:w w:val="80"/>
        </w:rPr>
        <w:t>ꎻ</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１２</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88" o:spid="_x0000_s1088" o:spt="203" style="height:2.15pt;width:398.25pt;" coordsize="7965,43">
            <o:lock v:ext="edit"/>
            <v:line id="_x0000_s1089" o:spid="_x0000_s1089" o:spt="20" style="position:absolute;left:0;top:39;height:0;width:7965;" stroked="t" coordsize="21600,21600">
              <v:path arrowok="t"/>
              <v:fill focussize="0,0"/>
              <v:stroke weight="0.388031496062992pt" color="#231F20"/>
              <v:imagedata o:title=""/>
              <o:lock v:ext="edit"/>
            </v:line>
            <v:line id="_x0000_s1090" o:spid="_x0000_s109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rFonts w:hint="eastAsia" w:ascii="MS UI Gothic" w:eastAsia="MS UI Gothic"/>
          <w:spacing w:val="-34"/>
          <w:w w:val="125"/>
        </w:rPr>
        <w:t xml:space="preserve">( </w:t>
      </w:r>
      <w:r>
        <w:rPr>
          <w:spacing w:val="29"/>
          <w:w w:val="110"/>
        </w:rPr>
        <w:t>四</w:t>
      </w:r>
      <w:r>
        <w:rPr>
          <w:rFonts w:hint="eastAsia" w:ascii="MS UI Gothic" w:eastAsia="MS UI Gothic"/>
          <w:spacing w:val="-11"/>
          <w:w w:val="125"/>
        </w:rPr>
        <w:t xml:space="preserve">) </w:t>
      </w:r>
      <w:r>
        <w:rPr>
          <w:spacing w:val="41"/>
          <w:w w:val="110"/>
        </w:rPr>
        <w:t>其他强令他人违章作业的</w:t>
      </w:r>
      <w:r>
        <w:rPr>
          <w:spacing w:val="3"/>
          <w:w w:val="110"/>
        </w:rPr>
        <w:t>行为</w:t>
      </w:r>
      <w:r>
        <w:rPr>
          <w:rFonts w:hint="eastAsia" w:ascii="MS UI Gothic" w:eastAsia="MS UI Gothic"/>
          <w:w w:val="80"/>
        </w:rPr>
        <w:t>ꎮ</w:t>
      </w:r>
    </w:p>
    <w:p>
      <w:pPr>
        <w:pStyle w:val="6"/>
        <w:spacing w:line="295" w:lineRule="auto"/>
        <w:ind w:right="38"/>
        <w:rPr>
          <w:rFonts w:hint="eastAsia" w:ascii="MS UI Gothic" w:hAnsi="MS UI Gothic" w:eastAsia="MS UI Gothic"/>
        </w:rPr>
      </w:pPr>
      <w:r>
        <w:rPr>
          <w:spacing w:val="12"/>
          <w:w w:val="105"/>
        </w:rPr>
        <w:t>第六条 实施刑法第一百三十二条</w:t>
      </w:r>
      <w:r>
        <w:rPr>
          <w:rFonts w:hint="eastAsia" w:ascii="MS UI Gothic" w:hAnsi="MS UI Gothic" w:eastAsia="MS UI Gothic"/>
          <w:w w:val="80"/>
        </w:rPr>
        <w:t>、</w:t>
      </w:r>
      <w:r>
        <w:rPr>
          <w:spacing w:val="12"/>
          <w:w w:val="105"/>
        </w:rPr>
        <w:t>第一百三十四条第一款</w:t>
      </w:r>
      <w:r>
        <w:rPr>
          <w:rFonts w:hint="eastAsia" w:ascii="MS UI Gothic" w:hAnsi="MS UI Gothic" w:eastAsia="MS UI Gothic"/>
          <w:spacing w:val="1"/>
          <w:w w:val="80"/>
        </w:rPr>
        <w:t xml:space="preserve">、 </w:t>
      </w:r>
      <w:r>
        <w:rPr>
          <w:spacing w:val="15"/>
          <w:w w:val="105"/>
        </w:rPr>
        <w:t>第一百三十五</w:t>
      </w:r>
      <w:r>
        <w:rPr>
          <w:spacing w:val="3"/>
          <w:w w:val="105"/>
        </w:rPr>
        <w:t>条</w:t>
      </w:r>
      <w:r>
        <w:rPr>
          <w:rFonts w:hint="eastAsia" w:ascii="MS UI Gothic" w:hAnsi="MS UI Gothic" w:eastAsia="MS UI Gothic"/>
          <w:spacing w:val="11"/>
          <w:w w:val="80"/>
        </w:rPr>
        <w:t xml:space="preserve">、 </w:t>
      </w:r>
      <w:r>
        <w:rPr>
          <w:spacing w:val="3"/>
          <w:w w:val="105"/>
        </w:rPr>
        <w:t>第一百三十五条之一</w:t>
      </w:r>
      <w:r>
        <w:rPr>
          <w:rFonts w:hint="eastAsia" w:ascii="MS UI Gothic" w:hAnsi="MS UI Gothic" w:eastAsia="MS UI Gothic"/>
          <w:spacing w:val="11"/>
          <w:w w:val="80"/>
        </w:rPr>
        <w:t xml:space="preserve">、 </w:t>
      </w:r>
      <w:r>
        <w:rPr>
          <w:spacing w:val="2"/>
          <w:w w:val="105"/>
        </w:rPr>
        <w:t>第一百三十六</w:t>
      </w:r>
      <w:r>
        <w:rPr>
          <w:spacing w:val="3"/>
          <w:w w:val="105"/>
        </w:rPr>
        <w:t>条</w:t>
      </w:r>
      <w:r>
        <w:rPr>
          <w:rFonts w:hint="eastAsia" w:ascii="MS UI Gothic" w:hAnsi="MS UI Gothic" w:eastAsia="MS UI Gothic"/>
          <w:spacing w:val="-1"/>
          <w:w w:val="80"/>
        </w:rPr>
        <w:t xml:space="preserve">、 </w:t>
      </w:r>
      <w:r>
        <w:rPr>
          <w:spacing w:val="3"/>
          <w:w w:val="105"/>
        </w:rPr>
        <w:t>第一百三十九条规定的行为</w:t>
      </w:r>
      <w:r>
        <w:rPr>
          <w:rFonts w:hint="eastAsia" w:ascii="MS UI Gothic" w:hAnsi="MS UI Gothic" w:eastAsia="MS UI Gothic"/>
          <w:spacing w:val="-1"/>
          <w:w w:val="80"/>
        </w:rPr>
        <w:t xml:space="preserve">ꎬ </w:t>
      </w:r>
      <w:r>
        <w:rPr>
          <w:spacing w:val="1"/>
          <w:w w:val="105"/>
        </w:rPr>
        <w:t>因而发</w:t>
      </w:r>
      <w:r>
        <w:rPr>
          <w:spacing w:val="3"/>
        </w:rPr>
        <w:t>生安全事故</w:t>
      </w:r>
      <w:r>
        <w:rPr>
          <w:rFonts w:hint="eastAsia" w:ascii="MS UI Gothic" w:hAnsi="MS UI Gothic" w:eastAsia="MS UI Gothic"/>
          <w:spacing w:val="23"/>
          <w:w w:val="80"/>
        </w:rPr>
        <w:t xml:space="preserve">ꎬ </w:t>
      </w:r>
      <w:r>
        <w:rPr>
          <w:spacing w:val="3"/>
        </w:rPr>
        <w:t>具有下列情形之一的</w:t>
      </w:r>
      <w:r>
        <w:rPr>
          <w:rFonts w:hint="eastAsia" w:ascii="MS UI Gothic" w:hAnsi="MS UI Gothic" w:eastAsia="MS UI Gothic"/>
          <w:spacing w:val="23"/>
          <w:w w:val="80"/>
        </w:rPr>
        <w:t xml:space="preserve">ꎬ </w:t>
      </w:r>
      <w:r>
        <w:rPr>
          <w:spacing w:val="1"/>
        </w:rPr>
        <w:t>应当</w:t>
      </w:r>
      <w:r>
        <w:rPr>
          <w:spacing w:val="-3"/>
          <w:w w:val="105"/>
        </w:rPr>
        <w:t xml:space="preserve">认定为 </w:t>
      </w:r>
      <w:r>
        <w:rPr>
          <w:rFonts w:hint="eastAsia" w:ascii="MS UI Gothic" w:hAnsi="MS UI Gothic" w:eastAsia="MS UI Gothic"/>
          <w:spacing w:val="-22"/>
          <w:w w:val="105"/>
        </w:rPr>
        <w:t xml:space="preserve">“ </w:t>
      </w:r>
      <w:r>
        <w:rPr>
          <w:spacing w:val="16"/>
          <w:w w:val="105"/>
        </w:rPr>
        <w:t>造成严重后果</w:t>
      </w:r>
      <w:r>
        <w:rPr>
          <w:rFonts w:hint="eastAsia" w:ascii="MS UI Gothic" w:hAnsi="MS UI Gothic" w:eastAsia="MS UI Gothic"/>
          <w:spacing w:val="25"/>
          <w:w w:val="105"/>
        </w:rPr>
        <w:t xml:space="preserve">” </w:t>
      </w:r>
      <w:r>
        <w:rPr>
          <w:spacing w:val="3"/>
          <w:w w:val="105"/>
        </w:rPr>
        <w:t xml:space="preserve">或者 </w:t>
      </w:r>
      <w:r>
        <w:rPr>
          <w:rFonts w:hint="eastAsia" w:ascii="MS UI Gothic" w:hAnsi="MS UI Gothic" w:eastAsia="MS UI Gothic"/>
          <w:spacing w:val="-19"/>
          <w:w w:val="105"/>
        </w:rPr>
        <w:t xml:space="preserve">“ </w:t>
      </w:r>
      <w:r>
        <w:rPr>
          <w:spacing w:val="11"/>
          <w:w w:val="105"/>
        </w:rPr>
        <w:t>发生重</w:t>
      </w:r>
      <w:r>
        <w:rPr>
          <w:spacing w:val="5"/>
        </w:rPr>
        <w:t>大伤亡事故或者造成其他严重后果</w:t>
      </w:r>
      <w:r>
        <w:rPr>
          <w:rFonts w:hint="eastAsia" w:ascii="MS UI Gothic" w:hAnsi="MS UI Gothic" w:eastAsia="MS UI Gothic"/>
          <w:spacing w:val="-18"/>
        </w:rPr>
        <w:t xml:space="preserve">” </w:t>
      </w:r>
      <w:r>
        <w:rPr>
          <w:rFonts w:hint="eastAsia" w:ascii="MS UI Gothic" w:hAnsi="MS UI Gothic" w:eastAsia="MS UI Gothic"/>
          <w:spacing w:val="21"/>
          <w:w w:val="80"/>
        </w:rPr>
        <w:t xml:space="preserve">ꎬ </w:t>
      </w:r>
      <w:r>
        <w:t>对</w:t>
      </w:r>
      <w:r>
        <w:rPr>
          <w:spacing w:val="3"/>
        </w:rPr>
        <w:t>相关责任人员</w:t>
      </w:r>
      <w:r>
        <w:rPr>
          <w:rFonts w:hint="eastAsia" w:ascii="MS UI Gothic" w:hAnsi="MS UI Gothic" w:eastAsia="MS UI Gothic"/>
          <w:spacing w:val="21"/>
          <w:w w:val="80"/>
        </w:rPr>
        <w:t xml:space="preserve">ꎬ </w:t>
      </w:r>
      <w:r>
        <w:rPr>
          <w:spacing w:val="2"/>
        </w:rPr>
        <w:t>处三年以下有期徒刑或者</w:t>
      </w:r>
      <w:r>
        <w:rPr>
          <w:spacing w:val="3"/>
          <w:w w:val="105"/>
        </w:rPr>
        <w:t>拘役</w:t>
      </w:r>
      <w:r>
        <w:rPr>
          <w:rFonts w:hint="eastAsia" w:ascii="MS UI Gothic" w:hAns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造成死亡一人以上</w:t>
      </w:r>
      <w:r>
        <w:rPr>
          <w:rFonts w:hint="eastAsia" w:ascii="MS UI Gothic" w:eastAsia="MS UI Gothic"/>
          <w:w w:val="80"/>
        </w:rPr>
        <w:t xml:space="preserve">ꎬ </w:t>
      </w:r>
      <w:r>
        <w:rPr>
          <w:w w:val="105"/>
        </w:rPr>
        <w:t>或者重伤三人以上的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造成直接经济损失一百万元以</w:t>
      </w:r>
      <w:r>
        <w:rPr>
          <w:w w:val="110"/>
        </w:rPr>
        <w:t>上的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其他造成严重后果或者重大安</w:t>
      </w:r>
      <w:r>
        <w:rPr>
          <w:w w:val="110"/>
        </w:rPr>
        <w:t>全事故的情形</w:t>
      </w:r>
      <w:r>
        <w:rPr>
          <w:rFonts w:hint="eastAsia" w:ascii="MS UI Gothic" w:eastAsia="MS UI Gothic"/>
          <w:w w:val="80"/>
        </w:rPr>
        <w:t>ꎮ</w:t>
      </w:r>
    </w:p>
    <w:p>
      <w:pPr>
        <w:pStyle w:val="6"/>
        <w:spacing w:line="295" w:lineRule="auto"/>
        <w:ind w:right="39"/>
        <w:rPr>
          <w:rFonts w:hint="eastAsia" w:ascii="MS UI Gothic" w:hAnsi="MS UI Gothic" w:eastAsia="MS UI Gothic"/>
        </w:rPr>
      </w:pPr>
      <w:r>
        <w:t>实施刑法第一百三十四条第二款规定的行为</w:t>
      </w:r>
      <w:r>
        <w:rPr>
          <w:rFonts w:hint="eastAsia" w:ascii="MS UI Gothic" w:hAnsi="MS UI Gothic" w:eastAsia="MS UI Gothic"/>
          <w:w w:val="80"/>
        </w:rPr>
        <w:t xml:space="preserve">ꎬ </w:t>
      </w:r>
      <w:r>
        <w:t>因而发生安全事故</w:t>
      </w:r>
      <w:r>
        <w:rPr>
          <w:rFonts w:hint="eastAsia" w:ascii="MS UI Gothic" w:hAnsi="MS UI Gothic" w:eastAsia="MS UI Gothic"/>
          <w:w w:val="80"/>
        </w:rPr>
        <w:t xml:space="preserve">ꎬ </w:t>
      </w:r>
      <w:r>
        <w:t>具有本条第一款规定情形的</w:t>
      </w:r>
      <w:r>
        <w:rPr>
          <w:rFonts w:hint="eastAsia" w:ascii="MS UI Gothic" w:hAnsi="MS UI Gothic" w:eastAsia="MS UI Gothic"/>
          <w:w w:val="80"/>
        </w:rPr>
        <w:t xml:space="preserve">ꎬ </w:t>
      </w:r>
      <w:r>
        <w:t xml:space="preserve">应当认定为 </w:t>
      </w:r>
      <w:r>
        <w:rPr>
          <w:rFonts w:hint="eastAsia" w:ascii="MS UI Gothic" w:hAnsi="MS UI Gothic" w:eastAsia="MS UI Gothic"/>
        </w:rPr>
        <w:t xml:space="preserve">“ </w:t>
      </w:r>
      <w:r>
        <w:t>发生重大伤亡事故或者造成其他严重后果</w:t>
      </w:r>
      <w:r>
        <w:rPr>
          <w:rFonts w:hint="eastAsia" w:ascii="MS UI Gothic" w:hAnsi="MS UI Gothic" w:eastAsia="MS UI Gothic"/>
        </w:rPr>
        <w:t xml:space="preserve">” </w:t>
      </w:r>
      <w:r>
        <w:rPr>
          <w:rFonts w:hint="eastAsia" w:ascii="MS UI Gothic" w:hAnsi="MS UI Gothic" w:eastAsia="MS UI Gothic"/>
          <w:w w:val="80"/>
        </w:rPr>
        <w:t xml:space="preserve">ꎬ </w:t>
      </w:r>
      <w:r>
        <w:t>对相关责任人员</w:t>
      </w:r>
      <w:r>
        <w:rPr>
          <w:rFonts w:hint="eastAsia" w:ascii="MS UI Gothic" w:hAnsi="MS UI Gothic" w:eastAsia="MS UI Gothic"/>
          <w:w w:val="80"/>
        </w:rPr>
        <w:t xml:space="preserve">ꎬ </w:t>
      </w:r>
      <w:r>
        <w:t>处五年以下有期徒刑或者拘役</w:t>
      </w:r>
      <w:r>
        <w:rPr>
          <w:rFonts w:hint="eastAsia" w:ascii="MS UI Gothic" w:hAnsi="MS UI Gothic" w:eastAsia="MS UI Gothic"/>
          <w:w w:val="80"/>
        </w:rPr>
        <w:t>ꎮ</w:t>
      </w:r>
    </w:p>
    <w:p>
      <w:pPr>
        <w:pStyle w:val="6"/>
        <w:spacing w:line="295" w:lineRule="auto"/>
        <w:ind w:right="39"/>
        <w:rPr>
          <w:rFonts w:hint="eastAsia" w:ascii="MS UI Gothic" w:hAnsi="MS UI Gothic" w:eastAsia="MS UI Gothic"/>
        </w:rPr>
      </w:pPr>
      <w:r>
        <w:t>实施刑法第一百三十七条规定的行为</w:t>
      </w:r>
      <w:r>
        <w:rPr>
          <w:rFonts w:hint="eastAsia" w:ascii="MS UI Gothic" w:hAnsi="MS UI Gothic" w:eastAsia="MS UI Gothic"/>
          <w:w w:val="80"/>
        </w:rPr>
        <w:t xml:space="preserve">ꎬ </w:t>
      </w:r>
      <w:r>
        <w:t>因而发生安全事故</w:t>
      </w:r>
      <w:r>
        <w:rPr>
          <w:rFonts w:hint="eastAsia" w:ascii="MS UI Gothic" w:hAnsi="MS UI Gothic" w:eastAsia="MS UI Gothic"/>
          <w:w w:val="80"/>
        </w:rPr>
        <w:t xml:space="preserve">ꎬ </w:t>
      </w:r>
      <w:r>
        <w:t>具有本条第一款规定情形的</w:t>
      </w:r>
      <w:r>
        <w:rPr>
          <w:rFonts w:hint="eastAsia" w:ascii="MS UI Gothic" w:hAnsi="MS UI Gothic" w:eastAsia="MS UI Gothic"/>
          <w:w w:val="80"/>
        </w:rPr>
        <w:t xml:space="preserve">ꎬ </w:t>
      </w:r>
      <w:r>
        <w:t xml:space="preserve">应当认定为 </w:t>
      </w:r>
      <w:r>
        <w:rPr>
          <w:rFonts w:hint="eastAsia" w:ascii="MS UI Gothic" w:hAnsi="MS UI Gothic" w:eastAsia="MS UI Gothic"/>
        </w:rPr>
        <w:t xml:space="preserve">“ </w:t>
      </w:r>
      <w:r>
        <w:t>造成重大安全事故</w:t>
      </w:r>
      <w:r>
        <w:rPr>
          <w:rFonts w:hint="eastAsia" w:ascii="MS UI Gothic" w:hAnsi="MS UI Gothic" w:eastAsia="MS UI Gothic"/>
        </w:rPr>
        <w:t xml:space="preserve">” </w:t>
      </w:r>
      <w:r>
        <w:rPr>
          <w:rFonts w:hint="eastAsia" w:ascii="MS UI Gothic" w:hAnsi="MS UI Gothic" w:eastAsia="MS UI Gothic"/>
          <w:w w:val="80"/>
        </w:rPr>
        <w:t xml:space="preserve">ꎬ </w:t>
      </w:r>
      <w:r>
        <w:t>对直接责任人员</w:t>
      </w:r>
      <w:r>
        <w:rPr>
          <w:rFonts w:hint="eastAsia" w:ascii="MS UI Gothic" w:hAnsi="MS UI Gothic" w:eastAsia="MS UI Gothic"/>
          <w:w w:val="80"/>
        </w:rPr>
        <w:t xml:space="preserve">ꎬ </w:t>
      </w:r>
      <w:r>
        <w:t>处五年以下有期徒刑或者拘役</w:t>
      </w:r>
      <w:r>
        <w:rPr>
          <w:rFonts w:hint="eastAsia" w:ascii="MS UI Gothic" w:hAnsi="MS UI Gothic" w:eastAsia="MS UI Gothic"/>
          <w:w w:val="80"/>
        </w:rPr>
        <w:t xml:space="preserve">ꎬ </w:t>
      </w:r>
      <w:r>
        <w:t>并处罚金</w:t>
      </w:r>
      <w:r>
        <w:rPr>
          <w:rFonts w:hint="eastAsia" w:ascii="MS UI Gothic" w:hAnsi="MS UI Gothic" w:eastAsia="MS UI Gothic"/>
          <w:w w:val="80"/>
        </w:rPr>
        <w:t>ꎮ</w:t>
      </w:r>
    </w:p>
    <w:p>
      <w:pPr>
        <w:pStyle w:val="6"/>
        <w:spacing w:line="295" w:lineRule="auto"/>
        <w:ind w:right="39"/>
        <w:rPr>
          <w:rFonts w:hint="eastAsia" w:ascii="MS UI Gothic" w:hAnsi="MS UI Gothic" w:eastAsia="MS UI Gothic"/>
        </w:rPr>
      </w:pPr>
      <w:r>
        <w:t>实施刑法第一百三十八条规定的行为</w:t>
      </w:r>
      <w:r>
        <w:rPr>
          <w:rFonts w:hint="eastAsia" w:ascii="MS UI Gothic" w:hAnsi="MS UI Gothic" w:eastAsia="MS UI Gothic"/>
          <w:w w:val="80"/>
        </w:rPr>
        <w:t xml:space="preserve">ꎬ </w:t>
      </w:r>
      <w:r>
        <w:t>因而发生安全事故</w:t>
      </w:r>
      <w:r>
        <w:rPr>
          <w:rFonts w:hint="eastAsia" w:ascii="MS UI Gothic" w:hAnsi="MS UI Gothic" w:eastAsia="MS UI Gothic"/>
          <w:w w:val="80"/>
        </w:rPr>
        <w:t xml:space="preserve">ꎬ </w:t>
      </w:r>
      <w:r>
        <w:t>具有本条第一款第一项规定情形的</w:t>
      </w:r>
      <w:r>
        <w:rPr>
          <w:rFonts w:hint="eastAsia" w:ascii="MS UI Gothic" w:hAnsi="MS UI Gothic" w:eastAsia="MS UI Gothic"/>
          <w:w w:val="80"/>
        </w:rPr>
        <w:t xml:space="preserve">ꎬ </w:t>
      </w:r>
      <w:r>
        <w:t xml:space="preserve">应当认定为 </w:t>
      </w:r>
      <w:r>
        <w:rPr>
          <w:rFonts w:hint="eastAsia" w:ascii="MS UI Gothic" w:hAnsi="MS UI Gothic" w:eastAsia="MS UI Gothic"/>
        </w:rPr>
        <w:t xml:space="preserve">“ </w:t>
      </w:r>
      <w:r>
        <w:t>发生重大伤亡事故</w:t>
      </w:r>
      <w:r>
        <w:rPr>
          <w:rFonts w:hint="eastAsia" w:ascii="MS UI Gothic" w:hAnsi="MS UI Gothic" w:eastAsia="MS UI Gothic"/>
        </w:rPr>
        <w:t xml:space="preserve">” </w:t>
      </w:r>
      <w:r>
        <w:rPr>
          <w:rFonts w:hint="eastAsia" w:ascii="MS UI Gothic" w:hAnsi="MS UI Gothic" w:eastAsia="MS UI Gothic"/>
          <w:w w:val="80"/>
        </w:rPr>
        <w:t xml:space="preserve">ꎬ </w:t>
      </w:r>
      <w:r>
        <w:t>对直接责任人员</w:t>
      </w:r>
      <w:r>
        <w:rPr>
          <w:rFonts w:hint="eastAsia" w:ascii="MS UI Gothic" w:hAnsi="MS UI Gothic" w:eastAsia="MS UI Gothic"/>
          <w:w w:val="80"/>
        </w:rPr>
        <w:t xml:space="preserve">ꎬ </w:t>
      </w:r>
      <w:r>
        <w:t>处三年以下有期徒刑或者拘役</w:t>
      </w:r>
      <w:r>
        <w:rPr>
          <w:rFonts w:hint="eastAsia" w:ascii="MS UI Gothic" w:hAnsi="MS UI Gothic" w:eastAsia="MS UI Gothic"/>
          <w:w w:val="80"/>
        </w:rPr>
        <w:t>ꎮ</w:t>
      </w:r>
    </w:p>
    <w:p>
      <w:pPr>
        <w:pStyle w:val="6"/>
        <w:spacing w:line="295" w:lineRule="auto"/>
        <w:ind w:right="38"/>
      </w:pPr>
      <w:r>
        <w:t>第七条 实施刑法第一百三十二条</w:t>
      </w:r>
      <w:r>
        <w:rPr>
          <w:rFonts w:hint="eastAsia" w:ascii="MS UI Gothic" w:eastAsia="MS UI Gothic"/>
          <w:w w:val="80"/>
        </w:rPr>
        <w:t>、</w:t>
      </w:r>
      <w:r>
        <w:t>第一百三十四条第一款</w:t>
      </w:r>
      <w:r>
        <w:rPr>
          <w:rFonts w:hint="eastAsia" w:ascii="MS UI Gothic" w:eastAsia="MS UI Gothic"/>
          <w:w w:val="80"/>
        </w:rPr>
        <w:t xml:space="preserve">、 </w:t>
      </w:r>
      <w:r>
        <w:t>第一百三十五条</w:t>
      </w:r>
      <w:r>
        <w:rPr>
          <w:rFonts w:hint="eastAsia" w:ascii="MS UI Gothic" w:eastAsia="MS UI Gothic"/>
          <w:w w:val="80"/>
        </w:rPr>
        <w:t xml:space="preserve">、 </w:t>
      </w:r>
      <w:r>
        <w:t>第一百三十五条之一</w:t>
      </w:r>
      <w:r>
        <w:rPr>
          <w:rFonts w:hint="eastAsia" w:ascii="MS UI Gothic" w:eastAsia="MS UI Gothic"/>
          <w:w w:val="80"/>
        </w:rPr>
        <w:t xml:space="preserve">、 </w:t>
      </w:r>
      <w:r>
        <w:t>第一百三十六条</w:t>
      </w:r>
      <w:r>
        <w:rPr>
          <w:rFonts w:hint="eastAsia" w:ascii="MS UI Gothic" w:eastAsia="MS UI Gothic"/>
          <w:w w:val="80"/>
        </w:rPr>
        <w:t xml:space="preserve">、 </w:t>
      </w:r>
      <w:r>
        <w:t>第一百三十九条规定的行为</w:t>
      </w:r>
      <w:r>
        <w:rPr>
          <w:rFonts w:hint="eastAsia" w:ascii="MS UI Gothic" w:eastAsia="MS UI Gothic"/>
          <w:w w:val="80"/>
        </w:rPr>
        <w:t xml:space="preserve">ꎬ </w:t>
      </w:r>
      <w:r>
        <w:t>因而发生安全事故</w:t>
      </w:r>
      <w:r>
        <w:rPr>
          <w:rFonts w:hint="eastAsia" w:ascii="MS UI Gothic" w:eastAsia="MS UI Gothic"/>
          <w:w w:val="80"/>
        </w:rPr>
        <w:t xml:space="preserve">ꎬ </w:t>
      </w:r>
      <w:r>
        <w:t>具有下列情形之一的</w:t>
      </w:r>
      <w:r>
        <w:rPr>
          <w:rFonts w:hint="eastAsia" w:ascii="MS UI Gothic" w:eastAsia="MS UI Gothic"/>
          <w:w w:val="80"/>
        </w:rPr>
        <w:t xml:space="preserve">ꎬ </w:t>
      </w:r>
      <w:r>
        <w:t>对相关责任人员</w:t>
      </w:r>
      <w:r>
        <w:rPr>
          <w:rFonts w:hint="eastAsia" w:ascii="MS UI Gothic" w:eastAsia="MS UI Gothic"/>
          <w:w w:val="80"/>
        </w:rPr>
        <w:t xml:space="preserve">ꎬ </w:t>
      </w:r>
      <w:r>
        <w:t>处三年以上七年以下有期</w:t>
      </w:r>
    </w:p>
    <w:p>
      <w:pPr>
        <w:spacing w:before="123"/>
        <w:ind w:left="124" w:right="0" w:firstLine="0"/>
        <w:jc w:val="left"/>
        <w:rPr>
          <w:rFonts w:hint="eastAsia" w:ascii="MS UI Gothic" w:eastAsia="MS UI Gothic"/>
          <w:sz w:val="20"/>
        </w:rPr>
      </w:pPr>
      <w:r>
        <w:br w:type="column"/>
      </w:r>
      <w:r>
        <w:rPr>
          <w:w w:val="115"/>
          <w:sz w:val="20"/>
        </w:rPr>
        <w:t>徒刑</w:t>
      </w:r>
      <w:r>
        <w:rPr>
          <w:rFonts w:hint="eastAsia" w:ascii="MS UI Gothic" w:eastAsia="MS UI Gothic"/>
          <w:w w:val="235"/>
          <w:sz w:val="20"/>
        </w:rPr>
        <w:t>:</w:t>
      </w:r>
    </w:p>
    <w:p>
      <w:pPr>
        <w:pStyle w:val="6"/>
        <w:spacing w:before="58"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造成死亡三人以上或者重伤十人以上</w:t>
      </w:r>
      <w:r>
        <w:rPr>
          <w:rFonts w:hint="eastAsia" w:ascii="MS UI Gothic" w:eastAsia="MS UI Gothic"/>
          <w:w w:val="80"/>
        </w:rPr>
        <w:t xml:space="preserve">ꎬ </w:t>
      </w:r>
      <w:r>
        <w:rPr>
          <w:w w:val="105"/>
        </w:rPr>
        <w:t>负事故主要责任的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造成直接经济损失五百万元以上</w:t>
      </w:r>
      <w:r>
        <w:rPr>
          <w:rFonts w:hint="eastAsia" w:ascii="MS UI Gothic" w:eastAsia="MS UI Gothic"/>
          <w:w w:val="80"/>
        </w:rPr>
        <w:t xml:space="preserve">ꎬ </w:t>
      </w:r>
      <w:r>
        <w:rPr>
          <w:w w:val="105"/>
        </w:rPr>
        <w:t>负事故主要责任的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其他造成特别严重后果</w:t>
      </w:r>
      <w:r>
        <w:rPr>
          <w:rFonts w:hint="eastAsia" w:ascii="MS UI Gothic" w:eastAsia="MS UI Gothic"/>
          <w:w w:val="80"/>
        </w:rPr>
        <w:t xml:space="preserve">、 </w:t>
      </w:r>
      <w:r>
        <w:rPr>
          <w:w w:val="105"/>
        </w:rPr>
        <w:t>情节特别恶劣或者后果特别严重的情形</w:t>
      </w:r>
      <w:r>
        <w:rPr>
          <w:rFonts w:hint="eastAsia" w:ascii="MS UI Gothic" w:eastAsia="MS UI Gothic"/>
          <w:w w:val="80"/>
        </w:rPr>
        <w:t>ꎮ</w:t>
      </w:r>
    </w:p>
    <w:p>
      <w:pPr>
        <w:pStyle w:val="6"/>
        <w:spacing w:line="295" w:lineRule="auto"/>
        <w:ind w:right="442"/>
        <w:rPr>
          <w:rFonts w:hint="eastAsia" w:ascii="MS UI Gothic" w:eastAsia="MS UI Gothic"/>
        </w:rPr>
      </w:pPr>
      <w:r>
        <w:t>实施刑法第一百三十四条第二款规定的行为</w:t>
      </w:r>
      <w:r>
        <w:rPr>
          <w:rFonts w:hint="eastAsia" w:ascii="MS UI Gothic" w:eastAsia="MS UI Gothic"/>
          <w:w w:val="80"/>
        </w:rPr>
        <w:t xml:space="preserve">ꎬ </w:t>
      </w:r>
      <w:r>
        <w:t>因而发生安全事故</w:t>
      </w:r>
      <w:r>
        <w:rPr>
          <w:rFonts w:hint="eastAsia" w:ascii="MS UI Gothic" w:eastAsia="MS UI Gothic"/>
          <w:w w:val="80"/>
        </w:rPr>
        <w:t xml:space="preserve">ꎬ </w:t>
      </w:r>
      <w:r>
        <w:t>具有本条第一款规定情形的</w:t>
      </w:r>
      <w:r>
        <w:rPr>
          <w:rFonts w:hint="eastAsia" w:ascii="MS UI Gothic" w:eastAsia="MS UI Gothic"/>
          <w:w w:val="80"/>
        </w:rPr>
        <w:t xml:space="preserve">ꎬ </w:t>
      </w:r>
      <w:r>
        <w:t>对相关责任人员</w:t>
      </w:r>
      <w:r>
        <w:rPr>
          <w:rFonts w:hint="eastAsia" w:ascii="MS UI Gothic" w:eastAsia="MS UI Gothic"/>
          <w:w w:val="80"/>
        </w:rPr>
        <w:t xml:space="preserve">ꎬ </w:t>
      </w:r>
      <w:r>
        <w:t>处五年以上有期徒刑</w:t>
      </w:r>
      <w:r>
        <w:rPr>
          <w:rFonts w:hint="eastAsia" w:ascii="MS UI Gothic" w:eastAsia="MS UI Gothic"/>
          <w:w w:val="80"/>
        </w:rPr>
        <w:t>ꎮ</w:t>
      </w:r>
    </w:p>
    <w:p>
      <w:pPr>
        <w:pStyle w:val="6"/>
        <w:spacing w:line="295" w:lineRule="auto"/>
        <w:ind w:right="442"/>
        <w:rPr>
          <w:rFonts w:hint="eastAsia" w:ascii="MS UI Gothic" w:eastAsia="MS UI Gothic"/>
        </w:rPr>
      </w:pPr>
      <w:r>
        <w:t>实施刑法第一百三十七条规定的行为</w:t>
      </w:r>
      <w:r>
        <w:rPr>
          <w:rFonts w:hint="eastAsia" w:ascii="MS UI Gothic" w:eastAsia="MS UI Gothic"/>
          <w:w w:val="80"/>
        </w:rPr>
        <w:t xml:space="preserve">ꎬ </w:t>
      </w:r>
      <w:r>
        <w:t>因而发生安全事故</w:t>
      </w:r>
      <w:r>
        <w:rPr>
          <w:rFonts w:hint="eastAsia" w:ascii="MS UI Gothic" w:eastAsia="MS UI Gothic"/>
          <w:w w:val="80"/>
        </w:rPr>
        <w:t xml:space="preserve">ꎬ </w:t>
      </w:r>
      <w:r>
        <w:t>具有本条第一款规定情形的</w:t>
      </w:r>
      <w:r>
        <w:rPr>
          <w:rFonts w:hint="eastAsia" w:ascii="MS UI Gothic" w:eastAsia="MS UI Gothic"/>
          <w:w w:val="80"/>
        </w:rPr>
        <w:t xml:space="preserve">ꎬ </w:t>
      </w:r>
      <w:r>
        <w:t>对直接责任人员</w:t>
      </w:r>
      <w:r>
        <w:rPr>
          <w:rFonts w:hint="eastAsia" w:ascii="MS UI Gothic" w:eastAsia="MS UI Gothic"/>
          <w:w w:val="80"/>
        </w:rPr>
        <w:t xml:space="preserve">ꎬ </w:t>
      </w:r>
      <w:r>
        <w:t>处五年以上十年以下有期徒刑</w:t>
      </w:r>
      <w:r>
        <w:rPr>
          <w:rFonts w:hint="eastAsia" w:ascii="MS UI Gothic" w:eastAsia="MS UI Gothic"/>
          <w:w w:val="80"/>
        </w:rPr>
        <w:t xml:space="preserve">ꎬ </w:t>
      </w:r>
      <w:r>
        <w:t>并处罚金</w:t>
      </w:r>
      <w:r>
        <w:rPr>
          <w:rFonts w:hint="eastAsia" w:ascii="MS UI Gothic" w:eastAsia="MS UI Gothic"/>
          <w:w w:val="80"/>
        </w:rPr>
        <w:t>ꎮ</w:t>
      </w:r>
    </w:p>
    <w:p>
      <w:pPr>
        <w:pStyle w:val="6"/>
        <w:spacing w:line="295" w:lineRule="auto"/>
        <w:ind w:right="442"/>
        <w:rPr>
          <w:rFonts w:hint="eastAsia" w:ascii="MS UI Gothic" w:eastAsia="MS UI Gothic"/>
        </w:rPr>
      </w:pPr>
      <w:r>
        <w:t>实施刑法第一百三十八条规定的行为</w:t>
      </w:r>
      <w:r>
        <w:rPr>
          <w:rFonts w:hint="eastAsia" w:ascii="MS UI Gothic" w:eastAsia="MS UI Gothic"/>
          <w:w w:val="80"/>
        </w:rPr>
        <w:t xml:space="preserve">ꎬ </w:t>
      </w:r>
      <w:r>
        <w:t>因而发生安全事故</w:t>
      </w:r>
      <w:r>
        <w:rPr>
          <w:rFonts w:hint="eastAsia" w:ascii="MS UI Gothic" w:eastAsia="MS UI Gothic"/>
          <w:w w:val="80"/>
        </w:rPr>
        <w:t xml:space="preserve">ꎬ </w:t>
      </w:r>
      <w:r>
        <w:t>具有下列情形之一的</w:t>
      </w:r>
      <w:r>
        <w:rPr>
          <w:rFonts w:hint="eastAsia" w:ascii="MS UI Gothic" w:eastAsia="MS UI Gothic"/>
          <w:w w:val="80"/>
        </w:rPr>
        <w:t xml:space="preserve">ꎬ </w:t>
      </w:r>
      <w:r>
        <w:t>对直接责任人员</w:t>
      </w:r>
      <w:r>
        <w:rPr>
          <w:rFonts w:hint="eastAsia" w:ascii="MS UI Gothic" w:eastAsia="MS UI Gothic"/>
          <w:w w:val="80"/>
        </w:rPr>
        <w:t xml:space="preserve">ꎬ </w:t>
      </w:r>
      <w:r>
        <w:t>处三年以上七年</w:t>
      </w:r>
      <w:r>
        <w:rPr>
          <w:w w:val="105"/>
        </w:rPr>
        <w:t>以下有期徒刑</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造成死亡三人以上或者重伤十人以上</w:t>
      </w:r>
      <w:r>
        <w:rPr>
          <w:rFonts w:hint="eastAsia" w:ascii="MS UI Gothic" w:eastAsia="MS UI Gothic"/>
          <w:w w:val="80"/>
        </w:rPr>
        <w:t xml:space="preserve">ꎬ </w:t>
      </w:r>
      <w:r>
        <w:rPr>
          <w:w w:val="105"/>
        </w:rPr>
        <w:t>负事故主要责任的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具有本解释第六条第一款第一</w:t>
      </w:r>
      <w:r>
        <w:t>项规定情形</w:t>
      </w:r>
      <w:r>
        <w:rPr>
          <w:rFonts w:hint="eastAsia" w:ascii="MS UI Gothic" w:eastAsia="MS UI Gothic"/>
          <w:w w:val="80"/>
        </w:rPr>
        <w:t xml:space="preserve">ꎬ </w:t>
      </w:r>
      <w:r>
        <w:t>同时造成直接经济损失五百万元以上并负事故主要责任的</w:t>
      </w:r>
      <w:r>
        <w:rPr>
          <w:rFonts w:hint="eastAsia" w:ascii="MS UI Gothic" w:eastAsia="MS UI Gothic"/>
          <w:w w:val="80"/>
        </w:rPr>
        <w:t xml:space="preserve">ꎬ </w:t>
      </w:r>
      <w:r>
        <w:t>或者同时</w:t>
      </w:r>
      <w:r>
        <w:rPr>
          <w:w w:val="105"/>
        </w:rPr>
        <w:t>造成恶劣社会影响的</w:t>
      </w:r>
      <w:r>
        <w:rPr>
          <w:rFonts w:hint="eastAsia" w:ascii="MS UI Gothic" w:eastAsia="MS UI Gothic"/>
          <w:w w:val="80"/>
        </w:rPr>
        <w:t>ꎮ</w:t>
      </w:r>
    </w:p>
    <w:p>
      <w:pPr>
        <w:pStyle w:val="6"/>
        <w:spacing w:line="295" w:lineRule="auto"/>
        <w:ind w:right="442"/>
        <w:rPr>
          <w:rFonts w:hint="eastAsia" w:ascii="MS UI Gothic" w:hAnsi="MS UI Gothic" w:eastAsia="MS UI Gothic"/>
        </w:rPr>
      </w:pPr>
      <w:r>
        <w:t>第八条 在安全事故发生后</w:t>
      </w:r>
      <w:r>
        <w:rPr>
          <w:rFonts w:hint="eastAsia" w:ascii="MS UI Gothic" w:hAnsi="MS UI Gothic" w:eastAsia="MS UI Gothic"/>
          <w:w w:val="80"/>
        </w:rPr>
        <w:t xml:space="preserve">ꎬ </w:t>
      </w:r>
      <w:r>
        <w:t>负有报告职责的人员不报或者谎报事故情况</w:t>
      </w:r>
      <w:r>
        <w:rPr>
          <w:rFonts w:hint="eastAsia" w:ascii="MS UI Gothic" w:hAnsi="MS UI Gothic" w:eastAsia="MS UI Gothic"/>
          <w:w w:val="80"/>
        </w:rPr>
        <w:t xml:space="preserve">ꎬ </w:t>
      </w:r>
      <w:r>
        <w:t>贻误事故抢救</w:t>
      </w:r>
      <w:r>
        <w:rPr>
          <w:rFonts w:hint="eastAsia" w:ascii="MS UI Gothic" w:hAnsi="MS UI Gothic" w:eastAsia="MS UI Gothic"/>
          <w:w w:val="80"/>
        </w:rPr>
        <w:t xml:space="preserve">ꎬ </w:t>
      </w:r>
      <w:r>
        <w:t>具有下列情形之一的</w:t>
      </w:r>
      <w:r>
        <w:rPr>
          <w:rFonts w:hint="eastAsia" w:ascii="MS UI Gothic" w:hAnsi="MS UI Gothic" w:eastAsia="MS UI Gothic"/>
          <w:w w:val="80"/>
        </w:rPr>
        <w:t xml:space="preserve">ꎬ </w:t>
      </w:r>
      <w:r>
        <w:t>应当认定为刑法第一百三十九条之一规定的</w:t>
      </w:r>
      <w:r>
        <w:rPr>
          <w:rFonts w:hint="eastAsia" w:ascii="MS UI Gothic" w:hAnsi="MS UI Gothic" w:eastAsia="MS UI Gothic"/>
          <w:w w:val="102"/>
        </w:rPr>
        <w:t>“</w:t>
      </w:r>
      <w:r>
        <w:rPr>
          <w:rFonts w:hint="eastAsia" w:ascii="MS UI Gothic" w:hAnsi="MS UI Gothic" w:eastAsia="MS UI Gothic"/>
        </w:rPr>
        <w:t xml:space="preserve"> </w:t>
      </w:r>
      <w:r>
        <w:rPr>
          <w:w w:val="102"/>
        </w:rPr>
        <w:t>情节严重</w:t>
      </w:r>
      <w:r>
        <w:rPr>
          <w:rFonts w:hint="eastAsia" w:ascii="MS UI Gothic" w:hAnsi="MS UI Gothic" w:eastAsia="MS UI Gothic"/>
          <w:w w:val="102"/>
        </w:rPr>
        <w:t>”</w:t>
      </w:r>
      <w:r>
        <w:rPr>
          <w:rFonts w:hint="eastAsia" w:ascii="MS UI Gothic" w:hAnsi="MS UI Gothic" w:eastAsia="MS UI Gothic"/>
          <w:w w:val="253"/>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导致事故后果扩大</w:t>
      </w:r>
      <w:r>
        <w:rPr>
          <w:rFonts w:hint="eastAsia" w:ascii="MS UI Gothic" w:eastAsia="MS UI Gothic"/>
          <w:w w:val="80"/>
        </w:rPr>
        <w:t xml:space="preserve">ꎬ </w:t>
      </w:r>
      <w:r>
        <w:rPr>
          <w:w w:val="105"/>
        </w:rPr>
        <w:t>增加死亡</w:t>
      </w:r>
      <w:r>
        <w:t>一人以上</w:t>
      </w:r>
      <w:r>
        <w:rPr>
          <w:rFonts w:hint="eastAsia" w:ascii="MS UI Gothic" w:eastAsia="MS UI Gothic"/>
          <w:w w:val="80"/>
        </w:rPr>
        <w:t xml:space="preserve">ꎬ </w:t>
      </w:r>
      <w:r>
        <w:t>或者增加重伤三人以上</w:t>
      </w:r>
      <w:r>
        <w:rPr>
          <w:rFonts w:hint="eastAsia" w:ascii="MS UI Gothic" w:eastAsia="MS UI Gothic"/>
          <w:w w:val="80"/>
        </w:rPr>
        <w:t xml:space="preserve">ꎬ </w:t>
      </w:r>
      <w:r>
        <w:t>或者</w:t>
      </w:r>
      <w:r>
        <w:rPr>
          <w:w w:val="105"/>
        </w:rPr>
        <w:t>增加直接经济损失一百万元以上的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10"/>
        </w:rPr>
        <w:t xml:space="preserve">( </w:t>
      </w:r>
      <w:r>
        <w:rPr>
          <w:w w:val="110"/>
        </w:rPr>
        <w:t>二</w:t>
      </w:r>
      <w:r>
        <w:rPr>
          <w:rFonts w:hint="eastAsia" w:ascii="MS UI Gothic" w:eastAsia="MS UI Gothic"/>
          <w:w w:val="110"/>
        </w:rPr>
        <w:t xml:space="preserve">) </w:t>
      </w:r>
      <w:r>
        <w:rPr>
          <w:w w:val="110"/>
        </w:rPr>
        <w:t>实施下列行为之一</w:t>
      </w:r>
      <w:r>
        <w:rPr>
          <w:rFonts w:hint="eastAsia" w:ascii="MS UI Gothic" w:eastAsia="MS UI Gothic"/>
          <w:w w:val="80"/>
        </w:rPr>
        <w:t xml:space="preserve">ꎬ </w:t>
      </w:r>
      <w:r>
        <w:rPr>
          <w:w w:val="110"/>
        </w:rPr>
        <w:t>致使不能</w:t>
      </w:r>
      <w:r>
        <w:rPr>
          <w:w w:val="115"/>
        </w:rPr>
        <w:t>及时有效开展事故抢救的</w:t>
      </w:r>
      <w:r>
        <w:rPr>
          <w:rFonts w:hint="eastAsia" w:ascii="MS UI Gothic" w:eastAsia="MS UI Gothic"/>
          <w:w w:val="235"/>
        </w:rPr>
        <w:t>:</w:t>
      </w:r>
    </w:p>
    <w:p>
      <w:pPr>
        <w:pStyle w:val="6"/>
        <w:spacing w:line="295" w:lineRule="auto"/>
        <w:ind w:right="442" w:firstLine="413"/>
        <w:rPr>
          <w:rFonts w:hint="eastAsia" w:ascii="MS UI Gothic" w:eastAsia="MS UI Gothic"/>
        </w:rPr>
      </w:pPr>
      <w:r>
        <w:rPr>
          <w:rFonts w:hint="eastAsia" w:ascii="MS UI Gothic" w:eastAsia="MS UI Gothic"/>
        </w:rPr>
        <w:t xml:space="preserve">１ </w:t>
      </w:r>
      <w:r>
        <w:t>决定不报</w:t>
      </w:r>
      <w:r>
        <w:rPr>
          <w:rFonts w:hint="eastAsia" w:ascii="MS UI Gothic" w:eastAsia="MS UI Gothic"/>
        </w:rPr>
        <w:t xml:space="preserve">、 </w:t>
      </w:r>
      <w:r>
        <w:t>迟报</w:t>
      </w:r>
      <w:r>
        <w:rPr>
          <w:rFonts w:hint="eastAsia" w:ascii="MS UI Gothic" w:eastAsia="MS UI Gothic"/>
        </w:rPr>
        <w:t xml:space="preserve">、 </w:t>
      </w:r>
      <w:r>
        <w:t>谎报事故情况或者指使</w:t>
      </w:r>
      <w:r>
        <w:rPr>
          <w:rFonts w:hint="eastAsia" w:ascii="MS UI Gothic" w:eastAsia="MS UI Gothic"/>
        </w:rPr>
        <w:t xml:space="preserve">、 </w:t>
      </w:r>
      <w:r>
        <w:t>串通有关人员不报</w:t>
      </w:r>
      <w:r>
        <w:rPr>
          <w:rFonts w:hint="eastAsia" w:ascii="MS UI Gothic" w:eastAsia="MS UI Gothic"/>
        </w:rPr>
        <w:t xml:space="preserve">、 </w:t>
      </w:r>
      <w:r>
        <w:t>迟报</w:t>
      </w:r>
      <w:r>
        <w:rPr>
          <w:rFonts w:hint="eastAsia" w:ascii="MS UI Gothic" w:eastAsia="MS UI Gothic"/>
        </w:rPr>
        <w:t xml:space="preserve">、 </w:t>
      </w:r>
      <w:r>
        <w:t>谎报事故情况的</w:t>
      </w:r>
      <w:r>
        <w:rPr>
          <w:rFonts w:hint="eastAsia" w:ascii="MS UI Gothic" w:eastAsia="MS UI Gothic"/>
          <w:w w:val="85"/>
        </w:rPr>
        <w:t>ꎻ</w:t>
      </w:r>
    </w:p>
    <w:p>
      <w:pPr>
        <w:pStyle w:val="6"/>
        <w:spacing w:line="254" w:lineRule="exact"/>
        <w:ind w:left="538" w:firstLine="0"/>
      </w:pPr>
      <w:r>
        <w:rPr>
          <w:rFonts w:hint="eastAsia" w:ascii="MS UI Gothic" w:eastAsia="MS UI Gothic"/>
        </w:rPr>
        <w:t>２</w:t>
      </w:r>
      <w:r>
        <w:rPr>
          <w:rFonts w:hint="eastAsia" w:ascii="MS UI Gothic" w:eastAsia="MS UI Gothic"/>
          <w:spacing w:val="52"/>
        </w:rPr>
        <w:t xml:space="preserve"> </w:t>
      </w:r>
      <w:r>
        <w:rPr>
          <w:spacing w:val="12"/>
        </w:rPr>
        <w:t>在事故抢救期间擅离职守或者逃</w:t>
      </w:r>
    </w:p>
    <w:p>
      <w:pPr>
        <w:spacing w:after="0" w:line="254" w:lineRule="exact"/>
        <w:sectPr>
          <w:type w:val="continuous"/>
          <w:pgSz w:w="10500" w:h="14750"/>
          <w:pgMar w:top="1400" w:right="980" w:bottom="280" w:left="980" w:header="720" w:footer="720" w:gutter="0"/>
          <w:cols w:equalWidth="0" w:num="2">
            <w:col w:w="3936" w:space="256"/>
            <w:col w:w="4348"/>
          </w:cols>
        </w:sectPr>
      </w:pPr>
    </w:p>
    <w:p>
      <w:pPr>
        <w:pStyle w:val="6"/>
        <w:spacing w:before="8"/>
        <w:ind w:left="0" w:firstLine="0"/>
        <w:jc w:val="left"/>
        <w:rPr>
          <w:sz w:val="55"/>
        </w:rPr>
      </w:pPr>
    </w:p>
    <w:p>
      <w:pPr>
        <w:pStyle w:val="6"/>
        <w:spacing w:line="240" w:lineRule="exact"/>
        <w:ind w:left="440" w:firstLine="0"/>
        <w:jc w:val="left"/>
        <w:rPr>
          <w:rFonts w:hint="eastAsia" w:ascii="MS UI Gothic" w:eastAsia="MS UI Gothic"/>
        </w:rPr>
      </w:pPr>
      <w:r>
        <w:rPr>
          <w:w w:val="95"/>
        </w:rPr>
        <w:t>匿的</w:t>
      </w:r>
      <w:r>
        <w:rPr>
          <w:rFonts w:hint="eastAsia" w:ascii="MS UI Gothic" w:eastAsia="MS UI Gothic"/>
          <w:w w:val="80"/>
        </w:rPr>
        <w:t>ꎻ</w:t>
      </w:r>
    </w:p>
    <w:p>
      <w:pPr>
        <w:tabs>
          <w:tab w:val="left" w:pos="1521"/>
        </w:tabs>
        <w:spacing w:before="192"/>
        <w:ind w:left="440" w:right="0" w:firstLine="0"/>
        <w:jc w:val="left"/>
        <w:rPr>
          <w:sz w:val="17"/>
        </w:rPr>
      </w:pPr>
      <w:r>
        <w:br w:type="column"/>
      </w: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pacing w:val="-20"/>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１３</w:t>
      </w:r>
    </w:p>
    <w:p>
      <w:pPr>
        <w:pStyle w:val="6"/>
        <w:tabs>
          <w:tab w:val="left" w:pos="1062"/>
        </w:tabs>
        <w:spacing w:before="297" w:line="240" w:lineRule="exact"/>
        <w:ind w:left="-39" w:firstLine="0"/>
        <w:jc w:val="left"/>
      </w:pPr>
      <w:r>
        <w:pict>
          <v:shape id="_x0000_s1091" o:spid="_x0000_s1091" style="position:absolute;left:0pt;margin-left:0pt;margin-top:679.35pt;height:1.75pt;width:398.25pt;mso-position-horizontal-relative:page;z-index:251682816;mso-width-relative:page;mso-height-relative:page;" filled="f" stroked="t" coordorigin="0,13587" coordsize="7965,35" path="m1419,101l9384,101m1419,66l9384,66e">
            <v:path arrowok="t"/>
            <v:fill on="f" focussize="0,0"/>
            <v:stroke weight="0.388031496062992pt" color="#231F20"/>
            <v:imagedata o:title=""/>
            <o:lock v:ext="edit"/>
          </v:shape>
        </w:pict>
      </w:r>
      <w:r>
        <w:rPr>
          <w:spacing w:val="3"/>
          <w:w w:val="105"/>
        </w:rPr>
        <w:t>第十</w:t>
      </w:r>
      <w:r>
        <w:rPr>
          <w:spacing w:val="15"/>
          <w:w w:val="105"/>
        </w:rPr>
        <w:t>二</w:t>
      </w:r>
      <w:r>
        <w:rPr>
          <w:w w:val="105"/>
        </w:rPr>
        <w:t>条</w:t>
      </w:r>
      <w:r>
        <w:rPr>
          <w:w w:val="105"/>
        </w:rPr>
        <w:tab/>
      </w:r>
      <w:r>
        <w:rPr>
          <w:spacing w:val="21"/>
          <w:w w:val="105"/>
        </w:rPr>
        <w:t>实施刑法第一百三十</w:t>
      </w:r>
      <w:r>
        <w:rPr>
          <w:w w:val="105"/>
        </w:rPr>
        <w:t>二</w:t>
      </w:r>
    </w:p>
    <w:p>
      <w:pPr>
        <w:spacing w:after="0" w:line="240" w:lineRule="exact"/>
        <w:jc w:val="left"/>
        <w:sectPr>
          <w:pgSz w:w="10500" w:h="14750"/>
          <w:pgMar w:top="960" w:right="980" w:bottom="280" w:left="980" w:header="720" w:footer="720" w:gutter="0"/>
          <w:cols w:equalWidth="0" w:num="3">
            <w:col w:w="1004" w:space="2348"/>
            <w:col w:w="1699" w:space="39"/>
            <w:col w:w="3450"/>
          </w:cols>
        </w:sectPr>
      </w:pPr>
    </w:p>
    <w:p>
      <w:pPr>
        <w:pStyle w:val="6"/>
        <w:spacing w:before="74" w:line="295" w:lineRule="auto"/>
        <w:ind w:left="440" w:firstLine="413"/>
        <w:rPr>
          <w:rFonts w:hint="eastAsia" w:ascii="MS UI Gothic" w:eastAsia="MS UI Gothic"/>
        </w:rPr>
      </w:pPr>
      <w:r>
        <w:rPr>
          <w:rFonts w:hint="eastAsia" w:ascii="MS UI Gothic" w:eastAsia="MS UI Gothic"/>
        </w:rPr>
        <w:t xml:space="preserve">３ </w:t>
      </w:r>
      <w:r>
        <w:t>伪造</w:t>
      </w:r>
      <w:r>
        <w:rPr>
          <w:rFonts w:hint="eastAsia" w:ascii="MS UI Gothic" w:eastAsia="MS UI Gothic"/>
        </w:rPr>
        <w:t xml:space="preserve">、 </w:t>
      </w:r>
      <w:r>
        <w:t>破坏事故现场</w:t>
      </w:r>
      <w:r>
        <w:rPr>
          <w:rFonts w:hint="eastAsia" w:ascii="MS UI Gothic" w:eastAsia="MS UI Gothic"/>
          <w:w w:val="85"/>
        </w:rPr>
        <w:t xml:space="preserve">ꎬ </w:t>
      </w:r>
      <w:r>
        <w:t>或者转移</w:t>
      </w:r>
      <w:r>
        <w:rPr>
          <w:rFonts w:hint="eastAsia" w:ascii="MS UI Gothic" w:eastAsia="MS UI Gothic"/>
        </w:rPr>
        <w:t>、</w:t>
      </w:r>
      <w:r>
        <w:t>藏匿</w:t>
      </w:r>
      <w:r>
        <w:rPr>
          <w:rFonts w:hint="eastAsia" w:ascii="MS UI Gothic" w:eastAsia="MS UI Gothic"/>
        </w:rPr>
        <w:t xml:space="preserve">、 </w:t>
      </w:r>
      <w:r>
        <w:t>毁灭遇难人员尸体</w:t>
      </w:r>
      <w:r>
        <w:rPr>
          <w:rFonts w:hint="eastAsia" w:ascii="MS UI Gothic" w:eastAsia="MS UI Gothic"/>
          <w:w w:val="85"/>
        </w:rPr>
        <w:t xml:space="preserve">ꎬ </w:t>
      </w:r>
      <w:r>
        <w:t>或者转移</w:t>
      </w:r>
      <w:r>
        <w:rPr>
          <w:rFonts w:hint="eastAsia" w:ascii="MS UI Gothic" w:eastAsia="MS UI Gothic"/>
        </w:rPr>
        <w:t xml:space="preserve">、 </w:t>
      </w:r>
      <w:r>
        <w:t>藏匿受伤人员的</w:t>
      </w:r>
      <w:r>
        <w:rPr>
          <w:rFonts w:hint="eastAsia" w:ascii="MS UI Gothic" w:eastAsia="MS UI Gothic"/>
          <w:w w:val="85"/>
        </w:rPr>
        <w:t>ꎻ</w:t>
      </w:r>
    </w:p>
    <w:p>
      <w:pPr>
        <w:pStyle w:val="6"/>
        <w:spacing w:line="295" w:lineRule="auto"/>
        <w:ind w:left="440" w:right="1" w:firstLine="413"/>
        <w:rPr>
          <w:rFonts w:hint="eastAsia" w:ascii="MS UI Gothic" w:eastAsia="MS UI Gothic"/>
        </w:rPr>
      </w:pPr>
      <w:r>
        <w:rPr>
          <w:rFonts w:hint="eastAsia" w:ascii="MS UI Gothic" w:eastAsia="MS UI Gothic"/>
        </w:rPr>
        <w:t xml:space="preserve">４ </w:t>
      </w:r>
      <w:r>
        <w:t>毁灭</w:t>
      </w:r>
      <w:r>
        <w:rPr>
          <w:rFonts w:hint="eastAsia" w:ascii="MS UI Gothic" w:eastAsia="MS UI Gothic"/>
        </w:rPr>
        <w:t xml:space="preserve">、 </w:t>
      </w:r>
      <w:r>
        <w:t>伪造</w:t>
      </w:r>
      <w:r>
        <w:rPr>
          <w:rFonts w:hint="eastAsia" w:ascii="MS UI Gothic" w:eastAsia="MS UI Gothic"/>
        </w:rPr>
        <w:t xml:space="preserve">、 </w:t>
      </w:r>
      <w:r>
        <w:t>隐匿与事故有关的图纸</w:t>
      </w:r>
      <w:r>
        <w:rPr>
          <w:rFonts w:hint="eastAsia" w:ascii="MS UI Gothic" w:eastAsia="MS UI Gothic"/>
        </w:rPr>
        <w:t xml:space="preserve">、 </w:t>
      </w:r>
      <w:r>
        <w:t>记录</w:t>
      </w:r>
      <w:r>
        <w:rPr>
          <w:rFonts w:hint="eastAsia" w:ascii="MS UI Gothic" w:eastAsia="MS UI Gothic"/>
        </w:rPr>
        <w:t xml:space="preserve">、 </w:t>
      </w:r>
      <w:r>
        <w:t>计算机数据等资料以及其他证据的</w:t>
      </w:r>
      <w:r>
        <w:rPr>
          <w:rFonts w:hint="eastAsia" w:ascii="MS UI Gothic" w:eastAsia="MS UI Gothic"/>
          <w:w w:val="85"/>
        </w:rPr>
        <w:t>ꎻ</w:t>
      </w:r>
    </w:p>
    <w:p>
      <w:pPr>
        <w:pStyle w:val="6"/>
        <w:spacing w:line="254"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其他情节严重的情形</w:t>
      </w:r>
      <w:r>
        <w:rPr>
          <w:rFonts w:hint="eastAsia" w:ascii="MS UI Gothic" w:eastAsia="MS UI Gothic"/>
          <w:w w:val="80"/>
        </w:rPr>
        <w:t>ꎮ</w:t>
      </w:r>
    </w:p>
    <w:p>
      <w:pPr>
        <w:pStyle w:val="6"/>
        <w:spacing w:before="56" w:line="295" w:lineRule="auto"/>
        <w:ind w:left="440" w:right="1"/>
        <w:rPr>
          <w:rFonts w:hint="eastAsia" w:ascii="MS UI Gothic" w:hAnsi="MS UI Gothic" w:eastAsia="MS UI Gothic"/>
        </w:rPr>
      </w:pPr>
      <w:r>
        <w:t>具有下列情形之一的</w:t>
      </w:r>
      <w:r>
        <w:rPr>
          <w:rFonts w:hint="eastAsia" w:ascii="MS UI Gothic" w:hAnsi="MS UI Gothic" w:eastAsia="MS UI Gothic"/>
          <w:w w:val="80"/>
        </w:rPr>
        <w:t xml:space="preserve">ꎬ </w:t>
      </w:r>
      <w:r>
        <w:t>应当认定为刑</w:t>
      </w:r>
      <w:r>
        <w:rPr>
          <w:w w:val="105"/>
        </w:rPr>
        <w:t xml:space="preserve">法第一百三十九条之一规定的 </w:t>
      </w:r>
      <w:r>
        <w:rPr>
          <w:rFonts w:hint="eastAsia" w:ascii="MS UI Gothic" w:hAnsi="MS UI Gothic" w:eastAsia="MS UI Gothic"/>
          <w:w w:val="105"/>
        </w:rPr>
        <w:t xml:space="preserve">“ </w:t>
      </w:r>
      <w:r>
        <w:rPr>
          <w:w w:val="105"/>
        </w:rPr>
        <w:t>情节特</w:t>
      </w:r>
      <w:r>
        <w:rPr>
          <w:w w:val="102"/>
        </w:rPr>
        <w:t>别严重</w:t>
      </w:r>
      <w:r>
        <w:rPr>
          <w:rFonts w:hint="eastAsia" w:ascii="MS UI Gothic" w:hAnsi="MS UI Gothic" w:eastAsia="MS UI Gothic"/>
          <w:w w:val="102"/>
        </w:rPr>
        <w:t>”</w:t>
      </w:r>
      <w:r>
        <w:rPr>
          <w:rFonts w:hint="eastAsia" w:ascii="MS UI Gothic" w:hAnsi="MS UI Gothic" w:eastAsia="MS UI Gothic"/>
          <w:w w:val="253"/>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导致事故后果扩大</w:t>
      </w:r>
      <w:r>
        <w:rPr>
          <w:rFonts w:hint="eastAsia" w:ascii="MS UI Gothic" w:eastAsia="MS UI Gothic"/>
          <w:w w:val="80"/>
        </w:rPr>
        <w:t xml:space="preserve">ꎬ </w:t>
      </w:r>
      <w:r>
        <w:rPr>
          <w:w w:val="105"/>
        </w:rPr>
        <w:t>增加死亡</w:t>
      </w:r>
      <w:r>
        <w:t>三人以上</w:t>
      </w:r>
      <w:r>
        <w:rPr>
          <w:rFonts w:hint="eastAsia" w:ascii="MS UI Gothic" w:eastAsia="MS UI Gothic"/>
          <w:w w:val="80"/>
        </w:rPr>
        <w:t xml:space="preserve">ꎬ </w:t>
      </w:r>
      <w:r>
        <w:t>或者增加重伤十人以上</w:t>
      </w:r>
      <w:r>
        <w:rPr>
          <w:rFonts w:hint="eastAsia" w:ascii="MS UI Gothic" w:eastAsia="MS UI Gothic"/>
          <w:w w:val="80"/>
        </w:rPr>
        <w:t xml:space="preserve">ꎬ </w:t>
      </w:r>
      <w:r>
        <w:t>或者</w:t>
      </w:r>
      <w:r>
        <w:rPr>
          <w:w w:val="105"/>
        </w:rPr>
        <w:t>增加直接经济损失五百万元以上的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采用暴力</w:t>
      </w:r>
      <w:r>
        <w:rPr>
          <w:rFonts w:hint="eastAsia" w:ascii="MS UI Gothic" w:eastAsia="MS UI Gothic"/>
          <w:w w:val="80"/>
        </w:rPr>
        <w:t xml:space="preserve">、 </w:t>
      </w:r>
      <w:r>
        <w:rPr>
          <w:w w:val="105"/>
        </w:rPr>
        <w:t>胁迫</w:t>
      </w:r>
      <w:r>
        <w:rPr>
          <w:rFonts w:hint="eastAsia" w:ascii="MS UI Gothic" w:eastAsia="MS UI Gothic"/>
          <w:w w:val="80"/>
        </w:rPr>
        <w:t xml:space="preserve">、 </w:t>
      </w:r>
      <w:r>
        <w:rPr>
          <w:w w:val="105"/>
        </w:rPr>
        <w:t>命令等方式</w:t>
      </w:r>
      <w:r>
        <w:t>阻止他人报告事故情况</w:t>
      </w:r>
      <w:r>
        <w:rPr>
          <w:rFonts w:hint="eastAsia" w:ascii="MS UI Gothic" w:eastAsia="MS UI Gothic"/>
          <w:w w:val="80"/>
        </w:rPr>
        <w:t xml:space="preserve">ꎬ </w:t>
      </w:r>
      <w:r>
        <w:t>导致事故后果扩</w:t>
      </w:r>
      <w:r>
        <w:rPr>
          <w:w w:val="105"/>
        </w:rPr>
        <w:t>大的</w:t>
      </w:r>
      <w:r>
        <w:rPr>
          <w:rFonts w:hint="eastAsia" w:ascii="MS UI Gothic" w:eastAsia="MS UI Gothic"/>
          <w:w w:val="80"/>
        </w:rPr>
        <w:t>ꎻ</w:t>
      </w:r>
    </w:p>
    <w:p>
      <w:pPr>
        <w:pStyle w:val="6"/>
        <w:spacing w:line="254"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其他情节特别严重的情形</w:t>
      </w:r>
      <w:r>
        <w:rPr>
          <w:rFonts w:hint="eastAsia" w:ascii="MS UI Gothic" w:eastAsia="MS UI Gothic"/>
          <w:w w:val="80"/>
        </w:rPr>
        <w:t>ꎮ</w:t>
      </w:r>
    </w:p>
    <w:p>
      <w:pPr>
        <w:pStyle w:val="6"/>
        <w:spacing w:before="53" w:line="295" w:lineRule="auto"/>
        <w:ind w:left="440" w:right="1"/>
        <w:rPr>
          <w:rFonts w:hint="eastAsia" w:ascii="MS UI Gothic" w:eastAsia="MS UI Gothic"/>
        </w:rPr>
      </w:pPr>
      <w:r>
        <w:t>第九条 在安全事故发生后</w:t>
      </w:r>
      <w:r>
        <w:rPr>
          <w:rFonts w:hint="eastAsia" w:ascii="MS UI Gothic" w:eastAsia="MS UI Gothic"/>
          <w:w w:val="80"/>
        </w:rPr>
        <w:t xml:space="preserve">ꎬ </w:t>
      </w:r>
      <w:r>
        <w:t>与负有报告职责的人员串通</w:t>
      </w:r>
      <w:r>
        <w:rPr>
          <w:rFonts w:hint="eastAsia" w:ascii="MS UI Gothic" w:eastAsia="MS UI Gothic"/>
          <w:w w:val="80"/>
        </w:rPr>
        <w:t xml:space="preserve">ꎬ </w:t>
      </w:r>
      <w:r>
        <w:t>不报或者谎报事故情况</w:t>
      </w:r>
      <w:r>
        <w:rPr>
          <w:rFonts w:hint="eastAsia" w:ascii="MS UI Gothic" w:eastAsia="MS UI Gothic"/>
          <w:w w:val="80"/>
        </w:rPr>
        <w:t xml:space="preserve">ꎬ </w:t>
      </w:r>
      <w:r>
        <w:t>贻误事故抢救</w:t>
      </w:r>
      <w:r>
        <w:rPr>
          <w:rFonts w:hint="eastAsia" w:ascii="MS UI Gothic" w:eastAsia="MS UI Gothic"/>
          <w:w w:val="80"/>
        </w:rPr>
        <w:t xml:space="preserve">ꎬ </w:t>
      </w:r>
      <w:r>
        <w:t>情节严重的</w:t>
      </w:r>
      <w:r>
        <w:rPr>
          <w:rFonts w:hint="eastAsia" w:ascii="MS UI Gothic" w:eastAsia="MS UI Gothic"/>
          <w:w w:val="80"/>
        </w:rPr>
        <w:t xml:space="preserve">ꎬ </w:t>
      </w:r>
      <w:r>
        <w:t>依照刑法第一百三十九条之一的规定</w:t>
      </w:r>
      <w:r>
        <w:rPr>
          <w:rFonts w:hint="eastAsia" w:ascii="MS UI Gothic" w:eastAsia="MS UI Gothic"/>
          <w:w w:val="80"/>
        </w:rPr>
        <w:t xml:space="preserve">ꎬ </w:t>
      </w:r>
      <w:r>
        <w:t>以共犯论处</w:t>
      </w:r>
      <w:r>
        <w:rPr>
          <w:rFonts w:hint="eastAsia" w:ascii="MS UI Gothic" w:eastAsia="MS UI Gothic"/>
          <w:w w:val="80"/>
        </w:rPr>
        <w:t>ꎮ</w:t>
      </w:r>
    </w:p>
    <w:p>
      <w:pPr>
        <w:pStyle w:val="6"/>
        <w:spacing w:line="295" w:lineRule="auto"/>
        <w:ind w:left="440" w:right="1"/>
        <w:rPr>
          <w:rFonts w:hint="eastAsia" w:ascii="MS UI Gothic" w:eastAsia="MS UI Gothic"/>
        </w:rPr>
      </w:pPr>
      <w:r>
        <w:t>第十条 在安全事故发生后</w:t>
      </w:r>
      <w:r>
        <w:rPr>
          <w:rFonts w:hint="eastAsia" w:ascii="MS UI Gothic" w:eastAsia="MS UI Gothic"/>
          <w:w w:val="80"/>
        </w:rPr>
        <w:t xml:space="preserve">ꎬ </w:t>
      </w:r>
      <w:r>
        <w:t>直接负责的主管人员和其他直接责任人员故意阻挠开展抢救</w:t>
      </w:r>
      <w:r>
        <w:rPr>
          <w:rFonts w:hint="eastAsia" w:ascii="MS UI Gothic" w:eastAsia="MS UI Gothic"/>
          <w:w w:val="80"/>
        </w:rPr>
        <w:t xml:space="preserve">ꎬ </w:t>
      </w:r>
      <w:r>
        <w:t>导致人员死亡或者重伤</w:t>
      </w:r>
      <w:r>
        <w:rPr>
          <w:rFonts w:hint="eastAsia" w:ascii="MS UI Gothic" w:eastAsia="MS UI Gothic"/>
          <w:w w:val="80"/>
        </w:rPr>
        <w:t xml:space="preserve">ꎬ </w:t>
      </w:r>
      <w:r>
        <w:t>或者为了逃避法律追究</w:t>
      </w:r>
      <w:r>
        <w:rPr>
          <w:rFonts w:hint="eastAsia" w:ascii="MS UI Gothic" w:eastAsia="MS UI Gothic"/>
          <w:w w:val="80"/>
        </w:rPr>
        <w:t xml:space="preserve">ꎬ </w:t>
      </w:r>
      <w:r>
        <w:t>对被害人进行隐藏</w:t>
      </w:r>
      <w:r>
        <w:rPr>
          <w:rFonts w:hint="eastAsia" w:ascii="MS UI Gothic" w:eastAsia="MS UI Gothic"/>
          <w:w w:val="80"/>
        </w:rPr>
        <w:t xml:space="preserve">、 </w:t>
      </w:r>
      <w:r>
        <w:t>遗弃</w:t>
      </w:r>
      <w:r>
        <w:rPr>
          <w:rFonts w:hint="eastAsia" w:ascii="MS UI Gothic" w:eastAsia="MS UI Gothic"/>
          <w:w w:val="80"/>
        </w:rPr>
        <w:t xml:space="preserve">ꎬ </w:t>
      </w:r>
      <w:r>
        <w:t>致使被害人因无法得到救助而死亡或者重度残疾的</w:t>
      </w:r>
      <w:r>
        <w:rPr>
          <w:rFonts w:hint="eastAsia" w:ascii="MS UI Gothic" w:eastAsia="MS UI Gothic"/>
          <w:w w:val="80"/>
        </w:rPr>
        <w:t xml:space="preserve">ꎬ </w:t>
      </w:r>
      <w:r>
        <w:t>分别依照刑法第二百三十二条</w:t>
      </w:r>
      <w:r>
        <w:rPr>
          <w:rFonts w:hint="eastAsia" w:ascii="MS UI Gothic" w:eastAsia="MS UI Gothic"/>
          <w:w w:val="80"/>
        </w:rPr>
        <w:t xml:space="preserve">、 </w:t>
      </w:r>
      <w:r>
        <w:t>第二百三十四条的规定</w:t>
      </w:r>
      <w:r>
        <w:rPr>
          <w:rFonts w:hint="eastAsia" w:ascii="MS UI Gothic" w:eastAsia="MS UI Gothic"/>
          <w:w w:val="80"/>
        </w:rPr>
        <w:t xml:space="preserve">ꎬ </w:t>
      </w:r>
      <w:r>
        <w:t>以故意杀人罪或者故意伤害罪定罪处罚</w:t>
      </w:r>
      <w:r>
        <w:rPr>
          <w:rFonts w:hint="eastAsia" w:ascii="MS UI Gothic" w:eastAsia="MS UI Gothic"/>
          <w:w w:val="80"/>
        </w:rPr>
        <w:t>ꎮ</w:t>
      </w:r>
    </w:p>
    <w:p>
      <w:pPr>
        <w:pStyle w:val="6"/>
        <w:spacing w:line="295" w:lineRule="auto"/>
        <w:ind w:left="440"/>
        <w:rPr>
          <w:rFonts w:hint="eastAsia" w:ascii="MS UI Gothic" w:eastAsia="MS UI Gothic"/>
        </w:rPr>
      </w:pPr>
      <w:r>
        <w:t>第十一条 生产不符合保障人身</w:t>
      </w:r>
      <w:r>
        <w:rPr>
          <w:rFonts w:hint="eastAsia" w:ascii="MS UI Gothic" w:eastAsia="MS UI Gothic"/>
          <w:w w:val="80"/>
        </w:rPr>
        <w:t xml:space="preserve">、 </w:t>
      </w:r>
      <w:r>
        <w:t>财产安全的国家标准</w:t>
      </w:r>
      <w:r>
        <w:rPr>
          <w:rFonts w:hint="eastAsia" w:ascii="MS UI Gothic" w:eastAsia="MS UI Gothic"/>
          <w:w w:val="80"/>
        </w:rPr>
        <w:t xml:space="preserve">、 </w:t>
      </w:r>
      <w:r>
        <w:t>行业标准的安全设备</w:t>
      </w:r>
      <w:r>
        <w:rPr>
          <w:rFonts w:hint="eastAsia" w:ascii="MS UI Gothic" w:eastAsia="MS UI Gothic"/>
          <w:w w:val="80"/>
        </w:rPr>
        <w:t xml:space="preserve">ꎬ </w:t>
      </w:r>
      <w:r>
        <w:t>或者明知安全设备不符合保障人身</w:t>
      </w:r>
      <w:r>
        <w:rPr>
          <w:rFonts w:hint="eastAsia" w:ascii="MS UI Gothic" w:eastAsia="MS UI Gothic"/>
          <w:w w:val="80"/>
        </w:rPr>
        <w:t>、</w:t>
      </w:r>
      <w:r>
        <w:t>财产安全的国家标准</w:t>
      </w:r>
      <w:r>
        <w:rPr>
          <w:rFonts w:hint="eastAsia" w:ascii="MS UI Gothic" w:eastAsia="MS UI Gothic"/>
          <w:w w:val="80"/>
        </w:rPr>
        <w:t xml:space="preserve">、 </w:t>
      </w:r>
      <w:r>
        <w:t>行业标准而进行销售</w:t>
      </w:r>
      <w:r>
        <w:rPr>
          <w:rFonts w:hint="eastAsia" w:ascii="MS UI Gothic" w:eastAsia="MS UI Gothic"/>
          <w:w w:val="80"/>
        </w:rPr>
        <w:t xml:space="preserve">ꎬ </w:t>
      </w:r>
      <w:r>
        <w:t>致使发生安全事故</w:t>
      </w:r>
      <w:r>
        <w:rPr>
          <w:rFonts w:hint="eastAsia" w:ascii="MS UI Gothic" w:eastAsia="MS UI Gothic"/>
          <w:w w:val="80"/>
        </w:rPr>
        <w:t xml:space="preserve">ꎬ </w:t>
      </w:r>
      <w:r>
        <w:t>造成严重后果的</w:t>
      </w:r>
      <w:r>
        <w:rPr>
          <w:rFonts w:hint="eastAsia" w:ascii="MS UI Gothic" w:eastAsia="MS UI Gothic"/>
          <w:w w:val="80"/>
        </w:rPr>
        <w:t xml:space="preserve">ꎬ </w:t>
      </w:r>
      <w:r>
        <w:t>依照刑法第一百四十六条的规定</w:t>
      </w:r>
      <w:r>
        <w:rPr>
          <w:rFonts w:hint="eastAsia" w:ascii="MS UI Gothic" w:eastAsia="MS UI Gothic"/>
          <w:w w:val="80"/>
        </w:rPr>
        <w:t xml:space="preserve">ꎬ </w:t>
      </w:r>
      <w:r>
        <w:t>以生产</w:t>
      </w:r>
      <w:r>
        <w:rPr>
          <w:rFonts w:hint="eastAsia" w:ascii="MS UI Gothic" w:eastAsia="MS UI Gothic"/>
          <w:w w:val="80"/>
        </w:rPr>
        <w:t xml:space="preserve">、 </w:t>
      </w:r>
      <w:r>
        <w:t>销售不符合安全标准的产品罪定罪处罚</w:t>
      </w:r>
      <w:r>
        <w:rPr>
          <w:rFonts w:hint="eastAsia" w:ascii="MS UI Gothic" w:eastAsia="MS UI Gothic"/>
          <w:w w:val="80"/>
        </w:rPr>
        <w:t>ꎮ</w:t>
      </w:r>
    </w:p>
    <w:p>
      <w:pPr>
        <w:pStyle w:val="6"/>
        <w:spacing w:before="74" w:line="295" w:lineRule="auto"/>
        <w:ind w:left="381" w:right="126" w:firstLine="0"/>
        <w:rPr>
          <w:rFonts w:hint="eastAsia" w:ascii="MS UI Gothic" w:eastAsia="MS UI Gothic"/>
        </w:rPr>
      </w:pPr>
      <w:r>
        <w:br w:type="column"/>
      </w:r>
      <w:r>
        <w:rPr>
          <w:w w:val="105"/>
        </w:rPr>
        <w:t>条</w:t>
      </w:r>
      <w:r>
        <w:rPr>
          <w:rFonts w:hint="eastAsia" w:ascii="MS UI Gothic" w:eastAsia="MS UI Gothic"/>
          <w:w w:val="80"/>
        </w:rPr>
        <w:t xml:space="preserve">、 </w:t>
      </w:r>
      <w:r>
        <w:rPr>
          <w:w w:val="105"/>
        </w:rPr>
        <w:t>第一百三十四条至第一百三十九条之</w:t>
      </w:r>
      <w:r>
        <w:t>一规定的犯罪行为</w:t>
      </w:r>
      <w:r>
        <w:rPr>
          <w:rFonts w:hint="eastAsia" w:ascii="MS UI Gothic" w:eastAsia="MS UI Gothic"/>
          <w:w w:val="80"/>
        </w:rPr>
        <w:t xml:space="preserve">ꎬ </w:t>
      </w:r>
      <w:r>
        <w:t>具有下列情形之一</w:t>
      </w:r>
      <w:r>
        <w:rPr>
          <w:w w:val="105"/>
        </w:rPr>
        <w:t>的</w:t>
      </w:r>
      <w:r>
        <w:rPr>
          <w:rFonts w:hint="eastAsia" w:ascii="MS UI Gothic" w:eastAsia="MS UI Gothic"/>
          <w:w w:val="80"/>
        </w:rPr>
        <w:t xml:space="preserve">ꎬ </w:t>
      </w:r>
      <w:r>
        <w:rPr>
          <w:w w:val="105"/>
        </w:rPr>
        <w:t>从重处罚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未依法取得安全许可证件或者安全许可证件过期</w:t>
      </w:r>
      <w:r>
        <w:rPr>
          <w:rFonts w:hint="eastAsia" w:ascii="MS UI Gothic" w:eastAsia="MS UI Gothic"/>
          <w:w w:val="80"/>
        </w:rPr>
        <w:t xml:space="preserve">、 </w:t>
      </w:r>
      <w:r>
        <w:rPr>
          <w:w w:val="105"/>
        </w:rPr>
        <w:t>被暂扣</w:t>
      </w:r>
      <w:r>
        <w:rPr>
          <w:rFonts w:hint="eastAsia" w:ascii="MS UI Gothic" w:eastAsia="MS UI Gothic"/>
          <w:w w:val="80"/>
        </w:rPr>
        <w:t xml:space="preserve">、 </w:t>
      </w:r>
      <w:r>
        <w:rPr>
          <w:w w:val="105"/>
        </w:rPr>
        <w:t>吊销</w:t>
      </w:r>
      <w:r>
        <w:rPr>
          <w:rFonts w:hint="eastAsia" w:ascii="MS UI Gothic" w:eastAsia="MS UI Gothic"/>
          <w:w w:val="80"/>
        </w:rPr>
        <w:t xml:space="preserve">、 </w:t>
      </w:r>
      <w:r>
        <w:rPr>
          <w:w w:val="105"/>
        </w:rPr>
        <w:t>注销后从事生产经营活动的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关闭</w:t>
      </w:r>
      <w:r>
        <w:rPr>
          <w:rFonts w:hint="eastAsia" w:ascii="MS UI Gothic" w:eastAsia="MS UI Gothic"/>
          <w:w w:val="80"/>
        </w:rPr>
        <w:t xml:space="preserve">、 </w:t>
      </w:r>
      <w:r>
        <w:rPr>
          <w:w w:val="105"/>
        </w:rPr>
        <w:t>破坏必要的安全监控和报警设备的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已经发现事故隐患</w:t>
      </w:r>
      <w:r>
        <w:rPr>
          <w:rFonts w:hint="eastAsia" w:ascii="MS UI Gothic" w:eastAsia="MS UI Gothic"/>
          <w:w w:val="80"/>
        </w:rPr>
        <w:t xml:space="preserve">ꎬ </w:t>
      </w:r>
      <w:r>
        <w:rPr>
          <w:w w:val="105"/>
        </w:rPr>
        <w:t>经有关部门或者个人提出后</w:t>
      </w:r>
      <w:r>
        <w:rPr>
          <w:rFonts w:hint="eastAsia" w:ascii="MS UI Gothic" w:eastAsia="MS UI Gothic"/>
          <w:w w:val="80"/>
        </w:rPr>
        <w:t xml:space="preserve">ꎬ </w:t>
      </w:r>
      <w:r>
        <w:rPr>
          <w:w w:val="105"/>
        </w:rPr>
        <w:t>仍不采取措施的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一年内曾因危害生产安全违法</w:t>
      </w:r>
      <w:r>
        <w:t>犯罪活动受过行政处罚或者刑事处罚的</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采取弄虚作假</w:t>
      </w:r>
      <w:r>
        <w:rPr>
          <w:rFonts w:hint="eastAsia" w:ascii="MS UI Gothic" w:eastAsia="MS UI Gothic"/>
          <w:w w:val="80"/>
        </w:rPr>
        <w:t xml:space="preserve">、 </w:t>
      </w:r>
      <w:r>
        <w:rPr>
          <w:w w:val="105"/>
        </w:rPr>
        <w:t>行贿等手段</w:t>
      </w:r>
      <w:r>
        <w:rPr>
          <w:rFonts w:hint="eastAsia" w:ascii="MS UI Gothic" w:eastAsia="MS UI Gothic"/>
          <w:w w:val="80"/>
        </w:rPr>
        <w:t>ꎬ</w:t>
      </w:r>
      <w:r>
        <w:rPr>
          <w:w w:val="105"/>
        </w:rPr>
        <w:t>故意逃避</w:t>
      </w:r>
      <w:r>
        <w:rPr>
          <w:rFonts w:hint="eastAsia" w:ascii="MS UI Gothic" w:eastAsia="MS UI Gothic"/>
          <w:w w:val="80"/>
        </w:rPr>
        <w:t xml:space="preserve">、 </w:t>
      </w:r>
      <w:r>
        <w:rPr>
          <w:w w:val="105"/>
        </w:rPr>
        <w:t>阻挠负有安全监督管理职责的部门实施监督检查的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安全事故发生后转移财产意图</w:t>
      </w:r>
      <w:r>
        <w:rPr>
          <w:w w:val="110"/>
        </w:rPr>
        <w:t>逃避承担责任的</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其他从重处罚的情形</w:t>
      </w:r>
      <w:r>
        <w:rPr>
          <w:rFonts w:hint="eastAsia" w:ascii="MS UI Gothic" w:eastAsia="MS UI Gothic"/>
          <w:w w:val="80"/>
        </w:rPr>
        <w:t>ꎮ</w:t>
      </w:r>
    </w:p>
    <w:p>
      <w:pPr>
        <w:pStyle w:val="6"/>
        <w:spacing w:before="46" w:line="295" w:lineRule="auto"/>
        <w:ind w:left="381" w:right="126"/>
        <w:rPr>
          <w:rFonts w:hint="eastAsia" w:ascii="MS UI Gothic" w:eastAsia="MS UI Gothic"/>
        </w:rPr>
      </w:pPr>
      <w:r>
        <w:t>实施前款第五项规定的行为</w:t>
      </w:r>
      <w:r>
        <w:rPr>
          <w:rFonts w:hint="eastAsia" w:ascii="MS UI Gothic" w:eastAsia="MS UI Gothic"/>
          <w:w w:val="80"/>
        </w:rPr>
        <w:t xml:space="preserve">ꎬ </w:t>
      </w:r>
      <w:r>
        <w:t>同时构成刑法第三百八十九条规定的犯罪的</w:t>
      </w:r>
      <w:r>
        <w:rPr>
          <w:rFonts w:hint="eastAsia" w:ascii="MS UI Gothic" w:eastAsia="MS UI Gothic"/>
          <w:w w:val="80"/>
        </w:rPr>
        <w:t xml:space="preserve">ꎬ </w:t>
      </w:r>
      <w:r>
        <w:t>依照数罪并罚的规定处罚</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10"/>
        </w:rPr>
        <w:t>第十三条  实施刑法第一百三十二</w:t>
      </w:r>
      <w:r>
        <w:rPr>
          <w:spacing w:val="3"/>
        </w:rPr>
        <w:t>条</w:t>
      </w:r>
      <w:r>
        <w:rPr>
          <w:rFonts w:hint="eastAsia" w:ascii="MS UI Gothic" w:eastAsia="MS UI Gothic"/>
          <w:spacing w:val="17"/>
          <w:w w:val="80"/>
        </w:rPr>
        <w:t xml:space="preserve">、 </w:t>
      </w:r>
      <w:r>
        <w:rPr>
          <w:spacing w:val="2"/>
        </w:rPr>
        <w:t>第一百三十四条至第一百三十九条之</w:t>
      </w:r>
      <w:r>
        <w:rPr>
          <w:spacing w:val="3"/>
        </w:rPr>
        <w:t>一规定的犯罪行为</w:t>
      </w:r>
      <w:r>
        <w:rPr>
          <w:rFonts w:hint="eastAsia" w:ascii="MS UI Gothic" w:eastAsia="MS UI Gothic"/>
          <w:spacing w:val="20"/>
          <w:w w:val="80"/>
        </w:rPr>
        <w:t xml:space="preserve">ꎬ </w:t>
      </w:r>
      <w:r>
        <w:rPr>
          <w:spacing w:val="2"/>
        </w:rPr>
        <w:t>在安全事故发生后积</w:t>
      </w:r>
      <w:r>
        <w:rPr>
          <w:spacing w:val="3"/>
        </w:rPr>
        <w:t>极组织</w:t>
      </w:r>
      <w:r>
        <w:rPr>
          <w:rFonts w:hint="eastAsia" w:ascii="MS UI Gothic" w:eastAsia="MS UI Gothic"/>
          <w:spacing w:val="11"/>
          <w:w w:val="80"/>
        </w:rPr>
        <w:t xml:space="preserve">、 </w:t>
      </w:r>
      <w:r>
        <w:rPr>
          <w:spacing w:val="3"/>
        </w:rPr>
        <w:t>参与事故抢救</w:t>
      </w:r>
      <w:r>
        <w:rPr>
          <w:rFonts w:hint="eastAsia" w:ascii="MS UI Gothic" w:eastAsia="MS UI Gothic"/>
          <w:spacing w:val="11"/>
          <w:w w:val="80"/>
        </w:rPr>
        <w:t xml:space="preserve">ꎬ </w:t>
      </w:r>
      <w:r>
        <w:rPr>
          <w:spacing w:val="2"/>
        </w:rPr>
        <w:t>或者积极配合调</w:t>
      </w:r>
      <w:r>
        <w:rPr>
          <w:spacing w:val="3"/>
        </w:rPr>
        <w:t>查</w:t>
      </w:r>
      <w:r>
        <w:rPr>
          <w:rFonts w:hint="eastAsia" w:ascii="MS UI Gothic" w:eastAsia="MS UI Gothic"/>
          <w:spacing w:val="8"/>
          <w:w w:val="80"/>
        </w:rPr>
        <w:t xml:space="preserve">、 </w:t>
      </w:r>
      <w:r>
        <w:rPr>
          <w:spacing w:val="32"/>
        </w:rPr>
        <w:t>主动赔偿损失的</w:t>
      </w:r>
      <w:r>
        <w:rPr>
          <w:rFonts w:hint="eastAsia" w:ascii="MS UI Gothic" w:eastAsia="MS UI Gothic"/>
          <w:spacing w:val="21"/>
          <w:w w:val="80"/>
        </w:rPr>
        <w:t xml:space="preserve">ꎬ </w:t>
      </w:r>
      <w:r>
        <w:rPr>
          <w:spacing w:val="33"/>
        </w:rPr>
        <w:t>可以酌情从轻</w:t>
      </w:r>
      <w:r>
        <w:rPr>
          <w:spacing w:val="3"/>
        </w:rPr>
        <w:t>处罚</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4"/>
        </w:rPr>
        <w:t>第十四条 国家工作人员违反规定投</w:t>
      </w:r>
      <w:r>
        <w:rPr>
          <w:spacing w:val="3"/>
        </w:rPr>
        <w:t>资入股生产经营</w:t>
      </w:r>
      <w:r>
        <w:rPr>
          <w:rFonts w:hint="eastAsia" w:ascii="MS UI Gothic" w:eastAsia="MS UI Gothic"/>
          <w:spacing w:val="19"/>
          <w:w w:val="80"/>
        </w:rPr>
        <w:t xml:space="preserve">ꎬ </w:t>
      </w:r>
      <w:r>
        <w:rPr>
          <w:spacing w:val="2"/>
        </w:rPr>
        <w:t>构成本解释规定的有关</w:t>
      </w:r>
      <w:r>
        <w:rPr>
          <w:spacing w:val="3"/>
        </w:rPr>
        <w:t>犯罪的</w:t>
      </w:r>
      <w:r>
        <w:rPr>
          <w:rFonts w:hint="eastAsia" w:ascii="MS UI Gothic" w:eastAsia="MS UI Gothic"/>
          <w:spacing w:val="11"/>
          <w:w w:val="80"/>
        </w:rPr>
        <w:t xml:space="preserve">ꎬ </w:t>
      </w:r>
      <w:r>
        <w:rPr>
          <w:spacing w:val="3"/>
        </w:rPr>
        <w:t>或者国家工作人员的贪污</w:t>
      </w:r>
      <w:r>
        <w:rPr>
          <w:rFonts w:hint="eastAsia" w:ascii="MS UI Gothic" w:eastAsia="MS UI Gothic"/>
          <w:spacing w:val="11"/>
          <w:w w:val="80"/>
        </w:rPr>
        <w:t xml:space="preserve">、 </w:t>
      </w:r>
      <w:r>
        <w:rPr>
          <w:spacing w:val="1"/>
        </w:rPr>
        <w:t>受贿</w:t>
      </w:r>
      <w:r>
        <w:rPr>
          <w:spacing w:val="4"/>
        </w:rPr>
        <w:t>犯罪行为与安全事故发生存在关联性的</w:t>
      </w:r>
      <w:r>
        <w:rPr>
          <w:rFonts w:hint="eastAsia" w:ascii="MS UI Gothic" w:eastAsia="MS UI Gothic"/>
          <w:w w:val="80"/>
        </w:rPr>
        <w:t>ꎬ</w:t>
      </w:r>
      <w:r>
        <w:rPr>
          <w:spacing w:val="3"/>
        </w:rPr>
        <w:t>从重处罚</w:t>
      </w:r>
      <w:r>
        <w:rPr>
          <w:rFonts w:hint="eastAsia" w:ascii="MS UI Gothic" w:eastAsia="MS UI Gothic"/>
          <w:spacing w:val="11"/>
          <w:w w:val="80"/>
        </w:rPr>
        <w:t xml:space="preserve">ꎻ </w:t>
      </w:r>
      <w:r>
        <w:rPr>
          <w:spacing w:val="3"/>
        </w:rPr>
        <w:t>同时构成贪污</w:t>
      </w:r>
      <w:r>
        <w:rPr>
          <w:rFonts w:hint="eastAsia" w:ascii="MS UI Gothic" w:eastAsia="MS UI Gothic"/>
          <w:spacing w:val="11"/>
          <w:w w:val="80"/>
        </w:rPr>
        <w:t xml:space="preserve">、 </w:t>
      </w:r>
      <w:r>
        <w:rPr>
          <w:spacing w:val="2"/>
        </w:rPr>
        <w:t>受贿犯罪和危</w:t>
      </w:r>
      <w:r>
        <w:rPr>
          <w:spacing w:val="3"/>
        </w:rPr>
        <w:t>害生产安全犯罪的</w:t>
      </w:r>
      <w:r>
        <w:rPr>
          <w:rFonts w:hint="eastAsia" w:ascii="MS UI Gothic" w:eastAsia="MS UI Gothic"/>
          <w:spacing w:val="19"/>
          <w:w w:val="80"/>
        </w:rPr>
        <w:t xml:space="preserve">ꎬ </w:t>
      </w:r>
      <w:r>
        <w:rPr>
          <w:spacing w:val="2"/>
        </w:rPr>
        <w:t>依照数罪并罚的规定</w:t>
      </w:r>
      <w:r>
        <w:rPr>
          <w:spacing w:val="3"/>
        </w:rPr>
        <w:t>处罚</w:t>
      </w:r>
      <w:r>
        <w:rPr>
          <w:rFonts w:hint="eastAsia" w:ascii="MS UI Gothic" w:eastAsia="MS UI Gothic"/>
          <w:w w:val="80"/>
        </w:rPr>
        <w:t>ꎮ</w:t>
      </w:r>
    </w:p>
    <w:p>
      <w:pPr>
        <w:pStyle w:val="6"/>
        <w:spacing w:line="295" w:lineRule="auto"/>
        <w:ind w:left="381" w:right="126"/>
      </w:pPr>
      <w:r>
        <w:t>第十五条 国家机关工作人员在履行安全监督管理职责时滥用职权</w:t>
      </w:r>
      <w:r>
        <w:rPr>
          <w:rFonts w:hint="eastAsia" w:ascii="MS UI Gothic" w:eastAsia="MS UI Gothic"/>
          <w:w w:val="80"/>
        </w:rPr>
        <w:t xml:space="preserve">、 </w:t>
      </w:r>
      <w:r>
        <w:t>玩忽职守</w:t>
      </w:r>
      <w:r>
        <w:rPr>
          <w:rFonts w:hint="eastAsia" w:ascii="MS UI Gothic" w:eastAsia="MS UI Gothic"/>
          <w:w w:val="80"/>
        </w:rPr>
        <w:t xml:space="preserve">ꎬ </w:t>
      </w:r>
      <w:r>
        <w:t>致使公共财产</w:t>
      </w:r>
      <w:r>
        <w:rPr>
          <w:rFonts w:hint="eastAsia" w:ascii="MS UI Gothic" w:eastAsia="MS UI Gothic"/>
          <w:w w:val="80"/>
        </w:rPr>
        <w:t xml:space="preserve">、 </w:t>
      </w:r>
      <w:r>
        <w:t>国家和人民利益遭受重大损失的</w:t>
      </w:r>
      <w:r>
        <w:rPr>
          <w:rFonts w:hint="eastAsia" w:ascii="MS UI Gothic" w:eastAsia="MS UI Gothic"/>
          <w:w w:val="80"/>
        </w:rPr>
        <w:t xml:space="preserve">ꎬ </w:t>
      </w:r>
      <w:r>
        <w:t>或者徇私舞弊</w:t>
      </w:r>
      <w:r>
        <w:rPr>
          <w:rFonts w:hint="eastAsia" w:ascii="MS UI Gothic" w:eastAsia="MS UI Gothic"/>
          <w:w w:val="80"/>
        </w:rPr>
        <w:t xml:space="preserve">ꎬ </w:t>
      </w:r>
      <w:r>
        <w:t>对发现的刑</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１４</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92" o:spid="_x0000_s1092" o:spt="203" style="height:2.15pt;width:398.25pt;" coordsize="7965,43">
            <o:lock v:ext="edit"/>
            <v:line id="_x0000_s1093" o:spid="_x0000_s1093" o:spt="20" style="position:absolute;left:0;top:39;height:0;width:7965;" stroked="t" coordsize="21600,21600">
              <v:path arrowok="t"/>
              <v:fill focussize="0,0"/>
              <v:stroke weight="0.388031496062992pt" color="#231F20"/>
              <v:imagedata o:title=""/>
              <o:lock v:ext="edit"/>
            </v:line>
            <v:line id="_x0000_s1094" o:spid="_x0000_s109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事案件依法应当移交司法机关追究刑事责任而不移交</w:t>
      </w:r>
      <w:r>
        <w:rPr>
          <w:rFonts w:hint="eastAsia" w:ascii="MS UI Gothic" w:eastAsia="MS UI Gothic"/>
          <w:w w:val="80"/>
        </w:rPr>
        <w:t xml:space="preserve">ꎬ </w:t>
      </w:r>
      <w:r>
        <w:t>情节严重的</w:t>
      </w:r>
      <w:r>
        <w:rPr>
          <w:rFonts w:hint="eastAsia" w:ascii="MS UI Gothic" w:eastAsia="MS UI Gothic"/>
          <w:w w:val="80"/>
        </w:rPr>
        <w:t xml:space="preserve">ꎬ </w:t>
      </w:r>
      <w:r>
        <w:t>分别依照刑法第三百九十七条</w:t>
      </w:r>
      <w:r>
        <w:rPr>
          <w:rFonts w:hint="eastAsia" w:ascii="MS UI Gothic" w:eastAsia="MS UI Gothic"/>
          <w:w w:val="80"/>
        </w:rPr>
        <w:t xml:space="preserve">、 </w:t>
      </w:r>
      <w:r>
        <w:t>第四百零二条的规定</w:t>
      </w:r>
      <w:r>
        <w:rPr>
          <w:rFonts w:hint="eastAsia" w:ascii="MS UI Gothic" w:eastAsia="MS UI Gothic"/>
          <w:w w:val="80"/>
        </w:rPr>
        <w:t>ꎬ</w:t>
      </w:r>
      <w:r>
        <w:t>以滥用职权罪</w:t>
      </w:r>
      <w:r>
        <w:rPr>
          <w:rFonts w:hint="eastAsia" w:ascii="MS UI Gothic" w:eastAsia="MS UI Gothic"/>
          <w:w w:val="80"/>
        </w:rPr>
        <w:t xml:space="preserve">、 </w:t>
      </w:r>
      <w:r>
        <w:t>玩忽职守罪或者徇私舞弊不移交刑事案件罪定罪处罚</w:t>
      </w:r>
      <w:r>
        <w:rPr>
          <w:rFonts w:hint="eastAsia" w:ascii="MS UI Gothic" w:eastAsia="MS UI Gothic"/>
          <w:w w:val="80"/>
        </w:rPr>
        <w:t>ꎮ</w:t>
      </w:r>
    </w:p>
    <w:p>
      <w:pPr>
        <w:pStyle w:val="6"/>
        <w:spacing w:line="295" w:lineRule="auto"/>
        <w:ind w:right="39"/>
        <w:rPr>
          <w:rFonts w:hint="eastAsia" w:ascii="MS UI Gothic" w:hAnsi="MS UI Gothic" w:eastAsia="MS UI Gothic"/>
        </w:rPr>
      </w:pPr>
      <w:r>
        <w:t>公司</w:t>
      </w:r>
      <w:r>
        <w:rPr>
          <w:rFonts w:hint="eastAsia" w:ascii="MS UI Gothic" w:hAnsi="MS UI Gothic" w:eastAsia="MS UI Gothic"/>
          <w:w w:val="80"/>
        </w:rPr>
        <w:t xml:space="preserve">、 </w:t>
      </w:r>
      <w:r>
        <w:t>企业</w:t>
      </w:r>
      <w:r>
        <w:rPr>
          <w:rFonts w:hint="eastAsia" w:ascii="MS UI Gothic" w:hAnsi="MS UI Gothic" w:eastAsia="MS UI Gothic"/>
          <w:w w:val="80"/>
        </w:rPr>
        <w:t xml:space="preserve">、 </w:t>
      </w:r>
      <w:r>
        <w:t>事业单位的工作人员在依法或者受委托行使安全监督管理职责时滥用职权或者玩忽职守</w:t>
      </w:r>
      <w:r>
        <w:rPr>
          <w:rFonts w:hint="eastAsia" w:ascii="MS UI Gothic" w:hAnsi="MS UI Gothic" w:eastAsia="MS UI Gothic"/>
          <w:w w:val="80"/>
        </w:rPr>
        <w:t xml:space="preserve">ꎬ </w:t>
      </w:r>
      <w:r>
        <w:t>构成犯罪的</w:t>
      </w:r>
      <w:r>
        <w:rPr>
          <w:rFonts w:hint="eastAsia" w:ascii="MS UI Gothic" w:hAnsi="MS UI Gothic" w:eastAsia="MS UI Gothic"/>
          <w:w w:val="80"/>
        </w:rPr>
        <w:t xml:space="preserve">ꎬ </w:t>
      </w:r>
      <w:r>
        <w:t xml:space="preserve">应当依照 </w:t>
      </w:r>
      <w:r>
        <w:rPr>
          <w:rFonts w:hint="eastAsia" w:ascii="MS UI Gothic" w:hAnsi="MS UI Gothic" w:eastAsia="MS UI Gothic"/>
          <w:w w:val="80"/>
        </w:rPr>
        <w:t xml:space="preserve">« </w:t>
      </w:r>
      <w:r>
        <w:t xml:space="preserve">全国人民代表大会常务委员会关于 </w:t>
      </w:r>
      <w:r>
        <w:rPr>
          <w:rFonts w:hint="eastAsia" w:ascii="MS UI Gothic" w:hAnsi="MS UI Gothic" w:eastAsia="MS UI Gothic"/>
        </w:rPr>
        <w:t xml:space="preserve">‹ </w:t>
      </w:r>
      <w:r>
        <w:t>中华人民共和国刑法</w:t>
      </w:r>
      <w:r>
        <w:rPr>
          <w:rFonts w:hint="eastAsia" w:ascii="MS UI Gothic" w:hAnsi="MS UI Gothic" w:eastAsia="MS UI Gothic"/>
        </w:rPr>
        <w:t xml:space="preserve">› </w:t>
      </w:r>
      <w:r>
        <w:t>第九章渎职罪主体适用问题的解释</w:t>
      </w:r>
      <w:r>
        <w:rPr>
          <w:rFonts w:hint="eastAsia" w:ascii="MS UI Gothic" w:hAnsi="MS UI Gothic" w:eastAsia="MS UI Gothic"/>
          <w:w w:val="80"/>
        </w:rPr>
        <w:t xml:space="preserve">» </w:t>
      </w:r>
      <w:r>
        <w:t>的规定</w:t>
      </w:r>
      <w:r>
        <w:rPr>
          <w:rFonts w:hint="eastAsia" w:ascii="MS UI Gothic" w:hAnsi="MS UI Gothic" w:eastAsia="MS UI Gothic"/>
          <w:w w:val="80"/>
        </w:rPr>
        <w:t xml:space="preserve">ꎬ </w:t>
      </w:r>
      <w:r>
        <w:t>适用渎职罪的规定追究刑事责任</w:t>
      </w:r>
      <w:r>
        <w:rPr>
          <w:rFonts w:hint="eastAsia" w:ascii="MS UI Gothic" w:hAnsi="MS UI Gothic" w:eastAsia="MS UI Gothic"/>
          <w:w w:val="80"/>
        </w:rPr>
        <w:t>ꎮ</w:t>
      </w:r>
    </w:p>
    <w:p>
      <w:pPr>
        <w:pStyle w:val="6"/>
        <w:spacing w:line="295" w:lineRule="auto"/>
        <w:ind w:right="39"/>
      </w:pPr>
      <w:r>
        <w:rPr>
          <w:w w:val="105"/>
        </w:rPr>
        <w:t>第十六条 对于实施危害生产安全犯</w:t>
      </w:r>
      <w:r>
        <w:t>罪适用缓刑的犯罪分子</w:t>
      </w:r>
      <w:r>
        <w:rPr>
          <w:rFonts w:hint="eastAsia" w:ascii="MS UI Gothic" w:eastAsia="MS UI Gothic"/>
          <w:w w:val="80"/>
        </w:rPr>
        <w:t xml:space="preserve">ꎬ </w:t>
      </w:r>
      <w:r>
        <w:t>可以根据犯罪情况</w:t>
      </w:r>
      <w:r>
        <w:rPr>
          <w:rFonts w:hint="eastAsia" w:ascii="MS UI Gothic" w:eastAsia="MS UI Gothic"/>
          <w:w w:val="80"/>
        </w:rPr>
        <w:t xml:space="preserve">ꎬ </w:t>
      </w:r>
      <w:r>
        <w:t>禁止其在缓刑考验期限内从事与安全生产相关联的特定活动</w:t>
      </w:r>
      <w:r>
        <w:rPr>
          <w:rFonts w:hint="eastAsia" w:ascii="MS UI Gothic" w:eastAsia="MS UI Gothic"/>
          <w:w w:val="80"/>
        </w:rPr>
        <w:t xml:space="preserve">ꎻ </w:t>
      </w:r>
      <w:r>
        <w:t>对于被判处刑罚的犯罪分子</w:t>
      </w:r>
      <w:r>
        <w:rPr>
          <w:rFonts w:hint="eastAsia" w:ascii="MS UI Gothic" w:eastAsia="MS UI Gothic"/>
          <w:w w:val="80"/>
        </w:rPr>
        <w:t xml:space="preserve">ꎬ </w:t>
      </w:r>
      <w:r>
        <w:t>可以根据犯罪情况和预防再犯罪的需要</w:t>
      </w:r>
      <w:r>
        <w:rPr>
          <w:rFonts w:hint="eastAsia" w:ascii="MS UI Gothic" w:eastAsia="MS UI Gothic"/>
          <w:w w:val="80"/>
        </w:rPr>
        <w:t xml:space="preserve">ꎬ </w:t>
      </w:r>
      <w:r>
        <w:t>禁止其自刑罚执行完毕之日或者假释之日起三年至五年内从事与安全</w:t>
      </w:r>
    </w:p>
    <w:p>
      <w:pPr>
        <w:pStyle w:val="6"/>
        <w:spacing w:line="235" w:lineRule="exact"/>
        <w:ind w:firstLine="0"/>
        <w:jc w:val="left"/>
        <w:rPr>
          <w:rFonts w:hint="eastAsia" w:ascii="MS UI Gothic" w:eastAsia="MS UI Gothic"/>
        </w:rPr>
      </w:pPr>
      <w:r>
        <w:t>生产相关的职业</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t xml:space="preserve">第一百三十四条   </w:t>
      </w:r>
      <w:r>
        <w:rPr>
          <w:rFonts w:hint="eastAsia" w:ascii="MS UI Gothic" w:eastAsia="MS UI Gothic"/>
        </w:rPr>
        <w:t>【</w:t>
      </w:r>
      <w:r>
        <w:t>重大责任事故罪</w:t>
      </w:r>
      <w:r>
        <w:rPr>
          <w:rFonts w:hint="eastAsia" w:ascii="MS UI Gothic" w:eastAsia="MS UI Gothic"/>
        </w:rPr>
        <w:t xml:space="preserve">】 </w:t>
      </w:r>
      <w:r>
        <w:t>在生产</w:t>
      </w:r>
      <w:r>
        <w:rPr>
          <w:rFonts w:hint="eastAsia" w:ascii="MS UI Gothic" w:eastAsia="MS UI Gothic"/>
          <w:w w:val="80"/>
        </w:rPr>
        <w:t xml:space="preserve">、 </w:t>
      </w:r>
      <w:r>
        <w:t>作业中违反有关安全管理的规定</w:t>
      </w:r>
      <w:r>
        <w:rPr>
          <w:rFonts w:hint="eastAsia" w:ascii="MS UI Gothic" w:eastAsia="MS UI Gothic"/>
          <w:w w:val="80"/>
        </w:rPr>
        <w:t xml:space="preserve">ꎬ </w:t>
      </w:r>
      <w:r>
        <w:t>因而发生重大伤亡事故或者造成其他严重后果的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情节特别恶劣的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rPr>
        <w:t>【</w:t>
      </w:r>
      <w:r>
        <w:t>强令违章冒险作业罪</w:t>
      </w:r>
      <w:r>
        <w:rPr>
          <w:rFonts w:hint="eastAsia" w:ascii="MS UI Gothic" w:eastAsia="MS UI Gothic"/>
        </w:rPr>
        <w:t xml:space="preserve">】 </w:t>
      </w:r>
      <w:r>
        <w:t>强令他人违章冒险作业</w:t>
      </w:r>
      <w:r>
        <w:rPr>
          <w:rFonts w:hint="eastAsia" w:ascii="MS UI Gothic" w:eastAsia="MS UI Gothic"/>
          <w:w w:val="80"/>
        </w:rPr>
        <w:t xml:space="preserve">ꎬ </w:t>
      </w:r>
      <w:r>
        <w:t>因而发生重大伤亡事故或者造成其他严重后果的</w:t>
      </w:r>
      <w:r>
        <w:rPr>
          <w:rFonts w:hint="eastAsia" w:ascii="MS UI Gothic" w:eastAsia="MS UI Gothic"/>
          <w:w w:val="80"/>
        </w:rPr>
        <w:t xml:space="preserve">ꎬ </w:t>
      </w:r>
      <w:r>
        <w:t>处五年以下有期徒刑或者拘役</w:t>
      </w:r>
      <w:r>
        <w:rPr>
          <w:rFonts w:hint="eastAsia" w:ascii="MS UI Gothic" w:eastAsia="MS UI Gothic"/>
          <w:w w:val="80"/>
        </w:rPr>
        <w:t xml:space="preserve">ꎻ </w:t>
      </w:r>
      <w:r>
        <w:t>情节特别恶劣的</w:t>
      </w:r>
      <w:r>
        <w:rPr>
          <w:rFonts w:hint="eastAsia" w:ascii="MS UI Gothic" w:eastAsia="MS UI Gothic"/>
          <w:w w:val="80"/>
        </w:rPr>
        <w:t xml:space="preserve">ꎬ </w:t>
      </w:r>
      <w:r>
        <w:t>处五年以上有期徒刑</w:t>
      </w:r>
      <w:r>
        <w:rPr>
          <w:rFonts w:hint="eastAsia" w:ascii="MS UI Gothic" w:eastAsia="MS UI Gothic"/>
          <w:w w:val="80"/>
        </w:rPr>
        <w:t>ꎮ</w:t>
      </w:r>
    </w:p>
    <w:p>
      <w:pPr>
        <w:pStyle w:val="6"/>
        <w:spacing w:line="295" w:lineRule="auto"/>
        <w:ind w:right="442"/>
        <w:rPr>
          <w:rFonts w:hint="eastAsia" w:ascii="MS UI Gothic" w:eastAsia="MS UI Gothic"/>
        </w:rPr>
      </w:pPr>
      <w:r>
        <w:t xml:space="preserve">第一百三十五条   </w:t>
      </w:r>
      <w:r>
        <w:rPr>
          <w:rFonts w:hint="eastAsia" w:ascii="MS UI Gothic" w:eastAsia="MS UI Gothic"/>
        </w:rPr>
        <w:t>【</w:t>
      </w:r>
      <w:r>
        <w:t>重大劳动安全事故罪</w:t>
      </w:r>
      <w:r>
        <w:rPr>
          <w:rFonts w:hint="eastAsia" w:ascii="MS UI Gothic" w:eastAsia="MS UI Gothic"/>
        </w:rPr>
        <w:t xml:space="preserve">】 </w:t>
      </w:r>
      <w:r>
        <w:t>安全生产设施或者安全生产条件不符合国家规定</w:t>
      </w:r>
      <w:r>
        <w:rPr>
          <w:rFonts w:hint="eastAsia" w:ascii="MS UI Gothic" w:eastAsia="MS UI Gothic"/>
          <w:w w:val="80"/>
        </w:rPr>
        <w:t xml:space="preserve">ꎬ </w:t>
      </w:r>
      <w:r>
        <w:t>因而发生重大伤亡事故或者造成其他严重后果的</w:t>
      </w:r>
      <w:r>
        <w:rPr>
          <w:rFonts w:hint="eastAsia" w:ascii="MS UI Gothic" w:eastAsia="MS UI Gothic"/>
          <w:w w:val="80"/>
        </w:rPr>
        <w:t xml:space="preserve">ꎬ </w:t>
      </w:r>
      <w:r>
        <w:t>对直接负责的主管人员和其他直接责任人员</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情节特别恶劣的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tabs>
          <w:tab w:val="left" w:pos="1884"/>
        </w:tabs>
        <w:spacing w:line="251" w:lineRule="exact"/>
        <w:ind w:left="0" w:right="442" w:firstLine="0"/>
        <w:jc w:val="right"/>
      </w:pPr>
      <w:r>
        <w:rPr>
          <w:spacing w:val="3"/>
          <w:w w:val="105"/>
        </w:rPr>
        <w:t>第</w:t>
      </w:r>
      <w:r>
        <w:rPr>
          <w:spacing w:val="15"/>
          <w:w w:val="105"/>
        </w:rPr>
        <w:t>一</w:t>
      </w:r>
      <w:r>
        <w:rPr>
          <w:spacing w:val="19"/>
          <w:w w:val="105"/>
        </w:rPr>
        <w:t>百三十六</w:t>
      </w:r>
      <w:r>
        <w:rPr>
          <w:w w:val="105"/>
        </w:rPr>
        <w:t>条</w:t>
      </w:r>
      <w:r>
        <w:rPr>
          <w:w w:val="105"/>
        </w:rPr>
        <w:tab/>
      </w:r>
      <w:r>
        <w:rPr>
          <w:rFonts w:hint="eastAsia" w:ascii="MS UI Gothic" w:eastAsia="MS UI Gothic"/>
          <w:spacing w:val="31"/>
        </w:rPr>
        <w:t>【</w:t>
      </w:r>
      <w:r>
        <w:rPr>
          <w:spacing w:val="19"/>
        </w:rPr>
        <w:t>危险物品肇</w:t>
      </w:r>
      <w:r>
        <w:t>事</w:t>
      </w:r>
    </w:p>
    <w:p>
      <w:pPr>
        <w:pStyle w:val="6"/>
        <w:spacing w:before="49" w:line="240" w:lineRule="exact"/>
        <w:ind w:left="0" w:right="442" w:firstLine="0"/>
        <w:jc w:val="right"/>
      </w:pPr>
      <w:r>
        <w:rPr>
          <w:spacing w:val="3"/>
        </w:rPr>
        <w:t>罪</w:t>
      </w:r>
      <w:r>
        <w:rPr>
          <w:rFonts w:hint="eastAsia" w:ascii="MS UI Gothic" w:eastAsia="MS UI Gothic"/>
        </w:rPr>
        <w:t xml:space="preserve">】  </w:t>
      </w:r>
      <w:r>
        <w:rPr>
          <w:spacing w:val="17"/>
        </w:rPr>
        <w:t>违反爆炸性</w:t>
      </w:r>
      <w:r>
        <w:rPr>
          <w:rFonts w:hint="eastAsia" w:ascii="MS UI Gothic" w:eastAsia="MS UI Gothic"/>
          <w:spacing w:val="28"/>
        </w:rPr>
        <w:t xml:space="preserve">、 </w:t>
      </w:r>
      <w:r>
        <w:rPr>
          <w:spacing w:val="16"/>
        </w:rPr>
        <w:t>易燃性</w:t>
      </w:r>
      <w:r>
        <w:rPr>
          <w:rFonts w:hint="eastAsia" w:ascii="MS UI Gothic" w:eastAsia="MS UI Gothic"/>
          <w:spacing w:val="28"/>
        </w:rPr>
        <w:t xml:space="preserve">、 </w:t>
      </w:r>
      <w:r>
        <w:rPr>
          <w:spacing w:val="16"/>
        </w:rPr>
        <w:t>放射性</w:t>
      </w:r>
      <w:r>
        <w:rPr>
          <w:rFonts w:hint="eastAsia" w:ascii="MS UI Gothic" w:eastAsia="MS UI Gothic"/>
          <w:spacing w:val="28"/>
        </w:rPr>
        <w:t xml:space="preserve">、 </w:t>
      </w:r>
      <w:r>
        <w:t>毒</w:t>
      </w:r>
    </w:p>
    <w:p>
      <w:pPr>
        <w:spacing w:after="0" w:line="240" w:lineRule="exact"/>
        <w:jc w:val="right"/>
        <w:sectPr>
          <w:type w:val="continuous"/>
          <w:pgSz w:w="10500" w:h="14750"/>
          <w:pgMar w:top="1400" w:right="980" w:bottom="280" w:left="980" w:header="720" w:footer="720" w:gutter="0"/>
          <w:cols w:equalWidth="0" w:num="2">
            <w:col w:w="3936" w:space="256"/>
            <w:col w:w="4348"/>
          </w:cols>
        </w:sectPr>
      </w:pPr>
    </w:p>
    <w:p>
      <w:pPr>
        <w:pStyle w:val="6"/>
        <w:tabs>
          <w:tab w:val="left" w:pos="1119"/>
        </w:tabs>
        <w:spacing w:before="65"/>
        <w:ind w:left="0" w:right="38" w:firstLine="0"/>
        <w:jc w:val="right"/>
      </w:pPr>
      <w:r>
        <w:rPr>
          <w:spacing w:val="3"/>
        </w:rPr>
        <w:t>第</w:t>
      </w:r>
      <w:r>
        <w:rPr>
          <w:spacing w:val="15"/>
        </w:rPr>
        <w:t>十</w:t>
      </w:r>
      <w:r>
        <w:rPr>
          <w:spacing w:val="21"/>
        </w:rPr>
        <w:t>七</w:t>
      </w:r>
      <w:r>
        <w:t>条</w:t>
      </w:r>
      <w:r>
        <w:tab/>
      </w:r>
      <w:r>
        <w:rPr>
          <w:spacing w:val="21"/>
        </w:rPr>
        <w:t>本</w:t>
      </w:r>
      <w:r>
        <w:rPr>
          <w:spacing w:val="23"/>
        </w:rPr>
        <w:t>解释</w:t>
      </w:r>
      <w:r>
        <w:t>自</w:t>
      </w:r>
      <w:r>
        <w:rPr>
          <w:spacing w:val="-68"/>
        </w:rPr>
        <w:t xml:space="preserve"> </w:t>
      </w:r>
      <w:r>
        <w:rPr>
          <w:rFonts w:hint="eastAsia" w:ascii="MS UI Gothic" w:eastAsia="MS UI Gothic"/>
        </w:rPr>
        <w:t>２０１５</w:t>
      </w:r>
      <w:r>
        <w:rPr>
          <w:rFonts w:hint="eastAsia" w:ascii="MS UI Gothic" w:eastAsia="MS UI Gothic"/>
          <w:spacing w:val="-24"/>
        </w:rPr>
        <w:t xml:space="preserve"> </w:t>
      </w:r>
      <w:r>
        <w:t>年</w:t>
      </w:r>
      <w:r>
        <w:rPr>
          <w:spacing w:val="-67"/>
        </w:rPr>
        <w:t xml:space="preserve"> </w:t>
      </w:r>
      <w:r>
        <w:rPr>
          <w:rFonts w:hint="eastAsia" w:ascii="MS UI Gothic" w:eastAsia="MS UI Gothic"/>
        </w:rPr>
        <w:t>１２</w:t>
      </w:r>
      <w:r>
        <w:rPr>
          <w:rFonts w:hint="eastAsia" w:ascii="MS UI Gothic" w:eastAsia="MS UI Gothic"/>
          <w:spacing w:val="-24"/>
        </w:rPr>
        <w:t xml:space="preserve"> </w:t>
      </w:r>
      <w:r>
        <w:t>月</w:t>
      </w:r>
    </w:p>
    <w:p>
      <w:pPr>
        <w:pStyle w:val="6"/>
        <w:spacing w:before="58" w:line="240" w:lineRule="exact"/>
        <w:ind w:left="0" w:right="38" w:firstLine="0"/>
        <w:jc w:val="right"/>
      </w:pPr>
      <w:r>
        <w:rPr>
          <w:rFonts w:hint="eastAsia" w:ascii="MS UI Gothic" w:hAnsi="MS UI Gothic" w:eastAsia="MS UI Gothic"/>
          <w:spacing w:val="-4"/>
          <w:w w:val="85"/>
        </w:rPr>
        <w:t xml:space="preserve">１６ </w:t>
      </w:r>
      <w:r>
        <w:rPr>
          <w:spacing w:val="3"/>
        </w:rPr>
        <w:t>日起施行</w:t>
      </w:r>
      <w:r>
        <w:rPr>
          <w:rFonts w:hint="eastAsia" w:ascii="MS UI Gothic" w:hAnsi="MS UI Gothic" w:eastAsia="MS UI Gothic"/>
          <w:spacing w:val="11"/>
          <w:w w:val="85"/>
        </w:rPr>
        <w:t xml:space="preserve">ꎮ </w:t>
      </w:r>
      <w:r>
        <w:rPr>
          <w:spacing w:val="3"/>
        </w:rPr>
        <w:t>本解释施行后</w:t>
      </w:r>
      <w:r>
        <w:rPr>
          <w:rFonts w:hint="eastAsia" w:ascii="MS UI Gothic" w:hAnsi="MS UI Gothic" w:eastAsia="MS UI Gothic"/>
          <w:w w:val="85"/>
        </w:rPr>
        <w:t xml:space="preserve">ꎬ « </w:t>
      </w:r>
      <w:r>
        <w:rPr>
          <w:spacing w:val="5"/>
        </w:rPr>
        <w:t>最高人民</w:t>
      </w:r>
    </w:p>
    <w:p>
      <w:pPr>
        <w:pStyle w:val="6"/>
        <w:spacing w:before="11" w:line="310" w:lineRule="atLeast"/>
        <w:ind w:left="118" w:right="440" w:firstLine="0"/>
        <w:jc w:val="left"/>
      </w:pPr>
      <w:r>
        <w:br w:type="column"/>
      </w:r>
      <w:r>
        <w:t>害性</w:t>
      </w:r>
      <w:r>
        <w:rPr>
          <w:rFonts w:hint="eastAsia" w:ascii="MS UI Gothic" w:eastAsia="MS UI Gothic"/>
        </w:rPr>
        <w:t xml:space="preserve">、 </w:t>
      </w:r>
      <w:r>
        <w:t>腐蚀性物品的管理规定</w:t>
      </w:r>
      <w:r>
        <w:rPr>
          <w:rFonts w:hint="eastAsia" w:ascii="MS UI Gothic" w:eastAsia="MS UI Gothic"/>
          <w:w w:val="80"/>
        </w:rPr>
        <w:t xml:space="preserve">ꎬ </w:t>
      </w:r>
      <w:r>
        <w:t>在生产</w:t>
      </w:r>
      <w:r>
        <w:rPr>
          <w:rFonts w:hint="eastAsia" w:ascii="MS UI Gothic" w:eastAsia="MS UI Gothic"/>
        </w:rPr>
        <w:t>、</w:t>
      </w:r>
      <w:r>
        <w:t>储存</w:t>
      </w:r>
      <w:r>
        <w:rPr>
          <w:rFonts w:hint="eastAsia" w:ascii="MS UI Gothic" w:eastAsia="MS UI Gothic"/>
        </w:rPr>
        <w:t xml:space="preserve">、 </w:t>
      </w:r>
      <w:r>
        <w:t>运输</w:t>
      </w:r>
      <w:r>
        <w:rPr>
          <w:rFonts w:hint="eastAsia" w:ascii="MS UI Gothic" w:eastAsia="MS UI Gothic"/>
        </w:rPr>
        <w:t xml:space="preserve">、 </w:t>
      </w:r>
      <w:r>
        <w:t>使用中发生重大事故</w:t>
      </w:r>
      <w:r>
        <w:rPr>
          <w:rFonts w:hint="eastAsia" w:ascii="MS UI Gothic" w:eastAsia="MS UI Gothic"/>
          <w:w w:val="80"/>
        </w:rPr>
        <w:t xml:space="preserve">ꎬ </w:t>
      </w:r>
      <w:r>
        <w:t>造成</w:t>
      </w:r>
    </w:p>
    <w:p>
      <w:pPr>
        <w:spacing w:after="0" w:line="310" w:lineRule="atLeast"/>
        <w:jc w:val="left"/>
        <w:sectPr>
          <w:type w:val="continuous"/>
          <w:pgSz w:w="10500" w:h="14750"/>
          <w:pgMar w:top="1400" w:right="980" w:bottom="280" w:left="980" w:header="720" w:footer="720" w:gutter="0"/>
          <w:cols w:equalWidth="0" w:num="2">
            <w:col w:w="3934" w:space="264"/>
            <w:col w:w="4342"/>
          </w:cols>
        </w:sectPr>
      </w:pPr>
    </w:p>
    <w:p>
      <w:pPr>
        <w:pStyle w:val="6"/>
        <w:spacing w:before="63" w:line="295" w:lineRule="auto"/>
        <w:ind w:right="39" w:firstLine="0"/>
        <w:rPr>
          <w:rFonts w:hint="eastAsia" w:ascii="MS UI Gothic" w:hAnsi="MS UI Gothic" w:eastAsia="MS UI Gothic"/>
        </w:rPr>
      </w:pPr>
      <w:r>
        <w:rPr>
          <w:spacing w:val="3"/>
          <w:w w:val="95"/>
        </w:rPr>
        <w:t>法院</w:t>
      </w:r>
      <w:r>
        <w:rPr>
          <w:rFonts w:hint="eastAsia" w:ascii="MS UI Gothic" w:hAnsi="MS UI Gothic" w:eastAsia="MS UI Gothic"/>
          <w:spacing w:val="5"/>
          <w:w w:val="95"/>
        </w:rPr>
        <w:t xml:space="preserve">、   </w:t>
      </w:r>
      <w:r>
        <w:rPr>
          <w:spacing w:val="2"/>
          <w:w w:val="95"/>
        </w:rPr>
        <w:t xml:space="preserve">最高人民检察院关于办理危害矿山生产安全刑事案件具体应用法律若干问题  </w:t>
      </w:r>
      <w:r>
        <w:rPr>
          <w:spacing w:val="6"/>
          <w:w w:val="95"/>
        </w:rPr>
        <w:t>的解释</w:t>
      </w:r>
      <w:r>
        <w:rPr>
          <w:rFonts w:hint="eastAsia" w:ascii="MS UI Gothic" w:hAnsi="MS UI Gothic" w:eastAsia="MS UI Gothic"/>
          <w:spacing w:val="23"/>
          <w:w w:val="95"/>
        </w:rPr>
        <w:t xml:space="preserve">» </w:t>
      </w:r>
      <w:r>
        <w:rPr>
          <w:rFonts w:hint="eastAsia" w:ascii="MS UI Gothic" w:hAnsi="MS UI Gothic" w:eastAsia="MS UI Gothic"/>
          <w:spacing w:val="-28"/>
          <w:w w:val="140"/>
        </w:rPr>
        <w:t xml:space="preserve">( </w:t>
      </w:r>
      <w:r>
        <w:rPr>
          <w:spacing w:val="14"/>
          <w:w w:val="95"/>
        </w:rPr>
        <w:t xml:space="preserve">法释 </w:t>
      </w:r>
      <w:r>
        <w:rPr>
          <w:rFonts w:hint="eastAsia" w:ascii="MS UI Gothic" w:hAnsi="MS UI Gothic" w:eastAsia="MS UI Gothic"/>
          <w:spacing w:val="6"/>
          <w:w w:val="95"/>
        </w:rPr>
        <w:t xml:space="preserve">〔２００７〕  ５ </w:t>
      </w:r>
      <w:r>
        <w:rPr>
          <w:spacing w:val="13"/>
          <w:w w:val="95"/>
        </w:rPr>
        <w:t>号</w:t>
      </w:r>
      <w:r>
        <w:rPr>
          <w:rFonts w:hint="eastAsia" w:ascii="MS UI Gothic" w:hAnsi="MS UI Gothic" w:eastAsia="MS UI Gothic"/>
          <w:spacing w:val="28"/>
          <w:w w:val="140"/>
        </w:rPr>
        <w:t xml:space="preserve">) </w:t>
      </w:r>
      <w:r>
        <w:rPr>
          <w:spacing w:val="12"/>
          <w:w w:val="95"/>
        </w:rPr>
        <w:t>同时废</w:t>
      </w:r>
      <w:r>
        <w:rPr>
          <w:spacing w:val="3"/>
          <w:w w:val="95"/>
        </w:rPr>
        <w:t>止</w:t>
      </w:r>
      <w:r>
        <w:rPr>
          <w:rFonts w:hint="eastAsia" w:ascii="MS UI Gothic" w:hAnsi="MS UI Gothic" w:eastAsia="MS UI Gothic"/>
          <w:spacing w:val="7"/>
          <w:w w:val="85"/>
        </w:rPr>
        <w:t xml:space="preserve">ꎮ  </w:t>
      </w:r>
      <w:r>
        <w:rPr>
          <w:spacing w:val="3"/>
          <w:w w:val="95"/>
        </w:rPr>
        <w:t>最高人民法院</w:t>
      </w:r>
      <w:r>
        <w:rPr>
          <w:rFonts w:hint="eastAsia" w:ascii="MS UI Gothic" w:hAnsi="MS UI Gothic" w:eastAsia="MS UI Gothic"/>
          <w:spacing w:val="2"/>
          <w:w w:val="95"/>
        </w:rPr>
        <w:t xml:space="preserve">、  </w:t>
      </w:r>
      <w:r>
        <w:rPr>
          <w:spacing w:val="2"/>
          <w:w w:val="95"/>
        </w:rPr>
        <w:t xml:space="preserve">最高人民检察院此前发布的司法解释和规范性文件与本解释不  </w:t>
      </w:r>
      <w:r>
        <w:rPr>
          <w:spacing w:val="3"/>
          <w:w w:val="95"/>
        </w:rPr>
        <w:t>一致的</w:t>
      </w:r>
      <w:r>
        <w:rPr>
          <w:rFonts w:hint="eastAsia" w:ascii="MS UI Gothic" w:hAnsi="MS UI Gothic" w:eastAsia="MS UI Gothic"/>
          <w:spacing w:val="1"/>
          <w:w w:val="85"/>
        </w:rPr>
        <w:t xml:space="preserve">ꎬ </w:t>
      </w:r>
      <w:r>
        <w:rPr>
          <w:spacing w:val="3"/>
          <w:w w:val="95"/>
        </w:rPr>
        <w:t>以本解释为准</w:t>
      </w:r>
      <w:r>
        <w:rPr>
          <w:rFonts w:hint="eastAsia" w:ascii="MS UI Gothic" w:hAnsi="MS UI Gothic" w:eastAsia="MS UI Gothic"/>
          <w:w w:val="85"/>
        </w:rPr>
        <w:t>ꎮ</w:t>
      </w:r>
    </w:p>
    <w:p>
      <w:pPr>
        <w:pStyle w:val="6"/>
        <w:spacing w:line="251" w:lineRule="exact"/>
        <w:ind w:left="543" w:firstLine="0"/>
        <w:jc w:val="left"/>
      </w:pPr>
      <w:r>
        <w:rPr>
          <w:w w:val="105"/>
        </w:rPr>
        <w:t>刑法相关条文</w:t>
      </w:r>
    </w:p>
    <w:p>
      <w:pPr>
        <w:pStyle w:val="6"/>
        <w:spacing w:before="58" w:line="295" w:lineRule="auto"/>
        <w:ind w:right="39"/>
        <w:rPr>
          <w:rFonts w:hint="eastAsia" w:ascii="MS UI Gothic" w:eastAsia="MS UI Gothic"/>
        </w:rPr>
      </w:pPr>
      <w:r>
        <w:rPr>
          <w:rFonts w:hint="eastAsia" w:ascii="MS UI Gothic" w:eastAsia="MS UI Gothic"/>
          <w:spacing w:val="15"/>
          <w:w w:val="168"/>
        </w:rPr>
        <w:t>(</w:t>
      </w:r>
      <w:r>
        <w:rPr>
          <w:rFonts w:hint="eastAsia" w:ascii="MS UI Gothic" w:eastAsia="MS UI Gothic"/>
          <w:spacing w:val="-1"/>
          <w:w w:val="75"/>
        </w:rPr>
        <w:t>２０１７</w:t>
      </w:r>
      <w:r>
        <w:rPr>
          <w:rFonts w:hint="eastAsia" w:ascii="MS UI Gothic" w:eastAsia="MS UI Gothic"/>
          <w:spacing w:val="5"/>
        </w:rPr>
        <w:t xml:space="preserve"> </w:t>
      </w:r>
      <w:r>
        <w:rPr>
          <w:w w:val="102"/>
        </w:rPr>
        <w:t>年</w:t>
      </w:r>
      <w:r>
        <w:rPr>
          <w:spacing w:val="-35"/>
        </w:rPr>
        <w:t xml:space="preserve"> </w:t>
      </w:r>
      <w:r>
        <w:rPr>
          <w:rFonts w:hint="eastAsia" w:ascii="MS UI Gothic" w:eastAsia="MS UI Gothic"/>
          <w:w w:val="75"/>
        </w:rPr>
        <w:t>１１</w:t>
      </w:r>
      <w:r>
        <w:rPr>
          <w:rFonts w:hint="eastAsia" w:ascii="MS UI Gothic" w:eastAsia="MS UI Gothic"/>
          <w:spacing w:val="12"/>
        </w:rPr>
        <w:t xml:space="preserve"> </w:t>
      </w:r>
      <w:r>
        <w:rPr>
          <w:w w:val="102"/>
        </w:rPr>
        <w:t>月</w:t>
      </w:r>
      <w:r>
        <w:rPr>
          <w:spacing w:val="-35"/>
        </w:rPr>
        <w:t xml:space="preserve"> </w:t>
      </w:r>
      <w:r>
        <w:rPr>
          <w:rFonts w:hint="eastAsia" w:ascii="MS UI Gothic" w:eastAsia="MS UI Gothic"/>
          <w:w w:val="75"/>
        </w:rPr>
        <w:t>４</w:t>
      </w:r>
      <w:r>
        <w:rPr>
          <w:rFonts w:hint="eastAsia" w:ascii="MS UI Gothic" w:eastAsia="MS UI Gothic"/>
          <w:spacing w:val="12"/>
        </w:rPr>
        <w:t xml:space="preserve"> </w:t>
      </w:r>
      <w:r>
        <w:rPr>
          <w:spacing w:val="13"/>
          <w:w w:val="102"/>
        </w:rPr>
        <w:t>日第十二届全国人</w:t>
      </w:r>
      <w:r>
        <w:rPr>
          <w:spacing w:val="2"/>
        </w:rPr>
        <w:t>民代表大会常务委员会第三十次会议通过</w:t>
      </w:r>
      <w:r>
        <w:rPr>
          <w:spacing w:val="-4"/>
        </w:rPr>
        <w:t xml:space="preserve">刑法修正案 </w:t>
      </w:r>
      <w:r>
        <w:rPr>
          <w:rFonts w:hint="eastAsia" w:ascii="MS UI Gothic" w:eastAsia="MS UI Gothic"/>
          <w:spacing w:val="-34"/>
          <w:w w:val="140"/>
        </w:rPr>
        <w:t xml:space="preserve">( </w:t>
      </w:r>
      <w:r>
        <w:rPr>
          <w:spacing w:val="9"/>
        </w:rPr>
        <w:t>十</w:t>
      </w:r>
      <w:r>
        <w:rPr>
          <w:rFonts w:hint="eastAsia" w:ascii="MS UI Gothic" w:eastAsia="MS UI Gothic"/>
          <w:spacing w:val="-36"/>
          <w:w w:val="140"/>
        </w:rPr>
        <w:t xml:space="preserve">) </w:t>
      </w:r>
      <w:r>
        <w:rPr>
          <w:rFonts w:hint="eastAsia" w:ascii="MS UI Gothic" w:eastAsia="MS UI Gothic"/>
          <w:spacing w:val="10"/>
          <w:w w:val="90"/>
        </w:rPr>
        <w:t xml:space="preserve">ꎬ </w:t>
      </w:r>
      <w:r>
        <w:rPr>
          <w:spacing w:val="-30"/>
        </w:rPr>
        <w:t xml:space="preserve">自 </w:t>
      </w:r>
      <w:r>
        <w:rPr>
          <w:rFonts w:hint="eastAsia" w:ascii="MS UI Gothic" w:eastAsia="MS UI Gothic"/>
          <w:spacing w:val="-4"/>
        </w:rPr>
        <w:t xml:space="preserve">２０１７ </w:t>
      </w:r>
      <w:r>
        <w:rPr>
          <w:spacing w:val="-30"/>
        </w:rPr>
        <w:t xml:space="preserve">年 </w:t>
      </w:r>
      <w:r>
        <w:rPr>
          <w:rFonts w:hint="eastAsia" w:ascii="MS UI Gothic" w:eastAsia="MS UI Gothic"/>
          <w:spacing w:val="-6"/>
        </w:rPr>
        <w:t xml:space="preserve">１１ </w:t>
      </w:r>
      <w:r>
        <w:rPr>
          <w:spacing w:val="-30"/>
        </w:rPr>
        <w:t xml:space="preserve">月 </w:t>
      </w:r>
      <w:r>
        <w:rPr>
          <w:rFonts w:hint="eastAsia" w:ascii="MS UI Gothic" w:eastAsia="MS UI Gothic"/>
          <w:spacing w:val="-8"/>
        </w:rPr>
        <w:t xml:space="preserve">４ </w:t>
      </w:r>
      <w:r>
        <w:t>日</w:t>
      </w:r>
      <w:r>
        <w:rPr>
          <w:spacing w:val="3"/>
        </w:rPr>
        <w:t>起施行</w:t>
      </w:r>
      <w:r>
        <w:rPr>
          <w:rFonts w:hint="eastAsia" w:ascii="MS UI Gothic" w:eastAsia="MS UI Gothic"/>
          <w:w w:val="140"/>
        </w:rPr>
        <w:t>)</w:t>
      </w:r>
    </w:p>
    <w:p>
      <w:pPr>
        <w:pStyle w:val="6"/>
        <w:spacing w:line="295" w:lineRule="auto"/>
        <w:ind w:right="38"/>
        <w:rPr>
          <w:rFonts w:hint="eastAsia" w:ascii="MS UI Gothic" w:eastAsia="MS UI Gothic"/>
        </w:rPr>
      </w:pPr>
      <w:r>
        <w:t xml:space="preserve">第一百二十五条  </w:t>
      </w:r>
      <w:r>
        <w:rPr>
          <w:rFonts w:hint="eastAsia" w:ascii="MS UI Gothic" w:eastAsia="MS UI Gothic"/>
        </w:rPr>
        <w:t>【</w:t>
      </w:r>
      <w:r>
        <w:t>非法制造</w:t>
      </w:r>
      <w:r>
        <w:rPr>
          <w:rFonts w:hint="eastAsia" w:ascii="MS UI Gothic" w:eastAsia="MS UI Gothic"/>
        </w:rPr>
        <w:t xml:space="preserve">、  </w:t>
      </w:r>
      <w:r>
        <w:t>买卖</w:t>
      </w:r>
      <w:r>
        <w:rPr>
          <w:rFonts w:hint="eastAsia" w:ascii="MS UI Gothic" w:eastAsia="MS UI Gothic"/>
        </w:rPr>
        <w:t xml:space="preserve">、 </w:t>
      </w:r>
      <w:r>
        <w:t>运输</w:t>
      </w:r>
      <w:r>
        <w:rPr>
          <w:rFonts w:hint="eastAsia" w:ascii="MS UI Gothic" w:eastAsia="MS UI Gothic"/>
        </w:rPr>
        <w:t xml:space="preserve">、 </w:t>
      </w:r>
      <w:r>
        <w:t>邮寄</w:t>
      </w:r>
      <w:r>
        <w:rPr>
          <w:rFonts w:hint="eastAsia" w:ascii="MS UI Gothic" w:eastAsia="MS UI Gothic"/>
        </w:rPr>
        <w:t xml:space="preserve">、 </w:t>
      </w:r>
      <w:r>
        <w:t>储存枪支</w:t>
      </w:r>
      <w:r>
        <w:rPr>
          <w:rFonts w:hint="eastAsia" w:ascii="MS UI Gothic" w:eastAsia="MS UI Gothic"/>
        </w:rPr>
        <w:t xml:space="preserve">、 </w:t>
      </w:r>
      <w:r>
        <w:t>弹药</w:t>
      </w:r>
      <w:r>
        <w:rPr>
          <w:rFonts w:hint="eastAsia" w:ascii="MS UI Gothic" w:eastAsia="MS UI Gothic"/>
        </w:rPr>
        <w:t xml:space="preserve">、 </w:t>
      </w:r>
      <w:r>
        <w:t>爆炸物罪</w:t>
      </w:r>
      <w:r>
        <w:rPr>
          <w:rFonts w:hint="eastAsia" w:ascii="MS UI Gothic" w:eastAsia="MS UI Gothic"/>
        </w:rPr>
        <w:t xml:space="preserve">】 </w:t>
      </w:r>
      <w:r>
        <w:t>非法制造</w:t>
      </w:r>
      <w:r>
        <w:rPr>
          <w:rFonts w:hint="eastAsia" w:ascii="MS UI Gothic" w:eastAsia="MS UI Gothic"/>
        </w:rPr>
        <w:t xml:space="preserve">、 </w:t>
      </w:r>
      <w:r>
        <w:t>买卖</w:t>
      </w:r>
      <w:r>
        <w:rPr>
          <w:rFonts w:hint="eastAsia" w:ascii="MS UI Gothic" w:eastAsia="MS UI Gothic"/>
        </w:rPr>
        <w:t xml:space="preserve">、 </w:t>
      </w:r>
      <w:r>
        <w:t>运输</w:t>
      </w:r>
      <w:r>
        <w:rPr>
          <w:rFonts w:hint="eastAsia" w:ascii="MS UI Gothic" w:eastAsia="MS UI Gothic"/>
        </w:rPr>
        <w:t xml:space="preserve">、 </w:t>
      </w:r>
      <w:r>
        <w:t>邮寄</w:t>
      </w:r>
      <w:r>
        <w:rPr>
          <w:rFonts w:hint="eastAsia" w:ascii="MS UI Gothic" w:eastAsia="MS UI Gothic"/>
        </w:rPr>
        <w:t>、</w:t>
      </w:r>
      <w:r>
        <w:t>储存枪支</w:t>
      </w:r>
      <w:r>
        <w:rPr>
          <w:rFonts w:hint="eastAsia" w:ascii="MS UI Gothic" w:eastAsia="MS UI Gothic"/>
        </w:rPr>
        <w:t xml:space="preserve">、 </w:t>
      </w:r>
      <w:r>
        <w:t>弹药</w:t>
      </w:r>
      <w:r>
        <w:rPr>
          <w:rFonts w:hint="eastAsia" w:ascii="MS UI Gothic" w:eastAsia="MS UI Gothic"/>
        </w:rPr>
        <w:t xml:space="preserve">、 </w:t>
      </w:r>
      <w:r>
        <w:t>爆炸物的</w:t>
      </w:r>
      <w:r>
        <w:rPr>
          <w:rFonts w:hint="eastAsia" w:ascii="MS UI Gothic" w:eastAsia="MS UI Gothic"/>
          <w:w w:val="80"/>
        </w:rPr>
        <w:t xml:space="preserve">ꎬ </w:t>
      </w:r>
      <w:r>
        <w:t>处三年以上十年以下有期徒刑</w:t>
      </w:r>
      <w:r>
        <w:rPr>
          <w:rFonts w:hint="eastAsia" w:ascii="MS UI Gothic" w:eastAsia="MS UI Gothic"/>
          <w:w w:val="80"/>
        </w:rPr>
        <w:t xml:space="preserve">ꎻ </w:t>
      </w:r>
      <w:r>
        <w:t>情节严重的</w:t>
      </w:r>
      <w:r>
        <w:rPr>
          <w:rFonts w:hint="eastAsia" w:ascii="MS UI Gothic" w:eastAsia="MS UI Gothic"/>
          <w:w w:val="80"/>
        </w:rPr>
        <w:t xml:space="preserve">ꎬ </w:t>
      </w:r>
      <w:r>
        <w:t>处十年以上有期徒刑</w:t>
      </w:r>
      <w:r>
        <w:rPr>
          <w:rFonts w:hint="eastAsia" w:ascii="MS UI Gothic" w:eastAsia="MS UI Gothic"/>
        </w:rPr>
        <w:t xml:space="preserve">、 </w:t>
      </w:r>
      <w:r>
        <w:t>无期徒刑或者死刑</w:t>
      </w:r>
      <w:r>
        <w:rPr>
          <w:rFonts w:hint="eastAsia" w:ascii="MS UI Gothic" w:eastAsia="MS UI Gothic"/>
          <w:w w:val="80"/>
        </w:rPr>
        <w:t>ꎮ</w:t>
      </w:r>
    </w:p>
    <w:p>
      <w:pPr>
        <w:pStyle w:val="6"/>
        <w:spacing w:before="63" w:line="295" w:lineRule="auto"/>
        <w:ind w:right="442" w:firstLine="0"/>
        <w:rPr>
          <w:rFonts w:hint="eastAsia" w:ascii="MS UI Gothic" w:eastAsia="MS UI Gothic"/>
        </w:rPr>
      </w:pPr>
      <w:r>
        <w:br w:type="column"/>
      </w:r>
      <w:r>
        <w:t>严重后果的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后果特别严重的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right="442"/>
        <w:rPr>
          <w:rFonts w:hint="eastAsia" w:ascii="MS UI Gothic" w:eastAsia="MS UI Gothic"/>
        </w:rPr>
      </w:pPr>
      <w:r>
        <w:t xml:space="preserve">第一百三十七条   </w:t>
      </w:r>
      <w:r>
        <w:rPr>
          <w:rFonts w:hint="eastAsia" w:ascii="MS UI Gothic" w:eastAsia="MS UI Gothic"/>
        </w:rPr>
        <w:t>【</w:t>
      </w:r>
      <w:r>
        <w:t>工程重大安全事故罪</w:t>
      </w:r>
      <w:r>
        <w:rPr>
          <w:rFonts w:hint="eastAsia" w:ascii="MS UI Gothic" w:eastAsia="MS UI Gothic"/>
        </w:rPr>
        <w:t xml:space="preserve">】 </w:t>
      </w:r>
      <w:r>
        <w:t>建设单位</w:t>
      </w:r>
      <w:r>
        <w:rPr>
          <w:rFonts w:hint="eastAsia" w:ascii="MS UI Gothic" w:eastAsia="MS UI Gothic"/>
          <w:w w:val="80"/>
        </w:rPr>
        <w:t xml:space="preserve">、 </w:t>
      </w:r>
      <w:r>
        <w:t>设计单位</w:t>
      </w:r>
      <w:r>
        <w:rPr>
          <w:rFonts w:hint="eastAsia" w:ascii="MS UI Gothic" w:eastAsia="MS UI Gothic"/>
          <w:w w:val="80"/>
        </w:rPr>
        <w:t xml:space="preserve">、 </w:t>
      </w:r>
      <w:r>
        <w:t>施工单位</w:t>
      </w:r>
      <w:r>
        <w:rPr>
          <w:rFonts w:hint="eastAsia" w:ascii="MS UI Gothic" w:eastAsia="MS UI Gothic"/>
          <w:w w:val="80"/>
        </w:rPr>
        <w:t xml:space="preserve">、 </w:t>
      </w:r>
      <w:r>
        <w:t>工程监理单位违反国家规定</w:t>
      </w:r>
      <w:r>
        <w:rPr>
          <w:rFonts w:hint="eastAsia" w:ascii="MS UI Gothic" w:eastAsia="MS UI Gothic"/>
          <w:w w:val="80"/>
        </w:rPr>
        <w:t xml:space="preserve">ꎬ </w:t>
      </w:r>
      <w:r>
        <w:t>降低工程质量标准</w:t>
      </w:r>
      <w:r>
        <w:rPr>
          <w:rFonts w:hint="eastAsia" w:ascii="MS UI Gothic" w:eastAsia="MS UI Gothic"/>
          <w:w w:val="80"/>
        </w:rPr>
        <w:t xml:space="preserve">ꎬ </w:t>
      </w:r>
      <w:r>
        <w:t>造成重大安全事故的</w:t>
      </w:r>
      <w:r>
        <w:rPr>
          <w:rFonts w:hint="eastAsia" w:ascii="MS UI Gothic" w:eastAsia="MS UI Gothic"/>
          <w:w w:val="80"/>
        </w:rPr>
        <w:t xml:space="preserve">ꎬ </w:t>
      </w:r>
      <w:r>
        <w:t>对直接责任人员</w:t>
      </w:r>
      <w:r>
        <w:rPr>
          <w:rFonts w:hint="eastAsia" w:ascii="MS UI Gothic" w:eastAsia="MS UI Gothic"/>
          <w:w w:val="80"/>
        </w:rPr>
        <w:t xml:space="preserve">ꎬ </w:t>
      </w:r>
      <w:r>
        <w:t>处五年以下有期徒刑或者拘役</w:t>
      </w:r>
      <w:r>
        <w:rPr>
          <w:rFonts w:hint="eastAsia" w:ascii="MS UI Gothic" w:eastAsia="MS UI Gothic"/>
          <w:w w:val="80"/>
        </w:rPr>
        <w:t xml:space="preserve">ꎬ </w:t>
      </w:r>
      <w:r>
        <w:t>并处罚金</w:t>
      </w:r>
      <w:r>
        <w:rPr>
          <w:rFonts w:hint="eastAsia" w:ascii="MS UI Gothic" w:eastAsia="MS UI Gothic"/>
          <w:w w:val="80"/>
        </w:rPr>
        <w:t xml:space="preserve">ꎻ </w:t>
      </w:r>
      <w:r>
        <w:t>后果特别严重的</w:t>
      </w:r>
      <w:r>
        <w:rPr>
          <w:rFonts w:hint="eastAsia" w:ascii="MS UI Gothic" w:eastAsia="MS UI Gothic"/>
          <w:w w:val="80"/>
        </w:rPr>
        <w:t xml:space="preserve">ꎬ </w:t>
      </w:r>
      <w:r>
        <w:t>处五年以上十年以下有期徒刑</w:t>
      </w:r>
      <w:r>
        <w:rPr>
          <w:rFonts w:hint="eastAsia" w:ascii="MS UI Gothic" w:eastAsia="MS UI Gothic"/>
          <w:w w:val="80"/>
        </w:rPr>
        <w:t xml:space="preserve">ꎬ </w:t>
      </w:r>
      <w:r>
        <w:t>并处罚金</w:t>
      </w:r>
      <w:r>
        <w:rPr>
          <w:rFonts w:hint="eastAsia" w:ascii="MS UI Gothic" w:eastAsia="MS UI Gothic"/>
          <w:w w:val="80"/>
        </w:rPr>
        <w:t>ꎮ</w:t>
      </w:r>
    </w:p>
    <w:p>
      <w:pPr>
        <w:pStyle w:val="6"/>
        <w:spacing w:line="295" w:lineRule="auto"/>
        <w:ind w:right="442"/>
        <w:rPr>
          <w:rFonts w:hint="eastAsia" w:ascii="MS UI Gothic" w:eastAsia="MS UI Gothic"/>
        </w:rPr>
      </w:pPr>
      <w:r>
        <w:t xml:space="preserve">第一百三十九条   </w:t>
      </w:r>
      <w:r>
        <w:rPr>
          <w:rFonts w:hint="eastAsia" w:ascii="MS UI Gothic" w:eastAsia="MS UI Gothic"/>
        </w:rPr>
        <w:t>【</w:t>
      </w:r>
      <w:r>
        <w:t>消防责任事故罪</w:t>
      </w:r>
      <w:r>
        <w:rPr>
          <w:rFonts w:hint="eastAsia" w:ascii="MS UI Gothic" w:eastAsia="MS UI Gothic"/>
        </w:rPr>
        <w:t xml:space="preserve">】 </w:t>
      </w:r>
      <w:r>
        <w:t>违反消防管理法规</w:t>
      </w:r>
      <w:r>
        <w:rPr>
          <w:rFonts w:hint="eastAsia" w:ascii="MS UI Gothic" w:eastAsia="MS UI Gothic"/>
          <w:w w:val="80"/>
        </w:rPr>
        <w:t xml:space="preserve">ꎬ </w:t>
      </w:r>
      <w:r>
        <w:t>经消防监督机构通知采取改正措施而拒绝执行</w:t>
      </w:r>
      <w:r>
        <w:rPr>
          <w:rFonts w:hint="eastAsia" w:ascii="MS UI Gothic" w:eastAsia="MS UI Gothic"/>
          <w:w w:val="80"/>
        </w:rPr>
        <w:t xml:space="preserve">ꎬ </w:t>
      </w:r>
      <w:r>
        <w:t>造成严重后果的</w:t>
      </w:r>
      <w:r>
        <w:rPr>
          <w:rFonts w:hint="eastAsia" w:ascii="MS UI Gothic" w:eastAsia="MS UI Gothic"/>
          <w:w w:val="80"/>
        </w:rPr>
        <w:t xml:space="preserve">ꎬ </w:t>
      </w:r>
      <w:r>
        <w:t>对直接责任人员</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后果特别严重的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51" w:lineRule="exact"/>
        <w:ind w:left="543" w:firstLine="0"/>
      </w:pPr>
      <w:r>
        <w:t xml:space="preserve">第一百三十九条之一 </w:t>
      </w:r>
      <w:r>
        <w:rPr>
          <w:rFonts w:hint="eastAsia" w:ascii="MS UI Gothic" w:eastAsia="MS UI Gothic"/>
        </w:rPr>
        <w:t>【</w:t>
      </w:r>
      <w:r>
        <w:t>不报</w:t>
      </w:r>
      <w:r>
        <w:rPr>
          <w:rFonts w:hint="eastAsia" w:ascii="MS UI Gothic" w:eastAsia="MS UI Gothic"/>
        </w:rPr>
        <w:t xml:space="preserve">、 </w:t>
      </w:r>
      <w:r>
        <w:t>谎</w:t>
      </w:r>
    </w:p>
    <w:p>
      <w:pPr>
        <w:spacing w:after="0" w:line="251" w:lineRule="exact"/>
        <w:sectPr>
          <w:type w:val="continuous"/>
          <w:pgSz w:w="10500" w:h="14750"/>
          <w:pgMar w:top="1400" w:right="980" w:bottom="280" w:left="980" w:header="720" w:footer="720" w:gutter="0"/>
          <w:cols w:equalWidth="0" w:num="2">
            <w:col w:w="3936" w:space="256"/>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１５</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095" o:spid="_x0000_s1095" o:spt="203" style="height:2.15pt;width:398.25pt;" coordsize="7965,43">
            <o:lock v:ext="edit"/>
            <v:line id="_x0000_s1096" o:spid="_x0000_s1096" o:spt="20" style="position:absolute;left:0;top:39;height:0;width:7965;" stroked="t" coordsize="21600,21600">
              <v:path arrowok="t"/>
              <v:fill focussize="0,0"/>
              <v:stroke weight="0.388031496062992pt" color="#231F20"/>
              <v:imagedata o:title=""/>
              <o:lock v:ext="edit"/>
            </v:line>
            <v:line id="_x0000_s1097" o:spid="_x0000_s109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报安全事故罪</w:t>
      </w:r>
      <w:r>
        <w:rPr>
          <w:rFonts w:hint="eastAsia" w:ascii="MS UI Gothic" w:eastAsia="MS UI Gothic"/>
        </w:rPr>
        <w:t xml:space="preserve">】 </w:t>
      </w:r>
      <w:r>
        <w:t>在安全事故发生后</w:t>
      </w:r>
      <w:r>
        <w:rPr>
          <w:rFonts w:hint="eastAsia" w:ascii="MS UI Gothic" w:eastAsia="MS UI Gothic"/>
          <w:w w:val="80"/>
        </w:rPr>
        <w:t xml:space="preserve">ꎬ </w:t>
      </w:r>
      <w:r>
        <w:t>负有报告职责的人员不报或者谎报事故情况</w:t>
      </w:r>
      <w:r>
        <w:rPr>
          <w:rFonts w:hint="eastAsia" w:ascii="MS UI Gothic" w:eastAsia="MS UI Gothic"/>
          <w:w w:val="80"/>
        </w:rPr>
        <w:t xml:space="preserve">ꎬ </w:t>
      </w:r>
      <w:r>
        <w:t>贻误事故抢救</w:t>
      </w:r>
      <w:r>
        <w:rPr>
          <w:rFonts w:hint="eastAsia" w:ascii="MS UI Gothic" w:eastAsia="MS UI Gothic"/>
          <w:w w:val="80"/>
        </w:rPr>
        <w:t xml:space="preserve">ꎬ </w:t>
      </w:r>
      <w:r>
        <w:t>情节严重的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情节特别严重的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pStyle w:val="6"/>
        <w:spacing w:line="295" w:lineRule="auto"/>
        <w:ind w:left="440"/>
        <w:rPr>
          <w:rFonts w:hint="eastAsia" w:ascii="MS UI Gothic" w:eastAsia="MS UI Gothic"/>
        </w:rPr>
      </w:pPr>
      <w:r>
        <w:t xml:space="preserve">第一百四十六条   </w:t>
      </w:r>
      <w:r>
        <w:rPr>
          <w:rFonts w:hint="eastAsia" w:ascii="MS UI Gothic" w:eastAsia="MS UI Gothic"/>
        </w:rPr>
        <w:t>【</w:t>
      </w:r>
      <w:r>
        <w:t>生产</w:t>
      </w:r>
      <w:r>
        <w:rPr>
          <w:rFonts w:hint="eastAsia" w:ascii="MS UI Gothic" w:eastAsia="MS UI Gothic"/>
          <w:w w:val="80"/>
        </w:rPr>
        <w:t xml:space="preserve">、  </w:t>
      </w:r>
      <w:r>
        <w:t>销售不符合安全标准的产品罪</w:t>
      </w:r>
      <w:r>
        <w:rPr>
          <w:rFonts w:hint="eastAsia" w:ascii="MS UI Gothic" w:eastAsia="MS UI Gothic"/>
        </w:rPr>
        <w:t xml:space="preserve">】 </w:t>
      </w:r>
      <w:r>
        <w:t>生产不符合保障人身</w:t>
      </w:r>
      <w:r>
        <w:rPr>
          <w:rFonts w:hint="eastAsia" w:ascii="MS UI Gothic" w:eastAsia="MS UI Gothic"/>
          <w:w w:val="80"/>
        </w:rPr>
        <w:t xml:space="preserve">、 </w:t>
      </w:r>
      <w:r>
        <w:t>财产安全的国家标准</w:t>
      </w:r>
      <w:r>
        <w:rPr>
          <w:rFonts w:hint="eastAsia" w:ascii="MS UI Gothic" w:eastAsia="MS UI Gothic"/>
          <w:w w:val="80"/>
        </w:rPr>
        <w:t xml:space="preserve">、 </w:t>
      </w:r>
      <w:r>
        <w:t>行业标准的电器</w:t>
      </w:r>
      <w:r>
        <w:rPr>
          <w:rFonts w:hint="eastAsia" w:ascii="MS UI Gothic" w:eastAsia="MS UI Gothic"/>
          <w:w w:val="80"/>
        </w:rPr>
        <w:t xml:space="preserve">、 </w:t>
      </w:r>
      <w:r>
        <w:t>压力容器</w:t>
      </w:r>
      <w:r>
        <w:rPr>
          <w:rFonts w:hint="eastAsia" w:ascii="MS UI Gothic" w:eastAsia="MS UI Gothic"/>
          <w:w w:val="80"/>
        </w:rPr>
        <w:t xml:space="preserve">、 </w:t>
      </w:r>
      <w:r>
        <w:t>易燃易爆产品或者其他不符合保障人身</w:t>
      </w:r>
      <w:r>
        <w:rPr>
          <w:rFonts w:hint="eastAsia" w:ascii="MS UI Gothic" w:eastAsia="MS UI Gothic"/>
          <w:w w:val="80"/>
        </w:rPr>
        <w:t xml:space="preserve">、 </w:t>
      </w:r>
      <w:r>
        <w:t>财产安全的国家标准</w:t>
      </w:r>
      <w:r>
        <w:rPr>
          <w:rFonts w:hint="eastAsia" w:ascii="MS UI Gothic" w:eastAsia="MS UI Gothic"/>
          <w:w w:val="80"/>
        </w:rPr>
        <w:t xml:space="preserve">、 </w:t>
      </w:r>
      <w:r>
        <w:t>行业标准的产品</w:t>
      </w:r>
      <w:r>
        <w:rPr>
          <w:rFonts w:hint="eastAsia" w:ascii="MS UI Gothic" w:eastAsia="MS UI Gothic"/>
          <w:w w:val="80"/>
        </w:rPr>
        <w:t xml:space="preserve">ꎬ </w:t>
      </w:r>
      <w:r>
        <w:t>或者销售明知是以上不符合保障人身</w:t>
      </w:r>
      <w:r>
        <w:rPr>
          <w:rFonts w:hint="eastAsia" w:ascii="MS UI Gothic" w:eastAsia="MS UI Gothic"/>
          <w:w w:val="80"/>
        </w:rPr>
        <w:t xml:space="preserve">、 </w:t>
      </w:r>
      <w:r>
        <w:t>财产安全的国家标准</w:t>
      </w:r>
      <w:r>
        <w:rPr>
          <w:rFonts w:hint="eastAsia" w:ascii="MS UI Gothic" w:eastAsia="MS UI Gothic"/>
          <w:w w:val="80"/>
        </w:rPr>
        <w:t xml:space="preserve">、 </w:t>
      </w:r>
      <w:r>
        <w:t>行业标准的产品</w:t>
      </w:r>
      <w:r>
        <w:rPr>
          <w:rFonts w:hint="eastAsia" w:ascii="MS UI Gothic" w:eastAsia="MS UI Gothic"/>
          <w:w w:val="80"/>
        </w:rPr>
        <w:t xml:space="preserve">ꎬ </w:t>
      </w:r>
      <w:r>
        <w:t>造成严重后果的</w:t>
      </w:r>
      <w:r>
        <w:rPr>
          <w:rFonts w:hint="eastAsia" w:ascii="MS UI Gothic" w:eastAsia="MS UI Gothic"/>
          <w:w w:val="80"/>
        </w:rPr>
        <w:t>ꎬ</w:t>
      </w:r>
      <w:r>
        <w:t>处五年以下有期徒刑</w:t>
      </w:r>
      <w:r>
        <w:rPr>
          <w:rFonts w:hint="eastAsia" w:ascii="MS UI Gothic" w:eastAsia="MS UI Gothic"/>
          <w:w w:val="80"/>
        </w:rPr>
        <w:t xml:space="preserve">ꎬ </w:t>
      </w:r>
      <w:r>
        <w:t>并处销售金额百分之五十以上二倍以下罚金</w:t>
      </w:r>
      <w:r>
        <w:rPr>
          <w:rFonts w:hint="eastAsia" w:ascii="MS UI Gothic" w:eastAsia="MS UI Gothic"/>
          <w:w w:val="80"/>
        </w:rPr>
        <w:t xml:space="preserve">ꎻ </w:t>
      </w:r>
      <w:r>
        <w:t>后果特别严重的</w:t>
      </w:r>
      <w:r>
        <w:rPr>
          <w:rFonts w:hint="eastAsia" w:ascii="MS UI Gothic" w:eastAsia="MS UI Gothic"/>
          <w:w w:val="80"/>
        </w:rPr>
        <w:t xml:space="preserve">ꎬ </w:t>
      </w:r>
      <w:r>
        <w:t>处五年以上有期徒刑</w:t>
      </w:r>
      <w:r>
        <w:rPr>
          <w:rFonts w:hint="eastAsia" w:ascii="MS UI Gothic" w:eastAsia="MS UI Gothic"/>
          <w:w w:val="80"/>
        </w:rPr>
        <w:t xml:space="preserve">ꎬ </w:t>
      </w:r>
      <w:r>
        <w:t>并处销售金额百分之五十以上二倍以下罚金</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 xml:space="preserve">第二百二十五条 </w:t>
      </w:r>
      <w:r>
        <w:rPr>
          <w:rFonts w:hint="eastAsia" w:ascii="MS UI Gothic" w:eastAsia="MS UI Gothic"/>
          <w:w w:val="105"/>
        </w:rPr>
        <w:t>【</w:t>
      </w:r>
      <w:r>
        <w:rPr>
          <w:w w:val="105"/>
        </w:rPr>
        <w:t>非法经营罪</w:t>
      </w:r>
      <w:r>
        <w:rPr>
          <w:rFonts w:hint="eastAsia" w:ascii="MS UI Gothic" w:eastAsia="MS UI Gothic"/>
          <w:w w:val="105"/>
        </w:rPr>
        <w:t>】</w:t>
      </w:r>
      <w:r>
        <w:t>违反国家规定</w:t>
      </w:r>
      <w:r>
        <w:rPr>
          <w:rFonts w:hint="eastAsia" w:ascii="MS UI Gothic" w:eastAsia="MS UI Gothic"/>
          <w:w w:val="80"/>
        </w:rPr>
        <w:t xml:space="preserve">ꎬ </w:t>
      </w:r>
      <w:r>
        <w:t>有下列非法经营行为之一</w:t>
      </w:r>
      <w:r>
        <w:rPr>
          <w:rFonts w:hint="eastAsia" w:ascii="MS UI Gothic" w:eastAsia="MS UI Gothic"/>
          <w:w w:val="80"/>
        </w:rPr>
        <w:t xml:space="preserve">ꎬ </w:t>
      </w:r>
      <w:r>
        <w:t>扰乱市场秩序</w:t>
      </w:r>
      <w:r>
        <w:rPr>
          <w:rFonts w:hint="eastAsia" w:ascii="MS UI Gothic" w:eastAsia="MS UI Gothic"/>
          <w:w w:val="80"/>
        </w:rPr>
        <w:t xml:space="preserve">ꎬ </w:t>
      </w:r>
      <w:r>
        <w:t>情节严重的</w:t>
      </w:r>
      <w:r>
        <w:rPr>
          <w:rFonts w:hint="eastAsia" w:ascii="MS UI Gothic" w:eastAsia="MS UI Gothic"/>
          <w:w w:val="80"/>
        </w:rPr>
        <w:t xml:space="preserve">ꎬ </w:t>
      </w:r>
      <w:r>
        <w:t>处五年以下有期徒刑或者拘役</w:t>
      </w:r>
      <w:r>
        <w:rPr>
          <w:rFonts w:hint="eastAsia" w:ascii="MS UI Gothic" w:eastAsia="MS UI Gothic"/>
          <w:w w:val="80"/>
        </w:rPr>
        <w:t xml:space="preserve">ꎬ </w:t>
      </w:r>
      <w:r>
        <w:t>并处或者单处违法所得一倍以上五倍以下罚金</w:t>
      </w:r>
      <w:r>
        <w:rPr>
          <w:rFonts w:hint="eastAsia" w:ascii="MS UI Gothic" w:eastAsia="MS UI Gothic"/>
          <w:w w:val="80"/>
        </w:rPr>
        <w:t xml:space="preserve">ꎻ </w:t>
      </w:r>
      <w:r>
        <w:t>情节特别严重的</w:t>
      </w:r>
      <w:r>
        <w:rPr>
          <w:rFonts w:hint="eastAsia" w:ascii="MS UI Gothic" w:eastAsia="MS UI Gothic"/>
          <w:w w:val="80"/>
        </w:rPr>
        <w:t xml:space="preserve">ꎬ </w:t>
      </w:r>
      <w:r>
        <w:t>处五年以上有期徒刑</w:t>
      </w:r>
      <w:r>
        <w:rPr>
          <w:rFonts w:hint="eastAsia" w:ascii="MS UI Gothic" w:eastAsia="MS UI Gothic"/>
          <w:w w:val="80"/>
        </w:rPr>
        <w:t xml:space="preserve">ꎬ </w:t>
      </w:r>
      <w:r>
        <w:t>并处违法所得一倍以上五倍以下罚金或者没收</w:t>
      </w:r>
      <w:r>
        <w:rPr>
          <w:w w:val="105"/>
        </w:rPr>
        <w:t>财产</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未经许可经营法律</w:t>
      </w:r>
      <w:r>
        <w:rPr>
          <w:rFonts w:hint="eastAsia" w:ascii="MS UI Gothic" w:eastAsia="MS UI Gothic"/>
          <w:w w:val="80"/>
        </w:rPr>
        <w:t xml:space="preserve">、 </w:t>
      </w:r>
      <w:r>
        <w:rPr>
          <w:w w:val="105"/>
        </w:rPr>
        <w:t>行政法规规定的专营</w:t>
      </w:r>
      <w:r>
        <w:rPr>
          <w:rFonts w:hint="eastAsia" w:ascii="MS UI Gothic" w:eastAsia="MS UI Gothic"/>
          <w:w w:val="80"/>
        </w:rPr>
        <w:t xml:space="preserve">、 </w:t>
      </w:r>
      <w:r>
        <w:rPr>
          <w:w w:val="105"/>
        </w:rPr>
        <w:t>专卖物品或者其他限制买卖的物品的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5"/>
          <w:w w:val="105"/>
        </w:rPr>
        <w:t>买卖进出口许可证</w:t>
      </w:r>
      <w:r>
        <w:rPr>
          <w:rFonts w:hint="eastAsia" w:ascii="MS UI Gothic" w:eastAsia="MS UI Gothic"/>
          <w:spacing w:val="24"/>
          <w:w w:val="80"/>
        </w:rPr>
        <w:t xml:space="preserve">、 </w:t>
      </w:r>
      <w:r>
        <w:rPr>
          <w:spacing w:val="8"/>
          <w:w w:val="105"/>
        </w:rPr>
        <w:t>进出口原</w:t>
      </w:r>
      <w:r>
        <w:rPr>
          <w:spacing w:val="3"/>
          <w:w w:val="105"/>
        </w:rPr>
        <w:t>产地证明以及其他法律</w:t>
      </w:r>
      <w:r>
        <w:rPr>
          <w:rFonts w:hint="eastAsia" w:ascii="MS UI Gothic" w:eastAsia="MS UI Gothic"/>
          <w:spacing w:val="-5"/>
          <w:w w:val="80"/>
        </w:rPr>
        <w:t xml:space="preserve">、 </w:t>
      </w:r>
      <w:r>
        <w:rPr>
          <w:spacing w:val="2"/>
          <w:w w:val="105"/>
        </w:rPr>
        <w:t>行政法规规定的</w:t>
      </w:r>
      <w:r>
        <w:rPr>
          <w:spacing w:val="3"/>
          <w:w w:val="105"/>
        </w:rPr>
        <w:t>经营许可证或者批准文件的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2"/>
          <w:w w:val="150"/>
        </w:rPr>
        <w:t xml:space="preserve">) </w:t>
      </w:r>
      <w:r>
        <w:rPr>
          <w:spacing w:val="5"/>
          <w:w w:val="105"/>
        </w:rPr>
        <w:t>未经国家有关主管部门批准非</w:t>
      </w:r>
      <w:r>
        <w:rPr>
          <w:spacing w:val="3"/>
          <w:w w:val="105"/>
        </w:rPr>
        <w:t>法经营证券</w:t>
      </w:r>
      <w:r>
        <w:rPr>
          <w:rFonts w:hint="eastAsia" w:ascii="MS UI Gothic" w:eastAsia="MS UI Gothic"/>
          <w:spacing w:val="8"/>
          <w:w w:val="80"/>
        </w:rPr>
        <w:t xml:space="preserve">、 </w:t>
      </w:r>
      <w:r>
        <w:rPr>
          <w:spacing w:val="3"/>
          <w:w w:val="105"/>
        </w:rPr>
        <w:t>期货</w:t>
      </w:r>
      <w:r>
        <w:rPr>
          <w:rFonts w:hint="eastAsia" w:ascii="MS UI Gothic" w:eastAsia="MS UI Gothic"/>
          <w:spacing w:val="8"/>
          <w:w w:val="80"/>
        </w:rPr>
        <w:t xml:space="preserve">、 </w:t>
      </w:r>
      <w:r>
        <w:rPr>
          <w:spacing w:val="3"/>
          <w:w w:val="105"/>
        </w:rPr>
        <w:t>保险业务的</w:t>
      </w:r>
      <w:r>
        <w:rPr>
          <w:rFonts w:hint="eastAsia" w:ascii="MS UI Gothic" w:eastAsia="MS UI Gothic"/>
          <w:spacing w:val="8"/>
          <w:w w:val="80"/>
        </w:rPr>
        <w:t xml:space="preserve">ꎬ </w:t>
      </w:r>
      <w:r>
        <w:rPr>
          <w:spacing w:val="2"/>
          <w:w w:val="105"/>
        </w:rPr>
        <w:t>或者非</w:t>
      </w:r>
      <w:r>
        <w:rPr>
          <w:spacing w:val="3"/>
          <w:w w:val="105"/>
        </w:rPr>
        <w:t>法从事资金支付结算业务的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其他严重扰乱市场秩序的非法</w:t>
      </w:r>
      <w:r>
        <w:rPr>
          <w:w w:val="110"/>
        </w:rPr>
        <w:t>经营行为</w:t>
      </w:r>
      <w:r>
        <w:rPr>
          <w:rFonts w:hint="eastAsia" w:ascii="MS UI Gothic" w:eastAsia="MS UI Gothic"/>
          <w:w w:val="80"/>
        </w:rPr>
        <w:t>ꎮ</w:t>
      </w:r>
    </w:p>
    <w:p>
      <w:pPr>
        <w:pStyle w:val="6"/>
        <w:spacing w:line="295" w:lineRule="auto"/>
        <w:ind w:left="440" w:right="1"/>
      </w:pPr>
      <w:r>
        <w:t xml:space="preserve">第二百八十条  </w:t>
      </w:r>
      <w:r>
        <w:rPr>
          <w:rFonts w:hint="eastAsia" w:ascii="MS UI Gothic" w:eastAsia="MS UI Gothic"/>
        </w:rPr>
        <w:t>【</w:t>
      </w:r>
      <w:r>
        <w:t>伪造</w:t>
      </w:r>
      <w:r>
        <w:rPr>
          <w:rFonts w:hint="eastAsia" w:ascii="MS UI Gothic" w:eastAsia="MS UI Gothic"/>
        </w:rPr>
        <w:t xml:space="preserve">、 </w:t>
      </w:r>
      <w:r>
        <w:t>变造</w:t>
      </w:r>
      <w:r>
        <w:rPr>
          <w:rFonts w:hint="eastAsia" w:ascii="MS UI Gothic" w:eastAsia="MS UI Gothic"/>
        </w:rPr>
        <w:t xml:space="preserve">、  </w:t>
      </w:r>
      <w:r>
        <w:t>买卖国家机关公文</w:t>
      </w:r>
      <w:r>
        <w:rPr>
          <w:rFonts w:hint="eastAsia" w:ascii="MS UI Gothic" w:eastAsia="MS UI Gothic"/>
        </w:rPr>
        <w:t xml:space="preserve">、 </w:t>
      </w:r>
      <w:r>
        <w:t>证件</w:t>
      </w:r>
      <w:r>
        <w:rPr>
          <w:rFonts w:hint="eastAsia" w:ascii="MS UI Gothic" w:eastAsia="MS UI Gothic"/>
        </w:rPr>
        <w:t xml:space="preserve">、 </w:t>
      </w:r>
      <w:r>
        <w:t>印章罪</w:t>
      </w:r>
      <w:r>
        <w:rPr>
          <w:rFonts w:hint="eastAsia" w:ascii="MS UI Gothic" w:eastAsia="MS UI Gothic"/>
        </w:rPr>
        <w:t>】 【</w:t>
      </w:r>
      <w:r>
        <w:t>盗窃</w:t>
      </w:r>
      <w:r>
        <w:rPr>
          <w:rFonts w:hint="eastAsia" w:ascii="MS UI Gothic" w:eastAsia="MS UI Gothic"/>
        </w:rPr>
        <w:t xml:space="preserve">、 </w:t>
      </w:r>
      <w:r>
        <w:t>抢夺</w:t>
      </w:r>
      <w:r>
        <w:rPr>
          <w:rFonts w:hint="eastAsia" w:ascii="MS UI Gothic" w:eastAsia="MS UI Gothic"/>
        </w:rPr>
        <w:t xml:space="preserve">、 </w:t>
      </w:r>
      <w:r>
        <w:t>毁灭国家机关公文</w:t>
      </w:r>
      <w:r>
        <w:rPr>
          <w:rFonts w:hint="eastAsia" w:ascii="MS UI Gothic" w:eastAsia="MS UI Gothic"/>
        </w:rPr>
        <w:t xml:space="preserve">、 </w:t>
      </w:r>
      <w:r>
        <w:t>证件</w:t>
      </w:r>
      <w:r>
        <w:rPr>
          <w:rFonts w:hint="eastAsia" w:ascii="MS UI Gothic" w:eastAsia="MS UI Gothic"/>
        </w:rPr>
        <w:t xml:space="preserve">、 </w:t>
      </w:r>
      <w:r>
        <w:t>印</w:t>
      </w:r>
    </w:p>
    <w:p>
      <w:pPr>
        <w:pStyle w:val="6"/>
        <w:spacing w:before="124" w:line="295" w:lineRule="auto"/>
        <w:ind w:left="381" w:right="126" w:firstLine="0"/>
        <w:rPr>
          <w:rFonts w:hint="eastAsia" w:ascii="MS UI Gothic" w:eastAsia="MS UI Gothic"/>
        </w:rPr>
      </w:pPr>
      <w:r>
        <w:br w:type="column"/>
      </w:r>
      <w:r>
        <w:t>章罪</w:t>
      </w:r>
      <w:r>
        <w:rPr>
          <w:rFonts w:hint="eastAsia" w:ascii="MS UI Gothic" w:eastAsia="MS UI Gothic"/>
        </w:rPr>
        <w:t xml:space="preserve">】 </w:t>
      </w:r>
      <w:r>
        <w:t>伪造</w:t>
      </w:r>
      <w:r>
        <w:rPr>
          <w:rFonts w:hint="eastAsia" w:ascii="MS UI Gothic" w:eastAsia="MS UI Gothic"/>
        </w:rPr>
        <w:t xml:space="preserve">、 </w:t>
      </w:r>
      <w:r>
        <w:t>变造</w:t>
      </w:r>
      <w:r>
        <w:rPr>
          <w:rFonts w:hint="eastAsia" w:ascii="MS UI Gothic" w:eastAsia="MS UI Gothic"/>
        </w:rPr>
        <w:t xml:space="preserve">、 </w:t>
      </w:r>
      <w:r>
        <w:t>买卖或者盗窃</w:t>
      </w:r>
      <w:r>
        <w:rPr>
          <w:rFonts w:hint="eastAsia" w:ascii="MS UI Gothic" w:eastAsia="MS UI Gothic"/>
        </w:rPr>
        <w:t xml:space="preserve">、 </w:t>
      </w:r>
      <w:r>
        <w:t>抢夺</w:t>
      </w:r>
      <w:r>
        <w:rPr>
          <w:rFonts w:hint="eastAsia" w:ascii="MS UI Gothic" w:eastAsia="MS UI Gothic"/>
        </w:rPr>
        <w:t xml:space="preserve">、 </w:t>
      </w:r>
      <w:r>
        <w:t>毁灭国家机关的公文</w:t>
      </w:r>
      <w:r>
        <w:rPr>
          <w:rFonts w:hint="eastAsia" w:ascii="MS UI Gothic" w:eastAsia="MS UI Gothic"/>
        </w:rPr>
        <w:t xml:space="preserve">、 </w:t>
      </w:r>
      <w:r>
        <w:t>证件</w:t>
      </w:r>
      <w:r>
        <w:rPr>
          <w:rFonts w:hint="eastAsia" w:ascii="MS UI Gothic" w:eastAsia="MS UI Gothic"/>
        </w:rPr>
        <w:t xml:space="preserve">、 </w:t>
      </w:r>
      <w:r>
        <w:t>印章的</w:t>
      </w:r>
      <w:r>
        <w:rPr>
          <w:rFonts w:hint="eastAsia" w:ascii="MS UI Gothic" w:eastAsia="MS UI Gothic"/>
          <w:w w:val="80"/>
        </w:rPr>
        <w:t xml:space="preserve">ꎬ </w:t>
      </w:r>
      <w:r>
        <w:t>处三年以下有期徒刑</w:t>
      </w:r>
      <w:r>
        <w:rPr>
          <w:rFonts w:hint="eastAsia" w:ascii="MS UI Gothic" w:eastAsia="MS UI Gothic"/>
        </w:rPr>
        <w:t xml:space="preserve">、 </w:t>
      </w:r>
      <w:r>
        <w:t>拘役</w:t>
      </w:r>
      <w:r>
        <w:rPr>
          <w:rFonts w:hint="eastAsia" w:ascii="MS UI Gothic" w:eastAsia="MS UI Gothic"/>
        </w:rPr>
        <w:t xml:space="preserve">、 </w:t>
      </w:r>
      <w:r>
        <w:t>管制或者剥夺政治权利</w:t>
      </w:r>
      <w:r>
        <w:rPr>
          <w:rFonts w:hint="eastAsia" w:ascii="MS UI Gothic" w:eastAsia="MS UI Gothic"/>
          <w:w w:val="80"/>
        </w:rPr>
        <w:t xml:space="preserve">ꎬ </w:t>
      </w:r>
      <w:r>
        <w:t>并处罚金</w:t>
      </w:r>
      <w:r>
        <w:rPr>
          <w:rFonts w:hint="eastAsia" w:ascii="MS UI Gothic" w:eastAsia="MS UI Gothic"/>
          <w:w w:val="80"/>
        </w:rPr>
        <w:t xml:space="preserve">ꎻ </w:t>
      </w:r>
      <w:r>
        <w:t>情节严重的</w:t>
      </w:r>
      <w:r>
        <w:rPr>
          <w:rFonts w:hint="eastAsia" w:ascii="MS UI Gothic" w:eastAsia="MS UI Gothic"/>
          <w:w w:val="80"/>
        </w:rPr>
        <w:t xml:space="preserve">ꎬ </w:t>
      </w:r>
      <w:r>
        <w:t>处三年以上十年以下有期徒刑</w:t>
      </w:r>
      <w:r>
        <w:rPr>
          <w:rFonts w:hint="eastAsia" w:ascii="MS UI Gothic" w:eastAsia="MS UI Gothic"/>
          <w:w w:val="80"/>
        </w:rPr>
        <w:t xml:space="preserve">ꎬ </w:t>
      </w:r>
      <w:r>
        <w:t>并处罚金</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15"/>
        </w:rPr>
        <w:t xml:space="preserve">第三百四十三条   </w:t>
      </w:r>
      <w:r>
        <w:rPr>
          <w:rFonts w:hint="eastAsia" w:ascii="MS UI Gothic" w:eastAsia="MS UI Gothic"/>
          <w:spacing w:val="34"/>
        </w:rPr>
        <w:t>【</w:t>
      </w:r>
      <w:r>
        <w:rPr>
          <w:spacing w:val="23"/>
        </w:rPr>
        <w:t>非法采矿罪</w:t>
      </w:r>
      <w:r>
        <w:rPr>
          <w:rFonts w:hint="eastAsia" w:ascii="MS UI Gothic" w:eastAsia="MS UI Gothic"/>
        </w:rPr>
        <w:t>】</w:t>
      </w:r>
      <w:r>
        <w:rPr>
          <w:spacing w:val="3"/>
        </w:rPr>
        <w:t>违反矿产资源法的规定</w:t>
      </w:r>
      <w:r>
        <w:rPr>
          <w:rFonts w:hint="eastAsia" w:ascii="MS UI Gothic" w:eastAsia="MS UI Gothic"/>
          <w:spacing w:val="20"/>
          <w:w w:val="80"/>
        </w:rPr>
        <w:t xml:space="preserve">ꎬ </w:t>
      </w:r>
      <w:r>
        <w:rPr>
          <w:spacing w:val="2"/>
        </w:rPr>
        <w:t>未取得采矿许可</w:t>
      </w:r>
      <w:r>
        <w:rPr>
          <w:spacing w:val="3"/>
        </w:rPr>
        <w:t>证擅自采矿</w:t>
      </w:r>
      <w:r>
        <w:rPr>
          <w:rFonts w:hint="eastAsia" w:ascii="MS UI Gothic" w:eastAsia="MS UI Gothic"/>
          <w:spacing w:val="11"/>
          <w:w w:val="80"/>
        </w:rPr>
        <w:t xml:space="preserve">ꎬ </w:t>
      </w:r>
      <w:r>
        <w:rPr>
          <w:spacing w:val="3"/>
        </w:rPr>
        <w:t>擅自进入国家规划矿区</w:t>
      </w:r>
      <w:r>
        <w:rPr>
          <w:rFonts w:hint="eastAsia" w:ascii="MS UI Gothic" w:eastAsia="MS UI Gothic"/>
          <w:spacing w:val="11"/>
          <w:w w:val="80"/>
        </w:rPr>
        <w:t xml:space="preserve">、 </w:t>
      </w:r>
      <w:r>
        <w:t>对</w:t>
      </w:r>
      <w:r>
        <w:rPr>
          <w:spacing w:val="2"/>
        </w:rPr>
        <w:t>国民经济具有重要价值的矿区和他人矿区</w:t>
      </w:r>
      <w:r>
        <w:rPr>
          <w:spacing w:val="3"/>
        </w:rPr>
        <w:t>范围采矿</w:t>
      </w:r>
      <w:r>
        <w:rPr>
          <w:rFonts w:hint="eastAsia" w:ascii="MS UI Gothic" w:eastAsia="MS UI Gothic"/>
          <w:spacing w:val="20"/>
          <w:w w:val="80"/>
        </w:rPr>
        <w:t xml:space="preserve">ꎬ </w:t>
      </w:r>
      <w:r>
        <w:rPr>
          <w:spacing w:val="2"/>
        </w:rPr>
        <w:t>或者擅自开采国家规定实行保</w:t>
      </w:r>
      <w:r>
        <w:rPr>
          <w:spacing w:val="3"/>
        </w:rPr>
        <w:t>护性开采的特定矿种</w:t>
      </w:r>
      <w:r>
        <w:rPr>
          <w:rFonts w:hint="eastAsia" w:ascii="MS UI Gothic" w:eastAsia="MS UI Gothic"/>
          <w:spacing w:val="23"/>
          <w:w w:val="80"/>
        </w:rPr>
        <w:t xml:space="preserve">ꎬ </w:t>
      </w:r>
      <w:r>
        <w:rPr>
          <w:spacing w:val="3"/>
        </w:rPr>
        <w:t>情节严重的</w:t>
      </w:r>
      <w:r>
        <w:rPr>
          <w:rFonts w:hint="eastAsia" w:ascii="MS UI Gothic" w:eastAsia="MS UI Gothic"/>
          <w:spacing w:val="23"/>
          <w:w w:val="80"/>
        </w:rPr>
        <w:t xml:space="preserve">ꎬ </w:t>
      </w:r>
      <w:r>
        <w:rPr>
          <w:spacing w:val="1"/>
        </w:rPr>
        <w:t>处三</w:t>
      </w:r>
      <w:r>
        <w:rPr>
          <w:spacing w:val="3"/>
        </w:rPr>
        <w:t>年以下有期徒刑</w:t>
      </w:r>
      <w:r>
        <w:rPr>
          <w:rFonts w:hint="eastAsia" w:ascii="MS UI Gothic" w:eastAsia="MS UI Gothic"/>
          <w:spacing w:val="11"/>
          <w:w w:val="80"/>
        </w:rPr>
        <w:t xml:space="preserve">、 </w:t>
      </w:r>
      <w:r>
        <w:rPr>
          <w:spacing w:val="3"/>
        </w:rPr>
        <w:t>拘役或者管制</w:t>
      </w:r>
      <w:r>
        <w:rPr>
          <w:rFonts w:hint="eastAsia" w:ascii="MS UI Gothic" w:eastAsia="MS UI Gothic"/>
          <w:spacing w:val="11"/>
          <w:w w:val="80"/>
        </w:rPr>
        <w:t xml:space="preserve">ꎬ </w:t>
      </w:r>
      <w:r>
        <w:rPr>
          <w:spacing w:val="1"/>
        </w:rPr>
        <w:t>并处或</w:t>
      </w:r>
      <w:r>
        <w:rPr>
          <w:spacing w:val="3"/>
        </w:rPr>
        <w:t>者单处罚金</w:t>
      </w:r>
      <w:r>
        <w:rPr>
          <w:rFonts w:hint="eastAsia" w:ascii="MS UI Gothic" w:eastAsia="MS UI Gothic"/>
          <w:spacing w:val="23"/>
          <w:w w:val="80"/>
        </w:rPr>
        <w:t xml:space="preserve">ꎻ </w:t>
      </w:r>
      <w:r>
        <w:rPr>
          <w:spacing w:val="3"/>
        </w:rPr>
        <w:t>情节特别严重的</w:t>
      </w:r>
      <w:r>
        <w:rPr>
          <w:rFonts w:hint="eastAsia" w:ascii="MS UI Gothic" w:eastAsia="MS UI Gothic"/>
          <w:spacing w:val="23"/>
          <w:w w:val="80"/>
        </w:rPr>
        <w:t xml:space="preserve">ꎬ </w:t>
      </w:r>
      <w:r>
        <w:rPr>
          <w:spacing w:val="2"/>
        </w:rPr>
        <w:t>处三年以</w:t>
      </w:r>
      <w:r>
        <w:rPr>
          <w:spacing w:val="3"/>
        </w:rPr>
        <w:t>上七年以下有期徒刑</w:t>
      </w:r>
      <w:r>
        <w:rPr>
          <w:rFonts w:hint="eastAsia" w:ascii="MS UI Gothic" w:eastAsia="MS UI Gothic"/>
          <w:spacing w:val="1"/>
          <w:w w:val="80"/>
        </w:rPr>
        <w:t xml:space="preserve">ꎬ </w:t>
      </w:r>
      <w:r>
        <w:rPr>
          <w:spacing w:val="3"/>
        </w:rPr>
        <w:t>并处罚金</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21"/>
        </w:rPr>
        <w:t>【</w:t>
      </w:r>
      <w:r>
        <w:rPr>
          <w:spacing w:val="4"/>
        </w:rPr>
        <w:t>破坏性采矿罪</w:t>
      </w:r>
      <w:r>
        <w:rPr>
          <w:rFonts w:hint="eastAsia" w:ascii="MS UI Gothic" w:eastAsia="MS UI Gothic"/>
          <w:spacing w:val="10"/>
        </w:rPr>
        <w:t xml:space="preserve">】 </w:t>
      </w:r>
      <w:r>
        <w:rPr>
          <w:spacing w:val="7"/>
        </w:rPr>
        <w:t>违反矿产资源法的</w:t>
      </w:r>
      <w:r>
        <w:rPr>
          <w:spacing w:val="3"/>
        </w:rPr>
        <w:t>规定</w:t>
      </w:r>
      <w:r>
        <w:rPr>
          <w:rFonts w:hint="eastAsia" w:ascii="MS UI Gothic" w:eastAsia="MS UI Gothic"/>
          <w:spacing w:val="20"/>
          <w:w w:val="80"/>
        </w:rPr>
        <w:t xml:space="preserve">ꎬ </w:t>
      </w:r>
      <w:r>
        <w:rPr>
          <w:spacing w:val="2"/>
        </w:rPr>
        <w:t>采取破坏性的开采方法开采矿产资</w:t>
      </w:r>
      <w:r>
        <w:rPr>
          <w:spacing w:val="3"/>
        </w:rPr>
        <w:t>源</w:t>
      </w:r>
      <w:r>
        <w:rPr>
          <w:rFonts w:hint="eastAsia" w:ascii="MS UI Gothic" w:eastAsia="MS UI Gothic"/>
          <w:spacing w:val="23"/>
          <w:w w:val="80"/>
        </w:rPr>
        <w:t xml:space="preserve">ꎬ </w:t>
      </w:r>
      <w:r>
        <w:rPr>
          <w:spacing w:val="3"/>
        </w:rPr>
        <w:t>造成矿产资源严重破坏的</w:t>
      </w:r>
      <w:r>
        <w:rPr>
          <w:rFonts w:hint="eastAsia" w:ascii="MS UI Gothic" w:eastAsia="MS UI Gothic"/>
          <w:spacing w:val="23"/>
          <w:w w:val="80"/>
        </w:rPr>
        <w:t xml:space="preserve">ꎬ </w:t>
      </w:r>
      <w:r>
        <w:rPr>
          <w:spacing w:val="2"/>
        </w:rPr>
        <w:t>处五年以</w:t>
      </w:r>
      <w:r>
        <w:rPr>
          <w:spacing w:val="3"/>
        </w:rPr>
        <w:t>下有期徒刑或者拘役</w:t>
      </w:r>
      <w:r>
        <w:rPr>
          <w:rFonts w:hint="eastAsia" w:ascii="MS UI Gothic" w:eastAsia="MS UI Gothic"/>
          <w:spacing w:val="1"/>
          <w:w w:val="80"/>
        </w:rPr>
        <w:t xml:space="preserve">ꎬ </w:t>
      </w:r>
      <w:r>
        <w:rPr>
          <w:spacing w:val="3"/>
        </w:rPr>
        <w:t>并处罚金</w:t>
      </w:r>
      <w:r>
        <w:rPr>
          <w:rFonts w:hint="eastAsia" w:ascii="MS UI Gothic" w:eastAsia="MS UI Gothic"/>
          <w:w w:val="80"/>
        </w:rPr>
        <w:t>ꎮ</w:t>
      </w:r>
    </w:p>
    <w:p>
      <w:pPr>
        <w:pStyle w:val="6"/>
        <w:spacing w:line="295" w:lineRule="auto"/>
        <w:ind w:left="381" w:right="126"/>
        <w:rPr>
          <w:rFonts w:hint="eastAsia" w:ascii="MS UI Gothic" w:eastAsia="MS UI Gothic"/>
        </w:rPr>
      </w:pPr>
      <w:r>
        <w:t xml:space="preserve">第三百八十九条  </w:t>
      </w:r>
      <w:r>
        <w:rPr>
          <w:rFonts w:hint="eastAsia" w:ascii="MS UI Gothic" w:eastAsia="MS UI Gothic"/>
        </w:rPr>
        <w:t>【</w:t>
      </w:r>
      <w:r>
        <w:t>行贿罪</w:t>
      </w:r>
      <w:r>
        <w:rPr>
          <w:rFonts w:hint="eastAsia" w:ascii="MS UI Gothic" w:eastAsia="MS UI Gothic"/>
        </w:rPr>
        <w:t xml:space="preserve">】  </w:t>
      </w:r>
      <w:r>
        <w:t>为谋取不正当利益</w:t>
      </w:r>
      <w:r>
        <w:rPr>
          <w:rFonts w:hint="eastAsia" w:ascii="MS UI Gothic" w:eastAsia="MS UI Gothic"/>
          <w:w w:val="80"/>
        </w:rPr>
        <w:t xml:space="preserve">ꎬ </w:t>
      </w:r>
      <w:r>
        <w:t>给予国家工作人员以财物的</w:t>
      </w:r>
      <w:r>
        <w:rPr>
          <w:rFonts w:hint="eastAsia" w:ascii="MS UI Gothic" w:eastAsia="MS UI Gothic"/>
          <w:w w:val="80"/>
        </w:rPr>
        <w:t xml:space="preserve">ꎬ </w:t>
      </w:r>
      <w:r>
        <w:t>是行贿罪</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在经往来中</w:t>
      </w:r>
      <w:r>
        <w:rPr>
          <w:rFonts w:hint="eastAsia" w:ascii="MS UI Gothic" w:eastAsia="MS UI Gothic"/>
          <w:spacing w:val="20"/>
          <w:w w:val="80"/>
        </w:rPr>
        <w:t xml:space="preserve">ꎬ </w:t>
      </w:r>
      <w:r>
        <w:rPr>
          <w:spacing w:val="3"/>
        </w:rPr>
        <w:t>违反国家规定</w:t>
      </w:r>
      <w:r>
        <w:rPr>
          <w:rFonts w:hint="eastAsia" w:ascii="MS UI Gothic" w:eastAsia="MS UI Gothic"/>
          <w:spacing w:val="21"/>
          <w:w w:val="80"/>
        </w:rPr>
        <w:t xml:space="preserve">ꎬ </w:t>
      </w:r>
      <w:r>
        <w:rPr>
          <w:spacing w:val="2"/>
        </w:rPr>
        <w:t>给予国</w:t>
      </w:r>
      <w:r>
        <w:rPr>
          <w:spacing w:val="3"/>
        </w:rPr>
        <w:t>家工作人员以财物</w:t>
      </w:r>
      <w:r>
        <w:rPr>
          <w:rFonts w:hint="eastAsia" w:ascii="MS UI Gothic" w:eastAsia="MS UI Gothic"/>
          <w:spacing w:val="23"/>
          <w:w w:val="80"/>
        </w:rPr>
        <w:t xml:space="preserve">ꎬ </w:t>
      </w:r>
      <w:r>
        <w:rPr>
          <w:spacing w:val="3"/>
        </w:rPr>
        <w:t>数额较大的</w:t>
      </w:r>
      <w:r>
        <w:rPr>
          <w:rFonts w:hint="eastAsia" w:ascii="MS UI Gothic" w:eastAsia="MS UI Gothic"/>
          <w:spacing w:val="23"/>
          <w:w w:val="80"/>
        </w:rPr>
        <w:t xml:space="preserve">ꎬ </w:t>
      </w:r>
      <w:r>
        <w:rPr>
          <w:spacing w:val="2"/>
        </w:rPr>
        <w:t>或者违</w:t>
      </w:r>
      <w:r>
        <w:rPr>
          <w:spacing w:val="3"/>
        </w:rPr>
        <w:t>反国家规定</w:t>
      </w:r>
      <w:r>
        <w:rPr>
          <w:rFonts w:hint="eastAsia" w:ascii="MS UI Gothic" w:eastAsia="MS UI Gothic"/>
          <w:spacing w:val="20"/>
          <w:w w:val="80"/>
        </w:rPr>
        <w:t xml:space="preserve">ꎬ </w:t>
      </w:r>
      <w:r>
        <w:rPr>
          <w:spacing w:val="2"/>
        </w:rPr>
        <w:t>给予国家工作人员以各种名</w:t>
      </w:r>
      <w:r>
        <w:rPr>
          <w:spacing w:val="3"/>
        </w:rPr>
        <w:t>义的回扣</w:t>
      </w:r>
      <w:r>
        <w:rPr>
          <w:rFonts w:hint="eastAsia" w:ascii="MS UI Gothic" w:eastAsia="MS UI Gothic"/>
          <w:spacing w:val="17"/>
        </w:rPr>
        <w:t xml:space="preserve">、 </w:t>
      </w:r>
      <w:r>
        <w:rPr>
          <w:spacing w:val="3"/>
        </w:rPr>
        <w:t>手续费的</w:t>
      </w:r>
      <w:r>
        <w:rPr>
          <w:rFonts w:hint="eastAsia" w:ascii="MS UI Gothic" w:eastAsia="MS UI Gothic"/>
          <w:spacing w:val="23"/>
          <w:w w:val="80"/>
        </w:rPr>
        <w:t xml:space="preserve">ꎬ </w:t>
      </w:r>
      <w:r>
        <w:rPr>
          <w:spacing w:val="3"/>
        </w:rPr>
        <w:t>以行贿论处</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6"/>
        </w:rPr>
        <w:t>因被勒索给予国家工作人员以财物</w:t>
      </w:r>
      <w:r>
        <w:rPr>
          <w:rFonts w:hint="eastAsia" w:ascii="MS UI Gothic" w:eastAsia="MS UI Gothic"/>
          <w:w w:val="80"/>
        </w:rPr>
        <w:t>ꎬ</w:t>
      </w:r>
      <w:r>
        <w:rPr>
          <w:spacing w:val="3"/>
        </w:rPr>
        <w:t>没有获得不正当利益的</w:t>
      </w:r>
      <w:r>
        <w:rPr>
          <w:rFonts w:hint="eastAsia" w:ascii="MS UI Gothic" w:eastAsia="MS UI Gothic"/>
          <w:spacing w:val="1"/>
          <w:w w:val="80"/>
        </w:rPr>
        <w:t xml:space="preserve">ꎬ </w:t>
      </w:r>
      <w:r>
        <w:rPr>
          <w:spacing w:val="3"/>
        </w:rPr>
        <w:t>不是行贿</w:t>
      </w:r>
      <w:r>
        <w:rPr>
          <w:rFonts w:hint="eastAsia" w:ascii="MS UI Gothic" w:eastAsia="MS UI Gothic"/>
          <w:w w:val="80"/>
        </w:rPr>
        <w:t>ꎮ</w:t>
      </w:r>
    </w:p>
    <w:p>
      <w:pPr>
        <w:pStyle w:val="6"/>
        <w:spacing w:line="295" w:lineRule="auto"/>
        <w:ind w:left="381" w:right="126"/>
        <w:rPr>
          <w:rFonts w:hint="eastAsia" w:ascii="MS UI Gothic" w:eastAsia="MS UI Gothic"/>
        </w:rPr>
      </w:pPr>
      <w:r>
        <w:pict>
          <v:shape id="_x0000_s1098" o:spid="_x0000_s1098" o:spt="202" type="#_x0000_t202" style="position:absolute;left:0pt;margin-left:280.6pt;margin-top:12pt;height:24.35pt;width:5.15pt;mso-position-horizontal-relative:page;z-index:-27607756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102"/>
                    </w:rPr>
                    <w:t>【</w:t>
                  </w:r>
                </w:p>
              </w:txbxContent>
            </v:textbox>
          </v:shape>
        </w:pict>
      </w:r>
      <w:r>
        <w:t xml:space="preserve">第三百九十七条   </w:t>
      </w:r>
      <w:r>
        <w:rPr>
          <w:rFonts w:hint="eastAsia" w:ascii="MS UI Gothic" w:eastAsia="MS UI Gothic"/>
        </w:rPr>
        <w:t>【</w:t>
      </w:r>
      <w:r>
        <w:t>滥用职权罪</w:t>
      </w:r>
      <w:r>
        <w:rPr>
          <w:rFonts w:hint="eastAsia" w:ascii="MS UI Gothic" w:eastAsia="MS UI Gothic"/>
        </w:rPr>
        <w:t>】</w:t>
      </w:r>
      <w:r>
        <w:t>玩忽职守罪</w:t>
      </w:r>
      <w:r>
        <w:rPr>
          <w:rFonts w:hint="eastAsia" w:ascii="MS UI Gothic" w:eastAsia="MS UI Gothic"/>
        </w:rPr>
        <w:t xml:space="preserve">】  </w:t>
      </w:r>
      <w:r>
        <w:t>国家机关工作人员滥用职权或者玩忽职守</w:t>
      </w:r>
      <w:r>
        <w:rPr>
          <w:rFonts w:hint="eastAsia" w:ascii="MS UI Gothic" w:eastAsia="MS UI Gothic"/>
          <w:w w:val="80"/>
        </w:rPr>
        <w:t xml:space="preserve">ꎬ </w:t>
      </w:r>
      <w:r>
        <w:t>致使公共财产</w:t>
      </w:r>
      <w:r>
        <w:rPr>
          <w:rFonts w:hint="eastAsia" w:ascii="MS UI Gothic" w:eastAsia="MS UI Gothic"/>
          <w:w w:val="80"/>
        </w:rPr>
        <w:t xml:space="preserve">、 </w:t>
      </w:r>
      <w:r>
        <w:t>国家和人民利益遭受重大损失的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情节特别严重的</w:t>
      </w:r>
      <w:r>
        <w:rPr>
          <w:rFonts w:hint="eastAsia" w:ascii="MS UI Gothic" w:eastAsia="MS UI Gothic"/>
          <w:w w:val="80"/>
        </w:rPr>
        <w:t xml:space="preserve">ꎬ </w:t>
      </w:r>
      <w:r>
        <w:t>处三年以上七年以下有期徒刑</w:t>
      </w:r>
      <w:r>
        <w:rPr>
          <w:rFonts w:hint="eastAsia" w:ascii="MS UI Gothic" w:eastAsia="MS UI Gothic"/>
          <w:w w:val="80"/>
        </w:rPr>
        <w:t xml:space="preserve">ꎮ </w:t>
      </w:r>
      <w:r>
        <w:t>本法另有规定的</w:t>
      </w:r>
      <w:r>
        <w:rPr>
          <w:rFonts w:hint="eastAsia" w:ascii="MS UI Gothic" w:eastAsia="MS UI Gothic"/>
          <w:w w:val="80"/>
        </w:rPr>
        <w:t xml:space="preserve">ꎬ </w:t>
      </w:r>
      <w:r>
        <w:t>依照规定</w:t>
      </w:r>
      <w:r>
        <w:rPr>
          <w:rFonts w:hint="eastAsia" w:ascii="MS UI Gothic" w:eastAsia="MS UI Gothic"/>
          <w:w w:val="80"/>
        </w:rPr>
        <w:t>ꎮ</w:t>
      </w:r>
    </w:p>
    <w:p>
      <w:pPr>
        <w:pStyle w:val="6"/>
        <w:spacing w:line="295" w:lineRule="auto"/>
        <w:ind w:left="381" w:right="126"/>
        <w:rPr>
          <w:rFonts w:hint="eastAsia" w:ascii="MS UI Gothic" w:eastAsia="MS UI Gothic"/>
        </w:rPr>
      </w:pPr>
      <w:r>
        <w:t>国家机关工作人员徇私舞弊</w:t>
      </w:r>
      <w:r>
        <w:rPr>
          <w:rFonts w:hint="eastAsia" w:ascii="MS UI Gothic" w:eastAsia="MS UI Gothic"/>
          <w:w w:val="80"/>
        </w:rPr>
        <w:t xml:space="preserve">ꎬ </w:t>
      </w:r>
      <w:r>
        <w:t>犯前款罪的</w:t>
      </w:r>
      <w:r>
        <w:rPr>
          <w:rFonts w:hint="eastAsia" w:ascii="MS UI Gothic" w:eastAsia="MS UI Gothic"/>
          <w:w w:val="80"/>
        </w:rPr>
        <w:t xml:space="preserve">ꎬ </w:t>
      </w:r>
      <w:r>
        <w:t>处五年以下有期徒刑或者拘役</w:t>
      </w:r>
      <w:r>
        <w:rPr>
          <w:rFonts w:hint="eastAsia" w:ascii="MS UI Gothic" w:eastAsia="MS UI Gothic"/>
          <w:w w:val="80"/>
        </w:rPr>
        <w:t xml:space="preserve">ꎻ </w:t>
      </w:r>
      <w:r>
        <w:t>情节特别严重的</w:t>
      </w:r>
      <w:r>
        <w:rPr>
          <w:rFonts w:hint="eastAsia" w:ascii="MS UI Gothic" w:eastAsia="MS UI Gothic"/>
          <w:w w:val="80"/>
        </w:rPr>
        <w:t xml:space="preserve">ꎬ </w:t>
      </w:r>
      <w:r>
        <w:t>处五年以上十年以下有期徒刑</w:t>
      </w:r>
      <w:r>
        <w:rPr>
          <w:rFonts w:hint="eastAsia" w:ascii="MS UI Gothic" w:eastAsia="MS UI Gothic"/>
          <w:w w:val="80"/>
        </w:rPr>
        <w:t xml:space="preserve">ꎮ </w:t>
      </w:r>
      <w:r>
        <w:t>本法另有规定的</w:t>
      </w:r>
      <w:r>
        <w:rPr>
          <w:rFonts w:hint="eastAsia" w:ascii="MS UI Gothic" w:eastAsia="MS UI Gothic"/>
          <w:w w:val="80"/>
        </w:rPr>
        <w:t xml:space="preserve">ꎬ </w:t>
      </w:r>
      <w:r>
        <w:t>依照规定</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１６</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099" o:spid="_x0000_s1099" o:spt="203" style="height:2.15pt;width:398.25pt;" coordsize="7965,43">
            <o:lock v:ext="edit"/>
            <v:line id="_x0000_s1100" o:spid="_x0000_s1100" o:spt="20" style="position:absolute;left:0;top:39;height:0;width:7965;" stroked="t" coordsize="21600,21600">
              <v:path arrowok="t"/>
              <v:fill focussize="0,0"/>
              <v:stroke weight="0.388031496062992pt" color="#231F20"/>
              <v:imagedata o:title=""/>
              <o:lock v:ext="edit"/>
            </v:line>
            <v:line id="_x0000_s1101" o:spid="_x0000_s110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pPr>
      <w:r>
        <w:rPr>
          <w:w w:val="105"/>
        </w:rPr>
        <w:t xml:space="preserve">第四百零二条 </w:t>
      </w:r>
      <w:r>
        <w:rPr>
          <w:rFonts w:hint="eastAsia" w:ascii="MS UI Gothic" w:eastAsia="MS UI Gothic"/>
          <w:w w:val="105"/>
        </w:rPr>
        <w:t>【</w:t>
      </w:r>
      <w:r>
        <w:rPr>
          <w:w w:val="105"/>
        </w:rPr>
        <w:t>徇私舞弊不移交</w:t>
      </w:r>
      <w:r>
        <w:t>刑事案件罪</w:t>
      </w:r>
      <w:r>
        <w:rPr>
          <w:rFonts w:hint="eastAsia" w:ascii="MS UI Gothic" w:eastAsia="MS UI Gothic"/>
        </w:rPr>
        <w:t xml:space="preserve">】 </w:t>
      </w:r>
      <w:r>
        <w:t>行政执法人员徇私舞弊</w:t>
      </w:r>
      <w:r>
        <w:rPr>
          <w:rFonts w:hint="eastAsia" w:ascii="MS UI Gothic" w:eastAsia="MS UI Gothic"/>
          <w:w w:val="80"/>
        </w:rPr>
        <w:t>ꎬ</w:t>
      </w:r>
      <w:r>
        <w:t>对依法应当移交司法机关追究刑事责任的</w:t>
      </w:r>
    </w:p>
    <w:p>
      <w:pPr>
        <w:pStyle w:val="6"/>
        <w:spacing w:before="123" w:line="295" w:lineRule="auto"/>
        <w:ind w:right="442" w:firstLine="0"/>
        <w:rPr>
          <w:rFonts w:hint="eastAsia" w:ascii="MS UI Gothic" w:eastAsia="MS UI Gothic"/>
        </w:rPr>
      </w:pPr>
      <w:r>
        <w:br w:type="column"/>
      </w:r>
      <w:r>
        <w:t>不移交</w:t>
      </w:r>
      <w:r>
        <w:rPr>
          <w:rFonts w:hint="eastAsia" w:ascii="MS UI Gothic" w:eastAsia="MS UI Gothic"/>
          <w:w w:val="80"/>
        </w:rPr>
        <w:t xml:space="preserve">ꎬ </w:t>
      </w:r>
      <w:r>
        <w:t>情节严重的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造成严重后果的</w:t>
      </w:r>
      <w:r>
        <w:rPr>
          <w:rFonts w:hint="eastAsia" w:ascii="MS UI Gothic" w:eastAsia="MS UI Gothic"/>
          <w:w w:val="80"/>
        </w:rPr>
        <w:t xml:space="preserve">ꎬ </w:t>
      </w:r>
      <w:r>
        <w:t>处三年以上七年以下有期徒刑</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7"/>
        <w:ind w:left="0" w:firstLine="0"/>
        <w:jc w:val="left"/>
        <w:rPr>
          <w:rFonts w:ascii="MS UI Gothic"/>
          <w:sz w:val="17"/>
        </w:rPr>
      </w:pPr>
    </w:p>
    <w:p>
      <w:pPr>
        <w:pStyle w:val="4"/>
        <w:tabs>
          <w:tab w:val="left" w:pos="1956"/>
          <w:tab w:val="left" w:pos="4191"/>
          <w:tab w:val="left" w:pos="5309"/>
        </w:tabs>
        <w:spacing w:before="74"/>
        <w:ind w:left="0" w:right="320"/>
      </w:pPr>
      <w:r>
        <w:rPr>
          <w:spacing w:val="5"/>
        </w:rPr>
        <w:t>最高人民法</w:t>
      </w:r>
      <w:r>
        <w:t>院</w:t>
      </w:r>
      <w:r>
        <w:tab/>
      </w:r>
      <w:r>
        <w:rPr>
          <w:spacing w:val="5"/>
        </w:rPr>
        <w:t>最高人民检察</w:t>
      </w:r>
      <w:r>
        <w:t>院</w:t>
      </w:r>
      <w:r>
        <w:tab/>
      </w:r>
      <w:r>
        <w:rPr>
          <w:spacing w:val="5"/>
        </w:rPr>
        <w:t>公安</w:t>
      </w:r>
      <w:r>
        <w:t>部</w:t>
      </w:r>
      <w:r>
        <w:tab/>
      </w:r>
      <w:r>
        <w:rPr>
          <w:spacing w:val="5"/>
        </w:rPr>
        <w:t>司法</w:t>
      </w:r>
      <w:r>
        <w:t>部</w:t>
      </w:r>
    </w:p>
    <w:p>
      <w:pPr>
        <w:spacing w:before="38" w:line="266" w:lineRule="auto"/>
        <w:ind w:left="600" w:right="920" w:firstLine="0"/>
        <w:jc w:val="center"/>
        <w:rPr>
          <w:sz w:val="27"/>
        </w:rPr>
      </w:pPr>
      <w:r>
        <w:rPr>
          <w:sz w:val="27"/>
        </w:rPr>
        <w:t xml:space="preserve">印发 </w:t>
      </w:r>
      <w:r>
        <w:rPr>
          <w:rFonts w:hint="eastAsia" w:ascii="MS UI Gothic" w:hAnsi="MS UI Gothic" w:eastAsia="MS UI Gothic"/>
          <w:sz w:val="27"/>
        </w:rPr>
        <w:t xml:space="preserve">« </w:t>
      </w:r>
      <w:r>
        <w:rPr>
          <w:sz w:val="27"/>
        </w:rPr>
        <w:t>关于依法惩治妨害新型冠状病毒感染肺炎疫情防控违法犯罪的意见</w:t>
      </w:r>
      <w:r>
        <w:rPr>
          <w:rFonts w:hint="eastAsia" w:ascii="MS UI Gothic" w:hAnsi="MS UI Gothic" w:eastAsia="MS UI Gothic"/>
          <w:sz w:val="27"/>
        </w:rPr>
        <w:t xml:space="preserve">» </w:t>
      </w:r>
      <w:r>
        <w:rPr>
          <w:sz w:val="27"/>
        </w:rPr>
        <w:t>的通知</w:t>
      </w:r>
    </w:p>
    <w:p>
      <w:pPr>
        <w:pStyle w:val="6"/>
        <w:spacing w:before="329" w:line="295" w:lineRule="auto"/>
        <w:ind w:right="442" w:firstLine="0"/>
        <w:rPr>
          <w:rFonts w:hint="eastAsia" w:ascii="MS UI Gothic" w:eastAsia="MS UI Gothic"/>
        </w:rPr>
      </w:pPr>
      <w:r>
        <w:rPr>
          <w:spacing w:val="3"/>
          <w:w w:val="105"/>
        </w:rPr>
        <w:t>各省</w:t>
      </w:r>
      <w:r>
        <w:rPr>
          <w:rFonts w:hint="eastAsia" w:ascii="MS UI Gothic" w:eastAsia="MS UI Gothic"/>
          <w:spacing w:val="20"/>
          <w:w w:val="80"/>
        </w:rPr>
        <w:t xml:space="preserve">、 </w:t>
      </w:r>
      <w:r>
        <w:rPr>
          <w:spacing w:val="3"/>
          <w:w w:val="105"/>
        </w:rPr>
        <w:t>自治区</w:t>
      </w:r>
      <w:r>
        <w:rPr>
          <w:rFonts w:hint="eastAsia" w:ascii="MS UI Gothic" w:eastAsia="MS UI Gothic"/>
          <w:spacing w:val="20"/>
          <w:w w:val="80"/>
        </w:rPr>
        <w:t xml:space="preserve">、 </w:t>
      </w:r>
      <w:r>
        <w:rPr>
          <w:spacing w:val="5"/>
          <w:w w:val="105"/>
        </w:rPr>
        <w:t>直辖市高级人民法院</w:t>
      </w:r>
      <w:r>
        <w:rPr>
          <w:rFonts w:hint="eastAsia" w:ascii="MS UI Gothic" w:eastAsia="MS UI Gothic"/>
          <w:spacing w:val="22"/>
          <w:w w:val="80"/>
        </w:rPr>
        <w:t xml:space="preserve">、 </w:t>
      </w:r>
      <w:r>
        <w:rPr>
          <w:spacing w:val="7"/>
          <w:w w:val="105"/>
        </w:rPr>
        <w:t>人民检察院</w:t>
      </w:r>
      <w:r>
        <w:rPr>
          <w:rFonts w:hint="eastAsia" w:ascii="MS UI Gothic" w:eastAsia="MS UI Gothic"/>
          <w:spacing w:val="22"/>
          <w:w w:val="80"/>
        </w:rPr>
        <w:t xml:space="preserve">、 </w:t>
      </w:r>
      <w:r>
        <w:rPr>
          <w:spacing w:val="2"/>
          <w:w w:val="105"/>
        </w:rPr>
        <w:t xml:space="preserve">公安厅 </w:t>
      </w:r>
      <w:r>
        <w:rPr>
          <w:rFonts w:hint="eastAsia" w:ascii="MS UI Gothic" w:eastAsia="MS UI Gothic"/>
          <w:spacing w:val="-35"/>
          <w:w w:val="150"/>
        </w:rPr>
        <w:t xml:space="preserve">( </w:t>
      </w:r>
      <w:r>
        <w:rPr>
          <w:spacing w:val="7"/>
          <w:w w:val="105"/>
        </w:rPr>
        <w:t>局</w:t>
      </w:r>
      <w:r>
        <w:rPr>
          <w:rFonts w:hint="eastAsia" w:ascii="MS UI Gothic" w:eastAsia="MS UI Gothic"/>
          <w:spacing w:val="21"/>
          <w:w w:val="150"/>
        </w:rPr>
        <w:t>)</w:t>
      </w:r>
      <w:r>
        <w:rPr>
          <w:rFonts w:hint="eastAsia" w:ascii="MS UI Gothic" w:eastAsia="MS UI Gothic"/>
          <w:spacing w:val="22"/>
          <w:w w:val="80"/>
        </w:rPr>
        <w:t xml:space="preserve">、 </w:t>
      </w:r>
      <w:r>
        <w:rPr>
          <w:spacing w:val="3"/>
          <w:w w:val="105"/>
        </w:rPr>
        <w:t xml:space="preserve">司法厅 </w:t>
      </w:r>
      <w:r>
        <w:rPr>
          <w:rFonts w:hint="eastAsia" w:ascii="MS UI Gothic" w:eastAsia="MS UI Gothic"/>
          <w:spacing w:val="-34"/>
          <w:w w:val="150"/>
        </w:rPr>
        <w:t xml:space="preserve">( </w:t>
      </w:r>
      <w:r>
        <w:rPr>
          <w:spacing w:val="9"/>
          <w:w w:val="105"/>
        </w:rPr>
        <w:t>局</w:t>
      </w:r>
      <w:r>
        <w:rPr>
          <w:rFonts w:hint="eastAsia" w:ascii="MS UI Gothic" w:eastAsia="MS UI Gothic"/>
          <w:spacing w:val="-37"/>
          <w:w w:val="150"/>
        </w:rPr>
        <w:t xml:space="preserve">) </w:t>
      </w:r>
      <w:r>
        <w:rPr>
          <w:rFonts w:hint="eastAsia" w:ascii="MS UI Gothic" w:eastAsia="MS UI Gothic"/>
          <w:spacing w:val="23"/>
          <w:w w:val="80"/>
        </w:rPr>
        <w:t xml:space="preserve">ꎬ </w:t>
      </w:r>
      <w:r>
        <w:rPr>
          <w:w w:val="105"/>
        </w:rPr>
        <w:t>解</w:t>
      </w:r>
      <w:r>
        <w:rPr>
          <w:spacing w:val="3"/>
          <w:w w:val="105"/>
        </w:rPr>
        <w:t>放军军事法院</w:t>
      </w:r>
      <w:r>
        <w:rPr>
          <w:rFonts w:hint="eastAsia" w:ascii="MS UI Gothic" w:eastAsia="MS UI Gothic"/>
          <w:spacing w:val="-3"/>
          <w:w w:val="80"/>
        </w:rPr>
        <w:t xml:space="preserve">、 </w:t>
      </w:r>
      <w:r>
        <w:rPr>
          <w:spacing w:val="3"/>
          <w:w w:val="105"/>
        </w:rPr>
        <w:t>军事检察院</w:t>
      </w:r>
      <w:r>
        <w:rPr>
          <w:rFonts w:hint="eastAsia" w:ascii="MS UI Gothic" w:eastAsia="MS UI Gothic"/>
          <w:spacing w:val="-3"/>
          <w:w w:val="80"/>
        </w:rPr>
        <w:t xml:space="preserve">ꎬ </w:t>
      </w:r>
      <w:r>
        <w:rPr>
          <w:spacing w:val="3"/>
          <w:w w:val="105"/>
        </w:rPr>
        <w:t>新疆维吾尔自治区高级人民法院生产建设兵团分院</w:t>
      </w:r>
      <w:r>
        <w:rPr>
          <w:rFonts w:hint="eastAsia" w:ascii="MS UI Gothic" w:eastAsia="MS UI Gothic"/>
          <w:spacing w:val="-3"/>
          <w:w w:val="80"/>
        </w:rPr>
        <w:t xml:space="preserve">、 </w:t>
      </w:r>
      <w:r>
        <w:rPr>
          <w:spacing w:val="1"/>
          <w:w w:val="105"/>
        </w:rPr>
        <w:t>新疆</w:t>
      </w:r>
      <w:r>
        <w:rPr>
          <w:spacing w:val="3"/>
          <w:w w:val="105"/>
        </w:rPr>
        <w:t>生产建设兵团人民检察院</w:t>
      </w:r>
      <w:r>
        <w:rPr>
          <w:rFonts w:hint="eastAsia" w:ascii="MS UI Gothic" w:eastAsia="MS UI Gothic"/>
          <w:spacing w:val="3"/>
          <w:w w:val="80"/>
        </w:rPr>
        <w:t xml:space="preserve">、 </w:t>
      </w:r>
      <w:r>
        <w:rPr>
          <w:spacing w:val="3"/>
          <w:w w:val="105"/>
        </w:rPr>
        <w:t>公安局</w:t>
      </w:r>
      <w:r>
        <w:rPr>
          <w:rFonts w:hint="eastAsia" w:ascii="MS UI Gothic" w:eastAsia="MS UI Gothic"/>
          <w:spacing w:val="3"/>
          <w:w w:val="80"/>
        </w:rPr>
        <w:t xml:space="preserve">、 </w:t>
      </w:r>
      <w:r>
        <w:rPr>
          <w:spacing w:val="3"/>
          <w:w w:val="105"/>
        </w:rPr>
        <w:t>司法局</w:t>
      </w:r>
      <w:r>
        <w:rPr>
          <w:rFonts w:hint="eastAsia" w:ascii="MS UI Gothic" w:eastAsia="MS UI Gothic"/>
          <w:w w:val="235"/>
        </w:rPr>
        <w:t>:</w:t>
      </w:r>
    </w:p>
    <w:p>
      <w:pPr>
        <w:pStyle w:val="6"/>
        <w:spacing w:line="295" w:lineRule="auto"/>
        <w:ind w:right="442"/>
      </w:pPr>
      <w:r>
        <w:rPr>
          <w:w w:val="95"/>
        </w:rPr>
        <w:t xml:space="preserve">为贯彻落实 </w:t>
      </w:r>
      <w:r>
        <w:rPr>
          <w:rFonts w:hint="eastAsia" w:ascii="MS UI Gothic" w:hAnsi="MS UI Gothic" w:eastAsia="MS UI Gothic"/>
          <w:w w:val="95"/>
        </w:rPr>
        <w:t xml:space="preserve">２０２０ </w:t>
      </w:r>
      <w:r>
        <w:rPr>
          <w:w w:val="95"/>
        </w:rPr>
        <w:t xml:space="preserve">年 </w:t>
      </w:r>
      <w:r>
        <w:rPr>
          <w:rFonts w:hint="eastAsia" w:ascii="MS UI Gothic" w:hAnsi="MS UI Gothic" w:eastAsia="MS UI Gothic"/>
          <w:w w:val="95"/>
        </w:rPr>
        <w:t xml:space="preserve">２ </w:t>
      </w:r>
      <w:r>
        <w:rPr>
          <w:w w:val="95"/>
        </w:rPr>
        <w:t xml:space="preserve">月 </w:t>
      </w:r>
      <w:r>
        <w:rPr>
          <w:rFonts w:hint="eastAsia" w:ascii="MS UI Gothic" w:hAnsi="MS UI Gothic" w:eastAsia="MS UI Gothic"/>
          <w:w w:val="95"/>
        </w:rPr>
        <w:t xml:space="preserve">５ </w:t>
      </w:r>
      <w:r>
        <w:rPr>
          <w:w w:val="95"/>
        </w:rPr>
        <w:t xml:space="preserve">日中央全面依法治国委员会第三次会议审议通过的 </w:t>
      </w:r>
      <w:r>
        <w:rPr>
          <w:rFonts w:hint="eastAsia" w:ascii="MS UI Gothic" w:hAnsi="MS UI Gothic" w:eastAsia="MS UI Gothic"/>
          <w:w w:val="95"/>
        </w:rPr>
        <w:t xml:space="preserve">« </w:t>
      </w:r>
      <w:r>
        <w:rPr>
          <w:w w:val="95"/>
        </w:rPr>
        <w:t>中央全面依法治国委员会关于依法防控新型冠状病毒感染肺炎疫情</w:t>
      </w:r>
      <w:r>
        <w:rPr>
          <w:rFonts w:hint="eastAsia" w:ascii="MS UI Gothic" w:hAnsi="MS UI Gothic" w:eastAsia="MS UI Gothic"/>
          <w:w w:val="95"/>
        </w:rPr>
        <w:t xml:space="preserve">、        </w:t>
      </w:r>
      <w:r>
        <w:rPr>
          <w:w w:val="95"/>
        </w:rPr>
        <w:t>切实保障人民群众生命健康安全的意见</w:t>
      </w:r>
      <w:r>
        <w:rPr>
          <w:rFonts w:hint="eastAsia" w:ascii="MS UI Gothic" w:hAnsi="MS UI Gothic" w:eastAsia="MS UI Gothic"/>
          <w:w w:val="95"/>
        </w:rPr>
        <w:t xml:space="preserve">» </w:t>
      </w:r>
      <w:r>
        <w:rPr>
          <w:rFonts w:hint="eastAsia" w:ascii="MS UI Gothic" w:hAnsi="MS UI Gothic" w:eastAsia="MS UI Gothic"/>
          <w:w w:val="90"/>
        </w:rPr>
        <w:t xml:space="preserve">ꎬ </w:t>
      </w:r>
      <w:r>
        <w:rPr>
          <w:w w:val="95"/>
        </w:rPr>
        <w:t>最高人民法院</w:t>
      </w:r>
      <w:r>
        <w:rPr>
          <w:rFonts w:hint="eastAsia" w:ascii="MS UI Gothic" w:hAnsi="MS UI Gothic" w:eastAsia="MS UI Gothic"/>
          <w:w w:val="95"/>
        </w:rPr>
        <w:t xml:space="preserve">、 </w:t>
      </w:r>
      <w:r>
        <w:rPr>
          <w:w w:val="95"/>
        </w:rPr>
        <w:t>最高人民检察院</w:t>
      </w:r>
      <w:r>
        <w:rPr>
          <w:rFonts w:hint="eastAsia" w:ascii="MS UI Gothic" w:hAnsi="MS UI Gothic" w:eastAsia="MS UI Gothic"/>
          <w:w w:val="95"/>
        </w:rPr>
        <w:t xml:space="preserve">、 </w:t>
      </w:r>
      <w:r>
        <w:rPr>
          <w:w w:val="95"/>
        </w:rPr>
        <w:t>公安部</w:t>
      </w:r>
      <w:r>
        <w:rPr>
          <w:rFonts w:hint="eastAsia" w:ascii="MS UI Gothic" w:hAnsi="MS UI Gothic" w:eastAsia="MS UI Gothic"/>
          <w:w w:val="95"/>
        </w:rPr>
        <w:t xml:space="preserve">、 </w:t>
      </w:r>
      <w:r>
        <w:rPr>
          <w:w w:val="95"/>
        </w:rPr>
        <w:t>司法部联合制定了</w:t>
      </w:r>
    </w:p>
    <w:p>
      <w:pPr>
        <w:pStyle w:val="6"/>
        <w:spacing w:line="295" w:lineRule="auto"/>
        <w:ind w:right="440" w:firstLine="0"/>
        <w:rPr>
          <w:rFonts w:hint="eastAsia" w:ascii="MS UI Gothic" w:hAnsi="MS UI Gothic" w:eastAsia="MS UI Gothic"/>
        </w:rPr>
      </w:pPr>
      <w:r>
        <w:rPr>
          <w:rFonts w:hint="eastAsia" w:ascii="MS UI Gothic" w:hAnsi="MS UI Gothic" w:eastAsia="MS UI Gothic"/>
          <w:w w:val="80"/>
        </w:rPr>
        <w:t xml:space="preserve">« </w:t>
      </w:r>
      <w:r>
        <w:t>关于依法惩治妨害新型冠状病毒感染肺炎疫情防控违法犯罪的意见</w:t>
      </w:r>
      <w:r>
        <w:rPr>
          <w:rFonts w:hint="eastAsia" w:ascii="MS UI Gothic" w:hAnsi="MS UI Gothic" w:eastAsia="MS UI Gothic"/>
          <w:w w:val="80"/>
        </w:rPr>
        <w:t xml:space="preserve">» ꎮ </w:t>
      </w:r>
      <w:r>
        <w:t>现予以印发</w:t>
      </w:r>
      <w:r>
        <w:rPr>
          <w:rFonts w:hint="eastAsia" w:ascii="MS UI Gothic" w:hAnsi="MS UI Gothic" w:eastAsia="MS UI Gothic"/>
          <w:w w:val="80"/>
        </w:rPr>
        <w:t>ꎬ</w:t>
      </w:r>
      <w:r>
        <w:t>请结合实际认真贯彻执行</w:t>
      </w:r>
      <w:r>
        <w:rPr>
          <w:rFonts w:hint="eastAsia" w:ascii="MS UI Gothic" w:hAnsi="MS UI Gothic" w:eastAsia="MS UI Gothic"/>
          <w:w w:val="80"/>
        </w:rPr>
        <w:t xml:space="preserve">ꎮ </w:t>
      </w:r>
      <w:r>
        <w:t>在执行中遇到的新情况</w:t>
      </w:r>
      <w:r>
        <w:rPr>
          <w:rFonts w:hint="eastAsia" w:ascii="MS UI Gothic" w:hAnsi="MS UI Gothic" w:eastAsia="MS UI Gothic"/>
          <w:w w:val="80"/>
        </w:rPr>
        <w:t xml:space="preserve">、 </w:t>
      </w:r>
      <w:r>
        <w:t>新问题</w:t>
      </w:r>
      <w:r>
        <w:rPr>
          <w:rFonts w:hint="eastAsia" w:ascii="MS UI Gothic" w:hAnsi="MS UI Gothic" w:eastAsia="MS UI Gothic"/>
          <w:w w:val="80"/>
        </w:rPr>
        <w:t xml:space="preserve">ꎬ  </w:t>
      </w:r>
      <w:r>
        <w:t>请及时分别报告最高人民法院</w:t>
      </w:r>
      <w:r>
        <w:rPr>
          <w:rFonts w:hint="eastAsia" w:ascii="MS UI Gothic" w:hAnsi="MS UI Gothic" w:eastAsia="MS UI Gothic"/>
          <w:w w:val="80"/>
        </w:rPr>
        <w:t xml:space="preserve">、 </w:t>
      </w:r>
      <w:r>
        <w:t>最高人民检察院</w:t>
      </w:r>
      <w:r>
        <w:rPr>
          <w:rFonts w:hint="eastAsia" w:ascii="MS UI Gothic" w:hAnsi="MS UI Gothic" w:eastAsia="MS UI Gothic"/>
          <w:w w:val="80"/>
        </w:rPr>
        <w:t xml:space="preserve">、 </w:t>
      </w:r>
      <w:r>
        <w:t>公安部</w:t>
      </w:r>
      <w:r>
        <w:rPr>
          <w:rFonts w:hint="eastAsia" w:ascii="MS UI Gothic" w:hAnsi="MS UI Gothic" w:eastAsia="MS UI Gothic"/>
          <w:w w:val="80"/>
        </w:rPr>
        <w:t xml:space="preserve">、 </w:t>
      </w:r>
      <w:r>
        <w:t>司法部</w:t>
      </w:r>
      <w:r>
        <w:rPr>
          <w:rFonts w:hint="eastAsia" w:ascii="MS UI Gothic" w:hAnsi="MS UI Gothic" w:eastAsia="MS UI Gothic"/>
          <w:w w:val="80"/>
        </w:rPr>
        <w:t>ꎮ</w:t>
      </w:r>
    </w:p>
    <w:p>
      <w:pPr>
        <w:pStyle w:val="6"/>
        <w:tabs>
          <w:tab w:val="left" w:pos="1467"/>
        </w:tabs>
        <w:spacing w:before="307"/>
        <w:ind w:left="0" w:right="442" w:firstLine="0"/>
        <w:jc w:val="right"/>
      </w:pPr>
      <w:r>
        <w:rPr>
          <w:spacing w:val="3"/>
          <w:w w:val="105"/>
        </w:rPr>
        <w:t>最高人民法</w:t>
      </w:r>
      <w:r>
        <w:rPr>
          <w:w w:val="105"/>
        </w:rPr>
        <w:t>院</w:t>
      </w:r>
      <w:r>
        <w:rPr>
          <w:w w:val="105"/>
        </w:rPr>
        <w:tab/>
      </w:r>
      <w:r>
        <w:rPr>
          <w:spacing w:val="3"/>
        </w:rPr>
        <w:t>最高人民检察</w:t>
      </w:r>
      <w:r>
        <w:t>院</w:t>
      </w:r>
    </w:p>
    <w:p>
      <w:pPr>
        <w:pStyle w:val="6"/>
        <w:tabs>
          <w:tab w:val="left" w:pos="838"/>
        </w:tabs>
        <w:spacing w:before="58"/>
        <w:ind w:left="0" w:right="442" w:firstLine="0"/>
        <w:jc w:val="right"/>
      </w:pPr>
      <w:r>
        <w:rPr>
          <w:spacing w:val="3"/>
          <w:w w:val="105"/>
        </w:rPr>
        <w:t>公安</w:t>
      </w:r>
      <w:r>
        <w:rPr>
          <w:w w:val="105"/>
        </w:rPr>
        <w:t>部</w:t>
      </w:r>
      <w:r>
        <w:rPr>
          <w:w w:val="105"/>
        </w:rPr>
        <w:tab/>
      </w:r>
      <w:r>
        <w:rPr>
          <w:spacing w:val="3"/>
        </w:rPr>
        <w:t>司法</w:t>
      </w:r>
      <w:r>
        <w:t>部</w:t>
      </w:r>
    </w:p>
    <w:p>
      <w:pPr>
        <w:pStyle w:val="6"/>
        <w:spacing w:before="58"/>
        <w:ind w:left="0" w:right="442" w:firstLine="0"/>
        <w:jc w:val="right"/>
      </w:pPr>
      <w:r>
        <w:rPr>
          <w:rFonts w:hint="eastAsia" w:ascii="MS UI Gothic" w:eastAsia="MS UI Gothic"/>
          <w:spacing w:val="-5"/>
          <w:w w:val="95"/>
        </w:rPr>
        <w:t xml:space="preserve">２０２０ </w:t>
      </w:r>
      <w:r>
        <w:rPr>
          <w:spacing w:val="-33"/>
          <w:w w:val="95"/>
        </w:rPr>
        <w:t xml:space="preserve">年 </w:t>
      </w:r>
      <w:r>
        <w:rPr>
          <w:rFonts w:hint="eastAsia" w:ascii="MS UI Gothic" w:eastAsia="MS UI Gothic"/>
          <w:spacing w:val="-13"/>
          <w:w w:val="95"/>
        </w:rPr>
        <w:t xml:space="preserve">２ </w:t>
      </w:r>
      <w:r>
        <w:rPr>
          <w:spacing w:val="-33"/>
          <w:w w:val="95"/>
        </w:rPr>
        <w:t xml:space="preserve">月 </w:t>
      </w:r>
      <w:r>
        <w:rPr>
          <w:rFonts w:hint="eastAsia" w:ascii="MS UI Gothic" w:eastAsia="MS UI Gothic"/>
          <w:spacing w:val="-12"/>
          <w:w w:val="95"/>
        </w:rPr>
        <w:t xml:space="preserve">６ </w:t>
      </w:r>
      <w:r>
        <w:rPr>
          <w:w w:val="95"/>
        </w:rPr>
        <w:t>日</w:t>
      </w:r>
    </w:p>
    <w:p>
      <w:pPr>
        <w:pStyle w:val="4"/>
        <w:tabs>
          <w:tab w:val="left" w:pos="1956"/>
          <w:tab w:val="left" w:pos="4191"/>
          <w:tab w:val="left" w:pos="5309"/>
        </w:tabs>
        <w:ind w:left="0" w:right="320"/>
      </w:pPr>
      <w:r>
        <w:rPr>
          <w:spacing w:val="5"/>
        </w:rPr>
        <w:t>最高人民法</w:t>
      </w:r>
      <w:r>
        <w:t>院</w:t>
      </w:r>
      <w:r>
        <w:tab/>
      </w:r>
      <w:r>
        <w:rPr>
          <w:spacing w:val="5"/>
        </w:rPr>
        <w:t>最高人民检察</w:t>
      </w:r>
      <w:r>
        <w:t>院</w:t>
      </w:r>
      <w:r>
        <w:tab/>
      </w:r>
      <w:r>
        <w:rPr>
          <w:spacing w:val="5"/>
        </w:rPr>
        <w:t>公安</w:t>
      </w:r>
      <w:r>
        <w:t>部</w:t>
      </w:r>
      <w:r>
        <w:tab/>
      </w:r>
      <w:r>
        <w:rPr>
          <w:spacing w:val="5"/>
        </w:rPr>
        <w:t>司法部关</w:t>
      </w:r>
      <w:r>
        <w:t>于</w:t>
      </w:r>
    </w:p>
    <w:p>
      <w:pPr>
        <w:spacing w:before="38"/>
        <w:ind w:left="0" w:right="320" w:firstLine="0"/>
        <w:jc w:val="center"/>
        <w:rPr>
          <w:sz w:val="27"/>
        </w:rPr>
      </w:pPr>
      <w:r>
        <w:rPr>
          <w:sz w:val="27"/>
        </w:rPr>
        <w:t>依法惩治妨害新型冠状病毒感染肺炎疫情防控违法犯罪的意见</w:t>
      </w:r>
    </w:p>
    <w:p>
      <w:pPr>
        <w:pStyle w:val="6"/>
        <w:ind w:left="0" w:firstLine="0"/>
        <w:jc w:val="left"/>
        <w:rPr>
          <w:sz w:val="15"/>
        </w:rPr>
      </w:pPr>
    </w:p>
    <w:p>
      <w:pPr>
        <w:spacing w:after="0"/>
        <w:jc w:val="left"/>
        <w:rPr>
          <w:sz w:val="15"/>
        </w:rPr>
        <w:sectPr>
          <w:type w:val="continuous"/>
          <w:pgSz w:w="10500" w:h="14750"/>
          <w:pgMar w:top="1400" w:right="980" w:bottom="280" w:left="980" w:header="720" w:footer="720" w:gutter="0"/>
        </w:sectPr>
      </w:pPr>
    </w:p>
    <w:p>
      <w:pPr>
        <w:pStyle w:val="6"/>
        <w:spacing w:before="174" w:line="292" w:lineRule="auto"/>
        <w:ind w:right="38"/>
        <w:rPr>
          <w:rFonts w:hint="eastAsia" w:ascii="MS UI Gothic" w:eastAsia="MS UI Gothic"/>
        </w:rPr>
      </w:pPr>
      <w:r>
        <w:t>为依法惩治妨害新型冠状病毒感染肺炎疫情防控违法犯罪行为</w:t>
      </w:r>
      <w:r>
        <w:rPr>
          <w:rFonts w:hint="eastAsia" w:ascii="MS UI Gothic" w:eastAsia="MS UI Gothic"/>
          <w:w w:val="80"/>
        </w:rPr>
        <w:t xml:space="preserve">ꎬ </w:t>
      </w:r>
      <w:r>
        <w:t>保障人民群众生命安全和身体健康</w:t>
      </w:r>
      <w:r>
        <w:rPr>
          <w:rFonts w:hint="eastAsia" w:ascii="MS UI Gothic" w:eastAsia="MS UI Gothic"/>
          <w:w w:val="80"/>
        </w:rPr>
        <w:t xml:space="preserve">ꎬ </w:t>
      </w:r>
      <w:r>
        <w:t>保障社会安定有序</w:t>
      </w:r>
      <w:r>
        <w:rPr>
          <w:rFonts w:hint="eastAsia" w:ascii="MS UI Gothic" w:eastAsia="MS UI Gothic"/>
          <w:w w:val="80"/>
        </w:rPr>
        <w:t xml:space="preserve">ꎬ </w:t>
      </w:r>
      <w:r>
        <w:t>保障疫情防控工作顺利开展</w:t>
      </w:r>
      <w:r>
        <w:rPr>
          <w:rFonts w:hint="eastAsia" w:ascii="MS UI Gothic" w:eastAsia="MS UI Gothic"/>
          <w:w w:val="80"/>
        </w:rPr>
        <w:t xml:space="preserve">ꎬ </w:t>
      </w:r>
      <w:r>
        <w:t>根据有关法律</w:t>
      </w:r>
      <w:r>
        <w:rPr>
          <w:rFonts w:hint="eastAsia" w:ascii="MS UI Gothic" w:eastAsia="MS UI Gothic"/>
          <w:w w:val="80"/>
        </w:rPr>
        <w:t xml:space="preserve">、 </w:t>
      </w:r>
      <w:r>
        <w:t>司法解释的规定</w:t>
      </w:r>
      <w:r>
        <w:rPr>
          <w:rFonts w:hint="eastAsia" w:ascii="MS UI Gothic" w:eastAsia="MS UI Gothic"/>
          <w:w w:val="80"/>
        </w:rPr>
        <w:t xml:space="preserve">ꎬ </w:t>
      </w:r>
      <w:r>
        <w:t>制定本意见</w:t>
      </w:r>
      <w:r>
        <w:rPr>
          <w:rFonts w:hint="eastAsia" w:ascii="MS UI Gothic" w:eastAsia="MS UI Gothic"/>
          <w:w w:val="80"/>
        </w:rPr>
        <w:t>ꎮ</w:t>
      </w:r>
    </w:p>
    <w:p>
      <w:pPr>
        <w:pStyle w:val="6"/>
        <w:spacing w:line="292" w:lineRule="auto"/>
        <w:ind w:right="38"/>
      </w:pPr>
      <w:r>
        <w:t>一</w:t>
      </w:r>
      <w:r>
        <w:rPr>
          <w:rFonts w:hint="eastAsia" w:ascii="Microsoft Yi Baiti" w:eastAsia="Microsoft Yi Baiti"/>
        </w:rPr>
        <w:t xml:space="preserve">、 </w:t>
      </w:r>
      <w:r>
        <w:t>提高政治站位</w:t>
      </w:r>
      <w:r>
        <w:rPr>
          <w:rFonts w:hint="eastAsia" w:ascii="Microsoft Yi Baiti" w:eastAsia="Microsoft Yi Baiti"/>
        </w:rPr>
        <w:t xml:space="preserve">ꎬ </w:t>
      </w:r>
      <w:r>
        <w:t>充分认识疫情防控时期维护社会大局稳定的重大意义</w:t>
      </w:r>
    </w:p>
    <w:p>
      <w:pPr>
        <w:pStyle w:val="6"/>
        <w:spacing w:line="292" w:lineRule="auto"/>
        <w:ind w:right="38"/>
      </w:pPr>
      <w:r>
        <w:rPr>
          <w:w w:val="105"/>
        </w:rPr>
        <w:t>各级人民法院</w:t>
      </w:r>
      <w:r>
        <w:rPr>
          <w:rFonts w:hint="eastAsia" w:ascii="MS UI Gothic" w:eastAsia="MS UI Gothic"/>
          <w:w w:val="80"/>
        </w:rPr>
        <w:t xml:space="preserve">、 </w:t>
      </w:r>
      <w:r>
        <w:rPr>
          <w:w w:val="105"/>
        </w:rPr>
        <w:t>人民检察院</w:t>
      </w:r>
      <w:r>
        <w:rPr>
          <w:rFonts w:hint="eastAsia" w:ascii="MS UI Gothic" w:eastAsia="MS UI Gothic"/>
          <w:w w:val="80"/>
        </w:rPr>
        <w:t xml:space="preserve">、 </w:t>
      </w:r>
      <w:r>
        <w:rPr>
          <w:w w:val="105"/>
        </w:rPr>
        <w:t>公安机关</w:t>
      </w:r>
      <w:r>
        <w:rPr>
          <w:rFonts w:hint="eastAsia" w:ascii="MS UI Gothic" w:eastAsia="MS UI Gothic"/>
          <w:w w:val="80"/>
        </w:rPr>
        <w:t xml:space="preserve">、 </w:t>
      </w:r>
      <w:r>
        <w:rPr>
          <w:w w:val="105"/>
        </w:rPr>
        <w:t>司法行政机关要切实把思想和行动统</w:t>
      </w:r>
      <w:r>
        <w:t>一到习近平总书记关于新型冠状病毒感染肺炎疫情防控工作的系列重要指示精神上</w:t>
      </w:r>
      <w:r>
        <w:rPr>
          <w:w w:val="105"/>
        </w:rPr>
        <w:t>来</w:t>
      </w:r>
      <w:r>
        <w:rPr>
          <w:rFonts w:hint="eastAsia" w:ascii="MS UI Gothic" w:eastAsia="MS UI Gothic"/>
          <w:w w:val="80"/>
        </w:rPr>
        <w:t xml:space="preserve">ꎬ </w:t>
      </w:r>
      <w:r>
        <w:rPr>
          <w:w w:val="105"/>
        </w:rPr>
        <w:t>坚决贯彻落实党中央决策部署</w:t>
      </w:r>
      <w:r>
        <w:rPr>
          <w:rFonts w:hint="eastAsia" w:ascii="MS UI Gothic" w:eastAsia="MS UI Gothic"/>
          <w:w w:val="80"/>
        </w:rPr>
        <w:t xml:space="preserve">、 </w:t>
      </w:r>
      <w:r>
        <w:rPr>
          <w:w w:val="105"/>
        </w:rPr>
        <w:t>中央</w:t>
      </w:r>
      <w:r>
        <w:t>应对新型冠状病毒感染肺炎疫情工作领导</w:t>
      </w:r>
    </w:p>
    <w:p>
      <w:pPr>
        <w:pStyle w:val="6"/>
        <w:spacing w:before="174" w:line="292" w:lineRule="auto"/>
        <w:ind w:right="440" w:firstLine="0"/>
        <w:rPr>
          <w:rFonts w:hint="eastAsia" w:ascii="MS UI Gothic" w:hAnsi="MS UI Gothic" w:eastAsia="MS UI Gothic"/>
        </w:rPr>
      </w:pPr>
      <w:r>
        <w:br w:type="column"/>
      </w:r>
      <w:r>
        <w:t>小组工作安排</w:t>
      </w:r>
      <w:r>
        <w:rPr>
          <w:rFonts w:hint="eastAsia" w:ascii="MS UI Gothic" w:hAnsi="MS UI Gothic" w:eastAsia="MS UI Gothic"/>
          <w:w w:val="80"/>
        </w:rPr>
        <w:t xml:space="preserve">ꎬ </w:t>
      </w:r>
      <w:r>
        <w:t>按照中央政法委要求</w:t>
      </w:r>
      <w:r>
        <w:rPr>
          <w:rFonts w:hint="eastAsia" w:ascii="MS UI Gothic" w:hAnsi="MS UI Gothic" w:eastAsia="MS UI Gothic"/>
          <w:w w:val="80"/>
        </w:rPr>
        <w:t xml:space="preserve">ꎬ </w:t>
      </w:r>
      <w:r>
        <w:t xml:space="preserve">增强 </w:t>
      </w:r>
      <w:r>
        <w:rPr>
          <w:rFonts w:hint="eastAsia" w:ascii="MS UI Gothic" w:hAnsi="MS UI Gothic" w:eastAsia="MS UI Gothic"/>
        </w:rPr>
        <w:t xml:space="preserve">“ </w:t>
      </w:r>
      <w:r>
        <w:t>四个意识</w:t>
      </w:r>
      <w:r>
        <w:rPr>
          <w:rFonts w:hint="eastAsia" w:ascii="MS UI Gothic" w:hAnsi="MS UI Gothic" w:eastAsia="MS UI Gothic"/>
        </w:rPr>
        <w:t>”</w:t>
      </w:r>
      <w:r>
        <w:rPr>
          <w:rFonts w:hint="eastAsia" w:ascii="MS UI Gothic" w:hAnsi="MS UI Gothic" w:eastAsia="MS UI Gothic"/>
          <w:w w:val="80"/>
        </w:rPr>
        <w:t xml:space="preserve">、 </w:t>
      </w:r>
      <w:r>
        <w:t xml:space="preserve">坚定 </w:t>
      </w:r>
      <w:r>
        <w:rPr>
          <w:rFonts w:hint="eastAsia" w:ascii="MS UI Gothic" w:hAnsi="MS UI Gothic" w:eastAsia="MS UI Gothic"/>
        </w:rPr>
        <w:t xml:space="preserve">“ </w:t>
      </w:r>
      <w:r>
        <w:t>四个自信</w:t>
      </w:r>
      <w:r>
        <w:rPr>
          <w:rFonts w:hint="eastAsia" w:ascii="MS UI Gothic" w:hAnsi="MS UI Gothic" w:eastAsia="MS UI Gothic"/>
        </w:rPr>
        <w:t>”</w:t>
      </w:r>
      <w:r>
        <w:rPr>
          <w:rFonts w:hint="eastAsia" w:ascii="MS UI Gothic" w:hAnsi="MS UI Gothic" w:eastAsia="MS UI Gothic"/>
          <w:w w:val="80"/>
        </w:rPr>
        <w:t xml:space="preserve">、 </w:t>
      </w:r>
      <w:r>
        <w:t xml:space="preserve">做到 </w:t>
      </w:r>
      <w:r>
        <w:rPr>
          <w:rFonts w:hint="eastAsia" w:ascii="MS UI Gothic" w:hAnsi="MS UI Gothic" w:eastAsia="MS UI Gothic"/>
        </w:rPr>
        <w:t xml:space="preserve">“ </w:t>
      </w:r>
      <w:r>
        <w:t>两个维护</w:t>
      </w:r>
      <w:r>
        <w:rPr>
          <w:rFonts w:hint="eastAsia" w:ascii="MS UI Gothic" w:hAnsi="MS UI Gothic" w:eastAsia="MS UI Gothic"/>
        </w:rPr>
        <w:t xml:space="preserve">” </w:t>
      </w:r>
      <w:r>
        <w:rPr>
          <w:rFonts w:hint="eastAsia" w:ascii="MS UI Gothic" w:hAnsi="MS UI Gothic" w:eastAsia="MS UI Gothic"/>
          <w:w w:val="80"/>
        </w:rPr>
        <w:t xml:space="preserve">ꎬ </w:t>
      </w:r>
      <w:r>
        <w:t>始终将人民群众的生命安全和身体健康放在第一位</w:t>
      </w:r>
      <w:r>
        <w:rPr>
          <w:rFonts w:hint="eastAsia" w:ascii="MS UI Gothic" w:hAnsi="MS UI Gothic" w:eastAsia="MS UI Gothic"/>
          <w:w w:val="80"/>
        </w:rPr>
        <w:t xml:space="preserve">ꎬ </w:t>
      </w:r>
      <w:r>
        <w:t>坚决把疫情防控作为当前压倒一切的头等大事来抓</w:t>
      </w:r>
      <w:r>
        <w:rPr>
          <w:rFonts w:hint="eastAsia" w:ascii="MS UI Gothic" w:hAnsi="MS UI Gothic" w:eastAsia="MS UI Gothic"/>
          <w:w w:val="80"/>
        </w:rPr>
        <w:t>ꎬ</w:t>
      </w:r>
      <w:r>
        <w:t>用足用好法律规定</w:t>
      </w:r>
      <w:r>
        <w:rPr>
          <w:rFonts w:hint="eastAsia" w:ascii="MS UI Gothic" w:hAnsi="MS UI Gothic" w:eastAsia="MS UI Gothic"/>
          <w:w w:val="80"/>
        </w:rPr>
        <w:t xml:space="preserve">ꎬ </w:t>
      </w:r>
      <w:r>
        <w:t>依法及时</w:t>
      </w:r>
      <w:r>
        <w:rPr>
          <w:rFonts w:hint="eastAsia" w:ascii="MS UI Gothic" w:hAnsi="MS UI Gothic" w:eastAsia="MS UI Gothic"/>
          <w:w w:val="80"/>
        </w:rPr>
        <w:t xml:space="preserve">、 </w:t>
      </w:r>
      <w:r>
        <w:t>从严惩治妨害疫情防控的各类违法犯罪</w:t>
      </w:r>
      <w:r>
        <w:rPr>
          <w:rFonts w:hint="eastAsia" w:ascii="MS UI Gothic" w:hAnsi="MS UI Gothic" w:eastAsia="MS UI Gothic"/>
          <w:w w:val="80"/>
        </w:rPr>
        <w:t xml:space="preserve">ꎬ </w:t>
      </w:r>
      <w:r>
        <w:t>为坚决打赢疫情防控阻击战提供有力法治保障</w:t>
      </w:r>
      <w:r>
        <w:rPr>
          <w:rFonts w:hint="eastAsia" w:ascii="MS UI Gothic" w:hAnsi="MS UI Gothic" w:eastAsia="MS UI Gothic"/>
          <w:w w:val="80"/>
        </w:rPr>
        <w:t>ꎮ</w:t>
      </w:r>
    </w:p>
    <w:p>
      <w:pPr>
        <w:pStyle w:val="6"/>
        <w:spacing w:line="290" w:lineRule="auto"/>
        <w:ind w:right="442"/>
      </w:pPr>
      <w:r>
        <w:t>二</w:t>
      </w:r>
      <w:r>
        <w:rPr>
          <w:rFonts w:hint="eastAsia" w:ascii="Microsoft Yi Baiti" w:eastAsia="Microsoft Yi Baiti"/>
        </w:rPr>
        <w:t xml:space="preserve">、 </w:t>
      </w:r>
      <w:r>
        <w:t>准确适用法律</w:t>
      </w:r>
      <w:r>
        <w:rPr>
          <w:rFonts w:hint="eastAsia" w:ascii="Microsoft Yi Baiti" w:eastAsia="Microsoft Yi Baiti"/>
        </w:rPr>
        <w:t xml:space="preserve">ꎬ </w:t>
      </w:r>
      <w:r>
        <w:t>依法严惩妨害疫情防控的各类违法犯罪</w:t>
      </w:r>
    </w:p>
    <w:p>
      <w:pPr>
        <w:pStyle w:val="6"/>
        <w:spacing w:line="292" w:lineRule="auto"/>
        <w:ind w:right="442"/>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依法严惩抗拒疫情防控措施犯</w:t>
      </w:r>
      <w:r>
        <w:t>罪</w:t>
      </w:r>
      <w:r>
        <w:rPr>
          <w:rFonts w:hint="eastAsia" w:ascii="MS UI Gothic" w:eastAsia="MS UI Gothic"/>
          <w:w w:val="80"/>
        </w:rPr>
        <w:t xml:space="preserve">ꎮ </w:t>
      </w:r>
      <w:r>
        <w:t>故意传播新型冠状病毒感染肺炎病原体</w:t>
      </w:r>
      <w:r>
        <w:rPr>
          <w:rFonts w:hint="eastAsia" w:ascii="MS UI Gothic" w:eastAsia="MS UI Gothic"/>
          <w:w w:val="80"/>
        </w:rPr>
        <w:t xml:space="preserve">ꎬ </w:t>
      </w:r>
      <w:r>
        <w:t>具有下列情形之一</w:t>
      </w:r>
      <w:r>
        <w:rPr>
          <w:rFonts w:hint="eastAsia" w:ascii="MS UI Gothic" w:eastAsia="MS UI Gothic"/>
          <w:w w:val="80"/>
        </w:rPr>
        <w:t xml:space="preserve">ꎬ </w:t>
      </w:r>
      <w:r>
        <w:t>危害公共安全</w:t>
      </w:r>
    </w:p>
    <w:p>
      <w:pPr>
        <w:spacing w:after="0" w:line="292" w:lineRule="auto"/>
        <w:sectPr>
          <w:type w:val="continuous"/>
          <w:pgSz w:w="10500" w:h="14750"/>
          <w:pgMar w:top="1400" w:right="980" w:bottom="280" w:left="980" w:header="720" w:footer="720" w:gutter="0"/>
          <w:cols w:equalWidth="0" w:num="2">
            <w:col w:w="3934" w:space="258"/>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8"/>
        <w:ind w:left="0" w:firstLine="0"/>
        <w:jc w:val="left"/>
        <w:rPr>
          <w:sz w:val="23"/>
        </w:rPr>
      </w:pPr>
    </w:p>
    <w:p>
      <w:pPr>
        <w:pStyle w:val="6"/>
        <w:spacing w:line="240" w:lineRule="exact"/>
        <w:ind w:left="440" w:firstLine="0"/>
        <w:jc w:val="left"/>
      </w:pPr>
      <w:r>
        <w:t>的</w:t>
      </w:r>
      <w:r>
        <w:rPr>
          <w:rFonts w:hint="eastAsia" w:ascii="MS UI Gothic" w:eastAsia="MS UI Gothic"/>
          <w:w w:val="80"/>
        </w:rPr>
        <w:t xml:space="preserve">ꎬ </w:t>
      </w:r>
      <w:r>
        <w:t>依照刑法第一百一十四条</w:t>
      </w:r>
      <w:r>
        <w:rPr>
          <w:rFonts w:hint="eastAsia" w:ascii="MS UI Gothic" w:eastAsia="MS UI Gothic"/>
          <w:w w:val="80"/>
        </w:rPr>
        <w:t xml:space="preserve">、 </w:t>
      </w:r>
      <w:r>
        <w:t>第一百一</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１７</w:t>
      </w:r>
    </w:p>
    <w:p>
      <w:pPr>
        <w:pStyle w:val="6"/>
        <w:spacing w:before="297" w:line="240" w:lineRule="exact"/>
        <w:ind w:left="-39" w:firstLine="0"/>
        <w:jc w:val="left"/>
      </w:pPr>
      <w:r>
        <w:pict>
          <v:shape id="_x0000_s1102" o:spid="_x0000_s1102" style="position:absolute;left:0pt;margin-left:0pt;margin-top:679.35pt;height:1.75pt;width:398.25pt;mso-position-horizontal-relative:page;z-index:251687936;mso-width-relative:page;mso-height-relative:page;" filled="f" stroked="t" coordorigin="0,13587" coordsize="7965,35" path="m1419,101l9384,101m1419,66l9384,66e">
            <v:path arrowok="t"/>
            <v:fill on="f" focussize="0,0"/>
            <v:stroke weight="0.388031496062992pt" color="#231F20"/>
            <v:imagedata o:title=""/>
            <o:lock v:ext="edit"/>
          </v:shape>
        </w:pict>
      </w:r>
      <w:r>
        <w:t>采取暴力或者其他方法公然侮辱</w:t>
      </w:r>
      <w:r>
        <w:rPr>
          <w:rFonts w:hint="eastAsia" w:ascii="MS UI Gothic" w:eastAsia="MS UI Gothic"/>
        </w:rPr>
        <w:t xml:space="preserve">、 </w:t>
      </w:r>
      <w:r>
        <w:t>恐</w:t>
      </w:r>
    </w:p>
    <w:p>
      <w:pPr>
        <w:spacing w:after="0" w:line="240" w:lineRule="exact"/>
        <w:jc w:val="left"/>
        <w:sectPr>
          <w:pgSz w:w="10500" w:h="14750"/>
          <w:pgMar w:top="960" w:right="980" w:bottom="280" w:left="980" w:header="720" w:footer="720" w:gutter="0"/>
          <w:cols w:equalWidth="0" w:num="2">
            <w:col w:w="5051" w:space="40"/>
            <w:col w:w="3449"/>
          </w:cols>
        </w:sectPr>
      </w:pPr>
    </w:p>
    <w:p>
      <w:pPr>
        <w:pStyle w:val="6"/>
        <w:spacing w:before="74" w:line="295" w:lineRule="auto"/>
        <w:ind w:left="440" w:firstLine="0"/>
        <w:rPr>
          <w:rFonts w:hint="eastAsia" w:ascii="MS UI Gothic" w:eastAsia="MS UI Gothic"/>
        </w:rPr>
      </w:pPr>
      <w:r>
        <w:t>十五条第一款的规定</w:t>
      </w:r>
      <w:r>
        <w:rPr>
          <w:rFonts w:hint="eastAsia" w:ascii="MS UI Gothic" w:eastAsia="MS UI Gothic"/>
          <w:w w:val="80"/>
        </w:rPr>
        <w:t xml:space="preserve">ꎬ </w:t>
      </w:r>
      <w:r>
        <w:t>以以危险方法危害</w:t>
      </w:r>
      <w:r>
        <w:rPr>
          <w:w w:val="110"/>
        </w:rPr>
        <w:t>公共安全罪定罪处罚</w:t>
      </w:r>
      <w:r>
        <w:rPr>
          <w:rFonts w:hint="eastAsia" w:ascii="MS UI Gothic" w:eastAsia="MS UI Gothic"/>
          <w:w w:val="235"/>
        </w:rPr>
        <w:t>:</w:t>
      </w:r>
    </w:p>
    <w:p>
      <w:pPr>
        <w:pStyle w:val="6"/>
        <w:spacing w:line="295" w:lineRule="auto"/>
        <w:ind w:left="440" w:firstLine="413"/>
        <w:rPr>
          <w:rFonts w:hint="eastAsia" w:ascii="MS UI Gothic" w:eastAsia="MS UI Gothic"/>
        </w:rPr>
      </w:pPr>
      <w:r>
        <w:rPr>
          <w:rFonts w:hint="eastAsia" w:ascii="MS UI Gothic" w:eastAsia="MS UI Gothic"/>
        </w:rPr>
        <w:t xml:space="preserve">１ </w:t>
      </w:r>
      <w:r>
        <w:t>已经确诊的新型冠状病毒感染肺炎病人</w:t>
      </w:r>
      <w:r>
        <w:rPr>
          <w:rFonts w:hint="eastAsia" w:ascii="MS UI Gothic" w:eastAsia="MS UI Gothic"/>
        </w:rPr>
        <w:t xml:space="preserve">、 </w:t>
      </w:r>
      <w:r>
        <w:t>病原携带者</w:t>
      </w:r>
      <w:r>
        <w:rPr>
          <w:rFonts w:hint="eastAsia" w:ascii="MS UI Gothic" w:eastAsia="MS UI Gothic"/>
          <w:w w:val="85"/>
        </w:rPr>
        <w:t xml:space="preserve">ꎬ  </w:t>
      </w:r>
      <w:r>
        <w:t>拒绝隔离治疗或者隔离期未满擅自脱离隔离治疗</w:t>
      </w:r>
      <w:r>
        <w:rPr>
          <w:rFonts w:hint="eastAsia" w:ascii="MS UI Gothic" w:eastAsia="MS UI Gothic"/>
          <w:w w:val="85"/>
        </w:rPr>
        <w:t xml:space="preserve">ꎬ </w:t>
      </w:r>
      <w:r>
        <w:t>并进入公共场所或者公共交通工具的</w:t>
      </w:r>
      <w:r>
        <w:rPr>
          <w:rFonts w:hint="eastAsia" w:ascii="MS UI Gothic" w:eastAsia="MS UI Gothic"/>
          <w:w w:val="85"/>
        </w:rPr>
        <w:t>ꎻ</w:t>
      </w:r>
    </w:p>
    <w:p>
      <w:pPr>
        <w:pStyle w:val="6"/>
        <w:spacing w:line="295" w:lineRule="auto"/>
        <w:ind w:left="440" w:firstLine="413"/>
        <w:rPr>
          <w:rFonts w:hint="eastAsia" w:ascii="MS UI Gothic" w:eastAsia="MS UI Gothic"/>
        </w:rPr>
      </w:pPr>
      <w:r>
        <w:rPr>
          <w:rFonts w:hint="eastAsia" w:ascii="MS UI Gothic" w:eastAsia="MS UI Gothic"/>
        </w:rPr>
        <w:t xml:space="preserve">２ </w:t>
      </w:r>
      <w:r>
        <w:t>新型冠状病毒感染肺炎疑似病人拒绝隔离治疗或者隔离期未满擅自脱离隔离治疗</w:t>
      </w:r>
      <w:r>
        <w:rPr>
          <w:rFonts w:hint="eastAsia" w:ascii="MS UI Gothic" w:eastAsia="MS UI Gothic"/>
          <w:w w:val="85"/>
        </w:rPr>
        <w:t xml:space="preserve">ꎬ </w:t>
      </w:r>
      <w:r>
        <w:t>并进入公共场所或者公共交通工具</w:t>
      </w:r>
      <w:r>
        <w:rPr>
          <w:rFonts w:hint="eastAsia" w:ascii="MS UI Gothic" w:eastAsia="MS UI Gothic"/>
          <w:w w:val="85"/>
        </w:rPr>
        <w:t xml:space="preserve">ꎬ </w:t>
      </w:r>
      <w:r>
        <w:t>造成新型冠状病毒传播的</w:t>
      </w:r>
      <w:r>
        <w:rPr>
          <w:rFonts w:hint="eastAsia" w:ascii="MS UI Gothic" w:eastAsia="MS UI Gothic"/>
          <w:w w:val="85"/>
        </w:rPr>
        <w:t>ꎮ</w:t>
      </w:r>
    </w:p>
    <w:p>
      <w:pPr>
        <w:pStyle w:val="6"/>
        <w:spacing w:line="295" w:lineRule="auto"/>
        <w:ind w:left="440"/>
        <w:rPr>
          <w:rFonts w:hint="eastAsia" w:ascii="MS UI Gothic" w:eastAsia="MS UI Gothic"/>
        </w:rPr>
      </w:pPr>
      <w:r>
        <w:t>其他拒绝执行卫生防疫机构依照传染病防治法提出的防控措施</w:t>
      </w:r>
      <w:r>
        <w:rPr>
          <w:rFonts w:hint="eastAsia" w:ascii="MS UI Gothic" w:eastAsia="MS UI Gothic"/>
          <w:w w:val="80"/>
        </w:rPr>
        <w:t xml:space="preserve">ꎬ </w:t>
      </w:r>
      <w:r>
        <w:t>引起新型冠状病毒传播或者有传播严重危险的</w:t>
      </w:r>
      <w:r>
        <w:rPr>
          <w:rFonts w:hint="eastAsia" w:ascii="MS UI Gothic" w:eastAsia="MS UI Gothic"/>
          <w:w w:val="80"/>
        </w:rPr>
        <w:t xml:space="preserve">ꎬ </w:t>
      </w:r>
      <w:r>
        <w:t>依照刑法第三百三十条的规定</w:t>
      </w:r>
      <w:r>
        <w:rPr>
          <w:rFonts w:hint="eastAsia" w:ascii="MS UI Gothic" w:eastAsia="MS UI Gothic"/>
          <w:w w:val="80"/>
        </w:rPr>
        <w:t xml:space="preserve">ꎬ </w:t>
      </w:r>
      <w:r>
        <w:t>以妨害传染病防治罪定罪处罚</w:t>
      </w:r>
      <w:r>
        <w:rPr>
          <w:rFonts w:hint="eastAsia" w:ascii="MS UI Gothic" w:eastAsia="MS UI Gothic"/>
          <w:w w:val="80"/>
        </w:rPr>
        <w:t>ꎮ</w:t>
      </w:r>
    </w:p>
    <w:p>
      <w:pPr>
        <w:pStyle w:val="6"/>
        <w:spacing w:line="295" w:lineRule="auto"/>
        <w:ind w:left="440"/>
        <w:rPr>
          <w:rFonts w:hint="eastAsia" w:ascii="MS UI Gothic" w:eastAsia="MS UI Gothic"/>
        </w:rPr>
      </w:pPr>
      <w:r>
        <w:rPr>
          <w:spacing w:val="3"/>
          <w:w w:val="105"/>
        </w:rPr>
        <w:t>以暴力</w:t>
      </w:r>
      <w:r>
        <w:rPr>
          <w:rFonts w:hint="eastAsia" w:ascii="MS UI Gothic" w:eastAsia="MS UI Gothic"/>
          <w:spacing w:val="-2"/>
          <w:w w:val="80"/>
        </w:rPr>
        <w:t xml:space="preserve">、 </w:t>
      </w:r>
      <w:r>
        <w:rPr>
          <w:spacing w:val="2"/>
          <w:w w:val="105"/>
        </w:rPr>
        <w:t>威胁方法阻碍国家机关工作</w:t>
      </w:r>
      <w:r>
        <w:rPr>
          <w:spacing w:val="-6"/>
          <w:w w:val="105"/>
        </w:rPr>
        <w:t xml:space="preserve">人员 </w:t>
      </w:r>
      <w:r>
        <w:rPr>
          <w:rFonts w:hint="eastAsia" w:ascii="MS UI Gothic" w:eastAsia="MS UI Gothic"/>
          <w:spacing w:val="-38"/>
          <w:w w:val="150"/>
        </w:rPr>
        <w:t xml:space="preserve">( </w:t>
      </w:r>
      <w:r>
        <w:rPr>
          <w:spacing w:val="14"/>
          <w:w w:val="105"/>
        </w:rPr>
        <w:t>含在依照法律</w:t>
      </w:r>
      <w:r>
        <w:rPr>
          <w:rFonts w:hint="eastAsia" w:ascii="MS UI Gothic" w:eastAsia="MS UI Gothic"/>
          <w:spacing w:val="22"/>
          <w:w w:val="80"/>
        </w:rPr>
        <w:t xml:space="preserve">、 </w:t>
      </w:r>
      <w:r>
        <w:rPr>
          <w:spacing w:val="16"/>
          <w:w w:val="105"/>
        </w:rPr>
        <w:t>法规规定行使国</w:t>
      </w:r>
      <w:r>
        <w:rPr>
          <w:spacing w:val="2"/>
        </w:rPr>
        <w:t>家有关疫情防控行政管理职权的组织中从</w:t>
      </w:r>
      <w:r>
        <w:rPr>
          <w:spacing w:val="3"/>
        </w:rPr>
        <w:t>事公务的人员</w:t>
      </w:r>
      <w:r>
        <w:rPr>
          <w:rFonts w:hint="eastAsia" w:ascii="MS UI Gothic" w:eastAsia="MS UI Gothic"/>
          <w:spacing w:val="21"/>
          <w:w w:val="80"/>
        </w:rPr>
        <w:t xml:space="preserve">ꎬ </w:t>
      </w:r>
      <w:r>
        <w:rPr>
          <w:spacing w:val="2"/>
        </w:rPr>
        <w:t>在受国家机关委托代表国家机关行使疫情防控职权的组织中从事公</w:t>
      </w:r>
      <w:r>
        <w:rPr>
          <w:spacing w:val="3"/>
        </w:rPr>
        <w:t>务的人员</w:t>
      </w:r>
      <w:r>
        <w:rPr>
          <w:rFonts w:hint="eastAsia" w:ascii="MS UI Gothic" w:eastAsia="MS UI Gothic"/>
          <w:spacing w:val="21"/>
          <w:w w:val="80"/>
        </w:rPr>
        <w:t xml:space="preserve">ꎬ </w:t>
      </w:r>
      <w:r>
        <w:rPr>
          <w:spacing w:val="2"/>
        </w:rPr>
        <w:t>虽未列入国家机关人员编制但</w:t>
      </w:r>
      <w:r>
        <w:rPr>
          <w:spacing w:val="4"/>
        </w:rPr>
        <w:t>在国家机关中从事疫情防控公务的人员</w:t>
      </w:r>
      <w:r>
        <w:rPr>
          <w:rFonts w:hint="eastAsia" w:ascii="MS UI Gothic" w:eastAsia="MS UI Gothic"/>
        </w:rPr>
        <w:t xml:space="preserve">) </w:t>
      </w:r>
      <w:r>
        <w:rPr>
          <w:spacing w:val="13"/>
          <w:w w:val="105"/>
        </w:rPr>
        <w:t>依法履行为防控疫情而采取的防疫</w:t>
      </w:r>
      <w:r>
        <w:rPr>
          <w:rFonts w:hint="eastAsia" w:ascii="MS UI Gothic" w:eastAsia="MS UI Gothic"/>
          <w:spacing w:val="4"/>
          <w:w w:val="80"/>
        </w:rPr>
        <w:t xml:space="preserve">、 </w:t>
      </w:r>
      <w:r>
        <w:rPr>
          <w:spacing w:val="-12"/>
          <w:w w:val="105"/>
        </w:rPr>
        <w:t>检</w:t>
      </w:r>
      <w:r>
        <w:rPr>
          <w:spacing w:val="3"/>
          <w:w w:val="105"/>
        </w:rPr>
        <w:t>疫</w:t>
      </w:r>
      <w:r>
        <w:rPr>
          <w:rFonts w:hint="eastAsia" w:ascii="MS UI Gothic" w:eastAsia="MS UI Gothic"/>
          <w:spacing w:val="8"/>
          <w:w w:val="80"/>
        </w:rPr>
        <w:t xml:space="preserve">、 </w:t>
      </w:r>
      <w:r>
        <w:rPr>
          <w:spacing w:val="3"/>
          <w:w w:val="105"/>
        </w:rPr>
        <w:t>强制隔离</w:t>
      </w:r>
      <w:r>
        <w:rPr>
          <w:rFonts w:hint="eastAsia" w:ascii="MS UI Gothic" w:eastAsia="MS UI Gothic"/>
          <w:spacing w:val="8"/>
          <w:w w:val="80"/>
        </w:rPr>
        <w:t xml:space="preserve">、 </w:t>
      </w:r>
      <w:r>
        <w:rPr>
          <w:spacing w:val="3"/>
          <w:w w:val="105"/>
        </w:rPr>
        <w:t>隔离治疗等措施的</w:t>
      </w:r>
      <w:r>
        <w:rPr>
          <w:rFonts w:hint="eastAsia" w:ascii="MS UI Gothic" w:eastAsia="MS UI Gothic"/>
          <w:spacing w:val="8"/>
          <w:w w:val="80"/>
        </w:rPr>
        <w:t xml:space="preserve">ꎬ </w:t>
      </w:r>
      <w:r>
        <w:rPr>
          <w:spacing w:val="1"/>
          <w:w w:val="105"/>
        </w:rPr>
        <w:t>依照</w:t>
      </w:r>
      <w:r>
        <w:rPr>
          <w:spacing w:val="3"/>
          <w:w w:val="105"/>
        </w:rPr>
        <w:t>刑法第二百七十七条第一款</w:t>
      </w:r>
      <w:r>
        <w:rPr>
          <w:rFonts w:hint="eastAsia" w:ascii="MS UI Gothic" w:eastAsia="MS UI Gothic"/>
          <w:spacing w:val="-5"/>
          <w:w w:val="80"/>
        </w:rPr>
        <w:t xml:space="preserve">、 </w:t>
      </w:r>
      <w:r>
        <w:rPr>
          <w:spacing w:val="2"/>
          <w:w w:val="105"/>
        </w:rPr>
        <w:t>第三款的规</w:t>
      </w:r>
      <w:r>
        <w:rPr>
          <w:spacing w:val="3"/>
        </w:rPr>
        <w:t>定</w:t>
      </w:r>
      <w:r>
        <w:rPr>
          <w:rFonts w:hint="eastAsia" w:ascii="MS UI Gothic" w:eastAsia="MS UI Gothic"/>
          <w:spacing w:val="23"/>
          <w:w w:val="80"/>
        </w:rPr>
        <w:t xml:space="preserve">ꎬ </w:t>
      </w:r>
      <w:r>
        <w:rPr>
          <w:spacing w:val="3"/>
        </w:rPr>
        <w:t>以妨害公务罪定罪处罚</w:t>
      </w:r>
      <w:r>
        <w:rPr>
          <w:rFonts w:hint="eastAsia" w:ascii="MS UI Gothic" w:eastAsia="MS UI Gothic"/>
          <w:spacing w:val="23"/>
          <w:w w:val="80"/>
        </w:rPr>
        <w:t xml:space="preserve">ꎮ </w:t>
      </w:r>
      <w:r>
        <w:rPr>
          <w:spacing w:val="2"/>
        </w:rPr>
        <w:t>暴力袭击正</w:t>
      </w:r>
      <w:r>
        <w:rPr>
          <w:spacing w:val="3"/>
        </w:rPr>
        <w:t>在依法执行职务的人民警察的</w:t>
      </w:r>
      <w:r>
        <w:rPr>
          <w:rFonts w:hint="eastAsia" w:ascii="MS UI Gothic" w:eastAsia="MS UI Gothic"/>
          <w:spacing w:val="21"/>
          <w:w w:val="80"/>
        </w:rPr>
        <w:t xml:space="preserve">ꎬ </w:t>
      </w:r>
      <w:r>
        <w:rPr>
          <w:spacing w:val="2"/>
        </w:rPr>
        <w:t>以妨害公</w:t>
      </w:r>
      <w:r>
        <w:rPr>
          <w:spacing w:val="3"/>
          <w:w w:val="105"/>
        </w:rPr>
        <w:t>务罪定罪</w:t>
      </w:r>
      <w:r>
        <w:rPr>
          <w:rFonts w:hint="eastAsia" w:ascii="MS UI Gothic" w:eastAsia="MS UI Gothic"/>
          <w:w w:val="80"/>
        </w:rPr>
        <w:t xml:space="preserve">ꎬ </w:t>
      </w:r>
      <w:r>
        <w:rPr>
          <w:spacing w:val="3"/>
          <w:w w:val="105"/>
        </w:rPr>
        <w:t>从重处罚</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依法严惩暴力伤医犯罪</w:t>
      </w:r>
      <w:r>
        <w:rPr>
          <w:rFonts w:hint="eastAsia" w:ascii="MS UI Gothic" w:eastAsia="MS UI Gothic"/>
          <w:w w:val="80"/>
        </w:rPr>
        <w:t xml:space="preserve">ꎮ </w:t>
      </w:r>
      <w:r>
        <w:rPr>
          <w:w w:val="105"/>
        </w:rPr>
        <w:t>在疫</w:t>
      </w:r>
      <w:r>
        <w:t>情防控期间</w:t>
      </w:r>
      <w:r>
        <w:rPr>
          <w:rFonts w:hint="eastAsia" w:ascii="MS UI Gothic" w:eastAsia="MS UI Gothic"/>
          <w:w w:val="80"/>
        </w:rPr>
        <w:t xml:space="preserve">ꎬ </w:t>
      </w:r>
      <w:r>
        <w:t>故意伤害医务人员造成轻伤以上的严重后果</w:t>
      </w:r>
      <w:r>
        <w:rPr>
          <w:rFonts w:hint="eastAsia" w:ascii="MS UI Gothic" w:eastAsia="MS UI Gothic"/>
          <w:w w:val="80"/>
        </w:rPr>
        <w:t xml:space="preserve">ꎬ </w:t>
      </w:r>
      <w:r>
        <w:t>或者对医务人员实施撕</w:t>
      </w:r>
      <w:r>
        <w:rPr>
          <w:w w:val="105"/>
        </w:rPr>
        <w:t>扯防护装备</w:t>
      </w:r>
      <w:r>
        <w:rPr>
          <w:rFonts w:hint="eastAsia" w:ascii="MS UI Gothic" w:eastAsia="MS UI Gothic"/>
          <w:w w:val="80"/>
        </w:rPr>
        <w:t xml:space="preserve">、 </w:t>
      </w:r>
      <w:r>
        <w:rPr>
          <w:w w:val="105"/>
        </w:rPr>
        <w:t>吐口水等行为</w:t>
      </w:r>
      <w:r>
        <w:rPr>
          <w:rFonts w:hint="eastAsia" w:ascii="MS UI Gothic" w:eastAsia="MS UI Gothic"/>
          <w:w w:val="80"/>
        </w:rPr>
        <w:t xml:space="preserve">ꎬ </w:t>
      </w:r>
      <w:r>
        <w:rPr>
          <w:w w:val="105"/>
        </w:rPr>
        <w:t>致使医务人</w:t>
      </w:r>
      <w:r>
        <w:t>员感染新型冠状病毒的</w:t>
      </w:r>
      <w:r>
        <w:rPr>
          <w:rFonts w:hint="eastAsia" w:ascii="MS UI Gothic" w:eastAsia="MS UI Gothic"/>
          <w:w w:val="80"/>
        </w:rPr>
        <w:t xml:space="preserve">ꎬ </w:t>
      </w:r>
      <w:r>
        <w:t>依照刑法第二百三十四条的规定</w:t>
      </w:r>
      <w:r>
        <w:rPr>
          <w:rFonts w:hint="eastAsia" w:ascii="MS UI Gothic" w:eastAsia="MS UI Gothic"/>
          <w:w w:val="80"/>
        </w:rPr>
        <w:t xml:space="preserve">ꎬ </w:t>
      </w:r>
      <w:r>
        <w:t>以故意伤害罪定罪</w:t>
      </w:r>
      <w:r>
        <w:rPr>
          <w:w w:val="105"/>
        </w:rPr>
        <w:t>处罚</w:t>
      </w:r>
      <w:r>
        <w:rPr>
          <w:rFonts w:hint="eastAsia" w:ascii="MS UI Gothic" w:eastAsia="MS UI Gothic"/>
          <w:w w:val="80"/>
        </w:rPr>
        <w:t>ꎮ</w:t>
      </w:r>
    </w:p>
    <w:p>
      <w:pPr>
        <w:pStyle w:val="6"/>
        <w:spacing w:line="295" w:lineRule="auto"/>
        <w:ind w:left="440"/>
        <w:rPr>
          <w:rFonts w:hint="eastAsia" w:ascii="MS UI Gothic" w:eastAsia="MS UI Gothic"/>
        </w:rPr>
      </w:pPr>
      <w:r>
        <w:t>随意殴打医务人员</w:t>
      </w:r>
      <w:r>
        <w:rPr>
          <w:rFonts w:hint="eastAsia" w:ascii="MS UI Gothic" w:eastAsia="MS UI Gothic"/>
          <w:w w:val="80"/>
        </w:rPr>
        <w:t xml:space="preserve">ꎬ </w:t>
      </w:r>
      <w:r>
        <w:t>情节恶劣的</w:t>
      </w:r>
      <w:r>
        <w:rPr>
          <w:rFonts w:hint="eastAsia" w:ascii="MS UI Gothic" w:eastAsia="MS UI Gothic"/>
          <w:w w:val="80"/>
        </w:rPr>
        <w:t xml:space="preserve">ꎬ </w:t>
      </w:r>
      <w:r>
        <w:t>依照刑法第二百九十三条的规定</w:t>
      </w:r>
      <w:r>
        <w:rPr>
          <w:rFonts w:hint="eastAsia" w:ascii="MS UI Gothic" w:eastAsia="MS UI Gothic"/>
          <w:w w:val="80"/>
        </w:rPr>
        <w:t xml:space="preserve">ꎬ </w:t>
      </w:r>
      <w:r>
        <w:t>以寻衅滋事罪定罪处罚</w:t>
      </w:r>
      <w:r>
        <w:rPr>
          <w:rFonts w:hint="eastAsia" w:ascii="MS UI Gothic" w:eastAsia="MS UI Gothic"/>
          <w:w w:val="80"/>
        </w:rPr>
        <w:t>ꎮ</w:t>
      </w:r>
    </w:p>
    <w:p>
      <w:pPr>
        <w:pStyle w:val="6"/>
        <w:spacing w:before="74" w:line="295" w:lineRule="auto"/>
        <w:ind w:left="383" w:right="124" w:firstLine="0"/>
        <w:rPr>
          <w:rFonts w:hint="eastAsia" w:ascii="MS UI Gothic" w:eastAsia="MS UI Gothic"/>
        </w:rPr>
      </w:pPr>
      <w:r>
        <w:br w:type="column"/>
      </w:r>
      <w:r>
        <w:t>吓医务人员</w:t>
      </w:r>
      <w:r>
        <w:rPr>
          <w:rFonts w:hint="eastAsia" w:ascii="MS UI Gothic" w:eastAsia="MS UI Gothic"/>
          <w:w w:val="80"/>
        </w:rPr>
        <w:t xml:space="preserve">ꎬ </w:t>
      </w:r>
      <w:r>
        <w:t>符合刑法第二百四十六条</w:t>
      </w:r>
      <w:r>
        <w:rPr>
          <w:rFonts w:hint="eastAsia" w:ascii="MS UI Gothic" w:eastAsia="MS UI Gothic"/>
          <w:w w:val="80"/>
        </w:rPr>
        <w:t>、</w:t>
      </w:r>
      <w:r>
        <w:t>第二百九十三条规定的</w:t>
      </w:r>
      <w:r>
        <w:rPr>
          <w:rFonts w:hint="eastAsia" w:ascii="MS UI Gothic" w:eastAsia="MS UI Gothic"/>
          <w:w w:val="80"/>
        </w:rPr>
        <w:t xml:space="preserve">ꎬ </w:t>
      </w:r>
      <w:r>
        <w:t>以侮辱罪或者寻衅滋事罪定罪处罚</w:t>
      </w:r>
      <w:r>
        <w:rPr>
          <w:rFonts w:hint="eastAsia" w:ascii="MS UI Gothic" w:eastAsia="MS UI Gothic"/>
          <w:w w:val="80"/>
        </w:rPr>
        <w:t>ꎮ</w:t>
      </w:r>
    </w:p>
    <w:p>
      <w:pPr>
        <w:pStyle w:val="6"/>
        <w:spacing w:line="295" w:lineRule="auto"/>
        <w:ind w:left="383" w:right="126"/>
        <w:rPr>
          <w:rFonts w:hint="eastAsia" w:ascii="MS UI Gothic" w:eastAsia="MS UI Gothic"/>
        </w:rPr>
      </w:pPr>
      <w:r>
        <w:t>以不准离开工作场所等方式非法限制医务人员人身自由</w:t>
      </w:r>
      <w:r>
        <w:rPr>
          <w:rFonts w:hint="eastAsia" w:ascii="MS UI Gothic" w:eastAsia="MS UI Gothic"/>
          <w:w w:val="80"/>
        </w:rPr>
        <w:t xml:space="preserve">ꎬ </w:t>
      </w:r>
      <w:r>
        <w:t>符合刑法第二百三十八条规定的</w:t>
      </w:r>
      <w:r>
        <w:rPr>
          <w:rFonts w:hint="eastAsia" w:ascii="MS UI Gothic" w:eastAsia="MS UI Gothic"/>
          <w:w w:val="80"/>
        </w:rPr>
        <w:t xml:space="preserve">ꎬ </w:t>
      </w:r>
      <w:r>
        <w:t>以非法拘禁罪定罪处罚</w:t>
      </w:r>
      <w:r>
        <w:rPr>
          <w:rFonts w:hint="eastAsia" w:ascii="MS UI Gothic" w:eastAsia="MS UI Gothic"/>
          <w:w w:val="80"/>
        </w:rPr>
        <w:t>ꎮ</w:t>
      </w:r>
    </w:p>
    <w:p>
      <w:pPr>
        <w:pStyle w:val="6"/>
        <w:spacing w:line="295" w:lineRule="auto"/>
        <w:ind w:left="383" w:right="124"/>
        <w:rPr>
          <w:rFonts w:hint="eastAsia" w:ascii="MS UI Gothic" w:eastAsia="MS UI Gothic"/>
        </w:rPr>
      </w:pPr>
      <w:r>
        <w:rPr>
          <w:rFonts w:hint="eastAsia" w:ascii="MS UI Gothic" w:eastAsia="MS UI Gothic"/>
          <w:spacing w:val="-34"/>
          <w:w w:val="150"/>
        </w:rPr>
        <w:t xml:space="preserve">( </w:t>
      </w:r>
      <w:r>
        <w:rPr>
          <w:spacing w:val="3"/>
        </w:rPr>
        <w:t>三</w:t>
      </w:r>
      <w:r>
        <w:rPr>
          <w:rFonts w:hint="eastAsia" w:ascii="MS UI Gothic" w:eastAsia="MS UI Gothic"/>
          <w:spacing w:val="26"/>
          <w:w w:val="150"/>
        </w:rPr>
        <w:t xml:space="preserve">) </w:t>
      </w:r>
      <w:r>
        <w:rPr>
          <w:spacing w:val="5"/>
        </w:rPr>
        <w:t>依法严惩制假售假犯罪</w:t>
      </w:r>
      <w:r>
        <w:rPr>
          <w:rFonts w:hint="eastAsia" w:ascii="MS UI Gothic" w:eastAsia="MS UI Gothic"/>
          <w:spacing w:val="15"/>
          <w:w w:val="80"/>
        </w:rPr>
        <w:t xml:space="preserve">ꎮ </w:t>
      </w:r>
      <w:r>
        <w:rPr>
          <w:spacing w:val="5"/>
        </w:rPr>
        <w:t>在疫</w:t>
      </w:r>
      <w:r>
        <w:rPr>
          <w:spacing w:val="3"/>
        </w:rPr>
        <w:t>情防控期间</w:t>
      </w:r>
      <w:r>
        <w:rPr>
          <w:rFonts w:hint="eastAsia" w:ascii="MS UI Gothic" w:eastAsia="MS UI Gothic"/>
          <w:spacing w:val="7"/>
          <w:w w:val="80"/>
        </w:rPr>
        <w:t xml:space="preserve">ꎬ </w:t>
      </w:r>
      <w:r>
        <w:rPr>
          <w:spacing w:val="3"/>
        </w:rPr>
        <w:t>生产</w:t>
      </w:r>
      <w:r>
        <w:rPr>
          <w:rFonts w:hint="eastAsia" w:ascii="MS UI Gothic" w:eastAsia="MS UI Gothic"/>
          <w:spacing w:val="7"/>
          <w:w w:val="80"/>
        </w:rPr>
        <w:t xml:space="preserve">、 </w:t>
      </w:r>
      <w:r>
        <w:rPr>
          <w:spacing w:val="3"/>
        </w:rPr>
        <w:t>销售伪劣的防治</w:t>
      </w:r>
      <w:r>
        <w:rPr>
          <w:rFonts w:hint="eastAsia" w:ascii="MS UI Gothic" w:eastAsia="MS UI Gothic"/>
          <w:spacing w:val="7"/>
          <w:w w:val="80"/>
        </w:rPr>
        <w:t xml:space="preserve">、 </w:t>
      </w:r>
      <w:r>
        <w:t>防</w:t>
      </w:r>
      <w:r>
        <w:rPr>
          <w:spacing w:val="3"/>
        </w:rPr>
        <w:t>护产品</w:t>
      </w:r>
      <w:r>
        <w:rPr>
          <w:rFonts w:hint="eastAsia" w:ascii="MS UI Gothic" w:eastAsia="MS UI Gothic"/>
          <w:spacing w:val="7"/>
          <w:w w:val="80"/>
        </w:rPr>
        <w:t xml:space="preserve">、 </w:t>
      </w:r>
      <w:r>
        <w:rPr>
          <w:spacing w:val="3"/>
        </w:rPr>
        <w:t>物资</w:t>
      </w:r>
      <w:r>
        <w:rPr>
          <w:rFonts w:hint="eastAsia" w:ascii="MS UI Gothic" w:eastAsia="MS UI Gothic"/>
          <w:spacing w:val="7"/>
          <w:w w:val="80"/>
        </w:rPr>
        <w:t xml:space="preserve">ꎬ </w:t>
      </w:r>
      <w:r>
        <w:rPr>
          <w:spacing w:val="3"/>
        </w:rPr>
        <w:t>或者生产</w:t>
      </w:r>
      <w:r>
        <w:rPr>
          <w:rFonts w:hint="eastAsia" w:ascii="MS UI Gothic" w:eastAsia="MS UI Gothic"/>
          <w:spacing w:val="7"/>
          <w:w w:val="80"/>
        </w:rPr>
        <w:t xml:space="preserve">、 </w:t>
      </w:r>
      <w:r>
        <w:rPr>
          <w:spacing w:val="2"/>
        </w:rPr>
        <w:t>销售用于防治</w:t>
      </w:r>
      <w:r>
        <w:rPr>
          <w:spacing w:val="3"/>
        </w:rPr>
        <w:t>新型冠状病毒感染肺炎的假药</w:t>
      </w:r>
      <w:r>
        <w:rPr>
          <w:rFonts w:hint="eastAsia" w:ascii="MS UI Gothic" w:eastAsia="MS UI Gothic"/>
          <w:spacing w:val="11"/>
          <w:w w:val="80"/>
        </w:rPr>
        <w:t xml:space="preserve">、 </w:t>
      </w:r>
      <w:r>
        <w:rPr>
          <w:spacing w:val="3"/>
        </w:rPr>
        <w:t>劣药</w:t>
      </w:r>
      <w:r>
        <w:rPr>
          <w:rFonts w:hint="eastAsia" w:ascii="MS UI Gothic" w:eastAsia="MS UI Gothic"/>
          <w:spacing w:val="11"/>
          <w:w w:val="80"/>
        </w:rPr>
        <w:t xml:space="preserve">ꎬ </w:t>
      </w:r>
      <w:r>
        <w:t>符</w:t>
      </w:r>
      <w:r>
        <w:rPr>
          <w:spacing w:val="5"/>
        </w:rPr>
        <w:t>合刑法第一百四十条</w:t>
      </w:r>
      <w:r>
        <w:rPr>
          <w:rFonts w:hint="eastAsia" w:ascii="MS UI Gothic" w:eastAsia="MS UI Gothic"/>
          <w:spacing w:val="18"/>
          <w:w w:val="80"/>
        </w:rPr>
        <w:t xml:space="preserve">、 </w:t>
      </w:r>
      <w:r>
        <w:rPr>
          <w:spacing w:val="11"/>
        </w:rPr>
        <w:t>第一百四十一条</w:t>
      </w:r>
      <w:r>
        <w:rPr>
          <w:rFonts w:hint="eastAsia" w:ascii="MS UI Gothic" w:eastAsia="MS UI Gothic"/>
          <w:w w:val="80"/>
        </w:rPr>
        <w:t>、</w:t>
      </w:r>
      <w:r>
        <w:rPr>
          <w:spacing w:val="3"/>
        </w:rPr>
        <w:t>第一百四十二条规定的</w:t>
      </w:r>
      <w:r>
        <w:rPr>
          <w:rFonts w:hint="eastAsia" w:ascii="MS UI Gothic" w:eastAsia="MS UI Gothic"/>
          <w:spacing w:val="11"/>
          <w:w w:val="80"/>
        </w:rPr>
        <w:t xml:space="preserve">ꎬ </w:t>
      </w:r>
      <w:r>
        <w:rPr>
          <w:spacing w:val="3"/>
        </w:rPr>
        <w:t>以生产</w:t>
      </w:r>
      <w:r>
        <w:rPr>
          <w:rFonts w:hint="eastAsia" w:ascii="MS UI Gothic" w:eastAsia="MS UI Gothic"/>
          <w:spacing w:val="11"/>
          <w:w w:val="80"/>
        </w:rPr>
        <w:t xml:space="preserve">、 </w:t>
      </w:r>
      <w:r>
        <w:rPr>
          <w:spacing w:val="1"/>
        </w:rPr>
        <w:t>销售伪</w:t>
      </w:r>
      <w:r>
        <w:rPr>
          <w:spacing w:val="3"/>
        </w:rPr>
        <w:t>劣产品罪</w:t>
      </w:r>
      <w:r>
        <w:rPr>
          <w:rFonts w:hint="eastAsia" w:ascii="MS UI Gothic" w:eastAsia="MS UI Gothic"/>
          <w:spacing w:val="8"/>
          <w:w w:val="80"/>
        </w:rPr>
        <w:t xml:space="preserve">ꎬ </w:t>
      </w:r>
      <w:r>
        <w:rPr>
          <w:spacing w:val="5"/>
        </w:rPr>
        <w:t>生产</w:t>
      </w:r>
      <w:r>
        <w:rPr>
          <w:rFonts w:hint="eastAsia" w:ascii="MS UI Gothic" w:eastAsia="MS UI Gothic"/>
          <w:spacing w:val="13"/>
          <w:w w:val="80"/>
        </w:rPr>
        <w:t xml:space="preserve">、 </w:t>
      </w:r>
      <w:r>
        <w:rPr>
          <w:spacing w:val="13"/>
        </w:rPr>
        <w:t>销售假药罪或者生产</w:t>
      </w:r>
      <w:r>
        <w:rPr>
          <w:rFonts w:hint="eastAsia" w:ascii="MS UI Gothic" w:eastAsia="MS UI Gothic"/>
          <w:w w:val="80"/>
        </w:rPr>
        <w:t>、</w:t>
      </w:r>
      <w:r>
        <w:rPr>
          <w:spacing w:val="3"/>
        </w:rPr>
        <w:t>销售劣药罪定罪处罚</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3"/>
        </w:rPr>
        <w:t>在疫情防控期间</w:t>
      </w:r>
      <w:r>
        <w:rPr>
          <w:rFonts w:hint="eastAsia" w:ascii="MS UI Gothic" w:eastAsia="MS UI Gothic"/>
          <w:spacing w:val="15"/>
          <w:w w:val="80"/>
        </w:rPr>
        <w:t xml:space="preserve">ꎬ </w:t>
      </w:r>
      <w:r>
        <w:rPr>
          <w:spacing w:val="2"/>
        </w:rPr>
        <w:t>生产不符合保障人</w:t>
      </w:r>
      <w:r>
        <w:rPr>
          <w:spacing w:val="12"/>
        </w:rPr>
        <w:t>体健康的国家标准</w:t>
      </w:r>
      <w:r>
        <w:rPr>
          <w:rFonts w:hint="eastAsia" w:ascii="MS UI Gothic" w:eastAsia="MS UI Gothic"/>
          <w:spacing w:val="22"/>
          <w:w w:val="80"/>
        </w:rPr>
        <w:t xml:space="preserve">、 </w:t>
      </w:r>
      <w:r>
        <w:rPr>
          <w:spacing w:val="16"/>
        </w:rPr>
        <w:t>行业标准的医用口</w:t>
      </w:r>
      <w:r>
        <w:rPr>
          <w:spacing w:val="3"/>
        </w:rPr>
        <w:t>罩</w:t>
      </w:r>
      <w:r>
        <w:rPr>
          <w:rFonts w:hint="eastAsia" w:ascii="MS UI Gothic" w:eastAsia="MS UI Gothic"/>
          <w:spacing w:val="7"/>
          <w:w w:val="80"/>
        </w:rPr>
        <w:t xml:space="preserve">、 </w:t>
      </w:r>
      <w:r>
        <w:rPr>
          <w:spacing w:val="3"/>
        </w:rPr>
        <w:t>护目镜</w:t>
      </w:r>
      <w:r>
        <w:rPr>
          <w:rFonts w:hint="eastAsia" w:ascii="MS UI Gothic" w:eastAsia="MS UI Gothic"/>
          <w:spacing w:val="7"/>
          <w:w w:val="80"/>
        </w:rPr>
        <w:t xml:space="preserve">、 </w:t>
      </w:r>
      <w:r>
        <w:rPr>
          <w:spacing w:val="3"/>
        </w:rPr>
        <w:t>防护服等医用器材</w:t>
      </w:r>
      <w:r>
        <w:rPr>
          <w:rFonts w:hint="eastAsia" w:ascii="MS UI Gothic" w:eastAsia="MS UI Gothic"/>
          <w:spacing w:val="7"/>
          <w:w w:val="80"/>
        </w:rPr>
        <w:t xml:space="preserve">ꎬ </w:t>
      </w:r>
      <w:r>
        <w:rPr>
          <w:spacing w:val="2"/>
        </w:rPr>
        <w:t>或者销</w:t>
      </w:r>
      <w:r>
        <w:rPr>
          <w:spacing w:val="3"/>
        </w:rPr>
        <w:t>售明知是不符合标准的医用器材</w:t>
      </w:r>
      <w:r>
        <w:rPr>
          <w:rFonts w:hint="eastAsia" w:ascii="MS UI Gothic" w:eastAsia="MS UI Gothic"/>
          <w:spacing w:val="20"/>
          <w:w w:val="80"/>
        </w:rPr>
        <w:t xml:space="preserve">ꎬ </w:t>
      </w:r>
      <w:r>
        <w:rPr>
          <w:spacing w:val="1"/>
        </w:rPr>
        <w:t>足以严</w:t>
      </w:r>
      <w:r>
        <w:rPr>
          <w:spacing w:val="3"/>
        </w:rPr>
        <w:t>重危害人体健康的</w:t>
      </w:r>
      <w:r>
        <w:rPr>
          <w:rFonts w:hint="eastAsia" w:ascii="MS UI Gothic" w:eastAsia="MS UI Gothic"/>
          <w:spacing w:val="20"/>
          <w:w w:val="80"/>
        </w:rPr>
        <w:t xml:space="preserve">ꎬ </w:t>
      </w:r>
      <w:r>
        <w:rPr>
          <w:spacing w:val="2"/>
        </w:rPr>
        <w:t>依照刑法第一百四十</w:t>
      </w:r>
      <w:r>
        <w:rPr>
          <w:spacing w:val="3"/>
        </w:rPr>
        <w:t>五条的规定</w:t>
      </w:r>
      <w:r>
        <w:rPr>
          <w:rFonts w:hint="eastAsia" w:ascii="MS UI Gothic" w:eastAsia="MS UI Gothic"/>
          <w:spacing w:val="11"/>
          <w:w w:val="80"/>
        </w:rPr>
        <w:t xml:space="preserve">ꎬ </w:t>
      </w:r>
      <w:r>
        <w:rPr>
          <w:spacing w:val="3"/>
        </w:rPr>
        <w:t>以生产</w:t>
      </w:r>
      <w:r>
        <w:rPr>
          <w:rFonts w:hint="eastAsia" w:ascii="MS UI Gothic" w:eastAsia="MS UI Gothic"/>
          <w:spacing w:val="11"/>
          <w:w w:val="80"/>
        </w:rPr>
        <w:t xml:space="preserve">、 </w:t>
      </w:r>
      <w:r>
        <w:rPr>
          <w:spacing w:val="2"/>
        </w:rPr>
        <w:t>销售不符合标准的</w:t>
      </w:r>
      <w:r>
        <w:rPr>
          <w:spacing w:val="3"/>
        </w:rPr>
        <w:t>医用器材罪定罪处罚</w:t>
      </w:r>
      <w:r>
        <w:rPr>
          <w:rFonts w:hint="eastAsia" w:ascii="MS UI Gothic" w:eastAsia="MS UI Gothic"/>
          <w:w w:val="80"/>
        </w:rPr>
        <w:t>ꎮ</w:t>
      </w:r>
    </w:p>
    <w:p>
      <w:pPr>
        <w:pStyle w:val="6"/>
        <w:spacing w:line="295" w:lineRule="auto"/>
        <w:ind w:left="383" w:right="124"/>
        <w:rPr>
          <w:rFonts w:hint="eastAsia" w:ascii="MS UI Gothic" w:eastAsia="MS UI Gothic"/>
        </w:rPr>
      </w:pPr>
      <w:r>
        <w:rPr>
          <w:rFonts w:hint="eastAsia" w:ascii="MS UI Gothic" w:eastAsia="MS UI Gothic"/>
          <w:w w:val="150"/>
        </w:rPr>
        <w:t xml:space="preserve">( </w:t>
      </w:r>
      <w:r>
        <w:t>四</w:t>
      </w:r>
      <w:r>
        <w:rPr>
          <w:rFonts w:hint="eastAsia" w:ascii="MS UI Gothic" w:eastAsia="MS UI Gothic"/>
          <w:w w:val="150"/>
        </w:rPr>
        <w:t xml:space="preserve">) </w:t>
      </w:r>
      <w:r>
        <w:t>依法严惩哄抬物价犯罪</w:t>
      </w:r>
      <w:r>
        <w:rPr>
          <w:rFonts w:hint="eastAsia" w:ascii="MS UI Gothic" w:eastAsia="MS UI Gothic"/>
          <w:w w:val="80"/>
        </w:rPr>
        <w:t xml:space="preserve">ꎮ </w:t>
      </w:r>
      <w:r>
        <w:t>在疫情防控期间</w:t>
      </w:r>
      <w:r>
        <w:rPr>
          <w:rFonts w:hint="eastAsia" w:ascii="MS UI Gothic" w:eastAsia="MS UI Gothic"/>
          <w:w w:val="80"/>
        </w:rPr>
        <w:t xml:space="preserve">ꎬ </w:t>
      </w:r>
      <w:r>
        <w:t>违反国家有关市场经营</w:t>
      </w:r>
      <w:r>
        <w:rPr>
          <w:rFonts w:hint="eastAsia" w:ascii="MS UI Gothic" w:eastAsia="MS UI Gothic"/>
          <w:w w:val="80"/>
        </w:rPr>
        <w:t xml:space="preserve">、 </w:t>
      </w:r>
      <w:r>
        <w:t>价格管理等规定</w:t>
      </w:r>
      <w:r>
        <w:rPr>
          <w:rFonts w:hint="eastAsia" w:ascii="MS UI Gothic" w:eastAsia="MS UI Gothic"/>
          <w:w w:val="80"/>
        </w:rPr>
        <w:t xml:space="preserve">ꎬ </w:t>
      </w:r>
      <w:r>
        <w:t>囤积居奇</w:t>
      </w:r>
      <w:r>
        <w:rPr>
          <w:rFonts w:hint="eastAsia" w:ascii="MS UI Gothic" w:eastAsia="MS UI Gothic"/>
          <w:w w:val="80"/>
        </w:rPr>
        <w:t xml:space="preserve">ꎬ </w:t>
      </w:r>
      <w:r>
        <w:t>哄抬疫情防控急需的口罩</w:t>
      </w:r>
      <w:r>
        <w:rPr>
          <w:rFonts w:hint="eastAsia" w:ascii="MS UI Gothic" w:eastAsia="MS UI Gothic"/>
          <w:w w:val="80"/>
        </w:rPr>
        <w:t xml:space="preserve">、 </w:t>
      </w:r>
      <w:r>
        <w:t>护目镜</w:t>
      </w:r>
      <w:r>
        <w:rPr>
          <w:rFonts w:hint="eastAsia" w:ascii="MS UI Gothic" w:eastAsia="MS UI Gothic"/>
          <w:w w:val="80"/>
        </w:rPr>
        <w:t xml:space="preserve">、 </w:t>
      </w:r>
      <w:r>
        <w:t>防护服</w:t>
      </w:r>
      <w:r>
        <w:rPr>
          <w:rFonts w:hint="eastAsia" w:ascii="MS UI Gothic" w:eastAsia="MS UI Gothic"/>
          <w:w w:val="80"/>
        </w:rPr>
        <w:t xml:space="preserve">、 </w:t>
      </w:r>
      <w:r>
        <w:t>消毒液等防护用品</w:t>
      </w:r>
      <w:r>
        <w:rPr>
          <w:rFonts w:hint="eastAsia" w:ascii="MS UI Gothic" w:eastAsia="MS UI Gothic"/>
          <w:w w:val="80"/>
        </w:rPr>
        <w:t xml:space="preserve">、 </w:t>
      </w:r>
      <w:r>
        <w:t>药品或者其他涉及民生的物品价格</w:t>
      </w:r>
      <w:r>
        <w:rPr>
          <w:rFonts w:hint="eastAsia" w:ascii="MS UI Gothic" w:eastAsia="MS UI Gothic"/>
          <w:w w:val="80"/>
        </w:rPr>
        <w:t xml:space="preserve">ꎬ </w:t>
      </w:r>
      <w:r>
        <w:t>牟取暴利</w:t>
      </w:r>
      <w:r>
        <w:rPr>
          <w:rFonts w:hint="eastAsia" w:ascii="MS UI Gothic" w:eastAsia="MS UI Gothic"/>
          <w:w w:val="80"/>
        </w:rPr>
        <w:t xml:space="preserve">ꎬ </w:t>
      </w:r>
      <w:r>
        <w:t>违法所得数额较大或者有其他严重情节</w:t>
      </w:r>
      <w:r>
        <w:rPr>
          <w:rFonts w:hint="eastAsia" w:ascii="MS UI Gothic" w:eastAsia="MS UI Gothic"/>
          <w:w w:val="80"/>
        </w:rPr>
        <w:t xml:space="preserve">ꎬ </w:t>
      </w:r>
      <w:r>
        <w:t>严重扰乱市场秩序的</w:t>
      </w:r>
      <w:r>
        <w:rPr>
          <w:rFonts w:hint="eastAsia" w:ascii="MS UI Gothic" w:eastAsia="MS UI Gothic"/>
          <w:w w:val="80"/>
        </w:rPr>
        <w:t>ꎬ</w:t>
      </w:r>
      <w:r>
        <w:t>依照刑法第二百二十五条第四项的规定</w:t>
      </w:r>
      <w:r>
        <w:rPr>
          <w:rFonts w:hint="eastAsia" w:ascii="MS UI Gothic" w:eastAsia="MS UI Gothic"/>
          <w:w w:val="80"/>
        </w:rPr>
        <w:t>ꎬ</w:t>
      </w:r>
      <w:r>
        <w:t>以非法经营罪定罪处罚</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t>五</w:t>
      </w:r>
      <w:r>
        <w:rPr>
          <w:rFonts w:hint="eastAsia" w:ascii="MS UI Gothic" w:eastAsia="MS UI Gothic"/>
          <w:w w:val="150"/>
        </w:rPr>
        <w:t xml:space="preserve">) </w:t>
      </w:r>
      <w:r>
        <w:t>依法严惩诈骗</w:t>
      </w:r>
      <w:r>
        <w:rPr>
          <w:rFonts w:hint="eastAsia" w:ascii="MS UI Gothic" w:eastAsia="MS UI Gothic"/>
          <w:w w:val="80"/>
        </w:rPr>
        <w:t xml:space="preserve">、 </w:t>
      </w:r>
      <w:r>
        <w:t>聚众哄抢犯罪</w:t>
      </w:r>
      <w:r>
        <w:rPr>
          <w:rFonts w:hint="eastAsia" w:ascii="MS UI Gothic" w:eastAsia="MS UI Gothic"/>
          <w:w w:val="80"/>
        </w:rPr>
        <w:t xml:space="preserve">ꎮ </w:t>
      </w:r>
      <w:r>
        <w:t>在疫情防控期间</w:t>
      </w:r>
      <w:r>
        <w:rPr>
          <w:rFonts w:hint="eastAsia" w:ascii="MS UI Gothic" w:eastAsia="MS UI Gothic"/>
          <w:w w:val="80"/>
        </w:rPr>
        <w:t xml:space="preserve">ꎬ </w:t>
      </w:r>
      <w:r>
        <w:t>假借研制</w:t>
      </w:r>
      <w:r>
        <w:rPr>
          <w:rFonts w:hint="eastAsia" w:ascii="MS UI Gothic" w:eastAsia="MS UI Gothic"/>
          <w:w w:val="80"/>
        </w:rPr>
        <w:t xml:space="preserve">、 </w:t>
      </w:r>
      <w:r>
        <w:t>生产或者销售用于疫情防控的物品的名义骗取公私财物</w:t>
      </w:r>
      <w:r>
        <w:rPr>
          <w:rFonts w:hint="eastAsia" w:ascii="MS UI Gothic" w:eastAsia="MS UI Gothic"/>
          <w:w w:val="80"/>
        </w:rPr>
        <w:t xml:space="preserve">ꎬ </w:t>
      </w:r>
      <w:r>
        <w:t>或者捏造事实骗取公众捐赠款物</w:t>
      </w:r>
      <w:r>
        <w:rPr>
          <w:rFonts w:hint="eastAsia" w:ascii="MS UI Gothic" w:eastAsia="MS UI Gothic"/>
          <w:w w:val="80"/>
        </w:rPr>
        <w:t xml:space="preserve">ꎬ </w:t>
      </w:r>
      <w:r>
        <w:t>数额较大的</w:t>
      </w:r>
      <w:r>
        <w:rPr>
          <w:rFonts w:hint="eastAsia" w:ascii="MS UI Gothic" w:eastAsia="MS UI Gothic"/>
          <w:w w:val="80"/>
        </w:rPr>
        <w:t xml:space="preserve">ꎬ </w:t>
      </w:r>
      <w:r>
        <w:t>依照刑法第二百六十六条的规定</w:t>
      </w:r>
      <w:r>
        <w:rPr>
          <w:rFonts w:hint="eastAsia" w:ascii="MS UI Gothic" w:eastAsia="MS UI Gothic"/>
          <w:w w:val="80"/>
        </w:rPr>
        <w:t xml:space="preserve">ꎬ </w:t>
      </w:r>
      <w:r>
        <w:t>以诈骗罪定罪处罚</w:t>
      </w:r>
      <w:r>
        <w:rPr>
          <w:rFonts w:hint="eastAsia" w:ascii="MS UI Gothic" w:eastAsia="MS UI Gothic"/>
          <w:w w:val="80"/>
        </w:rPr>
        <w:t>ꎮ</w:t>
      </w:r>
    </w:p>
    <w:p>
      <w:pPr>
        <w:pStyle w:val="6"/>
        <w:spacing w:line="295" w:lineRule="auto"/>
        <w:ind w:left="383" w:right="126"/>
      </w:pPr>
      <w:r>
        <w:t>在疫情防控期间</w:t>
      </w:r>
      <w:r>
        <w:rPr>
          <w:rFonts w:hint="eastAsia" w:ascii="MS UI Gothic" w:eastAsia="MS UI Gothic"/>
          <w:w w:val="80"/>
        </w:rPr>
        <w:t xml:space="preserve">ꎬ </w:t>
      </w:r>
      <w:r>
        <w:t>违反国家规定</w:t>
      </w:r>
      <w:r>
        <w:rPr>
          <w:rFonts w:hint="eastAsia" w:ascii="MS UI Gothic" w:eastAsia="MS UI Gothic"/>
          <w:w w:val="80"/>
        </w:rPr>
        <w:t xml:space="preserve">ꎬ </w:t>
      </w:r>
      <w:r>
        <w:t>假借疫情防控的名义</w:t>
      </w:r>
      <w:r>
        <w:rPr>
          <w:rFonts w:hint="eastAsia" w:ascii="MS UI Gothic" w:eastAsia="MS UI Gothic"/>
          <w:w w:val="80"/>
        </w:rPr>
        <w:t xml:space="preserve">ꎬ </w:t>
      </w:r>
      <w:r>
        <w:t>利用广告对所推销的</w:t>
      </w:r>
    </w:p>
    <w:p>
      <w:pPr>
        <w:spacing w:after="0" w:line="295" w:lineRule="auto"/>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１８</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03" o:spid="_x0000_s1103" o:spt="203" style="height:2.15pt;width:398.25pt;" coordsize="7965,43">
            <o:lock v:ext="edit"/>
            <v:line id="_x0000_s1104" o:spid="_x0000_s1104" o:spt="20" style="position:absolute;left:0;top:39;height:0;width:7965;" stroked="t" coordsize="21600,21600">
              <v:path arrowok="t"/>
              <v:fill focussize="0,0"/>
              <v:stroke weight="0.388031496062992pt" color="#231F20"/>
              <v:imagedata o:title=""/>
              <o:lock v:ext="edit"/>
            </v:line>
            <v:line id="_x0000_s1105" o:spid="_x0000_s110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spacing w:val="3"/>
        </w:rPr>
        <w:t>商品或者服务作虚假宣传</w:t>
      </w:r>
      <w:r>
        <w:rPr>
          <w:rFonts w:hint="eastAsia" w:ascii="MS UI Gothic" w:eastAsia="MS UI Gothic"/>
          <w:spacing w:val="21"/>
          <w:w w:val="80"/>
        </w:rPr>
        <w:t xml:space="preserve">ꎬ </w:t>
      </w:r>
      <w:r>
        <w:rPr>
          <w:spacing w:val="2"/>
        </w:rPr>
        <w:t>致使多人上当</w:t>
      </w:r>
      <w:r>
        <w:rPr>
          <w:spacing w:val="3"/>
        </w:rPr>
        <w:t>受骗</w:t>
      </w:r>
      <w:r>
        <w:rPr>
          <w:rFonts w:hint="eastAsia" w:ascii="MS UI Gothic" w:eastAsia="MS UI Gothic"/>
          <w:spacing w:val="21"/>
          <w:w w:val="80"/>
        </w:rPr>
        <w:t xml:space="preserve">ꎬ </w:t>
      </w:r>
      <w:r>
        <w:rPr>
          <w:spacing w:val="2"/>
        </w:rPr>
        <w:t>违法所得数额较大或者有其他严重</w:t>
      </w:r>
      <w:r>
        <w:rPr>
          <w:spacing w:val="5"/>
        </w:rPr>
        <w:t>情节的</w:t>
      </w:r>
      <w:r>
        <w:rPr>
          <w:rFonts w:hint="eastAsia" w:ascii="MS UI Gothic" w:eastAsia="MS UI Gothic"/>
          <w:w w:val="80"/>
        </w:rPr>
        <w:t xml:space="preserve">ꎬ </w:t>
      </w:r>
      <w:r>
        <w:rPr>
          <w:spacing w:val="17"/>
        </w:rPr>
        <w:t>依照刑法第二百二十二条的规</w:t>
      </w:r>
      <w:r>
        <w:rPr>
          <w:spacing w:val="3"/>
        </w:rPr>
        <w:t>定</w:t>
      </w:r>
      <w:r>
        <w:rPr>
          <w:rFonts w:hint="eastAsia" w:ascii="MS UI Gothic" w:eastAsia="MS UI Gothic"/>
          <w:spacing w:val="2"/>
          <w:w w:val="80"/>
        </w:rPr>
        <w:t xml:space="preserve">ꎬ </w:t>
      </w:r>
      <w:r>
        <w:rPr>
          <w:spacing w:val="3"/>
        </w:rPr>
        <w:t>以虚假广告罪定罪处罚</w:t>
      </w:r>
      <w:r>
        <w:rPr>
          <w:rFonts w:hint="eastAsia" w:ascii="MS UI Gothic" w:eastAsia="MS UI Gothic"/>
          <w:w w:val="80"/>
        </w:rPr>
        <w:t>ꎮ</w:t>
      </w:r>
    </w:p>
    <w:p>
      <w:pPr>
        <w:pStyle w:val="6"/>
        <w:spacing w:line="295" w:lineRule="auto"/>
        <w:ind w:right="39"/>
        <w:rPr>
          <w:rFonts w:hint="eastAsia" w:ascii="MS UI Gothic" w:eastAsia="MS UI Gothic"/>
        </w:rPr>
      </w:pPr>
      <w:r>
        <w:rPr>
          <w:spacing w:val="3"/>
        </w:rPr>
        <w:t>在疫情防控期间</w:t>
      </w:r>
      <w:r>
        <w:rPr>
          <w:rFonts w:hint="eastAsia" w:ascii="MS UI Gothic" w:eastAsia="MS UI Gothic"/>
          <w:spacing w:val="16"/>
          <w:w w:val="80"/>
        </w:rPr>
        <w:t xml:space="preserve">ꎬ </w:t>
      </w:r>
      <w:r>
        <w:rPr>
          <w:spacing w:val="2"/>
        </w:rPr>
        <w:t>聚众哄抢公私财物</w:t>
      </w:r>
      <w:r>
        <w:rPr>
          <w:spacing w:val="3"/>
        </w:rPr>
        <w:t>特别是疫情防控和保障物资</w:t>
      </w:r>
      <w:r>
        <w:rPr>
          <w:rFonts w:hint="eastAsia" w:ascii="MS UI Gothic" w:eastAsia="MS UI Gothic"/>
          <w:spacing w:val="21"/>
          <w:w w:val="80"/>
        </w:rPr>
        <w:t xml:space="preserve">ꎬ </w:t>
      </w:r>
      <w:r>
        <w:rPr>
          <w:spacing w:val="2"/>
        </w:rPr>
        <w:t>数额较大或</w:t>
      </w:r>
      <w:r>
        <w:rPr>
          <w:spacing w:val="3"/>
        </w:rPr>
        <w:t>者有其他严重情节的</w:t>
      </w:r>
      <w:r>
        <w:rPr>
          <w:rFonts w:hint="eastAsia" w:ascii="MS UI Gothic" w:eastAsia="MS UI Gothic"/>
          <w:spacing w:val="21"/>
          <w:w w:val="80"/>
        </w:rPr>
        <w:t xml:space="preserve">ꎬ </w:t>
      </w:r>
      <w:r>
        <w:rPr>
          <w:spacing w:val="2"/>
        </w:rPr>
        <w:t>对首要分子和积极</w:t>
      </w:r>
      <w:r>
        <w:rPr>
          <w:spacing w:val="5"/>
        </w:rPr>
        <w:t>参加者</w:t>
      </w:r>
      <w:r>
        <w:rPr>
          <w:rFonts w:hint="eastAsia" w:ascii="MS UI Gothic" w:eastAsia="MS UI Gothic"/>
          <w:w w:val="80"/>
        </w:rPr>
        <w:t xml:space="preserve">ꎬ </w:t>
      </w:r>
      <w:r>
        <w:rPr>
          <w:spacing w:val="17"/>
        </w:rPr>
        <w:t>依照刑法第二百六十八条的规</w:t>
      </w:r>
      <w:r>
        <w:rPr>
          <w:spacing w:val="3"/>
        </w:rPr>
        <w:t>定</w:t>
      </w:r>
      <w:r>
        <w:rPr>
          <w:rFonts w:hint="eastAsia" w:ascii="MS UI Gothic" w:eastAsia="MS UI Gothic"/>
          <w:spacing w:val="2"/>
          <w:w w:val="80"/>
        </w:rPr>
        <w:t xml:space="preserve">ꎬ </w:t>
      </w:r>
      <w:r>
        <w:rPr>
          <w:spacing w:val="3"/>
        </w:rPr>
        <w:t>以聚众哄抢罪定罪处罚</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t>六</w:t>
      </w:r>
      <w:r>
        <w:rPr>
          <w:rFonts w:hint="eastAsia" w:ascii="MS UI Gothic" w:eastAsia="MS UI Gothic"/>
          <w:w w:val="150"/>
        </w:rPr>
        <w:t xml:space="preserve">) </w:t>
      </w:r>
      <w:r>
        <w:t>依法严惩造谣传谣犯罪</w:t>
      </w:r>
      <w:r>
        <w:rPr>
          <w:rFonts w:hint="eastAsia" w:ascii="MS UI Gothic" w:eastAsia="MS UI Gothic"/>
          <w:w w:val="80"/>
        </w:rPr>
        <w:t xml:space="preserve">ꎮ </w:t>
      </w:r>
      <w:r>
        <w:t>编造虚假的疫情信息</w:t>
      </w:r>
      <w:r>
        <w:rPr>
          <w:rFonts w:hint="eastAsia" w:ascii="MS UI Gothic" w:eastAsia="MS UI Gothic"/>
          <w:w w:val="80"/>
        </w:rPr>
        <w:t xml:space="preserve">ꎬ </w:t>
      </w:r>
      <w:r>
        <w:t>在信息网络或者其他媒体上传播</w:t>
      </w:r>
      <w:r>
        <w:rPr>
          <w:rFonts w:hint="eastAsia" w:ascii="MS UI Gothic" w:eastAsia="MS UI Gothic"/>
          <w:w w:val="80"/>
        </w:rPr>
        <w:t xml:space="preserve">ꎬ </w:t>
      </w:r>
      <w:r>
        <w:t>或者明知是虚假疫情信息</w:t>
      </w:r>
      <w:r>
        <w:rPr>
          <w:rFonts w:hint="eastAsia" w:ascii="MS UI Gothic" w:eastAsia="MS UI Gothic"/>
          <w:w w:val="80"/>
        </w:rPr>
        <w:t xml:space="preserve">ꎬ </w:t>
      </w:r>
      <w:r>
        <w:t>故意在信息网络或者其他媒体上传播</w:t>
      </w:r>
      <w:r>
        <w:rPr>
          <w:rFonts w:hint="eastAsia" w:ascii="MS UI Gothic" w:eastAsia="MS UI Gothic"/>
          <w:w w:val="80"/>
        </w:rPr>
        <w:t xml:space="preserve">ꎬ </w:t>
      </w:r>
      <w:r>
        <w:t>严重扰乱社会秩序的</w:t>
      </w:r>
      <w:r>
        <w:rPr>
          <w:rFonts w:hint="eastAsia" w:ascii="MS UI Gothic" w:eastAsia="MS UI Gothic"/>
          <w:w w:val="80"/>
        </w:rPr>
        <w:t xml:space="preserve">ꎬ </w:t>
      </w:r>
      <w:r>
        <w:t>依照刑法第二百九十一条之一第二款的规定</w:t>
      </w:r>
      <w:r>
        <w:rPr>
          <w:rFonts w:hint="eastAsia" w:ascii="MS UI Gothic" w:eastAsia="MS UI Gothic"/>
          <w:w w:val="80"/>
        </w:rPr>
        <w:t xml:space="preserve">ꎬ </w:t>
      </w:r>
      <w:r>
        <w:t>以编造</w:t>
      </w:r>
      <w:r>
        <w:rPr>
          <w:rFonts w:hint="eastAsia" w:ascii="MS UI Gothic" w:eastAsia="MS UI Gothic"/>
          <w:w w:val="80"/>
        </w:rPr>
        <w:t xml:space="preserve">、 </w:t>
      </w:r>
      <w:r>
        <w:t>故意传播虚假信息罪定罪处罚</w:t>
      </w:r>
      <w:r>
        <w:rPr>
          <w:rFonts w:hint="eastAsia" w:ascii="MS UI Gothic" w:eastAsia="MS UI Gothic"/>
          <w:w w:val="80"/>
        </w:rPr>
        <w:t>ꎮ</w:t>
      </w:r>
    </w:p>
    <w:p>
      <w:pPr>
        <w:pStyle w:val="6"/>
        <w:spacing w:line="295" w:lineRule="auto"/>
        <w:ind w:right="38"/>
        <w:rPr>
          <w:rFonts w:hint="eastAsia" w:ascii="MS UI Gothic" w:eastAsia="MS UI Gothic"/>
        </w:rPr>
      </w:pPr>
      <w:r>
        <w:t>编造虚假信息</w:t>
      </w:r>
      <w:r>
        <w:rPr>
          <w:rFonts w:hint="eastAsia" w:ascii="MS UI Gothic" w:eastAsia="MS UI Gothic"/>
          <w:w w:val="80"/>
        </w:rPr>
        <w:t xml:space="preserve">ꎬ </w:t>
      </w:r>
      <w:r>
        <w:t>或者明知是编造的虚假信息</w:t>
      </w:r>
      <w:r>
        <w:rPr>
          <w:rFonts w:hint="eastAsia" w:ascii="MS UI Gothic" w:eastAsia="MS UI Gothic"/>
          <w:w w:val="80"/>
        </w:rPr>
        <w:t xml:space="preserve">ꎬ </w:t>
      </w:r>
      <w:r>
        <w:t>在信息网络上散布</w:t>
      </w:r>
      <w:r>
        <w:rPr>
          <w:rFonts w:hint="eastAsia" w:ascii="MS UI Gothic" w:eastAsia="MS UI Gothic"/>
          <w:w w:val="80"/>
        </w:rPr>
        <w:t xml:space="preserve">ꎬ </w:t>
      </w:r>
      <w:r>
        <w:t>或者组织</w:t>
      </w:r>
      <w:r>
        <w:rPr>
          <w:rFonts w:hint="eastAsia" w:ascii="MS UI Gothic" w:eastAsia="MS UI Gothic"/>
          <w:w w:val="80"/>
        </w:rPr>
        <w:t>、</w:t>
      </w:r>
      <w:r>
        <w:t>指使人员在信息网络上散布</w:t>
      </w:r>
      <w:r>
        <w:rPr>
          <w:rFonts w:hint="eastAsia" w:ascii="MS UI Gothic" w:eastAsia="MS UI Gothic"/>
          <w:w w:val="80"/>
        </w:rPr>
        <w:t xml:space="preserve">ꎬ </w:t>
      </w:r>
      <w:r>
        <w:t>起哄闹事</w:t>
      </w:r>
      <w:r>
        <w:rPr>
          <w:rFonts w:hint="eastAsia" w:ascii="MS UI Gothic" w:eastAsia="MS UI Gothic"/>
          <w:w w:val="80"/>
        </w:rPr>
        <w:t>ꎬ</w:t>
      </w:r>
      <w:r>
        <w:t>造成公共秩序严重混乱的</w:t>
      </w:r>
      <w:r>
        <w:rPr>
          <w:rFonts w:hint="eastAsia" w:ascii="MS UI Gothic" w:eastAsia="MS UI Gothic"/>
          <w:w w:val="80"/>
        </w:rPr>
        <w:t xml:space="preserve">ꎬ </w:t>
      </w:r>
      <w:r>
        <w:t>依照刑法第二百九十三条第一款第四项的规定</w:t>
      </w:r>
      <w:r>
        <w:rPr>
          <w:rFonts w:hint="eastAsia" w:ascii="MS UI Gothic" w:eastAsia="MS UI Gothic"/>
          <w:w w:val="80"/>
        </w:rPr>
        <w:t xml:space="preserve">ꎬ </w:t>
      </w:r>
      <w:r>
        <w:t>以寻衅滋事罪定罪处罚</w:t>
      </w:r>
      <w:r>
        <w:rPr>
          <w:rFonts w:hint="eastAsia" w:ascii="MS UI Gothic" w:eastAsia="MS UI Gothic"/>
          <w:w w:val="80"/>
        </w:rPr>
        <w:t>ꎮ</w:t>
      </w:r>
    </w:p>
    <w:p>
      <w:pPr>
        <w:pStyle w:val="6"/>
        <w:spacing w:line="295" w:lineRule="auto"/>
        <w:ind w:right="39"/>
        <w:rPr>
          <w:rFonts w:hint="eastAsia" w:ascii="MS UI Gothic" w:eastAsia="MS UI Gothic"/>
        </w:rPr>
      </w:pPr>
      <w:r>
        <w:t>利用新型冠状病毒感染肺炎疫情</w:t>
      </w:r>
      <w:r>
        <w:rPr>
          <w:rFonts w:hint="eastAsia" w:ascii="MS UI Gothic" w:eastAsia="MS UI Gothic"/>
          <w:w w:val="80"/>
        </w:rPr>
        <w:t xml:space="preserve">ꎬ </w:t>
      </w:r>
      <w:r>
        <w:t>制造</w:t>
      </w:r>
      <w:r>
        <w:rPr>
          <w:rFonts w:hint="eastAsia" w:ascii="MS UI Gothic" w:eastAsia="MS UI Gothic"/>
          <w:w w:val="80"/>
        </w:rPr>
        <w:t xml:space="preserve">、 </w:t>
      </w:r>
      <w:r>
        <w:t>传播谣言</w:t>
      </w:r>
      <w:r>
        <w:rPr>
          <w:rFonts w:hint="eastAsia" w:ascii="MS UI Gothic" w:eastAsia="MS UI Gothic"/>
          <w:w w:val="80"/>
        </w:rPr>
        <w:t xml:space="preserve">ꎬ </w:t>
      </w:r>
      <w:r>
        <w:t>煽动分裂国家</w:t>
      </w:r>
      <w:r>
        <w:rPr>
          <w:rFonts w:hint="eastAsia" w:ascii="MS UI Gothic" w:eastAsia="MS UI Gothic"/>
          <w:w w:val="80"/>
        </w:rPr>
        <w:t xml:space="preserve">、 </w:t>
      </w:r>
      <w:r>
        <w:t>破坏国家统一</w:t>
      </w:r>
      <w:r>
        <w:rPr>
          <w:rFonts w:hint="eastAsia" w:ascii="MS UI Gothic" w:eastAsia="MS UI Gothic"/>
          <w:w w:val="80"/>
        </w:rPr>
        <w:t xml:space="preserve">ꎬ </w:t>
      </w:r>
      <w:r>
        <w:t>或者煽动颠覆国家政权</w:t>
      </w:r>
      <w:r>
        <w:rPr>
          <w:rFonts w:hint="eastAsia" w:ascii="MS UI Gothic" w:eastAsia="MS UI Gothic"/>
          <w:w w:val="80"/>
        </w:rPr>
        <w:t xml:space="preserve">、 </w:t>
      </w:r>
      <w:r>
        <w:t>推翻社会主义制度的</w:t>
      </w:r>
      <w:r>
        <w:rPr>
          <w:rFonts w:hint="eastAsia" w:ascii="MS UI Gothic" w:eastAsia="MS UI Gothic"/>
          <w:w w:val="80"/>
        </w:rPr>
        <w:t xml:space="preserve">ꎬ </w:t>
      </w:r>
      <w:r>
        <w:t>依照刑法第一百零三条第二款</w:t>
      </w:r>
      <w:r>
        <w:rPr>
          <w:rFonts w:hint="eastAsia" w:ascii="MS UI Gothic" w:eastAsia="MS UI Gothic"/>
          <w:w w:val="80"/>
        </w:rPr>
        <w:t xml:space="preserve">、 </w:t>
      </w:r>
      <w:r>
        <w:t>第一百零五条第二款的规定</w:t>
      </w:r>
      <w:r>
        <w:rPr>
          <w:rFonts w:hint="eastAsia" w:ascii="MS UI Gothic" w:eastAsia="MS UI Gothic"/>
          <w:w w:val="80"/>
        </w:rPr>
        <w:t xml:space="preserve">ꎬ </w:t>
      </w:r>
      <w:r>
        <w:t>以煽动分裂国家罪或者煽动颠覆国家政权罪定罪处罚</w:t>
      </w:r>
      <w:r>
        <w:rPr>
          <w:rFonts w:hint="eastAsia" w:ascii="MS UI Gothic" w:eastAsia="MS UI Gothic"/>
          <w:w w:val="80"/>
        </w:rPr>
        <w:t>ꎮ</w:t>
      </w:r>
    </w:p>
    <w:p>
      <w:pPr>
        <w:pStyle w:val="6"/>
        <w:spacing w:line="295" w:lineRule="auto"/>
        <w:ind w:right="39"/>
        <w:rPr>
          <w:rFonts w:hint="eastAsia" w:ascii="MS UI Gothic" w:eastAsia="MS UI Gothic"/>
        </w:rPr>
      </w:pPr>
      <w:r>
        <w:rPr>
          <w:w w:val="105"/>
        </w:rPr>
        <w:t>网络服务提供者不履行法律</w:t>
      </w:r>
      <w:r>
        <w:rPr>
          <w:rFonts w:hint="eastAsia" w:ascii="MS UI Gothic" w:eastAsia="MS UI Gothic"/>
          <w:w w:val="80"/>
        </w:rPr>
        <w:t xml:space="preserve">、 </w:t>
      </w:r>
      <w:r>
        <w:rPr>
          <w:w w:val="105"/>
        </w:rPr>
        <w:t>行政法</w:t>
      </w:r>
      <w:r>
        <w:t>规规定的信息网络安全管理义务</w:t>
      </w:r>
      <w:r>
        <w:rPr>
          <w:rFonts w:hint="eastAsia" w:ascii="MS UI Gothic" w:eastAsia="MS UI Gothic"/>
          <w:w w:val="80"/>
        </w:rPr>
        <w:t xml:space="preserve">ꎬ </w:t>
      </w:r>
      <w:r>
        <w:t>经监管部门责令采取改正措施而拒不改正</w:t>
      </w:r>
      <w:r>
        <w:rPr>
          <w:rFonts w:hint="eastAsia" w:ascii="MS UI Gothic" w:eastAsia="MS UI Gothic"/>
          <w:w w:val="80"/>
        </w:rPr>
        <w:t xml:space="preserve">ꎬ </w:t>
      </w:r>
      <w:r>
        <w:t>致使虚假疫情信息或者其他违法信息大量传播的</w:t>
      </w:r>
      <w:r>
        <w:rPr>
          <w:rFonts w:hint="eastAsia" w:ascii="MS UI Gothic" w:eastAsia="MS UI Gothic"/>
          <w:w w:val="80"/>
        </w:rPr>
        <w:t xml:space="preserve">ꎬ </w:t>
      </w:r>
      <w:r>
        <w:t>依照刑法第二百八十六条之一的规定</w:t>
      </w:r>
      <w:r>
        <w:rPr>
          <w:rFonts w:hint="eastAsia" w:ascii="MS UI Gothic" w:eastAsia="MS UI Gothic"/>
          <w:w w:val="80"/>
        </w:rPr>
        <w:t xml:space="preserve">ꎬ </w:t>
      </w:r>
      <w:r>
        <w:t>以拒不履行信息网络安全管理义务罪</w:t>
      </w:r>
      <w:r>
        <w:rPr>
          <w:w w:val="105"/>
        </w:rPr>
        <w:t>定罪处罚</w:t>
      </w:r>
      <w:r>
        <w:rPr>
          <w:rFonts w:hint="eastAsia" w:ascii="MS UI Gothic" w:eastAsia="MS UI Gothic"/>
          <w:w w:val="80"/>
        </w:rPr>
        <w:t>ꎮ</w:t>
      </w:r>
    </w:p>
    <w:p>
      <w:pPr>
        <w:pStyle w:val="6"/>
        <w:spacing w:line="295" w:lineRule="auto"/>
        <w:ind w:right="39"/>
      </w:pPr>
      <w:r>
        <w:t>对虚假疫情信息案件</w:t>
      </w:r>
      <w:r>
        <w:rPr>
          <w:rFonts w:hint="eastAsia" w:ascii="MS UI Gothic" w:eastAsia="MS UI Gothic"/>
          <w:w w:val="80"/>
        </w:rPr>
        <w:t xml:space="preserve">ꎬ </w:t>
      </w:r>
      <w:r>
        <w:t>要依法</w:t>
      </w:r>
      <w:r>
        <w:rPr>
          <w:rFonts w:hint="eastAsia" w:ascii="MS UI Gothic" w:eastAsia="MS UI Gothic"/>
        </w:rPr>
        <w:t xml:space="preserve">、 </w:t>
      </w:r>
      <w:r>
        <w:t>精准</w:t>
      </w:r>
      <w:r>
        <w:rPr>
          <w:rFonts w:hint="eastAsia" w:ascii="MS UI Gothic" w:eastAsia="MS UI Gothic"/>
        </w:rPr>
        <w:t xml:space="preserve">、 </w:t>
      </w:r>
      <w:r>
        <w:t>恰当处置</w:t>
      </w:r>
      <w:r>
        <w:rPr>
          <w:rFonts w:hint="eastAsia" w:ascii="MS UI Gothic" w:eastAsia="MS UI Gothic"/>
          <w:w w:val="80"/>
        </w:rPr>
        <w:t xml:space="preserve">ꎮ </w:t>
      </w:r>
      <w:r>
        <w:t>对恶意编造虚假疫情信息</w:t>
      </w:r>
      <w:r>
        <w:rPr>
          <w:rFonts w:hint="eastAsia" w:ascii="MS UI Gothic" w:eastAsia="MS UI Gothic"/>
          <w:w w:val="80"/>
        </w:rPr>
        <w:t xml:space="preserve">ꎬ </w:t>
      </w:r>
      <w:r>
        <w:t>制造社会恐慌</w:t>
      </w:r>
      <w:r>
        <w:rPr>
          <w:rFonts w:hint="eastAsia" w:ascii="MS UI Gothic" w:eastAsia="MS UI Gothic"/>
          <w:w w:val="80"/>
        </w:rPr>
        <w:t xml:space="preserve">ꎬ </w:t>
      </w:r>
      <w:r>
        <w:t>挑动社会情绪</w:t>
      </w:r>
      <w:r>
        <w:rPr>
          <w:rFonts w:hint="eastAsia" w:ascii="MS UI Gothic" w:eastAsia="MS UI Gothic"/>
          <w:w w:val="80"/>
        </w:rPr>
        <w:t xml:space="preserve">ꎬ </w:t>
      </w:r>
      <w:r>
        <w:t>扰乱</w:t>
      </w:r>
    </w:p>
    <w:p>
      <w:pPr>
        <w:pStyle w:val="6"/>
        <w:spacing w:before="123" w:line="295" w:lineRule="auto"/>
        <w:ind w:right="442" w:firstLine="0"/>
        <w:rPr>
          <w:rFonts w:hint="eastAsia" w:ascii="MS UI Gothic" w:eastAsia="MS UI Gothic"/>
        </w:rPr>
      </w:pPr>
      <w:r>
        <w:br w:type="column"/>
      </w:r>
      <w:r>
        <w:t>公共秩序</w:t>
      </w:r>
      <w:r>
        <w:rPr>
          <w:rFonts w:hint="eastAsia" w:ascii="MS UI Gothic" w:eastAsia="MS UI Gothic"/>
          <w:w w:val="80"/>
        </w:rPr>
        <w:t xml:space="preserve">ꎬ </w:t>
      </w:r>
      <w:r>
        <w:t>特别是恶意攻击党和政府</w:t>
      </w:r>
      <w:r>
        <w:rPr>
          <w:rFonts w:hint="eastAsia" w:ascii="MS UI Gothic" w:eastAsia="MS UI Gothic"/>
          <w:w w:val="80"/>
        </w:rPr>
        <w:t xml:space="preserve">ꎬ </w:t>
      </w:r>
      <w:r>
        <w:t>借机煽动颠覆国家政权</w:t>
      </w:r>
      <w:r>
        <w:rPr>
          <w:rFonts w:hint="eastAsia" w:ascii="MS UI Gothic" w:eastAsia="MS UI Gothic"/>
        </w:rPr>
        <w:t xml:space="preserve">、 </w:t>
      </w:r>
      <w:r>
        <w:t>推翻社会主义制度的</w:t>
      </w:r>
      <w:r>
        <w:rPr>
          <w:rFonts w:hint="eastAsia" w:ascii="MS UI Gothic" w:eastAsia="MS UI Gothic"/>
          <w:w w:val="80"/>
        </w:rPr>
        <w:t xml:space="preserve">ꎬ </w:t>
      </w:r>
      <w:r>
        <w:t>要依法严惩</w:t>
      </w:r>
      <w:r>
        <w:rPr>
          <w:rFonts w:hint="eastAsia" w:ascii="MS UI Gothic" w:eastAsia="MS UI Gothic"/>
          <w:w w:val="80"/>
        </w:rPr>
        <w:t xml:space="preserve">ꎮ </w:t>
      </w:r>
      <w:r>
        <w:t>对于因轻信而传播虚假信息</w:t>
      </w:r>
      <w:r>
        <w:rPr>
          <w:rFonts w:hint="eastAsia" w:ascii="MS UI Gothic" w:eastAsia="MS UI Gothic"/>
          <w:w w:val="80"/>
        </w:rPr>
        <w:t xml:space="preserve">ꎬ </w:t>
      </w:r>
      <w:r>
        <w:t>危害不大的</w:t>
      </w:r>
      <w:r>
        <w:rPr>
          <w:rFonts w:hint="eastAsia" w:ascii="MS UI Gothic" w:eastAsia="MS UI Gothic"/>
          <w:w w:val="80"/>
        </w:rPr>
        <w:t xml:space="preserve">ꎬ </w:t>
      </w:r>
      <w:r>
        <w:t>不以犯罪论处</w:t>
      </w:r>
      <w:r>
        <w:rPr>
          <w:rFonts w:hint="eastAsia" w:ascii="MS UI Gothic" w:eastAsia="MS UI Gothic"/>
          <w:w w:val="80"/>
        </w:rPr>
        <w:t>ꎮ</w:t>
      </w:r>
    </w:p>
    <w:p>
      <w:pPr>
        <w:pStyle w:val="6"/>
        <w:spacing w:line="295" w:lineRule="auto"/>
        <w:ind w:right="440"/>
        <w:rPr>
          <w:rFonts w:hint="eastAsia" w:ascii="MS UI Gothic" w:eastAsia="MS UI Gothic"/>
        </w:rPr>
      </w:pPr>
      <w:r>
        <w:rPr>
          <w:rFonts w:hint="eastAsia" w:ascii="MS UI Gothic" w:eastAsia="MS UI Gothic"/>
          <w:w w:val="150"/>
        </w:rPr>
        <w:t xml:space="preserve">( </w:t>
      </w:r>
      <w:r>
        <w:t>七</w:t>
      </w:r>
      <w:r>
        <w:rPr>
          <w:rFonts w:hint="eastAsia" w:ascii="MS UI Gothic" w:eastAsia="MS UI Gothic"/>
          <w:w w:val="150"/>
        </w:rPr>
        <w:t xml:space="preserve">) </w:t>
      </w:r>
      <w:r>
        <w:t>依法严惩疫情防控失职渎职</w:t>
      </w:r>
      <w:r>
        <w:rPr>
          <w:rFonts w:hint="eastAsia" w:ascii="MS UI Gothic" w:eastAsia="MS UI Gothic"/>
          <w:w w:val="80"/>
        </w:rPr>
        <w:t>、</w:t>
      </w:r>
      <w:r>
        <w:t>贪污挪用犯罪</w:t>
      </w:r>
      <w:r>
        <w:rPr>
          <w:rFonts w:hint="eastAsia" w:ascii="MS UI Gothic" w:eastAsia="MS UI Gothic"/>
          <w:w w:val="80"/>
        </w:rPr>
        <w:t xml:space="preserve">ꎮ </w:t>
      </w:r>
      <w:r>
        <w:t>在疫情防控工作中</w:t>
      </w:r>
      <w:r>
        <w:rPr>
          <w:rFonts w:hint="eastAsia" w:ascii="MS UI Gothic" w:eastAsia="MS UI Gothic"/>
          <w:w w:val="80"/>
        </w:rPr>
        <w:t xml:space="preserve">ꎬ </w:t>
      </w:r>
      <w:r>
        <w:t>负有组织</w:t>
      </w:r>
      <w:r>
        <w:rPr>
          <w:rFonts w:hint="eastAsia" w:ascii="MS UI Gothic" w:eastAsia="MS UI Gothic"/>
          <w:w w:val="80"/>
        </w:rPr>
        <w:t xml:space="preserve">、 </w:t>
      </w:r>
      <w:r>
        <w:t>协调</w:t>
      </w:r>
      <w:r>
        <w:rPr>
          <w:rFonts w:hint="eastAsia" w:ascii="MS UI Gothic" w:eastAsia="MS UI Gothic"/>
          <w:w w:val="80"/>
        </w:rPr>
        <w:t xml:space="preserve">、 </w:t>
      </w:r>
      <w:r>
        <w:t>指挥</w:t>
      </w:r>
      <w:r>
        <w:rPr>
          <w:rFonts w:hint="eastAsia" w:ascii="MS UI Gothic" w:eastAsia="MS UI Gothic"/>
          <w:w w:val="80"/>
        </w:rPr>
        <w:t xml:space="preserve">、 </w:t>
      </w:r>
      <w:r>
        <w:t>灾害调查</w:t>
      </w:r>
      <w:r>
        <w:rPr>
          <w:rFonts w:hint="eastAsia" w:ascii="MS UI Gothic" w:eastAsia="MS UI Gothic"/>
          <w:w w:val="80"/>
        </w:rPr>
        <w:t xml:space="preserve">、  </w:t>
      </w:r>
      <w:r>
        <w:t>控制</w:t>
      </w:r>
      <w:r>
        <w:rPr>
          <w:rFonts w:hint="eastAsia" w:ascii="MS UI Gothic" w:eastAsia="MS UI Gothic"/>
          <w:w w:val="80"/>
        </w:rPr>
        <w:t xml:space="preserve">、  </w:t>
      </w:r>
      <w:r>
        <w:t>医疗救治</w:t>
      </w:r>
      <w:r>
        <w:rPr>
          <w:rFonts w:hint="eastAsia" w:ascii="MS UI Gothic" w:eastAsia="MS UI Gothic"/>
          <w:w w:val="80"/>
        </w:rPr>
        <w:t xml:space="preserve">、 </w:t>
      </w:r>
      <w:r>
        <w:t>信息传递</w:t>
      </w:r>
      <w:r>
        <w:rPr>
          <w:rFonts w:hint="eastAsia" w:ascii="MS UI Gothic" w:eastAsia="MS UI Gothic"/>
          <w:w w:val="80"/>
        </w:rPr>
        <w:t xml:space="preserve">、 </w:t>
      </w:r>
      <w:r>
        <w:t>交通运输</w:t>
      </w:r>
      <w:r>
        <w:rPr>
          <w:rFonts w:hint="eastAsia" w:ascii="MS UI Gothic" w:eastAsia="MS UI Gothic"/>
          <w:w w:val="80"/>
        </w:rPr>
        <w:t xml:space="preserve">、 </w:t>
      </w:r>
      <w:r>
        <w:t>物资保障等职责的国家机关工作人员</w:t>
      </w:r>
      <w:r>
        <w:rPr>
          <w:rFonts w:hint="eastAsia" w:ascii="MS UI Gothic" w:eastAsia="MS UI Gothic"/>
          <w:w w:val="80"/>
        </w:rPr>
        <w:t xml:space="preserve">ꎬ </w:t>
      </w:r>
      <w:r>
        <w:t>滥用职权或者玩忽职守</w:t>
      </w:r>
      <w:r>
        <w:rPr>
          <w:rFonts w:hint="eastAsia" w:ascii="MS UI Gothic" w:eastAsia="MS UI Gothic"/>
          <w:w w:val="80"/>
        </w:rPr>
        <w:t xml:space="preserve">ꎬ </w:t>
      </w:r>
      <w:r>
        <w:t>致使公共财产</w:t>
      </w:r>
      <w:r>
        <w:rPr>
          <w:rFonts w:hint="eastAsia" w:ascii="MS UI Gothic" w:eastAsia="MS UI Gothic"/>
          <w:w w:val="80"/>
        </w:rPr>
        <w:t xml:space="preserve">、 </w:t>
      </w:r>
      <w:r>
        <w:t>国家和人民利益遭受重大损失的</w:t>
      </w:r>
      <w:r>
        <w:rPr>
          <w:rFonts w:hint="eastAsia" w:ascii="MS UI Gothic" w:eastAsia="MS UI Gothic"/>
          <w:w w:val="80"/>
        </w:rPr>
        <w:t xml:space="preserve">ꎬ </w:t>
      </w:r>
      <w:r>
        <w:t>依照刑法第三百九十七条的规定</w:t>
      </w:r>
      <w:r>
        <w:rPr>
          <w:rFonts w:hint="eastAsia" w:ascii="MS UI Gothic" w:eastAsia="MS UI Gothic"/>
          <w:w w:val="80"/>
        </w:rPr>
        <w:t xml:space="preserve">ꎬ </w:t>
      </w:r>
      <w:r>
        <w:t>以滥用职权罪或者玩忽职守罪定罪处罚</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卫生行政部门的工作人员严重不负责</w:t>
      </w:r>
      <w:r>
        <w:rPr>
          <w:spacing w:val="3"/>
        </w:rPr>
        <w:t>任</w:t>
      </w:r>
      <w:r>
        <w:rPr>
          <w:rFonts w:hint="eastAsia" w:ascii="MS UI Gothic" w:eastAsia="MS UI Gothic"/>
          <w:spacing w:val="18"/>
          <w:w w:val="80"/>
        </w:rPr>
        <w:t xml:space="preserve">ꎬ </w:t>
      </w:r>
      <w:r>
        <w:rPr>
          <w:spacing w:val="14"/>
        </w:rPr>
        <w:t>不履行或者不认真履行防治监管职</w:t>
      </w:r>
      <w:r>
        <w:rPr>
          <w:spacing w:val="3"/>
        </w:rPr>
        <w:t>责</w:t>
      </w:r>
      <w:r>
        <w:rPr>
          <w:rFonts w:hint="eastAsia" w:ascii="MS UI Gothic" w:eastAsia="MS UI Gothic"/>
          <w:spacing w:val="20"/>
          <w:w w:val="80"/>
        </w:rPr>
        <w:t xml:space="preserve">ꎬ </w:t>
      </w:r>
      <w:r>
        <w:rPr>
          <w:spacing w:val="2"/>
        </w:rPr>
        <w:t>导致新型冠状病毒感染肺炎传播或者</w:t>
      </w:r>
      <w:r>
        <w:rPr>
          <w:spacing w:val="3"/>
        </w:rPr>
        <w:t>流行</w:t>
      </w:r>
      <w:r>
        <w:rPr>
          <w:rFonts w:hint="eastAsia" w:ascii="MS UI Gothic" w:eastAsia="MS UI Gothic"/>
          <w:spacing w:val="23"/>
          <w:w w:val="80"/>
        </w:rPr>
        <w:t xml:space="preserve">ꎬ </w:t>
      </w:r>
      <w:r>
        <w:rPr>
          <w:spacing w:val="3"/>
        </w:rPr>
        <w:t>情节严重的</w:t>
      </w:r>
      <w:r>
        <w:rPr>
          <w:rFonts w:hint="eastAsia" w:ascii="MS UI Gothic" w:eastAsia="MS UI Gothic"/>
          <w:spacing w:val="23"/>
          <w:w w:val="80"/>
        </w:rPr>
        <w:t xml:space="preserve">ꎬ </w:t>
      </w:r>
      <w:r>
        <w:rPr>
          <w:spacing w:val="2"/>
        </w:rPr>
        <w:t>依照刑法第四百零九</w:t>
      </w:r>
      <w:r>
        <w:rPr>
          <w:spacing w:val="21"/>
        </w:rPr>
        <w:t>条的规定</w:t>
      </w:r>
      <w:r>
        <w:rPr>
          <w:rFonts w:hint="eastAsia" w:ascii="MS UI Gothic" w:eastAsia="MS UI Gothic"/>
          <w:spacing w:val="1"/>
          <w:w w:val="80"/>
        </w:rPr>
        <w:t xml:space="preserve">ꎬ </w:t>
      </w:r>
      <w:r>
        <w:rPr>
          <w:spacing w:val="30"/>
        </w:rPr>
        <w:t>以传染病防治失职罪定罪</w:t>
      </w:r>
      <w:r>
        <w:rPr>
          <w:spacing w:val="3"/>
        </w:rPr>
        <w:t>处罚</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从事实验</w:t>
      </w:r>
      <w:r>
        <w:rPr>
          <w:rFonts w:hint="eastAsia" w:ascii="MS UI Gothic" w:eastAsia="MS UI Gothic"/>
          <w:spacing w:val="14"/>
          <w:w w:val="80"/>
        </w:rPr>
        <w:t xml:space="preserve">、 </w:t>
      </w:r>
      <w:r>
        <w:rPr>
          <w:spacing w:val="3"/>
        </w:rPr>
        <w:t>保藏</w:t>
      </w:r>
      <w:r>
        <w:rPr>
          <w:rFonts w:hint="eastAsia" w:ascii="MS UI Gothic" w:eastAsia="MS UI Gothic"/>
          <w:spacing w:val="14"/>
          <w:w w:val="80"/>
        </w:rPr>
        <w:t xml:space="preserve">、 </w:t>
      </w:r>
      <w:r>
        <w:rPr>
          <w:spacing w:val="3"/>
        </w:rPr>
        <w:t>携带</w:t>
      </w:r>
      <w:r>
        <w:rPr>
          <w:rFonts w:hint="eastAsia" w:ascii="MS UI Gothic" w:eastAsia="MS UI Gothic"/>
          <w:spacing w:val="14"/>
          <w:w w:val="80"/>
        </w:rPr>
        <w:t xml:space="preserve">、 </w:t>
      </w:r>
      <w:r>
        <w:rPr>
          <w:spacing w:val="2"/>
        </w:rPr>
        <w:t>运输传染病</w:t>
      </w:r>
      <w:r>
        <w:rPr>
          <w:spacing w:val="3"/>
        </w:rPr>
        <w:t>菌种</w:t>
      </w:r>
      <w:r>
        <w:rPr>
          <w:rFonts w:hint="eastAsia" w:ascii="MS UI Gothic" w:eastAsia="MS UI Gothic"/>
          <w:spacing w:val="11"/>
          <w:w w:val="80"/>
        </w:rPr>
        <w:t xml:space="preserve">、 </w:t>
      </w:r>
      <w:r>
        <w:rPr>
          <w:spacing w:val="3"/>
        </w:rPr>
        <w:t>毒种的人员</w:t>
      </w:r>
      <w:r>
        <w:rPr>
          <w:rFonts w:hint="eastAsia" w:ascii="MS UI Gothic" w:eastAsia="MS UI Gothic"/>
          <w:spacing w:val="11"/>
          <w:w w:val="80"/>
        </w:rPr>
        <w:t xml:space="preserve">ꎬ </w:t>
      </w:r>
      <w:r>
        <w:rPr>
          <w:spacing w:val="2"/>
        </w:rPr>
        <w:t>违反国务院卫生行政</w:t>
      </w:r>
      <w:r>
        <w:rPr>
          <w:spacing w:val="3"/>
        </w:rPr>
        <w:t>部门的有关规定</w:t>
      </w:r>
      <w:r>
        <w:rPr>
          <w:rFonts w:hint="eastAsia" w:ascii="MS UI Gothic" w:eastAsia="MS UI Gothic"/>
          <w:spacing w:val="20"/>
          <w:w w:val="80"/>
        </w:rPr>
        <w:t xml:space="preserve">ꎬ </w:t>
      </w:r>
      <w:r>
        <w:rPr>
          <w:spacing w:val="2"/>
        </w:rPr>
        <w:t>造成新型冠状病毒毒种</w:t>
      </w:r>
      <w:r>
        <w:rPr>
          <w:spacing w:val="3"/>
        </w:rPr>
        <w:t>扩散</w:t>
      </w:r>
      <w:r>
        <w:rPr>
          <w:rFonts w:hint="eastAsia" w:ascii="MS UI Gothic" w:eastAsia="MS UI Gothic"/>
          <w:spacing w:val="23"/>
          <w:w w:val="80"/>
        </w:rPr>
        <w:t xml:space="preserve">ꎬ </w:t>
      </w:r>
      <w:r>
        <w:rPr>
          <w:spacing w:val="3"/>
        </w:rPr>
        <w:t>后果严重的</w:t>
      </w:r>
      <w:r>
        <w:rPr>
          <w:rFonts w:hint="eastAsia" w:ascii="MS UI Gothic" w:eastAsia="MS UI Gothic"/>
          <w:spacing w:val="23"/>
          <w:w w:val="80"/>
        </w:rPr>
        <w:t xml:space="preserve">ꎬ </w:t>
      </w:r>
      <w:r>
        <w:rPr>
          <w:spacing w:val="2"/>
        </w:rPr>
        <w:t>依照刑法第三百三十</w:t>
      </w:r>
      <w:r>
        <w:rPr>
          <w:spacing w:val="10"/>
        </w:rPr>
        <w:t>一条的规定</w:t>
      </w:r>
      <w:r>
        <w:rPr>
          <w:rFonts w:hint="eastAsia" w:ascii="MS UI Gothic" w:eastAsia="MS UI Gothic"/>
          <w:spacing w:val="23"/>
          <w:w w:val="80"/>
        </w:rPr>
        <w:t xml:space="preserve">ꎬ </w:t>
      </w:r>
      <w:r>
        <w:rPr>
          <w:spacing w:val="17"/>
        </w:rPr>
        <w:t>以传染病毒种扩散罪定罪</w:t>
      </w:r>
      <w:r>
        <w:rPr>
          <w:spacing w:val="3"/>
        </w:rPr>
        <w:t>处罚</w:t>
      </w:r>
      <w:r>
        <w:rPr>
          <w:rFonts w:hint="eastAsia" w:ascii="MS UI Gothic" w:eastAsia="MS UI Gothic"/>
          <w:w w:val="80"/>
        </w:rPr>
        <w:t>ꎮ</w:t>
      </w:r>
    </w:p>
    <w:p>
      <w:pPr>
        <w:pStyle w:val="6"/>
        <w:spacing w:line="295" w:lineRule="auto"/>
        <w:ind w:right="442"/>
        <w:rPr>
          <w:rFonts w:hint="eastAsia" w:ascii="MS UI Gothic" w:eastAsia="MS UI Gothic"/>
        </w:rPr>
      </w:pPr>
      <w:r>
        <w:t>国家工作人员</w:t>
      </w:r>
      <w:r>
        <w:rPr>
          <w:rFonts w:hint="eastAsia" w:ascii="MS UI Gothic" w:eastAsia="MS UI Gothic"/>
          <w:w w:val="80"/>
        </w:rPr>
        <w:t xml:space="preserve">ꎬ </w:t>
      </w:r>
      <w:r>
        <w:t>受委托管理国有财产的人员</w:t>
      </w:r>
      <w:r>
        <w:rPr>
          <w:rFonts w:hint="eastAsia" w:ascii="MS UI Gothic" w:eastAsia="MS UI Gothic"/>
          <w:w w:val="80"/>
        </w:rPr>
        <w:t xml:space="preserve">ꎬ </w:t>
      </w:r>
      <w:r>
        <w:t>公司</w:t>
      </w:r>
      <w:r>
        <w:rPr>
          <w:rFonts w:hint="eastAsia" w:ascii="MS UI Gothic" w:eastAsia="MS UI Gothic"/>
          <w:w w:val="80"/>
        </w:rPr>
        <w:t xml:space="preserve">、 </w:t>
      </w:r>
      <w:r>
        <w:t>企业或者其他单位的人员</w:t>
      </w:r>
      <w:r>
        <w:rPr>
          <w:rFonts w:hint="eastAsia" w:ascii="MS UI Gothic" w:eastAsia="MS UI Gothic"/>
          <w:w w:val="80"/>
        </w:rPr>
        <w:t xml:space="preserve">ꎬ </w:t>
      </w:r>
      <w:r>
        <w:t>利用职务便利</w:t>
      </w:r>
      <w:r>
        <w:rPr>
          <w:rFonts w:hint="eastAsia" w:ascii="MS UI Gothic" w:eastAsia="MS UI Gothic"/>
          <w:w w:val="80"/>
        </w:rPr>
        <w:t xml:space="preserve">ꎬ </w:t>
      </w:r>
      <w:r>
        <w:t>侵吞</w:t>
      </w:r>
      <w:r>
        <w:rPr>
          <w:rFonts w:hint="eastAsia" w:ascii="MS UI Gothic" w:eastAsia="MS UI Gothic"/>
          <w:w w:val="80"/>
        </w:rPr>
        <w:t xml:space="preserve">、 </w:t>
      </w:r>
      <w:r>
        <w:t>截留或者以其他手段非法占有用于防控新型冠状病毒感染肺炎的款物</w:t>
      </w:r>
      <w:r>
        <w:rPr>
          <w:rFonts w:hint="eastAsia" w:ascii="MS UI Gothic" w:eastAsia="MS UI Gothic"/>
          <w:w w:val="80"/>
        </w:rPr>
        <w:t xml:space="preserve">ꎬ </w:t>
      </w:r>
      <w:r>
        <w:t>或者挪用上述款物归个人使用</w:t>
      </w:r>
      <w:r>
        <w:rPr>
          <w:rFonts w:hint="eastAsia" w:ascii="MS UI Gothic" w:eastAsia="MS UI Gothic"/>
          <w:w w:val="80"/>
        </w:rPr>
        <w:t xml:space="preserve">ꎬ </w:t>
      </w:r>
      <w:r>
        <w:t>符合刑法第三百八十二条</w:t>
      </w:r>
      <w:r>
        <w:rPr>
          <w:rFonts w:hint="eastAsia" w:ascii="MS UI Gothic" w:eastAsia="MS UI Gothic"/>
          <w:w w:val="80"/>
        </w:rPr>
        <w:t xml:space="preserve">、 </w:t>
      </w:r>
      <w:r>
        <w:t>第三百八十三条</w:t>
      </w:r>
      <w:r>
        <w:rPr>
          <w:rFonts w:hint="eastAsia" w:ascii="MS UI Gothic" w:eastAsia="MS UI Gothic"/>
          <w:w w:val="80"/>
        </w:rPr>
        <w:t xml:space="preserve">、 </w:t>
      </w:r>
      <w:r>
        <w:t>第二百七十一条</w:t>
      </w:r>
      <w:r>
        <w:rPr>
          <w:rFonts w:hint="eastAsia" w:ascii="MS UI Gothic" w:eastAsia="MS UI Gothic"/>
          <w:w w:val="80"/>
        </w:rPr>
        <w:t xml:space="preserve">、 </w:t>
      </w:r>
      <w:r>
        <w:t>第三百八十四条</w:t>
      </w:r>
      <w:r>
        <w:rPr>
          <w:rFonts w:hint="eastAsia" w:ascii="MS UI Gothic" w:eastAsia="MS UI Gothic"/>
          <w:w w:val="80"/>
        </w:rPr>
        <w:t xml:space="preserve">、 </w:t>
      </w:r>
      <w:r>
        <w:t>第二百七十二条规定的</w:t>
      </w:r>
      <w:r>
        <w:rPr>
          <w:rFonts w:hint="eastAsia" w:ascii="MS UI Gothic" w:eastAsia="MS UI Gothic"/>
          <w:w w:val="80"/>
        </w:rPr>
        <w:t xml:space="preserve">ꎬ </w:t>
      </w:r>
      <w:r>
        <w:t>以贪污罪</w:t>
      </w:r>
      <w:r>
        <w:rPr>
          <w:rFonts w:hint="eastAsia" w:ascii="MS UI Gothic" w:eastAsia="MS UI Gothic"/>
          <w:w w:val="80"/>
        </w:rPr>
        <w:t xml:space="preserve">、 </w:t>
      </w:r>
      <w:r>
        <w:t>职务侵占罪</w:t>
      </w:r>
      <w:r>
        <w:rPr>
          <w:rFonts w:hint="eastAsia" w:ascii="MS UI Gothic" w:eastAsia="MS UI Gothic"/>
          <w:w w:val="80"/>
        </w:rPr>
        <w:t xml:space="preserve">、 </w:t>
      </w:r>
      <w:r>
        <w:t>挪用公款罪</w:t>
      </w:r>
      <w:r>
        <w:rPr>
          <w:rFonts w:hint="eastAsia" w:ascii="MS UI Gothic" w:eastAsia="MS UI Gothic"/>
          <w:w w:val="80"/>
        </w:rPr>
        <w:t xml:space="preserve">、 </w:t>
      </w:r>
      <w:r>
        <w:t>挪用资金罪定罪处罚</w:t>
      </w:r>
      <w:r>
        <w:rPr>
          <w:rFonts w:hint="eastAsia" w:ascii="MS UI Gothic" w:eastAsia="MS UI Gothic"/>
          <w:w w:val="80"/>
        </w:rPr>
        <w:t xml:space="preserve">ꎮ </w:t>
      </w:r>
      <w:r>
        <w:t>挪用用于防控新型冠状病毒感染肺炎的救灾</w:t>
      </w:r>
      <w:r>
        <w:rPr>
          <w:rFonts w:hint="eastAsia" w:ascii="MS UI Gothic" w:eastAsia="MS UI Gothic"/>
          <w:w w:val="80"/>
        </w:rPr>
        <w:t xml:space="preserve">、 </w:t>
      </w:r>
      <w:r>
        <w:t>优抚</w:t>
      </w:r>
      <w:r>
        <w:rPr>
          <w:rFonts w:hint="eastAsia" w:ascii="MS UI Gothic" w:eastAsia="MS UI Gothic"/>
          <w:w w:val="80"/>
        </w:rPr>
        <w:t xml:space="preserve">、 </w:t>
      </w:r>
      <w:r>
        <w:t>救济等款物</w:t>
      </w:r>
      <w:r>
        <w:rPr>
          <w:rFonts w:hint="eastAsia" w:ascii="MS UI Gothic" w:eastAsia="MS UI Gothic"/>
          <w:w w:val="80"/>
        </w:rPr>
        <w:t xml:space="preserve">ꎬ </w:t>
      </w:r>
      <w:r>
        <w:t>符合刑法第二百七十三条规定的</w:t>
      </w:r>
      <w:r>
        <w:rPr>
          <w:rFonts w:hint="eastAsia" w:ascii="MS UI Gothic" w:eastAsia="MS UI Gothic"/>
          <w:w w:val="80"/>
        </w:rPr>
        <w:t xml:space="preserve">ꎬ </w:t>
      </w:r>
      <w:r>
        <w:t>对直接责任人员</w:t>
      </w:r>
      <w:r>
        <w:rPr>
          <w:rFonts w:hint="eastAsia" w:ascii="MS UI Gothic" w:eastAsia="MS UI Gothic"/>
          <w:w w:val="80"/>
        </w:rPr>
        <w:t xml:space="preserve">ꎬ </w:t>
      </w:r>
      <w:r>
        <w:t>以挪用特定款物罪定罪处罚</w:t>
      </w:r>
      <w:r>
        <w:rPr>
          <w:rFonts w:hint="eastAsia" w:ascii="MS UI Gothic" w:eastAsia="MS UI Gothic"/>
          <w:w w:val="80"/>
        </w:rPr>
        <w:t>ꎮ</w:t>
      </w:r>
    </w:p>
    <w:p>
      <w:pPr>
        <w:pStyle w:val="6"/>
        <w:spacing w:line="246" w:lineRule="exact"/>
        <w:ind w:left="543" w:firstLine="0"/>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依法严惩破坏交通设施犯罪</w:t>
      </w:r>
      <w:r>
        <w:rPr>
          <w:rFonts w:hint="eastAsia" w:ascii="MS UI Gothic" w:eastAsia="MS UI Gothic"/>
          <w:w w:val="80"/>
        </w:rPr>
        <w:t>ꎮ</w:t>
      </w:r>
    </w:p>
    <w:p>
      <w:pPr>
        <w:spacing w:after="0" w:line="246" w:lineRule="exac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１９</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06" o:spid="_x0000_s1106" o:spt="203" style="height:2.15pt;width:398.25pt;" coordsize="7965,43">
            <o:lock v:ext="edit"/>
            <v:line id="_x0000_s1107" o:spid="_x0000_s1107" o:spt="20" style="position:absolute;left:0;top:39;height:0;width:7965;" stroked="t" coordsize="21600,21600">
              <v:path arrowok="t"/>
              <v:fill focussize="0,0"/>
              <v:stroke weight="0.388031496062992pt" color="#231F20"/>
              <v:imagedata o:title=""/>
              <o:lock v:ext="edit"/>
            </v:line>
            <v:line id="_x0000_s1108" o:spid="_x0000_s110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在疫情防控期间</w:t>
      </w:r>
      <w:r>
        <w:rPr>
          <w:rFonts w:hint="eastAsia" w:ascii="MS UI Gothic" w:eastAsia="MS UI Gothic"/>
          <w:w w:val="80"/>
        </w:rPr>
        <w:t xml:space="preserve">ꎬ </w:t>
      </w:r>
      <w:r>
        <w:t>破坏轨道</w:t>
      </w:r>
      <w:r>
        <w:rPr>
          <w:rFonts w:hint="eastAsia" w:ascii="MS UI Gothic" w:eastAsia="MS UI Gothic"/>
        </w:rPr>
        <w:t xml:space="preserve">、 </w:t>
      </w:r>
      <w:r>
        <w:t>桥梁</w:t>
      </w:r>
      <w:r>
        <w:rPr>
          <w:rFonts w:hint="eastAsia" w:ascii="MS UI Gothic" w:eastAsia="MS UI Gothic"/>
        </w:rPr>
        <w:t xml:space="preserve">、 </w:t>
      </w:r>
      <w:r>
        <w:t>隧道</w:t>
      </w:r>
      <w:r>
        <w:rPr>
          <w:rFonts w:hint="eastAsia" w:ascii="MS UI Gothic" w:eastAsia="MS UI Gothic"/>
        </w:rPr>
        <w:t xml:space="preserve">、 </w:t>
      </w:r>
      <w:r>
        <w:t>公路</w:t>
      </w:r>
      <w:r>
        <w:rPr>
          <w:rFonts w:hint="eastAsia" w:ascii="MS UI Gothic" w:eastAsia="MS UI Gothic"/>
        </w:rPr>
        <w:t xml:space="preserve">、 </w:t>
      </w:r>
      <w:r>
        <w:t>机场</w:t>
      </w:r>
      <w:r>
        <w:rPr>
          <w:rFonts w:hint="eastAsia" w:ascii="MS UI Gothic" w:eastAsia="MS UI Gothic"/>
        </w:rPr>
        <w:t xml:space="preserve">、 </w:t>
      </w:r>
      <w:r>
        <w:t>航道</w:t>
      </w:r>
      <w:r>
        <w:rPr>
          <w:rFonts w:hint="eastAsia" w:ascii="MS UI Gothic" w:eastAsia="MS UI Gothic"/>
        </w:rPr>
        <w:t xml:space="preserve">、 </w:t>
      </w:r>
      <w:r>
        <w:t>灯塔</w:t>
      </w:r>
      <w:r>
        <w:rPr>
          <w:rFonts w:hint="eastAsia" w:ascii="MS UI Gothic" w:eastAsia="MS UI Gothic"/>
        </w:rPr>
        <w:t xml:space="preserve">、 </w:t>
      </w:r>
      <w:r>
        <w:t>标志或者进行其他破坏活动</w:t>
      </w:r>
      <w:r>
        <w:rPr>
          <w:rFonts w:hint="eastAsia" w:ascii="MS UI Gothic" w:eastAsia="MS UI Gothic"/>
          <w:w w:val="80"/>
        </w:rPr>
        <w:t xml:space="preserve">ꎬ </w:t>
      </w:r>
      <w:r>
        <w:t>足以使火车</w:t>
      </w:r>
      <w:r>
        <w:rPr>
          <w:rFonts w:hint="eastAsia" w:ascii="MS UI Gothic" w:eastAsia="MS UI Gothic"/>
        </w:rPr>
        <w:t xml:space="preserve">、 </w:t>
      </w:r>
      <w:r>
        <w:t>汽车</w:t>
      </w:r>
      <w:r>
        <w:rPr>
          <w:rFonts w:hint="eastAsia" w:ascii="MS UI Gothic" w:eastAsia="MS UI Gothic"/>
        </w:rPr>
        <w:t>、</w:t>
      </w:r>
      <w:r>
        <w:t>电车</w:t>
      </w:r>
      <w:r>
        <w:rPr>
          <w:rFonts w:hint="eastAsia" w:ascii="MS UI Gothic" w:eastAsia="MS UI Gothic"/>
        </w:rPr>
        <w:t xml:space="preserve">、 </w:t>
      </w:r>
      <w:r>
        <w:t>船只</w:t>
      </w:r>
      <w:r>
        <w:rPr>
          <w:rFonts w:hint="eastAsia" w:ascii="MS UI Gothic" w:eastAsia="MS UI Gothic"/>
        </w:rPr>
        <w:t xml:space="preserve">、 </w:t>
      </w:r>
      <w:r>
        <w:t>航空器发生倾覆</w:t>
      </w:r>
      <w:r>
        <w:rPr>
          <w:rFonts w:hint="eastAsia" w:ascii="MS UI Gothic" w:eastAsia="MS UI Gothic"/>
        </w:rPr>
        <w:t xml:space="preserve">、 </w:t>
      </w:r>
      <w:r>
        <w:t>毁坏危险的</w:t>
      </w:r>
      <w:r>
        <w:rPr>
          <w:rFonts w:hint="eastAsia" w:ascii="MS UI Gothic" w:eastAsia="MS UI Gothic"/>
          <w:w w:val="80"/>
        </w:rPr>
        <w:t xml:space="preserve">ꎬ </w:t>
      </w:r>
      <w:r>
        <w:t>依照刑法第一百一十七条</w:t>
      </w:r>
      <w:r>
        <w:rPr>
          <w:rFonts w:hint="eastAsia" w:ascii="MS UI Gothic" w:eastAsia="MS UI Gothic"/>
        </w:rPr>
        <w:t xml:space="preserve">、 </w:t>
      </w:r>
      <w:r>
        <w:t>第一百一十九条第一款的规定</w:t>
      </w:r>
      <w:r>
        <w:rPr>
          <w:rFonts w:hint="eastAsia" w:ascii="MS UI Gothic" w:eastAsia="MS UI Gothic"/>
          <w:w w:val="80"/>
        </w:rPr>
        <w:t xml:space="preserve">ꎬ </w:t>
      </w:r>
      <w:r>
        <w:t>以破坏交通设施罪定罪处罚</w:t>
      </w:r>
      <w:r>
        <w:rPr>
          <w:rFonts w:hint="eastAsia" w:ascii="MS UI Gothic" w:eastAsia="MS UI Gothic"/>
          <w:w w:val="80"/>
        </w:rPr>
        <w:t>ꎮ</w:t>
      </w:r>
    </w:p>
    <w:p>
      <w:pPr>
        <w:pStyle w:val="6"/>
        <w:spacing w:line="295" w:lineRule="auto"/>
        <w:ind w:left="440" w:right="1"/>
        <w:rPr>
          <w:rFonts w:hint="eastAsia" w:ascii="MS UI Gothic" w:eastAsia="MS UI Gothic"/>
        </w:rPr>
      </w:pPr>
      <w:r>
        <w:t>办理破坏交通设施案件</w:t>
      </w:r>
      <w:r>
        <w:rPr>
          <w:rFonts w:hint="eastAsia" w:ascii="MS UI Gothic" w:eastAsia="MS UI Gothic"/>
          <w:w w:val="80"/>
        </w:rPr>
        <w:t xml:space="preserve">ꎬ </w:t>
      </w:r>
      <w:r>
        <w:t>要区分具体情况</w:t>
      </w:r>
      <w:r>
        <w:rPr>
          <w:rFonts w:hint="eastAsia" w:ascii="MS UI Gothic" w:eastAsia="MS UI Gothic"/>
          <w:w w:val="80"/>
        </w:rPr>
        <w:t xml:space="preserve">ꎬ </w:t>
      </w:r>
      <w:r>
        <w:t>依法审慎处理</w:t>
      </w:r>
      <w:r>
        <w:rPr>
          <w:rFonts w:hint="eastAsia" w:ascii="MS UI Gothic" w:eastAsia="MS UI Gothic"/>
          <w:w w:val="80"/>
        </w:rPr>
        <w:t xml:space="preserve">ꎮ </w:t>
      </w:r>
      <w:r>
        <w:t>对于为了防止疫情蔓延</w:t>
      </w:r>
      <w:r>
        <w:rPr>
          <w:rFonts w:hint="eastAsia" w:ascii="MS UI Gothic" w:eastAsia="MS UI Gothic"/>
          <w:w w:val="80"/>
        </w:rPr>
        <w:t xml:space="preserve">ꎬ </w:t>
      </w:r>
      <w:r>
        <w:t>未经批准擅自封路阻碍交通</w:t>
      </w:r>
      <w:r>
        <w:rPr>
          <w:rFonts w:hint="eastAsia" w:ascii="MS UI Gothic" w:eastAsia="MS UI Gothic"/>
          <w:w w:val="80"/>
        </w:rPr>
        <w:t xml:space="preserve">ꎬ </w:t>
      </w:r>
      <w:r>
        <w:t>未造成严重后果的</w:t>
      </w:r>
      <w:r>
        <w:rPr>
          <w:rFonts w:hint="eastAsia" w:ascii="MS UI Gothic" w:eastAsia="MS UI Gothic"/>
          <w:w w:val="80"/>
        </w:rPr>
        <w:t xml:space="preserve">ꎬ </w:t>
      </w:r>
      <w:r>
        <w:t>一般不以犯罪论处</w:t>
      </w:r>
      <w:r>
        <w:rPr>
          <w:rFonts w:hint="eastAsia" w:ascii="MS UI Gothic" w:eastAsia="MS UI Gothic"/>
          <w:w w:val="80"/>
        </w:rPr>
        <w:t xml:space="preserve">ꎬ </w:t>
      </w:r>
      <w:r>
        <w:t>由主管部门予以纠正</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九</w:t>
      </w:r>
      <w:r>
        <w:rPr>
          <w:rFonts w:hint="eastAsia" w:ascii="MS UI Gothic" w:eastAsia="MS UI Gothic"/>
          <w:w w:val="150"/>
        </w:rPr>
        <w:t xml:space="preserve">) </w:t>
      </w:r>
      <w:r>
        <w:t>依法严惩破坏野生动物资源犯罪</w:t>
      </w:r>
      <w:r>
        <w:rPr>
          <w:rFonts w:hint="eastAsia" w:ascii="MS UI Gothic" w:eastAsia="MS UI Gothic"/>
          <w:w w:val="80"/>
        </w:rPr>
        <w:t xml:space="preserve">ꎮ </w:t>
      </w:r>
      <w:r>
        <w:t>非法猎捕</w:t>
      </w:r>
      <w:r>
        <w:rPr>
          <w:rFonts w:hint="eastAsia" w:ascii="MS UI Gothic" w:eastAsia="MS UI Gothic"/>
          <w:w w:val="80"/>
        </w:rPr>
        <w:t xml:space="preserve">、 </w:t>
      </w:r>
      <w:r>
        <w:t>杀害国家重点保护的珍贵</w:t>
      </w:r>
      <w:r>
        <w:rPr>
          <w:rFonts w:hint="eastAsia" w:ascii="MS UI Gothic" w:eastAsia="MS UI Gothic"/>
          <w:w w:val="80"/>
        </w:rPr>
        <w:t xml:space="preserve">、 </w:t>
      </w:r>
      <w:r>
        <w:t>濒危野生动物的</w:t>
      </w:r>
      <w:r>
        <w:rPr>
          <w:rFonts w:hint="eastAsia" w:ascii="MS UI Gothic" w:eastAsia="MS UI Gothic"/>
          <w:w w:val="80"/>
        </w:rPr>
        <w:t xml:space="preserve">ꎬ </w:t>
      </w:r>
      <w:r>
        <w:t>或者非法收购</w:t>
      </w:r>
      <w:r>
        <w:rPr>
          <w:rFonts w:hint="eastAsia" w:ascii="MS UI Gothic" w:eastAsia="MS UI Gothic"/>
          <w:w w:val="80"/>
        </w:rPr>
        <w:t xml:space="preserve">、 </w:t>
      </w:r>
      <w:r>
        <w:t>运输</w:t>
      </w:r>
      <w:r>
        <w:rPr>
          <w:rFonts w:hint="eastAsia" w:ascii="MS UI Gothic" w:eastAsia="MS UI Gothic"/>
          <w:w w:val="80"/>
        </w:rPr>
        <w:t xml:space="preserve">、 </w:t>
      </w:r>
      <w:r>
        <w:t>出售国家重点保护的珍贵</w:t>
      </w:r>
      <w:r>
        <w:rPr>
          <w:rFonts w:hint="eastAsia" w:ascii="MS UI Gothic" w:eastAsia="MS UI Gothic"/>
          <w:w w:val="80"/>
        </w:rPr>
        <w:t xml:space="preserve">、 </w:t>
      </w:r>
      <w:r>
        <w:t>濒危野生动物及其制品的</w:t>
      </w:r>
      <w:r>
        <w:rPr>
          <w:rFonts w:hint="eastAsia" w:ascii="MS UI Gothic" w:eastAsia="MS UI Gothic"/>
          <w:w w:val="80"/>
        </w:rPr>
        <w:t xml:space="preserve">ꎬ </w:t>
      </w:r>
      <w:r>
        <w:t>依照刑法第三百四十一条第一款的规定</w:t>
      </w:r>
      <w:r>
        <w:rPr>
          <w:rFonts w:hint="eastAsia" w:ascii="MS UI Gothic" w:eastAsia="MS UI Gothic"/>
          <w:w w:val="80"/>
        </w:rPr>
        <w:t xml:space="preserve">ꎬ </w:t>
      </w:r>
      <w:r>
        <w:t>以非法猎捕</w:t>
      </w:r>
      <w:r>
        <w:rPr>
          <w:rFonts w:hint="eastAsia" w:ascii="MS UI Gothic" w:eastAsia="MS UI Gothic"/>
          <w:w w:val="80"/>
        </w:rPr>
        <w:t xml:space="preserve">、 </w:t>
      </w:r>
      <w:r>
        <w:t>杀害珍贵</w:t>
      </w:r>
      <w:r>
        <w:rPr>
          <w:rFonts w:hint="eastAsia" w:ascii="MS UI Gothic" w:eastAsia="MS UI Gothic"/>
          <w:w w:val="80"/>
        </w:rPr>
        <w:t xml:space="preserve">、 </w:t>
      </w:r>
      <w:r>
        <w:t>濒危野生动物罪或者非法收购</w:t>
      </w:r>
      <w:r>
        <w:rPr>
          <w:rFonts w:hint="eastAsia" w:ascii="MS UI Gothic" w:eastAsia="MS UI Gothic"/>
          <w:w w:val="80"/>
        </w:rPr>
        <w:t xml:space="preserve">、 </w:t>
      </w:r>
      <w:r>
        <w:t>运输</w:t>
      </w:r>
      <w:r>
        <w:rPr>
          <w:rFonts w:hint="eastAsia" w:ascii="MS UI Gothic" w:eastAsia="MS UI Gothic"/>
          <w:w w:val="80"/>
        </w:rPr>
        <w:t xml:space="preserve">、 </w:t>
      </w:r>
      <w:r>
        <w:t>出售珍贵</w:t>
      </w:r>
      <w:r>
        <w:rPr>
          <w:rFonts w:hint="eastAsia" w:ascii="MS UI Gothic" w:eastAsia="MS UI Gothic"/>
          <w:w w:val="80"/>
        </w:rPr>
        <w:t xml:space="preserve">、 </w:t>
      </w:r>
      <w:r>
        <w:t>濒危野生动物</w:t>
      </w:r>
      <w:r>
        <w:rPr>
          <w:rFonts w:hint="eastAsia" w:ascii="MS UI Gothic" w:eastAsia="MS UI Gothic"/>
          <w:w w:val="80"/>
        </w:rPr>
        <w:t xml:space="preserve">、 </w:t>
      </w:r>
      <w:r>
        <w:t>珍贵</w:t>
      </w:r>
      <w:r>
        <w:rPr>
          <w:rFonts w:hint="eastAsia" w:ascii="MS UI Gothic" w:eastAsia="MS UI Gothic"/>
          <w:w w:val="80"/>
        </w:rPr>
        <w:t xml:space="preserve">、  </w:t>
      </w:r>
      <w:r>
        <w:t>濒危野生动物制品罪定罪处罚</w:t>
      </w:r>
      <w:r>
        <w:rPr>
          <w:rFonts w:hint="eastAsia" w:ascii="MS UI Gothic" w:eastAsia="MS UI Gothic"/>
          <w:w w:val="80"/>
        </w:rPr>
        <w:t>ꎮ</w:t>
      </w:r>
    </w:p>
    <w:p>
      <w:pPr>
        <w:pStyle w:val="6"/>
        <w:spacing w:line="295" w:lineRule="auto"/>
        <w:ind w:left="440" w:right="1"/>
        <w:rPr>
          <w:rFonts w:hint="eastAsia" w:ascii="MS UI Gothic" w:eastAsia="MS UI Gothic"/>
        </w:rPr>
      </w:pPr>
      <w:r>
        <w:t>违反狩猎法规</w:t>
      </w:r>
      <w:r>
        <w:rPr>
          <w:rFonts w:hint="eastAsia" w:ascii="MS UI Gothic" w:eastAsia="MS UI Gothic"/>
          <w:w w:val="80"/>
        </w:rPr>
        <w:t xml:space="preserve">ꎬ </w:t>
      </w:r>
      <w:r>
        <w:t>在禁猎区</w:t>
      </w:r>
      <w:r>
        <w:rPr>
          <w:rFonts w:hint="eastAsia" w:ascii="MS UI Gothic" w:eastAsia="MS UI Gothic"/>
          <w:w w:val="80"/>
        </w:rPr>
        <w:t xml:space="preserve">、 </w:t>
      </w:r>
      <w:r>
        <w:t>禁猎期或者使用禁用的工具</w:t>
      </w:r>
      <w:r>
        <w:rPr>
          <w:rFonts w:hint="eastAsia" w:ascii="MS UI Gothic" w:eastAsia="MS UI Gothic"/>
          <w:w w:val="80"/>
        </w:rPr>
        <w:t xml:space="preserve">、 </w:t>
      </w:r>
      <w:r>
        <w:t>方法进行狩猎</w:t>
      </w:r>
      <w:r>
        <w:rPr>
          <w:rFonts w:hint="eastAsia" w:ascii="MS UI Gothic" w:eastAsia="MS UI Gothic"/>
          <w:w w:val="80"/>
        </w:rPr>
        <w:t xml:space="preserve">ꎬ </w:t>
      </w:r>
      <w:r>
        <w:t>破坏野生动物资源</w:t>
      </w:r>
      <w:r>
        <w:rPr>
          <w:rFonts w:hint="eastAsia" w:ascii="MS UI Gothic" w:eastAsia="MS UI Gothic"/>
          <w:w w:val="80"/>
        </w:rPr>
        <w:t xml:space="preserve">ꎬ </w:t>
      </w:r>
      <w:r>
        <w:t>情节严重的</w:t>
      </w:r>
      <w:r>
        <w:rPr>
          <w:rFonts w:hint="eastAsia" w:ascii="MS UI Gothic" w:eastAsia="MS UI Gothic"/>
          <w:w w:val="80"/>
        </w:rPr>
        <w:t xml:space="preserve">ꎬ </w:t>
      </w:r>
      <w:r>
        <w:t>依照刑法第三百四十一条第二款的规定</w:t>
      </w:r>
      <w:r>
        <w:rPr>
          <w:rFonts w:hint="eastAsia" w:ascii="MS UI Gothic" w:eastAsia="MS UI Gothic"/>
          <w:w w:val="80"/>
        </w:rPr>
        <w:t xml:space="preserve">ꎬ </w:t>
      </w:r>
      <w:r>
        <w:t>以非法狩猎罪定罪处罚</w:t>
      </w:r>
      <w:r>
        <w:rPr>
          <w:rFonts w:hint="eastAsia" w:ascii="MS UI Gothic" w:eastAsia="MS UI Gothic"/>
          <w:w w:val="80"/>
        </w:rPr>
        <w:t>ꎮ</w:t>
      </w:r>
    </w:p>
    <w:p>
      <w:pPr>
        <w:pStyle w:val="6"/>
        <w:spacing w:line="295" w:lineRule="auto"/>
        <w:ind w:left="440" w:right="1"/>
        <w:rPr>
          <w:rFonts w:hint="eastAsia" w:ascii="MS UI Gothic" w:eastAsia="MS UI Gothic"/>
        </w:rPr>
      </w:pPr>
      <w:r>
        <w:t>违反国家规定</w:t>
      </w:r>
      <w:r>
        <w:rPr>
          <w:rFonts w:hint="eastAsia" w:ascii="MS UI Gothic" w:eastAsia="MS UI Gothic"/>
          <w:w w:val="80"/>
        </w:rPr>
        <w:t xml:space="preserve">ꎬ </w:t>
      </w:r>
      <w:r>
        <w:t>非法经营非国家重点</w:t>
      </w:r>
      <w:r>
        <w:rPr>
          <w:w w:val="105"/>
        </w:rPr>
        <w:t xml:space="preserve">保护野生动物及其制品 </w:t>
      </w:r>
      <w:r>
        <w:rPr>
          <w:rFonts w:hint="eastAsia" w:ascii="MS UI Gothic" w:eastAsia="MS UI Gothic"/>
          <w:w w:val="150"/>
        </w:rPr>
        <w:t xml:space="preserve">( </w:t>
      </w:r>
      <w:r>
        <w:rPr>
          <w:w w:val="105"/>
        </w:rPr>
        <w:t>包括开办交易场所</w:t>
      </w:r>
      <w:r>
        <w:rPr>
          <w:rFonts w:hint="eastAsia" w:ascii="MS UI Gothic" w:eastAsia="MS UI Gothic"/>
          <w:w w:val="80"/>
        </w:rPr>
        <w:t xml:space="preserve">、 </w:t>
      </w:r>
      <w:r>
        <w:rPr>
          <w:w w:val="105"/>
        </w:rPr>
        <w:t>进行网络销售</w:t>
      </w:r>
      <w:r>
        <w:rPr>
          <w:rFonts w:hint="eastAsia" w:ascii="MS UI Gothic" w:eastAsia="MS UI Gothic"/>
          <w:w w:val="80"/>
        </w:rPr>
        <w:t xml:space="preserve">、 </w:t>
      </w:r>
      <w:r>
        <w:rPr>
          <w:w w:val="105"/>
        </w:rPr>
        <w:t>加工食品出售等</w:t>
      </w:r>
      <w:r>
        <w:rPr>
          <w:rFonts w:hint="eastAsia" w:ascii="MS UI Gothic" w:eastAsia="MS UI Gothic"/>
          <w:w w:val="150"/>
        </w:rPr>
        <w:t xml:space="preserve">) </w:t>
      </w:r>
      <w:r>
        <w:rPr>
          <w:rFonts w:hint="eastAsia" w:ascii="MS UI Gothic" w:eastAsia="MS UI Gothic"/>
          <w:w w:val="80"/>
        </w:rPr>
        <w:t xml:space="preserve">ꎬ </w:t>
      </w:r>
      <w:r>
        <w:rPr>
          <w:w w:val="105"/>
        </w:rPr>
        <w:t>扰乱市场秩序</w:t>
      </w:r>
      <w:r>
        <w:rPr>
          <w:rFonts w:hint="eastAsia" w:ascii="MS UI Gothic" w:eastAsia="MS UI Gothic"/>
          <w:w w:val="80"/>
        </w:rPr>
        <w:t xml:space="preserve">ꎬ </w:t>
      </w:r>
      <w:r>
        <w:rPr>
          <w:w w:val="105"/>
        </w:rPr>
        <w:t>情节严重的</w:t>
      </w:r>
      <w:r>
        <w:rPr>
          <w:rFonts w:hint="eastAsia" w:ascii="MS UI Gothic" w:eastAsia="MS UI Gothic"/>
          <w:w w:val="80"/>
        </w:rPr>
        <w:t xml:space="preserve">ꎬ </w:t>
      </w:r>
      <w:r>
        <w:rPr>
          <w:w w:val="105"/>
        </w:rPr>
        <w:t>依照</w:t>
      </w:r>
      <w:r>
        <w:t>刑法第二百二十五条第四项的规定</w:t>
      </w:r>
      <w:r>
        <w:rPr>
          <w:rFonts w:hint="eastAsia" w:ascii="MS UI Gothic" w:eastAsia="MS UI Gothic"/>
          <w:w w:val="80"/>
        </w:rPr>
        <w:t xml:space="preserve">ꎬ </w:t>
      </w:r>
      <w:r>
        <w:t>以非</w:t>
      </w:r>
      <w:r>
        <w:rPr>
          <w:w w:val="105"/>
        </w:rPr>
        <w:t>法经营罪定罪处罚</w:t>
      </w:r>
      <w:r>
        <w:rPr>
          <w:rFonts w:hint="eastAsia" w:ascii="MS UI Gothic" w:eastAsia="MS UI Gothic"/>
          <w:w w:val="80"/>
        </w:rPr>
        <w:t>ꎮ</w:t>
      </w:r>
    </w:p>
    <w:p>
      <w:pPr>
        <w:pStyle w:val="6"/>
        <w:spacing w:line="295" w:lineRule="auto"/>
        <w:ind w:left="440" w:right="1"/>
        <w:rPr>
          <w:rFonts w:hint="eastAsia" w:ascii="MS UI Gothic" w:eastAsia="MS UI Gothic"/>
        </w:rPr>
      </w:pPr>
      <w:r>
        <w:t>知道或者应当知道是国家重点保护的珍贵</w:t>
      </w:r>
      <w:r>
        <w:rPr>
          <w:rFonts w:hint="eastAsia" w:ascii="MS UI Gothic" w:eastAsia="MS UI Gothic"/>
          <w:w w:val="80"/>
        </w:rPr>
        <w:t xml:space="preserve">、 </w:t>
      </w:r>
      <w:r>
        <w:t>濒危野生动物及其制品</w:t>
      </w:r>
      <w:r>
        <w:rPr>
          <w:rFonts w:hint="eastAsia" w:ascii="MS UI Gothic" w:eastAsia="MS UI Gothic"/>
          <w:w w:val="80"/>
        </w:rPr>
        <w:t xml:space="preserve">ꎬ </w:t>
      </w:r>
      <w:r>
        <w:t>为食用或者其他目的而非法购买</w:t>
      </w:r>
      <w:r>
        <w:rPr>
          <w:rFonts w:hint="eastAsia" w:ascii="MS UI Gothic" w:eastAsia="MS UI Gothic"/>
          <w:w w:val="80"/>
        </w:rPr>
        <w:t xml:space="preserve">ꎬ </w:t>
      </w:r>
      <w:r>
        <w:t>符合刑法第三百四十一条第一款规定的</w:t>
      </w:r>
      <w:r>
        <w:rPr>
          <w:rFonts w:hint="eastAsia" w:ascii="MS UI Gothic" w:eastAsia="MS UI Gothic"/>
          <w:w w:val="80"/>
        </w:rPr>
        <w:t xml:space="preserve">ꎬ </w:t>
      </w:r>
      <w:r>
        <w:t>以非法收购珍贵</w:t>
      </w:r>
      <w:r>
        <w:rPr>
          <w:rFonts w:hint="eastAsia" w:ascii="MS UI Gothic" w:eastAsia="MS UI Gothic"/>
          <w:w w:val="80"/>
        </w:rPr>
        <w:t xml:space="preserve">、 </w:t>
      </w:r>
      <w:r>
        <w:t>濒危野生动物</w:t>
      </w:r>
      <w:r>
        <w:rPr>
          <w:rFonts w:hint="eastAsia" w:ascii="MS UI Gothic" w:eastAsia="MS UI Gothic"/>
          <w:w w:val="80"/>
        </w:rPr>
        <w:t xml:space="preserve">、 </w:t>
      </w:r>
      <w:r>
        <w:t>珍贵</w:t>
      </w:r>
      <w:r>
        <w:rPr>
          <w:rFonts w:hint="eastAsia" w:ascii="MS UI Gothic" w:eastAsia="MS UI Gothic"/>
          <w:w w:val="80"/>
        </w:rPr>
        <w:t xml:space="preserve">、 </w:t>
      </w:r>
      <w:r>
        <w:t>濒危野生动物制品罪定罪处罚</w:t>
      </w:r>
      <w:r>
        <w:rPr>
          <w:rFonts w:hint="eastAsia" w:ascii="MS UI Gothic" w:eastAsia="MS UI Gothic"/>
          <w:w w:val="80"/>
        </w:rPr>
        <w:t>ꎮ</w:t>
      </w:r>
    </w:p>
    <w:p>
      <w:pPr>
        <w:pStyle w:val="6"/>
        <w:spacing w:line="251" w:lineRule="exact"/>
        <w:ind w:left="860" w:firstLine="0"/>
        <w:jc w:val="left"/>
      </w:pPr>
      <w:r>
        <w:t>知道或者应当知道是非法狩猎的野生</w:t>
      </w:r>
    </w:p>
    <w:p>
      <w:pPr>
        <w:pStyle w:val="6"/>
        <w:spacing w:before="124" w:line="295" w:lineRule="auto"/>
        <w:ind w:left="381" w:right="126" w:firstLine="0"/>
        <w:rPr>
          <w:rFonts w:hint="eastAsia" w:ascii="MS UI Gothic" w:eastAsia="MS UI Gothic"/>
        </w:rPr>
      </w:pPr>
      <w:r>
        <w:br w:type="column"/>
      </w:r>
      <w:r>
        <w:t>动物而购买</w:t>
      </w:r>
      <w:r>
        <w:rPr>
          <w:rFonts w:hint="eastAsia" w:ascii="MS UI Gothic" w:eastAsia="MS UI Gothic"/>
          <w:w w:val="80"/>
        </w:rPr>
        <w:t xml:space="preserve">ꎬ </w:t>
      </w:r>
      <w:r>
        <w:t>符合刑法第三百一十二条规定的</w:t>
      </w:r>
      <w:r>
        <w:rPr>
          <w:rFonts w:hint="eastAsia" w:ascii="MS UI Gothic" w:eastAsia="MS UI Gothic"/>
          <w:w w:val="80"/>
        </w:rPr>
        <w:t xml:space="preserve">ꎬ </w:t>
      </w:r>
      <w:r>
        <w:t>以掩饰</w:t>
      </w:r>
      <w:r>
        <w:rPr>
          <w:rFonts w:hint="eastAsia" w:ascii="MS UI Gothic" w:eastAsia="MS UI Gothic"/>
          <w:w w:val="80"/>
        </w:rPr>
        <w:t xml:space="preserve">、 </w:t>
      </w:r>
      <w:r>
        <w:t>隐瞒犯罪所得罪定罪处罚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t>十</w:t>
      </w:r>
      <w:r>
        <w:rPr>
          <w:rFonts w:hint="eastAsia" w:ascii="MS UI Gothic" w:eastAsia="MS UI Gothic"/>
          <w:w w:val="150"/>
        </w:rPr>
        <w:t xml:space="preserve">) </w:t>
      </w:r>
      <w:r>
        <w:t>依法严惩妨害疫情防控的违法行为</w:t>
      </w:r>
      <w:r>
        <w:rPr>
          <w:rFonts w:hint="eastAsia" w:ascii="MS UI Gothic" w:eastAsia="MS UI Gothic"/>
          <w:w w:val="80"/>
        </w:rPr>
        <w:t xml:space="preserve">ꎮ </w:t>
      </w:r>
      <w:r>
        <w:t xml:space="preserve">实施上述 </w:t>
      </w:r>
      <w:r>
        <w:rPr>
          <w:rFonts w:hint="eastAsia" w:ascii="MS UI Gothic" w:eastAsia="MS UI Gothic"/>
          <w:w w:val="150"/>
        </w:rPr>
        <w:t xml:space="preserve">( </w:t>
      </w:r>
      <w:r>
        <w:t>一</w:t>
      </w:r>
      <w:r>
        <w:rPr>
          <w:rFonts w:hint="eastAsia" w:ascii="MS UI Gothic" w:eastAsia="MS UI Gothic"/>
          <w:w w:val="150"/>
        </w:rPr>
        <w:t xml:space="preserve">) </w:t>
      </w:r>
      <w:r>
        <w:t xml:space="preserve">至 </w:t>
      </w:r>
      <w:r>
        <w:rPr>
          <w:rFonts w:hint="eastAsia" w:ascii="MS UI Gothic" w:eastAsia="MS UI Gothic"/>
          <w:w w:val="150"/>
        </w:rPr>
        <w:t xml:space="preserve">( </w:t>
      </w:r>
      <w:r>
        <w:t>九</w:t>
      </w:r>
      <w:r>
        <w:rPr>
          <w:rFonts w:hint="eastAsia" w:ascii="MS UI Gothic" w:eastAsia="MS UI Gothic"/>
          <w:w w:val="150"/>
        </w:rPr>
        <w:t xml:space="preserve">) </w:t>
      </w:r>
      <w:r>
        <w:t>规定的行为</w:t>
      </w:r>
      <w:r>
        <w:rPr>
          <w:rFonts w:hint="eastAsia" w:ascii="MS UI Gothic" w:eastAsia="MS UI Gothic"/>
          <w:w w:val="80"/>
        </w:rPr>
        <w:t xml:space="preserve">ꎬ </w:t>
      </w:r>
      <w:r>
        <w:t>不构成犯罪的</w:t>
      </w:r>
      <w:r>
        <w:rPr>
          <w:rFonts w:hint="eastAsia" w:ascii="MS UI Gothic" w:eastAsia="MS UI Gothic"/>
          <w:w w:val="80"/>
        </w:rPr>
        <w:t xml:space="preserve">ꎬ </w:t>
      </w:r>
      <w:r>
        <w:t>由公安机关根据治安管理处罚法有关虚构事实扰乱公共秩序</w:t>
      </w:r>
      <w:r>
        <w:rPr>
          <w:rFonts w:hint="eastAsia" w:ascii="MS UI Gothic" w:eastAsia="MS UI Gothic"/>
          <w:w w:val="80"/>
        </w:rPr>
        <w:t xml:space="preserve">ꎬ </w:t>
      </w:r>
      <w:r>
        <w:t>扰乱单位秩序</w:t>
      </w:r>
      <w:r>
        <w:rPr>
          <w:rFonts w:hint="eastAsia" w:ascii="MS UI Gothic" w:eastAsia="MS UI Gothic"/>
          <w:w w:val="80"/>
        </w:rPr>
        <w:t xml:space="preserve">、 </w:t>
      </w:r>
      <w:r>
        <w:t>公共场所秩序</w:t>
      </w:r>
      <w:r>
        <w:rPr>
          <w:rFonts w:hint="eastAsia" w:ascii="MS UI Gothic" w:eastAsia="MS UI Gothic"/>
          <w:w w:val="80"/>
        </w:rPr>
        <w:t xml:space="preserve">、 </w:t>
      </w:r>
      <w:r>
        <w:t>寻衅滋事</w:t>
      </w:r>
      <w:r>
        <w:rPr>
          <w:rFonts w:hint="eastAsia" w:ascii="MS UI Gothic" w:eastAsia="MS UI Gothic"/>
          <w:w w:val="80"/>
        </w:rPr>
        <w:t xml:space="preserve">ꎬ </w:t>
      </w:r>
      <w:r>
        <w:t>拒不执行紧急状态下的决定</w:t>
      </w:r>
      <w:r>
        <w:rPr>
          <w:rFonts w:hint="eastAsia" w:ascii="MS UI Gothic" w:eastAsia="MS UI Gothic"/>
          <w:w w:val="80"/>
        </w:rPr>
        <w:t xml:space="preserve">、 </w:t>
      </w:r>
      <w:r>
        <w:t>命令</w:t>
      </w:r>
      <w:r>
        <w:rPr>
          <w:rFonts w:hint="eastAsia" w:ascii="MS UI Gothic" w:eastAsia="MS UI Gothic"/>
          <w:w w:val="80"/>
        </w:rPr>
        <w:t xml:space="preserve">ꎬ </w:t>
      </w:r>
      <w:r>
        <w:t>阻碍执行职务</w:t>
      </w:r>
      <w:r>
        <w:rPr>
          <w:rFonts w:hint="eastAsia" w:ascii="MS UI Gothic" w:eastAsia="MS UI Gothic"/>
          <w:w w:val="80"/>
        </w:rPr>
        <w:t xml:space="preserve">ꎬ </w:t>
      </w:r>
      <w:r>
        <w:t>冲闯警戒带</w:t>
      </w:r>
      <w:r>
        <w:rPr>
          <w:rFonts w:hint="eastAsia" w:ascii="MS UI Gothic" w:eastAsia="MS UI Gothic"/>
          <w:w w:val="80"/>
        </w:rPr>
        <w:t xml:space="preserve">、 </w:t>
      </w:r>
      <w:r>
        <w:t>警戒区</w:t>
      </w:r>
      <w:r>
        <w:rPr>
          <w:rFonts w:hint="eastAsia" w:ascii="MS UI Gothic" w:eastAsia="MS UI Gothic"/>
          <w:w w:val="80"/>
        </w:rPr>
        <w:t xml:space="preserve">ꎬ </w:t>
      </w:r>
      <w:r>
        <w:t>殴打他人</w:t>
      </w:r>
      <w:r>
        <w:rPr>
          <w:rFonts w:hint="eastAsia" w:ascii="MS UI Gothic" w:eastAsia="MS UI Gothic"/>
          <w:w w:val="80"/>
        </w:rPr>
        <w:t xml:space="preserve">ꎬ </w:t>
      </w:r>
      <w:r>
        <w:t>故意伤害</w:t>
      </w:r>
      <w:r>
        <w:rPr>
          <w:rFonts w:hint="eastAsia" w:ascii="MS UI Gothic" w:eastAsia="MS UI Gothic"/>
          <w:w w:val="80"/>
        </w:rPr>
        <w:t xml:space="preserve">ꎬ </w:t>
      </w:r>
      <w:r>
        <w:t>侮辱他人</w:t>
      </w:r>
      <w:r>
        <w:rPr>
          <w:rFonts w:hint="eastAsia" w:ascii="MS UI Gothic" w:eastAsia="MS UI Gothic"/>
          <w:w w:val="80"/>
        </w:rPr>
        <w:t xml:space="preserve">ꎬ </w:t>
      </w:r>
      <w:r>
        <w:t>诈骗</w:t>
      </w:r>
      <w:r>
        <w:rPr>
          <w:rFonts w:hint="eastAsia" w:ascii="MS UI Gothic" w:eastAsia="MS UI Gothic"/>
          <w:w w:val="80"/>
        </w:rPr>
        <w:t xml:space="preserve">ꎬ </w:t>
      </w:r>
      <w:r>
        <w:t>在铁路沿线非法挖掘坑穴</w:t>
      </w:r>
      <w:r>
        <w:rPr>
          <w:rFonts w:hint="eastAsia" w:ascii="MS UI Gothic" w:eastAsia="MS UI Gothic"/>
          <w:w w:val="80"/>
        </w:rPr>
        <w:t xml:space="preserve">、 </w:t>
      </w:r>
      <w:r>
        <w:t>采石取沙</w:t>
      </w:r>
      <w:r>
        <w:rPr>
          <w:rFonts w:hint="eastAsia" w:ascii="MS UI Gothic" w:eastAsia="MS UI Gothic"/>
          <w:w w:val="80"/>
        </w:rPr>
        <w:t xml:space="preserve">ꎬ </w:t>
      </w:r>
      <w:r>
        <w:t>盗窃</w:t>
      </w:r>
      <w:r>
        <w:rPr>
          <w:rFonts w:hint="eastAsia" w:ascii="MS UI Gothic" w:eastAsia="MS UI Gothic"/>
          <w:w w:val="80"/>
        </w:rPr>
        <w:t xml:space="preserve">、 </w:t>
      </w:r>
      <w:r>
        <w:t>损毁路面公共设施</w:t>
      </w:r>
      <w:r>
        <w:rPr>
          <w:rFonts w:hint="eastAsia" w:ascii="MS UI Gothic" w:eastAsia="MS UI Gothic"/>
          <w:w w:val="80"/>
        </w:rPr>
        <w:t xml:space="preserve">ꎬ </w:t>
      </w:r>
      <w:r>
        <w:t>损毁铁路设施设备</w:t>
      </w:r>
      <w:r>
        <w:rPr>
          <w:rFonts w:hint="eastAsia" w:ascii="MS UI Gothic" w:eastAsia="MS UI Gothic"/>
          <w:w w:val="80"/>
        </w:rPr>
        <w:t xml:space="preserve">ꎬ </w:t>
      </w:r>
      <w:r>
        <w:t>故意损毁财物</w:t>
      </w:r>
      <w:r>
        <w:rPr>
          <w:rFonts w:hint="eastAsia" w:ascii="MS UI Gothic" w:eastAsia="MS UI Gothic"/>
          <w:w w:val="80"/>
        </w:rPr>
        <w:t xml:space="preserve">、 </w:t>
      </w:r>
      <w:r>
        <w:t>哄抢公私财物等规定</w:t>
      </w:r>
      <w:r>
        <w:rPr>
          <w:rFonts w:hint="eastAsia" w:ascii="MS UI Gothic" w:eastAsia="MS UI Gothic"/>
          <w:w w:val="80"/>
        </w:rPr>
        <w:t xml:space="preserve">ꎬ </w:t>
      </w:r>
      <w:r>
        <w:t>予以治安管理处罚</w:t>
      </w:r>
      <w:r>
        <w:rPr>
          <w:rFonts w:hint="eastAsia" w:ascii="MS UI Gothic" w:eastAsia="MS UI Gothic"/>
          <w:w w:val="80"/>
        </w:rPr>
        <w:t xml:space="preserve">ꎬ </w:t>
      </w:r>
      <w:r>
        <w:t>或者由有关部门予以其他行政处罚</w:t>
      </w:r>
      <w:r>
        <w:rPr>
          <w:rFonts w:hint="eastAsia" w:ascii="MS UI Gothic" w:eastAsia="MS UI Gothic"/>
          <w:w w:val="80"/>
        </w:rPr>
        <w:t>ꎮ</w:t>
      </w:r>
    </w:p>
    <w:p>
      <w:pPr>
        <w:pStyle w:val="6"/>
        <w:spacing w:line="295" w:lineRule="auto"/>
        <w:ind w:left="381" w:right="126"/>
        <w:rPr>
          <w:rFonts w:hint="eastAsia" w:ascii="MS UI Gothic" w:eastAsia="MS UI Gothic"/>
        </w:rPr>
      </w:pPr>
      <w:r>
        <w:t>对于在疫情防控期间实施有关违法犯罪的</w:t>
      </w:r>
      <w:r>
        <w:rPr>
          <w:rFonts w:hint="eastAsia" w:ascii="MS UI Gothic" w:eastAsia="MS UI Gothic"/>
          <w:w w:val="80"/>
        </w:rPr>
        <w:t xml:space="preserve">ꎬ </w:t>
      </w:r>
      <w:r>
        <w:t>要作为从重情节予以考量</w:t>
      </w:r>
      <w:r>
        <w:rPr>
          <w:rFonts w:hint="eastAsia" w:ascii="MS UI Gothic" w:eastAsia="MS UI Gothic"/>
          <w:w w:val="80"/>
        </w:rPr>
        <w:t xml:space="preserve">ꎬ </w:t>
      </w:r>
      <w:r>
        <w:t>依法体现从严的政策要求</w:t>
      </w:r>
      <w:r>
        <w:rPr>
          <w:rFonts w:hint="eastAsia" w:ascii="MS UI Gothic" w:eastAsia="MS UI Gothic"/>
          <w:w w:val="80"/>
        </w:rPr>
        <w:t xml:space="preserve">ꎬ </w:t>
      </w:r>
      <w:r>
        <w:t>有力惩治震慑违法犯罪</w:t>
      </w:r>
      <w:r>
        <w:rPr>
          <w:rFonts w:hint="eastAsia" w:ascii="MS UI Gothic" w:eastAsia="MS UI Gothic"/>
          <w:w w:val="80"/>
        </w:rPr>
        <w:t xml:space="preserve">ꎬ </w:t>
      </w:r>
      <w:r>
        <w:t>维护法律权威</w:t>
      </w:r>
      <w:r>
        <w:rPr>
          <w:rFonts w:hint="eastAsia" w:ascii="MS UI Gothic" w:eastAsia="MS UI Gothic"/>
          <w:w w:val="80"/>
        </w:rPr>
        <w:t xml:space="preserve">ꎬ </w:t>
      </w:r>
      <w:r>
        <w:t>维护社会秩序</w:t>
      </w:r>
      <w:r>
        <w:rPr>
          <w:rFonts w:hint="eastAsia" w:ascii="MS UI Gothic" w:eastAsia="MS UI Gothic"/>
          <w:w w:val="80"/>
        </w:rPr>
        <w:t xml:space="preserve">ꎬ </w:t>
      </w:r>
      <w:r>
        <w:t>维护人民群众生命安全和身体健康</w:t>
      </w:r>
      <w:r>
        <w:rPr>
          <w:rFonts w:hint="eastAsia" w:ascii="MS UI Gothic" w:eastAsia="MS UI Gothic"/>
          <w:w w:val="80"/>
        </w:rPr>
        <w:t>ꎮ</w:t>
      </w:r>
    </w:p>
    <w:p>
      <w:pPr>
        <w:pStyle w:val="6"/>
        <w:spacing w:line="295" w:lineRule="auto"/>
        <w:ind w:left="381" w:right="126"/>
      </w:pPr>
      <w:r>
        <w:t>三</w:t>
      </w:r>
      <w:r>
        <w:rPr>
          <w:rFonts w:hint="eastAsia" w:ascii="Microsoft Yi Baiti" w:eastAsia="Microsoft Yi Baiti"/>
        </w:rPr>
        <w:t xml:space="preserve">、 </w:t>
      </w:r>
      <w:r>
        <w:t>健全完善工作机制</w:t>
      </w:r>
      <w:r>
        <w:rPr>
          <w:rFonts w:hint="eastAsia" w:ascii="Microsoft Yi Baiti" w:eastAsia="Microsoft Yi Baiti"/>
        </w:rPr>
        <w:t xml:space="preserve">ꎬ </w:t>
      </w:r>
      <w:r>
        <w:t>保障办案效果和安全</w:t>
      </w:r>
    </w:p>
    <w:p>
      <w:pPr>
        <w:pStyle w:val="6"/>
        <w:spacing w:line="295" w:lineRule="auto"/>
        <w:ind w:left="381" w:right="126"/>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3"/>
          <w:w w:val="150"/>
        </w:rPr>
        <w:t xml:space="preserve">) </w:t>
      </w:r>
      <w:r>
        <w:rPr>
          <w:spacing w:val="5"/>
          <w:w w:val="105"/>
        </w:rPr>
        <w:t>及时查处案件</w:t>
      </w:r>
      <w:r>
        <w:rPr>
          <w:rFonts w:hint="eastAsia" w:ascii="MS UI Gothic" w:eastAsia="MS UI Gothic"/>
          <w:spacing w:val="13"/>
          <w:w w:val="80"/>
        </w:rPr>
        <w:t xml:space="preserve">ꎮ </w:t>
      </w:r>
      <w:r>
        <w:rPr>
          <w:spacing w:val="9"/>
          <w:w w:val="105"/>
        </w:rPr>
        <w:t>公安机关对于</w:t>
      </w:r>
      <w:r>
        <w:rPr>
          <w:spacing w:val="-5"/>
          <w:w w:val="105"/>
        </w:rPr>
        <w:t xml:space="preserve">妨害新型冠状病毒感染肺炎 </w:t>
      </w:r>
      <w:r>
        <w:rPr>
          <w:rFonts w:hint="eastAsia" w:ascii="MS UI Gothic" w:eastAsia="MS UI Gothic"/>
          <w:spacing w:val="-12"/>
          <w:w w:val="80"/>
        </w:rPr>
        <w:t xml:space="preserve">２ </w:t>
      </w:r>
      <w:r>
        <w:rPr>
          <w:spacing w:val="3"/>
          <w:w w:val="105"/>
        </w:rPr>
        <w:t>疫情防控的</w:t>
      </w:r>
      <w:r>
        <w:rPr>
          <w:spacing w:val="3"/>
        </w:rPr>
        <w:t>案件</w:t>
      </w:r>
      <w:r>
        <w:rPr>
          <w:rFonts w:hint="eastAsia" w:ascii="MS UI Gothic" w:eastAsia="MS UI Gothic"/>
          <w:spacing w:val="23"/>
          <w:w w:val="80"/>
        </w:rPr>
        <w:t xml:space="preserve">ꎬ </w:t>
      </w:r>
      <w:r>
        <w:rPr>
          <w:spacing w:val="3"/>
        </w:rPr>
        <w:t>要依法及时立案查处</w:t>
      </w:r>
      <w:r>
        <w:rPr>
          <w:rFonts w:hint="eastAsia" w:ascii="MS UI Gothic" w:eastAsia="MS UI Gothic"/>
          <w:spacing w:val="23"/>
          <w:w w:val="80"/>
        </w:rPr>
        <w:t xml:space="preserve">ꎬ </w:t>
      </w:r>
      <w:r>
        <w:rPr>
          <w:spacing w:val="2"/>
        </w:rPr>
        <w:t>全面收集固</w:t>
      </w:r>
      <w:r>
        <w:rPr>
          <w:spacing w:val="3"/>
        </w:rPr>
        <w:t>定证据</w:t>
      </w:r>
      <w:r>
        <w:rPr>
          <w:rFonts w:hint="eastAsia" w:ascii="MS UI Gothic" w:eastAsia="MS UI Gothic"/>
          <w:spacing w:val="20"/>
          <w:w w:val="80"/>
        </w:rPr>
        <w:t xml:space="preserve">ꎮ </w:t>
      </w:r>
      <w:r>
        <w:rPr>
          <w:spacing w:val="2"/>
        </w:rPr>
        <w:t>对于拒绝隔离治疗或者隔离期未</w:t>
      </w:r>
      <w:r>
        <w:rPr>
          <w:spacing w:val="3"/>
        </w:rPr>
        <w:t>满擅自脱离隔离治疗的人员</w:t>
      </w:r>
      <w:r>
        <w:rPr>
          <w:rFonts w:hint="eastAsia" w:ascii="MS UI Gothic" w:eastAsia="MS UI Gothic"/>
          <w:spacing w:val="20"/>
          <w:w w:val="80"/>
        </w:rPr>
        <w:t xml:space="preserve">ꎬ </w:t>
      </w:r>
      <w:r>
        <w:rPr>
          <w:spacing w:val="2"/>
        </w:rPr>
        <w:t>公安机关要依法协助医疗机构和有关部门采取强制隔</w:t>
      </w:r>
      <w:r>
        <w:rPr>
          <w:spacing w:val="3"/>
        </w:rPr>
        <w:t>离治疗措施</w:t>
      </w:r>
      <w:r>
        <w:rPr>
          <w:rFonts w:hint="eastAsia" w:ascii="MS UI Gothic" w:eastAsia="MS UI Gothic"/>
          <w:spacing w:val="23"/>
          <w:w w:val="80"/>
        </w:rPr>
        <w:t xml:space="preserve">ꎮ </w:t>
      </w:r>
      <w:r>
        <w:rPr>
          <w:spacing w:val="3"/>
        </w:rPr>
        <w:t>要严格规范公正文明执法</w:t>
      </w:r>
      <w:r>
        <w:rPr>
          <w:rFonts w:hint="eastAsia" w:ascii="MS UI Gothic" w:eastAsia="MS UI Gothic"/>
          <w:w w:val="80"/>
        </w:rPr>
        <w:t>ꎮ</w:t>
      </w:r>
    </w:p>
    <w:p>
      <w:pPr>
        <w:pStyle w:val="6"/>
        <w:spacing w:line="295" w:lineRule="auto"/>
        <w:ind w:left="381" w:right="124"/>
      </w:pPr>
      <w:r>
        <w:rPr>
          <w:rFonts w:hint="eastAsia" w:ascii="MS UI Gothic" w:hAnsi="MS UI Gothic" w:eastAsia="MS UI Gothic"/>
          <w:w w:val="150"/>
        </w:rPr>
        <w:t xml:space="preserve">( </w:t>
      </w:r>
      <w:r>
        <w:t>二</w:t>
      </w:r>
      <w:r>
        <w:rPr>
          <w:rFonts w:hint="eastAsia" w:ascii="MS UI Gothic" w:hAnsi="MS UI Gothic" w:eastAsia="MS UI Gothic"/>
          <w:w w:val="150"/>
        </w:rPr>
        <w:t xml:space="preserve">) </w:t>
      </w:r>
      <w:r>
        <w:t>强化沟通协调</w:t>
      </w:r>
      <w:r>
        <w:rPr>
          <w:rFonts w:hint="eastAsia" w:ascii="MS UI Gothic" w:hAnsi="MS UI Gothic" w:eastAsia="MS UI Gothic"/>
          <w:w w:val="80"/>
        </w:rPr>
        <w:t xml:space="preserve">ꎮ </w:t>
      </w:r>
      <w:r>
        <w:t>人民法院</w:t>
      </w:r>
      <w:r>
        <w:rPr>
          <w:rFonts w:hint="eastAsia" w:ascii="MS UI Gothic" w:hAnsi="MS UI Gothic" w:eastAsia="MS UI Gothic"/>
          <w:w w:val="80"/>
        </w:rPr>
        <w:t xml:space="preserve">、 </w:t>
      </w:r>
      <w:r>
        <w:t>人民检察院</w:t>
      </w:r>
      <w:r>
        <w:rPr>
          <w:rFonts w:hint="eastAsia" w:ascii="MS UI Gothic" w:hAnsi="MS UI Gothic" w:eastAsia="MS UI Gothic"/>
          <w:w w:val="80"/>
        </w:rPr>
        <w:t xml:space="preserve">、 </w:t>
      </w:r>
      <w:r>
        <w:t>公安机关</w:t>
      </w:r>
      <w:r>
        <w:rPr>
          <w:rFonts w:hint="eastAsia" w:ascii="MS UI Gothic" w:hAnsi="MS UI Gothic" w:eastAsia="MS UI Gothic"/>
          <w:w w:val="80"/>
        </w:rPr>
        <w:t xml:space="preserve">、 </w:t>
      </w:r>
      <w:r>
        <w:t>司法行政机关要加强沟通协调</w:t>
      </w:r>
      <w:r>
        <w:rPr>
          <w:rFonts w:hint="eastAsia" w:ascii="MS UI Gothic" w:hAnsi="MS UI Gothic" w:eastAsia="MS UI Gothic"/>
          <w:w w:val="80"/>
        </w:rPr>
        <w:t xml:space="preserve">ꎬ </w:t>
      </w:r>
      <w:r>
        <w:t>确保案件顺利侦查</w:t>
      </w:r>
      <w:r>
        <w:rPr>
          <w:rFonts w:hint="eastAsia" w:ascii="MS UI Gothic" w:hAnsi="MS UI Gothic" w:eastAsia="MS UI Gothic"/>
          <w:w w:val="80"/>
        </w:rPr>
        <w:t xml:space="preserve">、 </w:t>
      </w:r>
      <w:r>
        <w:t>起诉</w:t>
      </w:r>
      <w:r>
        <w:rPr>
          <w:rFonts w:hint="eastAsia" w:ascii="MS UI Gothic" w:hAnsi="MS UI Gothic" w:eastAsia="MS UI Gothic"/>
          <w:w w:val="80"/>
        </w:rPr>
        <w:t>、</w:t>
      </w:r>
      <w:r>
        <w:t>审判</w:t>
      </w:r>
      <w:r>
        <w:rPr>
          <w:rFonts w:hint="eastAsia" w:ascii="MS UI Gothic" w:hAnsi="MS UI Gothic" w:eastAsia="MS UI Gothic"/>
          <w:w w:val="80"/>
        </w:rPr>
        <w:t xml:space="preserve">、 </w:t>
      </w:r>
      <w:r>
        <w:t>交付执行</w:t>
      </w:r>
      <w:r>
        <w:rPr>
          <w:rFonts w:hint="eastAsia" w:ascii="MS UI Gothic" w:hAnsi="MS UI Gothic" w:eastAsia="MS UI Gothic"/>
          <w:w w:val="80"/>
        </w:rPr>
        <w:t xml:space="preserve">ꎮ </w:t>
      </w:r>
      <w:r>
        <w:t>对重大</w:t>
      </w:r>
      <w:r>
        <w:rPr>
          <w:rFonts w:hint="eastAsia" w:ascii="MS UI Gothic" w:hAnsi="MS UI Gothic" w:eastAsia="MS UI Gothic"/>
          <w:w w:val="80"/>
        </w:rPr>
        <w:t xml:space="preserve">、 </w:t>
      </w:r>
      <w:r>
        <w:t>敏感</w:t>
      </w:r>
      <w:r>
        <w:rPr>
          <w:rFonts w:hint="eastAsia" w:ascii="MS UI Gothic" w:hAnsi="MS UI Gothic" w:eastAsia="MS UI Gothic"/>
          <w:w w:val="80"/>
        </w:rPr>
        <w:t xml:space="preserve">、  </w:t>
      </w:r>
      <w:r>
        <w:t>复杂案件</w:t>
      </w:r>
      <w:r>
        <w:rPr>
          <w:rFonts w:hint="eastAsia" w:ascii="MS UI Gothic" w:hAnsi="MS UI Gothic" w:eastAsia="MS UI Gothic"/>
          <w:w w:val="80"/>
        </w:rPr>
        <w:t xml:space="preserve">ꎬ </w:t>
      </w:r>
      <w:r>
        <w:t>公安机关要及时听取人民检察院的意见建议</w:t>
      </w:r>
      <w:r>
        <w:rPr>
          <w:rFonts w:hint="eastAsia" w:ascii="MS UI Gothic" w:hAnsi="MS UI Gothic" w:eastAsia="MS UI Gothic"/>
          <w:w w:val="80"/>
        </w:rPr>
        <w:t xml:space="preserve">ꎮ </w:t>
      </w:r>
      <w:r>
        <w:t>对社会影响大</w:t>
      </w:r>
      <w:r>
        <w:rPr>
          <w:rFonts w:hint="eastAsia" w:ascii="MS UI Gothic" w:hAnsi="MS UI Gothic" w:eastAsia="MS UI Gothic"/>
          <w:w w:val="80"/>
        </w:rPr>
        <w:t xml:space="preserve">、 </w:t>
      </w:r>
      <w:r>
        <w:t>舆论关注度高的重大案件</w:t>
      </w:r>
      <w:r>
        <w:rPr>
          <w:rFonts w:hint="eastAsia" w:ascii="MS UI Gothic" w:hAnsi="MS UI Gothic" w:eastAsia="MS UI Gothic"/>
          <w:w w:val="80"/>
        </w:rPr>
        <w:t xml:space="preserve">ꎬ </w:t>
      </w:r>
      <w:r>
        <w:t>要加强组织领导</w:t>
      </w:r>
      <w:r>
        <w:rPr>
          <w:rFonts w:hint="eastAsia" w:ascii="MS UI Gothic" w:hAnsi="MS UI Gothic" w:eastAsia="MS UI Gothic"/>
          <w:w w:val="80"/>
        </w:rPr>
        <w:t xml:space="preserve">ꎬ </w:t>
      </w:r>
      <w:r>
        <w:t>按照依法处置</w:t>
      </w:r>
      <w:r>
        <w:rPr>
          <w:rFonts w:hint="eastAsia" w:ascii="MS UI Gothic" w:hAnsi="MS UI Gothic" w:eastAsia="MS UI Gothic"/>
          <w:w w:val="80"/>
        </w:rPr>
        <w:t xml:space="preserve">、 </w:t>
      </w:r>
      <w:r>
        <w:t>舆论引导</w:t>
      </w:r>
      <w:r>
        <w:rPr>
          <w:rFonts w:hint="eastAsia" w:ascii="MS UI Gothic" w:hAnsi="MS UI Gothic" w:eastAsia="MS UI Gothic"/>
          <w:w w:val="80"/>
        </w:rPr>
        <w:t xml:space="preserve">、 </w:t>
      </w:r>
      <w:r>
        <w:t xml:space="preserve">社会面管控 </w:t>
      </w:r>
      <w:r>
        <w:rPr>
          <w:rFonts w:hint="eastAsia" w:ascii="MS UI Gothic" w:hAnsi="MS UI Gothic" w:eastAsia="MS UI Gothic"/>
        </w:rPr>
        <w:t xml:space="preserve">“ </w:t>
      </w:r>
      <w:r>
        <w:t>三同步</w:t>
      </w:r>
      <w:r>
        <w:rPr>
          <w:rFonts w:hint="eastAsia" w:ascii="MS UI Gothic" w:hAnsi="MS UI Gothic" w:eastAsia="MS UI Gothic"/>
        </w:rPr>
        <w:t xml:space="preserve">” </w:t>
      </w:r>
      <w:r>
        <w:t>要求</w:t>
      </w:r>
      <w:r>
        <w:rPr>
          <w:rFonts w:hint="eastAsia" w:ascii="MS UI Gothic" w:hAnsi="MS UI Gothic" w:eastAsia="MS UI Gothic"/>
          <w:w w:val="80"/>
        </w:rPr>
        <w:t xml:space="preserve">ꎬ </w:t>
      </w:r>
      <w:r>
        <w:t>及时向社会通报案件进展情况</w:t>
      </w:r>
      <w:r>
        <w:rPr>
          <w:rFonts w:hint="eastAsia" w:ascii="MS UI Gothic" w:hAnsi="MS UI Gothic" w:eastAsia="MS UI Gothic"/>
          <w:w w:val="80"/>
        </w:rPr>
        <w:t xml:space="preserve">ꎬ </w:t>
      </w:r>
      <w:r>
        <w:t>澄</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２０</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09" o:spid="_x0000_s1109" o:spt="203" style="height:2.15pt;width:398.25pt;" coordsize="7965,43">
            <o:lock v:ext="edit"/>
            <v:line id="_x0000_s1110" o:spid="_x0000_s1110" o:spt="20" style="position:absolute;left:0;top:39;height:0;width:7965;" stroked="t" coordsize="21600,21600">
              <v:path arrowok="t"/>
              <v:fill focussize="0,0"/>
              <v:stroke weight="0.388031496062992pt" color="#231F20"/>
              <v:imagedata o:title=""/>
              <o:lock v:ext="edit"/>
            </v:line>
            <v:line id="_x0000_s1111" o:spid="_x0000_s111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rPr>
          <w:rFonts w:hint="eastAsia" w:ascii="MS UI Gothic" w:eastAsia="MS UI Gothic"/>
        </w:rPr>
      </w:pPr>
      <w:r>
        <w:t>清事实真相</w:t>
      </w:r>
      <w:r>
        <w:rPr>
          <w:rFonts w:hint="eastAsia" w:ascii="MS UI Gothic" w:eastAsia="MS UI Gothic"/>
          <w:w w:val="80"/>
        </w:rPr>
        <w:t xml:space="preserve">ꎬ </w:t>
      </w:r>
      <w:r>
        <w:t>做好舆论引导工作</w:t>
      </w:r>
      <w:r>
        <w:rPr>
          <w:rFonts w:hint="eastAsia" w:ascii="MS UI Gothic" w:eastAsia="MS UI Gothic"/>
          <w:w w:val="80"/>
        </w:rPr>
        <w:t>ꎮ</w:t>
      </w:r>
    </w:p>
    <w:p>
      <w:pPr>
        <w:pStyle w:val="6"/>
        <w:spacing w:before="58"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保障诉讼权利</w:t>
      </w:r>
      <w:r>
        <w:rPr>
          <w:rFonts w:hint="eastAsia" w:ascii="MS UI Gothic" w:eastAsia="MS UI Gothic"/>
          <w:w w:val="80"/>
        </w:rPr>
        <w:t xml:space="preserve">ꎮ </w:t>
      </w:r>
      <w:r>
        <w:rPr>
          <w:w w:val="105"/>
        </w:rPr>
        <w:t>要依法保障犯罪嫌疑人</w:t>
      </w:r>
      <w:r>
        <w:rPr>
          <w:rFonts w:hint="eastAsia" w:ascii="MS UI Gothic" w:eastAsia="MS UI Gothic"/>
          <w:w w:val="80"/>
        </w:rPr>
        <w:t xml:space="preserve">、 </w:t>
      </w:r>
      <w:r>
        <w:rPr>
          <w:w w:val="105"/>
        </w:rPr>
        <w:t>被告人的各项诉讼权利特别是</w:t>
      </w:r>
      <w:r>
        <w:t>辩护权</w:t>
      </w:r>
      <w:r>
        <w:rPr>
          <w:rFonts w:hint="eastAsia" w:ascii="MS UI Gothic" w:eastAsia="MS UI Gothic"/>
          <w:w w:val="80"/>
        </w:rPr>
        <w:t xml:space="preserve">ꎮ </w:t>
      </w:r>
      <w:r>
        <w:t>要按照刑事案件律师辩护全覆盖的要求</w:t>
      </w:r>
      <w:r>
        <w:rPr>
          <w:rFonts w:hint="eastAsia" w:ascii="MS UI Gothic" w:eastAsia="MS UI Gothic"/>
          <w:w w:val="80"/>
        </w:rPr>
        <w:t xml:space="preserve">ꎬ </w:t>
      </w:r>
      <w:r>
        <w:t>积极组织律师为没有委托辩护人的被告人依法提供辩护或者法律帮助</w:t>
      </w:r>
      <w:r>
        <w:rPr>
          <w:rFonts w:hint="eastAsia" w:ascii="MS UI Gothic" w:eastAsia="MS UI Gothic"/>
          <w:w w:val="80"/>
        </w:rPr>
        <w:t xml:space="preserve">ꎮ </w:t>
      </w:r>
      <w:r>
        <w:t>各级司法行政机关要加强对律师辩护代理工作的指导监督</w:t>
      </w:r>
      <w:r>
        <w:rPr>
          <w:rFonts w:hint="eastAsia" w:ascii="MS UI Gothic" w:eastAsia="MS UI Gothic"/>
          <w:w w:val="80"/>
        </w:rPr>
        <w:t xml:space="preserve">ꎬ </w:t>
      </w:r>
      <w:r>
        <w:t>引导广大律师依法依规履行辩护代理职责</w:t>
      </w:r>
      <w:r>
        <w:rPr>
          <w:rFonts w:hint="eastAsia" w:ascii="MS UI Gothic" w:eastAsia="MS UI Gothic"/>
          <w:w w:val="80"/>
        </w:rPr>
        <w:t xml:space="preserve">ꎬ </w:t>
      </w:r>
      <w:r>
        <w:t>切实维护犯罪嫌疑人</w:t>
      </w:r>
      <w:r>
        <w:rPr>
          <w:rFonts w:hint="eastAsia" w:ascii="MS UI Gothic" w:eastAsia="MS UI Gothic"/>
          <w:w w:val="80"/>
        </w:rPr>
        <w:t>、</w:t>
      </w:r>
      <w:r>
        <w:t>被告人的合法权益</w:t>
      </w:r>
      <w:r>
        <w:rPr>
          <w:rFonts w:hint="eastAsia" w:ascii="MS UI Gothic" w:eastAsia="MS UI Gothic"/>
          <w:w w:val="80"/>
        </w:rPr>
        <w:t xml:space="preserve">ꎬ </w:t>
      </w:r>
      <w:r>
        <w:t>保障法律正确实施</w:t>
      </w:r>
      <w:r>
        <w:rPr>
          <w:rFonts w:hint="eastAsia" w:ascii="MS UI Gothic" w:eastAsia="MS UI Gothic"/>
          <w:w w:val="80"/>
        </w:rPr>
        <w:t>ꎮ</w:t>
      </w:r>
    </w:p>
    <w:p>
      <w:pPr>
        <w:pStyle w:val="6"/>
        <w:spacing w:line="295" w:lineRule="auto"/>
        <w:ind w:right="39"/>
      </w:pPr>
      <w:r>
        <w:rPr>
          <w:rFonts w:hint="eastAsia" w:ascii="MS UI Gothic" w:hAnsi="MS UI Gothic" w:eastAsia="MS UI Gothic"/>
          <w:w w:val="150"/>
        </w:rPr>
        <w:t xml:space="preserve">( </w:t>
      </w:r>
      <w:r>
        <w:t>四</w:t>
      </w:r>
      <w:r>
        <w:rPr>
          <w:rFonts w:hint="eastAsia" w:ascii="MS UI Gothic" w:hAnsi="MS UI Gothic" w:eastAsia="MS UI Gothic"/>
          <w:w w:val="150"/>
        </w:rPr>
        <w:t xml:space="preserve">) </w:t>
      </w:r>
      <w:r>
        <w:t>加强宣传教育</w:t>
      </w:r>
      <w:r>
        <w:rPr>
          <w:rFonts w:hint="eastAsia" w:ascii="MS UI Gothic" w:hAnsi="MS UI Gothic" w:eastAsia="MS UI Gothic"/>
          <w:w w:val="80"/>
        </w:rPr>
        <w:t xml:space="preserve">ꎮ </w:t>
      </w:r>
      <w:r>
        <w:t>人民法院</w:t>
      </w:r>
      <w:r>
        <w:rPr>
          <w:rFonts w:hint="eastAsia" w:ascii="MS UI Gothic" w:hAnsi="MS UI Gothic" w:eastAsia="MS UI Gothic"/>
          <w:w w:val="80"/>
        </w:rPr>
        <w:t xml:space="preserve">、 </w:t>
      </w:r>
      <w:r>
        <w:t>人民检察院</w:t>
      </w:r>
      <w:r>
        <w:rPr>
          <w:rFonts w:hint="eastAsia" w:ascii="MS UI Gothic" w:hAnsi="MS UI Gothic" w:eastAsia="MS UI Gothic"/>
          <w:w w:val="80"/>
        </w:rPr>
        <w:t xml:space="preserve">、 </w:t>
      </w:r>
      <w:r>
        <w:t>公安机关</w:t>
      </w:r>
      <w:r>
        <w:rPr>
          <w:rFonts w:hint="eastAsia" w:ascii="MS UI Gothic" w:hAnsi="MS UI Gothic" w:eastAsia="MS UI Gothic"/>
          <w:w w:val="80"/>
        </w:rPr>
        <w:t xml:space="preserve">、 </w:t>
      </w:r>
      <w:r>
        <w:t xml:space="preserve">司法行政机关要认真落实 </w:t>
      </w:r>
      <w:r>
        <w:rPr>
          <w:rFonts w:hint="eastAsia" w:ascii="MS UI Gothic" w:hAnsi="MS UI Gothic" w:eastAsia="MS UI Gothic"/>
        </w:rPr>
        <w:t xml:space="preserve">“ </w:t>
      </w:r>
      <w:r>
        <w:t>谁执法谁普法</w:t>
      </w:r>
      <w:r>
        <w:rPr>
          <w:rFonts w:hint="eastAsia" w:ascii="MS UI Gothic" w:hAnsi="MS UI Gothic" w:eastAsia="MS UI Gothic"/>
        </w:rPr>
        <w:t xml:space="preserve">” </w:t>
      </w:r>
      <w:r>
        <w:t>责任制</w:t>
      </w:r>
      <w:r>
        <w:rPr>
          <w:rFonts w:hint="eastAsia" w:ascii="MS UI Gothic" w:hAnsi="MS UI Gothic" w:eastAsia="MS UI Gothic"/>
          <w:w w:val="80"/>
        </w:rPr>
        <w:t xml:space="preserve">ꎬ </w:t>
      </w:r>
      <w:r>
        <w:t>结合案件办理深入细致开展法治宣传教育工作</w:t>
      </w:r>
      <w:r>
        <w:rPr>
          <w:rFonts w:hint="eastAsia" w:ascii="MS UI Gothic" w:hAnsi="MS UI Gothic" w:eastAsia="MS UI Gothic"/>
          <w:w w:val="80"/>
        </w:rPr>
        <w:t xml:space="preserve">ꎮ </w:t>
      </w:r>
      <w:r>
        <w:t>要选取典型案例</w:t>
      </w:r>
      <w:r>
        <w:rPr>
          <w:rFonts w:hint="eastAsia" w:ascii="MS UI Gothic" w:hAnsi="MS UI Gothic" w:eastAsia="MS UI Gothic"/>
          <w:w w:val="80"/>
        </w:rPr>
        <w:t xml:space="preserve">ꎬ </w:t>
      </w:r>
      <w:r>
        <w:t>以案释法</w:t>
      </w:r>
      <w:r>
        <w:rPr>
          <w:rFonts w:hint="eastAsia" w:ascii="MS UI Gothic" w:hAnsi="MS UI Gothic" w:eastAsia="MS UI Gothic"/>
          <w:w w:val="80"/>
        </w:rPr>
        <w:t xml:space="preserve">ꎬ </w:t>
      </w:r>
      <w:r>
        <w:t>加大警示教育</w:t>
      </w:r>
      <w:r>
        <w:rPr>
          <w:rFonts w:hint="eastAsia" w:ascii="MS UI Gothic" w:hAnsi="MS UI Gothic" w:eastAsia="MS UI Gothic"/>
          <w:w w:val="80"/>
        </w:rPr>
        <w:t xml:space="preserve">ꎬ </w:t>
      </w:r>
      <w:r>
        <w:t>震慑违法犯罪分子</w:t>
      </w:r>
      <w:r>
        <w:rPr>
          <w:rFonts w:hint="eastAsia" w:ascii="MS UI Gothic" w:hAnsi="MS UI Gothic" w:eastAsia="MS UI Gothic"/>
          <w:w w:val="80"/>
        </w:rPr>
        <w:t xml:space="preserve">ꎬ </w:t>
      </w:r>
      <w:r>
        <w:t>充分展示坚决依法严惩此类违法犯罪</w:t>
      </w:r>
      <w:r>
        <w:rPr>
          <w:rFonts w:hint="eastAsia" w:ascii="MS UI Gothic" w:hAnsi="MS UI Gothic" w:eastAsia="MS UI Gothic"/>
          <w:w w:val="80"/>
        </w:rPr>
        <w:t xml:space="preserve">、 </w:t>
      </w:r>
      <w:r>
        <w:t>维护人民群众生命安全和身体健康的决心</w:t>
      </w:r>
      <w:r>
        <w:rPr>
          <w:rFonts w:hint="eastAsia" w:ascii="MS UI Gothic" w:hAnsi="MS UI Gothic" w:eastAsia="MS UI Gothic"/>
          <w:w w:val="80"/>
        </w:rPr>
        <w:t xml:space="preserve">ꎮ </w:t>
      </w:r>
      <w:r>
        <w:t>要引导广大</w:t>
      </w:r>
    </w:p>
    <w:p>
      <w:pPr>
        <w:pStyle w:val="6"/>
        <w:spacing w:before="123" w:line="295" w:lineRule="auto"/>
        <w:ind w:right="442" w:firstLine="0"/>
        <w:rPr>
          <w:rFonts w:hint="eastAsia" w:ascii="MS UI Gothic" w:eastAsia="MS UI Gothic"/>
        </w:rPr>
      </w:pPr>
      <w:r>
        <w:br w:type="column"/>
      </w:r>
      <w:r>
        <w:t>群众遵纪守法</w:t>
      </w:r>
      <w:r>
        <w:rPr>
          <w:rFonts w:hint="eastAsia" w:ascii="MS UI Gothic" w:eastAsia="MS UI Gothic"/>
          <w:w w:val="80"/>
        </w:rPr>
        <w:t xml:space="preserve">ꎬ </w:t>
      </w:r>
      <w:r>
        <w:t>不信谣</w:t>
      </w:r>
      <w:r>
        <w:rPr>
          <w:rFonts w:hint="eastAsia" w:ascii="MS UI Gothic" w:eastAsia="MS UI Gothic"/>
          <w:w w:val="80"/>
        </w:rPr>
        <w:t xml:space="preserve">、 </w:t>
      </w:r>
      <w:r>
        <w:t>不传谣</w:t>
      </w:r>
      <w:r>
        <w:rPr>
          <w:rFonts w:hint="eastAsia" w:ascii="MS UI Gothic" w:eastAsia="MS UI Gothic"/>
          <w:w w:val="80"/>
        </w:rPr>
        <w:t xml:space="preserve">ꎬ </w:t>
      </w:r>
      <w:r>
        <w:t>依法支持和配合疫情防控工作</w:t>
      </w:r>
      <w:r>
        <w:rPr>
          <w:rFonts w:hint="eastAsia" w:ascii="MS UI Gothic" w:eastAsia="MS UI Gothic"/>
          <w:w w:val="80"/>
        </w:rPr>
        <w:t xml:space="preserve">ꎬ </w:t>
      </w:r>
      <w:r>
        <w:t>为疫情防控工作的顺利开展营造良好的法治和社会环境</w:t>
      </w:r>
      <w:r>
        <w:rPr>
          <w:rFonts w:hint="eastAsia" w:ascii="MS UI Gothic" w:eastAsia="MS UI Gothic"/>
          <w:w w:val="80"/>
        </w:rPr>
        <w:t>ꎮ</w:t>
      </w:r>
    </w:p>
    <w:p>
      <w:pPr>
        <w:pStyle w:val="6"/>
        <w:spacing w:line="295" w:lineRule="auto"/>
        <w:ind w:right="440"/>
        <w:rPr>
          <w:rFonts w:hint="eastAsia" w:ascii="MS UI Gothic" w:eastAsia="MS UI Gothic"/>
        </w:rPr>
      </w:pPr>
      <w:r>
        <w:rPr>
          <w:rFonts w:hint="eastAsia" w:ascii="MS UI Gothic" w:eastAsia="MS UI Gothic"/>
          <w:w w:val="150"/>
        </w:rPr>
        <w:t xml:space="preserve">( </w:t>
      </w:r>
      <w:r>
        <w:t>五</w:t>
      </w:r>
      <w:r>
        <w:rPr>
          <w:rFonts w:hint="eastAsia" w:ascii="MS UI Gothic" w:eastAsia="MS UI Gothic"/>
          <w:w w:val="150"/>
        </w:rPr>
        <w:t xml:space="preserve">) </w:t>
      </w:r>
      <w:r>
        <w:t>注重办案安全</w:t>
      </w:r>
      <w:r>
        <w:rPr>
          <w:rFonts w:hint="eastAsia" w:ascii="MS UI Gothic" w:eastAsia="MS UI Gothic"/>
          <w:w w:val="80"/>
        </w:rPr>
        <w:t xml:space="preserve">ꎮ </w:t>
      </w:r>
      <w:r>
        <w:t>在疫情防控期间</w:t>
      </w:r>
      <w:r>
        <w:rPr>
          <w:rFonts w:hint="eastAsia" w:ascii="MS UI Gothic" w:eastAsia="MS UI Gothic"/>
          <w:w w:val="80"/>
        </w:rPr>
        <w:t xml:space="preserve">ꎬ </w:t>
      </w:r>
      <w:r>
        <w:t>办理妨害新型冠状病毒感染肺炎疫情防控案件</w:t>
      </w:r>
      <w:r>
        <w:rPr>
          <w:rFonts w:hint="eastAsia" w:ascii="MS UI Gothic" w:eastAsia="MS UI Gothic"/>
          <w:w w:val="80"/>
        </w:rPr>
        <w:t xml:space="preserve">ꎬ </w:t>
      </w:r>
      <w:r>
        <w:t>办案人员要注重自身安全</w:t>
      </w:r>
      <w:r>
        <w:rPr>
          <w:rFonts w:hint="eastAsia" w:ascii="MS UI Gothic" w:eastAsia="MS UI Gothic"/>
          <w:w w:val="80"/>
        </w:rPr>
        <w:t xml:space="preserve">ꎬ </w:t>
      </w:r>
      <w:r>
        <w:t>提升防范意识</w:t>
      </w:r>
      <w:r>
        <w:rPr>
          <w:rFonts w:hint="eastAsia" w:ascii="MS UI Gothic" w:eastAsia="MS UI Gothic"/>
          <w:w w:val="80"/>
        </w:rPr>
        <w:t xml:space="preserve">ꎬ </w:t>
      </w:r>
      <w:r>
        <w:t>增强在履行接处警</w:t>
      </w:r>
      <w:r>
        <w:rPr>
          <w:rFonts w:hint="eastAsia" w:ascii="MS UI Gothic" w:eastAsia="MS UI Gothic"/>
          <w:w w:val="80"/>
        </w:rPr>
        <w:t xml:space="preserve">、 </w:t>
      </w:r>
      <w:r>
        <w:t>抓捕</w:t>
      </w:r>
      <w:r>
        <w:rPr>
          <w:rFonts w:hint="eastAsia" w:ascii="MS UI Gothic" w:eastAsia="MS UI Gothic"/>
          <w:w w:val="80"/>
        </w:rPr>
        <w:t>、</w:t>
      </w:r>
      <w:r>
        <w:t>羁押</w:t>
      </w:r>
      <w:r>
        <w:rPr>
          <w:rFonts w:hint="eastAsia" w:ascii="MS UI Gothic" w:eastAsia="MS UI Gothic"/>
          <w:w w:val="80"/>
        </w:rPr>
        <w:t xml:space="preserve">、 </w:t>
      </w:r>
      <w:r>
        <w:t>讯问</w:t>
      </w:r>
      <w:r>
        <w:rPr>
          <w:rFonts w:hint="eastAsia" w:ascii="MS UI Gothic" w:eastAsia="MS UI Gothic"/>
          <w:w w:val="80"/>
        </w:rPr>
        <w:t xml:space="preserve">、 </w:t>
      </w:r>
      <w:r>
        <w:t>审判</w:t>
      </w:r>
      <w:r>
        <w:rPr>
          <w:rFonts w:hint="eastAsia" w:ascii="MS UI Gothic" w:eastAsia="MS UI Gothic"/>
          <w:w w:val="80"/>
        </w:rPr>
        <w:t xml:space="preserve">、 </w:t>
      </w:r>
      <w:r>
        <w:t>执行等职能时的自我保护能力和防范能力</w:t>
      </w:r>
      <w:r>
        <w:rPr>
          <w:rFonts w:hint="eastAsia" w:ascii="MS UI Gothic" w:eastAsia="MS UI Gothic"/>
          <w:w w:val="80"/>
        </w:rPr>
        <w:t xml:space="preserve">ꎮ </w:t>
      </w:r>
      <w:r>
        <w:t>除依法必须当面接触的情形外</w:t>
      </w:r>
      <w:r>
        <w:rPr>
          <w:rFonts w:hint="eastAsia" w:ascii="MS UI Gothic" w:eastAsia="MS UI Gothic"/>
          <w:w w:val="80"/>
        </w:rPr>
        <w:t xml:space="preserve">ꎬ </w:t>
      </w:r>
      <w:r>
        <w:t>可以尽量采取书面审查方式</w:t>
      </w:r>
      <w:r>
        <w:rPr>
          <w:rFonts w:hint="eastAsia" w:ascii="MS UI Gothic" w:eastAsia="MS UI Gothic"/>
          <w:w w:val="80"/>
        </w:rPr>
        <w:t xml:space="preserve">ꎬ </w:t>
      </w:r>
      <w:r>
        <w:t>必要时</w:t>
      </w:r>
      <w:r>
        <w:rPr>
          <w:rFonts w:hint="eastAsia" w:ascii="MS UI Gothic" w:eastAsia="MS UI Gothic"/>
          <w:w w:val="80"/>
        </w:rPr>
        <w:t xml:space="preserve">ꎬ </w:t>
      </w:r>
      <w:r>
        <w:t>可以采取视频等方式讯问犯罪嫌疑人</w:t>
      </w:r>
      <w:r>
        <w:rPr>
          <w:rFonts w:hint="eastAsia" w:ascii="MS UI Gothic" w:eastAsia="MS UI Gothic"/>
          <w:w w:val="80"/>
        </w:rPr>
        <w:t xml:space="preserve">、 </w:t>
      </w:r>
      <w:r>
        <w:t>询问被害人</w:t>
      </w:r>
      <w:r>
        <w:rPr>
          <w:rFonts w:hint="eastAsia" w:ascii="MS UI Gothic" w:eastAsia="MS UI Gothic"/>
          <w:w w:val="80"/>
        </w:rPr>
        <w:t xml:space="preserve">、 </w:t>
      </w:r>
      <w:r>
        <w:t>证人</w:t>
      </w:r>
      <w:r>
        <w:rPr>
          <w:rFonts w:hint="eastAsia" w:ascii="MS UI Gothic" w:eastAsia="MS UI Gothic"/>
          <w:w w:val="80"/>
        </w:rPr>
        <w:t xml:space="preserve">、 </w:t>
      </w:r>
      <w:r>
        <w:t>听取辩护律师意见</w:t>
      </w:r>
      <w:r>
        <w:rPr>
          <w:rFonts w:hint="eastAsia" w:ascii="MS UI Gothic" w:eastAsia="MS UI Gothic"/>
          <w:w w:val="80"/>
        </w:rPr>
        <w:t xml:space="preserve">ꎮ </w:t>
      </w:r>
      <w:r>
        <w:t>人民法院在疫情防控期间审理相关案件的</w:t>
      </w:r>
      <w:r>
        <w:rPr>
          <w:rFonts w:hint="eastAsia" w:ascii="MS UI Gothic" w:eastAsia="MS UI Gothic"/>
          <w:w w:val="80"/>
        </w:rPr>
        <w:t xml:space="preserve">ꎬ </w:t>
      </w:r>
      <w:r>
        <w:t>在坚持依法公开审理的同时</w:t>
      </w:r>
      <w:r>
        <w:rPr>
          <w:rFonts w:hint="eastAsia" w:ascii="MS UI Gothic" w:eastAsia="MS UI Gothic"/>
          <w:w w:val="80"/>
        </w:rPr>
        <w:t xml:space="preserve">ꎬ </w:t>
      </w:r>
      <w:r>
        <w:t>要最大限度减少人员聚集</w:t>
      </w:r>
      <w:r>
        <w:rPr>
          <w:rFonts w:hint="eastAsia" w:ascii="MS UI Gothic" w:eastAsia="MS UI Gothic"/>
          <w:w w:val="80"/>
        </w:rPr>
        <w:t xml:space="preserve">ꎬ </w:t>
      </w:r>
      <w:r>
        <w:t>切实维护诉讼参与人</w:t>
      </w:r>
      <w:r>
        <w:rPr>
          <w:rFonts w:hint="eastAsia" w:ascii="MS UI Gothic" w:eastAsia="MS UI Gothic"/>
          <w:w w:val="80"/>
        </w:rPr>
        <w:t xml:space="preserve">、 </w:t>
      </w:r>
      <w:r>
        <w:t>旁听群众</w:t>
      </w:r>
      <w:r>
        <w:rPr>
          <w:rFonts w:hint="eastAsia" w:ascii="MS UI Gothic" w:eastAsia="MS UI Gothic"/>
          <w:w w:val="80"/>
        </w:rPr>
        <w:t xml:space="preserve">、 </w:t>
      </w:r>
      <w:r>
        <w:t>法院干警的安全和健康</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4"/>
        <w:ind w:left="0" w:firstLine="0"/>
        <w:jc w:val="left"/>
        <w:rPr>
          <w:rFonts w:ascii="MS UI Gothic"/>
          <w:sz w:val="16"/>
        </w:rPr>
      </w:pPr>
    </w:p>
    <w:p>
      <w:pPr>
        <w:pStyle w:val="4"/>
        <w:tabs>
          <w:tab w:val="left" w:pos="2989"/>
        </w:tabs>
        <w:spacing w:before="79" w:line="266" w:lineRule="auto"/>
        <w:ind w:left="1048" w:right="1353" w:hanging="16"/>
        <w:jc w:val="left"/>
        <w:rPr>
          <w:rFonts w:hint="eastAsia" w:ascii="Microsoft Yi Baiti" w:eastAsia="Microsoft Yi Baiti"/>
        </w:rPr>
      </w:pPr>
      <w:r>
        <w:rPr>
          <w:spacing w:val="5"/>
        </w:rPr>
        <w:t>最高人民法</w:t>
      </w:r>
      <w:r>
        <w:t>院</w:t>
      </w:r>
      <w:r>
        <w:tab/>
      </w:r>
      <w:r>
        <w:rPr>
          <w:spacing w:val="5"/>
        </w:rPr>
        <w:t>最高人民检察院关于办理环境污</w:t>
      </w:r>
      <w:r>
        <w:t>染</w:t>
      </w:r>
      <w:r>
        <w:rPr>
          <w:spacing w:val="5"/>
        </w:rPr>
        <w:t>刑事案件适用法律若干问题的解</w:t>
      </w:r>
      <w:r>
        <w:t>释</w:t>
      </w:r>
      <w:r>
        <w:rPr>
          <w:spacing w:val="-51"/>
        </w:rPr>
        <w:t xml:space="preserve"> </w:t>
      </w:r>
      <w:r>
        <w:rPr>
          <w:rFonts w:hint="eastAsia" w:ascii="Microsoft Yi Baiti" w:eastAsia="Microsoft Yi Baiti"/>
          <w:spacing w:val="3"/>
        </w:rPr>
        <w:t>(</w:t>
      </w:r>
      <w:r>
        <w:rPr>
          <w:rFonts w:hint="eastAsia" w:ascii="MS UI Gothic" w:eastAsia="MS UI Gothic"/>
          <w:spacing w:val="3"/>
        </w:rPr>
        <w:t>２０１６</w:t>
      </w:r>
      <w:r>
        <w:rPr>
          <w:rFonts w:hint="eastAsia" w:ascii="MS UI Gothic" w:eastAsia="MS UI Gothic"/>
          <w:spacing w:val="-38"/>
        </w:rPr>
        <w:t xml:space="preserve"> </w:t>
      </w:r>
      <w:r>
        <w:rPr>
          <w:spacing w:val="5"/>
        </w:rPr>
        <w:t>年公布</w:t>
      </w:r>
      <w:r>
        <w:rPr>
          <w:rFonts w:hint="eastAsia" w:ascii="Microsoft Yi Baiti" w:eastAsia="Microsoft Yi Baiti"/>
        </w:rPr>
        <w:t>)</w:t>
      </w:r>
    </w:p>
    <w:p>
      <w:pPr>
        <w:pStyle w:val="6"/>
        <w:spacing w:before="328"/>
        <w:ind w:left="543" w:firstLine="0"/>
        <w:jc w:val="left"/>
      </w:pPr>
      <w:r>
        <w:rPr>
          <w:rFonts w:hint="eastAsia" w:ascii="Microsoft Yi Baiti" w:eastAsia="Microsoft Yi Baiti"/>
          <w:spacing w:val="2"/>
        </w:rPr>
        <w:t>(</w:t>
      </w:r>
      <w:r>
        <w:rPr>
          <w:rFonts w:hint="eastAsia" w:ascii="MS UI Gothic" w:eastAsia="MS UI Gothic"/>
          <w:spacing w:val="-4"/>
        </w:rPr>
        <w:t xml:space="preserve">２０１６ </w:t>
      </w:r>
      <w:r>
        <w:rPr>
          <w:spacing w:val="-35"/>
        </w:rPr>
        <w:t xml:space="preserve">年 </w:t>
      </w:r>
      <w:r>
        <w:rPr>
          <w:rFonts w:hint="eastAsia" w:ascii="MS UI Gothic" w:eastAsia="MS UI Gothic"/>
          <w:spacing w:val="-9"/>
        </w:rPr>
        <w:t xml:space="preserve">１１ </w:t>
      </w:r>
      <w:r>
        <w:rPr>
          <w:spacing w:val="-34"/>
        </w:rPr>
        <w:t xml:space="preserve">月 </w:t>
      </w:r>
      <w:r>
        <w:rPr>
          <w:rFonts w:hint="eastAsia" w:ascii="MS UI Gothic" w:eastAsia="MS UI Gothic"/>
          <w:spacing w:val="-11"/>
        </w:rPr>
        <w:t xml:space="preserve">７ </w:t>
      </w:r>
      <w:r>
        <w:t xml:space="preserve">日最高人民法院审判委员会第 </w:t>
      </w:r>
      <w:r>
        <w:rPr>
          <w:rFonts w:hint="eastAsia" w:ascii="MS UI Gothic" w:eastAsia="MS UI Gothic"/>
          <w:spacing w:val="-5"/>
        </w:rPr>
        <w:t xml:space="preserve">１６９８ </w:t>
      </w:r>
      <w:r>
        <w:rPr>
          <w:spacing w:val="5"/>
        </w:rPr>
        <w:t>次会议</w:t>
      </w:r>
      <w:r>
        <w:rPr>
          <w:rFonts w:hint="eastAsia" w:ascii="Microsoft Yi Baiti" w:eastAsia="Microsoft Yi Baiti"/>
          <w:spacing w:val="-13"/>
        </w:rPr>
        <w:t xml:space="preserve">、 </w:t>
      </w:r>
      <w:r>
        <w:rPr>
          <w:rFonts w:hint="eastAsia" w:ascii="MS UI Gothic" w:eastAsia="MS UI Gothic"/>
          <w:spacing w:val="-5"/>
        </w:rPr>
        <w:t xml:space="preserve">２０１６ </w:t>
      </w:r>
      <w:r>
        <w:rPr>
          <w:spacing w:val="-33"/>
        </w:rPr>
        <w:t xml:space="preserve">年 </w:t>
      </w:r>
      <w:r>
        <w:rPr>
          <w:rFonts w:hint="eastAsia" w:ascii="MS UI Gothic" w:eastAsia="MS UI Gothic"/>
          <w:spacing w:val="-7"/>
        </w:rPr>
        <w:t xml:space="preserve">１２ </w:t>
      </w:r>
      <w:r>
        <w:rPr>
          <w:spacing w:val="-33"/>
        </w:rPr>
        <w:t xml:space="preserve">月 </w:t>
      </w:r>
      <w:r>
        <w:rPr>
          <w:rFonts w:hint="eastAsia" w:ascii="MS UI Gothic" w:eastAsia="MS UI Gothic"/>
          <w:spacing w:val="-11"/>
        </w:rPr>
        <w:t xml:space="preserve">８ </w:t>
      </w:r>
      <w:r>
        <w:rPr>
          <w:spacing w:val="4"/>
        </w:rPr>
        <w:t>日最</w:t>
      </w:r>
    </w:p>
    <w:p>
      <w:pPr>
        <w:pStyle w:val="6"/>
        <w:spacing w:before="58"/>
        <w:ind w:firstLine="0"/>
        <w:jc w:val="left"/>
        <w:rPr>
          <w:rFonts w:hint="eastAsia" w:ascii="Microsoft Yi Baiti" w:eastAsia="Microsoft Yi Baiti"/>
        </w:rPr>
      </w:pPr>
      <w:r>
        <w:t xml:space="preserve">高人民检察院第十二届检察委员会第 </w:t>
      </w:r>
      <w:r>
        <w:rPr>
          <w:rFonts w:hint="eastAsia" w:ascii="MS UI Gothic" w:eastAsia="MS UI Gothic"/>
        </w:rPr>
        <w:t xml:space="preserve">５８ </w:t>
      </w:r>
      <w:r>
        <w:t>次会议通过</w:t>
      </w:r>
      <w:r>
        <w:rPr>
          <w:rFonts w:hint="eastAsia" w:ascii="Microsoft Yi Baiti" w:eastAsia="Microsoft Yi Baiti"/>
        </w:rPr>
        <w:t xml:space="preserve">ꎬ </w:t>
      </w:r>
      <w:r>
        <w:t xml:space="preserve">自 </w:t>
      </w:r>
      <w:r>
        <w:rPr>
          <w:rFonts w:hint="eastAsia" w:ascii="MS UI Gothic" w:eastAsia="MS UI Gothic"/>
        </w:rPr>
        <w:t xml:space="preserve">２０１７ </w:t>
      </w:r>
      <w:r>
        <w:t xml:space="preserve">年 </w:t>
      </w:r>
      <w:r>
        <w:rPr>
          <w:rFonts w:hint="eastAsia" w:ascii="MS UI Gothic" w:eastAsia="MS UI Gothic"/>
        </w:rPr>
        <w:t xml:space="preserve">１ </w:t>
      </w:r>
      <w:r>
        <w:t xml:space="preserve">月 </w:t>
      </w:r>
      <w:r>
        <w:rPr>
          <w:rFonts w:hint="eastAsia" w:ascii="MS UI Gothic" w:eastAsia="MS UI Gothic"/>
        </w:rPr>
        <w:t xml:space="preserve">１ </w:t>
      </w:r>
      <w:r>
        <w:t>日起施行</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175"/>
        <w:ind w:left="0" w:right="38" w:firstLine="0"/>
        <w:jc w:val="right"/>
      </w:pPr>
      <w:r>
        <w:rPr>
          <w:spacing w:val="3"/>
        </w:rPr>
        <w:t>为依法惩治有关环境污染犯罪</w:t>
      </w:r>
      <w:r>
        <w:rPr>
          <w:rFonts w:hint="eastAsia" w:ascii="MS UI Gothic" w:eastAsia="MS UI Gothic"/>
          <w:spacing w:val="12"/>
          <w:w w:val="80"/>
        </w:rPr>
        <w:t xml:space="preserve">ꎬ  </w:t>
      </w:r>
      <w:r>
        <w:rPr>
          <w:spacing w:val="1"/>
        </w:rPr>
        <w:t>根据</w:t>
      </w:r>
    </w:p>
    <w:p>
      <w:pPr>
        <w:pStyle w:val="6"/>
        <w:spacing w:before="58" w:line="240" w:lineRule="exact"/>
        <w:ind w:left="0" w:right="38" w:firstLine="0"/>
        <w:jc w:val="right"/>
      </w:pPr>
      <w:r>
        <w:rPr>
          <w:rFonts w:hint="eastAsia" w:ascii="MS UI Gothic" w:hAnsi="MS UI Gothic" w:eastAsia="MS UI Gothic"/>
          <w:spacing w:val="-21"/>
        </w:rPr>
        <w:t xml:space="preserve">« </w:t>
      </w:r>
      <w:r>
        <w:rPr>
          <w:spacing w:val="6"/>
        </w:rPr>
        <w:t>中华人民共和国刑法</w:t>
      </w:r>
      <w:r>
        <w:rPr>
          <w:rFonts w:hint="eastAsia" w:ascii="MS UI Gothic" w:hAnsi="MS UI Gothic" w:eastAsia="MS UI Gothic"/>
          <w:spacing w:val="-6"/>
        </w:rPr>
        <w:t xml:space="preserve">»   « </w:t>
      </w:r>
      <w:r>
        <w:rPr>
          <w:spacing w:val="10"/>
        </w:rPr>
        <w:t>中华人民共和</w:t>
      </w:r>
    </w:p>
    <w:p>
      <w:pPr>
        <w:pStyle w:val="6"/>
        <w:spacing w:before="175"/>
        <w:ind w:firstLine="0"/>
        <w:jc w:val="left"/>
        <w:rPr>
          <w:rFonts w:hint="eastAsia" w:ascii="MS UI Gothic" w:eastAsia="MS UI Gothic"/>
        </w:rPr>
      </w:pPr>
      <w:r>
        <w:br w:type="column"/>
      </w:r>
      <w:r>
        <w:t>物三吨以上的</w:t>
      </w:r>
      <w:r>
        <w:rPr>
          <w:rFonts w:hint="eastAsia" w:ascii="MS UI Gothic" w:eastAsia="MS UI Gothic"/>
          <w:w w:val="80"/>
        </w:rPr>
        <w:t>ꎻ</w:t>
      </w:r>
    </w:p>
    <w:p>
      <w:pPr>
        <w:pStyle w:val="6"/>
        <w:spacing w:before="58" w:line="240" w:lineRule="exact"/>
        <w:ind w:left="543" w:firstLine="0"/>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排放</w:t>
      </w:r>
      <w:r>
        <w:rPr>
          <w:rFonts w:hint="eastAsia" w:ascii="MS UI Gothic" w:eastAsia="MS UI Gothic"/>
        </w:rPr>
        <w:t xml:space="preserve">、 </w:t>
      </w:r>
      <w:r>
        <w:rPr>
          <w:w w:val="105"/>
        </w:rPr>
        <w:t>倾倒</w:t>
      </w:r>
      <w:r>
        <w:rPr>
          <w:rFonts w:hint="eastAsia" w:ascii="MS UI Gothic" w:eastAsia="MS UI Gothic"/>
        </w:rPr>
        <w:t xml:space="preserve">、 </w:t>
      </w:r>
      <w:r>
        <w:rPr>
          <w:w w:val="105"/>
        </w:rPr>
        <w:t>处置含铅</w:t>
      </w:r>
      <w:r>
        <w:rPr>
          <w:rFonts w:hint="eastAsia" w:ascii="MS UI Gothic" w:eastAsia="MS UI Gothic"/>
        </w:rPr>
        <w:t xml:space="preserve">、 </w:t>
      </w:r>
      <w:r>
        <w:rPr>
          <w:w w:val="105"/>
        </w:rPr>
        <w:t>汞</w:t>
      </w:r>
      <w:r>
        <w:rPr>
          <w:rFonts w:hint="eastAsia" w:ascii="MS UI Gothic" w:eastAsia="MS UI Gothic"/>
        </w:rPr>
        <w:t>、</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74" w:line="295" w:lineRule="auto"/>
        <w:ind w:right="38" w:firstLine="0"/>
        <w:rPr>
          <w:rFonts w:hint="eastAsia" w:ascii="MS UI Gothic" w:hAnsi="MS UI Gothic" w:eastAsia="MS UI Gothic"/>
        </w:rPr>
      </w:pPr>
      <w:r>
        <w:rPr>
          <w:w w:val="105"/>
        </w:rPr>
        <w:t>国刑事诉讼法</w:t>
      </w:r>
      <w:r>
        <w:rPr>
          <w:rFonts w:hint="eastAsia" w:ascii="MS UI Gothic" w:hAnsi="MS UI Gothic" w:eastAsia="MS UI Gothic"/>
          <w:w w:val="80"/>
        </w:rPr>
        <w:t xml:space="preserve">» </w:t>
      </w:r>
      <w:r>
        <w:rPr>
          <w:w w:val="105"/>
        </w:rPr>
        <w:t>的有关规定</w:t>
      </w:r>
      <w:r>
        <w:rPr>
          <w:rFonts w:hint="eastAsia" w:ascii="MS UI Gothic" w:hAnsi="MS UI Gothic" w:eastAsia="MS UI Gothic"/>
          <w:w w:val="80"/>
        </w:rPr>
        <w:t xml:space="preserve">ꎬ </w:t>
      </w:r>
      <w:r>
        <w:rPr>
          <w:w w:val="105"/>
        </w:rPr>
        <w:t>现就办理</w:t>
      </w:r>
      <w:r>
        <w:t>此类刑事案件适用法律的若干问题解释</w:t>
      </w:r>
      <w:r>
        <w:rPr>
          <w:w w:val="105"/>
        </w:rPr>
        <w:t>如下</w:t>
      </w:r>
      <w:r>
        <w:rPr>
          <w:rFonts w:hint="eastAsia" w:ascii="MS UI Gothic" w:hAnsi="MS UI Gothic" w:eastAsia="MS UI Gothic"/>
          <w:w w:val="235"/>
        </w:rPr>
        <w:t>:</w:t>
      </w:r>
    </w:p>
    <w:p>
      <w:pPr>
        <w:pStyle w:val="6"/>
        <w:spacing w:line="295" w:lineRule="auto"/>
        <w:ind w:right="38"/>
        <w:rPr>
          <w:rFonts w:hint="eastAsia" w:ascii="MS UI Gothic" w:hAnsi="MS UI Gothic" w:eastAsia="MS UI Gothic"/>
        </w:rPr>
      </w:pPr>
      <w:r>
        <w:pict>
          <v:shape id="_x0000_s1112" o:spid="_x0000_s1112" o:spt="202" type="#_x0000_t202" style="position:absolute;left:0pt;margin-left:76.15pt;margin-top:43.4pt;height:24.35pt;width:5.15pt;mso-position-horizontal-relative:page;z-index:-27607142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rPr>
                  </w:pPr>
                  <w:r>
                    <w:rPr>
                      <w:rFonts w:ascii="MS UI Gothic"/>
                      <w:w w:val="168"/>
                    </w:rPr>
                    <w:t>(</w:t>
                  </w:r>
                </w:p>
              </w:txbxContent>
            </v:textbox>
          </v:shape>
        </w:pict>
      </w:r>
      <w:r>
        <w:t>第一条 实施刑法第三百三十八条规定的行为</w:t>
      </w:r>
      <w:r>
        <w:rPr>
          <w:rFonts w:hint="eastAsia" w:ascii="MS UI Gothic" w:hAnsi="MS UI Gothic" w:eastAsia="MS UI Gothic"/>
          <w:w w:val="80"/>
        </w:rPr>
        <w:t xml:space="preserve">ꎬ </w:t>
      </w:r>
      <w:r>
        <w:t>具有下列情形之一的</w:t>
      </w:r>
      <w:r>
        <w:rPr>
          <w:rFonts w:hint="eastAsia" w:ascii="MS UI Gothic" w:hAnsi="MS UI Gothic" w:eastAsia="MS UI Gothic"/>
          <w:w w:val="80"/>
        </w:rPr>
        <w:t xml:space="preserve">ꎬ </w:t>
      </w:r>
      <w:r>
        <w:t>应当认</w:t>
      </w:r>
      <w:r>
        <w:rPr>
          <w:w w:val="102"/>
        </w:rPr>
        <w:t>定为</w:t>
      </w:r>
      <w:r>
        <w:t xml:space="preserve"> </w:t>
      </w:r>
      <w:r>
        <w:rPr>
          <w:rFonts w:hint="eastAsia" w:ascii="MS UI Gothic" w:hAnsi="MS UI Gothic" w:eastAsia="MS UI Gothic"/>
          <w:w w:val="102"/>
        </w:rPr>
        <w:t>“</w:t>
      </w:r>
      <w:r>
        <w:rPr>
          <w:rFonts w:hint="eastAsia" w:ascii="MS UI Gothic" w:hAnsi="MS UI Gothic" w:eastAsia="MS UI Gothic"/>
        </w:rPr>
        <w:t xml:space="preserve"> </w:t>
      </w:r>
      <w:r>
        <w:rPr>
          <w:w w:val="102"/>
        </w:rPr>
        <w:t>严重污染环境</w:t>
      </w:r>
      <w:r>
        <w:rPr>
          <w:rFonts w:hint="eastAsia" w:ascii="MS UI Gothic" w:hAnsi="MS UI Gothic" w:eastAsia="MS UI Gothic"/>
          <w:w w:val="102"/>
        </w:rPr>
        <w:t>”</w:t>
      </w:r>
      <w:r>
        <w:rPr>
          <w:rFonts w:hint="eastAsia" w:ascii="MS UI Gothic" w:hAnsi="MS UI Gothic" w:eastAsia="MS UI Gothic"/>
          <w:w w:val="253"/>
        </w:rPr>
        <w:t>:</w:t>
      </w:r>
    </w:p>
    <w:p>
      <w:pPr>
        <w:pStyle w:val="6"/>
        <w:spacing w:line="295" w:lineRule="auto"/>
        <w:ind w:right="38" w:firstLine="543"/>
        <w:rPr>
          <w:rFonts w:hint="eastAsia" w:ascii="MS UI Gothic" w:eastAsia="MS UI Gothic"/>
        </w:rPr>
      </w:pPr>
      <w:r>
        <w:rPr>
          <w:w w:val="105"/>
        </w:rPr>
        <w:t>一</w:t>
      </w:r>
      <w:r>
        <w:rPr>
          <w:rFonts w:hint="eastAsia" w:ascii="MS UI Gothic" w:eastAsia="MS UI Gothic"/>
          <w:w w:val="150"/>
        </w:rPr>
        <w:t xml:space="preserve">) </w:t>
      </w:r>
      <w:r>
        <w:rPr>
          <w:w w:val="105"/>
        </w:rPr>
        <w:t>在饮用水水源一级保护区</w:t>
      </w:r>
      <w:r>
        <w:rPr>
          <w:rFonts w:hint="eastAsia" w:ascii="MS UI Gothic" w:eastAsia="MS UI Gothic"/>
          <w:w w:val="80"/>
        </w:rPr>
        <w:t xml:space="preserve">、 </w:t>
      </w:r>
      <w:r>
        <w:rPr>
          <w:w w:val="105"/>
        </w:rPr>
        <w:t>自然保护区核心区排放</w:t>
      </w:r>
      <w:r>
        <w:rPr>
          <w:rFonts w:hint="eastAsia" w:ascii="MS UI Gothic" w:eastAsia="MS UI Gothic"/>
          <w:w w:val="80"/>
        </w:rPr>
        <w:t xml:space="preserve">、 </w:t>
      </w:r>
      <w:r>
        <w:rPr>
          <w:w w:val="105"/>
        </w:rPr>
        <w:t>倾倒</w:t>
      </w:r>
      <w:r>
        <w:rPr>
          <w:rFonts w:hint="eastAsia" w:ascii="MS UI Gothic" w:eastAsia="MS UI Gothic"/>
          <w:w w:val="80"/>
        </w:rPr>
        <w:t xml:space="preserve">、 </w:t>
      </w:r>
      <w:r>
        <w:rPr>
          <w:w w:val="105"/>
        </w:rPr>
        <w:t>处置有放射性的废物</w:t>
      </w:r>
      <w:r>
        <w:rPr>
          <w:rFonts w:hint="eastAsia" w:ascii="MS UI Gothic" w:eastAsia="MS UI Gothic"/>
          <w:w w:val="80"/>
        </w:rPr>
        <w:t xml:space="preserve">、 </w:t>
      </w:r>
      <w:r>
        <w:rPr>
          <w:w w:val="105"/>
        </w:rPr>
        <w:t>含传染病病原体的废物</w:t>
      </w:r>
      <w:r>
        <w:rPr>
          <w:rFonts w:hint="eastAsia" w:ascii="MS UI Gothic" w:eastAsia="MS UI Gothic"/>
          <w:w w:val="80"/>
        </w:rPr>
        <w:t xml:space="preserve">、 </w:t>
      </w:r>
      <w:r>
        <w:rPr>
          <w:w w:val="105"/>
        </w:rPr>
        <w:t>有毒物质的</w:t>
      </w:r>
      <w:r>
        <w:rPr>
          <w:rFonts w:hint="eastAsia" w:ascii="MS UI Gothic" w:eastAsia="MS UI Gothic"/>
          <w:w w:val="80"/>
        </w:rPr>
        <w:t>ꎻ</w:t>
      </w:r>
    </w:p>
    <w:p>
      <w:pPr>
        <w:pStyle w:val="6"/>
        <w:spacing w:line="253" w:lineRule="exact"/>
        <w:ind w:left="543" w:firstLine="0"/>
      </w:pPr>
      <w:r>
        <w:rPr>
          <w:rFonts w:hint="eastAsia" w:ascii="MS UI Gothic" w:eastAsia="MS UI Gothic"/>
          <w:spacing w:val="-41"/>
          <w:w w:val="150"/>
        </w:rPr>
        <w:t xml:space="preserve">( </w:t>
      </w:r>
      <w:r>
        <w:rPr>
          <w:spacing w:val="3"/>
          <w:w w:val="110"/>
        </w:rPr>
        <w:t>二</w:t>
      </w:r>
      <w:r>
        <w:rPr>
          <w:rFonts w:hint="eastAsia" w:ascii="MS UI Gothic" w:eastAsia="MS UI Gothic"/>
          <w:spacing w:val="-14"/>
          <w:w w:val="150"/>
        </w:rPr>
        <w:t xml:space="preserve">) </w:t>
      </w:r>
      <w:r>
        <w:rPr>
          <w:spacing w:val="4"/>
          <w:w w:val="110"/>
        </w:rPr>
        <w:t>非法排放</w:t>
      </w:r>
      <w:r>
        <w:rPr>
          <w:rFonts w:hint="eastAsia" w:ascii="MS UI Gothic" w:eastAsia="MS UI Gothic"/>
          <w:spacing w:val="-2"/>
        </w:rPr>
        <w:t xml:space="preserve">、 </w:t>
      </w:r>
      <w:r>
        <w:rPr>
          <w:spacing w:val="8"/>
          <w:w w:val="110"/>
        </w:rPr>
        <w:t>倾倒</w:t>
      </w:r>
      <w:r>
        <w:rPr>
          <w:rFonts w:hint="eastAsia" w:ascii="MS UI Gothic" w:eastAsia="MS UI Gothic"/>
          <w:spacing w:val="-3"/>
        </w:rPr>
        <w:t xml:space="preserve">、 </w:t>
      </w:r>
      <w:r>
        <w:rPr>
          <w:spacing w:val="10"/>
          <w:w w:val="110"/>
        </w:rPr>
        <w:t>处置危险废</w:t>
      </w:r>
    </w:p>
    <w:p>
      <w:pPr>
        <w:pStyle w:val="6"/>
        <w:spacing w:before="74" w:line="295" w:lineRule="auto"/>
        <w:ind w:right="442" w:firstLine="0"/>
        <w:rPr>
          <w:rFonts w:hint="eastAsia" w:ascii="MS UI Gothic" w:eastAsia="MS UI Gothic"/>
        </w:rPr>
      </w:pPr>
      <w:r>
        <w:br w:type="column"/>
      </w:r>
      <w:r>
        <w:rPr>
          <w:spacing w:val="3"/>
        </w:rPr>
        <w:t>镉</w:t>
      </w:r>
      <w:r>
        <w:rPr>
          <w:rFonts w:hint="eastAsia" w:ascii="MS UI Gothic" w:eastAsia="MS UI Gothic"/>
          <w:spacing w:val="12"/>
        </w:rPr>
        <w:t xml:space="preserve">、 </w:t>
      </w:r>
      <w:r>
        <w:rPr>
          <w:spacing w:val="3"/>
        </w:rPr>
        <w:t>铬</w:t>
      </w:r>
      <w:r>
        <w:rPr>
          <w:rFonts w:hint="eastAsia" w:ascii="MS UI Gothic" w:eastAsia="MS UI Gothic"/>
          <w:spacing w:val="12"/>
        </w:rPr>
        <w:t xml:space="preserve">、 </w:t>
      </w:r>
      <w:r>
        <w:rPr>
          <w:spacing w:val="3"/>
        </w:rPr>
        <w:t>砷</w:t>
      </w:r>
      <w:r>
        <w:rPr>
          <w:rFonts w:hint="eastAsia" w:ascii="MS UI Gothic" w:eastAsia="MS UI Gothic"/>
          <w:spacing w:val="13"/>
        </w:rPr>
        <w:t xml:space="preserve">、 </w:t>
      </w:r>
      <w:r>
        <w:rPr>
          <w:spacing w:val="3"/>
        </w:rPr>
        <w:t>铊</w:t>
      </w:r>
      <w:r>
        <w:rPr>
          <w:rFonts w:hint="eastAsia" w:ascii="MS UI Gothic" w:eastAsia="MS UI Gothic"/>
          <w:spacing w:val="12"/>
        </w:rPr>
        <w:t xml:space="preserve">、 </w:t>
      </w:r>
      <w:r>
        <w:rPr>
          <w:spacing w:val="3"/>
        </w:rPr>
        <w:t>锑的污染物</w:t>
      </w:r>
      <w:r>
        <w:rPr>
          <w:rFonts w:hint="eastAsia" w:ascii="MS UI Gothic" w:eastAsia="MS UI Gothic"/>
          <w:spacing w:val="19"/>
          <w:w w:val="80"/>
        </w:rPr>
        <w:t xml:space="preserve">ꎬ </w:t>
      </w:r>
      <w:r>
        <w:rPr>
          <w:spacing w:val="2"/>
        </w:rPr>
        <w:t>超过国家</w:t>
      </w:r>
      <w:r>
        <w:rPr>
          <w:spacing w:val="3"/>
        </w:rPr>
        <w:t>或者地方污染物排放标准三倍以上的</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spacing w:val="-34"/>
          <w:w w:val="150"/>
        </w:rPr>
        <w:t xml:space="preserve">( </w:t>
      </w:r>
      <w:r>
        <w:rPr>
          <w:spacing w:val="13"/>
        </w:rPr>
        <w:t>四</w:t>
      </w:r>
      <w:r>
        <w:rPr>
          <w:rFonts w:hint="eastAsia" w:ascii="MS UI Gothic" w:eastAsia="MS UI Gothic"/>
          <w:spacing w:val="32"/>
          <w:w w:val="150"/>
        </w:rPr>
        <w:t xml:space="preserve">) </w:t>
      </w:r>
      <w:r>
        <w:rPr>
          <w:spacing w:val="14"/>
        </w:rPr>
        <w:t>排放</w:t>
      </w:r>
      <w:r>
        <w:rPr>
          <w:rFonts w:hint="eastAsia" w:ascii="MS UI Gothic" w:eastAsia="MS UI Gothic"/>
          <w:spacing w:val="18"/>
          <w:w w:val="80"/>
        </w:rPr>
        <w:t xml:space="preserve">、 </w:t>
      </w:r>
      <w:r>
        <w:rPr>
          <w:spacing w:val="14"/>
        </w:rPr>
        <w:t>倾倒</w:t>
      </w:r>
      <w:r>
        <w:rPr>
          <w:rFonts w:hint="eastAsia" w:ascii="MS UI Gothic" w:eastAsia="MS UI Gothic"/>
          <w:spacing w:val="18"/>
          <w:w w:val="80"/>
        </w:rPr>
        <w:t xml:space="preserve">、 </w:t>
      </w:r>
      <w:r>
        <w:rPr>
          <w:spacing w:val="19"/>
        </w:rPr>
        <w:t>处置含镍</w:t>
      </w:r>
      <w:r>
        <w:rPr>
          <w:rFonts w:hint="eastAsia" w:ascii="MS UI Gothic" w:eastAsia="MS UI Gothic"/>
          <w:spacing w:val="19"/>
          <w:w w:val="80"/>
        </w:rPr>
        <w:t xml:space="preserve">、 </w:t>
      </w:r>
      <w:r>
        <w:rPr>
          <w:spacing w:val="3"/>
        </w:rPr>
        <w:t>铜</w:t>
      </w:r>
      <w:r>
        <w:rPr>
          <w:rFonts w:hint="eastAsia" w:ascii="MS UI Gothic" w:eastAsia="MS UI Gothic"/>
          <w:w w:val="80"/>
        </w:rPr>
        <w:t>、</w:t>
      </w:r>
      <w:r>
        <w:rPr>
          <w:spacing w:val="3"/>
        </w:rPr>
        <w:t>锌</w:t>
      </w:r>
      <w:r>
        <w:rPr>
          <w:rFonts w:hint="eastAsia" w:ascii="MS UI Gothic" w:eastAsia="MS UI Gothic"/>
          <w:spacing w:val="4"/>
          <w:w w:val="80"/>
        </w:rPr>
        <w:t xml:space="preserve">、 </w:t>
      </w:r>
      <w:r>
        <w:rPr>
          <w:spacing w:val="3"/>
        </w:rPr>
        <w:t>银</w:t>
      </w:r>
      <w:r>
        <w:rPr>
          <w:rFonts w:hint="eastAsia" w:ascii="MS UI Gothic" w:eastAsia="MS UI Gothic"/>
          <w:spacing w:val="4"/>
          <w:w w:val="80"/>
        </w:rPr>
        <w:t xml:space="preserve">、 </w:t>
      </w:r>
      <w:r>
        <w:rPr>
          <w:spacing w:val="3"/>
        </w:rPr>
        <w:t>钒</w:t>
      </w:r>
      <w:r>
        <w:rPr>
          <w:rFonts w:hint="eastAsia" w:ascii="MS UI Gothic" w:eastAsia="MS UI Gothic"/>
          <w:spacing w:val="4"/>
          <w:w w:val="80"/>
        </w:rPr>
        <w:t xml:space="preserve">、 </w:t>
      </w:r>
      <w:r>
        <w:rPr>
          <w:spacing w:val="3"/>
        </w:rPr>
        <w:t>锰</w:t>
      </w:r>
      <w:r>
        <w:rPr>
          <w:rFonts w:hint="eastAsia" w:ascii="MS UI Gothic" w:eastAsia="MS UI Gothic"/>
          <w:spacing w:val="3"/>
          <w:w w:val="80"/>
        </w:rPr>
        <w:t xml:space="preserve">、  </w:t>
      </w:r>
      <w:r>
        <w:rPr>
          <w:spacing w:val="3"/>
        </w:rPr>
        <w:t>钴的污染物</w:t>
      </w:r>
      <w:r>
        <w:rPr>
          <w:rFonts w:hint="eastAsia" w:ascii="MS UI Gothic" w:eastAsia="MS UI Gothic"/>
          <w:spacing w:val="3"/>
          <w:w w:val="80"/>
        </w:rPr>
        <w:t xml:space="preserve">ꎬ  </w:t>
      </w:r>
      <w:r>
        <w:rPr>
          <w:spacing w:val="2"/>
        </w:rPr>
        <w:t>超过国家</w:t>
      </w:r>
      <w:r>
        <w:rPr>
          <w:spacing w:val="3"/>
        </w:rPr>
        <w:t>或者地方污染物排放标准十倍以上的</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spacing w:val="-36"/>
          <w:w w:val="150"/>
        </w:rPr>
        <w:t xml:space="preserve">( </w:t>
      </w:r>
      <w:r>
        <w:rPr>
          <w:spacing w:val="19"/>
          <w:w w:val="105"/>
        </w:rPr>
        <w:t>五</w:t>
      </w:r>
      <w:r>
        <w:rPr>
          <w:rFonts w:hint="eastAsia" w:ascii="MS UI Gothic" w:eastAsia="MS UI Gothic"/>
          <w:spacing w:val="24"/>
          <w:w w:val="150"/>
        </w:rPr>
        <w:t xml:space="preserve">) </w:t>
      </w:r>
      <w:r>
        <w:rPr>
          <w:spacing w:val="29"/>
          <w:w w:val="105"/>
        </w:rPr>
        <w:t>通过暗管</w:t>
      </w:r>
      <w:r>
        <w:rPr>
          <w:rFonts w:hint="eastAsia" w:ascii="MS UI Gothic" w:eastAsia="MS UI Gothic"/>
          <w:spacing w:val="11"/>
          <w:w w:val="80"/>
        </w:rPr>
        <w:t xml:space="preserve">、 </w:t>
      </w:r>
      <w:r>
        <w:rPr>
          <w:spacing w:val="20"/>
          <w:w w:val="105"/>
        </w:rPr>
        <w:t>渗井</w:t>
      </w:r>
      <w:r>
        <w:rPr>
          <w:rFonts w:hint="eastAsia" w:ascii="MS UI Gothic" w:eastAsia="MS UI Gothic"/>
          <w:spacing w:val="12"/>
          <w:w w:val="80"/>
        </w:rPr>
        <w:t xml:space="preserve">、 </w:t>
      </w:r>
      <w:r>
        <w:rPr>
          <w:spacing w:val="20"/>
          <w:w w:val="105"/>
        </w:rPr>
        <w:t>渗坑</w:t>
      </w:r>
      <w:r>
        <w:rPr>
          <w:rFonts w:hint="eastAsia" w:ascii="MS UI Gothic" w:eastAsia="MS UI Gothic"/>
          <w:spacing w:val="12"/>
          <w:w w:val="80"/>
        </w:rPr>
        <w:t xml:space="preserve">、 </w:t>
      </w:r>
      <w:r>
        <w:rPr>
          <w:w w:val="105"/>
        </w:rPr>
        <w:t>裂</w:t>
      </w:r>
      <w:r>
        <w:rPr>
          <w:spacing w:val="3"/>
          <w:w w:val="105"/>
        </w:rPr>
        <w:t>隙</w:t>
      </w:r>
      <w:r>
        <w:rPr>
          <w:rFonts w:hint="eastAsia" w:ascii="MS UI Gothic" w:eastAsia="MS UI Gothic"/>
          <w:spacing w:val="11"/>
          <w:w w:val="80"/>
        </w:rPr>
        <w:t xml:space="preserve">、 </w:t>
      </w:r>
      <w:r>
        <w:rPr>
          <w:spacing w:val="3"/>
          <w:w w:val="105"/>
        </w:rPr>
        <w:t>溶洞</w:t>
      </w:r>
      <w:r>
        <w:rPr>
          <w:rFonts w:hint="eastAsia" w:ascii="MS UI Gothic" w:eastAsia="MS UI Gothic"/>
          <w:spacing w:val="12"/>
          <w:w w:val="80"/>
        </w:rPr>
        <w:t xml:space="preserve">、 </w:t>
      </w:r>
      <w:r>
        <w:rPr>
          <w:spacing w:val="9"/>
          <w:w w:val="105"/>
        </w:rPr>
        <w:t>灌注等逃避监管的方式排放</w:t>
      </w:r>
      <w:r>
        <w:rPr>
          <w:rFonts w:hint="eastAsia" w:ascii="MS UI Gothic" w:eastAsia="MS UI Gothic"/>
          <w:w w:val="80"/>
        </w:rPr>
        <w:t>、</w:t>
      </w:r>
      <w:r>
        <w:rPr>
          <w:spacing w:val="3"/>
          <w:w w:val="105"/>
        </w:rPr>
        <w:t>倾倒</w:t>
      </w:r>
      <w:r>
        <w:rPr>
          <w:rFonts w:hint="eastAsia" w:ascii="MS UI Gothic" w:eastAsia="MS UI Gothic"/>
          <w:spacing w:val="12"/>
          <w:w w:val="80"/>
        </w:rPr>
        <w:t xml:space="preserve">、 </w:t>
      </w:r>
      <w:r>
        <w:rPr>
          <w:spacing w:val="3"/>
          <w:w w:val="105"/>
        </w:rPr>
        <w:t>处置有放射性的废物</w:t>
      </w:r>
      <w:r>
        <w:rPr>
          <w:rFonts w:hint="eastAsia" w:ascii="MS UI Gothic" w:eastAsia="MS UI Gothic"/>
          <w:spacing w:val="12"/>
          <w:w w:val="80"/>
        </w:rPr>
        <w:t xml:space="preserve">、 </w:t>
      </w:r>
      <w:r>
        <w:rPr>
          <w:spacing w:val="2"/>
          <w:w w:val="105"/>
        </w:rPr>
        <w:t>含传染病病</w:t>
      </w:r>
      <w:r>
        <w:rPr>
          <w:spacing w:val="3"/>
          <w:w w:val="105"/>
        </w:rPr>
        <w:t>原体的废物</w:t>
      </w:r>
      <w:r>
        <w:rPr>
          <w:rFonts w:hint="eastAsia" w:ascii="MS UI Gothic" w:eastAsia="MS UI Gothic"/>
          <w:w w:val="80"/>
        </w:rPr>
        <w:t xml:space="preserve">、 </w:t>
      </w:r>
      <w:r>
        <w:rPr>
          <w:spacing w:val="3"/>
          <w:w w:val="105"/>
        </w:rPr>
        <w:t>有毒物质的</w:t>
      </w:r>
      <w:r>
        <w:rPr>
          <w:rFonts w:hint="eastAsia" w:ascii="MS UI Gothic" w:eastAsia="MS UI Gothic"/>
          <w:w w:val="80"/>
        </w:rPr>
        <w:t>ꎻ</w:t>
      </w:r>
    </w:p>
    <w:p>
      <w:pPr>
        <w:pStyle w:val="6"/>
        <w:spacing w:line="295" w:lineRule="auto"/>
        <w:ind w:right="442"/>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二年内曾因违反国家规定</w:t>
      </w:r>
      <w:r>
        <w:rPr>
          <w:rFonts w:hint="eastAsia" w:ascii="MS UI Gothic" w:eastAsia="MS UI Gothic"/>
          <w:w w:val="80"/>
        </w:rPr>
        <w:t xml:space="preserve">ꎬ </w:t>
      </w:r>
      <w:r>
        <w:rPr>
          <w:w w:val="105"/>
        </w:rPr>
        <w:t>排放</w:t>
      </w:r>
      <w:r>
        <w:rPr>
          <w:rFonts w:hint="eastAsia" w:ascii="MS UI Gothic" w:eastAsia="MS UI Gothic"/>
          <w:w w:val="80"/>
        </w:rPr>
        <w:t xml:space="preserve">、 </w:t>
      </w:r>
      <w:r>
        <w:rPr>
          <w:w w:val="105"/>
        </w:rPr>
        <w:t>倾倒</w:t>
      </w:r>
      <w:r>
        <w:rPr>
          <w:rFonts w:hint="eastAsia" w:ascii="MS UI Gothic" w:eastAsia="MS UI Gothic"/>
          <w:w w:val="80"/>
        </w:rPr>
        <w:t xml:space="preserve">、 </w:t>
      </w:r>
      <w:r>
        <w:rPr>
          <w:w w:val="105"/>
        </w:rPr>
        <w:t>处置有放射性的废物</w:t>
      </w:r>
      <w:r>
        <w:rPr>
          <w:rFonts w:hint="eastAsia" w:ascii="MS UI Gothic" w:eastAsia="MS UI Gothic"/>
          <w:w w:val="80"/>
        </w:rPr>
        <w:t xml:space="preserve">、 </w:t>
      </w:r>
      <w:r>
        <w:rPr>
          <w:w w:val="105"/>
        </w:rPr>
        <w:t>含传染</w:t>
      </w:r>
    </w:p>
    <w:p>
      <w:pPr>
        <w:spacing w:after="0" w:line="295" w:lineRule="auto"/>
        <w:sectPr>
          <w:type w:val="continuous"/>
          <w:pgSz w:w="10500" w:h="14750"/>
          <w:pgMar w:top="1400" w:right="980" w:bottom="280" w:left="980" w:header="720" w:footer="720" w:gutter="0"/>
          <w:cols w:equalWidth="0" w:num="2">
            <w:col w:w="3934" w:space="258"/>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２１</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13" o:spid="_x0000_s1113" o:spt="203" style="height:2.15pt;width:398.25pt;" coordsize="7965,43">
            <o:lock v:ext="edit"/>
            <v:line id="_x0000_s1114" o:spid="_x0000_s1114" o:spt="20" style="position:absolute;left:0;top:39;height:0;width:7965;" stroked="t" coordsize="21600,21600">
              <v:path arrowok="t"/>
              <v:fill focussize="0,0"/>
              <v:stroke weight="0.388031496062992pt" color="#231F20"/>
              <v:imagedata o:title=""/>
              <o:lock v:ext="edit"/>
            </v:line>
            <v:line id="_x0000_s1115" o:spid="_x0000_s111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病病原体的废物</w:t>
      </w:r>
      <w:r>
        <w:rPr>
          <w:rFonts w:hint="eastAsia" w:ascii="MS UI Gothic" w:eastAsia="MS UI Gothic"/>
          <w:w w:val="80"/>
        </w:rPr>
        <w:t xml:space="preserve">、 </w:t>
      </w:r>
      <w:r>
        <w:t>有毒物质受过两次以上行政处罚</w:t>
      </w:r>
      <w:r>
        <w:rPr>
          <w:rFonts w:hint="eastAsia" w:ascii="MS UI Gothic" w:eastAsia="MS UI Gothic"/>
          <w:w w:val="80"/>
        </w:rPr>
        <w:t xml:space="preserve">ꎬ </w:t>
      </w:r>
      <w:r>
        <w:t>又实施前列行为的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重点排污单位篡改</w:t>
      </w:r>
      <w:r>
        <w:rPr>
          <w:rFonts w:hint="eastAsia" w:ascii="MS UI Gothic" w:eastAsia="MS UI Gothic"/>
          <w:w w:val="80"/>
        </w:rPr>
        <w:t xml:space="preserve">、 </w:t>
      </w:r>
      <w:r>
        <w:rPr>
          <w:w w:val="105"/>
        </w:rPr>
        <w:t>伪造自动</w:t>
      </w:r>
      <w:r>
        <w:t>监测数据或者干扰自动监测设施</w:t>
      </w:r>
      <w:r>
        <w:rPr>
          <w:rFonts w:hint="eastAsia" w:ascii="MS UI Gothic" w:eastAsia="MS UI Gothic"/>
          <w:w w:val="80"/>
        </w:rPr>
        <w:t xml:space="preserve">ꎬ </w:t>
      </w:r>
      <w:r>
        <w:t>排放化</w:t>
      </w:r>
      <w:r>
        <w:rPr>
          <w:w w:val="105"/>
        </w:rPr>
        <w:t>学需氧量</w:t>
      </w:r>
      <w:r>
        <w:rPr>
          <w:rFonts w:hint="eastAsia" w:ascii="MS UI Gothic" w:eastAsia="MS UI Gothic"/>
          <w:w w:val="80"/>
        </w:rPr>
        <w:t xml:space="preserve">、 </w:t>
      </w:r>
      <w:r>
        <w:rPr>
          <w:w w:val="105"/>
        </w:rPr>
        <w:t>氨氮</w:t>
      </w:r>
      <w:r>
        <w:rPr>
          <w:rFonts w:hint="eastAsia" w:ascii="MS UI Gothic" w:eastAsia="MS UI Gothic"/>
          <w:w w:val="80"/>
        </w:rPr>
        <w:t xml:space="preserve">、 </w:t>
      </w:r>
      <w:r>
        <w:rPr>
          <w:w w:val="105"/>
        </w:rPr>
        <w:t>二氧化硫</w:t>
      </w:r>
      <w:r>
        <w:rPr>
          <w:rFonts w:hint="eastAsia" w:ascii="MS UI Gothic" w:eastAsia="MS UI Gothic"/>
          <w:w w:val="80"/>
        </w:rPr>
        <w:t xml:space="preserve">、 </w:t>
      </w:r>
      <w:r>
        <w:rPr>
          <w:w w:val="105"/>
        </w:rPr>
        <w:t>氮氧化物等污染物的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八</w:t>
      </w:r>
      <w:r>
        <w:rPr>
          <w:rFonts w:hint="eastAsia" w:ascii="MS UI Gothic" w:eastAsia="MS UI Gothic"/>
          <w:spacing w:val="6"/>
          <w:w w:val="105"/>
        </w:rPr>
        <w:t xml:space="preserve">) </w:t>
      </w:r>
      <w:r>
        <w:rPr>
          <w:spacing w:val="5"/>
          <w:w w:val="105"/>
        </w:rPr>
        <w:t>违法减少防治污染设施运行支</w:t>
      </w:r>
      <w:r>
        <w:rPr>
          <w:spacing w:val="3"/>
          <w:w w:val="110"/>
        </w:rPr>
        <w:t>出一百万元以上的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九</w:t>
      </w:r>
      <w:r>
        <w:rPr>
          <w:rFonts w:hint="eastAsia" w:ascii="MS UI Gothic" w:eastAsia="MS UI Gothic"/>
          <w:spacing w:val="6"/>
          <w:w w:val="105"/>
        </w:rPr>
        <w:t xml:space="preserve">) </w:t>
      </w:r>
      <w:r>
        <w:rPr>
          <w:spacing w:val="5"/>
          <w:w w:val="105"/>
        </w:rPr>
        <w:t>违法所得或者致使公私财产损</w:t>
      </w:r>
      <w:r>
        <w:rPr>
          <w:spacing w:val="3"/>
          <w:w w:val="110"/>
        </w:rPr>
        <w:t>失三十万元以上的</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十</w:t>
      </w:r>
      <w:r>
        <w:rPr>
          <w:rFonts w:hint="eastAsia" w:ascii="MS UI Gothic" w:eastAsia="MS UI Gothic"/>
          <w:w w:val="150"/>
        </w:rPr>
        <w:t xml:space="preserve">) </w:t>
      </w:r>
      <w:r>
        <w:rPr>
          <w:w w:val="110"/>
        </w:rPr>
        <w:t>造成生态环境严重损害的</w:t>
      </w:r>
      <w:r>
        <w:rPr>
          <w:rFonts w:hint="eastAsia" w:ascii="MS UI Gothic" w:eastAsia="MS UI Gothic"/>
          <w:w w:val="80"/>
        </w:rPr>
        <w:t>ꎻ</w:t>
      </w:r>
    </w:p>
    <w:p>
      <w:pPr>
        <w:pStyle w:val="6"/>
        <w:spacing w:before="52" w:line="295" w:lineRule="auto"/>
        <w:ind w:left="440" w:right="1"/>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致使乡镇以上集中式饮用水水源取水中断十二小时以上的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十二</w:t>
      </w:r>
      <w:r>
        <w:rPr>
          <w:rFonts w:hint="eastAsia" w:ascii="MS UI Gothic" w:eastAsia="MS UI Gothic"/>
          <w:w w:val="150"/>
        </w:rPr>
        <w:t xml:space="preserve">) </w:t>
      </w:r>
      <w:r>
        <w:rPr>
          <w:w w:val="105"/>
        </w:rPr>
        <w:t>致使基本农田</w:t>
      </w:r>
      <w:r>
        <w:rPr>
          <w:rFonts w:hint="eastAsia" w:ascii="MS UI Gothic" w:eastAsia="MS UI Gothic"/>
          <w:w w:val="80"/>
        </w:rPr>
        <w:t xml:space="preserve">、 </w:t>
      </w:r>
      <w:r>
        <w:rPr>
          <w:w w:val="105"/>
        </w:rPr>
        <w:t>防护林地</w:t>
      </w:r>
      <w:r>
        <w:rPr>
          <w:rFonts w:hint="eastAsia" w:ascii="MS UI Gothic" w:eastAsia="MS UI Gothic"/>
          <w:w w:val="80"/>
        </w:rPr>
        <w:t>、</w:t>
      </w:r>
      <w:r>
        <w:t>特种用途林地五亩以上</w:t>
      </w:r>
      <w:r>
        <w:rPr>
          <w:rFonts w:hint="eastAsia" w:ascii="MS UI Gothic" w:eastAsia="MS UI Gothic"/>
          <w:w w:val="80"/>
        </w:rPr>
        <w:t xml:space="preserve">ꎬ </w:t>
      </w:r>
      <w:r>
        <w:t>其他农用地十亩以上</w:t>
      </w:r>
      <w:r>
        <w:rPr>
          <w:rFonts w:hint="eastAsia" w:ascii="MS UI Gothic" w:eastAsia="MS UI Gothic"/>
          <w:w w:val="80"/>
        </w:rPr>
        <w:t xml:space="preserve">ꎬ </w:t>
      </w:r>
      <w:r>
        <w:t>其他土地二十亩以上基本功能丧失</w:t>
      </w:r>
      <w:r>
        <w:rPr>
          <w:w w:val="105"/>
        </w:rPr>
        <w:t>或者遭受永久性破坏的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十三</w:t>
      </w:r>
      <w:r>
        <w:rPr>
          <w:rFonts w:hint="eastAsia" w:ascii="MS UI Gothic" w:eastAsia="MS UI Gothic"/>
          <w:w w:val="150"/>
        </w:rPr>
        <w:t xml:space="preserve">) </w:t>
      </w:r>
      <w:r>
        <w:rPr>
          <w:w w:val="105"/>
        </w:rPr>
        <w:t>致使森林或者其他林木死亡</w:t>
      </w:r>
      <w:r>
        <w:t>五十立方米以上</w:t>
      </w:r>
      <w:r>
        <w:rPr>
          <w:rFonts w:hint="eastAsia" w:ascii="MS UI Gothic" w:eastAsia="MS UI Gothic"/>
          <w:w w:val="80"/>
        </w:rPr>
        <w:t xml:space="preserve">ꎬ </w:t>
      </w:r>
      <w:r>
        <w:t>或者幼树死亡二千五百</w:t>
      </w:r>
      <w:r>
        <w:rPr>
          <w:w w:val="105"/>
        </w:rPr>
        <w:t>株以上的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十四</w:t>
      </w:r>
      <w:r>
        <w:rPr>
          <w:rFonts w:hint="eastAsia" w:ascii="MS UI Gothic" w:eastAsia="MS UI Gothic"/>
          <w:w w:val="150"/>
        </w:rPr>
        <w:t xml:space="preserve">) </w:t>
      </w:r>
      <w:r>
        <w:rPr>
          <w:w w:val="105"/>
        </w:rPr>
        <w:t>致使疏散</w:t>
      </w:r>
      <w:r>
        <w:rPr>
          <w:rFonts w:hint="eastAsia" w:ascii="MS UI Gothic" w:eastAsia="MS UI Gothic"/>
          <w:w w:val="80"/>
        </w:rPr>
        <w:t xml:space="preserve">、 </w:t>
      </w:r>
      <w:r>
        <w:rPr>
          <w:w w:val="105"/>
        </w:rPr>
        <w:t>转移群众五千人以上的</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十五</w:t>
      </w:r>
      <w:r>
        <w:rPr>
          <w:rFonts w:hint="eastAsia" w:ascii="MS UI Gothic" w:eastAsia="MS UI Gothic"/>
          <w:w w:val="150"/>
        </w:rPr>
        <w:t xml:space="preserve">) </w:t>
      </w:r>
      <w:r>
        <w:rPr>
          <w:w w:val="110"/>
        </w:rPr>
        <w:t>致使三十人以上中毒的</w:t>
      </w:r>
      <w:r>
        <w:rPr>
          <w:rFonts w:hint="eastAsia" w:ascii="MS UI Gothic" w:eastAsia="MS UI Gothic"/>
          <w:w w:val="80"/>
        </w:rPr>
        <w:t>ꎻ</w:t>
      </w:r>
    </w:p>
    <w:p>
      <w:pPr>
        <w:pStyle w:val="6"/>
        <w:spacing w:before="51"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十六</w:t>
      </w:r>
      <w:r>
        <w:rPr>
          <w:rFonts w:hint="eastAsia" w:ascii="MS UI Gothic" w:eastAsia="MS UI Gothic"/>
          <w:spacing w:val="9"/>
          <w:w w:val="150"/>
        </w:rPr>
        <w:t xml:space="preserve">) </w:t>
      </w:r>
      <w:r>
        <w:rPr>
          <w:spacing w:val="7"/>
          <w:w w:val="105"/>
        </w:rPr>
        <w:t>致使三人以上轻伤</w:t>
      </w:r>
      <w:r>
        <w:rPr>
          <w:rFonts w:hint="eastAsia" w:ascii="MS UI Gothic" w:eastAsia="MS UI Gothic"/>
          <w:spacing w:val="24"/>
          <w:w w:val="80"/>
        </w:rPr>
        <w:t xml:space="preserve">、 </w:t>
      </w:r>
      <w:r>
        <w:rPr>
          <w:spacing w:val="7"/>
          <w:w w:val="105"/>
        </w:rPr>
        <w:t>轻度残</w:t>
      </w:r>
      <w:r>
        <w:rPr>
          <w:spacing w:val="25"/>
        </w:rPr>
        <w:t>疾或者器官组织损伤导致一般功能障</w:t>
      </w:r>
      <w:r>
        <w:rPr>
          <w:spacing w:val="3"/>
          <w:w w:val="105"/>
        </w:rPr>
        <w:t>碍的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十七</w:t>
      </w:r>
      <w:r>
        <w:rPr>
          <w:rFonts w:hint="eastAsia" w:ascii="MS UI Gothic" w:eastAsia="MS UI Gothic"/>
          <w:spacing w:val="9"/>
          <w:w w:val="150"/>
        </w:rPr>
        <w:t xml:space="preserve">) </w:t>
      </w:r>
      <w:r>
        <w:rPr>
          <w:spacing w:val="7"/>
          <w:w w:val="105"/>
        </w:rPr>
        <w:t>致使一人以上重伤</w:t>
      </w:r>
      <w:r>
        <w:rPr>
          <w:rFonts w:hint="eastAsia" w:ascii="MS UI Gothic" w:eastAsia="MS UI Gothic"/>
          <w:spacing w:val="24"/>
          <w:w w:val="80"/>
        </w:rPr>
        <w:t xml:space="preserve">、 </w:t>
      </w:r>
      <w:r>
        <w:rPr>
          <w:spacing w:val="7"/>
          <w:w w:val="105"/>
        </w:rPr>
        <w:t>中度残</w:t>
      </w:r>
      <w:r>
        <w:rPr>
          <w:spacing w:val="25"/>
        </w:rPr>
        <w:t>疾或者器官组织损伤导致严重功能障</w:t>
      </w:r>
      <w:r>
        <w:rPr>
          <w:spacing w:val="3"/>
          <w:w w:val="105"/>
        </w:rPr>
        <w:t>碍的</w:t>
      </w:r>
      <w:r>
        <w:rPr>
          <w:rFonts w:hint="eastAsia" w:ascii="MS UI Gothic" w:eastAsia="MS UI Gothic"/>
          <w:w w:val="80"/>
        </w:rPr>
        <w:t>ꎻ</w:t>
      </w:r>
    </w:p>
    <w:p>
      <w:pPr>
        <w:pStyle w:val="6"/>
        <w:spacing w:line="254" w:lineRule="exact"/>
        <w:ind w:left="860" w:firstLine="0"/>
        <w:rPr>
          <w:rFonts w:hint="eastAsia" w:ascii="MS UI Gothic" w:eastAsia="MS UI Gothic"/>
        </w:rPr>
      </w:pPr>
      <w:r>
        <w:rPr>
          <w:rFonts w:hint="eastAsia" w:ascii="MS UI Gothic" w:eastAsia="MS UI Gothic"/>
          <w:spacing w:val="-43"/>
          <w:w w:val="150"/>
        </w:rPr>
        <w:t xml:space="preserve">( </w:t>
      </w:r>
      <w:r>
        <w:rPr>
          <w:spacing w:val="3"/>
          <w:w w:val="110"/>
        </w:rPr>
        <w:t>十八</w:t>
      </w:r>
      <w:r>
        <w:rPr>
          <w:rFonts w:hint="eastAsia" w:ascii="MS UI Gothic" w:eastAsia="MS UI Gothic"/>
          <w:spacing w:val="-25"/>
          <w:w w:val="150"/>
        </w:rPr>
        <w:t xml:space="preserve">) </w:t>
      </w:r>
      <w:r>
        <w:rPr>
          <w:spacing w:val="3"/>
          <w:w w:val="110"/>
        </w:rPr>
        <w:t>其他严重污染环境的情形</w:t>
      </w:r>
      <w:r>
        <w:rPr>
          <w:rFonts w:hint="eastAsia" w:ascii="MS UI Gothic" w:eastAsia="MS UI Gothic"/>
          <w:w w:val="80"/>
        </w:rPr>
        <w:t>ꎮ</w:t>
      </w:r>
    </w:p>
    <w:p>
      <w:pPr>
        <w:pStyle w:val="6"/>
        <w:spacing w:before="56" w:line="295" w:lineRule="auto"/>
        <w:ind w:left="440"/>
        <w:rPr>
          <w:rFonts w:hint="eastAsia" w:ascii="MS UI Gothic" w:hAnsi="MS UI Gothic" w:eastAsia="MS UI Gothic"/>
        </w:rPr>
      </w:pPr>
      <w:r>
        <w:rPr>
          <w:w w:val="105"/>
        </w:rPr>
        <w:t>第二条 实施刑法第三百三十九条</w:t>
      </w:r>
      <w:r>
        <w:rPr>
          <w:rFonts w:hint="eastAsia" w:ascii="MS UI Gothic" w:hAnsi="MS UI Gothic" w:eastAsia="MS UI Gothic"/>
          <w:w w:val="80"/>
        </w:rPr>
        <w:t>、</w:t>
      </w:r>
      <w:r>
        <w:t>第四百零八条规定的行为</w:t>
      </w:r>
      <w:r>
        <w:rPr>
          <w:rFonts w:hint="eastAsia" w:ascii="MS UI Gothic" w:hAnsi="MS UI Gothic" w:eastAsia="MS UI Gothic"/>
          <w:w w:val="80"/>
        </w:rPr>
        <w:t xml:space="preserve">ꎬ </w:t>
      </w:r>
      <w:r>
        <w:t>致使公私财产损失三十万元以上</w:t>
      </w:r>
      <w:r>
        <w:rPr>
          <w:rFonts w:hint="eastAsia" w:ascii="MS UI Gothic" w:hAnsi="MS UI Gothic" w:eastAsia="MS UI Gothic"/>
          <w:w w:val="80"/>
        </w:rPr>
        <w:t xml:space="preserve">ꎬ </w:t>
      </w:r>
      <w:r>
        <w:t>或者具有本解释第一条第十项至第十七项规定情形之一的</w:t>
      </w:r>
      <w:r>
        <w:rPr>
          <w:rFonts w:hint="eastAsia" w:ascii="MS UI Gothic" w:hAnsi="MS UI Gothic" w:eastAsia="MS UI Gothic"/>
          <w:w w:val="80"/>
        </w:rPr>
        <w:t xml:space="preserve">ꎬ </w:t>
      </w:r>
      <w:r>
        <w:t>应</w:t>
      </w:r>
      <w:r>
        <w:rPr>
          <w:w w:val="105"/>
        </w:rPr>
        <w:t xml:space="preserve">当认定为 </w:t>
      </w:r>
      <w:r>
        <w:rPr>
          <w:rFonts w:hint="eastAsia" w:ascii="MS UI Gothic" w:hAnsi="MS UI Gothic" w:eastAsia="MS UI Gothic"/>
          <w:w w:val="105"/>
        </w:rPr>
        <w:t xml:space="preserve">“ </w:t>
      </w:r>
      <w:r>
        <w:rPr>
          <w:w w:val="105"/>
        </w:rPr>
        <w:t>致使公私财产遭受重大损失或者严重危害人体健康</w:t>
      </w:r>
      <w:r>
        <w:rPr>
          <w:rFonts w:hint="eastAsia" w:ascii="MS UI Gothic" w:hAnsi="MS UI Gothic" w:eastAsia="MS UI Gothic"/>
          <w:w w:val="105"/>
        </w:rPr>
        <w:t xml:space="preserve">” </w:t>
      </w:r>
      <w:r>
        <w:rPr>
          <w:w w:val="105"/>
        </w:rPr>
        <w:t xml:space="preserve">或者 </w:t>
      </w:r>
      <w:r>
        <w:rPr>
          <w:rFonts w:hint="eastAsia" w:ascii="MS UI Gothic" w:hAnsi="MS UI Gothic" w:eastAsia="MS UI Gothic"/>
          <w:w w:val="105"/>
        </w:rPr>
        <w:t xml:space="preserve">“ </w:t>
      </w:r>
      <w:r>
        <w:rPr>
          <w:w w:val="105"/>
        </w:rPr>
        <w:t>致使公</w:t>
      </w:r>
      <w:r>
        <w:t>私财产遭受重大损失或者造成人身伤亡的</w:t>
      </w:r>
      <w:r>
        <w:rPr>
          <w:w w:val="105"/>
        </w:rPr>
        <w:t>严重后果</w:t>
      </w:r>
      <w:r>
        <w:rPr>
          <w:rFonts w:hint="eastAsia" w:ascii="MS UI Gothic" w:hAnsi="MS UI Gothic" w:eastAsia="MS UI Gothic"/>
          <w:w w:val="105"/>
        </w:rPr>
        <w:t xml:space="preserve">” </w:t>
      </w:r>
      <w:r>
        <w:rPr>
          <w:rFonts w:hint="eastAsia" w:ascii="MS UI Gothic" w:hAnsi="MS UI Gothic" w:eastAsia="MS UI Gothic"/>
          <w:w w:val="80"/>
        </w:rPr>
        <w:t>ꎮ</w:t>
      </w:r>
    </w:p>
    <w:p>
      <w:pPr>
        <w:pStyle w:val="6"/>
        <w:spacing w:line="250" w:lineRule="exact"/>
        <w:ind w:left="860" w:firstLine="0"/>
        <w:rPr>
          <w:rFonts w:hint="eastAsia" w:ascii="MS UI Gothic" w:eastAsia="MS UI Gothic"/>
        </w:rPr>
      </w:pPr>
      <w:r>
        <w:t>第三条 实施刑法第三百三十八条</w:t>
      </w:r>
      <w:r>
        <w:rPr>
          <w:rFonts w:hint="eastAsia" w:ascii="MS UI Gothic" w:eastAsia="MS UI Gothic"/>
        </w:rPr>
        <w:t>、</w:t>
      </w:r>
    </w:p>
    <w:p>
      <w:pPr>
        <w:pStyle w:val="6"/>
        <w:spacing w:before="124" w:line="295" w:lineRule="auto"/>
        <w:ind w:left="381" w:right="126" w:firstLine="0"/>
        <w:rPr>
          <w:rFonts w:hint="eastAsia" w:ascii="MS UI Gothic" w:hAnsi="MS UI Gothic" w:eastAsia="MS UI Gothic"/>
        </w:rPr>
      </w:pPr>
      <w:r>
        <w:br w:type="column"/>
      </w:r>
      <w:r>
        <w:t>第三百三十九条规定的行为</w:t>
      </w:r>
      <w:r>
        <w:rPr>
          <w:rFonts w:hint="eastAsia" w:ascii="MS UI Gothic" w:hAnsi="MS UI Gothic" w:eastAsia="MS UI Gothic"/>
          <w:w w:val="80"/>
        </w:rPr>
        <w:t xml:space="preserve">ꎬ </w:t>
      </w:r>
      <w:r>
        <w:t>具有下列情形之一的</w:t>
      </w:r>
      <w:r>
        <w:rPr>
          <w:rFonts w:hint="eastAsia" w:ascii="MS UI Gothic" w:hAnsi="MS UI Gothic" w:eastAsia="MS UI Gothic"/>
          <w:w w:val="80"/>
        </w:rPr>
        <w:t xml:space="preserve">ꎬ </w:t>
      </w:r>
      <w:r>
        <w:t xml:space="preserve">应当认定为 </w:t>
      </w:r>
      <w:r>
        <w:rPr>
          <w:rFonts w:hint="eastAsia" w:ascii="MS UI Gothic" w:hAnsi="MS UI Gothic" w:eastAsia="MS UI Gothic"/>
        </w:rPr>
        <w:t xml:space="preserve">“ </w:t>
      </w:r>
      <w:r>
        <w:t>后果特别严</w:t>
      </w:r>
      <w:r>
        <w:rPr>
          <w:w w:val="102"/>
        </w:rPr>
        <w:t>重</w:t>
      </w:r>
      <w:r>
        <w:rPr>
          <w:rFonts w:hint="eastAsia" w:ascii="MS UI Gothic" w:hAnsi="MS UI Gothic" w:eastAsia="MS UI Gothic"/>
          <w:w w:val="102"/>
        </w:rPr>
        <w:t>”</w:t>
      </w:r>
      <w:r>
        <w:rPr>
          <w:rFonts w:hint="eastAsia" w:ascii="MS UI Gothic" w:hAnsi="MS UI Gothic" w:eastAsia="MS UI Gothic"/>
          <w:w w:val="253"/>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致使县级以上城区集中式饮用水水源取水中断十二小时以上的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非法排放</w:t>
      </w:r>
      <w:r>
        <w:rPr>
          <w:rFonts w:hint="eastAsia" w:ascii="MS UI Gothic" w:eastAsia="MS UI Gothic"/>
          <w:w w:val="80"/>
        </w:rPr>
        <w:t xml:space="preserve">、 </w:t>
      </w:r>
      <w:r>
        <w:rPr>
          <w:w w:val="105"/>
        </w:rPr>
        <w:t>倾倒</w:t>
      </w:r>
      <w:r>
        <w:rPr>
          <w:rFonts w:hint="eastAsia" w:ascii="MS UI Gothic" w:eastAsia="MS UI Gothic"/>
          <w:w w:val="80"/>
        </w:rPr>
        <w:t xml:space="preserve">、 </w:t>
      </w:r>
      <w:r>
        <w:rPr>
          <w:w w:val="105"/>
        </w:rPr>
        <w:t>处置危险废物一百吨以上的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致使基本农田</w:t>
      </w:r>
      <w:r>
        <w:rPr>
          <w:rFonts w:hint="eastAsia" w:ascii="MS UI Gothic" w:eastAsia="MS UI Gothic"/>
          <w:w w:val="80"/>
        </w:rPr>
        <w:t xml:space="preserve">、 </w:t>
      </w:r>
      <w:r>
        <w:rPr>
          <w:w w:val="105"/>
        </w:rPr>
        <w:t>防护林地</w:t>
      </w:r>
      <w:r>
        <w:rPr>
          <w:rFonts w:hint="eastAsia" w:ascii="MS UI Gothic" w:eastAsia="MS UI Gothic"/>
          <w:w w:val="80"/>
        </w:rPr>
        <w:t xml:space="preserve">、 </w:t>
      </w:r>
      <w:r>
        <w:rPr>
          <w:w w:val="105"/>
        </w:rPr>
        <w:t>特</w:t>
      </w:r>
      <w:r>
        <w:t>种用途林地十五亩以上</w:t>
      </w:r>
      <w:r>
        <w:rPr>
          <w:rFonts w:hint="eastAsia" w:ascii="MS UI Gothic" w:eastAsia="MS UI Gothic"/>
          <w:w w:val="80"/>
        </w:rPr>
        <w:t xml:space="preserve">ꎬ </w:t>
      </w:r>
      <w:r>
        <w:t>其他农用地三十亩以上</w:t>
      </w:r>
      <w:r>
        <w:rPr>
          <w:rFonts w:hint="eastAsia" w:ascii="MS UI Gothic" w:eastAsia="MS UI Gothic"/>
          <w:w w:val="80"/>
        </w:rPr>
        <w:t xml:space="preserve">ꎬ </w:t>
      </w:r>
      <w:r>
        <w:t>其他土地六十亩以上基本功能丧</w:t>
      </w:r>
      <w:r>
        <w:rPr>
          <w:w w:val="105"/>
        </w:rPr>
        <w:t>失或者遭受永久性破坏的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致使森林或者其他林木死亡一</w:t>
      </w:r>
      <w:r>
        <w:t>百五十立方米以上</w:t>
      </w:r>
      <w:r>
        <w:rPr>
          <w:rFonts w:hint="eastAsia" w:ascii="MS UI Gothic" w:eastAsia="MS UI Gothic"/>
          <w:w w:val="80"/>
        </w:rPr>
        <w:t xml:space="preserve">ꎬ </w:t>
      </w:r>
      <w:r>
        <w:t>或者幼树死亡七千五</w:t>
      </w:r>
      <w:r>
        <w:rPr>
          <w:w w:val="105"/>
        </w:rPr>
        <w:t>百株以上的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21"/>
          <w:w w:val="105"/>
        </w:rPr>
        <w:t xml:space="preserve">( </w:t>
      </w:r>
      <w:r>
        <w:rPr>
          <w:spacing w:val="3"/>
          <w:w w:val="105"/>
        </w:rPr>
        <w:t>五</w:t>
      </w:r>
      <w:r>
        <w:rPr>
          <w:rFonts w:hint="eastAsia" w:ascii="MS UI Gothic" w:eastAsia="MS UI Gothic"/>
          <w:spacing w:val="5"/>
          <w:w w:val="105"/>
        </w:rPr>
        <w:t xml:space="preserve">) </w:t>
      </w:r>
      <w:r>
        <w:rPr>
          <w:spacing w:val="5"/>
          <w:w w:val="105"/>
        </w:rPr>
        <w:t>致使公私财产损失一百万元以</w:t>
      </w:r>
      <w:r>
        <w:rPr>
          <w:spacing w:val="3"/>
          <w:w w:val="110"/>
        </w:rPr>
        <w:t>上的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35"/>
        </w:rPr>
        <w:t xml:space="preserve">( </w:t>
      </w:r>
      <w:r>
        <w:rPr>
          <w:spacing w:val="29"/>
          <w:w w:val="110"/>
        </w:rPr>
        <w:t>六</w:t>
      </w:r>
      <w:r>
        <w:rPr>
          <w:rFonts w:hint="eastAsia" w:ascii="MS UI Gothic" w:eastAsia="MS UI Gothic"/>
          <w:spacing w:val="-14"/>
          <w:w w:val="135"/>
        </w:rPr>
        <w:t xml:space="preserve">) </w:t>
      </w:r>
      <w:r>
        <w:rPr>
          <w:spacing w:val="40"/>
          <w:w w:val="110"/>
        </w:rPr>
        <w:t>造成生态环境特别严重损</w:t>
      </w:r>
      <w:r>
        <w:rPr>
          <w:spacing w:val="3"/>
          <w:w w:val="110"/>
        </w:rPr>
        <w:t>害的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致使疏散</w:t>
      </w:r>
      <w:r>
        <w:rPr>
          <w:rFonts w:hint="eastAsia" w:ascii="MS UI Gothic" w:eastAsia="MS UI Gothic"/>
          <w:w w:val="80"/>
        </w:rPr>
        <w:t xml:space="preserve">、 </w:t>
      </w:r>
      <w:r>
        <w:rPr>
          <w:w w:val="105"/>
        </w:rPr>
        <w:t>转移群众一万五千人以上的</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致使一百人以上中毒的</w:t>
      </w:r>
      <w:r>
        <w:rPr>
          <w:rFonts w:hint="eastAsia" w:ascii="MS UI Gothic" w:eastAsia="MS UI Gothic"/>
          <w:w w:val="80"/>
        </w:rPr>
        <w:t>ꎻ</w:t>
      </w:r>
    </w:p>
    <w:p>
      <w:pPr>
        <w:pStyle w:val="6"/>
        <w:spacing w:before="44"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九</w:t>
      </w:r>
      <w:r>
        <w:rPr>
          <w:rFonts w:hint="eastAsia" w:ascii="MS UI Gothic" w:eastAsia="MS UI Gothic"/>
          <w:spacing w:val="9"/>
          <w:w w:val="150"/>
        </w:rPr>
        <w:t xml:space="preserve">) </w:t>
      </w:r>
      <w:r>
        <w:rPr>
          <w:spacing w:val="5"/>
          <w:w w:val="105"/>
        </w:rPr>
        <w:t>致使十人以上轻伤</w:t>
      </w:r>
      <w:r>
        <w:rPr>
          <w:rFonts w:hint="eastAsia" w:ascii="MS UI Gothic" w:eastAsia="MS UI Gothic"/>
          <w:w w:val="80"/>
        </w:rPr>
        <w:t xml:space="preserve">、  </w:t>
      </w:r>
      <w:r>
        <w:rPr>
          <w:spacing w:val="8"/>
          <w:w w:val="105"/>
        </w:rPr>
        <w:t>轻度残疾</w:t>
      </w:r>
      <w:r>
        <w:rPr>
          <w:spacing w:val="3"/>
        </w:rPr>
        <w:t>或者器官组织损伤导致一般功能障碍的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十</w:t>
      </w:r>
      <w:r>
        <w:rPr>
          <w:rFonts w:hint="eastAsia" w:ascii="MS UI Gothic" w:eastAsia="MS UI Gothic"/>
          <w:spacing w:val="9"/>
          <w:w w:val="150"/>
        </w:rPr>
        <w:t xml:space="preserve">) </w:t>
      </w:r>
      <w:r>
        <w:rPr>
          <w:spacing w:val="5"/>
          <w:w w:val="105"/>
        </w:rPr>
        <w:t>致使三人以上重伤</w:t>
      </w:r>
      <w:r>
        <w:rPr>
          <w:rFonts w:hint="eastAsia" w:ascii="MS UI Gothic" w:eastAsia="MS UI Gothic"/>
          <w:w w:val="80"/>
        </w:rPr>
        <w:t xml:space="preserve">、  </w:t>
      </w:r>
      <w:r>
        <w:rPr>
          <w:spacing w:val="8"/>
          <w:w w:val="105"/>
        </w:rPr>
        <w:t>中度残疾</w:t>
      </w:r>
      <w:r>
        <w:rPr>
          <w:spacing w:val="3"/>
        </w:rPr>
        <w:t>或者器官组织损伤导致严重功能障碍的</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致使一人以上重伤</w:t>
      </w:r>
      <w:r>
        <w:rPr>
          <w:rFonts w:hint="eastAsia" w:ascii="MS UI Gothic" w:eastAsia="MS UI Gothic"/>
          <w:w w:val="80"/>
        </w:rPr>
        <w:t xml:space="preserve">、 </w:t>
      </w:r>
      <w:r>
        <w:rPr>
          <w:w w:val="105"/>
        </w:rPr>
        <w:t>中度残</w:t>
      </w:r>
      <w:r>
        <w:t>疾或者器官组织损伤导致严重功能障碍</w:t>
      </w:r>
      <w:r>
        <w:rPr>
          <w:rFonts w:hint="eastAsia" w:ascii="MS UI Gothic" w:eastAsia="MS UI Gothic"/>
          <w:w w:val="80"/>
        </w:rPr>
        <w:t>ꎬ</w:t>
      </w:r>
      <w:r>
        <w:rPr>
          <w:w w:val="105"/>
        </w:rPr>
        <w:t>并致使五人以上轻伤</w:t>
      </w:r>
      <w:r>
        <w:rPr>
          <w:rFonts w:hint="eastAsia" w:ascii="MS UI Gothic" w:eastAsia="MS UI Gothic"/>
          <w:w w:val="80"/>
        </w:rPr>
        <w:t xml:space="preserve">、 </w:t>
      </w:r>
      <w:r>
        <w:rPr>
          <w:w w:val="105"/>
        </w:rPr>
        <w:t>轻度残疾或者器官组织损伤导致一般功能障碍的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十二</w:t>
      </w:r>
      <w:r>
        <w:rPr>
          <w:rFonts w:hint="eastAsia" w:ascii="MS UI Gothic" w:eastAsia="MS UI Gothic"/>
          <w:w w:val="105"/>
        </w:rPr>
        <w:t xml:space="preserve">) </w:t>
      </w:r>
      <w:r>
        <w:rPr>
          <w:w w:val="105"/>
        </w:rPr>
        <w:t>致使一人以上死亡或者重度</w:t>
      </w:r>
      <w:r>
        <w:rPr>
          <w:w w:val="110"/>
        </w:rPr>
        <w:t>残疾的</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十三</w:t>
      </w:r>
      <w:r>
        <w:rPr>
          <w:rFonts w:hint="eastAsia" w:ascii="MS UI Gothic" w:eastAsia="MS UI Gothic"/>
          <w:w w:val="150"/>
        </w:rPr>
        <w:t xml:space="preserve">) </w:t>
      </w:r>
      <w:r>
        <w:rPr>
          <w:w w:val="110"/>
        </w:rPr>
        <w:t>其他后果特别严重的情形</w:t>
      </w:r>
      <w:r>
        <w:rPr>
          <w:rFonts w:hint="eastAsia" w:ascii="MS UI Gothic" w:eastAsia="MS UI Gothic"/>
          <w:w w:val="80"/>
        </w:rPr>
        <w:t>ꎮ</w:t>
      </w:r>
    </w:p>
    <w:p>
      <w:pPr>
        <w:pStyle w:val="6"/>
        <w:spacing w:before="52" w:line="295" w:lineRule="auto"/>
        <w:ind w:left="381" w:right="124"/>
        <w:rPr>
          <w:rFonts w:hint="eastAsia" w:ascii="MS UI Gothic" w:eastAsia="MS UI Gothic"/>
        </w:rPr>
      </w:pPr>
      <w:r>
        <w:rPr>
          <w:w w:val="105"/>
        </w:rPr>
        <w:t>第四条 实施刑法第三百三十八条</w:t>
      </w:r>
      <w:r>
        <w:rPr>
          <w:rFonts w:hint="eastAsia" w:ascii="MS UI Gothic" w:eastAsia="MS UI Gothic"/>
          <w:w w:val="80"/>
        </w:rPr>
        <w:t>、</w:t>
      </w:r>
      <w:r>
        <w:t>第三百三十九条规定的犯罪行为</w:t>
      </w:r>
      <w:r>
        <w:rPr>
          <w:rFonts w:hint="eastAsia" w:ascii="MS UI Gothic" w:eastAsia="MS UI Gothic"/>
          <w:w w:val="80"/>
        </w:rPr>
        <w:t xml:space="preserve">ꎬ </w:t>
      </w:r>
      <w:r>
        <w:t>具有下</w:t>
      </w:r>
      <w:r>
        <w:rPr>
          <w:w w:val="105"/>
        </w:rPr>
        <w:t>列情形之一的</w:t>
      </w:r>
      <w:r>
        <w:rPr>
          <w:rFonts w:hint="eastAsia" w:ascii="MS UI Gothic" w:eastAsia="MS UI Gothic"/>
          <w:w w:val="80"/>
        </w:rPr>
        <w:t xml:space="preserve">ꎬ </w:t>
      </w:r>
      <w:r>
        <w:rPr>
          <w:w w:val="105"/>
        </w:rPr>
        <w:t>应当从重处罚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阻挠环境监督检查或者突发环</w:t>
      </w:r>
      <w:r>
        <w:t>境事件调查</w:t>
      </w:r>
      <w:r>
        <w:rPr>
          <w:rFonts w:hint="eastAsia" w:ascii="MS UI Gothic" w:eastAsia="MS UI Gothic"/>
          <w:w w:val="80"/>
        </w:rPr>
        <w:t xml:space="preserve">ꎬ </w:t>
      </w:r>
      <w:r>
        <w:t>尚不构成妨害公务等犯</w:t>
      </w:r>
      <w:r>
        <w:rPr>
          <w:w w:val="105"/>
        </w:rPr>
        <w:t>罪的</w:t>
      </w:r>
      <w:r>
        <w:rPr>
          <w:rFonts w:hint="eastAsia" w:ascii="MS UI Gothic" w:eastAsia="MS UI Gothic"/>
          <w:w w:val="80"/>
        </w:rPr>
        <w:t>ꎻ</w:t>
      </w:r>
    </w:p>
    <w:p>
      <w:pPr>
        <w:pStyle w:val="6"/>
        <w:spacing w:line="254" w:lineRule="exact"/>
        <w:ind w:left="800" w:firstLine="0"/>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在医院</w:t>
      </w:r>
      <w:r>
        <w:rPr>
          <w:rFonts w:hint="eastAsia" w:ascii="MS UI Gothic" w:eastAsia="MS UI Gothic"/>
        </w:rPr>
        <w:t xml:space="preserve">、 </w:t>
      </w:r>
      <w:r>
        <w:rPr>
          <w:w w:val="110"/>
        </w:rPr>
        <w:t>学校</w:t>
      </w:r>
      <w:r>
        <w:rPr>
          <w:rFonts w:hint="eastAsia" w:ascii="MS UI Gothic" w:eastAsia="MS UI Gothic"/>
        </w:rPr>
        <w:t xml:space="preserve">、 </w:t>
      </w:r>
      <w:r>
        <w:rPr>
          <w:w w:val="110"/>
        </w:rPr>
        <w:t>居民区等人口</w:t>
      </w:r>
    </w:p>
    <w:p>
      <w:pPr>
        <w:spacing w:after="0" w:line="254" w:lineRule="exact"/>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２２</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16" o:spid="_x0000_s1116" o:spt="203" style="height:2.15pt;width:398.25pt;" coordsize="7965,43">
            <o:lock v:ext="edit"/>
            <v:line id="_x0000_s1117" o:spid="_x0000_s1117" o:spt="20" style="position:absolute;left:0;top:39;height:0;width:7965;" stroked="t" coordsize="21600,21600">
              <v:path arrowok="t"/>
              <v:fill focussize="0,0"/>
              <v:stroke weight="0.388031496062992pt" color="#231F20"/>
              <v:imagedata o:title=""/>
              <o:lock v:ext="edit"/>
            </v:line>
            <v:line id="_x0000_s1118" o:spid="_x0000_s111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集中地区及其附近</w:t>
      </w:r>
      <w:r>
        <w:rPr>
          <w:rFonts w:hint="eastAsia" w:ascii="MS UI Gothic" w:eastAsia="MS UI Gothic"/>
          <w:w w:val="80"/>
        </w:rPr>
        <w:t xml:space="preserve">ꎬ </w:t>
      </w:r>
      <w:r>
        <w:t>违反国家规定排放</w:t>
      </w:r>
      <w:r>
        <w:rPr>
          <w:rFonts w:hint="eastAsia" w:ascii="MS UI Gothic" w:eastAsia="MS UI Gothic"/>
          <w:w w:val="80"/>
        </w:rPr>
        <w:t>、</w:t>
      </w:r>
      <w:r>
        <w:t>倾倒</w:t>
      </w:r>
      <w:r>
        <w:rPr>
          <w:rFonts w:hint="eastAsia" w:ascii="MS UI Gothic" w:eastAsia="MS UI Gothic"/>
          <w:w w:val="80"/>
        </w:rPr>
        <w:t xml:space="preserve">、 </w:t>
      </w:r>
      <w:r>
        <w:t>处置有放射性的废物</w:t>
      </w:r>
      <w:r>
        <w:rPr>
          <w:rFonts w:hint="eastAsia" w:ascii="MS UI Gothic" w:eastAsia="MS UI Gothic"/>
          <w:w w:val="80"/>
        </w:rPr>
        <w:t xml:space="preserve">、 </w:t>
      </w:r>
      <w:r>
        <w:t>含传染病病原体的废物</w:t>
      </w:r>
      <w:r>
        <w:rPr>
          <w:rFonts w:hint="eastAsia" w:ascii="MS UI Gothic" w:eastAsia="MS UI Gothic"/>
          <w:w w:val="80"/>
        </w:rPr>
        <w:t xml:space="preserve">、 </w:t>
      </w:r>
      <w:r>
        <w:t>有毒物质或者其他有害物质的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在重污染天气预警期间</w:t>
      </w:r>
      <w:r>
        <w:rPr>
          <w:rFonts w:hint="eastAsia" w:ascii="MS UI Gothic" w:eastAsia="MS UI Gothic"/>
          <w:w w:val="80"/>
        </w:rPr>
        <w:t xml:space="preserve">、  </w:t>
      </w:r>
      <w:r>
        <w:rPr>
          <w:w w:val="105"/>
        </w:rPr>
        <w:t>突发</w:t>
      </w:r>
      <w:r>
        <w:t>环境事件处置期间或者被责令限期整改期</w:t>
      </w:r>
      <w:r>
        <w:rPr>
          <w:w w:val="105"/>
        </w:rPr>
        <w:t>间</w:t>
      </w:r>
      <w:r>
        <w:rPr>
          <w:rFonts w:hint="eastAsia" w:ascii="MS UI Gothic" w:eastAsia="MS UI Gothic"/>
          <w:w w:val="80"/>
        </w:rPr>
        <w:t xml:space="preserve">ꎬ </w:t>
      </w:r>
      <w:r>
        <w:rPr>
          <w:w w:val="105"/>
        </w:rPr>
        <w:t>违反国家规定排放</w:t>
      </w:r>
      <w:r>
        <w:rPr>
          <w:rFonts w:hint="eastAsia" w:ascii="MS UI Gothic" w:eastAsia="MS UI Gothic"/>
          <w:w w:val="80"/>
        </w:rPr>
        <w:t xml:space="preserve">、 </w:t>
      </w:r>
      <w:r>
        <w:rPr>
          <w:w w:val="105"/>
        </w:rPr>
        <w:t>倾倒</w:t>
      </w:r>
      <w:r>
        <w:rPr>
          <w:rFonts w:hint="eastAsia" w:ascii="MS UI Gothic" w:eastAsia="MS UI Gothic"/>
          <w:w w:val="80"/>
        </w:rPr>
        <w:t xml:space="preserve">、 </w:t>
      </w:r>
      <w:r>
        <w:rPr>
          <w:w w:val="105"/>
        </w:rPr>
        <w:t>处置有放射性的废物</w:t>
      </w:r>
      <w:r>
        <w:rPr>
          <w:rFonts w:hint="eastAsia" w:ascii="MS UI Gothic" w:eastAsia="MS UI Gothic"/>
          <w:w w:val="80"/>
        </w:rPr>
        <w:t xml:space="preserve">、 </w:t>
      </w:r>
      <w:r>
        <w:rPr>
          <w:w w:val="105"/>
        </w:rPr>
        <w:t>含传染病病原体的废物</w:t>
      </w:r>
      <w:r>
        <w:rPr>
          <w:rFonts w:hint="eastAsia" w:ascii="MS UI Gothic" w:eastAsia="MS UI Gothic"/>
          <w:w w:val="80"/>
        </w:rPr>
        <w:t xml:space="preserve">、 </w:t>
      </w:r>
      <w:r>
        <w:rPr>
          <w:w w:val="105"/>
        </w:rPr>
        <w:t>有毒物质或者其他有害物质的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具有危险废物经营许可证的企业违反国家规定排放</w:t>
      </w:r>
      <w:r>
        <w:rPr>
          <w:rFonts w:hint="eastAsia" w:ascii="MS UI Gothic" w:eastAsia="MS UI Gothic"/>
          <w:w w:val="80"/>
        </w:rPr>
        <w:t xml:space="preserve">、 </w:t>
      </w:r>
      <w:r>
        <w:rPr>
          <w:w w:val="105"/>
        </w:rPr>
        <w:t>倾倒</w:t>
      </w:r>
      <w:r>
        <w:rPr>
          <w:rFonts w:hint="eastAsia" w:ascii="MS UI Gothic" w:eastAsia="MS UI Gothic"/>
          <w:w w:val="80"/>
        </w:rPr>
        <w:t xml:space="preserve">、 </w:t>
      </w:r>
      <w:r>
        <w:rPr>
          <w:w w:val="105"/>
        </w:rPr>
        <w:t>处置有放射性的废物</w:t>
      </w:r>
      <w:r>
        <w:rPr>
          <w:rFonts w:hint="eastAsia" w:ascii="MS UI Gothic" w:eastAsia="MS UI Gothic"/>
          <w:w w:val="80"/>
        </w:rPr>
        <w:t xml:space="preserve">、 </w:t>
      </w:r>
      <w:r>
        <w:rPr>
          <w:w w:val="105"/>
        </w:rPr>
        <w:t>含传染病病原体的废物</w:t>
      </w:r>
      <w:r>
        <w:rPr>
          <w:rFonts w:hint="eastAsia" w:ascii="MS UI Gothic" w:eastAsia="MS UI Gothic"/>
          <w:w w:val="80"/>
        </w:rPr>
        <w:t xml:space="preserve">、 </w:t>
      </w:r>
      <w:r>
        <w:rPr>
          <w:w w:val="105"/>
        </w:rPr>
        <w:t>有毒物质或者其他有害物质的</w:t>
      </w:r>
      <w:r>
        <w:rPr>
          <w:rFonts w:hint="eastAsia" w:ascii="MS UI Gothic" w:eastAsia="MS UI Gothic"/>
          <w:w w:val="80"/>
        </w:rPr>
        <w:t>ꎮ</w:t>
      </w:r>
    </w:p>
    <w:p>
      <w:pPr>
        <w:pStyle w:val="6"/>
        <w:spacing w:line="295" w:lineRule="auto"/>
        <w:ind w:right="38"/>
        <w:rPr>
          <w:rFonts w:hint="eastAsia" w:ascii="MS UI Gothic" w:eastAsia="MS UI Gothic"/>
        </w:rPr>
      </w:pPr>
      <w:r>
        <w:rPr>
          <w:spacing w:val="12"/>
        </w:rPr>
        <w:t>第五条 实施刑法第三百三十八条</w:t>
      </w:r>
      <w:r>
        <w:rPr>
          <w:rFonts w:hint="eastAsia" w:ascii="MS UI Gothic" w:eastAsia="MS UI Gothic"/>
          <w:w w:val="80"/>
        </w:rPr>
        <w:t>、</w:t>
      </w:r>
      <w:r>
        <w:rPr>
          <w:spacing w:val="3"/>
        </w:rPr>
        <w:t>第三百三十九条规定的行为</w:t>
      </w:r>
      <w:r>
        <w:rPr>
          <w:rFonts w:hint="eastAsia" w:ascii="MS UI Gothic" w:eastAsia="MS UI Gothic"/>
          <w:spacing w:val="21"/>
          <w:w w:val="80"/>
        </w:rPr>
        <w:t xml:space="preserve">ꎬ </w:t>
      </w:r>
      <w:r>
        <w:rPr>
          <w:spacing w:val="2"/>
        </w:rPr>
        <w:t>刚达到应当</w:t>
      </w:r>
      <w:r>
        <w:rPr>
          <w:spacing w:val="3"/>
        </w:rPr>
        <w:t>追究刑事责任的标准</w:t>
      </w:r>
      <w:r>
        <w:rPr>
          <w:rFonts w:hint="eastAsia" w:ascii="MS UI Gothic" w:eastAsia="MS UI Gothic"/>
          <w:spacing w:val="21"/>
          <w:w w:val="80"/>
        </w:rPr>
        <w:t xml:space="preserve">ꎬ </w:t>
      </w:r>
      <w:r>
        <w:rPr>
          <w:spacing w:val="2"/>
        </w:rPr>
        <w:t>但行为人及时采取</w:t>
      </w:r>
      <w:r>
        <w:rPr>
          <w:spacing w:val="3"/>
        </w:rPr>
        <w:t>措施</w:t>
      </w:r>
      <w:r>
        <w:rPr>
          <w:rFonts w:hint="eastAsia" w:ascii="MS UI Gothic" w:eastAsia="MS UI Gothic"/>
          <w:spacing w:val="23"/>
          <w:w w:val="80"/>
        </w:rPr>
        <w:t xml:space="preserve">ꎬ </w:t>
      </w:r>
      <w:r>
        <w:rPr>
          <w:spacing w:val="3"/>
        </w:rPr>
        <w:t>防止损失扩大</w:t>
      </w:r>
      <w:r>
        <w:rPr>
          <w:rFonts w:hint="eastAsia" w:ascii="MS UI Gothic" w:eastAsia="MS UI Gothic"/>
          <w:spacing w:val="23"/>
          <w:w w:val="80"/>
        </w:rPr>
        <w:t xml:space="preserve">、 </w:t>
      </w:r>
      <w:r>
        <w:rPr>
          <w:spacing w:val="3"/>
        </w:rPr>
        <w:t>消除污染</w:t>
      </w:r>
      <w:r>
        <w:rPr>
          <w:rFonts w:hint="eastAsia" w:ascii="MS UI Gothic" w:eastAsia="MS UI Gothic"/>
          <w:spacing w:val="23"/>
          <w:w w:val="80"/>
        </w:rPr>
        <w:t xml:space="preserve">ꎬ </w:t>
      </w:r>
      <w:r>
        <w:rPr>
          <w:spacing w:val="2"/>
        </w:rPr>
        <w:t>全部赔</w:t>
      </w:r>
      <w:r>
        <w:rPr>
          <w:spacing w:val="3"/>
        </w:rPr>
        <w:t>偿损失</w:t>
      </w:r>
      <w:r>
        <w:rPr>
          <w:rFonts w:hint="eastAsia" w:ascii="MS UI Gothic" w:eastAsia="MS UI Gothic"/>
          <w:spacing w:val="9"/>
          <w:w w:val="80"/>
        </w:rPr>
        <w:t xml:space="preserve">ꎬ </w:t>
      </w:r>
      <w:r>
        <w:rPr>
          <w:spacing w:val="9"/>
        </w:rPr>
        <w:t>积极修复生态环境</w:t>
      </w:r>
      <w:r>
        <w:rPr>
          <w:rFonts w:hint="eastAsia" w:ascii="MS UI Gothic" w:eastAsia="MS UI Gothic"/>
          <w:spacing w:val="12"/>
          <w:w w:val="80"/>
        </w:rPr>
        <w:t xml:space="preserve">ꎬ </w:t>
      </w:r>
      <w:r>
        <w:rPr>
          <w:spacing w:val="12"/>
        </w:rPr>
        <w:t>且系初犯</w:t>
      </w:r>
      <w:r>
        <w:rPr>
          <w:rFonts w:hint="eastAsia" w:ascii="MS UI Gothic" w:eastAsia="MS UI Gothic"/>
          <w:w w:val="80"/>
        </w:rPr>
        <w:t>ꎬ</w:t>
      </w:r>
      <w:r>
        <w:rPr>
          <w:spacing w:val="4"/>
        </w:rPr>
        <w:t>确有悔罪表现的</w:t>
      </w:r>
      <w:r>
        <w:rPr>
          <w:rFonts w:hint="eastAsia" w:ascii="MS UI Gothic" w:eastAsia="MS UI Gothic"/>
          <w:spacing w:val="22"/>
          <w:w w:val="80"/>
        </w:rPr>
        <w:t xml:space="preserve">ꎬ </w:t>
      </w:r>
      <w:r>
        <w:rPr>
          <w:spacing w:val="11"/>
        </w:rPr>
        <w:t>可以认定为情节轻微</w:t>
      </w:r>
      <w:r>
        <w:rPr>
          <w:rFonts w:hint="eastAsia" w:ascii="MS UI Gothic" w:eastAsia="MS UI Gothic"/>
          <w:w w:val="80"/>
        </w:rPr>
        <w:t>ꎬ</w:t>
      </w:r>
      <w:r>
        <w:rPr>
          <w:spacing w:val="3"/>
        </w:rPr>
        <w:t>不起诉或者免予刑事处罚</w:t>
      </w:r>
      <w:r>
        <w:rPr>
          <w:rFonts w:hint="eastAsia" w:ascii="MS UI Gothic" w:eastAsia="MS UI Gothic"/>
          <w:spacing w:val="21"/>
          <w:w w:val="80"/>
        </w:rPr>
        <w:t xml:space="preserve">ꎻ </w:t>
      </w:r>
      <w:r>
        <w:rPr>
          <w:spacing w:val="2"/>
        </w:rPr>
        <w:t>确有必要判处</w:t>
      </w:r>
      <w:r>
        <w:rPr>
          <w:spacing w:val="3"/>
        </w:rPr>
        <w:t>刑罚的</w:t>
      </w:r>
      <w:r>
        <w:rPr>
          <w:rFonts w:hint="eastAsia" w:ascii="MS UI Gothic" w:eastAsia="MS UI Gothic"/>
          <w:spacing w:val="2"/>
          <w:w w:val="80"/>
        </w:rPr>
        <w:t xml:space="preserve">ꎬ </w:t>
      </w:r>
      <w:r>
        <w:rPr>
          <w:spacing w:val="3"/>
        </w:rPr>
        <w:t>应当从宽处罚</w:t>
      </w:r>
      <w:r>
        <w:rPr>
          <w:rFonts w:hint="eastAsia" w:ascii="MS UI Gothic" w:eastAsia="MS UI Gothic"/>
          <w:w w:val="80"/>
        </w:rPr>
        <w:t>ꎮ</w:t>
      </w:r>
    </w:p>
    <w:p>
      <w:pPr>
        <w:pStyle w:val="6"/>
        <w:spacing w:line="295" w:lineRule="auto"/>
        <w:ind w:right="39"/>
        <w:rPr>
          <w:rFonts w:hint="eastAsia" w:ascii="MS UI Gothic" w:eastAsia="MS UI Gothic"/>
        </w:rPr>
      </w:pPr>
      <w:r>
        <w:rPr>
          <w:spacing w:val="4"/>
        </w:rPr>
        <w:t>第六条 无危险废物经营许可证从事</w:t>
      </w:r>
      <w:r>
        <w:rPr>
          <w:spacing w:val="3"/>
        </w:rPr>
        <w:t>收集</w:t>
      </w:r>
      <w:r>
        <w:rPr>
          <w:rFonts w:hint="eastAsia" w:ascii="MS UI Gothic" w:eastAsia="MS UI Gothic"/>
          <w:spacing w:val="16"/>
          <w:w w:val="80"/>
        </w:rPr>
        <w:t xml:space="preserve">、 </w:t>
      </w:r>
      <w:r>
        <w:rPr>
          <w:spacing w:val="3"/>
        </w:rPr>
        <w:t>贮存</w:t>
      </w:r>
      <w:r>
        <w:rPr>
          <w:rFonts w:hint="eastAsia" w:ascii="MS UI Gothic" w:eastAsia="MS UI Gothic"/>
          <w:spacing w:val="16"/>
          <w:w w:val="80"/>
        </w:rPr>
        <w:t xml:space="preserve">、 </w:t>
      </w:r>
      <w:r>
        <w:rPr>
          <w:spacing w:val="3"/>
        </w:rPr>
        <w:t>利用</w:t>
      </w:r>
      <w:r>
        <w:rPr>
          <w:rFonts w:hint="eastAsia" w:ascii="MS UI Gothic" w:eastAsia="MS UI Gothic"/>
          <w:spacing w:val="16"/>
          <w:w w:val="80"/>
        </w:rPr>
        <w:t xml:space="preserve">、 </w:t>
      </w:r>
      <w:r>
        <w:rPr>
          <w:spacing w:val="2"/>
        </w:rPr>
        <w:t>处置危险废物经营活</w:t>
      </w:r>
      <w:r>
        <w:rPr>
          <w:spacing w:val="3"/>
        </w:rPr>
        <w:t>动</w:t>
      </w:r>
      <w:r>
        <w:rPr>
          <w:rFonts w:hint="eastAsia" w:ascii="MS UI Gothic" w:eastAsia="MS UI Gothic"/>
          <w:spacing w:val="23"/>
          <w:w w:val="80"/>
        </w:rPr>
        <w:t xml:space="preserve">ꎬ </w:t>
      </w:r>
      <w:r>
        <w:rPr>
          <w:spacing w:val="3"/>
        </w:rPr>
        <w:t>严重污染环境的</w:t>
      </w:r>
      <w:r>
        <w:rPr>
          <w:rFonts w:hint="eastAsia" w:ascii="MS UI Gothic" w:eastAsia="MS UI Gothic"/>
          <w:spacing w:val="23"/>
          <w:w w:val="80"/>
        </w:rPr>
        <w:t xml:space="preserve">ꎬ </w:t>
      </w:r>
      <w:r>
        <w:rPr>
          <w:spacing w:val="2"/>
        </w:rPr>
        <w:t>按照污染环境罪定</w:t>
      </w:r>
      <w:r>
        <w:rPr>
          <w:spacing w:val="3"/>
        </w:rPr>
        <w:t>罪处罚</w:t>
      </w:r>
      <w:r>
        <w:rPr>
          <w:rFonts w:hint="eastAsia" w:ascii="MS UI Gothic" w:eastAsia="MS UI Gothic"/>
          <w:spacing w:val="23"/>
          <w:w w:val="80"/>
        </w:rPr>
        <w:t xml:space="preserve">ꎻ </w:t>
      </w:r>
      <w:r>
        <w:rPr>
          <w:spacing w:val="3"/>
        </w:rPr>
        <w:t>同时构成非法经营罪的</w:t>
      </w:r>
      <w:r>
        <w:rPr>
          <w:rFonts w:hint="eastAsia" w:ascii="MS UI Gothic" w:eastAsia="MS UI Gothic"/>
          <w:spacing w:val="23"/>
          <w:w w:val="80"/>
        </w:rPr>
        <w:t xml:space="preserve">ꎬ </w:t>
      </w:r>
      <w:r>
        <w:rPr>
          <w:spacing w:val="2"/>
        </w:rPr>
        <w:t>依照处</w:t>
      </w:r>
      <w:r>
        <w:rPr>
          <w:spacing w:val="3"/>
        </w:rPr>
        <w:t>罚较重的规定定罪处罚</w:t>
      </w:r>
      <w:r>
        <w:rPr>
          <w:rFonts w:hint="eastAsia" w:ascii="MS UI Gothic" w:eastAsia="MS UI Gothic"/>
          <w:w w:val="80"/>
        </w:rPr>
        <w:t>ꎮ</w:t>
      </w:r>
    </w:p>
    <w:p>
      <w:pPr>
        <w:pStyle w:val="6"/>
        <w:spacing w:line="295" w:lineRule="auto"/>
        <w:ind w:right="39"/>
        <w:rPr>
          <w:rFonts w:hint="eastAsia" w:ascii="MS UI Gothic" w:eastAsia="MS UI Gothic"/>
        </w:rPr>
      </w:pPr>
      <w:r>
        <w:t>实施前款规定的行为</w:t>
      </w:r>
      <w:r>
        <w:rPr>
          <w:rFonts w:hint="eastAsia" w:ascii="MS UI Gothic" w:eastAsia="MS UI Gothic"/>
          <w:w w:val="80"/>
        </w:rPr>
        <w:t xml:space="preserve">ꎬ </w:t>
      </w:r>
      <w:r>
        <w:t>不具有超标排放污染物</w:t>
      </w:r>
      <w:r>
        <w:rPr>
          <w:rFonts w:hint="eastAsia" w:ascii="MS UI Gothic" w:eastAsia="MS UI Gothic"/>
          <w:w w:val="80"/>
        </w:rPr>
        <w:t xml:space="preserve">、 </w:t>
      </w:r>
      <w:r>
        <w:t>非法倾倒污染物或者其他违法造成环境污染的情形的</w:t>
      </w:r>
      <w:r>
        <w:rPr>
          <w:rFonts w:hint="eastAsia" w:ascii="MS UI Gothic" w:eastAsia="MS UI Gothic"/>
          <w:w w:val="80"/>
        </w:rPr>
        <w:t xml:space="preserve">ꎬ </w:t>
      </w:r>
      <w:r>
        <w:t>可以认定为非法经营情节显著轻微危害不大</w:t>
      </w:r>
      <w:r>
        <w:rPr>
          <w:rFonts w:hint="eastAsia" w:ascii="MS UI Gothic" w:eastAsia="MS UI Gothic"/>
          <w:w w:val="80"/>
        </w:rPr>
        <w:t xml:space="preserve">ꎬ </w:t>
      </w:r>
      <w:r>
        <w:t>不认为是犯罪</w:t>
      </w:r>
      <w:r>
        <w:rPr>
          <w:rFonts w:hint="eastAsia" w:ascii="MS UI Gothic" w:eastAsia="MS UI Gothic"/>
          <w:w w:val="80"/>
        </w:rPr>
        <w:t xml:space="preserve">ꎻ </w:t>
      </w:r>
      <w:r>
        <w:t>构成生产</w:t>
      </w:r>
      <w:r>
        <w:rPr>
          <w:rFonts w:hint="eastAsia" w:ascii="MS UI Gothic" w:eastAsia="MS UI Gothic"/>
          <w:w w:val="80"/>
        </w:rPr>
        <w:t xml:space="preserve">、 </w:t>
      </w:r>
      <w:r>
        <w:t>销售伪劣产品等其他犯罪的</w:t>
      </w:r>
      <w:r>
        <w:rPr>
          <w:rFonts w:hint="eastAsia" w:ascii="MS UI Gothic" w:eastAsia="MS UI Gothic"/>
          <w:w w:val="80"/>
        </w:rPr>
        <w:t xml:space="preserve">ꎬ </w:t>
      </w:r>
      <w:r>
        <w:t>以其他犯罪论处</w:t>
      </w:r>
      <w:r>
        <w:rPr>
          <w:rFonts w:hint="eastAsia" w:ascii="MS UI Gothic" w:eastAsia="MS UI Gothic"/>
          <w:w w:val="80"/>
        </w:rPr>
        <w:t>ꎮ</w:t>
      </w:r>
    </w:p>
    <w:p>
      <w:pPr>
        <w:pStyle w:val="6"/>
        <w:spacing w:line="295" w:lineRule="auto"/>
        <w:ind w:right="38"/>
        <w:rPr>
          <w:rFonts w:hint="eastAsia" w:ascii="MS UI Gothic" w:eastAsia="MS UI Gothic"/>
        </w:rPr>
      </w:pPr>
      <w:r>
        <w:t>第七条 明知他人无危险废物经营许可证</w:t>
      </w:r>
      <w:r>
        <w:rPr>
          <w:rFonts w:hint="eastAsia" w:ascii="MS UI Gothic" w:eastAsia="MS UI Gothic"/>
          <w:w w:val="80"/>
        </w:rPr>
        <w:t xml:space="preserve">ꎬ </w:t>
      </w:r>
      <w:r>
        <w:t>向其提供或者委托其收集</w:t>
      </w:r>
      <w:r>
        <w:rPr>
          <w:rFonts w:hint="eastAsia" w:ascii="MS UI Gothic" w:eastAsia="MS UI Gothic"/>
          <w:w w:val="80"/>
        </w:rPr>
        <w:t xml:space="preserve">、 </w:t>
      </w:r>
      <w:r>
        <w:t>贮存</w:t>
      </w:r>
      <w:r>
        <w:rPr>
          <w:rFonts w:hint="eastAsia" w:ascii="MS UI Gothic" w:eastAsia="MS UI Gothic"/>
          <w:w w:val="80"/>
        </w:rPr>
        <w:t>、</w:t>
      </w:r>
      <w:r>
        <w:t>利用</w:t>
      </w:r>
      <w:r>
        <w:rPr>
          <w:rFonts w:hint="eastAsia" w:ascii="MS UI Gothic" w:eastAsia="MS UI Gothic"/>
          <w:w w:val="80"/>
        </w:rPr>
        <w:t xml:space="preserve">、 </w:t>
      </w:r>
      <w:r>
        <w:t>处置危险废物</w:t>
      </w:r>
      <w:r>
        <w:rPr>
          <w:rFonts w:hint="eastAsia" w:ascii="MS UI Gothic" w:eastAsia="MS UI Gothic"/>
          <w:w w:val="80"/>
        </w:rPr>
        <w:t xml:space="preserve">ꎬ </w:t>
      </w:r>
      <w:r>
        <w:t>严重污染环境的</w:t>
      </w:r>
      <w:r>
        <w:rPr>
          <w:rFonts w:hint="eastAsia" w:ascii="MS UI Gothic" w:eastAsia="MS UI Gothic"/>
          <w:w w:val="80"/>
        </w:rPr>
        <w:t>ꎬ</w:t>
      </w:r>
      <w:r>
        <w:t>以共同犯罪论处</w:t>
      </w:r>
      <w:r>
        <w:rPr>
          <w:rFonts w:hint="eastAsia" w:ascii="MS UI Gothic" w:eastAsia="MS UI Gothic"/>
          <w:w w:val="80"/>
        </w:rPr>
        <w:t>ꎮ</w:t>
      </w:r>
    </w:p>
    <w:p>
      <w:pPr>
        <w:pStyle w:val="6"/>
        <w:spacing w:line="295" w:lineRule="auto"/>
        <w:ind w:right="39"/>
      </w:pPr>
      <w:r>
        <w:t>第八条 违反国家规定</w:t>
      </w:r>
      <w:r>
        <w:rPr>
          <w:rFonts w:hint="eastAsia" w:ascii="MS UI Gothic" w:eastAsia="MS UI Gothic"/>
          <w:w w:val="80"/>
        </w:rPr>
        <w:t xml:space="preserve">ꎬ </w:t>
      </w:r>
      <w:r>
        <w:t>排放</w:t>
      </w:r>
      <w:r>
        <w:rPr>
          <w:rFonts w:hint="eastAsia" w:ascii="MS UI Gothic" w:eastAsia="MS UI Gothic"/>
          <w:w w:val="80"/>
        </w:rPr>
        <w:t xml:space="preserve">、  </w:t>
      </w:r>
      <w:r>
        <w:t>倾倒</w:t>
      </w:r>
      <w:r>
        <w:rPr>
          <w:rFonts w:hint="eastAsia" w:ascii="MS UI Gothic" w:eastAsia="MS UI Gothic"/>
          <w:w w:val="80"/>
        </w:rPr>
        <w:t xml:space="preserve">、 </w:t>
      </w:r>
      <w:r>
        <w:t>处置含有毒害性</w:t>
      </w:r>
      <w:r>
        <w:rPr>
          <w:rFonts w:hint="eastAsia" w:ascii="MS UI Gothic" w:eastAsia="MS UI Gothic"/>
          <w:w w:val="80"/>
        </w:rPr>
        <w:t xml:space="preserve">、 </w:t>
      </w:r>
      <w:r>
        <w:t>放射性</w:t>
      </w:r>
      <w:r>
        <w:rPr>
          <w:rFonts w:hint="eastAsia" w:ascii="MS UI Gothic" w:eastAsia="MS UI Gothic"/>
          <w:w w:val="80"/>
        </w:rPr>
        <w:t xml:space="preserve">、 </w:t>
      </w:r>
      <w:r>
        <w:t>传染病病原体等物质的污染物</w:t>
      </w:r>
      <w:r>
        <w:rPr>
          <w:rFonts w:hint="eastAsia" w:ascii="MS UI Gothic" w:eastAsia="MS UI Gothic"/>
          <w:w w:val="80"/>
        </w:rPr>
        <w:t xml:space="preserve">ꎬ </w:t>
      </w:r>
      <w:r>
        <w:t>同时构成污染环境</w:t>
      </w:r>
    </w:p>
    <w:p>
      <w:pPr>
        <w:pStyle w:val="6"/>
        <w:spacing w:before="123" w:line="295" w:lineRule="auto"/>
        <w:ind w:right="442" w:firstLine="0"/>
        <w:rPr>
          <w:rFonts w:hint="eastAsia" w:ascii="MS UI Gothic" w:eastAsia="MS UI Gothic"/>
        </w:rPr>
      </w:pPr>
      <w:r>
        <w:br w:type="column"/>
      </w:r>
      <w:r>
        <w:t>罪</w:t>
      </w:r>
      <w:r>
        <w:rPr>
          <w:rFonts w:hint="eastAsia" w:ascii="MS UI Gothic" w:eastAsia="MS UI Gothic"/>
          <w:w w:val="80"/>
        </w:rPr>
        <w:t xml:space="preserve">、 </w:t>
      </w:r>
      <w:r>
        <w:t>非法处置进口的固体废物罪</w:t>
      </w:r>
      <w:r>
        <w:rPr>
          <w:rFonts w:hint="eastAsia" w:ascii="MS UI Gothic" w:eastAsia="MS UI Gothic"/>
          <w:w w:val="80"/>
        </w:rPr>
        <w:t xml:space="preserve">、 </w:t>
      </w:r>
      <w:r>
        <w:t>投放危险物质罪等犯罪的</w:t>
      </w:r>
      <w:r>
        <w:rPr>
          <w:rFonts w:hint="eastAsia" w:ascii="MS UI Gothic" w:eastAsia="MS UI Gothic"/>
          <w:w w:val="80"/>
        </w:rPr>
        <w:t xml:space="preserve">ꎬ </w:t>
      </w:r>
      <w:r>
        <w:t>依照处罚较重的规定定罪处罚</w:t>
      </w:r>
      <w:r>
        <w:rPr>
          <w:rFonts w:hint="eastAsia" w:ascii="MS UI Gothic" w:eastAsia="MS UI Gothic"/>
          <w:w w:val="80"/>
        </w:rPr>
        <w:t>ꎮ</w:t>
      </w:r>
    </w:p>
    <w:p>
      <w:pPr>
        <w:pStyle w:val="6"/>
        <w:spacing w:line="295" w:lineRule="auto"/>
        <w:ind w:right="440"/>
        <w:rPr>
          <w:rFonts w:hint="eastAsia" w:ascii="MS UI Gothic" w:eastAsia="MS UI Gothic"/>
        </w:rPr>
      </w:pPr>
      <w:r>
        <w:t>第九条  环境影响评价机构或其人员</w:t>
      </w:r>
      <w:r>
        <w:rPr>
          <w:rFonts w:hint="eastAsia" w:ascii="MS UI Gothic" w:eastAsia="MS UI Gothic"/>
          <w:w w:val="80"/>
        </w:rPr>
        <w:t xml:space="preserve">ꎬ </w:t>
      </w:r>
      <w:r>
        <w:t>故意提供虚假环境影响评价文件</w:t>
      </w:r>
      <w:r>
        <w:rPr>
          <w:rFonts w:hint="eastAsia" w:ascii="MS UI Gothic" w:eastAsia="MS UI Gothic"/>
          <w:w w:val="80"/>
        </w:rPr>
        <w:t xml:space="preserve">ꎬ </w:t>
      </w:r>
      <w:r>
        <w:t>情节严重的</w:t>
      </w:r>
      <w:r>
        <w:rPr>
          <w:rFonts w:hint="eastAsia" w:ascii="MS UI Gothic" w:eastAsia="MS UI Gothic"/>
          <w:w w:val="80"/>
        </w:rPr>
        <w:t xml:space="preserve">ꎬ </w:t>
      </w:r>
      <w:r>
        <w:t>或者严重不负责任</w:t>
      </w:r>
      <w:r>
        <w:rPr>
          <w:rFonts w:hint="eastAsia" w:ascii="MS UI Gothic" w:eastAsia="MS UI Gothic"/>
          <w:w w:val="80"/>
        </w:rPr>
        <w:t xml:space="preserve">ꎬ </w:t>
      </w:r>
      <w:r>
        <w:t>出具的环境影响评价文件存在重大失实</w:t>
      </w:r>
      <w:r>
        <w:rPr>
          <w:rFonts w:hint="eastAsia" w:ascii="MS UI Gothic" w:eastAsia="MS UI Gothic"/>
          <w:w w:val="80"/>
        </w:rPr>
        <w:t xml:space="preserve">ꎬ </w:t>
      </w:r>
      <w:r>
        <w:t>造成严重后果的</w:t>
      </w:r>
      <w:r>
        <w:rPr>
          <w:rFonts w:hint="eastAsia" w:ascii="MS UI Gothic" w:eastAsia="MS UI Gothic"/>
          <w:w w:val="80"/>
        </w:rPr>
        <w:t xml:space="preserve">ꎬ </w:t>
      </w:r>
      <w:r>
        <w:t>应当依照刑法第二百二十九条</w:t>
      </w:r>
      <w:r>
        <w:rPr>
          <w:rFonts w:hint="eastAsia" w:ascii="MS UI Gothic" w:eastAsia="MS UI Gothic"/>
          <w:w w:val="80"/>
        </w:rPr>
        <w:t>、</w:t>
      </w:r>
      <w:r>
        <w:t>第二百三十一条的规定</w:t>
      </w:r>
      <w:r>
        <w:rPr>
          <w:rFonts w:hint="eastAsia" w:ascii="MS UI Gothic" w:eastAsia="MS UI Gothic"/>
          <w:w w:val="80"/>
        </w:rPr>
        <w:t xml:space="preserve">ꎬ </w:t>
      </w:r>
      <w:r>
        <w:t>以提供虚假证明文件罪或者出具证明文件重大失实罪定罪处罚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第十条 违反国家规定</w:t>
      </w:r>
      <w:r>
        <w:rPr>
          <w:rFonts w:hint="eastAsia" w:ascii="MS UI Gothic" w:eastAsia="MS UI Gothic"/>
          <w:w w:val="80"/>
        </w:rPr>
        <w:t xml:space="preserve">ꎬ </w:t>
      </w:r>
      <w:r>
        <w:rPr>
          <w:w w:val="105"/>
        </w:rPr>
        <w:t>针对环境质量监测系统实施下列行为</w:t>
      </w:r>
      <w:r>
        <w:rPr>
          <w:rFonts w:hint="eastAsia" w:ascii="MS UI Gothic" w:eastAsia="MS UI Gothic"/>
          <w:w w:val="80"/>
        </w:rPr>
        <w:t xml:space="preserve">ꎬ </w:t>
      </w:r>
      <w:r>
        <w:rPr>
          <w:w w:val="105"/>
        </w:rPr>
        <w:t>或者强令</w:t>
      </w:r>
      <w:r>
        <w:rPr>
          <w:rFonts w:hint="eastAsia" w:ascii="MS UI Gothic" w:eastAsia="MS UI Gothic"/>
          <w:w w:val="80"/>
        </w:rPr>
        <w:t xml:space="preserve">、 </w:t>
      </w:r>
      <w:r>
        <w:rPr>
          <w:w w:val="105"/>
        </w:rPr>
        <w:t>指使</w:t>
      </w:r>
      <w:r>
        <w:rPr>
          <w:rFonts w:hint="eastAsia" w:ascii="MS UI Gothic" w:eastAsia="MS UI Gothic"/>
          <w:w w:val="80"/>
        </w:rPr>
        <w:t xml:space="preserve">、 </w:t>
      </w:r>
      <w:r>
        <w:rPr>
          <w:w w:val="105"/>
        </w:rPr>
        <w:t>授意他人实施下列行为的</w:t>
      </w:r>
      <w:r>
        <w:rPr>
          <w:rFonts w:hint="eastAsia" w:ascii="MS UI Gothic" w:eastAsia="MS UI Gothic"/>
          <w:w w:val="80"/>
        </w:rPr>
        <w:t xml:space="preserve">ꎬ </w:t>
      </w:r>
      <w:r>
        <w:rPr>
          <w:w w:val="105"/>
        </w:rPr>
        <w:t>应当依照</w:t>
      </w:r>
      <w:r>
        <w:t>刑法第二百八十六条的规定</w:t>
      </w:r>
      <w:r>
        <w:rPr>
          <w:rFonts w:hint="eastAsia" w:ascii="MS UI Gothic" w:eastAsia="MS UI Gothic"/>
          <w:w w:val="80"/>
        </w:rPr>
        <w:t xml:space="preserve">ꎬ </w:t>
      </w:r>
      <w:r>
        <w:t>以破坏计算</w:t>
      </w:r>
      <w:r>
        <w:rPr>
          <w:w w:val="105"/>
        </w:rPr>
        <w:t>机信息系统罪论处</w:t>
      </w:r>
      <w:r>
        <w:rPr>
          <w:rFonts w:hint="eastAsia" w:ascii="MS UI Gothic" w:eastAsia="MS UI Gothic"/>
          <w:w w:val="235"/>
        </w:rPr>
        <w:t>:</w:t>
      </w:r>
    </w:p>
    <w:p>
      <w:pPr>
        <w:pStyle w:val="6"/>
        <w:spacing w:line="252"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修改参数或者监测数据的</w:t>
      </w:r>
      <w:r>
        <w:rPr>
          <w:rFonts w:hint="eastAsia" w:ascii="MS UI Gothic" w:eastAsia="MS UI Gothic"/>
          <w:w w:val="80"/>
        </w:rPr>
        <w:t>ꎻ</w:t>
      </w:r>
    </w:p>
    <w:p>
      <w:pPr>
        <w:pStyle w:val="6"/>
        <w:spacing w:before="49"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干扰采样</w:t>
      </w:r>
      <w:r>
        <w:rPr>
          <w:rFonts w:hint="eastAsia" w:ascii="MS UI Gothic" w:eastAsia="MS UI Gothic"/>
          <w:w w:val="80"/>
        </w:rPr>
        <w:t xml:space="preserve">ꎬ </w:t>
      </w:r>
      <w:r>
        <w:rPr>
          <w:w w:val="105"/>
        </w:rPr>
        <w:t>致使监测数据严重失真的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其他破坏环境质量监测系统的</w:t>
      </w:r>
      <w:r>
        <w:rPr>
          <w:spacing w:val="3"/>
          <w:w w:val="110"/>
        </w:rPr>
        <w:t>行为</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重点排污单位篡改</w:t>
      </w:r>
      <w:r>
        <w:rPr>
          <w:rFonts w:hint="eastAsia" w:ascii="MS UI Gothic" w:eastAsia="MS UI Gothic"/>
          <w:spacing w:val="12"/>
          <w:w w:val="80"/>
        </w:rPr>
        <w:t xml:space="preserve">、 </w:t>
      </w:r>
      <w:r>
        <w:rPr>
          <w:spacing w:val="2"/>
        </w:rPr>
        <w:t>伪造自动监测数</w:t>
      </w:r>
      <w:r>
        <w:rPr>
          <w:spacing w:val="3"/>
        </w:rPr>
        <w:t>据或者干扰自动监测设施</w:t>
      </w:r>
      <w:r>
        <w:rPr>
          <w:rFonts w:hint="eastAsia" w:ascii="MS UI Gothic" w:eastAsia="MS UI Gothic"/>
          <w:spacing w:val="20"/>
          <w:w w:val="80"/>
        </w:rPr>
        <w:t xml:space="preserve">ꎬ </w:t>
      </w:r>
      <w:r>
        <w:rPr>
          <w:spacing w:val="2"/>
        </w:rPr>
        <w:t>排放化学需氧</w:t>
      </w:r>
      <w:r>
        <w:rPr>
          <w:spacing w:val="3"/>
        </w:rPr>
        <w:t>量</w:t>
      </w:r>
      <w:r>
        <w:rPr>
          <w:rFonts w:hint="eastAsia" w:ascii="MS UI Gothic" w:eastAsia="MS UI Gothic"/>
          <w:spacing w:val="14"/>
          <w:w w:val="80"/>
        </w:rPr>
        <w:t xml:space="preserve">、 </w:t>
      </w:r>
      <w:r>
        <w:rPr>
          <w:spacing w:val="5"/>
        </w:rPr>
        <w:t>氨氮</w:t>
      </w:r>
      <w:r>
        <w:rPr>
          <w:rFonts w:hint="eastAsia" w:ascii="MS UI Gothic" w:eastAsia="MS UI Gothic"/>
          <w:spacing w:val="21"/>
          <w:w w:val="80"/>
        </w:rPr>
        <w:t xml:space="preserve">、 </w:t>
      </w:r>
      <w:r>
        <w:rPr>
          <w:spacing w:val="18"/>
        </w:rPr>
        <w:t>二氧化硫</w:t>
      </w:r>
      <w:r>
        <w:rPr>
          <w:rFonts w:hint="eastAsia" w:ascii="MS UI Gothic" w:eastAsia="MS UI Gothic"/>
          <w:spacing w:val="22"/>
          <w:w w:val="80"/>
        </w:rPr>
        <w:t xml:space="preserve">、 </w:t>
      </w:r>
      <w:r>
        <w:rPr>
          <w:spacing w:val="19"/>
        </w:rPr>
        <w:t>氮氧化物等污染</w:t>
      </w:r>
      <w:r>
        <w:rPr>
          <w:spacing w:val="3"/>
        </w:rPr>
        <w:t>物</w:t>
      </w:r>
      <w:r>
        <w:rPr>
          <w:rFonts w:hint="eastAsia" w:ascii="MS UI Gothic" w:eastAsia="MS UI Gothic"/>
          <w:spacing w:val="20"/>
          <w:w w:val="80"/>
        </w:rPr>
        <w:t xml:space="preserve">ꎬ </w:t>
      </w:r>
      <w:r>
        <w:rPr>
          <w:spacing w:val="2"/>
        </w:rPr>
        <w:t>同时构成污染环境罪和破坏计算机信</w:t>
      </w:r>
      <w:r>
        <w:rPr>
          <w:spacing w:val="10"/>
        </w:rPr>
        <w:t>息系统罪的</w:t>
      </w:r>
      <w:r>
        <w:rPr>
          <w:rFonts w:hint="eastAsia" w:ascii="MS UI Gothic" w:eastAsia="MS UI Gothic"/>
          <w:spacing w:val="23"/>
          <w:w w:val="80"/>
        </w:rPr>
        <w:t xml:space="preserve">ꎬ </w:t>
      </w:r>
      <w:r>
        <w:rPr>
          <w:spacing w:val="17"/>
        </w:rPr>
        <w:t>依照处罚较重的规定定罪</w:t>
      </w:r>
      <w:r>
        <w:rPr>
          <w:spacing w:val="3"/>
        </w:rPr>
        <w:t>处罚</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从事环境监测设施维护</w:t>
      </w:r>
      <w:r>
        <w:rPr>
          <w:rFonts w:hint="eastAsia" w:ascii="MS UI Gothic" w:eastAsia="MS UI Gothic"/>
          <w:spacing w:val="12"/>
          <w:w w:val="80"/>
        </w:rPr>
        <w:t xml:space="preserve">、 </w:t>
      </w:r>
      <w:r>
        <w:rPr>
          <w:spacing w:val="2"/>
        </w:rPr>
        <w:t>运营的人员</w:t>
      </w:r>
      <w:r>
        <w:rPr>
          <w:spacing w:val="3"/>
        </w:rPr>
        <w:t>实施或者参与实施篡改</w:t>
      </w:r>
      <w:r>
        <w:rPr>
          <w:rFonts w:hint="eastAsia" w:ascii="MS UI Gothic" w:eastAsia="MS UI Gothic"/>
          <w:spacing w:val="16"/>
          <w:w w:val="80"/>
        </w:rPr>
        <w:t xml:space="preserve">、 </w:t>
      </w:r>
      <w:r>
        <w:rPr>
          <w:spacing w:val="2"/>
        </w:rPr>
        <w:t>伪造自动监测数</w:t>
      </w:r>
      <w:r>
        <w:rPr>
          <w:spacing w:val="3"/>
        </w:rPr>
        <w:t>据</w:t>
      </w:r>
      <w:r>
        <w:rPr>
          <w:rFonts w:hint="eastAsia" w:ascii="MS UI Gothic" w:eastAsia="MS UI Gothic"/>
          <w:spacing w:val="22"/>
          <w:w w:val="80"/>
        </w:rPr>
        <w:t xml:space="preserve">、 </w:t>
      </w:r>
      <w:r>
        <w:rPr>
          <w:spacing w:val="3"/>
        </w:rPr>
        <w:t>干扰自动监测设施</w:t>
      </w:r>
      <w:r>
        <w:rPr>
          <w:rFonts w:hint="eastAsia" w:ascii="MS UI Gothic" w:eastAsia="MS UI Gothic"/>
          <w:spacing w:val="23"/>
          <w:w w:val="80"/>
        </w:rPr>
        <w:t xml:space="preserve">、 </w:t>
      </w:r>
      <w:r>
        <w:rPr>
          <w:spacing w:val="2"/>
        </w:rPr>
        <w:t>破坏环境质量监</w:t>
      </w:r>
      <w:r>
        <w:rPr>
          <w:spacing w:val="3"/>
        </w:rPr>
        <w:t>测系统等行为的</w:t>
      </w:r>
      <w:r>
        <w:rPr>
          <w:rFonts w:hint="eastAsia" w:ascii="MS UI Gothic" w:eastAsia="MS UI Gothic"/>
          <w:spacing w:val="1"/>
          <w:w w:val="80"/>
        </w:rPr>
        <w:t xml:space="preserve">ꎬ </w:t>
      </w:r>
      <w:r>
        <w:rPr>
          <w:spacing w:val="3"/>
        </w:rPr>
        <w:t>应当从重处罚</w:t>
      </w:r>
      <w:r>
        <w:rPr>
          <w:rFonts w:hint="eastAsia" w:ascii="MS UI Gothic" w:eastAsia="MS UI Gothic"/>
          <w:w w:val="80"/>
        </w:rPr>
        <w:t>ꎮ</w:t>
      </w:r>
    </w:p>
    <w:p>
      <w:pPr>
        <w:pStyle w:val="6"/>
        <w:spacing w:line="295" w:lineRule="auto"/>
        <w:ind w:right="440"/>
        <w:rPr>
          <w:rFonts w:hint="eastAsia" w:ascii="MS UI Gothic" w:eastAsia="MS UI Gothic"/>
        </w:rPr>
      </w:pPr>
      <w:r>
        <w:rPr>
          <w:spacing w:val="4"/>
        </w:rPr>
        <w:t>第十一条 单位实施本解释规定的犯</w:t>
      </w:r>
      <w:r>
        <w:rPr>
          <w:spacing w:val="3"/>
        </w:rPr>
        <w:t>罪的</w:t>
      </w:r>
      <w:r>
        <w:rPr>
          <w:rFonts w:hint="eastAsia" w:ascii="MS UI Gothic" w:eastAsia="MS UI Gothic"/>
          <w:spacing w:val="19"/>
          <w:w w:val="80"/>
        </w:rPr>
        <w:t xml:space="preserve">ꎬ </w:t>
      </w:r>
      <w:r>
        <w:rPr>
          <w:spacing w:val="7"/>
        </w:rPr>
        <w:t>依照本解释规定的定罪量刑标准</w:t>
      </w:r>
      <w:r>
        <w:rPr>
          <w:rFonts w:hint="eastAsia" w:ascii="MS UI Gothic" w:eastAsia="MS UI Gothic"/>
          <w:w w:val="80"/>
        </w:rPr>
        <w:t>ꎬ</w:t>
      </w:r>
      <w:r>
        <w:rPr>
          <w:spacing w:val="2"/>
        </w:rPr>
        <w:t>对直接负责的主管人员和其他直接责任人</w:t>
      </w:r>
      <w:r>
        <w:rPr>
          <w:spacing w:val="3"/>
        </w:rPr>
        <w:t>员定罪处罚</w:t>
      </w:r>
      <w:r>
        <w:rPr>
          <w:rFonts w:hint="eastAsia" w:ascii="MS UI Gothic" w:eastAsia="MS UI Gothic"/>
          <w:spacing w:val="1"/>
          <w:w w:val="80"/>
        </w:rPr>
        <w:t xml:space="preserve">ꎬ </w:t>
      </w:r>
      <w:r>
        <w:rPr>
          <w:spacing w:val="3"/>
        </w:rPr>
        <w:t>并对单位判处罚金</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第十二条 环境保护主管部门及其所</w:t>
      </w:r>
      <w:r>
        <w:t>属监测机构在行政执法过程中收集的监测数据</w:t>
      </w:r>
      <w:r>
        <w:rPr>
          <w:rFonts w:hint="eastAsia" w:ascii="MS UI Gothic" w:eastAsia="MS UI Gothic"/>
          <w:w w:val="80"/>
        </w:rPr>
        <w:t xml:space="preserve">ꎬ </w:t>
      </w:r>
      <w:r>
        <w:t>在刑事诉讼中可以作为证据使用</w:t>
      </w:r>
      <w:r>
        <w:rPr>
          <w:rFonts w:hint="eastAsia" w:ascii="MS UI Gothic" w:eastAsia="MS UI Gothic"/>
          <w:w w:val="80"/>
        </w:rPr>
        <w:t>ꎮ</w:t>
      </w:r>
    </w:p>
    <w:p>
      <w:pPr>
        <w:pStyle w:val="6"/>
        <w:spacing w:line="254" w:lineRule="exact"/>
        <w:ind w:left="543" w:firstLine="0"/>
        <w:jc w:val="left"/>
      </w:pPr>
      <w:r>
        <w:rPr>
          <w:w w:val="105"/>
        </w:rPr>
        <w:t>公安机关单独或者会同环境保护主管</w:t>
      </w:r>
    </w:p>
    <w:p>
      <w:pPr>
        <w:spacing w:after="0" w:line="254" w:lineRule="exact"/>
        <w:jc w:val="left"/>
        <w:sectPr>
          <w:type w:val="continuous"/>
          <w:pgSz w:w="10500" w:h="14750"/>
          <w:pgMar w:top="1400" w:right="980" w:bottom="280" w:left="980" w:header="720" w:footer="720" w:gutter="0"/>
          <w:cols w:equalWidth="0" w:num="2">
            <w:col w:w="3936" w:space="256"/>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２３</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19" o:spid="_x0000_s1119" o:spt="203" style="height:2.15pt;width:398.25pt;" coordsize="7965,43">
            <o:lock v:ext="edit"/>
            <v:line id="_x0000_s1120" o:spid="_x0000_s1120" o:spt="20" style="position:absolute;left:0;top:39;height:0;width:7965;" stroked="t" coordsize="21600,21600">
              <v:path arrowok="t"/>
              <v:fill focussize="0,0"/>
              <v:stroke weight="0.388031496062992pt" color="#231F20"/>
              <v:imagedata o:title=""/>
              <o:lock v:ext="edit"/>
            </v:line>
            <v:line id="_x0000_s1121" o:spid="_x0000_s112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部门</w:t>
      </w:r>
      <w:r>
        <w:rPr>
          <w:rFonts w:hint="eastAsia" w:ascii="MS UI Gothic" w:eastAsia="MS UI Gothic"/>
          <w:w w:val="80"/>
        </w:rPr>
        <w:t xml:space="preserve">ꎬ </w:t>
      </w:r>
      <w:r>
        <w:t>提取污染物样品进行检测获取的数据</w:t>
      </w:r>
      <w:r>
        <w:rPr>
          <w:rFonts w:hint="eastAsia" w:ascii="MS UI Gothic" w:eastAsia="MS UI Gothic"/>
          <w:w w:val="80"/>
        </w:rPr>
        <w:t xml:space="preserve">ꎬ </w:t>
      </w:r>
      <w:r>
        <w:t>在刑事诉讼中可以作为证据使用</w:t>
      </w:r>
      <w:r>
        <w:rPr>
          <w:rFonts w:hint="eastAsia" w:ascii="MS UI Gothic" w:eastAsia="MS UI Gothic"/>
          <w:w w:val="80"/>
        </w:rPr>
        <w:t>ꎮ</w:t>
      </w:r>
    </w:p>
    <w:p>
      <w:pPr>
        <w:pStyle w:val="6"/>
        <w:spacing w:line="295" w:lineRule="auto"/>
        <w:ind w:left="440" w:right="1"/>
        <w:rPr>
          <w:rFonts w:hint="eastAsia" w:ascii="MS UI Gothic" w:eastAsia="MS UI Gothic"/>
        </w:rPr>
      </w:pPr>
      <w:r>
        <w:t>第十三条 对国家危险废物名录所列的废物</w:t>
      </w:r>
      <w:r>
        <w:rPr>
          <w:rFonts w:hint="eastAsia" w:ascii="MS UI Gothic" w:eastAsia="MS UI Gothic"/>
          <w:w w:val="80"/>
        </w:rPr>
        <w:t xml:space="preserve">ꎬ </w:t>
      </w:r>
      <w:r>
        <w:t>可以依据涉案物质的来源</w:t>
      </w:r>
      <w:r>
        <w:rPr>
          <w:rFonts w:hint="eastAsia" w:ascii="MS UI Gothic" w:eastAsia="MS UI Gothic"/>
          <w:w w:val="80"/>
        </w:rPr>
        <w:t xml:space="preserve">、 </w:t>
      </w:r>
      <w:r>
        <w:t>产生过程</w:t>
      </w:r>
      <w:r>
        <w:rPr>
          <w:rFonts w:hint="eastAsia" w:ascii="MS UI Gothic" w:eastAsia="MS UI Gothic"/>
          <w:w w:val="80"/>
        </w:rPr>
        <w:t xml:space="preserve">、 </w:t>
      </w:r>
      <w:r>
        <w:t>被告人供述</w:t>
      </w:r>
      <w:r>
        <w:rPr>
          <w:rFonts w:hint="eastAsia" w:ascii="MS UI Gothic" w:eastAsia="MS UI Gothic"/>
          <w:w w:val="80"/>
        </w:rPr>
        <w:t xml:space="preserve">、 </w:t>
      </w:r>
      <w:r>
        <w:t>证人证言以及经批准或者备案的环境影响评价文件等证据</w:t>
      </w:r>
      <w:r>
        <w:rPr>
          <w:rFonts w:hint="eastAsia" w:ascii="MS UI Gothic" w:eastAsia="MS UI Gothic"/>
          <w:w w:val="80"/>
        </w:rPr>
        <w:t xml:space="preserve">ꎬ </w:t>
      </w:r>
      <w:r>
        <w:t>结合环境保护主管部门</w:t>
      </w:r>
      <w:r>
        <w:rPr>
          <w:rFonts w:hint="eastAsia" w:ascii="MS UI Gothic" w:eastAsia="MS UI Gothic"/>
          <w:w w:val="80"/>
        </w:rPr>
        <w:t xml:space="preserve">、 </w:t>
      </w:r>
      <w:r>
        <w:t>公安机关等出具的书面意见作出认定</w:t>
      </w:r>
      <w:r>
        <w:rPr>
          <w:rFonts w:hint="eastAsia" w:ascii="MS UI Gothic" w:eastAsia="MS UI Gothic"/>
          <w:w w:val="80"/>
        </w:rPr>
        <w:t>ꎮ</w:t>
      </w:r>
    </w:p>
    <w:p>
      <w:pPr>
        <w:pStyle w:val="6"/>
        <w:spacing w:line="295" w:lineRule="auto"/>
        <w:ind w:left="440" w:right="1"/>
        <w:rPr>
          <w:rFonts w:hint="eastAsia" w:ascii="MS UI Gothic" w:eastAsia="MS UI Gothic"/>
        </w:rPr>
      </w:pPr>
      <w:r>
        <w:t>对于危险废物的数量</w:t>
      </w:r>
      <w:r>
        <w:rPr>
          <w:rFonts w:hint="eastAsia" w:ascii="MS UI Gothic" w:eastAsia="MS UI Gothic"/>
          <w:w w:val="80"/>
        </w:rPr>
        <w:t xml:space="preserve">ꎬ </w:t>
      </w:r>
      <w:r>
        <w:t>可以综合被告人供述</w:t>
      </w:r>
      <w:r>
        <w:rPr>
          <w:rFonts w:hint="eastAsia" w:ascii="MS UI Gothic" w:eastAsia="MS UI Gothic"/>
          <w:w w:val="80"/>
        </w:rPr>
        <w:t xml:space="preserve">ꎬ </w:t>
      </w:r>
      <w:r>
        <w:t>涉案企业的生产工艺</w:t>
      </w:r>
      <w:r>
        <w:rPr>
          <w:rFonts w:hint="eastAsia" w:ascii="MS UI Gothic" w:eastAsia="MS UI Gothic"/>
          <w:w w:val="80"/>
        </w:rPr>
        <w:t xml:space="preserve">、 </w:t>
      </w:r>
      <w:r>
        <w:t>物耗</w:t>
      </w:r>
      <w:r>
        <w:rPr>
          <w:rFonts w:hint="eastAsia" w:ascii="MS UI Gothic" w:eastAsia="MS UI Gothic"/>
          <w:w w:val="80"/>
        </w:rPr>
        <w:t xml:space="preserve">、 </w:t>
      </w:r>
      <w:r>
        <w:t>能耗情况</w:t>
      </w:r>
      <w:r>
        <w:rPr>
          <w:rFonts w:hint="eastAsia" w:ascii="MS UI Gothic" w:eastAsia="MS UI Gothic"/>
          <w:w w:val="80"/>
        </w:rPr>
        <w:t xml:space="preserve">ꎬ </w:t>
      </w:r>
      <w:r>
        <w:t>以及经批准或者备案的环境影响评价文件等证据作出认定</w:t>
      </w:r>
      <w:r>
        <w:rPr>
          <w:rFonts w:hint="eastAsia" w:ascii="MS UI Gothic" w:eastAsia="MS UI Gothic"/>
          <w:w w:val="80"/>
        </w:rPr>
        <w:t>ꎮ</w:t>
      </w:r>
    </w:p>
    <w:p>
      <w:pPr>
        <w:pStyle w:val="6"/>
        <w:spacing w:line="295" w:lineRule="auto"/>
        <w:ind w:left="440" w:right="1"/>
        <w:rPr>
          <w:rFonts w:hint="eastAsia" w:ascii="MS UI Gothic" w:eastAsia="MS UI Gothic"/>
        </w:rPr>
      </w:pPr>
      <w:r>
        <w:t>第十四条 对案件所涉的环境污染专门性问题难以确定的</w:t>
      </w:r>
      <w:r>
        <w:rPr>
          <w:rFonts w:hint="eastAsia" w:ascii="MS UI Gothic" w:eastAsia="MS UI Gothic"/>
          <w:w w:val="80"/>
        </w:rPr>
        <w:t xml:space="preserve">ꎬ </w:t>
      </w:r>
      <w:r>
        <w:t>依据司法鉴定机构出具的鉴定意见</w:t>
      </w:r>
      <w:r>
        <w:rPr>
          <w:rFonts w:hint="eastAsia" w:ascii="MS UI Gothic" w:eastAsia="MS UI Gothic"/>
          <w:w w:val="80"/>
        </w:rPr>
        <w:t xml:space="preserve">ꎬ </w:t>
      </w:r>
      <w:r>
        <w:t>或者国务院环境保护主管部门</w:t>
      </w:r>
      <w:r>
        <w:rPr>
          <w:rFonts w:hint="eastAsia" w:ascii="MS UI Gothic" w:eastAsia="MS UI Gothic"/>
          <w:w w:val="80"/>
        </w:rPr>
        <w:t xml:space="preserve">、 </w:t>
      </w:r>
      <w:r>
        <w:t>公安部门指定的机构出具的报告</w:t>
      </w:r>
      <w:r>
        <w:rPr>
          <w:rFonts w:hint="eastAsia" w:ascii="MS UI Gothic" w:eastAsia="MS UI Gothic"/>
          <w:w w:val="80"/>
        </w:rPr>
        <w:t xml:space="preserve">ꎬ </w:t>
      </w:r>
      <w:r>
        <w:t>结合其他证据作出认定</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rPr>
          <w:w w:val="105"/>
        </w:rPr>
        <w:t>第十五条 下列物质应当认定为刑法</w:t>
      </w:r>
      <w:r>
        <w:rPr>
          <w:w w:val="102"/>
        </w:rPr>
        <w:t>第三百三十八条规定的</w:t>
      </w:r>
      <w:r>
        <w:t xml:space="preserve"> </w:t>
      </w:r>
      <w:r>
        <w:rPr>
          <w:rFonts w:hint="eastAsia" w:ascii="MS UI Gothic" w:hAnsi="MS UI Gothic" w:eastAsia="MS UI Gothic"/>
          <w:w w:val="102"/>
        </w:rPr>
        <w:t>“</w:t>
      </w:r>
      <w:r>
        <w:rPr>
          <w:rFonts w:hint="eastAsia" w:ascii="MS UI Gothic" w:hAnsi="MS UI Gothic" w:eastAsia="MS UI Gothic"/>
        </w:rPr>
        <w:t xml:space="preserve"> </w:t>
      </w:r>
      <w:r>
        <w:rPr>
          <w:w w:val="102"/>
        </w:rPr>
        <w:t>有毒物质</w:t>
      </w:r>
      <w:r>
        <w:rPr>
          <w:rFonts w:hint="eastAsia" w:ascii="MS UI Gothic" w:hAnsi="MS UI Gothic" w:eastAsia="MS UI Gothic"/>
          <w:w w:val="102"/>
        </w:rPr>
        <w:t>”</w:t>
      </w:r>
      <w:r>
        <w:rPr>
          <w:rFonts w:hint="eastAsia" w:ascii="MS UI Gothic" w:hAnsi="MS UI Gothic" w:eastAsia="MS UI Gothic"/>
          <w:w w:val="253"/>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危险废物</w:t>
      </w:r>
      <w:r>
        <w:rPr>
          <w:rFonts w:hint="eastAsia" w:ascii="MS UI Gothic" w:eastAsia="MS UI Gothic"/>
          <w:w w:val="80"/>
        </w:rPr>
        <w:t xml:space="preserve">ꎬ </w:t>
      </w:r>
      <w:r>
        <w:rPr>
          <w:w w:val="105"/>
        </w:rPr>
        <w:t>是指列入国家危险</w:t>
      </w:r>
      <w:r>
        <w:t>废物名录</w:t>
      </w:r>
      <w:r>
        <w:rPr>
          <w:rFonts w:hint="eastAsia" w:ascii="MS UI Gothic" w:eastAsia="MS UI Gothic"/>
          <w:w w:val="80"/>
        </w:rPr>
        <w:t xml:space="preserve">ꎬ </w:t>
      </w:r>
      <w:r>
        <w:t>或者根据国家规定的危险废物鉴别标准和鉴别方法认定的</w:t>
      </w:r>
      <w:r>
        <w:rPr>
          <w:rFonts w:hint="eastAsia" w:ascii="MS UI Gothic" w:eastAsia="MS UI Gothic"/>
          <w:w w:val="80"/>
        </w:rPr>
        <w:t xml:space="preserve">ꎬ </w:t>
      </w:r>
      <w:r>
        <w:t>具有危险特</w:t>
      </w:r>
      <w:r>
        <w:rPr>
          <w:w w:val="105"/>
        </w:rPr>
        <w:t>性的废物</w:t>
      </w:r>
      <w:r>
        <w:rPr>
          <w:rFonts w:hint="eastAsia" w:ascii="MS UI Gothic" w:eastAsia="MS UI Gothic"/>
          <w:w w:val="80"/>
        </w:rPr>
        <w:t>ꎻ</w:t>
      </w:r>
    </w:p>
    <w:p>
      <w:pPr>
        <w:pStyle w:val="6"/>
        <w:spacing w:line="295" w:lineRule="auto"/>
        <w:ind w:left="440" w:right="1"/>
        <w:rPr>
          <w:rFonts w:hint="eastAsia" w:ascii="MS UI Gothic" w:hAnsi="MS UI Gothic" w:eastAsia="MS UI Gothic"/>
        </w:rPr>
      </w:pPr>
      <w:r>
        <w:rPr>
          <w:rFonts w:hint="eastAsia" w:ascii="MS UI Gothic" w:hAnsi="MS UI Gothic" w:eastAsia="MS UI Gothic"/>
          <w:w w:val="150"/>
        </w:rPr>
        <w:t xml:space="preserve">( </w:t>
      </w:r>
      <w:r>
        <w:rPr>
          <w:w w:val="105"/>
        </w:rPr>
        <w:t>二</w:t>
      </w:r>
      <w:r>
        <w:rPr>
          <w:rFonts w:hint="eastAsia" w:ascii="MS UI Gothic" w:hAnsi="MS UI Gothic" w:eastAsia="MS UI Gothic"/>
          <w:w w:val="150"/>
        </w:rPr>
        <w:t xml:space="preserve">) </w:t>
      </w:r>
      <w:r>
        <w:rPr>
          <w:rFonts w:hint="eastAsia" w:ascii="MS UI Gothic" w:hAnsi="MS UI Gothic" w:eastAsia="MS UI Gothic"/>
          <w:w w:val="80"/>
        </w:rPr>
        <w:t xml:space="preserve">« </w:t>
      </w:r>
      <w:r>
        <w:rPr>
          <w:w w:val="105"/>
        </w:rPr>
        <w:t>关于持久性有机污染物的斯德哥尔摩公约</w:t>
      </w:r>
      <w:r>
        <w:rPr>
          <w:rFonts w:hint="eastAsia" w:ascii="MS UI Gothic" w:hAnsi="MS UI Gothic" w:eastAsia="MS UI Gothic"/>
          <w:w w:val="80"/>
        </w:rPr>
        <w:t xml:space="preserve">» </w:t>
      </w:r>
      <w:r>
        <w:rPr>
          <w:w w:val="105"/>
        </w:rPr>
        <w:t>附件所列物质</w:t>
      </w:r>
      <w:r>
        <w:rPr>
          <w:rFonts w:hint="eastAsia" w:ascii="MS UI Gothic" w:hAns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含重金属的污染物</w:t>
      </w:r>
      <w:r>
        <w:rPr>
          <w:rFonts w:hint="eastAsia" w:ascii="MS UI Gothic" w:eastAsia="MS UI Gothic"/>
          <w:w w:val="80"/>
        </w:rPr>
        <w:t>ꎻ</w:t>
      </w:r>
    </w:p>
    <w:p>
      <w:pPr>
        <w:pStyle w:val="6"/>
        <w:spacing w:before="40"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其他具有毒性</w:t>
      </w:r>
      <w:r>
        <w:rPr>
          <w:rFonts w:hint="eastAsia" w:ascii="MS UI Gothic" w:eastAsia="MS UI Gothic"/>
          <w:w w:val="80"/>
        </w:rPr>
        <w:t xml:space="preserve">ꎬ </w:t>
      </w:r>
      <w:r>
        <w:rPr>
          <w:w w:val="105"/>
        </w:rPr>
        <w:t>可能污染环境的物质</w:t>
      </w:r>
      <w:r>
        <w:rPr>
          <w:rFonts w:hint="eastAsia" w:ascii="MS UI Gothic" w:eastAsia="MS UI Gothic"/>
          <w:w w:val="80"/>
        </w:rPr>
        <w:t>ꎮ</w:t>
      </w:r>
    </w:p>
    <w:p>
      <w:pPr>
        <w:pStyle w:val="6"/>
        <w:spacing w:line="295" w:lineRule="auto"/>
        <w:ind w:left="440"/>
      </w:pPr>
      <w:r>
        <w:t>第十六条 无危险废物经营许可证</w:t>
      </w:r>
      <w:r>
        <w:rPr>
          <w:rFonts w:hint="eastAsia" w:ascii="MS UI Gothic" w:hAnsi="MS UI Gothic" w:eastAsia="MS UI Gothic"/>
          <w:w w:val="80"/>
        </w:rPr>
        <w:t>ꎬ</w:t>
      </w:r>
      <w:r>
        <w:t>以营利为目的</w:t>
      </w:r>
      <w:r>
        <w:rPr>
          <w:rFonts w:hint="eastAsia" w:ascii="MS UI Gothic" w:hAnsi="MS UI Gothic" w:eastAsia="MS UI Gothic"/>
          <w:w w:val="80"/>
        </w:rPr>
        <w:t xml:space="preserve">ꎬ </w:t>
      </w:r>
      <w:r>
        <w:t>从危险废物中提取物质作为原材料或者燃料</w:t>
      </w:r>
      <w:r>
        <w:rPr>
          <w:rFonts w:hint="eastAsia" w:ascii="MS UI Gothic" w:hAnsi="MS UI Gothic" w:eastAsia="MS UI Gothic"/>
          <w:w w:val="80"/>
        </w:rPr>
        <w:t xml:space="preserve">ꎬ </w:t>
      </w:r>
      <w:r>
        <w:t>并具有超标排放污染物</w:t>
      </w:r>
      <w:r>
        <w:rPr>
          <w:rFonts w:hint="eastAsia" w:ascii="MS UI Gothic" w:hAnsi="MS UI Gothic" w:eastAsia="MS UI Gothic"/>
          <w:w w:val="80"/>
        </w:rPr>
        <w:t xml:space="preserve">、 </w:t>
      </w:r>
      <w:r>
        <w:t>非法倾倒污染物或者其他违法造成环境污染的情形的行为</w:t>
      </w:r>
      <w:r>
        <w:rPr>
          <w:rFonts w:hint="eastAsia" w:ascii="MS UI Gothic" w:hAnsi="MS UI Gothic" w:eastAsia="MS UI Gothic"/>
          <w:w w:val="80"/>
        </w:rPr>
        <w:t xml:space="preserve">ꎬ </w:t>
      </w:r>
      <w:r>
        <w:t xml:space="preserve">应当认定为 </w:t>
      </w:r>
      <w:r>
        <w:rPr>
          <w:rFonts w:hint="eastAsia" w:ascii="MS UI Gothic" w:hAnsi="MS UI Gothic" w:eastAsia="MS UI Gothic"/>
        </w:rPr>
        <w:t xml:space="preserve">“ </w:t>
      </w:r>
      <w:r>
        <w:t>非</w:t>
      </w:r>
    </w:p>
    <w:p>
      <w:pPr>
        <w:pStyle w:val="6"/>
        <w:spacing w:before="124"/>
        <w:ind w:left="381" w:firstLine="0"/>
        <w:jc w:val="left"/>
        <w:rPr>
          <w:rFonts w:hint="eastAsia" w:ascii="MS UI Gothic" w:hAnsi="MS UI Gothic" w:eastAsia="MS UI Gothic"/>
        </w:rPr>
      </w:pPr>
      <w:r>
        <w:br w:type="column"/>
      </w:r>
      <w:r>
        <w:t>法处置危险废物</w:t>
      </w:r>
      <w:r>
        <w:rPr>
          <w:rFonts w:hint="eastAsia" w:ascii="MS UI Gothic" w:hAnsi="MS UI Gothic" w:eastAsia="MS UI Gothic"/>
        </w:rPr>
        <w:t xml:space="preserve">” </w:t>
      </w:r>
      <w:r>
        <w:rPr>
          <w:rFonts w:hint="eastAsia" w:ascii="MS UI Gothic" w:hAnsi="MS UI Gothic" w:eastAsia="MS UI Gothic"/>
          <w:w w:val="80"/>
        </w:rPr>
        <w:t>ꎮ</w:t>
      </w:r>
    </w:p>
    <w:p>
      <w:pPr>
        <w:pStyle w:val="6"/>
        <w:spacing w:before="58" w:line="295" w:lineRule="auto"/>
        <w:ind w:left="381" w:right="124"/>
        <w:rPr>
          <w:rFonts w:hint="eastAsia" w:ascii="MS UI Gothic" w:hAnsi="MS UI Gothic" w:eastAsia="MS UI Gothic"/>
        </w:rPr>
      </w:pPr>
      <w:r>
        <w:rPr>
          <w:spacing w:val="12"/>
          <w:w w:val="105"/>
        </w:rPr>
        <w:t xml:space="preserve">第十七条 本解释所称 </w:t>
      </w:r>
      <w:r>
        <w:rPr>
          <w:rFonts w:hint="eastAsia" w:ascii="MS UI Gothic" w:hAnsi="MS UI Gothic" w:eastAsia="MS UI Gothic"/>
          <w:spacing w:val="-21"/>
          <w:w w:val="105"/>
        </w:rPr>
        <w:t xml:space="preserve">“ </w:t>
      </w:r>
      <w:r>
        <w:rPr>
          <w:spacing w:val="17"/>
          <w:w w:val="105"/>
        </w:rPr>
        <w:t>二年内</w:t>
      </w:r>
      <w:r>
        <w:rPr>
          <w:rFonts w:hint="eastAsia" w:ascii="MS UI Gothic" w:hAnsi="MS UI Gothic" w:eastAsia="MS UI Gothic"/>
          <w:spacing w:val="-24"/>
          <w:w w:val="105"/>
        </w:rPr>
        <w:t xml:space="preserve">” </w:t>
      </w:r>
      <w:r>
        <w:rPr>
          <w:rFonts w:hint="eastAsia" w:ascii="MS UI Gothic" w:hAnsi="MS UI Gothic" w:eastAsia="MS UI Gothic"/>
          <w:spacing w:val="-11"/>
          <w:w w:val="80"/>
        </w:rPr>
        <w:t>ꎬ</w:t>
      </w:r>
      <w:r>
        <w:rPr>
          <w:spacing w:val="2"/>
        </w:rPr>
        <w:t>以第一次违法行为受到行政处罚的生效之日与又实施相应行为之日的时间间隔计算</w:t>
      </w:r>
      <w:r>
        <w:rPr>
          <w:spacing w:val="3"/>
          <w:w w:val="105"/>
        </w:rPr>
        <w:t>确定</w:t>
      </w:r>
      <w:r>
        <w:rPr>
          <w:rFonts w:hint="eastAsia" w:ascii="MS UI Gothic" w:hAnsi="MS UI Gothic" w:eastAsia="MS UI Gothic"/>
          <w:w w:val="80"/>
        </w:rPr>
        <w:t>ꎮ</w:t>
      </w:r>
    </w:p>
    <w:p>
      <w:pPr>
        <w:pStyle w:val="6"/>
        <w:spacing w:line="295" w:lineRule="auto"/>
        <w:ind w:left="381" w:right="126"/>
        <w:rPr>
          <w:rFonts w:hint="eastAsia" w:ascii="MS UI Gothic" w:hAnsi="MS UI Gothic" w:eastAsia="MS UI Gothic"/>
        </w:rPr>
      </w:pPr>
      <w:r>
        <w:rPr>
          <w:spacing w:val="-5"/>
          <w:w w:val="105"/>
        </w:rPr>
        <w:t xml:space="preserve">本解释所称 </w:t>
      </w:r>
      <w:r>
        <w:rPr>
          <w:rFonts w:hint="eastAsia" w:ascii="MS UI Gothic" w:hAnsi="MS UI Gothic" w:eastAsia="MS UI Gothic"/>
          <w:spacing w:val="-25"/>
          <w:w w:val="105"/>
        </w:rPr>
        <w:t xml:space="preserve">“ </w:t>
      </w:r>
      <w:r>
        <w:rPr>
          <w:spacing w:val="9"/>
          <w:w w:val="105"/>
        </w:rPr>
        <w:t>重点排污单位</w:t>
      </w:r>
      <w:r>
        <w:rPr>
          <w:rFonts w:hint="eastAsia" w:ascii="MS UI Gothic" w:hAnsi="MS UI Gothic" w:eastAsia="MS UI Gothic"/>
          <w:spacing w:val="-26"/>
          <w:w w:val="105"/>
        </w:rPr>
        <w:t xml:space="preserve">” </w:t>
      </w:r>
      <w:r>
        <w:rPr>
          <w:rFonts w:hint="eastAsia" w:ascii="MS UI Gothic" w:hAnsi="MS UI Gothic" w:eastAsia="MS UI Gothic"/>
          <w:spacing w:val="9"/>
          <w:w w:val="80"/>
        </w:rPr>
        <w:t xml:space="preserve">ꎬ </w:t>
      </w:r>
      <w:r>
        <w:rPr>
          <w:spacing w:val="5"/>
          <w:w w:val="105"/>
        </w:rPr>
        <w:t>是指</w:t>
      </w:r>
      <w:r>
        <w:rPr>
          <w:spacing w:val="2"/>
        </w:rPr>
        <w:t>设区的市级以上人民政府环境保护主管部</w:t>
      </w:r>
      <w:r>
        <w:rPr>
          <w:spacing w:val="3"/>
          <w:w w:val="105"/>
        </w:rPr>
        <w:t>门依法确定的应当安装</w:t>
      </w:r>
      <w:r>
        <w:rPr>
          <w:rFonts w:hint="eastAsia" w:ascii="MS UI Gothic" w:hAnsi="MS UI Gothic" w:eastAsia="MS UI Gothic"/>
          <w:spacing w:val="-2"/>
          <w:w w:val="80"/>
        </w:rPr>
        <w:t xml:space="preserve">、 </w:t>
      </w:r>
      <w:r>
        <w:rPr>
          <w:spacing w:val="2"/>
          <w:w w:val="105"/>
        </w:rPr>
        <w:t>使用污染物排放</w:t>
      </w:r>
      <w:r>
        <w:rPr>
          <w:spacing w:val="24"/>
        </w:rPr>
        <w:t>自动监测设备的重点监控企业及其他</w:t>
      </w:r>
      <w:r>
        <w:rPr>
          <w:spacing w:val="3"/>
          <w:w w:val="105"/>
        </w:rPr>
        <w:t>单位</w:t>
      </w:r>
      <w:r>
        <w:rPr>
          <w:rFonts w:hint="eastAsia" w:ascii="MS UI Gothic" w:hAnsi="MS UI Gothic" w:eastAsia="MS UI Gothic"/>
          <w:w w:val="80"/>
        </w:rPr>
        <w:t>ꎮ</w:t>
      </w:r>
    </w:p>
    <w:p>
      <w:pPr>
        <w:pStyle w:val="6"/>
        <w:spacing w:line="295" w:lineRule="auto"/>
        <w:ind w:left="381" w:right="126"/>
        <w:rPr>
          <w:rFonts w:hint="eastAsia" w:ascii="MS UI Gothic" w:hAnsi="MS UI Gothic" w:eastAsia="MS UI Gothic"/>
        </w:rPr>
      </w:pPr>
      <w:r>
        <w:rPr>
          <w:spacing w:val="-5"/>
          <w:w w:val="105"/>
        </w:rPr>
        <w:t xml:space="preserve">本解释所称 </w:t>
      </w:r>
      <w:r>
        <w:rPr>
          <w:rFonts w:hint="eastAsia" w:ascii="MS UI Gothic" w:hAnsi="MS UI Gothic" w:eastAsia="MS UI Gothic"/>
          <w:spacing w:val="-25"/>
          <w:w w:val="105"/>
        </w:rPr>
        <w:t xml:space="preserve">“ </w:t>
      </w:r>
      <w:r>
        <w:rPr>
          <w:spacing w:val="9"/>
          <w:w w:val="105"/>
        </w:rPr>
        <w:t>违法所得</w:t>
      </w:r>
      <w:r>
        <w:rPr>
          <w:rFonts w:hint="eastAsia" w:ascii="MS UI Gothic" w:hAnsi="MS UI Gothic" w:eastAsia="MS UI Gothic"/>
          <w:spacing w:val="-26"/>
          <w:w w:val="105"/>
        </w:rPr>
        <w:t xml:space="preserve">” </w:t>
      </w:r>
      <w:r>
        <w:rPr>
          <w:rFonts w:hint="eastAsia" w:ascii="MS UI Gothic" w:hAnsi="MS UI Gothic" w:eastAsia="MS UI Gothic"/>
          <w:spacing w:val="9"/>
          <w:w w:val="80"/>
        </w:rPr>
        <w:t xml:space="preserve">ꎬ </w:t>
      </w:r>
      <w:r>
        <w:rPr>
          <w:spacing w:val="8"/>
          <w:w w:val="105"/>
        </w:rPr>
        <w:t>是指实施</w:t>
      </w:r>
      <w:r>
        <w:rPr>
          <w:spacing w:val="3"/>
          <w:w w:val="105"/>
        </w:rPr>
        <w:t>刑法第三百三十八条</w:t>
      </w:r>
      <w:r>
        <w:rPr>
          <w:rFonts w:hint="eastAsia" w:ascii="MS UI Gothic" w:hAnsi="MS UI Gothic" w:eastAsia="MS UI Gothic"/>
          <w:spacing w:val="-2"/>
          <w:w w:val="80"/>
        </w:rPr>
        <w:t xml:space="preserve">、 </w:t>
      </w:r>
      <w:r>
        <w:rPr>
          <w:spacing w:val="2"/>
          <w:w w:val="105"/>
        </w:rPr>
        <w:t>第三百三十九条规</w:t>
      </w:r>
      <w:r>
        <w:rPr>
          <w:spacing w:val="3"/>
          <w:w w:val="105"/>
        </w:rPr>
        <w:t>定的行为所得和可得的全部违法收入</w:t>
      </w:r>
      <w:r>
        <w:rPr>
          <w:rFonts w:hint="eastAsia" w:ascii="MS UI Gothic" w:hAnsi="MS UI Gothic" w:eastAsia="MS UI Gothic"/>
          <w:w w:val="80"/>
        </w:rPr>
        <w:t>ꎮ</w:t>
      </w:r>
    </w:p>
    <w:p>
      <w:pPr>
        <w:pStyle w:val="6"/>
        <w:spacing w:line="295" w:lineRule="auto"/>
        <w:ind w:left="381" w:right="126"/>
        <w:rPr>
          <w:rFonts w:hint="eastAsia" w:ascii="MS UI Gothic" w:hAnsi="MS UI Gothic" w:eastAsia="MS UI Gothic"/>
        </w:rPr>
      </w:pPr>
      <w:r>
        <w:t xml:space="preserve">本解释所称 </w:t>
      </w:r>
      <w:r>
        <w:rPr>
          <w:rFonts w:hint="eastAsia" w:ascii="MS UI Gothic" w:hAnsi="MS UI Gothic" w:eastAsia="MS UI Gothic"/>
        </w:rPr>
        <w:t xml:space="preserve">“ </w:t>
      </w:r>
      <w:r>
        <w:t>公私财产损失</w:t>
      </w:r>
      <w:r>
        <w:rPr>
          <w:rFonts w:hint="eastAsia" w:ascii="MS UI Gothic" w:hAnsi="MS UI Gothic" w:eastAsia="MS UI Gothic"/>
        </w:rPr>
        <w:t xml:space="preserve">” </w:t>
      </w:r>
      <w:r>
        <w:rPr>
          <w:rFonts w:hint="eastAsia" w:ascii="MS UI Gothic" w:hAnsi="MS UI Gothic" w:eastAsia="MS UI Gothic"/>
          <w:w w:val="80"/>
        </w:rPr>
        <w:t xml:space="preserve">ꎬ </w:t>
      </w:r>
      <w:r>
        <w:t>包括实施刑法第三百三十八条</w:t>
      </w:r>
      <w:r>
        <w:rPr>
          <w:rFonts w:hint="eastAsia" w:ascii="MS UI Gothic" w:hAnsi="MS UI Gothic" w:eastAsia="MS UI Gothic"/>
          <w:w w:val="80"/>
        </w:rPr>
        <w:t xml:space="preserve">、 </w:t>
      </w:r>
      <w:r>
        <w:t>第三百三十九条规定的行为直接造成财产损毁</w:t>
      </w:r>
      <w:r>
        <w:rPr>
          <w:rFonts w:hint="eastAsia" w:ascii="MS UI Gothic" w:hAnsi="MS UI Gothic" w:eastAsia="MS UI Gothic"/>
          <w:w w:val="80"/>
        </w:rPr>
        <w:t xml:space="preserve">、 </w:t>
      </w:r>
      <w:r>
        <w:t>减少的实际价值</w:t>
      </w:r>
      <w:r>
        <w:rPr>
          <w:rFonts w:hint="eastAsia" w:ascii="MS UI Gothic" w:hAnsi="MS UI Gothic" w:eastAsia="MS UI Gothic"/>
          <w:w w:val="80"/>
        </w:rPr>
        <w:t xml:space="preserve">ꎬ </w:t>
      </w:r>
      <w:r>
        <w:t>为防止污染扩大</w:t>
      </w:r>
      <w:r>
        <w:rPr>
          <w:rFonts w:hint="eastAsia" w:ascii="MS UI Gothic" w:hAnsi="MS UI Gothic" w:eastAsia="MS UI Gothic"/>
          <w:w w:val="80"/>
        </w:rPr>
        <w:t xml:space="preserve">、 </w:t>
      </w:r>
      <w:r>
        <w:t>消除污染而采取必要合理措施所产生的费用</w:t>
      </w:r>
      <w:r>
        <w:rPr>
          <w:rFonts w:hint="eastAsia" w:ascii="MS UI Gothic" w:hAnsi="MS UI Gothic" w:eastAsia="MS UI Gothic"/>
          <w:w w:val="80"/>
        </w:rPr>
        <w:t xml:space="preserve">ꎬ </w:t>
      </w:r>
      <w:r>
        <w:t>以及处置突发环境事件的应急监测费用</w:t>
      </w:r>
      <w:r>
        <w:rPr>
          <w:rFonts w:hint="eastAsia" w:ascii="MS UI Gothic" w:hAnsi="MS UI Gothic" w:eastAsia="MS UI Gothic"/>
          <w:w w:val="80"/>
        </w:rPr>
        <w:t>ꎮ</w:t>
      </w:r>
    </w:p>
    <w:p>
      <w:pPr>
        <w:pStyle w:val="6"/>
        <w:spacing w:line="295" w:lineRule="auto"/>
        <w:ind w:left="381" w:right="126"/>
        <w:rPr>
          <w:rFonts w:hint="eastAsia" w:ascii="MS UI Gothic" w:hAnsi="MS UI Gothic" w:eastAsia="MS UI Gothic"/>
        </w:rPr>
      </w:pPr>
      <w:r>
        <w:t xml:space="preserve">本解释所称 </w:t>
      </w:r>
      <w:r>
        <w:rPr>
          <w:rFonts w:hint="eastAsia" w:ascii="MS UI Gothic" w:hAnsi="MS UI Gothic" w:eastAsia="MS UI Gothic"/>
        </w:rPr>
        <w:t xml:space="preserve">“ </w:t>
      </w:r>
      <w:r>
        <w:t>生态环境损害</w:t>
      </w:r>
      <w:r>
        <w:rPr>
          <w:rFonts w:hint="eastAsia" w:ascii="MS UI Gothic" w:hAnsi="MS UI Gothic" w:eastAsia="MS UI Gothic"/>
        </w:rPr>
        <w:t xml:space="preserve">” </w:t>
      </w:r>
      <w:r>
        <w:rPr>
          <w:rFonts w:hint="eastAsia" w:ascii="MS UI Gothic" w:hAnsi="MS UI Gothic" w:eastAsia="MS UI Gothic"/>
          <w:w w:val="80"/>
        </w:rPr>
        <w:t xml:space="preserve">ꎬ </w:t>
      </w:r>
      <w:r>
        <w:t>包括生态环境修复费用</w:t>
      </w:r>
      <w:r>
        <w:rPr>
          <w:rFonts w:hint="eastAsia" w:ascii="MS UI Gothic" w:hAnsi="MS UI Gothic" w:eastAsia="MS UI Gothic"/>
          <w:w w:val="80"/>
        </w:rPr>
        <w:t xml:space="preserve">ꎬ </w:t>
      </w:r>
      <w:r>
        <w:t>生态环境修复期间服务功能的损失和生态环境功能永久性损害造成的损失</w:t>
      </w:r>
      <w:r>
        <w:rPr>
          <w:rFonts w:hint="eastAsia" w:ascii="MS UI Gothic" w:hAnsi="MS UI Gothic" w:eastAsia="MS UI Gothic"/>
          <w:w w:val="80"/>
        </w:rPr>
        <w:t xml:space="preserve">ꎬ </w:t>
      </w:r>
      <w:r>
        <w:t>以及其他必要合理费用</w:t>
      </w:r>
      <w:r>
        <w:rPr>
          <w:rFonts w:hint="eastAsia" w:ascii="MS UI Gothic" w:hAnsi="MS UI Gothic" w:eastAsia="MS UI Gothic"/>
          <w:w w:val="80"/>
        </w:rPr>
        <w:t>ꎮ</w:t>
      </w:r>
    </w:p>
    <w:p>
      <w:pPr>
        <w:pStyle w:val="6"/>
        <w:tabs>
          <w:tab w:val="left" w:pos="1469"/>
        </w:tabs>
        <w:spacing w:line="295" w:lineRule="auto"/>
        <w:ind w:left="381" w:right="118"/>
        <w:jc w:val="right"/>
        <w:rPr>
          <w:rFonts w:hint="eastAsia" w:ascii="MS UI Gothic" w:hAnsi="MS UI Gothic" w:eastAsia="MS UI Gothic"/>
        </w:rPr>
      </w:pPr>
      <w:r>
        <w:rPr>
          <w:w w:val="95"/>
        </w:rPr>
        <w:t>本</w:t>
      </w:r>
      <w:r>
        <w:rPr>
          <w:spacing w:val="13"/>
          <w:w w:val="95"/>
        </w:rPr>
        <w:t>解</w:t>
      </w:r>
      <w:r>
        <w:rPr>
          <w:spacing w:val="21"/>
          <w:w w:val="95"/>
        </w:rPr>
        <w:t>释所</w:t>
      </w:r>
      <w:r>
        <w:rPr>
          <w:w w:val="95"/>
        </w:rPr>
        <w:t xml:space="preserve">称 </w:t>
      </w:r>
      <w:r>
        <w:rPr>
          <w:spacing w:val="12"/>
          <w:w w:val="95"/>
        </w:rPr>
        <w:t xml:space="preserve"> </w:t>
      </w:r>
      <w:r>
        <w:rPr>
          <w:rFonts w:hint="eastAsia" w:ascii="MS UI Gothic" w:hAnsi="MS UI Gothic" w:eastAsia="MS UI Gothic"/>
          <w:w w:val="95"/>
        </w:rPr>
        <w:t>“</w:t>
      </w:r>
      <w:r>
        <w:rPr>
          <w:rFonts w:hint="eastAsia" w:ascii="MS UI Gothic" w:hAnsi="MS UI Gothic" w:eastAsia="MS UI Gothic"/>
          <w:spacing w:val="12"/>
          <w:w w:val="95"/>
        </w:rPr>
        <w:t xml:space="preserve"> </w:t>
      </w:r>
      <w:r>
        <w:rPr>
          <w:spacing w:val="21"/>
          <w:w w:val="95"/>
        </w:rPr>
        <w:t>无危险废物</w:t>
      </w:r>
      <w:r>
        <w:rPr>
          <w:spacing w:val="23"/>
          <w:w w:val="95"/>
        </w:rPr>
        <w:t>经营许</w:t>
      </w:r>
      <w:r>
        <w:rPr>
          <w:spacing w:val="-11"/>
          <w:w w:val="95"/>
        </w:rPr>
        <w:t>可</w:t>
      </w:r>
      <w:r>
        <w:rPr>
          <w:w w:val="95"/>
        </w:rPr>
        <w:t>证</w:t>
      </w:r>
      <w:r>
        <w:rPr>
          <w:rFonts w:hint="eastAsia" w:ascii="MS UI Gothic" w:hAnsi="MS UI Gothic" w:eastAsia="MS UI Gothic"/>
          <w:spacing w:val="15"/>
          <w:w w:val="95"/>
        </w:rPr>
        <w:t>”</w:t>
      </w:r>
      <w:r>
        <w:rPr>
          <w:rFonts w:hint="eastAsia" w:ascii="MS UI Gothic" w:hAnsi="MS UI Gothic" w:eastAsia="MS UI Gothic"/>
          <w:w w:val="90"/>
        </w:rPr>
        <w:t>ꎬ</w:t>
      </w:r>
      <w:r>
        <w:rPr>
          <w:rFonts w:hint="eastAsia" w:ascii="MS UI Gothic" w:hAnsi="MS UI Gothic" w:eastAsia="MS UI Gothic"/>
          <w:spacing w:val="33"/>
          <w:w w:val="90"/>
        </w:rPr>
        <w:t xml:space="preserve"> </w:t>
      </w:r>
      <w:r>
        <w:rPr>
          <w:spacing w:val="19"/>
          <w:w w:val="95"/>
        </w:rPr>
        <w:t>是指未取得危险废物经营</w:t>
      </w:r>
      <w:r>
        <w:rPr>
          <w:spacing w:val="21"/>
          <w:w w:val="95"/>
        </w:rPr>
        <w:t>许可</w:t>
      </w:r>
      <w:r>
        <w:rPr>
          <w:w w:val="95"/>
        </w:rPr>
        <w:t>证</w:t>
      </w:r>
      <w:r>
        <w:rPr>
          <w:rFonts w:hint="eastAsia" w:ascii="MS UI Gothic" w:hAnsi="MS UI Gothic" w:eastAsia="MS UI Gothic"/>
          <w:w w:val="90"/>
        </w:rPr>
        <w:t>ꎬ</w:t>
      </w:r>
      <w:r>
        <w:rPr>
          <w:spacing w:val="-2"/>
          <w:w w:val="95"/>
        </w:rPr>
        <w:t>或者超出危险废物经营许可证的经营范围</w:t>
      </w:r>
      <w:r>
        <w:rPr>
          <w:rFonts w:hint="eastAsia" w:ascii="MS UI Gothic" w:hAnsi="MS UI Gothic" w:eastAsia="MS UI Gothic"/>
          <w:spacing w:val="-11"/>
          <w:w w:val="90"/>
        </w:rPr>
        <w:t xml:space="preserve">ꎮ </w:t>
      </w:r>
      <w:r>
        <w:rPr>
          <w:spacing w:val="3"/>
          <w:w w:val="95"/>
        </w:rPr>
        <w:t>第十</w:t>
      </w:r>
      <w:r>
        <w:rPr>
          <w:spacing w:val="11"/>
          <w:w w:val="95"/>
        </w:rPr>
        <w:t>八</w:t>
      </w:r>
      <w:r>
        <w:rPr>
          <w:w w:val="95"/>
        </w:rPr>
        <w:t>条</w:t>
      </w:r>
      <w:r>
        <w:rPr>
          <w:w w:val="95"/>
        </w:rPr>
        <w:tab/>
      </w:r>
      <w:r>
        <w:rPr>
          <w:spacing w:val="17"/>
          <w:w w:val="95"/>
        </w:rPr>
        <w:t>本解释</w:t>
      </w:r>
      <w:r>
        <w:rPr>
          <w:w w:val="95"/>
        </w:rPr>
        <w:t>自</w:t>
      </w:r>
      <w:r>
        <w:rPr>
          <w:spacing w:val="-41"/>
          <w:w w:val="95"/>
        </w:rPr>
        <w:t xml:space="preserve"> </w:t>
      </w:r>
      <w:r>
        <w:rPr>
          <w:rFonts w:hint="eastAsia" w:ascii="MS UI Gothic" w:hAnsi="MS UI Gothic" w:eastAsia="MS UI Gothic"/>
          <w:w w:val="95"/>
        </w:rPr>
        <w:t>２０１７</w:t>
      </w:r>
      <w:r>
        <w:rPr>
          <w:rFonts w:hint="eastAsia" w:ascii="MS UI Gothic" w:hAnsi="MS UI Gothic" w:eastAsia="MS UI Gothic"/>
          <w:spacing w:val="2"/>
          <w:w w:val="95"/>
        </w:rPr>
        <w:t xml:space="preserve"> </w:t>
      </w:r>
      <w:r>
        <w:rPr>
          <w:w w:val="95"/>
        </w:rPr>
        <w:t>年</w:t>
      </w:r>
      <w:r>
        <w:rPr>
          <w:spacing w:val="-41"/>
          <w:w w:val="95"/>
        </w:rPr>
        <w:t xml:space="preserve"> </w:t>
      </w:r>
      <w:r>
        <w:rPr>
          <w:rFonts w:hint="eastAsia" w:ascii="MS UI Gothic" w:hAnsi="MS UI Gothic" w:eastAsia="MS UI Gothic"/>
          <w:w w:val="95"/>
        </w:rPr>
        <w:t>１</w:t>
      </w:r>
      <w:r>
        <w:rPr>
          <w:rFonts w:hint="eastAsia" w:ascii="MS UI Gothic" w:hAnsi="MS UI Gothic" w:eastAsia="MS UI Gothic"/>
          <w:spacing w:val="3"/>
          <w:w w:val="95"/>
        </w:rPr>
        <w:t xml:space="preserve"> </w:t>
      </w:r>
      <w:r>
        <w:rPr>
          <w:w w:val="95"/>
        </w:rPr>
        <w:t>月</w:t>
      </w:r>
      <w:r>
        <w:rPr>
          <w:spacing w:val="-41"/>
          <w:w w:val="95"/>
        </w:rPr>
        <w:t xml:space="preserve"> </w:t>
      </w:r>
      <w:r>
        <w:rPr>
          <w:rFonts w:hint="eastAsia" w:ascii="MS UI Gothic" w:hAnsi="MS UI Gothic" w:eastAsia="MS UI Gothic"/>
          <w:w w:val="95"/>
        </w:rPr>
        <w:t>１</w:t>
      </w:r>
    </w:p>
    <w:p>
      <w:pPr>
        <w:pStyle w:val="6"/>
        <w:spacing w:line="295" w:lineRule="auto"/>
        <w:ind w:left="381" w:right="126" w:firstLine="0"/>
      </w:pPr>
      <w:r>
        <w:rPr>
          <w:spacing w:val="1"/>
          <w:w w:val="105"/>
        </w:rPr>
        <w:t>日起施行</w:t>
      </w:r>
      <w:r>
        <w:rPr>
          <w:rFonts w:hint="eastAsia" w:ascii="MS UI Gothic" w:hAnsi="MS UI Gothic" w:eastAsia="MS UI Gothic"/>
          <w:spacing w:val="-3"/>
          <w:w w:val="80"/>
        </w:rPr>
        <w:t xml:space="preserve">ꎮ </w:t>
      </w:r>
      <w:r>
        <w:rPr>
          <w:spacing w:val="5"/>
          <w:w w:val="105"/>
        </w:rPr>
        <w:t>本解释施行后</w:t>
      </w:r>
      <w:r>
        <w:rPr>
          <w:rFonts w:hint="eastAsia" w:ascii="MS UI Gothic" w:hAnsi="MS UI Gothic" w:eastAsia="MS UI Gothic"/>
          <w:spacing w:val="-8"/>
          <w:w w:val="80"/>
        </w:rPr>
        <w:t xml:space="preserve">ꎬ « </w:t>
      </w:r>
      <w:r>
        <w:rPr>
          <w:spacing w:val="7"/>
          <w:w w:val="105"/>
        </w:rPr>
        <w:t>最高人民法</w:t>
      </w:r>
      <w:r>
        <w:rPr>
          <w:spacing w:val="3"/>
          <w:w w:val="105"/>
        </w:rPr>
        <w:t>院</w:t>
      </w:r>
      <w:r>
        <w:rPr>
          <w:rFonts w:hint="eastAsia" w:ascii="MS UI Gothic" w:hAnsi="MS UI Gothic" w:eastAsia="MS UI Gothic"/>
          <w:spacing w:val="-2"/>
          <w:w w:val="80"/>
        </w:rPr>
        <w:t xml:space="preserve">、 </w:t>
      </w:r>
      <w:r>
        <w:rPr>
          <w:spacing w:val="2"/>
          <w:w w:val="105"/>
        </w:rPr>
        <w:t>最高人民检察院关于办理环境污染刑</w:t>
      </w:r>
      <w:r>
        <w:rPr>
          <w:spacing w:val="3"/>
          <w:w w:val="105"/>
        </w:rPr>
        <w:t>事案件适用法律若干问题的解释</w:t>
      </w:r>
      <w:r>
        <w:rPr>
          <w:rFonts w:hint="eastAsia" w:ascii="MS UI Gothic" w:hAnsi="MS UI Gothic" w:eastAsia="MS UI Gothic"/>
          <w:spacing w:val="1"/>
          <w:w w:val="80"/>
        </w:rPr>
        <w:t xml:space="preserve">»  </w:t>
      </w:r>
      <w:r>
        <w:rPr>
          <w:rFonts w:hint="eastAsia" w:ascii="MS UI Gothic" w:hAnsi="MS UI Gothic" w:eastAsia="MS UI Gothic"/>
          <w:spacing w:val="-39"/>
          <w:w w:val="150"/>
        </w:rPr>
        <w:t xml:space="preserve">( </w:t>
      </w:r>
      <w:r>
        <w:rPr>
          <w:spacing w:val="3"/>
          <w:w w:val="105"/>
        </w:rPr>
        <w:t>法释</w:t>
      </w:r>
    </w:p>
    <w:p>
      <w:pPr>
        <w:pStyle w:val="6"/>
        <w:spacing w:line="295" w:lineRule="auto"/>
        <w:ind w:left="381" w:right="126" w:firstLine="0"/>
        <w:rPr>
          <w:rFonts w:hint="eastAsia" w:ascii="MS UI Gothic" w:eastAsia="MS UI Gothic"/>
        </w:rPr>
      </w:pPr>
      <w:r>
        <w:rPr>
          <w:rFonts w:hint="eastAsia" w:ascii="MS UI Gothic" w:eastAsia="MS UI Gothic"/>
          <w:w w:val="95"/>
        </w:rPr>
        <w:t xml:space="preserve">〔２０１３〕 １５ </w:t>
      </w:r>
      <w:r>
        <w:rPr>
          <w:w w:val="95"/>
        </w:rPr>
        <w:t>号</w:t>
      </w:r>
      <w:r>
        <w:rPr>
          <w:rFonts w:hint="eastAsia" w:ascii="MS UI Gothic" w:eastAsia="MS UI Gothic"/>
          <w:w w:val="140"/>
        </w:rPr>
        <w:t xml:space="preserve">) </w:t>
      </w:r>
      <w:r>
        <w:rPr>
          <w:w w:val="95"/>
        </w:rPr>
        <w:t>同时废止</w:t>
      </w:r>
      <w:r>
        <w:rPr>
          <w:rFonts w:hint="eastAsia" w:ascii="MS UI Gothic" w:eastAsia="MS UI Gothic"/>
          <w:w w:val="85"/>
        </w:rPr>
        <w:t xml:space="preserve">ꎻ </w:t>
      </w:r>
      <w:r>
        <w:rPr>
          <w:w w:val="95"/>
        </w:rPr>
        <w:t>之前发布的司法解释与本解释不一致的</w:t>
      </w:r>
      <w:r>
        <w:rPr>
          <w:rFonts w:hint="eastAsia" w:ascii="MS UI Gothic" w:eastAsia="MS UI Gothic"/>
          <w:w w:val="85"/>
        </w:rPr>
        <w:t xml:space="preserve">ꎬ   </w:t>
      </w:r>
      <w:r>
        <w:rPr>
          <w:w w:val="95"/>
        </w:rPr>
        <w:t>以本解释为准</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5"/>
        <w:ind w:left="0" w:firstLine="0"/>
        <w:jc w:val="left"/>
        <w:rPr>
          <w:rFonts w:ascii="MS UI Gothic"/>
          <w:sz w:val="15"/>
        </w:rPr>
      </w:pPr>
    </w:p>
    <w:p>
      <w:pPr>
        <w:pStyle w:val="4"/>
        <w:spacing w:before="78" w:line="266" w:lineRule="auto"/>
        <w:ind w:left="805" w:right="517" w:firstLine="263"/>
        <w:jc w:val="left"/>
        <w:rPr>
          <w:rFonts w:hint="eastAsia" w:ascii="Microsoft Yi Baiti" w:eastAsia="Microsoft Yi Baiti"/>
        </w:rPr>
      </w:pPr>
      <w:r>
        <w:rPr>
          <w:spacing w:val="4"/>
        </w:rPr>
        <w:t xml:space="preserve">最高人民法院最高人民检察院公安部司法部生态环境部 </w:t>
      </w:r>
      <w:r>
        <w:rPr>
          <w:spacing w:val="1"/>
        </w:rPr>
        <w:t xml:space="preserve">关于办理环境污染刑事案件有关问题座谈会纪要 </w:t>
      </w:r>
      <w:r>
        <w:rPr>
          <w:rFonts w:hint="eastAsia" w:ascii="Microsoft Yi Baiti" w:eastAsia="Microsoft Yi Baiti"/>
          <w:spacing w:val="3"/>
        </w:rPr>
        <w:t>(</w:t>
      </w:r>
      <w:r>
        <w:rPr>
          <w:rFonts w:hint="eastAsia" w:ascii="MS UI Gothic" w:eastAsia="MS UI Gothic"/>
          <w:spacing w:val="-6"/>
        </w:rPr>
        <w:t xml:space="preserve">２０１８ </w:t>
      </w:r>
      <w:r>
        <w:rPr>
          <w:spacing w:val="5"/>
        </w:rPr>
        <w:t>年</w:t>
      </w:r>
      <w:r>
        <w:rPr>
          <w:rFonts w:hint="eastAsia" w:ascii="Microsoft Yi Baiti" w:eastAsia="Microsoft Yi Baiti"/>
        </w:rPr>
        <w:t>)</w:t>
      </w:r>
    </w:p>
    <w:p>
      <w:pPr>
        <w:pStyle w:val="6"/>
        <w:tabs>
          <w:tab w:val="left" w:pos="4632"/>
        </w:tabs>
        <w:spacing w:before="329"/>
        <w:ind w:left="854" w:firstLine="0"/>
        <w:jc w:val="left"/>
      </w:pPr>
      <w:r>
        <w:rPr>
          <w:rFonts w:hint="eastAsia" w:ascii="MS UI Gothic" w:hAnsi="MS UI Gothic" w:eastAsia="MS UI Gothic"/>
          <w:w w:val="95"/>
        </w:rPr>
        <w:t>２０１８</w:t>
      </w:r>
      <w:r>
        <w:rPr>
          <w:rFonts w:hint="eastAsia" w:ascii="MS UI Gothic" w:hAnsi="MS UI Gothic" w:eastAsia="MS UI Gothic"/>
          <w:spacing w:val="-12"/>
          <w:w w:val="95"/>
        </w:rPr>
        <w:t xml:space="preserve"> </w:t>
      </w:r>
      <w:r>
        <w:rPr>
          <w:w w:val="95"/>
        </w:rPr>
        <w:t>年</w:t>
      </w:r>
      <w:r>
        <w:rPr>
          <w:spacing w:val="-50"/>
          <w:w w:val="95"/>
        </w:rPr>
        <w:t xml:space="preserve"> </w:t>
      </w:r>
      <w:r>
        <w:rPr>
          <w:rFonts w:hint="eastAsia" w:ascii="MS UI Gothic" w:hAnsi="MS UI Gothic" w:eastAsia="MS UI Gothic"/>
          <w:w w:val="95"/>
        </w:rPr>
        <w:t>６</w:t>
      </w:r>
      <w:r>
        <w:rPr>
          <w:rFonts w:hint="eastAsia" w:ascii="MS UI Gothic" w:hAnsi="MS UI Gothic" w:eastAsia="MS UI Gothic"/>
          <w:spacing w:val="-7"/>
          <w:w w:val="95"/>
        </w:rPr>
        <w:t xml:space="preserve"> </w:t>
      </w:r>
      <w:r>
        <w:rPr>
          <w:w w:val="95"/>
        </w:rPr>
        <w:t>月</w:t>
      </w:r>
      <w:r>
        <w:rPr>
          <w:spacing w:val="-50"/>
          <w:w w:val="95"/>
        </w:rPr>
        <w:t xml:space="preserve"> </w:t>
      </w:r>
      <w:r>
        <w:rPr>
          <w:rFonts w:hint="eastAsia" w:ascii="MS UI Gothic" w:hAnsi="MS UI Gothic" w:eastAsia="MS UI Gothic"/>
          <w:w w:val="95"/>
        </w:rPr>
        <w:t>１６</w:t>
      </w:r>
      <w:r>
        <w:rPr>
          <w:rFonts w:hint="eastAsia" w:ascii="MS UI Gothic" w:hAnsi="MS UI Gothic" w:eastAsia="MS UI Gothic"/>
          <w:spacing w:val="-7"/>
          <w:w w:val="95"/>
        </w:rPr>
        <w:t xml:space="preserve"> </w:t>
      </w:r>
      <w:r>
        <w:rPr>
          <w:spacing w:val="3"/>
          <w:w w:val="95"/>
        </w:rPr>
        <w:t>日</w:t>
      </w:r>
      <w:r>
        <w:rPr>
          <w:rFonts w:hint="eastAsia" w:ascii="MS UI Gothic" w:hAnsi="MS UI Gothic" w:eastAsia="MS UI Gothic"/>
          <w:w w:val="90"/>
        </w:rPr>
        <w:t>ꎬ</w:t>
      </w:r>
      <w:r>
        <w:rPr>
          <w:rFonts w:hint="eastAsia" w:ascii="MS UI Gothic" w:hAnsi="MS UI Gothic" w:eastAsia="MS UI Gothic"/>
          <w:spacing w:val="30"/>
          <w:w w:val="90"/>
        </w:rPr>
        <w:t xml:space="preserve"> </w:t>
      </w:r>
      <w:r>
        <w:rPr>
          <w:spacing w:val="9"/>
          <w:w w:val="95"/>
        </w:rPr>
        <w:t>中共中</w:t>
      </w:r>
      <w:r>
        <w:rPr>
          <w:spacing w:val="3"/>
          <w:w w:val="95"/>
        </w:rPr>
        <w:t>央</w:t>
      </w:r>
      <w:r>
        <w:rPr>
          <w:rFonts w:hint="eastAsia" w:ascii="MS UI Gothic" w:hAnsi="MS UI Gothic" w:eastAsia="MS UI Gothic"/>
          <w:w w:val="95"/>
        </w:rPr>
        <w:t>、</w:t>
      </w:r>
      <w:r>
        <w:rPr>
          <w:rFonts w:hint="eastAsia" w:ascii="MS UI Gothic" w:hAnsi="MS UI Gothic" w:eastAsia="MS UI Gothic"/>
          <w:spacing w:val="27"/>
          <w:w w:val="95"/>
        </w:rPr>
        <w:t xml:space="preserve"> </w:t>
      </w:r>
      <w:r>
        <w:rPr>
          <w:spacing w:val="11"/>
          <w:w w:val="95"/>
        </w:rPr>
        <w:t>国</w:t>
      </w:r>
      <w:r>
        <w:rPr>
          <w:w w:val="95"/>
        </w:rPr>
        <w:t>务</w:t>
      </w:r>
      <w:r>
        <w:rPr>
          <w:w w:val="95"/>
        </w:rPr>
        <w:tab/>
      </w:r>
      <w:r>
        <w:rPr>
          <w:spacing w:val="3"/>
          <w:w w:val="95"/>
        </w:rPr>
        <w:t>院</w:t>
      </w:r>
      <w:r>
        <w:rPr>
          <w:spacing w:val="11"/>
          <w:w w:val="95"/>
        </w:rPr>
        <w:t>发</w:t>
      </w:r>
      <w:r>
        <w:rPr>
          <w:w w:val="95"/>
        </w:rPr>
        <w:t>布</w:t>
      </w:r>
      <w:r>
        <w:rPr>
          <w:spacing w:val="16"/>
          <w:w w:val="95"/>
        </w:rPr>
        <w:t xml:space="preserve"> </w:t>
      </w:r>
      <w:r>
        <w:rPr>
          <w:rFonts w:hint="eastAsia" w:ascii="MS UI Gothic" w:hAnsi="MS UI Gothic" w:eastAsia="MS UI Gothic"/>
          <w:w w:val="95"/>
        </w:rPr>
        <w:t>«</w:t>
      </w:r>
      <w:r>
        <w:rPr>
          <w:rFonts w:hint="eastAsia" w:ascii="MS UI Gothic" w:hAnsi="MS UI Gothic" w:eastAsia="MS UI Gothic"/>
          <w:spacing w:val="-6"/>
          <w:w w:val="95"/>
        </w:rPr>
        <w:t xml:space="preserve"> </w:t>
      </w:r>
      <w:r>
        <w:rPr>
          <w:spacing w:val="17"/>
          <w:w w:val="95"/>
        </w:rPr>
        <w:t>关于全面加强生态环境</w:t>
      </w:r>
      <w:r>
        <w:rPr>
          <w:spacing w:val="19"/>
          <w:w w:val="95"/>
        </w:rPr>
        <w:t>保护</w:t>
      </w:r>
      <w:r>
        <w:rPr>
          <w:w w:val="95"/>
        </w:rPr>
        <w:t>坚</w:t>
      </w:r>
    </w:p>
    <w:p>
      <w:pPr>
        <w:spacing w:after="0"/>
        <w:jc w:val="left"/>
        <w:sectPr>
          <w:type w:val="continuous"/>
          <w:pgSz w:w="10500" w:h="14750"/>
          <w:pgMar w:top="1400" w:right="980" w:bottom="280" w:left="980" w:header="720" w:footer="720" w:gutter="0"/>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２４</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22" o:spid="_x0000_s1122" o:spt="203" style="height:2.15pt;width:398.25pt;" coordsize="7965,43">
            <o:lock v:ext="edit"/>
            <v:line id="_x0000_s1123" o:spid="_x0000_s1123" o:spt="20" style="position:absolute;left:0;top:39;height:0;width:7965;" stroked="t" coordsize="21600,21600">
              <v:path arrowok="t"/>
              <v:fill focussize="0,0"/>
              <v:stroke weight="0.388031496062992pt" color="#231F20"/>
              <v:imagedata o:title=""/>
              <o:lock v:ext="edit"/>
            </v:line>
            <v:line id="_x0000_s1124" o:spid="_x0000_s112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rPr>
          <w:rFonts w:hint="eastAsia" w:ascii="MS UI Gothic" w:hAnsi="MS UI Gothic" w:eastAsia="MS UI Gothic"/>
        </w:rPr>
      </w:pPr>
      <w:r>
        <w:rPr>
          <w:spacing w:val="5"/>
        </w:rPr>
        <w:t>决打好污染防治攻坚战的意见</w:t>
      </w:r>
      <w:r>
        <w:rPr>
          <w:rFonts w:hint="eastAsia" w:ascii="MS UI Gothic" w:hAnsi="MS UI Gothic" w:eastAsia="MS UI Gothic"/>
          <w:spacing w:val="1"/>
          <w:w w:val="85"/>
        </w:rPr>
        <w:t xml:space="preserve">» ꎮ ７ </w:t>
      </w:r>
      <w:r>
        <w:rPr>
          <w:spacing w:val="-25"/>
        </w:rPr>
        <w:t xml:space="preserve">月 </w:t>
      </w:r>
      <w:r>
        <w:rPr>
          <w:rFonts w:hint="eastAsia" w:ascii="MS UI Gothic" w:hAnsi="MS UI Gothic" w:eastAsia="MS UI Gothic"/>
          <w:w w:val="85"/>
        </w:rPr>
        <w:t>１０</w:t>
      </w:r>
    </w:p>
    <w:p>
      <w:pPr>
        <w:pStyle w:val="6"/>
        <w:spacing w:before="58"/>
        <w:ind w:firstLine="0"/>
      </w:pPr>
      <w:r>
        <w:rPr>
          <w:spacing w:val="3"/>
        </w:rPr>
        <w:t>日</w:t>
      </w:r>
      <w:r>
        <w:rPr>
          <w:rFonts w:hint="eastAsia" w:ascii="MS UI Gothic" w:eastAsia="MS UI Gothic"/>
          <w:spacing w:val="15"/>
          <w:w w:val="80"/>
        </w:rPr>
        <w:t xml:space="preserve">ꎬ  </w:t>
      </w:r>
      <w:r>
        <w:rPr>
          <w:spacing w:val="2"/>
        </w:rPr>
        <w:t>全国人民代表大会常务委员会通过了</w:t>
      </w:r>
    </w:p>
    <w:p>
      <w:pPr>
        <w:pStyle w:val="6"/>
        <w:spacing w:before="58" w:line="295" w:lineRule="auto"/>
        <w:ind w:right="38" w:firstLine="0"/>
        <w:rPr>
          <w:rFonts w:hint="eastAsia" w:ascii="MS UI Gothic" w:hAnsi="MS UI Gothic" w:eastAsia="MS UI Gothic"/>
        </w:rPr>
      </w:pPr>
      <w:r>
        <w:rPr>
          <w:rFonts w:hint="eastAsia" w:ascii="MS UI Gothic" w:hAnsi="MS UI Gothic" w:eastAsia="MS UI Gothic"/>
          <w:w w:val="80"/>
        </w:rPr>
        <w:t xml:space="preserve">« </w:t>
      </w:r>
      <w:r>
        <w:t>关于全面加强生态环境保护依法推动打好污染防治攻坚战的决议</w:t>
      </w:r>
      <w:r>
        <w:rPr>
          <w:rFonts w:hint="eastAsia" w:ascii="MS UI Gothic" w:hAnsi="MS UI Gothic" w:eastAsia="MS UI Gothic"/>
          <w:w w:val="80"/>
        </w:rPr>
        <w:t xml:space="preserve">» ꎮ </w:t>
      </w:r>
      <w:r>
        <w:t>为深入学习贯彻习近平生态文明思想</w:t>
      </w:r>
      <w:r>
        <w:rPr>
          <w:rFonts w:hint="eastAsia" w:ascii="MS UI Gothic" w:hAnsi="MS UI Gothic" w:eastAsia="MS UI Gothic"/>
          <w:w w:val="80"/>
        </w:rPr>
        <w:t xml:space="preserve">ꎬ </w:t>
      </w:r>
      <w:r>
        <w:t>认真落实党中央重大决策部署和全国人大常委会决议要求</w:t>
      </w:r>
      <w:r>
        <w:rPr>
          <w:rFonts w:hint="eastAsia" w:ascii="MS UI Gothic" w:hAnsi="MS UI Gothic" w:eastAsia="MS UI Gothic"/>
          <w:w w:val="80"/>
        </w:rPr>
        <w:t xml:space="preserve">ꎬ </w:t>
      </w:r>
      <w:r>
        <w:t>全力参与和服务保障打好污染防治攻坚战</w:t>
      </w:r>
      <w:r>
        <w:rPr>
          <w:rFonts w:hint="eastAsia" w:ascii="MS UI Gothic" w:hAnsi="MS UI Gothic" w:eastAsia="MS UI Gothic"/>
          <w:w w:val="80"/>
        </w:rPr>
        <w:t xml:space="preserve">ꎬ </w:t>
      </w:r>
      <w:r>
        <w:t>推进生态文明建设</w:t>
      </w:r>
      <w:r>
        <w:rPr>
          <w:rFonts w:hint="eastAsia" w:ascii="MS UI Gothic" w:hAnsi="MS UI Gothic" w:eastAsia="MS UI Gothic"/>
          <w:w w:val="80"/>
        </w:rPr>
        <w:t xml:space="preserve">ꎬ </w:t>
      </w:r>
      <w:r>
        <w:t>形成各部门依法惩治环境污染犯罪的合力</w:t>
      </w:r>
      <w:r>
        <w:rPr>
          <w:rFonts w:hint="eastAsia" w:ascii="MS UI Gothic" w:hAnsi="MS UI Gothic" w:eastAsia="MS UI Gothic"/>
          <w:w w:val="80"/>
        </w:rPr>
        <w:t xml:space="preserve">ꎬ ２０１８ </w:t>
      </w:r>
      <w:r>
        <w:t xml:space="preserve">年 </w:t>
      </w:r>
      <w:r>
        <w:rPr>
          <w:rFonts w:hint="eastAsia" w:ascii="MS UI Gothic" w:hAnsi="MS UI Gothic" w:eastAsia="MS UI Gothic"/>
          <w:w w:val="80"/>
        </w:rPr>
        <w:t xml:space="preserve">１２ </w:t>
      </w:r>
      <w:r>
        <w:t>月</w:t>
      </w:r>
      <w:r>
        <w:rPr>
          <w:rFonts w:hint="eastAsia" w:ascii="MS UI Gothic" w:hAnsi="MS UI Gothic" w:eastAsia="MS UI Gothic"/>
          <w:w w:val="80"/>
        </w:rPr>
        <w:t xml:space="preserve">ꎬ </w:t>
      </w:r>
      <w:r>
        <w:t>最高人民法院</w:t>
      </w:r>
      <w:r>
        <w:rPr>
          <w:rFonts w:hint="eastAsia" w:ascii="MS UI Gothic" w:hAnsi="MS UI Gothic" w:eastAsia="MS UI Gothic"/>
          <w:w w:val="80"/>
        </w:rPr>
        <w:t xml:space="preserve">、 </w:t>
      </w:r>
      <w:r>
        <w:t>最高人民检察院</w:t>
      </w:r>
      <w:r>
        <w:rPr>
          <w:rFonts w:hint="eastAsia" w:ascii="MS UI Gothic" w:hAnsi="MS UI Gothic" w:eastAsia="MS UI Gothic"/>
          <w:w w:val="80"/>
        </w:rPr>
        <w:t xml:space="preserve">、 </w:t>
      </w:r>
      <w:r>
        <w:t>公安部</w:t>
      </w:r>
      <w:r>
        <w:rPr>
          <w:rFonts w:hint="eastAsia" w:ascii="MS UI Gothic" w:hAnsi="MS UI Gothic" w:eastAsia="MS UI Gothic"/>
          <w:w w:val="80"/>
        </w:rPr>
        <w:t xml:space="preserve">、 </w:t>
      </w:r>
      <w:r>
        <w:t>司法部</w:t>
      </w:r>
      <w:r>
        <w:rPr>
          <w:rFonts w:hint="eastAsia" w:ascii="MS UI Gothic" w:hAnsi="MS UI Gothic" w:eastAsia="MS UI Gothic"/>
          <w:w w:val="80"/>
        </w:rPr>
        <w:t xml:space="preserve">、 </w:t>
      </w:r>
      <w:r>
        <w:t>生态环境部在北京联合召开座谈会</w:t>
      </w:r>
      <w:r>
        <w:rPr>
          <w:rFonts w:hint="eastAsia" w:ascii="MS UI Gothic" w:hAnsi="MS UI Gothic" w:eastAsia="MS UI Gothic"/>
          <w:w w:val="80"/>
        </w:rPr>
        <w:t xml:space="preserve">ꎮ </w:t>
      </w:r>
      <w:r>
        <w:t>会议交流了当前办理环境污染刑事案件的工作情况</w:t>
      </w:r>
      <w:r>
        <w:rPr>
          <w:rFonts w:hint="eastAsia" w:ascii="MS UI Gothic" w:hAnsi="MS UI Gothic" w:eastAsia="MS UI Gothic"/>
          <w:w w:val="80"/>
        </w:rPr>
        <w:t xml:space="preserve">ꎬ </w:t>
      </w:r>
      <w:r>
        <w:t>分析了遇到的突出困难和问题</w:t>
      </w:r>
      <w:r>
        <w:rPr>
          <w:rFonts w:hint="eastAsia" w:ascii="MS UI Gothic" w:hAnsi="MS UI Gothic" w:eastAsia="MS UI Gothic"/>
          <w:w w:val="80"/>
        </w:rPr>
        <w:t xml:space="preserve">ꎬ </w:t>
      </w:r>
      <w:r>
        <w:t>研究了解决措施</w:t>
      </w:r>
      <w:r>
        <w:rPr>
          <w:rFonts w:hint="eastAsia" w:ascii="MS UI Gothic" w:hAnsi="MS UI Gothic" w:eastAsia="MS UI Gothic"/>
          <w:w w:val="80"/>
        </w:rPr>
        <w:t xml:space="preserve">ꎮ </w:t>
      </w:r>
      <w:r>
        <w:t>会议对办理环境污染刑事案件中的有关问题形成了统一认识</w:t>
      </w:r>
      <w:r>
        <w:rPr>
          <w:rFonts w:hint="eastAsia" w:ascii="MS UI Gothic" w:hAnsi="MS UI Gothic" w:eastAsia="MS UI Gothic"/>
          <w:w w:val="80"/>
        </w:rPr>
        <w:t xml:space="preserve">ꎮ </w:t>
      </w:r>
      <w:r>
        <w:t>纪要如下</w:t>
      </w:r>
      <w:r>
        <w:rPr>
          <w:rFonts w:hint="eastAsia" w:ascii="MS UI Gothic" w:hAnsi="MS UI Gothic" w:eastAsia="MS UI Gothic"/>
          <w:w w:val="225"/>
        </w:rPr>
        <w:t>:</w:t>
      </w:r>
    </w:p>
    <w:p>
      <w:pPr>
        <w:pStyle w:val="6"/>
        <w:spacing w:before="146"/>
        <w:ind w:left="84" w:firstLine="0"/>
        <w:jc w:val="center"/>
      </w:pPr>
      <w:r>
        <w:rPr>
          <w:w w:val="102"/>
        </w:rPr>
        <w:t>一</w:t>
      </w:r>
    </w:p>
    <w:p>
      <w:pPr>
        <w:pStyle w:val="6"/>
        <w:spacing w:before="11"/>
        <w:ind w:left="0" w:firstLine="0"/>
        <w:jc w:val="left"/>
        <w:rPr>
          <w:sz w:val="16"/>
        </w:rPr>
      </w:pPr>
    </w:p>
    <w:p>
      <w:pPr>
        <w:pStyle w:val="6"/>
        <w:spacing w:line="295" w:lineRule="auto"/>
        <w:ind w:right="38"/>
      </w:pPr>
      <w:r>
        <w:rPr>
          <w:spacing w:val="10"/>
          <w:w w:val="95"/>
        </w:rPr>
        <w:t>会议指出</w:t>
      </w:r>
      <w:r>
        <w:rPr>
          <w:rFonts w:hint="eastAsia" w:ascii="MS UI Gothic" w:hAnsi="MS UI Gothic" w:eastAsia="MS UI Gothic"/>
          <w:spacing w:val="10"/>
          <w:w w:val="90"/>
        </w:rPr>
        <w:t xml:space="preserve">ꎬ </w:t>
      </w:r>
      <w:r>
        <w:rPr>
          <w:rFonts w:hint="eastAsia" w:ascii="MS UI Gothic" w:hAnsi="MS UI Gothic" w:eastAsia="MS UI Gothic"/>
          <w:w w:val="95"/>
        </w:rPr>
        <w:t xml:space="preserve">２０１８ </w:t>
      </w:r>
      <w:r>
        <w:rPr>
          <w:spacing w:val="-22"/>
          <w:w w:val="95"/>
        </w:rPr>
        <w:t xml:space="preserve">年 </w:t>
      </w:r>
      <w:r>
        <w:rPr>
          <w:rFonts w:hint="eastAsia" w:ascii="MS UI Gothic" w:hAnsi="MS UI Gothic" w:eastAsia="MS UI Gothic"/>
          <w:w w:val="95"/>
        </w:rPr>
        <w:t xml:space="preserve">５ </w:t>
      </w:r>
      <w:r>
        <w:rPr>
          <w:spacing w:val="-21"/>
          <w:w w:val="95"/>
        </w:rPr>
        <w:t xml:space="preserve">月 </w:t>
      </w:r>
      <w:r>
        <w:rPr>
          <w:rFonts w:hint="eastAsia" w:ascii="MS UI Gothic" w:hAnsi="MS UI Gothic" w:eastAsia="MS UI Gothic"/>
          <w:spacing w:val="-1"/>
          <w:w w:val="95"/>
        </w:rPr>
        <w:t xml:space="preserve">１８ </w:t>
      </w:r>
      <w:r>
        <w:rPr>
          <w:spacing w:val="-6"/>
          <w:w w:val="95"/>
        </w:rPr>
        <w:t xml:space="preserve">日至 </w:t>
      </w:r>
      <w:r>
        <w:rPr>
          <w:rFonts w:hint="eastAsia" w:ascii="MS UI Gothic" w:hAnsi="MS UI Gothic" w:eastAsia="MS UI Gothic"/>
          <w:w w:val="95"/>
        </w:rPr>
        <w:t xml:space="preserve">１９ </w:t>
      </w:r>
      <w:r>
        <w:rPr>
          <w:spacing w:val="3"/>
          <w:w w:val="95"/>
        </w:rPr>
        <w:t>日</w:t>
      </w:r>
      <w:r>
        <w:rPr>
          <w:rFonts w:hint="eastAsia" w:ascii="MS UI Gothic" w:hAnsi="MS UI Gothic" w:eastAsia="MS UI Gothic"/>
          <w:spacing w:val="15"/>
          <w:w w:val="90"/>
        </w:rPr>
        <w:t xml:space="preserve">ꎬ  </w:t>
      </w:r>
      <w:r>
        <w:rPr>
          <w:spacing w:val="2"/>
          <w:w w:val="95"/>
        </w:rPr>
        <w:t>全国生态环境保护大会在北京胜利召</w:t>
      </w:r>
      <w:r>
        <w:rPr>
          <w:spacing w:val="3"/>
          <w:w w:val="95"/>
        </w:rPr>
        <w:t>开</w:t>
      </w:r>
      <w:r>
        <w:rPr>
          <w:rFonts w:hint="eastAsia" w:ascii="MS UI Gothic" w:hAnsi="MS UI Gothic" w:eastAsia="MS UI Gothic"/>
          <w:spacing w:val="15"/>
          <w:w w:val="90"/>
        </w:rPr>
        <w:t xml:space="preserve">ꎬ  </w:t>
      </w:r>
      <w:r>
        <w:rPr>
          <w:spacing w:val="2"/>
          <w:w w:val="95"/>
        </w:rPr>
        <w:t>习近平总书记出席会议并发表重要讲</w:t>
      </w:r>
      <w:r>
        <w:rPr>
          <w:spacing w:val="3"/>
          <w:w w:val="95"/>
        </w:rPr>
        <w:t>话</w:t>
      </w:r>
      <w:r>
        <w:rPr>
          <w:rFonts w:hint="eastAsia" w:ascii="MS UI Gothic" w:hAnsi="MS UI Gothic" w:eastAsia="MS UI Gothic"/>
          <w:spacing w:val="20"/>
          <w:w w:val="90"/>
        </w:rPr>
        <w:t xml:space="preserve">ꎬ </w:t>
      </w:r>
      <w:r>
        <w:rPr>
          <w:spacing w:val="3"/>
          <w:w w:val="95"/>
        </w:rPr>
        <w:t>着眼人民福祉和民族未来</w:t>
      </w:r>
      <w:r>
        <w:rPr>
          <w:rFonts w:hint="eastAsia" w:ascii="MS UI Gothic" w:hAnsi="MS UI Gothic" w:eastAsia="MS UI Gothic"/>
          <w:spacing w:val="20"/>
          <w:w w:val="90"/>
        </w:rPr>
        <w:t xml:space="preserve">ꎬ </w:t>
      </w:r>
      <w:r>
        <w:rPr>
          <w:spacing w:val="2"/>
          <w:w w:val="95"/>
        </w:rPr>
        <w:t>从党和国</w:t>
      </w:r>
      <w:r>
        <w:rPr>
          <w:spacing w:val="3"/>
          <w:w w:val="95"/>
        </w:rPr>
        <w:t>家事业发展全局出发</w:t>
      </w:r>
      <w:r>
        <w:rPr>
          <w:rFonts w:hint="eastAsia" w:ascii="MS UI Gothic" w:hAnsi="MS UI Gothic" w:eastAsia="MS UI Gothic"/>
          <w:spacing w:val="15"/>
          <w:w w:val="90"/>
        </w:rPr>
        <w:t xml:space="preserve">ꎬ  </w:t>
      </w:r>
      <w:r>
        <w:rPr>
          <w:spacing w:val="2"/>
          <w:w w:val="95"/>
        </w:rPr>
        <w:t xml:space="preserve">全面总结党的十八大以来我国生态文明建设和生态环境保护  </w:t>
      </w:r>
      <w:r>
        <w:rPr>
          <w:spacing w:val="3"/>
          <w:w w:val="95"/>
        </w:rPr>
        <w:t>工作取得的历史性成就</w:t>
      </w:r>
      <w:r>
        <w:rPr>
          <w:rFonts w:hint="eastAsia" w:ascii="MS UI Gothic" w:hAnsi="MS UI Gothic" w:eastAsia="MS UI Gothic"/>
          <w:spacing w:val="6"/>
          <w:w w:val="95"/>
        </w:rPr>
        <w:t xml:space="preserve">、   </w:t>
      </w:r>
      <w:r>
        <w:rPr>
          <w:spacing w:val="2"/>
          <w:w w:val="95"/>
        </w:rPr>
        <w:t>发生的历史性变</w:t>
      </w:r>
      <w:r>
        <w:rPr>
          <w:spacing w:val="3"/>
          <w:w w:val="95"/>
        </w:rPr>
        <w:t>革</w:t>
      </w:r>
      <w:r>
        <w:rPr>
          <w:rFonts w:hint="eastAsia" w:ascii="MS UI Gothic" w:hAnsi="MS UI Gothic" w:eastAsia="MS UI Gothic"/>
          <w:spacing w:val="15"/>
          <w:w w:val="90"/>
        </w:rPr>
        <w:t xml:space="preserve">ꎬ  </w:t>
      </w:r>
      <w:r>
        <w:rPr>
          <w:spacing w:val="2"/>
          <w:w w:val="95"/>
        </w:rPr>
        <w:t>深刻阐述加强生态文明建设的重大意</w:t>
      </w:r>
      <w:r>
        <w:rPr>
          <w:spacing w:val="3"/>
          <w:w w:val="95"/>
        </w:rPr>
        <w:t>义</w:t>
      </w:r>
      <w:r>
        <w:rPr>
          <w:rFonts w:hint="eastAsia" w:ascii="MS UI Gothic" w:hAnsi="MS UI Gothic" w:eastAsia="MS UI Gothic"/>
          <w:spacing w:val="15"/>
          <w:w w:val="90"/>
        </w:rPr>
        <w:t xml:space="preserve">ꎬ  </w:t>
      </w:r>
      <w:r>
        <w:rPr>
          <w:spacing w:val="2"/>
          <w:w w:val="95"/>
        </w:rPr>
        <w:t>明确提出加强生态文明建设必须坚持</w:t>
      </w:r>
      <w:r>
        <w:rPr>
          <w:spacing w:val="3"/>
          <w:w w:val="95"/>
        </w:rPr>
        <w:t>的重要原则</w:t>
      </w:r>
      <w:r>
        <w:rPr>
          <w:rFonts w:hint="eastAsia" w:ascii="MS UI Gothic" w:hAnsi="MS UI Gothic" w:eastAsia="MS UI Gothic"/>
          <w:spacing w:val="3"/>
          <w:w w:val="90"/>
        </w:rPr>
        <w:t xml:space="preserve">ꎬ  </w:t>
      </w:r>
      <w:r>
        <w:rPr>
          <w:spacing w:val="3"/>
          <w:w w:val="95"/>
        </w:rPr>
        <w:t>对加强生态环境保护</w:t>
      </w:r>
      <w:r>
        <w:rPr>
          <w:rFonts w:hint="eastAsia" w:ascii="MS UI Gothic" w:hAnsi="MS UI Gothic" w:eastAsia="MS UI Gothic"/>
          <w:w w:val="95"/>
        </w:rPr>
        <w:t xml:space="preserve">、  </w:t>
      </w:r>
      <w:r>
        <w:rPr>
          <w:spacing w:val="1"/>
          <w:w w:val="95"/>
        </w:rPr>
        <w:t>打好</w:t>
      </w:r>
      <w:r>
        <w:rPr>
          <w:spacing w:val="3"/>
          <w:w w:val="95"/>
        </w:rPr>
        <w:t>污染防治攻坚战作出了全面部署</w:t>
      </w:r>
      <w:r>
        <w:rPr>
          <w:rFonts w:hint="eastAsia" w:ascii="MS UI Gothic" w:hAnsi="MS UI Gothic" w:eastAsia="MS UI Gothic"/>
          <w:spacing w:val="15"/>
          <w:w w:val="90"/>
        </w:rPr>
        <w:t xml:space="preserve">ꎮ  </w:t>
      </w:r>
      <w:r>
        <w:rPr>
          <w:spacing w:val="2"/>
          <w:w w:val="95"/>
        </w:rPr>
        <w:t>这次大</w:t>
      </w:r>
      <w:r>
        <w:rPr>
          <w:spacing w:val="3"/>
          <w:w w:val="95"/>
        </w:rPr>
        <w:t>会最大的亮点</w:t>
      </w:r>
      <w:r>
        <w:rPr>
          <w:rFonts w:hint="eastAsia" w:ascii="MS UI Gothic" w:hAnsi="MS UI Gothic" w:eastAsia="MS UI Gothic"/>
          <w:spacing w:val="15"/>
          <w:w w:val="90"/>
        </w:rPr>
        <w:t xml:space="preserve">ꎬ  </w:t>
      </w:r>
      <w:r>
        <w:rPr>
          <w:spacing w:val="2"/>
          <w:w w:val="95"/>
        </w:rPr>
        <w:t>就是确立了习近平生态文</w:t>
      </w:r>
      <w:r>
        <w:rPr>
          <w:spacing w:val="3"/>
          <w:w w:val="95"/>
        </w:rPr>
        <w:t>明思想</w:t>
      </w:r>
      <w:r>
        <w:rPr>
          <w:rFonts w:hint="eastAsia" w:ascii="MS UI Gothic" w:hAnsi="MS UI Gothic" w:eastAsia="MS UI Gothic"/>
          <w:spacing w:val="15"/>
          <w:w w:val="90"/>
        </w:rPr>
        <w:t xml:space="preserve">ꎮ  </w:t>
      </w:r>
      <w:r>
        <w:rPr>
          <w:spacing w:val="2"/>
          <w:w w:val="95"/>
        </w:rPr>
        <w:t>习近平生态文明思想站在坚持和</w:t>
      </w:r>
      <w:r>
        <w:rPr>
          <w:spacing w:val="3"/>
          <w:w w:val="95"/>
        </w:rPr>
        <w:t>发展中国特色社会主义</w:t>
      </w:r>
      <w:r>
        <w:rPr>
          <w:rFonts w:hint="eastAsia" w:ascii="MS UI Gothic" w:hAnsi="MS UI Gothic" w:eastAsia="MS UI Gothic"/>
          <w:spacing w:val="6"/>
          <w:w w:val="95"/>
        </w:rPr>
        <w:t xml:space="preserve">、   </w:t>
      </w:r>
      <w:r>
        <w:rPr>
          <w:spacing w:val="2"/>
          <w:w w:val="95"/>
        </w:rPr>
        <w:t>实现中华民族伟</w:t>
      </w:r>
      <w:r>
        <w:rPr>
          <w:spacing w:val="3"/>
          <w:w w:val="95"/>
        </w:rPr>
        <w:t>大复兴中国梦的战略高度</w:t>
      </w:r>
      <w:r>
        <w:rPr>
          <w:rFonts w:hint="eastAsia" w:ascii="MS UI Gothic" w:hAnsi="MS UI Gothic" w:eastAsia="MS UI Gothic"/>
          <w:spacing w:val="15"/>
          <w:w w:val="90"/>
        </w:rPr>
        <w:t xml:space="preserve">ꎬ  </w:t>
      </w:r>
      <w:r>
        <w:rPr>
          <w:spacing w:val="2"/>
          <w:w w:val="95"/>
        </w:rPr>
        <w:t>把生态文明建</w:t>
      </w:r>
      <w:r>
        <w:rPr>
          <w:spacing w:val="3"/>
          <w:w w:val="95"/>
        </w:rPr>
        <w:t>设摆在治国理政的突出位置</w:t>
      </w:r>
      <w:r>
        <w:rPr>
          <w:rFonts w:hint="eastAsia" w:ascii="MS UI Gothic" w:hAnsi="MS UI Gothic" w:eastAsia="MS UI Gothic"/>
          <w:spacing w:val="15"/>
          <w:w w:val="90"/>
        </w:rPr>
        <w:t xml:space="preserve">ꎬ  </w:t>
      </w:r>
      <w:r>
        <w:rPr>
          <w:spacing w:val="2"/>
          <w:w w:val="95"/>
        </w:rPr>
        <w:t>作为统筹推</w:t>
      </w:r>
      <w:r>
        <w:rPr>
          <w:spacing w:val="5"/>
          <w:w w:val="95"/>
        </w:rPr>
        <w:t xml:space="preserve">进  </w:t>
      </w:r>
      <w:r>
        <w:rPr>
          <w:rFonts w:hint="eastAsia" w:ascii="MS UI Gothic" w:hAnsi="MS UI Gothic" w:eastAsia="MS UI Gothic"/>
          <w:spacing w:val="4"/>
          <w:w w:val="95"/>
        </w:rPr>
        <w:t xml:space="preserve">“ </w:t>
      </w:r>
      <w:r>
        <w:rPr>
          <w:spacing w:val="29"/>
          <w:w w:val="95"/>
        </w:rPr>
        <w:t>五位一体</w:t>
      </w:r>
      <w:r>
        <w:rPr>
          <w:rFonts w:hint="eastAsia" w:ascii="MS UI Gothic" w:hAnsi="MS UI Gothic" w:eastAsia="MS UI Gothic"/>
          <w:spacing w:val="5"/>
          <w:w w:val="95"/>
        </w:rPr>
        <w:t xml:space="preserve">”   </w:t>
      </w:r>
      <w:r>
        <w:rPr>
          <w:spacing w:val="28"/>
          <w:w w:val="95"/>
        </w:rPr>
        <w:t>总体布局和协调推进</w:t>
      </w:r>
      <w:r>
        <w:rPr>
          <w:rFonts w:hint="eastAsia" w:ascii="MS UI Gothic" w:hAnsi="MS UI Gothic" w:eastAsia="MS UI Gothic"/>
          <w:spacing w:val="1"/>
          <w:w w:val="95"/>
        </w:rPr>
        <w:t xml:space="preserve">“ </w:t>
      </w:r>
      <w:r>
        <w:rPr>
          <w:spacing w:val="3"/>
          <w:w w:val="95"/>
        </w:rPr>
        <w:t>四个全面</w:t>
      </w:r>
      <w:r>
        <w:rPr>
          <w:rFonts w:hint="eastAsia" w:ascii="MS UI Gothic" w:hAnsi="MS UI Gothic" w:eastAsia="MS UI Gothic"/>
          <w:spacing w:val="12"/>
          <w:w w:val="95"/>
        </w:rPr>
        <w:t xml:space="preserve">”  </w:t>
      </w:r>
      <w:r>
        <w:rPr>
          <w:spacing w:val="8"/>
          <w:w w:val="95"/>
        </w:rPr>
        <w:t>战略布局的重要内容</w:t>
      </w:r>
      <w:r>
        <w:rPr>
          <w:rFonts w:hint="eastAsia" w:ascii="MS UI Gothic" w:hAnsi="MS UI Gothic" w:eastAsia="MS UI Gothic"/>
          <w:spacing w:val="6"/>
          <w:w w:val="90"/>
        </w:rPr>
        <w:t xml:space="preserve">ꎬ  </w:t>
      </w:r>
      <w:r>
        <w:rPr>
          <w:spacing w:val="5"/>
          <w:w w:val="95"/>
        </w:rPr>
        <w:t>深刻</w:t>
      </w:r>
      <w:r>
        <w:rPr>
          <w:spacing w:val="3"/>
          <w:w w:val="95"/>
        </w:rPr>
        <w:t>回答了为什么建设生态文明</w:t>
      </w:r>
      <w:r>
        <w:rPr>
          <w:rFonts w:hint="eastAsia" w:ascii="MS UI Gothic" w:hAnsi="MS UI Gothic" w:eastAsia="MS UI Gothic"/>
          <w:spacing w:val="6"/>
          <w:w w:val="95"/>
        </w:rPr>
        <w:t xml:space="preserve">、   </w:t>
      </w:r>
      <w:r>
        <w:rPr>
          <w:spacing w:val="2"/>
          <w:w w:val="95"/>
        </w:rPr>
        <w:t>建设什么样</w:t>
      </w:r>
      <w:r>
        <w:rPr>
          <w:spacing w:val="3"/>
          <w:w w:val="95"/>
        </w:rPr>
        <w:t>的生态文明</w:t>
      </w:r>
      <w:r>
        <w:rPr>
          <w:rFonts w:hint="eastAsia" w:ascii="MS UI Gothic" w:hAnsi="MS UI Gothic" w:eastAsia="MS UI Gothic"/>
          <w:spacing w:val="6"/>
          <w:w w:val="95"/>
        </w:rPr>
        <w:t xml:space="preserve">、   </w:t>
      </w:r>
      <w:r>
        <w:rPr>
          <w:spacing w:val="2"/>
          <w:w w:val="95"/>
        </w:rPr>
        <w:t>怎样建设生态文明的重大理</w:t>
      </w:r>
      <w:r>
        <w:rPr>
          <w:spacing w:val="3"/>
          <w:w w:val="95"/>
        </w:rPr>
        <w:t>论和实践问题</w:t>
      </w:r>
      <w:r>
        <w:rPr>
          <w:rFonts w:hint="eastAsia" w:ascii="MS UI Gothic" w:hAnsi="MS UI Gothic" w:eastAsia="MS UI Gothic"/>
          <w:spacing w:val="24"/>
          <w:w w:val="90"/>
        </w:rPr>
        <w:t xml:space="preserve">ꎬ </w:t>
      </w:r>
      <w:r>
        <w:rPr>
          <w:spacing w:val="2"/>
          <w:w w:val="95"/>
        </w:rPr>
        <w:t>是习近平新时代中国特色</w:t>
      </w:r>
    </w:p>
    <w:p>
      <w:pPr>
        <w:pStyle w:val="6"/>
        <w:spacing w:before="123" w:line="295" w:lineRule="auto"/>
        <w:ind w:right="442" w:firstLine="0"/>
        <w:rPr>
          <w:rFonts w:hint="eastAsia" w:ascii="MS UI Gothic" w:eastAsia="MS UI Gothic"/>
        </w:rPr>
      </w:pPr>
      <w:r>
        <w:br w:type="column"/>
      </w:r>
      <w:r>
        <w:t>社会主义思想的重要组成部分</w:t>
      </w:r>
      <w:r>
        <w:rPr>
          <w:rFonts w:hint="eastAsia" w:ascii="MS UI Gothic" w:eastAsia="MS UI Gothic"/>
          <w:w w:val="80"/>
        </w:rPr>
        <w:t xml:space="preserve">ꎮ </w:t>
      </w:r>
      <w:r>
        <w:t>各部门要认真学习</w:t>
      </w:r>
      <w:r>
        <w:rPr>
          <w:rFonts w:hint="eastAsia" w:ascii="MS UI Gothic" w:eastAsia="MS UI Gothic"/>
          <w:w w:val="80"/>
        </w:rPr>
        <w:t xml:space="preserve">、 </w:t>
      </w:r>
      <w:r>
        <w:t>深刻领会</w:t>
      </w:r>
      <w:r>
        <w:rPr>
          <w:rFonts w:hint="eastAsia" w:ascii="MS UI Gothic" w:eastAsia="MS UI Gothic"/>
          <w:w w:val="80"/>
        </w:rPr>
        <w:t xml:space="preserve">、 </w:t>
      </w:r>
      <w:r>
        <w:t>全面贯彻习近平生态文明思想</w:t>
      </w:r>
      <w:r>
        <w:rPr>
          <w:rFonts w:hint="eastAsia" w:ascii="MS UI Gothic" w:eastAsia="MS UI Gothic"/>
          <w:w w:val="80"/>
        </w:rPr>
        <w:t xml:space="preserve">ꎬ </w:t>
      </w:r>
      <w:r>
        <w:t>将其作为生态环境行政执法和司法办案的行动指南和根本遵循</w:t>
      </w:r>
      <w:r>
        <w:rPr>
          <w:rFonts w:hint="eastAsia" w:ascii="MS UI Gothic" w:eastAsia="MS UI Gothic"/>
          <w:w w:val="80"/>
        </w:rPr>
        <w:t xml:space="preserve">ꎬ </w:t>
      </w:r>
      <w:r>
        <w:t>为守护绿水青山蓝天</w:t>
      </w:r>
      <w:r>
        <w:rPr>
          <w:rFonts w:hint="eastAsia" w:ascii="MS UI Gothic" w:eastAsia="MS UI Gothic"/>
          <w:w w:val="80"/>
        </w:rPr>
        <w:t xml:space="preserve">、 </w:t>
      </w:r>
      <w:r>
        <w:t>建设美丽中国提供有力保障</w:t>
      </w:r>
      <w:r>
        <w:rPr>
          <w:rFonts w:hint="eastAsia" w:ascii="MS UI Gothic" w:eastAsia="MS UI Gothic"/>
          <w:w w:val="80"/>
        </w:rPr>
        <w:t>ꎮ</w:t>
      </w:r>
    </w:p>
    <w:p>
      <w:pPr>
        <w:pStyle w:val="6"/>
        <w:spacing w:line="295" w:lineRule="auto"/>
        <w:ind w:right="440"/>
        <w:rPr>
          <w:rFonts w:hint="eastAsia" w:ascii="MS UI Gothic" w:eastAsia="MS UI Gothic"/>
        </w:rPr>
      </w:pPr>
      <w:r>
        <w:t>会议强调</w:t>
      </w:r>
      <w:r>
        <w:rPr>
          <w:rFonts w:hint="eastAsia" w:ascii="MS UI Gothic" w:eastAsia="MS UI Gothic"/>
          <w:w w:val="80"/>
        </w:rPr>
        <w:t xml:space="preserve">ꎬ </w:t>
      </w:r>
      <w:r>
        <w:t>打好防范化解重大风险</w:t>
      </w:r>
      <w:r>
        <w:rPr>
          <w:rFonts w:hint="eastAsia" w:ascii="MS UI Gothic" w:eastAsia="MS UI Gothic"/>
          <w:w w:val="80"/>
        </w:rPr>
        <w:t>、</w:t>
      </w:r>
      <w:r>
        <w:t>精准脱贫</w:t>
      </w:r>
      <w:r>
        <w:rPr>
          <w:rFonts w:hint="eastAsia" w:ascii="MS UI Gothic" w:eastAsia="MS UI Gothic"/>
          <w:w w:val="80"/>
        </w:rPr>
        <w:t xml:space="preserve">、 </w:t>
      </w:r>
      <w:r>
        <w:t>污染防治的攻坚战</w:t>
      </w:r>
      <w:r>
        <w:rPr>
          <w:rFonts w:hint="eastAsia" w:ascii="MS UI Gothic" w:eastAsia="MS UI Gothic"/>
          <w:w w:val="80"/>
        </w:rPr>
        <w:t xml:space="preserve">ꎬ </w:t>
      </w:r>
      <w:r>
        <w:t>是以习近平同志为核心的党中央深刻分析国际国内形势</w:t>
      </w:r>
      <w:r>
        <w:rPr>
          <w:rFonts w:hint="eastAsia" w:ascii="MS UI Gothic" w:eastAsia="MS UI Gothic"/>
          <w:w w:val="80"/>
        </w:rPr>
        <w:t xml:space="preserve">ꎬ </w:t>
      </w:r>
      <w:r>
        <w:t>着眼党和国家事业发展全局作出的重大战略部署</w:t>
      </w:r>
      <w:r>
        <w:rPr>
          <w:rFonts w:hint="eastAsia" w:ascii="MS UI Gothic" w:eastAsia="MS UI Gothic"/>
          <w:w w:val="80"/>
        </w:rPr>
        <w:t xml:space="preserve">ꎬ </w:t>
      </w:r>
      <w:r>
        <w:t>对于夺取全面建成小康社会伟大胜利</w:t>
      </w:r>
      <w:r>
        <w:rPr>
          <w:rFonts w:hint="eastAsia" w:ascii="MS UI Gothic" w:eastAsia="MS UI Gothic"/>
          <w:w w:val="80"/>
        </w:rPr>
        <w:t xml:space="preserve">、 </w:t>
      </w:r>
      <w:r>
        <w:t>开启全面建设社会主义现代化强国新征程具有重大的现实意义和深远的历史意义</w:t>
      </w:r>
      <w:r>
        <w:rPr>
          <w:rFonts w:hint="eastAsia" w:ascii="MS UI Gothic" w:eastAsia="MS UI Gothic"/>
          <w:w w:val="80"/>
        </w:rPr>
        <w:t xml:space="preserve">ꎮ </w:t>
      </w:r>
      <w:r>
        <w:t>服从服务党和国家工作大局</w:t>
      </w:r>
      <w:r>
        <w:rPr>
          <w:rFonts w:hint="eastAsia" w:ascii="MS UI Gothic" w:eastAsia="MS UI Gothic"/>
          <w:w w:val="80"/>
        </w:rPr>
        <w:t xml:space="preserve">ꎬ </w:t>
      </w:r>
      <w:r>
        <w:t>充分发挥职能作用</w:t>
      </w:r>
      <w:r>
        <w:rPr>
          <w:rFonts w:hint="eastAsia" w:ascii="MS UI Gothic" w:eastAsia="MS UI Gothic"/>
          <w:w w:val="80"/>
        </w:rPr>
        <w:t xml:space="preserve">ꎬ </w:t>
      </w:r>
      <w:r>
        <w:t>努力为打好打赢三大攻坚战提供优质法治环境和司法保障</w:t>
      </w:r>
      <w:r>
        <w:rPr>
          <w:rFonts w:hint="eastAsia" w:ascii="MS UI Gothic" w:eastAsia="MS UI Gothic"/>
          <w:w w:val="80"/>
        </w:rPr>
        <w:t xml:space="preserve">ꎬ </w:t>
      </w:r>
      <w:r>
        <w:t>是当前和今后一个时期人民法院</w:t>
      </w:r>
      <w:r>
        <w:rPr>
          <w:rFonts w:hint="eastAsia" w:ascii="MS UI Gothic" w:eastAsia="MS UI Gothic"/>
          <w:w w:val="80"/>
        </w:rPr>
        <w:t xml:space="preserve">、 </w:t>
      </w:r>
      <w:r>
        <w:t>人民检察院</w:t>
      </w:r>
      <w:r>
        <w:rPr>
          <w:rFonts w:hint="eastAsia" w:ascii="MS UI Gothic" w:eastAsia="MS UI Gothic"/>
          <w:w w:val="80"/>
        </w:rPr>
        <w:t xml:space="preserve">、 </w:t>
      </w:r>
      <w:r>
        <w:t>公安机关</w:t>
      </w:r>
      <w:r>
        <w:rPr>
          <w:rFonts w:hint="eastAsia" w:ascii="MS UI Gothic" w:eastAsia="MS UI Gothic"/>
          <w:w w:val="80"/>
        </w:rPr>
        <w:t xml:space="preserve">、 </w:t>
      </w:r>
      <w:r>
        <w:t>司法行政机关</w:t>
      </w:r>
      <w:r>
        <w:rPr>
          <w:rFonts w:hint="eastAsia" w:ascii="MS UI Gothic" w:eastAsia="MS UI Gothic"/>
          <w:w w:val="80"/>
        </w:rPr>
        <w:t xml:space="preserve">、 </w:t>
      </w:r>
      <w:r>
        <w:t>生态环境部门的重点任务</w:t>
      </w:r>
      <w:r>
        <w:rPr>
          <w:rFonts w:hint="eastAsia" w:ascii="MS UI Gothic" w:eastAsia="MS UI Gothic"/>
          <w:w w:val="80"/>
        </w:rPr>
        <w:t>ꎮ</w:t>
      </w:r>
    </w:p>
    <w:p>
      <w:pPr>
        <w:pStyle w:val="6"/>
        <w:spacing w:line="295" w:lineRule="auto"/>
        <w:ind w:right="440"/>
        <w:rPr>
          <w:rFonts w:hint="eastAsia" w:ascii="MS UI Gothic" w:eastAsia="MS UI Gothic"/>
        </w:rPr>
      </w:pPr>
      <w:r>
        <w:rPr>
          <w:spacing w:val="4"/>
          <w:w w:val="95"/>
        </w:rPr>
        <w:t>会议指出</w:t>
      </w:r>
      <w:r>
        <w:rPr>
          <w:rFonts w:hint="eastAsia" w:ascii="MS UI Gothic" w:eastAsia="MS UI Gothic"/>
          <w:spacing w:val="5"/>
          <w:w w:val="90"/>
        </w:rPr>
        <w:t xml:space="preserve">ꎬ </w:t>
      </w:r>
      <w:r>
        <w:rPr>
          <w:rFonts w:hint="eastAsia" w:ascii="MS UI Gothic" w:eastAsia="MS UI Gothic"/>
          <w:spacing w:val="-3"/>
          <w:w w:val="95"/>
        </w:rPr>
        <w:t xml:space="preserve">２０１８ </w:t>
      </w:r>
      <w:r>
        <w:rPr>
          <w:spacing w:val="-28"/>
          <w:w w:val="95"/>
        </w:rPr>
        <w:t xml:space="preserve">年 </w:t>
      </w:r>
      <w:r>
        <w:rPr>
          <w:rFonts w:hint="eastAsia" w:ascii="MS UI Gothic" w:eastAsia="MS UI Gothic"/>
          <w:spacing w:val="-5"/>
          <w:w w:val="95"/>
        </w:rPr>
        <w:t xml:space="preserve">１２ </w:t>
      </w:r>
      <w:r>
        <w:rPr>
          <w:spacing w:val="-29"/>
          <w:w w:val="95"/>
        </w:rPr>
        <w:t xml:space="preserve">月 </w:t>
      </w:r>
      <w:r>
        <w:rPr>
          <w:rFonts w:hint="eastAsia" w:ascii="MS UI Gothic" w:eastAsia="MS UI Gothic"/>
          <w:spacing w:val="-5"/>
          <w:w w:val="95"/>
        </w:rPr>
        <w:t xml:space="preserve">１９ </w:t>
      </w:r>
      <w:r>
        <w:rPr>
          <w:spacing w:val="-14"/>
          <w:w w:val="95"/>
        </w:rPr>
        <w:t xml:space="preserve">日至 </w:t>
      </w:r>
      <w:r>
        <w:rPr>
          <w:rFonts w:hint="eastAsia" w:ascii="MS UI Gothic" w:eastAsia="MS UI Gothic"/>
          <w:w w:val="95"/>
        </w:rPr>
        <w:t xml:space="preserve">２１ </w:t>
      </w:r>
      <w:r>
        <w:rPr>
          <w:spacing w:val="3"/>
          <w:w w:val="95"/>
        </w:rPr>
        <w:t>日召开的中央经济工作会议要求</w:t>
      </w:r>
      <w:r>
        <w:rPr>
          <w:rFonts w:hint="eastAsia" w:ascii="MS UI Gothic" w:eastAsia="MS UI Gothic"/>
          <w:spacing w:val="11"/>
          <w:w w:val="90"/>
        </w:rPr>
        <w:t xml:space="preserve">ꎬ  </w:t>
      </w:r>
      <w:r>
        <w:rPr>
          <w:spacing w:val="2"/>
          <w:w w:val="95"/>
        </w:rPr>
        <w:t>打好污</w:t>
      </w:r>
      <w:r>
        <w:rPr>
          <w:spacing w:val="3"/>
          <w:w w:val="95"/>
        </w:rPr>
        <w:t>染防治攻坚战</w:t>
      </w:r>
      <w:r>
        <w:rPr>
          <w:rFonts w:hint="eastAsia" w:ascii="MS UI Gothic" w:eastAsia="MS UI Gothic"/>
          <w:spacing w:val="15"/>
          <w:w w:val="90"/>
        </w:rPr>
        <w:t xml:space="preserve">ꎬ </w:t>
      </w:r>
      <w:r>
        <w:rPr>
          <w:spacing w:val="12"/>
          <w:w w:val="95"/>
        </w:rPr>
        <w:t>要坚守阵地</w:t>
      </w:r>
      <w:r>
        <w:rPr>
          <w:rFonts w:hint="eastAsia" w:ascii="MS UI Gothic" w:eastAsia="MS UI Gothic"/>
          <w:spacing w:val="12"/>
          <w:w w:val="95"/>
        </w:rPr>
        <w:t xml:space="preserve">、 </w:t>
      </w:r>
      <w:r>
        <w:rPr>
          <w:spacing w:val="12"/>
          <w:w w:val="95"/>
        </w:rPr>
        <w:t>巩固成果</w:t>
      </w:r>
      <w:r>
        <w:rPr>
          <w:rFonts w:hint="eastAsia" w:ascii="MS UI Gothic" w:eastAsia="MS UI Gothic"/>
          <w:w w:val="90"/>
        </w:rPr>
        <w:t>ꎬ</w:t>
      </w:r>
      <w:r>
        <w:rPr>
          <w:spacing w:val="3"/>
          <w:w w:val="95"/>
        </w:rPr>
        <w:t>聚焦做好打赢蓝天保卫战等工作</w:t>
      </w:r>
      <w:r>
        <w:rPr>
          <w:rFonts w:hint="eastAsia" w:ascii="MS UI Gothic" w:eastAsia="MS UI Gothic"/>
          <w:spacing w:val="11"/>
          <w:w w:val="90"/>
        </w:rPr>
        <w:t xml:space="preserve">ꎬ  </w:t>
      </w:r>
      <w:r>
        <w:rPr>
          <w:spacing w:val="2"/>
          <w:w w:val="95"/>
        </w:rPr>
        <w:t>加大工</w:t>
      </w:r>
      <w:r>
        <w:rPr>
          <w:spacing w:val="3"/>
          <w:w w:val="95"/>
        </w:rPr>
        <w:t>作和投入力度</w:t>
      </w:r>
      <w:r>
        <w:rPr>
          <w:rFonts w:hint="eastAsia" w:ascii="MS UI Gothic" w:eastAsia="MS UI Gothic"/>
          <w:spacing w:val="19"/>
          <w:w w:val="90"/>
        </w:rPr>
        <w:t xml:space="preserve">ꎬ </w:t>
      </w:r>
      <w:r>
        <w:rPr>
          <w:spacing w:val="3"/>
          <w:w w:val="95"/>
        </w:rPr>
        <w:t>同时要统筹兼顾</w:t>
      </w:r>
      <w:r>
        <w:rPr>
          <w:rFonts w:hint="eastAsia" w:ascii="MS UI Gothic" w:eastAsia="MS UI Gothic"/>
          <w:spacing w:val="19"/>
          <w:w w:val="90"/>
        </w:rPr>
        <w:t xml:space="preserve">ꎬ </w:t>
      </w:r>
      <w:r>
        <w:rPr>
          <w:spacing w:val="2"/>
          <w:w w:val="95"/>
        </w:rPr>
        <w:t>避免处</w:t>
      </w:r>
      <w:r>
        <w:rPr>
          <w:spacing w:val="3"/>
          <w:w w:val="95"/>
        </w:rPr>
        <w:t>置措施简单粗暴</w:t>
      </w:r>
      <w:r>
        <w:rPr>
          <w:rFonts w:hint="eastAsia" w:ascii="MS UI Gothic" w:eastAsia="MS UI Gothic"/>
          <w:spacing w:val="11"/>
          <w:w w:val="90"/>
        </w:rPr>
        <w:t xml:space="preserve">ꎮ  </w:t>
      </w:r>
      <w:r>
        <w:rPr>
          <w:spacing w:val="2"/>
          <w:w w:val="95"/>
        </w:rPr>
        <w:t>各部门要认真领会会议</w:t>
      </w:r>
      <w:r>
        <w:rPr>
          <w:spacing w:val="3"/>
          <w:w w:val="95"/>
        </w:rPr>
        <w:t>精神</w:t>
      </w:r>
      <w:r>
        <w:rPr>
          <w:rFonts w:hint="eastAsia" w:ascii="MS UI Gothic" w:eastAsia="MS UI Gothic"/>
          <w:spacing w:val="6"/>
          <w:w w:val="90"/>
        </w:rPr>
        <w:t xml:space="preserve">ꎬ </w:t>
      </w:r>
      <w:r>
        <w:rPr>
          <w:spacing w:val="3"/>
          <w:w w:val="95"/>
        </w:rPr>
        <w:t>紧密结合实际</w:t>
      </w:r>
      <w:r>
        <w:rPr>
          <w:rFonts w:hint="eastAsia" w:ascii="MS UI Gothic" w:eastAsia="MS UI Gothic"/>
          <w:spacing w:val="7"/>
          <w:w w:val="90"/>
        </w:rPr>
        <w:t xml:space="preserve">ꎬ </w:t>
      </w:r>
      <w:r>
        <w:rPr>
          <w:spacing w:val="3"/>
          <w:w w:val="95"/>
        </w:rPr>
        <w:t>强化政治意识</w:t>
      </w:r>
      <w:r>
        <w:rPr>
          <w:rFonts w:hint="eastAsia" w:ascii="MS UI Gothic" w:eastAsia="MS UI Gothic"/>
          <w:spacing w:val="2"/>
          <w:w w:val="95"/>
        </w:rPr>
        <w:t xml:space="preserve">、  </w:t>
      </w:r>
      <w:r>
        <w:rPr>
          <w:w w:val="95"/>
        </w:rPr>
        <w:t>大</w:t>
      </w:r>
      <w:r>
        <w:rPr>
          <w:spacing w:val="3"/>
          <w:w w:val="95"/>
        </w:rPr>
        <w:t>局意识和责任担当</w:t>
      </w:r>
      <w:r>
        <w:rPr>
          <w:rFonts w:hint="eastAsia" w:ascii="MS UI Gothic" w:eastAsia="MS UI Gothic"/>
          <w:spacing w:val="11"/>
          <w:w w:val="90"/>
        </w:rPr>
        <w:t xml:space="preserve">ꎬ  </w:t>
      </w:r>
      <w:r>
        <w:rPr>
          <w:spacing w:val="2"/>
          <w:w w:val="95"/>
        </w:rPr>
        <w:t>以加大办理环境污染</w:t>
      </w:r>
      <w:r>
        <w:rPr>
          <w:spacing w:val="4"/>
          <w:w w:val="95"/>
        </w:rPr>
        <w:t>刑事案件工作力度作为切入点和着力点</w:t>
      </w:r>
      <w:r>
        <w:rPr>
          <w:rFonts w:hint="eastAsia" w:ascii="MS UI Gothic" w:eastAsia="MS UI Gothic"/>
          <w:w w:val="90"/>
        </w:rPr>
        <w:t xml:space="preserve">ꎬ </w:t>
      </w:r>
      <w:r>
        <w:rPr>
          <w:spacing w:val="5"/>
          <w:w w:val="95"/>
        </w:rPr>
        <w:t>主动调整工作思路</w:t>
      </w:r>
      <w:r>
        <w:rPr>
          <w:rFonts w:hint="eastAsia" w:ascii="MS UI Gothic" w:eastAsia="MS UI Gothic"/>
          <w:spacing w:val="14"/>
          <w:w w:val="90"/>
        </w:rPr>
        <w:t xml:space="preserve">ꎬ </w:t>
      </w:r>
      <w:r>
        <w:rPr>
          <w:spacing w:val="11"/>
          <w:w w:val="95"/>
        </w:rPr>
        <w:t>积极谋划工作举措</w:t>
      </w:r>
      <w:r>
        <w:rPr>
          <w:rFonts w:hint="eastAsia" w:ascii="MS UI Gothic" w:eastAsia="MS UI Gothic"/>
          <w:w w:val="90"/>
        </w:rPr>
        <w:t>ꎬ</w:t>
      </w:r>
      <w:r>
        <w:rPr>
          <w:spacing w:val="10"/>
          <w:w w:val="95"/>
        </w:rPr>
        <w:t>既要全面履职</w:t>
      </w:r>
      <w:r>
        <w:rPr>
          <w:rFonts w:hint="eastAsia" w:ascii="MS UI Gothic" w:eastAsia="MS UI Gothic"/>
          <w:spacing w:val="1"/>
          <w:w w:val="95"/>
        </w:rPr>
        <w:t xml:space="preserve">、  </w:t>
      </w:r>
      <w:r>
        <w:rPr>
          <w:spacing w:val="18"/>
          <w:w w:val="95"/>
        </w:rPr>
        <w:t>积极作为</w:t>
      </w:r>
      <w:r>
        <w:rPr>
          <w:rFonts w:hint="eastAsia" w:ascii="MS UI Gothic" w:eastAsia="MS UI Gothic"/>
          <w:spacing w:val="5"/>
          <w:w w:val="90"/>
        </w:rPr>
        <w:t xml:space="preserve">ꎬ  </w:t>
      </w:r>
      <w:r>
        <w:rPr>
          <w:spacing w:val="18"/>
          <w:w w:val="95"/>
        </w:rPr>
        <w:t>又要综合施</w:t>
      </w:r>
      <w:r>
        <w:rPr>
          <w:spacing w:val="3"/>
          <w:w w:val="95"/>
        </w:rPr>
        <w:t>策</w:t>
      </w:r>
      <w:r>
        <w:rPr>
          <w:rFonts w:hint="eastAsia" w:ascii="MS UI Gothic" w:eastAsia="MS UI Gothic"/>
          <w:spacing w:val="28"/>
          <w:w w:val="95"/>
        </w:rPr>
        <w:t xml:space="preserve">、 </w:t>
      </w:r>
      <w:r>
        <w:rPr>
          <w:spacing w:val="3"/>
          <w:w w:val="95"/>
        </w:rPr>
        <w:t>精准发力</w:t>
      </w:r>
      <w:r>
        <w:rPr>
          <w:rFonts w:hint="eastAsia" w:ascii="MS UI Gothic" w:eastAsia="MS UI Gothic"/>
          <w:spacing w:val="2"/>
          <w:w w:val="90"/>
        </w:rPr>
        <w:t xml:space="preserve">ꎬ  </w:t>
      </w:r>
      <w:r>
        <w:rPr>
          <w:spacing w:val="2"/>
          <w:w w:val="95"/>
        </w:rPr>
        <w:t>保障污染防治攻坚战顺利</w:t>
      </w:r>
      <w:r>
        <w:rPr>
          <w:spacing w:val="3"/>
          <w:w w:val="95"/>
        </w:rPr>
        <w:t>推进</w:t>
      </w:r>
      <w:r>
        <w:rPr>
          <w:rFonts w:hint="eastAsia" w:ascii="MS UI Gothic" w:eastAsia="MS UI Gothic"/>
          <w:w w:val="90"/>
        </w:rPr>
        <w:t>ꎮ</w:t>
      </w:r>
    </w:p>
    <w:p>
      <w:pPr>
        <w:pStyle w:val="6"/>
        <w:spacing w:before="132"/>
        <w:ind w:left="0" w:right="318" w:firstLine="0"/>
        <w:jc w:val="center"/>
      </w:pPr>
      <w:r>
        <w:rPr>
          <w:w w:val="102"/>
        </w:rPr>
        <w:t>二</w:t>
      </w:r>
    </w:p>
    <w:p>
      <w:pPr>
        <w:pStyle w:val="6"/>
        <w:spacing w:before="215" w:line="295" w:lineRule="auto"/>
        <w:ind w:right="442"/>
      </w:pPr>
      <w:r>
        <w:rPr>
          <w:w w:val="95"/>
        </w:rPr>
        <w:t>会议要求</w:t>
      </w:r>
      <w:r>
        <w:rPr>
          <w:rFonts w:hint="eastAsia" w:ascii="MS UI Gothic" w:hAnsi="MS UI Gothic" w:eastAsia="MS UI Gothic"/>
          <w:w w:val="85"/>
        </w:rPr>
        <w:t xml:space="preserve">ꎬ  </w:t>
      </w:r>
      <w:r>
        <w:rPr>
          <w:w w:val="95"/>
        </w:rPr>
        <w:t xml:space="preserve">各部门要正确理解和准确适用刑法和 </w:t>
      </w:r>
      <w:r>
        <w:rPr>
          <w:rFonts w:hint="eastAsia" w:ascii="MS UI Gothic" w:hAnsi="MS UI Gothic" w:eastAsia="MS UI Gothic"/>
          <w:w w:val="95"/>
        </w:rPr>
        <w:t xml:space="preserve">« </w:t>
      </w:r>
      <w:r>
        <w:rPr>
          <w:w w:val="95"/>
        </w:rPr>
        <w:t>最高人民法院</w:t>
      </w:r>
      <w:r>
        <w:rPr>
          <w:rFonts w:hint="eastAsia" w:ascii="MS UI Gothic" w:hAnsi="MS UI Gothic" w:eastAsia="MS UI Gothic"/>
          <w:w w:val="95"/>
        </w:rPr>
        <w:t xml:space="preserve">、  </w:t>
      </w:r>
      <w:r>
        <w:rPr>
          <w:w w:val="95"/>
        </w:rPr>
        <w:t>最高人民检察院关于办理环境污染刑事案件适用法  律若干问题的解释</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 xml:space="preserve">法释 </w:t>
      </w:r>
      <w:r>
        <w:rPr>
          <w:rFonts w:hint="eastAsia" w:ascii="MS UI Gothic" w:hAnsi="MS UI Gothic" w:eastAsia="MS UI Gothic"/>
          <w:w w:val="95"/>
        </w:rPr>
        <w:t xml:space="preserve">〔２０１６〕  ２９ </w:t>
      </w:r>
      <w:r>
        <w:rPr>
          <w:w w:val="95"/>
        </w:rPr>
        <w:t>号</w:t>
      </w:r>
      <w:r>
        <w:rPr>
          <w:rFonts w:hint="eastAsia" w:ascii="MS UI Gothic" w:hAnsi="MS UI Gothic" w:eastAsia="MS UI Gothic"/>
          <w:w w:val="85"/>
        </w:rPr>
        <w:t xml:space="preserve">ꎬ </w:t>
      </w:r>
      <w:r>
        <w:rPr>
          <w:w w:val="95"/>
        </w:rPr>
        <w:t xml:space="preserve">以下称 </w:t>
      </w:r>
      <w:r>
        <w:rPr>
          <w:rFonts w:hint="eastAsia" w:ascii="MS UI Gothic" w:hAnsi="MS UI Gothic" w:eastAsia="MS UI Gothic"/>
          <w:w w:val="95"/>
        </w:rPr>
        <w:t xml:space="preserve">« </w:t>
      </w:r>
      <w:r>
        <w:rPr>
          <w:w w:val="95"/>
        </w:rPr>
        <w:t>环境解释</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的规定</w:t>
      </w:r>
      <w:r>
        <w:rPr>
          <w:rFonts w:hint="eastAsia" w:ascii="MS UI Gothic" w:hAnsi="MS UI Gothic" w:eastAsia="MS UI Gothic"/>
          <w:w w:val="85"/>
        </w:rPr>
        <w:t xml:space="preserve">ꎬ </w:t>
      </w:r>
      <w:r>
        <w:rPr>
          <w:w w:val="95"/>
        </w:rPr>
        <w:t>坚</w:t>
      </w:r>
    </w:p>
    <w:p>
      <w:pPr>
        <w:spacing w:after="0" w:line="295" w:lineRule="auto"/>
        <w:sectPr>
          <w:type w:val="continuous"/>
          <w:pgSz w:w="10500" w:h="14750"/>
          <w:pgMar w:top="1400" w:right="980" w:bottom="280" w:left="980" w:header="720" w:footer="720" w:gutter="0"/>
          <w:cols w:equalWidth="0" w:num="2">
            <w:col w:w="3934" w:space="258"/>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２５</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25" o:spid="_x0000_s1125" o:spt="203" style="height:2.15pt;width:398.25pt;" coordsize="7965,43">
            <o:lock v:ext="edit"/>
            <v:line id="_x0000_s1126" o:spid="_x0000_s1126" o:spt="20" style="position:absolute;left:0;top:39;height:0;width:7965;" stroked="t" coordsize="21600,21600">
              <v:path arrowok="t"/>
              <v:fill focussize="0,0"/>
              <v:stroke weight="0.388031496062992pt" color="#231F20"/>
              <v:imagedata o:title=""/>
              <o:lock v:ext="edit"/>
            </v:line>
            <v:line id="_x0000_s1127" o:spid="_x0000_s112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持最严格的环保司法制度</w:t>
      </w:r>
      <w:r>
        <w:rPr>
          <w:rFonts w:hint="eastAsia" w:ascii="MS UI Gothic" w:eastAsia="MS UI Gothic"/>
          <w:w w:val="80"/>
        </w:rPr>
        <w:t xml:space="preserve">、 </w:t>
      </w:r>
      <w:r>
        <w:t>最严密的环保法治理念</w:t>
      </w:r>
      <w:r>
        <w:rPr>
          <w:rFonts w:hint="eastAsia" w:ascii="MS UI Gothic" w:eastAsia="MS UI Gothic"/>
          <w:w w:val="80"/>
        </w:rPr>
        <w:t xml:space="preserve">ꎬ </w:t>
      </w:r>
      <w:r>
        <w:t>统一执法司法尺度</w:t>
      </w:r>
      <w:r>
        <w:rPr>
          <w:rFonts w:hint="eastAsia" w:ascii="MS UI Gothic" w:eastAsia="MS UI Gothic"/>
          <w:w w:val="80"/>
        </w:rPr>
        <w:t xml:space="preserve">ꎬ </w:t>
      </w:r>
      <w:r>
        <w:t>加大对环境污染犯罪的惩治力度</w:t>
      </w:r>
      <w:r>
        <w:rPr>
          <w:rFonts w:hint="eastAsia" w:ascii="MS UI Gothic" w:eastAsia="MS UI Gothic"/>
          <w:w w:val="80"/>
        </w:rPr>
        <w:t>ꎮ</w:t>
      </w:r>
    </w:p>
    <w:p>
      <w:pPr>
        <w:pStyle w:val="6"/>
        <w:spacing w:line="254" w:lineRule="exact"/>
        <w:ind w:left="854" w:firstLine="0"/>
      </w:pPr>
      <w:r>
        <w:rPr>
          <w:rFonts w:hint="eastAsia" w:ascii="MS UI Gothic" w:eastAsia="MS UI Gothic"/>
        </w:rPr>
        <w:t xml:space="preserve">１ </w:t>
      </w:r>
      <w:r>
        <w:t>关于单位犯罪的认定</w:t>
      </w:r>
    </w:p>
    <w:p>
      <w:pPr>
        <w:pStyle w:val="6"/>
        <w:spacing w:before="58" w:line="295" w:lineRule="auto"/>
        <w:ind w:left="440"/>
        <w:rPr>
          <w:rFonts w:hint="eastAsia" w:ascii="MS UI Gothic" w:eastAsia="MS UI Gothic"/>
        </w:rPr>
      </w:pPr>
      <w:r>
        <w:t>会议针对一些地方存在追究自然人犯罪多</w:t>
      </w:r>
      <w:r>
        <w:rPr>
          <w:rFonts w:hint="eastAsia" w:ascii="MS UI Gothic" w:eastAsia="MS UI Gothic"/>
          <w:w w:val="80"/>
        </w:rPr>
        <w:t xml:space="preserve">ꎬ </w:t>
      </w:r>
      <w:r>
        <w:t>追究单位犯罪少</w:t>
      </w:r>
      <w:r>
        <w:rPr>
          <w:rFonts w:hint="eastAsia" w:ascii="MS UI Gothic" w:eastAsia="MS UI Gothic"/>
          <w:w w:val="80"/>
        </w:rPr>
        <w:t xml:space="preserve">ꎬ </w:t>
      </w:r>
      <w:r>
        <w:t>单位犯罪认定难的情况和问题进行了讨论</w:t>
      </w:r>
      <w:r>
        <w:rPr>
          <w:rFonts w:hint="eastAsia" w:ascii="MS UI Gothic" w:eastAsia="MS UI Gothic"/>
          <w:w w:val="80"/>
        </w:rPr>
        <w:t xml:space="preserve">ꎮ </w:t>
      </w:r>
      <w:r>
        <w:t>会议认为</w:t>
      </w:r>
      <w:r>
        <w:rPr>
          <w:rFonts w:hint="eastAsia" w:ascii="MS UI Gothic" w:eastAsia="MS UI Gothic"/>
          <w:w w:val="80"/>
        </w:rPr>
        <w:t xml:space="preserve">ꎬ </w:t>
      </w:r>
      <w:r>
        <w:t>办理环境污染犯罪案件</w:t>
      </w:r>
      <w:r>
        <w:rPr>
          <w:rFonts w:hint="eastAsia" w:ascii="MS UI Gothic" w:eastAsia="MS UI Gothic"/>
          <w:w w:val="80"/>
        </w:rPr>
        <w:t xml:space="preserve">ꎬ </w:t>
      </w:r>
      <w:r>
        <w:t>认定单位犯罪时</w:t>
      </w:r>
      <w:r>
        <w:rPr>
          <w:rFonts w:hint="eastAsia" w:ascii="MS UI Gothic" w:eastAsia="MS UI Gothic"/>
          <w:w w:val="80"/>
        </w:rPr>
        <w:t>ꎬ</w:t>
      </w:r>
      <w:r>
        <w:t>应当依法合理把握追究刑事责任的范围</w:t>
      </w:r>
      <w:r>
        <w:rPr>
          <w:rFonts w:hint="eastAsia" w:ascii="MS UI Gothic" w:eastAsia="MS UI Gothic"/>
          <w:w w:val="80"/>
        </w:rPr>
        <w:t>ꎬ</w:t>
      </w:r>
      <w:r>
        <w:t>贯彻宽严相济刑事政策</w:t>
      </w:r>
      <w:r>
        <w:rPr>
          <w:rFonts w:hint="eastAsia" w:ascii="MS UI Gothic" w:eastAsia="MS UI Gothic"/>
          <w:w w:val="80"/>
        </w:rPr>
        <w:t xml:space="preserve">ꎬ </w:t>
      </w:r>
      <w:r>
        <w:t>重点打击出资者</w:t>
      </w:r>
      <w:r>
        <w:rPr>
          <w:rFonts w:hint="eastAsia" w:ascii="MS UI Gothic" w:eastAsia="MS UI Gothic"/>
          <w:w w:val="80"/>
        </w:rPr>
        <w:t xml:space="preserve">、 </w:t>
      </w:r>
      <w:r>
        <w:t>经营者和主要获利者</w:t>
      </w:r>
      <w:r>
        <w:rPr>
          <w:rFonts w:hint="eastAsia" w:ascii="MS UI Gothic" w:eastAsia="MS UI Gothic"/>
          <w:w w:val="80"/>
        </w:rPr>
        <w:t xml:space="preserve">ꎬ </w:t>
      </w:r>
      <w:r>
        <w:t>既要防止不当缩小追究刑事责任的人员范围</w:t>
      </w:r>
      <w:r>
        <w:rPr>
          <w:rFonts w:hint="eastAsia" w:ascii="MS UI Gothic" w:eastAsia="MS UI Gothic"/>
          <w:w w:val="80"/>
        </w:rPr>
        <w:t xml:space="preserve">ꎬ </w:t>
      </w:r>
      <w:r>
        <w:t>又要防止打击面过大</w:t>
      </w:r>
      <w:r>
        <w:rPr>
          <w:rFonts w:hint="eastAsia" w:ascii="MS UI Gothic" w:eastAsia="MS UI Gothic"/>
          <w:w w:val="80"/>
        </w:rPr>
        <w:t>ꎮ</w:t>
      </w:r>
    </w:p>
    <w:p>
      <w:pPr>
        <w:pStyle w:val="6"/>
        <w:spacing w:line="295" w:lineRule="auto"/>
        <w:ind w:left="440"/>
        <w:rPr>
          <w:rFonts w:hint="eastAsia" w:ascii="MS UI Gothic" w:eastAsia="MS UI Gothic"/>
        </w:rPr>
      </w:pPr>
      <w:r>
        <w:rPr>
          <w:spacing w:val="7"/>
        </w:rPr>
        <w:t>为了单位利益</w:t>
      </w:r>
      <w:r>
        <w:rPr>
          <w:rFonts w:hint="eastAsia" w:ascii="MS UI Gothic" w:eastAsia="MS UI Gothic"/>
          <w:spacing w:val="16"/>
          <w:w w:val="80"/>
        </w:rPr>
        <w:t xml:space="preserve">ꎬ </w:t>
      </w:r>
      <w:r>
        <w:rPr>
          <w:spacing w:val="11"/>
        </w:rPr>
        <w:t>实施环境污染行为</w:t>
      </w:r>
      <w:r>
        <w:rPr>
          <w:rFonts w:hint="eastAsia" w:ascii="MS UI Gothic" w:eastAsia="MS UI Gothic"/>
          <w:w w:val="80"/>
        </w:rPr>
        <w:t>ꎬ</w:t>
      </w:r>
      <w:r>
        <w:rPr>
          <w:spacing w:val="3"/>
        </w:rPr>
        <w:t>并具有下列情形之一的</w:t>
      </w:r>
      <w:r>
        <w:rPr>
          <w:rFonts w:hint="eastAsia" w:ascii="MS UI Gothic" w:eastAsia="MS UI Gothic"/>
          <w:spacing w:val="21"/>
          <w:w w:val="80"/>
        </w:rPr>
        <w:t xml:space="preserve">ꎬ </w:t>
      </w:r>
      <w:r>
        <w:rPr>
          <w:spacing w:val="2"/>
        </w:rPr>
        <w:t>应当认定为单位</w:t>
      </w:r>
      <w:r>
        <w:rPr>
          <w:spacing w:val="3"/>
          <w:w w:val="102"/>
        </w:rPr>
        <w:t>犯罪</w:t>
      </w:r>
      <w:r>
        <w:rPr>
          <w:rFonts w:hint="eastAsia" w:ascii="MS UI Gothic" w:eastAsia="MS UI Gothic"/>
          <w:w w:val="253"/>
        </w:rPr>
        <w:t>:</w:t>
      </w:r>
      <w:r>
        <w:rPr>
          <w:rFonts w:hint="eastAsia" w:ascii="MS UI Gothic" w:eastAsia="MS UI Gothic"/>
          <w:spacing w:val="-8"/>
        </w:rPr>
        <w:t xml:space="preserve">   </w:t>
      </w:r>
      <w:r>
        <w:rPr>
          <w:rFonts w:hint="eastAsia" w:ascii="MS UI Gothic" w:eastAsia="MS UI Gothic"/>
          <w:w w:val="168"/>
        </w:rPr>
        <w:t>(</w:t>
      </w:r>
      <w:r>
        <w:rPr>
          <w:rFonts w:hint="eastAsia" w:ascii="MS UI Gothic" w:eastAsia="MS UI Gothic"/>
          <w:spacing w:val="-40"/>
        </w:rPr>
        <w:t xml:space="preserve"> </w:t>
      </w:r>
      <w:r>
        <w:rPr>
          <w:rFonts w:hint="eastAsia" w:ascii="MS UI Gothic" w:eastAsia="MS UI Gothic"/>
          <w:spacing w:val="11"/>
          <w:w w:val="75"/>
        </w:rPr>
        <w:t>１</w:t>
      </w:r>
      <w:r>
        <w:rPr>
          <w:rFonts w:hint="eastAsia" w:ascii="MS UI Gothic" w:eastAsia="MS UI Gothic"/>
          <w:w w:val="168"/>
        </w:rPr>
        <w:t>)</w:t>
      </w:r>
      <w:r>
        <w:rPr>
          <w:rFonts w:hint="eastAsia" w:ascii="MS UI Gothic" w:eastAsia="MS UI Gothic"/>
          <w:spacing w:val="5"/>
        </w:rPr>
        <w:t xml:space="preserve">  </w:t>
      </w:r>
      <w:r>
        <w:rPr>
          <w:spacing w:val="10"/>
          <w:w w:val="102"/>
        </w:rPr>
        <w:t>经单位决策机构按照决策程</w:t>
      </w:r>
      <w:r>
        <w:rPr>
          <w:spacing w:val="3"/>
          <w:w w:val="102"/>
        </w:rPr>
        <w:t>序决定的</w:t>
      </w:r>
      <w:r>
        <w:rPr>
          <w:rFonts w:hint="eastAsia" w:ascii="MS UI Gothic" w:eastAsia="MS UI Gothic"/>
          <w:w w:val="51"/>
        </w:rPr>
        <w:t>ꎻ</w:t>
      </w:r>
      <w:r>
        <w:rPr>
          <w:rFonts w:hint="eastAsia" w:ascii="MS UI Gothic" w:eastAsia="MS UI Gothic"/>
          <w:spacing w:val="-1"/>
        </w:rPr>
        <w:t xml:space="preserve">   </w:t>
      </w:r>
      <w:r>
        <w:rPr>
          <w:rFonts w:hint="eastAsia" w:ascii="MS UI Gothic" w:eastAsia="MS UI Gothic"/>
          <w:w w:val="168"/>
        </w:rPr>
        <w:t>(</w:t>
      </w:r>
      <w:r>
        <w:rPr>
          <w:rFonts w:hint="eastAsia" w:ascii="MS UI Gothic" w:eastAsia="MS UI Gothic"/>
          <w:spacing w:val="-38"/>
        </w:rPr>
        <w:t xml:space="preserve"> </w:t>
      </w:r>
      <w:r>
        <w:rPr>
          <w:rFonts w:hint="eastAsia" w:ascii="MS UI Gothic" w:eastAsia="MS UI Gothic"/>
          <w:spacing w:val="13"/>
          <w:w w:val="75"/>
        </w:rPr>
        <w:t>２</w:t>
      </w:r>
      <w:r>
        <w:rPr>
          <w:rFonts w:hint="eastAsia" w:ascii="MS UI Gothic" w:eastAsia="MS UI Gothic"/>
          <w:w w:val="168"/>
        </w:rPr>
        <w:t>)</w:t>
      </w:r>
      <w:r>
        <w:rPr>
          <w:rFonts w:hint="eastAsia" w:ascii="MS UI Gothic" w:eastAsia="MS UI Gothic"/>
          <w:spacing w:val="6"/>
        </w:rPr>
        <w:t xml:space="preserve">  </w:t>
      </w:r>
      <w:r>
        <w:rPr>
          <w:spacing w:val="11"/>
          <w:w w:val="102"/>
        </w:rPr>
        <w:t>经单位实际控制人</w:t>
      </w:r>
      <w:r>
        <w:rPr>
          <w:rFonts w:hint="eastAsia" w:ascii="MS UI Gothic" w:eastAsia="MS UI Gothic"/>
          <w:w w:val="77"/>
        </w:rPr>
        <w:t>、</w:t>
      </w:r>
      <w:r>
        <w:rPr>
          <w:rFonts w:hint="eastAsia" w:ascii="MS UI Gothic" w:eastAsia="MS UI Gothic"/>
          <w:spacing w:val="-4"/>
        </w:rPr>
        <w:t xml:space="preserve">  </w:t>
      </w:r>
      <w:r>
        <w:rPr>
          <w:w w:val="102"/>
        </w:rPr>
        <w:t>主</w:t>
      </w:r>
      <w:r>
        <w:rPr>
          <w:spacing w:val="3"/>
          <w:w w:val="105"/>
        </w:rPr>
        <w:t>要负责人或者授权的分管负责人决定</w:t>
      </w:r>
      <w:r>
        <w:rPr>
          <w:rFonts w:hint="eastAsia" w:ascii="MS UI Gothic" w:eastAsia="MS UI Gothic"/>
          <w:spacing w:val="-4"/>
          <w:w w:val="80"/>
        </w:rPr>
        <w:t xml:space="preserve">、 </w:t>
      </w:r>
      <w:r>
        <w:rPr>
          <w:w w:val="105"/>
        </w:rPr>
        <w:t>同</w:t>
      </w:r>
      <w:r>
        <w:rPr>
          <w:spacing w:val="3"/>
          <w:w w:val="102"/>
        </w:rPr>
        <w:t>意的</w:t>
      </w:r>
      <w:r>
        <w:rPr>
          <w:rFonts w:hint="eastAsia" w:ascii="MS UI Gothic" w:eastAsia="MS UI Gothic"/>
          <w:w w:val="51"/>
        </w:rPr>
        <w:t>ꎻ</w:t>
      </w:r>
      <w:r>
        <w:rPr>
          <w:rFonts w:hint="eastAsia" w:ascii="MS UI Gothic" w:eastAsia="MS UI Gothic"/>
          <w:spacing w:val="-8"/>
        </w:rPr>
        <w:t xml:space="preserve">   </w:t>
      </w:r>
      <w:r>
        <w:rPr>
          <w:rFonts w:hint="eastAsia" w:ascii="MS UI Gothic" w:eastAsia="MS UI Gothic"/>
          <w:w w:val="168"/>
        </w:rPr>
        <w:t>(</w:t>
      </w:r>
      <w:r>
        <w:rPr>
          <w:rFonts w:hint="eastAsia" w:ascii="MS UI Gothic" w:eastAsia="MS UI Gothic"/>
          <w:spacing w:val="-38"/>
        </w:rPr>
        <w:t xml:space="preserve"> </w:t>
      </w:r>
      <w:r>
        <w:rPr>
          <w:rFonts w:hint="eastAsia" w:ascii="MS UI Gothic" w:eastAsia="MS UI Gothic"/>
          <w:spacing w:val="13"/>
          <w:w w:val="75"/>
        </w:rPr>
        <w:t>３</w:t>
      </w:r>
      <w:r>
        <w:rPr>
          <w:rFonts w:hint="eastAsia" w:ascii="MS UI Gothic" w:eastAsia="MS UI Gothic"/>
          <w:w w:val="168"/>
        </w:rPr>
        <w:t>)</w:t>
      </w:r>
      <w:r>
        <w:rPr>
          <w:rFonts w:hint="eastAsia" w:ascii="MS UI Gothic" w:eastAsia="MS UI Gothic"/>
          <w:spacing w:val="6"/>
        </w:rPr>
        <w:t xml:space="preserve">  </w:t>
      </w:r>
      <w:r>
        <w:rPr>
          <w:spacing w:val="11"/>
          <w:w w:val="102"/>
        </w:rPr>
        <w:t>单位实际控制人</w:t>
      </w:r>
      <w:r>
        <w:rPr>
          <w:rFonts w:hint="eastAsia" w:ascii="MS UI Gothic" w:eastAsia="MS UI Gothic"/>
          <w:w w:val="77"/>
        </w:rPr>
        <w:t>、</w:t>
      </w:r>
      <w:r>
        <w:rPr>
          <w:rFonts w:hint="eastAsia" w:ascii="MS UI Gothic" w:eastAsia="MS UI Gothic"/>
          <w:spacing w:val="-4"/>
        </w:rPr>
        <w:t xml:space="preserve">  </w:t>
      </w:r>
      <w:r>
        <w:rPr>
          <w:spacing w:val="9"/>
          <w:w w:val="102"/>
        </w:rPr>
        <w:t>主要负责</w:t>
      </w:r>
      <w:r>
        <w:rPr>
          <w:spacing w:val="2"/>
        </w:rPr>
        <w:t>人或者授权的分管负责人得知单位成员个</w:t>
      </w:r>
      <w:r>
        <w:rPr>
          <w:spacing w:val="3"/>
        </w:rPr>
        <w:t>人实施环境污染犯罪行为</w:t>
      </w:r>
      <w:r>
        <w:rPr>
          <w:rFonts w:hint="eastAsia" w:ascii="MS UI Gothic" w:eastAsia="MS UI Gothic"/>
          <w:spacing w:val="21"/>
          <w:w w:val="80"/>
        </w:rPr>
        <w:t xml:space="preserve">ꎬ </w:t>
      </w:r>
      <w:r>
        <w:rPr>
          <w:spacing w:val="2"/>
        </w:rPr>
        <w:t>并未加以制止</w:t>
      </w:r>
      <w:r>
        <w:rPr>
          <w:spacing w:val="3"/>
          <w:w w:val="105"/>
        </w:rPr>
        <w:t>或者及时采取措施</w:t>
      </w:r>
      <w:r>
        <w:rPr>
          <w:rFonts w:hint="eastAsia" w:ascii="MS UI Gothic" w:eastAsia="MS UI Gothic"/>
          <w:spacing w:val="-2"/>
          <w:w w:val="80"/>
        </w:rPr>
        <w:t xml:space="preserve">ꎬ </w:t>
      </w:r>
      <w:r>
        <w:rPr>
          <w:spacing w:val="3"/>
          <w:w w:val="105"/>
        </w:rPr>
        <w:t>而是予以追认</w:t>
      </w:r>
      <w:r>
        <w:rPr>
          <w:rFonts w:hint="eastAsia" w:ascii="MS UI Gothic" w:eastAsia="MS UI Gothic"/>
          <w:spacing w:val="-1"/>
          <w:w w:val="80"/>
        </w:rPr>
        <w:t xml:space="preserve">、 </w:t>
      </w:r>
      <w:r>
        <w:rPr>
          <w:spacing w:val="1"/>
          <w:w w:val="105"/>
        </w:rPr>
        <w:t>纵容</w:t>
      </w:r>
      <w:r>
        <w:rPr>
          <w:spacing w:val="5"/>
          <w:w w:val="102"/>
        </w:rPr>
        <w:t>或者默许的</w:t>
      </w:r>
      <w:r>
        <w:rPr>
          <w:rFonts w:hint="eastAsia" w:ascii="MS UI Gothic" w:eastAsia="MS UI Gothic"/>
          <w:w w:val="51"/>
        </w:rPr>
        <w:t>ꎻ</w:t>
      </w:r>
      <w:r>
        <w:rPr>
          <w:rFonts w:hint="eastAsia" w:ascii="MS UI Gothic" w:eastAsia="MS UI Gothic"/>
          <w:spacing w:val="-3"/>
        </w:rPr>
        <w:t xml:space="preserve">    </w:t>
      </w:r>
      <w:r>
        <w:rPr>
          <w:rFonts w:hint="eastAsia" w:ascii="MS UI Gothic" w:eastAsia="MS UI Gothic"/>
          <w:w w:val="168"/>
        </w:rPr>
        <w:t>(</w:t>
      </w:r>
      <w:r>
        <w:rPr>
          <w:rFonts w:hint="eastAsia" w:ascii="MS UI Gothic" w:eastAsia="MS UI Gothic"/>
          <w:spacing w:val="-38"/>
        </w:rPr>
        <w:t xml:space="preserve"> </w:t>
      </w:r>
      <w:r>
        <w:rPr>
          <w:rFonts w:hint="eastAsia" w:ascii="MS UI Gothic" w:eastAsia="MS UI Gothic"/>
          <w:spacing w:val="13"/>
          <w:w w:val="75"/>
        </w:rPr>
        <w:t>４</w:t>
      </w:r>
      <w:r>
        <w:rPr>
          <w:rFonts w:hint="eastAsia" w:ascii="MS UI Gothic" w:eastAsia="MS UI Gothic"/>
          <w:w w:val="168"/>
        </w:rPr>
        <w:t>)</w:t>
      </w:r>
      <w:r>
        <w:rPr>
          <w:rFonts w:hint="eastAsia" w:ascii="MS UI Gothic" w:eastAsia="MS UI Gothic"/>
          <w:spacing w:val="6"/>
        </w:rPr>
        <w:t xml:space="preserve">  </w:t>
      </w:r>
      <w:r>
        <w:rPr>
          <w:spacing w:val="17"/>
          <w:w w:val="102"/>
        </w:rPr>
        <w:t>使用单位营业执照</w:t>
      </w:r>
      <w:r>
        <w:rPr>
          <w:rFonts w:hint="eastAsia" w:ascii="MS UI Gothic" w:eastAsia="MS UI Gothic"/>
          <w:w w:val="77"/>
        </w:rPr>
        <w:t>、</w:t>
      </w:r>
      <w:r>
        <w:rPr>
          <w:spacing w:val="3"/>
          <w:w w:val="105"/>
        </w:rPr>
        <w:t>合同书</w:t>
      </w:r>
      <w:r>
        <w:rPr>
          <w:rFonts w:hint="eastAsia" w:ascii="MS UI Gothic" w:eastAsia="MS UI Gothic"/>
          <w:spacing w:val="8"/>
          <w:w w:val="80"/>
        </w:rPr>
        <w:t xml:space="preserve">、 </w:t>
      </w:r>
      <w:r>
        <w:rPr>
          <w:spacing w:val="3"/>
          <w:w w:val="105"/>
        </w:rPr>
        <w:t>公章</w:t>
      </w:r>
      <w:r>
        <w:rPr>
          <w:rFonts w:hint="eastAsia" w:ascii="MS UI Gothic" w:eastAsia="MS UI Gothic"/>
          <w:spacing w:val="8"/>
          <w:w w:val="80"/>
        </w:rPr>
        <w:t xml:space="preserve">、 </w:t>
      </w:r>
      <w:r>
        <w:rPr>
          <w:spacing w:val="3"/>
          <w:w w:val="105"/>
        </w:rPr>
        <w:t>印鉴等对外开展活动</w:t>
      </w:r>
      <w:r>
        <w:rPr>
          <w:rFonts w:hint="eastAsia" w:ascii="MS UI Gothic" w:eastAsia="MS UI Gothic"/>
          <w:spacing w:val="8"/>
          <w:w w:val="80"/>
        </w:rPr>
        <w:t xml:space="preserve">ꎬ </w:t>
      </w:r>
      <w:r>
        <w:rPr>
          <w:w w:val="105"/>
        </w:rPr>
        <w:t>并</w:t>
      </w:r>
      <w:r>
        <w:rPr>
          <w:spacing w:val="3"/>
          <w:w w:val="105"/>
        </w:rPr>
        <w:t>调用单位车辆</w:t>
      </w:r>
      <w:r>
        <w:rPr>
          <w:rFonts w:hint="eastAsia" w:ascii="MS UI Gothic" w:eastAsia="MS UI Gothic"/>
          <w:spacing w:val="16"/>
          <w:w w:val="80"/>
        </w:rPr>
        <w:t xml:space="preserve">、 </w:t>
      </w:r>
      <w:r>
        <w:rPr>
          <w:spacing w:val="3"/>
          <w:w w:val="105"/>
        </w:rPr>
        <w:t>船舶</w:t>
      </w:r>
      <w:r>
        <w:rPr>
          <w:rFonts w:hint="eastAsia" w:ascii="MS UI Gothic" w:eastAsia="MS UI Gothic"/>
          <w:spacing w:val="17"/>
          <w:w w:val="80"/>
        </w:rPr>
        <w:t xml:space="preserve">、 </w:t>
      </w:r>
      <w:r>
        <w:rPr>
          <w:spacing w:val="3"/>
          <w:w w:val="105"/>
        </w:rPr>
        <w:t>生产设备</w:t>
      </w:r>
      <w:r>
        <w:rPr>
          <w:rFonts w:hint="eastAsia" w:ascii="MS UI Gothic" w:eastAsia="MS UI Gothic"/>
          <w:spacing w:val="17"/>
          <w:w w:val="80"/>
        </w:rPr>
        <w:t xml:space="preserve">、 </w:t>
      </w:r>
      <w:r>
        <w:rPr>
          <w:spacing w:val="2"/>
          <w:w w:val="105"/>
        </w:rPr>
        <w:t>原辅材</w:t>
      </w:r>
      <w:r>
        <w:rPr>
          <w:spacing w:val="3"/>
          <w:w w:val="110"/>
        </w:rPr>
        <w:t>料等实施环境污染犯罪行为的</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t xml:space="preserve">单位犯罪中的 </w:t>
      </w:r>
      <w:r>
        <w:rPr>
          <w:rFonts w:hint="eastAsia" w:ascii="MS UI Gothic" w:hAnsi="MS UI Gothic" w:eastAsia="MS UI Gothic"/>
        </w:rPr>
        <w:t xml:space="preserve">“ </w:t>
      </w:r>
      <w:r>
        <w:t>直接负责的主管人员</w:t>
      </w:r>
      <w:r>
        <w:rPr>
          <w:rFonts w:hint="eastAsia" w:ascii="MS UI Gothic" w:hAnsi="MS UI Gothic" w:eastAsia="MS UI Gothic"/>
        </w:rPr>
        <w:t xml:space="preserve">” </w:t>
      </w:r>
      <w:r>
        <w:rPr>
          <w:rFonts w:hint="eastAsia" w:ascii="MS UI Gothic" w:hAnsi="MS UI Gothic" w:eastAsia="MS UI Gothic"/>
          <w:w w:val="80"/>
        </w:rPr>
        <w:t xml:space="preserve">ꎬ </w:t>
      </w:r>
      <w:r>
        <w:t>一般是指对单位犯罪起决定</w:t>
      </w:r>
      <w:r>
        <w:rPr>
          <w:rFonts w:hint="eastAsia" w:ascii="MS UI Gothic" w:hAnsi="MS UI Gothic" w:eastAsia="MS UI Gothic"/>
          <w:w w:val="80"/>
        </w:rPr>
        <w:t xml:space="preserve">、 </w:t>
      </w:r>
      <w:r>
        <w:t>批准</w:t>
      </w:r>
      <w:r>
        <w:rPr>
          <w:rFonts w:hint="eastAsia" w:ascii="MS UI Gothic" w:hAnsi="MS UI Gothic" w:eastAsia="MS UI Gothic"/>
          <w:w w:val="80"/>
        </w:rPr>
        <w:t xml:space="preserve">、 </w:t>
      </w:r>
      <w:r>
        <w:t>组织</w:t>
      </w:r>
      <w:r>
        <w:rPr>
          <w:rFonts w:hint="eastAsia" w:ascii="MS UI Gothic" w:hAnsi="MS UI Gothic" w:eastAsia="MS UI Gothic"/>
          <w:w w:val="80"/>
        </w:rPr>
        <w:t xml:space="preserve">、 </w:t>
      </w:r>
      <w:r>
        <w:t>策划</w:t>
      </w:r>
      <w:r>
        <w:rPr>
          <w:rFonts w:hint="eastAsia" w:ascii="MS UI Gothic" w:hAnsi="MS UI Gothic" w:eastAsia="MS UI Gothic"/>
          <w:w w:val="80"/>
        </w:rPr>
        <w:t xml:space="preserve">、 </w:t>
      </w:r>
      <w:r>
        <w:t>指挥</w:t>
      </w:r>
      <w:r>
        <w:rPr>
          <w:rFonts w:hint="eastAsia" w:ascii="MS UI Gothic" w:hAnsi="MS UI Gothic" w:eastAsia="MS UI Gothic"/>
          <w:w w:val="80"/>
        </w:rPr>
        <w:t xml:space="preserve">、  </w:t>
      </w:r>
      <w:r>
        <w:t>授意</w:t>
      </w:r>
      <w:r>
        <w:rPr>
          <w:rFonts w:hint="eastAsia" w:ascii="MS UI Gothic" w:hAnsi="MS UI Gothic" w:eastAsia="MS UI Gothic"/>
          <w:w w:val="80"/>
        </w:rPr>
        <w:t xml:space="preserve">、  </w:t>
      </w:r>
      <w:r>
        <w:t>纵容等作用的主管人员</w:t>
      </w:r>
      <w:r>
        <w:rPr>
          <w:rFonts w:hint="eastAsia" w:ascii="MS UI Gothic" w:hAnsi="MS UI Gothic" w:eastAsia="MS UI Gothic"/>
          <w:w w:val="80"/>
        </w:rPr>
        <w:t xml:space="preserve">ꎬ </w:t>
      </w:r>
      <w:r>
        <w:t>包括单位实际控制人</w:t>
      </w:r>
      <w:r>
        <w:rPr>
          <w:rFonts w:hint="eastAsia" w:ascii="MS UI Gothic" w:hAnsi="MS UI Gothic" w:eastAsia="MS UI Gothic"/>
          <w:w w:val="80"/>
        </w:rPr>
        <w:t xml:space="preserve">、 </w:t>
      </w:r>
      <w:r>
        <w:t>主要负责人或者授权的分管负责人</w:t>
      </w:r>
      <w:r>
        <w:rPr>
          <w:rFonts w:hint="eastAsia" w:ascii="MS UI Gothic" w:hAnsi="MS UI Gothic" w:eastAsia="MS UI Gothic"/>
          <w:w w:val="80"/>
        </w:rPr>
        <w:t xml:space="preserve">、 </w:t>
      </w:r>
      <w:r>
        <w:t>高级管理人员等</w:t>
      </w:r>
      <w:r>
        <w:rPr>
          <w:rFonts w:hint="eastAsia" w:ascii="MS UI Gothic" w:hAnsi="MS UI Gothic" w:eastAsia="MS UI Gothic"/>
          <w:w w:val="80"/>
        </w:rPr>
        <w:t xml:space="preserve">ꎻ </w:t>
      </w:r>
      <w:r>
        <w:rPr>
          <w:rFonts w:hint="eastAsia" w:ascii="MS UI Gothic" w:hAnsi="MS UI Gothic" w:eastAsia="MS UI Gothic"/>
        </w:rPr>
        <w:t xml:space="preserve">“ </w:t>
      </w:r>
      <w:r>
        <w:t>其他直接责任人员</w:t>
      </w:r>
      <w:r>
        <w:rPr>
          <w:rFonts w:hint="eastAsia" w:ascii="MS UI Gothic" w:hAnsi="MS UI Gothic" w:eastAsia="MS UI Gothic"/>
        </w:rPr>
        <w:t xml:space="preserve">” </w:t>
      </w:r>
      <w:r>
        <w:rPr>
          <w:rFonts w:hint="eastAsia" w:ascii="MS UI Gothic" w:hAnsi="MS UI Gothic" w:eastAsia="MS UI Gothic"/>
          <w:w w:val="80"/>
        </w:rPr>
        <w:t xml:space="preserve">ꎬ </w:t>
      </w:r>
      <w:r>
        <w:t>一般是指在直接负责的主管人员的指挥</w:t>
      </w:r>
      <w:r>
        <w:rPr>
          <w:rFonts w:hint="eastAsia" w:ascii="MS UI Gothic" w:hAnsi="MS UI Gothic" w:eastAsia="MS UI Gothic"/>
          <w:w w:val="80"/>
        </w:rPr>
        <w:t xml:space="preserve">、 </w:t>
      </w:r>
      <w:r>
        <w:t>授意下积极参与实施单位犯罪或者对具体实施单位犯罪起较大作用的人员</w:t>
      </w:r>
      <w:r>
        <w:rPr>
          <w:rFonts w:hint="eastAsia" w:ascii="MS UI Gothic" w:hAnsi="MS UI Gothic" w:eastAsia="MS UI Gothic"/>
          <w:w w:val="80"/>
        </w:rPr>
        <w:t>ꎮ</w:t>
      </w:r>
    </w:p>
    <w:p>
      <w:pPr>
        <w:pStyle w:val="6"/>
        <w:spacing w:line="295" w:lineRule="auto"/>
        <w:ind w:left="440" w:right="1"/>
      </w:pPr>
      <w:r>
        <w:t>对于应当认定为单位犯罪的环境污染犯罪案件</w:t>
      </w:r>
      <w:r>
        <w:rPr>
          <w:rFonts w:hint="eastAsia" w:ascii="MS UI Gothic" w:eastAsia="MS UI Gothic"/>
          <w:w w:val="80"/>
        </w:rPr>
        <w:t xml:space="preserve">ꎬ </w:t>
      </w:r>
      <w:r>
        <w:t>公安机关未作为单位犯罪移送审查起诉的</w:t>
      </w:r>
      <w:r>
        <w:rPr>
          <w:rFonts w:hint="eastAsia" w:ascii="MS UI Gothic" w:eastAsia="MS UI Gothic"/>
          <w:w w:val="80"/>
        </w:rPr>
        <w:t xml:space="preserve">ꎬ </w:t>
      </w:r>
      <w:r>
        <w:t>人民检察院应当退回公安机关补充侦查</w:t>
      </w:r>
      <w:r>
        <w:rPr>
          <w:rFonts w:hint="eastAsia" w:ascii="MS UI Gothic" w:eastAsia="MS UI Gothic"/>
          <w:w w:val="80"/>
        </w:rPr>
        <w:t xml:space="preserve">ꎮ </w:t>
      </w:r>
      <w:r>
        <w:t>对于应当认定为单位犯罪的</w:t>
      </w:r>
    </w:p>
    <w:p>
      <w:pPr>
        <w:pStyle w:val="6"/>
        <w:spacing w:before="124" w:line="295" w:lineRule="auto"/>
        <w:ind w:left="381" w:right="126" w:firstLine="0"/>
        <w:rPr>
          <w:rFonts w:hint="eastAsia" w:ascii="MS UI Gothic" w:eastAsia="MS UI Gothic"/>
        </w:rPr>
      </w:pPr>
      <w:r>
        <w:br w:type="column"/>
      </w:r>
      <w:r>
        <w:t>环境污染犯罪案件</w:t>
      </w:r>
      <w:r>
        <w:rPr>
          <w:rFonts w:hint="eastAsia" w:ascii="MS UI Gothic" w:eastAsia="MS UI Gothic"/>
          <w:w w:val="80"/>
        </w:rPr>
        <w:t xml:space="preserve">ꎬ </w:t>
      </w:r>
      <w:r>
        <w:t>人民检察院只作为自然人犯罪起诉的</w:t>
      </w:r>
      <w:r>
        <w:rPr>
          <w:rFonts w:hint="eastAsia" w:ascii="MS UI Gothic" w:eastAsia="MS UI Gothic"/>
          <w:w w:val="80"/>
        </w:rPr>
        <w:t xml:space="preserve">ꎬ </w:t>
      </w:r>
      <w:r>
        <w:t>人民法院应当建议人民检察院对犯罪单位补充起诉</w:t>
      </w:r>
      <w:r>
        <w:rPr>
          <w:rFonts w:hint="eastAsia" w:ascii="MS UI Gothic" w:eastAsia="MS UI Gothic"/>
          <w:w w:val="80"/>
        </w:rPr>
        <w:t>ꎮ</w:t>
      </w:r>
    </w:p>
    <w:p>
      <w:pPr>
        <w:pStyle w:val="6"/>
        <w:spacing w:line="254" w:lineRule="exact"/>
        <w:ind w:left="794" w:firstLine="0"/>
      </w:pPr>
      <w:r>
        <w:rPr>
          <w:rFonts w:hint="eastAsia" w:ascii="MS UI Gothic" w:eastAsia="MS UI Gothic"/>
        </w:rPr>
        <w:t xml:space="preserve">２ </w:t>
      </w:r>
      <w:r>
        <w:t>关于犯罪未遂的认定</w:t>
      </w:r>
    </w:p>
    <w:p>
      <w:pPr>
        <w:pStyle w:val="6"/>
        <w:spacing w:before="58" w:line="295" w:lineRule="auto"/>
        <w:ind w:left="381" w:right="126"/>
        <w:rPr>
          <w:rFonts w:hint="eastAsia" w:ascii="MS UI Gothic" w:eastAsia="MS UI Gothic"/>
        </w:rPr>
      </w:pPr>
      <w:r>
        <w:t>会议针对当前办理环境污染犯罪案件</w:t>
      </w:r>
      <w:r>
        <w:rPr>
          <w:w w:val="105"/>
        </w:rPr>
        <w:t>中</w:t>
      </w:r>
      <w:r>
        <w:rPr>
          <w:rFonts w:hint="eastAsia" w:ascii="MS UI Gothic" w:eastAsia="MS UI Gothic"/>
          <w:w w:val="80"/>
        </w:rPr>
        <w:t xml:space="preserve">ꎬ </w:t>
      </w:r>
      <w:r>
        <w:rPr>
          <w:w w:val="105"/>
        </w:rPr>
        <w:t xml:space="preserve">能否认定污染环境罪 </w:t>
      </w:r>
      <w:r>
        <w:rPr>
          <w:rFonts w:hint="eastAsia" w:ascii="MS UI Gothic" w:eastAsia="MS UI Gothic"/>
          <w:w w:val="150"/>
        </w:rPr>
        <w:t xml:space="preserve">( </w:t>
      </w:r>
      <w:r>
        <w:rPr>
          <w:w w:val="105"/>
        </w:rPr>
        <w:t>未遂</w:t>
      </w:r>
      <w:r>
        <w:rPr>
          <w:rFonts w:hint="eastAsia" w:ascii="MS UI Gothic" w:eastAsia="MS UI Gothic"/>
          <w:w w:val="150"/>
        </w:rPr>
        <w:t xml:space="preserve">) </w:t>
      </w:r>
      <w:r>
        <w:rPr>
          <w:w w:val="105"/>
        </w:rPr>
        <w:t>的问</w:t>
      </w:r>
      <w:r>
        <w:t>题进行了讨论</w:t>
      </w:r>
      <w:r>
        <w:rPr>
          <w:rFonts w:hint="eastAsia" w:ascii="MS UI Gothic" w:eastAsia="MS UI Gothic"/>
          <w:w w:val="80"/>
        </w:rPr>
        <w:t xml:space="preserve">ꎮ </w:t>
      </w:r>
      <w:r>
        <w:t>会议认为</w:t>
      </w:r>
      <w:r>
        <w:rPr>
          <w:rFonts w:hint="eastAsia" w:ascii="MS UI Gothic" w:eastAsia="MS UI Gothic"/>
          <w:w w:val="80"/>
        </w:rPr>
        <w:t xml:space="preserve">ꎬ </w:t>
      </w:r>
      <w:r>
        <w:t>当前环境执法工作形势比较严峻</w:t>
      </w:r>
      <w:r>
        <w:rPr>
          <w:rFonts w:hint="eastAsia" w:ascii="MS UI Gothic" w:eastAsia="MS UI Gothic"/>
          <w:w w:val="80"/>
        </w:rPr>
        <w:t xml:space="preserve">ꎬ </w:t>
      </w:r>
      <w:r>
        <w:t>一些行为人拒不配合</w:t>
      </w:r>
      <w:r>
        <w:rPr>
          <w:w w:val="105"/>
        </w:rPr>
        <w:t>执法检查</w:t>
      </w:r>
      <w:r>
        <w:rPr>
          <w:rFonts w:hint="eastAsia" w:ascii="MS UI Gothic" w:eastAsia="MS UI Gothic"/>
          <w:w w:val="80"/>
        </w:rPr>
        <w:t xml:space="preserve">、 </w:t>
      </w:r>
      <w:r>
        <w:rPr>
          <w:w w:val="105"/>
        </w:rPr>
        <w:t>接受检查时弄虚作假</w:t>
      </w:r>
      <w:r>
        <w:rPr>
          <w:rFonts w:hint="eastAsia" w:ascii="MS UI Gothic" w:eastAsia="MS UI Gothic"/>
          <w:w w:val="80"/>
        </w:rPr>
        <w:t xml:space="preserve">、 </w:t>
      </w:r>
      <w:r>
        <w:rPr>
          <w:w w:val="105"/>
        </w:rPr>
        <w:t>故意逃</w:t>
      </w:r>
      <w:r>
        <w:t>避法律追究的情形时有发生</w:t>
      </w:r>
      <w:r>
        <w:rPr>
          <w:rFonts w:hint="eastAsia" w:ascii="MS UI Gothic" w:eastAsia="MS UI Gothic"/>
          <w:w w:val="80"/>
        </w:rPr>
        <w:t xml:space="preserve">ꎬ </w:t>
      </w:r>
      <w:r>
        <w:t>因此对于行</w:t>
      </w:r>
      <w:r>
        <w:rPr>
          <w:w w:val="105"/>
        </w:rPr>
        <w:t>为人已经着手实施非法排放</w:t>
      </w:r>
      <w:r>
        <w:rPr>
          <w:rFonts w:hint="eastAsia" w:ascii="MS UI Gothic" w:eastAsia="MS UI Gothic"/>
          <w:w w:val="80"/>
        </w:rPr>
        <w:t xml:space="preserve">、 </w:t>
      </w:r>
      <w:r>
        <w:rPr>
          <w:w w:val="105"/>
        </w:rPr>
        <w:t>倾倒</w:t>
      </w:r>
      <w:r>
        <w:rPr>
          <w:rFonts w:hint="eastAsia" w:ascii="MS UI Gothic" w:eastAsia="MS UI Gothic"/>
          <w:w w:val="80"/>
        </w:rPr>
        <w:t xml:space="preserve">、 </w:t>
      </w:r>
      <w:r>
        <w:rPr>
          <w:w w:val="105"/>
        </w:rPr>
        <w:t>处置</w:t>
      </w:r>
      <w:r>
        <w:t>有毒有害污染物的行为</w:t>
      </w:r>
      <w:r>
        <w:rPr>
          <w:rFonts w:hint="eastAsia" w:ascii="MS UI Gothic" w:eastAsia="MS UI Gothic"/>
          <w:w w:val="80"/>
        </w:rPr>
        <w:t xml:space="preserve">ꎬ </w:t>
      </w:r>
      <w:r>
        <w:t>由于有关部门查处或者其他意志以外的原因未得逞的情</w:t>
      </w:r>
      <w:r>
        <w:rPr>
          <w:w w:val="105"/>
        </w:rPr>
        <w:t>形</w:t>
      </w:r>
      <w:r>
        <w:rPr>
          <w:rFonts w:hint="eastAsia" w:ascii="MS UI Gothic" w:eastAsia="MS UI Gothic"/>
          <w:w w:val="80"/>
        </w:rPr>
        <w:t xml:space="preserve">ꎬ </w:t>
      </w:r>
      <w:r>
        <w:rPr>
          <w:w w:val="105"/>
        </w:rPr>
        <w:t xml:space="preserve">可以污染环境罪 </w:t>
      </w:r>
      <w:r>
        <w:rPr>
          <w:rFonts w:hint="eastAsia" w:ascii="MS UI Gothic" w:eastAsia="MS UI Gothic"/>
          <w:w w:val="150"/>
        </w:rPr>
        <w:t xml:space="preserve">( </w:t>
      </w:r>
      <w:r>
        <w:rPr>
          <w:w w:val="105"/>
        </w:rPr>
        <w:t>未遂</w:t>
      </w:r>
      <w:r>
        <w:rPr>
          <w:rFonts w:hint="eastAsia" w:ascii="MS UI Gothic" w:eastAsia="MS UI Gothic"/>
          <w:w w:val="150"/>
        </w:rPr>
        <w:t xml:space="preserve">) </w:t>
      </w:r>
      <w:r>
        <w:rPr>
          <w:w w:val="105"/>
        </w:rPr>
        <w:t>追究刑事责任</w:t>
      </w:r>
      <w:r>
        <w:rPr>
          <w:rFonts w:hint="eastAsia" w:ascii="MS UI Gothic" w:eastAsia="MS UI Gothic"/>
          <w:w w:val="80"/>
        </w:rPr>
        <w:t>ꎮ</w:t>
      </w:r>
    </w:p>
    <w:p>
      <w:pPr>
        <w:pStyle w:val="6"/>
        <w:spacing w:line="248" w:lineRule="exact"/>
        <w:ind w:left="794" w:firstLine="0"/>
      </w:pPr>
      <w:r>
        <w:rPr>
          <w:rFonts w:hint="eastAsia" w:ascii="MS UI Gothic" w:eastAsia="MS UI Gothic"/>
        </w:rPr>
        <w:t xml:space="preserve">３ </w:t>
      </w:r>
      <w:r>
        <w:t>关于主观过错的认定</w:t>
      </w:r>
    </w:p>
    <w:p>
      <w:pPr>
        <w:pStyle w:val="6"/>
        <w:spacing w:before="58" w:line="295" w:lineRule="auto"/>
        <w:ind w:left="381" w:right="126"/>
        <w:rPr>
          <w:rFonts w:hint="eastAsia" w:ascii="MS UI Gothic" w:eastAsia="MS UI Gothic"/>
        </w:rPr>
      </w:pPr>
      <w:r>
        <w:t>会议针对当前办理环境污染犯罪案件中</w:t>
      </w:r>
      <w:r>
        <w:rPr>
          <w:rFonts w:hint="eastAsia" w:ascii="MS UI Gothic" w:eastAsia="MS UI Gothic"/>
          <w:w w:val="80"/>
        </w:rPr>
        <w:t xml:space="preserve">ꎬ </w:t>
      </w:r>
      <w:r>
        <w:t>如何准确认定犯罪嫌疑人</w:t>
      </w:r>
      <w:r>
        <w:rPr>
          <w:rFonts w:hint="eastAsia" w:ascii="MS UI Gothic" w:eastAsia="MS UI Gothic"/>
          <w:w w:val="80"/>
        </w:rPr>
        <w:t xml:space="preserve">、 </w:t>
      </w:r>
      <w:r>
        <w:t>被告人主观过错的问题进行了讨论</w:t>
      </w:r>
      <w:r>
        <w:rPr>
          <w:rFonts w:hint="eastAsia" w:ascii="MS UI Gothic" w:eastAsia="MS UI Gothic"/>
          <w:w w:val="80"/>
        </w:rPr>
        <w:t xml:space="preserve">ꎮ </w:t>
      </w:r>
      <w:r>
        <w:t>会议认为</w:t>
      </w:r>
      <w:r>
        <w:rPr>
          <w:rFonts w:hint="eastAsia" w:ascii="MS UI Gothic" w:eastAsia="MS UI Gothic"/>
          <w:w w:val="80"/>
        </w:rPr>
        <w:t xml:space="preserve">ꎬ </w:t>
      </w:r>
      <w:r>
        <w:t>判断犯罪嫌疑人</w:t>
      </w:r>
      <w:r>
        <w:rPr>
          <w:rFonts w:hint="eastAsia" w:ascii="MS UI Gothic" w:eastAsia="MS UI Gothic"/>
          <w:w w:val="80"/>
        </w:rPr>
        <w:t xml:space="preserve">、 </w:t>
      </w:r>
      <w:r>
        <w:t>被告人是否具有环境污染犯罪的故意</w:t>
      </w:r>
      <w:r>
        <w:rPr>
          <w:rFonts w:hint="eastAsia" w:ascii="MS UI Gothic" w:eastAsia="MS UI Gothic"/>
          <w:w w:val="80"/>
        </w:rPr>
        <w:t xml:space="preserve">ꎬ </w:t>
      </w:r>
      <w:r>
        <w:t>应当依据犯罪嫌疑人</w:t>
      </w:r>
      <w:r>
        <w:rPr>
          <w:rFonts w:hint="eastAsia" w:ascii="MS UI Gothic" w:eastAsia="MS UI Gothic"/>
          <w:w w:val="80"/>
        </w:rPr>
        <w:t xml:space="preserve">、 </w:t>
      </w:r>
      <w:r>
        <w:t>被告人的任职情况</w:t>
      </w:r>
      <w:r>
        <w:rPr>
          <w:rFonts w:hint="eastAsia" w:ascii="MS UI Gothic" w:eastAsia="MS UI Gothic"/>
          <w:w w:val="80"/>
        </w:rPr>
        <w:t xml:space="preserve">、 </w:t>
      </w:r>
      <w:r>
        <w:t>职业经历</w:t>
      </w:r>
      <w:r>
        <w:rPr>
          <w:rFonts w:hint="eastAsia" w:ascii="MS UI Gothic" w:eastAsia="MS UI Gothic"/>
          <w:w w:val="80"/>
        </w:rPr>
        <w:t xml:space="preserve">、 </w:t>
      </w:r>
      <w:r>
        <w:t>专业背景</w:t>
      </w:r>
      <w:r>
        <w:rPr>
          <w:rFonts w:hint="eastAsia" w:ascii="MS UI Gothic" w:eastAsia="MS UI Gothic"/>
          <w:w w:val="80"/>
        </w:rPr>
        <w:t xml:space="preserve">、 </w:t>
      </w:r>
      <w:r>
        <w:t>培训经历</w:t>
      </w:r>
      <w:r>
        <w:rPr>
          <w:rFonts w:hint="eastAsia" w:ascii="MS UI Gothic" w:eastAsia="MS UI Gothic"/>
          <w:w w:val="80"/>
        </w:rPr>
        <w:t xml:space="preserve">、 </w:t>
      </w:r>
      <w:r>
        <w:t>本人因同类行为受到行政处罚或者刑事追究情况以及污染物种类</w:t>
      </w:r>
      <w:r>
        <w:rPr>
          <w:rFonts w:hint="eastAsia" w:ascii="MS UI Gothic" w:eastAsia="MS UI Gothic"/>
          <w:w w:val="80"/>
        </w:rPr>
        <w:t xml:space="preserve">、 </w:t>
      </w:r>
      <w:r>
        <w:t>污染方式</w:t>
      </w:r>
      <w:r>
        <w:rPr>
          <w:rFonts w:hint="eastAsia" w:ascii="MS UI Gothic" w:eastAsia="MS UI Gothic"/>
          <w:w w:val="80"/>
        </w:rPr>
        <w:t xml:space="preserve">、 </w:t>
      </w:r>
      <w:r>
        <w:t>资金流向等证据</w:t>
      </w:r>
      <w:r>
        <w:rPr>
          <w:rFonts w:hint="eastAsia" w:ascii="MS UI Gothic" w:eastAsia="MS UI Gothic"/>
          <w:w w:val="80"/>
        </w:rPr>
        <w:t xml:space="preserve">ꎬ </w:t>
      </w:r>
      <w:r>
        <w:t>结合其供述</w:t>
      </w:r>
      <w:r>
        <w:rPr>
          <w:rFonts w:hint="eastAsia" w:ascii="MS UI Gothic" w:eastAsia="MS UI Gothic"/>
          <w:w w:val="80"/>
        </w:rPr>
        <w:t xml:space="preserve">ꎬ </w:t>
      </w:r>
      <w:r>
        <w:t>进行综合分析判断</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3"/>
        </w:rPr>
        <w:t>实践中</w:t>
      </w:r>
      <w:r>
        <w:rPr>
          <w:rFonts w:hint="eastAsia" w:ascii="MS UI Gothic" w:eastAsia="MS UI Gothic"/>
          <w:spacing w:val="20"/>
          <w:w w:val="80"/>
        </w:rPr>
        <w:t xml:space="preserve">ꎬ </w:t>
      </w:r>
      <w:r>
        <w:rPr>
          <w:spacing w:val="3"/>
        </w:rPr>
        <w:t>具有下列情形之一</w:t>
      </w:r>
      <w:r>
        <w:rPr>
          <w:rFonts w:hint="eastAsia" w:ascii="MS UI Gothic" w:eastAsia="MS UI Gothic"/>
          <w:spacing w:val="21"/>
          <w:w w:val="80"/>
        </w:rPr>
        <w:t xml:space="preserve">ꎬ </w:t>
      </w:r>
      <w:r>
        <w:rPr>
          <w:spacing w:val="2"/>
        </w:rPr>
        <w:t>犯罪嫌</w:t>
      </w:r>
      <w:r>
        <w:rPr>
          <w:spacing w:val="3"/>
        </w:rPr>
        <w:t>疑人</w:t>
      </w:r>
      <w:r>
        <w:rPr>
          <w:rFonts w:hint="eastAsia" w:ascii="MS UI Gothic" w:eastAsia="MS UI Gothic"/>
          <w:spacing w:val="23"/>
        </w:rPr>
        <w:t xml:space="preserve">、 </w:t>
      </w:r>
      <w:r>
        <w:rPr>
          <w:spacing w:val="3"/>
        </w:rPr>
        <w:t>被告人不能作出合理解释的</w:t>
      </w:r>
      <w:r>
        <w:rPr>
          <w:rFonts w:hint="eastAsia" w:ascii="MS UI Gothic" w:eastAsia="MS UI Gothic"/>
          <w:spacing w:val="5"/>
          <w:w w:val="80"/>
        </w:rPr>
        <w:t xml:space="preserve">ꎬ </w:t>
      </w:r>
      <w:r>
        <w:rPr>
          <w:spacing w:val="1"/>
        </w:rPr>
        <w:t>可以</w:t>
      </w:r>
      <w:r>
        <w:rPr>
          <w:spacing w:val="3"/>
        </w:rPr>
        <w:t>认定其故意实施环境污染犯罪</w:t>
      </w:r>
      <w:r>
        <w:rPr>
          <w:rFonts w:hint="eastAsia" w:ascii="MS UI Gothic" w:eastAsia="MS UI Gothic"/>
          <w:spacing w:val="19"/>
          <w:w w:val="80"/>
        </w:rPr>
        <w:t xml:space="preserve">ꎬ </w:t>
      </w:r>
      <w:r>
        <w:rPr>
          <w:spacing w:val="2"/>
        </w:rPr>
        <w:t>但有证据</w:t>
      </w:r>
      <w:r>
        <w:rPr>
          <w:spacing w:val="5"/>
          <w:w w:val="102"/>
        </w:rPr>
        <w:t>证明确系不知情的除外</w:t>
      </w:r>
      <w:r>
        <w:rPr>
          <w:rFonts w:hint="eastAsia" w:ascii="MS UI Gothic" w:eastAsia="MS UI Gothic"/>
          <w:w w:val="253"/>
        </w:rPr>
        <w:t>:</w:t>
      </w:r>
      <w:r>
        <w:rPr>
          <w:rFonts w:hint="eastAsia" w:ascii="MS UI Gothic" w:eastAsia="MS UI Gothic"/>
          <w:spacing w:val="1"/>
        </w:rPr>
        <w:t xml:space="preserve">   </w:t>
      </w:r>
      <w:r>
        <w:rPr>
          <w:rFonts w:hint="eastAsia" w:ascii="MS UI Gothic" w:eastAsia="MS UI Gothic"/>
          <w:w w:val="168"/>
        </w:rPr>
        <w:t>(</w:t>
      </w:r>
      <w:r>
        <w:rPr>
          <w:rFonts w:hint="eastAsia" w:ascii="MS UI Gothic" w:eastAsia="MS UI Gothic"/>
          <w:spacing w:val="-38"/>
        </w:rPr>
        <w:t xml:space="preserve"> </w:t>
      </w:r>
      <w:r>
        <w:rPr>
          <w:rFonts w:hint="eastAsia" w:ascii="MS UI Gothic" w:eastAsia="MS UI Gothic"/>
          <w:spacing w:val="13"/>
          <w:w w:val="75"/>
        </w:rPr>
        <w:t>１</w:t>
      </w:r>
      <w:r>
        <w:rPr>
          <w:rFonts w:hint="eastAsia" w:ascii="MS UI Gothic" w:eastAsia="MS UI Gothic"/>
          <w:w w:val="168"/>
        </w:rPr>
        <w:t>)</w:t>
      </w:r>
      <w:r>
        <w:rPr>
          <w:rFonts w:hint="eastAsia" w:ascii="MS UI Gothic" w:eastAsia="MS UI Gothic"/>
          <w:spacing w:val="6"/>
        </w:rPr>
        <w:t xml:space="preserve">  </w:t>
      </w:r>
      <w:r>
        <w:rPr>
          <w:spacing w:val="9"/>
          <w:w w:val="102"/>
        </w:rPr>
        <w:t>企业没有</w:t>
      </w:r>
      <w:r>
        <w:rPr>
          <w:spacing w:val="3"/>
        </w:rPr>
        <w:t>依法通过环境影响评价</w:t>
      </w:r>
      <w:r>
        <w:rPr>
          <w:rFonts w:hint="eastAsia" w:ascii="MS UI Gothic" w:eastAsia="MS UI Gothic"/>
          <w:spacing w:val="19"/>
          <w:w w:val="80"/>
        </w:rPr>
        <w:t xml:space="preserve">ꎬ </w:t>
      </w:r>
      <w:r>
        <w:rPr>
          <w:spacing w:val="2"/>
        </w:rPr>
        <w:t>或者未依法取得</w:t>
      </w:r>
      <w:r>
        <w:rPr>
          <w:spacing w:val="3"/>
        </w:rPr>
        <w:t>排污许可证</w:t>
      </w:r>
      <w:r>
        <w:rPr>
          <w:rFonts w:hint="eastAsia" w:ascii="MS UI Gothic" w:eastAsia="MS UI Gothic"/>
          <w:spacing w:val="23"/>
          <w:w w:val="80"/>
        </w:rPr>
        <w:t xml:space="preserve">ꎬ </w:t>
      </w:r>
      <w:r>
        <w:rPr>
          <w:spacing w:val="3"/>
        </w:rPr>
        <w:t>排放污染物</w:t>
      </w:r>
      <w:r>
        <w:rPr>
          <w:rFonts w:hint="eastAsia" w:ascii="MS UI Gothic" w:eastAsia="MS UI Gothic"/>
          <w:spacing w:val="23"/>
          <w:w w:val="80"/>
        </w:rPr>
        <w:t xml:space="preserve">ꎬ </w:t>
      </w:r>
      <w:r>
        <w:rPr>
          <w:spacing w:val="2"/>
        </w:rPr>
        <w:t>或者已经通过环境影响评价并且防治污染设施验收合格</w:t>
      </w:r>
      <w:r>
        <w:rPr>
          <w:spacing w:val="3"/>
        </w:rPr>
        <w:t>后</w:t>
      </w:r>
      <w:r>
        <w:rPr>
          <w:rFonts w:hint="eastAsia" w:ascii="MS UI Gothic" w:eastAsia="MS UI Gothic"/>
          <w:spacing w:val="19"/>
          <w:w w:val="80"/>
        </w:rPr>
        <w:t xml:space="preserve">ꎬ </w:t>
      </w:r>
      <w:r>
        <w:rPr>
          <w:spacing w:val="3"/>
        </w:rPr>
        <w:t>擅自更改工艺流程</w:t>
      </w:r>
      <w:r>
        <w:rPr>
          <w:rFonts w:hint="eastAsia" w:ascii="MS UI Gothic" w:eastAsia="MS UI Gothic"/>
          <w:spacing w:val="13"/>
        </w:rPr>
        <w:t xml:space="preserve">、 </w:t>
      </w:r>
      <w:r>
        <w:rPr>
          <w:spacing w:val="3"/>
        </w:rPr>
        <w:t>原辅材料</w:t>
      </w:r>
      <w:r>
        <w:rPr>
          <w:rFonts w:hint="eastAsia" w:ascii="MS UI Gothic" w:eastAsia="MS UI Gothic"/>
          <w:spacing w:val="19"/>
          <w:w w:val="80"/>
        </w:rPr>
        <w:t xml:space="preserve">ꎬ </w:t>
      </w:r>
      <w:r>
        <w:rPr>
          <w:spacing w:val="1"/>
        </w:rPr>
        <w:t>导致</w:t>
      </w:r>
      <w:r>
        <w:rPr>
          <w:spacing w:val="5"/>
          <w:w w:val="102"/>
        </w:rPr>
        <w:t>产生新的污染物质的</w:t>
      </w:r>
      <w:r>
        <w:rPr>
          <w:rFonts w:hint="eastAsia" w:ascii="MS UI Gothic" w:eastAsia="MS UI Gothic"/>
          <w:w w:val="51"/>
        </w:rPr>
        <w:t>ꎻ</w:t>
      </w:r>
      <w:r>
        <w:rPr>
          <w:rFonts w:hint="eastAsia" w:ascii="MS UI Gothic" w:eastAsia="MS UI Gothic"/>
          <w:spacing w:val="1"/>
        </w:rPr>
        <w:t xml:space="preserve">   </w:t>
      </w:r>
      <w:r>
        <w:rPr>
          <w:rFonts w:hint="eastAsia" w:ascii="MS UI Gothic" w:eastAsia="MS UI Gothic"/>
          <w:w w:val="168"/>
        </w:rPr>
        <w:t>(</w:t>
      </w:r>
      <w:r>
        <w:rPr>
          <w:rFonts w:hint="eastAsia" w:ascii="MS UI Gothic" w:eastAsia="MS UI Gothic"/>
          <w:spacing w:val="-38"/>
        </w:rPr>
        <w:t xml:space="preserve"> </w:t>
      </w:r>
      <w:r>
        <w:rPr>
          <w:rFonts w:hint="eastAsia" w:ascii="MS UI Gothic" w:eastAsia="MS UI Gothic"/>
          <w:spacing w:val="13"/>
          <w:w w:val="75"/>
        </w:rPr>
        <w:t>２</w:t>
      </w:r>
      <w:r>
        <w:rPr>
          <w:rFonts w:hint="eastAsia" w:ascii="MS UI Gothic" w:eastAsia="MS UI Gothic"/>
          <w:w w:val="168"/>
        </w:rPr>
        <w:t>)</w:t>
      </w:r>
      <w:r>
        <w:rPr>
          <w:rFonts w:hint="eastAsia" w:ascii="MS UI Gothic" w:eastAsia="MS UI Gothic"/>
          <w:spacing w:val="6"/>
        </w:rPr>
        <w:t xml:space="preserve">  </w:t>
      </w:r>
      <w:r>
        <w:rPr>
          <w:spacing w:val="10"/>
          <w:w w:val="102"/>
        </w:rPr>
        <w:t>不使用验收</w:t>
      </w:r>
      <w:r>
        <w:rPr>
          <w:spacing w:val="2"/>
        </w:rPr>
        <w:t>合格的防治污染设施或者不按规范要求使</w:t>
      </w:r>
      <w:r>
        <w:rPr>
          <w:spacing w:val="3"/>
          <w:w w:val="102"/>
        </w:rPr>
        <w:t>用的</w:t>
      </w:r>
      <w:r>
        <w:rPr>
          <w:rFonts w:hint="eastAsia" w:ascii="MS UI Gothic" w:eastAsia="MS UI Gothic"/>
          <w:w w:val="51"/>
        </w:rPr>
        <w:t>ꎻ</w:t>
      </w:r>
      <w:r>
        <w:rPr>
          <w:rFonts w:hint="eastAsia" w:ascii="MS UI Gothic" w:eastAsia="MS UI Gothic"/>
          <w:spacing w:val="-8"/>
        </w:rPr>
        <w:t xml:space="preserve">   </w:t>
      </w:r>
      <w:r>
        <w:rPr>
          <w:rFonts w:hint="eastAsia" w:ascii="MS UI Gothic" w:eastAsia="MS UI Gothic"/>
          <w:w w:val="168"/>
        </w:rPr>
        <w:t>(</w:t>
      </w:r>
      <w:r>
        <w:rPr>
          <w:rFonts w:hint="eastAsia" w:ascii="MS UI Gothic" w:eastAsia="MS UI Gothic"/>
          <w:spacing w:val="-38"/>
        </w:rPr>
        <w:t xml:space="preserve"> </w:t>
      </w:r>
      <w:r>
        <w:rPr>
          <w:rFonts w:hint="eastAsia" w:ascii="MS UI Gothic" w:eastAsia="MS UI Gothic"/>
          <w:spacing w:val="13"/>
          <w:w w:val="75"/>
        </w:rPr>
        <w:t>３</w:t>
      </w:r>
      <w:r>
        <w:rPr>
          <w:rFonts w:hint="eastAsia" w:ascii="MS UI Gothic" w:eastAsia="MS UI Gothic"/>
          <w:w w:val="168"/>
        </w:rPr>
        <w:t>)</w:t>
      </w:r>
      <w:r>
        <w:rPr>
          <w:rFonts w:hint="eastAsia" w:ascii="MS UI Gothic" w:eastAsia="MS UI Gothic"/>
          <w:spacing w:val="6"/>
        </w:rPr>
        <w:t xml:space="preserve">  </w:t>
      </w:r>
      <w:r>
        <w:rPr>
          <w:spacing w:val="12"/>
          <w:w w:val="102"/>
        </w:rPr>
        <w:t>防治污染设施发生故障</w:t>
      </w:r>
      <w:r>
        <w:rPr>
          <w:rFonts w:hint="eastAsia" w:ascii="MS UI Gothic" w:eastAsia="MS UI Gothic"/>
          <w:w w:val="51"/>
        </w:rPr>
        <w:t>ꎬ</w:t>
      </w:r>
      <w:r>
        <w:rPr>
          <w:rFonts w:hint="eastAsia" w:ascii="MS UI Gothic" w:eastAsia="MS UI Gothic"/>
          <w:spacing w:val="-4"/>
        </w:rPr>
        <w:t xml:space="preserve">  </w:t>
      </w:r>
      <w:r>
        <w:rPr>
          <w:w w:val="102"/>
        </w:rPr>
        <w:t>发</w:t>
      </w:r>
      <w:r>
        <w:rPr>
          <w:spacing w:val="3"/>
        </w:rPr>
        <w:t>现后不及时排除</w:t>
      </w:r>
      <w:r>
        <w:rPr>
          <w:rFonts w:hint="eastAsia" w:ascii="MS UI Gothic" w:eastAsia="MS UI Gothic"/>
          <w:spacing w:val="19"/>
          <w:w w:val="80"/>
        </w:rPr>
        <w:t xml:space="preserve">ꎬ </w:t>
      </w:r>
      <w:r>
        <w:rPr>
          <w:spacing w:val="2"/>
        </w:rPr>
        <w:t>继续生产放任污染物排</w:t>
      </w:r>
      <w:r>
        <w:rPr>
          <w:spacing w:val="3"/>
          <w:w w:val="102"/>
        </w:rPr>
        <w:t>放的</w:t>
      </w:r>
      <w:r>
        <w:rPr>
          <w:rFonts w:hint="eastAsia" w:ascii="MS UI Gothic" w:eastAsia="MS UI Gothic"/>
          <w:w w:val="51"/>
        </w:rPr>
        <w:t>ꎻ</w:t>
      </w:r>
      <w:r>
        <w:rPr>
          <w:rFonts w:hint="eastAsia" w:ascii="MS UI Gothic" w:eastAsia="MS UI Gothic"/>
          <w:spacing w:val="-1"/>
        </w:rPr>
        <w:t xml:space="preserve">  </w:t>
      </w:r>
      <w:r>
        <w:rPr>
          <w:rFonts w:hint="eastAsia" w:ascii="MS UI Gothic" w:eastAsia="MS UI Gothic"/>
          <w:spacing w:val="17"/>
          <w:w w:val="168"/>
        </w:rPr>
        <w:t>(</w:t>
      </w:r>
      <w:r>
        <w:rPr>
          <w:rFonts w:hint="eastAsia" w:ascii="MS UI Gothic" w:eastAsia="MS UI Gothic"/>
          <w:spacing w:val="7"/>
          <w:w w:val="75"/>
        </w:rPr>
        <w:t>４</w:t>
      </w:r>
      <w:r>
        <w:rPr>
          <w:rFonts w:hint="eastAsia" w:ascii="MS UI Gothic" w:eastAsia="MS UI Gothic"/>
          <w:w w:val="168"/>
        </w:rPr>
        <w:t>)</w:t>
      </w:r>
      <w:r>
        <w:rPr>
          <w:rFonts w:hint="eastAsia" w:ascii="MS UI Gothic" w:eastAsia="MS UI Gothic"/>
          <w:spacing w:val="3"/>
        </w:rPr>
        <w:t xml:space="preserve">  </w:t>
      </w:r>
      <w:r>
        <w:rPr>
          <w:spacing w:val="6"/>
          <w:w w:val="102"/>
        </w:rPr>
        <w:t>生态环境部门责令限制生产</w:t>
      </w:r>
      <w:r>
        <w:rPr>
          <w:rFonts w:hint="eastAsia" w:ascii="MS UI Gothic" w:eastAsia="MS UI Gothic"/>
          <w:w w:val="77"/>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２６</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28" o:spid="_x0000_s1128" o:spt="203" style="height:2.15pt;width:398.25pt;" coordsize="7965,43">
            <o:lock v:ext="edit"/>
            <v:line id="_x0000_s1129" o:spid="_x0000_s1129" o:spt="20" style="position:absolute;left:0;top:39;height:0;width:7965;" stroked="t" coordsize="21600,21600">
              <v:path arrowok="t"/>
              <v:fill focussize="0,0"/>
              <v:stroke weight="0.388031496062992pt" color="#231F20"/>
              <v:imagedata o:title=""/>
              <o:lock v:ext="edit"/>
            </v:line>
            <v:line id="_x0000_s1130" o:spid="_x0000_s11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rPr>
          <w:spacing w:val="3"/>
        </w:rPr>
        <w:t>停产整治或者予以行政处罚后</w:t>
      </w:r>
      <w:r>
        <w:rPr>
          <w:rFonts w:hint="eastAsia" w:ascii="MS UI Gothic" w:eastAsia="MS UI Gothic"/>
          <w:spacing w:val="13"/>
          <w:w w:val="85"/>
        </w:rPr>
        <w:t xml:space="preserve">ꎬ </w:t>
      </w:r>
      <w:r>
        <w:rPr>
          <w:spacing w:val="2"/>
        </w:rPr>
        <w:t>继续生产</w:t>
      </w:r>
      <w:r>
        <w:rPr>
          <w:spacing w:val="4"/>
          <w:w w:val="102"/>
        </w:rPr>
        <w:t>放任污染物排放的</w:t>
      </w:r>
      <w:r>
        <w:rPr>
          <w:rFonts w:hint="eastAsia" w:ascii="MS UI Gothic" w:eastAsia="MS UI Gothic"/>
          <w:w w:val="51"/>
        </w:rPr>
        <w:t>ꎻ</w:t>
      </w:r>
      <w:r>
        <w:rPr>
          <w:rFonts w:hint="eastAsia" w:ascii="MS UI Gothic" w:eastAsia="MS UI Gothic"/>
          <w:spacing w:val="1"/>
        </w:rPr>
        <w:t xml:space="preserve">   </w:t>
      </w:r>
      <w:r>
        <w:rPr>
          <w:rFonts w:hint="eastAsia" w:ascii="MS UI Gothic" w:eastAsia="MS UI Gothic"/>
          <w:w w:val="168"/>
        </w:rPr>
        <w:t>(</w:t>
      </w:r>
      <w:r>
        <w:rPr>
          <w:rFonts w:hint="eastAsia" w:ascii="MS UI Gothic" w:eastAsia="MS UI Gothic"/>
          <w:spacing w:val="-38"/>
        </w:rPr>
        <w:t xml:space="preserve"> </w:t>
      </w:r>
      <w:r>
        <w:rPr>
          <w:rFonts w:hint="eastAsia" w:ascii="MS UI Gothic" w:eastAsia="MS UI Gothic"/>
          <w:spacing w:val="13"/>
          <w:w w:val="75"/>
        </w:rPr>
        <w:t>５</w:t>
      </w:r>
      <w:r>
        <w:rPr>
          <w:rFonts w:hint="eastAsia" w:ascii="MS UI Gothic" w:eastAsia="MS UI Gothic"/>
          <w:w w:val="168"/>
        </w:rPr>
        <w:t>)</w:t>
      </w:r>
      <w:r>
        <w:rPr>
          <w:rFonts w:hint="eastAsia" w:ascii="MS UI Gothic" w:eastAsia="MS UI Gothic"/>
          <w:spacing w:val="6"/>
        </w:rPr>
        <w:t xml:space="preserve">  </w:t>
      </w:r>
      <w:r>
        <w:rPr>
          <w:spacing w:val="10"/>
          <w:w w:val="102"/>
        </w:rPr>
        <w:t>将危险废物委</w:t>
      </w:r>
      <w:r>
        <w:rPr>
          <w:spacing w:val="3"/>
        </w:rPr>
        <w:t>托第三方处置</w:t>
      </w:r>
      <w:r>
        <w:rPr>
          <w:rFonts w:hint="eastAsia" w:ascii="MS UI Gothic" w:eastAsia="MS UI Gothic"/>
          <w:spacing w:val="13"/>
          <w:w w:val="85"/>
        </w:rPr>
        <w:t xml:space="preserve">ꎬ </w:t>
      </w:r>
      <w:r>
        <w:rPr>
          <w:spacing w:val="2"/>
        </w:rPr>
        <w:t>没有尽到查验经营许可的</w:t>
      </w:r>
      <w:r>
        <w:rPr>
          <w:spacing w:val="3"/>
        </w:rPr>
        <w:t>义务</w:t>
      </w:r>
      <w:r>
        <w:rPr>
          <w:rFonts w:hint="eastAsia" w:ascii="MS UI Gothic" w:eastAsia="MS UI Gothic"/>
          <w:spacing w:val="13"/>
          <w:w w:val="85"/>
        </w:rPr>
        <w:t xml:space="preserve">ꎬ </w:t>
      </w:r>
      <w:r>
        <w:rPr>
          <w:spacing w:val="2"/>
        </w:rPr>
        <w:t>或者委托处置费用明显低于市场价</w:t>
      </w:r>
      <w:r>
        <w:rPr>
          <w:spacing w:val="6"/>
          <w:w w:val="102"/>
        </w:rPr>
        <w:t>格或者处置成本的</w:t>
      </w:r>
      <w:r>
        <w:rPr>
          <w:rFonts w:hint="eastAsia" w:ascii="MS UI Gothic" w:eastAsia="MS UI Gothic"/>
          <w:w w:val="51"/>
        </w:rPr>
        <w:t>ꎻ</w:t>
      </w:r>
      <w:r>
        <w:rPr>
          <w:rFonts w:hint="eastAsia" w:ascii="MS UI Gothic" w:eastAsia="MS UI Gothic"/>
          <w:spacing w:val="2"/>
        </w:rPr>
        <w:t xml:space="preserve">   </w:t>
      </w:r>
      <w:r>
        <w:rPr>
          <w:rFonts w:hint="eastAsia" w:ascii="MS UI Gothic" w:eastAsia="MS UI Gothic"/>
          <w:w w:val="168"/>
        </w:rPr>
        <w:t>(</w:t>
      </w:r>
      <w:r>
        <w:rPr>
          <w:rFonts w:hint="eastAsia" w:ascii="MS UI Gothic" w:eastAsia="MS UI Gothic"/>
          <w:spacing w:val="-38"/>
        </w:rPr>
        <w:t xml:space="preserve"> </w:t>
      </w:r>
      <w:r>
        <w:rPr>
          <w:rFonts w:hint="eastAsia" w:ascii="MS UI Gothic" w:eastAsia="MS UI Gothic"/>
          <w:spacing w:val="13"/>
          <w:w w:val="75"/>
        </w:rPr>
        <w:t>６</w:t>
      </w:r>
      <w:r>
        <w:rPr>
          <w:rFonts w:hint="eastAsia" w:ascii="MS UI Gothic" w:eastAsia="MS UI Gothic"/>
          <w:w w:val="168"/>
        </w:rPr>
        <w:t>)</w:t>
      </w:r>
      <w:r>
        <w:rPr>
          <w:rFonts w:hint="eastAsia" w:ascii="MS UI Gothic" w:eastAsia="MS UI Gothic"/>
          <w:spacing w:val="6"/>
        </w:rPr>
        <w:t xml:space="preserve">  </w:t>
      </w:r>
      <w:r>
        <w:rPr>
          <w:spacing w:val="10"/>
          <w:w w:val="102"/>
        </w:rPr>
        <w:t>通过暗管</w:t>
      </w:r>
      <w:r>
        <w:rPr>
          <w:rFonts w:hint="eastAsia" w:ascii="MS UI Gothic" w:eastAsia="MS UI Gothic"/>
          <w:w w:val="77"/>
        </w:rPr>
        <w:t>、</w:t>
      </w:r>
      <w:r>
        <w:rPr>
          <w:rFonts w:hint="eastAsia" w:ascii="MS UI Gothic" w:eastAsia="MS UI Gothic"/>
          <w:spacing w:val="-4"/>
        </w:rPr>
        <w:t xml:space="preserve">  </w:t>
      </w:r>
      <w:r>
        <w:rPr>
          <w:w w:val="102"/>
        </w:rPr>
        <w:t>渗</w:t>
      </w:r>
      <w:r>
        <w:rPr>
          <w:spacing w:val="3"/>
        </w:rPr>
        <w:t>井</w:t>
      </w:r>
      <w:r>
        <w:rPr>
          <w:rFonts w:hint="eastAsia" w:ascii="MS UI Gothic" w:eastAsia="MS UI Gothic"/>
          <w:spacing w:val="17"/>
        </w:rPr>
        <w:t xml:space="preserve">、 </w:t>
      </w:r>
      <w:r>
        <w:rPr>
          <w:spacing w:val="3"/>
        </w:rPr>
        <w:t>渗坑</w:t>
      </w:r>
      <w:r>
        <w:rPr>
          <w:rFonts w:hint="eastAsia" w:ascii="MS UI Gothic" w:eastAsia="MS UI Gothic"/>
          <w:spacing w:val="17"/>
        </w:rPr>
        <w:t xml:space="preserve">、 </w:t>
      </w:r>
      <w:r>
        <w:rPr>
          <w:spacing w:val="3"/>
        </w:rPr>
        <w:t>裂隙</w:t>
      </w:r>
      <w:r>
        <w:rPr>
          <w:rFonts w:hint="eastAsia" w:ascii="MS UI Gothic" w:eastAsia="MS UI Gothic"/>
          <w:spacing w:val="18"/>
        </w:rPr>
        <w:t xml:space="preserve">、 </w:t>
      </w:r>
      <w:r>
        <w:rPr>
          <w:spacing w:val="3"/>
        </w:rPr>
        <w:t>溶洞</w:t>
      </w:r>
      <w:r>
        <w:rPr>
          <w:rFonts w:hint="eastAsia" w:ascii="MS UI Gothic" w:eastAsia="MS UI Gothic"/>
          <w:spacing w:val="17"/>
        </w:rPr>
        <w:t xml:space="preserve">、 </w:t>
      </w:r>
      <w:r>
        <w:rPr>
          <w:spacing w:val="2"/>
        </w:rPr>
        <w:t>灌注等逃避监管</w:t>
      </w:r>
      <w:r>
        <w:rPr>
          <w:spacing w:val="10"/>
          <w:w w:val="102"/>
        </w:rPr>
        <w:t>的方式排放污染物的</w:t>
      </w:r>
      <w:r>
        <w:rPr>
          <w:rFonts w:hint="eastAsia" w:ascii="MS UI Gothic" w:eastAsia="MS UI Gothic"/>
          <w:w w:val="51"/>
        </w:rPr>
        <w:t>ꎻ</w:t>
      </w:r>
      <w:r>
        <w:rPr>
          <w:rFonts w:hint="eastAsia" w:ascii="MS UI Gothic" w:eastAsia="MS UI Gothic"/>
          <w:spacing w:val="-2"/>
        </w:rPr>
        <w:t xml:space="preserve">    </w:t>
      </w:r>
      <w:r>
        <w:rPr>
          <w:rFonts w:hint="eastAsia" w:ascii="MS UI Gothic" w:eastAsia="MS UI Gothic"/>
          <w:w w:val="168"/>
        </w:rPr>
        <w:t>(</w:t>
      </w:r>
      <w:r>
        <w:rPr>
          <w:rFonts w:hint="eastAsia" w:ascii="MS UI Gothic" w:eastAsia="MS UI Gothic"/>
          <w:spacing w:val="-36"/>
        </w:rPr>
        <w:t xml:space="preserve"> </w:t>
      </w:r>
      <w:r>
        <w:rPr>
          <w:rFonts w:hint="eastAsia" w:ascii="MS UI Gothic" w:eastAsia="MS UI Gothic"/>
          <w:spacing w:val="15"/>
          <w:w w:val="75"/>
        </w:rPr>
        <w:t>７</w:t>
      </w:r>
      <w:r>
        <w:rPr>
          <w:rFonts w:hint="eastAsia" w:ascii="MS UI Gothic" w:eastAsia="MS UI Gothic"/>
          <w:w w:val="168"/>
        </w:rPr>
        <w:t>)</w:t>
      </w:r>
      <w:r>
        <w:rPr>
          <w:rFonts w:hint="eastAsia" w:ascii="MS UI Gothic" w:eastAsia="MS UI Gothic"/>
          <w:spacing w:val="6"/>
        </w:rPr>
        <w:t xml:space="preserve">  </w:t>
      </w:r>
      <w:r>
        <w:rPr>
          <w:spacing w:val="15"/>
          <w:w w:val="102"/>
        </w:rPr>
        <w:t>通过篡改</w:t>
      </w:r>
      <w:r>
        <w:rPr>
          <w:rFonts w:hint="eastAsia" w:ascii="MS UI Gothic" w:eastAsia="MS UI Gothic"/>
          <w:w w:val="77"/>
        </w:rPr>
        <w:t>、</w:t>
      </w:r>
      <w:r>
        <w:rPr>
          <w:spacing w:val="33"/>
        </w:rPr>
        <w:t>伪造监测数据的方式排放污染物的</w:t>
      </w:r>
      <w:r>
        <w:rPr>
          <w:rFonts w:hint="eastAsia" w:ascii="MS UI Gothic" w:eastAsia="MS UI Gothic"/>
          <w:w w:val="85"/>
        </w:rPr>
        <w:t>ꎻ</w:t>
      </w:r>
      <w:r>
        <w:rPr>
          <w:rFonts w:hint="eastAsia" w:ascii="MS UI Gothic" w:eastAsia="MS UI Gothic"/>
          <w:spacing w:val="15"/>
          <w:w w:val="168"/>
        </w:rPr>
        <w:t>(</w:t>
      </w:r>
      <w:r>
        <w:rPr>
          <w:rFonts w:hint="eastAsia" w:ascii="MS UI Gothic" w:eastAsia="MS UI Gothic"/>
          <w:spacing w:val="5"/>
          <w:w w:val="75"/>
        </w:rPr>
        <w:t>８</w:t>
      </w:r>
      <w:r>
        <w:rPr>
          <w:rFonts w:hint="eastAsia" w:ascii="MS UI Gothic" w:eastAsia="MS UI Gothic"/>
          <w:w w:val="168"/>
        </w:rPr>
        <w:t>)</w:t>
      </w:r>
      <w:r>
        <w:rPr>
          <w:rFonts w:hint="eastAsia" w:ascii="MS UI Gothic" w:eastAsia="MS UI Gothic"/>
          <w:spacing w:val="2"/>
        </w:rPr>
        <w:t xml:space="preserve">  </w:t>
      </w:r>
      <w:r>
        <w:rPr>
          <w:spacing w:val="3"/>
          <w:w w:val="102"/>
        </w:rPr>
        <w:t>其他足以认定的情形</w:t>
      </w:r>
      <w:r>
        <w:rPr>
          <w:rFonts w:hint="eastAsia" w:ascii="MS UI Gothic" w:eastAsia="MS UI Gothic"/>
          <w:w w:val="51"/>
        </w:rPr>
        <w:t>ꎮ</w:t>
      </w:r>
    </w:p>
    <w:p>
      <w:pPr>
        <w:pStyle w:val="6"/>
        <w:spacing w:line="249" w:lineRule="exact"/>
        <w:ind w:left="538" w:firstLine="0"/>
      </w:pPr>
      <w:r>
        <w:rPr>
          <w:rFonts w:hint="eastAsia" w:ascii="MS UI Gothic" w:eastAsia="MS UI Gothic"/>
        </w:rPr>
        <w:t>４</w:t>
      </w:r>
      <w:r>
        <w:rPr>
          <w:rFonts w:hint="eastAsia" w:ascii="MS UI Gothic" w:eastAsia="MS UI Gothic"/>
          <w:spacing w:val="54"/>
        </w:rPr>
        <w:t xml:space="preserve"> </w:t>
      </w:r>
      <w:r>
        <w:rPr>
          <w:spacing w:val="2"/>
        </w:rPr>
        <w:t>关于生态环境损害标准的认定</w:t>
      </w:r>
    </w:p>
    <w:p>
      <w:pPr>
        <w:pStyle w:val="6"/>
        <w:spacing w:before="58" w:line="295" w:lineRule="auto"/>
        <w:ind w:right="38"/>
      </w:pPr>
      <w:r>
        <w:rPr>
          <w:spacing w:val="19"/>
          <w:w w:val="95"/>
        </w:rPr>
        <w:t xml:space="preserve">会议针对如何适用 </w:t>
      </w:r>
      <w:r>
        <w:rPr>
          <w:rFonts w:hint="eastAsia" w:ascii="MS UI Gothic" w:hAnsi="MS UI Gothic" w:eastAsia="MS UI Gothic"/>
          <w:spacing w:val="-5"/>
          <w:w w:val="95"/>
        </w:rPr>
        <w:t xml:space="preserve">« </w:t>
      </w:r>
      <w:r>
        <w:rPr>
          <w:spacing w:val="18"/>
          <w:w w:val="95"/>
        </w:rPr>
        <w:t>环境解释</w:t>
      </w:r>
      <w:r>
        <w:rPr>
          <w:rFonts w:hint="eastAsia" w:ascii="MS UI Gothic" w:hAnsi="MS UI Gothic" w:eastAsia="MS UI Gothic"/>
          <w:spacing w:val="17"/>
          <w:w w:val="95"/>
        </w:rPr>
        <w:t xml:space="preserve">» </w:t>
      </w:r>
      <w:r>
        <w:rPr>
          <w:w w:val="95"/>
        </w:rPr>
        <w:t>第</w:t>
      </w:r>
      <w:r>
        <w:rPr>
          <w:spacing w:val="3"/>
          <w:w w:val="95"/>
        </w:rPr>
        <w:t>一条</w:t>
      </w:r>
      <w:r>
        <w:rPr>
          <w:rFonts w:hint="eastAsia" w:ascii="MS UI Gothic" w:hAnsi="MS UI Gothic" w:eastAsia="MS UI Gothic"/>
          <w:spacing w:val="9"/>
          <w:w w:val="95"/>
        </w:rPr>
        <w:t xml:space="preserve">、 </w:t>
      </w:r>
      <w:r>
        <w:rPr>
          <w:spacing w:val="12"/>
          <w:w w:val="95"/>
        </w:rPr>
        <w:t xml:space="preserve">第三条规定的  </w:t>
      </w:r>
      <w:r>
        <w:rPr>
          <w:rFonts w:hint="eastAsia" w:ascii="MS UI Gothic" w:hAnsi="MS UI Gothic" w:eastAsia="MS UI Gothic"/>
          <w:spacing w:val="1"/>
          <w:w w:val="95"/>
        </w:rPr>
        <w:t xml:space="preserve">“ </w:t>
      </w:r>
      <w:r>
        <w:rPr>
          <w:spacing w:val="18"/>
          <w:w w:val="95"/>
        </w:rPr>
        <w:t>造成生态环境严</w:t>
      </w:r>
      <w:r>
        <w:rPr>
          <w:spacing w:val="3"/>
          <w:w w:val="95"/>
        </w:rPr>
        <w:t>重损害的</w:t>
      </w:r>
      <w:r>
        <w:rPr>
          <w:rFonts w:hint="eastAsia" w:ascii="MS UI Gothic" w:hAnsi="MS UI Gothic" w:eastAsia="MS UI Gothic"/>
          <w:spacing w:val="-1"/>
          <w:w w:val="95"/>
        </w:rPr>
        <w:t xml:space="preserve">”    “ </w:t>
      </w:r>
      <w:r>
        <w:rPr>
          <w:spacing w:val="6"/>
          <w:w w:val="95"/>
        </w:rPr>
        <w:t>造成生态环境特别严重损害</w:t>
      </w:r>
      <w:r>
        <w:rPr>
          <w:spacing w:val="3"/>
          <w:w w:val="95"/>
        </w:rPr>
        <w:t>的</w:t>
      </w:r>
      <w:r>
        <w:rPr>
          <w:rFonts w:hint="eastAsia" w:ascii="MS UI Gothic" w:hAnsi="MS UI Gothic" w:eastAsia="MS UI Gothic"/>
          <w:spacing w:val="19"/>
          <w:w w:val="95"/>
        </w:rPr>
        <w:t xml:space="preserve">” </w:t>
      </w:r>
      <w:r>
        <w:rPr>
          <w:spacing w:val="13"/>
          <w:w w:val="95"/>
        </w:rPr>
        <w:t>定罪量刑标准进行了讨论</w:t>
      </w:r>
      <w:r>
        <w:rPr>
          <w:rFonts w:hint="eastAsia" w:ascii="MS UI Gothic" w:hAnsi="MS UI Gothic" w:eastAsia="MS UI Gothic"/>
          <w:spacing w:val="14"/>
          <w:w w:val="85"/>
        </w:rPr>
        <w:t xml:space="preserve">ꎮ  </w:t>
      </w:r>
      <w:r>
        <w:rPr>
          <w:spacing w:val="14"/>
          <w:w w:val="95"/>
        </w:rPr>
        <w:t>会议指</w:t>
      </w:r>
      <w:r>
        <w:rPr>
          <w:spacing w:val="3"/>
          <w:w w:val="95"/>
        </w:rPr>
        <w:t>出</w:t>
      </w:r>
      <w:r>
        <w:rPr>
          <w:rFonts w:hint="eastAsia" w:ascii="MS UI Gothic" w:hAnsi="MS UI Gothic" w:eastAsia="MS UI Gothic"/>
          <w:spacing w:val="3"/>
          <w:w w:val="85"/>
        </w:rPr>
        <w:t xml:space="preserve">ꎬ   </w:t>
      </w:r>
      <w:r>
        <w:rPr>
          <w:spacing w:val="2"/>
          <w:w w:val="95"/>
        </w:rPr>
        <w:t>生态环境损害赔偿制度是生态文明制</w:t>
      </w:r>
      <w:r>
        <w:rPr>
          <w:spacing w:val="3"/>
          <w:w w:val="95"/>
        </w:rPr>
        <w:t>度体系的重要组成部分</w:t>
      </w:r>
      <w:r>
        <w:rPr>
          <w:rFonts w:hint="eastAsia" w:ascii="MS UI Gothic" w:hAnsi="MS UI Gothic" w:eastAsia="MS UI Gothic"/>
          <w:spacing w:val="7"/>
          <w:w w:val="85"/>
        </w:rPr>
        <w:t xml:space="preserve">ꎮ  </w:t>
      </w:r>
      <w:r>
        <w:rPr>
          <w:spacing w:val="3"/>
          <w:w w:val="95"/>
        </w:rPr>
        <w:t>党中央</w:t>
      </w:r>
      <w:r>
        <w:rPr>
          <w:rFonts w:hint="eastAsia" w:ascii="MS UI Gothic" w:hAnsi="MS UI Gothic" w:eastAsia="MS UI Gothic"/>
          <w:spacing w:val="1"/>
          <w:w w:val="95"/>
        </w:rPr>
        <w:t xml:space="preserve">、  </w:t>
      </w:r>
      <w:r>
        <w:rPr>
          <w:spacing w:val="2"/>
          <w:w w:val="95"/>
        </w:rPr>
        <w:t>国务院</w:t>
      </w:r>
      <w:r>
        <w:rPr>
          <w:spacing w:val="3"/>
          <w:w w:val="95"/>
        </w:rPr>
        <w:t>高度重视生态环境损害赔偿工作</w:t>
      </w:r>
      <w:r>
        <w:rPr>
          <w:rFonts w:hint="eastAsia" w:ascii="MS UI Gothic" w:hAnsi="MS UI Gothic" w:eastAsia="MS UI Gothic"/>
          <w:spacing w:val="3"/>
          <w:w w:val="85"/>
        </w:rPr>
        <w:t xml:space="preserve">ꎬ   </w:t>
      </w:r>
      <w:r>
        <w:rPr>
          <w:spacing w:val="2"/>
          <w:w w:val="95"/>
        </w:rPr>
        <w:t xml:space="preserve">党的十八届三中全会明确提出对造成生态环境损  </w:t>
      </w:r>
      <w:r>
        <w:rPr>
          <w:spacing w:val="3"/>
          <w:w w:val="95"/>
        </w:rPr>
        <w:t>害的责任者严格实行赔偿制度</w:t>
      </w:r>
      <w:r>
        <w:rPr>
          <w:rFonts w:hint="eastAsia" w:ascii="MS UI Gothic" w:hAnsi="MS UI Gothic" w:eastAsia="MS UI Gothic"/>
          <w:spacing w:val="20"/>
          <w:w w:val="85"/>
        </w:rPr>
        <w:t xml:space="preserve">ꎮ </w:t>
      </w:r>
      <w:r>
        <w:rPr>
          <w:rFonts w:hint="eastAsia" w:ascii="MS UI Gothic" w:hAnsi="MS UI Gothic" w:eastAsia="MS UI Gothic"/>
          <w:w w:val="95"/>
        </w:rPr>
        <w:t xml:space="preserve">２０１５ </w:t>
      </w:r>
      <w:r>
        <w:rPr>
          <w:spacing w:val="3"/>
          <w:w w:val="95"/>
        </w:rPr>
        <w:t>年</w:t>
      </w:r>
      <w:r>
        <w:rPr>
          <w:rFonts w:hint="eastAsia" w:ascii="MS UI Gothic" w:hAnsi="MS UI Gothic" w:eastAsia="MS UI Gothic"/>
          <w:w w:val="85"/>
        </w:rPr>
        <w:t>ꎬ</w:t>
      </w:r>
      <w:r>
        <w:rPr>
          <w:spacing w:val="7"/>
          <w:w w:val="95"/>
        </w:rPr>
        <w:t>中央办公厅</w:t>
      </w:r>
      <w:r>
        <w:rPr>
          <w:rFonts w:hint="eastAsia" w:ascii="MS UI Gothic" w:hAnsi="MS UI Gothic" w:eastAsia="MS UI Gothic"/>
          <w:spacing w:val="9"/>
          <w:w w:val="95"/>
        </w:rPr>
        <w:t xml:space="preserve">、 </w:t>
      </w:r>
      <w:r>
        <w:rPr>
          <w:spacing w:val="13"/>
          <w:w w:val="95"/>
        </w:rPr>
        <w:t xml:space="preserve">国务院办公厅印发  </w:t>
      </w:r>
      <w:r>
        <w:rPr>
          <w:rFonts w:hint="eastAsia" w:ascii="MS UI Gothic" w:hAnsi="MS UI Gothic" w:eastAsia="MS UI Gothic"/>
          <w:spacing w:val="-2"/>
          <w:w w:val="95"/>
        </w:rPr>
        <w:t xml:space="preserve">« </w:t>
      </w:r>
      <w:r>
        <w:rPr>
          <w:spacing w:val="10"/>
          <w:w w:val="95"/>
        </w:rPr>
        <w:t>生态</w:t>
      </w:r>
      <w:r>
        <w:rPr>
          <w:spacing w:val="3"/>
          <w:w w:val="95"/>
        </w:rPr>
        <w:t>环境损害赔偿制度改革试点方案</w:t>
      </w:r>
      <w:r>
        <w:rPr>
          <w:rFonts w:hint="eastAsia" w:ascii="MS UI Gothic" w:hAnsi="MS UI Gothic" w:eastAsia="MS UI Gothic"/>
          <w:w w:val="95"/>
        </w:rPr>
        <w:t xml:space="preserve">»    </w:t>
      </w:r>
      <w:r>
        <w:rPr>
          <w:rFonts w:hint="eastAsia" w:ascii="MS UI Gothic" w:hAnsi="MS UI Gothic" w:eastAsia="MS UI Gothic"/>
          <w:spacing w:val="-17"/>
          <w:w w:val="140"/>
        </w:rPr>
        <w:t xml:space="preserve">( </w:t>
      </w:r>
      <w:r>
        <w:rPr>
          <w:spacing w:val="3"/>
          <w:w w:val="95"/>
        </w:rPr>
        <w:t xml:space="preserve">中办发 </w:t>
      </w:r>
      <w:r>
        <w:rPr>
          <w:rFonts w:hint="eastAsia" w:ascii="MS UI Gothic" w:hAnsi="MS UI Gothic" w:eastAsia="MS UI Gothic"/>
          <w:spacing w:val="3"/>
          <w:w w:val="95"/>
        </w:rPr>
        <w:t xml:space="preserve">〔２０１５〕 ５７ </w:t>
      </w:r>
      <w:r>
        <w:rPr>
          <w:spacing w:val="3"/>
          <w:w w:val="95"/>
        </w:rPr>
        <w:t>号</w:t>
      </w:r>
      <w:r>
        <w:rPr>
          <w:rFonts w:hint="eastAsia" w:ascii="MS UI Gothic" w:hAnsi="MS UI Gothic" w:eastAsia="MS UI Gothic"/>
          <w:spacing w:val="-34"/>
          <w:w w:val="140"/>
        </w:rPr>
        <w:t xml:space="preserve">) </w:t>
      </w:r>
      <w:r>
        <w:rPr>
          <w:rFonts w:hint="eastAsia" w:ascii="MS UI Gothic" w:hAnsi="MS UI Gothic" w:eastAsia="MS UI Gothic"/>
          <w:spacing w:val="21"/>
          <w:w w:val="85"/>
        </w:rPr>
        <w:t xml:space="preserve">ꎬ </w:t>
      </w:r>
      <w:r>
        <w:rPr>
          <w:spacing w:val="-9"/>
          <w:w w:val="95"/>
        </w:rPr>
        <w:t xml:space="preserve">在吉林等 </w:t>
      </w:r>
      <w:r>
        <w:rPr>
          <w:rFonts w:hint="eastAsia" w:ascii="MS UI Gothic" w:hAnsi="MS UI Gothic" w:eastAsia="MS UI Gothic"/>
          <w:spacing w:val="-4"/>
          <w:w w:val="95"/>
        </w:rPr>
        <w:t xml:space="preserve">７ </w:t>
      </w:r>
      <w:r>
        <w:rPr>
          <w:spacing w:val="3"/>
          <w:w w:val="95"/>
        </w:rPr>
        <w:t>个省市部</w:t>
      </w:r>
      <w:r>
        <w:rPr>
          <w:spacing w:val="14"/>
          <w:w w:val="95"/>
        </w:rPr>
        <w:t>署开展改革试点</w:t>
      </w:r>
      <w:r>
        <w:rPr>
          <w:rFonts w:hint="eastAsia" w:ascii="MS UI Gothic" w:hAnsi="MS UI Gothic" w:eastAsia="MS UI Gothic"/>
          <w:spacing w:val="24"/>
          <w:w w:val="85"/>
        </w:rPr>
        <w:t xml:space="preserve">ꎬ </w:t>
      </w:r>
      <w:r>
        <w:rPr>
          <w:spacing w:val="21"/>
          <w:w w:val="95"/>
        </w:rPr>
        <w:t>取得明显成效</w:t>
      </w:r>
      <w:r>
        <w:rPr>
          <w:rFonts w:hint="eastAsia" w:ascii="MS UI Gothic" w:hAnsi="MS UI Gothic" w:eastAsia="MS UI Gothic"/>
          <w:spacing w:val="22"/>
          <w:w w:val="85"/>
        </w:rPr>
        <w:t xml:space="preserve">ꎮ </w:t>
      </w:r>
      <w:r>
        <w:rPr>
          <w:rFonts w:hint="eastAsia" w:ascii="MS UI Gothic" w:hAnsi="MS UI Gothic" w:eastAsia="MS UI Gothic"/>
          <w:w w:val="95"/>
        </w:rPr>
        <w:t xml:space="preserve">２０１７ </w:t>
      </w:r>
      <w:r>
        <w:rPr>
          <w:spacing w:val="3"/>
          <w:w w:val="95"/>
        </w:rPr>
        <w:t>年</w:t>
      </w:r>
      <w:r>
        <w:rPr>
          <w:rFonts w:hint="eastAsia" w:ascii="MS UI Gothic" w:hAnsi="MS UI Gothic" w:eastAsia="MS UI Gothic"/>
          <w:spacing w:val="2"/>
          <w:w w:val="85"/>
        </w:rPr>
        <w:t xml:space="preserve">ꎬ </w:t>
      </w:r>
      <w:r>
        <w:rPr>
          <w:spacing w:val="30"/>
          <w:w w:val="95"/>
        </w:rPr>
        <w:t>中央办公厅</w:t>
      </w:r>
      <w:r>
        <w:rPr>
          <w:rFonts w:hint="eastAsia" w:ascii="MS UI Gothic" w:hAnsi="MS UI Gothic" w:eastAsia="MS UI Gothic"/>
          <w:spacing w:val="11"/>
          <w:w w:val="95"/>
        </w:rPr>
        <w:t xml:space="preserve">、 </w:t>
      </w:r>
      <w:r>
        <w:rPr>
          <w:spacing w:val="35"/>
          <w:w w:val="95"/>
        </w:rPr>
        <w:t>国务院办公厅印发</w:t>
      </w:r>
    </w:p>
    <w:p>
      <w:pPr>
        <w:pStyle w:val="6"/>
        <w:spacing w:line="295" w:lineRule="auto"/>
        <w:ind w:right="39" w:firstLine="0"/>
        <w:rPr>
          <w:rFonts w:hint="eastAsia" w:ascii="MS UI Gothic" w:hAnsi="MS UI Gothic" w:eastAsia="MS UI Gothic"/>
        </w:rPr>
      </w:pPr>
      <w:r>
        <w:rPr>
          <w:rFonts w:hint="eastAsia" w:ascii="MS UI Gothic" w:hAnsi="MS UI Gothic" w:eastAsia="MS UI Gothic"/>
          <w:spacing w:val="-11"/>
          <w:w w:val="95"/>
        </w:rPr>
        <w:t xml:space="preserve">« </w:t>
      </w:r>
      <w:r>
        <w:rPr>
          <w:spacing w:val="6"/>
          <w:w w:val="95"/>
        </w:rPr>
        <w:t>生态环境损害赔偿制度改革方案</w:t>
      </w:r>
      <w:r>
        <w:rPr>
          <w:rFonts w:hint="eastAsia" w:ascii="MS UI Gothic" w:hAnsi="MS UI Gothic" w:eastAsia="MS UI Gothic"/>
          <w:w w:val="95"/>
        </w:rPr>
        <w:t xml:space="preserve">»    </w:t>
      </w:r>
      <w:r>
        <w:rPr>
          <w:rFonts w:hint="eastAsia" w:ascii="MS UI Gothic" w:hAnsi="MS UI Gothic" w:eastAsia="MS UI Gothic"/>
          <w:spacing w:val="-19"/>
          <w:w w:val="140"/>
        </w:rPr>
        <w:t xml:space="preserve">( </w:t>
      </w:r>
      <w:r>
        <w:rPr>
          <w:w w:val="95"/>
        </w:rPr>
        <w:t>中</w:t>
      </w:r>
      <w:r>
        <w:rPr>
          <w:spacing w:val="2"/>
          <w:w w:val="95"/>
        </w:rPr>
        <w:t xml:space="preserve">办发 </w:t>
      </w:r>
      <w:r>
        <w:rPr>
          <w:rFonts w:hint="eastAsia" w:ascii="MS UI Gothic" w:hAnsi="MS UI Gothic" w:eastAsia="MS UI Gothic"/>
          <w:spacing w:val="6"/>
          <w:w w:val="95"/>
        </w:rPr>
        <w:t xml:space="preserve">〔２０１７〕 ６８ </w:t>
      </w:r>
      <w:r>
        <w:rPr>
          <w:spacing w:val="3"/>
          <w:w w:val="95"/>
        </w:rPr>
        <w:t>号</w:t>
      </w:r>
      <w:r>
        <w:rPr>
          <w:rFonts w:hint="eastAsia" w:ascii="MS UI Gothic" w:hAnsi="MS UI Gothic" w:eastAsia="MS UI Gothic"/>
          <w:spacing w:val="-33"/>
          <w:w w:val="140"/>
        </w:rPr>
        <w:t xml:space="preserve">) </w:t>
      </w:r>
      <w:r>
        <w:rPr>
          <w:rFonts w:hint="eastAsia" w:ascii="MS UI Gothic" w:hAnsi="MS UI Gothic" w:eastAsia="MS UI Gothic"/>
          <w:spacing w:val="25"/>
          <w:w w:val="85"/>
        </w:rPr>
        <w:t xml:space="preserve">ꎬ </w:t>
      </w:r>
      <w:r>
        <w:rPr>
          <w:spacing w:val="2"/>
          <w:w w:val="95"/>
        </w:rPr>
        <w:t>在全国范围内试行</w:t>
      </w:r>
      <w:r>
        <w:rPr>
          <w:spacing w:val="3"/>
          <w:w w:val="95"/>
        </w:rPr>
        <w:t>生态环境损害赔偿制度</w:t>
      </w:r>
      <w:r>
        <w:rPr>
          <w:rFonts w:hint="eastAsia" w:ascii="MS UI Gothic" w:hAnsi="MS UI Gothic" w:eastAsia="MS UI Gothic"/>
          <w:w w:val="85"/>
        </w:rPr>
        <w:t>ꎮ</w:t>
      </w:r>
    </w:p>
    <w:p>
      <w:pPr>
        <w:pStyle w:val="6"/>
        <w:spacing w:line="295" w:lineRule="auto"/>
        <w:ind w:right="38"/>
        <w:rPr>
          <w:rFonts w:hint="eastAsia" w:ascii="MS UI Gothic" w:hAnsi="MS UI Gothic" w:eastAsia="MS UI Gothic"/>
        </w:rPr>
      </w:pPr>
      <w:r>
        <w:t>会议指出</w:t>
      </w:r>
      <w:r>
        <w:rPr>
          <w:rFonts w:hint="eastAsia" w:ascii="MS UI Gothic" w:hAnsi="MS UI Gothic" w:eastAsia="MS UI Gothic"/>
          <w:w w:val="80"/>
        </w:rPr>
        <w:t xml:space="preserve">ꎬ « </w:t>
      </w:r>
      <w:r>
        <w:t>环境解释</w:t>
      </w:r>
      <w:r>
        <w:rPr>
          <w:rFonts w:hint="eastAsia" w:ascii="MS UI Gothic" w:hAnsi="MS UI Gothic" w:eastAsia="MS UI Gothic"/>
          <w:w w:val="80"/>
        </w:rPr>
        <w:t xml:space="preserve">» </w:t>
      </w:r>
      <w:r>
        <w:t>将造成生态环境损害规定为污染环境罪的定罪量刑标准之一</w:t>
      </w:r>
      <w:r>
        <w:rPr>
          <w:rFonts w:hint="eastAsia" w:ascii="MS UI Gothic" w:hAnsi="MS UI Gothic" w:eastAsia="MS UI Gothic"/>
          <w:w w:val="80"/>
        </w:rPr>
        <w:t xml:space="preserve">ꎬ </w:t>
      </w:r>
      <w:r>
        <w:t>是为了与生态环境损害赔偿制度实现衔接配套</w:t>
      </w:r>
      <w:r>
        <w:rPr>
          <w:rFonts w:hint="eastAsia" w:ascii="MS UI Gothic" w:hAnsi="MS UI Gothic" w:eastAsia="MS UI Gothic"/>
          <w:w w:val="80"/>
        </w:rPr>
        <w:t xml:space="preserve">ꎬ </w:t>
      </w:r>
      <w:r>
        <w:t>考虑到该制度尚在试行过程中</w:t>
      </w:r>
      <w:r>
        <w:rPr>
          <w:rFonts w:hint="eastAsia" w:ascii="MS UI Gothic" w:hAnsi="MS UI Gothic" w:eastAsia="MS UI Gothic"/>
          <w:w w:val="80"/>
        </w:rPr>
        <w:t xml:space="preserve">ꎬ « </w:t>
      </w:r>
      <w:r>
        <w:t>环境解释</w:t>
      </w:r>
      <w:r>
        <w:rPr>
          <w:rFonts w:hint="eastAsia" w:ascii="MS UI Gothic" w:hAnsi="MS UI Gothic" w:eastAsia="MS UI Gothic"/>
          <w:w w:val="80"/>
        </w:rPr>
        <w:t xml:space="preserve">» </w:t>
      </w:r>
      <w:r>
        <w:t>作了较原则的规定</w:t>
      </w:r>
      <w:r>
        <w:rPr>
          <w:rFonts w:hint="eastAsia" w:ascii="MS UI Gothic" w:hAnsi="MS UI Gothic" w:eastAsia="MS UI Gothic"/>
          <w:w w:val="80"/>
        </w:rPr>
        <w:t>ꎮ</w:t>
      </w:r>
      <w:r>
        <w:t>司法实践中</w:t>
      </w:r>
      <w:r>
        <w:rPr>
          <w:rFonts w:hint="eastAsia" w:ascii="MS UI Gothic" w:hAnsi="MS UI Gothic" w:eastAsia="MS UI Gothic"/>
          <w:w w:val="80"/>
        </w:rPr>
        <w:t xml:space="preserve">ꎬ </w:t>
      </w:r>
      <w:r>
        <w:t>一些省市结合本地区工作实际制定了具体标准</w:t>
      </w:r>
      <w:r>
        <w:rPr>
          <w:rFonts w:hint="eastAsia" w:ascii="MS UI Gothic" w:hAnsi="MS UI Gothic" w:eastAsia="MS UI Gothic"/>
          <w:w w:val="80"/>
        </w:rPr>
        <w:t xml:space="preserve">ꎮ </w:t>
      </w:r>
      <w:r>
        <w:t>会议认为</w:t>
      </w:r>
      <w:r>
        <w:rPr>
          <w:rFonts w:hint="eastAsia" w:ascii="MS UI Gothic" w:hAnsi="MS UI Gothic" w:eastAsia="MS UI Gothic"/>
          <w:w w:val="80"/>
        </w:rPr>
        <w:t xml:space="preserve">ꎬ </w:t>
      </w:r>
      <w:r>
        <w:t>在生态环境损害赔偿制度试行阶段</w:t>
      </w:r>
      <w:r>
        <w:rPr>
          <w:rFonts w:hint="eastAsia" w:ascii="MS UI Gothic" w:hAnsi="MS UI Gothic" w:eastAsia="MS UI Gothic"/>
          <w:w w:val="80"/>
        </w:rPr>
        <w:t xml:space="preserve">ꎬ  </w:t>
      </w:r>
      <w:r>
        <w:t>全国各省</w:t>
      </w:r>
      <w:r>
        <w:rPr>
          <w:rFonts w:hint="eastAsia" w:ascii="MS UI Gothic" w:hAnsi="MS UI Gothic" w:eastAsia="MS UI Gothic"/>
          <w:w w:val="150"/>
        </w:rPr>
        <w:t xml:space="preserve">( </w:t>
      </w:r>
      <w:r>
        <w:t>自治区</w:t>
      </w:r>
      <w:r>
        <w:rPr>
          <w:rFonts w:hint="eastAsia" w:ascii="MS UI Gothic" w:hAnsi="MS UI Gothic" w:eastAsia="MS UI Gothic"/>
          <w:w w:val="80"/>
        </w:rPr>
        <w:t xml:space="preserve">、 </w:t>
      </w:r>
      <w:r>
        <w:t>直辖市</w:t>
      </w:r>
      <w:r>
        <w:rPr>
          <w:rFonts w:hint="eastAsia" w:ascii="MS UI Gothic" w:hAnsi="MS UI Gothic" w:eastAsia="MS UI Gothic"/>
          <w:w w:val="150"/>
        </w:rPr>
        <w:t xml:space="preserve">) </w:t>
      </w:r>
      <w:r>
        <w:t>可以结合本地实际情况</w:t>
      </w:r>
      <w:r>
        <w:rPr>
          <w:rFonts w:hint="eastAsia" w:ascii="MS UI Gothic" w:hAnsi="MS UI Gothic" w:eastAsia="MS UI Gothic"/>
          <w:w w:val="80"/>
        </w:rPr>
        <w:t xml:space="preserve">ꎬ </w:t>
      </w:r>
      <w:r>
        <w:t>因地制宜</w:t>
      </w:r>
      <w:r>
        <w:rPr>
          <w:rFonts w:hint="eastAsia" w:ascii="MS UI Gothic" w:hAnsi="MS UI Gothic" w:eastAsia="MS UI Gothic"/>
          <w:w w:val="80"/>
        </w:rPr>
        <w:t xml:space="preserve">ꎬ </w:t>
      </w:r>
      <w:r>
        <w:t>因时制宜</w:t>
      </w:r>
      <w:r>
        <w:rPr>
          <w:rFonts w:hint="eastAsia" w:ascii="MS UI Gothic" w:hAnsi="MS UI Gothic" w:eastAsia="MS UI Gothic"/>
          <w:w w:val="80"/>
        </w:rPr>
        <w:t xml:space="preserve">ꎬ </w:t>
      </w:r>
      <w:r>
        <w:t xml:space="preserve">根据案件具体情况准确认定 </w:t>
      </w:r>
      <w:r>
        <w:rPr>
          <w:rFonts w:hint="eastAsia" w:ascii="MS UI Gothic" w:hAnsi="MS UI Gothic" w:eastAsia="MS UI Gothic"/>
        </w:rPr>
        <w:t xml:space="preserve">“ </w:t>
      </w:r>
      <w:r>
        <w:t>造成生态环境严重损害</w:t>
      </w:r>
      <w:r>
        <w:rPr>
          <w:rFonts w:hint="eastAsia" w:ascii="MS UI Gothic" w:hAnsi="MS UI Gothic" w:eastAsia="MS UI Gothic"/>
        </w:rPr>
        <w:t xml:space="preserve">” </w:t>
      </w:r>
      <w:r>
        <w:t xml:space="preserve">和 </w:t>
      </w:r>
      <w:r>
        <w:rPr>
          <w:rFonts w:hint="eastAsia" w:ascii="MS UI Gothic" w:hAnsi="MS UI Gothic" w:eastAsia="MS UI Gothic"/>
        </w:rPr>
        <w:t xml:space="preserve">“ </w:t>
      </w:r>
      <w:r>
        <w:t>造成生态环境特别严重损害</w:t>
      </w:r>
      <w:r>
        <w:rPr>
          <w:rFonts w:hint="eastAsia" w:ascii="MS UI Gothic" w:hAnsi="MS UI Gothic" w:eastAsia="MS UI Gothic"/>
        </w:rPr>
        <w:t xml:space="preserve">” </w:t>
      </w:r>
      <w:r>
        <w:rPr>
          <w:rFonts w:hint="eastAsia" w:ascii="MS UI Gothic" w:hAnsi="MS UI Gothic" w:eastAsia="MS UI Gothic"/>
          <w:w w:val="80"/>
        </w:rPr>
        <w:t>ꎮ</w:t>
      </w:r>
    </w:p>
    <w:p>
      <w:pPr>
        <w:pStyle w:val="6"/>
        <w:spacing w:before="123"/>
        <w:ind w:left="538" w:firstLine="0"/>
      </w:pPr>
      <w:r>
        <w:br w:type="column"/>
      </w:r>
      <w:r>
        <w:rPr>
          <w:rFonts w:hint="eastAsia" w:ascii="MS UI Gothic" w:eastAsia="MS UI Gothic"/>
        </w:rPr>
        <w:t xml:space="preserve">５ </w:t>
      </w:r>
      <w:r>
        <w:t>关于非法经营罪的适用</w:t>
      </w:r>
    </w:p>
    <w:p>
      <w:pPr>
        <w:pStyle w:val="6"/>
        <w:spacing w:before="58" w:line="295" w:lineRule="auto"/>
        <w:ind w:right="440"/>
        <w:rPr>
          <w:rFonts w:hint="eastAsia" w:ascii="MS UI Gothic" w:eastAsia="MS UI Gothic"/>
        </w:rPr>
      </w:pPr>
      <w:r>
        <w:t>会议针对如何把握非法经营罪与污染环境罪的关系以及如何具体适用非法经营罪的问题进行了讨论</w:t>
      </w:r>
      <w:r>
        <w:rPr>
          <w:rFonts w:hint="eastAsia" w:ascii="MS UI Gothic" w:eastAsia="MS UI Gothic"/>
          <w:w w:val="80"/>
        </w:rPr>
        <w:t xml:space="preserve">ꎮ </w:t>
      </w:r>
      <w:r>
        <w:t>会议强调</w:t>
      </w:r>
      <w:r>
        <w:rPr>
          <w:rFonts w:hint="eastAsia" w:ascii="MS UI Gothic" w:eastAsia="MS UI Gothic"/>
          <w:w w:val="80"/>
        </w:rPr>
        <w:t xml:space="preserve">ꎬ </w:t>
      </w:r>
      <w:r>
        <w:t>要高度重视非法经营危险废物案件的办理</w:t>
      </w:r>
      <w:r>
        <w:rPr>
          <w:rFonts w:hint="eastAsia" w:ascii="MS UI Gothic" w:eastAsia="MS UI Gothic"/>
          <w:w w:val="80"/>
        </w:rPr>
        <w:t xml:space="preserve">ꎬ </w:t>
      </w:r>
      <w:r>
        <w:t>坚持全链条</w:t>
      </w:r>
      <w:r>
        <w:rPr>
          <w:rFonts w:hint="eastAsia" w:ascii="MS UI Gothic" w:eastAsia="MS UI Gothic"/>
          <w:w w:val="80"/>
        </w:rPr>
        <w:t xml:space="preserve">、 </w:t>
      </w:r>
      <w:r>
        <w:t>全环节</w:t>
      </w:r>
      <w:r>
        <w:rPr>
          <w:rFonts w:hint="eastAsia" w:ascii="MS UI Gothic" w:eastAsia="MS UI Gothic"/>
          <w:w w:val="80"/>
        </w:rPr>
        <w:t xml:space="preserve">、 </w:t>
      </w:r>
      <w:r>
        <w:t>全流程对非法排放</w:t>
      </w:r>
      <w:r>
        <w:rPr>
          <w:rFonts w:hint="eastAsia" w:ascii="MS UI Gothic" w:eastAsia="MS UI Gothic"/>
          <w:w w:val="80"/>
        </w:rPr>
        <w:t xml:space="preserve">、 </w:t>
      </w:r>
      <w:r>
        <w:t>倾倒</w:t>
      </w:r>
      <w:r>
        <w:rPr>
          <w:rFonts w:hint="eastAsia" w:ascii="MS UI Gothic" w:eastAsia="MS UI Gothic"/>
          <w:w w:val="80"/>
        </w:rPr>
        <w:t xml:space="preserve">、 </w:t>
      </w:r>
      <w:r>
        <w:t>处置</w:t>
      </w:r>
      <w:r>
        <w:rPr>
          <w:rFonts w:hint="eastAsia" w:ascii="MS UI Gothic" w:eastAsia="MS UI Gothic"/>
          <w:w w:val="80"/>
        </w:rPr>
        <w:t xml:space="preserve">、 </w:t>
      </w:r>
      <w:r>
        <w:t>经营危险废物的产业链进行刑事打击</w:t>
      </w:r>
      <w:r>
        <w:rPr>
          <w:rFonts w:hint="eastAsia" w:ascii="MS UI Gothic" w:eastAsia="MS UI Gothic"/>
          <w:w w:val="80"/>
        </w:rPr>
        <w:t xml:space="preserve">ꎬ </w:t>
      </w:r>
      <w:r>
        <w:t>查清犯罪网络</w:t>
      </w:r>
      <w:r>
        <w:rPr>
          <w:rFonts w:hint="eastAsia" w:ascii="MS UI Gothic" w:eastAsia="MS UI Gothic"/>
          <w:w w:val="80"/>
        </w:rPr>
        <w:t xml:space="preserve">ꎬ </w:t>
      </w:r>
      <w:r>
        <w:t>深挖犯罪源头</w:t>
      </w:r>
      <w:r>
        <w:rPr>
          <w:rFonts w:hint="eastAsia" w:ascii="MS UI Gothic" w:eastAsia="MS UI Gothic"/>
          <w:w w:val="80"/>
        </w:rPr>
        <w:t>ꎬ</w:t>
      </w:r>
      <w:r>
        <w:t>斩断利益链条</w:t>
      </w:r>
      <w:r>
        <w:rPr>
          <w:rFonts w:hint="eastAsia" w:ascii="MS UI Gothic" w:eastAsia="MS UI Gothic"/>
          <w:w w:val="80"/>
        </w:rPr>
        <w:t xml:space="preserve">ꎬ </w:t>
      </w:r>
      <w:r>
        <w:t>不断挤压和铲除此类犯罪滋生蔓延的空间</w:t>
      </w:r>
      <w:r>
        <w:rPr>
          <w:rFonts w:hint="eastAsia" w:ascii="MS UI Gothic" w:eastAsia="MS UI Gothic"/>
          <w:w w:val="80"/>
        </w:rPr>
        <w:t>ꎮ</w:t>
      </w:r>
    </w:p>
    <w:p>
      <w:pPr>
        <w:pStyle w:val="6"/>
        <w:spacing w:line="295" w:lineRule="auto"/>
        <w:ind w:right="440"/>
        <w:rPr>
          <w:rFonts w:hint="eastAsia" w:ascii="MS UI Gothic" w:hAnsi="MS UI Gothic" w:eastAsia="MS UI Gothic"/>
        </w:rPr>
      </w:pPr>
      <w:r>
        <w:t>会议认为</w:t>
      </w:r>
      <w:r>
        <w:rPr>
          <w:rFonts w:hint="eastAsia" w:ascii="MS UI Gothic" w:hAnsi="MS UI Gothic" w:eastAsia="MS UI Gothic"/>
          <w:w w:val="80"/>
        </w:rPr>
        <w:t xml:space="preserve">ꎬ </w:t>
      </w:r>
      <w:r>
        <w:t xml:space="preserve">准确理解和适用 </w:t>
      </w:r>
      <w:r>
        <w:rPr>
          <w:rFonts w:hint="eastAsia" w:ascii="MS UI Gothic" w:hAnsi="MS UI Gothic" w:eastAsia="MS UI Gothic"/>
          <w:w w:val="80"/>
        </w:rPr>
        <w:t xml:space="preserve">« </w:t>
      </w:r>
      <w:r>
        <w:t>环境解释</w:t>
      </w:r>
      <w:r>
        <w:rPr>
          <w:rFonts w:hint="eastAsia" w:ascii="MS UI Gothic" w:hAnsi="MS UI Gothic" w:eastAsia="MS UI Gothic"/>
          <w:w w:val="80"/>
        </w:rPr>
        <w:t xml:space="preserve">» </w:t>
      </w:r>
      <w:r>
        <w:t>第六条的规定应当注意把握两个原则</w:t>
      </w:r>
      <w:r>
        <w:rPr>
          <w:rFonts w:hint="eastAsia" w:ascii="MS UI Gothic" w:hAnsi="MS UI Gothic" w:eastAsia="MS UI Gothic"/>
          <w:w w:val="235"/>
        </w:rPr>
        <w:t xml:space="preserve">: </w:t>
      </w:r>
      <w:r>
        <w:t>一要坚持实质判断原则</w:t>
      </w:r>
      <w:r>
        <w:rPr>
          <w:rFonts w:hint="eastAsia" w:ascii="MS UI Gothic" w:hAnsi="MS UI Gothic" w:eastAsia="MS UI Gothic"/>
          <w:w w:val="80"/>
        </w:rPr>
        <w:t xml:space="preserve">ꎬ </w:t>
      </w:r>
      <w:r>
        <w:t>对行为人非法经营危险废物行为的社会危害性作实质性判断</w:t>
      </w:r>
      <w:r>
        <w:rPr>
          <w:rFonts w:hint="eastAsia" w:ascii="MS UI Gothic" w:hAnsi="MS UI Gothic" w:eastAsia="MS UI Gothic"/>
          <w:w w:val="80"/>
        </w:rPr>
        <w:t xml:space="preserve">ꎮ </w:t>
      </w:r>
      <w:r>
        <w:t>比如</w:t>
      </w:r>
      <w:r>
        <w:rPr>
          <w:rFonts w:hint="eastAsia" w:ascii="MS UI Gothic" w:hAnsi="MS UI Gothic" w:eastAsia="MS UI Gothic"/>
          <w:w w:val="80"/>
        </w:rPr>
        <w:t xml:space="preserve">ꎬ </w:t>
      </w:r>
      <w:r>
        <w:t>一些单位或者个人虽未依法取得危险废物经营许可证</w:t>
      </w:r>
      <w:r>
        <w:rPr>
          <w:rFonts w:hint="eastAsia" w:ascii="MS UI Gothic" w:hAnsi="MS UI Gothic" w:eastAsia="MS UI Gothic"/>
          <w:w w:val="80"/>
        </w:rPr>
        <w:t xml:space="preserve">ꎬ </w:t>
      </w:r>
      <w:r>
        <w:t>但其收集</w:t>
      </w:r>
      <w:r>
        <w:rPr>
          <w:rFonts w:hint="eastAsia" w:ascii="MS UI Gothic" w:hAnsi="MS UI Gothic" w:eastAsia="MS UI Gothic"/>
          <w:w w:val="80"/>
        </w:rPr>
        <w:t xml:space="preserve">、 </w:t>
      </w:r>
      <w:r>
        <w:t>贮存</w:t>
      </w:r>
      <w:r>
        <w:rPr>
          <w:rFonts w:hint="eastAsia" w:ascii="MS UI Gothic" w:hAnsi="MS UI Gothic" w:eastAsia="MS UI Gothic"/>
          <w:w w:val="80"/>
        </w:rPr>
        <w:t xml:space="preserve">、 </w:t>
      </w:r>
      <w:r>
        <w:t>利用</w:t>
      </w:r>
      <w:r>
        <w:rPr>
          <w:rFonts w:hint="eastAsia" w:ascii="MS UI Gothic" w:hAnsi="MS UI Gothic" w:eastAsia="MS UI Gothic"/>
          <w:w w:val="80"/>
        </w:rPr>
        <w:t xml:space="preserve">、 </w:t>
      </w:r>
      <w:r>
        <w:t>处置危险废物经营活动</w:t>
      </w:r>
      <w:r>
        <w:rPr>
          <w:rFonts w:hint="eastAsia" w:ascii="MS UI Gothic" w:hAnsi="MS UI Gothic" w:eastAsia="MS UI Gothic"/>
          <w:w w:val="80"/>
        </w:rPr>
        <w:t xml:space="preserve">ꎬ </w:t>
      </w:r>
      <w:r>
        <w:t>没有超标排放污染物</w:t>
      </w:r>
      <w:r>
        <w:rPr>
          <w:rFonts w:hint="eastAsia" w:ascii="MS UI Gothic" w:hAnsi="MS UI Gothic" w:eastAsia="MS UI Gothic"/>
          <w:w w:val="80"/>
        </w:rPr>
        <w:t xml:space="preserve">、 </w:t>
      </w:r>
      <w:r>
        <w:t>非法倾倒污染物或者其他违法造成环境污染情形的</w:t>
      </w:r>
      <w:r>
        <w:rPr>
          <w:rFonts w:hint="eastAsia" w:ascii="MS UI Gothic" w:hAnsi="MS UI Gothic" w:eastAsia="MS UI Gothic"/>
          <w:w w:val="80"/>
        </w:rPr>
        <w:t xml:space="preserve">ꎬ </w:t>
      </w:r>
      <w:r>
        <w:t>则不宜以非法经营罪论处</w:t>
      </w:r>
      <w:r>
        <w:rPr>
          <w:rFonts w:hint="eastAsia" w:ascii="MS UI Gothic" w:hAnsi="MS UI Gothic" w:eastAsia="MS UI Gothic"/>
          <w:w w:val="80"/>
        </w:rPr>
        <w:t xml:space="preserve">ꎮ </w:t>
      </w:r>
      <w:r>
        <w:t>二要坚持综合判断原则</w:t>
      </w:r>
      <w:r>
        <w:rPr>
          <w:rFonts w:hint="eastAsia" w:ascii="MS UI Gothic" w:hAnsi="MS UI Gothic" w:eastAsia="MS UI Gothic"/>
          <w:w w:val="80"/>
        </w:rPr>
        <w:t xml:space="preserve">ꎬ </w:t>
      </w:r>
      <w:r>
        <w:t>对行为人非法经营危险废物行为根据其在犯罪链条中的地位</w:t>
      </w:r>
      <w:r>
        <w:rPr>
          <w:rFonts w:hint="eastAsia" w:ascii="MS UI Gothic" w:hAnsi="MS UI Gothic" w:eastAsia="MS UI Gothic"/>
          <w:w w:val="80"/>
        </w:rPr>
        <w:t xml:space="preserve">、 </w:t>
      </w:r>
      <w:r>
        <w:t>作用综合判断其社会危害性</w:t>
      </w:r>
      <w:r>
        <w:rPr>
          <w:rFonts w:hint="eastAsia" w:ascii="MS UI Gothic" w:hAnsi="MS UI Gothic" w:eastAsia="MS UI Gothic"/>
          <w:w w:val="80"/>
        </w:rPr>
        <w:t xml:space="preserve">ꎮ </w:t>
      </w:r>
      <w:r>
        <w:t>比如</w:t>
      </w:r>
      <w:r>
        <w:rPr>
          <w:rFonts w:hint="eastAsia" w:ascii="MS UI Gothic" w:hAnsi="MS UI Gothic" w:eastAsia="MS UI Gothic"/>
          <w:w w:val="80"/>
        </w:rPr>
        <w:t xml:space="preserve">ꎬ </w:t>
      </w:r>
      <w:r>
        <w:t>有证据证明单位或者个人的无证经营危险废物行为属于危险废物非法经营产业链的一部分</w:t>
      </w:r>
      <w:r>
        <w:rPr>
          <w:rFonts w:hint="eastAsia" w:ascii="MS UI Gothic" w:hAnsi="MS UI Gothic" w:eastAsia="MS UI Gothic"/>
          <w:w w:val="80"/>
        </w:rPr>
        <w:t xml:space="preserve">ꎬ </w:t>
      </w:r>
      <w:r>
        <w:t>并且已经形成了分工负责</w:t>
      </w:r>
      <w:r>
        <w:rPr>
          <w:rFonts w:hint="eastAsia" w:ascii="MS UI Gothic" w:hAnsi="MS UI Gothic" w:eastAsia="MS UI Gothic"/>
          <w:w w:val="80"/>
        </w:rPr>
        <w:t xml:space="preserve">、 </w:t>
      </w:r>
      <w:r>
        <w:t>利益均沾</w:t>
      </w:r>
      <w:r>
        <w:rPr>
          <w:rFonts w:hint="eastAsia" w:ascii="MS UI Gothic" w:hAnsi="MS UI Gothic" w:eastAsia="MS UI Gothic"/>
          <w:w w:val="80"/>
        </w:rPr>
        <w:t xml:space="preserve">、 </w:t>
      </w:r>
      <w:r>
        <w:t>相对固定的犯罪链条</w:t>
      </w:r>
      <w:r>
        <w:rPr>
          <w:rFonts w:hint="eastAsia" w:ascii="MS UI Gothic" w:hAnsi="MS UI Gothic" w:eastAsia="MS UI Gothic"/>
          <w:w w:val="80"/>
        </w:rPr>
        <w:t xml:space="preserve">ꎬ </w:t>
      </w:r>
      <w:r>
        <w:t>如果行为人或者与其联系紧密的上游或者下游环节具有排放</w:t>
      </w:r>
      <w:r>
        <w:rPr>
          <w:rFonts w:hint="eastAsia" w:ascii="MS UI Gothic" w:hAnsi="MS UI Gothic" w:eastAsia="MS UI Gothic"/>
          <w:w w:val="80"/>
        </w:rPr>
        <w:t xml:space="preserve">、 </w:t>
      </w:r>
      <w:r>
        <w:t>倾倒</w:t>
      </w:r>
      <w:r>
        <w:rPr>
          <w:rFonts w:hint="eastAsia" w:ascii="MS UI Gothic" w:hAnsi="MS UI Gothic" w:eastAsia="MS UI Gothic"/>
          <w:w w:val="80"/>
        </w:rPr>
        <w:t>、</w:t>
      </w:r>
      <w:r>
        <w:t>处置危险废物违法造成环境污染的情形</w:t>
      </w:r>
      <w:r>
        <w:rPr>
          <w:rFonts w:hint="eastAsia" w:ascii="MS UI Gothic" w:hAnsi="MS UI Gothic" w:eastAsia="MS UI Gothic"/>
          <w:w w:val="80"/>
        </w:rPr>
        <w:t>ꎬ</w:t>
      </w:r>
      <w:r>
        <w:t>且交易价格明显异常的</w:t>
      </w:r>
      <w:r>
        <w:rPr>
          <w:rFonts w:hint="eastAsia" w:ascii="MS UI Gothic" w:hAnsi="MS UI Gothic" w:eastAsia="MS UI Gothic"/>
          <w:w w:val="80"/>
        </w:rPr>
        <w:t xml:space="preserve">ꎬ </w:t>
      </w:r>
      <w:r>
        <w:t>对行为人可以根据案件具体情况在污染环境罪和非法经营罪中</w:t>
      </w:r>
      <w:r>
        <w:rPr>
          <w:rFonts w:hint="eastAsia" w:ascii="MS UI Gothic" w:hAnsi="MS UI Gothic" w:eastAsia="MS UI Gothic"/>
          <w:w w:val="80"/>
        </w:rPr>
        <w:t xml:space="preserve">ꎬ </w:t>
      </w:r>
      <w:r>
        <w:t>择一重罪处断</w:t>
      </w:r>
      <w:r>
        <w:rPr>
          <w:rFonts w:hint="eastAsia" w:ascii="MS UI Gothic" w:hAnsi="MS UI Gothic" w:eastAsia="MS UI Gothic"/>
          <w:w w:val="80"/>
        </w:rPr>
        <w:t>ꎮ</w:t>
      </w:r>
    </w:p>
    <w:p>
      <w:pPr>
        <w:pStyle w:val="6"/>
        <w:spacing w:line="239" w:lineRule="exact"/>
        <w:ind w:left="538" w:firstLine="0"/>
      </w:pPr>
      <w:r>
        <w:rPr>
          <w:rFonts w:hint="eastAsia" w:ascii="MS UI Gothic" w:eastAsia="MS UI Gothic"/>
        </w:rPr>
        <w:t xml:space="preserve">６ </w:t>
      </w:r>
      <w:r>
        <w:t>关于投放危险物质罪的适用</w:t>
      </w:r>
    </w:p>
    <w:p>
      <w:pPr>
        <w:pStyle w:val="6"/>
        <w:spacing w:before="51" w:line="295" w:lineRule="auto"/>
        <w:ind w:right="442"/>
      </w:pPr>
      <w:r>
        <w:t>会议强调</w:t>
      </w:r>
      <w:r>
        <w:rPr>
          <w:rFonts w:hint="eastAsia" w:ascii="MS UI Gothic" w:hAnsi="MS UI Gothic" w:eastAsia="MS UI Gothic"/>
          <w:w w:val="80"/>
        </w:rPr>
        <w:t xml:space="preserve">ꎬ </w:t>
      </w:r>
      <w:r>
        <w:t>目前我国一些地方环境违法犯罪活动高发多发</w:t>
      </w:r>
      <w:r>
        <w:rPr>
          <w:rFonts w:hint="eastAsia" w:ascii="MS UI Gothic" w:hAnsi="MS UI Gothic" w:eastAsia="MS UI Gothic"/>
          <w:w w:val="80"/>
        </w:rPr>
        <w:t xml:space="preserve">ꎬ </w:t>
      </w:r>
      <w:r>
        <w:t>刑事处罚威慑力不强的问题仍然突出</w:t>
      </w:r>
      <w:r>
        <w:rPr>
          <w:rFonts w:hint="eastAsia" w:ascii="MS UI Gothic" w:hAnsi="MS UI Gothic" w:eastAsia="MS UI Gothic"/>
          <w:w w:val="80"/>
        </w:rPr>
        <w:t xml:space="preserve">ꎬ </w:t>
      </w:r>
      <w:r>
        <w:t>现阶段在办理环境污染犯罪案件时必须坚决贯彻落实中央领导同志关于重典治理污染的指示精神</w:t>
      </w:r>
      <w:r>
        <w:rPr>
          <w:rFonts w:hint="eastAsia" w:ascii="MS UI Gothic" w:hAnsi="MS UI Gothic" w:eastAsia="MS UI Gothic"/>
          <w:w w:val="80"/>
        </w:rPr>
        <w:t xml:space="preserve">ꎬ </w:t>
      </w:r>
      <w:r>
        <w:t xml:space="preserve">把刑法和 </w:t>
      </w:r>
      <w:r>
        <w:rPr>
          <w:rFonts w:hint="eastAsia" w:ascii="MS UI Gothic" w:hAnsi="MS UI Gothic" w:eastAsia="MS UI Gothic"/>
          <w:w w:val="80"/>
        </w:rPr>
        <w:t xml:space="preserve">« </w:t>
      </w:r>
      <w:r>
        <w:t>环境解释</w:t>
      </w:r>
      <w:r>
        <w:rPr>
          <w:rFonts w:hint="eastAsia" w:ascii="MS UI Gothic" w:hAnsi="MS UI Gothic" w:eastAsia="MS UI Gothic"/>
          <w:w w:val="80"/>
        </w:rPr>
        <w:t xml:space="preserve">» </w:t>
      </w:r>
      <w:r>
        <w:t>的规定用足用好</w:t>
      </w:r>
      <w:r>
        <w:rPr>
          <w:rFonts w:hint="eastAsia" w:ascii="MS UI Gothic" w:hAnsi="MS UI Gothic" w:eastAsia="MS UI Gothic"/>
          <w:w w:val="80"/>
        </w:rPr>
        <w:t xml:space="preserve">ꎬ </w:t>
      </w:r>
      <w:r>
        <w:t>形</w:t>
      </w:r>
    </w:p>
    <w:p>
      <w:pPr>
        <w:spacing w:after="0" w:line="295" w:lineRule="auto"/>
        <w:sectPr>
          <w:type w:val="continuous"/>
          <w:pgSz w:w="10500" w:h="14750"/>
          <w:pgMar w:top="1400" w:right="980" w:bottom="280" w:left="980" w:header="720" w:footer="720" w:gutter="0"/>
          <w:cols w:equalWidth="0" w:num="2">
            <w:col w:w="3936" w:space="256"/>
            <w:col w:w="4348"/>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２７</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31" o:spid="_x0000_s1131" o:spt="203" style="height:2.15pt;width:398.25pt;" coordsize="7965,43">
            <o:lock v:ext="edit"/>
            <v:line id="_x0000_s1132" o:spid="_x0000_s1132" o:spt="20" style="position:absolute;left:0;top:39;height:0;width:7965;" stroked="t" coordsize="21600,21600">
              <v:path arrowok="t"/>
              <v:fill focussize="0,0"/>
              <v:stroke weight="0.388031496062992pt" color="#231F20"/>
              <v:imagedata o:title=""/>
              <o:lock v:ext="edit"/>
            </v:line>
            <v:line id="_x0000_s1133" o:spid="_x0000_s11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成对环境污染违法犯罪的强大震慑</w:t>
      </w:r>
      <w:r>
        <w:rPr>
          <w:rFonts w:hint="eastAsia" w:ascii="MS UI Gothic" w:eastAsia="MS UI Gothic"/>
          <w:w w:val="80"/>
        </w:rPr>
        <w:t>ꎮ</w:t>
      </w:r>
    </w:p>
    <w:p>
      <w:pPr>
        <w:pStyle w:val="6"/>
        <w:spacing w:before="58" w:line="295" w:lineRule="auto"/>
        <w:ind w:left="440"/>
        <w:rPr>
          <w:rFonts w:hint="eastAsia" w:ascii="MS UI Gothic" w:eastAsia="MS UI Gothic"/>
        </w:rPr>
      </w:pPr>
      <w:r>
        <w:t>会议认为</w:t>
      </w:r>
      <w:r>
        <w:rPr>
          <w:rFonts w:hint="eastAsia" w:ascii="MS UI Gothic" w:eastAsia="MS UI Gothic"/>
          <w:w w:val="80"/>
        </w:rPr>
        <w:t xml:space="preserve">ꎬ </w:t>
      </w:r>
      <w:r>
        <w:t>司法实践中对环境污染行为适用投放危险物质罪追究刑事责任时</w:t>
      </w:r>
      <w:r>
        <w:rPr>
          <w:rFonts w:hint="eastAsia" w:ascii="MS UI Gothic" w:eastAsia="MS UI Gothic"/>
          <w:w w:val="80"/>
        </w:rPr>
        <w:t>ꎬ</w:t>
      </w:r>
      <w:r>
        <w:t>应当重点审查判断行为人的主观恶性</w:t>
      </w:r>
      <w:r>
        <w:rPr>
          <w:rFonts w:hint="eastAsia" w:ascii="MS UI Gothic" w:eastAsia="MS UI Gothic"/>
          <w:w w:val="80"/>
        </w:rPr>
        <w:t xml:space="preserve">、 </w:t>
      </w:r>
      <w:r>
        <w:t>污染行为恶劣程度</w:t>
      </w:r>
      <w:r>
        <w:rPr>
          <w:rFonts w:hint="eastAsia" w:ascii="MS UI Gothic" w:eastAsia="MS UI Gothic"/>
          <w:w w:val="80"/>
        </w:rPr>
        <w:t xml:space="preserve">、 </w:t>
      </w:r>
      <w:r>
        <w:t>污染物的毒害性危险性</w:t>
      </w:r>
      <w:r>
        <w:rPr>
          <w:rFonts w:hint="eastAsia" w:ascii="MS UI Gothic" w:eastAsia="MS UI Gothic"/>
          <w:w w:val="80"/>
        </w:rPr>
        <w:t xml:space="preserve">、 </w:t>
      </w:r>
      <w:r>
        <w:t>污染持续时间</w:t>
      </w:r>
      <w:r>
        <w:rPr>
          <w:rFonts w:hint="eastAsia" w:ascii="MS UI Gothic" w:eastAsia="MS UI Gothic"/>
          <w:w w:val="80"/>
        </w:rPr>
        <w:t xml:space="preserve">、 </w:t>
      </w:r>
      <w:r>
        <w:t>污染结果是否可逆</w:t>
      </w:r>
      <w:r>
        <w:rPr>
          <w:rFonts w:hint="eastAsia" w:ascii="MS UI Gothic" w:eastAsia="MS UI Gothic"/>
          <w:w w:val="80"/>
        </w:rPr>
        <w:t>、</w:t>
      </w:r>
      <w:r>
        <w:t>是否对公共安全造成现实</w:t>
      </w:r>
      <w:r>
        <w:rPr>
          <w:rFonts w:hint="eastAsia" w:ascii="MS UI Gothic" w:eastAsia="MS UI Gothic"/>
          <w:w w:val="80"/>
        </w:rPr>
        <w:t xml:space="preserve">、 </w:t>
      </w:r>
      <w:r>
        <w:t>具体</w:t>
      </w:r>
      <w:r>
        <w:rPr>
          <w:rFonts w:hint="eastAsia" w:ascii="MS UI Gothic" w:eastAsia="MS UI Gothic"/>
          <w:w w:val="80"/>
        </w:rPr>
        <w:t xml:space="preserve">、 </w:t>
      </w:r>
      <w:r>
        <w:t>明确的危险或者危害等各方面因素</w:t>
      </w:r>
      <w:r>
        <w:rPr>
          <w:rFonts w:hint="eastAsia" w:ascii="MS UI Gothic" w:eastAsia="MS UI Gothic"/>
          <w:w w:val="80"/>
        </w:rPr>
        <w:t xml:space="preserve">ꎮ </w:t>
      </w:r>
      <w:r>
        <w:t>对于行为人明知其排放</w:t>
      </w:r>
      <w:r>
        <w:rPr>
          <w:rFonts w:hint="eastAsia" w:ascii="MS UI Gothic" w:eastAsia="MS UI Gothic"/>
          <w:w w:val="80"/>
        </w:rPr>
        <w:t xml:space="preserve">、 </w:t>
      </w:r>
      <w:r>
        <w:t>倾倒</w:t>
      </w:r>
      <w:r>
        <w:rPr>
          <w:rFonts w:hint="eastAsia" w:ascii="MS UI Gothic" w:eastAsia="MS UI Gothic"/>
          <w:w w:val="80"/>
        </w:rPr>
        <w:t xml:space="preserve">、 </w:t>
      </w:r>
      <w:r>
        <w:t>处置的污染物含有毒害性</w:t>
      </w:r>
      <w:r>
        <w:rPr>
          <w:rFonts w:hint="eastAsia" w:ascii="MS UI Gothic" w:eastAsia="MS UI Gothic"/>
          <w:w w:val="80"/>
        </w:rPr>
        <w:t xml:space="preserve">、 </w:t>
      </w:r>
      <w:r>
        <w:t>放射性</w:t>
      </w:r>
      <w:r>
        <w:rPr>
          <w:rFonts w:hint="eastAsia" w:ascii="MS UI Gothic" w:eastAsia="MS UI Gothic"/>
          <w:w w:val="80"/>
        </w:rPr>
        <w:t xml:space="preserve">、 </w:t>
      </w:r>
      <w:r>
        <w:t>传染病病原体等危险物质</w:t>
      </w:r>
      <w:r>
        <w:rPr>
          <w:rFonts w:hint="eastAsia" w:ascii="MS UI Gothic" w:eastAsia="MS UI Gothic"/>
          <w:w w:val="80"/>
        </w:rPr>
        <w:t xml:space="preserve">ꎬ </w:t>
      </w:r>
      <w:r>
        <w:t>仍实施环境污染行为放任其危害公共安全</w:t>
      </w:r>
      <w:r>
        <w:rPr>
          <w:rFonts w:hint="eastAsia" w:ascii="MS UI Gothic" w:eastAsia="MS UI Gothic"/>
          <w:w w:val="80"/>
        </w:rPr>
        <w:t xml:space="preserve">ꎬ </w:t>
      </w:r>
      <w:r>
        <w:t>造成重大人员伤亡</w:t>
      </w:r>
      <w:r>
        <w:rPr>
          <w:rFonts w:hint="eastAsia" w:ascii="MS UI Gothic" w:eastAsia="MS UI Gothic"/>
          <w:w w:val="80"/>
        </w:rPr>
        <w:t xml:space="preserve">、 </w:t>
      </w:r>
      <w:r>
        <w:t>重大公私财产损失等严重后果</w:t>
      </w:r>
      <w:r>
        <w:rPr>
          <w:rFonts w:hint="eastAsia" w:ascii="MS UI Gothic" w:eastAsia="MS UI Gothic"/>
          <w:w w:val="80"/>
        </w:rPr>
        <w:t xml:space="preserve">ꎬ </w:t>
      </w:r>
      <w:r>
        <w:t>以污染环境罪论处明显不足以罚当其罪的</w:t>
      </w:r>
      <w:r>
        <w:rPr>
          <w:rFonts w:hint="eastAsia" w:ascii="MS UI Gothic" w:eastAsia="MS UI Gothic"/>
          <w:w w:val="80"/>
        </w:rPr>
        <w:t xml:space="preserve">ꎬ </w:t>
      </w:r>
      <w:r>
        <w:t>可以按投放危险物质罪定罪量刑</w:t>
      </w:r>
      <w:r>
        <w:rPr>
          <w:rFonts w:hint="eastAsia" w:ascii="MS UI Gothic" w:eastAsia="MS UI Gothic"/>
          <w:w w:val="80"/>
        </w:rPr>
        <w:t xml:space="preserve">ꎮ </w:t>
      </w:r>
      <w:r>
        <w:t>实践中</w:t>
      </w:r>
      <w:r>
        <w:rPr>
          <w:rFonts w:hint="eastAsia" w:ascii="MS UI Gothic" w:eastAsia="MS UI Gothic"/>
          <w:w w:val="80"/>
        </w:rPr>
        <w:t xml:space="preserve">ꎬ </w:t>
      </w:r>
      <w:r>
        <w:t>此类情形主要是向饮用水水源保护区</w:t>
      </w:r>
      <w:r>
        <w:rPr>
          <w:rFonts w:hint="eastAsia" w:ascii="MS UI Gothic" w:eastAsia="MS UI Gothic"/>
          <w:w w:val="80"/>
        </w:rPr>
        <w:t xml:space="preserve">ꎬ </w:t>
      </w:r>
      <w:r>
        <w:t>饮用水供水单位取水口和出水口</w:t>
      </w:r>
      <w:r>
        <w:rPr>
          <w:rFonts w:hint="eastAsia" w:ascii="MS UI Gothic" w:eastAsia="MS UI Gothic"/>
          <w:w w:val="80"/>
        </w:rPr>
        <w:t xml:space="preserve">ꎬ </w:t>
      </w:r>
      <w:r>
        <w:t>南水北调水库</w:t>
      </w:r>
      <w:r>
        <w:rPr>
          <w:rFonts w:hint="eastAsia" w:ascii="MS UI Gothic" w:eastAsia="MS UI Gothic"/>
          <w:w w:val="80"/>
        </w:rPr>
        <w:t xml:space="preserve">、 </w:t>
      </w:r>
      <w:r>
        <w:t>干渠</w:t>
      </w:r>
      <w:r>
        <w:rPr>
          <w:rFonts w:hint="eastAsia" w:ascii="MS UI Gothic" w:eastAsia="MS UI Gothic"/>
          <w:w w:val="80"/>
        </w:rPr>
        <w:t xml:space="preserve">、 </w:t>
      </w:r>
      <w:r>
        <w:t>涵洞等配套工程</w:t>
      </w:r>
      <w:r>
        <w:rPr>
          <w:rFonts w:hint="eastAsia" w:ascii="MS UI Gothic" w:eastAsia="MS UI Gothic"/>
          <w:w w:val="80"/>
        </w:rPr>
        <w:t xml:space="preserve">ꎬ </w:t>
      </w:r>
      <w:r>
        <w:t>重要渔业水体以及自然保护区核心区等特殊保护区域</w:t>
      </w:r>
      <w:r>
        <w:rPr>
          <w:rFonts w:hint="eastAsia" w:ascii="MS UI Gothic" w:eastAsia="MS UI Gothic"/>
          <w:w w:val="80"/>
        </w:rPr>
        <w:t xml:space="preserve">ꎬ </w:t>
      </w:r>
      <w:r>
        <w:t>排放</w:t>
      </w:r>
      <w:r>
        <w:rPr>
          <w:rFonts w:hint="eastAsia" w:ascii="MS UI Gothic" w:eastAsia="MS UI Gothic"/>
          <w:w w:val="80"/>
        </w:rPr>
        <w:t xml:space="preserve">、 </w:t>
      </w:r>
      <w:r>
        <w:t>倾倒</w:t>
      </w:r>
      <w:r>
        <w:rPr>
          <w:rFonts w:hint="eastAsia" w:ascii="MS UI Gothic" w:eastAsia="MS UI Gothic"/>
          <w:w w:val="80"/>
        </w:rPr>
        <w:t>、</w:t>
      </w:r>
      <w:r>
        <w:t>处置毒害性极强的污染物</w:t>
      </w:r>
      <w:r>
        <w:rPr>
          <w:rFonts w:hint="eastAsia" w:ascii="MS UI Gothic" w:eastAsia="MS UI Gothic"/>
          <w:w w:val="80"/>
        </w:rPr>
        <w:t xml:space="preserve">ꎬ </w:t>
      </w:r>
      <w:r>
        <w:t>危害公共安全并造成严重后果的情形</w:t>
      </w:r>
      <w:r>
        <w:rPr>
          <w:rFonts w:hint="eastAsia" w:ascii="MS UI Gothic" w:eastAsia="MS UI Gothic"/>
          <w:w w:val="80"/>
        </w:rPr>
        <w:t>ꎮ</w:t>
      </w:r>
    </w:p>
    <w:p>
      <w:pPr>
        <w:pStyle w:val="6"/>
        <w:spacing w:line="240" w:lineRule="exact"/>
        <w:ind w:left="854" w:firstLine="0"/>
      </w:pPr>
      <w:r>
        <w:rPr>
          <w:rFonts w:hint="eastAsia" w:ascii="MS UI Gothic" w:eastAsia="MS UI Gothic"/>
        </w:rPr>
        <w:t xml:space="preserve">７ </w:t>
      </w:r>
      <w:r>
        <w:t>关于涉大气污染环境犯罪的处理</w:t>
      </w:r>
    </w:p>
    <w:p>
      <w:pPr>
        <w:pStyle w:val="6"/>
        <w:spacing w:before="58" w:line="295" w:lineRule="auto"/>
        <w:ind w:left="440"/>
        <w:rPr>
          <w:rFonts w:hint="eastAsia" w:ascii="MS UI Gothic" w:eastAsia="MS UI Gothic"/>
        </w:rPr>
      </w:pPr>
      <w:r>
        <w:t>会议针对涉大气污染环境犯罪的打击处理问题进行了讨论</w:t>
      </w:r>
      <w:r>
        <w:rPr>
          <w:rFonts w:hint="eastAsia" w:ascii="MS UI Gothic" w:eastAsia="MS UI Gothic"/>
          <w:w w:val="80"/>
        </w:rPr>
        <w:t xml:space="preserve">ꎮ </w:t>
      </w:r>
      <w:r>
        <w:t>会议强调</w:t>
      </w:r>
      <w:r>
        <w:rPr>
          <w:rFonts w:hint="eastAsia" w:ascii="MS UI Gothic" w:eastAsia="MS UI Gothic"/>
          <w:w w:val="80"/>
        </w:rPr>
        <w:t xml:space="preserve">ꎬ </w:t>
      </w:r>
      <w:r>
        <w:t>打赢蓝天保卫战是打好污染防治攻坚战的重中之重</w:t>
      </w:r>
      <w:r>
        <w:rPr>
          <w:rFonts w:hint="eastAsia" w:ascii="MS UI Gothic" w:eastAsia="MS UI Gothic"/>
          <w:w w:val="80"/>
        </w:rPr>
        <w:t xml:space="preserve">ꎮ </w:t>
      </w:r>
      <w:r>
        <w:t>各级人民法院</w:t>
      </w:r>
      <w:r>
        <w:rPr>
          <w:rFonts w:hint="eastAsia" w:ascii="MS UI Gothic" w:eastAsia="MS UI Gothic"/>
          <w:w w:val="80"/>
        </w:rPr>
        <w:t xml:space="preserve">、 </w:t>
      </w:r>
      <w:r>
        <w:t>人民检察院</w:t>
      </w:r>
      <w:r>
        <w:rPr>
          <w:rFonts w:hint="eastAsia" w:ascii="MS UI Gothic" w:eastAsia="MS UI Gothic"/>
          <w:w w:val="80"/>
        </w:rPr>
        <w:t xml:space="preserve">、 </w:t>
      </w:r>
      <w:r>
        <w:t>公安机关</w:t>
      </w:r>
      <w:r>
        <w:rPr>
          <w:rFonts w:hint="eastAsia" w:ascii="MS UI Gothic" w:eastAsia="MS UI Gothic"/>
          <w:w w:val="80"/>
        </w:rPr>
        <w:t xml:space="preserve">、 </w:t>
      </w:r>
      <w:r>
        <w:t>生态环境部门要认真分析研究全国人大常委会大气污染防治法执法检查发现的问题和提出的建议</w:t>
      </w:r>
      <w:r>
        <w:rPr>
          <w:rFonts w:hint="eastAsia" w:ascii="MS UI Gothic" w:eastAsia="MS UI Gothic"/>
          <w:w w:val="80"/>
        </w:rPr>
        <w:t xml:space="preserve">ꎬ </w:t>
      </w:r>
      <w:r>
        <w:t>不断加大对涉大气污染环境犯罪的打击力度</w:t>
      </w:r>
      <w:r>
        <w:rPr>
          <w:rFonts w:hint="eastAsia" w:ascii="MS UI Gothic" w:eastAsia="MS UI Gothic"/>
          <w:w w:val="80"/>
        </w:rPr>
        <w:t xml:space="preserve">ꎬ </w:t>
      </w:r>
      <w:r>
        <w:t>毫不动摇地以法律武器治理污染</w:t>
      </w:r>
      <w:r>
        <w:rPr>
          <w:rFonts w:hint="eastAsia" w:ascii="MS UI Gothic" w:eastAsia="MS UI Gothic"/>
          <w:w w:val="80"/>
        </w:rPr>
        <w:t xml:space="preserve">ꎬ </w:t>
      </w:r>
      <w:r>
        <w:t>用法治力量保卫蓝天</w:t>
      </w:r>
      <w:r>
        <w:rPr>
          <w:rFonts w:hint="eastAsia" w:ascii="MS UI Gothic" w:eastAsia="MS UI Gothic"/>
          <w:w w:val="80"/>
        </w:rPr>
        <w:t>ꎬ</w:t>
      </w:r>
      <w:r>
        <w:t>推动解决人民群众关注的突出大气环境问题</w:t>
      </w:r>
      <w:r>
        <w:rPr>
          <w:rFonts w:hint="eastAsia" w:ascii="MS UI Gothic" w:eastAsia="MS UI Gothic"/>
          <w:w w:val="80"/>
        </w:rPr>
        <w:t>ꎮ</w:t>
      </w:r>
    </w:p>
    <w:p>
      <w:pPr>
        <w:pStyle w:val="6"/>
        <w:spacing w:line="295" w:lineRule="auto"/>
        <w:ind w:left="440" w:right="1"/>
      </w:pPr>
      <w:r>
        <w:t>会议认为</w:t>
      </w:r>
      <w:r>
        <w:rPr>
          <w:rFonts w:hint="eastAsia" w:ascii="MS UI Gothic" w:eastAsia="MS UI Gothic"/>
          <w:w w:val="80"/>
        </w:rPr>
        <w:t xml:space="preserve">ꎬ </w:t>
      </w:r>
      <w:r>
        <w:t>司法实践中打击涉大气污染环境犯罪</w:t>
      </w:r>
      <w:r>
        <w:rPr>
          <w:rFonts w:hint="eastAsia" w:ascii="MS UI Gothic" w:eastAsia="MS UI Gothic"/>
          <w:w w:val="80"/>
        </w:rPr>
        <w:t xml:space="preserve">ꎬ </w:t>
      </w:r>
      <w:r>
        <w:t>要抓住关键问题</w:t>
      </w:r>
      <w:r>
        <w:rPr>
          <w:rFonts w:hint="eastAsia" w:ascii="MS UI Gothic" w:eastAsia="MS UI Gothic"/>
          <w:w w:val="80"/>
        </w:rPr>
        <w:t xml:space="preserve">ꎬ </w:t>
      </w:r>
      <w:r>
        <w:t>紧盯薄弱环节</w:t>
      </w:r>
      <w:r>
        <w:rPr>
          <w:rFonts w:hint="eastAsia" w:ascii="MS UI Gothic" w:eastAsia="MS UI Gothic"/>
          <w:w w:val="80"/>
        </w:rPr>
        <w:t xml:space="preserve">ꎬ </w:t>
      </w:r>
      <w:r>
        <w:t>突出打击重点</w:t>
      </w:r>
      <w:r>
        <w:rPr>
          <w:rFonts w:hint="eastAsia" w:ascii="MS UI Gothic" w:eastAsia="MS UI Gothic"/>
          <w:w w:val="80"/>
        </w:rPr>
        <w:t xml:space="preserve">ꎮ </w:t>
      </w:r>
      <w:r>
        <w:t>对重污染天气预警期间</w:t>
      </w:r>
      <w:r>
        <w:rPr>
          <w:rFonts w:hint="eastAsia" w:ascii="MS UI Gothic" w:eastAsia="MS UI Gothic"/>
          <w:w w:val="80"/>
        </w:rPr>
        <w:t xml:space="preserve">ꎬ </w:t>
      </w:r>
      <w:r>
        <w:t>违反国家规定</w:t>
      </w:r>
      <w:r>
        <w:rPr>
          <w:rFonts w:hint="eastAsia" w:ascii="MS UI Gothic" w:eastAsia="MS UI Gothic"/>
          <w:w w:val="80"/>
        </w:rPr>
        <w:t xml:space="preserve">ꎬ </w:t>
      </w:r>
      <w:r>
        <w:t>超标排放二氧化硫</w:t>
      </w:r>
      <w:r>
        <w:rPr>
          <w:rFonts w:hint="eastAsia" w:ascii="MS UI Gothic" w:eastAsia="MS UI Gothic"/>
          <w:w w:val="80"/>
        </w:rPr>
        <w:t xml:space="preserve">、 </w:t>
      </w:r>
      <w:r>
        <w:t>氮氧化物</w:t>
      </w:r>
      <w:r>
        <w:rPr>
          <w:rFonts w:hint="eastAsia" w:ascii="MS UI Gothic" w:eastAsia="MS UI Gothic"/>
          <w:w w:val="80"/>
        </w:rPr>
        <w:t xml:space="preserve">ꎬ </w:t>
      </w:r>
      <w:r>
        <w:t>受过行政处罚后又实施上述行为或者具有其他严重情节的</w:t>
      </w:r>
      <w:r>
        <w:rPr>
          <w:rFonts w:hint="eastAsia" w:ascii="MS UI Gothic" w:eastAsia="MS UI Gothic"/>
          <w:w w:val="80"/>
        </w:rPr>
        <w:t xml:space="preserve">ꎬ </w:t>
      </w:r>
      <w:r>
        <w:t>可以适</w:t>
      </w:r>
    </w:p>
    <w:p>
      <w:pPr>
        <w:pStyle w:val="6"/>
        <w:spacing w:before="124" w:line="295" w:lineRule="auto"/>
        <w:ind w:left="381" w:right="126" w:firstLine="0"/>
        <w:rPr>
          <w:rFonts w:hint="eastAsia" w:ascii="MS UI Gothic" w:hAnsi="MS UI Gothic" w:eastAsia="MS UI Gothic"/>
        </w:rPr>
      </w:pPr>
      <w:r>
        <w:br w:type="column"/>
      </w:r>
      <w:r>
        <w:t xml:space="preserve">用 </w:t>
      </w:r>
      <w:r>
        <w:rPr>
          <w:rFonts w:hint="eastAsia" w:ascii="MS UI Gothic" w:hAnsi="MS UI Gothic" w:eastAsia="MS UI Gothic"/>
          <w:w w:val="80"/>
        </w:rPr>
        <w:t xml:space="preserve">« </w:t>
      </w:r>
      <w:r>
        <w:t>环境解释</w:t>
      </w:r>
      <w:r>
        <w:rPr>
          <w:rFonts w:hint="eastAsia" w:ascii="MS UI Gothic" w:hAnsi="MS UI Gothic" w:eastAsia="MS UI Gothic"/>
          <w:w w:val="80"/>
        </w:rPr>
        <w:t xml:space="preserve">»  </w:t>
      </w:r>
      <w:r>
        <w:t>第一条第十八项规定的</w:t>
      </w:r>
      <w:r>
        <w:rPr>
          <w:rFonts w:hint="eastAsia" w:ascii="MS UI Gothic" w:hAnsi="MS UI Gothic" w:eastAsia="MS UI Gothic"/>
        </w:rPr>
        <w:t xml:space="preserve">“ </w:t>
      </w:r>
      <w:r>
        <w:t>其他严重污染环境的情形</w:t>
      </w:r>
      <w:r>
        <w:rPr>
          <w:rFonts w:hint="eastAsia" w:ascii="MS UI Gothic" w:hAnsi="MS UI Gothic" w:eastAsia="MS UI Gothic"/>
        </w:rPr>
        <w:t xml:space="preserve">” </w:t>
      </w:r>
      <w:r>
        <w:t>追究刑事责任</w:t>
      </w:r>
      <w:r>
        <w:rPr>
          <w:rFonts w:hint="eastAsia" w:ascii="MS UI Gothic" w:hAnsi="MS UI Gothic" w:eastAsia="MS UI Gothic"/>
          <w:w w:val="80"/>
        </w:rPr>
        <w:t>ꎮ</w:t>
      </w:r>
    </w:p>
    <w:p>
      <w:pPr>
        <w:pStyle w:val="6"/>
        <w:spacing w:line="295" w:lineRule="auto"/>
        <w:ind w:left="381" w:right="126" w:firstLine="413"/>
      </w:pPr>
      <w:r>
        <w:rPr>
          <w:rFonts w:hint="eastAsia" w:ascii="MS UI Gothic" w:eastAsia="MS UI Gothic"/>
        </w:rPr>
        <w:t xml:space="preserve">８ </w:t>
      </w:r>
      <w:r>
        <w:t>关于非法排放</w:t>
      </w:r>
      <w:r>
        <w:rPr>
          <w:rFonts w:hint="eastAsia" w:ascii="MS UI Gothic" w:eastAsia="MS UI Gothic"/>
        </w:rPr>
        <w:t xml:space="preserve">、 </w:t>
      </w:r>
      <w:r>
        <w:t>倾倒</w:t>
      </w:r>
      <w:r>
        <w:rPr>
          <w:rFonts w:hint="eastAsia" w:ascii="MS UI Gothic" w:eastAsia="MS UI Gothic"/>
        </w:rPr>
        <w:t xml:space="preserve">、 </w:t>
      </w:r>
      <w:r>
        <w:t>处置行为的认定</w:t>
      </w:r>
    </w:p>
    <w:p>
      <w:pPr>
        <w:pStyle w:val="6"/>
        <w:spacing w:line="295" w:lineRule="auto"/>
        <w:ind w:left="381" w:right="124"/>
        <w:rPr>
          <w:rFonts w:hint="eastAsia" w:ascii="MS UI Gothic" w:hAnsi="MS UI Gothic" w:eastAsia="MS UI Gothic"/>
        </w:rPr>
      </w:pPr>
      <w:r>
        <w:t>会议针对如何准确认定环境污染犯罪中非法排放</w:t>
      </w:r>
      <w:r>
        <w:rPr>
          <w:rFonts w:hint="eastAsia" w:ascii="MS UI Gothic" w:hAnsi="MS UI Gothic" w:eastAsia="MS UI Gothic"/>
          <w:w w:val="80"/>
        </w:rPr>
        <w:t xml:space="preserve">、 </w:t>
      </w:r>
      <w:r>
        <w:t>倾倒</w:t>
      </w:r>
      <w:r>
        <w:rPr>
          <w:rFonts w:hint="eastAsia" w:ascii="MS UI Gothic" w:hAnsi="MS UI Gothic" w:eastAsia="MS UI Gothic"/>
          <w:w w:val="80"/>
        </w:rPr>
        <w:t xml:space="preserve">、  </w:t>
      </w:r>
      <w:r>
        <w:t>处置行为进行了讨论</w:t>
      </w:r>
      <w:r>
        <w:rPr>
          <w:rFonts w:hint="eastAsia" w:ascii="MS UI Gothic" w:hAnsi="MS UI Gothic" w:eastAsia="MS UI Gothic"/>
          <w:w w:val="80"/>
        </w:rPr>
        <w:t xml:space="preserve">ꎮ </w:t>
      </w:r>
      <w:r>
        <w:t>会议认为</w:t>
      </w:r>
      <w:r>
        <w:rPr>
          <w:rFonts w:hint="eastAsia" w:ascii="MS UI Gothic" w:hAnsi="MS UI Gothic" w:eastAsia="MS UI Gothic"/>
          <w:w w:val="80"/>
        </w:rPr>
        <w:t xml:space="preserve">ꎬ </w:t>
      </w:r>
      <w:r>
        <w:t>司法实践中认定非法排放</w:t>
      </w:r>
      <w:r>
        <w:rPr>
          <w:rFonts w:hint="eastAsia" w:ascii="MS UI Gothic" w:hAnsi="MS UI Gothic" w:eastAsia="MS UI Gothic"/>
          <w:w w:val="80"/>
        </w:rPr>
        <w:t xml:space="preserve">、 </w:t>
      </w:r>
      <w:r>
        <w:t>倾倒</w:t>
      </w:r>
      <w:r>
        <w:rPr>
          <w:rFonts w:hint="eastAsia" w:ascii="MS UI Gothic" w:hAnsi="MS UI Gothic" w:eastAsia="MS UI Gothic"/>
          <w:w w:val="80"/>
        </w:rPr>
        <w:t xml:space="preserve">、 </w:t>
      </w:r>
      <w:r>
        <w:t>处置行为时</w:t>
      </w:r>
      <w:r>
        <w:rPr>
          <w:rFonts w:hint="eastAsia" w:ascii="MS UI Gothic" w:hAnsi="MS UI Gothic" w:eastAsia="MS UI Gothic"/>
          <w:w w:val="80"/>
        </w:rPr>
        <w:t xml:space="preserve">ꎬ </w:t>
      </w:r>
      <w:r>
        <w:t xml:space="preserve">应当根据 </w:t>
      </w:r>
      <w:r>
        <w:rPr>
          <w:rFonts w:hint="eastAsia" w:ascii="MS UI Gothic" w:hAnsi="MS UI Gothic" w:eastAsia="MS UI Gothic"/>
          <w:w w:val="80"/>
        </w:rPr>
        <w:t xml:space="preserve">« </w:t>
      </w:r>
      <w:r>
        <w:t>固体废物污染环境防治法</w:t>
      </w:r>
      <w:r>
        <w:rPr>
          <w:rFonts w:hint="eastAsia" w:ascii="MS UI Gothic" w:hAnsi="MS UI Gothic" w:eastAsia="MS UI Gothic"/>
          <w:w w:val="80"/>
        </w:rPr>
        <w:t xml:space="preserve">» </w:t>
      </w:r>
      <w:r>
        <w:t xml:space="preserve">和 </w:t>
      </w:r>
      <w:r>
        <w:rPr>
          <w:rFonts w:hint="eastAsia" w:ascii="MS UI Gothic" w:hAnsi="MS UI Gothic" w:eastAsia="MS UI Gothic"/>
          <w:w w:val="80"/>
        </w:rPr>
        <w:t xml:space="preserve">« </w:t>
      </w:r>
      <w:r>
        <w:t>环境解释</w:t>
      </w:r>
      <w:r>
        <w:rPr>
          <w:rFonts w:hint="eastAsia" w:ascii="MS UI Gothic" w:hAnsi="MS UI Gothic" w:eastAsia="MS UI Gothic"/>
          <w:w w:val="80"/>
        </w:rPr>
        <w:t xml:space="preserve">» </w:t>
      </w:r>
      <w:r>
        <w:t>的有关规定精神</w:t>
      </w:r>
      <w:r>
        <w:rPr>
          <w:rFonts w:hint="eastAsia" w:ascii="MS UI Gothic" w:hAnsi="MS UI Gothic" w:eastAsia="MS UI Gothic"/>
          <w:w w:val="80"/>
        </w:rPr>
        <w:t xml:space="preserve">ꎬ </w:t>
      </w:r>
      <w:r>
        <w:t>从其行为方式是否违反国家规定或者行业操作规范</w:t>
      </w:r>
      <w:r>
        <w:rPr>
          <w:rFonts w:hint="eastAsia" w:ascii="MS UI Gothic" w:hAnsi="MS UI Gothic" w:eastAsia="MS UI Gothic"/>
          <w:w w:val="80"/>
        </w:rPr>
        <w:t xml:space="preserve">、 </w:t>
      </w:r>
      <w:r>
        <w:t>污染物是否与外环境接触</w:t>
      </w:r>
      <w:r>
        <w:rPr>
          <w:rFonts w:hint="eastAsia" w:ascii="MS UI Gothic" w:hAnsi="MS UI Gothic" w:eastAsia="MS UI Gothic"/>
          <w:w w:val="80"/>
        </w:rPr>
        <w:t xml:space="preserve">、 </w:t>
      </w:r>
      <w:r>
        <w:t>是否造成环境污染的危险或者危害等方面进行综合分析判断</w:t>
      </w:r>
      <w:r>
        <w:rPr>
          <w:rFonts w:hint="eastAsia" w:ascii="MS UI Gothic" w:hAnsi="MS UI Gothic" w:eastAsia="MS UI Gothic"/>
          <w:w w:val="80"/>
        </w:rPr>
        <w:t xml:space="preserve">ꎮ </w:t>
      </w:r>
      <w:r>
        <w:t>对名为运输</w:t>
      </w:r>
      <w:r>
        <w:rPr>
          <w:rFonts w:hint="eastAsia" w:ascii="MS UI Gothic" w:hAnsi="MS UI Gothic" w:eastAsia="MS UI Gothic"/>
          <w:w w:val="80"/>
        </w:rPr>
        <w:t xml:space="preserve">、 </w:t>
      </w:r>
      <w:r>
        <w:t>贮存</w:t>
      </w:r>
      <w:r>
        <w:rPr>
          <w:rFonts w:hint="eastAsia" w:ascii="MS UI Gothic" w:hAnsi="MS UI Gothic" w:eastAsia="MS UI Gothic"/>
          <w:w w:val="80"/>
        </w:rPr>
        <w:t xml:space="preserve">、 </w:t>
      </w:r>
      <w:r>
        <w:t>利用</w:t>
      </w:r>
      <w:r>
        <w:rPr>
          <w:rFonts w:hint="eastAsia" w:ascii="MS UI Gothic" w:hAnsi="MS UI Gothic" w:eastAsia="MS UI Gothic"/>
          <w:w w:val="80"/>
        </w:rPr>
        <w:t xml:space="preserve">ꎬ </w:t>
      </w:r>
      <w:r>
        <w:t>实为排放</w:t>
      </w:r>
      <w:r>
        <w:rPr>
          <w:rFonts w:hint="eastAsia" w:ascii="MS UI Gothic" w:hAnsi="MS UI Gothic" w:eastAsia="MS UI Gothic"/>
          <w:w w:val="80"/>
        </w:rPr>
        <w:t xml:space="preserve">、  </w:t>
      </w:r>
      <w:r>
        <w:t>倾倒</w:t>
      </w:r>
      <w:r>
        <w:rPr>
          <w:rFonts w:hint="eastAsia" w:ascii="MS UI Gothic" w:hAnsi="MS UI Gothic" w:eastAsia="MS UI Gothic"/>
          <w:w w:val="80"/>
        </w:rPr>
        <w:t>、</w:t>
      </w:r>
      <w:r>
        <w:t>处置的行为应当认定为非法排放</w:t>
      </w:r>
      <w:r>
        <w:rPr>
          <w:rFonts w:hint="eastAsia" w:ascii="MS UI Gothic" w:hAnsi="MS UI Gothic" w:eastAsia="MS UI Gothic"/>
          <w:w w:val="80"/>
        </w:rPr>
        <w:t xml:space="preserve">、 </w:t>
      </w:r>
      <w:r>
        <w:t>倾倒</w:t>
      </w:r>
      <w:r>
        <w:rPr>
          <w:rFonts w:hint="eastAsia" w:ascii="MS UI Gothic" w:hAnsi="MS UI Gothic" w:eastAsia="MS UI Gothic"/>
          <w:w w:val="80"/>
        </w:rPr>
        <w:t>、</w:t>
      </w:r>
      <w:r>
        <w:t>处置行为</w:t>
      </w:r>
      <w:r>
        <w:rPr>
          <w:rFonts w:hint="eastAsia" w:ascii="MS UI Gothic" w:hAnsi="MS UI Gothic" w:eastAsia="MS UI Gothic"/>
          <w:w w:val="80"/>
        </w:rPr>
        <w:t xml:space="preserve">ꎬ </w:t>
      </w:r>
      <w:r>
        <w:t>可以依法追究刑事责任</w:t>
      </w:r>
      <w:r>
        <w:rPr>
          <w:rFonts w:hint="eastAsia" w:ascii="MS UI Gothic" w:hAnsi="MS UI Gothic" w:eastAsia="MS UI Gothic"/>
          <w:w w:val="80"/>
        </w:rPr>
        <w:t xml:space="preserve">ꎮ </w:t>
      </w:r>
      <w:r>
        <w:t>比如</w:t>
      </w:r>
      <w:r>
        <w:rPr>
          <w:rFonts w:hint="eastAsia" w:ascii="MS UI Gothic" w:hAnsi="MS UI Gothic" w:eastAsia="MS UI Gothic"/>
          <w:w w:val="80"/>
        </w:rPr>
        <w:t xml:space="preserve">ꎬ </w:t>
      </w:r>
      <w:r>
        <w:t>未采取相应防范措施将没有利用价值的危险废物长期贮存</w:t>
      </w:r>
      <w:r>
        <w:rPr>
          <w:rFonts w:hint="eastAsia" w:ascii="MS UI Gothic" w:hAnsi="MS UI Gothic" w:eastAsia="MS UI Gothic"/>
          <w:w w:val="80"/>
        </w:rPr>
        <w:t xml:space="preserve">、 </w:t>
      </w:r>
      <w:r>
        <w:t>搁置</w:t>
      </w:r>
      <w:r>
        <w:rPr>
          <w:rFonts w:hint="eastAsia" w:ascii="MS UI Gothic" w:hAnsi="MS UI Gothic" w:eastAsia="MS UI Gothic"/>
          <w:w w:val="80"/>
        </w:rPr>
        <w:t xml:space="preserve">ꎬ </w:t>
      </w:r>
      <w:r>
        <w:t>放任危险废物或者其有毒有害成分大量扬散</w:t>
      </w:r>
      <w:r>
        <w:rPr>
          <w:rFonts w:hint="eastAsia" w:ascii="MS UI Gothic" w:hAnsi="MS UI Gothic" w:eastAsia="MS UI Gothic"/>
          <w:w w:val="80"/>
        </w:rPr>
        <w:t xml:space="preserve">、 </w:t>
      </w:r>
      <w:r>
        <w:t>流失</w:t>
      </w:r>
      <w:r>
        <w:rPr>
          <w:rFonts w:hint="eastAsia" w:ascii="MS UI Gothic" w:hAnsi="MS UI Gothic" w:eastAsia="MS UI Gothic"/>
          <w:w w:val="80"/>
        </w:rPr>
        <w:t>、</w:t>
      </w:r>
      <w:r>
        <w:t>泄漏</w:t>
      </w:r>
      <w:r>
        <w:rPr>
          <w:rFonts w:hint="eastAsia" w:ascii="MS UI Gothic" w:hAnsi="MS UI Gothic" w:eastAsia="MS UI Gothic"/>
          <w:w w:val="80"/>
        </w:rPr>
        <w:t xml:space="preserve">、 </w:t>
      </w:r>
      <w:r>
        <w:t>挥发</w:t>
      </w:r>
      <w:r>
        <w:rPr>
          <w:rFonts w:hint="eastAsia" w:ascii="MS UI Gothic" w:hAnsi="MS UI Gothic" w:eastAsia="MS UI Gothic"/>
          <w:w w:val="80"/>
        </w:rPr>
        <w:t xml:space="preserve">ꎬ </w:t>
      </w:r>
      <w:r>
        <w:t>污染环境的</w:t>
      </w:r>
      <w:r>
        <w:rPr>
          <w:rFonts w:hint="eastAsia" w:ascii="MS UI Gothic" w:hAnsi="MS UI Gothic" w:eastAsia="MS UI Gothic"/>
          <w:w w:val="80"/>
        </w:rPr>
        <w:t>ꎮ</w:t>
      </w:r>
    </w:p>
    <w:p>
      <w:pPr>
        <w:pStyle w:val="6"/>
        <w:spacing w:line="244" w:lineRule="exact"/>
        <w:ind w:left="794" w:firstLine="0"/>
      </w:pPr>
      <w:r>
        <w:rPr>
          <w:rFonts w:hint="eastAsia" w:ascii="MS UI Gothic" w:eastAsia="MS UI Gothic"/>
        </w:rPr>
        <w:t xml:space="preserve">９ </w:t>
      </w:r>
      <w:r>
        <w:t>关于有害物质的认定</w:t>
      </w:r>
    </w:p>
    <w:p>
      <w:pPr>
        <w:pStyle w:val="6"/>
        <w:spacing w:before="54" w:line="295" w:lineRule="auto"/>
        <w:ind w:left="381" w:right="124"/>
        <w:rPr>
          <w:rFonts w:hint="eastAsia" w:ascii="MS UI Gothic" w:hAnsi="MS UI Gothic" w:eastAsia="MS UI Gothic"/>
        </w:rPr>
      </w:pPr>
      <w:r>
        <w:rPr>
          <w:spacing w:val="2"/>
        </w:rPr>
        <w:t>会议针对如何准确认定刑法第三百三</w:t>
      </w:r>
      <w:r>
        <w:rPr>
          <w:spacing w:val="2"/>
          <w:w w:val="105"/>
        </w:rPr>
        <w:t xml:space="preserve">十八条规定的 </w:t>
      </w:r>
      <w:r>
        <w:rPr>
          <w:rFonts w:hint="eastAsia" w:ascii="MS UI Gothic" w:hAnsi="MS UI Gothic" w:eastAsia="MS UI Gothic"/>
          <w:spacing w:val="-21"/>
          <w:w w:val="105"/>
        </w:rPr>
        <w:t xml:space="preserve">“ </w:t>
      </w:r>
      <w:r>
        <w:rPr>
          <w:spacing w:val="17"/>
          <w:w w:val="105"/>
        </w:rPr>
        <w:t>其他有害物质</w:t>
      </w:r>
      <w:r>
        <w:rPr>
          <w:rFonts w:hint="eastAsia" w:ascii="MS UI Gothic" w:hAnsi="MS UI Gothic" w:eastAsia="MS UI Gothic"/>
          <w:spacing w:val="20"/>
          <w:w w:val="105"/>
        </w:rPr>
        <w:t xml:space="preserve">” </w:t>
      </w:r>
      <w:r>
        <w:rPr>
          <w:spacing w:val="12"/>
          <w:w w:val="105"/>
        </w:rPr>
        <w:t>的问题</w:t>
      </w:r>
      <w:r>
        <w:rPr>
          <w:spacing w:val="3"/>
        </w:rPr>
        <w:t>进行了讨论</w:t>
      </w:r>
      <w:r>
        <w:rPr>
          <w:rFonts w:hint="eastAsia" w:ascii="MS UI Gothic" w:hAnsi="MS UI Gothic" w:eastAsia="MS UI Gothic"/>
          <w:spacing w:val="23"/>
          <w:w w:val="80"/>
        </w:rPr>
        <w:t xml:space="preserve">ꎮ </w:t>
      </w:r>
      <w:r>
        <w:rPr>
          <w:spacing w:val="12"/>
        </w:rPr>
        <w:t>会议认为</w:t>
      </w:r>
      <w:r>
        <w:rPr>
          <w:rFonts w:hint="eastAsia" w:ascii="MS UI Gothic" w:hAnsi="MS UI Gothic" w:eastAsia="MS UI Gothic"/>
          <w:spacing w:val="1"/>
          <w:w w:val="80"/>
        </w:rPr>
        <w:t xml:space="preserve">ꎬ </w:t>
      </w:r>
      <w:r>
        <w:rPr>
          <w:spacing w:val="12"/>
        </w:rPr>
        <w:t>办理非法排放</w:t>
      </w:r>
      <w:r>
        <w:rPr>
          <w:rFonts w:hint="eastAsia" w:ascii="MS UI Gothic" w:hAnsi="MS UI Gothic" w:eastAsia="MS UI Gothic"/>
          <w:w w:val="80"/>
        </w:rPr>
        <w:t>、</w:t>
      </w:r>
      <w:r>
        <w:rPr>
          <w:spacing w:val="3"/>
          <w:w w:val="105"/>
        </w:rPr>
        <w:t>倾倒</w:t>
      </w:r>
      <w:r>
        <w:rPr>
          <w:rFonts w:hint="eastAsia" w:ascii="MS UI Gothic" w:hAnsi="MS UI Gothic" w:eastAsia="MS UI Gothic"/>
          <w:w w:val="80"/>
        </w:rPr>
        <w:t xml:space="preserve">、 </w:t>
      </w:r>
      <w:r>
        <w:rPr>
          <w:spacing w:val="3"/>
          <w:w w:val="105"/>
        </w:rPr>
        <w:t>处置其他有害物质的案件</w:t>
      </w:r>
      <w:r>
        <w:rPr>
          <w:rFonts w:hint="eastAsia" w:ascii="MS UI Gothic" w:hAnsi="MS UI Gothic" w:eastAsia="MS UI Gothic"/>
          <w:w w:val="80"/>
        </w:rPr>
        <w:t xml:space="preserve">ꎬ </w:t>
      </w:r>
      <w:r>
        <w:rPr>
          <w:spacing w:val="1"/>
          <w:w w:val="105"/>
        </w:rPr>
        <w:t>应当坚</w:t>
      </w:r>
      <w:r>
        <w:rPr>
          <w:spacing w:val="3"/>
        </w:rPr>
        <w:t>持主客观相一致原则</w:t>
      </w:r>
      <w:r>
        <w:rPr>
          <w:rFonts w:hint="eastAsia" w:ascii="MS UI Gothic" w:hAnsi="MS UI Gothic" w:eastAsia="MS UI Gothic"/>
          <w:spacing w:val="19"/>
          <w:w w:val="80"/>
        </w:rPr>
        <w:t xml:space="preserve">ꎬ </w:t>
      </w:r>
      <w:r>
        <w:rPr>
          <w:spacing w:val="2"/>
        </w:rPr>
        <w:t>从行为人的主观恶</w:t>
      </w:r>
      <w:r>
        <w:rPr>
          <w:spacing w:val="3"/>
          <w:w w:val="105"/>
        </w:rPr>
        <w:t>性</w:t>
      </w:r>
      <w:r>
        <w:rPr>
          <w:rFonts w:hint="eastAsia" w:ascii="MS UI Gothic" w:hAnsi="MS UI Gothic" w:eastAsia="MS UI Gothic"/>
          <w:spacing w:val="12"/>
          <w:w w:val="80"/>
        </w:rPr>
        <w:t xml:space="preserve">、 </w:t>
      </w:r>
      <w:r>
        <w:rPr>
          <w:spacing w:val="3"/>
          <w:w w:val="105"/>
        </w:rPr>
        <w:t>污染行为恶劣程度</w:t>
      </w:r>
      <w:r>
        <w:rPr>
          <w:rFonts w:hint="eastAsia" w:ascii="MS UI Gothic" w:hAnsi="MS UI Gothic" w:eastAsia="MS UI Gothic"/>
          <w:spacing w:val="12"/>
          <w:w w:val="80"/>
        </w:rPr>
        <w:t xml:space="preserve">、 </w:t>
      </w:r>
      <w:r>
        <w:rPr>
          <w:spacing w:val="2"/>
          <w:w w:val="105"/>
        </w:rPr>
        <w:t>有害物质危险性</w:t>
      </w:r>
      <w:r>
        <w:rPr>
          <w:spacing w:val="3"/>
        </w:rPr>
        <w:t>毒害性等方面进行综合分析判断</w:t>
      </w:r>
      <w:r>
        <w:rPr>
          <w:rFonts w:hint="eastAsia" w:ascii="MS UI Gothic" w:hAnsi="MS UI Gothic" w:eastAsia="MS UI Gothic"/>
          <w:spacing w:val="19"/>
          <w:w w:val="80"/>
        </w:rPr>
        <w:t xml:space="preserve">ꎬ </w:t>
      </w:r>
      <w:r>
        <w:rPr>
          <w:spacing w:val="2"/>
        </w:rPr>
        <w:t>准确认</w:t>
      </w:r>
      <w:r>
        <w:rPr>
          <w:spacing w:val="3"/>
        </w:rPr>
        <w:t>定其行为的社会危害性</w:t>
      </w:r>
      <w:r>
        <w:rPr>
          <w:rFonts w:hint="eastAsia" w:ascii="MS UI Gothic" w:hAnsi="MS UI Gothic" w:eastAsia="MS UI Gothic"/>
          <w:spacing w:val="23"/>
          <w:w w:val="80"/>
        </w:rPr>
        <w:t xml:space="preserve">ꎮ </w:t>
      </w:r>
      <w:r>
        <w:rPr>
          <w:spacing w:val="3"/>
        </w:rPr>
        <w:t>实践中</w:t>
      </w:r>
      <w:r>
        <w:rPr>
          <w:rFonts w:hint="eastAsia" w:ascii="MS UI Gothic" w:hAnsi="MS UI Gothic" w:eastAsia="MS UI Gothic"/>
          <w:spacing w:val="23"/>
          <w:w w:val="80"/>
        </w:rPr>
        <w:t xml:space="preserve">ꎬ </w:t>
      </w:r>
      <w:r>
        <w:rPr>
          <w:spacing w:val="2"/>
        </w:rPr>
        <w:t>常见的</w:t>
      </w:r>
      <w:r>
        <w:rPr>
          <w:spacing w:val="3"/>
          <w:w w:val="105"/>
        </w:rPr>
        <w:t>有害物质主要有</w:t>
      </w:r>
      <w:r>
        <w:rPr>
          <w:rFonts w:hint="eastAsia" w:ascii="MS UI Gothic" w:hAnsi="MS UI Gothic" w:eastAsia="MS UI Gothic"/>
          <w:spacing w:val="-45"/>
          <w:w w:val="235"/>
        </w:rPr>
        <w:t xml:space="preserve">: </w:t>
      </w:r>
      <w:r>
        <w:rPr>
          <w:spacing w:val="2"/>
          <w:w w:val="105"/>
        </w:rPr>
        <w:t>工业危险废物以外的其</w:t>
      </w:r>
      <w:r>
        <w:rPr>
          <w:spacing w:val="4"/>
        </w:rPr>
        <w:t>他工业固体废物</w:t>
      </w:r>
      <w:r>
        <w:rPr>
          <w:rFonts w:hint="eastAsia" w:ascii="MS UI Gothic" w:hAnsi="MS UI Gothic" w:eastAsia="MS UI Gothic"/>
          <w:spacing w:val="23"/>
          <w:w w:val="80"/>
        </w:rPr>
        <w:t xml:space="preserve">ꎻ </w:t>
      </w:r>
      <w:r>
        <w:rPr>
          <w:spacing w:val="11"/>
        </w:rPr>
        <w:t>未经处理的生活垃圾</w:t>
      </w:r>
      <w:r>
        <w:rPr>
          <w:rFonts w:hint="eastAsia" w:ascii="MS UI Gothic" w:hAnsi="MS UI Gothic" w:eastAsia="MS UI Gothic"/>
          <w:w w:val="80"/>
        </w:rPr>
        <w:t>ꎻ</w:t>
      </w:r>
      <w:r>
        <w:rPr>
          <w:spacing w:val="3"/>
          <w:w w:val="105"/>
        </w:rPr>
        <w:t>有害大气污染物</w:t>
      </w:r>
      <w:r>
        <w:rPr>
          <w:rFonts w:hint="eastAsia" w:ascii="MS UI Gothic" w:hAnsi="MS UI Gothic" w:eastAsia="MS UI Gothic"/>
          <w:spacing w:val="-2"/>
          <w:w w:val="80"/>
        </w:rPr>
        <w:t xml:space="preserve">、 </w:t>
      </w:r>
      <w:r>
        <w:rPr>
          <w:spacing w:val="2"/>
          <w:w w:val="105"/>
        </w:rPr>
        <w:t>受控消耗臭氧层物质和</w:t>
      </w:r>
      <w:r>
        <w:rPr>
          <w:spacing w:val="3"/>
        </w:rPr>
        <w:t>有害水污染物</w:t>
      </w:r>
      <w:r>
        <w:rPr>
          <w:rFonts w:hint="eastAsia" w:ascii="MS UI Gothic" w:hAnsi="MS UI Gothic" w:eastAsia="MS UI Gothic"/>
          <w:spacing w:val="19"/>
          <w:w w:val="80"/>
        </w:rPr>
        <w:t xml:space="preserve">ꎻ </w:t>
      </w:r>
      <w:r>
        <w:rPr>
          <w:spacing w:val="2"/>
        </w:rPr>
        <w:t>在利用和处置过程中必然</w:t>
      </w:r>
      <w:r>
        <w:rPr>
          <w:spacing w:val="3"/>
        </w:rPr>
        <w:t>产生有毒有害物质的其他物质</w:t>
      </w:r>
      <w:r>
        <w:rPr>
          <w:rFonts w:hint="eastAsia" w:ascii="MS UI Gothic" w:hAnsi="MS UI Gothic" w:eastAsia="MS UI Gothic"/>
          <w:spacing w:val="19"/>
          <w:w w:val="80"/>
        </w:rPr>
        <w:t xml:space="preserve">ꎻ </w:t>
      </w:r>
      <w:r>
        <w:rPr>
          <w:spacing w:val="2"/>
        </w:rPr>
        <w:t>国务院生态环境保护主管部门会同国务院卫生主管部门公布的有毒有害污染物名录中的有关</w:t>
      </w:r>
      <w:r>
        <w:rPr>
          <w:spacing w:val="3"/>
          <w:w w:val="105"/>
        </w:rPr>
        <w:t>物质等</w:t>
      </w:r>
      <w:r>
        <w:rPr>
          <w:rFonts w:hint="eastAsia" w:ascii="MS UI Gothic" w:hAnsi="MS UI Gothic" w:eastAsia="MS UI Gothic"/>
          <w:w w:val="80"/>
        </w:rPr>
        <w:t>ꎮ</w:t>
      </w:r>
    </w:p>
    <w:p>
      <w:pPr>
        <w:pStyle w:val="6"/>
        <w:spacing w:line="244" w:lineRule="exact"/>
        <w:ind w:left="794" w:firstLine="0"/>
      </w:pPr>
      <w:r>
        <w:rPr>
          <w:rFonts w:hint="eastAsia" w:ascii="MS UI Gothic" w:eastAsia="MS UI Gothic"/>
        </w:rPr>
        <w:t xml:space="preserve">１０ </w:t>
      </w:r>
      <w:r>
        <w:t>关于从重处罚情形的认定</w:t>
      </w:r>
    </w:p>
    <w:p>
      <w:pPr>
        <w:spacing w:after="0" w:line="244" w:lineRule="exact"/>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２８</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34" o:spid="_x0000_s1134" o:spt="203" style="height:2.15pt;width:398.25pt;" coordsize="7965,43">
            <o:lock v:ext="edit"/>
            <v:line id="_x0000_s1135" o:spid="_x0000_s1135" o:spt="20" style="position:absolute;left:0;top:39;height:0;width:7965;" stroked="t" coordsize="21600,21600">
              <v:path arrowok="t"/>
              <v:fill focussize="0,0"/>
              <v:stroke weight="0.388031496062992pt" color="#231F20"/>
              <v:imagedata o:title=""/>
              <o:lock v:ext="edit"/>
            </v:line>
            <v:line id="_x0000_s1136" o:spid="_x0000_s113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t>会议强调</w:t>
      </w:r>
      <w:r>
        <w:rPr>
          <w:rFonts w:hint="eastAsia" w:ascii="MS UI Gothic" w:eastAsia="MS UI Gothic"/>
          <w:w w:val="80"/>
        </w:rPr>
        <w:t xml:space="preserve">ꎬ </w:t>
      </w:r>
      <w:r>
        <w:t>要坚决贯彻党中央推动长江经济带发展的重大决策</w:t>
      </w:r>
      <w:r>
        <w:rPr>
          <w:rFonts w:hint="eastAsia" w:ascii="MS UI Gothic" w:eastAsia="MS UI Gothic"/>
          <w:w w:val="80"/>
        </w:rPr>
        <w:t xml:space="preserve">ꎬ </w:t>
      </w:r>
      <w:r>
        <w:t>为长江经济带共抓大保护</w:t>
      </w:r>
      <w:r>
        <w:rPr>
          <w:rFonts w:hint="eastAsia" w:ascii="MS UI Gothic" w:eastAsia="MS UI Gothic"/>
        </w:rPr>
        <w:t xml:space="preserve">、 </w:t>
      </w:r>
      <w:r>
        <w:t>不搞大开发提供有力的司法保障</w:t>
      </w:r>
      <w:r>
        <w:rPr>
          <w:rFonts w:hint="eastAsia" w:ascii="MS UI Gothic" w:eastAsia="MS UI Gothic"/>
          <w:w w:val="80"/>
        </w:rPr>
        <w:t xml:space="preserve">ꎮ </w:t>
      </w:r>
      <w:r>
        <w:t>实践中</w:t>
      </w:r>
      <w:r>
        <w:rPr>
          <w:rFonts w:hint="eastAsia" w:ascii="MS UI Gothic" w:eastAsia="MS UI Gothic"/>
          <w:w w:val="80"/>
        </w:rPr>
        <w:t xml:space="preserve">ꎬ </w:t>
      </w:r>
      <w:r>
        <w:t xml:space="preserve">对于发生在长江经济带十一省 </w:t>
      </w:r>
      <w:r>
        <w:rPr>
          <w:rFonts w:hint="eastAsia" w:ascii="MS UI Gothic" w:eastAsia="MS UI Gothic"/>
          <w:w w:val="150"/>
        </w:rPr>
        <w:t xml:space="preserve">( </w:t>
      </w:r>
      <w:r>
        <w:t>直辖市</w:t>
      </w:r>
      <w:r>
        <w:rPr>
          <w:rFonts w:hint="eastAsia" w:ascii="MS UI Gothic" w:eastAsia="MS UI Gothic"/>
          <w:w w:val="150"/>
        </w:rPr>
        <w:t xml:space="preserve">) </w:t>
      </w:r>
      <w:r>
        <w:t>的下列环境污染犯罪行</w:t>
      </w:r>
      <w:r>
        <w:rPr>
          <w:w w:val="102"/>
        </w:rPr>
        <w:t>为</w:t>
      </w:r>
      <w:r>
        <w:rPr>
          <w:rFonts w:hint="eastAsia" w:ascii="MS UI Gothic" w:eastAsia="MS UI Gothic"/>
          <w:w w:val="51"/>
        </w:rPr>
        <w:t>ꎬ</w:t>
      </w:r>
      <w:r>
        <w:rPr>
          <w:rFonts w:hint="eastAsia" w:ascii="MS UI Gothic" w:eastAsia="MS UI Gothic"/>
        </w:rPr>
        <w:t xml:space="preserve">  </w:t>
      </w:r>
      <w:r>
        <w:rPr>
          <w:w w:val="102"/>
        </w:rPr>
        <w:t>可以从重处罚</w:t>
      </w:r>
      <w:r>
        <w:rPr>
          <w:rFonts w:hint="eastAsia" w:ascii="MS UI Gothic" w:eastAsia="MS UI Gothic"/>
          <w:w w:val="253"/>
        </w:rPr>
        <w:t>:</w:t>
      </w:r>
      <w:r>
        <w:rPr>
          <w:rFonts w:hint="eastAsia" w:ascii="MS UI Gothic" w:eastAsia="MS UI Gothic"/>
        </w:rPr>
        <w:t xml:space="preserve">  </w:t>
      </w:r>
      <w:r>
        <w:rPr>
          <w:rFonts w:hint="eastAsia" w:ascii="MS UI Gothic" w:eastAsia="MS UI Gothic"/>
          <w:w w:val="168"/>
        </w:rPr>
        <w:t>(</w:t>
      </w:r>
      <w:r>
        <w:rPr>
          <w:rFonts w:hint="eastAsia" w:ascii="MS UI Gothic" w:eastAsia="MS UI Gothic"/>
          <w:w w:val="75"/>
        </w:rPr>
        <w:t>１</w:t>
      </w:r>
      <w:r>
        <w:rPr>
          <w:rFonts w:hint="eastAsia" w:ascii="MS UI Gothic" w:eastAsia="MS UI Gothic"/>
          <w:w w:val="168"/>
        </w:rPr>
        <w:t>)</w:t>
      </w:r>
      <w:r>
        <w:rPr>
          <w:rFonts w:hint="eastAsia" w:ascii="MS UI Gothic" w:eastAsia="MS UI Gothic"/>
        </w:rPr>
        <w:t xml:space="preserve">  </w:t>
      </w:r>
      <w:r>
        <w:rPr>
          <w:w w:val="102"/>
        </w:rPr>
        <w:t>跨省</w:t>
      </w:r>
      <w:r>
        <w:t xml:space="preserve"> </w:t>
      </w:r>
      <w:r>
        <w:rPr>
          <w:rFonts w:hint="eastAsia" w:ascii="MS UI Gothic" w:eastAsia="MS UI Gothic"/>
          <w:w w:val="168"/>
        </w:rPr>
        <w:t>(</w:t>
      </w:r>
      <w:r>
        <w:rPr>
          <w:rFonts w:hint="eastAsia" w:ascii="MS UI Gothic" w:eastAsia="MS UI Gothic"/>
        </w:rPr>
        <w:t xml:space="preserve"> </w:t>
      </w:r>
      <w:r>
        <w:rPr>
          <w:w w:val="102"/>
        </w:rPr>
        <w:t>直辖市</w:t>
      </w:r>
      <w:r>
        <w:rPr>
          <w:rFonts w:hint="eastAsia" w:ascii="MS UI Gothic" w:eastAsia="MS UI Gothic"/>
          <w:w w:val="168"/>
        </w:rPr>
        <w:t>)</w:t>
      </w:r>
      <w:r>
        <w:t>排放</w:t>
      </w:r>
      <w:r>
        <w:rPr>
          <w:rFonts w:hint="eastAsia" w:ascii="MS UI Gothic" w:eastAsia="MS UI Gothic"/>
        </w:rPr>
        <w:t xml:space="preserve">、 </w:t>
      </w:r>
      <w:r>
        <w:t>倾倒</w:t>
      </w:r>
      <w:r>
        <w:rPr>
          <w:rFonts w:hint="eastAsia" w:ascii="MS UI Gothic" w:eastAsia="MS UI Gothic"/>
        </w:rPr>
        <w:t xml:space="preserve">、 </w:t>
      </w:r>
      <w:r>
        <w:t>处置有放射性的废物</w:t>
      </w:r>
      <w:r>
        <w:rPr>
          <w:rFonts w:hint="eastAsia" w:ascii="MS UI Gothic" w:eastAsia="MS UI Gothic"/>
        </w:rPr>
        <w:t xml:space="preserve">、 </w:t>
      </w:r>
      <w:r>
        <w:t>含传染病病原体的废物</w:t>
      </w:r>
      <w:r>
        <w:rPr>
          <w:rFonts w:hint="eastAsia" w:ascii="MS UI Gothic" w:eastAsia="MS UI Gothic"/>
        </w:rPr>
        <w:t xml:space="preserve">、 </w:t>
      </w:r>
      <w:r>
        <w:t>有毒物质或者其他有</w:t>
      </w:r>
      <w:r>
        <w:rPr>
          <w:w w:val="102"/>
        </w:rPr>
        <w:t>害物质的</w:t>
      </w:r>
      <w:r>
        <w:rPr>
          <w:rFonts w:hint="eastAsia" w:ascii="MS UI Gothic" w:eastAsia="MS UI Gothic"/>
          <w:w w:val="51"/>
        </w:rPr>
        <w:t>ꎻ</w:t>
      </w:r>
      <w:r>
        <w:rPr>
          <w:rFonts w:hint="eastAsia" w:ascii="MS UI Gothic" w:eastAsia="MS UI Gothic"/>
        </w:rPr>
        <w:t xml:space="preserve">  </w:t>
      </w:r>
      <w:r>
        <w:rPr>
          <w:rFonts w:hint="eastAsia" w:ascii="MS UI Gothic" w:eastAsia="MS UI Gothic"/>
          <w:w w:val="168"/>
        </w:rPr>
        <w:t>(</w:t>
      </w:r>
      <w:r>
        <w:rPr>
          <w:rFonts w:hint="eastAsia" w:ascii="MS UI Gothic" w:eastAsia="MS UI Gothic"/>
          <w:w w:val="75"/>
        </w:rPr>
        <w:t>２</w:t>
      </w:r>
      <w:r>
        <w:rPr>
          <w:rFonts w:hint="eastAsia" w:ascii="MS UI Gothic" w:eastAsia="MS UI Gothic"/>
          <w:w w:val="168"/>
        </w:rPr>
        <w:t>)</w:t>
      </w:r>
      <w:r>
        <w:rPr>
          <w:rFonts w:hint="eastAsia" w:ascii="MS UI Gothic" w:eastAsia="MS UI Gothic"/>
        </w:rPr>
        <w:t xml:space="preserve">  </w:t>
      </w:r>
      <w:r>
        <w:rPr>
          <w:w w:val="102"/>
        </w:rPr>
        <w:t>向国家确定的重要江河</w:t>
      </w:r>
      <w:r>
        <w:rPr>
          <w:rFonts w:hint="eastAsia" w:ascii="MS UI Gothic" w:eastAsia="MS UI Gothic"/>
          <w:w w:val="77"/>
        </w:rPr>
        <w:t>、</w:t>
      </w:r>
      <w:r>
        <w:t xml:space="preserve">湖泊或者其他跨省 </w:t>
      </w:r>
      <w:r>
        <w:rPr>
          <w:rFonts w:hint="eastAsia" w:ascii="MS UI Gothic" w:eastAsia="MS UI Gothic"/>
          <w:w w:val="150"/>
        </w:rPr>
        <w:t xml:space="preserve">( </w:t>
      </w:r>
      <w:r>
        <w:t>直辖市</w:t>
      </w:r>
      <w:r>
        <w:rPr>
          <w:rFonts w:hint="eastAsia" w:ascii="MS UI Gothic" w:eastAsia="MS UI Gothic"/>
          <w:w w:val="150"/>
        </w:rPr>
        <w:t xml:space="preserve">) </w:t>
      </w:r>
      <w:r>
        <w:t>江河</w:t>
      </w:r>
      <w:r>
        <w:rPr>
          <w:rFonts w:hint="eastAsia" w:ascii="MS UI Gothic" w:eastAsia="MS UI Gothic"/>
        </w:rPr>
        <w:t xml:space="preserve">、 </w:t>
      </w:r>
      <w:r>
        <w:t>湖泊排放</w:t>
      </w:r>
      <w:r>
        <w:rPr>
          <w:rFonts w:hint="eastAsia" w:ascii="MS UI Gothic" w:eastAsia="MS UI Gothic"/>
        </w:rPr>
        <w:t xml:space="preserve">、 </w:t>
      </w:r>
      <w:r>
        <w:t>倾倒</w:t>
      </w:r>
      <w:r>
        <w:rPr>
          <w:rFonts w:hint="eastAsia" w:ascii="MS UI Gothic" w:eastAsia="MS UI Gothic"/>
        </w:rPr>
        <w:t xml:space="preserve">、 </w:t>
      </w:r>
      <w:r>
        <w:t>处置有放射性的废物</w:t>
      </w:r>
      <w:r>
        <w:rPr>
          <w:rFonts w:hint="eastAsia" w:ascii="MS UI Gothic" w:eastAsia="MS UI Gothic"/>
        </w:rPr>
        <w:t xml:space="preserve">、 </w:t>
      </w:r>
      <w:r>
        <w:t>含传染病病原体的废物</w:t>
      </w:r>
      <w:r>
        <w:rPr>
          <w:rFonts w:hint="eastAsia" w:ascii="MS UI Gothic" w:eastAsia="MS UI Gothic"/>
        </w:rPr>
        <w:t xml:space="preserve">、 </w:t>
      </w:r>
      <w:r>
        <w:t>有毒物质或者其他有害物质的</w:t>
      </w:r>
      <w:r>
        <w:rPr>
          <w:rFonts w:hint="eastAsia" w:ascii="MS UI Gothic" w:eastAsia="MS UI Gothic"/>
          <w:w w:val="80"/>
        </w:rPr>
        <w:t>ꎮ</w:t>
      </w:r>
    </w:p>
    <w:p>
      <w:pPr>
        <w:pStyle w:val="6"/>
        <w:spacing w:line="295" w:lineRule="auto"/>
        <w:ind w:right="39" w:firstLine="413"/>
      </w:pPr>
      <w:r>
        <w:rPr>
          <w:rFonts w:hint="eastAsia" w:ascii="MS UI Gothic" w:eastAsia="MS UI Gothic"/>
        </w:rPr>
        <w:t xml:space="preserve">１１ </w:t>
      </w:r>
      <w:r>
        <w:t>关于严格适用不起诉</w:t>
      </w:r>
      <w:r>
        <w:rPr>
          <w:rFonts w:hint="eastAsia" w:ascii="MS UI Gothic" w:eastAsia="MS UI Gothic"/>
        </w:rPr>
        <w:t xml:space="preserve">、 </w:t>
      </w:r>
      <w:r>
        <w:t>缓刑</w:t>
      </w:r>
      <w:r>
        <w:rPr>
          <w:rFonts w:hint="eastAsia" w:ascii="MS UI Gothic" w:eastAsia="MS UI Gothic"/>
        </w:rPr>
        <w:t xml:space="preserve">、 </w:t>
      </w:r>
      <w:r>
        <w:t>免予刑事处罚</w:t>
      </w:r>
    </w:p>
    <w:p>
      <w:pPr>
        <w:pStyle w:val="6"/>
        <w:spacing w:line="295" w:lineRule="auto"/>
        <w:ind w:right="38"/>
        <w:rPr>
          <w:rFonts w:hint="eastAsia" w:ascii="MS UI Gothic" w:eastAsia="MS UI Gothic"/>
        </w:rPr>
      </w:pPr>
      <w:r>
        <w:t>会议针对当前办理环境污染犯罪案件中如何严格适用不起诉</w:t>
      </w:r>
      <w:r>
        <w:rPr>
          <w:rFonts w:hint="eastAsia" w:ascii="MS UI Gothic" w:eastAsia="MS UI Gothic"/>
          <w:w w:val="80"/>
        </w:rPr>
        <w:t xml:space="preserve">、 </w:t>
      </w:r>
      <w:r>
        <w:t>缓刑</w:t>
      </w:r>
      <w:r>
        <w:rPr>
          <w:rFonts w:hint="eastAsia" w:ascii="MS UI Gothic" w:eastAsia="MS UI Gothic"/>
          <w:w w:val="80"/>
        </w:rPr>
        <w:t xml:space="preserve">、 </w:t>
      </w:r>
      <w:r>
        <w:t>免予刑事处罚的问题进行了讨论</w:t>
      </w:r>
      <w:r>
        <w:rPr>
          <w:rFonts w:hint="eastAsia" w:ascii="MS UI Gothic" w:eastAsia="MS UI Gothic"/>
          <w:w w:val="80"/>
        </w:rPr>
        <w:t xml:space="preserve">ꎮ </w:t>
      </w:r>
      <w:r>
        <w:t>会议强调</w:t>
      </w:r>
      <w:r>
        <w:rPr>
          <w:rFonts w:hint="eastAsia" w:ascii="MS UI Gothic" w:eastAsia="MS UI Gothic"/>
          <w:w w:val="80"/>
        </w:rPr>
        <w:t xml:space="preserve">ꎬ </w:t>
      </w:r>
      <w:r>
        <w:t>环境污染犯罪案件的刑罚适用直接关系加强生态环境保护打好污染防治攻坚战的实际效果</w:t>
      </w:r>
      <w:r>
        <w:rPr>
          <w:rFonts w:hint="eastAsia" w:ascii="MS UI Gothic" w:eastAsia="MS UI Gothic"/>
          <w:w w:val="80"/>
        </w:rPr>
        <w:t xml:space="preserve">ꎮ </w:t>
      </w:r>
      <w:r>
        <w:t>各级人民法院</w:t>
      </w:r>
      <w:r>
        <w:rPr>
          <w:rFonts w:hint="eastAsia" w:ascii="MS UI Gothic" w:eastAsia="MS UI Gothic"/>
          <w:w w:val="80"/>
        </w:rPr>
        <w:t xml:space="preserve">、 </w:t>
      </w:r>
      <w:r>
        <w:t>人民检察院要深刻认识环境污染犯罪的严重社会危害性</w:t>
      </w:r>
      <w:r>
        <w:rPr>
          <w:rFonts w:hint="eastAsia" w:ascii="MS UI Gothic" w:eastAsia="MS UI Gothic"/>
          <w:w w:val="80"/>
        </w:rPr>
        <w:t xml:space="preserve">ꎬ </w:t>
      </w:r>
      <w:r>
        <w:t>正确贯彻宽严相济刑事政策</w:t>
      </w:r>
      <w:r>
        <w:rPr>
          <w:rFonts w:hint="eastAsia" w:ascii="MS UI Gothic" w:eastAsia="MS UI Gothic"/>
          <w:w w:val="80"/>
        </w:rPr>
        <w:t xml:space="preserve">ꎬ </w:t>
      </w:r>
      <w:r>
        <w:t>充分发挥刑罚的惩治和预防功能</w:t>
      </w:r>
      <w:r>
        <w:rPr>
          <w:rFonts w:hint="eastAsia" w:ascii="MS UI Gothic" w:eastAsia="MS UI Gothic"/>
          <w:w w:val="80"/>
        </w:rPr>
        <w:t xml:space="preserve">ꎮ </w:t>
      </w:r>
      <w:r>
        <w:t>要在全面把握犯罪事实和量刑情节的基础上严格依照刑法和刑事诉讼法规定的条件适用不起诉</w:t>
      </w:r>
      <w:r>
        <w:rPr>
          <w:rFonts w:hint="eastAsia" w:ascii="MS UI Gothic" w:eastAsia="MS UI Gothic"/>
          <w:w w:val="80"/>
        </w:rPr>
        <w:t xml:space="preserve">、 </w:t>
      </w:r>
      <w:r>
        <w:t>缓刑</w:t>
      </w:r>
      <w:r>
        <w:rPr>
          <w:rFonts w:hint="eastAsia" w:ascii="MS UI Gothic" w:eastAsia="MS UI Gothic"/>
          <w:w w:val="80"/>
        </w:rPr>
        <w:t xml:space="preserve">、 </w:t>
      </w:r>
      <w:r>
        <w:t>免予刑事处罚</w:t>
      </w:r>
      <w:r>
        <w:rPr>
          <w:rFonts w:hint="eastAsia" w:ascii="MS UI Gothic" w:eastAsia="MS UI Gothic"/>
          <w:w w:val="80"/>
        </w:rPr>
        <w:t xml:space="preserve">ꎬ </w:t>
      </w:r>
      <w:r>
        <w:t>既要考虑从宽情节</w:t>
      </w:r>
      <w:r>
        <w:rPr>
          <w:rFonts w:hint="eastAsia" w:ascii="MS UI Gothic" w:eastAsia="MS UI Gothic"/>
          <w:w w:val="80"/>
        </w:rPr>
        <w:t xml:space="preserve">ꎬ </w:t>
      </w:r>
      <w:r>
        <w:t>又要考虑从严情节</w:t>
      </w:r>
      <w:r>
        <w:rPr>
          <w:rFonts w:hint="eastAsia" w:ascii="MS UI Gothic" w:eastAsia="MS UI Gothic"/>
          <w:w w:val="80"/>
        </w:rPr>
        <w:t xml:space="preserve">ꎻ </w:t>
      </w:r>
      <w:r>
        <w:t>既要做到刑罚与犯罪相当</w:t>
      </w:r>
      <w:r>
        <w:rPr>
          <w:rFonts w:hint="eastAsia" w:ascii="MS UI Gothic" w:eastAsia="MS UI Gothic"/>
          <w:w w:val="80"/>
        </w:rPr>
        <w:t>ꎬ</w:t>
      </w:r>
      <w:r>
        <w:t>又要做到刑罚执行方式与犯罪相当</w:t>
      </w:r>
      <w:r>
        <w:rPr>
          <w:rFonts w:hint="eastAsia" w:ascii="MS UI Gothic" w:eastAsia="MS UI Gothic"/>
          <w:w w:val="80"/>
        </w:rPr>
        <w:t xml:space="preserve">ꎬ </w:t>
      </w:r>
      <w:r>
        <w:t>切实避免不起诉</w:t>
      </w:r>
      <w:r>
        <w:rPr>
          <w:rFonts w:hint="eastAsia" w:ascii="MS UI Gothic" w:eastAsia="MS UI Gothic"/>
          <w:w w:val="80"/>
        </w:rPr>
        <w:t xml:space="preserve">、 </w:t>
      </w:r>
      <w:r>
        <w:t>缓刑</w:t>
      </w:r>
      <w:r>
        <w:rPr>
          <w:rFonts w:hint="eastAsia" w:ascii="MS UI Gothic" w:eastAsia="MS UI Gothic"/>
          <w:w w:val="80"/>
        </w:rPr>
        <w:t xml:space="preserve">、 </w:t>
      </w:r>
      <w:r>
        <w:t>免予刑事处罚不当适用造成的消极影响</w:t>
      </w:r>
      <w:r>
        <w:rPr>
          <w:rFonts w:hint="eastAsia" w:ascii="MS UI Gothic" w:eastAsia="MS UI Gothic"/>
          <w:w w:val="80"/>
        </w:rPr>
        <w:t>ꎮ</w:t>
      </w:r>
    </w:p>
    <w:p>
      <w:pPr>
        <w:pStyle w:val="6"/>
        <w:spacing w:line="295" w:lineRule="auto"/>
        <w:ind w:right="38"/>
      </w:pPr>
      <w:r>
        <w:rPr>
          <w:spacing w:val="3"/>
        </w:rPr>
        <w:t>会议认为</w:t>
      </w:r>
      <w:r>
        <w:rPr>
          <w:rFonts w:hint="eastAsia" w:ascii="MS UI Gothic" w:eastAsia="MS UI Gothic"/>
          <w:spacing w:val="20"/>
          <w:w w:val="80"/>
        </w:rPr>
        <w:t xml:space="preserve">ꎬ </w:t>
      </w:r>
      <w:r>
        <w:rPr>
          <w:spacing w:val="3"/>
        </w:rPr>
        <w:t>具有下列情形之一的</w:t>
      </w:r>
      <w:r>
        <w:rPr>
          <w:rFonts w:hint="eastAsia" w:ascii="MS UI Gothic" w:eastAsia="MS UI Gothic"/>
          <w:spacing w:val="20"/>
          <w:w w:val="80"/>
        </w:rPr>
        <w:t xml:space="preserve">ꎬ </w:t>
      </w:r>
      <w:r>
        <w:t>一</w:t>
      </w:r>
      <w:r>
        <w:rPr>
          <w:spacing w:val="12"/>
        </w:rPr>
        <w:t>般不适用不起诉</w:t>
      </w:r>
      <w:r>
        <w:rPr>
          <w:rFonts w:hint="eastAsia" w:ascii="MS UI Gothic" w:eastAsia="MS UI Gothic"/>
          <w:spacing w:val="24"/>
        </w:rPr>
        <w:t xml:space="preserve">、 </w:t>
      </w:r>
      <w:r>
        <w:rPr>
          <w:spacing w:val="16"/>
        </w:rPr>
        <w:t>缓刑或者免予刑事处</w:t>
      </w:r>
      <w:r>
        <w:rPr>
          <w:spacing w:val="3"/>
          <w:w w:val="102"/>
        </w:rPr>
        <w:t>罚</w:t>
      </w:r>
      <w:r>
        <w:rPr>
          <w:rFonts w:hint="eastAsia" w:ascii="MS UI Gothic" w:eastAsia="MS UI Gothic"/>
          <w:w w:val="253"/>
        </w:rPr>
        <w:t>:</w:t>
      </w:r>
      <w:r>
        <w:rPr>
          <w:rFonts w:hint="eastAsia" w:ascii="MS UI Gothic" w:eastAsia="MS UI Gothic"/>
          <w:spacing w:val="-3"/>
        </w:rPr>
        <w:t xml:space="preserve">  </w:t>
      </w:r>
      <w:r>
        <w:rPr>
          <w:rFonts w:hint="eastAsia" w:ascii="MS UI Gothic" w:eastAsia="MS UI Gothic"/>
          <w:spacing w:val="19"/>
          <w:w w:val="168"/>
        </w:rPr>
        <w:t>(</w:t>
      </w:r>
      <w:r>
        <w:rPr>
          <w:rFonts w:hint="eastAsia" w:ascii="MS UI Gothic" w:eastAsia="MS UI Gothic"/>
          <w:spacing w:val="9"/>
          <w:w w:val="75"/>
        </w:rPr>
        <w:t>１</w:t>
      </w:r>
      <w:r>
        <w:rPr>
          <w:rFonts w:hint="eastAsia" w:ascii="MS UI Gothic" w:eastAsia="MS UI Gothic"/>
          <w:w w:val="168"/>
        </w:rPr>
        <w:t>)</w:t>
      </w:r>
      <w:r>
        <w:rPr>
          <w:rFonts w:hint="eastAsia" w:ascii="MS UI Gothic" w:eastAsia="MS UI Gothic"/>
          <w:spacing w:val="4"/>
        </w:rPr>
        <w:t xml:space="preserve">  </w:t>
      </w:r>
      <w:r>
        <w:rPr>
          <w:spacing w:val="8"/>
          <w:w w:val="102"/>
        </w:rPr>
        <w:t>不如实供述罪行的</w:t>
      </w:r>
      <w:r>
        <w:rPr>
          <w:rFonts w:hint="eastAsia" w:ascii="MS UI Gothic" w:eastAsia="MS UI Gothic"/>
          <w:w w:val="51"/>
        </w:rPr>
        <w:t>ꎻ</w:t>
      </w:r>
      <w:r>
        <w:rPr>
          <w:rFonts w:hint="eastAsia" w:ascii="MS UI Gothic" w:eastAsia="MS UI Gothic"/>
          <w:spacing w:val="-10"/>
        </w:rPr>
        <w:t xml:space="preserve">   </w:t>
      </w:r>
      <w:r>
        <w:rPr>
          <w:rFonts w:hint="eastAsia" w:ascii="MS UI Gothic" w:eastAsia="MS UI Gothic"/>
          <w:w w:val="168"/>
        </w:rPr>
        <w:t>(</w:t>
      </w:r>
      <w:r>
        <w:rPr>
          <w:rFonts w:hint="eastAsia" w:ascii="MS UI Gothic" w:eastAsia="MS UI Gothic"/>
          <w:spacing w:val="-40"/>
        </w:rPr>
        <w:t xml:space="preserve"> </w:t>
      </w:r>
      <w:r>
        <w:rPr>
          <w:rFonts w:hint="eastAsia" w:ascii="MS UI Gothic" w:eastAsia="MS UI Gothic"/>
          <w:spacing w:val="11"/>
          <w:w w:val="75"/>
        </w:rPr>
        <w:t>２</w:t>
      </w:r>
      <w:r>
        <w:rPr>
          <w:rFonts w:hint="eastAsia" w:ascii="MS UI Gothic" w:eastAsia="MS UI Gothic"/>
          <w:w w:val="168"/>
        </w:rPr>
        <w:t>)</w:t>
      </w:r>
      <w:r>
        <w:rPr>
          <w:rFonts w:hint="eastAsia" w:ascii="MS UI Gothic" w:eastAsia="MS UI Gothic"/>
          <w:spacing w:val="5"/>
        </w:rPr>
        <w:t xml:space="preserve">  </w:t>
      </w:r>
      <w:r>
        <w:rPr>
          <w:spacing w:val="5"/>
          <w:w w:val="102"/>
        </w:rPr>
        <w:t>属于共同犯罪中情节严重的主犯的</w:t>
      </w:r>
      <w:r>
        <w:rPr>
          <w:rFonts w:hint="eastAsia" w:ascii="MS UI Gothic" w:eastAsia="MS UI Gothic"/>
          <w:w w:val="51"/>
        </w:rPr>
        <w:t>ꎻ</w:t>
      </w:r>
      <w:r>
        <w:rPr>
          <w:rFonts w:hint="eastAsia" w:ascii="MS UI Gothic" w:eastAsia="MS UI Gothic"/>
          <w:spacing w:val="1"/>
        </w:rPr>
        <w:t xml:space="preserve">   </w:t>
      </w:r>
      <w:r>
        <w:rPr>
          <w:rFonts w:hint="eastAsia" w:ascii="MS UI Gothic" w:eastAsia="MS UI Gothic"/>
          <w:w w:val="168"/>
        </w:rPr>
        <w:t>(</w:t>
      </w:r>
      <w:r>
        <w:rPr>
          <w:rFonts w:hint="eastAsia" w:ascii="MS UI Gothic" w:eastAsia="MS UI Gothic"/>
          <w:spacing w:val="-38"/>
        </w:rPr>
        <w:t xml:space="preserve"> </w:t>
      </w:r>
      <w:r>
        <w:rPr>
          <w:rFonts w:hint="eastAsia" w:ascii="MS UI Gothic" w:eastAsia="MS UI Gothic"/>
          <w:spacing w:val="13"/>
          <w:w w:val="75"/>
        </w:rPr>
        <w:t>３</w:t>
      </w:r>
      <w:r>
        <w:rPr>
          <w:rFonts w:hint="eastAsia" w:ascii="MS UI Gothic" w:eastAsia="MS UI Gothic"/>
          <w:w w:val="168"/>
        </w:rPr>
        <w:t>)</w:t>
      </w:r>
      <w:r>
        <w:rPr>
          <w:rFonts w:hint="eastAsia" w:ascii="MS UI Gothic" w:eastAsia="MS UI Gothic"/>
          <w:spacing w:val="6"/>
        </w:rPr>
        <w:t xml:space="preserve">  </w:t>
      </w:r>
      <w:r>
        <w:rPr>
          <w:w w:val="102"/>
        </w:rPr>
        <w:t>犯</w:t>
      </w:r>
      <w:r>
        <w:rPr>
          <w:spacing w:val="2"/>
        </w:rPr>
        <w:t>有数个环境污染犯罪依法实行并罚或者以</w:t>
      </w:r>
      <w:r>
        <w:rPr>
          <w:spacing w:val="3"/>
          <w:w w:val="102"/>
        </w:rPr>
        <w:t>一罪处理的</w:t>
      </w:r>
      <w:r>
        <w:rPr>
          <w:rFonts w:hint="eastAsia" w:ascii="MS UI Gothic" w:eastAsia="MS UI Gothic"/>
          <w:w w:val="51"/>
        </w:rPr>
        <w:t>ꎻ</w:t>
      </w:r>
      <w:r>
        <w:rPr>
          <w:rFonts w:hint="eastAsia" w:ascii="MS UI Gothic" w:eastAsia="MS UI Gothic"/>
          <w:spacing w:val="-1"/>
        </w:rPr>
        <w:t xml:space="preserve">   </w:t>
      </w:r>
      <w:r>
        <w:rPr>
          <w:rFonts w:hint="eastAsia" w:ascii="MS UI Gothic" w:eastAsia="MS UI Gothic"/>
          <w:w w:val="168"/>
        </w:rPr>
        <w:t>(</w:t>
      </w:r>
      <w:r>
        <w:rPr>
          <w:rFonts w:hint="eastAsia" w:ascii="MS UI Gothic" w:eastAsia="MS UI Gothic"/>
          <w:spacing w:val="-40"/>
        </w:rPr>
        <w:t xml:space="preserve"> </w:t>
      </w:r>
      <w:r>
        <w:rPr>
          <w:rFonts w:hint="eastAsia" w:ascii="MS UI Gothic" w:eastAsia="MS UI Gothic"/>
          <w:spacing w:val="11"/>
          <w:w w:val="75"/>
        </w:rPr>
        <w:t>４</w:t>
      </w:r>
      <w:r>
        <w:rPr>
          <w:rFonts w:hint="eastAsia" w:ascii="MS UI Gothic" w:eastAsia="MS UI Gothic"/>
          <w:w w:val="168"/>
        </w:rPr>
        <w:t>)</w:t>
      </w:r>
      <w:r>
        <w:rPr>
          <w:rFonts w:hint="eastAsia" w:ascii="MS UI Gothic" w:eastAsia="MS UI Gothic"/>
          <w:spacing w:val="6"/>
        </w:rPr>
        <w:t xml:space="preserve">  </w:t>
      </w:r>
      <w:r>
        <w:rPr>
          <w:spacing w:val="11"/>
          <w:w w:val="102"/>
        </w:rPr>
        <w:t>曾因环境污染违法犯</w:t>
      </w:r>
      <w:r>
        <w:rPr>
          <w:spacing w:val="19"/>
        </w:rPr>
        <w:t>罪行为受过行政处罚或者刑事处罚的</w:t>
      </w:r>
      <w:r>
        <w:rPr>
          <w:rFonts w:hint="eastAsia" w:ascii="MS UI Gothic" w:eastAsia="MS UI Gothic"/>
          <w:spacing w:val="-13"/>
          <w:w w:val="80"/>
        </w:rPr>
        <w:t>ꎻ</w:t>
      </w:r>
      <w:r>
        <w:rPr>
          <w:rFonts w:hint="eastAsia" w:ascii="MS UI Gothic" w:eastAsia="MS UI Gothic"/>
          <w:spacing w:val="15"/>
          <w:w w:val="168"/>
        </w:rPr>
        <w:t>(</w:t>
      </w:r>
      <w:r>
        <w:rPr>
          <w:rFonts w:hint="eastAsia" w:ascii="MS UI Gothic" w:eastAsia="MS UI Gothic"/>
          <w:spacing w:val="5"/>
          <w:w w:val="75"/>
        </w:rPr>
        <w:t>５</w:t>
      </w:r>
      <w:r>
        <w:rPr>
          <w:rFonts w:hint="eastAsia" w:ascii="MS UI Gothic" w:eastAsia="MS UI Gothic"/>
          <w:w w:val="168"/>
        </w:rPr>
        <w:t>)</w:t>
      </w:r>
      <w:r>
        <w:rPr>
          <w:rFonts w:hint="eastAsia" w:ascii="MS UI Gothic" w:eastAsia="MS UI Gothic"/>
          <w:spacing w:val="2"/>
        </w:rPr>
        <w:t xml:space="preserve">  </w:t>
      </w:r>
      <w:r>
        <w:rPr>
          <w:spacing w:val="15"/>
          <w:w w:val="102"/>
        </w:rPr>
        <w:t>其他不宜适用不起诉</w:t>
      </w:r>
      <w:r>
        <w:rPr>
          <w:rFonts w:hint="eastAsia" w:ascii="MS UI Gothic" w:eastAsia="MS UI Gothic"/>
          <w:w w:val="77"/>
        </w:rPr>
        <w:t>、</w:t>
      </w:r>
      <w:r>
        <w:rPr>
          <w:rFonts w:hint="eastAsia" w:ascii="MS UI Gothic" w:eastAsia="MS UI Gothic"/>
          <w:spacing w:val="-2"/>
        </w:rPr>
        <w:t xml:space="preserve">  </w:t>
      </w:r>
      <w:r>
        <w:rPr>
          <w:spacing w:val="11"/>
          <w:w w:val="102"/>
        </w:rPr>
        <w:t>缓刑</w:t>
      </w:r>
      <w:r>
        <w:rPr>
          <w:rFonts w:hint="eastAsia" w:ascii="MS UI Gothic" w:eastAsia="MS UI Gothic"/>
          <w:w w:val="77"/>
        </w:rPr>
        <w:t>、</w:t>
      </w:r>
      <w:r>
        <w:rPr>
          <w:rFonts w:hint="eastAsia" w:ascii="MS UI Gothic" w:eastAsia="MS UI Gothic"/>
          <w:spacing w:val="-2"/>
        </w:rPr>
        <w:t xml:space="preserve">  </w:t>
      </w:r>
      <w:r>
        <w:rPr>
          <w:spacing w:val="9"/>
          <w:w w:val="102"/>
        </w:rPr>
        <w:t>免予</w:t>
      </w:r>
    </w:p>
    <w:p>
      <w:pPr>
        <w:pStyle w:val="6"/>
        <w:spacing w:before="123"/>
        <w:ind w:left="130" w:firstLine="0"/>
        <w:jc w:val="left"/>
        <w:rPr>
          <w:rFonts w:hint="eastAsia" w:ascii="MS UI Gothic" w:eastAsia="MS UI Gothic"/>
        </w:rPr>
      </w:pPr>
      <w:r>
        <w:br w:type="column"/>
      </w:r>
      <w:r>
        <w:rPr>
          <w:spacing w:val="3"/>
          <w:w w:val="95"/>
        </w:rPr>
        <w:t>刑事处罚的情形</w:t>
      </w:r>
      <w:r>
        <w:rPr>
          <w:rFonts w:hint="eastAsia" w:ascii="MS UI Gothic" w:eastAsia="MS UI Gothic"/>
          <w:w w:val="80"/>
        </w:rPr>
        <w:t>ꎮ</w:t>
      </w:r>
    </w:p>
    <w:p>
      <w:pPr>
        <w:pStyle w:val="6"/>
        <w:spacing w:before="58" w:line="295" w:lineRule="auto"/>
        <w:ind w:left="130" w:right="440"/>
        <w:rPr>
          <w:rFonts w:hint="eastAsia" w:ascii="MS UI Gothic" w:eastAsia="MS UI Gothic"/>
        </w:rPr>
      </w:pPr>
      <w:r>
        <w:rPr>
          <w:spacing w:val="3"/>
        </w:rPr>
        <w:t>会议要求</w:t>
      </w:r>
      <w:r>
        <w:rPr>
          <w:rFonts w:hint="eastAsia" w:ascii="MS UI Gothic" w:eastAsia="MS UI Gothic"/>
          <w:spacing w:val="15"/>
          <w:w w:val="80"/>
        </w:rPr>
        <w:t xml:space="preserve">ꎬ </w:t>
      </w:r>
      <w:r>
        <w:rPr>
          <w:spacing w:val="2"/>
        </w:rPr>
        <w:t>人民法院审理环境污染犯</w:t>
      </w:r>
      <w:r>
        <w:rPr>
          <w:spacing w:val="4"/>
        </w:rPr>
        <w:t>罪案件拟适用缓刑或者免予刑事处罚的</w:t>
      </w:r>
      <w:r>
        <w:rPr>
          <w:rFonts w:hint="eastAsia" w:ascii="MS UI Gothic" w:eastAsia="MS UI Gothic"/>
          <w:w w:val="80"/>
        </w:rPr>
        <w:t>ꎬ</w:t>
      </w:r>
      <w:r>
        <w:rPr>
          <w:spacing w:val="3"/>
        </w:rPr>
        <w:t>应当分析案发前后的社会影响和反映</w:t>
      </w:r>
      <w:r>
        <w:rPr>
          <w:rFonts w:hint="eastAsia" w:ascii="MS UI Gothic" w:eastAsia="MS UI Gothic"/>
          <w:spacing w:val="19"/>
          <w:w w:val="80"/>
        </w:rPr>
        <w:t xml:space="preserve">ꎬ </w:t>
      </w:r>
      <w:r>
        <w:t>注</w:t>
      </w:r>
      <w:r>
        <w:rPr>
          <w:spacing w:val="3"/>
        </w:rPr>
        <w:t>意听取控辩双方提出的意见</w:t>
      </w:r>
      <w:r>
        <w:rPr>
          <w:rFonts w:hint="eastAsia" w:ascii="MS UI Gothic" w:eastAsia="MS UI Gothic"/>
          <w:spacing w:val="19"/>
          <w:w w:val="80"/>
        </w:rPr>
        <w:t xml:space="preserve">ꎮ </w:t>
      </w:r>
      <w:r>
        <w:rPr>
          <w:spacing w:val="2"/>
        </w:rPr>
        <w:t>对于情节恶</w:t>
      </w:r>
      <w:r>
        <w:rPr>
          <w:spacing w:val="3"/>
        </w:rPr>
        <w:t>劣</w:t>
      </w:r>
      <w:r>
        <w:rPr>
          <w:rFonts w:hint="eastAsia" w:ascii="MS UI Gothic" w:eastAsia="MS UI Gothic"/>
          <w:spacing w:val="10"/>
          <w:w w:val="80"/>
        </w:rPr>
        <w:t xml:space="preserve">、 </w:t>
      </w:r>
      <w:r>
        <w:rPr>
          <w:spacing w:val="3"/>
        </w:rPr>
        <w:t>社会反映强烈的环境污染犯罪</w:t>
      </w:r>
      <w:r>
        <w:rPr>
          <w:rFonts w:hint="eastAsia" w:ascii="MS UI Gothic" w:eastAsia="MS UI Gothic"/>
          <w:spacing w:val="11"/>
          <w:w w:val="80"/>
        </w:rPr>
        <w:t xml:space="preserve">ꎬ </w:t>
      </w:r>
      <w:r>
        <w:rPr>
          <w:spacing w:val="1"/>
        </w:rPr>
        <w:t>不得</w:t>
      </w:r>
      <w:r>
        <w:rPr>
          <w:spacing w:val="3"/>
        </w:rPr>
        <w:t>适用缓刑</w:t>
      </w:r>
      <w:r>
        <w:rPr>
          <w:rFonts w:hint="eastAsia" w:ascii="MS UI Gothic" w:eastAsia="MS UI Gothic"/>
          <w:spacing w:val="10"/>
          <w:w w:val="80"/>
        </w:rPr>
        <w:t xml:space="preserve">、 </w:t>
      </w:r>
      <w:r>
        <w:rPr>
          <w:spacing w:val="3"/>
        </w:rPr>
        <w:t>免予刑事处罚</w:t>
      </w:r>
      <w:r>
        <w:rPr>
          <w:rFonts w:hint="eastAsia" w:ascii="MS UI Gothic" w:eastAsia="MS UI Gothic"/>
          <w:spacing w:val="11"/>
          <w:w w:val="80"/>
        </w:rPr>
        <w:t xml:space="preserve">ꎮ </w:t>
      </w:r>
      <w:r>
        <w:rPr>
          <w:spacing w:val="2"/>
        </w:rPr>
        <w:t>人民法院对判</w:t>
      </w:r>
      <w:r>
        <w:rPr>
          <w:spacing w:val="3"/>
        </w:rPr>
        <w:t>处缓刑的被告人</w:t>
      </w:r>
      <w:r>
        <w:rPr>
          <w:rFonts w:hint="eastAsia" w:ascii="MS UI Gothic" w:eastAsia="MS UI Gothic"/>
          <w:spacing w:val="19"/>
          <w:w w:val="80"/>
        </w:rPr>
        <w:t xml:space="preserve">ꎬ </w:t>
      </w:r>
      <w:r>
        <w:rPr>
          <w:spacing w:val="2"/>
        </w:rPr>
        <w:t>一般应当同时宣告禁止</w:t>
      </w:r>
      <w:r>
        <w:rPr>
          <w:spacing w:val="3"/>
        </w:rPr>
        <w:t>令</w:t>
      </w:r>
      <w:r>
        <w:rPr>
          <w:rFonts w:hint="eastAsia" w:ascii="MS UI Gothic" w:eastAsia="MS UI Gothic"/>
          <w:spacing w:val="19"/>
          <w:w w:val="80"/>
        </w:rPr>
        <w:t xml:space="preserve">ꎬ </w:t>
      </w:r>
      <w:r>
        <w:rPr>
          <w:spacing w:val="2"/>
        </w:rPr>
        <w:t>禁止其在缓刑考验期内从事与排污或</w:t>
      </w:r>
      <w:r>
        <w:rPr>
          <w:spacing w:val="3"/>
        </w:rPr>
        <w:t>者处置危险废物有关的经营活动</w:t>
      </w:r>
      <w:r>
        <w:rPr>
          <w:rFonts w:hint="eastAsia" w:ascii="MS UI Gothic" w:eastAsia="MS UI Gothic"/>
          <w:spacing w:val="19"/>
          <w:w w:val="80"/>
        </w:rPr>
        <w:t xml:space="preserve">ꎮ </w:t>
      </w:r>
      <w:r>
        <w:rPr>
          <w:spacing w:val="2"/>
        </w:rPr>
        <w:t>生态环</w:t>
      </w:r>
      <w:r>
        <w:rPr>
          <w:spacing w:val="3"/>
        </w:rPr>
        <w:t>境部门根据禁止令</w:t>
      </w:r>
      <w:r>
        <w:rPr>
          <w:rFonts w:hint="eastAsia" w:ascii="MS UI Gothic" w:eastAsia="MS UI Gothic"/>
          <w:spacing w:val="19"/>
          <w:w w:val="80"/>
        </w:rPr>
        <w:t xml:space="preserve">ꎬ </w:t>
      </w:r>
      <w:r>
        <w:rPr>
          <w:spacing w:val="2"/>
        </w:rPr>
        <w:t>对上述人员担任实际</w:t>
      </w:r>
      <w:r>
        <w:rPr>
          <w:spacing w:val="3"/>
        </w:rPr>
        <w:t>控制人</w:t>
      </w:r>
      <w:r>
        <w:rPr>
          <w:rFonts w:hint="eastAsia" w:ascii="MS UI Gothic" w:eastAsia="MS UI Gothic"/>
          <w:spacing w:val="16"/>
          <w:w w:val="80"/>
        </w:rPr>
        <w:t xml:space="preserve">、 </w:t>
      </w:r>
      <w:r>
        <w:rPr>
          <w:spacing w:val="2"/>
        </w:rPr>
        <w:t>主要负责人或者高级管理人员的</w:t>
      </w:r>
      <w:r>
        <w:rPr>
          <w:spacing w:val="3"/>
        </w:rPr>
        <w:t>单位</w:t>
      </w:r>
      <w:r>
        <w:rPr>
          <w:rFonts w:hint="eastAsia" w:ascii="MS UI Gothic" w:eastAsia="MS UI Gothic"/>
          <w:spacing w:val="19"/>
          <w:w w:val="80"/>
        </w:rPr>
        <w:t xml:space="preserve">ꎬ </w:t>
      </w:r>
      <w:r>
        <w:rPr>
          <w:spacing w:val="2"/>
        </w:rPr>
        <w:t>依法不得发放排污许可证或者危险</w:t>
      </w:r>
      <w:r>
        <w:rPr>
          <w:spacing w:val="3"/>
        </w:rPr>
        <w:t>废物经营许可证</w:t>
      </w:r>
      <w:r>
        <w:rPr>
          <w:rFonts w:hint="eastAsia" w:ascii="MS UI Gothic" w:eastAsia="MS UI Gothic"/>
          <w:w w:val="80"/>
        </w:rPr>
        <w:t>ꎮ</w:t>
      </w:r>
    </w:p>
    <w:p>
      <w:pPr>
        <w:pStyle w:val="6"/>
        <w:spacing w:before="147"/>
        <w:ind w:left="0" w:right="312" w:firstLine="0"/>
        <w:jc w:val="center"/>
      </w:pPr>
      <w:r>
        <w:rPr>
          <w:w w:val="102"/>
        </w:rPr>
        <w:t>三</w:t>
      </w:r>
    </w:p>
    <w:p>
      <w:pPr>
        <w:pStyle w:val="6"/>
        <w:spacing w:before="215" w:line="295" w:lineRule="auto"/>
        <w:ind w:right="442" w:firstLine="425"/>
        <w:rPr>
          <w:rFonts w:hint="eastAsia" w:ascii="MS UI Gothic" w:hAnsi="MS UI Gothic" w:eastAsia="MS UI Gothic"/>
        </w:rPr>
      </w:pPr>
      <w:r>
        <w:rPr>
          <w:w w:val="95"/>
        </w:rPr>
        <w:t>会议要求</w:t>
      </w:r>
      <w:r>
        <w:rPr>
          <w:rFonts w:hint="eastAsia" w:ascii="MS UI Gothic" w:hAnsi="MS UI Gothic" w:eastAsia="MS UI Gothic"/>
          <w:w w:val="85"/>
        </w:rPr>
        <w:t xml:space="preserve">ꎬ </w:t>
      </w:r>
      <w:r>
        <w:rPr>
          <w:w w:val="95"/>
        </w:rPr>
        <w:t xml:space="preserve">各部门要认真执行 </w:t>
      </w:r>
      <w:r>
        <w:rPr>
          <w:rFonts w:hint="eastAsia" w:ascii="MS UI Gothic" w:hAnsi="MS UI Gothic" w:eastAsia="MS UI Gothic"/>
          <w:w w:val="95"/>
        </w:rPr>
        <w:t xml:space="preserve">« </w:t>
      </w:r>
      <w:r>
        <w:rPr>
          <w:w w:val="95"/>
        </w:rPr>
        <w:t>环境解释</w:t>
      </w:r>
      <w:r>
        <w:rPr>
          <w:rFonts w:hint="eastAsia" w:ascii="MS UI Gothic" w:hAnsi="MS UI Gothic" w:eastAsia="MS UI Gothic"/>
          <w:w w:val="95"/>
        </w:rPr>
        <w:t xml:space="preserve">» </w:t>
      </w:r>
      <w:r>
        <w:rPr>
          <w:w w:val="95"/>
        </w:rPr>
        <w:t>和原环境保护部</w:t>
      </w:r>
      <w:r>
        <w:rPr>
          <w:rFonts w:hint="eastAsia" w:ascii="MS UI Gothic" w:hAnsi="MS UI Gothic" w:eastAsia="MS UI Gothic"/>
          <w:w w:val="95"/>
        </w:rPr>
        <w:t xml:space="preserve">、  </w:t>
      </w:r>
      <w:r>
        <w:rPr>
          <w:w w:val="95"/>
        </w:rPr>
        <w:t>公安部</w:t>
      </w:r>
      <w:r>
        <w:rPr>
          <w:rFonts w:hint="eastAsia" w:ascii="MS UI Gothic" w:hAnsi="MS UI Gothic" w:eastAsia="MS UI Gothic"/>
          <w:w w:val="95"/>
        </w:rPr>
        <w:t xml:space="preserve">、  </w:t>
      </w:r>
      <w:r>
        <w:rPr>
          <w:w w:val="95"/>
        </w:rPr>
        <w:t xml:space="preserve">最高人民检察院 </w:t>
      </w:r>
      <w:r>
        <w:rPr>
          <w:rFonts w:hint="eastAsia" w:ascii="MS UI Gothic" w:hAnsi="MS UI Gothic" w:eastAsia="MS UI Gothic"/>
          <w:w w:val="95"/>
        </w:rPr>
        <w:t xml:space="preserve">« </w:t>
      </w:r>
      <w:r>
        <w:rPr>
          <w:w w:val="95"/>
        </w:rPr>
        <w:t>环境保护行政执法与刑事司法衔接工作办法</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 xml:space="preserve">环环监 </w:t>
      </w:r>
      <w:r>
        <w:rPr>
          <w:rFonts w:hint="eastAsia" w:ascii="MS UI Gothic" w:hAnsi="MS UI Gothic" w:eastAsia="MS UI Gothic"/>
          <w:w w:val="95"/>
        </w:rPr>
        <w:t xml:space="preserve">〔２０１７〕１７ </w:t>
      </w:r>
      <w:r>
        <w:rPr>
          <w:w w:val="95"/>
        </w:rPr>
        <w:t>号</w:t>
      </w:r>
      <w:r>
        <w:rPr>
          <w:rFonts w:hint="eastAsia" w:ascii="MS UI Gothic" w:hAnsi="MS UI Gothic" w:eastAsia="MS UI Gothic"/>
          <w:w w:val="140"/>
        </w:rPr>
        <w:t xml:space="preserve">) </w:t>
      </w:r>
      <w:r>
        <w:rPr>
          <w:w w:val="95"/>
        </w:rPr>
        <w:t>的有关规定</w:t>
      </w:r>
      <w:r>
        <w:rPr>
          <w:rFonts w:hint="eastAsia" w:ascii="MS UI Gothic" w:hAnsi="MS UI Gothic" w:eastAsia="MS UI Gothic"/>
          <w:w w:val="85"/>
        </w:rPr>
        <w:t xml:space="preserve">ꎬ  </w:t>
      </w:r>
      <w:r>
        <w:rPr>
          <w:w w:val="95"/>
        </w:rPr>
        <w:t>进一步理顺部门职责</w:t>
      </w:r>
      <w:r>
        <w:rPr>
          <w:rFonts w:hint="eastAsia" w:ascii="MS UI Gothic" w:hAnsi="MS UI Gothic" w:eastAsia="MS UI Gothic"/>
          <w:w w:val="85"/>
        </w:rPr>
        <w:t xml:space="preserve">ꎬ  </w:t>
      </w:r>
      <w:r>
        <w:rPr>
          <w:w w:val="95"/>
        </w:rPr>
        <w:t>畅通衔接渠道</w:t>
      </w:r>
      <w:r>
        <w:rPr>
          <w:rFonts w:hint="eastAsia" w:ascii="MS UI Gothic" w:hAnsi="MS UI Gothic" w:eastAsia="MS UI Gothic"/>
          <w:w w:val="85"/>
        </w:rPr>
        <w:t xml:space="preserve">ꎬ  </w:t>
      </w:r>
      <w:r>
        <w:rPr>
          <w:w w:val="95"/>
        </w:rPr>
        <w:t>建立健全环境行政执法与刑事司法衔接的长效工作机制</w:t>
      </w:r>
      <w:r>
        <w:rPr>
          <w:rFonts w:hint="eastAsia" w:ascii="MS UI Gothic" w:hAnsi="MS UI Gothic" w:eastAsia="MS UI Gothic"/>
          <w:w w:val="85"/>
        </w:rPr>
        <w:t>ꎮ</w:t>
      </w:r>
    </w:p>
    <w:p>
      <w:pPr>
        <w:pStyle w:val="6"/>
        <w:spacing w:line="251" w:lineRule="exact"/>
        <w:ind w:left="543" w:firstLine="0"/>
      </w:pPr>
      <w:r>
        <w:rPr>
          <w:rFonts w:hint="eastAsia" w:ascii="MS UI Gothic" w:eastAsia="MS UI Gothic"/>
        </w:rPr>
        <w:t xml:space="preserve">１２ </w:t>
      </w:r>
      <w:r>
        <w:t>关于管辖的问题</w:t>
      </w:r>
    </w:p>
    <w:p>
      <w:pPr>
        <w:pStyle w:val="6"/>
        <w:spacing w:before="59" w:line="295" w:lineRule="auto"/>
        <w:ind w:left="130" w:right="442"/>
        <w:rPr>
          <w:rFonts w:hint="eastAsia" w:ascii="MS UI Gothic" w:eastAsia="MS UI Gothic"/>
        </w:rPr>
      </w:pPr>
      <w:r>
        <w:t>会议针对环境污染犯罪案件的管辖问题进行了讨论</w:t>
      </w:r>
      <w:r>
        <w:rPr>
          <w:rFonts w:hint="eastAsia" w:ascii="MS UI Gothic" w:eastAsia="MS UI Gothic"/>
          <w:w w:val="80"/>
        </w:rPr>
        <w:t xml:space="preserve">ꎮ </w:t>
      </w:r>
      <w:r>
        <w:t>会议认为</w:t>
      </w:r>
      <w:r>
        <w:rPr>
          <w:rFonts w:hint="eastAsia" w:ascii="MS UI Gothic" w:eastAsia="MS UI Gothic"/>
          <w:w w:val="80"/>
        </w:rPr>
        <w:t xml:space="preserve">ꎬ </w:t>
      </w:r>
      <w:r>
        <w:t>实践中一些环境污染犯罪案件属于典型的跨区域刑事案件</w:t>
      </w:r>
      <w:r>
        <w:rPr>
          <w:rFonts w:hint="eastAsia" w:ascii="MS UI Gothic" w:eastAsia="MS UI Gothic"/>
          <w:w w:val="80"/>
        </w:rPr>
        <w:t xml:space="preserve">ꎬ </w:t>
      </w:r>
      <w:r>
        <w:t>容易存在管辖不明或者有争议的情况</w:t>
      </w:r>
      <w:r>
        <w:rPr>
          <w:rFonts w:hint="eastAsia" w:ascii="MS UI Gothic" w:eastAsia="MS UI Gothic"/>
          <w:w w:val="80"/>
        </w:rPr>
        <w:t xml:space="preserve">ꎬ </w:t>
      </w:r>
      <w:r>
        <w:t>各级人民法院</w:t>
      </w:r>
      <w:r>
        <w:rPr>
          <w:rFonts w:hint="eastAsia" w:ascii="MS UI Gothic" w:eastAsia="MS UI Gothic"/>
          <w:w w:val="80"/>
        </w:rPr>
        <w:t xml:space="preserve">、 </w:t>
      </w:r>
      <w:r>
        <w:t>人民检察院</w:t>
      </w:r>
      <w:r>
        <w:rPr>
          <w:rFonts w:hint="eastAsia" w:ascii="MS UI Gothic" w:eastAsia="MS UI Gothic"/>
          <w:w w:val="80"/>
        </w:rPr>
        <w:t xml:space="preserve">、 </w:t>
      </w:r>
      <w:r>
        <w:t>公安机关要加强沟通协调</w:t>
      </w:r>
      <w:r>
        <w:rPr>
          <w:rFonts w:hint="eastAsia" w:ascii="MS UI Gothic" w:eastAsia="MS UI Gothic"/>
          <w:w w:val="80"/>
        </w:rPr>
        <w:t xml:space="preserve">ꎬ </w:t>
      </w:r>
      <w:r>
        <w:t>共同研究解决</w:t>
      </w:r>
      <w:r>
        <w:rPr>
          <w:rFonts w:hint="eastAsia" w:ascii="MS UI Gothic" w:eastAsia="MS UI Gothic"/>
          <w:w w:val="80"/>
        </w:rPr>
        <w:t>ꎮ</w:t>
      </w:r>
    </w:p>
    <w:p>
      <w:pPr>
        <w:pStyle w:val="6"/>
        <w:spacing w:line="295" w:lineRule="auto"/>
        <w:ind w:left="130" w:right="440"/>
      </w:pPr>
      <w:r>
        <w:t>会议提出</w:t>
      </w:r>
      <w:r>
        <w:rPr>
          <w:rFonts w:hint="eastAsia" w:ascii="MS UI Gothic" w:hAnsi="MS UI Gothic" w:eastAsia="MS UI Gothic"/>
          <w:w w:val="80"/>
        </w:rPr>
        <w:t xml:space="preserve">ꎬ </w:t>
      </w:r>
      <w:r>
        <w:t>跨区域环境污染犯罪案件由犯罪地的公安机关管辖</w:t>
      </w:r>
      <w:r>
        <w:rPr>
          <w:rFonts w:hint="eastAsia" w:ascii="MS UI Gothic" w:hAnsi="MS UI Gothic" w:eastAsia="MS UI Gothic"/>
          <w:w w:val="80"/>
        </w:rPr>
        <w:t xml:space="preserve">ꎮ </w:t>
      </w:r>
      <w:r>
        <w:t>如果由犯罪嫌疑人居住地的公安机关管辖更为适宜的</w:t>
      </w:r>
      <w:r>
        <w:rPr>
          <w:rFonts w:hint="eastAsia" w:ascii="MS UI Gothic" w:hAnsi="MS UI Gothic" w:eastAsia="MS UI Gothic"/>
          <w:w w:val="80"/>
        </w:rPr>
        <w:t>ꎬ</w:t>
      </w:r>
      <w:r>
        <w:t>可以由犯罪嫌疑人居住地的公安机关管辖</w:t>
      </w:r>
      <w:r>
        <w:rPr>
          <w:rFonts w:hint="eastAsia" w:ascii="MS UI Gothic" w:hAnsi="MS UI Gothic" w:eastAsia="MS UI Gothic"/>
          <w:w w:val="80"/>
        </w:rPr>
        <w:t xml:space="preserve">ꎮ </w:t>
      </w:r>
      <w:r>
        <w:t>犯罪地包括环境污染行为发生地和结果发生地</w:t>
      </w:r>
      <w:r>
        <w:rPr>
          <w:rFonts w:hint="eastAsia" w:ascii="MS UI Gothic" w:hAnsi="MS UI Gothic" w:eastAsia="MS UI Gothic"/>
          <w:w w:val="80"/>
        </w:rPr>
        <w:t xml:space="preserve">ꎮ </w:t>
      </w:r>
      <w:r>
        <w:rPr>
          <w:rFonts w:hint="eastAsia" w:ascii="MS UI Gothic" w:hAnsi="MS UI Gothic" w:eastAsia="MS UI Gothic"/>
        </w:rPr>
        <w:t xml:space="preserve">“ </w:t>
      </w:r>
      <w:r>
        <w:t>环境污染行为发生地</w:t>
      </w:r>
      <w:r>
        <w:rPr>
          <w:rFonts w:hint="eastAsia" w:ascii="MS UI Gothic" w:hAnsi="MS UI Gothic" w:eastAsia="MS UI Gothic"/>
        </w:rPr>
        <w:t xml:space="preserve">” </w:t>
      </w:r>
      <w:r>
        <w:t>包括环境污染行为的实施地以及预备地</w:t>
      </w:r>
      <w:r>
        <w:rPr>
          <w:rFonts w:hint="eastAsia" w:ascii="MS UI Gothic" w:hAnsi="MS UI Gothic" w:eastAsia="MS UI Gothic"/>
          <w:w w:val="80"/>
        </w:rPr>
        <w:t xml:space="preserve">、 </w:t>
      </w:r>
      <w:r>
        <w:t>开始地</w:t>
      </w:r>
      <w:r>
        <w:rPr>
          <w:rFonts w:hint="eastAsia" w:ascii="MS UI Gothic" w:hAnsi="MS UI Gothic" w:eastAsia="MS UI Gothic"/>
          <w:w w:val="80"/>
        </w:rPr>
        <w:t xml:space="preserve">、 </w:t>
      </w:r>
      <w:r>
        <w:t>途经地</w:t>
      </w:r>
      <w:r>
        <w:rPr>
          <w:rFonts w:hint="eastAsia" w:ascii="MS UI Gothic" w:hAnsi="MS UI Gothic" w:eastAsia="MS UI Gothic"/>
          <w:w w:val="80"/>
        </w:rPr>
        <w:t xml:space="preserve">、 </w:t>
      </w:r>
      <w:r>
        <w:t>结束地以及排放</w:t>
      </w:r>
      <w:r>
        <w:rPr>
          <w:rFonts w:hint="eastAsia" w:ascii="MS UI Gothic" w:hAnsi="MS UI Gothic" w:eastAsia="MS UI Gothic"/>
          <w:w w:val="80"/>
        </w:rPr>
        <w:t xml:space="preserve">、 </w:t>
      </w:r>
      <w:r>
        <w:t>倾倒污染物的车船停靠地</w:t>
      </w:r>
      <w:r>
        <w:rPr>
          <w:rFonts w:hint="eastAsia" w:ascii="MS UI Gothic" w:hAnsi="MS UI Gothic" w:eastAsia="MS UI Gothic"/>
          <w:w w:val="80"/>
        </w:rPr>
        <w:t xml:space="preserve">、 </w:t>
      </w:r>
      <w:r>
        <w:t>始发地</w:t>
      </w:r>
      <w:r>
        <w:rPr>
          <w:rFonts w:hint="eastAsia" w:ascii="MS UI Gothic" w:hAnsi="MS UI Gothic" w:eastAsia="MS UI Gothic"/>
          <w:w w:val="80"/>
        </w:rPr>
        <w:t xml:space="preserve">、 </w:t>
      </w:r>
      <w:r>
        <w:t>途经地</w:t>
      </w:r>
      <w:r>
        <w:rPr>
          <w:rFonts w:hint="eastAsia" w:ascii="MS UI Gothic" w:hAnsi="MS UI Gothic" w:eastAsia="MS UI Gothic"/>
          <w:w w:val="80"/>
        </w:rPr>
        <w:t xml:space="preserve">、 </w:t>
      </w:r>
      <w:r>
        <w:t>到达</w:t>
      </w:r>
    </w:p>
    <w:p>
      <w:pPr>
        <w:spacing w:after="0" w:line="295" w:lineRule="auto"/>
        <w:sectPr>
          <w:type w:val="continuous"/>
          <w:pgSz w:w="10500" w:h="14750"/>
          <w:pgMar w:top="1400" w:right="980" w:bottom="280" w:left="980" w:header="720" w:footer="720" w:gutter="0"/>
          <w:cols w:equalWidth="0" w:num="2">
            <w:col w:w="3936" w:space="250"/>
            <w:col w:w="4354"/>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２９</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37" o:spid="_x0000_s1137" o:spt="203" style="height:2.15pt;width:398.25pt;" coordsize="7965,43">
            <o:lock v:ext="edit"/>
            <v:line id="_x0000_s1138" o:spid="_x0000_s1138" o:spt="20" style="position:absolute;left:0;top:39;height:0;width:7965;" stroked="t" coordsize="21600,21600">
              <v:path arrowok="t"/>
              <v:fill focussize="0,0"/>
              <v:stroke weight="0.388031496062992pt" color="#231F20"/>
              <v:imagedata o:title=""/>
              <o:lock v:ext="edit"/>
            </v:line>
            <v:line id="_x0000_s1139" o:spid="_x0000_s113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hAnsi="MS UI Gothic" w:eastAsia="MS UI Gothic"/>
        </w:rPr>
      </w:pPr>
      <w:r>
        <w:t>地等地点</w:t>
      </w:r>
      <w:r>
        <w:rPr>
          <w:rFonts w:hint="eastAsia" w:ascii="MS UI Gothic" w:hAnsi="MS UI Gothic" w:eastAsia="MS UI Gothic"/>
          <w:w w:val="80"/>
        </w:rPr>
        <w:t xml:space="preserve">ꎻ </w:t>
      </w:r>
      <w:r>
        <w:t>环境污染行为有连续</w:t>
      </w:r>
      <w:r>
        <w:rPr>
          <w:rFonts w:hint="eastAsia" w:ascii="MS UI Gothic" w:hAnsi="MS UI Gothic" w:eastAsia="MS UI Gothic"/>
          <w:w w:val="80"/>
        </w:rPr>
        <w:t xml:space="preserve">、 </w:t>
      </w:r>
      <w:r>
        <w:t>持续或者继续状态的</w:t>
      </w:r>
      <w:r>
        <w:rPr>
          <w:rFonts w:hint="eastAsia" w:ascii="MS UI Gothic" w:hAnsi="MS UI Gothic" w:eastAsia="MS UI Gothic"/>
          <w:w w:val="80"/>
        </w:rPr>
        <w:t xml:space="preserve">ꎬ </w:t>
      </w:r>
      <w:r>
        <w:t>相关地方都属于环境污染行为发生地</w:t>
      </w:r>
      <w:r>
        <w:rPr>
          <w:rFonts w:hint="eastAsia" w:ascii="MS UI Gothic" w:hAnsi="MS UI Gothic" w:eastAsia="MS UI Gothic"/>
          <w:w w:val="80"/>
        </w:rPr>
        <w:t xml:space="preserve">ꎮ </w:t>
      </w:r>
      <w:r>
        <w:rPr>
          <w:rFonts w:hint="eastAsia" w:ascii="MS UI Gothic" w:hAnsi="MS UI Gothic" w:eastAsia="MS UI Gothic"/>
        </w:rPr>
        <w:t xml:space="preserve">“ </w:t>
      </w:r>
      <w:r>
        <w:t>环境污染结果发生地</w:t>
      </w:r>
      <w:r>
        <w:rPr>
          <w:rFonts w:hint="eastAsia" w:ascii="MS UI Gothic" w:hAnsi="MS UI Gothic" w:eastAsia="MS UI Gothic"/>
        </w:rPr>
        <w:t xml:space="preserve">” </w:t>
      </w:r>
      <w:r>
        <w:t>包括污染物排放地</w:t>
      </w:r>
      <w:r>
        <w:rPr>
          <w:rFonts w:hint="eastAsia" w:ascii="MS UI Gothic" w:hAnsi="MS UI Gothic" w:eastAsia="MS UI Gothic"/>
          <w:w w:val="80"/>
        </w:rPr>
        <w:t xml:space="preserve">、 </w:t>
      </w:r>
      <w:r>
        <w:t>倾倒地</w:t>
      </w:r>
      <w:r>
        <w:rPr>
          <w:rFonts w:hint="eastAsia" w:ascii="MS UI Gothic" w:hAnsi="MS UI Gothic" w:eastAsia="MS UI Gothic"/>
          <w:w w:val="80"/>
        </w:rPr>
        <w:t xml:space="preserve">、 </w:t>
      </w:r>
      <w:r>
        <w:t>堆放地</w:t>
      </w:r>
      <w:r>
        <w:rPr>
          <w:rFonts w:hint="eastAsia" w:ascii="MS UI Gothic" w:hAnsi="MS UI Gothic" w:eastAsia="MS UI Gothic"/>
          <w:w w:val="80"/>
        </w:rPr>
        <w:t xml:space="preserve">、 </w:t>
      </w:r>
      <w:r>
        <w:t>污染发生地等</w:t>
      </w:r>
      <w:r>
        <w:rPr>
          <w:rFonts w:hint="eastAsia" w:ascii="MS UI Gothic" w:hAnsi="MS UI Gothic" w:eastAsia="MS UI Gothic"/>
          <w:w w:val="80"/>
        </w:rPr>
        <w:t>ꎮ</w:t>
      </w:r>
    </w:p>
    <w:p>
      <w:pPr>
        <w:pStyle w:val="6"/>
        <w:spacing w:line="295" w:lineRule="auto"/>
        <w:ind w:left="440"/>
        <w:rPr>
          <w:rFonts w:hint="eastAsia" w:ascii="MS UI Gothic" w:eastAsia="MS UI Gothic"/>
        </w:rPr>
      </w:pPr>
      <w:r>
        <w:t>多个公安机关都有权立案侦查的</w:t>
      </w:r>
      <w:r>
        <w:rPr>
          <w:rFonts w:hint="eastAsia" w:ascii="MS UI Gothic" w:eastAsia="MS UI Gothic"/>
          <w:w w:val="80"/>
        </w:rPr>
        <w:t xml:space="preserve">ꎬ </w:t>
      </w:r>
      <w:r>
        <w:t>由最初受理的或者主要犯罪地的公安机关立案侦查</w:t>
      </w:r>
      <w:r>
        <w:rPr>
          <w:rFonts w:hint="eastAsia" w:ascii="MS UI Gothic" w:eastAsia="MS UI Gothic"/>
          <w:w w:val="80"/>
        </w:rPr>
        <w:t xml:space="preserve">ꎬ </w:t>
      </w:r>
      <w:r>
        <w:t>管辖有争议的</w:t>
      </w:r>
      <w:r>
        <w:rPr>
          <w:rFonts w:hint="eastAsia" w:ascii="MS UI Gothic" w:eastAsia="MS UI Gothic"/>
          <w:w w:val="80"/>
        </w:rPr>
        <w:t xml:space="preserve">ꎬ </w:t>
      </w:r>
      <w:r>
        <w:t>按照有利于查清犯罪事实</w:t>
      </w:r>
      <w:r>
        <w:rPr>
          <w:rFonts w:hint="eastAsia" w:ascii="MS UI Gothic" w:eastAsia="MS UI Gothic"/>
          <w:w w:val="80"/>
        </w:rPr>
        <w:t xml:space="preserve">、 </w:t>
      </w:r>
      <w:r>
        <w:t>有利于诉讼的原则</w:t>
      </w:r>
      <w:r>
        <w:rPr>
          <w:rFonts w:hint="eastAsia" w:ascii="MS UI Gothic" w:eastAsia="MS UI Gothic"/>
          <w:w w:val="80"/>
        </w:rPr>
        <w:t xml:space="preserve">ꎬ </w:t>
      </w:r>
      <w:r>
        <w:t>由共同的上级公安机关协调确定的公安机关立案侦查</w:t>
      </w:r>
      <w:r>
        <w:rPr>
          <w:rFonts w:hint="eastAsia" w:ascii="MS UI Gothic" w:eastAsia="MS UI Gothic"/>
          <w:w w:val="80"/>
        </w:rPr>
        <w:t xml:space="preserve">ꎬ </w:t>
      </w:r>
      <w:r>
        <w:t>需要提请批准逮捕</w:t>
      </w:r>
      <w:r>
        <w:rPr>
          <w:rFonts w:hint="eastAsia" w:ascii="MS UI Gothic" w:eastAsia="MS UI Gothic"/>
          <w:w w:val="80"/>
        </w:rPr>
        <w:t xml:space="preserve">、 </w:t>
      </w:r>
      <w:r>
        <w:t>移送审查起诉</w:t>
      </w:r>
      <w:r>
        <w:rPr>
          <w:rFonts w:hint="eastAsia" w:ascii="MS UI Gothic" w:eastAsia="MS UI Gothic"/>
          <w:w w:val="80"/>
        </w:rPr>
        <w:t>、</w:t>
      </w:r>
      <w:r>
        <w:t>提起公诉的</w:t>
      </w:r>
      <w:r>
        <w:rPr>
          <w:rFonts w:hint="eastAsia" w:ascii="MS UI Gothic" w:eastAsia="MS UI Gothic"/>
          <w:w w:val="80"/>
        </w:rPr>
        <w:t xml:space="preserve">ꎬ </w:t>
      </w:r>
      <w:r>
        <w:t>由该公安机关所在地的人民检察院</w:t>
      </w:r>
      <w:r>
        <w:rPr>
          <w:rFonts w:hint="eastAsia" w:ascii="MS UI Gothic" w:eastAsia="MS UI Gothic"/>
          <w:w w:val="80"/>
        </w:rPr>
        <w:t xml:space="preserve">、 </w:t>
      </w:r>
      <w:r>
        <w:t>人民法院受理</w:t>
      </w:r>
      <w:r>
        <w:rPr>
          <w:rFonts w:hint="eastAsia" w:ascii="MS UI Gothic" w:eastAsia="MS UI Gothic"/>
          <w:w w:val="80"/>
        </w:rPr>
        <w:t>ꎮ</w:t>
      </w:r>
    </w:p>
    <w:p>
      <w:pPr>
        <w:pStyle w:val="6"/>
        <w:spacing w:line="250" w:lineRule="exact"/>
        <w:ind w:left="854" w:firstLine="0"/>
      </w:pPr>
      <w:r>
        <w:rPr>
          <w:rFonts w:hint="eastAsia" w:ascii="MS UI Gothic" w:eastAsia="MS UI Gothic"/>
        </w:rPr>
        <w:t xml:space="preserve">１３ </w:t>
      </w:r>
      <w:r>
        <w:t>关于危险废物的认定</w:t>
      </w:r>
    </w:p>
    <w:p>
      <w:pPr>
        <w:pStyle w:val="6"/>
        <w:spacing w:before="54" w:line="295" w:lineRule="auto"/>
        <w:ind w:left="440"/>
      </w:pPr>
      <w:r>
        <w:rPr>
          <w:spacing w:val="2"/>
        </w:rPr>
        <w:t>会议针对危险废物如何认定以及是否</w:t>
      </w:r>
      <w:r>
        <w:rPr>
          <w:spacing w:val="5"/>
        </w:rPr>
        <w:t>需要鉴定的问题进行了讨论</w:t>
      </w:r>
      <w:r>
        <w:rPr>
          <w:rFonts w:hint="eastAsia" w:ascii="MS UI Gothic" w:hAnsi="MS UI Gothic" w:eastAsia="MS UI Gothic"/>
          <w:spacing w:val="22"/>
          <w:w w:val="80"/>
        </w:rPr>
        <w:t xml:space="preserve">ꎮ </w:t>
      </w:r>
      <w:r>
        <w:rPr>
          <w:spacing w:val="10"/>
        </w:rPr>
        <w:t>会议认为</w:t>
      </w:r>
      <w:r>
        <w:rPr>
          <w:rFonts w:hint="eastAsia" w:ascii="MS UI Gothic" w:hAnsi="MS UI Gothic" w:eastAsia="MS UI Gothic"/>
          <w:w w:val="80"/>
        </w:rPr>
        <w:t>ꎬ</w:t>
      </w:r>
      <w:r>
        <w:rPr>
          <w:spacing w:val="-1"/>
        </w:rPr>
        <w:t xml:space="preserve">根据 </w:t>
      </w:r>
      <w:r>
        <w:rPr>
          <w:rFonts w:hint="eastAsia" w:ascii="MS UI Gothic" w:hAnsi="MS UI Gothic" w:eastAsia="MS UI Gothic"/>
          <w:spacing w:val="-21"/>
        </w:rPr>
        <w:t xml:space="preserve">« </w:t>
      </w:r>
      <w:r>
        <w:rPr>
          <w:spacing w:val="16"/>
        </w:rPr>
        <w:t>环境解释</w:t>
      </w:r>
      <w:r>
        <w:rPr>
          <w:rFonts w:hint="eastAsia" w:ascii="MS UI Gothic" w:hAnsi="MS UI Gothic" w:eastAsia="MS UI Gothic"/>
          <w:spacing w:val="1"/>
        </w:rPr>
        <w:t xml:space="preserve">» </w:t>
      </w:r>
      <w:r>
        <w:rPr>
          <w:spacing w:val="15"/>
        </w:rPr>
        <w:t>的规定精神</w:t>
      </w:r>
      <w:r>
        <w:rPr>
          <w:rFonts w:hint="eastAsia" w:ascii="MS UI Gothic" w:hAnsi="MS UI Gothic" w:eastAsia="MS UI Gothic"/>
          <w:spacing w:val="4"/>
          <w:w w:val="80"/>
        </w:rPr>
        <w:t xml:space="preserve">ꎬ </w:t>
      </w:r>
      <w:r>
        <w:rPr>
          <w:spacing w:val="12"/>
        </w:rPr>
        <w:t>对于列</w:t>
      </w:r>
      <w:r>
        <w:rPr>
          <w:spacing w:val="4"/>
        </w:rPr>
        <w:t xml:space="preserve">入 </w:t>
      </w:r>
      <w:r>
        <w:rPr>
          <w:rFonts w:hint="eastAsia" w:ascii="MS UI Gothic" w:hAnsi="MS UI Gothic" w:eastAsia="MS UI Gothic"/>
          <w:spacing w:val="-21"/>
        </w:rPr>
        <w:t xml:space="preserve">« </w:t>
      </w:r>
      <w:r>
        <w:rPr>
          <w:spacing w:val="14"/>
        </w:rPr>
        <w:t>国家危险废物名录</w:t>
      </w:r>
      <w:r>
        <w:rPr>
          <w:rFonts w:hint="eastAsia" w:ascii="MS UI Gothic" w:hAnsi="MS UI Gothic" w:eastAsia="MS UI Gothic"/>
          <w:spacing w:val="1"/>
        </w:rPr>
        <w:t xml:space="preserve">» </w:t>
      </w:r>
      <w:r>
        <w:rPr>
          <w:spacing w:val="3"/>
        </w:rPr>
        <w:t>的</w:t>
      </w:r>
      <w:r>
        <w:rPr>
          <w:rFonts w:hint="eastAsia" w:ascii="MS UI Gothic" w:hAnsi="MS UI Gothic" w:eastAsia="MS UI Gothic"/>
          <w:spacing w:val="4"/>
          <w:w w:val="80"/>
        </w:rPr>
        <w:t xml:space="preserve">ꎬ </w:t>
      </w:r>
      <w:r>
        <w:rPr>
          <w:spacing w:val="14"/>
        </w:rPr>
        <w:t>如果来源</w:t>
      </w:r>
      <w:r>
        <w:rPr>
          <w:spacing w:val="3"/>
        </w:rPr>
        <w:t>和相应特征明确</w:t>
      </w:r>
      <w:r>
        <w:rPr>
          <w:rFonts w:hint="eastAsia" w:ascii="MS UI Gothic" w:hAnsi="MS UI Gothic" w:eastAsia="MS UI Gothic"/>
          <w:spacing w:val="21"/>
          <w:w w:val="80"/>
        </w:rPr>
        <w:t xml:space="preserve">ꎬ </w:t>
      </w:r>
      <w:r>
        <w:rPr>
          <w:spacing w:val="2"/>
        </w:rPr>
        <w:t>司法人员根据自身专业</w:t>
      </w:r>
      <w:r>
        <w:rPr>
          <w:spacing w:val="3"/>
        </w:rPr>
        <w:t>技术知识和工作经验认定难度不大的</w:t>
      </w:r>
      <w:r>
        <w:rPr>
          <w:rFonts w:hint="eastAsia" w:ascii="MS UI Gothic" w:hAnsi="MS UI Gothic" w:eastAsia="MS UI Gothic"/>
          <w:spacing w:val="21"/>
          <w:w w:val="80"/>
        </w:rPr>
        <w:t xml:space="preserve">ꎬ </w:t>
      </w:r>
      <w:r>
        <w:t>司</w:t>
      </w:r>
      <w:r>
        <w:rPr>
          <w:spacing w:val="3"/>
        </w:rPr>
        <w:t>法机关可以依据名录直接认定</w:t>
      </w:r>
      <w:r>
        <w:rPr>
          <w:rFonts w:hint="eastAsia" w:ascii="MS UI Gothic" w:hAnsi="MS UI Gothic" w:eastAsia="MS UI Gothic"/>
          <w:spacing w:val="21"/>
          <w:w w:val="80"/>
        </w:rPr>
        <w:t xml:space="preserve">ꎮ </w:t>
      </w:r>
      <w:r>
        <w:rPr>
          <w:spacing w:val="2"/>
        </w:rPr>
        <w:t>对于来源</w:t>
      </w:r>
      <w:r>
        <w:rPr>
          <w:spacing w:val="5"/>
        </w:rPr>
        <w:t>和相应特征不明确的</w:t>
      </w:r>
      <w:r>
        <w:rPr>
          <w:rFonts w:hint="eastAsia" w:ascii="MS UI Gothic" w:hAnsi="MS UI Gothic" w:eastAsia="MS UI Gothic"/>
          <w:spacing w:val="10"/>
          <w:w w:val="80"/>
        </w:rPr>
        <w:t xml:space="preserve">ꎬ </w:t>
      </w:r>
      <w:r>
        <w:rPr>
          <w:spacing w:val="11"/>
        </w:rPr>
        <w:t>由生态环境部门</w:t>
      </w:r>
      <w:r>
        <w:rPr>
          <w:rFonts w:hint="eastAsia" w:ascii="MS UI Gothic" w:hAnsi="MS UI Gothic" w:eastAsia="MS UI Gothic"/>
        </w:rPr>
        <w:t>、</w:t>
      </w:r>
      <w:r>
        <w:rPr>
          <w:spacing w:val="3"/>
        </w:rPr>
        <w:t>公安机关等出具书面意见</w:t>
      </w:r>
      <w:r>
        <w:rPr>
          <w:rFonts w:hint="eastAsia" w:ascii="MS UI Gothic" w:hAnsi="MS UI Gothic" w:eastAsia="MS UI Gothic"/>
          <w:spacing w:val="21"/>
          <w:w w:val="80"/>
        </w:rPr>
        <w:t xml:space="preserve">ꎬ </w:t>
      </w:r>
      <w:r>
        <w:rPr>
          <w:spacing w:val="2"/>
        </w:rPr>
        <w:t>司法机关可以</w:t>
      </w:r>
      <w:r>
        <w:rPr>
          <w:spacing w:val="3"/>
        </w:rPr>
        <w:t>依据涉案物质的来源</w:t>
      </w:r>
      <w:r>
        <w:rPr>
          <w:rFonts w:hint="eastAsia" w:ascii="MS UI Gothic" w:hAnsi="MS UI Gothic" w:eastAsia="MS UI Gothic"/>
          <w:spacing w:val="29"/>
        </w:rPr>
        <w:t xml:space="preserve">、 </w:t>
      </w:r>
      <w:r>
        <w:rPr>
          <w:spacing w:val="3"/>
        </w:rPr>
        <w:t>产生过程</w:t>
      </w:r>
      <w:r>
        <w:rPr>
          <w:rFonts w:hint="eastAsia" w:ascii="MS UI Gothic" w:hAnsi="MS UI Gothic" w:eastAsia="MS UI Gothic"/>
          <w:spacing w:val="30"/>
        </w:rPr>
        <w:t xml:space="preserve">、 </w:t>
      </w:r>
      <w:r>
        <w:rPr>
          <w:spacing w:val="2"/>
        </w:rPr>
        <w:t>被告人</w:t>
      </w:r>
      <w:r>
        <w:rPr>
          <w:spacing w:val="3"/>
        </w:rPr>
        <w:t>供述</w:t>
      </w:r>
      <w:r>
        <w:rPr>
          <w:rFonts w:hint="eastAsia" w:ascii="MS UI Gothic" w:hAnsi="MS UI Gothic" w:eastAsia="MS UI Gothic"/>
          <w:spacing w:val="20"/>
        </w:rPr>
        <w:t xml:space="preserve">、 </w:t>
      </w:r>
      <w:r>
        <w:rPr>
          <w:spacing w:val="2"/>
        </w:rPr>
        <w:t>证人证言以及经批准或者备案的环</w:t>
      </w:r>
      <w:r>
        <w:rPr>
          <w:spacing w:val="3"/>
        </w:rPr>
        <w:t>境影响评价文件等证据</w:t>
      </w:r>
      <w:r>
        <w:rPr>
          <w:rFonts w:hint="eastAsia" w:ascii="MS UI Gothic" w:hAnsi="MS UI Gothic" w:eastAsia="MS UI Gothic"/>
          <w:spacing w:val="21"/>
          <w:w w:val="80"/>
        </w:rPr>
        <w:t xml:space="preserve">ꎬ </w:t>
      </w:r>
      <w:r>
        <w:rPr>
          <w:spacing w:val="2"/>
        </w:rPr>
        <w:t>结合上述书面意</w:t>
      </w:r>
      <w:r>
        <w:rPr>
          <w:spacing w:val="3"/>
        </w:rPr>
        <w:t>见作出是否属于危险废物的认定</w:t>
      </w:r>
      <w:r>
        <w:rPr>
          <w:rFonts w:hint="eastAsia" w:ascii="MS UI Gothic" w:hAnsi="MS UI Gothic" w:eastAsia="MS UI Gothic"/>
          <w:spacing w:val="21"/>
          <w:w w:val="80"/>
        </w:rPr>
        <w:t xml:space="preserve">ꎮ </w:t>
      </w:r>
      <w:r>
        <w:rPr>
          <w:spacing w:val="1"/>
        </w:rPr>
        <w:t>对于需</w:t>
      </w:r>
      <w:r>
        <w:rPr>
          <w:spacing w:val="3"/>
        </w:rPr>
        <w:t>要生态环境部门</w:t>
      </w:r>
      <w:r>
        <w:rPr>
          <w:rFonts w:hint="eastAsia" w:ascii="MS UI Gothic" w:hAnsi="MS UI Gothic" w:eastAsia="MS UI Gothic"/>
          <w:spacing w:val="20"/>
        </w:rPr>
        <w:t xml:space="preserve">、 </w:t>
      </w:r>
      <w:r>
        <w:rPr>
          <w:spacing w:val="2"/>
        </w:rPr>
        <w:t>公安机关等出具书面认</w:t>
      </w:r>
      <w:r>
        <w:rPr>
          <w:spacing w:val="3"/>
          <w:w w:val="102"/>
        </w:rPr>
        <w:t>定意见的</w:t>
      </w:r>
      <w:r>
        <w:rPr>
          <w:rFonts w:hint="eastAsia" w:ascii="MS UI Gothic" w:hAnsi="MS UI Gothic" w:eastAsia="MS UI Gothic"/>
          <w:w w:val="51"/>
        </w:rPr>
        <w:t>ꎬ</w:t>
      </w:r>
      <w:r>
        <w:rPr>
          <w:rFonts w:hint="eastAsia" w:ascii="MS UI Gothic" w:hAnsi="MS UI Gothic" w:eastAsia="MS UI Gothic"/>
          <w:spacing w:val="-8"/>
        </w:rPr>
        <w:t xml:space="preserve">  </w:t>
      </w:r>
      <w:r>
        <w:rPr>
          <w:spacing w:val="3"/>
          <w:w w:val="102"/>
        </w:rPr>
        <w:t>区分下列情况分别处理</w:t>
      </w:r>
      <w:r>
        <w:rPr>
          <w:rFonts w:hint="eastAsia" w:ascii="MS UI Gothic" w:hAnsi="MS UI Gothic" w:eastAsia="MS UI Gothic"/>
          <w:w w:val="253"/>
        </w:rPr>
        <w:t>:</w:t>
      </w:r>
      <w:r>
        <w:rPr>
          <w:rFonts w:hint="eastAsia" w:ascii="MS UI Gothic" w:hAnsi="MS UI Gothic" w:eastAsia="MS UI Gothic"/>
          <w:spacing w:val="8"/>
        </w:rPr>
        <w:t xml:space="preserve">  </w:t>
      </w:r>
      <w:r>
        <w:rPr>
          <w:rFonts w:hint="eastAsia" w:ascii="MS UI Gothic" w:hAnsi="MS UI Gothic" w:eastAsia="MS UI Gothic"/>
          <w:spacing w:val="19"/>
          <w:w w:val="168"/>
        </w:rPr>
        <w:t>(</w:t>
      </w:r>
      <w:r>
        <w:rPr>
          <w:rFonts w:hint="eastAsia" w:ascii="MS UI Gothic" w:hAnsi="MS UI Gothic" w:eastAsia="MS UI Gothic"/>
          <w:spacing w:val="9"/>
          <w:w w:val="75"/>
        </w:rPr>
        <w:t>１</w:t>
      </w:r>
      <w:r>
        <w:rPr>
          <w:rFonts w:hint="eastAsia" w:ascii="MS UI Gothic" w:hAnsi="MS UI Gothic" w:eastAsia="MS UI Gothic"/>
          <w:w w:val="168"/>
        </w:rPr>
        <w:t>)</w:t>
      </w:r>
      <w:r>
        <w:rPr>
          <w:spacing w:val="3"/>
        </w:rPr>
        <w:t>对已确认固体废物产生单位</w:t>
      </w:r>
      <w:r>
        <w:rPr>
          <w:rFonts w:hint="eastAsia" w:ascii="MS UI Gothic" w:hAnsi="MS UI Gothic" w:eastAsia="MS UI Gothic"/>
          <w:spacing w:val="21"/>
          <w:w w:val="80"/>
        </w:rPr>
        <w:t xml:space="preserve">ꎬ </w:t>
      </w:r>
      <w:r>
        <w:rPr>
          <w:spacing w:val="2"/>
        </w:rPr>
        <w:t>且产废单位</w:t>
      </w:r>
      <w:r>
        <w:rPr>
          <w:spacing w:val="3"/>
        </w:rPr>
        <w:t>环评文件中明确为危险废物的</w:t>
      </w:r>
      <w:r>
        <w:rPr>
          <w:rFonts w:hint="eastAsia" w:ascii="MS UI Gothic" w:hAnsi="MS UI Gothic" w:eastAsia="MS UI Gothic"/>
          <w:spacing w:val="21"/>
          <w:w w:val="80"/>
        </w:rPr>
        <w:t xml:space="preserve">ꎬ </w:t>
      </w:r>
      <w:r>
        <w:rPr>
          <w:spacing w:val="2"/>
        </w:rPr>
        <w:t>根据产废</w:t>
      </w:r>
      <w:r>
        <w:rPr>
          <w:spacing w:val="13"/>
        </w:rPr>
        <w:t>单位建设项目环评文件和审批</w:t>
      </w:r>
      <w:r>
        <w:rPr>
          <w:rFonts w:hint="eastAsia" w:ascii="MS UI Gothic" w:hAnsi="MS UI Gothic" w:eastAsia="MS UI Gothic"/>
          <w:spacing w:val="26"/>
        </w:rPr>
        <w:t xml:space="preserve">、 </w:t>
      </w:r>
      <w:r>
        <w:rPr>
          <w:spacing w:val="14"/>
        </w:rPr>
        <w:t>验收意</w:t>
      </w:r>
      <w:r>
        <w:rPr>
          <w:spacing w:val="3"/>
        </w:rPr>
        <w:t>见</w:t>
      </w:r>
      <w:r>
        <w:rPr>
          <w:rFonts w:hint="eastAsia" w:ascii="MS UI Gothic" w:hAnsi="MS UI Gothic" w:eastAsia="MS UI Gothic"/>
          <w:spacing w:val="20"/>
        </w:rPr>
        <w:t xml:space="preserve">、 </w:t>
      </w:r>
      <w:r>
        <w:rPr>
          <w:spacing w:val="16"/>
        </w:rPr>
        <w:t>案件笔录等材料</w:t>
      </w:r>
      <w:r>
        <w:rPr>
          <w:rFonts w:hint="eastAsia" w:ascii="MS UI Gothic" w:hAnsi="MS UI Gothic" w:eastAsia="MS UI Gothic"/>
          <w:spacing w:val="3"/>
          <w:w w:val="80"/>
        </w:rPr>
        <w:t xml:space="preserve">ꎬ </w:t>
      </w:r>
      <w:r>
        <w:rPr>
          <w:spacing w:val="10"/>
        </w:rPr>
        <w:t xml:space="preserve">可对照 </w:t>
      </w:r>
      <w:r>
        <w:rPr>
          <w:rFonts w:hint="eastAsia" w:ascii="MS UI Gothic" w:hAnsi="MS UI Gothic" w:eastAsia="MS UI Gothic"/>
          <w:spacing w:val="-17"/>
        </w:rPr>
        <w:t xml:space="preserve">« </w:t>
      </w:r>
      <w:r>
        <w:rPr>
          <w:spacing w:val="12"/>
        </w:rPr>
        <w:t>国家危</w:t>
      </w:r>
      <w:r>
        <w:rPr>
          <w:spacing w:val="3"/>
          <w:w w:val="102"/>
        </w:rPr>
        <w:t>险废物名录</w:t>
      </w:r>
      <w:r>
        <w:rPr>
          <w:rFonts w:hint="eastAsia" w:ascii="MS UI Gothic" w:hAnsi="MS UI Gothic" w:eastAsia="MS UI Gothic"/>
          <w:w w:val="76"/>
        </w:rPr>
        <w:t>»</w:t>
      </w:r>
      <w:r>
        <w:rPr>
          <w:rFonts w:hint="eastAsia" w:ascii="MS UI Gothic" w:hAnsi="MS UI Gothic" w:eastAsia="MS UI Gothic"/>
          <w:spacing w:val="5"/>
        </w:rPr>
        <w:t xml:space="preserve">  </w:t>
      </w:r>
      <w:r>
        <w:rPr>
          <w:spacing w:val="11"/>
          <w:w w:val="102"/>
        </w:rPr>
        <w:t>等出具认定意见</w:t>
      </w:r>
      <w:r>
        <w:rPr>
          <w:rFonts w:hint="eastAsia" w:ascii="MS UI Gothic" w:hAnsi="MS UI Gothic" w:eastAsia="MS UI Gothic"/>
          <w:w w:val="51"/>
        </w:rPr>
        <w:t>ꎮ</w:t>
      </w:r>
      <w:r>
        <w:rPr>
          <w:rFonts w:hint="eastAsia" w:ascii="MS UI Gothic" w:hAnsi="MS UI Gothic" w:eastAsia="MS UI Gothic"/>
          <w:spacing w:val="-2"/>
        </w:rPr>
        <w:t xml:space="preserve">   </w:t>
      </w:r>
      <w:r>
        <w:rPr>
          <w:rFonts w:hint="eastAsia" w:ascii="MS UI Gothic" w:hAnsi="MS UI Gothic" w:eastAsia="MS UI Gothic"/>
          <w:w w:val="168"/>
        </w:rPr>
        <w:t>(</w:t>
      </w:r>
      <w:r>
        <w:rPr>
          <w:rFonts w:hint="eastAsia" w:ascii="MS UI Gothic" w:hAnsi="MS UI Gothic" w:eastAsia="MS UI Gothic"/>
          <w:spacing w:val="-40"/>
        </w:rPr>
        <w:t xml:space="preserve"> </w:t>
      </w:r>
      <w:r>
        <w:rPr>
          <w:rFonts w:hint="eastAsia" w:ascii="MS UI Gothic" w:hAnsi="MS UI Gothic" w:eastAsia="MS UI Gothic"/>
          <w:spacing w:val="11"/>
          <w:w w:val="75"/>
        </w:rPr>
        <w:t>２</w:t>
      </w:r>
      <w:r>
        <w:rPr>
          <w:rFonts w:hint="eastAsia" w:ascii="MS UI Gothic" w:hAnsi="MS UI Gothic" w:eastAsia="MS UI Gothic"/>
          <w:w w:val="168"/>
        </w:rPr>
        <w:t>)</w:t>
      </w:r>
      <w:r>
        <w:rPr>
          <w:rFonts w:hint="eastAsia" w:ascii="MS UI Gothic" w:hAnsi="MS UI Gothic" w:eastAsia="MS UI Gothic"/>
          <w:spacing w:val="5"/>
        </w:rPr>
        <w:t xml:space="preserve">  </w:t>
      </w:r>
      <w:r>
        <w:rPr>
          <w:w w:val="102"/>
        </w:rPr>
        <w:t>对</w:t>
      </w:r>
      <w:r>
        <w:rPr>
          <w:spacing w:val="3"/>
        </w:rPr>
        <w:t>已确认固体废物产生单位</w:t>
      </w:r>
      <w:r>
        <w:rPr>
          <w:rFonts w:hint="eastAsia" w:ascii="MS UI Gothic" w:hAnsi="MS UI Gothic" w:eastAsia="MS UI Gothic"/>
          <w:spacing w:val="21"/>
          <w:w w:val="80"/>
        </w:rPr>
        <w:t xml:space="preserve">ꎬ </w:t>
      </w:r>
      <w:r>
        <w:rPr>
          <w:spacing w:val="2"/>
        </w:rPr>
        <w:t>但产废单位环</w:t>
      </w:r>
      <w:r>
        <w:rPr>
          <w:spacing w:val="3"/>
        </w:rPr>
        <w:t>评文件中未明确为危险废物的</w:t>
      </w:r>
      <w:r>
        <w:rPr>
          <w:rFonts w:hint="eastAsia" w:ascii="MS UI Gothic" w:hAnsi="MS UI Gothic" w:eastAsia="MS UI Gothic"/>
          <w:spacing w:val="21"/>
          <w:w w:val="80"/>
        </w:rPr>
        <w:t xml:space="preserve">ꎬ </w:t>
      </w:r>
      <w:r>
        <w:rPr>
          <w:spacing w:val="2"/>
        </w:rPr>
        <w:t>应进一步</w:t>
      </w:r>
      <w:r>
        <w:rPr>
          <w:spacing w:val="3"/>
        </w:rPr>
        <w:t>分析废物产生工艺</w:t>
      </w:r>
      <w:r>
        <w:rPr>
          <w:rFonts w:hint="eastAsia" w:ascii="MS UI Gothic" w:hAnsi="MS UI Gothic" w:eastAsia="MS UI Gothic"/>
          <w:spacing w:val="15"/>
          <w:w w:val="80"/>
        </w:rPr>
        <w:t xml:space="preserve">ꎬ  </w:t>
      </w:r>
      <w:r>
        <w:rPr>
          <w:spacing w:val="2"/>
        </w:rPr>
        <w:t>对照判断其是否列入</w:t>
      </w:r>
    </w:p>
    <w:p>
      <w:pPr>
        <w:pStyle w:val="6"/>
        <w:spacing w:line="238" w:lineRule="exact"/>
        <w:ind w:left="440" w:firstLine="0"/>
      </w:pPr>
      <w:r>
        <w:rPr>
          <w:rFonts w:hint="eastAsia" w:ascii="MS UI Gothic" w:hAnsi="MS UI Gothic" w:eastAsia="MS UI Gothic"/>
          <w:spacing w:val="-23"/>
        </w:rPr>
        <w:t xml:space="preserve">« </w:t>
      </w:r>
      <w:r>
        <w:rPr>
          <w:spacing w:val="12"/>
        </w:rPr>
        <w:t>国家危险废物名录</w:t>
      </w:r>
      <w:r>
        <w:rPr>
          <w:rFonts w:hint="eastAsia" w:ascii="MS UI Gothic" w:hAnsi="MS UI Gothic" w:eastAsia="MS UI Gothic"/>
          <w:spacing w:val="-22"/>
        </w:rPr>
        <w:t xml:space="preserve">» </w:t>
      </w:r>
      <w:r>
        <w:rPr>
          <w:rFonts w:hint="eastAsia" w:ascii="MS UI Gothic" w:hAnsi="MS UI Gothic" w:eastAsia="MS UI Gothic"/>
          <w:spacing w:val="21"/>
          <w:w w:val="80"/>
        </w:rPr>
        <w:t xml:space="preserve">ꎮ </w:t>
      </w:r>
      <w:r>
        <w:rPr>
          <w:spacing w:val="14"/>
        </w:rPr>
        <w:t>列入名录的可以</w:t>
      </w:r>
    </w:p>
    <w:p>
      <w:pPr>
        <w:pStyle w:val="6"/>
        <w:spacing w:before="58"/>
        <w:ind w:left="440" w:firstLine="0"/>
      </w:pPr>
      <w:r>
        <w:rPr>
          <w:spacing w:val="3"/>
        </w:rPr>
        <w:t>直接出具认定意见</w:t>
      </w:r>
      <w:r>
        <w:rPr>
          <w:rFonts w:hint="eastAsia" w:ascii="MS UI Gothic" w:eastAsia="MS UI Gothic"/>
          <w:spacing w:val="22"/>
          <w:w w:val="80"/>
        </w:rPr>
        <w:t xml:space="preserve">ꎻ </w:t>
      </w:r>
      <w:r>
        <w:rPr>
          <w:spacing w:val="3"/>
        </w:rPr>
        <w:t>未列入名录的</w:t>
      </w:r>
      <w:r>
        <w:rPr>
          <w:rFonts w:hint="eastAsia" w:ascii="MS UI Gothic" w:eastAsia="MS UI Gothic"/>
          <w:spacing w:val="23"/>
          <w:w w:val="80"/>
        </w:rPr>
        <w:t xml:space="preserve">ꎬ </w:t>
      </w:r>
      <w:r>
        <w:rPr>
          <w:spacing w:val="1"/>
        </w:rPr>
        <w:t>应根</w:t>
      </w:r>
    </w:p>
    <w:p>
      <w:pPr>
        <w:pStyle w:val="6"/>
        <w:spacing w:before="124" w:line="292" w:lineRule="auto"/>
        <w:ind w:left="381" w:right="124" w:firstLine="0"/>
        <w:rPr>
          <w:rFonts w:hint="eastAsia" w:ascii="MS UI Gothic" w:hAnsi="MS UI Gothic" w:eastAsia="MS UI Gothic"/>
        </w:rPr>
      </w:pPr>
      <w:r>
        <w:br w:type="column"/>
      </w:r>
      <w:r>
        <w:rPr>
          <w:spacing w:val="3"/>
        </w:rPr>
        <w:t>据原辅材料</w:t>
      </w:r>
      <w:r>
        <w:rPr>
          <w:rFonts w:hint="eastAsia" w:ascii="MS UI Gothic" w:hAnsi="MS UI Gothic" w:eastAsia="MS UI Gothic"/>
          <w:spacing w:val="18"/>
        </w:rPr>
        <w:t xml:space="preserve">、 </w:t>
      </w:r>
      <w:r>
        <w:rPr>
          <w:spacing w:val="2"/>
        </w:rPr>
        <w:t>产生工艺等进一步分析其是</w:t>
      </w:r>
      <w:r>
        <w:rPr>
          <w:spacing w:val="12"/>
        </w:rPr>
        <w:t>否具有危险特性</w:t>
      </w:r>
      <w:r>
        <w:rPr>
          <w:rFonts w:hint="eastAsia" w:ascii="MS UI Gothic" w:hAnsi="MS UI Gothic" w:eastAsia="MS UI Gothic"/>
          <w:spacing w:val="9"/>
          <w:w w:val="90"/>
        </w:rPr>
        <w:t xml:space="preserve">ꎬ </w:t>
      </w:r>
      <w:r>
        <w:rPr>
          <w:spacing w:val="16"/>
        </w:rPr>
        <w:t>不可能具有危险特性</w:t>
      </w:r>
      <w:r>
        <w:rPr>
          <w:spacing w:val="3"/>
        </w:rPr>
        <w:t>的</w:t>
      </w:r>
      <w:r>
        <w:rPr>
          <w:rFonts w:hint="eastAsia" w:ascii="MS UI Gothic" w:hAnsi="MS UI Gothic" w:eastAsia="MS UI Gothic"/>
          <w:spacing w:val="11"/>
          <w:w w:val="90"/>
        </w:rPr>
        <w:t xml:space="preserve">ꎬ </w:t>
      </w:r>
      <w:r>
        <w:rPr>
          <w:spacing w:val="3"/>
        </w:rPr>
        <w:t>不属于危险废物</w:t>
      </w:r>
      <w:r>
        <w:rPr>
          <w:rFonts w:hint="eastAsia" w:ascii="MS UI Gothic" w:hAnsi="MS UI Gothic" w:eastAsia="MS UI Gothic"/>
          <w:spacing w:val="11"/>
          <w:w w:val="90"/>
        </w:rPr>
        <w:t xml:space="preserve">ꎻ </w:t>
      </w:r>
      <w:r>
        <w:rPr>
          <w:spacing w:val="2"/>
        </w:rPr>
        <w:t>可能具有危险特性</w:t>
      </w:r>
      <w:r>
        <w:rPr>
          <w:spacing w:val="3"/>
        </w:rPr>
        <w:t>的</w:t>
      </w:r>
      <w:r>
        <w:rPr>
          <w:rFonts w:hint="eastAsia" w:ascii="MS UI Gothic" w:hAnsi="MS UI Gothic" w:eastAsia="MS UI Gothic"/>
          <w:spacing w:val="11"/>
          <w:w w:val="90"/>
        </w:rPr>
        <w:t xml:space="preserve">ꎬ </w:t>
      </w:r>
      <w:r>
        <w:rPr>
          <w:spacing w:val="3"/>
        </w:rPr>
        <w:t>抽取典型样品进行检测</w:t>
      </w:r>
      <w:r>
        <w:rPr>
          <w:rFonts w:hint="eastAsia" w:ascii="MS UI Gothic" w:hAnsi="MS UI Gothic" w:eastAsia="MS UI Gothic"/>
          <w:spacing w:val="11"/>
          <w:w w:val="90"/>
        </w:rPr>
        <w:t xml:space="preserve">ꎬ </w:t>
      </w:r>
      <w:r>
        <w:rPr>
          <w:spacing w:val="2"/>
        </w:rPr>
        <w:t>并根据典型</w:t>
      </w:r>
      <w:r>
        <w:rPr>
          <w:spacing w:val="10"/>
        </w:rPr>
        <w:t>样品检测指标浓度</w:t>
      </w:r>
      <w:r>
        <w:rPr>
          <w:rFonts w:hint="eastAsia" w:ascii="MS UI Gothic" w:hAnsi="MS UI Gothic" w:eastAsia="MS UI Gothic"/>
          <w:spacing w:val="27"/>
          <w:w w:val="90"/>
        </w:rPr>
        <w:t xml:space="preserve">ꎬ </w:t>
      </w:r>
      <w:r>
        <w:rPr>
          <w:spacing w:val="10"/>
        </w:rPr>
        <w:t xml:space="preserve">对照 </w:t>
      </w:r>
      <w:r>
        <w:rPr>
          <w:rFonts w:hint="eastAsia" w:ascii="MS UI Gothic" w:hAnsi="MS UI Gothic" w:eastAsia="MS UI Gothic"/>
          <w:spacing w:val="-16"/>
        </w:rPr>
        <w:t xml:space="preserve">« </w:t>
      </w:r>
      <w:r>
        <w:rPr>
          <w:spacing w:val="16"/>
        </w:rPr>
        <w:t>危险废物鉴</w:t>
      </w:r>
      <w:r>
        <w:rPr>
          <w:spacing w:val="3"/>
          <w:w w:val="102"/>
        </w:rPr>
        <w:t>别标准</w:t>
      </w:r>
      <w:r>
        <w:rPr>
          <w:rFonts w:hint="eastAsia" w:ascii="MS UI Gothic" w:hAnsi="MS UI Gothic" w:eastAsia="MS UI Gothic"/>
          <w:w w:val="76"/>
        </w:rPr>
        <w:t>»</w:t>
      </w:r>
      <w:r>
        <w:rPr>
          <w:rFonts w:hint="eastAsia" w:ascii="MS UI Gothic" w:hAnsi="MS UI Gothic" w:eastAsia="MS UI Gothic"/>
          <w:spacing w:val="8"/>
        </w:rPr>
        <w:t xml:space="preserve">  </w:t>
      </w:r>
      <w:r>
        <w:rPr>
          <w:rFonts w:hint="eastAsia" w:ascii="MS UI Gothic" w:hAnsi="MS UI Gothic" w:eastAsia="MS UI Gothic"/>
          <w:w w:val="168"/>
        </w:rPr>
        <w:t>(</w:t>
      </w:r>
      <w:r>
        <w:rPr>
          <w:rFonts w:hint="eastAsia" w:ascii="MS UI Gothic" w:hAnsi="MS UI Gothic" w:eastAsia="MS UI Gothic"/>
          <w:spacing w:val="-34"/>
        </w:rPr>
        <w:t xml:space="preserve"> </w:t>
      </w:r>
      <w:r>
        <w:rPr>
          <w:rFonts w:hint="eastAsia" w:ascii="MS UI Gothic" w:hAnsi="MS UI Gothic" w:eastAsia="MS UI Gothic"/>
          <w:spacing w:val="-2"/>
          <w:w w:val="88"/>
        </w:rPr>
        <w:t>Ｇ</w:t>
      </w:r>
      <w:r>
        <w:rPr>
          <w:rFonts w:hint="eastAsia" w:ascii="MS UI Gothic" w:hAnsi="MS UI Gothic" w:eastAsia="MS UI Gothic"/>
          <w:w w:val="80"/>
        </w:rPr>
        <w:t>Ｂ</w:t>
      </w:r>
      <w:r>
        <w:rPr>
          <w:rFonts w:hint="eastAsia" w:ascii="MS UI Gothic" w:hAnsi="MS UI Gothic" w:eastAsia="MS UI Gothic"/>
          <w:spacing w:val="-1"/>
          <w:w w:val="75"/>
        </w:rPr>
        <w:t>５０８５</w:t>
      </w:r>
      <w:r>
        <w:rPr>
          <w:rFonts w:hint="eastAsia" w:ascii="MS UI Gothic" w:hAnsi="MS UI Gothic" w:eastAsia="MS UI Gothic"/>
          <w:spacing w:val="-10"/>
        </w:rPr>
        <w:t xml:space="preserve"> </w:t>
      </w:r>
      <w:r>
        <w:rPr>
          <w:rFonts w:hint="eastAsia" w:ascii="MS UI Gothic" w:hAnsi="MS UI Gothic" w:eastAsia="MS UI Gothic"/>
          <w:w w:val="75"/>
        </w:rPr>
        <w:t>１</w:t>
      </w:r>
      <w:r>
        <w:rPr>
          <w:rFonts w:hint="eastAsia" w:ascii="MS UI Gothic" w:hAnsi="MS UI Gothic" w:eastAsia="MS UI Gothic"/>
          <w:spacing w:val="-42"/>
        </w:rPr>
        <w:t xml:space="preserve"> </w:t>
      </w:r>
      <w:r>
        <w:rPr>
          <w:rFonts w:hint="eastAsia" w:ascii="MS UI Gothic" w:hAnsi="MS UI Gothic" w:eastAsia="MS UI Gothic"/>
          <w:w w:val="56"/>
          <w:position w:val="1"/>
        </w:rPr>
        <w:t>－</w:t>
      </w:r>
      <w:r>
        <w:rPr>
          <w:rFonts w:hint="eastAsia" w:ascii="MS UI Gothic" w:hAnsi="MS UI Gothic" w:eastAsia="MS UI Gothic"/>
          <w:spacing w:val="-43"/>
          <w:position w:val="1"/>
        </w:rPr>
        <w:t xml:space="preserve"> </w:t>
      </w:r>
      <w:r>
        <w:rPr>
          <w:rFonts w:hint="eastAsia" w:ascii="MS UI Gothic" w:hAnsi="MS UI Gothic" w:eastAsia="MS UI Gothic"/>
          <w:spacing w:val="11"/>
          <w:w w:val="75"/>
        </w:rPr>
        <w:t>７</w:t>
      </w:r>
      <w:r>
        <w:rPr>
          <w:rFonts w:hint="eastAsia" w:ascii="MS UI Gothic" w:hAnsi="MS UI Gothic" w:eastAsia="MS UI Gothic"/>
          <w:w w:val="168"/>
        </w:rPr>
        <w:t>)</w:t>
      </w:r>
      <w:r>
        <w:rPr>
          <w:rFonts w:hint="eastAsia" w:ascii="MS UI Gothic" w:hAnsi="MS UI Gothic" w:eastAsia="MS UI Gothic"/>
          <w:spacing w:val="5"/>
        </w:rPr>
        <w:t xml:space="preserve">  </w:t>
      </w:r>
      <w:r>
        <w:rPr>
          <w:spacing w:val="8"/>
          <w:w w:val="102"/>
        </w:rPr>
        <w:t>出具认定意见</w:t>
      </w:r>
      <w:r>
        <w:rPr>
          <w:rFonts w:hint="eastAsia" w:ascii="MS UI Gothic" w:hAnsi="MS UI Gothic" w:eastAsia="MS UI Gothic"/>
          <w:w w:val="51"/>
        </w:rPr>
        <w:t xml:space="preserve">ꎮ </w:t>
      </w:r>
      <w:r>
        <w:rPr>
          <w:rFonts w:hint="eastAsia" w:ascii="MS UI Gothic" w:hAnsi="MS UI Gothic" w:eastAsia="MS UI Gothic"/>
          <w:spacing w:val="15"/>
          <w:w w:val="168"/>
        </w:rPr>
        <w:t>(</w:t>
      </w:r>
      <w:r>
        <w:rPr>
          <w:rFonts w:hint="eastAsia" w:ascii="MS UI Gothic" w:hAnsi="MS UI Gothic" w:eastAsia="MS UI Gothic"/>
          <w:spacing w:val="5"/>
          <w:w w:val="75"/>
        </w:rPr>
        <w:t>３</w:t>
      </w:r>
      <w:r>
        <w:rPr>
          <w:rFonts w:hint="eastAsia" w:ascii="MS UI Gothic" w:hAnsi="MS UI Gothic" w:eastAsia="MS UI Gothic"/>
          <w:w w:val="168"/>
        </w:rPr>
        <w:t>)</w:t>
      </w:r>
      <w:r>
        <w:rPr>
          <w:rFonts w:hint="eastAsia" w:ascii="MS UI Gothic" w:hAnsi="MS UI Gothic" w:eastAsia="MS UI Gothic"/>
          <w:spacing w:val="2"/>
        </w:rPr>
        <w:t xml:space="preserve">  </w:t>
      </w:r>
      <w:r>
        <w:rPr>
          <w:spacing w:val="23"/>
          <w:w w:val="102"/>
        </w:rPr>
        <w:t>对固体废物产生单位无法确定的</w:t>
      </w:r>
      <w:r>
        <w:rPr>
          <w:rFonts w:hint="eastAsia" w:ascii="MS UI Gothic" w:hAnsi="MS UI Gothic" w:eastAsia="MS UI Gothic"/>
          <w:spacing w:val="-12"/>
          <w:w w:val="51"/>
        </w:rPr>
        <w:t>ꎬ</w:t>
      </w:r>
      <w:r>
        <w:rPr>
          <w:spacing w:val="3"/>
        </w:rPr>
        <w:t>应抽取典型样品进行检测</w:t>
      </w:r>
      <w:r>
        <w:rPr>
          <w:rFonts w:hint="eastAsia" w:ascii="MS UI Gothic" w:hAnsi="MS UI Gothic" w:eastAsia="MS UI Gothic"/>
          <w:spacing w:val="5"/>
          <w:w w:val="90"/>
        </w:rPr>
        <w:t xml:space="preserve">ꎬ </w:t>
      </w:r>
      <w:r>
        <w:rPr>
          <w:spacing w:val="2"/>
        </w:rPr>
        <w:t>根据典型样品</w:t>
      </w:r>
      <w:r>
        <w:rPr>
          <w:spacing w:val="8"/>
        </w:rPr>
        <w:t>检测指标浓度</w:t>
      </w:r>
      <w:r>
        <w:rPr>
          <w:rFonts w:hint="eastAsia" w:ascii="MS UI Gothic" w:hAnsi="MS UI Gothic" w:eastAsia="MS UI Gothic"/>
          <w:spacing w:val="26"/>
          <w:w w:val="90"/>
        </w:rPr>
        <w:t xml:space="preserve">ꎬ </w:t>
      </w:r>
      <w:r>
        <w:rPr>
          <w:spacing w:val="9"/>
        </w:rPr>
        <w:t xml:space="preserve">对照 </w:t>
      </w:r>
      <w:r>
        <w:rPr>
          <w:rFonts w:hint="eastAsia" w:ascii="MS UI Gothic" w:hAnsi="MS UI Gothic" w:eastAsia="MS UI Gothic"/>
          <w:spacing w:val="-16"/>
        </w:rPr>
        <w:t xml:space="preserve">« </w:t>
      </w:r>
      <w:r>
        <w:rPr>
          <w:spacing w:val="18"/>
        </w:rPr>
        <w:t>危险废物鉴别标</w:t>
      </w:r>
      <w:r>
        <w:rPr>
          <w:spacing w:val="3"/>
          <w:w w:val="102"/>
        </w:rPr>
        <w:t>准</w:t>
      </w:r>
      <w:r>
        <w:rPr>
          <w:rFonts w:hint="eastAsia" w:ascii="MS UI Gothic" w:hAnsi="MS UI Gothic" w:eastAsia="MS UI Gothic"/>
          <w:w w:val="76"/>
        </w:rPr>
        <w:t>»</w:t>
      </w:r>
      <w:r>
        <w:rPr>
          <w:rFonts w:hint="eastAsia" w:ascii="MS UI Gothic" w:hAnsi="MS UI Gothic" w:eastAsia="MS UI Gothic"/>
          <w:spacing w:val="7"/>
        </w:rPr>
        <w:t xml:space="preserve">   </w:t>
      </w:r>
      <w:r>
        <w:rPr>
          <w:rFonts w:hint="eastAsia" w:ascii="MS UI Gothic" w:hAnsi="MS UI Gothic" w:eastAsia="MS UI Gothic"/>
          <w:w w:val="168"/>
        </w:rPr>
        <w:t>(</w:t>
      </w:r>
      <w:r>
        <w:rPr>
          <w:rFonts w:hint="eastAsia" w:ascii="MS UI Gothic" w:hAnsi="MS UI Gothic" w:eastAsia="MS UI Gothic"/>
          <w:spacing w:val="-34"/>
        </w:rPr>
        <w:t xml:space="preserve"> </w:t>
      </w:r>
      <w:r>
        <w:rPr>
          <w:rFonts w:hint="eastAsia" w:ascii="MS UI Gothic" w:hAnsi="MS UI Gothic" w:eastAsia="MS UI Gothic"/>
          <w:spacing w:val="-2"/>
          <w:w w:val="88"/>
        </w:rPr>
        <w:t>Ｇ</w:t>
      </w:r>
      <w:r>
        <w:rPr>
          <w:rFonts w:hint="eastAsia" w:ascii="MS UI Gothic" w:hAnsi="MS UI Gothic" w:eastAsia="MS UI Gothic"/>
          <w:w w:val="80"/>
        </w:rPr>
        <w:t>Ｂ</w:t>
      </w:r>
      <w:r>
        <w:rPr>
          <w:rFonts w:hint="eastAsia" w:ascii="MS UI Gothic" w:hAnsi="MS UI Gothic" w:eastAsia="MS UI Gothic"/>
          <w:w w:val="75"/>
        </w:rPr>
        <w:t>５０８５</w:t>
      </w:r>
      <w:r>
        <w:rPr>
          <w:rFonts w:hint="eastAsia" w:ascii="MS UI Gothic" w:hAnsi="MS UI Gothic" w:eastAsia="MS UI Gothic"/>
          <w:spacing w:val="-10"/>
        </w:rPr>
        <w:t xml:space="preserve"> </w:t>
      </w:r>
      <w:r>
        <w:rPr>
          <w:rFonts w:hint="eastAsia" w:ascii="MS UI Gothic" w:hAnsi="MS UI Gothic" w:eastAsia="MS UI Gothic"/>
          <w:w w:val="75"/>
        </w:rPr>
        <w:t>１</w:t>
      </w:r>
      <w:r>
        <w:rPr>
          <w:rFonts w:hint="eastAsia" w:ascii="MS UI Gothic" w:hAnsi="MS UI Gothic" w:eastAsia="MS UI Gothic"/>
          <w:spacing w:val="-38"/>
        </w:rPr>
        <w:t xml:space="preserve"> </w:t>
      </w:r>
      <w:r>
        <w:rPr>
          <w:rFonts w:hint="eastAsia" w:ascii="MS UI Gothic" w:hAnsi="MS UI Gothic" w:eastAsia="MS UI Gothic"/>
          <w:w w:val="56"/>
          <w:position w:val="1"/>
        </w:rPr>
        <w:t>－</w:t>
      </w:r>
      <w:r>
        <w:rPr>
          <w:rFonts w:hint="eastAsia" w:ascii="MS UI Gothic" w:hAnsi="MS UI Gothic" w:eastAsia="MS UI Gothic"/>
          <w:spacing w:val="-39"/>
          <w:position w:val="1"/>
        </w:rPr>
        <w:t xml:space="preserve"> </w:t>
      </w:r>
      <w:r>
        <w:rPr>
          <w:rFonts w:hint="eastAsia" w:ascii="MS UI Gothic" w:hAnsi="MS UI Gothic" w:eastAsia="MS UI Gothic"/>
          <w:spacing w:val="11"/>
          <w:w w:val="75"/>
        </w:rPr>
        <w:t>７</w:t>
      </w:r>
      <w:r>
        <w:rPr>
          <w:rFonts w:hint="eastAsia" w:ascii="MS UI Gothic" w:hAnsi="MS UI Gothic" w:eastAsia="MS UI Gothic"/>
          <w:w w:val="168"/>
        </w:rPr>
        <w:t>)</w:t>
      </w:r>
      <w:r>
        <w:rPr>
          <w:rFonts w:hint="eastAsia" w:ascii="MS UI Gothic" w:hAnsi="MS UI Gothic" w:eastAsia="MS UI Gothic"/>
          <w:spacing w:val="5"/>
        </w:rPr>
        <w:t xml:space="preserve">  </w:t>
      </w:r>
      <w:r>
        <w:rPr>
          <w:spacing w:val="11"/>
          <w:w w:val="102"/>
        </w:rPr>
        <w:t>出具认定意见</w:t>
      </w:r>
      <w:r>
        <w:rPr>
          <w:rFonts w:hint="eastAsia" w:ascii="MS UI Gothic" w:hAnsi="MS UI Gothic" w:eastAsia="MS UI Gothic"/>
          <w:w w:val="51"/>
        </w:rPr>
        <w:t>ꎮ</w:t>
      </w:r>
      <w:r>
        <w:rPr>
          <w:rFonts w:hint="eastAsia" w:ascii="MS UI Gothic" w:hAnsi="MS UI Gothic" w:eastAsia="MS UI Gothic"/>
          <w:spacing w:val="-4"/>
        </w:rPr>
        <w:t xml:space="preserve">  </w:t>
      </w:r>
      <w:r>
        <w:rPr>
          <w:w w:val="102"/>
        </w:rPr>
        <w:t>对</w:t>
      </w:r>
      <w:r>
        <w:rPr>
          <w:spacing w:val="2"/>
        </w:rPr>
        <w:t>确需进一步委托有相关资质的检测鉴定机</w:t>
      </w:r>
      <w:r>
        <w:rPr>
          <w:spacing w:val="3"/>
        </w:rPr>
        <w:t>构进行检测鉴定的</w:t>
      </w:r>
      <w:r>
        <w:rPr>
          <w:rFonts w:hint="eastAsia" w:ascii="MS UI Gothic" w:hAnsi="MS UI Gothic" w:eastAsia="MS UI Gothic"/>
          <w:spacing w:val="5"/>
          <w:w w:val="90"/>
        </w:rPr>
        <w:t xml:space="preserve">ꎬ </w:t>
      </w:r>
      <w:r>
        <w:rPr>
          <w:spacing w:val="2"/>
        </w:rPr>
        <w:t>生态环境部门或者公</w:t>
      </w:r>
      <w:r>
        <w:rPr>
          <w:spacing w:val="3"/>
        </w:rPr>
        <w:t>安机关按照有关规定开展检测鉴定工作</w:t>
      </w:r>
      <w:r>
        <w:rPr>
          <w:rFonts w:hint="eastAsia" w:ascii="MS UI Gothic" w:hAnsi="MS UI Gothic" w:eastAsia="MS UI Gothic"/>
          <w:w w:val="90"/>
        </w:rPr>
        <w:t>ꎮ</w:t>
      </w:r>
    </w:p>
    <w:p>
      <w:pPr>
        <w:pStyle w:val="6"/>
        <w:spacing w:before="3"/>
        <w:ind w:left="794" w:firstLine="0"/>
      </w:pPr>
      <w:r>
        <w:rPr>
          <w:rFonts w:hint="eastAsia" w:ascii="MS UI Gothic" w:eastAsia="MS UI Gothic"/>
        </w:rPr>
        <w:t xml:space="preserve">１４ </w:t>
      </w:r>
      <w:r>
        <w:t>关于鉴定的问题</w:t>
      </w:r>
    </w:p>
    <w:p>
      <w:pPr>
        <w:pStyle w:val="6"/>
        <w:spacing w:before="58" w:line="295" w:lineRule="auto"/>
        <w:ind w:left="381" w:right="126"/>
        <w:rPr>
          <w:rFonts w:hint="eastAsia" w:ascii="MS UI Gothic" w:eastAsia="MS UI Gothic"/>
        </w:rPr>
      </w:pPr>
      <w:r>
        <w:t>会议指出</w:t>
      </w:r>
      <w:r>
        <w:rPr>
          <w:rFonts w:hint="eastAsia" w:ascii="MS UI Gothic" w:eastAsia="MS UI Gothic"/>
          <w:w w:val="80"/>
        </w:rPr>
        <w:t xml:space="preserve">ꎬ </w:t>
      </w:r>
      <w:r>
        <w:t>针对当前办理环境污染犯罪案件中存在的司法鉴定有关问题</w:t>
      </w:r>
      <w:r>
        <w:rPr>
          <w:rFonts w:hint="eastAsia" w:ascii="MS UI Gothic" w:eastAsia="MS UI Gothic"/>
          <w:w w:val="80"/>
        </w:rPr>
        <w:t xml:space="preserve">ꎬ </w:t>
      </w:r>
      <w:r>
        <w:t>司法部将会同生态环境部</w:t>
      </w:r>
      <w:r>
        <w:rPr>
          <w:rFonts w:hint="eastAsia" w:ascii="MS UI Gothic" w:eastAsia="MS UI Gothic"/>
          <w:w w:val="80"/>
        </w:rPr>
        <w:t xml:space="preserve">ꎬ </w:t>
      </w:r>
      <w:r>
        <w:t>加快准入一批诉讼急需</w:t>
      </w:r>
      <w:r>
        <w:rPr>
          <w:rFonts w:hint="eastAsia" w:ascii="MS UI Gothic" w:eastAsia="MS UI Gothic"/>
          <w:w w:val="80"/>
        </w:rPr>
        <w:t xml:space="preserve">、 </w:t>
      </w:r>
      <w:r>
        <w:t>社会关注的环境损害司法鉴定机构</w:t>
      </w:r>
      <w:r>
        <w:rPr>
          <w:rFonts w:hint="eastAsia" w:ascii="MS UI Gothic" w:eastAsia="MS UI Gothic"/>
          <w:w w:val="80"/>
        </w:rPr>
        <w:t xml:space="preserve">ꎬ </w:t>
      </w:r>
      <w:r>
        <w:t>加快对环境损害司法鉴定相关技术规范和标准的制定</w:t>
      </w:r>
      <w:r>
        <w:rPr>
          <w:rFonts w:hint="eastAsia" w:ascii="MS UI Gothic" w:eastAsia="MS UI Gothic"/>
          <w:w w:val="80"/>
        </w:rPr>
        <w:t xml:space="preserve">、 </w:t>
      </w:r>
      <w:r>
        <w:t>修改和认定工作</w:t>
      </w:r>
      <w:r>
        <w:rPr>
          <w:rFonts w:hint="eastAsia" w:ascii="MS UI Gothic" w:eastAsia="MS UI Gothic"/>
          <w:w w:val="80"/>
        </w:rPr>
        <w:t xml:space="preserve">ꎬ </w:t>
      </w:r>
      <w:r>
        <w:t>规范鉴定程序</w:t>
      </w:r>
      <w:r>
        <w:rPr>
          <w:rFonts w:hint="eastAsia" w:ascii="MS UI Gothic" w:eastAsia="MS UI Gothic"/>
          <w:w w:val="80"/>
        </w:rPr>
        <w:t xml:space="preserve">ꎬ </w:t>
      </w:r>
      <w:r>
        <w:t>指导各地司法行政机关会同价格主管部门制定出台环境损害司法鉴定收费标准</w:t>
      </w:r>
      <w:r>
        <w:rPr>
          <w:rFonts w:hint="eastAsia" w:ascii="MS UI Gothic" w:eastAsia="MS UI Gothic"/>
          <w:w w:val="80"/>
        </w:rPr>
        <w:t xml:space="preserve">ꎬ </w:t>
      </w:r>
      <w:r>
        <w:t>加强与办案机关的沟通衔接</w:t>
      </w:r>
      <w:r>
        <w:rPr>
          <w:rFonts w:hint="eastAsia" w:ascii="MS UI Gothic" w:eastAsia="MS UI Gothic"/>
          <w:w w:val="80"/>
        </w:rPr>
        <w:t xml:space="preserve">ꎬ </w:t>
      </w:r>
      <w:r>
        <w:t>更好地满足办案机关需求</w:t>
      </w:r>
      <w:r>
        <w:rPr>
          <w:rFonts w:hint="eastAsia" w:ascii="MS UI Gothic" w:eastAsia="MS UI Gothic"/>
          <w:w w:val="80"/>
        </w:rPr>
        <w:t>ꎮ</w:t>
      </w:r>
    </w:p>
    <w:p>
      <w:pPr>
        <w:pStyle w:val="6"/>
        <w:spacing w:line="295" w:lineRule="auto"/>
        <w:ind w:left="381" w:right="124"/>
        <w:rPr>
          <w:rFonts w:hint="eastAsia" w:ascii="MS UI Gothic" w:hAnsi="MS UI Gothic" w:eastAsia="MS UI Gothic"/>
        </w:rPr>
      </w:pPr>
      <w:r>
        <w:rPr>
          <w:spacing w:val="9"/>
          <w:w w:val="95"/>
        </w:rPr>
        <w:t>会议要求</w:t>
      </w:r>
      <w:r>
        <w:rPr>
          <w:rFonts w:hint="eastAsia" w:ascii="MS UI Gothic" w:hAnsi="MS UI Gothic" w:eastAsia="MS UI Gothic"/>
          <w:spacing w:val="2"/>
          <w:w w:val="85"/>
        </w:rPr>
        <w:t xml:space="preserve">ꎬ </w:t>
      </w:r>
      <w:r>
        <w:rPr>
          <w:spacing w:val="24"/>
          <w:w w:val="95"/>
        </w:rPr>
        <w:t xml:space="preserve">司法部应当根据 </w:t>
      </w:r>
      <w:r>
        <w:rPr>
          <w:rFonts w:hint="eastAsia" w:ascii="MS UI Gothic" w:hAnsi="MS UI Gothic" w:eastAsia="MS UI Gothic"/>
          <w:spacing w:val="-6"/>
          <w:w w:val="95"/>
        </w:rPr>
        <w:t xml:space="preserve">« </w:t>
      </w:r>
      <w:r>
        <w:rPr>
          <w:spacing w:val="11"/>
          <w:w w:val="95"/>
        </w:rPr>
        <w:t>关于</w:t>
      </w:r>
      <w:r>
        <w:rPr>
          <w:spacing w:val="2"/>
          <w:w w:val="95"/>
        </w:rPr>
        <w:t xml:space="preserve">严格准入严格监管提高司法鉴定质量和公  </w:t>
      </w:r>
      <w:r>
        <w:rPr>
          <w:spacing w:val="7"/>
          <w:w w:val="95"/>
        </w:rPr>
        <w:t>信力的意见</w:t>
      </w:r>
      <w:r>
        <w:rPr>
          <w:rFonts w:hint="eastAsia" w:ascii="MS UI Gothic" w:hAnsi="MS UI Gothic" w:eastAsia="MS UI Gothic"/>
          <w:spacing w:val="20"/>
          <w:w w:val="95"/>
        </w:rPr>
        <w:t xml:space="preserve">» </w:t>
      </w:r>
      <w:r>
        <w:rPr>
          <w:rFonts w:hint="eastAsia" w:ascii="MS UI Gothic" w:hAnsi="MS UI Gothic" w:eastAsia="MS UI Gothic"/>
          <w:spacing w:val="-29"/>
          <w:w w:val="140"/>
        </w:rPr>
        <w:t xml:space="preserve">( </w:t>
      </w:r>
      <w:r>
        <w:rPr>
          <w:spacing w:val="11"/>
          <w:w w:val="95"/>
        </w:rPr>
        <w:t xml:space="preserve">司发 </w:t>
      </w:r>
      <w:r>
        <w:rPr>
          <w:rFonts w:hint="eastAsia" w:ascii="MS UI Gothic" w:hAnsi="MS UI Gothic" w:eastAsia="MS UI Gothic"/>
          <w:spacing w:val="3"/>
          <w:w w:val="95"/>
        </w:rPr>
        <w:t xml:space="preserve">〔２０１７〕  １１ </w:t>
      </w:r>
      <w:r>
        <w:rPr>
          <w:spacing w:val="9"/>
          <w:w w:val="95"/>
        </w:rPr>
        <w:t>号</w:t>
      </w:r>
      <w:r>
        <w:rPr>
          <w:rFonts w:hint="eastAsia" w:ascii="MS UI Gothic" w:hAnsi="MS UI Gothic" w:eastAsia="MS UI Gothic"/>
          <w:spacing w:val="25"/>
          <w:w w:val="140"/>
        </w:rPr>
        <w:t xml:space="preserve">) </w:t>
      </w:r>
      <w:r>
        <w:rPr>
          <w:w w:val="95"/>
        </w:rPr>
        <w:t>的</w:t>
      </w:r>
      <w:r>
        <w:rPr>
          <w:spacing w:val="3"/>
          <w:w w:val="95"/>
        </w:rPr>
        <w:t>要求</w:t>
      </w:r>
      <w:r>
        <w:rPr>
          <w:rFonts w:hint="eastAsia" w:ascii="MS UI Gothic" w:hAnsi="MS UI Gothic" w:eastAsia="MS UI Gothic"/>
          <w:w w:val="85"/>
        </w:rPr>
        <w:t xml:space="preserve">ꎬ   </w:t>
      </w:r>
      <w:r>
        <w:rPr>
          <w:spacing w:val="2"/>
          <w:w w:val="95"/>
        </w:rPr>
        <w:t>会同生态环境部加强对环境损害司</w:t>
      </w:r>
      <w:r>
        <w:rPr>
          <w:spacing w:val="3"/>
          <w:w w:val="95"/>
        </w:rPr>
        <w:t>法鉴定机构的事中事后监管</w:t>
      </w:r>
      <w:r>
        <w:rPr>
          <w:rFonts w:hint="eastAsia" w:ascii="MS UI Gothic" w:hAnsi="MS UI Gothic" w:eastAsia="MS UI Gothic"/>
          <w:w w:val="85"/>
        </w:rPr>
        <w:t xml:space="preserve">ꎬ   </w:t>
      </w:r>
      <w:r>
        <w:rPr>
          <w:spacing w:val="2"/>
          <w:w w:val="95"/>
        </w:rPr>
        <w:t>加强司法鉴</w:t>
      </w:r>
      <w:r>
        <w:rPr>
          <w:spacing w:val="5"/>
          <w:w w:val="95"/>
        </w:rPr>
        <w:t>定社会信用体系建设</w:t>
      </w:r>
      <w:r>
        <w:rPr>
          <w:rFonts w:hint="eastAsia" w:ascii="MS UI Gothic" w:hAnsi="MS UI Gothic" w:eastAsia="MS UI Gothic"/>
          <w:spacing w:val="1"/>
          <w:w w:val="85"/>
        </w:rPr>
        <w:t xml:space="preserve">ꎬ  </w:t>
      </w:r>
      <w:r>
        <w:rPr>
          <w:spacing w:val="11"/>
          <w:w w:val="95"/>
        </w:rPr>
        <w:t>建立黑名单制度</w:t>
      </w:r>
      <w:r>
        <w:rPr>
          <w:rFonts w:hint="eastAsia" w:ascii="MS UI Gothic" w:hAnsi="MS UI Gothic" w:eastAsia="MS UI Gothic"/>
          <w:w w:val="85"/>
        </w:rPr>
        <w:t>ꎬ</w:t>
      </w:r>
      <w:r>
        <w:rPr>
          <w:spacing w:val="3"/>
          <w:w w:val="95"/>
        </w:rPr>
        <w:t>完善退出机制</w:t>
      </w:r>
      <w:r>
        <w:rPr>
          <w:rFonts w:hint="eastAsia" w:ascii="MS UI Gothic" w:hAnsi="MS UI Gothic" w:eastAsia="MS UI Gothic"/>
          <w:w w:val="85"/>
        </w:rPr>
        <w:t xml:space="preserve">ꎬ   </w:t>
      </w:r>
      <w:r>
        <w:rPr>
          <w:spacing w:val="2"/>
          <w:w w:val="95"/>
        </w:rPr>
        <w:t xml:space="preserve">及时向社会公开违法违规的环境损害司法鉴定机构和鉴定人行政处  </w:t>
      </w:r>
      <w:r>
        <w:rPr>
          <w:spacing w:val="3"/>
          <w:w w:val="95"/>
        </w:rPr>
        <w:t>罚</w:t>
      </w:r>
      <w:r>
        <w:rPr>
          <w:rFonts w:hint="eastAsia" w:ascii="MS UI Gothic" w:hAnsi="MS UI Gothic" w:eastAsia="MS UI Gothic"/>
          <w:w w:val="95"/>
        </w:rPr>
        <w:t xml:space="preserve">、  </w:t>
      </w:r>
      <w:r>
        <w:rPr>
          <w:spacing w:val="3"/>
          <w:w w:val="95"/>
        </w:rPr>
        <w:t>行业惩戒等监管信息</w:t>
      </w:r>
      <w:r>
        <w:rPr>
          <w:rFonts w:hint="eastAsia" w:ascii="MS UI Gothic" w:hAnsi="MS UI Gothic" w:eastAsia="MS UI Gothic"/>
          <w:spacing w:val="7"/>
          <w:w w:val="85"/>
        </w:rPr>
        <w:t xml:space="preserve">ꎬ  </w:t>
      </w:r>
      <w:r>
        <w:rPr>
          <w:spacing w:val="2"/>
          <w:w w:val="95"/>
        </w:rPr>
        <w:t xml:space="preserve">对弄虚作假造成环境损害鉴定评估结论严重失实或者违  </w:t>
      </w:r>
      <w:r>
        <w:rPr>
          <w:spacing w:val="3"/>
          <w:w w:val="95"/>
        </w:rPr>
        <w:t>规收取高额费用</w:t>
      </w:r>
      <w:r>
        <w:rPr>
          <w:rFonts w:hint="eastAsia" w:ascii="MS UI Gothic" w:hAnsi="MS UI Gothic" w:eastAsia="MS UI Gothic"/>
          <w:w w:val="95"/>
        </w:rPr>
        <w:t xml:space="preserve">、  </w:t>
      </w:r>
      <w:r>
        <w:rPr>
          <w:spacing w:val="3"/>
          <w:w w:val="95"/>
        </w:rPr>
        <w:t>情节严重的</w:t>
      </w:r>
      <w:r>
        <w:rPr>
          <w:rFonts w:hint="eastAsia" w:ascii="MS UI Gothic" w:hAnsi="MS UI Gothic" w:eastAsia="MS UI Gothic"/>
          <w:spacing w:val="7"/>
          <w:w w:val="85"/>
        </w:rPr>
        <w:t xml:space="preserve">ꎬ  </w:t>
      </w:r>
      <w:r>
        <w:rPr>
          <w:spacing w:val="2"/>
          <w:w w:val="95"/>
        </w:rPr>
        <w:t>依法撤销</w:t>
      </w:r>
      <w:r>
        <w:rPr>
          <w:spacing w:val="3"/>
          <w:w w:val="95"/>
        </w:rPr>
        <w:t>登记</w:t>
      </w:r>
      <w:r>
        <w:rPr>
          <w:rFonts w:hint="eastAsia" w:ascii="MS UI Gothic" w:hAnsi="MS UI Gothic" w:eastAsia="MS UI Gothic"/>
          <w:spacing w:val="10"/>
          <w:w w:val="85"/>
        </w:rPr>
        <w:t xml:space="preserve">ꎮ  </w:t>
      </w:r>
      <w:r>
        <w:rPr>
          <w:spacing w:val="7"/>
          <w:w w:val="95"/>
        </w:rPr>
        <w:t>鼓励有关单位或者个人向司法部</w:t>
      </w:r>
      <w:r>
        <w:rPr>
          <w:rFonts w:hint="eastAsia" w:ascii="MS UI Gothic" w:hAnsi="MS UI Gothic" w:eastAsia="MS UI Gothic"/>
          <w:w w:val="95"/>
        </w:rPr>
        <w:t>、</w:t>
      </w:r>
      <w:r>
        <w:rPr>
          <w:spacing w:val="2"/>
          <w:w w:val="95"/>
        </w:rPr>
        <w:t xml:space="preserve">生态环境部举报环境损害司法鉴定机构的  </w:t>
      </w:r>
      <w:r>
        <w:rPr>
          <w:spacing w:val="3"/>
          <w:w w:val="95"/>
        </w:rPr>
        <w:t>违法违规行为</w:t>
      </w:r>
      <w:r>
        <w:rPr>
          <w:rFonts w:hint="eastAsia" w:ascii="MS UI Gothic" w:hAnsi="MS UI Gothic" w:eastAsia="MS UI Gothic"/>
          <w:w w:val="85"/>
        </w:rPr>
        <w:t>ꎮ</w:t>
      </w:r>
    </w:p>
    <w:p>
      <w:pPr>
        <w:pStyle w:val="6"/>
        <w:spacing w:line="245" w:lineRule="exact"/>
        <w:ind w:left="800" w:firstLine="0"/>
      </w:pPr>
      <w:r>
        <w:t>会议认为</w:t>
      </w:r>
      <w:r>
        <w:rPr>
          <w:rFonts w:hint="eastAsia" w:ascii="MS UI Gothic" w:hAnsi="MS UI Gothic" w:eastAsia="MS UI Gothic"/>
          <w:w w:val="80"/>
        </w:rPr>
        <w:t xml:space="preserve">ꎬ </w:t>
      </w:r>
      <w:r>
        <w:t xml:space="preserve">根据 </w:t>
      </w:r>
      <w:r>
        <w:rPr>
          <w:rFonts w:hint="eastAsia" w:ascii="MS UI Gothic" w:hAnsi="MS UI Gothic" w:eastAsia="MS UI Gothic"/>
        </w:rPr>
        <w:t xml:space="preserve">« </w:t>
      </w:r>
      <w:r>
        <w:t>环境解释</w:t>
      </w:r>
      <w:r>
        <w:rPr>
          <w:rFonts w:hint="eastAsia" w:ascii="MS UI Gothic" w:hAnsi="MS UI Gothic" w:eastAsia="MS UI Gothic"/>
        </w:rPr>
        <w:t xml:space="preserve">» </w:t>
      </w:r>
      <w:r>
        <w:t>的规</w:t>
      </w:r>
    </w:p>
    <w:p>
      <w:pPr>
        <w:spacing w:after="0" w:line="245" w:lineRule="exact"/>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３０</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40" o:spid="_x0000_s1140" o:spt="203" style="height:2.15pt;width:398.25pt;" coordsize="7965,43">
            <o:lock v:ext="edit"/>
            <v:line id="_x0000_s1141" o:spid="_x0000_s1141" o:spt="20" style="position:absolute;left:0;top:39;height:0;width:7965;" stroked="t" coordsize="21600,21600">
              <v:path arrowok="t"/>
              <v:fill focussize="0,0"/>
              <v:stroke weight="0.388031496062992pt" color="#231F20"/>
              <v:imagedata o:title=""/>
              <o:lock v:ext="edit"/>
            </v:line>
            <v:line id="_x0000_s1142" o:spid="_x0000_s114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pPr>
      <w:r>
        <w:t>定精神</w:t>
      </w:r>
      <w:r>
        <w:rPr>
          <w:rFonts w:hint="eastAsia" w:ascii="MS UI Gothic" w:hAnsi="MS UI Gothic" w:eastAsia="MS UI Gothic"/>
          <w:w w:val="80"/>
        </w:rPr>
        <w:t xml:space="preserve">ꎬ </w:t>
      </w:r>
      <w:r>
        <w:t>对涉及案件定罪量刑的核心或者关键专门性问题难以确定的</w:t>
      </w:r>
      <w:r>
        <w:rPr>
          <w:rFonts w:hint="eastAsia" w:ascii="MS UI Gothic" w:hAnsi="MS UI Gothic" w:eastAsia="MS UI Gothic"/>
          <w:w w:val="80"/>
        </w:rPr>
        <w:t xml:space="preserve">ꎬ </w:t>
      </w:r>
      <w:r>
        <w:t>由司法鉴定机构出具鉴定意见</w:t>
      </w:r>
      <w:r>
        <w:rPr>
          <w:rFonts w:hint="eastAsia" w:ascii="MS UI Gothic" w:hAnsi="MS UI Gothic" w:eastAsia="MS UI Gothic"/>
          <w:w w:val="80"/>
        </w:rPr>
        <w:t xml:space="preserve">ꎮ </w:t>
      </w:r>
      <w:r>
        <w:t>实践中</w:t>
      </w:r>
      <w:r>
        <w:rPr>
          <w:rFonts w:hint="eastAsia" w:ascii="MS UI Gothic" w:hAnsi="MS UI Gothic" w:eastAsia="MS UI Gothic"/>
          <w:w w:val="80"/>
        </w:rPr>
        <w:t xml:space="preserve">ꎬ </w:t>
      </w:r>
      <w:r>
        <w:t>这类核心或者关键专门性问题主要是案件具体适用的定罪量刑标准涉及的专门性问题</w:t>
      </w:r>
      <w:r>
        <w:rPr>
          <w:rFonts w:hint="eastAsia" w:ascii="MS UI Gothic" w:hAnsi="MS UI Gothic" w:eastAsia="MS UI Gothic"/>
          <w:w w:val="80"/>
        </w:rPr>
        <w:t xml:space="preserve">ꎬ </w:t>
      </w:r>
      <w:r>
        <w:t>比如公私财产损失数额</w:t>
      </w:r>
      <w:r>
        <w:rPr>
          <w:rFonts w:hint="eastAsia" w:ascii="MS UI Gothic" w:hAnsi="MS UI Gothic" w:eastAsia="MS UI Gothic"/>
          <w:w w:val="80"/>
        </w:rPr>
        <w:t xml:space="preserve">、 </w:t>
      </w:r>
      <w:r>
        <w:t>超过排放标准倍数</w:t>
      </w:r>
      <w:r>
        <w:rPr>
          <w:rFonts w:hint="eastAsia" w:ascii="MS UI Gothic" w:hAnsi="MS UI Gothic" w:eastAsia="MS UI Gothic"/>
          <w:w w:val="80"/>
        </w:rPr>
        <w:t xml:space="preserve">、 </w:t>
      </w:r>
      <w:r>
        <w:t>污染物性质判断等</w:t>
      </w:r>
      <w:r>
        <w:rPr>
          <w:rFonts w:hint="eastAsia" w:ascii="MS UI Gothic" w:hAnsi="MS UI Gothic" w:eastAsia="MS UI Gothic"/>
          <w:w w:val="80"/>
        </w:rPr>
        <w:t xml:space="preserve">ꎮ </w:t>
      </w:r>
      <w:r>
        <w:t>对案件的其他非核心或者关键专门性问题</w:t>
      </w:r>
      <w:r>
        <w:rPr>
          <w:rFonts w:hint="eastAsia" w:ascii="MS UI Gothic" w:hAnsi="MS UI Gothic" w:eastAsia="MS UI Gothic"/>
          <w:w w:val="80"/>
        </w:rPr>
        <w:t xml:space="preserve">ꎬ </w:t>
      </w:r>
      <w:r>
        <w:t>或者可鉴定也可不鉴定的专门性问题</w:t>
      </w:r>
      <w:r>
        <w:rPr>
          <w:rFonts w:hint="eastAsia" w:ascii="MS UI Gothic" w:hAnsi="MS UI Gothic" w:eastAsia="MS UI Gothic"/>
          <w:w w:val="80"/>
        </w:rPr>
        <w:t xml:space="preserve">ꎬ </w:t>
      </w:r>
      <w:r>
        <w:t>一般不委托鉴定</w:t>
      </w:r>
      <w:r>
        <w:rPr>
          <w:rFonts w:hint="eastAsia" w:ascii="MS UI Gothic" w:hAnsi="MS UI Gothic" w:eastAsia="MS UI Gothic"/>
          <w:w w:val="80"/>
        </w:rPr>
        <w:t xml:space="preserve">ꎮ </w:t>
      </w:r>
      <w:r>
        <w:t>比如</w:t>
      </w:r>
      <w:r>
        <w:rPr>
          <w:rFonts w:hint="eastAsia" w:ascii="MS UI Gothic" w:hAnsi="MS UI Gothic" w:eastAsia="MS UI Gothic"/>
          <w:w w:val="80"/>
        </w:rPr>
        <w:t xml:space="preserve">ꎬ  </w:t>
      </w:r>
      <w:r>
        <w:t xml:space="preserve">适用 </w:t>
      </w:r>
      <w:r>
        <w:rPr>
          <w:rFonts w:hint="eastAsia" w:ascii="MS UI Gothic" w:hAnsi="MS UI Gothic" w:eastAsia="MS UI Gothic"/>
          <w:w w:val="80"/>
        </w:rPr>
        <w:t xml:space="preserve">« </w:t>
      </w:r>
      <w:r>
        <w:t>环境解释</w:t>
      </w:r>
      <w:r>
        <w:rPr>
          <w:rFonts w:hint="eastAsia" w:ascii="MS UI Gothic" w:hAnsi="MS UI Gothic" w:eastAsia="MS UI Gothic"/>
          <w:w w:val="80"/>
        </w:rPr>
        <w:t xml:space="preserve">»  </w:t>
      </w:r>
      <w:r>
        <w:t>第一条第二项</w:t>
      </w:r>
      <w:r>
        <w:rPr>
          <w:rFonts w:hint="eastAsia" w:ascii="MS UI Gothic" w:hAnsi="MS UI Gothic" w:eastAsia="MS UI Gothic"/>
        </w:rPr>
        <w:t xml:space="preserve">“ </w:t>
      </w:r>
      <w:r>
        <w:t>非法排放</w:t>
      </w:r>
      <w:r>
        <w:rPr>
          <w:rFonts w:hint="eastAsia" w:ascii="MS UI Gothic" w:hAnsi="MS UI Gothic" w:eastAsia="MS UI Gothic"/>
          <w:w w:val="80"/>
        </w:rPr>
        <w:t xml:space="preserve">、 </w:t>
      </w:r>
      <w:r>
        <w:t>倾倒</w:t>
      </w:r>
      <w:r>
        <w:rPr>
          <w:rFonts w:hint="eastAsia" w:ascii="MS UI Gothic" w:hAnsi="MS UI Gothic" w:eastAsia="MS UI Gothic"/>
          <w:w w:val="80"/>
        </w:rPr>
        <w:t xml:space="preserve">、 </w:t>
      </w:r>
      <w:r>
        <w:t>处置危险废物三吨以上</w:t>
      </w:r>
      <w:r>
        <w:rPr>
          <w:rFonts w:hint="eastAsia" w:ascii="MS UI Gothic" w:hAnsi="MS UI Gothic" w:eastAsia="MS UI Gothic"/>
        </w:rPr>
        <w:t xml:space="preserve">” </w:t>
      </w:r>
      <w:r>
        <w:t>的规定对当事人追究刑事责任的</w:t>
      </w:r>
      <w:r>
        <w:rPr>
          <w:rFonts w:hint="eastAsia" w:ascii="MS UI Gothic" w:hAnsi="MS UI Gothic" w:eastAsia="MS UI Gothic"/>
          <w:w w:val="80"/>
        </w:rPr>
        <w:t>ꎬ</w:t>
      </w:r>
      <w:r>
        <w:t>除可能适用公私财产损失第二档定罪量刑标准的以外</w:t>
      </w:r>
      <w:r>
        <w:rPr>
          <w:rFonts w:hint="eastAsia" w:ascii="MS UI Gothic" w:hAnsi="MS UI Gothic" w:eastAsia="MS UI Gothic"/>
          <w:w w:val="80"/>
        </w:rPr>
        <w:t xml:space="preserve">ꎬ </w:t>
      </w:r>
      <w:r>
        <w:t>则不应再对公私财产损失数额或者超过排放标准倍数进行鉴定</w:t>
      </w:r>
      <w:r>
        <w:rPr>
          <w:rFonts w:hint="eastAsia" w:ascii="MS UI Gothic" w:hAnsi="MS UI Gothic" w:eastAsia="MS UI Gothic"/>
          <w:w w:val="80"/>
        </w:rPr>
        <w:t xml:space="preserve">ꎮ </w:t>
      </w:r>
      <w:r>
        <w:t>涉及案件定罪量刑的核心或者关键专门性问题</w:t>
      </w:r>
    </w:p>
    <w:p>
      <w:pPr>
        <w:pStyle w:val="6"/>
        <w:spacing w:before="123" w:line="295" w:lineRule="auto"/>
        <w:ind w:right="442" w:firstLine="0"/>
        <w:rPr>
          <w:rFonts w:hint="eastAsia" w:ascii="MS UI Gothic" w:eastAsia="MS UI Gothic"/>
        </w:rPr>
      </w:pPr>
      <w:r>
        <w:br w:type="column"/>
      </w:r>
      <w:r>
        <w:t>难以鉴定或者鉴定费用明显过高的</w:t>
      </w:r>
      <w:r>
        <w:rPr>
          <w:rFonts w:hint="eastAsia" w:ascii="MS UI Gothic" w:eastAsia="MS UI Gothic"/>
          <w:w w:val="80"/>
        </w:rPr>
        <w:t xml:space="preserve">ꎬ </w:t>
      </w:r>
      <w:r>
        <w:t>司法机关可以结合案件其他证据</w:t>
      </w:r>
      <w:r>
        <w:rPr>
          <w:rFonts w:hint="eastAsia" w:ascii="MS UI Gothic" w:eastAsia="MS UI Gothic"/>
          <w:w w:val="80"/>
        </w:rPr>
        <w:t xml:space="preserve">ꎬ </w:t>
      </w:r>
      <w:r>
        <w:t>并参考生态环境部门意见</w:t>
      </w:r>
      <w:r>
        <w:rPr>
          <w:rFonts w:hint="eastAsia" w:ascii="MS UI Gothic" w:eastAsia="MS UI Gothic"/>
          <w:w w:val="80"/>
        </w:rPr>
        <w:t xml:space="preserve">、 </w:t>
      </w:r>
      <w:r>
        <w:t>专家意见等作出认定</w:t>
      </w:r>
      <w:r>
        <w:rPr>
          <w:rFonts w:hint="eastAsia" w:ascii="MS UI Gothic" w:eastAsia="MS UI Gothic"/>
          <w:w w:val="80"/>
        </w:rPr>
        <w:t>ꎮ</w:t>
      </w:r>
    </w:p>
    <w:p>
      <w:pPr>
        <w:pStyle w:val="6"/>
        <w:spacing w:line="295" w:lineRule="auto"/>
        <w:ind w:left="543" w:right="442" w:hanging="6"/>
      </w:pPr>
      <w:r>
        <w:rPr>
          <w:rFonts w:hint="eastAsia" w:ascii="MS UI Gothic" w:eastAsia="MS UI Gothic"/>
        </w:rPr>
        <w:t>１５</w:t>
      </w:r>
      <w:r>
        <w:rPr>
          <w:rFonts w:hint="eastAsia" w:ascii="MS UI Gothic" w:eastAsia="MS UI Gothic"/>
          <w:spacing w:val="3"/>
        </w:rPr>
        <w:t xml:space="preserve">   </w:t>
      </w:r>
      <w:r>
        <w:rPr>
          <w:spacing w:val="2"/>
        </w:rPr>
        <w:t>关于监测数据的证据资格问题会</w:t>
      </w:r>
      <w:r>
        <w:rPr>
          <w:spacing w:val="1"/>
        </w:rPr>
        <w:t>议针对实践中地方生态环境部门及</w:t>
      </w:r>
    </w:p>
    <w:p>
      <w:pPr>
        <w:pStyle w:val="6"/>
        <w:spacing w:line="295" w:lineRule="auto"/>
        <w:ind w:right="442" w:firstLine="0"/>
      </w:pPr>
      <w:r>
        <w:rPr>
          <w:spacing w:val="2"/>
        </w:rPr>
        <w:t>其所属监测机构委托第三方监测机构出具</w:t>
      </w:r>
      <w:r>
        <w:rPr>
          <w:spacing w:val="3"/>
        </w:rPr>
        <w:t>报告的证据资格问题进行了讨论</w:t>
      </w:r>
      <w:r>
        <w:rPr>
          <w:rFonts w:hint="eastAsia" w:ascii="MS UI Gothic" w:eastAsia="MS UI Gothic"/>
          <w:spacing w:val="20"/>
          <w:w w:val="80"/>
        </w:rPr>
        <w:t xml:space="preserve">ꎮ </w:t>
      </w:r>
      <w:r>
        <w:rPr>
          <w:spacing w:val="1"/>
        </w:rPr>
        <w:t>会议认</w:t>
      </w:r>
      <w:r>
        <w:rPr>
          <w:spacing w:val="3"/>
        </w:rPr>
        <w:t>为</w:t>
      </w:r>
      <w:r>
        <w:rPr>
          <w:rFonts w:hint="eastAsia" w:ascii="MS UI Gothic" w:eastAsia="MS UI Gothic"/>
          <w:spacing w:val="20"/>
          <w:w w:val="80"/>
        </w:rPr>
        <w:t xml:space="preserve">ꎬ </w:t>
      </w:r>
      <w:r>
        <w:rPr>
          <w:spacing w:val="2"/>
        </w:rPr>
        <w:t>地方生态环境部门及其所属监测机构</w:t>
      </w:r>
      <w:r>
        <w:rPr>
          <w:spacing w:val="3"/>
        </w:rPr>
        <w:t>委托第三方监测机构出具的监测报告</w:t>
      </w:r>
      <w:r>
        <w:rPr>
          <w:rFonts w:hint="eastAsia" w:ascii="MS UI Gothic" w:eastAsia="MS UI Gothic"/>
          <w:spacing w:val="20"/>
          <w:w w:val="80"/>
        </w:rPr>
        <w:t xml:space="preserve">ꎬ </w:t>
      </w:r>
      <w:r>
        <w:t>地</w:t>
      </w:r>
      <w:r>
        <w:rPr>
          <w:spacing w:val="2"/>
        </w:rPr>
        <w:t>方生态环境部门及其所属监测机构在行政</w:t>
      </w:r>
      <w:r>
        <w:rPr>
          <w:spacing w:val="27"/>
        </w:rPr>
        <w:t>执法过程中予以采用的</w:t>
      </w:r>
      <w:r>
        <w:rPr>
          <w:rFonts w:hint="eastAsia" w:ascii="MS UI Gothic" w:eastAsia="MS UI Gothic"/>
          <w:spacing w:val="2"/>
          <w:w w:val="80"/>
        </w:rPr>
        <w:t xml:space="preserve">ꎬ   </w:t>
      </w:r>
      <w:r>
        <w:rPr>
          <w:spacing w:val="28"/>
        </w:rPr>
        <w:t>其实质属于</w:t>
      </w:r>
    </w:p>
    <w:p>
      <w:pPr>
        <w:pStyle w:val="6"/>
        <w:spacing w:line="295" w:lineRule="auto"/>
        <w:ind w:right="442" w:firstLine="0"/>
        <w:rPr>
          <w:rFonts w:hint="eastAsia" w:ascii="MS UI Gothic" w:hAnsi="MS UI Gothic" w:eastAsia="MS UI Gothic"/>
        </w:rPr>
      </w:pPr>
      <w:r>
        <w:rPr>
          <w:rFonts w:hint="eastAsia" w:ascii="MS UI Gothic" w:hAnsi="MS UI Gothic" w:eastAsia="MS UI Gothic"/>
          <w:w w:val="80"/>
        </w:rPr>
        <w:t xml:space="preserve">« </w:t>
      </w:r>
      <w:r>
        <w:rPr>
          <w:w w:val="105"/>
        </w:rPr>
        <w:t>环境解释</w:t>
      </w:r>
      <w:r>
        <w:rPr>
          <w:rFonts w:hint="eastAsia" w:ascii="MS UI Gothic" w:hAnsi="MS UI Gothic" w:eastAsia="MS UI Gothic"/>
          <w:w w:val="80"/>
        </w:rPr>
        <w:t xml:space="preserve">» </w:t>
      </w:r>
      <w:r>
        <w:rPr>
          <w:w w:val="105"/>
        </w:rPr>
        <w:t xml:space="preserve">第十二条规定的 </w:t>
      </w:r>
      <w:r>
        <w:rPr>
          <w:rFonts w:hint="eastAsia" w:ascii="MS UI Gothic" w:hAnsi="MS UI Gothic" w:eastAsia="MS UI Gothic"/>
          <w:w w:val="105"/>
        </w:rPr>
        <w:t xml:space="preserve">“ </w:t>
      </w:r>
      <w:r>
        <w:rPr>
          <w:w w:val="105"/>
        </w:rPr>
        <w:t>环境保护</w:t>
      </w:r>
      <w:r>
        <w:t>主管部门及其所属监测机构在行政执法过程中收集的监测数据</w:t>
      </w:r>
      <w:r>
        <w:rPr>
          <w:rFonts w:hint="eastAsia" w:ascii="MS UI Gothic" w:hAnsi="MS UI Gothic" w:eastAsia="MS UI Gothic"/>
        </w:rPr>
        <w:t xml:space="preserve">” </w:t>
      </w:r>
      <w:r>
        <w:rPr>
          <w:rFonts w:hint="eastAsia" w:ascii="MS UI Gothic" w:hAnsi="MS UI Gothic" w:eastAsia="MS UI Gothic"/>
          <w:w w:val="80"/>
        </w:rPr>
        <w:t xml:space="preserve">ꎬ </w:t>
      </w:r>
      <w:r>
        <w:t>在刑事诉讼中可</w:t>
      </w:r>
      <w:r>
        <w:rPr>
          <w:w w:val="105"/>
        </w:rPr>
        <w:t>以作为证据使用</w:t>
      </w:r>
      <w:r>
        <w:rPr>
          <w:rFonts w:hint="eastAsia" w:ascii="MS UI Gothic" w:hAnsi="MS UI Gothic" w:eastAsia="MS UI Gothic"/>
          <w:w w:val="8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9"/>
        <w:ind w:left="0" w:firstLine="0"/>
        <w:jc w:val="left"/>
        <w:rPr>
          <w:rFonts w:ascii="MS UI Gothic"/>
          <w:sz w:val="16"/>
        </w:rPr>
      </w:pPr>
    </w:p>
    <w:p>
      <w:pPr>
        <w:pStyle w:val="4"/>
        <w:tabs>
          <w:tab w:val="left" w:pos="3548"/>
          <w:tab w:val="left" w:pos="4665"/>
        </w:tabs>
        <w:spacing w:before="74" w:line="266" w:lineRule="auto"/>
        <w:ind w:left="1871" w:right="2191"/>
      </w:pPr>
      <w:r>
        <w:rPr>
          <w:spacing w:val="5"/>
        </w:rPr>
        <w:t>应急管理</w:t>
      </w:r>
      <w:r>
        <w:t>部</w:t>
      </w:r>
      <w:r>
        <w:tab/>
      </w:r>
      <w:r>
        <w:rPr>
          <w:spacing w:val="5"/>
        </w:rPr>
        <w:t>公安</w:t>
      </w:r>
      <w:r>
        <w:t>部</w:t>
      </w:r>
      <w:r>
        <w:tab/>
      </w:r>
      <w:r>
        <w:rPr>
          <w:spacing w:val="5"/>
        </w:rPr>
        <w:t>最高人民法</w:t>
      </w:r>
      <w:r>
        <w:rPr>
          <w:spacing w:val="-13"/>
        </w:rPr>
        <w:t>院</w:t>
      </w:r>
      <w:r>
        <w:rPr>
          <w:spacing w:val="5"/>
        </w:rPr>
        <w:t>最高人民检察院关于印</w:t>
      </w:r>
      <w:r>
        <w:t>发</w:t>
      </w:r>
    </w:p>
    <w:p>
      <w:pPr>
        <w:spacing w:before="1"/>
        <w:ind w:left="0" w:right="320" w:firstLine="0"/>
        <w:jc w:val="center"/>
        <w:rPr>
          <w:sz w:val="27"/>
        </w:rPr>
      </w:pPr>
      <w:r>
        <w:rPr>
          <w:rFonts w:hint="eastAsia" w:ascii="MS UI Gothic" w:hAnsi="MS UI Gothic" w:eastAsia="MS UI Gothic"/>
          <w:sz w:val="27"/>
        </w:rPr>
        <w:t xml:space="preserve">« </w:t>
      </w:r>
      <w:r>
        <w:rPr>
          <w:sz w:val="27"/>
        </w:rPr>
        <w:t>安全生产行政执法与刑事司法衔接工作办法</w:t>
      </w:r>
      <w:r>
        <w:rPr>
          <w:rFonts w:hint="eastAsia" w:ascii="MS UI Gothic" w:hAnsi="MS UI Gothic" w:eastAsia="MS UI Gothic"/>
          <w:sz w:val="27"/>
        </w:rPr>
        <w:t xml:space="preserve">» </w:t>
      </w:r>
      <w:r>
        <w:rPr>
          <w:sz w:val="27"/>
        </w:rPr>
        <w:t>的通知</w:t>
      </w:r>
    </w:p>
    <w:p>
      <w:pPr>
        <w:pStyle w:val="5"/>
        <w:spacing w:before="346"/>
        <w:ind w:right="630"/>
      </w:pPr>
      <w:r>
        <w:rPr>
          <w:w w:val="90"/>
        </w:rPr>
        <w:t>应急 〔</w:t>
      </w:r>
      <w:r>
        <w:rPr>
          <w:rFonts w:hint="eastAsia" w:ascii="MS UI Gothic" w:eastAsia="MS UI Gothic"/>
          <w:w w:val="90"/>
        </w:rPr>
        <w:t>２０１９</w:t>
      </w:r>
      <w:r>
        <w:rPr>
          <w:w w:val="90"/>
        </w:rPr>
        <w:t xml:space="preserve">〕 </w:t>
      </w:r>
      <w:r>
        <w:rPr>
          <w:rFonts w:hint="eastAsia" w:ascii="MS UI Gothic" w:eastAsia="MS UI Gothic"/>
          <w:w w:val="90"/>
        </w:rPr>
        <w:t xml:space="preserve">５４ </w:t>
      </w:r>
      <w:r>
        <w:rPr>
          <w:w w:val="90"/>
        </w:rPr>
        <w:t>号</w:t>
      </w:r>
    </w:p>
    <w:p>
      <w:pPr>
        <w:pStyle w:val="6"/>
        <w:spacing w:before="354" w:line="295" w:lineRule="auto"/>
        <w:ind w:right="440" w:firstLine="0"/>
        <w:rPr>
          <w:rFonts w:hint="eastAsia" w:ascii="MS UI Gothic" w:eastAsia="MS UI Gothic"/>
        </w:rPr>
      </w:pPr>
      <w:r>
        <w:rPr>
          <w:w w:val="105"/>
        </w:rPr>
        <w:t>各省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 xml:space="preserve">直辖市应急管理厅 </w:t>
      </w:r>
      <w:r>
        <w:rPr>
          <w:rFonts w:hint="eastAsia" w:ascii="MS UI Gothic" w:eastAsia="MS UI Gothic"/>
          <w:w w:val="150"/>
        </w:rPr>
        <w:t xml:space="preserve">( </w:t>
      </w:r>
      <w:r>
        <w:rPr>
          <w:w w:val="105"/>
        </w:rPr>
        <w:t>局</w:t>
      </w:r>
      <w:r>
        <w:rPr>
          <w:rFonts w:hint="eastAsia" w:ascii="MS UI Gothic" w:eastAsia="MS UI Gothic"/>
          <w:w w:val="150"/>
        </w:rPr>
        <w:t>)</w:t>
      </w:r>
      <w:r>
        <w:rPr>
          <w:rFonts w:hint="eastAsia" w:ascii="MS UI Gothic" w:eastAsia="MS UI Gothic"/>
          <w:w w:val="80"/>
        </w:rPr>
        <w:t xml:space="preserve">、 </w:t>
      </w:r>
      <w:r>
        <w:rPr>
          <w:w w:val="105"/>
        </w:rPr>
        <w:t xml:space="preserve">公安厅 </w:t>
      </w:r>
      <w:r>
        <w:rPr>
          <w:rFonts w:hint="eastAsia" w:ascii="MS UI Gothic" w:eastAsia="MS UI Gothic"/>
          <w:w w:val="150"/>
        </w:rPr>
        <w:t xml:space="preserve">( </w:t>
      </w:r>
      <w:r>
        <w:rPr>
          <w:w w:val="105"/>
        </w:rPr>
        <w:t>局</w:t>
      </w:r>
      <w:r>
        <w:rPr>
          <w:rFonts w:hint="eastAsia" w:ascii="MS UI Gothic" w:eastAsia="MS UI Gothic"/>
          <w:w w:val="150"/>
        </w:rPr>
        <w:t>)</w:t>
      </w:r>
      <w:r>
        <w:rPr>
          <w:rFonts w:hint="eastAsia" w:ascii="MS UI Gothic" w:eastAsia="MS UI Gothic"/>
          <w:w w:val="80"/>
        </w:rPr>
        <w:t xml:space="preserve">、 </w:t>
      </w:r>
      <w:r>
        <w:rPr>
          <w:w w:val="105"/>
        </w:rPr>
        <w:t>高级人民法院</w:t>
      </w:r>
      <w:r>
        <w:rPr>
          <w:rFonts w:hint="eastAsia" w:ascii="MS UI Gothic" w:eastAsia="MS UI Gothic"/>
          <w:w w:val="80"/>
        </w:rPr>
        <w:t xml:space="preserve">、 </w:t>
      </w:r>
      <w:r>
        <w:rPr>
          <w:w w:val="105"/>
        </w:rPr>
        <w:t>人民检察院</w:t>
      </w:r>
      <w:r>
        <w:rPr>
          <w:rFonts w:hint="eastAsia" w:ascii="MS UI Gothic" w:eastAsia="MS UI Gothic"/>
          <w:w w:val="80"/>
        </w:rPr>
        <w:t>ꎬ</w:t>
      </w:r>
      <w:r>
        <w:rPr>
          <w:w w:val="105"/>
        </w:rPr>
        <w:t>新疆生产建设兵团应急管理局</w:t>
      </w:r>
      <w:r>
        <w:rPr>
          <w:rFonts w:hint="eastAsia" w:ascii="MS UI Gothic" w:eastAsia="MS UI Gothic"/>
          <w:w w:val="80"/>
        </w:rPr>
        <w:t xml:space="preserve">、 </w:t>
      </w:r>
      <w:r>
        <w:rPr>
          <w:w w:val="105"/>
        </w:rPr>
        <w:t>公安局</w:t>
      </w:r>
      <w:r>
        <w:rPr>
          <w:rFonts w:hint="eastAsia" w:ascii="MS UI Gothic" w:eastAsia="MS UI Gothic"/>
          <w:w w:val="80"/>
        </w:rPr>
        <w:t xml:space="preserve">、 </w:t>
      </w:r>
      <w:r>
        <w:rPr>
          <w:w w:val="105"/>
        </w:rPr>
        <w:t>新疆维吾尔自治区高级人民法院生产建设兵团分院</w:t>
      </w:r>
      <w:r>
        <w:rPr>
          <w:rFonts w:hint="eastAsia" w:ascii="MS UI Gothic" w:eastAsia="MS UI Gothic"/>
          <w:w w:val="80"/>
        </w:rPr>
        <w:t xml:space="preserve">、 </w:t>
      </w:r>
      <w:r>
        <w:rPr>
          <w:w w:val="105"/>
        </w:rPr>
        <w:t>新疆生产建设兵团人民检察院</w:t>
      </w:r>
      <w:r>
        <w:rPr>
          <w:rFonts w:hint="eastAsia" w:ascii="MS UI Gothic" w:eastAsia="MS UI Gothic"/>
          <w:w w:val="80"/>
        </w:rPr>
        <w:t xml:space="preserve">ꎬ </w:t>
      </w:r>
      <w:r>
        <w:rPr>
          <w:w w:val="105"/>
        </w:rPr>
        <w:t>各省级煤矿安全监察局</w:t>
      </w:r>
      <w:r>
        <w:rPr>
          <w:rFonts w:hint="eastAsia" w:ascii="MS UI Gothic" w:eastAsia="MS UI Gothic"/>
          <w:w w:val="235"/>
        </w:rPr>
        <w:t>:</w:t>
      </w:r>
    </w:p>
    <w:p>
      <w:pPr>
        <w:pStyle w:val="6"/>
        <w:spacing w:line="295" w:lineRule="auto"/>
        <w:ind w:right="440"/>
        <w:rPr>
          <w:rFonts w:hint="eastAsia" w:ascii="MS UI Gothic" w:hAnsi="MS UI Gothic" w:eastAsia="MS UI Gothic"/>
        </w:rPr>
      </w:pPr>
      <w:r>
        <w:t>为了建立健全安全生产行政执法与刑事司法衔接工作机制</w:t>
      </w:r>
      <w:r>
        <w:rPr>
          <w:rFonts w:hint="eastAsia" w:ascii="MS UI Gothic" w:hAnsi="MS UI Gothic" w:eastAsia="MS UI Gothic"/>
          <w:w w:val="80"/>
        </w:rPr>
        <w:t xml:space="preserve">ꎬ  </w:t>
      </w:r>
      <w:r>
        <w:t>依法惩治安全生产违法犯罪行为</w:t>
      </w:r>
      <w:r>
        <w:rPr>
          <w:rFonts w:hint="eastAsia" w:ascii="MS UI Gothic" w:hAnsi="MS UI Gothic" w:eastAsia="MS UI Gothic"/>
          <w:w w:val="80"/>
        </w:rPr>
        <w:t xml:space="preserve">ꎬ </w:t>
      </w:r>
      <w:r>
        <w:t>保障人民群众生命财产安全和社会稳定</w:t>
      </w:r>
      <w:r>
        <w:rPr>
          <w:rFonts w:hint="eastAsia" w:ascii="MS UI Gothic" w:hAnsi="MS UI Gothic" w:eastAsia="MS UI Gothic"/>
          <w:w w:val="80"/>
        </w:rPr>
        <w:t xml:space="preserve">ꎬ </w:t>
      </w:r>
      <w:r>
        <w:t>应急管理部</w:t>
      </w:r>
      <w:r>
        <w:rPr>
          <w:rFonts w:hint="eastAsia" w:ascii="MS UI Gothic" w:hAnsi="MS UI Gothic" w:eastAsia="MS UI Gothic"/>
          <w:w w:val="80"/>
        </w:rPr>
        <w:t xml:space="preserve">、 </w:t>
      </w:r>
      <w:r>
        <w:t>公安部</w:t>
      </w:r>
      <w:r>
        <w:rPr>
          <w:rFonts w:hint="eastAsia" w:ascii="MS UI Gothic" w:hAnsi="MS UI Gothic" w:eastAsia="MS UI Gothic"/>
          <w:w w:val="80"/>
        </w:rPr>
        <w:t xml:space="preserve">、  </w:t>
      </w:r>
      <w:r>
        <w:t>最高人民法院</w:t>
      </w:r>
      <w:r>
        <w:rPr>
          <w:rFonts w:hint="eastAsia" w:ascii="MS UI Gothic" w:hAnsi="MS UI Gothic" w:eastAsia="MS UI Gothic"/>
          <w:w w:val="80"/>
        </w:rPr>
        <w:t xml:space="preserve">、 </w:t>
      </w:r>
      <w:r>
        <w:t xml:space="preserve">最高人民检察院联合研究制定了 </w:t>
      </w:r>
      <w:r>
        <w:rPr>
          <w:rFonts w:hint="eastAsia" w:ascii="MS UI Gothic" w:hAnsi="MS UI Gothic" w:eastAsia="MS UI Gothic"/>
          <w:w w:val="80"/>
        </w:rPr>
        <w:t xml:space="preserve">« </w:t>
      </w:r>
      <w:r>
        <w:t>安全生产行政执法与刑事司法衔接工作办法</w:t>
      </w:r>
      <w:r>
        <w:rPr>
          <w:rFonts w:hint="eastAsia" w:ascii="MS UI Gothic" w:hAnsi="MS UI Gothic" w:eastAsia="MS UI Gothic"/>
          <w:w w:val="80"/>
        </w:rPr>
        <w:t>» ꎬ</w:t>
      </w:r>
      <w:r>
        <w:t>现予以印发</w:t>
      </w:r>
      <w:r>
        <w:rPr>
          <w:rFonts w:hint="eastAsia" w:ascii="MS UI Gothic" w:hAnsi="MS UI Gothic" w:eastAsia="MS UI Gothic"/>
          <w:w w:val="80"/>
        </w:rPr>
        <w:t xml:space="preserve">ꎬ </w:t>
      </w:r>
      <w:r>
        <w:t>请遵照执行</w:t>
      </w:r>
      <w:r>
        <w:rPr>
          <w:rFonts w:hint="eastAsia" w:ascii="MS UI Gothic" w:hAnsi="MS UI Gothic" w:eastAsia="MS UI Gothic"/>
          <w:w w:val="80"/>
        </w:rPr>
        <w:t>ꎮ</w:t>
      </w:r>
    </w:p>
    <w:p>
      <w:pPr>
        <w:pStyle w:val="6"/>
        <w:spacing w:before="309"/>
        <w:ind w:left="0" w:right="442" w:firstLine="0"/>
        <w:jc w:val="right"/>
      </w:pPr>
      <w:r>
        <w:rPr>
          <w:spacing w:val="2"/>
        </w:rPr>
        <w:t>应急管理部</w:t>
      </w:r>
    </w:p>
    <w:p>
      <w:pPr>
        <w:pStyle w:val="6"/>
        <w:spacing w:before="58" w:line="295" w:lineRule="auto"/>
        <w:ind w:left="6622" w:right="442" w:firstLine="838"/>
        <w:jc w:val="right"/>
      </w:pPr>
      <w:r>
        <w:rPr>
          <w:spacing w:val="-4"/>
        </w:rPr>
        <w:t>公安部</w:t>
      </w:r>
      <w:r>
        <w:rPr>
          <w:spacing w:val="2"/>
        </w:rPr>
        <w:t>最高人民法院最</w:t>
      </w:r>
      <w:r>
        <w:rPr>
          <w:spacing w:val="-1"/>
        </w:rPr>
        <w:t>高人民检察院</w:t>
      </w:r>
    </w:p>
    <w:p>
      <w:pPr>
        <w:pStyle w:val="6"/>
        <w:spacing w:line="254" w:lineRule="exact"/>
        <w:ind w:left="0" w:right="442" w:firstLine="0"/>
        <w:jc w:val="right"/>
      </w:pPr>
      <w:r>
        <w:rPr>
          <w:rFonts w:hint="eastAsia" w:ascii="MS UI Gothic" w:eastAsia="MS UI Gothic"/>
          <w:spacing w:val="-7"/>
          <w:w w:val="95"/>
        </w:rPr>
        <w:t xml:space="preserve">２０１９ </w:t>
      </w:r>
      <w:r>
        <w:rPr>
          <w:spacing w:val="-36"/>
          <w:w w:val="95"/>
        </w:rPr>
        <w:t xml:space="preserve">年 </w:t>
      </w:r>
      <w:r>
        <w:rPr>
          <w:rFonts w:hint="eastAsia" w:ascii="MS UI Gothic" w:eastAsia="MS UI Gothic"/>
          <w:spacing w:val="-15"/>
          <w:w w:val="95"/>
        </w:rPr>
        <w:t xml:space="preserve">４ </w:t>
      </w:r>
      <w:r>
        <w:rPr>
          <w:spacing w:val="-36"/>
          <w:w w:val="95"/>
        </w:rPr>
        <w:t xml:space="preserve">月 </w:t>
      </w:r>
      <w:r>
        <w:rPr>
          <w:rFonts w:hint="eastAsia" w:ascii="MS UI Gothic" w:eastAsia="MS UI Gothic"/>
          <w:spacing w:val="-10"/>
          <w:w w:val="95"/>
        </w:rPr>
        <w:t xml:space="preserve">１６ </w:t>
      </w:r>
      <w:r>
        <w:rPr>
          <w:w w:val="95"/>
        </w:rPr>
        <w:t>日</w:t>
      </w:r>
    </w:p>
    <w:p>
      <w:pPr>
        <w:spacing w:after="0" w:line="254" w:lineRule="exact"/>
        <w:jc w:val="right"/>
        <w:sectPr>
          <w:type w:val="continuous"/>
          <w:pgSz w:w="10500" w:h="14750"/>
          <w:pgMar w:top="1400" w:right="980" w:bottom="280" w:left="980" w:header="720" w:footer="720" w:gutter="0"/>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３１</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43" o:spid="_x0000_s1143" o:spt="203" style="height:2.15pt;width:398.25pt;" coordsize="7965,43">
            <o:lock v:ext="edit"/>
            <v:line id="_x0000_s1144" o:spid="_x0000_s1144" o:spt="20" style="position:absolute;left:0;top:39;height:0;width:7965;" stroked="t" coordsize="21600,21600">
              <v:path arrowok="t"/>
              <v:fill focussize="0,0"/>
              <v:stroke weight="0.388031496062992pt" color="#231F20"/>
              <v:imagedata o:title=""/>
              <o:lock v:ext="edit"/>
            </v:line>
            <v:line id="_x0000_s1145" o:spid="_x0000_s1145"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4"/>
        <w:spacing w:before="238"/>
      </w:pPr>
      <w:r>
        <w:t>安全生产行政执法与刑事司法衔接工作办法</w:t>
      </w:r>
    </w:p>
    <w:p>
      <w:pPr>
        <w:pStyle w:val="6"/>
        <w:spacing w:before="12"/>
        <w:ind w:left="0" w:firstLine="0"/>
        <w:jc w:val="left"/>
        <w:rPr>
          <w:sz w:val="14"/>
        </w:rPr>
      </w:pPr>
    </w:p>
    <w:p>
      <w:pPr>
        <w:spacing w:after="0"/>
        <w:jc w:val="left"/>
        <w:rPr>
          <w:sz w:val="14"/>
        </w:rPr>
        <w:sectPr>
          <w:type w:val="continuous"/>
          <w:pgSz w:w="10500" w:h="14750"/>
          <w:pgMar w:top="1400" w:right="980" w:bottom="280" w:left="980" w:header="720" w:footer="720" w:gutter="0"/>
        </w:sectPr>
      </w:pPr>
    </w:p>
    <w:p>
      <w:pPr>
        <w:pStyle w:val="6"/>
        <w:spacing w:before="11"/>
        <w:ind w:left="0" w:firstLine="0"/>
        <w:jc w:val="left"/>
        <w:rPr>
          <w:sz w:val="25"/>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11"/>
        <w:ind w:left="0" w:firstLine="0"/>
        <w:jc w:val="left"/>
        <w:rPr>
          <w:sz w:val="16"/>
        </w:rPr>
      </w:pPr>
    </w:p>
    <w:p>
      <w:pPr>
        <w:pStyle w:val="6"/>
        <w:spacing w:line="292" w:lineRule="auto"/>
        <w:ind w:left="440" w:right="1"/>
        <w:rPr>
          <w:rFonts w:hint="eastAsia" w:ascii="MS UI Gothic" w:hAnsi="MS UI Gothic" w:eastAsia="MS UI Gothic"/>
        </w:rPr>
      </w:pPr>
      <w:r>
        <w:t>第一条 为了建立健全安全生产行政执法与刑事司法衔接工作机制</w:t>
      </w:r>
      <w:r>
        <w:rPr>
          <w:rFonts w:hint="eastAsia" w:ascii="MS UI Gothic" w:hAnsi="MS UI Gothic" w:eastAsia="MS UI Gothic"/>
          <w:w w:val="80"/>
        </w:rPr>
        <w:t xml:space="preserve">ꎬ </w:t>
      </w:r>
      <w:r>
        <w:t>依法惩治安全生产违法犯罪行为</w:t>
      </w:r>
      <w:r>
        <w:rPr>
          <w:rFonts w:hint="eastAsia" w:ascii="MS UI Gothic" w:hAnsi="MS UI Gothic" w:eastAsia="MS UI Gothic"/>
          <w:w w:val="80"/>
        </w:rPr>
        <w:t xml:space="preserve">ꎬ </w:t>
      </w:r>
      <w:r>
        <w:t>保障人民群众生命财产安全和社会稳定</w:t>
      </w:r>
      <w:r>
        <w:rPr>
          <w:rFonts w:hint="eastAsia" w:ascii="MS UI Gothic" w:hAnsi="MS UI Gothic" w:eastAsia="MS UI Gothic"/>
          <w:w w:val="80"/>
        </w:rPr>
        <w:t xml:space="preserve">ꎬ </w:t>
      </w:r>
      <w:r>
        <w:t xml:space="preserve">依据 </w:t>
      </w:r>
      <w:r>
        <w:rPr>
          <w:rFonts w:hint="eastAsia" w:ascii="MS UI Gothic" w:hAnsi="MS UI Gothic" w:eastAsia="MS UI Gothic"/>
          <w:w w:val="80"/>
        </w:rPr>
        <w:t xml:space="preserve">« </w:t>
      </w:r>
      <w:r>
        <w:t>中华人民共和国刑法</w:t>
      </w:r>
      <w:r>
        <w:rPr>
          <w:rFonts w:hint="eastAsia" w:ascii="MS UI Gothic" w:hAnsi="MS UI Gothic" w:eastAsia="MS UI Gothic"/>
          <w:w w:val="80"/>
        </w:rPr>
        <w:t xml:space="preserve">» « </w:t>
      </w:r>
      <w:r>
        <w:t>中华人民共和国刑事诉讼法</w:t>
      </w:r>
      <w:r>
        <w:rPr>
          <w:rFonts w:hint="eastAsia" w:ascii="MS UI Gothic" w:hAnsi="MS UI Gothic" w:eastAsia="MS UI Gothic"/>
          <w:w w:val="80"/>
        </w:rPr>
        <w:t xml:space="preserve">» « </w:t>
      </w:r>
      <w:r>
        <w:t>中华人民共和国安全生产法</w:t>
      </w:r>
      <w:r>
        <w:rPr>
          <w:rFonts w:hint="eastAsia" w:ascii="MS UI Gothic" w:hAnsi="MS UI Gothic" w:eastAsia="MS UI Gothic"/>
          <w:w w:val="80"/>
        </w:rPr>
        <w:t>»</w:t>
      </w:r>
    </w:p>
    <w:p>
      <w:pPr>
        <w:pStyle w:val="6"/>
        <w:spacing w:line="292" w:lineRule="auto"/>
        <w:ind w:left="440" w:right="1" w:firstLine="0"/>
        <w:rPr>
          <w:rFonts w:hint="eastAsia" w:ascii="MS UI Gothic" w:hAnsi="MS UI Gothic" w:eastAsia="MS UI Gothic"/>
        </w:rPr>
      </w:pPr>
      <w:r>
        <w:rPr>
          <w:rFonts w:hint="eastAsia" w:ascii="MS UI Gothic" w:hAnsi="MS UI Gothic" w:eastAsia="MS UI Gothic"/>
          <w:w w:val="80"/>
        </w:rPr>
        <w:t xml:space="preserve">« </w:t>
      </w:r>
      <w:r>
        <w:t>中华人民共和国消防法</w:t>
      </w:r>
      <w:r>
        <w:rPr>
          <w:rFonts w:hint="eastAsia" w:ascii="MS UI Gothic" w:hAnsi="MS UI Gothic" w:eastAsia="MS UI Gothic"/>
          <w:w w:val="80"/>
        </w:rPr>
        <w:t xml:space="preserve">» </w:t>
      </w:r>
      <w:r>
        <w:t xml:space="preserve">和 </w:t>
      </w:r>
      <w:r>
        <w:rPr>
          <w:rFonts w:hint="eastAsia" w:ascii="MS UI Gothic" w:hAnsi="MS UI Gothic" w:eastAsia="MS UI Gothic"/>
          <w:w w:val="80"/>
        </w:rPr>
        <w:t xml:space="preserve">« </w:t>
      </w:r>
      <w:r>
        <w:t>行政执法机关移送涉嫌犯罪案件的规定</w:t>
      </w:r>
      <w:r>
        <w:rPr>
          <w:rFonts w:hint="eastAsia" w:ascii="MS UI Gothic" w:hAnsi="MS UI Gothic" w:eastAsia="MS UI Gothic"/>
          <w:w w:val="80"/>
        </w:rPr>
        <w:t xml:space="preserve">» « </w:t>
      </w:r>
      <w:r>
        <w:t>生产安全事故报告和调查处理条例</w:t>
      </w:r>
      <w:r>
        <w:rPr>
          <w:rFonts w:hint="eastAsia" w:ascii="MS UI Gothic" w:hAnsi="MS UI Gothic" w:eastAsia="MS UI Gothic"/>
          <w:w w:val="80"/>
        </w:rPr>
        <w:t xml:space="preserve">» « </w:t>
      </w:r>
      <w:r>
        <w:t>最高人民法院最高人民检察院关于办理危害生产安全刑事案件适用法律若干问题的解释</w:t>
      </w:r>
      <w:r>
        <w:rPr>
          <w:rFonts w:hint="eastAsia" w:ascii="MS UI Gothic" w:hAnsi="MS UI Gothic" w:eastAsia="MS UI Gothic"/>
          <w:w w:val="80"/>
        </w:rPr>
        <w:t xml:space="preserve">» </w:t>
      </w:r>
      <w:r>
        <w:t>等法律</w:t>
      </w:r>
      <w:r>
        <w:rPr>
          <w:rFonts w:hint="eastAsia" w:ascii="MS UI Gothic" w:hAnsi="MS UI Gothic" w:eastAsia="MS UI Gothic"/>
          <w:w w:val="80"/>
        </w:rPr>
        <w:t xml:space="preserve">、 </w:t>
      </w:r>
      <w:r>
        <w:t>行政法规</w:t>
      </w:r>
      <w:r>
        <w:rPr>
          <w:rFonts w:hint="eastAsia" w:ascii="MS UI Gothic" w:hAnsi="MS UI Gothic" w:eastAsia="MS UI Gothic"/>
          <w:w w:val="80"/>
        </w:rPr>
        <w:t xml:space="preserve">、  </w:t>
      </w:r>
      <w:r>
        <w:t>司法解释及有关规定</w:t>
      </w:r>
      <w:r>
        <w:rPr>
          <w:rFonts w:hint="eastAsia" w:ascii="MS UI Gothic" w:hAnsi="MS UI Gothic" w:eastAsia="MS UI Gothic"/>
          <w:w w:val="80"/>
        </w:rPr>
        <w:t xml:space="preserve">ꎬ </w:t>
      </w:r>
      <w:r>
        <w:t>制定本办法</w:t>
      </w:r>
      <w:r>
        <w:rPr>
          <w:rFonts w:hint="eastAsia" w:ascii="MS UI Gothic" w:hAnsi="MS UI Gothic" w:eastAsia="MS UI Gothic"/>
          <w:w w:val="80"/>
        </w:rPr>
        <w:t>ꎮ</w:t>
      </w:r>
    </w:p>
    <w:p>
      <w:pPr>
        <w:pStyle w:val="6"/>
        <w:spacing w:line="292" w:lineRule="auto"/>
        <w:ind w:left="440" w:right="1"/>
        <w:rPr>
          <w:rFonts w:hint="eastAsia" w:ascii="MS UI Gothic" w:eastAsia="MS UI Gothic"/>
        </w:rPr>
      </w:pPr>
      <w:r>
        <w:t>第二条  本办法适用于应急管理部门</w:t>
      </w:r>
      <w:r>
        <w:rPr>
          <w:rFonts w:hint="eastAsia" w:ascii="MS UI Gothic" w:eastAsia="MS UI Gothic"/>
          <w:w w:val="80"/>
        </w:rPr>
        <w:t xml:space="preserve">、 </w:t>
      </w:r>
      <w:r>
        <w:t>公安机关</w:t>
      </w:r>
      <w:r>
        <w:rPr>
          <w:rFonts w:hint="eastAsia" w:ascii="MS UI Gothic" w:eastAsia="MS UI Gothic"/>
          <w:w w:val="80"/>
        </w:rPr>
        <w:t xml:space="preserve">、 </w:t>
      </w:r>
      <w:r>
        <w:t>人民法院</w:t>
      </w:r>
      <w:r>
        <w:rPr>
          <w:rFonts w:hint="eastAsia" w:ascii="MS UI Gothic" w:eastAsia="MS UI Gothic"/>
          <w:w w:val="80"/>
        </w:rPr>
        <w:t xml:space="preserve">、 </w:t>
      </w:r>
      <w:r>
        <w:t>人民检察院办理的涉嫌安全生产犯罪案件</w:t>
      </w:r>
      <w:r>
        <w:rPr>
          <w:rFonts w:hint="eastAsia" w:ascii="MS UI Gothic" w:eastAsia="MS UI Gothic"/>
          <w:w w:val="80"/>
        </w:rPr>
        <w:t>ꎮ</w:t>
      </w:r>
    </w:p>
    <w:p>
      <w:pPr>
        <w:pStyle w:val="6"/>
        <w:spacing w:line="292" w:lineRule="auto"/>
        <w:ind w:left="440" w:right="1"/>
        <w:rPr>
          <w:rFonts w:hint="eastAsia" w:ascii="MS UI Gothic" w:eastAsia="MS UI Gothic"/>
        </w:rPr>
      </w:pPr>
      <w:r>
        <w:t>应急管理部门查处违法行为时发现的涉嫌其他犯罪案件</w:t>
      </w:r>
      <w:r>
        <w:rPr>
          <w:rFonts w:hint="eastAsia" w:ascii="MS UI Gothic" w:eastAsia="MS UI Gothic"/>
          <w:w w:val="80"/>
        </w:rPr>
        <w:t xml:space="preserve">ꎬ </w:t>
      </w:r>
      <w:r>
        <w:t>参照本办法办理</w:t>
      </w:r>
      <w:r>
        <w:rPr>
          <w:rFonts w:hint="eastAsia" w:ascii="MS UI Gothic" w:eastAsia="MS UI Gothic"/>
          <w:w w:val="80"/>
        </w:rPr>
        <w:t>ꎮ</w:t>
      </w:r>
    </w:p>
    <w:p>
      <w:pPr>
        <w:pStyle w:val="6"/>
        <w:spacing w:line="292" w:lineRule="auto"/>
        <w:ind w:left="440" w:right="1"/>
        <w:rPr>
          <w:rFonts w:hint="eastAsia" w:ascii="MS UI Gothic" w:eastAsia="MS UI Gothic"/>
        </w:rPr>
      </w:pPr>
      <w:r>
        <w:t>本办法所称应急管理部门</w:t>
      </w:r>
      <w:r>
        <w:rPr>
          <w:rFonts w:hint="eastAsia" w:ascii="MS UI Gothic" w:eastAsia="MS UI Gothic"/>
          <w:w w:val="80"/>
        </w:rPr>
        <w:t xml:space="preserve">ꎬ </w:t>
      </w:r>
      <w:r>
        <w:t>包括煤矿安全监察机构</w:t>
      </w:r>
      <w:r>
        <w:rPr>
          <w:rFonts w:hint="eastAsia" w:ascii="MS UI Gothic" w:eastAsia="MS UI Gothic"/>
          <w:w w:val="80"/>
        </w:rPr>
        <w:t xml:space="preserve">、 </w:t>
      </w:r>
      <w:r>
        <w:t>消防机构</w:t>
      </w:r>
      <w:r>
        <w:rPr>
          <w:rFonts w:hint="eastAsia" w:ascii="MS UI Gothic" w:eastAsia="MS UI Gothic"/>
          <w:w w:val="80"/>
        </w:rPr>
        <w:t>ꎮ</w:t>
      </w:r>
    </w:p>
    <w:p>
      <w:pPr>
        <w:pStyle w:val="6"/>
        <w:spacing w:line="292" w:lineRule="auto"/>
        <w:ind w:left="440" w:right="1"/>
        <w:rPr>
          <w:rFonts w:hint="eastAsia" w:ascii="MS UI Gothic" w:hAnsi="MS UI Gothic" w:eastAsia="MS UI Gothic"/>
        </w:rPr>
      </w:pPr>
      <w:r>
        <w:t xml:space="preserve">属于 </w:t>
      </w:r>
      <w:r>
        <w:rPr>
          <w:rFonts w:hint="eastAsia" w:ascii="MS UI Gothic" w:hAnsi="MS UI Gothic" w:eastAsia="MS UI Gothic"/>
          <w:w w:val="80"/>
        </w:rPr>
        <w:t xml:space="preserve">« </w:t>
      </w:r>
      <w:r>
        <w:t>中华人民共和国监察法</w:t>
      </w:r>
      <w:r>
        <w:rPr>
          <w:rFonts w:hint="eastAsia" w:ascii="MS UI Gothic" w:hAnsi="MS UI Gothic" w:eastAsia="MS UI Gothic"/>
          <w:w w:val="80"/>
        </w:rPr>
        <w:t xml:space="preserve">» </w:t>
      </w:r>
      <w:r>
        <w:t>规定的公职人员在行使公权力过程中发生的依法由监察机关负责调查的涉嫌安全生产犯罪案件</w:t>
      </w:r>
      <w:r>
        <w:rPr>
          <w:rFonts w:hint="eastAsia" w:ascii="MS UI Gothic" w:hAnsi="MS UI Gothic" w:eastAsia="MS UI Gothic"/>
          <w:w w:val="80"/>
        </w:rPr>
        <w:t xml:space="preserve">ꎬ </w:t>
      </w:r>
      <w:r>
        <w:t>不适用本办法</w:t>
      </w:r>
      <w:r>
        <w:rPr>
          <w:rFonts w:hint="eastAsia" w:ascii="MS UI Gothic" w:hAnsi="MS UI Gothic" w:eastAsia="MS UI Gothic"/>
          <w:w w:val="80"/>
        </w:rPr>
        <w:t xml:space="preserve">ꎬ </w:t>
      </w:r>
      <w:r>
        <w:t>应当依法及时移送监察机关处理</w:t>
      </w:r>
      <w:r>
        <w:rPr>
          <w:rFonts w:hint="eastAsia" w:ascii="MS UI Gothic" w:hAnsi="MS UI Gothic" w:eastAsia="MS UI Gothic"/>
          <w:w w:val="80"/>
        </w:rPr>
        <w:t>ꎮ</w:t>
      </w:r>
    </w:p>
    <w:p>
      <w:pPr>
        <w:pStyle w:val="6"/>
        <w:spacing w:line="292" w:lineRule="auto"/>
        <w:ind w:left="440" w:right="1"/>
        <w:rPr>
          <w:rFonts w:hint="eastAsia" w:ascii="MS UI Gothic" w:eastAsia="MS UI Gothic"/>
        </w:rPr>
      </w:pPr>
      <w:r>
        <w:rPr>
          <w:w w:val="105"/>
        </w:rPr>
        <w:t>第三条 涉嫌安全生产犯罪案件主要</w:t>
      </w:r>
      <w:r>
        <w:rPr>
          <w:w w:val="110"/>
        </w:rPr>
        <w:t>包括下列案件</w:t>
      </w:r>
      <w:r>
        <w:rPr>
          <w:rFonts w:hint="eastAsia" w:ascii="MS UI Gothic" w:eastAsia="MS UI Gothic"/>
          <w:w w:val="235"/>
        </w:rPr>
        <w:t>:</w:t>
      </w:r>
    </w:p>
    <w:p>
      <w:pPr>
        <w:pStyle w:val="6"/>
        <w:spacing w:line="256" w:lineRule="exact"/>
        <w:ind w:left="860" w:firstLine="0"/>
        <w:rPr>
          <w:rFonts w:hint="eastAsia" w:ascii="MS UI Gothic" w:eastAsia="MS UI Gothic"/>
        </w:rPr>
      </w:pPr>
      <w:r>
        <w:rPr>
          <w:rFonts w:hint="eastAsia" w:ascii="MS UI Gothic" w:eastAsia="MS UI Gothic"/>
          <w:spacing w:val="-23"/>
          <w:w w:val="105"/>
        </w:rPr>
        <w:t xml:space="preserve">( </w:t>
      </w:r>
      <w:r>
        <w:rPr>
          <w:spacing w:val="3"/>
          <w:w w:val="105"/>
        </w:rPr>
        <w:t>一</w:t>
      </w:r>
      <w:r>
        <w:rPr>
          <w:rFonts w:hint="eastAsia" w:ascii="MS UI Gothic" w:eastAsia="MS UI Gothic"/>
          <w:spacing w:val="23"/>
          <w:w w:val="105"/>
        </w:rPr>
        <w:t xml:space="preserve">) </w:t>
      </w:r>
      <w:r>
        <w:rPr>
          <w:spacing w:val="3"/>
          <w:w w:val="105"/>
        </w:rPr>
        <w:t>重大责任事故案件</w:t>
      </w:r>
      <w:r>
        <w:rPr>
          <w:rFonts w:hint="eastAsia" w:ascii="MS UI Gothic" w:eastAsia="MS UI Gothic"/>
          <w:w w:val="80"/>
        </w:rPr>
        <w:t>ꎻ</w:t>
      </w:r>
    </w:p>
    <w:p>
      <w:pPr>
        <w:pStyle w:val="6"/>
        <w:spacing w:before="48" w:line="292" w:lineRule="auto"/>
        <w:ind w:left="860" w:right="587" w:firstLine="0"/>
        <w:rPr>
          <w:rFonts w:hint="eastAsia" w:ascii="MS UI Gothic" w:eastAsia="MS UI Gothic"/>
        </w:rPr>
      </w:pPr>
      <w:r>
        <w:rPr>
          <w:rFonts w:hint="eastAsia" w:ascii="MS UI Gothic" w:eastAsia="MS UI Gothic"/>
          <w:spacing w:val="-24"/>
          <w:w w:val="105"/>
        </w:rPr>
        <w:t xml:space="preserve">( </w:t>
      </w:r>
      <w:r>
        <w:rPr>
          <w:spacing w:val="3"/>
          <w:w w:val="105"/>
        </w:rPr>
        <w:t>二</w:t>
      </w:r>
      <w:r>
        <w:rPr>
          <w:rFonts w:hint="eastAsia" w:ascii="MS UI Gothic" w:eastAsia="MS UI Gothic"/>
          <w:spacing w:val="20"/>
          <w:w w:val="105"/>
        </w:rPr>
        <w:t xml:space="preserve">) </w:t>
      </w:r>
      <w:r>
        <w:rPr>
          <w:spacing w:val="3"/>
          <w:w w:val="105"/>
        </w:rPr>
        <w:t>强令违章冒险作业案件</w:t>
      </w:r>
      <w:r>
        <w:rPr>
          <w:rFonts w:hint="eastAsia" w:ascii="MS UI Gothic" w:eastAsia="MS UI Gothic"/>
          <w:w w:val="80"/>
        </w:rPr>
        <w:t>ꎻ</w:t>
      </w:r>
      <w:r>
        <w:rPr>
          <w:rFonts w:hint="eastAsia" w:ascii="MS UI Gothic" w:eastAsia="MS UI Gothic"/>
          <w:spacing w:val="-24"/>
          <w:w w:val="105"/>
        </w:rPr>
        <w:t xml:space="preserve">( </w:t>
      </w:r>
      <w:r>
        <w:rPr>
          <w:spacing w:val="3"/>
          <w:w w:val="105"/>
        </w:rPr>
        <w:t>三</w:t>
      </w:r>
      <w:r>
        <w:rPr>
          <w:rFonts w:hint="eastAsia" w:ascii="MS UI Gothic" w:eastAsia="MS UI Gothic"/>
          <w:spacing w:val="20"/>
          <w:w w:val="105"/>
        </w:rPr>
        <w:t xml:space="preserve">) </w:t>
      </w:r>
      <w:r>
        <w:rPr>
          <w:spacing w:val="3"/>
          <w:w w:val="105"/>
        </w:rPr>
        <w:t>重大劳动安全事故案件</w:t>
      </w:r>
      <w:r>
        <w:rPr>
          <w:rFonts w:hint="eastAsia" w:ascii="MS UI Gothic" w:eastAsia="MS UI Gothic"/>
          <w:w w:val="80"/>
        </w:rPr>
        <w:t>ꎻ</w:t>
      </w:r>
      <w:r>
        <w:rPr>
          <w:rFonts w:hint="eastAsia" w:ascii="MS UI Gothic" w:eastAsia="MS UI Gothic"/>
          <w:spacing w:val="-39"/>
          <w:w w:val="150"/>
        </w:rPr>
        <w:t xml:space="preserve">( </w:t>
      </w:r>
      <w:r>
        <w:rPr>
          <w:spacing w:val="3"/>
          <w:w w:val="110"/>
        </w:rPr>
        <w:t>四</w:t>
      </w:r>
      <w:r>
        <w:rPr>
          <w:rFonts w:hint="eastAsia" w:ascii="MS UI Gothic" w:eastAsia="MS UI Gothic"/>
          <w:spacing w:val="-1"/>
          <w:w w:val="150"/>
        </w:rPr>
        <w:t xml:space="preserve">) </w:t>
      </w:r>
      <w:r>
        <w:rPr>
          <w:spacing w:val="3"/>
          <w:w w:val="110"/>
        </w:rPr>
        <w:t>危险物品肇事案件</w:t>
      </w:r>
      <w:r>
        <w:rPr>
          <w:rFonts w:hint="eastAsia" w:ascii="MS UI Gothic" w:eastAsia="MS UI Gothic"/>
          <w:w w:val="80"/>
        </w:rPr>
        <w:t>ꎻ</w:t>
      </w:r>
    </w:p>
    <w:p>
      <w:pPr>
        <w:pStyle w:val="6"/>
        <w:spacing w:line="292" w:lineRule="auto"/>
        <w:ind w:left="860" w:right="378" w:firstLine="0"/>
        <w:rPr>
          <w:rFonts w:hint="eastAsia" w:ascii="MS UI Gothic" w:eastAsia="MS UI Gothic"/>
        </w:rPr>
      </w:pPr>
      <w:r>
        <w:rPr>
          <w:rFonts w:hint="eastAsia" w:ascii="MS UI Gothic" w:eastAsia="MS UI Gothic"/>
          <w:spacing w:val="-38"/>
          <w:w w:val="135"/>
        </w:rPr>
        <w:t xml:space="preserve">( </w:t>
      </w:r>
      <w:r>
        <w:rPr>
          <w:spacing w:val="3"/>
          <w:w w:val="110"/>
        </w:rPr>
        <w:t>五</w:t>
      </w:r>
      <w:r>
        <w:rPr>
          <w:rFonts w:hint="eastAsia" w:ascii="MS UI Gothic" w:eastAsia="MS UI Gothic"/>
          <w:spacing w:val="-20"/>
          <w:w w:val="135"/>
        </w:rPr>
        <w:t xml:space="preserve">) </w:t>
      </w:r>
      <w:r>
        <w:rPr>
          <w:spacing w:val="3"/>
          <w:w w:val="110"/>
        </w:rPr>
        <w:t>消防责任事故</w:t>
      </w:r>
      <w:r>
        <w:rPr>
          <w:rFonts w:hint="eastAsia" w:ascii="MS UI Gothic" w:eastAsia="MS UI Gothic"/>
          <w:spacing w:val="-7"/>
          <w:w w:val="80"/>
        </w:rPr>
        <w:t xml:space="preserve">、 </w:t>
      </w:r>
      <w:r>
        <w:rPr>
          <w:spacing w:val="3"/>
          <w:w w:val="110"/>
        </w:rPr>
        <w:t>失火案件</w:t>
      </w:r>
      <w:r>
        <w:rPr>
          <w:rFonts w:hint="eastAsia" w:ascii="MS UI Gothic" w:eastAsia="MS UI Gothic"/>
          <w:w w:val="80"/>
        </w:rPr>
        <w:t>ꎻ</w:t>
      </w:r>
      <w:r>
        <w:rPr>
          <w:rFonts w:hint="eastAsia" w:ascii="MS UI Gothic" w:eastAsia="MS UI Gothic"/>
          <w:spacing w:val="-38"/>
          <w:w w:val="135"/>
        </w:rPr>
        <w:t xml:space="preserve">( </w:t>
      </w:r>
      <w:r>
        <w:rPr>
          <w:spacing w:val="3"/>
          <w:w w:val="110"/>
        </w:rPr>
        <w:t>六</w:t>
      </w:r>
      <w:r>
        <w:rPr>
          <w:rFonts w:hint="eastAsia" w:ascii="MS UI Gothic" w:eastAsia="MS UI Gothic"/>
          <w:spacing w:val="-20"/>
          <w:w w:val="135"/>
        </w:rPr>
        <w:t xml:space="preserve">) </w:t>
      </w:r>
      <w:r>
        <w:rPr>
          <w:spacing w:val="3"/>
          <w:w w:val="110"/>
        </w:rPr>
        <w:t>不报</w:t>
      </w:r>
      <w:r>
        <w:rPr>
          <w:rFonts w:hint="eastAsia" w:ascii="MS UI Gothic" w:eastAsia="MS UI Gothic"/>
          <w:spacing w:val="-7"/>
          <w:w w:val="80"/>
        </w:rPr>
        <w:t xml:space="preserve">、 </w:t>
      </w:r>
      <w:r>
        <w:rPr>
          <w:spacing w:val="3"/>
          <w:w w:val="110"/>
        </w:rPr>
        <w:t>谎报安全事故案件</w:t>
      </w:r>
      <w:r>
        <w:rPr>
          <w:rFonts w:hint="eastAsia" w:ascii="MS UI Gothic" w:eastAsia="MS UI Gothic"/>
          <w:w w:val="80"/>
        </w:rPr>
        <w:t>ꎻ</w:t>
      </w:r>
    </w:p>
    <w:p>
      <w:pPr>
        <w:pStyle w:val="6"/>
        <w:spacing w:line="256" w:lineRule="exact"/>
        <w:ind w:left="860" w:firstLine="0"/>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非法采矿</w:t>
      </w:r>
      <w:r>
        <w:rPr>
          <w:rFonts w:hint="eastAsia" w:ascii="MS UI Gothic" w:eastAsia="MS UI Gothic"/>
          <w:w w:val="80"/>
        </w:rPr>
        <w:t xml:space="preserve">ꎬ </w:t>
      </w:r>
      <w:r>
        <w:rPr>
          <w:w w:val="105"/>
        </w:rPr>
        <w:t>非法制造</w:t>
      </w:r>
      <w:r>
        <w:rPr>
          <w:rFonts w:hint="eastAsia" w:ascii="MS UI Gothic" w:eastAsia="MS UI Gothic"/>
          <w:w w:val="80"/>
        </w:rPr>
        <w:t xml:space="preserve">、 </w:t>
      </w:r>
      <w:r>
        <w:rPr>
          <w:w w:val="105"/>
        </w:rPr>
        <w:t>买卖</w:t>
      </w:r>
      <w:r>
        <w:rPr>
          <w:rFonts w:hint="eastAsia" w:ascii="MS UI Gothic" w:eastAsia="MS UI Gothic"/>
          <w:w w:val="80"/>
        </w:rPr>
        <w:t>、</w:t>
      </w:r>
    </w:p>
    <w:p>
      <w:pPr>
        <w:pStyle w:val="6"/>
        <w:spacing w:before="175" w:line="292" w:lineRule="auto"/>
        <w:ind w:left="381" w:right="126" w:firstLine="0"/>
        <w:rPr>
          <w:rFonts w:hint="eastAsia" w:ascii="MS UI Gothic" w:eastAsia="MS UI Gothic"/>
        </w:rPr>
      </w:pPr>
      <w:r>
        <w:br w:type="column"/>
      </w:r>
      <w:r>
        <w:t>储存爆炸物</w:t>
      </w:r>
      <w:r>
        <w:rPr>
          <w:rFonts w:hint="eastAsia" w:ascii="MS UI Gothic" w:eastAsia="MS UI Gothic"/>
          <w:w w:val="80"/>
        </w:rPr>
        <w:t xml:space="preserve">ꎬ </w:t>
      </w:r>
      <w:r>
        <w:t>非法经营</w:t>
      </w:r>
      <w:r>
        <w:rPr>
          <w:rFonts w:hint="eastAsia" w:ascii="MS UI Gothic" w:eastAsia="MS UI Gothic"/>
          <w:w w:val="80"/>
        </w:rPr>
        <w:t xml:space="preserve">ꎬ </w:t>
      </w:r>
      <w:r>
        <w:t>伪造</w:t>
      </w:r>
      <w:r>
        <w:rPr>
          <w:rFonts w:hint="eastAsia" w:ascii="MS UI Gothic" w:eastAsia="MS UI Gothic"/>
        </w:rPr>
        <w:t xml:space="preserve">、 </w:t>
      </w:r>
      <w:r>
        <w:t>变造</w:t>
      </w:r>
      <w:r>
        <w:rPr>
          <w:rFonts w:hint="eastAsia" w:ascii="MS UI Gothic" w:eastAsia="MS UI Gothic"/>
        </w:rPr>
        <w:t xml:space="preserve">、 </w:t>
      </w:r>
      <w:r>
        <w:t>买卖国家机关公文</w:t>
      </w:r>
      <w:r>
        <w:rPr>
          <w:rFonts w:hint="eastAsia" w:ascii="MS UI Gothic" w:eastAsia="MS UI Gothic"/>
        </w:rPr>
        <w:t xml:space="preserve">、 </w:t>
      </w:r>
      <w:r>
        <w:t>证件</w:t>
      </w:r>
      <w:r>
        <w:rPr>
          <w:rFonts w:hint="eastAsia" w:ascii="MS UI Gothic" w:eastAsia="MS UI Gothic"/>
        </w:rPr>
        <w:t xml:space="preserve">、 </w:t>
      </w:r>
      <w:r>
        <w:t>印章等涉嫌安全生产的其他犯罪案件</w:t>
      </w:r>
      <w:r>
        <w:rPr>
          <w:rFonts w:hint="eastAsia" w:ascii="MS UI Gothic" w:eastAsia="MS UI Gothic"/>
          <w:w w:val="80"/>
        </w:rPr>
        <w:t>ꎮ</w:t>
      </w:r>
    </w:p>
    <w:p>
      <w:pPr>
        <w:pStyle w:val="6"/>
        <w:spacing w:line="292" w:lineRule="auto"/>
        <w:ind w:left="381" w:right="126"/>
        <w:rPr>
          <w:rFonts w:hint="eastAsia" w:ascii="MS UI Gothic" w:eastAsia="MS UI Gothic"/>
        </w:rPr>
      </w:pPr>
      <w:r>
        <w:rPr>
          <w:spacing w:val="2"/>
          <w:w w:val="105"/>
        </w:rPr>
        <w:t>第四条 人民检察院对应急管理部门</w:t>
      </w:r>
      <w:r>
        <w:rPr>
          <w:spacing w:val="2"/>
        </w:rPr>
        <w:t>移送涉嫌安全生产犯罪案件和公安机关有</w:t>
      </w:r>
      <w:r>
        <w:rPr>
          <w:spacing w:val="3"/>
          <w:w w:val="105"/>
        </w:rPr>
        <w:t>关立案活动</w:t>
      </w:r>
      <w:r>
        <w:rPr>
          <w:rFonts w:hint="eastAsia" w:ascii="MS UI Gothic" w:eastAsia="MS UI Gothic"/>
          <w:spacing w:val="18"/>
          <w:w w:val="80"/>
        </w:rPr>
        <w:t xml:space="preserve">ꎬ </w:t>
      </w:r>
      <w:r>
        <w:rPr>
          <w:spacing w:val="3"/>
          <w:w w:val="105"/>
        </w:rPr>
        <w:t>依法实施法律监督</w:t>
      </w:r>
      <w:r>
        <w:rPr>
          <w:rFonts w:hint="eastAsia" w:ascii="MS UI Gothic" w:eastAsia="MS UI Gothic"/>
          <w:w w:val="80"/>
        </w:rPr>
        <w:t>ꎮ</w:t>
      </w:r>
    </w:p>
    <w:p>
      <w:pPr>
        <w:pStyle w:val="6"/>
        <w:spacing w:line="292" w:lineRule="auto"/>
        <w:ind w:left="381" w:right="124"/>
        <w:rPr>
          <w:rFonts w:hint="eastAsia" w:ascii="MS UI Gothic" w:eastAsia="MS UI Gothic"/>
        </w:rPr>
      </w:pPr>
      <w:r>
        <w:rPr>
          <w:spacing w:val="4"/>
        </w:rPr>
        <w:t>第五条 各级应急管理部门</w:t>
      </w:r>
      <w:r>
        <w:rPr>
          <w:rFonts w:hint="eastAsia" w:ascii="MS UI Gothic" w:eastAsia="MS UI Gothic"/>
          <w:spacing w:val="16"/>
          <w:w w:val="80"/>
        </w:rPr>
        <w:t xml:space="preserve">、 </w:t>
      </w:r>
      <w:r>
        <w:rPr>
          <w:spacing w:val="2"/>
        </w:rPr>
        <w:t>公安机</w:t>
      </w:r>
      <w:r>
        <w:rPr>
          <w:spacing w:val="3"/>
        </w:rPr>
        <w:t>关</w:t>
      </w:r>
      <w:r>
        <w:rPr>
          <w:rFonts w:hint="eastAsia" w:ascii="MS UI Gothic" w:eastAsia="MS UI Gothic"/>
          <w:spacing w:val="21"/>
          <w:w w:val="80"/>
        </w:rPr>
        <w:t xml:space="preserve">、 </w:t>
      </w:r>
      <w:r>
        <w:rPr>
          <w:spacing w:val="11"/>
        </w:rPr>
        <w:t>人民检察院</w:t>
      </w:r>
      <w:r>
        <w:rPr>
          <w:rFonts w:hint="eastAsia" w:ascii="MS UI Gothic" w:eastAsia="MS UI Gothic"/>
          <w:spacing w:val="5"/>
          <w:w w:val="80"/>
        </w:rPr>
        <w:t xml:space="preserve">、 </w:t>
      </w:r>
      <w:r>
        <w:rPr>
          <w:spacing w:val="20"/>
        </w:rPr>
        <w:t>人民法院应当加强协</w:t>
      </w:r>
      <w:r>
        <w:rPr>
          <w:spacing w:val="3"/>
        </w:rPr>
        <w:t>作</w:t>
      </w:r>
      <w:r>
        <w:rPr>
          <w:rFonts w:hint="eastAsia" w:ascii="MS UI Gothic" w:eastAsia="MS UI Gothic"/>
          <w:spacing w:val="21"/>
          <w:w w:val="80"/>
        </w:rPr>
        <w:t xml:space="preserve">ꎬ </w:t>
      </w:r>
      <w:r>
        <w:rPr>
          <w:spacing w:val="5"/>
        </w:rPr>
        <w:t>统一法律适用</w:t>
      </w:r>
      <w:r>
        <w:rPr>
          <w:rFonts w:hint="eastAsia" w:ascii="MS UI Gothic" w:eastAsia="MS UI Gothic"/>
          <w:w w:val="80"/>
        </w:rPr>
        <w:t xml:space="preserve">ꎬ </w:t>
      </w:r>
      <w:r>
        <w:rPr>
          <w:spacing w:val="13"/>
        </w:rPr>
        <w:t>不断完善案件移送</w:t>
      </w:r>
      <w:r>
        <w:rPr>
          <w:rFonts w:hint="eastAsia" w:ascii="MS UI Gothic" w:eastAsia="MS UI Gothic"/>
          <w:w w:val="80"/>
        </w:rPr>
        <w:t>、</w:t>
      </w:r>
      <w:r>
        <w:rPr>
          <w:spacing w:val="3"/>
        </w:rPr>
        <w:t>案情通报</w:t>
      </w:r>
      <w:r>
        <w:rPr>
          <w:rFonts w:hint="eastAsia" w:ascii="MS UI Gothic" w:eastAsia="MS UI Gothic"/>
          <w:spacing w:val="5"/>
          <w:w w:val="80"/>
        </w:rPr>
        <w:t xml:space="preserve">、 </w:t>
      </w:r>
      <w:r>
        <w:rPr>
          <w:spacing w:val="3"/>
        </w:rPr>
        <w:t>信息共享等工作机制</w:t>
      </w:r>
      <w:r>
        <w:rPr>
          <w:rFonts w:hint="eastAsia" w:ascii="MS UI Gothic" w:eastAsia="MS UI Gothic"/>
          <w:w w:val="80"/>
        </w:rPr>
        <w:t>ꎮ</w:t>
      </w:r>
    </w:p>
    <w:p>
      <w:pPr>
        <w:pStyle w:val="6"/>
        <w:spacing w:line="292" w:lineRule="auto"/>
        <w:ind w:left="381" w:right="126"/>
        <w:rPr>
          <w:rFonts w:hint="eastAsia" w:ascii="MS UI Gothic" w:eastAsia="MS UI Gothic"/>
        </w:rPr>
      </w:pPr>
      <w:r>
        <w:rPr>
          <w:w w:val="105"/>
        </w:rPr>
        <w:t>第六条 应急管理部门在行政执法过</w:t>
      </w:r>
      <w:r>
        <w:t>程中发现行使公权力的公职人员涉嫌安全生产犯罪的问题线索</w:t>
      </w:r>
      <w:r>
        <w:rPr>
          <w:rFonts w:hint="eastAsia" w:ascii="MS UI Gothic" w:eastAsia="MS UI Gothic"/>
          <w:w w:val="80"/>
        </w:rPr>
        <w:t xml:space="preserve">ꎬ </w:t>
      </w:r>
      <w:r>
        <w:t>或者应急管理部</w:t>
      </w:r>
      <w:r>
        <w:rPr>
          <w:w w:val="105"/>
        </w:rPr>
        <w:t>门</w:t>
      </w:r>
      <w:r>
        <w:rPr>
          <w:rFonts w:hint="eastAsia" w:ascii="MS UI Gothic" w:eastAsia="MS UI Gothic"/>
          <w:w w:val="80"/>
        </w:rPr>
        <w:t xml:space="preserve">、 </w:t>
      </w:r>
      <w:r>
        <w:rPr>
          <w:w w:val="105"/>
        </w:rPr>
        <w:t>公安机关</w:t>
      </w:r>
      <w:r>
        <w:rPr>
          <w:rFonts w:hint="eastAsia" w:ascii="MS UI Gothic" w:eastAsia="MS UI Gothic"/>
          <w:w w:val="80"/>
        </w:rPr>
        <w:t xml:space="preserve">、 </w:t>
      </w:r>
      <w:r>
        <w:rPr>
          <w:w w:val="105"/>
        </w:rPr>
        <w:t>人民检察院在查处有关违</w:t>
      </w:r>
      <w:r>
        <w:t>法犯罪行为过程中发现行使公权力的公职</w:t>
      </w:r>
      <w:r>
        <w:rPr>
          <w:w w:val="105"/>
        </w:rPr>
        <w:t>人员涉嫌贪污贿赂</w:t>
      </w:r>
      <w:r>
        <w:rPr>
          <w:rFonts w:hint="eastAsia" w:ascii="MS UI Gothic" w:eastAsia="MS UI Gothic"/>
          <w:w w:val="80"/>
        </w:rPr>
        <w:t xml:space="preserve">、 </w:t>
      </w:r>
      <w:r>
        <w:rPr>
          <w:w w:val="105"/>
        </w:rPr>
        <w:t>失职渎职等职务违法</w:t>
      </w:r>
      <w:r>
        <w:t>或者职务犯罪的问题线索</w:t>
      </w:r>
      <w:r>
        <w:rPr>
          <w:rFonts w:hint="eastAsia" w:ascii="MS UI Gothic" w:eastAsia="MS UI Gothic"/>
          <w:w w:val="80"/>
        </w:rPr>
        <w:t xml:space="preserve">ꎬ </w:t>
      </w:r>
      <w:r>
        <w:t>应当依法及时</w:t>
      </w:r>
      <w:r>
        <w:rPr>
          <w:w w:val="105"/>
        </w:rPr>
        <w:t>移送监察机关处理</w:t>
      </w:r>
      <w:r>
        <w:rPr>
          <w:rFonts w:hint="eastAsia" w:ascii="MS UI Gothic" w:eastAsia="MS UI Gothic"/>
          <w:w w:val="80"/>
        </w:rPr>
        <w:t>ꎮ</w:t>
      </w:r>
    </w:p>
    <w:p>
      <w:pPr>
        <w:pStyle w:val="6"/>
        <w:tabs>
          <w:tab w:val="left" w:pos="1848"/>
        </w:tabs>
        <w:spacing w:before="152" w:line="295" w:lineRule="auto"/>
        <w:ind w:left="1533" w:right="755" w:hanging="524"/>
        <w:jc w:val="left"/>
      </w:pPr>
      <w:r>
        <w:rPr>
          <w:spacing w:val="3"/>
          <w:w w:val="105"/>
        </w:rPr>
        <w:t>第二</w:t>
      </w:r>
      <w:r>
        <w:rPr>
          <w:w w:val="105"/>
        </w:rPr>
        <w:t>章</w:t>
      </w:r>
      <w:r>
        <w:rPr>
          <w:w w:val="105"/>
        </w:rPr>
        <w:tab/>
      </w:r>
      <w:r>
        <w:rPr>
          <w:spacing w:val="3"/>
        </w:rPr>
        <w:t>日常执法中的案</w:t>
      </w:r>
      <w:r>
        <w:rPr>
          <w:spacing w:val="-12"/>
        </w:rPr>
        <w:t>件</w:t>
      </w:r>
      <w:r>
        <w:rPr>
          <w:spacing w:val="3"/>
          <w:w w:val="105"/>
        </w:rPr>
        <w:t>移送与法律监</w:t>
      </w:r>
      <w:r>
        <w:rPr>
          <w:w w:val="105"/>
        </w:rPr>
        <w:t>督</w:t>
      </w:r>
    </w:p>
    <w:p>
      <w:pPr>
        <w:pStyle w:val="6"/>
        <w:spacing w:before="155" w:line="292" w:lineRule="auto"/>
        <w:ind w:left="375" w:right="124" w:firstLine="425"/>
        <w:rPr>
          <w:rFonts w:hint="eastAsia" w:ascii="MS UI Gothic" w:eastAsia="MS UI Gothic"/>
        </w:rPr>
      </w:pPr>
      <w:r>
        <w:rPr>
          <w:spacing w:val="4"/>
        </w:rPr>
        <w:t>第七条 应急管理部门在查处违法行为过程中发现涉嫌安全生产犯罪案件的</w:t>
      </w:r>
      <w:r>
        <w:rPr>
          <w:rFonts w:hint="eastAsia" w:ascii="MS UI Gothic" w:eastAsia="MS UI Gothic"/>
          <w:w w:val="85"/>
        </w:rPr>
        <w:t>ꎬ</w:t>
      </w:r>
      <w:r>
        <w:rPr>
          <w:spacing w:val="-4"/>
        </w:rPr>
        <w:t xml:space="preserve">应当立即指定 </w:t>
      </w:r>
      <w:r>
        <w:rPr>
          <w:rFonts w:hint="eastAsia" w:ascii="MS UI Gothic" w:eastAsia="MS UI Gothic"/>
          <w:spacing w:val="11"/>
        </w:rPr>
        <w:t xml:space="preserve">２ </w:t>
      </w:r>
      <w:r>
        <w:rPr>
          <w:spacing w:val="2"/>
        </w:rPr>
        <w:t>名以上行政执法人员组成</w:t>
      </w:r>
      <w:r>
        <w:rPr>
          <w:spacing w:val="3"/>
        </w:rPr>
        <w:t>专案组专门负责</w:t>
      </w:r>
      <w:r>
        <w:rPr>
          <w:rFonts w:hint="eastAsia" w:ascii="MS UI Gothic" w:eastAsia="MS UI Gothic"/>
          <w:spacing w:val="12"/>
          <w:w w:val="85"/>
        </w:rPr>
        <w:t xml:space="preserve">ꎬ </w:t>
      </w:r>
      <w:r>
        <w:rPr>
          <w:spacing w:val="2"/>
        </w:rPr>
        <w:t>核实情况后提出移送涉</w:t>
      </w:r>
      <w:r>
        <w:rPr>
          <w:spacing w:val="3"/>
        </w:rPr>
        <w:t>嫌犯罪案件的书面报告</w:t>
      </w:r>
      <w:r>
        <w:rPr>
          <w:rFonts w:hint="eastAsia" w:ascii="MS UI Gothic" w:eastAsia="MS UI Gothic"/>
          <w:spacing w:val="12"/>
          <w:w w:val="85"/>
        </w:rPr>
        <w:t xml:space="preserve">ꎮ </w:t>
      </w:r>
      <w:r>
        <w:rPr>
          <w:spacing w:val="2"/>
        </w:rPr>
        <w:t>应急管理部门正职负责人或者主持工作的负责人应当自接</w:t>
      </w:r>
      <w:r>
        <w:rPr>
          <w:spacing w:val="-4"/>
        </w:rPr>
        <w:t xml:space="preserve">到报告之日起 </w:t>
      </w:r>
      <w:r>
        <w:rPr>
          <w:rFonts w:hint="eastAsia" w:ascii="MS UI Gothic" w:eastAsia="MS UI Gothic"/>
          <w:spacing w:val="11"/>
        </w:rPr>
        <w:t xml:space="preserve">３ </w:t>
      </w:r>
      <w:r>
        <w:rPr>
          <w:spacing w:val="2"/>
        </w:rPr>
        <w:t>日内作出批准移送或者不</w:t>
      </w:r>
      <w:r>
        <w:rPr>
          <w:spacing w:val="11"/>
        </w:rPr>
        <w:t>批准移送的决定</w:t>
      </w:r>
      <w:r>
        <w:rPr>
          <w:rFonts w:hint="eastAsia" w:ascii="MS UI Gothic" w:eastAsia="MS UI Gothic"/>
          <w:spacing w:val="22"/>
          <w:w w:val="85"/>
        </w:rPr>
        <w:t xml:space="preserve">ꎮ </w:t>
      </w:r>
      <w:r>
        <w:rPr>
          <w:spacing w:val="19"/>
        </w:rPr>
        <w:t>批准移送的</w:t>
      </w:r>
      <w:r>
        <w:rPr>
          <w:rFonts w:hint="eastAsia" w:ascii="MS UI Gothic" w:eastAsia="MS UI Gothic"/>
          <w:spacing w:val="22"/>
          <w:w w:val="85"/>
        </w:rPr>
        <w:t xml:space="preserve">ꎬ </w:t>
      </w:r>
      <w:r>
        <w:rPr>
          <w:spacing w:val="15"/>
        </w:rPr>
        <w:t>应当在</w:t>
      </w:r>
      <w:r>
        <w:rPr>
          <w:rFonts w:hint="eastAsia" w:ascii="MS UI Gothic" w:eastAsia="MS UI Gothic"/>
          <w:spacing w:val="10"/>
          <w:w w:val="85"/>
        </w:rPr>
        <w:t xml:space="preserve">２４ </w:t>
      </w:r>
      <w:r>
        <w:rPr>
          <w:spacing w:val="10"/>
        </w:rPr>
        <w:t>小时内向同级公安机关移送</w:t>
      </w:r>
      <w:r>
        <w:rPr>
          <w:rFonts w:hint="eastAsia" w:ascii="MS UI Gothic" w:eastAsia="MS UI Gothic"/>
          <w:spacing w:val="3"/>
          <w:w w:val="85"/>
        </w:rPr>
        <w:t xml:space="preserve">ꎻ </w:t>
      </w:r>
      <w:r>
        <w:rPr>
          <w:spacing w:val="11"/>
        </w:rPr>
        <w:t>不批准</w:t>
      </w:r>
      <w:r>
        <w:rPr>
          <w:spacing w:val="18"/>
        </w:rPr>
        <w:t>移送的</w:t>
      </w:r>
      <w:r>
        <w:rPr>
          <w:rFonts w:hint="eastAsia" w:ascii="MS UI Gothic" w:eastAsia="MS UI Gothic"/>
          <w:spacing w:val="18"/>
          <w:w w:val="85"/>
        </w:rPr>
        <w:t xml:space="preserve">ꎬ </w:t>
      </w:r>
      <w:r>
        <w:rPr>
          <w:spacing w:val="31"/>
        </w:rPr>
        <w:t>应当将不予批准的理由记录</w:t>
      </w:r>
      <w:r>
        <w:rPr>
          <w:spacing w:val="3"/>
        </w:rPr>
        <w:t>在案</w:t>
      </w:r>
      <w:r>
        <w:rPr>
          <w:rFonts w:hint="eastAsia" w:ascii="MS UI Gothic" w:eastAsia="MS UI Gothic"/>
          <w:w w:val="85"/>
        </w:rPr>
        <w:t>ꎮ</w:t>
      </w:r>
    </w:p>
    <w:p>
      <w:pPr>
        <w:pStyle w:val="6"/>
        <w:spacing w:line="292" w:lineRule="auto"/>
        <w:ind w:left="381" w:right="126"/>
        <w:rPr>
          <w:rFonts w:hint="eastAsia" w:ascii="MS UI Gothic" w:eastAsia="MS UI Gothic"/>
        </w:rPr>
      </w:pPr>
      <w:r>
        <w:rPr>
          <w:spacing w:val="4"/>
        </w:rPr>
        <w:t>第八条 应急管理部门向公安机关移</w:t>
      </w:r>
      <w:r>
        <w:rPr>
          <w:spacing w:val="3"/>
        </w:rPr>
        <w:t>送涉嫌安全生产犯罪案件</w:t>
      </w:r>
      <w:r>
        <w:rPr>
          <w:rFonts w:hint="eastAsia" w:ascii="MS UI Gothic" w:eastAsia="MS UI Gothic"/>
          <w:spacing w:val="20"/>
          <w:w w:val="80"/>
        </w:rPr>
        <w:t xml:space="preserve">ꎬ </w:t>
      </w:r>
      <w:r>
        <w:rPr>
          <w:spacing w:val="2"/>
        </w:rPr>
        <w:t>应当附下列材</w:t>
      </w:r>
      <w:r>
        <w:rPr>
          <w:spacing w:val="3"/>
        </w:rPr>
        <w:t>料</w:t>
      </w:r>
      <w:r>
        <w:rPr>
          <w:rFonts w:hint="eastAsia" w:ascii="MS UI Gothic" w:eastAsia="MS UI Gothic"/>
          <w:spacing w:val="17"/>
          <w:w w:val="80"/>
        </w:rPr>
        <w:t xml:space="preserve">ꎬ </w:t>
      </w:r>
      <w:r>
        <w:rPr>
          <w:spacing w:val="31"/>
        </w:rPr>
        <w:t>并将案件移送书抄送同级人民检</w:t>
      </w:r>
      <w:r>
        <w:rPr>
          <w:spacing w:val="3"/>
        </w:rPr>
        <w:t>察院</w:t>
      </w:r>
      <w:r>
        <w:rPr>
          <w:rFonts w:hint="eastAsia" w:ascii="MS UI Gothic" w:eastAsia="MS UI Gothic"/>
          <w:w w:val="80"/>
        </w:rPr>
        <w:t>ꎮ</w:t>
      </w:r>
    </w:p>
    <w:p>
      <w:pPr>
        <w:spacing w:after="0" w:line="292"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３２</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46" o:spid="_x0000_s1146" o:spt="203" style="height:2.15pt;width:398.25pt;" coordsize="7965,43">
            <o:lock v:ext="edit"/>
            <v:line id="_x0000_s1147" o:spid="_x0000_s1147" o:spt="20" style="position:absolute;left:0;top:39;height:0;width:7965;" stroked="t" coordsize="21600,21600">
              <v:path arrowok="t"/>
              <v:fill focussize="0,0"/>
              <v:stroke weight="0.388031496062992pt" color="#231F20"/>
              <v:imagedata o:title=""/>
              <o:lock v:ext="edit"/>
            </v:line>
            <v:line id="_x0000_s1148" o:spid="_x0000_s114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案件移送书</w:t>
      </w:r>
      <w:r>
        <w:rPr>
          <w:rFonts w:hint="eastAsia" w:ascii="MS UI Gothic" w:eastAsia="MS UI Gothic"/>
          <w:w w:val="80"/>
        </w:rPr>
        <w:t xml:space="preserve">ꎬ </w:t>
      </w:r>
      <w:r>
        <w:rPr>
          <w:w w:val="105"/>
        </w:rPr>
        <w:t>载明移送案件的应急管理部门名称</w:t>
      </w:r>
      <w:r>
        <w:rPr>
          <w:rFonts w:hint="eastAsia" w:ascii="MS UI Gothic" w:eastAsia="MS UI Gothic"/>
          <w:w w:val="80"/>
        </w:rPr>
        <w:t xml:space="preserve">、 </w:t>
      </w:r>
      <w:r>
        <w:rPr>
          <w:w w:val="105"/>
        </w:rPr>
        <w:t>违法行为涉嫌犯罪罪名</w:t>
      </w:r>
      <w:r>
        <w:rPr>
          <w:rFonts w:hint="eastAsia" w:ascii="MS UI Gothic" w:eastAsia="MS UI Gothic"/>
          <w:w w:val="80"/>
        </w:rPr>
        <w:t xml:space="preserve">、 </w:t>
      </w:r>
      <w:r>
        <w:rPr>
          <w:w w:val="105"/>
        </w:rPr>
        <w:t>案件主办人及联系电话等</w:t>
      </w:r>
      <w:r>
        <w:rPr>
          <w:rFonts w:hint="eastAsia" w:ascii="MS UI Gothic" w:eastAsia="MS UI Gothic"/>
          <w:w w:val="80"/>
        </w:rPr>
        <w:t xml:space="preserve">ꎮ </w:t>
      </w:r>
      <w:r>
        <w:rPr>
          <w:w w:val="105"/>
        </w:rPr>
        <w:t>案件移送</w:t>
      </w:r>
      <w:r>
        <w:t>书应当附移送材料清单</w:t>
      </w:r>
      <w:r>
        <w:rPr>
          <w:rFonts w:hint="eastAsia" w:ascii="MS UI Gothic" w:eastAsia="MS UI Gothic"/>
          <w:w w:val="80"/>
        </w:rPr>
        <w:t xml:space="preserve">ꎬ </w:t>
      </w:r>
      <w:r>
        <w:t>并加盖应急管理</w:t>
      </w:r>
      <w:r>
        <w:rPr>
          <w:w w:val="105"/>
        </w:rPr>
        <w:t>部门公章</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案件调查报告</w:t>
      </w:r>
      <w:r>
        <w:rPr>
          <w:rFonts w:hint="eastAsia" w:ascii="MS UI Gothic" w:eastAsia="MS UI Gothic"/>
          <w:w w:val="80"/>
        </w:rPr>
        <w:t xml:space="preserve">ꎬ </w:t>
      </w:r>
      <w:r>
        <w:rPr>
          <w:w w:val="105"/>
        </w:rPr>
        <w:t>载明案件来源</w:t>
      </w:r>
      <w:r>
        <w:rPr>
          <w:rFonts w:hint="eastAsia" w:ascii="MS UI Gothic" w:eastAsia="MS UI Gothic"/>
          <w:w w:val="80"/>
        </w:rPr>
        <w:t xml:space="preserve">、 </w:t>
      </w:r>
      <w:r>
        <w:rPr>
          <w:w w:val="105"/>
        </w:rPr>
        <w:t>查获情况</w:t>
      </w:r>
      <w:r>
        <w:rPr>
          <w:rFonts w:hint="eastAsia" w:ascii="MS UI Gothic" w:eastAsia="MS UI Gothic"/>
          <w:w w:val="80"/>
        </w:rPr>
        <w:t xml:space="preserve">、 </w:t>
      </w:r>
      <w:r>
        <w:rPr>
          <w:w w:val="105"/>
        </w:rPr>
        <w:t>嫌疑人基本情况</w:t>
      </w:r>
      <w:r>
        <w:rPr>
          <w:rFonts w:hint="eastAsia" w:ascii="MS UI Gothic" w:eastAsia="MS UI Gothic"/>
          <w:w w:val="80"/>
        </w:rPr>
        <w:t xml:space="preserve">、 </w:t>
      </w:r>
      <w:r>
        <w:rPr>
          <w:w w:val="105"/>
        </w:rPr>
        <w:t>涉嫌犯罪的事实</w:t>
      </w:r>
      <w:r>
        <w:rPr>
          <w:rFonts w:hint="eastAsia" w:ascii="MS UI Gothic" w:eastAsia="MS UI Gothic"/>
          <w:w w:val="80"/>
        </w:rPr>
        <w:t xml:space="preserve">、 </w:t>
      </w:r>
      <w:r>
        <w:rPr>
          <w:w w:val="105"/>
        </w:rPr>
        <w:t>证据和法律依据</w:t>
      </w:r>
      <w:r>
        <w:rPr>
          <w:rFonts w:hint="eastAsia" w:ascii="MS UI Gothic" w:eastAsia="MS UI Gothic"/>
          <w:w w:val="80"/>
        </w:rPr>
        <w:t xml:space="preserve">、 </w:t>
      </w:r>
      <w:r>
        <w:rPr>
          <w:w w:val="105"/>
        </w:rPr>
        <w:t>处理建议等</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涉案物品清单</w:t>
      </w:r>
      <w:r>
        <w:rPr>
          <w:rFonts w:hint="eastAsia" w:ascii="MS UI Gothic" w:eastAsia="MS UI Gothic"/>
          <w:w w:val="80"/>
        </w:rPr>
        <w:t xml:space="preserve">ꎬ </w:t>
      </w:r>
      <w:r>
        <w:rPr>
          <w:w w:val="105"/>
        </w:rPr>
        <w:t>载明涉案物品的名称</w:t>
      </w:r>
      <w:r>
        <w:rPr>
          <w:rFonts w:hint="eastAsia" w:ascii="MS UI Gothic" w:eastAsia="MS UI Gothic"/>
          <w:w w:val="80"/>
        </w:rPr>
        <w:t xml:space="preserve">、 </w:t>
      </w:r>
      <w:r>
        <w:rPr>
          <w:w w:val="105"/>
        </w:rPr>
        <w:t>数量</w:t>
      </w:r>
      <w:r>
        <w:rPr>
          <w:rFonts w:hint="eastAsia" w:ascii="MS UI Gothic" w:eastAsia="MS UI Gothic"/>
          <w:w w:val="80"/>
        </w:rPr>
        <w:t xml:space="preserve">、 </w:t>
      </w:r>
      <w:r>
        <w:rPr>
          <w:w w:val="105"/>
        </w:rPr>
        <w:t>特征</w:t>
      </w:r>
      <w:r>
        <w:rPr>
          <w:rFonts w:hint="eastAsia" w:ascii="MS UI Gothic" w:eastAsia="MS UI Gothic"/>
          <w:w w:val="80"/>
        </w:rPr>
        <w:t xml:space="preserve">、 </w:t>
      </w:r>
      <w:r>
        <w:rPr>
          <w:w w:val="105"/>
        </w:rPr>
        <w:t>存放地等事项</w:t>
      </w:r>
      <w:r>
        <w:rPr>
          <w:rFonts w:hint="eastAsia" w:ascii="MS UI Gothic" w:eastAsia="MS UI Gothic"/>
          <w:w w:val="80"/>
        </w:rPr>
        <w:t xml:space="preserve">ꎬ </w:t>
      </w:r>
      <w:r>
        <w:rPr>
          <w:w w:val="105"/>
        </w:rPr>
        <w:t>并附采取行政强制措施</w:t>
      </w:r>
      <w:r>
        <w:rPr>
          <w:rFonts w:hint="eastAsia" w:ascii="MS UI Gothic" w:eastAsia="MS UI Gothic"/>
          <w:w w:val="80"/>
        </w:rPr>
        <w:t xml:space="preserve">、 </w:t>
      </w:r>
      <w:r>
        <w:rPr>
          <w:w w:val="105"/>
        </w:rPr>
        <w:t>现场笔录等表明涉案物品来源的相关材料</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附有鉴定机构和鉴定人资质证</w:t>
      </w:r>
      <w:r>
        <w:t>明或者其他证明文件的检验报告或者鉴定</w:t>
      </w:r>
      <w:r>
        <w:rPr>
          <w:w w:val="105"/>
        </w:rPr>
        <w:t>意见</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7"/>
          <w:w w:val="150"/>
        </w:rPr>
        <w:t xml:space="preserve">( </w:t>
      </w:r>
      <w:r>
        <w:rPr>
          <w:spacing w:val="3"/>
          <w:w w:val="105"/>
        </w:rPr>
        <w:t>五</w:t>
      </w:r>
      <w:r>
        <w:rPr>
          <w:rFonts w:hint="eastAsia" w:ascii="MS UI Gothic" w:eastAsia="MS UI Gothic"/>
          <w:spacing w:val="11"/>
          <w:w w:val="150"/>
        </w:rPr>
        <w:t xml:space="preserve">) </w:t>
      </w:r>
      <w:r>
        <w:rPr>
          <w:spacing w:val="4"/>
          <w:w w:val="105"/>
        </w:rPr>
        <w:t>现场照片</w:t>
      </w:r>
      <w:r>
        <w:rPr>
          <w:rFonts w:hint="eastAsia" w:ascii="MS UI Gothic" w:eastAsia="MS UI Gothic"/>
          <w:spacing w:val="2"/>
          <w:w w:val="80"/>
        </w:rPr>
        <w:t xml:space="preserve">、 </w:t>
      </w:r>
      <w:r>
        <w:rPr>
          <w:spacing w:val="10"/>
          <w:w w:val="105"/>
        </w:rPr>
        <w:t>询问笔录</w:t>
      </w:r>
      <w:r>
        <w:rPr>
          <w:rFonts w:hint="eastAsia" w:ascii="MS UI Gothic" w:eastAsia="MS UI Gothic"/>
          <w:spacing w:val="2"/>
          <w:w w:val="80"/>
        </w:rPr>
        <w:t xml:space="preserve">、 </w:t>
      </w:r>
      <w:r>
        <w:rPr>
          <w:spacing w:val="8"/>
          <w:w w:val="105"/>
        </w:rPr>
        <w:t>电子数</w:t>
      </w:r>
      <w:r>
        <w:rPr>
          <w:spacing w:val="3"/>
          <w:w w:val="105"/>
        </w:rPr>
        <w:t>据</w:t>
      </w:r>
      <w:r>
        <w:rPr>
          <w:rFonts w:hint="eastAsia" w:ascii="MS UI Gothic" w:eastAsia="MS UI Gothic"/>
          <w:spacing w:val="16"/>
          <w:w w:val="80"/>
        </w:rPr>
        <w:t xml:space="preserve">、 </w:t>
      </w:r>
      <w:r>
        <w:rPr>
          <w:spacing w:val="3"/>
          <w:w w:val="105"/>
        </w:rPr>
        <w:t>视听资料</w:t>
      </w:r>
      <w:r>
        <w:rPr>
          <w:rFonts w:hint="eastAsia" w:ascii="MS UI Gothic" w:eastAsia="MS UI Gothic"/>
          <w:spacing w:val="17"/>
          <w:w w:val="80"/>
        </w:rPr>
        <w:t xml:space="preserve">、 </w:t>
      </w:r>
      <w:r>
        <w:rPr>
          <w:spacing w:val="3"/>
          <w:w w:val="105"/>
        </w:rPr>
        <w:t>认定意见</w:t>
      </w:r>
      <w:r>
        <w:rPr>
          <w:rFonts w:hint="eastAsia" w:ascii="MS UI Gothic" w:eastAsia="MS UI Gothic"/>
          <w:spacing w:val="17"/>
          <w:w w:val="80"/>
        </w:rPr>
        <w:t xml:space="preserve">、 </w:t>
      </w:r>
      <w:r>
        <w:rPr>
          <w:spacing w:val="2"/>
          <w:w w:val="105"/>
        </w:rPr>
        <w:t>责令整改通知</w:t>
      </w:r>
      <w:r>
        <w:rPr>
          <w:spacing w:val="3"/>
          <w:w w:val="105"/>
        </w:rPr>
        <w:t>书等其他与案件有关的证据材料</w:t>
      </w:r>
      <w:r>
        <w:rPr>
          <w:rFonts w:hint="eastAsia" w:ascii="MS UI Gothic" w:eastAsia="MS UI Gothic"/>
          <w:w w:val="80"/>
        </w:rPr>
        <w:t>ꎮ</w:t>
      </w:r>
    </w:p>
    <w:p>
      <w:pPr>
        <w:pStyle w:val="6"/>
        <w:spacing w:line="295" w:lineRule="auto"/>
        <w:ind w:right="38"/>
        <w:rPr>
          <w:rFonts w:hint="eastAsia" w:ascii="MS UI Gothic" w:eastAsia="MS UI Gothic"/>
        </w:rPr>
      </w:pPr>
      <w:r>
        <w:rPr>
          <w:spacing w:val="2"/>
        </w:rPr>
        <w:t>对有关违法行为已经作出行政处罚决</w:t>
      </w:r>
      <w:r>
        <w:rPr>
          <w:spacing w:val="3"/>
        </w:rPr>
        <w:t>定的</w:t>
      </w:r>
      <w:r>
        <w:rPr>
          <w:rFonts w:hint="eastAsia" w:ascii="MS UI Gothic" w:eastAsia="MS UI Gothic"/>
          <w:spacing w:val="1"/>
          <w:w w:val="80"/>
        </w:rPr>
        <w:t xml:space="preserve">ꎬ </w:t>
      </w:r>
      <w:r>
        <w:rPr>
          <w:spacing w:val="3"/>
        </w:rPr>
        <w:t>还应当附行政处罚决定书</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第九条 公安机关对应急管理部门移</w:t>
      </w:r>
      <w:r>
        <w:t>送的涉嫌安全生产犯罪案件</w:t>
      </w:r>
      <w:r>
        <w:rPr>
          <w:rFonts w:hint="eastAsia" w:ascii="MS UI Gothic" w:eastAsia="MS UI Gothic"/>
          <w:w w:val="80"/>
        </w:rPr>
        <w:t xml:space="preserve">ꎬ </w:t>
      </w:r>
      <w:r>
        <w:t>应当出具接受案件的回执或者在案件移送书的回执上</w:t>
      </w:r>
      <w:r>
        <w:rPr>
          <w:w w:val="105"/>
        </w:rPr>
        <w:t>签字</w:t>
      </w:r>
      <w:r>
        <w:rPr>
          <w:rFonts w:hint="eastAsia" w:ascii="MS UI Gothic" w:eastAsia="MS UI Gothic"/>
          <w:w w:val="80"/>
        </w:rPr>
        <w:t>ꎮ</w:t>
      </w:r>
    </w:p>
    <w:p>
      <w:pPr>
        <w:pStyle w:val="6"/>
        <w:spacing w:line="295" w:lineRule="auto"/>
        <w:ind w:right="38"/>
      </w:pPr>
      <w:r>
        <w:t>第十条 公安机关审查发现移送的涉嫌安全生产犯罪案件材料不全的</w:t>
      </w:r>
      <w:r>
        <w:rPr>
          <w:rFonts w:hint="eastAsia" w:ascii="MS UI Gothic" w:eastAsia="MS UI Gothic"/>
          <w:w w:val="85"/>
        </w:rPr>
        <w:t xml:space="preserve">ꎬ </w:t>
      </w:r>
      <w:r>
        <w:t xml:space="preserve">应当在接受案件的 </w:t>
      </w:r>
      <w:r>
        <w:rPr>
          <w:rFonts w:hint="eastAsia" w:ascii="MS UI Gothic" w:eastAsia="MS UI Gothic"/>
          <w:w w:val="85"/>
        </w:rPr>
        <w:t xml:space="preserve">２４ </w:t>
      </w:r>
      <w:r>
        <w:t>小时内书面告知应急管理</w:t>
      </w:r>
    </w:p>
    <w:p>
      <w:pPr>
        <w:pStyle w:val="6"/>
        <w:spacing w:line="254" w:lineRule="exact"/>
        <w:ind w:firstLine="0"/>
        <w:rPr>
          <w:rFonts w:hint="eastAsia" w:ascii="MS UI Gothic" w:eastAsia="MS UI Gothic"/>
        </w:rPr>
      </w:pPr>
      <w:r>
        <w:t xml:space="preserve">部门在 </w:t>
      </w:r>
      <w:r>
        <w:rPr>
          <w:rFonts w:hint="eastAsia" w:ascii="MS UI Gothic" w:eastAsia="MS UI Gothic"/>
        </w:rPr>
        <w:t xml:space="preserve">３ </w:t>
      </w:r>
      <w:r>
        <w:t>日内补正</w:t>
      </w:r>
      <w:r>
        <w:rPr>
          <w:rFonts w:hint="eastAsia" w:ascii="MS UI Gothic" w:eastAsia="MS UI Gothic"/>
          <w:w w:val="80"/>
        </w:rPr>
        <w:t>ꎮ</w:t>
      </w:r>
    </w:p>
    <w:p>
      <w:pPr>
        <w:pStyle w:val="6"/>
        <w:spacing w:before="38" w:line="295" w:lineRule="auto"/>
        <w:ind w:right="38"/>
        <w:rPr>
          <w:rFonts w:hint="eastAsia" w:ascii="MS UI Gothic" w:eastAsia="MS UI Gothic"/>
        </w:rPr>
      </w:pPr>
      <w:r>
        <w:t>公安机关审查发现涉嫌安全生产犯罪案件移送材料不全</w:t>
      </w:r>
      <w:r>
        <w:rPr>
          <w:rFonts w:hint="eastAsia" w:ascii="MS UI Gothic" w:eastAsia="MS UI Gothic"/>
          <w:w w:val="80"/>
        </w:rPr>
        <w:t xml:space="preserve">、 </w:t>
      </w:r>
      <w:r>
        <w:t>证据不充分的</w:t>
      </w:r>
      <w:r>
        <w:rPr>
          <w:rFonts w:hint="eastAsia" w:ascii="MS UI Gothic" w:eastAsia="MS UI Gothic"/>
          <w:w w:val="80"/>
        </w:rPr>
        <w:t xml:space="preserve">ꎬ </w:t>
      </w:r>
      <w:r>
        <w:t>可以就证明有犯罪事实的相关证据要求等提出补充调查意见</w:t>
      </w:r>
      <w:r>
        <w:rPr>
          <w:rFonts w:hint="eastAsia" w:ascii="MS UI Gothic" w:eastAsia="MS UI Gothic"/>
          <w:w w:val="80"/>
        </w:rPr>
        <w:t xml:space="preserve">ꎬ </w:t>
      </w:r>
      <w:r>
        <w:t>由移送案件的应急管理部门补充调查</w:t>
      </w:r>
      <w:r>
        <w:rPr>
          <w:rFonts w:hint="eastAsia" w:ascii="MS UI Gothic" w:eastAsia="MS UI Gothic"/>
          <w:w w:val="80"/>
        </w:rPr>
        <w:t xml:space="preserve">ꎮ </w:t>
      </w:r>
      <w:r>
        <w:t>根据实际情况</w:t>
      </w:r>
      <w:r>
        <w:rPr>
          <w:rFonts w:hint="eastAsia" w:ascii="MS UI Gothic" w:eastAsia="MS UI Gothic"/>
          <w:w w:val="80"/>
        </w:rPr>
        <w:t xml:space="preserve">ꎬ </w:t>
      </w:r>
      <w:r>
        <w:t>公安机关可以依法自行调查</w:t>
      </w:r>
      <w:r>
        <w:rPr>
          <w:rFonts w:hint="eastAsia" w:ascii="MS UI Gothic" w:eastAsia="MS UI Gothic"/>
          <w:w w:val="80"/>
        </w:rPr>
        <w:t>ꎮ</w:t>
      </w:r>
    </w:p>
    <w:p>
      <w:pPr>
        <w:pStyle w:val="6"/>
        <w:spacing w:line="295" w:lineRule="auto"/>
        <w:ind w:left="118" w:right="38" w:firstLine="425"/>
      </w:pPr>
      <w:r>
        <w:t>第十一条 公安机关对移送的涉嫌安全生产犯罪案件</w:t>
      </w:r>
      <w:r>
        <w:rPr>
          <w:rFonts w:hint="eastAsia" w:ascii="MS UI Gothic" w:eastAsia="MS UI Gothic"/>
          <w:w w:val="80"/>
        </w:rPr>
        <w:t xml:space="preserve">ꎬ </w:t>
      </w:r>
      <w:r>
        <w:t>应当自接受案件之日起</w:t>
      </w:r>
      <w:r>
        <w:rPr>
          <w:rFonts w:hint="eastAsia" w:ascii="MS UI Gothic" w:eastAsia="MS UI Gothic"/>
          <w:w w:val="80"/>
        </w:rPr>
        <w:t xml:space="preserve">３ </w:t>
      </w:r>
      <w:r>
        <w:t>日内作出立案或者不予立案的决定</w:t>
      </w:r>
      <w:r>
        <w:rPr>
          <w:rFonts w:hint="eastAsia" w:ascii="MS UI Gothic" w:eastAsia="MS UI Gothic"/>
          <w:w w:val="80"/>
        </w:rPr>
        <w:t xml:space="preserve">ꎻ </w:t>
      </w:r>
      <w:r>
        <w:t>涉嫌犯罪线索需要查证的</w:t>
      </w:r>
      <w:r>
        <w:rPr>
          <w:rFonts w:hint="eastAsia" w:ascii="MS UI Gothic" w:eastAsia="MS UI Gothic"/>
          <w:w w:val="80"/>
        </w:rPr>
        <w:t xml:space="preserve">ꎬ </w:t>
      </w:r>
      <w:r>
        <w:t>应当自接受案件</w:t>
      </w:r>
    </w:p>
    <w:p>
      <w:pPr>
        <w:pStyle w:val="6"/>
        <w:spacing w:before="123" w:line="295" w:lineRule="auto"/>
        <w:ind w:left="118" w:right="442" w:firstLine="0"/>
        <w:rPr>
          <w:rFonts w:hint="eastAsia" w:ascii="MS UI Gothic" w:eastAsia="MS UI Gothic"/>
        </w:rPr>
      </w:pPr>
      <w:r>
        <w:br w:type="column"/>
      </w:r>
      <w:r>
        <w:t xml:space="preserve">之日起 </w:t>
      </w:r>
      <w:r>
        <w:rPr>
          <w:rFonts w:hint="eastAsia" w:ascii="MS UI Gothic" w:eastAsia="MS UI Gothic"/>
          <w:w w:val="85"/>
        </w:rPr>
        <w:t xml:space="preserve">７ </w:t>
      </w:r>
      <w:r>
        <w:t>日内作出决定</w:t>
      </w:r>
      <w:r>
        <w:rPr>
          <w:rFonts w:hint="eastAsia" w:ascii="MS UI Gothic" w:eastAsia="MS UI Gothic"/>
          <w:w w:val="85"/>
        </w:rPr>
        <w:t xml:space="preserve">ꎻ </w:t>
      </w:r>
      <w:r>
        <w:t>重大疑难复杂案件</w:t>
      </w:r>
      <w:r>
        <w:rPr>
          <w:rFonts w:hint="eastAsia" w:ascii="MS UI Gothic" w:eastAsia="MS UI Gothic"/>
          <w:w w:val="85"/>
        </w:rPr>
        <w:t xml:space="preserve">ꎬ </w:t>
      </w:r>
      <w:r>
        <w:t>经县级以上公安机关负责人批准</w:t>
      </w:r>
      <w:r>
        <w:rPr>
          <w:rFonts w:hint="eastAsia" w:ascii="MS UI Gothic" w:eastAsia="MS UI Gothic"/>
          <w:w w:val="85"/>
        </w:rPr>
        <w:t xml:space="preserve">ꎬ </w:t>
      </w:r>
      <w:r>
        <w:t xml:space="preserve">可以自受案之日起 </w:t>
      </w:r>
      <w:r>
        <w:rPr>
          <w:rFonts w:hint="eastAsia" w:ascii="MS UI Gothic" w:eastAsia="MS UI Gothic"/>
          <w:w w:val="85"/>
        </w:rPr>
        <w:t xml:space="preserve">３０ </w:t>
      </w:r>
      <w:r>
        <w:t>日内作出决定</w:t>
      </w:r>
      <w:r>
        <w:rPr>
          <w:rFonts w:hint="eastAsia" w:ascii="MS UI Gothic" w:eastAsia="MS UI Gothic"/>
          <w:w w:val="85"/>
        </w:rPr>
        <w:t xml:space="preserve">ꎮ </w:t>
      </w:r>
      <w:r>
        <w:t>依法不予立案的</w:t>
      </w:r>
      <w:r>
        <w:rPr>
          <w:rFonts w:hint="eastAsia" w:ascii="MS UI Gothic" w:eastAsia="MS UI Gothic"/>
          <w:w w:val="85"/>
        </w:rPr>
        <w:t xml:space="preserve">ꎬ </w:t>
      </w:r>
      <w:r>
        <w:t>应当说明理由</w:t>
      </w:r>
      <w:r>
        <w:rPr>
          <w:rFonts w:hint="eastAsia" w:ascii="MS UI Gothic" w:eastAsia="MS UI Gothic"/>
          <w:w w:val="85"/>
        </w:rPr>
        <w:t xml:space="preserve">ꎬ </w:t>
      </w:r>
      <w:r>
        <w:t>相应退回案件材料</w:t>
      </w:r>
      <w:r>
        <w:rPr>
          <w:rFonts w:hint="eastAsia" w:ascii="MS UI Gothic" w:eastAsia="MS UI Gothic"/>
          <w:w w:val="85"/>
        </w:rPr>
        <w:t>ꎮ</w:t>
      </w:r>
    </w:p>
    <w:p>
      <w:pPr>
        <w:pStyle w:val="6"/>
        <w:spacing w:line="295" w:lineRule="auto"/>
        <w:ind w:left="118" w:right="442"/>
        <w:rPr>
          <w:rFonts w:hint="eastAsia" w:ascii="MS UI Gothic" w:eastAsia="MS UI Gothic"/>
        </w:rPr>
      </w:pPr>
      <w:r>
        <w:t>对属于公安机关管辖但不属于本公安机关管辖的案件</w:t>
      </w:r>
      <w:r>
        <w:rPr>
          <w:rFonts w:hint="eastAsia" w:ascii="MS UI Gothic" w:eastAsia="MS UI Gothic"/>
          <w:w w:val="85"/>
        </w:rPr>
        <w:t xml:space="preserve">ꎬ </w:t>
      </w:r>
      <w:r>
        <w:t xml:space="preserve">应当在接受案件后 </w:t>
      </w:r>
      <w:r>
        <w:rPr>
          <w:rFonts w:hint="eastAsia" w:ascii="MS UI Gothic" w:eastAsia="MS UI Gothic"/>
          <w:w w:val="85"/>
        </w:rPr>
        <w:t xml:space="preserve">２４ </w:t>
      </w:r>
      <w:r>
        <w:t>小时内移送有管辖权的公安机关</w:t>
      </w:r>
      <w:r>
        <w:rPr>
          <w:rFonts w:hint="eastAsia" w:ascii="MS UI Gothic" w:eastAsia="MS UI Gothic"/>
          <w:w w:val="85"/>
        </w:rPr>
        <w:t xml:space="preserve">ꎬ </w:t>
      </w:r>
      <w:r>
        <w:t>并书面通知移送案件的应急管理部门</w:t>
      </w:r>
      <w:r>
        <w:rPr>
          <w:rFonts w:hint="eastAsia" w:ascii="MS UI Gothic" w:eastAsia="MS UI Gothic"/>
          <w:w w:val="85"/>
        </w:rPr>
        <w:t xml:space="preserve">ꎬ </w:t>
      </w:r>
      <w:r>
        <w:t>抄送同级人民检察院</w:t>
      </w:r>
      <w:r>
        <w:rPr>
          <w:rFonts w:hint="eastAsia" w:ascii="MS UI Gothic" w:eastAsia="MS UI Gothic"/>
          <w:w w:val="85"/>
        </w:rPr>
        <w:t xml:space="preserve">ꎮ </w:t>
      </w:r>
      <w:r>
        <w:t>对不属于公安机关管辖的案件</w:t>
      </w:r>
      <w:r>
        <w:rPr>
          <w:rFonts w:hint="eastAsia" w:ascii="MS UI Gothic" w:eastAsia="MS UI Gothic"/>
          <w:w w:val="85"/>
        </w:rPr>
        <w:t xml:space="preserve">ꎬ </w:t>
      </w:r>
      <w:r>
        <w:t xml:space="preserve">应当在 </w:t>
      </w:r>
      <w:r>
        <w:rPr>
          <w:rFonts w:hint="eastAsia" w:ascii="MS UI Gothic" w:eastAsia="MS UI Gothic"/>
          <w:w w:val="85"/>
        </w:rPr>
        <w:t xml:space="preserve">２４ </w:t>
      </w:r>
      <w:r>
        <w:t>小时内退回移送案件的应急管理部门</w:t>
      </w:r>
      <w:r>
        <w:rPr>
          <w:rFonts w:hint="eastAsia" w:ascii="MS UI Gothic" w:eastAsia="MS UI Gothic"/>
          <w:w w:val="85"/>
        </w:rPr>
        <w:t>ꎮ</w:t>
      </w:r>
    </w:p>
    <w:p>
      <w:pPr>
        <w:pStyle w:val="6"/>
        <w:spacing w:line="295" w:lineRule="auto"/>
        <w:ind w:left="118" w:right="442"/>
        <w:rPr>
          <w:rFonts w:hint="eastAsia" w:ascii="MS UI Gothic" w:eastAsia="MS UI Gothic"/>
        </w:rPr>
      </w:pPr>
      <w:r>
        <w:t>第十二条 公安机关作出立案</w:t>
      </w:r>
      <w:r>
        <w:rPr>
          <w:rFonts w:hint="eastAsia" w:ascii="MS UI Gothic" w:eastAsia="MS UI Gothic"/>
          <w:w w:val="80"/>
        </w:rPr>
        <w:t xml:space="preserve">、 </w:t>
      </w:r>
      <w:r>
        <w:t>不予立案决定的</w:t>
      </w:r>
      <w:r>
        <w:rPr>
          <w:rFonts w:hint="eastAsia" w:ascii="MS UI Gothic" w:eastAsia="MS UI Gothic"/>
          <w:w w:val="80"/>
        </w:rPr>
        <w:t xml:space="preserve">ꎬ </w:t>
      </w:r>
      <w:r>
        <w:t xml:space="preserve">应当自作出决定之日起 </w:t>
      </w:r>
      <w:r>
        <w:rPr>
          <w:rFonts w:hint="eastAsia" w:ascii="MS UI Gothic" w:eastAsia="MS UI Gothic"/>
          <w:w w:val="80"/>
        </w:rPr>
        <w:t xml:space="preserve">３ </w:t>
      </w:r>
      <w:r>
        <w:t>日内书面通知应急管理部门</w:t>
      </w:r>
      <w:r>
        <w:rPr>
          <w:rFonts w:hint="eastAsia" w:ascii="MS UI Gothic" w:eastAsia="MS UI Gothic"/>
          <w:w w:val="80"/>
        </w:rPr>
        <w:t xml:space="preserve">ꎬ </w:t>
      </w:r>
      <w:r>
        <w:t>并抄送同级人民检察院</w:t>
      </w:r>
      <w:r>
        <w:rPr>
          <w:rFonts w:hint="eastAsia" w:ascii="MS UI Gothic" w:eastAsia="MS UI Gothic"/>
          <w:w w:val="80"/>
        </w:rPr>
        <w:t>ꎮ</w:t>
      </w:r>
    </w:p>
    <w:p>
      <w:pPr>
        <w:pStyle w:val="6"/>
        <w:spacing w:line="295" w:lineRule="auto"/>
        <w:ind w:left="118" w:right="440"/>
        <w:rPr>
          <w:rFonts w:hint="eastAsia" w:ascii="MS UI Gothic" w:eastAsia="MS UI Gothic"/>
        </w:rPr>
      </w:pPr>
      <w:r>
        <w:t>对移送的涉嫌安全生产犯罪案件</w:t>
      </w:r>
      <w:r>
        <w:rPr>
          <w:rFonts w:hint="eastAsia" w:ascii="MS UI Gothic" w:eastAsia="MS UI Gothic"/>
          <w:w w:val="80"/>
        </w:rPr>
        <w:t xml:space="preserve">ꎬ </w:t>
      </w:r>
      <w:r>
        <w:t>公安机关立案后决定撤销案件的</w:t>
      </w:r>
      <w:r>
        <w:rPr>
          <w:rFonts w:hint="eastAsia" w:ascii="MS UI Gothic" w:eastAsia="MS UI Gothic"/>
          <w:w w:val="80"/>
        </w:rPr>
        <w:t xml:space="preserve">ꎬ </w:t>
      </w:r>
      <w:r>
        <w:t>应当将撤销案件决定书送达移送案件的应急管理部门</w:t>
      </w:r>
      <w:r>
        <w:rPr>
          <w:rFonts w:hint="eastAsia" w:ascii="MS UI Gothic" w:eastAsia="MS UI Gothic"/>
          <w:w w:val="80"/>
        </w:rPr>
        <w:t xml:space="preserve">ꎬ </w:t>
      </w:r>
      <w:r>
        <w:t>并退回案卷材料</w:t>
      </w:r>
      <w:r>
        <w:rPr>
          <w:rFonts w:hint="eastAsia" w:ascii="MS UI Gothic" w:eastAsia="MS UI Gothic"/>
          <w:w w:val="80"/>
        </w:rPr>
        <w:t xml:space="preserve">ꎮ </w:t>
      </w:r>
      <w:r>
        <w:t>对依法应当追究行政法律责任的</w:t>
      </w:r>
      <w:r>
        <w:rPr>
          <w:rFonts w:hint="eastAsia" w:ascii="MS UI Gothic" w:eastAsia="MS UI Gothic"/>
          <w:w w:val="80"/>
        </w:rPr>
        <w:t xml:space="preserve">ꎬ </w:t>
      </w:r>
      <w:r>
        <w:t>可以同时提出书面建议</w:t>
      </w:r>
      <w:r>
        <w:rPr>
          <w:rFonts w:hint="eastAsia" w:ascii="MS UI Gothic" w:eastAsia="MS UI Gothic"/>
          <w:w w:val="80"/>
        </w:rPr>
        <w:t>ꎮ</w:t>
      </w:r>
      <w:r>
        <w:t>有关撤销案件决定书应当抄送同级人民检察院</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2"/>
          <w:w w:val="105"/>
        </w:rPr>
        <w:t>第十三条 应急管理部门应当自接到</w:t>
      </w:r>
      <w:r>
        <w:rPr>
          <w:spacing w:val="-6"/>
          <w:w w:val="105"/>
        </w:rPr>
        <w:t xml:space="preserve">公安机关立案通知书之日起 </w:t>
      </w:r>
      <w:r>
        <w:rPr>
          <w:rFonts w:hint="eastAsia" w:ascii="MS UI Gothic" w:eastAsia="MS UI Gothic"/>
          <w:spacing w:val="-12"/>
          <w:w w:val="80"/>
        </w:rPr>
        <w:t xml:space="preserve">３ </w:t>
      </w:r>
      <w:r>
        <w:rPr>
          <w:spacing w:val="3"/>
          <w:w w:val="105"/>
        </w:rPr>
        <w:t>日内将涉案</w:t>
      </w:r>
      <w:r>
        <w:rPr>
          <w:spacing w:val="2"/>
        </w:rPr>
        <w:t>物品以及与案件有关的其他材料移交公安</w:t>
      </w:r>
      <w:r>
        <w:rPr>
          <w:spacing w:val="3"/>
          <w:w w:val="105"/>
        </w:rPr>
        <w:t>机关</w:t>
      </w:r>
      <w:r>
        <w:rPr>
          <w:rFonts w:hint="eastAsia" w:ascii="MS UI Gothic" w:eastAsia="MS UI Gothic"/>
          <w:spacing w:val="23"/>
          <w:w w:val="80"/>
        </w:rPr>
        <w:t xml:space="preserve">ꎬ </w:t>
      </w:r>
      <w:r>
        <w:rPr>
          <w:spacing w:val="3"/>
          <w:w w:val="105"/>
        </w:rPr>
        <w:t>并办理交接手续</w:t>
      </w:r>
      <w:r>
        <w:rPr>
          <w:rFonts w:hint="eastAsia" w:ascii="MS UI Gothic" w:eastAsia="MS UI Gothic"/>
          <w:w w:val="80"/>
        </w:rPr>
        <w:t>ꎮ</w:t>
      </w:r>
    </w:p>
    <w:p>
      <w:pPr>
        <w:pStyle w:val="6"/>
        <w:spacing w:line="295" w:lineRule="auto"/>
        <w:ind w:left="118" w:right="442"/>
        <w:rPr>
          <w:rFonts w:hint="eastAsia" w:ascii="MS UI Gothic" w:eastAsia="MS UI Gothic"/>
        </w:rPr>
      </w:pPr>
      <w:r>
        <w:t>对保管条件</w:t>
      </w:r>
      <w:r>
        <w:rPr>
          <w:rFonts w:hint="eastAsia" w:ascii="MS UI Gothic" w:eastAsia="MS UI Gothic"/>
          <w:w w:val="80"/>
        </w:rPr>
        <w:t xml:space="preserve">、 </w:t>
      </w:r>
      <w:r>
        <w:t>保管场所有特殊要求的涉案物品</w:t>
      </w:r>
      <w:r>
        <w:rPr>
          <w:rFonts w:hint="eastAsia" w:ascii="MS UI Gothic" w:eastAsia="MS UI Gothic"/>
          <w:w w:val="80"/>
        </w:rPr>
        <w:t xml:space="preserve">ꎬ </w:t>
      </w:r>
      <w:r>
        <w:t>可以在公安机关采取必要措施固定留取证据后</w:t>
      </w:r>
      <w:r>
        <w:rPr>
          <w:rFonts w:hint="eastAsia" w:ascii="MS UI Gothic" w:eastAsia="MS UI Gothic"/>
          <w:w w:val="80"/>
        </w:rPr>
        <w:t xml:space="preserve">ꎬ </w:t>
      </w:r>
      <w:r>
        <w:t>由应急管理部门代为保管</w:t>
      </w:r>
      <w:r>
        <w:rPr>
          <w:rFonts w:hint="eastAsia" w:ascii="MS UI Gothic" w:eastAsia="MS UI Gothic"/>
          <w:w w:val="80"/>
        </w:rPr>
        <w:t xml:space="preserve">ꎮ </w:t>
      </w:r>
      <w:r>
        <w:t>应急管理部门应当妥善保管涉案物品</w:t>
      </w:r>
      <w:r>
        <w:rPr>
          <w:rFonts w:hint="eastAsia" w:ascii="MS UI Gothic" w:eastAsia="MS UI Gothic"/>
          <w:w w:val="80"/>
        </w:rPr>
        <w:t xml:space="preserve">ꎬ </w:t>
      </w:r>
      <w:r>
        <w:t>并配合公安机关</w:t>
      </w:r>
      <w:r>
        <w:rPr>
          <w:rFonts w:hint="eastAsia" w:ascii="MS UI Gothic" w:eastAsia="MS UI Gothic"/>
          <w:w w:val="80"/>
        </w:rPr>
        <w:t xml:space="preserve">、 </w:t>
      </w:r>
      <w:r>
        <w:t>人民检察院</w:t>
      </w:r>
      <w:r>
        <w:rPr>
          <w:rFonts w:hint="eastAsia" w:ascii="MS UI Gothic" w:eastAsia="MS UI Gothic"/>
          <w:w w:val="80"/>
        </w:rPr>
        <w:t xml:space="preserve">、 </w:t>
      </w:r>
      <w:r>
        <w:t>人民法院在办案过程中对涉案物品的调取</w:t>
      </w:r>
      <w:r>
        <w:rPr>
          <w:rFonts w:hint="eastAsia" w:ascii="MS UI Gothic" w:eastAsia="MS UI Gothic"/>
          <w:w w:val="80"/>
        </w:rPr>
        <w:t xml:space="preserve">、 </w:t>
      </w:r>
      <w:r>
        <w:t>使用及鉴定等工作</w:t>
      </w:r>
      <w:r>
        <w:rPr>
          <w:rFonts w:hint="eastAsia" w:ascii="MS UI Gothic" w:eastAsia="MS UI Gothic"/>
          <w:w w:val="80"/>
        </w:rPr>
        <w:t>ꎮ</w:t>
      </w:r>
    </w:p>
    <w:p>
      <w:pPr>
        <w:pStyle w:val="6"/>
        <w:spacing w:line="295" w:lineRule="auto"/>
        <w:ind w:left="118" w:right="442"/>
      </w:pPr>
      <w:r>
        <w:rPr>
          <w:spacing w:val="2"/>
          <w:w w:val="105"/>
        </w:rPr>
        <w:t>第十四条 应急管理部门接到公安机</w:t>
      </w:r>
      <w:r>
        <w:rPr>
          <w:spacing w:val="3"/>
        </w:rPr>
        <w:t>关不予立案的通知书后</w:t>
      </w:r>
      <w:r>
        <w:rPr>
          <w:rFonts w:hint="eastAsia" w:ascii="MS UI Gothic" w:eastAsia="MS UI Gothic"/>
          <w:spacing w:val="20"/>
          <w:w w:val="80"/>
        </w:rPr>
        <w:t xml:space="preserve">ꎬ </w:t>
      </w:r>
      <w:r>
        <w:rPr>
          <w:spacing w:val="2"/>
        </w:rPr>
        <w:t>认为依法应当由</w:t>
      </w:r>
      <w:r>
        <w:rPr>
          <w:spacing w:val="3"/>
        </w:rPr>
        <w:t>公安机关决定立案的</w:t>
      </w:r>
      <w:r>
        <w:rPr>
          <w:rFonts w:hint="eastAsia" w:ascii="MS UI Gothic" w:eastAsia="MS UI Gothic"/>
          <w:spacing w:val="20"/>
          <w:w w:val="80"/>
        </w:rPr>
        <w:t xml:space="preserve">ꎬ </w:t>
      </w:r>
      <w:r>
        <w:rPr>
          <w:spacing w:val="2"/>
        </w:rPr>
        <w:t>可以自接到不予立</w:t>
      </w:r>
      <w:r>
        <w:rPr>
          <w:spacing w:val="-10"/>
          <w:w w:val="105"/>
        </w:rPr>
        <w:t xml:space="preserve">案通知书之日起 </w:t>
      </w:r>
      <w:r>
        <w:rPr>
          <w:rFonts w:hint="eastAsia" w:ascii="MS UI Gothic" w:eastAsia="MS UI Gothic"/>
          <w:spacing w:val="-12"/>
          <w:w w:val="80"/>
        </w:rPr>
        <w:t xml:space="preserve">３ </w:t>
      </w:r>
      <w:r>
        <w:rPr>
          <w:spacing w:val="2"/>
          <w:w w:val="105"/>
        </w:rPr>
        <w:t>日内提请作出不予立案</w:t>
      </w:r>
      <w:r>
        <w:rPr>
          <w:spacing w:val="3"/>
        </w:rPr>
        <w:t>决定的公安机关复议</w:t>
      </w:r>
      <w:r>
        <w:rPr>
          <w:rFonts w:hint="eastAsia" w:ascii="MS UI Gothic" w:eastAsia="MS UI Gothic"/>
          <w:spacing w:val="20"/>
          <w:w w:val="80"/>
        </w:rPr>
        <w:t xml:space="preserve">ꎬ </w:t>
      </w:r>
      <w:r>
        <w:rPr>
          <w:spacing w:val="2"/>
        </w:rPr>
        <w:t>也可以建议人民检</w:t>
      </w:r>
    </w:p>
    <w:p>
      <w:pPr>
        <w:spacing w:after="0" w:line="295" w:lineRule="auto"/>
        <w:sectPr>
          <w:type w:val="continuous"/>
          <w:pgSz w:w="10500" w:h="14750"/>
          <w:pgMar w:top="1400" w:right="980" w:bottom="280" w:left="980" w:header="720" w:footer="720" w:gutter="0"/>
          <w:cols w:equalWidth="0" w:num="2">
            <w:col w:w="3934" w:space="264"/>
            <w:col w:w="4342"/>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３３</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49" o:spid="_x0000_s1149" o:spt="203" style="height:2.15pt;width:398.25pt;" coordsize="7965,43">
            <o:lock v:ext="edit"/>
            <v:line id="_x0000_s1150" o:spid="_x0000_s1150" o:spt="20" style="position:absolute;left:0;top:39;height:0;width:7965;" stroked="t" coordsize="21600,21600">
              <v:path arrowok="t"/>
              <v:fill focussize="0,0"/>
              <v:stroke weight="0.388031496062992pt" color="#231F20"/>
              <v:imagedata o:title=""/>
              <o:lock v:ext="edit"/>
            </v:line>
            <v:line id="_x0000_s1151" o:spid="_x0000_s115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察院进行立案监督</w:t>
      </w:r>
      <w:r>
        <w:rPr>
          <w:rFonts w:hint="eastAsia" w:ascii="MS UI Gothic" w:eastAsia="MS UI Gothic"/>
          <w:w w:val="80"/>
        </w:rPr>
        <w:t>ꎮ</w:t>
      </w:r>
    </w:p>
    <w:p>
      <w:pPr>
        <w:pStyle w:val="6"/>
        <w:spacing w:before="58" w:line="295" w:lineRule="auto"/>
        <w:ind w:left="440"/>
        <w:rPr>
          <w:rFonts w:hint="eastAsia" w:ascii="MS UI Gothic" w:eastAsia="MS UI Gothic"/>
        </w:rPr>
      </w:pPr>
      <w:r>
        <w:t xml:space="preserve">公安机关应当自收到提请复议的文件之日起 </w:t>
      </w:r>
      <w:r>
        <w:rPr>
          <w:rFonts w:hint="eastAsia" w:ascii="MS UI Gothic" w:eastAsia="MS UI Gothic"/>
          <w:w w:val="80"/>
        </w:rPr>
        <w:t xml:space="preserve">３ </w:t>
      </w:r>
      <w:r>
        <w:t>日内作出复议决定</w:t>
      </w:r>
      <w:r>
        <w:rPr>
          <w:rFonts w:hint="eastAsia" w:ascii="MS UI Gothic" w:eastAsia="MS UI Gothic"/>
          <w:w w:val="80"/>
        </w:rPr>
        <w:t xml:space="preserve">ꎬ </w:t>
      </w:r>
      <w:r>
        <w:t>并书面通知应急管理部门</w:t>
      </w:r>
      <w:r>
        <w:rPr>
          <w:rFonts w:hint="eastAsia" w:ascii="MS UI Gothic" w:eastAsia="MS UI Gothic"/>
          <w:w w:val="80"/>
        </w:rPr>
        <w:t xml:space="preserve">ꎮ </w:t>
      </w:r>
      <w:r>
        <w:t>应急管理部门对公安机关的复议决定仍有异议的</w:t>
      </w:r>
      <w:r>
        <w:rPr>
          <w:rFonts w:hint="eastAsia" w:ascii="MS UI Gothic" w:eastAsia="MS UI Gothic"/>
          <w:w w:val="80"/>
        </w:rPr>
        <w:t xml:space="preserve">ꎬ </w:t>
      </w:r>
      <w:r>
        <w:t xml:space="preserve">应当自收到复议决定之日起 </w:t>
      </w:r>
      <w:r>
        <w:rPr>
          <w:rFonts w:hint="eastAsia" w:ascii="MS UI Gothic" w:eastAsia="MS UI Gothic"/>
          <w:w w:val="80"/>
        </w:rPr>
        <w:t xml:space="preserve">３ </w:t>
      </w:r>
      <w:r>
        <w:t>日内建议人民检察院进行立案监督</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应急管理部门对公安机关逾期未作出是否立案决定以及立案后撤销案件决定有</w:t>
      </w:r>
      <w:r>
        <w:rPr>
          <w:spacing w:val="5"/>
        </w:rPr>
        <w:t>异议的</w:t>
      </w:r>
      <w:r>
        <w:rPr>
          <w:rFonts w:hint="eastAsia" w:ascii="MS UI Gothic" w:eastAsia="MS UI Gothic"/>
          <w:spacing w:val="24"/>
          <w:w w:val="80"/>
        </w:rPr>
        <w:t xml:space="preserve">ꎬ </w:t>
      </w:r>
      <w:r>
        <w:rPr>
          <w:spacing w:val="16"/>
        </w:rPr>
        <w:t>可以建议人民检察院进行立案</w:t>
      </w:r>
      <w:r>
        <w:rPr>
          <w:spacing w:val="3"/>
          <w:w w:val="105"/>
        </w:rPr>
        <w:t>监督</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第十五条 应急管理部门建议人民检</w:t>
      </w:r>
      <w:r>
        <w:rPr>
          <w:spacing w:val="3"/>
        </w:rPr>
        <w:t>察院进行立案监督的</w:t>
      </w:r>
      <w:r>
        <w:rPr>
          <w:rFonts w:hint="eastAsia" w:ascii="MS UI Gothic" w:eastAsia="MS UI Gothic"/>
          <w:spacing w:val="21"/>
          <w:w w:val="80"/>
        </w:rPr>
        <w:t xml:space="preserve">ꎬ </w:t>
      </w:r>
      <w:r>
        <w:rPr>
          <w:spacing w:val="2"/>
        </w:rPr>
        <w:t>应当提供立案监督</w:t>
      </w:r>
      <w:r>
        <w:rPr>
          <w:spacing w:val="3"/>
          <w:w w:val="105"/>
        </w:rPr>
        <w:t>建议书</w:t>
      </w:r>
      <w:r>
        <w:rPr>
          <w:rFonts w:hint="eastAsia" w:ascii="MS UI Gothic" w:eastAsia="MS UI Gothic"/>
          <w:spacing w:val="-2"/>
          <w:w w:val="80"/>
        </w:rPr>
        <w:t xml:space="preserve">、 </w:t>
      </w:r>
      <w:r>
        <w:rPr>
          <w:spacing w:val="3"/>
          <w:w w:val="105"/>
        </w:rPr>
        <w:t>相关案件材料</w:t>
      </w:r>
      <w:r>
        <w:rPr>
          <w:rFonts w:hint="eastAsia" w:ascii="MS UI Gothic" w:eastAsia="MS UI Gothic"/>
          <w:spacing w:val="-2"/>
          <w:w w:val="80"/>
        </w:rPr>
        <w:t xml:space="preserve">ꎬ </w:t>
      </w:r>
      <w:r>
        <w:rPr>
          <w:spacing w:val="2"/>
          <w:w w:val="105"/>
        </w:rPr>
        <w:t>并附公安机关不</w:t>
      </w:r>
      <w:r>
        <w:rPr>
          <w:spacing w:val="3"/>
          <w:w w:val="105"/>
        </w:rPr>
        <w:t>予立案通知</w:t>
      </w:r>
      <w:r>
        <w:rPr>
          <w:rFonts w:hint="eastAsia" w:ascii="MS UI Gothic" w:eastAsia="MS UI Gothic"/>
          <w:spacing w:val="-5"/>
          <w:w w:val="80"/>
        </w:rPr>
        <w:t xml:space="preserve">、 </w:t>
      </w:r>
      <w:r>
        <w:rPr>
          <w:spacing w:val="2"/>
          <w:w w:val="105"/>
        </w:rPr>
        <w:t>复议维持不予立案通知或者</w:t>
      </w:r>
      <w:r>
        <w:rPr>
          <w:spacing w:val="25"/>
        </w:rPr>
        <w:t>立案后撤销案件决定及有关说明理由</w:t>
      </w:r>
      <w:r>
        <w:rPr>
          <w:spacing w:val="3"/>
          <w:w w:val="105"/>
        </w:rPr>
        <w:t>材料</w:t>
      </w:r>
      <w:r>
        <w:rPr>
          <w:rFonts w:hint="eastAsia" w:ascii="MS UI Gothic" w:eastAsia="MS UI Gothic"/>
          <w:w w:val="80"/>
        </w:rPr>
        <w:t>ꎮ</w:t>
      </w:r>
    </w:p>
    <w:p>
      <w:pPr>
        <w:pStyle w:val="6"/>
        <w:spacing w:line="295" w:lineRule="auto"/>
        <w:ind w:left="440"/>
        <w:rPr>
          <w:rFonts w:hint="eastAsia" w:ascii="MS UI Gothic" w:eastAsia="MS UI Gothic"/>
        </w:rPr>
      </w:pPr>
      <w:r>
        <w:t>第十六条 人民检察院应当对应急管理部门立案监督建议进行审查</w:t>
      </w:r>
      <w:r>
        <w:rPr>
          <w:rFonts w:hint="eastAsia" w:ascii="MS UI Gothic" w:eastAsia="MS UI Gothic"/>
          <w:w w:val="80"/>
        </w:rPr>
        <w:t xml:space="preserve">ꎬ </w:t>
      </w:r>
      <w:r>
        <w:t>认为需要公安机关说明不予立案</w:t>
      </w:r>
      <w:r>
        <w:rPr>
          <w:rFonts w:hint="eastAsia" w:ascii="MS UI Gothic" w:eastAsia="MS UI Gothic"/>
          <w:w w:val="80"/>
        </w:rPr>
        <w:t xml:space="preserve">、 </w:t>
      </w:r>
      <w:r>
        <w:t>立案后撤销案件的理由的</w:t>
      </w:r>
      <w:r>
        <w:rPr>
          <w:rFonts w:hint="eastAsia" w:ascii="MS UI Gothic" w:eastAsia="MS UI Gothic"/>
          <w:w w:val="80"/>
        </w:rPr>
        <w:t xml:space="preserve">ꎬ </w:t>
      </w:r>
      <w:r>
        <w:t xml:space="preserve">应当要求公安机关在 </w:t>
      </w:r>
      <w:r>
        <w:rPr>
          <w:rFonts w:hint="eastAsia" w:ascii="MS UI Gothic" w:eastAsia="MS UI Gothic"/>
          <w:w w:val="80"/>
        </w:rPr>
        <w:t xml:space="preserve">７ </w:t>
      </w:r>
      <w:r>
        <w:t>日内说明理由</w:t>
      </w:r>
      <w:r>
        <w:rPr>
          <w:rFonts w:hint="eastAsia" w:ascii="MS UI Gothic" w:eastAsia="MS UI Gothic"/>
          <w:w w:val="80"/>
        </w:rPr>
        <w:t xml:space="preserve">ꎮ </w:t>
      </w:r>
      <w:r>
        <w:t>公安机关应当书面说明理由</w:t>
      </w:r>
      <w:r>
        <w:rPr>
          <w:rFonts w:hint="eastAsia" w:ascii="MS UI Gothic" w:eastAsia="MS UI Gothic"/>
          <w:w w:val="80"/>
        </w:rPr>
        <w:t xml:space="preserve">ꎬ </w:t>
      </w:r>
      <w:r>
        <w:t>回复人民检察院</w:t>
      </w:r>
      <w:r>
        <w:rPr>
          <w:rFonts w:hint="eastAsia" w:ascii="MS UI Gothic" w:eastAsia="MS UI Gothic"/>
          <w:w w:val="80"/>
        </w:rPr>
        <w:t>ꎮ</w:t>
      </w:r>
    </w:p>
    <w:p>
      <w:pPr>
        <w:pStyle w:val="6"/>
        <w:spacing w:line="295" w:lineRule="auto"/>
        <w:ind w:left="440"/>
        <w:rPr>
          <w:rFonts w:hint="eastAsia" w:ascii="MS UI Gothic" w:eastAsia="MS UI Gothic"/>
        </w:rPr>
      </w:pPr>
      <w:r>
        <w:t>人民检察院经审查认为公安机关不予立案或者立案后撤销案件理由充分</w:t>
      </w:r>
      <w:r>
        <w:rPr>
          <w:rFonts w:hint="eastAsia" w:ascii="MS UI Gothic" w:eastAsia="MS UI Gothic"/>
          <w:w w:val="80"/>
        </w:rPr>
        <w:t xml:space="preserve">ꎬ </w:t>
      </w:r>
      <w:r>
        <w:t>符合法律规定情形的</w:t>
      </w:r>
      <w:r>
        <w:rPr>
          <w:rFonts w:hint="eastAsia" w:ascii="MS UI Gothic" w:eastAsia="MS UI Gothic"/>
          <w:w w:val="80"/>
        </w:rPr>
        <w:t xml:space="preserve">ꎬ </w:t>
      </w:r>
      <w:r>
        <w:t>应当作出支持不予立案</w:t>
      </w:r>
      <w:r>
        <w:rPr>
          <w:rFonts w:hint="eastAsia" w:ascii="MS UI Gothic" w:eastAsia="MS UI Gothic"/>
          <w:w w:val="80"/>
        </w:rPr>
        <w:t xml:space="preserve">、 </w:t>
      </w:r>
      <w:r>
        <w:t>撤销案件的检察意见</w:t>
      </w:r>
      <w:r>
        <w:rPr>
          <w:rFonts w:hint="eastAsia" w:ascii="MS UI Gothic" w:eastAsia="MS UI Gothic"/>
          <w:w w:val="80"/>
        </w:rPr>
        <w:t xml:space="preserve">ꎮ </w:t>
      </w:r>
      <w:r>
        <w:t>认为有关理由不能成立的</w:t>
      </w:r>
      <w:r>
        <w:rPr>
          <w:rFonts w:hint="eastAsia" w:ascii="MS UI Gothic" w:eastAsia="MS UI Gothic"/>
          <w:w w:val="80"/>
        </w:rPr>
        <w:t xml:space="preserve">ꎬ </w:t>
      </w:r>
      <w:r>
        <w:t>应当通知公安机关立案</w:t>
      </w:r>
      <w:r>
        <w:rPr>
          <w:rFonts w:hint="eastAsia" w:ascii="MS UI Gothic" w:eastAsia="MS UI Gothic"/>
          <w:w w:val="80"/>
        </w:rPr>
        <w:t>ꎮ</w:t>
      </w:r>
    </w:p>
    <w:p>
      <w:pPr>
        <w:pStyle w:val="6"/>
        <w:spacing w:line="252" w:lineRule="exact"/>
        <w:ind w:left="860" w:firstLine="0"/>
      </w:pPr>
      <w:r>
        <w:pict>
          <v:shape id="_x0000_s1152" o:spid="_x0000_s1152" o:spt="202" type="#_x0000_t202" style="position:absolute;left:0pt;margin-left:70.75pt;margin-top:11.8pt;height:24.35pt;width:10.3pt;mso-position-horizontal-relative:page;z-index:-27605708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１５</w:t>
                  </w:r>
                </w:p>
              </w:txbxContent>
            </v:textbox>
          </v:shape>
        </w:pict>
      </w:r>
      <w:r>
        <w:rPr>
          <w:spacing w:val="3"/>
        </w:rPr>
        <w:t>公安机关收到立案通知书后</w:t>
      </w:r>
      <w:r>
        <w:rPr>
          <w:rFonts w:hint="eastAsia" w:ascii="MS UI Gothic" w:eastAsia="MS UI Gothic"/>
          <w:spacing w:val="12"/>
          <w:w w:val="80"/>
        </w:rPr>
        <w:t xml:space="preserve">ꎬ  </w:t>
      </w:r>
      <w:r>
        <w:rPr>
          <w:spacing w:val="2"/>
        </w:rPr>
        <w:t>应当在</w:t>
      </w:r>
    </w:p>
    <w:p>
      <w:pPr>
        <w:pStyle w:val="6"/>
        <w:spacing w:before="41" w:line="240" w:lineRule="exact"/>
        <w:ind w:left="699" w:firstLine="0"/>
      </w:pPr>
      <w:r>
        <w:rPr>
          <w:spacing w:val="8"/>
        </w:rPr>
        <w:t>日内立案</w:t>
      </w:r>
      <w:r>
        <w:rPr>
          <w:rFonts w:hint="eastAsia" w:ascii="MS UI Gothic" w:eastAsia="MS UI Gothic"/>
          <w:spacing w:val="15"/>
          <w:w w:val="80"/>
        </w:rPr>
        <w:t xml:space="preserve">ꎬ  </w:t>
      </w:r>
      <w:r>
        <w:rPr>
          <w:spacing w:val="12"/>
        </w:rPr>
        <w:t>并将立案决定书送达人民</w:t>
      </w:r>
    </w:p>
    <w:p>
      <w:pPr>
        <w:pStyle w:val="6"/>
        <w:spacing w:before="124" w:line="295" w:lineRule="auto"/>
        <w:ind w:left="383" w:right="126" w:firstLine="0"/>
        <w:rPr>
          <w:rFonts w:hint="eastAsia" w:ascii="MS UI Gothic" w:eastAsia="MS UI Gothic"/>
        </w:rPr>
      </w:pPr>
      <w:r>
        <w:br w:type="column"/>
      </w:r>
      <w:r>
        <w:t>起诉条件的犯罪嫌疑人</w:t>
      </w:r>
      <w:r>
        <w:rPr>
          <w:rFonts w:hint="eastAsia" w:ascii="MS UI Gothic" w:eastAsia="MS UI Gothic"/>
          <w:w w:val="80"/>
        </w:rPr>
        <w:t xml:space="preserve">ꎬ </w:t>
      </w:r>
      <w:r>
        <w:t>应当依法批准逮捕</w:t>
      </w:r>
      <w:r>
        <w:rPr>
          <w:rFonts w:hint="eastAsia" w:ascii="MS UI Gothic" w:eastAsia="MS UI Gothic"/>
        </w:rPr>
        <w:t xml:space="preserve">、 </w:t>
      </w:r>
      <w:r>
        <w:t>提起公诉</w:t>
      </w:r>
      <w:r>
        <w:rPr>
          <w:rFonts w:hint="eastAsia" w:ascii="MS UI Gothic" w:eastAsia="MS UI Gothic"/>
          <w:w w:val="80"/>
        </w:rPr>
        <w:t>ꎮ</w:t>
      </w:r>
    </w:p>
    <w:p>
      <w:pPr>
        <w:pStyle w:val="6"/>
        <w:spacing w:line="295" w:lineRule="auto"/>
        <w:ind w:left="383" w:right="126"/>
        <w:rPr>
          <w:rFonts w:hint="eastAsia" w:ascii="MS UI Gothic" w:eastAsia="MS UI Gothic"/>
        </w:rPr>
      </w:pPr>
      <w:r>
        <w:t>人民检察院对决定不起诉的案件</w:t>
      </w:r>
      <w:r>
        <w:rPr>
          <w:rFonts w:hint="eastAsia" w:ascii="MS UI Gothic" w:eastAsia="MS UI Gothic"/>
          <w:w w:val="80"/>
        </w:rPr>
        <w:t xml:space="preserve">ꎬ </w:t>
      </w:r>
      <w:r>
        <w:t xml:space="preserve">应当自作出决定之日起 </w:t>
      </w:r>
      <w:r>
        <w:rPr>
          <w:rFonts w:hint="eastAsia" w:ascii="MS UI Gothic" w:eastAsia="MS UI Gothic"/>
          <w:w w:val="80"/>
        </w:rPr>
        <w:t xml:space="preserve">３ </w:t>
      </w:r>
      <w:r>
        <w:t>日内</w:t>
      </w:r>
      <w:r>
        <w:rPr>
          <w:rFonts w:hint="eastAsia" w:ascii="MS UI Gothic" w:eastAsia="MS UI Gothic"/>
          <w:w w:val="80"/>
        </w:rPr>
        <w:t xml:space="preserve">ꎬ </w:t>
      </w:r>
      <w:r>
        <w:t>将不起诉决定书送达公安机关和应急管理部门</w:t>
      </w:r>
      <w:r>
        <w:rPr>
          <w:rFonts w:hint="eastAsia" w:ascii="MS UI Gothic" w:eastAsia="MS UI Gothic"/>
          <w:w w:val="80"/>
        </w:rPr>
        <w:t xml:space="preserve">ꎮ </w:t>
      </w:r>
      <w:r>
        <w:t>对依法应当追究行政法律责任的</w:t>
      </w:r>
      <w:r>
        <w:rPr>
          <w:rFonts w:hint="eastAsia" w:ascii="MS UI Gothic" w:eastAsia="MS UI Gothic"/>
          <w:w w:val="80"/>
        </w:rPr>
        <w:t xml:space="preserve">ꎬ </w:t>
      </w:r>
      <w:r>
        <w:t>可以同时提出检察意见</w:t>
      </w:r>
      <w:r>
        <w:rPr>
          <w:rFonts w:hint="eastAsia" w:ascii="MS UI Gothic" w:eastAsia="MS UI Gothic"/>
          <w:w w:val="80"/>
        </w:rPr>
        <w:t xml:space="preserve">ꎬ </w:t>
      </w:r>
      <w:r>
        <w:t>并要求应急管理部门及时通报处理情况</w:t>
      </w:r>
      <w:r>
        <w:rPr>
          <w:rFonts w:hint="eastAsia" w:ascii="MS UI Gothic" w:eastAsia="MS UI Gothic"/>
          <w:w w:val="80"/>
        </w:rPr>
        <w:t>ꎮ</w:t>
      </w:r>
    </w:p>
    <w:p>
      <w:pPr>
        <w:pStyle w:val="6"/>
        <w:tabs>
          <w:tab w:val="left" w:pos="1850"/>
        </w:tabs>
        <w:spacing w:before="151" w:line="295" w:lineRule="auto"/>
        <w:ind w:left="1535" w:right="755" w:hanging="524"/>
        <w:jc w:val="left"/>
      </w:pPr>
      <w:r>
        <w:rPr>
          <w:spacing w:val="3"/>
          <w:w w:val="105"/>
        </w:rPr>
        <w:t>第三</w:t>
      </w:r>
      <w:r>
        <w:rPr>
          <w:w w:val="105"/>
        </w:rPr>
        <w:t>章</w:t>
      </w:r>
      <w:r>
        <w:rPr>
          <w:w w:val="105"/>
        </w:rPr>
        <w:tab/>
      </w:r>
      <w:r>
        <w:rPr>
          <w:spacing w:val="3"/>
        </w:rPr>
        <w:t>事故调查中的案</w:t>
      </w:r>
      <w:r>
        <w:rPr>
          <w:spacing w:val="-12"/>
        </w:rPr>
        <w:t>件</w:t>
      </w:r>
      <w:r>
        <w:rPr>
          <w:spacing w:val="3"/>
          <w:w w:val="105"/>
        </w:rPr>
        <w:t>移送与法律监</w:t>
      </w:r>
      <w:r>
        <w:rPr>
          <w:w w:val="105"/>
        </w:rPr>
        <w:t>督</w:t>
      </w:r>
    </w:p>
    <w:p>
      <w:pPr>
        <w:pStyle w:val="6"/>
        <w:spacing w:before="155" w:line="295" w:lineRule="auto"/>
        <w:ind w:left="383" w:right="126" w:firstLine="0"/>
        <w:rPr>
          <w:rFonts w:hint="eastAsia" w:ascii="MS UI Gothic" w:eastAsia="MS UI Gothic"/>
        </w:rPr>
      </w:pPr>
      <w:r>
        <w:t>第十九条 事故发生地有管辖权的公安机关根据事故的情况</w:t>
      </w:r>
      <w:r>
        <w:rPr>
          <w:rFonts w:hint="eastAsia" w:ascii="MS UI Gothic" w:eastAsia="MS UI Gothic"/>
          <w:w w:val="80"/>
        </w:rPr>
        <w:t xml:space="preserve">ꎬ </w:t>
      </w:r>
      <w:r>
        <w:t>对涉嫌安全生产犯罪的</w:t>
      </w:r>
      <w:r>
        <w:rPr>
          <w:rFonts w:hint="eastAsia" w:ascii="MS UI Gothic" w:eastAsia="MS UI Gothic"/>
          <w:w w:val="80"/>
        </w:rPr>
        <w:t xml:space="preserve">ꎬ </w:t>
      </w:r>
      <w:r>
        <w:t>应当依法立案侦查</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第二十条 事故调查中发现涉嫌安全</w:t>
      </w:r>
      <w:r>
        <w:t>生产犯罪的</w:t>
      </w:r>
      <w:r>
        <w:rPr>
          <w:rFonts w:hint="eastAsia" w:ascii="MS UI Gothic" w:eastAsia="MS UI Gothic"/>
          <w:w w:val="80"/>
        </w:rPr>
        <w:t xml:space="preserve">ꎬ </w:t>
      </w:r>
      <w:r>
        <w:t>事故调查组或者负责火灾调查的消防机构应当及时将有关材料或者其复印件移交有管辖权的公安机关依法</w:t>
      </w:r>
      <w:r>
        <w:rPr>
          <w:w w:val="105"/>
        </w:rPr>
        <w:t>处理</w:t>
      </w:r>
      <w:r>
        <w:rPr>
          <w:rFonts w:hint="eastAsia" w:ascii="MS UI Gothic" w:eastAsia="MS UI Gothic"/>
          <w:w w:val="80"/>
        </w:rPr>
        <w:t>ꎮ</w:t>
      </w:r>
    </w:p>
    <w:p>
      <w:pPr>
        <w:pStyle w:val="6"/>
        <w:spacing w:line="295" w:lineRule="auto"/>
        <w:ind w:left="383" w:right="126"/>
        <w:rPr>
          <w:rFonts w:hint="eastAsia" w:ascii="MS UI Gothic" w:eastAsia="MS UI Gothic"/>
        </w:rPr>
      </w:pPr>
      <w:r>
        <w:t>事故调查过程中</w:t>
      </w:r>
      <w:r>
        <w:rPr>
          <w:rFonts w:hint="eastAsia" w:ascii="MS UI Gothic" w:eastAsia="MS UI Gothic"/>
          <w:w w:val="80"/>
        </w:rPr>
        <w:t xml:space="preserve">ꎬ </w:t>
      </w:r>
      <w:r>
        <w:t>事故调查组或者负责火灾调查的消防机构可以召开专题会议</w:t>
      </w:r>
      <w:r>
        <w:rPr>
          <w:rFonts w:hint="eastAsia" w:ascii="MS UI Gothic" w:eastAsia="MS UI Gothic"/>
          <w:w w:val="80"/>
        </w:rPr>
        <w:t xml:space="preserve">ꎬ </w:t>
      </w:r>
      <w:r>
        <w:t>向有管辖权的公安机关通报事故调查进展情况</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2"/>
        </w:rPr>
        <w:t>有管辖权的公安机关对涉嫌安全生产</w:t>
      </w:r>
      <w:r>
        <w:rPr>
          <w:spacing w:val="2"/>
          <w:w w:val="105"/>
        </w:rPr>
        <w:t>犯罪案件立案侦查的</w:t>
      </w:r>
      <w:r>
        <w:rPr>
          <w:rFonts w:hint="eastAsia" w:ascii="MS UI Gothic" w:eastAsia="MS UI Gothic"/>
          <w:spacing w:val="-1"/>
          <w:w w:val="80"/>
        </w:rPr>
        <w:t xml:space="preserve">ꎬ </w:t>
      </w:r>
      <w:r>
        <w:rPr>
          <w:spacing w:val="-20"/>
          <w:w w:val="105"/>
        </w:rPr>
        <w:t xml:space="preserve">应当在 </w:t>
      </w:r>
      <w:r>
        <w:rPr>
          <w:rFonts w:hint="eastAsia" w:ascii="MS UI Gothic" w:eastAsia="MS UI Gothic"/>
          <w:spacing w:val="-11"/>
          <w:w w:val="80"/>
        </w:rPr>
        <w:t xml:space="preserve">３ </w:t>
      </w:r>
      <w:r>
        <w:rPr>
          <w:spacing w:val="3"/>
          <w:w w:val="105"/>
        </w:rPr>
        <w:t>日内将立案决定书抄送同级应急管理部门</w:t>
      </w:r>
      <w:r>
        <w:rPr>
          <w:rFonts w:hint="eastAsia" w:ascii="MS UI Gothic" w:eastAsia="MS UI Gothic"/>
          <w:spacing w:val="-2"/>
          <w:w w:val="80"/>
        </w:rPr>
        <w:t xml:space="preserve">、 </w:t>
      </w:r>
      <w:r>
        <w:rPr>
          <w:spacing w:val="1"/>
          <w:w w:val="105"/>
        </w:rPr>
        <w:t>人民检</w:t>
      </w:r>
      <w:r>
        <w:rPr>
          <w:spacing w:val="3"/>
          <w:w w:val="105"/>
        </w:rPr>
        <w:t>察院和组织事故调查的应急管理部门</w:t>
      </w:r>
      <w:r>
        <w:rPr>
          <w:rFonts w:hint="eastAsia" w:ascii="MS UI Gothic" w:eastAsia="MS UI Gothic"/>
          <w:w w:val="80"/>
        </w:rPr>
        <w:t>ꎮ</w:t>
      </w:r>
    </w:p>
    <w:p>
      <w:pPr>
        <w:pStyle w:val="6"/>
        <w:spacing w:line="295" w:lineRule="auto"/>
        <w:ind w:left="383" w:right="126"/>
      </w:pPr>
      <w:r>
        <w:rPr>
          <w:spacing w:val="2"/>
          <w:w w:val="105"/>
        </w:rPr>
        <w:t>第二十一条 对有重大社会影响的涉</w:t>
      </w:r>
      <w:r>
        <w:rPr>
          <w:spacing w:val="3"/>
        </w:rPr>
        <w:t>嫌安全生产犯罪案件</w:t>
      </w:r>
      <w:r>
        <w:rPr>
          <w:rFonts w:hint="eastAsia" w:ascii="MS UI Gothic" w:eastAsia="MS UI Gothic"/>
          <w:spacing w:val="15"/>
          <w:w w:val="80"/>
        </w:rPr>
        <w:t xml:space="preserve">ꎬ  </w:t>
      </w:r>
      <w:r>
        <w:rPr>
          <w:spacing w:val="2"/>
        </w:rPr>
        <w:t>上级公安机关采取</w:t>
      </w:r>
    </w:p>
    <w:p>
      <w:pPr>
        <w:pStyle w:val="6"/>
        <w:spacing w:line="238" w:lineRule="exact"/>
        <w:ind w:left="383" w:firstLine="0"/>
      </w:pPr>
      <w:r>
        <w:rPr>
          <w:spacing w:val="3"/>
        </w:rPr>
        <w:t>挂牌督办</w:t>
      </w:r>
      <w:r>
        <w:rPr>
          <w:rFonts w:hint="eastAsia" w:ascii="MS UI Gothic" w:eastAsia="MS UI Gothic"/>
          <w:spacing w:val="17"/>
        </w:rPr>
        <w:t xml:space="preserve">、  </w:t>
      </w:r>
      <w:r>
        <w:rPr>
          <w:spacing w:val="2"/>
        </w:rPr>
        <w:t>派员参与等方法加强指导和督</w:t>
      </w:r>
    </w:p>
    <w:p>
      <w:pPr>
        <w:spacing w:after="0" w:line="238" w:lineRule="exact"/>
        <w:sectPr>
          <w:type w:val="continuous"/>
          <w:pgSz w:w="10500" w:h="14750"/>
          <w:pgMar w:top="1400" w:right="980" w:bottom="280" w:left="980" w:header="720" w:footer="720" w:gutter="0"/>
          <w:cols w:equalWidth="0" w:num="2">
            <w:col w:w="4210" w:space="40"/>
            <w:col w:w="4290"/>
          </w:cols>
        </w:sectPr>
      </w:pPr>
    </w:p>
    <w:p>
      <w:pPr>
        <w:pStyle w:val="6"/>
        <w:spacing w:before="62"/>
        <w:ind w:left="440" w:firstLine="0"/>
        <w:jc w:val="left"/>
        <w:rPr>
          <w:rFonts w:hint="eastAsia" w:ascii="MS UI Gothic" w:eastAsia="MS UI Gothic"/>
        </w:rPr>
      </w:pPr>
      <w:r>
        <w:rPr>
          <w:spacing w:val="3"/>
          <w:w w:val="90"/>
        </w:rPr>
        <w:t>检察院</w:t>
      </w:r>
      <w:r>
        <w:rPr>
          <w:rFonts w:hint="eastAsia" w:ascii="MS UI Gothic" w:eastAsia="MS UI Gothic"/>
          <w:w w:val="80"/>
        </w:rPr>
        <w:t>ꎮ</w:t>
      </w:r>
    </w:p>
    <w:p>
      <w:pPr>
        <w:pStyle w:val="6"/>
        <w:spacing w:before="58" w:line="295" w:lineRule="auto"/>
        <w:ind w:left="440" w:right="1"/>
        <w:rPr>
          <w:rFonts w:hint="eastAsia" w:ascii="MS UI Gothic" w:eastAsia="MS UI Gothic"/>
        </w:rPr>
      </w:pPr>
      <w:r>
        <w:rPr>
          <w:spacing w:val="4"/>
        </w:rPr>
        <w:t>第十七条 人民检察院发现应急管理</w:t>
      </w:r>
      <w:r>
        <w:rPr>
          <w:spacing w:val="3"/>
        </w:rPr>
        <w:t>部门不移送涉嫌安全生产犯罪案件的</w:t>
      </w:r>
      <w:r>
        <w:rPr>
          <w:rFonts w:hint="eastAsia" w:ascii="MS UI Gothic" w:eastAsia="MS UI Gothic"/>
          <w:spacing w:val="21"/>
          <w:w w:val="80"/>
        </w:rPr>
        <w:t xml:space="preserve">ꎬ </w:t>
      </w:r>
      <w:r>
        <w:t>可</w:t>
      </w:r>
      <w:r>
        <w:rPr>
          <w:spacing w:val="3"/>
        </w:rPr>
        <w:t>以派员查询</w:t>
      </w:r>
      <w:r>
        <w:rPr>
          <w:rFonts w:hint="eastAsia" w:ascii="MS UI Gothic" w:eastAsia="MS UI Gothic"/>
          <w:spacing w:val="11"/>
          <w:w w:val="80"/>
        </w:rPr>
        <w:t xml:space="preserve">、 </w:t>
      </w:r>
      <w:r>
        <w:rPr>
          <w:spacing w:val="3"/>
        </w:rPr>
        <w:t>调阅有关案件材料</w:t>
      </w:r>
      <w:r>
        <w:rPr>
          <w:rFonts w:hint="eastAsia" w:ascii="MS UI Gothic" w:eastAsia="MS UI Gothic"/>
          <w:spacing w:val="11"/>
          <w:w w:val="80"/>
        </w:rPr>
        <w:t xml:space="preserve">ꎬ </w:t>
      </w:r>
      <w:r>
        <w:rPr>
          <w:spacing w:val="2"/>
        </w:rPr>
        <w:t>认为应</w:t>
      </w:r>
      <w:r>
        <w:rPr>
          <w:spacing w:val="3"/>
        </w:rPr>
        <w:t>当移送的</w:t>
      </w:r>
      <w:r>
        <w:rPr>
          <w:rFonts w:hint="eastAsia" w:ascii="MS UI Gothic" w:eastAsia="MS UI Gothic"/>
          <w:spacing w:val="23"/>
          <w:w w:val="80"/>
        </w:rPr>
        <w:t xml:space="preserve">ꎬ </w:t>
      </w:r>
      <w:r>
        <w:rPr>
          <w:spacing w:val="3"/>
        </w:rPr>
        <w:t>应当提出检察意见</w:t>
      </w:r>
      <w:r>
        <w:rPr>
          <w:rFonts w:hint="eastAsia" w:ascii="MS UI Gothic" w:eastAsia="MS UI Gothic"/>
          <w:spacing w:val="23"/>
          <w:w w:val="80"/>
        </w:rPr>
        <w:t xml:space="preserve">ꎮ </w:t>
      </w:r>
      <w:r>
        <w:rPr>
          <w:spacing w:val="2"/>
        </w:rPr>
        <w:t>应急管理</w:t>
      </w:r>
      <w:r>
        <w:rPr>
          <w:spacing w:val="-1"/>
        </w:rPr>
        <w:t xml:space="preserve">部门应当自收到检察意见后 </w:t>
      </w:r>
      <w:r>
        <w:rPr>
          <w:rFonts w:hint="eastAsia" w:ascii="MS UI Gothic" w:eastAsia="MS UI Gothic"/>
          <w:spacing w:val="1"/>
          <w:w w:val="80"/>
        </w:rPr>
        <w:t xml:space="preserve">３ </w:t>
      </w:r>
      <w:r>
        <w:rPr>
          <w:spacing w:val="3"/>
        </w:rPr>
        <w:t>日内将案件移送公安机关</w:t>
      </w:r>
      <w:r>
        <w:rPr>
          <w:rFonts w:hint="eastAsia" w:ascii="MS UI Gothic" w:eastAsia="MS UI Gothic"/>
          <w:spacing w:val="21"/>
          <w:w w:val="80"/>
        </w:rPr>
        <w:t xml:space="preserve">ꎬ </w:t>
      </w:r>
      <w:r>
        <w:rPr>
          <w:spacing w:val="2"/>
        </w:rPr>
        <w:t>并将案件移送书抄送人民</w:t>
      </w:r>
      <w:r>
        <w:rPr>
          <w:spacing w:val="3"/>
        </w:rPr>
        <w:t>检察院</w:t>
      </w:r>
      <w:r>
        <w:rPr>
          <w:rFonts w:hint="eastAsia" w:ascii="MS UI Gothic" w:eastAsia="MS UI Gothic"/>
          <w:w w:val="80"/>
        </w:rPr>
        <w:t>ꎮ</w:t>
      </w:r>
    </w:p>
    <w:p>
      <w:pPr>
        <w:pStyle w:val="6"/>
        <w:spacing w:line="251" w:lineRule="exact"/>
        <w:ind w:left="860" w:firstLine="0"/>
        <w:rPr>
          <w:rFonts w:hint="eastAsia" w:ascii="MS UI Gothic" w:eastAsia="MS UI Gothic"/>
        </w:rPr>
      </w:pPr>
      <w:r>
        <w:t>第十八条 人民检察院对符合逮捕</w:t>
      </w:r>
      <w:r>
        <w:rPr>
          <w:rFonts w:hint="eastAsia" w:ascii="MS UI Gothic" w:eastAsia="MS UI Gothic"/>
        </w:rPr>
        <w:t>、</w:t>
      </w:r>
    </w:p>
    <w:p>
      <w:pPr>
        <w:pStyle w:val="6"/>
        <w:spacing w:before="62" w:line="295" w:lineRule="auto"/>
        <w:ind w:left="381" w:right="126" w:firstLine="0"/>
        <w:rPr>
          <w:rFonts w:hint="eastAsia" w:ascii="MS UI Gothic" w:eastAsia="MS UI Gothic"/>
        </w:rPr>
      </w:pPr>
      <w:r>
        <w:br w:type="column"/>
      </w:r>
      <w:r>
        <w:rPr>
          <w:spacing w:val="3"/>
        </w:rPr>
        <w:t>促</w:t>
      </w:r>
      <w:r>
        <w:rPr>
          <w:rFonts w:hint="eastAsia" w:ascii="MS UI Gothic" w:eastAsia="MS UI Gothic"/>
          <w:spacing w:val="23"/>
          <w:w w:val="80"/>
        </w:rPr>
        <w:t xml:space="preserve">ꎬ </w:t>
      </w:r>
      <w:r>
        <w:rPr>
          <w:spacing w:val="3"/>
        </w:rPr>
        <w:t>必要时</w:t>
      </w:r>
      <w:r>
        <w:rPr>
          <w:rFonts w:hint="eastAsia" w:ascii="MS UI Gothic" w:eastAsia="MS UI Gothic"/>
          <w:spacing w:val="23"/>
          <w:w w:val="80"/>
        </w:rPr>
        <w:t xml:space="preserve">ꎬ </w:t>
      </w:r>
      <w:r>
        <w:rPr>
          <w:spacing w:val="2"/>
        </w:rPr>
        <w:t>可以按照有关规定直接组织</w:t>
      </w:r>
      <w:r>
        <w:rPr>
          <w:spacing w:val="3"/>
        </w:rPr>
        <w:t>办理</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4"/>
        </w:rPr>
        <w:t>第二十二条 组织事故调查的应急管</w:t>
      </w:r>
      <w:r>
        <w:rPr>
          <w:spacing w:val="3"/>
        </w:rPr>
        <w:t>理部门及同级公安机关</w:t>
      </w:r>
      <w:r>
        <w:rPr>
          <w:rFonts w:hint="eastAsia" w:ascii="MS UI Gothic" w:eastAsia="MS UI Gothic"/>
          <w:spacing w:val="16"/>
          <w:w w:val="80"/>
        </w:rPr>
        <w:t xml:space="preserve">、 </w:t>
      </w:r>
      <w:r>
        <w:rPr>
          <w:spacing w:val="2"/>
        </w:rPr>
        <w:t>人民检察院对涉</w:t>
      </w:r>
      <w:r>
        <w:rPr>
          <w:spacing w:val="5"/>
        </w:rPr>
        <w:t>嫌安全生产犯罪案件的事实</w:t>
      </w:r>
      <w:r>
        <w:rPr>
          <w:rFonts w:hint="eastAsia" w:ascii="MS UI Gothic" w:eastAsia="MS UI Gothic"/>
          <w:spacing w:val="18"/>
          <w:w w:val="80"/>
        </w:rPr>
        <w:t xml:space="preserve">、 </w:t>
      </w:r>
      <w:r>
        <w:rPr>
          <w:spacing w:val="10"/>
        </w:rPr>
        <w:t>性质认定</w:t>
      </w:r>
      <w:r>
        <w:rPr>
          <w:rFonts w:hint="eastAsia" w:ascii="MS UI Gothic" w:eastAsia="MS UI Gothic"/>
          <w:w w:val="80"/>
        </w:rPr>
        <w:t>、</w:t>
      </w:r>
      <w:r>
        <w:rPr>
          <w:spacing w:val="3"/>
        </w:rPr>
        <w:t>证据采信</w:t>
      </w:r>
      <w:r>
        <w:rPr>
          <w:rFonts w:hint="eastAsia" w:ascii="MS UI Gothic" w:eastAsia="MS UI Gothic"/>
          <w:spacing w:val="16"/>
          <w:w w:val="80"/>
        </w:rPr>
        <w:t xml:space="preserve">、 </w:t>
      </w:r>
      <w:r>
        <w:rPr>
          <w:spacing w:val="2"/>
        </w:rPr>
        <w:t>法律适用以及责任追究有意见</w:t>
      </w:r>
      <w:r>
        <w:rPr>
          <w:spacing w:val="3"/>
        </w:rPr>
        <w:t>分歧的</w:t>
      </w:r>
      <w:r>
        <w:rPr>
          <w:rFonts w:hint="eastAsia" w:ascii="MS UI Gothic" w:eastAsia="MS UI Gothic"/>
          <w:spacing w:val="15"/>
          <w:w w:val="80"/>
        </w:rPr>
        <w:t xml:space="preserve">ꎬ </w:t>
      </w:r>
      <w:r>
        <w:rPr>
          <w:spacing w:val="3"/>
        </w:rPr>
        <w:t>应当加强协调沟通</w:t>
      </w:r>
      <w:r>
        <w:rPr>
          <w:rFonts w:hint="eastAsia" w:ascii="MS UI Gothic" w:eastAsia="MS UI Gothic"/>
          <w:spacing w:val="15"/>
          <w:w w:val="80"/>
        </w:rPr>
        <w:t xml:space="preserve">ꎮ </w:t>
      </w:r>
      <w:r>
        <w:rPr>
          <w:spacing w:val="3"/>
        </w:rPr>
        <w:t>必要时</w:t>
      </w:r>
      <w:r>
        <w:rPr>
          <w:rFonts w:hint="eastAsia" w:ascii="MS UI Gothic" w:eastAsia="MS UI Gothic"/>
          <w:spacing w:val="15"/>
          <w:w w:val="80"/>
        </w:rPr>
        <w:t xml:space="preserve">ꎬ </w:t>
      </w:r>
      <w:r>
        <w:t>可</w:t>
      </w:r>
      <w:r>
        <w:rPr>
          <w:spacing w:val="11"/>
        </w:rPr>
        <w:t>以就法律适用等方面问题听取人民法院</w:t>
      </w:r>
      <w:r>
        <w:rPr>
          <w:spacing w:val="3"/>
        </w:rPr>
        <w:t>意见</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３４</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53" o:spid="_x0000_s1153" o:spt="203" style="height:2.15pt;width:398.25pt;" coordsize="7965,43">
            <o:lock v:ext="edit"/>
            <v:line id="_x0000_s1154" o:spid="_x0000_s1154" o:spt="20" style="position:absolute;left:0;top:39;height:0;width:7965;" stroked="t" coordsize="21600,21600">
              <v:path arrowok="t"/>
              <v:fill focussize="0,0"/>
              <v:stroke weight="0.388031496062992pt" color="#231F20"/>
              <v:imagedata o:title=""/>
              <o:lock v:ext="edit"/>
            </v:line>
            <v:line id="_x0000_s1155" o:spid="_x0000_s115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45"/>
        <w:rPr>
          <w:rFonts w:hint="eastAsia" w:ascii="MS UI Gothic" w:eastAsia="MS UI Gothic"/>
        </w:rPr>
      </w:pPr>
      <w:r>
        <w:t>第二十三条 对发生一人以上死亡的情形</w:t>
      </w:r>
      <w:r>
        <w:rPr>
          <w:rFonts w:hint="eastAsia" w:ascii="MS UI Gothic" w:eastAsia="MS UI Gothic"/>
          <w:w w:val="80"/>
        </w:rPr>
        <w:t xml:space="preserve">ꎬ </w:t>
      </w:r>
      <w:r>
        <w:t>经依法组织调查</w:t>
      </w:r>
      <w:r>
        <w:rPr>
          <w:rFonts w:hint="eastAsia" w:ascii="MS UI Gothic" w:eastAsia="MS UI Gothic"/>
          <w:w w:val="80"/>
        </w:rPr>
        <w:t xml:space="preserve">ꎬ </w:t>
      </w:r>
      <w:r>
        <w:t>作出不属于生产安全事故或者生产安全责任事故的书面调查结论的</w:t>
      </w:r>
      <w:r>
        <w:rPr>
          <w:rFonts w:hint="eastAsia" w:ascii="MS UI Gothic" w:eastAsia="MS UI Gothic"/>
          <w:w w:val="80"/>
        </w:rPr>
        <w:t xml:space="preserve">ꎬ </w:t>
      </w:r>
      <w:r>
        <w:t>应急管理部门应当将该调查结论及时抄送同级监察机关</w:t>
      </w:r>
      <w:r>
        <w:rPr>
          <w:rFonts w:hint="eastAsia" w:ascii="MS UI Gothic" w:eastAsia="MS UI Gothic"/>
          <w:w w:val="80"/>
        </w:rPr>
        <w:t xml:space="preserve">、 </w:t>
      </w:r>
      <w:r>
        <w:t>公安机关</w:t>
      </w:r>
      <w:r>
        <w:rPr>
          <w:rFonts w:hint="eastAsia" w:ascii="MS UI Gothic" w:eastAsia="MS UI Gothic"/>
          <w:w w:val="80"/>
        </w:rPr>
        <w:t xml:space="preserve">、 </w:t>
      </w:r>
      <w:r>
        <w:t>人民检察院</w:t>
      </w:r>
      <w:r>
        <w:rPr>
          <w:rFonts w:hint="eastAsia" w:ascii="MS UI Gothic" w:eastAsia="MS UI Gothic"/>
          <w:w w:val="80"/>
        </w:rPr>
        <w:t>ꎮ</w:t>
      </w:r>
    </w:p>
    <w:p>
      <w:pPr>
        <w:pStyle w:val="6"/>
        <w:tabs>
          <w:tab w:val="left" w:pos="1591"/>
        </w:tabs>
        <w:spacing w:before="153"/>
        <w:ind w:left="753" w:firstLine="0"/>
        <w:jc w:val="left"/>
      </w:pPr>
      <w:r>
        <w:rPr>
          <w:spacing w:val="3"/>
          <w:w w:val="105"/>
        </w:rPr>
        <w:t>第四</w:t>
      </w:r>
      <w:r>
        <w:rPr>
          <w:w w:val="105"/>
        </w:rPr>
        <w:t>章</w:t>
      </w:r>
      <w:r>
        <w:rPr>
          <w:w w:val="105"/>
        </w:rPr>
        <w:tab/>
      </w:r>
      <w:r>
        <w:rPr>
          <w:spacing w:val="3"/>
          <w:w w:val="105"/>
        </w:rPr>
        <w:t>证据的收集与使</w:t>
      </w:r>
      <w:r>
        <w:rPr>
          <w:w w:val="105"/>
        </w:rPr>
        <w:t>用</w:t>
      </w:r>
    </w:p>
    <w:p>
      <w:pPr>
        <w:pStyle w:val="6"/>
        <w:spacing w:before="215" w:line="295" w:lineRule="auto"/>
        <w:ind w:right="45"/>
        <w:rPr>
          <w:rFonts w:hint="eastAsia" w:ascii="MS UI Gothic" w:eastAsia="MS UI Gothic"/>
        </w:rPr>
      </w:pPr>
      <w:r>
        <w:t>第二十四条 在查处违法行为的过程中</w:t>
      </w:r>
      <w:r>
        <w:rPr>
          <w:rFonts w:hint="eastAsia" w:ascii="MS UI Gothic" w:eastAsia="MS UI Gothic"/>
          <w:w w:val="80"/>
        </w:rPr>
        <w:t xml:space="preserve">ꎬ </w:t>
      </w:r>
      <w:r>
        <w:t>有关应急管理部门应当全面收集</w:t>
      </w:r>
      <w:r>
        <w:rPr>
          <w:rFonts w:hint="eastAsia" w:ascii="MS UI Gothic" w:eastAsia="MS UI Gothic"/>
          <w:w w:val="80"/>
        </w:rPr>
        <w:t xml:space="preserve">、 </w:t>
      </w:r>
      <w:r>
        <w:t>妥善保存证据材料</w:t>
      </w:r>
      <w:r>
        <w:rPr>
          <w:rFonts w:hint="eastAsia" w:ascii="MS UI Gothic" w:eastAsia="MS UI Gothic"/>
          <w:w w:val="80"/>
        </w:rPr>
        <w:t xml:space="preserve">ꎮ </w:t>
      </w:r>
      <w:r>
        <w:t>对容易灭失的痕迹</w:t>
      </w:r>
      <w:r>
        <w:rPr>
          <w:rFonts w:hint="eastAsia" w:ascii="MS UI Gothic" w:eastAsia="MS UI Gothic"/>
          <w:w w:val="80"/>
        </w:rPr>
        <w:t xml:space="preserve">、 </w:t>
      </w:r>
      <w:r>
        <w:t>物证</w:t>
      </w:r>
      <w:r>
        <w:rPr>
          <w:rFonts w:hint="eastAsia" w:ascii="MS UI Gothic" w:eastAsia="MS UI Gothic"/>
          <w:w w:val="80"/>
        </w:rPr>
        <w:t xml:space="preserve">ꎬ </w:t>
      </w:r>
      <w:r>
        <w:t>应当采取措施提取</w:t>
      </w:r>
      <w:r>
        <w:rPr>
          <w:rFonts w:hint="eastAsia" w:ascii="MS UI Gothic" w:eastAsia="MS UI Gothic"/>
          <w:w w:val="80"/>
        </w:rPr>
        <w:t xml:space="preserve">、 </w:t>
      </w:r>
      <w:r>
        <w:t>固定</w:t>
      </w:r>
      <w:r>
        <w:rPr>
          <w:rFonts w:hint="eastAsia" w:ascii="MS UI Gothic" w:eastAsia="MS UI Gothic"/>
          <w:w w:val="80"/>
        </w:rPr>
        <w:t xml:space="preserve">ꎻ </w:t>
      </w:r>
      <w:r>
        <w:t>对查获的涉案物品</w:t>
      </w:r>
      <w:r>
        <w:rPr>
          <w:rFonts w:hint="eastAsia" w:ascii="MS UI Gothic" w:eastAsia="MS UI Gothic"/>
          <w:w w:val="80"/>
        </w:rPr>
        <w:t xml:space="preserve">ꎬ </w:t>
      </w:r>
      <w:r>
        <w:t>如实填写涉案物品清单</w:t>
      </w:r>
      <w:r>
        <w:rPr>
          <w:rFonts w:hint="eastAsia" w:ascii="MS UI Gothic" w:eastAsia="MS UI Gothic"/>
          <w:w w:val="80"/>
        </w:rPr>
        <w:t xml:space="preserve">ꎬ </w:t>
      </w:r>
      <w:r>
        <w:t>并按照国家有关规定予以处理</w:t>
      </w:r>
      <w:r>
        <w:rPr>
          <w:rFonts w:hint="eastAsia" w:ascii="MS UI Gothic" w:eastAsia="MS UI Gothic"/>
          <w:w w:val="80"/>
        </w:rPr>
        <w:t xml:space="preserve">ꎻ </w:t>
      </w:r>
      <w:r>
        <w:t>对需要进行检验</w:t>
      </w:r>
      <w:r>
        <w:rPr>
          <w:rFonts w:hint="eastAsia" w:ascii="MS UI Gothic" w:eastAsia="MS UI Gothic"/>
          <w:w w:val="80"/>
        </w:rPr>
        <w:t xml:space="preserve">、 </w:t>
      </w:r>
      <w:r>
        <w:t>鉴定的涉案物品</w:t>
      </w:r>
      <w:r>
        <w:rPr>
          <w:rFonts w:hint="eastAsia" w:ascii="MS UI Gothic" w:eastAsia="MS UI Gothic"/>
          <w:w w:val="80"/>
        </w:rPr>
        <w:t xml:space="preserve">ꎬ </w:t>
      </w:r>
      <w:r>
        <w:t>由法定检验</w:t>
      </w:r>
      <w:r>
        <w:rPr>
          <w:rFonts w:hint="eastAsia" w:ascii="MS UI Gothic" w:eastAsia="MS UI Gothic"/>
          <w:w w:val="80"/>
        </w:rPr>
        <w:t xml:space="preserve">、 </w:t>
      </w:r>
      <w:r>
        <w:t>鉴定机构进行检验</w:t>
      </w:r>
      <w:r>
        <w:rPr>
          <w:rFonts w:hint="eastAsia" w:ascii="MS UI Gothic" w:eastAsia="MS UI Gothic"/>
          <w:w w:val="80"/>
        </w:rPr>
        <w:t xml:space="preserve">、 </w:t>
      </w:r>
      <w:r>
        <w:t>鉴定</w:t>
      </w:r>
      <w:r>
        <w:rPr>
          <w:rFonts w:hint="eastAsia" w:ascii="MS UI Gothic" w:eastAsia="MS UI Gothic"/>
          <w:w w:val="80"/>
        </w:rPr>
        <w:t xml:space="preserve">ꎬ </w:t>
      </w:r>
      <w:r>
        <w:t>并出具检验报告或者鉴定意见</w:t>
      </w:r>
      <w:r>
        <w:rPr>
          <w:rFonts w:hint="eastAsia" w:ascii="MS UI Gothic" w:eastAsia="MS UI Gothic"/>
          <w:w w:val="80"/>
        </w:rPr>
        <w:t>ꎮ</w:t>
      </w:r>
    </w:p>
    <w:p>
      <w:pPr>
        <w:pStyle w:val="6"/>
        <w:spacing w:line="295" w:lineRule="auto"/>
        <w:ind w:right="45"/>
        <w:rPr>
          <w:rFonts w:hint="eastAsia" w:ascii="MS UI Gothic" w:eastAsia="MS UI Gothic"/>
        </w:rPr>
      </w:pPr>
      <w:r>
        <w:t>在事故调查的过程中</w:t>
      </w:r>
      <w:r>
        <w:rPr>
          <w:rFonts w:hint="eastAsia" w:ascii="MS UI Gothic" w:eastAsia="MS UI Gothic"/>
          <w:w w:val="80"/>
        </w:rPr>
        <w:t xml:space="preserve">ꎬ </w:t>
      </w:r>
      <w:r>
        <w:t>有关部门根据有关法律法规的规定或者事故调查组的安排</w:t>
      </w:r>
      <w:r>
        <w:rPr>
          <w:rFonts w:hint="eastAsia" w:ascii="MS UI Gothic" w:eastAsia="MS UI Gothic"/>
          <w:w w:val="80"/>
        </w:rPr>
        <w:t xml:space="preserve">ꎬ </w:t>
      </w:r>
      <w:r>
        <w:t>按照前款规定收集</w:t>
      </w:r>
      <w:r>
        <w:rPr>
          <w:rFonts w:hint="eastAsia" w:ascii="MS UI Gothic" w:eastAsia="MS UI Gothic"/>
          <w:w w:val="80"/>
        </w:rPr>
        <w:t xml:space="preserve">、 </w:t>
      </w:r>
      <w:r>
        <w:t>保存相关的证据材料</w:t>
      </w:r>
      <w:r>
        <w:rPr>
          <w:rFonts w:hint="eastAsia" w:ascii="MS UI Gothic" w:eastAsia="MS UI Gothic"/>
          <w:w w:val="80"/>
        </w:rPr>
        <w:t>ꎮ</w:t>
      </w:r>
    </w:p>
    <w:p>
      <w:pPr>
        <w:pStyle w:val="6"/>
        <w:spacing w:line="295" w:lineRule="auto"/>
        <w:ind w:right="45"/>
        <w:rPr>
          <w:rFonts w:hint="eastAsia" w:ascii="MS UI Gothic" w:eastAsia="MS UI Gothic"/>
        </w:rPr>
      </w:pPr>
      <w:r>
        <w:t>第二十五条 在查处违法行为或者事故调查的过程中依法收集制作的物证</w:t>
      </w:r>
      <w:r>
        <w:rPr>
          <w:rFonts w:hint="eastAsia" w:ascii="MS UI Gothic" w:eastAsia="MS UI Gothic"/>
          <w:w w:val="80"/>
        </w:rPr>
        <w:t xml:space="preserve">、 </w:t>
      </w:r>
      <w:r>
        <w:t>书证</w:t>
      </w:r>
      <w:r>
        <w:rPr>
          <w:rFonts w:hint="eastAsia" w:ascii="MS UI Gothic" w:eastAsia="MS UI Gothic"/>
          <w:w w:val="80"/>
        </w:rPr>
        <w:t xml:space="preserve">、 </w:t>
      </w:r>
      <w:r>
        <w:t>视听资料</w:t>
      </w:r>
      <w:r>
        <w:rPr>
          <w:rFonts w:hint="eastAsia" w:ascii="MS UI Gothic" w:eastAsia="MS UI Gothic"/>
          <w:w w:val="80"/>
        </w:rPr>
        <w:t xml:space="preserve">、 </w:t>
      </w:r>
      <w:r>
        <w:t>电子数据</w:t>
      </w:r>
      <w:r>
        <w:rPr>
          <w:rFonts w:hint="eastAsia" w:ascii="MS UI Gothic" w:eastAsia="MS UI Gothic"/>
          <w:w w:val="80"/>
        </w:rPr>
        <w:t xml:space="preserve">、 </w:t>
      </w:r>
      <w:r>
        <w:t>检验报告</w:t>
      </w:r>
      <w:r>
        <w:rPr>
          <w:rFonts w:hint="eastAsia" w:ascii="MS UI Gothic" w:eastAsia="MS UI Gothic"/>
          <w:w w:val="80"/>
        </w:rPr>
        <w:t xml:space="preserve">、  </w:t>
      </w:r>
      <w:r>
        <w:t>鉴定意见</w:t>
      </w:r>
      <w:r>
        <w:rPr>
          <w:rFonts w:hint="eastAsia" w:ascii="MS UI Gothic" w:eastAsia="MS UI Gothic"/>
          <w:w w:val="80"/>
        </w:rPr>
        <w:t xml:space="preserve">、 </w:t>
      </w:r>
      <w:r>
        <w:t>勘验笔录</w:t>
      </w:r>
      <w:r>
        <w:rPr>
          <w:rFonts w:hint="eastAsia" w:ascii="MS UI Gothic" w:eastAsia="MS UI Gothic"/>
          <w:w w:val="80"/>
        </w:rPr>
        <w:t xml:space="preserve">、 </w:t>
      </w:r>
      <w:r>
        <w:t>检查笔录等证据材料以及经依法批复的事故调查报告</w:t>
      </w:r>
      <w:r>
        <w:rPr>
          <w:rFonts w:hint="eastAsia" w:ascii="MS UI Gothic" w:eastAsia="MS UI Gothic"/>
          <w:w w:val="80"/>
        </w:rPr>
        <w:t xml:space="preserve">ꎬ </w:t>
      </w:r>
      <w:r>
        <w:t>在刑事诉讼中可以作为证据使用</w:t>
      </w:r>
      <w:r>
        <w:rPr>
          <w:rFonts w:hint="eastAsia" w:ascii="MS UI Gothic" w:eastAsia="MS UI Gothic"/>
          <w:w w:val="80"/>
        </w:rPr>
        <w:t>ꎮ</w:t>
      </w:r>
    </w:p>
    <w:p>
      <w:pPr>
        <w:pStyle w:val="6"/>
        <w:spacing w:line="295" w:lineRule="auto"/>
        <w:ind w:right="45"/>
        <w:rPr>
          <w:rFonts w:hint="eastAsia" w:ascii="MS UI Gothic" w:eastAsia="MS UI Gothic"/>
        </w:rPr>
      </w:pPr>
      <w:r>
        <w:t>事故调查组依照有关规定提交的事故调查报告应当由其成员签名</w:t>
      </w:r>
      <w:r>
        <w:rPr>
          <w:rFonts w:hint="eastAsia" w:ascii="MS UI Gothic" w:eastAsia="MS UI Gothic"/>
          <w:w w:val="80"/>
        </w:rPr>
        <w:t xml:space="preserve">ꎮ </w:t>
      </w:r>
      <w:r>
        <w:t>没有签名的</w:t>
      </w:r>
      <w:r>
        <w:rPr>
          <w:rFonts w:hint="eastAsia" w:ascii="MS UI Gothic" w:eastAsia="MS UI Gothic"/>
          <w:w w:val="80"/>
        </w:rPr>
        <w:t xml:space="preserve">ꎬ </w:t>
      </w:r>
      <w:r>
        <w:t>应当予以补正或者作出合理解释</w:t>
      </w:r>
      <w:r>
        <w:rPr>
          <w:rFonts w:hint="eastAsia" w:ascii="MS UI Gothic" w:eastAsia="MS UI Gothic"/>
          <w:w w:val="80"/>
        </w:rPr>
        <w:t>ꎮ</w:t>
      </w:r>
    </w:p>
    <w:p>
      <w:pPr>
        <w:pStyle w:val="6"/>
        <w:spacing w:line="295" w:lineRule="auto"/>
        <w:ind w:right="38"/>
      </w:pPr>
      <w:r>
        <w:t>第二十六条 当事人及其辩护人</w:t>
      </w:r>
      <w:r>
        <w:rPr>
          <w:rFonts w:hint="eastAsia" w:ascii="MS UI Gothic" w:eastAsia="MS UI Gothic"/>
          <w:w w:val="80"/>
        </w:rPr>
        <w:t xml:space="preserve">、 </w:t>
      </w:r>
      <w:r>
        <w:t>诉讼代理人对检验报告</w:t>
      </w:r>
      <w:r>
        <w:rPr>
          <w:rFonts w:hint="eastAsia" w:ascii="MS UI Gothic" w:eastAsia="MS UI Gothic"/>
          <w:w w:val="80"/>
        </w:rPr>
        <w:t xml:space="preserve">、 </w:t>
      </w:r>
      <w:r>
        <w:t>鉴定意见</w:t>
      </w:r>
      <w:r>
        <w:rPr>
          <w:rFonts w:hint="eastAsia" w:ascii="MS UI Gothic" w:eastAsia="MS UI Gothic"/>
          <w:w w:val="80"/>
        </w:rPr>
        <w:t xml:space="preserve">、 </w:t>
      </w:r>
      <w:r>
        <w:t>勘验笔录</w:t>
      </w:r>
      <w:r>
        <w:rPr>
          <w:rFonts w:hint="eastAsia" w:ascii="MS UI Gothic" w:eastAsia="MS UI Gothic"/>
          <w:w w:val="80"/>
        </w:rPr>
        <w:t xml:space="preserve">、 </w:t>
      </w:r>
      <w:r>
        <w:t>检查笔录等提出异议</w:t>
      </w:r>
      <w:r>
        <w:rPr>
          <w:rFonts w:hint="eastAsia" w:ascii="MS UI Gothic" w:eastAsia="MS UI Gothic"/>
          <w:w w:val="80"/>
        </w:rPr>
        <w:t xml:space="preserve">ꎬ </w:t>
      </w:r>
      <w:r>
        <w:t>申请重新检验</w:t>
      </w:r>
      <w:r>
        <w:rPr>
          <w:rFonts w:hint="eastAsia" w:ascii="MS UI Gothic" w:eastAsia="MS UI Gothic"/>
          <w:w w:val="80"/>
        </w:rPr>
        <w:t xml:space="preserve">、 </w:t>
      </w:r>
      <w:r>
        <w:t>鉴定</w:t>
      </w:r>
      <w:r>
        <w:rPr>
          <w:rFonts w:hint="eastAsia" w:ascii="MS UI Gothic" w:eastAsia="MS UI Gothic"/>
          <w:w w:val="80"/>
        </w:rPr>
        <w:t xml:space="preserve">、 </w:t>
      </w:r>
      <w:r>
        <w:t>勘验或者检查的</w:t>
      </w:r>
      <w:r>
        <w:rPr>
          <w:rFonts w:hint="eastAsia" w:ascii="MS UI Gothic" w:eastAsia="MS UI Gothic"/>
          <w:w w:val="80"/>
        </w:rPr>
        <w:t xml:space="preserve">ꎬ </w:t>
      </w:r>
      <w:r>
        <w:t>应当说明理由</w:t>
      </w:r>
      <w:r>
        <w:rPr>
          <w:rFonts w:hint="eastAsia" w:ascii="MS UI Gothic" w:eastAsia="MS UI Gothic"/>
          <w:w w:val="80"/>
        </w:rPr>
        <w:t xml:space="preserve">ꎮ </w:t>
      </w:r>
      <w:r>
        <w:t>人民法院经审理认为有必要的</w:t>
      </w:r>
      <w:r>
        <w:rPr>
          <w:rFonts w:hint="eastAsia" w:ascii="MS UI Gothic" w:eastAsia="MS UI Gothic"/>
          <w:w w:val="80"/>
        </w:rPr>
        <w:t xml:space="preserve">ꎬ </w:t>
      </w:r>
      <w:r>
        <w:t>应当同意</w:t>
      </w:r>
      <w:r>
        <w:rPr>
          <w:rFonts w:hint="eastAsia" w:ascii="MS UI Gothic" w:eastAsia="MS UI Gothic"/>
          <w:w w:val="80"/>
        </w:rPr>
        <w:t xml:space="preserve">ꎮ </w:t>
      </w:r>
      <w:r>
        <w:t>人民法院同意重新鉴定申请的</w:t>
      </w:r>
      <w:r>
        <w:rPr>
          <w:rFonts w:hint="eastAsia" w:ascii="MS UI Gothic" w:eastAsia="MS UI Gothic"/>
          <w:w w:val="80"/>
        </w:rPr>
        <w:t xml:space="preserve">ꎬ </w:t>
      </w:r>
      <w:r>
        <w:t>应当及时委托鉴定</w:t>
      </w:r>
      <w:r>
        <w:rPr>
          <w:rFonts w:hint="eastAsia" w:ascii="MS UI Gothic" w:eastAsia="MS UI Gothic"/>
          <w:w w:val="80"/>
        </w:rPr>
        <w:t xml:space="preserve">ꎬ </w:t>
      </w:r>
      <w:r>
        <w:t>并将鉴定意见告知人民检察院</w:t>
      </w:r>
      <w:r>
        <w:rPr>
          <w:rFonts w:hint="eastAsia" w:ascii="MS UI Gothic" w:eastAsia="MS UI Gothic"/>
          <w:w w:val="80"/>
        </w:rPr>
        <w:t xml:space="preserve">、 </w:t>
      </w:r>
      <w:r>
        <w:t>当事人及其辩护人</w:t>
      </w:r>
      <w:r>
        <w:rPr>
          <w:rFonts w:hint="eastAsia" w:ascii="MS UI Gothic" w:eastAsia="MS UI Gothic"/>
          <w:w w:val="80"/>
        </w:rPr>
        <w:t xml:space="preserve">、 </w:t>
      </w:r>
      <w:r>
        <w:t>诉讼代理人</w:t>
      </w:r>
      <w:r>
        <w:rPr>
          <w:rFonts w:hint="eastAsia" w:ascii="MS UI Gothic" w:eastAsia="MS UI Gothic"/>
          <w:w w:val="80"/>
        </w:rPr>
        <w:t>ꎻ</w:t>
      </w:r>
      <w:r>
        <w:t>也可以由公安机关自行或者委托相关机构</w:t>
      </w:r>
    </w:p>
    <w:p>
      <w:pPr>
        <w:pStyle w:val="6"/>
        <w:spacing w:before="123"/>
        <w:ind w:left="130" w:firstLine="0"/>
        <w:jc w:val="left"/>
        <w:rPr>
          <w:rFonts w:hint="eastAsia" w:ascii="MS UI Gothic" w:eastAsia="MS UI Gothic"/>
        </w:rPr>
      </w:pPr>
      <w:r>
        <w:br w:type="column"/>
      </w:r>
      <w:r>
        <w:t>重新进行检验</w:t>
      </w:r>
      <w:r>
        <w:rPr>
          <w:rFonts w:hint="eastAsia" w:ascii="MS UI Gothic" w:eastAsia="MS UI Gothic"/>
        </w:rPr>
        <w:t xml:space="preserve">、 </w:t>
      </w:r>
      <w:r>
        <w:t>鉴定</w:t>
      </w:r>
      <w:r>
        <w:rPr>
          <w:rFonts w:hint="eastAsia" w:ascii="MS UI Gothic" w:eastAsia="MS UI Gothic"/>
        </w:rPr>
        <w:t xml:space="preserve">、 </w:t>
      </w:r>
      <w:r>
        <w:t>勘验</w:t>
      </w:r>
      <w:r>
        <w:rPr>
          <w:rFonts w:hint="eastAsia" w:ascii="MS UI Gothic" w:eastAsia="MS UI Gothic"/>
        </w:rPr>
        <w:t xml:space="preserve">、 </w:t>
      </w:r>
      <w:r>
        <w:t>检查等</w:t>
      </w:r>
      <w:r>
        <w:rPr>
          <w:rFonts w:hint="eastAsia" w:ascii="MS UI Gothic" w:eastAsia="MS UI Gothic"/>
          <w:w w:val="80"/>
        </w:rPr>
        <w:t>ꎮ</w:t>
      </w:r>
    </w:p>
    <w:p>
      <w:pPr>
        <w:pStyle w:val="6"/>
        <w:tabs>
          <w:tab w:val="left" w:pos="1912"/>
        </w:tabs>
        <w:spacing w:before="215"/>
        <w:ind w:left="1073" w:firstLine="0"/>
        <w:jc w:val="left"/>
      </w:pPr>
      <w:r>
        <w:rPr>
          <w:spacing w:val="3"/>
          <w:w w:val="105"/>
        </w:rPr>
        <w:t>第五</w:t>
      </w:r>
      <w:r>
        <w:rPr>
          <w:w w:val="105"/>
        </w:rPr>
        <w:t>章</w:t>
      </w:r>
      <w:r>
        <w:rPr>
          <w:w w:val="105"/>
        </w:rPr>
        <w:tab/>
      </w:r>
      <w:r>
        <w:rPr>
          <w:w w:val="105"/>
        </w:rPr>
        <w:t>协</w:t>
      </w:r>
      <w:r>
        <w:rPr>
          <w:spacing w:val="-33"/>
          <w:w w:val="105"/>
        </w:rPr>
        <w:t xml:space="preserve"> </w:t>
      </w:r>
      <w:r>
        <w:rPr>
          <w:w w:val="105"/>
        </w:rPr>
        <w:t>作</w:t>
      </w:r>
      <w:r>
        <w:rPr>
          <w:spacing w:val="-33"/>
          <w:w w:val="105"/>
        </w:rPr>
        <w:t xml:space="preserve"> </w:t>
      </w:r>
      <w:r>
        <w:rPr>
          <w:w w:val="105"/>
        </w:rPr>
        <w:t>机</w:t>
      </w:r>
      <w:r>
        <w:rPr>
          <w:spacing w:val="-33"/>
          <w:w w:val="105"/>
        </w:rPr>
        <w:t xml:space="preserve"> </w:t>
      </w:r>
      <w:r>
        <w:rPr>
          <w:w w:val="105"/>
        </w:rPr>
        <w:t>制</w:t>
      </w:r>
    </w:p>
    <w:p>
      <w:pPr>
        <w:pStyle w:val="6"/>
        <w:spacing w:before="11"/>
        <w:ind w:left="0" w:firstLine="0"/>
        <w:jc w:val="left"/>
        <w:rPr>
          <w:sz w:val="16"/>
        </w:rPr>
      </w:pPr>
    </w:p>
    <w:p>
      <w:pPr>
        <w:pStyle w:val="6"/>
        <w:spacing w:line="295" w:lineRule="auto"/>
        <w:ind w:left="130" w:right="442"/>
        <w:rPr>
          <w:rFonts w:hint="eastAsia" w:ascii="MS UI Gothic" w:eastAsia="MS UI Gothic"/>
        </w:rPr>
      </w:pPr>
      <w:r>
        <w:t>第二十七条 各级应急管理部门</w:t>
      </w:r>
      <w:r>
        <w:rPr>
          <w:rFonts w:hint="eastAsia" w:ascii="MS UI Gothic" w:eastAsia="MS UI Gothic"/>
          <w:w w:val="80"/>
        </w:rPr>
        <w:t xml:space="preserve">、 </w:t>
      </w:r>
      <w:r>
        <w:t>公安机关</w:t>
      </w:r>
      <w:r>
        <w:rPr>
          <w:rFonts w:hint="eastAsia" w:ascii="MS UI Gothic" w:eastAsia="MS UI Gothic"/>
          <w:w w:val="80"/>
        </w:rPr>
        <w:t xml:space="preserve">、 </w:t>
      </w:r>
      <w:r>
        <w:t>人民检察院</w:t>
      </w:r>
      <w:r>
        <w:rPr>
          <w:rFonts w:hint="eastAsia" w:ascii="MS UI Gothic" w:eastAsia="MS UI Gothic"/>
          <w:w w:val="80"/>
        </w:rPr>
        <w:t xml:space="preserve">、 </w:t>
      </w:r>
      <w:r>
        <w:t>人民法院应当建立安全生产行政执法与刑事司法衔接长效工作机制</w:t>
      </w:r>
      <w:r>
        <w:rPr>
          <w:rFonts w:hint="eastAsia" w:ascii="MS UI Gothic" w:eastAsia="MS UI Gothic"/>
          <w:w w:val="80"/>
        </w:rPr>
        <w:t xml:space="preserve">ꎮ </w:t>
      </w:r>
      <w:r>
        <w:t>明确本单位的牵头机构和联系人</w:t>
      </w:r>
      <w:r>
        <w:rPr>
          <w:rFonts w:hint="eastAsia" w:ascii="MS UI Gothic" w:eastAsia="MS UI Gothic"/>
          <w:w w:val="80"/>
        </w:rPr>
        <w:t xml:space="preserve">ꎬ </w:t>
      </w:r>
      <w:r>
        <w:t>加强日常工作沟通与协作</w:t>
      </w:r>
      <w:r>
        <w:rPr>
          <w:rFonts w:hint="eastAsia" w:ascii="MS UI Gothic" w:eastAsia="MS UI Gothic"/>
          <w:w w:val="80"/>
        </w:rPr>
        <w:t xml:space="preserve">ꎮ </w:t>
      </w:r>
      <w:r>
        <w:t>定期召开联席会议</w:t>
      </w:r>
      <w:r>
        <w:rPr>
          <w:rFonts w:hint="eastAsia" w:ascii="MS UI Gothic" w:eastAsia="MS UI Gothic"/>
          <w:w w:val="80"/>
        </w:rPr>
        <w:t xml:space="preserve">ꎬ </w:t>
      </w:r>
      <w:r>
        <w:t>协调解决重要问题</w:t>
      </w:r>
      <w:r>
        <w:rPr>
          <w:rFonts w:hint="eastAsia" w:ascii="MS UI Gothic" w:eastAsia="MS UI Gothic"/>
          <w:w w:val="80"/>
        </w:rPr>
        <w:t xml:space="preserve">ꎬ </w:t>
      </w:r>
      <w:r>
        <w:t>并以会议纪要等方式明确议定事项</w:t>
      </w:r>
      <w:r>
        <w:rPr>
          <w:rFonts w:hint="eastAsia" w:ascii="MS UI Gothic" w:eastAsia="MS UI Gothic"/>
          <w:w w:val="80"/>
        </w:rPr>
        <w:t>ꎮ</w:t>
      </w:r>
    </w:p>
    <w:p>
      <w:pPr>
        <w:pStyle w:val="6"/>
        <w:spacing w:line="295" w:lineRule="auto"/>
        <w:ind w:left="130" w:right="440"/>
        <w:rPr>
          <w:rFonts w:hint="eastAsia" w:ascii="MS UI Gothic" w:eastAsia="MS UI Gothic"/>
        </w:rPr>
      </w:pPr>
      <w:r>
        <w:t>各省</w:t>
      </w:r>
      <w:r>
        <w:rPr>
          <w:rFonts w:hint="eastAsia" w:ascii="MS UI Gothic" w:eastAsia="MS UI Gothic"/>
          <w:w w:val="80"/>
        </w:rPr>
        <w:t xml:space="preserve">、 </w:t>
      </w:r>
      <w:r>
        <w:t>自治区</w:t>
      </w:r>
      <w:r>
        <w:rPr>
          <w:rFonts w:hint="eastAsia" w:ascii="MS UI Gothic" w:eastAsia="MS UI Gothic"/>
          <w:w w:val="80"/>
        </w:rPr>
        <w:t xml:space="preserve">、  </w:t>
      </w:r>
      <w:r>
        <w:t>直辖市应急管理部门</w:t>
      </w:r>
      <w:r>
        <w:rPr>
          <w:rFonts w:hint="eastAsia" w:ascii="MS UI Gothic" w:eastAsia="MS UI Gothic"/>
          <w:w w:val="80"/>
        </w:rPr>
        <w:t xml:space="preserve">、 </w:t>
      </w:r>
      <w:r>
        <w:t>公安机关</w:t>
      </w:r>
      <w:r>
        <w:rPr>
          <w:rFonts w:hint="eastAsia" w:ascii="MS UI Gothic" w:eastAsia="MS UI Gothic"/>
          <w:w w:val="80"/>
        </w:rPr>
        <w:t xml:space="preserve">、 </w:t>
      </w:r>
      <w:r>
        <w:t>人民检察院</w:t>
      </w:r>
      <w:r>
        <w:rPr>
          <w:rFonts w:hint="eastAsia" w:ascii="MS UI Gothic" w:eastAsia="MS UI Gothic"/>
          <w:w w:val="80"/>
        </w:rPr>
        <w:t xml:space="preserve">、 </w:t>
      </w:r>
      <w:r>
        <w:t>人民法院应当每年定期联合通报辖区内有关涉嫌安全生产犯罪案件移送</w:t>
      </w:r>
      <w:r>
        <w:rPr>
          <w:rFonts w:hint="eastAsia" w:ascii="MS UI Gothic" w:eastAsia="MS UI Gothic"/>
          <w:w w:val="80"/>
        </w:rPr>
        <w:t xml:space="preserve">、 </w:t>
      </w:r>
      <w:r>
        <w:t>立案</w:t>
      </w:r>
      <w:r>
        <w:rPr>
          <w:rFonts w:hint="eastAsia" w:ascii="MS UI Gothic" w:eastAsia="MS UI Gothic"/>
          <w:w w:val="80"/>
        </w:rPr>
        <w:t xml:space="preserve">、 </w:t>
      </w:r>
      <w:r>
        <w:t>批捕</w:t>
      </w:r>
      <w:r>
        <w:rPr>
          <w:rFonts w:hint="eastAsia" w:ascii="MS UI Gothic" w:eastAsia="MS UI Gothic"/>
          <w:w w:val="80"/>
        </w:rPr>
        <w:t xml:space="preserve">、 </w:t>
      </w:r>
      <w:r>
        <w:t>起诉</w:t>
      </w:r>
      <w:r>
        <w:rPr>
          <w:rFonts w:hint="eastAsia" w:ascii="MS UI Gothic" w:eastAsia="MS UI Gothic"/>
          <w:w w:val="80"/>
        </w:rPr>
        <w:t>、</w:t>
      </w:r>
      <w:r>
        <w:t>裁判结果等方面信息</w:t>
      </w:r>
      <w:r>
        <w:rPr>
          <w:rFonts w:hint="eastAsia" w:ascii="MS UI Gothic" w:eastAsia="MS UI Gothic"/>
          <w:w w:val="80"/>
        </w:rPr>
        <w:t>ꎮ</w:t>
      </w:r>
    </w:p>
    <w:p>
      <w:pPr>
        <w:pStyle w:val="6"/>
        <w:spacing w:line="295" w:lineRule="auto"/>
        <w:ind w:left="130" w:right="440"/>
        <w:rPr>
          <w:rFonts w:hint="eastAsia" w:ascii="MS UI Gothic" w:eastAsia="MS UI Gothic"/>
        </w:rPr>
      </w:pPr>
      <w:r>
        <w:t>第二十八条 应急管理部门对重大疑难复杂案件</w:t>
      </w:r>
      <w:r>
        <w:rPr>
          <w:rFonts w:hint="eastAsia" w:ascii="MS UI Gothic" w:eastAsia="MS UI Gothic"/>
          <w:w w:val="80"/>
        </w:rPr>
        <w:t xml:space="preserve">ꎬ </w:t>
      </w:r>
      <w:r>
        <w:t>可以就刑事案件立案追诉标准</w:t>
      </w:r>
      <w:r>
        <w:rPr>
          <w:rFonts w:hint="eastAsia" w:ascii="MS UI Gothic" w:eastAsia="MS UI Gothic"/>
          <w:w w:val="80"/>
        </w:rPr>
        <w:t xml:space="preserve">、 </w:t>
      </w:r>
      <w:r>
        <w:t>证据的固定和保全等问题咨询公安机关</w:t>
      </w:r>
      <w:r>
        <w:rPr>
          <w:rFonts w:hint="eastAsia" w:ascii="MS UI Gothic" w:eastAsia="MS UI Gothic"/>
          <w:w w:val="80"/>
        </w:rPr>
        <w:t xml:space="preserve">、 </w:t>
      </w:r>
      <w:r>
        <w:t>人民检察院</w:t>
      </w:r>
      <w:r>
        <w:rPr>
          <w:rFonts w:hint="eastAsia" w:ascii="MS UI Gothic" w:eastAsia="MS UI Gothic"/>
          <w:w w:val="80"/>
        </w:rPr>
        <w:t xml:space="preserve">ꎻ </w:t>
      </w:r>
      <w:r>
        <w:t>公安机关</w:t>
      </w:r>
      <w:r>
        <w:rPr>
          <w:rFonts w:hint="eastAsia" w:ascii="MS UI Gothic" w:eastAsia="MS UI Gothic"/>
          <w:w w:val="80"/>
        </w:rPr>
        <w:t xml:space="preserve">、 </w:t>
      </w:r>
      <w:r>
        <w:t>人民检察院可以就案件办理中的专业性问题咨询应急管理部门</w:t>
      </w:r>
      <w:r>
        <w:rPr>
          <w:rFonts w:hint="eastAsia" w:ascii="MS UI Gothic" w:eastAsia="MS UI Gothic"/>
          <w:w w:val="80"/>
        </w:rPr>
        <w:t xml:space="preserve">ꎮ </w:t>
      </w:r>
      <w:r>
        <w:t>受咨询的机关应当及时答复</w:t>
      </w:r>
      <w:r>
        <w:rPr>
          <w:rFonts w:hint="eastAsia" w:ascii="MS UI Gothic" w:eastAsia="MS UI Gothic"/>
          <w:w w:val="80"/>
        </w:rPr>
        <w:t>ꎻ</w:t>
      </w:r>
      <w:r>
        <w:t>书面咨询的</w:t>
      </w:r>
      <w:r>
        <w:rPr>
          <w:rFonts w:hint="eastAsia" w:ascii="MS UI Gothic" w:eastAsia="MS UI Gothic"/>
          <w:w w:val="80"/>
        </w:rPr>
        <w:t xml:space="preserve">ꎬ </w:t>
      </w:r>
      <w:r>
        <w:t xml:space="preserve">应当在 </w:t>
      </w:r>
      <w:r>
        <w:rPr>
          <w:rFonts w:hint="eastAsia" w:ascii="MS UI Gothic" w:eastAsia="MS UI Gothic"/>
          <w:w w:val="80"/>
        </w:rPr>
        <w:t xml:space="preserve">７ </w:t>
      </w:r>
      <w:r>
        <w:t>日内书面答复</w:t>
      </w:r>
      <w:r>
        <w:rPr>
          <w:rFonts w:hint="eastAsia" w:ascii="MS UI Gothic" w:eastAsia="MS UI Gothic"/>
          <w:w w:val="80"/>
        </w:rPr>
        <w:t>ꎮ</w:t>
      </w:r>
    </w:p>
    <w:p>
      <w:pPr>
        <w:pStyle w:val="6"/>
        <w:spacing w:line="295" w:lineRule="auto"/>
        <w:ind w:right="442" w:firstLine="425"/>
        <w:rPr>
          <w:rFonts w:hint="eastAsia" w:ascii="MS UI Gothic" w:eastAsia="MS UI Gothic"/>
        </w:rPr>
      </w:pPr>
      <w:r>
        <w:t>第二十九条 人民法院应当在有关案件的判决</w:t>
      </w:r>
      <w:r>
        <w:rPr>
          <w:rFonts w:hint="eastAsia" w:ascii="MS UI Gothic" w:eastAsia="MS UI Gothic"/>
        </w:rPr>
        <w:t xml:space="preserve">、 </w:t>
      </w:r>
      <w:r>
        <w:t>裁定生效后</w:t>
      </w:r>
      <w:r>
        <w:rPr>
          <w:rFonts w:hint="eastAsia" w:ascii="MS UI Gothic" w:eastAsia="MS UI Gothic"/>
          <w:w w:val="85"/>
        </w:rPr>
        <w:t xml:space="preserve">ꎬ  </w:t>
      </w:r>
      <w:r>
        <w:t>按照规定及时将判决书</w:t>
      </w:r>
      <w:r>
        <w:rPr>
          <w:rFonts w:hint="eastAsia" w:ascii="MS UI Gothic" w:eastAsia="MS UI Gothic"/>
        </w:rPr>
        <w:t xml:space="preserve">、 </w:t>
      </w:r>
      <w:r>
        <w:t>裁定书在互联网公布</w:t>
      </w:r>
      <w:r>
        <w:rPr>
          <w:rFonts w:hint="eastAsia" w:ascii="MS UI Gothic" w:eastAsia="MS UI Gothic"/>
          <w:w w:val="85"/>
        </w:rPr>
        <w:t xml:space="preserve">ꎮ  </w:t>
      </w:r>
      <w:r>
        <w:t>适用职业禁止措施的</w:t>
      </w:r>
      <w:r>
        <w:rPr>
          <w:rFonts w:hint="eastAsia" w:ascii="MS UI Gothic" w:eastAsia="MS UI Gothic"/>
          <w:w w:val="85"/>
        </w:rPr>
        <w:t xml:space="preserve">ꎬ </w:t>
      </w:r>
      <w:r>
        <w:t>应当在判决</w:t>
      </w:r>
      <w:r>
        <w:rPr>
          <w:rFonts w:hint="eastAsia" w:ascii="MS UI Gothic" w:eastAsia="MS UI Gothic"/>
        </w:rPr>
        <w:t xml:space="preserve">、 </w:t>
      </w:r>
      <w:r>
        <w:t>裁定生效后</w:t>
      </w:r>
      <w:r>
        <w:rPr>
          <w:rFonts w:hint="eastAsia" w:ascii="MS UI Gothic" w:eastAsia="MS UI Gothic"/>
          <w:w w:val="85"/>
        </w:rPr>
        <w:t xml:space="preserve">１０ </w:t>
      </w:r>
      <w:r>
        <w:t>日内将判决书</w:t>
      </w:r>
      <w:r>
        <w:rPr>
          <w:rFonts w:hint="eastAsia" w:ascii="MS UI Gothic" w:eastAsia="MS UI Gothic"/>
        </w:rPr>
        <w:t xml:space="preserve">、 </w:t>
      </w:r>
      <w:r>
        <w:t>裁定书送达罪犯居住地的县级应急管理部门和公安机关</w:t>
      </w:r>
      <w:r>
        <w:rPr>
          <w:rFonts w:hint="eastAsia" w:ascii="MS UI Gothic" w:eastAsia="MS UI Gothic"/>
          <w:w w:val="85"/>
        </w:rPr>
        <w:t xml:space="preserve">ꎬ </w:t>
      </w:r>
      <w:r>
        <w:t>同时抄送罪犯居住地的县级人民检察院</w:t>
      </w:r>
      <w:r>
        <w:rPr>
          <w:rFonts w:hint="eastAsia" w:ascii="MS UI Gothic" w:eastAsia="MS UI Gothic"/>
          <w:w w:val="85"/>
        </w:rPr>
        <w:t xml:space="preserve">ꎮ </w:t>
      </w:r>
      <w:r>
        <w:t>具有国家工作人员身份的</w:t>
      </w:r>
      <w:r>
        <w:rPr>
          <w:rFonts w:hint="eastAsia" w:ascii="MS UI Gothic" w:eastAsia="MS UI Gothic"/>
          <w:w w:val="85"/>
        </w:rPr>
        <w:t xml:space="preserve">ꎬ </w:t>
      </w:r>
      <w:r>
        <w:t>应当将判决书</w:t>
      </w:r>
      <w:r>
        <w:rPr>
          <w:rFonts w:hint="eastAsia" w:ascii="MS UI Gothic" w:eastAsia="MS UI Gothic"/>
        </w:rPr>
        <w:t xml:space="preserve">、 </w:t>
      </w:r>
      <w:r>
        <w:t>裁定书送达罪犯原所在单位</w:t>
      </w:r>
      <w:r>
        <w:rPr>
          <w:rFonts w:hint="eastAsia" w:ascii="MS UI Gothic" w:eastAsia="MS UI Gothic"/>
          <w:w w:val="85"/>
        </w:rPr>
        <w:t>ꎮ</w:t>
      </w:r>
    </w:p>
    <w:p>
      <w:pPr>
        <w:pStyle w:val="6"/>
        <w:spacing w:line="295" w:lineRule="auto"/>
        <w:ind w:left="130" w:right="440"/>
        <w:rPr>
          <w:rFonts w:hint="eastAsia" w:ascii="MS UI Gothic" w:eastAsia="MS UI Gothic"/>
        </w:rPr>
      </w:pPr>
      <w:r>
        <w:rPr>
          <w:w w:val="105"/>
        </w:rPr>
        <w:t>第三十条 人民检察院</w:t>
      </w:r>
      <w:r>
        <w:rPr>
          <w:rFonts w:hint="eastAsia" w:ascii="MS UI Gothic" w:eastAsia="MS UI Gothic"/>
          <w:w w:val="80"/>
        </w:rPr>
        <w:t xml:space="preserve">、 </w:t>
      </w:r>
      <w:r>
        <w:rPr>
          <w:w w:val="105"/>
        </w:rPr>
        <w:t>人民法院发</w:t>
      </w:r>
      <w:r>
        <w:t>现有关生产经营单位在安全生产保障方面存在问题或者有关部门在履行安全生产监督管理职责方面存在违法</w:t>
      </w:r>
      <w:r>
        <w:rPr>
          <w:rFonts w:hint="eastAsia" w:ascii="MS UI Gothic" w:eastAsia="MS UI Gothic"/>
          <w:w w:val="80"/>
        </w:rPr>
        <w:t xml:space="preserve">、 </w:t>
      </w:r>
      <w:r>
        <w:t>不当情形的</w:t>
      </w:r>
      <w:r>
        <w:rPr>
          <w:rFonts w:hint="eastAsia" w:ascii="MS UI Gothic" w:eastAsia="MS UI Gothic"/>
          <w:w w:val="80"/>
        </w:rPr>
        <w:t>ꎬ</w:t>
      </w:r>
      <w:r>
        <w:rPr>
          <w:w w:val="105"/>
        </w:rPr>
        <w:t>可以发出检察建议</w:t>
      </w:r>
      <w:r>
        <w:rPr>
          <w:rFonts w:hint="eastAsia" w:ascii="MS UI Gothic" w:eastAsia="MS UI Gothic"/>
          <w:w w:val="80"/>
        </w:rPr>
        <w:t xml:space="preserve">、 </w:t>
      </w:r>
      <w:r>
        <w:rPr>
          <w:w w:val="105"/>
        </w:rPr>
        <w:t>司法建议</w:t>
      </w:r>
      <w:r>
        <w:rPr>
          <w:rFonts w:hint="eastAsia" w:ascii="MS UI Gothic" w:eastAsia="MS UI Gothic"/>
          <w:w w:val="80"/>
        </w:rPr>
        <w:t xml:space="preserve">ꎮ </w:t>
      </w:r>
      <w:r>
        <w:rPr>
          <w:w w:val="105"/>
        </w:rPr>
        <w:t>有关生产</w:t>
      </w:r>
      <w:r>
        <w:t>经营单位或者有关部门应当按规定及时处理</w:t>
      </w:r>
      <w:r>
        <w:rPr>
          <w:rFonts w:hint="eastAsia" w:ascii="MS UI Gothic" w:eastAsia="MS UI Gothic"/>
          <w:w w:val="80"/>
        </w:rPr>
        <w:t xml:space="preserve">ꎬ </w:t>
      </w:r>
      <w:r>
        <w:t>并将处理情况书面反馈提出建议的人</w:t>
      </w:r>
      <w:r>
        <w:rPr>
          <w:w w:val="105"/>
        </w:rPr>
        <w:t>民检察院</w:t>
      </w:r>
      <w:r>
        <w:rPr>
          <w:rFonts w:hint="eastAsia" w:ascii="MS UI Gothic" w:eastAsia="MS UI Gothic"/>
          <w:w w:val="80"/>
        </w:rPr>
        <w:t xml:space="preserve">、 </w:t>
      </w:r>
      <w:r>
        <w:rPr>
          <w:w w:val="105"/>
        </w:rPr>
        <w:t>人民法院</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42" w:space="244"/>
            <w:col w:w="4354"/>
          </w:cols>
        </w:sectPr>
      </w:pPr>
    </w:p>
    <w:p>
      <w:pPr>
        <w:tabs>
          <w:tab w:val="left" w:pos="1080"/>
        </w:tabs>
        <w:spacing w:before="192"/>
        <w:ind w:left="0" w:right="0" w:firstLine="0"/>
        <w:jc w:val="right"/>
        <w:rPr>
          <w:sz w:val="17"/>
        </w:rPr>
      </w:pPr>
      <w:r>
        <w:rPr>
          <w:spacing w:val="3"/>
          <w:sz w:val="17"/>
        </w:rPr>
        <w:t>二</w:t>
      </w:r>
      <w:r>
        <w:rPr>
          <w:rFonts w:hint="eastAsia" w:ascii="Microsoft Yi Baiti" w:eastAsia="Microsoft Yi Baiti"/>
          <w:sz w:val="17"/>
        </w:rPr>
        <w:t>、</w:t>
      </w:r>
      <w:r>
        <w:rPr>
          <w:rFonts w:hint="eastAsia" w:ascii="Microsoft Yi Baiti" w:eastAsia="Microsoft Yi Baiti"/>
          <w:spacing w:val="8"/>
          <w:sz w:val="17"/>
        </w:rPr>
        <w:t xml:space="preserve"> </w:t>
      </w:r>
      <w:r>
        <w:rPr>
          <w:sz w:val="17"/>
        </w:rPr>
        <w:t>刑</w:t>
      </w:r>
      <w:r>
        <w:rPr>
          <w:sz w:val="17"/>
        </w:rPr>
        <w:tab/>
      </w:r>
      <w:r>
        <w:rPr>
          <w:sz w:val="17"/>
        </w:rPr>
        <w:t>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３５</w:t>
      </w:r>
    </w:p>
    <w:p>
      <w:pPr>
        <w:spacing w:after="0"/>
        <w:jc w:val="right"/>
        <w:rPr>
          <w:rFonts w:hint="eastAsia" w:ascii="MS UI Gothic" w:eastAsia="MS UI Gothic"/>
        </w:rPr>
        <w:sectPr>
          <w:pgSz w:w="10500" w:h="14750"/>
          <w:pgMar w:top="960" w:right="980" w:bottom="280" w:left="980" w:header="720" w:footer="720" w:gutter="0"/>
          <w:cols w:equalWidth="0" w:num="2">
            <w:col w:w="5051" w:space="40"/>
            <w:col w:w="344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56" o:spid="_x0000_s1156" o:spt="203" style="height:2.15pt;width:398.25pt;" coordsize="7965,43">
            <o:lock v:ext="edit"/>
            <v:line id="_x0000_s1157" o:spid="_x0000_s1157" o:spt="20" style="position:absolute;left:0;top:39;height:0;width:7965;" stroked="t" coordsize="21600,21600">
              <v:path arrowok="t"/>
              <v:fill focussize="0,0"/>
              <v:stroke weight="0.388031496062992pt" color="#231F20"/>
              <v:imagedata o:title=""/>
              <o:lock v:ext="edit"/>
            </v:line>
            <v:line id="_x0000_s1158" o:spid="_x0000_s115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t>第三十一条 各级应急管理部门</w:t>
      </w:r>
      <w:r>
        <w:rPr>
          <w:rFonts w:hint="eastAsia" w:ascii="MS UI Gothic" w:eastAsia="MS UI Gothic"/>
          <w:w w:val="80"/>
        </w:rPr>
        <w:t xml:space="preserve">、 </w:t>
      </w:r>
      <w:r>
        <w:t>公安机关</w:t>
      </w:r>
      <w:r>
        <w:rPr>
          <w:rFonts w:hint="eastAsia" w:ascii="MS UI Gothic" w:eastAsia="MS UI Gothic"/>
          <w:w w:val="80"/>
        </w:rPr>
        <w:t xml:space="preserve">、 </w:t>
      </w:r>
      <w:r>
        <w:t>人民检察院应当运用信息化手段</w:t>
      </w:r>
      <w:r>
        <w:rPr>
          <w:rFonts w:hint="eastAsia" w:ascii="MS UI Gothic" w:eastAsia="MS UI Gothic"/>
          <w:w w:val="80"/>
        </w:rPr>
        <w:t xml:space="preserve">ꎬ </w:t>
      </w:r>
      <w:r>
        <w:t>逐步实现涉嫌安全生产犯罪案件的网上移送</w:t>
      </w:r>
      <w:r>
        <w:rPr>
          <w:rFonts w:hint="eastAsia" w:ascii="MS UI Gothic" w:eastAsia="MS UI Gothic"/>
          <w:w w:val="80"/>
        </w:rPr>
        <w:t xml:space="preserve">、 </w:t>
      </w:r>
      <w:r>
        <w:t>网上受理和网上监督</w:t>
      </w:r>
      <w:r>
        <w:rPr>
          <w:rFonts w:hint="eastAsia" w:ascii="MS UI Gothic" w:eastAsia="MS UI Gothic"/>
          <w:w w:val="80"/>
        </w:rPr>
        <w:t>ꎮ</w:t>
      </w:r>
    </w:p>
    <w:p>
      <w:pPr>
        <w:pStyle w:val="6"/>
        <w:tabs>
          <w:tab w:val="left" w:pos="2327"/>
          <w:tab w:val="left" w:pos="2956"/>
        </w:tabs>
        <w:spacing w:before="154"/>
        <w:ind w:left="1488" w:firstLine="0"/>
        <w:jc w:val="left"/>
      </w:pPr>
      <w:r>
        <w:rPr>
          <w:spacing w:val="3"/>
          <w:w w:val="105"/>
        </w:rPr>
        <w:t>第六</w:t>
      </w:r>
      <w:r>
        <w:rPr>
          <w:w w:val="105"/>
        </w:rPr>
        <w:t>章</w:t>
      </w:r>
      <w:r>
        <w:rPr>
          <w:w w:val="105"/>
        </w:rPr>
        <w:tab/>
      </w:r>
      <w:r>
        <w:rPr>
          <w:w w:val="105"/>
        </w:rPr>
        <w:t>附</w:t>
      </w:r>
      <w:r>
        <w:rPr>
          <w:w w:val="105"/>
        </w:rPr>
        <w:tab/>
      </w:r>
      <w:r>
        <w:rPr>
          <w:w w:val="105"/>
        </w:rPr>
        <w:t>则</w:t>
      </w:r>
    </w:p>
    <w:p>
      <w:pPr>
        <w:pStyle w:val="6"/>
        <w:tabs>
          <w:tab w:val="left" w:pos="2117"/>
        </w:tabs>
        <w:spacing w:before="215"/>
        <w:ind w:left="860" w:firstLine="0"/>
        <w:jc w:val="left"/>
      </w:pPr>
      <w:r>
        <w:rPr>
          <w:spacing w:val="3"/>
        </w:rPr>
        <w:t>第三十二</w:t>
      </w:r>
      <w:r>
        <w:t>条</w:t>
      </w:r>
      <w:r>
        <w:tab/>
      </w:r>
      <w:r>
        <w:rPr>
          <w:spacing w:val="3"/>
        </w:rPr>
        <w:t>各省</w:t>
      </w:r>
      <w:r>
        <w:rPr>
          <w:rFonts w:hint="eastAsia" w:ascii="MS UI Gothic" w:eastAsia="MS UI Gothic"/>
        </w:rPr>
        <w:t>、</w:t>
      </w:r>
      <w:r>
        <w:rPr>
          <w:rFonts w:hint="eastAsia" w:ascii="MS UI Gothic" w:eastAsia="MS UI Gothic"/>
          <w:spacing w:val="38"/>
        </w:rPr>
        <w:t xml:space="preserve"> </w:t>
      </w:r>
      <w:r>
        <w:rPr>
          <w:spacing w:val="3"/>
        </w:rPr>
        <w:t>自治区</w:t>
      </w:r>
      <w:r>
        <w:rPr>
          <w:rFonts w:hint="eastAsia" w:ascii="MS UI Gothic" w:eastAsia="MS UI Gothic"/>
        </w:rPr>
        <w:t>、</w:t>
      </w:r>
      <w:r>
        <w:rPr>
          <w:rFonts w:hint="eastAsia" w:ascii="MS UI Gothic" w:eastAsia="MS UI Gothic"/>
          <w:spacing w:val="39"/>
        </w:rPr>
        <w:t xml:space="preserve"> </w:t>
      </w:r>
      <w:r>
        <w:rPr>
          <w:spacing w:val="3"/>
        </w:rPr>
        <w:t>直辖</w:t>
      </w:r>
      <w:r>
        <w:rPr>
          <w:spacing w:val="-12"/>
        </w:rPr>
        <w:t>市</w:t>
      </w:r>
    </w:p>
    <w:p>
      <w:pPr>
        <w:pStyle w:val="6"/>
        <w:spacing w:before="124" w:line="295" w:lineRule="auto"/>
        <w:ind w:left="383" w:right="126" w:firstLine="0"/>
        <w:rPr>
          <w:rFonts w:hint="eastAsia" w:ascii="MS UI Gothic" w:eastAsia="MS UI Gothic"/>
        </w:rPr>
      </w:pPr>
      <w:r>
        <w:br w:type="column"/>
      </w:r>
      <w:r>
        <w:t>的应急管理部门</w:t>
      </w:r>
      <w:r>
        <w:rPr>
          <w:rFonts w:hint="eastAsia" w:ascii="MS UI Gothic" w:eastAsia="MS UI Gothic"/>
          <w:w w:val="80"/>
        </w:rPr>
        <w:t xml:space="preserve">、 </w:t>
      </w:r>
      <w:r>
        <w:t>公安机关</w:t>
      </w:r>
      <w:r>
        <w:rPr>
          <w:rFonts w:hint="eastAsia" w:ascii="MS UI Gothic" w:eastAsia="MS UI Gothic"/>
          <w:w w:val="80"/>
        </w:rPr>
        <w:t xml:space="preserve">、  </w:t>
      </w:r>
      <w:r>
        <w:t>人民检察院</w:t>
      </w:r>
      <w:r>
        <w:rPr>
          <w:rFonts w:hint="eastAsia" w:ascii="MS UI Gothic" w:eastAsia="MS UI Gothic"/>
          <w:w w:val="80"/>
        </w:rPr>
        <w:t xml:space="preserve">、 </w:t>
      </w:r>
      <w:r>
        <w:t>人民法院可以根据本地区实际情况制定实施办法</w:t>
      </w:r>
      <w:r>
        <w:rPr>
          <w:rFonts w:hint="eastAsia" w:ascii="MS UI Gothic" w:eastAsia="MS UI Gothic"/>
          <w:w w:val="80"/>
        </w:rPr>
        <w:t>ꎮ</w:t>
      </w:r>
    </w:p>
    <w:p>
      <w:pPr>
        <w:pStyle w:val="6"/>
        <w:tabs>
          <w:tab w:val="left" w:pos="2129"/>
        </w:tabs>
        <w:spacing w:line="295" w:lineRule="auto"/>
        <w:ind w:left="383" w:right="126"/>
        <w:jc w:val="left"/>
        <w:rPr>
          <w:rFonts w:hint="eastAsia" w:ascii="MS UI Gothic" w:eastAsia="MS UI Gothic"/>
        </w:rPr>
      </w:pPr>
      <w:r>
        <w:rPr>
          <w:spacing w:val="3"/>
        </w:rPr>
        <w:t>第三</w:t>
      </w:r>
      <w:r>
        <w:rPr>
          <w:spacing w:val="15"/>
        </w:rPr>
        <w:t>十</w:t>
      </w:r>
      <w:r>
        <w:rPr>
          <w:spacing w:val="19"/>
        </w:rPr>
        <w:t>三</w:t>
      </w:r>
      <w:r>
        <w:t>条</w:t>
      </w:r>
      <w:r>
        <w:tab/>
      </w:r>
      <w:r>
        <w:rPr>
          <w:spacing w:val="21"/>
        </w:rPr>
        <w:t>本办法自印发之日</w:t>
      </w:r>
      <w:r>
        <w:rPr>
          <w:spacing w:val="-14"/>
        </w:rPr>
        <w:t>起</w:t>
      </w:r>
      <w:r>
        <w:rPr>
          <w:spacing w:val="3"/>
        </w:rPr>
        <w:t>施行</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３６</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59" o:spid="_x0000_s1159" o:spt="203" style="height:2.15pt;width:398.25pt;" coordsize="7965,43">
            <o:lock v:ext="edit"/>
            <v:line id="_x0000_s1160" o:spid="_x0000_s1160" o:spt="20" style="position:absolute;left:0;top:39;height:0;width:7965;" stroked="t" coordsize="21600,21600">
              <v:path arrowok="t"/>
              <v:fill focussize="0,0"/>
              <v:stroke weight="0.388031496062992pt" color="#231F20"/>
              <v:imagedata o:title=""/>
              <o:lock v:ext="edit"/>
            </v:line>
            <v:line id="_x0000_s1161" o:spid="_x0000_s1161"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icrosoft Yi Baiti"/>
        </w:rPr>
      </w:pPr>
    </w:p>
    <w:p>
      <w:pPr>
        <w:pStyle w:val="6"/>
        <w:ind w:left="0" w:firstLine="0"/>
        <w:jc w:val="left"/>
        <w:rPr>
          <w:rFonts w:ascii="Microsoft Yi Baiti"/>
        </w:rPr>
      </w:pPr>
    </w:p>
    <w:p>
      <w:pPr>
        <w:pStyle w:val="6"/>
        <w:ind w:left="0" w:firstLine="0"/>
        <w:jc w:val="left"/>
        <w:rPr>
          <w:rFonts w:ascii="Microsoft Yi Baiti"/>
        </w:rPr>
      </w:pPr>
    </w:p>
    <w:p>
      <w:pPr>
        <w:pStyle w:val="6"/>
        <w:ind w:left="0" w:firstLine="0"/>
        <w:jc w:val="left"/>
        <w:rPr>
          <w:rFonts w:ascii="Microsoft Yi Baiti"/>
        </w:rPr>
      </w:pPr>
    </w:p>
    <w:p>
      <w:pPr>
        <w:pStyle w:val="6"/>
        <w:spacing w:before="5"/>
        <w:ind w:left="0" w:firstLine="0"/>
        <w:jc w:val="left"/>
        <w:rPr>
          <w:rFonts w:ascii="Microsoft Yi Baiti"/>
          <w:sz w:val="18"/>
        </w:rPr>
      </w:pPr>
    </w:p>
    <w:p>
      <w:pPr>
        <w:pStyle w:val="2"/>
        <w:ind w:right="630"/>
      </w:pPr>
      <w:r>
        <w:t>三</w:t>
      </w:r>
      <w:r>
        <w:rPr>
          <w:rFonts w:hint="eastAsia" w:ascii="Microsoft Yi Baiti" w:eastAsia="Microsoft Yi Baiti"/>
        </w:rPr>
        <w:t xml:space="preserve">、 </w:t>
      </w:r>
      <w:r>
        <w:t>应急管理基本法</w:t>
      </w:r>
    </w:p>
    <w:p>
      <w:pPr>
        <w:pStyle w:val="4"/>
        <w:spacing w:before="401"/>
        <w:ind w:right="630"/>
      </w:pPr>
      <w:r>
        <w:t>中华人民共和国主席令</w:t>
      </w:r>
    </w:p>
    <w:p>
      <w:pPr>
        <w:pStyle w:val="6"/>
        <w:spacing w:before="1"/>
        <w:ind w:left="0" w:firstLine="0"/>
        <w:jc w:val="left"/>
        <w:rPr>
          <w:sz w:val="27"/>
        </w:rPr>
      </w:pPr>
    </w:p>
    <w:p>
      <w:pPr>
        <w:pStyle w:val="5"/>
        <w:ind w:right="628"/>
      </w:pPr>
      <w:r>
        <w:rPr>
          <w:w w:val="105"/>
        </w:rPr>
        <w:t>第六十九号</w:t>
      </w:r>
    </w:p>
    <w:p>
      <w:pPr>
        <w:pStyle w:val="6"/>
        <w:spacing w:before="8"/>
        <w:ind w:left="0" w:firstLine="0"/>
        <w:jc w:val="left"/>
        <w:rPr>
          <w:sz w:val="27"/>
        </w:rPr>
      </w:pPr>
    </w:p>
    <w:p>
      <w:pPr>
        <w:pStyle w:val="6"/>
        <w:spacing w:line="295" w:lineRule="auto"/>
        <w:ind w:right="442"/>
        <w:rPr>
          <w:rFonts w:hint="eastAsia" w:ascii="MS UI Gothic" w:hAnsi="MS UI Gothic" w:eastAsia="MS UI Gothic"/>
        </w:rPr>
      </w:pPr>
      <w:r>
        <w:rPr>
          <w:rFonts w:hint="eastAsia" w:ascii="MS UI Gothic" w:hAnsi="MS UI Gothic" w:eastAsia="MS UI Gothic"/>
          <w:spacing w:val="8"/>
          <w:w w:val="95"/>
        </w:rPr>
        <w:t xml:space="preserve">« </w:t>
      </w:r>
      <w:r>
        <w:rPr>
          <w:spacing w:val="3"/>
          <w:w w:val="95"/>
        </w:rPr>
        <w:t>中华人民共和国突发事件应对法</w:t>
      </w:r>
      <w:r>
        <w:rPr>
          <w:rFonts w:hint="eastAsia" w:ascii="MS UI Gothic" w:hAnsi="MS UI Gothic" w:eastAsia="MS UI Gothic"/>
          <w:spacing w:val="5"/>
          <w:w w:val="95"/>
        </w:rPr>
        <w:t xml:space="preserve">»       </w:t>
      </w:r>
      <w:r>
        <w:rPr>
          <w:spacing w:val="2"/>
          <w:w w:val="95"/>
        </w:rPr>
        <w:t>已由中华人民共和国第十届全国人民代表大会</w:t>
      </w:r>
      <w:r>
        <w:rPr>
          <w:spacing w:val="-2"/>
          <w:w w:val="95"/>
        </w:rPr>
        <w:t xml:space="preserve">常务委员会第二十九次会议于 </w:t>
      </w:r>
      <w:r>
        <w:rPr>
          <w:rFonts w:hint="eastAsia" w:ascii="MS UI Gothic" w:hAnsi="MS UI Gothic" w:eastAsia="MS UI Gothic"/>
          <w:spacing w:val="-2"/>
          <w:w w:val="95"/>
        </w:rPr>
        <w:t xml:space="preserve">２００７ </w:t>
      </w:r>
      <w:r>
        <w:rPr>
          <w:spacing w:val="-26"/>
          <w:w w:val="95"/>
        </w:rPr>
        <w:t xml:space="preserve">年 </w:t>
      </w:r>
      <w:r>
        <w:rPr>
          <w:rFonts w:hint="eastAsia" w:ascii="MS UI Gothic" w:hAnsi="MS UI Gothic" w:eastAsia="MS UI Gothic"/>
          <w:spacing w:val="-4"/>
          <w:w w:val="95"/>
        </w:rPr>
        <w:t xml:space="preserve">８ </w:t>
      </w:r>
      <w:r>
        <w:rPr>
          <w:spacing w:val="-26"/>
          <w:w w:val="95"/>
        </w:rPr>
        <w:t xml:space="preserve">月 </w:t>
      </w:r>
      <w:r>
        <w:rPr>
          <w:rFonts w:hint="eastAsia" w:ascii="MS UI Gothic" w:hAnsi="MS UI Gothic" w:eastAsia="MS UI Gothic"/>
          <w:spacing w:val="-3"/>
          <w:w w:val="95"/>
        </w:rPr>
        <w:t xml:space="preserve">３０ </w:t>
      </w:r>
      <w:r>
        <w:rPr>
          <w:spacing w:val="3"/>
          <w:w w:val="95"/>
        </w:rPr>
        <w:t>日通过</w:t>
      </w:r>
      <w:r>
        <w:rPr>
          <w:rFonts w:hint="eastAsia" w:ascii="MS UI Gothic" w:hAnsi="MS UI Gothic" w:eastAsia="MS UI Gothic"/>
          <w:spacing w:val="18"/>
          <w:w w:val="90"/>
        </w:rPr>
        <w:t xml:space="preserve">ꎬ </w:t>
      </w:r>
      <w:r>
        <w:rPr>
          <w:spacing w:val="3"/>
          <w:w w:val="95"/>
        </w:rPr>
        <w:t>现予公布</w:t>
      </w:r>
      <w:r>
        <w:rPr>
          <w:rFonts w:hint="eastAsia" w:ascii="MS UI Gothic" w:hAnsi="MS UI Gothic" w:eastAsia="MS UI Gothic"/>
          <w:spacing w:val="20"/>
          <w:w w:val="90"/>
        </w:rPr>
        <w:t xml:space="preserve">ꎬ </w:t>
      </w:r>
      <w:r>
        <w:rPr>
          <w:spacing w:val="-25"/>
          <w:w w:val="95"/>
        </w:rPr>
        <w:t xml:space="preserve">自 </w:t>
      </w:r>
      <w:r>
        <w:rPr>
          <w:rFonts w:hint="eastAsia" w:ascii="MS UI Gothic" w:hAnsi="MS UI Gothic" w:eastAsia="MS UI Gothic"/>
          <w:spacing w:val="-1"/>
          <w:w w:val="95"/>
        </w:rPr>
        <w:t xml:space="preserve">２００７ </w:t>
      </w:r>
      <w:r>
        <w:rPr>
          <w:spacing w:val="-24"/>
          <w:w w:val="95"/>
        </w:rPr>
        <w:t xml:space="preserve">年 </w:t>
      </w:r>
      <w:r>
        <w:rPr>
          <w:rFonts w:hint="eastAsia" w:ascii="MS UI Gothic" w:hAnsi="MS UI Gothic" w:eastAsia="MS UI Gothic"/>
          <w:spacing w:val="-2"/>
          <w:w w:val="95"/>
        </w:rPr>
        <w:t xml:space="preserve">１１ </w:t>
      </w:r>
      <w:r>
        <w:rPr>
          <w:spacing w:val="-24"/>
          <w:w w:val="95"/>
        </w:rPr>
        <w:t xml:space="preserve">月 </w:t>
      </w:r>
      <w:r>
        <w:rPr>
          <w:rFonts w:hint="eastAsia" w:ascii="MS UI Gothic" w:hAnsi="MS UI Gothic" w:eastAsia="MS UI Gothic"/>
          <w:spacing w:val="-2"/>
          <w:w w:val="95"/>
        </w:rPr>
        <w:t xml:space="preserve">１ </w:t>
      </w:r>
      <w:r>
        <w:rPr>
          <w:w w:val="95"/>
        </w:rPr>
        <w:t>日</w:t>
      </w:r>
      <w:r>
        <w:rPr>
          <w:spacing w:val="3"/>
          <w:w w:val="95"/>
        </w:rPr>
        <w:t>起施行</w:t>
      </w:r>
      <w:r>
        <w:rPr>
          <w:rFonts w:hint="eastAsia" w:ascii="MS UI Gothic" w:hAnsi="MS UI Gothic" w:eastAsia="MS UI Gothic"/>
          <w:w w:val="90"/>
        </w:rPr>
        <w:t>ꎮ</w:t>
      </w:r>
    </w:p>
    <w:p>
      <w:pPr>
        <w:pStyle w:val="6"/>
        <w:tabs>
          <w:tab w:val="left" w:pos="628"/>
        </w:tabs>
        <w:spacing w:before="312"/>
        <w:ind w:left="0" w:right="442" w:firstLine="0"/>
        <w:jc w:val="right"/>
      </w:pPr>
      <w:r>
        <w:rPr>
          <w:spacing w:val="3"/>
          <w:w w:val="105"/>
        </w:rPr>
        <w:t>主</w:t>
      </w:r>
      <w:r>
        <w:rPr>
          <w:w w:val="105"/>
        </w:rPr>
        <w:t>席</w:t>
      </w:r>
      <w:r>
        <w:rPr>
          <w:w w:val="105"/>
        </w:rPr>
        <w:tab/>
      </w:r>
      <w:r>
        <w:rPr>
          <w:spacing w:val="3"/>
        </w:rPr>
        <w:t>胡锦</w:t>
      </w:r>
      <w:r>
        <w:t>涛</w:t>
      </w:r>
    </w:p>
    <w:p>
      <w:pPr>
        <w:pStyle w:val="6"/>
        <w:spacing w:before="58"/>
        <w:ind w:left="0" w:right="442" w:firstLine="0"/>
        <w:jc w:val="right"/>
      </w:pPr>
      <w:r>
        <w:rPr>
          <w:rFonts w:hint="eastAsia" w:ascii="MS UI Gothic" w:eastAsia="MS UI Gothic"/>
          <w:spacing w:val="-7"/>
          <w:w w:val="95"/>
        </w:rPr>
        <w:t xml:space="preserve">２００７ </w:t>
      </w:r>
      <w:r>
        <w:rPr>
          <w:spacing w:val="-36"/>
          <w:w w:val="95"/>
        </w:rPr>
        <w:t xml:space="preserve">年 </w:t>
      </w:r>
      <w:r>
        <w:rPr>
          <w:rFonts w:hint="eastAsia" w:ascii="MS UI Gothic" w:eastAsia="MS UI Gothic"/>
          <w:spacing w:val="-15"/>
          <w:w w:val="95"/>
        </w:rPr>
        <w:t xml:space="preserve">８ </w:t>
      </w:r>
      <w:r>
        <w:rPr>
          <w:spacing w:val="-36"/>
          <w:w w:val="95"/>
        </w:rPr>
        <w:t xml:space="preserve">月 </w:t>
      </w:r>
      <w:r>
        <w:rPr>
          <w:rFonts w:hint="eastAsia" w:ascii="MS UI Gothic" w:eastAsia="MS UI Gothic"/>
          <w:spacing w:val="-10"/>
          <w:w w:val="95"/>
        </w:rPr>
        <w:t xml:space="preserve">３０ </w:t>
      </w:r>
      <w:r>
        <w:rPr>
          <w:w w:val="95"/>
        </w:rPr>
        <w:t>日</w:t>
      </w:r>
    </w:p>
    <w:p>
      <w:pPr>
        <w:pStyle w:val="4"/>
        <w:ind w:right="654"/>
        <w:rPr>
          <w:rFonts w:hint="eastAsia" w:ascii="Microsoft Yi Baiti" w:eastAsia="Microsoft Yi Baiti"/>
        </w:rPr>
      </w:pPr>
      <w:r>
        <w:t xml:space="preserve">中华人民共和国突发事件应对法 </w:t>
      </w:r>
      <w:r>
        <w:rPr>
          <w:rFonts w:hint="eastAsia" w:ascii="Microsoft Yi Baiti" w:eastAsia="Microsoft Yi Baiti"/>
        </w:rPr>
        <w:t>(</w:t>
      </w:r>
      <w:r>
        <w:rPr>
          <w:rFonts w:hint="eastAsia" w:ascii="MS UI Gothic" w:eastAsia="MS UI Gothic"/>
        </w:rPr>
        <w:t xml:space="preserve">２００７ </w:t>
      </w:r>
      <w:r>
        <w:t>年公布</w:t>
      </w:r>
      <w:r>
        <w:rPr>
          <w:rFonts w:hint="eastAsia" w:ascii="Microsoft Yi Baiti" w:eastAsia="Microsoft Yi Baiti"/>
        </w:rPr>
        <w:t>)</w:t>
      </w:r>
    </w:p>
    <w:p>
      <w:pPr>
        <w:pStyle w:val="6"/>
        <w:spacing w:before="366"/>
        <w:ind w:left="310" w:right="672" w:firstLine="0"/>
        <w:jc w:val="center"/>
        <w:rPr>
          <w:rFonts w:hint="eastAsia" w:ascii="Microsoft Yi Baiti" w:eastAsia="Microsoft Yi Baiti"/>
        </w:rPr>
      </w:pPr>
      <w:r>
        <w:rPr>
          <w:rFonts w:hint="eastAsia" w:ascii="Microsoft Yi Baiti" w:eastAsia="Microsoft Yi Baiti"/>
        </w:rPr>
        <w:t>(</w:t>
      </w:r>
      <w:r>
        <w:rPr>
          <w:rFonts w:hint="eastAsia" w:ascii="MS UI Gothic" w:eastAsia="MS UI Gothic"/>
        </w:rPr>
        <w:t xml:space="preserve">２００７ </w:t>
      </w:r>
      <w:r>
        <w:t xml:space="preserve">年 </w:t>
      </w:r>
      <w:r>
        <w:rPr>
          <w:rFonts w:hint="eastAsia" w:ascii="MS UI Gothic" w:eastAsia="MS UI Gothic"/>
        </w:rPr>
        <w:t xml:space="preserve">８ </w:t>
      </w:r>
      <w:r>
        <w:t xml:space="preserve">月 </w:t>
      </w:r>
      <w:r>
        <w:rPr>
          <w:rFonts w:hint="eastAsia" w:ascii="MS UI Gothic" w:eastAsia="MS UI Gothic"/>
        </w:rPr>
        <w:t xml:space="preserve">３０ </w:t>
      </w:r>
      <w:r>
        <w:t>日第十届全国人民代表大会常务委员会第二十九次会议通过</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11"/>
        <w:ind w:left="0" w:firstLine="0"/>
        <w:jc w:val="left"/>
        <w:rPr>
          <w:sz w:val="16"/>
        </w:rPr>
      </w:pPr>
    </w:p>
    <w:p>
      <w:pPr>
        <w:pStyle w:val="6"/>
        <w:spacing w:line="295" w:lineRule="auto"/>
        <w:ind w:right="38"/>
        <w:rPr>
          <w:rFonts w:hint="eastAsia" w:ascii="MS UI Gothic" w:eastAsia="MS UI Gothic"/>
        </w:rPr>
      </w:pPr>
      <w:r>
        <w:t>第一条 为了预防和减少突发事件的发生</w:t>
      </w:r>
      <w:r>
        <w:rPr>
          <w:rFonts w:hint="eastAsia" w:ascii="MS UI Gothic" w:eastAsia="MS UI Gothic"/>
          <w:w w:val="80"/>
        </w:rPr>
        <w:t xml:space="preserve">ꎬ </w:t>
      </w:r>
      <w:r>
        <w:t>控制</w:t>
      </w:r>
      <w:r>
        <w:rPr>
          <w:rFonts w:hint="eastAsia" w:ascii="MS UI Gothic" w:eastAsia="MS UI Gothic"/>
          <w:w w:val="80"/>
        </w:rPr>
        <w:t xml:space="preserve">、 </w:t>
      </w:r>
      <w:r>
        <w:t>减轻和消除突发事件引起的严重社会危害</w:t>
      </w:r>
      <w:r>
        <w:rPr>
          <w:rFonts w:hint="eastAsia" w:ascii="MS UI Gothic" w:eastAsia="MS UI Gothic"/>
          <w:w w:val="80"/>
        </w:rPr>
        <w:t xml:space="preserve">ꎬ </w:t>
      </w:r>
      <w:r>
        <w:t>规范突发事件应对活动</w:t>
      </w:r>
      <w:r>
        <w:rPr>
          <w:rFonts w:hint="eastAsia" w:ascii="MS UI Gothic" w:eastAsia="MS UI Gothic"/>
          <w:w w:val="80"/>
        </w:rPr>
        <w:t>ꎬ</w:t>
      </w:r>
      <w:r>
        <w:t>保护人民生命财产安全</w:t>
      </w:r>
      <w:r>
        <w:rPr>
          <w:rFonts w:hint="eastAsia" w:ascii="MS UI Gothic" w:eastAsia="MS UI Gothic"/>
          <w:w w:val="80"/>
        </w:rPr>
        <w:t xml:space="preserve">ꎬ </w:t>
      </w:r>
      <w:r>
        <w:t>维护国家安全</w:t>
      </w:r>
      <w:r>
        <w:rPr>
          <w:rFonts w:hint="eastAsia" w:ascii="MS UI Gothic" w:eastAsia="MS UI Gothic"/>
          <w:w w:val="80"/>
        </w:rPr>
        <w:t>、</w:t>
      </w:r>
      <w:r>
        <w:t>公共安全</w:t>
      </w:r>
      <w:r>
        <w:rPr>
          <w:rFonts w:hint="eastAsia" w:ascii="MS UI Gothic" w:eastAsia="MS UI Gothic"/>
          <w:w w:val="80"/>
        </w:rPr>
        <w:t xml:space="preserve">、 </w:t>
      </w:r>
      <w:r>
        <w:t>环境安全和社会秩序</w:t>
      </w:r>
      <w:r>
        <w:rPr>
          <w:rFonts w:hint="eastAsia" w:ascii="MS UI Gothic" w:eastAsia="MS UI Gothic"/>
          <w:w w:val="80"/>
        </w:rPr>
        <w:t xml:space="preserve">ꎬ </w:t>
      </w:r>
      <w:r>
        <w:t>制定本法</w:t>
      </w:r>
      <w:r>
        <w:rPr>
          <w:rFonts w:hint="eastAsia" w:ascii="MS UI Gothic" w:eastAsia="MS UI Gothic"/>
          <w:w w:val="80"/>
        </w:rPr>
        <w:t>ꎮ</w:t>
      </w:r>
    </w:p>
    <w:p>
      <w:pPr>
        <w:pStyle w:val="6"/>
        <w:spacing w:line="295" w:lineRule="auto"/>
        <w:ind w:right="39"/>
        <w:rPr>
          <w:rFonts w:hint="eastAsia" w:ascii="MS UI Gothic" w:eastAsia="MS UI Gothic"/>
        </w:rPr>
      </w:pPr>
      <w:r>
        <w:t>第二条  突发事件的预防与应急准备</w:t>
      </w:r>
      <w:r>
        <w:rPr>
          <w:rFonts w:hint="eastAsia" w:ascii="MS UI Gothic" w:eastAsia="MS UI Gothic"/>
          <w:w w:val="80"/>
        </w:rPr>
        <w:t xml:space="preserve">、 </w:t>
      </w:r>
      <w:r>
        <w:t>监测与预警</w:t>
      </w:r>
      <w:r>
        <w:rPr>
          <w:rFonts w:hint="eastAsia" w:ascii="MS UI Gothic" w:eastAsia="MS UI Gothic"/>
          <w:w w:val="80"/>
        </w:rPr>
        <w:t xml:space="preserve">、 </w:t>
      </w:r>
      <w:r>
        <w:t>应急处置与救援</w:t>
      </w:r>
      <w:r>
        <w:rPr>
          <w:rFonts w:hint="eastAsia" w:ascii="MS UI Gothic" w:eastAsia="MS UI Gothic"/>
          <w:w w:val="80"/>
        </w:rPr>
        <w:t xml:space="preserve">、 </w:t>
      </w:r>
      <w:r>
        <w:t>事后恢复与重建等应对活动</w:t>
      </w:r>
      <w:r>
        <w:rPr>
          <w:rFonts w:hint="eastAsia" w:ascii="MS UI Gothic" w:eastAsia="MS UI Gothic"/>
          <w:w w:val="80"/>
        </w:rPr>
        <w:t xml:space="preserve">ꎬ </w:t>
      </w:r>
      <w:r>
        <w:t>适用本法</w:t>
      </w:r>
      <w:r>
        <w:rPr>
          <w:rFonts w:hint="eastAsia" w:ascii="MS UI Gothic" w:eastAsia="MS UI Gothic"/>
          <w:w w:val="80"/>
        </w:rPr>
        <w:t>ꎮ</w:t>
      </w:r>
    </w:p>
    <w:p>
      <w:pPr>
        <w:pStyle w:val="6"/>
        <w:spacing w:line="295" w:lineRule="auto"/>
        <w:ind w:right="39"/>
        <w:rPr>
          <w:rFonts w:hint="eastAsia" w:ascii="MS UI Gothic" w:eastAsia="MS UI Gothic"/>
        </w:rPr>
      </w:pPr>
      <w:r>
        <w:t>第三条 本法所称突发事件</w:t>
      </w:r>
      <w:r>
        <w:rPr>
          <w:rFonts w:hint="eastAsia" w:ascii="MS UI Gothic" w:eastAsia="MS UI Gothic"/>
          <w:w w:val="80"/>
        </w:rPr>
        <w:t xml:space="preserve">ꎬ </w:t>
      </w:r>
      <w:r>
        <w:t>是指突然发生</w:t>
      </w:r>
      <w:r>
        <w:rPr>
          <w:rFonts w:hint="eastAsia" w:ascii="MS UI Gothic" w:eastAsia="MS UI Gothic"/>
          <w:w w:val="80"/>
        </w:rPr>
        <w:t xml:space="preserve">ꎬ </w:t>
      </w:r>
      <w:r>
        <w:t>造成或者可能造成严重社会危害</w:t>
      </w:r>
      <w:r>
        <w:rPr>
          <w:rFonts w:hint="eastAsia" w:ascii="MS UI Gothic" w:eastAsia="MS UI Gothic"/>
          <w:w w:val="80"/>
        </w:rPr>
        <w:t xml:space="preserve">ꎬ </w:t>
      </w:r>
      <w:r>
        <w:t>需要采取应急处置措施予以应对的自然灾害</w:t>
      </w:r>
      <w:r>
        <w:rPr>
          <w:rFonts w:hint="eastAsia" w:ascii="MS UI Gothic" w:eastAsia="MS UI Gothic"/>
          <w:w w:val="80"/>
        </w:rPr>
        <w:t xml:space="preserve">、 </w:t>
      </w:r>
      <w:r>
        <w:t>事故灾难</w:t>
      </w:r>
      <w:r>
        <w:rPr>
          <w:rFonts w:hint="eastAsia" w:ascii="MS UI Gothic" w:eastAsia="MS UI Gothic"/>
          <w:w w:val="80"/>
        </w:rPr>
        <w:t xml:space="preserve">、 </w:t>
      </w:r>
      <w:r>
        <w:t>公共卫生事件和社会安全事件</w:t>
      </w:r>
      <w:r>
        <w:rPr>
          <w:rFonts w:hint="eastAsia" w:ascii="MS UI Gothic" w:eastAsia="MS UI Gothic"/>
          <w:w w:val="80"/>
        </w:rPr>
        <w:t>ꎮ</w:t>
      </w:r>
    </w:p>
    <w:p>
      <w:pPr>
        <w:pStyle w:val="6"/>
        <w:spacing w:line="252" w:lineRule="exact"/>
        <w:ind w:left="543" w:firstLine="0"/>
      </w:pPr>
      <w:r>
        <w:t>按照社会危害程度</w:t>
      </w:r>
      <w:r>
        <w:rPr>
          <w:rFonts w:hint="eastAsia" w:ascii="MS UI Gothic" w:eastAsia="MS UI Gothic"/>
        </w:rPr>
        <w:t xml:space="preserve">、 </w:t>
      </w:r>
      <w:r>
        <w:t>影响范围等因</w:t>
      </w:r>
    </w:p>
    <w:p>
      <w:pPr>
        <w:pStyle w:val="6"/>
        <w:spacing w:before="175" w:line="295" w:lineRule="auto"/>
        <w:ind w:right="440" w:firstLine="0"/>
        <w:rPr>
          <w:rFonts w:hint="eastAsia" w:ascii="MS UI Gothic" w:eastAsia="MS UI Gothic"/>
        </w:rPr>
      </w:pPr>
      <w:r>
        <w:br w:type="column"/>
      </w:r>
      <w:r>
        <w:t>素</w:t>
      </w:r>
      <w:r>
        <w:rPr>
          <w:rFonts w:hint="eastAsia" w:ascii="MS UI Gothic" w:eastAsia="MS UI Gothic"/>
          <w:w w:val="80"/>
        </w:rPr>
        <w:t xml:space="preserve">ꎬ </w:t>
      </w:r>
      <w:r>
        <w:t>自然灾害</w:t>
      </w:r>
      <w:r>
        <w:rPr>
          <w:rFonts w:hint="eastAsia" w:ascii="MS UI Gothic" w:eastAsia="MS UI Gothic"/>
        </w:rPr>
        <w:t xml:space="preserve">、 </w:t>
      </w:r>
      <w:r>
        <w:t>事故灾难</w:t>
      </w:r>
      <w:r>
        <w:rPr>
          <w:rFonts w:hint="eastAsia" w:ascii="MS UI Gothic" w:eastAsia="MS UI Gothic"/>
        </w:rPr>
        <w:t xml:space="preserve">、 </w:t>
      </w:r>
      <w:r>
        <w:t>公共卫生事件分为特别重大</w:t>
      </w:r>
      <w:r>
        <w:rPr>
          <w:rFonts w:hint="eastAsia" w:ascii="MS UI Gothic" w:eastAsia="MS UI Gothic"/>
        </w:rPr>
        <w:t xml:space="preserve">、 </w:t>
      </w:r>
      <w:r>
        <w:t>重大</w:t>
      </w:r>
      <w:r>
        <w:rPr>
          <w:rFonts w:hint="eastAsia" w:ascii="MS UI Gothic" w:eastAsia="MS UI Gothic"/>
        </w:rPr>
        <w:t xml:space="preserve">、 </w:t>
      </w:r>
      <w:r>
        <w:t>较大和一般四级</w:t>
      </w:r>
      <w:r>
        <w:rPr>
          <w:rFonts w:hint="eastAsia" w:ascii="MS UI Gothic" w:eastAsia="MS UI Gothic"/>
          <w:w w:val="80"/>
        </w:rPr>
        <w:t>ꎮ</w:t>
      </w:r>
      <w:r>
        <w:t>法律</w:t>
      </w:r>
      <w:r>
        <w:rPr>
          <w:rFonts w:hint="eastAsia" w:ascii="MS UI Gothic" w:eastAsia="MS UI Gothic"/>
        </w:rPr>
        <w:t xml:space="preserve">、 </w:t>
      </w:r>
      <w:r>
        <w:t>行政法规或者国务院另有规定的</w:t>
      </w:r>
      <w:r>
        <w:rPr>
          <w:rFonts w:hint="eastAsia" w:ascii="MS UI Gothic" w:eastAsia="MS UI Gothic"/>
          <w:w w:val="80"/>
        </w:rPr>
        <w:t>ꎬ</w:t>
      </w:r>
      <w:r>
        <w:t>从其规定</w:t>
      </w:r>
      <w:r>
        <w:rPr>
          <w:rFonts w:hint="eastAsia" w:ascii="MS UI Gothic" w:eastAsia="MS UI Gothic"/>
          <w:w w:val="80"/>
        </w:rPr>
        <w:t>ꎮ</w:t>
      </w:r>
    </w:p>
    <w:p>
      <w:pPr>
        <w:pStyle w:val="6"/>
        <w:spacing w:line="295" w:lineRule="auto"/>
        <w:ind w:right="442"/>
        <w:jc w:val="left"/>
        <w:rPr>
          <w:rFonts w:hint="eastAsia" w:ascii="MS UI Gothic" w:eastAsia="MS UI Gothic"/>
        </w:rPr>
      </w:pPr>
      <w:r>
        <w:t>突发事件的分级标准由国务院或者国</w:t>
      </w:r>
      <w:r>
        <w:rPr>
          <w:w w:val="105"/>
        </w:rPr>
        <w:t>务院确定的部门制定</w:t>
      </w:r>
      <w:r>
        <w:rPr>
          <w:rFonts w:hint="eastAsia" w:ascii="MS UI Gothic" w:eastAsia="MS UI Gothic"/>
          <w:w w:val="80"/>
        </w:rPr>
        <w:t>ꎮ</w:t>
      </w:r>
    </w:p>
    <w:p>
      <w:pPr>
        <w:pStyle w:val="6"/>
        <w:spacing w:line="295" w:lineRule="auto"/>
        <w:ind w:right="442"/>
        <w:rPr>
          <w:rFonts w:hint="eastAsia" w:ascii="MS UI Gothic" w:eastAsia="MS UI Gothic"/>
        </w:rPr>
      </w:pPr>
      <w:r>
        <w:t>第四条 国家建立统一领导</w:t>
      </w:r>
      <w:r>
        <w:rPr>
          <w:rFonts w:hint="eastAsia" w:ascii="MS UI Gothic" w:eastAsia="MS UI Gothic"/>
          <w:w w:val="80"/>
        </w:rPr>
        <w:t xml:space="preserve">、 </w:t>
      </w:r>
      <w:r>
        <w:t>综合协调</w:t>
      </w:r>
      <w:r>
        <w:rPr>
          <w:rFonts w:hint="eastAsia" w:ascii="MS UI Gothic" w:eastAsia="MS UI Gothic"/>
          <w:w w:val="80"/>
        </w:rPr>
        <w:t xml:space="preserve">、 </w:t>
      </w:r>
      <w:r>
        <w:t>分类管理</w:t>
      </w:r>
      <w:r>
        <w:rPr>
          <w:rFonts w:hint="eastAsia" w:ascii="MS UI Gothic" w:eastAsia="MS UI Gothic"/>
          <w:w w:val="80"/>
        </w:rPr>
        <w:t xml:space="preserve">、 </w:t>
      </w:r>
      <w:r>
        <w:t>分级负责</w:t>
      </w:r>
      <w:r>
        <w:rPr>
          <w:rFonts w:hint="eastAsia" w:ascii="MS UI Gothic" w:eastAsia="MS UI Gothic"/>
          <w:w w:val="80"/>
        </w:rPr>
        <w:t xml:space="preserve">、 </w:t>
      </w:r>
      <w:r>
        <w:t>属地管理为主的应急管理体制</w:t>
      </w:r>
      <w:r>
        <w:rPr>
          <w:rFonts w:hint="eastAsia" w:ascii="MS UI Gothic" w:eastAsia="MS UI Gothic"/>
          <w:w w:val="80"/>
        </w:rPr>
        <w:t>ꎮ</w:t>
      </w:r>
    </w:p>
    <w:p>
      <w:pPr>
        <w:pStyle w:val="6"/>
        <w:spacing w:line="295" w:lineRule="auto"/>
        <w:ind w:right="442"/>
        <w:rPr>
          <w:rFonts w:hint="eastAsia" w:ascii="MS UI Gothic" w:eastAsia="MS UI Gothic"/>
        </w:rPr>
      </w:pPr>
      <w:r>
        <w:t>第五条 突发事件应对工作实行预防为主</w:t>
      </w:r>
      <w:r>
        <w:rPr>
          <w:rFonts w:hint="eastAsia" w:ascii="MS UI Gothic" w:eastAsia="MS UI Gothic"/>
          <w:w w:val="80"/>
        </w:rPr>
        <w:t xml:space="preserve">、 </w:t>
      </w:r>
      <w:r>
        <w:t>预防与应急相结合的原则</w:t>
      </w:r>
      <w:r>
        <w:rPr>
          <w:rFonts w:hint="eastAsia" w:ascii="MS UI Gothic" w:eastAsia="MS UI Gothic"/>
          <w:w w:val="80"/>
        </w:rPr>
        <w:t xml:space="preserve">ꎮ </w:t>
      </w:r>
      <w:r>
        <w:t>国家建立重大突发事件风险评估体系</w:t>
      </w:r>
      <w:r>
        <w:rPr>
          <w:rFonts w:hint="eastAsia" w:ascii="MS UI Gothic" w:eastAsia="MS UI Gothic"/>
          <w:w w:val="80"/>
        </w:rPr>
        <w:t xml:space="preserve">ꎬ </w:t>
      </w:r>
      <w:r>
        <w:t>对可能发生的突发事件进行综合性评估</w:t>
      </w:r>
      <w:r>
        <w:rPr>
          <w:rFonts w:hint="eastAsia" w:ascii="MS UI Gothic" w:eastAsia="MS UI Gothic"/>
          <w:w w:val="80"/>
        </w:rPr>
        <w:t xml:space="preserve">ꎬ </w:t>
      </w:r>
      <w:r>
        <w:t>减少重大突发事件的发生</w:t>
      </w:r>
      <w:r>
        <w:rPr>
          <w:rFonts w:hint="eastAsia" w:ascii="MS UI Gothic" w:eastAsia="MS UI Gothic"/>
          <w:w w:val="80"/>
        </w:rPr>
        <w:t xml:space="preserve">ꎬ </w:t>
      </w:r>
      <w:r>
        <w:t>最大限度地减轻重大突发事件的影响</w:t>
      </w:r>
      <w:r>
        <w:rPr>
          <w:rFonts w:hint="eastAsia" w:ascii="MS UI Gothic" w:eastAsia="MS UI Gothic"/>
          <w:w w:val="80"/>
        </w:rPr>
        <w:t>ꎮ</w:t>
      </w:r>
    </w:p>
    <w:p>
      <w:pPr>
        <w:pStyle w:val="6"/>
        <w:tabs>
          <w:tab w:val="left" w:pos="1382"/>
        </w:tabs>
        <w:spacing w:line="295" w:lineRule="auto"/>
        <w:ind w:right="442"/>
        <w:jc w:val="left"/>
      </w:pPr>
      <w:r>
        <w:rPr>
          <w:spacing w:val="3"/>
          <w:w w:val="105"/>
        </w:rPr>
        <w:t>第六</w:t>
      </w:r>
      <w:r>
        <w:rPr>
          <w:w w:val="105"/>
        </w:rPr>
        <w:t>条</w:t>
      </w:r>
      <w:r>
        <w:rPr>
          <w:w w:val="105"/>
        </w:rPr>
        <w:tab/>
      </w:r>
      <w:r>
        <w:rPr>
          <w:spacing w:val="3"/>
        </w:rPr>
        <w:t>国家建立有效的社会动员</w:t>
      </w:r>
      <w:r>
        <w:t>机</w:t>
      </w:r>
      <w:r>
        <w:rPr>
          <w:spacing w:val="3"/>
        </w:rPr>
        <w:t>制</w:t>
      </w:r>
      <w:r>
        <w:rPr>
          <w:rFonts w:hint="eastAsia" w:ascii="MS UI Gothic" w:eastAsia="MS UI Gothic"/>
          <w:w w:val="80"/>
        </w:rPr>
        <w:t>ꎬ</w:t>
      </w:r>
      <w:r>
        <w:rPr>
          <w:rFonts w:hint="eastAsia" w:ascii="MS UI Gothic" w:eastAsia="MS UI Gothic"/>
          <w:spacing w:val="40"/>
          <w:w w:val="80"/>
        </w:rPr>
        <w:t xml:space="preserve"> </w:t>
      </w:r>
      <w:r>
        <w:rPr>
          <w:spacing w:val="3"/>
        </w:rPr>
        <w:t>增强全民的公共安全和防范风险的</w:t>
      </w:r>
      <w:r>
        <w:t>意</w:t>
      </w:r>
    </w:p>
    <w:p>
      <w:pPr>
        <w:spacing w:after="0" w:line="295" w:lineRule="auto"/>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三</w:t>
      </w:r>
      <w:r>
        <w:rPr>
          <w:rFonts w:hint="eastAsia" w:ascii="Microsoft Yi Baiti" w:eastAsia="Microsoft Yi Baiti"/>
          <w:sz w:val="17"/>
        </w:rPr>
        <w:t xml:space="preserve">、 </w:t>
      </w:r>
      <w:r>
        <w:rPr>
          <w:sz w:val="17"/>
        </w:rPr>
        <w:t>应急管理基本法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３７</w:t>
      </w:r>
    </w:p>
    <w:p>
      <w:pPr>
        <w:spacing w:after="0"/>
        <w:jc w:val="right"/>
        <w:rPr>
          <w:rFonts w:hint="eastAsia" w:ascii="MS UI Gothic" w:eastAsia="MS UI Gothic"/>
        </w:rPr>
        <w:sectPr>
          <w:pgSz w:w="10500" w:h="14750"/>
          <w:pgMar w:top="960" w:right="980" w:bottom="280" w:left="980" w:header="720" w:footer="720" w:gutter="0"/>
          <w:cols w:equalWidth="0" w:num="2">
            <w:col w:w="5231" w:space="40"/>
            <w:col w:w="326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62" o:spid="_x0000_s1162" o:spt="203" style="height:2.15pt;width:398.25pt;" coordsize="7965,43">
            <o:lock v:ext="edit"/>
            <v:line id="_x0000_s1163" o:spid="_x0000_s1163" o:spt="20" style="position:absolute;left:0;top:39;height:0;width:7965;" stroked="t" coordsize="21600,21600">
              <v:path arrowok="t"/>
              <v:fill focussize="0,0"/>
              <v:stroke weight="0.388031496062992pt" color="#231F20"/>
              <v:imagedata o:title=""/>
              <o:lock v:ext="edit"/>
            </v:line>
            <v:line id="_x0000_s1164" o:spid="_x0000_s116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rPr>
          <w:rFonts w:hint="eastAsia" w:ascii="MS UI Gothic" w:eastAsia="MS UI Gothic"/>
        </w:rPr>
      </w:pPr>
      <w:r>
        <w:t>识</w:t>
      </w:r>
      <w:r>
        <w:rPr>
          <w:rFonts w:hint="eastAsia" w:ascii="MS UI Gothic" w:eastAsia="MS UI Gothic"/>
          <w:w w:val="80"/>
        </w:rPr>
        <w:t xml:space="preserve">ꎬ </w:t>
      </w:r>
      <w:r>
        <w:t>提高全社会的避险救助能力</w:t>
      </w:r>
      <w:r>
        <w:rPr>
          <w:rFonts w:hint="eastAsia" w:ascii="MS UI Gothic" w:eastAsia="MS UI Gothic"/>
          <w:w w:val="80"/>
        </w:rPr>
        <w:t>ꎮ</w:t>
      </w:r>
    </w:p>
    <w:p>
      <w:pPr>
        <w:pStyle w:val="6"/>
        <w:spacing w:before="58" w:line="295" w:lineRule="auto"/>
        <w:ind w:left="440" w:right="1"/>
        <w:rPr>
          <w:rFonts w:hint="eastAsia" w:ascii="MS UI Gothic" w:eastAsia="MS UI Gothic"/>
        </w:rPr>
      </w:pPr>
      <w:r>
        <w:rPr>
          <w:w w:val="105"/>
        </w:rPr>
        <w:t>第七条 县级人民政府对本行政区域</w:t>
      </w:r>
      <w:r>
        <w:t>内突发事件的应对工作负责</w:t>
      </w:r>
      <w:r>
        <w:rPr>
          <w:rFonts w:hint="eastAsia" w:ascii="MS UI Gothic" w:eastAsia="MS UI Gothic"/>
          <w:w w:val="80"/>
        </w:rPr>
        <w:t xml:space="preserve">ꎻ </w:t>
      </w:r>
      <w:r>
        <w:t>涉及两个以上行政区域的</w:t>
      </w:r>
      <w:r>
        <w:rPr>
          <w:rFonts w:hint="eastAsia" w:ascii="MS UI Gothic" w:eastAsia="MS UI Gothic"/>
          <w:w w:val="80"/>
        </w:rPr>
        <w:t xml:space="preserve">ꎬ </w:t>
      </w:r>
      <w:r>
        <w:t>由有关行政区域共同的上一级人民政府负责</w:t>
      </w:r>
      <w:r>
        <w:rPr>
          <w:rFonts w:hint="eastAsia" w:ascii="MS UI Gothic" w:eastAsia="MS UI Gothic"/>
          <w:w w:val="80"/>
        </w:rPr>
        <w:t xml:space="preserve">ꎬ </w:t>
      </w:r>
      <w:r>
        <w:t>或者由各有关行政区</w:t>
      </w:r>
      <w:r>
        <w:rPr>
          <w:w w:val="105"/>
        </w:rPr>
        <w:t>域的上一级人民政府共同负责</w:t>
      </w:r>
      <w:r>
        <w:rPr>
          <w:rFonts w:hint="eastAsia" w:ascii="MS UI Gothic" w:eastAsia="MS UI Gothic"/>
          <w:w w:val="80"/>
        </w:rPr>
        <w:t>ꎮ</w:t>
      </w:r>
    </w:p>
    <w:p>
      <w:pPr>
        <w:pStyle w:val="6"/>
        <w:spacing w:line="295" w:lineRule="auto"/>
        <w:ind w:left="440" w:right="1"/>
        <w:rPr>
          <w:rFonts w:hint="eastAsia" w:ascii="MS UI Gothic" w:eastAsia="MS UI Gothic"/>
        </w:rPr>
      </w:pPr>
      <w:r>
        <w:t>突发事件发生后</w:t>
      </w:r>
      <w:r>
        <w:rPr>
          <w:rFonts w:hint="eastAsia" w:ascii="MS UI Gothic" w:eastAsia="MS UI Gothic"/>
          <w:w w:val="80"/>
        </w:rPr>
        <w:t xml:space="preserve">ꎬ </w:t>
      </w:r>
      <w:r>
        <w:t>发生地县级人民政府应当立即采取措施控制事态发展</w:t>
      </w:r>
      <w:r>
        <w:rPr>
          <w:rFonts w:hint="eastAsia" w:ascii="MS UI Gothic" w:eastAsia="MS UI Gothic"/>
          <w:w w:val="80"/>
        </w:rPr>
        <w:t xml:space="preserve">ꎬ </w:t>
      </w:r>
      <w:r>
        <w:t>组织开展应急救援和处置工作</w:t>
      </w:r>
      <w:r>
        <w:rPr>
          <w:rFonts w:hint="eastAsia" w:ascii="MS UI Gothic" w:eastAsia="MS UI Gothic"/>
          <w:w w:val="80"/>
        </w:rPr>
        <w:t xml:space="preserve">ꎬ </w:t>
      </w:r>
      <w:r>
        <w:t>并立即向上一级人民政府报告</w:t>
      </w:r>
      <w:r>
        <w:rPr>
          <w:rFonts w:hint="eastAsia" w:ascii="MS UI Gothic" w:eastAsia="MS UI Gothic"/>
          <w:w w:val="80"/>
        </w:rPr>
        <w:t xml:space="preserve">ꎬ </w:t>
      </w:r>
      <w:r>
        <w:t>必要时可以越级上报</w:t>
      </w:r>
      <w:r>
        <w:rPr>
          <w:rFonts w:hint="eastAsia" w:ascii="MS UI Gothic" w:eastAsia="MS UI Gothic"/>
          <w:w w:val="80"/>
        </w:rPr>
        <w:t>ꎮ</w:t>
      </w:r>
    </w:p>
    <w:p>
      <w:pPr>
        <w:pStyle w:val="6"/>
        <w:spacing w:line="295" w:lineRule="auto"/>
        <w:ind w:left="440" w:right="1"/>
        <w:rPr>
          <w:rFonts w:hint="eastAsia" w:ascii="MS UI Gothic" w:eastAsia="MS UI Gothic"/>
        </w:rPr>
      </w:pPr>
      <w:r>
        <w:t>突发事件发生地县级人民政府不能消除或者不能有效控制突发事件引起的严重社会危害的</w:t>
      </w:r>
      <w:r>
        <w:rPr>
          <w:rFonts w:hint="eastAsia" w:ascii="MS UI Gothic" w:eastAsia="MS UI Gothic"/>
          <w:w w:val="80"/>
        </w:rPr>
        <w:t xml:space="preserve">ꎬ </w:t>
      </w:r>
      <w:r>
        <w:t>应当及时向上级人民政府报告</w:t>
      </w:r>
      <w:r>
        <w:rPr>
          <w:rFonts w:hint="eastAsia" w:ascii="MS UI Gothic" w:eastAsia="MS UI Gothic"/>
          <w:w w:val="80"/>
        </w:rPr>
        <w:t xml:space="preserve">ꎮ </w:t>
      </w:r>
      <w:r>
        <w:t>上级人民政府应当及时采取措施</w:t>
      </w:r>
      <w:r>
        <w:rPr>
          <w:rFonts w:hint="eastAsia" w:ascii="MS UI Gothic" w:eastAsia="MS UI Gothic"/>
          <w:w w:val="80"/>
        </w:rPr>
        <w:t xml:space="preserve">ꎬ </w:t>
      </w:r>
      <w:r>
        <w:t>统</w:t>
      </w:r>
      <w:r>
        <w:rPr>
          <w:w w:val="105"/>
        </w:rPr>
        <w:t>一领导应急处置工作</w:t>
      </w:r>
      <w:r>
        <w:rPr>
          <w:rFonts w:hint="eastAsia" w:ascii="MS UI Gothic" w:eastAsia="MS UI Gothic"/>
          <w:w w:val="80"/>
        </w:rPr>
        <w:t>ꎮ</w:t>
      </w:r>
    </w:p>
    <w:p>
      <w:pPr>
        <w:pStyle w:val="6"/>
        <w:spacing w:line="295" w:lineRule="auto"/>
        <w:ind w:left="440" w:right="1"/>
        <w:rPr>
          <w:rFonts w:hint="eastAsia" w:ascii="MS UI Gothic" w:eastAsia="MS UI Gothic"/>
        </w:rPr>
      </w:pPr>
      <w:r>
        <w:t>法律</w:t>
      </w:r>
      <w:r>
        <w:rPr>
          <w:rFonts w:hint="eastAsia" w:ascii="MS UI Gothic" w:eastAsia="MS UI Gothic"/>
          <w:w w:val="80"/>
        </w:rPr>
        <w:t xml:space="preserve">、 </w:t>
      </w:r>
      <w:r>
        <w:t>行政法规规定由国务院有关部门对突发事件的应对工作负责的</w:t>
      </w:r>
      <w:r>
        <w:rPr>
          <w:rFonts w:hint="eastAsia" w:ascii="MS UI Gothic" w:eastAsia="MS UI Gothic"/>
          <w:w w:val="80"/>
        </w:rPr>
        <w:t xml:space="preserve">ꎬ </w:t>
      </w:r>
      <w:r>
        <w:t>从其规定</w:t>
      </w:r>
      <w:r>
        <w:rPr>
          <w:rFonts w:hint="eastAsia" w:ascii="MS UI Gothic" w:eastAsia="MS UI Gothic"/>
          <w:w w:val="80"/>
        </w:rPr>
        <w:t xml:space="preserve">ꎻ </w:t>
      </w:r>
      <w:r>
        <w:t>地方人民政府应当积极配合并提供必要的支持</w:t>
      </w:r>
      <w:r>
        <w:rPr>
          <w:rFonts w:hint="eastAsia" w:ascii="MS UI Gothic" w:eastAsia="MS UI Gothic"/>
          <w:w w:val="80"/>
        </w:rPr>
        <w:t>ꎮ</w:t>
      </w:r>
    </w:p>
    <w:p>
      <w:pPr>
        <w:pStyle w:val="6"/>
        <w:spacing w:line="295" w:lineRule="auto"/>
        <w:ind w:left="440"/>
        <w:rPr>
          <w:rFonts w:hint="eastAsia" w:ascii="MS UI Gothic" w:eastAsia="MS UI Gothic"/>
        </w:rPr>
      </w:pPr>
      <w:r>
        <w:t>第八条 国务院在总理领导下研究</w:t>
      </w:r>
      <w:r>
        <w:rPr>
          <w:rFonts w:hint="eastAsia" w:ascii="MS UI Gothic" w:eastAsia="MS UI Gothic"/>
          <w:w w:val="80"/>
        </w:rPr>
        <w:t>、</w:t>
      </w:r>
      <w:r>
        <w:t>决定和部署特别重大突发事件的应对工作</w:t>
      </w:r>
      <w:r>
        <w:rPr>
          <w:rFonts w:hint="eastAsia" w:ascii="MS UI Gothic" w:eastAsia="MS UI Gothic"/>
          <w:w w:val="80"/>
        </w:rPr>
        <w:t xml:space="preserve">ꎻ </w:t>
      </w:r>
      <w:r>
        <w:t>根据实际需要</w:t>
      </w:r>
      <w:r>
        <w:rPr>
          <w:rFonts w:hint="eastAsia" w:ascii="MS UI Gothic" w:eastAsia="MS UI Gothic"/>
          <w:w w:val="80"/>
        </w:rPr>
        <w:t xml:space="preserve">ꎬ </w:t>
      </w:r>
      <w:r>
        <w:t>设立国家突发事件应急指挥机构</w:t>
      </w:r>
      <w:r>
        <w:rPr>
          <w:rFonts w:hint="eastAsia" w:ascii="MS UI Gothic" w:eastAsia="MS UI Gothic"/>
          <w:w w:val="80"/>
        </w:rPr>
        <w:t xml:space="preserve">ꎬ </w:t>
      </w:r>
      <w:r>
        <w:t>负责突发事件应对工作</w:t>
      </w:r>
      <w:r>
        <w:rPr>
          <w:rFonts w:hint="eastAsia" w:ascii="MS UI Gothic" w:eastAsia="MS UI Gothic"/>
          <w:w w:val="80"/>
        </w:rPr>
        <w:t xml:space="preserve">ꎻ </w:t>
      </w:r>
      <w:r>
        <w:t>必要时</w:t>
      </w:r>
      <w:r>
        <w:rPr>
          <w:rFonts w:hint="eastAsia" w:ascii="MS UI Gothic" w:eastAsia="MS UI Gothic"/>
          <w:w w:val="80"/>
        </w:rPr>
        <w:t xml:space="preserve">ꎬ </w:t>
      </w:r>
      <w:r>
        <w:t>国务院可以派出工作组指导有关工作</w:t>
      </w:r>
      <w:r>
        <w:rPr>
          <w:rFonts w:hint="eastAsia" w:ascii="MS UI Gothic" w:eastAsia="MS UI Gothic"/>
          <w:w w:val="80"/>
        </w:rPr>
        <w:t>ꎮ</w:t>
      </w:r>
    </w:p>
    <w:p>
      <w:pPr>
        <w:pStyle w:val="6"/>
        <w:spacing w:line="295" w:lineRule="auto"/>
        <w:ind w:left="440"/>
        <w:rPr>
          <w:rFonts w:hint="eastAsia" w:ascii="MS UI Gothic" w:eastAsia="MS UI Gothic"/>
        </w:rPr>
      </w:pPr>
      <w:r>
        <w:t>县级以上地方各级人民政府设立由本</w:t>
      </w:r>
      <w:r>
        <w:rPr>
          <w:w w:val="105"/>
        </w:rPr>
        <w:t>级人民政府主要负责人</w:t>
      </w:r>
      <w:r>
        <w:rPr>
          <w:rFonts w:hint="eastAsia" w:ascii="MS UI Gothic" w:eastAsia="MS UI Gothic"/>
          <w:w w:val="80"/>
        </w:rPr>
        <w:t xml:space="preserve">、 </w:t>
      </w:r>
      <w:r>
        <w:rPr>
          <w:w w:val="105"/>
        </w:rPr>
        <w:t>相关部门负责人</w:t>
      </w:r>
      <w:r>
        <w:rPr>
          <w:rFonts w:hint="eastAsia" w:ascii="MS UI Gothic" w:eastAsia="MS UI Gothic"/>
          <w:w w:val="80"/>
        </w:rPr>
        <w:t xml:space="preserve">、 </w:t>
      </w:r>
      <w:r>
        <w:rPr>
          <w:w w:val="105"/>
        </w:rPr>
        <w:t>驻当地中国人民解放军和中国人民武</w:t>
      </w:r>
      <w:r>
        <w:t>装警察部队有关负责人组成的突发事件应</w:t>
      </w:r>
      <w:r>
        <w:rPr>
          <w:w w:val="105"/>
        </w:rPr>
        <w:t>急指挥机构</w:t>
      </w:r>
      <w:r>
        <w:rPr>
          <w:rFonts w:hint="eastAsia" w:ascii="MS UI Gothic" w:eastAsia="MS UI Gothic"/>
          <w:w w:val="80"/>
        </w:rPr>
        <w:t xml:space="preserve">ꎬ </w:t>
      </w:r>
      <w:r>
        <w:rPr>
          <w:w w:val="105"/>
        </w:rPr>
        <w:t>统一领导</w:t>
      </w:r>
      <w:r>
        <w:rPr>
          <w:rFonts w:hint="eastAsia" w:ascii="MS UI Gothic" w:eastAsia="MS UI Gothic"/>
          <w:w w:val="80"/>
        </w:rPr>
        <w:t xml:space="preserve">、 </w:t>
      </w:r>
      <w:r>
        <w:rPr>
          <w:w w:val="105"/>
        </w:rPr>
        <w:t>协调本级人民政</w:t>
      </w:r>
      <w:r>
        <w:t>府各有关部门和下级人民政府开展突发事件应对工作</w:t>
      </w:r>
      <w:r>
        <w:rPr>
          <w:rFonts w:hint="eastAsia" w:ascii="MS UI Gothic" w:eastAsia="MS UI Gothic"/>
          <w:w w:val="80"/>
        </w:rPr>
        <w:t xml:space="preserve">ꎻ </w:t>
      </w:r>
      <w:r>
        <w:t>根据实际需要</w:t>
      </w:r>
      <w:r>
        <w:rPr>
          <w:rFonts w:hint="eastAsia" w:ascii="MS UI Gothic" w:eastAsia="MS UI Gothic"/>
          <w:w w:val="80"/>
        </w:rPr>
        <w:t xml:space="preserve">ꎬ </w:t>
      </w:r>
      <w:r>
        <w:t>设立相关类</w:t>
      </w:r>
      <w:r>
        <w:rPr>
          <w:w w:val="105"/>
        </w:rPr>
        <w:t>别突发事件应急指挥机构</w:t>
      </w:r>
      <w:r>
        <w:rPr>
          <w:rFonts w:hint="eastAsia" w:ascii="MS UI Gothic" w:eastAsia="MS UI Gothic"/>
          <w:w w:val="80"/>
        </w:rPr>
        <w:t xml:space="preserve">ꎬ </w:t>
      </w:r>
      <w:r>
        <w:rPr>
          <w:w w:val="105"/>
        </w:rPr>
        <w:t>组织</w:t>
      </w:r>
      <w:r>
        <w:rPr>
          <w:rFonts w:hint="eastAsia" w:ascii="MS UI Gothic" w:eastAsia="MS UI Gothic"/>
          <w:w w:val="80"/>
        </w:rPr>
        <w:t xml:space="preserve">、 </w:t>
      </w:r>
      <w:r>
        <w:rPr>
          <w:w w:val="105"/>
        </w:rPr>
        <w:t>协调</w:t>
      </w:r>
      <w:r>
        <w:rPr>
          <w:rFonts w:hint="eastAsia" w:ascii="MS UI Gothic" w:eastAsia="MS UI Gothic"/>
          <w:w w:val="80"/>
        </w:rPr>
        <w:t>、</w:t>
      </w:r>
      <w:r>
        <w:rPr>
          <w:w w:val="105"/>
        </w:rPr>
        <w:t>指挥突发事件应对工作</w:t>
      </w:r>
      <w:r>
        <w:rPr>
          <w:rFonts w:hint="eastAsia" w:ascii="MS UI Gothic" w:eastAsia="MS UI Gothic"/>
          <w:w w:val="80"/>
        </w:rPr>
        <w:t>ꎮ</w:t>
      </w:r>
    </w:p>
    <w:p>
      <w:pPr>
        <w:pStyle w:val="6"/>
        <w:spacing w:line="295" w:lineRule="auto"/>
        <w:ind w:left="440" w:right="1"/>
        <w:rPr>
          <w:rFonts w:hint="eastAsia" w:ascii="MS UI Gothic" w:eastAsia="MS UI Gothic"/>
        </w:rPr>
      </w:pPr>
      <w:r>
        <w:t>上级人民政府主管部门应当在各自职</w:t>
      </w:r>
      <w:r>
        <w:rPr>
          <w:w w:val="105"/>
        </w:rPr>
        <w:t>责范围内</w:t>
      </w:r>
      <w:r>
        <w:rPr>
          <w:rFonts w:hint="eastAsia" w:ascii="MS UI Gothic" w:eastAsia="MS UI Gothic"/>
          <w:w w:val="80"/>
        </w:rPr>
        <w:t xml:space="preserve">ꎬ </w:t>
      </w:r>
      <w:r>
        <w:rPr>
          <w:w w:val="105"/>
        </w:rPr>
        <w:t>指导</w:t>
      </w:r>
      <w:r>
        <w:rPr>
          <w:rFonts w:hint="eastAsia" w:ascii="MS UI Gothic" w:eastAsia="MS UI Gothic"/>
          <w:w w:val="80"/>
        </w:rPr>
        <w:t xml:space="preserve">、 </w:t>
      </w:r>
      <w:r>
        <w:rPr>
          <w:w w:val="105"/>
        </w:rPr>
        <w:t>协助下级人民政府及其</w:t>
      </w:r>
      <w:r>
        <w:t>相应部门做好有关突发事件的应对工作</w:t>
      </w:r>
      <w:r>
        <w:rPr>
          <w:rFonts w:hint="eastAsia" w:ascii="MS UI Gothic" w:eastAsia="MS UI Gothic"/>
          <w:w w:val="80"/>
        </w:rPr>
        <w:t>ꎮ</w:t>
      </w:r>
    </w:p>
    <w:p>
      <w:pPr>
        <w:pStyle w:val="6"/>
        <w:spacing w:line="295" w:lineRule="auto"/>
        <w:ind w:left="440" w:right="1"/>
      </w:pPr>
      <w:r>
        <w:rPr>
          <w:w w:val="105"/>
        </w:rPr>
        <w:t>第九条 国务院和县级以上地方各级</w:t>
      </w:r>
      <w:r>
        <w:t>人民政府是突发事件应对工作的行政领导</w:t>
      </w:r>
    </w:p>
    <w:p>
      <w:pPr>
        <w:pStyle w:val="6"/>
        <w:spacing w:before="124" w:line="295" w:lineRule="auto"/>
        <w:ind w:left="381" w:right="126" w:firstLine="0"/>
        <w:jc w:val="left"/>
        <w:rPr>
          <w:rFonts w:hint="eastAsia" w:ascii="MS UI Gothic" w:eastAsia="MS UI Gothic"/>
        </w:rPr>
      </w:pPr>
      <w:r>
        <w:br w:type="column"/>
      </w:r>
      <w:r>
        <w:rPr>
          <w:spacing w:val="3"/>
        </w:rPr>
        <w:t>机关</w:t>
      </w:r>
      <w:r>
        <w:rPr>
          <w:rFonts w:hint="eastAsia" w:ascii="MS UI Gothic" w:eastAsia="MS UI Gothic"/>
          <w:spacing w:val="19"/>
          <w:w w:val="80"/>
        </w:rPr>
        <w:t xml:space="preserve">ꎬ </w:t>
      </w:r>
      <w:r>
        <w:rPr>
          <w:spacing w:val="17"/>
        </w:rPr>
        <w:t>其办事机构及具体职责由国务院</w:t>
      </w:r>
      <w:r>
        <w:rPr>
          <w:spacing w:val="3"/>
        </w:rPr>
        <w:t>规定</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第十条 有关人民政府及其部门作出</w:t>
      </w:r>
      <w:r>
        <w:rPr>
          <w:spacing w:val="3"/>
        </w:rPr>
        <w:t>的应对突发事件的决定</w:t>
      </w:r>
      <w:r>
        <w:rPr>
          <w:rFonts w:hint="eastAsia" w:ascii="MS UI Gothic" w:eastAsia="MS UI Gothic"/>
          <w:spacing w:val="11"/>
          <w:w w:val="80"/>
        </w:rPr>
        <w:t xml:space="preserve">、 </w:t>
      </w:r>
      <w:r>
        <w:rPr>
          <w:spacing w:val="3"/>
        </w:rPr>
        <w:t>命令</w:t>
      </w:r>
      <w:r>
        <w:rPr>
          <w:rFonts w:hint="eastAsia" w:ascii="MS UI Gothic" w:eastAsia="MS UI Gothic"/>
          <w:spacing w:val="11"/>
          <w:w w:val="80"/>
        </w:rPr>
        <w:t xml:space="preserve">ꎬ </w:t>
      </w:r>
      <w:r>
        <w:rPr>
          <w:spacing w:val="2"/>
        </w:rPr>
        <w:t>应当及时</w:t>
      </w:r>
      <w:r>
        <w:rPr>
          <w:spacing w:val="3"/>
        </w:rPr>
        <w:t>公布</w:t>
      </w:r>
      <w:r>
        <w:rPr>
          <w:rFonts w:hint="eastAsia" w:ascii="MS UI Gothic" w:eastAsia="MS UI Gothic"/>
          <w:w w:val="80"/>
        </w:rPr>
        <w:t>ꎮ</w:t>
      </w:r>
    </w:p>
    <w:p>
      <w:pPr>
        <w:pStyle w:val="6"/>
        <w:spacing w:line="295" w:lineRule="auto"/>
        <w:ind w:left="381" w:right="126"/>
        <w:rPr>
          <w:rFonts w:hint="eastAsia" w:ascii="MS UI Gothic" w:eastAsia="MS UI Gothic"/>
        </w:rPr>
      </w:pPr>
      <w:r>
        <w:t>第十一条 有关人民政府及其部门采取的应对突发事件的措施</w:t>
      </w:r>
      <w:r>
        <w:rPr>
          <w:rFonts w:hint="eastAsia" w:ascii="MS UI Gothic" w:eastAsia="MS UI Gothic"/>
          <w:w w:val="80"/>
        </w:rPr>
        <w:t xml:space="preserve">ꎬ </w:t>
      </w:r>
      <w:r>
        <w:t>应当与突发事件可能造成的社会危害的性质</w:t>
      </w:r>
      <w:r>
        <w:rPr>
          <w:rFonts w:hint="eastAsia" w:ascii="MS UI Gothic" w:eastAsia="MS UI Gothic"/>
          <w:w w:val="80"/>
        </w:rPr>
        <w:t xml:space="preserve">、 </w:t>
      </w:r>
      <w:r>
        <w:t>程度和范围相适应</w:t>
      </w:r>
      <w:r>
        <w:rPr>
          <w:rFonts w:hint="eastAsia" w:ascii="MS UI Gothic" w:eastAsia="MS UI Gothic"/>
          <w:w w:val="80"/>
        </w:rPr>
        <w:t xml:space="preserve">ꎻ </w:t>
      </w:r>
      <w:r>
        <w:t>有多种措施可供选择的</w:t>
      </w:r>
      <w:r>
        <w:rPr>
          <w:rFonts w:hint="eastAsia" w:ascii="MS UI Gothic" w:eastAsia="MS UI Gothic"/>
          <w:w w:val="80"/>
        </w:rPr>
        <w:t xml:space="preserve">ꎬ </w:t>
      </w:r>
      <w:r>
        <w:t>应当选择有利于最大程度地保护公民</w:t>
      </w:r>
      <w:r>
        <w:rPr>
          <w:rFonts w:hint="eastAsia" w:ascii="MS UI Gothic" w:eastAsia="MS UI Gothic"/>
          <w:w w:val="80"/>
        </w:rPr>
        <w:t xml:space="preserve">、 </w:t>
      </w:r>
      <w:r>
        <w:t>法人和其他组织权益的措施</w:t>
      </w:r>
      <w:r>
        <w:rPr>
          <w:rFonts w:hint="eastAsia" w:ascii="MS UI Gothic" w:eastAsia="MS UI Gothic"/>
          <w:w w:val="80"/>
        </w:rPr>
        <w:t>ꎮ</w:t>
      </w:r>
    </w:p>
    <w:p>
      <w:pPr>
        <w:pStyle w:val="6"/>
        <w:spacing w:line="295" w:lineRule="auto"/>
        <w:ind w:left="381" w:right="126"/>
        <w:rPr>
          <w:rFonts w:hint="eastAsia" w:ascii="MS UI Gothic" w:eastAsia="MS UI Gothic"/>
        </w:rPr>
      </w:pPr>
      <w:r>
        <w:t>公民</w:t>
      </w:r>
      <w:r>
        <w:rPr>
          <w:rFonts w:hint="eastAsia" w:ascii="MS UI Gothic" w:eastAsia="MS UI Gothic"/>
          <w:w w:val="80"/>
        </w:rPr>
        <w:t xml:space="preserve">、 </w:t>
      </w:r>
      <w:r>
        <w:t>法人和其他组织有义务参与突发事件应对工作</w:t>
      </w:r>
      <w:r>
        <w:rPr>
          <w:rFonts w:hint="eastAsia" w:ascii="MS UI Gothic" w:eastAsia="MS UI Gothic"/>
          <w:w w:val="80"/>
        </w:rPr>
        <w:t>ꎮ</w:t>
      </w:r>
    </w:p>
    <w:p>
      <w:pPr>
        <w:pStyle w:val="6"/>
        <w:spacing w:line="295" w:lineRule="auto"/>
        <w:ind w:left="381" w:right="124"/>
        <w:rPr>
          <w:rFonts w:hint="eastAsia" w:ascii="MS UI Gothic" w:eastAsia="MS UI Gothic"/>
        </w:rPr>
      </w:pPr>
      <w:r>
        <w:t>第十二条 有关人民政府及其部门为应对突发事件</w:t>
      </w:r>
      <w:r>
        <w:rPr>
          <w:rFonts w:hint="eastAsia" w:ascii="MS UI Gothic" w:eastAsia="MS UI Gothic"/>
          <w:w w:val="80"/>
        </w:rPr>
        <w:t xml:space="preserve">ꎬ </w:t>
      </w:r>
      <w:r>
        <w:t>可以征用单位和个人的财产</w:t>
      </w:r>
      <w:r>
        <w:rPr>
          <w:rFonts w:hint="eastAsia" w:ascii="MS UI Gothic" w:eastAsia="MS UI Gothic"/>
          <w:w w:val="80"/>
        </w:rPr>
        <w:t xml:space="preserve">ꎮ </w:t>
      </w:r>
      <w:r>
        <w:t>被征用的财产在使用完毕或者突发事件应急处置工作结束后</w:t>
      </w:r>
      <w:r>
        <w:rPr>
          <w:rFonts w:hint="eastAsia" w:ascii="MS UI Gothic" w:eastAsia="MS UI Gothic"/>
          <w:w w:val="80"/>
        </w:rPr>
        <w:t xml:space="preserve">ꎬ </w:t>
      </w:r>
      <w:r>
        <w:t>应当及时返还</w:t>
      </w:r>
      <w:r>
        <w:rPr>
          <w:rFonts w:hint="eastAsia" w:ascii="MS UI Gothic" w:eastAsia="MS UI Gothic"/>
          <w:w w:val="80"/>
        </w:rPr>
        <w:t>ꎮ</w:t>
      </w:r>
      <w:r>
        <w:t>财产被征用或者征用后毁损</w:t>
      </w:r>
      <w:r>
        <w:rPr>
          <w:rFonts w:hint="eastAsia" w:ascii="MS UI Gothic" w:eastAsia="MS UI Gothic"/>
          <w:w w:val="80"/>
        </w:rPr>
        <w:t xml:space="preserve">、 </w:t>
      </w:r>
      <w:r>
        <w:t>灭失的</w:t>
      </w:r>
      <w:r>
        <w:rPr>
          <w:rFonts w:hint="eastAsia" w:ascii="MS UI Gothic" w:eastAsia="MS UI Gothic"/>
          <w:w w:val="80"/>
        </w:rPr>
        <w:t xml:space="preserve">ꎬ </w:t>
      </w:r>
      <w:r>
        <w:t>应当给予补偿</w:t>
      </w:r>
      <w:r>
        <w:rPr>
          <w:rFonts w:hint="eastAsia" w:ascii="MS UI Gothic" w:eastAsia="MS UI Gothic"/>
          <w:w w:val="80"/>
        </w:rPr>
        <w:t>ꎮ</w:t>
      </w:r>
    </w:p>
    <w:p>
      <w:pPr>
        <w:pStyle w:val="6"/>
        <w:spacing w:line="295" w:lineRule="auto"/>
        <w:ind w:left="381" w:right="126"/>
        <w:rPr>
          <w:rFonts w:hint="eastAsia" w:ascii="MS UI Gothic" w:eastAsia="MS UI Gothic"/>
        </w:rPr>
      </w:pPr>
      <w:r>
        <w:t>第十三条  因采取突发事件应对措施</w:t>
      </w:r>
      <w:r>
        <w:rPr>
          <w:rFonts w:hint="eastAsia" w:ascii="MS UI Gothic" w:eastAsia="MS UI Gothic"/>
          <w:w w:val="80"/>
        </w:rPr>
        <w:t xml:space="preserve">ꎬ </w:t>
      </w:r>
      <w:r>
        <w:t>诉讼</w:t>
      </w:r>
      <w:r>
        <w:rPr>
          <w:rFonts w:hint="eastAsia" w:ascii="MS UI Gothic" w:eastAsia="MS UI Gothic"/>
          <w:w w:val="80"/>
        </w:rPr>
        <w:t xml:space="preserve">、 </w:t>
      </w:r>
      <w:r>
        <w:t>行政复议</w:t>
      </w:r>
      <w:r>
        <w:rPr>
          <w:rFonts w:hint="eastAsia" w:ascii="MS UI Gothic" w:eastAsia="MS UI Gothic"/>
          <w:w w:val="80"/>
        </w:rPr>
        <w:t xml:space="preserve">、 </w:t>
      </w:r>
      <w:r>
        <w:t>仲裁活动不能正常进行的</w:t>
      </w:r>
      <w:r>
        <w:rPr>
          <w:rFonts w:hint="eastAsia" w:ascii="MS UI Gothic" w:eastAsia="MS UI Gothic"/>
          <w:w w:val="80"/>
        </w:rPr>
        <w:t xml:space="preserve">ꎬ </w:t>
      </w:r>
      <w:r>
        <w:t>适用有关时效中止和程序中止的规定</w:t>
      </w:r>
      <w:r>
        <w:rPr>
          <w:rFonts w:hint="eastAsia" w:ascii="MS UI Gothic" w:eastAsia="MS UI Gothic"/>
          <w:w w:val="80"/>
        </w:rPr>
        <w:t xml:space="preserve">ꎬ </w:t>
      </w:r>
      <w:r>
        <w:t>但法律另有规定的除外</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6"/>
          <w:w w:val="105"/>
        </w:rPr>
        <w:t>第十四条 中国人民解放军</w:t>
      </w:r>
      <w:r>
        <w:rPr>
          <w:rFonts w:hint="eastAsia" w:ascii="MS UI Gothic" w:eastAsia="MS UI Gothic"/>
          <w:spacing w:val="19"/>
          <w:w w:val="80"/>
        </w:rPr>
        <w:t xml:space="preserve">、 </w:t>
      </w:r>
      <w:r>
        <w:rPr>
          <w:spacing w:val="2"/>
          <w:w w:val="105"/>
        </w:rPr>
        <w:t>中国人</w:t>
      </w:r>
      <w:r>
        <w:rPr>
          <w:spacing w:val="2"/>
        </w:rPr>
        <w:t>民武装警察部队和民兵组织依照本法和其</w:t>
      </w:r>
      <w:r>
        <w:rPr>
          <w:spacing w:val="3"/>
          <w:w w:val="105"/>
        </w:rPr>
        <w:t>他有关法律</w:t>
      </w:r>
      <w:r>
        <w:rPr>
          <w:rFonts w:hint="eastAsia" w:ascii="MS UI Gothic" w:eastAsia="MS UI Gothic"/>
          <w:spacing w:val="11"/>
          <w:w w:val="80"/>
        </w:rPr>
        <w:t xml:space="preserve">、 </w:t>
      </w:r>
      <w:r>
        <w:rPr>
          <w:spacing w:val="3"/>
          <w:w w:val="105"/>
        </w:rPr>
        <w:t>行政法规</w:t>
      </w:r>
      <w:r>
        <w:rPr>
          <w:rFonts w:hint="eastAsia" w:ascii="MS UI Gothic" w:eastAsia="MS UI Gothic"/>
          <w:spacing w:val="12"/>
          <w:w w:val="80"/>
        </w:rPr>
        <w:t xml:space="preserve">、 </w:t>
      </w:r>
      <w:r>
        <w:rPr>
          <w:spacing w:val="2"/>
          <w:w w:val="105"/>
        </w:rPr>
        <w:t>军事法规的规定</w:t>
      </w:r>
      <w:r>
        <w:rPr>
          <w:spacing w:val="3"/>
          <w:w w:val="105"/>
        </w:rPr>
        <w:t>以及国务院</w:t>
      </w:r>
      <w:r>
        <w:rPr>
          <w:rFonts w:hint="eastAsia" w:ascii="MS UI Gothic" w:eastAsia="MS UI Gothic"/>
          <w:spacing w:val="-1"/>
          <w:w w:val="80"/>
        </w:rPr>
        <w:t xml:space="preserve">、 </w:t>
      </w:r>
      <w:r>
        <w:rPr>
          <w:spacing w:val="3"/>
          <w:w w:val="105"/>
        </w:rPr>
        <w:t>中央军事委员会的命令</w:t>
      </w:r>
      <w:r>
        <w:rPr>
          <w:rFonts w:hint="eastAsia" w:ascii="MS UI Gothic" w:eastAsia="MS UI Gothic"/>
          <w:w w:val="80"/>
        </w:rPr>
        <w:t xml:space="preserve">ꎬ </w:t>
      </w:r>
      <w:r>
        <w:rPr>
          <w:w w:val="105"/>
        </w:rPr>
        <w:t>参</w:t>
      </w:r>
      <w:r>
        <w:rPr>
          <w:spacing w:val="3"/>
          <w:w w:val="105"/>
        </w:rPr>
        <w:t>加突发事件的应急救援和处置工作</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第十五条 中华人民共和国政府在突</w:t>
      </w:r>
      <w:r>
        <w:rPr>
          <w:spacing w:val="3"/>
        </w:rPr>
        <w:t>发事件的预防</w:t>
      </w:r>
      <w:r>
        <w:rPr>
          <w:rFonts w:hint="eastAsia" w:ascii="MS UI Gothic" w:eastAsia="MS UI Gothic"/>
          <w:spacing w:val="22"/>
          <w:w w:val="80"/>
        </w:rPr>
        <w:t xml:space="preserve">、 </w:t>
      </w:r>
      <w:r>
        <w:rPr>
          <w:spacing w:val="3"/>
        </w:rPr>
        <w:t>监测与预警</w:t>
      </w:r>
      <w:r>
        <w:rPr>
          <w:rFonts w:hint="eastAsia" w:ascii="MS UI Gothic" w:eastAsia="MS UI Gothic"/>
          <w:spacing w:val="23"/>
          <w:w w:val="80"/>
        </w:rPr>
        <w:t xml:space="preserve">、 </w:t>
      </w:r>
      <w:r>
        <w:rPr>
          <w:spacing w:val="2"/>
        </w:rPr>
        <w:t>应急处置与</w:t>
      </w:r>
      <w:r>
        <w:rPr>
          <w:spacing w:val="3"/>
        </w:rPr>
        <w:t>救援</w:t>
      </w:r>
      <w:r>
        <w:rPr>
          <w:rFonts w:hint="eastAsia" w:ascii="MS UI Gothic" w:eastAsia="MS UI Gothic"/>
          <w:spacing w:val="11"/>
          <w:w w:val="80"/>
        </w:rPr>
        <w:t xml:space="preserve">、 </w:t>
      </w:r>
      <w:r>
        <w:rPr>
          <w:spacing w:val="3"/>
        </w:rPr>
        <w:t>事后恢复与重建等方面</w:t>
      </w:r>
      <w:r>
        <w:rPr>
          <w:rFonts w:hint="eastAsia" w:ascii="MS UI Gothic" w:eastAsia="MS UI Gothic"/>
          <w:spacing w:val="11"/>
          <w:w w:val="80"/>
        </w:rPr>
        <w:t xml:space="preserve">ꎬ </w:t>
      </w:r>
      <w:r>
        <w:rPr>
          <w:spacing w:val="2"/>
        </w:rPr>
        <w:t>同外国政</w:t>
      </w:r>
      <w:r>
        <w:rPr>
          <w:spacing w:val="3"/>
        </w:rPr>
        <w:t>府和有关国际组织开展合作与交流</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第十六条 县级以上人民政府作出应</w:t>
      </w:r>
      <w:r>
        <w:rPr>
          <w:spacing w:val="3"/>
        </w:rPr>
        <w:t>对突发事件的决定</w:t>
      </w:r>
      <w:r>
        <w:rPr>
          <w:rFonts w:hint="eastAsia" w:ascii="MS UI Gothic" w:eastAsia="MS UI Gothic"/>
          <w:spacing w:val="11"/>
          <w:w w:val="80"/>
        </w:rPr>
        <w:t xml:space="preserve">、 </w:t>
      </w:r>
      <w:r>
        <w:rPr>
          <w:spacing w:val="3"/>
        </w:rPr>
        <w:t>命令</w:t>
      </w:r>
      <w:r>
        <w:rPr>
          <w:rFonts w:hint="eastAsia" w:ascii="MS UI Gothic" w:eastAsia="MS UI Gothic"/>
          <w:spacing w:val="11"/>
          <w:w w:val="80"/>
        </w:rPr>
        <w:t xml:space="preserve">ꎬ </w:t>
      </w:r>
      <w:r>
        <w:rPr>
          <w:spacing w:val="2"/>
        </w:rPr>
        <w:t>应当报本级人</w:t>
      </w:r>
      <w:r>
        <w:rPr>
          <w:spacing w:val="3"/>
        </w:rPr>
        <w:t>民代表大会常务委员会备案</w:t>
      </w:r>
      <w:r>
        <w:rPr>
          <w:rFonts w:hint="eastAsia" w:ascii="MS UI Gothic" w:eastAsia="MS UI Gothic"/>
          <w:spacing w:val="20"/>
          <w:w w:val="80"/>
        </w:rPr>
        <w:t xml:space="preserve">ꎻ </w:t>
      </w:r>
      <w:r>
        <w:rPr>
          <w:spacing w:val="2"/>
        </w:rPr>
        <w:t>突发事件应</w:t>
      </w:r>
      <w:r>
        <w:rPr>
          <w:spacing w:val="3"/>
        </w:rPr>
        <w:t>急处置工作结束后</w:t>
      </w:r>
      <w:r>
        <w:rPr>
          <w:rFonts w:hint="eastAsia" w:ascii="MS UI Gothic" w:eastAsia="MS UI Gothic"/>
          <w:spacing w:val="20"/>
          <w:w w:val="80"/>
        </w:rPr>
        <w:t xml:space="preserve">ꎬ </w:t>
      </w:r>
      <w:r>
        <w:rPr>
          <w:spacing w:val="2"/>
        </w:rPr>
        <w:t>应当向本级人民代表</w:t>
      </w:r>
      <w:r>
        <w:rPr>
          <w:spacing w:val="3"/>
        </w:rPr>
        <w:t>大会常务委员会作出专项工作报告</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３８</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65" o:spid="_x0000_s1165" o:spt="203" style="height:2.15pt;width:398.25pt;" coordsize="7965,43">
            <o:lock v:ext="edit"/>
            <v:line id="_x0000_s1166" o:spid="_x0000_s1166" o:spt="20" style="position:absolute;left:0;top:39;height:0;width:7965;" stroked="t" coordsize="21600,21600">
              <v:path arrowok="t"/>
              <v:fill focussize="0,0"/>
              <v:stroke weight="0.388031496062992pt" color="#231F20"/>
              <v:imagedata o:title=""/>
              <o:lock v:ext="edit"/>
            </v:line>
            <v:line id="_x0000_s1167" o:spid="_x0000_s116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1696"/>
        </w:tabs>
        <w:ind w:left="858" w:firstLine="0"/>
        <w:jc w:val="left"/>
      </w:pPr>
      <w:r>
        <w:rPr>
          <w:spacing w:val="3"/>
          <w:w w:val="105"/>
        </w:rPr>
        <w:t>第二</w:t>
      </w:r>
      <w:r>
        <w:rPr>
          <w:w w:val="105"/>
        </w:rPr>
        <w:t>章</w:t>
      </w:r>
      <w:r>
        <w:rPr>
          <w:w w:val="105"/>
        </w:rPr>
        <w:tab/>
      </w:r>
      <w:r>
        <w:rPr>
          <w:spacing w:val="3"/>
          <w:w w:val="105"/>
        </w:rPr>
        <w:t>预防与应急准</w:t>
      </w:r>
      <w:r>
        <w:rPr>
          <w:w w:val="105"/>
        </w:rPr>
        <w:t>备</w:t>
      </w:r>
    </w:p>
    <w:p>
      <w:pPr>
        <w:pStyle w:val="6"/>
        <w:spacing w:before="215" w:line="295" w:lineRule="auto"/>
        <w:ind w:right="39"/>
        <w:rPr>
          <w:rFonts w:hint="eastAsia" w:ascii="MS UI Gothic" w:eastAsia="MS UI Gothic"/>
        </w:rPr>
      </w:pPr>
      <w:r>
        <w:rPr>
          <w:spacing w:val="2"/>
          <w:w w:val="105"/>
        </w:rPr>
        <w:t>第十七条 国家建立健全突发事件应</w:t>
      </w:r>
      <w:r>
        <w:rPr>
          <w:spacing w:val="3"/>
          <w:w w:val="105"/>
        </w:rPr>
        <w:t>急预案体系</w:t>
      </w:r>
      <w:r>
        <w:rPr>
          <w:rFonts w:hint="eastAsia" w:ascii="MS UI Gothic" w:eastAsia="MS UI Gothic"/>
          <w:w w:val="80"/>
        </w:rPr>
        <w:t>ꎮ</w:t>
      </w:r>
    </w:p>
    <w:p>
      <w:pPr>
        <w:pStyle w:val="6"/>
        <w:spacing w:line="295" w:lineRule="auto"/>
        <w:ind w:right="39"/>
        <w:rPr>
          <w:rFonts w:hint="eastAsia" w:ascii="MS UI Gothic" w:eastAsia="MS UI Gothic"/>
        </w:rPr>
      </w:pPr>
      <w:r>
        <w:rPr>
          <w:spacing w:val="2"/>
        </w:rPr>
        <w:t>国务院制定国家突发事件总体应急预</w:t>
      </w:r>
      <w:r>
        <w:rPr>
          <w:spacing w:val="3"/>
        </w:rPr>
        <w:t>案</w:t>
      </w:r>
      <w:r>
        <w:rPr>
          <w:rFonts w:hint="eastAsia" w:ascii="MS UI Gothic" w:eastAsia="MS UI Gothic"/>
          <w:spacing w:val="19"/>
          <w:w w:val="80"/>
        </w:rPr>
        <w:t xml:space="preserve">ꎬ </w:t>
      </w:r>
      <w:r>
        <w:rPr>
          <w:spacing w:val="14"/>
        </w:rPr>
        <w:t>组织制定国家突发事件专项应急预</w:t>
      </w:r>
      <w:r>
        <w:rPr>
          <w:spacing w:val="3"/>
        </w:rPr>
        <w:t>案</w:t>
      </w:r>
      <w:r>
        <w:rPr>
          <w:rFonts w:hint="eastAsia" w:ascii="MS UI Gothic" w:eastAsia="MS UI Gothic"/>
          <w:spacing w:val="21"/>
          <w:w w:val="80"/>
        </w:rPr>
        <w:t xml:space="preserve">ꎻ </w:t>
      </w:r>
      <w:r>
        <w:rPr>
          <w:spacing w:val="2"/>
        </w:rPr>
        <w:t>国务院有关部门根据各自的职责和国</w:t>
      </w:r>
      <w:r>
        <w:rPr>
          <w:spacing w:val="3"/>
        </w:rPr>
        <w:t>务院相关应急预案</w:t>
      </w:r>
      <w:r>
        <w:rPr>
          <w:rFonts w:hint="eastAsia" w:ascii="MS UI Gothic" w:eastAsia="MS UI Gothic"/>
          <w:spacing w:val="21"/>
          <w:w w:val="80"/>
        </w:rPr>
        <w:t xml:space="preserve">ꎬ </w:t>
      </w:r>
      <w:r>
        <w:rPr>
          <w:spacing w:val="2"/>
        </w:rPr>
        <w:t>制定国家突发事件部</w:t>
      </w:r>
      <w:r>
        <w:rPr>
          <w:spacing w:val="3"/>
        </w:rPr>
        <w:t>门应急预案</w:t>
      </w:r>
      <w:r>
        <w:rPr>
          <w:rFonts w:hint="eastAsia" w:ascii="MS UI Gothic" w:eastAsia="MS UI Gothic"/>
          <w:w w:val="80"/>
        </w:rPr>
        <w:t>ꎮ</w:t>
      </w:r>
    </w:p>
    <w:p>
      <w:pPr>
        <w:pStyle w:val="6"/>
        <w:spacing w:line="295" w:lineRule="auto"/>
        <w:ind w:right="39"/>
        <w:rPr>
          <w:rFonts w:hint="eastAsia" w:ascii="MS UI Gothic" w:eastAsia="MS UI Gothic"/>
        </w:rPr>
      </w:pPr>
      <w:r>
        <w:t>地方各级人民政府和县级以上地方各</w:t>
      </w:r>
      <w:r>
        <w:rPr>
          <w:w w:val="105"/>
        </w:rPr>
        <w:t>级人民政府有关部门根据有关法律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w:t>
      </w:r>
      <w:r>
        <w:rPr>
          <w:rFonts w:hint="eastAsia" w:ascii="MS UI Gothic" w:eastAsia="MS UI Gothic"/>
          <w:w w:val="80"/>
        </w:rPr>
        <w:t xml:space="preserve">、 </w:t>
      </w:r>
      <w:r>
        <w:rPr>
          <w:w w:val="105"/>
        </w:rPr>
        <w:t>上级人民政府及其有关部门的</w:t>
      </w:r>
      <w:r>
        <w:t>应急预案以及本地区的实际情况</w:t>
      </w:r>
      <w:r>
        <w:rPr>
          <w:rFonts w:hint="eastAsia" w:ascii="MS UI Gothic" w:eastAsia="MS UI Gothic"/>
          <w:w w:val="80"/>
        </w:rPr>
        <w:t xml:space="preserve">ꎬ </w:t>
      </w:r>
      <w:r>
        <w:t>制定相</w:t>
      </w:r>
      <w:r>
        <w:rPr>
          <w:w w:val="105"/>
        </w:rPr>
        <w:t>应的突发事件应急预案</w:t>
      </w:r>
      <w:r>
        <w:rPr>
          <w:rFonts w:hint="eastAsia" w:ascii="MS UI Gothic" w:eastAsia="MS UI Gothic"/>
          <w:w w:val="80"/>
        </w:rPr>
        <w:t>ꎮ</w:t>
      </w:r>
    </w:p>
    <w:p>
      <w:pPr>
        <w:pStyle w:val="6"/>
        <w:spacing w:line="295" w:lineRule="auto"/>
        <w:ind w:right="39"/>
        <w:rPr>
          <w:rFonts w:hint="eastAsia" w:ascii="MS UI Gothic" w:eastAsia="MS UI Gothic"/>
        </w:rPr>
      </w:pPr>
      <w:r>
        <w:t>应急预案制定机关应当根据实际需要和情势变化</w:t>
      </w:r>
      <w:r>
        <w:rPr>
          <w:rFonts w:hint="eastAsia" w:ascii="MS UI Gothic" w:eastAsia="MS UI Gothic"/>
          <w:w w:val="80"/>
        </w:rPr>
        <w:t xml:space="preserve">ꎬ </w:t>
      </w:r>
      <w:r>
        <w:t>适时修订应急预案</w:t>
      </w:r>
      <w:r>
        <w:rPr>
          <w:rFonts w:hint="eastAsia" w:ascii="MS UI Gothic" w:eastAsia="MS UI Gothic"/>
          <w:w w:val="80"/>
        </w:rPr>
        <w:t xml:space="preserve">ꎮ </w:t>
      </w:r>
      <w:r>
        <w:t>应急预案的制定</w:t>
      </w:r>
      <w:r>
        <w:rPr>
          <w:rFonts w:hint="eastAsia" w:ascii="MS UI Gothic" w:eastAsia="MS UI Gothic"/>
          <w:w w:val="80"/>
        </w:rPr>
        <w:t xml:space="preserve">、 </w:t>
      </w:r>
      <w:r>
        <w:t>修订程序由国务院规定</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第十八条 应急预案应当根据本法和其他有关法律</w:t>
      </w:r>
      <w:r>
        <w:rPr>
          <w:rFonts w:hint="eastAsia" w:ascii="MS UI Gothic" w:eastAsia="MS UI Gothic"/>
          <w:w w:val="80"/>
        </w:rPr>
        <w:t xml:space="preserve">、 </w:t>
      </w:r>
      <w:r>
        <w:rPr>
          <w:w w:val="105"/>
        </w:rPr>
        <w:t>法规的规定</w:t>
      </w:r>
      <w:r>
        <w:rPr>
          <w:rFonts w:hint="eastAsia" w:ascii="MS UI Gothic" w:eastAsia="MS UI Gothic"/>
          <w:w w:val="80"/>
        </w:rPr>
        <w:t xml:space="preserve">ꎬ </w:t>
      </w:r>
      <w:r>
        <w:rPr>
          <w:w w:val="105"/>
        </w:rPr>
        <w:t>针对突发事</w:t>
      </w:r>
      <w:r>
        <w:t>件的性质</w:t>
      </w:r>
      <w:r>
        <w:rPr>
          <w:rFonts w:hint="eastAsia" w:ascii="MS UI Gothic" w:eastAsia="MS UI Gothic"/>
          <w:w w:val="80"/>
        </w:rPr>
        <w:t xml:space="preserve">、 </w:t>
      </w:r>
      <w:r>
        <w:t>特点和可能造成的社会危害</w:t>
      </w:r>
      <w:r>
        <w:rPr>
          <w:rFonts w:hint="eastAsia" w:ascii="MS UI Gothic" w:eastAsia="MS UI Gothic"/>
          <w:w w:val="80"/>
        </w:rPr>
        <w:t>ꎬ</w:t>
      </w:r>
      <w:r>
        <w:t>具体规定突发事件应急管理工作的组织指挥体系与职责和突发事件的预防与预警机</w:t>
      </w:r>
      <w:r>
        <w:rPr>
          <w:w w:val="105"/>
        </w:rPr>
        <w:t>制</w:t>
      </w:r>
      <w:r>
        <w:rPr>
          <w:rFonts w:hint="eastAsia" w:ascii="MS UI Gothic" w:eastAsia="MS UI Gothic"/>
          <w:w w:val="80"/>
        </w:rPr>
        <w:t xml:space="preserve">、 </w:t>
      </w:r>
      <w:r>
        <w:rPr>
          <w:w w:val="105"/>
        </w:rPr>
        <w:t>处置程序</w:t>
      </w:r>
      <w:r>
        <w:rPr>
          <w:rFonts w:hint="eastAsia" w:ascii="MS UI Gothic" w:eastAsia="MS UI Gothic"/>
          <w:w w:val="80"/>
        </w:rPr>
        <w:t xml:space="preserve">、 </w:t>
      </w:r>
      <w:r>
        <w:rPr>
          <w:w w:val="105"/>
        </w:rPr>
        <w:t>应急保障措施以及事后恢复与重建措施等内容</w:t>
      </w:r>
      <w:r>
        <w:rPr>
          <w:rFonts w:hint="eastAsia" w:ascii="MS UI Gothic" w:eastAsia="MS UI Gothic"/>
          <w:w w:val="80"/>
        </w:rPr>
        <w:t>ꎮ</w:t>
      </w:r>
    </w:p>
    <w:p>
      <w:pPr>
        <w:pStyle w:val="6"/>
        <w:spacing w:line="295" w:lineRule="auto"/>
        <w:ind w:right="38"/>
        <w:rPr>
          <w:rFonts w:hint="eastAsia" w:ascii="MS UI Gothic" w:eastAsia="MS UI Gothic"/>
        </w:rPr>
      </w:pPr>
      <w:r>
        <w:t>第十九条  城乡规划应当符合预防</w:t>
      </w:r>
      <w:r>
        <w:rPr>
          <w:rFonts w:hint="eastAsia" w:ascii="MS UI Gothic" w:eastAsia="MS UI Gothic"/>
          <w:w w:val="80"/>
        </w:rPr>
        <w:t>、</w:t>
      </w:r>
      <w:r>
        <w:t>处置突发事件的需要</w:t>
      </w:r>
      <w:r>
        <w:rPr>
          <w:rFonts w:hint="eastAsia" w:ascii="MS UI Gothic" w:eastAsia="MS UI Gothic"/>
          <w:w w:val="80"/>
        </w:rPr>
        <w:t xml:space="preserve">ꎬ </w:t>
      </w:r>
      <w:r>
        <w:t>统筹安排应对突发事件所必需的设备和基础设施建设</w:t>
      </w:r>
      <w:r>
        <w:rPr>
          <w:rFonts w:hint="eastAsia" w:ascii="MS UI Gothic" w:eastAsia="MS UI Gothic"/>
          <w:w w:val="80"/>
        </w:rPr>
        <w:t xml:space="preserve">ꎬ </w:t>
      </w:r>
      <w:r>
        <w:t>合理确定应急避难场所</w:t>
      </w:r>
      <w:r>
        <w:rPr>
          <w:rFonts w:hint="eastAsia" w:ascii="MS UI Gothic" w:eastAsia="MS UI Gothic"/>
          <w:w w:val="80"/>
        </w:rPr>
        <w:t>ꎮ</w:t>
      </w:r>
    </w:p>
    <w:p>
      <w:pPr>
        <w:pStyle w:val="6"/>
        <w:spacing w:line="295" w:lineRule="auto"/>
        <w:ind w:right="39"/>
        <w:rPr>
          <w:rFonts w:hint="eastAsia" w:ascii="MS UI Gothic" w:eastAsia="MS UI Gothic"/>
        </w:rPr>
      </w:pPr>
      <w:r>
        <w:t>第二十条 县级人民政府应当对本行政区域内容易引发自然灾害</w:t>
      </w:r>
      <w:r>
        <w:rPr>
          <w:rFonts w:hint="eastAsia" w:ascii="MS UI Gothic" w:eastAsia="MS UI Gothic"/>
          <w:w w:val="80"/>
        </w:rPr>
        <w:t xml:space="preserve">、 </w:t>
      </w:r>
      <w:r>
        <w:t>事故灾难和公共卫生事件的危险源</w:t>
      </w:r>
      <w:r>
        <w:rPr>
          <w:rFonts w:hint="eastAsia" w:ascii="MS UI Gothic" w:eastAsia="MS UI Gothic"/>
          <w:w w:val="80"/>
        </w:rPr>
        <w:t xml:space="preserve">、 </w:t>
      </w:r>
      <w:r>
        <w:t>危险区域进行调查</w:t>
      </w:r>
      <w:r>
        <w:rPr>
          <w:rFonts w:hint="eastAsia" w:ascii="MS UI Gothic" w:eastAsia="MS UI Gothic"/>
          <w:w w:val="80"/>
        </w:rPr>
        <w:t xml:space="preserve">、 </w:t>
      </w:r>
      <w:r>
        <w:t>登记</w:t>
      </w:r>
      <w:r>
        <w:rPr>
          <w:rFonts w:hint="eastAsia" w:ascii="MS UI Gothic" w:eastAsia="MS UI Gothic"/>
          <w:w w:val="80"/>
        </w:rPr>
        <w:t xml:space="preserve">、 </w:t>
      </w:r>
      <w:r>
        <w:t>风险评估</w:t>
      </w:r>
      <w:r>
        <w:rPr>
          <w:rFonts w:hint="eastAsia" w:ascii="MS UI Gothic" w:eastAsia="MS UI Gothic"/>
          <w:w w:val="80"/>
        </w:rPr>
        <w:t xml:space="preserve">ꎬ </w:t>
      </w:r>
      <w:r>
        <w:t>定期进行检查</w:t>
      </w:r>
      <w:r>
        <w:rPr>
          <w:rFonts w:hint="eastAsia" w:ascii="MS UI Gothic" w:eastAsia="MS UI Gothic"/>
          <w:w w:val="80"/>
        </w:rPr>
        <w:t xml:space="preserve">、  </w:t>
      </w:r>
      <w:r>
        <w:t>监控</w:t>
      </w:r>
      <w:r>
        <w:rPr>
          <w:rFonts w:hint="eastAsia" w:ascii="MS UI Gothic" w:eastAsia="MS UI Gothic"/>
          <w:w w:val="80"/>
        </w:rPr>
        <w:t xml:space="preserve">ꎬ </w:t>
      </w:r>
      <w:r>
        <w:t>并责令有关单位采取安全防范措施</w:t>
      </w:r>
      <w:r>
        <w:rPr>
          <w:rFonts w:hint="eastAsia" w:ascii="MS UI Gothic" w:eastAsia="MS UI Gothic"/>
          <w:w w:val="80"/>
        </w:rPr>
        <w:t>ꎮ</w:t>
      </w:r>
    </w:p>
    <w:p>
      <w:pPr>
        <w:pStyle w:val="6"/>
        <w:spacing w:line="295" w:lineRule="auto"/>
        <w:ind w:right="39"/>
        <w:rPr>
          <w:rFonts w:hint="eastAsia" w:ascii="MS UI Gothic" w:eastAsia="MS UI Gothic"/>
        </w:rPr>
      </w:pPr>
      <w:r>
        <w:t>省级和设区的市级人民政府应当对本行政区域内容易引发特别重大</w:t>
      </w:r>
      <w:r>
        <w:rPr>
          <w:rFonts w:hint="eastAsia" w:ascii="MS UI Gothic" w:eastAsia="MS UI Gothic"/>
          <w:w w:val="80"/>
        </w:rPr>
        <w:t xml:space="preserve">、 </w:t>
      </w:r>
      <w:r>
        <w:t>重大突发事件的危险源</w:t>
      </w:r>
      <w:r>
        <w:rPr>
          <w:rFonts w:hint="eastAsia" w:ascii="MS UI Gothic" w:eastAsia="MS UI Gothic"/>
          <w:w w:val="80"/>
        </w:rPr>
        <w:t xml:space="preserve">、 </w:t>
      </w:r>
      <w:r>
        <w:t>危险区域进行调查</w:t>
      </w:r>
      <w:r>
        <w:rPr>
          <w:rFonts w:hint="eastAsia" w:ascii="MS UI Gothic" w:eastAsia="MS UI Gothic"/>
          <w:w w:val="80"/>
        </w:rPr>
        <w:t xml:space="preserve">、  </w:t>
      </w:r>
      <w:r>
        <w:t>登记</w:t>
      </w:r>
      <w:r>
        <w:rPr>
          <w:rFonts w:hint="eastAsia" w:ascii="MS UI Gothic" w:eastAsia="MS UI Gothic"/>
          <w:w w:val="80"/>
        </w:rPr>
        <w:t xml:space="preserve">、 </w:t>
      </w:r>
      <w:r>
        <w:t>风险评估</w:t>
      </w:r>
      <w:r>
        <w:rPr>
          <w:rFonts w:hint="eastAsia" w:ascii="MS UI Gothic" w:eastAsia="MS UI Gothic"/>
          <w:w w:val="80"/>
        </w:rPr>
        <w:t xml:space="preserve">ꎬ </w:t>
      </w:r>
      <w:r>
        <w:t>组织进行检查</w:t>
      </w:r>
      <w:r>
        <w:rPr>
          <w:rFonts w:hint="eastAsia" w:ascii="MS UI Gothic" w:eastAsia="MS UI Gothic"/>
          <w:w w:val="80"/>
        </w:rPr>
        <w:t xml:space="preserve">、 </w:t>
      </w:r>
      <w:r>
        <w:t>监控</w:t>
      </w:r>
      <w:r>
        <w:rPr>
          <w:rFonts w:hint="eastAsia" w:ascii="MS UI Gothic" w:eastAsia="MS UI Gothic"/>
          <w:w w:val="80"/>
        </w:rPr>
        <w:t xml:space="preserve">ꎬ </w:t>
      </w:r>
      <w:r>
        <w:t>并责令有关单位采取安全防范措施</w:t>
      </w:r>
      <w:r>
        <w:rPr>
          <w:rFonts w:hint="eastAsia" w:ascii="MS UI Gothic" w:eastAsia="MS UI Gothic"/>
          <w:w w:val="80"/>
        </w:rPr>
        <w:t>ꎮ</w:t>
      </w:r>
    </w:p>
    <w:p>
      <w:pPr>
        <w:pStyle w:val="6"/>
        <w:spacing w:line="252" w:lineRule="exact"/>
        <w:ind w:left="543" w:firstLine="0"/>
        <w:jc w:val="left"/>
      </w:pPr>
      <w:r>
        <w:t>县级以上地方各级人民政府按照本法</w:t>
      </w:r>
    </w:p>
    <w:p>
      <w:pPr>
        <w:pStyle w:val="6"/>
        <w:spacing w:before="123" w:line="295" w:lineRule="auto"/>
        <w:ind w:right="442" w:firstLine="0"/>
        <w:rPr>
          <w:rFonts w:hint="eastAsia" w:ascii="MS UI Gothic" w:eastAsia="MS UI Gothic"/>
        </w:rPr>
      </w:pPr>
      <w:r>
        <w:br w:type="column"/>
      </w:r>
      <w:r>
        <w:t>规定登记的危险源</w:t>
      </w:r>
      <w:r>
        <w:rPr>
          <w:rFonts w:hint="eastAsia" w:ascii="MS UI Gothic" w:eastAsia="MS UI Gothic"/>
          <w:w w:val="80"/>
        </w:rPr>
        <w:t xml:space="preserve">、 </w:t>
      </w:r>
      <w:r>
        <w:t>危险区域</w:t>
      </w:r>
      <w:r>
        <w:rPr>
          <w:rFonts w:hint="eastAsia" w:ascii="MS UI Gothic" w:eastAsia="MS UI Gothic"/>
          <w:w w:val="80"/>
        </w:rPr>
        <w:t xml:space="preserve">ꎬ </w:t>
      </w:r>
      <w:r>
        <w:t>应当按照国家规定及时向社会公布</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第二十一条 县级人民政府及其有关部门</w:t>
      </w:r>
      <w:r>
        <w:rPr>
          <w:rFonts w:hint="eastAsia" w:ascii="MS UI Gothic" w:eastAsia="MS UI Gothic"/>
          <w:w w:val="80"/>
        </w:rPr>
        <w:t xml:space="preserve">、 </w:t>
      </w:r>
      <w:r>
        <w:rPr>
          <w:w w:val="105"/>
        </w:rPr>
        <w:t>乡级人民政府</w:t>
      </w:r>
      <w:r>
        <w:rPr>
          <w:rFonts w:hint="eastAsia" w:ascii="MS UI Gothic" w:eastAsia="MS UI Gothic"/>
          <w:w w:val="80"/>
        </w:rPr>
        <w:t xml:space="preserve">、 </w:t>
      </w:r>
      <w:r>
        <w:rPr>
          <w:w w:val="105"/>
        </w:rPr>
        <w:t>街道办事处</w:t>
      </w:r>
      <w:r>
        <w:rPr>
          <w:rFonts w:hint="eastAsia" w:ascii="MS UI Gothic" w:eastAsia="MS UI Gothic"/>
          <w:w w:val="80"/>
        </w:rPr>
        <w:t xml:space="preserve">、 </w:t>
      </w:r>
      <w:r>
        <w:rPr>
          <w:w w:val="105"/>
        </w:rPr>
        <w:t>居民委员会</w:t>
      </w:r>
      <w:r>
        <w:rPr>
          <w:rFonts w:hint="eastAsia" w:ascii="MS UI Gothic" w:eastAsia="MS UI Gothic"/>
          <w:w w:val="80"/>
        </w:rPr>
        <w:t xml:space="preserve">、 </w:t>
      </w:r>
      <w:r>
        <w:rPr>
          <w:w w:val="105"/>
        </w:rPr>
        <w:t>村民委员会应当及时调解处理可能引发社会安全事件的矛盾纠纷</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第二十二条 所有单位应当建立健全</w:t>
      </w:r>
      <w:r>
        <w:t>安全管理制度</w:t>
      </w:r>
      <w:r>
        <w:rPr>
          <w:rFonts w:hint="eastAsia" w:ascii="MS UI Gothic" w:eastAsia="MS UI Gothic"/>
          <w:w w:val="80"/>
        </w:rPr>
        <w:t xml:space="preserve">ꎬ </w:t>
      </w:r>
      <w:r>
        <w:t>定期检查本单位各项安全防范措施的落实情况</w:t>
      </w:r>
      <w:r>
        <w:rPr>
          <w:rFonts w:hint="eastAsia" w:ascii="MS UI Gothic" w:eastAsia="MS UI Gothic"/>
          <w:w w:val="80"/>
        </w:rPr>
        <w:t xml:space="preserve">ꎬ </w:t>
      </w:r>
      <w:r>
        <w:t>及时消除事故隐患</w:t>
      </w:r>
      <w:r>
        <w:rPr>
          <w:rFonts w:hint="eastAsia" w:ascii="MS UI Gothic" w:eastAsia="MS UI Gothic"/>
          <w:w w:val="80"/>
        </w:rPr>
        <w:t xml:space="preserve">ꎻ </w:t>
      </w:r>
      <w:r>
        <w:t>掌握并及时处理本单位存在的可能引发社会安全事件的问题</w:t>
      </w:r>
      <w:r>
        <w:rPr>
          <w:rFonts w:hint="eastAsia" w:ascii="MS UI Gothic" w:eastAsia="MS UI Gothic"/>
          <w:w w:val="80"/>
        </w:rPr>
        <w:t xml:space="preserve">ꎬ </w:t>
      </w:r>
      <w:r>
        <w:t>防止矛盾激化和事态扩大</w:t>
      </w:r>
      <w:r>
        <w:rPr>
          <w:rFonts w:hint="eastAsia" w:ascii="MS UI Gothic" w:eastAsia="MS UI Gothic"/>
          <w:w w:val="80"/>
        </w:rPr>
        <w:t xml:space="preserve">ꎻ </w:t>
      </w:r>
      <w:r>
        <w:t>对本单位可能发生的突发事件和采取安全防范措施的情况</w:t>
      </w:r>
      <w:r>
        <w:rPr>
          <w:rFonts w:hint="eastAsia" w:ascii="MS UI Gothic" w:eastAsia="MS UI Gothic"/>
          <w:w w:val="80"/>
        </w:rPr>
        <w:t xml:space="preserve">ꎬ </w:t>
      </w:r>
      <w:r>
        <w:t>应当按照规定及时向所在地人民政府或者人民政府有</w:t>
      </w:r>
      <w:r>
        <w:rPr>
          <w:w w:val="105"/>
        </w:rPr>
        <w:t>关部门报告</w:t>
      </w:r>
      <w:r>
        <w:rPr>
          <w:rFonts w:hint="eastAsia" w:ascii="MS UI Gothic" w:eastAsia="MS UI Gothic"/>
          <w:w w:val="80"/>
        </w:rPr>
        <w:t>ꎮ</w:t>
      </w:r>
    </w:p>
    <w:p>
      <w:pPr>
        <w:pStyle w:val="6"/>
        <w:spacing w:line="295" w:lineRule="auto"/>
        <w:ind w:right="442"/>
        <w:rPr>
          <w:rFonts w:hint="eastAsia" w:ascii="MS UI Gothic" w:eastAsia="MS UI Gothic"/>
        </w:rPr>
      </w:pPr>
      <w:r>
        <w:t>第二十三条 矿山</w:t>
      </w:r>
      <w:r>
        <w:rPr>
          <w:rFonts w:hint="eastAsia" w:ascii="MS UI Gothic" w:eastAsia="MS UI Gothic"/>
          <w:w w:val="80"/>
        </w:rPr>
        <w:t xml:space="preserve">、 </w:t>
      </w:r>
      <w:r>
        <w:t>建筑施工单位和易燃易爆物品</w:t>
      </w:r>
      <w:r>
        <w:rPr>
          <w:rFonts w:hint="eastAsia" w:ascii="MS UI Gothic" w:eastAsia="MS UI Gothic"/>
          <w:w w:val="80"/>
        </w:rPr>
        <w:t xml:space="preserve">、 </w:t>
      </w:r>
      <w:r>
        <w:t>危险化学品</w:t>
      </w:r>
      <w:r>
        <w:rPr>
          <w:rFonts w:hint="eastAsia" w:ascii="MS UI Gothic" w:eastAsia="MS UI Gothic"/>
          <w:w w:val="80"/>
        </w:rPr>
        <w:t xml:space="preserve">、 </w:t>
      </w:r>
      <w:r>
        <w:t>放射性物品等危险物品的生产</w:t>
      </w:r>
      <w:r>
        <w:rPr>
          <w:rFonts w:hint="eastAsia" w:ascii="MS UI Gothic" w:eastAsia="MS UI Gothic"/>
          <w:w w:val="80"/>
        </w:rPr>
        <w:t xml:space="preserve">、 </w:t>
      </w:r>
      <w:r>
        <w:t>经营</w:t>
      </w:r>
      <w:r>
        <w:rPr>
          <w:rFonts w:hint="eastAsia" w:ascii="MS UI Gothic" w:eastAsia="MS UI Gothic"/>
          <w:w w:val="80"/>
        </w:rPr>
        <w:t xml:space="preserve">、 </w:t>
      </w:r>
      <w:r>
        <w:t>储运</w:t>
      </w:r>
      <w:r>
        <w:rPr>
          <w:rFonts w:hint="eastAsia" w:ascii="MS UI Gothic" w:eastAsia="MS UI Gothic"/>
          <w:w w:val="80"/>
        </w:rPr>
        <w:t xml:space="preserve">、 </w:t>
      </w:r>
      <w:r>
        <w:t>使用单位</w:t>
      </w:r>
      <w:r>
        <w:rPr>
          <w:rFonts w:hint="eastAsia" w:ascii="MS UI Gothic" w:eastAsia="MS UI Gothic"/>
          <w:w w:val="80"/>
        </w:rPr>
        <w:t xml:space="preserve">ꎬ </w:t>
      </w:r>
      <w:r>
        <w:t>应当制定具体应急预案</w:t>
      </w:r>
      <w:r>
        <w:rPr>
          <w:rFonts w:hint="eastAsia" w:ascii="MS UI Gothic" w:eastAsia="MS UI Gothic"/>
          <w:w w:val="80"/>
        </w:rPr>
        <w:t xml:space="preserve">ꎬ </w:t>
      </w:r>
      <w:r>
        <w:t>并对生产经营场所</w:t>
      </w:r>
      <w:r>
        <w:rPr>
          <w:rFonts w:hint="eastAsia" w:ascii="MS UI Gothic" w:eastAsia="MS UI Gothic"/>
          <w:w w:val="80"/>
        </w:rPr>
        <w:t xml:space="preserve">、 </w:t>
      </w:r>
      <w:r>
        <w:t>有危险物品的建筑物</w:t>
      </w:r>
      <w:r>
        <w:rPr>
          <w:rFonts w:hint="eastAsia" w:ascii="MS UI Gothic" w:eastAsia="MS UI Gothic"/>
          <w:w w:val="80"/>
        </w:rPr>
        <w:t xml:space="preserve">、 </w:t>
      </w:r>
      <w:r>
        <w:t>构筑物及周边环境开展隐患排查</w:t>
      </w:r>
      <w:r>
        <w:rPr>
          <w:rFonts w:hint="eastAsia" w:ascii="MS UI Gothic" w:eastAsia="MS UI Gothic"/>
          <w:w w:val="80"/>
        </w:rPr>
        <w:t xml:space="preserve">ꎬ </w:t>
      </w:r>
      <w:r>
        <w:t>及时采取措施消除隐患</w:t>
      </w:r>
      <w:r>
        <w:rPr>
          <w:rFonts w:hint="eastAsia" w:ascii="MS UI Gothic" w:eastAsia="MS UI Gothic"/>
          <w:w w:val="80"/>
        </w:rPr>
        <w:t xml:space="preserve">ꎬ </w:t>
      </w:r>
      <w:r>
        <w:t>防止发生突发事件</w:t>
      </w:r>
      <w:r>
        <w:rPr>
          <w:rFonts w:hint="eastAsia" w:ascii="MS UI Gothic" w:eastAsia="MS UI Gothic"/>
          <w:w w:val="80"/>
        </w:rPr>
        <w:t>ꎮ</w:t>
      </w:r>
    </w:p>
    <w:p>
      <w:pPr>
        <w:pStyle w:val="6"/>
        <w:spacing w:line="295" w:lineRule="auto"/>
        <w:ind w:right="442"/>
        <w:rPr>
          <w:rFonts w:hint="eastAsia" w:ascii="MS UI Gothic" w:eastAsia="MS UI Gothic"/>
        </w:rPr>
      </w:pPr>
      <w:r>
        <w:t>第二十四条 公共交通工具</w:t>
      </w:r>
      <w:r>
        <w:rPr>
          <w:rFonts w:hint="eastAsia" w:ascii="MS UI Gothic" w:eastAsia="MS UI Gothic"/>
          <w:w w:val="80"/>
        </w:rPr>
        <w:t xml:space="preserve">、 </w:t>
      </w:r>
      <w:r>
        <w:t>公共场所和其他人员密集场所的经营单位或者管理单位应当制定具体应急预案</w:t>
      </w:r>
      <w:r>
        <w:rPr>
          <w:rFonts w:hint="eastAsia" w:ascii="MS UI Gothic" w:eastAsia="MS UI Gothic"/>
          <w:w w:val="80"/>
        </w:rPr>
        <w:t xml:space="preserve">ꎬ </w:t>
      </w:r>
      <w:r>
        <w:t>为交通工具和有关场所配备报警装置和必要的应急救援设备</w:t>
      </w:r>
      <w:r>
        <w:rPr>
          <w:rFonts w:hint="eastAsia" w:ascii="MS UI Gothic" w:eastAsia="MS UI Gothic"/>
          <w:w w:val="80"/>
        </w:rPr>
        <w:t xml:space="preserve">、 </w:t>
      </w:r>
      <w:r>
        <w:t>设施</w:t>
      </w:r>
      <w:r>
        <w:rPr>
          <w:rFonts w:hint="eastAsia" w:ascii="MS UI Gothic" w:eastAsia="MS UI Gothic"/>
          <w:w w:val="80"/>
        </w:rPr>
        <w:t xml:space="preserve">ꎬ </w:t>
      </w:r>
      <w:r>
        <w:t>注明其使用方法</w:t>
      </w:r>
      <w:r>
        <w:rPr>
          <w:rFonts w:hint="eastAsia" w:ascii="MS UI Gothic" w:eastAsia="MS UI Gothic"/>
          <w:w w:val="80"/>
        </w:rPr>
        <w:t xml:space="preserve">ꎬ </w:t>
      </w:r>
      <w:r>
        <w:t>并显著标明安全撤离的通道</w:t>
      </w:r>
      <w:r>
        <w:rPr>
          <w:rFonts w:hint="eastAsia" w:ascii="MS UI Gothic" w:eastAsia="MS UI Gothic"/>
          <w:w w:val="80"/>
        </w:rPr>
        <w:t xml:space="preserve">、 </w:t>
      </w:r>
      <w:r>
        <w:t>路线</w:t>
      </w:r>
      <w:r>
        <w:rPr>
          <w:rFonts w:hint="eastAsia" w:ascii="MS UI Gothic" w:eastAsia="MS UI Gothic"/>
          <w:w w:val="80"/>
        </w:rPr>
        <w:t xml:space="preserve">ꎬ </w:t>
      </w:r>
      <w:r>
        <w:t>保证安全通道</w:t>
      </w:r>
      <w:r>
        <w:rPr>
          <w:rFonts w:hint="eastAsia" w:ascii="MS UI Gothic" w:eastAsia="MS UI Gothic"/>
          <w:w w:val="80"/>
        </w:rPr>
        <w:t xml:space="preserve">、 </w:t>
      </w:r>
      <w:r>
        <w:t>出口的畅通</w:t>
      </w:r>
      <w:r>
        <w:rPr>
          <w:rFonts w:hint="eastAsia" w:ascii="MS UI Gothic" w:eastAsia="MS UI Gothic"/>
          <w:w w:val="80"/>
        </w:rPr>
        <w:t>ꎮ</w:t>
      </w:r>
    </w:p>
    <w:p>
      <w:pPr>
        <w:pStyle w:val="6"/>
        <w:spacing w:line="295" w:lineRule="auto"/>
        <w:ind w:right="442"/>
        <w:rPr>
          <w:rFonts w:hint="eastAsia" w:ascii="MS UI Gothic" w:eastAsia="MS UI Gothic"/>
        </w:rPr>
      </w:pPr>
      <w:r>
        <w:t>有关单位应当定期检测</w:t>
      </w:r>
      <w:r>
        <w:rPr>
          <w:rFonts w:hint="eastAsia" w:ascii="MS UI Gothic" w:eastAsia="MS UI Gothic"/>
          <w:w w:val="80"/>
        </w:rPr>
        <w:t xml:space="preserve">、 </w:t>
      </w:r>
      <w:r>
        <w:t>维护其报警装置和应急救援设备</w:t>
      </w:r>
      <w:r>
        <w:rPr>
          <w:rFonts w:hint="eastAsia" w:ascii="MS UI Gothic" w:eastAsia="MS UI Gothic"/>
          <w:w w:val="80"/>
        </w:rPr>
        <w:t xml:space="preserve">、 </w:t>
      </w:r>
      <w:r>
        <w:t>设施</w:t>
      </w:r>
      <w:r>
        <w:rPr>
          <w:rFonts w:hint="eastAsia" w:ascii="MS UI Gothic" w:eastAsia="MS UI Gothic"/>
          <w:w w:val="80"/>
        </w:rPr>
        <w:t xml:space="preserve">ꎬ </w:t>
      </w:r>
      <w:r>
        <w:t>使其处于良好状态</w:t>
      </w:r>
      <w:r>
        <w:rPr>
          <w:rFonts w:hint="eastAsia" w:ascii="MS UI Gothic" w:eastAsia="MS UI Gothic"/>
          <w:w w:val="80"/>
        </w:rPr>
        <w:t xml:space="preserve">ꎬ </w:t>
      </w:r>
      <w:r>
        <w:t>确保正常使用</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第二十五条 县级以上人民政府应当</w:t>
      </w:r>
      <w:r>
        <w:t>建立健全突发事件应急管理培训制度</w:t>
      </w:r>
      <w:r>
        <w:rPr>
          <w:rFonts w:hint="eastAsia" w:ascii="MS UI Gothic" w:eastAsia="MS UI Gothic"/>
          <w:w w:val="80"/>
        </w:rPr>
        <w:t xml:space="preserve">ꎬ </w:t>
      </w:r>
      <w:r>
        <w:t>对人民政府及其有关部门负有处置突发事件</w:t>
      </w:r>
      <w:r>
        <w:rPr>
          <w:w w:val="105"/>
        </w:rPr>
        <w:t>职责的工作人员定期进行培训</w:t>
      </w:r>
      <w:r>
        <w:rPr>
          <w:rFonts w:hint="eastAsia" w:ascii="MS UI Gothic" w:eastAsia="MS UI Gothic"/>
          <w:w w:val="80"/>
        </w:rPr>
        <w:t>ꎮ</w:t>
      </w:r>
    </w:p>
    <w:p>
      <w:pPr>
        <w:pStyle w:val="6"/>
        <w:spacing w:line="295" w:lineRule="auto"/>
        <w:ind w:right="442"/>
      </w:pPr>
      <w:r>
        <w:rPr>
          <w:w w:val="105"/>
        </w:rPr>
        <w:t>第二十六条 县级以上人民政府应当</w:t>
      </w:r>
      <w:r>
        <w:t>整合应急资源</w:t>
      </w:r>
      <w:r>
        <w:rPr>
          <w:rFonts w:hint="eastAsia" w:ascii="MS UI Gothic" w:eastAsia="MS UI Gothic"/>
          <w:w w:val="80"/>
        </w:rPr>
        <w:t xml:space="preserve">ꎬ </w:t>
      </w:r>
      <w:r>
        <w:t>建立或者确定综合性应急救援队伍</w:t>
      </w:r>
      <w:r>
        <w:rPr>
          <w:rFonts w:hint="eastAsia" w:ascii="MS UI Gothic" w:eastAsia="MS UI Gothic"/>
          <w:w w:val="80"/>
        </w:rPr>
        <w:t xml:space="preserve">ꎮ </w:t>
      </w:r>
      <w:r>
        <w:t>人民政府有关部门可以根据实</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三</w:t>
      </w:r>
      <w:r>
        <w:rPr>
          <w:rFonts w:hint="eastAsia" w:ascii="Microsoft Yi Baiti" w:eastAsia="Microsoft Yi Baiti"/>
          <w:sz w:val="17"/>
        </w:rPr>
        <w:t xml:space="preserve">、 </w:t>
      </w:r>
      <w:r>
        <w:rPr>
          <w:sz w:val="17"/>
        </w:rPr>
        <w:t>应急管理基本法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３９</w:t>
      </w:r>
    </w:p>
    <w:p>
      <w:pPr>
        <w:spacing w:after="0"/>
        <w:jc w:val="right"/>
        <w:rPr>
          <w:rFonts w:hint="eastAsia" w:ascii="MS UI Gothic" w:eastAsia="MS UI Gothic"/>
        </w:rPr>
        <w:sectPr>
          <w:pgSz w:w="10500" w:h="14750"/>
          <w:pgMar w:top="960" w:right="980" w:bottom="280" w:left="980" w:header="720" w:footer="720" w:gutter="0"/>
          <w:cols w:equalWidth="0" w:num="2">
            <w:col w:w="5231" w:space="40"/>
            <w:col w:w="326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68" o:spid="_x0000_s1168" o:spt="203" style="height:2.15pt;width:398.25pt;" coordsize="7965,43">
            <o:lock v:ext="edit"/>
            <v:line id="_x0000_s1169" o:spid="_x0000_s1169" o:spt="20" style="position:absolute;left:0;top:39;height:0;width:7965;" stroked="t" coordsize="21600,21600">
              <v:path arrowok="t"/>
              <v:fill focussize="0,0"/>
              <v:stroke weight="0.388031496062992pt" color="#231F20"/>
              <v:imagedata o:title=""/>
              <o:lock v:ext="edit"/>
            </v:line>
            <v:line id="_x0000_s1170" o:spid="_x0000_s117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际需要设立专业应急救援队伍</w:t>
      </w:r>
      <w:r>
        <w:rPr>
          <w:rFonts w:hint="eastAsia" w:ascii="MS UI Gothic" w:eastAsia="MS UI Gothic"/>
          <w:w w:val="80"/>
        </w:rPr>
        <w:t>ꎮ</w:t>
      </w:r>
    </w:p>
    <w:p>
      <w:pPr>
        <w:pStyle w:val="6"/>
        <w:spacing w:before="58" w:line="295" w:lineRule="auto"/>
        <w:ind w:left="440"/>
        <w:rPr>
          <w:rFonts w:hint="eastAsia" w:ascii="MS UI Gothic" w:eastAsia="MS UI Gothic"/>
        </w:rPr>
      </w:pPr>
      <w:r>
        <w:t>县级以上人民政府及其有关部门可以建立由成年志愿者组成的应急救援队伍</w:t>
      </w:r>
      <w:r>
        <w:rPr>
          <w:rFonts w:hint="eastAsia" w:ascii="MS UI Gothic" w:eastAsia="MS UI Gothic"/>
          <w:w w:val="80"/>
        </w:rPr>
        <w:t>ꎮ</w:t>
      </w:r>
      <w:r>
        <w:t>单位应当建立由本单位职工组成的专职或</w:t>
      </w:r>
      <w:r>
        <w:rPr>
          <w:w w:val="105"/>
        </w:rPr>
        <w:t>者兼职应急救援队伍</w:t>
      </w:r>
      <w:r>
        <w:rPr>
          <w:rFonts w:hint="eastAsia" w:ascii="MS UI Gothic" w:eastAsia="MS UI Gothic"/>
          <w:w w:val="80"/>
        </w:rPr>
        <w:t>ꎮ</w:t>
      </w:r>
    </w:p>
    <w:p>
      <w:pPr>
        <w:pStyle w:val="6"/>
        <w:spacing w:line="295" w:lineRule="auto"/>
        <w:ind w:left="440"/>
        <w:rPr>
          <w:rFonts w:hint="eastAsia" w:ascii="MS UI Gothic" w:eastAsia="MS UI Gothic"/>
        </w:rPr>
      </w:pPr>
      <w:r>
        <w:t>县级以上人民政府应当加强专业应急救援队伍与非专业应急救援队伍的合作</w:t>
      </w:r>
      <w:r>
        <w:rPr>
          <w:rFonts w:hint="eastAsia" w:ascii="MS UI Gothic" w:eastAsia="MS UI Gothic"/>
          <w:w w:val="80"/>
        </w:rPr>
        <w:t>ꎬ</w:t>
      </w:r>
      <w:r>
        <w:t>联合培训</w:t>
      </w:r>
      <w:r>
        <w:rPr>
          <w:rFonts w:hint="eastAsia" w:ascii="MS UI Gothic" w:eastAsia="MS UI Gothic"/>
          <w:w w:val="80"/>
        </w:rPr>
        <w:t xml:space="preserve">、 </w:t>
      </w:r>
      <w:r>
        <w:t>联合演练</w:t>
      </w:r>
      <w:r>
        <w:rPr>
          <w:rFonts w:hint="eastAsia" w:ascii="MS UI Gothic" w:eastAsia="MS UI Gothic"/>
          <w:w w:val="80"/>
        </w:rPr>
        <w:t xml:space="preserve">ꎬ </w:t>
      </w:r>
      <w:r>
        <w:t>提高合成应急</w:t>
      </w:r>
      <w:r>
        <w:rPr>
          <w:rFonts w:hint="eastAsia" w:ascii="MS UI Gothic" w:eastAsia="MS UI Gothic"/>
          <w:w w:val="80"/>
        </w:rPr>
        <w:t xml:space="preserve">、 </w:t>
      </w:r>
      <w:r>
        <w:t>协同应急的能力</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第二十七条 国务院有关部门</w:t>
      </w:r>
      <w:r>
        <w:rPr>
          <w:rFonts w:hint="eastAsia" w:ascii="MS UI Gothic" w:eastAsia="MS UI Gothic"/>
          <w:w w:val="80"/>
        </w:rPr>
        <w:t xml:space="preserve">、 </w:t>
      </w:r>
      <w:r>
        <w:rPr>
          <w:w w:val="105"/>
        </w:rPr>
        <w:t>县级以上地方各级人民政府及其有关部门</w:t>
      </w:r>
      <w:r>
        <w:rPr>
          <w:rFonts w:hint="eastAsia" w:ascii="MS UI Gothic" w:eastAsia="MS UI Gothic"/>
          <w:w w:val="80"/>
        </w:rPr>
        <w:t xml:space="preserve">、 </w:t>
      </w:r>
      <w:r>
        <w:rPr>
          <w:w w:val="105"/>
        </w:rPr>
        <w:t>有</w:t>
      </w:r>
      <w:r>
        <w:t>关单位应当为专业应急救援人员购买人身意外伤害保险</w:t>
      </w:r>
      <w:r>
        <w:rPr>
          <w:rFonts w:hint="eastAsia" w:ascii="MS UI Gothic" w:eastAsia="MS UI Gothic"/>
          <w:w w:val="80"/>
        </w:rPr>
        <w:t xml:space="preserve">ꎬ </w:t>
      </w:r>
      <w:r>
        <w:t>配备必要的防护装备和器</w:t>
      </w:r>
      <w:r>
        <w:rPr>
          <w:w w:val="105"/>
        </w:rPr>
        <w:t>材</w:t>
      </w:r>
      <w:r>
        <w:rPr>
          <w:rFonts w:hint="eastAsia" w:ascii="MS UI Gothic" w:eastAsia="MS UI Gothic"/>
          <w:w w:val="80"/>
        </w:rPr>
        <w:t xml:space="preserve">ꎬ </w:t>
      </w:r>
      <w:r>
        <w:rPr>
          <w:w w:val="105"/>
        </w:rPr>
        <w:t>减少应急救援人员的人身风险</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第二十八条 中国人民解放军</w:t>
      </w:r>
      <w:r>
        <w:rPr>
          <w:rFonts w:hint="eastAsia" w:ascii="MS UI Gothic" w:eastAsia="MS UI Gothic"/>
          <w:w w:val="80"/>
        </w:rPr>
        <w:t xml:space="preserve">、 </w:t>
      </w:r>
      <w:r>
        <w:rPr>
          <w:w w:val="105"/>
        </w:rPr>
        <w:t>中国</w:t>
      </w:r>
      <w:r>
        <w:t>人民武装警察部队和民兵组织应当有计划</w:t>
      </w:r>
      <w:r>
        <w:rPr>
          <w:w w:val="105"/>
        </w:rPr>
        <w:t>地组织开展应急救援的专门训练</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第二十九条 县级人民政府及其有关部门</w:t>
      </w:r>
      <w:r>
        <w:rPr>
          <w:rFonts w:hint="eastAsia" w:ascii="MS UI Gothic" w:eastAsia="MS UI Gothic"/>
          <w:w w:val="80"/>
        </w:rPr>
        <w:t xml:space="preserve">、 </w:t>
      </w:r>
      <w:r>
        <w:rPr>
          <w:w w:val="105"/>
        </w:rPr>
        <w:t>乡级人民政府</w:t>
      </w:r>
      <w:r>
        <w:rPr>
          <w:rFonts w:hint="eastAsia" w:ascii="MS UI Gothic" w:eastAsia="MS UI Gothic"/>
          <w:w w:val="80"/>
        </w:rPr>
        <w:t xml:space="preserve">、 </w:t>
      </w:r>
      <w:r>
        <w:rPr>
          <w:w w:val="105"/>
        </w:rPr>
        <w:t>街道办事处应当组</w:t>
      </w:r>
      <w:r>
        <w:t>织开展应急知识的宣传普及活动和必要的</w:t>
      </w:r>
      <w:r>
        <w:rPr>
          <w:w w:val="105"/>
        </w:rPr>
        <w:t>应急演练</w:t>
      </w:r>
      <w:r>
        <w:rPr>
          <w:rFonts w:hint="eastAsia" w:ascii="MS UI Gothic" w:eastAsia="MS UI Gothic"/>
          <w:w w:val="80"/>
        </w:rPr>
        <w:t>ꎮ</w:t>
      </w:r>
    </w:p>
    <w:p>
      <w:pPr>
        <w:pStyle w:val="6"/>
        <w:spacing w:line="295" w:lineRule="auto"/>
        <w:ind w:left="440" w:right="1"/>
        <w:rPr>
          <w:rFonts w:hint="eastAsia" w:ascii="MS UI Gothic" w:eastAsia="MS UI Gothic"/>
        </w:rPr>
      </w:pPr>
      <w:r>
        <w:t>居民委员会</w:t>
      </w:r>
      <w:r>
        <w:rPr>
          <w:rFonts w:hint="eastAsia" w:ascii="MS UI Gothic" w:eastAsia="MS UI Gothic"/>
          <w:w w:val="80"/>
        </w:rPr>
        <w:t xml:space="preserve">、 </w:t>
      </w:r>
      <w:r>
        <w:t>村民委员会</w:t>
      </w:r>
      <w:r>
        <w:rPr>
          <w:rFonts w:hint="eastAsia" w:ascii="MS UI Gothic" w:eastAsia="MS UI Gothic"/>
          <w:w w:val="80"/>
        </w:rPr>
        <w:t xml:space="preserve">、 </w:t>
      </w:r>
      <w:r>
        <w:t>企业事业单位应当根据所在地人民政府的要求</w:t>
      </w:r>
      <w:r>
        <w:rPr>
          <w:rFonts w:hint="eastAsia" w:ascii="MS UI Gothic" w:eastAsia="MS UI Gothic"/>
          <w:w w:val="80"/>
        </w:rPr>
        <w:t xml:space="preserve">ꎬ </w:t>
      </w:r>
      <w:r>
        <w:t>结合各自的实际情况</w:t>
      </w:r>
      <w:r>
        <w:rPr>
          <w:rFonts w:hint="eastAsia" w:ascii="MS UI Gothic" w:eastAsia="MS UI Gothic"/>
          <w:w w:val="80"/>
        </w:rPr>
        <w:t xml:space="preserve">ꎬ </w:t>
      </w:r>
      <w:r>
        <w:t>开展有关突发事件应急知识的宣传普及活动和必要的应急演练</w:t>
      </w:r>
      <w:r>
        <w:rPr>
          <w:rFonts w:hint="eastAsia" w:ascii="MS UI Gothic" w:eastAsia="MS UI Gothic"/>
          <w:w w:val="80"/>
        </w:rPr>
        <w:t>ꎮ</w:t>
      </w:r>
    </w:p>
    <w:p>
      <w:pPr>
        <w:pStyle w:val="6"/>
        <w:spacing w:line="295" w:lineRule="auto"/>
        <w:ind w:left="440" w:right="1"/>
        <w:rPr>
          <w:rFonts w:hint="eastAsia" w:ascii="MS UI Gothic" w:eastAsia="MS UI Gothic"/>
        </w:rPr>
      </w:pPr>
      <w:r>
        <w:t>新闻媒体应当无偿开展突发事件预防</w:t>
      </w:r>
      <w:r>
        <w:rPr>
          <w:w w:val="105"/>
        </w:rPr>
        <w:t>与应急</w:t>
      </w:r>
      <w:r>
        <w:rPr>
          <w:rFonts w:hint="eastAsia" w:ascii="MS UI Gothic" w:eastAsia="MS UI Gothic"/>
          <w:w w:val="80"/>
        </w:rPr>
        <w:t xml:space="preserve">、 </w:t>
      </w:r>
      <w:r>
        <w:rPr>
          <w:w w:val="105"/>
        </w:rPr>
        <w:t>自救与互救知识的公益宣传</w:t>
      </w:r>
      <w:r>
        <w:rPr>
          <w:rFonts w:hint="eastAsia" w:ascii="MS UI Gothic" w:eastAsia="MS UI Gothic"/>
          <w:w w:val="80"/>
        </w:rPr>
        <w:t>ꎮ</w:t>
      </w:r>
    </w:p>
    <w:p>
      <w:pPr>
        <w:pStyle w:val="6"/>
        <w:spacing w:line="295" w:lineRule="auto"/>
        <w:ind w:left="440" w:right="1"/>
        <w:rPr>
          <w:rFonts w:hint="eastAsia" w:ascii="MS UI Gothic" w:eastAsia="MS UI Gothic"/>
        </w:rPr>
      </w:pPr>
      <w:r>
        <w:t>第三十条 各级各类学校应当把应急知识教育纳入教学内容</w:t>
      </w:r>
      <w:r>
        <w:rPr>
          <w:rFonts w:hint="eastAsia" w:ascii="MS UI Gothic" w:eastAsia="MS UI Gothic"/>
          <w:w w:val="80"/>
        </w:rPr>
        <w:t xml:space="preserve">ꎬ </w:t>
      </w:r>
      <w:r>
        <w:t>对学生进行应急知识教育</w:t>
      </w:r>
      <w:r>
        <w:rPr>
          <w:rFonts w:hint="eastAsia" w:ascii="MS UI Gothic" w:eastAsia="MS UI Gothic"/>
          <w:w w:val="80"/>
        </w:rPr>
        <w:t xml:space="preserve">ꎬ </w:t>
      </w:r>
      <w:r>
        <w:t>培养学生的安全意识和自救与互救能力</w:t>
      </w:r>
      <w:r>
        <w:rPr>
          <w:rFonts w:hint="eastAsia" w:ascii="MS UI Gothic" w:eastAsia="MS UI Gothic"/>
          <w:w w:val="80"/>
        </w:rPr>
        <w:t>ꎮ</w:t>
      </w:r>
    </w:p>
    <w:p>
      <w:pPr>
        <w:pStyle w:val="6"/>
        <w:spacing w:line="295" w:lineRule="auto"/>
        <w:ind w:left="440" w:right="1"/>
        <w:jc w:val="left"/>
        <w:rPr>
          <w:rFonts w:hint="eastAsia" w:ascii="MS UI Gothic" w:eastAsia="MS UI Gothic"/>
        </w:rPr>
      </w:pPr>
      <w:r>
        <w:t>教育主管部门应当对学校开展应急知</w:t>
      </w:r>
      <w:r>
        <w:rPr>
          <w:w w:val="105"/>
        </w:rPr>
        <w:t>识教育进行指导和监督</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第三十一条 国务院和县级以上地方</w:t>
      </w:r>
      <w:r>
        <w:t>各级人民政府应当采取财政措施</w:t>
      </w:r>
      <w:r>
        <w:rPr>
          <w:rFonts w:hint="eastAsia" w:ascii="MS UI Gothic" w:eastAsia="MS UI Gothic"/>
          <w:w w:val="80"/>
        </w:rPr>
        <w:t xml:space="preserve">ꎬ </w:t>
      </w:r>
      <w:r>
        <w:t>保障突</w:t>
      </w:r>
      <w:r>
        <w:rPr>
          <w:w w:val="105"/>
        </w:rPr>
        <w:t>发事件应对工作所需经费</w:t>
      </w:r>
      <w:r>
        <w:rPr>
          <w:rFonts w:hint="eastAsia" w:ascii="MS UI Gothic" w:eastAsia="MS UI Gothic"/>
          <w:w w:val="80"/>
        </w:rPr>
        <w:t>ꎮ</w:t>
      </w:r>
    </w:p>
    <w:p>
      <w:pPr>
        <w:pStyle w:val="6"/>
        <w:spacing w:line="295" w:lineRule="auto"/>
        <w:ind w:left="440" w:right="1"/>
      </w:pPr>
      <w:r>
        <w:rPr>
          <w:w w:val="105"/>
        </w:rPr>
        <w:t>第三十二条 国家建立健全应急物资</w:t>
      </w:r>
      <w:r>
        <w:t>储备保障制度</w:t>
      </w:r>
      <w:r>
        <w:rPr>
          <w:rFonts w:hint="eastAsia" w:ascii="MS UI Gothic" w:eastAsia="MS UI Gothic"/>
          <w:w w:val="80"/>
        </w:rPr>
        <w:t xml:space="preserve">ꎬ </w:t>
      </w:r>
      <w:r>
        <w:t>完善重要应急物资的监</w:t>
      </w:r>
    </w:p>
    <w:p>
      <w:pPr>
        <w:pStyle w:val="6"/>
        <w:spacing w:before="124" w:line="295" w:lineRule="auto"/>
        <w:ind w:left="800" w:right="126" w:hanging="420"/>
        <w:jc w:val="left"/>
      </w:pPr>
      <w:r>
        <w:br w:type="column"/>
      </w:r>
      <w:r>
        <w:t>管</w:t>
      </w:r>
      <w:r>
        <w:rPr>
          <w:rFonts w:hint="eastAsia" w:ascii="MS UI Gothic" w:eastAsia="MS UI Gothic"/>
          <w:w w:val="80"/>
        </w:rPr>
        <w:t xml:space="preserve">、 </w:t>
      </w:r>
      <w:r>
        <w:t>生产</w:t>
      </w:r>
      <w:r>
        <w:rPr>
          <w:rFonts w:hint="eastAsia" w:ascii="MS UI Gothic" w:eastAsia="MS UI Gothic"/>
          <w:w w:val="80"/>
        </w:rPr>
        <w:t xml:space="preserve">、  </w:t>
      </w:r>
      <w:r>
        <w:t>储备</w:t>
      </w:r>
      <w:r>
        <w:rPr>
          <w:rFonts w:hint="eastAsia" w:ascii="MS UI Gothic" w:eastAsia="MS UI Gothic"/>
          <w:w w:val="80"/>
        </w:rPr>
        <w:t xml:space="preserve">、  </w:t>
      </w:r>
      <w:r>
        <w:t>调拨和紧急配送体系</w:t>
      </w:r>
      <w:r>
        <w:rPr>
          <w:rFonts w:hint="eastAsia" w:ascii="MS UI Gothic" w:eastAsia="MS UI Gothic"/>
          <w:w w:val="80"/>
        </w:rPr>
        <w:t>ꎮ</w:t>
      </w:r>
      <w:r>
        <w:t>设区的市级以上人民政府和突发事件</w:t>
      </w:r>
    </w:p>
    <w:p>
      <w:pPr>
        <w:pStyle w:val="6"/>
        <w:spacing w:line="295" w:lineRule="auto"/>
        <w:ind w:left="381" w:right="126" w:firstLine="0"/>
        <w:rPr>
          <w:rFonts w:hint="eastAsia" w:ascii="MS UI Gothic" w:eastAsia="MS UI Gothic"/>
        </w:rPr>
      </w:pPr>
      <w:r>
        <w:rPr>
          <w:w w:val="105"/>
        </w:rPr>
        <w:t>易发</w:t>
      </w:r>
      <w:r>
        <w:rPr>
          <w:rFonts w:hint="eastAsia" w:ascii="MS UI Gothic" w:eastAsia="MS UI Gothic"/>
          <w:w w:val="80"/>
        </w:rPr>
        <w:t xml:space="preserve">、 </w:t>
      </w:r>
      <w:r>
        <w:rPr>
          <w:w w:val="105"/>
        </w:rPr>
        <w:t>多发地区的县级人民政府应当建立应急救援物资</w:t>
      </w:r>
      <w:r>
        <w:rPr>
          <w:rFonts w:hint="eastAsia" w:ascii="MS UI Gothic" w:eastAsia="MS UI Gothic"/>
          <w:w w:val="80"/>
        </w:rPr>
        <w:t xml:space="preserve">、 </w:t>
      </w:r>
      <w:r>
        <w:rPr>
          <w:w w:val="105"/>
        </w:rPr>
        <w:t>生活必需品和应急处置装备的储备制度</w:t>
      </w:r>
      <w:r>
        <w:rPr>
          <w:rFonts w:hint="eastAsia" w:ascii="MS UI Gothic" w:eastAsia="MS UI Gothic"/>
          <w:w w:val="80"/>
        </w:rPr>
        <w:t>ꎮ</w:t>
      </w:r>
    </w:p>
    <w:p>
      <w:pPr>
        <w:pStyle w:val="6"/>
        <w:spacing w:line="295" w:lineRule="auto"/>
        <w:ind w:left="381" w:right="126"/>
        <w:rPr>
          <w:rFonts w:hint="eastAsia" w:ascii="MS UI Gothic" w:eastAsia="MS UI Gothic"/>
        </w:rPr>
      </w:pPr>
      <w:r>
        <w:t>县级以上地方各级人民政府应当根据本地区的实际情况</w:t>
      </w:r>
      <w:r>
        <w:rPr>
          <w:rFonts w:hint="eastAsia" w:ascii="MS UI Gothic" w:eastAsia="MS UI Gothic"/>
          <w:w w:val="80"/>
        </w:rPr>
        <w:t xml:space="preserve">ꎬ </w:t>
      </w:r>
      <w:r>
        <w:t>与有关企业签订协议</w:t>
      </w:r>
      <w:r>
        <w:rPr>
          <w:rFonts w:hint="eastAsia" w:ascii="MS UI Gothic" w:eastAsia="MS UI Gothic"/>
          <w:w w:val="80"/>
        </w:rPr>
        <w:t xml:space="preserve">ꎬ </w:t>
      </w:r>
      <w:r>
        <w:t>保障应急救援物资</w:t>
      </w:r>
      <w:r>
        <w:rPr>
          <w:rFonts w:hint="eastAsia" w:ascii="MS UI Gothic" w:eastAsia="MS UI Gothic"/>
          <w:w w:val="80"/>
        </w:rPr>
        <w:t xml:space="preserve">、 </w:t>
      </w:r>
      <w:r>
        <w:t>生活必需品和应急处置装备的生产</w:t>
      </w:r>
      <w:r>
        <w:rPr>
          <w:rFonts w:hint="eastAsia" w:ascii="MS UI Gothic" w:eastAsia="MS UI Gothic"/>
          <w:w w:val="80"/>
        </w:rPr>
        <w:t xml:space="preserve">、 </w:t>
      </w:r>
      <w:r>
        <w:t>供给</w:t>
      </w:r>
      <w:r>
        <w:rPr>
          <w:rFonts w:hint="eastAsia" w:ascii="MS UI Gothic" w:eastAsia="MS UI Gothic"/>
          <w:w w:val="80"/>
        </w:rPr>
        <w:t>ꎮ</w:t>
      </w:r>
    </w:p>
    <w:p>
      <w:pPr>
        <w:pStyle w:val="6"/>
        <w:spacing w:line="295" w:lineRule="auto"/>
        <w:ind w:left="381" w:right="126"/>
        <w:rPr>
          <w:rFonts w:hint="eastAsia" w:ascii="MS UI Gothic" w:eastAsia="MS UI Gothic"/>
        </w:rPr>
      </w:pPr>
      <w:r>
        <w:t>第三十三条 国家建立健全应急通信保障体系</w:t>
      </w:r>
      <w:r>
        <w:rPr>
          <w:rFonts w:hint="eastAsia" w:ascii="MS UI Gothic" w:eastAsia="MS UI Gothic"/>
          <w:w w:val="80"/>
        </w:rPr>
        <w:t xml:space="preserve">ꎬ </w:t>
      </w:r>
      <w:r>
        <w:t>完善公用通信网</w:t>
      </w:r>
      <w:r>
        <w:rPr>
          <w:rFonts w:hint="eastAsia" w:ascii="MS UI Gothic" w:eastAsia="MS UI Gothic"/>
          <w:w w:val="80"/>
        </w:rPr>
        <w:t xml:space="preserve">ꎬ </w:t>
      </w:r>
      <w:r>
        <w:t>建立有线与无线相结合</w:t>
      </w:r>
      <w:r>
        <w:rPr>
          <w:rFonts w:hint="eastAsia" w:ascii="MS UI Gothic" w:eastAsia="MS UI Gothic"/>
          <w:w w:val="80"/>
        </w:rPr>
        <w:t xml:space="preserve">、 </w:t>
      </w:r>
      <w:r>
        <w:t>基础电信网络与机动通信系统相配套的应急通信系统</w:t>
      </w:r>
      <w:r>
        <w:rPr>
          <w:rFonts w:hint="eastAsia" w:ascii="MS UI Gothic" w:eastAsia="MS UI Gothic"/>
          <w:w w:val="80"/>
        </w:rPr>
        <w:t xml:space="preserve">ꎬ </w:t>
      </w:r>
      <w:r>
        <w:t>确保突发事件应对工作的通信畅通</w:t>
      </w:r>
      <w:r>
        <w:rPr>
          <w:rFonts w:hint="eastAsia" w:ascii="MS UI Gothic" w:eastAsia="MS UI Gothic"/>
          <w:w w:val="80"/>
        </w:rPr>
        <w:t>ꎮ</w:t>
      </w:r>
    </w:p>
    <w:p>
      <w:pPr>
        <w:pStyle w:val="6"/>
        <w:spacing w:line="295" w:lineRule="auto"/>
        <w:ind w:left="381" w:right="126"/>
        <w:rPr>
          <w:rFonts w:hint="eastAsia" w:ascii="MS UI Gothic" w:eastAsia="MS UI Gothic"/>
        </w:rPr>
      </w:pPr>
      <w:r>
        <w:t>第三十四条 国家鼓励公民</w:t>
      </w:r>
      <w:r>
        <w:rPr>
          <w:rFonts w:hint="eastAsia" w:ascii="MS UI Gothic" w:eastAsia="MS UI Gothic"/>
          <w:w w:val="80"/>
        </w:rPr>
        <w:t xml:space="preserve">、 </w:t>
      </w:r>
      <w:r>
        <w:t>法人和其他组织为人民政府应对突发事件工作提供物资</w:t>
      </w:r>
      <w:r>
        <w:rPr>
          <w:rFonts w:hint="eastAsia" w:ascii="MS UI Gothic" w:eastAsia="MS UI Gothic"/>
          <w:w w:val="80"/>
        </w:rPr>
        <w:t xml:space="preserve">、 </w:t>
      </w:r>
      <w:r>
        <w:t>资金</w:t>
      </w:r>
      <w:r>
        <w:rPr>
          <w:rFonts w:hint="eastAsia" w:ascii="MS UI Gothic" w:eastAsia="MS UI Gothic"/>
          <w:w w:val="80"/>
        </w:rPr>
        <w:t xml:space="preserve">、 </w:t>
      </w:r>
      <w:r>
        <w:t>技术支持和捐赠</w:t>
      </w:r>
      <w:r>
        <w:rPr>
          <w:rFonts w:hint="eastAsia" w:ascii="MS UI Gothic" w:eastAsia="MS UI Gothic"/>
          <w:w w:val="80"/>
        </w:rPr>
        <w:t>ꎮ</w:t>
      </w:r>
    </w:p>
    <w:p>
      <w:pPr>
        <w:pStyle w:val="6"/>
        <w:spacing w:line="295" w:lineRule="auto"/>
        <w:ind w:left="381" w:right="126"/>
        <w:rPr>
          <w:rFonts w:hint="eastAsia" w:ascii="MS UI Gothic" w:eastAsia="MS UI Gothic"/>
        </w:rPr>
      </w:pPr>
      <w:r>
        <w:t>第三十五条 国家发展保险事业</w:t>
      </w:r>
      <w:r>
        <w:rPr>
          <w:rFonts w:hint="eastAsia" w:ascii="MS UI Gothic" w:eastAsia="MS UI Gothic"/>
          <w:w w:val="80"/>
        </w:rPr>
        <w:t xml:space="preserve">ꎬ </w:t>
      </w:r>
      <w:r>
        <w:t>建立国家财政支持的巨灾风险保险体系</w:t>
      </w:r>
      <w:r>
        <w:rPr>
          <w:rFonts w:hint="eastAsia" w:ascii="MS UI Gothic" w:eastAsia="MS UI Gothic"/>
          <w:w w:val="80"/>
        </w:rPr>
        <w:t xml:space="preserve">ꎬ </w:t>
      </w:r>
      <w:r>
        <w:t>并鼓励单位和公民参加保险</w:t>
      </w:r>
      <w:r>
        <w:rPr>
          <w:rFonts w:hint="eastAsia" w:ascii="MS UI Gothic" w:eastAsia="MS UI Gothic"/>
          <w:w w:val="80"/>
        </w:rPr>
        <w:t>ꎮ</w:t>
      </w:r>
    </w:p>
    <w:p>
      <w:pPr>
        <w:pStyle w:val="6"/>
        <w:spacing w:line="295" w:lineRule="auto"/>
        <w:ind w:left="381" w:right="126"/>
        <w:rPr>
          <w:rFonts w:hint="eastAsia" w:ascii="MS UI Gothic" w:eastAsia="MS UI Gothic"/>
        </w:rPr>
      </w:pPr>
      <w:r>
        <w:t>第三十六条 国家鼓励</w:t>
      </w:r>
      <w:r>
        <w:rPr>
          <w:rFonts w:hint="eastAsia" w:ascii="MS UI Gothic" w:eastAsia="MS UI Gothic"/>
          <w:w w:val="80"/>
        </w:rPr>
        <w:t xml:space="preserve">、 </w:t>
      </w:r>
      <w:r>
        <w:t>扶持具备相应条件的教学科研机构培养应急管理专门人才</w:t>
      </w:r>
      <w:r>
        <w:rPr>
          <w:rFonts w:hint="eastAsia" w:ascii="MS UI Gothic" w:eastAsia="MS UI Gothic"/>
          <w:w w:val="80"/>
        </w:rPr>
        <w:t xml:space="preserve">ꎬ </w:t>
      </w:r>
      <w:r>
        <w:t>鼓励</w:t>
      </w:r>
      <w:r>
        <w:rPr>
          <w:rFonts w:hint="eastAsia" w:ascii="MS UI Gothic" w:eastAsia="MS UI Gothic"/>
          <w:w w:val="80"/>
        </w:rPr>
        <w:t xml:space="preserve">、 </w:t>
      </w:r>
      <w:r>
        <w:t>扶持教学科研机构和有关企业研究开发用于突发事件预防</w:t>
      </w:r>
      <w:r>
        <w:rPr>
          <w:rFonts w:hint="eastAsia" w:ascii="MS UI Gothic" w:eastAsia="MS UI Gothic"/>
          <w:w w:val="80"/>
        </w:rPr>
        <w:t xml:space="preserve">、 </w:t>
      </w:r>
      <w:r>
        <w:t>监测</w:t>
      </w:r>
      <w:r>
        <w:rPr>
          <w:rFonts w:hint="eastAsia" w:ascii="MS UI Gothic" w:eastAsia="MS UI Gothic"/>
          <w:w w:val="80"/>
        </w:rPr>
        <w:t xml:space="preserve">、 </w:t>
      </w:r>
      <w:r>
        <w:t>预警</w:t>
      </w:r>
      <w:r>
        <w:rPr>
          <w:rFonts w:hint="eastAsia" w:ascii="MS UI Gothic" w:eastAsia="MS UI Gothic"/>
          <w:w w:val="80"/>
        </w:rPr>
        <w:t xml:space="preserve">、 </w:t>
      </w:r>
      <w:r>
        <w:t>应急处置与救援的新技术</w:t>
      </w:r>
      <w:r>
        <w:rPr>
          <w:rFonts w:hint="eastAsia" w:ascii="MS UI Gothic" w:eastAsia="MS UI Gothic"/>
          <w:w w:val="80"/>
        </w:rPr>
        <w:t xml:space="preserve">、 </w:t>
      </w:r>
      <w:r>
        <w:t>新设备和新工具</w:t>
      </w:r>
      <w:r>
        <w:rPr>
          <w:rFonts w:hint="eastAsia" w:ascii="MS UI Gothic" w:eastAsia="MS UI Gothic"/>
          <w:w w:val="80"/>
        </w:rPr>
        <w:t>ꎮ</w:t>
      </w:r>
    </w:p>
    <w:p>
      <w:pPr>
        <w:pStyle w:val="6"/>
        <w:tabs>
          <w:tab w:val="left" w:pos="2162"/>
        </w:tabs>
        <w:spacing w:before="137"/>
        <w:ind w:left="1324" w:firstLine="0"/>
        <w:jc w:val="left"/>
      </w:pPr>
      <w:r>
        <w:rPr>
          <w:spacing w:val="3"/>
          <w:w w:val="105"/>
        </w:rPr>
        <w:t>第三</w:t>
      </w:r>
      <w:r>
        <w:rPr>
          <w:w w:val="105"/>
        </w:rPr>
        <w:t>章</w:t>
      </w:r>
      <w:r>
        <w:rPr>
          <w:w w:val="105"/>
        </w:rPr>
        <w:tab/>
      </w:r>
      <w:r>
        <w:rPr>
          <w:spacing w:val="3"/>
          <w:w w:val="105"/>
        </w:rPr>
        <w:t>监测与预</w:t>
      </w:r>
      <w:r>
        <w:rPr>
          <w:w w:val="105"/>
        </w:rPr>
        <w:t>警</w:t>
      </w:r>
    </w:p>
    <w:p>
      <w:pPr>
        <w:pStyle w:val="6"/>
        <w:spacing w:before="215" w:line="295" w:lineRule="auto"/>
        <w:ind w:left="381" w:right="126"/>
        <w:rPr>
          <w:rFonts w:hint="eastAsia" w:ascii="MS UI Gothic" w:eastAsia="MS UI Gothic"/>
        </w:rPr>
      </w:pPr>
      <w:r>
        <w:rPr>
          <w:w w:val="105"/>
        </w:rPr>
        <w:t>第三十七条 国务院建立全国统一的突发事件信息系统</w:t>
      </w:r>
      <w:r>
        <w:rPr>
          <w:rFonts w:hint="eastAsia" w:ascii="MS UI Gothic" w:eastAsia="MS UI Gothic"/>
          <w:w w:val="80"/>
        </w:rPr>
        <w:t>ꎮ</w:t>
      </w:r>
    </w:p>
    <w:p>
      <w:pPr>
        <w:pStyle w:val="6"/>
        <w:spacing w:line="295" w:lineRule="auto"/>
        <w:ind w:left="381" w:right="126"/>
        <w:rPr>
          <w:rFonts w:hint="eastAsia" w:ascii="MS UI Gothic" w:eastAsia="MS UI Gothic"/>
        </w:rPr>
      </w:pPr>
      <w:r>
        <w:t>县级以上地方各级人民政府应当建立或者确定本地区统一的突发事件信息系统</w:t>
      </w:r>
      <w:r>
        <w:rPr>
          <w:rFonts w:hint="eastAsia" w:ascii="MS UI Gothic" w:eastAsia="MS UI Gothic"/>
          <w:w w:val="80"/>
        </w:rPr>
        <w:t xml:space="preserve">ꎬ </w:t>
      </w:r>
      <w:r>
        <w:t>汇集</w:t>
      </w:r>
      <w:r>
        <w:rPr>
          <w:rFonts w:hint="eastAsia" w:ascii="MS UI Gothic" w:eastAsia="MS UI Gothic"/>
          <w:w w:val="80"/>
        </w:rPr>
        <w:t xml:space="preserve">、 </w:t>
      </w:r>
      <w:r>
        <w:t>储存</w:t>
      </w:r>
      <w:r>
        <w:rPr>
          <w:rFonts w:hint="eastAsia" w:ascii="MS UI Gothic" w:eastAsia="MS UI Gothic"/>
          <w:w w:val="80"/>
        </w:rPr>
        <w:t xml:space="preserve">、 </w:t>
      </w:r>
      <w:r>
        <w:t>分析</w:t>
      </w:r>
      <w:r>
        <w:rPr>
          <w:rFonts w:hint="eastAsia" w:ascii="MS UI Gothic" w:eastAsia="MS UI Gothic"/>
          <w:w w:val="80"/>
        </w:rPr>
        <w:t xml:space="preserve">、  </w:t>
      </w:r>
      <w:r>
        <w:t>传输有关突发事件的信息</w:t>
      </w:r>
      <w:r>
        <w:rPr>
          <w:rFonts w:hint="eastAsia" w:ascii="MS UI Gothic" w:eastAsia="MS UI Gothic"/>
          <w:w w:val="80"/>
        </w:rPr>
        <w:t xml:space="preserve">ꎬ </w:t>
      </w:r>
      <w:r>
        <w:t>并与上级人民政府及其有关部门</w:t>
      </w:r>
      <w:r>
        <w:rPr>
          <w:rFonts w:hint="eastAsia" w:ascii="MS UI Gothic" w:eastAsia="MS UI Gothic"/>
          <w:w w:val="80"/>
        </w:rPr>
        <w:t xml:space="preserve">、 </w:t>
      </w:r>
      <w:r>
        <w:t>下级人民政府及其有关部门</w:t>
      </w:r>
      <w:r>
        <w:rPr>
          <w:rFonts w:hint="eastAsia" w:ascii="MS UI Gothic" w:eastAsia="MS UI Gothic"/>
          <w:w w:val="80"/>
        </w:rPr>
        <w:t xml:space="preserve">、 </w:t>
      </w:r>
      <w:r>
        <w:t>专业机构和监测网点的突发事件信息系统实现互联互通</w:t>
      </w:r>
      <w:r>
        <w:rPr>
          <w:rFonts w:hint="eastAsia" w:ascii="MS UI Gothic" w:eastAsia="MS UI Gothic"/>
          <w:w w:val="80"/>
        </w:rPr>
        <w:t xml:space="preserve">ꎬ </w:t>
      </w:r>
      <w:r>
        <w:t>加强跨部门</w:t>
      </w:r>
      <w:r>
        <w:rPr>
          <w:rFonts w:hint="eastAsia" w:ascii="MS UI Gothic" w:eastAsia="MS UI Gothic"/>
          <w:w w:val="80"/>
        </w:rPr>
        <w:t xml:space="preserve">、 </w:t>
      </w:r>
      <w:r>
        <w:t>跨地区的信息交流与情报合作</w:t>
      </w:r>
      <w:r>
        <w:rPr>
          <w:rFonts w:hint="eastAsia" w:ascii="MS UI Gothic" w:eastAsia="MS UI Gothic"/>
          <w:w w:val="80"/>
        </w:rPr>
        <w:t>ꎮ</w:t>
      </w:r>
    </w:p>
    <w:p>
      <w:pPr>
        <w:pStyle w:val="6"/>
        <w:tabs>
          <w:tab w:val="left" w:pos="2057"/>
        </w:tabs>
        <w:spacing w:line="250" w:lineRule="exact"/>
        <w:ind w:left="800" w:firstLine="0"/>
        <w:jc w:val="left"/>
      </w:pPr>
      <w:r>
        <w:rPr>
          <w:spacing w:val="3"/>
          <w:w w:val="105"/>
        </w:rPr>
        <w:t>第三十八</w:t>
      </w:r>
      <w:r>
        <w:rPr>
          <w:w w:val="105"/>
        </w:rPr>
        <w:t>条</w:t>
      </w:r>
      <w:r>
        <w:rPr>
          <w:w w:val="105"/>
        </w:rPr>
        <w:tab/>
      </w:r>
      <w:r>
        <w:rPr>
          <w:spacing w:val="3"/>
          <w:w w:val="105"/>
        </w:rPr>
        <w:t>县级以上人民政府及</w:t>
      </w:r>
      <w:r>
        <w:rPr>
          <w:w w:val="105"/>
        </w:rPr>
        <w:t>其</w:t>
      </w:r>
    </w:p>
    <w:p>
      <w:pPr>
        <w:spacing w:after="0" w:line="250"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４０</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71" o:spid="_x0000_s1171" o:spt="203" style="height:2.15pt;width:398.25pt;" coordsize="7965,43">
            <o:lock v:ext="edit"/>
            <v:line id="_x0000_s1172" o:spid="_x0000_s1172" o:spt="20" style="position:absolute;left:0;top:39;height:0;width:7965;" stroked="t" coordsize="21600,21600">
              <v:path arrowok="t"/>
              <v:fill focussize="0,0"/>
              <v:stroke weight="0.388031496062992pt" color="#231F20"/>
              <v:imagedata o:title=""/>
              <o:lock v:ext="edit"/>
            </v:line>
            <v:line id="_x0000_s1173" o:spid="_x0000_s117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jc w:val="left"/>
        <w:rPr>
          <w:rFonts w:hint="eastAsia" w:ascii="MS UI Gothic" w:eastAsia="MS UI Gothic"/>
        </w:rPr>
      </w:pPr>
      <w:r>
        <w:t>有关部门</w:t>
      </w:r>
      <w:r>
        <w:rPr>
          <w:rFonts w:hint="eastAsia" w:ascii="MS UI Gothic" w:eastAsia="MS UI Gothic"/>
          <w:w w:val="80"/>
        </w:rPr>
        <w:t xml:space="preserve">、 </w:t>
      </w:r>
      <w:r>
        <w:t>专业机构应当通过多种途径收集突发事件信息</w:t>
      </w:r>
      <w:r>
        <w:rPr>
          <w:rFonts w:hint="eastAsia" w:ascii="MS UI Gothic" w:eastAsia="MS UI Gothic"/>
          <w:w w:val="80"/>
        </w:rPr>
        <w:t>ꎮ</w:t>
      </w:r>
    </w:p>
    <w:p>
      <w:pPr>
        <w:pStyle w:val="6"/>
        <w:spacing w:line="295" w:lineRule="auto"/>
        <w:ind w:right="39"/>
        <w:rPr>
          <w:rFonts w:hint="eastAsia" w:ascii="MS UI Gothic" w:eastAsia="MS UI Gothic"/>
        </w:rPr>
      </w:pPr>
      <w:r>
        <w:rPr>
          <w:w w:val="105"/>
        </w:rPr>
        <w:t>县级人民政府应当在居民委员会</w:t>
      </w:r>
      <w:r>
        <w:rPr>
          <w:rFonts w:hint="eastAsia" w:ascii="MS UI Gothic" w:eastAsia="MS UI Gothic"/>
          <w:w w:val="80"/>
        </w:rPr>
        <w:t xml:space="preserve">、 </w:t>
      </w:r>
      <w:r>
        <w:rPr>
          <w:w w:val="105"/>
        </w:rPr>
        <w:t>村</w:t>
      </w:r>
      <w:r>
        <w:t>民委员会和有关单位建立专职或者兼职信</w:t>
      </w:r>
      <w:r>
        <w:rPr>
          <w:w w:val="105"/>
        </w:rPr>
        <w:t>息报告员制度</w:t>
      </w:r>
      <w:r>
        <w:rPr>
          <w:rFonts w:hint="eastAsia" w:ascii="MS UI Gothic" w:eastAsia="MS UI Gothic"/>
          <w:w w:val="80"/>
        </w:rPr>
        <w:t>ꎮ</w:t>
      </w:r>
    </w:p>
    <w:p>
      <w:pPr>
        <w:pStyle w:val="6"/>
        <w:spacing w:line="295" w:lineRule="auto"/>
        <w:ind w:right="38"/>
        <w:rPr>
          <w:rFonts w:hint="eastAsia" w:ascii="MS UI Gothic" w:eastAsia="MS UI Gothic"/>
        </w:rPr>
      </w:pPr>
      <w:r>
        <w:t>获悉突发事件信息的公民</w:t>
      </w:r>
      <w:r>
        <w:rPr>
          <w:rFonts w:hint="eastAsia" w:ascii="MS UI Gothic" w:eastAsia="MS UI Gothic"/>
          <w:w w:val="80"/>
        </w:rPr>
        <w:t xml:space="preserve">、 </w:t>
      </w:r>
      <w:r>
        <w:t>法人或者其他组织</w:t>
      </w:r>
      <w:r>
        <w:rPr>
          <w:rFonts w:hint="eastAsia" w:ascii="MS UI Gothic" w:eastAsia="MS UI Gothic"/>
          <w:w w:val="80"/>
        </w:rPr>
        <w:t xml:space="preserve">ꎬ </w:t>
      </w:r>
      <w:r>
        <w:t>应当立即向所在地人民政府</w:t>
      </w:r>
      <w:r>
        <w:rPr>
          <w:rFonts w:hint="eastAsia" w:ascii="MS UI Gothic" w:eastAsia="MS UI Gothic"/>
          <w:w w:val="80"/>
        </w:rPr>
        <w:t>、</w:t>
      </w:r>
      <w:r>
        <w:t>有关主管部门或者指定的专业机构报告</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第三十九条 地方各级人民政府应当</w:t>
      </w:r>
      <w:r>
        <w:t>按照国家有关规定向上级人民政府报送突发事件信息</w:t>
      </w:r>
      <w:r>
        <w:rPr>
          <w:rFonts w:hint="eastAsia" w:ascii="MS UI Gothic" w:eastAsia="MS UI Gothic"/>
          <w:w w:val="80"/>
        </w:rPr>
        <w:t xml:space="preserve">ꎮ </w:t>
      </w:r>
      <w:r>
        <w:t>县级以上人民政府有关主管部门应当向本级人民政府相关部门通报突</w:t>
      </w:r>
      <w:r>
        <w:rPr>
          <w:w w:val="105"/>
        </w:rPr>
        <w:t>发事件信息</w:t>
      </w:r>
      <w:r>
        <w:rPr>
          <w:rFonts w:hint="eastAsia" w:ascii="MS UI Gothic" w:eastAsia="MS UI Gothic"/>
          <w:w w:val="80"/>
        </w:rPr>
        <w:t xml:space="preserve">ꎮ </w:t>
      </w:r>
      <w:r>
        <w:rPr>
          <w:w w:val="105"/>
        </w:rPr>
        <w:t>专业机构</w:t>
      </w:r>
      <w:r>
        <w:rPr>
          <w:rFonts w:hint="eastAsia" w:ascii="MS UI Gothic" w:eastAsia="MS UI Gothic"/>
          <w:w w:val="80"/>
        </w:rPr>
        <w:t xml:space="preserve">、 </w:t>
      </w:r>
      <w:r>
        <w:rPr>
          <w:w w:val="105"/>
        </w:rPr>
        <w:t>监测网点和信息</w:t>
      </w:r>
      <w:r>
        <w:t>报告员应当及时向所在地人民政府及其有</w:t>
      </w:r>
      <w:r>
        <w:rPr>
          <w:w w:val="105"/>
        </w:rPr>
        <w:t>关主管部门报告突发事件信息</w:t>
      </w:r>
      <w:r>
        <w:rPr>
          <w:rFonts w:hint="eastAsia" w:ascii="MS UI Gothic" w:eastAsia="MS UI Gothic"/>
          <w:w w:val="80"/>
        </w:rPr>
        <w:t>ꎮ</w:t>
      </w:r>
    </w:p>
    <w:p>
      <w:pPr>
        <w:pStyle w:val="6"/>
        <w:spacing w:line="295" w:lineRule="auto"/>
        <w:ind w:right="39"/>
        <w:rPr>
          <w:rFonts w:hint="eastAsia" w:ascii="MS UI Gothic" w:eastAsia="MS UI Gothic"/>
        </w:rPr>
      </w:pPr>
      <w:r>
        <w:t>有关单位和人员报送</w:t>
      </w:r>
      <w:r>
        <w:rPr>
          <w:rFonts w:hint="eastAsia" w:ascii="MS UI Gothic" w:eastAsia="MS UI Gothic"/>
        </w:rPr>
        <w:t xml:space="preserve">、 </w:t>
      </w:r>
      <w:r>
        <w:t>报告突发事件信息</w:t>
      </w:r>
      <w:r>
        <w:rPr>
          <w:rFonts w:hint="eastAsia" w:ascii="MS UI Gothic" w:eastAsia="MS UI Gothic"/>
          <w:w w:val="80"/>
        </w:rPr>
        <w:t xml:space="preserve">ꎬ </w:t>
      </w:r>
      <w:r>
        <w:t>应当做到及时</w:t>
      </w:r>
      <w:r>
        <w:rPr>
          <w:rFonts w:hint="eastAsia" w:ascii="MS UI Gothic" w:eastAsia="MS UI Gothic"/>
        </w:rPr>
        <w:t xml:space="preserve">、 </w:t>
      </w:r>
      <w:r>
        <w:t>客观</w:t>
      </w:r>
      <w:r>
        <w:rPr>
          <w:rFonts w:hint="eastAsia" w:ascii="MS UI Gothic" w:eastAsia="MS UI Gothic"/>
        </w:rPr>
        <w:t xml:space="preserve">、 </w:t>
      </w:r>
      <w:r>
        <w:t>真实</w:t>
      </w:r>
      <w:r>
        <w:rPr>
          <w:rFonts w:hint="eastAsia" w:ascii="MS UI Gothic" w:eastAsia="MS UI Gothic"/>
          <w:w w:val="80"/>
        </w:rPr>
        <w:t xml:space="preserve">ꎬ </w:t>
      </w:r>
      <w:r>
        <w:t>不得迟报</w:t>
      </w:r>
      <w:r>
        <w:rPr>
          <w:rFonts w:hint="eastAsia" w:ascii="MS UI Gothic" w:eastAsia="MS UI Gothic"/>
        </w:rPr>
        <w:t xml:space="preserve">、 </w:t>
      </w:r>
      <w:r>
        <w:t>谎报</w:t>
      </w:r>
      <w:r>
        <w:rPr>
          <w:rFonts w:hint="eastAsia" w:ascii="MS UI Gothic" w:eastAsia="MS UI Gothic"/>
        </w:rPr>
        <w:t xml:space="preserve">、 </w:t>
      </w:r>
      <w:r>
        <w:t>瞒报</w:t>
      </w:r>
      <w:r>
        <w:rPr>
          <w:rFonts w:hint="eastAsia" w:ascii="MS UI Gothic" w:eastAsia="MS UI Gothic"/>
        </w:rPr>
        <w:t xml:space="preserve">、 </w:t>
      </w:r>
      <w:r>
        <w:t>漏报</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第四十条 县级以上地方各级人民政</w:t>
      </w:r>
      <w:r>
        <w:t>府应当及时汇总分析突发事件隐患和预警</w:t>
      </w:r>
      <w:r>
        <w:rPr>
          <w:w w:val="105"/>
        </w:rPr>
        <w:t>信息</w:t>
      </w:r>
      <w:r>
        <w:rPr>
          <w:rFonts w:hint="eastAsia" w:ascii="MS UI Gothic" w:eastAsia="MS UI Gothic"/>
          <w:w w:val="80"/>
        </w:rPr>
        <w:t xml:space="preserve">ꎬ </w:t>
      </w:r>
      <w:r>
        <w:rPr>
          <w:w w:val="105"/>
        </w:rPr>
        <w:t>必要时组织相关部门</w:t>
      </w:r>
      <w:r>
        <w:rPr>
          <w:rFonts w:hint="eastAsia" w:ascii="MS UI Gothic" w:eastAsia="MS UI Gothic"/>
          <w:w w:val="80"/>
        </w:rPr>
        <w:t xml:space="preserve">、 </w:t>
      </w:r>
      <w:r>
        <w:rPr>
          <w:w w:val="105"/>
        </w:rPr>
        <w:t>专业技术人员</w:t>
      </w:r>
      <w:r>
        <w:rPr>
          <w:rFonts w:hint="eastAsia" w:ascii="MS UI Gothic" w:eastAsia="MS UI Gothic"/>
          <w:w w:val="80"/>
        </w:rPr>
        <w:t xml:space="preserve">、 </w:t>
      </w:r>
      <w:r>
        <w:rPr>
          <w:w w:val="105"/>
        </w:rPr>
        <w:t>专家学者进行会商</w:t>
      </w:r>
      <w:r>
        <w:rPr>
          <w:rFonts w:hint="eastAsia" w:ascii="MS UI Gothic" w:eastAsia="MS UI Gothic"/>
          <w:w w:val="80"/>
        </w:rPr>
        <w:t xml:space="preserve">ꎬ </w:t>
      </w:r>
      <w:r>
        <w:rPr>
          <w:w w:val="105"/>
        </w:rPr>
        <w:t>对发生突发事件</w:t>
      </w:r>
      <w:r>
        <w:t>的可能性及其可能造成的影响进行评估</w:t>
      </w:r>
      <w:r>
        <w:rPr>
          <w:rFonts w:hint="eastAsia" w:ascii="MS UI Gothic" w:eastAsia="MS UI Gothic"/>
          <w:w w:val="80"/>
        </w:rPr>
        <w:t>ꎻ</w:t>
      </w:r>
      <w:r>
        <w:t>认为可能发生重大或者特别重大突发事件的</w:t>
      </w:r>
      <w:r>
        <w:rPr>
          <w:rFonts w:hint="eastAsia" w:ascii="MS UI Gothic" w:eastAsia="MS UI Gothic"/>
          <w:w w:val="80"/>
        </w:rPr>
        <w:t xml:space="preserve">ꎬ </w:t>
      </w:r>
      <w:r>
        <w:t>应当立即向上级人民政府报告</w:t>
      </w:r>
      <w:r>
        <w:rPr>
          <w:rFonts w:hint="eastAsia" w:ascii="MS UI Gothic" w:eastAsia="MS UI Gothic"/>
          <w:w w:val="80"/>
        </w:rPr>
        <w:t xml:space="preserve">ꎬ </w:t>
      </w:r>
      <w:r>
        <w:t>并向</w:t>
      </w:r>
      <w:r>
        <w:rPr>
          <w:w w:val="105"/>
        </w:rPr>
        <w:t>上级人民政府有关部门</w:t>
      </w:r>
      <w:r>
        <w:rPr>
          <w:rFonts w:hint="eastAsia" w:ascii="MS UI Gothic" w:eastAsia="MS UI Gothic"/>
          <w:w w:val="80"/>
        </w:rPr>
        <w:t xml:space="preserve">、 </w:t>
      </w:r>
      <w:r>
        <w:rPr>
          <w:w w:val="105"/>
        </w:rPr>
        <w:t>当地驻军和可能</w:t>
      </w:r>
      <w:r>
        <w:t>受到危害的毗邻或者相关地区的人民政府</w:t>
      </w:r>
      <w:r>
        <w:rPr>
          <w:w w:val="105"/>
        </w:rPr>
        <w:t>通报</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第四十一条 国家建立健全突发事件监测制度</w:t>
      </w:r>
      <w:r>
        <w:rPr>
          <w:rFonts w:hint="eastAsia" w:ascii="MS UI Gothic" w:eastAsia="MS UI Gothic"/>
          <w:w w:val="80"/>
        </w:rPr>
        <w:t>ꎮ</w:t>
      </w:r>
    </w:p>
    <w:p>
      <w:pPr>
        <w:pStyle w:val="6"/>
        <w:spacing w:line="295" w:lineRule="auto"/>
        <w:ind w:right="39"/>
        <w:rPr>
          <w:rFonts w:hint="eastAsia" w:ascii="MS UI Gothic" w:eastAsia="MS UI Gothic"/>
        </w:rPr>
      </w:pPr>
      <w:r>
        <w:t>县级以上人民政府及其有关部门应当根据自然灾害</w:t>
      </w:r>
      <w:r>
        <w:rPr>
          <w:rFonts w:hint="eastAsia" w:ascii="MS UI Gothic" w:eastAsia="MS UI Gothic"/>
          <w:w w:val="80"/>
        </w:rPr>
        <w:t xml:space="preserve">、 </w:t>
      </w:r>
      <w:r>
        <w:t>事故灾难和公共卫生事件的种类和特点</w:t>
      </w:r>
      <w:r>
        <w:rPr>
          <w:rFonts w:hint="eastAsia" w:ascii="MS UI Gothic" w:eastAsia="MS UI Gothic"/>
          <w:w w:val="80"/>
        </w:rPr>
        <w:t xml:space="preserve">ꎬ </w:t>
      </w:r>
      <w:r>
        <w:t>建立健全基础信息数据库</w:t>
      </w:r>
      <w:r>
        <w:rPr>
          <w:rFonts w:hint="eastAsia" w:ascii="MS UI Gothic" w:eastAsia="MS UI Gothic"/>
          <w:w w:val="80"/>
        </w:rPr>
        <w:t xml:space="preserve">ꎬ </w:t>
      </w:r>
      <w:r>
        <w:t>完善监测网络</w:t>
      </w:r>
      <w:r>
        <w:rPr>
          <w:rFonts w:hint="eastAsia" w:ascii="MS UI Gothic" w:eastAsia="MS UI Gothic"/>
          <w:w w:val="80"/>
        </w:rPr>
        <w:t xml:space="preserve">ꎬ </w:t>
      </w:r>
      <w:r>
        <w:t>划分监测区域</w:t>
      </w:r>
      <w:r>
        <w:rPr>
          <w:rFonts w:hint="eastAsia" w:ascii="MS UI Gothic" w:eastAsia="MS UI Gothic"/>
          <w:w w:val="80"/>
        </w:rPr>
        <w:t xml:space="preserve">ꎬ </w:t>
      </w:r>
      <w:r>
        <w:t>确定监测点</w:t>
      </w:r>
      <w:r>
        <w:rPr>
          <w:rFonts w:hint="eastAsia" w:ascii="MS UI Gothic" w:eastAsia="MS UI Gothic"/>
          <w:w w:val="80"/>
        </w:rPr>
        <w:t xml:space="preserve">ꎬ </w:t>
      </w:r>
      <w:r>
        <w:t>明确监测项目</w:t>
      </w:r>
      <w:r>
        <w:rPr>
          <w:rFonts w:hint="eastAsia" w:ascii="MS UI Gothic" w:eastAsia="MS UI Gothic"/>
          <w:w w:val="80"/>
        </w:rPr>
        <w:t xml:space="preserve">ꎬ </w:t>
      </w:r>
      <w:r>
        <w:t>提供必要的设备</w:t>
      </w:r>
      <w:r>
        <w:rPr>
          <w:rFonts w:hint="eastAsia" w:ascii="MS UI Gothic" w:eastAsia="MS UI Gothic"/>
          <w:w w:val="80"/>
        </w:rPr>
        <w:t xml:space="preserve">、 </w:t>
      </w:r>
      <w:r>
        <w:t>设施</w:t>
      </w:r>
      <w:r>
        <w:rPr>
          <w:rFonts w:hint="eastAsia" w:ascii="MS UI Gothic" w:eastAsia="MS UI Gothic"/>
          <w:w w:val="80"/>
        </w:rPr>
        <w:t xml:space="preserve">ꎬ </w:t>
      </w:r>
      <w:r>
        <w:t>配备专职或者兼职人员</w:t>
      </w:r>
      <w:r>
        <w:rPr>
          <w:rFonts w:hint="eastAsia" w:ascii="MS UI Gothic" w:eastAsia="MS UI Gothic"/>
          <w:w w:val="80"/>
        </w:rPr>
        <w:t xml:space="preserve">ꎬ </w:t>
      </w:r>
      <w:r>
        <w:t>对可能发生的突发事件进行监测</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第四十二条 国家建立健全突发事件预警制度</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t>可以预警的自然灾害</w:t>
      </w:r>
      <w:r>
        <w:rPr>
          <w:rFonts w:hint="eastAsia" w:ascii="MS UI Gothic" w:eastAsia="MS UI Gothic"/>
          <w:w w:val="80"/>
        </w:rPr>
        <w:t xml:space="preserve">、 </w:t>
      </w:r>
      <w:r>
        <w:t>事故灾难和公共卫生事件的预警级别</w:t>
      </w:r>
      <w:r>
        <w:rPr>
          <w:rFonts w:hint="eastAsia" w:ascii="MS UI Gothic" w:eastAsia="MS UI Gothic"/>
          <w:w w:val="80"/>
        </w:rPr>
        <w:t xml:space="preserve">ꎬ </w:t>
      </w:r>
      <w:r>
        <w:t>按照突发事件发生的紧急程度</w:t>
      </w:r>
      <w:r>
        <w:rPr>
          <w:rFonts w:hint="eastAsia" w:ascii="MS UI Gothic" w:eastAsia="MS UI Gothic"/>
          <w:w w:val="80"/>
        </w:rPr>
        <w:t xml:space="preserve">、 </w:t>
      </w:r>
      <w:r>
        <w:t>发展势态和可能造成的危害程度分为一级</w:t>
      </w:r>
      <w:r>
        <w:rPr>
          <w:rFonts w:hint="eastAsia" w:ascii="MS UI Gothic" w:eastAsia="MS UI Gothic"/>
          <w:w w:val="80"/>
        </w:rPr>
        <w:t xml:space="preserve">、 </w:t>
      </w:r>
      <w:r>
        <w:t>二级</w:t>
      </w:r>
      <w:r>
        <w:rPr>
          <w:rFonts w:hint="eastAsia" w:ascii="MS UI Gothic" w:eastAsia="MS UI Gothic"/>
          <w:w w:val="80"/>
        </w:rPr>
        <w:t xml:space="preserve">、 </w:t>
      </w:r>
      <w:r>
        <w:t>三级和四级</w:t>
      </w:r>
      <w:r>
        <w:rPr>
          <w:rFonts w:hint="eastAsia" w:ascii="MS UI Gothic" w:eastAsia="MS UI Gothic"/>
          <w:w w:val="80"/>
        </w:rPr>
        <w:t xml:space="preserve">ꎬ </w:t>
      </w:r>
      <w:r>
        <w:t>分别用红色</w:t>
      </w:r>
      <w:r>
        <w:rPr>
          <w:rFonts w:hint="eastAsia" w:ascii="MS UI Gothic" w:eastAsia="MS UI Gothic"/>
          <w:w w:val="80"/>
        </w:rPr>
        <w:t xml:space="preserve">、 </w:t>
      </w:r>
      <w:r>
        <w:t>橙色</w:t>
      </w:r>
      <w:r>
        <w:rPr>
          <w:rFonts w:hint="eastAsia" w:ascii="MS UI Gothic" w:eastAsia="MS UI Gothic"/>
          <w:w w:val="80"/>
        </w:rPr>
        <w:t xml:space="preserve">、 </w:t>
      </w:r>
      <w:r>
        <w:t>黄色和蓝色标示</w:t>
      </w:r>
      <w:r>
        <w:rPr>
          <w:rFonts w:hint="eastAsia" w:ascii="MS UI Gothic" w:eastAsia="MS UI Gothic"/>
          <w:w w:val="80"/>
        </w:rPr>
        <w:t xml:space="preserve">ꎬ </w:t>
      </w:r>
      <w:r>
        <w:t>一级为最高级别</w:t>
      </w:r>
      <w:r>
        <w:rPr>
          <w:rFonts w:hint="eastAsia" w:ascii="MS UI Gothic" w:eastAsia="MS UI Gothic"/>
          <w:w w:val="80"/>
        </w:rPr>
        <w:t>ꎮ</w:t>
      </w:r>
    </w:p>
    <w:p>
      <w:pPr>
        <w:pStyle w:val="6"/>
        <w:spacing w:line="295" w:lineRule="auto"/>
        <w:ind w:right="442"/>
        <w:jc w:val="left"/>
        <w:rPr>
          <w:rFonts w:hint="eastAsia" w:ascii="MS UI Gothic" w:eastAsia="MS UI Gothic"/>
        </w:rPr>
      </w:pPr>
      <w:r>
        <w:t>预警级别的划分标准由国务院或者国</w:t>
      </w:r>
      <w:r>
        <w:rPr>
          <w:w w:val="105"/>
        </w:rPr>
        <w:t>务院确定的部门制定</w:t>
      </w:r>
      <w:r>
        <w:rPr>
          <w:rFonts w:hint="eastAsia" w:ascii="MS UI Gothic" w:eastAsia="MS UI Gothic"/>
          <w:w w:val="80"/>
        </w:rPr>
        <w:t>ꎮ</w:t>
      </w:r>
    </w:p>
    <w:p>
      <w:pPr>
        <w:pStyle w:val="6"/>
        <w:spacing w:line="295" w:lineRule="auto"/>
        <w:ind w:right="440"/>
        <w:rPr>
          <w:rFonts w:hint="eastAsia" w:ascii="MS UI Gothic" w:eastAsia="MS UI Gothic"/>
        </w:rPr>
      </w:pPr>
      <w:r>
        <w:t>第四十三条  可以预警的自然灾害</w:t>
      </w:r>
      <w:r>
        <w:rPr>
          <w:rFonts w:hint="eastAsia" w:ascii="MS UI Gothic" w:eastAsia="MS UI Gothic"/>
          <w:w w:val="80"/>
        </w:rPr>
        <w:t>、</w:t>
      </w:r>
      <w:r>
        <w:t>事故灾难或者公共卫生事件即将发生或者发生的可能性增大时</w:t>
      </w:r>
      <w:r>
        <w:rPr>
          <w:rFonts w:hint="eastAsia" w:ascii="MS UI Gothic" w:eastAsia="MS UI Gothic"/>
          <w:w w:val="80"/>
        </w:rPr>
        <w:t xml:space="preserve">ꎬ </w:t>
      </w:r>
      <w:r>
        <w:t>县级以上地方各级人民政府应当根据有关法律</w:t>
      </w:r>
      <w:r>
        <w:rPr>
          <w:rFonts w:hint="eastAsia" w:ascii="MS UI Gothic" w:eastAsia="MS UI Gothic"/>
          <w:w w:val="80"/>
        </w:rPr>
        <w:t xml:space="preserve">、 </w:t>
      </w:r>
      <w:r>
        <w:t>行政法规和国务院规定的权限和程序</w:t>
      </w:r>
      <w:r>
        <w:rPr>
          <w:rFonts w:hint="eastAsia" w:ascii="MS UI Gothic" w:eastAsia="MS UI Gothic"/>
          <w:w w:val="80"/>
        </w:rPr>
        <w:t xml:space="preserve">ꎬ </w:t>
      </w:r>
      <w:r>
        <w:t>发布相应级别的警报</w:t>
      </w:r>
      <w:r>
        <w:rPr>
          <w:rFonts w:hint="eastAsia" w:ascii="MS UI Gothic" w:eastAsia="MS UI Gothic"/>
          <w:w w:val="80"/>
        </w:rPr>
        <w:t xml:space="preserve">ꎬ </w:t>
      </w:r>
      <w:r>
        <w:t>决定并宣布有关地区进入预警期</w:t>
      </w:r>
      <w:r>
        <w:rPr>
          <w:rFonts w:hint="eastAsia" w:ascii="MS UI Gothic" w:eastAsia="MS UI Gothic"/>
          <w:w w:val="80"/>
        </w:rPr>
        <w:t xml:space="preserve">ꎬ </w:t>
      </w:r>
      <w:r>
        <w:t>同时向上一级人民政府报告</w:t>
      </w:r>
      <w:r>
        <w:rPr>
          <w:rFonts w:hint="eastAsia" w:ascii="MS UI Gothic" w:eastAsia="MS UI Gothic"/>
          <w:w w:val="80"/>
        </w:rPr>
        <w:t xml:space="preserve">ꎬ </w:t>
      </w:r>
      <w:r>
        <w:t>必要时可以越级上报</w:t>
      </w:r>
      <w:r>
        <w:rPr>
          <w:rFonts w:hint="eastAsia" w:ascii="MS UI Gothic" w:eastAsia="MS UI Gothic"/>
          <w:w w:val="80"/>
        </w:rPr>
        <w:t xml:space="preserve">ꎬ </w:t>
      </w:r>
      <w:r>
        <w:t>并向当地驻军和可能受到危害的毗邻或者相关地区的人民政府通报</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第四十四条 发布三级</w:t>
      </w:r>
      <w:r>
        <w:rPr>
          <w:rFonts w:hint="eastAsia" w:ascii="MS UI Gothic" w:eastAsia="MS UI Gothic"/>
          <w:w w:val="80"/>
        </w:rPr>
        <w:t xml:space="preserve">、 </w:t>
      </w:r>
      <w:r>
        <w:rPr>
          <w:w w:val="105"/>
        </w:rPr>
        <w:t>四级警报</w:t>
      </w:r>
      <w:r>
        <w:rPr>
          <w:rFonts w:hint="eastAsia" w:ascii="MS UI Gothic" w:eastAsia="MS UI Gothic"/>
          <w:w w:val="80"/>
        </w:rPr>
        <w:t>ꎬ</w:t>
      </w:r>
      <w:r>
        <w:t>宣布进入预警期后</w:t>
      </w:r>
      <w:r>
        <w:rPr>
          <w:rFonts w:hint="eastAsia" w:ascii="MS UI Gothic" w:eastAsia="MS UI Gothic"/>
          <w:w w:val="80"/>
        </w:rPr>
        <w:t xml:space="preserve">ꎬ </w:t>
      </w:r>
      <w:r>
        <w:t>县级以上地方各级人民政府应当根据即将发生的突发事件的特</w:t>
      </w:r>
      <w:r>
        <w:rPr>
          <w:w w:val="105"/>
        </w:rPr>
        <w:t>点和可能造成的危害</w:t>
      </w:r>
      <w:r>
        <w:rPr>
          <w:rFonts w:hint="eastAsia" w:ascii="MS UI Gothic" w:eastAsia="MS UI Gothic"/>
          <w:w w:val="80"/>
        </w:rPr>
        <w:t xml:space="preserve">ꎬ </w:t>
      </w:r>
      <w:r>
        <w:rPr>
          <w:w w:val="105"/>
        </w:rPr>
        <w:t>采取下列措施</w:t>
      </w:r>
      <w:r>
        <w:rPr>
          <w:rFonts w:hint="eastAsia" w:ascii="MS UI Gothic" w:eastAsia="MS UI Gothic"/>
          <w:w w:val="235"/>
        </w:rPr>
        <w:t>:</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启动应急预案</w:t>
      </w:r>
      <w:r>
        <w:rPr>
          <w:rFonts w:hint="eastAsia" w:ascii="MS UI Gothic" w:eastAsia="MS UI Gothic"/>
          <w:w w:val="80"/>
        </w:rPr>
        <w:t>ꎻ</w:t>
      </w:r>
    </w:p>
    <w:p>
      <w:pPr>
        <w:pStyle w:val="6"/>
        <w:spacing w:before="44" w:line="295" w:lineRule="auto"/>
        <w:ind w:righ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责令有关部门</w:t>
      </w:r>
      <w:r>
        <w:rPr>
          <w:rFonts w:hint="eastAsia" w:ascii="MS UI Gothic" w:eastAsia="MS UI Gothic"/>
          <w:w w:val="80"/>
        </w:rPr>
        <w:t xml:space="preserve">、 </w:t>
      </w:r>
      <w:r>
        <w:rPr>
          <w:w w:val="105"/>
        </w:rPr>
        <w:t>专业机构</w:t>
      </w:r>
      <w:r>
        <w:rPr>
          <w:rFonts w:hint="eastAsia" w:ascii="MS UI Gothic" w:eastAsia="MS UI Gothic"/>
          <w:w w:val="80"/>
        </w:rPr>
        <w:t xml:space="preserve">、 </w:t>
      </w:r>
      <w:r>
        <w:rPr>
          <w:w w:val="105"/>
        </w:rPr>
        <w:t>监</w:t>
      </w:r>
      <w:r>
        <w:t>测网点和负有特定职责的人员及时收集</w:t>
      </w:r>
      <w:r>
        <w:rPr>
          <w:rFonts w:hint="eastAsia" w:ascii="MS UI Gothic" w:eastAsia="MS UI Gothic"/>
          <w:w w:val="80"/>
        </w:rPr>
        <w:t>、</w:t>
      </w:r>
      <w:r>
        <w:t>报告有关信息</w:t>
      </w:r>
      <w:r>
        <w:rPr>
          <w:rFonts w:hint="eastAsia" w:ascii="MS UI Gothic" w:eastAsia="MS UI Gothic"/>
          <w:w w:val="80"/>
        </w:rPr>
        <w:t xml:space="preserve">ꎬ </w:t>
      </w:r>
      <w:r>
        <w:t>向社会公布反映突发事件</w:t>
      </w:r>
      <w:r>
        <w:rPr>
          <w:w w:val="105"/>
        </w:rPr>
        <w:t>信息的渠道</w:t>
      </w:r>
      <w:r>
        <w:rPr>
          <w:rFonts w:hint="eastAsia" w:ascii="MS UI Gothic" w:eastAsia="MS UI Gothic"/>
          <w:w w:val="80"/>
        </w:rPr>
        <w:t xml:space="preserve">ꎬ </w:t>
      </w:r>
      <w:r>
        <w:rPr>
          <w:w w:val="105"/>
        </w:rPr>
        <w:t>加强对突发事件发生</w:t>
      </w:r>
      <w:r>
        <w:rPr>
          <w:rFonts w:hint="eastAsia" w:ascii="MS UI Gothic" w:eastAsia="MS UI Gothic"/>
          <w:w w:val="80"/>
        </w:rPr>
        <w:t xml:space="preserve">、 </w:t>
      </w:r>
      <w:r>
        <w:rPr>
          <w:w w:val="105"/>
        </w:rPr>
        <w:t>发展情况的监测</w:t>
      </w:r>
      <w:r>
        <w:rPr>
          <w:rFonts w:hint="eastAsia" w:ascii="MS UI Gothic" w:eastAsia="MS UI Gothic"/>
          <w:w w:val="80"/>
        </w:rPr>
        <w:t xml:space="preserve">、 </w:t>
      </w:r>
      <w:r>
        <w:rPr>
          <w:w w:val="105"/>
        </w:rPr>
        <w:t>预报和预警工作</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组织有关部门和机构</w:t>
      </w:r>
      <w:r>
        <w:rPr>
          <w:rFonts w:hint="eastAsia" w:ascii="MS UI Gothic" w:eastAsia="MS UI Gothic"/>
          <w:w w:val="80"/>
        </w:rPr>
        <w:t xml:space="preserve">、 </w:t>
      </w:r>
      <w:r>
        <w:rPr>
          <w:w w:val="105"/>
        </w:rPr>
        <w:t>专业技术人员</w:t>
      </w:r>
      <w:r>
        <w:rPr>
          <w:rFonts w:hint="eastAsia" w:ascii="MS UI Gothic" w:eastAsia="MS UI Gothic"/>
          <w:w w:val="80"/>
        </w:rPr>
        <w:t xml:space="preserve">、 </w:t>
      </w:r>
      <w:r>
        <w:rPr>
          <w:w w:val="105"/>
        </w:rPr>
        <w:t>有关专家学者</w:t>
      </w:r>
      <w:r>
        <w:rPr>
          <w:rFonts w:hint="eastAsia" w:ascii="MS UI Gothic" w:eastAsia="MS UI Gothic"/>
          <w:w w:val="80"/>
        </w:rPr>
        <w:t xml:space="preserve">ꎬ </w:t>
      </w:r>
      <w:r>
        <w:rPr>
          <w:w w:val="105"/>
        </w:rPr>
        <w:t>随时对突发事件</w:t>
      </w:r>
      <w:r>
        <w:t>信息进行分析评估</w:t>
      </w:r>
      <w:r>
        <w:rPr>
          <w:rFonts w:hint="eastAsia" w:ascii="MS UI Gothic" w:eastAsia="MS UI Gothic"/>
          <w:w w:val="80"/>
        </w:rPr>
        <w:t xml:space="preserve">ꎬ </w:t>
      </w:r>
      <w:r>
        <w:t>预测发生突发事件可</w:t>
      </w:r>
      <w:r>
        <w:rPr>
          <w:w w:val="105"/>
        </w:rPr>
        <w:t>能性的大小</w:t>
      </w:r>
      <w:r>
        <w:rPr>
          <w:rFonts w:hint="eastAsia" w:ascii="MS UI Gothic" w:eastAsia="MS UI Gothic"/>
          <w:w w:val="80"/>
        </w:rPr>
        <w:t xml:space="preserve">、 </w:t>
      </w:r>
      <w:r>
        <w:rPr>
          <w:w w:val="105"/>
        </w:rPr>
        <w:t>影响范围和强度以及可能发生的突发事件的级别</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定时向社会发布与公众有关的</w:t>
      </w:r>
      <w:r>
        <w:t>突发事件预测信息和分析评估结果</w:t>
      </w:r>
      <w:r>
        <w:rPr>
          <w:rFonts w:hint="eastAsia" w:ascii="MS UI Gothic" w:eastAsia="MS UI Gothic"/>
          <w:w w:val="80"/>
        </w:rPr>
        <w:t xml:space="preserve">ꎬ </w:t>
      </w:r>
      <w:r>
        <w:t>并对</w:t>
      </w:r>
      <w:r>
        <w:rPr>
          <w:w w:val="105"/>
        </w:rPr>
        <w:t>相关信息的报道工作进行管理</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及时按照有关规定向社会发布</w:t>
      </w:r>
      <w:r>
        <w:t>可能受到突发事件危害的警告</w:t>
      </w:r>
      <w:r>
        <w:rPr>
          <w:rFonts w:hint="eastAsia" w:ascii="MS UI Gothic" w:eastAsia="MS UI Gothic"/>
          <w:w w:val="80"/>
        </w:rPr>
        <w:t xml:space="preserve">ꎬ </w:t>
      </w:r>
      <w:r>
        <w:t>宣传避</w:t>
      </w:r>
      <w:r>
        <w:rPr>
          <w:w w:val="105"/>
        </w:rPr>
        <w:t>免</w:t>
      </w:r>
      <w:r>
        <w:rPr>
          <w:rFonts w:hint="eastAsia" w:ascii="MS UI Gothic" w:eastAsia="MS UI Gothic"/>
          <w:w w:val="80"/>
        </w:rPr>
        <w:t xml:space="preserve">、 </w:t>
      </w:r>
      <w:r>
        <w:rPr>
          <w:w w:val="105"/>
        </w:rPr>
        <w:t>减轻危害的常识</w:t>
      </w:r>
      <w:r>
        <w:rPr>
          <w:rFonts w:hint="eastAsia" w:ascii="MS UI Gothic" w:eastAsia="MS UI Gothic"/>
          <w:w w:val="80"/>
        </w:rPr>
        <w:t xml:space="preserve">ꎬ </w:t>
      </w:r>
      <w:r>
        <w:rPr>
          <w:w w:val="105"/>
        </w:rPr>
        <w:t>公布咨询电话</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三</w:t>
      </w:r>
      <w:r>
        <w:rPr>
          <w:rFonts w:hint="eastAsia" w:ascii="Microsoft Yi Baiti" w:eastAsia="Microsoft Yi Baiti"/>
          <w:sz w:val="17"/>
        </w:rPr>
        <w:t xml:space="preserve">、 </w:t>
      </w:r>
      <w:r>
        <w:rPr>
          <w:sz w:val="17"/>
        </w:rPr>
        <w:t>应急管理基本法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４１</w:t>
      </w:r>
    </w:p>
    <w:p>
      <w:pPr>
        <w:spacing w:after="0"/>
        <w:jc w:val="right"/>
        <w:rPr>
          <w:rFonts w:hint="eastAsia" w:ascii="MS UI Gothic" w:eastAsia="MS UI Gothic"/>
        </w:rPr>
        <w:sectPr>
          <w:pgSz w:w="10500" w:h="14750"/>
          <w:pgMar w:top="960" w:right="980" w:bottom="280" w:left="980" w:header="720" w:footer="720" w:gutter="0"/>
          <w:cols w:equalWidth="0" w:num="2">
            <w:col w:w="5231" w:space="40"/>
            <w:col w:w="326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74" o:spid="_x0000_s1174" o:spt="203" style="height:2.15pt;width:398.25pt;" coordsize="7965,43">
            <o:lock v:ext="edit"/>
            <v:line id="_x0000_s1175" o:spid="_x0000_s1175" o:spt="20" style="position:absolute;left:0;top:39;height:0;width:7965;" stroked="t" coordsize="21600,21600">
              <v:path arrowok="t"/>
              <v:fill focussize="0,0"/>
              <v:stroke weight="0.388031496062992pt" color="#231F20"/>
              <v:imagedata o:title=""/>
              <o:lock v:ext="edit"/>
            </v:line>
            <v:line id="_x0000_s1176" o:spid="_x0000_s117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rPr>
          <w:w w:val="105"/>
        </w:rPr>
        <w:t>第四十五条 发布一级</w:t>
      </w:r>
      <w:r>
        <w:rPr>
          <w:rFonts w:hint="eastAsia" w:ascii="MS UI Gothic" w:eastAsia="MS UI Gothic"/>
          <w:w w:val="80"/>
        </w:rPr>
        <w:t xml:space="preserve">、 </w:t>
      </w:r>
      <w:r>
        <w:rPr>
          <w:w w:val="105"/>
        </w:rPr>
        <w:t>二级警报</w:t>
      </w:r>
      <w:r>
        <w:rPr>
          <w:rFonts w:hint="eastAsia" w:ascii="MS UI Gothic" w:eastAsia="MS UI Gothic"/>
          <w:w w:val="80"/>
        </w:rPr>
        <w:t>ꎬ</w:t>
      </w:r>
      <w:r>
        <w:t>宣布进入预警期后</w:t>
      </w:r>
      <w:r>
        <w:rPr>
          <w:rFonts w:hint="eastAsia" w:ascii="MS UI Gothic" w:eastAsia="MS UI Gothic"/>
          <w:w w:val="80"/>
        </w:rPr>
        <w:t xml:space="preserve">ꎬ </w:t>
      </w:r>
      <w:r>
        <w:t>县级以上地方各级人民政府除采取本法第四十四条规定的措施外</w:t>
      </w:r>
      <w:r>
        <w:rPr>
          <w:rFonts w:hint="eastAsia" w:ascii="MS UI Gothic" w:eastAsia="MS UI Gothic"/>
          <w:w w:val="80"/>
        </w:rPr>
        <w:t xml:space="preserve">ꎬ </w:t>
      </w:r>
      <w:r>
        <w:t>还应当针对即将发生的突发事件的特点和可能造成的危害</w:t>
      </w:r>
      <w:r>
        <w:rPr>
          <w:rFonts w:hint="eastAsia" w:ascii="MS UI Gothic" w:eastAsia="MS UI Gothic"/>
          <w:w w:val="80"/>
        </w:rPr>
        <w:t xml:space="preserve">ꎬ </w:t>
      </w:r>
      <w:r>
        <w:t>采取下列一项或者</w:t>
      </w:r>
      <w:r>
        <w:rPr>
          <w:w w:val="105"/>
        </w:rPr>
        <w:t>多项措施</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责令应急救援队伍</w:t>
      </w:r>
      <w:r>
        <w:rPr>
          <w:rFonts w:hint="eastAsia" w:ascii="MS UI Gothic" w:eastAsia="MS UI Gothic"/>
          <w:w w:val="80"/>
        </w:rPr>
        <w:t xml:space="preserve">、 </w:t>
      </w:r>
      <w:r>
        <w:rPr>
          <w:w w:val="105"/>
        </w:rPr>
        <w:t>负有特定</w:t>
      </w:r>
      <w:r>
        <w:t>职责的人员进入待命状态</w:t>
      </w:r>
      <w:r>
        <w:rPr>
          <w:rFonts w:hint="eastAsia" w:ascii="MS UI Gothic" w:eastAsia="MS UI Gothic"/>
          <w:w w:val="80"/>
        </w:rPr>
        <w:t xml:space="preserve">ꎬ </w:t>
      </w:r>
      <w:r>
        <w:t>并动员后备人员做好参加应急救援和处置工作的准备</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16"/>
          <w:w w:val="150"/>
        </w:rPr>
        <w:t xml:space="preserve">) </w:t>
      </w:r>
      <w:r>
        <w:rPr>
          <w:spacing w:val="28"/>
          <w:w w:val="105"/>
        </w:rPr>
        <w:t>调集应急救援所需物资</w:t>
      </w:r>
      <w:r>
        <w:rPr>
          <w:rFonts w:hint="eastAsia" w:ascii="MS UI Gothic" w:eastAsia="MS UI Gothic"/>
          <w:spacing w:val="7"/>
          <w:w w:val="80"/>
        </w:rPr>
        <w:t xml:space="preserve">、 </w:t>
      </w:r>
      <w:r>
        <w:rPr>
          <w:spacing w:val="-15"/>
          <w:w w:val="105"/>
        </w:rPr>
        <w:t>设</w:t>
      </w:r>
      <w:r>
        <w:rPr>
          <w:spacing w:val="3"/>
          <w:w w:val="105"/>
        </w:rPr>
        <w:t>备</w:t>
      </w:r>
      <w:r>
        <w:rPr>
          <w:rFonts w:hint="eastAsia" w:ascii="MS UI Gothic" w:eastAsia="MS UI Gothic"/>
          <w:spacing w:val="-1"/>
          <w:w w:val="80"/>
        </w:rPr>
        <w:t xml:space="preserve">、 </w:t>
      </w:r>
      <w:r>
        <w:rPr>
          <w:spacing w:val="3"/>
          <w:w w:val="105"/>
        </w:rPr>
        <w:t>工具</w:t>
      </w:r>
      <w:r>
        <w:rPr>
          <w:rFonts w:hint="eastAsia" w:ascii="MS UI Gothic" w:eastAsia="MS UI Gothic"/>
          <w:w w:val="80"/>
        </w:rPr>
        <w:t xml:space="preserve">ꎬ </w:t>
      </w:r>
      <w:r>
        <w:rPr>
          <w:spacing w:val="3"/>
          <w:w w:val="105"/>
        </w:rPr>
        <w:t>准备应急设施和避难场所</w:t>
      </w:r>
      <w:r>
        <w:rPr>
          <w:rFonts w:hint="eastAsia" w:ascii="MS UI Gothic" w:eastAsia="MS UI Gothic"/>
          <w:spacing w:val="-1"/>
          <w:w w:val="80"/>
        </w:rPr>
        <w:t xml:space="preserve">ꎬ </w:t>
      </w:r>
      <w:r>
        <w:rPr>
          <w:w w:val="105"/>
        </w:rPr>
        <w:t>并</w:t>
      </w:r>
      <w:r>
        <w:rPr>
          <w:spacing w:val="3"/>
          <w:w w:val="105"/>
        </w:rPr>
        <w:t>确保其处于良好状态</w:t>
      </w:r>
      <w:r>
        <w:rPr>
          <w:rFonts w:hint="eastAsia" w:ascii="MS UI Gothic" w:eastAsia="MS UI Gothic"/>
          <w:spacing w:val="-5"/>
          <w:w w:val="80"/>
        </w:rPr>
        <w:t xml:space="preserve">、 </w:t>
      </w:r>
      <w:r>
        <w:rPr>
          <w:spacing w:val="2"/>
          <w:w w:val="105"/>
        </w:rPr>
        <w:t>随时可以投入正常</w:t>
      </w:r>
      <w:r>
        <w:rPr>
          <w:spacing w:val="3"/>
          <w:w w:val="105"/>
        </w:rPr>
        <w:t>使用</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9"/>
          <w:w w:val="150"/>
        </w:rPr>
        <w:t xml:space="preserve">) </w:t>
      </w:r>
      <w:r>
        <w:rPr>
          <w:spacing w:val="5"/>
          <w:w w:val="105"/>
        </w:rPr>
        <w:t>加强对重点单位</w:t>
      </w:r>
      <w:r>
        <w:rPr>
          <w:rFonts w:hint="eastAsia" w:ascii="MS UI Gothic" w:eastAsia="MS UI Gothic"/>
          <w:spacing w:val="24"/>
          <w:w w:val="80"/>
        </w:rPr>
        <w:t xml:space="preserve">、 </w:t>
      </w:r>
      <w:r>
        <w:rPr>
          <w:spacing w:val="8"/>
          <w:w w:val="105"/>
        </w:rPr>
        <w:t>重要部位和</w:t>
      </w:r>
      <w:r>
        <w:rPr>
          <w:spacing w:val="3"/>
        </w:rPr>
        <w:t>重要基础设施的安全保卫</w:t>
      </w:r>
      <w:r>
        <w:rPr>
          <w:rFonts w:hint="eastAsia" w:ascii="MS UI Gothic" w:eastAsia="MS UI Gothic"/>
          <w:spacing w:val="21"/>
          <w:w w:val="80"/>
        </w:rPr>
        <w:t xml:space="preserve">ꎬ </w:t>
      </w:r>
      <w:r>
        <w:rPr>
          <w:spacing w:val="2"/>
        </w:rPr>
        <w:t>维护社会治安</w:t>
      </w:r>
      <w:r>
        <w:rPr>
          <w:spacing w:val="3"/>
          <w:w w:val="105"/>
        </w:rPr>
        <w:t>秩序</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四</w:t>
      </w:r>
      <w:r>
        <w:rPr>
          <w:rFonts w:hint="eastAsia" w:ascii="MS UI Gothic" w:eastAsia="MS UI Gothic"/>
          <w:w w:val="150"/>
        </w:rPr>
        <w:t xml:space="preserve">) </w:t>
      </w:r>
      <w:r>
        <w:t>采取必要措施</w:t>
      </w:r>
      <w:r>
        <w:rPr>
          <w:rFonts w:hint="eastAsia" w:ascii="MS UI Gothic" w:eastAsia="MS UI Gothic"/>
          <w:w w:val="80"/>
        </w:rPr>
        <w:t xml:space="preserve">ꎬ </w:t>
      </w:r>
      <w:r>
        <w:t>确保交通</w:t>
      </w:r>
      <w:r>
        <w:rPr>
          <w:rFonts w:hint="eastAsia" w:ascii="MS UI Gothic" w:eastAsia="MS UI Gothic"/>
          <w:w w:val="80"/>
        </w:rPr>
        <w:t xml:space="preserve">、 </w:t>
      </w:r>
      <w:r>
        <w:t>通信</w:t>
      </w:r>
      <w:r>
        <w:rPr>
          <w:rFonts w:hint="eastAsia" w:ascii="MS UI Gothic" w:eastAsia="MS UI Gothic"/>
          <w:w w:val="80"/>
        </w:rPr>
        <w:t xml:space="preserve">、 </w:t>
      </w:r>
      <w:r>
        <w:t>供水</w:t>
      </w:r>
      <w:r>
        <w:rPr>
          <w:rFonts w:hint="eastAsia" w:ascii="MS UI Gothic" w:eastAsia="MS UI Gothic"/>
          <w:w w:val="80"/>
        </w:rPr>
        <w:t xml:space="preserve">、 </w:t>
      </w:r>
      <w:r>
        <w:t>排水</w:t>
      </w:r>
      <w:r>
        <w:rPr>
          <w:rFonts w:hint="eastAsia" w:ascii="MS UI Gothic" w:eastAsia="MS UI Gothic"/>
          <w:w w:val="80"/>
        </w:rPr>
        <w:t xml:space="preserve">、 </w:t>
      </w:r>
      <w:r>
        <w:t>供电</w:t>
      </w:r>
      <w:r>
        <w:rPr>
          <w:rFonts w:hint="eastAsia" w:ascii="MS UI Gothic" w:eastAsia="MS UI Gothic"/>
          <w:w w:val="80"/>
        </w:rPr>
        <w:t xml:space="preserve">、  </w:t>
      </w:r>
      <w:r>
        <w:t>供气</w:t>
      </w:r>
      <w:r>
        <w:rPr>
          <w:rFonts w:hint="eastAsia" w:ascii="MS UI Gothic" w:eastAsia="MS UI Gothic"/>
          <w:w w:val="80"/>
        </w:rPr>
        <w:t xml:space="preserve">、  </w:t>
      </w:r>
      <w:r>
        <w:t>供热等公共设施的安全和正常运行</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及时向社会发布有关采取特定措施避免或者减轻危害的建议</w:t>
      </w:r>
      <w:r>
        <w:rPr>
          <w:rFonts w:hint="eastAsia" w:ascii="MS UI Gothic" w:eastAsia="MS UI Gothic"/>
          <w:w w:val="80"/>
        </w:rPr>
        <w:t xml:space="preserve">、 </w:t>
      </w:r>
      <w:r>
        <w:rPr>
          <w:w w:val="105"/>
        </w:rPr>
        <w:t>劝告</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转移</w:t>
      </w:r>
      <w:r>
        <w:rPr>
          <w:rFonts w:hint="eastAsia" w:ascii="MS UI Gothic" w:eastAsia="MS UI Gothic"/>
          <w:w w:val="80"/>
        </w:rPr>
        <w:t xml:space="preserve">、 </w:t>
      </w:r>
      <w:r>
        <w:rPr>
          <w:w w:val="105"/>
        </w:rPr>
        <w:t>疏散或者撤离易受突发</w:t>
      </w:r>
      <w:r>
        <w:t>事件危害的人员并予以妥善安置</w:t>
      </w:r>
      <w:r>
        <w:rPr>
          <w:rFonts w:hint="eastAsia" w:ascii="MS UI Gothic" w:eastAsia="MS UI Gothic"/>
          <w:w w:val="80"/>
        </w:rPr>
        <w:t xml:space="preserve">ꎬ </w:t>
      </w:r>
      <w:r>
        <w:t>转移重</w:t>
      </w:r>
      <w:r>
        <w:rPr>
          <w:w w:val="105"/>
        </w:rPr>
        <w:t>要财产</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关闭或者限制使用易受突发事</w:t>
      </w:r>
      <w:r>
        <w:t>件危害的场所</w:t>
      </w:r>
      <w:r>
        <w:rPr>
          <w:rFonts w:hint="eastAsia" w:ascii="MS UI Gothic" w:eastAsia="MS UI Gothic"/>
          <w:w w:val="80"/>
        </w:rPr>
        <w:t xml:space="preserve">ꎬ </w:t>
      </w:r>
      <w:r>
        <w:t>控制或者限制容易导致危</w:t>
      </w:r>
      <w:r>
        <w:rPr>
          <w:w w:val="105"/>
        </w:rPr>
        <w:t>害扩大的公共场所的活动</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规章规定的其他必要的防范性</w:t>
      </w:r>
      <w:r>
        <w:rPr>
          <w:rFonts w:hint="eastAsia" w:ascii="MS UI Gothic" w:eastAsia="MS UI Gothic"/>
          <w:w w:val="80"/>
        </w:rPr>
        <w:t xml:space="preserve">、 </w:t>
      </w:r>
      <w:r>
        <w:rPr>
          <w:w w:val="105"/>
        </w:rPr>
        <w:t>保护性措施</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第四十六条 对即将发生或者已经发</w:t>
      </w:r>
      <w:r>
        <w:t>生的社会安全事件</w:t>
      </w:r>
      <w:r>
        <w:rPr>
          <w:rFonts w:hint="eastAsia" w:ascii="MS UI Gothic" w:eastAsia="MS UI Gothic"/>
          <w:w w:val="80"/>
        </w:rPr>
        <w:t xml:space="preserve">ꎬ </w:t>
      </w:r>
      <w:r>
        <w:t>县级以上地方各级人民政府及其有关主管部门应当按照规定向上一级人民政府及其有关主管部门报告</w:t>
      </w:r>
      <w:r>
        <w:rPr>
          <w:rFonts w:hint="eastAsia" w:ascii="MS UI Gothic" w:eastAsia="MS UI Gothic"/>
          <w:w w:val="80"/>
        </w:rPr>
        <w:t>ꎬ</w:t>
      </w:r>
      <w:r>
        <w:rPr>
          <w:w w:val="105"/>
        </w:rPr>
        <w:t>必要时可以越级上报</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第四十七条 发布突发事件警报的人</w:t>
      </w:r>
      <w:r>
        <w:t>民政府应当根据事态的发展</w:t>
      </w:r>
      <w:r>
        <w:rPr>
          <w:rFonts w:hint="eastAsia" w:ascii="MS UI Gothic" w:eastAsia="MS UI Gothic"/>
          <w:w w:val="80"/>
        </w:rPr>
        <w:t xml:space="preserve">ꎬ </w:t>
      </w:r>
      <w:r>
        <w:t>按照有关规</w:t>
      </w:r>
      <w:r>
        <w:rPr>
          <w:w w:val="105"/>
        </w:rPr>
        <w:t>定适时调整预警级别并重新发布</w:t>
      </w:r>
      <w:r>
        <w:rPr>
          <w:rFonts w:hint="eastAsia" w:ascii="MS UI Gothic" w:eastAsia="MS UI Gothic"/>
          <w:w w:val="80"/>
        </w:rPr>
        <w:t>ꎮ</w:t>
      </w:r>
    </w:p>
    <w:p>
      <w:pPr>
        <w:pStyle w:val="6"/>
        <w:spacing w:line="295" w:lineRule="auto"/>
        <w:ind w:left="440" w:right="1"/>
      </w:pPr>
      <w:r>
        <w:t>有事实证明不可能发生突发事件或者危险已经解除的</w:t>
      </w:r>
      <w:r>
        <w:rPr>
          <w:rFonts w:hint="eastAsia" w:ascii="MS UI Gothic" w:eastAsia="MS UI Gothic"/>
          <w:w w:val="80"/>
        </w:rPr>
        <w:t xml:space="preserve">ꎬ </w:t>
      </w:r>
      <w:r>
        <w:t>发布警报的人民政府应</w:t>
      </w:r>
    </w:p>
    <w:p>
      <w:pPr>
        <w:pStyle w:val="6"/>
        <w:spacing w:before="124" w:line="295" w:lineRule="auto"/>
        <w:ind w:left="381" w:right="126" w:firstLine="0"/>
        <w:jc w:val="left"/>
        <w:rPr>
          <w:rFonts w:hint="eastAsia" w:ascii="MS UI Gothic" w:eastAsia="MS UI Gothic"/>
        </w:rPr>
      </w:pPr>
      <w:r>
        <w:br w:type="column"/>
      </w:r>
      <w:r>
        <w:t>当立即宣布解除警报</w:t>
      </w:r>
      <w:r>
        <w:rPr>
          <w:rFonts w:hint="eastAsia" w:ascii="MS UI Gothic" w:eastAsia="MS UI Gothic"/>
          <w:w w:val="80"/>
        </w:rPr>
        <w:t xml:space="preserve">ꎬ </w:t>
      </w:r>
      <w:r>
        <w:t>终止预警期</w:t>
      </w:r>
      <w:r>
        <w:rPr>
          <w:rFonts w:hint="eastAsia" w:ascii="MS UI Gothic" w:eastAsia="MS UI Gothic"/>
          <w:w w:val="80"/>
        </w:rPr>
        <w:t xml:space="preserve">ꎬ </w:t>
      </w:r>
      <w:r>
        <w:t>并解除已经采取的有关措施</w:t>
      </w:r>
      <w:r>
        <w:rPr>
          <w:rFonts w:hint="eastAsia" w:ascii="MS UI Gothic" w:eastAsia="MS UI Gothic"/>
          <w:w w:val="80"/>
        </w:rPr>
        <w:t>ꎮ</w:t>
      </w:r>
    </w:p>
    <w:p>
      <w:pPr>
        <w:pStyle w:val="6"/>
        <w:tabs>
          <w:tab w:val="left" w:pos="1953"/>
        </w:tabs>
        <w:spacing w:before="156"/>
        <w:ind w:left="1114" w:firstLine="0"/>
        <w:jc w:val="left"/>
      </w:pPr>
      <w:r>
        <w:rPr>
          <w:spacing w:val="3"/>
          <w:w w:val="105"/>
        </w:rPr>
        <w:t>第四</w:t>
      </w:r>
      <w:r>
        <w:rPr>
          <w:w w:val="105"/>
        </w:rPr>
        <w:t>章</w:t>
      </w:r>
      <w:r>
        <w:rPr>
          <w:w w:val="105"/>
        </w:rPr>
        <w:tab/>
      </w:r>
      <w:r>
        <w:rPr>
          <w:spacing w:val="3"/>
          <w:w w:val="105"/>
        </w:rPr>
        <w:t>应急处置与救</w:t>
      </w:r>
      <w:r>
        <w:rPr>
          <w:w w:val="105"/>
        </w:rPr>
        <w:t>援</w:t>
      </w:r>
    </w:p>
    <w:p>
      <w:pPr>
        <w:pStyle w:val="6"/>
        <w:spacing w:before="215" w:line="295" w:lineRule="auto"/>
        <w:ind w:left="381" w:right="126"/>
        <w:rPr>
          <w:rFonts w:hint="eastAsia" w:ascii="MS UI Gothic" w:eastAsia="MS UI Gothic"/>
        </w:rPr>
      </w:pPr>
      <w:r>
        <w:t>第四十八条 突发事件发生后</w:t>
      </w:r>
      <w:r>
        <w:rPr>
          <w:rFonts w:hint="eastAsia" w:ascii="MS UI Gothic" w:eastAsia="MS UI Gothic"/>
          <w:w w:val="80"/>
        </w:rPr>
        <w:t xml:space="preserve">ꎬ </w:t>
      </w:r>
      <w:r>
        <w:t>履行统一领导职责或者组织处置突发事件的人民政府应当针对其性质</w:t>
      </w:r>
      <w:r>
        <w:rPr>
          <w:rFonts w:hint="eastAsia" w:ascii="MS UI Gothic" w:eastAsia="MS UI Gothic"/>
          <w:w w:val="80"/>
        </w:rPr>
        <w:t xml:space="preserve">、 </w:t>
      </w:r>
      <w:r>
        <w:t>特点和危害程度</w:t>
      </w:r>
      <w:r>
        <w:rPr>
          <w:rFonts w:hint="eastAsia" w:ascii="MS UI Gothic" w:eastAsia="MS UI Gothic"/>
          <w:w w:val="80"/>
        </w:rPr>
        <w:t xml:space="preserve">ꎬ </w:t>
      </w:r>
      <w:r>
        <w:t>立即组织有关部门</w:t>
      </w:r>
      <w:r>
        <w:rPr>
          <w:rFonts w:hint="eastAsia" w:ascii="MS UI Gothic" w:eastAsia="MS UI Gothic"/>
          <w:w w:val="80"/>
        </w:rPr>
        <w:t xml:space="preserve">ꎬ </w:t>
      </w:r>
      <w:r>
        <w:t>调动应急救援队伍和社会力量</w:t>
      </w:r>
      <w:r>
        <w:rPr>
          <w:rFonts w:hint="eastAsia" w:ascii="MS UI Gothic" w:eastAsia="MS UI Gothic"/>
          <w:w w:val="80"/>
        </w:rPr>
        <w:t xml:space="preserve">ꎬ </w:t>
      </w:r>
      <w:r>
        <w:t>依照本章的规定和有关法律</w:t>
      </w:r>
      <w:r>
        <w:rPr>
          <w:rFonts w:hint="eastAsia" w:ascii="MS UI Gothic" w:eastAsia="MS UI Gothic"/>
          <w:w w:val="80"/>
        </w:rPr>
        <w:t xml:space="preserve">、 </w:t>
      </w:r>
      <w:r>
        <w:t>法规</w:t>
      </w:r>
      <w:r>
        <w:rPr>
          <w:rFonts w:hint="eastAsia" w:ascii="MS UI Gothic" w:eastAsia="MS UI Gothic"/>
          <w:w w:val="80"/>
        </w:rPr>
        <w:t xml:space="preserve">、 </w:t>
      </w:r>
      <w:r>
        <w:t>规章的规定采取应急处置措施</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第四十九条 自然灾害</w:t>
      </w:r>
      <w:r>
        <w:rPr>
          <w:rFonts w:hint="eastAsia" w:ascii="MS UI Gothic" w:eastAsia="MS UI Gothic"/>
          <w:w w:val="80"/>
        </w:rPr>
        <w:t xml:space="preserve">、 </w:t>
      </w:r>
      <w:r>
        <w:rPr>
          <w:w w:val="105"/>
        </w:rPr>
        <w:t>事故灾难或</w:t>
      </w:r>
      <w:r>
        <w:t>者公共卫生事件发生后</w:t>
      </w:r>
      <w:r>
        <w:rPr>
          <w:rFonts w:hint="eastAsia" w:ascii="MS UI Gothic" w:eastAsia="MS UI Gothic"/>
          <w:w w:val="80"/>
        </w:rPr>
        <w:t xml:space="preserve">ꎬ </w:t>
      </w:r>
      <w:r>
        <w:t>履行统一领导职责的人民政府可以采取下列一项或者多项</w:t>
      </w:r>
      <w:r>
        <w:rPr>
          <w:w w:val="105"/>
        </w:rPr>
        <w:t>应急处置措施</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组织营救和救治受害人员</w:t>
      </w:r>
      <w:r>
        <w:rPr>
          <w:rFonts w:hint="eastAsia" w:ascii="MS UI Gothic" w:eastAsia="MS UI Gothic"/>
          <w:w w:val="80"/>
        </w:rPr>
        <w:t xml:space="preserve">ꎬ </w:t>
      </w:r>
      <w:r>
        <w:rPr>
          <w:w w:val="105"/>
        </w:rPr>
        <w:t>疏散</w:t>
      </w:r>
      <w:r>
        <w:rPr>
          <w:rFonts w:hint="eastAsia" w:ascii="MS UI Gothic" w:eastAsia="MS UI Gothic"/>
          <w:w w:val="80"/>
        </w:rPr>
        <w:t xml:space="preserve">、 </w:t>
      </w:r>
      <w:r>
        <w:rPr>
          <w:w w:val="105"/>
        </w:rPr>
        <w:t>撤离并妥善安置受到威胁的人员以及采取其他救助措施</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迅速控制危险源</w:t>
      </w:r>
      <w:r>
        <w:rPr>
          <w:rFonts w:hint="eastAsia" w:ascii="MS UI Gothic" w:eastAsia="MS UI Gothic"/>
          <w:w w:val="80"/>
        </w:rPr>
        <w:t xml:space="preserve">ꎬ </w:t>
      </w:r>
      <w:r>
        <w:t>标明危险区域</w:t>
      </w:r>
      <w:r>
        <w:rPr>
          <w:rFonts w:hint="eastAsia" w:ascii="MS UI Gothic" w:eastAsia="MS UI Gothic"/>
          <w:w w:val="80"/>
        </w:rPr>
        <w:t xml:space="preserve">ꎬ </w:t>
      </w:r>
      <w:r>
        <w:t>封锁危险场所</w:t>
      </w:r>
      <w:r>
        <w:rPr>
          <w:rFonts w:hint="eastAsia" w:ascii="MS UI Gothic" w:eastAsia="MS UI Gothic"/>
          <w:w w:val="80"/>
        </w:rPr>
        <w:t xml:space="preserve">ꎬ </w:t>
      </w:r>
      <w:r>
        <w:t>划定警戒区</w:t>
      </w:r>
      <w:r>
        <w:rPr>
          <w:rFonts w:hint="eastAsia" w:ascii="MS UI Gothic" w:eastAsia="MS UI Gothic"/>
          <w:w w:val="80"/>
        </w:rPr>
        <w:t xml:space="preserve">ꎬ </w:t>
      </w:r>
      <w:r>
        <w:t>实行交通管制以及其他控制措施</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立即抢修被损坏的交通</w:t>
      </w:r>
      <w:r>
        <w:rPr>
          <w:rFonts w:hint="eastAsia" w:ascii="MS UI Gothic" w:eastAsia="MS UI Gothic"/>
          <w:w w:val="80"/>
        </w:rPr>
        <w:t xml:space="preserve">、 </w:t>
      </w:r>
      <w:r>
        <w:rPr>
          <w:w w:val="105"/>
        </w:rPr>
        <w:t>通信</w:t>
      </w:r>
      <w:r>
        <w:rPr>
          <w:rFonts w:hint="eastAsia" w:ascii="MS UI Gothic" w:eastAsia="MS UI Gothic"/>
          <w:w w:val="80"/>
        </w:rPr>
        <w:t xml:space="preserve">、 </w:t>
      </w:r>
      <w:r>
        <w:rPr>
          <w:w w:val="105"/>
        </w:rPr>
        <w:t>供水</w:t>
      </w:r>
      <w:r>
        <w:rPr>
          <w:rFonts w:hint="eastAsia" w:ascii="MS UI Gothic" w:eastAsia="MS UI Gothic"/>
          <w:w w:val="80"/>
        </w:rPr>
        <w:t xml:space="preserve">、 </w:t>
      </w:r>
      <w:r>
        <w:rPr>
          <w:w w:val="105"/>
        </w:rPr>
        <w:t>排水</w:t>
      </w:r>
      <w:r>
        <w:rPr>
          <w:rFonts w:hint="eastAsia" w:ascii="MS UI Gothic" w:eastAsia="MS UI Gothic"/>
          <w:w w:val="80"/>
        </w:rPr>
        <w:t xml:space="preserve">、 </w:t>
      </w:r>
      <w:r>
        <w:rPr>
          <w:w w:val="105"/>
        </w:rPr>
        <w:t>供电</w:t>
      </w:r>
      <w:r>
        <w:rPr>
          <w:rFonts w:hint="eastAsia" w:ascii="MS UI Gothic" w:eastAsia="MS UI Gothic"/>
          <w:w w:val="80"/>
        </w:rPr>
        <w:t xml:space="preserve">、 </w:t>
      </w:r>
      <w:r>
        <w:rPr>
          <w:w w:val="105"/>
        </w:rPr>
        <w:t>供气</w:t>
      </w:r>
      <w:r>
        <w:rPr>
          <w:rFonts w:hint="eastAsia" w:ascii="MS UI Gothic" w:eastAsia="MS UI Gothic"/>
          <w:w w:val="80"/>
        </w:rPr>
        <w:t xml:space="preserve">、 </w:t>
      </w:r>
      <w:r>
        <w:rPr>
          <w:w w:val="105"/>
        </w:rPr>
        <w:t>供热等公</w:t>
      </w:r>
      <w:r>
        <w:t>共设施</w:t>
      </w:r>
      <w:r>
        <w:rPr>
          <w:rFonts w:hint="eastAsia" w:ascii="MS UI Gothic" w:eastAsia="MS UI Gothic"/>
          <w:w w:val="80"/>
        </w:rPr>
        <w:t xml:space="preserve">ꎬ </w:t>
      </w:r>
      <w:r>
        <w:t>向受到危害的人员提供避难场所和生活必需品</w:t>
      </w:r>
      <w:r>
        <w:rPr>
          <w:rFonts w:hint="eastAsia" w:ascii="MS UI Gothic" w:eastAsia="MS UI Gothic"/>
          <w:w w:val="80"/>
        </w:rPr>
        <w:t xml:space="preserve">ꎬ </w:t>
      </w:r>
      <w:r>
        <w:t>实施医疗救护和卫生防疫</w:t>
      </w:r>
      <w:r>
        <w:rPr>
          <w:w w:val="105"/>
        </w:rPr>
        <w:t>以及其他保障措施</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spacing w:val="-38"/>
          <w:w w:val="150"/>
        </w:rPr>
        <w:t xml:space="preserve">( </w:t>
      </w:r>
      <w:r>
        <w:rPr>
          <w:spacing w:val="7"/>
          <w:w w:val="105"/>
        </w:rPr>
        <w:t>四</w:t>
      </w:r>
      <w:r>
        <w:rPr>
          <w:rFonts w:hint="eastAsia" w:ascii="MS UI Gothic" w:eastAsia="MS UI Gothic"/>
          <w:spacing w:val="8"/>
          <w:w w:val="150"/>
        </w:rPr>
        <w:t xml:space="preserve">) </w:t>
      </w:r>
      <w:r>
        <w:rPr>
          <w:spacing w:val="15"/>
          <w:w w:val="105"/>
        </w:rPr>
        <w:t>禁止或者限制使用有关设备</w:t>
      </w:r>
      <w:r>
        <w:rPr>
          <w:rFonts w:hint="eastAsia" w:ascii="MS UI Gothic" w:eastAsia="MS UI Gothic"/>
          <w:w w:val="80"/>
        </w:rPr>
        <w:t>、</w:t>
      </w:r>
      <w:r>
        <w:rPr>
          <w:spacing w:val="3"/>
        </w:rPr>
        <w:t>设施</w:t>
      </w:r>
      <w:r>
        <w:rPr>
          <w:rFonts w:hint="eastAsia" w:ascii="MS UI Gothic" w:eastAsia="MS UI Gothic"/>
          <w:spacing w:val="23"/>
          <w:w w:val="80"/>
        </w:rPr>
        <w:t xml:space="preserve">ꎬ </w:t>
      </w:r>
      <w:r>
        <w:rPr>
          <w:spacing w:val="3"/>
        </w:rPr>
        <w:t>关闭或者限制使用有关场所</w:t>
      </w:r>
      <w:r>
        <w:rPr>
          <w:rFonts w:hint="eastAsia" w:ascii="MS UI Gothic" w:eastAsia="MS UI Gothic"/>
          <w:spacing w:val="23"/>
          <w:w w:val="80"/>
        </w:rPr>
        <w:t xml:space="preserve">ꎬ </w:t>
      </w:r>
      <w:r>
        <w:rPr>
          <w:spacing w:val="1"/>
        </w:rPr>
        <w:t>中止</w:t>
      </w:r>
      <w:r>
        <w:rPr>
          <w:spacing w:val="2"/>
        </w:rPr>
        <w:t>人员密集的活动或者可能导致危害扩大的</w:t>
      </w:r>
      <w:r>
        <w:rPr>
          <w:spacing w:val="3"/>
          <w:w w:val="105"/>
        </w:rPr>
        <w:t>生产经营活动以及采取其他保护措施</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五</w:t>
      </w:r>
      <w:r>
        <w:rPr>
          <w:rFonts w:hint="eastAsia" w:ascii="MS UI Gothic" w:eastAsia="MS UI Gothic"/>
          <w:spacing w:val="3"/>
          <w:w w:val="150"/>
        </w:rPr>
        <w:t xml:space="preserve">) </w:t>
      </w:r>
      <w:r>
        <w:rPr>
          <w:spacing w:val="5"/>
          <w:w w:val="105"/>
        </w:rPr>
        <w:t>启用本级人民政府设置的财政</w:t>
      </w:r>
      <w:r>
        <w:rPr>
          <w:spacing w:val="3"/>
        </w:rPr>
        <w:t>预备费和储备的应急救援物资</w:t>
      </w:r>
      <w:r>
        <w:rPr>
          <w:rFonts w:hint="eastAsia" w:ascii="MS UI Gothic" w:eastAsia="MS UI Gothic"/>
          <w:spacing w:val="20"/>
          <w:w w:val="80"/>
        </w:rPr>
        <w:t xml:space="preserve">ꎬ </w:t>
      </w:r>
      <w:r>
        <w:rPr>
          <w:spacing w:val="2"/>
        </w:rPr>
        <w:t>必要时调</w:t>
      </w:r>
      <w:r>
        <w:rPr>
          <w:spacing w:val="3"/>
          <w:w w:val="105"/>
        </w:rPr>
        <w:t>用其他急需物资</w:t>
      </w:r>
      <w:r>
        <w:rPr>
          <w:rFonts w:hint="eastAsia" w:ascii="MS UI Gothic" w:eastAsia="MS UI Gothic"/>
          <w:spacing w:val="18"/>
          <w:w w:val="80"/>
        </w:rPr>
        <w:t xml:space="preserve">、 </w:t>
      </w:r>
      <w:r>
        <w:rPr>
          <w:spacing w:val="3"/>
          <w:w w:val="105"/>
        </w:rPr>
        <w:t>设备</w:t>
      </w:r>
      <w:r>
        <w:rPr>
          <w:rFonts w:hint="eastAsia" w:ascii="MS UI Gothic" w:eastAsia="MS UI Gothic"/>
          <w:spacing w:val="18"/>
          <w:w w:val="80"/>
        </w:rPr>
        <w:t xml:space="preserve">、 </w:t>
      </w:r>
      <w:r>
        <w:rPr>
          <w:spacing w:val="3"/>
          <w:w w:val="105"/>
        </w:rPr>
        <w:t>设施</w:t>
      </w:r>
      <w:r>
        <w:rPr>
          <w:rFonts w:hint="eastAsia" w:ascii="MS UI Gothic" w:eastAsia="MS UI Gothic"/>
          <w:spacing w:val="18"/>
          <w:w w:val="80"/>
        </w:rPr>
        <w:t xml:space="preserve">、 </w:t>
      </w:r>
      <w:r>
        <w:rPr>
          <w:spacing w:val="3"/>
          <w:w w:val="105"/>
        </w:rPr>
        <w:t>工具</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组织公民参加应急救援和处置</w:t>
      </w:r>
      <w:r>
        <w:t>工作</w:t>
      </w:r>
      <w:r>
        <w:rPr>
          <w:rFonts w:hint="eastAsia" w:ascii="MS UI Gothic" w:eastAsia="MS UI Gothic"/>
          <w:w w:val="80"/>
        </w:rPr>
        <w:t xml:space="preserve">ꎬ </w:t>
      </w:r>
      <w:r>
        <w:t>要求具有特定专长的人员提供</w:t>
      </w:r>
      <w:r>
        <w:rPr>
          <w:w w:val="105"/>
        </w:rPr>
        <w:t>服务</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保障食品</w:t>
      </w:r>
      <w:r>
        <w:rPr>
          <w:rFonts w:hint="eastAsia" w:ascii="MS UI Gothic" w:eastAsia="MS UI Gothic"/>
          <w:w w:val="80"/>
        </w:rPr>
        <w:t xml:space="preserve">、 </w:t>
      </w:r>
      <w:r>
        <w:rPr>
          <w:w w:val="105"/>
        </w:rPr>
        <w:t>饮用水</w:t>
      </w:r>
      <w:r>
        <w:rPr>
          <w:rFonts w:hint="eastAsia" w:ascii="MS UI Gothic" w:eastAsia="MS UI Gothic"/>
          <w:w w:val="80"/>
        </w:rPr>
        <w:t xml:space="preserve">、 </w:t>
      </w:r>
      <w:r>
        <w:rPr>
          <w:w w:val="105"/>
        </w:rPr>
        <w:t>燃料等基本生活必需品的供应</w:t>
      </w:r>
      <w:r>
        <w:rPr>
          <w:rFonts w:hint="eastAsia" w:ascii="MS UI Gothic" w:eastAsia="MS UI Gothic"/>
          <w:w w:val="80"/>
        </w:rPr>
        <w:t>ꎻ</w:t>
      </w:r>
    </w:p>
    <w:p>
      <w:pPr>
        <w:pStyle w:val="6"/>
        <w:spacing w:line="255" w:lineRule="exact"/>
        <w:ind w:left="800" w:firstLine="0"/>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依法从严惩处囤积居奇</w:t>
      </w:r>
      <w:r>
        <w:rPr>
          <w:rFonts w:hint="eastAsia" w:ascii="MS UI Gothic" w:eastAsia="MS UI Gothic"/>
        </w:rPr>
        <w:t xml:space="preserve">、 </w:t>
      </w:r>
      <w:r>
        <w:rPr>
          <w:w w:val="110"/>
        </w:rPr>
        <w:t>哄抬</w:t>
      </w:r>
    </w:p>
    <w:p>
      <w:pPr>
        <w:spacing w:after="0" w:line="255" w:lineRule="exact"/>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４２</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77" o:spid="_x0000_s1177" o:spt="203" style="height:2.15pt;width:398.25pt;" coordsize="7965,43">
            <o:lock v:ext="edit"/>
            <v:line id="_x0000_s1178" o:spid="_x0000_s1178" o:spt="20" style="position:absolute;left:0;top:39;height:0;width:7965;" stroked="t" coordsize="21600,21600">
              <v:path arrowok="t"/>
              <v:fill focussize="0,0"/>
              <v:stroke weight="0.388031496062992pt" color="#231F20"/>
              <v:imagedata o:title=""/>
              <o:lock v:ext="edit"/>
            </v:line>
            <v:line id="_x0000_s1179" o:spid="_x0000_s117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jc w:val="left"/>
        <w:rPr>
          <w:rFonts w:hint="eastAsia" w:ascii="MS UI Gothic" w:eastAsia="MS UI Gothic"/>
        </w:rPr>
      </w:pPr>
      <w:r>
        <w:t>物价</w:t>
      </w:r>
      <w:r>
        <w:rPr>
          <w:rFonts w:hint="eastAsia" w:ascii="MS UI Gothic" w:eastAsia="MS UI Gothic"/>
        </w:rPr>
        <w:t xml:space="preserve">、 </w:t>
      </w:r>
      <w:r>
        <w:t>制假售假等扰乱市场秩序的行为</w:t>
      </w:r>
      <w:r>
        <w:rPr>
          <w:rFonts w:hint="eastAsia" w:ascii="MS UI Gothic" w:eastAsia="MS UI Gothic"/>
          <w:w w:val="80"/>
        </w:rPr>
        <w:t>ꎬ</w:t>
      </w:r>
      <w:r>
        <w:t>稳定市场价格</w:t>
      </w:r>
      <w:r>
        <w:rPr>
          <w:rFonts w:hint="eastAsia" w:ascii="MS UI Gothic" w:eastAsia="MS UI Gothic"/>
          <w:w w:val="80"/>
        </w:rPr>
        <w:t xml:space="preserve">ꎬ </w:t>
      </w:r>
      <w:r>
        <w:t>维护市场秩序</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依法从严惩处哄抢财物</w:t>
      </w:r>
      <w:r>
        <w:rPr>
          <w:rFonts w:hint="eastAsia" w:ascii="MS UI Gothic" w:eastAsia="MS UI Gothic"/>
          <w:w w:val="80"/>
        </w:rPr>
        <w:t xml:space="preserve">、  </w:t>
      </w:r>
      <w:r>
        <w:rPr>
          <w:w w:val="105"/>
        </w:rPr>
        <w:t>干扰</w:t>
      </w:r>
      <w:r>
        <w:t>破坏应急处置工作等扰乱社会秩序的行</w:t>
      </w:r>
      <w:r>
        <w:rPr>
          <w:w w:val="105"/>
        </w:rPr>
        <w:t>为</w:t>
      </w:r>
      <w:r>
        <w:rPr>
          <w:rFonts w:hint="eastAsia" w:ascii="MS UI Gothic" w:eastAsia="MS UI Gothic"/>
          <w:w w:val="80"/>
        </w:rPr>
        <w:t xml:space="preserve">ꎬ </w:t>
      </w:r>
      <w:r>
        <w:rPr>
          <w:w w:val="105"/>
        </w:rPr>
        <w:t>维护社会治安</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采取防止发生次生</w:t>
      </w:r>
      <w:r>
        <w:rPr>
          <w:rFonts w:hint="eastAsia" w:ascii="MS UI Gothic" w:eastAsia="MS UI Gothic"/>
          <w:w w:val="80"/>
        </w:rPr>
        <w:t xml:space="preserve">、  </w:t>
      </w:r>
      <w:r>
        <w:rPr>
          <w:w w:val="105"/>
        </w:rPr>
        <w:t>衍生事件的必要措施</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第五十条 社会安全事件发生后</w:t>
      </w:r>
      <w:r>
        <w:rPr>
          <w:rFonts w:hint="eastAsia" w:ascii="MS UI Gothic" w:eastAsia="MS UI Gothic"/>
          <w:w w:val="80"/>
        </w:rPr>
        <w:t xml:space="preserve">ꎬ </w:t>
      </w:r>
      <w:r>
        <w:rPr>
          <w:w w:val="105"/>
        </w:rPr>
        <w:t>组</w:t>
      </w:r>
      <w:r>
        <w:t>织处置工作的人民政府应当立即组织有关部门并由公安机关针对事件的性质和特</w:t>
      </w:r>
      <w:r>
        <w:rPr>
          <w:w w:val="105"/>
        </w:rPr>
        <w:t>点</w:t>
      </w:r>
      <w:r>
        <w:rPr>
          <w:rFonts w:hint="eastAsia" w:ascii="MS UI Gothic" w:eastAsia="MS UI Gothic"/>
          <w:w w:val="80"/>
        </w:rPr>
        <w:t xml:space="preserve">ꎬ </w:t>
      </w:r>
      <w:r>
        <w:rPr>
          <w:w w:val="105"/>
        </w:rPr>
        <w:t>依照有关法律</w:t>
      </w:r>
      <w:r>
        <w:rPr>
          <w:rFonts w:hint="eastAsia" w:ascii="MS UI Gothic" w:eastAsia="MS UI Gothic"/>
          <w:w w:val="80"/>
        </w:rPr>
        <w:t xml:space="preserve">、 </w:t>
      </w:r>
      <w:r>
        <w:rPr>
          <w:w w:val="105"/>
        </w:rPr>
        <w:t>行政法规和国家其他</w:t>
      </w:r>
      <w:r>
        <w:t>有关规定</w:t>
      </w:r>
      <w:r>
        <w:rPr>
          <w:rFonts w:hint="eastAsia" w:ascii="MS UI Gothic" w:eastAsia="MS UI Gothic"/>
          <w:w w:val="80"/>
        </w:rPr>
        <w:t xml:space="preserve">ꎬ </w:t>
      </w:r>
      <w:r>
        <w:t>采取下列一项或者多项应急处</w:t>
      </w:r>
      <w:r>
        <w:rPr>
          <w:w w:val="105"/>
        </w:rPr>
        <w:t>置措施</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强制隔离使用器械相互对抗或</w:t>
      </w:r>
      <w:r>
        <w:t>者以暴力行为参与冲突的当事人</w:t>
      </w:r>
      <w:r>
        <w:rPr>
          <w:rFonts w:hint="eastAsia" w:ascii="MS UI Gothic" w:eastAsia="MS UI Gothic"/>
          <w:w w:val="80"/>
        </w:rPr>
        <w:t xml:space="preserve">ꎬ </w:t>
      </w:r>
      <w:r>
        <w:t>妥善解</w:t>
      </w:r>
      <w:r>
        <w:rPr>
          <w:w w:val="105"/>
        </w:rPr>
        <w:t>决现场纠纷和争端</w:t>
      </w:r>
      <w:r>
        <w:rPr>
          <w:rFonts w:hint="eastAsia" w:ascii="MS UI Gothic" w:eastAsia="MS UI Gothic"/>
          <w:w w:val="80"/>
        </w:rPr>
        <w:t xml:space="preserve">ꎬ </w:t>
      </w:r>
      <w:r>
        <w:rPr>
          <w:w w:val="105"/>
        </w:rPr>
        <w:t>控制事态发展</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对特定区域内的建筑物</w:t>
      </w:r>
      <w:r>
        <w:rPr>
          <w:rFonts w:hint="eastAsia" w:ascii="MS UI Gothic" w:eastAsia="MS UI Gothic"/>
          <w:w w:val="80"/>
        </w:rPr>
        <w:t xml:space="preserve">、  </w:t>
      </w:r>
      <w:r>
        <w:rPr>
          <w:w w:val="105"/>
        </w:rPr>
        <w:t>交通工具</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设施以及燃料</w:t>
      </w:r>
      <w:r>
        <w:rPr>
          <w:rFonts w:hint="eastAsia" w:ascii="MS UI Gothic" w:eastAsia="MS UI Gothic"/>
          <w:w w:val="80"/>
        </w:rPr>
        <w:t xml:space="preserve">、 </w:t>
      </w:r>
      <w:r>
        <w:rPr>
          <w:w w:val="105"/>
        </w:rPr>
        <w:t>燃气</w:t>
      </w:r>
      <w:r>
        <w:rPr>
          <w:rFonts w:hint="eastAsia" w:ascii="MS UI Gothic" w:eastAsia="MS UI Gothic"/>
          <w:w w:val="80"/>
        </w:rPr>
        <w:t xml:space="preserve">、 </w:t>
      </w:r>
      <w:r>
        <w:rPr>
          <w:w w:val="105"/>
        </w:rPr>
        <w:t>电力</w:t>
      </w:r>
      <w:r>
        <w:rPr>
          <w:rFonts w:hint="eastAsia" w:ascii="MS UI Gothic" w:eastAsia="MS UI Gothic"/>
          <w:w w:val="80"/>
        </w:rPr>
        <w:t xml:space="preserve">、 </w:t>
      </w:r>
      <w:r>
        <w:rPr>
          <w:w w:val="105"/>
        </w:rPr>
        <w:t>水的供应进行控制</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封锁有关场所</w:t>
      </w:r>
      <w:r>
        <w:rPr>
          <w:rFonts w:hint="eastAsia" w:ascii="MS UI Gothic" w:eastAsia="MS UI Gothic"/>
          <w:w w:val="80"/>
        </w:rPr>
        <w:t xml:space="preserve">、 </w:t>
      </w:r>
      <w:r>
        <w:rPr>
          <w:w w:val="105"/>
        </w:rPr>
        <w:t>道路</w:t>
      </w:r>
      <w:r>
        <w:rPr>
          <w:rFonts w:hint="eastAsia" w:ascii="MS UI Gothic" w:eastAsia="MS UI Gothic"/>
          <w:w w:val="80"/>
        </w:rPr>
        <w:t xml:space="preserve">ꎬ </w:t>
      </w:r>
      <w:r>
        <w:rPr>
          <w:w w:val="105"/>
        </w:rPr>
        <w:t>查验现</w:t>
      </w:r>
      <w:r>
        <w:t>场人员的身份证件</w:t>
      </w:r>
      <w:r>
        <w:rPr>
          <w:rFonts w:hint="eastAsia" w:ascii="MS UI Gothic" w:eastAsia="MS UI Gothic"/>
          <w:w w:val="80"/>
        </w:rPr>
        <w:t xml:space="preserve">ꎬ </w:t>
      </w:r>
      <w:r>
        <w:t>限制有关公共场所内</w:t>
      </w:r>
      <w:r>
        <w:rPr>
          <w:w w:val="105"/>
        </w:rPr>
        <w:t>的活动</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加强对易受冲击的核心机关和单位的警卫</w:t>
      </w:r>
      <w:r>
        <w:rPr>
          <w:rFonts w:hint="eastAsia" w:ascii="MS UI Gothic" w:eastAsia="MS UI Gothic"/>
          <w:w w:val="80"/>
        </w:rPr>
        <w:t xml:space="preserve">ꎬ </w:t>
      </w:r>
      <w:r>
        <w:rPr>
          <w:w w:val="105"/>
        </w:rPr>
        <w:t>在国家机关</w:t>
      </w:r>
      <w:r>
        <w:rPr>
          <w:rFonts w:hint="eastAsia" w:ascii="MS UI Gothic" w:eastAsia="MS UI Gothic"/>
          <w:w w:val="80"/>
        </w:rPr>
        <w:t xml:space="preserve">、 </w:t>
      </w:r>
      <w:r>
        <w:rPr>
          <w:w w:val="105"/>
        </w:rPr>
        <w:t>军事机关</w:t>
      </w:r>
      <w:r>
        <w:rPr>
          <w:rFonts w:hint="eastAsia" w:ascii="MS UI Gothic" w:eastAsia="MS UI Gothic"/>
          <w:w w:val="80"/>
        </w:rPr>
        <w:t xml:space="preserve">、 </w:t>
      </w:r>
      <w:r>
        <w:rPr>
          <w:w w:val="105"/>
        </w:rPr>
        <w:t>国家通讯社</w:t>
      </w:r>
      <w:r>
        <w:rPr>
          <w:rFonts w:hint="eastAsia" w:ascii="MS UI Gothic" w:eastAsia="MS UI Gothic"/>
          <w:w w:val="80"/>
        </w:rPr>
        <w:t xml:space="preserve">、 </w:t>
      </w:r>
      <w:r>
        <w:rPr>
          <w:w w:val="105"/>
        </w:rPr>
        <w:t>广播电台</w:t>
      </w:r>
      <w:r>
        <w:rPr>
          <w:rFonts w:hint="eastAsia" w:ascii="MS UI Gothic" w:eastAsia="MS UI Gothic"/>
          <w:w w:val="80"/>
        </w:rPr>
        <w:t xml:space="preserve">、 </w:t>
      </w:r>
      <w:r>
        <w:rPr>
          <w:w w:val="105"/>
        </w:rPr>
        <w:t>电视台</w:t>
      </w:r>
      <w:r>
        <w:rPr>
          <w:rFonts w:hint="eastAsia" w:ascii="MS UI Gothic" w:eastAsia="MS UI Gothic"/>
          <w:w w:val="80"/>
        </w:rPr>
        <w:t xml:space="preserve">、 </w:t>
      </w:r>
      <w:r>
        <w:rPr>
          <w:w w:val="105"/>
        </w:rPr>
        <w:t>外国驻华使领馆等单位附近设置临时警戒线</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行政法规和国务院规定的其他必要措施</w:t>
      </w:r>
      <w:r>
        <w:rPr>
          <w:rFonts w:hint="eastAsia" w:ascii="MS UI Gothic" w:eastAsia="MS UI Gothic"/>
          <w:w w:val="80"/>
        </w:rPr>
        <w:t>ꎮ</w:t>
      </w:r>
    </w:p>
    <w:p>
      <w:pPr>
        <w:pStyle w:val="6"/>
        <w:spacing w:line="295" w:lineRule="auto"/>
        <w:ind w:right="38"/>
        <w:rPr>
          <w:rFonts w:hint="eastAsia" w:ascii="MS UI Gothic" w:eastAsia="MS UI Gothic"/>
        </w:rPr>
      </w:pPr>
      <w:r>
        <w:t>严重危害社会治安秩序的事件发生时</w:t>
      </w:r>
      <w:r>
        <w:rPr>
          <w:rFonts w:hint="eastAsia" w:ascii="MS UI Gothic" w:eastAsia="MS UI Gothic"/>
          <w:w w:val="80"/>
        </w:rPr>
        <w:t xml:space="preserve">ꎬ </w:t>
      </w:r>
      <w:r>
        <w:t>公安机关应当立即依法出动警力</w:t>
      </w:r>
      <w:r>
        <w:rPr>
          <w:rFonts w:hint="eastAsia" w:ascii="MS UI Gothic" w:eastAsia="MS UI Gothic"/>
          <w:w w:val="80"/>
        </w:rPr>
        <w:t xml:space="preserve">ꎬ </w:t>
      </w:r>
      <w:r>
        <w:t>根据现场情况依法采取相应的强制性措施</w:t>
      </w:r>
      <w:r>
        <w:rPr>
          <w:rFonts w:hint="eastAsia" w:ascii="MS UI Gothic" w:eastAsia="MS UI Gothic"/>
          <w:w w:val="80"/>
        </w:rPr>
        <w:t>ꎬ</w:t>
      </w:r>
      <w:r>
        <w:t>尽快使社会秩序恢复正常</w:t>
      </w:r>
      <w:r>
        <w:rPr>
          <w:rFonts w:hint="eastAsia" w:ascii="MS UI Gothic" w:eastAsia="MS UI Gothic"/>
          <w:w w:val="80"/>
        </w:rPr>
        <w:t>ꎮ</w:t>
      </w:r>
    </w:p>
    <w:p>
      <w:pPr>
        <w:pStyle w:val="6"/>
        <w:spacing w:line="295" w:lineRule="auto"/>
        <w:ind w:right="39"/>
        <w:rPr>
          <w:rFonts w:hint="eastAsia" w:ascii="MS UI Gothic" w:eastAsia="MS UI Gothic"/>
        </w:rPr>
      </w:pPr>
      <w:r>
        <w:t>第五十一条 发生突发事件</w:t>
      </w:r>
      <w:r>
        <w:rPr>
          <w:rFonts w:hint="eastAsia" w:ascii="MS UI Gothic" w:eastAsia="MS UI Gothic"/>
          <w:w w:val="80"/>
        </w:rPr>
        <w:t xml:space="preserve">ꎬ </w:t>
      </w:r>
      <w:r>
        <w:t>严重影响国民经济正常运行时</w:t>
      </w:r>
      <w:r>
        <w:rPr>
          <w:rFonts w:hint="eastAsia" w:ascii="MS UI Gothic" w:eastAsia="MS UI Gothic"/>
          <w:w w:val="80"/>
        </w:rPr>
        <w:t xml:space="preserve">ꎬ </w:t>
      </w:r>
      <w:r>
        <w:t>国务院或者国务院授权的有关主管部门可以采取保障</w:t>
      </w:r>
      <w:r>
        <w:rPr>
          <w:rFonts w:hint="eastAsia" w:ascii="MS UI Gothic" w:eastAsia="MS UI Gothic"/>
          <w:w w:val="80"/>
        </w:rPr>
        <w:t xml:space="preserve">、 </w:t>
      </w:r>
      <w:r>
        <w:t>控制等必要的应急措施</w:t>
      </w:r>
      <w:r>
        <w:rPr>
          <w:rFonts w:hint="eastAsia" w:ascii="MS UI Gothic" w:eastAsia="MS UI Gothic"/>
          <w:w w:val="80"/>
        </w:rPr>
        <w:t xml:space="preserve">ꎬ </w:t>
      </w:r>
      <w:r>
        <w:t>保障人民群众的基本生活需要</w:t>
      </w:r>
      <w:r>
        <w:rPr>
          <w:rFonts w:hint="eastAsia" w:ascii="MS UI Gothic" w:eastAsia="MS UI Gothic"/>
          <w:w w:val="80"/>
        </w:rPr>
        <w:t xml:space="preserve">ꎬ </w:t>
      </w:r>
      <w:r>
        <w:t>最大限度地减轻突发事件的影响</w:t>
      </w:r>
      <w:r>
        <w:rPr>
          <w:rFonts w:hint="eastAsia" w:ascii="MS UI Gothic" w:eastAsia="MS UI Gothic"/>
          <w:w w:val="80"/>
        </w:rPr>
        <w:t>ꎮ</w:t>
      </w:r>
    </w:p>
    <w:p>
      <w:pPr>
        <w:pStyle w:val="6"/>
        <w:tabs>
          <w:tab w:val="left" w:pos="1801"/>
        </w:tabs>
        <w:spacing w:line="251" w:lineRule="exact"/>
        <w:ind w:left="543" w:firstLine="0"/>
        <w:jc w:val="left"/>
      </w:pPr>
      <w:r>
        <w:rPr>
          <w:spacing w:val="3"/>
          <w:w w:val="105"/>
        </w:rPr>
        <w:t>第五十二</w:t>
      </w:r>
      <w:r>
        <w:rPr>
          <w:w w:val="105"/>
        </w:rPr>
        <w:t>条</w:t>
      </w:r>
      <w:r>
        <w:rPr>
          <w:w w:val="105"/>
        </w:rPr>
        <w:tab/>
      </w:r>
      <w:r>
        <w:rPr>
          <w:spacing w:val="3"/>
        </w:rPr>
        <w:t>履行统一领导职责或</w:t>
      </w:r>
      <w:r>
        <w:t>者</w:t>
      </w:r>
    </w:p>
    <w:p>
      <w:pPr>
        <w:pStyle w:val="6"/>
        <w:spacing w:before="123" w:line="295" w:lineRule="auto"/>
        <w:ind w:right="440" w:firstLine="0"/>
        <w:rPr>
          <w:rFonts w:hint="eastAsia" w:ascii="MS UI Gothic" w:eastAsia="MS UI Gothic"/>
        </w:rPr>
      </w:pPr>
      <w:r>
        <w:br w:type="column"/>
      </w:r>
      <w:r>
        <w:t>组织处置突发事件的人民政府</w:t>
      </w:r>
      <w:r>
        <w:rPr>
          <w:rFonts w:hint="eastAsia" w:ascii="MS UI Gothic" w:eastAsia="MS UI Gothic"/>
          <w:w w:val="80"/>
        </w:rPr>
        <w:t xml:space="preserve">ꎬ </w:t>
      </w:r>
      <w:r>
        <w:t>必要时可以向单位和个人征用应急救援所需设备</w:t>
      </w:r>
      <w:r>
        <w:rPr>
          <w:rFonts w:hint="eastAsia" w:ascii="MS UI Gothic" w:eastAsia="MS UI Gothic"/>
          <w:w w:val="80"/>
        </w:rPr>
        <w:t>、</w:t>
      </w:r>
      <w:r>
        <w:t>设施</w:t>
      </w:r>
      <w:r>
        <w:rPr>
          <w:rFonts w:hint="eastAsia" w:ascii="MS UI Gothic" w:eastAsia="MS UI Gothic"/>
          <w:w w:val="80"/>
        </w:rPr>
        <w:t xml:space="preserve">、 </w:t>
      </w:r>
      <w:r>
        <w:t>场地</w:t>
      </w:r>
      <w:r>
        <w:rPr>
          <w:rFonts w:hint="eastAsia" w:ascii="MS UI Gothic" w:eastAsia="MS UI Gothic"/>
          <w:w w:val="80"/>
        </w:rPr>
        <w:t xml:space="preserve">、 </w:t>
      </w:r>
      <w:r>
        <w:t>交通工具和其他物资</w:t>
      </w:r>
      <w:r>
        <w:rPr>
          <w:rFonts w:hint="eastAsia" w:ascii="MS UI Gothic" w:eastAsia="MS UI Gothic"/>
          <w:w w:val="80"/>
        </w:rPr>
        <w:t xml:space="preserve">ꎬ </w:t>
      </w:r>
      <w:r>
        <w:t>请求其他地方人民政府提供人力</w:t>
      </w:r>
      <w:r>
        <w:rPr>
          <w:rFonts w:hint="eastAsia" w:ascii="MS UI Gothic" w:eastAsia="MS UI Gothic"/>
          <w:w w:val="80"/>
        </w:rPr>
        <w:t xml:space="preserve">、 </w:t>
      </w:r>
      <w:r>
        <w:t>物力</w:t>
      </w:r>
      <w:r>
        <w:rPr>
          <w:rFonts w:hint="eastAsia" w:ascii="MS UI Gothic" w:eastAsia="MS UI Gothic"/>
          <w:w w:val="80"/>
        </w:rPr>
        <w:t xml:space="preserve">、 </w:t>
      </w:r>
      <w:r>
        <w:t>财力或者技术支援</w:t>
      </w:r>
      <w:r>
        <w:rPr>
          <w:rFonts w:hint="eastAsia" w:ascii="MS UI Gothic" w:eastAsia="MS UI Gothic"/>
          <w:w w:val="80"/>
        </w:rPr>
        <w:t xml:space="preserve">ꎬ </w:t>
      </w:r>
      <w:r>
        <w:t>要求生产</w:t>
      </w:r>
      <w:r>
        <w:rPr>
          <w:rFonts w:hint="eastAsia" w:ascii="MS UI Gothic" w:eastAsia="MS UI Gothic"/>
          <w:w w:val="80"/>
        </w:rPr>
        <w:t xml:space="preserve">、 </w:t>
      </w:r>
      <w:r>
        <w:t>供应生活必需品和应急救援物资的企业组织生产</w:t>
      </w:r>
      <w:r>
        <w:rPr>
          <w:rFonts w:hint="eastAsia" w:ascii="MS UI Gothic" w:eastAsia="MS UI Gothic"/>
          <w:w w:val="80"/>
        </w:rPr>
        <w:t xml:space="preserve">、 </w:t>
      </w:r>
      <w:r>
        <w:t>保证供给</w:t>
      </w:r>
      <w:r>
        <w:rPr>
          <w:rFonts w:hint="eastAsia" w:ascii="MS UI Gothic" w:eastAsia="MS UI Gothic"/>
          <w:w w:val="80"/>
        </w:rPr>
        <w:t xml:space="preserve">ꎬ </w:t>
      </w:r>
      <w:r>
        <w:t>要求提供医疗</w:t>
      </w:r>
      <w:r>
        <w:rPr>
          <w:rFonts w:hint="eastAsia" w:ascii="MS UI Gothic" w:eastAsia="MS UI Gothic"/>
          <w:w w:val="80"/>
        </w:rPr>
        <w:t xml:space="preserve">、 </w:t>
      </w:r>
      <w:r>
        <w:t>交通等公共服务的组织提供相应的服务</w:t>
      </w:r>
      <w:r>
        <w:rPr>
          <w:rFonts w:hint="eastAsia" w:ascii="MS UI Gothic" w:eastAsia="MS UI Gothic"/>
          <w:w w:val="80"/>
        </w:rPr>
        <w:t>ꎮ</w:t>
      </w:r>
    </w:p>
    <w:p>
      <w:pPr>
        <w:pStyle w:val="6"/>
        <w:spacing w:line="295" w:lineRule="auto"/>
        <w:ind w:right="440"/>
        <w:rPr>
          <w:rFonts w:hint="eastAsia" w:ascii="MS UI Gothic" w:eastAsia="MS UI Gothic"/>
        </w:rPr>
      </w:pPr>
      <w:r>
        <w:t>履行统一领导职责或者组织处置突发事件的人民政府</w:t>
      </w:r>
      <w:r>
        <w:rPr>
          <w:rFonts w:hint="eastAsia" w:ascii="MS UI Gothic" w:eastAsia="MS UI Gothic"/>
          <w:w w:val="80"/>
        </w:rPr>
        <w:t xml:space="preserve">ꎬ </w:t>
      </w:r>
      <w:r>
        <w:t>应当组织协调运输经营单位</w:t>
      </w:r>
      <w:r>
        <w:rPr>
          <w:rFonts w:hint="eastAsia" w:ascii="MS UI Gothic" w:eastAsia="MS UI Gothic"/>
          <w:w w:val="80"/>
        </w:rPr>
        <w:t xml:space="preserve">ꎬ </w:t>
      </w:r>
      <w:r>
        <w:t>优先运送处置突发事件所需物资</w:t>
      </w:r>
      <w:r>
        <w:rPr>
          <w:rFonts w:hint="eastAsia" w:ascii="MS UI Gothic" w:eastAsia="MS UI Gothic"/>
          <w:w w:val="80"/>
        </w:rPr>
        <w:t>、</w:t>
      </w:r>
      <w:r>
        <w:t>设备</w:t>
      </w:r>
      <w:r>
        <w:rPr>
          <w:rFonts w:hint="eastAsia" w:ascii="MS UI Gothic" w:eastAsia="MS UI Gothic"/>
          <w:w w:val="80"/>
        </w:rPr>
        <w:t xml:space="preserve">、 </w:t>
      </w:r>
      <w:r>
        <w:t>工具</w:t>
      </w:r>
      <w:r>
        <w:rPr>
          <w:rFonts w:hint="eastAsia" w:ascii="MS UI Gothic" w:eastAsia="MS UI Gothic"/>
          <w:w w:val="80"/>
        </w:rPr>
        <w:t xml:space="preserve">、 </w:t>
      </w:r>
      <w:r>
        <w:t>应急救援人员和受到突发事件危害的人员</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第五十三条 履行统一领导职责或者</w:t>
      </w:r>
      <w:r>
        <w:t>组织处置突发事件的人民政府</w:t>
      </w:r>
      <w:r>
        <w:rPr>
          <w:rFonts w:hint="eastAsia" w:ascii="MS UI Gothic" w:eastAsia="MS UI Gothic"/>
          <w:w w:val="80"/>
        </w:rPr>
        <w:t xml:space="preserve">ꎬ </w:t>
      </w:r>
      <w:r>
        <w:t>应当按照</w:t>
      </w:r>
      <w:r>
        <w:rPr>
          <w:w w:val="105"/>
        </w:rPr>
        <w:t>有关规定统一</w:t>
      </w:r>
      <w:r>
        <w:rPr>
          <w:rFonts w:hint="eastAsia" w:ascii="MS UI Gothic" w:eastAsia="MS UI Gothic"/>
          <w:w w:val="80"/>
        </w:rPr>
        <w:t xml:space="preserve">、 </w:t>
      </w:r>
      <w:r>
        <w:rPr>
          <w:w w:val="105"/>
        </w:rPr>
        <w:t>准确</w:t>
      </w:r>
      <w:r>
        <w:rPr>
          <w:rFonts w:hint="eastAsia" w:ascii="MS UI Gothic" w:eastAsia="MS UI Gothic"/>
          <w:w w:val="80"/>
        </w:rPr>
        <w:t xml:space="preserve">、 </w:t>
      </w:r>
      <w:r>
        <w:rPr>
          <w:w w:val="105"/>
        </w:rPr>
        <w:t>及时发布有关突发事件事态发展和应急处置工作的信息</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第五十四条 任何单位和个人不得编造</w:t>
      </w:r>
      <w:r>
        <w:rPr>
          <w:rFonts w:hint="eastAsia" w:ascii="MS UI Gothic" w:eastAsia="MS UI Gothic"/>
          <w:w w:val="80"/>
        </w:rPr>
        <w:t xml:space="preserve">、 </w:t>
      </w:r>
      <w:r>
        <w:rPr>
          <w:w w:val="105"/>
        </w:rPr>
        <w:t>传播有关突发事件事态发展或者应急处置工作的虚假信息</w:t>
      </w:r>
      <w:r>
        <w:rPr>
          <w:rFonts w:hint="eastAsia" w:ascii="MS UI Gothic" w:eastAsia="MS UI Gothic"/>
          <w:w w:val="80"/>
        </w:rPr>
        <w:t>ꎮ</w:t>
      </w:r>
    </w:p>
    <w:p>
      <w:pPr>
        <w:pStyle w:val="6"/>
        <w:spacing w:line="295" w:lineRule="auto"/>
        <w:ind w:right="442"/>
        <w:rPr>
          <w:rFonts w:hint="eastAsia" w:ascii="MS UI Gothic" w:eastAsia="MS UI Gothic"/>
        </w:rPr>
      </w:pPr>
      <w:r>
        <w:t>第五十五条 突发事件发生地的居民委员会</w:t>
      </w:r>
      <w:r>
        <w:rPr>
          <w:rFonts w:hint="eastAsia" w:ascii="MS UI Gothic" w:eastAsia="MS UI Gothic"/>
          <w:w w:val="80"/>
        </w:rPr>
        <w:t xml:space="preserve">、 </w:t>
      </w:r>
      <w:r>
        <w:t>村民委员会和其他组织应当按照当地人民政府的决定</w:t>
      </w:r>
      <w:r>
        <w:rPr>
          <w:rFonts w:hint="eastAsia" w:ascii="MS UI Gothic" w:eastAsia="MS UI Gothic"/>
          <w:w w:val="80"/>
        </w:rPr>
        <w:t xml:space="preserve">、 </w:t>
      </w:r>
      <w:r>
        <w:t>命令</w:t>
      </w:r>
      <w:r>
        <w:rPr>
          <w:rFonts w:hint="eastAsia" w:ascii="MS UI Gothic" w:eastAsia="MS UI Gothic"/>
          <w:w w:val="80"/>
        </w:rPr>
        <w:t xml:space="preserve">ꎬ </w:t>
      </w:r>
      <w:r>
        <w:t>进行宣传动员</w:t>
      </w:r>
      <w:r>
        <w:rPr>
          <w:rFonts w:hint="eastAsia" w:ascii="MS UI Gothic" w:eastAsia="MS UI Gothic"/>
          <w:w w:val="80"/>
        </w:rPr>
        <w:t xml:space="preserve">ꎬ </w:t>
      </w:r>
      <w:r>
        <w:t>组织群众开展自救和互救</w:t>
      </w:r>
      <w:r>
        <w:rPr>
          <w:rFonts w:hint="eastAsia" w:ascii="MS UI Gothic" w:eastAsia="MS UI Gothic"/>
          <w:w w:val="80"/>
        </w:rPr>
        <w:t xml:space="preserve">ꎬ </w:t>
      </w:r>
      <w:r>
        <w:t>协助维护社会秩序</w:t>
      </w:r>
      <w:r>
        <w:rPr>
          <w:rFonts w:hint="eastAsia" w:ascii="MS UI Gothic" w:eastAsia="MS UI Gothic"/>
          <w:w w:val="80"/>
        </w:rPr>
        <w:t>ꎮ</w:t>
      </w:r>
    </w:p>
    <w:p>
      <w:pPr>
        <w:pStyle w:val="6"/>
        <w:spacing w:line="295" w:lineRule="auto"/>
        <w:ind w:right="442"/>
        <w:rPr>
          <w:rFonts w:hint="eastAsia" w:ascii="MS UI Gothic" w:eastAsia="MS UI Gothic"/>
        </w:rPr>
      </w:pPr>
      <w:r>
        <w:t>第五十六条 受到自然灾害危害或者发生事故灾难</w:t>
      </w:r>
      <w:r>
        <w:rPr>
          <w:rFonts w:hint="eastAsia" w:ascii="MS UI Gothic" w:eastAsia="MS UI Gothic"/>
          <w:w w:val="80"/>
        </w:rPr>
        <w:t xml:space="preserve">、 </w:t>
      </w:r>
      <w:r>
        <w:t>公共卫生事件的单位</w:t>
      </w:r>
      <w:r>
        <w:rPr>
          <w:rFonts w:hint="eastAsia" w:ascii="MS UI Gothic" w:eastAsia="MS UI Gothic"/>
          <w:w w:val="80"/>
        </w:rPr>
        <w:t xml:space="preserve">ꎬ </w:t>
      </w:r>
      <w:r>
        <w:t>应当立即组织本单位应急救援队伍和工作人员营救受害人员</w:t>
      </w:r>
      <w:r>
        <w:rPr>
          <w:rFonts w:hint="eastAsia" w:ascii="MS UI Gothic" w:eastAsia="MS UI Gothic"/>
          <w:w w:val="80"/>
        </w:rPr>
        <w:t xml:space="preserve">ꎬ </w:t>
      </w:r>
      <w:r>
        <w:t>疏散</w:t>
      </w:r>
      <w:r>
        <w:rPr>
          <w:rFonts w:hint="eastAsia" w:ascii="MS UI Gothic" w:eastAsia="MS UI Gothic"/>
          <w:w w:val="80"/>
        </w:rPr>
        <w:t xml:space="preserve">、 </w:t>
      </w:r>
      <w:r>
        <w:t>撤离</w:t>
      </w:r>
      <w:r>
        <w:rPr>
          <w:rFonts w:hint="eastAsia" w:ascii="MS UI Gothic" w:eastAsia="MS UI Gothic"/>
          <w:w w:val="80"/>
        </w:rPr>
        <w:t xml:space="preserve">、 </w:t>
      </w:r>
      <w:r>
        <w:t>安置受到威胁的人员</w:t>
      </w:r>
      <w:r>
        <w:rPr>
          <w:rFonts w:hint="eastAsia" w:ascii="MS UI Gothic" w:eastAsia="MS UI Gothic"/>
          <w:w w:val="80"/>
        </w:rPr>
        <w:t xml:space="preserve">ꎬ </w:t>
      </w:r>
      <w:r>
        <w:t>控制危险源</w:t>
      </w:r>
      <w:r>
        <w:rPr>
          <w:rFonts w:hint="eastAsia" w:ascii="MS UI Gothic" w:eastAsia="MS UI Gothic"/>
          <w:w w:val="80"/>
        </w:rPr>
        <w:t xml:space="preserve">ꎬ </w:t>
      </w:r>
      <w:r>
        <w:t>标明危险区域</w:t>
      </w:r>
      <w:r>
        <w:rPr>
          <w:rFonts w:hint="eastAsia" w:ascii="MS UI Gothic" w:eastAsia="MS UI Gothic"/>
          <w:w w:val="80"/>
        </w:rPr>
        <w:t xml:space="preserve">ꎬ </w:t>
      </w:r>
      <w:r>
        <w:t>封锁危险场所</w:t>
      </w:r>
      <w:r>
        <w:rPr>
          <w:rFonts w:hint="eastAsia" w:ascii="MS UI Gothic" w:eastAsia="MS UI Gothic"/>
          <w:w w:val="80"/>
        </w:rPr>
        <w:t xml:space="preserve">ꎬ </w:t>
      </w:r>
      <w:r>
        <w:t>并采取其他防止危害扩大的必要措施</w:t>
      </w:r>
      <w:r>
        <w:rPr>
          <w:rFonts w:hint="eastAsia" w:ascii="MS UI Gothic" w:eastAsia="MS UI Gothic"/>
          <w:w w:val="80"/>
        </w:rPr>
        <w:t xml:space="preserve">ꎬ </w:t>
      </w:r>
      <w:r>
        <w:t>同时向所在地县级人民政府报告</w:t>
      </w:r>
      <w:r>
        <w:rPr>
          <w:rFonts w:hint="eastAsia" w:ascii="MS UI Gothic" w:eastAsia="MS UI Gothic"/>
          <w:w w:val="80"/>
        </w:rPr>
        <w:t xml:space="preserve">ꎻ </w:t>
      </w:r>
      <w:r>
        <w:t>对因本单位的问题引发的或者主体是本单位人员的社会安全事件</w:t>
      </w:r>
      <w:r>
        <w:rPr>
          <w:rFonts w:hint="eastAsia" w:ascii="MS UI Gothic" w:eastAsia="MS UI Gothic"/>
          <w:w w:val="80"/>
        </w:rPr>
        <w:t xml:space="preserve">ꎬ </w:t>
      </w:r>
      <w:r>
        <w:t>有关单位应当按照规定上报情况</w:t>
      </w:r>
      <w:r>
        <w:rPr>
          <w:rFonts w:hint="eastAsia" w:ascii="MS UI Gothic" w:eastAsia="MS UI Gothic"/>
          <w:w w:val="80"/>
        </w:rPr>
        <w:t xml:space="preserve">ꎬ </w:t>
      </w:r>
      <w:r>
        <w:t>并迅速派出负责人赶赴现场开展劝解</w:t>
      </w:r>
      <w:r>
        <w:rPr>
          <w:rFonts w:hint="eastAsia" w:ascii="MS UI Gothic" w:eastAsia="MS UI Gothic"/>
          <w:w w:val="80"/>
        </w:rPr>
        <w:t xml:space="preserve">、 </w:t>
      </w:r>
      <w:r>
        <w:t>疏导工作</w:t>
      </w:r>
      <w:r>
        <w:rPr>
          <w:rFonts w:hint="eastAsia" w:ascii="MS UI Gothic" w:eastAsia="MS UI Gothic"/>
          <w:w w:val="80"/>
        </w:rPr>
        <w:t>ꎮ</w:t>
      </w:r>
    </w:p>
    <w:p>
      <w:pPr>
        <w:pStyle w:val="6"/>
        <w:spacing w:line="295" w:lineRule="auto"/>
        <w:ind w:right="442"/>
      </w:pPr>
      <w:r>
        <w:t>突发事件发生地的其他单位应当服从</w:t>
      </w:r>
      <w:r>
        <w:rPr>
          <w:w w:val="105"/>
        </w:rPr>
        <w:t>人民政府发布的决定</w:t>
      </w:r>
      <w:r>
        <w:rPr>
          <w:rFonts w:hint="eastAsia" w:ascii="MS UI Gothic" w:eastAsia="MS UI Gothic"/>
          <w:w w:val="80"/>
        </w:rPr>
        <w:t xml:space="preserve">、 </w:t>
      </w:r>
      <w:r>
        <w:rPr>
          <w:w w:val="105"/>
        </w:rPr>
        <w:t>命令</w:t>
      </w:r>
      <w:r>
        <w:rPr>
          <w:rFonts w:hint="eastAsia" w:ascii="MS UI Gothic" w:eastAsia="MS UI Gothic"/>
          <w:w w:val="80"/>
        </w:rPr>
        <w:t xml:space="preserve">ꎬ </w:t>
      </w:r>
      <w:r>
        <w:rPr>
          <w:w w:val="105"/>
        </w:rPr>
        <w:t>配合人民政</w:t>
      </w:r>
      <w:r>
        <w:t>府采取的应急处置措施</w:t>
      </w:r>
      <w:r>
        <w:rPr>
          <w:rFonts w:hint="eastAsia" w:ascii="MS UI Gothic" w:eastAsia="MS UI Gothic"/>
          <w:w w:val="80"/>
        </w:rPr>
        <w:t xml:space="preserve">ꎬ </w:t>
      </w:r>
      <w:r>
        <w:t>做好本单位的应</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三</w:t>
      </w:r>
      <w:r>
        <w:rPr>
          <w:rFonts w:hint="eastAsia" w:ascii="Microsoft Yi Baiti" w:eastAsia="Microsoft Yi Baiti"/>
          <w:sz w:val="17"/>
        </w:rPr>
        <w:t xml:space="preserve">、 </w:t>
      </w:r>
      <w:r>
        <w:rPr>
          <w:sz w:val="17"/>
        </w:rPr>
        <w:t>应急管理基本法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４３</w:t>
      </w:r>
    </w:p>
    <w:p>
      <w:pPr>
        <w:spacing w:after="0"/>
        <w:jc w:val="right"/>
        <w:rPr>
          <w:rFonts w:hint="eastAsia" w:ascii="MS UI Gothic" w:eastAsia="MS UI Gothic"/>
        </w:rPr>
        <w:sectPr>
          <w:pgSz w:w="10500" w:h="14750"/>
          <w:pgMar w:top="960" w:right="980" w:bottom="280" w:left="980" w:header="720" w:footer="720" w:gutter="0"/>
          <w:cols w:equalWidth="0" w:num="2">
            <w:col w:w="5231" w:space="40"/>
            <w:col w:w="326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80" o:spid="_x0000_s1180" o:spt="203" style="height:2.15pt;width:398.25pt;" coordsize="7965,43">
            <o:lock v:ext="edit"/>
            <v:line id="_x0000_s1181" o:spid="_x0000_s1181" o:spt="20" style="position:absolute;left:0;top:39;height:0;width:7965;" stroked="t" coordsize="21600,21600">
              <v:path arrowok="t"/>
              <v:fill focussize="0,0"/>
              <v:stroke weight="0.388031496062992pt" color="#231F20"/>
              <v:imagedata o:title=""/>
              <o:lock v:ext="edit"/>
            </v:line>
            <v:line id="_x0000_s1182" o:spid="_x0000_s118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急救援工作</w:t>
      </w:r>
      <w:r>
        <w:rPr>
          <w:rFonts w:hint="eastAsia" w:ascii="MS UI Gothic" w:eastAsia="MS UI Gothic"/>
          <w:w w:val="80"/>
        </w:rPr>
        <w:t xml:space="preserve">ꎬ </w:t>
      </w:r>
      <w:r>
        <w:t>并积极组织人员参加所在地的应急救援和处置工作</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第五十七条 突发事件发生地的公民</w:t>
      </w:r>
      <w:r>
        <w:rPr>
          <w:spacing w:val="3"/>
        </w:rPr>
        <w:t>应当服从人民政府</w:t>
      </w:r>
      <w:r>
        <w:rPr>
          <w:rFonts w:hint="eastAsia" w:ascii="MS UI Gothic" w:eastAsia="MS UI Gothic"/>
          <w:spacing w:val="23"/>
          <w:w w:val="80"/>
        </w:rPr>
        <w:t xml:space="preserve">、 </w:t>
      </w:r>
      <w:r>
        <w:rPr>
          <w:spacing w:val="3"/>
        </w:rPr>
        <w:t>居民委员会</w:t>
      </w:r>
      <w:r>
        <w:rPr>
          <w:rFonts w:hint="eastAsia" w:ascii="MS UI Gothic" w:eastAsia="MS UI Gothic"/>
          <w:spacing w:val="24"/>
          <w:w w:val="80"/>
        </w:rPr>
        <w:t xml:space="preserve">、 </w:t>
      </w:r>
      <w:r>
        <w:rPr>
          <w:spacing w:val="2"/>
        </w:rPr>
        <w:t>村民委</w:t>
      </w:r>
      <w:r>
        <w:rPr>
          <w:spacing w:val="3"/>
        </w:rPr>
        <w:t>员会或者所属单位的指挥和安排</w:t>
      </w:r>
      <w:r>
        <w:rPr>
          <w:rFonts w:hint="eastAsia" w:ascii="MS UI Gothic" w:eastAsia="MS UI Gothic"/>
          <w:spacing w:val="21"/>
          <w:w w:val="80"/>
        </w:rPr>
        <w:t xml:space="preserve">ꎬ </w:t>
      </w:r>
      <w:r>
        <w:rPr>
          <w:spacing w:val="2"/>
        </w:rPr>
        <w:t>配合人</w:t>
      </w:r>
      <w:r>
        <w:rPr>
          <w:spacing w:val="3"/>
        </w:rPr>
        <w:t>民政府采取的应急处置措施</w:t>
      </w:r>
      <w:r>
        <w:rPr>
          <w:rFonts w:hint="eastAsia" w:ascii="MS UI Gothic" w:eastAsia="MS UI Gothic"/>
          <w:spacing w:val="21"/>
          <w:w w:val="80"/>
        </w:rPr>
        <w:t xml:space="preserve">ꎬ </w:t>
      </w:r>
      <w:r>
        <w:rPr>
          <w:spacing w:val="2"/>
        </w:rPr>
        <w:t>积极参加应</w:t>
      </w:r>
      <w:r>
        <w:rPr>
          <w:spacing w:val="3"/>
        </w:rPr>
        <w:t>急救援工作</w:t>
      </w:r>
      <w:r>
        <w:rPr>
          <w:rFonts w:hint="eastAsia" w:ascii="MS UI Gothic" w:eastAsia="MS UI Gothic"/>
          <w:spacing w:val="1"/>
          <w:w w:val="80"/>
        </w:rPr>
        <w:t xml:space="preserve">ꎬ </w:t>
      </w:r>
      <w:r>
        <w:rPr>
          <w:spacing w:val="3"/>
        </w:rPr>
        <w:t>协助维护社会秩序</w:t>
      </w:r>
      <w:r>
        <w:rPr>
          <w:rFonts w:hint="eastAsia" w:ascii="MS UI Gothic" w:eastAsia="MS UI Gothic"/>
          <w:w w:val="80"/>
        </w:rPr>
        <w:t>ꎮ</w:t>
      </w:r>
    </w:p>
    <w:p>
      <w:pPr>
        <w:pStyle w:val="6"/>
        <w:tabs>
          <w:tab w:val="left" w:pos="2012"/>
        </w:tabs>
        <w:spacing w:before="152"/>
        <w:ind w:left="1174" w:firstLine="0"/>
        <w:jc w:val="left"/>
      </w:pPr>
      <w:r>
        <w:rPr>
          <w:spacing w:val="3"/>
          <w:w w:val="105"/>
        </w:rPr>
        <w:t>第五</w:t>
      </w:r>
      <w:r>
        <w:rPr>
          <w:w w:val="105"/>
        </w:rPr>
        <w:t>章</w:t>
      </w:r>
      <w:r>
        <w:rPr>
          <w:w w:val="105"/>
        </w:rPr>
        <w:tab/>
      </w:r>
      <w:r>
        <w:rPr>
          <w:spacing w:val="3"/>
        </w:rPr>
        <w:t>事后恢复与重</w:t>
      </w:r>
      <w:r>
        <w:t>建</w:t>
      </w:r>
    </w:p>
    <w:p>
      <w:pPr>
        <w:pStyle w:val="6"/>
        <w:spacing w:before="215" w:line="295" w:lineRule="auto"/>
        <w:ind w:left="440"/>
        <w:rPr>
          <w:rFonts w:hint="eastAsia" w:ascii="MS UI Gothic" w:eastAsia="MS UI Gothic"/>
        </w:rPr>
      </w:pPr>
      <w:r>
        <w:rPr>
          <w:w w:val="105"/>
        </w:rPr>
        <w:t>第五十八条 突发事件的威胁和危害</w:t>
      </w:r>
      <w:r>
        <w:t>得到控制或者消除后</w:t>
      </w:r>
      <w:r>
        <w:rPr>
          <w:rFonts w:hint="eastAsia" w:ascii="MS UI Gothic" w:eastAsia="MS UI Gothic"/>
          <w:w w:val="80"/>
        </w:rPr>
        <w:t xml:space="preserve">ꎬ </w:t>
      </w:r>
      <w:r>
        <w:t>履行统一领导职责或者组织处置突发事件的人民政府应当停止执行依照本法规定采取的应急处置措施</w:t>
      </w:r>
      <w:r>
        <w:rPr>
          <w:rFonts w:hint="eastAsia" w:ascii="MS UI Gothic" w:eastAsia="MS UI Gothic"/>
          <w:w w:val="80"/>
        </w:rPr>
        <w:t xml:space="preserve">ꎬ </w:t>
      </w:r>
      <w:r>
        <w:t>同时采取或者继续实施必要措施</w:t>
      </w:r>
      <w:r>
        <w:rPr>
          <w:rFonts w:hint="eastAsia" w:ascii="MS UI Gothic" w:eastAsia="MS UI Gothic"/>
          <w:w w:val="80"/>
        </w:rPr>
        <w:t xml:space="preserve">ꎬ </w:t>
      </w:r>
      <w:r>
        <w:t>防</w:t>
      </w:r>
      <w:r>
        <w:rPr>
          <w:w w:val="105"/>
        </w:rPr>
        <w:t>止发生自然灾害</w:t>
      </w:r>
      <w:r>
        <w:rPr>
          <w:rFonts w:hint="eastAsia" w:ascii="MS UI Gothic" w:eastAsia="MS UI Gothic"/>
          <w:w w:val="80"/>
        </w:rPr>
        <w:t xml:space="preserve">、 </w:t>
      </w:r>
      <w:r>
        <w:rPr>
          <w:w w:val="105"/>
        </w:rPr>
        <w:t>事故灾难</w:t>
      </w:r>
      <w:r>
        <w:rPr>
          <w:rFonts w:hint="eastAsia" w:ascii="MS UI Gothic" w:eastAsia="MS UI Gothic"/>
          <w:w w:val="80"/>
        </w:rPr>
        <w:t xml:space="preserve">、 </w:t>
      </w:r>
      <w:r>
        <w:rPr>
          <w:w w:val="105"/>
        </w:rPr>
        <w:t>公共卫生事件的次生</w:t>
      </w:r>
      <w:r>
        <w:rPr>
          <w:rFonts w:hint="eastAsia" w:ascii="MS UI Gothic" w:eastAsia="MS UI Gothic"/>
          <w:w w:val="80"/>
        </w:rPr>
        <w:t xml:space="preserve">、 </w:t>
      </w:r>
      <w:r>
        <w:rPr>
          <w:w w:val="105"/>
        </w:rPr>
        <w:t>衍生事件或者重新引发社会安全事件</w:t>
      </w:r>
      <w:r>
        <w:rPr>
          <w:rFonts w:hint="eastAsia" w:ascii="MS UI Gothic" w:eastAsia="MS UI Gothic"/>
          <w:w w:val="80"/>
        </w:rPr>
        <w:t>ꎮ</w:t>
      </w:r>
    </w:p>
    <w:p>
      <w:pPr>
        <w:pStyle w:val="6"/>
        <w:spacing w:line="295" w:lineRule="auto"/>
        <w:ind w:left="440"/>
        <w:rPr>
          <w:rFonts w:hint="eastAsia" w:ascii="MS UI Gothic" w:eastAsia="MS UI Gothic"/>
        </w:rPr>
      </w:pPr>
      <w:r>
        <w:t>第五十九条 突发事件应急处置工作结束后</w:t>
      </w:r>
      <w:r>
        <w:rPr>
          <w:rFonts w:hint="eastAsia" w:ascii="MS UI Gothic" w:eastAsia="MS UI Gothic"/>
          <w:w w:val="80"/>
        </w:rPr>
        <w:t xml:space="preserve">ꎬ </w:t>
      </w:r>
      <w:r>
        <w:t>履行统一领导职责的人民政府应当立即组织对突发事件造成的损失进行评估</w:t>
      </w:r>
      <w:r>
        <w:rPr>
          <w:rFonts w:hint="eastAsia" w:ascii="MS UI Gothic" w:eastAsia="MS UI Gothic"/>
          <w:w w:val="80"/>
        </w:rPr>
        <w:t xml:space="preserve">ꎬ </w:t>
      </w:r>
      <w:r>
        <w:t>组织受影响地区尽快恢复生产</w:t>
      </w:r>
      <w:r>
        <w:rPr>
          <w:rFonts w:hint="eastAsia" w:ascii="MS UI Gothic" w:eastAsia="MS UI Gothic"/>
          <w:w w:val="80"/>
        </w:rPr>
        <w:t xml:space="preserve">、 </w:t>
      </w:r>
      <w:r>
        <w:t>生活</w:t>
      </w:r>
      <w:r>
        <w:rPr>
          <w:rFonts w:hint="eastAsia" w:ascii="MS UI Gothic" w:eastAsia="MS UI Gothic"/>
          <w:w w:val="80"/>
        </w:rPr>
        <w:t xml:space="preserve">、 </w:t>
      </w:r>
      <w:r>
        <w:t>工作和社会秩序</w:t>
      </w:r>
      <w:r>
        <w:rPr>
          <w:rFonts w:hint="eastAsia" w:ascii="MS UI Gothic" w:eastAsia="MS UI Gothic"/>
          <w:w w:val="80"/>
        </w:rPr>
        <w:t xml:space="preserve">ꎬ </w:t>
      </w:r>
      <w:r>
        <w:t>制定恢复重建计划</w:t>
      </w:r>
      <w:r>
        <w:rPr>
          <w:rFonts w:hint="eastAsia" w:ascii="MS UI Gothic" w:eastAsia="MS UI Gothic"/>
          <w:w w:val="80"/>
        </w:rPr>
        <w:t xml:space="preserve">ꎬ </w:t>
      </w:r>
      <w:r>
        <w:t>并向上一级人民政府报告</w:t>
      </w:r>
      <w:r>
        <w:rPr>
          <w:rFonts w:hint="eastAsia" w:ascii="MS UI Gothic" w:eastAsia="MS UI Gothic"/>
          <w:w w:val="80"/>
        </w:rPr>
        <w:t>ꎮ</w:t>
      </w:r>
    </w:p>
    <w:p>
      <w:pPr>
        <w:pStyle w:val="6"/>
        <w:spacing w:line="295" w:lineRule="auto"/>
        <w:ind w:left="440"/>
        <w:rPr>
          <w:rFonts w:hint="eastAsia" w:ascii="MS UI Gothic" w:eastAsia="MS UI Gothic"/>
        </w:rPr>
      </w:pPr>
      <w:r>
        <w:t>受突发事件影响地区的人民政府应当及时组织和协调公安</w:t>
      </w:r>
      <w:r>
        <w:rPr>
          <w:rFonts w:hint="eastAsia" w:ascii="MS UI Gothic" w:eastAsia="MS UI Gothic"/>
          <w:w w:val="80"/>
        </w:rPr>
        <w:t xml:space="preserve">、 </w:t>
      </w:r>
      <w:r>
        <w:t>交通</w:t>
      </w:r>
      <w:r>
        <w:rPr>
          <w:rFonts w:hint="eastAsia" w:ascii="MS UI Gothic" w:eastAsia="MS UI Gothic"/>
          <w:w w:val="80"/>
        </w:rPr>
        <w:t xml:space="preserve">、 </w:t>
      </w:r>
      <w:r>
        <w:t>铁路</w:t>
      </w:r>
      <w:r>
        <w:rPr>
          <w:rFonts w:hint="eastAsia" w:ascii="MS UI Gothic" w:eastAsia="MS UI Gothic"/>
          <w:w w:val="80"/>
        </w:rPr>
        <w:t xml:space="preserve">、 </w:t>
      </w:r>
      <w:r>
        <w:t>民航</w:t>
      </w:r>
      <w:r>
        <w:rPr>
          <w:rFonts w:hint="eastAsia" w:ascii="MS UI Gothic" w:eastAsia="MS UI Gothic"/>
          <w:w w:val="80"/>
        </w:rPr>
        <w:t xml:space="preserve">、 </w:t>
      </w:r>
      <w:r>
        <w:t>邮电</w:t>
      </w:r>
      <w:r>
        <w:rPr>
          <w:rFonts w:hint="eastAsia" w:ascii="MS UI Gothic" w:eastAsia="MS UI Gothic"/>
          <w:w w:val="80"/>
        </w:rPr>
        <w:t xml:space="preserve">、 </w:t>
      </w:r>
      <w:r>
        <w:t>建设等有关部门恢复社会治安秩序</w:t>
      </w:r>
      <w:r>
        <w:rPr>
          <w:rFonts w:hint="eastAsia" w:ascii="MS UI Gothic" w:eastAsia="MS UI Gothic"/>
          <w:w w:val="80"/>
        </w:rPr>
        <w:t xml:space="preserve">ꎬ </w:t>
      </w:r>
      <w:r>
        <w:t>尽快修复被损坏的交通</w:t>
      </w:r>
      <w:r>
        <w:rPr>
          <w:rFonts w:hint="eastAsia" w:ascii="MS UI Gothic" w:eastAsia="MS UI Gothic"/>
          <w:w w:val="80"/>
        </w:rPr>
        <w:t xml:space="preserve">、 </w:t>
      </w:r>
      <w:r>
        <w:t>通信</w:t>
      </w:r>
      <w:r>
        <w:rPr>
          <w:rFonts w:hint="eastAsia" w:ascii="MS UI Gothic" w:eastAsia="MS UI Gothic"/>
          <w:w w:val="80"/>
        </w:rPr>
        <w:t xml:space="preserve">、 </w:t>
      </w:r>
      <w:r>
        <w:t>供水</w:t>
      </w:r>
      <w:r>
        <w:rPr>
          <w:rFonts w:hint="eastAsia" w:ascii="MS UI Gothic" w:eastAsia="MS UI Gothic"/>
          <w:w w:val="80"/>
        </w:rPr>
        <w:t xml:space="preserve">、  </w:t>
      </w:r>
      <w:r>
        <w:t>排水</w:t>
      </w:r>
      <w:r>
        <w:rPr>
          <w:rFonts w:hint="eastAsia" w:ascii="MS UI Gothic" w:eastAsia="MS UI Gothic"/>
          <w:w w:val="80"/>
        </w:rPr>
        <w:t xml:space="preserve">、  </w:t>
      </w:r>
      <w:r>
        <w:t>供电</w:t>
      </w:r>
      <w:r>
        <w:rPr>
          <w:rFonts w:hint="eastAsia" w:ascii="MS UI Gothic" w:eastAsia="MS UI Gothic"/>
          <w:w w:val="80"/>
        </w:rPr>
        <w:t xml:space="preserve">、  </w:t>
      </w:r>
      <w:r>
        <w:t>供气</w:t>
      </w:r>
      <w:r>
        <w:rPr>
          <w:rFonts w:hint="eastAsia" w:ascii="MS UI Gothic" w:eastAsia="MS UI Gothic"/>
          <w:w w:val="80"/>
        </w:rPr>
        <w:t xml:space="preserve">、  </w:t>
      </w:r>
      <w:r>
        <w:t>供热等公共设施</w:t>
      </w:r>
      <w:r>
        <w:rPr>
          <w:rFonts w:hint="eastAsia" w:ascii="MS UI Gothic" w:eastAsia="MS UI Gothic"/>
          <w:w w:val="80"/>
        </w:rPr>
        <w:t>ꎮ</w:t>
      </w:r>
    </w:p>
    <w:p>
      <w:pPr>
        <w:pStyle w:val="6"/>
        <w:spacing w:line="295" w:lineRule="auto"/>
        <w:ind w:left="440"/>
        <w:rPr>
          <w:rFonts w:hint="eastAsia" w:ascii="MS UI Gothic" w:eastAsia="MS UI Gothic"/>
        </w:rPr>
      </w:pPr>
      <w:r>
        <w:t>第六十条 受突发事件影响地区的人民政府开展恢复重建工作需要上一级人民政府支持的</w:t>
      </w:r>
      <w:r>
        <w:rPr>
          <w:rFonts w:hint="eastAsia" w:ascii="MS UI Gothic" w:eastAsia="MS UI Gothic"/>
          <w:w w:val="80"/>
        </w:rPr>
        <w:t xml:space="preserve">ꎬ </w:t>
      </w:r>
      <w:r>
        <w:t>可以向上一级人民政府提出请求</w:t>
      </w:r>
      <w:r>
        <w:rPr>
          <w:rFonts w:hint="eastAsia" w:ascii="MS UI Gothic" w:eastAsia="MS UI Gothic"/>
          <w:w w:val="80"/>
        </w:rPr>
        <w:t xml:space="preserve">ꎮ </w:t>
      </w:r>
      <w:r>
        <w:t>上一级人民政府应当根据受影响地区遭受的损失和实际情况</w:t>
      </w:r>
      <w:r>
        <w:rPr>
          <w:rFonts w:hint="eastAsia" w:ascii="MS UI Gothic" w:eastAsia="MS UI Gothic"/>
          <w:w w:val="80"/>
        </w:rPr>
        <w:t xml:space="preserve">ꎬ </w:t>
      </w:r>
      <w:r>
        <w:t>提供资金</w:t>
      </w:r>
      <w:r>
        <w:rPr>
          <w:rFonts w:hint="eastAsia" w:ascii="MS UI Gothic" w:eastAsia="MS UI Gothic"/>
          <w:w w:val="80"/>
        </w:rPr>
        <w:t xml:space="preserve">、 </w:t>
      </w:r>
      <w:r>
        <w:t>物资支持和技术指导</w:t>
      </w:r>
      <w:r>
        <w:rPr>
          <w:rFonts w:hint="eastAsia" w:ascii="MS UI Gothic" w:eastAsia="MS UI Gothic"/>
          <w:w w:val="80"/>
        </w:rPr>
        <w:t xml:space="preserve">ꎬ </w:t>
      </w:r>
      <w:r>
        <w:t>组织其他地区提供资金</w:t>
      </w:r>
      <w:r>
        <w:rPr>
          <w:rFonts w:hint="eastAsia" w:ascii="MS UI Gothic" w:eastAsia="MS UI Gothic"/>
          <w:w w:val="80"/>
        </w:rPr>
        <w:t xml:space="preserve">、 </w:t>
      </w:r>
      <w:r>
        <w:t>物资和人力支援</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第六十一条 国务院根据受突发事件</w:t>
      </w:r>
      <w:r>
        <w:t>影响地区遭受损失的情况</w:t>
      </w:r>
      <w:r>
        <w:rPr>
          <w:rFonts w:hint="eastAsia" w:ascii="MS UI Gothic" w:eastAsia="MS UI Gothic"/>
          <w:w w:val="80"/>
        </w:rPr>
        <w:t xml:space="preserve">ꎬ </w:t>
      </w:r>
      <w:r>
        <w:t>制定扶持该地</w:t>
      </w:r>
      <w:r>
        <w:rPr>
          <w:w w:val="105"/>
        </w:rPr>
        <w:t>区有关行业发展的优惠政策</w:t>
      </w:r>
      <w:r>
        <w:rPr>
          <w:rFonts w:hint="eastAsia" w:ascii="MS UI Gothic" w:eastAsia="MS UI Gothic"/>
          <w:w w:val="80"/>
        </w:rPr>
        <w:t>ꎮ</w:t>
      </w:r>
    </w:p>
    <w:p>
      <w:pPr>
        <w:pStyle w:val="6"/>
        <w:spacing w:before="124" w:line="295" w:lineRule="auto"/>
        <w:ind w:left="383" w:right="124"/>
        <w:rPr>
          <w:rFonts w:hint="eastAsia" w:ascii="MS UI Gothic" w:eastAsia="MS UI Gothic"/>
        </w:rPr>
      </w:pPr>
      <w:r>
        <w:br w:type="column"/>
      </w:r>
      <w:r>
        <w:t>受突发事件影响地区的人民政府应当根据本地区遭受损失的情况</w:t>
      </w:r>
      <w:r>
        <w:rPr>
          <w:rFonts w:hint="eastAsia" w:ascii="MS UI Gothic" w:eastAsia="MS UI Gothic"/>
          <w:w w:val="80"/>
        </w:rPr>
        <w:t xml:space="preserve">ꎬ </w:t>
      </w:r>
      <w:r>
        <w:t>制定救助</w:t>
      </w:r>
      <w:r>
        <w:rPr>
          <w:rFonts w:hint="eastAsia" w:ascii="MS UI Gothic" w:eastAsia="MS UI Gothic"/>
          <w:w w:val="80"/>
        </w:rPr>
        <w:t>、</w:t>
      </w:r>
      <w:r>
        <w:t>补偿</w:t>
      </w:r>
      <w:r>
        <w:rPr>
          <w:rFonts w:hint="eastAsia" w:ascii="MS UI Gothic" w:eastAsia="MS UI Gothic"/>
          <w:w w:val="80"/>
        </w:rPr>
        <w:t xml:space="preserve">、 </w:t>
      </w:r>
      <w:r>
        <w:t>抚慰</w:t>
      </w:r>
      <w:r>
        <w:rPr>
          <w:rFonts w:hint="eastAsia" w:ascii="MS UI Gothic" w:eastAsia="MS UI Gothic"/>
          <w:w w:val="80"/>
        </w:rPr>
        <w:t xml:space="preserve">、 </w:t>
      </w:r>
      <w:r>
        <w:t>抚恤</w:t>
      </w:r>
      <w:r>
        <w:rPr>
          <w:rFonts w:hint="eastAsia" w:ascii="MS UI Gothic" w:eastAsia="MS UI Gothic"/>
          <w:w w:val="80"/>
        </w:rPr>
        <w:t xml:space="preserve">、 </w:t>
      </w:r>
      <w:r>
        <w:t>安置等善后工作计划并组织实施</w:t>
      </w:r>
      <w:r>
        <w:rPr>
          <w:rFonts w:hint="eastAsia" w:ascii="MS UI Gothic" w:eastAsia="MS UI Gothic"/>
          <w:w w:val="80"/>
        </w:rPr>
        <w:t xml:space="preserve">ꎬ </w:t>
      </w:r>
      <w:r>
        <w:t>妥善解决因处置突发事件引发的矛盾和纠纷</w:t>
      </w:r>
      <w:r>
        <w:rPr>
          <w:rFonts w:hint="eastAsia" w:ascii="MS UI Gothic" w:eastAsia="MS UI Gothic"/>
          <w:w w:val="80"/>
        </w:rPr>
        <w:t>ꎮ</w:t>
      </w:r>
    </w:p>
    <w:p>
      <w:pPr>
        <w:pStyle w:val="6"/>
        <w:spacing w:line="295" w:lineRule="auto"/>
        <w:ind w:left="383" w:right="126"/>
        <w:rPr>
          <w:rFonts w:hint="eastAsia" w:ascii="MS UI Gothic" w:eastAsia="MS UI Gothic"/>
        </w:rPr>
      </w:pPr>
      <w:r>
        <w:t>公民参加应急救援工作或者协助维护社会秩序期间</w:t>
      </w:r>
      <w:r>
        <w:rPr>
          <w:rFonts w:hint="eastAsia" w:ascii="MS UI Gothic" w:eastAsia="MS UI Gothic"/>
          <w:w w:val="80"/>
        </w:rPr>
        <w:t xml:space="preserve">ꎬ </w:t>
      </w:r>
      <w:r>
        <w:t>其在本单位的工资待遇和福利不变</w:t>
      </w:r>
      <w:r>
        <w:rPr>
          <w:rFonts w:hint="eastAsia" w:ascii="MS UI Gothic" w:eastAsia="MS UI Gothic"/>
          <w:w w:val="80"/>
        </w:rPr>
        <w:t xml:space="preserve">ꎻ </w:t>
      </w:r>
      <w:r>
        <w:t>表现突出</w:t>
      </w:r>
      <w:r>
        <w:rPr>
          <w:rFonts w:hint="eastAsia" w:ascii="MS UI Gothic" w:eastAsia="MS UI Gothic"/>
          <w:w w:val="80"/>
        </w:rPr>
        <w:t xml:space="preserve">、 </w:t>
      </w:r>
      <w:r>
        <w:t>成绩显著的</w:t>
      </w:r>
      <w:r>
        <w:rPr>
          <w:rFonts w:hint="eastAsia" w:ascii="MS UI Gothic" w:eastAsia="MS UI Gothic"/>
          <w:w w:val="80"/>
        </w:rPr>
        <w:t xml:space="preserve">ꎬ </w:t>
      </w:r>
      <w:r>
        <w:t>由县级以上人民政府给予表彰或者奖励</w:t>
      </w:r>
      <w:r>
        <w:rPr>
          <w:rFonts w:hint="eastAsia" w:ascii="MS UI Gothic" w:eastAsia="MS UI Gothic"/>
          <w:w w:val="80"/>
        </w:rPr>
        <w:t>ꎮ</w:t>
      </w:r>
    </w:p>
    <w:p>
      <w:pPr>
        <w:pStyle w:val="6"/>
        <w:spacing w:line="295" w:lineRule="auto"/>
        <w:ind w:left="383" w:right="126"/>
        <w:jc w:val="left"/>
        <w:rPr>
          <w:rFonts w:hint="eastAsia" w:ascii="MS UI Gothic" w:eastAsia="MS UI Gothic"/>
        </w:rPr>
      </w:pPr>
      <w:r>
        <w:t>县级以上人民政府对在应急救援工作</w:t>
      </w:r>
      <w:r>
        <w:rPr>
          <w:w w:val="105"/>
        </w:rPr>
        <w:t>中伤亡的人员依法给予抚恤</w:t>
      </w:r>
      <w:r>
        <w:rPr>
          <w:rFonts w:hint="eastAsia" w:ascii="MS UI Gothic" w:eastAsia="MS UI Gothic"/>
          <w:w w:val="80"/>
        </w:rPr>
        <w:t>ꎮ</w:t>
      </w:r>
    </w:p>
    <w:p>
      <w:pPr>
        <w:pStyle w:val="6"/>
        <w:spacing w:line="295" w:lineRule="auto"/>
        <w:ind w:left="383" w:right="126"/>
        <w:rPr>
          <w:rFonts w:hint="eastAsia" w:ascii="MS UI Gothic" w:eastAsia="MS UI Gothic"/>
        </w:rPr>
      </w:pPr>
      <w:r>
        <w:t>第六十二条 履行统一领导职责的人民政府应当及时查明突发事件的发生经过和原因</w:t>
      </w:r>
      <w:r>
        <w:rPr>
          <w:rFonts w:hint="eastAsia" w:ascii="MS UI Gothic" w:eastAsia="MS UI Gothic"/>
          <w:w w:val="80"/>
        </w:rPr>
        <w:t xml:space="preserve">ꎬ </w:t>
      </w:r>
      <w:r>
        <w:t>总结突发事件应急处置工作的经验教训</w:t>
      </w:r>
      <w:r>
        <w:rPr>
          <w:rFonts w:hint="eastAsia" w:ascii="MS UI Gothic" w:eastAsia="MS UI Gothic"/>
          <w:w w:val="80"/>
        </w:rPr>
        <w:t xml:space="preserve">ꎬ </w:t>
      </w:r>
      <w:r>
        <w:t>制定改进措施</w:t>
      </w:r>
      <w:r>
        <w:rPr>
          <w:rFonts w:hint="eastAsia" w:ascii="MS UI Gothic" w:eastAsia="MS UI Gothic"/>
          <w:w w:val="80"/>
        </w:rPr>
        <w:t xml:space="preserve">ꎬ </w:t>
      </w:r>
      <w:r>
        <w:t>并向上一级人民政府提出报告</w:t>
      </w:r>
      <w:r>
        <w:rPr>
          <w:rFonts w:hint="eastAsia" w:ascii="MS UI Gothic" w:eastAsia="MS UI Gothic"/>
          <w:w w:val="80"/>
        </w:rPr>
        <w:t>ꎮ</w:t>
      </w:r>
    </w:p>
    <w:p>
      <w:pPr>
        <w:pStyle w:val="6"/>
        <w:tabs>
          <w:tab w:val="left" w:pos="2164"/>
        </w:tabs>
        <w:spacing w:before="144"/>
        <w:ind w:left="1326" w:firstLine="0"/>
        <w:jc w:val="left"/>
      </w:pPr>
      <w:r>
        <w:rPr>
          <w:spacing w:val="3"/>
          <w:w w:val="105"/>
        </w:rPr>
        <w:t>第六</w:t>
      </w:r>
      <w:r>
        <w:rPr>
          <w:w w:val="105"/>
        </w:rPr>
        <w:t>章</w:t>
      </w:r>
      <w:r>
        <w:rPr>
          <w:w w:val="105"/>
        </w:rPr>
        <w:tab/>
      </w:r>
      <w:r>
        <w:rPr>
          <w:w w:val="105"/>
        </w:rPr>
        <w:t>法</w:t>
      </w:r>
      <w:r>
        <w:rPr>
          <w:spacing w:val="-33"/>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11"/>
        <w:ind w:left="0" w:firstLine="0"/>
        <w:jc w:val="left"/>
        <w:rPr>
          <w:sz w:val="16"/>
        </w:rPr>
      </w:pPr>
    </w:p>
    <w:p>
      <w:pPr>
        <w:pStyle w:val="6"/>
        <w:spacing w:line="295" w:lineRule="auto"/>
        <w:ind w:left="383" w:right="126"/>
        <w:rPr>
          <w:rFonts w:hint="eastAsia" w:ascii="MS UI Gothic" w:eastAsia="MS UI Gothic"/>
        </w:rPr>
      </w:pPr>
      <w:r>
        <w:rPr>
          <w:spacing w:val="2"/>
          <w:w w:val="105"/>
        </w:rPr>
        <w:t>第六十三条 地方各级人民政府和县</w:t>
      </w:r>
      <w:r>
        <w:rPr>
          <w:spacing w:val="2"/>
        </w:rPr>
        <w:t>级以上各级人民政府有关部门违反本法规</w:t>
      </w:r>
      <w:r>
        <w:rPr>
          <w:spacing w:val="3"/>
        </w:rPr>
        <w:t>定</w:t>
      </w:r>
      <w:r>
        <w:rPr>
          <w:rFonts w:hint="eastAsia" w:ascii="MS UI Gothic" w:eastAsia="MS UI Gothic"/>
          <w:spacing w:val="23"/>
          <w:w w:val="80"/>
        </w:rPr>
        <w:t xml:space="preserve">ꎬ </w:t>
      </w:r>
      <w:r>
        <w:rPr>
          <w:spacing w:val="3"/>
        </w:rPr>
        <w:t>不履行法定职责的</w:t>
      </w:r>
      <w:r>
        <w:rPr>
          <w:rFonts w:hint="eastAsia" w:ascii="MS UI Gothic" w:eastAsia="MS UI Gothic"/>
          <w:spacing w:val="23"/>
          <w:w w:val="80"/>
        </w:rPr>
        <w:t xml:space="preserve">ꎬ </w:t>
      </w:r>
      <w:r>
        <w:rPr>
          <w:spacing w:val="2"/>
        </w:rPr>
        <w:t>由其上级行政机</w:t>
      </w:r>
      <w:r>
        <w:rPr>
          <w:spacing w:val="3"/>
        </w:rPr>
        <w:t>关或者监察机关责令改正</w:t>
      </w:r>
      <w:r>
        <w:rPr>
          <w:rFonts w:hint="eastAsia" w:ascii="MS UI Gothic" w:eastAsia="MS UI Gothic"/>
          <w:spacing w:val="20"/>
          <w:w w:val="80"/>
        </w:rPr>
        <w:t xml:space="preserve">ꎻ </w:t>
      </w:r>
      <w:r>
        <w:rPr>
          <w:spacing w:val="2"/>
        </w:rPr>
        <w:t>有下列情形之</w:t>
      </w:r>
      <w:r>
        <w:rPr>
          <w:spacing w:val="3"/>
        </w:rPr>
        <w:t>一的</w:t>
      </w:r>
      <w:r>
        <w:rPr>
          <w:rFonts w:hint="eastAsia" w:ascii="MS UI Gothic" w:eastAsia="MS UI Gothic"/>
          <w:spacing w:val="20"/>
          <w:w w:val="80"/>
        </w:rPr>
        <w:t xml:space="preserve">ꎬ </w:t>
      </w:r>
      <w:r>
        <w:rPr>
          <w:spacing w:val="2"/>
        </w:rPr>
        <w:t>根据情节对直接负责的主管人员和</w:t>
      </w:r>
      <w:r>
        <w:rPr>
          <w:spacing w:val="3"/>
          <w:w w:val="105"/>
        </w:rPr>
        <w:t>其他直接责任人员依法给予处分</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3"/>
          <w:w w:val="150"/>
        </w:rPr>
        <w:t xml:space="preserve">) </w:t>
      </w:r>
      <w:r>
        <w:rPr>
          <w:spacing w:val="5"/>
          <w:w w:val="105"/>
        </w:rPr>
        <w:t>未按规定采取预防措施</w:t>
      </w:r>
      <w:r>
        <w:rPr>
          <w:rFonts w:hint="eastAsia" w:ascii="MS UI Gothic" w:eastAsia="MS UI Gothic"/>
          <w:spacing w:val="13"/>
          <w:w w:val="80"/>
        </w:rPr>
        <w:t xml:space="preserve">ꎬ </w:t>
      </w:r>
      <w:r>
        <w:rPr>
          <w:spacing w:val="5"/>
          <w:w w:val="105"/>
        </w:rPr>
        <w:t>导致</w:t>
      </w:r>
      <w:r>
        <w:rPr>
          <w:spacing w:val="3"/>
        </w:rPr>
        <w:t>发生突发事件</w:t>
      </w:r>
      <w:r>
        <w:rPr>
          <w:rFonts w:hint="eastAsia" w:ascii="MS UI Gothic" w:eastAsia="MS UI Gothic"/>
          <w:spacing w:val="20"/>
          <w:w w:val="80"/>
        </w:rPr>
        <w:t xml:space="preserve">ꎬ </w:t>
      </w:r>
      <w:r>
        <w:rPr>
          <w:spacing w:val="2"/>
        </w:rPr>
        <w:t>或者未采取必要的防范措</w:t>
      </w:r>
      <w:r>
        <w:rPr>
          <w:spacing w:val="3"/>
          <w:w w:val="105"/>
        </w:rPr>
        <w:t>施</w:t>
      </w:r>
      <w:r>
        <w:rPr>
          <w:rFonts w:hint="eastAsia" w:ascii="MS UI Gothic" w:eastAsia="MS UI Gothic"/>
          <w:spacing w:val="19"/>
          <w:w w:val="80"/>
        </w:rPr>
        <w:t xml:space="preserve">ꎬ </w:t>
      </w:r>
      <w:r>
        <w:rPr>
          <w:spacing w:val="3"/>
          <w:w w:val="105"/>
        </w:rPr>
        <w:t>导致发生次生</w:t>
      </w:r>
      <w:r>
        <w:rPr>
          <w:rFonts w:hint="eastAsia" w:ascii="MS UI Gothic" w:eastAsia="MS UI Gothic"/>
          <w:spacing w:val="19"/>
          <w:w w:val="80"/>
        </w:rPr>
        <w:t xml:space="preserve">、 </w:t>
      </w:r>
      <w:r>
        <w:rPr>
          <w:spacing w:val="3"/>
          <w:w w:val="105"/>
        </w:rPr>
        <w:t>衍生事件的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迟报</w:t>
      </w:r>
      <w:r>
        <w:rPr>
          <w:rFonts w:hint="eastAsia" w:ascii="MS UI Gothic" w:eastAsia="MS UI Gothic"/>
          <w:w w:val="80"/>
        </w:rPr>
        <w:t xml:space="preserve">、 </w:t>
      </w:r>
      <w:r>
        <w:t>谎报</w:t>
      </w:r>
      <w:r>
        <w:rPr>
          <w:rFonts w:hint="eastAsia" w:ascii="MS UI Gothic" w:eastAsia="MS UI Gothic"/>
          <w:w w:val="80"/>
        </w:rPr>
        <w:t xml:space="preserve">、 </w:t>
      </w:r>
      <w:r>
        <w:t>瞒报</w:t>
      </w:r>
      <w:r>
        <w:rPr>
          <w:rFonts w:hint="eastAsia" w:ascii="MS UI Gothic" w:eastAsia="MS UI Gothic"/>
          <w:w w:val="80"/>
        </w:rPr>
        <w:t xml:space="preserve">、 </w:t>
      </w:r>
      <w:r>
        <w:t>漏报有关突发事件的信息</w:t>
      </w:r>
      <w:r>
        <w:rPr>
          <w:rFonts w:hint="eastAsia" w:ascii="MS UI Gothic" w:eastAsia="MS UI Gothic"/>
          <w:w w:val="80"/>
        </w:rPr>
        <w:t xml:space="preserve">ꎬ </w:t>
      </w:r>
      <w:r>
        <w:t>或者通报</w:t>
      </w:r>
      <w:r>
        <w:rPr>
          <w:rFonts w:hint="eastAsia" w:ascii="MS UI Gothic" w:eastAsia="MS UI Gothic"/>
          <w:w w:val="80"/>
        </w:rPr>
        <w:t xml:space="preserve">、 </w:t>
      </w:r>
      <w:r>
        <w:t>报送</w:t>
      </w:r>
      <w:r>
        <w:rPr>
          <w:rFonts w:hint="eastAsia" w:ascii="MS UI Gothic" w:eastAsia="MS UI Gothic"/>
          <w:w w:val="80"/>
        </w:rPr>
        <w:t xml:space="preserve">、 </w:t>
      </w:r>
      <w:r>
        <w:t>公布虚假信息</w:t>
      </w:r>
      <w:r>
        <w:rPr>
          <w:rFonts w:hint="eastAsia" w:ascii="MS UI Gothic" w:eastAsia="MS UI Gothic"/>
          <w:w w:val="80"/>
        </w:rPr>
        <w:t xml:space="preserve">ꎬ </w:t>
      </w:r>
      <w:r>
        <w:t>造成后果的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未按规定及时发布突发事件警报</w:t>
      </w:r>
      <w:r>
        <w:rPr>
          <w:rFonts w:hint="eastAsia" w:ascii="MS UI Gothic" w:eastAsia="MS UI Gothic"/>
          <w:w w:val="80"/>
        </w:rPr>
        <w:t xml:space="preserve">、 </w:t>
      </w:r>
      <w:r>
        <w:rPr>
          <w:w w:val="105"/>
        </w:rPr>
        <w:t>采取预警期的措施</w:t>
      </w:r>
      <w:r>
        <w:rPr>
          <w:rFonts w:hint="eastAsia" w:ascii="MS UI Gothic" w:eastAsia="MS UI Gothic"/>
          <w:w w:val="80"/>
        </w:rPr>
        <w:t xml:space="preserve">ꎬ </w:t>
      </w:r>
      <w:r>
        <w:rPr>
          <w:w w:val="105"/>
        </w:rPr>
        <w:t>导致损害发生的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未按规定及时采取措施处置突发事件或者处置不当</w:t>
      </w:r>
      <w:r>
        <w:rPr>
          <w:rFonts w:hint="eastAsia" w:ascii="MS UI Gothic" w:eastAsia="MS UI Gothic"/>
          <w:w w:val="80"/>
        </w:rPr>
        <w:t xml:space="preserve">ꎬ </w:t>
      </w:r>
      <w:r>
        <w:rPr>
          <w:w w:val="105"/>
        </w:rPr>
        <w:t>造成后果的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不服从上级人民政府对突发事件应急处置工作的统一领导</w:t>
      </w:r>
      <w:r>
        <w:rPr>
          <w:rFonts w:hint="eastAsia" w:ascii="MS UI Gothic" w:eastAsia="MS UI Gothic"/>
          <w:w w:val="80"/>
        </w:rPr>
        <w:t xml:space="preserve">、 </w:t>
      </w:r>
      <w:r>
        <w:rPr>
          <w:w w:val="105"/>
        </w:rPr>
        <w:t>指挥和协调的</w:t>
      </w:r>
      <w:r>
        <w:rPr>
          <w:rFonts w:hint="eastAsia" w:ascii="MS UI Gothic" w:eastAsia="MS UI Gothic"/>
          <w:w w:val="80"/>
        </w:rPr>
        <w:t>ꎻ</w:t>
      </w:r>
    </w:p>
    <w:p>
      <w:pPr>
        <w:pStyle w:val="6"/>
        <w:spacing w:line="254" w:lineRule="exact"/>
        <w:ind w:left="802" w:firstLine="0"/>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未及时组织开展生产自救</w:t>
      </w:r>
      <w:r>
        <w:rPr>
          <w:rFonts w:hint="eastAsia" w:ascii="MS UI Gothic" w:eastAsia="MS UI Gothic"/>
        </w:rPr>
        <w:t xml:space="preserve">、 </w:t>
      </w:r>
      <w:r>
        <w:rPr>
          <w:w w:val="110"/>
        </w:rPr>
        <w:t>恢</w:t>
      </w:r>
    </w:p>
    <w:p>
      <w:pPr>
        <w:spacing w:after="0" w:line="254" w:lineRule="exact"/>
        <w:sectPr>
          <w:type w:val="continuous"/>
          <w:pgSz w:w="10500" w:h="14750"/>
          <w:pgMar w:top="1400" w:right="980" w:bottom="280" w:left="980" w:header="720" w:footer="720" w:gutter="0"/>
          <w:cols w:equalWidth="0" w:num="2">
            <w:col w:w="4210" w:space="40"/>
            <w:col w:w="4290"/>
          </w:cols>
        </w:sectPr>
      </w:pPr>
    </w:p>
    <w:p>
      <w:pPr>
        <w:tabs>
          <w:tab w:val="left" w:pos="2426"/>
        </w:tabs>
        <w:spacing w:before="162"/>
        <w:ind w:left="332" w:right="0" w:firstLine="0"/>
        <w:jc w:val="left"/>
        <w:rPr>
          <w:rFonts w:hint="eastAsia" w:ascii="Microsoft Yi Baiti" w:eastAsia="Microsoft Yi Baiti"/>
          <w:sz w:val="17"/>
        </w:rPr>
      </w:pPr>
      <w:r>
        <w:pict>
          <v:group id="_x0000_s1183" o:spid="_x0000_s1183" o:spt="203" style="position:absolute;left:0pt;margin-left:55.1pt;margin-top:23.85pt;height:2.15pt;width:398.25pt;mso-position-horizontal-relative:page;mso-wrap-distance-bottom:0pt;mso-wrap-distance-top:0pt;z-index:-251598848;mso-width-relative:page;mso-height-relative:page;" coordorigin="1103,477" coordsize="7965,43">
            <o:lock v:ext="edit"/>
            <v:line id="_x0000_s1184" o:spid="_x0000_s1184" o:spt="20" style="position:absolute;left:1103;top:516;height:0;width:7964;" stroked="t" coordsize="21600,21600">
              <v:path arrowok="t"/>
              <v:fill focussize="0,0"/>
              <v:stroke weight="0.388031496062992pt" color="#231F20"/>
              <v:imagedata o:title=""/>
              <o:lock v:ext="edit"/>
            </v:line>
            <v:line id="_x0000_s1185" o:spid="_x0000_s1185"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４４</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316"/>
        </w:tabs>
        <w:spacing w:before="163" w:line="240" w:lineRule="exact"/>
        <w:ind w:firstLine="0"/>
        <w:jc w:val="left"/>
      </w:pPr>
      <w:r>
        <w:rPr>
          <w:spacing w:val="3"/>
        </w:rPr>
        <w:t>复重建等善后工作的</w:t>
      </w:r>
      <w:r>
        <w:rPr>
          <w:rFonts w:hint="eastAsia" w:ascii="MS UI Gothic" w:eastAsia="MS UI Gothic"/>
          <w:w w:val="80"/>
        </w:rPr>
        <w:t>ꎻ</w:t>
      </w:r>
      <w:r>
        <w:rPr>
          <w:rFonts w:hint="eastAsia" w:ascii="MS UI Gothic" w:eastAsia="MS UI Gothic"/>
          <w:w w:val="80"/>
        </w:rPr>
        <w:tab/>
      </w:r>
      <w:r>
        <w:rPr>
          <w:spacing w:val="3"/>
        </w:rPr>
        <w:t>吊销其执业许可证</w:t>
      </w:r>
      <w:r>
        <w:rPr>
          <w:rFonts w:hint="eastAsia" w:ascii="MS UI Gothic" w:eastAsia="MS UI Gothic"/>
          <w:w w:val="80"/>
        </w:rPr>
        <w:t>ꎻ</w:t>
      </w:r>
      <w:r>
        <w:rPr>
          <w:rFonts w:hint="eastAsia" w:ascii="MS UI Gothic" w:eastAsia="MS UI Gothic"/>
          <w:spacing w:val="15"/>
          <w:w w:val="80"/>
        </w:rPr>
        <w:t xml:space="preserve"> </w:t>
      </w:r>
      <w:r>
        <w:rPr>
          <w:spacing w:val="3"/>
        </w:rPr>
        <w:t>负有直接责任的人</w:t>
      </w:r>
      <w:r>
        <w:t>员</w:t>
      </w:r>
    </w:p>
    <w:p>
      <w:pPr>
        <w:spacing w:after="0" w:line="240" w:lineRule="exact"/>
        <w:jc w:val="left"/>
        <w:sectPr>
          <w:pgSz w:w="10500" w:h="14750"/>
          <w:pgMar w:top="960" w:right="980" w:bottom="280" w:left="980" w:header="720" w:footer="720" w:gutter="0"/>
        </w:sectPr>
      </w:pPr>
    </w:p>
    <w:p>
      <w:pPr>
        <w:pStyle w:val="6"/>
        <w:spacing w:before="74" w:line="295" w:lineRule="auto"/>
        <w:ind w:right="39"/>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截留</w:t>
      </w:r>
      <w:r>
        <w:rPr>
          <w:rFonts w:hint="eastAsia" w:ascii="MS UI Gothic" w:eastAsia="MS UI Gothic"/>
          <w:w w:val="80"/>
        </w:rPr>
        <w:t xml:space="preserve">、 </w:t>
      </w:r>
      <w:r>
        <w:rPr>
          <w:w w:val="105"/>
        </w:rPr>
        <w:t>挪用</w:t>
      </w:r>
      <w:r>
        <w:rPr>
          <w:rFonts w:hint="eastAsia" w:ascii="MS UI Gothic" w:eastAsia="MS UI Gothic"/>
          <w:w w:val="80"/>
        </w:rPr>
        <w:t xml:space="preserve">、 </w:t>
      </w:r>
      <w:r>
        <w:rPr>
          <w:w w:val="105"/>
        </w:rPr>
        <w:t>私分或者变相私分应急救援资金</w:t>
      </w:r>
      <w:r>
        <w:rPr>
          <w:rFonts w:hint="eastAsia" w:ascii="MS UI Gothic" w:eastAsia="MS UI Gothic"/>
          <w:w w:val="80"/>
        </w:rPr>
        <w:t xml:space="preserve">、 </w:t>
      </w:r>
      <w:r>
        <w:rPr>
          <w:w w:val="105"/>
        </w:rPr>
        <w:t>物资的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不及时归还征用的单位和个人</w:t>
      </w:r>
      <w:r>
        <w:t>的财产</w:t>
      </w:r>
      <w:r>
        <w:rPr>
          <w:rFonts w:hint="eastAsia" w:ascii="MS UI Gothic" w:eastAsia="MS UI Gothic"/>
          <w:w w:val="80"/>
        </w:rPr>
        <w:t xml:space="preserve">ꎬ </w:t>
      </w:r>
      <w:r>
        <w:t>或者对被征用财产的单位和个人</w:t>
      </w:r>
      <w:r>
        <w:rPr>
          <w:w w:val="105"/>
        </w:rPr>
        <w:t>不按规定给予补偿的</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第六十四条 有关单位有下列情形之</w:t>
      </w:r>
      <w:r>
        <w:t>一的</w:t>
      </w:r>
      <w:r>
        <w:rPr>
          <w:rFonts w:hint="eastAsia" w:ascii="MS UI Gothic" w:eastAsia="MS UI Gothic"/>
          <w:w w:val="80"/>
        </w:rPr>
        <w:t xml:space="preserve">ꎬ </w:t>
      </w:r>
      <w:r>
        <w:t>由所在地履行统一领导职责的人民政府责令停产停业</w:t>
      </w:r>
      <w:r>
        <w:rPr>
          <w:rFonts w:hint="eastAsia" w:ascii="MS UI Gothic" w:eastAsia="MS UI Gothic"/>
          <w:w w:val="80"/>
        </w:rPr>
        <w:t xml:space="preserve">ꎬ </w:t>
      </w:r>
      <w:r>
        <w:t>暂扣或者吊销许可证或者营业执照</w:t>
      </w:r>
      <w:r>
        <w:rPr>
          <w:rFonts w:hint="eastAsia" w:ascii="MS UI Gothic" w:eastAsia="MS UI Gothic"/>
          <w:w w:val="80"/>
        </w:rPr>
        <w:t xml:space="preserve">ꎬ </w:t>
      </w:r>
      <w:r>
        <w:t>并处五万元以上二十万元以下的罚款</w:t>
      </w:r>
      <w:r>
        <w:rPr>
          <w:rFonts w:hint="eastAsia" w:ascii="MS UI Gothic" w:eastAsia="MS UI Gothic"/>
          <w:w w:val="80"/>
        </w:rPr>
        <w:t xml:space="preserve">ꎻ </w:t>
      </w:r>
      <w:r>
        <w:t>构成违反治安管理行为的</w:t>
      </w:r>
      <w:r>
        <w:rPr>
          <w:rFonts w:hint="eastAsia" w:ascii="MS UI Gothic" w:eastAsia="MS UI Gothic"/>
          <w:w w:val="80"/>
        </w:rPr>
        <w:t>ꎬ</w:t>
      </w:r>
      <w:r>
        <w:rPr>
          <w:w w:val="105"/>
        </w:rPr>
        <w:t>由公安机关依法给予处罚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未按规定采取预防措施</w:t>
      </w:r>
      <w:r>
        <w:rPr>
          <w:rFonts w:hint="eastAsia" w:ascii="MS UI Gothic" w:eastAsia="MS UI Gothic"/>
          <w:w w:val="80"/>
        </w:rPr>
        <w:t xml:space="preserve">ꎬ </w:t>
      </w:r>
      <w:r>
        <w:rPr>
          <w:w w:val="105"/>
        </w:rPr>
        <w:t>导致发生严重突发事件的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未及时消除已发现的可能引发</w:t>
      </w:r>
      <w:r>
        <w:t>突发事件的隐患</w:t>
      </w:r>
      <w:r>
        <w:rPr>
          <w:rFonts w:hint="eastAsia" w:ascii="MS UI Gothic" w:eastAsia="MS UI Gothic"/>
          <w:w w:val="80"/>
        </w:rPr>
        <w:t xml:space="preserve">ꎬ </w:t>
      </w:r>
      <w:r>
        <w:t>导致发生严重突发事</w:t>
      </w:r>
      <w:r>
        <w:rPr>
          <w:w w:val="105"/>
        </w:rPr>
        <w:t>件的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未做好应急设备</w:t>
      </w:r>
      <w:r>
        <w:rPr>
          <w:rFonts w:hint="eastAsia" w:ascii="MS UI Gothic" w:eastAsia="MS UI Gothic"/>
          <w:w w:val="80"/>
        </w:rPr>
        <w:t xml:space="preserve">、  </w:t>
      </w:r>
      <w:r>
        <w:rPr>
          <w:w w:val="105"/>
        </w:rPr>
        <w:t>设施日常维护</w:t>
      </w:r>
      <w:r>
        <w:rPr>
          <w:rFonts w:hint="eastAsia" w:ascii="MS UI Gothic" w:eastAsia="MS UI Gothic"/>
          <w:w w:val="80"/>
        </w:rPr>
        <w:t xml:space="preserve">、 </w:t>
      </w:r>
      <w:r>
        <w:rPr>
          <w:w w:val="105"/>
        </w:rPr>
        <w:t>检测工作</w:t>
      </w:r>
      <w:r>
        <w:rPr>
          <w:rFonts w:hint="eastAsia" w:ascii="MS UI Gothic" w:eastAsia="MS UI Gothic"/>
          <w:w w:val="80"/>
        </w:rPr>
        <w:t xml:space="preserve">ꎬ </w:t>
      </w:r>
      <w:r>
        <w:rPr>
          <w:w w:val="105"/>
        </w:rPr>
        <w:t>导致发生严重突发事件或者突发事件危害扩大的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突发事件发生后</w:t>
      </w:r>
      <w:r>
        <w:rPr>
          <w:rFonts w:hint="eastAsia" w:ascii="MS UI Gothic" w:eastAsia="MS UI Gothic"/>
          <w:w w:val="80"/>
        </w:rPr>
        <w:t xml:space="preserve">ꎬ </w:t>
      </w:r>
      <w:r>
        <w:rPr>
          <w:w w:val="105"/>
        </w:rPr>
        <w:t>不及时组织开展应急救援工作</w:t>
      </w:r>
      <w:r>
        <w:rPr>
          <w:rFonts w:hint="eastAsia" w:ascii="MS UI Gothic" w:eastAsia="MS UI Gothic"/>
          <w:w w:val="80"/>
        </w:rPr>
        <w:t xml:space="preserve">ꎬ </w:t>
      </w:r>
      <w:r>
        <w:rPr>
          <w:w w:val="105"/>
        </w:rPr>
        <w:t>造成严重后果的</w:t>
      </w:r>
      <w:r>
        <w:rPr>
          <w:rFonts w:hint="eastAsia" w:ascii="MS UI Gothic" w:eastAsia="MS UI Gothic"/>
          <w:w w:val="80"/>
        </w:rPr>
        <w:t>ꎮ</w:t>
      </w:r>
    </w:p>
    <w:p>
      <w:pPr>
        <w:pStyle w:val="6"/>
        <w:spacing w:line="295" w:lineRule="auto"/>
        <w:ind w:right="39"/>
        <w:rPr>
          <w:rFonts w:hint="eastAsia" w:ascii="MS UI Gothic" w:eastAsia="MS UI Gothic"/>
        </w:rPr>
      </w:pPr>
      <w:r>
        <w:t>前款规定的行为</w:t>
      </w:r>
      <w:r>
        <w:rPr>
          <w:rFonts w:hint="eastAsia" w:ascii="MS UI Gothic" w:eastAsia="MS UI Gothic"/>
          <w:w w:val="80"/>
        </w:rPr>
        <w:t xml:space="preserve">ꎬ </w:t>
      </w:r>
      <w:r>
        <w:t>其他法律</w:t>
      </w:r>
      <w:r>
        <w:rPr>
          <w:rFonts w:hint="eastAsia" w:ascii="MS UI Gothic" w:eastAsia="MS UI Gothic"/>
          <w:w w:val="80"/>
        </w:rPr>
        <w:t xml:space="preserve">、 </w:t>
      </w:r>
      <w:r>
        <w:t>行政法规规定由人民政府有关部门依法决定处罚的</w:t>
      </w:r>
      <w:r>
        <w:rPr>
          <w:rFonts w:hint="eastAsia" w:ascii="MS UI Gothic" w:eastAsia="MS UI Gothic"/>
          <w:w w:val="80"/>
        </w:rPr>
        <w:t xml:space="preserve">ꎬ </w:t>
      </w:r>
      <w:r>
        <w:t>从其规定</w:t>
      </w:r>
      <w:r>
        <w:rPr>
          <w:rFonts w:hint="eastAsia" w:ascii="MS UI Gothic" w:eastAsia="MS UI Gothic"/>
          <w:w w:val="80"/>
        </w:rPr>
        <w:t>ꎮ</w:t>
      </w:r>
    </w:p>
    <w:p>
      <w:pPr>
        <w:pStyle w:val="6"/>
        <w:spacing w:line="295" w:lineRule="auto"/>
        <w:ind w:right="39"/>
      </w:pPr>
      <w:r>
        <w:t>第六十五条 违反本法规定</w:t>
      </w:r>
      <w:r>
        <w:rPr>
          <w:rFonts w:hint="eastAsia" w:ascii="MS UI Gothic" w:eastAsia="MS UI Gothic"/>
          <w:w w:val="80"/>
        </w:rPr>
        <w:t xml:space="preserve">ꎬ </w:t>
      </w:r>
      <w:r>
        <w:t>编造并传播有关突发事件事态发展或者应急处置工作的虚假信息</w:t>
      </w:r>
      <w:r>
        <w:rPr>
          <w:rFonts w:hint="eastAsia" w:ascii="MS UI Gothic" w:eastAsia="MS UI Gothic"/>
          <w:w w:val="80"/>
        </w:rPr>
        <w:t xml:space="preserve">ꎬ </w:t>
      </w:r>
      <w:r>
        <w:t>或者明知是有关突发事件事态发展或者应急处置工作的虚假信息而进行传播的</w:t>
      </w:r>
      <w:r>
        <w:rPr>
          <w:rFonts w:hint="eastAsia" w:ascii="MS UI Gothic" w:eastAsia="MS UI Gothic"/>
          <w:w w:val="80"/>
        </w:rPr>
        <w:t xml:space="preserve">ꎬ </w:t>
      </w:r>
      <w:r>
        <w:t>责令改正</w:t>
      </w:r>
      <w:r>
        <w:rPr>
          <w:rFonts w:hint="eastAsia" w:ascii="MS UI Gothic" w:eastAsia="MS UI Gothic"/>
          <w:w w:val="80"/>
        </w:rPr>
        <w:t xml:space="preserve">ꎬ </w:t>
      </w:r>
      <w:r>
        <w:t>给予警告</w:t>
      </w:r>
      <w:r>
        <w:rPr>
          <w:rFonts w:hint="eastAsia" w:ascii="MS UI Gothic" w:eastAsia="MS UI Gothic"/>
          <w:w w:val="80"/>
        </w:rPr>
        <w:t xml:space="preserve">ꎻ </w:t>
      </w:r>
      <w:r>
        <w:t>造成严重后果的</w:t>
      </w:r>
      <w:r>
        <w:rPr>
          <w:rFonts w:hint="eastAsia" w:ascii="MS UI Gothic" w:eastAsia="MS UI Gothic"/>
          <w:w w:val="80"/>
        </w:rPr>
        <w:t xml:space="preserve">ꎬ </w:t>
      </w:r>
      <w:r>
        <w:t>依法暂停其业务活动或者</w:t>
      </w:r>
    </w:p>
    <w:p>
      <w:pPr>
        <w:pStyle w:val="6"/>
        <w:spacing w:before="74" w:line="295" w:lineRule="auto"/>
        <w:ind w:right="442" w:firstLine="0"/>
        <w:rPr>
          <w:rFonts w:hint="eastAsia" w:ascii="MS UI Gothic" w:eastAsia="MS UI Gothic"/>
        </w:rPr>
      </w:pPr>
      <w:r>
        <w:br w:type="column"/>
      </w:r>
      <w:r>
        <w:t>是国家工作人员的</w:t>
      </w:r>
      <w:r>
        <w:rPr>
          <w:rFonts w:hint="eastAsia" w:ascii="MS UI Gothic" w:eastAsia="MS UI Gothic"/>
          <w:w w:val="80"/>
        </w:rPr>
        <w:t xml:space="preserve">ꎬ </w:t>
      </w:r>
      <w:r>
        <w:t>还应当对其依法给予处分</w:t>
      </w:r>
      <w:r>
        <w:rPr>
          <w:rFonts w:hint="eastAsia" w:ascii="MS UI Gothic" w:eastAsia="MS UI Gothic"/>
          <w:w w:val="80"/>
        </w:rPr>
        <w:t xml:space="preserve">ꎻ </w:t>
      </w:r>
      <w:r>
        <w:t>构成违反治安管理行为的</w:t>
      </w:r>
      <w:r>
        <w:rPr>
          <w:rFonts w:hint="eastAsia" w:ascii="MS UI Gothic" w:eastAsia="MS UI Gothic"/>
          <w:w w:val="80"/>
        </w:rPr>
        <w:t xml:space="preserve">ꎬ </w:t>
      </w:r>
      <w:r>
        <w:t>由公安机关依法给予处罚</w:t>
      </w:r>
      <w:r>
        <w:rPr>
          <w:rFonts w:hint="eastAsia" w:ascii="MS UI Gothic" w:eastAsia="MS UI Gothic"/>
          <w:w w:val="80"/>
        </w:rPr>
        <w:t>ꎮ</w:t>
      </w:r>
    </w:p>
    <w:p>
      <w:pPr>
        <w:pStyle w:val="6"/>
        <w:spacing w:line="295" w:lineRule="auto"/>
        <w:ind w:right="442"/>
        <w:rPr>
          <w:rFonts w:hint="eastAsia" w:ascii="MS UI Gothic" w:eastAsia="MS UI Gothic"/>
        </w:rPr>
      </w:pPr>
      <w:r>
        <w:t>第六十六条 单位或者个人违反本法规定</w:t>
      </w:r>
      <w:r>
        <w:rPr>
          <w:rFonts w:hint="eastAsia" w:ascii="MS UI Gothic" w:eastAsia="MS UI Gothic"/>
          <w:w w:val="80"/>
        </w:rPr>
        <w:t xml:space="preserve">ꎬ </w:t>
      </w:r>
      <w:r>
        <w:t>不服从所在地人民政府及其有关部门发布的决定</w:t>
      </w:r>
      <w:r>
        <w:rPr>
          <w:rFonts w:hint="eastAsia" w:ascii="MS UI Gothic" w:eastAsia="MS UI Gothic"/>
          <w:w w:val="80"/>
        </w:rPr>
        <w:t xml:space="preserve">、 </w:t>
      </w:r>
      <w:r>
        <w:t>命令或者不配合其依法采取的措施</w:t>
      </w:r>
      <w:r>
        <w:rPr>
          <w:rFonts w:hint="eastAsia" w:ascii="MS UI Gothic" w:eastAsia="MS UI Gothic"/>
          <w:w w:val="80"/>
        </w:rPr>
        <w:t xml:space="preserve">ꎬ </w:t>
      </w:r>
      <w:r>
        <w:t>构成违反治安管理行为的</w:t>
      </w:r>
      <w:r>
        <w:rPr>
          <w:rFonts w:hint="eastAsia" w:ascii="MS UI Gothic" w:eastAsia="MS UI Gothic"/>
          <w:w w:val="80"/>
        </w:rPr>
        <w:t xml:space="preserve">ꎬ </w:t>
      </w:r>
      <w:r>
        <w:t>由公安机关依法给予处罚</w:t>
      </w:r>
      <w:r>
        <w:rPr>
          <w:rFonts w:hint="eastAsia" w:ascii="MS UI Gothic" w:eastAsia="MS UI Gothic"/>
          <w:w w:val="80"/>
        </w:rPr>
        <w:t>ꎮ</w:t>
      </w:r>
    </w:p>
    <w:p>
      <w:pPr>
        <w:pStyle w:val="6"/>
        <w:spacing w:line="295" w:lineRule="auto"/>
        <w:ind w:right="440"/>
        <w:rPr>
          <w:rFonts w:hint="eastAsia" w:ascii="MS UI Gothic" w:eastAsia="MS UI Gothic"/>
        </w:rPr>
      </w:pPr>
      <w:r>
        <w:t>第六十七条 单位或者个人违反本法规定</w:t>
      </w:r>
      <w:r>
        <w:rPr>
          <w:rFonts w:hint="eastAsia" w:ascii="MS UI Gothic" w:eastAsia="MS UI Gothic"/>
          <w:w w:val="80"/>
        </w:rPr>
        <w:t xml:space="preserve">ꎬ </w:t>
      </w:r>
      <w:r>
        <w:t>导致突发事件发生或者危害扩大</w:t>
      </w:r>
      <w:r>
        <w:rPr>
          <w:rFonts w:hint="eastAsia" w:ascii="MS UI Gothic" w:eastAsia="MS UI Gothic"/>
          <w:w w:val="80"/>
        </w:rPr>
        <w:t>ꎬ</w:t>
      </w:r>
      <w:r>
        <w:t>给他人人身</w:t>
      </w:r>
      <w:r>
        <w:rPr>
          <w:rFonts w:hint="eastAsia" w:ascii="MS UI Gothic" w:eastAsia="MS UI Gothic"/>
          <w:w w:val="80"/>
        </w:rPr>
        <w:t xml:space="preserve">、 </w:t>
      </w:r>
      <w:r>
        <w:t>财产造成损害的</w:t>
      </w:r>
      <w:r>
        <w:rPr>
          <w:rFonts w:hint="eastAsia" w:ascii="MS UI Gothic" w:eastAsia="MS UI Gothic"/>
          <w:w w:val="80"/>
        </w:rPr>
        <w:t xml:space="preserve">ꎬ </w:t>
      </w:r>
      <w:r>
        <w:t>应当依法承担民事责任</w:t>
      </w:r>
      <w:r>
        <w:rPr>
          <w:rFonts w:hint="eastAsia" w:ascii="MS UI Gothic" w:eastAsia="MS UI Gothic"/>
          <w:w w:val="80"/>
        </w:rPr>
        <w:t>ꎮ</w:t>
      </w:r>
    </w:p>
    <w:p>
      <w:pPr>
        <w:pStyle w:val="6"/>
        <w:spacing w:line="295" w:lineRule="auto"/>
        <w:ind w:right="442"/>
        <w:rPr>
          <w:rFonts w:hint="eastAsia" w:ascii="MS UI Gothic" w:eastAsia="MS UI Gothic"/>
        </w:rPr>
      </w:pPr>
      <w:r>
        <w:t>第六十八条 违反本法规定</w:t>
      </w:r>
      <w:r>
        <w:rPr>
          <w:rFonts w:hint="eastAsia" w:ascii="MS UI Gothic" w:eastAsia="MS UI Gothic"/>
          <w:w w:val="80"/>
        </w:rPr>
        <w:t xml:space="preserve">ꎬ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tabs>
          <w:tab w:val="left" w:pos="2011"/>
          <w:tab w:val="left" w:pos="2639"/>
        </w:tabs>
        <w:spacing w:before="146"/>
        <w:ind w:left="1172" w:firstLine="0"/>
        <w:jc w:val="left"/>
      </w:pPr>
      <w:r>
        <w:rPr>
          <w:spacing w:val="3"/>
          <w:w w:val="105"/>
        </w:rPr>
        <w:t>第七</w:t>
      </w:r>
      <w:r>
        <w:rPr>
          <w:w w:val="105"/>
        </w:rPr>
        <w:t>章</w:t>
      </w:r>
      <w:r>
        <w:rPr>
          <w:w w:val="105"/>
        </w:rPr>
        <w:tab/>
      </w:r>
      <w:r>
        <w:rPr>
          <w:w w:val="105"/>
        </w:rPr>
        <w:t>附</w:t>
      </w:r>
      <w:r>
        <w:rPr>
          <w:w w:val="105"/>
        </w:rPr>
        <w:tab/>
      </w:r>
      <w:r>
        <w:rPr>
          <w:w w:val="105"/>
        </w:rPr>
        <w:t>则</w:t>
      </w:r>
    </w:p>
    <w:p>
      <w:pPr>
        <w:pStyle w:val="6"/>
        <w:spacing w:before="215" w:line="295" w:lineRule="auto"/>
        <w:ind w:right="440"/>
        <w:rPr>
          <w:rFonts w:hint="eastAsia" w:ascii="MS UI Gothic" w:eastAsia="MS UI Gothic"/>
        </w:rPr>
      </w:pPr>
      <w:r>
        <w:rPr>
          <w:spacing w:val="11"/>
        </w:rPr>
        <w:t>第六十九条  发生特别重大突发事</w:t>
      </w:r>
      <w:r>
        <w:rPr>
          <w:spacing w:val="3"/>
        </w:rPr>
        <w:t>件</w:t>
      </w:r>
      <w:r>
        <w:rPr>
          <w:rFonts w:hint="eastAsia" w:ascii="MS UI Gothic" w:eastAsia="MS UI Gothic"/>
          <w:spacing w:val="7"/>
          <w:w w:val="80"/>
        </w:rPr>
        <w:t xml:space="preserve">ꎬ </w:t>
      </w:r>
      <w:r>
        <w:rPr>
          <w:spacing w:val="3"/>
        </w:rPr>
        <w:t>对人民生命财产安全</w:t>
      </w:r>
      <w:r>
        <w:rPr>
          <w:rFonts w:hint="eastAsia" w:ascii="MS UI Gothic" w:eastAsia="MS UI Gothic"/>
          <w:spacing w:val="7"/>
          <w:w w:val="80"/>
        </w:rPr>
        <w:t xml:space="preserve">、 </w:t>
      </w:r>
      <w:r>
        <w:rPr>
          <w:spacing w:val="3"/>
        </w:rPr>
        <w:t>国家安全</w:t>
      </w:r>
      <w:r>
        <w:rPr>
          <w:rFonts w:hint="eastAsia" w:ascii="MS UI Gothic" w:eastAsia="MS UI Gothic"/>
          <w:spacing w:val="7"/>
          <w:w w:val="80"/>
        </w:rPr>
        <w:t xml:space="preserve">、 </w:t>
      </w:r>
      <w:r>
        <w:t>公</w:t>
      </w:r>
      <w:r>
        <w:rPr>
          <w:spacing w:val="3"/>
        </w:rPr>
        <w:t>共安全</w:t>
      </w:r>
      <w:r>
        <w:rPr>
          <w:rFonts w:hint="eastAsia" w:ascii="MS UI Gothic" w:eastAsia="MS UI Gothic"/>
          <w:spacing w:val="16"/>
          <w:w w:val="80"/>
        </w:rPr>
        <w:t xml:space="preserve">、 </w:t>
      </w:r>
      <w:r>
        <w:rPr>
          <w:spacing w:val="2"/>
        </w:rPr>
        <w:t>环境安全或者社会秩序构成重大</w:t>
      </w:r>
      <w:r>
        <w:rPr>
          <w:spacing w:val="3"/>
        </w:rPr>
        <w:t>威胁</w:t>
      </w:r>
      <w:r>
        <w:rPr>
          <w:rFonts w:hint="eastAsia" w:ascii="MS UI Gothic" w:eastAsia="MS UI Gothic"/>
          <w:spacing w:val="8"/>
          <w:w w:val="80"/>
        </w:rPr>
        <w:t xml:space="preserve">ꎬ </w:t>
      </w:r>
      <w:r>
        <w:rPr>
          <w:spacing w:val="8"/>
        </w:rPr>
        <w:t>采取本法和其他有关法律</w:t>
      </w:r>
      <w:r>
        <w:rPr>
          <w:rFonts w:hint="eastAsia" w:ascii="MS UI Gothic" w:eastAsia="MS UI Gothic"/>
          <w:spacing w:val="13"/>
          <w:w w:val="80"/>
        </w:rPr>
        <w:t xml:space="preserve">、 </w:t>
      </w:r>
      <w:r>
        <w:rPr>
          <w:spacing w:val="9"/>
        </w:rPr>
        <w:t>法规</w:t>
      </w:r>
      <w:r>
        <w:rPr>
          <w:rFonts w:hint="eastAsia" w:ascii="MS UI Gothic" w:eastAsia="MS UI Gothic"/>
          <w:w w:val="80"/>
        </w:rPr>
        <w:t>、</w:t>
      </w:r>
      <w:r>
        <w:rPr>
          <w:spacing w:val="2"/>
        </w:rPr>
        <w:t>规章规定的应急处置措施不能消除或者有</w:t>
      </w:r>
      <w:r>
        <w:rPr>
          <w:spacing w:val="3"/>
        </w:rPr>
        <w:t>效控制</w:t>
      </w:r>
      <w:r>
        <w:rPr>
          <w:rFonts w:hint="eastAsia" w:ascii="MS UI Gothic" w:eastAsia="MS UI Gothic"/>
          <w:spacing w:val="10"/>
          <w:w w:val="80"/>
        </w:rPr>
        <w:t xml:space="preserve">、 </w:t>
      </w:r>
      <w:r>
        <w:rPr>
          <w:spacing w:val="3"/>
        </w:rPr>
        <w:t>减轻其严重社会危害</w:t>
      </w:r>
      <w:r>
        <w:rPr>
          <w:rFonts w:hint="eastAsia" w:ascii="MS UI Gothic" w:eastAsia="MS UI Gothic"/>
          <w:spacing w:val="11"/>
          <w:w w:val="80"/>
        </w:rPr>
        <w:t xml:space="preserve">ꎬ </w:t>
      </w:r>
      <w:r>
        <w:rPr>
          <w:spacing w:val="2"/>
        </w:rPr>
        <w:t>需要进入</w:t>
      </w:r>
      <w:r>
        <w:rPr>
          <w:spacing w:val="3"/>
        </w:rPr>
        <w:t>紧急状态的</w:t>
      </w:r>
      <w:r>
        <w:rPr>
          <w:rFonts w:hint="eastAsia" w:ascii="MS UI Gothic" w:eastAsia="MS UI Gothic"/>
          <w:spacing w:val="19"/>
          <w:w w:val="80"/>
        </w:rPr>
        <w:t xml:space="preserve">ꎬ </w:t>
      </w:r>
      <w:r>
        <w:rPr>
          <w:spacing w:val="2"/>
        </w:rPr>
        <w:t>由全国人民代表大会常务委员会或者国务院依照宪法和其他有关法律</w:t>
      </w:r>
      <w:r>
        <w:rPr>
          <w:spacing w:val="3"/>
        </w:rPr>
        <w:t>规定的权限和程序决定</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紧急状态期间采取的非常措施</w:t>
      </w:r>
      <w:r>
        <w:rPr>
          <w:rFonts w:hint="eastAsia" w:ascii="MS UI Gothic" w:eastAsia="MS UI Gothic"/>
          <w:spacing w:val="15"/>
          <w:w w:val="80"/>
        </w:rPr>
        <w:t xml:space="preserve">ꎬ </w:t>
      </w:r>
      <w:r>
        <w:rPr>
          <w:spacing w:val="1"/>
        </w:rPr>
        <w:t>依照</w:t>
      </w:r>
      <w:r>
        <w:rPr>
          <w:spacing w:val="2"/>
        </w:rPr>
        <w:t>有关法律规定执行或者由全国人民代表大</w:t>
      </w:r>
      <w:r>
        <w:rPr>
          <w:spacing w:val="3"/>
          <w:w w:val="105"/>
        </w:rPr>
        <w:t>会常务委员会另行规定</w:t>
      </w:r>
      <w:r>
        <w:rPr>
          <w:rFonts w:hint="eastAsia" w:ascii="MS UI Gothic" w:eastAsia="MS UI Gothic"/>
          <w:w w:val="80"/>
        </w:rPr>
        <w:t>ꎮ</w:t>
      </w:r>
    </w:p>
    <w:p>
      <w:pPr>
        <w:pStyle w:val="6"/>
        <w:spacing w:line="295" w:lineRule="auto"/>
        <w:ind w:right="442"/>
        <w:rPr>
          <w:rFonts w:hint="eastAsia" w:ascii="MS UI Gothic" w:eastAsia="MS UI Gothic"/>
        </w:rPr>
      </w:pPr>
      <w:r>
        <w:rPr>
          <w:w w:val="95"/>
        </w:rPr>
        <w:t xml:space="preserve">第七十条 本法自 </w:t>
      </w:r>
      <w:r>
        <w:rPr>
          <w:rFonts w:hint="eastAsia" w:ascii="MS UI Gothic" w:eastAsia="MS UI Gothic"/>
          <w:w w:val="95"/>
        </w:rPr>
        <w:t xml:space="preserve">２００７ </w:t>
      </w:r>
      <w:r>
        <w:rPr>
          <w:w w:val="95"/>
        </w:rPr>
        <w:t xml:space="preserve">年 </w:t>
      </w:r>
      <w:r>
        <w:rPr>
          <w:rFonts w:hint="eastAsia" w:ascii="MS UI Gothic" w:eastAsia="MS UI Gothic"/>
          <w:w w:val="95"/>
        </w:rPr>
        <w:t xml:space="preserve">１１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1530" w:right="0" w:firstLine="0"/>
        <w:jc w:val="center"/>
        <w:rPr>
          <w:sz w:val="17"/>
        </w:rPr>
      </w:pPr>
      <w:r>
        <w:rPr>
          <w:sz w:val="17"/>
        </w:rPr>
        <w:t>三</w:t>
      </w:r>
      <w:r>
        <w:rPr>
          <w:rFonts w:hint="eastAsia" w:ascii="Microsoft Yi Baiti" w:eastAsia="Microsoft Yi Baiti"/>
          <w:sz w:val="17"/>
        </w:rPr>
        <w:t xml:space="preserve">、 </w:t>
      </w:r>
      <w:r>
        <w:rPr>
          <w:sz w:val="17"/>
        </w:rPr>
        <w:t>应急管理基本法</w:t>
      </w:r>
    </w:p>
    <w:p>
      <w:pPr>
        <w:pStyle w:val="6"/>
        <w:ind w:left="0" w:firstLine="0"/>
        <w:jc w:val="left"/>
        <w:rPr>
          <w:sz w:val="24"/>
        </w:rPr>
      </w:pPr>
    </w:p>
    <w:p>
      <w:pPr>
        <w:pStyle w:val="6"/>
        <w:spacing w:before="1"/>
        <w:ind w:left="0" w:firstLine="0"/>
        <w:jc w:val="left"/>
        <w:rPr>
          <w:sz w:val="23"/>
        </w:rPr>
      </w:pPr>
    </w:p>
    <w:p>
      <w:pPr>
        <w:pStyle w:val="4"/>
        <w:spacing w:before="0"/>
        <w:ind w:left="1504"/>
        <w:rPr>
          <w:rFonts w:hint="eastAsia" w:ascii="Microsoft Yi Baiti" w:eastAsia="Microsoft Yi Baiti"/>
        </w:rPr>
      </w:pPr>
      <w:r>
        <w:rPr>
          <w:spacing w:val="-1"/>
        </w:rPr>
        <w:t xml:space="preserve">国家突发公共事件总体应急预案 </w:t>
      </w:r>
      <w:r>
        <w:rPr>
          <w:rFonts w:hint="eastAsia" w:ascii="Microsoft Yi Baiti" w:eastAsia="Microsoft Yi Baiti"/>
          <w:spacing w:val="3"/>
        </w:rPr>
        <w:t>(</w:t>
      </w:r>
      <w:r>
        <w:rPr>
          <w:rFonts w:hint="eastAsia" w:ascii="MS UI Gothic" w:eastAsia="MS UI Gothic"/>
          <w:spacing w:val="-7"/>
        </w:rPr>
        <w:t xml:space="preserve">２００６ </w:t>
      </w:r>
      <w:r>
        <w:rPr>
          <w:spacing w:val="5"/>
        </w:rPr>
        <w:t>年公布</w:t>
      </w:r>
      <w:r>
        <w:rPr>
          <w:rFonts w:hint="eastAsia" w:ascii="Microsoft Yi Baiti" w:eastAsia="Microsoft Yi Baiti"/>
        </w:rPr>
        <w:t>)</w:t>
      </w:r>
    </w:p>
    <w:p>
      <w:pPr>
        <w:pStyle w:val="6"/>
        <w:spacing w:before="159"/>
        <w:ind w:left="213" w:firstLine="0"/>
        <w:jc w:val="left"/>
        <w:rPr>
          <w:rFonts w:hint="eastAsia" w:ascii="MS UI Gothic" w:eastAsia="MS UI Gothic"/>
        </w:rPr>
      </w:pPr>
      <w:r>
        <w:br w:type="column"/>
      </w:r>
      <w:r>
        <w:rPr>
          <w:rFonts w:hint="eastAsia" w:ascii="MS UI Gothic" w:eastAsia="MS UI Gothic"/>
          <w:spacing w:val="1"/>
          <w:w w:val="75"/>
        </w:rPr>
        <w:t>４５</w:t>
      </w:r>
    </w:p>
    <w:p>
      <w:pPr>
        <w:spacing w:after="0"/>
        <w:jc w:val="left"/>
        <w:rPr>
          <w:rFonts w:hint="eastAsia" w:ascii="MS UI Gothic" w:eastAsia="MS UI Gothic"/>
        </w:rPr>
        <w:sectPr>
          <w:pgSz w:w="10500" w:h="14750"/>
          <w:pgMar w:top="960" w:right="980" w:bottom="280" w:left="980" w:header="720" w:footer="720" w:gutter="0"/>
          <w:cols w:equalWidth="0" w:num="2">
            <w:col w:w="7313" w:space="40"/>
            <w:col w:w="1187"/>
          </w:cols>
        </w:sectPr>
      </w:pPr>
    </w:p>
    <w:p>
      <w:pPr>
        <w:pStyle w:val="6"/>
        <w:ind w:left="0" w:firstLine="0"/>
        <w:jc w:val="left"/>
        <w:rPr>
          <w:rFonts w:ascii="MS UI Gothic"/>
          <w:sz w:val="15"/>
        </w:rPr>
      </w:pPr>
    </w:p>
    <w:p>
      <w:pPr>
        <w:pStyle w:val="6"/>
        <w:spacing w:before="174" w:line="295" w:lineRule="auto"/>
        <w:ind w:left="440" w:right="126"/>
        <w:jc w:val="left"/>
        <w:rPr>
          <w:rFonts w:hint="eastAsia" w:ascii="Microsoft Yi Baiti" w:hAnsi="Microsoft Yi Baiti" w:eastAsia="Microsoft Yi Baiti"/>
        </w:rPr>
      </w:pPr>
      <w:r>
        <w:pict>
          <v:shape id="_x0000_s1186" o:spid="_x0000_s1186" style="position:absolute;left:0pt;margin-left:0pt;margin-top:622.55pt;height:1.75pt;width:398.25pt;mso-position-horizontal-relative:page;z-index:251718656;mso-width-relative:page;mso-height-relative:page;" filled="f" stroked="t" coordorigin="0,12451" coordsize="7965,35" path="m1419,-1035l9384,-1035m1419,-1070l9384,-1070e">
            <v:path arrowok="t"/>
            <v:fill on="f" focussize="0,0"/>
            <v:stroke weight="0.388031496062992pt" color="#231F20"/>
            <v:imagedata o:title=""/>
            <o:lock v:ext="edit"/>
          </v:shape>
        </w:pict>
      </w:r>
      <w:r>
        <w:rPr>
          <w:rFonts w:hint="eastAsia" w:ascii="Microsoft Yi Baiti" w:hAnsi="Microsoft Yi Baiti" w:eastAsia="Microsoft Yi Baiti"/>
          <w:spacing w:val="2"/>
        </w:rPr>
        <w:t>(</w:t>
      </w:r>
      <w:r>
        <w:rPr>
          <w:rFonts w:hint="eastAsia" w:ascii="MS UI Gothic" w:hAnsi="MS UI Gothic" w:eastAsia="MS UI Gothic"/>
          <w:spacing w:val="-2"/>
        </w:rPr>
        <w:t xml:space="preserve">２００５ </w:t>
      </w:r>
      <w:r>
        <w:rPr>
          <w:spacing w:val="-31"/>
        </w:rPr>
        <w:t xml:space="preserve">年 </w:t>
      </w:r>
      <w:r>
        <w:rPr>
          <w:rFonts w:hint="eastAsia" w:ascii="MS UI Gothic" w:hAnsi="MS UI Gothic" w:eastAsia="MS UI Gothic"/>
          <w:spacing w:val="-9"/>
        </w:rPr>
        <w:t xml:space="preserve">１ </w:t>
      </w:r>
      <w:r>
        <w:rPr>
          <w:spacing w:val="-31"/>
        </w:rPr>
        <w:t xml:space="preserve">月 </w:t>
      </w:r>
      <w:r>
        <w:rPr>
          <w:rFonts w:hint="eastAsia" w:ascii="MS UI Gothic" w:hAnsi="MS UI Gothic" w:eastAsia="MS UI Gothic"/>
          <w:spacing w:val="-6"/>
        </w:rPr>
        <w:t xml:space="preserve">２６ </w:t>
      </w:r>
      <w:r>
        <w:rPr>
          <w:spacing w:val="3"/>
        </w:rPr>
        <w:t>日</w:t>
      </w:r>
      <w:r>
        <w:rPr>
          <w:rFonts w:hint="eastAsia" w:ascii="Microsoft Yi Baiti" w:hAnsi="Microsoft Yi Baiti" w:eastAsia="Microsoft Yi Baiti"/>
          <w:spacing w:val="-4"/>
        </w:rPr>
        <w:t xml:space="preserve">ꎬ </w:t>
      </w:r>
      <w:r>
        <w:rPr>
          <w:spacing w:val="-11"/>
        </w:rPr>
        <w:t xml:space="preserve">国务院第 </w:t>
      </w:r>
      <w:r>
        <w:rPr>
          <w:rFonts w:hint="eastAsia" w:ascii="MS UI Gothic" w:hAnsi="MS UI Gothic" w:eastAsia="MS UI Gothic"/>
          <w:spacing w:val="-6"/>
        </w:rPr>
        <w:t xml:space="preserve">７９ </w:t>
      </w:r>
      <w:r>
        <w:rPr>
          <w:spacing w:val="-1"/>
        </w:rPr>
        <w:t xml:space="preserve">次常务会议通过了 </w:t>
      </w:r>
      <w:r>
        <w:rPr>
          <w:rFonts w:hint="eastAsia" w:ascii="Microsoft Yi Baiti" w:hAnsi="Microsoft Yi Baiti" w:eastAsia="Microsoft Yi Baiti"/>
          <w:spacing w:val="-36"/>
        </w:rPr>
        <w:t xml:space="preserve">« </w:t>
      </w:r>
      <w:r>
        <w:rPr>
          <w:spacing w:val="3"/>
        </w:rPr>
        <w:t>国家突发公共事件总体应急预案</w:t>
      </w:r>
      <w:r>
        <w:rPr>
          <w:rFonts w:hint="eastAsia" w:ascii="Microsoft Yi Baiti" w:hAnsi="Microsoft Yi Baiti" w:eastAsia="Microsoft Yi Baiti"/>
          <w:spacing w:val="-21"/>
        </w:rPr>
        <w:t xml:space="preserve">» ꎬ « </w:t>
      </w:r>
      <w:r>
        <w:rPr>
          <w:spacing w:val="3"/>
        </w:rPr>
        <w:t>国家突发公共事件总体应急预案</w:t>
      </w:r>
      <w:r>
        <w:rPr>
          <w:rFonts w:hint="eastAsia" w:ascii="Microsoft Yi Baiti" w:hAnsi="Microsoft Yi Baiti" w:eastAsia="Microsoft Yi Baiti"/>
          <w:spacing w:val="18"/>
        </w:rPr>
        <w:t xml:space="preserve">» </w:t>
      </w:r>
      <w:r>
        <w:rPr>
          <w:spacing w:val="-26"/>
        </w:rPr>
        <w:t xml:space="preserve">在 </w:t>
      </w:r>
      <w:r>
        <w:rPr>
          <w:rFonts w:hint="eastAsia" w:ascii="MS UI Gothic" w:hAnsi="MS UI Gothic" w:eastAsia="MS UI Gothic"/>
          <w:spacing w:val="-1"/>
        </w:rPr>
        <w:t xml:space="preserve">２００６ </w:t>
      </w:r>
      <w:r>
        <w:rPr>
          <w:spacing w:val="-25"/>
        </w:rPr>
        <w:t xml:space="preserve">年 </w:t>
      </w:r>
      <w:r>
        <w:rPr>
          <w:rFonts w:hint="eastAsia" w:ascii="MS UI Gothic" w:hAnsi="MS UI Gothic" w:eastAsia="MS UI Gothic"/>
          <w:spacing w:val="-2"/>
        </w:rPr>
        <w:t xml:space="preserve">１ </w:t>
      </w:r>
      <w:r>
        <w:rPr>
          <w:spacing w:val="-26"/>
        </w:rPr>
        <w:t xml:space="preserve">月 </w:t>
      </w:r>
      <w:r>
        <w:rPr>
          <w:rFonts w:hint="eastAsia" w:ascii="MS UI Gothic" w:hAnsi="MS UI Gothic" w:eastAsia="MS UI Gothic"/>
          <w:spacing w:val="-2"/>
        </w:rPr>
        <w:t xml:space="preserve">８ </w:t>
      </w:r>
      <w:r>
        <w:rPr>
          <w:spacing w:val="3"/>
        </w:rPr>
        <w:t>日发布并实施</w:t>
      </w:r>
      <w:r>
        <w:rPr>
          <w:rFonts w:hint="eastAsia" w:ascii="Microsoft Yi Baiti" w:hAnsi="Microsoft Yi Baiti" w:eastAsia="Microsoft Yi Baiti"/>
        </w:rPr>
        <w:t>)</w:t>
      </w:r>
    </w:p>
    <w:p>
      <w:pPr>
        <w:pStyle w:val="6"/>
        <w:spacing w:before="5"/>
        <w:ind w:left="0" w:firstLine="0"/>
        <w:jc w:val="left"/>
        <w:rPr>
          <w:rFonts w:ascii="Microsoft Yi Baiti"/>
          <w:sz w:val="13"/>
        </w:rPr>
      </w:pPr>
    </w:p>
    <w:p>
      <w:pPr>
        <w:spacing w:after="0"/>
        <w:jc w:val="left"/>
        <w:rPr>
          <w:rFonts w:ascii="Microsoft Yi Baiti"/>
          <w:sz w:val="13"/>
        </w:rPr>
        <w:sectPr>
          <w:type w:val="continuous"/>
          <w:pgSz w:w="10500" w:h="14750"/>
          <w:pgMar w:top="1400" w:right="980" w:bottom="280" w:left="980" w:header="720" w:footer="720" w:gutter="0"/>
        </w:sectPr>
      </w:pPr>
    </w:p>
    <w:p>
      <w:pPr>
        <w:pStyle w:val="6"/>
        <w:tabs>
          <w:tab w:val="left" w:pos="1172"/>
        </w:tabs>
        <w:spacing w:before="175"/>
        <w:ind w:left="854" w:firstLine="0"/>
        <w:jc w:val="left"/>
      </w:pPr>
      <w:r>
        <w:rPr>
          <w:rFonts w:hint="eastAsia" w:ascii="MS UI Gothic" w:eastAsia="MS UI Gothic"/>
        </w:rPr>
        <w:t>１</w:t>
      </w:r>
      <w:r>
        <w:rPr>
          <w:rFonts w:hint="eastAsia" w:ascii="MS UI Gothic" w:eastAsia="MS UI Gothic"/>
        </w:rPr>
        <w:tab/>
      </w:r>
      <w:r>
        <w:rPr>
          <w:spacing w:val="1"/>
        </w:rPr>
        <w:t>总则</w:t>
      </w:r>
    </w:p>
    <w:p>
      <w:pPr>
        <w:pStyle w:val="6"/>
        <w:tabs>
          <w:tab w:val="left" w:pos="1378"/>
        </w:tabs>
        <w:spacing w:before="56"/>
        <w:ind w:left="854" w:firstLine="0"/>
        <w:jc w:val="left"/>
      </w:pPr>
      <w:r>
        <w:rPr>
          <w:rFonts w:hint="eastAsia" w:ascii="MS UI Gothic" w:eastAsia="MS UI Gothic"/>
        </w:rPr>
        <w:t>１</w:t>
      </w:r>
      <w:r>
        <w:rPr>
          <w:rFonts w:hint="eastAsia" w:ascii="MS UI Gothic" w:eastAsia="MS UI Gothic"/>
          <w:spacing w:val="-16"/>
        </w:rPr>
        <w:t xml:space="preserve"> １</w:t>
      </w:r>
      <w:r>
        <w:rPr>
          <w:rFonts w:hint="eastAsia" w:ascii="MS UI Gothic" w:eastAsia="MS UI Gothic"/>
        </w:rPr>
        <w:tab/>
      </w:r>
      <w:r>
        <w:rPr>
          <w:spacing w:val="2"/>
        </w:rPr>
        <w:t>编制目的</w:t>
      </w:r>
    </w:p>
    <w:p>
      <w:pPr>
        <w:pStyle w:val="6"/>
        <w:spacing w:before="56" w:line="292" w:lineRule="auto"/>
        <w:ind w:left="440" w:right="1"/>
        <w:rPr>
          <w:rFonts w:hint="eastAsia" w:ascii="MS UI Gothic" w:eastAsia="MS UI Gothic"/>
        </w:rPr>
      </w:pPr>
      <w:r>
        <w:t>提高政府保障公共安全和处置突发公共事件的能力</w:t>
      </w:r>
      <w:r>
        <w:rPr>
          <w:rFonts w:hint="eastAsia" w:ascii="MS UI Gothic" w:eastAsia="MS UI Gothic"/>
          <w:w w:val="80"/>
        </w:rPr>
        <w:t xml:space="preserve">ꎬ </w:t>
      </w:r>
      <w:r>
        <w:t>最大程度地预防和减少突发公共事件及其造成的损害</w:t>
      </w:r>
      <w:r>
        <w:rPr>
          <w:rFonts w:hint="eastAsia" w:ascii="MS UI Gothic" w:eastAsia="MS UI Gothic"/>
          <w:w w:val="80"/>
        </w:rPr>
        <w:t xml:space="preserve">ꎬ </w:t>
      </w:r>
      <w:r>
        <w:t>保障公众的生命财产安全</w:t>
      </w:r>
      <w:r>
        <w:rPr>
          <w:rFonts w:hint="eastAsia" w:ascii="MS UI Gothic" w:eastAsia="MS UI Gothic"/>
          <w:w w:val="80"/>
        </w:rPr>
        <w:t xml:space="preserve">ꎬ </w:t>
      </w:r>
      <w:r>
        <w:t>维护国家安全和社会稳定</w:t>
      </w:r>
      <w:r>
        <w:rPr>
          <w:rFonts w:hint="eastAsia" w:ascii="MS UI Gothic" w:eastAsia="MS UI Gothic"/>
          <w:w w:val="80"/>
        </w:rPr>
        <w:t xml:space="preserve">ꎬ </w:t>
      </w:r>
      <w:r>
        <w:t>促进经济社会全面</w:t>
      </w:r>
      <w:r>
        <w:rPr>
          <w:rFonts w:hint="eastAsia" w:ascii="MS UI Gothic" w:eastAsia="MS UI Gothic"/>
          <w:w w:val="80"/>
        </w:rPr>
        <w:t xml:space="preserve">、 </w:t>
      </w:r>
      <w:r>
        <w:t>协调</w:t>
      </w:r>
      <w:r>
        <w:rPr>
          <w:rFonts w:hint="eastAsia" w:ascii="MS UI Gothic" w:eastAsia="MS UI Gothic"/>
          <w:w w:val="80"/>
        </w:rPr>
        <w:t xml:space="preserve">、 </w:t>
      </w:r>
      <w:r>
        <w:t>可持续发展</w:t>
      </w:r>
      <w:r>
        <w:rPr>
          <w:rFonts w:hint="eastAsia" w:ascii="MS UI Gothic" w:eastAsia="MS UI Gothic"/>
          <w:w w:val="80"/>
        </w:rPr>
        <w:t>ꎮ</w:t>
      </w:r>
    </w:p>
    <w:p>
      <w:pPr>
        <w:pStyle w:val="6"/>
        <w:tabs>
          <w:tab w:val="left" w:pos="1378"/>
        </w:tabs>
        <w:spacing w:line="255" w:lineRule="exact"/>
        <w:ind w:left="854" w:firstLine="0"/>
        <w:jc w:val="left"/>
      </w:pPr>
      <w:r>
        <w:rPr>
          <w:rFonts w:hint="eastAsia" w:ascii="MS UI Gothic" w:eastAsia="MS UI Gothic"/>
        </w:rPr>
        <w:t>１</w:t>
      </w:r>
      <w:r>
        <w:rPr>
          <w:rFonts w:hint="eastAsia" w:ascii="MS UI Gothic" w:eastAsia="MS UI Gothic"/>
          <w:spacing w:val="-16"/>
        </w:rPr>
        <w:t xml:space="preserve"> ２</w:t>
      </w:r>
      <w:r>
        <w:rPr>
          <w:rFonts w:hint="eastAsia" w:ascii="MS UI Gothic" w:eastAsia="MS UI Gothic"/>
        </w:rPr>
        <w:tab/>
      </w:r>
      <w:r>
        <w:rPr>
          <w:spacing w:val="2"/>
        </w:rPr>
        <w:t>编制依据</w:t>
      </w:r>
    </w:p>
    <w:p>
      <w:pPr>
        <w:pStyle w:val="6"/>
        <w:spacing w:before="54" w:line="292" w:lineRule="auto"/>
        <w:ind w:left="440" w:right="1"/>
        <w:rPr>
          <w:rFonts w:hint="eastAsia" w:ascii="MS UI Gothic" w:eastAsia="MS UI Gothic"/>
        </w:rPr>
      </w:pPr>
      <w:r>
        <w:t>依据宪法及有关法律</w:t>
      </w:r>
      <w:r>
        <w:rPr>
          <w:rFonts w:hint="eastAsia" w:ascii="MS UI Gothic" w:eastAsia="MS UI Gothic"/>
        </w:rPr>
        <w:t xml:space="preserve">、 </w:t>
      </w:r>
      <w:r>
        <w:t>行政法规</w:t>
      </w:r>
      <w:r>
        <w:rPr>
          <w:rFonts w:hint="eastAsia" w:ascii="MS UI Gothic" w:eastAsia="MS UI Gothic"/>
          <w:w w:val="80"/>
        </w:rPr>
        <w:t xml:space="preserve">ꎬ </w:t>
      </w:r>
      <w:r>
        <w:t>制定本预案</w:t>
      </w:r>
      <w:r>
        <w:rPr>
          <w:rFonts w:hint="eastAsia" w:ascii="MS UI Gothic" w:eastAsia="MS UI Gothic"/>
          <w:w w:val="80"/>
        </w:rPr>
        <w:t>ꎮ</w:t>
      </w:r>
    </w:p>
    <w:p>
      <w:pPr>
        <w:pStyle w:val="6"/>
        <w:tabs>
          <w:tab w:val="left" w:pos="1378"/>
        </w:tabs>
        <w:spacing w:line="256" w:lineRule="exact"/>
        <w:ind w:left="854" w:firstLine="0"/>
        <w:jc w:val="left"/>
      </w:pPr>
      <w:r>
        <w:rPr>
          <w:rFonts w:hint="eastAsia" w:ascii="MS UI Gothic" w:eastAsia="MS UI Gothic"/>
        </w:rPr>
        <w:t>１</w:t>
      </w:r>
      <w:r>
        <w:rPr>
          <w:rFonts w:hint="eastAsia" w:ascii="MS UI Gothic" w:eastAsia="MS UI Gothic"/>
          <w:spacing w:val="-16"/>
        </w:rPr>
        <w:t xml:space="preserve"> ３</w:t>
      </w:r>
      <w:r>
        <w:rPr>
          <w:rFonts w:hint="eastAsia" w:ascii="MS UI Gothic" w:eastAsia="MS UI Gothic"/>
        </w:rPr>
        <w:tab/>
      </w:r>
      <w:r>
        <w:rPr>
          <w:spacing w:val="2"/>
        </w:rPr>
        <w:t>分类分级</w:t>
      </w:r>
    </w:p>
    <w:p>
      <w:pPr>
        <w:pStyle w:val="6"/>
        <w:spacing w:before="57" w:line="292" w:lineRule="auto"/>
        <w:ind w:left="440"/>
        <w:rPr>
          <w:rFonts w:hint="eastAsia" w:ascii="MS UI Gothic" w:eastAsia="MS UI Gothic"/>
        </w:rPr>
      </w:pPr>
      <w:r>
        <w:t>本预案所称突发公共事件是指突然发生</w:t>
      </w:r>
      <w:r>
        <w:rPr>
          <w:rFonts w:hint="eastAsia" w:ascii="MS UI Gothic" w:eastAsia="MS UI Gothic"/>
          <w:w w:val="80"/>
        </w:rPr>
        <w:t xml:space="preserve">ꎬ </w:t>
      </w:r>
      <w:r>
        <w:t>造成或者可能造成重大人员伤亡</w:t>
      </w:r>
      <w:r>
        <w:rPr>
          <w:rFonts w:hint="eastAsia" w:ascii="MS UI Gothic" w:eastAsia="MS UI Gothic"/>
          <w:w w:val="80"/>
        </w:rPr>
        <w:t xml:space="preserve">、 </w:t>
      </w:r>
      <w:r>
        <w:t>财产损失</w:t>
      </w:r>
      <w:r>
        <w:rPr>
          <w:rFonts w:hint="eastAsia" w:ascii="MS UI Gothic" w:eastAsia="MS UI Gothic"/>
          <w:w w:val="80"/>
        </w:rPr>
        <w:t xml:space="preserve">、 </w:t>
      </w:r>
      <w:r>
        <w:t>生态环境破坏和严重社会危害</w:t>
      </w:r>
      <w:r>
        <w:rPr>
          <w:rFonts w:hint="eastAsia" w:ascii="MS UI Gothic" w:eastAsia="MS UI Gothic"/>
          <w:w w:val="80"/>
        </w:rPr>
        <w:t>ꎬ</w:t>
      </w:r>
      <w:r>
        <w:t>危及公共安全的紧急事件</w:t>
      </w:r>
      <w:r>
        <w:rPr>
          <w:rFonts w:hint="eastAsia" w:ascii="MS UI Gothic" w:eastAsia="MS UI Gothic"/>
          <w:w w:val="80"/>
        </w:rPr>
        <w:t>ꎮ</w:t>
      </w:r>
    </w:p>
    <w:p>
      <w:pPr>
        <w:pStyle w:val="6"/>
        <w:spacing w:line="292" w:lineRule="auto"/>
        <w:ind w:left="440" w:right="1"/>
        <w:rPr>
          <w:rFonts w:hint="eastAsia" w:ascii="MS UI Gothic" w:eastAsia="MS UI Gothic"/>
        </w:rPr>
      </w:pPr>
      <w:r>
        <w:rPr>
          <w:w w:val="105"/>
        </w:rPr>
        <w:t>根据突发公共事件的发生过程</w:t>
      </w:r>
      <w:r>
        <w:rPr>
          <w:rFonts w:hint="eastAsia" w:ascii="MS UI Gothic" w:eastAsia="MS UI Gothic"/>
          <w:w w:val="80"/>
        </w:rPr>
        <w:t xml:space="preserve">、 </w:t>
      </w:r>
      <w:r>
        <w:rPr>
          <w:w w:val="105"/>
        </w:rPr>
        <w:t>性质</w:t>
      </w:r>
      <w:r>
        <w:t>和机理</w:t>
      </w:r>
      <w:r>
        <w:rPr>
          <w:rFonts w:hint="eastAsia" w:ascii="MS UI Gothic" w:eastAsia="MS UI Gothic"/>
          <w:w w:val="80"/>
        </w:rPr>
        <w:t xml:space="preserve">ꎬ </w:t>
      </w:r>
      <w:r>
        <w:t>突发公共事件主要分为以下</w:t>
      </w:r>
      <w:r>
        <w:rPr>
          <w:w w:val="105"/>
        </w:rPr>
        <w:t>四类</w:t>
      </w:r>
      <w:r>
        <w:rPr>
          <w:rFonts w:hint="eastAsia" w:ascii="MS UI Gothic" w:eastAsia="MS UI Gothic"/>
          <w:w w:val="235"/>
        </w:rPr>
        <w:t>:</w:t>
      </w:r>
    </w:p>
    <w:p>
      <w:pPr>
        <w:pStyle w:val="6"/>
        <w:spacing w:line="292" w:lineRule="auto"/>
        <w:ind w:left="440"/>
        <w:rPr>
          <w:rFonts w:hint="eastAsia" w:ascii="MS UI Gothic" w:eastAsia="MS UI Gothic"/>
        </w:rPr>
      </w:pPr>
      <w:r>
        <w:rPr>
          <w:rFonts w:hint="eastAsia" w:ascii="MS UI Gothic" w:eastAsia="MS UI Gothic"/>
          <w:w w:val="168"/>
        </w:rPr>
        <w:t>(</w:t>
      </w:r>
      <w:r>
        <w:rPr>
          <w:rFonts w:hint="eastAsia" w:ascii="MS UI Gothic" w:eastAsia="MS UI Gothic"/>
          <w:w w:val="75"/>
        </w:rPr>
        <w:t>１</w:t>
      </w:r>
      <w:r>
        <w:rPr>
          <w:rFonts w:hint="eastAsia" w:ascii="MS UI Gothic" w:eastAsia="MS UI Gothic"/>
          <w:w w:val="168"/>
        </w:rPr>
        <w:t>)</w:t>
      </w:r>
      <w:r>
        <w:rPr>
          <w:rFonts w:hint="eastAsia" w:ascii="MS UI Gothic" w:eastAsia="MS UI Gothic"/>
        </w:rPr>
        <w:t xml:space="preserve">  </w:t>
      </w:r>
      <w:r>
        <w:rPr>
          <w:w w:val="102"/>
        </w:rPr>
        <w:t>自然灾害</w:t>
      </w:r>
      <w:r>
        <w:rPr>
          <w:rFonts w:hint="eastAsia" w:ascii="MS UI Gothic" w:eastAsia="MS UI Gothic"/>
          <w:w w:val="51"/>
        </w:rPr>
        <w:t>ꎮ</w:t>
      </w:r>
      <w:r>
        <w:rPr>
          <w:rFonts w:hint="eastAsia" w:ascii="MS UI Gothic" w:eastAsia="MS UI Gothic"/>
        </w:rPr>
        <w:t xml:space="preserve">  </w:t>
      </w:r>
      <w:r>
        <w:rPr>
          <w:w w:val="102"/>
        </w:rPr>
        <w:t>主要包括水旱灾害</w:t>
      </w:r>
      <w:r>
        <w:rPr>
          <w:rFonts w:hint="eastAsia" w:ascii="MS UI Gothic" w:eastAsia="MS UI Gothic"/>
          <w:w w:val="51"/>
        </w:rPr>
        <w:t>ꎬ</w:t>
      </w:r>
      <w:r>
        <w:t>气象灾害</w:t>
      </w:r>
      <w:r>
        <w:rPr>
          <w:rFonts w:hint="eastAsia" w:ascii="MS UI Gothic" w:eastAsia="MS UI Gothic"/>
          <w:w w:val="90"/>
        </w:rPr>
        <w:t xml:space="preserve">ꎬ </w:t>
      </w:r>
      <w:r>
        <w:t>地震灾害</w:t>
      </w:r>
      <w:r>
        <w:rPr>
          <w:rFonts w:hint="eastAsia" w:ascii="MS UI Gothic" w:eastAsia="MS UI Gothic"/>
          <w:w w:val="90"/>
        </w:rPr>
        <w:t xml:space="preserve">ꎬ </w:t>
      </w:r>
      <w:r>
        <w:t>地质灾害</w:t>
      </w:r>
      <w:r>
        <w:rPr>
          <w:rFonts w:hint="eastAsia" w:ascii="MS UI Gothic" w:eastAsia="MS UI Gothic"/>
          <w:w w:val="90"/>
        </w:rPr>
        <w:t xml:space="preserve">ꎬ </w:t>
      </w:r>
      <w:r>
        <w:t>海洋灾害</w:t>
      </w:r>
      <w:r>
        <w:rPr>
          <w:rFonts w:hint="eastAsia" w:ascii="MS UI Gothic" w:eastAsia="MS UI Gothic"/>
          <w:w w:val="90"/>
        </w:rPr>
        <w:t xml:space="preserve">ꎬ </w:t>
      </w:r>
      <w:r>
        <w:t>生物灾害和森林草原火灾等</w:t>
      </w:r>
      <w:r>
        <w:rPr>
          <w:rFonts w:hint="eastAsia" w:ascii="MS UI Gothic" w:eastAsia="MS UI Gothic"/>
          <w:w w:val="90"/>
        </w:rPr>
        <w:t>ꎮ</w:t>
      </w:r>
    </w:p>
    <w:p>
      <w:pPr>
        <w:pStyle w:val="6"/>
        <w:spacing w:line="292" w:lineRule="auto"/>
        <w:ind w:left="440" w:right="1"/>
      </w:pPr>
      <w:r>
        <w:rPr>
          <w:rFonts w:hint="eastAsia" w:ascii="MS UI Gothic" w:eastAsia="MS UI Gothic"/>
          <w:w w:val="168"/>
        </w:rPr>
        <w:t>(</w:t>
      </w:r>
      <w:r>
        <w:rPr>
          <w:rFonts w:hint="eastAsia" w:ascii="MS UI Gothic" w:eastAsia="MS UI Gothic"/>
          <w:w w:val="75"/>
        </w:rPr>
        <w:t>２</w:t>
      </w:r>
      <w:r>
        <w:rPr>
          <w:rFonts w:hint="eastAsia" w:ascii="MS UI Gothic" w:eastAsia="MS UI Gothic"/>
          <w:w w:val="168"/>
        </w:rPr>
        <w:t>)</w:t>
      </w:r>
      <w:r>
        <w:rPr>
          <w:rFonts w:hint="eastAsia" w:ascii="MS UI Gothic" w:eastAsia="MS UI Gothic"/>
        </w:rPr>
        <w:t xml:space="preserve">  </w:t>
      </w:r>
      <w:r>
        <w:rPr>
          <w:w w:val="102"/>
        </w:rPr>
        <w:t>事故灾难</w:t>
      </w:r>
      <w:r>
        <w:rPr>
          <w:rFonts w:hint="eastAsia" w:ascii="MS UI Gothic" w:eastAsia="MS UI Gothic"/>
          <w:w w:val="51"/>
        </w:rPr>
        <w:t>ꎮ</w:t>
      </w:r>
      <w:r>
        <w:rPr>
          <w:rFonts w:hint="eastAsia" w:ascii="MS UI Gothic" w:eastAsia="MS UI Gothic"/>
        </w:rPr>
        <w:t xml:space="preserve">  </w:t>
      </w:r>
      <w:r>
        <w:rPr>
          <w:w w:val="102"/>
        </w:rPr>
        <w:t>主要包括工矿商贸</w:t>
      </w:r>
      <w:r>
        <w:t>等企业的各类</w:t>
      </w:r>
    </w:p>
    <w:p>
      <w:pPr>
        <w:pStyle w:val="6"/>
        <w:spacing w:line="292" w:lineRule="auto"/>
        <w:ind w:left="440" w:right="1"/>
        <w:rPr>
          <w:rFonts w:hint="eastAsia" w:ascii="MS UI Gothic" w:eastAsia="MS UI Gothic"/>
        </w:rPr>
      </w:pPr>
      <w:r>
        <w:t>安全事故</w:t>
      </w:r>
      <w:r>
        <w:rPr>
          <w:rFonts w:hint="eastAsia" w:ascii="MS UI Gothic" w:eastAsia="MS UI Gothic"/>
          <w:w w:val="80"/>
        </w:rPr>
        <w:t xml:space="preserve">ꎬ </w:t>
      </w:r>
      <w:r>
        <w:t>交通运输事故</w:t>
      </w:r>
      <w:r>
        <w:rPr>
          <w:rFonts w:hint="eastAsia" w:ascii="MS UI Gothic" w:eastAsia="MS UI Gothic"/>
          <w:w w:val="80"/>
        </w:rPr>
        <w:t xml:space="preserve">ꎬ </w:t>
      </w:r>
      <w:r>
        <w:t>公共设施和设备事故</w:t>
      </w:r>
      <w:r>
        <w:rPr>
          <w:rFonts w:hint="eastAsia" w:ascii="MS UI Gothic" w:eastAsia="MS UI Gothic"/>
          <w:w w:val="80"/>
        </w:rPr>
        <w:t xml:space="preserve">ꎬ </w:t>
      </w:r>
      <w:r>
        <w:t>环境污染和生态破坏事件等</w:t>
      </w:r>
      <w:r>
        <w:rPr>
          <w:rFonts w:hint="eastAsia" w:ascii="MS UI Gothic" w:eastAsia="MS UI Gothic"/>
          <w:w w:val="80"/>
        </w:rPr>
        <w:t>ꎮ</w:t>
      </w:r>
    </w:p>
    <w:p>
      <w:pPr>
        <w:pStyle w:val="6"/>
        <w:spacing w:line="292" w:lineRule="auto"/>
        <w:ind w:left="440" w:right="1"/>
        <w:rPr>
          <w:rFonts w:hint="eastAsia" w:ascii="MS UI Gothic" w:eastAsia="MS UI Gothic"/>
        </w:rPr>
      </w:pPr>
      <w:r>
        <w:rPr>
          <w:rFonts w:hint="eastAsia" w:ascii="MS UI Gothic" w:eastAsia="MS UI Gothic"/>
          <w:w w:val="168"/>
        </w:rPr>
        <w:t>(</w:t>
      </w:r>
      <w:r>
        <w:rPr>
          <w:rFonts w:hint="eastAsia" w:ascii="MS UI Gothic" w:eastAsia="MS UI Gothic"/>
          <w:w w:val="75"/>
        </w:rPr>
        <w:t>３</w:t>
      </w:r>
      <w:r>
        <w:rPr>
          <w:rFonts w:hint="eastAsia" w:ascii="MS UI Gothic" w:eastAsia="MS UI Gothic"/>
          <w:w w:val="168"/>
        </w:rPr>
        <w:t>)</w:t>
      </w:r>
      <w:r>
        <w:rPr>
          <w:rFonts w:hint="eastAsia" w:ascii="MS UI Gothic" w:eastAsia="MS UI Gothic"/>
        </w:rPr>
        <w:t xml:space="preserve">  </w:t>
      </w:r>
      <w:r>
        <w:rPr>
          <w:w w:val="102"/>
        </w:rPr>
        <w:t>公共卫生事件</w:t>
      </w:r>
      <w:r>
        <w:rPr>
          <w:rFonts w:hint="eastAsia" w:ascii="MS UI Gothic" w:eastAsia="MS UI Gothic"/>
          <w:w w:val="51"/>
        </w:rPr>
        <w:t>ꎮ</w:t>
      </w:r>
      <w:r>
        <w:rPr>
          <w:rFonts w:hint="eastAsia" w:ascii="MS UI Gothic" w:eastAsia="MS UI Gothic"/>
        </w:rPr>
        <w:t xml:space="preserve">  </w:t>
      </w:r>
      <w:r>
        <w:rPr>
          <w:w w:val="102"/>
        </w:rPr>
        <w:t>主要包括传染</w:t>
      </w:r>
      <w:r>
        <w:t>病疫情</w:t>
      </w:r>
      <w:r>
        <w:rPr>
          <w:rFonts w:hint="eastAsia" w:ascii="MS UI Gothic" w:eastAsia="MS UI Gothic"/>
          <w:w w:val="90"/>
        </w:rPr>
        <w:t xml:space="preserve">ꎬ </w:t>
      </w:r>
      <w:r>
        <w:t>群体性不明原因疾病</w:t>
      </w:r>
      <w:r>
        <w:rPr>
          <w:rFonts w:hint="eastAsia" w:ascii="MS UI Gothic" w:eastAsia="MS UI Gothic"/>
          <w:w w:val="90"/>
        </w:rPr>
        <w:t>ꎬ</w:t>
      </w:r>
    </w:p>
    <w:p>
      <w:pPr>
        <w:pStyle w:val="6"/>
        <w:spacing w:line="292" w:lineRule="auto"/>
        <w:ind w:left="440" w:right="1"/>
        <w:rPr>
          <w:rFonts w:hint="eastAsia" w:ascii="MS UI Gothic" w:eastAsia="MS UI Gothic"/>
        </w:rPr>
      </w:pPr>
      <w:r>
        <w:t>食品安全和职业危害</w:t>
      </w:r>
      <w:r>
        <w:rPr>
          <w:rFonts w:hint="eastAsia" w:ascii="MS UI Gothic" w:eastAsia="MS UI Gothic"/>
          <w:w w:val="80"/>
        </w:rPr>
        <w:t xml:space="preserve">ꎬ </w:t>
      </w:r>
      <w:r>
        <w:t>动物疫情</w:t>
      </w:r>
      <w:r>
        <w:rPr>
          <w:rFonts w:hint="eastAsia" w:ascii="MS UI Gothic" w:eastAsia="MS UI Gothic"/>
          <w:w w:val="80"/>
        </w:rPr>
        <w:t xml:space="preserve">ꎬ </w:t>
      </w:r>
      <w:r>
        <w:t>以及其他严重影响公众健康和生命安全的事件</w:t>
      </w:r>
      <w:r>
        <w:rPr>
          <w:rFonts w:hint="eastAsia" w:ascii="MS UI Gothic" w:eastAsia="MS UI Gothic"/>
          <w:w w:val="80"/>
        </w:rPr>
        <w:t>ꎮ</w:t>
      </w:r>
    </w:p>
    <w:p>
      <w:pPr>
        <w:pStyle w:val="6"/>
        <w:spacing w:line="256" w:lineRule="exact"/>
        <w:ind w:left="860" w:firstLine="0"/>
        <w:jc w:val="left"/>
      </w:pPr>
      <w:r>
        <w:rPr>
          <w:rFonts w:hint="eastAsia" w:ascii="MS UI Gothic" w:eastAsia="MS UI Gothic"/>
          <w:spacing w:val="15"/>
          <w:w w:val="168"/>
        </w:rPr>
        <w:t>(</w:t>
      </w:r>
      <w:r>
        <w:rPr>
          <w:rFonts w:hint="eastAsia" w:ascii="MS UI Gothic" w:eastAsia="MS UI Gothic"/>
          <w:spacing w:val="5"/>
          <w:w w:val="75"/>
        </w:rPr>
        <w:t>４</w:t>
      </w:r>
      <w:r>
        <w:rPr>
          <w:rFonts w:hint="eastAsia" w:ascii="MS UI Gothic" w:eastAsia="MS UI Gothic"/>
          <w:w w:val="168"/>
        </w:rPr>
        <w:t>)</w:t>
      </w:r>
      <w:r>
        <w:rPr>
          <w:rFonts w:hint="eastAsia" w:ascii="MS UI Gothic" w:eastAsia="MS UI Gothic"/>
          <w:spacing w:val="2"/>
        </w:rPr>
        <w:t xml:space="preserve">  </w:t>
      </w:r>
      <w:r>
        <w:rPr>
          <w:spacing w:val="14"/>
          <w:w w:val="102"/>
        </w:rPr>
        <w:t>社会安全事件</w:t>
      </w:r>
      <w:r>
        <w:rPr>
          <w:rFonts w:hint="eastAsia" w:ascii="MS UI Gothic" w:eastAsia="MS UI Gothic"/>
          <w:w w:val="51"/>
        </w:rPr>
        <w:t>ꎮ</w:t>
      </w:r>
      <w:r>
        <w:rPr>
          <w:rFonts w:hint="eastAsia" w:ascii="MS UI Gothic" w:eastAsia="MS UI Gothic"/>
          <w:spacing w:val="-3"/>
        </w:rPr>
        <w:t xml:space="preserve">  </w:t>
      </w:r>
      <w:r>
        <w:rPr>
          <w:spacing w:val="15"/>
          <w:w w:val="102"/>
        </w:rPr>
        <w:t>主要包括恐怖</w:t>
      </w:r>
    </w:p>
    <w:p>
      <w:pPr>
        <w:pStyle w:val="6"/>
        <w:spacing w:before="175" w:line="292" w:lineRule="auto"/>
        <w:ind w:left="381" w:right="126" w:firstLine="0"/>
        <w:rPr>
          <w:rFonts w:hint="eastAsia" w:ascii="MS UI Gothic" w:eastAsia="MS UI Gothic"/>
        </w:rPr>
      </w:pPr>
      <w:r>
        <w:br w:type="column"/>
      </w:r>
      <w:r>
        <w:t>袭击事件</w:t>
      </w:r>
      <w:r>
        <w:rPr>
          <w:rFonts w:hint="eastAsia" w:ascii="MS UI Gothic" w:eastAsia="MS UI Gothic"/>
          <w:w w:val="80"/>
        </w:rPr>
        <w:t xml:space="preserve">ꎬ </w:t>
      </w:r>
      <w:r>
        <w:t>经济安全事件和涉外突发事件等</w:t>
      </w:r>
      <w:r>
        <w:rPr>
          <w:rFonts w:hint="eastAsia" w:ascii="MS UI Gothic" w:eastAsia="MS UI Gothic"/>
          <w:w w:val="80"/>
        </w:rPr>
        <w:t>ꎮ</w:t>
      </w:r>
    </w:p>
    <w:p>
      <w:pPr>
        <w:pStyle w:val="6"/>
        <w:spacing w:line="292" w:lineRule="auto"/>
        <w:ind w:left="381" w:right="126"/>
        <w:rPr>
          <w:rFonts w:hint="eastAsia" w:ascii="MS UI Gothic" w:hAnsi="MS UI Gothic" w:eastAsia="MS UI Gothic"/>
        </w:rPr>
      </w:pPr>
      <w:r>
        <w:rPr>
          <w:spacing w:val="3"/>
          <w:w w:val="105"/>
        </w:rPr>
        <w:t>各类突发公共事件按照其性质</w:t>
      </w:r>
      <w:r>
        <w:rPr>
          <w:rFonts w:hint="eastAsia" w:ascii="MS UI Gothic" w:hAnsi="MS UI Gothic" w:eastAsia="MS UI Gothic"/>
          <w:spacing w:val="1"/>
          <w:w w:val="80"/>
        </w:rPr>
        <w:t xml:space="preserve">、 </w:t>
      </w:r>
      <w:r>
        <w:rPr>
          <w:spacing w:val="1"/>
          <w:w w:val="105"/>
        </w:rPr>
        <w:t>严重</w:t>
      </w:r>
      <w:r>
        <w:rPr>
          <w:spacing w:val="3"/>
          <w:w w:val="105"/>
        </w:rPr>
        <w:t>程度</w:t>
      </w:r>
      <w:r>
        <w:rPr>
          <w:rFonts w:hint="eastAsia" w:ascii="MS UI Gothic" w:hAnsi="MS UI Gothic" w:eastAsia="MS UI Gothic"/>
          <w:spacing w:val="-1"/>
          <w:w w:val="80"/>
        </w:rPr>
        <w:t xml:space="preserve">、 </w:t>
      </w:r>
      <w:r>
        <w:rPr>
          <w:spacing w:val="3"/>
          <w:w w:val="105"/>
        </w:rPr>
        <w:t>可控性和影响范围等因素</w:t>
      </w:r>
      <w:r>
        <w:rPr>
          <w:rFonts w:hint="eastAsia" w:ascii="MS UI Gothic" w:hAnsi="MS UI Gothic" w:eastAsia="MS UI Gothic"/>
          <w:w w:val="80"/>
        </w:rPr>
        <w:t xml:space="preserve">ꎬ </w:t>
      </w:r>
      <w:r>
        <w:rPr>
          <w:spacing w:val="2"/>
          <w:w w:val="105"/>
        </w:rPr>
        <w:t>一般分</w:t>
      </w:r>
      <w:r>
        <w:rPr>
          <w:spacing w:val="10"/>
          <w:w w:val="110"/>
        </w:rPr>
        <w:t>为四级</w:t>
      </w:r>
      <w:r>
        <w:rPr>
          <w:rFonts w:hint="eastAsia" w:ascii="MS UI Gothic" w:hAnsi="MS UI Gothic" w:eastAsia="MS UI Gothic"/>
          <w:spacing w:val="-24"/>
          <w:w w:val="235"/>
        </w:rPr>
        <w:t xml:space="preserve">: </w:t>
      </w:r>
      <w:r>
        <w:rPr>
          <w:rFonts w:hint="eastAsia" w:ascii="MS UI Gothic" w:hAnsi="MS UI Gothic" w:eastAsia="MS UI Gothic"/>
          <w:spacing w:val="-21"/>
          <w:w w:val="110"/>
        </w:rPr>
        <w:t xml:space="preserve">Ⅰ </w:t>
      </w:r>
      <w:r>
        <w:rPr>
          <w:spacing w:val="-7"/>
          <w:w w:val="110"/>
        </w:rPr>
        <w:t xml:space="preserve">级 </w:t>
      </w:r>
      <w:r>
        <w:rPr>
          <w:rFonts w:hint="eastAsia" w:ascii="MS UI Gothic" w:hAnsi="MS UI Gothic" w:eastAsia="MS UI Gothic"/>
          <w:spacing w:val="-32"/>
          <w:w w:val="150"/>
        </w:rPr>
        <w:t xml:space="preserve">( </w:t>
      </w:r>
      <w:r>
        <w:rPr>
          <w:spacing w:val="25"/>
          <w:w w:val="110"/>
        </w:rPr>
        <w:t>特别重大</w:t>
      </w:r>
      <w:r>
        <w:rPr>
          <w:rFonts w:hint="eastAsia" w:ascii="MS UI Gothic" w:hAnsi="MS UI Gothic" w:eastAsia="MS UI Gothic"/>
          <w:spacing w:val="21"/>
          <w:w w:val="150"/>
        </w:rPr>
        <w:t>)</w:t>
      </w:r>
      <w:r>
        <w:rPr>
          <w:rFonts w:hint="eastAsia" w:ascii="MS UI Gothic" w:hAnsi="MS UI Gothic" w:eastAsia="MS UI Gothic"/>
          <w:w w:val="80"/>
        </w:rPr>
        <w:t xml:space="preserve">、  </w:t>
      </w:r>
      <w:r>
        <w:rPr>
          <w:rFonts w:hint="eastAsia" w:ascii="MS UI Gothic" w:hAnsi="MS UI Gothic" w:eastAsia="MS UI Gothic"/>
          <w:spacing w:val="-20"/>
          <w:w w:val="110"/>
        </w:rPr>
        <w:t xml:space="preserve">Ⅱ </w:t>
      </w:r>
      <w:r>
        <w:rPr>
          <w:spacing w:val="-6"/>
          <w:w w:val="110"/>
        </w:rPr>
        <w:t xml:space="preserve">级 </w:t>
      </w:r>
      <w:r>
        <w:rPr>
          <w:rFonts w:hint="eastAsia" w:ascii="MS UI Gothic" w:hAnsi="MS UI Gothic" w:eastAsia="MS UI Gothic"/>
          <w:spacing w:val="-31"/>
          <w:w w:val="150"/>
        </w:rPr>
        <w:t xml:space="preserve">( </w:t>
      </w:r>
      <w:r>
        <w:rPr>
          <w:spacing w:val="-11"/>
          <w:w w:val="110"/>
        </w:rPr>
        <w:t>重</w:t>
      </w:r>
      <w:r>
        <w:rPr>
          <w:spacing w:val="3"/>
          <w:w w:val="110"/>
        </w:rPr>
        <w:t>大</w:t>
      </w:r>
      <w:r>
        <w:rPr>
          <w:rFonts w:hint="eastAsia" w:ascii="MS UI Gothic" w:hAnsi="MS UI Gothic" w:eastAsia="MS UI Gothic"/>
          <w:spacing w:val="21"/>
          <w:w w:val="150"/>
        </w:rPr>
        <w:t>)</w:t>
      </w:r>
      <w:r>
        <w:rPr>
          <w:rFonts w:hint="eastAsia" w:ascii="MS UI Gothic" w:hAnsi="MS UI Gothic" w:eastAsia="MS UI Gothic"/>
          <w:spacing w:val="20"/>
          <w:w w:val="80"/>
        </w:rPr>
        <w:t xml:space="preserve">、 </w:t>
      </w:r>
      <w:r>
        <w:rPr>
          <w:rFonts w:hint="eastAsia" w:ascii="MS UI Gothic" w:hAnsi="MS UI Gothic" w:eastAsia="MS UI Gothic"/>
          <w:spacing w:val="3"/>
          <w:w w:val="110"/>
        </w:rPr>
        <w:t>Ⅲ</w:t>
      </w:r>
      <w:r>
        <w:rPr>
          <w:spacing w:val="-10"/>
          <w:w w:val="110"/>
        </w:rPr>
        <w:t xml:space="preserve">级 </w:t>
      </w:r>
      <w:r>
        <w:rPr>
          <w:rFonts w:hint="eastAsia" w:ascii="MS UI Gothic" w:hAnsi="MS UI Gothic" w:eastAsia="MS UI Gothic"/>
          <w:spacing w:val="-37"/>
          <w:w w:val="150"/>
        </w:rPr>
        <w:t xml:space="preserve">( </w:t>
      </w:r>
      <w:r>
        <w:rPr>
          <w:spacing w:val="3"/>
          <w:w w:val="110"/>
        </w:rPr>
        <w:t>较大</w:t>
      </w:r>
      <w:r>
        <w:rPr>
          <w:rFonts w:hint="eastAsia" w:ascii="MS UI Gothic" w:hAnsi="MS UI Gothic" w:eastAsia="MS UI Gothic"/>
          <w:spacing w:val="8"/>
          <w:w w:val="150"/>
        </w:rPr>
        <w:t xml:space="preserve">) </w:t>
      </w:r>
      <w:r>
        <w:rPr>
          <w:spacing w:val="3"/>
          <w:w w:val="110"/>
        </w:rPr>
        <w:t>和</w:t>
      </w:r>
      <w:r>
        <w:rPr>
          <w:rFonts w:hint="eastAsia" w:ascii="MS UI Gothic" w:hAnsi="MS UI Gothic" w:eastAsia="MS UI Gothic"/>
          <w:spacing w:val="3"/>
          <w:w w:val="110"/>
        </w:rPr>
        <w:t>Ⅳ</w:t>
      </w:r>
      <w:r>
        <w:rPr>
          <w:spacing w:val="-10"/>
          <w:w w:val="110"/>
        </w:rPr>
        <w:t xml:space="preserve">级 </w:t>
      </w:r>
      <w:r>
        <w:rPr>
          <w:rFonts w:hint="eastAsia" w:ascii="MS UI Gothic" w:hAnsi="MS UI Gothic" w:eastAsia="MS UI Gothic"/>
          <w:spacing w:val="-37"/>
          <w:w w:val="150"/>
        </w:rPr>
        <w:t xml:space="preserve">( </w:t>
      </w:r>
      <w:r>
        <w:rPr>
          <w:spacing w:val="3"/>
          <w:w w:val="110"/>
        </w:rPr>
        <w:t>一般</w:t>
      </w:r>
      <w:r>
        <w:rPr>
          <w:rFonts w:hint="eastAsia" w:ascii="MS UI Gothic" w:hAnsi="MS UI Gothic" w:eastAsia="MS UI Gothic"/>
          <w:spacing w:val="-37"/>
          <w:w w:val="150"/>
        </w:rPr>
        <w:t xml:space="preserve">) </w:t>
      </w:r>
      <w:r>
        <w:rPr>
          <w:rFonts w:hint="eastAsia" w:ascii="MS UI Gothic" w:hAnsi="MS UI Gothic" w:eastAsia="MS UI Gothic"/>
          <w:w w:val="80"/>
        </w:rPr>
        <w:t>ꎮ</w:t>
      </w:r>
    </w:p>
    <w:p>
      <w:pPr>
        <w:pStyle w:val="6"/>
        <w:tabs>
          <w:tab w:val="left" w:pos="1318"/>
        </w:tabs>
        <w:spacing w:line="256" w:lineRule="exact"/>
        <w:ind w:left="794" w:firstLine="0"/>
        <w:jc w:val="left"/>
      </w:pPr>
      <w:r>
        <w:rPr>
          <w:rFonts w:hint="eastAsia" w:ascii="MS UI Gothic" w:eastAsia="MS UI Gothic"/>
        </w:rPr>
        <w:t>１</w:t>
      </w:r>
      <w:r>
        <w:rPr>
          <w:rFonts w:hint="eastAsia" w:ascii="MS UI Gothic" w:eastAsia="MS UI Gothic"/>
          <w:spacing w:val="-16"/>
        </w:rPr>
        <w:t xml:space="preserve"> ４</w:t>
      </w:r>
      <w:r>
        <w:rPr>
          <w:rFonts w:hint="eastAsia" w:ascii="MS UI Gothic" w:eastAsia="MS UI Gothic"/>
        </w:rPr>
        <w:tab/>
      </w:r>
      <w:r>
        <w:rPr>
          <w:spacing w:val="2"/>
        </w:rPr>
        <w:t>适用范围</w:t>
      </w:r>
    </w:p>
    <w:p>
      <w:pPr>
        <w:pStyle w:val="6"/>
        <w:spacing w:before="56" w:line="292" w:lineRule="auto"/>
        <w:ind w:left="381" w:right="126"/>
        <w:rPr>
          <w:rFonts w:hint="eastAsia" w:ascii="MS UI Gothic" w:eastAsia="MS UI Gothic"/>
        </w:rPr>
      </w:pPr>
      <w:r>
        <w:t>本预案适用于涉及跨省级行政区划的</w:t>
      </w:r>
      <w:r>
        <w:rPr>
          <w:rFonts w:hint="eastAsia" w:ascii="MS UI Gothic" w:eastAsia="MS UI Gothic"/>
          <w:w w:val="80"/>
        </w:rPr>
        <w:t xml:space="preserve">ꎬ </w:t>
      </w:r>
      <w:r>
        <w:t>或超出事发地省级人民政府处置能力</w:t>
      </w:r>
      <w:r>
        <w:rPr>
          <w:w w:val="105"/>
        </w:rPr>
        <w:t>的特别重大突发公共事件应对工作</w:t>
      </w:r>
      <w:r>
        <w:rPr>
          <w:rFonts w:hint="eastAsia" w:ascii="MS UI Gothic" w:eastAsia="MS UI Gothic"/>
          <w:w w:val="80"/>
        </w:rPr>
        <w:t>ꎮ</w:t>
      </w:r>
    </w:p>
    <w:p>
      <w:pPr>
        <w:pStyle w:val="6"/>
        <w:spacing w:line="292" w:lineRule="auto"/>
        <w:ind w:left="381" w:right="126"/>
        <w:jc w:val="left"/>
        <w:rPr>
          <w:rFonts w:hint="eastAsia" w:ascii="MS UI Gothic" w:eastAsia="MS UI Gothic"/>
        </w:rPr>
      </w:pPr>
      <w:r>
        <w:t>本预案指导全国的突发公共事件应对工作</w:t>
      </w:r>
      <w:r>
        <w:rPr>
          <w:rFonts w:hint="eastAsia" w:ascii="MS UI Gothic" w:eastAsia="MS UI Gothic"/>
          <w:w w:val="80"/>
        </w:rPr>
        <w:t>ꎮ</w:t>
      </w:r>
    </w:p>
    <w:p>
      <w:pPr>
        <w:pStyle w:val="6"/>
        <w:tabs>
          <w:tab w:val="left" w:pos="1318"/>
        </w:tabs>
        <w:spacing w:line="256" w:lineRule="exact"/>
        <w:ind w:left="794" w:firstLine="0"/>
        <w:jc w:val="left"/>
      </w:pPr>
      <w:r>
        <w:rPr>
          <w:rFonts w:hint="eastAsia" w:ascii="MS UI Gothic" w:eastAsia="MS UI Gothic"/>
        </w:rPr>
        <w:t>１</w:t>
      </w:r>
      <w:r>
        <w:rPr>
          <w:rFonts w:hint="eastAsia" w:ascii="MS UI Gothic" w:eastAsia="MS UI Gothic"/>
          <w:spacing w:val="-16"/>
        </w:rPr>
        <w:t xml:space="preserve"> ５</w:t>
      </w:r>
      <w:r>
        <w:rPr>
          <w:rFonts w:hint="eastAsia" w:ascii="MS UI Gothic" w:eastAsia="MS UI Gothic"/>
        </w:rPr>
        <w:tab/>
      </w:r>
      <w:r>
        <w:rPr>
          <w:spacing w:val="2"/>
        </w:rPr>
        <w:t>工作原则</w:t>
      </w:r>
    </w:p>
    <w:p>
      <w:pPr>
        <w:pStyle w:val="6"/>
        <w:spacing w:before="53" w:line="292" w:lineRule="auto"/>
        <w:ind w:left="381" w:right="126"/>
        <w:rPr>
          <w:rFonts w:hint="eastAsia" w:ascii="MS UI Gothic" w:eastAsia="MS UI Gothic"/>
        </w:rPr>
      </w:pPr>
      <w:r>
        <w:rPr>
          <w:rFonts w:hint="eastAsia" w:ascii="MS UI Gothic" w:eastAsia="MS UI Gothic"/>
          <w:w w:val="168"/>
        </w:rPr>
        <w:t>(</w:t>
      </w:r>
      <w:r>
        <w:rPr>
          <w:rFonts w:hint="eastAsia" w:ascii="MS UI Gothic" w:eastAsia="MS UI Gothic"/>
          <w:w w:val="75"/>
        </w:rPr>
        <w:t>１</w:t>
      </w:r>
      <w:r>
        <w:rPr>
          <w:rFonts w:hint="eastAsia" w:ascii="MS UI Gothic" w:eastAsia="MS UI Gothic"/>
          <w:w w:val="168"/>
        </w:rPr>
        <w:t>)</w:t>
      </w:r>
      <w:r>
        <w:rPr>
          <w:rFonts w:hint="eastAsia" w:ascii="MS UI Gothic" w:eastAsia="MS UI Gothic"/>
        </w:rPr>
        <w:t xml:space="preserve">  </w:t>
      </w:r>
      <w:r>
        <w:rPr>
          <w:w w:val="102"/>
        </w:rPr>
        <w:t>以人为本</w:t>
      </w:r>
      <w:r>
        <w:rPr>
          <w:rFonts w:hint="eastAsia" w:ascii="MS UI Gothic" w:eastAsia="MS UI Gothic"/>
          <w:w w:val="51"/>
        </w:rPr>
        <w:t>ꎬ</w:t>
      </w:r>
      <w:r>
        <w:rPr>
          <w:rFonts w:hint="eastAsia" w:ascii="MS UI Gothic" w:eastAsia="MS UI Gothic"/>
        </w:rPr>
        <w:t xml:space="preserve">  </w:t>
      </w:r>
      <w:r>
        <w:rPr>
          <w:w w:val="102"/>
        </w:rPr>
        <w:t>减少危害</w:t>
      </w:r>
      <w:r>
        <w:rPr>
          <w:rFonts w:hint="eastAsia" w:ascii="MS UI Gothic" w:eastAsia="MS UI Gothic"/>
          <w:w w:val="51"/>
        </w:rPr>
        <w:t>ꎮ</w:t>
      </w:r>
      <w:r>
        <w:rPr>
          <w:rFonts w:hint="eastAsia" w:ascii="MS UI Gothic" w:eastAsia="MS UI Gothic"/>
        </w:rPr>
        <w:t xml:space="preserve">  </w:t>
      </w:r>
      <w:r>
        <w:rPr>
          <w:w w:val="102"/>
        </w:rPr>
        <w:t>切实履</w:t>
      </w:r>
      <w:r>
        <w:t>行政府的社会管理和公共服务职能</w:t>
      </w:r>
      <w:r>
        <w:rPr>
          <w:rFonts w:hint="eastAsia" w:ascii="MS UI Gothic" w:eastAsia="MS UI Gothic"/>
          <w:w w:val="90"/>
        </w:rPr>
        <w:t xml:space="preserve">ꎬ </w:t>
      </w:r>
      <w:r>
        <w:t>把保障公众健康和生命财产安全作为首要任务</w:t>
      </w:r>
      <w:r>
        <w:rPr>
          <w:rFonts w:hint="eastAsia" w:ascii="MS UI Gothic" w:eastAsia="MS UI Gothic"/>
          <w:w w:val="90"/>
        </w:rPr>
        <w:t xml:space="preserve">ꎬ </w:t>
      </w:r>
      <w:r>
        <w:t>最大程度地减少突发公共事件及其造成的人员伤亡和危害</w:t>
      </w:r>
      <w:r>
        <w:rPr>
          <w:rFonts w:hint="eastAsia" w:ascii="MS UI Gothic" w:eastAsia="MS UI Gothic"/>
          <w:w w:val="90"/>
        </w:rPr>
        <w:t>ꎮ</w:t>
      </w:r>
    </w:p>
    <w:p>
      <w:pPr>
        <w:pStyle w:val="6"/>
        <w:spacing w:line="292" w:lineRule="auto"/>
        <w:ind w:left="381" w:right="126"/>
        <w:rPr>
          <w:rFonts w:hint="eastAsia" w:ascii="MS UI Gothic" w:eastAsia="MS UI Gothic"/>
        </w:rPr>
      </w:pPr>
      <w:r>
        <w:rPr>
          <w:rFonts w:hint="eastAsia" w:ascii="MS UI Gothic" w:eastAsia="MS UI Gothic"/>
          <w:w w:val="168"/>
        </w:rPr>
        <w:t>(</w:t>
      </w:r>
      <w:r>
        <w:rPr>
          <w:rFonts w:hint="eastAsia" w:ascii="MS UI Gothic" w:eastAsia="MS UI Gothic"/>
          <w:w w:val="75"/>
        </w:rPr>
        <w:t>２</w:t>
      </w:r>
      <w:r>
        <w:rPr>
          <w:rFonts w:hint="eastAsia" w:ascii="MS UI Gothic" w:eastAsia="MS UI Gothic"/>
          <w:w w:val="168"/>
        </w:rPr>
        <w:t>)</w:t>
      </w:r>
      <w:r>
        <w:rPr>
          <w:rFonts w:hint="eastAsia" w:ascii="MS UI Gothic" w:eastAsia="MS UI Gothic"/>
        </w:rPr>
        <w:t xml:space="preserve">  </w:t>
      </w:r>
      <w:r>
        <w:rPr>
          <w:w w:val="102"/>
        </w:rPr>
        <w:t>居安思危</w:t>
      </w:r>
      <w:r>
        <w:rPr>
          <w:rFonts w:hint="eastAsia" w:ascii="MS UI Gothic" w:eastAsia="MS UI Gothic"/>
          <w:w w:val="51"/>
        </w:rPr>
        <w:t>ꎬ</w:t>
      </w:r>
      <w:r>
        <w:rPr>
          <w:rFonts w:hint="eastAsia" w:ascii="MS UI Gothic" w:eastAsia="MS UI Gothic"/>
        </w:rPr>
        <w:t xml:space="preserve">  </w:t>
      </w:r>
      <w:r>
        <w:rPr>
          <w:w w:val="102"/>
        </w:rPr>
        <w:t>预防为主</w:t>
      </w:r>
      <w:r>
        <w:rPr>
          <w:rFonts w:hint="eastAsia" w:ascii="MS UI Gothic" w:eastAsia="MS UI Gothic"/>
          <w:w w:val="51"/>
        </w:rPr>
        <w:t>ꎮ</w:t>
      </w:r>
      <w:r>
        <w:rPr>
          <w:rFonts w:hint="eastAsia" w:ascii="MS UI Gothic" w:eastAsia="MS UI Gothic"/>
        </w:rPr>
        <w:t xml:space="preserve">  </w:t>
      </w:r>
      <w:r>
        <w:rPr>
          <w:w w:val="102"/>
        </w:rPr>
        <w:t>高度重</w:t>
      </w:r>
      <w:r>
        <w:t>视公共安全工作</w:t>
      </w:r>
      <w:r>
        <w:rPr>
          <w:rFonts w:hint="eastAsia" w:ascii="MS UI Gothic" w:eastAsia="MS UI Gothic"/>
          <w:w w:val="90"/>
        </w:rPr>
        <w:t xml:space="preserve">ꎬ </w:t>
      </w:r>
      <w:r>
        <w:t>常抓不懈</w:t>
      </w:r>
      <w:r>
        <w:rPr>
          <w:rFonts w:hint="eastAsia" w:ascii="MS UI Gothic" w:eastAsia="MS UI Gothic"/>
          <w:w w:val="90"/>
        </w:rPr>
        <w:t xml:space="preserve">ꎬ </w:t>
      </w:r>
      <w:r>
        <w:t>防患于未然</w:t>
      </w:r>
      <w:r>
        <w:rPr>
          <w:rFonts w:hint="eastAsia" w:ascii="MS UI Gothic" w:eastAsia="MS UI Gothic"/>
          <w:w w:val="90"/>
        </w:rPr>
        <w:t xml:space="preserve">ꎮ </w:t>
      </w:r>
      <w:r>
        <w:t>增强忧患意识</w:t>
      </w:r>
      <w:r>
        <w:rPr>
          <w:rFonts w:hint="eastAsia" w:ascii="MS UI Gothic" w:eastAsia="MS UI Gothic"/>
          <w:w w:val="90"/>
        </w:rPr>
        <w:t xml:space="preserve">ꎬ </w:t>
      </w:r>
      <w:r>
        <w:t>坚持预防与应急相结合</w:t>
      </w:r>
      <w:r>
        <w:rPr>
          <w:rFonts w:hint="eastAsia" w:ascii="MS UI Gothic" w:eastAsia="MS UI Gothic"/>
          <w:w w:val="90"/>
        </w:rPr>
        <w:t xml:space="preserve">ꎬ </w:t>
      </w:r>
      <w:r>
        <w:t>常态与非常态相结合</w:t>
      </w:r>
      <w:r>
        <w:rPr>
          <w:rFonts w:hint="eastAsia" w:ascii="MS UI Gothic" w:eastAsia="MS UI Gothic"/>
          <w:w w:val="90"/>
        </w:rPr>
        <w:t xml:space="preserve">ꎬ </w:t>
      </w:r>
      <w:r>
        <w:t>做好应对突发公共事件的各项准备工作</w:t>
      </w:r>
      <w:r>
        <w:rPr>
          <w:rFonts w:hint="eastAsia" w:ascii="MS UI Gothic" w:eastAsia="MS UI Gothic"/>
          <w:w w:val="90"/>
        </w:rPr>
        <w:t>ꎮ</w:t>
      </w:r>
    </w:p>
    <w:p>
      <w:pPr>
        <w:pStyle w:val="6"/>
        <w:spacing w:line="292" w:lineRule="auto"/>
        <w:ind w:left="381" w:right="124"/>
        <w:rPr>
          <w:rFonts w:hint="eastAsia" w:ascii="MS UI Gothic" w:eastAsia="MS UI Gothic"/>
        </w:rPr>
      </w:pPr>
      <w:r>
        <w:rPr>
          <w:rFonts w:hint="eastAsia" w:ascii="MS UI Gothic" w:eastAsia="MS UI Gothic"/>
          <w:w w:val="168"/>
        </w:rPr>
        <w:t>(</w:t>
      </w:r>
      <w:r>
        <w:rPr>
          <w:rFonts w:hint="eastAsia" w:ascii="MS UI Gothic" w:eastAsia="MS UI Gothic"/>
          <w:w w:val="75"/>
        </w:rPr>
        <w:t>３</w:t>
      </w:r>
      <w:r>
        <w:rPr>
          <w:rFonts w:hint="eastAsia" w:ascii="MS UI Gothic" w:eastAsia="MS UI Gothic"/>
          <w:w w:val="168"/>
        </w:rPr>
        <w:t>)</w:t>
      </w:r>
      <w:r>
        <w:rPr>
          <w:rFonts w:hint="eastAsia" w:ascii="MS UI Gothic" w:eastAsia="MS UI Gothic"/>
        </w:rPr>
        <w:t xml:space="preserve">  </w:t>
      </w:r>
      <w:r>
        <w:rPr>
          <w:w w:val="102"/>
        </w:rPr>
        <w:t>统一领导</w:t>
      </w:r>
      <w:r>
        <w:rPr>
          <w:rFonts w:hint="eastAsia" w:ascii="MS UI Gothic" w:eastAsia="MS UI Gothic"/>
          <w:w w:val="51"/>
        </w:rPr>
        <w:t>ꎬ</w:t>
      </w:r>
      <w:r>
        <w:rPr>
          <w:rFonts w:hint="eastAsia" w:ascii="MS UI Gothic" w:eastAsia="MS UI Gothic"/>
        </w:rPr>
        <w:t xml:space="preserve">  </w:t>
      </w:r>
      <w:r>
        <w:rPr>
          <w:w w:val="102"/>
        </w:rPr>
        <w:t>分级负责</w:t>
      </w:r>
      <w:r>
        <w:rPr>
          <w:rFonts w:hint="eastAsia" w:ascii="MS UI Gothic" w:eastAsia="MS UI Gothic"/>
          <w:w w:val="51"/>
        </w:rPr>
        <w:t>ꎮ</w:t>
      </w:r>
      <w:r>
        <w:rPr>
          <w:rFonts w:hint="eastAsia" w:ascii="MS UI Gothic" w:eastAsia="MS UI Gothic"/>
        </w:rPr>
        <w:t xml:space="preserve">  </w:t>
      </w:r>
      <w:r>
        <w:rPr>
          <w:w w:val="102"/>
        </w:rPr>
        <w:t>在党中</w:t>
      </w:r>
      <w:r>
        <w:t>央</w:t>
      </w:r>
      <w:r>
        <w:rPr>
          <w:rFonts w:hint="eastAsia" w:ascii="MS UI Gothic" w:eastAsia="MS UI Gothic"/>
        </w:rPr>
        <w:t xml:space="preserve">、 </w:t>
      </w:r>
      <w:r>
        <w:t>国务院的统一领导下</w:t>
      </w:r>
      <w:r>
        <w:rPr>
          <w:rFonts w:hint="eastAsia" w:ascii="MS UI Gothic" w:eastAsia="MS UI Gothic"/>
          <w:w w:val="90"/>
        </w:rPr>
        <w:t xml:space="preserve">ꎬ </w:t>
      </w:r>
      <w:r>
        <w:t>建立健全分类管理</w:t>
      </w:r>
      <w:r>
        <w:rPr>
          <w:rFonts w:hint="eastAsia" w:ascii="MS UI Gothic" w:eastAsia="MS UI Gothic"/>
        </w:rPr>
        <w:t xml:space="preserve">、 </w:t>
      </w:r>
      <w:r>
        <w:t>分级负责</w:t>
      </w:r>
      <w:r>
        <w:rPr>
          <w:rFonts w:hint="eastAsia" w:ascii="MS UI Gothic" w:eastAsia="MS UI Gothic"/>
          <w:w w:val="90"/>
        </w:rPr>
        <w:t xml:space="preserve">ꎬ </w:t>
      </w:r>
      <w:r>
        <w:t>条块结合</w:t>
      </w:r>
      <w:r>
        <w:rPr>
          <w:rFonts w:hint="eastAsia" w:ascii="MS UI Gothic" w:eastAsia="MS UI Gothic"/>
        </w:rPr>
        <w:t xml:space="preserve">、 </w:t>
      </w:r>
      <w:r>
        <w:t>属地管理为主的应急管理体制</w:t>
      </w:r>
      <w:r>
        <w:rPr>
          <w:rFonts w:hint="eastAsia" w:ascii="MS UI Gothic" w:eastAsia="MS UI Gothic"/>
          <w:w w:val="90"/>
        </w:rPr>
        <w:t xml:space="preserve">ꎬ </w:t>
      </w:r>
      <w:r>
        <w:t>在各级党委领导下</w:t>
      </w:r>
      <w:r>
        <w:rPr>
          <w:rFonts w:hint="eastAsia" w:ascii="MS UI Gothic" w:eastAsia="MS UI Gothic"/>
          <w:w w:val="90"/>
        </w:rPr>
        <w:t>ꎬ</w:t>
      </w:r>
      <w:r>
        <w:t>实行行政领导责任制</w:t>
      </w:r>
      <w:r>
        <w:rPr>
          <w:rFonts w:hint="eastAsia" w:ascii="MS UI Gothic" w:eastAsia="MS UI Gothic"/>
          <w:w w:val="90"/>
        </w:rPr>
        <w:t xml:space="preserve">ꎬ </w:t>
      </w:r>
      <w:r>
        <w:t>充分发挥专业应急指挥机构的作用</w:t>
      </w:r>
      <w:r>
        <w:rPr>
          <w:rFonts w:hint="eastAsia" w:ascii="MS UI Gothic" w:eastAsia="MS UI Gothic"/>
          <w:w w:val="90"/>
        </w:rPr>
        <w:t>ꎮ</w:t>
      </w:r>
    </w:p>
    <w:p>
      <w:pPr>
        <w:pStyle w:val="6"/>
        <w:spacing w:line="292" w:lineRule="auto"/>
        <w:ind w:left="381" w:right="126"/>
        <w:rPr>
          <w:rFonts w:hint="eastAsia" w:ascii="MS UI Gothic" w:eastAsia="MS UI Gothic"/>
        </w:rPr>
      </w:pPr>
      <w:r>
        <w:rPr>
          <w:rFonts w:hint="eastAsia" w:ascii="MS UI Gothic" w:eastAsia="MS UI Gothic"/>
          <w:w w:val="168"/>
        </w:rPr>
        <w:t>(</w:t>
      </w:r>
      <w:r>
        <w:rPr>
          <w:rFonts w:hint="eastAsia" w:ascii="MS UI Gothic" w:eastAsia="MS UI Gothic"/>
          <w:w w:val="75"/>
        </w:rPr>
        <w:t>４</w:t>
      </w:r>
      <w:r>
        <w:rPr>
          <w:rFonts w:hint="eastAsia" w:ascii="MS UI Gothic" w:eastAsia="MS UI Gothic"/>
          <w:w w:val="168"/>
        </w:rPr>
        <w:t>)</w:t>
      </w:r>
      <w:r>
        <w:rPr>
          <w:rFonts w:hint="eastAsia" w:ascii="MS UI Gothic" w:eastAsia="MS UI Gothic"/>
        </w:rPr>
        <w:t xml:space="preserve">  </w:t>
      </w:r>
      <w:r>
        <w:rPr>
          <w:w w:val="102"/>
        </w:rPr>
        <w:t>依法规范</w:t>
      </w:r>
      <w:r>
        <w:rPr>
          <w:rFonts w:hint="eastAsia" w:ascii="MS UI Gothic" w:eastAsia="MS UI Gothic"/>
          <w:w w:val="51"/>
        </w:rPr>
        <w:t>ꎬ</w:t>
      </w:r>
      <w:r>
        <w:rPr>
          <w:rFonts w:hint="eastAsia" w:ascii="MS UI Gothic" w:eastAsia="MS UI Gothic"/>
        </w:rPr>
        <w:t xml:space="preserve">  </w:t>
      </w:r>
      <w:r>
        <w:rPr>
          <w:w w:val="102"/>
        </w:rPr>
        <w:t>加强管理</w:t>
      </w:r>
      <w:r>
        <w:rPr>
          <w:rFonts w:hint="eastAsia" w:ascii="MS UI Gothic" w:eastAsia="MS UI Gothic"/>
          <w:w w:val="51"/>
        </w:rPr>
        <w:t>ꎮ</w:t>
      </w:r>
      <w:r>
        <w:rPr>
          <w:rFonts w:hint="eastAsia" w:ascii="MS UI Gothic" w:eastAsia="MS UI Gothic"/>
        </w:rPr>
        <w:t xml:space="preserve">  </w:t>
      </w:r>
      <w:r>
        <w:rPr>
          <w:w w:val="102"/>
        </w:rPr>
        <w:t>依据有</w:t>
      </w:r>
      <w:r>
        <w:t>关法律和行政法规</w:t>
      </w:r>
      <w:r>
        <w:rPr>
          <w:rFonts w:hint="eastAsia" w:ascii="MS UI Gothic" w:eastAsia="MS UI Gothic"/>
          <w:w w:val="90"/>
        </w:rPr>
        <w:t xml:space="preserve">ꎬ </w:t>
      </w:r>
      <w:r>
        <w:t>加强应急管理</w:t>
      </w:r>
      <w:r>
        <w:rPr>
          <w:rFonts w:hint="eastAsia" w:ascii="MS UI Gothic" w:eastAsia="MS UI Gothic"/>
          <w:w w:val="90"/>
        </w:rPr>
        <w:t xml:space="preserve">ꎬ </w:t>
      </w:r>
      <w:r>
        <w:t>维护公众的合法权益</w:t>
      </w:r>
      <w:r>
        <w:rPr>
          <w:rFonts w:hint="eastAsia" w:ascii="MS UI Gothic" w:eastAsia="MS UI Gothic"/>
          <w:w w:val="90"/>
        </w:rPr>
        <w:t xml:space="preserve">ꎬ </w:t>
      </w:r>
      <w:r>
        <w:t>使应对突发公共事件的工作规范化</w:t>
      </w:r>
      <w:r>
        <w:rPr>
          <w:rFonts w:hint="eastAsia" w:ascii="MS UI Gothic" w:eastAsia="MS UI Gothic"/>
        </w:rPr>
        <w:t xml:space="preserve">、 </w:t>
      </w:r>
      <w:r>
        <w:t>制度化</w:t>
      </w:r>
      <w:r>
        <w:rPr>
          <w:rFonts w:hint="eastAsia" w:ascii="MS UI Gothic" w:eastAsia="MS UI Gothic"/>
        </w:rPr>
        <w:t xml:space="preserve">、 </w:t>
      </w:r>
      <w:r>
        <w:t>法制化</w:t>
      </w:r>
      <w:r>
        <w:rPr>
          <w:rFonts w:hint="eastAsia" w:ascii="MS UI Gothic" w:eastAsia="MS UI Gothic"/>
          <w:w w:val="90"/>
        </w:rPr>
        <w:t>ꎮ</w:t>
      </w:r>
    </w:p>
    <w:p>
      <w:pPr>
        <w:spacing w:after="0" w:line="292"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４６</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87" o:spid="_x0000_s1187" o:spt="203" style="height:2.15pt;width:398.25pt;" coordsize="7965,43">
            <o:lock v:ext="edit"/>
            <v:line id="_x0000_s1188" o:spid="_x0000_s1188" o:spt="20" style="position:absolute;left:0;top:39;height:0;width:7965;" stroked="t" coordsize="21600,21600">
              <v:path arrowok="t"/>
              <v:fill focussize="0,0"/>
              <v:stroke weight="0.388031496062992pt" color="#231F20"/>
              <v:imagedata o:title=""/>
              <o:lock v:ext="edit"/>
            </v:line>
            <v:line id="_x0000_s1189" o:spid="_x0000_s118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w w:val="168"/>
        </w:rPr>
        <w:t>(</w:t>
      </w:r>
      <w:r>
        <w:rPr>
          <w:rFonts w:hint="eastAsia" w:ascii="MS UI Gothic" w:eastAsia="MS UI Gothic"/>
          <w:w w:val="75"/>
        </w:rPr>
        <w:t>５</w:t>
      </w:r>
      <w:r>
        <w:rPr>
          <w:rFonts w:hint="eastAsia" w:ascii="MS UI Gothic" w:eastAsia="MS UI Gothic"/>
          <w:w w:val="168"/>
        </w:rPr>
        <w:t>)</w:t>
      </w:r>
      <w:r>
        <w:rPr>
          <w:rFonts w:hint="eastAsia" w:ascii="MS UI Gothic" w:eastAsia="MS UI Gothic"/>
        </w:rPr>
        <w:t xml:space="preserve">  </w:t>
      </w:r>
      <w:r>
        <w:rPr>
          <w:w w:val="102"/>
        </w:rPr>
        <w:t>快速反应</w:t>
      </w:r>
      <w:r>
        <w:rPr>
          <w:rFonts w:hint="eastAsia" w:ascii="MS UI Gothic" w:eastAsia="MS UI Gothic"/>
          <w:w w:val="51"/>
        </w:rPr>
        <w:t>ꎬ</w:t>
      </w:r>
      <w:r>
        <w:rPr>
          <w:rFonts w:hint="eastAsia" w:ascii="MS UI Gothic" w:eastAsia="MS UI Gothic"/>
        </w:rPr>
        <w:t xml:space="preserve">  </w:t>
      </w:r>
      <w:r>
        <w:rPr>
          <w:w w:val="102"/>
        </w:rPr>
        <w:t>协同应对</w:t>
      </w:r>
      <w:r>
        <w:rPr>
          <w:rFonts w:hint="eastAsia" w:ascii="MS UI Gothic" w:eastAsia="MS UI Gothic"/>
          <w:w w:val="51"/>
        </w:rPr>
        <w:t>ꎮ</w:t>
      </w:r>
      <w:r>
        <w:rPr>
          <w:rFonts w:hint="eastAsia" w:ascii="MS UI Gothic" w:eastAsia="MS UI Gothic"/>
        </w:rPr>
        <w:t xml:space="preserve">  </w:t>
      </w:r>
      <w:r>
        <w:rPr>
          <w:w w:val="102"/>
        </w:rPr>
        <w:t>加强以</w:t>
      </w:r>
      <w:r>
        <w:t>属地管理为主的应急处置队伍建设</w:t>
      </w:r>
      <w:r>
        <w:rPr>
          <w:rFonts w:hint="eastAsia" w:ascii="MS UI Gothic" w:eastAsia="MS UI Gothic"/>
          <w:w w:val="90"/>
        </w:rPr>
        <w:t xml:space="preserve">ꎬ </w:t>
      </w:r>
      <w:r>
        <w:t>建立联动协调制度</w:t>
      </w:r>
      <w:r>
        <w:rPr>
          <w:rFonts w:hint="eastAsia" w:ascii="MS UI Gothic" w:eastAsia="MS UI Gothic"/>
          <w:w w:val="90"/>
        </w:rPr>
        <w:t xml:space="preserve">ꎬ </w:t>
      </w:r>
      <w:r>
        <w:t>充分动员和发挥乡镇</w:t>
      </w:r>
      <w:r>
        <w:rPr>
          <w:rFonts w:hint="eastAsia" w:ascii="MS UI Gothic" w:eastAsia="MS UI Gothic"/>
        </w:rPr>
        <w:t xml:space="preserve">、 </w:t>
      </w:r>
      <w:r>
        <w:t>社区</w:t>
      </w:r>
      <w:r>
        <w:rPr>
          <w:rFonts w:hint="eastAsia" w:ascii="MS UI Gothic" w:eastAsia="MS UI Gothic"/>
        </w:rPr>
        <w:t xml:space="preserve">、 </w:t>
      </w:r>
      <w:r>
        <w:t>企事业单位</w:t>
      </w:r>
      <w:r>
        <w:rPr>
          <w:rFonts w:hint="eastAsia" w:ascii="MS UI Gothic" w:eastAsia="MS UI Gothic"/>
        </w:rPr>
        <w:t xml:space="preserve">、 </w:t>
      </w:r>
      <w:r>
        <w:t>社会团体和志愿者队伍的作用</w:t>
      </w:r>
      <w:r>
        <w:rPr>
          <w:rFonts w:hint="eastAsia" w:ascii="MS UI Gothic" w:eastAsia="MS UI Gothic"/>
          <w:w w:val="90"/>
        </w:rPr>
        <w:t xml:space="preserve">ꎬ </w:t>
      </w:r>
      <w:r>
        <w:t>依靠公众力量</w:t>
      </w:r>
      <w:r>
        <w:rPr>
          <w:rFonts w:hint="eastAsia" w:ascii="MS UI Gothic" w:eastAsia="MS UI Gothic"/>
          <w:w w:val="90"/>
        </w:rPr>
        <w:t xml:space="preserve">ꎬ </w:t>
      </w:r>
      <w:r>
        <w:t>形成统一指挥</w:t>
      </w:r>
      <w:r>
        <w:rPr>
          <w:rFonts w:hint="eastAsia" w:ascii="MS UI Gothic" w:eastAsia="MS UI Gothic"/>
        </w:rPr>
        <w:t>、</w:t>
      </w:r>
      <w:r>
        <w:t>反应灵敏</w:t>
      </w:r>
      <w:r>
        <w:rPr>
          <w:rFonts w:hint="eastAsia" w:ascii="MS UI Gothic" w:eastAsia="MS UI Gothic"/>
        </w:rPr>
        <w:t xml:space="preserve">、 </w:t>
      </w:r>
      <w:r>
        <w:t>功能齐全</w:t>
      </w:r>
      <w:r>
        <w:rPr>
          <w:rFonts w:hint="eastAsia" w:ascii="MS UI Gothic" w:eastAsia="MS UI Gothic"/>
        </w:rPr>
        <w:t xml:space="preserve">、 </w:t>
      </w:r>
      <w:r>
        <w:t>协调有序</w:t>
      </w:r>
      <w:r>
        <w:rPr>
          <w:rFonts w:hint="eastAsia" w:ascii="MS UI Gothic" w:eastAsia="MS UI Gothic"/>
        </w:rPr>
        <w:t xml:space="preserve">、 </w:t>
      </w:r>
      <w:r>
        <w:t>运转高效的应急管理机制</w:t>
      </w:r>
      <w:r>
        <w:rPr>
          <w:rFonts w:hint="eastAsia" w:ascii="MS UI Gothic" w:eastAsia="MS UI Gothic"/>
          <w:w w:val="90"/>
        </w:rPr>
        <w:t>ꎮ</w:t>
      </w:r>
    </w:p>
    <w:p>
      <w:pPr>
        <w:pStyle w:val="6"/>
        <w:spacing w:line="295" w:lineRule="auto"/>
        <w:ind w:right="38"/>
        <w:rPr>
          <w:rFonts w:hint="eastAsia" w:ascii="MS UI Gothic" w:eastAsia="MS UI Gothic"/>
        </w:rPr>
      </w:pPr>
      <w:r>
        <w:rPr>
          <w:rFonts w:hint="eastAsia" w:ascii="MS UI Gothic" w:eastAsia="MS UI Gothic"/>
          <w:w w:val="168"/>
        </w:rPr>
        <w:t>(</w:t>
      </w:r>
      <w:r>
        <w:rPr>
          <w:rFonts w:hint="eastAsia" w:ascii="MS UI Gothic" w:eastAsia="MS UI Gothic"/>
          <w:w w:val="75"/>
        </w:rPr>
        <w:t>６</w:t>
      </w:r>
      <w:r>
        <w:rPr>
          <w:rFonts w:hint="eastAsia" w:ascii="MS UI Gothic" w:eastAsia="MS UI Gothic"/>
          <w:w w:val="168"/>
        </w:rPr>
        <w:t>)</w:t>
      </w:r>
      <w:r>
        <w:rPr>
          <w:rFonts w:hint="eastAsia" w:ascii="MS UI Gothic" w:eastAsia="MS UI Gothic"/>
        </w:rPr>
        <w:t xml:space="preserve">  </w:t>
      </w:r>
      <w:r>
        <w:rPr>
          <w:w w:val="102"/>
        </w:rPr>
        <w:t>依靠科技</w:t>
      </w:r>
      <w:r>
        <w:rPr>
          <w:rFonts w:hint="eastAsia" w:ascii="MS UI Gothic" w:eastAsia="MS UI Gothic"/>
          <w:w w:val="51"/>
        </w:rPr>
        <w:t>ꎬ</w:t>
      </w:r>
      <w:r>
        <w:rPr>
          <w:rFonts w:hint="eastAsia" w:ascii="MS UI Gothic" w:eastAsia="MS UI Gothic"/>
        </w:rPr>
        <w:t xml:space="preserve">  </w:t>
      </w:r>
      <w:r>
        <w:rPr>
          <w:w w:val="102"/>
        </w:rPr>
        <w:t>提高素质</w:t>
      </w:r>
      <w:r>
        <w:rPr>
          <w:rFonts w:hint="eastAsia" w:ascii="MS UI Gothic" w:eastAsia="MS UI Gothic"/>
          <w:w w:val="51"/>
        </w:rPr>
        <w:t>ꎮ</w:t>
      </w:r>
      <w:r>
        <w:rPr>
          <w:rFonts w:hint="eastAsia" w:ascii="MS UI Gothic" w:eastAsia="MS UI Gothic"/>
        </w:rPr>
        <w:t xml:space="preserve">  </w:t>
      </w:r>
      <w:r>
        <w:rPr>
          <w:w w:val="102"/>
        </w:rPr>
        <w:t>加强公</w:t>
      </w:r>
      <w:r>
        <w:t>共安全科学研究和技术开发</w:t>
      </w:r>
      <w:r>
        <w:rPr>
          <w:rFonts w:hint="eastAsia" w:ascii="MS UI Gothic" w:eastAsia="MS UI Gothic"/>
          <w:w w:val="90"/>
        </w:rPr>
        <w:t xml:space="preserve">ꎬ </w:t>
      </w:r>
      <w:r>
        <w:t>采用先进的监测</w:t>
      </w:r>
      <w:r>
        <w:rPr>
          <w:rFonts w:hint="eastAsia" w:ascii="MS UI Gothic" w:eastAsia="MS UI Gothic"/>
        </w:rPr>
        <w:t xml:space="preserve">、 </w:t>
      </w:r>
      <w:r>
        <w:t>预测</w:t>
      </w:r>
      <w:r>
        <w:rPr>
          <w:rFonts w:hint="eastAsia" w:ascii="MS UI Gothic" w:eastAsia="MS UI Gothic"/>
        </w:rPr>
        <w:t xml:space="preserve">、 </w:t>
      </w:r>
      <w:r>
        <w:t>预警</w:t>
      </w:r>
      <w:r>
        <w:rPr>
          <w:rFonts w:hint="eastAsia" w:ascii="MS UI Gothic" w:eastAsia="MS UI Gothic"/>
        </w:rPr>
        <w:t xml:space="preserve">、 </w:t>
      </w:r>
      <w:r>
        <w:t>预防和应急处置技术及设施</w:t>
      </w:r>
      <w:r>
        <w:rPr>
          <w:rFonts w:hint="eastAsia" w:ascii="MS UI Gothic" w:eastAsia="MS UI Gothic"/>
          <w:w w:val="90"/>
        </w:rPr>
        <w:t xml:space="preserve">ꎬ </w:t>
      </w:r>
      <w:r>
        <w:t>充分发挥专家队伍和专业人员的作用</w:t>
      </w:r>
      <w:r>
        <w:rPr>
          <w:rFonts w:hint="eastAsia" w:ascii="MS UI Gothic" w:eastAsia="MS UI Gothic"/>
          <w:w w:val="90"/>
        </w:rPr>
        <w:t xml:space="preserve">ꎬ </w:t>
      </w:r>
      <w:r>
        <w:t>提高应对突发公共事件的科技水平和指挥能力</w:t>
      </w:r>
      <w:r>
        <w:rPr>
          <w:rFonts w:hint="eastAsia" w:ascii="MS UI Gothic" w:eastAsia="MS UI Gothic"/>
          <w:w w:val="90"/>
        </w:rPr>
        <w:t xml:space="preserve">ꎬ </w:t>
      </w:r>
      <w:r>
        <w:t>避免发生次生</w:t>
      </w:r>
      <w:r>
        <w:rPr>
          <w:rFonts w:hint="eastAsia" w:ascii="MS UI Gothic" w:eastAsia="MS UI Gothic"/>
        </w:rPr>
        <w:t xml:space="preserve">、 </w:t>
      </w:r>
      <w:r>
        <w:t>衍生事件</w:t>
      </w:r>
      <w:r>
        <w:rPr>
          <w:rFonts w:hint="eastAsia" w:ascii="MS UI Gothic" w:eastAsia="MS UI Gothic"/>
          <w:w w:val="90"/>
        </w:rPr>
        <w:t>ꎻ</w:t>
      </w:r>
      <w:r>
        <w:t>加强宣传和培训教育工作</w:t>
      </w:r>
      <w:r>
        <w:rPr>
          <w:rFonts w:hint="eastAsia" w:ascii="MS UI Gothic" w:eastAsia="MS UI Gothic"/>
          <w:w w:val="90"/>
        </w:rPr>
        <w:t xml:space="preserve">ꎬ </w:t>
      </w:r>
      <w:r>
        <w:t>提高公众自救</w:t>
      </w:r>
      <w:r>
        <w:rPr>
          <w:rFonts w:hint="eastAsia" w:ascii="MS UI Gothic" w:eastAsia="MS UI Gothic"/>
        </w:rPr>
        <w:t xml:space="preserve">、 </w:t>
      </w:r>
      <w:r>
        <w:t>互救和应对各类突发公共事件的综合素质</w:t>
      </w:r>
      <w:r>
        <w:rPr>
          <w:rFonts w:hint="eastAsia" w:ascii="MS UI Gothic" w:eastAsia="MS UI Gothic"/>
          <w:w w:val="90"/>
        </w:rPr>
        <w:t>ꎮ</w:t>
      </w:r>
    </w:p>
    <w:p>
      <w:pPr>
        <w:pStyle w:val="6"/>
        <w:spacing w:line="249" w:lineRule="exact"/>
        <w:ind w:left="538" w:firstLine="0"/>
      </w:pPr>
      <w:r>
        <w:rPr>
          <w:rFonts w:hint="eastAsia" w:ascii="MS UI Gothic" w:eastAsia="MS UI Gothic"/>
        </w:rPr>
        <w:t xml:space="preserve">１ ６ </w:t>
      </w:r>
      <w:r>
        <w:t>应急预案体系</w:t>
      </w:r>
    </w:p>
    <w:p>
      <w:pPr>
        <w:pStyle w:val="6"/>
        <w:spacing w:before="53" w:line="295" w:lineRule="auto"/>
        <w:ind w:right="39"/>
        <w:rPr>
          <w:rFonts w:hint="eastAsia" w:ascii="MS UI Gothic" w:eastAsia="MS UI Gothic"/>
        </w:rPr>
      </w:pPr>
      <w:r>
        <w:t>全国突发公共事件应急预案体系</w:t>
      </w:r>
      <w:r>
        <w:rPr>
          <w:w w:val="115"/>
        </w:rPr>
        <w:t>包括</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68"/>
        </w:rPr>
        <w:t>(</w:t>
      </w:r>
      <w:r>
        <w:rPr>
          <w:rFonts w:hint="eastAsia" w:ascii="MS UI Gothic" w:eastAsia="MS UI Gothic"/>
          <w:w w:val="75"/>
        </w:rPr>
        <w:t>１</w:t>
      </w:r>
      <w:r>
        <w:rPr>
          <w:rFonts w:hint="eastAsia" w:ascii="MS UI Gothic" w:eastAsia="MS UI Gothic"/>
          <w:w w:val="168"/>
        </w:rPr>
        <w:t>)</w:t>
      </w:r>
      <w:r>
        <w:rPr>
          <w:rFonts w:hint="eastAsia" w:ascii="MS UI Gothic" w:eastAsia="MS UI Gothic"/>
        </w:rPr>
        <w:t xml:space="preserve">  </w:t>
      </w:r>
      <w:r>
        <w:rPr>
          <w:w w:val="102"/>
        </w:rPr>
        <w:t>突发公共事件总体应急预案</w:t>
      </w:r>
      <w:r>
        <w:rPr>
          <w:rFonts w:hint="eastAsia" w:ascii="MS UI Gothic" w:eastAsia="MS UI Gothic"/>
          <w:w w:val="51"/>
        </w:rPr>
        <w:t>ꎮ</w:t>
      </w:r>
      <w:r>
        <w:t>总体应急预案是全国应急预案体系的总纲</w:t>
      </w:r>
      <w:r>
        <w:rPr>
          <w:rFonts w:hint="eastAsia" w:ascii="MS UI Gothic" w:eastAsia="MS UI Gothic"/>
          <w:w w:val="90"/>
        </w:rPr>
        <w:t xml:space="preserve">ꎬ </w:t>
      </w:r>
      <w:r>
        <w:t>是国务院应对特别重大突发公共事件的规范性文件</w:t>
      </w:r>
      <w:r>
        <w:rPr>
          <w:rFonts w:hint="eastAsia" w:ascii="MS UI Gothic" w:eastAsia="MS UI Gothic"/>
          <w:w w:val="90"/>
        </w:rPr>
        <w:t>ꎮ</w:t>
      </w:r>
    </w:p>
    <w:p>
      <w:pPr>
        <w:pStyle w:val="6"/>
        <w:spacing w:line="295" w:lineRule="auto"/>
        <w:ind w:right="38"/>
        <w:rPr>
          <w:rFonts w:hint="eastAsia" w:ascii="MS UI Gothic" w:eastAsia="MS UI Gothic"/>
        </w:rPr>
      </w:pPr>
      <w:r>
        <w:rPr>
          <w:rFonts w:hint="eastAsia" w:ascii="MS UI Gothic" w:eastAsia="MS UI Gothic"/>
          <w:w w:val="168"/>
        </w:rPr>
        <w:t>(</w:t>
      </w:r>
      <w:r>
        <w:rPr>
          <w:rFonts w:hint="eastAsia" w:ascii="MS UI Gothic" w:eastAsia="MS UI Gothic"/>
          <w:w w:val="75"/>
        </w:rPr>
        <w:t>２</w:t>
      </w:r>
      <w:r>
        <w:rPr>
          <w:rFonts w:hint="eastAsia" w:ascii="MS UI Gothic" w:eastAsia="MS UI Gothic"/>
          <w:w w:val="168"/>
        </w:rPr>
        <w:t>)</w:t>
      </w:r>
      <w:r>
        <w:rPr>
          <w:rFonts w:hint="eastAsia" w:ascii="MS UI Gothic" w:eastAsia="MS UI Gothic"/>
        </w:rPr>
        <w:t xml:space="preserve">  </w:t>
      </w:r>
      <w:r>
        <w:rPr>
          <w:w w:val="102"/>
        </w:rPr>
        <w:t>突发公共事件专项应急预案</w:t>
      </w:r>
      <w:r>
        <w:rPr>
          <w:rFonts w:hint="eastAsia" w:ascii="MS UI Gothic" w:eastAsia="MS UI Gothic"/>
          <w:w w:val="51"/>
        </w:rPr>
        <w:t>ꎮ</w:t>
      </w:r>
      <w:r>
        <w:t>专项应急预案主要是国务院及其有关部门为应对某一类型或某几种类型突发公共事件而制定的应急预案</w:t>
      </w:r>
      <w:r>
        <w:rPr>
          <w:rFonts w:hint="eastAsia" w:ascii="MS UI Gothic" w:eastAsia="MS UI Gothic"/>
          <w:w w:val="90"/>
        </w:rPr>
        <w:t>ꎮ</w:t>
      </w:r>
    </w:p>
    <w:p>
      <w:pPr>
        <w:pStyle w:val="6"/>
        <w:spacing w:line="295" w:lineRule="auto"/>
        <w:ind w:right="38"/>
        <w:rPr>
          <w:rFonts w:hint="eastAsia" w:ascii="MS UI Gothic" w:eastAsia="MS UI Gothic"/>
        </w:rPr>
      </w:pPr>
      <w:r>
        <w:rPr>
          <w:rFonts w:hint="eastAsia" w:ascii="MS UI Gothic" w:eastAsia="MS UI Gothic"/>
          <w:w w:val="168"/>
        </w:rPr>
        <w:t>(</w:t>
      </w:r>
      <w:r>
        <w:rPr>
          <w:rFonts w:hint="eastAsia" w:ascii="MS UI Gothic" w:eastAsia="MS UI Gothic"/>
          <w:w w:val="75"/>
        </w:rPr>
        <w:t>３</w:t>
      </w:r>
      <w:r>
        <w:rPr>
          <w:rFonts w:hint="eastAsia" w:ascii="MS UI Gothic" w:eastAsia="MS UI Gothic"/>
          <w:w w:val="168"/>
        </w:rPr>
        <w:t>)</w:t>
      </w:r>
      <w:r>
        <w:rPr>
          <w:rFonts w:hint="eastAsia" w:ascii="MS UI Gothic" w:eastAsia="MS UI Gothic"/>
        </w:rPr>
        <w:t xml:space="preserve">  </w:t>
      </w:r>
      <w:r>
        <w:rPr>
          <w:w w:val="102"/>
        </w:rPr>
        <w:t>突发公共事件部门应急预案</w:t>
      </w:r>
      <w:r>
        <w:rPr>
          <w:rFonts w:hint="eastAsia" w:ascii="MS UI Gothic" w:eastAsia="MS UI Gothic"/>
          <w:w w:val="51"/>
        </w:rPr>
        <w:t>ꎮ</w:t>
      </w:r>
      <w:r>
        <w:t>部门应急预案是国务院有关部门根据总体应急预案</w:t>
      </w:r>
      <w:r>
        <w:rPr>
          <w:rFonts w:hint="eastAsia" w:ascii="MS UI Gothic" w:eastAsia="MS UI Gothic"/>
        </w:rPr>
        <w:t xml:space="preserve">、 </w:t>
      </w:r>
      <w:r>
        <w:t>专项应急预案和部门职责为应对突发公共事件制定的预案</w:t>
      </w:r>
      <w:r>
        <w:rPr>
          <w:rFonts w:hint="eastAsia" w:ascii="MS UI Gothic" w:eastAsia="MS UI Gothic"/>
          <w:w w:val="90"/>
        </w:rPr>
        <w:t>ꎮ</w:t>
      </w:r>
    </w:p>
    <w:p>
      <w:pPr>
        <w:pStyle w:val="6"/>
        <w:spacing w:line="295" w:lineRule="auto"/>
        <w:ind w:right="38"/>
        <w:rPr>
          <w:rFonts w:hint="eastAsia" w:ascii="MS UI Gothic" w:eastAsia="MS UI Gothic"/>
        </w:rPr>
      </w:pPr>
      <w:r>
        <w:rPr>
          <w:rFonts w:hint="eastAsia" w:ascii="MS UI Gothic" w:eastAsia="MS UI Gothic"/>
          <w:w w:val="168"/>
        </w:rPr>
        <w:t>(</w:t>
      </w:r>
      <w:r>
        <w:rPr>
          <w:rFonts w:hint="eastAsia" w:ascii="MS UI Gothic" w:eastAsia="MS UI Gothic"/>
          <w:w w:val="75"/>
        </w:rPr>
        <w:t>４</w:t>
      </w:r>
      <w:r>
        <w:rPr>
          <w:rFonts w:hint="eastAsia" w:ascii="MS UI Gothic" w:eastAsia="MS UI Gothic"/>
          <w:w w:val="168"/>
        </w:rPr>
        <w:t>)</w:t>
      </w:r>
      <w:r>
        <w:rPr>
          <w:rFonts w:hint="eastAsia" w:ascii="MS UI Gothic" w:eastAsia="MS UI Gothic"/>
        </w:rPr>
        <w:t xml:space="preserve">  </w:t>
      </w:r>
      <w:r>
        <w:rPr>
          <w:w w:val="102"/>
        </w:rPr>
        <w:t>突发公共事件地方应急预案</w:t>
      </w:r>
      <w:r>
        <w:rPr>
          <w:rFonts w:hint="eastAsia" w:ascii="MS UI Gothic" w:eastAsia="MS UI Gothic"/>
          <w:w w:val="51"/>
        </w:rPr>
        <w:t>ꎮ</w:t>
      </w:r>
      <w:r>
        <w:t>具体包括</w:t>
      </w:r>
      <w:r>
        <w:rPr>
          <w:rFonts w:hint="eastAsia" w:ascii="MS UI Gothic" w:eastAsia="MS UI Gothic"/>
          <w:w w:val="225"/>
        </w:rPr>
        <w:t xml:space="preserve">: </w:t>
      </w:r>
      <w:r>
        <w:t>省级人民政府的突发公共事件总体应急预案</w:t>
      </w:r>
      <w:r>
        <w:rPr>
          <w:rFonts w:hint="eastAsia" w:ascii="MS UI Gothic" w:eastAsia="MS UI Gothic"/>
        </w:rPr>
        <w:t xml:space="preserve">、 </w:t>
      </w:r>
      <w:r>
        <w:t>专项应急预案和部门应急预案</w:t>
      </w:r>
      <w:r>
        <w:rPr>
          <w:rFonts w:hint="eastAsia" w:ascii="MS UI Gothic" w:eastAsia="MS UI Gothic"/>
          <w:w w:val="80"/>
        </w:rPr>
        <w:t xml:space="preserve">ꎻ </w:t>
      </w:r>
      <w:r>
        <w:t xml:space="preserve">各市 </w:t>
      </w:r>
      <w:r>
        <w:rPr>
          <w:rFonts w:hint="eastAsia" w:ascii="MS UI Gothic" w:eastAsia="MS UI Gothic"/>
          <w:w w:val="150"/>
        </w:rPr>
        <w:t xml:space="preserve">( </w:t>
      </w:r>
      <w:r>
        <w:t>地</w:t>
      </w:r>
      <w:r>
        <w:rPr>
          <w:rFonts w:hint="eastAsia" w:ascii="MS UI Gothic" w:eastAsia="MS UI Gothic"/>
          <w:w w:val="150"/>
        </w:rPr>
        <w:t>)</w:t>
      </w:r>
      <w:r>
        <w:rPr>
          <w:rFonts w:hint="eastAsia" w:ascii="MS UI Gothic" w:eastAsia="MS UI Gothic"/>
        </w:rPr>
        <w:t xml:space="preserve">、 </w:t>
      </w:r>
      <w:r>
        <w:t xml:space="preserve">县 </w:t>
      </w:r>
      <w:r>
        <w:rPr>
          <w:rFonts w:hint="eastAsia" w:ascii="MS UI Gothic" w:eastAsia="MS UI Gothic"/>
          <w:w w:val="150"/>
        </w:rPr>
        <w:t xml:space="preserve">( </w:t>
      </w:r>
      <w:r>
        <w:t>市</w:t>
      </w:r>
      <w:r>
        <w:rPr>
          <w:rFonts w:hint="eastAsia" w:ascii="MS UI Gothic" w:eastAsia="MS UI Gothic"/>
          <w:w w:val="150"/>
        </w:rPr>
        <w:t xml:space="preserve">) </w:t>
      </w:r>
      <w:r>
        <w:t>人民政府及其基层政权组织的突发公共事件应急预案</w:t>
      </w:r>
      <w:r>
        <w:rPr>
          <w:rFonts w:hint="eastAsia" w:ascii="MS UI Gothic" w:eastAsia="MS UI Gothic"/>
          <w:w w:val="80"/>
        </w:rPr>
        <w:t xml:space="preserve">ꎮ </w:t>
      </w:r>
      <w:r>
        <w:t>上述预案在省级人民政府的领导下</w:t>
      </w:r>
      <w:r>
        <w:rPr>
          <w:rFonts w:hint="eastAsia" w:ascii="MS UI Gothic" w:eastAsia="MS UI Gothic"/>
          <w:w w:val="80"/>
        </w:rPr>
        <w:t>ꎬ</w:t>
      </w:r>
      <w:r>
        <w:t>按照分类管理</w:t>
      </w:r>
      <w:r>
        <w:rPr>
          <w:rFonts w:hint="eastAsia" w:ascii="MS UI Gothic" w:eastAsia="MS UI Gothic"/>
        </w:rPr>
        <w:t xml:space="preserve">、 </w:t>
      </w:r>
      <w:r>
        <w:t>分级负责的原则</w:t>
      </w:r>
      <w:r>
        <w:rPr>
          <w:rFonts w:hint="eastAsia" w:ascii="MS UI Gothic" w:eastAsia="MS UI Gothic"/>
          <w:w w:val="80"/>
        </w:rPr>
        <w:t xml:space="preserve">ꎬ </w:t>
      </w:r>
      <w:r>
        <w:t>由地方人民政府及其有关部门分别制定</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rFonts w:hint="eastAsia" w:ascii="MS UI Gothic" w:eastAsia="MS UI Gothic"/>
          <w:w w:val="168"/>
        </w:rPr>
        <w:t>(</w:t>
      </w:r>
      <w:r>
        <w:rPr>
          <w:rFonts w:hint="eastAsia" w:ascii="MS UI Gothic" w:eastAsia="MS UI Gothic"/>
          <w:w w:val="75"/>
        </w:rPr>
        <w:t>５</w:t>
      </w:r>
      <w:r>
        <w:rPr>
          <w:rFonts w:hint="eastAsia" w:ascii="MS UI Gothic" w:eastAsia="MS UI Gothic"/>
          <w:w w:val="168"/>
        </w:rPr>
        <w:t>)</w:t>
      </w:r>
      <w:r>
        <w:rPr>
          <w:rFonts w:hint="eastAsia" w:ascii="MS UI Gothic" w:eastAsia="MS UI Gothic"/>
        </w:rPr>
        <w:t xml:space="preserve">  </w:t>
      </w:r>
      <w:r>
        <w:rPr>
          <w:w w:val="102"/>
        </w:rPr>
        <w:t>企事业单位根据有关法律法规</w:t>
      </w:r>
      <w:r>
        <w:t>制定的应急预案</w:t>
      </w:r>
      <w:r>
        <w:rPr>
          <w:rFonts w:hint="eastAsia" w:ascii="MS UI Gothic" w:eastAsia="MS UI Gothic"/>
          <w:w w:val="90"/>
        </w:rPr>
        <w:t>ꎮ</w:t>
      </w:r>
    </w:p>
    <w:p>
      <w:pPr>
        <w:pStyle w:val="6"/>
        <w:spacing w:line="295" w:lineRule="auto"/>
        <w:ind w:right="442"/>
        <w:rPr>
          <w:rFonts w:hint="eastAsia" w:ascii="MS UI Gothic" w:eastAsia="MS UI Gothic"/>
        </w:rPr>
      </w:pPr>
      <w:r>
        <w:rPr>
          <w:rFonts w:hint="eastAsia" w:ascii="MS UI Gothic" w:eastAsia="MS UI Gothic"/>
          <w:w w:val="168"/>
        </w:rPr>
        <w:t>(</w:t>
      </w:r>
      <w:r>
        <w:rPr>
          <w:rFonts w:hint="eastAsia" w:ascii="MS UI Gothic" w:eastAsia="MS UI Gothic"/>
          <w:w w:val="75"/>
        </w:rPr>
        <w:t>６</w:t>
      </w:r>
      <w:r>
        <w:rPr>
          <w:rFonts w:hint="eastAsia" w:ascii="MS UI Gothic" w:eastAsia="MS UI Gothic"/>
          <w:w w:val="168"/>
        </w:rPr>
        <w:t>)</w:t>
      </w:r>
      <w:r>
        <w:rPr>
          <w:rFonts w:hint="eastAsia" w:ascii="MS UI Gothic" w:eastAsia="MS UI Gothic"/>
        </w:rPr>
        <w:t xml:space="preserve">  </w:t>
      </w:r>
      <w:r>
        <w:rPr>
          <w:w w:val="102"/>
        </w:rPr>
        <w:t>举办大型会展和文化体育等重</w:t>
      </w:r>
      <w:r>
        <w:t>大活动</w:t>
      </w:r>
      <w:r>
        <w:rPr>
          <w:rFonts w:hint="eastAsia" w:ascii="MS UI Gothic" w:eastAsia="MS UI Gothic"/>
          <w:w w:val="90"/>
        </w:rPr>
        <w:t xml:space="preserve">ꎬ </w:t>
      </w:r>
      <w:r>
        <w:t>主办单位应当制定应急预案</w:t>
      </w:r>
      <w:r>
        <w:rPr>
          <w:rFonts w:hint="eastAsia" w:ascii="MS UI Gothic" w:eastAsia="MS UI Gothic"/>
          <w:w w:val="90"/>
        </w:rPr>
        <w:t>ꎮ</w:t>
      </w:r>
    </w:p>
    <w:p>
      <w:pPr>
        <w:pStyle w:val="6"/>
        <w:spacing w:line="295" w:lineRule="auto"/>
        <w:ind w:right="442"/>
        <w:rPr>
          <w:rFonts w:hint="eastAsia" w:ascii="MS UI Gothic" w:eastAsia="MS UI Gothic"/>
        </w:rPr>
      </w:pPr>
      <w:r>
        <w:t>各类预案将根据实际情况变化不断补充</w:t>
      </w:r>
      <w:r>
        <w:rPr>
          <w:rFonts w:hint="eastAsia" w:ascii="MS UI Gothic" w:eastAsia="MS UI Gothic"/>
          <w:w w:val="80"/>
        </w:rPr>
        <w:t xml:space="preserve">、 </w:t>
      </w:r>
      <w:r>
        <w:t>完善</w:t>
      </w:r>
      <w:r>
        <w:rPr>
          <w:rFonts w:hint="eastAsia" w:ascii="MS UI Gothic" w:eastAsia="MS UI Gothic"/>
          <w:w w:val="80"/>
        </w:rPr>
        <w:t>ꎮ</w:t>
      </w:r>
    </w:p>
    <w:p>
      <w:pPr>
        <w:pStyle w:val="6"/>
        <w:spacing w:line="255" w:lineRule="exact"/>
        <w:ind w:left="538" w:firstLine="0"/>
      </w:pPr>
      <w:r>
        <w:rPr>
          <w:rFonts w:hint="eastAsia" w:ascii="MS UI Gothic" w:eastAsia="MS UI Gothic"/>
        </w:rPr>
        <w:t xml:space="preserve">２ </w:t>
      </w:r>
      <w:r>
        <w:t>组织体系</w:t>
      </w:r>
    </w:p>
    <w:p>
      <w:pPr>
        <w:pStyle w:val="6"/>
        <w:tabs>
          <w:tab w:val="left" w:pos="1062"/>
        </w:tabs>
        <w:spacing w:before="55"/>
        <w:ind w:left="538" w:firstLine="0"/>
        <w:jc w:val="left"/>
      </w:pPr>
      <w:r>
        <w:rPr>
          <w:rFonts w:hint="eastAsia" w:ascii="MS UI Gothic" w:eastAsia="MS UI Gothic"/>
        </w:rPr>
        <w:t>２</w:t>
      </w:r>
      <w:r>
        <w:rPr>
          <w:rFonts w:hint="eastAsia" w:ascii="MS UI Gothic" w:eastAsia="MS UI Gothic"/>
          <w:spacing w:val="-16"/>
        </w:rPr>
        <w:t xml:space="preserve"> １</w:t>
      </w:r>
      <w:r>
        <w:rPr>
          <w:rFonts w:hint="eastAsia" w:ascii="MS UI Gothic" w:eastAsia="MS UI Gothic"/>
        </w:rPr>
        <w:tab/>
      </w:r>
      <w:r>
        <w:rPr>
          <w:spacing w:val="2"/>
        </w:rPr>
        <w:t>领导机构</w:t>
      </w:r>
    </w:p>
    <w:p>
      <w:pPr>
        <w:pStyle w:val="6"/>
        <w:spacing w:before="58" w:line="295" w:lineRule="auto"/>
        <w:ind w:right="442"/>
        <w:rPr>
          <w:rFonts w:hint="eastAsia" w:ascii="MS UI Gothic" w:eastAsia="MS UI Gothic"/>
        </w:rPr>
      </w:pPr>
      <w:r>
        <w:rPr>
          <w:spacing w:val="2"/>
        </w:rPr>
        <w:t>国务院是突发公共事件应急管理工作</w:t>
      </w:r>
      <w:r>
        <w:rPr>
          <w:spacing w:val="3"/>
        </w:rPr>
        <w:t>的最高行政领导机构</w:t>
      </w:r>
      <w:r>
        <w:rPr>
          <w:rFonts w:hint="eastAsia" w:ascii="MS UI Gothic" w:eastAsia="MS UI Gothic"/>
          <w:spacing w:val="20"/>
          <w:w w:val="80"/>
        </w:rPr>
        <w:t xml:space="preserve">ꎮ </w:t>
      </w:r>
      <w:r>
        <w:rPr>
          <w:spacing w:val="2"/>
        </w:rPr>
        <w:t>在国务院总理领导</w:t>
      </w:r>
      <w:r>
        <w:rPr>
          <w:spacing w:val="3"/>
        </w:rPr>
        <w:t>下</w:t>
      </w:r>
      <w:r>
        <w:rPr>
          <w:rFonts w:hint="eastAsia" w:ascii="MS UI Gothic" w:eastAsia="MS UI Gothic"/>
          <w:spacing w:val="20"/>
          <w:w w:val="80"/>
        </w:rPr>
        <w:t xml:space="preserve">ꎬ </w:t>
      </w:r>
      <w:r>
        <w:rPr>
          <w:spacing w:val="2"/>
        </w:rPr>
        <w:t>由国务院常务会议和国家相关突发公</w:t>
      </w:r>
      <w:r>
        <w:rPr>
          <w:spacing w:val="6"/>
          <w:w w:val="105"/>
        </w:rPr>
        <w:t xml:space="preserve">共事件应急指挥机构 </w:t>
      </w:r>
      <w:r>
        <w:rPr>
          <w:rFonts w:hint="eastAsia" w:ascii="MS UI Gothic" w:eastAsia="MS UI Gothic"/>
          <w:spacing w:val="-37"/>
          <w:w w:val="150"/>
        </w:rPr>
        <w:t xml:space="preserve">( </w:t>
      </w:r>
      <w:r>
        <w:rPr>
          <w:spacing w:val="14"/>
          <w:w w:val="105"/>
        </w:rPr>
        <w:t>以下简称相关应</w:t>
      </w:r>
      <w:r>
        <w:rPr>
          <w:spacing w:val="11"/>
          <w:w w:val="105"/>
        </w:rPr>
        <w:t>急指挥机构</w:t>
      </w:r>
      <w:r>
        <w:rPr>
          <w:rFonts w:hint="eastAsia" w:ascii="MS UI Gothic" w:eastAsia="MS UI Gothic"/>
          <w:spacing w:val="-4"/>
          <w:w w:val="150"/>
        </w:rPr>
        <w:t xml:space="preserve">) </w:t>
      </w:r>
      <w:r>
        <w:rPr>
          <w:spacing w:val="15"/>
          <w:w w:val="105"/>
        </w:rPr>
        <w:t>负责突发公共事件的应急</w:t>
      </w:r>
      <w:r>
        <w:rPr>
          <w:spacing w:val="3"/>
        </w:rPr>
        <w:t>管理工作</w:t>
      </w:r>
      <w:r>
        <w:rPr>
          <w:rFonts w:hint="eastAsia" w:ascii="MS UI Gothic" w:eastAsia="MS UI Gothic"/>
          <w:spacing w:val="23"/>
          <w:w w:val="80"/>
        </w:rPr>
        <w:t xml:space="preserve">ꎻ </w:t>
      </w:r>
      <w:r>
        <w:rPr>
          <w:spacing w:val="3"/>
        </w:rPr>
        <w:t>必要时</w:t>
      </w:r>
      <w:r>
        <w:rPr>
          <w:rFonts w:hint="eastAsia" w:ascii="MS UI Gothic" w:eastAsia="MS UI Gothic"/>
          <w:spacing w:val="23"/>
          <w:w w:val="80"/>
        </w:rPr>
        <w:t xml:space="preserve">ꎬ </w:t>
      </w:r>
      <w:r>
        <w:rPr>
          <w:spacing w:val="2"/>
        </w:rPr>
        <w:t>派出国务院工作组指</w:t>
      </w:r>
      <w:r>
        <w:rPr>
          <w:spacing w:val="3"/>
          <w:w w:val="105"/>
        </w:rPr>
        <w:t>导有关工作</w:t>
      </w:r>
      <w:r>
        <w:rPr>
          <w:rFonts w:hint="eastAsia" w:ascii="MS UI Gothic" w:eastAsia="MS UI Gothic"/>
          <w:w w:val="80"/>
        </w:rPr>
        <w:t>ꎮ</w:t>
      </w:r>
    </w:p>
    <w:p>
      <w:pPr>
        <w:pStyle w:val="6"/>
        <w:tabs>
          <w:tab w:val="left" w:pos="1062"/>
        </w:tabs>
        <w:spacing w:line="251" w:lineRule="exact"/>
        <w:ind w:left="538" w:firstLine="0"/>
        <w:jc w:val="left"/>
      </w:pPr>
      <w:r>
        <w:rPr>
          <w:rFonts w:hint="eastAsia" w:ascii="MS UI Gothic" w:eastAsia="MS UI Gothic"/>
        </w:rPr>
        <w:t>２</w:t>
      </w:r>
      <w:r>
        <w:rPr>
          <w:rFonts w:hint="eastAsia" w:ascii="MS UI Gothic" w:eastAsia="MS UI Gothic"/>
          <w:spacing w:val="-16"/>
        </w:rPr>
        <w:t xml:space="preserve"> ２</w:t>
      </w:r>
      <w:r>
        <w:rPr>
          <w:rFonts w:hint="eastAsia" w:ascii="MS UI Gothic" w:eastAsia="MS UI Gothic"/>
        </w:rPr>
        <w:tab/>
      </w:r>
      <w:r>
        <w:rPr>
          <w:spacing w:val="2"/>
        </w:rPr>
        <w:t>办事机构</w:t>
      </w:r>
    </w:p>
    <w:p>
      <w:pPr>
        <w:pStyle w:val="6"/>
        <w:spacing w:before="58" w:line="295" w:lineRule="auto"/>
        <w:ind w:right="442"/>
        <w:rPr>
          <w:rFonts w:hint="eastAsia" w:ascii="MS UI Gothic" w:eastAsia="MS UI Gothic"/>
        </w:rPr>
      </w:pPr>
      <w:r>
        <w:t>国务院办公厅设国务院应急管理办公室</w:t>
      </w:r>
      <w:r>
        <w:rPr>
          <w:rFonts w:hint="eastAsia" w:ascii="MS UI Gothic" w:eastAsia="MS UI Gothic"/>
          <w:w w:val="80"/>
        </w:rPr>
        <w:t xml:space="preserve">ꎬ </w:t>
      </w:r>
      <w:r>
        <w:t>履行值守应急</w:t>
      </w:r>
      <w:r>
        <w:rPr>
          <w:rFonts w:hint="eastAsia" w:ascii="MS UI Gothic" w:eastAsia="MS UI Gothic"/>
          <w:w w:val="80"/>
        </w:rPr>
        <w:t xml:space="preserve">、 </w:t>
      </w:r>
      <w:r>
        <w:t>信息汇总和综合协调职责</w:t>
      </w:r>
      <w:r>
        <w:rPr>
          <w:rFonts w:hint="eastAsia" w:ascii="MS UI Gothic" w:eastAsia="MS UI Gothic"/>
          <w:w w:val="80"/>
        </w:rPr>
        <w:t xml:space="preserve">ꎬ </w:t>
      </w:r>
      <w:r>
        <w:t>发挥运转枢纽作用</w:t>
      </w:r>
      <w:r>
        <w:rPr>
          <w:rFonts w:hint="eastAsia" w:ascii="MS UI Gothic" w:eastAsia="MS UI Gothic"/>
          <w:w w:val="80"/>
        </w:rPr>
        <w:t>ꎮ</w:t>
      </w:r>
    </w:p>
    <w:p>
      <w:pPr>
        <w:pStyle w:val="6"/>
        <w:tabs>
          <w:tab w:val="left" w:pos="1062"/>
        </w:tabs>
        <w:spacing w:line="254" w:lineRule="exact"/>
        <w:ind w:left="538" w:firstLine="0"/>
        <w:jc w:val="left"/>
      </w:pPr>
      <w:r>
        <w:rPr>
          <w:rFonts w:hint="eastAsia" w:ascii="MS UI Gothic" w:eastAsia="MS UI Gothic"/>
        </w:rPr>
        <w:t>２</w:t>
      </w:r>
      <w:r>
        <w:rPr>
          <w:rFonts w:hint="eastAsia" w:ascii="MS UI Gothic" w:eastAsia="MS UI Gothic"/>
          <w:spacing w:val="-16"/>
        </w:rPr>
        <w:t xml:space="preserve"> ３</w:t>
      </w:r>
      <w:r>
        <w:rPr>
          <w:rFonts w:hint="eastAsia" w:ascii="MS UI Gothic" w:eastAsia="MS UI Gothic"/>
        </w:rPr>
        <w:tab/>
      </w:r>
      <w:r>
        <w:rPr>
          <w:spacing w:val="2"/>
        </w:rPr>
        <w:t>工作机构</w:t>
      </w:r>
    </w:p>
    <w:p>
      <w:pPr>
        <w:pStyle w:val="6"/>
        <w:spacing w:before="58" w:line="295" w:lineRule="auto"/>
        <w:ind w:right="442"/>
        <w:rPr>
          <w:rFonts w:hint="eastAsia" w:ascii="MS UI Gothic" w:eastAsia="MS UI Gothic"/>
        </w:rPr>
      </w:pPr>
      <w:r>
        <w:rPr>
          <w:w w:val="105"/>
        </w:rPr>
        <w:t>国务院有关部门依据有关法律</w:t>
      </w:r>
      <w:r>
        <w:rPr>
          <w:rFonts w:hint="eastAsia" w:ascii="MS UI Gothic" w:eastAsia="MS UI Gothic"/>
          <w:w w:val="80"/>
        </w:rPr>
        <w:t xml:space="preserve">、 </w:t>
      </w:r>
      <w:r>
        <w:rPr>
          <w:w w:val="105"/>
        </w:rPr>
        <w:t>行政</w:t>
      </w:r>
      <w:r>
        <w:t>法规和各自的职责</w:t>
      </w:r>
      <w:r>
        <w:rPr>
          <w:rFonts w:hint="eastAsia" w:ascii="MS UI Gothic" w:eastAsia="MS UI Gothic"/>
          <w:w w:val="80"/>
        </w:rPr>
        <w:t xml:space="preserve">ꎬ </w:t>
      </w:r>
      <w:r>
        <w:t>负责相关类别突发公共事件的应急管理工作</w:t>
      </w:r>
      <w:r>
        <w:rPr>
          <w:rFonts w:hint="eastAsia" w:ascii="MS UI Gothic" w:eastAsia="MS UI Gothic"/>
          <w:w w:val="80"/>
        </w:rPr>
        <w:t xml:space="preserve">ꎮ </w:t>
      </w:r>
      <w:r>
        <w:t>具体负责相关类别的突发公共事件专项和部门应急预案的起草与实施</w:t>
      </w:r>
      <w:r>
        <w:rPr>
          <w:rFonts w:hint="eastAsia" w:ascii="MS UI Gothic" w:eastAsia="MS UI Gothic"/>
          <w:w w:val="80"/>
        </w:rPr>
        <w:t xml:space="preserve">ꎬ </w:t>
      </w:r>
      <w:r>
        <w:t>贯彻落实国务院有关决定</w:t>
      </w:r>
      <w:r>
        <w:rPr>
          <w:w w:val="105"/>
        </w:rPr>
        <w:t>事项</w:t>
      </w:r>
      <w:r>
        <w:rPr>
          <w:rFonts w:hint="eastAsia" w:ascii="MS UI Gothic" w:eastAsia="MS UI Gothic"/>
          <w:w w:val="80"/>
        </w:rPr>
        <w:t>ꎮ</w:t>
      </w:r>
    </w:p>
    <w:p>
      <w:pPr>
        <w:pStyle w:val="6"/>
        <w:tabs>
          <w:tab w:val="left" w:pos="1062"/>
        </w:tabs>
        <w:spacing w:line="251" w:lineRule="exact"/>
        <w:ind w:left="538" w:firstLine="0"/>
        <w:jc w:val="left"/>
      </w:pPr>
      <w:r>
        <w:rPr>
          <w:rFonts w:hint="eastAsia" w:ascii="MS UI Gothic" w:eastAsia="MS UI Gothic"/>
        </w:rPr>
        <w:t>２</w:t>
      </w:r>
      <w:r>
        <w:rPr>
          <w:rFonts w:hint="eastAsia" w:ascii="MS UI Gothic" w:eastAsia="MS UI Gothic"/>
          <w:spacing w:val="-16"/>
        </w:rPr>
        <w:t xml:space="preserve"> ４</w:t>
      </w:r>
      <w:r>
        <w:rPr>
          <w:rFonts w:hint="eastAsia" w:ascii="MS UI Gothic" w:eastAsia="MS UI Gothic"/>
        </w:rPr>
        <w:tab/>
      </w:r>
      <w:r>
        <w:rPr>
          <w:spacing w:val="2"/>
        </w:rPr>
        <w:t>地方机构</w:t>
      </w:r>
    </w:p>
    <w:p>
      <w:pPr>
        <w:pStyle w:val="6"/>
        <w:spacing w:before="59" w:line="295" w:lineRule="auto"/>
        <w:ind w:right="440"/>
        <w:rPr>
          <w:rFonts w:hint="eastAsia" w:ascii="MS UI Gothic" w:eastAsia="MS UI Gothic"/>
        </w:rPr>
      </w:pPr>
      <w:r>
        <w:t>地方各级人民政府是本行政区域突发公共事件应急管理工作的行政领导机构</w:t>
      </w:r>
      <w:r>
        <w:rPr>
          <w:rFonts w:hint="eastAsia" w:ascii="MS UI Gothic" w:eastAsia="MS UI Gothic"/>
          <w:w w:val="80"/>
        </w:rPr>
        <w:t>ꎬ</w:t>
      </w:r>
      <w:r>
        <w:t>负责本行政区域各类突发公共事件的应对</w:t>
      </w:r>
      <w:r>
        <w:rPr>
          <w:w w:val="105"/>
        </w:rPr>
        <w:t>工作</w:t>
      </w:r>
      <w:r>
        <w:rPr>
          <w:rFonts w:hint="eastAsia" w:ascii="MS UI Gothic" w:eastAsia="MS UI Gothic"/>
          <w:w w:val="80"/>
        </w:rPr>
        <w:t>ꎮ</w:t>
      </w:r>
    </w:p>
    <w:p>
      <w:pPr>
        <w:pStyle w:val="6"/>
        <w:tabs>
          <w:tab w:val="left" w:pos="1062"/>
        </w:tabs>
        <w:spacing w:line="253" w:lineRule="exact"/>
        <w:ind w:left="538" w:firstLine="0"/>
        <w:jc w:val="left"/>
      </w:pPr>
      <w:r>
        <w:rPr>
          <w:rFonts w:hint="eastAsia" w:ascii="MS UI Gothic" w:eastAsia="MS UI Gothic"/>
        </w:rPr>
        <w:t>２</w:t>
      </w:r>
      <w:r>
        <w:rPr>
          <w:rFonts w:hint="eastAsia" w:ascii="MS UI Gothic" w:eastAsia="MS UI Gothic"/>
          <w:spacing w:val="-16"/>
        </w:rPr>
        <w:t xml:space="preserve"> ５</w:t>
      </w:r>
      <w:r>
        <w:rPr>
          <w:rFonts w:hint="eastAsia" w:ascii="MS UI Gothic" w:eastAsia="MS UI Gothic"/>
        </w:rPr>
        <w:tab/>
      </w:r>
      <w:r>
        <w:rPr>
          <w:spacing w:val="1"/>
        </w:rPr>
        <w:t>专家组</w:t>
      </w:r>
    </w:p>
    <w:p>
      <w:pPr>
        <w:pStyle w:val="6"/>
        <w:spacing w:before="58" w:line="295" w:lineRule="auto"/>
        <w:ind w:right="442"/>
        <w:rPr>
          <w:rFonts w:hint="eastAsia" w:ascii="MS UI Gothic" w:eastAsia="MS UI Gothic"/>
        </w:rPr>
      </w:pPr>
      <w:r>
        <w:t>国务院和各应急管理机构建立各类专业人才库</w:t>
      </w:r>
      <w:r>
        <w:rPr>
          <w:rFonts w:hint="eastAsia" w:ascii="MS UI Gothic" w:eastAsia="MS UI Gothic"/>
          <w:w w:val="80"/>
        </w:rPr>
        <w:t xml:space="preserve">ꎬ </w:t>
      </w:r>
      <w:r>
        <w:t>可以根据实际需要聘请有关专家组成专家组</w:t>
      </w:r>
      <w:r>
        <w:rPr>
          <w:rFonts w:hint="eastAsia" w:ascii="MS UI Gothic" w:eastAsia="MS UI Gothic"/>
          <w:w w:val="80"/>
        </w:rPr>
        <w:t xml:space="preserve">ꎬ </w:t>
      </w:r>
      <w:r>
        <w:t>为应急管理提供决策建议</w:t>
      </w:r>
      <w:r>
        <w:rPr>
          <w:rFonts w:hint="eastAsia" w:ascii="MS UI Gothic" w:eastAsia="MS UI Gothic"/>
          <w:w w:val="80"/>
        </w:rPr>
        <w:t xml:space="preserve">ꎬ </w:t>
      </w:r>
      <w:r>
        <w:t>必要时参加突发公共事件的应急处置工作</w:t>
      </w:r>
      <w:r>
        <w:rPr>
          <w:rFonts w:hint="eastAsia" w:ascii="MS UI Gothic" w:eastAsia="MS UI Gothic"/>
          <w:w w:val="80"/>
        </w:rPr>
        <w:t>ꎮ</w:t>
      </w:r>
    </w:p>
    <w:p>
      <w:pPr>
        <w:pStyle w:val="6"/>
        <w:spacing w:line="252" w:lineRule="exact"/>
        <w:ind w:left="538" w:firstLine="0"/>
      </w:pPr>
      <w:r>
        <w:rPr>
          <w:rFonts w:hint="eastAsia" w:ascii="MS UI Gothic" w:eastAsia="MS UI Gothic"/>
        </w:rPr>
        <w:t xml:space="preserve">３ </w:t>
      </w:r>
      <w:r>
        <w:t>运行机制</w:t>
      </w:r>
    </w:p>
    <w:p>
      <w:pPr>
        <w:pStyle w:val="6"/>
        <w:spacing w:before="58"/>
        <w:ind w:left="538" w:firstLine="0"/>
      </w:pPr>
      <w:r>
        <w:rPr>
          <w:rFonts w:hint="eastAsia" w:ascii="MS UI Gothic" w:eastAsia="MS UI Gothic"/>
        </w:rPr>
        <w:t xml:space="preserve">３ １ </w:t>
      </w:r>
      <w:r>
        <w:t>预测与预警</w:t>
      </w:r>
    </w:p>
    <w:p>
      <w:pPr>
        <w:spacing w:after="0"/>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三</w:t>
      </w:r>
      <w:r>
        <w:rPr>
          <w:rFonts w:hint="eastAsia" w:ascii="Microsoft Yi Baiti" w:eastAsia="Microsoft Yi Baiti"/>
          <w:sz w:val="17"/>
        </w:rPr>
        <w:t xml:space="preserve">、 </w:t>
      </w:r>
      <w:r>
        <w:rPr>
          <w:sz w:val="17"/>
        </w:rPr>
        <w:t>应急管理基本法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４７</w:t>
      </w:r>
    </w:p>
    <w:p>
      <w:pPr>
        <w:spacing w:after="0"/>
        <w:jc w:val="right"/>
        <w:rPr>
          <w:rFonts w:hint="eastAsia" w:ascii="MS UI Gothic" w:eastAsia="MS UI Gothic"/>
        </w:rPr>
        <w:sectPr>
          <w:pgSz w:w="10500" w:h="14750"/>
          <w:pgMar w:top="960" w:right="980" w:bottom="280" w:left="980" w:header="720" w:footer="720" w:gutter="0"/>
          <w:cols w:equalWidth="0" w:num="2">
            <w:col w:w="5231" w:space="40"/>
            <w:col w:w="326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90" o:spid="_x0000_s1190" o:spt="203" style="height:2.15pt;width:398.25pt;" coordsize="7965,43">
            <o:lock v:ext="edit"/>
            <v:line id="_x0000_s1191" o:spid="_x0000_s1191" o:spt="20" style="position:absolute;left:0;top:39;height:0;width:7965;" stroked="t" coordsize="21600,21600">
              <v:path arrowok="t"/>
              <v:fill focussize="0,0"/>
              <v:stroke weight="0.388031496062992pt" color="#231F20"/>
              <v:imagedata o:title=""/>
              <o:lock v:ext="edit"/>
            </v:line>
            <v:line id="_x0000_s1192" o:spid="_x0000_s119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t>各地区</w:t>
      </w:r>
      <w:r>
        <w:rPr>
          <w:rFonts w:hint="eastAsia" w:ascii="MS UI Gothic" w:eastAsia="MS UI Gothic"/>
        </w:rPr>
        <w:t xml:space="preserve">、 </w:t>
      </w:r>
      <w:r>
        <w:t>各部门要针对各种可能发生的突发公共事件</w:t>
      </w:r>
      <w:r>
        <w:rPr>
          <w:rFonts w:hint="eastAsia" w:ascii="MS UI Gothic" w:eastAsia="MS UI Gothic"/>
          <w:w w:val="80"/>
        </w:rPr>
        <w:t xml:space="preserve">ꎬ </w:t>
      </w:r>
      <w:r>
        <w:t>完善预测预警机制</w:t>
      </w:r>
      <w:r>
        <w:rPr>
          <w:rFonts w:hint="eastAsia" w:ascii="MS UI Gothic" w:eastAsia="MS UI Gothic"/>
          <w:w w:val="80"/>
        </w:rPr>
        <w:t xml:space="preserve">ꎬ </w:t>
      </w:r>
      <w:r>
        <w:t>建立预测预警系统</w:t>
      </w:r>
      <w:r>
        <w:rPr>
          <w:rFonts w:hint="eastAsia" w:ascii="MS UI Gothic" w:eastAsia="MS UI Gothic"/>
          <w:w w:val="80"/>
        </w:rPr>
        <w:t xml:space="preserve">ꎬ </w:t>
      </w:r>
      <w:r>
        <w:t>开展风险分析</w:t>
      </w:r>
      <w:r>
        <w:rPr>
          <w:rFonts w:hint="eastAsia" w:ascii="MS UI Gothic" w:eastAsia="MS UI Gothic"/>
          <w:w w:val="80"/>
        </w:rPr>
        <w:t xml:space="preserve">ꎬ </w:t>
      </w:r>
      <w:r>
        <w:t>做到早发现</w:t>
      </w:r>
      <w:r>
        <w:rPr>
          <w:rFonts w:hint="eastAsia" w:ascii="MS UI Gothic" w:eastAsia="MS UI Gothic"/>
        </w:rPr>
        <w:t xml:space="preserve">、 </w:t>
      </w:r>
      <w:r>
        <w:t>早报告</w:t>
      </w:r>
      <w:r>
        <w:rPr>
          <w:rFonts w:hint="eastAsia" w:ascii="MS UI Gothic" w:eastAsia="MS UI Gothic"/>
        </w:rPr>
        <w:t xml:space="preserve">、 </w:t>
      </w:r>
      <w:r>
        <w:t>早处置</w:t>
      </w:r>
      <w:r>
        <w:rPr>
          <w:rFonts w:hint="eastAsia" w:ascii="MS UI Gothic" w:eastAsia="MS UI Gothic"/>
          <w:w w:val="80"/>
        </w:rPr>
        <w:t>ꎮ</w:t>
      </w:r>
    </w:p>
    <w:p>
      <w:pPr>
        <w:pStyle w:val="6"/>
        <w:tabs>
          <w:tab w:val="left" w:pos="1583"/>
        </w:tabs>
        <w:spacing w:line="253" w:lineRule="exact"/>
        <w:ind w:left="854" w:firstLine="0"/>
        <w:jc w:val="left"/>
      </w:pPr>
      <w:r>
        <w:rPr>
          <w:rFonts w:hint="eastAsia" w:ascii="MS UI Gothic" w:eastAsia="MS UI Gothic"/>
        </w:rPr>
        <w:t>３</w:t>
      </w:r>
      <w:r>
        <w:rPr>
          <w:rFonts w:hint="eastAsia" w:ascii="MS UI Gothic" w:eastAsia="MS UI Gothic"/>
          <w:spacing w:val="-19"/>
        </w:rPr>
        <w:t xml:space="preserve"> １ １</w:t>
      </w:r>
      <w:r>
        <w:rPr>
          <w:rFonts w:hint="eastAsia" w:ascii="MS UI Gothic" w:eastAsia="MS UI Gothic"/>
        </w:rPr>
        <w:tab/>
      </w:r>
      <w:r>
        <w:rPr>
          <w:spacing w:val="2"/>
        </w:rPr>
        <w:t>预警级别和发布</w:t>
      </w:r>
    </w:p>
    <w:p>
      <w:pPr>
        <w:pStyle w:val="6"/>
        <w:spacing w:before="58" w:line="295" w:lineRule="auto"/>
        <w:ind w:left="440"/>
        <w:rPr>
          <w:rFonts w:hint="eastAsia" w:ascii="MS UI Gothic" w:hAnsi="MS UI Gothic" w:eastAsia="MS UI Gothic"/>
        </w:rPr>
      </w:pPr>
      <w:r>
        <w:rPr>
          <w:spacing w:val="3"/>
        </w:rPr>
        <w:t>根据预测分析结果</w:t>
      </w:r>
      <w:r>
        <w:rPr>
          <w:rFonts w:hint="eastAsia" w:ascii="MS UI Gothic" w:hAnsi="MS UI Gothic" w:eastAsia="MS UI Gothic"/>
          <w:spacing w:val="16"/>
          <w:w w:val="80"/>
        </w:rPr>
        <w:t xml:space="preserve">ꎬ </w:t>
      </w:r>
      <w:r>
        <w:rPr>
          <w:spacing w:val="2"/>
        </w:rPr>
        <w:t>对可能发生和可</w:t>
      </w:r>
      <w:r>
        <w:rPr>
          <w:spacing w:val="3"/>
        </w:rPr>
        <w:t>以预警的突发公共事件进行预警</w:t>
      </w:r>
      <w:r>
        <w:rPr>
          <w:rFonts w:hint="eastAsia" w:ascii="MS UI Gothic" w:hAnsi="MS UI Gothic" w:eastAsia="MS UI Gothic"/>
          <w:spacing w:val="21"/>
          <w:w w:val="80"/>
        </w:rPr>
        <w:t xml:space="preserve">ꎮ </w:t>
      </w:r>
      <w:r>
        <w:rPr>
          <w:spacing w:val="1"/>
        </w:rPr>
        <w:t>预警级</w:t>
      </w:r>
      <w:r>
        <w:rPr>
          <w:spacing w:val="11"/>
        </w:rPr>
        <w:t>别依据突发公共事件可能造成的危害程</w:t>
      </w:r>
      <w:r>
        <w:rPr>
          <w:spacing w:val="3"/>
          <w:w w:val="105"/>
        </w:rPr>
        <w:t>度</w:t>
      </w:r>
      <w:r>
        <w:rPr>
          <w:rFonts w:hint="eastAsia" w:ascii="MS UI Gothic" w:hAnsi="MS UI Gothic" w:eastAsia="MS UI Gothic"/>
          <w:spacing w:val="-2"/>
          <w:w w:val="80"/>
        </w:rPr>
        <w:t xml:space="preserve">、 </w:t>
      </w:r>
      <w:r>
        <w:rPr>
          <w:spacing w:val="3"/>
          <w:w w:val="105"/>
        </w:rPr>
        <w:t>紧急程度和发展势态</w:t>
      </w:r>
      <w:r>
        <w:rPr>
          <w:rFonts w:hint="eastAsia" w:ascii="MS UI Gothic" w:hAnsi="MS UI Gothic" w:eastAsia="MS UI Gothic"/>
          <w:spacing w:val="-1"/>
          <w:w w:val="80"/>
        </w:rPr>
        <w:t xml:space="preserve">ꎬ </w:t>
      </w:r>
      <w:r>
        <w:rPr>
          <w:spacing w:val="2"/>
          <w:w w:val="105"/>
        </w:rPr>
        <w:t>一般划分为四</w:t>
      </w:r>
      <w:r>
        <w:rPr>
          <w:spacing w:val="3"/>
          <w:w w:val="105"/>
        </w:rPr>
        <w:t>级</w:t>
      </w:r>
      <w:r>
        <w:rPr>
          <w:rFonts w:hint="eastAsia" w:ascii="MS UI Gothic" w:hAnsi="MS UI Gothic" w:eastAsia="MS UI Gothic"/>
          <w:spacing w:val="-19"/>
          <w:w w:val="235"/>
        </w:rPr>
        <w:t xml:space="preserve">: </w:t>
      </w:r>
      <w:r>
        <w:rPr>
          <w:rFonts w:hint="eastAsia" w:ascii="MS UI Gothic" w:hAnsi="MS UI Gothic" w:eastAsia="MS UI Gothic"/>
          <w:spacing w:val="13"/>
          <w:w w:val="105"/>
        </w:rPr>
        <w:t>Ⅰ</w:t>
      </w:r>
      <w:r>
        <w:rPr>
          <w:spacing w:val="8"/>
          <w:w w:val="105"/>
        </w:rPr>
        <w:t xml:space="preserve">级 </w:t>
      </w:r>
      <w:r>
        <w:rPr>
          <w:rFonts w:hint="eastAsia" w:ascii="MS UI Gothic" w:hAnsi="MS UI Gothic" w:eastAsia="MS UI Gothic"/>
          <w:spacing w:val="-28"/>
          <w:w w:val="150"/>
        </w:rPr>
        <w:t xml:space="preserve">( </w:t>
      </w:r>
      <w:r>
        <w:rPr>
          <w:spacing w:val="25"/>
          <w:w w:val="105"/>
        </w:rPr>
        <w:t>特别严重</w:t>
      </w:r>
      <w:r>
        <w:rPr>
          <w:rFonts w:hint="eastAsia" w:ascii="MS UI Gothic" w:hAnsi="MS UI Gothic" w:eastAsia="MS UI Gothic"/>
          <w:spacing w:val="21"/>
          <w:w w:val="150"/>
        </w:rPr>
        <w:t>)</w:t>
      </w:r>
      <w:r>
        <w:rPr>
          <w:rFonts w:hint="eastAsia" w:ascii="MS UI Gothic" w:hAnsi="MS UI Gothic" w:eastAsia="MS UI Gothic"/>
          <w:spacing w:val="12"/>
          <w:w w:val="80"/>
        </w:rPr>
        <w:t xml:space="preserve">、 </w:t>
      </w:r>
      <w:r>
        <w:rPr>
          <w:rFonts w:hint="eastAsia" w:ascii="MS UI Gothic" w:hAnsi="MS UI Gothic" w:eastAsia="MS UI Gothic"/>
          <w:spacing w:val="-16"/>
          <w:w w:val="105"/>
        </w:rPr>
        <w:t xml:space="preserve">Ⅱ </w:t>
      </w:r>
      <w:r>
        <w:rPr>
          <w:spacing w:val="9"/>
          <w:w w:val="105"/>
        </w:rPr>
        <w:t xml:space="preserve">级 </w:t>
      </w:r>
      <w:r>
        <w:rPr>
          <w:rFonts w:hint="eastAsia" w:ascii="MS UI Gothic" w:hAnsi="MS UI Gothic" w:eastAsia="MS UI Gothic"/>
          <w:spacing w:val="-28"/>
          <w:w w:val="150"/>
        </w:rPr>
        <w:t xml:space="preserve">( </w:t>
      </w:r>
      <w:r>
        <w:rPr>
          <w:spacing w:val="23"/>
          <w:w w:val="105"/>
        </w:rPr>
        <w:t>严重</w:t>
      </w:r>
      <w:r>
        <w:rPr>
          <w:rFonts w:hint="eastAsia" w:ascii="MS UI Gothic" w:hAnsi="MS UI Gothic" w:eastAsia="MS UI Gothic"/>
          <w:spacing w:val="21"/>
          <w:w w:val="150"/>
        </w:rPr>
        <w:t>)</w:t>
      </w:r>
      <w:r>
        <w:rPr>
          <w:rFonts w:hint="eastAsia" w:ascii="MS UI Gothic" w:hAnsi="MS UI Gothic" w:eastAsia="MS UI Gothic"/>
          <w:spacing w:val="-13"/>
          <w:w w:val="80"/>
        </w:rPr>
        <w:t>、</w:t>
      </w:r>
      <w:r>
        <w:rPr>
          <w:rFonts w:hint="eastAsia" w:ascii="MS UI Gothic" w:hAnsi="MS UI Gothic" w:eastAsia="MS UI Gothic"/>
          <w:spacing w:val="3"/>
          <w:w w:val="105"/>
        </w:rPr>
        <w:t>Ⅲ</w:t>
      </w:r>
      <w:r>
        <w:rPr>
          <w:spacing w:val="-6"/>
          <w:w w:val="105"/>
        </w:rPr>
        <w:t xml:space="preserve">级 </w:t>
      </w:r>
      <w:r>
        <w:rPr>
          <w:rFonts w:hint="eastAsia" w:ascii="MS UI Gothic" w:hAnsi="MS UI Gothic" w:eastAsia="MS UI Gothic"/>
          <w:spacing w:val="-37"/>
          <w:w w:val="150"/>
        </w:rPr>
        <w:t xml:space="preserve">( </w:t>
      </w:r>
      <w:r>
        <w:rPr>
          <w:spacing w:val="3"/>
          <w:w w:val="105"/>
        </w:rPr>
        <w:t>较重</w:t>
      </w:r>
      <w:r>
        <w:rPr>
          <w:rFonts w:hint="eastAsia" w:ascii="MS UI Gothic" w:hAnsi="MS UI Gothic" w:eastAsia="MS UI Gothic"/>
          <w:spacing w:val="9"/>
          <w:w w:val="150"/>
        </w:rPr>
        <w:t xml:space="preserve">) </w:t>
      </w:r>
      <w:r>
        <w:rPr>
          <w:spacing w:val="3"/>
          <w:w w:val="105"/>
        </w:rPr>
        <w:t>和</w:t>
      </w:r>
      <w:r>
        <w:rPr>
          <w:rFonts w:hint="eastAsia" w:ascii="MS UI Gothic" w:hAnsi="MS UI Gothic" w:eastAsia="MS UI Gothic"/>
          <w:spacing w:val="3"/>
          <w:w w:val="105"/>
        </w:rPr>
        <w:t>Ⅳ</w:t>
      </w:r>
      <w:r>
        <w:rPr>
          <w:spacing w:val="-5"/>
          <w:w w:val="105"/>
        </w:rPr>
        <w:t xml:space="preserve">级 </w:t>
      </w:r>
      <w:r>
        <w:rPr>
          <w:rFonts w:hint="eastAsia" w:ascii="MS UI Gothic" w:hAnsi="MS UI Gothic" w:eastAsia="MS UI Gothic"/>
          <w:spacing w:val="-37"/>
          <w:w w:val="150"/>
        </w:rPr>
        <w:t xml:space="preserve">( </w:t>
      </w:r>
      <w:r>
        <w:rPr>
          <w:spacing w:val="6"/>
          <w:w w:val="105"/>
        </w:rPr>
        <w:t>一般</w:t>
      </w:r>
      <w:r>
        <w:rPr>
          <w:rFonts w:hint="eastAsia" w:ascii="MS UI Gothic" w:hAnsi="MS UI Gothic" w:eastAsia="MS UI Gothic"/>
          <w:spacing w:val="-37"/>
          <w:w w:val="150"/>
        </w:rPr>
        <w:t xml:space="preserve">) </w:t>
      </w:r>
      <w:r>
        <w:rPr>
          <w:rFonts w:hint="eastAsia" w:ascii="MS UI Gothic" w:hAnsi="MS UI Gothic" w:eastAsia="MS UI Gothic"/>
          <w:spacing w:val="24"/>
          <w:w w:val="80"/>
        </w:rPr>
        <w:t xml:space="preserve">ꎬ </w:t>
      </w:r>
      <w:r>
        <w:rPr>
          <w:spacing w:val="6"/>
          <w:w w:val="105"/>
        </w:rPr>
        <w:t>依次用红</w:t>
      </w:r>
      <w:r>
        <w:rPr>
          <w:spacing w:val="3"/>
          <w:w w:val="105"/>
        </w:rPr>
        <w:t>色</w:t>
      </w:r>
      <w:r>
        <w:rPr>
          <w:rFonts w:hint="eastAsia" w:ascii="MS UI Gothic" w:hAnsi="MS UI Gothic" w:eastAsia="MS UI Gothic"/>
          <w:w w:val="80"/>
        </w:rPr>
        <w:t xml:space="preserve">、 </w:t>
      </w:r>
      <w:r>
        <w:rPr>
          <w:spacing w:val="3"/>
          <w:w w:val="105"/>
        </w:rPr>
        <w:t>橙色</w:t>
      </w:r>
      <w:r>
        <w:rPr>
          <w:rFonts w:hint="eastAsia" w:ascii="MS UI Gothic" w:hAnsi="MS UI Gothic" w:eastAsia="MS UI Gothic"/>
          <w:w w:val="80"/>
        </w:rPr>
        <w:t xml:space="preserve">、 </w:t>
      </w:r>
      <w:r>
        <w:rPr>
          <w:spacing w:val="3"/>
          <w:w w:val="105"/>
        </w:rPr>
        <w:t>黄色和蓝色表示</w:t>
      </w:r>
      <w:r>
        <w:rPr>
          <w:rFonts w:hint="eastAsia" w:ascii="MS UI Gothic" w:hAnsi="MS UI Gothic" w:eastAsia="MS UI Gothic"/>
          <w:w w:val="80"/>
        </w:rPr>
        <w:t>ꎮ</w:t>
      </w:r>
    </w:p>
    <w:p>
      <w:pPr>
        <w:pStyle w:val="6"/>
        <w:spacing w:line="295" w:lineRule="auto"/>
        <w:ind w:left="440"/>
        <w:rPr>
          <w:rFonts w:hint="eastAsia" w:ascii="MS UI Gothic" w:eastAsia="MS UI Gothic"/>
        </w:rPr>
      </w:pPr>
      <w:r>
        <w:t>预警信息包括突发公共事件的类别</w:t>
      </w:r>
      <w:r>
        <w:rPr>
          <w:rFonts w:hint="eastAsia" w:ascii="MS UI Gothic" w:eastAsia="MS UI Gothic"/>
          <w:w w:val="80"/>
        </w:rPr>
        <w:t>、</w:t>
      </w:r>
      <w:r>
        <w:t>预警级别</w:t>
      </w:r>
      <w:r>
        <w:rPr>
          <w:rFonts w:hint="eastAsia" w:ascii="MS UI Gothic" w:eastAsia="MS UI Gothic"/>
          <w:w w:val="80"/>
        </w:rPr>
        <w:t xml:space="preserve">、 </w:t>
      </w:r>
      <w:r>
        <w:t>起始时间</w:t>
      </w:r>
      <w:r>
        <w:rPr>
          <w:rFonts w:hint="eastAsia" w:ascii="MS UI Gothic" w:eastAsia="MS UI Gothic"/>
          <w:w w:val="80"/>
        </w:rPr>
        <w:t xml:space="preserve">、 </w:t>
      </w:r>
      <w:r>
        <w:t>可能影响范围</w:t>
      </w:r>
      <w:r>
        <w:rPr>
          <w:rFonts w:hint="eastAsia" w:ascii="MS UI Gothic" w:eastAsia="MS UI Gothic"/>
          <w:w w:val="80"/>
        </w:rPr>
        <w:t xml:space="preserve">、 </w:t>
      </w:r>
      <w:r>
        <w:t>警示事项</w:t>
      </w:r>
      <w:r>
        <w:rPr>
          <w:rFonts w:hint="eastAsia" w:ascii="MS UI Gothic" w:eastAsia="MS UI Gothic"/>
          <w:w w:val="80"/>
        </w:rPr>
        <w:t xml:space="preserve">、 </w:t>
      </w:r>
      <w:r>
        <w:t>应采取的措施和发布机关等</w:t>
      </w:r>
      <w:r>
        <w:rPr>
          <w:rFonts w:hint="eastAsia" w:ascii="MS UI Gothic" w:eastAsia="MS UI Gothic"/>
          <w:w w:val="80"/>
        </w:rPr>
        <w:t>ꎮ</w:t>
      </w:r>
    </w:p>
    <w:p>
      <w:pPr>
        <w:pStyle w:val="6"/>
        <w:spacing w:line="295" w:lineRule="auto"/>
        <w:ind w:left="440" w:right="1"/>
        <w:rPr>
          <w:rFonts w:hint="eastAsia" w:ascii="MS UI Gothic" w:eastAsia="MS UI Gothic"/>
        </w:rPr>
      </w:pPr>
      <w:r>
        <w:t>预警信息的发布</w:t>
      </w:r>
      <w:r>
        <w:rPr>
          <w:rFonts w:hint="eastAsia" w:ascii="MS UI Gothic" w:eastAsia="MS UI Gothic"/>
          <w:w w:val="80"/>
        </w:rPr>
        <w:t xml:space="preserve">、 </w:t>
      </w:r>
      <w:r>
        <w:t>调整和解除可通过广播</w:t>
      </w:r>
      <w:r>
        <w:rPr>
          <w:rFonts w:hint="eastAsia" w:ascii="MS UI Gothic" w:eastAsia="MS UI Gothic"/>
          <w:w w:val="80"/>
        </w:rPr>
        <w:t xml:space="preserve">、 </w:t>
      </w:r>
      <w:r>
        <w:t>电视</w:t>
      </w:r>
      <w:r>
        <w:rPr>
          <w:rFonts w:hint="eastAsia" w:ascii="MS UI Gothic" w:eastAsia="MS UI Gothic"/>
          <w:w w:val="80"/>
        </w:rPr>
        <w:t xml:space="preserve">、 </w:t>
      </w:r>
      <w:r>
        <w:t>报刊</w:t>
      </w:r>
      <w:r>
        <w:rPr>
          <w:rFonts w:hint="eastAsia" w:ascii="MS UI Gothic" w:eastAsia="MS UI Gothic"/>
          <w:w w:val="80"/>
        </w:rPr>
        <w:t xml:space="preserve">、 </w:t>
      </w:r>
      <w:r>
        <w:t>通信</w:t>
      </w:r>
      <w:r>
        <w:rPr>
          <w:rFonts w:hint="eastAsia" w:ascii="MS UI Gothic" w:eastAsia="MS UI Gothic"/>
          <w:w w:val="80"/>
        </w:rPr>
        <w:t xml:space="preserve">、  </w:t>
      </w:r>
      <w:r>
        <w:t>信息网络</w:t>
      </w:r>
      <w:r>
        <w:rPr>
          <w:rFonts w:hint="eastAsia" w:ascii="MS UI Gothic" w:eastAsia="MS UI Gothic"/>
          <w:w w:val="80"/>
        </w:rPr>
        <w:t xml:space="preserve">、  </w:t>
      </w:r>
      <w:r>
        <w:t>警报器</w:t>
      </w:r>
      <w:r>
        <w:rPr>
          <w:rFonts w:hint="eastAsia" w:ascii="MS UI Gothic" w:eastAsia="MS UI Gothic"/>
          <w:w w:val="80"/>
        </w:rPr>
        <w:t xml:space="preserve">、 </w:t>
      </w:r>
      <w:r>
        <w:t>宣传车或组织人员逐户通知等方式进行</w:t>
      </w:r>
      <w:r>
        <w:rPr>
          <w:rFonts w:hint="eastAsia" w:ascii="MS UI Gothic" w:eastAsia="MS UI Gothic"/>
          <w:w w:val="80"/>
        </w:rPr>
        <w:t xml:space="preserve">ꎬ </w:t>
      </w:r>
      <w:r>
        <w:t>对老</w:t>
      </w:r>
      <w:r>
        <w:rPr>
          <w:rFonts w:hint="eastAsia" w:ascii="MS UI Gothic" w:eastAsia="MS UI Gothic"/>
          <w:w w:val="80"/>
        </w:rPr>
        <w:t xml:space="preserve">、 </w:t>
      </w:r>
      <w:r>
        <w:t>幼</w:t>
      </w:r>
      <w:r>
        <w:rPr>
          <w:rFonts w:hint="eastAsia" w:ascii="MS UI Gothic" w:eastAsia="MS UI Gothic"/>
          <w:w w:val="80"/>
        </w:rPr>
        <w:t xml:space="preserve">、 </w:t>
      </w:r>
      <w:r>
        <w:t>病</w:t>
      </w:r>
      <w:r>
        <w:rPr>
          <w:rFonts w:hint="eastAsia" w:ascii="MS UI Gothic" w:eastAsia="MS UI Gothic"/>
          <w:w w:val="80"/>
        </w:rPr>
        <w:t xml:space="preserve">、  </w:t>
      </w:r>
      <w:r>
        <w:t>残</w:t>
      </w:r>
      <w:r>
        <w:rPr>
          <w:rFonts w:hint="eastAsia" w:ascii="MS UI Gothic" w:eastAsia="MS UI Gothic"/>
          <w:w w:val="80"/>
        </w:rPr>
        <w:t xml:space="preserve">、  </w:t>
      </w:r>
      <w:r>
        <w:t>孕等特殊人群以及学校等特殊场所和警报盲区应当采取有针对性的公告方式</w:t>
      </w:r>
      <w:r>
        <w:rPr>
          <w:rFonts w:hint="eastAsia" w:ascii="MS UI Gothic" w:eastAsia="MS UI Gothic"/>
          <w:w w:val="80"/>
        </w:rPr>
        <w:t>ꎮ</w:t>
      </w:r>
    </w:p>
    <w:p>
      <w:pPr>
        <w:pStyle w:val="6"/>
        <w:tabs>
          <w:tab w:val="left" w:pos="1378"/>
        </w:tabs>
        <w:spacing w:line="251" w:lineRule="exact"/>
        <w:ind w:left="854" w:firstLine="0"/>
        <w:jc w:val="left"/>
      </w:pPr>
      <w:r>
        <w:rPr>
          <w:rFonts w:hint="eastAsia" w:ascii="MS UI Gothic" w:eastAsia="MS UI Gothic"/>
        </w:rPr>
        <w:t>３</w:t>
      </w:r>
      <w:r>
        <w:rPr>
          <w:rFonts w:hint="eastAsia" w:ascii="MS UI Gothic" w:eastAsia="MS UI Gothic"/>
          <w:spacing w:val="-16"/>
        </w:rPr>
        <w:t xml:space="preserve"> ２</w:t>
      </w:r>
      <w:r>
        <w:rPr>
          <w:rFonts w:hint="eastAsia" w:ascii="MS UI Gothic" w:eastAsia="MS UI Gothic"/>
        </w:rPr>
        <w:tab/>
      </w:r>
      <w:r>
        <w:rPr>
          <w:spacing w:val="2"/>
        </w:rPr>
        <w:t>应急处置</w:t>
      </w:r>
    </w:p>
    <w:p>
      <w:pPr>
        <w:pStyle w:val="6"/>
        <w:tabs>
          <w:tab w:val="left" w:pos="1583"/>
        </w:tabs>
        <w:spacing w:before="50"/>
        <w:ind w:left="854" w:firstLine="0"/>
        <w:jc w:val="left"/>
      </w:pPr>
      <w:r>
        <w:rPr>
          <w:rFonts w:hint="eastAsia" w:ascii="MS UI Gothic" w:eastAsia="MS UI Gothic"/>
        </w:rPr>
        <w:t>３</w:t>
      </w:r>
      <w:r>
        <w:rPr>
          <w:rFonts w:hint="eastAsia" w:ascii="MS UI Gothic" w:eastAsia="MS UI Gothic"/>
          <w:spacing w:val="-19"/>
        </w:rPr>
        <w:t xml:space="preserve"> ２ １</w:t>
      </w:r>
      <w:r>
        <w:rPr>
          <w:rFonts w:hint="eastAsia" w:ascii="MS UI Gothic" w:eastAsia="MS UI Gothic"/>
        </w:rPr>
        <w:tab/>
      </w:r>
      <w:r>
        <w:rPr>
          <w:spacing w:val="2"/>
        </w:rPr>
        <w:t>信息报告</w:t>
      </w:r>
    </w:p>
    <w:p>
      <w:pPr>
        <w:pStyle w:val="6"/>
        <w:spacing w:before="58" w:line="295" w:lineRule="auto"/>
        <w:ind w:left="440" w:right="1"/>
        <w:rPr>
          <w:rFonts w:hint="eastAsia" w:ascii="MS UI Gothic" w:eastAsia="MS UI Gothic"/>
        </w:rPr>
      </w:pPr>
      <w:r>
        <w:t>特别重大或者重大突发公共事件发生后</w:t>
      </w:r>
      <w:r>
        <w:rPr>
          <w:rFonts w:hint="eastAsia" w:ascii="MS UI Gothic" w:eastAsia="MS UI Gothic"/>
          <w:w w:val="80"/>
        </w:rPr>
        <w:t xml:space="preserve">ꎬ </w:t>
      </w:r>
      <w:r>
        <w:t>各地区</w:t>
      </w:r>
      <w:r>
        <w:rPr>
          <w:rFonts w:hint="eastAsia" w:ascii="MS UI Gothic" w:eastAsia="MS UI Gothic"/>
        </w:rPr>
        <w:t xml:space="preserve">、 </w:t>
      </w:r>
      <w:r>
        <w:t>各部门要立即报告</w:t>
      </w:r>
      <w:r>
        <w:rPr>
          <w:rFonts w:hint="eastAsia" w:ascii="MS UI Gothic" w:eastAsia="MS UI Gothic"/>
          <w:w w:val="80"/>
        </w:rPr>
        <w:t xml:space="preserve">ꎬ </w:t>
      </w:r>
      <w:r>
        <w:t xml:space="preserve">最迟不得超过 </w:t>
      </w:r>
      <w:r>
        <w:rPr>
          <w:rFonts w:hint="eastAsia" w:ascii="MS UI Gothic" w:eastAsia="MS UI Gothic"/>
        </w:rPr>
        <w:t xml:space="preserve">４ </w:t>
      </w:r>
      <w:r>
        <w:t>小时</w:t>
      </w:r>
      <w:r>
        <w:rPr>
          <w:rFonts w:hint="eastAsia" w:ascii="MS UI Gothic" w:eastAsia="MS UI Gothic"/>
          <w:w w:val="80"/>
        </w:rPr>
        <w:t xml:space="preserve">ꎬ </w:t>
      </w:r>
      <w:r>
        <w:t>同时通报有关地区和部门</w:t>
      </w:r>
      <w:r>
        <w:rPr>
          <w:rFonts w:hint="eastAsia" w:ascii="MS UI Gothic" w:eastAsia="MS UI Gothic"/>
          <w:w w:val="80"/>
        </w:rPr>
        <w:t xml:space="preserve">ꎮ </w:t>
      </w:r>
      <w:r>
        <w:t>应急处置过程中</w:t>
      </w:r>
      <w:r>
        <w:rPr>
          <w:rFonts w:hint="eastAsia" w:ascii="MS UI Gothic" w:eastAsia="MS UI Gothic"/>
          <w:w w:val="80"/>
        </w:rPr>
        <w:t xml:space="preserve">ꎬ </w:t>
      </w:r>
      <w:r>
        <w:t>要及时续报有关情况</w:t>
      </w:r>
      <w:r>
        <w:rPr>
          <w:rFonts w:hint="eastAsia" w:ascii="MS UI Gothic" w:eastAsia="MS UI Gothic"/>
          <w:w w:val="80"/>
        </w:rPr>
        <w:t>ꎮ</w:t>
      </w:r>
    </w:p>
    <w:p>
      <w:pPr>
        <w:pStyle w:val="6"/>
        <w:tabs>
          <w:tab w:val="left" w:pos="1583"/>
        </w:tabs>
        <w:spacing w:line="252" w:lineRule="exact"/>
        <w:ind w:left="854" w:firstLine="0"/>
        <w:jc w:val="left"/>
      </w:pPr>
      <w:r>
        <w:rPr>
          <w:rFonts w:hint="eastAsia" w:ascii="MS UI Gothic" w:eastAsia="MS UI Gothic"/>
        </w:rPr>
        <w:t>３</w:t>
      </w:r>
      <w:r>
        <w:rPr>
          <w:rFonts w:hint="eastAsia" w:ascii="MS UI Gothic" w:eastAsia="MS UI Gothic"/>
          <w:spacing w:val="-19"/>
        </w:rPr>
        <w:t xml:space="preserve"> ２ ２</w:t>
      </w:r>
      <w:r>
        <w:rPr>
          <w:rFonts w:hint="eastAsia" w:ascii="MS UI Gothic" w:eastAsia="MS UI Gothic"/>
        </w:rPr>
        <w:tab/>
      </w:r>
      <w:r>
        <w:rPr>
          <w:spacing w:val="2"/>
        </w:rPr>
        <w:t>先期处置</w:t>
      </w:r>
    </w:p>
    <w:p>
      <w:pPr>
        <w:pStyle w:val="6"/>
        <w:spacing w:before="59" w:line="295" w:lineRule="auto"/>
        <w:ind w:left="440" w:right="1"/>
        <w:rPr>
          <w:rFonts w:hint="eastAsia" w:ascii="MS UI Gothic" w:eastAsia="MS UI Gothic"/>
        </w:rPr>
      </w:pPr>
      <w:r>
        <w:t>突发公共事件发生后</w:t>
      </w:r>
      <w:r>
        <w:rPr>
          <w:rFonts w:hint="eastAsia" w:ascii="MS UI Gothic" w:eastAsia="MS UI Gothic"/>
          <w:w w:val="80"/>
        </w:rPr>
        <w:t xml:space="preserve">ꎬ </w:t>
      </w:r>
      <w:r>
        <w:t>事发地的省级人民政府或者国务院有关部门在报告特别重大</w:t>
      </w:r>
      <w:r>
        <w:rPr>
          <w:rFonts w:hint="eastAsia" w:ascii="MS UI Gothic" w:eastAsia="MS UI Gothic"/>
          <w:w w:val="80"/>
        </w:rPr>
        <w:t xml:space="preserve">、 </w:t>
      </w:r>
      <w:r>
        <w:t>重大突发公共事件信息的同时</w:t>
      </w:r>
      <w:r>
        <w:rPr>
          <w:rFonts w:hint="eastAsia" w:ascii="MS UI Gothic" w:eastAsia="MS UI Gothic"/>
          <w:w w:val="80"/>
        </w:rPr>
        <w:t xml:space="preserve">ꎬ </w:t>
      </w:r>
      <w:r>
        <w:t>要根据职责和规定的权限启动相关应急预案</w:t>
      </w:r>
      <w:r>
        <w:rPr>
          <w:rFonts w:hint="eastAsia" w:ascii="MS UI Gothic" w:eastAsia="MS UI Gothic"/>
          <w:w w:val="80"/>
        </w:rPr>
        <w:t xml:space="preserve">ꎬ </w:t>
      </w:r>
      <w:r>
        <w:t>及时</w:t>
      </w:r>
      <w:r>
        <w:rPr>
          <w:rFonts w:hint="eastAsia" w:ascii="MS UI Gothic" w:eastAsia="MS UI Gothic"/>
          <w:w w:val="80"/>
        </w:rPr>
        <w:t xml:space="preserve">、 </w:t>
      </w:r>
      <w:r>
        <w:t>有效地进行处置</w:t>
      </w:r>
      <w:r>
        <w:rPr>
          <w:rFonts w:hint="eastAsia" w:ascii="MS UI Gothic" w:eastAsia="MS UI Gothic"/>
          <w:w w:val="80"/>
        </w:rPr>
        <w:t xml:space="preserve">ꎬ </w:t>
      </w:r>
      <w:r>
        <w:t>控制事态</w:t>
      </w:r>
      <w:r>
        <w:rPr>
          <w:rFonts w:hint="eastAsia" w:ascii="MS UI Gothic" w:eastAsia="MS UI Gothic"/>
          <w:w w:val="80"/>
        </w:rPr>
        <w:t>ꎮ</w:t>
      </w:r>
    </w:p>
    <w:p>
      <w:pPr>
        <w:pStyle w:val="6"/>
        <w:spacing w:line="295" w:lineRule="auto"/>
        <w:ind w:left="440" w:right="1"/>
        <w:rPr>
          <w:rFonts w:hint="eastAsia" w:ascii="MS UI Gothic" w:eastAsia="MS UI Gothic"/>
        </w:rPr>
      </w:pPr>
      <w:r>
        <w:t>在境外发生涉及中国公民和机构的突发事件</w:t>
      </w:r>
      <w:r>
        <w:rPr>
          <w:rFonts w:hint="eastAsia" w:ascii="MS UI Gothic" w:eastAsia="MS UI Gothic"/>
          <w:w w:val="80"/>
        </w:rPr>
        <w:t xml:space="preserve">ꎬ </w:t>
      </w:r>
      <w:r>
        <w:t>我驻外使领馆</w:t>
      </w:r>
      <w:r>
        <w:rPr>
          <w:rFonts w:hint="eastAsia" w:ascii="MS UI Gothic" w:eastAsia="MS UI Gothic"/>
          <w:w w:val="80"/>
        </w:rPr>
        <w:t xml:space="preserve">、 </w:t>
      </w:r>
      <w:r>
        <w:t>国务院有关部门和有关地方人民政府要采取措施控制事态发展</w:t>
      </w:r>
      <w:r>
        <w:rPr>
          <w:rFonts w:hint="eastAsia" w:ascii="MS UI Gothic" w:eastAsia="MS UI Gothic"/>
          <w:w w:val="80"/>
        </w:rPr>
        <w:t xml:space="preserve">ꎬ </w:t>
      </w:r>
      <w:r>
        <w:t>组织开展应急救援工作</w:t>
      </w:r>
      <w:r>
        <w:rPr>
          <w:rFonts w:hint="eastAsia" w:ascii="MS UI Gothic" w:eastAsia="MS UI Gothic"/>
          <w:w w:val="80"/>
        </w:rPr>
        <w:t>ꎮ</w:t>
      </w:r>
    </w:p>
    <w:p>
      <w:pPr>
        <w:pStyle w:val="6"/>
        <w:tabs>
          <w:tab w:val="left" w:pos="1583"/>
        </w:tabs>
        <w:spacing w:line="253" w:lineRule="exact"/>
        <w:ind w:left="854" w:firstLine="0"/>
        <w:jc w:val="left"/>
      </w:pPr>
      <w:r>
        <w:rPr>
          <w:rFonts w:hint="eastAsia" w:ascii="MS UI Gothic" w:eastAsia="MS UI Gothic"/>
        </w:rPr>
        <w:t>３</w:t>
      </w:r>
      <w:r>
        <w:rPr>
          <w:rFonts w:hint="eastAsia" w:ascii="MS UI Gothic" w:eastAsia="MS UI Gothic"/>
          <w:spacing w:val="-19"/>
        </w:rPr>
        <w:t xml:space="preserve"> ２ ３</w:t>
      </w:r>
      <w:r>
        <w:rPr>
          <w:rFonts w:hint="eastAsia" w:ascii="MS UI Gothic" w:eastAsia="MS UI Gothic"/>
        </w:rPr>
        <w:tab/>
      </w:r>
      <w:r>
        <w:rPr>
          <w:spacing w:val="2"/>
        </w:rPr>
        <w:t>应急响应</w:t>
      </w:r>
    </w:p>
    <w:p>
      <w:pPr>
        <w:pStyle w:val="6"/>
        <w:spacing w:before="124" w:line="295" w:lineRule="auto"/>
        <w:ind w:left="381" w:right="126"/>
        <w:rPr>
          <w:rFonts w:hint="eastAsia" w:ascii="MS UI Gothic" w:eastAsia="MS UI Gothic"/>
        </w:rPr>
      </w:pPr>
      <w:r>
        <w:br w:type="column"/>
      </w:r>
      <w:r>
        <w:t>对于先期处置未能有效控制事态的特别重大突发公共事件</w:t>
      </w:r>
      <w:r>
        <w:rPr>
          <w:rFonts w:hint="eastAsia" w:ascii="MS UI Gothic" w:eastAsia="MS UI Gothic"/>
          <w:w w:val="80"/>
        </w:rPr>
        <w:t xml:space="preserve">ꎬ </w:t>
      </w:r>
      <w:r>
        <w:t>要及时启动相关预案</w:t>
      </w:r>
      <w:r>
        <w:rPr>
          <w:rFonts w:hint="eastAsia" w:ascii="MS UI Gothic" w:eastAsia="MS UI Gothic"/>
          <w:w w:val="80"/>
        </w:rPr>
        <w:t xml:space="preserve">ꎬ </w:t>
      </w:r>
      <w:r>
        <w:t>由国务院相关应急指挥机构或国务院</w:t>
      </w:r>
      <w:r>
        <w:rPr>
          <w:w w:val="105"/>
        </w:rPr>
        <w:t>工作组统一指挥或指导有关地区</w:t>
      </w:r>
      <w:r>
        <w:rPr>
          <w:rFonts w:hint="eastAsia" w:ascii="MS UI Gothic" w:eastAsia="MS UI Gothic"/>
          <w:w w:val="80"/>
        </w:rPr>
        <w:t xml:space="preserve">、 </w:t>
      </w:r>
      <w:r>
        <w:rPr>
          <w:w w:val="105"/>
        </w:rPr>
        <w:t>部门开展处置工作</w:t>
      </w:r>
      <w:r>
        <w:rPr>
          <w:rFonts w:hint="eastAsia" w:ascii="MS UI Gothic" w:eastAsia="MS UI Gothic"/>
          <w:w w:val="80"/>
        </w:rPr>
        <w:t>ꎮ</w:t>
      </w:r>
    </w:p>
    <w:p>
      <w:pPr>
        <w:pStyle w:val="6"/>
        <w:spacing w:line="295" w:lineRule="auto"/>
        <w:ind w:left="381" w:right="126"/>
        <w:jc w:val="left"/>
        <w:rPr>
          <w:rFonts w:hint="eastAsia" w:ascii="MS UI Gothic" w:eastAsia="MS UI Gothic"/>
        </w:rPr>
      </w:pPr>
      <w:r>
        <w:t>现场应急指挥机构负责现场的应急处</w:t>
      </w:r>
      <w:r>
        <w:rPr>
          <w:w w:val="105"/>
        </w:rPr>
        <w:t>置工作</w:t>
      </w:r>
      <w:r>
        <w:rPr>
          <w:rFonts w:hint="eastAsia" w:ascii="MS UI Gothic" w:eastAsia="MS UI Gothic"/>
          <w:w w:val="80"/>
        </w:rPr>
        <w:t>ꎮ</w:t>
      </w:r>
    </w:p>
    <w:p>
      <w:pPr>
        <w:pStyle w:val="6"/>
        <w:spacing w:line="295" w:lineRule="auto"/>
        <w:ind w:left="381" w:right="126"/>
        <w:rPr>
          <w:rFonts w:hint="eastAsia" w:ascii="MS UI Gothic" w:eastAsia="MS UI Gothic"/>
        </w:rPr>
      </w:pPr>
      <w:r>
        <w:t>需要多个国务院相关部门共同参与处置的突发公共事件</w:t>
      </w:r>
      <w:r>
        <w:rPr>
          <w:rFonts w:hint="eastAsia" w:ascii="MS UI Gothic" w:eastAsia="MS UI Gothic"/>
          <w:w w:val="80"/>
        </w:rPr>
        <w:t xml:space="preserve">ꎬ </w:t>
      </w:r>
      <w:r>
        <w:t>由该类突发公共事件的业务主管部门牵头</w:t>
      </w:r>
      <w:r>
        <w:rPr>
          <w:rFonts w:hint="eastAsia" w:ascii="MS UI Gothic" w:eastAsia="MS UI Gothic"/>
          <w:w w:val="80"/>
        </w:rPr>
        <w:t xml:space="preserve">ꎬ </w:t>
      </w:r>
      <w:r>
        <w:t>其他部门予以协助</w:t>
      </w:r>
      <w:r>
        <w:rPr>
          <w:rFonts w:hint="eastAsia" w:ascii="MS UI Gothic" w:eastAsia="MS UI Gothic"/>
          <w:w w:val="80"/>
        </w:rPr>
        <w:t>ꎮ</w:t>
      </w:r>
    </w:p>
    <w:p>
      <w:pPr>
        <w:pStyle w:val="6"/>
        <w:tabs>
          <w:tab w:val="left" w:pos="1524"/>
        </w:tabs>
        <w:spacing w:line="253" w:lineRule="exact"/>
        <w:ind w:left="794" w:firstLine="0"/>
        <w:jc w:val="left"/>
      </w:pPr>
      <w:r>
        <w:rPr>
          <w:rFonts w:hint="eastAsia" w:ascii="MS UI Gothic" w:eastAsia="MS UI Gothic"/>
        </w:rPr>
        <w:t>３</w:t>
      </w:r>
      <w:r>
        <w:rPr>
          <w:rFonts w:hint="eastAsia" w:ascii="MS UI Gothic" w:eastAsia="MS UI Gothic"/>
          <w:spacing w:val="-19"/>
        </w:rPr>
        <w:t xml:space="preserve"> ２ ４</w:t>
      </w:r>
      <w:r>
        <w:rPr>
          <w:rFonts w:hint="eastAsia" w:ascii="MS UI Gothic" w:eastAsia="MS UI Gothic"/>
        </w:rPr>
        <w:tab/>
      </w:r>
      <w:r>
        <w:rPr>
          <w:spacing w:val="2"/>
        </w:rPr>
        <w:t>应急结束</w:t>
      </w:r>
    </w:p>
    <w:p>
      <w:pPr>
        <w:pStyle w:val="6"/>
        <w:spacing w:before="53" w:line="295" w:lineRule="auto"/>
        <w:ind w:left="381" w:right="126"/>
        <w:rPr>
          <w:rFonts w:hint="eastAsia" w:ascii="MS UI Gothic" w:eastAsia="MS UI Gothic"/>
        </w:rPr>
      </w:pPr>
      <w:r>
        <w:rPr>
          <w:spacing w:val="2"/>
        </w:rPr>
        <w:t>特别重大突发公共事件应急处置工作</w:t>
      </w:r>
      <w:r>
        <w:rPr>
          <w:spacing w:val="3"/>
        </w:rPr>
        <w:t>结束</w:t>
      </w:r>
      <w:r>
        <w:rPr>
          <w:rFonts w:hint="eastAsia" w:ascii="MS UI Gothic" w:eastAsia="MS UI Gothic"/>
          <w:spacing w:val="23"/>
          <w:w w:val="80"/>
        </w:rPr>
        <w:t xml:space="preserve">ꎬ </w:t>
      </w:r>
      <w:r>
        <w:rPr>
          <w:spacing w:val="3"/>
        </w:rPr>
        <w:t>或者相关危险因素消除后</w:t>
      </w:r>
      <w:r>
        <w:rPr>
          <w:rFonts w:hint="eastAsia" w:ascii="MS UI Gothic" w:eastAsia="MS UI Gothic"/>
          <w:spacing w:val="23"/>
          <w:w w:val="80"/>
        </w:rPr>
        <w:t xml:space="preserve">ꎬ </w:t>
      </w:r>
      <w:r>
        <w:rPr>
          <w:spacing w:val="2"/>
        </w:rPr>
        <w:t>现场应</w:t>
      </w:r>
      <w:r>
        <w:rPr>
          <w:spacing w:val="3"/>
        </w:rPr>
        <w:t>急指挥机构予以撤销</w:t>
      </w:r>
      <w:r>
        <w:rPr>
          <w:rFonts w:hint="eastAsia" w:ascii="MS UI Gothic" w:eastAsia="MS UI Gothic"/>
          <w:w w:val="80"/>
        </w:rPr>
        <w:t>ꎮ</w:t>
      </w:r>
    </w:p>
    <w:p>
      <w:pPr>
        <w:pStyle w:val="6"/>
        <w:tabs>
          <w:tab w:val="left" w:pos="1318"/>
        </w:tabs>
        <w:spacing w:line="254" w:lineRule="exact"/>
        <w:ind w:left="794" w:firstLine="0"/>
        <w:jc w:val="left"/>
      </w:pPr>
      <w:r>
        <w:rPr>
          <w:rFonts w:hint="eastAsia" w:ascii="MS UI Gothic" w:eastAsia="MS UI Gothic"/>
        </w:rPr>
        <w:t>３</w:t>
      </w:r>
      <w:r>
        <w:rPr>
          <w:rFonts w:hint="eastAsia" w:ascii="MS UI Gothic" w:eastAsia="MS UI Gothic"/>
          <w:spacing w:val="-16"/>
        </w:rPr>
        <w:t xml:space="preserve"> ３</w:t>
      </w:r>
      <w:r>
        <w:rPr>
          <w:rFonts w:hint="eastAsia" w:ascii="MS UI Gothic" w:eastAsia="MS UI Gothic"/>
        </w:rPr>
        <w:tab/>
      </w:r>
      <w:r>
        <w:rPr>
          <w:spacing w:val="2"/>
        </w:rPr>
        <w:t>恢复与重建</w:t>
      </w:r>
    </w:p>
    <w:p>
      <w:pPr>
        <w:pStyle w:val="6"/>
        <w:tabs>
          <w:tab w:val="left" w:pos="1524"/>
        </w:tabs>
        <w:spacing w:before="58"/>
        <w:ind w:left="794" w:firstLine="0"/>
        <w:jc w:val="left"/>
      </w:pPr>
      <w:r>
        <w:rPr>
          <w:rFonts w:hint="eastAsia" w:ascii="MS UI Gothic" w:eastAsia="MS UI Gothic"/>
        </w:rPr>
        <w:t>３</w:t>
      </w:r>
      <w:r>
        <w:rPr>
          <w:rFonts w:hint="eastAsia" w:ascii="MS UI Gothic" w:eastAsia="MS UI Gothic"/>
          <w:spacing w:val="-19"/>
        </w:rPr>
        <w:t xml:space="preserve"> ３ １</w:t>
      </w:r>
      <w:r>
        <w:rPr>
          <w:rFonts w:hint="eastAsia" w:ascii="MS UI Gothic" w:eastAsia="MS UI Gothic"/>
        </w:rPr>
        <w:tab/>
      </w:r>
      <w:r>
        <w:rPr>
          <w:spacing w:val="2"/>
        </w:rPr>
        <w:t>善后处置</w:t>
      </w:r>
    </w:p>
    <w:p>
      <w:pPr>
        <w:pStyle w:val="6"/>
        <w:spacing w:before="58" w:line="295" w:lineRule="auto"/>
        <w:ind w:left="381" w:right="124"/>
        <w:rPr>
          <w:rFonts w:hint="eastAsia" w:ascii="MS UI Gothic" w:eastAsia="MS UI Gothic"/>
        </w:rPr>
      </w:pPr>
      <w:r>
        <w:t>要积极稳妥</w:t>
      </w:r>
      <w:r>
        <w:rPr>
          <w:rFonts w:hint="eastAsia" w:ascii="MS UI Gothic" w:eastAsia="MS UI Gothic"/>
          <w:w w:val="80"/>
        </w:rPr>
        <w:t xml:space="preserve">、 </w:t>
      </w:r>
      <w:r>
        <w:t>深入细致地做好善后处置工作</w:t>
      </w:r>
      <w:r>
        <w:rPr>
          <w:rFonts w:hint="eastAsia" w:ascii="MS UI Gothic" w:eastAsia="MS UI Gothic"/>
          <w:w w:val="80"/>
        </w:rPr>
        <w:t xml:space="preserve">ꎮ </w:t>
      </w:r>
      <w:r>
        <w:t>对突发公共事件中的伤亡人员</w:t>
      </w:r>
      <w:r>
        <w:rPr>
          <w:rFonts w:hint="eastAsia" w:ascii="MS UI Gothic" w:eastAsia="MS UI Gothic"/>
          <w:w w:val="80"/>
        </w:rPr>
        <w:t>、</w:t>
      </w:r>
      <w:r>
        <w:t>应急处置工作人员</w:t>
      </w:r>
      <w:r>
        <w:rPr>
          <w:rFonts w:hint="eastAsia" w:ascii="MS UI Gothic" w:eastAsia="MS UI Gothic"/>
          <w:w w:val="80"/>
        </w:rPr>
        <w:t xml:space="preserve">ꎬ </w:t>
      </w:r>
      <w:r>
        <w:t>以及紧急调集</w:t>
      </w:r>
      <w:r>
        <w:rPr>
          <w:rFonts w:hint="eastAsia" w:ascii="MS UI Gothic" w:eastAsia="MS UI Gothic"/>
          <w:w w:val="80"/>
        </w:rPr>
        <w:t xml:space="preserve">、 </w:t>
      </w:r>
      <w:r>
        <w:t>征用有关单位及个人的物资</w:t>
      </w:r>
      <w:r>
        <w:rPr>
          <w:rFonts w:hint="eastAsia" w:ascii="MS UI Gothic" w:eastAsia="MS UI Gothic"/>
          <w:w w:val="80"/>
        </w:rPr>
        <w:t xml:space="preserve">ꎬ </w:t>
      </w:r>
      <w:r>
        <w:t>要按照规定给予抚恤</w:t>
      </w:r>
      <w:r>
        <w:rPr>
          <w:rFonts w:hint="eastAsia" w:ascii="MS UI Gothic" w:eastAsia="MS UI Gothic"/>
          <w:w w:val="80"/>
        </w:rPr>
        <w:t xml:space="preserve">、 </w:t>
      </w:r>
      <w:r>
        <w:t>补助或补偿</w:t>
      </w:r>
      <w:r>
        <w:rPr>
          <w:rFonts w:hint="eastAsia" w:ascii="MS UI Gothic" w:eastAsia="MS UI Gothic"/>
          <w:w w:val="80"/>
        </w:rPr>
        <w:t xml:space="preserve">ꎬ </w:t>
      </w:r>
      <w:r>
        <w:t>并提供心理及司法援助</w:t>
      </w:r>
      <w:r>
        <w:rPr>
          <w:rFonts w:hint="eastAsia" w:ascii="MS UI Gothic" w:eastAsia="MS UI Gothic"/>
          <w:w w:val="80"/>
        </w:rPr>
        <w:t xml:space="preserve">ꎮ </w:t>
      </w:r>
      <w:r>
        <w:t>有关部门要做好疫病防治和环境污染消除工作</w:t>
      </w:r>
      <w:r>
        <w:rPr>
          <w:rFonts w:hint="eastAsia" w:ascii="MS UI Gothic" w:eastAsia="MS UI Gothic"/>
          <w:w w:val="80"/>
        </w:rPr>
        <w:t xml:space="preserve">ꎮ </w:t>
      </w:r>
      <w:r>
        <w:t>保险监管机构督促有关保险机构及时做好有关单位和个人损失的理赔工作</w:t>
      </w:r>
      <w:r>
        <w:rPr>
          <w:rFonts w:hint="eastAsia" w:ascii="MS UI Gothic" w:eastAsia="MS UI Gothic"/>
          <w:w w:val="80"/>
        </w:rPr>
        <w:t>ꎮ</w:t>
      </w:r>
    </w:p>
    <w:p>
      <w:pPr>
        <w:pStyle w:val="6"/>
        <w:tabs>
          <w:tab w:val="left" w:pos="1524"/>
        </w:tabs>
        <w:spacing w:line="249" w:lineRule="exact"/>
        <w:ind w:left="794" w:firstLine="0"/>
        <w:jc w:val="left"/>
      </w:pPr>
      <w:r>
        <w:rPr>
          <w:rFonts w:hint="eastAsia" w:ascii="MS UI Gothic" w:eastAsia="MS UI Gothic"/>
        </w:rPr>
        <w:t>３</w:t>
      </w:r>
      <w:r>
        <w:rPr>
          <w:rFonts w:hint="eastAsia" w:ascii="MS UI Gothic" w:eastAsia="MS UI Gothic"/>
          <w:spacing w:val="-19"/>
        </w:rPr>
        <w:t xml:space="preserve"> ３ ２</w:t>
      </w:r>
      <w:r>
        <w:rPr>
          <w:rFonts w:hint="eastAsia" w:ascii="MS UI Gothic" w:eastAsia="MS UI Gothic"/>
        </w:rPr>
        <w:tab/>
      </w:r>
      <w:r>
        <w:rPr>
          <w:spacing w:val="2"/>
        </w:rPr>
        <w:t>调查与评估</w:t>
      </w:r>
    </w:p>
    <w:p>
      <w:pPr>
        <w:pStyle w:val="6"/>
        <w:spacing w:before="58" w:line="295" w:lineRule="auto"/>
        <w:ind w:left="381" w:right="124"/>
        <w:rPr>
          <w:rFonts w:hint="eastAsia" w:ascii="MS UI Gothic" w:eastAsia="MS UI Gothic"/>
        </w:rPr>
      </w:pPr>
      <w:r>
        <w:rPr>
          <w:spacing w:val="6"/>
        </w:rPr>
        <w:t>要对特别重大突发公共事件的起因</w:t>
      </w:r>
      <w:r>
        <w:rPr>
          <w:rFonts w:hint="eastAsia" w:ascii="MS UI Gothic" w:eastAsia="MS UI Gothic"/>
          <w:w w:val="80"/>
        </w:rPr>
        <w:t>、</w:t>
      </w:r>
      <w:r>
        <w:rPr>
          <w:spacing w:val="3"/>
        </w:rPr>
        <w:t>性质</w:t>
      </w:r>
      <w:r>
        <w:rPr>
          <w:rFonts w:hint="eastAsia" w:ascii="MS UI Gothic" w:eastAsia="MS UI Gothic"/>
          <w:spacing w:val="15"/>
          <w:w w:val="80"/>
        </w:rPr>
        <w:t xml:space="preserve">、 </w:t>
      </w:r>
      <w:r>
        <w:rPr>
          <w:spacing w:val="3"/>
        </w:rPr>
        <w:t>影响</w:t>
      </w:r>
      <w:r>
        <w:rPr>
          <w:rFonts w:hint="eastAsia" w:ascii="MS UI Gothic" w:eastAsia="MS UI Gothic"/>
          <w:spacing w:val="15"/>
          <w:w w:val="80"/>
        </w:rPr>
        <w:t xml:space="preserve">、 </w:t>
      </w:r>
      <w:r>
        <w:rPr>
          <w:spacing w:val="3"/>
        </w:rPr>
        <w:t>责任</w:t>
      </w:r>
      <w:r>
        <w:rPr>
          <w:rFonts w:hint="eastAsia" w:ascii="MS UI Gothic" w:eastAsia="MS UI Gothic"/>
          <w:spacing w:val="16"/>
          <w:w w:val="80"/>
        </w:rPr>
        <w:t xml:space="preserve">、 </w:t>
      </w:r>
      <w:r>
        <w:rPr>
          <w:spacing w:val="2"/>
        </w:rPr>
        <w:t>经验教训和恢复重建</w:t>
      </w:r>
      <w:r>
        <w:rPr>
          <w:spacing w:val="3"/>
        </w:rPr>
        <w:t>等问题进行调查评估</w:t>
      </w:r>
      <w:r>
        <w:rPr>
          <w:rFonts w:hint="eastAsia" w:ascii="MS UI Gothic" w:eastAsia="MS UI Gothic"/>
          <w:w w:val="80"/>
        </w:rPr>
        <w:t>ꎮ</w:t>
      </w:r>
    </w:p>
    <w:p>
      <w:pPr>
        <w:pStyle w:val="6"/>
        <w:tabs>
          <w:tab w:val="left" w:pos="1524"/>
        </w:tabs>
        <w:spacing w:line="254" w:lineRule="exact"/>
        <w:ind w:left="794" w:firstLine="0"/>
        <w:jc w:val="left"/>
      </w:pPr>
      <w:r>
        <w:rPr>
          <w:rFonts w:hint="eastAsia" w:ascii="MS UI Gothic" w:eastAsia="MS UI Gothic"/>
        </w:rPr>
        <w:t>３</w:t>
      </w:r>
      <w:r>
        <w:rPr>
          <w:rFonts w:hint="eastAsia" w:ascii="MS UI Gothic" w:eastAsia="MS UI Gothic"/>
          <w:spacing w:val="-19"/>
        </w:rPr>
        <w:t xml:space="preserve"> ３ ３</w:t>
      </w:r>
      <w:r>
        <w:rPr>
          <w:rFonts w:hint="eastAsia" w:ascii="MS UI Gothic" w:eastAsia="MS UI Gothic"/>
        </w:rPr>
        <w:tab/>
      </w:r>
      <w:r>
        <w:rPr>
          <w:spacing w:val="2"/>
        </w:rPr>
        <w:t>恢复重建</w:t>
      </w:r>
    </w:p>
    <w:p>
      <w:pPr>
        <w:pStyle w:val="6"/>
        <w:spacing w:before="58" w:line="295" w:lineRule="auto"/>
        <w:ind w:left="381" w:right="126"/>
        <w:jc w:val="left"/>
        <w:rPr>
          <w:rFonts w:hint="eastAsia" w:ascii="MS UI Gothic" w:eastAsia="MS UI Gothic"/>
        </w:rPr>
      </w:pPr>
      <w:r>
        <w:t>根据受灾地区恢复重建计划组织实施</w:t>
      </w:r>
      <w:r>
        <w:rPr>
          <w:w w:val="105"/>
        </w:rPr>
        <w:t>恢复重建工作</w:t>
      </w:r>
      <w:r>
        <w:rPr>
          <w:rFonts w:hint="eastAsia" w:ascii="MS UI Gothic" w:eastAsia="MS UI Gothic"/>
          <w:w w:val="80"/>
        </w:rPr>
        <w:t>ꎮ</w:t>
      </w:r>
    </w:p>
    <w:p>
      <w:pPr>
        <w:pStyle w:val="6"/>
        <w:tabs>
          <w:tab w:val="left" w:pos="1318"/>
        </w:tabs>
        <w:spacing w:line="255" w:lineRule="exact"/>
        <w:ind w:left="794" w:firstLine="0"/>
        <w:jc w:val="left"/>
      </w:pPr>
      <w:r>
        <w:rPr>
          <w:rFonts w:hint="eastAsia" w:ascii="MS UI Gothic" w:eastAsia="MS UI Gothic"/>
        </w:rPr>
        <w:t>３</w:t>
      </w:r>
      <w:r>
        <w:rPr>
          <w:rFonts w:hint="eastAsia" w:ascii="MS UI Gothic" w:eastAsia="MS UI Gothic"/>
          <w:spacing w:val="-16"/>
        </w:rPr>
        <w:t xml:space="preserve"> ４</w:t>
      </w:r>
      <w:r>
        <w:rPr>
          <w:rFonts w:hint="eastAsia" w:ascii="MS UI Gothic" w:eastAsia="MS UI Gothic"/>
        </w:rPr>
        <w:tab/>
      </w:r>
      <w:r>
        <w:rPr>
          <w:spacing w:val="2"/>
        </w:rPr>
        <w:t>信息发布</w:t>
      </w:r>
    </w:p>
    <w:p>
      <w:pPr>
        <w:pStyle w:val="6"/>
        <w:spacing w:before="58" w:line="295" w:lineRule="auto"/>
        <w:ind w:left="381" w:right="124"/>
      </w:pPr>
      <w:r>
        <w:t>突发公共事件的信息发布应当及时</w:t>
      </w:r>
      <w:r>
        <w:rPr>
          <w:rFonts w:hint="eastAsia" w:ascii="MS UI Gothic" w:eastAsia="MS UI Gothic"/>
          <w:w w:val="80"/>
        </w:rPr>
        <w:t>、</w:t>
      </w:r>
      <w:r>
        <w:t>准确</w:t>
      </w:r>
      <w:r>
        <w:rPr>
          <w:rFonts w:hint="eastAsia" w:ascii="MS UI Gothic" w:eastAsia="MS UI Gothic"/>
          <w:w w:val="80"/>
        </w:rPr>
        <w:t xml:space="preserve">、 </w:t>
      </w:r>
      <w:r>
        <w:t>客观</w:t>
      </w:r>
      <w:r>
        <w:rPr>
          <w:rFonts w:hint="eastAsia" w:ascii="MS UI Gothic" w:eastAsia="MS UI Gothic"/>
          <w:w w:val="80"/>
        </w:rPr>
        <w:t xml:space="preserve">、 </w:t>
      </w:r>
      <w:r>
        <w:t>全面</w:t>
      </w:r>
      <w:r>
        <w:rPr>
          <w:rFonts w:hint="eastAsia" w:ascii="MS UI Gothic" w:eastAsia="MS UI Gothic"/>
          <w:w w:val="80"/>
        </w:rPr>
        <w:t xml:space="preserve">ꎮ </w:t>
      </w:r>
      <w:r>
        <w:t>事件发生的第一时间要向社会发布简要信息</w:t>
      </w:r>
      <w:r>
        <w:rPr>
          <w:rFonts w:hint="eastAsia" w:ascii="MS UI Gothic" w:eastAsia="MS UI Gothic"/>
          <w:w w:val="80"/>
        </w:rPr>
        <w:t xml:space="preserve">ꎬ </w:t>
      </w:r>
      <w:r>
        <w:t>随后发布初步核实情况</w:t>
      </w:r>
      <w:r>
        <w:rPr>
          <w:rFonts w:hint="eastAsia" w:ascii="MS UI Gothic" w:eastAsia="MS UI Gothic"/>
          <w:w w:val="80"/>
        </w:rPr>
        <w:t xml:space="preserve">、 </w:t>
      </w:r>
      <w:r>
        <w:t>政府应对措施和公众防范措施等</w:t>
      </w:r>
      <w:r>
        <w:rPr>
          <w:rFonts w:hint="eastAsia" w:ascii="MS UI Gothic" w:eastAsia="MS UI Gothic"/>
          <w:w w:val="80"/>
        </w:rPr>
        <w:t xml:space="preserve">ꎬ </w:t>
      </w:r>
      <w:r>
        <w:t>并根据事件处置情况做好后续发布</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pict>
          <v:shape id="_x0000_s1193" o:spid="_x0000_s1193" style="position:absolute;left:0pt;margin-left:0pt;margin-top:700.1pt;height:1.75pt;width:398.25pt;mso-position-horizontal-relative:page;z-index:251721728;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４８</w:t>
      </w:r>
    </w:p>
    <w:p>
      <w:pPr>
        <w:pStyle w:val="6"/>
        <w:spacing w:before="297" w:line="240" w:lineRule="exact"/>
        <w:ind w:firstLine="0"/>
        <w:jc w:val="left"/>
        <w:rPr>
          <w:rFonts w:hint="eastAsia" w:ascii="MS UI Gothic" w:eastAsia="MS UI Gothic"/>
        </w:rPr>
      </w:pPr>
      <w:r>
        <w:t>工作</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pPr>
      <w:r>
        <w:rPr>
          <w:rFonts w:hint="eastAsia" w:ascii="MS UI Gothic" w:hAnsi="MS UI Gothic" w:eastAsia="MS UI Gothic"/>
          <w:w w:val="150"/>
        </w:rPr>
        <w:t xml:space="preserve">( </w:t>
      </w:r>
      <w:r>
        <w:rPr>
          <w:w w:val="110"/>
        </w:rPr>
        <w:t>包括国际组织</w:t>
      </w:r>
      <w:r>
        <w:rPr>
          <w:rFonts w:hint="eastAsia" w:ascii="MS UI Gothic" w:hAnsi="MS UI Gothic" w:eastAsia="MS UI Gothic"/>
          <w:w w:val="150"/>
        </w:rPr>
        <w:t xml:space="preserve">) </w:t>
      </w:r>
      <w:r>
        <w:rPr>
          <w:w w:val="110"/>
        </w:rPr>
        <w:t xml:space="preserve">按照 </w:t>
      </w:r>
      <w:r>
        <w:rPr>
          <w:rFonts w:hint="eastAsia" w:ascii="MS UI Gothic" w:hAnsi="MS UI Gothic" w:eastAsia="MS UI Gothic"/>
        </w:rPr>
        <w:t xml:space="preserve">« </w:t>
      </w:r>
      <w:r>
        <w:rPr>
          <w:w w:val="110"/>
        </w:rPr>
        <w:t>中华人民共和国</w:t>
      </w:r>
    </w:p>
    <w:p>
      <w:pPr>
        <w:spacing w:after="0" w:line="240" w:lineRule="exact"/>
        <w:jc w:val="left"/>
        <w:sectPr>
          <w:pgSz w:w="10500" w:h="14750"/>
          <w:pgMar w:top="960" w:right="980" w:bottom="280" w:left="980" w:header="720" w:footer="720" w:gutter="0"/>
          <w:cols w:equalWidth="0" w:num="2">
            <w:col w:w="998" w:space="1304"/>
            <w:col w:w="6238"/>
          </w:cols>
        </w:sectPr>
      </w:pPr>
    </w:p>
    <w:p>
      <w:pPr>
        <w:pStyle w:val="6"/>
        <w:spacing w:before="74" w:line="295" w:lineRule="auto"/>
        <w:ind w:right="38"/>
        <w:rPr>
          <w:rFonts w:hint="eastAsia" w:ascii="MS UI Gothic" w:eastAsia="MS UI Gothic"/>
        </w:rPr>
      </w:pPr>
      <w:r>
        <w:rPr>
          <w:spacing w:val="3"/>
        </w:rPr>
        <w:t>信息发布形式主要包括授权发布</w:t>
      </w:r>
      <w:r>
        <w:rPr>
          <w:rFonts w:hint="eastAsia" w:ascii="MS UI Gothic" w:eastAsia="MS UI Gothic"/>
          <w:spacing w:val="15"/>
          <w:w w:val="80"/>
        </w:rPr>
        <w:t xml:space="preserve">、 </w:t>
      </w:r>
      <w:r>
        <w:t>散</w:t>
      </w:r>
      <w:r>
        <w:rPr>
          <w:spacing w:val="3"/>
        </w:rPr>
        <w:t>发新闻稿</w:t>
      </w:r>
      <w:r>
        <w:rPr>
          <w:rFonts w:hint="eastAsia" w:ascii="MS UI Gothic" w:eastAsia="MS UI Gothic"/>
          <w:spacing w:val="16"/>
          <w:w w:val="80"/>
        </w:rPr>
        <w:t xml:space="preserve">、 </w:t>
      </w:r>
      <w:r>
        <w:rPr>
          <w:spacing w:val="3"/>
        </w:rPr>
        <w:t>组织报道</w:t>
      </w:r>
      <w:r>
        <w:rPr>
          <w:rFonts w:hint="eastAsia" w:ascii="MS UI Gothic" w:eastAsia="MS UI Gothic"/>
          <w:spacing w:val="16"/>
          <w:w w:val="80"/>
        </w:rPr>
        <w:t xml:space="preserve">、 </w:t>
      </w:r>
      <w:r>
        <w:rPr>
          <w:spacing w:val="3"/>
        </w:rPr>
        <w:t>接受记者采访</w:t>
      </w:r>
      <w:r>
        <w:rPr>
          <w:rFonts w:hint="eastAsia" w:ascii="MS UI Gothic" w:eastAsia="MS UI Gothic"/>
          <w:spacing w:val="16"/>
          <w:w w:val="80"/>
        </w:rPr>
        <w:t xml:space="preserve">、 </w:t>
      </w:r>
      <w:r>
        <w:t>举</w:t>
      </w:r>
      <w:r>
        <w:rPr>
          <w:spacing w:val="3"/>
        </w:rPr>
        <w:t>行新闻发布会等</w:t>
      </w:r>
      <w:r>
        <w:rPr>
          <w:rFonts w:hint="eastAsia" w:ascii="MS UI Gothic" w:eastAsia="MS UI Gothic"/>
          <w:w w:val="80"/>
        </w:rPr>
        <w:t>ꎮ</w:t>
      </w:r>
    </w:p>
    <w:p>
      <w:pPr>
        <w:pStyle w:val="6"/>
        <w:spacing w:line="254" w:lineRule="exact"/>
        <w:ind w:left="538" w:firstLine="0"/>
      </w:pPr>
      <w:r>
        <w:rPr>
          <w:rFonts w:hint="eastAsia" w:ascii="MS UI Gothic" w:eastAsia="MS UI Gothic"/>
          <w:spacing w:val="5"/>
        </w:rPr>
        <w:t xml:space="preserve">４   </w:t>
      </w:r>
      <w:r>
        <w:rPr>
          <w:spacing w:val="2"/>
        </w:rPr>
        <w:t>应急保障</w:t>
      </w:r>
    </w:p>
    <w:p>
      <w:pPr>
        <w:pStyle w:val="6"/>
        <w:spacing w:before="58" w:line="295" w:lineRule="auto"/>
        <w:ind w:right="38"/>
        <w:rPr>
          <w:rFonts w:hint="eastAsia" w:ascii="MS UI Gothic" w:eastAsia="MS UI Gothic"/>
        </w:rPr>
      </w:pPr>
      <w:r>
        <w:rPr>
          <w:spacing w:val="2"/>
        </w:rPr>
        <w:t>各有关部门要按照职责分工和相关预</w:t>
      </w:r>
      <w:r>
        <w:rPr>
          <w:spacing w:val="3"/>
        </w:rPr>
        <w:t>案做好突发公共事件的应对工作</w:t>
      </w:r>
      <w:r>
        <w:rPr>
          <w:rFonts w:hint="eastAsia" w:ascii="MS UI Gothic" w:eastAsia="MS UI Gothic"/>
          <w:spacing w:val="21"/>
          <w:w w:val="80"/>
        </w:rPr>
        <w:t xml:space="preserve">ꎬ </w:t>
      </w:r>
      <w:r>
        <w:rPr>
          <w:spacing w:val="1"/>
        </w:rPr>
        <w:t>同时根</w:t>
      </w:r>
      <w:r>
        <w:rPr>
          <w:spacing w:val="2"/>
        </w:rPr>
        <w:t>据总体预案切实做好应对突发公共事件的</w:t>
      </w:r>
      <w:r>
        <w:rPr>
          <w:spacing w:val="3"/>
        </w:rPr>
        <w:t>人力</w:t>
      </w:r>
      <w:r>
        <w:rPr>
          <w:rFonts w:hint="eastAsia" w:ascii="MS UI Gothic" w:eastAsia="MS UI Gothic"/>
          <w:spacing w:val="12"/>
          <w:w w:val="80"/>
        </w:rPr>
        <w:t xml:space="preserve">、 </w:t>
      </w:r>
      <w:r>
        <w:rPr>
          <w:spacing w:val="3"/>
        </w:rPr>
        <w:t>物力</w:t>
      </w:r>
      <w:r>
        <w:rPr>
          <w:rFonts w:hint="eastAsia" w:ascii="MS UI Gothic" w:eastAsia="MS UI Gothic"/>
          <w:spacing w:val="12"/>
          <w:w w:val="80"/>
        </w:rPr>
        <w:t xml:space="preserve">、 </w:t>
      </w:r>
      <w:r>
        <w:rPr>
          <w:spacing w:val="3"/>
        </w:rPr>
        <w:t>财力</w:t>
      </w:r>
      <w:r>
        <w:rPr>
          <w:rFonts w:hint="eastAsia" w:ascii="MS UI Gothic" w:eastAsia="MS UI Gothic"/>
          <w:spacing w:val="12"/>
          <w:w w:val="80"/>
        </w:rPr>
        <w:t xml:space="preserve">、 </w:t>
      </w:r>
      <w:r>
        <w:rPr>
          <w:spacing w:val="3"/>
        </w:rPr>
        <w:t>交通运输</w:t>
      </w:r>
      <w:r>
        <w:rPr>
          <w:rFonts w:hint="eastAsia" w:ascii="MS UI Gothic" w:eastAsia="MS UI Gothic"/>
          <w:spacing w:val="8"/>
          <w:w w:val="80"/>
        </w:rPr>
        <w:t xml:space="preserve">、  </w:t>
      </w:r>
      <w:r>
        <w:rPr>
          <w:spacing w:val="2"/>
        </w:rPr>
        <w:t>医疗卫生</w:t>
      </w:r>
      <w:r>
        <w:rPr>
          <w:spacing w:val="3"/>
        </w:rPr>
        <w:t>及通信保障等工作</w:t>
      </w:r>
      <w:r>
        <w:rPr>
          <w:rFonts w:hint="eastAsia" w:ascii="MS UI Gothic" w:eastAsia="MS UI Gothic"/>
          <w:spacing w:val="21"/>
          <w:w w:val="80"/>
        </w:rPr>
        <w:t xml:space="preserve">ꎬ </w:t>
      </w:r>
      <w:r>
        <w:rPr>
          <w:spacing w:val="2"/>
        </w:rPr>
        <w:t>保证应急救援工作的</w:t>
      </w:r>
      <w:r>
        <w:rPr>
          <w:spacing w:val="3"/>
        </w:rPr>
        <w:t>需要和灾区群众的基本生活</w:t>
      </w:r>
      <w:r>
        <w:rPr>
          <w:rFonts w:hint="eastAsia" w:ascii="MS UI Gothic" w:eastAsia="MS UI Gothic"/>
          <w:spacing w:val="21"/>
          <w:w w:val="80"/>
        </w:rPr>
        <w:t xml:space="preserve">ꎬ </w:t>
      </w:r>
      <w:r>
        <w:rPr>
          <w:spacing w:val="2"/>
        </w:rPr>
        <w:t>以及恢复重</w:t>
      </w:r>
      <w:r>
        <w:rPr>
          <w:spacing w:val="3"/>
        </w:rPr>
        <w:t>建工作的顺利进行</w:t>
      </w:r>
      <w:r>
        <w:rPr>
          <w:rFonts w:hint="eastAsia" w:ascii="MS UI Gothic" w:eastAsia="MS UI Gothic"/>
          <w:w w:val="80"/>
        </w:rPr>
        <w:t>ꎮ</w:t>
      </w:r>
    </w:p>
    <w:p>
      <w:pPr>
        <w:pStyle w:val="6"/>
        <w:tabs>
          <w:tab w:val="left" w:pos="1062"/>
        </w:tabs>
        <w:spacing w:line="251" w:lineRule="exact"/>
        <w:ind w:left="538" w:firstLine="0"/>
        <w:jc w:val="left"/>
      </w:pPr>
      <w:r>
        <w:rPr>
          <w:rFonts w:hint="eastAsia" w:ascii="MS UI Gothic" w:eastAsia="MS UI Gothic"/>
        </w:rPr>
        <w:t>４</w:t>
      </w:r>
      <w:r>
        <w:rPr>
          <w:rFonts w:hint="eastAsia" w:ascii="MS UI Gothic" w:eastAsia="MS UI Gothic"/>
          <w:spacing w:val="-16"/>
        </w:rPr>
        <w:t xml:space="preserve"> １</w:t>
      </w:r>
      <w:r>
        <w:rPr>
          <w:rFonts w:hint="eastAsia" w:ascii="MS UI Gothic" w:eastAsia="MS UI Gothic"/>
        </w:rPr>
        <w:tab/>
      </w:r>
      <w:r>
        <w:rPr>
          <w:spacing w:val="2"/>
        </w:rPr>
        <w:t>人力资源</w:t>
      </w:r>
    </w:p>
    <w:p>
      <w:pPr>
        <w:pStyle w:val="6"/>
        <w:spacing w:before="59" w:line="295" w:lineRule="auto"/>
        <w:ind w:right="38"/>
        <w:rPr>
          <w:rFonts w:hint="eastAsia" w:ascii="MS UI Gothic" w:eastAsia="MS UI Gothic"/>
        </w:rPr>
      </w:pPr>
      <w:r>
        <w:rPr>
          <w:spacing w:val="14"/>
        </w:rPr>
        <w:t xml:space="preserve">公安 </w:t>
      </w:r>
      <w:r>
        <w:rPr>
          <w:rFonts w:hint="eastAsia" w:ascii="MS UI Gothic" w:eastAsia="MS UI Gothic"/>
          <w:spacing w:val="-22"/>
          <w:w w:val="150"/>
        </w:rPr>
        <w:t xml:space="preserve">( </w:t>
      </w:r>
      <w:r>
        <w:rPr>
          <w:spacing w:val="28"/>
        </w:rPr>
        <w:t>消防</w:t>
      </w:r>
      <w:r>
        <w:rPr>
          <w:rFonts w:hint="eastAsia" w:ascii="MS UI Gothic" w:eastAsia="MS UI Gothic"/>
          <w:spacing w:val="21"/>
          <w:w w:val="150"/>
        </w:rPr>
        <w:t>)</w:t>
      </w:r>
      <w:r>
        <w:rPr>
          <w:rFonts w:hint="eastAsia" w:ascii="MS UI Gothic" w:eastAsia="MS UI Gothic"/>
          <w:spacing w:val="1"/>
          <w:w w:val="80"/>
        </w:rPr>
        <w:t xml:space="preserve">、 </w:t>
      </w:r>
      <w:r>
        <w:rPr>
          <w:spacing w:val="26"/>
        </w:rPr>
        <w:t>医疗卫生</w:t>
      </w:r>
      <w:r>
        <w:rPr>
          <w:rFonts w:hint="eastAsia" w:ascii="MS UI Gothic" w:eastAsia="MS UI Gothic"/>
          <w:spacing w:val="1"/>
          <w:w w:val="80"/>
        </w:rPr>
        <w:t xml:space="preserve">、  </w:t>
      </w:r>
      <w:r>
        <w:rPr>
          <w:spacing w:val="22"/>
        </w:rPr>
        <w:t>地震救</w:t>
      </w:r>
      <w:r>
        <w:rPr>
          <w:spacing w:val="3"/>
        </w:rPr>
        <w:t>援</w:t>
      </w:r>
      <w:r>
        <w:rPr>
          <w:rFonts w:hint="eastAsia" w:ascii="MS UI Gothic" w:eastAsia="MS UI Gothic"/>
          <w:spacing w:val="12"/>
          <w:w w:val="80"/>
        </w:rPr>
        <w:t xml:space="preserve">、 </w:t>
      </w:r>
      <w:r>
        <w:rPr>
          <w:spacing w:val="3"/>
        </w:rPr>
        <w:t>海上搜救</w:t>
      </w:r>
      <w:r>
        <w:rPr>
          <w:rFonts w:hint="eastAsia" w:ascii="MS UI Gothic" w:eastAsia="MS UI Gothic"/>
          <w:spacing w:val="12"/>
          <w:w w:val="80"/>
        </w:rPr>
        <w:t xml:space="preserve">、 </w:t>
      </w:r>
      <w:r>
        <w:rPr>
          <w:spacing w:val="3"/>
        </w:rPr>
        <w:t>矿山救护</w:t>
      </w:r>
      <w:r>
        <w:rPr>
          <w:rFonts w:hint="eastAsia" w:ascii="MS UI Gothic" w:eastAsia="MS UI Gothic"/>
          <w:spacing w:val="12"/>
          <w:w w:val="80"/>
        </w:rPr>
        <w:t xml:space="preserve">、 </w:t>
      </w:r>
      <w:r>
        <w:rPr>
          <w:spacing w:val="3"/>
        </w:rPr>
        <w:t>森林消防</w:t>
      </w:r>
      <w:r>
        <w:rPr>
          <w:rFonts w:hint="eastAsia" w:ascii="MS UI Gothic" w:eastAsia="MS UI Gothic"/>
          <w:spacing w:val="8"/>
          <w:w w:val="80"/>
        </w:rPr>
        <w:t xml:space="preserve">、  </w:t>
      </w:r>
      <w:r>
        <w:t>防</w:t>
      </w:r>
      <w:r>
        <w:rPr>
          <w:spacing w:val="3"/>
        </w:rPr>
        <w:t>洪抢险</w:t>
      </w:r>
      <w:r>
        <w:rPr>
          <w:rFonts w:hint="eastAsia" w:ascii="MS UI Gothic" w:eastAsia="MS UI Gothic"/>
          <w:spacing w:val="16"/>
          <w:w w:val="80"/>
        </w:rPr>
        <w:t xml:space="preserve">、 </w:t>
      </w:r>
      <w:r>
        <w:rPr>
          <w:spacing w:val="3"/>
        </w:rPr>
        <w:t>核与辐射</w:t>
      </w:r>
      <w:r>
        <w:rPr>
          <w:rFonts w:hint="eastAsia" w:ascii="MS UI Gothic" w:eastAsia="MS UI Gothic"/>
          <w:spacing w:val="16"/>
          <w:w w:val="80"/>
        </w:rPr>
        <w:t xml:space="preserve">、 </w:t>
      </w:r>
      <w:r>
        <w:rPr>
          <w:spacing w:val="3"/>
        </w:rPr>
        <w:t>环境监控</w:t>
      </w:r>
      <w:r>
        <w:rPr>
          <w:rFonts w:hint="eastAsia" w:ascii="MS UI Gothic" w:eastAsia="MS UI Gothic"/>
          <w:spacing w:val="16"/>
          <w:w w:val="80"/>
        </w:rPr>
        <w:t xml:space="preserve">、 </w:t>
      </w:r>
      <w:r>
        <w:rPr>
          <w:spacing w:val="2"/>
        </w:rPr>
        <w:t>危险化学</w:t>
      </w:r>
      <w:r>
        <w:rPr>
          <w:spacing w:val="3"/>
        </w:rPr>
        <w:t>品事故救援</w:t>
      </w:r>
      <w:r>
        <w:rPr>
          <w:rFonts w:hint="eastAsia" w:ascii="MS UI Gothic" w:eastAsia="MS UI Gothic"/>
          <w:spacing w:val="16"/>
          <w:w w:val="80"/>
        </w:rPr>
        <w:t xml:space="preserve">、 </w:t>
      </w:r>
      <w:r>
        <w:rPr>
          <w:spacing w:val="3"/>
        </w:rPr>
        <w:t>铁路事故</w:t>
      </w:r>
      <w:r>
        <w:rPr>
          <w:rFonts w:hint="eastAsia" w:ascii="MS UI Gothic" w:eastAsia="MS UI Gothic"/>
          <w:spacing w:val="16"/>
          <w:w w:val="80"/>
        </w:rPr>
        <w:t xml:space="preserve">、 </w:t>
      </w:r>
      <w:r>
        <w:rPr>
          <w:spacing w:val="3"/>
        </w:rPr>
        <w:t>民航事故</w:t>
      </w:r>
      <w:r>
        <w:rPr>
          <w:rFonts w:hint="eastAsia" w:ascii="MS UI Gothic" w:eastAsia="MS UI Gothic"/>
          <w:spacing w:val="16"/>
          <w:w w:val="80"/>
        </w:rPr>
        <w:t xml:space="preserve">、 </w:t>
      </w:r>
      <w:r>
        <w:rPr>
          <w:spacing w:val="1"/>
        </w:rPr>
        <w:t>基础</w:t>
      </w:r>
      <w:r>
        <w:rPr>
          <w:spacing w:val="3"/>
        </w:rPr>
        <w:t>信息网络和重要信息系统事故处置</w:t>
      </w:r>
      <w:r>
        <w:rPr>
          <w:rFonts w:hint="eastAsia" w:ascii="MS UI Gothic" w:eastAsia="MS UI Gothic"/>
          <w:spacing w:val="21"/>
          <w:w w:val="80"/>
        </w:rPr>
        <w:t xml:space="preserve">ꎬ </w:t>
      </w:r>
      <w:r>
        <w:rPr>
          <w:spacing w:val="1"/>
        </w:rPr>
        <w:t>以及</w:t>
      </w:r>
      <w:r>
        <w:rPr>
          <w:spacing w:val="3"/>
        </w:rPr>
        <w:t>水</w:t>
      </w:r>
      <w:r>
        <w:rPr>
          <w:rFonts w:hint="eastAsia" w:ascii="MS UI Gothic" w:eastAsia="MS UI Gothic"/>
          <w:spacing w:val="16"/>
          <w:w w:val="80"/>
        </w:rPr>
        <w:t xml:space="preserve">、 </w:t>
      </w:r>
      <w:r>
        <w:rPr>
          <w:spacing w:val="3"/>
        </w:rPr>
        <w:t>电</w:t>
      </w:r>
      <w:r>
        <w:rPr>
          <w:rFonts w:hint="eastAsia" w:ascii="MS UI Gothic" w:eastAsia="MS UI Gothic"/>
          <w:spacing w:val="16"/>
          <w:w w:val="80"/>
        </w:rPr>
        <w:t xml:space="preserve">、 </w:t>
      </w:r>
      <w:r>
        <w:rPr>
          <w:spacing w:val="3"/>
        </w:rPr>
        <w:t>油</w:t>
      </w:r>
      <w:r>
        <w:rPr>
          <w:rFonts w:hint="eastAsia" w:ascii="MS UI Gothic" w:eastAsia="MS UI Gothic"/>
          <w:spacing w:val="16"/>
          <w:w w:val="80"/>
        </w:rPr>
        <w:t xml:space="preserve">、 </w:t>
      </w:r>
      <w:r>
        <w:rPr>
          <w:spacing w:val="2"/>
        </w:rPr>
        <w:t>气等工程抢险救援队伍是应</w:t>
      </w:r>
      <w:r>
        <w:rPr>
          <w:spacing w:val="3"/>
        </w:rPr>
        <w:t>急救援的专业队伍和骨干力量</w:t>
      </w:r>
      <w:r>
        <w:rPr>
          <w:rFonts w:hint="eastAsia" w:ascii="MS UI Gothic" w:eastAsia="MS UI Gothic"/>
          <w:spacing w:val="21"/>
          <w:w w:val="80"/>
        </w:rPr>
        <w:t xml:space="preserve">ꎮ </w:t>
      </w:r>
      <w:r>
        <w:rPr>
          <w:spacing w:val="2"/>
        </w:rPr>
        <w:t>地方各级</w:t>
      </w:r>
      <w:r>
        <w:rPr>
          <w:spacing w:val="3"/>
        </w:rPr>
        <w:t>人民政府和有关部门</w:t>
      </w:r>
      <w:r>
        <w:rPr>
          <w:rFonts w:hint="eastAsia" w:ascii="MS UI Gothic" w:eastAsia="MS UI Gothic"/>
          <w:spacing w:val="19"/>
          <w:w w:val="80"/>
        </w:rPr>
        <w:t xml:space="preserve">、 </w:t>
      </w:r>
      <w:r>
        <w:rPr>
          <w:spacing w:val="2"/>
        </w:rPr>
        <w:t>单位要加强应急救</w:t>
      </w:r>
      <w:r>
        <w:rPr>
          <w:spacing w:val="3"/>
        </w:rPr>
        <w:t>援队伍的业务培训和应急演练</w:t>
      </w:r>
      <w:r>
        <w:rPr>
          <w:rFonts w:hint="eastAsia" w:ascii="MS UI Gothic" w:eastAsia="MS UI Gothic"/>
          <w:spacing w:val="21"/>
          <w:w w:val="80"/>
        </w:rPr>
        <w:t xml:space="preserve">ꎬ </w:t>
      </w:r>
      <w:r>
        <w:rPr>
          <w:spacing w:val="2"/>
        </w:rPr>
        <w:t>建立联动</w:t>
      </w:r>
      <w:r>
        <w:rPr>
          <w:spacing w:val="6"/>
        </w:rPr>
        <w:t>协调机制</w:t>
      </w:r>
      <w:r>
        <w:rPr>
          <w:rFonts w:hint="eastAsia" w:ascii="MS UI Gothic" w:eastAsia="MS UI Gothic"/>
          <w:spacing w:val="2"/>
          <w:w w:val="80"/>
        </w:rPr>
        <w:t xml:space="preserve">ꎬ </w:t>
      </w:r>
      <w:r>
        <w:rPr>
          <w:spacing w:val="19"/>
        </w:rPr>
        <w:t>提高装备水平</w:t>
      </w:r>
      <w:r>
        <w:rPr>
          <w:rFonts w:hint="eastAsia" w:ascii="MS UI Gothic" w:eastAsia="MS UI Gothic"/>
          <w:spacing w:val="3"/>
          <w:w w:val="80"/>
        </w:rPr>
        <w:t xml:space="preserve">ꎻ </w:t>
      </w:r>
      <w:r>
        <w:rPr>
          <w:spacing w:val="18"/>
        </w:rPr>
        <w:t>动员社会团</w:t>
      </w:r>
      <w:r>
        <w:rPr>
          <w:spacing w:val="3"/>
        </w:rPr>
        <w:t>体</w:t>
      </w:r>
      <w:r>
        <w:rPr>
          <w:rFonts w:hint="eastAsia" w:ascii="MS UI Gothic" w:eastAsia="MS UI Gothic"/>
          <w:spacing w:val="19"/>
          <w:w w:val="80"/>
        </w:rPr>
        <w:t xml:space="preserve">、 </w:t>
      </w:r>
      <w:r>
        <w:rPr>
          <w:spacing w:val="2"/>
        </w:rPr>
        <w:t>企事业单位以及志愿者等各种社会力</w:t>
      </w:r>
      <w:r>
        <w:rPr>
          <w:spacing w:val="3"/>
        </w:rPr>
        <w:t>量参与应急救援工作</w:t>
      </w:r>
      <w:r>
        <w:rPr>
          <w:rFonts w:hint="eastAsia" w:ascii="MS UI Gothic" w:eastAsia="MS UI Gothic"/>
          <w:spacing w:val="21"/>
          <w:w w:val="80"/>
        </w:rPr>
        <w:t xml:space="preserve">ꎻ </w:t>
      </w:r>
      <w:r>
        <w:rPr>
          <w:spacing w:val="2"/>
        </w:rPr>
        <w:t>增进国际间的交流</w:t>
      </w:r>
      <w:r>
        <w:rPr>
          <w:spacing w:val="3"/>
        </w:rPr>
        <w:t>与合作</w:t>
      </w:r>
      <w:r>
        <w:rPr>
          <w:rFonts w:hint="eastAsia" w:ascii="MS UI Gothic" w:eastAsia="MS UI Gothic"/>
          <w:spacing w:val="21"/>
          <w:w w:val="80"/>
        </w:rPr>
        <w:t xml:space="preserve">ꎮ </w:t>
      </w:r>
      <w:r>
        <w:rPr>
          <w:spacing w:val="2"/>
        </w:rPr>
        <w:t>要加强以乡镇和社区为单位的公</w:t>
      </w:r>
      <w:r>
        <w:rPr>
          <w:spacing w:val="3"/>
        </w:rPr>
        <w:t>众应急能力建设</w:t>
      </w:r>
      <w:r>
        <w:rPr>
          <w:rFonts w:hint="eastAsia" w:ascii="MS UI Gothic" w:eastAsia="MS UI Gothic"/>
          <w:spacing w:val="21"/>
          <w:w w:val="80"/>
        </w:rPr>
        <w:t xml:space="preserve">ꎬ </w:t>
      </w:r>
      <w:r>
        <w:rPr>
          <w:spacing w:val="2"/>
        </w:rPr>
        <w:t>发挥其在应对突发公共</w:t>
      </w:r>
      <w:r>
        <w:rPr>
          <w:spacing w:val="3"/>
        </w:rPr>
        <w:t>事件中的重要作用</w:t>
      </w:r>
      <w:r>
        <w:rPr>
          <w:rFonts w:hint="eastAsia" w:ascii="MS UI Gothic" w:eastAsia="MS UI Gothic"/>
          <w:w w:val="80"/>
        </w:rPr>
        <w:t>ꎮ</w:t>
      </w:r>
    </w:p>
    <w:p>
      <w:pPr>
        <w:pStyle w:val="6"/>
        <w:spacing w:line="295" w:lineRule="auto"/>
        <w:ind w:right="38"/>
        <w:rPr>
          <w:rFonts w:hint="eastAsia" w:ascii="MS UI Gothic" w:eastAsia="MS UI Gothic"/>
        </w:rPr>
      </w:pPr>
      <w:r>
        <w:t>中国人民解放军和中国人民武装警察部队是处置突发公共事件的骨干和突击力</w:t>
      </w:r>
      <w:r>
        <w:rPr>
          <w:w w:val="105"/>
        </w:rPr>
        <w:t>量</w:t>
      </w:r>
      <w:r>
        <w:rPr>
          <w:rFonts w:hint="eastAsia" w:ascii="MS UI Gothic" w:eastAsia="MS UI Gothic"/>
          <w:w w:val="80"/>
        </w:rPr>
        <w:t xml:space="preserve">ꎬ </w:t>
      </w:r>
      <w:r>
        <w:rPr>
          <w:w w:val="105"/>
        </w:rPr>
        <w:t>按照有关规定参加应急处置工作</w:t>
      </w:r>
      <w:r>
        <w:rPr>
          <w:rFonts w:hint="eastAsia" w:ascii="MS UI Gothic" w:eastAsia="MS UI Gothic"/>
          <w:w w:val="80"/>
        </w:rPr>
        <w:t>ꎮ</w:t>
      </w:r>
    </w:p>
    <w:p>
      <w:pPr>
        <w:pStyle w:val="6"/>
        <w:tabs>
          <w:tab w:val="left" w:pos="1062"/>
        </w:tabs>
        <w:spacing w:line="254" w:lineRule="exact"/>
        <w:ind w:left="538" w:firstLine="0"/>
        <w:jc w:val="left"/>
      </w:pPr>
      <w:r>
        <w:rPr>
          <w:rFonts w:hint="eastAsia" w:ascii="MS UI Gothic" w:eastAsia="MS UI Gothic"/>
        </w:rPr>
        <w:t>４</w:t>
      </w:r>
      <w:r>
        <w:rPr>
          <w:rFonts w:hint="eastAsia" w:ascii="MS UI Gothic" w:eastAsia="MS UI Gothic"/>
          <w:spacing w:val="-16"/>
        </w:rPr>
        <w:t xml:space="preserve"> ２</w:t>
      </w:r>
      <w:r>
        <w:rPr>
          <w:rFonts w:hint="eastAsia" w:ascii="MS UI Gothic" w:eastAsia="MS UI Gothic"/>
        </w:rPr>
        <w:tab/>
      </w:r>
      <w:r>
        <w:rPr>
          <w:spacing w:val="2"/>
        </w:rPr>
        <w:t>财力保障</w:t>
      </w:r>
    </w:p>
    <w:p>
      <w:pPr>
        <w:pStyle w:val="6"/>
        <w:spacing w:before="46" w:line="295" w:lineRule="auto"/>
        <w:ind w:right="38"/>
        <w:rPr>
          <w:rFonts w:hint="eastAsia" w:ascii="MS UI Gothic" w:eastAsia="MS UI Gothic"/>
        </w:rPr>
      </w:pPr>
      <w:r>
        <w:t>要保证所需突发公共事件应急准备和救援工作资金</w:t>
      </w:r>
      <w:r>
        <w:rPr>
          <w:rFonts w:hint="eastAsia" w:ascii="MS UI Gothic" w:eastAsia="MS UI Gothic"/>
          <w:w w:val="80"/>
        </w:rPr>
        <w:t xml:space="preserve">ꎮ </w:t>
      </w:r>
      <w:r>
        <w:t>对受突发公共事件影响较</w:t>
      </w:r>
      <w:r>
        <w:rPr>
          <w:w w:val="105"/>
        </w:rPr>
        <w:t>大的行业</w:t>
      </w:r>
      <w:r>
        <w:rPr>
          <w:rFonts w:hint="eastAsia" w:ascii="MS UI Gothic" w:eastAsia="MS UI Gothic"/>
          <w:w w:val="80"/>
        </w:rPr>
        <w:t xml:space="preserve">、 </w:t>
      </w:r>
      <w:r>
        <w:rPr>
          <w:w w:val="105"/>
        </w:rPr>
        <w:t>企事业单位和个人要及时研究</w:t>
      </w:r>
      <w:r>
        <w:t>提出相应的补偿或救助政策</w:t>
      </w:r>
      <w:r>
        <w:rPr>
          <w:rFonts w:hint="eastAsia" w:ascii="MS UI Gothic" w:eastAsia="MS UI Gothic"/>
          <w:w w:val="80"/>
        </w:rPr>
        <w:t xml:space="preserve">ꎮ </w:t>
      </w:r>
      <w:r>
        <w:t>要对突发公共事件财政应急保障资金的使用和效果进</w:t>
      </w:r>
      <w:r>
        <w:rPr>
          <w:w w:val="105"/>
        </w:rPr>
        <w:t>行监管和评估</w:t>
      </w:r>
      <w:r>
        <w:rPr>
          <w:rFonts w:hint="eastAsia" w:ascii="MS UI Gothic" w:eastAsia="MS UI Gothic"/>
          <w:w w:val="80"/>
        </w:rPr>
        <w:t>ꎮ</w:t>
      </w:r>
    </w:p>
    <w:p>
      <w:pPr>
        <w:pStyle w:val="6"/>
        <w:spacing w:line="251" w:lineRule="exact"/>
        <w:ind w:left="543" w:firstLine="0"/>
        <w:jc w:val="left"/>
      </w:pPr>
      <w:r>
        <w:t>鼓励自然人</w:t>
      </w:r>
      <w:r>
        <w:rPr>
          <w:rFonts w:hint="eastAsia" w:ascii="MS UI Gothic" w:eastAsia="MS UI Gothic"/>
        </w:rPr>
        <w:t xml:space="preserve">、 </w:t>
      </w:r>
      <w:r>
        <w:t>法人或者其他组织</w:t>
      </w:r>
    </w:p>
    <w:p>
      <w:pPr>
        <w:pStyle w:val="6"/>
        <w:spacing w:before="74" w:line="295" w:lineRule="auto"/>
        <w:ind w:right="442" w:firstLine="0"/>
        <w:jc w:val="left"/>
        <w:rPr>
          <w:rFonts w:hint="eastAsia" w:ascii="MS UI Gothic" w:hAnsi="MS UI Gothic" w:eastAsia="MS UI Gothic"/>
        </w:rPr>
      </w:pPr>
      <w:r>
        <w:br w:type="column"/>
      </w:r>
      <w:r>
        <w:t>公益事业捐赠法</w:t>
      </w:r>
      <w:r>
        <w:rPr>
          <w:rFonts w:hint="eastAsia" w:ascii="MS UI Gothic" w:hAnsi="MS UI Gothic" w:eastAsia="MS UI Gothic"/>
          <w:w w:val="80"/>
        </w:rPr>
        <w:t xml:space="preserve">» </w:t>
      </w:r>
      <w:r>
        <w:t>等有关法律</w:t>
      </w:r>
      <w:r>
        <w:rPr>
          <w:rFonts w:hint="eastAsia" w:ascii="MS UI Gothic" w:hAnsi="MS UI Gothic" w:eastAsia="MS UI Gothic"/>
          <w:w w:val="80"/>
        </w:rPr>
        <w:t xml:space="preserve">、  </w:t>
      </w:r>
      <w:r>
        <w:t>法规的规定进行捐赠和援助</w:t>
      </w:r>
      <w:r>
        <w:rPr>
          <w:rFonts w:hint="eastAsia" w:ascii="MS UI Gothic" w:hAnsi="MS UI Gothic" w:eastAsia="MS UI Gothic"/>
          <w:w w:val="80"/>
        </w:rPr>
        <w:t>ꎮ</w:t>
      </w:r>
    </w:p>
    <w:p>
      <w:pPr>
        <w:pStyle w:val="6"/>
        <w:spacing w:line="255" w:lineRule="exact"/>
        <w:ind w:left="538" w:firstLine="0"/>
      </w:pPr>
      <w:r>
        <w:rPr>
          <w:rFonts w:hint="eastAsia" w:ascii="MS UI Gothic" w:eastAsia="MS UI Gothic"/>
        </w:rPr>
        <w:t xml:space="preserve">４ ３ </w:t>
      </w:r>
      <w:r>
        <w:t>物资保障</w:t>
      </w:r>
    </w:p>
    <w:p>
      <w:pPr>
        <w:pStyle w:val="6"/>
        <w:spacing w:before="58" w:line="295" w:lineRule="auto"/>
        <w:ind w:right="442"/>
        <w:rPr>
          <w:rFonts w:hint="eastAsia" w:ascii="MS UI Gothic" w:eastAsia="MS UI Gothic"/>
        </w:rPr>
      </w:pPr>
      <w:r>
        <w:rPr>
          <w:spacing w:val="3"/>
        </w:rPr>
        <w:t>要建立健全应急物资监测网络</w:t>
      </w:r>
      <w:r>
        <w:rPr>
          <w:rFonts w:hint="eastAsia" w:ascii="MS UI Gothic" w:eastAsia="MS UI Gothic"/>
          <w:spacing w:val="12"/>
          <w:w w:val="80"/>
        </w:rPr>
        <w:t xml:space="preserve">、 </w:t>
      </w:r>
      <w:r>
        <w:rPr>
          <w:spacing w:val="1"/>
        </w:rPr>
        <w:t>预警</w:t>
      </w:r>
      <w:r>
        <w:rPr>
          <w:spacing w:val="3"/>
        </w:rPr>
        <w:t>体系和应急物资生产</w:t>
      </w:r>
      <w:r>
        <w:rPr>
          <w:rFonts w:hint="eastAsia" w:ascii="MS UI Gothic" w:eastAsia="MS UI Gothic"/>
          <w:spacing w:val="22"/>
          <w:w w:val="80"/>
        </w:rPr>
        <w:t xml:space="preserve">、 </w:t>
      </w:r>
      <w:r>
        <w:rPr>
          <w:spacing w:val="3"/>
        </w:rPr>
        <w:t>储备</w:t>
      </w:r>
      <w:r>
        <w:rPr>
          <w:rFonts w:hint="eastAsia" w:ascii="MS UI Gothic" w:eastAsia="MS UI Gothic"/>
          <w:spacing w:val="23"/>
          <w:w w:val="80"/>
        </w:rPr>
        <w:t xml:space="preserve">、 </w:t>
      </w:r>
      <w:r>
        <w:rPr>
          <w:spacing w:val="2"/>
        </w:rPr>
        <w:t>调拨及紧急</w:t>
      </w:r>
      <w:r>
        <w:rPr>
          <w:spacing w:val="3"/>
        </w:rPr>
        <w:t>配送体系</w:t>
      </w:r>
      <w:r>
        <w:rPr>
          <w:rFonts w:hint="eastAsia" w:ascii="MS UI Gothic" w:eastAsia="MS UI Gothic"/>
          <w:spacing w:val="23"/>
          <w:w w:val="80"/>
        </w:rPr>
        <w:t xml:space="preserve">ꎬ </w:t>
      </w:r>
      <w:r>
        <w:rPr>
          <w:spacing w:val="3"/>
        </w:rPr>
        <w:t>完善应急工作程序</w:t>
      </w:r>
      <w:r>
        <w:rPr>
          <w:rFonts w:hint="eastAsia" w:ascii="MS UI Gothic" w:eastAsia="MS UI Gothic"/>
          <w:spacing w:val="23"/>
          <w:w w:val="80"/>
        </w:rPr>
        <w:t xml:space="preserve">ꎬ </w:t>
      </w:r>
      <w:r>
        <w:rPr>
          <w:spacing w:val="2"/>
        </w:rPr>
        <w:t>确保应急</w:t>
      </w:r>
      <w:r>
        <w:rPr>
          <w:spacing w:val="3"/>
        </w:rPr>
        <w:t>所需物资和生活用品的及时供应</w:t>
      </w:r>
      <w:r>
        <w:rPr>
          <w:rFonts w:hint="eastAsia" w:ascii="MS UI Gothic" w:eastAsia="MS UI Gothic"/>
          <w:spacing w:val="20"/>
          <w:w w:val="80"/>
        </w:rPr>
        <w:t xml:space="preserve">ꎬ </w:t>
      </w:r>
      <w:r>
        <w:rPr>
          <w:spacing w:val="1"/>
        </w:rPr>
        <w:t>并加强</w:t>
      </w:r>
      <w:r>
        <w:rPr>
          <w:spacing w:val="3"/>
        </w:rPr>
        <w:t>对物资储备的监督管理</w:t>
      </w:r>
      <w:r>
        <w:rPr>
          <w:rFonts w:hint="eastAsia" w:ascii="MS UI Gothic" w:eastAsia="MS UI Gothic"/>
          <w:spacing w:val="20"/>
          <w:w w:val="80"/>
        </w:rPr>
        <w:t xml:space="preserve">ꎬ </w:t>
      </w:r>
      <w:r>
        <w:rPr>
          <w:spacing w:val="2"/>
        </w:rPr>
        <w:t>及时予以补充和</w:t>
      </w:r>
      <w:r>
        <w:rPr>
          <w:spacing w:val="3"/>
        </w:rPr>
        <w:t>更新</w:t>
      </w:r>
      <w:r>
        <w:rPr>
          <w:rFonts w:hint="eastAsia" w:ascii="MS UI Gothic" w:eastAsia="MS UI Gothic"/>
          <w:w w:val="80"/>
        </w:rPr>
        <w:t>ꎮ</w:t>
      </w:r>
    </w:p>
    <w:p>
      <w:pPr>
        <w:pStyle w:val="6"/>
        <w:spacing w:line="295" w:lineRule="auto"/>
        <w:ind w:right="440"/>
        <w:rPr>
          <w:rFonts w:hint="eastAsia" w:ascii="MS UI Gothic" w:eastAsia="MS UI Gothic"/>
        </w:rPr>
      </w:pPr>
      <w:r>
        <w:rPr>
          <w:spacing w:val="6"/>
        </w:rPr>
        <w:t>地方各级人民政府应根据有关法律</w:t>
      </w:r>
      <w:r>
        <w:rPr>
          <w:rFonts w:hint="eastAsia" w:ascii="MS UI Gothic" w:eastAsia="MS UI Gothic"/>
          <w:w w:val="80"/>
        </w:rPr>
        <w:t>、</w:t>
      </w:r>
      <w:r>
        <w:rPr>
          <w:spacing w:val="12"/>
        </w:rPr>
        <w:t>法规和应急预案的规定</w:t>
      </w:r>
      <w:r>
        <w:rPr>
          <w:rFonts w:hint="eastAsia" w:ascii="MS UI Gothic" w:eastAsia="MS UI Gothic"/>
          <w:spacing w:val="23"/>
          <w:w w:val="80"/>
        </w:rPr>
        <w:t xml:space="preserve">ꎬ </w:t>
      </w:r>
      <w:r>
        <w:rPr>
          <w:spacing w:val="15"/>
        </w:rPr>
        <w:t>做好物资储备</w:t>
      </w:r>
      <w:r>
        <w:rPr>
          <w:spacing w:val="3"/>
        </w:rPr>
        <w:t>工作</w:t>
      </w:r>
      <w:r>
        <w:rPr>
          <w:rFonts w:hint="eastAsia" w:ascii="MS UI Gothic" w:eastAsia="MS UI Gothic"/>
          <w:w w:val="80"/>
        </w:rPr>
        <w:t>ꎮ</w:t>
      </w:r>
    </w:p>
    <w:p>
      <w:pPr>
        <w:pStyle w:val="6"/>
        <w:spacing w:line="254" w:lineRule="exact"/>
        <w:ind w:left="538" w:firstLine="0"/>
      </w:pPr>
      <w:r>
        <w:rPr>
          <w:rFonts w:hint="eastAsia" w:ascii="MS UI Gothic" w:eastAsia="MS UI Gothic"/>
        </w:rPr>
        <w:t xml:space="preserve">４ ４ </w:t>
      </w:r>
      <w:r>
        <w:t>基本生活保障</w:t>
      </w:r>
    </w:p>
    <w:p>
      <w:pPr>
        <w:pStyle w:val="6"/>
        <w:spacing w:before="54" w:line="295" w:lineRule="auto"/>
        <w:ind w:right="442"/>
        <w:rPr>
          <w:rFonts w:hint="eastAsia" w:ascii="MS UI Gothic" w:eastAsia="MS UI Gothic"/>
        </w:rPr>
      </w:pPr>
      <w:r>
        <w:t>要做好受灾群众的基本生活保障工作</w:t>
      </w:r>
      <w:r>
        <w:rPr>
          <w:rFonts w:hint="eastAsia" w:ascii="MS UI Gothic" w:eastAsia="MS UI Gothic"/>
          <w:w w:val="80"/>
        </w:rPr>
        <w:t xml:space="preserve">ꎬ </w:t>
      </w:r>
      <w:r>
        <w:t>确保灾区群众有饭吃</w:t>
      </w:r>
      <w:r>
        <w:rPr>
          <w:rFonts w:hint="eastAsia" w:ascii="MS UI Gothic" w:eastAsia="MS UI Gothic"/>
          <w:w w:val="80"/>
        </w:rPr>
        <w:t xml:space="preserve">、 </w:t>
      </w:r>
      <w:r>
        <w:t>有水喝</w:t>
      </w:r>
      <w:r>
        <w:rPr>
          <w:rFonts w:hint="eastAsia" w:ascii="MS UI Gothic" w:eastAsia="MS UI Gothic"/>
          <w:w w:val="80"/>
        </w:rPr>
        <w:t xml:space="preserve">、 </w:t>
      </w:r>
      <w:r>
        <w:t>有衣穿</w:t>
      </w:r>
      <w:r>
        <w:rPr>
          <w:rFonts w:hint="eastAsia" w:ascii="MS UI Gothic" w:eastAsia="MS UI Gothic"/>
          <w:w w:val="80"/>
        </w:rPr>
        <w:t xml:space="preserve">、 </w:t>
      </w:r>
      <w:r>
        <w:t>有住处</w:t>
      </w:r>
      <w:r>
        <w:rPr>
          <w:rFonts w:hint="eastAsia" w:ascii="MS UI Gothic" w:eastAsia="MS UI Gothic"/>
          <w:w w:val="80"/>
        </w:rPr>
        <w:t xml:space="preserve">、 </w:t>
      </w:r>
      <w:r>
        <w:t>有病能得到及时医治</w:t>
      </w:r>
      <w:r>
        <w:rPr>
          <w:rFonts w:hint="eastAsia" w:ascii="MS UI Gothic" w:eastAsia="MS UI Gothic"/>
          <w:w w:val="80"/>
        </w:rPr>
        <w:t>ꎮ</w:t>
      </w:r>
    </w:p>
    <w:p>
      <w:pPr>
        <w:pStyle w:val="6"/>
        <w:spacing w:line="254" w:lineRule="exact"/>
        <w:ind w:left="538" w:firstLine="0"/>
      </w:pPr>
      <w:r>
        <w:rPr>
          <w:rFonts w:hint="eastAsia" w:ascii="MS UI Gothic" w:eastAsia="MS UI Gothic"/>
        </w:rPr>
        <w:t xml:space="preserve">４ ５ </w:t>
      </w:r>
      <w:r>
        <w:t>医疗卫生保障</w:t>
      </w:r>
    </w:p>
    <w:p>
      <w:pPr>
        <w:pStyle w:val="6"/>
        <w:spacing w:before="58" w:line="295" w:lineRule="auto"/>
        <w:ind w:right="442"/>
        <w:rPr>
          <w:rFonts w:hint="eastAsia" w:ascii="MS UI Gothic" w:eastAsia="MS UI Gothic"/>
        </w:rPr>
      </w:pPr>
      <w:r>
        <w:t>卫生部门负责组建医疗卫生应急专业技术队伍</w:t>
      </w:r>
      <w:r>
        <w:rPr>
          <w:rFonts w:hint="eastAsia" w:ascii="MS UI Gothic" w:eastAsia="MS UI Gothic"/>
          <w:w w:val="80"/>
        </w:rPr>
        <w:t xml:space="preserve">ꎬ </w:t>
      </w:r>
      <w:r>
        <w:t>根据需要及时赴现场开展医疗救治</w:t>
      </w:r>
      <w:r>
        <w:rPr>
          <w:rFonts w:hint="eastAsia" w:ascii="MS UI Gothic" w:eastAsia="MS UI Gothic"/>
          <w:w w:val="80"/>
        </w:rPr>
        <w:t xml:space="preserve">、 </w:t>
      </w:r>
      <w:r>
        <w:t>疾病预防控制等卫生应急工作</w:t>
      </w:r>
      <w:r>
        <w:rPr>
          <w:rFonts w:hint="eastAsia" w:ascii="MS UI Gothic" w:eastAsia="MS UI Gothic"/>
          <w:w w:val="80"/>
        </w:rPr>
        <w:t xml:space="preserve">ꎮ </w:t>
      </w:r>
      <w:r>
        <w:t>及时为受灾地区提供药品</w:t>
      </w:r>
      <w:r>
        <w:rPr>
          <w:rFonts w:hint="eastAsia" w:ascii="MS UI Gothic" w:eastAsia="MS UI Gothic"/>
          <w:w w:val="80"/>
        </w:rPr>
        <w:t xml:space="preserve">、 </w:t>
      </w:r>
      <w:r>
        <w:t>器械等卫生和医疗设备</w:t>
      </w:r>
      <w:r>
        <w:rPr>
          <w:rFonts w:hint="eastAsia" w:ascii="MS UI Gothic" w:eastAsia="MS UI Gothic"/>
          <w:w w:val="80"/>
        </w:rPr>
        <w:t xml:space="preserve">ꎮ </w:t>
      </w:r>
      <w:r>
        <w:t>必要时</w:t>
      </w:r>
      <w:r>
        <w:rPr>
          <w:rFonts w:hint="eastAsia" w:ascii="MS UI Gothic" w:eastAsia="MS UI Gothic"/>
          <w:w w:val="80"/>
        </w:rPr>
        <w:t xml:space="preserve">ꎬ </w:t>
      </w:r>
      <w:r>
        <w:t>组织动员红十字会等社会卫生力量参与医疗卫生救助工作</w:t>
      </w:r>
      <w:r>
        <w:rPr>
          <w:rFonts w:hint="eastAsia" w:ascii="MS UI Gothic" w:eastAsia="MS UI Gothic"/>
          <w:w w:val="80"/>
        </w:rPr>
        <w:t>ꎮ</w:t>
      </w:r>
    </w:p>
    <w:p>
      <w:pPr>
        <w:pStyle w:val="6"/>
        <w:spacing w:line="251" w:lineRule="exact"/>
        <w:ind w:left="538" w:firstLine="0"/>
      </w:pPr>
      <w:r>
        <w:rPr>
          <w:rFonts w:hint="eastAsia" w:ascii="MS UI Gothic" w:eastAsia="MS UI Gothic"/>
        </w:rPr>
        <w:t xml:space="preserve">４ ６ </w:t>
      </w:r>
      <w:r>
        <w:t>交通运输保障</w:t>
      </w:r>
    </w:p>
    <w:p>
      <w:pPr>
        <w:pStyle w:val="6"/>
        <w:spacing w:before="58" w:line="295" w:lineRule="auto"/>
        <w:ind w:right="442"/>
        <w:rPr>
          <w:rFonts w:hint="eastAsia" w:ascii="MS UI Gothic" w:eastAsia="MS UI Gothic"/>
        </w:rPr>
      </w:pPr>
      <w:r>
        <w:t>要保证紧急情况下应急交通工具的优先安排</w:t>
      </w:r>
      <w:r>
        <w:rPr>
          <w:rFonts w:hint="eastAsia" w:ascii="MS UI Gothic" w:eastAsia="MS UI Gothic"/>
          <w:w w:val="80"/>
        </w:rPr>
        <w:t xml:space="preserve">、 </w:t>
      </w:r>
      <w:r>
        <w:t>优先调度</w:t>
      </w:r>
      <w:r>
        <w:rPr>
          <w:rFonts w:hint="eastAsia" w:ascii="MS UI Gothic" w:eastAsia="MS UI Gothic"/>
          <w:w w:val="80"/>
        </w:rPr>
        <w:t xml:space="preserve">、 </w:t>
      </w:r>
      <w:r>
        <w:t>优先放行</w:t>
      </w:r>
      <w:r>
        <w:rPr>
          <w:rFonts w:hint="eastAsia" w:ascii="MS UI Gothic" w:eastAsia="MS UI Gothic"/>
          <w:w w:val="80"/>
        </w:rPr>
        <w:t xml:space="preserve">ꎬ </w:t>
      </w:r>
      <w:r>
        <w:t>确保运输安全畅通</w:t>
      </w:r>
      <w:r>
        <w:rPr>
          <w:rFonts w:hint="eastAsia" w:ascii="MS UI Gothic" w:eastAsia="MS UI Gothic"/>
          <w:w w:val="80"/>
        </w:rPr>
        <w:t xml:space="preserve">ꎻ </w:t>
      </w:r>
      <w:r>
        <w:t>要依法建立紧急情况社会交通运输工具的征用程序</w:t>
      </w:r>
      <w:r>
        <w:rPr>
          <w:rFonts w:hint="eastAsia" w:ascii="MS UI Gothic" w:eastAsia="MS UI Gothic"/>
          <w:w w:val="80"/>
        </w:rPr>
        <w:t xml:space="preserve">ꎬ </w:t>
      </w:r>
      <w:r>
        <w:t>确保抢险救灾物资和人员能够及时</w:t>
      </w:r>
      <w:r>
        <w:rPr>
          <w:rFonts w:hint="eastAsia" w:ascii="MS UI Gothic" w:eastAsia="MS UI Gothic"/>
          <w:w w:val="80"/>
        </w:rPr>
        <w:t xml:space="preserve">、 </w:t>
      </w:r>
      <w:r>
        <w:t>安全送达</w:t>
      </w:r>
      <w:r>
        <w:rPr>
          <w:rFonts w:hint="eastAsia" w:ascii="MS UI Gothic" w:eastAsia="MS UI Gothic"/>
          <w:w w:val="80"/>
        </w:rPr>
        <w:t>ꎮ</w:t>
      </w:r>
    </w:p>
    <w:p>
      <w:pPr>
        <w:pStyle w:val="6"/>
        <w:spacing w:line="295" w:lineRule="auto"/>
        <w:ind w:right="442"/>
        <w:rPr>
          <w:rFonts w:hint="eastAsia" w:ascii="MS UI Gothic" w:hAnsi="MS UI Gothic" w:eastAsia="MS UI Gothic"/>
        </w:rPr>
      </w:pPr>
      <w:r>
        <w:t>根据应急处置需要</w:t>
      </w:r>
      <w:r>
        <w:rPr>
          <w:rFonts w:hint="eastAsia" w:ascii="MS UI Gothic" w:hAnsi="MS UI Gothic" w:eastAsia="MS UI Gothic"/>
          <w:w w:val="80"/>
        </w:rPr>
        <w:t xml:space="preserve">ꎬ </w:t>
      </w:r>
      <w:r>
        <w:t>对现场及相关通道实行交通管制</w:t>
      </w:r>
      <w:r>
        <w:rPr>
          <w:rFonts w:hint="eastAsia" w:ascii="MS UI Gothic" w:hAnsi="MS UI Gothic" w:eastAsia="MS UI Gothic"/>
          <w:w w:val="80"/>
        </w:rPr>
        <w:t xml:space="preserve">ꎬ </w:t>
      </w:r>
      <w:r>
        <w:t xml:space="preserve">开设应急救援 </w:t>
      </w:r>
      <w:r>
        <w:rPr>
          <w:rFonts w:hint="eastAsia" w:ascii="MS UI Gothic" w:hAnsi="MS UI Gothic" w:eastAsia="MS UI Gothic"/>
        </w:rPr>
        <w:t xml:space="preserve">“ </w:t>
      </w:r>
      <w:r>
        <w:t>绿色通道</w:t>
      </w:r>
      <w:r>
        <w:rPr>
          <w:rFonts w:hint="eastAsia" w:ascii="MS UI Gothic" w:hAnsi="MS UI Gothic" w:eastAsia="MS UI Gothic"/>
        </w:rPr>
        <w:t xml:space="preserve">” </w:t>
      </w:r>
      <w:r>
        <w:rPr>
          <w:rFonts w:hint="eastAsia" w:ascii="MS UI Gothic" w:hAnsi="MS UI Gothic" w:eastAsia="MS UI Gothic"/>
          <w:w w:val="80"/>
        </w:rPr>
        <w:t xml:space="preserve">ꎬ </w:t>
      </w:r>
      <w:r>
        <w:t>保证应急救援工作的顺利开展</w:t>
      </w:r>
      <w:r>
        <w:rPr>
          <w:rFonts w:hint="eastAsia" w:ascii="MS UI Gothic" w:hAnsi="MS UI Gothic" w:eastAsia="MS UI Gothic"/>
          <w:w w:val="80"/>
        </w:rPr>
        <w:t>ꎮ</w:t>
      </w:r>
    </w:p>
    <w:p>
      <w:pPr>
        <w:pStyle w:val="6"/>
        <w:spacing w:line="254" w:lineRule="exact"/>
        <w:ind w:left="538" w:firstLine="0"/>
      </w:pPr>
      <w:r>
        <w:rPr>
          <w:rFonts w:hint="eastAsia" w:ascii="MS UI Gothic" w:eastAsia="MS UI Gothic"/>
        </w:rPr>
        <w:t xml:space="preserve">４ ７ </w:t>
      </w:r>
      <w:r>
        <w:t>治安维护</w:t>
      </w:r>
    </w:p>
    <w:p>
      <w:pPr>
        <w:pStyle w:val="6"/>
        <w:spacing w:before="54" w:line="295" w:lineRule="auto"/>
        <w:ind w:right="442"/>
        <w:rPr>
          <w:rFonts w:hint="eastAsia" w:ascii="MS UI Gothic" w:eastAsia="MS UI Gothic"/>
        </w:rPr>
      </w:pPr>
      <w:r>
        <w:t>要加强对重点地区</w:t>
      </w:r>
      <w:r>
        <w:rPr>
          <w:rFonts w:hint="eastAsia" w:ascii="MS UI Gothic" w:eastAsia="MS UI Gothic"/>
        </w:rPr>
        <w:t xml:space="preserve">、 </w:t>
      </w:r>
      <w:r>
        <w:t>重点场所</w:t>
      </w:r>
      <w:r>
        <w:rPr>
          <w:rFonts w:hint="eastAsia" w:ascii="MS UI Gothic" w:eastAsia="MS UI Gothic"/>
        </w:rPr>
        <w:t xml:space="preserve">、 </w:t>
      </w:r>
      <w:r>
        <w:t>重点人群</w:t>
      </w:r>
      <w:r>
        <w:rPr>
          <w:rFonts w:hint="eastAsia" w:ascii="MS UI Gothic" w:eastAsia="MS UI Gothic"/>
        </w:rPr>
        <w:t xml:space="preserve">、 </w:t>
      </w:r>
      <w:r>
        <w:t>重要物资和设备的安全保护</w:t>
      </w:r>
      <w:r>
        <w:rPr>
          <w:rFonts w:hint="eastAsia" w:ascii="MS UI Gothic" w:eastAsia="MS UI Gothic"/>
          <w:w w:val="80"/>
        </w:rPr>
        <w:t xml:space="preserve">ꎬ </w:t>
      </w:r>
      <w:r>
        <w:t>依法严厉打击违法犯罪活动</w:t>
      </w:r>
      <w:r>
        <w:rPr>
          <w:rFonts w:hint="eastAsia" w:ascii="MS UI Gothic" w:eastAsia="MS UI Gothic"/>
          <w:w w:val="80"/>
        </w:rPr>
        <w:t xml:space="preserve">ꎮ </w:t>
      </w:r>
      <w:r>
        <w:t>必要时</w:t>
      </w:r>
      <w:r>
        <w:rPr>
          <w:rFonts w:hint="eastAsia" w:ascii="MS UI Gothic" w:eastAsia="MS UI Gothic"/>
          <w:w w:val="80"/>
        </w:rPr>
        <w:t xml:space="preserve">ꎬ </w:t>
      </w:r>
      <w:r>
        <w:t>依法采取有效管制措施</w:t>
      </w:r>
      <w:r>
        <w:rPr>
          <w:rFonts w:hint="eastAsia" w:ascii="MS UI Gothic" w:eastAsia="MS UI Gothic"/>
          <w:w w:val="80"/>
        </w:rPr>
        <w:t xml:space="preserve">ꎬ </w:t>
      </w:r>
      <w:r>
        <w:t>控制事态</w:t>
      </w:r>
      <w:r>
        <w:rPr>
          <w:rFonts w:hint="eastAsia" w:ascii="MS UI Gothic" w:eastAsia="MS UI Gothic"/>
          <w:w w:val="80"/>
        </w:rPr>
        <w:t xml:space="preserve">ꎬ </w:t>
      </w:r>
      <w:r>
        <w:t>维护社会秩序</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三</w:t>
      </w:r>
      <w:r>
        <w:rPr>
          <w:rFonts w:hint="eastAsia" w:ascii="Microsoft Yi Baiti" w:eastAsia="Microsoft Yi Baiti"/>
          <w:sz w:val="17"/>
        </w:rPr>
        <w:t xml:space="preserve">、 </w:t>
      </w:r>
      <w:r>
        <w:rPr>
          <w:sz w:val="17"/>
        </w:rPr>
        <w:t>应急管理基本法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４９</w:t>
      </w:r>
    </w:p>
    <w:p>
      <w:pPr>
        <w:spacing w:after="0"/>
        <w:jc w:val="right"/>
        <w:rPr>
          <w:rFonts w:hint="eastAsia" w:ascii="MS UI Gothic" w:eastAsia="MS UI Gothic"/>
        </w:rPr>
        <w:sectPr>
          <w:pgSz w:w="10500" w:h="14750"/>
          <w:pgMar w:top="960" w:right="980" w:bottom="280" w:left="980" w:header="720" w:footer="720" w:gutter="0"/>
          <w:cols w:equalWidth="0" w:num="2">
            <w:col w:w="5231" w:space="40"/>
            <w:col w:w="3269"/>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194" o:spid="_x0000_s1194" o:spt="203" style="height:2.15pt;width:398.25pt;" coordsize="7965,43">
            <o:lock v:ext="edit"/>
            <v:line id="_x0000_s1195" o:spid="_x0000_s1195" o:spt="20" style="position:absolute;left:0;top:39;height:0;width:7965;" stroked="t" coordsize="21600,21600">
              <v:path arrowok="t"/>
              <v:fill focussize="0,0"/>
              <v:stroke weight="0.388031496062992pt" color="#231F20"/>
              <v:imagedata o:title=""/>
              <o:lock v:ext="edit"/>
            </v:line>
            <v:line id="_x0000_s1196" o:spid="_x0000_s119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tabs>
          <w:tab w:val="left" w:pos="1378"/>
        </w:tabs>
        <w:spacing w:before="124"/>
        <w:ind w:left="854" w:firstLine="0"/>
        <w:jc w:val="left"/>
      </w:pPr>
      <w:r>
        <w:rPr>
          <w:rFonts w:hint="eastAsia" w:ascii="MS UI Gothic" w:eastAsia="MS UI Gothic"/>
        </w:rPr>
        <w:t>４</w:t>
      </w:r>
      <w:r>
        <w:rPr>
          <w:rFonts w:hint="eastAsia" w:ascii="MS UI Gothic" w:eastAsia="MS UI Gothic"/>
          <w:spacing w:val="-16"/>
        </w:rPr>
        <w:t xml:space="preserve"> ８</w:t>
      </w:r>
      <w:r>
        <w:rPr>
          <w:rFonts w:hint="eastAsia" w:ascii="MS UI Gothic" w:eastAsia="MS UI Gothic"/>
        </w:rPr>
        <w:tab/>
      </w:r>
      <w:r>
        <w:rPr>
          <w:spacing w:val="2"/>
        </w:rPr>
        <w:t>人员防护</w:t>
      </w:r>
    </w:p>
    <w:p>
      <w:pPr>
        <w:pStyle w:val="6"/>
        <w:spacing w:before="58" w:line="295" w:lineRule="auto"/>
        <w:ind w:left="440" w:right="1"/>
        <w:rPr>
          <w:rFonts w:hint="eastAsia" w:ascii="MS UI Gothic" w:eastAsia="MS UI Gothic"/>
        </w:rPr>
      </w:pPr>
      <w:r>
        <w:t>要指定或建立与人口密度</w:t>
      </w:r>
      <w:r>
        <w:rPr>
          <w:rFonts w:hint="eastAsia" w:ascii="MS UI Gothic" w:eastAsia="MS UI Gothic"/>
          <w:w w:val="80"/>
        </w:rPr>
        <w:t xml:space="preserve">、 </w:t>
      </w:r>
      <w:r>
        <w:t>城市规模相适应的应急避险场所</w:t>
      </w:r>
      <w:r>
        <w:rPr>
          <w:rFonts w:hint="eastAsia" w:ascii="MS UI Gothic" w:eastAsia="MS UI Gothic"/>
          <w:w w:val="80"/>
        </w:rPr>
        <w:t xml:space="preserve">ꎬ </w:t>
      </w:r>
      <w:r>
        <w:t>完善紧急疏散管理办法和程序</w:t>
      </w:r>
      <w:r>
        <w:rPr>
          <w:rFonts w:hint="eastAsia" w:ascii="MS UI Gothic" w:eastAsia="MS UI Gothic"/>
          <w:w w:val="80"/>
        </w:rPr>
        <w:t xml:space="preserve">ꎬ </w:t>
      </w:r>
      <w:r>
        <w:t>明确各级责任人</w:t>
      </w:r>
      <w:r>
        <w:rPr>
          <w:rFonts w:hint="eastAsia" w:ascii="MS UI Gothic" w:eastAsia="MS UI Gothic"/>
          <w:w w:val="80"/>
        </w:rPr>
        <w:t xml:space="preserve">ꎬ </w:t>
      </w:r>
      <w:r>
        <w:t>确保在紧急情况下公众安全</w:t>
      </w:r>
      <w:r>
        <w:rPr>
          <w:rFonts w:hint="eastAsia" w:ascii="MS UI Gothic" w:eastAsia="MS UI Gothic"/>
          <w:w w:val="80"/>
        </w:rPr>
        <w:t xml:space="preserve">、 </w:t>
      </w:r>
      <w:r>
        <w:t>有序的转移或疏散</w:t>
      </w:r>
      <w:r>
        <w:rPr>
          <w:rFonts w:hint="eastAsia" w:ascii="MS UI Gothic" w:eastAsia="MS UI Gothic"/>
          <w:w w:val="80"/>
        </w:rPr>
        <w:t>ꎮ</w:t>
      </w:r>
    </w:p>
    <w:p>
      <w:pPr>
        <w:pStyle w:val="6"/>
        <w:spacing w:line="295" w:lineRule="auto"/>
        <w:ind w:left="440" w:right="1"/>
        <w:rPr>
          <w:rFonts w:hint="eastAsia" w:ascii="MS UI Gothic" w:eastAsia="MS UI Gothic"/>
        </w:rPr>
      </w:pPr>
      <w:r>
        <w:t>要采取必要的防护措施</w:t>
      </w:r>
      <w:r>
        <w:rPr>
          <w:rFonts w:hint="eastAsia" w:ascii="MS UI Gothic" w:eastAsia="MS UI Gothic"/>
          <w:w w:val="80"/>
        </w:rPr>
        <w:t xml:space="preserve">ꎬ </w:t>
      </w:r>
      <w:r>
        <w:t>严格按照程序开展应急救援工作</w:t>
      </w:r>
      <w:r>
        <w:rPr>
          <w:rFonts w:hint="eastAsia" w:ascii="MS UI Gothic" w:eastAsia="MS UI Gothic"/>
          <w:w w:val="80"/>
        </w:rPr>
        <w:t xml:space="preserve">ꎬ </w:t>
      </w:r>
      <w:r>
        <w:t>确保人员安全</w:t>
      </w:r>
      <w:r>
        <w:rPr>
          <w:rFonts w:hint="eastAsia" w:ascii="MS UI Gothic" w:eastAsia="MS UI Gothic"/>
          <w:w w:val="80"/>
        </w:rPr>
        <w:t>ꎮ</w:t>
      </w:r>
    </w:p>
    <w:p>
      <w:pPr>
        <w:pStyle w:val="6"/>
        <w:tabs>
          <w:tab w:val="left" w:pos="1378"/>
        </w:tabs>
        <w:spacing w:line="255" w:lineRule="exact"/>
        <w:ind w:left="854" w:firstLine="0"/>
        <w:jc w:val="left"/>
      </w:pPr>
      <w:r>
        <w:rPr>
          <w:rFonts w:hint="eastAsia" w:ascii="MS UI Gothic" w:eastAsia="MS UI Gothic"/>
        </w:rPr>
        <w:t>４</w:t>
      </w:r>
      <w:r>
        <w:rPr>
          <w:rFonts w:hint="eastAsia" w:ascii="MS UI Gothic" w:eastAsia="MS UI Gothic"/>
          <w:spacing w:val="-16"/>
        </w:rPr>
        <w:t xml:space="preserve"> ９</w:t>
      </w:r>
      <w:r>
        <w:rPr>
          <w:rFonts w:hint="eastAsia" w:ascii="MS UI Gothic" w:eastAsia="MS UI Gothic"/>
        </w:rPr>
        <w:tab/>
      </w:r>
      <w:r>
        <w:rPr>
          <w:spacing w:val="2"/>
        </w:rPr>
        <w:t>通信保障</w:t>
      </w:r>
    </w:p>
    <w:p>
      <w:pPr>
        <w:pStyle w:val="6"/>
        <w:spacing w:before="54" w:line="295" w:lineRule="auto"/>
        <w:ind w:left="440" w:right="1"/>
        <w:rPr>
          <w:rFonts w:hint="eastAsia" w:ascii="MS UI Gothic" w:eastAsia="MS UI Gothic"/>
        </w:rPr>
      </w:pPr>
      <w:r>
        <w:t>建立健全应急通信</w:t>
      </w:r>
      <w:r>
        <w:rPr>
          <w:rFonts w:hint="eastAsia" w:ascii="MS UI Gothic" w:eastAsia="MS UI Gothic"/>
          <w:w w:val="80"/>
        </w:rPr>
        <w:t xml:space="preserve">、 </w:t>
      </w:r>
      <w:r>
        <w:t>应急广播电视保障工作体系</w:t>
      </w:r>
      <w:r>
        <w:rPr>
          <w:rFonts w:hint="eastAsia" w:ascii="MS UI Gothic" w:eastAsia="MS UI Gothic"/>
          <w:w w:val="80"/>
        </w:rPr>
        <w:t xml:space="preserve">ꎬ </w:t>
      </w:r>
      <w:r>
        <w:t>完善公用通信网</w:t>
      </w:r>
      <w:r>
        <w:rPr>
          <w:rFonts w:hint="eastAsia" w:ascii="MS UI Gothic" w:eastAsia="MS UI Gothic"/>
          <w:w w:val="80"/>
        </w:rPr>
        <w:t xml:space="preserve">ꎬ </w:t>
      </w:r>
      <w:r>
        <w:t>建立有线和无线相结合</w:t>
      </w:r>
      <w:r>
        <w:rPr>
          <w:rFonts w:hint="eastAsia" w:ascii="MS UI Gothic" w:eastAsia="MS UI Gothic"/>
          <w:w w:val="80"/>
        </w:rPr>
        <w:t xml:space="preserve">、 </w:t>
      </w:r>
      <w:r>
        <w:t>基础电信网络与机动通信系统相配套的应急通信系统</w:t>
      </w:r>
      <w:r>
        <w:rPr>
          <w:rFonts w:hint="eastAsia" w:ascii="MS UI Gothic" w:eastAsia="MS UI Gothic"/>
          <w:w w:val="80"/>
        </w:rPr>
        <w:t xml:space="preserve">ꎬ </w:t>
      </w:r>
      <w:r>
        <w:t>确保通信畅通</w:t>
      </w:r>
      <w:r>
        <w:rPr>
          <w:rFonts w:hint="eastAsia" w:ascii="MS UI Gothic" w:eastAsia="MS UI Gothic"/>
          <w:w w:val="80"/>
        </w:rPr>
        <w:t>ꎮ</w:t>
      </w:r>
    </w:p>
    <w:p>
      <w:pPr>
        <w:pStyle w:val="6"/>
        <w:tabs>
          <w:tab w:val="left" w:pos="1481"/>
        </w:tabs>
        <w:spacing w:line="252" w:lineRule="exact"/>
        <w:ind w:left="854" w:firstLine="0"/>
        <w:jc w:val="left"/>
      </w:pPr>
      <w:r>
        <w:rPr>
          <w:rFonts w:hint="eastAsia" w:ascii="MS UI Gothic" w:eastAsia="MS UI Gothic"/>
        </w:rPr>
        <w:t>４</w:t>
      </w:r>
      <w:r>
        <w:rPr>
          <w:rFonts w:hint="eastAsia" w:ascii="MS UI Gothic" w:eastAsia="MS UI Gothic"/>
          <w:spacing w:val="-15"/>
        </w:rPr>
        <w:t xml:space="preserve"> １０</w:t>
      </w:r>
      <w:r>
        <w:rPr>
          <w:rFonts w:hint="eastAsia" w:ascii="MS UI Gothic" w:eastAsia="MS UI Gothic"/>
        </w:rPr>
        <w:tab/>
      </w:r>
      <w:r>
        <w:rPr>
          <w:spacing w:val="2"/>
        </w:rPr>
        <w:t>公共设施</w:t>
      </w:r>
    </w:p>
    <w:p>
      <w:pPr>
        <w:pStyle w:val="6"/>
        <w:spacing w:before="58" w:line="295" w:lineRule="auto"/>
        <w:ind w:left="440"/>
        <w:rPr>
          <w:rFonts w:hint="eastAsia" w:ascii="MS UI Gothic" w:eastAsia="MS UI Gothic"/>
        </w:rPr>
      </w:pPr>
      <w:r>
        <w:t>有关部门要按照职责分工</w:t>
      </w:r>
      <w:r>
        <w:rPr>
          <w:rFonts w:hint="eastAsia" w:ascii="MS UI Gothic" w:eastAsia="MS UI Gothic"/>
          <w:w w:val="80"/>
        </w:rPr>
        <w:t xml:space="preserve">ꎬ </w:t>
      </w:r>
      <w:r>
        <w:t>分别负责煤</w:t>
      </w:r>
      <w:r>
        <w:rPr>
          <w:rFonts w:hint="eastAsia" w:ascii="MS UI Gothic" w:eastAsia="MS UI Gothic"/>
        </w:rPr>
        <w:t xml:space="preserve">、 </w:t>
      </w:r>
      <w:r>
        <w:t>电</w:t>
      </w:r>
      <w:r>
        <w:rPr>
          <w:rFonts w:hint="eastAsia" w:ascii="MS UI Gothic" w:eastAsia="MS UI Gothic"/>
        </w:rPr>
        <w:t xml:space="preserve">、 </w:t>
      </w:r>
      <w:r>
        <w:t>油</w:t>
      </w:r>
      <w:r>
        <w:rPr>
          <w:rFonts w:hint="eastAsia" w:ascii="MS UI Gothic" w:eastAsia="MS UI Gothic"/>
        </w:rPr>
        <w:t xml:space="preserve">、 </w:t>
      </w:r>
      <w:r>
        <w:t>气</w:t>
      </w:r>
      <w:r>
        <w:rPr>
          <w:rFonts w:hint="eastAsia" w:ascii="MS UI Gothic" w:eastAsia="MS UI Gothic"/>
        </w:rPr>
        <w:t xml:space="preserve">、 </w:t>
      </w:r>
      <w:r>
        <w:t>水的供给</w:t>
      </w:r>
      <w:r>
        <w:rPr>
          <w:rFonts w:hint="eastAsia" w:ascii="MS UI Gothic" w:eastAsia="MS UI Gothic"/>
          <w:w w:val="80"/>
        </w:rPr>
        <w:t xml:space="preserve">ꎬ </w:t>
      </w:r>
      <w:r>
        <w:t>以及废水</w:t>
      </w:r>
      <w:r>
        <w:rPr>
          <w:rFonts w:hint="eastAsia" w:ascii="MS UI Gothic" w:eastAsia="MS UI Gothic"/>
        </w:rPr>
        <w:t>、</w:t>
      </w:r>
      <w:r>
        <w:t>废气</w:t>
      </w:r>
      <w:r>
        <w:rPr>
          <w:rFonts w:hint="eastAsia" w:ascii="MS UI Gothic" w:eastAsia="MS UI Gothic"/>
        </w:rPr>
        <w:t xml:space="preserve">、 </w:t>
      </w:r>
      <w:r>
        <w:t>固体废弃物等有害物质的监测和处理</w:t>
      </w:r>
      <w:r>
        <w:rPr>
          <w:rFonts w:hint="eastAsia" w:ascii="MS UI Gothic" w:eastAsia="MS UI Gothic"/>
          <w:w w:val="80"/>
        </w:rPr>
        <w:t>ꎮ</w:t>
      </w:r>
    </w:p>
    <w:p>
      <w:pPr>
        <w:pStyle w:val="6"/>
        <w:tabs>
          <w:tab w:val="left" w:pos="1481"/>
        </w:tabs>
        <w:spacing w:line="253" w:lineRule="exact"/>
        <w:ind w:left="854" w:firstLine="0"/>
        <w:jc w:val="left"/>
      </w:pPr>
      <w:r>
        <w:rPr>
          <w:rFonts w:hint="eastAsia" w:ascii="MS UI Gothic" w:eastAsia="MS UI Gothic"/>
        </w:rPr>
        <w:t>４</w:t>
      </w:r>
      <w:r>
        <w:rPr>
          <w:rFonts w:hint="eastAsia" w:ascii="MS UI Gothic" w:eastAsia="MS UI Gothic"/>
          <w:spacing w:val="-15"/>
        </w:rPr>
        <w:t xml:space="preserve"> １１</w:t>
      </w:r>
      <w:r>
        <w:rPr>
          <w:rFonts w:hint="eastAsia" w:ascii="MS UI Gothic" w:eastAsia="MS UI Gothic"/>
        </w:rPr>
        <w:tab/>
      </w:r>
      <w:r>
        <w:rPr>
          <w:spacing w:val="2"/>
        </w:rPr>
        <w:t>科技支撑</w:t>
      </w:r>
    </w:p>
    <w:p>
      <w:pPr>
        <w:pStyle w:val="6"/>
        <w:spacing w:before="59" w:line="295" w:lineRule="auto"/>
        <w:ind w:left="440" w:right="1"/>
        <w:rPr>
          <w:rFonts w:hint="eastAsia" w:ascii="MS UI Gothic" w:eastAsia="MS UI Gothic"/>
        </w:rPr>
      </w:pPr>
      <w:r>
        <w:t>要积极开展公共安全领域的科学研究</w:t>
      </w:r>
      <w:r>
        <w:rPr>
          <w:rFonts w:hint="eastAsia" w:ascii="MS UI Gothic" w:eastAsia="MS UI Gothic"/>
          <w:w w:val="80"/>
        </w:rPr>
        <w:t xml:space="preserve">ꎻ </w:t>
      </w:r>
      <w:r>
        <w:t>加大公共安全监测</w:t>
      </w:r>
      <w:r>
        <w:rPr>
          <w:rFonts w:hint="eastAsia" w:ascii="MS UI Gothic" w:eastAsia="MS UI Gothic"/>
          <w:w w:val="80"/>
        </w:rPr>
        <w:t xml:space="preserve">、 </w:t>
      </w:r>
      <w:r>
        <w:t>预测</w:t>
      </w:r>
      <w:r>
        <w:rPr>
          <w:rFonts w:hint="eastAsia" w:ascii="MS UI Gothic" w:eastAsia="MS UI Gothic"/>
          <w:w w:val="80"/>
        </w:rPr>
        <w:t xml:space="preserve">、 </w:t>
      </w:r>
      <w:r>
        <w:t>预警</w:t>
      </w:r>
      <w:r>
        <w:rPr>
          <w:rFonts w:hint="eastAsia" w:ascii="MS UI Gothic" w:eastAsia="MS UI Gothic"/>
          <w:w w:val="80"/>
        </w:rPr>
        <w:t xml:space="preserve">、  </w:t>
      </w:r>
      <w:r>
        <w:t>预防和应急处置技术研发的投入</w:t>
      </w:r>
      <w:r>
        <w:rPr>
          <w:rFonts w:hint="eastAsia" w:ascii="MS UI Gothic" w:eastAsia="MS UI Gothic"/>
          <w:w w:val="80"/>
        </w:rPr>
        <w:t xml:space="preserve">ꎬ </w:t>
      </w:r>
      <w:r>
        <w:t>不断改进技术装备</w:t>
      </w:r>
      <w:r>
        <w:rPr>
          <w:rFonts w:hint="eastAsia" w:ascii="MS UI Gothic" w:eastAsia="MS UI Gothic"/>
          <w:w w:val="80"/>
        </w:rPr>
        <w:t xml:space="preserve">ꎬ </w:t>
      </w:r>
      <w:r>
        <w:t>建立健全公共安全应急技术平台</w:t>
      </w:r>
      <w:r>
        <w:rPr>
          <w:rFonts w:hint="eastAsia" w:ascii="MS UI Gothic" w:eastAsia="MS UI Gothic"/>
          <w:w w:val="80"/>
        </w:rPr>
        <w:t xml:space="preserve">ꎬ </w:t>
      </w:r>
      <w:r>
        <w:t>提高我国公共安全科技水平</w:t>
      </w:r>
      <w:r>
        <w:rPr>
          <w:rFonts w:hint="eastAsia" w:ascii="MS UI Gothic" w:eastAsia="MS UI Gothic"/>
          <w:w w:val="80"/>
        </w:rPr>
        <w:t xml:space="preserve">ꎻ </w:t>
      </w:r>
      <w:r>
        <w:t>注意发挥企业在公共安全领域的研发作用</w:t>
      </w:r>
      <w:r>
        <w:rPr>
          <w:rFonts w:hint="eastAsia" w:ascii="MS UI Gothic" w:eastAsia="MS UI Gothic"/>
          <w:w w:val="80"/>
        </w:rPr>
        <w:t>ꎮ</w:t>
      </w:r>
    </w:p>
    <w:p>
      <w:pPr>
        <w:pStyle w:val="6"/>
        <w:spacing w:line="251" w:lineRule="exact"/>
        <w:ind w:left="854" w:firstLine="0"/>
      </w:pPr>
      <w:r>
        <w:rPr>
          <w:rFonts w:hint="eastAsia" w:ascii="MS UI Gothic" w:eastAsia="MS UI Gothic"/>
        </w:rPr>
        <w:t xml:space="preserve">５ </w:t>
      </w:r>
      <w:r>
        <w:t>监督管理</w:t>
      </w:r>
    </w:p>
    <w:p>
      <w:pPr>
        <w:pStyle w:val="6"/>
        <w:tabs>
          <w:tab w:val="left" w:pos="1378"/>
        </w:tabs>
        <w:spacing w:before="58"/>
        <w:ind w:left="854" w:firstLine="0"/>
        <w:jc w:val="left"/>
      </w:pPr>
      <w:r>
        <w:rPr>
          <w:rFonts w:hint="eastAsia" w:ascii="MS UI Gothic" w:eastAsia="MS UI Gothic"/>
        </w:rPr>
        <w:t>５</w:t>
      </w:r>
      <w:r>
        <w:rPr>
          <w:rFonts w:hint="eastAsia" w:ascii="MS UI Gothic" w:eastAsia="MS UI Gothic"/>
          <w:spacing w:val="-16"/>
        </w:rPr>
        <w:t xml:space="preserve"> １</w:t>
      </w:r>
      <w:r>
        <w:rPr>
          <w:rFonts w:hint="eastAsia" w:ascii="MS UI Gothic" w:eastAsia="MS UI Gothic"/>
        </w:rPr>
        <w:tab/>
      </w:r>
      <w:r>
        <w:rPr>
          <w:spacing w:val="2"/>
        </w:rPr>
        <w:t>预案演练</w:t>
      </w:r>
    </w:p>
    <w:p>
      <w:pPr>
        <w:pStyle w:val="6"/>
        <w:spacing w:before="124" w:line="295" w:lineRule="auto"/>
        <w:ind w:left="381" w:right="126"/>
        <w:rPr>
          <w:rFonts w:hint="eastAsia" w:ascii="MS UI Gothic" w:eastAsia="MS UI Gothic"/>
        </w:rPr>
      </w:pPr>
      <w:r>
        <w:br w:type="column"/>
      </w:r>
      <w:r>
        <w:t>各地区</w:t>
      </w:r>
      <w:r>
        <w:rPr>
          <w:rFonts w:hint="eastAsia" w:ascii="MS UI Gothic" w:eastAsia="MS UI Gothic"/>
          <w:w w:val="80"/>
        </w:rPr>
        <w:t xml:space="preserve">、 </w:t>
      </w:r>
      <w:r>
        <w:t>各部门要结合实际</w:t>
      </w:r>
      <w:r>
        <w:rPr>
          <w:rFonts w:hint="eastAsia" w:ascii="MS UI Gothic" w:eastAsia="MS UI Gothic"/>
          <w:w w:val="80"/>
        </w:rPr>
        <w:t xml:space="preserve">ꎬ </w:t>
      </w:r>
      <w:r>
        <w:t>有计划</w:t>
      </w:r>
      <w:r>
        <w:rPr>
          <w:rFonts w:hint="eastAsia" w:ascii="MS UI Gothic" w:eastAsia="MS UI Gothic"/>
          <w:w w:val="80"/>
        </w:rPr>
        <w:t xml:space="preserve">、 </w:t>
      </w:r>
      <w:r>
        <w:t>有重点地组织有关部门对相关预案进行演练</w:t>
      </w:r>
      <w:r>
        <w:rPr>
          <w:rFonts w:hint="eastAsia" w:ascii="MS UI Gothic" w:eastAsia="MS UI Gothic"/>
          <w:w w:val="80"/>
        </w:rPr>
        <w:t>ꎮ</w:t>
      </w:r>
    </w:p>
    <w:p>
      <w:pPr>
        <w:pStyle w:val="6"/>
        <w:spacing w:line="254" w:lineRule="exact"/>
        <w:ind w:left="794" w:firstLine="0"/>
      </w:pPr>
      <w:r>
        <w:rPr>
          <w:rFonts w:hint="eastAsia" w:ascii="MS UI Gothic" w:eastAsia="MS UI Gothic"/>
        </w:rPr>
        <w:t xml:space="preserve">５ ２ </w:t>
      </w:r>
      <w:r>
        <w:t>宣传和培训</w:t>
      </w:r>
    </w:p>
    <w:p>
      <w:pPr>
        <w:pStyle w:val="6"/>
        <w:spacing w:before="58" w:line="295" w:lineRule="auto"/>
        <w:ind w:left="381" w:right="124"/>
        <w:rPr>
          <w:rFonts w:hint="eastAsia" w:ascii="MS UI Gothic" w:eastAsia="MS UI Gothic"/>
        </w:rPr>
      </w:pPr>
      <w:r>
        <w:t>宣传</w:t>
      </w:r>
      <w:r>
        <w:rPr>
          <w:rFonts w:hint="eastAsia" w:ascii="MS UI Gothic" w:eastAsia="MS UI Gothic"/>
          <w:w w:val="80"/>
        </w:rPr>
        <w:t xml:space="preserve">、 </w:t>
      </w:r>
      <w:r>
        <w:t>教育</w:t>
      </w:r>
      <w:r>
        <w:rPr>
          <w:rFonts w:hint="eastAsia" w:ascii="MS UI Gothic" w:eastAsia="MS UI Gothic"/>
          <w:w w:val="80"/>
        </w:rPr>
        <w:t xml:space="preserve">、 </w:t>
      </w:r>
      <w:r>
        <w:t>文化</w:t>
      </w:r>
      <w:r>
        <w:rPr>
          <w:rFonts w:hint="eastAsia" w:ascii="MS UI Gothic" w:eastAsia="MS UI Gothic"/>
          <w:w w:val="80"/>
        </w:rPr>
        <w:t xml:space="preserve">、 </w:t>
      </w:r>
      <w:r>
        <w:t>广电</w:t>
      </w:r>
      <w:r>
        <w:rPr>
          <w:rFonts w:hint="eastAsia" w:ascii="MS UI Gothic" w:eastAsia="MS UI Gothic"/>
          <w:w w:val="80"/>
        </w:rPr>
        <w:t xml:space="preserve">、  </w:t>
      </w:r>
      <w:r>
        <w:t>新闻出版等有关部门要通过图书</w:t>
      </w:r>
      <w:r>
        <w:rPr>
          <w:rFonts w:hint="eastAsia" w:ascii="MS UI Gothic" w:eastAsia="MS UI Gothic"/>
          <w:w w:val="80"/>
        </w:rPr>
        <w:t xml:space="preserve">、 </w:t>
      </w:r>
      <w:r>
        <w:t>报刊</w:t>
      </w:r>
      <w:r>
        <w:rPr>
          <w:rFonts w:hint="eastAsia" w:ascii="MS UI Gothic" w:eastAsia="MS UI Gothic"/>
          <w:w w:val="80"/>
        </w:rPr>
        <w:t xml:space="preserve">、 </w:t>
      </w:r>
      <w:r>
        <w:t>音像制品和电子出版物</w:t>
      </w:r>
      <w:r>
        <w:rPr>
          <w:rFonts w:hint="eastAsia" w:ascii="MS UI Gothic" w:eastAsia="MS UI Gothic"/>
          <w:w w:val="80"/>
        </w:rPr>
        <w:t xml:space="preserve">、 </w:t>
      </w:r>
      <w:r>
        <w:t>广播</w:t>
      </w:r>
      <w:r>
        <w:rPr>
          <w:rFonts w:hint="eastAsia" w:ascii="MS UI Gothic" w:eastAsia="MS UI Gothic"/>
          <w:w w:val="80"/>
        </w:rPr>
        <w:t xml:space="preserve">、 </w:t>
      </w:r>
      <w:r>
        <w:t>电视</w:t>
      </w:r>
      <w:r>
        <w:rPr>
          <w:rFonts w:hint="eastAsia" w:ascii="MS UI Gothic" w:eastAsia="MS UI Gothic"/>
          <w:w w:val="80"/>
        </w:rPr>
        <w:t xml:space="preserve">、 </w:t>
      </w:r>
      <w:r>
        <w:t>网络等</w:t>
      </w:r>
      <w:r>
        <w:rPr>
          <w:rFonts w:hint="eastAsia" w:ascii="MS UI Gothic" w:eastAsia="MS UI Gothic"/>
          <w:w w:val="80"/>
        </w:rPr>
        <w:t xml:space="preserve">ꎬ  </w:t>
      </w:r>
      <w:r>
        <w:t>广泛宣传应急法律法规和预防</w:t>
      </w:r>
      <w:r>
        <w:rPr>
          <w:rFonts w:hint="eastAsia" w:ascii="MS UI Gothic" w:eastAsia="MS UI Gothic"/>
          <w:w w:val="80"/>
        </w:rPr>
        <w:t xml:space="preserve">、 </w:t>
      </w:r>
      <w:r>
        <w:t>避险</w:t>
      </w:r>
      <w:r>
        <w:rPr>
          <w:rFonts w:hint="eastAsia" w:ascii="MS UI Gothic" w:eastAsia="MS UI Gothic"/>
          <w:w w:val="80"/>
        </w:rPr>
        <w:t xml:space="preserve">、  </w:t>
      </w:r>
      <w:r>
        <w:t>自救</w:t>
      </w:r>
      <w:r>
        <w:rPr>
          <w:rFonts w:hint="eastAsia" w:ascii="MS UI Gothic" w:eastAsia="MS UI Gothic"/>
          <w:w w:val="80"/>
        </w:rPr>
        <w:t xml:space="preserve">、 </w:t>
      </w:r>
      <w:r>
        <w:t>互救</w:t>
      </w:r>
      <w:r>
        <w:rPr>
          <w:rFonts w:hint="eastAsia" w:ascii="MS UI Gothic" w:eastAsia="MS UI Gothic"/>
          <w:w w:val="80"/>
        </w:rPr>
        <w:t xml:space="preserve">、 </w:t>
      </w:r>
      <w:r>
        <w:t>减灾等常识</w:t>
      </w:r>
      <w:r>
        <w:rPr>
          <w:rFonts w:hint="eastAsia" w:ascii="MS UI Gothic" w:eastAsia="MS UI Gothic"/>
          <w:w w:val="80"/>
        </w:rPr>
        <w:t xml:space="preserve">ꎬ </w:t>
      </w:r>
      <w:r>
        <w:t>增强公众的忧患意识</w:t>
      </w:r>
      <w:r>
        <w:rPr>
          <w:rFonts w:hint="eastAsia" w:ascii="MS UI Gothic" w:eastAsia="MS UI Gothic"/>
          <w:w w:val="80"/>
        </w:rPr>
        <w:t xml:space="preserve">、 </w:t>
      </w:r>
      <w:r>
        <w:t>社会责任意识和自救</w:t>
      </w:r>
      <w:r>
        <w:rPr>
          <w:rFonts w:hint="eastAsia" w:ascii="MS UI Gothic" w:eastAsia="MS UI Gothic"/>
          <w:w w:val="80"/>
        </w:rPr>
        <w:t xml:space="preserve">、 </w:t>
      </w:r>
      <w:r>
        <w:t>互救能力</w:t>
      </w:r>
      <w:r>
        <w:rPr>
          <w:rFonts w:hint="eastAsia" w:ascii="MS UI Gothic" w:eastAsia="MS UI Gothic"/>
          <w:w w:val="80"/>
        </w:rPr>
        <w:t>ꎮ</w:t>
      </w:r>
      <w:r>
        <w:t>各有关方面要有计划地对应急救援和管理人员进行培训</w:t>
      </w:r>
      <w:r>
        <w:rPr>
          <w:rFonts w:hint="eastAsia" w:ascii="MS UI Gothic" w:eastAsia="MS UI Gothic"/>
          <w:w w:val="80"/>
        </w:rPr>
        <w:t xml:space="preserve">ꎬ </w:t>
      </w:r>
      <w:r>
        <w:t>提高其专业技能</w:t>
      </w:r>
      <w:r>
        <w:rPr>
          <w:rFonts w:hint="eastAsia" w:ascii="MS UI Gothic" w:eastAsia="MS UI Gothic"/>
          <w:w w:val="80"/>
        </w:rPr>
        <w:t>ꎮ</w:t>
      </w:r>
    </w:p>
    <w:p>
      <w:pPr>
        <w:pStyle w:val="6"/>
        <w:spacing w:line="250" w:lineRule="exact"/>
        <w:ind w:left="794" w:firstLine="0"/>
      </w:pPr>
      <w:r>
        <w:rPr>
          <w:rFonts w:hint="eastAsia" w:ascii="MS UI Gothic" w:eastAsia="MS UI Gothic"/>
        </w:rPr>
        <w:t xml:space="preserve">５ ３ </w:t>
      </w:r>
      <w:r>
        <w:t>责任与奖惩</w:t>
      </w:r>
    </w:p>
    <w:p>
      <w:pPr>
        <w:pStyle w:val="6"/>
        <w:spacing w:before="58" w:line="295" w:lineRule="auto"/>
        <w:ind w:left="381" w:right="126"/>
        <w:jc w:val="left"/>
        <w:rPr>
          <w:rFonts w:hint="eastAsia" w:ascii="MS UI Gothic" w:eastAsia="MS UI Gothic"/>
        </w:rPr>
      </w:pPr>
      <w:r>
        <w:t>突发公共事件应急处置工作实行责任</w:t>
      </w:r>
      <w:r>
        <w:rPr>
          <w:w w:val="105"/>
        </w:rPr>
        <w:t>追究制</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rPr>
        <w:t>对突发公共事件应急管理工作中做出突出贡献的先进集体和个人要给予表彰和</w:t>
      </w:r>
      <w:r>
        <w:rPr>
          <w:spacing w:val="3"/>
          <w:w w:val="105"/>
        </w:rPr>
        <w:t>奖励</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对迟报</w:t>
      </w:r>
      <w:r>
        <w:rPr>
          <w:rFonts w:hint="eastAsia" w:ascii="MS UI Gothic" w:eastAsia="MS UI Gothic"/>
          <w:spacing w:val="20"/>
          <w:w w:val="80"/>
        </w:rPr>
        <w:t xml:space="preserve">、 </w:t>
      </w:r>
      <w:r>
        <w:rPr>
          <w:spacing w:val="3"/>
        </w:rPr>
        <w:t>谎报</w:t>
      </w:r>
      <w:r>
        <w:rPr>
          <w:rFonts w:hint="eastAsia" w:ascii="MS UI Gothic" w:eastAsia="MS UI Gothic"/>
          <w:spacing w:val="20"/>
          <w:w w:val="80"/>
        </w:rPr>
        <w:t xml:space="preserve">、 </w:t>
      </w:r>
      <w:r>
        <w:rPr>
          <w:spacing w:val="2"/>
        </w:rPr>
        <w:t>瞒报和漏报突发公共事件重要情况或者应急管理工作中有其他</w:t>
      </w:r>
      <w:r>
        <w:rPr>
          <w:spacing w:val="3"/>
        </w:rPr>
        <w:t>失职</w:t>
      </w:r>
      <w:r>
        <w:rPr>
          <w:rFonts w:hint="eastAsia" w:ascii="MS UI Gothic" w:eastAsia="MS UI Gothic"/>
          <w:spacing w:val="11"/>
          <w:w w:val="80"/>
        </w:rPr>
        <w:t xml:space="preserve">、 </w:t>
      </w:r>
      <w:r>
        <w:rPr>
          <w:spacing w:val="3"/>
        </w:rPr>
        <w:t>渎职行为的</w:t>
      </w:r>
      <w:r>
        <w:rPr>
          <w:rFonts w:hint="eastAsia" w:ascii="MS UI Gothic" w:eastAsia="MS UI Gothic"/>
          <w:spacing w:val="11"/>
          <w:w w:val="80"/>
        </w:rPr>
        <w:t xml:space="preserve">ꎬ </w:t>
      </w:r>
      <w:r>
        <w:rPr>
          <w:spacing w:val="2"/>
        </w:rPr>
        <w:t>依法对有关责任人给</w:t>
      </w:r>
      <w:r>
        <w:rPr>
          <w:spacing w:val="3"/>
        </w:rPr>
        <w:t>予行政处分</w:t>
      </w:r>
      <w:r>
        <w:rPr>
          <w:rFonts w:hint="eastAsia" w:ascii="MS UI Gothic" w:eastAsia="MS UI Gothic"/>
          <w:spacing w:val="23"/>
          <w:w w:val="80"/>
        </w:rPr>
        <w:t xml:space="preserve">ꎻ </w:t>
      </w:r>
      <w:r>
        <w:rPr>
          <w:spacing w:val="3"/>
        </w:rPr>
        <w:t>构成犯罪的</w:t>
      </w:r>
      <w:r>
        <w:rPr>
          <w:rFonts w:hint="eastAsia" w:ascii="MS UI Gothic" w:eastAsia="MS UI Gothic"/>
          <w:spacing w:val="23"/>
          <w:w w:val="80"/>
        </w:rPr>
        <w:t xml:space="preserve">ꎬ </w:t>
      </w:r>
      <w:r>
        <w:rPr>
          <w:spacing w:val="2"/>
        </w:rPr>
        <w:t>依法追究刑事</w:t>
      </w:r>
      <w:r>
        <w:rPr>
          <w:spacing w:val="3"/>
        </w:rPr>
        <w:t>责任</w:t>
      </w:r>
      <w:r>
        <w:rPr>
          <w:rFonts w:hint="eastAsia" w:ascii="MS UI Gothic" w:eastAsia="MS UI Gothic"/>
          <w:w w:val="80"/>
        </w:rPr>
        <w:t>ꎮ</w:t>
      </w:r>
    </w:p>
    <w:p>
      <w:pPr>
        <w:pStyle w:val="6"/>
        <w:spacing w:line="252" w:lineRule="exact"/>
        <w:ind w:left="794" w:firstLine="0"/>
      </w:pPr>
      <w:r>
        <w:rPr>
          <w:rFonts w:hint="eastAsia" w:ascii="MS UI Gothic" w:eastAsia="MS UI Gothic"/>
        </w:rPr>
        <w:t xml:space="preserve">６ </w:t>
      </w:r>
      <w:r>
        <w:t>附 则</w:t>
      </w:r>
    </w:p>
    <w:p>
      <w:pPr>
        <w:pStyle w:val="6"/>
        <w:spacing w:before="54"/>
        <w:ind w:left="794" w:firstLine="0"/>
      </w:pPr>
      <w:r>
        <w:rPr>
          <w:rFonts w:hint="eastAsia" w:ascii="MS UI Gothic" w:eastAsia="MS UI Gothic"/>
        </w:rPr>
        <w:t xml:space="preserve">６ １ </w:t>
      </w:r>
      <w:r>
        <w:t>预案管理</w:t>
      </w:r>
    </w:p>
    <w:p>
      <w:pPr>
        <w:pStyle w:val="6"/>
        <w:spacing w:before="59" w:line="295" w:lineRule="auto"/>
        <w:ind w:left="381" w:right="126"/>
        <w:jc w:val="left"/>
        <w:rPr>
          <w:rFonts w:hint="eastAsia" w:ascii="MS UI Gothic" w:eastAsia="MS UI Gothic"/>
        </w:rPr>
      </w:pPr>
      <w:r>
        <w:t>根据实际情况的变化</w:t>
      </w:r>
      <w:r>
        <w:rPr>
          <w:rFonts w:hint="eastAsia" w:ascii="MS UI Gothic" w:eastAsia="MS UI Gothic"/>
          <w:w w:val="80"/>
        </w:rPr>
        <w:t xml:space="preserve">ꎬ </w:t>
      </w:r>
      <w:r>
        <w:t>及时修订本预案</w:t>
      </w:r>
      <w:r>
        <w:rPr>
          <w:rFonts w:hint="eastAsia" w:ascii="MS UI Gothic" w:eastAsia="MS UI Gothic"/>
          <w:w w:val="80"/>
        </w:rPr>
        <w:t>ꎮ</w:t>
      </w:r>
    </w:p>
    <w:p>
      <w:pPr>
        <w:pStyle w:val="6"/>
        <w:spacing w:line="255" w:lineRule="exact"/>
        <w:ind w:left="800" w:firstLine="0"/>
        <w:jc w:val="left"/>
        <w:rPr>
          <w:rFonts w:hint="eastAsia" w:ascii="MS UI Gothic" w:eastAsia="MS UI Gothic"/>
        </w:rPr>
      </w:pPr>
      <w:r>
        <w:t>本预案自发布之日起实施</w:t>
      </w:r>
      <w:r>
        <w:rPr>
          <w:rFonts w:hint="eastAsia" w:ascii="MS UI Gothic" w:eastAsia="MS UI Gothic"/>
          <w:w w:val="80"/>
        </w:rPr>
        <w:t>ꎮ</w:t>
      </w:r>
    </w:p>
    <w:p>
      <w:pPr>
        <w:spacing w:after="0" w:line="255" w:lineRule="exact"/>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５０</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197" o:spid="_x0000_s1197" o:spt="203" style="height:2.15pt;width:398.25pt;" coordsize="7965,43">
            <o:lock v:ext="edit"/>
            <v:line id="_x0000_s1198" o:spid="_x0000_s1198" o:spt="20" style="position:absolute;left:0;top:39;height:0;width:7965;" stroked="t" coordsize="21600,21600">
              <v:path arrowok="t"/>
              <v:fill focussize="0,0"/>
              <v:stroke weight="0.388031496062992pt" color="#231F20"/>
              <v:imagedata o:title=""/>
              <o:lock v:ext="edit"/>
            </v:line>
            <v:line id="_x0000_s1199" o:spid="_x0000_s1199"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icrosoft Yi Baiti"/>
        </w:rPr>
      </w:pPr>
    </w:p>
    <w:p>
      <w:pPr>
        <w:pStyle w:val="6"/>
        <w:ind w:left="0" w:firstLine="0"/>
        <w:jc w:val="left"/>
        <w:rPr>
          <w:rFonts w:ascii="Microsoft Yi Baiti"/>
        </w:rPr>
      </w:pPr>
    </w:p>
    <w:p>
      <w:pPr>
        <w:pStyle w:val="6"/>
        <w:ind w:left="0" w:firstLine="0"/>
        <w:jc w:val="left"/>
        <w:rPr>
          <w:rFonts w:ascii="Microsoft Yi Baiti"/>
        </w:rPr>
      </w:pPr>
    </w:p>
    <w:p>
      <w:pPr>
        <w:pStyle w:val="6"/>
        <w:ind w:left="0" w:firstLine="0"/>
        <w:jc w:val="left"/>
        <w:rPr>
          <w:rFonts w:ascii="Microsoft Yi Baiti"/>
        </w:rPr>
      </w:pPr>
    </w:p>
    <w:p>
      <w:pPr>
        <w:pStyle w:val="6"/>
        <w:spacing w:before="5"/>
        <w:ind w:left="0" w:firstLine="0"/>
        <w:jc w:val="left"/>
        <w:rPr>
          <w:rFonts w:ascii="Microsoft Yi Baiti"/>
          <w:sz w:val="18"/>
        </w:rPr>
      </w:pPr>
    </w:p>
    <w:p>
      <w:pPr>
        <w:pStyle w:val="2"/>
        <w:ind w:right="630"/>
      </w:pPr>
      <w:r>
        <w:rPr>
          <w:spacing w:val="25"/>
        </w:rPr>
        <w:t>四</w:t>
      </w:r>
      <w:r>
        <w:rPr>
          <w:rFonts w:hint="eastAsia" w:ascii="Microsoft Yi Baiti" w:eastAsia="Microsoft Yi Baiti"/>
          <w:spacing w:val="23"/>
        </w:rPr>
        <w:t xml:space="preserve">、 </w:t>
      </w:r>
      <w:r>
        <w:rPr>
          <w:spacing w:val="-32"/>
        </w:rPr>
        <w:t>安 全 生 产 法</w:t>
      </w:r>
    </w:p>
    <w:p>
      <w:pPr>
        <w:pStyle w:val="4"/>
        <w:spacing w:before="401"/>
        <w:ind w:right="654"/>
        <w:rPr>
          <w:rFonts w:hint="eastAsia" w:ascii="Microsoft Yi Baiti" w:eastAsia="Microsoft Yi Baiti"/>
        </w:rPr>
      </w:pPr>
      <w:r>
        <w:t xml:space="preserve">中华人民共和国安全生产法 </w:t>
      </w:r>
      <w:r>
        <w:rPr>
          <w:rFonts w:hint="eastAsia" w:ascii="Microsoft Yi Baiti" w:eastAsia="Microsoft Yi Baiti"/>
        </w:rPr>
        <w:t>(</w:t>
      </w:r>
      <w:r>
        <w:rPr>
          <w:rFonts w:hint="eastAsia" w:ascii="MS UI Gothic" w:eastAsia="MS UI Gothic"/>
        </w:rPr>
        <w:t xml:space="preserve">２０１４ </w:t>
      </w:r>
      <w:r>
        <w:t>年修正</w:t>
      </w:r>
      <w:r>
        <w:rPr>
          <w:rFonts w:hint="eastAsia" w:ascii="Microsoft Yi Baiti" w:eastAsia="Microsoft Yi Baiti"/>
        </w:rPr>
        <w:t>)</w:t>
      </w:r>
    </w:p>
    <w:p>
      <w:pPr>
        <w:pStyle w:val="6"/>
        <w:spacing w:before="367"/>
        <w:ind w:left="543" w:firstLine="0"/>
        <w:jc w:val="left"/>
      </w:pPr>
      <w:r>
        <w:pict>
          <v:shape id="_x0000_s1200" o:spid="_x0000_s1200" o:spt="202" type="#_x0000_t202" style="position:absolute;left:0pt;margin-left:54.9pt;margin-top:30.35pt;height:24.35pt;width:20.6pt;mso-position-horizontal-relative:page;z-index:-27603865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２００２</w:t>
                  </w:r>
                </w:p>
              </w:txbxContent>
            </v:textbox>
          </v:shape>
        </w:pict>
      </w:r>
      <w:r>
        <w:rPr>
          <w:rFonts w:hint="eastAsia" w:ascii="Microsoft Yi Baiti" w:eastAsia="Microsoft Yi Baiti"/>
        </w:rPr>
        <w:t>(</w:t>
      </w:r>
      <w:r>
        <w:rPr>
          <w:rFonts w:hint="eastAsia" w:ascii="MS UI Gothic" w:eastAsia="MS UI Gothic"/>
        </w:rPr>
        <w:t xml:space="preserve">２００２ </w:t>
      </w:r>
      <w:r>
        <w:t xml:space="preserve">年 </w:t>
      </w:r>
      <w:r>
        <w:rPr>
          <w:rFonts w:hint="eastAsia" w:ascii="MS UI Gothic" w:eastAsia="MS UI Gothic"/>
        </w:rPr>
        <w:t xml:space="preserve">６ </w:t>
      </w:r>
      <w:r>
        <w:t xml:space="preserve">月 </w:t>
      </w:r>
      <w:r>
        <w:rPr>
          <w:rFonts w:hint="eastAsia" w:ascii="MS UI Gothic" w:eastAsia="MS UI Gothic"/>
        </w:rPr>
        <w:t xml:space="preserve">２９ </w:t>
      </w:r>
      <w:r>
        <w:t>日第九届全国人民代表大会常务委员会第二十八次会议通过</w:t>
      </w:r>
    </w:p>
    <w:p>
      <w:pPr>
        <w:pStyle w:val="6"/>
        <w:spacing w:before="58" w:line="295" w:lineRule="auto"/>
        <w:ind w:right="442" w:firstLine="463"/>
        <w:rPr>
          <w:rFonts w:hint="eastAsia" w:ascii="Microsoft Yi Baiti" w:hAnsi="Microsoft Yi Baiti" w:eastAsia="Microsoft Yi Baiti"/>
        </w:rPr>
      </w:pPr>
      <w:r>
        <w:rPr>
          <w:spacing w:val="-40"/>
          <w:w w:val="105"/>
        </w:rPr>
        <w:t xml:space="preserve">年 </w:t>
      </w:r>
      <w:r>
        <w:rPr>
          <w:rFonts w:hint="eastAsia" w:ascii="MS UI Gothic" w:hAnsi="MS UI Gothic" w:eastAsia="MS UI Gothic"/>
          <w:spacing w:val="-14"/>
          <w:w w:val="95"/>
        </w:rPr>
        <w:t xml:space="preserve">６ </w:t>
      </w:r>
      <w:r>
        <w:rPr>
          <w:spacing w:val="-39"/>
          <w:w w:val="105"/>
        </w:rPr>
        <w:t xml:space="preserve">月 </w:t>
      </w:r>
      <w:r>
        <w:rPr>
          <w:rFonts w:hint="eastAsia" w:ascii="MS UI Gothic" w:hAnsi="MS UI Gothic" w:eastAsia="MS UI Gothic"/>
          <w:spacing w:val="-9"/>
          <w:w w:val="95"/>
        </w:rPr>
        <w:t xml:space="preserve">２９ </w:t>
      </w:r>
      <w:r>
        <w:rPr>
          <w:spacing w:val="-3"/>
          <w:w w:val="105"/>
        </w:rPr>
        <w:t xml:space="preserve">日中华人民共和国主席令第七十号公布 根据 </w:t>
      </w:r>
      <w:r>
        <w:rPr>
          <w:rFonts w:hint="eastAsia" w:ascii="MS UI Gothic" w:hAnsi="MS UI Gothic" w:eastAsia="MS UI Gothic"/>
          <w:spacing w:val="-5"/>
          <w:w w:val="95"/>
        </w:rPr>
        <w:t xml:space="preserve">２００９ </w:t>
      </w:r>
      <w:r>
        <w:rPr>
          <w:spacing w:val="-38"/>
          <w:w w:val="105"/>
        </w:rPr>
        <w:t xml:space="preserve">年 </w:t>
      </w:r>
      <w:r>
        <w:rPr>
          <w:rFonts w:hint="eastAsia" w:ascii="MS UI Gothic" w:hAnsi="MS UI Gothic" w:eastAsia="MS UI Gothic"/>
          <w:spacing w:val="-12"/>
          <w:w w:val="95"/>
        </w:rPr>
        <w:t xml:space="preserve">８ </w:t>
      </w:r>
      <w:r>
        <w:rPr>
          <w:spacing w:val="-38"/>
          <w:w w:val="105"/>
        </w:rPr>
        <w:t xml:space="preserve">月 </w:t>
      </w:r>
      <w:r>
        <w:rPr>
          <w:rFonts w:hint="eastAsia" w:ascii="MS UI Gothic" w:hAnsi="MS UI Gothic" w:eastAsia="MS UI Gothic"/>
          <w:spacing w:val="-8"/>
          <w:w w:val="95"/>
        </w:rPr>
        <w:t xml:space="preserve">２７ </w:t>
      </w:r>
      <w:r>
        <w:rPr>
          <w:spacing w:val="6"/>
          <w:w w:val="105"/>
        </w:rPr>
        <w:t>日中华人</w:t>
      </w:r>
      <w:r>
        <w:rPr>
          <w:spacing w:val="-4"/>
          <w:w w:val="105"/>
        </w:rPr>
        <w:t xml:space="preserve">民共和国主席令第十八号 </w:t>
      </w:r>
      <w:r>
        <w:rPr>
          <w:rFonts w:hint="eastAsia" w:ascii="Microsoft Yi Baiti" w:hAnsi="Microsoft Yi Baiti" w:eastAsia="Microsoft Yi Baiti"/>
          <w:spacing w:val="-42"/>
          <w:w w:val="105"/>
        </w:rPr>
        <w:t xml:space="preserve">« </w:t>
      </w:r>
      <w:r>
        <w:rPr>
          <w:spacing w:val="14"/>
          <w:w w:val="105"/>
        </w:rPr>
        <w:t>全国人民代表大会常务委员会关于修改部分法律的决定</w:t>
      </w:r>
      <w:r>
        <w:rPr>
          <w:rFonts w:hint="eastAsia" w:ascii="Microsoft Yi Baiti" w:hAnsi="Microsoft Yi Baiti" w:eastAsia="Microsoft Yi Baiti"/>
          <w:w w:val="105"/>
        </w:rPr>
        <w:t xml:space="preserve">» </w:t>
      </w:r>
      <w:r>
        <w:rPr>
          <w:spacing w:val="-7"/>
          <w:w w:val="105"/>
        </w:rPr>
        <w:t xml:space="preserve">第一次修正 根据 </w:t>
      </w:r>
      <w:r>
        <w:rPr>
          <w:rFonts w:hint="eastAsia" w:ascii="MS UI Gothic" w:hAnsi="MS UI Gothic" w:eastAsia="MS UI Gothic"/>
          <w:spacing w:val="-5"/>
          <w:w w:val="95"/>
        </w:rPr>
        <w:t xml:space="preserve">２０１４ </w:t>
      </w:r>
      <w:r>
        <w:rPr>
          <w:spacing w:val="-38"/>
          <w:w w:val="105"/>
        </w:rPr>
        <w:t xml:space="preserve">年 </w:t>
      </w:r>
      <w:r>
        <w:rPr>
          <w:rFonts w:hint="eastAsia" w:ascii="MS UI Gothic" w:hAnsi="MS UI Gothic" w:eastAsia="MS UI Gothic"/>
          <w:spacing w:val="-13"/>
          <w:w w:val="95"/>
        </w:rPr>
        <w:t xml:space="preserve">８ </w:t>
      </w:r>
      <w:r>
        <w:rPr>
          <w:spacing w:val="-38"/>
          <w:w w:val="105"/>
        </w:rPr>
        <w:t xml:space="preserve">月 </w:t>
      </w:r>
      <w:r>
        <w:rPr>
          <w:rFonts w:hint="eastAsia" w:ascii="MS UI Gothic" w:hAnsi="MS UI Gothic" w:eastAsia="MS UI Gothic"/>
          <w:spacing w:val="-8"/>
          <w:w w:val="95"/>
        </w:rPr>
        <w:t xml:space="preserve">３１ </w:t>
      </w:r>
      <w:r>
        <w:rPr>
          <w:spacing w:val="-2"/>
          <w:w w:val="105"/>
        </w:rPr>
        <w:t xml:space="preserve">日中华人民共和国主席令第 </w:t>
      </w:r>
      <w:r>
        <w:rPr>
          <w:rFonts w:hint="eastAsia" w:ascii="MS UI Gothic" w:hAnsi="MS UI Gothic" w:eastAsia="MS UI Gothic"/>
          <w:spacing w:val="-7"/>
          <w:w w:val="95"/>
        </w:rPr>
        <w:t xml:space="preserve">１３ </w:t>
      </w:r>
      <w:r>
        <w:rPr>
          <w:spacing w:val="-20"/>
          <w:w w:val="105"/>
        </w:rPr>
        <w:t xml:space="preserve">号 </w:t>
      </w:r>
      <w:r>
        <w:rPr>
          <w:rFonts w:hint="eastAsia" w:ascii="Microsoft Yi Baiti" w:hAnsi="Microsoft Yi Baiti" w:eastAsia="Microsoft Yi Baiti"/>
          <w:spacing w:val="-39"/>
          <w:w w:val="105"/>
        </w:rPr>
        <w:t xml:space="preserve">« </w:t>
      </w:r>
      <w:r>
        <w:rPr>
          <w:spacing w:val="7"/>
          <w:w w:val="105"/>
        </w:rPr>
        <w:t>全国人民代表大</w:t>
      </w:r>
      <w:r>
        <w:rPr>
          <w:spacing w:val="-2"/>
          <w:w w:val="110"/>
        </w:rPr>
        <w:t xml:space="preserve">会常务委员会关于修改 </w:t>
      </w:r>
      <w:r>
        <w:rPr>
          <w:rFonts w:hint="eastAsia" w:ascii="Microsoft Yi Baiti" w:hAnsi="Microsoft Yi Baiti" w:eastAsia="Microsoft Yi Baiti"/>
          <w:spacing w:val="-77"/>
          <w:w w:val="190"/>
        </w:rPr>
        <w:t xml:space="preserve">‹ </w:t>
      </w:r>
      <w:r>
        <w:rPr>
          <w:spacing w:val="3"/>
          <w:w w:val="110"/>
        </w:rPr>
        <w:t>中华人民共和国安全生产法</w:t>
      </w:r>
      <w:r>
        <w:rPr>
          <w:rFonts w:hint="eastAsia" w:ascii="Microsoft Yi Baiti" w:hAnsi="Microsoft Yi Baiti" w:eastAsia="Microsoft Yi Baiti"/>
          <w:spacing w:val="-40"/>
          <w:w w:val="190"/>
        </w:rPr>
        <w:t xml:space="preserve">› </w:t>
      </w:r>
      <w:r>
        <w:rPr>
          <w:spacing w:val="3"/>
          <w:w w:val="110"/>
        </w:rPr>
        <w:t>的决定</w:t>
      </w:r>
      <w:r>
        <w:rPr>
          <w:rFonts w:hint="eastAsia" w:ascii="Microsoft Yi Baiti" w:hAnsi="Microsoft Yi Baiti" w:eastAsia="Microsoft Yi Baiti"/>
          <w:spacing w:val="-5"/>
          <w:w w:val="110"/>
        </w:rPr>
        <w:t xml:space="preserve">» </w:t>
      </w:r>
      <w:r>
        <w:rPr>
          <w:spacing w:val="3"/>
          <w:w w:val="110"/>
        </w:rPr>
        <w:t>第二次修正</w:t>
      </w:r>
      <w:r>
        <w:rPr>
          <w:rFonts w:hint="eastAsia" w:ascii="Microsoft Yi Baiti" w:hAnsi="Microsoft Yi Baiti" w:eastAsia="Microsoft Yi Baiti"/>
          <w:w w:val="110"/>
        </w:rPr>
        <w:t>)</w:t>
      </w:r>
    </w:p>
    <w:p>
      <w:pPr>
        <w:pStyle w:val="6"/>
        <w:ind w:left="0" w:firstLine="0"/>
        <w:jc w:val="left"/>
        <w:rPr>
          <w:rFonts w:ascii="Microsoft Yi Baiti"/>
          <w:sz w:val="22"/>
        </w:rPr>
      </w:pPr>
    </w:p>
    <w:p>
      <w:pPr>
        <w:spacing w:after="0"/>
        <w:jc w:val="left"/>
        <w:rPr>
          <w:rFonts w:ascii="Microsoft Yi Baiti"/>
          <w:sz w:val="22"/>
        </w:rPr>
        <w:sectPr>
          <w:type w:val="continuous"/>
          <w:pgSz w:w="10500" w:h="14750"/>
          <w:pgMar w:top="1400" w:right="980" w:bottom="280" w:left="980" w:header="720" w:footer="720" w:gutter="0"/>
        </w:sectPr>
      </w:pPr>
    </w:p>
    <w:p>
      <w:pPr>
        <w:pStyle w:val="6"/>
        <w:spacing w:before="6"/>
        <w:ind w:left="0" w:firstLine="0"/>
        <w:jc w:val="left"/>
        <w:rPr>
          <w:rFonts w:ascii="Microsoft Yi Baiti"/>
          <w:sz w:val="23"/>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6" w:line="290" w:lineRule="auto"/>
        <w:ind w:right="38"/>
        <w:rPr>
          <w:rFonts w:hint="eastAsia" w:ascii="MS UI Gothic" w:eastAsia="MS UI Gothic"/>
        </w:rPr>
      </w:pPr>
      <w:r>
        <w:t>第一条 为了加强安全生产工作</w:t>
      </w:r>
      <w:r>
        <w:rPr>
          <w:rFonts w:hint="eastAsia" w:ascii="MS UI Gothic" w:eastAsia="MS UI Gothic"/>
          <w:w w:val="80"/>
        </w:rPr>
        <w:t xml:space="preserve">ꎬ </w:t>
      </w:r>
      <w:r>
        <w:t>防止和减少生产安全事故</w:t>
      </w:r>
      <w:r>
        <w:rPr>
          <w:rFonts w:hint="eastAsia" w:ascii="MS UI Gothic" w:eastAsia="MS UI Gothic"/>
          <w:w w:val="80"/>
        </w:rPr>
        <w:t xml:space="preserve">ꎬ </w:t>
      </w:r>
      <w:r>
        <w:t>保障人民群众生命和财产安全</w:t>
      </w:r>
      <w:r>
        <w:rPr>
          <w:rFonts w:hint="eastAsia" w:ascii="MS UI Gothic" w:eastAsia="MS UI Gothic"/>
          <w:w w:val="80"/>
        </w:rPr>
        <w:t xml:space="preserve">ꎬ </w:t>
      </w:r>
      <w:r>
        <w:t>促进经济社会持续健康发展</w:t>
      </w:r>
      <w:r>
        <w:rPr>
          <w:rFonts w:hint="eastAsia" w:ascii="MS UI Gothic" w:eastAsia="MS UI Gothic"/>
          <w:w w:val="80"/>
        </w:rPr>
        <w:t xml:space="preserve">ꎬ </w:t>
      </w:r>
      <w:r>
        <w:t>制定本法</w:t>
      </w:r>
      <w:r>
        <w:rPr>
          <w:rFonts w:hint="eastAsia" w:ascii="MS UI Gothic" w:eastAsia="MS UI Gothic"/>
          <w:w w:val="80"/>
        </w:rPr>
        <w:t>ꎮ</w:t>
      </w:r>
    </w:p>
    <w:p>
      <w:pPr>
        <w:pStyle w:val="6"/>
        <w:spacing w:before="1" w:line="292" w:lineRule="auto"/>
        <w:ind w:right="38"/>
        <w:rPr>
          <w:rFonts w:hint="eastAsia" w:ascii="MS UI Gothic" w:eastAsia="MS UI Gothic"/>
        </w:rPr>
      </w:pPr>
      <w:r>
        <w:rPr>
          <w:spacing w:val="2"/>
          <w:w w:val="105"/>
        </w:rPr>
        <w:t>第二条 在中华人民共和国领域内从</w:t>
      </w:r>
      <w:r>
        <w:rPr>
          <w:spacing w:val="6"/>
          <w:w w:val="105"/>
        </w:rPr>
        <w:t xml:space="preserve">事生产经营活动的单位 </w:t>
      </w:r>
      <w:r>
        <w:rPr>
          <w:rFonts w:hint="eastAsia" w:ascii="MS UI Gothic" w:eastAsia="MS UI Gothic"/>
          <w:spacing w:val="-37"/>
          <w:w w:val="150"/>
        </w:rPr>
        <w:t xml:space="preserve">( </w:t>
      </w:r>
      <w:r>
        <w:rPr>
          <w:spacing w:val="14"/>
          <w:w w:val="105"/>
        </w:rPr>
        <w:t>以下统称生产</w:t>
      </w:r>
      <w:r>
        <w:rPr>
          <w:spacing w:val="16"/>
          <w:w w:val="105"/>
        </w:rPr>
        <w:t>经营单位</w:t>
      </w:r>
      <w:r>
        <w:rPr>
          <w:rFonts w:hint="eastAsia" w:ascii="MS UI Gothic" w:eastAsia="MS UI Gothic"/>
          <w:spacing w:val="-8"/>
          <w:w w:val="150"/>
        </w:rPr>
        <w:t xml:space="preserve">) </w:t>
      </w:r>
      <w:r>
        <w:rPr>
          <w:spacing w:val="15"/>
          <w:w w:val="105"/>
        </w:rPr>
        <w:t>的安全生产</w:t>
      </w:r>
      <w:r>
        <w:rPr>
          <w:rFonts w:hint="eastAsia" w:ascii="MS UI Gothic" w:eastAsia="MS UI Gothic"/>
          <w:spacing w:val="8"/>
          <w:w w:val="80"/>
        </w:rPr>
        <w:t xml:space="preserve">ꎬ </w:t>
      </w:r>
      <w:r>
        <w:rPr>
          <w:spacing w:val="15"/>
          <w:w w:val="105"/>
        </w:rPr>
        <w:t>适用本法</w:t>
      </w:r>
      <w:r>
        <w:rPr>
          <w:rFonts w:hint="eastAsia" w:ascii="MS UI Gothic" w:eastAsia="MS UI Gothic"/>
          <w:spacing w:val="9"/>
          <w:w w:val="80"/>
        </w:rPr>
        <w:t xml:space="preserve">ꎻ </w:t>
      </w:r>
      <w:r>
        <w:rPr>
          <w:w w:val="105"/>
        </w:rPr>
        <w:t>有</w:t>
      </w:r>
      <w:r>
        <w:rPr>
          <w:spacing w:val="3"/>
          <w:w w:val="105"/>
        </w:rPr>
        <w:t>关法律</w:t>
      </w:r>
      <w:r>
        <w:rPr>
          <w:rFonts w:hint="eastAsia" w:ascii="MS UI Gothic" w:eastAsia="MS UI Gothic"/>
          <w:spacing w:val="-4"/>
          <w:w w:val="80"/>
        </w:rPr>
        <w:t xml:space="preserve">、 </w:t>
      </w:r>
      <w:r>
        <w:rPr>
          <w:spacing w:val="2"/>
          <w:w w:val="105"/>
        </w:rPr>
        <w:t>行政法规对消防安全和道路交通</w:t>
      </w:r>
      <w:r>
        <w:rPr>
          <w:spacing w:val="3"/>
          <w:w w:val="105"/>
        </w:rPr>
        <w:t>安全</w:t>
      </w:r>
      <w:r>
        <w:rPr>
          <w:rFonts w:hint="eastAsia" w:ascii="MS UI Gothic" w:eastAsia="MS UI Gothic"/>
          <w:spacing w:val="16"/>
          <w:w w:val="80"/>
        </w:rPr>
        <w:t xml:space="preserve">、 </w:t>
      </w:r>
      <w:r>
        <w:rPr>
          <w:spacing w:val="3"/>
          <w:w w:val="105"/>
        </w:rPr>
        <w:t>铁路交通安全</w:t>
      </w:r>
      <w:r>
        <w:rPr>
          <w:rFonts w:hint="eastAsia" w:ascii="MS UI Gothic" w:eastAsia="MS UI Gothic"/>
          <w:spacing w:val="17"/>
          <w:w w:val="80"/>
        </w:rPr>
        <w:t xml:space="preserve">、 </w:t>
      </w:r>
      <w:r>
        <w:rPr>
          <w:spacing w:val="3"/>
          <w:w w:val="105"/>
        </w:rPr>
        <w:t>水上交通安全</w:t>
      </w:r>
      <w:r>
        <w:rPr>
          <w:rFonts w:hint="eastAsia" w:ascii="MS UI Gothic" w:eastAsia="MS UI Gothic"/>
          <w:spacing w:val="17"/>
          <w:w w:val="80"/>
        </w:rPr>
        <w:t xml:space="preserve">、 </w:t>
      </w:r>
      <w:r>
        <w:rPr>
          <w:w w:val="105"/>
        </w:rPr>
        <w:t>民</w:t>
      </w:r>
      <w:r>
        <w:rPr>
          <w:spacing w:val="3"/>
          <w:w w:val="105"/>
        </w:rPr>
        <w:t>用航空安全以及核与辐射安全</w:t>
      </w:r>
      <w:r>
        <w:rPr>
          <w:rFonts w:hint="eastAsia" w:ascii="MS UI Gothic" w:eastAsia="MS UI Gothic"/>
          <w:spacing w:val="-4"/>
          <w:w w:val="80"/>
        </w:rPr>
        <w:t xml:space="preserve">、 </w:t>
      </w:r>
      <w:r>
        <w:rPr>
          <w:spacing w:val="2"/>
          <w:w w:val="105"/>
        </w:rPr>
        <w:t>特种设备</w:t>
      </w:r>
      <w:r>
        <w:rPr>
          <w:spacing w:val="3"/>
          <w:w w:val="105"/>
        </w:rPr>
        <w:t>安全另有规定的</w:t>
      </w:r>
      <w:r>
        <w:rPr>
          <w:rFonts w:hint="eastAsia" w:ascii="MS UI Gothic" w:eastAsia="MS UI Gothic"/>
          <w:spacing w:val="20"/>
          <w:w w:val="80"/>
        </w:rPr>
        <w:t xml:space="preserve">ꎬ </w:t>
      </w:r>
      <w:r>
        <w:rPr>
          <w:spacing w:val="3"/>
          <w:w w:val="105"/>
        </w:rPr>
        <w:t>适用其规定</w:t>
      </w:r>
      <w:r>
        <w:rPr>
          <w:rFonts w:hint="eastAsia" w:ascii="MS UI Gothic" w:eastAsia="MS UI Gothic"/>
          <w:w w:val="80"/>
        </w:rPr>
        <w:t>ꎮ</w:t>
      </w:r>
    </w:p>
    <w:p>
      <w:pPr>
        <w:pStyle w:val="6"/>
        <w:spacing w:line="290" w:lineRule="auto"/>
        <w:ind w:right="38"/>
        <w:rPr>
          <w:rFonts w:hint="eastAsia" w:ascii="MS UI Gothic" w:eastAsia="MS UI Gothic"/>
        </w:rPr>
      </w:pPr>
      <w:r>
        <w:t>第三条  安全生产工作应当以人为本</w:t>
      </w:r>
      <w:r>
        <w:rPr>
          <w:rFonts w:hint="eastAsia" w:ascii="MS UI Gothic" w:eastAsia="MS UI Gothic"/>
          <w:w w:val="80"/>
        </w:rPr>
        <w:t xml:space="preserve">ꎬ </w:t>
      </w:r>
      <w:r>
        <w:t>坚持安全发展</w:t>
      </w:r>
      <w:r>
        <w:rPr>
          <w:rFonts w:hint="eastAsia" w:ascii="MS UI Gothic" w:eastAsia="MS UI Gothic"/>
          <w:w w:val="80"/>
        </w:rPr>
        <w:t xml:space="preserve">ꎬ </w:t>
      </w:r>
      <w:r>
        <w:t>坚持安全第一</w:t>
      </w:r>
      <w:r>
        <w:rPr>
          <w:rFonts w:hint="eastAsia" w:ascii="MS UI Gothic" w:eastAsia="MS UI Gothic"/>
          <w:w w:val="80"/>
        </w:rPr>
        <w:t xml:space="preserve">、 </w:t>
      </w:r>
      <w:r>
        <w:t>预防为主</w:t>
      </w:r>
      <w:r>
        <w:rPr>
          <w:rFonts w:hint="eastAsia" w:ascii="MS UI Gothic" w:eastAsia="MS UI Gothic"/>
          <w:w w:val="80"/>
        </w:rPr>
        <w:t xml:space="preserve">、 </w:t>
      </w:r>
      <w:r>
        <w:t>综合治理的方针</w:t>
      </w:r>
      <w:r>
        <w:rPr>
          <w:rFonts w:hint="eastAsia" w:ascii="MS UI Gothic" w:eastAsia="MS UI Gothic"/>
          <w:w w:val="80"/>
        </w:rPr>
        <w:t xml:space="preserve">ꎬ </w:t>
      </w:r>
      <w:r>
        <w:t>强化和落实生产经营单位的主体责任</w:t>
      </w:r>
      <w:r>
        <w:rPr>
          <w:rFonts w:hint="eastAsia" w:ascii="MS UI Gothic" w:eastAsia="MS UI Gothic"/>
          <w:w w:val="80"/>
        </w:rPr>
        <w:t xml:space="preserve">ꎬ </w:t>
      </w:r>
      <w:r>
        <w:t>建立生产经营单位负责</w:t>
      </w:r>
      <w:r>
        <w:rPr>
          <w:rFonts w:hint="eastAsia" w:ascii="MS UI Gothic" w:eastAsia="MS UI Gothic"/>
          <w:w w:val="80"/>
        </w:rPr>
        <w:t xml:space="preserve">、 </w:t>
      </w:r>
      <w:r>
        <w:t>职工参与</w:t>
      </w:r>
      <w:r>
        <w:rPr>
          <w:rFonts w:hint="eastAsia" w:ascii="MS UI Gothic" w:eastAsia="MS UI Gothic"/>
          <w:w w:val="80"/>
        </w:rPr>
        <w:t xml:space="preserve">、 </w:t>
      </w:r>
      <w:r>
        <w:t>政府监管</w:t>
      </w:r>
      <w:r>
        <w:rPr>
          <w:rFonts w:hint="eastAsia" w:ascii="MS UI Gothic" w:eastAsia="MS UI Gothic"/>
          <w:w w:val="80"/>
        </w:rPr>
        <w:t xml:space="preserve">、 </w:t>
      </w:r>
      <w:r>
        <w:t>行业自律和社会监督的机制</w:t>
      </w:r>
      <w:r>
        <w:rPr>
          <w:rFonts w:hint="eastAsia" w:ascii="MS UI Gothic" w:eastAsia="MS UI Gothic"/>
          <w:w w:val="80"/>
        </w:rPr>
        <w:t>ꎮ</w:t>
      </w:r>
    </w:p>
    <w:p>
      <w:pPr>
        <w:pStyle w:val="6"/>
        <w:spacing w:before="2" w:line="290" w:lineRule="auto"/>
        <w:ind w:right="38"/>
        <w:rPr>
          <w:rFonts w:hint="eastAsia" w:ascii="MS UI Gothic" w:eastAsia="MS UI Gothic"/>
        </w:rPr>
      </w:pPr>
      <w:r>
        <w:t>第四条 生产经营单位必须遵守本法和其他有关安全生产的法律</w:t>
      </w:r>
      <w:r>
        <w:rPr>
          <w:rFonts w:hint="eastAsia" w:ascii="MS UI Gothic" w:eastAsia="MS UI Gothic"/>
          <w:w w:val="80"/>
        </w:rPr>
        <w:t xml:space="preserve">、 </w:t>
      </w:r>
      <w:r>
        <w:t>法规</w:t>
      </w:r>
      <w:r>
        <w:rPr>
          <w:rFonts w:hint="eastAsia" w:ascii="MS UI Gothic" w:eastAsia="MS UI Gothic"/>
          <w:w w:val="80"/>
        </w:rPr>
        <w:t xml:space="preserve">ꎬ </w:t>
      </w:r>
      <w:r>
        <w:t>加强安全生产管理</w:t>
      </w:r>
      <w:r>
        <w:rPr>
          <w:rFonts w:hint="eastAsia" w:ascii="MS UI Gothic" w:eastAsia="MS UI Gothic"/>
          <w:w w:val="80"/>
        </w:rPr>
        <w:t xml:space="preserve">ꎬ </w:t>
      </w:r>
      <w:r>
        <w:t>建立</w:t>
      </w:r>
      <w:r>
        <w:rPr>
          <w:rFonts w:hint="eastAsia" w:ascii="MS UI Gothic" w:eastAsia="MS UI Gothic"/>
          <w:w w:val="80"/>
        </w:rPr>
        <w:t xml:space="preserve">、 </w:t>
      </w:r>
      <w:r>
        <w:t>健全安全生产责任制和安全生产规章制度</w:t>
      </w:r>
      <w:r>
        <w:rPr>
          <w:rFonts w:hint="eastAsia" w:ascii="MS UI Gothic" w:eastAsia="MS UI Gothic"/>
          <w:w w:val="80"/>
        </w:rPr>
        <w:t xml:space="preserve">ꎬ </w:t>
      </w:r>
      <w:r>
        <w:t>改善安全生产条件</w:t>
      </w:r>
      <w:r>
        <w:rPr>
          <w:rFonts w:hint="eastAsia" w:ascii="MS UI Gothic" w:eastAsia="MS UI Gothic"/>
          <w:w w:val="80"/>
        </w:rPr>
        <w:t xml:space="preserve">ꎬ </w:t>
      </w:r>
      <w:r>
        <w:t>推进安全生产标准化建设</w:t>
      </w:r>
      <w:r>
        <w:rPr>
          <w:rFonts w:hint="eastAsia" w:ascii="MS UI Gothic" w:eastAsia="MS UI Gothic"/>
          <w:w w:val="80"/>
        </w:rPr>
        <w:t xml:space="preserve">ꎬ </w:t>
      </w:r>
      <w:r>
        <w:t>提高安全生产水平</w:t>
      </w:r>
      <w:r>
        <w:rPr>
          <w:rFonts w:hint="eastAsia" w:ascii="MS UI Gothic" w:eastAsia="MS UI Gothic"/>
          <w:w w:val="80"/>
        </w:rPr>
        <w:t xml:space="preserve">ꎬ </w:t>
      </w:r>
      <w:r>
        <w:t>确保安全生产</w:t>
      </w:r>
      <w:r>
        <w:rPr>
          <w:rFonts w:hint="eastAsia" w:ascii="MS UI Gothic" w:eastAsia="MS UI Gothic"/>
          <w:w w:val="80"/>
        </w:rPr>
        <w:t>ꎮ</w:t>
      </w:r>
    </w:p>
    <w:p>
      <w:pPr>
        <w:pStyle w:val="6"/>
        <w:spacing w:before="85" w:line="292" w:lineRule="auto"/>
        <w:ind w:right="442"/>
        <w:rPr>
          <w:rFonts w:hint="eastAsia" w:ascii="MS UI Gothic" w:eastAsia="MS UI Gothic"/>
        </w:rPr>
      </w:pPr>
      <w:r>
        <w:br w:type="column"/>
      </w:r>
      <w:r>
        <w:rPr>
          <w:w w:val="105"/>
        </w:rPr>
        <w:t>第五条 生产经营单位的主要负责人对本单位的安全生产工作全面负责</w:t>
      </w:r>
      <w:r>
        <w:rPr>
          <w:rFonts w:hint="eastAsia" w:ascii="MS UI Gothic" w:eastAsia="MS UI Gothic"/>
          <w:w w:val="80"/>
        </w:rPr>
        <w:t>ꎮ</w:t>
      </w:r>
    </w:p>
    <w:p>
      <w:pPr>
        <w:pStyle w:val="6"/>
        <w:spacing w:line="292" w:lineRule="auto"/>
        <w:ind w:right="442"/>
        <w:rPr>
          <w:rFonts w:hint="eastAsia" w:ascii="MS UI Gothic" w:eastAsia="MS UI Gothic"/>
        </w:rPr>
      </w:pPr>
      <w:r>
        <w:rPr>
          <w:w w:val="105"/>
        </w:rPr>
        <w:t>第六条 生产经营单位的从业人员有</w:t>
      </w:r>
      <w:r>
        <w:t>依法获得安全生产保障的权利</w:t>
      </w:r>
      <w:r>
        <w:rPr>
          <w:rFonts w:hint="eastAsia" w:ascii="MS UI Gothic" w:eastAsia="MS UI Gothic"/>
          <w:w w:val="80"/>
        </w:rPr>
        <w:t xml:space="preserve">ꎬ </w:t>
      </w:r>
      <w:r>
        <w:t>并应当依</w:t>
      </w:r>
      <w:r>
        <w:rPr>
          <w:w w:val="105"/>
        </w:rPr>
        <w:t>法履行安全生产方面的义务</w:t>
      </w:r>
      <w:r>
        <w:rPr>
          <w:rFonts w:hint="eastAsia" w:ascii="MS UI Gothic" w:eastAsia="MS UI Gothic"/>
          <w:w w:val="80"/>
        </w:rPr>
        <w:t>ꎮ</w:t>
      </w:r>
    </w:p>
    <w:p>
      <w:pPr>
        <w:pStyle w:val="6"/>
        <w:spacing w:line="292" w:lineRule="auto"/>
        <w:ind w:right="442"/>
        <w:rPr>
          <w:rFonts w:hint="eastAsia" w:ascii="MS UI Gothic" w:eastAsia="MS UI Gothic"/>
        </w:rPr>
      </w:pPr>
      <w:r>
        <w:t>第七条 工会依法对安全生产工作进行监督</w:t>
      </w:r>
      <w:r>
        <w:rPr>
          <w:rFonts w:hint="eastAsia" w:ascii="MS UI Gothic" w:eastAsia="MS UI Gothic"/>
          <w:w w:val="80"/>
        </w:rPr>
        <w:t>ꎮ</w:t>
      </w:r>
    </w:p>
    <w:p>
      <w:pPr>
        <w:pStyle w:val="6"/>
        <w:spacing w:line="292" w:lineRule="auto"/>
        <w:ind w:right="442"/>
        <w:rPr>
          <w:rFonts w:hint="eastAsia" w:ascii="MS UI Gothic" w:eastAsia="MS UI Gothic"/>
        </w:rPr>
      </w:pPr>
      <w:r>
        <w:t>生产经营单位的工会依法组织职工参加本单位安全生产工作的民主管理和民主监督</w:t>
      </w:r>
      <w:r>
        <w:rPr>
          <w:rFonts w:hint="eastAsia" w:ascii="MS UI Gothic" w:eastAsia="MS UI Gothic"/>
          <w:w w:val="80"/>
        </w:rPr>
        <w:t xml:space="preserve">ꎬ </w:t>
      </w:r>
      <w:r>
        <w:t>维护职工在安全生产方面的合法权益</w:t>
      </w:r>
      <w:r>
        <w:rPr>
          <w:rFonts w:hint="eastAsia" w:ascii="MS UI Gothic" w:eastAsia="MS UI Gothic"/>
          <w:w w:val="80"/>
        </w:rPr>
        <w:t xml:space="preserve">ꎮ </w:t>
      </w:r>
      <w:r>
        <w:t>生产经营单位制定或者修改有关安全生产的规章制度</w:t>
      </w:r>
      <w:r>
        <w:rPr>
          <w:rFonts w:hint="eastAsia" w:ascii="MS UI Gothic" w:eastAsia="MS UI Gothic"/>
          <w:w w:val="80"/>
        </w:rPr>
        <w:t xml:space="preserve">ꎬ </w:t>
      </w:r>
      <w:r>
        <w:t>应当听取工会的意见</w:t>
      </w:r>
      <w:r>
        <w:rPr>
          <w:rFonts w:hint="eastAsia" w:ascii="MS UI Gothic" w:eastAsia="MS UI Gothic"/>
          <w:w w:val="80"/>
        </w:rPr>
        <w:t>ꎮ</w:t>
      </w:r>
    </w:p>
    <w:p>
      <w:pPr>
        <w:pStyle w:val="6"/>
        <w:spacing w:line="290" w:lineRule="auto"/>
        <w:ind w:right="442"/>
        <w:rPr>
          <w:rFonts w:hint="eastAsia" w:ascii="MS UI Gothic" w:eastAsia="MS UI Gothic"/>
        </w:rPr>
      </w:pPr>
      <w:r>
        <w:rPr>
          <w:w w:val="105"/>
        </w:rPr>
        <w:t>第八条 国务院和县级以上地方各级</w:t>
      </w:r>
      <w:r>
        <w:t>人民政府应当根据国民经济和社会发展规划制定安全生产规划</w:t>
      </w:r>
      <w:r>
        <w:rPr>
          <w:rFonts w:hint="eastAsia" w:ascii="MS UI Gothic" w:eastAsia="MS UI Gothic"/>
          <w:w w:val="80"/>
        </w:rPr>
        <w:t xml:space="preserve">ꎬ </w:t>
      </w:r>
      <w:r>
        <w:t>并组织实施</w:t>
      </w:r>
      <w:r>
        <w:rPr>
          <w:rFonts w:hint="eastAsia" w:ascii="MS UI Gothic" w:eastAsia="MS UI Gothic"/>
          <w:w w:val="80"/>
        </w:rPr>
        <w:t xml:space="preserve">ꎮ </w:t>
      </w:r>
      <w:r>
        <w:t>安全</w:t>
      </w:r>
      <w:r>
        <w:rPr>
          <w:w w:val="105"/>
        </w:rPr>
        <w:t>生产规划应当与城乡规划相衔接</w:t>
      </w:r>
      <w:r>
        <w:rPr>
          <w:rFonts w:hint="eastAsia" w:ascii="MS UI Gothic" w:eastAsia="MS UI Gothic"/>
          <w:w w:val="80"/>
        </w:rPr>
        <w:t>ꎮ</w:t>
      </w:r>
    </w:p>
    <w:p>
      <w:pPr>
        <w:pStyle w:val="6"/>
        <w:spacing w:line="290" w:lineRule="auto"/>
        <w:ind w:right="440"/>
        <w:rPr>
          <w:rFonts w:hint="eastAsia" w:ascii="MS UI Gothic" w:eastAsia="MS UI Gothic"/>
        </w:rPr>
      </w:pPr>
      <w:r>
        <w:t>国务院和县级以上地方各级人民政府应当加强对安全生产工作的领导</w:t>
      </w:r>
      <w:r>
        <w:rPr>
          <w:rFonts w:hint="eastAsia" w:ascii="MS UI Gothic" w:eastAsia="MS UI Gothic"/>
          <w:w w:val="80"/>
        </w:rPr>
        <w:t xml:space="preserve">ꎬ </w:t>
      </w:r>
      <w:r>
        <w:t>支持</w:t>
      </w:r>
      <w:r>
        <w:rPr>
          <w:rFonts w:hint="eastAsia" w:ascii="MS UI Gothic" w:eastAsia="MS UI Gothic"/>
          <w:w w:val="80"/>
        </w:rPr>
        <w:t>、</w:t>
      </w:r>
      <w:r>
        <w:t>督促各有关部门依法履行安全生产监督管理职责</w:t>
      </w:r>
      <w:r>
        <w:rPr>
          <w:rFonts w:hint="eastAsia" w:ascii="MS UI Gothic" w:eastAsia="MS UI Gothic"/>
          <w:w w:val="80"/>
        </w:rPr>
        <w:t xml:space="preserve">ꎬ </w:t>
      </w:r>
      <w:r>
        <w:t>建立健全安全生产工作协调机制</w:t>
      </w:r>
      <w:r>
        <w:rPr>
          <w:rFonts w:hint="eastAsia" w:ascii="MS UI Gothic" w:eastAsia="MS UI Gothic"/>
          <w:w w:val="80"/>
        </w:rPr>
        <w:t xml:space="preserve">ꎬ </w:t>
      </w:r>
      <w:r>
        <w:t>及时协调</w:t>
      </w:r>
      <w:r>
        <w:rPr>
          <w:rFonts w:hint="eastAsia" w:ascii="MS UI Gothic" w:eastAsia="MS UI Gothic"/>
          <w:w w:val="80"/>
        </w:rPr>
        <w:t xml:space="preserve">、 </w:t>
      </w:r>
      <w:r>
        <w:t>解决安全生产监督管理中存在的重大问题</w:t>
      </w:r>
      <w:r>
        <w:rPr>
          <w:rFonts w:hint="eastAsia" w:ascii="MS UI Gothic" w:eastAsia="MS UI Gothic"/>
          <w:w w:val="80"/>
        </w:rPr>
        <w:t>ꎮ</w:t>
      </w:r>
    </w:p>
    <w:p>
      <w:pPr>
        <w:pStyle w:val="6"/>
        <w:spacing w:before="3" w:line="292" w:lineRule="auto"/>
        <w:ind w:right="442"/>
      </w:pPr>
      <w:r>
        <w:rPr>
          <w:w w:val="105"/>
        </w:rPr>
        <w:t>乡</w:t>
      </w:r>
      <w:r>
        <w:rPr>
          <w:rFonts w:hint="eastAsia" w:ascii="MS UI Gothic" w:eastAsia="MS UI Gothic"/>
          <w:w w:val="80"/>
        </w:rPr>
        <w:t xml:space="preserve">、 </w:t>
      </w:r>
      <w:r>
        <w:rPr>
          <w:w w:val="105"/>
        </w:rPr>
        <w:t>镇人民政府以及街道办事处</w:t>
      </w:r>
      <w:r>
        <w:rPr>
          <w:rFonts w:hint="eastAsia" w:ascii="MS UI Gothic" w:eastAsia="MS UI Gothic"/>
          <w:w w:val="80"/>
        </w:rPr>
        <w:t xml:space="preserve">、 </w:t>
      </w:r>
      <w:r>
        <w:rPr>
          <w:w w:val="105"/>
        </w:rPr>
        <w:t>开</w:t>
      </w:r>
      <w:r>
        <w:t>发区管理机构等地方人民政府的派出机关应当按照职责</w:t>
      </w:r>
      <w:r>
        <w:rPr>
          <w:rFonts w:hint="eastAsia" w:ascii="MS UI Gothic" w:eastAsia="MS UI Gothic"/>
          <w:w w:val="80"/>
        </w:rPr>
        <w:t xml:space="preserve">ꎬ </w:t>
      </w:r>
      <w:r>
        <w:t>加强对本行政区域内生产</w:t>
      </w:r>
    </w:p>
    <w:p>
      <w:pPr>
        <w:spacing w:after="0" w:line="292" w:lineRule="auto"/>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５１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01" o:spid="_x0000_s1201" o:spt="203" style="height:2.15pt;width:398.25pt;" coordsize="7965,43">
            <o:lock v:ext="edit"/>
            <v:line id="_x0000_s1202" o:spid="_x0000_s1202" o:spt="20" style="position:absolute;left:0;top:39;height:0;width:7965;" stroked="t" coordsize="21600,21600">
              <v:path arrowok="t"/>
              <v:fill focussize="0,0"/>
              <v:stroke weight="0.388031496062992pt" color="#231F20"/>
              <v:imagedata o:title=""/>
              <o:lock v:ext="edit"/>
            </v:line>
            <v:line id="_x0000_s1203" o:spid="_x0000_s120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经营单位安全生产状况的监督检查</w:t>
      </w:r>
      <w:r>
        <w:rPr>
          <w:rFonts w:hint="eastAsia" w:ascii="MS UI Gothic" w:eastAsia="MS UI Gothic"/>
          <w:w w:val="80"/>
        </w:rPr>
        <w:t xml:space="preserve">ꎬ </w:t>
      </w:r>
      <w:r>
        <w:t>协助上级人民政府有关部门依法履行安全生产</w:t>
      </w:r>
      <w:r>
        <w:rPr>
          <w:w w:val="105"/>
        </w:rPr>
        <w:t>监督管理职责</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第九条 国务院安全生产监督管理部</w:t>
      </w:r>
      <w:r>
        <w:t>门依照本法</w:t>
      </w:r>
      <w:r>
        <w:rPr>
          <w:rFonts w:hint="eastAsia" w:ascii="MS UI Gothic" w:eastAsia="MS UI Gothic"/>
          <w:w w:val="80"/>
        </w:rPr>
        <w:t xml:space="preserve">ꎬ </w:t>
      </w:r>
      <w:r>
        <w:t>对全国安全生产工作实施综合监督管理</w:t>
      </w:r>
      <w:r>
        <w:rPr>
          <w:rFonts w:hint="eastAsia" w:ascii="MS UI Gothic" w:eastAsia="MS UI Gothic"/>
          <w:w w:val="80"/>
        </w:rPr>
        <w:t xml:space="preserve">ꎻ </w:t>
      </w:r>
      <w:r>
        <w:t>县级以上地方各级人民政府安全生产监督管理部门依照本法</w:t>
      </w:r>
      <w:r>
        <w:rPr>
          <w:rFonts w:hint="eastAsia" w:ascii="MS UI Gothic" w:eastAsia="MS UI Gothic"/>
          <w:w w:val="80"/>
        </w:rPr>
        <w:t xml:space="preserve">ꎬ </w:t>
      </w:r>
      <w:r>
        <w:t>对本行政区域内安全生产工作实施综合监督</w:t>
      </w:r>
      <w:r>
        <w:rPr>
          <w:w w:val="105"/>
        </w:rPr>
        <w:t>管理</w:t>
      </w:r>
      <w:r>
        <w:rPr>
          <w:rFonts w:hint="eastAsia" w:ascii="MS UI Gothic" w:eastAsia="MS UI Gothic"/>
          <w:w w:val="80"/>
        </w:rPr>
        <w:t>ꎮ</w:t>
      </w:r>
    </w:p>
    <w:p>
      <w:pPr>
        <w:pStyle w:val="6"/>
        <w:spacing w:line="295" w:lineRule="auto"/>
        <w:ind w:left="440" w:right="1"/>
        <w:rPr>
          <w:rFonts w:hint="eastAsia" w:ascii="MS UI Gothic" w:eastAsia="MS UI Gothic"/>
        </w:rPr>
      </w:pPr>
      <w:r>
        <w:t>国务院有关部门依照本法和其他有关</w:t>
      </w:r>
      <w:r>
        <w:rPr>
          <w:w w:val="105"/>
        </w:rPr>
        <w:t>法律</w:t>
      </w:r>
      <w:r>
        <w:rPr>
          <w:rFonts w:hint="eastAsia" w:ascii="MS UI Gothic" w:eastAsia="MS UI Gothic"/>
          <w:w w:val="80"/>
        </w:rPr>
        <w:t xml:space="preserve">、 </w:t>
      </w:r>
      <w:r>
        <w:rPr>
          <w:w w:val="105"/>
        </w:rPr>
        <w:t>行政法规的规定</w:t>
      </w:r>
      <w:r>
        <w:rPr>
          <w:rFonts w:hint="eastAsia" w:ascii="MS UI Gothic" w:eastAsia="MS UI Gothic"/>
          <w:w w:val="80"/>
        </w:rPr>
        <w:t xml:space="preserve">ꎬ </w:t>
      </w:r>
      <w:r>
        <w:rPr>
          <w:w w:val="105"/>
        </w:rPr>
        <w:t>在各自的职责范围内对有关行业</w:t>
      </w:r>
      <w:r>
        <w:rPr>
          <w:rFonts w:hint="eastAsia" w:ascii="MS UI Gothic" w:eastAsia="MS UI Gothic"/>
          <w:w w:val="80"/>
        </w:rPr>
        <w:t xml:space="preserve">、 </w:t>
      </w:r>
      <w:r>
        <w:rPr>
          <w:w w:val="105"/>
        </w:rPr>
        <w:t>领域的安全生产工作实</w:t>
      </w:r>
      <w:r>
        <w:t>施监督管理</w:t>
      </w:r>
      <w:r>
        <w:rPr>
          <w:rFonts w:hint="eastAsia" w:ascii="MS UI Gothic" w:eastAsia="MS UI Gothic"/>
          <w:w w:val="80"/>
        </w:rPr>
        <w:t xml:space="preserve">ꎻ </w:t>
      </w:r>
      <w:r>
        <w:t>县级以上地方各级人民政府</w:t>
      </w:r>
      <w:r>
        <w:rPr>
          <w:w w:val="105"/>
        </w:rPr>
        <w:t>有关部门依照本法和其他有关法律</w:t>
      </w:r>
      <w:r>
        <w:rPr>
          <w:rFonts w:hint="eastAsia" w:ascii="MS UI Gothic" w:eastAsia="MS UI Gothic"/>
          <w:w w:val="80"/>
        </w:rPr>
        <w:t xml:space="preserve">、 </w:t>
      </w:r>
      <w:r>
        <w:rPr>
          <w:w w:val="105"/>
        </w:rPr>
        <w:t>法规</w:t>
      </w:r>
      <w:r>
        <w:t>的规定</w:t>
      </w:r>
      <w:r>
        <w:rPr>
          <w:rFonts w:hint="eastAsia" w:ascii="MS UI Gothic" w:eastAsia="MS UI Gothic"/>
          <w:w w:val="80"/>
        </w:rPr>
        <w:t xml:space="preserve">ꎬ </w:t>
      </w:r>
      <w:r>
        <w:t>在各自的职责范围内对有关行</w:t>
      </w:r>
      <w:r>
        <w:rPr>
          <w:w w:val="105"/>
        </w:rPr>
        <w:t>业</w:t>
      </w:r>
      <w:r>
        <w:rPr>
          <w:rFonts w:hint="eastAsia" w:ascii="MS UI Gothic" w:eastAsia="MS UI Gothic"/>
          <w:w w:val="80"/>
        </w:rPr>
        <w:t xml:space="preserve">、 </w:t>
      </w:r>
      <w:r>
        <w:rPr>
          <w:w w:val="105"/>
        </w:rPr>
        <w:t>领域的安全生产工作实施监督管理</w:t>
      </w:r>
      <w:r>
        <w:rPr>
          <w:rFonts w:hint="eastAsia" w:ascii="MS UI Gothic" w:eastAsia="MS UI Gothic"/>
          <w:w w:val="80"/>
        </w:rPr>
        <w:t>ꎮ</w:t>
      </w:r>
    </w:p>
    <w:p>
      <w:pPr>
        <w:pStyle w:val="6"/>
        <w:spacing w:line="295" w:lineRule="auto"/>
        <w:ind w:left="440" w:right="1"/>
        <w:rPr>
          <w:rFonts w:hint="eastAsia" w:ascii="MS UI Gothic" w:eastAsia="MS UI Gothic"/>
        </w:rPr>
      </w:pPr>
      <w:r>
        <w:t>安全生产监督管理部门和对有关行</w:t>
      </w:r>
      <w:r>
        <w:rPr>
          <w:w w:val="105"/>
        </w:rPr>
        <w:t>业</w:t>
      </w:r>
      <w:r>
        <w:rPr>
          <w:rFonts w:hint="eastAsia" w:ascii="MS UI Gothic" w:eastAsia="MS UI Gothic"/>
          <w:w w:val="80"/>
        </w:rPr>
        <w:t xml:space="preserve">、 </w:t>
      </w:r>
      <w:r>
        <w:rPr>
          <w:w w:val="105"/>
        </w:rPr>
        <w:t>领域的安全生产工作实施监督管理的</w:t>
      </w:r>
      <w:r>
        <w:t>部门</w:t>
      </w:r>
      <w:r>
        <w:rPr>
          <w:rFonts w:hint="eastAsia" w:ascii="MS UI Gothic" w:eastAsia="MS UI Gothic"/>
          <w:w w:val="80"/>
        </w:rPr>
        <w:t xml:space="preserve">ꎬ </w:t>
      </w:r>
      <w:r>
        <w:t>统称负有安全生产监督管理职责的</w:t>
      </w:r>
      <w:r>
        <w:rPr>
          <w:w w:val="105"/>
        </w:rPr>
        <w:t>部门</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第十条 国务院有关部门应当按照保</w:t>
      </w:r>
      <w:r>
        <w:t>障安全生产的要求</w:t>
      </w:r>
      <w:r>
        <w:rPr>
          <w:rFonts w:hint="eastAsia" w:ascii="MS UI Gothic" w:eastAsia="MS UI Gothic"/>
          <w:w w:val="80"/>
        </w:rPr>
        <w:t xml:space="preserve">ꎬ </w:t>
      </w:r>
      <w:r>
        <w:t>依法及时制定有关的国家标准或者行业标准</w:t>
      </w:r>
      <w:r>
        <w:rPr>
          <w:rFonts w:hint="eastAsia" w:ascii="MS UI Gothic" w:eastAsia="MS UI Gothic"/>
          <w:w w:val="80"/>
        </w:rPr>
        <w:t xml:space="preserve">ꎬ </w:t>
      </w:r>
      <w:r>
        <w:t>并根据科技进步</w:t>
      </w:r>
      <w:r>
        <w:rPr>
          <w:w w:val="105"/>
        </w:rPr>
        <w:t>和经济发展适时修订</w:t>
      </w:r>
      <w:r>
        <w:rPr>
          <w:rFonts w:hint="eastAsia" w:ascii="MS UI Gothic" w:eastAsia="MS UI Gothic"/>
          <w:w w:val="80"/>
        </w:rPr>
        <w:t>ꎮ</w:t>
      </w:r>
    </w:p>
    <w:p>
      <w:pPr>
        <w:pStyle w:val="6"/>
        <w:spacing w:line="295" w:lineRule="auto"/>
        <w:ind w:left="440" w:right="1"/>
        <w:jc w:val="left"/>
        <w:rPr>
          <w:rFonts w:hint="eastAsia" w:ascii="MS UI Gothic" w:eastAsia="MS UI Gothic"/>
        </w:rPr>
      </w:pPr>
      <w:r>
        <w:t>生产经营单位必须执行依法制定的保</w:t>
      </w:r>
      <w:r>
        <w:rPr>
          <w:w w:val="105"/>
        </w:rPr>
        <w:t>障安全生产的国家标准或者行业标准</w:t>
      </w:r>
      <w:r>
        <w:rPr>
          <w:rFonts w:hint="eastAsia" w:ascii="MS UI Gothic" w:eastAsia="MS UI Gothic"/>
          <w:w w:val="80"/>
        </w:rPr>
        <w:t>ꎮ</w:t>
      </w:r>
    </w:p>
    <w:p>
      <w:pPr>
        <w:pStyle w:val="6"/>
        <w:spacing w:line="295" w:lineRule="auto"/>
        <w:ind w:left="440"/>
        <w:rPr>
          <w:rFonts w:hint="eastAsia" w:ascii="MS UI Gothic" w:eastAsia="MS UI Gothic"/>
        </w:rPr>
      </w:pPr>
      <w:r>
        <w:t>第十一条 各级人民政府及其有关部门应当采取多种形式</w:t>
      </w:r>
      <w:r>
        <w:rPr>
          <w:rFonts w:hint="eastAsia" w:ascii="MS UI Gothic" w:eastAsia="MS UI Gothic"/>
          <w:w w:val="80"/>
        </w:rPr>
        <w:t xml:space="preserve">ꎬ </w:t>
      </w:r>
      <w:r>
        <w:t>加强对有关安全生产的法律</w:t>
      </w:r>
      <w:r>
        <w:rPr>
          <w:rFonts w:hint="eastAsia" w:ascii="MS UI Gothic" w:eastAsia="MS UI Gothic"/>
          <w:w w:val="80"/>
        </w:rPr>
        <w:t xml:space="preserve">、 </w:t>
      </w:r>
      <w:r>
        <w:t>法规和安全生产知识的宣传</w:t>
      </w:r>
      <w:r>
        <w:rPr>
          <w:rFonts w:hint="eastAsia" w:ascii="MS UI Gothic" w:eastAsia="MS UI Gothic"/>
          <w:w w:val="80"/>
        </w:rPr>
        <w:t>ꎬ</w:t>
      </w:r>
      <w:r>
        <w:t>增强全社会的安全生产意识</w:t>
      </w:r>
      <w:r>
        <w:rPr>
          <w:rFonts w:hint="eastAsia" w:ascii="MS UI Gothic" w:eastAsia="MS UI Gothic"/>
          <w:w w:val="80"/>
        </w:rPr>
        <w:t>ꎮ</w:t>
      </w:r>
    </w:p>
    <w:p>
      <w:pPr>
        <w:pStyle w:val="6"/>
        <w:spacing w:line="295" w:lineRule="auto"/>
        <w:ind w:left="440"/>
        <w:rPr>
          <w:rFonts w:hint="eastAsia" w:ascii="MS UI Gothic" w:eastAsia="MS UI Gothic"/>
        </w:rPr>
      </w:pPr>
      <w:r>
        <w:t>第十二条  有关协会组织依照法律</w:t>
      </w:r>
      <w:r>
        <w:rPr>
          <w:rFonts w:hint="eastAsia" w:ascii="MS UI Gothic" w:eastAsia="MS UI Gothic"/>
          <w:w w:val="80"/>
        </w:rPr>
        <w:t>、</w:t>
      </w:r>
      <w:r>
        <w:t>行政法规和章程</w:t>
      </w:r>
      <w:r>
        <w:rPr>
          <w:rFonts w:hint="eastAsia" w:ascii="MS UI Gothic" w:eastAsia="MS UI Gothic"/>
          <w:w w:val="80"/>
        </w:rPr>
        <w:t xml:space="preserve">ꎬ </w:t>
      </w:r>
      <w:r>
        <w:t>为生产经营单位提供安全生产方面的信息</w:t>
      </w:r>
      <w:r>
        <w:rPr>
          <w:rFonts w:hint="eastAsia" w:ascii="MS UI Gothic" w:eastAsia="MS UI Gothic"/>
          <w:w w:val="80"/>
        </w:rPr>
        <w:t xml:space="preserve">、 </w:t>
      </w:r>
      <w:r>
        <w:t>培训等服务</w:t>
      </w:r>
      <w:r>
        <w:rPr>
          <w:rFonts w:hint="eastAsia" w:ascii="MS UI Gothic" w:eastAsia="MS UI Gothic"/>
          <w:w w:val="80"/>
        </w:rPr>
        <w:t xml:space="preserve">ꎬ </w:t>
      </w:r>
      <w:r>
        <w:t>发挥自律作用</w:t>
      </w:r>
      <w:r>
        <w:rPr>
          <w:rFonts w:hint="eastAsia" w:ascii="MS UI Gothic" w:eastAsia="MS UI Gothic"/>
          <w:w w:val="80"/>
        </w:rPr>
        <w:t xml:space="preserve">ꎬ </w:t>
      </w:r>
      <w:r>
        <w:t>促进生产经营单位加强安全生产管理</w:t>
      </w:r>
      <w:r>
        <w:rPr>
          <w:rFonts w:hint="eastAsia" w:ascii="MS UI Gothic" w:eastAsia="MS UI Gothic"/>
          <w:w w:val="80"/>
        </w:rPr>
        <w:t>ꎮ</w:t>
      </w:r>
    </w:p>
    <w:p>
      <w:pPr>
        <w:pStyle w:val="6"/>
        <w:spacing w:line="295" w:lineRule="auto"/>
        <w:ind w:left="440" w:right="1"/>
      </w:pPr>
      <w:r>
        <w:t>第十三条 依法设立的为安全生产提供技术</w:t>
      </w:r>
      <w:r>
        <w:rPr>
          <w:rFonts w:hint="eastAsia" w:ascii="MS UI Gothic" w:eastAsia="MS UI Gothic"/>
          <w:w w:val="80"/>
        </w:rPr>
        <w:t xml:space="preserve">、 </w:t>
      </w:r>
      <w:r>
        <w:t>管理服务的机构</w:t>
      </w:r>
      <w:r>
        <w:rPr>
          <w:rFonts w:hint="eastAsia" w:ascii="MS UI Gothic" w:eastAsia="MS UI Gothic"/>
          <w:w w:val="80"/>
        </w:rPr>
        <w:t xml:space="preserve">ꎬ </w:t>
      </w:r>
      <w:r>
        <w:t>依照法律</w:t>
      </w:r>
      <w:r>
        <w:rPr>
          <w:rFonts w:hint="eastAsia" w:ascii="MS UI Gothic" w:eastAsia="MS UI Gothic"/>
          <w:w w:val="80"/>
        </w:rPr>
        <w:t xml:space="preserve">、 </w:t>
      </w:r>
      <w:r>
        <w:t>行政法规和执业准则</w:t>
      </w:r>
      <w:r>
        <w:rPr>
          <w:rFonts w:hint="eastAsia" w:ascii="MS UI Gothic" w:eastAsia="MS UI Gothic"/>
          <w:w w:val="80"/>
        </w:rPr>
        <w:t xml:space="preserve">ꎬ </w:t>
      </w:r>
      <w:r>
        <w:t>接受生产经营单位的委托为其安全生产工作提供技术</w:t>
      </w:r>
      <w:r>
        <w:rPr>
          <w:rFonts w:hint="eastAsia" w:ascii="MS UI Gothic" w:eastAsia="MS UI Gothic"/>
          <w:w w:val="80"/>
        </w:rPr>
        <w:t xml:space="preserve">、 </w:t>
      </w:r>
      <w:r>
        <w:t>管理</w:t>
      </w:r>
    </w:p>
    <w:p>
      <w:pPr>
        <w:spacing w:before="124"/>
        <w:ind w:left="381" w:right="0" w:firstLine="0"/>
        <w:jc w:val="left"/>
        <w:rPr>
          <w:rFonts w:hint="eastAsia" w:ascii="MS UI Gothic" w:eastAsia="MS UI Gothic"/>
          <w:sz w:val="20"/>
        </w:rPr>
      </w:pPr>
      <w:r>
        <w:br w:type="column"/>
      </w:r>
      <w:r>
        <w:rPr>
          <w:sz w:val="20"/>
        </w:rPr>
        <w:t>服务</w:t>
      </w:r>
      <w:r>
        <w:rPr>
          <w:rFonts w:hint="eastAsia" w:ascii="MS UI Gothic" w:eastAsia="MS UI Gothic"/>
          <w:w w:val="80"/>
          <w:sz w:val="20"/>
        </w:rPr>
        <w:t>ꎮ</w:t>
      </w:r>
    </w:p>
    <w:p>
      <w:pPr>
        <w:pStyle w:val="6"/>
        <w:spacing w:before="58" w:line="295" w:lineRule="auto"/>
        <w:ind w:left="381" w:right="126"/>
        <w:rPr>
          <w:rFonts w:hint="eastAsia" w:ascii="MS UI Gothic" w:eastAsia="MS UI Gothic"/>
        </w:rPr>
      </w:pPr>
      <w:r>
        <w:t>生产经营单位委托前款规定的机构提供安全生产技术</w:t>
      </w:r>
      <w:r>
        <w:rPr>
          <w:rFonts w:hint="eastAsia" w:ascii="MS UI Gothic" w:eastAsia="MS UI Gothic"/>
          <w:w w:val="80"/>
        </w:rPr>
        <w:t xml:space="preserve">、 </w:t>
      </w:r>
      <w:r>
        <w:t>管理服务的</w:t>
      </w:r>
      <w:r>
        <w:rPr>
          <w:rFonts w:hint="eastAsia" w:ascii="MS UI Gothic" w:eastAsia="MS UI Gothic"/>
          <w:w w:val="80"/>
        </w:rPr>
        <w:t xml:space="preserve">ꎬ </w:t>
      </w:r>
      <w:r>
        <w:t>保证安全生产的责任仍由本单位负责</w:t>
      </w:r>
      <w:r>
        <w:rPr>
          <w:rFonts w:hint="eastAsia" w:ascii="MS UI Gothic" w:eastAsia="MS UI Gothic"/>
          <w:w w:val="80"/>
        </w:rPr>
        <w:t>ꎮ</w:t>
      </w:r>
    </w:p>
    <w:p>
      <w:pPr>
        <w:pStyle w:val="6"/>
        <w:spacing w:line="295" w:lineRule="auto"/>
        <w:ind w:left="381" w:right="126"/>
        <w:rPr>
          <w:rFonts w:hint="eastAsia" w:ascii="MS UI Gothic" w:eastAsia="MS UI Gothic"/>
        </w:rPr>
      </w:pPr>
      <w:r>
        <w:t>第十四条 国家实行生产安全事故责任追究制度</w:t>
      </w:r>
      <w:r>
        <w:rPr>
          <w:rFonts w:hint="eastAsia" w:ascii="MS UI Gothic" w:eastAsia="MS UI Gothic"/>
          <w:w w:val="80"/>
        </w:rPr>
        <w:t xml:space="preserve">ꎬ </w:t>
      </w:r>
      <w:r>
        <w:t>依照本法和有关法律</w:t>
      </w:r>
      <w:r>
        <w:rPr>
          <w:rFonts w:hint="eastAsia" w:ascii="MS UI Gothic" w:eastAsia="MS UI Gothic"/>
          <w:w w:val="80"/>
        </w:rPr>
        <w:t xml:space="preserve">、 </w:t>
      </w:r>
      <w:r>
        <w:t>法规的规定</w:t>
      </w:r>
      <w:r>
        <w:rPr>
          <w:rFonts w:hint="eastAsia" w:ascii="MS UI Gothic" w:eastAsia="MS UI Gothic"/>
          <w:w w:val="80"/>
        </w:rPr>
        <w:t xml:space="preserve">ꎬ </w:t>
      </w:r>
      <w:r>
        <w:t>追究生产安全事故责任人员的法律责任</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第十五条 国家鼓励和支持安全生产</w:t>
      </w:r>
      <w:r>
        <w:t>科学技术研究和安全生产先进技术的推广</w:t>
      </w:r>
      <w:r>
        <w:rPr>
          <w:w w:val="105"/>
        </w:rPr>
        <w:t>应用</w:t>
      </w:r>
      <w:r>
        <w:rPr>
          <w:rFonts w:hint="eastAsia" w:ascii="MS UI Gothic" w:eastAsia="MS UI Gothic"/>
          <w:w w:val="80"/>
        </w:rPr>
        <w:t xml:space="preserve">ꎬ </w:t>
      </w:r>
      <w:r>
        <w:rPr>
          <w:w w:val="105"/>
        </w:rPr>
        <w:t>提高安全生产水平</w:t>
      </w:r>
      <w:r>
        <w:rPr>
          <w:rFonts w:hint="eastAsia" w:ascii="MS UI Gothic" w:eastAsia="MS UI Gothic"/>
          <w:w w:val="80"/>
        </w:rPr>
        <w:t>ꎮ</w:t>
      </w:r>
    </w:p>
    <w:p>
      <w:pPr>
        <w:pStyle w:val="6"/>
        <w:spacing w:line="295" w:lineRule="auto"/>
        <w:ind w:left="381" w:right="126"/>
        <w:rPr>
          <w:rFonts w:hint="eastAsia" w:ascii="MS UI Gothic" w:eastAsia="MS UI Gothic"/>
        </w:rPr>
      </w:pPr>
      <w:r>
        <w:t>第十六条 国家对在改善安全生产条件</w:t>
      </w:r>
      <w:r>
        <w:rPr>
          <w:rFonts w:hint="eastAsia" w:ascii="MS UI Gothic" w:eastAsia="MS UI Gothic"/>
          <w:w w:val="80"/>
        </w:rPr>
        <w:t xml:space="preserve">、 </w:t>
      </w:r>
      <w:r>
        <w:t>防止生产安全事故</w:t>
      </w:r>
      <w:r>
        <w:rPr>
          <w:rFonts w:hint="eastAsia" w:ascii="MS UI Gothic" w:eastAsia="MS UI Gothic"/>
          <w:w w:val="80"/>
        </w:rPr>
        <w:t xml:space="preserve">、 </w:t>
      </w:r>
      <w:r>
        <w:t>参加抢险救护等方面取得显著成绩的单位和个人</w:t>
      </w:r>
      <w:r>
        <w:rPr>
          <w:rFonts w:hint="eastAsia" w:ascii="MS UI Gothic" w:eastAsia="MS UI Gothic"/>
          <w:w w:val="80"/>
        </w:rPr>
        <w:t xml:space="preserve">ꎬ </w:t>
      </w:r>
      <w:r>
        <w:t>给予奖励</w:t>
      </w:r>
      <w:r>
        <w:rPr>
          <w:rFonts w:hint="eastAsia" w:ascii="MS UI Gothic" w:eastAsia="MS UI Gothic"/>
          <w:w w:val="80"/>
        </w:rPr>
        <w:t>ꎮ</w:t>
      </w:r>
    </w:p>
    <w:p>
      <w:pPr>
        <w:pStyle w:val="6"/>
        <w:tabs>
          <w:tab w:val="left" w:pos="1324"/>
        </w:tabs>
        <w:spacing w:before="146"/>
        <w:ind w:left="485" w:firstLine="0"/>
        <w:jc w:val="left"/>
      </w:pPr>
      <w:r>
        <w:rPr>
          <w:spacing w:val="3"/>
          <w:w w:val="105"/>
        </w:rPr>
        <w:t>第二</w:t>
      </w:r>
      <w:r>
        <w:rPr>
          <w:w w:val="105"/>
        </w:rPr>
        <w:t>章</w:t>
      </w:r>
      <w:r>
        <w:rPr>
          <w:w w:val="105"/>
        </w:rPr>
        <w:tab/>
      </w:r>
      <w:r>
        <w:rPr>
          <w:spacing w:val="3"/>
        </w:rPr>
        <w:t>生产经营单位的安全生产保</w:t>
      </w:r>
      <w:r>
        <w:t>障</w:t>
      </w:r>
    </w:p>
    <w:p>
      <w:pPr>
        <w:pStyle w:val="6"/>
        <w:spacing w:before="216" w:line="295" w:lineRule="auto"/>
        <w:ind w:left="381" w:right="126"/>
        <w:rPr>
          <w:rFonts w:hint="eastAsia" w:ascii="MS UI Gothic" w:eastAsia="MS UI Gothic"/>
        </w:rPr>
      </w:pPr>
      <w:r>
        <w:rPr>
          <w:spacing w:val="4"/>
        </w:rPr>
        <w:t>第十七条 生产经营单位应当具备本</w:t>
      </w:r>
      <w:r>
        <w:rPr>
          <w:spacing w:val="3"/>
        </w:rPr>
        <w:t>法和有关法律</w:t>
      </w:r>
      <w:r>
        <w:rPr>
          <w:rFonts w:hint="eastAsia" w:ascii="MS UI Gothic" w:eastAsia="MS UI Gothic"/>
          <w:spacing w:val="17"/>
          <w:w w:val="80"/>
        </w:rPr>
        <w:t xml:space="preserve">、 </w:t>
      </w:r>
      <w:r>
        <w:rPr>
          <w:spacing w:val="2"/>
        </w:rPr>
        <w:t>行政法规和国家标准或者</w:t>
      </w:r>
      <w:r>
        <w:rPr>
          <w:spacing w:val="3"/>
        </w:rPr>
        <w:t>行业标准规定的安全生产条件</w:t>
      </w:r>
      <w:r>
        <w:rPr>
          <w:rFonts w:hint="eastAsia" w:ascii="MS UI Gothic" w:eastAsia="MS UI Gothic"/>
          <w:spacing w:val="20"/>
          <w:w w:val="80"/>
        </w:rPr>
        <w:t xml:space="preserve">ꎻ </w:t>
      </w:r>
      <w:r>
        <w:rPr>
          <w:spacing w:val="2"/>
        </w:rPr>
        <w:t>不具备安</w:t>
      </w:r>
      <w:r>
        <w:rPr>
          <w:spacing w:val="3"/>
        </w:rPr>
        <w:t>全生产条件的</w:t>
      </w:r>
      <w:r>
        <w:rPr>
          <w:rFonts w:hint="eastAsia" w:ascii="MS UI Gothic" w:eastAsia="MS UI Gothic"/>
          <w:spacing w:val="23"/>
          <w:w w:val="80"/>
        </w:rPr>
        <w:t xml:space="preserve">ꎬ </w:t>
      </w:r>
      <w:r>
        <w:rPr>
          <w:spacing w:val="3"/>
        </w:rPr>
        <w:t>不得从事生产经营活动</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第十八条 生产经营单位的主要负责</w:t>
      </w:r>
      <w:r>
        <w:rPr>
          <w:spacing w:val="3"/>
          <w:w w:val="105"/>
        </w:rPr>
        <w:t>人对本单位安全生产工作负有下列职责</w:t>
      </w:r>
      <w:r>
        <w:rPr>
          <w:rFonts w:hint="eastAsia" w:ascii="MS UI Gothic" w:eastAsia="MS UI Gothic"/>
          <w:w w:val="105"/>
        </w:rPr>
        <w:t>:</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建立</w:t>
      </w:r>
      <w:r>
        <w:rPr>
          <w:rFonts w:hint="eastAsia" w:ascii="MS UI Gothic" w:eastAsia="MS UI Gothic"/>
          <w:w w:val="80"/>
        </w:rPr>
        <w:t xml:space="preserve">、 </w:t>
      </w:r>
      <w:r>
        <w:rPr>
          <w:w w:val="105"/>
        </w:rPr>
        <w:t>健全本单位安全生产责任制</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组织制定本单位安全生产规章</w:t>
      </w:r>
      <w:r>
        <w:rPr>
          <w:w w:val="110"/>
        </w:rPr>
        <w:t>制度和操作规程</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组织制定并实施本单位安全生</w:t>
      </w:r>
      <w:r>
        <w:rPr>
          <w:w w:val="110"/>
        </w:rPr>
        <w:t>产教育和培训计划</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保证本单位安全生产投入的有</w:t>
      </w:r>
      <w:r>
        <w:rPr>
          <w:w w:val="110"/>
        </w:rPr>
        <w:t>效实施</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督促</w:t>
      </w:r>
      <w:r>
        <w:rPr>
          <w:rFonts w:hint="eastAsia" w:ascii="MS UI Gothic" w:eastAsia="MS UI Gothic"/>
          <w:w w:val="80"/>
        </w:rPr>
        <w:t xml:space="preserve">、 </w:t>
      </w:r>
      <w:r>
        <w:rPr>
          <w:w w:val="105"/>
        </w:rPr>
        <w:t>检查本单位的安全生产工作</w:t>
      </w:r>
      <w:r>
        <w:rPr>
          <w:rFonts w:hint="eastAsia" w:ascii="MS UI Gothic" w:eastAsia="MS UI Gothic"/>
          <w:w w:val="80"/>
        </w:rPr>
        <w:t xml:space="preserve">ꎬ </w:t>
      </w:r>
      <w:r>
        <w:rPr>
          <w:w w:val="105"/>
        </w:rPr>
        <w:t>及时消除生产安全事故隐患</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组织制定并实施本单位的生产</w:t>
      </w:r>
      <w:r>
        <w:rPr>
          <w:w w:val="110"/>
        </w:rPr>
        <w:t>安全事故应急救援预案</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spacing w:val="-38"/>
          <w:w w:val="150"/>
        </w:rPr>
        <w:t xml:space="preserve">( </w:t>
      </w:r>
      <w:r>
        <w:rPr>
          <w:spacing w:val="23"/>
          <w:w w:val="110"/>
        </w:rPr>
        <w:t>七</w:t>
      </w:r>
      <w:r>
        <w:rPr>
          <w:rFonts w:hint="eastAsia" w:ascii="MS UI Gothic" w:eastAsia="MS UI Gothic"/>
          <w:spacing w:val="19"/>
          <w:w w:val="150"/>
        </w:rPr>
        <w:t xml:space="preserve">) </w:t>
      </w:r>
      <w:r>
        <w:rPr>
          <w:spacing w:val="-21"/>
          <w:w w:val="110"/>
        </w:rPr>
        <w:t>及 时</w:t>
      </w:r>
      <w:r>
        <w:rPr>
          <w:rFonts w:hint="eastAsia" w:ascii="MS UI Gothic" w:eastAsia="MS UI Gothic"/>
          <w:spacing w:val="8"/>
          <w:w w:val="80"/>
        </w:rPr>
        <w:t xml:space="preserve">、 </w:t>
      </w:r>
      <w:r>
        <w:rPr>
          <w:spacing w:val="-36"/>
          <w:w w:val="110"/>
        </w:rPr>
        <w:t>如 实 报 告 生 产 安 全</w:t>
      </w:r>
      <w:r>
        <w:rPr>
          <w:spacing w:val="3"/>
          <w:w w:val="110"/>
        </w:rPr>
        <w:t>事故</w:t>
      </w:r>
      <w:r>
        <w:rPr>
          <w:rFonts w:hint="eastAsia" w:ascii="MS UI Gothic" w:eastAsia="MS UI Gothic"/>
          <w:w w:val="80"/>
        </w:rPr>
        <w:t>ꎮ</w:t>
      </w:r>
    </w:p>
    <w:p>
      <w:pPr>
        <w:pStyle w:val="6"/>
        <w:spacing w:line="295" w:lineRule="auto"/>
        <w:ind w:left="381" w:right="126"/>
      </w:pPr>
      <w:r>
        <w:t>第十九条 生产经营单位的安全生产责任制应当明确各岗位的责任人员</w:t>
      </w:r>
      <w:r>
        <w:rPr>
          <w:rFonts w:hint="eastAsia" w:ascii="MS UI Gothic" w:eastAsia="MS UI Gothic"/>
        </w:rPr>
        <w:t xml:space="preserve">、 </w:t>
      </w:r>
      <w:r>
        <w:t>责任</w:t>
      </w:r>
    </w:p>
    <w:p>
      <w:pPr>
        <w:spacing w:after="0" w:line="295" w:lineRule="auto"/>
        <w:sectPr>
          <w:type w:val="continuous"/>
          <w:pgSz w:w="10500" w:h="14750"/>
          <w:pgMar w:top="1400" w:right="980" w:bottom="280" w:left="980" w:header="720" w:footer="720" w:gutter="0"/>
          <w:cols w:equalWidth="0" w:num="2">
            <w:col w:w="4212" w:space="40"/>
            <w:col w:w="4288"/>
          </w:cols>
        </w:sectPr>
      </w:pPr>
    </w:p>
    <w:p>
      <w:pPr>
        <w:tabs>
          <w:tab w:val="left" w:pos="2426"/>
        </w:tabs>
        <w:spacing w:before="162"/>
        <w:ind w:left="332" w:right="0" w:firstLine="0"/>
        <w:jc w:val="left"/>
        <w:rPr>
          <w:rFonts w:hint="eastAsia" w:ascii="Microsoft Yi Baiti" w:eastAsia="Microsoft Yi Baiti"/>
          <w:sz w:val="17"/>
        </w:rPr>
      </w:pPr>
      <w:r>
        <w:pict>
          <v:group id="_x0000_s1204" o:spid="_x0000_s1204" o:spt="203" style="position:absolute;left:0pt;margin-left:55.1pt;margin-top:23.85pt;height:2.15pt;width:398.25pt;mso-position-horizontal-relative:page;mso-wrap-distance-bottom:0pt;mso-wrap-distance-top:0pt;z-index:-251589632;mso-width-relative:page;mso-height-relative:page;" coordorigin="1103,477" coordsize="7965,43">
            <o:lock v:ext="edit"/>
            <v:line id="_x0000_s1205" o:spid="_x0000_s1205" o:spt="20" style="position:absolute;left:1103;top:516;height:0;width:7964;" stroked="t" coordsize="21600,21600">
              <v:path arrowok="t"/>
              <v:fill focussize="0,0"/>
              <v:stroke weight="0.388031496062992pt" color="#231F20"/>
              <v:imagedata o:title=""/>
              <o:lock v:ext="edit"/>
            </v:line>
            <v:line id="_x0000_s1206" o:spid="_x0000_s1206"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５２</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735"/>
        </w:tabs>
        <w:spacing w:before="163" w:line="240" w:lineRule="exact"/>
        <w:ind w:firstLine="0"/>
        <w:jc w:val="left"/>
        <w:rPr>
          <w:rFonts w:hint="eastAsia" w:ascii="MS UI Gothic" w:eastAsia="MS UI Gothic"/>
        </w:rPr>
      </w:pPr>
      <w:r>
        <w:rPr>
          <w:spacing w:val="3"/>
        </w:rPr>
        <w:t>范围和考核标准等内容</w:t>
      </w:r>
      <w:r>
        <w:rPr>
          <w:rFonts w:hint="eastAsia" w:ascii="MS UI Gothic" w:eastAsia="MS UI Gothic"/>
          <w:w w:val="80"/>
        </w:rPr>
        <w:t>ꎮ</w:t>
      </w:r>
      <w:r>
        <w:rPr>
          <w:rFonts w:hint="eastAsia" w:ascii="MS UI Gothic" w:eastAsia="MS UI Gothic"/>
          <w:w w:val="80"/>
        </w:rPr>
        <w:tab/>
      </w:r>
      <w:r>
        <w:rPr>
          <w:rFonts w:hint="eastAsia" w:ascii="MS UI Gothic" w:eastAsia="MS UI Gothic"/>
          <w:w w:val="150"/>
        </w:rPr>
        <w:t>(</w:t>
      </w:r>
      <w:r>
        <w:rPr>
          <w:rFonts w:hint="eastAsia" w:ascii="MS UI Gothic" w:eastAsia="MS UI Gothic"/>
          <w:spacing w:val="-74"/>
          <w:w w:val="150"/>
        </w:rPr>
        <w:t xml:space="preserve"> </w:t>
      </w:r>
      <w:r>
        <w:rPr>
          <w:spacing w:val="7"/>
          <w:w w:val="105"/>
        </w:rPr>
        <w:t>五</w:t>
      </w:r>
      <w:r>
        <w:rPr>
          <w:rFonts w:hint="eastAsia" w:ascii="MS UI Gothic" w:eastAsia="MS UI Gothic"/>
          <w:w w:val="150"/>
        </w:rPr>
        <w:t>)</w:t>
      </w:r>
      <w:r>
        <w:rPr>
          <w:rFonts w:hint="eastAsia" w:ascii="MS UI Gothic" w:eastAsia="MS UI Gothic"/>
          <w:spacing w:val="24"/>
          <w:w w:val="150"/>
        </w:rPr>
        <w:t xml:space="preserve"> </w:t>
      </w:r>
      <w:r>
        <w:rPr>
          <w:spacing w:val="17"/>
          <w:w w:val="105"/>
        </w:rPr>
        <w:t>检查本单位的安</w:t>
      </w:r>
      <w:r>
        <w:rPr>
          <w:spacing w:val="19"/>
          <w:w w:val="105"/>
        </w:rPr>
        <w:t>全生产状</w:t>
      </w:r>
      <w:r>
        <w:rPr>
          <w:spacing w:val="3"/>
          <w:w w:val="105"/>
        </w:rPr>
        <w:t>况</w:t>
      </w:r>
      <w:r>
        <w:rPr>
          <w:rFonts w:hint="eastAsia" w:ascii="MS UI Gothic" w:eastAsia="MS UI Gothic"/>
          <w:w w:val="80"/>
        </w:rPr>
        <w:t>ꎬ</w:t>
      </w:r>
    </w:p>
    <w:p>
      <w:pPr>
        <w:spacing w:after="0" w:line="240" w:lineRule="exact"/>
        <w:jc w:val="left"/>
        <w:rPr>
          <w:rFonts w:hint="eastAsia" w:ascii="MS UI Gothic" w:eastAsia="MS UI Gothic"/>
        </w:rPr>
        <w:sectPr>
          <w:pgSz w:w="10500" w:h="14750"/>
          <w:pgMar w:top="960" w:right="980" w:bottom="280" w:left="980" w:header="720" w:footer="720" w:gutter="0"/>
        </w:sectPr>
      </w:pPr>
    </w:p>
    <w:p>
      <w:pPr>
        <w:pStyle w:val="6"/>
        <w:spacing w:before="74" w:line="295" w:lineRule="auto"/>
        <w:ind w:right="38"/>
        <w:rPr>
          <w:rFonts w:hint="eastAsia" w:ascii="MS UI Gothic" w:eastAsia="MS UI Gothic"/>
        </w:rPr>
      </w:pPr>
      <w:r>
        <w:t>生产经营单位应当建立相应的机制</w:t>
      </w:r>
      <w:r>
        <w:rPr>
          <w:rFonts w:hint="eastAsia" w:ascii="MS UI Gothic" w:eastAsia="MS UI Gothic"/>
          <w:w w:val="80"/>
        </w:rPr>
        <w:t>ꎬ</w:t>
      </w:r>
      <w:r>
        <w:t>加强对安全生产责任制落实情况的监督考核</w:t>
      </w:r>
      <w:r>
        <w:rPr>
          <w:rFonts w:hint="eastAsia" w:ascii="MS UI Gothic" w:eastAsia="MS UI Gothic"/>
          <w:w w:val="80"/>
        </w:rPr>
        <w:t xml:space="preserve">ꎬ </w:t>
      </w:r>
      <w:r>
        <w:t>保证安全生产责任制的落实</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第二十条 生产经营单位应当具备的</w:t>
      </w:r>
      <w:r>
        <w:t>安全生产条件所必需的资金投入</w:t>
      </w:r>
      <w:r>
        <w:rPr>
          <w:rFonts w:hint="eastAsia" w:ascii="MS UI Gothic" w:eastAsia="MS UI Gothic"/>
          <w:w w:val="80"/>
        </w:rPr>
        <w:t xml:space="preserve">ꎬ </w:t>
      </w:r>
      <w:r>
        <w:t>由生产</w:t>
      </w:r>
      <w:r>
        <w:rPr>
          <w:w w:val="105"/>
        </w:rPr>
        <w:t>经营单位的决策机构</w:t>
      </w:r>
      <w:r>
        <w:rPr>
          <w:rFonts w:hint="eastAsia" w:ascii="MS UI Gothic" w:eastAsia="MS UI Gothic"/>
          <w:w w:val="80"/>
        </w:rPr>
        <w:t xml:space="preserve">、 </w:t>
      </w:r>
      <w:r>
        <w:rPr>
          <w:w w:val="105"/>
        </w:rPr>
        <w:t>主要负责人或者个</w:t>
      </w:r>
      <w:r>
        <w:t>人经营的投资人予以保证</w:t>
      </w:r>
      <w:r>
        <w:rPr>
          <w:rFonts w:hint="eastAsia" w:ascii="MS UI Gothic" w:eastAsia="MS UI Gothic"/>
          <w:w w:val="80"/>
        </w:rPr>
        <w:t xml:space="preserve">ꎬ </w:t>
      </w:r>
      <w:r>
        <w:t>并对由于安全生产所必需的资金投入不足导致的后果承</w:t>
      </w:r>
      <w:r>
        <w:rPr>
          <w:w w:val="105"/>
        </w:rPr>
        <w:t>担责任</w:t>
      </w:r>
      <w:r>
        <w:rPr>
          <w:rFonts w:hint="eastAsia" w:ascii="MS UI Gothic" w:eastAsia="MS UI Gothic"/>
          <w:w w:val="80"/>
        </w:rPr>
        <w:t>ꎮ</w:t>
      </w:r>
    </w:p>
    <w:p>
      <w:pPr>
        <w:pStyle w:val="6"/>
        <w:spacing w:line="295" w:lineRule="auto"/>
        <w:ind w:right="39"/>
        <w:rPr>
          <w:rFonts w:hint="eastAsia" w:ascii="MS UI Gothic" w:eastAsia="MS UI Gothic"/>
        </w:rPr>
      </w:pPr>
      <w:r>
        <w:t>有关生产经营单位应当按照规定提取和使用安全生产费用</w:t>
      </w:r>
      <w:r>
        <w:rPr>
          <w:rFonts w:hint="eastAsia" w:ascii="MS UI Gothic" w:eastAsia="MS UI Gothic"/>
          <w:w w:val="80"/>
        </w:rPr>
        <w:t xml:space="preserve">ꎬ </w:t>
      </w:r>
      <w:r>
        <w:t>专门用于改善安全生产条件</w:t>
      </w:r>
      <w:r>
        <w:rPr>
          <w:rFonts w:hint="eastAsia" w:ascii="MS UI Gothic" w:eastAsia="MS UI Gothic"/>
          <w:w w:val="80"/>
        </w:rPr>
        <w:t xml:space="preserve">ꎮ </w:t>
      </w:r>
      <w:r>
        <w:t>安全生产费用在成本中据实列</w:t>
      </w:r>
      <w:r>
        <w:rPr>
          <w:w w:val="105"/>
        </w:rPr>
        <w:t>支</w:t>
      </w:r>
      <w:r>
        <w:rPr>
          <w:rFonts w:hint="eastAsia" w:ascii="MS UI Gothic" w:eastAsia="MS UI Gothic"/>
          <w:w w:val="80"/>
        </w:rPr>
        <w:t xml:space="preserve">ꎮ </w:t>
      </w:r>
      <w:r>
        <w:rPr>
          <w:w w:val="105"/>
        </w:rPr>
        <w:t>安全生产费用提取</w:t>
      </w:r>
      <w:r>
        <w:rPr>
          <w:rFonts w:hint="eastAsia" w:ascii="MS UI Gothic" w:eastAsia="MS UI Gothic"/>
          <w:w w:val="80"/>
        </w:rPr>
        <w:t xml:space="preserve">、 </w:t>
      </w:r>
      <w:r>
        <w:rPr>
          <w:w w:val="105"/>
        </w:rPr>
        <w:t>使用和监督管理</w:t>
      </w:r>
      <w:r>
        <w:t>的具体办法由国务院财政部门会同国务院安全生产监督管理部门征求国务院有关部</w:t>
      </w:r>
      <w:r>
        <w:rPr>
          <w:w w:val="105"/>
        </w:rPr>
        <w:t>门意见后制定</w:t>
      </w:r>
      <w:r>
        <w:rPr>
          <w:rFonts w:hint="eastAsia" w:ascii="MS UI Gothic" w:eastAsia="MS UI Gothic"/>
          <w:w w:val="80"/>
        </w:rPr>
        <w:t>ꎮ</w:t>
      </w:r>
    </w:p>
    <w:p>
      <w:pPr>
        <w:pStyle w:val="6"/>
        <w:spacing w:line="295" w:lineRule="auto"/>
        <w:ind w:right="38"/>
        <w:rPr>
          <w:rFonts w:hint="eastAsia" w:ascii="MS UI Gothic" w:eastAsia="MS UI Gothic"/>
        </w:rPr>
      </w:pPr>
      <w:r>
        <w:t>第二十一条 矿山</w:t>
      </w:r>
      <w:r>
        <w:rPr>
          <w:rFonts w:hint="eastAsia" w:ascii="MS UI Gothic" w:eastAsia="MS UI Gothic"/>
          <w:w w:val="80"/>
        </w:rPr>
        <w:t xml:space="preserve">、 </w:t>
      </w:r>
      <w:r>
        <w:t>金属冶炼</w:t>
      </w:r>
      <w:r>
        <w:rPr>
          <w:rFonts w:hint="eastAsia" w:ascii="MS UI Gothic" w:eastAsia="MS UI Gothic"/>
          <w:w w:val="80"/>
        </w:rPr>
        <w:t xml:space="preserve">、  </w:t>
      </w:r>
      <w:r>
        <w:t>建筑施工</w:t>
      </w:r>
      <w:r>
        <w:rPr>
          <w:rFonts w:hint="eastAsia" w:ascii="MS UI Gothic" w:eastAsia="MS UI Gothic"/>
          <w:w w:val="80"/>
        </w:rPr>
        <w:t xml:space="preserve">、 </w:t>
      </w:r>
      <w:r>
        <w:t>道路运输单位和危险物品的生产</w:t>
      </w:r>
      <w:r>
        <w:rPr>
          <w:rFonts w:hint="eastAsia" w:ascii="MS UI Gothic" w:eastAsia="MS UI Gothic"/>
          <w:w w:val="80"/>
        </w:rPr>
        <w:t>、</w:t>
      </w:r>
      <w:r>
        <w:t>经营</w:t>
      </w:r>
      <w:r>
        <w:rPr>
          <w:rFonts w:hint="eastAsia" w:ascii="MS UI Gothic" w:eastAsia="MS UI Gothic"/>
          <w:w w:val="80"/>
        </w:rPr>
        <w:t xml:space="preserve">、 </w:t>
      </w:r>
      <w:r>
        <w:t>储存单位</w:t>
      </w:r>
      <w:r>
        <w:rPr>
          <w:rFonts w:hint="eastAsia" w:ascii="MS UI Gothic" w:eastAsia="MS UI Gothic"/>
          <w:w w:val="80"/>
        </w:rPr>
        <w:t xml:space="preserve">ꎬ </w:t>
      </w:r>
      <w:r>
        <w:t>应当设置安全生产管理机构或者配备专职安全生产管理人员</w:t>
      </w:r>
      <w:r>
        <w:rPr>
          <w:rFonts w:hint="eastAsia" w:ascii="MS UI Gothic" w:eastAsia="MS UI Gothic"/>
          <w:w w:val="80"/>
        </w:rPr>
        <w:t>ꎮ</w:t>
      </w:r>
    </w:p>
    <w:p>
      <w:pPr>
        <w:pStyle w:val="6"/>
        <w:spacing w:line="295" w:lineRule="auto"/>
        <w:ind w:right="38"/>
        <w:rPr>
          <w:rFonts w:hint="eastAsia" w:ascii="MS UI Gothic" w:eastAsia="MS UI Gothic"/>
        </w:rPr>
      </w:pPr>
      <w:r>
        <w:t>前款规定以外的其他生产经营单位</w:t>
      </w:r>
      <w:r>
        <w:rPr>
          <w:rFonts w:hint="eastAsia" w:ascii="MS UI Gothic" w:eastAsia="MS UI Gothic"/>
          <w:w w:val="80"/>
        </w:rPr>
        <w:t>ꎬ</w:t>
      </w:r>
      <w:r>
        <w:t>从业人员超过一百人的</w:t>
      </w:r>
      <w:r>
        <w:rPr>
          <w:rFonts w:hint="eastAsia" w:ascii="MS UI Gothic" w:eastAsia="MS UI Gothic"/>
          <w:w w:val="80"/>
        </w:rPr>
        <w:t xml:space="preserve">ꎬ </w:t>
      </w:r>
      <w:r>
        <w:t>应当设置安全生产管理机构或者配备专职安全生产管理人员</w:t>
      </w:r>
      <w:r>
        <w:rPr>
          <w:rFonts w:hint="eastAsia" w:ascii="MS UI Gothic" w:eastAsia="MS UI Gothic"/>
          <w:w w:val="80"/>
        </w:rPr>
        <w:t xml:space="preserve">ꎻ </w:t>
      </w:r>
      <w:r>
        <w:t>从业人员在一百人以下的</w:t>
      </w:r>
      <w:r>
        <w:rPr>
          <w:rFonts w:hint="eastAsia" w:ascii="MS UI Gothic" w:eastAsia="MS UI Gothic"/>
          <w:w w:val="80"/>
        </w:rPr>
        <w:t xml:space="preserve">ꎬ </w:t>
      </w:r>
      <w:r>
        <w:t>应当配备专职或者兼职的安全生产管理人员</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第二十二条 生产经营单位的安全生</w:t>
      </w:r>
      <w:r>
        <w:t>产管理机构以及安全生产管理人员履行下</w:t>
      </w:r>
      <w:r>
        <w:rPr>
          <w:w w:val="110"/>
        </w:rPr>
        <w:t>列职责</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组织或者参与拟订本单位安全生产规章制度</w:t>
      </w:r>
      <w:r>
        <w:rPr>
          <w:rFonts w:hint="eastAsia" w:ascii="MS UI Gothic" w:eastAsia="MS UI Gothic"/>
          <w:w w:val="80"/>
        </w:rPr>
        <w:t xml:space="preserve">、 </w:t>
      </w:r>
      <w:r>
        <w:rPr>
          <w:w w:val="105"/>
        </w:rPr>
        <w:t>操作规程和生产安全事故应急救援预案</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组织或者参与本单位安全生产</w:t>
      </w:r>
      <w:r>
        <w:t>教育和培训</w:t>
      </w:r>
      <w:r>
        <w:rPr>
          <w:rFonts w:hint="eastAsia" w:ascii="MS UI Gothic" w:eastAsia="MS UI Gothic"/>
          <w:w w:val="80"/>
        </w:rPr>
        <w:t xml:space="preserve">ꎬ </w:t>
      </w:r>
      <w:r>
        <w:t>如实记录安全生产教育和培</w:t>
      </w:r>
      <w:r>
        <w:rPr>
          <w:w w:val="105"/>
        </w:rPr>
        <w:t>训情况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督促落实本单位重大危险源的</w:t>
      </w:r>
      <w:r>
        <w:rPr>
          <w:w w:val="110"/>
        </w:rPr>
        <w:t>安全管理措施</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组织或者参与本单位应急救援</w:t>
      </w:r>
      <w:r>
        <w:rPr>
          <w:w w:val="110"/>
        </w:rPr>
        <w:t>演练</w:t>
      </w:r>
      <w:r>
        <w:rPr>
          <w:rFonts w:hint="eastAsia" w:ascii="MS UI Gothic" w:eastAsia="MS UI Gothic"/>
          <w:w w:val="80"/>
        </w:rPr>
        <w:t>ꎻ</w:t>
      </w:r>
    </w:p>
    <w:p>
      <w:pPr>
        <w:pStyle w:val="6"/>
        <w:spacing w:before="74" w:line="295" w:lineRule="auto"/>
        <w:ind w:right="442" w:firstLine="0"/>
        <w:jc w:val="left"/>
        <w:rPr>
          <w:rFonts w:hint="eastAsia" w:ascii="MS UI Gothic" w:eastAsia="MS UI Gothic"/>
        </w:rPr>
      </w:pPr>
      <w:r>
        <w:br w:type="column"/>
      </w:r>
      <w:r>
        <w:t>及时排查生产安全事故隐患</w:t>
      </w:r>
      <w:r>
        <w:rPr>
          <w:rFonts w:hint="eastAsia" w:ascii="MS UI Gothic" w:eastAsia="MS UI Gothic"/>
          <w:w w:val="80"/>
        </w:rPr>
        <w:t xml:space="preserve">ꎬ </w:t>
      </w:r>
      <w:r>
        <w:t>提出改进安全生产管理的建议</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制止和纠正违章指挥</w:t>
      </w:r>
      <w:r>
        <w:rPr>
          <w:rFonts w:hint="eastAsia" w:ascii="MS UI Gothic" w:eastAsia="MS UI Gothic"/>
          <w:w w:val="80"/>
        </w:rPr>
        <w:t xml:space="preserve">、 </w:t>
      </w:r>
      <w:r>
        <w:rPr>
          <w:w w:val="105"/>
        </w:rPr>
        <w:t>强令冒险作业</w:t>
      </w:r>
      <w:r>
        <w:rPr>
          <w:rFonts w:hint="eastAsia" w:ascii="MS UI Gothic" w:eastAsia="MS UI Gothic"/>
          <w:w w:val="80"/>
        </w:rPr>
        <w:t xml:space="preserve">、 </w:t>
      </w:r>
      <w:r>
        <w:rPr>
          <w:w w:val="105"/>
        </w:rPr>
        <w:t>违反操作规程的行为</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督促落实本单位安全生产整改</w:t>
      </w:r>
      <w:r>
        <w:rPr>
          <w:w w:val="110"/>
        </w:rPr>
        <w:t>措施</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第二十三条 生产经营单位的安全生</w:t>
      </w:r>
      <w:r>
        <w:t>产管理机构以及安全生产管理人员应当恪</w:t>
      </w:r>
      <w:r>
        <w:rPr>
          <w:w w:val="105"/>
        </w:rPr>
        <w:t>尽职守</w:t>
      </w:r>
      <w:r>
        <w:rPr>
          <w:rFonts w:hint="eastAsia" w:ascii="MS UI Gothic" w:eastAsia="MS UI Gothic"/>
          <w:w w:val="80"/>
        </w:rPr>
        <w:t xml:space="preserve">ꎬ </w:t>
      </w:r>
      <w:r>
        <w:rPr>
          <w:w w:val="105"/>
        </w:rPr>
        <w:t>依法履行职责</w:t>
      </w:r>
      <w:r>
        <w:rPr>
          <w:rFonts w:hint="eastAsia" w:ascii="MS UI Gothic" w:eastAsia="MS UI Gothic"/>
          <w:w w:val="80"/>
        </w:rPr>
        <w:t>ꎮ</w:t>
      </w:r>
    </w:p>
    <w:p>
      <w:pPr>
        <w:pStyle w:val="6"/>
        <w:spacing w:line="295" w:lineRule="auto"/>
        <w:ind w:right="442"/>
        <w:rPr>
          <w:rFonts w:hint="eastAsia" w:ascii="MS UI Gothic" w:eastAsia="MS UI Gothic"/>
        </w:rPr>
      </w:pPr>
      <w:r>
        <w:t>生产经营单位作出涉及安全生产的经营决策</w:t>
      </w:r>
      <w:r>
        <w:rPr>
          <w:rFonts w:hint="eastAsia" w:ascii="MS UI Gothic" w:eastAsia="MS UI Gothic"/>
          <w:w w:val="80"/>
        </w:rPr>
        <w:t xml:space="preserve">ꎬ </w:t>
      </w:r>
      <w:r>
        <w:t>应当听取安全生产管理机构以及</w:t>
      </w:r>
      <w:r>
        <w:rPr>
          <w:w w:val="105"/>
        </w:rPr>
        <w:t>安全生产管理人员的意见</w:t>
      </w:r>
      <w:r>
        <w:rPr>
          <w:rFonts w:hint="eastAsia" w:ascii="MS UI Gothic" w:eastAsia="MS UI Gothic"/>
          <w:w w:val="80"/>
        </w:rPr>
        <w:t>ꎮ</w:t>
      </w:r>
    </w:p>
    <w:p>
      <w:pPr>
        <w:pStyle w:val="6"/>
        <w:spacing w:line="295" w:lineRule="auto"/>
        <w:ind w:right="442"/>
        <w:rPr>
          <w:rFonts w:hint="eastAsia" w:ascii="MS UI Gothic" w:eastAsia="MS UI Gothic"/>
        </w:rPr>
      </w:pPr>
      <w:r>
        <w:t>生产经营单位不得因安全生产管理人</w:t>
      </w:r>
      <w:r>
        <w:rPr>
          <w:w w:val="105"/>
        </w:rPr>
        <w:t>员依法履行职责而降低其工资</w:t>
      </w:r>
      <w:r>
        <w:rPr>
          <w:rFonts w:hint="eastAsia" w:ascii="MS UI Gothic" w:eastAsia="MS UI Gothic"/>
          <w:w w:val="80"/>
        </w:rPr>
        <w:t xml:space="preserve">、 </w:t>
      </w:r>
      <w:r>
        <w:rPr>
          <w:w w:val="105"/>
        </w:rPr>
        <w:t>福利等待遇或者解除与其订立的劳动合同</w:t>
      </w:r>
      <w:r>
        <w:rPr>
          <w:rFonts w:hint="eastAsia" w:ascii="MS UI Gothic" w:eastAsia="MS UI Gothic"/>
          <w:w w:val="80"/>
        </w:rPr>
        <w:t>ꎮ</w:t>
      </w:r>
    </w:p>
    <w:p>
      <w:pPr>
        <w:pStyle w:val="6"/>
        <w:spacing w:line="295" w:lineRule="auto"/>
        <w:ind w:right="442"/>
        <w:rPr>
          <w:rFonts w:hint="eastAsia" w:ascii="MS UI Gothic" w:eastAsia="MS UI Gothic"/>
        </w:rPr>
      </w:pPr>
      <w:r>
        <w:rPr>
          <w:spacing w:val="14"/>
        </w:rPr>
        <w:t>危险物品的生产</w:t>
      </w:r>
      <w:r>
        <w:rPr>
          <w:rFonts w:hint="eastAsia" w:ascii="MS UI Gothic" w:eastAsia="MS UI Gothic"/>
          <w:spacing w:val="16"/>
          <w:w w:val="80"/>
        </w:rPr>
        <w:t xml:space="preserve">、 </w:t>
      </w:r>
      <w:r>
        <w:rPr>
          <w:spacing w:val="16"/>
        </w:rPr>
        <w:t>储存单位以及矿</w:t>
      </w:r>
      <w:r>
        <w:rPr>
          <w:spacing w:val="3"/>
        </w:rPr>
        <w:t>山</w:t>
      </w:r>
      <w:r>
        <w:rPr>
          <w:rFonts w:hint="eastAsia" w:ascii="MS UI Gothic" w:eastAsia="MS UI Gothic"/>
          <w:spacing w:val="16"/>
          <w:w w:val="80"/>
        </w:rPr>
        <w:t xml:space="preserve">、 </w:t>
      </w:r>
      <w:r>
        <w:rPr>
          <w:spacing w:val="2"/>
        </w:rPr>
        <w:t>金属冶炼单位的安全生产管理人员的</w:t>
      </w:r>
      <w:r>
        <w:rPr>
          <w:spacing w:val="3"/>
        </w:rPr>
        <w:t>任免</w:t>
      </w:r>
      <w:r>
        <w:rPr>
          <w:rFonts w:hint="eastAsia" w:ascii="MS UI Gothic" w:eastAsia="MS UI Gothic"/>
          <w:spacing w:val="20"/>
          <w:w w:val="80"/>
        </w:rPr>
        <w:t xml:space="preserve">ꎬ </w:t>
      </w:r>
      <w:r>
        <w:rPr>
          <w:spacing w:val="2"/>
        </w:rPr>
        <w:t>应当告知主管的负有安全生产监督</w:t>
      </w:r>
      <w:r>
        <w:rPr>
          <w:spacing w:val="3"/>
        </w:rPr>
        <w:t>管理职责的部门</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第二十四条 生产经营单位的主要负</w:t>
      </w:r>
      <w:r>
        <w:rPr>
          <w:spacing w:val="2"/>
        </w:rPr>
        <w:t>责人和安全生产管理人员必须具备与本单位所从事的生产经营活动相应的安全生产</w:t>
      </w:r>
      <w:r>
        <w:rPr>
          <w:spacing w:val="3"/>
          <w:w w:val="105"/>
        </w:rPr>
        <w:t>知识和管理能力</w:t>
      </w:r>
      <w:r>
        <w:rPr>
          <w:rFonts w:hint="eastAsia" w:ascii="MS UI Gothic" w:eastAsia="MS UI Gothic"/>
          <w:w w:val="80"/>
        </w:rPr>
        <w:t>ꎮ</w:t>
      </w:r>
    </w:p>
    <w:p>
      <w:pPr>
        <w:pStyle w:val="6"/>
        <w:spacing w:line="295" w:lineRule="auto"/>
        <w:ind w:right="440"/>
        <w:rPr>
          <w:rFonts w:hint="eastAsia" w:ascii="MS UI Gothic" w:eastAsia="MS UI Gothic"/>
        </w:rPr>
      </w:pPr>
      <w:r>
        <w:t>危险物品的生产</w:t>
      </w:r>
      <w:r>
        <w:rPr>
          <w:rFonts w:hint="eastAsia" w:ascii="MS UI Gothic" w:eastAsia="MS UI Gothic"/>
          <w:w w:val="80"/>
        </w:rPr>
        <w:t xml:space="preserve">、 </w:t>
      </w:r>
      <w:r>
        <w:t>经营</w:t>
      </w:r>
      <w:r>
        <w:rPr>
          <w:rFonts w:hint="eastAsia" w:ascii="MS UI Gothic" w:eastAsia="MS UI Gothic"/>
          <w:w w:val="80"/>
        </w:rPr>
        <w:t xml:space="preserve">、 </w:t>
      </w:r>
      <w:r>
        <w:t>储存单位以及矿山</w:t>
      </w:r>
      <w:r>
        <w:rPr>
          <w:rFonts w:hint="eastAsia" w:ascii="MS UI Gothic" w:eastAsia="MS UI Gothic"/>
          <w:w w:val="80"/>
        </w:rPr>
        <w:t xml:space="preserve">、 </w:t>
      </w:r>
      <w:r>
        <w:t>金属冶炼</w:t>
      </w:r>
      <w:r>
        <w:rPr>
          <w:rFonts w:hint="eastAsia" w:ascii="MS UI Gothic" w:eastAsia="MS UI Gothic"/>
          <w:w w:val="80"/>
        </w:rPr>
        <w:t xml:space="preserve">、 </w:t>
      </w:r>
      <w:r>
        <w:t>建筑施工</w:t>
      </w:r>
      <w:r>
        <w:rPr>
          <w:rFonts w:hint="eastAsia" w:ascii="MS UI Gothic" w:eastAsia="MS UI Gothic"/>
          <w:w w:val="80"/>
        </w:rPr>
        <w:t xml:space="preserve">、 </w:t>
      </w:r>
      <w:r>
        <w:t>道路运输单位的主要负责人和安全生产管理人员</w:t>
      </w:r>
      <w:r>
        <w:rPr>
          <w:rFonts w:hint="eastAsia" w:ascii="MS UI Gothic" w:eastAsia="MS UI Gothic"/>
          <w:w w:val="80"/>
        </w:rPr>
        <w:t>ꎬ</w:t>
      </w:r>
      <w:r>
        <w:t>应当由主管的负有安全生产监督管理职责的部门对其安全生产知识和管理能力考核合格</w:t>
      </w:r>
      <w:r>
        <w:rPr>
          <w:rFonts w:hint="eastAsia" w:ascii="MS UI Gothic" w:eastAsia="MS UI Gothic"/>
          <w:w w:val="80"/>
        </w:rPr>
        <w:t xml:space="preserve">ꎮ </w:t>
      </w:r>
      <w:r>
        <w:t>考核不得收费</w:t>
      </w:r>
      <w:r>
        <w:rPr>
          <w:rFonts w:hint="eastAsia" w:ascii="MS UI Gothic" w:eastAsia="MS UI Gothic"/>
          <w:w w:val="80"/>
        </w:rPr>
        <w:t>ꎮ</w:t>
      </w:r>
    </w:p>
    <w:p>
      <w:pPr>
        <w:pStyle w:val="6"/>
        <w:spacing w:line="295" w:lineRule="auto"/>
        <w:ind w:right="442"/>
        <w:rPr>
          <w:rFonts w:hint="eastAsia" w:ascii="MS UI Gothic" w:eastAsia="MS UI Gothic"/>
        </w:rPr>
      </w:pPr>
      <w:r>
        <w:rPr>
          <w:w w:val="105"/>
        </w:rPr>
        <w:t>危险物品的生产</w:t>
      </w:r>
      <w:r>
        <w:rPr>
          <w:rFonts w:hint="eastAsia" w:ascii="MS UI Gothic" w:eastAsia="MS UI Gothic"/>
          <w:w w:val="80"/>
        </w:rPr>
        <w:t xml:space="preserve">、 </w:t>
      </w:r>
      <w:r>
        <w:rPr>
          <w:w w:val="105"/>
        </w:rPr>
        <w:t>储存单位以及矿山</w:t>
      </w:r>
      <w:r>
        <w:rPr>
          <w:rFonts w:hint="eastAsia" w:ascii="MS UI Gothic" w:eastAsia="MS UI Gothic"/>
          <w:w w:val="80"/>
        </w:rPr>
        <w:t xml:space="preserve">、 </w:t>
      </w:r>
      <w:r>
        <w:rPr>
          <w:w w:val="105"/>
        </w:rPr>
        <w:t>金属冶炼单位应当有注册安全工程师</w:t>
      </w:r>
      <w:r>
        <w:t>从事安全生产管理工作</w:t>
      </w:r>
      <w:r>
        <w:rPr>
          <w:rFonts w:hint="eastAsia" w:ascii="MS UI Gothic" w:eastAsia="MS UI Gothic"/>
          <w:w w:val="80"/>
        </w:rPr>
        <w:t xml:space="preserve">ꎮ </w:t>
      </w:r>
      <w:r>
        <w:t>鼓励其他生产经营单位聘用注册安全工程师从事安全生产管理工作</w:t>
      </w:r>
      <w:r>
        <w:rPr>
          <w:rFonts w:hint="eastAsia" w:ascii="MS UI Gothic" w:eastAsia="MS UI Gothic"/>
          <w:w w:val="80"/>
        </w:rPr>
        <w:t xml:space="preserve">ꎮ </w:t>
      </w:r>
      <w:r>
        <w:t>注册安全工程师按专业分类管理</w:t>
      </w:r>
      <w:r>
        <w:rPr>
          <w:rFonts w:hint="eastAsia" w:ascii="MS UI Gothic" w:eastAsia="MS UI Gothic"/>
          <w:w w:val="80"/>
        </w:rPr>
        <w:t xml:space="preserve">ꎬ </w:t>
      </w:r>
      <w:r>
        <w:t>具体办法由国务院人力资源和社会保</w:t>
      </w:r>
      <w:r>
        <w:rPr>
          <w:w w:val="105"/>
        </w:rPr>
        <w:t>障部门</w:t>
      </w:r>
      <w:r>
        <w:rPr>
          <w:rFonts w:hint="eastAsia" w:ascii="MS UI Gothic" w:eastAsia="MS UI Gothic"/>
          <w:w w:val="80"/>
        </w:rPr>
        <w:t xml:space="preserve">、 </w:t>
      </w:r>
      <w:r>
        <w:rPr>
          <w:w w:val="105"/>
        </w:rPr>
        <w:t>国务院安全生产监督管理部门会同国务院有关部门制定</w:t>
      </w:r>
      <w:r>
        <w:rPr>
          <w:rFonts w:hint="eastAsia" w:ascii="MS UI Gothic" w:eastAsia="MS UI Gothic"/>
          <w:w w:val="80"/>
        </w:rPr>
        <w:t>ꎮ</w:t>
      </w:r>
    </w:p>
    <w:p>
      <w:pPr>
        <w:pStyle w:val="6"/>
        <w:tabs>
          <w:tab w:val="left" w:pos="1801"/>
        </w:tabs>
        <w:spacing w:line="250" w:lineRule="exact"/>
        <w:ind w:left="543" w:firstLine="0"/>
        <w:jc w:val="left"/>
      </w:pPr>
      <w:r>
        <w:rPr>
          <w:spacing w:val="3"/>
          <w:w w:val="105"/>
        </w:rPr>
        <w:t>第二十五</w:t>
      </w:r>
      <w:r>
        <w:rPr>
          <w:w w:val="105"/>
        </w:rPr>
        <w:t>条</w:t>
      </w:r>
      <w:r>
        <w:rPr>
          <w:w w:val="105"/>
        </w:rPr>
        <w:tab/>
      </w:r>
      <w:r>
        <w:rPr>
          <w:spacing w:val="3"/>
          <w:w w:val="105"/>
        </w:rPr>
        <w:t>生产经营单位应当对</w:t>
      </w:r>
      <w:r>
        <w:rPr>
          <w:w w:val="105"/>
        </w:rPr>
        <w:t>从</w:t>
      </w:r>
    </w:p>
    <w:p>
      <w:pPr>
        <w:spacing w:after="0" w:line="250"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５３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07" o:spid="_x0000_s1207" o:spt="203" style="height:2.15pt;width:398.25pt;" coordsize="7965,43">
            <o:lock v:ext="edit"/>
            <v:line id="_x0000_s1208" o:spid="_x0000_s1208" o:spt="20" style="position:absolute;left:0;top:39;height:0;width:7965;" stroked="t" coordsize="21600,21600">
              <v:path arrowok="t"/>
              <v:fill focussize="0,0"/>
              <v:stroke weight="0.388031496062992pt" color="#231F20"/>
              <v:imagedata o:title=""/>
              <o:lock v:ext="edit"/>
            </v:line>
            <v:line id="_x0000_s1209" o:spid="_x0000_s120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业人员进行安全生产教育和培训</w:t>
      </w:r>
      <w:r>
        <w:rPr>
          <w:rFonts w:hint="eastAsia" w:ascii="MS UI Gothic" w:eastAsia="MS UI Gothic"/>
          <w:w w:val="80"/>
        </w:rPr>
        <w:t xml:space="preserve">ꎬ </w:t>
      </w:r>
      <w:r>
        <w:t>保证从业人员具备必要的安全生产知识</w:t>
      </w:r>
      <w:r>
        <w:rPr>
          <w:rFonts w:hint="eastAsia" w:ascii="MS UI Gothic" w:eastAsia="MS UI Gothic"/>
          <w:w w:val="80"/>
        </w:rPr>
        <w:t xml:space="preserve">ꎬ </w:t>
      </w:r>
      <w:r>
        <w:t>熟悉有关的安全生产规章制度和安全操作规程</w:t>
      </w:r>
      <w:r>
        <w:rPr>
          <w:rFonts w:hint="eastAsia" w:ascii="MS UI Gothic" w:eastAsia="MS UI Gothic"/>
          <w:w w:val="80"/>
        </w:rPr>
        <w:t>ꎬ</w:t>
      </w:r>
      <w:r>
        <w:t>掌握本岗位的安全操作技能</w:t>
      </w:r>
      <w:r>
        <w:rPr>
          <w:rFonts w:hint="eastAsia" w:ascii="MS UI Gothic" w:eastAsia="MS UI Gothic"/>
          <w:w w:val="80"/>
        </w:rPr>
        <w:t xml:space="preserve">ꎬ </w:t>
      </w:r>
      <w:r>
        <w:t>了解事故应急处理措施</w:t>
      </w:r>
      <w:r>
        <w:rPr>
          <w:rFonts w:hint="eastAsia" w:ascii="MS UI Gothic" w:eastAsia="MS UI Gothic"/>
          <w:w w:val="80"/>
        </w:rPr>
        <w:t xml:space="preserve">ꎬ </w:t>
      </w:r>
      <w:r>
        <w:t>知悉自身在安全生产方面的权利和义务</w:t>
      </w:r>
      <w:r>
        <w:rPr>
          <w:rFonts w:hint="eastAsia" w:ascii="MS UI Gothic" w:eastAsia="MS UI Gothic"/>
          <w:w w:val="80"/>
        </w:rPr>
        <w:t xml:space="preserve">ꎮ </w:t>
      </w:r>
      <w:r>
        <w:t>未经安全生产教育和培训合格的从业人员</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line="295" w:lineRule="auto"/>
        <w:ind w:left="440"/>
        <w:rPr>
          <w:rFonts w:hint="eastAsia" w:ascii="MS UI Gothic" w:eastAsia="MS UI Gothic"/>
        </w:rPr>
      </w:pPr>
      <w:r>
        <w:t>生产经营单位使用被派遣劳动者的</w:t>
      </w:r>
      <w:r>
        <w:rPr>
          <w:rFonts w:hint="eastAsia" w:ascii="MS UI Gothic" w:eastAsia="MS UI Gothic"/>
          <w:w w:val="80"/>
        </w:rPr>
        <w:t>ꎬ</w:t>
      </w:r>
      <w:r>
        <w:t>应当将被派遣劳动者纳入本单位从业人员统一管理</w:t>
      </w:r>
      <w:r>
        <w:rPr>
          <w:rFonts w:hint="eastAsia" w:ascii="MS UI Gothic" w:eastAsia="MS UI Gothic"/>
          <w:w w:val="80"/>
        </w:rPr>
        <w:t xml:space="preserve">ꎬ </w:t>
      </w:r>
      <w:r>
        <w:t>对被派遣劳动者进行岗位安全操作规程和安全操作技能的教育和培训</w:t>
      </w:r>
      <w:r>
        <w:rPr>
          <w:rFonts w:hint="eastAsia" w:ascii="MS UI Gothic" w:eastAsia="MS UI Gothic"/>
          <w:w w:val="80"/>
        </w:rPr>
        <w:t>ꎮ</w:t>
      </w:r>
      <w:r>
        <w:t>劳务派遣单位应当对被派遣劳动者进行必</w:t>
      </w:r>
      <w:r>
        <w:rPr>
          <w:w w:val="105"/>
        </w:rPr>
        <w:t>要的安全生产教育和培训</w:t>
      </w:r>
      <w:r>
        <w:rPr>
          <w:rFonts w:hint="eastAsia" w:ascii="MS UI Gothic" w:eastAsia="MS UI Gothic"/>
          <w:w w:val="80"/>
        </w:rPr>
        <w:t>ꎮ</w:t>
      </w:r>
    </w:p>
    <w:p>
      <w:pPr>
        <w:pStyle w:val="6"/>
        <w:spacing w:line="295" w:lineRule="auto"/>
        <w:ind w:left="440" w:right="1"/>
        <w:rPr>
          <w:rFonts w:hint="eastAsia" w:ascii="MS UI Gothic" w:eastAsia="MS UI Gothic"/>
        </w:rPr>
      </w:pPr>
      <w:r>
        <w:t>生产经营单位接收中等职业学校</w:t>
      </w:r>
      <w:r>
        <w:rPr>
          <w:rFonts w:hint="eastAsia" w:ascii="MS UI Gothic" w:eastAsia="MS UI Gothic"/>
          <w:w w:val="80"/>
        </w:rPr>
        <w:t xml:space="preserve">、 </w:t>
      </w:r>
      <w:r>
        <w:t>高等学校学生实习的</w:t>
      </w:r>
      <w:r>
        <w:rPr>
          <w:rFonts w:hint="eastAsia" w:ascii="MS UI Gothic" w:eastAsia="MS UI Gothic"/>
          <w:w w:val="80"/>
        </w:rPr>
        <w:t xml:space="preserve">ꎬ </w:t>
      </w:r>
      <w:r>
        <w:t>应当对实习学生进行相应的安全生产教育和培训</w:t>
      </w:r>
      <w:r>
        <w:rPr>
          <w:rFonts w:hint="eastAsia" w:ascii="MS UI Gothic" w:eastAsia="MS UI Gothic"/>
          <w:w w:val="80"/>
        </w:rPr>
        <w:t xml:space="preserve">ꎬ </w:t>
      </w:r>
      <w:r>
        <w:t>提供必要的劳动防护用品</w:t>
      </w:r>
      <w:r>
        <w:rPr>
          <w:rFonts w:hint="eastAsia" w:ascii="MS UI Gothic" w:eastAsia="MS UI Gothic"/>
          <w:w w:val="80"/>
        </w:rPr>
        <w:t xml:space="preserve">ꎮ </w:t>
      </w:r>
      <w:r>
        <w:t>学校应当协助生产经营单位对实习学生进行安全生产教育和培训</w:t>
      </w:r>
      <w:r>
        <w:rPr>
          <w:rFonts w:hint="eastAsia" w:ascii="MS UI Gothic" w:eastAsia="MS UI Gothic"/>
          <w:w w:val="80"/>
        </w:rPr>
        <w:t>ꎮ</w:t>
      </w:r>
    </w:p>
    <w:p>
      <w:pPr>
        <w:pStyle w:val="6"/>
        <w:spacing w:line="295" w:lineRule="auto"/>
        <w:ind w:left="440" w:right="1"/>
        <w:rPr>
          <w:rFonts w:hint="eastAsia" w:ascii="MS UI Gothic" w:eastAsia="MS UI Gothic"/>
        </w:rPr>
      </w:pPr>
      <w:r>
        <w:t>生产经营单位应当建立安全生产教育和培训档案</w:t>
      </w:r>
      <w:r>
        <w:rPr>
          <w:rFonts w:hint="eastAsia" w:ascii="MS UI Gothic" w:eastAsia="MS UI Gothic"/>
          <w:w w:val="80"/>
        </w:rPr>
        <w:t xml:space="preserve">ꎬ </w:t>
      </w:r>
      <w:r>
        <w:t>如实记录安全生产教育和培训的时间</w:t>
      </w:r>
      <w:r>
        <w:rPr>
          <w:rFonts w:hint="eastAsia" w:ascii="MS UI Gothic" w:eastAsia="MS UI Gothic"/>
          <w:w w:val="80"/>
        </w:rPr>
        <w:t xml:space="preserve">、 </w:t>
      </w:r>
      <w:r>
        <w:t>内容</w:t>
      </w:r>
      <w:r>
        <w:rPr>
          <w:rFonts w:hint="eastAsia" w:ascii="MS UI Gothic" w:eastAsia="MS UI Gothic"/>
          <w:w w:val="80"/>
        </w:rPr>
        <w:t xml:space="preserve">、 </w:t>
      </w:r>
      <w:r>
        <w:t>参加人员以及考核结果等情况</w:t>
      </w:r>
      <w:r>
        <w:rPr>
          <w:rFonts w:hint="eastAsia" w:ascii="MS UI Gothic" w:eastAsia="MS UI Gothic"/>
          <w:w w:val="80"/>
        </w:rPr>
        <w:t>ꎮ</w:t>
      </w:r>
    </w:p>
    <w:p>
      <w:pPr>
        <w:pStyle w:val="6"/>
        <w:spacing w:line="295" w:lineRule="auto"/>
        <w:ind w:left="440" w:right="1"/>
        <w:rPr>
          <w:rFonts w:hint="eastAsia" w:ascii="MS UI Gothic" w:eastAsia="MS UI Gothic"/>
        </w:rPr>
      </w:pPr>
      <w:r>
        <w:t>第二十六条 生产经营单位采用新工艺</w:t>
      </w:r>
      <w:r>
        <w:rPr>
          <w:rFonts w:hint="eastAsia" w:ascii="MS UI Gothic" w:eastAsia="MS UI Gothic"/>
          <w:w w:val="80"/>
        </w:rPr>
        <w:t xml:space="preserve">、 </w:t>
      </w:r>
      <w:r>
        <w:t>新技术</w:t>
      </w:r>
      <w:r>
        <w:rPr>
          <w:rFonts w:hint="eastAsia" w:ascii="MS UI Gothic" w:eastAsia="MS UI Gothic"/>
          <w:w w:val="80"/>
        </w:rPr>
        <w:t xml:space="preserve">、 </w:t>
      </w:r>
      <w:r>
        <w:t>新材料或者使用新设备</w:t>
      </w:r>
      <w:r>
        <w:rPr>
          <w:rFonts w:hint="eastAsia" w:ascii="MS UI Gothic" w:eastAsia="MS UI Gothic"/>
          <w:w w:val="80"/>
        </w:rPr>
        <w:t xml:space="preserve">ꎬ </w:t>
      </w:r>
      <w:r>
        <w:t>必须了解</w:t>
      </w:r>
      <w:r>
        <w:rPr>
          <w:rFonts w:hint="eastAsia" w:ascii="MS UI Gothic" w:eastAsia="MS UI Gothic"/>
          <w:w w:val="80"/>
        </w:rPr>
        <w:t xml:space="preserve">、 </w:t>
      </w:r>
      <w:r>
        <w:t>掌握其安全技术特性</w:t>
      </w:r>
      <w:r>
        <w:rPr>
          <w:rFonts w:hint="eastAsia" w:ascii="MS UI Gothic" w:eastAsia="MS UI Gothic"/>
          <w:w w:val="80"/>
        </w:rPr>
        <w:t xml:space="preserve">ꎬ </w:t>
      </w:r>
      <w:r>
        <w:t>采取有效的安全防护措施</w:t>
      </w:r>
      <w:r>
        <w:rPr>
          <w:rFonts w:hint="eastAsia" w:ascii="MS UI Gothic" w:eastAsia="MS UI Gothic"/>
          <w:w w:val="80"/>
        </w:rPr>
        <w:t xml:space="preserve">ꎬ </w:t>
      </w:r>
      <w:r>
        <w:t>并对从业人员进行专门的安全生产教育和培训</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第二十七条 生产经营单位的特种作</w:t>
      </w:r>
      <w:r>
        <w:rPr>
          <w:spacing w:val="2"/>
        </w:rPr>
        <w:t>业人员必须按照国家有关规定经专门的安</w:t>
      </w:r>
      <w:r>
        <w:rPr>
          <w:spacing w:val="8"/>
        </w:rPr>
        <w:t>全作业培训</w:t>
      </w:r>
      <w:r>
        <w:rPr>
          <w:rFonts w:hint="eastAsia" w:ascii="MS UI Gothic" w:eastAsia="MS UI Gothic"/>
          <w:spacing w:val="3"/>
          <w:w w:val="80"/>
        </w:rPr>
        <w:t xml:space="preserve">ꎬ </w:t>
      </w:r>
      <w:r>
        <w:rPr>
          <w:spacing w:val="19"/>
        </w:rPr>
        <w:t>取得相应资格</w:t>
      </w:r>
      <w:r>
        <w:rPr>
          <w:rFonts w:hint="eastAsia" w:ascii="MS UI Gothic" w:eastAsia="MS UI Gothic"/>
          <w:spacing w:val="3"/>
          <w:w w:val="80"/>
        </w:rPr>
        <w:t xml:space="preserve">ꎬ </w:t>
      </w:r>
      <w:r>
        <w:rPr>
          <w:spacing w:val="14"/>
        </w:rPr>
        <w:t>方可上岗</w:t>
      </w:r>
      <w:r>
        <w:rPr>
          <w:spacing w:val="3"/>
        </w:rPr>
        <w:t>作业</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rPr>
        <w:t>特种作业人员的范围由国务院安全生</w:t>
      </w:r>
      <w:r>
        <w:rPr>
          <w:spacing w:val="25"/>
        </w:rPr>
        <w:t>产监督管理部门会同国务院有关部门</w:t>
      </w:r>
      <w:r>
        <w:rPr>
          <w:spacing w:val="3"/>
          <w:w w:val="105"/>
        </w:rPr>
        <w:t>确定</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第二十八条 生产经营单位新建</w:t>
      </w:r>
      <w:r>
        <w:rPr>
          <w:rFonts w:hint="eastAsia" w:ascii="MS UI Gothic" w:eastAsia="MS UI Gothic"/>
          <w:w w:val="80"/>
        </w:rPr>
        <w:t xml:space="preserve">、 </w:t>
      </w:r>
      <w:r>
        <w:rPr>
          <w:w w:val="105"/>
        </w:rPr>
        <w:t>改建</w:t>
      </w:r>
      <w:r>
        <w:rPr>
          <w:rFonts w:hint="eastAsia" w:ascii="MS UI Gothic" w:eastAsia="MS UI Gothic"/>
          <w:w w:val="80"/>
        </w:rPr>
        <w:t xml:space="preserve">、 </w:t>
      </w:r>
      <w:r>
        <w:rPr>
          <w:w w:val="105"/>
        </w:rPr>
        <w:t xml:space="preserve">扩建工程项目 </w:t>
      </w:r>
      <w:r>
        <w:rPr>
          <w:rFonts w:hint="eastAsia" w:ascii="MS UI Gothic" w:eastAsia="MS UI Gothic"/>
          <w:w w:val="150"/>
        </w:rPr>
        <w:t xml:space="preserve">( </w:t>
      </w:r>
      <w:r>
        <w:rPr>
          <w:w w:val="105"/>
        </w:rPr>
        <w:t>以下统称建设项目</w:t>
      </w:r>
      <w:r>
        <w:rPr>
          <w:rFonts w:hint="eastAsia" w:ascii="MS UI Gothic" w:eastAsia="MS UI Gothic"/>
          <w:w w:val="150"/>
        </w:rPr>
        <w:t xml:space="preserve">) </w:t>
      </w:r>
      <w:r>
        <w:t>的安全设施</w:t>
      </w:r>
      <w:r>
        <w:rPr>
          <w:rFonts w:hint="eastAsia" w:ascii="MS UI Gothic" w:eastAsia="MS UI Gothic"/>
          <w:w w:val="80"/>
        </w:rPr>
        <w:t xml:space="preserve">ꎬ </w:t>
      </w:r>
      <w:r>
        <w:t>必须与主体工程同时设计</w:t>
      </w:r>
      <w:r>
        <w:rPr>
          <w:rFonts w:hint="eastAsia" w:ascii="MS UI Gothic" w:eastAsia="MS UI Gothic"/>
          <w:w w:val="80"/>
        </w:rPr>
        <w:t>、</w:t>
      </w:r>
      <w:r>
        <w:rPr>
          <w:w w:val="105"/>
        </w:rPr>
        <w:t>同时施工</w:t>
      </w:r>
      <w:r>
        <w:rPr>
          <w:rFonts w:hint="eastAsia" w:ascii="MS UI Gothic" w:eastAsia="MS UI Gothic"/>
          <w:w w:val="80"/>
        </w:rPr>
        <w:t xml:space="preserve">、 </w:t>
      </w:r>
      <w:r>
        <w:rPr>
          <w:w w:val="105"/>
        </w:rPr>
        <w:t>同时投入生产和使用</w:t>
      </w:r>
      <w:r>
        <w:rPr>
          <w:rFonts w:hint="eastAsia" w:ascii="MS UI Gothic" w:eastAsia="MS UI Gothic"/>
          <w:w w:val="80"/>
        </w:rPr>
        <w:t xml:space="preserve">ꎮ </w:t>
      </w:r>
      <w:r>
        <w:rPr>
          <w:w w:val="105"/>
        </w:rPr>
        <w:t>安全设施投资应当纳入建设项目概算</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t>第二十九条 矿山</w:t>
      </w:r>
      <w:r>
        <w:rPr>
          <w:rFonts w:hint="eastAsia" w:ascii="MS UI Gothic" w:eastAsia="MS UI Gothic"/>
          <w:w w:val="80"/>
        </w:rPr>
        <w:t xml:space="preserve">、 </w:t>
      </w:r>
      <w:r>
        <w:t>金属冶炼建设项目和用于生产</w:t>
      </w:r>
      <w:r>
        <w:rPr>
          <w:rFonts w:hint="eastAsia" w:ascii="MS UI Gothic" w:eastAsia="MS UI Gothic"/>
          <w:w w:val="80"/>
        </w:rPr>
        <w:t xml:space="preserve">、 </w:t>
      </w:r>
      <w:r>
        <w:t>储存</w:t>
      </w:r>
      <w:r>
        <w:rPr>
          <w:rFonts w:hint="eastAsia" w:ascii="MS UI Gothic" w:eastAsia="MS UI Gothic"/>
          <w:w w:val="80"/>
        </w:rPr>
        <w:t xml:space="preserve">、 </w:t>
      </w:r>
      <w:r>
        <w:t>装卸危险物品的建设项目</w:t>
      </w:r>
      <w:r>
        <w:rPr>
          <w:rFonts w:hint="eastAsia" w:ascii="MS UI Gothic" w:eastAsia="MS UI Gothic"/>
          <w:w w:val="80"/>
        </w:rPr>
        <w:t xml:space="preserve">ꎬ </w:t>
      </w:r>
      <w:r>
        <w:t>应当按照国家有关规定进行安全评价</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第三十条 建设项目安全设施的设计人</w:t>
      </w:r>
      <w:r>
        <w:rPr>
          <w:rFonts w:hint="eastAsia" w:ascii="MS UI Gothic" w:eastAsia="MS UI Gothic"/>
          <w:w w:val="80"/>
        </w:rPr>
        <w:t xml:space="preserve">、 </w:t>
      </w:r>
      <w:r>
        <w:rPr>
          <w:w w:val="105"/>
        </w:rPr>
        <w:t>设计单位应当对安全设施设计负责</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矿山</w:t>
      </w:r>
      <w:r>
        <w:rPr>
          <w:rFonts w:hint="eastAsia" w:ascii="MS UI Gothic" w:eastAsia="MS UI Gothic"/>
          <w:w w:val="80"/>
        </w:rPr>
        <w:t xml:space="preserve">、 </w:t>
      </w:r>
      <w:r>
        <w:rPr>
          <w:w w:val="105"/>
        </w:rPr>
        <w:t>金属冶炼建设项目和用于生产</w:t>
      </w:r>
      <w:r>
        <w:rPr>
          <w:rFonts w:hint="eastAsia" w:ascii="MS UI Gothic" w:eastAsia="MS UI Gothic"/>
          <w:w w:val="80"/>
        </w:rPr>
        <w:t xml:space="preserve">、 </w:t>
      </w:r>
      <w:r>
        <w:rPr>
          <w:w w:val="105"/>
        </w:rPr>
        <w:t>储存</w:t>
      </w:r>
      <w:r>
        <w:rPr>
          <w:rFonts w:hint="eastAsia" w:ascii="MS UI Gothic" w:eastAsia="MS UI Gothic"/>
          <w:w w:val="80"/>
        </w:rPr>
        <w:t xml:space="preserve">、 </w:t>
      </w:r>
      <w:r>
        <w:rPr>
          <w:w w:val="105"/>
        </w:rPr>
        <w:t>装卸危险物品的建设项目的安</w:t>
      </w:r>
      <w:r>
        <w:t>全设施设计应当按照国家有关规定报经有关部门审查</w:t>
      </w:r>
      <w:r>
        <w:rPr>
          <w:rFonts w:hint="eastAsia" w:ascii="MS UI Gothic" w:eastAsia="MS UI Gothic"/>
          <w:w w:val="80"/>
        </w:rPr>
        <w:t xml:space="preserve">ꎬ </w:t>
      </w:r>
      <w:r>
        <w:t>审查部门及其负责审查的人</w:t>
      </w:r>
      <w:r>
        <w:rPr>
          <w:w w:val="105"/>
        </w:rPr>
        <w:t>员对审查结果负责</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第三十一条 矿山</w:t>
      </w:r>
      <w:r>
        <w:rPr>
          <w:rFonts w:hint="eastAsia" w:ascii="MS UI Gothic" w:eastAsia="MS UI Gothic"/>
          <w:w w:val="80"/>
        </w:rPr>
        <w:t xml:space="preserve">、 </w:t>
      </w:r>
      <w:r>
        <w:rPr>
          <w:w w:val="105"/>
        </w:rPr>
        <w:t>金属冶炼建设项目和用于生产</w:t>
      </w:r>
      <w:r>
        <w:rPr>
          <w:rFonts w:hint="eastAsia" w:ascii="MS UI Gothic" w:eastAsia="MS UI Gothic"/>
          <w:w w:val="80"/>
        </w:rPr>
        <w:t xml:space="preserve">、 </w:t>
      </w:r>
      <w:r>
        <w:rPr>
          <w:w w:val="105"/>
        </w:rPr>
        <w:t>储存</w:t>
      </w:r>
      <w:r>
        <w:rPr>
          <w:rFonts w:hint="eastAsia" w:ascii="MS UI Gothic" w:eastAsia="MS UI Gothic"/>
          <w:w w:val="80"/>
        </w:rPr>
        <w:t xml:space="preserve">、 </w:t>
      </w:r>
      <w:r>
        <w:rPr>
          <w:w w:val="105"/>
        </w:rPr>
        <w:t>装卸危险物品的建</w:t>
      </w:r>
      <w:r>
        <w:t>设项目的施工单位必须按照批准的安全设施设计施工</w:t>
      </w:r>
      <w:r>
        <w:rPr>
          <w:rFonts w:hint="eastAsia" w:ascii="MS UI Gothic" w:eastAsia="MS UI Gothic"/>
          <w:w w:val="80"/>
        </w:rPr>
        <w:t xml:space="preserve">ꎬ </w:t>
      </w:r>
      <w:r>
        <w:t>并对安全设施的工程质量</w:t>
      </w:r>
      <w:r>
        <w:rPr>
          <w:w w:val="105"/>
        </w:rPr>
        <w:t>负责</w:t>
      </w:r>
      <w:r>
        <w:rPr>
          <w:rFonts w:hint="eastAsia" w:ascii="MS UI Gothic" w:eastAsia="MS UI Gothic"/>
          <w:w w:val="80"/>
        </w:rPr>
        <w:t>ꎮ</w:t>
      </w:r>
    </w:p>
    <w:p>
      <w:pPr>
        <w:pStyle w:val="6"/>
        <w:spacing w:line="295" w:lineRule="auto"/>
        <w:ind w:left="381" w:right="126"/>
        <w:rPr>
          <w:rFonts w:hint="eastAsia" w:ascii="MS UI Gothic" w:eastAsia="MS UI Gothic"/>
        </w:rPr>
      </w:pPr>
      <w:r>
        <w:t>矿山</w:t>
      </w:r>
      <w:r>
        <w:rPr>
          <w:rFonts w:hint="eastAsia" w:ascii="MS UI Gothic" w:eastAsia="MS UI Gothic"/>
          <w:w w:val="80"/>
        </w:rPr>
        <w:t xml:space="preserve">、 </w:t>
      </w:r>
      <w:r>
        <w:t>金属冶炼建设项目和用于生产</w:t>
      </w:r>
      <w:r>
        <w:rPr>
          <w:rFonts w:hint="eastAsia" w:ascii="MS UI Gothic" w:eastAsia="MS UI Gothic"/>
          <w:w w:val="80"/>
        </w:rPr>
        <w:t xml:space="preserve">、 </w:t>
      </w:r>
      <w:r>
        <w:t>储存危险物品的建设项目竣工投入生产或者使用前</w:t>
      </w:r>
      <w:r>
        <w:rPr>
          <w:rFonts w:hint="eastAsia" w:ascii="MS UI Gothic" w:eastAsia="MS UI Gothic"/>
          <w:w w:val="80"/>
        </w:rPr>
        <w:t xml:space="preserve">ꎬ </w:t>
      </w:r>
      <w:r>
        <w:t>应当由建设单位负责组织对安全设施进行验收</w:t>
      </w:r>
      <w:r>
        <w:rPr>
          <w:rFonts w:hint="eastAsia" w:ascii="MS UI Gothic" w:eastAsia="MS UI Gothic"/>
          <w:w w:val="80"/>
        </w:rPr>
        <w:t xml:space="preserve">ꎻ </w:t>
      </w:r>
      <w:r>
        <w:t>验收合格后</w:t>
      </w:r>
      <w:r>
        <w:rPr>
          <w:rFonts w:hint="eastAsia" w:ascii="MS UI Gothic" w:eastAsia="MS UI Gothic"/>
          <w:w w:val="80"/>
        </w:rPr>
        <w:t xml:space="preserve">ꎬ </w:t>
      </w:r>
      <w:r>
        <w:t>方可投入生产和使用</w:t>
      </w:r>
      <w:r>
        <w:rPr>
          <w:rFonts w:hint="eastAsia" w:ascii="MS UI Gothic" w:eastAsia="MS UI Gothic"/>
          <w:w w:val="80"/>
        </w:rPr>
        <w:t xml:space="preserve">ꎮ </w:t>
      </w:r>
      <w:r>
        <w:t>安全生产监督管理部门应当加强对建设单位验收活动和验收结果的监督核查</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第三十二条 生产经营单位应当在有</w:t>
      </w:r>
      <w:r>
        <w:t>较大危险因素的生产经营场所和有关设</w:t>
      </w:r>
      <w:r>
        <w:rPr>
          <w:w w:val="105"/>
        </w:rPr>
        <w:t>施</w:t>
      </w:r>
      <w:r>
        <w:rPr>
          <w:rFonts w:hint="eastAsia" w:ascii="MS UI Gothic" w:eastAsia="MS UI Gothic"/>
          <w:w w:val="80"/>
        </w:rPr>
        <w:t xml:space="preserve">、 </w:t>
      </w:r>
      <w:r>
        <w:rPr>
          <w:w w:val="105"/>
        </w:rPr>
        <w:t>设备上</w:t>
      </w:r>
      <w:r>
        <w:rPr>
          <w:rFonts w:hint="eastAsia" w:ascii="MS UI Gothic" w:eastAsia="MS UI Gothic"/>
          <w:w w:val="80"/>
        </w:rPr>
        <w:t xml:space="preserve">ꎬ </w:t>
      </w:r>
      <w:r>
        <w:rPr>
          <w:w w:val="105"/>
        </w:rPr>
        <w:t>设置明显的安全警示标志</w:t>
      </w:r>
      <w:r>
        <w:rPr>
          <w:rFonts w:hint="eastAsia" w:ascii="MS UI Gothic" w:eastAsia="MS UI Gothic"/>
          <w:w w:val="80"/>
        </w:rPr>
        <w:t>ꎮ</w:t>
      </w:r>
    </w:p>
    <w:p>
      <w:pPr>
        <w:pStyle w:val="6"/>
        <w:spacing w:line="295" w:lineRule="auto"/>
        <w:ind w:left="381" w:right="126"/>
        <w:rPr>
          <w:rFonts w:hint="eastAsia" w:ascii="MS UI Gothic" w:eastAsia="MS UI Gothic"/>
        </w:rPr>
      </w:pPr>
      <w:r>
        <w:t>第三十三条 安全设备的设计</w:t>
      </w:r>
      <w:r>
        <w:rPr>
          <w:rFonts w:hint="eastAsia" w:ascii="MS UI Gothic" w:eastAsia="MS UI Gothic"/>
        </w:rPr>
        <w:t xml:space="preserve">、 </w:t>
      </w:r>
      <w:r>
        <w:t>制造</w:t>
      </w:r>
      <w:r>
        <w:rPr>
          <w:rFonts w:hint="eastAsia" w:ascii="MS UI Gothic" w:eastAsia="MS UI Gothic"/>
        </w:rPr>
        <w:t xml:space="preserve">、 </w:t>
      </w:r>
      <w:r>
        <w:t>安装</w:t>
      </w:r>
      <w:r>
        <w:rPr>
          <w:rFonts w:hint="eastAsia" w:ascii="MS UI Gothic" w:eastAsia="MS UI Gothic"/>
        </w:rPr>
        <w:t xml:space="preserve">、 </w:t>
      </w:r>
      <w:r>
        <w:t>使用</w:t>
      </w:r>
      <w:r>
        <w:rPr>
          <w:rFonts w:hint="eastAsia" w:ascii="MS UI Gothic" w:eastAsia="MS UI Gothic"/>
        </w:rPr>
        <w:t xml:space="preserve">、 </w:t>
      </w:r>
      <w:r>
        <w:t>检测</w:t>
      </w:r>
      <w:r>
        <w:rPr>
          <w:rFonts w:hint="eastAsia" w:ascii="MS UI Gothic" w:eastAsia="MS UI Gothic"/>
        </w:rPr>
        <w:t xml:space="preserve">、 </w:t>
      </w:r>
      <w:r>
        <w:t>维修</w:t>
      </w:r>
      <w:r>
        <w:rPr>
          <w:rFonts w:hint="eastAsia" w:ascii="MS UI Gothic" w:eastAsia="MS UI Gothic"/>
        </w:rPr>
        <w:t xml:space="preserve">、 </w:t>
      </w:r>
      <w:r>
        <w:t>改造和报废</w:t>
      </w:r>
      <w:r>
        <w:rPr>
          <w:rFonts w:hint="eastAsia" w:ascii="MS UI Gothic" w:eastAsia="MS UI Gothic"/>
          <w:w w:val="80"/>
        </w:rPr>
        <w:t xml:space="preserve">ꎬ </w:t>
      </w:r>
      <w:r>
        <w:t>应当符合国家标准或者行业标准</w:t>
      </w:r>
      <w:r>
        <w:rPr>
          <w:rFonts w:hint="eastAsia" w:ascii="MS UI Gothic" w:eastAsia="MS UI Gothic"/>
          <w:w w:val="80"/>
        </w:rPr>
        <w:t>ꎮ</w:t>
      </w:r>
    </w:p>
    <w:p>
      <w:pPr>
        <w:pStyle w:val="6"/>
        <w:spacing w:line="295" w:lineRule="auto"/>
        <w:ind w:left="381" w:right="124"/>
        <w:rPr>
          <w:rFonts w:hint="eastAsia" w:ascii="MS UI Gothic" w:eastAsia="MS UI Gothic"/>
        </w:rPr>
      </w:pPr>
      <w:r>
        <w:t>生产经营单位必须对安全设备进行经常性维护</w:t>
      </w:r>
      <w:r>
        <w:rPr>
          <w:rFonts w:hint="eastAsia" w:ascii="MS UI Gothic" w:eastAsia="MS UI Gothic"/>
        </w:rPr>
        <w:t xml:space="preserve">、 </w:t>
      </w:r>
      <w:r>
        <w:t>保养</w:t>
      </w:r>
      <w:r>
        <w:rPr>
          <w:rFonts w:hint="eastAsia" w:ascii="MS UI Gothic" w:eastAsia="MS UI Gothic"/>
          <w:w w:val="80"/>
        </w:rPr>
        <w:t xml:space="preserve">ꎬ </w:t>
      </w:r>
      <w:r>
        <w:t>并定期检测</w:t>
      </w:r>
      <w:r>
        <w:rPr>
          <w:rFonts w:hint="eastAsia" w:ascii="MS UI Gothic" w:eastAsia="MS UI Gothic"/>
          <w:w w:val="80"/>
        </w:rPr>
        <w:t xml:space="preserve">ꎬ </w:t>
      </w:r>
      <w:r>
        <w:t>保证正常运转</w:t>
      </w:r>
      <w:r>
        <w:rPr>
          <w:rFonts w:hint="eastAsia" w:ascii="MS UI Gothic" w:eastAsia="MS UI Gothic"/>
          <w:w w:val="80"/>
        </w:rPr>
        <w:t xml:space="preserve">ꎮ </w:t>
      </w:r>
      <w:r>
        <w:t>维护</w:t>
      </w:r>
      <w:r>
        <w:rPr>
          <w:rFonts w:hint="eastAsia" w:ascii="MS UI Gothic" w:eastAsia="MS UI Gothic"/>
        </w:rPr>
        <w:t xml:space="preserve">、 </w:t>
      </w:r>
      <w:r>
        <w:t>保养</w:t>
      </w:r>
      <w:r>
        <w:rPr>
          <w:rFonts w:hint="eastAsia" w:ascii="MS UI Gothic" w:eastAsia="MS UI Gothic"/>
        </w:rPr>
        <w:t xml:space="preserve">、 </w:t>
      </w:r>
      <w:r>
        <w:t>检测应当作好记录</w:t>
      </w:r>
      <w:r>
        <w:rPr>
          <w:rFonts w:hint="eastAsia" w:ascii="MS UI Gothic" w:eastAsia="MS UI Gothic"/>
          <w:w w:val="80"/>
        </w:rPr>
        <w:t>ꎬ</w:t>
      </w:r>
      <w:r>
        <w:t>并由有关人员签字</w:t>
      </w:r>
      <w:r>
        <w:rPr>
          <w:rFonts w:hint="eastAsia" w:ascii="MS UI Gothic" w:eastAsia="MS UI Gothic"/>
          <w:w w:val="80"/>
        </w:rPr>
        <w:t>ꎮ</w:t>
      </w:r>
    </w:p>
    <w:p>
      <w:pPr>
        <w:pStyle w:val="6"/>
        <w:spacing w:line="295" w:lineRule="auto"/>
        <w:ind w:left="381" w:right="126"/>
      </w:pPr>
      <w:r>
        <w:t>第三十四条 生产经营单位使用的危险物品的容器</w:t>
      </w:r>
      <w:r>
        <w:rPr>
          <w:rFonts w:hint="eastAsia" w:ascii="MS UI Gothic" w:eastAsia="MS UI Gothic"/>
          <w:w w:val="80"/>
        </w:rPr>
        <w:t xml:space="preserve">、 </w:t>
      </w:r>
      <w:r>
        <w:t>运输工具</w:t>
      </w:r>
      <w:r>
        <w:rPr>
          <w:rFonts w:hint="eastAsia" w:ascii="MS UI Gothic" w:eastAsia="MS UI Gothic"/>
          <w:w w:val="80"/>
        </w:rPr>
        <w:t xml:space="preserve">ꎬ </w:t>
      </w:r>
      <w:r>
        <w:t>以及涉及人身安全</w:t>
      </w:r>
      <w:r>
        <w:rPr>
          <w:rFonts w:hint="eastAsia" w:ascii="MS UI Gothic" w:eastAsia="MS UI Gothic"/>
          <w:w w:val="80"/>
        </w:rPr>
        <w:t xml:space="preserve">、 </w:t>
      </w:r>
      <w:r>
        <w:t>危险性较大的海洋石油开采特种设备和矿山井下特种设备</w:t>
      </w:r>
      <w:r>
        <w:rPr>
          <w:rFonts w:hint="eastAsia" w:ascii="MS UI Gothic" w:eastAsia="MS UI Gothic"/>
          <w:w w:val="80"/>
        </w:rPr>
        <w:t xml:space="preserve">ꎬ </w:t>
      </w:r>
      <w:r>
        <w:t>必须按照国家有关规定</w:t>
      </w:r>
      <w:r>
        <w:rPr>
          <w:rFonts w:hint="eastAsia" w:ascii="MS UI Gothic" w:eastAsia="MS UI Gothic"/>
          <w:w w:val="80"/>
        </w:rPr>
        <w:t xml:space="preserve">ꎬ </w:t>
      </w:r>
      <w:r>
        <w:t>由专业生产单位生产</w:t>
      </w:r>
      <w:r>
        <w:rPr>
          <w:rFonts w:hint="eastAsia" w:ascii="MS UI Gothic" w:eastAsia="MS UI Gothic"/>
          <w:w w:val="80"/>
        </w:rPr>
        <w:t xml:space="preserve">ꎬ </w:t>
      </w:r>
      <w:r>
        <w:t>并经具有专业资质的检测</w:t>
      </w:r>
      <w:r>
        <w:rPr>
          <w:rFonts w:hint="eastAsia" w:ascii="MS UI Gothic" w:eastAsia="MS UI Gothic"/>
          <w:w w:val="80"/>
        </w:rPr>
        <w:t xml:space="preserve">、 </w:t>
      </w:r>
      <w:r>
        <w:t>检验机构检测</w:t>
      </w:r>
      <w:r>
        <w:rPr>
          <w:rFonts w:hint="eastAsia" w:ascii="MS UI Gothic" w:eastAsia="MS UI Gothic"/>
          <w:w w:val="80"/>
        </w:rPr>
        <w:t xml:space="preserve">、 </w:t>
      </w:r>
      <w:r>
        <w:t>检验合</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５４</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10" o:spid="_x0000_s1210" o:spt="203" style="height:2.15pt;width:398.25pt;" coordsize="7965,43">
            <o:lock v:ext="edit"/>
            <v:line id="_x0000_s1211" o:spid="_x0000_s1211" o:spt="20" style="position:absolute;left:0;top:39;height:0;width:7965;" stroked="t" coordsize="21600,21600">
              <v:path arrowok="t"/>
              <v:fill focussize="0,0"/>
              <v:stroke weight="0.388031496062992pt" color="#231F20"/>
              <v:imagedata o:title=""/>
              <o:lock v:ext="edit"/>
            </v:line>
            <v:line id="_x0000_s1212" o:spid="_x0000_s121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格</w:t>
      </w:r>
      <w:r>
        <w:rPr>
          <w:rFonts w:hint="eastAsia" w:ascii="MS UI Gothic" w:eastAsia="MS UI Gothic"/>
          <w:w w:val="80"/>
        </w:rPr>
        <w:t xml:space="preserve">ꎬ </w:t>
      </w:r>
      <w:r>
        <w:t>取得安全使用证或者安全标志</w:t>
      </w:r>
      <w:r>
        <w:rPr>
          <w:rFonts w:hint="eastAsia" w:ascii="MS UI Gothic" w:eastAsia="MS UI Gothic"/>
          <w:w w:val="80"/>
        </w:rPr>
        <w:t xml:space="preserve">ꎬ </w:t>
      </w:r>
      <w:r>
        <w:t>方可投入使用</w:t>
      </w:r>
      <w:r>
        <w:rPr>
          <w:rFonts w:hint="eastAsia" w:ascii="MS UI Gothic" w:eastAsia="MS UI Gothic"/>
          <w:w w:val="80"/>
        </w:rPr>
        <w:t xml:space="preserve">ꎮ </w:t>
      </w:r>
      <w:r>
        <w:t>检测</w:t>
      </w:r>
      <w:r>
        <w:rPr>
          <w:rFonts w:hint="eastAsia" w:ascii="MS UI Gothic" w:eastAsia="MS UI Gothic"/>
        </w:rPr>
        <w:t xml:space="preserve">、 </w:t>
      </w:r>
      <w:r>
        <w:t>检验机构对检测</w:t>
      </w:r>
      <w:r>
        <w:rPr>
          <w:rFonts w:hint="eastAsia" w:ascii="MS UI Gothic" w:eastAsia="MS UI Gothic"/>
        </w:rPr>
        <w:t xml:space="preserve">、 </w:t>
      </w:r>
      <w:r>
        <w:t>检验结果负责</w:t>
      </w:r>
      <w:r>
        <w:rPr>
          <w:rFonts w:hint="eastAsia" w:ascii="MS UI Gothic" w:eastAsia="MS UI Gothic"/>
          <w:w w:val="80"/>
        </w:rPr>
        <w:t>ꎮ</w:t>
      </w:r>
    </w:p>
    <w:p>
      <w:pPr>
        <w:pStyle w:val="6"/>
        <w:spacing w:line="295" w:lineRule="auto"/>
        <w:ind w:right="39"/>
        <w:rPr>
          <w:rFonts w:hint="eastAsia" w:ascii="MS UI Gothic" w:eastAsia="MS UI Gothic"/>
        </w:rPr>
      </w:pPr>
      <w:r>
        <w:t>第三十五条 国家对严重危及生产安全的工艺</w:t>
      </w:r>
      <w:r>
        <w:rPr>
          <w:rFonts w:hint="eastAsia" w:ascii="MS UI Gothic" w:eastAsia="MS UI Gothic"/>
          <w:w w:val="80"/>
        </w:rPr>
        <w:t xml:space="preserve">、 </w:t>
      </w:r>
      <w:r>
        <w:t>设备实行淘汰制度</w:t>
      </w:r>
      <w:r>
        <w:rPr>
          <w:rFonts w:hint="eastAsia" w:ascii="MS UI Gothic" w:eastAsia="MS UI Gothic"/>
          <w:w w:val="80"/>
        </w:rPr>
        <w:t xml:space="preserve">ꎬ </w:t>
      </w:r>
      <w:r>
        <w:t>具体目录由国务院安全生产监督管理部门会同国务院有关部门制定并公布</w:t>
      </w:r>
      <w:r>
        <w:rPr>
          <w:rFonts w:hint="eastAsia" w:ascii="MS UI Gothic" w:eastAsia="MS UI Gothic"/>
          <w:w w:val="80"/>
        </w:rPr>
        <w:t xml:space="preserve">ꎮ </w:t>
      </w:r>
      <w:r>
        <w:t>法律</w:t>
      </w:r>
      <w:r>
        <w:rPr>
          <w:rFonts w:hint="eastAsia" w:ascii="MS UI Gothic" w:eastAsia="MS UI Gothic"/>
          <w:w w:val="80"/>
        </w:rPr>
        <w:t xml:space="preserve">、 </w:t>
      </w:r>
      <w:r>
        <w:t>行政法规对目录的制定另有规定的</w:t>
      </w:r>
      <w:r>
        <w:rPr>
          <w:rFonts w:hint="eastAsia" w:ascii="MS UI Gothic" w:eastAsia="MS UI Gothic"/>
          <w:w w:val="80"/>
        </w:rPr>
        <w:t xml:space="preserve">ꎬ </w:t>
      </w:r>
      <w:r>
        <w:t>适用其规定</w:t>
      </w:r>
      <w:r>
        <w:rPr>
          <w:rFonts w:hint="eastAsia" w:ascii="MS UI Gothic" w:eastAsia="MS UI Gothic"/>
          <w:w w:val="80"/>
        </w:rPr>
        <w:t>ꎮ</w:t>
      </w:r>
    </w:p>
    <w:p>
      <w:pPr>
        <w:pStyle w:val="6"/>
        <w:spacing w:line="295" w:lineRule="auto"/>
        <w:ind w:right="38"/>
        <w:rPr>
          <w:rFonts w:hint="eastAsia" w:ascii="MS UI Gothic" w:eastAsia="MS UI Gothic"/>
        </w:rPr>
      </w:pPr>
      <w:r>
        <w:t>省</w:t>
      </w:r>
      <w:r>
        <w:rPr>
          <w:rFonts w:hint="eastAsia" w:ascii="MS UI Gothic" w:eastAsia="MS UI Gothic"/>
          <w:w w:val="80"/>
        </w:rPr>
        <w:t xml:space="preserve">、 </w:t>
      </w:r>
      <w:r>
        <w:t>自治区</w:t>
      </w:r>
      <w:r>
        <w:rPr>
          <w:rFonts w:hint="eastAsia" w:ascii="MS UI Gothic" w:eastAsia="MS UI Gothic"/>
          <w:w w:val="80"/>
        </w:rPr>
        <w:t xml:space="preserve">、 </w:t>
      </w:r>
      <w:r>
        <w:t>直辖市人民政府可以根据本地区实际情况制定并公布具体目录</w:t>
      </w:r>
      <w:r>
        <w:rPr>
          <w:rFonts w:hint="eastAsia" w:ascii="MS UI Gothic" w:eastAsia="MS UI Gothic"/>
          <w:w w:val="80"/>
        </w:rPr>
        <w:t>ꎬ</w:t>
      </w:r>
      <w:r>
        <w:t>对前款规定以外的危及生产安全的工艺</w:t>
      </w:r>
      <w:r>
        <w:rPr>
          <w:rFonts w:hint="eastAsia" w:ascii="MS UI Gothic" w:eastAsia="MS UI Gothic"/>
          <w:w w:val="80"/>
        </w:rPr>
        <w:t>、</w:t>
      </w:r>
      <w:r>
        <w:t>设备予以淘汰</w:t>
      </w:r>
      <w:r>
        <w:rPr>
          <w:rFonts w:hint="eastAsia" w:ascii="MS UI Gothic" w:eastAsia="MS UI Gothic"/>
          <w:w w:val="80"/>
        </w:rPr>
        <w:t>ꎮ</w:t>
      </w:r>
    </w:p>
    <w:p>
      <w:pPr>
        <w:pStyle w:val="6"/>
        <w:spacing w:line="295" w:lineRule="auto"/>
        <w:ind w:right="39"/>
        <w:rPr>
          <w:rFonts w:hint="eastAsia" w:ascii="MS UI Gothic" w:eastAsia="MS UI Gothic"/>
        </w:rPr>
      </w:pPr>
      <w:r>
        <w:t>生产经营单位不得使用应当淘汰的危及生产安全的工艺</w:t>
      </w:r>
      <w:r>
        <w:rPr>
          <w:rFonts w:hint="eastAsia" w:ascii="MS UI Gothic" w:eastAsia="MS UI Gothic"/>
          <w:w w:val="80"/>
        </w:rPr>
        <w:t xml:space="preserve">、 </w:t>
      </w:r>
      <w:r>
        <w:t>设备</w:t>
      </w:r>
      <w:r>
        <w:rPr>
          <w:rFonts w:hint="eastAsia" w:ascii="MS UI Gothic" w:eastAsia="MS UI Gothic"/>
          <w:w w:val="80"/>
        </w:rPr>
        <w:t>ꎮ</w:t>
      </w:r>
    </w:p>
    <w:p>
      <w:pPr>
        <w:pStyle w:val="6"/>
        <w:spacing w:line="295" w:lineRule="auto"/>
        <w:ind w:right="39"/>
        <w:rPr>
          <w:rFonts w:hint="eastAsia" w:ascii="MS UI Gothic" w:eastAsia="MS UI Gothic"/>
        </w:rPr>
      </w:pPr>
      <w:r>
        <w:t>第三十六条 生产</w:t>
      </w:r>
      <w:r>
        <w:rPr>
          <w:rFonts w:hint="eastAsia" w:ascii="MS UI Gothic" w:eastAsia="MS UI Gothic"/>
          <w:w w:val="80"/>
        </w:rPr>
        <w:t xml:space="preserve">、 </w:t>
      </w:r>
      <w:r>
        <w:t>经营</w:t>
      </w:r>
      <w:r>
        <w:rPr>
          <w:rFonts w:hint="eastAsia" w:ascii="MS UI Gothic" w:eastAsia="MS UI Gothic"/>
          <w:w w:val="80"/>
        </w:rPr>
        <w:t xml:space="preserve">、  </w:t>
      </w:r>
      <w:r>
        <w:t>运输</w:t>
      </w:r>
      <w:r>
        <w:rPr>
          <w:rFonts w:hint="eastAsia" w:ascii="MS UI Gothic" w:eastAsia="MS UI Gothic"/>
          <w:w w:val="80"/>
        </w:rPr>
        <w:t xml:space="preserve">、  </w:t>
      </w:r>
      <w:r>
        <w:t>储存</w:t>
      </w:r>
      <w:r>
        <w:rPr>
          <w:rFonts w:hint="eastAsia" w:ascii="MS UI Gothic" w:eastAsia="MS UI Gothic"/>
          <w:w w:val="80"/>
        </w:rPr>
        <w:t xml:space="preserve">、 </w:t>
      </w:r>
      <w:r>
        <w:t>使用危险物品或者处置废弃危险物品的</w:t>
      </w:r>
      <w:r>
        <w:rPr>
          <w:rFonts w:hint="eastAsia" w:ascii="MS UI Gothic" w:eastAsia="MS UI Gothic"/>
          <w:w w:val="80"/>
        </w:rPr>
        <w:t xml:space="preserve">ꎬ </w:t>
      </w:r>
      <w:r>
        <w:t>由有关主管部门依照有关法律</w:t>
      </w:r>
      <w:r>
        <w:rPr>
          <w:rFonts w:hint="eastAsia" w:ascii="MS UI Gothic" w:eastAsia="MS UI Gothic"/>
          <w:w w:val="80"/>
        </w:rPr>
        <w:t xml:space="preserve">、 </w:t>
      </w:r>
      <w:r>
        <w:t>法规的规定和国家标准或者行业标准审批并实施监督管理</w:t>
      </w:r>
      <w:r>
        <w:rPr>
          <w:rFonts w:hint="eastAsia" w:ascii="MS UI Gothic" w:eastAsia="MS UI Gothic"/>
          <w:w w:val="80"/>
        </w:rPr>
        <w:t>ꎮ</w:t>
      </w:r>
    </w:p>
    <w:p>
      <w:pPr>
        <w:pStyle w:val="6"/>
        <w:spacing w:line="295" w:lineRule="auto"/>
        <w:ind w:right="39"/>
        <w:rPr>
          <w:rFonts w:hint="eastAsia" w:ascii="MS UI Gothic" w:eastAsia="MS UI Gothic"/>
        </w:rPr>
      </w:pPr>
      <w:r>
        <w:t>生产经营单位生产</w:t>
      </w:r>
      <w:r>
        <w:rPr>
          <w:rFonts w:hint="eastAsia" w:ascii="MS UI Gothic" w:eastAsia="MS UI Gothic"/>
          <w:w w:val="80"/>
        </w:rPr>
        <w:t xml:space="preserve">、 </w:t>
      </w:r>
      <w:r>
        <w:t>经营</w:t>
      </w:r>
      <w:r>
        <w:rPr>
          <w:rFonts w:hint="eastAsia" w:ascii="MS UI Gothic" w:eastAsia="MS UI Gothic"/>
          <w:w w:val="80"/>
        </w:rPr>
        <w:t xml:space="preserve">、 </w:t>
      </w:r>
      <w:r>
        <w:t>运输</w:t>
      </w:r>
      <w:r>
        <w:rPr>
          <w:rFonts w:hint="eastAsia" w:ascii="MS UI Gothic" w:eastAsia="MS UI Gothic"/>
          <w:w w:val="80"/>
        </w:rPr>
        <w:t xml:space="preserve">、 </w:t>
      </w:r>
      <w:r>
        <w:t>储存</w:t>
      </w:r>
      <w:r>
        <w:rPr>
          <w:rFonts w:hint="eastAsia" w:ascii="MS UI Gothic" w:eastAsia="MS UI Gothic"/>
          <w:w w:val="80"/>
        </w:rPr>
        <w:t xml:space="preserve">、 </w:t>
      </w:r>
      <w:r>
        <w:t>使用危险物品或者处置废弃危险物品</w:t>
      </w:r>
      <w:r>
        <w:rPr>
          <w:rFonts w:hint="eastAsia" w:ascii="MS UI Gothic" w:eastAsia="MS UI Gothic"/>
          <w:w w:val="80"/>
        </w:rPr>
        <w:t xml:space="preserve">ꎬ </w:t>
      </w:r>
      <w:r>
        <w:t>必须执行有关法律</w:t>
      </w:r>
      <w:r>
        <w:rPr>
          <w:rFonts w:hint="eastAsia" w:ascii="MS UI Gothic" w:eastAsia="MS UI Gothic"/>
          <w:w w:val="80"/>
        </w:rPr>
        <w:t xml:space="preserve">、 </w:t>
      </w:r>
      <w:r>
        <w:t>法规和国家标准或者行业标准</w:t>
      </w:r>
      <w:r>
        <w:rPr>
          <w:rFonts w:hint="eastAsia" w:ascii="MS UI Gothic" w:eastAsia="MS UI Gothic"/>
          <w:w w:val="80"/>
        </w:rPr>
        <w:t xml:space="preserve">ꎬ </w:t>
      </w:r>
      <w:r>
        <w:t>建立专门的安全管理制度</w:t>
      </w:r>
      <w:r>
        <w:rPr>
          <w:rFonts w:hint="eastAsia" w:ascii="MS UI Gothic" w:eastAsia="MS UI Gothic"/>
          <w:w w:val="80"/>
        </w:rPr>
        <w:t xml:space="preserve">ꎬ </w:t>
      </w:r>
      <w:r>
        <w:t>采取可靠的安全措施</w:t>
      </w:r>
      <w:r>
        <w:rPr>
          <w:rFonts w:hint="eastAsia" w:ascii="MS UI Gothic" w:eastAsia="MS UI Gothic"/>
          <w:w w:val="80"/>
        </w:rPr>
        <w:t xml:space="preserve">ꎬ </w:t>
      </w:r>
      <w:r>
        <w:t>接受有关主管部门依法实施的监督管理</w:t>
      </w:r>
      <w:r>
        <w:rPr>
          <w:rFonts w:hint="eastAsia" w:ascii="MS UI Gothic" w:eastAsia="MS UI Gothic"/>
          <w:w w:val="80"/>
        </w:rPr>
        <w:t>ꎮ</w:t>
      </w:r>
    </w:p>
    <w:p>
      <w:pPr>
        <w:pStyle w:val="6"/>
        <w:spacing w:line="295" w:lineRule="auto"/>
        <w:ind w:right="39"/>
        <w:rPr>
          <w:rFonts w:hint="eastAsia" w:ascii="MS UI Gothic" w:eastAsia="MS UI Gothic"/>
        </w:rPr>
      </w:pPr>
      <w:r>
        <w:t>第三十七条 生产经营单位对重大危险源应当登记建档</w:t>
      </w:r>
      <w:r>
        <w:rPr>
          <w:rFonts w:hint="eastAsia" w:ascii="MS UI Gothic" w:eastAsia="MS UI Gothic"/>
          <w:w w:val="80"/>
        </w:rPr>
        <w:t xml:space="preserve">ꎬ </w:t>
      </w:r>
      <w:r>
        <w:t>进行定期检测</w:t>
      </w:r>
      <w:r>
        <w:rPr>
          <w:rFonts w:hint="eastAsia" w:ascii="MS UI Gothic" w:eastAsia="MS UI Gothic"/>
          <w:w w:val="80"/>
        </w:rPr>
        <w:t xml:space="preserve">、 </w:t>
      </w:r>
      <w:r>
        <w:t>评估</w:t>
      </w:r>
      <w:r>
        <w:rPr>
          <w:rFonts w:hint="eastAsia" w:ascii="MS UI Gothic" w:eastAsia="MS UI Gothic"/>
          <w:w w:val="80"/>
        </w:rPr>
        <w:t xml:space="preserve">、 </w:t>
      </w:r>
      <w:r>
        <w:t>监控</w:t>
      </w:r>
      <w:r>
        <w:rPr>
          <w:rFonts w:hint="eastAsia" w:ascii="MS UI Gothic" w:eastAsia="MS UI Gothic"/>
          <w:w w:val="80"/>
        </w:rPr>
        <w:t xml:space="preserve">ꎬ </w:t>
      </w:r>
      <w:r>
        <w:t>并制定应急预案</w:t>
      </w:r>
      <w:r>
        <w:rPr>
          <w:rFonts w:hint="eastAsia" w:ascii="MS UI Gothic" w:eastAsia="MS UI Gothic"/>
          <w:w w:val="80"/>
        </w:rPr>
        <w:t xml:space="preserve">ꎬ </w:t>
      </w:r>
      <w:r>
        <w:t>告知从业人员和相关人员在紧急情况下应当采取的应急措施</w:t>
      </w:r>
      <w:r>
        <w:rPr>
          <w:rFonts w:hint="eastAsia" w:ascii="MS UI Gothic" w:eastAsia="MS UI Gothic"/>
          <w:w w:val="80"/>
        </w:rPr>
        <w:t>ꎮ</w:t>
      </w:r>
    </w:p>
    <w:p>
      <w:pPr>
        <w:pStyle w:val="6"/>
        <w:spacing w:line="295" w:lineRule="auto"/>
        <w:ind w:right="39"/>
        <w:rPr>
          <w:rFonts w:hint="eastAsia" w:ascii="MS UI Gothic" w:eastAsia="MS UI Gothic"/>
        </w:rPr>
      </w:pPr>
      <w:r>
        <w:t>生产经营单位应当按照国家有关规定</w:t>
      </w:r>
      <w:r>
        <w:rPr>
          <w:w w:val="105"/>
        </w:rPr>
        <w:t>将本单位重大危险源及有关安全措施</w:t>
      </w:r>
      <w:r>
        <w:rPr>
          <w:rFonts w:hint="eastAsia" w:ascii="MS UI Gothic" w:eastAsia="MS UI Gothic"/>
          <w:w w:val="80"/>
        </w:rPr>
        <w:t xml:space="preserve">、 </w:t>
      </w:r>
      <w:r>
        <w:rPr>
          <w:w w:val="105"/>
        </w:rPr>
        <w:t>应</w:t>
      </w:r>
      <w:r>
        <w:t>急措施报有关地方人民政府安全生产监督</w:t>
      </w:r>
      <w:r>
        <w:rPr>
          <w:w w:val="105"/>
        </w:rPr>
        <w:t>管理部门和有关部门备案</w:t>
      </w:r>
      <w:r>
        <w:rPr>
          <w:rFonts w:hint="eastAsia" w:ascii="MS UI Gothic" w:eastAsia="MS UI Gothic"/>
          <w:w w:val="80"/>
        </w:rPr>
        <w:t>ꎮ</w:t>
      </w:r>
    </w:p>
    <w:p>
      <w:pPr>
        <w:pStyle w:val="6"/>
        <w:spacing w:line="295" w:lineRule="auto"/>
        <w:ind w:right="39"/>
        <w:rPr>
          <w:rFonts w:hint="eastAsia" w:ascii="MS UI Gothic" w:eastAsia="MS UI Gothic"/>
        </w:rPr>
      </w:pPr>
      <w:r>
        <w:t>第三十八条 生产经营单位应当建立健全生产安全事故隐患排查治理制度</w:t>
      </w:r>
      <w:r>
        <w:rPr>
          <w:rFonts w:hint="eastAsia" w:ascii="MS UI Gothic" w:eastAsia="MS UI Gothic"/>
          <w:w w:val="80"/>
        </w:rPr>
        <w:t xml:space="preserve">ꎬ </w:t>
      </w:r>
      <w:r>
        <w:t>采取技术</w:t>
      </w:r>
      <w:r>
        <w:rPr>
          <w:rFonts w:hint="eastAsia" w:ascii="MS UI Gothic" w:eastAsia="MS UI Gothic"/>
          <w:w w:val="80"/>
        </w:rPr>
        <w:t xml:space="preserve">、 </w:t>
      </w:r>
      <w:r>
        <w:t>管理措施</w:t>
      </w:r>
      <w:r>
        <w:rPr>
          <w:rFonts w:hint="eastAsia" w:ascii="MS UI Gothic" w:eastAsia="MS UI Gothic"/>
          <w:w w:val="80"/>
        </w:rPr>
        <w:t xml:space="preserve">ꎬ </w:t>
      </w:r>
      <w:r>
        <w:t>及时发现并消除事故隐患</w:t>
      </w:r>
      <w:r>
        <w:rPr>
          <w:rFonts w:hint="eastAsia" w:ascii="MS UI Gothic" w:eastAsia="MS UI Gothic"/>
          <w:w w:val="80"/>
        </w:rPr>
        <w:t xml:space="preserve">ꎮ </w:t>
      </w:r>
      <w:r>
        <w:t>事故隐患排查治理情况应当如实记录</w:t>
      </w:r>
      <w:r>
        <w:rPr>
          <w:rFonts w:hint="eastAsia" w:ascii="MS UI Gothic" w:eastAsia="MS UI Gothic"/>
          <w:w w:val="80"/>
        </w:rPr>
        <w:t xml:space="preserve">ꎬ </w:t>
      </w:r>
      <w:r>
        <w:t>并向从业人员通报</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t>县级以上地方各级人民政府负有安全生产监督管理职责的部门应当建立健全重大事故隐患治理督办制度</w:t>
      </w:r>
      <w:r>
        <w:rPr>
          <w:rFonts w:hint="eastAsia" w:ascii="MS UI Gothic" w:eastAsia="MS UI Gothic"/>
          <w:w w:val="80"/>
        </w:rPr>
        <w:t xml:space="preserve">ꎬ </w:t>
      </w:r>
      <w:r>
        <w:t>督促生产经营</w:t>
      </w:r>
      <w:r>
        <w:rPr>
          <w:w w:val="105"/>
        </w:rPr>
        <w:t>单位消除重大事故隐患</w:t>
      </w:r>
      <w:r>
        <w:rPr>
          <w:rFonts w:hint="eastAsia" w:ascii="MS UI Gothic" w:eastAsia="MS UI Gothic"/>
          <w:w w:val="80"/>
        </w:rPr>
        <w:t>ꎮ</w:t>
      </w:r>
    </w:p>
    <w:p>
      <w:pPr>
        <w:pStyle w:val="6"/>
        <w:spacing w:line="295" w:lineRule="auto"/>
        <w:ind w:right="442"/>
        <w:rPr>
          <w:rFonts w:hint="eastAsia" w:ascii="MS UI Gothic" w:eastAsia="MS UI Gothic"/>
        </w:rPr>
      </w:pPr>
      <w:r>
        <w:t>第三十九条 生产</w:t>
      </w:r>
      <w:r>
        <w:rPr>
          <w:rFonts w:hint="eastAsia" w:ascii="MS UI Gothic" w:eastAsia="MS UI Gothic"/>
          <w:w w:val="80"/>
        </w:rPr>
        <w:t xml:space="preserve">、 </w:t>
      </w:r>
      <w:r>
        <w:t>经营</w:t>
      </w:r>
      <w:r>
        <w:rPr>
          <w:rFonts w:hint="eastAsia" w:ascii="MS UI Gothic" w:eastAsia="MS UI Gothic"/>
          <w:w w:val="80"/>
        </w:rPr>
        <w:t xml:space="preserve">、  </w:t>
      </w:r>
      <w:r>
        <w:t>储存</w:t>
      </w:r>
      <w:r>
        <w:rPr>
          <w:rFonts w:hint="eastAsia" w:ascii="MS UI Gothic" w:eastAsia="MS UI Gothic"/>
          <w:w w:val="80"/>
        </w:rPr>
        <w:t xml:space="preserve">、  </w:t>
      </w:r>
      <w:r>
        <w:t>使用危险物品的车间</w:t>
      </w:r>
      <w:r>
        <w:rPr>
          <w:rFonts w:hint="eastAsia" w:ascii="MS UI Gothic" w:eastAsia="MS UI Gothic"/>
          <w:w w:val="80"/>
        </w:rPr>
        <w:t xml:space="preserve">、 </w:t>
      </w:r>
      <w:r>
        <w:t>商店</w:t>
      </w:r>
      <w:r>
        <w:rPr>
          <w:rFonts w:hint="eastAsia" w:ascii="MS UI Gothic" w:eastAsia="MS UI Gothic"/>
          <w:w w:val="80"/>
        </w:rPr>
        <w:t xml:space="preserve">、 </w:t>
      </w:r>
      <w:r>
        <w:t>仓库不得与员工宿舍在同一座建筑物内</w:t>
      </w:r>
      <w:r>
        <w:rPr>
          <w:rFonts w:hint="eastAsia" w:ascii="MS UI Gothic" w:eastAsia="MS UI Gothic"/>
          <w:w w:val="80"/>
        </w:rPr>
        <w:t xml:space="preserve">ꎬ </w:t>
      </w:r>
      <w:r>
        <w:t>并应当与员工宿舍保持安全距离</w:t>
      </w:r>
      <w:r>
        <w:rPr>
          <w:rFonts w:hint="eastAsia" w:ascii="MS UI Gothic" w:eastAsia="MS UI Gothic"/>
          <w:w w:val="80"/>
        </w:rPr>
        <w:t>ꎮ</w:t>
      </w:r>
    </w:p>
    <w:p>
      <w:pPr>
        <w:pStyle w:val="6"/>
        <w:spacing w:line="295" w:lineRule="auto"/>
        <w:ind w:right="442"/>
        <w:rPr>
          <w:rFonts w:hint="eastAsia" w:ascii="MS UI Gothic" w:eastAsia="MS UI Gothic"/>
        </w:rPr>
      </w:pPr>
      <w:r>
        <w:t>生产经营场所和员工宿舍应当设有符合紧急疏散要求</w:t>
      </w:r>
      <w:r>
        <w:rPr>
          <w:rFonts w:hint="eastAsia" w:ascii="MS UI Gothic" w:eastAsia="MS UI Gothic"/>
          <w:w w:val="80"/>
        </w:rPr>
        <w:t xml:space="preserve">、 </w:t>
      </w:r>
      <w:r>
        <w:t>标志明显</w:t>
      </w:r>
      <w:r>
        <w:rPr>
          <w:rFonts w:hint="eastAsia" w:ascii="MS UI Gothic" w:eastAsia="MS UI Gothic"/>
          <w:w w:val="80"/>
        </w:rPr>
        <w:t xml:space="preserve">、 </w:t>
      </w:r>
      <w:r>
        <w:t>保持畅通的出口</w:t>
      </w:r>
      <w:r>
        <w:rPr>
          <w:rFonts w:hint="eastAsia" w:ascii="MS UI Gothic" w:eastAsia="MS UI Gothic"/>
          <w:w w:val="80"/>
        </w:rPr>
        <w:t xml:space="preserve">ꎮ </w:t>
      </w:r>
      <w:r>
        <w:t>禁止锁闭</w:t>
      </w:r>
      <w:r>
        <w:rPr>
          <w:rFonts w:hint="eastAsia" w:ascii="MS UI Gothic" w:eastAsia="MS UI Gothic"/>
          <w:w w:val="80"/>
        </w:rPr>
        <w:t xml:space="preserve">、 </w:t>
      </w:r>
      <w:r>
        <w:t>封堵生产经营场所或者员工宿舍的出口</w:t>
      </w:r>
      <w:r>
        <w:rPr>
          <w:rFonts w:hint="eastAsia" w:ascii="MS UI Gothic" w:eastAsia="MS UI Gothic"/>
          <w:w w:val="80"/>
        </w:rPr>
        <w:t>ꎮ</w:t>
      </w:r>
    </w:p>
    <w:p>
      <w:pPr>
        <w:pStyle w:val="6"/>
        <w:spacing w:line="295" w:lineRule="auto"/>
        <w:ind w:right="440"/>
        <w:rPr>
          <w:rFonts w:hint="eastAsia" w:ascii="MS UI Gothic" w:eastAsia="MS UI Gothic"/>
        </w:rPr>
      </w:pPr>
      <w:r>
        <w:rPr>
          <w:spacing w:val="12"/>
          <w:w w:val="105"/>
        </w:rPr>
        <w:t>第四十条 生产经营单位进行爆破</w:t>
      </w:r>
      <w:r>
        <w:rPr>
          <w:rFonts w:hint="eastAsia" w:ascii="MS UI Gothic" w:eastAsia="MS UI Gothic"/>
          <w:w w:val="80"/>
        </w:rPr>
        <w:t>、</w:t>
      </w:r>
      <w:r>
        <w:rPr>
          <w:spacing w:val="2"/>
        </w:rPr>
        <w:t>吊装以及国务院安全生产监督管理部门会</w:t>
      </w:r>
      <w:r>
        <w:rPr>
          <w:spacing w:val="4"/>
        </w:rPr>
        <w:t>同国务院有关部门规定的其他危险作业</w:t>
      </w:r>
      <w:r>
        <w:rPr>
          <w:rFonts w:hint="eastAsia" w:ascii="MS UI Gothic" w:eastAsia="MS UI Gothic"/>
          <w:w w:val="80"/>
        </w:rPr>
        <w:t>ꎬ</w:t>
      </w:r>
      <w:r>
        <w:rPr>
          <w:spacing w:val="3"/>
        </w:rPr>
        <w:t>应当安排专门人员进行现场安全管理</w:t>
      </w:r>
      <w:r>
        <w:rPr>
          <w:rFonts w:hint="eastAsia" w:ascii="MS UI Gothic" w:eastAsia="MS UI Gothic"/>
          <w:spacing w:val="19"/>
          <w:w w:val="80"/>
        </w:rPr>
        <w:t xml:space="preserve">ꎬ </w:t>
      </w:r>
      <w:r>
        <w:t>确</w:t>
      </w:r>
      <w:r>
        <w:rPr>
          <w:spacing w:val="3"/>
          <w:w w:val="105"/>
        </w:rPr>
        <w:t>保操作规程的遵守和安全措施的落实</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第四十一条 生产经营单位应当教育</w:t>
      </w:r>
      <w:r>
        <w:rPr>
          <w:spacing w:val="2"/>
        </w:rPr>
        <w:t>和督促从业人员严格执行本单位的安全生</w:t>
      </w:r>
      <w:r>
        <w:rPr>
          <w:spacing w:val="3"/>
        </w:rPr>
        <w:t>产规章制度和安全操作规程</w:t>
      </w:r>
      <w:r>
        <w:rPr>
          <w:rFonts w:hint="eastAsia" w:ascii="MS UI Gothic" w:eastAsia="MS UI Gothic"/>
          <w:spacing w:val="20"/>
          <w:w w:val="80"/>
        </w:rPr>
        <w:t xml:space="preserve">ꎻ </w:t>
      </w:r>
      <w:r>
        <w:rPr>
          <w:spacing w:val="2"/>
        </w:rPr>
        <w:t>并向从业人员如实告知作业场所和工作岗位存在的危</w:t>
      </w:r>
      <w:r>
        <w:rPr>
          <w:spacing w:val="3"/>
          <w:w w:val="105"/>
        </w:rPr>
        <w:t>险因素</w:t>
      </w:r>
      <w:r>
        <w:rPr>
          <w:rFonts w:hint="eastAsia" w:ascii="MS UI Gothic" w:eastAsia="MS UI Gothic"/>
          <w:spacing w:val="13"/>
          <w:w w:val="80"/>
        </w:rPr>
        <w:t xml:space="preserve">、 </w:t>
      </w:r>
      <w:r>
        <w:rPr>
          <w:spacing w:val="3"/>
          <w:w w:val="105"/>
        </w:rPr>
        <w:t>防范措施以及事故应急措施</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第四十二条 生产经营单位必须为从</w:t>
      </w:r>
      <w:r>
        <w:t>业人员提供符合国家标准或者行业标准的</w:t>
      </w:r>
      <w:r>
        <w:rPr>
          <w:w w:val="105"/>
        </w:rPr>
        <w:t>劳动防护用品</w:t>
      </w:r>
      <w:r>
        <w:rPr>
          <w:rFonts w:hint="eastAsia" w:ascii="MS UI Gothic" w:eastAsia="MS UI Gothic"/>
          <w:w w:val="80"/>
        </w:rPr>
        <w:t xml:space="preserve">ꎬ </w:t>
      </w:r>
      <w:r>
        <w:rPr>
          <w:w w:val="105"/>
        </w:rPr>
        <w:t>并监督</w:t>
      </w:r>
      <w:r>
        <w:rPr>
          <w:rFonts w:hint="eastAsia" w:ascii="MS UI Gothic" w:eastAsia="MS UI Gothic"/>
          <w:w w:val="80"/>
        </w:rPr>
        <w:t xml:space="preserve">、 </w:t>
      </w:r>
      <w:r>
        <w:rPr>
          <w:w w:val="105"/>
        </w:rPr>
        <w:t>教育从业人员按照使用规则佩戴</w:t>
      </w:r>
      <w:r>
        <w:rPr>
          <w:rFonts w:hint="eastAsia" w:ascii="MS UI Gothic" w:eastAsia="MS UI Gothic"/>
          <w:w w:val="80"/>
        </w:rPr>
        <w:t xml:space="preserve">、 </w:t>
      </w:r>
      <w:r>
        <w:rPr>
          <w:w w:val="105"/>
        </w:rPr>
        <w:t>使用</w:t>
      </w:r>
      <w:r>
        <w:rPr>
          <w:rFonts w:hint="eastAsia" w:ascii="MS UI Gothic" w:eastAsia="MS UI Gothic"/>
          <w:w w:val="80"/>
        </w:rPr>
        <w:t>ꎮ</w:t>
      </w:r>
    </w:p>
    <w:p>
      <w:pPr>
        <w:pStyle w:val="6"/>
        <w:spacing w:line="295" w:lineRule="auto"/>
        <w:ind w:right="440"/>
        <w:rPr>
          <w:rFonts w:hint="eastAsia" w:ascii="MS UI Gothic" w:eastAsia="MS UI Gothic"/>
        </w:rPr>
      </w:pPr>
      <w:r>
        <w:t>第四十三条 生产经营单位的安全生产管理人员应当根据本单位的生产经营特点</w:t>
      </w:r>
      <w:r>
        <w:rPr>
          <w:rFonts w:hint="eastAsia" w:ascii="MS UI Gothic" w:eastAsia="MS UI Gothic"/>
          <w:w w:val="80"/>
        </w:rPr>
        <w:t xml:space="preserve">ꎬ </w:t>
      </w:r>
      <w:r>
        <w:t>对安全生产状况进行经常性检查</w:t>
      </w:r>
      <w:r>
        <w:rPr>
          <w:rFonts w:hint="eastAsia" w:ascii="MS UI Gothic" w:eastAsia="MS UI Gothic"/>
          <w:w w:val="80"/>
        </w:rPr>
        <w:t xml:space="preserve">ꎻ </w:t>
      </w:r>
      <w:r>
        <w:t>对检查中发现的安全问题</w:t>
      </w:r>
      <w:r>
        <w:rPr>
          <w:rFonts w:hint="eastAsia" w:ascii="MS UI Gothic" w:eastAsia="MS UI Gothic"/>
          <w:w w:val="80"/>
        </w:rPr>
        <w:t xml:space="preserve">ꎬ </w:t>
      </w:r>
      <w:r>
        <w:t>应当立即处理</w:t>
      </w:r>
      <w:r>
        <w:rPr>
          <w:rFonts w:hint="eastAsia" w:ascii="MS UI Gothic" w:eastAsia="MS UI Gothic"/>
          <w:w w:val="80"/>
        </w:rPr>
        <w:t>ꎻ</w:t>
      </w:r>
      <w:r>
        <w:t>不能处理的</w:t>
      </w:r>
      <w:r>
        <w:rPr>
          <w:rFonts w:hint="eastAsia" w:ascii="MS UI Gothic" w:eastAsia="MS UI Gothic"/>
          <w:w w:val="80"/>
        </w:rPr>
        <w:t xml:space="preserve">ꎬ </w:t>
      </w:r>
      <w:r>
        <w:t>应当及时报告本单位有关负责人</w:t>
      </w:r>
      <w:r>
        <w:rPr>
          <w:rFonts w:hint="eastAsia" w:ascii="MS UI Gothic" w:eastAsia="MS UI Gothic"/>
          <w:w w:val="80"/>
        </w:rPr>
        <w:t xml:space="preserve">ꎬ </w:t>
      </w:r>
      <w:r>
        <w:t>有关负责人应当及时处理</w:t>
      </w:r>
      <w:r>
        <w:rPr>
          <w:rFonts w:hint="eastAsia" w:ascii="MS UI Gothic" w:eastAsia="MS UI Gothic"/>
          <w:w w:val="80"/>
        </w:rPr>
        <w:t xml:space="preserve">ꎮ </w:t>
      </w:r>
      <w:r>
        <w:t>检查及处理情况应当如实记录在案</w:t>
      </w:r>
      <w:r>
        <w:rPr>
          <w:rFonts w:hint="eastAsia" w:ascii="MS UI Gothic" w:eastAsia="MS UI Gothic"/>
          <w:w w:val="80"/>
        </w:rPr>
        <w:t>ꎮ</w:t>
      </w:r>
    </w:p>
    <w:p>
      <w:pPr>
        <w:pStyle w:val="6"/>
        <w:spacing w:line="295" w:lineRule="auto"/>
        <w:ind w:right="442"/>
        <w:rPr>
          <w:rFonts w:hint="eastAsia" w:ascii="MS UI Gothic" w:eastAsia="MS UI Gothic"/>
        </w:rPr>
      </w:pPr>
      <w:r>
        <w:t>生产经营单位的安全生产管理人员在检查中发现重大事故隐患</w:t>
      </w:r>
      <w:r>
        <w:rPr>
          <w:rFonts w:hint="eastAsia" w:ascii="MS UI Gothic" w:eastAsia="MS UI Gothic"/>
          <w:w w:val="80"/>
        </w:rPr>
        <w:t xml:space="preserve">ꎬ </w:t>
      </w:r>
      <w:r>
        <w:t>依照前款规定向本单位有关负责人报告</w:t>
      </w:r>
      <w:r>
        <w:rPr>
          <w:rFonts w:hint="eastAsia" w:ascii="MS UI Gothic" w:eastAsia="MS UI Gothic"/>
          <w:w w:val="80"/>
        </w:rPr>
        <w:t xml:space="preserve">ꎬ </w:t>
      </w:r>
      <w:r>
        <w:t>有关负责人不及时处理的</w:t>
      </w:r>
      <w:r>
        <w:rPr>
          <w:rFonts w:hint="eastAsia" w:ascii="MS UI Gothic" w:eastAsia="MS UI Gothic"/>
          <w:w w:val="80"/>
        </w:rPr>
        <w:t xml:space="preserve">ꎬ </w:t>
      </w:r>
      <w:r>
        <w:t>安全生产管理人员可以向主管的负有安全生产监督管理职责的部门报告</w:t>
      </w:r>
      <w:r>
        <w:rPr>
          <w:rFonts w:hint="eastAsia" w:ascii="MS UI Gothic" w:eastAsia="MS UI Gothic"/>
          <w:w w:val="80"/>
        </w:rPr>
        <w:t xml:space="preserve">ꎬ </w:t>
      </w:r>
      <w:r>
        <w:t>接到报告的部门应当依法及时处理</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５５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13" o:spid="_x0000_s1213" o:spt="203" style="height:2.15pt;width:398.25pt;" coordsize="7965,43">
            <o:lock v:ext="edit"/>
            <v:line id="_x0000_s1214" o:spid="_x0000_s1214" o:spt="20" style="position:absolute;left:0;top:39;height:0;width:7965;" stroked="t" coordsize="21600,21600">
              <v:path arrowok="t"/>
              <v:fill focussize="0,0"/>
              <v:stroke weight="0.388031496062992pt" color="#231F20"/>
              <v:imagedata o:title=""/>
              <o:lock v:ext="edit"/>
            </v:line>
            <v:line id="_x0000_s1215" o:spid="_x0000_s121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w w:val="105"/>
        </w:rPr>
        <w:t>第四十四条 生产经营单位应当安排用于配备劳动防护用品</w:t>
      </w:r>
      <w:r>
        <w:rPr>
          <w:rFonts w:hint="eastAsia" w:ascii="MS UI Gothic" w:eastAsia="MS UI Gothic"/>
          <w:w w:val="80"/>
        </w:rPr>
        <w:t xml:space="preserve">、 </w:t>
      </w:r>
      <w:r>
        <w:rPr>
          <w:w w:val="105"/>
        </w:rPr>
        <w:t>进行安全生产培训的经费</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第四十五条 两个以上生产经营单位</w:t>
      </w:r>
      <w:r>
        <w:t>在同一作业区域内进行生产经营活动</w:t>
      </w:r>
      <w:r>
        <w:rPr>
          <w:rFonts w:hint="eastAsia" w:ascii="MS UI Gothic" w:eastAsia="MS UI Gothic"/>
          <w:w w:val="80"/>
        </w:rPr>
        <w:t xml:space="preserve">ꎬ </w:t>
      </w:r>
      <w:r>
        <w:t>可能危及对方生产安全的</w:t>
      </w:r>
      <w:r>
        <w:rPr>
          <w:rFonts w:hint="eastAsia" w:ascii="MS UI Gothic" w:eastAsia="MS UI Gothic"/>
          <w:w w:val="80"/>
        </w:rPr>
        <w:t xml:space="preserve">ꎬ </w:t>
      </w:r>
      <w:r>
        <w:t>应当签订安全生产管理协议</w:t>
      </w:r>
      <w:r>
        <w:rPr>
          <w:rFonts w:hint="eastAsia" w:ascii="MS UI Gothic" w:eastAsia="MS UI Gothic"/>
          <w:w w:val="80"/>
        </w:rPr>
        <w:t xml:space="preserve">ꎬ </w:t>
      </w:r>
      <w:r>
        <w:t>明确各自的安全生产管理职责和应当采取的安全措施</w:t>
      </w:r>
      <w:r>
        <w:rPr>
          <w:rFonts w:hint="eastAsia" w:ascii="MS UI Gothic" w:eastAsia="MS UI Gothic"/>
          <w:w w:val="80"/>
        </w:rPr>
        <w:t xml:space="preserve">ꎬ </w:t>
      </w:r>
      <w:r>
        <w:t>并指定专职安</w:t>
      </w:r>
      <w:r>
        <w:rPr>
          <w:w w:val="105"/>
        </w:rPr>
        <w:t>全生产管理人员进行安全检查与协调</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第四十六条 生产经营单位不得将生产经营项目</w:t>
      </w:r>
      <w:r>
        <w:rPr>
          <w:rFonts w:hint="eastAsia" w:ascii="MS UI Gothic" w:eastAsia="MS UI Gothic"/>
          <w:w w:val="80"/>
        </w:rPr>
        <w:t xml:space="preserve">、 </w:t>
      </w:r>
      <w:r>
        <w:rPr>
          <w:w w:val="105"/>
        </w:rPr>
        <w:t>场所</w:t>
      </w:r>
      <w:r>
        <w:rPr>
          <w:rFonts w:hint="eastAsia" w:ascii="MS UI Gothic" w:eastAsia="MS UI Gothic"/>
          <w:w w:val="80"/>
        </w:rPr>
        <w:t xml:space="preserve">、 </w:t>
      </w:r>
      <w:r>
        <w:rPr>
          <w:w w:val="105"/>
        </w:rPr>
        <w:t>设备发包或者出租给</w:t>
      </w:r>
      <w:r>
        <w:t>不具备安全生产条件或者相应资质的单位</w:t>
      </w:r>
      <w:r>
        <w:rPr>
          <w:w w:val="105"/>
        </w:rPr>
        <w:t>或者个人</w:t>
      </w:r>
      <w:r>
        <w:rPr>
          <w:rFonts w:hint="eastAsia" w:ascii="MS UI Gothic" w:eastAsia="MS UI Gothic"/>
          <w:w w:val="80"/>
        </w:rPr>
        <w:t>ꎮ</w:t>
      </w:r>
    </w:p>
    <w:p>
      <w:pPr>
        <w:pStyle w:val="6"/>
        <w:spacing w:line="295" w:lineRule="auto"/>
        <w:ind w:left="440" w:right="1"/>
        <w:rPr>
          <w:rFonts w:hint="eastAsia" w:ascii="MS UI Gothic" w:eastAsia="MS UI Gothic"/>
        </w:rPr>
      </w:pPr>
      <w:r>
        <w:t>生产经营项目</w:t>
      </w:r>
      <w:r>
        <w:rPr>
          <w:rFonts w:hint="eastAsia" w:ascii="MS UI Gothic" w:eastAsia="MS UI Gothic"/>
          <w:w w:val="80"/>
        </w:rPr>
        <w:t xml:space="preserve">、 </w:t>
      </w:r>
      <w:r>
        <w:t>场所发包或者出租给其他单位的</w:t>
      </w:r>
      <w:r>
        <w:rPr>
          <w:rFonts w:hint="eastAsia" w:ascii="MS UI Gothic" w:eastAsia="MS UI Gothic"/>
          <w:w w:val="80"/>
        </w:rPr>
        <w:t xml:space="preserve">ꎬ </w:t>
      </w:r>
      <w:r>
        <w:t>生产经营单位应当与承包单位</w:t>
      </w:r>
      <w:r>
        <w:rPr>
          <w:rFonts w:hint="eastAsia" w:ascii="MS UI Gothic" w:eastAsia="MS UI Gothic"/>
          <w:w w:val="80"/>
        </w:rPr>
        <w:t xml:space="preserve">、 </w:t>
      </w:r>
      <w:r>
        <w:t>承租单位签订专门的安全生产管理协议</w:t>
      </w:r>
      <w:r>
        <w:rPr>
          <w:rFonts w:hint="eastAsia" w:ascii="MS UI Gothic" w:eastAsia="MS UI Gothic"/>
          <w:w w:val="80"/>
        </w:rPr>
        <w:t xml:space="preserve">ꎬ </w:t>
      </w:r>
      <w:r>
        <w:t>或者在承包合同</w:t>
      </w:r>
      <w:r>
        <w:rPr>
          <w:rFonts w:hint="eastAsia" w:ascii="MS UI Gothic" w:eastAsia="MS UI Gothic"/>
          <w:w w:val="80"/>
        </w:rPr>
        <w:t xml:space="preserve">、 </w:t>
      </w:r>
      <w:r>
        <w:t>租赁合同中约定各自的安全生产管理职责</w:t>
      </w:r>
      <w:r>
        <w:rPr>
          <w:rFonts w:hint="eastAsia" w:ascii="MS UI Gothic" w:eastAsia="MS UI Gothic"/>
          <w:w w:val="80"/>
        </w:rPr>
        <w:t xml:space="preserve">ꎻ </w:t>
      </w:r>
      <w:r>
        <w:t>生产经营单位对承包单位</w:t>
      </w:r>
      <w:r>
        <w:rPr>
          <w:rFonts w:hint="eastAsia" w:ascii="MS UI Gothic" w:eastAsia="MS UI Gothic"/>
          <w:w w:val="80"/>
        </w:rPr>
        <w:t xml:space="preserve">、 </w:t>
      </w:r>
      <w:r>
        <w:t>承租单位的安全生产工作统一协调</w:t>
      </w:r>
      <w:r>
        <w:rPr>
          <w:rFonts w:hint="eastAsia" w:ascii="MS UI Gothic" w:eastAsia="MS UI Gothic"/>
          <w:w w:val="80"/>
        </w:rPr>
        <w:t xml:space="preserve">、 </w:t>
      </w:r>
      <w:r>
        <w:t>管理</w:t>
      </w:r>
      <w:r>
        <w:rPr>
          <w:rFonts w:hint="eastAsia" w:ascii="MS UI Gothic" w:eastAsia="MS UI Gothic"/>
          <w:w w:val="80"/>
        </w:rPr>
        <w:t xml:space="preserve">ꎬ </w:t>
      </w:r>
      <w:r>
        <w:t>定期进行安全检查</w:t>
      </w:r>
      <w:r>
        <w:rPr>
          <w:rFonts w:hint="eastAsia" w:ascii="MS UI Gothic" w:eastAsia="MS UI Gothic"/>
          <w:w w:val="80"/>
        </w:rPr>
        <w:t xml:space="preserve">ꎬ </w:t>
      </w:r>
      <w:r>
        <w:t>发现安全问题的</w:t>
      </w:r>
      <w:r>
        <w:rPr>
          <w:rFonts w:hint="eastAsia" w:ascii="MS UI Gothic" w:eastAsia="MS UI Gothic"/>
          <w:w w:val="80"/>
        </w:rPr>
        <w:t xml:space="preserve">ꎬ </w:t>
      </w:r>
      <w:r>
        <w:t>应当及时督促整改</w:t>
      </w:r>
      <w:r>
        <w:rPr>
          <w:rFonts w:hint="eastAsia" w:ascii="MS UI Gothic" w:eastAsia="MS UI Gothic"/>
          <w:w w:val="80"/>
        </w:rPr>
        <w:t>ꎮ</w:t>
      </w:r>
    </w:p>
    <w:p>
      <w:pPr>
        <w:pStyle w:val="6"/>
        <w:spacing w:line="295" w:lineRule="auto"/>
        <w:ind w:left="440" w:right="1"/>
        <w:rPr>
          <w:rFonts w:hint="eastAsia" w:ascii="MS UI Gothic" w:eastAsia="MS UI Gothic"/>
        </w:rPr>
      </w:pPr>
      <w:r>
        <w:t>第四十七条 生产经营单位发生生产安全事故时</w:t>
      </w:r>
      <w:r>
        <w:rPr>
          <w:rFonts w:hint="eastAsia" w:ascii="MS UI Gothic" w:eastAsia="MS UI Gothic"/>
          <w:w w:val="80"/>
        </w:rPr>
        <w:t xml:space="preserve">ꎬ </w:t>
      </w:r>
      <w:r>
        <w:t>单位的主要负责人应当立即组织抢救</w:t>
      </w:r>
      <w:r>
        <w:rPr>
          <w:rFonts w:hint="eastAsia" w:ascii="MS UI Gothic" w:eastAsia="MS UI Gothic"/>
          <w:w w:val="80"/>
        </w:rPr>
        <w:t xml:space="preserve">ꎬ </w:t>
      </w:r>
      <w:r>
        <w:t>并不得在事故调查处理期间擅离职守</w:t>
      </w:r>
      <w:r>
        <w:rPr>
          <w:rFonts w:hint="eastAsia" w:ascii="MS UI Gothic" w:eastAsia="MS UI Gothic"/>
          <w:w w:val="80"/>
        </w:rPr>
        <w:t>ꎮ</w:t>
      </w:r>
    </w:p>
    <w:p>
      <w:pPr>
        <w:pStyle w:val="6"/>
        <w:spacing w:line="295" w:lineRule="auto"/>
        <w:ind w:left="440" w:right="1"/>
        <w:rPr>
          <w:rFonts w:hint="eastAsia" w:ascii="MS UI Gothic" w:eastAsia="MS UI Gothic"/>
        </w:rPr>
      </w:pPr>
      <w:r>
        <w:t>第四十八条 生产经营单位必须依法参加工伤保险</w:t>
      </w:r>
      <w:r>
        <w:rPr>
          <w:rFonts w:hint="eastAsia" w:ascii="MS UI Gothic" w:eastAsia="MS UI Gothic"/>
          <w:w w:val="80"/>
        </w:rPr>
        <w:t xml:space="preserve">ꎬ </w:t>
      </w:r>
      <w:r>
        <w:t>为从业人员缴纳保险费</w:t>
      </w:r>
      <w:r>
        <w:rPr>
          <w:rFonts w:hint="eastAsia" w:ascii="MS UI Gothic" w:eastAsia="MS UI Gothic"/>
          <w:w w:val="80"/>
        </w:rPr>
        <w:t>ꎮ</w:t>
      </w:r>
    </w:p>
    <w:p>
      <w:pPr>
        <w:pStyle w:val="6"/>
        <w:spacing w:line="295" w:lineRule="auto"/>
        <w:ind w:left="440" w:right="1"/>
        <w:jc w:val="left"/>
        <w:rPr>
          <w:rFonts w:hint="eastAsia" w:ascii="MS UI Gothic" w:eastAsia="MS UI Gothic"/>
        </w:rPr>
      </w:pPr>
      <w:r>
        <w:t>国家鼓励生产经营单位投保安全生产</w:t>
      </w:r>
      <w:r>
        <w:rPr>
          <w:w w:val="105"/>
        </w:rPr>
        <w:t>责任保险</w:t>
      </w:r>
      <w:r>
        <w:rPr>
          <w:rFonts w:hint="eastAsia" w:ascii="MS UI Gothic" w:eastAsia="MS UI Gothic"/>
          <w:w w:val="80"/>
        </w:rPr>
        <w:t>ꎮ</w:t>
      </w:r>
    </w:p>
    <w:p>
      <w:pPr>
        <w:pStyle w:val="6"/>
        <w:tabs>
          <w:tab w:val="left" w:pos="1384"/>
        </w:tabs>
        <w:spacing w:before="134"/>
        <w:ind w:left="545" w:firstLine="0"/>
        <w:jc w:val="left"/>
      </w:pPr>
      <w:r>
        <w:rPr>
          <w:spacing w:val="3"/>
          <w:w w:val="105"/>
        </w:rPr>
        <w:t>第三</w:t>
      </w:r>
      <w:r>
        <w:rPr>
          <w:w w:val="105"/>
        </w:rPr>
        <w:t>章</w:t>
      </w:r>
      <w:r>
        <w:rPr>
          <w:w w:val="105"/>
        </w:rPr>
        <w:tab/>
      </w:r>
      <w:r>
        <w:rPr>
          <w:spacing w:val="3"/>
          <w:w w:val="105"/>
        </w:rPr>
        <w:t>从业人员的安全生产权利义</w:t>
      </w:r>
      <w:r>
        <w:rPr>
          <w:w w:val="105"/>
        </w:rPr>
        <w:t>务</w:t>
      </w:r>
    </w:p>
    <w:p>
      <w:pPr>
        <w:pStyle w:val="6"/>
        <w:spacing w:before="215" w:line="295" w:lineRule="auto"/>
        <w:ind w:left="440"/>
        <w:rPr>
          <w:rFonts w:hint="eastAsia" w:ascii="MS UI Gothic" w:eastAsia="MS UI Gothic"/>
        </w:rPr>
      </w:pPr>
      <w:r>
        <w:rPr>
          <w:w w:val="105"/>
        </w:rPr>
        <w:t>第四十九条 生产经营单位与从业人</w:t>
      </w:r>
      <w:r>
        <w:t>员订立的劳动合同</w:t>
      </w:r>
      <w:r>
        <w:rPr>
          <w:rFonts w:hint="eastAsia" w:ascii="MS UI Gothic" w:eastAsia="MS UI Gothic"/>
          <w:w w:val="80"/>
        </w:rPr>
        <w:t xml:space="preserve">ꎬ </w:t>
      </w:r>
      <w:r>
        <w:t>应当载明有关保障从业人员劳动安全</w:t>
      </w:r>
      <w:r>
        <w:rPr>
          <w:rFonts w:hint="eastAsia" w:ascii="MS UI Gothic" w:eastAsia="MS UI Gothic"/>
          <w:w w:val="80"/>
        </w:rPr>
        <w:t xml:space="preserve">、 </w:t>
      </w:r>
      <w:r>
        <w:t>防止职业危害的事项</w:t>
      </w:r>
      <w:r>
        <w:rPr>
          <w:rFonts w:hint="eastAsia" w:ascii="MS UI Gothic" w:eastAsia="MS UI Gothic"/>
          <w:w w:val="80"/>
        </w:rPr>
        <w:t>ꎬ</w:t>
      </w:r>
      <w:r>
        <w:t>以及依法为从业人员办理工伤保险的</w:t>
      </w:r>
      <w:r>
        <w:rPr>
          <w:w w:val="105"/>
        </w:rPr>
        <w:t>事项</w:t>
      </w:r>
      <w:r>
        <w:rPr>
          <w:rFonts w:hint="eastAsia" w:ascii="MS UI Gothic" w:eastAsia="MS UI Gothic"/>
          <w:w w:val="80"/>
        </w:rPr>
        <w:t>ꎮ</w:t>
      </w:r>
    </w:p>
    <w:p>
      <w:pPr>
        <w:pStyle w:val="6"/>
        <w:spacing w:line="295" w:lineRule="auto"/>
        <w:ind w:left="440" w:right="1"/>
      </w:pPr>
      <w:r>
        <w:t>生产经营单位不得以任何形式与从业人员订立协议</w:t>
      </w:r>
      <w:r>
        <w:rPr>
          <w:rFonts w:hint="eastAsia" w:ascii="MS UI Gothic" w:eastAsia="MS UI Gothic"/>
          <w:w w:val="80"/>
        </w:rPr>
        <w:t xml:space="preserve">ꎬ </w:t>
      </w:r>
      <w:r>
        <w:t>免除或者减轻其对从业人员因生产安全事故伤亡依法应承担的</w:t>
      </w:r>
    </w:p>
    <w:p>
      <w:pPr>
        <w:spacing w:before="124"/>
        <w:ind w:left="381" w:right="0" w:firstLine="0"/>
        <w:jc w:val="left"/>
        <w:rPr>
          <w:rFonts w:hint="eastAsia" w:ascii="MS UI Gothic" w:eastAsia="MS UI Gothic"/>
          <w:sz w:val="20"/>
        </w:rPr>
      </w:pPr>
      <w:r>
        <w:br w:type="column"/>
      </w:r>
      <w:r>
        <w:rPr>
          <w:sz w:val="20"/>
        </w:rPr>
        <w:t>责任</w:t>
      </w:r>
      <w:r>
        <w:rPr>
          <w:rFonts w:hint="eastAsia" w:ascii="MS UI Gothic" w:eastAsia="MS UI Gothic"/>
          <w:w w:val="80"/>
          <w:sz w:val="20"/>
        </w:rPr>
        <w:t>ꎮ</w:t>
      </w:r>
    </w:p>
    <w:p>
      <w:pPr>
        <w:pStyle w:val="6"/>
        <w:spacing w:before="58" w:line="295" w:lineRule="auto"/>
        <w:ind w:left="381" w:right="126"/>
        <w:rPr>
          <w:rFonts w:hint="eastAsia" w:ascii="MS UI Gothic" w:eastAsia="MS UI Gothic"/>
        </w:rPr>
      </w:pPr>
      <w:r>
        <w:rPr>
          <w:w w:val="105"/>
        </w:rPr>
        <w:t>第五十条 生产经营单位的从业人员</w:t>
      </w:r>
      <w:r>
        <w:t>有权了解其作业场所和工作岗位存在的危</w:t>
      </w:r>
      <w:r>
        <w:rPr>
          <w:w w:val="105"/>
        </w:rPr>
        <w:t>险因素</w:t>
      </w:r>
      <w:r>
        <w:rPr>
          <w:rFonts w:hint="eastAsia" w:ascii="MS UI Gothic" w:eastAsia="MS UI Gothic"/>
          <w:w w:val="80"/>
        </w:rPr>
        <w:t xml:space="preserve">、 </w:t>
      </w:r>
      <w:r>
        <w:rPr>
          <w:w w:val="105"/>
        </w:rPr>
        <w:t>防范措施及事故应急措施</w:t>
      </w:r>
      <w:r>
        <w:rPr>
          <w:rFonts w:hint="eastAsia" w:ascii="MS UI Gothic" w:eastAsia="MS UI Gothic"/>
          <w:w w:val="80"/>
        </w:rPr>
        <w:t xml:space="preserve">ꎬ </w:t>
      </w:r>
      <w:r>
        <w:rPr>
          <w:w w:val="105"/>
        </w:rPr>
        <w:t>有权对本单位的安全生产工作提出建议</w:t>
      </w:r>
      <w:r>
        <w:rPr>
          <w:rFonts w:hint="eastAsia" w:ascii="MS UI Gothic" w:eastAsia="MS UI Gothic"/>
          <w:w w:val="80"/>
        </w:rPr>
        <w:t>ꎮ</w:t>
      </w:r>
    </w:p>
    <w:p>
      <w:pPr>
        <w:pStyle w:val="6"/>
        <w:spacing w:line="295" w:lineRule="auto"/>
        <w:ind w:left="381" w:right="126"/>
        <w:rPr>
          <w:rFonts w:hint="eastAsia" w:ascii="MS UI Gothic" w:eastAsia="MS UI Gothic"/>
        </w:rPr>
      </w:pPr>
      <w:r>
        <w:t>第五十一条 从业人员有权对本单位安全生产工作中存在的问题提出批评</w:t>
      </w:r>
      <w:r>
        <w:rPr>
          <w:rFonts w:hint="eastAsia" w:ascii="MS UI Gothic" w:eastAsia="MS UI Gothic"/>
          <w:w w:val="80"/>
        </w:rPr>
        <w:t xml:space="preserve">、 </w:t>
      </w:r>
      <w:r>
        <w:t>检举</w:t>
      </w:r>
      <w:r>
        <w:rPr>
          <w:rFonts w:hint="eastAsia" w:ascii="MS UI Gothic" w:eastAsia="MS UI Gothic"/>
          <w:w w:val="80"/>
        </w:rPr>
        <w:t xml:space="preserve">、 </w:t>
      </w:r>
      <w:r>
        <w:t>控告</w:t>
      </w:r>
      <w:r>
        <w:rPr>
          <w:rFonts w:hint="eastAsia" w:ascii="MS UI Gothic" w:eastAsia="MS UI Gothic"/>
          <w:w w:val="80"/>
        </w:rPr>
        <w:t xml:space="preserve">ꎻ </w:t>
      </w:r>
      <w:r>
        <w:t>有权拒绝违章指挥和强令冒险作业</w:t>
      </w:r>
      <w:r>
        <w:rPr>
          <w:rFonts w:hint="eastAsia" w:ascii="MS UI Gothic" w:eastAsia="MS UI Gothic"/>
          <w:w w:val="80"/>
        </w:rPr>
        <w:t>ꎮ</w:t>
      </w:r>
    </w:p>
    <w:p>
      <w:pPr>
        <w:pStyle w:val="6"/>
        <w:spacing w:line="295" w:lineRule="auto"/>
        <w:ind w:left="381" w:right="126"/>
        <w:rPr>
          <w:rFonts w:hint="eastAsia" w:ascii="MS UI Gothic" w:eastAsia="MS UI Gothic"/>
        </w:rPr>
      </w:pPr>
      <w:r>
        <w:t>生产经营单位不得因从业人员对本单</w:t>
      </w:r>
      <w:r>
        <w:rPr>
          <w:w w:val="105"/>
        </w:rPr>
        <w:t>位安全生产工作提出批评</w:t>
      </w:r>
      <w:r>
        <w:rPr>
          <w:rFonts w:hint="eastAsia" w:ascii="MS UI Gothic" w:eastAsia="MS UI Gothic"/>
          <w:w w:val="80"/>
        </w:rPr>
        <w:t xml:space="preserve">、 </w:t>
      </w:r>
      <w:r>
        <w:rPr>
          <w:w w:val="105"/>
        </w:rPr>
        <w:t>检举</w:t>
      </w:r>
      <w:r>
        <w:rPr>
          <w:rFonts w:hint="eastAsia" w:ascii="MS UI Gothic" w:eastAsia="MS UI Gothic"/>
          <w:w w:val="80"/>
        </w:rPr>
        <w:t xml:space="preserve">、 </w:t>
      </w:r>
      <w:r>
        <w:rPr>
          <w:w w:val="105"/>
        </w:rPr>
        <w:t>控告或者拒绝违章指挥</w:t>
      </w:r>
      <w:r>
        <w:rPr>
          <w:rFonts w:hint="eastAsia" w:ascii="MS UI Gothic" w:eastAsia="MS UI Gothic"/>
          <w:w w:val="80"/>
        </w:rPr>
        <w:t xml:space="preserve">、 </w:t>
      </w:r>
      <w:r>
        <w:rPr>
          <w:w w:val="105"/>
        </w:rPr>
        <w:t>强令冒险作业而降低其工资</w:t>
      </w:r>
      <w:r>
        <w:rPr>
          <w:rFonts w:hint="eastAsia" w:ascii="MS UI Gothic" w:eastAsia="MS UI Gothic"/>
          <w:w w:val="80"/>
        </w:rPr>
        <w:t xml:space="preserve">、 </w:t>
      </w:r>
      <w:r>
        <w:rPr>
          <w:w w:val="105"/>
        </w:rPr>
        <w:t>福利等待遇或者解除与其订立的劳动合同</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第五十二条 从业人员发现直接危及</w:t>
      </w:r>
      <w:r>
        <w:t>人身安全的紧急情况时</w:t>
      </w:r>
      <w:r>
        <w:rPr>
          <w:rFonts w:hint="eastAsia" w:ascii="MS UI Gothic" w:eastAsia="MS UI Gothic"/>
          <w:w w:val="80"/>
        </w:rPr>
        <w:t xml:space="preserve">ꎬ </w:t>
      </w:r>
      <w:r>
        <w:t>有权停止作业或者在采取可能的应急措施后撤离作业</w:t>
      </w:r>
      <w:r>
        <w:rPr>
          <w:w w:val="105"/>
        </w:rPr>
        <w:t>场所</w:t>
      </w:r>
      <w:r>
        <w:rPr>
          <w:rFonts w:hint="eastAsia" w:ascii="MS UI Gothic" w:eastAsia="MS UI Gothic"/>
          <w:w w:val="80"/>
        </w:rPr>
        <w:t>ꎮ</w:t>
      </w:r>
    </w:p>
    <w:p>
      <w:pPr>
        <w:pStyle w:val="6"/>
        <w:spacing w:line="295" w:lineRule="auto"/>
        <w:ind w:left="381" w:right="126"/>
        <w:rPr>
          <w:rFonts w:hint="eastAsia" w:ascii="MS UI Gothic" w:eastAsia="MS UI Gothic"/>
        </w:rPr>
      </w:pPr>
      <w:r>
        <w:t>生产经营单位不得因从业人员在前款紧急情况下停止作业或者采取紧急撤离措</w:t>
      </w:r>
      <w:r>
        <w:rPr>
          <w:w w:val="105"/>
        </w:rPr>
        <w:t>施而降低其工资</w:t>
      </w:r>
      <w:r>
        <w:rPr>
          <w:rFonts w:hint="eastAsia" w:ascii="MS UI Gothic" w:eastAsia="MS UI Gothic"/>
          <w:w w:val="80"/>
        </w:rPr>
        <w:t xml:space="preserve">、 </w:t>
      </w:r>
      <w:r>
        <w:rPr>
          <w:w w:val="105"/>
        </w:rPr>
        <w:t>福利等待遇或者解除与其订立的劳动合同</w:t>
      </w:r>
      <w:r>
        <w:rPr>
          <w:rFonts w:hint="eastAsia" w:ascii="MS UI Gothic" w:eastAsia="MS UI Gothic"/>
          <w:w w:val="80"/>
        </w:rPr>
        <w:t>ꎮ</w:t>
      </w:r>
    </w:p>
    <w:p>
      <w:pPr>
        <w:pStyle w:val="6"/>
        <w:spacing w:line="295" w:lineRule="auto"/>
        <w:ind w:left="381" w:right="124"/>
        <w:rPr>
          <w:rFonts w:hint="eastAsia" w:ascii="MS UI Gothic" w:eastAsia="MS UI Gothic"/>
        </w:rPr>
      </w:pPr>
      <w:r>
        <w:t>第五十三条 因生产安全事故受到损害的从业人员</w:t>
      </w:r>
      <w:r>
        <w:rPr>
          <w:rFonts w:hint="eastAsia" w:ascii="MS UI Gothic" w:eastAsia="MS UI Gothic"/>
          <w:w w:val="80"/>
        </w:rPr>
        <w:t xml:space="preserve">ꎬ </w:t>
      </w:r>
      <w:r>
        <w:t>除依法享有工伤保险外</w:t>
      </w:r>
      <w:r>
        <w:rPr>
          <w:rFonts w:hint="eastAsia" w:ascii="MS UI Gothic" w:eastAsia="MS UI Gothic"/>
          <w:w w:val="80"/>
        </w:rPr>
        <w:t>ꎬ</w:t>
      </w:r>
      <w:r>
        <w:t>依照有关民事法律尚有获得赔偿的权利的</w:t>
      </w:r>
      <w:r>
        <w:rPr>
          <w:rFonts w:hint="eastAsia" w:ascii="MS UI Gothic" w:eastAsia="MS UI Gothic"/>
          <w:w w:val="80"/>
        </w:rPr>
        <w:t xml:space="preserve">ꎬ </w:t>
      </w:r>
      <w:r>
        <w:t>有权向本单位提出赔偿要求</w:t>
      </w:r>
      <w:r>
        <w:rPr>
          <w:rFonts w:hint="eastAsia" w:ascii="MS UI Gothic" w:eastAsia="MS UI Gothic"/>
          <w:w w:val="80"/>
        </w:rPr>
        <w:t>ꎮ</w:t>
      </w:r>
    </w:p>
    <w:p>
      <w:pPr>
        <w:pStyle w:val="6"/>
        <w:spacing w:line="295" w:lineRule="auto"/>
        <w:ind w:left="381" w:right="126"/>
        <w:rPr>
          <w:rFonts w:hint="eastAsia" w:ascii="MS UI Gothic" w:eastAsia="MS UI Gothic"/>
        </w:rPr>
      </w:pPr>
      <w:r>
        <w:t>第五十四条  从业人员在作业过程中</w:t>
      </w:r>
      <w:r>
        <w:rPr>
          <w:rFonts w:hint="eastAsia" w:ascii="MS UI Gothic" w:eastAsia="MS UI Gothic"/>
          <w:w w:val="80"/>
        </w:rPr>
        <w:t xml:space="preserve">ꎬ </w:t>
      </w:r>
      <w:r>
        <w:t>应当严格遵守本单位的安全生产规章制度和操作规程</w:t>
      </w:r>
      <w:r>
        <w:rPr>
          <w:rFonts w:hint="eastAsia" w:ascii="MS UI Gothic" w:eastAsia="MS UI Gothic"/>
          <w:w w:val="80"/>
        </w:rPr>
        <w:t xml:space="preserve">ꎬ </w:t>
      </w:r>
      <w:r>
        <w:t>服从管理</w:t>
      </w:r>
      <w:r>
        <w:rPr>
          <w:rFonts w:hint="eastAsia" w:ascii="MS UI Gothic" w:eastAsia="MS UI Gothic"/>
          <w:w w:val="80"/>
        </w:rPr>
        <w:t xml:space="preserve">ꎬ </w:t>
      </w:r>
      <w:r>
        <w:t>正确佩戴和使用劳动防护用品</w:t>
      </w:r>
      <w:r>
        <w:rPr>
          <w:rFonts w:hint="eastAsia" w:ascii="MS UI Gothic" w:eastAsia="MS UI Gothic"/>
          <w:w w:val="80"/>
        </w:rPr>
        <w:t>ꎮ</w:t>
      </w:r>
    </w:p>
    <w:p>
      <w:pPr>
        <w:pStyle w:val="6"/>
        <w:spacing w:line="295" w:lineRule="auto"/>
        <w:ind w:left="381" w:right="126"/>
        <w:rPr>
          <w:rFonts w:hint="eastAsia" w:ascii="MS UI Gothic" w:eastAsia="MS UI Gothic"/>
        </w:rPr>
      </w:pPr>
      <w:r>
        <w:t>第五十五条 从业人员应当接受安全生产教育和培训</w:t>
      </w:r>
      <w:r>
        <w:rPr>
          <w:rFonts w:hint="eastAsia" w:ascii="MS UI Gothic" w:eastAsia="MS UI Gothic"/>
          <w:w w:val="80"/>
        </w:rPr>
        <w:t xml:space="preserve">ꎬ </w:t>
      </w:r>
      <w:r>
        <w:t>掌握本职工作所需的安全生产知识</w:t>
      </w:r>
      <w:r>
        <w:rPr>
          <w:rFonts w:hint="eastAsia" w:ascii="MS UI Gothic" w:eastAsia="MS UI Gothic"/>
          <w:w w:val="80"/>
        </w:rPr>
        <w:t xml:space="preserve">ꎬ </w:t>
      </w:r>
      <w:r>
        <w:t>提高安全生产技能</w:t>
      </w:r>
      <w:r>
        <w:rPr>
          <w:rFonts w:hint="eastAsia" w:ascii="MS UI Gothic" w:eastAsia="MS UI Gothic"/>
          <w:w w:val="80"/>
        </w:rPr>
        <w:t xml:space="preserve">ꎬ </w:t>
      </w:r>
      <w:r>
        <w:t>增强事故预防和应急处理能力</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第五十六条 从业人员发现事故隐患</w:t>
      </w:r>
      <w:r>
        <w:t>或者其他不安全因素</w:t>
      </w:r>
      <w:r>
        <w:rPr>
          <w:rFonts w:hint="eastAsia" w:ascii="MS UI Gothic" w:eastAsia="MS UI Gothic"/>
          <w:w w:val="80"/>
        </w:rPr>
        <w:t xml:space="preserve">ꎬ </w:t>
      </w:r>
      <w:r>
        <w:t>应当立即向现场安全生产管理人员或者本单位负责人报告</w:t>
      </w:r>
      <w:r>
        <w:rPr>
          <w:rFonts w:hint="eastAsia" w:ascii="MS UI Gothic" w:eastAsia="MS UI Gothic"/>
          <w:w w:val="80"/>
        </w:rPr>
        <w:t>ꎻ</w:t>
      </w:r>
      <w:r>
        <w:rPr>
          <w:w w:val="105"/>
        </w:rPr>
        <w:t>接到报告的人员应当及时予以处理</w:t>
      </w:r>
      <w:r>
        <w:rPr>
          <w:rFonts w:hint="eastAsia" w:ascii="MS UI Gothic" w:eastAsia="MS UI Gothic"/>
          <w:w w:val="80"/>
        </w:rPr>
        <w:t>ꎮ</w:t>
      </w:r>
    </w:p>
    <w:p>
      <w:pPr>
        <w:pStyle w:val="6"/>
        <w:tabs>
          <w:tab w:val="left" w:pos="2057"/>
        </w:tabs>
        <w:spacing w:line="253" w:lineRule="exact"/>
        <w:ind w:left="800" w:firstLine="0"/>
        <w:jc w:val="left"/>
      </w:pPr>
      <w:r>
        <w:rPr>
          <w:spacing w:val="3"/>
          <w:w w:val="105"/>
        </w:rPr>
        <w:t>第五十七</w:t>
      </w:r>
      <w:r>
        <w:rPr>
          <w:w w:val="105"/>
        </w:rPr>
        <w:t>条</w:t>
      </w:r>
      <w:r>
        <w:rPr>
          <w:w w:val="105"/>
        </w:rPr>
        <w:tab/>
      </w:r>
      <w:r>
        <w:rPr>
          <w:spacing w:val="3"/>
          <w:w w:val="105"/>
        </w:rPr>
        <w:t>工会有权对建设项目</w:t>
      </w:r>
      <w:r>
        <w:rPr>
          <w:w w:val="105"/>
        </w:rPr>
        <w:t>的</w:t>
      </w:r>
    </w:p>
    <w:p>
      <w:pPr>
        <w:spacing w:after="0" w:line="253"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５６</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16" o:spid="_x0000_s1216" o:spt="203" style="height:2.15pt;width:398.25pt;" coordsize="7965,43">
            <o:lock v:ext="edit"/>
            <v:line id="_x0000_s1217" o:spid="_x0000_s1217" o:spt="20" style="position:absolute;left:0;top:39;height:0;width:7965;" stroked="t" coordsize="21600,21600">
              <v:path arrowok="t"/>
              <v:fill focussize="0,0"/>
              <v:stroke weight="0.388031496062992pt" color="#231F20"/>
              <v:imagedata o:title=""/>
              <o:lock v:ext="edit"/>
            </v:line>
            <v:line id="_x0000_s1218" o:spid="_x0000_s121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安全设施与主体工程同时设计</w:t>
      </w:r>
      <w:r>
        <w:rPr>
          <w:rFonts w:hint="eastAsia" w:ascii="MS UI Gothic" w:eastAsia="MS UI Gothic"/>
          <w:w w:val="80"/>
        </w:rPr>
        <w:t xml:space="preserve">、 </w:t>
      </w:r>
      <w:r>
        <w:t>同时施工</w:t>
      </w:r>
      <w:r>
        <w:rPr>
          <w:rFonts w:hint="eastAsia" w:ascii="MS UI Gothic" w:eastAsia="MS UI Gothic"/>
          <w:w w:val="80"/>
        </w:rPr>
        <w:t xml:space="preserve">、 </w:t>
      </w:r>
      <w:r>
        <w:t>同时投入生产和使用进行监督</w:t>
      </w:r>
      <w:r>
        <w:rPr>
          <w:rFonts w:hint="eastAsia" w:ascii="MS UI Gothic" w:eastAsia="MS UI Gothic"/>
          <w:w w:val="80"/>
        </w:rPr>
        <w:t xml:space="preserve">ꎬ </w:t>
      </w:r>
      <w:r>
        <w:t>提出意见</w:t>
      </w:r>
      <w:r>
        <w:rPr>
          <w:rFonts w:hint="eastAsia" w:ascii="MS UI Gothic" w:eastAsia="MS UI Gothic"/>
          <w:w w:val="80"/>
        </w:rPr>
        <w:t>ꎮ</w:t>
      </w:r>
    </w:p>
    <w:p>
      <w:pPr>
        <w:pStyle w:val="6"/>
        <w:spacing w:line="295" w:lineRule="auto"/>
        <w:ind w:right="38"/>
        <w:rPr>
          <w:rFonts w:hint="eastAsia" w:ascii="MS UI Gothic" w:eastAsia="MS UI Gothic"/>
        </w:rPr>
      </w:pPr>
      <w:r>
        <w:t>工会对生产经营单位违反安全生产法律</w:t>
      </w:r>
      <w:r>
        <w:rPr>
          <w:rFonts w:hint="eastAsia" w:ascii="MS UI Gothic" w:eastAsia="MS UI Gothic"/>
          <w:w w:val="80"/>
        </w:rPr>
        <w:t xml:space="preserve">、 </w:t>
      </w:r>
      <w:r>
        <w:t>法规</w:t>
      </w:r>
      <w:r>
        <w:rPr>
          <w:rFonts w:hint="eastAsia" w:ascii="MS UI Gothic" w:eastAsia="MS UI Gothic"/>
          <w:w w:val="80"/>
        </w:rPr>
        <w:t xml:space="preserve">ꎬ </w:t>
      </w:r>
      <w:r>
        <w:t>侵犯从业人员合法权益的行为</w:t>
      </w:r>
      <w:r>
        <w:rPr>
          <w:rFonts w:hint="eastAsia" w:ascii="MS UI Gothic" w:eastAsia="MS UI Gothic"/>
          <w:w w:val="80"/>
        </w:rPr>
        <w:t xml:space="preserve">ꎬ </w:t>
      </w:r>
      <w:r>
        <w:t>有权要求纠正</w:t>
      </w:r>
      <w:r>
        <w:rPr>
          <w:rFonts w:hint="eastAsia" w:ascii="MS UI Gothic" w:eastAsia="MS UI Gothic"/>
          <w:w w:val="80"/>
        </w:rPr>
        <w:t xml:space="preserve">ꎻ </w:t>
      </w:r>
      <w:r>
        <w:t>发现生产经营单位违章指挥</w:t>
      </w:r>
      <w:r>
        <w:rPr>
          <w:rFonts w:hint="eastAsia" w:ascii="MS UI Gothic" w:eastAsia="MS UI Gothic"/>
          <w:w w:val="80"/>
        </w:rPr>
        <w:t xml:space="preserve">、 </w:t>
      </w:r>
      <w:r>
        <w:t>强令冒险作业或者发现事故隐患时</w:t>
      </w:r>
      <w:r>
        <w:rPr>
          <w:rFonts w:hint="eastAsia" w:ascii="MS UI Gothic" w:eastAsia="MS UI Gothic"/>
          <w:w w:val="80"/>
        </w:rPr>
        <w:t xml:space="preserve">ꎬ </w:t>
      </w:r>
      <w:r>
        <w:t>有权提出解决的建议</w:t>
      </w:r>
      <w:r>
        <w:rPr>
          <w:rFonts w:hint="eastAsia" w:ascii="MS UI Gothic" w:eastAsia="MS UI Gothic"/>
          <w:w w:val="80"/>
        </w:rPr>
        <w:t xml:space="preserve">ꎬ </w:t>
      </w:r>
      <w:r>
        <w:t>生产经营单位应当及时研究答复</w:t>
      </w:r>
      <w:r>
        <w:rPr>
          <w:rFonts w:hint="eastAsia" w:ascii="MS UI Gothic" w:eastAsia="MS UI Gothic"/>
          <w:w w:val="80"/>
        </w:rPr>
        <w:t xml:space="preserve">ꎻ </w:t>
      </w:r>
      <w:r>
        <w:t>发现危及从业人员生命安全的情况时</w:t>
      </w:r>
      <w:r>
        <w:rPr>
          <w:rFonts w:hint="eastAsia" w:ascii="MS UI Gothic" w:eastAsia="MS UI Gothic"/>
          <w:w w:val="80"/>
        </w:rPr>
        <w:t xml:space="preserve">ꎬ </w:t>
      </w:r>
      <w:r>
        <w:t>有权向生产经营单位建议组织从业人员撤离危险场所</w:t>
      </w:r>
      <w:r>
        <w:rPr>
          <w:rFonts w:hint="eastAsia" w:ascii="MS UI Gothic" w:eastAsia="MS UI Gothic"/>
          <w:w w:val="80"/>
        </w:rPr>
        <w:t xml:space="preserve">ꎬ </w:t>
      </w:r>
      <w:r>
        <w:t>生产经营单位必须立即作出处理</w:t>
      </w:r>
      <w:r>
        <w:rPr>
          <w:rFonts w:hint="eastAsia" w:ascii="MS UI Gothic" w:eastAsia="MS UI Gothic"/>
          <w:w w:val="80"/>
        </w:rPr>
        <w:t>ꎮ</w:t>
      </w:r>
    </w:p>
    <w:p>
      <w:pPr>
        <w:pStyle w:val="6"/>
        <w:spacing w:line="295" w:lineRule="auto"/>
        <w:ind w:right="38"/>
        <w:rPr>
          <w:rFonts w:hint="eastAsia" w:ascii="MS UI Gothic" w:eastAsia="MS UI Gothic"/>
        </w:rPr>
      </w:pPr>
      <w:r>
        <w:t>工会有权依法参加事故调查</w:t>
      </w:r>
      <w:r>
        <w:rPr>
          <w:rFonts w:hint="eastAsia" w:ascii="MS UI Gothic" w:eastAsia="MS UI Gothic"/>
          <w:w w:val="80"/>
        </w:rPr>
        <w:t xml:space="preserve">ꎬ </w:t>
      </w:r>
      <w:r>
        <w:t>向有关部门提出处理意见</w:t>
      </w:r>
      <w:r>
        <w:rPr>
          <w:rFonts w:hint="eastAsia" w:ascii="MS UI Gothic" w:eastAsia="MS UI Gothic"/>
          <w:w w:val="80"/>
        </w:rPr>
        <w:t xml:space="preserve">ꎬ </w:t>
      </w:r>
      <w:r>
        <w:t>并要求追究有关人员的责任</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第五十八条 生产经营单位使用被派</w:t>
      </w:r>
      <w:r>
        <w:t>遣劳动者的</w:t>
      </w:r>
      <w:r>
        <w:rPr>
          <w:rFonts w:hint="eastAsia" w:ascii="MS UI Gothic" w:eastAsia="MS UI Gothic"/>
          <w:w w:val="80"/>
        </w:rPr>
        <w:t xml:space="preserve">ꎬ </w:t>
      </w:r>
      <w:r>
        <w:t>被派遣劳动者享有本法规定的从业人员的权利</w:t>
      </w:r>
      <w:r>
        <w:rPr>
          <w:rFonts w:hint="eastAsia" w:ascii="MS UI Gothic" w:eastAsia="MS UI Gothic"/>
          <w:w w:val="80"/>
        </w:rPr>
        <w:t xml:space="preserve">ꎬ </w:t>
      </w:r>
      <w:r>
        <w:t>并应当履行本法规定</w:t>
      </w:r>
      <w:r>
        <w:rPr>
          <w:w w:val="105"/>
        </w:rPr>
        <w:t>的从业人员的义务</w:t>
      </w:r>
      <w:r>
        <w:rPr>
          <w:rFonts w:hint="eastAsia" w:ascii="MS UI Gothic" w:eastAsia="MS UI Gothic"/>
          <w:w w:val="80"/>
        </w:rPr>
        <w:t>ꎮ</w:t>
      </w:r>
    </w:p>
    <w:p>
      <w:pPr>
        <w:pStyle w:val="6"/>
        <w:tabs>
          <w:tab w:val="left" w:pos="1487"/>
        </w:tabs>
        <w:spacing w:before="142"/>
        <w:ind w:left="648" w:firstLine="0"/>
        <w:jc w:val="left"/>
      </w:pPr>
      <w:r>
        <w:rPr>
          <w:spacing w:val="3"/>
          <w:w w:val="105"/>
        </w:rPr>
        <w:t>第四</w:t>
      </w:r>
      <w:r>
        <w:rPr>
          <w:w w:val="105"/>
        </w:rPr>
        <w:t>章</w:t>
      </w:r>
      <w:r>
        <w:rPr>
          <w:w w:val="105"/>
        </w:rPr>
        <w:tab/>
      </w:r>
      <w:r>
        <w:rPr>
          <w:spacing w:val="3"/>
          <w:w w:val="105"/>
        </w:rPr>
        <w:t>安全生产的监督管</w:t>
      </w:r>
      <w:r>
        <w:rPr>
          <w:w w:val="105"/>
        </w:rPr>
        <w:t>理</w:t>
      </w:r>
    </w:p>
    <w:p>
      <w:pPr>
        <w:pStyle w:val="6"/>
        <w:spacing w:before="216" w:line="295" w:lineRule="auto"/>
        <w:ind w:right="38"/>
        <w:rPr>
          <w:rFonts w:hint="eastAsia" w:ascii="MS UI Gothic" w:eastAsia="MS UI Gothic"/>
        </w:rPr>
      </w:pPr>
      <w:r>
        <w:rPr>
          <w:w w:val="105"/>
        </w:rPr>
        <w:t>第五十九条 县级以上地方各级人民</w:t>
      </w:r>
      <w:r>
        <w:t>政府应当根据本行政区域内的安全生产状况</w:t>
      </w:r>
      <w:r>
        <w:rPr>
          <w:rFonts w:hint="eastAsia" w:ascii="MS UI Gothic" w:eastAsia="MS UI Gothic"/>
          <w:w w:val="80"/>
        </w:rPr>
        <w:t xml:space="preserve">ꎬ </w:t>
      </w:r>
      <w:r>
        <w:t>组织有关部门按照职责分工</w:t>
      </w:r>
      <w:r>
        <w:rPr>
          <w:rFonts w:hint="eastAsia" w:ascii="MS UI Gothic" w:eastAsia="MS UI Gothic"/>
          <w:w w:val="80"/>
        </w:rPr>
        <w:t xml:space="preserve">ꎬ </w:t>
      </w:r>
      <w:r>
        <w:t>对本行政区域内容易发生重大生产安全事故的生</w:t>
      </w:r>
      <w:r>
        <w:rPr>
          <w:w w:val="105"/>
        </w:rPr>
        <w:t>产经营单位进行严格检查</w:t>
      </w:r>
      <w:r>
        <w:rPr>
          <w:rFonts w:hint="eastAsia" w:ascii="MS UI Gothic" w:eastAsia="MS UI Gothic"/>
          <w:w w:val="80"/>
        </w:rPr>
        <w:t>ꎮ</w:t>
      </w:r>
    </w:p>
    <w:p>
      <w:pPr>
        <w:pStyle w:val="6"/>
        <w:spacing w:line="295" w:lineRule="auto"/>
        <w:ind w:right="38"/>
        <w:rPr>
          <w:rFonts w:hint="eastAsia" w:ascii="MS UI Gothic" w:eastAsia="MS UI Gothic"/>
        </w:rPr>
      </w:pPr>
      <w:r>
        <w:t>安全生产监督管理部门应当按照分类分级监督管理的要求</w:t>
      </w:r>
      <w:r>
        <w:rPr>
          <w:rFonts w:hint="eastAsia" w:ascii="MS UI Gothic" w:eastAsia="MS UI Gothic"/>
          <w:w w:val="80"/>
        </w:rPr>
        <w:t xml:space="preserve">ꎬ </w:t>
      </w:r>
      <w:r>
        <w:t>制定安全生产年度监督检查计划</w:t>
      </w:r>
      <w:r>
        <w:rPr>
          <w:rFonts w:hint="eastAsia" w:ascii="MS UI Gothic" w:eastAsia="MS UI Gothic"/>
          <w:w w:val="80"/>
        </w:rPr>
        <w:t xml:space="preserve">ꎬ </w:t>
      </w:r>
      <w:r>
        <w:t>并按照年度监督检查计划进行监督检查</w:t>
      </w:r>
      <w:r>
        <w:rPr>
          <w:rFonts w:hint="eastAsia" w:ascii="MS UI Gothic" w:eastAsia="MS UI Gothic"/>
          <w:w w:val="80"/>
        </w:rPr>
        <w:t xml:space="preserve">ꎬ </w:t>
      </w:r>
      <w:r>
        <w:t>发现事故隐患</w:t>
      </w:r>
      <w:r>
        <w:rPr>
          <w:rFonts w:hint="eastAsia" w:ascii="MS UI Gothic" w:eastAsia="MS UI Gothic"/>
          <w:w w:val="80"/>
        </w:rPr>
        <w:t xml:space="preserve">ꎬ </w:t>
      </w:r>
      <w:r>
        <w:t>应当及时处理</w:t>
      </w:r>
      <w:r>
        <w:rPr>
          <w:rFonts w:hint="eastAsia" w:ascii="MS UI Gothic" w:eastAsia="MS UI Gothic"/>
          <w:w w:val="80"/>
        </w:rPr>
        <w:t>ꎮ</w:t>
      </w:r>
    </w:p>
    <w:p>
      <w:pPr>
        <w:pStyle w:val="6"/>
        <w:spacing w:line="295" w:lineRule="auto"/>
        <w:ind w:right="38"/>
      </w:pPr>
      <w:r>
        <w:rPr>
          <w:w w:val="105"/>
        </w:rPr>
        <w:t>第六十条 负有安全生产监督管理职责的部门依照有关法律</w:t>
      </w:r>
      <w:r>
        <w:rPr>
          <w:rFonts w:hint="eastAsia" w:ascii="MS UI Gothic" w:eastAsia="MS UI Gothic"/>
          <w:w w:val="80"/>
        </w:rPr>
        <w:t xml:space="preserve">、 </w:t>
      </w:r>
      <w:r>
        <w:rPr>
          <w:w w:val="105"/>
        </w:rPr>
        <w:t>法规的规定</w:t>
      </w:r>
      <w:r>
        <w:rPr>
          <w:rFonts w:hint="eastAsia" w:ascii="MS UI Gothic" w:eastAsia="MS UI Gothic"/>
          <w:w w:val="80"/>
        </w:rPr>
        <w:t xml:space="preserve">ꎬ </w:t>
      </w:r>
      <w:r>
        <w:rPr>
          <w:w w:val="105"/>
        </w:rPr>
        <w:t xml:space="preserve">对涉及安全生产的事项需要审查批准 </w:t>
      </w:r>
      <w:r>
        <w:rPr>
          <w:rFonts w:hint="eastAsia" w:ascii="MS UI Gothic" w:eastAsia="MS UI Gothic"/>
          <w:w w:val="150"/>
        </w:rPr>
        <w:t xml:space="preserve">( </w:t>
      </w:r>
      <w:r>
        <w:rPr>
          <w:w w:val="105"/>
        </w:rPr>
        <w:t>包括批准</w:t>
      </w:r>
      <w:r>
        <w:rPr>
          <w:rFonts w:hint="eastAsia" w:ascii="MS UI Gothic" w:eastAsia="MS UI Gothic"/>
          <w:w w:val="80"/>
        </w:rPr>
        <w:t xml:space="preserve">、 </w:t>
      </w:r>
      <w:r>
        <w:rPr>
          <w:w w:val="105"/>
        </w:rPr>
        <w:t>核准</w:t>
      </w:r>
      <w:r>
        <w:rPr>
          <w:rFonts w:hint="eastAsia" w:ascii="MS UI Gothic" w:eastAsia="MS UI Gothic"/>
          <w:w w:val="80"/>
        </w:rPr>
        <w:t xml:space="preserve">、 </w:t>
      </w:r>
      <w:r>
        <w:rPr>
          <w:w w:val="105"/>
        </w:rPr>
        <w:t>许可</w:t>
      </w:r>
      <w:r>
        <w:rPr>
          <w:rFonts w:hint="eastAsia" w:ascii="MS UI Gothic" w:eastAsia="MS UI Gothic"/>
          <w:w w:val="80"/>
        </w:rPr>
        <w:t xml:space="preserve">、 </w:t>
      </w:r>
      <w:r>
        <w:rPr>
          <w:w w:val="105"/>
        </w:rPr>
        <w:t>注册</w:t>
      </w:r>
      <w:r>
        <w:rPr>
          <w:rFonts w:hint="eastAsia" w:ascii="MS UI Gothic" w:eastAsia="MS UI Gothic"/>
          <w:w w:val="80"/>
        </w:rPr>
        <w:t xml:space="preserve">、 </w:t>
      </w:r>
      <w:r>
        <w:rPr>
          <w:w w:val="105"/>
        </w:rPr>
        <w:t>认证</w:t>
      </w:r>
      <w:r>
        <w:rPr>
          <w:rFonts w:hint="eastAsia" w:ascii="MS UI Gothic" w:eastAsia="MS UI Gothic"/>
          <w:w w:val="80"/>
        </w:rPr>
        <w:t xml:space="preserve">、 </w:t>
      </w:r>
      <w:r>
        <w:rPr>
          <w:w w:val="105"/>
        </w:rPr>
        <w:t>颁发证照等</w:t>
      </w:r>
      <w:r>
        <w:rPr>
          <w:rFonts w:hint="eastAsia" w:ascii="MS UI Gothic" w:eastAsia="MS UI Gothic"/>
          <w:w w:val="80"/>
        </w:rPr>
        <w:t xml:space="preserve">ꎬ </w:t>
      </w:r>
      <w:r>
        <w:rPr>
          <w:w w:val="105"/>
        </w:rPr>
        <w:t>下同</w:t>
      </w:r>
      <w:r>
        <w:rPr>
          <w:rFonts w:hint="eastAsia" w:ascii="MS UI Gothic" w:eastAsia="MS UI Gothic"/>
          <w:w w:val="150"/>
        </w:rPr>
        <w:t xml:space="preserve">) </w:t>
      </w:r>
      <w:r>
        <w:rPr>
          <w:w w:val="105"/>
        </w:rPr>
        <w:t>或者验收的</w:t>
      </w:r>
      <w:r>
        <w:rPr>
          <w:rFonts w:hint="eastAsia" w:ascii="MS UI Gothic" w:eastAsia="MS UI Gothic"/>
          <w:w w:val="80"/>
        </w:rPr>
        <w:t xml:space="preserve">ꎬ </w:t>
      </w:r>
      <w:r>
        <w:rPr>
          <w:w w:val="105"/>
        </w:rPr>
        <w:t>必须严格依照有关法律</w:t>
      </w:r>
      <w:r>
        <w:rPr>
          <w:rFonts w:hint="eastAsia" w:ascii="MS UI Gothic" w:eastAsia="MS UI Gothic"/>
          <w:w w:val="80"/>
        </w:rPr>
        <w:t xml:space="preserve">、 </w:t>
      </w:r>
      <w:r>
        <w:rPr>
          <w:w w:val="105"/>
        </w:rPr>
        <w:t>法规和国家标准或者行业</w:t>
      </w:r>
      <w:r>
        <w:t>标准规定的安全生产条件和程序进行审</w:t>
      </w:r>
      <w:r>
        <w:rPr>
          <w:w w:val="105"/>
        </w:rPr>
        <w:t>查</w:t>
      </w:r>
      <w:r>
        <w:rPr>
          <w:rFonts w:hint="eastAsia" w:ascii="MS UI Gothic" w:eastAsia="MS UI Gothic"/>
          <w:w w:val="80"/>
        </w:rPr>
        <w:t xml:space="preserve">ꎻ </w:t>
      </w:r>
      <w:r>
        <w:rPr>
          <w:w w:val="105"/>
        </w:rPr>
        <w:t>不符合有关法律</w:t>
      </w:r>
      <w:r>
        <w:rPr>
          <w:rFonts w:hint="eastAsia" w:ascii="MS UI Gothic" w:eastAsia="MS UI Gothic"/>
          <w:w w:val="80"/>
        </w:rPr>
        <w:t xml:space="preserve">、 </w:t>
      </w:r>
      <w:r>
        <w:rPr>
          <w:w w:val="105"/>
        </w:rPr>
        <w:t>法规和国家标准或</w:t>
      </w:r>
    </w:p>
    <w:p>
      <w:pPr>
        <w:pStyle w:val="6"/>
        <w:spacing w:before="123" w:line="295" w:lineRule="auto"/>
        <w:ind w:right="440" w:firstLine="0"/>
        <w:rPr>
          <w:rFonts w:hint="eastAsia" w:ascii="MS UI Gothic" w:eastAsia="MS UI Gothic"/>
        </w:rPr>
      </w:pPr>
      <w:r>
        <w:br w:type="column"/>
      </w:r>
      <w:r>
        <w:t>者行业标准规定的安全生产条件的</w:t>
      </w:r>
      <w:r>
        <w:rPr>
          <w:rFonts w:hint="eastAsia" w:ascii="MS UI Gothic" w:eastAsia="MS UI Gothic"/>
          <w:w w:val="80"/>
        </w:rPr>
        <w:t xml:space="preserve">ꎬ </w:t>
      </w:r>
      <w:r>
        <w:t>不得批准或者验收通过</w:t>
      </w:r>
      <w:r>
        <w:rPr>
          <w:rFonts w:hint="eastAsia" w:ascii="MS UI Gothic" w:eastAsia="MS UI Gothic"/>
          <w:w w:val="80"/>
        </w:rPr>
        <w:t xml:space="preserve">ꎮ </w:t>
      </w:r>
      <w:r>
        <w:t>对未依法取得批准或者验收合格的单位擅自从事有关活动的</w:t>
      </w:r>
      <w:r>
        <w:rPr>
          <w:rFonts w:hint="eastAsia" w:ascii="MS UI Gothic" w:eastAsia="MS UI Gothic"/>
          <w:w w:val="80"/>
        </w:rPr>
        <w:t>ꎬ</w:t>
      </w:r>
      <w:r>
        <w:t>负责行政审批的部门发现或者接到举报后应当立即予以取缔</w:t>
      </w:r>
      <w:r>
        <w:rPr>
          <w:rFonts w:hint="eastAsia" w:ascii="MS UI Gothic" w:eastAsia="MS UI Gothic"/>
          <w:w w:val="80"/>
        </w:rPr>
        <w:t xml:space="preserve">ꎬ </w:t>
      </w:r>
      <w:r>
        <w:t>并依法予以处理</w:t>
      </w:r>
      <w:r>
        <w:rPr>
          <w:rFonts w:hint="eastAsia" w:ascii="MS UI Gothic" w:eastAsia="MS UI Gothic"/>
          <w:w w:val="80"/>
        </w:rPr>
        <w:t xml:space="preserve">ꎮ </w:t>
      </w:r>
      <w:r>
        <w:t>对已经依法取得批准的单位</w:t>
      </w:r>
      <w:r>
        <w:rPr>
          <w:rFonts w:hint="eastAsia" w:ascii="MS UI Gothic" w:eastAsia="MS UI Gothic"/>
          <w:w w:val="80"/>
        </w:rPr>
        <w:t xml:space="preserve">ꎬ </w:t>
      </w:r>
      <w:r>
        <w:t>负责行政审批的部门发现其不再具备安全生产条件的</w:t>
      </w:r>
      <w:r>
        <w:rPr>
          <w:rFonts w:hint="eastAsia" w:ascii="MS UI Gothic" w:eastAsia="MS UI Gothic"/>
          <w:w w:val="80"/>
        </w:rPr>
        <w:t>ꎬ</w:t>
      </w:r>
      <w:r>
        <w:t>应当撤销原批准</w:t>
      </w:r>
      <w:r>
        <w:rPr>
          <w:rFonts w:hint="eastAsia" w:ascii="MS UI Gothic" w:eastAsia="MS UI Gothic"/>
          <w:w w:val="80"/>
        </w:rPr>
        <w:t>ꎮ</w:t>
      </w:r>
    </w:p>
    <w:p>
      <w:pPr>
        <w:pStyle w:val="6"/>
        <w:spacing w:line="295" w:lineRule="auto"/>
        <w:ind w:right="442"/>
        <w:rPr>
          <w:rFonts w:hint="eastAsia" w:ascii="MS UI Gothic" w:eastAsia="MS UI Gothic"/>
        </w:rPr>
      </w:pPr>
      <w:r>
        <w:t>第六十一条 负有安全生产监督管理职责的部门对涉及安全生产的事项进行审查</w:t>
      </w:r>
      <w:r>
        <w:rPr>
          <w:rFonts w:hint="eastAsia" w:ascii="MS UI Gothic" w:eastAsia="MS UI Gothic"/>
          <w:w w:val="80"/>
        </w:rPr>
        <w:t xml:space="preserve">、 </w:t>
      </w:r>
      <w:r>
        <w:t>验收</w:t>
      </w:r>
      <w:r>
        <w:rPr>
          <w:rFonts w:hint="eastAsia" w:ascii="MS UI Gothic" w:eastAsia="MS UI Gothic"/>
          <w:w w:val="80"/>
        </w:rPr>
        <w:t xml:space="preserve">ꎬ </w:t>
      </w:r>
      <w:r>
        <w:t>不得收取费用</w:t>
      </w:r>
      <w:r>
        <w:rPr>
          <w:rFonts w:hint="eastAsia" w:ascii="MS UI Gothic" w:eastAsia="MS UI Gothic"/>
          <w:w w:val="80"/>
        </w:rPr>
        <w:t xml:space="preserve">ꎻ </w:t>
      </w:r>
      <w:r>
        <w:t>不得要求接受审查</w:t>
      </w:r>
      <w:r>
        <w:rPr>
          <w:rFonts w:hint="eastAsia" w:ascii="MS UI Gothic" w:eastAsia="MS UI Gothic"/>
          <w:w w:val="80"/>
        </w:rPr>
        <w:t xml:space="preserve">、 </w:t>
      </w:r>
      <w:r>
        <w:t>验收的单位购买其指定品牌或者指定生产</w:t>
      </w:r>
      <w:r>
        <w:rPr>
          <w:rFonts w:hint="eastAsia" w:ascii="MS UI Gothic" w:eastAsia="MS UI Gothic"/>
          <w:w w:val="80"/>
        </w:rPr>
        <w:t xml:space="preserve">、 </w:t>
      </w:r>
      <w:r>
        <w:t>销售单位的安全设备</w:t>
      </w:r>
      <w:r>
        <w:rPr>
          <w:rFonts w:hint="eastAsia" w:ascii="MS UI Gothic" w:eastAsia="MS UI Gothic"/>
          <w:w w:val="80"/>
        </w:rPr>
        <w:t xml:space="preserve">、 </w:t>
      </w:r>
      <w:r>
        <w:t>器材或者其他产品</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第六十二条 安全生产监督管理部门</w:t>
      </w:r>
      <w:r>
        <w:t>和其他负有安全生产监督管理职责的部门依法开展安全生产行政执法工作</w:t>
      </w:r>
      <w:r>
        <w:rPr>
          <w:rFonts w:hint="eastAsia" w:ascii="MS UI Gothic" w:eastAsia="MS UI Gothic"/>
          <w:w w:val="80"/>
        </w:rPr>
        <w:t xml:space="preserve">ꎬ </w:t>
      </w:r>
      <w:r>
        <w:t>对生产</w:t>
      </w:r>
      <w:r>
        <w:rPr>
          <w:w w:val="105"/>
        </w:rPr>
        <w:t>经营单位执行有关安全生产的法律</w:t>
      </w:r>
      <w:r>
        <w:rPr>
          <w:rFonts w:hint="eastAsia" w:ascii="MS UI Gothic" w:eastAsia="MS UI Gothic"/>
          <w:w w:val="80"/>
        </w:rPr>
        <w:t xml:space="preserve">、 </w:t>
      </w:r>
      <w:r>
        <w:rPr>
          <w:w w:val="105"/>
        </w:rPr>
        <w:t>法规</w:t>
      </w:r>
      <w:r>
        <w:t>和国家标准或者行业标准的情况进行监督</w:t>
      </w:r>
      <w:r>
        <w:rPr>
          <w:w w:val="105"/>
        </w:rPr>
        <w:t>检查</w:t>
      </w:r>
      <w:r>
        <w:rPr>
          <w:rFonts w:hint="eastAsia" w:ascii="MS UI Gothic" w:eastAsia="MS UI Gothic"/>
          <w:w w:val="80"/>
        </w:rPr>
        <w:t xml:space="preserve">ꎬ </w:t>
      </w:r>
      <w:r>
        <w:rPr>
          <w:w w:val="105"/>
        </w:rPr>
        <w:t>行使以下职权</w:t>
      </w:r>
      <w:r>
        <w:rPr>
          <w:rFonts w:hint="eastAsia" w:ascii="MS UI Gothic" w:eastAsia="MS UI Gothic"/>
          <w:w w:val="235"/>
        </w:rPr>
        <w:t>:</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进入生产经营单位进行检查</w:t>
      </w:r>
      <w:r>
        <w:rPr>
          <w:rFonts w:hint="eastAsia" w:ascii="MS UI Gothic" w:eastAsia="MS UI Gothic"/>
          <w:w w:val="80"/>
        </w:rPr>
        <w:t>ꎬ</w:t>
      </w:r>
      <w:r>
        <w:t>调阅有关资料</w:t>
      </w:r>
      <w:r>
        <w:rPr>
          <w:rFonts w:hint="eastAsia" w:ascii="MS UI Gothic" w:eastAsia="MS UI Gothic"/>
          <w:w w:val="80"/>
        </w:rPr>
        <w:t xml:space="preserve">ꎬ </w:t>
      </w:r>
      <w:r>
        <w:t>向有关单位和人员了解</w:t>
      </w:r>
      <w:r>
        <w:rPr>
          <w:w w:val="105"/>
        </w:rPr>
        <w:t>情况</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对检查中发现的安全生产违法</w:t>
      </w:r>
      <w:r>
        <w:t>行为</w:t>
      </w:r>
      <w:r>
        <w:rPr>
          <w:rFonts w:hint="eastAsia" w:ascii="MS UI Gothic" w:eastAsia="MS UI Gothic"/>
          <w:w w:val="80"/>
        </w:rPr>
        <w:t xml:space="preserve">ꎬ </w:t>
      </w:r>
      <w:r>
        <w:t>当场予以纠正或者要求限期改正</w:t>
      </w:r>
      <w:r>
        <w:rPr>
          <w:rFonts w:hint="eastAsia" w:ascii="MS UI Gothic" w:eastAsia="MS UI Gothic"/>
          <w:w w:val="80"/>
        </w:rPr>
        <w:t>ꎻ</w:t>
      </w:r>
      <w:r>
        <w:t>对依法应当给予行政处罚的行为</w:t>
      </w:r>
      <w:r>
        <w:rPr>
          <w:rFonts w:hint="eastAsia" w:ascii="MS UI Gothic" w:eastAsia="MS UI Gothic"/>
          <w:w w:val="80"/>
        </w:rPr>
        <w:t xml:space="preserve">ꎬ </w:t>
      </w:r>
      <w:r>
        <w:t>依照本</w:t>
      </w:r>
      <w:r>
        <w:rPr>
          <w:w w:val="105"/>
        </w:rPr>
        <w:t>法和其他有关法律</w:t>
      </w:r>
      <w:r>
        <w:rPr>
          <w:rFonts w:hint="eastAsia" w:ascii="MS UI Gothic" w:eastAsia="MS UI Gothic"/>
          <w:w w:val="80"/>
        </w:rPr>
        <w:t xml:space="preserve">、 </w:t>
      </w:r>
      <w:r>
        <w:rPr>
          <w:w w:val="105"/>
        </w:rPr>
        <w:t>行政法规的规定作出行政处罚决定</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对检查中发现的事故隐患</w:t>
      </w:r>
      <w:r>
        <w:rPr>
          <w:rFonts w:hint="eastAsia" w:ascii="MS UI Gothic" w:eastAsia="MS UI Gothic"/>
          <w:w w:val="80"/>
        </w:rPr>
        <w:t xml:space="preserve">ꎬ </w:t>
      </w:r>
      <w:r>
        <w:t>应当责令立即排除</w:t>
      </w:r>
      <w:r>
        <w:rPr>
          <w:rFonts w:hint="eastAsia" w:ascii="MS UI Gothic" w:eastAsia="MS UI Gothic"/>
          <w:w w:val="80"/>
        </w:rPr>
        <w:t xml:space="preserve">ꎻ </w:t>
      </w:r>
      <w:r>
        <w:t>重大事故隐患排除前或者排除过程中无法保证安全的</w:t>
      </w:r>
      <w:r>
        <w:rPr>
          <w:rFonts w:hint="eastAsia" w:ascii="MS UI Gothic" w:eastAsia="MS UI Gothic"/>
          <w:w w:val="80"/>
        </w:rPr>
        <w:t xml:space="preserve">ꎬ </w:t>
      </w:r>
      <w:r>
        <w:t>应当责令从危险区域内撤出作业人员</w:t>
      </w:r>
      <w:r>
        <w:rPr>
          <w:rFonts w:hint="eastAsia" w:ascii="MS UI Gothic" w:eastAsia="MS UI Gothic"/>
          <w:w w:val="80"/>
        </w:rPr>
        <w:t xml:space="preserve">ꎬ </w:t>
      </w:r>
      <w:r>
        <w:t>责令暂时停产停业或者停止使用相关设施</w:t>
      </w:r>
      <w:r>
        <w:rPr>
          <w:rFonts w:hint="eastAsia" w:ascii="MS UI Gothic" w:eastAsia="MS UI Gothic"/>
          <w:w w:val="80"/>
        </w:rPr>
        <w:t xml:space="preserve">、 </w:t>
      </w:r>
      <w:r>
        <w:t>设备</w:t>
      </w:r>
      <w:r>
        <w:rPr>
          <w:rFonts w:hint="eastAsia" w:ascii="MS UI Gothic" w:eastAsia="MS UI Gothic"/>
          <w:w w:val="80"/>
        </w:rPr>
        <w:t xml:space="preserve">ꎻ </w:t>
      </w:r>
      <w:r>
        <w:t>重大事故隐患排除后</w:t>
      </w:r>
      <w:r>
        <w:rPr>
          <w:rFonts w:hint="eastAsia" w:ascii="MS UI Gothic" w:eastAsia="MS UI Gothic"/>
          <w:w w:val="80"/>
        </w:rPr>
        <w:t xml:space="preserve">ꎬ </w:t>
      </w:r>
      <w:r>
        <w:t>经审查同意</w:t>
      </w:r>
      <w:r>
        <w:rPr>
          <w:rFonts w:hint="eastAsia" w:ascii="MS UI Gothic" w:eastAsia="MS UI Gothic"/>
          <w:w w:val="80"/>
        </w:rPr>
        <w:t xml:space="preserve">ꎬ </w:t>
      </w:r>
      <w:r>
        <w:t>方可恢复生产经营和使用</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对有根据认为不符合保障安全生产的国家标准或者行业标准的设施</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器材以及违法生产</w:t>
      </w:r>
      <w:r>
        <w:rPr>
          <w:rFonts w:hint="eastAsia" w:ascii="MS UI Gothic" w:eastAsia="MS UI Gothic"/>
          <w:w w:val="80"/>
        </w:rPr>
        <w:t xml:space="preserve">、 </w:t>
      </w:r>
      <w:r>
        <w:rPr>
          <w:w w:val="105"/>
        </w:rPr>
        <w:t>储存</w:t>
      </w:r>
      <w:r>
        <w:rPr>
          <w:rFonts w:hint="eastAsia" w:ascii="MS UI Gothic" w:eastAsia="MS UI Gothic"/>
          <w:w w:val="80"/>
        </w:rPr>
        <w:t xml:space="preserve">、 </w:t>
      </w:r>
      <w:r>
        <w:rPr>
          <w:w w:val="105"/>
        </w:rPr>
        <w:t>使用</w:t>
      </w:r>
      <w:r>
        <w:rPr>
          <w:rFonts w:hint="eastAsia" w:ascii="MS UI Gothic" w:eastAsia="MS UI Gothic"/>
          <w:w w:val="80"/>
        </w:rPr>
        <w:t xml:space="preserve">、 </w:t>
      </w:r>
      <w:r>
        <w:rPr>
          <w:w w:val="105"/>
        </w:rPr>
        <w:t>经</w:t>
      </w:r>
      <w:r>
        <w:t>营</w:t>
      </w:r>
      <w:r>
        <w:rPr>
          <w:rFonts w:hint="eastAsia" w:ascii="MS UI Gothic" w:eastAsia="MS UI Gothic"/>
          <w:w w:val="80"/>
        </w:rPr>
        <w:t xml:space="preserve">、 </w:t>
      </w:r>
      <w:r>
        <w:t>运输的危险物品予以查封或者扣押</w:t>
      </w:r>
      <w:r>
        <w:rPr>
          <w:rFonts w:hint="eastAsia" w:ascii="MS UI Gothic" w:eastAsia="MS UI Gothic"/>
          <w:w w:val="80"/>
        </w:rPr>
        <w:t>ꎬ</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５７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19" o:spid="_x0000_s1219" o:spt="203" style="height:2.15pt;width:398.25pt;" coordsize="7965,43">
            <o:lock v:ext="edit"/>
            <v:line id="_x0000_s1220" o:spid="_x0000_s1220" o:spt="20" style="position:absolute;left:0;top:39;height:0;width:7965;" stroked="t" coordsize="21600,21600">
              <v:path arrowok="t"/>
              <v:fill focussize="0,0"/>
              <v:stroke weight="0.388031496062992pt" color="#231F20"/>
              <v:imagedata o:title=""/>
              <o:lock v:ext="edit"/>
            </v:line>
            <v:line id="_x0000_s1221" o:spid="_x0000_s122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对违法生产</w:t>
      </w:r>
      <w:r>
        <w:rPr>
          <w:rFonts w:hint="eastAsia" w:ascii="MS UI Gothic" w:eastAsia="MS UI Gothic"/>
          <w:w w:val="80"/>
        </w:rPr>
        <w:t xml:space="preserve">、 </w:t>
      </w:r>
      <w:r>
        <w:t>储存</w:t>
      </w:r>
      <w:r>
        <w:rPr>
          <w:rFonts w:hint="eastAsia" w:ascii="MS UI Gothic" w:eastAsia="MS UI Gothic"/>
          <w:w w:val="80"/>
        </w:rPr>
        <w:t xml:space="preserve">、 </w:t>
      </w:r>
      <w:r>
        <w:t>使用</w:t>
      </w:r>
      <w:r>
        <w:rPr>
          <w:rFonts w:hint="eastAsia" w:ascii="MS UI Gothic" w:eastAsia="MS UI Gothic"/>
          <w:w w:val="80"/>
        </w:rPr>
        <w:t xml:space="preserve">、 </w:t>
      </w:r>
      <w:r>
        <w:t>经营危险物品的作业场所予以查封</w:t>
      </w:r>
      <w:r>
        <w:rPr>
          <w:rFonts w:hint="eastAsia" w:ascii="MS UI Gothic" w:eastAsia="MS UI Gothic"/>
          <w:w w:val="80"/>
        </w:rPr>
        <w:t xml:space="preserve">ꎬ </w:t>
      </w:r>
      <w:r>
        <w:t>并依法作出处理决定</w:t>
      </w:r>
      <w:r>
        <w:rPr>
          <w:rFonts w:hint="eastAsia" w:ascii="MS UI Gothic" w:eastAsia="MS UI Gothic"/>
          <w:w w:val="80"/>
        </w:rPr>
        <w:t>ꎮ</w:t>
      </w:r>
    </w:p>
    <w:p>
      <w:pPr>
        <w:pStyle w:val="6"/>
        <w:spacing w:line="295" w:lineRule="auto"/>
        <w:ind w:left="440" w:right="1"/>
        <w:jc w:val="left"/>
        <w:rPr>
          <w:rFonts w:hint="eastAsia" w:ascii="MS UI Gothic" w:eastAsia="MS UI Gothic"/>
        </w:rPr>
      </w:pPr>
      <w:r>
        <w:t>监督检查不得影响被检查单位的正常</w:t>
      </w:r>
      <w:r>
        <w:rPr>
          <w:w w:val="105"/>
        </w:rPr>
        <w:t>生产经营活动</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第六十三条 生产经营单位对负有安</w:t>
      </w:r>
      <w:r>
        <w:rPr>
          <w:spacing w:val="2"/>
        </w:rPr>
        <w:t>全生产监督管理职责的部门的监督检查人</w:t>
      </w:r>
      <w:r>
        <w:rPr>
          <w:spacing w:val="-12"/>
          <w:w w:val="105"/>
        </w:rPr>
        <w:t xml:space="preserve">员 </w:t>
      </w:r>
      <w:r>
        <w:rPr>
          <w:rFonts w:hint="eastAsia" w:ascii="MS UI Gothic" w:eastAsia="MS UI Gothic"/>
          <w:spacing w:val="-38"/>
          <w:w w:val="150"/>
        </w:rPr>
        <w:t xml:space="preserve">( </w:t>
      </w:r>
      <w:r>
        <w:rPr>
          <w:spacing w:val="20"/>
          <w:w w:val="105"/>
        </w:rPr>
        <w:t>以下统称安全生产监督检查人员</w:t>
      </w:r>
      <w:r>
        <w:rPr>
          <w:rFonts w:hint="eastAsia" w:ascii="MS UI Gothic" w:eastAsia="MS UI Gothic"/>
          <w:w w:val="150"/>
        </w:rPr>
        <w:t xml:space="preserve">) </w:t>
      </w:r>
      <w:r>
        <w:rPr>
          <w:spacing w:val="5"/>
        </w:rPr>
        <w:t>依法履行监督检查职责</w:t>
      </w:r>
      <w:r>
        <w:rPr>
          <w:rFonts w:hint="eastAsia" w:ascii="MS UI Gothic" w:eastAsia="MS UI Gothic"/>
          <w:spacing w:val="22"/>
          <w:w w:val="80"/>
        </w:rPr>
        <w:t xml:space="preserve">ꎬ </w:t>
      </w:r>
      <w:r>
        <w:rPr>
          <w:spacing w:val="11"/>
        </w:rPr>
        <w:t>应当予以配合</w:t>
      </w:r>
      <w:r>
        <w:rPr>
          <w:rFonts w:hint="eastAsia" w:ascii="MS UI Gothic" w:eastAsia="MS UI Gothic"/>
          <w:w w:val="80"/>
        </w:rPr>
        <w:t>ꎬ</w:t>
      </w:r>
      <w:r>
        <w:rPr>
          <w:spacing w:val="3"/>
          <w:w w:val="105"/>
        </w:rPr>
        <w:t>不得拒绝</w:t>
      </w:r>
      <w:r>
        <w:rPr>
          <w:rFonts w:hint="eastAsia" w:ascii="MS UI Gothic" w:eastAsia="MS UI Gothic"/>
          <w:spacing w:val="2"/>
          <w:w w:val="80"/>
        </w:rPr>
        <w:t xml:space="preserve">、 </w:t>
      </w:r>
      <w:r>
        <w:rPr>
          <w:spacing w:val="3"/>
          <w:w w:val="105"/>
        </w:rPr>
        <w:t>阻挠</w:t>
      </w:r>
      <w:r>
        <w:rPr>
          <w:rFonts w:hint="eastAsia" w:ascii="MS UI Gothic" w:eastAsia="MS UI Gothic"/>
          <w:w w:val="80"/>
        </w:rPr>
        <w:t>ꎮ</w:t>
      </w:r>
    </w:p>
    <w:p>
      <w:pPr>
        <w:pStyle w:val="6"/>
        <w:spacing w:line="295" w:lineRule="auto"/>
        <w:ind w:left="440" w:right="1"/>
        <w:rPr>
          <w:rFonts w:hint="eastAsia" w:ascii="MS UI Gothic" w:eastAsia="MS UI Gothic"/>
        </w:rPr>
      </w:pPr>
      <w:r>
        <w:t>第六十四条 安全生产监督检查人员应当忠于职守</w:t>
      </w:r>
      <w:r>
        <w:rPr>
          <w:rFonts w:hint="eastAsia" w:ascii="MS UI Gothic" w:eastAsia="MS UI Gothic"/>
          <w:w w:val="80"/>
        </w:rPr>
        <w:t xml:space="preserve">ꎬ </w:t>
      </w:r>
      <w:r>
        <w:t>坚持原则</w:t>
      </w:r>
      <w:r>
        <w:rPr>
          <w:rFonts w:hint="eastAsia" w:ascii="MS UI Gothic" w:eastAsia="MS UI Gothic"/>
          <w:w w:val="80"/>
        </w:rPr>
        <w:t xml:space="preserve">ꎬ </w:t>
      </w:r>
      <w:r>
        <w:t>秉公执法</w:t>
      </w:r>
      <w:r>
        <w:rPr>
          <w:rFonts w:hint="eastAsia" w:ascii="MS UI Gothic" w:eastAsia="MS UI Gothic"/>
          <w:w w:val="80"/>
        </w:rPr>
        <w:t>ꎮ</w:t>
      </w:r>
    </w:p>
    <w:p>
      <w:pPr>
        <w:pStyle w:val="6"/>
        <w:spacing w:line="295" w:lineRule="auto"/>
        <w:ind w:left="440"/>
        <w:rPr>
          <w:rFonts w:hint="eastAsia" w:ascii="MS UI Gothic" w:eastAsia="MS UI Gothic"/>
        </w:rPr>
      </w:pPr>
      <w:r>
        <w:t>安全生产监督检查人员执行监督检查任务时</w:t>
      </w:r>
      <w:r>
        <w:rPr>
          <w:rFonts w:hint="eastAsia" w:ascii="MS UI Gothic" w:eastAsia="MS UI Gothic"/>
          <w:w w:val="80"/>
        </w:rPr>
        <w:t xml:space="preserve">ꎬ </w:t>
      </w:r>
      <w:r>
        <w:t>必须出示有效的监督执法证件</w:t>
      </w:r>
      <w:r>
        <w:rPr>
          <w:rFonts w:hint="eastAsia" w:ascii="MS UI Gothic" w:eastAsia="MS UI Gothic"/>
          <w:w w:val="80"/>
        </w:rPr>
        <w:t>ꎻ</w:t>
      </w:r>
      <w:r>
        <w:t>对涉及被检查单位的技术秘密和业务秘密</w:t>
      </w:r>
      <w:r>
        <w:rPr>
          <w:rFonts w:hint="eastAsia" w:ascii="MS UI Gothic" w:eastAsia="MS UI Gothic"/>
          <w:w w:val="80"/>
        </w:rPr>
        <w:t xml:space="preserve">ꎬ </w:t>
      </w:r>
      <w:r>
        <w:t>应当为其保密</w:t>
      </w:r>
      <w:r>
        <w:rPr>
          <w:rFonts w:hint="eastAsia" w:ascii="MS UI Gothic" w:eastAsia="MS UI Gothic"/>
          <w:w w:val="80"/>
        </w:rPr>
        <w:t>ꎮ</w:t>
      </w:r>
    </w:p>
    <w:p>
      <w:pPr>
        <w:pStyle w:val="6"/>
        <w:spacing w:line="295" w:lineRule="auto"/>
        <w:ind w:left="440" w:right="1"/>
        <w:rPr>
          <w:rFonts w:hint="eastAsia" w:ascii="MS UI Gothic" w:eastAsia="MS UI Gothic"/>
        </w:rPr>
      </w:pPr>
      <w:r>
        <w:t>第六十五条 安全生产监督检查人员应当将检查的时间</w:t>
      </w:r>
      <w:r>
        <w:rPr>
          <w:rFonts w:hint="eastAsia" w:ascii="MS UI Gothic" w:eastAsia="MS UI Gothic"/>
          <w:w w:val="80"/>
        </w:rPr>
        <w:t xml:space="preserve">、 </w:t>
      </w:r>
      <w:r>
        <w:t>地点</w:t>
      </w:r>
      <w:r>
        <w:rPr>
          <w:rFonts w:hint="eastAsia" w:ascii="MS UI Gothic" w:eastAsia="MS UI Gothic"/>
          <w:w w:val="80"/>
        </w:rPr>
        <w:t xml:space="preserve">、 </w:t>
      </w:r>
      <w:r>
        <w:t>内容</w:t>
      </w:r>
      <w:r>
        <w:rPr>
          <w:rFonts w:hint="eastAsia" w:ascii="MS UI Gothic" w:eastAsia="MS UI Gothic"/>
          <w:w w:val="80"/>
        </w:rPr>
        <w:t xml:space="preserve">、 </w:t>
      </w:r>
      <w:r>
        <w:t>发现的问题及其处理情况</w:t>
      </w:r>
      <w:r>
        <w:rPr>
          <w:rFonts w:hint="eastAsia" w:ascii="MS UI Gothic" w:eastAsia="MS UI Gothic"/>
          <w:w w:val="80"/>
        </w:rPr>
        <w:t xml:space="preserve">ꎬ </w:t>
      </w:r>
      <w:r>
        <w:t>作出书面记录</w:t>
      </w:r>
      <w:r>
        <w:rPr>
          <w:rFonts w:hint="eastAsia" w:ascii="MS UI Gothic" w:eastAsia="MS UI Gothic"/>
          <w:w w:val="80"/>
        </w:rPr>
        <w:t xml:space="preserve">ꎬ </w:t>
      </w:r>
      <w:r>
        <w:t>并由检查人员和被检查单位的负责人签字</w:t>
      </w:r>
      <w:r>
        <w:rPr>
          <w:rFonts w:hint="eastAsia" w:ascii="MS UI Gothic" w:eastAsia="MS UI Gothic"/>
          <w:w w:val="80"/>
        </w:rPr>
        <w:t xml:space="preserve">ꎻ </w:t>
      </w:r>
      <w:r>
        <w:t>被检查单位的负责人拒绝签字的</w:t>
      </w:r>
      <w:r>
        <w:rPr>
          <w:rFonts w:hint="eastAsia" w:ascii="MS UI Gothic" w:eastAsia="MS UI Gothic"/>
          <w:w w:val="80"/>
        </w:rPr>
        <w:t xml:space="preserve">ꎬ </w:t>
      </w:r>
      <w:r>
        <w:t>检查人员应当将情况记录在案</w:t>
      </w:r>
      <w:r>
        <w:rPr>
          <w:rFonts w:hint="eastAsia" w:ascii="MS UI Gothic" w:eastAsia="MS UI Gothic"/>
          <w:w w:val="80"/>
        </w:rPr>
        <w:t xml:space="preserve">ꎬ </w:t>
      </w:r>
      <w:r>
        <w:t>并向负有安全生产监督管理职责的部门报告</w:t>
      </w:r>
      <w:r>
        <w:rPr>
          <w:rFonts w:hint="eastAsia" w:ascii="MS UI Gothic" w:eastAsia="MS UI Gothic"/>
          <w:w w:val="80"/>
        </w:rPr>
        <w:t>ꎮ</w:t>
      </w:r>
    </w:p>
    <w:p>
      <w:pPr>
        <w:pStyle w:val="6"/>
        <w:spacing w:line="295" w:lineRule="auto"/>
        <w:ind w:left="440" w:right="1"/>
        <w:rPr>
          <w:rFonts w:hint="eastAsia" w:ascii="MS UI Gothic" w:eastAsia="MS UI Gothic"/>
        </w:rPr>
      </w:pPr>
      <w:r>
        <w:t>第六十六条 负有安全生产监督管理职责的部门在监督检查中</w:t>
      </w:r>
      <w:r>
        <w:rPr>
          <w:rFonts w:hint="eastAsia" w:ascii="MS UI Gothic" w:eastAsia="MS UI Gothic"/>
          <w:w w:val="80"/>
        </w:rPr>
        <w:t xml:space="preserve">ꎬ </w:t>
      </w:r>
      <w:r>
        <w:t>应当互相配合</w:t>
      </w:r>
      <w:r>
        <w:rPr>
          <w:rFonts w:hint="eastAsia" w:ascii="MS UI Gothic" w:eastAsia="MS UI Gothic"/>
          <w:w w:val="80"/>
        </w:rPr>
        <w:t xml:space="preserve">ꎬ </w:t>
      </w:r>
      <w:r>
        <w:t>实行联合检查</w:t>
      </w:r>
      <w:r>
        <w:rPr>
          <w:rFonts w:hint="eastAsia" w:ascii="MS UI Gothic" w:eastAsia="MS UI Gothic"/>
          <w:w w:val="80"/>
        </w:rPr>
        <w:t xml:space="preserve">ꎻ </w:t>
      </w:r>
      <w:r>
        <w:t>确需分别进行检查的</w:t>
      </w:r>
      <w:r>
        <w:rPr>
          <w:rFonts w:hint="eastAsia" w:ascii="MS UI Gothic" w:eastAsia="MS UI Gothic"/>
          <w:w w:val="80"/>
        </w:rPr>
        <w:t xml:space="preserve">ꎬ </w:t>
      </w:r>
      <w:r>
        <w:t>应当互通情况</w:t>
      </w:r>
      <w:r>
        <w:rPr>
          <w:rFonts w:hint="eastAsia" w:ascii="MS UI Gothic" w:eastAsia="MS UI Gothic"/>
          <w:w w:val="80"/>
        </w:rPr>
        <w:t xml:space="preserve">ꎬ </w:t>
      </w:r>
      <w:r>
        <w:t>发现存在的安全问题应当由其他有关部门进行处理的</w:t>
      </w:r>
      <w:r>
        <w:rPr>
          <w:rFonts w:hint="eastAsia" w:ascii="MS UI Gothic" w:eastAsia="MS UI Gothic"/>
          <w:w w:val="80"/>
        </w:rPr>
        <w:t xml:space="preserve">ꎬ </w:t>
      </w:r>
      <w:r>
        <w:t>应当及时移送其他有关部门并形成记录备查</w:t>
      </w:r>
      <w:r>
        <w:rPr>
          <w:rFonts w:hint="eastAsia" w:ascii="MS UI Gothic" w:eastAsia="MS UI Gothic"/>
          <w:w w:val="80"/>
        </w:rPr>
        <w:t xml:space="preserve">ꎬ </w:t>
      </w:r>
      <w:r>
        <w:t>接受移送的部门应当及时进行处理</w:t>
      </w:r>
      <w:r>
        <w:rPr>
          <w:rFonts w:hint="eastAsia" w:ascii="MS UI Gothic" w:eastAsia="MS UI Gothic"/>
          <w:w w:val="80"/>
        </w:rPr>
        <w:t>ꎮ</w:t>
      </w:r>
    </w:p>
    <w:p>
      <w:pPr>
        <w:pStyle w:val="6"/>
        <w:spacing w:line="295" w:lineRule="auto"/>
        <w:ind w:left="440" w:right="1"/>
      </w:pPr>
      <w:r>
        <w:t>第六十七条 负有安全生产监督管理职责的部门依法对存在重大事故隐患的生产经营单位作出停产停业</w:t>
      </w:r>
      <w:r>
        <w:rPr>
          <w:rFonts w:hint="eastAsia" w:ascii="MS UI Gothic" w:eastAsia="MS UI Gothic"/>
          <w:w w:val="80"/>
        </w:rPr>
        <w:t xml:space="preserve">、 </w:t>
      </w:r>
      <w:r>
        <w:t>停止施工</w:t>
      </w:r>
      <w:r>
        <w:rPr>
          <w:rFonts w:hint="eastAsia" w:ascii="MS UI Gothic" w:eastAsia="MS UI Gothic"/>
          <w:w w:val="80"/>
        </w:rPr>
        <w:t xml:space="preserve">、 </w:t>
      </w:r>
      <w:r>
        <w:t>停止使用相关设施或者设备的决定</w:t>
      </w:r>
      <w:r>
        <w:rPr>
          <w:rFonts w:hint="eastAsia" w:ascii="MS UI Gothic" w:eastAsia="MS UI Gothic"/>
          <w:w w:val="80"/>
        </w:rPr>
        <w:t xml:space="preserve">ꎬ </w:t>
      </w:r>
      <w:r>
        <w:t>生产经营单位应当依法执行</w:t>
      </w:r>
      <w:r>
        <w:rPr>
          <w:rFonts w:hint="eastAsia" w:ascii="MS UI Gothic" w:eastAsia="MS UI Gothic"/>
          <w:w w:val="80"/>
        </w:rPr>
        <w:t xml:space="preserve">ꎬ </w:t>
      </w:r>
      <w:r>
        <w:t>及时消除事故隐患</w:t>
      </w:r>
      <w:r>
        <w:rPr>
          <w:rFonts w:hint="eastAsia" w:ascii="MS UI Gothic" w:eastAsia="MS UI Gothic"/>
          <w:w w:val="80"/>
        </w:rPr>
        <w:t xml:space="preserve">ꎮ </w:t>
      </w:r>
      <w:r>
        <w:t>生产经营单位拒不执行</w:t>
      </w:r>
      <w:r>
        <w:rPr>
          <w:rFonts w:hint="eastAsia" w:ascii="MS UI Gothic" w:eastAsia="MS UI Gothic"/>
          <w:w w:val="80"/>
        </w:rPr>
        <w:t xml:space="preserve">ꎬ </w:t>
      </w:r>
      <w:r>
        <w:t>有发生生产安全事故的现实危险的</w:t>
      </w:r>
      <w:r>
        <w:rPr>
          <w:rFonts w:hint="eastAsia" w:ascii="MS UI Gothic" w:eastAsia="MS UI Gothic"/>
          <w:w w:val="80"/>
        </w:rPr>
        <w:t xml:space="preserve">ꎬ </w:t>
      </w:r>
      <w:r>
        <w:t>在保证安全的前提下</w:t>
      </w:r>
      <w:r>
        <w:rPr>
          <w:rFonts w:hint="eastAsia" w:ascii="MS UI Gothic" w:eastAsia="MS UI Gothic"/>
          <w:w w:val="80"/>
        </w:rPr>
        <w:t xml:space="preserve">ꎬ </w:t>
      </w:r>
      <w:r>
        <w:t>经本部门主要负责人批准</w:t>
      </w:r>
      <w:r>
        <w:rPr>
          <w:rFonts w:hint="eastAsia" w:ascii="MS UI Gothic" w:eastAsia="MS UI Gothic"/>
          <w:w w:val="80"/>
        </w:rPr>
        <w:t xml:space="preserve">ꎬ </w:t>
      </w:r>
      <w:r>
        <w:t>负有安全生产监督管理职责的部门可以采取通知</w:t>
      </w:r>
    </w:p>
    <w:p>
      <w:pPr>
        <w:pStyle w:val="6"/>
        <w:spacing w:before="124" w:line="295" w:lineRule="auto"/>
        <w:ind w:left="381" w:right="124" w:firstLine="0"/>
        <w:rPr>
          <w:rFonts w:hint="eastAsia" w:ascii="MS UI Gothic" w:eastAsia="MS UI Gothic"/>
        </w:rPr>
      </w:pPr>
      <w:r>
        <w:br w:type="column"/>
      </w:r>
      <w:r>
        <w:t>有关单位停止供电</w:t>
      </w:r>
      <w:r>
        <w:rPr>
          <w:rFonts w:hint="eastAsia" w:ascii="MS UI Gothic" w:eastAsia="MS UI Gothic"/>
          <w:w w:val="80"/>
        </w:rPr>
        <w:t xml:space="preserve">、 </w:t>
      </w:r>
      <w:r>
        <w:t>停止供应民用爆炸物品等措施</w:t>
      </w:r>
      <w:r>
        <w:rPr>
          <w:rFonts w:hint="eastAsia" w:ascii="MS UI Gothic" w:eastAsia="MS UI Gothic"/>
          <w:w w:val="80"/>
        </w:rPr>
        <w:t xml:space="preserve">ꎬ </w:t>
      </w:r>
      <w:r>
        <w:t>强制生产经营单位履行决定</w:t>
      </w:r>
      <w:r>
        <w:rPr>
          <w:rFonts w:hint="eastAsia" w:ascii="MS UI Gothic" w:eastAsia="MS UI Gothic"/>
          <w:w w:val="80"/>
        </w:rPr>
        <w:t>ꎮ</w:t>
      </w:r>
      <w:r>
        <w:t>通知应当采用书面形式</w:t>
      </w:r>
      <w:r>
        <w:rPr>
          <w:rFonts w:hint="eastAsia" w:ascii="MS UI Gothic" w:eastAsia="MS UI Gothic"/>
          <w:w w:val="80"/>
        </w:rPr>
        <w:t xml:space="preserve">ꎬ </w:t>
      </w:r>
      <w:r>
        <w:t>有关单位应当予以配合</w:t>
      </w:r>
      <w:r>
        <w:rPr>
          <w:rFonts w:hint="eastAsia" w:ascii="MS UI Gothic" w:eastAsia="MS UI Gothic"/>
          <w:w w:val="80"/>
        </w:rPr>
        <w:t>ꎮ</w:t>
      </w:r>
    </w:p>
    <w:p>
      <w:pPr>
        <w:pStyle w:val="6"/>
        <w:spacing w:line="295" w:lineRule="auto"/>
        <w:ind w:left="381" w:right="126"/>
        <w:rPr>
          <w:rFonts w:hint="eastAsia" w:ascii="MS UI Gothic" w:eastAsia="MS UI Gothic"/>
        </w:rPr>
      </w:pPr>
      <w:r>
        <w:t>负有安全生产监督管理职责的部门依照前款规定采取停止供电措施</w:t>
      </w:r>
      <w:r>
        <w:rPr>
          <w:rFonts w:hint="eastAsia" w:ascii="MS UI Gothic" w:eastAsia="MS UI Gothic"/>
          <w:w w:val="80"/>
        </w:rPr>
        <w:t xml:space="preserve">ꎬ </w:t>
      </w:r>
      <w:r>
        <w:t>除有危及生产安全的紧急情形外</w:t>
      </w:r>
      <w:r>
        <w:rPr>
          <w:rFonts w:hint="eastAsia" w:ascii="MS UI Gothic" w:eastAsia="MS UI Gothic"/>
          <w:w w:val="80"/>
        </w:rPr>
        <w:t xml:space="preserve">ꎬ </w:t>
      </w:r>
      <w:r>
        <w:t>应当提前二十四小时通知生产经营单位</w:t>
      </w:r>
      <w:r>
        <w:rPr>
          <w:rFonts w:hint="eastAsia" w:ascii="MS UI Gothic" w:eastAsia="MS UI Gothic"/>
          <w:w w:val="80"/>
        </w:rPr>
        <w:t xml:space="preserve">ꎮ </w:t>
      </w:r>
      <w:r>
        <w:t>生产经营单位依</w:t>
      </w:r>
      <w:r>
        <w:rPr>
          <w:w w:val="105"/>
        </w:rPr>
        <w:t>法履行行政决定</w:t>
      </w:r>
      <w:r>
        <w:rPr>
          <w:rFonts w:hint="eastAsia" w:ascii="MS UI Gothic" w:eastAsia="MS UI Gothic"/>
          <w:w w:val="80"/>
        </w:rPr>
        <w:t xml:space="preserve">、 </w:t>
      </w:r>
      <w:r>
        <w:rPr>
          <w:w w:val="105"/>
        </w:rPr>
        <w:t>采取相应措施消除事故</w:t>
      </w:r>
      <w:r>
        <w:t>隐患的</w:t>
      </w:r>
      <w:r>
        <w:rPr>
          <w:rFonts w:hint="eastAsia" w:ascii="MS UI Gothic" w:eastAsia="MS UI Gothic"/>
          <w:w w:val="80"/>
        </w:rPr>
        <w:t xml:space="preserve">ꎬ </w:t>
      </w:r>
      <w:r>
        <w:t>负有安全生产监督管理职责的部</w:t>
      </w:r>
      <w:r>
        <w:rPr>
          <w:w w:val="105"/>
        </w:rPr>
        <w:t>门应当及时解除前款规定的措施</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第六十八条 监察机关依照行政监察</w:t>
      </w:r>
      <w:r>
        <w:t>法的规定</w:t>
      </w:r>
      <w:r>
        <w:rPr>
          <w:rFonts w:hint="eastAsia" w:ascii="MS UI Gothic" w:eastAsia="MS UI Gothic"/>
          <w:w w:val="80"/>
        </w:rPr>
        <w:t xml:space="preserve">ꎬ </w:t>
      </w:r>
      <w:r>
        <w:t>对负有安全生产监督管理职责的部门及其工作人员履行安全生产监督管</w:t>
      </w:r>
      <w:r>
        <w:rPr>
          <w:w w:val="105"/>
        </w:rPr>
        <w:t>理职责实施监察</w:t>
      </w:r>
      <w:r>
        <w:rPr>
          <w:rFonts w:hint="eastAsia" w:ascii="MS UI Gothic" w:eastAsia="MS UI Gothic"/>
          <w:w w:val="80"/>
        </w:rPr>
        <w:t>ꎮ</w:t>
      </w:r>
    </w:p>
    <w:p>
      <w:pPr>
        <w:pStyle w:val="6"/>
        <w:spacing w:line="295" w:lineRule="auto"/>
        <w:ind w:left="381" w:right="124"/>
        <w:rPr>
          <w:rFonts w:hint="eastAsia" w:ascii="MS UI Gothic" w:eastAsia="MS UI Gothic"/>
        </w:rPr>
      </w:pPr>
      <w:r>
        <w:t>第六十九条 承担安全评价</w:t>
      </w:r>
      <w:r>
        <w:rPr>
          <w:rFonts w:hint="eastAsia" w:ascii="MS UI Gothic" w:eastAsia="MS UI Gothic"/>
          <w:w w:val="80"/>
        </w:rPr>
        <w:t xml:space="preserve">、 </w:t>
      </w:r>
      <w:r>
        <w:t>认证</w:t>
      </w:r>
      <w:r>
        <w:rPr>
          <w:rFonts w:hint="eastAsia" w:ascii="MS UI Gothic" w:eastAsia="MS UI Gothic"/>
          <w:w w:val="80"/>
        </w:rPr>
        <w:t>、</w:t>
      </w:r>
      <w:r>
        <w:t>检测</w:t>
      </w:r>
      <w:r>
        <w:rPr>
          <w:rFonts w:hint="eastAsia" w:ascii="MS UI Gothic" w:eastAsia="MS UI Gothic"/>
          <w:w w:val="80"/>
        </w:rPr>
        <w:t xml:space="preserve">、 </w:t>
      </w:r>
      <w:r>
        <w:t>检验的机构应当具备国家规定的资质条件</w:t>
      </w:r>
      <w:r>
        <w:rPr>
          <w:rFonts w:hint="eastAsia" w:ascii="MS UI Gothic" w:eastAsia="MS UI Gothic"/>
          <w:w w:val="80"/>
        </w:rPr>
        <w:t xml:space="preserve">ꎬ </w:t>
      </w:r>
      <w:r>
        <w:t>并对其作出的安全评价</w:t>
      </w:r>
      <w:r>
        <w:rPr>
          <w:rFonts w:hint="eastAsia" w:ascii="MS UI Gothic" w:eastAsia="MS UI Gothic"/>
          <w:w w:val="80"/>
        </w:rPr>
        <w:t xml:space="preserve">、 </w:t>
      </w:r>
      <w:r>
        <w:t>认证</w:t>
      </w:r>
      <w:r>
        <w:rPr>
          <w:rFonts w:hint="eastAsia" w:ascii="MS UI Gothic" w:eastAsia="MS UI Gothic"/>
          <w:w w:val="80"/>
        </w:rPr>
        <w:t>、</w:t>
      </w:r>
      <w:r>
        <w:t>检测</w:t>
      </w:r>
      <w:r>
        <w:rPr>
          <w:rFonts w:hint="eastAsia" w:ascii="MS UI Gothic" w:eastAsia="MS UI Gothic"/>
          <w:w w:val="80"/>
        </w:rPr>
        <w:t xml:space="preserve">、 </w:t>
      </w:r>
      <w:r>
        <w:t>检验的结果负责</w:t>
      </w:r>
      <w:r>
        <w:rPr>
          <w:rFonts w:hint="eastAsia" w:ascii="MS UI Gothic" w:eastAsia="MS UI Gothic"/>
          <w:w w:val="80"/>
        </w:rPr>
        <w:t>ꎮ</w:t>
      </w:r>
    </w:p>
    <w:p>
      <w:pPr>
        <w:pStyle w:val="6"/>
        <w:spacing w:line="295" w:lineRule="auto"/>
        <w:ind w:left="381" w:right="126"/>
        <w:rPr>
          <w:rFonts w:hint="eastAsia" w:ascii="MS UI Gothic" w:eastAsia="MS UI Gothic"/>
        </w:rPr>
      </w:pPr>
      <w:r>
        <w:t>第七十条 负有安全生产监督管理职责的部门应当建立举报制度</w:t>
      </w:r>
      <w:r>
        <w:rPr>
          <w:rFonts w:hint="eastAsia" w:ascii="MS UI Gothic" w:eastAsia="MS UI Gothic"/>
          <w:w w:val="80"/>
        </w:rPr>
        <w:t xml:space="preserve">ꎬ </w:t>
      </w:r>
      <w:r>
        <w:t>公开举报电话</w:t>
      </w:r>
      <w:r>
        <w:rPr>
          <w:rFonts w:hint="eastAsia" w:ascii="MS UI Gothic" w:eastAsia="MS UI Gothic"/>
          <w:w w:val="80"/>
        </w:rPr>
        <w:t xml:space="preserve">、 </w:t>
      </w:r>
      <w:r>
        <w:t>信箱或者电子邮件地址</w:t>
      </w:r>
      <w:r>
        <w:rPr>
          <w:rFonts w:hint="eastAsia" w:ascii="MS UI Gothic" w:eastAsia="MS UI Gothic"/>
          <w:w w:val="80"/>
        </w:rPr>
        <w:t xml:space="preserve">ꎬ </w:t>
      </w:r>
      <w:r>
        <w:t>受理有关安全生产的举报</w:t>
      </w:r>
      <w:r>
        <w:rPr>
          <w:rFonts w:hint="eastAsia" w:ascii="MS UI Gothic" w:eastAsia="MS UI Gothic"/>
          <w:w w:val="80"/>
        </w:rPr>
        <w:t xml:space="preserve">ꎻ </w:t>
      </w:r>
      <w:r>
        <w:t>受理的举报事项经调查核实后</w:t>
      </w:r>
      <w:r>
        <w:rPr>
          <w:rFonts w:hint="eastAsia" w:ascii="MS UI Gothic" w:eastAsia="MS UI Gothic"/>
          <w:w w:val="80"/>
        </w:rPr>
        <w:t xml:space="preserve">ꎬ </w:t>
      </w:r>
      <w:r>
        <w:t>应当形成书面材料</w:t>
      </w:r>
      <w:r>
        <w:rPr>
          <w:rFonts w:hint="eastAsia" w:ascii="MS UI Gothic" w:eastAsia="MS UI Gothic"/>
          <w:w w:val="80"/>
        </w:rPr>
        <w:t xml:space="preserve">ꎻ </w:t>
      </w:r>
      <w:r>
        <w:t>需要落实整改措施的</w:t>
      </w:r>
      <w:r>
        <w:rPr>
          <w:rFonts w:hint="eastAsia" w:ascii="MS UI Gothic" w:eastAsia="MS UI Gothic"/>
          <w:w w:val="80"/>
        </w:rPr>
        <w:t xml:space="preserve">ꎬ </w:t>
      </w:r>
      <w:r>
        <w:t>报经有关负责人签字并督促落实</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第七十一条 任何单位或者个人对事</w:t>
      </w:r>
      <w:r>
        <w:t>故隐患或者安全生产违法行为</w:t>
      </w:r>
      <w:r>
        <w:rPr>
          <w:rFonts w:hint="eastAsia" w:ascii="MS UI Gothic" w:eastAsia="MS UI Gothic"/>
          <w:w w:val="80"/>
        </w:rPr>
        <w:t xml:space="preserve">ꎬ </w:t>
      </w:r>
      <w:r>
        <w:t>均有权向负有安全生产监督管理职责的部门报告或</w:t>
      </w:r>
      <w:r>
        <w:rPr>
          <w:w w:val="105"/>
        </w:rPr>
        <w:t>者举报</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7"/>
          <w:w w:val="105"/>
        </w:rPr>
        <w:t>第七十二条 居民委员会</w:t>
      </w:r>
      <w:r>
        <w:rPr>
          <w:rFonts w:hint="eastAsia" w:ascii="MS UI Gothic" w:eastAsia="MS UI Gothic"/>
          <w:spacing w:val="19"/>
          <w:w w:val="80"/>
        </w:rPr>
        <w:t xml:space="preserve">、 </w:t>
      </w:r>
      <w:r>
        <w:rPr>
          <w:spacing w:val="2"/>
          <w:w w:val="105"/>
        </w:rPr>
        <w:t>村民委员</w:t>
      </w:r>
      <w:r>
        <w:rPr>
          <w:spacing w:val="2"/>
        </w:rPr>
        <w:t>会发现其所在区域内的生产经营单位存在</w:t>
      </w:r>
      <w:r>
        <w:rPr>
          <w:spacing w:val="3"/>
        </w:rPr>
        <w:t>事故隐患或者安全生产违法行为时</w:t>
      </w:r>
      <w:r>
        <w:rPr>
          <w:rFonts w:hint="eastAsia" w:ascii="MS UI Gothic" w:eastAsia="MS UI Gothic"/>
          <w:spacing w:val="20"/>
          <w:w w:val="80"/>
        </w:rPr>
        <w:t xml:space="preserve">ꎬ </w:t>
      </w:r>
      <w:r>
        <w:rPr>
          <w:spacing w:val="1"/>
        </w:rPr>
        <w:t>应当</w:t>
      </w:r>
      <w:r>
        <w:rPr>
          <w:spacing w:val="3"/>
          <w:w w:val="105"/>
        </w:rPr>
        <w:t>向当地人民政府或者有关部门报告</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第七十三条 县级以上各级人民政府</w:t>
      </w:r>
      <w:r>
        <w:rPr>
          <w:spacing w:val="2"/>
        </w:rPr>
        <w:t>及其有关部门对报告重大事故隐患或者举</w:t>
      </w:r>
      <w:r>
        <w:rPr>
          <w:spacing w:val="3"/>
        </w:rPr>
        <w:t>报安全生产违法行为的有功人员</w:t>
      </w:r>
      <w:r>
        <w:rPr>
          <w:rFonts w:hint="eastAsia" w:ascii="MS UI Gothic" w:eastAsia="MS UI Gothic"/>
          <w:spacing w:val="20"/>
          <w:w w:val="80"/>
        </w:rPr>
        <w:t xml:space="preserve">ꎬ </w:t>
      </w:r>
      <w:r>
        <w:rPr>
          <w:spacing w:val="1"/>
        </w:rPr>
        <w:t>给予奖</w:t>
      </w:r>
      <w:r>
        <w:rPr>
          <w:spacing w:val="3"/>
        </w:rPr>
        <w:t>励</w:t>
      </w:r>
      <w:r>
        <w:rPr>
          <w:rFonts w:hint="eastAsia" w:ascii="MS UI Gothic" w:eastAsia="MS UI Gothic"/>
          <w:spacing w:val="20"/>
          <w:w w:val="80"/>
        </w:rPr>
        <w:t xml:space="preserve">ꎮ </w:t>
      </w:r>
      <w:r>
        <w:rPr>
          <w:spacing w:val="2"/>
        </w:rPr>
        <w:t>具体奖励办法由国务院安全生产监督</w:t>
      </w:r>
      <w:r>
        <w:rPr>
          <w:spacing w:val="3"/>
          <w:w w:val="105"/>
        </w:rPr>
        <w:t>管理部门会同国务院财政部门制定</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５８</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22" o:spid="_x0000_s1222" o:spt="203" style="height:2.15pt;width:398.25pt;" coordsize="7965,43">
            <o:lock v:ext="edit"/>
            <v:line id="_x0000_s1223" o:spid="_x0000_s1223" o:spt="20" style="position:absolute;left:0;top:39;height:0;width:7965;" stroked="t" coordsize="21600,21600">
              <v:path arrowok="t"/>
              <v:fill focussize="0,0"/>
              <v:stroke weight="0.388031496062992pt" color="#231F20"/>
              <v:imagedata o:title=""/>
              <o:lock v:ext="edit"/>
            </v:line>
            <v:line id="_x0000_s1224" o:spid="_x0000_s122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t>第七十四条 新闻</w:t>
      </w:r>
      <w:r>
        <w:rPr>
          <w:rFonts w:hint="eastAsia" w:ascii="MS UI Gothic" w:eastAsia="MS UI Gothic"/>
          <w:w w:val="80"/>
        </w:rPr>
        <w:t xml:space="preserve">、 </w:t>
      </w:r>
      <w:r>
        <w:t>出版</w:t>
      </w:r>
      <w:r>
        <w:rPr>
          <w:rFonts w:hint="eastAsia" w:ascii="MS UI Gothic" w:eastAsia="MS UI Gothic"/>
          <w:w w:val="80"/>
        </w:rPr>
        <w:t xml:space="preserve">、  </w:t>
      </w:r>
      <w:r>
        <w:t>广播</w:t>
      </w:r>
      <w:r>
        <w:rPr>
          <w:rFonts w:hint="eastAsia" w:ascii="MS UI Gothic" w:eastAsia="MS UI Gothic"/>
          <w:w w:val="80"/>
        </w:rPr>
        <w:t xml:space="preserve">、  </w:t>
      </w:r>
      <w:r>
        <w:t>电影</w:t>
      </w:r>
      <w:r>
        <w:rPr>
          <w:rFonts w:hint="eastAsia" w:ascii="MS UI Gothic" w:eastAsia="MS UI Gothic"/>
          <w:w w:val="80"/>
        </w:rPr>
        <w:t xml:space="preserve">、 </w:t>
      </w:r>
      <w:r>
        <w:t>电视等单位有进行安全生产公益宣传教育的义务</w:t>
      </w:r>
      <w:r>
        <w:rPr>
          <w:rFonts w:hint="eastAsia" w:ascii="MS UI Gothic" w:eastAsia="MS UI Gothic"/>
          <w:w w:val="80"/>
        </w:rPr>
        <w:t xml:space="preserve">ꎬ </w:t>
      </w:r>
      <w:r>
        <w:t>有对违反安全生产法律</w:t>
      </w:r>
      <w:r>
        <w:rPr>
          <w:rFonts w:hint="eastAsia" w:ascii="MS UI Gothic" w:eastAsia="MS UI Gothic"/>
          <w:w w:val="80"/>
        </w:rPr>
        <w:t xml:space="preserve">、 </w:t>
      </w:r>
      <w:r>
        <w:t>法规的行为进行舆论监督的权利</w:t>
      </w:r>
      <w:r>
        <w:rPr>
          <w:rFonts w:hint="eastAsia" w:ascii="MS UI Gothic" w:eastAsia="MS UI Gothic"/>
          <w:w w:val="80"/>
        </w:rPr>
        <w:t>ꎮ</w:t>
      </w:r>
    </w:p>
    <w:p>
      <w:pPr>
        <w:pStyle w:val="6"/>
        <w:spacing w:line="295" w:lineRule="auto"/>
        <w:ind w:right="39"/>
        <w:rPr>
          <w:rFonts w:hint="eastAsia" w:ascii="MS UI Gothic" w:eastAsia="MS UI Gothic"/>
        </w:rPr>
      </w:pPr>
      <w:r>
        <w:t>第七十五条 负有安全生产监督管理职责的部门应当建立安全生产违法行为信息库</w:t>
      </w:r>
      <w:r>
        <w:rPr>
          <w:rFonts w:hint="eastAsia" w:ascii="MS UI Gothic" w:eastAsia="MS UI Gothic"/>
          <w:w w:val="80"/>
        </w:rPr>
        <w:t xml:space="preserve">ꎬ </w:t>
      </w:r>
      <w:r>
        <w:t>如实记录生产经营单位的安全生产违法行为信息</w:t>
      </w:r>
      <w:r>
        <w:rPr>
          <w:rFonts w:hint="eastAsia" w:ascii="MS UI Gothic" w:eastAsia="MS UI Gothic"/>
          <w:w w:val="80"/>
        </w:rPr>
        <w:t xml:space="preserve">ꎻ </w:t>
      </w:r>
      <w:r>
        <w:t>对违法行为情节严重的生产经营单位</w:t>
      </w:r>
      <w:r>
        <w:rPr>
          <w:rFonts w:hint="eastAsia" w:ascii="MS UI Gothic" w:eastAsia="MS UI Gothic"/>
          <w:w w:val="80"/>
        </w:rPr>
        <w:t xml:space="preserve">ꎬ </w:t>
      </w:r>
      <w:r>
        <w:t>应当向社会公告</w:t>
      </w:r>
      <w:r>
        <w:rPr>
          <w:rFonts w:hint="eastAsia" w:ascii="MS UI Gothic" w:eastAsia="MS UI Gothic"/>
          <w:w w:val="80"/>
        </w:rPr>
        <w:t xml:space="preserve">ꎬ </w:t>
      </w:r>
      <w:r>
        <w:t>并通报行业主管部门</w:t>
      </w:r>
      <w:r>
        <w:rPr>
          <w:rFonts w:hint="eastAsia" w:ascii="MS UI Gothic" w:eastAsia="MS UI Gothic"/>
          <w:w w:val="80"/>
        </w:rPr>
        <w:t xml:space="preserve">、 </w:t>
      </w:r>
      <w:r>
        <w:t>投资主管部门</w:t>
      </w:r>
      <w:r>
        <w:rPr>
          <w:rFonts w:hint="eastAsia" w:ascii="MS UI Gothic" w:eastAsia="MS UI Gothic"/>
          <w:w w:val="80"/>
        </w:rPr>
        <w:t xml:space="preserve">、 </w:t>
      </w:r>
      <w:r>
        <w:t>国土资源主管部门</w:t>
      </w:r>
      <w:r>
        <w:rPr>
          <w:rFonts w:hint="eastAsia" w:ascii="MS UI Gothic" w:eastAsia="MS UI Gothic"/>
          <w:w w:val="80"/>
        </w:rPr>
        <w:t xml:space="preserve">、 </w:t>
      </w:r>
      <w:r>
        <w:t>证券监督管理机构以及有关金融机构</w:t>
      </w:r>
      <w:r>
        <w:rPr>
          <w:rFonts w:hint="eastAsia" w:ascii="MS UI Gothic" w:eastAsia="MS UI Gothic"/>
          <w:w w:val="80"/>
        </w:rPr>
        <w:t>ꎮ</w:t>
      </w:r>
    </w:p>
    <w:p>
      <w:pPr>
        <w:pStyle w:val="6"/>
        <w:tabs>
          <w:tab w:val="left" w:pos="1696"/>
        </w:tabs>
        <w:spacing w:before="148" w:line="295" w:lineRule="auto"/>
        <w:ind w:left="1067" w:right="773" w:hanging="210"/>
        <w:jc w:val="left"/>
      </w:pPr>
      <w:r>
        <w:rPr>
          <w:spacing w:val="3"/>
          <w:w w:val="105"/>
        </w:rPr>
        <w:t>第五</w:t>
      </w:r>
      <w:r>
        <w:rPr>
          <w:w w:val="105"/>
        </w:rPr>
        <w:t>章</w:t>
      </w:r>
      <w:r>
        <w:rPr>
          <w:w w:val="105"/>
        </w:rPr>
        <w:tab/>
      </w:r>
      <w:r>
        <w:rPr>
          <w:spacing w:val="3"/>
        </w:rPr>
        <w:t>生产安全事故</w:t>
      </w:r>
      <w:r>
        <w:rPr>
          <w:spacing w:val="-12"/>
        </w:rPr>
        <w:t>的</w:t>
      </w:r>
      <w:r>
        <w:rPr>
          <w:spacing w:val="3"/>
          <w:w w:val="105"/>
        </w:rPr>
        <w:t>应急救援与调查处</w:t>
      </w:r>
      <w:r>
        <w:rPr>
          <w:w w:val="105"/>
        </w:rPr>
        <w:t>理</w:t>
      </w:r>
    </w:p>
    <w:p>
      <w:pPr>
        <w:pStyle w:val="6"/>
        <w:spacing w:before="155" w:line="295" w:lineRule="auto"/>
        <w:ind w:right="39"/>
        <w:rPr>
          <w:rFonts w:hint="eastAsia" w:ascii="MS UI Gothic" w:eastAsia="MS UI Gothic"/>
        </w:rPr>
      </w:pPr>
      <w:r>
        <w:t>第七十六条 国家加强生产安全事故应急能力建设</w:t>
      </w:r>
      <w:r>
        <w:rPr>
          <w:rFonts w:hint="eastAsia" w:ascii="MS UI Gothic" w:eastAsia="MS UI Gothic"/>
          <w:w w:val="80"/>
        </w:rPr>
        <w:t xml:space="preserve">ꎬ </w:t>
      </w:r>
      <w:r>
        <w:t>在重点行业</w:t>
      </w:r>
      <w:r>
        <w:rPr>
          <w:rFonts w:hint="eastAsia" w:ascii="MS UI Gothic" w:eastAsia="MS UI Gothic"/>
          <w:w w:val="80"/>
        </w:rPr>
        <w:t xml:space="preserve">、 </w:t>
      </w:r>
      <w:r>
        <w:t>领域建立应急救援基地和应急救援队伍</w:t>
      </w:r>
      <w:r>
        <w:rPr>
          <w:rFonts w:hint="eastAsia" w:ascii="MS UI Gothic" w:eastAsia="MS UI Gothic"/>
          <w:w w:val="80"/>
        </w:rPr>
        <w:t xml:space="preserve">ꎬ </w:t>
      </w:r>
      <w:r>
        <w:t>鼓励生产经营单位和其他社会力量建立应急救援队伍</w:t>
      </w:r>
      <w:r>
        <w:rPr>
          <w:rFonts w:hint="eastAsia" w:ascii="MS UI Gothic" w:eastAsia="MS UI Gothic"/>
          <w:w w:val="80"/>
        </w:rPr>
        <w:t xml:space="preserve">ꎬ </w:t>
      </w:r>
      <w:r>
        <w:t>配备相应的应急救援装备和物资</w:t>
      </w:r>
      <w:r>
        <w:rPr>
          <w:rFonts w:hint="eastAsia" w:ascii="MS UI Gothic" w:eastAsia="MS UI Gothic"/>
          <w:w w:val="80"/>
        </w:rPr>
        <w:t xml:space="preserve">ꎬ </w:t>
      </w:r>
      <w:r>
        <w:t>提高应急救援的专业化水平</w:t>
      </w:r>
      <w:r>
        <w:rPr>
          <w:rFonts w:hint="eastAsia" w:ascii="MS UI Gothic" w:eastAsia="MS UI Gothic"/>
          <w:w w:val="80"/>
        </w:rPr>
        <w:t>ꎮ</w:t>
      </w:r>
    </w:p>
    <w:p>
      <w:pPr>
        <w:pStyle w:val="6"/>
        <w:spacing w:line="295" w:lineRule="auto"/>
        <w:ind w:right="38"/>
        <w:rPr>
          <w:rFonts w:hint="eastAsia" w:ascii="MS UI Gothic" w:eastAsia="MS UI Gothic"/>
        </w:rPr>
      </w:pPr>
      <w:r>
        <w:t>国务院安全生产监督管理部门建立全国统一的生产安全事故应急救援信息系统</w:t>
      </w:r>
      <w:r>
        <w:rPr>
          <w:rFonts w:hint="eastAsia" w:ascii="MS UI Gothic" w:eastAsia="MS UI Gothic"/>
          <w:w w:val="80"/>
        </w:rPr>
        <w:t xml:space="preserve">ꎬ </w:t>
      </w:r>
      <w:r>
        <w:t>国务院有关部门建立健全相关行业</w:t>
      </w:r>
      <w:r>
        <w:rPr>
          <w:rFonts w:hint="eastAsia" w:ascii="MS UI Gothic" w:eastAsia="MS UI Gothic"/>
          <w:w w:val="80"/>
        </w:rPr>
        <w:t>、</w:t>
      </w:r>
      <w:r>
        <w:t>领域的生产安全事故应急救援信息系统</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第七十七条 县级以上地方各级人民</w:t>
      </w:r>
      <w:r>
        <w:t>政府应当组织有关部门制定本行政区域内生产安全事故应急救援预案</w:t>
      </w:r>
      <w:r>
        <w:rPr>
          <w:rFonts w:hint="eastAsia" w:ascii="MS UI Gothic" w:eastAsia="MS UI Gothic"/>
          <w:w w:val="80"/>
        </w:rPr>
        <w:t xml:space="preserve">ꎬ </w:t>
      </w:r>
      <w:r>
        <w:t>建立应急救</w:t>
      </w:r>
      <w:r>
        <w:rPr>
          <w:w w:val="105"/>
        </w:rPr>
        <w:t>援体系</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第七十八条 生产经营单位应当制定</w:t>
      </w:r>
      <w:r>
        <w:t>本单位生产安全事故应急救援预案</w:t>
      </w:r>
      <w:r>
        <w:rPr>
          <w:rFonts w:hint="eastAsia" w:ascii="MS UI Gothic" w:eastAsia="MS UI Gothic"/>
          <w:w w:val="80"/>
        </w:rPr>
        <w:t xml:space="preserve">ꎬ </w:t>
      </w:r>
      <w:r>
        <w:t>与所在地县级以上地方人民政府组织制定的生产安全事故应急救援预案相衔接</w:t>
      </w:r>
      <w:r>
        <w:rPr>
          <w:rFonts w:hint="eastAsia" w:ascii="MS UI Gothic" w:eastAsia="MS UI Gothic"/>
          <w:w w:val="80"/>
        </w:rPr>
        <w:t xml:space="preserve">ꎬ </w:t>
      </w:r>
      <w:r>
        <w:t>并定期</w:t>
      </w:r>
      <w:r>
        <w:rPr>
          <w:w w:val="105"/>
        </w:rPr>
        <w:t>组织演练</w:t>
      </w:r>
      <w:r>
        <w:rPr>
          <w:rFonts w:hint="eastAsia" w:ascii="MS UI Gothic" w:eastAsia="MS UI Gothic"/>
          <w:w w:val="80"/>
        </w:rPr>
        <w:t>ꎮ</w:t>
      </w:r>
    </w:p>
    <w:p>
      <w:pPr>
        <w:pStyle w:val="6"/>
        <w:spacing w:line="295" w:lineRule="auto"/>
        <w:ind w:right="39"/>
      </w:pPr>
      <w:r>
        <w:t>第七十九条  危险物品的生产</w:t>
      </w:r>
      <w:r>
        <w:rPr>
          <w:rFonts w:hint="eastAsia" w:ascii="MS UI Gothic" w:eastAsia="MS UI Gothic"/>
          <w:w w:val="80"/>
        </w:rPr>
        <w:t xml:space="preserve">、  </w:t>
      </w:r>
      <w:r>
        <w:t>经营</w:t>
      </w:r>
      <w:r>
        <w:rPr>
          <w:rFonts w:hint="eastAsia" w:ascii="MS UI Gothic" w:eastAsia="MS UI Gothic"/>
          <w:w w:val="80"/>
        </w:rPr>
        <w:t xml:space="preserve">、 </w:t>
      </w:r>
      <w:r>
        <w:t>储存单位以及矿山</w:t>
      </w:r>
      <w:r>
        <w:rPr>
          <w:rFonts w:hint="eastAsia" w:ascii="MS UI Gothic" w:eastAsia="MS UI Gothic"/>
          <w:w w:val="80"/>
        </w:rPr>
        <w:t xml:space="preserve">、 </w:t>
      </w:r>
      <w:r>
        <w:t>金属冶炼</w:t>
      </w:r>
      <w:r>
        <w:rPr>
          <w:rFonts w:hint="eastAsia" w:ascii="MS UI Gothic" w:eastAsia="MS UI Gothic"/>
          <w:w w:val="80"/>
        </w:rPr>
        <w:t xml:space="preserve">、 </w:t>
      </w:r>
      <w:r>
        <w:t>城市轨道交通运营</w:t>
      </w:r>
      <w:r>
        <w:rPr>
          <w:rFonts w:hint="eastAsia" w:ascii="MS UI Gothic" w:eastAsia="MS UI Gothic"/>
          <w:w w:val="80"/>
        </w:rPr>
        <w:t xml:space="preserve">、 </w:t>
      </w:r>
      <w:r>
        <w:t>建筑施工单位应当建立应急救援组织</w:t>
      </w:r>
      <w:r>
        <w:rPr>
          <w:rFonts w:hint="eastAsia" w:ascii="MS UI Gothic" w:eastAsia="MS UI Gothic"/>
          <w:w w:val="80"/>
        </w:rPr>
        <w:t xml:space="preserve">ꎻ </w:t>
      </w:r>
      <w:r>
        <w:t>生产经营规模较小的</w:t>
      </w:r>
      <w:r>
        <w:rPr>
          <w:rFonts w:hint="eastAsia" w:ascii="MS UI Gothic" w:eastAsia="MS UI Gothic"/>
          <w:w w:val="80"/>
        </w:rPr>
        <w:t xml:space="preserve">ꎬ </w:t>
      </w:r>
      <w:r>
        <w:t>可以不建立应急救援组织</w:t>
      </w:r>
      <w:r>
        <w:rPr>
          <w:rFonts w:hint="eastAsia" w:ascii="MS UI Gothic" w:eastAsia="MS UI Gothic"/>
          <w:w w:val="80"/>
        </w:rPr>
        <w:t xml:space="preserve">ꎬ </w:t>
      </w:r>
      <w:r>
        <w:t>但应当指定兼职的</w:t>
      </w:r>
    </w:p>
    <w:p>
      <w:pPr>
        <w:pStyle w:val="6"/>
        <w:spacing w:before="123"/>
        <w:ind w:firstLine="0"/>
        <w:jc w:val="left"/>
        <w:rPr>
          <w:rFonts w:hint="eastAsia" w:ascii="MS UI Gothic" w:eastAsia="MS UI Gothic"/>
        </w:rPr>
      </w:pPr>
      <w:r>
        <w:br w:type="column"/>
      </w:r>
      <w:r>
        <w:t>应急救援人员</w:t>
      </w:r>
      <w:r>
        <w:rPr>
          <w:rFonts w:hint="eastAsia" w:ascii="MS UI Gothic" w:eastAsia="MS UI Gothic"/>
          <w:w w:val="80"/>
        </w:rPr>
        <w:t>ꎮ</w:t>
      </w:r>
    </w:p>
    <w:p>
      <w:pPr>
        <w:pStyle w:val="6"/>
        <w:spacing w:before="58" w:line="295" w:lineRule="auto"/>
        <w:ind w:right="442"/>
        <w:rPr>
          <w:rFonts w:hint="eastAsia" w:ascii="MS UI Gothic" w:eastAsia="MS UI Gothic"/>
        </w:rPr>
      </w:pPr>
      <w:r>
        <w:t>危险物品的生产</w:t>
      </w:r>
      <w:r>
        <w:rPr>
          <w:rFonts w:hint="eastAsia" w:ascii="MS UI Gothic" w:eastAsia="MS UI Gothic"/>
          <w:w w:val="80"/>
        </w:rPr>
        <w:t xml:space="preserve">、 </w:t>
      </w:r>
      <w:r>
        <w:t>经营</w:t>
      </w:r>
      <w:r>
        <w:rPr>
          <w:rFonts w:hint="eastAsia" w:ascii="MS UI Gothic" w:eastAsia="MS UI Gothic"/>
          <w:w w:val="80"/>
        </w:rPr>
        <w:t xml:space="preserve">、 </w:t>
      </w:r>
      <w:r>
        <w:t>储存</w:t>
      </w:r>
      <w:r>
        <w:rPr>
          <w:rFonts w:hint="eastAsia" w:ascii="MS UI Gothic" w:eastAsia="MS UI Gothic"/>
          <w:w w:val="80"/>
        </w:rPr>
        <w:t xml:space="preserve">、 </w:t>
      </w:r>
      <w:r>
        <w:t>运输单位以及矿山</w:t>
      </w:r>
      <w:r>
        <w:rPr>
          <w:rFonts w:hint="eastAsia" w:ascii="MS UI Gothic" w:eastAsia="MS UI Gothic"/>
          <w:w w:val="80"/>
        </w:rPr>
        <w:t xml:space="preserve">、 </w:t>
      </w:r>
      <w:r>
        <w:t>金属冶炼</w:t>
      </w:r>
      <w:r>
        <w:rPr>
          <w:rFonts w:hint="eastAsia" w:ascii="MS UI Gothic" w:eastAsia="MS UI Gothic"/>
          <w:w w:val="80"/>
        </w:rPr>
        <w:t xml:space="preserve">、 </w:t>
      </w:r>
      <w:r>
        <w:t>城市轨道交通运营</w:t>
      </w:r>
      <w:r>
        <w:rPr>
          <w:rFonts w:hint="eastAsia" w:ascii="MS UI Gothic" w:eastAsia="MS UI Gothic"/>
          <w:w w:val="80"/>
        </w:rPr>
        <w:t xml:space="preserve">、 </w:t>
      </w:r>
      <w:r>
        <w:t>建筑施工单位应当配备必要的应急救援器材</w:t>
      </w:r>
      <w:r>
        <w:rPr>
          <w:rFonts w:hint="eastAsia" w:ascii="MS UI Gothic" w:eastAsia="MS UI Gothic"/>
          <w:w w:val="80"/>
        </w:rPr>
        <w:t xml:space="preserve">、 </w:t>
      </w:r>
      <w:r>
        <w:t>设备和物资</w:t>
      </w:r>
      <w:r>
        <w:rPr>
          <w:rFonts w:hint="eastAsia" w:ascii="MS UI Gothic" w:eastAsia="MS UI Gothic"/>
          <w:w w:val="80"/>
        </w:rPr>
        <w:t xml:space="preserve">ꎬ </w:t>
      </w:r>
      <w:r>
        <w:t>并进行经常性维护</w:t>
      </w:r>
      <w:r>
        <w:rPr>
          <w:rFonts w:hint="eastAsia" w:ascii="MS UI Gothic" w:eastAsia="MS UI Gothic"/>
          <w:w w:val="80"/>
        </w:rPr>
        <w:t xml:space="preserve">、 </w:t>
      </w:r>
      <w:r>
        <w:t>保养</w:t>
      </w:r>
      <w:r>
        <w:rPr>
          <w:rFonts w:hint="eastAsia" w:ascii="MS UI Gothic" w:eastAsia="MS UI Gothic"/>
          <w:w w:val="80"/>
        </w:rPr>
        <w:t xml:space="preserve">ꎬ </w:t>
      </w:r>
      <w:r>
        <w:t>保证正常运转</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第八十条 生产经营单位发生生产安</w:t>
      </w:r>
      <w:r>
        <w:t>全事故后</w:t>
      </w:r>
      <w:r>
        <w:rPr>
          <w:rFonts w:hint="eastAsia" w:ascii="MS UI Gothic" w:eastAsia="MS UI Gothic"/>
          <w:w w:val="80"/>
        </w:rPr>
        <w:t xml:space="preserve">ꎬ </w:t>
      </w:r>
      <w:r>
        <w:t>事故现场有关人员应当立即报</w:t>
      </w:r>
      <w:r>
        <w:rPr>
          <w:w w:val="105"/>
        </w:rPr>
        <w:t>告本单位负责人</w:t>
      </w:r>
      <w:r>
        <w:rPr>
          <w:rFonts w:hint="eastAsia" w:ascii="MS UI Gothic" w:eastAsia="MS UI Gothic"/>
          <w:w w:val="80"/>
        </w:rPr>
        <w:t>ꎮ</w:t>
      </w:r>
    </w:p>
    <w:p>
      <w:pPr>
        <w:pStyle w:val="6"/>
        <w:spacing w:line="295" w:lineRule="auto"/>
        <w:ind w:right="440"/>
        <w:rPr>
          <w:rFonts w:hint="eastAsia" w:ascii="MS UI Gothic" w:eastAsia="MS UI Gothic"/>
        </w:rPr>
      </w:pPr>
      <w:r>
        <w:t>单位负责人接到事故报告后</w:t>
      </w:r>
      <w:r>
        <w:rPr>
          <w:rFonts w:hint="eastAsia" w:ascii="MS UI Gothic" w:eastAsia="MS UI Gothic"/>
          <w:w w:val="80"/>
        </w:rPr>
        <w:t xml:space="preserve">ꎬ </w:t>
      </w:r>
      <w:r>
        <w:t>应当迅速采取有效措施</w:t>
      </w:r>
      <w:r>
        <w:rPr>
          <w:rFonts w:hint="eastAsia" w:ascii="MS UI Gothic" w:eastAsia="MS UI Gothic"/>
          <w:w w:val="80"/>
        </w:rPr>
        <w:t xml:space="preserve">ꎬ </w:t>
      </w:r>
      <w:r>
        <w:t>组织抢救</w:t>
      </w:r>
      <w:r>
        <w:rPr>
          <w:rFonts w:hint="eastAsia" w:ascii="MS UI Gothic" w:eastAsia="MS UI Gothic"/>
          <w:w w:val="80"/>
        </w:rPr>
        <w:t xml:space="preserve">ꎬ </w:t>
      </w:r>
      <w:r>
        <w:t>防止事故扩大</w:t>
      </w:r>
      <w:r>
        <w:rPr>
          <w:rFonts w:hint="eastAsia" w:ascii="MS UI Gothic" w:eastAsia="MS UI Gothic"/>
          <w:w w:val="80"/>
        </w:rPr>
        <w:t xml:space="preserve">ꎬ </w:t>
      </w:r>
      <w:r>
        <w:t>减少人员伤亡和财产损失</w:t>
      </w:r>
      <w:r>
        <w:rPr>
          <w:rFonts w:hint="eastAsia" w:ascii="MS UI Gothic" w:eastAsia="MS UI Gothic"/>
          <w:w w:val="80"/>
        </w:rPr>
        <w:t xml:space="preserve">ꎬ </w:t>
      </w:r>
      <w:r>
        <w:t>并按照国家有关规定立即如实报告当地负有安全生产监督管理职责的部门</w:t>
      </w:r>
      <w:r>
        <w:rPr>
          <w:rFonts w:hint="eastAsia" w:ascii="MS UI Gothic" w:eastAsia="MS UI Gothic"/>
          <w:w w:val="80"/>
        </w:rPr>
        <w:t xml:space="preserve">ꎬ </w:t>
      </w:r>
      <w:r>
        <w:t>不得隐瞒不报</w:t>
      </w:r>
      <w:r>
        <w:rPr>
          <w:rFonts w:hint="eastAsia" w:ascii="MS UI Gothic" w:eastAsia="MS UI Gothic"/>
          <w:w w:val="80"/>
        </w:rPr>
        <w:t>、</w:t>
      </w:r>
      <w:r>
        <w:t>谎报或者迟报</w:t>
      </w:r>
      <w:r>
        <w:rPr>
          <w:rFonts w:hint="eastAsia" w:ascii="MS UI Gothic" w:eastAsia="MS UI Gothic"/>
          <w:w w:val="80"/>
        </w:rPr>
        <w:t xml:space="preserve">ꎬ </w:t>
      </w:r>
      <w:r>
        <w:t>不得故意破坏事故现场</w:t>
      </w:r>
      <w:r>
        <w:rPr>
          <w:rFonts w:hint="eastAsia" w:ascii="MS UI Gothic" w:eastAsia="MS UI Gothic"/>
          <w:w w:val="80"/>
        </w:rPr>
        <w:t>、</w:t>
      </w:r>
      <w:r>
        <w:t>毁灭有关证据</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第八十一条 负有安全生产监督管理</w:t>
      </w:r>
      <w:r>
        <w:t>职责的部门接到事故报告后</w:t>
      </w:r>
      <w:r>
        <w:rPr>
          <w:rFonts w:hint="eastAsia" w:ascii="MS UI Gothic" w:eastAsia="MS UI Gothic"/>
          <w:w w:val="80"/>
        </w:rPr>
        <w:t xml:space="preserve">ꎬ </w:t>
      </w:r>
      <w:r>
        <w:t>应当立即按照国家有关规定上报事故情况</w:t>
      </w:r>
      <w:r>
        <w:rPr>
          <w:rFonts w:hint="eastAsia" w:ascii="MS UI Gothic" w:eastAsia="MS UI Gothic"/>
          <w:w w:val="80"/>
        </w:rPr>
        <w:t xml:space="preserve">ꎮ </w:t>
      </w:r>
      <w:r>
        <w:t>负有安全生产监督管理职责的部门和有关地方人民</w:t>
      </w:r>
      <w:r>
        <w:rPr>
          <w:w w:val="105"/>
        </w:rPr>
        <w:t>政府对事故情况不得隐瞒不报</w:t>
      </w:r>
      <w:r>
        <w:rPr>
          <w:rFonts w:hint="eastAsia" w:ascii="MS UI Gothic" w:eastAsia="MS UI Gothic"/>
          <w:w w:val="80"/>
        </w:rPr>
        <w:t xml:space="preserve">、 </w:t>
      </w:r>
      <w:r>
        <w:rPr>
          <w:w w:val="105"/>
        </w:rPr>
        <w:t>谎报或者迟报</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第八十二条 有关地方人民政府和负</w:t>
      </w:r>
      <w:r>
        <w:t>有安全生产监督管理职责的部门的负责人接到生产安全事故报告后</w:t>
      </w:r>
      <w:r>
        <w:rPr>
          <w:rFonts w:hint="eastAsia" w:ascii="MS UI Gothic" w:eastAsia="MS UI Gothic"/>
          <w:w w:val="80"/>
        </w:rPr>
        <w:t xml:space="preserve">ꎬ </w:t>
      </w:r>
      <w:r>
        <w:t>应当按照生产安全事故应急救援预案的要求立即赶到事</w:t>
      </w:r>
      <w:r>
        <w:rPr>
          <w:w w:val="105"/>
        </w:rPr>
        <w:t>故现场</w:t>
      </w:r>
      <w:r>
        <w:rPr>
          <w:rFonts w:hint="eastAsia" w:ascii="MS UI Gothic" w:eastAsia="MS UI Gothic"/>
          <w:w w:val="80"/>
        </w:rPr>
        <w:t xml:space="preserve">ꎬ </w:t>
      </w:r>
      <w:r>
        <w:rPr>
          <w:w w:val="105"/>
        </w:rPr>
        <w:t>组织事故抢救</w:t>
      </w:r>
      <w:r>
        <w:rPr>
          <w:rFonts w:hint="eastAsia" w:ascii="MS UI Gothic" w:eastAsia="MS UI Gothic"/>
          <w:w w:val="80"/>
        </w:rPr>
        <w:t>ꎮ</w:t>
      </w:r>
    </w:p>
    <w:p>
      <w:pPr>
        <w:pStyle w:val="6"/>
        <w:spacing w:line="295" w:lineRule="auto"/>
        <w:ind w:right="442"/>
        <w:rPr>
          <w:rFonts w:hint="eastAsia" w:ascii="MS UI Gothic" w:eastAsia="MS UI Gothic"/>
        </w:rPr>
      </w:pPr>
      <w:r>
        <w:t>参与事故抢救的部门和单位应当服从统一指挥</w:t>
      </w:r>
      <w:r>
        <w:rPr>
          <w:rFonts w:hint="eastAsia" w:ascii="MS UI Gothic" w:eastAsia="MS UI Gothic"/>
          <w:w w:val="80"/>
        </w:rPr>
        <w:t xml:space="preserve">ꎬ </w:t>
      </w:r>
      <w:r>
        <w:t>加强协同联动</w:t>
      </w:r>
      <w:r>
        <w:rPr>
          <w:rFonts w:hint="eastAsia" w:ascii="MS UI Gothic" w:eastAsia="MS UI Gothic"/>
          <w:w w:val="80"/>
        </w:rPr>
        <w:t xml:space="preserve">ꎬ </w:t>
      </w:r>
      <w:r>
        <w:t>采取有效的应急救援措施</w:t>
      </w:r>
      <w:r>
        <w:rPr>
          <w:rFonts w:hint="eastAsia" w:ascii="MS UI Gothic" w:eastAsia="MS UI Gothic"/>
          <w:w w:val="80"/>
        </w:rPr>
        <w:t xml:space="preserve">ꎬ </w:t>
      </w:r>
      <w:r>
        <w:t>并根据事故救援的需要采取警戒</w:t>
      </w:r>
      <w:r>
        <w:rPr>
          <w:rFonts w:hint="eastAsia" w:ascii="MS UI Gothic" w:eastAsia="MS UI Gothic"/>
          <w:w w:val="80"/>
        </w:rPr>
        <w:t xml:space="preserve">、 </w:t>
      </w:r>
      <w:r>
        <w:t>疏散等措施</w:t>
      </w:r>
      <w:r>
        <w:rPr>
          <w:rFonts w:hint="eastAsia" w:ascii="MS UI Gothic" w:eastAsia="MS UI Gothic"/>
          <w:w w:val="80"/>
        </w:rPr>
        <w:t xml:space="preserve">ꎬ </w:t>
      </w:r>
      <w:r>
        <w:t>防止事故扩大和次生灾害的发生</w:t>
      </w:r>
      <w:r>
        <w:rPr>
          <w:rFonts w:hint="eastAsia" w:ascii="MS UI Gothic" w:eastAsia="MS UI Gothic"/>
          <w:w w:val="80"/>
        </w:rPr>
        <w:t xml:space="preserve">ꎬ </w:t>
      </w:r>
      <w:r>
        <w:t>减少人员伤亡和财产损失</w:t>
      </w:r>
      <w:r>
        <w:rPr>
          <w:rFonts w:hint="eastAsia" w:ascii="MS UI Gothic" w:eastAsia="MS UI Gothic"/>
          <w:w w:val="80"/>
        </w:rPr>
        <w:t>ꎮ</w:t>
      </w:r>
    </w:p>
    <w:p>
      <w:pPr>
        <w:pStyle w:val="6"/>
        <w:spacing w:line="295" w:lineRule="auto"/>
        <w:ind w:right="440"/>
        <w:jc w:val="left"/>
        <w:rPr>
          <w:rFonts w:hint="eastAsia" w:ascii="MS UI Gothic" w:eastAsia="MS UI Gothic"/>
        </w:rPr>
      </w:pPr>
      <w:r>
        <w:t>事故抢救过程中应当采取必要措施</w:t>
      </w:r>
      <w:r>
        <w:rPr>
          <w:rFonts w:hint="eastAsia" w:ascii="MS UI Gothic" w:eastAsia="MS UI Gothic"/>
          <w:w w:val="80"/>
        </w:rPr>
        <w:t>ꎬ</w:t>
      </w:r>
      <w:r>
        <w:t>避免或者减少对环境造成的危害</w:t>
      </w:r>
      <w:r>
        <w:rPr>
          <w:rFonts w:hint="eastAsia" w:ascii="MS UI Gothic" w:eastAsia="MS UI Gothic"/>
          <w:w w:val="80"/>
        </w:rPr>
        <w:t>ꎮ</w:t>
      </w:r>
    </w:p>
    <w:p>
      <w:pPr>
        <w:pStyle w:val="6"/>
        <w:spacing w:line="295" w:lineRule="auto"/>
        <w:ind w:right="442"/>
        <w:jc w:val="left"/>
        <w:rPr>
          <w:rFonts w:hint="eastAsia" w:ascii="MS UI Gothic" w:eastAsia="MS UI Gothic"/>
        </w:rPr>
      </w:pPr>
      <w:r>
        <w:t>任何单位和个人都应当支持</w:t>
      </w:r>
      <w:r>
        <w:rPr>
          <w:rFonts w:hint="eastAsia" w:ascii="MS UI Gothic" w:eastAsia="MS UI Gothic"/>
          <w:w w:val="80"/>
        </w:rPr>
        <w:t xml:space="preserve">、 </w:t>
      </w:r>
      <w:r>
        <w:t>配合事故抢救</w:t>
      </w:r>
      <w:r>
        <w:rPr>
          <w:rFonts w:hint="eastAsia" w:ascii="MS UI Gothic" w:eastAsia="MS UI Gothic"/>
          <w:w w:val="80"/>
        </w:rPr>
        <w:t xml:space="preserve">ꎬ </w:t>
      </w:r>
      <w:r>
        <w:t>并提供一切便利条件</w:t>
      </w:r>
      <w:r>
        <w:rPr>
          <w:rFonts w:hint="eastAsia" w:ascii="MS UI Gothic" w:eastAsia="MS UI Gothic"/>
          <w:w w:val="80"/>
        </w:rPr>
        <w:t>ꎮ</w:t>
      </w:r>
    </w:p>
    <w:p>
      <w:pPr>
        <w:pStyle w:val="6"/>
        <w:spacing w:line="295" w:lineRule="auto"/>
        <w:ind w:right="440"/>
        <w:rPr>
          <w:rFonts w:hint="eastAsia" w:ascii="MS UI Gothic" w:eastAsia="MS UI Gothic"/>
        </w:rPr>
      </w:pPr>
      <w:r>
        <w:t>第八十三条 事故调查处理应当按照科学严谨</w:t>
      </w:r>
      <w:r>
        <w:rPr>
          <w:rFonts w:hint="eastAsia" w:ascii="MS UI Gothic" w:eastAsia="MS UI Gothic"/>
          <w:w w:val="80"/>
        </w:rPr>
        <w:t xml:space="preserve">、 </w:t>
      </w:r>
      <w:r>
        <w:t>依法依规</w:t>
      </w:r>
      <w:r>
        <w:rPr>
          <w:rFonts w:hint="eastAsia" w:ascii="MS UI Gothic" w:eastAsia="MS UI Gothic"/>
          <w:w w:val="80"/>
        </w:rPr>
        <w:t xml:space="preserve">、 </w:t>
      </w:r>
      <w:r>
        <w:t>实事求是</w:t>
      </w:r>
      <w:r>
        <w:rPr>
          <w:rFonts w:hint="eastAsia" w:ascii="MS UI Gothic" w:eastAsia="MS UI Gothic"/>
          <w:w w:val="80"/>
        </w:rPr>
        <w:t xml:space="preserve">、 </w:t>
      </w:r>
      <w:r>
        <w:t>注重实效的原则</w:t>
      </w:r>
      <w:r>
        <w:rPr>
          <w:rFonts w:hint="eastAsia" w:ascii="MS UI Gothic" w:eastAsia="MS UI Gothic"/>
          <w:w w:val="80"/>
        </w:rPr>
        <w:t xml:space="preserve">ꎬ </w:t>
      </w:r>
      <w:r>
        <w:t>及时</w:t>
      </w:r>
      <w:r>
        <w:rPr>
          <w:rFonts w:hint="eastAsia" w:ascii="MS UI Gothic" w:eastAsia="MS UI Gothic"/>
          <w:w w:val="80"/>
        </w:rPr>
        <w:t xml:space="preserve">、 </w:t>
      </w:r>
      <w:r>
        <w:t>准确地查清事故原因</w:t>
      </w:r>
      <w:r>
        <w:rPr>
          <w:rFonts w:hint="eastAsia" w:ascii="MS UI Gothic" w:eastAsia="MS UI Gothic"/>
          <w:w w:val="80"/>
        </w:rPr>
        <w:t>ꎬ</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５９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25" o:spid="_x0000_s1225" o:spt="203" style="height:2.15pt;width:398.25pt;" coordsize="7965,43">
            <o:lock v:ext="edit"/>
            <v:line id="_x0000_s1226" o:spid="_x0000_s1226" o:spt="20" style="position:absolute;left:0;top:39;height:0;width:7965;" stroked="t" coordsize="21600,21600">
              <v:path arrowok="t"/>
              <v:fill focussize="0,0"/>
              <v:stroke weight="0.388031496062992pt" color="#231F20"/>
              <v:imagedata o:title=""/>
              <o:lock v:ext="edit"/>
            </v:line>
            <v:line id="_x0000_s1227" o:spid="_x0000_s122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查明事故性质和责任</w:t>
      </w:r>
      <w:r>
        <w:rPr>
          <w:rFonts w:hint="eastAsia" w:ascii="MS UI Gothic" w:eastAsia="MS UI Gothic"/>
          <w:w w:val="80"/>
        </w:rPr>
        <w:t xml:space="preserve">ꎬ </w:t>
      </w:r>
      <w:r>
        <w:t>总结事故教训</w:t>
      </w:r>
      <w:r>
        <w:rPr>
          <w:rFonts w:hint="eastAsia" w:ascii="MS UI Gothic" w:eastAsia="MS UI Gothic"/>
          <w:w w:val="80"/>
        </w:rPr>
        <w:t xml:space="preserve">ꎬ </w:t>
      </w:r>
      <w:r>
        <w:t>提出整改措施</w:t>
      </w:r>
      <w:r>
        <w:rPr>
          <w:rFonts w:hint="eastAsia" w:ascii="MS UI Gothic" w:eastAsia="MS UI Gothic"/>
          <w:w w:val="80"/>
        </w:rPr>
        <w:t xml:space="preserve">ꎬ </w:t>
      </w:r>
      <w:r>
        <w:t>并对事故责任者提出处理意见</w:t>
      </w:r>
      <w:r>
        <w:rPr>
          <w:rFonts w:hint="eastAsia" w:ascii="MS UI Gothic" w:eastAsia="MS UI Gothic"/>
          <w:w w:val="80"/>
        </w:rPr>
        <w:t xml:space="preserve">ꎮ </w:t>
      </w:r>
      <w:r>
        <w:t>事故调查报告应当依法及时向社会公布</w:t>
      </w:r>
      <w:r>
        <w:rPr>
          <w:rFonts w:hint="eastAsia" w:ascii="MS UI Gothic" w:eastAsia="MS UI Gothic"/>
          <w:w w:val="80"/>
        </w:rPr>
        <w:t xml:space="preserve">ꎮ </w:t>
      </w:r>
      <w:r>
        <w:t>事故调查和处理的具体办法由国务院制定</w:t>
      </w:r>
      <w:r>
        <w:rPr>
          <w:rFonts w:hint="eastAsia" w:ascii="MS UI Gothic" w:eastAsia="MS UI Gothic"/>
          <w:w w:val="80"/>
        </w:rPr>
        <w:t>ꎮ</w:t>
      </w:r>
    </w:p>
    <w:p>
      <w:pPr>
        <w:pStyle w:val="6"/>
        <w:spacing w:line="295" w:lineRule="auto"/>
        <w:ind w:left="440"/>
        <w:rPr>
          <w:rFonts w:hint="eastAsia" w:ascii="MS UI Gothic" w:eastAsia="MS UI Gothic"/>
        </w:rPr>
      </w:pPr>
      <w:r>
        <w:t>事故发生单位应当及时全面落实整改措施</w:t>
      </w:r>
      <w:r>
        <w:rPr>
          <w:rFonts w:hint="eastAsia" w:ascii="MS UI Gothic" w:eastAsia="MS UI Gothic"/>
          <w:w w:val="80"/>
        </w:rPr>
        <w:t xml:space="preserve">ꎬ </w:t>
      </w:r>
      <w:r>
        <w:t>负有安全生产监督管理职责的部门</w:t>
      </w:r>
      <w:r>
        <w:rPr>
          <w:w w:val="105"/>
        </w:rPr>
        <w:t>应当加强监督检查</w:t>
      </w:r>
      <w:r>
        <w:rPr>
          <w:rFonts w:hint="eastAsia" w:ascii="MS UI Gothic" w:eastAsia="MS UI Gothic"/>
          <w:w w:val="80"/>
        </w:rPr>
        <w:t>ꎮ</w:t>
      </w:r>
    </w:p>
    <w:p>
      <w:pPr>
        <w:pStyle w:val="6"/>
        <w:spacing w:line="295" w:lineRule="auto"/>
        <w:ind w:left="440"/>
        <w:rPr>
          <w:rFonts w:hint="eastAsia" w:ascii="MS UI Gothic" w:eastAsia="MS UI Gothic"/>
        </w:rPr>
      </w:pPr>
      <w:r>
        <w:t>第八十四条 生产经营单位发生生产安全事故</w:t>
      </w:r>
      <w:r>
        <w:rPr>
          <w:rFonts w:hint="eastAsia" w:ascii="MS UI Gothic" w:eastAsia="MS UI Gothic"/>
          <w:w w:val="80"/>
        </w:rPr>
        <w:t xml:space="preserve">ꎬ </w:t>
      </w:r>
      <w:r>
        <w:t>经调查确定为责任事故的</w:t>
      </w:r>
      <w:r>
        <w:rPr>
          <w:rFonts w:hint="eastAsia" w:ascii="MS UI Gothic" w:eastAsia="MS UI Gothic"/>
          <w:w w:val="80"/>
        </w:rPr>
        <w:t xml:space="preserve">ꎬ </w:t>
      </w:r>
      <w:r>
        <w:t>除了应当查明事故单位的责任并依法予以追究外</w:t>
      </w:r>
      <w:r>
        <w:rPr>
          <w:rFonts w:hint="eastAsia" w:ascii="MS UI Gothic" w:eastAsia="MS UI Gothic"/>
          <w:w w:val="80"/>
        </w:rPr>
        <w:t xml:space="preserve">ꎬ </w:t>
      </w:r>
      <w:r>
        <w:t>还应当查明对安全生产的有关事项负有审查批准和监督职责的行政部门的责任</w:t>
      </w:r>
      <w:r>
        <w:rPr>
          <w:rFonts w:hint="eastAsia" w:ascii="MS UI Gothic" w:eastAsia="MS UI Gothic"/>
          <w:w w:val="80"/>
        </w:rPr>
        <w:t xml:space="preserve">ꎬ </w:t>
      </w:r>
      <w:r>
        <w:t>对有失职</w:t>
      </w:r>
      <w:r>
        <w:rPr>
          <w:rFonts w:hint="eastAsia" w:ascii="MS UI Gothic" w:eastAsia="MS UI Gothic"/>
          <w:w w:val="80"/>
        </w:rPr>
        <w:t xml:space="preserve">、 </w:t>
      </w:r>
      <w:r>
        <w:t>渎职行为的</w:t>
      </w:r>
      <w:r>
        <w:rPr>
          <w:rFonts w:hint="eastAsia" w:ascii="MS UI Gothic" w:eastAsia="MS UI Gothic"/>
          <w:w w:val="80"/>
        </w:rPr>
        <w:t xml:space="preserve">ꎬ </w:t>
      </w:r>
      <w:r>
        <w:t>依照本法第八十七条的规定追究法律责任</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第八十五条 任何单位和个人不得阻挠和干涉对事故的依法调查处理</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第八十六条 县级以上地方各级人民</w:t>
      </w:r>
      <w:r>
        <w:t>政府安全生产监督管理部门应当定期统计分析本行政区域内发生生产安全事故的情</w:t>
      </w:r>
      <w:r>
        <w:rPr>
          <w:w w:val="105"/>
        </w:rPr>
        <w:t>况</w:t>
      </w:r>
      <w:r>
        <w:rPr>
          <w:rFonts w:hint="eastAsia" w:ascii="MS UI Gothic" w:eastAsia="MS UI Gothic"/>
          <w:w w:val="80"/>
        </w:rPr>
        <w:t xml:space="preserve">ꎬ </w:t>
      </w:r>
      <w:r>
        <w:rPr>
          <w:w w:val="105"/>
        </w:rPr>
        <w:t>并定期向社会公布</w:t>
      </w:r>
      <w:r>
        <w:rPr>
          <w:rFonts w:hint="eastAsia" w:ascii="MS UI Gothic" w:eastAsia="MS UI Gothic"/>
          <w:w w:val="80"/>
        </w:rPr>
        <w:t>ꎮ</w:t>
      </w:r>
    </w:p>
    <w:p>
      <w:pPr>
        <w:pStyle w:val="6"/>
        <w:tabs>
          <w:tab w:val="left" w:pos="2222"/>
        </w:tabs>
        <w:spacing w:before="140"/>
        <w:ind w:left="1384" w:firstLine="0"/>
        <w:jc w:val="left"/>
      </w:pPr>
      <w:r>
        <w:rPr>
          <w:spacing w:val="3"/>
          <w:w w:val="105"/>
        </w:rPr>
        <w:t>第六</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11"/>
        <w:ind w:left="0" w:firstLine="0"/>
        <w:jc w:val="left"/>
        <w:rPr>
          <w:sz w:val="16"/>
        </w:rPr>
      </w:pPr>
    </w:p>
    <w:p>
      <w:pPr>
        <w:pStyle w:val="6"/>
        <w:spacing w:line="295" w:lineRule="auto"/>
        <w:ind w:left="440"/>
        <w:rPr>
          <w:rFonts w:hint="eastAsia" w:ascii="MS UI Gothic" w:eastAsia="MS UI Gothic"/>
        </w:rPr>
      </w:pPr>
      <w:r>
        <w:rPr>
          <w:w w:val="105"/>
        </w:rPr>
        <w:t>第八十七条 负有安全生产监督管理</w:t>
      </w:r>
      <w:r>
        <w:t>职责的部门的工作人员</w:t>
      </w:r>
      <w:r>
        <w:rPr>
          <w:rFonts w:hint="eastAsia" w:ascii="MS UI Gothic" w:eastAsia="MS UI Gothic"/>
          <w:w w:val="80"/>
        </w:rPr>
        <w:t xml:space="preserve">ꎬ </w:t>
      </w:r>
      <w:r>
        <w:t>有下列行为之一的</w:t>
      </w:r>
      <w:r>
        <w:rPr>
          <w:rFonts w:hint="eastAsia" w:ascii="MS UI Gothic" w:eastAsia="MS UI Gothic"/>
          <w:w w:val="80"/>
        </w:rPr>
        <w:t xml:space="preserve">ꎬ </w:t>
      </w:r>
      <w:r>
        <w:t>给予降级或者撤职的处分</w:t>
      </w:r>
      <w:r>
        <w:rPr>
          <w:rFonts w:hint="eastAsia" w:ascii="MS UI Gothic" w:eastAsia="MS UI Gothic"/>
          <w:w w:val="80"/>
        </w:rPr>
        <w:t xml:space="preserve">ꎻ </w:t>
      </w:r>
      <w:r>
        <w:t>构成犯罪</w:t>
      </w:r>
      <w:r>
        <w:rPr>
          <w:w w:val="105"/>
        </w:rPr>
        <w:t>的</w:t>
      </w:r>
      <w:r>
        <w:rPr>
          <w:rFonts w:hint="eastAsia" w:ascii="MS UI Gothic" w:eastAsia="MS UI Gothic"/>
          <w:w w:val="80"/>
        </w:rPr>
        <w:t xml:space="preserve">ꎬ </w:t>
      </w:r>
      <w:r>
        <w:rPr>
          <w:w w:val="105"/>
        </w:rPr>
        <w:t>依照刑法有关规定追究刑事责任</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对不符合法定安全生产条件的</w:t>
      </w:r>
      <w:r>
        <w:t>涉及安全生产的事项予以批准或者验收通</w:t>
      </w:r>
      <w:r>
        <w:rPr>
          <w:w w:val="105"/>
        </w:rPr>
        <w:t>过的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发现未依法取得批准</w:t>
      </w:r>
      <w:r>
        <w:rPr>
          <w:rFonts w:hint="eastAsia" w:ascii="MS UI Gothic" w:eastAsia="MS UI Gothic"/>
          <w:w w:val="80"/>
        </w:rPr>
        <w:t xml:space="preserve">、 </w:t>
      </w:r>
      <w:r>
        <w:rPr>
          <w:w w:val="105"/>
        </w:rPr>
        <w:t>验收的</w:t>
      </w:r>
      <w:r>
        <w:t>单位擅自从事有关活动或者接到举报后不</w:t>
      </w:r>
      <w:r>
        <w:rPr>
          <w:w w:val="105"/>
        </w:rPr>
        <w:t>予取缔或者不依法予以处理的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2"/>
          <w:w w:val="150"/>
        </w:rPr>
        <w:t xml:space="preserve">) </w:t>
      </w:r>
      <w:r>
        <w:rPr>
          <w:spacing w:val="5"/>
          <w:w w:val="105"/>
        </w:rPr>
        <w:t>对已经依法取得批准的单位不</w:t>
      </w:r>
      <w:r>
        <w:rPr>
          <w:spacing w:val="3"/>
        </w:rPr>
        <w:t>履行监督管理职责</w:t>
      </w:r>
      <w:r>
        <w:rPr>
          <w:rFonts w:hint="eastAsia" w:ascii="MS UI Gothic" w:eastAsia="MS UI Gothic"/>
          <w:spacing w:val="21"/>
          <w:w w:val="80"/>
        </w:rPr>
        <w:t xml:space="preserve">ꎬ </w:t>
      </w:r>
      <w:r>
        <w:rPr>
          <w:spacing w:val="2"/>
        </w:rPr>
        <w:t>发现其不再具备安全生产条件而不撤销原批准或者发现安全生</w:t>
      </w:r>
      <w:r>
        <w:rPr>
          <w:spacing w:val="3"/>
          <w:w w:val="105"/>
        </w:rPr>
        <w:t>产违法行为不予查处的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2"/>
          <w:w w:val="150"/>
        </w:rPr>
        <w:t xml:space="preserve">) </w:t>
      </w:r>
      <w:r>
        <w:rPr>
          <w:spacing w:val="5"/>
          <w:w w:val="105"/>
        </w:rPr>
        <w:t>在监督检查中发现重大事故隐</w:t>
      </w:r>
      <w:r>
        <w:rPr>
          <w:spacing w:val="3"/>
          <w:w w:val="105"/>
        </w:rPr>
        <w:t>患</w:t>
      </w:r>
      <w:r>
        <w:rPr>
          <w:rFonts w:hint="eastAsia" w:ascii="MS UI Gothic" w:eastAsia="MS UI Gothic"/>
          <w:spacing w:val="23"/>
          <w:w w:val="80"/>
        </w:rPr>
        <w:t xml:space="preserve">ꎬ </w:t>
      </w:r>
      <w:r>
        <w:rPr>
          <w:spacing w:val="3"/>
          <w:w w:val="105"/>
        </w:rPr>
        <w:t>不依法及时处理的</w:t>
      </w:r>
      <w:r>
        <w:rPr>
          <w:rFonts w:hint="eastAsia" w:ascii="MS UI Gothic" w:eastAsia="MS UI Gothic"/>
          <w:w w:val="80"/>
        </w:rPr>
        <w:t>ꎮ</w:t>
      </w:r>
    </w:p>
    <w:p>
      <w:pPr>
        <w:pStyle w:val="6"/>
        <w:spacing w:before="124" w:line="295" w:lineRule="auto"/>
        <w:ind w:left="383" w:right="126"/>
        <w:rPr>
          <w:rFonts w:hint="eastAsia" w:ascii="MS UI Gothic" w:eastAsia="MS UI Gothic"/>
        </w:rPr>
      </w:pPr>
      <w:r>
        <w:br w:type="column"/>
      </w:r>
      <w:r>
        <w:t>负有安全生产监督管理职责的部门的工作人员有前款规定以外的滥用职权</w:t>
      </w:r>
      <w:r>
        <w:rPr>
          <w:rFonts w:hint="eastAsia" w:ascii="MS UI Gothic" w:eastAsia="MS UI Gothic"/>
          <w:w w:val="80"/>
        </w:rPr>
        <w:t xml:space="preserve">、 </w:t>
      </w:r>
      <w:r>
        <w:t>玩忽职守</w:t>
      </w:r>
      <w:r>
        <w:rPr>
          <w:rFonts w:hint="eastAsia" w:ascii="MS UI Gothic" w:eastAsia="MS UI Gothic"/>
          <w:w w:val="80"/>
        </w:rPr>
        <w:t xml:space="preserve">、 </w:t>
      </w:r>
      <w:r>
        <w:t>徇私舞弊行为的</w:t>
      </w:r>
      <w:r>
        <w:rPr>
          <w:rFonts w:hint="eastAsia" w:ascii="MS UI Gothic" w:eastAsia="MS UI Gothic"/>
          <w:w w:val="80"/>
        </w:rPr>
        <w:t xml:space="preserve">ꎬ </w:t>
      </w:r>
      <w:r>
        <w:t>依法给予处分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left="383" w:right="126"/>
        <w:rPr>
          <w:rFonts w:hint="eastAsia" w:ascii="MS UI Gothic" w:eastAsia="MS UI Gothic"/>
        </w:rPr>
      </w:pPr>
      <w:r>
        <w:t>第八十八条 负有安全生产监督管理职责的部门</w:t>
      </w:r>
      <w:r>
        <w:rPr>
          <w:rFonts w:hint="eastAsia" w:ascii="MS UI Gothic" w:eastAsia="MS UI Gothic"/>
          <w:w w:val="80"/>
        </w:rPr>
        <w:t xml:space="preserve">ꎬ </w:t>
      </w:r>
      <w:r>
        <w:t>要求被审查</w:t>
      </w:r>
      <w:r>
        <w:rPr>
          <w:rFonts w:hint="eastAsia" w:ascii="MS UI Gothic" w:eastAsia="MS UI Gothic"/>
          <w:w w:val="80"/>
        </w:rPr>
        <w:t xml:space="preserve">、 </w:t>
      </w:r>
      <w:r>
        <w:t>验收的单位购买其指定的安全设备</w:t>
      </w:r>
      <w:r>
        <w:rPr>
          <w:rFonts w:hint="eastAsia" w:ascii="MS UI Gothic" w:eastAsia="MS UI Gothic"/>
          <w:w w:val="80"/>
        </w:rPr>
        <w:t xml:space="preserve">、 </w:t>
      </w:r>
      <w:r>
        <w:t>器材或者其他产品的</w:t>
      </w:r>
      <w:r>
        <w:rPr>
          <w:rFonts w:hint="eastAsia" w:ascii="MS UI Gothic" w:eastAsia="MS UI Gothic"/>
          <w:w w:val="80"/>
        </w:rPr>
        <w:t xml:space="preserve">ꎬ </w:t>
      </w:r>
      <w:r>
        <w:t>在对安全生产事项的审查</w:t>
      </w:r>
      <w:r>
        <w:rPr>
          <w:rFonts w:hint="eastAsia" w:ascii="MS UI Gothic" w:eastAsia="MS UI Gothic"/>
          <w:w w:val="80"/>
        </w:rPr>
        <w:t xml:space="preserve">、 </w:t>
      </w:r>
      <w:r>
        <w:t>验收中收取费用的</w:t>
      </w:r>
      <w:r>
        <w:rPr>
          <w:rFonts w:hint="eastAsia" w:ascii="MS UI Gothic" w:eastAsia="MS UI Gothic"/>
          <w:w w:val="80"/>
        </w:rPr>
        <w:t xml:space="preserve">ꎬ </w:t>
      </w:r>
      <w:r>
        <w:t>由其上级机关或者监察机关责令改正</w:t>
      </w:r>
      <w:r>
        <w:rPr>
          <w:rFonts w:hint="eastAsia" w:ascii="MS UI Gothic" w:eastAsia="MS UI Gothic"/>
          <w:w w:val="80"/>
        </w:rPr>
        <w:t xml:space="preserve">ꎬ </w:t>
      </w:r>
      <w:r>
        <w:t>责令退还收取的费用</w:t>
      </w:r>
      <w:r>
        <w:rPr>
          <w:rFonts w:hint="eastAsia" w:ascii="MS UI Gothic" w:eastAsia="MS UI Gothic"/>
          <w:w w:val="80"/>
        </w:rPr>
        <w:t xml:space="preserve">ꎻ </w:t>
      </w:r>
      <w:r>
        <w:t>情节严重的</w:t>
      </w:r>
      <w:r>
        <w:rPr>
          <w:rFonts w:hint="eastAsia" w:ascii="MS UI Gothic" w:eastAsia="MS UI Gothic"/>
          <w:w w:val="80"/>
        </w:rPr>
        <w:t xml:space="preserve">ꎬ </w:t>
      </w:r>
      <w:r>
        <w:t>对直接负责的主管人员和其他直接责任人员依法给予处分</w:t>
      </w:r>
      <w:r>
        <w:rPr>
          <w:rFonts w:hint="eastAsia" w:ascii="MS UI Gothic" w:eastAsia="MS UI Gothic"/>
          <w:w w:val="80"/>
        </w:rPr>
        <w:t>ꎮ</w:t>
      </w:r>
    </w:p>
    <w:p>
      <w:pPr>
        <w:pStyle w:val="6"/>
        <w:spacing w:line="295" w:lineRule="auto"/>
        <w:ind w:left="383" w:right="124"/>
        <w:rPr>
          <w:rFonts w:hint="eastAsia" w:ascii="MS UI Gothic" w:eastAsia="MS UI Gothic"/>
        </w:rPr>
      </w:pPr>
      <w:r>
        <w:t>第八十九条 承担安全评价</w:t>
      </w:r>
      <w:r>
        <w:rPr>
          <w:rFonts w:hint="eastAsia" w:ascii="MS UI Gothic" w:eastAsia="MS UI Gothic"/>
          <w:w w:val="80"/>
        </w:rPr>
        <w:t xml:space="preserve">、 </w:t>
      </w:r>
      <w:r>
        <w:t>认证</w:t>
      </w:r>
      <w:r>
        <w:rPr>
          <w:rFonts w:hint="eastAsia" w:ascii="MS UI Gothic" w:eastAsia="MS UI Gothic"/>
          <w:w w:val="80"/>
        </w:rPr>
        <w:t>、</w:t>
      </w:r>
      <w:r>
        <w:t>检测</w:t>
      </w:r>
      <w:r>
        <w:rPr>
          <w:rFonts w:hint="eastAsia" w:ascii="MS UI Gothic" w:eastAsia="MS UI Gothic"/>
          <w:w w:val="80"/>
        </w:rPr>
        <w:t xml:space="preserve">、 </w:t>
      </w:r>
      <w:r>
        <w:t>检验工作的机构</w:t>
      </w:r>
      <w:r>
        <w:rPr>
          <w:rFonts w:hint="eastAsia" w:ascii="MS UI Gothic" w:eastAsia="MS UI Gothic"/>
          <w:w w:val="80"/>
        </w:rPr>
        <w:t xml:space="preserve">ꎬ </w:t>
      </w:r>
      <w:r>
        <w:t>出具虚假证明的</w:t>
      </w:r>
      <w:r>
        <w:rPr>
          <w:rFonts w:hint="eastAsia" w:ascii="MS UI Gothic" w:eastAsia="MS UI Gothic"/>
          <w:w w:val="80"/>
        </w:rPr>
        <w:t xml:space="preserve">ꎬ </w:t>
      </w:r>
      <w:r>
        <w:t>没收违法所得</w:t>
      </w:r>
      <w:r>
        <w:rPr>
          <w:rFonts w:hint="eastAsia" w:ascii="MS UI Gothic" w:eastAsia="MS UI Gothic"/>
          <w:w w:val="80"/>
        </w:rPr>
        <w:t xml:space="preserve">ꎻ </w:t>
      </w:r>
      <w:r>
        <w:t>违法所得在十万元以上的</w:t>
      </w:r>
      <w:r>
        <w:rPr>
          <w:rFonts w:hint="eastAsia" w:ascii="MS UI Gothic" w:eastAsia="MS UI Gothic"/>
          <w:w w:val="80"/>
        </w:rPr>
        <w:t xml:space="preserve">ꎬ </w:t>
      </w:r>
      <w:r>
        <w:t>并处违法所得二倍以上五倍以下的罚款</w:t>
      </w:r>
      <w:r>
        <w:rPr>
          <w:rFonts w:hint="eastAsia" w:ascii="MS UI Gothic" w:eastAsia="MS UI Gothic"/>
          <w:w w:val="80"/>
        </w:rPr>
        <w:t xml:space="preserve">ꎻ </w:t>
      </w:r>
      <w:r>
        <w:t>没有违法所得或者违法所得不足十万元的</w:t>
      </w:r>
      <w:r>
        <w:rPr>
          <w:rFonts w:hint="eastAsia" w:ascii="MS UI Gothic" w:eastAsia="MS UI Gothic"/>
          <w:w w:val="80"/>
        </w:rPr>
        <w:t xml:space="preserve">ꎬ </w:t>
      </w:r>
      <w:r>
        <w:t>单处或者并处十万元以上二十万元以下的罚款</w:t>
      </w:r>
      <w:r>
        <w:rPr>
          <w:rFonts w:hint="eastAsia" w:ascii="MS UI Gothic" w:eastAsia="MS UI Gothic"/>
          <w:w w:val="80"/>
        </w:rPr>
        <w:t xml:space="preserve">ꎻ </w:t>
      </w:r>
      <w:r>
        <w:t>对其直接负责的主管人员和其他直接责任人员处二万元以上五万元以下的罚款</w:t>
      </w:r>
      <w:r>
        <w:rPr>
          <w:rFonts w:hint="eastAsia" w:ascii="MS UI Gothic" w:eastAsia="MS UI Gothic"/>
          <w:w w:val="80"/>
        </w:rPr>
        <w:t xml:space="preserve">ꎻ </w:t>
      </w:r>
      <w:r>
        <w:t>给他人造成损害的</w:t>
      </w:r>
      <w:r>
        <w:rPr>
          <w:rFonts w:hint="eastAsia" w:ascii="MS UI Gothic" w:eastAsia="MS UI Gothic"/>
          <w:w w:val="80"/>
        </w:rPr>
        <w:t xml:space="preserve">ꎬ </w:t>
      </w:r>
      <w:r>
        <w:t>与生产经营单位承担连带赔偿责任</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left="383" w:right="126"/>
        <w:rPr>
          <w:rFonts w:hint="eastAsia" w:ascii="MS UI Gothic" w:eastAsia="MS UI Gothic"/>
        </w:rPr>
      </w:pPr>
      <w:r>
        <w:t>对有前款违法行为的机构</w:t>
      </w:r>
      <w:r>
        <w:rPr>
          <w:rFonts w:hint="eastAsia" w:ascii="MS UI Gothic" w:eastAsia="MS UI Gothic"/>
          <w:w w:val="80"/>
        </w:rPr>
        <w:t xml:space="preserve">ꎬ </w:t>
      </w:r>
      <w:r>
        <w:t>吊销其相应资质</w:t>
      </w:r>
      <w:r>
        <w:rPr>
          <w:rFonts w:hint="eastAsia" w:ascii="MS UI Gothic" w:eastAsia="MS UI Gothic"/>
          <w:w w:val="80"/>
        </w:rPr>
        <w:t>ꎮ</w:t>
      </w:r>
    </w:p>
    <w:p>
      <w:pPr>
        <w:pStyle w:val="6"/>
        <w:spacing w:line="295" w:lineRule="auto"/>
        <w:ind w:left="383" w:right="126"/>
        <w:rPr>
          <w:rFonts w:hint="eastAsia" w:ascii="MS UI Gothic" w:eastAsia="MS UI Gothic"/>
        </w:rPr>
      </w:pPr>
      <w:r>
        <w:t>第九十条  生产经营单位的决策机构</w:t>
      </w:r>
      <w:r>
        <w:rPr>
          <w:rFonts w:hint="eastAsia" w:ascii="MS UI Gothic" w:eastAsia="MS UI Gothic"/>
          <w:w w:val="80"/>
        </w:rPr>
        <w:t xml:space="preserve">、 </w:t>
      </w:r>
      <w:r>
        <w:t>主要负责人或者个人经营的投资人不依照本法规定保证安全生产所必需的资金投入</w:t>
      </w:r>
      <w:r>
        <w:rPr>
          <w:rFonts w:hint="eastAsia" w:ascii="MS UI Gothic" w:eastAsia="MS UI Gothic"/>
          <w:w w:val="80"/>
        </w:rPr>
        <w:t xml:space="preserve">ꎬ </w:t>
      </w:r>
      <w:r>
        <w:t>致使生产经营单位不具备安全生产条件的</w:t>
      </w:r>
      <w:r>
        <w:rPr>
          <w:rFonts w:hint="eastAsia" w:ascii="MS UI Gothic" w:eastAsia="MS UI Gothic"/>
          <w:w w:val="80"/>
        </w:rPr>
        <w:t xml:space="preserve">ꎬ </w:t>
      </w:r>
      <w:r>
        <w:t>责令限期改正</w:t>
      </w:r>
      <w:r>
        <w:rPr>
          <w:rFonts w:hint="eastAsia" w:ascii="MS UI Gothic" w:eastAsia="MS UI Gothic"/>
          <w:w w:val="80"/>
        </w:rPr>
        <w:t xml:space="preserve">ꎬ </w:t>
      </w:r>
      <w:r>
        <w:t>提供必需的资金</w:t>
      </w:r>
      <w:r>
        <w:rPr>
          <w:rFonts w:hint="eastAsia" w:ascii="MS UI Gothic" w:eastAsia="MS UI Gothic"/>
          <w:w w:val="80"/>
        </w:rPr>
        <w:t xml:space="preserve">ꎻ </w:t>
      </w:r>
      <w:r>
        <w:t>逾期未改正的</w:t>
      </w:r>
      <w:r>
        <w:rPr>
          <w:rFonts w:hint="eastAsia" w:ascii="MS UI Gothic" w:eastAsia="MS UI Gothic"/>
          <w:w w:val="80"/>
        </w:rPr>
        <w:t xml:space="preserve">ꎬ </w:t>
      </w:r>
      <w:r>
        <w:t>责令生产经营单位停产停业整顿</w:t>
      </w:r>
      <w:r>
        <w:rPr>
          <w:rFonts w:hint="eastAsia" w:ascii="MS UI Gothic" w:eastAsia="MS UI Gothic"/>
          <w:w w:val="80"/>
        </w:rPr>
        <w:t>ꎮ</w:t>
      </w:r>
    </w:p>
    <w:p>
      <w:pPr>
        <w:pStyle w:val="6"/>
        <w:spacing w:line="295" w:lineRule="auto"/>
        <w:ind w:left="383" w:right="126"/>
        <w:rPr>
          <w:rFonts w:hint="eastAsia" w:ascii="MS UI Gothic" w:eastAsia="MS UI Gothic"/>
        </w:rPr>
      </w:pPr>
      <w:r>
        <w:t>有前款违法行为</w:t>
      </w:r>
      <w:r>
        <w:rPr>
          <w:rFonts w:hint="eastAsia" w:ascii="MS UI Gothic" w:eastAsia="MS UI Gothic"/>
          <w:w w:val="80"/>
        </w:rPr>
        <w:t xml:space="preserve">ꎬ </w:t>
      </w:r>
      <w:r>
        <w:t>导致发生生产安全事故的</w:t>
      </w:r>
      <w:r>
        <w:rPr>
          <w:rFonts w:hint="eastAsia" w:ascii="MS UI Gothic" w:eastAsia="MS UI Gothic"/>
          <w:w w:val="80"/>
        </w:rPr>
        <w:t xml:space="preserve">ꎬ </w:t>
      </w:r>
      <w:r>
        <w:t>对生产经营单位的主要负责人给予撤职处分</w:t>
      </w:r>
      <w:r>
        <w:rPr>
          <w:rFonts w:hint="eastAsia" w:ascii="MS UI Gothic" w:eastAsia="MS UI Gothic"/>
          <w:w w:val="80"/>
        </w:rPr>
        <w:t xml:space="preserve">ꎬ </w:t>
      </w:r>
      <w:r>
        <w:t>对个人经营的投资人处二万元以上二十万元以下的罚款</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tabs>
          <w:tab w:val="left" w:pos="2059"/>
        </w:tabs>
        <w:spacing w:line="252" w:lineRule="exact"/>
        <w:ind w:left="802" w:firstLine="0"/>
        <w:jc w:val="left"/>
      </w:pPr>
      <w:r>
        <w:rPr>
          <w:spacing w:val="3"/>
          <w:w w:val="105"/>
        </w:rPr>
        <w:t>第九十一</w:t>
      </w:r>
      <w:r>
        <w:rPr>
          <w:w w:val="105"/>
        </w:rPr>
        <w:t>条</w:t>
      </w:r>
      <w:r>
        <w:rPr>
          <w:w w:val="105"/>
        </w:rPr>
        <w:tab/>
      </w:r>
      <w:r>
        <w:rPr>
          <w:spacing w:val="3"/>
          <w:w w:val="105"/>
        </w:rPr>
        <w:t>生产经营单位的主要</w:t>
      </w:r>
      <w:r>
        <w:rPr>
          <w:w w:val="105"/>
        </w:rPr>
        <w:t>负</w:t>
      </w:r>
    </w:p>
    <w:p>
      <w:pPr>
        <w:spacing w:after="0" w:line="252" w:lineRule="exact"/>
        <w:jc w:val="left"/>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６０</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28" o:spid="_x0000_s1228" o:spt="203" style="height:2.15pt;width:398.25pt;" coordsize="7965,43">
            <o:lock v:ext="edit"/>
            <v:line id="_x0000_s1229" o:spid="_x0000_s1229" o:spt="20" style="position:absolute;left:0;top:39;height:0;width:7965;" stroked="t" coordsize="21600,21600">
              <v:path arrowok="t"/>
              <v:fill focussize="0,0"/>
              <v:stroke weight="0.388031496062992pt" color="#231F20"/>
              <v:imagedata o:title=""/>
              <o:lock v:ext="edit"/>
            </v:line>
            <v:line id="_x0000_s1230" o:spid="_x0000_s12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责人未履行本法规定的安全生产管理职责的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处二万元以上五万元以下的罚款</w:t>
      </w:r>
      <w:r>
        <w:rPr>
          <w:rFonts w:hint="eastAsia" w:ascii="MS UI Gothic" w:eastAsia="MS UI Gothic"/>
          <w:w w:val="80"/>
        </w:rPr>
        <w:t xml:space="preserve">ꎬ </w:t>
      </w:r>
      <w:r>
        <w:t>责令生产经营单位停产停业整顿</w:t>
      </w:r>
      <w:r>
        <w:rPr>
          <w:rFonts w:hint="eastAsia" w:ascii="MS UI Gothic" w:eastAsia="MS UI Gothic"/>
          <w:w w:val="80"/>
        </w:rPr>
        <w:t>ꎮ</w:t>
      </w:r>
    </w:p>
    <w:p>
      <w:pPr>
        <w:pStyle w:val="6"/>
        <w:spacing w:line="295" w:lineRule="auto"/>
        <w:ind w:right="38"/>
        <w:rPr>
          <w:rFonts w:hint="eastAsia" w:ascii="MS UI Gothic" w:eastAsia="MS UI Gothic"/>
        </w:rPr>
      </w:pPr>
      <w:r>
        <w:t>生产经营单位的主要负责人有前款违法行为</w:t>
      </w:r>
      <w:r>
        <w:rPr>
          <w:rFonts w:hint="eastAsia" w:ascii="MS UI Gothic" w:eastAsia="MS UI Gothic"/>
          <w:w w:val="80"/>
        </w:rPr>
        <w:t xml:space="preserve">ꎬ </w:t>
      </w:r>
      <w:r>
        <w:t>导致发生生产安全事故的</w:t>
      </w:r>
      <w:r>
        <w:rPr>
          <w:rFonts w:hint="eastAsia" w:ascii="MS UI Gothic" w:eastAsia="MS UI Gothic"/>
          <w:w w:val="80"/>
        </w:rPr>
        <w:t xml:space="preserve">ꎬ </w:t>
      </w:r>
      <w:r>
        <w:t>给予撤职处分</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right="38"/>
        <w:rPr>
          <w:rFonts w:hint="eastAsia" w:ascii="MS UI Gothic" w:eastAsia="MS UI Gothic"/>
        </w:rPr>
      </w:pPr>
      <w:r>
        <w:t>生产经营单位的主要负责人依照前款规定受刑事处罚或者撤职处分的</w:t>
      </w:r>
      <w:r>
        <w:rPr>
          <w:rFonts w:hint="eastAsia" w:ascii="MS UI Gothic" w:eastAsia="MS UI Gothic"/>
          <w:w w:val="80"/>
        </w:rPr>
        <w:t xml:space="preserve">ꎬ </w:t>
      </w:r>
      <w:r>
        <w:t>自刑罚执行完毕或者受处分之日起</w:t>
      </w:r>
      <w:r>
        <w:rPr>
          <w:rFonts w:hint="eastAsia" w:ascii="MS UI Gothic" w:eastAsia="MS UI Gothic"/>
          <w:w w:val="80"/>
        </w:rPr>
        <w:t xml:space="preserve">ꎬ </w:t>
      </w:r>
      <w:r>
        <w:t>五年内不得担任任何生产经营单位的主要负责人</w:t>
      </w:r>
      <w:r>
        <w:rPr>
          <w:rFonts w:hint="eastAsia" w:ascii="MS UI Gothic" w:eastAsia="MS UI Gothic"/>
          <w:w w:val="80"/>
        </w:rPr>
        <w:t xml:space="preserve">ꎻ </w:t>
      </w:r>
      <w:r>
        <w:t>对</w:t>
      </w:r>
      <w:r>
        <w:rPr>
          <w:w w:val="105"/>
        </w:rPr>
        <w:t>重大</w:t>
      </w:r>
      <w:r>
        <w:rPr>
          <w:rFonts w:hint="eastAsia" w:ascii="MS UI Gothic" w:eastAsia="MS UI Gothic"/>
          <w:w w:val="80"/>
        </w:rPr>
        <w:t xml:space="preserve">、 </w:t>
      </w:r>
      <w:r>
        <w:rPr>
          <w:w w:val="105"/>
        </w:rPr>
        <w:t>特别重大生产安全事故负有责任</w:t>
      </w:r>
      <w:r>
        <w:t>的</w:t>
      </w:r>
      <w:r>
        <w:rPr>
          <w:rFonts w:hint="eastAsia" w:ascii="MS UI Gothic" w:eastAsia="MS UI Gothic"/>
          <w:w w:val="80"/>
        </w:rPr>
        <w:t xml:space="preserve">ꎬ </w:t>
      </w:r>
      <w:r>
        <w:t>终身不得担任本行业生产经营单位的</w:t>
      </w:r>
      <w:r>
        <w:rPr>
          <w:w w:val="105"/>
        </w:rPr>
        <w:t>主要负责人</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第九十二条 生产经营单位的主要负</w:t>
      </w:r>
      <w:r>
        <w:t>责人未履行本法规定的安全生产管理职责</w:t>
      </w:r>
      <w:r>
        <w:rPr>
          <w:rFonts w:hint="eastAsia" w:ascii="MS UI Gothic" w:eastAsia="MS UI Gothic"/>
          <w:w w:val="80"/>
        </w:rPr>
        <w:t xml:space="preserve">ꎬ </w:t>
      </w:r>
      <w:r>
        <w:t>导致发生生产安全事故的</w:t>
      </w:r>
      <w:r>
        <w:rPr>
          <w:rFonts w:hint="eastAsia" w:ascii="MS UI Gothic" w:eastAsia="MS UI Gothic"/>
          <w:w w:val="80"/>
        </w:rPr>
        <w:t xml:space="preserve">ꎬ </w:t>
      </w:r>
      <w:r>
        <w:t>由安全生</w:t>
      </w:r>
      <w:r>
        <w:rPr>
          <w:w w:val="105"/>
        </w:rPr>
        <w:t>产监督管理部门依照下列规定处以罚款</w:t>
      </w:r>
      <w:r>
        <w:rPr>
          <w:rFonts w:hint="eastAsia" w:ascii="MS UI Gothic" w:eastAsia="MS UI Gothic"/>
          <w:w w:val="235"/>
        </w:rPr>
        <w:t>:</w:t>
      </w:r>
    </w:p>
    <w:p>
      <w:pPr>
        <w:pStyle w:val="6"/>
        <w:spacing w:line="295" w:lineRule="auto"/>
        <w:ind w:right="38"/>
        <w:jc w:val="left"/>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4"/>
          <w:w w:val="150"/>
        </w:rPr>
        <w:t xml:space="preserve">) </w:t>
      </w:r>
      <w:r>
        <w:rPr>
          <w:spacing w:val="5"/>
          <w:w w:val="105"/>
        </w:rPr>
        <w:t>发生一般事故的</w:t>
      </w:r>
      <w:r>
        <w:rPr>
          <w:rFonts w:hint="eastAsia" w:ascii="MS UI Gothic" w:eastAsia="MS UI Gothic"/>
          <w:spacing w:val="13"/>
          <w:w w:val="80"/>
        </w:rPr>
        <w:t xml:space="preserve">ꎬ </w:t>
      </w:r>
      <w:r>
        <w:rPr>
          <w:spacing w:val="8"/>
          <w:w w:val="105"/>
        </w:rPr>
        <w:t>处上一年年</w:t>
      </w:r>
      <w:r>
        <w:rPr>
          <w:spacing w:val="3"/>
          <w:w w:val="105"/>
        </w:rPr>
        <w:t>收入百分之三十的罚款</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4"/>
          <w:w w:val="150"/>
        </w:rPr>
        <w:t xml:space="preserve">) </w:t>
      </w:r>
      <w:r>
        <w:rPr>
          <w:spacing w:val="5"/>
          <w:w w:val="105"/>
        </w:rPr>
        <w:t>发生较大事故的</w:t>
      </w:r>
      <w:r>
        <w:rPr>
          <w:rFonts w:hint="eastAsia" w:ascii="MS UI Gothic" w:eastAsia="MS UI Gothic"/>
          <w:spacing w:val="13"/>
          <w:w w:val="80"/>
        </w:rPr>
        <w:t xml:space="preserve">ꎬ </w:t>
      </w:r>
      <w:r>
        <w:rPr>
          <w:spacing w:val="8"/>
          <w:w w:val="105"/>
        </w:rPr>
        <w:t>处上一年年</w:t>
      </w:r>
      <w:r>
        <w:rPr>
          <w:spacing w:val="3"/>
          <w:w w:val="105"/>
        </w:rPr>
        <w:t>收入百分之四十的罚款</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4"/>
          <w:w w:val="150"/>
        </w:rPr>
        <w:t xml:space="preserve">) </w:t>
      </w:r>
      <w:r>
        <w:rPr>
          <w:spacing w:val="5"/>
          <w:w w:val="105"/>
        </w:rPr>
        <w:t>发生重大事故的</w:t>
      </w:r>
      <w:r>
        <w:rPr>
          <w:rFonts w:hint="eastAsia" w:ascii="MS UI Gothic" w:eastAsia="MS UI Gothic"/>
          <w:spacing w:val="13"/>
          <w:w w:val="80"/>
        </w:rPr>
        <w:t xml:space="preserve">ꎬ </w:t>
      </w:r>
      <w:r>
        <w:rPr>
          <w:spacing w:val="8"/>
          <w:w w:val="105"/>
        </w:rPr>
        <w:t>处上一年年</w:t>
      </w:r>
      <w:r>
        <w:rPr>
          <w:spacing w:val="3"/>
          <w:w w:val="105"/>
        </w:rPr>
        <w:t>收入百分之六十的罚款</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发生特别重大事故的</w:t>
      </w:r>
      <w:r>
        <w:rPr>
          <w:rFonts w:hint="eastAsia" w:ascii="MS UI Gothic" w:eastAsia="MS UI Gothic"/>
          <w:w w:val="80"/>
        </w:rPr>
        <w:t xml:space="preserve">ꎬ </w:t>
      </w:r>
      <w:r>
        <w:rPr>
          <w:w w:val="105"/>
        </w:rPr>
        <w:t>处上一年年收入百分之八十的罚款</w:t>
      </w:r>
      <w:r>
        <w:rPr>
          <w:rFonts w:hint="eastAsia" w:ascii="MS UI Gothic" w:eastAsia="MS UI Gothic"/>
          <w:w w:val="80"/>
        </w:rPr>
        <w:t>ꎮ</w:t>
      </w:r>
    </w:p>
    <w:p>
      <w:pPr>
        <w:pStyle w:val="6"/>
        <w:spacing w:line="295" w:lineRule="auto"/>
        <w:ind w:right="38"/>
        <w:rPr>
          <w:rFonts w:hint="eastAsia" w:ascii="MS UI Gothic" w:eastAsia="MS UI Gothic"/>
        </w:rPr>
      </w:pPr>
      <w:r>
        <w:t>第九十三条 生产经营单位的安全生产管理人员未履行本法规定的安全生产管理职责的</w:t>
      </w:r>
      <w:r>
        <w:rPr>
          <w:rFonts w:hint="eastAsia" w:ascii="MS UI Gothic" w:eastAsia="MS UI Gothic"/>
          <w:w w:val="80"/>
        </w:rPr>
        <w:t xml:space="preserve">ꎬ </w:t>
      </w:r>
      <w:r>
        <w:t>责令限期改正</w:t>
      </w:r>
      <w:r>
        <w:rPr>
          <w:rFonts w:hint="eastAsia" w:ascii="MS UI Gothic" w:eastAsia="MS UI Gothic"/>
          <w:w w:val="80"/>
        </w:rPr>
        <w:t xml:space="preserve">ꎻ </w:t>
      </w:r>
      <w:r>
        <w:t>导致发生生产安全事故的</w:t>
      </w:r>
      <w:r>
        <w:rPr>
          <w:rFonts w:hint="eastAsia" w:ascii="MS UI Gothic" w:eastAsia="MS UI Gothic"/>
          <w:w w:val="80"/>
        </w:rPr>
        <w:t xml:space="preserve">ꎬ </w:t>
      </w:r>
      <w:r>
        <w:t>暂停或者撤销其与安全生产有关的资格</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right="38"/>
      </w:pPr>
      <w:r>
        <w:t>第九十四条 生产经营单位有下列行为之一的</w:t>
      </w:r>
      <w:r>
        <w:rPr>
          <w:rFonts w:hint="eastAsia" w:ascii="MS UI Gothic" w:eastAsia="MS UI Gothic"/>
          <w:w w:val="80"/>
        </w:rPr>
        <w:t xml:space="preserve">ꎬ </w:t>
      </w:r>
      <w:r>
        <w:t>责令限期改正</w:t>
      </w:r>
      <w:r>
        <w:rPr>
          <w:rFonts w:hint="eastAsia" w:ascii="MS UI Gothic" w:eastAsia="MS UI Gothic"/>
          <w:w w:val="80"/>
        </w:rPr>
        <w:t xml:space="preserve">ꎬ </w:t>
      </w:r>
      <w:r>
        <w:t>可以处五万元以下的罚款</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责令停产停业整顿</w:t>
      </w:r>
      <w:r>
        <w:rPr>
          <w:rFonts w:hint="eastAsia" w:ascii="MS UI Gothic" w:eastAsia="MS UI Gothic"/>
          <w:w w:val="80"/>
        </w:rPr>
        <w:t xml:space="preserve">ꎬ </w:t>
      </w:r>
      <w:r>
        <w:t>并处五万元以上十万元以下的罚款</w:t>
      </w:r>
      <w:r>
        <w:rPr>
          <w:rFonts w:hint="eastAsia" w:ascii="MS UI Gothic" w:eastAsia="MS UI Gothic"/>
          <w:w w:val="80"/>
        </w:rPr>
        <w:t xml:space="preserve">ꎬ </w:t>
      </w:r>
      <w:r>
        <w:t>对其直接负责的主管人员和其他直接责任人员处一万元以上二万元以下的</w:t>
      </w:r>
    </w:p>
    <w:p>
      <w:pPr>
        <w:spacing w:before="123"/>
        <w:ind w:left="124" w:right="0" w:firstLine="0"/>
        <w:jc w:val="left"/>
        <w:rPr>
          <w:rFonts w:hint="eastAsia" w:ascii="MS UI Gothic" w:eastAsia="MS UI Gothic"/>
          <w:sz w:val="20"/>
        </w:rPr>
      </w:pPr>
      <w:r>
        <w:br w:type="column"/>
      </w:r>
      <w:r>
        <w:rPr>
          <w:w w:val="115"/>
          <w:sz w:val="20"/>
        </w:rPr>
        <w:t>罚款</w:t>
      </w:r>
      <w:r>
        <w:rPr>
          <w:rFonts w:hint="eastAsia" w:ascii="MS UI Gothic" w:eastAsia="MS UI Gothic"/>
          <w:w w:val="235"/>
          <w:sz w:val="20"/>
        </w:rPr>
        <w:t>:</w:t>
      </w:r>
    </w:p>
    <w:p>
      <w:pPr>
        <w:pStyle w:val="6"/>
        <w:spacing w:before="58"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未按照规定设置安全生产管理机构或者配备安全生产管理人员的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危险物品的生产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储存单位以及矿山</w:t>
      </w:r>
      <w:r>
        <w:rPr>
          <w:rFonts w:hint="eastAsia" w:ascii="MS UI Gothic" w:eastAsia="MS UI Gothic"/>
          <w:w w:val="80"/>
        </w:rPr>
        <w:t xml:space="preserve">、 </w:t>
      </w:r>
      <w:r>
        <w:rPr>
          <w:w w:val="105"/>
        </w:rPr>
        <w:t>金属冶炼</w:t>
      </w:r>
      <w:r>
        <w:rPr>
          <w:rFonts w:hint="eastAsia" w:ascii="MS UI Gothic" w:eastAsia="MS UI Gothic"/>
          <w:w w:val="80"/>
        </w:rPr>
        <w:t xml:space="preserve">、 </w:t>
      </w:r>
      <w:r>
        <w:rPr>
          <w:w w:val="105"/>
        </w:rPr>
        <w:t>建筑施工</w:t>
      </w:r>
      <w:r>
        <w:rPr>
          <w:rFonts w:hint="eastAsia" w:ascii="MS UI Gothic" w:eastAsia="MS UI Gothic"/>
          <w:w w:val="80"/>
        </w:rPr>
        <w:t xml:space="preserve">、 </w:t>
      </w:r>
      <w:r>
        <w:rPr>
          <w:w w:val="105"/>
        </w:rPr>
        <w:t>道</w:t>
      </w:r>
      <w:r>
        <w:t>路运输单位的主要负责人和安全生产管理</w:t>
      </w:r>
      <w:r>
        <w:rPr>
          <w:w w:val="105"/>
        </w:rPr>
        <w:t>人员未按照规定经考核合格的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未按照规定对从业人员</w:t>
      </w:r>
      <w:r>
        <w:rPr>
          <w:rFonts w:hint="eastAsia" w:ascii="MS UI Gothic" w:eastAsia="MS UI Gothic"/>
          <w:w w:val="80"/>
        </w:rPr>
        <w:t xml:space="preserve">、 </w:t>
      </w:r>
      <w:r>
        <w:rPr>
          <w:w w:val="105"/>
        </w:rPr>
        <w:t>被派遣劳动者</w:t>
      </w:r>
      <w:r>
        <w:rPr>
          <w:rFonts w:hint="eastAsia" w:ascii="MS UI Gothic" w:eastAsia="MS UI Gothic"/>
          <w:w w:val="80"/>
        </w:rPr>
        <w:t xml:space="preserve">、 </w:t>
      </w:r>
      <w:r>
        <w:rPr>
          <w:w w:val="105"/>
        </w:rPr>
        <w:t>实习学生进行安全生产教育和</w:t>
      </w:r>
      <w:r>
        <w:t>培训</w:t>
      </w:r>
      <w:r>
        <w:rPr>
          <w:rFonts w:hint="eastAsia" w:ascii="MS UI Gothic" w:eastAsia="MS UI Gothic"/>
          <w:w w:val="80"/>
        </w:rPr>
        <w:t xml:space="preserve">ꎬ </w:t>
      </w:r>
      <w:r>
        <w:t>或者未按照规定如实告知有关的安</w:t>
      </w:r>
      <w:r>
        <w:rPr>
          <w:w w:val="105"/>
        </w:rPr>
        <w:t>全生产事项的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未如实记录安全生产教育和培</w:t>
      </w:r>
      <w:r>
        <w:rPr>
          <w:w w:val="110"/>
        </w:rPr>
        <w:t>训情况的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未将事故隐患排查治理情况如实记录或者未向从业人员通报的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未按照规定制定生产安全事故应急救援预案或者未定期组织演练的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特种作业人员未按照规定经专</w:t>
      </w:r>
      <w:r>
        <w:t>门的安全作业培训并取得相应资格</w:t>
      </w:r>
      <w:r>
        <w:rPr>
          <w:rFonts w:hint="eastAsia" w:ascii="MS UI Gothic" w:eastAsia="MS UI Gothic"/>
          <w:w w:val="80"/>
        </w:rPr>
        <w:t xml:space="preserve">ꎬ </w:t>
      </w:r>
      <w:r>
        <w:t>上岗</w:t>
      </w:r>
      <w:r>
        <w:rPr>
          <w:w w:val="105"/>
        </w:rPr>
        <w:t>作业的</w:t>
      </w:r>
      <w:r>
        <w:rPr>
          <w:rFonts w:hint="eastAsia" w:ascii="MS UI Gothic" w:eastAsia="MS UI Gothic"/>
          <w:w w:val="80"/>
        </w:rPr>
        <w:t>ꎮ</w:t>
      </w:r>
    </w:p>
    <w:p>
      <w:pPr>
        <w:pStyle w:val="6"/>
        <w:spacing w:line="295" w:lineRule="auto"/>
        <w:ind w:right="440"/>
        <w:rPr>
          <w:rFonts w:hint="eastAsia" w:ascii="MS UI Gothic" w:eastAsia="MS UI Gothic"/>
        </w:rPr>
      </w:pPr>
      <w:r>
        <w:rPr>
          <w:spacing w:val="2"/>
          <w:w w:val="105"/>
        </w:rPr>
        <w:t>第九十五条 生产经营单位有下列行</w:t>
      </w:r>
      <w:r>
        <w:rPr>
          <w:spacing w:val="3"/>
        </w:rPr>
        <w:t>为之一的</w:t>
      </w:r>
      <w:r>
        <w:rPr>
          <w:rFonts w:hint="eastAsia" w:ascii="MS UI Gothic" w:eastAsia="MS UI Gothic"/>
          <w:spacing w:val="19"/>
          <w:w w:val="80"/>
        </w:rPr>
        <w:t xml:space="preserve">ꎬ </w:t>
      </w:r>
      <w:r>
        <w:rPr>
          <w:spacing w:val="2"/>
        </w:rPr>
        <w:t>责令停止建设或者停产停业整</w:t>
      </w:r>
      <w:r>
        <w:rPr>
          <w:spacing w:val="3"/>
        </w:rPr>
        <w:t>顿</w:t>
      </w:r>
      <w:r>
        <w:rPr>
          <w:rFonts w:hint="eastAsia" w:ascii="MS UI Gothic" w:eastAsia="MS UI Gothic"/>
          <w:spacing w:val="15"/>
          <w:w w:val="80"/>
        </w:rPr>
        <w:t xml:space="preserve">ꎬ </w:t>
      </w:r>
      <w:r>
        <w:rPr>
          <w:spacing w:val="3"/>
        </w:rPr>
        <w:t>限期改正</w:t>
      </w:r>
      <w:r>
        <w:rPr>
          <w:rFonts w:hint="eastAsia" w:ascii="MS UI Gothic" w:eastAsia="MS UI Gothic"/>
          <w:spacing w:val="15"/>
          <w:w w:val="80"/>
        </w:rPr>
        <w:t xml:space="preserve">ꎻ </w:t>
      </w:r>
      <w:r>
        <w:rPr>
          <w:spacing w:val="3"/>
        </w:rPr>
        <w:t>逾期未改正的</w:t>
      </w:r>
      <w:r>
        <w:rPr>
          <w:rFonts w:hint="eastAsia" w:ascii="MS UI Gothic" w:eastAsia="MS UI Gothic"/>
          <w:spacing w:val="15"/>
          <w:w w:val="80"/>
        </w:rPr>
        <w:t xml:space="preserve">ꎬ </w:t>
      </w:r>
      <w:r>
        <w:rPr>
          <w:spacing w:val="2"/>
        </w:rPr>
        <w:t>处五十万</w:t>
      </w:r>
      <w:r>
        <w:rPr>
          <w:spacing w:val="3"/>
        </w:rPr>
        <w:t>元以上一百万元以下的罚款</w:t>
      </w:r>
      <w:r>
        <w:rPr>
          <w:rFonts w:hint="eastAsia" w:ascii="MS UI Gothic" w:eastAsia="MS UI Gothic"/>
          <w:spacing w:val="19"/>
          <w:w w:val="80"/>
        </w:rPr>
        <w:t xml:space="preserve">ꎬ </w:t>
      </w:r>
      <w:r>
        <w:rPr>
          <w:spacing w:val="2"/>
        </w:rPr>
        <w:t>对其直接负责的主管人员和其他直接责任人员处二万</w:t>
      </w:r>
      <w:r>
        <w:rPr>
          <w:spacing w:val="5"/>
        </w:rPr>
        <w:t>元以上五万元以下的罚款</w:t>
      </w:r>
      <w:r>
        <w:rPr>
          <w:rFonts w:hint="eastAsia" w:ascii="MS UI Gothic" w:eastAsia="MS UI Gothic"/>
          <w:spacing w:val="23"/>
          <w:w w:val="80"/>
        </w:rPr>
        <w:t xml:space="preserve">ꎻ </w:t>
      </w:r>
      <w:r>
        <w:rPr>
          <w:spacing w:val="11"/>
        </w:rPr>
        <w:t>构成犯罪的</w:t>
      </w:r>
      <w:r>
        <w:rPr>
          <w:rFonts w:hint="eastAsia" w:ascii="MS UI Gothic" w:eastAsia="MS UI Gothic"/>
          <w:w w:val="80"/>
        </w:rPr>
        <w:t>ꎬ</w:t>
      </w:r>
      <w:r>
        <w:rPr>
          <w:spacing w:val="3"/>
          <w:w w:val="105"/>
        </w:rPr>
        <w:t>依照刑法有关规定追究刑事责任</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9"/>
          <w:w w:val="150"/>
        </w:rPr>
        <w:t xml:space="preserve">) </w:t>
      </w:r>
      <w:r>
        <w:rPr>
          <w:spacing w:val="5"/>
          <w:w w:val="105"/>
        </w:rPr>
        <w:t>未按照规定对矿山</w:t>
      </w:r>
      <w:r>
        <w:rPr>
          <w:rFonts w:hint="eastAsia" w:ascii="MS UI Gothic" w:eastAsia="MS UI Gothic"/>
          <w:w w:val="80"/>
        </w:rPr>
        <w:t xml:space="preserve">、 </w:t>
      </w:r>
      <w:r>
        <w:rPr>
          <w:spacing w:val="8"/>
          <w:w w:val="105"/>
        </w:rPr>
        <w:t>金属冶炼</w:t>
      </w:r>
      <w:r>
        <w:rPr>
          <w:spacing w:val="3"/>
          <w:w w:val="105"/>
        </w:rPr>
        <w:t>建设项目或者用于生产</w:t>
      </w:r>
      <w:r>
        <w:rPr>
          <w:rFonts w:hint="eastAsia" w:ascii="MS UI Gothic" w:eastAsia="MS UI Gothic"/>
          <w:spacing w:val="11"/>
          <w:w w:val="80"/>
        </w:rPr>
        <w:t xml:space="preserve">、 </w:t>
      </w:r>
      <w:r>
        <w:rPr>
          <w:spacing w:val="3"/>
          <w:w w:val="105"/>
        </w:rPr>
        <w:t>储存</w:t>
      </w:r>
      <w:r>
        <w:rPr>
          <w:rFonts w:hint="eastAsia" w:ascii="MS UI Gothic" w:eastAsia="MS UI Gothic"/>
          <w:spacing w:val="12"/>
          <w:w w:val="80"/>
        </w:rPr>
        <w:t xml:space="preserve">、 </w:t>
      </w:r>
      <w:r>
        <w:rPr>
          <w:spacing w:val="2"/>
          <w:w w:val="105"/>
        </w:rPr>
        <w:t>装卸危险</w:t>
      </w:r>
      <w:r>
        <w:rPr>
          <w:spacing w:val="3"/>
          <w:w w:val="105"/>
        </w:rPr>
        <w:t>物品的建设项目进行安全评价的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矿山</w:t>
      </w:r>
      <w:r>
        <w:rPr>
          <w:rFonts w:hint="eastAsia" w:ascii="MS UI Gothic" w:eastAsia="MS UI Gothic"/>
          <w:w w:val="80"/>
        </w:rPr>
        <w:t xml:space="preserve">、 </w:t>
      </w:r>
      <w:r>
        <w:rPr>
          <w:w w:val="105"/>
        </w:rPr>
        <w:t>金属冶炼建设项目或者用于生产</w:t>
      </w:r>
      <w:r>
        <w:rPr>
          <w:rFonts w:hint="eastAsia" w:ascii="MS UI Gothic" w:eastAsia="MS UI Gothic"/>
          <w:w w:val="80"/>
        </w:rPr>
        <w:t xml:space="preserve">、 </w:t>
      </w:r>
      <w:r>
        <w:rPr>
          <w:w w:val="105"/>
        </w:rPr>
        <w:t>储存</w:t>
      </w:r>
      <w:r>
        <w:rPr>
          <w:rFonts w:hint="eastAsia" w:ascii="MS UI Gothic" w:eastAsia="MS UI Gothic"/>
          <w:w w:val="80"/>
        </w:rPr>
        <w:t xml:space="preserve">、 </w:t>
      </w:r>
      <w:r>
        <w:rPr>
          <w:w w:val="105"/>
        </w:rPr>
        <w:t>装卸危险物品的建设项</w:t>
      </w:r>
      <w:r>
        <w:t>目没有安全设施设计或者安全设施设计未</w:t>
      </w:r>
      <w:r>
        <w:rPr>
          <w:w w:val="105"/>
        </w:rPr>
        <w:t>按照规定报经有关部门审查同意的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矿山</w:t>
      </w:r>
      <w:r>
        <w:rPr>
          <w:rFonts w:hint="eastAsia" w:ascii="MS UI Gothic" w:eastAsia="MS UI Gothic"/>
          <w:w w:val="80"/>
        </w:rPr>
        <w:t xml:space="preserve">、 </w:t>
      </w:r>
      <w:r>
        <w:rPr>
          <w:w w:val="105"/>
        </w:rPr>
        <w:t>金属冶炼建设项目或者用于生产</w:t>
      </w:r>
      <w:r>
        <w:rPr>
          <w:rFonts w:hint="eastAsia" w:ascii="MS UI Gothic" w:eastAsia="MS UI Gothic"/>
          <w:w w:val="80"/>
        </w:rPr>
        <w:t xml:space="preserve">、 </w:t>
      </w:r>
      <w:r>
        <w:rPr>
          <w:w w:val="105"/>
        </w:rPr>
        <w:t>储存</w:t>
      </w:r>
      <w:r>
        <w:rPr>
          <w:rFonts w:hint="eastAsia" w:ascii="MS UI Gothic" w:eastAsia="MS UI Gothic"/>
          <w:w w:val="80"/>
        </w:rPr>
        <w:t xml:space="preserve">、 </w:t>
      </w:r>
      <w:r>
        <w:rPr>
          <w:w w:val="105"/>
        </w:rPr>
        <w:t>装卸危险物品的建设项</w:t>
      </w:r>
      <w:r>
        <w:t>目的施工单位未按照批准的安全设施设计</w:t>
      </w:r>
      <w:r>
        <w:rPr>
          <w:w w:val="105"/>
        </w:rPr>
        <w:t>施工的</w:t>
      </w:r>
      <w:r>
        <w:rPr>
          <w:rFonts w:hint="eastAsia" w:ascii="MS UI Gothic" w:eastAsia="MS UI Gothic"/>
          <w:w w:val="80"/>
        </w:rPr>
        <w:t>ꎻ</w:t>
      </w:r>
    </w:p>
    <w:p>
      <w:pPr>
        <w:pStyle w:val="6"/>
        <w:spacing w:line="253" w:lineRule="exact"/>
        <w:ind w:left="543" w:firstLine="0"/>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矿山</w:t>
      </w:r>
      <w:r>
        <w:rPr>
          <w:rFonts w:hint="eastAsia" w:ascii="MS UI Gothic" w:eastAsia="MS UI Gothic"/>
        </w:rPr>
        <w:t xml:space="preserve">、 </w:t>
      </w:r>
      <w:r>
        <w:rPr>
          <w:w w:val="110"/>
        </w:rPr>
        <w:t>金属冶炼建设项目或者</w:t>
      </w:r>
    </w:p>
    <w:p>
      <w:pPr>
        <w:spacing w:after="0" w:line="253" w:lineRule="exac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６１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31" o:spid="_x0000_s1231" o:spt="203" style="height:2.15pt;width:398.25pt;" coordsize="7965,43">
            <o:lock v:ext="edit"/>
            <v:line id="_x0000_s1232" o:spid="_x0000_s1232" o:spt="20" style="position:absolute;left:0;top:39;height:0;width:7965;" stroked="t" coordsize="21600,21600">
              <v:path arrowok="t"/>
              <v:fill focussize="0,0"/>
              <v:stroke weight="0.388031496062992pt" color="#231F20"/>
              <v:imagedata o:title=""/>
              <o:lock v:ext="edit"/>
            </v:line>
            <v:line id="_x0000_s1233" o:spid="_x0000_s12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用于生产</w:t>
      </w:r>
      <w:r>
        <w:rPr>
          <w:rFonts w:hint="eastAsia" w:ascii="MS UI Gothic" w:eastAsia="MS UI Gothic"/>
          <w:w w:val="80"/>
        </w:rPr>
        <w:t xml:space="preserve">、 </w:t>
      </w:r>
      <w:r>
        <w:t>储存危险物品的建设项目竣工投入生产或者使用前</w:t>
      </w:r>
      <w:r>
        <w:rPr>
          <w:rFonts w:hint="eastAsia" w:ascii="MS UI Gothic" w:eastAsia="MS UI Gothic"/>
          <w:w w:val="80"/>
        </w:rPr>
        <w:t xml:space="preserve">ꎬ </w:t>
      </w:r>
      <w:r>
        <w:t>安全设施未经验收合格的</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第九十六条 生产经营单位有下列行</w:t>
      </w:r>
      <w:r>
        <w:t>为之一的</w:t>
      </w:r>
      <w:r>
        <w:rPr>
          <w:rFonts w:hint="eastAsia" w:ascii="MS UI Gothic" w:eastAsia="MS UI Gothic"/>
          <w:w w:val="80"/>
        </w:rPr>
        <w:t xml:space="preserve">ꎬ </w:t>
      </w:r>
      <w:r>
        <w:t>责令限期改正</w:t>
      </w:r>
      <w:r>
        <w:rPr>
          <w:rFonts w:hint="eastAsia" w:ascii="MS UI Gothic" w:eastAsia="MS UI Gothic"/>
          <w:w w:val="80"/>
        </w:rPr>
        <w:t xml:space="preserve">ꎬ </w:t>
      </w:r>
      <w:r>
        <w:t>可以处五万元以下的罚款</w:t>
      </w:r>
      <w:r>
        <w:rPr>
          <w:rFonts w:hint="eastAsia" w:ascii="MS UI Gothic" w:eastAsia="MS UI Gothic"/>
          <w:w w:val="80"/>
        </w:rPr>
        <w:t xml:space="preserve">ꎻ </w:t>
      </w:r>
      <w:r>
        <w:t>逾期未改正的</w:t>
      </w:r>
      <w:r>
        <w:rPr>
          <w:rFonts w:hint="eastAsia" w:ascii="MS UI Gothic" w:eastAsia="MS UI Gothic"/>
          <w:w w:val="80"/>
        </w:rPr>
        <w:t xml:space="preserve">ꎬ </w:t>
      </w:r>
      <w:r>
        <w:t>处五万元以上二十万元以下的罚款</w:t>
      </w:r>
      <w:r>
        <w:rPr>
          <w:rFonts w:hint="eastAsia" w:ascii="MS UI Gothic" w:eastAsia="MS UI Gothic"/>
          <w:w w:val="80"/>
        </w:rPr>
        <w:t xml:space="preserve">ꎬ </w:t>
      </w:r>
      <w:r>
        <w:t>对其直接负责的主管人员和其他直接责任人员处一万元以上二万元以下的罚款</w:t>
      </w:r>
      <w:r>
        <w:rPr>
          <w:rFonts w:hint="eastAsia" w:ascii="MS UI Gothic" w:eastAsia="MS UI Gothic"/>
          <w:w w:val="80"/>
        </w:rPr>
        <w:t xml:space="preserve">ꎻ </w:t>
      </w:r>
      <w:r>
        <w:t>情节严重的</w:t>
      </w:r>
      <w:r>
        <w:rPr>
          <w:rFonts w:hint="eastAsia" w:ascii="MS UI Gothic" w:eastAsia="MS UI Gothic"/>
          <w:w w:val="80"/>
        </w:rPr>
        <w:t xml:space="preserve">ꎬ </w:t>
      </w:r>
      <w:r>
        <w:t>责令停产停业整顿</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w:t>
      </w:r>
      <w:r>
        <w:rPr>
          <w:w w:val="105"/>
        </w:rPr>
        <w:t>关规定追究刑事责任</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未在有较大危险因素的生产经营场所和有关设施</w:t>
      </w:r>
      <w:r>
        <w:rPr>
          <w:rFonts w:hint="eastAsia" w:ascii="MS UI Gothic" w:eastAsia="MS UI Gothic"/>
          <w:w w:val="80"/>
        </w:rPr>
        <w:t xml:space="preserve">、 </w:t>
      </w:r>
      <w:r>
        <w:rPr>
          <w:w w:val="105"/>
        </w:rPr>
        <w:t>设备上设置明显的安全警示标志的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安全设备的安装</w:t>
      </w:r>
      <w:r>
        <w:rPr>
          <w:rFonts w:hint="eastAsia" w:ascii="MS UI Gothic" w:eastAsia="MS UI Gothic"/>
          <w:w w:val="80"/>
        </w:rPr>
        <w:t xml:space="preserve">、 </w:t>
      </w:r>
      <w:r>
        <w:rPr>
          <w:w w:val="105"/>
        </w:rPr>
        <w:t>使用</w:t>
      </w:r>
      <w:r>
        <w:rPr>
          <w:rFonts w:hint="eastAsia" w:ascii="MS UI Gothic" w:eastAsia="MS UI Gothic"/>
          <w:w w:val="80"/>
        </w:rPr>
        <w:t xml:space="preserve">、 </w:t>
      </w:r>
      <w:r>
        <w:rPr>
          <w:w w:val="105"/>
        </w:rPr>
        <w:t>检测</w:t>
      </w:r>
      <w:r>
        <w:rPr>
          <w:rFonts w:hint="eastAsia" w:ascii="MS UI Gothic" w:eastAsia="MS UI Gothic"/>
          <w:w w:val="80"/>
        </w:rPr>
        <w:t xml:space="preserve">、 </w:t>
      </w:r>
      <w:r>
        <w:rPr>
          <w:w w:val="105"/>
        </w:rPr>
        <w:t>改造和报废不符合国家标准或者行业标准的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未对安全设备进行经常性维护</w:t>
      </w:r>
      <w:r>
        <w:rPr>
          <w:rFonts w:hint="eastAsia" w:ascii="MS UI Gothic" w:eastAsia="MS UI Gothic"/>
          <w:w w:val="80"/>
        </w:rPr>
        <w:t xml:space="preserve">、 </w:t>
      </w:r>
      <w:r>
        <w:rPr>
          <w:w w:val="105"/>
        </w:rPr>
        <w:t>保养和定期检测的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未为从业人员提供符合国家标准或者行业标准的劳动防护用品的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危险物品的容器</w:t>
      </w:r>
      <w:r>
        <w:rPr>
          <w:rFonts w:hint="eastAsia" w:ascii="MS UI Gothic" w:eastAsia="MS UI Gothic"/>
          <w:w w:val="80"/>
        </w:rPr>
        <w:t xml:space="preserve">、 </w:t>
      </w:r>
      <w:r>
        <w:rPr>
          <w:w w:val="105"/>
        </w:rPr>
        <w:t>运输工具</w:t>
      </w:r>
      <w:r>
        <w:rPr>
          <w:rFonts w:hint="eastAsia" w:ascii="MS UI Gothic" w:eastAsia="MS UI Gothic"/>
          <w:w w:val="80"/>
        </w:rPr>
        <w:t>ꎬ</w:t>
      </w:r>
      <w:r>
        <w:rPr>
          <w:w w:val="105"/>
        </w:rPr>
        <w:t>以及涉及人身安全</w:t>
      </w:r>
      <w:r>
        <w:rPr>
          <w:rFonts w:hint="eastAsia" w:ascii="MS UI Gothic" w:eastAsia="MS UI Gothic"/>
          <w:w w:val="80"/>
        </w:rPr>
        <w:t xml:space="preserve">、 </w:t>
      </w:r>
      <w:r>
        <w:rPr>
          <w:w w:val="105"/>
        </w:rPr>
        <w:t>危险性较大的海洋石</w:t>
      </w:r>
      <w:r>
        <w:t>油开采特种设备和矿山井下特种设备未经</w:t>
      </w:r>
      <w:r>
        <w:rPr>
          <w:w w:val="105"/>
        </w:rPr>
        <w:t>具有专业资质的机构检测</w:t>
      </w:r>
      <w:r>
        <w:rPr>
          <w:rFonts w:hint="eastAsia" w:ascii="MS UI Gothic" w:eastAsia="MS UI Gothic"/>
          <w:w w:val="80"/>
        </w:rPr>
        <w:t xml:space="preserve">、 </w:t>
      </w:r>
      <w:r>
        <w:rPr>
          <w:w w:val="105"/>
        </w:rPr>
        <w:t>检验合格</w:t>
      </w:r>
      <w:r>
        <w:rPr>
          <w:rFonts w:hint="eastAsia" w:ascii="MS UI Gothic" w:eastAsia="MS UI Gothic"/>
          <w:w w:val="80"/>
        </w:rPr>
        <w:t xml:space="preserve">ꎬ </w:t>
      </w:r>
      <w:r>
        <w:rPr>
          <w:w w:val="105"/>
        </w:rPr>
        <w:t>取</w:t>
      </w:r>
      <w:r>
        <w:t>得安全使用证或者安全标志</w:t>
      </w:r>
      <w:r>
        <w:rPr>
          <w:rFonts w:hint="eastAsia" w:ascii="MS UI Gothic" w:eastAsia="MS UI Gothic"/>
          <w:w w:val="80"/>
        </w:rPr>
        <w:t xml:space="preserve">ꎬ </w:t>
      </w:r>
      <w:r>
        <w:t>投入使</w:t>
      </w:r>
      <w:r>
        <w:rPr>
          <w:w w:val="105"/>
        </w:rPr>
        <w:t>用的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使用应当淘汰的危及生产安全的工艺</w:t>
      </w:r>
      <w:r>
        <w:rPr>
          <w:rFonts w:hint="eastAsia" w:ascii="MS UI Gothic" w:eastAsia="MS UI Gothic"/>
          <w:w w:val="80"/>
        </w:rPr>
        <w:t xml:space="preserve">、 </w:t>
      </w:r>
      <w:r>
        <w:rPr>
          <w:w w:val="105"/>
        </w:rPr>
        <w:t>设备的</w:t>
      </w:r>
      <w:r>
        <w:rPr>
          <w:rFonts w:hint="eastAsia" w:ascii="MS UI Gothic" w:eastAsia="MS UI Gothic"/>
          <w:w w:val="80"/>
        </w:rPr>
        <w:t>ꎮ</w:t>
      </w:r>
    </w:p>
    <w:p>
      <w:pPr>
        <w:pStyle w:val="6"/>
        <w:spacing w:line="295" w:lineRule="auto"/>
        <w:ind w:left="440" w:right="1"/>
        <w:rPr>
          <w:rFonts w:hint="eastAsia" w:ascii="MS UI Gothic" w:eastAsia="MS UI Gothic"/>
        </w:rPr>
      </w:pPr>
      <w:r>
        <w:t>第九十七条 未经依法批准</w:t>
      </w:r>
      <w:r>
        <w:rPr>
          <w:rFonts w:hint="eastAsia" w:ascii="MS UI Gothic" w:eastAsia="MS UI Gothic"/>
          <w:w w:val="80"/>
        </w:rPr>
        <w:t xml:space="preserve">ꎬ </w:t>
      </w:r>
      <w:r>
        <w:t>擅自生产</w:t>
      </w:r>
      <w:r>
        <w:rPr>
          <w:rFonts w:hint="eastAsia" w:ascii="MS UI Gothic" w:eastAsia="MS UI Gothic"/>
          <w:w w:val="80"/>
        </w:rPr>
        <w:t xml:space="preserve">、 </w:t>
      </w:r>
      <w:r>
        <w:t>经营</w:t>
      </w:r>
      <w:r>
        <w:rPr>
          <w:rFonts w:hint="eastAsia" w:ascii="MS UI Gothic" w:eastAsia="MS UI Gothic"/>
          <w:w w:val="80"/>
        </w:rPr>
        <w:t xml:space="preserve">、 </w:t>
      </w:r>
      <w:r>
        <w:t>运输</w:t>
      </w:r>
      <w:r>
        <w:rPr>
          <w:rFonts w:hint="eastAsia" w:ascii="MS UI Gothic" w:eastAsia="MS UI Gothic"/>
          <w:w w:val="80"/>
        </w:rPr>
        <w:t xml:space="preserve">、 </w:t>
      </w:r>
      <w:r>
        <w:t>储存</w:t>
      </w:r>
      <w:r>
        <w:rPr>
          <w:rFonts w:hint="eastAsia" w:ascii="MS UI Gothic" w:eastAsia="MS UI Gothic"/>
          <w:w w:val="80"/>
        </w:rPr>
        <w:t xml:space="preserve">、  </w:t>
      </w:r>
      <w:r>
        <w:t>使用危险物品或者处置废弃危险物品的</w:t>
      </w:r>
      <w:r>
        <w:rPr>
          <w:rFonts w:hint="eastAsia" w:ascii="MS UI Gothic" w:eastAsia="MS UI Gothic"/>
          <w:w w:val="80"/>
        </w:rPr>
        <w:t xml:space="preserve">ꎬ </w:t>
      </w:r>
      <w:r>
        <w:t>依照有关危险物品安全管理的法律</w:t>
      </w:r>
      <w:r>
        <w:rPr>
          <w:rFonts w:hint="eastAsia" w:ascii="MS UI Gothic" w:eastAsia="MS UI Gothic"/>
          <w:w w:val="80"/>
        </w:rPr>
        <w:t xml:space="preserve">、 </w:t>
      </w:r>
      <w:r>
        <w:t>行政法规的规定予以处罚</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left="440" w:right="1"/>
      </w:pPr>
      <w:r>
        <w:t>第九十八条 生产经营单位有下列行为之一的</w:t>
      </w:r>
      <w:r>
        <w:rPr>
          <w:rFonts w:hint="eastAsia" w:ascii="MS UI Gothic" w:eastAsia="MS UI Gothic"/>
          <w:w w:val="80"/>
        </w:rPr>
        <w:t xml:space="preserve">ꎬ </w:t>
      </w:r>
      <w:r>
        <w:t>责令限期改正</w:t>
      </w:r>
      <w:r>
        <w:rPr>
          <w:rFonts w:hint="eastAsia" w:ascii="MS UI Gothic" w:eastAsia="MS UI Gothic"/>
          <w:w w:val="80"/>
        </w:rPr>
        <w:t xml:space="preserve">ꎬ </w:t>
      </w:r>
      <w:r>
        <w:t>可以处十万元以下的罚款</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责令停产停业整顿</w:t>
      </w:r>
      <w:r>
        <w:rPr>
          <w:rFonts w:hint="eastAsia" w:ascii="MS UI Gothic" w:eastAsia="MS UI Gothic"/>
          <w:w w:val="80"/>
        </w:rPr>
        <w:t xml:space="preserve">ꎬ </w:t>
      </w:r>
      <w:r>
        <w:t>并处十万元以上二十万元以下的</w:t>
      </w:r>
    </w:p>
    <w:p>
      <w:pPr>
        <w:pStyle w:val="6"/>
        <w:spacing w:before="124" w:line="295" w:lineRule="auto"/>
        <w:ind w:left="381" w:right="126" w:firstLine="0"/>
        <w:rPr>
          <w:rFonts w:hint="eastAsia" w:ascii="MS UI Gothic" w:eastAsia="MS UI Gothic"/>
        </w:rPr>
      </w:pPr>
      <w:r>
        <w:br w:type="column"/>
      </w:r>
      <w:r>
        <w:t>罚款</w:t>
      </w:r>
      <w:r>
        <w:rPr>
          <w:rFonts w:hint="eastAsia" w:ascii="MS UI Gothic" w:eastAsia="MS UI Gothic"/>
          <w:w w:val="80"/>
        </w:rPr>
        <w:t xml:space="preserve">ꎬ </w:t>
      </w:r>
      <w:r>
        <w:t>对其直接负责的主管人员和其他直接责任人员处二万元以上五万元以下的罚款</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w:t>
      </w:r>
      <w:r>
        <w:rPr>
          <w:w w:val="105"/>
        </w:rPr>
        <w:t>刑事责任</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运输</w:t>
      </w:r>
      <w:r>
        <w:rPr>
          <w:rFonts w:hint="eastAsia" w:ascii="MS UI Gothic" w:eastAsia="MS UI Gothic"/>
          <w:w w:val="80"/>
        </w:rPr>
        <w:t xml:space="preserve">、 </w:t>
      </w:r>
      <w:r>
        <w:rPr>
          <w:w w:val="105"/>
        </w:rPr>
        <w:t>储存</w:t>
      </w:r>
      <w:r>
        <w:rPr>
          <w:rFonts w:hint="eastAsia" w:ascii="MS UI Gothic" w:eastAsia="MS UI Gothic"/>
          <w:w w:val="80"/>
        </w:rPr>
        <w:t xml:space="preserve">、  </w:t>
      </w:r>
      <w:r>
        <w:rPr>
          <w:w w:val="105"/>
        </w:rPr>
        <w:t>使</w:t>
      </w:r>
      <w:r>
        <w:t>用危险物品或者处置废弃危险物品</w:t>
      </w:r>
      <w:r>
        <w:rPr>
          <w:rFonts w:hint="eastAsia" w:ascii="MS UI Gothic" w:eastAsia="MS UI Gothic"/>
          <w:w w:val="80"/>
        </w:rPr>
        <w:t xml:space="preserve">ꎬ </w:t>
      </w:r>
      <w:r>
        <w:t>未建</w:t>
      </w:r>
      <w:r>
        <w:rPr>
          <w:w w:val="105"/>
        </w:rPr>
        <w:t>立专门安全管理制度</w:t>
      </w:r>
      <w:r>
        <w:rPr>
          <w:rFonts w:hint="eastAsia" w:ascii="MS UI Gothic" w:eastAsia="MS UI Gothic"/>
          <w:w w:val="80"/>
        </w:rPr>
        <w:t xml:space="preserve">、 </w:t>
      </w:r>
      <w:r>
        <w:rPr>
          <w:w w:val="105"/>
        </w:rPr>
        <w:t>未采取可靠的安全措施的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对重大危险源未登记建档</w:t>
      </w:r>
      <w:r>
        <w:rPr>
          <w:rFonts w:hint="eastAsia" w:ascii="MS UI Gothic" w:eastAsia="MS UI Gothic"/>
          <w:w w:val="80"/>
        </w:rPr>
        <w:t xml:space="preserve">ꎬ </w:t>
      </w:r>
      <w:r>
        <w:rPr>
          <w:w w:val="105"/>
        </w:rPr>
        <w:t>或者未进行评估</w:t>
      </w:r>
      <w:r>
        <w:rPr>
          <w:rFonts w:hint="eastAsia" w:ascii="MS UI Gothic" w:eastAsia="MS UI Gothic"/>
          <w:w w:val="80"/>
        </w:rPr>
        <w:t xml:space="preserve">、 </w:t>
      </w:r>
      <w:r>
        <w:rPr>
          <w:w w:val="105"/>
        </w:rPr>
        <w:t>监控</w:t>
      </w:r>
      <w:r>
        <w:rPr>
          <w:rFonts w:hint="eastAsia" w:ascii="MS UI Gothic" w:eastAsia="MS UI Gothic"/>
          <w:w w:val="80"/>
        </w:rPr>
        <w:t xml:space="preserve">ꎬ </w:t>
      </w:r>
      <w:r>
        <w:rPr>
          <w:w w:val="105"/>
        </w:rPr>
        <w:t>或者未制定应急预案的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进行爆破</w:t>
      </w:r>
      <w:r>
        <w:rPr>
          <w:rFonts w:hint="eastAsia" w:ascii="MS UI Gothic" w:eastAsia="MS UI Gothic"/>
          <w:w w:val="80"/>
        </w:rPr>
        <w:t xml:space="preserve">、 </w:t>
      </w:r>
      <w:r>
        <w:rPr>
          <w:w w:val="105"/>
        </w:rPr>
        <w:t>吊装以及国务院安</w:t>
      </w:r>
      <w:r>
        <w:t>全生产监督管理部门会同国务院有关部门规定的其他危险作业</w:t>
      </w:r>
      <w:r>
        <w:rPr>
          <w:rFonts w:hint="eastAsia" w:ascii="MS UI Gothic" w:eastAsia="MS UI Gothic"/>
          <w:w w:val="80"/>
        </w:rPr>
        <w:t xml:space="preserve">ꎬ </w:t>
      </w:r>
      <w:r>
        <w:t>未安排专门人员进</w:t>
      </w:r>
      <w:r>
        <w:rPr>
          <w:w w:val="105"/>
        </w:rPr>
        <w:t>行现场安全管理的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20"/>
        </w:rPr>
        <w:t xml:space="preserve">( </w:t>
      </w:r>
      <w:r>
        <w:rPr>
          <w:w w:val="110"/>
        </w:rPr>
        <w:t>四</w:t>
      </w:r>
      <w:r>
        <w:rPr>
          <w:rFonts w:hint="eastAsia" w:ascii="MS UI Gothic" w:eastAsia="MS UI Gothic"/>
          <w:w w:val="120"/>
        </w:rPr>
        <w:t xml:space="preserve">) </w:t>
      </w:r>
      <w:r>
        <w:rPr>
          <w:w w:val="110"/>
        </w:rPr>
        <w:t>未建立事故隐患排查治理制度的</w:t>
      </w:r>
      <w:r>
        <w:rPr>
          <w:rFonts w:hint="eastAsia" w:ascii="MS UI Gothic" w:eastAsia="MS UI Gothic"/>
          <w:w w:val="80"/>
        </w:rPr>
        <w:t>ꎮ</w:t>
      </w:r>
    </w:p>
    <w:p>
      <w:pPr>
        <w:pStyle w:val="6"/>
        <w:spacing w:line="295" w:lineRule="auto"/>
        <w:ind w:left="381" w:right="126"/>
        <w:rPr>
          <w:rFonts w:hint="eastAsia" w:ascii="MS UI Gothic" w:eastAsia="MS UI Gothic"/>
        </w:rPr>
      </w:pPr>
      <w:r>
        <w:t>第九十九条 生产经营单位未采取措施消除事故隐患的</w:t>
      </w:r>
      <w:r>
        <w:rPr>
          <w:rFonts w:hint="eastAsia" w:ascii="MS UI Gothic" w:eastAsia="MS UI Gothic"/>
          <w:w w:val="80"/>
        </w:rPr>
        <w:t xml:space="preserve">ꎬ </w:t>
      </w:r>
      <w:r>
        <w:t>责令立即消除或者限期消除</w:t>
      </w:r>
      <w:r>
        <w:rPr>
          <w:rFonts w:hint="eastAsia" w:ascii="MS UI Gothic" w:eastAsia="MS UI Gothic"/>
          <w:w w:val="80"/>
        </w:rPr>
        <w:t xml:space="preserve">ꎻ </w:t>
      </w:r>
      <w:r>
        <w:t>生产经营单位拒不执行的</w:t>
      </w:r>
      <w:r>
        <w:rPr>
          <w:rFonts w:hint="eastAsia" w:ascii="MS UI Gothic" w:eastAsia="MS UI Gothic"/>
          <w:w w:val="80"/>
        </w:rPr>
        <w:t xml:space="preserve">ꎬ </w:t>
      </w:r>
      <w:r>
        <w:t>责令停产停业整顿</w:t>
      </w:r>
      <w:r>
        <w:rPr>
          <w:rFonts w:hint="eastAsia" w:ascii="MS UI Gothic" w:eastAsia="MS UI Gothic"/>
          <w:w w:val="80"/>
        </w:rPr>
        <w:t xml:space="preserve">ꎬ </w:t>
      </w:r>
      <w:r>
        <w:t>并处十万元以上五十万元以下的罚款</w:t>
      </w:r>
      <w:r>
        <w:rPr>
          <w:rFonts w:hint="eastAsia" w:ascii="MS UI Gothic" w:eastAsia="MS UI Gothic"/>
          <w:w w:val="80"/>
        </w:rPr>
        <w:t xml:space="preserve">ꎬ </w:t>
      </w:r>
      <w:r>
        <w:t>对其直接负责的主管人员和其他直接责任人员处二万元以上五万元以下的罚款</w:t>
      </w:r>
      <w:r>
        <w:rPr>
          <w:rFonts w:hint="eastAsia" w:ascii="MS UI Gothic" w:eastAsia="MS UI Gothic"/>
          <w:w w:val="80"/>
        </w:rPr>
        <w:t>ꎮ</w:t>
      </w:r>
    </w:p>
    <w:p>
      <w:pPr>
        <w:pStyle w:val="6"/>
        <w:spacing w:line="295" w:lineRule="auto"/>
        <w:ind w:left="381" w:right="126"/>
        <w:rPr>
          <w:rFonts w:hint="eastAsia" w:ascii="MS UI Gothic" w:eastAsia="MS UI Gothic"/>
        </w:rPr>
      </w:pPr>
      <w:r>
        <w:t>第一百条 生产经营单位将生产经营项目</w:t>
      </w:r>
      <w:r>
        <w:rPr>
          <w:rFonts w:hint="eastAsia" w:ascii="MS UI Gothic" w:eastAsia="MS UI Gothic"/>
          <w:w w:val="80"/>
        </w:rPr>
        <w:t xml:space="preserve">、 </w:t>
      </w:r>
      <w:r>
        <w:t>场所</w:t>
      </w:r>
      <w:r>
        <w:rPr>
          <w:rFonts w:hint="eastAsia" w:ascii="MS UI Gothic" w:eastAsia="MS UI Gothic"/>
          <w:w w:val="80"/>
        </w:rPr>
        <w:t xml:space="preserve">、 </w:t>
      </w:r>
      <w:r>
        <w:t>设备发包或者出租给不具备安全生产条件或者相应资质的单位或者个人的</w:t>
      </w:r>
      <w:r>
        <w:rPr>
          <w:rFonts w:hint="eastAsia" w:ascii="MS UI Gothic" w:eastAsia="MS UI Gothic"/>
          <w:w w:val="80"/>
        </w:rPr>
        <w:t xml:space="preserve">ꎬ </w:t>
      </w:r>
      <w:r>
        <w:t>责令限期改正</w:t>
      </w:r>
      <w:r>
        <w:rPr>
          <w:rFonts w:hint="eastAsia" w:ascii="MS UI Gothic" w:eastAsia="MS UI Gothic"/>
          <w:w w:val="80"/>
        </w:rPr>
        <w:t xml:space="preserve">ꎬ </w:t>
      </w:r>
      <w:r>
        <w:t>没收违法所得</w:t>
      </w:r>
      <w:r>
        <w:rPr>
          <w:rFonts w:hint="eastAsia" w:ascii="MS UI Gothic" w:eastAsia="MS UI Gothic"/>
          <w:w w:val="80"/>
        </w:rPr>
        <w:t xml:space="preserve">ꎻ </w:t>
      </w:r>
      <w:r>
        <w:t>违法所得十万元以上的</w:t>
      </w:r>
      <w:r>
        <w:rPr>
          <w:rFonts w:hint="eastAsia" w:ascii="MS UI Gothic" w:eastAsia="MS UI Gothic"/>
          <w:w w:val="80"/>
        </w:rPr>
        <w:t xml:space="preserve">ꎬ </w:t>
      </w:r>
      <w:r>
        <w:t>并处违法所得二倍以上五倍以下的罚款</w:t>
      </w:r>
      <w:r>
        <w:rPr>
          <w:rFonts w:hint="eastAsia" w:ascii="MS UI Gothic" w:eastAsia="MS UI Gothic"/>
          <w:w w:val="80"/>
        </w:rPr>
        <w:t xml:space="preserve">ꎻ </w:t>
      </w:r>
      <w:r>
        <w:t>没有违法所得或者违法所得不足十万元的</w:t>
      </w:r>
      <w:r>
        <w:rPr>
          <w:rFonts w:hint="eastAsia" w:ascii="MS UI Gothic" w:eastAsia="MS UI Gothic"/>
          <w:w w:val="80"/>
        </w:rPr>
        <w:t xml:space="preserve">ꎬ </w:t>
      </w:r>
      <w:r>
        <w:t>单处或者并处十万元以上二十万元以下的罚款</w:t>
      </w:r>
      <w:r>
        <w:rPr>
          <w:rFonts w:hint="eastAsia" w:ascii="MS UI Gothic" w:eastAsia="MS UI Gothic"/>
          <w:w w:val="80"/>
        </w:rPr>
        <w:t xml:space="preserve">ꎻ </w:t>
      </w:r>
      <w:r>
        <w:t>对其直接负责的主管人员和其他直接责任人员处一万元以上二万元以下的罚款</w:t>
      </w:r>
      <w:r>
        <w:rPr>
          <w:rFonts w:hint="eastAsia" w:ascii="MS UI Gothic" w:eastAsia="MS UI Gothic"/>
          <w:w w:val="80"/>
        </w:rPr>
        <w:t xml:space="preserve">ꎻ </w:t>
      </w:r>
      <w:r>
        <w:t>导致发生生产安全事故给他人造成损害的</w:t>
      </w:r>
      <w:r>
        <w:rPr>
          <w:rFonts w:hint="eastAsia" w:ascii="MS UI Gothic" w:eastAsia="MS UI Gothic"/>
          <w:w w:val="80"/>
        </w:rPr>
        <w:t xml:space="preserve">ꎬ </w:t>
      </w:r>
      <w:r>
        <w:t>与承包方</w:t>
      </w:r>
      <w:r>
        <w:rPr>
          <w:rFonts w:hint="eastAsia" w:ascii="MS UI Gothic" w:eastAsia="MS UI Gothic"/>
          <w:w w:val="80"/>
        </w:rPr>
        <w:t xml:space="preserve">、 </w:t>
      </w:r>
      <w:r>
        <w:t>承租方承担连带赔偿责任</w:t>
      </w:r>
      <w:r>
        <w:rPr>
          <w:rFonts w:hint="eastAsia" w:ascii="MS UI Gothic" w:eastAsia="MS UI Gothic"/>
          <w:w w:val="80"/>
        </w:rPr>
        <w:t>ꎮ</w:t>
      </w:r>
    </w:p>
    <w:p>
      <w:pPr>
        <w:pStyle w:val="6"/>
        <w:spacing w:line="295" w:lineRule="auto"/>
        <w:ind w:left="381" w:right="126"/>
      </w:pPr>
      <w:r>
        <w:t>生产经营单位未与承包单位</w:t>
      </w:r>
      <w:r>
        <w:rPr>
          <w:rFonts w:hint="eastAsia" w:ascii="MS UI Gothic" w:eastAsia="MS UI Gothic"/>
        </w:rPr>
        <w:t xml:space="preserve">、 </w:t>
      </w:r>
      <w:r>
        <w:t>承租单位签订专门的安全生产管理协议或者未在承包合同</w:t>
      </w:r>
      <w:r>
        <w:rPr>
          <w:rFonts w:hint="eastAsia" w:ascii="MS UI Gothic" w:eastAsia="MS UI Gothic"/>
        </w:rPr>
        <w:t xml:space="preserve">、 </w:t>
      </w:r>
      <w:r>
        <w:t>租赁合同中明确各自的安全生</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６２</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34" o:spid="_x0000_s1234" o:spt="203" style="height:2.15pt;width:398.25pt;" coordsize="7965,43">
            <o:lock v:ext="edit"/>
            <v:line id="_x0000_s1235" o:spid="_x0000_s1235" o:spt="20" style="position:absolute;left:0;top:39;height:0;width:7965;" stroked="t" coordsize="21600,21600">
              <v:path arrowok="t"/>
              <v:fill focussize="0,0"/>
              <v:stroke weight="0.388031496062992pt" color="#231F20"/>
              <v:imagedata o:title=""/>
              <o:lock v:ext="edit"/>
            </v:line>
            <v:line id="_x0000_s1236" o:spid="_x0000_s123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产管理职责</w:t>
      </w:r>
      <w:r>
        <w:rPr>
          <w:rFonts w:hint="eastAsia" w:ascii="MS UI Gothic" w:eastAsia="MS UI Gothic"/>
          <w:w w:val="80"/>
        </w:rPr>
        <w:t xml:space="preserve">ꎬ </w:t>
      </w:r>
      <w:r>
        <w:t>或者未对承包单位</w:t>
      </w:r>
      <w:r>
        <w:rPr>
          <w:rFonts w:hint="eastAsia" w:ascii="MS UI Gothic" w:eastAsia="MS UI Gothic"/>
          <w:w w:val="80"/>
        </w:rPr>
        <w:t xml:space="preserve">、 </w:t>
      </w:r>
      <w:r>
        <w:t>承租单位的安全生产统一协调</w:t>
      </w:r>
      <w:r>
        <w:rPr>
          <w:rFonts w:hint="eastAsia" w:ascii="MS UI Gothic" w:eastAsia="MS UI Gothic"/>
          <w:w w:val="80"/>
        </w:rPr>
        <w:t xml:space="preserve">、 </w:t>
      </w:r>
      <w:r>
        <w:t>管理的</w:t>
      </w:r>
      <w:r>
        <w:rPr>
          <w:rFonts w:hint="eastAsia" w:ascii="MS UI Gothic" w:eastAsia="MS UI Gothic"/>
          <w:w w:val="80"/>
        </w:rPr>
        <w:t xml:space="preserve">ꎬ </w:t>
      </w:r>
      <w:r>
        <w:t>责令限期改正</w:t>
      </w:r>
      <w:r>
        <w:rPr>
          <w:rFonts w:hint="eastAsia" w:ascii="MS UI Gothic" w:eastAsia="MS UI Gothic"/>
          <w:w w:val="80"/>
        </w:rPr>
        <w:t xml:space="preserve">ꎬ </w:t>
      </w:r>
      <w:r>
        <w:t>可以处五万元以下的罚款</w:t>
      </w:r>
      <w:r>
        <w:rPr>
          <w:rFonts w:hint="eastAsia" w:ascii="MS UI Gothic" w:eastAsia="MS UI Gothic"/>
          <w:w w:val="80"/>
        </w:rPr>
        <w:t xml:space="preserve">ꎬ </w:t>
      </w:r>
      <w:r>
        <w:t>对其直接负责的主管人员和其他直接责任人员可以处一万元以下的罚款</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责令停产停业整顿</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第一百零一条 两个以上生产经营单</w:t>
      </w:r>
      <w:r>
        <w:t>位在同一作业区域内进行可能危及对方安全生产的生产经营活动</w:t>
      </w:r>
      <w:r>
        <w:rPr>
          <w:rFonts w:hint="eastAsia" w:ascii="MS UI Gothic" w:eastAsia="MS UI Gothic"/>
          <w:w w:val="80"/>
        </w:rPr>
        <w:t xml:space="preserve">ꎬ </w:t>
      </w:r>
      <w:r>
        <w:t>未签订安全生产管理协议或者未指定专职安全生产管理人员进行安全检查与协调的</w:t>
      </w:r>
      <w:r>
        <w:rPr>
          <w:rFonts w:hint="eastAsia" w:ascii="MS UI Gothic" w:eastAsia="MS UI Gothic"/>
          <w:w w:val="80"/>
        </w:rPr>
        <w:t xml:space="preserve">ꎬ </w:t>
      </w:r>
      <w:r>
        <w:t>责令限期改正</w:t>
      </w:r>
      <w:r>
        <w:rPr>
          <w:rFonts w:hint="eastAsia" w:ascii="MS UI Gothic" w:eastAsia="MS UI Gothic"/>
          <w:w w:val="80"/>
        </w:rPr>
        <w:t xml:space="preserve">ꎬ </w:t>
      </w:r>
      <w:r>
        <w:t>可以处五万元以下的罚款</w:t>
      </w:r>
      <w:r>
        <w:rPr>
          <w:rFonts w:hint="eastAsia" w:ascii="MS UI Gothic" w:eastAsia="MS UI Gothic"/>
          <w:w w:val="80"/>
        </w:rPr>
        <w:t xml:space="preserve">ꎬ </w:t>
      </w:r>
      <w:r>
        <w:t>对其直接负责的主管人员和其他直接责任人员可以处一万元以下的罚款</w:t>
      </w:r>
      <w:r>
        <w:rPr>
          <w:rFonts w:hint="eastAsia" w:ascii="MS UI Gothic" w:eastAsia="MS UI Gothic"/>
          <w:w w:val="80"/>
        </w:rPr>
        <w:t xml:space="preserve">ꎻ </w:t>
      </w:r>
      <w:r>
        <w:t>逾期未改正的</w:t>
      </w:r>
      <w:r>
        <w:rPr>
          <w:rFonts w:hint="eastAsia" w:ascii="MS UI Gothic" w:eastAsia="MS UI Gothic"/>
          <w:w w:val="80"/>
        </w:rPr>
        <w:t xml:space="preserve">ꎬ </w:t>
      </w:r>
      <w:r>
        <w:t>责</w:t>
      </w:r>
      <w:r>
        <w:rPr>
          <w:w w:val="105"/>
        </w:rPr>
        <w:t>令停产停业</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第一百零二条 生产经营单位有下列</w:t>
      </w:r>
      <w:r>
        <w:t>行为之一的</w:t>
      </w:r>
      <w:r>
        <w:rPr>
          <w:rFonts w:hint="eastAsia" w:ascii="MS UI Gothic" w:eastAsia="MS UI Gothic"/>
          <w:w w:val="80"/>
        </w:rPr>
        <w:t xml:space="preserve">ꎬ </w:t>
      </w:r>
      <w:r>
        <w:t>责令限期改正</w:t>
      </w:r>
      <w:r>
        <w:rPr>
          <w:rFonts w:hint="eastAsia" w:ascii="MS UI Gothic" w:eastAsia="MS UI Gothic"/>
          <w:w w:val="80"/>
        </w:rPr>
        <w:t xml:space="preserve">ꎬ </w:t>
      </w:r>
      <w:r>
        <w:t>可以处五万元以下的罚款</w:t>
      </w:r>
      <w:r>
        <w:rPr>
          <w:rFonts w:hint="eastAsia" w:ascii="MS UI Gothic" w:eastAsia="MS UI Gothic"/>
          <w:w w:val="80"/>
        </w:rPr>
        <w:t xml:space="preserve">ꎬ </w:t>
      </w:r>
      <w:r>
        <w:t>对其直接负责的主管人员和其他直接责任人员可以处一万元以下的罚款</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责令停产停业整顿</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w:t>
      </w:r>
      <w:r>
        <w:rPr>
          <w:w w:val="105"/>
        </w:rPr>
        <w:t>刑事责任</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储存</w:t>
      </w:r>
      <w:r>
        <w:rPr>
          <w:rFonts w:hint="eastAsia" w:ascii="MS UI Gothic" w:eastAsia="MS UI Gothic"/>
          <w:w w:val="80"/>
        </w:rPr>
        <w:t xml:space="preserve">、 </w:t>
      </w:r>
      <w:r>
        <w:rPr>
          <w:w w:val="105"/>
        </w:rPr>
        <w:t>使用危险物品的车间</w:t>
      </w:r>
      <w:r>
        <w:rPr>
          <w:rFonts w:hint="eastAsia" w:ascii="MS UI Gothic" w:eastAsia="MS UI Gothic"/>
          <w:w w:val="80"/>
        </w:rPr>
        <w:t xml:space="preserve">、 </w:t>
      </w:r>
      <w:r>
        <w:rPr>
          <w:w w:val="105"/>
        </w:rPr>
        <w:t>商店</w:t>
      </w:r>
      <w:r>
        <w:rPr>
          <w:rFonts w:hint="eastAsia" w:ascii="MS UI Gothic" w:eastAsia="MS UI Gothic"/>
          <w:w w:val="80"/>
        </w:rPr>
        <w:t xml:space="preserve">、 </w:t>
      </w:r>
      <w:r>
        <w:rPr>
          <w:w w:val="105"/>
        </w:rPr>
        <w:t>仓库与员工宿舍在同</w:t>
      </w:r>
      <w:r>
        <w:t>一座建筑内</w:t>
      </w:r>
      <w:r>
        <w:rPr>
          <w:rFonts w:hint="eastAsia" w:ascii="MS UI Gothic" w:eastAsia="MS UI Gothic"/>
          <w:w w:val="80"/>
        </w:rPr>
        <w:t xml:space="preserve">ꎬ </w:t>
      </w:r>
      <w:r>
        <w:t>或者与员工宿舍的距离不符</w:t>
      </w:r>
      <w:r>
        <w:rPr>
          <w:w w:val="105"/>
        </w:rPr>
        <w:t>合安全要求的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生产经营场所和员工宿舍未设有符合紧急疏散需要</w:t>
      </w:r>
      <w:r>
        <w:rPr>
          <w:rFonts w:hint="eastAsia" w:ascii="MS UI Gothic" w:eastAsia="MS UI Gothic"/>
          <w:w w:val="80"/>
        </w:rPr>
        <w:t xml:space="preserve">、 </w:t>
      </w:r>
      <w:r>
        <w:rPr>
          <w:w w:val="105"/>
        </w:rPr>
        <w:t>标志明显</w:t>
      </w:r>
      <w:r>
        <w:rPr>
          <w:rFonts w:hint="eastAsia" w:ascii="MS UI Gothic" w:eastAsia="MS UI Gothic"/>
          <w:w w:val="80"/>
        </w:rPr>
        <w:t xml:space="preserve">、 </w:t>
      </w:r>
      <w:r>
        <w:rPr>
          <w:w w:val="105"/>
        </w:rPr>
        <w:t>保持畅通的出口</w:t>
      </w:r>
      <w:r>
        <w:rPr>
          <w:rFonts w:hint="eastAsia" w:ascii="MS UI Gothic" w:eastAsia="MS UI Gothic"/>
          <w:w w:val="80"/>
        </w:rPr>
        <w:t xml:space="preserve">ꎬ </w:t>
      </w:r>
      <w:r>
        <w:rPr>
          <w:w w:val="105"/>
        </w:rPr>
        <w:t>或者锁闭</w:t>
      </w:r>
      <w:r>
        <w:rPr>
          <w:rFonts w:hint="eastAsia" w:ascii="MS UI Gothic" w:eastAsia="MS UI Gothic"/>
          <w:w w:val="80"/>
        </w:rPr>
        <w:t xml:space="preserve">、 </w:t>
      </w:r>
      <w:r>
        <w:rPr>
          <w:w w:val="105"/>
        </w:rPr>
        <w:t>封堵生产经营场所或者员工宿舍出口的</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第一百零三条 生产经营单位与从业</w:t>
      </w:r>
      <w:r>
        <w:t>人员订立协议</w:t>
      </w:r>
      <w:r>
        <w:rPr>
          <w:rFonts w:hint="eastAsia" w:ascii="MS UI Gothic" w:eastAsia="MS UI Gothic"/>
          <w:w w:val="80"/>
        </w:rPr>
        <w:t xml:space="preserve">ꎬ </w:t>
      </w:r>
      <w:r>
        <w:t>免除或者减轻其对从业人员因生产安全事故伤亡依法应承担的责任的</w:t>
      </w:r>
      <w:r>
        <w:rPr>
          <w:rFonts w:hint="eastAsia" w:ascii="MS UI Gothic" w:eastAsia="MS UI Gothic"/>
          <w:w w:val="80"/>
        </w:rPr>
        <w:t xml:space="preserve">ꎬ </w:t>
      </w:r>
      <w:r>
        <w:t>该协议无效</w:t>
      </w:r>
      <w:r>
        <w:rPr>
          <w:rFonts w:hint="eastAsia" w:ascii="MS UI Gothic" w:eastAsia="MS UI Gothic"/>
          <w:w w:val="80"/>
        </w:rPr>
        <w:t xml:space="preserve">ꎻ </w:t>
      </w:r>
      <w:r>
        <w:t>对生产经营单位的主要</w:t>
      </w:r>
      <w:r>
        <w:rPr>
          <w:w w:val="105"/>
        </w:rPr>
        <w:t>负责人</w:t>
      </w:r>
      <w:r>
        <w:rPr>
          <w:rFonts w:hint="eastAsia" w:ascii="MS UI Gothic" w:eastAsia="MS UI Gothic"/>
          <w:w w:val="80"/>
        </w:rPr>
        <w:t xml:space="preserve">、 </w:t>
      </w:r>
      <w:r>
        <w:rPr>
          <w:w w:val="105"/>
        </w:rPr>
        <w:t>个人经营的投资人处二万元以上十万元以下的罚款</w:t>
      </w:r>
      <w:r>
        <w:rPr>
          <w:rFonts w:hint="eastAsia" w:ascii="MS UI Gothic" w:eastAsia="MS UI Gothic"/>
          <w:w w:val="80"/>
        </w:rPr>
        <w:t>ꎮ</w:t>
      </w:r>
    </w:p>
    <w:p>
      <w:pPr>
        <w:pStyle w:val="6"/>
        <w:spacing w:line="295" w:lineRule="auto"/>
        <w:ind w:right="38"/>
      </w:pPr>
      <w:r>
        <w:rPr>
          <w:w w:val="105"/>
        </w:rPr>
        <w:t>第一百零四条 生产经营单位的从业</w:t>
      </w:r>
      <w:r>
        <w:t>人员不服从管理</w:t>
      </w:r>
      <w:r>
        <w:rPr>
          <w:rFonts w:hint="eastAsia" w:ascii="MS UI Gothic" w:eastAsia="MS UI Gothic"/>
          <w:w w:val="80"/>
        </w:rPr>
        <w:t xml:space="preserve">ꎬ </w:t>
      </w:r>
      <w:r>
        <w:t>违反安全生产规章制度或者操作规程的</w:t>
      </w:r>
      <w:r>
        <w:rPr>
          <w:rFonts w:hint="eastAsia" w:ascii="MS UI Gothic" w:eastAsia="MS UI Gothic"/>
          <w:w w:val="80"/>
        </w:rPr>
        <w:t xml:space="preserve">ꎬ </w:t>
      </w:r>
      <w:r>
        <w:t>由生产经营单位给予批</w:t>
      </w:r>
    </w:p>
    <w:p>
      <w:pPr>
        <w:pStyle w:val="6"/>
        <w:spacing w:before="123" w:line="295" w:lineRule="auto"/>
        <w:ind w:right="442" w:firstLine="0"/>
        <w:rPr>
          <w:rFonts w:hint="eastAsia" w:ascii="MS UI Gothic" w:eastAsia="MS UI Gothic"/>
        </w:rPr>
      </w:pPr>
      <w:r>
        <w:br w:type="column"/>
      </w:r>
      <w:r>
        <w:t>评教育</w:t>
      </w:r>
      <w:r>
        <w:rPr>
          <w:rFonts w:hint="eastAsia" w:ascii="MS UI Gothic" w:eastAsia="MS UI Gothic"/>
          <w:w w:val="80"/>
        </w:rPr>
        <w:t xml:space="preserve">ꎬ </w:t>
      </w:r>
      <w:r>
        <w:t>依照有关规章制度给予处分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right="442"/>
        <w:rPr>
          <w:rFonts w:hint="eastAsia" w:ascii="MS UI Gothic" w:eastAsia="MS UI Gothic"/>
        </w:rPr>
      </w:pPr>
      <w:r>
        <w:t>第一百零五条 违反本法规定</w:t>
      </w:r>
      <w:r>
        <w:rPr>
          <w:rFonts w:hint="eastAsia" w:ascii="MS UI Gothic" w:eastAsia="MS UI Gothic"/>
          <w:w w:val="80"/>
        </w:rPr>
        <w:t xml:space="preserve">ꎬ </w:t>
      </w:r>
      <w:r>
        <w:t>生产经营单位拒绝</w:t>
      </w:r>
      <w:r>
        <w:rPr>
          <w:rFonts w:hint="eastAsia" w:ascii="MS UI Gothic" w:eastAsia="MS UI Gothic"/>
          <w:w w:val="80"/>
        </w:rPr>
        <w:t xml:space="preserve">、 </w:t>
      </w:r>
      <w:r>
        <w:t>阻碍负有安全生产监督管理职责的部门依法实施监督检查的</w:t>
      </w:r>
      <w:r>
        <w:rPr>
          <w:rFonts w:hint="eastAsia" w:ascii="MS UI Gothic" w:eastAsia="MS UI Gothic"/>
          <w:w w:val="80"/>
        </w:rPr>
        <w:t xml:space="preserve">ꎬ </w:t>
      </w:r>
      <w:r>
        <w:t>责令改正</w:t>
      </w:r>
      <w:r>
        <w:rPr>
          <w:rFonts w:hint="eastAsia" w:ascii="MS UI Gothic" w:eastAsia="MS UI Gothic"/>
          <w:w w:val="80"/>
        </w:rPr>
        <w:t xml:space="preserve">ꎻ </w:t>
      </w:r>
      <w:r>
        <w:t>拒不改正的</w:t>
      </w:r>
      <w:r>
        <w:rPr>
          <w:rFonts w:hint="eastAsia" w:ascii="MS UI Gothic" w:eastAsia="MS UI Gothic"/>
          <w:w w:val="80"/>
        </w:rPr>
        <w:t xml:space="preserve">ꎬ </w:t>
      </w:r>
      <w:r>
        <w:t>处二万元以上二十万元以下的罚款</w:t>
      </w:r>
      <w:r>
        <w:rPr>
          <w:rFonts w:hint="eastAsia" w:ascii="MS UI Gothic" w:eastAsia="MS UI Gothic"/>
          <w:w w:val="80"/>
        </w:rPr>
        <w:t xml:space="preserve">ꎻ </w:t>
      </w:r>
      <w:r>
        <w:t>对其直接负责的主管人员和其他直接责任人员处一万元以上二万元以下的罚款</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right="440"/>
        <w:rPr>
          <w:rFonts w:hint="eastAsia" w:ascii="MS UI Gothic" w:eastAsia="MS UI Gothic"/>
        </w:rPr>
      </w:pPr>
      <w:r>
        <w:t>第一百零六条 生产经营单位的主要负责人在本单位发生生产安全事故时</w:t>
      </w:r>
      <w:r>
        <w:rPr>
          <w:rFonts w:hint="eastAsia" w:ascii="MS UI Gothic" w:eastAsia="MS UI Gothic"/>
          <w:w w:val="80"/>
        </w:rPr>
        <w:t xml:space="preserve">ꎬ </w:t>
      </w:r>
      <w:r>
        <w:t>不立即组织抢救或者在事故调查处理期间擅离职守或者逃匿的</w:t>
      </w:r>
      <w:r>
        <w:rPr>
          <w:rFonts w:hint="eastAsia" w:ascii="MS UI Gothic" w:eastAsia="MS UI Gothic"/>
          <w:w w:val="80"/>
        </w:rPr>
        <w:t xml:space="preserve">ꎬ </w:t>
      </w:r>
      <w:r>
        <w:t>给予降级</w:t>
      </w:r>
      <w:r>
        <w:rPr>
          <w:rFonts w:hint="eastAsia" w:ascii="MS UI Gothic" w:eastAsia="MS UI Gothic"/>
          <w:w w:val="80"/>
        </w:rPr>
        <w:t xml:space="preserve">、 </w:t>
      </w:r>
      <w:r>
        <w:t>撤职的处分</w:t>
      </w:r>
      <w:r>
        <w:rPr>
          <w:rFonts w:hint="eastAsia" w:ascii="MS UI Gothic" w:eastAsia="MS UI Gothic"/>
          <w:w w:val="80"/>
        </w:rPr>
        <w:t xml:space="preserve">ꎬ </w:t>
      </w:r>
      <w:r>
        <w:t>并由安全生产监督管理部门处上一年年收入百分之六十至百分之一百的罚款</w:t>
      </w:r>
      <w:r>
        <w:rPr>
          <w:rFonts w:hint="eastAsia" w:ascii="MS UI Gothic" w:eastAsia="MS UI Gothic"/>
          <w:w w:val="80"/>
        </w:rPr>
        <w:t>ꎻ</w:t>
      </w:r>
      <w:r>
        <w:t>对逃匿的处十五日以下拘留</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right="442"/>
        <w:rPr>
          <w:rFonts w:hint="eastAsia" w:ascii="MS UI Gothic" w:eastAsia="MS UI Gothic"/>
        </w:rPr>
      </w:pPr>
      <w:r>
        <w:t>生产经营单位的主要负责人对生产安全事故隐瞒不报</w:t>
      </w:r>
      <w:r>
        <w:rPr>
          <w:rFonts w:hint="eastAsia" w:ascii="MS UI Gothic" w:eastAsia="MS UI Gothic"/>
          <w:w w:val="80"/>
        </w:rPr>
        <w:t xml:space="preserve">、 </w:t>
      </w:r>
      <w:r>
        <w:t>谎报或者迟报的</w:t>
      </w:r>
      <w:r>
        <w:rPr>
          <w:rFonts w:hint="eastAsia" w:ascii="MS UI Gothic" w:eastAsia="MS UI Gothic"/>
          <w:w w:val="80"/>
        </w:rPr>
        <w:t xml:space="preserve">ꎬ </w:t>
      </w:r>
      <w:r>
        <w:t>依照前款规定处罚</w:t>
      </w:r>
      <w:r>
        <w:rPr>
          <w:rFonts w:hint="eastAsia" w:ascii="MS UI Gothic" w:eastAsia="MS UI Gothic"/>
          <w:w w:val="80"/>
        </w:rPr>
        <w:t>ꎮ</w:t>
      </w:r>
    </w:p>
    <w:p>
      <w:pPr>
        <w:pStyle w:val="6"/>
        <w:spacing w:line="295" w:lineRule="auto"/>
        <w:ind w:right="440"/>
        <w:rPr>
          <w:rFonts w:hint="eastAsia" w:ascii="MS UI Gothic" w:eastAsia="MS UI Gothic"/>
        </w:rPr>
      </w:pPr>
      <w:r>
        <w:t>第一百零七条  有关地方人民政府</w:t>
      </w:r>
      <w:r>
        <w:rPr>
          <w:rFonts w:hint="eastAsia" w:ascii="MS UI Gothic" w:eastAsia="MS UI Gothic"/>
          <w:w w:val="80"/>
        </w:rPr>
        <w:t>、</w:t>
      </w:r>
      <w:r>
        <w:t>负有安全生产监督管理职责的部门</w:t>
      </w:r>
      <w:r>
        <w:rPr>
          <w:rFonts w:hint="eastAsia" w:ascii="MS UI Gothic" w:eastAsia="MS UI Gothic"/>
          <w:w w:val="80"/>
        </w:rPr>
        <w:t xml:space="preserve">ꎬ </w:t>
      </w:r>
      <w:r>
        <w:t>对生产安全事故隐瞒不报</w:t>
      </w:r>
      <w:r>
        <w:rPr>
          <w:rFonts w:hint="eastAsia" w:ascii="MS UI Gothic" w:eastAsia="MS UI Gothic"/>
          <w:w w:val="80"/>
        </w:rPr>
        <w:t xml:space="preserve">、 </w:t>
      </w:r>
      <w:r>
        <w:t>谎报或者迟报的</w:t>
      </w:r>
      <w:r>
        <w:rPr>
          <w:rFonts w:hint="eastAsia" w:ascii="MS UI Gothic" w:eastAsia="MS UI Gothic"/>
          <w:w w:val="80"/>
        </w:rPr>
        <w:t>ꎬ</w:t>
      </w:r>
      <w:r>
        <w:t>对直接负责的主管人员和其他直接责任人员依法给予处分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第一百零八条 生产经营单位不具备本法和其他有关法律</w:t>
      </w:r>
      <w:r>
        <w:rPr>
          <w:rFonts w:hint="eastAsia" w:ascii="MS UI Gothic" w:eastAsia="MS UI Gothic"/>
          <w:w w:val="80"/>
        </w:rPr>
        <w:t xml:space="preserve">、 </w:t>
      </w:r>
      <w:r>
        <w:rPr>
          <w:w w:val="105"/>
        </w:rPr>
        <w:t>行政法规和国家标</w:t>
      </w:r>
      <w:r>
        <w:t>准或者行业标准规定的安全生产条件</w:t>
      </w:r>
      <w:r>
        <w:rPr>
          <w:rFonts w:hint="eastAsia" w:ascii="MS UI Gothic" w:eastAsia="MS UI Gothic"/>
          <w:w w:val="80"/>
        </w:rPr>
        <w:t xml:space="preserve">ꎬ </w:t>
      </w:r>
      <w:r>
        <w:t>经停产停业整顿仍不具备安全生产条件的</w:t>
      </w:r>
      <w:r>
        <w:rPr>
          <w:rFonts w:hint="eastAsia" w:ascii="MS UI Gothic" w:eastAsia="MS UI Gothic"/>
          <w:w w:val="80"/>
        </w:rPr>
        <w:t>ꎬ</w:t>
      </w:r>
      <w:r>
        <w:t>予以关闭</w:t>
      </w:r>
      <w:r>
        <w:rPr>
          <w:rFonts w:hint="eastAsia" w:ascii="MS UI Gothic" w:eastAsia="MS UI Gothic"/>
          <w:w w:val="80"/>
        </w:rPr>
        <w:t xml:space="preserve">ꎻ </w:t>
      </w:r>
      <w:r>
        <w:t>有关部门应当依法吊销其有关</w:t>
      </w:r>
      <w:r>
        <w:rPr>
          <w:w w:val="105"/>
        </w:rPr>
        <w:t>证照</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第一百零九条 发生生产安全事故</w:t>
      </w:r>
      <w:r>
        <w:rPr>
          <w:rFonts w:hint="eastAsia" w:ascii="MS UI Gothic" w:eastAsia="MS UI Gothic"/>
          <w:w w:val="80"/>
        </w:rPr>
        <w:t>ꎬ</w:t>
      </w:r>
      <w:r>
        <w:t>对负有责任的生产经营单位除要求其依法承担相应的赔偿等责任外</w:t>
      </w:r>
      <w:r>
        <w:rPr>
          <w:rFonts w:hint="eastAsia" w:ascii="MS UI Gothic" w:eastAsia="MS UI Gothic"/>
          <w:w w:val="80"/>
        </w:rPr>
        <w:t xml:space="preserve">ꎬ </w:t>
      </w:r>
      <w:r>
        <w:t>由安全生产监</w:t>
      </w:r>
      <w:r>
        <w:rPr>
          <w:w w:val="105"/>
        </w:rPr>
        <w:t>督管理部门依照下列规定处以罚款</w:t>
      </w:r>
      <w:r>
        <w:rPr>
          <w:rFonts w:hint="eastAsia" w:ascii="MS UI Gothic" w:eastAsia="MS UI Gothic"/>
          <w:w w:val="235"/>
        </w:rPr>
        <w:t>:</w:t>
      </w:r>
    </w:p>
    <w:p>
      <w:pPr>
        <w:pStyle w:val="6"/>
        <w:spacing w:line="253" w:lineRule="exact"/>
        <w:ind w:left="543" w:firstLine="0"/>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发生一般事故的</w:t>
      </w:r>
      <w:r>
        <w:rPr>
          <w:rFonts w:hint="eastAsia" w:ascii="MS UI Gothic" w:eastAsia="MS UI Gothic"/>
          <w:w w:val="80"/>
        </w:rPr>
        <w:t xml:space="preserve">ꎬ </w:t>
      </w:r>
      <w:r>
        <w:rPr>
          <w:w w:val="110"/>
        </w:rPr>
        <w:t>处二十万元</w:t>
      </w:r>
    </w:p>
    <w:p>
      <w:pPr>
        <w:spacing w:after="0" w:line="253" w:lineRule="exac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６３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37" o:spid="_x0000_s1237" o:spt="203" style="height:2.15pt;width:398.25pt;" coordsize="7965,43">
            <o:lock v:ext="edit"/>
            <v:line id="_x0000_s1238" o:spid="_x0000_s1238" o:spt="20" style="position:absolute;left:0;top:39;height:0;width:7965;" stroked="t" coordsize="21600,21600">
              <v:path arrowok="t"/>
              <v:fill focussize="0,0"/>
              <v:stroke weight="0.388031496062992pt" color="#231F20"/>
              <v:imagedata o:title=""/>
              <o:lock v:ext="edit"/>
            </v:line>
            <v:line id="_x0000_s1239" o:spid="_x0000_s123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rPr>
          <w:spacing w:val="3"/>
        </w:rPr>
        <w:t>以上五十万元以下的罚款</w:t>
      </w:r>
      <w:r>
        <w:rPr>
          <w:rFonts w:hint="eastAsia" w:ascii="MS UI Gothic" w:eastAsia="MS UI Gothic"/>
          <w:w w:val="80"/>
        </w:rPr>
        <w:t>ꎻ</w:t>
      </w:r>
    </w:p>
    <w:p>
      <w:pPr>
        <w:pStyle w:val="6"/>
        <w:spacing w:before="58" w:line="295" w:lineRule="auto"/>
        <w:ind w:left="440"/>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4"/>
          <w:w w:val="150"/>
        </w:rPr>
        <w:t xml:space="preserve">) </w:t>
      </w:r>
      <w:r>
        <w:rPr>
          <w:spacing w:val="5"/>
          <w:w w:val="105"/>
        </w:rPr>
        <w:t>发生较大事故的</w:t>
      </w:r>
      <w:r>
        <w:rPr>
          <w:rFonts w:hint="eastAsia" w:ascii="MS UI Gothic" w:eastAsia="MS UI Gothic"/>
          <w:spacing w:val="13"/>
          <w:w w:val="80"/>
        </w:rPr>
        <w:t xml:space="preserve">ꎬ </w:t>
      </w:r>
      <w:r>
        <w:rPr>
          <w:spacing w:val="8"/>
          <w:w w:val="105"/>
        </w:rPr>
        <w:t>处五十万元</w:t>
      </w:r>
      <w:r>
        <w:rPr>
          <w:spacing w:val="3"/>
          <w:w w:val="105"/>
        </w:rPr>
        <w:t>以上一百万元以下的罚款</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4"/>
          <w:w w:val="150"/>
        </w:rPr>
        <w:t xml:space="preserve">) </w:t>
      </w:r>
      <w:r>
        <w:rPr>
          <w:spacing w:val="5"/>
          <w:w w:val="105"/>
        </w:rPr>
        <w:t>发生重大事故的</w:t>
      </w:r>
      <w:r>
        <w:rPr>
          <w:rFonts w:hint="eastAsia" w:ascii="MS UI Gothic" w:eastAsia="MS UI Gothic"/>
          <w:spacing w:val="13"/>
          <w:w w:val="80"/>
        </w:rPr>
        <w:t xml:space="preserve">ꎬ </w:t>
      </w:r>
      <w:r>
        <w:rPr>
          <w:spacing w:val="8"/>
          <w:w w:val="105"/>
        </w:rPr>
        <w:t>处一百万元</w:t>
      </w:r>
      <w:r>
        <w:rPr>
          <w:spacing w:val="3"/>
          <w:w w:val="105"/>
        </w:rPr>
        <w:t>以上五百万元以下的罚款</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发生特别重大事故的</w:t>
      </w:r>
      <w:r>
        <w:rPr>
          <w:rFonts w:hint="eastAsia" w:ascii="MS UI Gothic" w:eastAsia="MS UI Gothic"/>
          <w:w w:val="80"/>
        </w:rPr>
        <w:t xml:space="preserve">ꎬ </w:t>
      </w:r>
      <w:r>
        <w:rPr>
          <w:w w:val="105"/>
        </w:rPr>
        <w:t>处五百</w:t>
      </w:r>
      <w:r>
        <w:t>万元以上一千万元以下的罚款</w:t>
      </w:r>
      <w:r>
        <w:rPr>
          <w:rFonts w:hint="eastAsia" w:ascii="MS UI Gothic" w:eastAsia="MS UI Gothic"/>
          <w:w w:val="80"/>
        </w:rPr>
        <w:t xml:space="preserve">ꎻ </w:t>
      </w:r>
      <w:r>
        <w:t>情节特别严重的</w:t>
      </w:r>
      <w:r>
        <w:rPr>
          <w:rFonts w:hint="eastAsia" w:ascii="MS UI Gothic" w:eastAsia="MS UI Gothic"/>
          <w:w w:val="80"/>
        </w:rPr>
        <w:t xml:space="preserve">ꎬ </w:t>
      </w:r>
      <w:r>
        <w:t>处一千万元以上二千万元以下的</w:t>
      </w:r>
      <w:r>
        <w:rPr>
          <w:w w:val="105"/>
        </w:rPr>
        <w:t>罚款</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第一百一十条 本法规定的行政处</w:t>
      </w:r>
      <w:r>
        <w:t>罚</w:t>
      </w:r>
      <w:r>
        <w:rPr>
          <w:rFonts w:hint="eastAsia" w:ascii="MS UI Gothic" w:eastAsia="MS UI Gothic"/>
          <w:w w:val="80"/>
        </w:rPr>
        <w:t xml:space="preserve">ꎬ </w:t>
      </w:r>
      <w:r>
        <w:t>由安全生产监督管理部门和其他负有安全生产监督管理职责的部门按照职责分工决定</w:t>
      </w:r>
      <w:r>
        <w:rPr>
          <w:rFonts w:hint="eastAsia" w:ascii="MS UI Gothic" w:eastAsia="MS UI Gothic"/>
          <w:w w:val="80"/>
        </w:rPr>
        <w:t xml:space="preserve">ꎮ </w:t>
      </w:r>
      <w:r>
        <w:t>予以关闭的行政处罚由负有安全生产监督管理职责的部门报请县级以上人民政府按照国务院规定的权限决定</w:t>
      </w:r>
      <w:r>
        <w:rPr>
          <w:rFonts w:hint="eastAsia" w:ascii="MS UI Gothic" w:eastAsia="MS UI Gothic"/>
          <w:w w:val="80"/>
        </w:rPr>
        <w:t xml:space="preserve">ꎻ </w:t>
      </w:r>
      <w:r>
        <w:t>给予拘留的行政处罚由公安机关依照治安管理</w:t>
      </w:r>
      <w:r>
        <w:rPr>
          <w:w w:val="105"/>
        </w:rPr>
        <w:t>处罚法的规定决定</w:t>
      </w:r>
      <w:r>
        <w:rPr>
          <w:rFonts w:hint="eastAsia" w:ascii="MS UI Gothic" w:eastAsia="MS UI Gothic"/>
          <w:w w:val="80"/>
        </w:rPr>
        <w:t>ꎮ</w:t>
      </w:r>
    </w:p>
    <w:p>
      <w:pPr>
        <w:pStyle w:val="6"/>
        <w:spacing w:line="295" w:lineRule="auto"/>
        <w:ind w:left="440"/>
        <w:rPr>
          <w:rFonts w:hint="eastAsia" w:ascii="MS UI Gothic" w:eastAsia="MS UI Gothic"/>
        </w:rPr>
      </w:pPr>
      <w:r>
        <w:t>第一百一十一条 生产经营单位发生生产安全事故造成人员伤亡</w:t>
      </w:r>
      <w:r>
        <w:rPr>
          <w:rFonts w:hint="eastAsia" w:ascii="MS UI Gothic" w:eastAsia="MS UI Gothic"/>
          <w:w w:val="80"/>
        </w:rPr>
        <w:t xml:space="preserve">、 </w:t>
      </w:r>
      <w:r>
        <w:t>他人财产损失的</w:t>
      </w:r>
      <w:r>
        <w:rPr>
          <w:rFonts w:hint="eastAsia" w:ascii="MS UI Gothic" w:eastAsia="MS UI Gothic"/>
          <w:w w:val="80"/>
        </w:rPr>
        <w:t xml:space="preserve">ꎬ </w:t>
      </w:r>
      <w:r>
        <w:t>应当依法承担赔偿责任</w:t>
      </w:r>
      <w:r>
        <w:rPr>
          <w:rFonts w:hint="eastAsia" w:ascii="MS UI Gothic" w:eastAsia="MS UI Gothic"/>
          <w:w w:val="80"/>
        </w:rPr>
        <w:t xml:space="preserve">ꎻ </w:t>
      </w:r>
      <w:r>
        <w:t>拒不承担或者其负责人逃匿的</w:t>
      </w:r>
      <w:r>
        <w:rPr>
          <w:rFonts w:hint="eastAsia" w:ascii="MS UI Gothic" w:eastAsia="MS UI Gothic"/>
          <w:w w:val="80"/>
        </w:rPr>
        <w:t xml:space="preserve">ꎬ </w:t>
      </w:r>
      <w:r>
        <w:t>由人民法院依法强制执行</w:t>
      </w:r>
      <w:r>
        <w:rPr>
          <w:rFonts w:hint="eastAsia" w:ascii="MS UI Gothic" w:eastAsia="MS UI Gothic"/>
          <w:w w:val="80"/>
        </w:rPr>
        <w:t>ꎮ</w:t>
      </w:r>
    </w:p>
    <w:p>
      <w:pPr>
        <w:pStyle w:val="6"/>
        <w:spacing w:line="295" w:lineRule="auto"/>
        <w:ind w:left="440"/>
        <w:rPr>
          <w:rFonts w:hint="eastAsia" w:ascii="MS UI Gothic" w:eastAsia="MS UI Gothic"/>
        </w:rPr>
      </w:pPr>
      <w:r>
        <w:t>生产安全事故的责任人未依法承担赔偿责任</w:t>
      </w:r>
      <w:r>
        <w:rPr>
          <w:rFonts w:hint="eastAsia" w:ascii="MS UI Gothic" w:eastAsia="MS UI Gothic"/>
          <w:w w:val="80"/>
        </w:rPr>
        <w:t xml:space="preserve">ꎬ </w:t>
      </w:r>
      <w:r>
        <w:t>经人民法院依法采取执行措施后</w:t>
      </w:r>
      <w:r>
        <w:rPr>
          <w:rFonts w:hint="eastAsia" w:ascii="MS UI Gothic" w:eastAsia="MS UI Gothic"/>
          <w:w w:val="80"/>
        </w:rPr>
        <w:t xml:space="preserve">ꎬ </w:t>
      </w:r>
      <w:r>
        <w:t>仍不能对受害人给予足额赔偿的</w:t>
      </w:r>
      <w:r>
        <w:rPr>
          <w:rFonts w:hint="eastAsia" w:ascii="MS UI Gothic" w:eastAsia="MS UI Gothic"/>
          <w:w w:val="80"/>
        </w:rPr>
        <w:t xml:space="preserve">ꎬ </w:t>
      </w:r>
      <w:r>
        <w:t>应当继续履行赔偿义务</w:t>
      </w:r>
      <w:r>
        <w:rPr>
          <w:rFonts w:hint="eastAsia" w:ascii="MS UI Gothic" w:eastAsia="MS UI Gothic"/>
          <w:w w:val="80"/>
        </w:rPr>
        <w:t xml:space="preserve">ꎻ </w:t>
      </w:r>
      <w:r>
        <w:t>受害人发现责任人有其他财产的</w:t>
      </w:r>
      <w:r>
        <w:rPr>
          <w:rFonts w:hint="eastAsia" w:ascii="MS UI Gothic" w:eastAsia="MS UI Gothic"/>
          <w:w w:val="80"/>
        </w:rPr>
        <w:t xml:space="preserve">ꎬ </w:t>
      </w:r>
      <w:r>
        <w:t>可以随时请求人民法院执行</w:t>
      </w:r>
      <w:r>
        <w:rPr>
          <w:rFonts w:hint="eastAsia" w:ascii="MS UI Gothic" w:eastAsia="MS UI Gothic"/>
          <w:w w:val="80"/>
        </w:rPr>
        <w:t>ꎮ</w:t>
      </w:r>
    </w:p>
    <w:p>
      <w:pPr>
        <w:pStyle w:val="6"/>
        <w:tabs>
          <w:tab w:val="left" w:pos="2327"/>
          <w:tab w:val="left" w:pos="2956"/>
        </w:tabs>
        <w:spacing w:before="136"/>
        <w:ind w:left="1488" w:firstLine="0"/>
        <w:jc w:val="left"/>
      </w:pPr>
      <w:r>
        <w:rPr>
          <w:spacing w:val="3"/>
          <w:w w:val="105"/>
        </w:rPr>
        <w:t>第七</w:t>
      </w:r>
      <w:r>
        <w:rPr>
          <w:w w:val="105"/>
        </w:rPr>
        <w:t>章</w:t>
      </w:r>
      <w:r>
        <w:rPr>
          <w:w w:val="105"/>
        </w:rPr>
        <w:tab/>
      </w:r>
      <w:r>
        <w:rPr>
          <w:w w:val="105"/>
        </w:rPr>
        <w:t>附</w:t>
      </w:r>
      <w:r>
        <w:rPr>
          <w:w w:val="105"/>
        </w:rPr>
        <w:tab/>
      </w:r>
      <w:r>
        <w:rPr>
          <w:w w:val="105"/>
        </w:rPr>
        <w:t>则</w:t>
      </w:r>
    </w:p>
    <w:p>
      <w:pPr>
        <w:pStyle w:val="6"/>
        <w:spacing w:before="215" w:line="295" w:lineRule="auto"/>
        <w:ind w:left="440"/>
        <w:rPr>
          <w:rFonts w:hint="eastAsia" w:ascii="MS UI Gothic" w:eastAsia="MS UI Gothic"/>
        </w:rPr>
      </w:pPr>
      <w:r>
        <w:rPr>
          <w:w w:val="105"/>
        </w:rPr>
        <w:t>第一百一十二条 本法下列用语的</w:t>
      </w:r>
      <w:r>
        <w:rPr>
          <w:w w:val="115"/>
        </w:rPr>
        <w:t>含义</w:t>
      </w:r>
      <w:r>
        <w:rPr>
          <w:rFonts w:hint="eastAsia" w:ascii="MS UI Gothic" w:eastAsia="MS UI Gothic"/>
          <w:w w:val="235"/>
        </w:rPr>
        <w:t>:</w:t>
      </w:r>
    </w:p>
    <w:p>
      <w:pPr>
        <w:pStyle w:val="6"/>
        <w:spacing w:line="295" w:lineRule="auto"/>
        <w:ind w:left="440"/>
        <w:rPr>
          <w:rFonts w:hint="eastAsia" w:ascii="MS UI Gothic" w:eastAsia="MS UI Gothic"/>
        </w:rPr>
      </w:pPr>
      <w:r>
        <w:t>危险物品</w:t>
      </w:r>
      <w:r>
        <w:rPr>
          <w:rFonts w:hint="eastAsia" w:ascii="MS UI Gothic" w:eastAsia="MS UI Gothic"/>
          <w:w w:val="80"/>
        </w:rPr>
        <w:t xml:space="preserve">ꎬ </w:t>
      </w:r>
      <w:r>
        <w:t>是指易燃易爆物品</w:t>
      </w:r>
      <w:r>
        <w:rPr>
          <w:rFonts w:hint="eastAsia" w:ascii="MS UI Gothic" w:eastAsia="MS UI Gothic"/>
          <w:w w:val="80"/>
        </w:rPr>
        <w:t xml:space="preserve">、 </w:t>
      </w:r>
      <w:r>
        <w:t>危险化学品</w:t>
      </w:r>
      <w:r>
        <w:rPr>
          <w:rFonts w:hint="eastAsia" w:ascii="MS UI Gothic" w:eastAsia="MS UI Gothic"/>
          <w:w w:val="80"/>
        </w:rPr>
        <w:t xml:space="preserve">、 </w:t>
      </w:r>
      <w:r>
        <w:t>放射性物品等能够危及人身安全和财产安全的物品</w:t>
      </w:r>
      <w:r>
        <w:rPr>
          <w:rFonts w:hint="eastAsia" w:ascii="MS UI Gothic" w:eastAsia="MS UI Gothic"/>
          <w:w w:val="80"/>
        </w:rPr>
        <w:t>ꎮ</w:t>
      </w:r>
    </w:p>
    <w:p>
      <w:pPr>
        <w:pStyle w:val="6"/>
        <w:spacing w:line="295" w:lineRule="auto"/>
        <w:ind w:left="440"/>
        <w:rPr>
          <w:rFonts w:hint="eastAsia" w:ascii="MS UI Gothic" w:eastAsia="MS UI Gothic"/>
        </w:rPr>
      </w:pPr>
      <w:r>
        <w:t>重大危险源</w:t>
      </w:r>
      <w:r>
        <w:rPr>
          <w:rFonts w:hint="eastAsia" w:ascii="MS UI Gothic" w:eastAsia="MS UI Gothic"/>
          <w:w w:val="80"/>
        </w:rPr>
        <w:t xml:space="preserve">ꎬ </w:t>
      </w:r>
      <w:r>
        <w:t>是指长期地或者临时地</w:t>
      </w:r>
      <w:r>
        <w:rPr>
          <w:w w:val="105"/>
        </w:rPr>
        <w:t>生产</w:t>
      </w:r>
      <w:r>
        <w:rPr>
          <w:rFonts w:hint="eastAsia" w:ascii="MS UI Gothic" w:eastAsia="MS UI Gothic"/>
          <w:w w:val="80"/>
        </w:rPr>
        <w:t xml:space="preserve">、 </w:t>
      </w:r>
      <w:r>
        <w:rPr>
          <w:w w:val="105"/>
        </w:rPr>
        <w:t>搬运</w:t>
      </w:r>
      <w:r>
        <w:rPr>
          <w:rFonts w:hint="eastAsia" w:ascii="MS UI Gothic" w:eastAsia="MS UI Gothic"/>
          <w:w w:val="80"/>
        </w:rPr>
        <w:t xml:space="preserve">、 </w:t>
      </w:r>
      <w:r>
        <w:rPr>
          <w:w w:val="105"/>
        </w:rPr>
        <w:t>使用或者储存危险物品</w:t>
      </w:r>
      <w:r>
        <w:rPr>
          <w:rFonts w:hint="eastAsia" w:ascii="MS UI Gothic" w:eastAsia="MS UI Gothic"/>
          <w:w w:val="80"/>
        </w:rPr>
        <w:t xml:space="preserve">ꎬ </w:t>
      </w:r>
      <w:r>
        <w:rPr>
          <w:w w:val="105"/>
        </w:rPr>
        <w:t>且</w:t>
      </w:r>
      <w:r>
        <w:t>危险物品的数量等于或者超过临界量的单</w:t>
      </w:r>
      <w:r>
        <w:rPr>
          <w:w w:val="105"/>
        </w:rPr>
        <w:t xml:space="preserve">元 </w:t>
      </w:r>
      <w:r>
        <w:rPr>
          <w:rFonts w:hint="eastAsia" w:ascii="MS UI Gothic" w:eastAsia="MS UI Gothic"/>
          <w:w w:val="150"/>
        </w:rPr>
        <w:t xml:space="preserve">( </w:t>
      </w:r>
      <w:r>
        <w:rPr>
          <w:w w:val="105"/>
        </w:rPr>
        <w:t>包括场所和设施</w:t>
      </w:r>
      <w:r>
        <w:rPr>
          <w:rFonts w:hint="eastAsia" w:ascii="MS UI Gothic" w:eastAsia="MS UI Gothic"/>
          <w:w w:val="150"/>
        </w:rPr>
        <w:t xml:space="preserve">) </w:t>
      </w:r>
      <w:r>
        <w:rPr>
          <w:rFonts w:hint="eastAsia" w:ascii="MS UI Gothic" w:eastAsia="MS UI Gothic"/>
          <w:w w:val="80"/>
        </w:rPr>
        <w:t>ꎮ</w:t>
      </w:r>
    </w:p>
    <w:p>
      <w:pPr>
        <w:pStyle w:val="6"/>
        <w:spacing w:before="124" w:line="295" w:lineRule="auto"/>
        <w:ind w:left="383" w:right="126"/>
        <w:rPr>
          <w:rFonts w:hint="eastAsia" w:ascii="MS UI Gothic" w:eastAsia="MS UI Gothic"/>
        </w:rPr>
      </w:pPr>
      <w:r>
        <w:br w:type="column"/>
      </w:r>
      <w:r>
        <w:t>第一百一十三条 本法规定的生产安全一般事故</w:t>
      </w:r>
      <w:r>
        <w:rPr>
          <w:rFonts w:hint="eastAsia" w:ascii="MS UI Gothic" w:eastAsia="MS UI Gothic"/>
          <w:w w:val="80"/>
        </w:rPr>
        <w:t xml:space="preserve">、 </w:t>
      </w:r>
      <w:r>
        <w:t>较大事故</w:t>
      </w:r>
      <w:r>
        <w:rPr>
          <w:rFonts w:hint="eastAsia" w:ascii="MS UI Gothic" w:eastAsia="MS UI Gothic"/>
          <w:w w:val="80"/>
        </w:rPr>
        <w:t xml:space="preserve">、 </w:t>
      </w:r>
      <w:r>
        <w:t>重大事故</w:t>
      </w:r>
      <w:r>
        <w:rPr>
          <w:rFonts w:hint="eastAsia" w:ascii="MS UI Gothic" w:eastAsia="MS UI Gothic"/>
          <w:w w:val="80"/>
        </w:rPr>
        <w:t xml:space="preserve">、 </w:t>
      </w:r>
      <w:r>
        <w:t>特别重大事故的划分标准由国务院规定</w:t>
      </w:r>
      <w:r>
        <w:rPr>
          <w:rFonts w:hint="eastAsia" w:ascii="MS UI Gothic" w:eastAsia="MS UI Gothic"/>
          <w:w w:val="80"/>
        </w:rPr>
        <w:t>ꎮ</w:t>
      </w:r>
    </w:p>
    <w:p>
      <w:pPr>
        <w:pStyle w:val="6"/>
        <w:spacing w:line="295" w:lineRule="auto"/>
        <w:ind w:left="383" w:right="126"/>
        <w:rPr>
          <w:rFonts w:hint="eastAsia" w:ascii="MS UI Gothic" w:eastAsia="MS UI Gothic"/>
        </w:rPr>
      </w:pPr>
      <w:r>
        <w:t>国务院安全生产监督管理部门和其他负有安全生产监督管理职责的部门应当根</w:t>
      </w:r>
      <w:r>
        <w:rPr>
          <w:w w:val="105"/>
        </w:rPr>
        <w:t>据各自的职责分工</w:t>
      </w:r>
      <w:r>
        <w:rPr>
          <w:rFonts w:hint="eastAsia" w:ascii="MS UI Gothic" w:eastAsia="MS UI Gothic"/>
          <w:w w:val="80"/>
        </w:rPr>
        <w:t xml:space="preserve">ꎬ </w:t>
      </w:r>
      <w:r>
        <w:rPr>
          <w:w w:val="105"/>
        </w:rPr>
        <w:t>制定相关行业</w:t>
      </w:r>
      <w:r>
        <w:rPr>
          <w:rFonts w:hint="eastAsia" w:ascii="MS UI Gothic" w:eastAsia="MS UI Gothic"/>
          <w:w w:val="80"/>
        </w:rPr>
        <w:t xml:space="preserve">、 </w:t>
      </w:r>
      <w:r>
        <w:rPr>
          <w:w w:val="105"/>
        </w:rPr>
        <w:t>领域重大事故隐患的判定标准</w:t>
      </w:r>
      <w:r>
        <w:rPr>
          <w:rFonts w:hint="eastAsia" w:ascii="MS UI Gothic" w:eastAsia="MS UI Gothic"/>
          <w:w w:val="80"/>
        </w:rPr>
        <w:t>ꎮ</w:t>
      </w:r>
    </w:p>
    <w:p>
      <w:pPr>
        <w:pStyle w:val="6"/>
        <w:spacing w:line="253" w:lineRule="exact"/>
        <w:ind w:left="802" w:firstLine="0"/>
        <w:rPr>
          <w:rFonts w:hint="eastAsia" w:ascii="MS UI Gothic" w:eastAsia="MS UI Gothic"/>
        </w:rPr>
      </w:pPr>
      <w:r>
        <w:t xml:space="preserve">第一百一十四条 本法自 </w:t>
      </w:r>
      <w:r>
        <w:rPr>
          <w:rFonts w:hint="eastAsia" w:ascii="MS UI Gothic" w:eastAsia="MS UI Gothic"/>
        </w:rPr>
        <w:t xml:space="preserve">２００２ </w:t>
      </w:r>
      <w:r>
        <w:t xml:space="preserve">年 </w:t>
      </w:r>
      <w:r>
        <w:rPr>
          <w:rFonts w:hint="eastAsia" w:ascii="MS UI Gothic" w:eastAsia="MS UI Gothic"/>
        </w:rPr>
        <w:t>１１</w:t>
      </w:r>
    </w:p>
    <w:p>
      <w:pPr>
        <w:spacing w:before="46"/>
        <w:ind w:left="383" w:right="0" w:firstLine="0"/>
        <w:jc w:val="left"/>
        <w:rPr>
          <w:rFonts w:hint="eastAsia" w:ascii="MS UI Gothic" w:eastAsia="MS UI Gothic"/>
          <w:sz w:val="12"/>
        </w:rPr>
      </w:pPr>
      <w:r>
        <w:rPr>
          <w:w w:val="102"/>
          <w:sz w:val="20"/>
        </w:rPr>
        <w:t>月</w:t>
      </w:r>
      <w:r>
        <w:rPr>
          <w:spacing w:val="-50"/>
          <w:sz w:val="20"/>
        </w:rPr>
        <w:t xml:space="preserve"> </w:t>
      </w:r>
      <w:r>
        <w:rPr>
          <w:rFonts w:hint="eastAsia" w:ascii="MS UI Gothic" w:eastAsia="MS UI Gothic"/>
          <w:w w:val="75"/>
          <w:sz w:val="20"/>
        </w:rPr>
        <w:t>１</w:t>
      </w:r>
      <w:r>
        <w:rPr>
          <w:rFonts w:hint="eastAsia" w:ascii="MS UI Gothic" w:eastAsia="MS UI Gothic"/>
          <w:spacing w:val="-3"/>
          <w:sz w:val="20"/>
        </w:rPr>
        <w:t xml:space="preserve"> </w:t>
      </w:r>
      <w:r>
        <w:rPr>
          <w:spacing w:val="3"/>
          <w:w w:val="102"/>
          <w:sz w:val="20"/>
        </w:rPr>
        <w:t>日起施行</w:t>
      </w:r>
      <w:r>
        <w:rPr>
          <w:rFonts w:hint="eastAsia" w:ascii="MS UI Gothic" w:eastAsia="MS UI Gothic"/>
          <w:spacing w:val="5"/>
          <w:w w:val="51"/>
          <w:sz w:val="20"/>
        </w:rPr>
        <w:t>ꎮ</w:t>
      </w:r>
      <w:r>
        <w:rPr>
          <w:rFonts w:hint="eastAsia" w:ascii="MS UI Gothic" w:eastAsia="MS UI Gothic"/>
          <w:spacing w:val="10"/>
          <w:w w:val="146"/>
          <w:position w:val="9"/>
          <w:sz w:val="12"/>
        </w:rPr>
        <w:t>[</w:t>
      </w:r>
      <w:r>
        <w:rPr>
          <w:rFonts w:hint="eastAsia" w:ascii="MS UI Gothic" w:eastAsia="MS UI Gothic"/>
          <w:w w:val="72"/>
          <w:position w:val="9"/>
          <w:sz w:val="12"/>
        </w:rPr>
        <w:t>１</w:t>
      </w:r>
      <w:r>
        <w:rPr>
          <w:rFonts w:hint="eastAsia" w:ascii="MS UI Gothic" w:eastAsia="MS UI Gothic"/>
          <w:w w:val="146"/>
          <w:position w:val="9"/>
          <w:sz w:val="12"/>
        </w:rPr>
        <w:t>]</w:t>
      </w:r>
    </w:p>
    <w:p>
      <w:pPr>
        <w:pStyle w:val="6"/>
        <w:spacing w:before="58"/>
        <w:ind w:left="802" w:firstLine="0"/>
      </w:pPr>
      <w:r>
        <w:rPr>
          <w:spacing w:val="-2"/>
        </w:rPr>
        <w:t xml:space="preserve">新 </w:t>
      </w:r>
      <w:r>
        <w:rPr>
          <w:rFonts w:hint="eastAsia" w:ascii="MS UI Gothic" w:hAnsi="MS UI Gothic" w:eastAsia="MS UI Gothic"/>
          <w:spacing w:val="-21"/>
        </w:rPr>
        <w:t xml:space="preserve">« </w:t>
      </w:r>
      <w:r>
        <w:rPr>
          <w:spacing w:val="3"/>
        </w:rPr>
        <w:t>安全生产法</w:t>
      </w:r>
      <w:r>
        <w:rPr>
          <w:rFonts w:hint="eastAsia" w:ascii="MS UI Gothic" w:hAnsi="MS UI Gothic" w:eastAsia="MS UI Gothic"/>
          <w:spacing w:val="26"/>
        </w:rPr>
        <w:t xml:space="preserve">» </w:t>
      </w:r>
      <w:r>
        <w:rPr>
          <w:spacing w:val="-28"/>
        </w:rPr>
        <w:t xml:space="preserve">的 </w:t>
      </w:r>
      <w:r>
        <w:rPr>
          <w:rFonts w:hint="eastAsia" w:ascii="MS UI Gothic" w:hAnsi="MS UI Gothic" w:eastAsia="MS UI Gothic"/>
          <w:spacing w:val="-3"/>
        </w:rPr>
        <w:t xml:space="preserve">１０ </w:t>
      </w:r>
      <w:r>
        <w:rPr>
          <w:spacing w:val="2"/>
        </w:rPr>
        <w:t>大重点内容</w:t>
      </w:r>
    </w:p>
    <w:p>
      <w:pPr>
        <w:pStyle w:val="6"/>
        <w:spacing w:before="58" w:line="295" w:lineRule="auto"/>
        <w:ind w:left="383" w:right="126" w:firstLine="413"/>
        <w:rPr>
          <w:rFonts w:hint="eastAsia" w:ascii="MS UI Gothic" w:eastAsia="MS UI Gothic"/>
        </w:rPr>
      </w:pPr>
      <w:r>
        <w:rPr>
          <w:rFonts w:hint="eastAsia" w:ascii="MS UI Gothic" w:eastAsia="MS UI Gothic"/>
        </w:rPr>
        <w:t xml:space="preserve">１ </w:t>
      </w:r>
      <w:r>
        <w:t>以人为本</w:t>
      </w:r>
      <w:r>
        <w:rPr>
          <w:rFonts w:hint="eastAsia" w:ascii="MS UI Gothic" w:eastAsia="MS UI Gothic"/>
          <w:w w:val="80"/>
        </w:rPr>
        <w:t xml:space="preserve">ꎬ </w:t>
      </w:r>
      <w:r>
        <w:t>坚持安全发展</w:t>
      </w:r>
      <w:r>
        <w:rPr>
          <w:rFonts w:hint="eastAsia" w:ascii="MS UI Gothic" w:eastAsia="MS UI Gothic"/>
          <w:w w:val="80"/>
        </w:rPr>
        <w:t xml:space="preserve">ꎮ </w:t>
      </w:r>
      <w:r>
        <w:t>新法明确提出安全生产工作应当以人为本</w:t>
      </w:r>
      <w:r>
        <w:rPr>
          <w:rFonts w:hint="eastAsia" w:ascii="MS UI Gothic" w:eastAsia="MS UI Gothic"/>
          <w:w w:val="80"/>
        </w:rPr>
        <w:t xml:space="preserve">ꎬ </w:t>
      </w:r>
      <w:r>
        <w:t>将坚持安全发展写入了总则</w:t>
      </w:r>
      <w:r>
        <w:rPr>
          <w:rFonts w:hint="eastAsia" w:ascii="MS UI Gothic" w:eastAsia="MS UI Gothic"/>
          <w:w w:val="80"/>
        </w:rPr>
        <w:t xml:space="preserve">ꎬ </w:t>
      </w:r>
      <w:r>
        <w:t>对于坚守红线意识</w:t>
      </w:r>
      <w:r>
        <w:rPr>
          <w:rFonts w:hint="eastAsia" w:ascii="MS UI Gothic" w:eastAsia="MS UI Gothic"/>
        </w:rPr>
        <w:t xml:space="preserve">、 </w:t>
      </w:r>
      <w:r>
        <w:t>进一步加强安全生产工作</w:t>
      </w:r>
      <w:r>
        <w:rPr>
          <w:rFonts w:hint="eastAsia" w:ascii="MS UI Gothic" w:eastAsia="MS UI Gothic"/>
        </w:rPr>
        <w:t xml:space="preserve">、 </w:t>
      </w:r>
      <w:r>
        <w:t>实现安全生产形势根本性好转的奋斗目标具有重要意义</w:t>
      </w:r>
      <w:r>
        <w:rPr>
          <w:rFonts w:hint="eastAsia" w:ascii="MS UI Gothic" w:eastAsia="MS UI Gothic"/>
          <w:w w:val="80"/>
        </w:rPr>
        <w:t xml:space="preserve">ꎮ </w:t>
      </w:r>
      <w:r>
        <w:rPr>
          <w:rFonts w:hint="eastAsia" w:ascii="MS UI Gothic" w:eastAsia="MS UI Gothic"/>
          <w:w w:val="145"/>
        </w:rPr>
        <w:t xml:space="preserve">( </w:t>
      </w:r>
      <w:r>
        <w:t>第三条</w:t>
      </w:r>
      <w:r>
        <w:rPr>
          <w:rFonts w:hint="eastAsia" w:ascii="MS UI Gothic" w:eastAsia="MS UI Gothic"/>
          <w:w w:val="145"/>
        </w:rPr>
        <w:t>)</w:t>
      </w:r>
    </w:p>
    <w:p>
      <w:pPr>
        <w:pStyle w:val="6"/>
        <w:spacing w:line="295" w:lineRule="auto"/>
        <w:ind w:left="383" w:right="126" w:firstLine="413"/>
        <w:rPr>
          <w:rFonts w:hint="eastAsia" w:ascii="MS UI Gothic" w:hAnsi="MS UI Gothic" w:eastAsia="MS UI Gothic"/>
        </w:rPr>
      </w:pPr>
      <w:r>
        <w:rPr>
          <w:rFonts w:hint="eastAsia" w:ascii="MS UI Gothic" w:hAnsi="MS UI Gothic" w:eastAsia="MS UI Gothic"/>
        </w:rPr>
        <w:t xml:space="preserve">２ </w:t>
      </w:r>
      <w:r>
        <w:t>建立完善安全生产方针和工作机制</w:t>
      </w:r>
      <w:r>
        <w:rPr>
          <w:rFonts w:hint="eastAsia" w:ascii="MS UI Gothic" w:hAnsi="MS UI Gothic" w:eastAsia="MS UI Gothic"/>
          <w:w w:val="80"/>
        </w:rPr>
        <w:t xml:space="preserve">ꎮ </w:t>
      </w:r>
      <w:r>
        <w:t xml:space="preserve">将安全生产工作方针完善为 </w:t>
      </w:r>
      <w:r>
        <w:rPr>
          <w:rFonts w:hint="eastAsia" w:ascii="MS UI Gothic" w:hAnsi="MS UI Gothic" w:eastAsia="MS UI Gothic"/>
        </w:rPr>
        <w:t xml:space="preserve">“ </w:t>
      </w:r>
      <w:r>
        <w:t>安全第一</w:t>
      </w:r>
      <w:r>
        <w:rPr>
          <w:rFonts w:hint="eastAsia" w:ascii="MS UI Gothic" w:hAnsi="MS UI Gothic" w:eastAsia="MS UI Gothic"/>
        </w:rPr>
        <w:t xml:space="preserve">、 </w:t>
      </w:r>
      <w:r>
        <w:t>预防为主</w:t>
      </w:r>
      <w:r>
        <w:rPr>
          <w:rFonts w:hint="eastAsia" w:ascii="MS UI Gothic" w:hAnsi="MS UI Gothic" w:eastAsia="MS UI Gothic"/>
        </w:rPr>
        <w:t xml:space="preserve">、 </w:t>
      </w:r>
      <w:r>
        <w:t>综合治理</w:t>
      </w:r>
      <w:r>
        <w:rPr>
          <w:rFonts w:hint="eastAsia" w:ascii="MS UI Gothic" w:hAnsi="MS UI Gothic" w:eastAsia="MS UI Gothic"/>
        </w:rPr>
        <w:t xml:space="preserve">” </w:t>
      </w:r>
      <w:r>
        <w:rPr>
          <w:rFonts w:hint="eastAsia" w:ascii="MS UI Gothic" w:hAnsi="MS UI Gothic" w:eastAsia="MS UI Gothic"/>
          <w:w w:val="80"/>
        </w:rPr>
        <w:t xml:space="preserve">ꎬ </w:t>
      </w:r>
      <w:r>
        <w:t>进一步明确了安全生产的重要地位</w:t>
      </w:r>
      <w:r>
        <w:rPr>
          <w:rFonts w:hint="eastAsia" w:ascii="MS UI Gothic" w:hAnsi="MS UI Gothic" w:eastAsia="MS UI Gothic"/>
        </w:rPr>
        <w:t xml:space="preserve">、 </w:t>
      </w:r>
      <w:r>
        <w:t>主体任务和实现安全生产的根本途径</w:t>
      </w:r>
      <w:r>
        <w:rPr>
          <w:rFonts w:hint="eastAsia" w:ascii="MS UI Gothic" w:hAnsi="MS UI Gothic" w:eastAsia="MS UI Gothic"/>
          <w:w w:val="80"/>
        </w:rPr>
        <w:t xml:space="preserve">ꎮ </w:t>
      </w:r>
      <w:r>
        <w:t>新法提出要建立生产经营单位负责</w:t>
      </w:r>
      <w:r>
        <w:rPr>
          <w:rFonts w:hint="eastAsia" w:ascii="MS UI Gothic" w:hAnsi="MS UI Gothic" w:eastAsia="MS UI Gothic"/>
        </w:rPr>
        <w:t xml:space="preserve">、 </w:t>
      </w:r>
      <w:r>
        <w:t>职工参与</w:t>
      </w:r>
      <w:r>
        <w:rPr>
          <w:rFonts w:hint="eastAsia" w:ascii="MS UI Gothic" w:hAnsi="MS UI Gothic" w:eastAsia="MS UI Gothic"/>
        </w:rPr>
        <w:t xml:space="preserve">、 </w:t>
      </w:r>
      <w:r>
        <w:t>政府监管</w:t>
      </w:r>
      <w:r>
        <w:rPr>
          <w:rFonts w:hint="eastAsia" w:ascii="MS UI Gothic" w:hAnsi="MS UI Gothic" w:eastAsia="MS UI Gothic"/>
        </w:rPr>
        <w:t xml:space="preserve">、 </w:t>
      </w:r>
      <w:r>
        <w:t>行业自律</w:t>
      </w:r>
      <w:r>
        <w:rPr>
          <w:rFonts w:hint="eastAsia" w:ascii="MS UI Gothic" w:hAnsi="MS UI Gothic" w:eastAsia="MS UI Gothic"/>
        </w:rPr>
        <w:t xml:space="preserve">、 </w:t>
      </w:r>
      <w:r>
        <w:t>社会监督的工作机制</w:t>
      </w:r>
      <w:r>
        <w:rPr>
          <w:rFonts w:hint="eastAsia" w:ascii="MS UI Gothic" w:hAnsi="MS UI Gothic" w:eastAsia="MS UI Gothic"/>
          <w:w w:val="80"/>
        </w:rPr>
        <w:t xml:space="preserve">ꎬ </w:t>
      </w:r>
      <w:r>
        <w:t>进一步明确了各方安全职责</w:t>
      </w:r>
      <w:r>
        <w:rPr>
          <w:rFonts w:hint="eastAsia" w:ascii="MS UI Gothic" w:hAnsi="MS UI Gothic" w:eastAsia="MS UI Gothic"/>
          <w:w w:val="80"/>
        </w:rPr>
        <w:t xml:space="preserve">ꎮ </w:t>
      </w:r>
      <w:r>
        <w:rPr>
          <w:rFonts w:hint="eastAsia" w:ascii="MS UI Gothic" w:hAnsi="MS UI Gothic" w:eastAsia="MS UI Gothic"/>
          <w:w w:val="145"/>
        </w:rPr>
        <w:t xml:space="preserve">( </w:t>
      </w:r>
      <w:r>
        <w:t>第三条</w:t>
      </w:r>
      <w:r>
        <w:rPr>
          <w:rFonts w:hint="eastAsia" w:ascii="MS UI Gothic" w:hAnsi="MS UI Gothic" w:eastAsia="MS UI Gothic"/>
          <w:w w:val="145"/>
        </w:rPr>
        <w:t>)</w:t>
      </w:r>
    </w:p>
    <w:p>
      <w:pPr>
        <w:pStyle w:val="6"/>
        <w:spacing w:line="295" w:lineRule="auto"/>
        <w:ind w:left="383" w:right="126" w:firstLine="413"/>
      </w:pPr>
      <w:r>
        <w:rPr>
          <w:rFonts w:hint="eastAsia" w:ascii="MS UI Gothic" w:hAnsi="MS UI Gothic" w:eastAsia="MS UI Gothic"/>
        </w:rPr>
        <w:t xml:space="preserve">３ </w:t>
      </w:r>
      <w:r>
        <w:t xml:space="preserve">落实 </w:t>
      </w:r>
      <w:r>
        <w:rPr>
          <w:rFonts w:hint="eastAsia" w:ascii="MS UI Gothic" w:hAnsi="MS UI Gothic" w:eastAsia="MS UI Gothic"/>
        </w:rPr>
        <w:t xml:space="preserve">“ </w:t>
      </w:r>
      <w:r>
        <w:t>三个必须</w:t>
      </w:r>
      <w:r>
        <w:rPr>
          <w:rFonts w:hint="eastAsia" w:ascii="MS UI Gothic" w:hAnsi="MS UI Gothic" w:eastAsia="MS UI Gothic"/>
        </w:rPr>
        <w:t xml:space="preserve">” </w:t>
      </w:r>
      <w:r>
        <w:rPr>
          <w:rFonts w:hint="eastAsia" w:ascii="MS UI Gothic" w:hAnsi="MS UI Gothic" w:eastAsia="MS UI Gothic"/>
          <w:w w:val="85"/>
        </w:rPr>
        <w:t xml:space="preserve">ꎬ </w:t>
      </w:r>
      <w:r>
        <w:t>确立安全生产监管执法部门地位</w:t>
      </w:r>
      <w:r>
        <w:rPr>
          <w:rFonts w:hint="eastAsia" w:ascii="MS UI Gothic" w:hAnsi="MS UI Gothic" w:eastAsia="MS UI Gothic"/>
          <w:w w:val="85"/>
        </w:rPr>
        <w:t xml:space="preserve">ꎮ </w:t>
      </w:r>
      <w:r>
        <w:t>按照安全生产管行业必须管安全</w:t>
      </w:r>
      <w:r>
        <w:rPr>
          <w:rFonts w:hint="eastAsia" w:ascii="MS UI Gothic" w:hAnsi="MS UI Gothic" w:eastAsia="MS UI Gothic"/>
        </w:rPr>
        <w:t xml:space="preserve">、 </w:t>
      </w:r>
      <w:r>
        <w:t>管业务必须管安全</w:t>
      </w:r>
      <w:r>
        <w:rPr>
          <w:rFonts w:hint="eastAsia" w:ascii="MS UI Gothic" w:hAnsi="MS UI Gothic" w:eastAsia="MS UI Gothic"/>
        </w:rPr>
        <w:t xml:space="preserve">、 </w:t>
      </w:r>
      <w:r>
        <w:t>管生产经营必须管安全的要求</w:t>
      </w:r>
      <w:r>
        <w:rPr>
          <w:rFonts w:hint="eastAsia" w:ascii="MS UI Gothic" w:hAnsi="MS UI Gothic" w:eastAsia="MS UI Gothic"/>
          <w:w w:val="85"/>
        </w:rPr>
        <w:t xml:space="preserve">ꎬ </w:t>
      </w:r>
      <w:r>
        <w:t>新法一是规定国务院和县级以上地方人民政府应当建立健全安全生产工作协调机制</w:t>
      </w:r>
      <w:r>
        <w:rPr>
          <w:rFonts w:hint="eastAsia" w:ascii="MS UI Gothic" w:hAnsi="MS UI Gothic" w:eastAsia="MS UI Gothic"/>
          <w:w w:val="85"/>
        </w:rPr>
        <w:t xml:space="preserve">ꎬ </w:t>
      </w:r>
      <w:r>
        <w:t>及时协调</w:t>
      </w:r>
      <w:r>
        <w:rPr>
          <w:rFonts w:hint="eastAsia" w:ascii="MS UI Gothic" w:hAnsi="MS UI Gothic" w:eastAsia="MS UI Gothic"/>
        </w:rPr>
        <w:t xml:space="preserve">、 </w:t>
      </w:r>
      <w:r>
        <w:t>解决安全生产监督管理中的重大问题</w:t>
      </w:r>
      <w:r>
        <w:rPr>
          <w:rFonts w:hint="eastAsia" w:ascii="MS UI Gothic" w:hAnsi="MS UI Gothic" w:eastAsia="MS UI Gothic"/>
          <w:w w:val="85"/>
        </w:rPr>
        <w:t xml:space="preserve">ꎮ </w:t>
      </w:r>
      <w:r>
        <w:t>二是明确各级政府安全生产监督管理部门实施综合监督管理</w:t>
      </w:r>
      <w:r>
        <w:rPr>
          <w:rFonts w:hint="eastAsia" w:ascii="MS UI Gothic" w:hAnsi="MS UI Gothic" w:eastAsia="MS UI Gothic"/>
          <w:w w:val="85"/>
        </w:rPr>
        <w:t xml:space="preserve">ꎬ </w:t>
      </w:r>
      <w:r>
        <w:t xml:space="preserve">有关部门在各自职责范围内对有关 </w:t>
      </w:r>
      <w:r>
        <w:rPr>
          <w:rFonts w:hint="eastAsia" w:ascii="MS UI Gothic" w:hAnsi="MS UI Gothic" w:eastAsia="MS UI Gothic"/>
        </w:rPr>
        <w:t xml:space="preserve">“ </w:t>
      </w:r>
      <w:r>
        <w:t>行业</w:t>
      </w:r>
      <w:r>
        <w:rPr>
          <w:rFonts w:hint="eastAsia" w:ascii="MS UI Gothic" w:hAnsi="MS UI Gothic" w:eastAsia="MS UI Gothic"/>
        </w:rPr>
        <w:t xml:space="preserve">、 </w:t>
      </w:r>
      <w:r>
        <w:t>领域</w:t>
      </w:r>
      <w:r>
        <w:rPr>
          <w:rFonts w:hint="eastAsia" w:ascii="MS UI Gothic" w:hAnsi="MS UI Gothic" w:eastAsia="MS UI Gothic"/>
        </w:rPr>
        <w:t xml:space="preserve">” </w:t>
      </w:r>
      <w:r>
        <w:t>的安全生产工作实施监督管理</w:t>
      </w:r>
      <w:r>
        <w:rPr>
          <w:rFonts w:hint="eastAsia" w:ascii="MS UI Gothic" w:hAnsi="MS UI Gothic" w:eastAsia="MS UI Gothic"/>
          <w:w w:val="85"/>
        </w:rPr>
        <w:t xml:space="preserve">ꎮ </w:t>
      </w:r>
      <w:r>
        <w:t>三是明确各级安全生产监督管理部门和其他负有安全生产监督管理职责的部门作为行政执法部门</w:t>
      </w:r>
      <w:r>
        <w:rPr>
          <w:rFonts w:hint="eastAsia" w:ascii="MS UI Gothic" w:hAnsi="MS UI Gothic" w:eastAsia="MS UI Gothic"/>
          <w:w w:val="85"/>
        </w:rPr>
        <w:t xml:space="preserve">ꎬ </w:t>
      </w:r>
      <w:r>
        <w:t>依法开展安全生产行政执法工作</w:t>
      </w:r>
      <w:r>
        <w:rPr>
          <w:rFonts w:hint="eastAsia" w:ascii="MS UI Gothic" w:hAnsi="MS UI Gothic" w:eastAsia="MS UI Gothic"/>
          <w:w w:val="85"/>
        </w:rPr>
        <w:t xml:space="preserve">ꎬ </w:t>
      </w:r>
      <w:r>
        <w:t>对生产经营单位执行法律</w:t>
      </w:r>
      <w:r>
        <w:rPr>
          <w:rFonts w:hint="eastAsia" w:ascii="MS UI Gothic" w:hAnsi="MS UI Gothic" w:eastAsia="MS UI Gothic"/>
        </w:rPr>
        <w:t xml:space="preserve">、 </w:t>
      </w:r>
      <w:r>
        <w:t>法规</w:t>
      </w:r>
      <w:r>
        <w:rPr>
          <w:rFonts w:hint="eastAsia" w:ascii="MS UI Gothic" w:hAnsi="MS UI Gothic" w:eastAsia="MS UI Gothic"/>
        </w:rPr>
        <w:t xml:space="preserve">、 </w:t>
      </w:r>
      <w:r>
        <w:t>国家标准或者行业标</w:t>
      </w:r>
    </w:p>
    <w:p>
      <w:pPr>
        <w:spacing w:after="0" w:line="295" w:lineRule="auto"/>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６４</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40" o:spid="_x0000_s1240" o:spt="203" style="height:2.15pt;width:398.25pt;" coordsize="7965,43">
            <o:lock v:ext="edit"/>
            <v:line id="_x0000_s1241" o:spid="_x0000_s1241" o:spt="20" style="position:absolute;left:0;top:39;height:0;width:7965;" stroked="t" coordsize="21600,21600">
              <v:path arrowok="t"/>
              <v:fill focussize="0,0"/>
              <v:stroke weight="0.388031496062992pt" color="#231F20"/>
              <v:imagedata o:title=""/>
              <o:lock v:ext="edit"/>
            </v:line>
            <v:line id="_x0000_s1242" o:spid="_x0000_s124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spacing w:val="2"/>
          <w:w w:val="105"/>
        </w:rPr>
        <w:t>准的情况进行监督检查</w:t>
      </w:r>
      <w:r>
        <w:rPr>
          <w:rFonts w:hint="eastAsia" w:ascii="MS UI Gothic" w:eastAsia="MS UI Gothic"/>
          <w:spacing w:val="21"/>
          <w:w w:val="80"/>
        </w:rPr>
        <w:t xml:space="preserve">ꎮ </w:t>
      </w:r>
      <w:r>
        <w:rPr>
          <w:rFonts w:hint="eastAsia" w:ascii="MS UI Gothic" w:eastAsia="MS UI Gothic"/>
          <w:spacing w:val="-37"/>
          <w:w w:val="150"/>
        </w:rPr>
        <w:t xml:space="preserve">( </w:t>
      </w:r>
      <w:r>
        <w:rPr>
          <w:spacing w:val="7"/>
          <w:w w:val="105"/>
        </w:rPr>
        <w:t>第八条</w:t>
      </w:r>
      <w:r>
        <w:rPr>
          <w:rFonts w:hint="eastAsia" w:ascii="MS UI Gothic" w:eastAsia="MS UI Gothic"/>
          <w:spacing w:val="10"/>
          <w:w w:val="80"/>
        </w:rPr>
        <w:t xml:space="preserve">、 </w:t>
      </w:r>
      <w:r>
        <w:rPr>
          <w:spacing w:val="4"/>
          <w:w w:val="105"/>
        </w:rPr>
        <w:t>第九</w:t>
      </w:r>
      <w:r>
        <w:rPr>
          <w:spacing w:val="3"/>
          <w:w w:val="105"/>
        </w:rPr>
        <w:t>条</w:t>
      </w:r>
      <w:r>
        <w:rPr>
          <w:rFonts w:hint="eastAsia" w:ascii="MS UI Gothic" w:eastAsia="MS UI Gothic"/>
          <w:spacing w:val="3"/>
          <w:w w:val="80"/>
        </w:rPr>
        <w:t xml:space="preserve">、 </w:t>
      </w:r>
      <w:r>
        <w:rPr>
          <w:spacing w:val="3"/>
          <w:w w:val="105"/>
        </w:rPr>
        <w:t>第六十二条</w:t>
      </w:r>
      <w:r>
        <w:rPr>
          <w:rFonts w:hint="eastAsia" w:ascii="MS UI Gothic" w:eastAsia="MS UI Gothic"/>
          <w:w w:val="150"/>
        </w:rPr>
        <w:t>)</w:t>
      </w:r>
    </w:p>
    <w:p>
      <w:pPr>
        <w:pStyle w:val="6"/>
        <w:spacing w:line="295" w:lineRule="auto"/>
        <w:ind w:right="39" w:firstLine="413"/>
        <w:rPr>
          <w:rFonts w:hint="eastAsia" w:ascii="MS UI Gothic" w:eastAsia="MS UI Gothic"/>
        </w:rPr>
      </w:pPr>
      <w:r>
        <w:rPr>
          <w:rFonts w:hint="eastAsia" w:ascii="MS UI Gothic" w:eastAsia="MS UI Gothic"/>
        </w:rPr>
        <w:t xml:space="preserve">４ </w:t>
      </w:r>
      <w:r>
        <w:t>强化乡镇人民政府以及街道办事处</w:t>
      </w:r>
      <w:r>
        <w:rPr>
          <w:rFonts w:hint="eastAsia" w:ascii="MS UI Gothic" w:eastAsia="MS UI Gothic"/>
        </w:rPr>
        <w:t xml:space="preserve">、 </w:t>
      </w:r>
      <w:r>
        <w:t>开发区管理机构安全生产职责</w:t>
      </w:r>
      <w:r>
        <w:rPr>
          <w:rFonts w:hint="eastAsia" w:ascii="MS UI Gothic" w:eastAsia="MS UI Gothic"/>
          <w:w w:val="80"/>
        </w:rPr>
        <w:t xml:space="preserve">ꎮ </w:t>
      </w:r>
      <w:r>
        <w:t>乡镇街道是安全生产工作的重要基础</w:t>
      </w:r>
      <w:r>
        <w:rPr>
          <w:rFonts w:hint="eastAsia" w:ascii="MS UI Gothic" w:eastAsia="MS UI Gothic"/>
          <w:w w:val="80"/>
        </w:rPr>
        <w:t xml:space="preserve">ꎬ </w:t>
      </w:r>
      <w:r>
        <w:t>有必要在立法层面明确其安全生产职责</w:t>
      </w:r>
      <w:r>
        <w:rPr>
          <w:rFonts w:hint="eastAsia" w:ascii="MS UI Gothic" w:eastAsia="MS UI Gothic"/>
          <w:w w:val="80"/>
        </w:rPr>
        <w:t xml:space="preserve">ꎬ </w:t>
      </w:r>
      <w:r>
        <w:t>同时针对各地经济技术开发区</w:t>
      </w:r>
      <w:r>
        <w:rPr>
          <w:rFonts w:hint="eastAsia" w:ascii="MS UI Gothic" w:eastAsia="MS UI Gothic"/>
        </w:rPr>
        <w:t xml:space="preserve">、 </w:t>
      </w:r>
      <w:r>
        <w:t>工业园区的安全监管体制不顺</w:t>
      </w:r>
      <w:r>
        <w:rPr>
          <w:rFonts w:hint="eastAsia" w:ascii="MS UI Gothic" w:eastAsia="MS UI Gothic"/>
        </w:rPr>
        <w:t xml:space="preserve">、 </w:t>
      </w:r>
      <w:r>
        <w:t>监管人员配备不足</w:t>
      </w:r>
      <w:r>
        <w:rPr>
          <w:rFonts w:hint="eastAsia" w:ascii="MS UI Gothic" w:eastAsia="MS UI Gothic"/>
        </w:rPr>
        <w:t xml:space="preserve">、 </w:t>
      </w:r>
      <w:r>
        <w:t>事故隐患集中</w:t>
      </w:r>
      <w:r>
        <w:rPr>
          <w:rFonts w:hint="eastAsia" w:ascii="MS UI Gothic" w:eastAsia="MS UI Gothic"/>
        </w:rPr>
        <w:t xml:space="preserve">、 </w:t>
      </w:r>
      <w:r>
        <w:t>事故多发等突出问题</w:t>
      </w:r>
      <w:r>
        <w:rPr>
          <w:rFonts w:hint="eastAsia" w:ascii="MS UI Gothic" w:eastAsia="MS UI Gothic"/>
          <w:w w:val="80"/>
        </w:rPr>
        <w:t xml:space="preserve">ꎬ </w:t>
      </w:r>
      <w:r>
        <w:t>新法明确乡镇人民政府以及街道办事处</w:t>
      </w:r>
      <w:r>
        <w:rPr>
          <w:rFonts w:hint="eastAsia" w:ascii="MS UI Gothic" w:eastAsia="MS UI Gothic"/>
        </w:rPr>
        <w:t xml:space="preserve">、 </w:t>
      </w:r>
      <w:r>
        <w:t>开发区管理机构等地方人民政府的派出机关应当按照职责</w:t>
      </w:r>
      <w:r>
        <w:rPr>
          <w:rFonts w:hint="eastAsia" w:ascii="MS UI Gothic" w:eastAsia="MS UI Gothic"/>
          <w:w w:val="80"/>
        </w:rPr>
        <w:t xml:space="preserve">ꎬ </w:t>
      </w:r>
      <w:r>
        <w:t>加强对本行政区域内生产经营单位安全生产状况的监督检查</w:t>
      </w:r>
      <w:r>
        <w:rPr>
          <w:rFonts w:hint="eastAsia" w:ascii="MS UI Gothic" w:eastAsia="MS UI Gothic"/>
          <w:w w:val="80"/>
        </w:rPr>
        <w:t xml:space="preserve">ꎬ </w:t>
      </w:r>
      <w:r>
        <w:t>协助上级人民政府有关部门依法履行安全生产监督管理职责</w:t>
      </w:r>
      <w:r>
        <w:rPr>
          <w:rFonts w:hint="eastAsia" w:ascii="MS UI Gothic" w:eastAsia="MS UI Gothic"/>
          <w:w w:val="80"/>
        </w:rPr>
        <w:t xml:space="preserve">ꎮ </w:t>
      </w:r>
      <w:r>
        <w:rPr>
          <w:rFonts w:hint="eastAsia" w:ascii="MS UI Gothic" w:eastAsia="MS UI Gothic"/>
          <w:w w:val="145"/>
        </w:rPr>
        <w:t xml:space="preserve">( </w:t>
      </w:r>
      <w:r>
        <w:t>第八条</w:t>
      </w:r>
      <w:r>
        <w:rPr>
          <w:rFonts w:hint="eastAsia" w:ascii="MS UI Gothic" w:eastAsia="MS UI Gothic"/>
          <w:w w:val="145"/>
        </w:rPr>
        <w:t>)</w:t>
      </w:r>
    </w:p>
    <w:p>
      <w:pPr>
        <w:pStyle w:val="6"/>
        <w:spacing w:line="295" w:lineRule="auto"/>
        <w:ind w:right="38" w:firstLine="413"/>
      </w:pPr>
      <w:r>
        <w:rPr>
          <w:rFonts w:hint="eastAsia" w:ascii="MS UI Gothic" w:eastAsia="MS UI Gothic"/>
          <w:w w:val="95"/>
        </w:rPr>
        <w:t xml:space="preserve">５  </w:t>
      </w:r>
      <w:r>
        <w:rPr>
          <w:w w:val="95"/>
        </w:rPr>
        <w:t>明确生产经营单位安全生产管理机构</w:t>
      </w:r>
      <w:r>
        <w:rPr>
          <w:rFonts w:hint="eastAsia" w:ascii="MS UI Gothic" w:eastAsia="MS UI Gothic"/>
          <w:w w:val="95"/>
        </w:rPr>
        <w:t xml:space="preserve">、 </w:t>
      </w:r>
      <w:r>
        <w:rPr>
          <w:w w:val="95"/>
        </w:rPr>
        <w:t>人</w:t>
      </w:r>
      <w:r>
        <w:t>员的设</w:t>
      </w:r>
      <w:r>
        <w:rPr>
          <w:w w:val="95"/>
        </w:rPr>
        <w:t>置</w:t>
      </w:r>
      <w:r>
        <w:rPr>
          <w:rFonts w:hint="eastAsia" w:ascii="MS UI Gothic" w:eastAsia="MS UI Gothic"/>
          <w:w w:val="95"/>
        </w:rPr>
        <w:t xml:space="preserve">、 </w:t>
      </w:r>
      <w:r>
        <w:t>配备标准和工作</w:t>
      </w:r>
      <w:r>
        <w:rPr>
          <w:w w:val="95"/>
        </w:rPr>
        <w:t>职责</w:t>
      </w:r>
      <w:r>
        <w:rPr>
          <w:rFonts w:hint="eastAsia" w:ascii="MS UI Gothic" w:eastAsia="MS UI Gothic"/>
          <w:w w:val="90"/>
        </w:rPr>
        <w:t xml:space="preserve">ꎮ </w:t>
      </w:r>
      <w:r>
        <w:rPr>
          <w:w w:val="95"/>
        </w:rPr>
        <w:t>新法一是明确矿山</w:t>
      </w:r>
      <w:r>
        <w:rPr>
          <w:rFonts w:hint="eastAsia" w:ascii="MS UI Gothic" w:eastAsia="MS UI Gothic"/>
          <w:w w:val="95"/>
        </w:rPr>
        <w:t xml:space="preserve">、 </w:t>
      </w:r>
      <w:r>
        <w:rPr>
          <w:w w:val="95"/>
        </w:rPr>
        <w:t>金属冶炼</w:t>
      </w:r>
      <w:r>
        <w:rPr>
          <w:rFonts w:hint="eastAsia" w:ascii="MS UI Gothic" w:eastAsia="MS UI Gothic"/>
          <w:w w:val="95"/>
        </w:rPr>
        <w:t xml:space="preserve">、  </w:t>
      </w:r>
      <w:r>
        <w:rPr>
          <w:w w:val="95"/>
        </w:rPr>
        <w:t>建筑施工</w:t>
      </w:r>
      <w:r>
        <w:rPr>
          <w:rFonts w:hint="eastAsia" w:ascii="MS UI Gothic" w:eastAsia="MS UI Gothic"/>
          <w:w w:val="95"/>
        </w:rPr>
        <w:t xml:space="preserve">、  </w:t>
      </w:r>
      <w:r>
        <w:rPr>
          <w:w w:val="95"/>
        </w:rPr>
        <w:t>道路运输单位和危险物品的生产</w:t>
      </w:r>
      <w:r>
        <w:rPr>
          <w:rFonts w:hint="eastAsia" w:ascii="MS UI Gothic" w:eastAsia="MS UI Gothic"/>
          <w:w w:val="95"/>
        </w:rPr>
        <w:t>、</w:t>
      </w:r>
      <w:r>
        <w:rPr>
          <w:w w:val="95"/>
        </w:rPr>
        <w:t>经营</w:t>
      </w:r>
      <w:r>
        <w:rPr>
          <w:rFonts w:hint="eastAsia" w:ascii="MS UI Gothic" w:eastAsia="MS UI Gothic"/>
          <w:w w:val="95"/>
        </w:rPr>
        <w:t xml:space="preserve">、  </w:t>
      </w:r>
      <w:r>
        <w:rPr>
          <w:w w:val="95"/>
        </w:rPr>
        <w:t>储存单位</w:t>
      </w:r>
      <w:r>
        <w:rPr>
          <w:rFonts w:hint="eastAsia" w:ascii="MS UI Gothic" w:eastAsia="MS UI Gothic"/>
          <w:w w:val="90"/>
        </w:rPr>
        <w:t xml:space="preserve">ꎬ  </w:t>
      </w:r>
      <w:r>
        <w:rPr>
          <w:w w:val="95"/>
        </w:rPr>
        <w:t>应当设置安全生产管理机构或者配备专职安全生产管理人员</w:t>
      </w:r>
      <w:r>
        <w:rPr>
          <w:rFonts w:hint="eastAsia" w:ascii="MS UI Gothic" w:eastAsia="MS UI Gothic"/>
          <w:w w:val="90"/>
        </w:rPr>
        <w:t xml:space="preserve">ꎬ  </w:t>
      </w:r>
      <w:r>
        <w:rPr>
          <w:w w:val="95"/>
        </w:rPr>
        <w:t xml:space="preserve">将其他生产经营单位设置专门机构或者配备  专职人员的从业人员下限由 </w:t>
      </w:r>
      <w:r>
        <w:rPr>
          <w:rFonts w:hint="eastAsia" w:ascii="MS UI Gothic" w:eastAsia="MS UI Gothic"/>
          <w:w w:val="95"/>
        </w:rPr>
        <w:t xml:space="preserve">３００ </w:t>
      </w:r>
      <w:r>
        <w:rPr>
          <w:w w:val="95"/>
        </w:rPr>
        <w:t>人调整为</w:t>
      </w:r>
    </w:p>
    <w:p>
      <w:pPr>
        <w:pStyle w:val="6"/>
        <w:spacing w:line="295" w:lineRule="auto"/>
        <w:ind w:right="38" w:hanging="6"/>
        <w:rPr>
          <w:rFonts w:hint="eastAsia" w:ascii="MS UI Gothic" w:eastAsia="MS UI Gothic"/>
        </w:rPr>
      </w:pPr>
      <w:r>
        <w:rPr>
          <w:rFonts w:hint="eastAsia" w:ascii="MS UI Gothic" w:eastAsia="MS UI Gothic"/>
          <w:w w:val="85"/>
        </w:rPr>
        <w:t xml:space="preserve">１００ </w:t>
      </w:r>
      <w:r>
        <w:t>人</w:t>
      </w:r>
      <w:r>
        <w:rPr>
          <w:rFonts w:hint="eastAsia" w:ascii="MS UI Gothic" w:eastAsia="MS UI Gothic"/>
          <w:w w:val="85"/>
        </w:rPr>
        <w:t xml:space="preserve">ꎮ </w:t>
      </w:r>
      <w:r>
        <w:t xml:space="preserve">二是规定了安全生产管理机构以及管理人员的 </w:t>
      </w:r>
      <w:r>
        <w:rPr>
          <w:rFonts w:hint="eastAsia" w:ascii="MS UI Gothic" w:eastAsia="MS UI Gothic"/>
          <w:w w:val="85"/>
        </w:rPr>
        <w:t xml:space="preserve">７ </w:t>
      </w:r>
      <w:r>
        <w:t>项职责</w:t>
      </w:r>
      <w:r>
        <w:rPr>
          <w:rFonts w:hint="eastAsia" w:ascii="MS UI Gothic" w:eastAsia="MS UI Gothic"/>
          <w:w w:val="85"/>
        </w:rPr>
        <w:t xml:space="preserve">ꎬ </w:t>
      </w:r>
      <w:r>
        <w:t>主要包括拟定本单位安全生产规章制度</w:t>
      </w:r>
      <w:r>
        <w:rPr>
          <w:rFonts w:hint="eastAsia" w:ascii="MS UI Gothic" w:eastAsia="MS UI Gothic"/>
          <w:w w:val="85"/>
        </w:rPr>
        <w:t xml:space="preserve">、 </w:t>
      </w:r>
      <w:r>
        <w:t>操作规程</w:t>
      </w:r>
      <w:r>
        <w:rPr>
          <w:rFonts w:hint="eastAsia" w:ascii="MS UI Gothic" w:eastAsia="MS UI Gothic"/>
          <w:w w:val="85"/>
        </w:rPr>
        <w:t xml:space="preserve">、 </w:t>
      </w:r>
      <w:r>
        <w:t>应急救援预案</w:t>
      </w:r>
      <w:r>
        <w:rPr>
          <w:rFonts w:hint="eastAsia" w:ascii="MS UI Gothic" w:eastAsia="MS UI Gothic"/>
          <w:w w:val="85"/>
        </w:rPr>
        <w:t xml:space="preserve">ꎬ </w:t>
      </w:r>
      <w:r>
        <w:t>组织宣传贯彻安全生产法律</w:t>
      </w:r>
      <w:r>
        <w:rPr>
          <w:rFonts w:hint="eastAsia" w:ascii="MS UI Gothic" w:eastAsia="MS UI Gothic"/>
          <w:w w:val="85"/>
        </w:rPr>
        <w:t>、</w:t>
      </w:r>
      <w:r>
        <w:t>法规</w:t>
      </w:r>
      <w:r>
        <w:rPr>
          <w:rFonts w:hint="eastAsia" w:ascii="MS UI Gothic" w:eastAsia="MS UI Gothic"/>
          <w:w w:val="85"/>
        </w:rPr>
        <w:t xml:space="preserve">ꎻ </w:t>
      </w:r>
      <w:r>
        <w:t>组织安全生产教育和培训</w:t>
      </w:r>
      <w:r>
        <w:rPr>
          <w:rFonts w:hint="eastAsia" w:ascii="MS UI Gothic" w:eastAsia="MS UI Gothic"/>
          <w:w w:val="85"/>
        </w:rPr>
        <w:t xml:space="preserve">ꎬ </w:t>
      </w:r>
      <w:r>
        <w:t>制止和纠正违章指挥</w:t>
      </w:r>
      <w:r>
        <w:rPr>
          <w:rFonts w:hint="eastAsia" w:ascii="MS UI Gothic" w:eastAsia="MS UI Gothic"/>
          <w:w w:val="85"/>
        </w:rPr>
        <w:t xml:space="preserve">、 </w:t>
      </w:r>
      <w:r>
        <w:t>强令冒险作业</w:t>
      </w:r>
      <w:r>
        <w:rPr>
          <w:rFonts w:hint="eastAsia" w:ascii="MS UI Gothic" w:eastAsia="MS UI Gothic"/>
          <w:w w:val="85"/>
        </w:rPr>
        <w:t xml:space="preserve">、 </w:t>
      </w:r>
      <w:r>
        <w:t>违反操作规程的行为</w:t>
      </w:r>
      <w:r>
        <w:rPr>
          <w:rFonts w:hint="eastAsia" w:ascii="MS UI Gothic" w:eastAsia="MS UI Gothic"/>
          <w:w w:val="85"/>
        </w:rPr>
        <w:t xml:space="preserve">ꎬ </w:t>
      </w:r>
      <w:r>
        <w:t>督促落实本单位安全生产整改措施等</w:t>
      </w:r>
      <w:r>
        <w:rPr>
          <w:rFonts w:hint="eastAsia" w:ascii="MS UI Gothic" w:eastAsia="MS UI Gothic"/>
          <w:w w:val="85"/>
        </w:rPr>
        <w:t xml:space="preserve">ꎮ </w:t>
      </w:r>
      <w:r>
        <w:t>三是明确生产经营单位作出涉及安全生产的经营决策</w:t>
      </w:r>
      <w:r>
        <w:rPr>
          <w:rFonts w:hint="eastAsia" w:ascii="MS UI Gothic" w:eastAsia="MS UI Gothic"/>
          <w:w w:val="85"/>
        </w:rPr>
        <w:t xml:space="preserve">ꎬ </w:t>
      </w:r>
      <w:r>
        <w:t>应当听取安全生产管理机构以及安全生产管理人员的意见</w:t>
      </w:r>
      <w:r>
        <w:rPr>
          <w:rFonts w:hint="eastAsia" w:ascii="MS UI Gothic" w:eastAsia="MS UI Gothic"/>
          <w:w w:val="85"/>
        </w:rPr>
        <w:t xml:space="preserve">ꎮ </w:t>
      </w:r>
      <w:r>
        <w:rPr>
          <w:rFonts w:hint="eastAsia" w:ascii="MS UI Gothic" w:eastAsia="MS UI Gothic"/>
          <w:w w:val="140"/>
        </w:rPr>
        <w:t xml:space="preserve">( </w:t>
      </w:r>
      <w:r>
        <w:t>第二十一条至第二十三条</w:t>
      </w:r>
      <w:r>
        <w:rPr>
          <w:rFonts w:hint="eastAsia" w:ascii="MS UI Gothic" w:eastAsia="MS UI Gothic"/>
          <w:w w:val="140"/>
        </w:rPr>
        <w:t>)</w:t>
      </w:r>
    </w:p>
    <w:p>
      <w:pPr>
        <w:pStyle w:val="6"/>
        <w:spacing w:line="295" w:lineRule="auto"/>
        <w:ind w:right="39" w:firstLine="413"/>
      </w:pPr>
      <w:r>
        <w:rPr>
          <w:rFonts w:hint="eastAsia" w:ascii="MS UI Gothic" w:eastAsia="MS UI Gothic"/>
        </w:rPr>
        <w:t xml:space="preserve">６ </w:t>
      </w:r>
      <w:r>
        <w:t>明确了劳务派遣单位和用工单位的职责和劳动者的权利义务</w:t>
      </w:r>
      <w:r>
        <w:rPr>
          <w:rFonts w:hint="eastAsia" w:ascii="MS UI Gothic" w:eastAsia="MS UI Gothic"/>
          <w:w w:val="85"/>
        </w:rPr>
        <w:t xml:space="preserve">ꎮ </w:t>
      </w:r>
      <w:r>
        <w:t>一是规定生产经营单位应当将被派遣劳动者纳入本单位从业人员统一管理</w:t>
      </w:r>
      <w:r>
        <w:rPr>
          <w:rFonts w:hint="eastAsia" w:ascii="MS UI Gothic" w:eastAsia="MS UI Gothic"/>
          <w:w w:val="85"/>
        </w:rPr>
        <w:t xml:space="preserve">ꎬ </w:t>
      </w:r>
      <w:r>
        <w:t>对被派遣劳动者进行岗位安全操作规程和安全操作技能的教</w:t>
      </w:r>
    </w:p>
    <w:p>
      <w:pPr>
        <w:pStyle w:val="6"/>
        <w:spacing w:before="123" w:line="295" w:lineRule="auto"/>
        <w:ind w:left="118" w:right="442" w:firstLine="0"/>
        <w:rPr>
          <w:rFonts w:hint="eastAsia" w:ascii="MS UI Gothic" w:eastAsia="MS UI Gothic"/>
        </w:rPr>
      </w:pPr>
      <w:r>
        <w:br w:type="column"/>
      </w:r>
      <w:r>
        <w:rPr>
          <w:spacing w:val="3"/>
        </w:rPr>
        <w:t>育和培训</w:t>
      </w:r>
      <w:r>
        <w:rPr>
          <w:rFonts w:hint="eastAsia" w:ascii="MS UI Gothic" w:eastAsia="MS UI Gothic"/>
          <w:spacing w:val="20"/>
          <w:w w:val="80"/>
        </w:rPr>
        <w:t xml:space="preserve">ꎮ </w:t>
      </w:r>
      <w:r>
        <w:rPr>
          <w:spacing w:val="2"/>
        </w:rPr>
        <w:t>劳务派遣单位应当对被派遣劳</w:t>
      </w:r>
      <w:r>
        <w:rPr>
          <w:spacing w:val="3"/>
        </w:rPr>
        <w:t>动者进行必要的安全生产教育和培训</w:t>
      </w:r>
      <w:r>
        <w:rPr>
          <w:rFonts w:hint="eastAsia" w:ascii="MS UI Gothic" w:eastAsia="MS UI Gothic"/>
          <w:spacing w:val="20"/>
          <w:w w:val="80"/>
        </w:rPr>
        <w:t xml:space="preserve">ꎮ </w:t>
      </w:r>
      <w:r>
        <w:t>二</w:t>
      </w:r>
      <w:r>
        <w:rPr>
          <w:spacing w:val="2"/>
        </w:rPr>
        <w:t>是明确被派遣劳动者享有本法规定的从业</w:t>
      </w:r>
      <w:r>
        <w:rPr>
          <w:spacing w:val="3"/>
        </w:rPr>
        <w:t>人员的权利</w:t>
      </w:r>
      <w:r>
        <w:rPr>
          <w:rFonts w:hint="eastAsia" w:ascii="MS UI Gothic" w:eastAsia="MS UI Gothic"/>
          <w:spacing w:val="20"/>
          <w:w w:val="80"/>
        </w:rPr>
        <w:t xml:space="preserve">ꎬ </w:t>
      </w:r>
      <w:r>
        <w:rPr>
          <w:spacing w:val="2"/>
        </w:rPr>
        <w:t>并应当履行本法规定的从业</w:t>
      </w:r>
      <w:r>
        <w:rPr>
          <w:spacing w:val="7"/>
          <w:w w:val="105"/>
        </w:rPr>
        <w:t>人员的义务</w:t>
      </w:r>
      <w:r>
        <w:rPr>
          <w:rFonts w:hint="eastAsia" w:ascii="MS UI Gothic" w:eastAsia="MS UI Gothic"/>
          <w:spacing w:val="18"/>
          <w:w w:val="80"/>
        </w:rPr>
        <w:t xml:space="preserve">ꎮ </w:t>
      </w:r>
      <w:r>
        <w:rPr>
          <w:rFonts w:hint="eastAsia" w:ascii="MS UI Gothic" w:eastAsia="MS UI Gothic"/>
          <w:spacing w:val="-34"/>
          <w:w w:val="150"/>
        </w:rPr>
        <w:t xml:space="preserve">( </w:t>
      </w:r>
      <w:r>
        <w:rPr>
          <w:spacing w:val="15"/>
          <w:w w:val="105"/>
        </w:rPr>
        <w:t>第二十五条</w:t>
      </w:r>
      <w:r>
        <w:rPr>
          <w:rFonts w:hint="eastAsia" w:ascii="MS UI Gothic" w:eastAsia="MS UI Gothic"/>
          <w:spacing w:val="18"/>
          <w:w w:val="80"/>
        </w:rPr>
        <w:t xml:space="preserve">、 </w:t>
      </w:r>
      <w:r>
        <w:rPr>
          <w:spacing w:val="14"/>
          <w:w w:val="105"/>
        </w:rPr>
        <w:t>第五十八</w:t>
      </w:r>
      <w:r>
        <w:rPr>
          <w:spacing w:val="3"/>
          <w:w w:val="105"/>
        </w:rPr>
        <w:t>条</w:t>
      </w:r>
      <w:r>
        <w:rPr>
          <w:rFonts w:hint="eastAsia" w:ascii="MS UI Gothic" w:eastAsia="MS UI Gothic"/>
          <w:w w:val="150"/>
        </w:rPr>
        <w:t>)</w:t>
      </w:r>
    </w:p>
    <w:p>
      <w:pPr>
        <w:pStyle w:val="6"/>
        <w:spacing w:line="295" w:lineRule="auto"/>
        <w:ind w:left="118" w:right="440" w:firstLine="677"/>
        <w:rPr>
          <w:rFonts w:hint="eastAsia" w:ascii="MS UI Gothic" w:eastAsia="MS UI Gothic"/>
        </w:rPr>
      </w:pPr>
      <w:r>
        <w:pict>
          <v:shape id="_x0000_s1243" o:spid="_x0000_s1243" o:spt="202" type="#_x0000_t202" style="position:absolute;left:0pt;margin-left:285.5pt;margin-top:-3.7pt;height:24.35pt;width:151.7pt;mso-position-horizontal-relative:page;z-index:-276023296;mso-width-relative:page;mso-height-relative:page;" filled="f" stroked="f" coordsize="21600,21600">
            <v:path/>
            <v:fill on="f" focussize="0,0"/>
            <v:stroke on="f" joinstyle="miter"/>
            <v:imagedata o:title=""/>
            <o:lock v:ext="edit"/>
            <v:textbox inset="0mm,0mm,0mm,0mm">
              <w:txbxContent>
                <w:p>
                  <w:pPr>
                    <w:pStyle w:val="6"/>
                    <w:tabs>
                      <w:tab w:val="left" w:pos="2930"/>
                    </w:tabs>
                    <w:spacing w:before="74"/>
                    <w:ind w:left="0" w:firstLine="0"/>
                    <w:jc w:val="left"/>
                    <w:rPr>
                      <w:rFonts w:hint="eastAsia" w:ascii="MS UI Gothic" w:eastAsia="MS UI Gothic"/>
                    </w:rPr>
                  </w:pPr>
                  <w:r>
                    <w:rPr>
                      <w:rFonts w:hint="eastAsia" w:ascii="MS UI Gothic" w:eastAsia="MS UI Gothic"/>
                      <w:w w:val="80"/>
                    </w:rPr>
                    <w:t>７</w:t>
                  </w:r>
                  <w:r>
                    <w:rPr>
                      <w:rFonts w:hint="eastAsia" w:ascii="MS UI Gothic" w:eastAsia="MS UI Gothic"/>
                      <w:w w:val="80"/>
                    </w:rPr>
                    <w:tab/>
                  </w:r>
                  <w:r>
                    <w:rPr>
                      <w:rFonts w:hint="eastAsia" w:ascii="MS UI Gothic" w:eastAsia="MS UI Gothic"/>
                      <w:spacing w:val="-20"/>
                      <w:w w:val="55"/>
                    </w:rPr>
                    <w:t>ꎮ</w:t>
                  </w:r>
                </w:p>
              </w:txbxContent>
            </v:textbox>
          </v:shape>
        </w:pict>
      </w:r>
      <w:r>
        <w:rPr>
          <w:spacing w:val="15"/>
          <w:w w:val="105"/>
        </w:rPr>
        <w:t>建立事故隐患排查治理制度 新</w:t>
      </w:r>
      <w:r>
        <w:rPr>
          <w:spacing w:val="3"/>
          <w:w w:val="105"/>
        </w:rPr>
        <w:t>法把加强事前预防</w:t>
      </w:r>
      <w:r>
        <w:rPr>
          <w:rFonts w:hint="eastAsia" w:ascii="MS UI Gothic" w:eastAsia="MS UI Gothic"/>
          <w:spacing w:val="-2"/>
          <w:w w:val="80"/>
        </w:rPr>
        <w:t xml:space="preserve">、 </w:t>
      </w:r>
      <w:r>
        <w:rPr>
          <w:spacing w:val="2"/>
          <w:w w:val="105"/>
        </w:rPr>
        <w:t>强化隐患排查治理作</w:t>
      </w:r>
      <w:r>
        <w:rPr>
          <w:spacing w:val="3"/>
          <w:w w:val="105"/>
        </w:rPr>
        <w:t>为一项重要内容</w:t>
      </w:r>
      <w:r>
        <w:rPr>
          <w:rFonts w:hint="eastAsia" w:ascii="MS UI Gothic" w:eastAsia="MS UI Gothic"/>
          <w:spacing w:val="-45"/>
          <w:w w:val="235"/>
        </w:rPr>
        <w:t xml:space="preserve">: </w:t>
      </w:r>
      <w:r>
        <w:rPr>
          <w:spacing w:val="2"/>
          <w:w w:val="105"/>
        </w:rPr>
        <w:t>一是生产经营单位必须</w:t>
      </w:r>
      <w:r>
        <w:rPr>
          <w:spacing w:val="5"/>
        </w:rPr>
        <w:t>建立事故隐患排查治理制度</w:t>
      </w:r>
      <w:r>
        <w:rPr>
          <w:rFonts w:hint="eastAsia" w:ascii="MS UI Gothic" w:eastAsia="MS UI Gothic"/>
          <w:spacing w:val="20"/>
          <w:w w:val="80"/>
        </w:rPr>
        <w:t xml:space="preserve">ꎬ </w:t>
      </w:r>
      <w:r>
        <w:rPr>
          <w:spacing w:val="10"/>
        </w:rPr>
        <w:t>采取技术</w:t>
      </w:r>
      <w:r>
        <w:rPr>
          <w:rFonts w:hint="eastAsia" w:ascii="MS UI Gothic" w:eastAsia="MS UI Gothic"/>
          <w:w w:val="80"/>
        </w:rPr>
        <w:t>、</w:t>
      </w:r>
      <w:r>
        <w:rPr>
          <w:spacing w:val="3"/>
        </w:rPr>
        <w:t>管理措施消除事故隐患</w:t>
      </w:r>
      <w:r>
        <w:rPr>
          <w:rFonts w:hint="eastAsia" w:ascii="MS UI Gothic" w:eastAsia="MS UI Gothic"/>
          <w:spacing w:val="19"/>
          <w:w w:val="80"/>
        </w:rPr>
        <w:t xml:space="preserve">ꎮ </w:t>
      </w:r>
      <w:r>
        <w:rPr>
          <w:spacing w:val="2"/>
        </w:rPr>
        <w:t>二是政府有关部</w:t>
      </w:r>
      <w:r>
        <w:rPr>
          <w:spacing w:val="11"/>
        </w:rPr>
        <w:t>门要建立健全重大事故隐患治理督办制</w:t>
      </w:r>
      <w:r>
        <w:rPr>
          <w:spacing w:val="3"/>
        </w:rPr>
        <w:t>度</w:t>
      </w:r>
      <w:r>
        <w:rPr>
          <w:rFonts w:hint="eastAsia" w:ascii="MS UI Gothic" w:eastAsia="MS UI Gothic"/>
          <w:spacing w:val="18"/>
          <w:w w:val="80"/>
        </w:rPr>
        <w:t xml:space="preserve">ꎬ </w:t>
      </w:r>
      <w:r>
        <w:rPr>
          <w:spacing w:val="14"/>
        </w:rPr>
        <w:t>督促生产经营单位消除重大事故隐</w:t>
      </w:r>
      <w:r>
        <w:rPr>
          <w:spacing w:val="3"/>
          <w:w w:val="105"/>
        </w:rPr>
        <w:t>患</w:t>
      </w:r>
      <w:r>
        <w:rPr>
          <w:rFonts w:hint="eastAsia" w:ascii="MS UI Gothic" w:eastAsia="MS UI Gothic"/>
          <w:w w:val="80"/>
        </w:rPr>
        <w:t xml:space="preserve">ꎮ </w:t>
      </w:r>
      <w:r>
        <w:rPr>
          <w:spacing w:val="3"/>
          <w:w w:val="105"/>
        </w:rPr>
        <w:t>三是对未建立隐患排查治理制度</w:t>
      </w:r>
      <w:r>
        <w:rPr>
          <w:rFonts w:hint="eastAsia" w:ascii="MS UI Gothic" w:eastAsia="MS UI Gothic"/>
          <w:w w:val="80"/>
        </w:rPr>
        <w:t xml:space="preserve">、 </w:t>
      </w:r>
      <w:r>
        <w:rPr>
          <w:w w:val="105"/>
        </w:rPr>
        <w:t>未</w:t>
      </w:r>
      <w:r>
        <w:rPr>
          <w:spacing w:val="3"/>
        </w:rPr>
        <w:t>采取有效措施消除事故隐患的行为</w:t>
      </w:r>
      <w:r>
        <w:rPr>
          <w:rFonts w:hint="eastAsia" w:ascii="MS UI Gothic" w:eastAsia="MS UI Gothic"/>
          <w:spacing w:val="19"/>
          <w:w w:val="80"/>
        </w:rPr>
        <w:t xml:space="preserve">ꎬ </w:t>
      </w:r>
      <w:r>
        <w:rPr>
          <w:spacing w:val="1"/>
        </w:rPr>
        <w:t>设定</w:t>
      </w:r>
      <w:r>
        <w:rPr>
          <w:spacing w:val="3"/>
          <w:w w:val="105"/>
        </w:rPr>
        <w:t>了严格的行政处罚</w:t>
      </w:r>
      <w:r>
        <w:rPr>
          <w:rFonts w:hint="eastAsia" w:ascii="MS UI Gothic" w:eastAsia="MS UI Gothic"/>
          <w:spacing w:val="22"/>
          <w:w w:val="80"/>
        </w:rPr>
        <w:t xml:space="preserve">ꎮ </w:t>
      </w:r>
      <w:r>
        <w:rPr>
          <w:rFonts w:hint="eastAsia" w:ascii="MS UI Gothic" w:eastAsia="MS UI Gothic"/>
          <w:spacing w:val="-37"/>
          <w:w w:val="150"/>
        </w:rPr>
        <w:t xml:space="preserve">( </w:t>
      </w:r>
      <w:r>
        <w:rPr>
          <w:spacing w:val="7"/>
          <w:w w:val="105"/>
        </w:rPr>
        <w:t>第三十八条</w:t>
      </w:r>
      <w:r>
        <w:rPr>
          <w:rFonts w:hint="eastAsia" w:ascii="MS UI Gothic" w:eastAsia="MS UI Gothic"/>
          <w:spacing w:val="11"/>
          <w:w w:val="80"/>
        </w:rPr>
        <w:t xml:space="preserve">、 </w:t>
      </w:r>
      <w:r>
        <w:rPr>
          <w:spacing w:val="4"/>
          <w:w w:val="105"/>
        </w:rPr>
        <w:t>第九</w:t>
      </w:r>
      <w:r>
        <w:rPr>
          <w:spacing w:val="3"/>
          <w:w w:val="105"/>
        </w:rPr>
        <w:t>十八条</w:t>
      </w:r>
      <w:r>
        <w:rPr>
          <w:rFonts w:hint="eastAsia" w:ascii="MS UI Gothic" w:eastAsia="MS UI Gothic"/>
          <w:spacing w:val="3"/>
          <w:w w:val="80"/>
        </w:rPr>
        <w:t xml:space="preserve">、 </w:t>
      </w:r>
      <w:r>
        <w:rPr>
          <w:spacing w:val="3"/>
          <w:w w:val="105"/>
        </w:rPr>
        <w:t>第九十九条</w:t>
      </w:r>
      <w:r>
        <w:rPr>
          <w:rFonts w:hint="eastAsia" w:ascii="MS UI Gothic" w:eastAsia="MS UI Gothic"/>
          <w:w w:val="150"/>
        </w:rPr>
        <w:t>)</w:t>
      </w:r>
    </w:p>
    <w:p>
      <w:pPr>
        <w:pStyle w:val="6"/>
        <w:spacing w:line="295" w:lineRule="auto"/>
        <w:ind w:left="118" w:right="442" w:firstLine="413"/>
        <w:rPr>
          <w:rFonts w:hint="eastAsia" w:ascii="MS UI Gothic" w:eastAsia="MS UI Gothic"/>
        </w:rPr>
      </w:pPr>
      <w:r>
        <w:rPr>
          <w:rFonts w:hint="eastAsia" w:ascii="MS UI Gothic" w:eastAsia="MS UI Gothic"/>
        </w:rPr>
        <w:t xml:space="preserve">８ </w:t>
      </w:r>
      <w:r>
        <w:t>推进安全生产标准化建设</w:t>
      </w:r>
      <w:r>
        <w:rPr>
          <w:rFonts w:hint="eastAsia" w:ascii="MS UI Gothic" w:eastAsia="MS UI Gothic"/>
          <w:w w:val="80"/>
        </w:rPr>
        <w:t xml:space="preserve">ꎮ </w:t>
      </w:r>
      <w:r>
        <w:t>结合多年来的实践经验</w:t>
      </w:r>
      <w:r>
        <w:rPr>
          <w:rFonts w:hint="eastAsia" w:ascii="MS UI Gothic" w:eastAsia="MS UI Gothic"/>
          <w:w w:val="80"/>
        </w:rPr>
        <w:t xml:space="preserve">ꎬ </w:t>
      </w:r>
      <w:r>
        <w:t>新法在总则部分明确生产经营单位应当推进安全生产标准化工作</w:t>
      </w:r>
      <w:r>
        <w:rPr>
          <w:rFonts w:hint="eastAsia" w:ascii="MS UI Gothic" w:eastAsia="MS UI Gothic"/>
          <w:w w:val="80"/>
        </w:rPr>
        <w:t xml:space="preserve">ꎬ </w:t>
      </w:r>
      <w:r>
        <w:t>提高本质安全生产水平</w:t>
      </w:r>
      <w:r>
        <w:rPr>
          <w:rFonts w:hint="eastAsia" w:ascii="MS UI Gothic" w:eastAsia="MS UI Gothic"/>
          <w:w w:val="80"/>
        </w:rPr>
        <w:t xml:space="preserve">ꎮ </w:t>
      </w:r>
      <w:r>
        <w:rPr>
          <w:rFonts w:hint="eastAsia" w:ascii="MS UI Gothic" w:eastAsia="MS UI Gothic"/>
          <w:w w:val="145"/>
        </w:rPr>
        <w:t xml:space="preserve">( </w:t>
      </w:r>
      <w:r>
        <w:t>第四条</w:t>
      </w:r>
      <w:r>
        <w:rPr>
          <w:rFonts w:hint="eastAsia" w:ascii="MS UI Gothic" w:eastAsia="MS UI Gothic"/>
          <w:w w:val="145"/>
        </w:rPr>
        <w:t>)</w:t>
      </w:r>
    </w:p>
    <w:p>
      <w:pPr>
        <w:pStyle w:val="6"/>
        <w:spacing w:line="295" w:lineRule="auto"/>
        <w:ind w:left="118" w:right="440" w:firstLine="413"/>
        <w:rPr>
          <w:rFonts w:hint="eastAsia" w:ascii="MS UI Gothic" w:eastAsia="MS UI Gothic"/>
        </w:rPr>
      </w:pPr>
      <w:r>
        <w:rPr>
          <w:rFonts w:hint="eastAsia" w:ascii="MS UI Gothic" w:eastAsia="MS UI Gothic"/>
        </w:rPr>
        <w:t xml:space="preserve">９ </w:t>
      </w:r>
      <w:r>
        <w:t>推行注册安全工程师制度</w:t>
      </w:r>
      <w:r>
        <w:rPr>
          <w:rFonts w:hint="eastAsia" w:ascii="MS UI Gothic" w:eastAsia="MS UI Gothic"/>
          <w:w w:val="80"/>
        </w:rPr>
        <w:t xml:space="preserve">ꎮ </w:t>
      </w:r>
      <w:r>
        <w:t>新法确立了注册安全工程师制度</w:t>
      </w:r>
      <w:r>
        <w:rPr>
          <w:rFonts w:hint="eastAsia" w:ascii="MS UI Gothic" w:eastAsia="MS UI Gothic"/>
          <w:w w:val="80"/>
        </w:rPr>
        <w:t xml:space="preserve">ꎬ </w:t>
      </w:r>
      <w:r>
        <w:t>并从两个方面加以推进</w:t>
      </w:r>
      <w:r>
        <w:rPr>
          <w:rFonts w:hint="eastAsia" w:ascii="MS UI Gothic" w:eastAsia="MS UI Gothic"/>
          <w:w w:val="230"/>
        </w:rPr>
        <w:t xml:space="preserve">: </w:t>
      </w:r>
      <w:r>
        <w:t>一是危险物品的生产</w:t>
      </w:r>
      <w:r>
        <w:rPr>
          <w:rFonts w:hint="eastAsia" w:ascii="MS UI Gothic" w:eastAsia="MS UI Gothic"/>
        </w:rPr>
        <w:t xml:space="preserve">、 </w:t>
      </w:r>
      <w:r>
        <w:t>储存单位以及矿山</w:t>
      </w:r>
      <w:r>
        <w:rPr>
          <w:rFonts w:hint="eastAsia" w:ascii="MS UI Gothic" w:eastAsia="MS UI Gothic"/>
        </w:rPr>
        <w:t xml:space="preserve">、 </w:t>
      </w:r>
      <w:r>
        <w:t>金属冶炼单位应当有注册安全工程师从事安全生产管理工作</w:t>
      </w:r>
      <w:r>
        <w:rPr>
          <w:rFonts w:hint="eastAsia" w:ascii="MS UI Gothic" w:eastAsia="MS UI Gothic"/>
          <w:w w:val="80"/>
        </w:rPr>
        <w:t xml:space="preserve">ꎬ </w:t>
      </w:r>
      <w:r>
        <w:t>鼓励其他单位聘用注册安全工程师</w:t>
      </w:r>
      <w:r>
        <w:rPr>
          <w:rFonts w:hint="eastAsia" w:ascii="MS UI Gothic" w:eastAsia="MS UI Gothic"/>
          <w:w w:val="80"/>
        </w:rPr>
        <w:t xml:space="preserve">ꎮ </w:t>
      </w:r>
      <w:r>
        <w:t>二是建立注册安全工程师按专业分类管理制度</w:t>
      </w:r>
      <w:r>
        <w:rPr>
          <w:rFonts w:hint="eastAsia" w:ascii="MS UI Gothic" w:eastAsia="MS UI Gothic"/>
          <w:w w:val="80"/>
        </w:rPr>
        <w:t xml:space="preserve">ꎬ </w:t>
      </w:r>
      <w:r>
        <w:t>授权国务院人力资源和社会保障部门</w:t>
      </w:r>
      <w:r>
        <w:rPr>
          <w:rFonts w:hint="eastAsia" w:ascii="MS UI Gothic" w:eastAsia="MS UI Gothic"/>
        </w:rPr>
        <w:t xml:space="preserve">、 </w:t>
      </w:r>
      <w:r>
        <w:t>安全生产监督管理等部门制定具体实施办法</w:t>
      </w:r>
      <w:r>
        <w:rPr>
          <w:rFonts w:hint="eastAsia" w:ascii="MS UI Gothic" w:eastAsia="MS UI Gothic"/>
          <w:w w:val="80"/>
        </w:rPr>
        <w:t>ꎮ</w:t>
      </w:r>
      <w:r>
        <w:rPr>
          <w:rFonts w:hint="eastAsia" w:ascii="MS UI Gothic" w:eastAsia="MS UI Gothic"/>
          <w:w w:val="150"/>
        </w:rPr>
        <w:t xml:space="preserve">( </w:t>
      </w:r>
      <w:r>
        <w:t>第二十四条</w:t>
      </w:r>
      <w:r>
        <w:rPr>
          <w:rFonts w:hint="eastAsia" w:ascii="MS UI Gothic" w:eastAsia="MS UI Gothic"/>
          <w:w w:val="150"/>
        </w:rPr>
        <w:t>)</w:t>
      </w:r>
    </w:p>
    <w:p>
      <w:pPr>
        <w:pStyle w:val="6"/>
        <w:spacing w:line="295" w:lineRule="auto"/>
        <w:ind w:left="582" w:right="440" w:hanging="51"/>
        <w:rPr>
          <w:rFonts w:hint="eastAsia" w:ascii="MS UI Gothic" w:eastAsia="MS UI Gothic"/>
        </w:rPr>
      </w:pPr>
      <w:r>
        <w:pict>
          <v:shape id="_x0000_s1244" o:spid="_x0000_s1244" o:spt="202" type="#_x0000_t202" style="position:absolute;left:0pt;margin-left:264.5pt;margin-top:12pt;height:24.35pt;width:20.6pt;mso-position-horizontal-relative:page;z-index:-276022272;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２００６</w:t>
                  </w:r>
                </w:p>
              </w:txbxContent>
            </v:textbox>
          </v:shape>
        </w:pict>
      </w:r>
      <w:r>
        <w:rPr>
          <w:rFonts w:hint="eastAsia" w:ascii="MS UI Gothic" w:eastAsia="MS UI Gothic"/>
        </w:rPr>
        <w:t xml:space="preserve">１０ </w:t>
      </w:r>
      <w:r>
        <w:t>推进安全生产责任保险</w:t>
      </w:r>
      <w:r>
        <w:rPr>
          <w:rFonts w:hint="eastAsia" w:ascii="MS UI Gothic" w:eastAsia="MS UI Gothic"/>
          <w:w w:val="90"/>
        </w:rPr>
        <w:t xml:space="preserve">ꎮ </w:t>
      </w:r>
      <w:r>
        <w:t>根据年以来在河南省</w:t>
      </w:r>
      <w:r>
        <w:rPr>
          <w:rFonts w:hint="eastAsia" w:ascii="MS UI Gothic" w:eastAsia="MS UI Gothic"/>
        </w:rPr>
        <w:t xml:space="preserve">、 </w:t>
      </w:r>
      <w:r>
        <w:t>湖北省</w:t>
      </w:r>
      <w:r>
        <w:rPr>
          <w:rFonts w:hint="eastAsia" w:ascii="MS UI Gothic" w:eastAsia="MS UI Gothic"/>
        </w:rPr>
        <w:t xml:space="preserve">、 </w:t>
      </w:r>
      <w:r>
        <w:t>山西省</w:t>
      </w:r>
      <w:r>
        <w:rPr>
          <w:rFonts w:hint="eastAsia" w:ascii="MS UI Gothic" w:eastAsia="MS UI Gothic"/>
        </w:rPr>
        <w:t>、</w:t>
      </w:r>
    </w:p>
    <w:p>
      <w:pPr>
        <w:pStyle w:val="6"/>
        <w:spacing w:line="295" w:lineRule="auto"/>
        <w:ind w:left="118" w:right="440" w:firstLine="0"/>
        <w:rPr>
          <w:rFonts w:hint="eastAsia" w:ascii="MS UI Gothic" w:eastAsia="MS UI Gothic"/>
        </w:rPr>
      </w:pPr>
      <w:r>
        <w:rPr>
          <w:spacing w:val="3"/>
          <w:w w:val="105"/>
        </w:rPr>
        <w:t>北京市</w:t>
      </w:r>
      <w:r>
        <w:rPr>
          <w:rFonts w:hint="eastAsia" w:ascii="MS UI Gothic" w:eastAsia="MS UI Gothic"/>
          <w:spacing w:val="15"/>
          <w:w w:val="80"/>
        </w:rPr>
        <w:t xml:space="preserve">、 </w:t>
      </w:r>
      <w:r>
        <w:rPr>
          <w:w w:val="105"/>
        </w:rPr>
        <w:t xml:space="preserve">重庆市等省 </w:t>
      </w:r>
      <w:r>
        <w:rPr>
          <w:rFonts w:hint="eastAsia" w:ascii="MS UI Gothic" w:eastAsia="MS UI Gothic"/>
          <w:spacing w:val="-36"/>
          <w:w w:val="150"/>
        </w:rPr>
        <w:t xml:space="preserve">( </w:t>
      </w:r>
      <w:r>
        <w:rPr>
          <w:spacing w:val="7"/>
          <w:w w:val="105"/>
        </w:rPr>
        <w:t>市</w:t>
      </w:r>
      <w:r>
        <w:rPr>
          <w:rFonts w:hint="eastAsia" w:ascii="MS UI Gothic" w:eastAsia="MS UI Gothic"/>
          <w:spacing w:val="3"/>
          <w:w w:val="150"/>
        </w:rPr>
        <w:t xml:space="preserve">) </w:t>
      </w:r>
      <w:r>
        <w:rPr>
          <w:spacing w:val="9"/>
          <w:w w:val="105"/>
        </w:rPr>
        <w:t>的试点经验</w:t>
      </w:r>
      <w:r>
        <w:rPr>
          <w:rFonts w:hint="eastAsia" w:ascii="MS UI Gothic" w:eastAsia="MS UI Gothic"/>
          <w:w w:val="80"/>
        </w:rPr>
        <w:t>ꎬ</w:t>
      </w:r>
      <w:r>
        <w:rPr>
          <w:spacing w:val="2"/>
        </w:rPr>
        <w:t>重点是为了增加事故应急救援和事故单位从业人员以外的事故受害人的赔偿补偿资</w:t>
      </w:r>
      <w:r>
        <w:rPr>
          <w:spacing w:val="3"/>
          <w:w w:val="105"/>
        </w:rPr>
        <w:t>金来源</w:t>
      </w:r>
      <w:r>
        <w:rPr>
          <w:rFonts w:hint="eastAsia" w:ascii="MS UI Gothic" w:eastAsia="MS UI Gothic"/>
          <w:spacing w:val="2"/>
          <w:w w:val="80"/>
        </w:rPr>
        <w:t xml:space="preserve">ꎬ </w:t>
      </w:r>
      <w:r>
        <w:rPr>
          <w:spacing w:val="3"/>
          <w:w w:val="105"/>
        </w:rPr>
        <w:t>新法规定</w:t>
      </w:r>
      <w:r>
        <w:rPr>
          <w:rFonts w:hint="eastAsia" w:ascii="MS UI Gothic" w:eastAsia="MS UI Gothic"/>
          <w:spacing w:val="-45"/>
          <w:w w:val="235"/>
        </w:rPr>
        <w:t xml:space="preserve">: </w:t>
      </w:r>
      <w:r>
        <w:rPr>
          <w:spacing w:val="2"/>
          <w:w w:val="105"/>
        </w:rPr>
        <w:t>国家鼓励生产经营单</w:t>
      </w:r>
      <w:r>
        <w:rPr>
          <w:spacing w:val="11"/>
          <w:w w:val="105"/>
        </w:rPr>
        <w:t>位投保安全生产责任保险</w:t>
      </w:r>
      <w:r>
        <w:rPr>
          <w:rFonts w:hint="eastAsia" w:ascii="MS UI Gothic" w:eastAsia="MS UI Gothic"/>
          <w:w w:val="80"/>
        </w:rPr>
        <w:t xml:space="preserve">ꎮ </w:t>
      </w:r>
      <w:r>
        <w:rPr>
          <w:rFonts w:hint="eastAsia" w:ascii="MS UI Gothic" w:eastAsia="MS UI Gothic"/>
          <w:spacing w:val="-37"/>
          <w:w w:val="150"/>
        </w:rPr>
        <w:t xml:space="preserve">( </w:t>
      </w:r>
      <w:r>
        <w:rPr>
          <w:spacing w:val="13"/>
          <w:w w:val="105"/>
        </w:rPr>
        <w:t>第四十八</w:t>
      </w:r>
      <w:r>
        <w:rPr>
          <w:spacing w:val="3"/>
          <w:w w:val="105"/>
        </w:rPr>
        <w:t>条</w:t>
      </w:r>
      <w:r>
        <w:rPr>
          <w:rFonts w:hint="eastAsia" w:ascii="MS UI Gothic" w:eastAsia="MS UI Gothic"/>
          <w:w w:val="150"/>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62"/>
            <w:col w:w="4342"/>
          </w:cols>
        </w:sectPr>
      </w:pPr>
    </w:p>
    <w:p>
      <w:pPr>
        <w:spacing w:before="192"/>
        <w:ind w:left="2229" w:right="0" w:firstLine="0"/>
        <w:jc w:val="center"/>
        <w:rPr>
          <w:sz w:val="17"/>
        </w:rPr>
      </w:pPr>
      <w:r>
        <w:rPr>
          <w:sz w:val="17"/>
        </w:rPr>
        <w:t>四</w:t>
      </w:r>
      <w:r>
        <w:rPr>
          <w:rFonts w:hint="eastAsia" w:ascii="Microsoft Yi Baiti" w:eastAsia="Microsoft Yi Baiti"/>
          <w:sz w:val="17"/>
        </w:rPr>
        <w:t xml:space="preserve">、 </w:t>
      </w:r>
      <w:r>
        <w:rPr>
          <w:sz w:val="17"/>
        </w:rPr>
        <w:t>安 全 生 产 法</w:t>
      </w:r>
    </w:p>
    <w:p>
      <w:pPr>
        <w:pStyle w:val="6"/>
        <w:ind w:left="0" w:firstLine="0"/>
        <w:jc w:val="left"/>
        <w:rPr>
          <w:sz w:val="24"/>
        </w:rPr>
      </w:pPr>
    </w:p>
    <w:p>
      <w:pPr>
        <w:pStyle w:val="6"/>
        <w:spacing w:before="1"/>
        <w:ind w:left="0" w:firstLine="0"/>
        <w:jc w:val="left"/>
        <w:rPr>
          <w:sz w:val="23"/>
        </w:rPr>
      </w:pPr>
    </w:p>
    <w:p>
      <w:pPr>
        <w:pStyle w:val="4"/>
        <w:spacing w:before="0"/>
        <w:ind w:left="2203"/>
        <w:rPr>
          <w:rFonts w:hint="eastAsia" w:ascii="Microsoft Yi Baiti" w:eastAsia="Microsoft Yi Baiti"/>
        </w:rPr>
      </w:pPr>
      <w:r>
        <w:rPr>
          <w:spacing w:val="-5"/>
        </w:rPr>
        <w:t xml:space="preserve">安全生产许可证条例 </w:t>
      </w:r>
      <w:r>
        <w:rPr>
          <w:rFonts w:hint="eastAsia" w:ascii="Microsoft Yi Baiti" w:eastAsia="Microsoft Yi Baiti"/>
          <w:spacing w:val="3"/>
        </w:rPr>
        <w:t>(</w:t>
      </w:r>
      <w:r>
        <w:rPr>
          <w:rFonts w:hint="eastAsia" w:ascii="MS UI Gothic" w:eastAsia="MS UI Gothic"/>
          <w:spacing w:val="-9"/>
        </w:rPr>
        <w:t xml:space="preserve">２０１４ </w:t>
      </w:r>
      <w:r>
        <w:rPr>
          <w:spacing w:val="5"/>
        </w:rPr>
        <w:t>年修正</w:t>
      </w:r>
      <w:r>
        <w:rPr>
          <w:rFonts w:hint="eastAsia" w:ascii="Microsoft Yi Baiti" w:eastAsia="Microsoft Yi Baiti"/>
        </w:rPr>
        <w:t>)</w:t>
      </w:r>
    </w:p>
    <w:p>
      <w:pPr>
        <w:pStyle w:val="6"/>
        <w:spacing w:before="159"/>
        <w:ind w:left="911" w:firstLine="0"/>
        <w:jc w:val="left"/>
        <w:rPr>
          <w:rFonts w:hint="eastAsia" w:ascii="MS UI Gothic" w:eastAsia="MS UI Gothic"/>
        </w:rPr>
      </w:pPr>
      <w:r>
        <w:br w:type="column"/>
      </w:r>
      <w:r>
        <w:rPr>
          <w:rFonts w:hint="eastAsia" w:ascii="MS UI Gothic" w:eastAsia="MS UI Gothic"/>
          <w:spacing w:val="1"/>
          <w:w w:val="75"/>
        </w:rPr>
        <w:t>６５</w:t>
      </w:r>
    </w:p>
    <w:p>
      <w:pPr>
        <w:spacing w:after="0"/>
        <w:jc w:val="left"/>
        <w:rPr>
          <w:rFonts w:hint="eastAsia" w:ascii="MS UI Gothic" w:eastAsia="MS UI Gothic"/>
        </w:rPr>
        <w:sectPr>
          <w:pgSz w:w="10500" w:h="14750"/>
          <w:pgMar w:top="960" w:right="980" w:bottom="280" w:left="980" w:header="720" w:footer="720" w:gutter="0"/>
          <w:cols w:equalWidth="0" w:num="2">
            <w:col w:w="6614" w:space="40"/>
            <w:col w:w="1886"/>
          </w:cols>
        </w:sectPr>
      </w:pPr>
    </w:p>
    <w:p>
      <w:pPr>
        <w:pStyle w:val="6"/>
        <w:ind w:left="0" w:firstLine="0"/>
        <w:jc w:val="left"/>
        <w:rPr>
          <w:rFonts w:ascii="MS UI Gothic"/>
          <w:sz w:val="15"/>
        </w:rPr>
      </w:pPr>
    </w:p>
    <w:p>
      <w:pPr>
        <w:pStyle w:val="6"/>
        <w:tabs>
          <w:tab w:val="left" w:pos="5486"/>
        </w:tabs>
        <w:spacing w:before="174"/>
        <w:ind w:left="0" w:right="126" w:firstLine="0"/>
        <w:jc w:val="right"/>
      </w:pPr>
      <w:r>
        <w:pict>
          <v:shape id="_x0000_s1245" o:spid="_x0000_s1245" style="position:absolute;left:0pt;margin-left:0pt;margin-top:622.55pt;height:1.75pt;width:398.25pt;mso-position-horizontal-relative:page;z-index:251742208;mso-width-relative:page;mso-height-relative:page;" filled="f" stroked="t" coordorigin="0,12451" coordsize="7965,35" path="m1419,-1035l9384,-1035m1419,-1070l9384,-1070e">
            <v:path arrowok="t"/>
            <v:fill on="f" focussize="0,0"/>
            <v:stroke weight="0.388031496062992pt" color="#231F20"/>
            <v:imagedata o:title=""/>
            <o:lock v:ext="edit"/>
          </v:shape>
        </w:pict>
      </w:r>
      <w:r>
        <w:rPr>
          <w:rFonts w:hint="eastAsia" w:ascii="Microsoft Yi Baiti" w:eastAsia="Microsoft Yi Baiti"/>
          <w:spacing w:val="2"/>
        </w:rPr>
        <w:t>(</w:t>
      </w:r>
      <w:r>
        <w:rPr>
          <w:rFonts w:hint="eastAsia" w:ascii="MS UI Gothic" w:eastAsia="MS UI Gothic"/>
          <w:spacing w:val="2"/>
        </w:rPr>
        <w:t>２００４</w:t>
      </w:r>
      <w:r>
        <w:rPr>
          <w:rFonts w:hint="eastAsia" w:ascii="MS UI Gothic" w:eastAsia="MS UI Gothic"/>
          <w:spacing w:val="-30"/>
        </w:rPr>
        <w:t xml:space="preserve"> </w:t>
      </w:r>
      <w:r>
        <w:t>年</w:t>
      </w:r>
      <w:r>
        <w:rPr>
          <w:spacing w:val="-74"/>
        </w:rPr>
        <w:t xml:space="preserve"> </w:t>
      </w:r>
      <w:r>
        <w:rPr>
          <w:rFonts w:hint="eastAsia" w:ascii="MS UI Gothic" w:eastAsia="MS UI Gothic"/>
        </w:rPr>
        <w:t>１</w:t>
      </w:r>
      <w:r>
        <w:rPr>
          <w:rFonts w:hint="eastAsia" w:ascii="MS UI Gothic" w:eastAsia="MS UI Gothic"/>
          <w:spacing w:val="-30"/>
        </w:rPr>
        <w:t xml:space="preserve"> </w:t>
      </w:r>
      <w:r>
        <w:t>月</w:t>
      </w:r>
      <w:r>
        <w:rPr>
          <w:spacing w:val="-77"/>
        </w:rPr>
        <w:t xml:space="preserve"> </w:t>
      </w:r>
      <w:r>
        <w:rPr>
          <w:rFonts w:hint="eastAsia" w:ascii="MS UI Gothic" w:eastAsia="MS UI Gothic"/>
        </w:rPr>
        <w:t>１３</w:t>
      </w:r>
      <w:r>
        <w:rPr>
          <w:rFonts w:hint="eastAsia" w:ascii="MS UI Gothic" w:eastAsia="MS UI Gothic"/>
          <w:spacing w:val="-30"/>
        </w:rPr>
        <w:t xml:space="preserve"> </w:t>
      </w:r>
      <w:r>
        <w:rPr>
          <w:spacing w:val="3"/>
        </w:rPr>
        <w:t>日中华人民共和国国务院令</w:t>
      </w:r>
      <w:r>
        <w:t>第</w:t>
      </w:r>
      <w:r>
        <w:rPr>
          <w:spacing w:val="-77"/>
        </w:rPr>
        <w:t xml:space="preserve"> </w:t>
      </w:r>
      <w:r>
        <w:rPr>
          <w:rFonts w:hint="eastAsia" w:ascii="MS UI Gothic" w:eastAsia="MS UI Gothic"/>
        </w:rPr>
        <w:t>３９７</w:t>
      </w:r>
      <w:r>
        <w:rPr>
          <w:rFonts w:hint="eastAsia" w:ascii="MS UI Gothic" w:eastAsia="MS UI Gothic"/>
          <w:spacing w:val="-30"/>
        </w:rPr>
        <w:t xml:space="preserve"> </w:t>
      </w:r>
      <w:r>
        <w:rPr>
          <w:spacing w:val="3"/>
        </w:rPr>
        <w:t>号公</w:t>
      </w:r>
      <w:r>
        <w:t>布</w:t>
      </w:r>
      <w:r>
        <w:tab/>
      </w:r>
      <w:r>
        <w:rPr>
          <w:spacing w:val="3"/>
          <w:w w:val="95"/>
        </w:rPr>
        <w:t>根</w:t>
      </w:r>
      <w:r>
        <w:rPr>
          <w:w w:val="95"/>
        </w:rPr>
        <w:t>据</w:t>
      </w:r>
      <w:r>
        <w:rPr>
          <w:spacing w:val="-69"/>
          <w:w w:val="95"/>
        </w:rPr>
        <w:t xml:space="preserve"> </w:t>
      </w:r>
      <w:r>
        <w:rPr>
          <w:rFonts w:hint="eastAsia" w:ascii="MS UI Gothic" w:eastAsia="MS UI Gothic"/>
          <w:w w:val="95"/>
        </w:rPr>
        <w:t>２０１３</w:t>
      </w:r>
      <w:r>
        <w:rPr>
          <w:rFonts w:hint="eastAsia" w:ascii="MS UI Gothic" w:eastAsia="MS UI Gothic"/>
          <w:spacing w:val="-22"/>
          <w:w w:val="95"/>
        </w:rPr>
        <w:t xml:space="preserve"> </w:t>
      </w:r>
      <w:r>
        <w:rPr>
          <w:w w:val="95"/>
        </w:rPr>
        <w:t>年</w:t>
      </w:r>
      <w:r>
        <w:rPr>
          <w:spacing w:val="-68"/>
          <w:w w:val="95"/>
        </w:rPr>
        <w:t xml:space="preserve"> </w:t>
      </w:r>
      <w:r>
        <w:rPr>
          <w:rFonts w:hint="eastAsia" w:ascii="MS UI Gothic" w:eastAsia="MS UI Gothic"/>
          <w:w w:val="95"/>
        </w:rPr>
        <w:t>７</w:t>
      </w:r>
      <w:r>
        <w:rPr>
          <w:rFonts w:hint="eastAsia" w:ascii="MS UI Gothic" w:eastAsia="MS UI Gothic"/>
          <w:spacing w:val="-22"/>
          <w:w w:val="95"/>
        </w:rPr>
        <w:t xml:space="preserve"> </w:t>
      </w:r>
      <w:r>
        <w:rPr>
          <w:w w:val="95"/>
        </w:rPr>
        <w:t>月</w:t>
      </w:r>
      <w:r>
        <w:rPr>
          <w:spacing w:val="-68"/>
          <w:w w:val="95"/>
        </w:rPr>
        <w:t xml:space="preserve"> </w:t>
      </w:r>
      <w:r>
        <w:rPr>
          <w:rFonts w:hint="eastAsia" w:ascii="MS UI Gothic" w:eastAsia="MS UI Gothic"/>
          <w:w w:val="95"/>
        </w:rPr>
        <w:t>１８</w:t>
      </w:r>
      <w:r>
        <w:rPr>
          <w:rFonts w:hint="eastAsia" w:ascii="MS UI Gothic" w:eastAsia="MS UI Gothic"/>
          <w:spacing w:val="-22"/>
          <w:w w:val="95"/>
        </w:rPr>
        <w:t xml:space="preserve"> </w:t>
      </w:r>
      <w:r>
        <w:rPr>
          <w:w w:val="95"/>
        </w:rPr>
        <w:t>日</w:t>
      </w:r>
    </w:p>
    <w:p>
      <w:pPr>
        <w:pStyle w:val="6"/>
        <w:tabs>
          <w:tab w:val="left" w:pos="5789"/>
        </w:tabs>
        <w:spacing w:before="59"/>
        <w:ind w:left="0" w:right="126" w:firstLine="0"/>
        <w:jc w:val="right"/>
      </w:pPr>
      <w:r>
        <w:rPr>
          <w:rFonts w:hint="eastAsia" w:ascii="Microsoft Yi Baiti" w:hAnsi="Microsoft Yi Baiti" w:eastAsia="Microsoft Yi Baiti"/>
        </w:rPr>
        <w:t>«</w:t>
      </w:r>
      <w:r>
        <w:rPr>
          <w:rFonts w:hint="eastAsia" w:ascii="Microsoft Yi Baiti" w:hAnsi="Microsoft Yi Baiti" w:eastAsia="Microsoft Yi Baiti"/>
          <w:spacing w:val="-54"/>
        </w:rPr>
        <w:t xml:space="preserve"> </w:t>
      </w:r>
      <w:r>
        <w:rPr>
          <w:spacing w:val="3"/>
        </w:rPr>
        <w:t>国务院关于废</w:t>
      </w:r>
      <w:r>
        <w:rPr>
          <w:spacing w:val="7"/>
        </w:rPr>
        <w:t>止</w:t>
      </w:r>
      <w:r>
        <w:rPr>
          <w:spacing w:val="13"/>
        </w:rPr>
        <w:t>和修改部分行政法规的决</w:t>
      </w:r>
      <w:r>
        <w:rPr>
          <w:spacing w:val="9"/>
        </w:rPr>
        <w:t>定</w:t>
      </w:r>
      <w:r>
        <w:rPr>
          <w:rFonts w:hint="eastAsia" w:ascii="Microsoft Yi Baiti" w:hAnsi="Microsoft Yi Baiti" w:eastAsia="Microsoft Yi Baiti"/>
        </w:rPr>
        <w:t xml:space="preserve">» </w:t>
      </w:r>
      <w:r>
        <w:rPr>
          <w:rFonts w:hint="eastAsia" w:ascii="Microsoft Yi Baiti" w:hAnsi="Microsoft Yi Baiti" w:eastAsia="Microsoft Yi Baiti"/>
          <w:spacing w:val="43"/>
        </w:rPr>
        <w:t xml:space="preserve"> </w:t>
      </w:r>
      <w:r>
        <w:rPr>
          <w:spacing w:val="15"/>
        </w:rPr>
        <w:t>第一次修</w:t>
      </w:r>
      <w:r>
        <w:t>订</w:t>
      </w:r>
      <w:r>
        <w:tab/>
      </w:r>
      <w:r>
        <w:rPr>
          <w:spacing w:val="15"/>
        </w:rPr>
        <w:t>根</w:t>
      </w:r>
      <w:r>
        <w:t>据</w:t>
      </w:r>
      <w:r>
        <w:rPr>
          <w:spacing w:val="-69"/>
        </w:rPr>
        <w:t xml:space="preserve"> </w:t>
      </w:r>
      <w:r>
        <w:rPr>
          <w:rFonts w:hint="eastAsia" w:ascii="MS UI Gothic" w:hAnsi="MS UI Gothic" w:eastAsia="MS UI Gothic"/>
        </w:rPr>
        <w:t>２０１４</w:t>
      </w:r>
      <w:r>
        <w:rPr>
          <w:rFonts w:hint="eastAsia" w:ascii="MS UI Gothic" w:hAnsi="MS UI Gothic" w:eastAsia="MS UI Gothic"/>
          <w:spacing w:val="-27"/>
        </w:rPr>
        <w:t xml:space="preserve"> </w:t>
      </w:r>
      <w:r>
        <w:t>年</w:t>
      </w:r>
      <w:r>
        <w:rPr>
          <w:spacing w:val="-69"/>
        </w:rPr>
        <w:t xml:space="preserve"> </w:t>
      </w:r>
      <w:r>
        <w:rPr>
          <w:rFonts w:hint="eastAsia" w:ascii="MS UI Gothic" w:hAnsi="MS UI Gothic" w:eastAsia="MS UI Gothic"/>
        </w:rPr>
        <w:t>７</w:t>
      </w:r>
      <w:r>
        <w:rPr>
          <w:rFonts w:hint="eastAsia" w:ascii="MS UI Gothic" w:hAnsi="MS UI Gothic" w:eastAsia="MS UI Gothic"/>
          <w:spacing w:val="-26"/>
        </w:rPr>
        <w:t xml:space="preserve"> </w:t>
      </w:r>
      <w:r>
        <w:t>月</w:t>
      </w:r>
      <w:r>
        <w:rPr>
          <w:spacing w:val="-69"/>
        </w:rPr>
        <w:t xml:space="preserve"> </w:t>
      </w:r>
      <w:r>
        <w:rPr>
          <w:rFonts w:hint="eastAsia" w:ascii="MS UI Gothic" w:hAnsi="MS UI Gothic" w:eastAsia="MS UI Gothic"/>
        </w:rPr>
        <w:t>２９</w:t>
      </w:r>
      <w:r>
        <w:rPr>
          <w:rFonts w:hint="eastAsia" w:ascii="MS UI Gothic" w:hAnsi="MS UI Gothic" w:eastAsia="MS UI Gothic"/>
          <w:spacing w:val="-27"/>
        </w:rPr>
        <w:t xml:space="preserve"> </w:t>
      </w:r>
      <w:r>
        <w:t>日</w:t>
      </w:r>
    </w:p>
    <w:p>
      <w:pPr>
        <w:pStyle w:val="6"/>
        <w:spacing w:before="58"/>
        <w:ind w:left="440" w:firstLine="0"/>
        <w:jc w:val="left"/>
        <w:rPr>
          <w:rFonts w:hint="eastAsia" w:ascii="Microsoft Yi Baiti" w:hAnsi="Microsoft Yi Baiti" w:eastAsia="Microsoft Yi Baiti"/>
        </w:rPr>
      </w:pPr>
      <w:r>
        <w:rPr>
          <w:rFonts w:hint="eastAsia" w:ascii="Microsoft Yi Baiti" w:hAnsi="Microsoft Yi Baiti" w:eastAsia="Microsoft Yi Baiti"/>
          <w:w w:val="110"/>
        </w:rPr>
        <w:t xml:space="preserve">« </w:t>
      </w:r>
      <w:r>
        <w:rPr>
          <w:w w:val="110"/>
        </w:rPr>
        <w:t>国务院关于修改部分行政法规的决定</w:t>
      </w:r>
      <w:r>
        <w:rPr>
          <w:rFonts w:hint="eastAsia" w:ascii="Microsoft Yi Baiti" w:hAnsi="Microsoft Yi Baiti" w:eastAsia="Microsoft Yi Baiti"/>
          <w:w w:val="110"/>
        </w:rPr>
        <w:t xml:space="preserve">» </w:t>
      </w:r>
      <w:r>
        <w:rPr>
          <w:w w:val="110"/>
        </w:rPr>
        <w:t>第二次修订</w:t>
      </w:r>
      <w:r>
        <w:rPr>
          <w:rFonts w:hint="eastAsia" w:ascii="Microsoft Yi Baiti" w:hAnsi="Microsoft Yi Baiti" w:eastAsia="Microsoft Yi Baiti"/>
          <w:w w:val="110"/>
        </w:rPr>
        <w:t>)</w:t>
      </w:r>
    </w:p>
    <w:p>
      <w:pPr>
        <w:pStyle w:val="6"/>
        <w:ind w:left="0" w:firstLine="0"/>
        <w:jc w:val="left"/>
        <w:rPr>
          <w:rFonts w:ascii="Microsoft Yi Baiti"/>
          <w:sz w:val="28"/>
        </w:rPr>
      </w:pPr>
    </w:p>
    <w:p>
      <w:pPr>
        <w:spacing w:after="0"/>
        <w:jc w:val="left"/>
        <w:rPr>
          <w:rFonts w:ascii="Microsoft Yi Baiti"/>
          <w:sz w:val="28"/>
        </w:rPr>
        <w:sectPr>
          <w:type w:val="continuous"/>
          <w:pgSz w:w="10500" w:h="14750"/>
          <w:pgMar w:top="1400" w:right="980" w:bottom="280" w:left="980" w:header="720" w:footer="720" w:gutter="0"/>
        </w:sectPr>
      </w:pPr>
    </w:p>
    <w:p>
      <w:pPr>
        <w:pStyle w:val="6"/>
        <w:spacing w:before="85" w:line="292" w:lineRule="auto"/>
        <w:ind w:left="440"/>
        <w:rPr>
          <w:rFonts w:hint="eastAsia" w:ascii="MS UI Gothic" w:hAnsi="MS UI Gothic" w:eastAsia="MS UI Gothic"/>
        </w:rPr>
      </w:pPr>
      <w:r>
        <w:t>第一条  为了严格规范安全生产条件</w:t>
      </w:r>
      <w:r>
        <w:rPr>
          <w:rFonts w:hint="eastAsia" w:ascii="MS UI Gothic" w:hAnsi="MS UI Gothic" w:eastAsia="MS UI Gothic"/>
          <w:w w:val="80"/>
        </w:rPr>
        <w:t xml:space="preserve">ꎬ </w:t>
      </w:r>
      <w:r>
        <w:t>进一步加强安全生产监督管理</w:t>
      </w:r>
      <w:r>
        <w:rPr>
          <w:rFonts w:hint="eastAsia" w:ascii="MS UI Gothic" w:hAnsi="MS UI Gothic" w:eastAsia="MS UI Gothic"/>
          <w:w w:val="80"/>
        </w:rPr>
        <w:t xml:space="preserve">ꎬ </w:t>
      </w:r>
      <w:r>
        <w:t>防止和减少生产安全事故</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中华人民共和国安全生产法</w:t>
      </w:r>
      <w:r>
        <w:rPr>
          <w:rFonts w:hint="eastAsia" w:ascii="MS UI Gothic" w:hAnsi="MS UI Gothic" w:eastAsia="MS UI Gothic"/>
          <w:w w:val="80"/>
        </w:rPr>
        <w:t xml:space="preserve">» </w:t>
      </w:r>
      <w:r>
        <w:t>的有关规定</w:t>
      </w:r>
      <w:r>
        <w:rPr>
          <w:rFonts w:hint="eastAsia" w:ascii="MS UI Gothic" w:hAnsi="MS UI Gothic" w:eastAsia="MS UI Gothic"/>
          <w:w w:val="80"/>
        </w:rPr>
        <w:t xml:space="preserve">ꎬ </w:t>
      </w:r>
      <w:r>
        <w:t>制定本条例</w:t>
      </w:r>
      <w:r>
        <w:rPr>
          <w:rFonts w:hint="eastAsia" w:ascii="MS UI Gothic" w:hAnsi="MS UI Gothic" w:eastAsia="MS UI Gothic"/>
          <w:w w:val="80"/>
        </w:rPr>
        <w:t>ꎮ</w:t>
      </w:r>
    </w:p>
    <w:p>
      <w:pPr>
        <w:pStyle w:val="6"/>
        <w:spacing w:line="292" w:lineRule="auto"/>
        <w:ind w:left="440"/>
        <w:rPr>
          <w:rFonts w:hint="eastAsia" w:ascii="MS UI Gothic" w:eastAsia="MS UI Gothic"/>
        </w:rPr>
      </w:pPr>
      <w:r>
        <w:rPr>
          <w:spacing w:val="6"/>
          <w:w w:val="105"/>
        </w:rPr>
        <w:t>第二条 国家对矿山企业</w:t>
      </w:r>
      <w:r>
        <w:rPr>
          <w:rFonts w:hint="eastAsia" w:ascii="MS UI Gothic" w:eastAsia="MS UI Gothic"/>
          <w:spacing w:val="18"/>
          <w:w w:val="80"/>
        </w:rPr>
        <w:t xml:space="preserve">、 </w:t>
      </w:r>
      <w:r>
        <w:rPr>
          <w:spacing w:val="2"/>
          <w:w w:val="105"/>
        </w:rPr>
        <w:t>建筑施工</w:t>
      </w:r>
      <w:r>
        <w:rPr>
          <w:spacing w:val="3"/>
          <w:w w:val="105"/>
        </w:rPr>
        <w:t>企业和危险化学品</w:t>
      </w:r>
      <w:r>
        <w:rPr>
          <w:rFonts w:hint="eastAsia" w:ascii="MS UI Gothic" w:eastAsia="MS UI Gothic"/>
          <w:spacing w:val="11"/>
          <w:w w:val="80"/>
        </w:rPr>
        <w:t xml:space="preserve">、 </w:t>
      </w:r>
      <w:r>
        <w:rPr>
          <w:spacing w:val="3"/>
          <w:w w:val="105"/>
        </w:rPr>
        <w:t>烟花爆竹</w:t>
      </w:r>
      <w:r>
        <w:rPr>
          <w:rFonts w:hint="eastAsia" w:ascii="MS UI Gothic" w:eastAsia="MS UI Gothic"/>
          <w:spacing w:val="11"/>
          <w:w w:val="80"/>
        </w:rPr>
        <w:t xml:space="preserve">、 </w:t>
      </w:r>
      <w:r>
        <w:rPr>
          <w:spacing w:val="2"/>
          <w:w w:val="105"/>
        </w:rPr>
        <w:t>民用爆破</w:t>
      </w:r>
      <w:r>
        <w:rPr>
          <w:spacing w:val="4"/>
          <w:w w:val="105"/>
        </w:rPr>
        <w:t xml:space="preserve">器材生产企业 </w:t>
      </w:r>
      <w:r>
        <w:rPr>
          <w:rFonts w:hint="eastAsia" w:ascii="MS UI Gothic" w:eastAsia="MS UI Gothic"/>
          <w:spacing w:val="-34"/>
          <w:w w:val="150"/>
        </w:rPr>
        <w:t xml:space="preserve">( </w:t>
      </w:r>
      <w:r>
        <w:rPr>
          <w:spacing w:val="17"/>
          <w:w w:val="105"/>
        </w:rPr>
        <w:t>以下统称企业</w:t>
      </w:r>
      <w:r>
        <w:rPr>
          <w:rFonts w:hint="eastAsia" w:ascii="MS UI Gothic" w:eastAsia="MS UI Gothic"/>
          <w:spacing w:val="12"/>
          <w:w w:val="150"/>
        </w:rPr>
        <w:t xml:space="preserve">) </w:t>
      </w:r>
      <w:r>
        <w:rPr>
          <w:spacing w:val="9"/>
          <w:w w:val="105"/>
        </w:rPr>
        <w:t>实行安</w:t>
      </w:r>
      <w:r>
        <w:rPr>
          <w:spacing w:val="3"/>
          <w:w w:val="105"/>
        </w:rPr>
        <w:t>全生产许可制度</w:t>
      </w:r>
      <w:r>
        <w:rPr>
          <w:rFonts w:hint="eastAsia" w:ascii="MS UI Gothic" w:eastAsia="MS UI Gothic"/>
          <w:w w:val="80"/>
        </w:rPr>
        <w:t>ꎮ</w:t>
      </w:r>
    </w:p>
    <w:p>
      <w:pPr>
        <w:pStyle w:val="6"/>
        <w:spacing w:line="292" w:lineRule="auto"/>
        <w:ind w:left="440"/>
        <w:rPr>
          <w:rFonts w:hint="eastAsia" w:ascii="MS UI Gothic" w:eastAsia="MS UI Gothic"/>
        </w:rPr>
      </w:pPr>
      <w:r>
        <w:t>企业未取得安全生产许可证的</w:t>
      </w:r>
      <w:r>
        <w:rPr>
          <w:rFonts w:hint="eastAsia" w:ascii="MS UI Gothic" w:eastAsia="MS UI Gothic"/>
          <w:w w:val="80"/>
        </w:rPr>
        <w:t xml:space="preserve">ꎬ </w:t>
      </w:r>
      <w:r>
        <w:t>不得从事生产活动</w:t>
      </w:r>
      <w:r>
        <w:rPr>
          <w:rFonts w:hint="eastAsia" w:ascii="MS UI Gothic" w:eastAsia="MS UI Gothic"/>
          <w:w w:val="80"/>
        </w:rPr>
        <w:t>ꎮ</w:t>
      </w:r>
    </w:p>
    <w:p>
      <w:pPr>
        <w:pStyle w:val="6"/>
        <w:spacing w:line="292" w:lineRule="auto"/>
        <w:ind w:left="440"/>
        <w:rPr>
          <w:rFonts w:hint="eastAsia" w:ascii="MS UI Gothic" w:eastAsia="MS UI Gothic"/>
        </w:rPr>
      </w:pPr>
      <w:r>
        <w:rPr>
          <w:w w:val="105"/>
        </w:rPr>
        <w:t>第三条 国务院安全生产监督管理部</w:t>
      </w:r>
      <w:r>
        <w:t>门负责中央管理的非煤矿矿山企业和危险</w:t>
      </w:r>
      <w:r>
        <w:rPr>
          <w:w w:val="105"/>
        </w:rPr>
        <w:t>化学品</w:t>
      </w:r>
      <w:r>
        <w:rPr>
          <w:rFonts w:hint="eastAsia" w:ascii="MS UI Gothic" w:eastAsia="MS UI Gothic"/>
          <w:w w:val="80"/>
        </w:rPr>
        <w:t xml:space="preserve">、 </w:t>
      </w:r>
      <w:r>
        <w:rPr>
          <w:w w:val="105"/>
        </w:rPr>
        <w:t>烟花爆竹生产企业安全生产许可证的颁发和管理</w:t>
      </w:r>
      <w:r>
        <w:rPr>
          <w:rFonts w:hint="eastAsia" w:ascii="MS UI Gothic" w:eastAsia="MS UI Gothic"/>
          <w:w w:val="80"/>
        </w:rPr>
        <w:t>ꎮ</w:t>
      </w:r>
    </w:p>
    <w:p>
      <w:pPr>
        <w:pStyle w:val="6"/>
        <w:spacing w:line="292" w:lineRule="auto"/>
        <w:ind w:left="440"/>
        <w:rPr>
          <w:rFonts w:hint="eastAsia" w:ascii="MS UI Gothic" w:eastAsia="MS UI Gothic"/>
        </w:rPr>
      </w:pPr>
      <w:r>
        <w:rPr>
          <w:spacing w:val="3"/>
          <w:w w:val="105"/>
        </w:rPr>
        <w:t>省</w:t>
      </w:r>
      <w:r>
        <w:rPr>
          <w:rFonts w:hint="eastAsia" w:ascii="MS UI Gothic" w:eastAsia="MS UI Gothic"/>
          <w:spacing w:val="12"/>
          <w:w w:val="80"/>
        </w:rPr>
        <w:t xml:space="preserve">、 </w:t>
      </w:r>
      <w:r>
        <w:rPr>
          <w:spacing w:val="3"/>
          <w:w w:val="105"/>
        </w:rPr>
        <w:t>自治区</w:t>
      </w:r>
      <w:r>
        <w:rPr>
          <w:rFonts w:hint="eastAsia" w:ascii="MS UI Gothic" w:eastAsia="MS UI Gothic"/>
          <w:spacing w:val="13"/>
          <w:w w:val="80"/>
        </w:rPr>
        <w:t xml:space="preserve">、 </w:t>
      </w:r>
      <w:r>
        <w:rPr>
          <w:spacing w:val="2"/>
          <w:w w:val="105"/>
        </w:rPr>
        <w:t>直辖市人民政府安全生</w:t>
      </w:r>
      <w:r>
        <w:rPr>
          <w:spacing w:val="2"/>
        </w:rPr>
        <w:t>产监督管理部门负责前款规定以外的非煤</w:t>
      </w:r>
      <w:r>
        <w:rPr>
          <w:spacing w:val="3"/>
          <w:w w:val="105"/>
        </w:rPr>
        <w:t>矿矿山企业和危险化学品</w:t>
      </w:r>
      <w:r>
        <w:rPr>
          <w:rFonts w:hint="eastAsia" w:ascii="MS UI Gothic" w:eastAsia="MS UI Gothic"/>
          <w:spacing w:val="-5"/>
          <w:w w:val="80"/>
        </w:rPr>
        <w:t xml:space="preserve">、 </w:t>
      </w:r>
      <w:r>
        <w:rPr>
          <w:spacing w:val="2"/>
          <w:w w:val="105"/>
        </w:rPr>
        <w:t>烟花爆竹生产</w:t>
      </w:r>
      <w:r>
        <w:rPr>
          <w:spacing w:val="3"/>
        </w:rPr>
        <w:t>企业安全生产许可证的颁发和管理</w:t>
      </w:r>
      <w:r>
        <w:rPr>
          <w:rFonts w:hint="eastAsia" w:ascii="MS UI Gothic" w:eastAsia="MS UI Gothic"/>
          <w:spacing w:val="21"/>
          <w:w w:val="80"/>
        </w:rPr>
        <w:t xml:space="preserve">ꎬ </w:t>
      </w:r>
      <w:r>
        <w:rPr>
          <w:spacing w:val="1"/>
        </w:rPr>
        <w:t>并接</w:t>
      </w:r>
      <w:r>
        <w:rPr>
          <w:spacing w:val="2"/>
        </w:rPr>
        <w:t>受国务院安全生产监督管理部门的指导和</w:t>
      </w:r>
      <w:r>
        <w:rPr>
          <w:spacing w:val="3"/>
          <w:w w:val="105"/>
        </w:rPr>
        <w:t>监督</w:t>
      </w:r>
      <w:r>
        <w:rPr>
          <w:rFonts w:hint="eastAsia" w:ascii="MS UI Gothic" w:eastAsia="MS UI Gothic"/>
          <w:w w:val="80"/>
        </w:rPr>
        <w:t>ꎮ</w:t>
      </w:r>
    </w:p>
    <w:p>
      <w:pPr>
        <w:pStyle w:val="6"/>
        <w:spacing w:line="292" w:lineRule="auto"/>
        <w:ind w:left="440"/>
        <w:rPr>
          <w:rFonts w:hint="eastAsia" w:ascii="MS UI Gothic" w:eastAsia="MS UI Gothic"/>
        </w:rPr>
      </w:pPr>
      <w:r>
        <w:rPr>
          <w:spacing w:val="2"/>
        </w:rPr>
        <w:t>国家煤矿安全监察机构负责中央管理</w:t>
      </w:r>
      <w:r>
        <w:rPr>
          <w:spacing w:val="25"/>
        </w:rPr>
        <w:t>的煤矿企业安全生产许可证的颁发和</w:t>
      </w:r>
      <w:r>
        <w:rPr>
          <w:spacing w:val="3"/>
          <w:w w:val="105"/>
        </w:rPr>
        <w:t>管理</w:t>
      </w:r>
      <w:r>
        <w:rPr>
          <w:rFonts w:hint="eastAsia" w:ascii="MS UI Gothic" w:eastAsia="MS UI Gothic"/>
          <w:w w:val="80"/>
        </w:rPr>
        <w:t>ꎮ</w:t>
      </w:r>
    </w:p>
    <w:p>
      <w:pPr>
        <w:pStyle w:val="6"/>
        <w:spacing w:line="292" w:lineRule="auto"/>
        <w:ind w:left="440"/>
        <w:rPr>
          <w:rFonts w:hint="eastAsia" w:ascii="MS UI Gothic" w:eastAsia="MS UI Gothic"/>
        </w:rPr>
      </w:pPr>
      <w:r>
        <w:rPr>
          <w:w w:val="105"/>
        </w:rPr>
        <w:t>在省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直辖市设立的煤矿安</w:t>
      </w:r>
      <w:r>
        <w:t>全监察机构负责前款规定以外的其他煤矿企业安全生产许可证的颁发和管理</w:t>
      </w:r>
      <w:r>
        <w:rPr>
          <w:rFonts w:hint="eastAsia" w:ascii="MS UI Gothic" w:eastAsia="MS UI Gothic"/>
          <w:w w:val="80"/>
        </w:rPr>
        <w:t xml:space="preserve">ꎬ </w:t>
      </w:r>
      <w:r>
        <w:t>并接受国家煤矿安全监察机构的指导和监督</w:t>
      </w:r>
      <w:r>
        <w:rPr>
          <w:rFonts w:hint="eastAsia" w:ascii="MS UI Gothic" w:eastAsia="MS UI Gothic"/>
          <w:w w:val="80"/>
        </w:rPr>
        <w:t>ꎮ</w:t>
      </w:r>
    </w:p>
    <w:p>
      <w:pPr>
        <w:pStyle w:val="6"/>
        <w:spacing w:line="292" w:lineRule="auto"/>
        <w:ind w:left="440"/>
        <w:rPr>
          <w:rFonts w:hint="eastAsia" w:ascii="MS UI Gothic" w:eastAsia="MS UI Gothic"/>
        </w:rPr>
      </w:pPr>
      <w:r>
        <w:rPr>
          <w:w w:val="105"/>
        </w:rPr>
        <w:t>第四条 国务院建设主管部门负责中</w:t>
      </w:r>
      <w:r>
        <w:t>央管理的建筑施工企业安全生产许可证的</w:t>
      </w:r>
      <w:r>
        <w:rPr>
          <w:w w:val="105"/>
        </w:rPr>
        <w:t>颁发和管理</w:t>
      </w:r>
      <w:r>
        <w:rPr>
          <w:rFonts w:hint="eastAsia" w:ascii="MS UI Gothic" w:eastAsia="MS UI Gothic"/>
          <w:w w:val="80"/>
        </w:rPr>
        <w:t>ꎮ</w:t>
      </w:r>
    </w:p>
    <w:p>
      <w:pPr>
        <w:pStyle w:val="6"/>
        <w:spacing w:line="256" w:lineRule="exact"/>
        <w:ind w:left="860" w:firstLine="0"/>
        <w:jc w:val="left"/>
      </w:pPr>
      <w:r>
        <w:t>省</w:t>
      </w:r>
      <w:r>
        <w:rPr>
          <w:rFonts w:hint="eastAsia" w:ascii="MS UI Gothic" w:eastAsia="MS UI Gothic"/>
        </w:rPr>
        <w:t xml:space="preserve">、 </w:t>
      </w:r>
      <w:r>
        <w:t>自治区</w:t>
      </w:r>
      <w:r>
        <w:rPr>
          <w:rFonts w:hint="eastAsia" w:ascii="MS UI Gothic" w:eastAsia="MS UI Gothic"/>
        </w:rPr>
        <w:t xml:space="preserve">、 </w:t>
      </w:r>
      <w:r>
        <w:t>直辖市人民政府建设主</w:t>
      </w:r>
    </w:p>
    <w:p>
      <w:pPr>
        <w:pStyle w:val="6"/>
        <w:spacing w:before="85" w:line="292" w:lineRule="auto"/>
        <w:ind w:left="383" w:right="126" w:firstLine="0"/>
        <w:rPr>
          <w:rFonts w:hint="eastAsia" w:ascii="MS UI Gothic" w:eastAsia="MS UI Gothic"/>
        </w:rPr>
      </w:pPr>
      <w:r>
        <w:br w:type="column"/>
      </w:r>
      <w:r>
        <w:t>管部门负责前款规定以外的建筑施工企业安全生产许可证的颁发和管理</w:t>
      </w:r>
      <w:r>
        <w:rPr>
          <w:rFonts w:hint="eastAsia" w:ascii="MS UI Gothic" w:eastAsia="MS UI Gothic"/>
          <w:w w:val="80"/>
        </w:rPr>
        <w:t xml:space="preserve">ꎬ </w:t>
      </w:r>
      <w:r>
        <w:t>并接受国</w:t>
      </w:r>
      <w:r>
        <w:rPr>
          <w:w w:val="105"/>
        </w:rPr>
        <w:t>务院建设主管部门的指导和监督</w:t>
      </w:r>
      <w:r>
        <w:rPr>
          <w:rFonts w:hint="eastAsia" w:ascii="MS UI Gothic" w:eastAsia="MS UI Gothic"/>
          <w:w w:val="80"/>
        </w:rPr>
        <w:t>ꎮ</w:t>
      </w:r>
    </w:p>
    <w:p>
      <w:pPr>
        <w:pStyle w:val="6"/>
        <w:spacing w:line="292" w:lineRule="auto"/>
        <w:ind w:left="383" w:right="126"/>
        <w:rPr>
          <w:rFonts w:hint="eastAsia" w:ascii="MS UI Gothic" w:eastAsia="MS UI Gothic"/>
        </w:rPr>
      </w:pPr>
      <w:r>
        <w:rPr>
          <w:w w:val="105"/>
        </w:rPr>
        <w:t>第五条 国务院国防科技工业主管部</w:t>
      </w:r>
      <w:r>
        <w:t>门负责民用爆破器材生产企业安全生产许</w:t>
      </w:r>
      <w:r>
        <w:rPr>
          <w:w w:val="105"/>
        </w:rPr>
        <w:t>可证的颁发和管理</w:t>
      </w:r>
      <w:r>
        <w:rPr>
          <w:rFonts w:hint="eastAsia" w:ascii="MS UI Gothic" w:eastAsia="MS UI Gothic"/>
          <w:w w:val="80"/>
        </w:rPr>
        <w:t>ꎮ</w:t>
      </w:r>
    </w:p>
    <w:p>
      <w:pPr>
        <w:pStyle w:val="6"/>
        <w:spacing w:line="290" w:lineRule="auto"/>
        <w:ind w:left="383" w:right="124"/>
        <w:rPr>
          <w:rFonts w:hint="eastAsia" w:ascii="MS UI Gothic" w:eastAsia="MS UI Gothic"/>
        </w:rPr>
      </w:pPr>
      <w:r>
        <w:rPr>
          <w:w w:val="105"/>
        </w:rPr>
        <w:t>第六条 企业取得安全生产许可证</w:t>
      </w:r>
      <w:r>
        <w:rPr>
          <w:rFonts w:hint="eastAsia" w:ascii="MS UI Gothic" w:eastAsia="MS UI Gothic"/>
          <w:w w:val="80"/>
        </w:rPr>
        <w:t>ꎬ</w:t>
      </w:r>
      <w:r>
        <w:rPr>
          <w:w w:val="110"/>
        </w:rPr>
        <w:t>应当具备下列安全生产条件</w:t>
      </w:r>
      <w:r>
        <w:rPr>
          <w:rFonts w:hint="eastAsia" w:ascii="MS UI Gothic" w:eastAsia="MS UI Gothic"/>
          <w:w w:val="235"/>
        </w:rPr>
        <w:t>:</w:t>
      </w:r>
    </w:p>
    <w:p>
      <w:pPr>
        <w:pStyle w:val="6"/>
        <w:spacing w:before="2" w:line="292" w:lineRule="auto"/>
        <w:ind w:left="383" w:right="124"/>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建立</w:t>
      </w:r>
      <w:r>
        <w:rPr>
          <w:rFonts w:hint="eastAsia" w:ascii="MS UI Gothic" w:eastAsia="MS UI Gothic"/>
          <w:w w:val="80"/>
        </w:rPr>
        <w:t xml:space="preserve">、 </w:t>
      </w:r>
      <w:r>
        <w:rPr>
          <w:w w:val="105"/>
        </w:rPr>
        <w:t>健全安全生产责任制</w:t>
      </w:r>
      <w:r>
        <w:rPr>
          <w:rFonts w:hint="eastAsia" w:ascii="MS UI Gothic" w:eastAsia="MS UI Gothic"/>
          <w:w w:val="80"/>
        </w:rPr>
        <w:t>ꎬ</w:t>
      </w:r>
      <w:r>
        <w:t>制定完备的安全生产规章制度和操作</w:t>
      </w:r>
      <w:r>
        <w:rPr>
          <w:w w:val="105"/>
        </w:rPr>
        <w:t>规程</w:t>
      </w:r>
      <w:r>
        <w:rPr>
          <w:rFonts w:hint="eastAsia" w:ascii="MS UI Gothic" w:eastAsia="MS UI Gothic"/>
          <w:w w:val="80"/>
        </w:rPr>
        <w:t>ꎻ</w:t>
      </w:r>
    </w:p>
    <w:p>
      <w:pPr>
        <w:pStyle w:val="6"/>
        <w:spacing w:line="256" w:lineRule="exact"/>
        <w:ind w:left="802"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安全投入符合安全生产要求</w:t>
      </w:r>
      <w:r>
        <w:rPr>
          <w:rFonts w:hint="eastAsia" w:ascii="MS UI Gothic" w:eastAsia="MS UI Gothic"/>
          <w:w w:val="80"/>
        </w:rPr>
        <w:t>ꎻ</w:t>
      </w:r>
    </w:p>
    <w:p>
      <w:pPr>
        <w:pStyle w:val="6"/>
        <w:spacing w:before="56" w:line="292"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设置安全生产管理机构</w:t>
      </w:r>
      <w:r>
        <w:rPr>
          <w:rFonts w:hint="eastAsia" w:ascii="MS UI Gothic" w:eastAsia="MS UI Gothic"/>
          <w:w w:val="80"/>
        </w:rPr>
        <w:t xml:space="preserve">ꎬ </w:t>
      </w:r>
      <w:r>
        <w:rPr>
          <w:w w:val="105"/>
        </w:rPr>
        <w:t>配备专职安全生产管理人员</w:t>
      </w:r>
      <w:r>
        <w:rPr>
          <w:rFonts w:hint="eastAsia" w:ascii="MS UI Gothic" w:eastAsia="MS UI Gothic"/>
          <w:w w:val="80"/>
        </w:rPr>
        <w:t>ꎻ</w:t>
      </w:r>
    </w:p>
    <w:p>
      <w:pPr>
        <w:pStyle w:val="6"/>
        <w:spacing w:line="292" w:lineRule="auto"/>
        <w:ind w:left="383"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主要负责人和安全生产管理人</w:t>
      </w:r>
      <w:r>
        <w:rPr>
          <w:w w:val="110"/>
        </w:rPr>
        <w:t>员经考核合格</w:t>
      </w:r>
      <w:r>
        <w:rPr>
          <w:rFonts w:hint="eastAsia" w:ascii="MS UI Gothic" w:eastAsia="MS UI Gothic"/>
          <w:w w:val="80"/>
        </w:rPr>
        <w:t>ꎻ</w:t>
      </w:r>
    </w:p>
    <w:p>
      <w:pPr>
        <w:pStyle w:val="6"/>
        <w:spacing w:line="292" w:lineRule="auto"/>
        <w:ind w:left="383"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特种作业人员经有关业务主管</w:t>
      </w:r>
      <w:r>
        <w:t>部门考核合格</w:t>
      </w:r>
      <w:r>
        <w:rPr>
          <w:rFonts w:hint="eastAsia" w:ascii="MS UI Gothic" w:eastAsia="MS UI Gothic"/>
          <w:w w:val="80"/>
        </w:rPr>
        <w:t xml:space="preserve">ꎬ </w:t>
      </w:r>
      <w:r>
        <w:t>取得特种作业操作资格</w:t>
      </w:r>
      <w:r>
        <w:rPr>
          <w:w w:val="105"/>
        </w:rPr>
        <w:t>证书</w:t>
      </w:r>
      <w:r>
        <w:rPr>
          <w:rFonts w:hint="eastAsia" w:ascii="MS UI Gothic" w:eastAsia="MS UI Gothic"/>
          <w:w w:val="80"/>
        </w:rPr>
        <w:t>ꎻ</w:t>
      </w:r>
    </w:p>
    <w:p>
      <w:pPr>
        <w:pStyle w:val="6"/>
        <w:spacing w:line="290" w:lineRule="auto"/>
        <w:ind w:left="383" w:right="126"/>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从业人员经安全生产教育和培</w:t>
      </w:r>
      <w:r>
        <w:rPr>
          <w:w w:val="110"/>
        </w:rPr>
        <w:t>训合格</w:t>
      </w:r>
      <w:r>
        <w:rPr>
          <w:rFonts w:hint="eastAsia" w:ascii="MS UI Gothic" w:eastAsia="MS UI Gothic"/>
          <w:w w:val="80"/>
        </w:rPr>
        <w:t>ꎻ</w:t>
      </w:r>
    </w:p>
    <w:p>
      <w:pPr>
        <w:pStyle w:val="6"/>
        <w:spacing w:line="292" w:lineRule="auto"/>
        <w:ind w:left="383"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依法参加工伤保险</w:t>
      </w:r>
      <w:r>
        <w:rPr>
          <w:rFonts w:hint="eastAsia" w:ascii="MS UI Gothic" w:eastAsia="MS UI Gothic"/>
          <w:w w:val="80"/>
        </w:rPr>
        <w:t xml:space="preserve">ꎬ </w:t>
      </w:r>
      <w:r>
        <w:rPr>
          <w:w w:val="105"/>
        </w:rPr>
        <w:t>为从业人员缴纳保险费</w:t>
      </w:r>
      <w:r>
        <w:rPr>
          <w:rFonts w:hint="eastAsia" w:ascii="MS UI Gothic" w:eastAsia="MS UI Gothic"/>
          <w:w w:val="80"/>
        </w:rPr>
        <w:t>ꎻ</w:t>
      </w:r>
    </w:p>
    <w:p>
      <w:pPr>
        <w:pStyle w:val="6"/>
        <w:spacing w:line="292" w:lineRule="auto"/>
        <w:ind w:left="383" w:right="124"/>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厂房</w:t>
      </w:r>
      <w:r>
        <w:rPr>
          <w:rFonts w:hint="eastAsia" w:ascii="MS UI Gothic" w:eastAsia="MS UI Gothic"/>
          <w:w w:val="80"/>
        </w:rPr>
        <w:t xml:space="preserve">、 </w:t>
      </w:r>
      <w:r>
        <w:rPr>
          <w:w w:val="105"/>
        </w:rPr>
        <w:t>作业场所和安全设施</w:t>
      </w:r>
      <w:r>
        <w:rPr>
          <w:rFonts w:hint="eastAsia" w:ascii="MS UI Gothic" w:eastAsia="MS UI Gothic"/>
          <w:w w:val="80"/>
        </w:rPr>
        <w:t>、</w:t>
      </w:r>
      <w:r>
        <w:rPr>
          <w:w w:val="105"/>
        </w:rPr>
        <w:t>设备</w:t>
      </w:r>
      <w:r>
        <w:rPr>
          <w:rFonts w:hint="eastAsia" w:ascii="MS UI Gothic" w:eastAsia="MS UI Gothic"/>
          <w:w w:val="80"/>
        </w:rPr>
        <w:t xml:space="preserve">、 </w:t>
      </w:r>
      <w:r>
        <w:rPr>
          <w:w w:val="105"/>
        </w:rPr>
        <w:t>工艺符合有关安全生产法律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标准和规程的要求</w:t>
      </w:r>
      <w:r>
        <w:rPr>
          <w:rFonts w:hint="eastAsia" w:ascii="MS UI Gothic" w:eastAsia="MS UI Gothic"/>
          <w:w w:val="80"/>
        </w:rPr>
        <w:t>ꎻ</w:t>
      </w:r>
    </w:p>
    <w:p>
      <w:pPr>
        <w:pStyle w:val="6"/>
        <w:spacing w:line="292" w:lineRule="auto"/>
        <w:ind w:left="383" w:right="126"/>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有职业危害防治措施</w:t>
      </w:r>
      <w:r>
        <w:rPr>
          <w:rFonts w:hint="eastAsia" w:ascii="MS UI Gothic" w:eastAsia="MS UI Gothic"/>
          <w:w w:val="80"/>
        </w:rPr>
        <w:t xml:space="preserve">ꎬ </w:t>
      </w:r>
      <w:r>
        <w:rPr>
          <w:w w:val="105"/>
        </w:rPr>
        <w:t>并为从</w:t>
      </w:r>
      <w:r>
        <w:t>业人员配备符合国家标准或者行业标准的</w:t>
      </w:r>
      <w:r>
        <w:rPr>
          <w:w w:val="105"/>
        </w:rPr>
        <w:t>劳动防护用品</w:t>
      </w:r>
      <w:r>
        <w:rPr>
          <w:rFonts w:hint="eastAsia" w:ascii="MS UI Gothic" w:eastAsia="MS UI Gothic"/>
          <w:w w:val="80"/>
        </w:rPr>
        <w:t>ꎻ</w:t>
      </w:r>
    </w:p>
    <w:p>
      <w:pPr>
        <w:pStyle w:val="6"/>
        <w:spacing w:line="254" w:lineRule="exact"/>
        <w:ind w:left="802" w:firstLine="0"/>
        <w:rPr>
          <w:rFonts w:hint="eastAsia" w:ascii="MS UI Gothic" w:eastAsia="MS UI Gothic"/>
        </w:rPr>
      </w:pPr>
      <w:r>
        <w:rPr>
          <w:rFonts w:hint="eastAsia" w:ascii="MS UI Gothic" w:eastAsia="MS UI Gothic"/>
          <w:w w:val="150"/>
        </w:rPr>
        <w:t xml:space="preserve">( </w:t>
      </w:r>
      <w:r>
        <w:rPr>
          <w:w w:val="110"/>
        </w:rPr>
        <w:t>十</w:t>
      </w:r>
      <w:r>
        <w:rPr>
          <w:rFonts w:hint="eastAsia" w:ascii="MS UI Gothic" w:eastAsia="MS UI Gothic"/>
          <w:w w:val="150"/>
        </w:rPr>
        <w:t xml:space="preserve">) </w:t>
      </w:r>
      <w:r>
        <w:rPr>
          <w:w w:val="110"/>
        </w:rPr>
        <w:t>依法进行安全评价</w:t>
      </w:r>
      <w:r>
        <w:rPr>
          <w:rFonts w:hint="eastAsia" w:ascii="MS UI Gothic" w:eastAsia="MS UI Gothic"/>
          <w:w w:val="80"/>
        </w:rPr>
        <w:t>ꎻ</w:t>
      </w:r>
    </w:p>
    <w:p>
      <w:pPr>
        <w:pStyle w:val="6"/>
        <w:spacing w:before="55" w:line="292" w:lineRule="auto"/>
        <w:ind w:left="383" w:right="124"/>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有重大危险源检测</w:t>
      </w:r>
      <w:r>
        <w:rPr>
          <w:rFonts w:hint="eastAsia" w:ascii="MS UI Gothic" w:eastAsia="MS UI Gothic"/>
          <w:w w:val="80"/>
        </w:rPr>
        <w:t xml:space="preserve">、 </w:t>
      </w:r>
      <w:r>
        <w:rPr>
          <w:w w:val="105"/>
        </w:rPr>
        <w:t>评估</w:t>
      </w:r>
      <w:r>
        <w:rPr>
          <w:rFonts w:hint="eastAsia" w:ascii="MS UI Gothic" w:eastAsia="MS UI Gothic"/>
          <w:w w:val="80"/>
        </w:rPr>
        <w:t>、</w:t>
      </w:r>
      <w:r>
        <w:rPr>
          <w:w w:val="105"/>
        </w:rPr>
        <w:t>监控措施和应急预案</w:t>
      </w:r>
      <w:r>
        <w:rPr>
          <w:rFonts w:hint="eastAsia" w:ascii="MS UI Gothic" w:eastAsia="MS UI Gothic"/>
          <w:w w:val="80"/>
        </w:rPr>
        <w:t>ꎻ</w:t>
      </w:r>
    </w:p>
    <w:p>
      <w:pPr>
        <w:spacing w:after="0" w:line="292"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６６</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46" o:spid="_x0000_s1246" o:spt="203" style="height:2.15pt;width:398.25pt;" coordsize="7965,43">
            <o:lock v:ext="edit"/>
            <v:line id="_x0000_s1247" o:spid="_x0000_s1247" o:spt="20" style="position:absolute;left:0;top:39;height:0;width:7965;" stroked="t" coordsize="21600,21600">
              <v:path arrowok="t"/>
              <v:fill focussize="0,0"/>
              <v:stroke weight="0.388031496062992pt" color="#231F20"/>
              <v:imagedata o:title=""/>
              <o:lock v:ext="edit"/>
            </v:line>
            <v:line id="_x0000_s1248" o:spid="_x0000_s124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rFonts w:hint="eastAsia" w:ascii="MS UI Gothic" w:eastAsia="MS UI Gothic"/>
          <w:w w:val="150"/>
        </w:rPr>
        <w:t xml:space="preserve">( </w:t>
      </w:r>
      <w:r>
        <w:rPr>
          <w:w w:val="105"/>
        </w:rPr>
        <w:t>十二</w:t>
      </w:r>
      <w:r>
        <w:rPr>
          <w:rFonts w:hint="eastAsia" w:ascii="MS UI Gothic" w:eastAsia="MS UI Gothic"/>
          <w:w w:val="150"/>
        </w:rPr>
        <w:t xml:space="preserve">) </w:t>
      </w:r>
      <w:r>
        <w:rPr>
          <w:w w:val="105"/>
        </w:rPr>
        <w:t>有生产安全事故应急救援预案</w:t>
      </w:r>
      <w:r>
        <w:rPr>
          <w:rFonts w:hint="eastAsia" w:ascii="MS UI Gothic" w:eastAsia="MS UI Gothic"/>
          <w:w w:val="80"/>
        </w:rPr>
        <w:t xml:space="preserve">、 </w:t>
      </w:r>
      <w:r>
        <w:rPr>
          <w:w w:val="105"/>
        </w:rPr>
        <w:t>应急救援组织或者应急救援人员</w:t>
      </w:r>
      <w:r>
        <w:rPr>
          <w:rFonts w:hint="eastAsia" w:ascii="MS UI Gothic" w:eastAsia="MS UI Gothic"/>
          <w:w w:val="80"/>
        </w:rPr>
        <w:t xml:space="preserve">ꎬ </w:t>
      </w:r>
      <w:r>
        <w:rPr>
          <w:w w:val="105"/>
        </w:rPr>
        <w:t>配备必要的应急救援器材</w:t>
      </w:r>
      <w:r>
        <w:rPr>
          <w:rFonts w:hint="eastAsia" w:ascii="MS UI Gothic" w:eastAsia="MS UI Gothic"/>
          <w:w w:val="80"/>
        </w:rPr>
        <w:t xml:space="preserve">、 </w:t>
      </w:r>
      <w:r>
        <w:rPr>
          <w:w w:val="105"/>
        </w:rPr>
        <w:t>设备</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8"/>
          <w:w w:val="110"/>
        </w:rPr>
        <w:t>十三</w:t>
      </w:r>
      <w:r>
        <w:rPr>
          <w:rFonts w:hint="eastAsia" w:ascii="MS UI Gothic" w:eastAsia="MS UI Gothic"/>
          <w:spacing w:val="17"/>
          <w:w w:val="150"/>
        </w:rPr>
        <w:t xml:space="preserve">) </w:t>
      </w:r>
      <w:r>
        <w:rPr>
          <w:spacing w:val="-22"/>
          <w:w w:val="110"/>
        </w:rPr>
        <w:t>法 律</w:t>
      </w:r>
      <w:r>
        <w:rPr>
          <w:rFonts w:hint="eastAsia" w:ascii="MS UI Gothic" w:eastAsia="MS UI Gothic"/>
          <w:spacing w:val="6"/>
          <w:w w:val="80"/>
        </w:rPr>
        <w:t xml:space="preserve">、 </w:t>
      </w:r>
      <w:r>
        <w:rPr>
          <w:spacing w:val="-34"/>
          <w:w w:val="110"/>
        </w:rPr>
        <w:t>法 规 规 定 的 其 他</w:t>
      </w:r>
      <w:r>
        <w:rPr>
          <w:spacing w:val="3"/>
          <w:w w:val="110"/>
        </w:rPr>
        <w:t>条件</w:t>
      </w:r>
      <w:r>
        <w:rPr>
          <w:rFonts w:hint="eastAsia" w:ascii="MS UI Gothic" w:eastAsia="MS UI Gothic"/>
          <w:w w:val="80"/>
        </w:rPr>
        <w:t>ꎮ</w:t>
      </w:r>
    </w:p>
    <w:p>
      <w:pPr>
        <w:pStyle w:val="6"/>
        <w:spacing w:line="295" w:lineRule="auto"/>
        <w:ind w:right="39"/>
        <w:rPr>
          <w:rFonts w:hint="eastAsia" w:ascii="MS UI Gothic" w:eastAsia="MS UI Gothic"/>
        </w:rPr>
      </w:pPr>
      <w:r>
        <w:t>第七条 企业进行生产前</w:t>
      </w:r>
      <w:r>
        <w:rPr>
          <w:rFonts w:hint="eastAsia" w:ascii="MS UI Gothic" w:eastAsia="MS UI Gothic"/>
          <w:w w:val="85"/>
        </w:rPr>
        <w:t xml:space="preserve">ꎬ </w:t>
      </w:r>
      <w:r>
        <w:t>应当依照本条例的规定向安全生产许可证颁发管理机关申请领取安全生产许可证</w:t>
      </w:r>
      <w:r>
        <w:rPr>
          <w:rFonts w:hint="eastAsia" w:ascii="MS UI Gothic" w:eastAsia="MS UI Gothic"/>
          <w:w w:val="85"/>
        </w:rPr>
        <w:t xml:space="preserve">ꎬ </w:t>
      </w:r>
      <w:r>
        <w:t>并提供本条例第六条规定的相关文件</w:t>
      </w:r>
      <w:r>
        <w:rPr>
          <w:rFonts w:hint="eastAsia" w:ascii="MS UI Gothic" w:eastAsia="MS UI Gothic"/>
        </w:rPr>
        <w:t xml:space="preserve">、 </w:t>
      </w:r>
      <w:r>
        <w:t>资料</w:t>
      </w:r>
      <w:r>
        <w:rPr>
          <w:rFonts w:hint="eastAsia" w:ascii="MS UI Gothic" w:eastAsia="MS UI Gothic"/>
          <w:w w:val="85"/>
        </w:rPr>
        <w:t xml:space="preserve">ꎮ  </w:t>
      </w:r>
      <w:r>
        <w:t xml:space="preserve">安全生产许可证颁发管理机关应当自收到申请之日起 </w:t>
      </w:r>
      <w:r>
        <w:rPr>
          <w:rFonts w:hint="eastAsia" w:ascii="MS UI Gothic" w:eastAsia="MS UI Gothic"/>
          <w:w w:val="85"/>
        </w:rPr>
        <w:t xml:space="preserve">４５ </w:t>
      </w:r>
      <w:r>
        <w:t>日内审查完毕</w:t>
      </w:r>
      <w:r>
        <w:rPr>
          <w:rFonts w:hint="eastAsia" w:ascii="MS UI Gothic" w:eastAsia="MS UI Gothic"/>
          <w:w w:val="85"/>
        </w:rPr>
        <w:t xml:space="preserve">ꎬ </w:t>
      </w:r>
      <w:r>
        <w:t>经审查符合本条例规定的安全生产条件的</w:t>
      </w:r>
      <w:r>
        <w:rPr>
          <w:rFonts w:hint="eastAsia" w:ascii="MS UI Gothic" w:eastAsia="MS UI Gothic"/>
          <w:w w:val="85"/>
        </w:rPr>
        <w:t xml:space="preserve">ꎬ </w:t>
      </w:r>
      <w:r>
        <w:t>颁发安全生产许可证</w:t>
      </w:r>
      <w:r>
        <w:rPr>
          <w:rFonts w:hint="eastAsia" w:ascii="MS UI Gothic" w:eastAsia="MS UI Gothic"/>
          <w:w w:val="85"/>
        </w:rPr>
        <w:t xml:space="preserve">ꎻ </w:t>
      </w:r>
      <w:r>
        <w:t>不符合本条例规定的安全生产条件的</w:t>
      </w:r>
      <w:r>
        <w:rPr>
          <w:rFonts w:hint="eastAsia" w:ascii="MS UI Gothic" w:eastAsia="MS UI Gothic"/>
          <w:w w:val="85"/>
        </w:rPr>
        <w:t xml:space="preserve">ꎬ </w:t>
      </w:r>
      <w:r>
        <w:t>不予颁发安全生产许可证</w:t>
      </w:r>
      <w:r>
        <w:rPr>
          <w:rFonts w:hint="eastAsia" w:ascii="MS UI Gothic" w:eastAsia="MS UI Gothic"/>
          <w:w w:val="85"/>
        </w:rPr>
        <w:t xml:space="preserve">ꎬ </w:t>
      </w:r>
      <w:r>
        <w:t>书面通知企业并说明理由</w:t>
      </w:r>
      <w:r>
        <w:rPr>
          <w:rFonts w:hint="eastAsia" w:ascii="MS UI Gothic" w:eastAsia="MS UI Gothic"/>
          <w:w w:val="85"/>
        </w:rPr>
        <w:t>ꎮ</w:t>
      </w:r>
    </w:p>
    <w:p>
      <w:pPr>
        <w:pStyle w:val="6"/>
        <w:spacing w:line="295" w:lineRule="auto"/>
        <w:ind w:right="38"/>
        <w:rPr>
          <w:rFonts w:hint="eastAsia" w:ascii="MS UI Gothic" w:eastAsia="MS UI Gothic"/>
        </w:rPr>
      </w:pPr>
      <w:r>
        <w:rPr>
          <w:spacing w:val="17"/>
          <w:w w:val="105"/>
        </w:rPr>
        <w:t xml:space="preserve">煤矿企业应当以矿 </w:t>
      </w:r>
      <w:r>
        <w:rPr>
          <w:rFonts w:hint="eastAsia" w:ascii="MS UI Gothic" w:eastAsia="MS UI Gothic"/>
          <w:spacing w:val="-32"/>
          <w:w w:val="150"/>
        </w:rPr>
        <w:t xml:space="preserve">( </w:t>
      </w:r>
      <w:r>
        <w:rPr>
          <w:spacing w:val="21"/>
          <w:w w:val="105"/>
        </w:rPr>
        <w:t>井</w:t>
      </w:r>
      <w:r>
        <w:rPr>
          <w:rFonts w:hint="eastAsia" w:ascii="MS UI Gothic" w:eastAsia="MS UI Gothic"/>
          <w:spacing w:val="7"/>
          <w:w w:val="150"/>
        </w:rPr>
        <w:t xml:space="preserve">) </w:t>
      </w:r>
      <w:r>
        <w:rPr>
          <w:spacing w:val="21"/>
          <w:w w:val="105"/>
        </w:rPr>
        <w:t>为单位</w:t>
      </w:r>
      <w:r>
        <w:rPr>
          <w:rFonts w:hint="eastAsia" w:ascii="MS UI Gothic" w:eastAsia="MS UI Gothic"/>
          <w:spacing w:val="-13"/>
          <w:w w:val="80"/>
        </w:rPr>
        <w:t>ꎬ</w:t>
      </w:r>
      <w:r>
        <w:rPr>
          <w:spacing w:val="3"/>
        </w:rPr>
        <w:t>在申请领取煤炭生产许可证前</w:t>
      </w:r>
      <w:r>
        <w:rPr>
          <w:rFonts w:hint="eastAsia" w:ascii="MS UI Gothic" w:eastAsia="MS UI Gothic"/>
          <w:spacing w:val="21"/>
          <w:w w:val="80"/>
        </w:rPr>
        <w:t xml:space="preserve">ꎬ </w:t>
      </w:r>
      <w:r>
        <w:rPr>
          <w:spacing w:val="2"/>
        </w:rPr>
        <w:t>依照本条</w:t>
      </w:r>
      <w:r>
        <w:rPr>
          <w:spacing w:val="3"/>
          <w:w w:val="105"/>
        </w:rPr>
        <w:t>例的规定取得安全生产许可证</w:t>
      </w:r>
      <w:r>
        <w:rPr>
          <w:rFonts w:hint="eastAsia" w:ascii="MS UI Gothic" w:eastAsia="MS UI Gothic"/>
          <w:w w:val="80"/>
        </w:rPr>
        <w:t>ꎮ</w:t>
      </w:r>
    </w:p>
    <w:p>
      <w:pPr>
        <w:pStyle w:val="6"/>
        <w:tabs>
          <w:tab w:val="left" w:pos="1382"/>
        </w:tabs>
        <w:spacing w:line="254" w:lineRule="exact"/>
        <w:ind w:left="543" w:firstLine="0"/>
        <w:jc w:val="left"/>
      </w:pPr>
      <w:r>
        <w:rPr>
          <w:spacing w:val="3"/>
          <w:w w:val="105"/>
        </w:rPr>
        <w:t>第八</w:t>
      </w:r>
      <w:r>
        <w:rPr>
          <w:w w:val="105"/>
        </w:rPr>
        <w:t>条</w:t>
      </w:r>
      <w:r>
        <w:rPr>
          <w:w w:val="105"/>
        </w:rPr>
        <w:tab/>
      </w:r>
      <w:r>
        <w:rPr>
          <w:spacing w:val="3"/>
        </w:rPr>
        <w:t>安全生产许可证由国务院</w:t>
      </w:r>
      <w:r>
        <w:t>安</w:t>
      </w:r>
    </w:p>
    <w:p>
      <w:pPr>
        <w:pStyle w:val="6"/>
        <w:spacing w:before="46" w:line="240" w:lineRule="exact"/>
        <w:ind w:firstLine="0"/>
        <w:jc w:val="left"/>
        <w:rPr>
          <w:rFonts w:hint="eastAsia" w:ascii="MS UI Gothic" w:eastAsia="MS UI Gothic"/>
        </w:rPr>
      </w:pPr>
      <w:r>
        <w:t>全生产监督管理部门规定统一的式样</w:t>
      </w:r>
      <w:r>
        <w:rPr>
          <w:rFonts w:hint="eastAsia" w:ascii="MS UI Gothic" w:eastAsia="MS UI Gothic"/>
          <w:w w:val="80"/>
        </w:rPr>
        <w:t>ꎮ</w:t>
      </w:r>
    </w:p>
    <w:p>
      <w:pPr>
        <w:pStyle w:val="6"/>
        <w:spacing w:before="123"/>
        <w:ind w:firstLine="0"/>
        <w:jc w:val="left"/>
        <w:rPr>
          <w:rFonts w:hint="eastAsia" w:ascii="MS UI Gothic" w:eastAsia="MS UI Gothic"/>
        </w:rPr>
      </w:pPr>
      <w:r>
        <w:br w:type="column"/>
      </w:r>
      <w:r>
        <w:t>全生产许可证颁发和管理情况</w:t>
      </w:r>
      <w:r>
        <w:rPr>
          <w:rFonts w:hint="eastAsia" w:ascii="MS UI Gothic" w:eastAsia="MS UI Gothic"/>
          <w:w w:val="80"/>
        </w:rPr>
        <w:t>ꎮ</w:t>
      </w:r>
    </w:p>
    <w:p>
      <w:pPr>
        <w:pStyle w:val="6"/>
        <w:spacing w:before="58" w:line="295" w:lineRule="auto"/>
        <w:ind w:right="442"/>
        <w:rPr>
          <w:rFonts w:hint="eastAsia" w:ascii="MS UI Gothic" w:eastAsia="MS UI Gothic"/>
        </w:rPr>
      </w:pPr>
      <w:r>
        <w:rPr>
          <w:w w:val="105"/>
        </w:rPr>
        <w:t>第十二条 国务院安全生产监督管理部门和省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直辖市人民政府安全生产监督管理部门对建筑施工企业</w:t>
      </w:r>
      <w:r>
        <w:rPr>
          <w:rFonts w:hint="eastAsia" w:ascii="MS UI Gothic" w:eastAsia="MS UI Gothic"/>
          <w:w w:val="80"/>
        </w:rPr>
        <w:t xml:space="preserve">、 </w:t>
      </w:r>
      <w:r>
        <w:rPr>
          <w:w w:val="105"/>
        </w:rPr>
        <w:t>民用爆破器材生产企业</w:t>
      </w:r>
      <w:r>
        <w:rPr>
          <w:rFonts w:hint="eastAsia" w:ascii="MS UI Gothic" w:eastAsia="MS UI Gothic"/>
          <w:w w:val="80"/>
        </w:rPr>
        <w:t xml:space="preserve">、 </w:t>
      </w:r>
      <w:r>
        <w:rPr>
          <w:w w:val="105"/>
        </w:rPr>
        <w:t>煤矿企业取得安全生产许可证的情况进行监督</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第十三条 企业不得转让</w:t>
      </w:r>
      <w:r>
        <w:rPr>
          <w:rFonts w:hint="eastAsia" w:ascii="MS UI Gothic" w:eastAsia="MS UI Gothic"/>
          <w:w w:val="80"/>
        </w:rPr>
        <w:t xml:space="preserve">、 </w:t>
      </w:r>
      <w:r>
        <w:rPr>
          <w:w w:val="105"/>
        </w:rPr>
        <w:t>冒用安全</w:t>
      </w:r>
      <w:r>
        <w:t>生产许可证或者使用伪造的安全生产许</w:t>
      </w:r>
      <w:r>
        <w:rPr>
          <w:w w:val="105"/>
        </w:rPr>
        <w:t>可证</w:t>
      </w:r>
      <w:r>
        <w:rPr>
          <w:rFonts w:hint="eastAsia" w:ascii="MS UI Gothic" w:eastAsia="MS UI Gothic"/>
          <w:w w:val="80"/>
        </w:rPr>
        <w:t>ꎮ</w:t>
      </w:r>
    </w:p>
    <w:p>
      <w:pPr>
        <w:pStyle w:val="6"/>
        <w:spacing w:line="295" w:lineRule="auto"/>
        <w:ind w:right="442"/>
        <w:rPr>
          <w:rFonts w:hint="eastAsia" w:ascii="MS UI Gothic" w:eastAsia="MS UI Gothic"/>
        </w:rPr>
      </w:pPr>
      <w:r>
        <w:t>第十四条 企业取得安全生产许可证后</w:t>
      </w:r>
      <w:r>
        <w:rPr>
          <w:rFonts w:hint="eastAsia" w:ascii="MS UI Gothic" w:eastAsia="MS UI Gothic"/>
          <w:w w:val="80"/>
        </w:rPr>
        <w:t xml:space="preserve">ꎬ </w:t>
      </w:r>
      <w:r>
        <w:t>不得降低安全生产条件</w:t>
      </w:r>
      <w:r>
        <w:rPr>
          <w:rFonts w:hint="eastAsia" w:ascii="MS UI Gothic" w:eastAsia="MS UI Gothic"/>
          <w:w w:val="80"/>
        </w:rPr>
        <w:t xml:space="preserve">ꎬ </w:t>
      </w:r>
      <w:r>
        <w:t>并应当加强日常安全生产管理</w:t>
      </w:r>
      <w:r>
        <w:rPr>
          <w:rFonts w:hint="eastAsia" w:ascii="MS UI Gothic" w:eastAsia="MS UI Gothic"/>
          <w:w w:val="80"/>
        </w:rPr>
        <w:t xml:space="preserve">ꎬ </w:t>
      </w:r>
      <w:r>
        <w:t>接受安全生产许可证颁发管理机关的监督检查</w:t>
      </w:r>
      <w:r>
        <w:rPr>
          <w:rFonts w:hint="eastAsia" w:ascii="MS UI Gothic" w:eastAsia="MS UI Gothic"/>
          <w:w w:val="80"/>
        </w:rPr>
        <w:t>ꎮ</w:t>
      </w:r>
    </w:p>
    <w:p>
      <w:pPr>
        <w:pStyle w:val="6"/>
        <w:spacing w:line="295" w:lineRule="auto"/>
        <w:ind w:right="442"/>
        <w:rPr>
          <w:rFonts w:hint="eastAsia" w:ascii="MS UI Gothic" w:eastAsia="MS UI Gothic"/>
        </w:rPr>
      </w:pPr>
      <w:r>
        <w:t>安全生产许可证颁发管理机关应当加强对取得安全生产许可证的企业的监督检查</w:t>
      </w:r>
      <w:r>
        <w:rPr>
          <w:rFonts w:hint="eastAsia" w:ascii="MS UI Gothic" w:eastAsia="MS UI Gothic"/>
          <w:w w:val="80"/>
        </w:rPr>
        <w:t xml:space="preserve">ꎬ </w:t>
      </w:r>
      <w:r>
        <w:t>发现其不再具备本条例规定的安全生产条件的</w:t>
      </w:r>
      <w:r>
        <w:rPr>
          <w:rFonts w:hint="eastAsia" w:ascii="MS UI Gothic" w:eastAsia="MS UI Gothic"/>
          <w:w w:val="80"/>
        </w:rPr>
        <w:t xml:space="preserve">ꎬ </w:t>
      </w:r>
      <w:r>
        <w:t>应当暂扣或者吊销安全生产许</w:t>
      </w:r>
      <w:r>
        <w:rPr>
          <w:w w:val="105"/>
        </w:rPr>
        <w:t>可证</w:t>
      </w:r>
      <w:r>
        <w:rPr>
          <w:rFonts w:hint="eastAsia" w:ascii="MS UI Gothic" w:eastAsia="MS UI Gothic"/>
          <w:w w:val="80"/>
        </w:rPr>
        <w:t>ꎮ</w:t>
      </w:r>
    </w:p>
    <w:p>
      <w:pPr>
        <w:pStyle w:val="6"/>
        <w:tabs>
          <w:tab w:val="left" w:pos="1591"/>
        </w:tabs>
        <w:spacing w:line="252" w:lineRule="exact"/>
        <w:ind w:left="543" w:firstLine="0"/>
        <w:jc w:val="left"/>
      </w:pPr>
      <w:r>
        <w:rPr>
          <w:spacing w:val="3"/>
          <w:w w:val="105"/>
        </w:rPr>
        <w:t>第十五</w:t>
      </w:r>
      <w:r>
        <w:rPr>
          <w:w w:val="105"/>
        </w:rPr>
        <w:t>条</w:t>
      </w:r>
      <w:r>
        <w:rPr>
          <w:w w:val="105"/>
        </w:rPr>
        <w:tab/>
      </w:r>
      <w:r>
        <w:rPr>
          <w:spacing w:val="3"/>
        </w:rPr>
        <w:t>安全生产许可证颁发管</w:t>
      </w:r>
      <w:r>
        <w:t>理</w:t>
      </w:r>
    </w:p>
    <w:p>
      <w:pPr>
        <w:pStyle w:val="6"/>
        <w:spacing w:before="49" w:line="240" w:lineRule="exact"/>
        <w:ind w:firstLine="0"/>
        <w:jc w:val="left"/>
      </w:pPr>
      <w:r>
        <w:rPr>
          <w:spacing w:val="3"/>
        </w:rPr>
        <w:t>机关工作人员在安全生产许可证颁发</w:t>
      </w:r>
      <w:r>
        <w:rPr>
          <w:rFonts w:hint="eastAsia" w:ascii="MS UI Gothic" w:eastAsia="MS UI Gothic"/>
          <w:spacing w:val="17"/>
        </w:rPr>
        <w:t xml:space="preserve">、  </w:t>
      </w:r>
      <w:r>
        <w:t>管</w:t>
      </w:r>
    </w:p>
    <w:p>
      <w:pPr>
        <w:spacing w:after="0" w:line="240" w:lineRule="exact"/>
        <w:jc w:val="left"/>
        <w:sectPr>
          <w:type w:val="continuous"/>
          <w:pgSz w:w="10500" w:h="14750"/>
          <w:pgMar w:top="1400" w:right="980" w:bottom="280" w:left="980" w:header="720" w:footer="720" w:gutter="0"/>
          <w:cols w:equalWidth="0" w:num="2">
            <w:col w:w="3936" w:space="256"/>
            <w:col w:w="4348"/>
          </w:cols>
        </w:sectPr>
      </w:pPr>
    </w:p>
    <w:p>
      <w:pPr>
        <w:pStyle w:val="6"/>
        <w:tabs>
          <w:tab w:val="left" w:pos="1382"/>
        </w:tabs>
        <w:spacing w:before="74"/>
        <w:ind w:left="543" w:firstLine="0"/>
        <w:jc w:val="left"/>
      </w:pPr>
      <w:r>
        <w:rPr>
          <w:spacing w:val="3"/>
          <w:w w:val="105"/>
        </w:rPr>
        <w:t>第九</w:t>
      </w:r>
      <w:r>
        <w:rPr>
          <w:w w:val="105"/>
        </w:rPr>
        <w:t>条</w:t>
      </w:r>
      <w:r>
        <w:rPr>
          <w:w w:val="105"/>
        </w:rPr>
        <w:tab/>
      </w:r>
      <w:r>
        <w:rPr>
          <w:spacing w:val="3"/>
        </w:rPr>
        <w:t>安全生产许可证的有效期</w:t>
      </w:r>
      <w:r>
        <w:t>为</w:t>
      </w:r>
    </w:p>
    <w:p>
      <w:pPr>
        <w:pStyle w:val="6"/>
        <w:spacing w:before="58" w:line="240" w:lineRule="exact"/>
        <w:ind w:left="118" w:firstLine="0"/>
        <w:jc w:val="left"/>
      </w:pPr>
      <w:r>
        <w:rPr>
          <w:rFonts w:hint="eastAsia" w:ascii="MS UI Gothic" w:eastAsia="MS UI Gothic"/>
          <w:spacing w:val="9"/>
          <w:w w:val="80"/>
        </w:rPr>
        <w:t xml:space="preserve">３ </w:t>
      </w:r>
      <w:r>
        <w:rPr>
          <w:spacing w:val="3"/>
        </w:rPr>
        <w:t>年</w:t>
      </w:r>
      <w:r>
        <w:rPr>
          <w:rFonts w:hint="eastAsia" w:ascii="MS UI Gothic" w:eastAsia="MS UI Gothic"/>
          <w:spacing w:val="8"/>
          <w:w w:val="80"/>
        </w:rPr>
        <w:t xml:space="preserve">ꎮ  </w:t>
      </w:r>
      <w:r>
        <w:rPr>
          <w:spacing w:val="3"/>
        </w:rPr>
        <w:t>安全生产许可证有效期满需要延期</w:t>
      </w:r>
    </w:p>
    <w:p>
      <w:pPr>
        <w:pStyle w:val="6"/>
        <w:spacing w:before="20" w:line="310" w:lineRule="atLeast"/>
        <w:ind w:left="118" w:right="442" w:firstLine="0"/>
        <w:jc w:val="left"/>
        <w:rPr>
          <w:rFonts w:hint="eastAsia" w:ascii="MS UI Gothic" w:eastAsia="MS UI Gothic"/>
        </w:rPr>
      </w:pPr>
      <w:r>
        <w:br w:type="column"/>
      </w:r>
      <w:r>
        <w:t>理和监督检查工作中</w:t>
      </w:r>
      <w:r>
        <w:rPr>
          <w:rFonts w:hint="eastAsia" w:ascii="MS UI Gothic" w:eastAsia="MS UI Gothic"/>
          <w:w w:val="80"/>
        </w:rPr>
        <w:t xml:space="preserve">ꎬ </w:t>
      </w:r>
      <w:r>
        <w:t>不得索取或者接受企业的财物</w:t>
      </w:r>
      <w:r>
        <w:rPr>
          <w:rFonts w:hint="eastAsia" w:ascii="MS UI Gothic" w:eastAsia="MS UI Gothic"/>
          <w:w w:val="80"/>
        </w:rPr>
        <w:t xml:space="preserve">ꎬ </w:t>
      </w:r>
      <w:r>
        <w:t>不得谋取其他利益</w:t>
      </w:r>
      <w:r>
        <w:rPr>
          <w:rFonts w:hint="eastAsia" w:ascii="MS UI Gothic" w:eastAsia="MS UI Gothic"/>
          <w:w w:val="80"/>
        </w:rPr>
        <w:t>ꎮ</w:t>
      </w:r>
    </w:p>
    <w:p>
      <w:pPr>
        <w:spacing w:after="0" w:line="310" w:lineRule="atLeast"/>
        <w:jc w:val="left"/>
        <w:rPr>
          <w:rFonts w:hint="eastAsia" w:ascii="MS UI Gothic" w:eastAsia="MS UI Gothic"/>
        </w:rPr>
        <w:sectPr>
          <w:type w:val="continuous"/>
          <w:pgSz w:w="10500" w:h="14750"/>
          <w:pgMar w:top="1400" w:right="980" w:bottom="280" w:left="980" w:header="720" w:footer="720" w:gutter="0"/>
          <w:cols w:equalWidth="0" w:num="2">
            <w:col w:w="3934" w:space="264"/>
            <w:col w:w="4342"/>
          </w:cols>
        </w:sectPr>
      </w:pPr>
    </w:p>
    <w:p>
      <w:pPr>
        <w:pStyle w:val="6"/>
        <w:spacing w:before="63" w:line="295" w:lineRule="auto"/>
        <w:ind w:right="38" w:firstLine="0"/>
        <w:rPr>
          <w:rFonts w:hint="eastAsia" w:ascii="MS UI Gothic" w:eastAsia="MS UI Gothic"/>
        </w:rPr>
      </w:pPr>
      <w:r>
        <w:t>的</w:t>
      </w:r>
      <w:r>
        <w:rPr>
          <w:rFonts w:hint="eastAsia" w:ascii="MS UI Gothic" w:eastAsia="MS UI Gothic"/>
          <w:w w:val="80"/>
        </w:rPr>
        <w:t xml:space="preserve">ꎬ </w:t>
      </w:r>
      <w:r>
        <w:t xml:space="preserve">企业应当于期满前 </w:t>
      </w:r>
      <w:r>
        <w:rPr>
          <w:rFonts w:hint="eastAsia" w:ascii="MS UI Gothic" w:eastAsia="MS UI Gothic"/>
          <w:w w:val="80"/>
        </w:rPr>
        <w:t xml:space="preserve">３ </w:t>
      </w:r>
      <w:r>
        <w:t>个月向原安全生产许可证颁发管理机关办理延期手续</w:t>
      </w:r>
      <w:r>
        <w:rPr>
          <w:rFonts w:hint="eastAsia" w:ascii="MS UI Gothic" w:eastAsia="MS UI Gothic"/>
          <w:w w:val="80"/>
        </w:rPr>
        <w:t>ꎮ</w:t>
      </w:r>
    </w:p>
    <w:p>
      <w:pPr>
        <w:pStyle w:val="6"/>
        <w:spacing w:line="295" w:lineRule="auto"/>
        <w:ind w:right="38"/>
        <w:rPr>
          <w:rFonts w:hint="eastAsia" w:ascii="MS UI Gothic" w:eastAsia="MS UI Gothic"/>
        </w:rPr>
      </w:pPr>
      <w:r>
        <w:t>企业在安全生产许可证有效期内</w:t>
      </w:r>
      <w:r>
        <w:rPr>
          <w:rFonts w:hint="eastAsia" w:ascii="MS UI Gothic" w:eastAsia="MS UI Gothic"/>
          <w:w w:val="80"/>
        </w:rPr>
        <w:t xml:space="preserve">ꎬ </w:t>
      </w:r>
      <w:r>
        <w:t>严格遵守有关安全生产的法律法规</w:t>
      </w:r>
      <w:r>
        <w:rPr>
          <w:rFonts w:hint="eastAsia" w:ascii="MS UI Gothic" w:eastAsia="MS UI Gothic"/>
          <w:w w:val="80"/>
        </w:rPr>
        <w:t xml:space="preserve">ꎬ </w:t>
      </w:r>
      <w:r>
        <w:t>未发生死亡事故的</w:t>
      </w:r>
      <w:r>
        <w:rPr>
          <w:rFonts w:hint="eastAsia" w:ascii="MS UI Gothic" w:eastAsia="MS UI Gothic"/>
          <w:w w:val="80"/>
        </w:rPr>
        <w:t xml:space="preserve">ꎬ </w:t>
      </w:r>
      <w:r>
        <w:t>安全生产许可证有效期届满时</w:t>
      </w:r>
      <w:r>
        <w:rPr>
          <w:rFonts w:hint="eastAsia" w:ascii="MS UI Gothic" w:eastAsia="MS UI Gothic"/>
          <w:w w:val="80"/>
        </w:rPr>
        <w:t xml:space="preserve">ꎬ </w:t>
      </w:r>
      <w:r>
        <w:t>经原安全生产许可证颁发管理机关同意</w:t>
      </w:r>
      <w:r>
        <w:rPr>
          <w:rFonts w:hint="eastAsia" w:ascii="MS UI Gothic" w:eastAsia="MS UI Gothic"/>
          <w:w w:val="80"/>
        </w:rPr>
        <w:t xml:space="preserve">ꎬ </w:t>
      </w:r>
      <w:r>
        <w:t>不再审查</w:t>
      </w:r>
      <w:r>
        <w:rPr>
          <w:rFonts w:hint="eastAsia" w:ascii="MS UI Gothic" w:eastAsia="MS UI Gothic"/>
          <w:w w:val="80"/>
        </w:rPr>
        <w:t xml:space="preserve">ꎬ </w:t>
      </w:r>
      <w:r>
        <w:t xml:space="preserve">安全生产许可证有效期延期 </w:t>
      </w:r>
      <w:r>
        <w:rPr>
          <w:rFonts w:hint="eastAsia" w:ascii="MS UI Gothic" w:eastAsia="MS UI Gothic"/>
          <w:w w:val="80"/>
        </w:rPr>
        <w:t xml:space="preserve">３ </w:t>
      </w:r>
      <w:r>
        <w:t>年</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第十条 安全生产许可证颁发管理机关应当建立</w:t>
      </w:r>
      <w:r>
        <w:rPr>
          <w:rFonts w:hint="eastAsia" w:ascii="MS UI Gothic" w:eastAsia="MS UI Gothic"/>
          <w:w w:val="80"/>
        </w:rPr>
        <w:t xml:space="preserve">、 </w:t>
      </w:r>
      <w:r>
        <w:rPr>
          <w:w w:val="105"/>
        </w:rPr>
        <w:t>健全安全生产许可证档案管</w:t>
      </w:r>
      <w:r>
        <w:t>理制度</w:t>
      </w:r>
      <w:r>
        <w:rPr>
          <w:rFonts w:hint="eastAsia" w:ascii="MS UI Gothic" w:eastAsia="MS UI Gothic"/>
          <w:w w:val="80"/>
        </w:rPr>
        <w:t xml:space="preserve">ꎬ </w:t>
      </w:r>
      <w:r>
        <w:t>并定期向社会公布企业取得安全</w:t>
      </w:r>
      <w:r>
        <w:rPr>
          <w:w w:val="105"/>
        </w:rPr>
        <w:t>生产许可证的情况</w:t>
      </w:r>
      <w:r>
        <w:rPr>
          <w:rFonts w:hint="eastAsia" w:ascii="MS UI Gothic" w:eastAsia="MS UI Gothic"/>
          <w:w w:val="80"/>
        </w:rPr>
        <w:t>ꎮ</w:t>
      </w:r>
    </w:p>
    <w:p>
      <w:pPr>
        <w:pStyle w:val="6"/>
        <w:spacing w:line="295" w:lineRule="auto"/>
        <w:ind w:right="38"/>
      </w:pPr>
      <w:r>
        <w:rPr>
          <w:w w:val="105"/>
        </w:rPr>
        <w:t>第十一条 煤矿企业安全生产许可证颁发管理机关</w:t>
      </w:r>
      <w:r>
        <w:rPr>
          <w:rFonts w:hint="eastAsia" w:ascii="MS UI Gothic" w:eastAsia="MS UI Gothic"/>
          <w:w w:val="80"/>
        </w:rPr>
        <w:t xml:space="preserve">、 </w:t>
      </w:r>
      <w:r>
        <w:rPr>
          <w:w w:val="105"/>
        </w:rPr>
        <w:t>建筑施工企业安全生产许可证颁发管理机关</w:t>
      </w:r>
      <w:r>
        <w:rPr>
          <w:rFonts w:hint="eastAsia" w:ascii="MS UI Gothic" w:eastAsia="MS UI Gothic"/>
          <w:w w:val="80"/>
        </w:rPr>
        <w:t xml:space="preserve">、 </w:t>
      </w:r>
      <w:r>
        <w:rPr>
          <w:w w:val="105"/>
        </w:rPr>
        <w:t>民用爆破器材生产企</w:t>
      </w:r>
      <w:r>
        <w:t>业安全生产许可证颁发管理机关</w:t>
      </w:r>
      <w:r>
        <w:rPr>
          <w:rFonts w:hint="eastAsia" w:ascii="MS UI Gothic" w:eastAsia="MS UI Gothic"/>
          <w:w w:val="80"/>
        </w:rPr>
        <w:t xml:space="preserve">ꎬ </w:t>
      </w:r>
      <w:r>
        <w:t>应当每年向同级安全生产监督管理部门通报其安</w:t>
      </w:r>
    </w:p>
    <w:p>
      <w:pPr>
        <w:pStyle w:val="6"/>
        <w:spacing w:before="63" w:line="295" w:lineRule="auto"/>
        <w:ind w:right="442"/>
        <w:rPr>
          <w:rFonts w:hint="eastAsia" w:ascii="MS UI Gothic" w:hAnsi="MS UI Gothic" w:eastAsia="MS UI Gothic"/>
        </w:rPr>
      </w:pPr>
      <w:r>
        <w:br w:type="column"/>
      </w:r>
      <w:r>
        <w:rPr>
          <w:w w:val="105"/>
        </w:rPr>
        <w:t xml:space="preserve">第十六条 监察机关依照 </w:t>
      </w:r>
      <w:r>
        <w:rPr>
          <w:rFonts w:hint="eastAsia" w:ascii="MS UI Gothic" w:hAnsi="MS UI Gothic" w:eastAsia="MS UI Gothic"/>
          <w:w w:val="80"/>
        </w:rPr>
        <w:t xml:space="preserve">« </w:t>
      </w:r>
      <w:r>
        <w:rPr>
          <w:w w:val="105"/>
        </w:rPr>
        <w:t>中华人民共和国行政监察法</w:t>
      </w:r>
      <w:r>
        <w:rPr>
          <w:rFonts w:hint="eastAsia" w:ascii="MS UI Gothic" w:hAnsi="MS UI Gothic" w:eastAsia="MS UI Gothic"/>
          <w:w w:val="80"/>
        </w:rPr>
        <w:t xml:space="preserve">» </w:t>
      </w:r>
      <w:r>
        <w:rPr>
          <w:w w:val="105"/>
        </w:rPr>
        <w:t>的规定</w:t>
      </w:r>
      <w:r>
        <w:rPr>
          <w:rFonts w:hint="eastAsia" w:ascii="MS UI Gothic" w:hAnsi="MS UI Gothic" w:eastAsia="MS UI Gothic"/>
          <w:w w:val="80"/>
        </w:rPr>
        <w:t xml:space="preserve">ꎬ </w:t>
      </w:r>
      <w:r>
        <w:rPr>
          <w:w w:val="105"/>
        </w:rPr>
        <w:t>对安全</w:t>
      </w:r>
      <w:r>
        <w:t>生产许可证颁发管理机关及其工作人员履</w:t>
      </w:r>
      <w:r>
        <w:rPr>
          <w:w w:val="105"/>
        </w:rPr>
        <w:t>行本条例规定的职责实施监察</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w w:val="105"/>
        </w:rPr>
        <w:t>第十七条 任何单位或者个人对违反</w:t>
      </w:r>
      <w:r>
        <w:t>本条例规定的行为</w:t>
      </w:r>
      <w:r>
        <w:rPr>
          <w:rFonts w:hint="eastAsia" w:ascii="MS UI Gothic" w:eastAsia="MS UI Gothic"/>
          <w:w w:val="80"/>
        </w:rPr>
        <w:t xml:space="preserve">ꎬ </w:t>
      </w:r>
      <w:r>
        <w:t>有权向安全生产许可证颁发管理机关或者监察机关等有关部门</w:t>
      </w:r>
      <w:r>
        <w:rPr>
          <w:w w:val="105"/>
        </w:rPr>
        <w:t>举报</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第十八条 安全生产许可证颁发管理</w:t>
      </w:r>
      <w:r>
        <w:t>机关工作人员有下列行为之一的</w:t>
      </w:r>
      <w:r>
        <w:rPr>
          <w:rFonts w:hint="eastAsia" w:ascii="MS UI Gothic" w:eastAsia="MS UI Gothic"/>
          <w:w w:val="80"/>
        </w:rPr>
        <w:t xml:space="preserve">ꎬ </w:t>
      </w:r>
      <w:r>
        <w:t>给予降级或者撤职的行政处分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w:t>
      </w:r>
      <w:r>
        <w:rPr>
          <w:w w:val="105"/>
        </w:rPr>
        <w:t>法追究刑事责任</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向不符合本条例规定的安全生产条件的企业颁发安全生产许可证的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发现企业未依法取得安全生产</w:t>
      </w:r>
      <w:r>
        <w:t>许可证擅自从事生产活动</w:t>
      </w:r>
      <w:r>
        <w:rPr>
          <w:rFonts w:hint="eastAsia" w:ascii="MS UI Gothic" w:eastAsia="MS UI Gothic"/>
          <w:w w:val="80"/>
        </w:rPr>
        <w:t xml:space="preserve">ꎬ </w:t>
      </w:r>
      <w:r>
        <w:t>不依法处</w:t>
      </w:r>
      <w:r>
        <w:rPr>
          <w:w w:val="105"/>
        </w:rPr>
        <w:t>理的</w:t>
      </w:r>
      <w:r>
        <w:rPr>
          <w:rFonts w:hint="eastAsia" w:ascii="MS UI Gothic" w:eastAsia="MS UI Gothic"/>
          <w:w w:val="80"/>
        </w:rPr>
        <w:t>ꎻ</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６７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49" o:spid="_x0000_s1249" o:spt="203" style="height:2.15pt;width:398.25pt;" coordsize="7965,43">
            <o:lock v:ext="edit"/>
            <v:line id="_x0000_s1250" o:spid="_x0000_s1250" o:spt="20" style="position:absolute;left:0;top:39;height:0;width:7965;" stroked="t" coordsize="21600,21600">
              <v:path arrowok="t"/>
              <v:fill focussize="0,0"/>
              <v:stroke weight="0.388031496062992pt" color="#231F20"/>
              <v:imagedata o:title=""/>
              <o:lock v:ext="edit"/>
            </v:line>
            <v:line id="_x0000_s1251" o:spid="_x0000_s125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发现取得安全生产许可证的企</w:t>
      </w:r>
      <w:r>
        <w:t>业不再具备本条例规定的安全生产条件</w:t>
      </w:r>
      <w:r>
        <w:rPr>
          <w:rFonts w:hint="eastAsia" w:ascii="MS UI Gothic" w:eastAsia="MS UI Gothic"/>
          <w:w w:val="80"/>
        </w:rPr>
        <w:t>ꎬ</w:t>
      </w:r>
      <w:r>
        <w:rPr>
          <w:w w:val="105"/>
        </w:rPr>
        <w:t>不依法处理的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接到对违反本条例规定行为的举报后</w:t>
      </w:r>
      <w:r>
        <w:rPr>
          <w:rFonts w:hint="eastAsia" w:ascii="MS UI Gothic" w:eastAsia="MS UI Gothic"/>
          <w:w w:val="80"/>
        </w:rPr>
        <w:t xml:space="preserve">ꎬ </w:t>
      </w:r>
      <w:r>
        <w:rPr>
          <w:w w:val="105"/>
        </w:rPr>
        <w:t>不及时处理的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在安全生产许可证颁发</w:t>
      </w:r>
      <w:r>
        <w:rPr>
          <w:rFonts w:hint="eastAsia" w:ascii="MS UI Gothic" w:eastAsia="MS UI Gothic"/>
          <w:w w:val="80"/>
        </w:rPr>
        <w:t xml:space="preserve">、 </w:t>
      </w:r>
      <w:r>
        <w:rPr>
          <w:w w:val="105"/>
        </w:rPr>
        <w:t>管理</w:t>
      </w:r>
      <w:r>
        <w:t>和监督检查工作中</w:t>
      </w:r>
      <w:r>
        <w:rPr>
          <w:rFonts w:hint="eastAsia" w:ascii="MS UI Gothic" w:eastAsia="MS UI Gothic"/>
          <w:w w:val="80"/>
        </w:rPr>
        <w:t xml:space="preserve">ꎬ </w:t>
      </w:r>
      <w:r>
        <w:t>索取或者接受企业的</w:t>
      </w:r>
      <w:r>
        <w:rPr>
          <w:w w:val="105"/>
        </w:rPr>
        <w:t>财物</w:t>
      </w:r>
      <w:r>
        <w:rPr>
          <w:rFonts w:hint="eastAsia" w:ascii="MS UI Gothic" w:eastAsia="MS UI Gothic"/>
          <w:w w:val="80"/>
        </w:rPr>
        <w:t xml:space="preserve">ꎬ </w:t>
      </w:r>
      <w:r>
        <w:rPr>
          <w:w w:val="105"/>
        </w:rPr>
        <w:t>或者谋取其他利益的</w:t>
      </w:r>
      <w:r>
        <w:rPr>
          <w:rFonts w:hint="eastAsia" w:ascii="MS UI Gothic" w:eastAsia="MS UI Gothic"/>
          <w:w w:val="80"/>
        </w:rPr>
        <w:t>ꎮ</w:t>
      </w:r>
    </w:p>
    <w:p>
      <w:pPr>
        <w:pStyle w:val="6"/>
        <w:spacing w:line="295" w:lineRule="auto"/>
        <w:ind w:left="440" w:right="1"/>
        <w:rPr>
          <w:rFonts w:hint="eastAsia" w:ascii="MS UI Gothic" w:eastAsia="MS UI Gothic"/>
        </w:rPr>
      </w:pPr>
      <w:r>
        <w:t>第十九条 违反本条例规定</w:t>
      </w:r>
      <w:r>
        <w:rPr>
          <w:rFonts w:hint="eastAsia" w:ascii="MS UI Gothic" w:eastAsia="MS UI Gothic"/>
          <w:w w:val="85"/>
        </w:rPr>
        <w:t xml:space="preserve">ꎬ </w:t>
      </w:r>
      <w:r>
        <w:t>未取得安全生产许可证擅自进行生产的</w:t>
      </w:r>
      <w:r>
        <w:rPr>
          <w:rFonts w:hint="eastAsia" w:ascii="MS UI Gothic" w:eastAsia="MS UI Gothic"/>
          <w:w w:val="85"/>
        </w:rPr>
        <w:t xml:space="preserve">ꎬ </w:t>
      </w:r>
      <w:r>
        <w:t>责令停止生产</w:t>
      </w:r>
      <w:r>
        <w:rPr>
          <w:rFonts w:hint="eastAsia" w:ascii="MS UI Gothic" w:eastAsia="MS UI Gothic"/>
          <w:w w:val="85"/>
        </w:rPr>
        <w:t xml:space="preserve">ꎬ </w:t>
      </w:r>
      <w:r>
        <w:t>没收违法所得</w:t>
      </w:r>
      <w:r>
        <w:rPr>
          <w:rFonts w:hint="eastAsia" w:ascii="MS UI Gothic" w:eastAsia="MS UI Gothic"/>
          <w:w w:val="85"/>
        </w:rPr>
        <w:t xml:space="preserve">ꎬ </w:t>
      </w:r>
      <w:r>
        <w:t xml:space="preserve">并处 </w:t>
      </w:r>
      <w:r>
        <w:rPr>
          <w:rFonts w:hint="eastAsia" w:ascii="MS UI Gothic" w:eastAsia="MS UI Gothic"/>
          <w:w w:val="85"/>
        </w:rPr>
        <w:t xml:space="preserve">１０ </w:t>
      </w:r>
      <w:r>
        <w:t xml:space="preserve">万元以上 </w:t>
      </w:r>
      <w:r>
        <w:rPr>
          <w:rFonts w:hint="eastAsia" w:ascii="MS UI Gothic" w:eastAsia="MS UI Gothic"/>
          <w:w w:val="85"/>
        </w:rPr>
        <w:t xml:space="preserve">５０ </w:t>
      </w:r>
      <w:r>
        <w:t>万元以下的罚款</w:t>
      </w:r>
      <w:r>
        <w:rPr>
          <w:rFonts w:hint="eastAsia" w:ascii="MS UI Gothic" w:eastAsia="MS UI Gothic"/>
          <w:w w:val="85"/>
        </w:rPr>
        <w:t xml:space="preserve">ꎻ </w:t>
      </w:r>
      <w:r>
        <w:t>造成重大事故或者其他严重后果</w:t>
      </w:r>
      <w:r>
        <w:rPr>
          <w:rFonts w:hint="eastAsia" w:ascii="MS UI Gothic" w:eastAsia="MS UI Gothic"/>
          <w:w w:val="85"/>
        </w:rPr>
        <w:t xml:space="preserve">ꎬ </w:t>
      </w:r>
      <w:r>
        <w:t>构成犯罪的</w:t>
      </w:r>
      <w:r>
        <w:rPr>
          <w:rFonts w:hint="eastAsia" w:ascii="MS UI Gothic" w:eastAsia="MS UI Gothic"/>
          <w:w w:val="85"/>
        </w:rPr>
        <w:t xml:space="preserve">ꎬ </w:t>
      </w:r>
      <w:r>
        <w:t>依法追究刑事责任</w:t>
      </w:r>
      <w:r>
        <w:rPr>
          <w:rFonts w:hint="eastAsia" w:ascii="MS UI Gothic" w:eastAsia="MS UI Gothic"/>
          <w:w w:val="85"/>
        </w:rPr>
        <w:t>ꎮ</w:t>
      </w:r>
    </w:p>
    <w:p>
      <w:pPr>
        <w:pStyle w:val="6"/>
        <w:spacing w:line="295" w:lineRule="auto"/>
        <w:ind w:left="435" w:right="1" w:firstLine="425"/>
        <w:rPr>
          <w:rFonts w:hint="eastAsia" w:ascii="MS UI Gothic" w:eastAsia="MS UI Gothic"/>
        </w:rPr>
      </w:pPr>
      <w:r>
        <w:t>第二十条 违反本条例规定</w:t>
      </w:r>
      <w:r>
        <w:rPr>
          <w:rFonts w:hint="eastAsia" w:ascii="MS UI Gothic" w:eastAsia="MS UI Gothic"/>
          <w:w w:val="85"/>
        </w:rPr>
        <w:t xml:space="preserve">ꎬ </w:t>
      </w:r>
      <w:r>
        <w:t>安全生产许可证有效期满未办理延期手续</w:t>
      </w:r>
      <w:r>
        <w:rPr>
          <w:rFonts w:hint="eastAsia" w:ascii="MS UI Gothic" w:eastAsia="MS UI Gothic"/>
          <w:w w:val="85"/>
        </w:rPr>
        <w:t xml:space="preserve">ꎬ </w:t>
      </w:r>
      <w:r>
        <w:t>继续进行生产的</w:t>
      </w:r>
      <w:r>
        <w:rPr>
          <w:rFonts w:hint="eastAsia" w:ascii="MS UI Gothic" w:eastAsia="MS UI Gothic"/>
          <w:w w:val="85"/>
        </w:rPr>
        <w:t xml:space="preserve">ꎬ </w:t>
      </w:r>
      <w:r>
        <w:t>责令停止生产</w:t>
      </w:r>
      <w:r>
        <w:rPr>
          <w:rFonts w:hint="eastAsia" w:ascii="MS UI Gothic" w:eastAsia="MS UI Gothic"/>
          <w:w w:val="85"/>
        </w:rPr>
        <w:t xml:space="preserve">ꎬ </w:t>
      </w:r>
      <w:r>
        <w:t>限期补办延期手续</w:t>
      </w:r>
      <w:r>
        <w:rPr>
          <w:rFonts w:hint="eastAsia" w:ascii="MS UI Gothic" w:eastAsia="MS UI Gothic"/>
          <w:w w:val="85"/>
        </w:rPr>
        <w:t xml:space="preserve">ꎬ </w:t>
      </w:r>
      <w:r>
        <w:t>没收违法所得</w:t>
      </w:r>
      <w:r>
        <w:rPr>
          <w:rFonts w:hint="eastAsia" w:ascii="MS UI Gothic" w:eastAsia="MS UI Gothic"/>
          <w:w w:val="85"/>
        </w:rPr>
        <w:t xml:space="preserve">ꎬ </w:t>
      </w:r>
      <w:r>
        <w:t xml:space="preserve">并处 </w:t>
      </w:r>
      <w:r>
        <w:rPr>
          <w:rFonts w:hint="eastAsia" w:ascii="MS UI Gothic" w:eastAsia="MS UI Gothic"/>
          <w:w w:val="85"/>
        </w:rPr>
        <w:t xml:space="preserve">５ </w:t>
      </w:r>
      <w:r>
        <w:t>万元以上</w:t>
      </w:r>
      <w:r>
        <w:rPr>
          <w:rFonts w:hint="eastAsia" w:ascii="MS UI Gothic" w:eastAsia="MS UI Gothic"/>
          <w:w w:val="85"/>
        </w:rPr>
        <w:t xml:space="preserve">１０ </w:t>
      </w:r>
      <w:r>
        <w:t>万元以下的罚款</w:t>
      </w:r>
      <w:r>
        <w:rPr>
          <w:rFonts w:hint="eastAsia" w:ascii="MS UI Gothic" w:eastAsia="MS UI Gothic"/>
          <w:w w:val="85"/>
        </w:rPr>
        <w:t xml:space="preserve">ꎻ </w:t>
      </w:r>
      <w:r>
        <w:t>逾期仍不办理延期手续</w:t>
      </w:r>
      <w:r>
        <w:rPr>
          <w:rFonts w:hint="eastAsia" w:ascii="MS UI Gothic" w:eastAsia="MS UI Gothic"/>
          <w:w w:val="85"/>
        </w:rPr>
        <w:t xml:space="preserve">ꎬ </w:t>
      </w:r>
      <w:r>
        <w:t>继续进行生产的</w:t>
      </w:r>
      <w:r>
        <w:rPr>
          <w:rFonts w:hint="eastAsia" w:ascii="MS UI Gothic" w:eastAsia="MS UI Gothic"/>
          <w:w w:val="85"/>
        </w:rPr>
        <w:t xml:space="preserve">ꎬ </w:t>
      </w:r>
      <w:r>
        <w:t>依照本条例第十九条的规定处罚</w:t>
      </w:r>
      <w:r>
        <w:rPr>
          <w:rFonts w:hint="eastAsia" w:ascii="MS UI Gothic" w:eastAsia="MS UI Gothic"/>
          <w:w w:val="85"/>
        </w:rPr>
        <w:t>ꎮ</w:t>
      </w:r>
    </w:p>
    <w:p>
      <w:pPr>
        <w:pStyle w:val="6"/>
        <w:spacing w:line="251" w:lineRule="exact"/>
        <w:ind w:left="860" w:firstLine="0"/>
      </w:pPr>
      <w:r>
        <w:t>第二十一条 违反本条例规定</w:t>
      </w:r>
      <w:r>
        <w:rPr>
          <w:rFonts w:hint="eastAsia" w:ascii="MS UI Gothic" w:eastAsia="MS UI Gothic"/>
          <w:w w:val="80"/>
        </w:rPr>
        <w:t xml:space="preserve">ꎬ </w:t>
      </w:r>
      <w:r>
        <w:t>转让</w:t>
      </w:r>
    </w:p>
    <w:p>
      <w:pPr>
        <w:pStyle w:val="6"/>
        <w:spacing w:before="124" w:line="295" w:lineRule="auto"/>
        <w:ind w:left="375" w:right="126" w:firstLine="5"/>
        <w:rPr>
          <w:rFonts w:hint="eastAsia" w:ascii="MS UI Gothic" w:eastAsia="MS UI Gothic"/>
        </w:rPr>
      </w:pPr>
      <w:r>
        <w:br w:type="column"/>
      </w:r>
      <w:r>
        <w:t>安全生产许可证的</w:t>
      </w:r>
      <w:r>
        <w:rPr>
          <w:rFonts w:hint="eastAsia" w:ascii="MS UI Gothic" w:eastAsia="MS UI Gothic"/>
          <w:w w:val="85"/>
        </w:rPr>
        <w:t xml:space="preserve">ꎬ </w:t>
      </w:r>
      <w:r>
        <w:t>没收违法所得</w:t>
      </w:r>
      <w:r>
        <w:rPr>
          <w:rFonts w:hint="eastAsia" w:ascii="MS UI Gothic" w:eastAsia="MS UI Gothic"/>
          <w:w w:val="85"/>
        </w:rPr>
        <w:t xml:space="preserve">ꎬ </w:t>
      </w:r>
      <w:r>
        <w:t>处</w:t>
      </w:r>
      <w:r>
        <w:rPr>
          <w:rFonts w:hint="eastAsia" w:ascii="MS UI Gothic" w:eastAsia="MS UI Gothic"/>
          <w:w w:val="85"/>
        </w:rPr>
        <w:t xml:space="preserve">１０ </w:t>
      </w:r>
      <w:r>
        <w:t xml:space="preserve">万元以上 </w:t>
      </w:r>
      <w:r>
        <w:rPr>
          <w:rFonts w:hint="eastAsia" w:ascii="MS UI Gothic" w:eastAsia="MS UI Gothic"/>
          <w:w w:val="85"/>
        </w:rPr>
        <w:t xml:space="preserve">５０ </w:t>
      </w:r>
      <w:r>
        <w:t>万元以下的罚款</w:t>
      </w:r>
      <w:r>
        <w:rPr>
          <w:rFonts w:hint="eastAsia" w:ascii="MS UI Gothic" w:eastAsia="MS UI Gothic"/>
          <w:w w:val="85"/>
        </w:rPr>
        <w:t xml:space="preserve">ꎬ </w:t>
      </w:r>
      <w:r>
        <w:t>并吊销其安全生产许可证</w:t>
      </w:r>
      <w:r>
        <w:rPr>
          <w:rFonts w:hint="eastAsia" w:ascii="MS UI Gothic" w:eastAsia="MS UI Gothic"/>
          <w:w w:val="85"/>
        </w:rPr>
        <w:t xml:space="preserve">ꎻ </w:t>
      </w:r>
      <w:r>
        <w:t>构成犯罪的</w:t>
      </w:r>
      <w:r>
        <w:rPr>
          <w:rFonts w:hint="eastAsia" w:ascii="MS UI Gothic" w:eastAsia="MS UI Gothic"/>
          <w:w w:val="85"/>
        </w:rPr>
        <w:t xml:space="preserve">ꎬ </w:t>
      </w:r>
      <w:r>
        <w:t>依法追究刑事责任</w:t>
      </w:r>
      <w:r>
        <w:rPr>
          <w:rFonts w:hint="eastAsia" w:ascii="MS UI Gothic" w:eastAsia="MS UI Gothic"/>
          <w:w w:val="85"/>
        </w:rPr>
        <w:t xml:space="preserve">ꎻ </w:t>
      </w:r>
      <w:r>
        <w:t>接受转让的</w:t>
      </w:r>
      <w:r>
        <w:rPr>
          <w:rFonts w:hint="eastAsia" w:ascii="MS UI Gothic" w:eastAsia="MS UI Gothic"/>
          <w:w w:val="85"/>
        </w:rPr>
        <w:t xml:space="preserve">ꎬ </w:t>
      </w:r>
      <w:r>
        <w:t>依照本条例第十九条的规定处罚</w:t>
      </w:r>
      <w:r>
        <w:rPr>
          <w:rFonts w:hint="eastAsia" w:ascii="MS UI Gothic" w:eastAsia="MS UI Gothic"/>
          <w:w w:val="85"/>
        </w:rPr>
        <w:t>ꎮ</w:t>
      </w:r>
    </w:p>
    <w:p>
      <w:pPr>
        <w:pStyle w:val="6"/>
        <w:spacing w:line="295" w:lineRule="auto"/>
        <w:ind w:left="381" w:right="126"/>
        <w:rPr>
          <w:rFonts w:hint="eastAsia" w:ascii="MS UI Gothic" w:eastAsia="MS UI Gothic"/>
        </w:rPr>
      </w:pPr>
      <w:r>
        <w:t>冒用安全生产许可证或者使用伪造的安全生产许可证的</w:t>
      </w:r>
      <w:r>
        <w:rPr>
          <w:rFonts w:hint="eastAsia" w:ascii="MS UI Gothic" w:eastAsia="MS UI Gothic"/>
          <w:w w:val="80"/>
        </w:rPr>
        <w:t xml:space="preserve">ꎬ </w:t>
      </w:r>
      <w:r>
        <w:t>依照本条例第十九条</w:t>
      </w:r>
      <w:r>
        <w:rPr>
          <w:w w:val="105"/>
        </w:rPr>
        <w:t>的规定处罚</w:t>
      </w:r>
      <w:r>
        <w:rPr>
          <w:rFonts w:hint="eastAsia" w:ascii="MS UI Gothic" w:eastAsia="MS UI Gothic"/>
          <w:w w:val="80"/>
        </w:rPr>
        <w:t>ꎮ</w:t>
      </w:r>
    </w:p>
    <w:p>
      <w:pPr>
        <w:pStyle w:val="6"/>
        <w:spacing w:line="295" w:lineRule="auto"/>
        <w:ind w:left="381" w:right="124"/>
        <w:rPr>
          <w:rFonts w:hint="eastAsia" w:ascii="MS UI Gothic" w:eastAsia="MS UI Gothic"/>
        </w:rPr>
      </w:pPr>
      <w:r>
        <w:t>第二十二条 本条例施行前已经进行生产的企业</w:t>
      </w:r>
      <w:r>
        <w:rPr>
          <w:rFonts w:hint="eastAsia" w:ascii="MS UI Gothic" w:eastAsia="MS UI Gothic"/>
          <w:w w:val="80"/>
        </w:rPr>
        <w:t xml:space="preserve">ꎬ </w:t>
      </w:r>
      <w:r>
        <w:t xml:space="preserve">应当自本条例施行之日起 </w:t>
      </w:r>
      <w:r>
        <w:rPr>
          <w:rFonts w:hint="eastAsia" w:ascii="MS UI Gothic" w:eastAsia="MS UI Gothic"/>
          <w:w w:val="80"/>
        </w:rPr>
        <w:t xml:space="preserve">１ </w:t>
      </w:r>
      <w:r>
        <w:t>年内</w:t>
      </w:r>
      <w:r>
        <w:rPr>
          <w:rFonts w:hint="eastAsia" w:ascii="MS UI Gothic" w:eastAsia="MS UI Gothic"/>
          <w:w w:val="80"/>
        </w:rPr>
        <w:t xml:space="preserve">ꎬ </w:t>
      </w:r>
      <w:r>
        <w:t>依照本条例的规定向安全生产许可证颁发管理机关申请办理安全生产许可证</w:t>
      </w:r>
      <w:r>
        <w:rPr>
          <w:rFonts w:hint="eastAsia" w:ascii="MS UI Gothic" w:eastAsia="MS UI Gothic"/>
          <w:w w:val="80"/>
        </w:rPr>
        <w:t xml:space="preserve">ꎻ </w:t>
      </w:r>
      <w:r>
        <w:t>逾期不办理安全生产许可证</w:t>
      </w:r>
      <w:r>
        <w:rPr>
          <w:rFonts w:hint="eastAsia" w:ascii="MS UI Gothic" w:eastAsia="MS UI Gothic"/>
          <w:w w:val="80"/>
        </w:rPr>
        <w:t xml:space="preserve">ꎬ </w:t>
      </w:r>
      <w:r>
        <w:t>或者经审查不符合本条例规定的安全生产条件</w:t>
      </w:r>
      <w:r>
        <w:rPr>
          <w:rFonts w:hint="eastAsia" w:ascii="MS UI Gothic" w:eastAsia="MS UI Gothic"/>
          <w:w w:val="80"/>
        </w:rPr>
        <w:t>ꎬ</w:t>
      </w:r>
      <w:r>
        <w:t>未取得安全生产许可证</w:t>
      </w:r>
      <w:r>
        <w:rPr>
          <w:rFonts w:hint="eastAsia" w:ascii="MS UI Gothic" w:eastAsia="MS UI Gothic"/>
          <w:w w:val="80"/>
        </w:rPr>
        <w:t xml:space="preserve">ꎬ </w:t>
      </w:r>
      <w:r>
        <w:t>继续进行生产的</w:t>
      </w:r>
      <w:r>
        <w:rPr>
          <w:rFonts w:hint="eastAsia" w:ascii="MS UI Gothic" w:eastAsia="MS UI Gothic"/>
          <w:w w:val="80"/>
        </w:rPr>
        <w:t xml:space="preserve">ꎬ </w:t>
      </w:r>
      <w:r>
        <w:t>依照本条例第十九条的规定处罚</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10"/>
        </w:rPr>
        <w:t>第二十三条  本条例规定的行政处</w:t>
      </w:r>
      <w:r>
        <w:rPr>
          <w:spacing w:val="3"/>
        </w:rPr>
        <w:t>罚</w:t>
      </w:r>
      <w:r>
        <w:rPr>
          <w:rFonts w:hint="eastAsia" w:ascii="MS UI Gothic" w:eastAsia="MS UI Gothic"/>
          <w:spacing w:val="17"/>
          <w:w w:val="80"/>
        </w:rPr>
        <w:t xml:space="preserve">ꎬ </w:t>
      </w:r>
      <w:r>
        <w:rPr>
          <w:spacing w:val="31"/>
        </w:rPr>
        <w:t>由安全生产许可证颁发管理机关</w:t>
      </w:r>
      <w:r>
        <w:rPr>
          <w:spacing w:val="3"/>
        </w:rPr>
        <w:t>决定</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10"/>
        </w:rPr>
        <w:t>第二十四条  本条例自公布之日起</w:t>
      </w:r>
      <w:r>
        <w:rPr>
          <w:spacing w:val="3"/>
        </w:rPr>
        <w:t>施行</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5"/>
        <w:ind w:left="0" w:firstLine="0"/>
        <w:jc w:val="left"/>
        <w:rPr>
          <w:rFonts w:ascii="MS UI Gothic"/>
          <w:sz w:val="21"/>
        </w:rPr>
      </w:pPr>
    </w:p>
    <w:p>
      <w:pPr>
        <w:pStyle w:val="4"/>
        <w:spacing w:before="74"/>
      </w:pPr>
      <w:r>
        <w:t>中华人民共和国国务院令</w:t>
      </w:r>
    </w:p>
    <w:p>
      <w:pPr>
        <w:pStyle w:val="6"/>
        <w:ind w:left="0" w:firstLine="0"/>
        <w:jc w:val="left"/>
        <w:rPr>
          <w:sz w:val="27"/>
        </w:rPr>
      </w:pPr>
    </w:p>
    <w:p>
      <w:pPr>
        <w:pStyle w:val="5"/>
      </w:pPr>
      <w:r>
        <w:t xml:space="preserve">第 </w:t>
      </w:r>
      <w:r>
        <w:rPr>
          <w:rFonts w:hint="eastAsia" w:ascii="MS UI Gothic" w:eastAsia="MS UI Gothic"/>
        </w:rPr>
        <w:t xml:space="preserve">７０８ </w:t>
      </w:r>
      <w:r>
        <w:t>号</w:t>
      </w:r>
    </w:p>
    <w:p>
      <w:pPr>
        <w:pStyle w:val="6"/>
        <w:spacing w:before="354"/>
        <w:ind w:left="860" w:firstLine="0"/>
        <w:jc w:val="left"/>
      </w:pPr>
      <w:r>
        <w:rPr>
          <w:rFonts w:hint="eastAsia" w:ascii="MS UI Gothic" w:hAnsi="MS UI Gothic" w:eastAsia="MS UI Gothic"/>
          <w:w w:val="95"/>
        </w:rPr>
        <w:t xml:space="preserve">« </w:t>
      </w:r>
      <w:r>
        <w:rPr>
          <w:w w:val="95"/>
        </w:rPr>
        <w:t>生产安全事故应急条例</w:t>
      </w:r>
      <w:r>
        <w:rPr>
          <w:rFonts w:hint="eastAsia" w:ascii="MS UI Gothic" w:hAnsi="MS UI Gothic" w:eastAsia="MS UI Gothic"/>
          <w:w w:val="95"/>
        </w:rPr>
        <w:t xml:space="preserve">» </w:t>
      </w:r>
      <w:r>
        <w:rPr>
          <w:w w:val="95"/>
        </w:rPr>
        <w:t xml:space="preserve">已经 </w:t>
      </w:r>
      <w:r>
        <w:rPr>
          <w:rFonts w:hint="eastAsia" w:ascii="MS UI Gothic" w:hAnsi="MS UI Gothic" w:eastAsia="MS UI Gothic"/>
          <w:w w:val="95"/>
        </w:rPr>
        <w:t xml:space="preserve">２０１８ </w:t>
      </w:r>
      <w:r>
        <w:rPr>
          <w:w w:val="95"/>
        </w:rPr>
        <w:t xml:space="preserve">年 </w:t>
      </w:r>
      <w:r>
        <w:rPr>
          <w:rFonts w:hint="eastAsia" w:ascii="MS UI Gothic" w:hAnsi="MS UI Gothic" w:eastAsia="MS UI Gothic"/>
          <w:w w:val="95"/>
        </w:rPr>
        <w:t xml:space="preserve">１２ </w:t>
      </w:r>
      <w:r>
        <w:rPr>
          <w:w w:val="95"/>
        </w:rPr>
        <w:t xml:space="preserve">月 </w:t>
      </w:r>
      <w:r>
        <w:rPr>
          <w:rFonts w:hint="eastAsia" w:ascii="MS UI Gothic" w:hAnsi="MS UI Gothic" w:eastAsia="MS UI Gothic"/>
          <w:w w:val="95"/>
        </w:rPr>
        <w:t xml:space="preserve">５ </w:t>
      </w:r>
      <w:r>
        <w:rPr>
          <w:w w:val="95"/>
        </w:rPr>
        <w:t xml:space="preserve">日国务院第 </w:t>
      </w:r>
      <w:r>
        <w:rPr>
          <w:rFonts w:hint="eastAsia" w:ascii="MS UI Gothic" w:hAnsi="MS UI Gothic" w:eastAsia="MS UI Gothic"/>
          <w:w w:val="95"/>
        </w:rPr>
        <w:t xml:space="preserve">３３ </w:t>
      </w:r>
      <w:r>
        <w:rPr>
          <w:w w:val="95"/>
        </w:rPr>
        <w:t>次常务会议通过</w:t>
      </w:r>
      <w:r>
        <w:rPr>
          <w:rFonts w:hint="eastAsia" w:ascii="MS UI Gothic" w:hAnsi="MS UI Gothic" w:eastAsia="MS UI Gothic"/>
          <w:w w:val="90"/>
        </w:rPr>
        <w:t xml:space="preserve">ꎬ </w:t>
      </w:r>
      <w:r>
        <w:rPr>
          <w:w w:val="95"/>
        </w:rPr>
        <w:t>现</w:t>
      </w:r>
    </w:p>
    <w:p>
      <w:pPr>
        <w:pStyle w:val="6"/>
        <w:spacing w:before="58"/>
        <w:ind w:left="440" w:firstLine="0"/>
        <w:jc w:val="left"/>
        <w:rPr>
          <w:rFonts w:hint="eastAsia" w:ascii="MS UI Gothic" w:eastAsia="MS UI Gothic"/>
        </w:rPr>
      </w:pPr>
      <w:r>
        <w:rPr>
          <w:w w:val="95"/>
        </w:rPr>
        <w:t>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２０１９ </w:t>
      </w:r>
      <w:r>
        <w:rPr>
          <w:w w:val="95"/>
        </w:rPr>
        <w:t xml:space="preserve">年 </w:t>
      </w:r>
      <w:r>
        <w:rPr>
          <w:rFonts w:hint="eastAsia" w:ascii="MS UI Gothic" w:eastAsia="MS UI Gothic"/>
          <w:w w:val="95"/>
        </w:rPr>
        <w:t xml:space="preserve">４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tabs>
          <w:tab w:val="left" w:pos="628"/>
        </w:tabs>
        <w:spacing w:before="59"/>
        <w:ind w:left="0" w:right="126" w:firstLine="0"/>
        <w:jc w:val="right"/>
      </w:pPr>
      <w:r>
        <w:rPr>
          <w:spacing w:val="3"/>
          <w:w w:val="105"/>
        </w:rPr>
        <w:t>总</w:t>
      </w:r>
      <w:r>
        <w:rPr>
          <w:w w:val="105"/>
        </w:rPr>
        <w:t>理</w:t>
      </w:r>
      <w:r>
        <w:rPr>
          <w:w w:val="105"/>
        </w:rPr>
        <w:tab/>
      </w:r>
      <w:r>
        <w:rPr>
          <w:spacing w:val="3"/>
        </w:rPr>
        <w:t>李克</w:t>
      </w:r>
      <w:r>
        <w:t>强</w:t>
      </w:r>
    </w:p>
    <w:p>
      <w:pPr>
        <w:pStyle w:val="6"/>
        <w:spacing w:before="58"/>
        <w:ind w:left="0" w:right="126" w:firstLine="0"/>
        <w:jc w:val="right"/>
      </w:pPr>
      <w:r>
        <w:rPr>
          <w:rFonts w:hint="eastAsia" w:ascii="MS UI Gothic" w:eastAsia="MS UI Gothic"/>
          <w:spacing w:val="-7"/>
          <w:w w:val="95"/>
        </w:rPr>
        <w:t xml:space="preserve">２０１９ </w:t>
      </w:r>
      <w:r>
        <w:rPr>
          <w:spacing w:val="-36"/>
          <w:w w:val="95"/>
        </w:rPr>
        <w:t xml:space="preserve">年 </w:t>
      </w:r>
      <w:r>
        <w:rPr>
          <w:rFonts w:hint="eastAsia" w:ascii="MS UI Gothic" w:eastAsia="MS UI Gothic"/>
          <w:spacing w:val="-15"/>
          <w:w w:val="95"/>
        </w:rPr>
        <w:t xml:space="preserve">２ </w:t>
      </w:r>
      <w:r>
        <w:rPr>
          <w:spacing w:val="-36"/>
          <w:w w:val="95"/>
        </w:rPr>
        <w:t xml:space="preserve">月 </w:t>
      </w:r>
      <w:r>
        <w:rPr>
          <w:rFonts w:hint="eastAsia" w:ascii="MS UI Gothic" w:eastAsia="MS UI Gothic"/>
          <w:spacing w:val="-10"/>
          <w:w w:val="95"/>
        </w:rPr>
        <w:t xml:space="preserve">１７ </w:t>
      </w:r>
      <w:r>
        <w:rPr>
          <w:w w:val="95"/>
        </w:rPr>
        <w:t>日</w:t>
      </w:r>
    </w:p>
    <w:p>
      <w:pPr>
        <w:pStyle w:val="4"/>
        <w:ind w:left="286"/>
        <w:rPr>
          <w:rFonts w:hint="eastAsia" w:ascii="Microsoft Yi Baiti" w:eastAsia="Microsoft Yi Baiti"/>
        </w:rPr>
      </w:pPr>
      <w:r>
        <w:t xml:space="preserve">生产安全事故应急条例 </w:t>
      </w:r>
      <w:r>
        <w:rPr>
          <w:rFonts w:hint="eastAsia" w:ascii="Microsoft Yi Baiti" w:eastAsia="Microsoft Yi Baiti"/>
        </w:rPr>
        <w:t>(</w:t>
      </w:r>
      <w:r>
        <w:rPr>
          <w:rFonts w:hint="eastAsia" w:ascii="MS UI Gothic" w:eastAsia="MS UI Gothic"/>
        </w:rPr>
        <w:t xml:space="preserve">２０１９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2"/>
        <w:ind w:left="0" w:firstLine="0"/>
        <w:jc w:val="left"/>
        <w:rPr>
          <w:rFonts w:ascii="Microsoft Yi Baiti"/>
          <w:sz w:val="32"/>
        </w:rPr>
      </w:pPr>
    </w:p>
    <w:p>
      <w:pPr>
        <w:pStyle w:val="6"/>
        <w:tabs>
          <w:tab w:val="left" w:pos="2327"/>
          <w:tab w:val="left" w:pos="2956"/>
        </w:tabs>
        <w:spacing w:before="1"/>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tabs>
          <w:tab w:val="left" w:pos="1698"/>
        </w:tabs>
        <w:spacing w:before="215" w:line="295" w:lineRule="auto"/>
        <w:ind w:left="440"/>
        <w:jc w:val="left"/>
      </w:pPr>
      <w:r>
        <w:rPr>
          <w:spacing w:val="3"/>
        </w:rPr>
        <w:t>第一</w:t>
      </w:r>
      <w:r>
        <w:t>条</w:t>
      </w:r>
      <w:r>
        <w:tab/>
      </w:r>
      <w:r>
        <w:rPr>
          <w:spacing w:val="3"/>
        </w:rPr>
        <w:t>为了规范生产安全事故应</w:t>
      </w:r>
      <w:r>
        <w:t>急</w:t>
      </w:r>
      <w:r>
        <w:rPr>
          <w:spacing w:val="3"/>
        </w:rPr>
        <w:t>工作</w:t>
      </w:r>
      <w:r>
        <w:rPr>
          <w:rFonts w:hint="eastAsia" w:ascii="MS UI Gothic" w:eastAsia="MS UI Gothic"/>
          <w:w w:val="80"/>
        </w:rPr>
        <w:t>ꎬ</w:t>
      </w:r>
      <w:r>
        <w:rPr>
          <w:rFonts w:hint="eastAsia" w:ascii="MS UI Gothic" w:eastAsia="MS UI Gothic"/>
          <w:spacing w:val="46"/>
          <w:w w:val="80"/>
        </w:rPr>
        <w:t xml:space="preserve"> </w:t>
      </w:r>
      <w:r>
        <w:rPr>
          <w:spacing w:val="3"/>
        </w:rPr>
        <w:t>保障人民群众生命和财产安全</w:t>
      </w:r>
      <w:r>
        <w:rPr>
          <w:rFonts w:hint="eastAsia" w:ascii="MS UI Gothic" w:eastAsia="MS UI Gothic"/>
          <w:w w:val="80"/>
        </w:rPr>
        <w:t>ꎬ</w:t>
      </w:r>
      <w:r>
        <w:rPr>
          <w:rFonts w:hint="eastAsia" w:ascii="MS UI Gothic" w:eastAsia="MS UI Gothic"/>
          <w:spacing w:val="47"/>
          <w:w w:val="80"/>
        </w:rPr>
        <w:t xml:space="preserve"> </w:t>
      </w:r>
      <w:r>
        <w:t>根</w:t>
      </w:r>
    </w:p>
    <w:p>
      <w:pPr>
        <w:pStyle w:val="6"/>
        <w:spacing w:before="174"/>
        <w:ind w:left="383" w:firstLine="0"/>
        <w:jc w:val="left"/>
      </w:pPr>
      <w:r>
        <w:br w:type="column"/>
      </w:r>
      <w:r>
        <w:t xml:space="preserve">据 </w:t>
      </w:r>
      <w:r>
        <w:rPr>
          <w:rFonts w:hint="eastAsia" w:ascii="MS UI Gothic" w:hAnsi="MS UI Gothic" w:eastAsia="MS UI Gothic"/>
        </w:rPr>
        <w:t xml:space="preserve">« </w:t>
      </w:r>
      <w:r>
        <w:t>中华人民共和国安全生产法</w:t>
      </w:r>
      <w:r>
        <w:rPr>
          <w:rFonts w:hint="eastAsia" w:ascii="MS UI Gothic" w:hAnsi="MS UI Gothic" w:eastAsia="MS UI Gothic"/>
        </w:rPr>
        <w:t xml:space="preserve">» </w:t>
      </w:r>
      <w:r>
        <w:t>和</w:t>
      </w:r>
    </w:p>
    <w:p>
      <w:pPr>
        <w:pStyle w:val="6"/>
        <w:spacing w:before="58" w:line="295" w:lineRule="auto"/>
        <w:ind w:left="383" w:right="126" w:firstLine="0"/>
        <w:jc w:val="left"/>
        <w:rPr>
          <w:rFonts w:hint="eastAsia" w:ascii="MS UI Gothic" w:hAnsi="MS UI Gothic" w:eastAsia="MS UI Gothic"/>
        </w:rPr>
      </w:pPr>
      <w:r>
        <w:rPr>
          <w:rFonts w:hint="eastAsia" w:ascii="MS UI Gothic" w:hAnsi="MS UI Gothic" w:eastAsia="MS UI Gothic"/>
        </w:rPr>
        <w:t xml:space="preserve">« </w:t>
      </w:r>
      <w:r>
        <w:t>中华人民共和国突发事件应对法</w:t>
      </w:r>
      <w:r>
        <w:rPr>
          <w:rFonts w:hint="eastAsia" w:ascii="MS UI Gothic" w:hAnsi="MS UI Gothic" w:eastAsia="MS UI Gothic"/>
        </w:rPr>
        <w:t xml:space="preserve">» </w:t>
      </w:r>
      <w:r>
        <w:rPr>
          <w:rFonts w:hint="eastAsia" w:ascii="MS UI Gothic" w:hAnsi="MS UI Gothic" w:eastAsia="MS UI Gothic"/>
          <w:w w:val="80"/>
        </w:rPr>
        <w:t xml:space="preserve">ꎬ </w:t>
      </w:r>
      <w:r>
        <w:t>制定本条例</w:t>
      </w:r>
      <w:r>
        <w:rPr>
          <w:rFonts w:hint="eastAsia" w:ascii="MS UI Gothic" w:hAnsi="MS UI Gothic" w:eastAsia="MS UI Gothic"/>
          <w:w w:val="80"/>
        </w:rPr>
        <w:t>ꎮ</w:t>
      </w:r>
    </w:p>
    <w:p>
      <w:pPr>
        <w:pStyle w:val="6"/>
        <w:tabs>
          <w:tab w:val="left" w:pos="1640"/>
        </w:tabs>
        <w:spacing w:line="255" w:lineRule="exact"/>
        <w:ind w:left="802" w:firstLine="0"/>
        <w:jc w:val="left"/>
      </w:pPr>
      <w:r>
        <w:rPr>
          <w:spacing w:val="3"/>
          <w:w w:val="105"/>
        </w:rPr>
        <w:t>第二</w:t>
      </w:r>
      <w:r>
        <w:rPr>
          <w:w w:val="105"/>
        </w:rPr>
        <w:t>条</w:t>
      </w:r>
      <w:r>
        <w:rPr>
          <w:w w:val="105"/>
        </w:rPr>
        <w:tab/>
      </w:r>
      <w:r>
        <w:rPr>
          <w:spacing w:val="3"/>
          <w:w w:val="105"/>
        </w:rPr>
        <w:t>本条例适用于生产安全事</w:t>
      </w:r>
      <w:r>
        <w:rPr>
          <w:w w:val="105"/>
        </w:rPr>
        <w:t>故</w:t>
      </w:r>
    </w:p>
    <w:p>
      <w:pPr>
        <w:spacing w:after="0" w:line="255" w:lineRule="exact"/>
        <w:jc w:val="left"/>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６８</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52" o:spid="_x0000_s1252" o:spt="203" style="height:2.15pt;width:398.25pt;" coordsize="7965,43">
            <o:lock v:ext="edit"/>
            <v:line id="_x0000_s1253" o:spid="_x0000_s1253" o:spt="20" style="position:absolute;left:0;top:39;height:0;width:7965;" stroked="t" coordsize="21600,21600">
              <v:path arrowok="t"/>
              <v:fill focussize="0,0"/>
              <v:stroke weight="0.388031496062992pt" color="#231F20"/>
              <v:imagedata o:title=""/>
              <o:lock v:ext="edit"/>
            </v:line>
            <v:line id="_x0000_s1254" o:spid="_x0000_s125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应急工作</w:t>
      </w:r>
      <w:r>
        <w:rPr>
          <w:rFonts w:hint="eastAsia" w:ascii="MS UI Gothic" w:eastAsia="MS UI Gothic"/>
          <w:w w:val="80"/>
        </w:rPr>
        <w:t xml:space="preserve">ꎻ </w:t>
      </w:r>
      <w:r>
        <w:t>法律</w:t>
      </w:r>
      <w:r>
        <w:rPr>
          <w:rFonts w:hint="eastAsia" w:ascii="MS UI Gothic" w:eastAsia="MS UI Gothic"/>
        </w:rPr>
        <w:t xml:space="preserve">、 </w:t>
      </w:r>
      <w:r>
        <w:t>行政法规另有规定的</w:t>
      </w:r>
      <w:r>
        <w:rPr>
          <w:rFonts w:hint="eastAsia" w:ascii="MS UI Gothic" w:eastAsia="MS UI Gothic"/>
          <w:w w:val="80"/>
        </w:rPr>
        <w:t>ꎬ</w:t>
      </w:r>
      <w:r>
        <w:t>适用其规定</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第三条 国务院统一领导全国的生产</w:t>
      </w:r>
      <w:r>
        <w:t>安全事故应急工作</w:t>
      </w:r>
      <w:r>
        <w:rPr>
          <w:rFonts w:hint="eastAsia" w:ascii="MS UI Gothic" w:eastAsia="MS UI Gothic"/>
          <w:w w:val="80"/>
        </w:rPr>
        <w:t xml:space="preserve">ꎬ </w:t>
      </w:r>
      <w:r>
        <w:t>县级以上地方人民政府统一领导本行政区域内的生产安全事故应急工作</w:t>
      </w:r>
      <w:r>
        <w:rPr>
          <w:rFonts w:hint="eastAsia" w:ascii="MS UI Gothic" w:eastAsia="MS UI Gothic"/>
          <w:w w:val="80"/>
        </w:rPr>
        <w:t xml:space="preserve">ꎮ </w:t>
      </w:r>
      <w:r>
        <w:t>生产安全事故应急工作涉及两个以上行政区域的</w:t>
      </w:r>
      <w:r>
        <w:rPr>
          <w:rFonts w:hint="eastAsia" w:ascii="MS UI Gothic" w:eastAsia="MS UI Gothic"/>
          <w:w w:val="80"/>
        </w:rPr>
        <w:t xml:space="preserve">ꎬ </w:t>
      </w:r>
      <w:r>
        <w:t>由有关行政区域共同的上一级人民政府负责</w:t>
      </w:r>
      <w:r>
        <w:rPr>
          <w:rFonts w:hint="eastAsia" w:ascii="MS UI Gothic" w:eastAsia="MS UI Gothic"/>
          <w:w w:val="80"/>
        </w:rPr>
        <w:t xml:space="preserve">ꎬ </w:t>
      </w:r>
      <w:r>
        <w:t>或者由各有关行</w:t>
      </w:r>
      <w:r>
        <w:rPr>
          <w:w w:val="105"/>
        </w:rPr>
        <w:t>政区域的上一级人民政府共同负责</w:t>
      </w:r>
      <w:r>
        <w:rPr>
          <w:rFonts w:hint="eastAsia" w:ascii="MS UI Gothic" w:eastAsia="MS UI Gothic"/>
          <w:w w:val="80"/>
        </w:rPr>
        <w:t>ꎮ</w:t>
      </w:r>
    </w:p>
    <w:p>
      <w:pPr>
        <w:pStyle w:val="6"/>
        <w:spacing w:line="295" w:lineRule="auto"/>
        <w:ind w:right="39"/>
        <w:rPr>
          <w:rFonts w:hint="eastAsia" w:ascii="MS UI Gothic" w:eastAsia="MS UI Gothic"/>
        </w:rPr>
      </w:pPr>
      <w:r>
        <w:rPr>
          <w:spacing w:val="2"/>
        </w:rPr>
        <w:t>县级以上人民政府应急管理部门和其</w:t>
      </w:r>
      <w:r>
        <w:rPr>
          <w:spacing w:val="3"/>
          <w:w w:val="105"/>
        </w:rPr>
        <w:t>他对有关行业</w:t>
      </w:r>
      <w:r>
        <w:rPr>
          <w:rFonts w:hint="eastAsia" w:ascii="MS UI Gothic" w:eastAsia="MS UI Gothic"/>
          <w:spacing w:val="-4"/>
          <w:w w:val="80"/>
        </w:rPr>
        <w:t xml:space="preserve">、 </w:t>
      </w:r>
      <w:r>
        <w:rPr>
          <w:spacing w:val="2"/>
          <w:w w:val="105"/>
        </w:rPr>
        <w:t>领域的安全生产工作实施</w:t>
      </w:r>
      <w:r>
        <w:rPr>
          <w:spacing w:val="4"/>
          <w:w w:val="105"/>
        </w:rPr>
        <w:t xml:space="preserve">监督管理的部门 </w:t>
      </w:r>
      <w:r>
        <w:rPr>
          <w:rFonts w:hint="eastAsia" w:ascii="MS UI Gothic" w:eastAsia="MS UI Gothic"/>
          <w:spacing w:val="-37"/>
          <w:w w:val="150"/>
        </w:rPr>
        <w:t xml:space="preserve">( </w:t>
      </w:r>
      <w:r>
        <w:rPr>
          <w:spacing w:val="15"/>
          <w:w w:val="105"/>
        </w:rPr>
        <w:t>以下统称负有安全生</w:t>
      </w:r>
      <w:r>
        <w:rPr>
          <w:spacing w:val="11"/>
          <w:w w:val="105"/>
        </w:rPr>
        <w:t>产监督管理职责的部门</w:t>
      </w:r>
      <w:r>
        <w:rPr>
          <w:rFonts w:hint="eastAsia" w:ascii="MS UI Gothic" w:eastAsia="MS UI Gothic"/>
          <w:spacing w:val="-5"/>
          <w:w w:val="150"/>
        </w:rPr>
        <w:t xml:space="preserve">) </w:t>
      </w:r>
      <w:r>
        <w:rPr>
          <w:spacing w:val="14"/>
          <w:w w:val="105"/>
        </w:rPr>
        <w:t>在各自职责范</w:t>
      </w:r>
      <w:r>
        <w:rPr>
          <w:spacing w:val="3"/>
          <w:w w:val="105"/>
        </w:rPr>
        <w:t>围内</w:t>
      </w:r>
      <w:r>
        <w:rPr>
          <w:rFonts w:hint="eastAsia" w:ascii="MS UI Gothic" w:eastAsia="MS UI Gothic"/>
          <w:spacing w:val="-2"/>
          <w:w w:val="80"/>
        </w:rPr>
        <w:t xml:space="preserve">ꎬ </w:t>
      </w:r>
      <w:r>
        <w:rPr>
          <w:spacing w:val="3"/>
          <w:w w:val="105"/>
        </w:rPr>
        <w:t>做好有关行业</w:t>
      </w:r>
      <w:r>
        <w:rPr>
          <w:rFonts w:hint="eastAsia" w:ascii="MS UI Gothic" w:eastAsia="MS UI Gothic"/>
          <w:spacing w:val="-1"/>
          <w:w w:val="80"/>
        </w:rPr>
        <w:t xml:space="preserve">、 </w:t>
      </w:r>
      <w:r>
        <w:rPr>
          <w:spacing w:val="2"/>
          <w:w w:val="105"/>
        </w:rPr>
        <w:t>领域的生产安全事</w:t>
      </w:r>
      <w:r>
        <w:rPr>
          <w:spacing w:val="3"/>
          <w:w w:val="105"/>
        </w:rPr>
        <w:t>故应急工作</w:t>
      </w:r>
      <w:r>
        <w:rPr>
          <w:rFonts w:hint="eastAsia" w:ascii="MS UI Gothic" w:eastAsia="MS UI Gothic"/>
          <w:w w:val="80"/>
        </w:rPr>
        <w:t>ꎮ</w:t>
      </w:r>
    </w:p>
    <w:p>
      <w:pPr>
        <w:pStyle w:val="6"/>
        <w:spacing w:line="295" w:lineRule="auto"/>
        <w:ind w:right="39"/>
        <w:rPr>
          <w:rFonts w:hint="eastAsia" w:ascii="MS UI Gothic" w:eastAsia="MS UI Gothic"/>
        </w:rPr>
      </w:pPr>
      <w:r>
        <w:t>县级以上人民政府应急管理部门指</w:t>
      </w:r>
      <w:r>
        <w:rPr>
          <w:w w:val="105"/>
        </w:rPr>
        <w:t>导</w:t>
      </w:r>
      <w:r>
        <w:rPr>
          <w:rFonts w:hint="eastAsia" w:ascii="MS UI Gothic" w:eastAsia="MS UI Gothic"/>
          <w:w w:val="80"/>
        </w:rPr>
        <w:t xml:space="preserve">、 </w:t>
      </w:r>
      <w:r>
        <w:rPr>
          <w:w w:val="105"/>
        </w:rPr>
        <w:t>协调本级人民政府其他负有安全生产</w:t>
      </w:r>
      <w:r>
        <w:t>监督管理职责的部门和下级人民政府的生</w:t>
      </w:r>
      <w:r>
        <w:rPr>
          <w:w w:val="105"/>
        </w:rPr>
        <w:t>产安全事故应急工作</w:t>
      </w:r>
      <w:r>
        <w:rPr>
          <w:rFonts w:hint="eastAsia" w:ascii="MS UI Gothic" w:eastAsia="MS UI Gothic"/>
          <w:w w:val="80"/>
        </w:rPr>
        <w:t>ꎮ</w:t>
      </w:r>
    </w:p>
    <w:p>
      <w:pPr>
        <w:pStyle w:val="6"/>
        <w:spacing w:line="295" w:lineRule="auto"/>
        <w:ind w:right="39"/>
        <w:rPr>
          <w:rFonts w:hint="eastAsia" w:ascii="MS UI Gothic" w:eastAsia="MS UI Gothic"/>
        </w:rPr>
      </w:pPr>
      <w:r>
        <w:rPr>
          <w:w w:val="105"/>
        </w:rPr>
        <w:t>乡</w:t>
      </w:r>
      <w:r>
        <w:rPr>
          <w:rFonts w:hint="eastAsia" w:ascii="MS UI Gothic" w:eastAsia="MS UI Gothic"/>
          <w:w w:val="80"/>
        </w:rPr>
        <w:t xml:space="preserve">、 </w:t>
      </w:r>
      <w:r>
        <w:rPr>
          <w:w w:val="105"/>
        </w:rPr>
        <w:t>镇人民政府以及街道办事处等地</w:t>
      </w:r>
      <w:r>
        <w:t>方人民政府派出机关应当协助上级人民政府有关部门依法履行生产安全事故应急工</w:t>
      </w:r>
      <w:r>
        <w:rPr>
          <w:w w:val="105"/>
        </w:rPr>
        <w:t>作职责</w:t>
      </w:r>
      <w:r>
        <w:rPr>
          <w:rFonts w:hint="eastAsia" w:ascii="MS UI Gothic" w:eastAsia="MS UI Gothic"/>
          <w:w w:val="80"/>
        </w:rPr>
        <w:t>ꎮ</w:t>
      </w:r>
    </w:p>
    <w:p>
      <w:pPr>
        <w:pStyle w:val="6"/>
        <w:spacing w:line="295" w:lineRule="auto"/>
        <w:ind w:right="39"/>
        <w:rPr>
          <w:rFonts w:hint="eastAsia" w:ascii="MS UI Gothic" w:eastAsia="MS UI Gothic"/>
        </w:rPr>
      </w:pPr>
      <w:r>
        <w:t>第四条 生产经营单位应当加强生产安全事故应急工作</w:t>
      </w:r>
      <w:r>
        <w:rPr>
          <w:rFonts w:hint="eastAsia" w:ascii="MS UI Gothic" w:eastAsia="MS UI Gothic"/>
          <w:w w:val="80"/>
        </w:rPr>
        <w:t xml:space="preserve">ꎬ </w:t>
      </w:r>
      <w:r>
        <w:t>建立</w:t>
      </w:r>
      <w:r>
        <w:rPr>
          <w:rFonts w:hint="eastAsia" w:ascii="MS UI Gothic" w:eastAsia="MS UI Gothic"/>
          <w:w w:val="80"/>
        </w:rPr>
        <w:t xml:space="preserve">、 </w:t>
      </w:r>
      <w:r>
        <w:t>健全生产安全事故应急工作责任制</w:t>
      </w:r>
      <w:r>
        <w:rPr>
          <w:rFonts w:hint="eastAsia" w:ascii="MS UI Gothic" w:eastAsia="MS UI Gothic"/>
          <w:w w:val="80"/>
        </w:rPr>
        <w:t xml:space="preserve">ꎬ </w:t>
      </w:r>
      <w:r>
        <w:t>其主要负责人对本单位的生产安全事故应急工作全面负责</w:t>
      </w:r>
      <w:r>
        <w:rPr>
          <w:rFonts w:hint="eastAsia" w:ascii="MS UI Gothic" w:eastAsia="MS UI Gothic"/>
          <w:w w:val="80"/>
        </w:rPr>
        <w:t>ꎮ</w:t>
      </w:r>
    </w:p>
    <w:p>
      <w:pPr>
        <w:pStyle w:val="6"/>
        <w:tabs>
          <w:tab w:val="left" w:pos="1906"/>
        </w:tabs>
        <w:spacing w:before="136"/>
        <w:ind w:left="1067" w:firstLine="0"/>
        <w:jc w:val="left"/>
      </w:pPr>
      <w:r>
        <w:rPr>
          <w:spacing w:val="3"/>
          <w:w w:val="105"/>
        </w:rPr>
        <w:t>第二</w:t>
      </w:r>
      <w:r>
        <w:rPr>
          <w:w w:val="105"/>
        </w:rPr>
        <w:t>章</w:t>
      </w:r>
      <w:r>
        <w:rPr>
          <w:w w:val="105"/>
        </w:rPr>
        <w:tab/>
      </w:r>
      <w:r>
        <w:rPr>
          <w:w w:val="105"/>
        </w:rPr>
        <w:t>应</w:t>
      </w:r>
      <w:r>
        <w:rPr>
          <w:spacing w:val="-34"/>
          <w:w w:val="105"/>
        </w:rPr>
        <w:t xml:space="preserve"> </w:t>
      </w:r>
      <w:r>
        <w:rPr>
          <w:w w:val="105"/>
        </w:rPr>
        <w:t>急</w:t>
      </w:r>
      <w:r>
        <w:rPr>
          <w:spacing w:val="-33"/>
          <w:w w:val="105"/>
        </w:rPr>
        <w:t xml:space="preserve"> </w:t>
      </w:r>
      <w:r>
        <w:rPr>
          <w:w w:val="105"/>
        </w:rPr>
        <w:t>准</w:t>
      </w:r>
      <w:r>
        <w:rPr>
          <w:spacing w:val="-33"/>
          <w:w w:val="105"/>
        </w:rPr>
        <w:t xml:space="preserve"> </w:t>
      </w:r>
      <w:r>
        <w:rPr>
          <w:w w:val="105"/>
        </w:rPr>
        <w:t>备</w:t>
      </w:r>
    </w:p>
    <w:p>
      <w:pPr>
        <w:pStyle w:val="6"/>
        <w:spacing w:before="215" w:line="295" w:lineRule="auto"/>
        <w:ind w:right="38"/>
        <w:rPr>
          <w:rFonts w:hint="eastAsia" w:ascii="MS UI Gothic" w:eastAsia="MS UI Gothic"/>
        </w:rPr>
      </w:pPr>
      <w:r>
        <w:rPr>
          <w:w w:val="105"/>
        </w:rPr>
        <w:t>第五条 县级以上人民政府及其负有安全生产监督管理职责的部门和乡</w:t>
      </w:r>
      <w:r>
        <w:rPr>
          <w:rFonts w:hint="eastAsia" w:ascii="MS UI Gothic" w:eastAsia="MS UI Gothic"/>
          <w:w w:val="80"/>
        </w:rPr>
        <w:t xml:space="preserve">、 </w:t>
      </w:r>
      <w:r>
        <w:rPr>
          <w:w w:val="105"/>
        </w:rPr>
        <w:t>镇人</w:t>
      </w:r>
      <w:r>
        <w:t>民政府以及街道办事处等地方人民政府派出机关</w:t>
      </w:r>
      <w:r>
        <w:rPr>
          <w:rFonts w:hint="eastAsia" w:ascii="MS UI Gothic" w:eastAsia="MS UI Gothic"/>
          <w:w w:val="80"/>
        </w:rPr>
        <w:t xml:space="preserve">ꎬ </w:t>
      </w:r>
      <w:r>
        <w:t>应当针对可能发生的生产安全事故的特点和危害</w:t>
      </w:r>
      <w:r>
        <w:rPr>
          <w:rFonts w:hint="eastAsia" w:ascii="MS UI Gothic" w:eastAsia="MS UI Gothic"/>
          <w:w w:val="80"/>
        </w:rPr>
        <w:t xml:space="preserve">ꎬ </w:t>
      </w:r>
      <w:r>
        <w:t>进行风险辨识和评估</w:t>
      </w:r>
      <w:r>
        <w:rPr>
          <w:rFonts w:hint="eastAsia" w:ascii="MS UI Gothic" w:eastAsia="MS UI Gothic"/>
          <w:w w:val="80"/>
        </w:rPr>
        <w:t>ꎬ</w:t>
      </w:r>
      <w:r>
        <w:t>制定相应的生产安全事故应急救援预案</w:t>
      </w:r>
      <w:r>
        <w:rPr>
          <w:rFonts w:hint="eastAsia" w:ascii="MS UI Gothic" w:eastAsia="MS UI Gothic"/>
          <w:w w:val="80"/>
        </w:rPr>
        <w:t>ꎬ</w:t>
      </w:r>
      <w:r>
        <w:rPr>
          <w:w w:val="105"/>
        </w:rPr>
        <w:t>并依法向社会公布</w:t>
      </w:r>
      <w:r>
        <w:rPr>
          <w:rFonts w:hint="eastAsia" w:ascii="MS UI Gothic" w:eastAsia="MS UI Gothic"/>
          <w:w w:val="80"/>
        </w:rPr>
        <w:t>ꎮ</w:t>
      </w:r>
    </w:p>
    <w:p>
      <w:pPr>
        <w:pStyle w:val="6"/>
        <w:spacing w:line="295" w:lineRule="auto"/>
        <w:ind w:right="39"/>
      </w:pPr>
      <w:r>
        <w:t>生产经营单位应当针对本单位可能发生的生产安全事故的特点和危害</w:t>
      </w:r>
      <w:r>
        <w:rPr>
          <w:rFonts w:hint="eastAsia" w:ascii="MS UI Gothic" w:eastAsia="MS UI Gothic"/>
          <w:w w:val="80"/>
        </w:rPr>
        <w:t xml:space="preserve">ꎬ </w:t>
      </w:r>
      <w:r>
        <w:t>进行风险辨识和评估</w:t>
      </w:r>
      <w:r>
        <w:rPr>
          <w:rFonts w:hint="eastAsia" w:ascii="MS UI Gothic" w:eastAsia="MS UI Gothic"/>
          <w:w w:val="80"/>
        </w:rPr>
        <w:t xml:space="preserve">ꎬ </w:t>
      </w:r>
      <w:r>
        <w:t>制定相应的生产安全事故</w:t>
      </w:r>
    </w:p>
    <w:p>
      <w:pPr>
        <w:pStyle w:val="6"/>
        <w:spacing w:before="123" w:line="295" w:lineRule="auto"/>
        <w:ind w:right="442" w:firstLine="0"/>
        <w:rPr>
          <w:rFonts w:hint="eastAsia" w:ascii="MS UI Gothic" w:eastAsia="MS UI Gothic"/>
        </w:rPr>
      </w:pPr>
      <w:r>
        <w:br w:type="column"/>
      </w:r>
      <w:r>
        <w:t>应急救援预案</w:t>
      </w:r>
      <w:r>
        <w:rPr>
          <w:rFonts w:hint="eastAsia" w:ascii="MS UI Gothic" w:eastAsia="MS UI Gothic"/>
          <w:w w:val="80"/>
        </w:rPr>
        <w:t xml:space="preserve">ꎬ </w:t>
      </w:r>
      <w:r>
        <w:t>并向本单位从业人员公布</w:t>
      </w:r>
      <w:r>
        <w:rPr>
          <w:rFonts w:hint="eastAsia" w:ascii="MS UI Gothic" w:eastAsia="MS UI Gothic"/>
          <w:w w:val="80"/>
        </w:rPr>
        <w:t>ꎮ</w:t>
      </w:r>
    </w:p>
    <w:p>
      <w:pPr>
        <w:pStyle w:val="6"/>
        <w:spacing w:line="295" w:lineRule="auto"/>
        <w:ind w:right="440"/>
        <w:rPr>
          <w:rFonts w:hint="eastAsia" w:ascii="MS UI Gothic" w:eastAsia="MS UI Gothic"/>
        </w:rPr>
      </w:pPr>
      <w:r>
        <w:t>第六条 生产安全事故应急救援预案应当符合有关法律</w:t>
      </w:r>
      <w:r>
        <w:rPr>
          <w:rFonts w:hint="eastAsia" w:ascii="MS UI Gothic" w:eastAsia="MS UI Gothic"/>
          <w:w w:val="80"/>
        </w:rPr>
        <w:t xml:space="preserve">、 </w:t>
      </w:r>
      <w:r>
        <w:t>法规</w:t>
      </w:r>
      <w:r>
        <w:rPr>
          <w:rFonts w:hint="eastAsia" w:ascii="MS UI Gothic" w:eastAsia="MS UI Gothic"/>
          <w:w w:val="80"/>
        </w:rPr>
        <w:t xml:space="preserve">、 </w:t>
      </w:r>
      <w:r>
        <w:t>规章和标准的规定</w:t>
      </w:r>
      <w:r>
        <w:rPr>
          <w:rFonts w:hint="eastAsia" w:ascii="MS UI Gothic" w:eastAsia="MS UI Gothic"/>
          <w:w w:val="80"/>
        </w:rPr>
        <w:t xml:space="preserve">ꎬ </w:t>
      </w:r>
      <w:r>
        <w:t>具有科学性</w:t>
      </w:r>
      <w:r>
        <w:rPr>
          <w:rFonts w:hint="eastAsia" w:ascii="MS UI Gothic" w:eastAsia="MS UI Gothic"/>
          <w:w w:val="80"/>
        </w:rPr>
        <w:t xml:space="preserve">、 </w:t>
      </w:r>
      <w:r>
        <w:t>针对性和可操作性</w:t>
      </w:r>
      <w:r>
        <w:rPr>
          <w:rFonts w:hint="eastAsia" w:ascii="MS UI Gothic" w:eastAsia="MS UI Gothic"/>
          <w:w w:val="80"/>
        </w:rPr>
        <w:t>ꎬ</w:t>
      </w:r>
      <w:r>
        <w:t>明确规定应急组织体系</w:t>
      </w:r>
      <w:r>
        <w:rPr>
          <w:rFonts w:hint="eastAsia" w:ascii="MS UI Gothic" w:eastAsia="MS UI Gothic"/>
          <w:w w:val="80"/>
        </w:rPr>
        <w:t xml:space="preserve">、 </w:t>
      </w:r>
      <w:r>
        <w:t>职责分工以及应急救援程序和措施</w:t>
      </w:r>
      <w:r>
        <w:rPr>
          <w:rFonts w:hint="eastAsia" w:ascii="MS UI Gothic" w:eastAsia="MS UI Gothic"/>
          <w:w w:val="80"/>
        </w:rPr>
        <w:t>ꎮ</w:t>
      </w:r>
    </w:p>
    <w:p>
      <w:pPr>
        <w:pStyle w:val="6"/>
        <w:spacing w:line="295" w:lineRule="auto"/>
        <w:ind w:right="442"/>
        <w:rPr>
          <w:rFonts w:hint="eastAsia" w:ascii="MS UI Gothic" w:eastAsia="MS UI Gothic"/>
        </w:rPr>
      </w:pPr>
      <w:r>
        <w:t>有下列情形之一的</w:t>
      </w:r>
      <w:r>
        <w:rPr>
          <w:rFonts w:hint="eastAsia" w:ascii="MS UI Gothic" w:eastAsia="MS UI Gothic"/>
          <w:w w:val="80"/>
        </w:rPr>
        <w:t xml:space="preserve">ꎬ </w:t>
      </w:r>
      <w:r>
        <w:t>生产安全事故应急救援预案制定单位应当及时修订相关</w:t>
      </w:r>
      <w:r>
        <w:rPr>
          <w:w w:val="110"/>
        </w:rPr>
        <w:t>预案</w:t>
      </w:r>
      <w:r>
        <w:rPr>
          <w:rFonts w:hint="eastAsia" w:ascii="MS UI Gothic" w:eastAsia="MS UI Gothic"/>
          <w:w w:val="235"/>
        </w:rPr>
        <w:t>:</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制定预案所依据的法律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w:t>
      </w:r>
      <w:r>
        <w:rPr>
          <w:rFonts w:hint="eastAsia" w:ascii="MS UI Gothic" w:eastAsia="MS UI Gothic"/>
          <w:w w:val="80"/>
        </w:rPr>
        <w:t xml:space="preserve">、 </w:t>
      </w:r>
      <w:r>
        <w:rPr>
          <w:w w:val="105"/>
        </w:rPr>
        <w:t>标准发生重大变化</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spacing w:val="-34"/>
          <w:w w:val="120"/>
        </w:rPr>
        <w:t xml:space="preserve">( </w:t>
      </w:r>
      <w:r>
        <w:rPr>
          <w:spacing w:val="5"/>
          <w:w w:val="110"/>
        </w:rPr>
        <w:t>二</w:t>
      </w:r>
      <w:r>
        <w:rPr>
          <w:rFonts w:hint="eastAsia" w:ascii="MS UI Gothic" w:eastAsia="MS UI Gothic"/>
          <w:spacing w:val="-13"/>
          <w:w w:val="120"/>
        </w:rPr>
        <w:t xml:space="preserve">) </w:t>
      </w:r>
      <w:r>
        <w:rPr>
          <w:spacing w:val="23"/>
          <w:w w:val="110"/>
        </w:rPr>
        <w:t>应急指挥机构及其职责发生</w:t>
      </w:r>
      <w:r>
        <w:rPr>
          <w:spacing w:val="3"/>
          <w:w w:val="110"/>
        </w:rPr>
        <w:t>调整</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安全生产面临的风险发生重大</w:t>
      </w:r>
      <w:r>
        <w:rPr>
          <w:spacing w:val="3"/>
          <w:w w:val="110"/>
        </w:rPr>
        <w:t>变化</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重要应急资源发生重大变化</w:t>
      </w:r>
      <w:r>
        <w:rPr>
          <w:rFonts w:hint="eastAsia" w:ascii="MS UI Gothic" w:eastAsia="MS UI Gothic"/>
          <w:w w:val="80"/>
        </w:rPr>
        <w:t>ꎻ</w:t>
      </w:r>
    </w:p>
    <w:p>
      <w:pPr>
        <w:pStyle w:val="6"/>
        <w:spacing w:before="47" w:line="295" w:lineRule="auto"/>
        <w:ind w:right="442"/>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在预案演练或者应急救援中发现需要修订预案的重大问题</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其他应当修订的情形</w:t>
      </w:r>
      <w:r>
        <w:rPr>
          <w:rFonts w:hint="eastAsia" w:ascii="MS UI Gothic" w:eastAsia="MS UI Gothic"/>
          <w:w w:val="80"/>
        </w:rPr>
        <w:t>ꎮ</w:t>
      </w:r>
    </w:p>
    <w:p>
      <w:pPr>
        <w:pStyle w:val="6"/>
        <w:spacing w:before="58" w:line="295" w:lineRule="auto"/>
        <w:ind w:right="442"/>
        <w:rPr>
          <w:rFonts w:hint="eastAsia" w:ascii="MS UI Gothic" w:eastAsia="MS UI Gothic"/>
        </w:rPr>
      </w:pPr>
      <w:r>
        <w:t>第七条 县级以上人民政府负有安全生产监督管理职责的部门应当将其制定的生产安全事故应急救援预案报送本级人民政府备案</w:t>
      </w:r>
      <w:r>
        <w:rPr>
          <w:rFonts w:hint="eastAsia" w:ascii="MS UI Gothic" w:eastAsia="MS UI Gothic"/>
          <w:w w:val="80"/>
        </w:rPr>
        <w:t xml:space="preserve">ꎻ </w:t>
      </w:r>
      <w:r>
        <w:t>易燃易爆物品</w:t>
      </w:r>
      <w:r>
        <w:rPr>
          <w:rFonts w:hint="eastAsia" w:ascii="MS UI Gothic" w:eastAsia="MS UI Gothic"/>
          <w:w w:val="80"/>
        </w:rPr>
        <w:t xml:space="preserve">、 </w:t>
      </w:r>
      <w:r>
        <w:t>危险化学品等危险物品的生产</w:t>
      </w:r>
      <w:r>
        <w:rPr>
          <w:rFonts w:hint="eastAsia" w:ascii="MS UI Gothic" w:eastAsia="MS UI Gothic"/>
          <w:w w:val="80"/>
        </w:rPr>
        <w:t xml:space="preserve">、 </w:t>
      </w:r>
      <w:r>
        <w:t>经营</w:t>
      </w:r>
      <w:r>
        <w:rPr>
          <w:rFonts w:hint="eastAsia" w:ascii="MS UI Gothic" w:eastAsia="MS UI Gothic"/>
          <w:w w:val="80"/>
        </w:rPr>
        <w:t xml:space="preserve">、 </w:t>
      </w:r>
      <w:r>
        <w:t>储存</w:t>
      </w:r>
      <w:r>
        <w:rPr>
          <w:rFonts w:hint="eastAsia" w:ascii="MS UI Gothic" w:eastAsia="MS UI Gothic"/>
          <w:w w:val="80"/>
        </w:rPr>
        <w:t xml:space="preserve">、 </w:t>
      </w:r>
      <w:r>
        <w:t>运输单位</w:t>
      </w:r>
      <w:r>
        <w:rPr>
          <w:rFonts w:hint="eastAsia" w:ascii="MS UI Gothic" w:eastAsia="MS UI Gothic"/>
          <w:w w:val="80"/>
        </w:rPr>
        <w:t xml:space="preserve">ꎬ </w:t>
      </w:r>
      <w:r>
        <w:t>矿山</w:t>
      </w:r>
      <w:r>
        <w:rPr>
          <w:rFonts w:hint="eastAsia" w:ascii="MS UI Gothic" w:eastAsia="MS UI Gothic"/>
          <w:w w:val="80"/>
        </w:rPr>
        <w:t xml:space="preserve">、 </w:t>
      </w:r>
      <w:r>
        <w:t>金属冶炼</w:t>
      </w:r>
      <w:r>
        <w:rPr>
          <w:rFonts w:hint="eastAsia" w:ascii="MS UI Gothic" w:eastAsia="MS UI Gothic"/>
          <w:w w:val="80"/>
        </w:rPr>
        <w:t xml:space="preserve">、 </w:t>
      </w:r>
      <w:r>
        <w:t>城市轨道交通运营</w:t>
      </w:r>
      <w:r>
        <w:rPr>
          <w:rFonts w:hint="eastAsia" w:ascii="MS UI Gothic" w:eastAsia="MS UI Gothic"/>
          <w:w w:val="80"/>
        </w:rPr>
        <w:t xml:space="preserve">、 </w:t>
      </w:r>
      <w:r>
        <w:t>建筑施工单位</w:t>
      </w:r>
      <w:r>
        <w:rPr>
          <w:rFonts w:hint="eastAsia" w:ascii="MS UI Gothic" w:eastAsia="MS UI Gothic"/>
          <w:w w:val="80"/>
        </w:rPr>
        <w:t xml:space="preserve">ꎬ </w:t>
      </w:r>
      <w:r>
        <w:t>以及宾馆</w:t>
      </w:r>
      <w:r>
        <w:rPr>
          <w:rFonts w:hint="eastAsia" w:ascii="MS UI Gothic" w:eastAsia="MS UI Gothic"/>
          <w:w w:val="80"/>
        </w:rPr>
        <w:t xml:space="preserve">、 </w:t>
      </w:r>
      <w:r>
        <w:t>商场</w:t>
      </w:r>
      <w:r>
        <w:rPr>
          <w:rFonts w:hint="eastAsia" w:ascii="MS UI Gothic" w:eastAsia="MS UI Gothic"/>
          <w:w w:val="80"/>
        </w:rPr>
        <w:t xml:space="preserve">、  </w:t>
      </w:r>
      <w:r>
        <w:t>娱乐场所</w:t>
      </w:r>
      <w:r>
        <w:rPr>
          <w:rFonts w:hint="eastAsia" w:ascii="MS UI Gothic" w:eastAsia="MS UI Gothic"/>
          <w:w w:val="80"/>
        </w:rPr>
        <w:t xml:space="preserve">、 </w:t>
      </w:r>
      <w:r>
        <w:t>旅游景区等人员密集场所经营单位</w:t>
      </w:r>
      <w:r>
        <w:rPr>
          <w:rFonts w:hint="eastAsia" w:ascii="MS UI Gothic" w:eastAsia="MS UI Gothic"/>
          <w:w w:val="80"/>
        </w:rPr>
        <w:t xml:space="preserve">ꎬ </w:t>
      </w:r>
      <w:r>
        <w:t>应当将其制定的生产安全事故应急救援预案按照国家有关规定报送县级以上人民政府负有安全生产监督管理职责的部门备案</w:t>
      </w:r>
      <w:r>
        <w:rPr>
          <w:rFonts w:hint="eastAsia" w:ascii="MS UI Gothic" w:eastAsia="MS UI Gothic"/>
          <w:w w:val="80"/>
        </w:rPr>
        <w:t xml:space="preserve">ꎬ </w:t>
      </w:r>
      <w:r>
        <w:t>并依法向社会公布</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第八条 县级以上地方人民政府以及</w:t>
      </w:r>
      <w:r>
        <w:rPr>
          <w:spacing w:val="2"/>
        </w:rPr>
        <w:t>县级以上人民政府负有安全生产监督管理</w:t>
      </w:r>
      <w:r>
        <w:rPr>
          <w:spacing w:val="3"/>
          <w:w w:val="105"/>
        </w:rPr>
        <w:t>职责的部门</w:t>
      </w:r>
      <w:r>
        <w:rPr>
          <w:rFonts w:hint="eastAsia" w:ascii="MS UI Gothic" w:eastAsia="MS UI Gothic"/>
          <w:w w:val="80"/>
        </w:rPr>
        <w:t xml:space="preserve">ꎬ </w:t>
      </w:r>
      <w:r>
        <w:rPr>
          <w:spacing w:val="3"/>
          <w:w w:val="105"/>
        </w:rPr>
        <w:t>乡</w:t>
      </w:r>
      <w:r>
        <w:rPr>
          <w:rFonts w:hint="eastAsia" w:ascii="MS UI Gothic" w:eastAsia="MS UI Gothic"/>
          <w:w w:val="80"/>
        </w:rPr>
        <w:t xml:space="preserve">、 </w:t>
      </w:r>
      <w:r>
        <w:rPr>
          <w:spacing w:val="2"/>
          <w:w w:val="105"/>
        </w:rPr>
        <w:t>镇人民政府以及街道办</w:t>
      </w:r>
      <w:r>
        <w:rPr>
          <w:spacing w:val="3"/>
        </w:rPr>
        <w:t>事处等地方人民政府派出机关</w:t>
      </w:r>
      <w:r>
        <w:rPr>
          <w:rFonts w:hint="eastAsia" w:ascii="MS UI Gothic" w:eastAsia="MS UI Gothic"/>
          <w:spacing w:val="20"/>
          <w:w w:val="80"/>
        </w:rPr>
        <w:t xml:space="preserve">ꎬ </w:t>
      </w:r>
      <w:r>
        <w:rPr>
          <w:spacing w:val="2"/>
        </w:rPr>
        <w:t>应当至少</w:t>
      </w:r>
      <w:r>
        <w:rPr>
          <w:spacing w:val="-35"/>
          <w:w w:val="105"/>
        </w:rPr>
        <w:t xml:space="preserve">每 </w:t>
      </w:r>
      <w:r>
        <w:rPr>
          <w:rFonts w:hint="eastAsia" w:ascii="MS UI Gothic" w:eastAsia="MS UI Gothic"/>
          <w:spacing w:val="-6"/>
          <w:w w:val="80"/>
        </w:rPr>
        <w:t xml:space="preserve">２ </w:t>
      </w:r>
      <w:r>
        <w:rPr>
          <w:spacing w:val="-17"/>
          <w:w w:val="105"/>
        </w:rPr>
        <w:t xml:space="preserve">年组织 </w:t>
      </w:r>
      <w:r>
        <w:rPr>
          <w:rFonts w:hint="eastAsia" w:ascii="MS UI Gothic" w:eastAsia="MS UI Gothic"/>
          <w:spacing w:val="-5"/>
          <w:w w:val="80"/>
        </w:rPr>
        <w:t xml:space="preserve">１ </w:t>
      </w:r>
      <w:r>
        <w:rPr>
          <w:spacing w:val="2"/>
          <w:w w:val="105"/>
        </w:rPr>
        <w:t>次生产安全事故应急救援预</w:t>
      </w:r>
      <w:r>
        <w:rPr>
          <w:spacing w:val="3"/>
          <w:w w:val="105"/>
        </w:rPr>
        <w:t>案演练</w:t>
      </w:r>
      <w:r>
        <w:rPr>
          <w:rFonts w:hint="eastAsia" w:ascii="MS UI Gothic" w:eastAsia="MS UI Gothic"/>
          <w:w w:val="80"/>
        </w:rPr>
        <w:t>ꎮ</w:t>
      </w:r>
    </w:p>
    <w:p>
      <w:pPr>
        <w:pStyle w:val="6"/>
        <w:spacing w:line="251" w:lineRule="exact"/>
        <w:ind w:left="543" w:firstLine="0"/>
        <w:jc w:val="left"/>
      </w:pPr>
      <w:r>
        <w:t>易燃易爆物品</w:t>
      </w:r>
      <w:r>
        <w:rPr>
          <w:rFonts w:hint="eastAsia" w:ascii="MS UI Gothic" w:eastAsia="MS UI Gothic"/>
        </w:rPr>
        <w:t xml:space="preserve">、 </w:t>
      </w:r>
      <w:r>
        <w:t>危险化学品等危险物</w:t>
      </w:r>
    </w:p>
    <w:p>
      <w:pPr>
        <w:spacing w:after="0" w:line="251"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６９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55" o:spid="_x0000_s1255" o:spt="203" style="height:2.15pt;width:398.25pt;" coordsize="7965,43">
            <o:lock v:ext="edit"/>
            <v:line id="_x0000_s1256" o:spid="_x0000_s1256" o:spt="20" style="position:absolute;left:0;top:39;height:0;width:7965;" stroked="t" coordsize="21600,21600">
              <v:path arrowok="t"/>
              <v:fill focussize="0,0"/>
              <v:stroke weight="0.388031496062992pt" color="#231F20"/>
              <v:imagedata o:title=""/>
              <o:lock v:ext="edit"/>
            </v:line>
            <v:line id="_x0000_s1257" o:spid="_x0000_s125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品的生产</w:t>
      </w:r>
      <w:r>
        <w:rPr>
          <w:rFonts w:hint="eastAsia" w:ascii="MS UI Gothic" w:eastAsia="MS UI Gothic"/>
          <w:w w:val="80"/>
        </w:rPr>
        <w:t xml:space="preserve">、 </w:t>
      </w:r>
      <w:r>
        <w:t>经营</w:t>
      </w:r>
      <w:r>
        <w:rPr>
          <w:rFonts w:hint="eastAsia" w:ascii="MS UI Gothic" w:eastAsia="MS UI Gothic"/>
          <w:w w:val="80"/>
        </w:rPr>
        <w:t xml:space="preserve">、 </w:t>
      </w:r>
      <w:r>
        <w:t>储存</w:t>
      </w:r>
      <w:r>
        <w:rPr>
          <w:rFonts w:hint="eastAsia" w:ascii="MS UI Gothic" w:eastAsia="MS UI Gothic"/>
          <w:w w:val="80"/>
        </w:rPr>
        <w:t xml:space="preserve">、 </w:t>
      </w:r>
      <w:r>
        <w:t>运输单位</w:t>
      </w:r>
      <w:r>
        <w:rPr>
          <w:rFonts w:hint="eastAsia" w:ascii="MS UI Gothic" w:eastAsia="MS UI Gothic"/>
          <w:w w:val="80"/>
        </w:rPr>
        <w:t xml:space="preserve">ꎬ  </w:t>
      </w:r>
      <w:r>
        <w:t>矿山</w:t>
      </w:r>
      <w:r>
        <w:rPr>
          <w:rFonts w:hint="eastAsia" w:ascii="MS UI Gothic" w:eastAsia="MS UI Gothic"/>
          <w:w w:val="80"/>
        </w:rPr>
        <w:t xml:space="preserve">、 </w:t>
      </w:r>
      <w:r>
        <w:t>金属冶炼</w:t>
      </w:r>
      <w:r>
        <w:rPr>
          <w:rFonts w:hint="eastAsia" w:ascii="MS UI Gothic" w:eastAsia="MS UI Gothic"/>
          <w:w w:val="80"/>
        </w:rPr>
        <w:t xml:space="preserve">、 </w:t>
      </w:r>
      <w:r>
        <w:t>城市轨道交通运营</w:t>
      </w:r>
      <w:r>
        <w:rPr>
          <w:rFonts w:hint="eastAsia" w:ascii="MS UI Gothic" w:eastAsia="MS UI Gothic"/>
          <w:w w:val="80"/>
        </w:rPr>
        <w:t xml:space="preserve">、 </w:t>
      </w:r>
      <w:r>
        <w:t>建筑施工单位</w:t>
      </w:r>
      <w:r>
        <w:rPr>
          <w:rFonts w:hint="eastAsia" w:ascii="MS UI Gothic" w:eastAsia="MS UI Gothic"/>
          <w:w w:val="80"/>
        </w:rPr>
        <w:t xml:space="preserve">ꎬ </w:t>
      </w:r>
      <w:r>
        <w:t>以及宾馆</w:t>
      </w:r>
      <w:r>
        <w:rPr>
          <w:rFonts w:hint="eastAsia" w:ascii="MS UI Gothic" w:eastAsia="MS UI Gothic"/>
          <w:w w:val="80"/>
        </w:rPr>
        <w:t xml:space="preserve">、 </w:t>
      </w:r>
      <w:r>
        <w:t>商场</w:t>
      </w:r>
      <w:r>
        <w:rPr>
          <w:rFonts w:hint="eastAsia" w:ascii="MS UI Gothic" w:eastAsia="MS UI Gothic"/>
          <w:w w:val="80"/>
        </w:rPr>
        <w:t xml:space="preserve">、 </w:t>
      </w:r>
      <w:r>
        <w:t>娱乐场所</w:t>
      </w:r>
      <w:r>
        <w:rPr>
          <w:rFonts w:hint="eastAsia" w:ascii="MS UI Gothic" w:eastAsia="MS UI Gothic"/>
          <w:w w:val="80"/>
        </w:rPr>
        <w:t>、</w:t>
      </w:r>
      <w:r>
        <w:t>旅游景区等人员密集场所经营单位</w:t>
      </w:r>
      <w:r>
        <w:rPr>
          <w:rFonts w:hint="eastAsia" w:ascii="MS UI Gothic" w:eastAsia="MS UI Gothic"/>
          <w:w w:val="80"/>
        </w:rPr>
        <w:t xml:space="preserve">ꎬ </w:t>
      </w:r>
      <w:r>
        <w:t xml:space="preserve">应当至少每半年组织 </w:t>
      </w:r>
      <w:r>
        <w:rPr>
          <w:rFonts w:hint="eastAsia" w:ascii="MS UI Gothic" w:eastAsia="MS UI Gothic"/>
          <w:w w:val="80"/>
        </w:rPr>
        <w:t xml:space="preserve">１ </w:t>
      </w:r>
      <w:r>
        <w:t>次生产安全事故应急救援预案演练</w:t>
      </w:r>
      <w:r>
        <w:rPr>
          <w:rFonts w:hint="eastAsia" w:ascii="MS UI Gothic" w:eastAsia="MS UI Gothic"/>
          <w:w w:val="80"/>
        </w:rPr>
        <w:t xml:space="preserve">ꎬ </w:t>
      </w:r>
      <w:r>
        <w:t>并将演练情况报送所在地县级以上地方人民政府负有安全生产监督管理职责的部门</w:t>
      </w:r>
      <w:r>
        <w:rPr>
          <w:rFonts w:hint="eastAsia" w:ascii="MS UI Gothic" w:eastAsia="MS UI Gothic"/>
          <w:w w:val="80"/>
        </w:rPr>
        <w:t>ꎮ</w:t>
      </w:r>
    </w:p>
    <w:p>
      <w:pPr>
        <w:pStyle w:val="6"/>
        <w:spacing w:line="295" w:lineRule="auto"/>
        <w:ind w:left="440" w:right="1"/>
        <w:rPr>
          <w:rFonts w:hint="eastAsia" w:ascii="MS UI Gothic" w:eastAsia="MS UI Gothic"/>
        </w:rPr>
      </w:pPr>
      <w:r>
        <w:t>县级以上地方人民政府负有安全生产监督管理职责的部门应当对本行政区域内前款规定的重点生产经营单位的生产安全事故应急救援预案演练进行抽查</w:t>
      </w:r>
      <w:r>
        <w:rPr>
          <w:rFonts w:hint="eastAsia" w:ascii="MS UI Gothic" w:eastAsia="MS UI Gothic"/>
          <w:w w:val="80"/>
        </w:rPr>
        <w:t xml:space="preserve">ꎻ </w:t>
      </w:r>
      <w:r>
        <w:t>发现演</w:t>
      </w:r>
      <w:r>
        <w:rPr>
          <w:w w:val="105"/>
        </w:rPr>
        <w:t>练不符合要求的</w:t>
      </w:r>
      <w:r>
        <w:rPr>
          <w:rFonts w:hint="eastAsia" w:ascii="MS UI Gothic" w:eastAsia="MS UI Gothic"/>
          <w:w w:val="80"/>
        </w:rPr>
        <w:t xml:space="preserve">ꎬ </w:t>
      </w:r>
      <w:r>
        <w:rPr>
          <w:w w:val="105"/>
        </w:rPr>
        <w:t>应当责令限期改正</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第九条 县级以上人民政府应当加强</w:t>
      </w:r>
      <w:r>
        <w:t>对生产安全事故应急救援队伍建设的统一</w:t>
      </w:r>
      <w:r>
        <w:rPr>
          <w:w w:val="105"/>
        </w:rPr>
        <w:t>规划</w:t>
      </w:r>
      <w:r>
        <w:rPr>
          <w:rFonts w:hint="eastAsia" w:ascii="MS UI Gothic" w:eastAsia="MS UI Gothic"/>
          <w:w w:val="80"/>
        </w:rPr>
        <w:t xml:space="preserve">、 </w:t>
      </w:r>
      <w:r>
        <w:rPr>
          <w:w w:val="105"/>
        </w:rPr>
        <w:t>组织和指导</w:t>
      </w:r>
      <w:r>
        <w:rPr>
          <w:rFonts w:hint="eastAsia" w:ascii="MS UI Gothic" w:eastAsia="MS UI Gothic"/>
          <w:w w:val="80"/>
        </w:rPr>
        <w:t>ꎮ</w:t>
      </w:r>
    </w:p>
    <w:p>
      <w:pPr>
        <w:pStyle w:val="6"/>
        <w:spacing w:line="295" w:lineRule="auto"/>
        <w:ind w:left="440" w:right="1"/>
        <w:rPr>
          <w:rFonts w:hint="eastAsia" w:ascii="MS UI Gothic" w:eastAsia="MS UI Gothic"/>
        </w:rPr>
      </w:pPr>
      <w:r>
        <w:t>县级以上人民政府负有安全生产监督管理职责的部门根据生产安全事故应急工</w:t>
      </w:r>
      <w:r>
        <w:rPr>
          <w:w w:val="105"/>
        </w:rPr>
        <w:t>作的实际需要</w:t>
      </w:r>
      <w:r>
        <w:rPr>
          <w:rFonts w:hint="eastAsia" w:ascii="MS UI Gothic" w:eastAsia="MS UI Gothic"/>
          <w:w w:val="80"/>
        </w:rPr>
        <w:t xml:space="preserve">ꎬ </w:t>
      </w:r>
      <w:r>
        <w:rPr>
          <w:w w:val="105"/>
        </w:rPr>
        <w:t>在重点行业</w:t>
      </w:r>
      <w:r>
        <w:rPr>
          <w:rFonts w:hint="eastAsia" w:ascii="MS UI Gothic" w:eastAsia="MS UI Gothic"/>
          <w:w w:val="80"/>
        </w:rPr>
        <w:t xml:space="preserve">、 </w:t>
      </w:r>
      <w:r>
        <w:rPr>
          <w:w w:val="105"/>
        </w:rPr>
        <w:t>领域单独建立或者依托有条件的生产经营单位</w:t>
      </w:r>
      <w:r>
        <w:rPr>
          <w:rFonts w:hint="eastAsia" w:ascii="MS UI Gothic" w:eastAsia="MS UI Gothic"/>
          <w:w w:val="80"/>
        </w:rPr>
        <w:t xml:space="preserve">、 </w:t>
      </w:r>
      <w:r>
        <w:rPr>
          <w:w w:val="105"/>
        </w:rPr>
        <w:t>社会组织共同建立应急救援队伍</w:t>
      </w:r>
      <w:r>
        <w:rPr>
          <w:rFonts w:hint="eastAsia" w:ascii="MS UI Gothic" w:eastAsia="MS UI Gothic"/>
          <w:w w:val="80"/>
        </w:rPr>
        <w:t>ꎮ</w:t>
      </w:r>
    </w:p>
    <w:p>
      <w:pPr>
        <w:pStyle w:val="6"/>
        <w:spacing w:line="295" w:lineRule="auto"/>
        <w:ind w:left="440" w:right="1"/>
        <w:rPr>
          <w:rFonts w:hint="eastAsia" w:ascii="MS UI Gothic" w:eastAsia="MS UI Gothic"/>
        </w:rPr>
      </w:pPr>
      <w:r>
        <w:t>国家鼓励和支持生产经营单位和其他社会力量建立提供社会化应急救援服务的</w:t>
      </w:r>
      <w:r>
        <w:rPr>
          <w:w w:val="105"/>
        </w:rPr>
        <w:t>应急救援队伍</w:t>
      </w:r>
      <w:r>
        <w:rPr>
          <w:rFonts w:hint="eastAsia" w:ascii="MS UI Gothic" w:eastAsia="MS UI Gothic"/>
          <w:w w:val="80"/>
        </w:rPr>
        <w:t>ꎮ</w:t>
      </w:r>
    </w:p>
    <w:p>
      <w:pPr>
        <w:pStyle w:val="6"/>
        <w:spacing w:line="295" w:lineRule="auto"/>
        <w:ind w:left="440" w:right="1"/>
        <w:rPr>
          <w:rFonts w:hint="eastAsia" w:ascii="MS UI Gothic" w:eastAsia="MS UI Gothic"/>
        </w:rPr>
      </w:pPr>
      <w:r>
        <w:t>第十条 易燃易爆物品</w:t>
      </w:r>
      <w:r>
        <w:rPr>
          <w:rFonts w:hint="eastAsia" w:ascii="MS UI Gothic" w:eastAsia="MS UI Gothic"/>
          <w:w w:val="80"/>
        </w:rPr>
        <w:t xml:space="preserve">、 </w:t>
      </w:r>
      <w:r>
        <w:t>危险化学品等危险物品的生产</w:t>
      </w:r>
      <w:r>
        <w:rPr>
          <w:rFonts w:hint="eastAsia" w:ascii="MS UI Gothic" w:eastAsia="MS UI Gothic"/>
          <w:w w:val="80"/>
        </w:rPr>
        <w:t xml:space="preserve">、 </w:t>
      </w:r>
      <w:r>
        <w:t>经营</w:t>
      </w:r>
      <w:r>
        <w:rPr>
          <w:rFonts w:hint="eastAsia" w:ascii="MS UI Gothic" w:eastAsia="MS UI Gothic"/>
          <w:w w:val="80"/>
        </w:rPr>
        <w:t xml:space="preserve">、 </w:t>
      </w:r>
      <w:r>
        <w:t>储存</w:t>
      </w:r>
      <w:r>
        <w:rPr>
          <w:rFonts w:hint="eastAsia" w:ascii="MS UI Gothic" w:eastAsia="MS UI Gothic"/>
          <w:w w:val="80"/>
        </w:rPr>
        <w:t xml:space="preserve">、 </w:t>
      </w:r>
      <w:r>
        <w:t>运输单位</w:t>
      </w:r>
      <w:r>
        <w:rPr>
          <w:rFonts w:hint="eastAsia" w:ascii="MS UI Gothic" w:eastAsia="MS UI Gothic"/>
          <w:w w:val="80"/>
        </w:rPr>
        <w:t xml:space="preserve">ꎬ </w:t>
      </w:r>
      <w:r>
        <w:t>矿山</w:t>
      </w:r>
      <w:r>
        <w:rPr>
          <w:rFonts w:hint="eastAsia" w:ascii="MS UI Gothic" w:eastAsia="MS UI Gothic"/>
          <w:w w:val="80"/>
        </w:rPr>
        <w:t xml:space="preserve">、 </w:t>
      </w:r>
      <w:r>
        <w:t>金属冶炼</w:t>
      </w:r>
      <w:r>
        <w:rPr>
          <w:rFonts w:hint="eastAsia" w:ascii="MS UI Gothic" w:eastAsia="MS UI Gothic"/>
          <w:w w:val="80"/>
        </w:rPr>
        <w:t xml:space="preserve">、 </w:t>
      </w:r>
      <w:r>
        <w:t>城市轨道交通运营</w:t>
      </w:r>
      <w:r>
        <w:rPr>
          <w:rFonts w:hint="eastAsia" w:ascii="MS UI Gothic" w:eastAsia="MS UI Gothic"/>
          <w:w w:val="80"/>
        </w:rPr>
        <w:t xml:space="preserve">、 </w:t>
      </w:r>
      <w:r>
        <w:t>建筑施工单位</w:t>
      </w:r>
      <w:r>
        <w:rPr>
          <w:rFonts w:hint="eastAsia" w:ascii="MS UI Gothic" w:eastAsia="MS UI Gothic"/>
          <w:w w:val="80"/>
        </w:rPr>
        <w:t xml:space="preserve">ꎬ </w:t>
      </w:r>
      <w:r>
        <w:t>以及宾馆</w:t>
      </w:r>
      <w:r>
        <w:rPr>
          <w:rFonts w:hint="eastAsia" w:ascii="MS UI Gothic" w:eastAsia="MS UI Gothic"/>
          <w:w w:val="80"/>
        </w:rPr>
        <w:t xml:space="preserve">、 </w:t>
      </w:r>
      <w:r>
        <w:t>商场</w:t>
      </w:r>
      <w:r>
        <w:rPr>
          <w:rFonts w:hint="eastAsia" w:ascii="MS UI Gothic" w:eastAsia="MS UI Gothic"/>
          <w:w w:val="80"/>
        </w:rPr>
        <w:t xml:space="preserve">、  </w:t>
      </w:r>
      <w:r>
        <w:t>娱乐场所</w:t>
      </w:r>
      <w:r>
        <w:rPr>
          <w:rFonts w:hint="eastAsia" w:ascii="MS UI Gothic" w:eastAsia="MS UI Gothic"/>
          <w:w w:val="80"/>
        </w:rPr>
        <w:t xml:space="preserve">、 </w:t>
      </w:r>
      <w:r>
        <w:t>旅游景区等人员密集场所经营单位</w:t>
      </w:r>
      <w:r>
        <w:rPr>
          <w:rFonts w:hint="eastAsia" w:ascii="MS UI Gothic" w:eastAsia="MS UI Gothic"/>
          <w:w w:val="80"/>
        </w:rPr>
        <w:t xml:space="preserve">ꎬ </w:t>
      </w:r>
      <w:r>
        <w:t>应当建立应急救援队伍</w:t>
      </w:r>
      <w:r>
        <w:rPr>
          <w:rFonts w:hint="eastAsia" w:ascii="MS UI Gothic" w:eastAsia="MS UI Gothic"/>
          <w:w w:val="80"/>
        </w:rPr>
        <w:t xml:space="preserve">ꎻ </w:t>
      </w:r>
      <w:r>
        <w:t>其中</w:t>
      </w:r>
      <w:r>
        <w:rPr>
          <w:rFonts w:hint="eastAsia" w:ascii="MS UI Gothic" w:eastAsia="MS UI Gothic"/>
          <w:w w:val="80"/>
        </w:rPr>
        <w:t xml:space="preserve">ꎬ </w:t>
      </w:r>
      <w:r>
        <w:t>小型企业或者微型企业等规模较小的生产经营单位</w:t>
      </w:r>
      <w:r>
        <w:rPr>
          <w:rFonts w:hint="eastAsia" w:ascii="MS UI Gothic" w:eastAsia="MS UI Gothic"/>
          <w:w w:val="80"/>
        </w:rPr>
        <w:t xml:space="preserve">ꎬ </w:t>
      </w:r>
      <w:r>
        <w:t>可以不建立应急救援队伍</w:t>
      </w:r>
      <w:r>
        <w:rPr>
          <w:rFonts w:hint="eastAsia" w:ascii="MS UI Gothic" w:eastAsia="MS UI Gothic"/>
          <w:w w:val="80"/>
        </w:rPr>
        <w:t xml:space="preserve">ꎬ </w:t>
      </w:r>
      <w:r>
        <w:t>但应当指定兼职的应急救援人员</w:t>
      </w:r>
      <w:r>
        <w:rPr>
          <w:rFonts w:hint="eastAsia" w:ascii="MS UI Gothic" w:eastAsia="MS UI Gothic"/>
          <w:w w:val="80"/>
        </w:rPr>
        <w:t xml:space="preserve">ꎬ </w:t>
      </w:r>
      <w:r>
        <w:t>并且可以与邻近的应急救援队伍签订应急救援协议</w:t>
      </w:r>
      <w:r>
        <w:rPr>
          <w:rFonts w:hint="eastAsia" w:ascii="MS UI Gothic" w:eastAsia="MS UI Gothic"/>
          <w:w w:val="80"/>
        </w:rPr>
        <w:t>ꎮ</w:t>
      </w:r>
    </w:p>
    <w:p>
      <w:pPr>
        <w:pStyle w:val="6"/>
        <w:spacing w:line="295" w:lineRule="auto"/>
        <w:ind w:left="440" w:right="1"/>
        <w:rPr>
          <w:rFonts w:hint="eastAsia" w:ascii="MS UI Gothic" w:eastAsia="MS UI Gothic"/>
        </w:rPr>
      </w:pPr>
      <w:r>
        <w:t>工业园区</w:t>
      </w:r>
      <w:r>
        <w:rPr>
          <w:rFonts w:hint="eastAsia" w:ascii="MS UI Gothic" w:eastAsia="MS UI Gothic"/>
          <w:w w:val="80"/>
        </w:rPr>
        <w:t xml:space="preserve">、 </w:t>
      </w:r>
      <w:r>
        <w:t>开发区等产业聚集区域内的生产经营单位</w:t>
      </w:r>
      <w:r>
        <w:rPr>
          <w:rFonts w:hint="eastAsia" w:ascii="MS UI Gothic" w:eastAsia="MS UI Gothic"/>
          <w:w w:val="80"/>
        </w:rPr>
        <w:t xml:space="preserve">ꎬ </w:t>
      </w:r>
      <w:r>
        <w:t>可以联合建立应急救援队伍</w:t>
      </w:r>
      <w:r>
        <w:rPr>
          <w:rFonts w:hint="eastAsia" w:ascii="MS UI Gothic" w:eastAsia="MS UI Gothic"/>
          <w:w w:val="80"/>
        </w:rPr>
        <w:t>ꎮ</w:t>
      </w:r>
    </w:p>
    <w:p>
      <w:pPr>
        <w:pStyle w:val="6"/>
        <w:spacing w:line="295" w:lineRule="auto"/>
        <w:ind w:left="440" w:right="1"/>
      </w:pPr>
      <w:r>
        <w:t>第十一条 应急救援队伍的应急救援人员应当具备必要的专业知识</w:t>
      </w:r>
      <w:r>
        <w:rPr>
          <w:rFonts w:hint="eastAsia" w:ascii="MS UI Gothic" w:eastAsia="MS UI Gothic"/>
        </w:rPr>
        <w:t xml:space="preserve">、 </w:t>
      </w:r>
      <w:r>
        <w:t>技能</w:t>
      </w:r>
      <w:r>
        <w:rPr>
          <w:rFonts w:hint="eastAsia" w:ascii="MS UI Gothic" w:eastAsia="MS UI Gothic"/>
        </w:rPr>
        <w:t xml:space="preserve">、 </w:t>
      </w:r>
      <w:r>
        <w:t>身</w:t>
      </w:r>
    </w:p>
    <w:p>
      <w:pPr>
        <w:pStyle w:val="6"/>
        <w:spacing w:before="124"/>
        <w:ind w:left="381" w:firstLine="0"/>
        <w:jc w:val="left"/>
        <w:rPr>
          <w:rFonts w:hint="eastAsia" w:ascii="MS UI Gothic" w:eastAsia="MS UI Gothic"/>
        </w:rPr>
      </w:pPr>
      <w:r>
        <w:br w:type="column"/>
      </w:r>
      <w:r>
        <w:t>体素质和心理素质</w:t>
      </w:r>
      <w:r>
        <w:rPr>
          <w:rFonts w:hint="eastAsia" w:ascii="MS UI Gothic" w:eastAsia="MS UI Gothic"/>
          <w:w w:val="80"/>
        </w:rPr>
        <w:t>ꎮ</w:t>
      </w:r>
    </w:p>
    <w:p>
      <w:pPr>
        <w:pStyle w:val="6"/>
        <w:spacing w:before="58" w:line="295" w:lineRule="auto"/>
        <w:ind w:left="381" w:right="126"/>
        <w:rPr>
          <w:rFonts w:hint="eastAsia" w:ascii="MS UI Gothic" w:eastAsia="MS UI Gothic"/>
        </w:rPr>
      </w:pPr>
      <w:r>
        <w:t>应急救援队伍建立单位或者兼职应急救援人员所在单位应当按照国家有关规定对应急救援人员进行培训</w:t>
      </w:r>
      <w:r>
        <w:rPr>
          <w:rFonts w:hint="eastAsia" w:ascii="MS UI Gothic" w:eastAsia="MS UI Gothic"/>
          <w:w w:val="80"/>
        </w:rPr>
        <w:t xml:space="preserve">ꎻ </w:t>
      </w:r>
      <w:r>
        <w:t>应急救援人员经培训合格后</w:t>
      </w:r>
      <w:r>
        <w:rPr>
          <w:rFonts w:hint="eastAsia" w:ascii="MS UI Gothic" w:eastAsia="MS UI Gothic"/>
          <w:w w:val="80"/>
        </w:rPr>
        <w:t xml:space="preserve">ꎬ </w:t>
      </w:r>
      <w:r>
        <w:t>方可参加应急救援工作</w:t>
      </w:r>
      <w:r>
        <w:rPr>
          <w:rFonts w:hint="eastAsia" w:ascii="MS UI Gothic" w:eastAsia="MS UI Gothic"/>
          <w:w w:val="80"/>
        </w:rPr>
        <w:t>ꎮ</w:t>
      </w:r>
    </w:p>
    <w:p>
      <w:pPr>
        <w:pStyle w:val="6"/>
        <w:spacing w:line="295" w:lineRule="auto"/>
        <w:ind w:left="381" w:right="126"/>
        <w:rPr>
          <w:rFonts w:hint="eastAsia" w:ascii="MS UI Gothic" w:eastAsia="MS UI Gothic"/>
        </w:rPr>
      </w:pPr>
      <w:r>
        <w:t>应急救援队伍应当配备必要的应急救援装备和物资</w:t>
      </w:r>
      <w:r>
        <w:rPr>
          <w:rFonts w:hint="eastAsia" w:ascii="MS UI Gothic" w:eastAsia="MS UI Gothic"/>
          <w:w w:val="80"/>
        </w:rPr>
        <w:t xml:space="preserve">ꎬ </w:t>
      </w:r>
      <w:r>
        <w:t>并定期组织训练</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第十二条 生产经营单位应当及时将</w:t>
      </w:r>
      <w:r>
        <w:t>本单位应急救援队伍建立情况按照国家有关规定报送县级以上人民政府负有安全生产监督管理职责的部门</w:t>
      </w:r>
      <w:r>
        <w:rPr>
          <w:rFonts w:hint="eastAsia" w:ascii="MS UI Gothic" w:eastAsia="MS UI Gothic"/>
          <w:w w:val="80"/>
        </w:rPr>
        <w:t xml:space="preserve">ꎬ </w:t>
      </w:r>
      <w:r>
        <w:t>并依法向社会</w:t>
      </w:r>
      <w:r>
        <w:rPr>
          <w:w w:val="105"/>
        </w:rPr>
        <w:t>公布</w:t>
      </w:r>
      <w:r>
        <w:rPr>
          <w:rFonts w:hint="eastAsia" w:ascii="MS UI Gothic" w:eastAsia="MS UI Gothic"/>
          <w:w w:val="80"/>
        </w:rPr>
        <w:t>ꎮ</w:t>
      </w:r>
    </w:p>
    <w:p>
      <w:pPr>
        <w:pStyle w:val="6"/>
        <w:spacing w:line="295" w:lineRule="auto"/>
        <w:ind w:left="381" w:right="126"/>
        <w:rPr>
          <w:rFonts w:hint="eastAsia" w:ascii="MS UI Gothic" w:eastAsia="MS UI Gothic"/>
        </w:rPr>
      </w:pPr>
      <w:r>
        <w:t>县级以上人民政府负有安全生产监督</w:t>
      </w:r>
      <w:r>
        <w:rPr>
          <w:w w:val="105"/>
        </w:rPr>
        <w:t>管理职责的部门应当定期将本行业</w:t>
      </w:r>
      <w:r>
        <w:rPr>
          <w:rFonts w:hint="eastAsia" w:ascii="MS UI Gothic" w:eastAsia="MS UI Gothic"/>
          <w:w w:val="80"/>
        </w:rPr>
        <w:t xml:space="preserve">、 </w:t>
      </w:r>
      <w:r>
        <w:rPr>
          <w:w w:val="105"/>
        </w:rPr>
        <w:t>本领</w:t>
      </w:r>
      <w:r>
        <w:t>域的应急救援队伍建立情况报送本级人民</w:t>
      </w:r>
      <w:r>
        <w:rPr>
          <w:w w:val="105"/>
        </w:rPr>
        <w:t>政府</w:t>
      </w:r>
      <w:r>
        <w:rPr>
          <w:rFonts w:hint="eastAsia" w:ascii="MS UI Gothic" w:eastAsia="MS UI Gothic"/>
          <w:w w:val="80"/>
        </w:rPr>
        <w:t xml:space="preserve">ꎬ </w:t>
      </w:r>
      <w:r>
        <w:rPr>
          <w:w w:val="105"/>
        </w:rPr>
        <w:t>并依法向社会公布</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第十三条 县级以上地方人民政府应</w:t>
      </w:r>
      <w:r>
        <w:t>当根据本行政区域内可能发生的生产安全事故的特点和危害</w:t>
      </w:r>
      <w:r>
        <w:rPr>
          <w:rFonts w:hint="eastAsia" w:ascii="MS UI Gothic" w:eastAsia="MS UI Gothic"/>
          <w:w w:val="80"/>
        </w:rPr>
        <w:t xml:space="preserve">ꎬ </w:t>
      </w:r>
      <w:r>
        <w:t>储备必要的应急救援</w:t>
      </w:r>
      <w:r>
        <w:rPr>
          <w:w w:val="105"/>
        </w:rPr>
        <w:t>装备和物资</w:t>
      </w:r>
      <w:r>
        <w:rPr>
          <w:rFonts w:hint="eastAsia" w:ascii="MS UI Gothic" w:eastAsia="MS UI Gothic"/>
          <w:w w:val="80"/>
        </w:rPr>
        <w:t xml:space="preserve">ꎬ </w:t>
      </w:r>
      <w:r>
        <w:rPr>
          <w:w w:val="105"/>
        </w:rPr>
        <w:t>并及时更新和补充</w:t>
      </w:r>
      <w:r>
        <w:rPr>
          <w:rFonts w:hint="eastAsia" w:ascii="MS UI Gothic" w:eastAsia="MS UI Gothic"/>
          <w:w w:val="80"/>
        </w:rPr>
        <w:t>ꎮ</w:t>
      </w:r>
    </w:p>
    <w:p>
      <w:pPr>
        <w:pStyle w:val="6"/>
        <w:spacing w:line="295" w:lineRule="auto"/>
        <w:ind w:left="381" w:right="124"/>
        <w:rPr>
          <w:rFonts w:hint="eastAsia" w:ascii="MS UI Gothic" w:eastAsia="MS UI Gothic"/>
        </w:rPr>
      </w:pPr>
      <w:r>
        <w:t>易燃易爆物品</w:t>
      </w:r>
      <w:r>
        <w:rPr>
          <w:rFonts w:hint="eastAsia" w:ascii="MS UI Gothic" w:eastAsia="MS UI Gothic"/>
          <w:w w:val="80"/>
        </w:rPr>
        <w:t xml:space="preserve">、 </w:t>
      </w:r>
      <w:r>
        <w:t>危险化学品等危险物品的生产</w:t>
      </w:r>
      <w:r>
        <w:rPr>
          <w:rFonts w:hint="eastAsia" w:ascii="MS UI Gothic" w:eastAsia="MS UI Gothic"/>
          <w:w w:val="80"/>
        </w:rPr>
        <w:t xml:space="preserve">、 </w:t>
      </w:r>
      <w:r>
        <w:t>经营</w:t>
      </w:r>
      <w:r>
        <w:rPr>
          <w:rFonts w:hint="eastAsia" w:ascii="MS UI Gothic" w:eastAsia="MS UI Gothic"/>
          <w:w w:val="80"/>
        </w:rPr>
        <w:t xml:space="preserve">、 </w:t>
      </w:r>
      <w:r>
        <w:t>储存</w:t>
      </w:r>
      <w:r>
        <w:rPr>
          <w:rFonts w:hint="eastAsia" w:ascii="MS UI Gothic" w:eastAsia="MS UI Gothic"/>
          <w:w w:val="80"/>
        </w:rPr>
        <w:t xml:space="preserve">、 </w:t>
      </w:r>
      <w:r>
        <w:t>运输单位</w:t>
      </w:r>
      <w:r>
        <w:rPr>
          <w:rFonts w:hint="eastAsia" w:ascii="MS UI Gothic" w:eastAsia="MS UI Gothic"/>
          <w:w w:val="80"/>
        </w:rPr>
        <w:t xml:space="preserve">ꎬ  </w:t>
      </w:r>
      <w:r>
        <w:t>矿山</w:t>
      </w:r>
      <w:r>
        <w:rPr>
          <w:rFonts w:hint="eastAsia" w:ascii="MS UI Gothic" w:eastAsia="MS UI Gothic"/>
          <w:w w:val="80"/>
        </w:rPr>
        <w:t xml:space="preserve">、 </w:t>
      </w:r>
      <w:r>
        <w:t>金属冶炼</w:t>
      </w:r>
      <w:r>
        <w:rPr>
          <w:rFonts w:hint="eastAsia" w:ascii="MS UI Gothic" w:eastAsia="MS UI Gothic"/>
          <w:w w:val="80"/>
        </w:rPr>
        <w:t xml:space="preserve">、 </w:t>
      </w:r>
      <w:r>
        <w:t>城市轨道交通运营</w:t>
      </w:r>
      <w:r>
        <w:rPr>
          <w:rFonts w:hint="eastAsia" w:ascii="MS UI Gothic" w:eastAsia="MS UI Gothic"/>
          <w:w w:val="80"/>
        </w:rPr>
        <w:t xml:space="preserve">、 </w:t>
      </w:r>
      <w:r>
        <w:t>建筑施工单位</w:t>
      </w:r>
      <w:r>
        <w:rPr>
          <w:rFonts w:hint="eastAsia" w:ascii="MS UI Gothic" w:eastAsia="MS UI Gothic"/>
          <w:w w:val="80"/>
        </w:rPr>
        <w:t xml:space="preserve">ꎬ </w:t>
      </w:r>
      <w:r>
        <w:t>以及宾馆</w:t>
      </w:r>
      <w:r>
        <w:rPr>
          <w:rFonts w:hint="eastAsia" w:ascii="MS UI Gothic" w:eastAsia="MS UI Gothic"/>
          <w:w w:val="80"/>
        </w:rPr>
        <w:t xml:space="preserve">、 </w:t>
      </w:r>
      <w:r>
        <w:t>商场</w:t>
      </w:r>
      <w:r>
        <w:rPr>
          <w:rFonts w:hint="eastAsia" w:ascii="MS UI Gothic" w:eastAsia="MS UI Gothic"/>
          <w:w w:val="80"/>
        </w:rPr>
        <w:t xml:space="preserve">、 </w:t>
      </w:r>
      <w:r>
        <w:t>娱乐场所</w:t>
      </w:r>
      <w:r>
        <w:rPr>
          <w:rFonts w:hint="eastAsia" w:ascii="MS UI Gothic" w:eastAsia="MS UI Gothic"/>
          <w:w w:val="80"/>
        </w:rPr>
        <w:t>、</w:t>
      </w:r>
      <w:r>
        <w:t>旅游景区等人员密集场所经营单位</w:t>
      </w:r>
      <w:r>
        <w:rPr>
          <w:rFonts w:hint="eastAsia" w:ascii="MS UI Gothic" w:eastAsia="MS UI Gothic"/>
          <w:w w:val="80"/>
        </w:rPr>
        <w:t xml:space="preserve">ꎬ </w:t>
      </w:r>
      <w:r>
        <w:t>应当根据本单位可能发生的生产安全事故的特点和危害</w:t>
      </w:r>
      <w:r>
        <w:rPr>
          <w:rFonts w:hint="eastAsia" w:ascii="MS UI Gothic" w:eastAsia="MS UI Gothic"/>
          <w:w w:val="80"/>
        </w:rPr>
        <w:t xml:space="preserve">ꎬ </w:t>
      </w:r>
      <w:r>
        <w:t>配备必要的灭火</w:t>
      </w:r>
      <w:r>
        <w:rPr>
          <w:rFonts w:hint="eastAsia" w:ascii="MS UI Gothic" w:eastAsia="MS UI Gothic"/>
          <w:w w:val="80"/>
        </w:rPr>
        <w:t xml:space="preserve">、 </w:t>
      </w:r>
      <w:r>
        <w:t>排水</w:t>
      </w:r>
      <w:r>
        <w:rPr>
          <w:rFonts w:hint="eastAsia" w:ascii="MS UI Gothic" w:eastAsia="MS UI Gothic"/>
          <w:w w:val="80"/>
        </w:rPr>
        <w:t xml:space="preserve">、 </w:t>
      </w:r>
      <w:r>
        <w:t>通风以及危险物品稀释</w:t>
      </w:r>
      <w:r>
        <w:rPr>
          <w:rFonts w:hint="eastAsia" w:ascii="MS UI Gothic" w:eastAsia="MS UI Gothic"/>
          <w:w w:val="80"/>
        </w:rPr>
        <w:t xml:space="preserve">、 </w:t>
      </w:r>
      <w:r>
        <w:t>掩埋</w:t>
      </w:r>
      <w:r>
        <w:rPr>
          <w:rFonts w:hint="eastAsia" w:ascii="MS UI Gothic" w:eastAsia="MS UI Gothic"/>
          <w:w w:val="80"/>
        </w:rPr>
        <w:t xml:space="preserve">、 </w:t>
      </w:r>
      <w:r>
        <w:t>收集等应急救援器材</w:t>
      </w:r>
      <w:r>
        <w:rPr>
          <w:rFonts w:hint="eastAsia" w:ascii="MS UI Gothic" w:eastAsia="MS UI Gothic"/>
          <w:w w:val="80"/>
        </w:rPr>
        <w:t xml:space="preserve">、 </w:t>
      </w:r>
      <w:r>
        <w:t>设备和物资</w:t>
      </w:r>
      <w:r>
        <w:rPr>
          <w:rFonts w:hint="eastAsia" w:ascii="MS UI Gothic" w:eastAsia="MS UI Gothic"/>
          <w:w w:val="80"/>
        </w:rPr>
        <w:t xml:space="preserve">ꎬ </w:t>
      </w:r>
      <w:r>
        <w:t>并进行经常性维护</w:t>
      </w:r>
      <w:r>
        <w:rPr>
          <w:rFonts w:hint="eastAsia" w:ascii="MS UI Gothic" w:eastAsia="MS UI Gothic"/>
          <w:w w:val="80"/>
        </w:rPr>
        <w:t xml:space="preserve">、 </w:t>
      </w:r>
      <w:r>
        <w:t>保养</w:t>
      </w:r>
      <w:r>
        <w:rPr>
          <w:rFonts w:hint="eastAsia" w:ascii="MS UI Gothic" w:eastAsia="MS UI Gothic"/>
          <w:w w:val="80"/>
        </w:rPr>
        <w:t xml:space="preserve">ꎬ </w:t>
      </w:r>
      <w:r>
        <w:t>保证正常运转</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第十四条 下列单位应当建立应急值</w:t>
      </w:r>
      <w:r>
        <w:rPr>
          <w:spacing w:val="3"/>
          <w:w w:val="110"/>
        </w:rPr>
        <w:t>班制度</w:t>
      </w:r>
      <w:r>
        <w:rPr>
          <w:rFonts w:hint="eastAsia" w:ascii="MS UI Gothic" w:eastAsia="MS UI Gothic"/>
          <w:spacing w:val="20"/>
          <w:w w:val="80"/>
        </w:rPr>
        <w:t xml:space="preserve">ꎬ </w:t>
      </w:r>
      <w:r>
        <w:rPr>
          <w:spacing w:val="3"/>
          <w:w w:val="110"/>
        </w:rPr>
        <w:t>配备应急值班人员</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县级以上人民政府及其负有安</w:t>
      </w:r>
      <w:r>
        <w:rPr>
          <w:spacing w:val="3"/>
          <w:w w:val="105"/>
        </w:rPr>
        <w:t>全生产监督管理职责的部门</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危险物品的生产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储存</w:t>
      </w:r>
      <w:r>
        <w:rPr>
          <w:rFonts w:hint="eastAsia" w:ascii="MS UI Gothic" w:eastAsia="MS UI Gothic"/>
          <w:w w:val="80"/>
        </w:rPr>
        <w:t xml:space="preserve">、 </w:t>
      </w:r>
      <w:r>
        <w:rPr>
          <w:w w:val="105"/>
        </w:rPr>
        <w:t>运输单位以及矿山</w:t>
      </w:r>
      <w:r>
        <w:rPr>
          <w:rFonts w:hint="eastAsia" w:ascii="MS UI Gothic" w:eastAsia="MS UI Gothic"/>
          <w:w w:val="80"/>
        </w:rPr>
        <w:t xml:space="preserve">、 </w:t>
      </w:r>
      <w:r>
        <w:rPr>
          <w:w w:val="105"/>
        </w:rPr>
        <w:t>金属冶炼</w:t>
      </w:r>
      <w:r>
        <w:rPr>
          <w:rFonts w:hint="eastAsia" w:ascii="MS UI Gothic" w:eastAsia="MS UI Gothic"/>
          <w:w w:val="80"/>
        </w:rPr>
        <w:t xml:space="preserve">、 </w:t>
      </w:r>
      <w:r>
        <w:rPr>
          <w:w w:val="105"/>
        </w:rPr>
        <w:t>城市轨道交通运营</w:t>
      </w:r>
      <w:r>
        <w:rPr>
          <w:rFonts w:hint="eastAsia" w:ascii="MS UI Gothic" w:eastAsia="MS UI Gothic"/>
          <w:w w:val="80"/>
        </w:rPr>
        <w:t xml:space="preserve">、 </w:t>
      </w:r>
      <w:r>
        <w:rPr>
          <w:w w:val="105"/>
        </w:rPr>
        <w:t>建筑施工单位</w:t>
      </w:r>
      <w:r>
        <w:rPr>
          <w:rFonts w:hint="eastAsia" w:ascii="MS UI Gothic" w:eastAsia="MS UI Gothic"/>
          <w:w w:val="80"/>
        </w:rPr>
        <w:t>ꎻ</w:t>
      </w:r>
    </w:p>
    <w:p>
      <w:pPr>
        <w:pStyle w:val="6"/>
        <w:spacing w:line="254" w:lineRule="exact"/>
        <w:ind w:left="80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应急救援队伍</w:t>
      </w:r>
      <w:r>
        <w:rPr>
          <w:rFonts w:hint="eastAsia" w:ascii="MS UI Gothic" w:eastAsia="MS UI Gothic"/>
          <w:w w:val="80"/>
        </w:rPr>
        <w:t>ꎮ</w:t>
      </w:r>
    </w:p>
    <w:p>
      <w:pPr>
        <w:pStyle w:val="6"/>
        <w:spacing w:before="32"/>
        <w:ind w:left="800" w:firstLine="0"/>
      </w:pPr>
      <w:r>
        <w:t>规模较大</w:t>
      </w:r>
      <w:r>
        <w:rPr>
          <w:rFonts w:hint="eastAsia" w:ascii="MS UI Gothic" w:eastAsia="MS UI Gothic"/>
        </w:rPr>
        <w:t xml:space="preserve">、 </w:t>
      </w:r>
      <w:r>
        <w:t>危险性较高的易燃易爆物</w:t>
      </w:r>
    </w:p>
    <w:p>
      <w:pPr>
        <w:spacing w:after="0"/>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７０</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58" o:spid="_x0000_s1258" o:spt="203" style="height:2.15pt;width:398.25pt;" coordsize="7965,43">
            <o:lock v:ext="edit"/>
            <v:line id="_x0000_s1259" o:spid="_x0000_s1259" o:spt="20" style="position:absolute;left:0;top:39;height:0;width:7965;" stroked="t" coordsize="21600,21600">
              <v:path arrowok="t"/>
              <v:fill focussize="0,0"/>
              <v:stroke weight="0.388031496062992pt" color="#231F20"/>
              <v:imagedata o:title=""/>
              <o:lock v:ext="edit"/>
            </v:line>
            <v:line id="_x0000_s1260" o:spid="_x0000_s126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品</w:t>
      </w:r>
      <w:r>
        <w:rPr>
          <w:rFonts w:hint="eastAsia" w:ascii="MS UI Gothic" w:eastAsia="MS UI Gothic"/>
          <w:w w:val="85"/>
        </w:rPr>
        <w:t xml:space="preserve">、 </w:t>
      </w:r>
      <w:r>
        <w:t>危险化学品等危险物品的生产</w:t>
      </w:r>
      <w:r>
        <w:rPr>
          <w:rFonts w:hint="eastAsia" w:ascii="MS UI Gothic" w:eastAsia="MS UI Gothic"/>
          <w:w w:val="85"/>
        </w:rPr>
        <w:t xml:space="preserve">、 </w:t>
      </w:r>
      <w:r>
        <w:t>经营</w:t>
      </w:r>
      <w:r>
        <w:rPr>
          <w:rFonts w:hint="eastAsia" w:ascii="MS UI Gothic" w:eastAsia="MS UI Gothic"/>
          <w:w w:val="85"/>
        </w:rPr>
        <w:t xml:space="preserve">、 </w:t>
      </w:r>
      <w:r>
        <w:t>储存</w:t>
      </w:r>
      <w:r>
        <w:rPr>
          <w:rFonts w:hint="eastAsia" w:ascii="MS UI Gothic" w:eastAsia="MS UI Gothic"/>
          <w:w w:val="85"/>
        </w:rPr>
        <w:t xml:space="preserve">、 </w:t>
      </w:r>
      <w:r>
        <w:t>运输单位应当成立应急处置技术组</w:t>
      </w:r>
      <w:r>
        <w:rPr>
          <w:rFonts w:hint="eastAsia" w:ascii="MS UI Gothic" w:eastAsia="MS UI Gothic"/>
          <w:w w:val="85"/>
        </w:rPr>
        <w:t xml:space="preserve">ꎬ </w:t>
      </w:r>
      <w:r>
        <w:t xml:space="preserve">实行 </w:t>
      </w:r>
      <w:r>
        <w:rPr>
          <w:rFonts w:hint="eastAsia" w:ascii="MS UI Gothic" w:eastAsia="MS UI Gothic"/>
          <w:w w:val="85"/>
        </w:rPr>
        <w:t xml:space="preserve">２４ </w:t>
      </w:r>
      <w:r>
        <w:t>小时应急值班</w:t>
      </w:r>
      <w:r>
        <w:rPr>
          <w:rFonts w:hint="eastAsia" w:ascii="MS UI Gothic" w:eastAsia="MS UI Gothic"/>
          <w:w w:val="85"/>
        </w:rPr>
        <w:t>ꎮ</w:t>
      </w:r>
    </w:p>
    <w:p>
      <w:pPr>
        <w:pStyle w:val="6"/>
        <w:spacing w:line="295" w:lineRule="auto"/>
        <w:ind w:right="38"/>
        <w:rPr>
          <w:rFonts w:hint="eastAsia" w:ascii="MS UI Gothic" w:eastAsia="MS UI Gothic"/>
        </w:rPr>
      </w:pPr>
      <w:r>
        <w:t>第十五条 生产经营单位应当对从业人员进行应急教育和培训</w:t>
      </w:r>
      <w:r>
        <w:rPr>
          <w:rFonts w:hint="eastAsia" w:ascii="MS UI Gothic" w:eastAsia="MS UI Gothic"/>
          <w:w w:val="80"/>
        </w:rPr>
        <w:t xml:space="preserve">ꎬ </w:t>
      </w:r>
      <w:r>
        <w:t>保证从业人员具备必要的应急知识</w:t>
      </w:r>
      <w:r>
        <w:rPr>
          <w:rFonts w:hint="eastAsia" w:ascii="MS UI Gothic" w:eastAsia="MS UI Gothic"/>
          <w:w w:val="80"/>
        </w:rPr>
        <w:t xml:space="preserve">ꎬ </w:t>
      </w:r>
      <w:r>
        <w:t>掌握风险防范技能和事故应急措施</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第十六条 国务院负有安全生产监督</w:t>
      </w:r>
      <w:r>
        <w:t>管理职责的部门应当按照国家有关规定建立生产安全事故应急救援信息系统</w:t>
      </w:r>
      <w:r>
        <w:rPr>
          <w:rFonts w:hint="eastAsia" w:ascii="MS UI Gothic" w:eastAsia="MS UI Gothic"/>
          <w:w w:val="80"/>
        </w:rPr>
        <w:t xml:space="preserve">ꎬ </w:t>
      </w:r>
      <w:r>
        <w:t>并采</w:t>
      </w:r>
      <w:r>
        <w:rPr>
          <w:w w:val="105"/>
        </w:rPr>
        <w:t>取有效措施</w:t>
      </w:r>
      <w:r>
        <w:rPr>
          <w:rFonts w:hint="eastAsia" w:ascii="MS UI Gothic" w:eastAsia="MS UI Gothic"/>
          <w:w w:val="80"/>
        </w:rPr>
        <w:t xml:space="preserve">ꎬ </w:t>
      </w:r>
      <w:r>
        <w:rPr>
          <w:w w:val="105"/>
        </w:rPr>
        <w:t>实现数据互联互通</w:t>
      </w:r>
      <w:r>
        <w:rPr>
          <w:rFonts w:hint="eastAsia" w:ascii="MS UI Gothic" w:eastAsia="MS UI Gothic"/>
          <w:w w:val="80"/>
        </w:rPr>
        <w:t xml:space="preserve">、 </w:t>
      </w:r>
      <w:r>
        <w:rPr>
          <w:w w:val="105"/>
        </w:rPr>
        <w:t>信息共享</w:t>
      </w:r>
      <w:r>
        <w:rPr>
          <w:rFonts w:hint="eastAsia" w:ascii="MS UI Gothic" w:eastAsia="MS UI Gothic"/>
          <w:w w:val="80"/>
        </w:rPr>
        <w:t>ꎮ</w:t>
      </w:r>
    </w:p>
    <w:p>
      <w:pPr>
        <w:pStyle w:val="6"/>
        <w:spacing w:line="295" w:lineRule="auto"/>
        <w:ind w:right="38"/>
        <w:rPr>
          <w:rFonts w:hint="eastAsia" w:ascii="MS UI Gothic" w:eastAsia="MS UI Gothic"/>
        </w:rPr>
      </w:pPr>
      <w:r>
        <w:t>生产经营单位可以通过生产安全事故应急救援信息系统办理生产安全事故应急救援预案备案手续</w:t>
      </w:r>
      <w:r>
        <w:rPr>
          <w:rFonts w:hint="eastAsia" w:ascii="MS UI Gothic" w:eastAsia="MS UI Gothic"/>
          <w:w w:val="80"/>
        </w:rPr>
        <w:t xml:space="preserve">ꎬ </w:t>
      </w:r>
      <w:r>
        <w:t>报送应急救援预案演练情况和应急救援队伍建设情况</w:t>
      </w:r>
      <w:r>
        <w:rPr>
          <w:rFonts w:hint="eastAsia" w:ascii="MS UI Gothic" w:eastAsia="MS UI Gothic"/>
          <w:w w:val="80"/>
        </w:rPr>
        <w:t xml:space="preserve">ꎻ </w:t>
      </w:r>
      <w:r>
        <w:t>但依法</w:t>
      </w:r>
      <w:r>
        <w:rPr>
          <w:w w:val="105"/>
        </w:rPr>
        <w:t>需要保密的除外</w:t>
      </w:r>
      <w:r>
        <w:rPr>
          <w:rFonts w:hint="eastAsia" w:ascii="MS UI Gothic" w:eastAsia="MS UI Gothic"/>
          <w:w w:val="80"/>
        </w:rPr>
        <w:t>ꎮ</w:t>
      </w:r>
    </w:p>
    <w:p>
      <w:pPr>
        <w:pStyle w:val="6"/>
        <w:tabs>
          <w:tab w:val="left" w:pos="1906"/>
        </w:tabs>
        <w:spacing w:before="144"/>
        <w:ind w:left="1067" w:firstLine="0"/>
        <w:jc w:val="left"/>
      </w:pPr>
      <w:r>
        <w:rPr>
          <w:spacing w:val="3"/>
          <w:w w:val="105"/>
        </w:rPr>
        <w:t>第三</w:t>
      </w:r>
      <w:r>
        <w:rPr>
          <w:w w:val="105"/>
        </w:rPr>
        <w:t>章</w:t>
      </w:r>
      <w:r>
        <w:rPr>
          <w:w w:val="105"/>
        </w:rPr>
        <w:tab/>
      </w:r>
      <w:r>
        <w:rPr>
          <w:w w:val="105"/>
        </w:rPr>
        <w:t>应</w:t>
      </w:r>
      <w:r>
        <w:rPr>
          <w:spacing w:val="-34"/>
          <w:w w:val="105"/>
        </w:rPr>
        <w:t xml:space="preserve"> </w:t>
      </w:r>
      <w:r>
        <w:rPr>
          <w:w w:val="105"/>
        </w:rPr>
        <w:t>急</w:t>
      </w:r>
      <w:r>
        <w:rPr>
          <w:spacing w:val="-33"/>
          <w:w w:val="105"/>
        </w:rPr>
        <w:t xml:space="preserve"> </w:t>
      </w:r>
      <w:r>
        <w:rPr>
          <w:w w:val="105"/>
        </w:rPr>
        <w:t>救</w:t>
      </w:r>
      <w:r>
        <w:rPr>
          <w:spacing w:val="-33"/>
          <w:w w:val="105"/>
        </w:rPr>
        <w:t xml:space="preserve"> </w:t>
      </w:r>
      <w:r>
        <w:rPr>
          <w:w w:val="105"/>
        </w:rPr>
        <w:t>援</w:t>
      </w:r>
    </w:p>
    <w:p>
      <w:pPr>
        <w:pStyle w:val="6"/>
        <w:spacing w:before="215" w:line="295" w:lineRule="auto"/>
        <w:ind w:right="38"/>
        <w:rPr>
          <w:rFonts w:hint="eastAsia" w:ascii="MS UI Gothic" w:eastAsia="MS UI Gothic"/>
        </w:rPr>
      </w:pPr>
      <w:r>
        <w:rPr>
          <w:w w:val="105"/>
        </w:rPr>
        <w:t>第十七条 发生生产安全事故后</w:t>
      </w:r>
      <w:r>
        <w:rPr>
          <w:rFonts w:hint="eastAsia" w:ascii="MS UI Gothic" w:eastAsia="MS UI Gothic"/>
          <w:w w:val="80"/>
        </w:rPr>
        <w:t xml:space="preserve">ꎬ </w:t>
      </w:r>
      <w:r>
        <w:rPr>
          <w:w w:val="105"/>
        </w:rPr>
        <w:t>生</w:t>
      </w:r>
      <w:r>
        <w:t>产经营单位应当立即启动生产安全事故应急救援预案</w:t>
      </w:r>
      <w:r>
        <w:rPr>
          <w:rFonts w:hint="eastAsia" w:ascii="MS UI Gothic" w:eastAsia="MS UI Gothic"/>
          <w:w w:val="80"/>
        </w:rPr>
        <w:t xml:space="preserve">ꎬ </w:t>
      </w:r>
      <w:r>
        <w:t>采取下列一项或者多项应急救援措施</w:t>
      </w:r>
      <w:r>
        <w:rPr>
          <w:rFonts w:hint="eastAsia" w:ascii="MS UI Gothic" w:eastAsia="MS UI Gothic"/>
          <w:w w:val="80"/>
        </w:rPr>
        <w:t xml:space="preserve">ꎬ </w:t>
      </w:r>
      <w:r>
        <w:t>并按照国家有关规定报告事故</w:t>
      </w:r>
      <w:r>
        <w:rPr>
          <w:w w:val="105"/>
        </w:rPr>
        <w:t>情况</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迅速控制危险源</w:t>
      </w:r>
      <w:r>
        <w:rPr>
          <w:rFonts w:hint="eastAsia" w:ascii="MS UI Gothic" w:eastAsia="MS UI Gothic"/>
          <w:w w:val="80"/>
        </w:rPr>
        <w:t xml:space="preserve">ꎬ </w:t>
      </w:r>
      <w:r>
        <w:rPr>
          <w:w w:val="105"/>
        </w:rPr>
        <w:t>组织抢救遇险人员</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根据事故危害程度</w:t>
      </w:r>
      <w:r>
        <w:rPr>
          <w:rFonts w:hint="eastAsia" w:ascii="MS UI Gothic" w:eastAsia="MS UI Gothic"/>
          <w:w w:val="80"/>
        </w:rPr>
        <w:t xml:space="preserve">ꎬ </w:t>
      </w:r>
      <w:r>
        <w:rPr>
          <w:w w:val="105"/>
        </w:rPr>
        <w:t>组织现场</w:t>
      </w:r>
      <w:r>
        <w:t>人员撤离或者采取可能的应急措施后</w:t>
      </w:r>
      <w:r>
        <w:rPr>
          <w:w w:val="105"/>
        </w:rPr>
        <w:t>撤离</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及时通知可能受到事故影响的</w:t>
      </w:r>
      <w:r>
        <w:rPr>
          <w:w w:val="110"/>
        </w:rPr>
        <w:t>单位和人员</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采取必要措施</w:t>
      </w:r>
      <w:r>
        <w:rPr>
          <w:rFonts w:hint="eastAsia" w:ascii="MS UI Gothic" w:eastAsia="MS UI Gothic"/>
          <w:w w:val="80"/>
        </w:rPr>
        <w:t xml:space="preserve">ꎬ </w:t>
      </w:r>
      <w:r>
        <w:rPr>
          <w:w w:val="105"/>
        </w:rPr>
        <w:t>防止事故危害扩大和次生</w:t>
      </w:r>
      <w:r>
        <w:rPr>
          <w:rFonts w:hint="eastAsia" w:ascii="MS UI Gothic" w:eastAsia="MS UI Gothic"/>
          <w:w w:val="80"/>
        </w:rPr>
        <w:t xml:space="preserve">、 </w:t>
      </w:r>
      <w:r>
        <w:rPr>
          <w:w w:val="105"/>
        </w:rPr>
        <w:t>衍生灾害发生</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根据需要请求邻近的应急救援</w:t>
      </w:r>
      <w:r>
        <w:t>队伍参加救援</w:t>
      </w:r>
      <w:r>
        <w:rPr>
          <w:rFonts w:hint="eastAsia" w:ascii="MS UI Gothic" w:eastAsia="MS UI Gothic"/>
          <w:w w:val="80"/>
        </w:rPr>
        <w:t xml:space="preserve">ꎬ </w:t>
      </w:r>
      <w:r>
        <w:t>并向参加救援的应急救援</w:t>
      </w:r>
      <w:r>
        <w:rPr>
          <w:w w:val="105"/>
        </w:rPr>
        <w:t>队伍提供相关技术资料</w:t>
      </w:r>
      <w:r>
        <w:rPr>
          <w:rFonts w:hint="eastAsia" w:ascii="MS UI Gothic" w:eastAsia="MS UI Gothic"/>
          <w:w w:val="80"/>
        </w:rPr>
        <w:t xml:space="preserve">、 </w:t>
      </w:r>
      <w:r>
        <w:rPr>
          <w:w w:val="105"/>
        </w:rPr>
        <w:t>信息和处置方法</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维护事故现场秩序</w:t>
      </w:r>
      <w:r>
        <w:rPr>
          <w:rFonts w:hint="eastAsia" w:ascii="MS UI Gothic" w:eastAsia="MS UI Gothic"/>
          <w:w w:val="80"/>
        </w:rPr>
        <w:t xml:space="preserve">ꎬ </w:t>
      </w:r>
      <w:r>
        <w:rPr>
          <w:w w:val="105"/>
        </w:rPr>
        <w:t>保护事故现场和相关证据</w:t>
      </w:r>
      <w:r>
        <w:rPr>
          <w:rFonts w:hint="eastAsia" w:ascii="MS UI Gothic" w:eastAsia="MS UI Gothic"/>
          <w:w w:val="80"/>
        </w:rPr>
        <w:t>ꎻ</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法规规定的其他应急救援措施</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第十八条 有关地方人民政府及其部</w:t>
      </w:r>
      <w:r>
        <w:t>门接到生产安全事故报告后</w:t>
      </w:r>
      <w:r>
        <w:rPr>
          <w:rFonts w:hint="eastAsia" w:ascii="MS UI Gothic" w:eastAsia="MS UI Gothic"/>
          <w:w w:val="80"/>
        </w:rPr>
        <w:t xml:space="preserve">ꎬ </w:t>
      </w:r>
      <w:r>
        <w:t>应当按照国家有关规定上报事故情况</w:t>
      </w:r>
      <w:r>
        <w:rPr>
          <w:rFonts w:hint="eastAsia" w:ascii="MS UI Gothic" w:eastAsia="MS UI Gothic"/>
          <w:w w:val="80"/>
        </w:rPr>
        <w:t xml:space="preserve">ꎬ </w:t>
      </w:r>
      <w:r>
        <w:t>启动相应的生产安全事故应急救援预案</w:t>
      </w:r>
      <w:r>
        <w:rPr>
          <w:rFonts w:hint="eastAsia" w:ascii="MS UI Gothic" w:eastAsia="MS UI Gothic"/>
          <w:w w:val="80"/>
        </w:rPr>
        <w:t xml:space="preserve">ꎬ </w:t>
      </w:r>
      <w:r>
        <w:t>并按照应急救援预案的规定采取下列一项或者多项应急</w:t>
      </w:r>
      <w:r>
        <w:rPr>
          <w:w w:val="105"/>
        </w:rPr>
        <w:t>救援措施</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组织抢救遇险人员</w:t>
      </w:r>
      <w:r>
        <w:rPr>
          <w:rFonts w:hint="eastAsia" w:ascii="MS UI Gothic" w:eastAsia="MS UI Gothic"/>
          <w:w w:val="80"/>
        </w:rPr>
        <w:t xml:space="preserve">ꎬ </w:t>
      </w:r>
      <w:r>
        <w:rPr>
          <w:w w:val="105"/>
        </w:rPr>
        <w:t>救治受伤</w:t>
      </w:r>
      <w:r>
        <w:t>人员</w:t>
      </w:r>
      <w:r>
        <w:rPr>
          <w:rFonts w:hint="eastAsia" w:ascii="MS UI Gothic" w:eastAsia="MS UI Gothic"/>
          <w:w w:val="80"/>
        </w:rPr>
        <w:t xml:space="preserve">ꎬ </w:t>
      </w:r>
      <w:r>
        <w:t>研判事故发展趋势以及可能造成的</w:t>
      </w:r>
      <w:r>
        <w:rPr>
          <w:w w:val="105"/>
        </w:rPr>
        <w:t>危害</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通知可能受到事故影响的单位和人员</w:t>
      </w:r>
      <w:r>
        <w:rPr>
          <w:rFonts w:hint="eastAsia" w:ascii="MS UI Gothic" w:eastAsia="MS UI Gothic"/>
          <w:w w:val="80"/>
        </w:rPr>
        <w:t xml:space="preserve">ꎬ </w:t>
      </w:r>
      <w:r>
        <w:t>隔离事故现场</w:t>
      </w:r>
      <w:r>
        <w:rPr>
          <w:rFonts w:hint="eastAsia" w:ascii="MS UI Gothic" w:eastAsia="MS UI Gothic"/>
          <w:w w:val="80"/>
        </w:rPr>
        <w:t xml:space="preserve">ꎬ </w:t>
      </w:r>
      <w:r>
        <w:t>划定警戒区域</w:t>
      </w:r>
      <w:r>
        <w:rPr>
          <w:rFonts w:hint="eastAsia" w:ascii="MS UI Gothic" w:eastAsia="MS UI Gothic"/>
          <w:w w:val="80"/>
        </w:rPr>
        <w:t>ꎬ</w:t>
      </w:r>
      <w:r>
        <w:t>疏散受到威胁的人员</w:t>
      </w:r>
      <w:r>
        <w:rPr>
          <w:rFonts w:hint="eastAsia" w:ascii="MS UI Gothic" w:eastAsia="MS UI Gothic"/>
          <w:w w:val="80"/>
        </w:rPr>
        <w:t xml:space="preserve">ꎬ </w:t>
      </w:r>
      <w:r>
        <w:t>实施交通管制</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采取必要措施</w:t>
      </w:r>
      <w:r>
        <w:rPr>
          <w:rFonts w:hint="eastAsia" w:ascii="MS UI Gothic" w:eastAsia="MS UI Gothic"/>
          <w:w w:val="80"/>
        </w:rPr>
        <w:t xml:space="preserve">ꎬ </w:t>
      </w:r>
      <w:r>
        <w:rPr>
          <w:w w:val="105"/>
        </w:rPr>
        <w:t>防止事故危害扩大和次生</w:t>
      </w:r>
      <w:r>
        <w:rPr>
          <w:rFonts w:hint="eastAsia" w:ascii="MS UI Gothic" w:eastAsia="MS UI Gothic"/>
          <w:w w:val="80"/>
        </w:rPr>
        <w:t xml:space="preserve">、 </w:t>
      </w:r>
      <w:r>
        <w:rPr>
          <w:w w:val="105"/>
        </w:rPr>
        <w:t>衍生灾害发生</w:t>
      </w:r>
      <w:r>
        <w:rPr>
          <w:rFonts w:hint="eastAsia" w:ascii="MS UI Gothic" w:eastAsia="MS UI Gothic"/>
          <w:w w:val="80"/>
        </w:rPr>
        <w:t xml:space="preserve">ꎬ </w:t>
      </w:r>
      <w:r>
        <w:rPr>
          <w:w w:val="105"/>
        </w:rPr>
        <w:t>避免或者减少事故对环境造成的危害</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依法发布调用和征用应急资源</w:t>
      </w:r>
      <w:r>
        <w:rPr>
          <w:w w:val="110"/>
        </w:rPr>
        <w:t>的决定</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依法向应急救援队伍下达救援</w:t>
      </w:r>
      <w:r>
        <w:rPr>
          <w:w w:val="110"/>
        </w:rPr>
        <w:t>命令</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维护事故现场秩序</w:t>
      </w:r>
      <w:r>
        <w:rPr>
          <w:rFonts w:hint="eastAsia" w:ascii="MS UI Gothic" w:eastAsia="MS UI Gothic"/>
          <w:w w:val="80"/>
        </w:rPr>
        <w:t xml:space="preserve">ꎬ </w:t>
      </w:r>
      <w:r>
        <w:rPr>
          <w:w w:val="105"/>
        </w:rPr>
        <w:t>组织安抚遇险人员和遇险遇难人员亲属</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依法发布有关事故情况和应急</w:t>
      </w:r>
      <w:r>
        <w:rPr>
          <w:w w:val="110"/>
        </w:rPr>
        <w:t>救援工作的信息</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法规规定的其他应急救援措施</w:t>
      </w:r>
      <w:r>
        <w:rPr>
          <w:rFonts w:hint="eastAsia" w:ascii="MS UI Gothic" w:eastAsia="MS UI Gothic"/>
          <w:w w:val="80"/>
        </w:rPr>
        <w:t>ꎮ</w:t>
      </w:r>
    </w:p>
    <w:p>
      <w:pPr>
        <w:pStyle w:val="6"/>
        <w:spacing w:line="295" w:lineRule="auto"/>
        <w:ind w:right="442"/>
        <w:rPr>
          <w:rFonts w:hint="eastAsia" w:ascii="MS UI Gothic" w:eastAsia="MS UI Gothic"/>
        </w:rPr>
      </w:pPr>
      <w:r>
        <w:t>有关地方人民政府不能有效控制生产安全事故的</w:t>
      </w:r>
      <w:r>
        <w:rPr>
          <w:rFonts w:hint="eastAsia" w:ascii="MS UI Gothic" w:eastAsia="MS UI Gothic"/>
          <w:w w:val="80"/>
        </w:rPr>
        <w:t xml:space="preserve">ꎬ </w:t>
      </w:r>
      <w:r>
        <w:t>应当及时向上级人民政府报告</w:t>
      </w:r>
      <w:r>
        <w:rPr>
          <w:rFonts w:hint="eastAsia" w:ascii="MS UI Gothic" w:eastAsia="MS UI Gothic"/>
          <w:w w:val="80"/>
        </w:rPr>
        <w:t xml:space="preserve">ꎮ </w:t>
      </w:r>
      <w:r>
        <w:t>上级人民政府应当及时采取措施</w:t>
      </w:r>
      <w:r>
        <w:rPr>
          <w:rFonts w:hint="eastAsia" w:ascii="MS UI Gothic" w:eastAsia="MS UI Gothic"/>
          <w:w w:val="80"/>
        </w:rPr>
        <w:t xml:space="preserve">ꎬ </w:t>
      </w:r>
      <w:r>
        <w:t>统一指挥应急救援</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第十九条 应急救援队伍接到有关人</w:t>
      </w:r>
      <w:r>
        <w:t>民政府及其部门的救援命令或者签有应急救援协议的生产经营单位的救援请求后</w:t>
      </w:r>
      <w:r>
        <w:rPr>
          <w:rFonts w:hint="eastAsia" w:ascii="MS UI Gothic" w:eastAsia="MS UI Gothic"/>
          <w:w w:val="80"/>
        </w:rPr>
        <w:t>ꎬ</w:t>
      </w:r>
      <w:r>
        <w:rPr>
          <w:w w:val="105"/>
        </w:rPr>
        <w:t>应当立即参加生产安全事故应急救援</w:t>
      </w:r>
      <w:r>
        <w:rPr>
          <w:rFonts w:hint="eastAsia" w:ascii="MS UI Gothic" w:eastAsia="MS UI Gothic"/>
          <w:w w:val="80"/>
        </w:rPr>
        <w:t>ꎮ</w:t>
      </w:r>
    </w:p>
    <w:p>
      <w:pPr>
        <w:pStyle w:val="6"/>
        <w:spacing w:line="295" w:lineRule="auto"/>
        <w:ind w:right="442"/>
        <w:rPr>
          <w:rFonts w:hint="eastAsia" w:ascii="MS UI Gothic" w:eastAsia="MS UI Gothic"/>
        </w:rPr>
      </w:pPr>
      <w:r>
        <w:t>应急救援队伍根据救援命令参加生产安全事故应急救援所耗费用</w:t>
      </w:r>
      <w:r>
        <w:rPr>
          <w:rFonts w:hint="eastAsia" w:ascii="MS UI Gothic" w:eastAsia="MS UI Gothic"/>
          <w:w w:val="80"/>
        </w:rPr>
        <w:t xml:space="preserve">ꎬ </w:t>
      </w:r>
      <w:r>
        <w:t>由事故责任单位承担</w:t>
      </w:r>
      <w:r>
        <w:rPr>
          <w:rFonts w:hint="eastAsia" w:ascii="MS UI Gothic" w:eastAsia="MS UI Gothic"/>
          <w:w w:val="80"/>
        </w:rPr>
        <w:t xml:space="preserve">ꎻ </w:t>
      </w:r>
      <w:r>
        <w:t>事故责任单位无力承担的</w:t>
      </w:r>
      <w:r>
        <w:rPr>
          <w:rFonts w:hint="eastAsia" w:ascii="MS UI Gothic" w:eastAsia="MS UI Gothic"/>
          <w:w w:val="80"/>
        </w:rPr>
        <w:t xml:space="preserve">ꎬ </w:t>
      </w:r>
      <w:r>
        <w:t>由有关人民政府协调解决</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７１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61" o:spid="_x0000_s1261" o:spt="203" style="height:2.15pt;width:398.25pt;" coordsize="7965,43">
            <o:lock v:ext="edit"/>
            <v:line id="_x0000_s1262" o:spid="_x0000_s1262" o:spt="20" style="position:absolute;left:0;top:39;height:0;width:7965;" stroked="t" coordsize="21600,21600">
              <v:path arrowok="t"/>
              <v:fill focussize="0,0"/>
              <v:stroke weight="0.388031496062992pt" color="#231F20"/>
              <v:imagedata o:title=""/>
              <o:lock v:ext="edit"/>
            </v:line>
            <v:line id="_x0000_s1263" o:spid="_x0000_s126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t>第二十条 发生生产安全事故后</w:t>
      </w:r>
      <w:r>
        <w:rPr>
          <w:rFonts w:hint="eastAsia" w:ascii="MS UI Gothic" w:eastAsia="MS UI Gothic"/>
          <w:w w:val="80"/>
        </w:rPr>
        <w:t xml:space="preserve">ꎬ </w:t>
      </w:r>
      <w:r>
        <w:t>有关人民政府认为有必要的</w:t>
      </w:r>
      <w:r>
        <w:rPr>
          <w:rFonts w:hint="eastAsia" w:ascii="MS UI Gothic" w:eastAsia="MS UI Gothic"/>
          <w:w w:val="80"/>
        </w:rPr>
        <w:t xml:space="preserve">ꎬ </w:t>
      </w:r>
      <w:r>
        <w:t>可以设立由本级人民政府及其有关部门负责人</w:t>
      </w:r>
      <w:r>
        <w:rPr>
          <w:rFonts w:hint="eastAsia" w:ascii="MS UI Gothic" w:eastAsia="MS UI Gothic"/>
          <w:w w:val="80"/>
        </w:rPr>
        <w:t xml:space="preserve">、 </w:t>
      </w:r>
      <w:r>
        <w:t>应急救援专家</w:t>
      </w:r>
      <w:r>
        <w:rPr>
          <w:rFonts w:hint="eastAsia" w:ascii="MS UI Gothic" w:eastAsia="MS UI Gothic"/>
          <w:w w:val="80"/>
        </w:rPr>
        <w:t xml:space="preserve">、 </w:t>
      </w:r>
      <w:r>
        <w:t>应急救援队伍负责人</w:t>
      </w:r>
      <w:r>
        <w:rPr>
          <w:rFonts w:hint="eastAsia" w:ascii="MS UI Gothic" w:eastAsia="MS UI Gothic"/>
          <w:w w:val="80"/>
        </w:rPr>
        <w:t xml:space="preserve">、 </w:t>
      </w:r>
      <w:r>
        <w:t>事故发生单位负责人等人员组成的应急救援现场指挥部</w:t>
      </w:r>
      <w:r>
        <w:rPr>
          <w:rFonts w:hint="eastAsia" w:ascii="MS UI Gothic" w:eastAsia="MS UI Gothic"/>
          <w:w w:val="80"/>
        </w:rPr>
        <w:t xml:space="preserve">ꎬ </w:t>
      </w:r>
      <w:r>
        <w:t>并指定现场指挥部总指挥</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第二十一条 现场指挥部实行总指挥</w:t>
      </w:r>
      <w:r>
        <w:t>负责制</w:t>
      </w:r>
      <w:r>
        <w:rPr>
          <w:rFonts w:hint="eastAsia" w:ascii="MS UI Gothic" w:eastAsia="MS UI Gothic"/>
          <w:w w:val="80"/>
        </w:rPr>
        <w:t xml:space="preserve">ꎬ </w:t>
      </w:r>
      <w:r>
        <w:t>按照本级人民政府的授权组织制定并实施生产安全事故现场应急救援方</w:t>
      </w:r>
      <w:r>
        <w:rPr>
          <w:w w:val="105"/>
        </w:rPr>
        <w:t>案</w:t>
      </w:r>
      <w:r>
        <w:rPr>
          <w:rFonts w:hint="eastAsia" w:ascii="MS UI Gothic" w:eastAsia="MS UI Gothic"/>
          <w:w w:val="80"/>
        </w:rPr>
        <w:t xml:space="preserve">ꎬ </w:t>
      </w:r>
      <w:r>
        <w:rPr>
          <w:w w:val="105"/>
        </w:rPr>
        <w:t>协调</w:t>
      </w:r>
      <w:r>
        <w:rPr>
          <w:rFonts w:hint="eastAsia" w:ascii="MS UI Gothic" w:eastAsia="MS UI Gothic"/>
          <w:w w:val="80"/>
        </w:rPr>
        <w:t xml:space="preserve">、 </w:t>
      </w:r>
      <w:r>
        <w:rPr>
          <w:w w:val="105"/>
        </w:rPr>
        <w:t>指挥有关单位和个人参加现场应急救援</w:t>
      </w:r>
      <w:r>
        <w:rPr>
          <w:rFonts w:hint="eastAsia" w:ascii="MS UI Gothic" w:eastAsia="MS UI Gothic"/>
          <w:w w:val="80"/>
        </w:rPr>
        <w:t>ꎮ</w:t>
      </w:r>
    </w:p>
    <w:p>
      <w:pPr>
        <w:pStyle w:val="6"/>
        <w:spacing w:line="295" w:lineRule="auto"/>
        <w:ind w:left="440"/>
        <w:rPr>
          <w:rFonts w:hint="eastAsia" w:ascii="MS UI Gothic" w:eastAsia="MS UI Gothic"/>
        </w:rPr>
      </w:pPr>
      <w:r>
        <w:t>参加生产安全事故现场应急救援的单位和个人应当服从现场指挥部的统一</w:t>
      </w:r>
      <w:r>
        <w:rPr>
          <w:w w:val="105"/>
        </w:rPr>
        <w:t>指挥</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第二十二条 在生产安全事故应急救</w:t>
      </w:r>
      <w:r>
        <w:t>援过程中</w:t>
      </w:r>
      <w:r>
        <w:rPr>
          <w:rFonts w:hint="eastAsia" w:ascii="MS UI Gothic" w:eastAsia="MS UI Gothic"/>
          <w:w w:val="80"/>
        </w:rPr>
        <w:t xml:space="preserve">ꎬ </w:t>
      </w:r>
      <w:r>
        <w:t>发现可能直接危及应急救援人员生命安全的紧急情况时</w:t>
      </w:r>
      <w:r>
        <w:rPr>
          <w:rFonts w:hint="eastAsia" w:ascii="MS UI Gothic" w:eastAsia="MS UI Gothic"/>
          <w:w w:val="80"/>
        </w:rPr>
        <w:t xml:space="preserve">ꎬ </w:t>
      </w:r>
      <w:r>
        <w:t>现场指挥部或者统一指挥应急救援的人民政府应当立即采取相应措施消除隐患</w:t>
      </w:r>
      <w:r>
        <w:rPr>
          <w:rFonts w:hint="eastAsia" w:ascii="MS UI Gothic" w:eastAsia="MS UI Gothic"/>
          <w:w w:val="80"/>
        </w:rPr>
        <w:t xml:space="preserve">ꎬ </w:t>
      </w:r>
      <w:r>
        <w:t>降低或者化解风险</w:t>
      </w:r>
      <w:r>
        <w:rPr>
          <w:rFonts w:hint="eastAsia" w:ascii="MS UI Gothic" w:eastAsia="MS UI Gothic"/>
          <w:w w:val="80"/>
        </w:rPr>
        <w:t xml:space="preserve">ꎬ </w:t>
      </w:r>
      <w:r>
        <w:t>必要时可以暂时撤离应急救援人员</w:t>
      </w:r>
      <w:r>
        <w:rPr>
          <w:rFonts w:hint="eastAsia" w:ascii="MS UI Gothic" w:eastAsia="MS UI Gothic"/>
          <w:w w:val="80"/>
        </w:rPr>
        <w:t>ꎮ</w:t>
      </w:r>
    </w:p>
    <w:p>
      <w:pPr>
        <w:pStyle w:val="6"/>
        <w:spacing w:line="295" w:lineRule="auto"/>
        <w:ind w:left="440"/>
        <w:rPr>
          <w:rFonts w:hint="eastAsia" w:ascii="MS UI Gothic" w:eastAsia="MS UI Gothic"/>
        </w:rPr>
      </w:pPr>
      <w:r>
        <w:t>第二十三条 生产安全事故发生地人民政府应当为应急救援人员提供必需的后勤保障</w:t>
      </w:r>
      <w:r>
        <w:rPr>
          <w:rFonts w:hint="eastAsia" w:ascii="MS UI Gothic" w:eastAsia="MS UI Gothic"/>
          <w:w w:val="80"/>
        </w:rPr>
        <w:t xml:space="preserve">ꎬ </w:t>
      </w:r>
      <w:r>
        <w:t>并组织通信</w:t>
      </w:r>
      <w:r>
        <w:rPr>
          <w:rFonts w:hint="eastAsia" w:ascii="MS UI Gothic" w:eastAsia="MS UI Gothic"/>
          <w:w w:val="80"/>
        </w:rPr>
        <w:t xml:space="preserve">、 </w:t>
      </w:r>
      <w:r>
        <w:t>交通运输</w:t>
      </w:r>
      <w:r>
        <w:rPr>
          <w:rFonts w:hint="eastAsia" w:ascii="MS UI Gothic" w:eastAsia="MS UI Gothic"/>
          <w:w w:val="80"/>
        </w:rPr>
        <w:t xml:space="preserve">、 </w:t>
      </w:r>
      <w:r>
        <w:t>医疗卫生</w:t>
      </w:r>
      <w:r>
        <w:rPr>
          <w:rFonts w:hint="eastAsia" w:ascii="MS UI Gothic" w:eastAsia="MS UI Gothic"/>
          <w:w w:val="80"/>
        </w:rPr>
        <w:t xml:space="preserve">、 </w:t>
      </w:r>
      <w:r>
        <w:t>气象</w:t>
      </w:r>
      <w:r>
        <w:rPr>
          <w:rFonts w:hint="eastAsia" w:ascii="MS UI Gothic" w:eastAsia="MS UI Gothic"/>
          <w:w w:val="80"/>
        </w:rPr>
        <w:t xml:space="preserve">、 </w:t>
      </w:r>
      <w:r>
        <w:t>水文</w:t>
      </w:r>
      <w:r>
        <w:rPr>
          <w:rFonts w:hint="eastAsia" w:ascii="MS UI Gothic" w:eastAsia="MS UI Gothic"/>
          <w:w w:val="80"/>
        </w:rPr>
        <w:t xml:space="preserve">、 </w:t>
      </w:r>
      <w:r>
        <w:t>地质</w:t>
      </w:r>
      <w:r>
        <w:rPr>
          <w:rFonts w:hint="eastAsia" w:ascii="MS UI Gothic" w:eastAsia="MS UI Gothic"/>
          <w:w w:val="80"/>
        </w:rPr>
        <w:t xml:space="preserve">、  </w:t>
      </w:r>
      <w:r>
        <w:t>电力</w:t>
      </w:r>
      <w:r>
        <w:rPr>
          <w:rFonts w:hint="eastAsia" w:ascii="MS UI Gothic" w:eastAsia="MS UI Gothic"/>
          <w:w w:val="80"/>
        </w:rPr>
        <w:t xml:space="preserve">、  </w:t>
      </w:r>
      <w:r>
        <w:t>供水等单位协助应急救援</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第二十四条 现场指挥部或者统一指</w:t>
      </w:r>
      <w:r>
        <w:rPr>
          <w:spacing w:val="2"/>
        </w:rPr>
        <w:t>挥生产安全事故应急救援的人民政府及其</w:t>
      </w:r>
      <w:r>
        <w:rPr>
          <w:spacing w:val="3"/>
          <w:w w:val="105"/>
        </w:rPr>
        <w:t>有关部门应当完整</w:t>
      </w:r>
      <w:r>
        <w:rPr>
          <w:rFonts w:hint="eastAsia" w:ascii="MS UI Gothic" w:eastAsia="MS UI Gothic"/>
          <w:spacing w:val="-5"/>
          <w:w w:val="80"/>
        </w:rPr>
        <w:t xml:space="preserve">、 </w:t>
      </w:r>
      <w:r>
        <w:rPr>
          <w:spacing w:val="2"/>
          <w:w w:val="105"/>
        </w:rPr>
        <w:t>准确地记录应急救援</w:t>
      </w:r>
      <w:r>
        <w:rPr>
          <w:spacing w:val="10"/>
        </w:rPr>
        <w:t>的重要事项</w:t>
      </w:r>
      <w:r>
        <w:rPr>
          <w:rFonts w:hint="eastAsia" w:ascii="MS UI Gothic" w:eastAsia="MS UI Gothic"/>
          <w:spacing w:val="24"/>
          <w:w w:val="80"/>
        </w:rPr>
        <w:t xml:space="preserve">ꎬ </w:t>
      </w:r>
      <w:r>
        <w:rPr>
          <w:spacing w:val="16"/>
        </w:rPr>
        <w:t>妥善保存相关原始资料和</w:t>
      </w:r>
      <w:r>
        <w:rPr>
          <w:spacing w:val="3"/>
          <w:w w:val="105"/>
        </w:rPr>
        <w:t>证据</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第二十五条 生产安全事故的威胁和</w:t>
      </w:r>
      <w:r>
        <w:rPr>
          <w:spacing w:val="3"/>
        </w:rPr>
        <w:t>危害得到控制或者消除后</w:t>
      </w:r>
      <w:r>
        <w:rPr>
          <w:rFonts w:hint="eastAsia" w:ascii="MS UI Gothic" w:eastAsia="MS UI Gothic"/>
          <w:spacing w:val="21"/>
          <w:w w:val="80"/>
        </w:rPr>
        <w:t xml:space="preserve">ꎬ </w:t>
      </w:r>
      <w:r>
        <w:rPr>
          <w:spacing w:val="2"/>
        </w:rPr>
        <w:t>有关人民政府</w:t>
      </w:r>
      <w:r>
        <w:rPr>
          <w:spacing w:val="10"/>
        </w:rPr>
        <w:t>应当决定停止执行依照本条例和有关法</w:t>
      </w:r>
      <w:r>
        <w:rPr>
          <w:spacing w:val="3"/>
          <w:w w:val="105"/>
        </w:rPr>
        <w:t>律</w:t>
      </w:r>
      <w:r>
        <w:rPr>
          <w:rFonts w:hint="eastAsia" w:ascii="MS UI Gothic" w:eastAsia="MS UI Gothic"/>
          <w:spacing w:val="-2"/>
          <w:w w:val="80"/>
        </w:rPr>
        <w:t xml:space="preserve">、 </w:t>
      </w:r>
      <w:r>
        <w:rPr>
          <w:spacing w:val="13"/>
          <w:w w:val="105"/>
        </w:rPr>
        <w:t>法规采取的全部或者部分应急救援</w:t>
      </w:r>
      <w:r>
        <w:rPr>
          <w:spacing w:val="3"/>
          <w:w w:val="105"/>
        </w:rPr>
        <w:t>措施</w:t>
      </w:r>
      <w:r>
        <w:rPr>
          <w:rFonts w:hint="eastAsia" w:ascii="MS UI Gothic" w:eastAsia="MS UI Gothic"/>
          <w:w w:val="80"/>
        </w:rPr>
        <w:t>ꎮ</w:t>
      </w:r>
    </w:p>
    <w:p>
      <w:pPr>
        <w:pStyle w:val="6"/>
        <w:spacing w:line="295" w:lineRule="auto"/>
        <w:ind w:left="440"/>
      </w:pPr>
      <w:r>
        <w:t>第二十六条 有关人民政府及其部门根据生产安全事故应急救援需要依法调用和征用的财产</w:t>
      </w:r>
      <w:r>
        <w:rPr>
          <w:rFonts w:hint="eastAsia" w:ascii="MS UI Gothic" w:eastAsia="MS UI Gothic"/>
          <w:w w:val="80"/>
        </w:rPr>
        <w:t xml:space="preserve">ꎬ </w:t>
      </w:r>
      <w:r>
        <w:t>在使用完毕或者应急救援结束后</w:t>
      </w:r>
      <w:r>
        <w:rPr>
          <w:rFonts w:hint="eastAsia" w:ascii="MS UI Gothic" w:eastAsia="MS UI Gothic"/>
          <w:w w:val="80"/>
        </w:rPr>
        <w:t xml:space="preserve">ꎬ </w:t>
      </w:r>
      <w:r>
        <w:t>应当及时归还</w:t>
      </w:r>
      <w:r>
        <w:rPr>
          <w:rFonts w:hint="eastAsia" w:ascii="MS UI Gothic" w:eastAsia="MS UI Gothic"/>
          <w:w w:val="80"/>
        </w:rPr>
        <w:t xml:space="preserve">ꎮ </w:t>
      </w:r>
      <w:r>
        <w:t>财产被调用</w:t>
      </w:r>
      <w:r>
        <w:rPr>
          <w:rFonts w:hint="eastAsia" w:ascii="MS UI Gothic" w:eastAsia="MS UI Gothic"/>
          <w:w w:val="80"/>
        </w:rPr>
        <w:t xml:space="preserve">、 </w:t>
      </w:r>
      <w:r>
        <w:t>征</w:t>
      </w:r>
    </w:p>
    <w:p>
      <w:pPr>
        <w:pStyle w:val="6"/>
        <w:spacing w:before="124" w:line="295" w:lineRule="auto"/>
        <w:ind w:left="383" w:right="126" w:firstLine="0"/>
        <w:rPr>
          <w:rFonts w:hint="eastAsia" w:ascii="MS UI Gothic" w:eastAsia="MS UI Gothic"/>
        </w:rPr>
      </w:pPr>
      <w:r>
        <w:br w:type="column"/>
      </w:r>
      <w:r>
        <w:t>用或者调用</w:t>
      </w:r>
      <w:r>
        <w:rPr>
          <w:rFonts w:hint="eastAsia" w:ascii="MS UI Gothic" w:eastAsia="MS UI Gothic"/>
          <w:w w:val="80"/>
        </w:rPr>
        <w:t xml:space="preserve">、 </w:t>
      </w:r>
      <w:r>
        <w:t>征用后毁损</w:t>
      </w:r>
      <w:r>
        <w:rPr>
          <w:rFonts w:hint="eastAsia" w:ascii="MS UI Gothic" w:eastAsia="MS UI Gothic"/>
          <w:w w:val="80"/>
        </w:rPr>
        <w:t xml:space="preserve">、 </w:t>
      </w:r>
      <w:r>
        <w:t>灭失的</w:t>
      </w:r>
      <w:r>
        <w:rPr>
          <w:rFonts w:hint="eastAsia" w:ascii="MS UI Gothic" w:eastAsia="MS UI Gothic"/>
          <w:w w:val="80"/>
        </w:rPr>
        <w:t xml:space="preserve">ꎬ </w:t>
      </w:r>
      <w:r>
        <w:t>有关人民政府及其部门应当按照国家有关规定给予补偿</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第二十七条 按照国家有关规定成立</w:t>
      </w:r>
      <w:r>
        <w:t>的生产安全事故调查组应当对应急救援工作进行评估</w:t>
      </w:r>
      <w:r>
        <w:rPr>
          <w:rFonts w:hint="eastAsia" w:ascii="MS UI Gothic" w:eastAsia="MS UI Gothic"/>
          <w:w w:val="80"/>
        </w:rPr>
        <w:t xml:space="preserve">ꎬ </w:t>
      </w:r>
      <w:r>
        <w:t>并在事故调查报告中作出评</w:t>
      </w:r>
      <w:r>
        <w:rPr>
          <w:w w:val="105"/>
        </w:rPr>
        <w:t>估结论</w:t>
      </w:r>
      <w:r>
        <w:rPr>
          <w:rFonts w:hint="eastAsia" w:ascii="MS UI Gothic" w:eastAsia="MS UI Gothic"/>
          <w:w w:val="80"/>
        </w:rPr>
        <w:t>ꎮ</w:t>
      </w:r>
    </w:p>
    <w:p>
      <w:pPr>
        <w:pStyle w:val="6"/>
        <w:spacing w:line="295" w:lineRule="auto"/>
        <w:ind w:left="383" w:right="126"/>
        <w:rPr>
          <w:rFonts w:hint="eastAsia" w:ascii="MS UI Gothic" w:eastAsia="MS UI Gothic"/>
        </w:rPr>
      </w:pPr>
      <w:r>
        <w:t>第二十八条 县级以上地方人民政府应当按照国家有关规定</w:t>
      </w:r>
      <w:r>
        <w:rPr>
          <w:rFonts w:hint="eastAsia" w:ascii="MS UI Gothic" w:eastAsia="MS UI Gothic"/>
          <w:w w:val="80"/>
        </w:rPr>
        <w:t xml:space="preserve">ꎬ </w:t>
      </w:r>
      <w:r>
        <w:t>对在生产安全事故应急救援中伤亡的人员及时给予救治和抚恤</w:t>
      </w:r>
      <w:r>
        <w:rPr>
          <w:rFonts w:hint="eastAsia" w:ascii="MS UI Gothic" w:eastAsia="MS UI Gothic"/>
          <w:w w:val="80"/>
        </w:rPr>
        <w:t xml:space="preserve">ꎻ </w:t>
      </w:r>
      <w:r>
        <w:t>符合烈士评定条件的</w:t>
      </w:r>
      <w:r>
        <w:rPr>
          <w:rFonts w:hint="eastAsia" w:ascii="MS UI Gothic" w:eastAsia="MS UI Gothic"/>
          <w:w w:val="80"/>
        </w:rPr>
        <w:t xml:space="preserve">ꎬ </w:t>
      </w:r>
      <w:r>
        <w:t>按照国家有关规定评定为烈士</w:t>
      </w:r>
      <w:r>
        <w:rPr>
          <w:rFonts w:hint="eastAsia" w:ascii="MS UI Gothic" w:eastAsia="MS UI Gothic"/>
          <w:w w:val="80"/>
        </w:rPr>
        <w:t>ꎮ</w:t>
      </w:r>
    </w:p>
    <w:p>
      <w:pPr>
        <w:pStyle w:val="6"/>
        <w:tabs>
          <w:tab w:val="left" w:pos="2164"/>
        </w:tabs>
        <w:spacing w:before="148"/>
        <w:ind w:left="1326" w:firstLine="0"/>
        <w:jc w:val="left"/>
      </w:pPr>
      <w:r>
        <w:rPr>
          <w:spacing w:val="3"/>
          <w:w w:val="105"/>
        </w:rPr>
        <w:t>第四</w:t>
      </w:r>
      <w:r>
        <w:rPr>
          <w:w w:val="105"/>
        </w:rPr>
        <w:t>章</w:t>
      </w:r>
      <w:r>
        <w:rPr>
          <w:w w:val="105"/>
        </w:rPr>
        <w:tab/>
      </w:r>
      <w:r>
        <w:rPr>
          <w:w w:val="105"/>
        </w:rPr>
        <w:t>法</w:t>
      </w:r>
      <w:r>
        <w:rPr>
          <w:spacing w:val="-33"/>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left="383" w:right="126"/>
        <w:rPr>
          <w:rFonts w:hint="eastAsia" w:ascii="MS UI Gothic" w:eastAsia="MS UI Gothic"/>
        </w:rPr>
      </w:pPr>
      <w:r>
        <w:rPr>
          <w:w w:val="105"/>
        </w:rPr>
        <w:t>第二十九条 地方各级人民政府和街</w:t>
      </w:r>
      <w:r>
        <w:t>道办事处等地方人民政府派出机关以及县级以上人民政府有关部门违反本条例规定的</w:t>
      </w:r>
      <w:r>
        <w:rPr>
          <w:rFonts w:hint="eastAsia" w:ascii="MS UI Gothic" w:eastAsia="MS UI Gothic"/>
          <w:w w:val="80"/>
        </w:rPr>
        <w:t xml:space="preserve">ꎬ </w:t>
      </w:r>
      <w:r>
        <w:t>由其上级行政机关责令改正</w:t>
      </w:r>
      <w:r>
        <w:rPr>
          <w:rFonts w:hint="eastAsia" w:ascii="MS UI Gothic" w:eastAsia="MS UI Gothic"/>
          <w:w w:val="80"/>
        </w:rPr>
        <w:t xml:space="preserve">ꎻ </w:t>
      </w:r>
      <w:r>
        <w:t>情节严重的</w:t>
      </w:r>
      <w:r>
        <w:rPr>
          <w:rFonts w:hint="eastAsia" w:ascii="MS UI Gothic" w:eastAsia="MS UI Gothic"/>
          <w:w w:val="80"/>
        </w:rPr>
        <w:t xml:space="preserve">ꎬ </w:t>
      </w:r>
      <w:r>
        <w:t>对直接负责的主管人员和其他直接</w:t>
      </w:r>
      <w:r>
        <w:rPr>
          <w:w w:val="105"/>
        </w:rPr>
        <w:t>责任人员依法给予处分</w:t>
      </w:r>
      <w:r>
        <w:rPr>
          <w:rFonts w:hint="eastAsia" w:ascii="MS UI Gothic" w:eastAsia="MS UI Gothic"/>
          <w:w w:val="80"/>
        </w:rPr>
        <w:t>ꎮ</w:t>
      </w:r>
    </w:p>
    <w:p>
      <w:pPr>
        <w:pStyle w:val="6"/>
        <w:spacing w:line="295" w:lineRule="auto"/>
        <w:ind w:left="383" w:right="126"/>
        <w:rPr>
          <w:rFonts w:hint="eastAsia" w:ascii="MS UI Gothic" w:hAnsi="MS UI Gothic" w:eastAsia="MS UI Gothic"/>
        </w:rPr>
      </w:pPr>
      <w:r>
        <w:rPr>
          <w:w w:val="105"/>
        </w:rPr>
        <w:t>第三十条 生产经营单位未制定生产安全事故应急救援预案</w:t>
      </w:r>
      <w:r>
        <w:rPr>
          <w:rFonts w:hint="eastAsia" w:ascii="MS UI Gothic" w:hAnsi="MS UI Gothic" w:eastAsia="MS UI Gothic"/>
          <w:w w:val="80"/>
        </w:rPr>
        <w:t xml:space="preserve">、 </w:t>
      </w:r>
      <w:r>
        <w:rPr>
          <w:w w:val="105"/>
        </w:rPr>
        <w:t>未定期组织应急救援预案演练</w:t>
      </w:r>
      <w:r>
        <w:rPr>
          <w:rFonts w:hint="eastAsia" w:ascii="MS UI Gothic" w:hAnsi="MS UI Gothic" w:eastAsia="MS UI Gothic"/>
          <w:w w:val="80"/>
        </w:rPr>
        <w:t xml:space="preserve">、 </w:t>
      </w:r>
      <w:r>
        <w:rPr>
          <w:w w:val="105"/>
        </w:rPr>
        <w:t>未对从业人员进行应急教</w:t>
      </w:r>
      <w:r>
        <w:t>育和培训</w:t>
      </w:r>
      <w:r>
        <w:rPr>
          <w:rFonts w:hint="eastAsia" w:ascii="MS UI Gothic" w:hAnsi="MS UI Gothic" w:eastAsia="MS UI Gothic"/>
          <w:w w:val="80"/>
        </w:rPr>
        <w:t xml:space="preserve">ꎬ </w:t>
      </w:r>
      <w:r>
        <w:t>生产经营单位的主要负责人在本单位发生生产安全事故时不立即组织抢救的</w:t>
      </w:r>
      <w:r>
        <w:rPr>
          <w:rFonts w:hint="eastAsia" w:ascii="MS UI Gothic" w:hAnsi="MS UI Gothic" w:eastAsia="MS UI Gothic"/>
          <w:w w:val="80"/>
        </w:rPr>
        <w:t xml:space="preserve">ꎬ </w:t>
      </w:r>
      <w:r>
        <w:t>由县级以上人民政府负有安全生产</w:t>
      </w:r>
      <w:r>
        <w:rPr>
          <w:w w:val="105"/>
        </w:rPr>
        <w:t xml:space="preserve">监督管理职责的部门依照 </w:t>
      </w:r>
      <w:r>
        <w:rPr>
          <w:rFonts w:hint="eastAsia" w:ascii="MS UI Gothic" w:hAnsi="MS UI Gothic" w:eastAsia="MS UI Gothic"/>
          <w:w w:val="80"/>
        </w:rPr>
        <w:t xml:space="preserve">« </w:t>
      </w:r>
      <w:r>
        <w:rPr>
          <w:w w:val="105"/>
        </w:rPr>
        <w:t>中华人民共和国安全生产法</w:t>
      </w:r>
      <w:r>
        <w:rPr>
          <w:rFonts w:hint="eastAsia" w:ascii="MS UI Gothic" w:hAnsi="MS UI Gothic" w:eastAsia="MS UI Gothic"/>
          <w:w w:val="80"/>
        </w:rPr>
        <w:t xml:space="preserve">» </w:t>
      </w:r>
      <w:r>
        <w:rPr>
          <w:w w:val="105"/>
        </w:rPr>
        <w:t>有关规定追究法律责任</w:t>
      </w:r>
      <w:r>
        <w:rPr>
          <w:rFonts w:hint="eastAsia" w:ascii="MS UI Gothic" w:hAnsi="MS UI Gothic" w:eastAsia="MS UI Gothic"/>
          <w:w w:val="80"/>
        </w:rPr>
        <w:t>ꎮ</w:t>
      </w:r>
    </w:p>
    <w:p>
      <w:pPr>
        <w:pStyle w:val="6"/>
        <w:spacing w:line="295" w:lineRule="auto"/>
        <w:ind w:left="383" w:right="124"/>
        <w:rPr>
          <w:rFonts w:hint="eastAsia" w:ascii="MS UI Gothic" w:hAnsi="MS UI Gothic" w:eastAsia="MS UI Gothic"/>
        </w:rPr>
      </w:pPr>
      <w:r>
        <w:rPr>
          <w:w w:val="105"/>
        </w:rPr>
        <w:t>第三十一条 生产经营单位未对应急救援器材</w:t>
      </w:r>
      <w:r>
        <w:rPr>
          <w:rFonts w:hint="eastAsia" w:ascii="MS UI Gothic" w:hAnsi="MS UI Gothic" w:eastAsia="MS UI Gothic"/>
          <w:w w:val="80"/>
        </w:rPr>
        <w:t xml:space="preserve">、 </w:t>
      </w:r>
      <w:r>
        <w:rPr>
          <w:w w:val="105"/>
        </w:rPr>
        <w:t>设备和物资进行经常性维护</w:t>
      </w:r>
      <w:r>
        <w:rPr>
          <w:rFonts w:hint="eastAsia" w:ascii="MS UI Gothic" w:hAnsi="MS UI Gothic" w:eastAsia="MS UI Gothic"/>
          <w:w w:val="80"/>
        </w:rPr>
        <w:t>、</w:t>
      </w:r>
      <w:r>
        <w:t>保养</w:t>
      </w:r>
      <w:r>
        <w:rPr>
          <w:rFonts w:hint="eastAsia" w:ascii="MS UI Gothic" w:hAnsi="MS UI Gothic" w:eastAsia="MS UI Gothic"/>
          <w:w w:val="80"/>
        </w:rPr>
        <w:t xml:space="preserve">ꎬ </w:t>
      </w:r>
      <w:r>
        <w:t>导致发生严重生产安全事故或者生产安全事故危害扩大</w:t>
      </w:r>
      <w:r>
        <w:rPr>
          <w:rFonts w:hint="eastAsia" w:ascii="MS UI Gothic" w:hAnsi="MS UI Gothic" w:eastAsia="MS UI Gothic"/>
          <w:w w:val="80"/>
        </w:rPr>
        <w:t xml:space="preserve">ꎬ </w:t>
      </w:r>
      <w:r>
        <w:t>或者在本单位发生生产安全事故后未立即采取相应的应急救援措施</w:t>
      </w:r>
      <w:r>
        <w:rPr>
          <w:rFonts w:hint="eastAsia" w:ascii="MS UI Gothic" w:hAnsi="MS UI Gothic" w:eastAsia="MS UI Gothic"/>
          <w:w w:val="80"/>
        </w:rPr>
        <w:t xml:space="preserve">ꎬ </w:t>
      </w:r>
      <w:r>
        <w:t>造成严重后果的</w:t>
      </w:r>
      <w:r>
        <w:rPr>
          <w:rFonts w:hint="eastAsia" w:ascii="MS UI Gothic" w:hAnsi="MS UI Gothic" w:eastAsia="MS UI Gothic"/>
          <w:w w:val="80"/>
        </w:rPr>
        <w:t xml:space="preserve">ꎬ </w:t>
      </w:r>
      <w:r>
        <w:t>由县级以上人民政府负有安全生产监督管理职责的部门</w:t>
      </w:r>
      <w:r>
        <w:rPr>
          <w:w w:val="105"/>
        </w:rPr>
        <w:t xml:space="preserve">依照 </w:t>
      </w:r>
      <w:r>
        <w:rPr>
          <w:rFonts w:hint="eastAsia" w:ascii="MS UI Gothic" w:hAnsi="MS UI Gothic" w:eastAsia="MS UI Gothic"/>
          <w:w w:val="80"/>
        </w:rPr>
        <w:t xml:space="preserve">« </w:t>
      </w:r>
      <w:r>
        <w:rPr>
          <w:w w:val="105"/>
        </w:rPr>
        <w:t>中华人民共和国突发事件应对法</w:t>
      </w:r>
      <w:r>
        <w:rPr>
          <w:rFonts w:hint="eastAsia" w:ascii="MS UI Gothic" w:hAnsi="MS UI Gothic" w:eastAsia="MS UI Gothic"/>
          <w:w w:val="80"/>
        </w:rPr>
        <w:t xml:space="preserve">» </w:t>
      </w:r>
      <w:r>
        <w:rPr>
          <w:w w:val="105"/>
        </w:rPr>
        <w:t>有关规定追究法律责任</w:t>
      </w:r>
      <w:r>
        <w:rPr>
          <w:rFonts w:hint="eastAsia" w:ascii="MS UI Gothic" w:hAnsi="MS UI Gothic" w:eastAsia="MS UI Gothic"/>
          <w:w w:val="80"/>
        </w:rPr>
        <w:t>ꎮ</w:t>
      </w:r>
    </w:p>
    <w:p>
      <w:pPr>
        <w:pStyle w:val="6"/>
        <w:tabs>
          <w:tab w:val="left" w:pos="2059"/>
        </w:tabs>
        <w:spacing w:line="249" w:lineRule="exact"/>
        <w:ind w:left="802" w:firstLine="0"/>
        <w:jc w:val="left"/>
      </w:pPr>
      <w:r>
        <w:rPr>
          <w:spacing w:val="3"/>
          <w:w w:val="105"/>
        </w:rPr>
        <w:t>第三十二</w:t>
      </w:r>
      <w:r>
        <w:rPr>
          <w:w w:val="105"/>
        </w:rPr>
        <w:t>条</w:t>
      </w:r>
      <w:r>
        <w:rPr>
          <w:w w:val="105"/>
        </w:rPr>
        <w:tab/>
      </w:r>
      <w:r>
        <w:rPr>
          <w:spacing w:val="3"/>
          <w:w w:val="105"/>
        </w:rPr>
        <w:t>生产经营单位未将生</w:t>
      </w:r>
      <w:r>
        <w:rPr>
          <w:w w:val="105"/>
        </w:rPr>
        <w:t>产</w:t>
      </w:r>
    </w:p>
    <w:p>
      <w:pPr>
        <w:spacing w:after="0" w:line="249" w:lineRule="exact"/>
        <w:jc w:val="left"/>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７２</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64" o:spid="_x0000_s1264" o:spt="203" style="height:2.15pt;width:398.25pt;" coordsize="7965,43">
            <o:lock v:ext="edit"/>
            <v:line id="_x0000_s1265" o:spid="_x0000_s1265" o:spt="20" style="position:absolute;left:0;top:39;height:0;width:7965;" stroked="t" coordsize="21600,21600">
              <v:path arrowok="t"/>
              <v:fill focussize="0,0"/>
              <v:stroke weight="0.388031496062992pt" color="#231F20"/>
              <v:imagedata o:title=""/>
              <o:lock v:ext="edit"/>
            </v:line>
            <v:line id="_x0000_s1266" o:spid="_x0000_s126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41" w:firstLine="0"/>
        <w:rPr>
          <w:rFonts w:hint="eastAsia" w:ascii="MS UI Gothic" w:eastAsia="MS UI Gothic"/>
        </w:rPr>
      </w:pPr>
      <w:r>
        <w:rPr>
          <w:spacing w:val="3"/>
        </w:rPr>
        <w:t>安全事故应急救援预案报送备案</w:t>
      </w:r>
      <w:r>
        <w:rPr>
          <w:rFonts w:hint="eastAsia" w:ascii="MS UI Gothic" w:eastAsia="MS UI Gothic"/>
          <w:spacing w:val="18"/>
          <w:w w:val="80"/>
        </w:rPr>
        <w:t xml:space="preserve">、 </w:t>
      </w:r>
      <w:r>
        <w:rPr>
          <w:spacing w:val="2"/>
        </w:rPr>
        <w:t>未建立</w:t>
      </w:r>
      <w:r>
        <w:rPr>
          <w:spacing w:val="4"/>
        </w:rPr>
        <w:t>应急值班制度或者配备应急值班人员的</w:t>
      </w:r>
      <w:r>
        <w:rPr>
          <w:rFonts w:hint="eastAsia" w:ascii="MS UI Gothic" w:eastAsia="MS UI Gothic"/>
          <w:w w:val="80"/>
        </w:rPr>
        <w:t>ꎬ</w:t>
      </w:r>
      <w:r>
        <w:rPr>
          <w:spacing w:val="2"/>
        </w:rPr>
        <w:t>由县级以上人民政府负有安全生产监督管</w:t>
      </w:r>
      <w:r>
        <w:rPr>
          <w:spacing w:val="3"/>
        </w:rPr>
        <w:t>理职责的部门责令限期改正</w:t>
      </w:r>
      <w:r>
        <w:rPr>
          <w:rFonts w:hint="eastAsia" w:ascii="MS UI Gothic" w:eastAsia="MS UI Gothic"/>
          <w:spacing w:val="20"/>
          <w:w w:val="80"/>
        </w:rPr>
        <w:t xml:space="preserve">ꎻ </w:t>
      </w:r>
      <w:r>
        <w:rPr>
          <w:spacing w:val="2"/>
        </w:rPr>
        <w:t>逾期未改正</w:t>
      </w:r>
      <w:r>
        <w:rPr>
          <w:spacing w:val="3"/>
        </w:rPr>
        <w:t>的</w:t>
      </w:r>
      <w:r>
        <w:rPr>
          <w:rFonts w:hint="eastAsia" w:ascii="MS UI Gothic" w:eastAsia="MS UI Gothic"/>
          <w:spacing w:val="23"/>
          <w:w w:val="80"/>
        </w:rPr>
        <w:t xml:space="preserve">ꎬ </w:t>
      </w:r>
      <w:r>
        <w:rPr>
          <w:spacing w:val="-28"/>
        </w:rPr>
        <w:t xml:space="preserve">处 </w:t>
      </w:r>
      <w:r>
        <w:rPr>
          <w:rFonts w:hint="eastAsia" w:ascii="MS UI Gothic" w:eastAsia="MS UI Gothic"/>
          <w:spacing w:val="1"/>
          <w:w w:val="80"/>
        </w:rPr>
        <w:t xml:space="preserve">３ </w:t>
      </w:r>
      <w:r>
        <w:rPr>
          <w:spacing w:val="-10"/>
        </w:rPr>
        <w:t xml:space="preserve">万元以上 </w:t>
      </w:r>
      <w:r>
        <w:rPr>
          <w:rFonts w:hint="eastAsia" w:ascii="MS UI Gothic" w:eastAsia="MS UI Gothic"/>
          <w:spacing w:val="1"/>
          <w:w w:val="80"/>
        </w:rPr>
        <w:t xml:space="preserve">５ </w:t>
      </w:r>
      <w:r>
        <w:rPr>
          <w:spacing w:val="3"/>
        </w:rPr>
        <w:t>万元以下的罚款</w:t>
      </w:r>
      <w:r>
        <w:rPr>
          <w:rFonts w:hint="eastAsia" w:ascii="MS UI Gothic" w:eastAsia="MS UI Gothic"/>
          <w:w w:val="80"/>
        </w:rPr>
        <w:t xml:space="preserve">ꎬ </w:t>
      </w:r>
      <w:r>
        <w:t>对</w:t>
      </w:r>
      <w:r>
        <w:rPr>
          <w:spacing w:val="2"/>
        </w:rPr>
        <w:t>直接负责的主管人员和其他直接责任人员</w:t>
      </w:r>
      <w:r>
        <w:rPr>
          <w:spacing w:val="-25"/>
        </w:rPr>
        <w:t xml:space="preserve">处 </w:t>
      </w:r>
      <w:r>
        <w:rPr>
          <w:rFonts w:hint="eastAsia" w:ascii="MS UI Gothic" w:eastAsia="MS UI Gothic"/>
          <w:spacing w:val="5"/>
          <w:w w:val="80"/>
        </w:rPr>
        <w:t xml:space="preserve">１ </w:t>
      </w:r>
      <w:r>
        <w:rPr>
          <w:spacing w:val="-9"/>
        </w:rPr>
        <w:t xml:space="preserve">万元以上 </w:t>
      </w:r>
      <w:r>
        <w:rPr>
          <w:rFonts w:hint="eastAsia" w:ascii="MS UI Gothic" w:eastAsia="MS UI Gothic"/>
          <w:spacing w:val="5"/>
          <w:w w:val="80"/>
        </w:rPr>
        <w:t xml:space="preserve">２ </w:t>
      </w:r>
      <w:r>
        <w:rPr>
          <w:spacing w:val="3"/>
        </w:rPr>
        <w:t>万元以下的罚款</w:t>
      </w:r>
      <w:r>
        <w:rPr>
          <w:rFonts w:hint="eastAsia" w:ascii="MS UI Gothic" w:eastAsia="MS UI Gothic"/>
          <w:w w:val="80"/>
        </w:rPr>
        <w:t>ꎮ</w:t>
      </w:r>
    </w:p>
    <w:p>
      <w:pPr>
        <w:pStyle w:val="6"/>
        <w:spacing w:line="295" w:lineRule="auto"/>
        <w:ind w:right="38"/>
      </w:pPr>
      <w:r>
        <w:t>第三十三条 违反本条例规定</w:t>
      </w:r>
      <w:r>
        <w:rPr>
          <w:rFonts w:hint="eastAsia" w:ascii="MS UI Gothic" w:eastAsia="MS UI Gothic"/>
          <w:w w:val="80"/>
        </w:rPr>
        <w:t xml:space="preserve">ꎬ </w:t>
      </w:r>
      <w:r>
        <w:t>构成违反治安管理行为的</w:t>
      </w:r>
      <w:r>
        <w:rPr>
          <w:rFonts w:hint="eastAsia" w:ascii="MS UI Gothic" w:eastAsia="MS UI Gothic"/>
          <w:w w:val="80"/>
        </w:rPr>
        <w:t xml:space="preserve">ꎬ </w:t>
      </w:r>
      <w:r>
        <w:t>由公安机关依法给</w:t>
      </w:r>
    </w:p>
    <w:p>
      <w:pPr>
        <w:pStyle w:val="6"/>
        <w:spacing w:before="123"/>
        <w:ind w:left="0" w:right="316" w:firstLine="0"/>
        <w:jc w:val="center"/>
        <w:rPr>
          <w:rFonts w:hint="eastAsia" w:ascii="MS UI Gothic" w:eastAsia="MS UI Gothic"/>
        </w:rPr>
      </w:pPr>
      <w:r>
        <w:br w:type="column"/>
      </w:r>
      <w:r>
        <w:t>予处罚</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tabs>
          <w:tab w:val="left" w:pos="838"/>
          <w:tab w:val="left" w:pos="1467"/>
        </w:tabs>
        <w:spacing w:before="215"/>
        <w:ind w:left="0" w:right="318" w:firstLine="0"/>
        <w:jc w:val="center"/>
      </w:pPr>
      <w:r>
        <w:rPr>
          <w:spacing w:val="3"/>
          <w:w w:val="105"/>
        </w:rPr>
        <w:t>第五</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spacing w:line="295" w:lineRule="auto"/>
        <w:ind w:right="440"/>
        <w:rPr>
          <w:rFonts w:hint="eastAsia" w:ascii="MS UI Gothic" w:eastAsia="MS UI Gothic"/>
        </w:rPr>
      </w:pPr>
      <w:r>
        <w:t>第三十四条 储存</w:t>
      </w:r>
      <w:r>
        <w:rPr>
          <w:rFonts w:hint="eastAsia" w:ascii="MS UI Gothic" w:eastAsia="MS UI Gothic"/>
          <w:w w:val="80"/>
        </w:rPr>
        <w:t xml:space="preserve">、 </w:t>
      </w:r>
      <w:r>
        <w:t>使用易燃易爆物品</w:t>
      </w:r>
      <w:r>
        <w:rPr>
          <w:rFonts w:hint="eastAsia" w:ascii="MS UI Gothic" w:eastAsia="MS UI Gothic"/>
          <w:w w:val="80"/>
        </w:rPr>
        <w:t xml:space="preserve">、 </w:t>
      </w:r>
      <w:r>
        <w:t>危险化学品等危险物品的科研机构</w:t>
      </w:r>
      <w:r>
        <w:rPr>
          <w:rFonts w:hint="eastAsia" w:ascii="MS UI Gothic" w:eastAsia="MS UI Gothic"/>
          <w:w w:val="80"/>
        </w:rPr>
        <w:t>、</w:t>
      </w:r>
      <w:r>
        <w:t>学校</w:t>
      </w:r>
      <w:r>
        <w:rPr>
          <w:rFonts w:hint="eastAsia" w:ascii="MS UI Gothic" w:eastAsia="MS UI Gothic"/>
          <w:w w:val="80"/>
        </w:rPr>
        <w:t xml:space="preserve">、 </w:t>
      </w:r>
      <w:r>
        <w:t>医院等单位的安全事故应急工作</w:t>
      </w:r>
      <w:r>
        <w:rPr>
          <w:rFonts w:hint="eastAsia" w:ascii="MS UI Gothic" w:eastAsia="MS UI Gothic"/>
          <w:w w:val="80"/>
        </w:rPr>
        <w:t>ꎬ</w:t>
      </w:r>
      <w:r>
        <w:t>参照本条例有关规定执行</w:t>
      </w:r>
      <w:r>
        <w:rPr>
          <w:rFonts w:hint="eastAsia" w:ascii="MS UI Gothic" w:eastAsia="MS UI Gothic"/>
          <w:w w:val="80"/>
        </w:rPr>
        <w:t>ꎮ</w:t>
      </w:r>
    </w:p>
    <w:p>
      <w:pPr>
        <w:pStyle w:val="6"/>
        <w:spacing w:line="295" w:lineRule="auto"/>
        <w:ind w:left="280" w:right="442" w:firstLine="263"/>
        <w:rPr>
          <w:rFonts w:hint="eastAsia" w:ascii="MS UI Gothic" w:eastAsia="MS UI Gothic"/>
        </w:rPr>
      </w:pPr>
      <w:r>
        <w:pict>
          <v:shape id="_x0000_s1267" o:spid="_x0000_s1267" o:spt="202" type="#_x0000_t202" style="position:absolute;left:0pt;margin-left:264.5pt;margin-top:12pt;height:24.35pt;width:5.15pt;mso-position-horizontal-relative:page;z-index:25175040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第三十五条 本条例自 </w:t>
      </w:r>
      <w:r>
        <w:rPr>
          <w:rFonts w:hint="eastAsia" w:ascii="MS UI Gothic" w:eastAsia="MS UI Gothic"/>
          <w:w w:val="95"/>
        </w:rPr>
        <w:t xml:space="preserve">２０１９ </w:t>
      </w:r>
      <w:r>
        <w:rPr>
          <w:w w:val="95"/>
        </w:rPr>
        <w:t xml:space="preserve">年 </w:t>
      </w:r>
      <w:r>
        <w:rPr>
          <w:rFonts w:hint="eastAsia" w:ascii="MS UI Gothic" w:eastAsia="MS UI Gothic"/>
          <w:w w:val="95"/>
        </w:rPr>
        <w:t xml:space="preserve">４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40" w:space="252"/>
            <w:col w:w="4348"/>
          </w:cols>
        </w:sectPr>
      </w:pPr>
    </w:p>
    <w:p>
      <w:pPr>
        <w:pStyle w:val="6"/>
        <w:spacing w:before="2"/>
        <w:ind w:left="0" w:firstLine="0"/>
        <w:jc w:val="left"/>
        <w:rPr>
          <w:rFonts w:ascii="MS UI Gothic"/>
          <w:sz w:val="17"/>
        </w:rPr>
      </w:pPr>
    </w:p>
    <w:p>
      <w:pPr>
        <w:pStyle w:val="4"/>
        <w:spacing w:before="74"/>
        <w:ind w:right="630"/>
      </w:pPr>
      <w:r>
        <w:t>中华人民共和国国务院令</w:t>
      </w:r>
    </w:p>
    <w:p>
      <w:pPr>
        <w:pStyle w:val="6"/>
        <w:ind w:left="0" w:firstLine="0"/>
        <w:jc w:val="left"/>
        <w:rPr>
          <w:sz w:val="27"/>
        </w:rPr>
      </w:pPr>
    </w:p>
    <w:p>
      <w:pPr>
        <w:pStyle w:val="5"/>
        <w:spacing w:before="1"/>
        <w:ind w:right="630"/>
      </w:pPr>
      <w:r>
        <w:t xml:space="preserve">第 </w:t>
      </w:r>
      <w:r>
        <w:rPr>
          <w:rFonts w:hint="eastAsia" w:ascii="MS UI Gothic" w:eastAsia="MS UI Gothic"/>
        </w:rPr>
        <w:t xml:space="preserve">４９３ </w:t>
      </w:r>
      <w:r>
        <w:t>号</w:t>
      </w:r>
    </w:p>
    <w:p>
      <w:pPr>
        <w:pStyle w:val="6"/>
        <w:spacing w:before="353"/>
        <w:ind w:left="543" w:firstLine="0"/>
        <w:jc w:val="left"/>
      </w:pPr>
      <w:r>
        <w:rPr>
          <w:rFonts w:hint="eastAsia" w:ascii="MS UI Gothic" w:hAnsi="MS UI Gothic" w:eastAsia="MS UI Gothic"/>
        </w:rPr>
        <w:t xml:space="preserve">« </w:t>
      </w:r>
      <w:r>
        <w:t>生产安全事故报告和调查处理条例</w:t>
      </w:r>
      <w:r>
        <w:rPr>
          <w:rFonts w:hint="eastAsia" w:ascii="MS UI Gothic" w:hAnsi="MS UI Gothic" w:eastAsia="MS UI Gothic"/>
        </w:rPr>
        <w:t xml:space="preserve">» </w:t>
      </w:r>
      <w:r>
        <w:t xml:space="preserve">已经 </w:t>
      </w:r>
      <w:r>
        <w:rPr>
          <w:rFonts w:hint="eastAsia" w:ascii="MS UI Gothic" w:hAnsi="MS UI Gothic" w:eastAsia="MS UI Gothic"/>
        </w:rPr>
        <w:t xml:space="preserve">２００７ </w:t>
      </w:r>
      <w:r>
        <w:t xml:space="preserve">年 </w:t>
      </w:r>
      <w:r>
        <w:rPr>
          <w:rFonts w:hint="eastAsia" w:ascii="MS UI Gothic" w:hAnsi="MS UI Gothic" w:eastAsia="MS UI Gothic"/>
        </w:rPr>
        <w:t xml:space="preserve">３ </w:t>
      </w:r>
      <w:r>
        <w:t xml:space="preserve">月 </w:t>
      </w:r>
      <w:r>
        <w:rPr>
          <w:rFonts w:hint="eastAsia" w:ascii="MS UI Gothic" w:hAnsi="MS UI Gothic" w:eastAsia="MS UI Gothic"/>
        </w:rPr>
        <w:t xml:space="preserve">２８ </w:t>
      </w:r>
      <w:r>
        <w:t xml:space="preserve">日国务院第 </w:t>
      </w:r>
      <w:r>
        <w:rPr>
          <w:rFonts w:hint="eastAsia" w:ascii="MS UI Gothic" w:hAnsi="MS UI Gothic" w:eastAsia="MS UI Gothic"/>
        </w:rPr>
        <w:t xml:space="preserve">１７２ </w:t>
      </w:r>
      <w:r>
        <w:t>次常务</w:t>
      </w:r>
    </w:p>
    <w:p>
      <w:pPr>
        <w:pStyle w:val="6"/>
        <w:spacing w:before="59"/>
        <w:ind w:firstLine="0"/>
        <w:jc w:val="left"/>
        <w:rPr>
          <w:rFonts w:hint="eastAsia" w:ascii="MS UI Gothic" w:eastAsia="MS UI Gothic"/>
        </w:rPr>
      </w:pPr>
      <w:r>
        <w:rPr>
          <w:w w:val="95"/>
        </w:rPr>
        <w:t>会议通过</w:t>
      </w:r>
      <w:r>
        <w:rPr>
          <w:rFonts w:hint="eastAsia" w:ascii="MS UI Gothic" w:eastAsia="MS UI Gothic"/>
          <w:w w:val="90"/>
        </w:rPr>
        <w:t xml:space="preserve">ꎬ </w:t>
      </w:r>
      <w:r>
        <w:rPr>
          <w:w w:val="95"/>
        </w:rPr>
        <w:t>现予公布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２００７ </w:t>
      </w:r>
      <w:r>
        <w:rPr>
          <w:w w:val="95"/>
        </w:rPr>
        <w:t xml:space="preserve">年 </w:t>
      </w:r>
      <w:r>
        <w:rPr>
          <w:rFonts w:hint="eastAsia" w:ascii="MS UI Gothic" w:eastAsia="MS UI Gothic"/>
          <w:w w:val="95"/>
        </w:rPr>
        <w:t xml:space="preserve">６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tabs>
          <w:tab w:val="left" w:pos="7460"/>
        </w:tabs>
        <w:spacing w:before="372" w:line="295" w:lineRule="auto"/>
        <w:ind w:left="6203" w:right="442" w:firstLine="628"/>
        <w:jc w:val="right"/>
      </w:pPr>
      <w:r>
        <w:rPr>
          <w:spacing w:val="3"/>
          <w:w w:val="105"/>
        </w:rPr>
        <w:t>总</w:t>
      </w:r>
      <w:r>
        <w:rPr>
          <w:w w:val="105"/>
        </w:rPr>
        <w:t>理</w:t>
      </w:r>
      <w:r>
        <w:rPr>
          <w:w w:val="105"/>
        </w:rPr>
        <w:tab/>
      </w:r>
      <w:r>
        <w:rPr>
          <w:spacing w:val="3"/>
        </w:rPr>
        <w:t>温家</w:t>
      </w:r>
      <w:r>
        <w:rPr>
          <w:spacing w:val="-15"/>
        </w:rPr>
        <w:t>宝</w:t>
      </w:r>
      <w:r>
        <w:rPr>
          <w:spacing w:val="3"/>
        </w:rPr>
        <w:t>二</w:t>
      </w:r>
      <w:r>
        <w:rPr>
          <w:rFonts w:hint="eastAsia" w:ascii="MS UI Gothic" w:hAnsi="MS UI Gothic" w:eastAsia="MS UI Gothic"/>
          <w:spacing w:val="3"/>
        </w:rPr>
        <w:t>○○</w:t>
      </w:r>
      <w:r>
        <w:rPr>
          <w:spacing w:val="3"/>
        </w:rPr>
        <w:t>七年四月九</w:t>
      </w:r>
      <w:r>
        <w:rPr>
          <w:spacing w:val="-11"/>
        </w:rPr>
        <w:t>日</w:t>
      </w:r>
    </w:p>
    <w:p>
      <w:pPr>
        <w:pStyle w:val="4"/>
        <w:spacing w:before="299"/>
        <w:ind w:right="654"/>
        <w:rPr>
          <w:rFonts w:hint="eastAsia" w:ascii="Microsoft Yi Baiti" w:eastAsia="Microsoft Yi Baiti"/>
        </w:rPr>
      </w:pPr>
      <w:r>
        <w:t xml:space="preserve">生产安全事故报告和调查处理条例 </w:t>
      </w:r>
      <w:r>
        <w:rPr>
          <w:rFonts w:hint="eastAsia" w:ascii="Microsoft Yi Baiti" w:eastAsia="Microsoft Yi Baiti"/>
        </w:rPr>
        <w:t>(</w:t>
      </w:r>
      <w:r>
        <w:rPr>
          <w:rFonts w:hint="eastAsia" w:ascii="MS UI Gothic" w:eastAsia="MS UI Gothic"/>
        </w:rPr>
        <w:t xml:space="preserve">２００７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6" w:line="295" w:lineRule="auto"/>
        <w:ind w:right="38"/>
      </w:pPr>
      <w:r>
        <w:t>第一条 为了规范生产安全事故的报告和调查处理</w:t>
      </w:r>
      <w:r>
        <w:rPr>
          <w:rFonts w:hint="eastAsia" w:ascii="MS UI Gothic" w:eastAsia="MS UI Gothic"/>
          <w:w w:val="80"/>
        </w:rPr>
        <w:t xml:space="preserve">ꎬ </w:t>
      </w:r>
      <w:r>
        <w:t>落实生产安全事故责任追究制度</w:t>
      </w:r>
      <w:r>
        <w:rPr>
          <w:rFonts w:hint="eastAsia" w:ascii="MS UI Gothic" w:eastAsia="MS UI Gothic"/>
          <w:w w:val="80"/>
        </w:rPr>
        <w:t xml:space="preserve">ꎬ </w:t>
      </w:r>
      <w:r>
        <w:t>防止和减少生产安全事故</w:t>
      </w:r>
      <w:r>
        <w:rPr>
          <w:rFonts w:hint="eastAsia" w:ascii="MS UI Gothic" w:eastAsia="MS UI Gothic"/>
          <w:w w:val="80"/>
        </w:rPr>
        <w:t xml:space="preserve">ꎬ </w:t>
      </w:r>
      <w:r>
        <w:t>根据</w:t>
      </w:r>
    </w:p>
    <w:p>
      <w:pPr>
        <w:pStyle w:val="6"/>
        <w:spacing w:line="295" w:lineRule="auto"/>
        <w:ind w:right="38" w:firstLine="0"/>
        <w:rPr>
          <w:rFonts w:hint="eastAsia" w:ascii="MS UI Gothic" w:hAnsi="MS UI Gothic" w:eastAsia="MS UI Gothic"/>
        </w:rPr>
      </w:pPr>
      <w:r>
        <w:rPr>
          <w:rFonts w:hint="eastAsia" w:ascii="MS UI Gothic" w:hAnsi="MS UI Gothic" w:eastAsia="MS UI Gothic"/>
        </w:rPr>
        <w:t xml:space="preserve">« </w:t>
      </w:r>
      <w:r>
        <w:t>中华人民共和国安全生产法</w:t>
      </w:r>
      <w:r>
        <w:rPr>
          <w:rFonts w:hint="eastAsia" w:ascii="MS UI Gothic" w:hAnsi="MS UI Gothic" w:eastAsia="MS UI Gothic"/>
        </w:rPr>
        <w:t xml:space="preserve">» </w:t>
      </w:r>
      <w:r>
        <w:t>和有关法律</w:t>
      </w:r>
      <w:r>
        <w:rPr>
          <w:rFonts w:hint="eastAsia" w:ascii="MS UI Gothic" w:hAnsi="MS UI Gothic" w:eastAsia="MS UI Gothic"/>
          <w:w w:val="80"/>
        </w:rPr>
        <w:t xml:space="preserve">ꎬ </w:t>
      </w:r>
      <w:r>
        <w:t>制定本条例</w:t>
      </w:r>
      <w:r>
        <w:rPr>
          <w:rFonts w:hint="eastAsia" w:ascii="MS UI Gothic" w:hAnsi="MS UI Gothic" w:eastAsia="MS UI Gothic"/>
          <w:w w:val="80"/>
        </w:rPr>
        <w:t>ꎮ</w:t>
      </w:r>
    </w:p>
    <w:p>
      <w:pPr>
        <w:pStyle w:val="6"/>
        <w:spacing w:line="295" w:lineRule="auto"/>
        <w:ind w:right="38"/>
        <w:rPr>
          <w:rFonts w:hint="eastAsia" w:ascii="MS UI Gothic" w:eastAsia="MS UI Gothic"/>
        </w:rPr>
      </w:pPr>
      <w:r>
        <w:rPr>
          <w:w w:val="105"/>
        </w:rPr>
        <w:t>第二条 生产经营活动中发生的造成</w:t>
      </w:r>
      <w:r>
        <w:t>人身伤亡或者直接经济损失的生产安全事故的报告和调查处理</w:t>
      </w:r>
      <w:r>
        <w:rPr>
          <w:rFonts w:hint="eastAsia" w:ascii="MS UI Gothic" w:eastAsia="MS UI Gothic"/>
          <w:w w:val="80"/>
        </w:rPr>
        <w:t xml:space="preserve">ꎬ </w:t>
      </w:r>
      <w:r>
        <w:t>适用本条例</w:t>
      </w:r>
      <w:r>
        <w:rPr>
          <w:rFonts w:hint="eastAsia" w:ascii="MS UI Gothic" w:eastAsia="MS UI Gothic"/>
          <w:w w:val="80"/>
        </w:rPr>
        <w:t xml:space="preserve">ꎻ </w:t>
      </w:r>
      <w:r>
        <w:t>环境</w:t>
      </w:r>
      <w:r>
        <w:rPr>
          <w:w w:val="105"/>
        </w:rPr>
        <w:t>污染事故</w:t>
      </w:r>
      <w:r>
        <w:rPr>
          <w:rFonts w:hint="eastAsia" w:ascii="MS UI Gothic" w:eastAsia="MS UI Gothic"/>
          <w:w w:val="80"/>
        </w:rPr>
        <w:t xml:space="preserve">、 </w:t>
      </w:r>
      <w:r>
        <w:rPr>
          <w:w w:val="105"/>
        </w:rPr>
        <w:t>核设施事故</w:t>
      </w:r>
      <w:r>
        <w:rPr>
          <w:rFonts w:hint="eastAsia" w:ascii="MS UI Gothic" w:eastAsia="MS UI Gothic"/>
          <w:w w:val="80"/>
        </w:rPr>
        <w:t xml:space="preserve">、 </w:t>
      </w:r>
      <w:r>
        <w:rPr>
          <w:w w:val="105"/>
        </w:rPr>
        <w:t>国防科研生产事故的报告和调查处理不适用本条例</w:t>
      </w:r>
      <w:r>
        <w:rPr>
          <w:rFonts w:hint="eastAsia" w:ascii="MS UI Gothic" w:eastAsia="MS UI Gothic"/>
          <w:w w:val="80"/>
        </w:rPr>
        <w:t>ꎮ</w:t>
      </w:r>
    </w:p>
    <w:p>
      <w:pPr>
        <w:pStyle w:val="6"/>
        <w:spacing w:line="295" w:lineRule="auto"/>
        <w:ind w:right="38"/>
        <w:rPr>
          <w:rFonts w:hint="eastAsia" w:ascii="MS UI Gothic" w:eastAsia="MS UI Gothic"/>
        </w:rPr>
      </w:pPr>
      <w:r>
        <w:rPr>
          <w:w w:val="110"/>
        </w:rPr>
        <w:t xml:space="preserve">第三条 根据生产安全事故 </w:t>
      </w:r>
      <w:r>
        <w:rPr>
          <w:rFonts w:hint="eastAsia" w:ascii="MS UI Gothic" w:eastAsia="MS UI Gothic"/>
          <w:w w:val="150"/>
        </w:rPr>
        <w:t xml:space="preserve">( </w:t>
      </w:r>
      <w:r>
        <w:rPr>
          <w:w w:val="110"/>
        </w:rPr>
        <w:t>以下</w:t>
      </w:r>
      <w:r>
        <w:rPr>
          <w:w w:val="105"/>
        </w:rPr>
        <w:t>简称事故</w:t>
      </w:r>
      <w:r>
        <w:rPr>
          <w:rFonts w:hint="eastAsia" w:ascii="MS UI Gothic" w:eastAsia="MS UI Gothic"/>
          <w:w w:val="105"/>
        </w:rPr>
        <w:t xml:space="preserve">) </w:t>
      </w:r>
      <w:r>
        <w:rPr>
          <w:w w:val="105"/>
        </w:rPr>
        <w:t>造成的人员伤亡或者直接经</w:t>
      </w:r>
      <w:r>
        <w:rPr>
          <w:w w:val="110"/>
        </w:rPr>
        <w:t>济损失</w:t>
      </w:r>
      <w:r>
        <w:rPr>
          <w:rFonts w:hint="eastAsia" w:ascii="MS UI Gothic" w:eastAsia="MS UI Gothic"/>
          <w:w w:val="80"/>
        </w:rPr>
        <w:t xml:space="preserve">ꎬ </w:t>
      </w:r>
      <w:r>
        <w:rPr>
          <w:w w:val="110"/>
        </w:rPr>
        <w:t>事故一般分为以下等级</w:t>
      </w:r>
      <w:r>
        <w:rPr>
          <w:rFonts w:hint="eastAsia" w:ascii="MS UI Gothic" w:eastAsia="MS UI Gothic"/>
          <w:w w:val="235"/>
        </w:rPr>
        <w:t>:</w:t>
      </w:r>
    </w:p>
    <w:p>
      <w:pPr>
        <w:pStyle w:val="6"/>
        <w:spacing w:line="254" w:lineRule="exact"/>
        <w:ind w:left="543" w:firstLine="0"/>
        <w:rPr>
          <w:rFonts w:hint="eastAsia" w:ascii="MS UI Gothic" w:eastAsia="MS UI Gothic"/>
        </w:rPr>
      </w:pPr>
      <w:r>
        <w:rPr>
          <w:rFonts w:hint="eastAsia" w:ascii="MS UI Gothic" w:eastAsia="MS UI Gothic"/>
          <w:w w:val="145"/>
        </w:rPr>
        <w:t xml:space="preserve">( </w:t>
      </w:r>
      <w:r>
        <w:rPr>
          <w:w w:val="105"/>
        </w:rPr>
        <w:t>一</w:t>
      </w:r>
      <w:r>
        <w:rPr>
          <w:rFonts w:hint="eastAsia" w:ascii="MS UI Gothic" w:eastAsia="MS UI Gothic"/>
          <w:w w:val="145"/>
        </w:rPr>
        <w:t xml:space="preserve">) </w:t>
      </w:r>
      <w:r>
        <w:rPr>
          <w:w w:val="105"/>
        </w:rPr>
        <w:t>特别重大事故</w:t>
      </w:r>
      <w:r>
        <w:rPr>
          <w:rFonts w:hint="eastAsia" w:ascii="MS UI Gothic" w:eastAsia="MS UI Gothic"/>
          <w:w w:val="85"/>
        </w:rPr>
        <w:t xml:space="preserve">ꎬ </w:t>
      </w:r>
      <w:r>
        <w:rPr>
          <w:w w:val="105"/>
        </w:rPr>
        <w:t xml:space="preserve">是指造成 </w:t>
      </w:r>
      <w:r>
        <w:rPr>
          <w:rFonts w:hint="eastAsia" w:ascii="MS UI Gothic" w:eastAsia="MS UI Gothic"/>
          <w:w w:val="85"/>
        </w:rPr>
        <w:t>３０</w:t>
      </w:r>
    </w:p>
    <w:p>
      <w:pPr>
        <w:pStyle w:val="6"/>
        <w:spacing w:before="175" w:line="295" w:lineRule="auto"/>
        <w:ind w:right="442" w:firstLine="0"/>
        <w:rPr>
          <w:rFonts w:hint="eastAsia" w:ascii="MS UI Gothic" w:eastAsia="MS UI Gothic"/>
        </w:rPr>
      </w:pPr>
      <w:r>
        <w:br w:type="column"/>
      </w:r>
      <w:r>
        <w:rPr>
          <w:spacing w:val="11"/>
        </w:rPr>
        <w:t>人以上死亡</w:t>
      </w:r>
      <w:r>
        <w:rPr>
          <w:rFonts w:hint="eastAsia" w:ascii="MS UI Gothic" w:eastAsia="MS UI Gothic"/>
          <w:spacing w:val="4"/>
          <w:w w:val="85"/>
        </w:rPr>
        <w:t xml:space="preserve">ꎬ </w:t>
      </w:r>
      <w:r>
        <w:rPr>
          <w:spacing w:val="-6"/>
        </w:rPr>
        <w:t xml:space="preserve">或者 </w:t>
      </w:r>
      <w:r>
        <w:rPr>
          <w:rFonts w:hint="eastAsia" w:ascii="MS UI Gothic" w:eastAsia="MS UI Gothic"/>
          <w:spacing w:val="5"/>
          <w:w w:val="85"/>
        </w:rPr>
        <w:t xml:space="preserve">１００ </w:t>
      </w:r>
      <w:r>
        <w:rPr>
          <w:spacing w:val="15"/>
        </w:rPr>
        <w:t xml:space="preserve">人以上重伤 </w:t>
      </w:r>
      <w:r>
        <w:rPr>
          <w:rFonts w:hint="eastAsia" w:ascii="MS UI Gothic" w:eastAsia="MS UI Gothic"/>
          <w:spacing w:val="-27"/>
          <w:w w:val="140"/>
        </w:rPr>
        <w:t xml:space="preserve">( </w:t>
      </w:r>
      <w:r>
        <w:t>包</w:t>
      </w:r>
      <w:r>
        <w:rPr>
          <w:spacing w:val="5"/>
        </w:rPr>
        <w:t>括急性工业中毒</w:t>
      </w:r>
      <w:r>
        <w:rPr>
          <w:rFonts w:hint="eastAsia" w:ascii="MS UI Gothic" w:eastAsia="MS UI Gothic"/>
          <w:spacing w:val="22"/>
          <w:w w:val="85"/>
        </w:rPr>
        <w:t xml:space="preserve">ꎬ </w:t>
      </w:r>
      <w:r>
        <w:rPr>
          <w:spacing w:val="9"/>
        </w:rPr>
        <w:t>下同</w:t>
      </w:r>
      <w:r>
        <w:rPr>
          <w:rFonts w:hint="eastAsia" w:ascii="MS UI Gothic" w:eastAsia="MS UI Gothic"/>
          <w:spacing w:val="-34"/>
          <w:w w:val="140"/>
        </w:rPr>
        <w:t xml:space="preserve">) </w:t>
      </w:r>
      <w:r>
        <w:rPr>
          <w:rFonts w:hint="eastAsia" w:ascii="MS UI Gothic" w:eastAsia="MS UI Gothic"/>
          <w:spacing w:val="22"/>
          <w:w w:val="85"/>
        </w:rPr>
        <w:t xml:space="preserve">ꎬ </w:t>
      </w:r>
      <w:r>
        <w:rPr>
          <w:spacing w:val="-13"/>
        </w:rPr>
        <w:t xml:space="preserve">或者 </w:t>
      </w:r>
      <w:r>
        <w:rPr>
          <w:rFonts w:hint="eastAsia" w:ascii="MS UI Gothic" w:eastAsia="MS UI Gothic"/>
          <w:spacing w:val="3"/>
          <w:w w:val="85"/>
        </w:rPr>
        <w:t xml:space="preserve">１ </w:t>
      </w:r>
      <w:r>
        <w:rPr>
          <w:spacing w:val="7"/>
        </w:rPr>
        <w:t>亿元以</w:t>
      </w:r>
      <w:r>
        <w:rPr>
          <w:spacing w:val="3"/>
        </w:rPr>
        <w:t>上直接经济损失的事故</w:t>
      </w:r>
      <w:r>
        <w:rPr>
          <w:rFonts w:hint="eastAsia" w:ascii="MS UI Gothic" w:eastAsia="MS UI Gothic"/>
          <w:w w:val="85"/>
        </w:rPr>
        <w:t>ꎻ</w:t>
      </w:r>
    </w:p>
    <w:p>
      <w:pPr>
        <w:pStyle w:val="6"/>
        <w:spacing w:line="295" w:lineRule="auto"/>
        <w:ind w:right="442"/>
      </w:pPr>
      <w:r>
        <w:rPr>
          <w:rFonts w:hint="eastAsia" w:ascii="MS UI Gothic" w:eastAsia="MS UI Gothic"/>
          <w:spacing w:val="19"/>
          <w:w w:val="140"/>
        </w:rPr>
        <w:t>(</w:t>
      </w:r>
      <w:r>
        <w:rPr>
          <w:spacing w:val="3"/>
        </w:rPr>
        <w:t>二</w:t>
      </w:r>
      <w:r>
        <w:rPr>
          <w:rFonts w:hint="eastAsia" w:ascii="MS UI Gothic" w:eastAsia="MS UI Gothic"/>
          <w:spacing w:val="20"/>
          <w:w w:val="140"/>
        </w:rPr>
        <w:t xml:space="preserve">) </w:t>
      </w:r>
      <w:r>
        <w:rPr>
          <w:spacing w:val="16"/>
        </w:rPr>
        <w:t>重大事故</w:t>
      </w:r>
      <w:r>
        <w:rPr>
          <w:rFonts w:hint="eastAsia" w:ascii="MS UI Gothic" w:eastAsia="MS UI Gothic"/>
          <w:spacing w:val="8"/>
          <w:w w:val="85"/>
        </w:rPr>
        <w:t xml:space="preserve">ꎬ </w:t>
      </w:r>
      <w:r>
        <w:rPr>
          <w:spacing w:val="6"/>
        </w:rPr>
        <w:t xml:space="preserve">是指造成 </w:t>
      </w:r>
      <w:r>
        <w:rPr>
          <w:rFonts w:hint="eastAsia" w:ascii="MS UI Gothic" w:eastAsia="MS UI Gothic"/>
          <w:spacing w:val="9"/>
          <w:w w:val="85"/>
        </w:rPr>
        <w:t xml:space="preserve">１０ </w:t>
      </w:r>
      <w:r>
        <w:rPr>
          <w:spacing w:val="10"/>
        </w:rPr>
        <w:t>人以</w:t>
      </w:r>
      <w:r>
        <w:rPr>
          <w:spacing w:val="-26"/>
        </w:rPr>
        <w:t xml:space="preserve">上 </w:t>
      </w:r>
      <w:r>
        <w:rPr>
          <w:rFonts w:hint="eastAsia" w:ascii="MS UI Gothic" w:eastAsia="MS UI Gothic"/>
          <w:spacing w:val="-2"/>
          <w:w w:val="85"/>
        </w:rPr>
        <w:t xml:space="preserve">３０ </w:t>
      </w:r>
      <w:r>
        <w:rPr>
          <w:spacing w:val="3"/>
        </w:rPr>
        <w:t>人以下死亡</w:t>
      </w:r>
      <w:r>
        <w:rPr>
          <w:rFonts w:hint="eastAsia" w:ascii="MS UI Gothic" w:eastAsia="MS UI Gothic"/>
          <w:spacing w:val="16"/>
          <w:w w:val="85"/>
        </w:rPr>
        <w:t xml:space="preserve">ꎬ </w:t>
      </w:r>
      <w:r>
        <w:rPr>
          <w:spacing w:val="-20"/>
        </w:rPr>
        <w:t xml:space="preserve">或者 </w:t>
      </w:r>
      <w:r>
        <w:rPr>
          <w:rFonts w:hint="eastAsia" w:ascii="MS UI Gothic" w:eastAsia="MS UI Gothic"/>
          <w:spacing w:val="-2"/>
          <w:w w:val="85"/>
        </w:rPr>
        <w:t xml:space="preserve">５０ </w:t>
      </w:r>
      <w:r>
        <w:rPr>
          <w:spacing w:val="-12"/>
        </w:rPr>
        <w:t xml:space="preserve">人以上 </w:t>
      </w:r>
      <w:r>
        <w:rPr>
          <w:rFonts w:hint="eastAsia" w:ascii="MS UI Gothic" w:eastAsia="MS UI Gothic"/>
          <w:spacing w:val="-1"/>
          <w:w w:val="85"/>
        </w:rPr>
        <w:t xml:space="preserve">１００ </w:t>
      </w:r>
      <w:r>
        <w:t>人</w:t>
      </w:r>
    </w:p>
    <w:p>
      <w:pPr>
        <w:pStyle w:val="6"/>
        <w:spacing w:line="295" w:lineRule="auto"/>
        <w:ind w:right="442" w:firstLine="0"/>
        <w:rPr>
          <w:rFonts w:hint="eastAsia" w:ascii="MS UI Gothic" w:eastAsia="MS UI Gothic"/>
        </w:rPr>
      </w:pPr>
      <w:r>
        <w:rPr>
          <w:w w:val="95"/>
        </w:rPr>
        <w:t>以下重伤</w:t>
      </w:r>
      <w:r>
        <w:rPr>
          <w:rFonts w:hint="eastAsia" w:ascii="MS UI Gothic" w:eastAsia="MS UI Gothic"/>
          <w:w w:val="90"/>
        </w:rPr>
        <w:t xml:space="preserve">ꎬ </w:t>
      </w:r>
      <w:r>
        <w:rPr>
          <w:w w:val="95"/>
        </w:rPr>
        <w:t xml:space="preserve">或者 </w:t>
      </w:r>
      <w:r>
        <w:rPr>
          <w:rFonts w:hint="eastAsia" w:ascii="MS UI Gothic" w:eastAsia="MS UI Gothic"/>
          <w:w w:val="95"/>
        </w:rPr>
        <w:t xml:space="preserve">５０００ </w:t>
      </w:r>
      <w:r>
        <w:rPr>
          <w:w w:val="95"/>
        </w:rPr>
        <w:t xml:space="preserve">万元以上 </w:t>
      </w:r>
      <w:r>
        <w:rPr>
          <w:rFonts w:hint="eastAsia" w:ascii="MS UI Gothic" w:eastAsia="MS UI Gothic"/>
          <w:w w:val="95"/>
        </w:rPr>
        <w:t xml:space="preserve">１ </w:t>
      </w:r>
      <w:r>
        <w:rPr>
          <w:w w:val="95"/>
        </w:rPr>
        <w:t>亿元以下直接经济损失的事故</w:t>
      </w:r>
      <w:r>
        <w:rPr>
          <w:rFonts w:hint="eastAsia" w:ascii="MS UI Gothic" w:eastAsia="MS UI Gothic"/>
          <w:w w:val="90"/>
        </w:rPr>
        <w:t>ꎻ</w:t>
      </w:r>
    </w:p>
    <w:p>
      <w:pPr>
        <w:pStyle w:val="6"/>
        <w:spacing w:line="295" w:lineRule="auto"/>
        <w:ind w:left="382" w:right="442" w:firstLine="161"/>
      </w:pPr>
      <w:r>
        <w:pict>
          <v:shape id="_x0000_s1268" o:spid="_x0000_s1268" o:spt="202" type="#_x0000_t202" style="position:absolute;left:0pt;margin-left:264.5pt;margin-top:12pt;height:24.35pt;width:10.3pt;mso-position-horizontal-relative:page;z-index:-276012032;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１０</w:t>
                  </w:r>
                </w:p>
              </w:txbxContent>
            </v:textbox>
          </v:shape>
        </w:pict>
      </w:r>
      <w:r>
        <w:rPr>
          <w:rFonts w:hint="eastAsia" w:ascii="MS UI Gothic" w:eastAsia="MS UI Gothic"/>
          <w:w w:val="145"/>
        </w:rPr>
        <w:t xml:space="preserve">( </w:t>
      </w:r>
      <w:r>
        <w:t>三</w:t>
      </w:r>
      <w:r>
        <w:rPr>
          <w:rFonts w:hint="eastAsia" w:ascii="MS UI Gothic" w:eastAsia="MS UI Gothic"/>
          <w:w w:val="145"/>
        </w:rPr>
        <w:t xml:space="preserve">) </w:t>
      </w:r>
      <w:r>
        <w:t>较大事故</w:t>
      </w:r>
      <w:r>
        <w:rPr>
          <w:rFonts w:hint="eastAsia" w:ascii="MS UI Gothic" w:eastAsia="MS UI Gothic"/>
          <w:w w:val="80"/>
        </w:rPr>
        <w:t xml:space="preserve">ꎬ </w:t>
      </w:r>
      <w:r>
        <w:t xml:space="preserve">是指造成 </w:t>
      </w:r>
      <w:r>
        <w:rPr>
          <w:rFonts w:hint="eastAsia" w:ascii="MS UI Gothic" w:eastAsia="MS UI Gothic"/>
          <w:w w:val="80"/>
        </w:rPr>
        <w:t xml:space="preserve">３ </w:t>
      </w:r>
      <w:r>
        <w:t>人以上人以下死亡</w:t>
      </w:r>
      <w:r>
        <w:rPr>
          <w:rFonts w:hint="eastAsia" w:ascii="MS UI Gothic" w:eastAsia="MS UI Gothic"/>
          <w:w w:val="80"/>
        </w:rPr>
        <w:t xml:space="preserve">ꎬ </w:t>
      </w:r>
      <w:r>
        <w:t xml:space="preserve">或者 </w:t>
      </w:r>
      <w:r>
        <w:rPr>
          <w:rFonts w:hint="eastAsia" w:ascii="MS UI Gothic" w:eastAsia="MS UI Gothic"/>
          <w:w w:val="80"/>
        </w:rPr>
        <w:t xml:space="preserve">１０ </w:t>
      </w:r>
      <w:r>
        <w:t xml:space="preserve">人以上 </w:t>
      </w:r>
      <w:r>
        <w:rPr>
          <w:rFonts w:hint="eastAsia" w:ascii="MS UI Gothic" w:eastAsia="MS UI Gothic"/>
          <w:w w:val="80"/>
        </w:rPr>
        <w:t xml:space="preserve">５０ </w:t>
      </w:r>
      <w:r>
        <w:t>人以</w:t>
      </w:r>
    </w:p>
    <w:p>
      <w:pPr>
        <w:pStyle w:val="6"/>
        <w:spacing w:line="295" w:lineRule="auto"/>
        <w:ind w:right="442" w:firstLine="0"/>
        <w:rPr>
          <w:rFonts w:hint="eastAsia" w:ascii="MS UI Gothic" w:eastAsia="MS UI Gothic"/>
        </w:rPr>
      </w:pPr>
      <w:r>
        <w:rPr>
          <w:spacing w:val="3"/>
          <w:w w:val="95"/>
        </w:rPr>
        <w:t>下重伤</w:t>
      </w:r>
      <w:r>
        <w:rPr>
          <w:rFonts w:hint="eastAsia" w:ascii="MS UI Gothic" w:eastAsia="MS UI Gothic"/>
          <w:spacing w:val="9"/>
          <w:w w:val="90"/>
        </w:rPr>
        <w:t xml:space="preserve">ꎬ </w:t>
      </w:r>
      <w:r>
        <w:rPr>
          <w:spacing w:val="-20"/>
          <w:w w:val="95"/>
        </w:rPr>
        <w:t xml:space="preserve">或者 </w:t>
      </w:r>
      <w:r>
        <w:rPr>
          <w:rFonts w:hint="eastAsia" w:ascii="MS UI Gothic" w:eastAsia="MS UI Gothic"/>
          <w:spacing w:val="-4"/>
          <w:w w:val="95"/>
        </w:rPr>
        <w:t xml:space="preserve">１０００ </w:t>
      </w:r>
      <w:r>
        <w:rPr>
          <w:spacing w:val="-10"/>
          <w:w w:val="95"/>
        </w:rPr>
        <w:t xml:space="preserve">万元以上 </w:t>
      </w:r>
      <w:r>
        <w:rPr>
          <w:rFonts w:hint="eastAsia" w:ascii="MS UI Gothic" w:eastAsia="MS UI Gothic"/>
          <w:spacing w:val="-3"/>
          <w:w w:val="95"/>
        </w:rPr>
        <w:t xml:space="preserve">５０００ </w:t>
      </w:r>
      <w:r>
        <w:rPr>
          <w:spacing w:val="4"/>
          <w:w w:val="95"/>
        </w:rPr>
        <w:t>万元以</w:t>
      </w:r>
      <w:r>
        <w:rPr>
          <w:spacing w:val="3"/>
          <w:w w:val="95"/>
        </w:rPr>
        <w:t>下直接经济损失的事故</w:t>
      </w:r>
      <w:r>
        <w:rPr>
          <w:rFonts w:hint="eastAsia" w:ascii="MS UI Gothic" w:eastAsia="MS UI Gothic"/>
          <w:w w:val="90"/>
        </w:rPr>
        <w:t>ꎻ</w:t>
      </w:r>
    </w:p>
    <w:p>
      <w:pPr>
        <w:pStyle w:val="6"/>
        <w:spacing w:line="295" w:lineRule="auto"/>
        <w:ind w:right="442"/>
        <w:rPr>
          <w:rFonts w:hint="eastAsia" w:ascii="MS UI Gothic" w:eastAsia="MS UI Gothic"/>
        </w:rPr>
      </w:pPr>
      <w:r>
        <w:rPr>
          <w:rFonts w:hint="eastAsia" w:ascii="MS UI Gothic" w:eastAsia="MS UI Gothic"/>
          <w:spacing w:val="-29"/>
          <w:w w:val="140"/>
        </w:rPr>
        <w:t xml:space="preserve">( </w:t>
      </w:r>
      <w:r>
        <w:rPr>
          <w:spacing w:val="3"/>
          <w:w w:val="95"/>
        </w:rPr>
        <w:t>四</w:t>
      </w:r>
      <w:r>
        <w:rPr>
          <w:rFonts w:hint="eastAsia" w:ascii="MS UI Gothic" w:eastAsia="MS UI Gothic"/>
          <w:spacing w:val="40"/>
          <w:w w:val="140"/>
        </w:rPr>
        <w:t xml:space="preserve">) </w:t>
      </w:r>
      <w:r>
        <w:rPr>
          <w:spacing w:val="4"/>
          <w:w w:val="95"/>
        </w:rPr>
        <w:t>一般事故</w:t>
      </w:r>
      <w:r>
        <w:rPr>
          <w:rFonts w:hint="eastAsia" w:ascii="MS UI Gothic" w:eastAsia="MS UI Gothic"/>
          <w:spacing w:val="21"/>
          <w:w w:val="85"/>
        </w:rPr>
        <w:t xml:space="preserve">ꎬ </w:t>
      </w:r>
      <w:r>
        <w:rPr>
          <w:spacing w:val="3"/>
          <w:w w:val="95"/>
        </w:rPr>
        <w:t xml:space="preserve">是指造成 </w:t>
      </w:r>
      <w:r>
        <w:rPr>
          <w:rFonts w:hint="eastAsia" w:ascii="MS UI Gothic" w:eastAsia="MS UI Gothic"/>
          <w:spacing w:val="15"/>
          <w:w w:val="95"/>
        </w:rPr>
        <w:t xml:space="preserve">３ </w:t>
      </w:r>
      <w:r>
        <w:rPr>
          <w:spacing w:val="7"/>
          <w:w w:val="95"/>
        </w:rPr>
        <w:t>人以下</w:t>
      </w:r>
      <w:r>
        <w:rPr>
          <w:spacing w:val="3"/>
          <w:w w:val="95"/>
        </w:rPr>
        <w:t>死亡</w:t>
      </w:r>
      <w:r>
        <w:rPr>
          <w:rFonts w:hint="eastAsia" w:ascii="MS UI Gothic" w:eastAsia="MS UI Gothic"/>
          <w:spacing w:val="14"/>
          <w:w w:val="85"/>
        </w:rPr>
        <w:t xml:space="preserve">ꎬ </w:t>
      </w:r>
      <w:r>
        <w:rPr>
          <w:spacing w:val="-19"/>
          <w:w w:val="95"/>
        </w:rPr>
        <w:t xml:space="preserve">或者 </w:t>
      </w:r>
      <w:r>
        <w:rPr>
          <w:rFonts w:hint="eastAsia" w:ascii="MS UI Gothic" w:eastAsia="MS UI Gothic"/>
          <w:spacing w:val="-5"/>
          <w:w w:val="95"/>
        </w:rPr>
        <w:t xml:space="preserve">１０ </w:t>
      </w:r>
      <w:r>
        <w:rPr>
          <w:spacing w:val="3"/>
          <w:w w:val="95"/>
        </w:rPr>
        <w:t>人以下重伤</w:t>
      </w:r>
      <w:r>
        <w:rPr>
          <w:rFonts w:hint="eastAsia" w:ascii="MS UI Gothic" w:eastAsia="MS UI Gothic"/>
          <w:spacing w:val="14"/>
          <w:w w:val="85"/>
        </w:rPr>
        <w:t xml:space="preserve">ꎬ </w:t>
      </w:r>
      <w:r>
        <w:rPr>
          <w:spacing w:val="-16"/>
          <w:w w:val="95"/>
        </w:rPr>
        <w:t xml:space="preserve">或者 </w:t>
      </w:r>
      <w:r>
        <w:rPr>
          <w:rFonts w:hint="eastAsia" w:ascii="MS UI Gothic" w:eastAsia="MS UI Gothic"/>
          <w:spacing w:val="-2"/>
          <w:w w:val="95"/>
        </w:rPr>
        <w:t xml:space="preserve">１０００ </w:t>
      </w:r>
      <w:r>
        <w:rPr>
          <w:w w:val="95"/>
        </w:rPr>
        <w:t>万</w:t>
      </w:r>
      <w:r>
        <w:rPr>
          <w:spacing w:val="3"/>
          <w:w w:val="95"/>
        </w:rPr>
        <w:t>元以下直接经济损失的事故</w:t>
      </w:r>
      <w:r>
        <w:rPr>
          <w:rFonts w:hint="eastAsia" w:ascii="MS UI Gothic" w:eastAsia="MS UI Gothic"/>
          <w:w w:val="85"/>
        </w:rPr>
        <w:t>ꎮ</w:t>
      </w:r>
    </w:p>
    <w:p>
      <w:pPr>
        <w:pStyle w:val="6"/>
        <w:spacing w:line="295" w:lineRule="auto"/>
        <w:ind w:right="442"/>
      </w:pPr>
      <w:r>
        <w:t>国务院安全生产监督管理部门可以会同国务院有关部门</w:t>
      </w:r>
      <w:r>
        <w:rPr>
          <w:rFonts w:hint="eastAsia" w:ascii="MS UI Gothic" w:eastAsia="MS UI Gothic"/>
          <w:w w:val="80"/>
        </w:rPr>
        <w:t xml:space="preserve">ꎬ </w:t>
      </w:r>
      <w:r>
        <w:t>制定事故等级划分的</w:t>
      </w:r>
    </w:p>
    <w:p>
      <w:pPr>
        <w:spacing w:after="0" w:line="295" w:lineRule="auto"/>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７３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69" o:spid="_x0000_s1269" o:spt="203" style="height:2.15pt;width:398.25pt;" coordsize="7965,43">
            <o:lock v:ext="edit"/>
            <v:line id="_x0000_s1270" o:spid="_x0000_s1270" o:spt="20" style="position:absolute;left:0;top:39;height:0;width:7965;" stroked="t" coordsize="21600,21600">
              <v:path arrowok="t"/>
              <v:fill focussize="0,0"/>
              <v:stroke weight="0.388031496062992pt" color="#231F20"/>
              <v:imagedata o:title=""/>
              <o:lock v:ext="edit"/>
            </v:line>
            <v:line id="_x0000_s1271" o:spid="_x0000_s127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补充性规定</w:t>
      </w:r>
      <w:r>
        <w:rPr>
          <w:rFonts w:hint="eastAsia" w:ascii="MS UI Gothic" w:eastAsia="MS UI Gothic"/>
          <w:w w:val="80"/>
        </w:rPr>
        <w:t>ꎮ</w:t>
      </w:r>
    </w:p>
    <w:p>
      <w:pPr>
        <w:pStyle w:val="6"/>
        <w:spacing w:before="58" w:line="295" w:lineRule="auto"/>
        <w:ind w:left="440" w:right="1"/>
        <w:rPr>
          <w:rFonts w:hint="eastAsia" w:ascii="MS UI Gothic" w:hAnsi="MS UI Gothic" w:eastAsia="MS UI Gothic"/>
        </w:rPr>
      </w:pPr>
      <w:r>
        <w:t xml:space="preserve">本条第一款所称的 </w:t>
      </w:r>
      <w:r>
        <w:rPr>
          <w:rFonts w:hint="eastAsia" w:ascii="MS UI Gothic" w:hAnsi="MS UI Gothic" w:eastAsia="MS UI Gothic"/>
        </w:rPr>
        <w:t xml:space="preserve">“ </w:t>
      </w:r>
      <w:r>
        <w:t>以上</w:t>
      </w:r>
      <w:r>
        <w:rPr>
          <w:rFonts w:hint="eastAsia" w:ascii="MS UI Gothic" w:hAnsi="MS UI Gothic" w:eastAsia="MS UI Gothic"/>
        </w:rPr>
        <w:t xml:space="preserve">” </w:t>
      </w:r>
      <w:r>
        <w:t>包括本数</w:t>
      </w:r>
      <w:r>
        <w:rPr>
          <w:rFonts w:hint="eastAsia" w:ascii="MS UI Gothic" w:hAnsi="MS UI Gothic" w:eastAsia="MS UI Gothic"/>
          <w:w w:val="80"/>
        </w:rPr>
        <w:t xml:space="preserve">ꎬ </w:t>
      </w:r>
      <w:r>
        <w:t xml:space="preserve">所称的 </w:t>
      </w:r>
      <w:r>
        <w:rPr>
          <w:rFonts w:hint="eastAsia" w:ascii="MS UI Gothic" w:hAnsi="MS UI Gothic" w:eastAsia="MS UI Gothic"/>
        </w:rPr>
        <w:t xml:space="preserve">“ </w:t>
      </w:r>
      <w:r>
        <w:t>以下</w:t>
      </w:r>
      <w:r>
        <w:rPr>
          <w:rFonts w:hint="eastAsia" w:ascii="MS UI Gothic" w:hAnsi="MS UI Gothic" w:eastAsia="MS UI Gothic"/>
        </w:rPr>
        <w:t xml:space="preserve">” </w:t>
      </w:r>
      <w:r>
        <w:t>不包括本数</w:t>
      </w:r>
      <w:r>
        <w:rPr>
          <w:rFonts w:hint="eastAsia" w:ascii="MS UI Gothic" w:hAnsi="MS UI Gothic" w:eastAsia="MS UI Gothic"/>
          <w:w w:val="80"/>
        </w:rPr>
        <w:t>ꎮ</w:t>
      </w:r>
    </w:p>
    <w:p>
      <w:pPr>
        <w:pStyle w:val="6"/>
        <w:spacing w:line="295" w:lineRule="auto"/>
        <w:ind w:left="440"/>
        <w:rPr>
          <w:rFonts w:hint="eastAsia" w:ascii="MS UI Gothic" w:eastAsia="MS UI Gothic"/>
        </w:rPr>
      </w:pPr>
      <w:r>
        <w:t>第四条 事故报告应当及时</w:t>
      </w:r>
      <w:r>
        <w:rPr>
          <w:rFonts w:hint="eastAsia" w:ascii="MS UI Gothic" w:eastAsia="MS UI Gothic"/>
          <w:w w:val="80"/>
        </w:rPr>
        <w:t xml:space="preserve">、 </w:t>
      </w:r>
      <w:r>
        <w:t>准确</w:t>
      </w:r>
      <w:r>
        <w:rPr>
          <w:rFonts w:hint="eastAsia" w:ascii="MS UI Gothic" w:eastAsia="MS UI Gothic"/>
          <w:w w:val="80"/>
        </w:rPr>
        <w:t>、</w:t>
      </w:r>
      <w:r>
        <w:t>完整</w:t>
      </w:r>
      <w:r>
        <w:rPr>
          <w:rFonts w:hint="eastAsia" w:ascii="MS UI Gothic" w:eastAsia="MS UI Gothic"/>
          <w:w w:val="80"/>
        </w:rPr>
        <w:t xml:space="preserve">ꎬ </w:t>
      </w:r>
      <w:r>
        <w:t>任何单位和个人对事故不得迟报</w:t>
      </w:r>
      <w:r>
        <w:rPr>
          <w:rFonts w:hint="eastAsia" w:ascii="MS UI Gothic" w:eastAsia="MS UI Gothic"/>
          <w:w w:val="80"/>
        </w:rPr>
        <w:t>、</w:t>
      </w:r>
      <w:r>
        <w:t>漏报</w:t>
      </w:r>
      <w:r>
        <w:rPr>
          <w:rFonts w:hint="eastAsia" w:ascii="MS UI Gothic" w:eastAsia="MS UI Gothic"/>
          <w:w w:val="80"/>
        </w:rPr>
        <w:t xml:space="preserve">、 </w:t>
      </w:r>
      <w:r>
        <w:t>谎报或者瞒报</w:t>
      </w:r>
      <w:r>
        <w:rPr>
          <w:rFonts w:hint="eastAsia" w:ascii="MS UI Gothic" w:eastAsia="MS UI Gothic"/>
          <w:w w:val="80"/>
        </w:rPr>
        <w:t>ꎮ</w:t>
      </w:r>
    </w:p>
    <w:p>
      <w:pPr>
        <w:pStyle w:val="6"/>
        <w:spacing w:line="295" w:lineRule="auto"/>
        <w:ind w:left="440" w:right="1"/>
        <w:rPr>
          <w:rFonts w:hint="eastAsia" w:ascii="MS UI Gothic" w:eastAsia="MS UI Gothic"/>
        </w:rPr>
      </w:pPr>
      <w:r>
        <w:t>事故调查处理应当坚持实事求是</w:t>
      </w:r>
      <w:r>
        <w:rPr>
          <w:rFonts w:hint="eastAsia" w:ascii="MS UI Gothic" w:eastAsia="MS UI Gothic"/>
          <w:w w:val="80"/>
        </w:rPr>
        <w:t xml:space="preserve">、 </w:t>
      </w:r>
      <w:r>
        <w:t>尊重科学的原则</w:t>
      </w:r>
      <w:r>
        <w:rPr>
          <w:rFonts w:hint="eastAsia" w:ascii="MS UI Gothic" w:eastAsia="MS UI Gothic"/>
          <w:w w:val="80"/>
        </w:rPr>
        <w:t xml:space="preserve">ꎬ </w:t>
      </w:r>
      <w:r>
        <w:t>及时</w:t>
      </w:r>
      <w:r>
        <w:rPr>
          <w:rFonts w:hint="eastAsia" w:ascii="MS UI Gothic" w:eastAsia="MS UI Gothic"/>
          <w:w w:val="80"/>
        </w:rPr>
        <w:t xml:space="preserve">、 </w:t>
      </w:r>
      <w:r>
        <w:t>准确地查清事故经过</w:t>
      </w:r>
      <w:r>
        <w:rPr>
          <w:rFonts w:hint="eastAsia" w:ascii="MS UI Gothic" w:eastAsia="MS UI Gothic"/>
          <w:w w:val="80"/>
        </w:rPr>
        <w:t xml:space="preserve">、 </w:t>
      </w:r>
      <w:r>
        <w:t>事故原因和事故损失</w:t>
      </w:r>
      <w:r>
        <w:rPr>
          <w:rFonts w:hint="eastAsia" w:ascii="MS UI Gothic" w:eastAsia="MS UI Gothic"/>
          <w:w w:val="80"/>
        </w:rPr>
        <w:t xml:space="preserve">ꎬ </w:t>
      </w:r>
      <w:r>
        <w:t>查明事故性质</w:t>
      </w:r>
      <w:r>
        <w:rPr>
          <w:rFonts w:hint="eastAsia" w:ascii="MS UI Gothic" w:eastAsia="MS UI Gothic"/>
          <w:w w:val="80"/>
        </w:rPr>
        <w:t xml:space="preserve">ꎬ </w:t>
      </w:r>
      <w:r>
        <w:t>认定事故责任</w:t>
      </w:r>
      <w:r>
        <w:rPr>
          <w:rFonts w:hint="eastAsia" w:ascii="MS UI Gothic" w:eastAsia="MS UI Gothic"/>
          <w:w w:val="80"/>
        </w:rPr>
        <w:t xml:space="preserve">ꎬ </w:t>
      </w:r>
      <w:r>
        <w:t>总结事故教训</w:t>
      </w:r>
      <w:r>
        <w:rPr>
          <w:rFonts w:hint="eastAsia" w:ascii="MS UI Gothic" w:eastAsia="MS UI Gothic"/>
          <w:w w:val="80"/>
        </w:rPr>
        <w:t xml:space="preserve">ꎬ </w:t>
      </w:r>
      <w:r>
        <w:t>提出整改措施</w:t>
      </w:r>
      <w:r>
        <w:rPr>
          <w:rFonts w:hint="eastAsia" w:ascii="MS UI Gothic" w:eastAsia="MS UI Gothic"/>
          <w:w w:val="80"/>
        </w:rPr>
        <w:t xml:space="preserve">ꎬ </w:t>
      </w:r>
      <w:r>
        <w:t>并对事故责任者依法追究责任</w:t>
      </w:r>
      <w:r>
        <w:rPr>
          <w:rFonts w:hint="eastAsia" w:ascii="MS UI Gothic" w:eastAsia="MS UI Gothic"/>
          <w:w w:val="80"/>
        </w:rPr>
        <w:t>ꎮ</w:t>
      </w:r>
    </w:p>
    <w:p>
      <w:pPr>
        <w:pStyle w:val="6"/>
        <w:spacing w:line="295" w:lineRule="auto"/>
        <w:ind w:left="440" w:right="1"/>
        <w:rPr>
          <w:rFonts w:hint="eastAsia" w:ascii="MS UI Gothic" w:eastAsia="MS UI Gothic"/>
        </w:rPr>
      </w:pPr>
      <w:r>
        <w:t>第五条 县级以上人民政府应当依照本条例的规定</w:t>
      </w:r>
      <w:r>
        <w:rPr>
          <w:rFonts w:hint="eastAsia" w:ascii="MS UI Gothic" w:eastAsia="MS UI Gothic"/>
          <w:w w:val="80"/>
        </w:rPr>
        <w:t xml:space="preserve">ꎬ </w:t>
      </w:r>
      <w:r>
        <w:t>严格履行职责</w:t>
      </w:r>
      <w:r>
        <w:rPr>
          <w:rFonts w:hint="eastAsia" w:ascii="MS UI Gothic" w:eastAsia="MS UI Gothic"/>
          <w:w w:val="80"/>
        </w:rPr>
        <w:t xml:space="preserve">ꎬ </w:t>
      </w:r>
      <w:r>
        <w:t>及时</w:t>
      </w:r>
      <w:r>
        <w:rPr>
          <w:rFonts w:hint="eastAsia" w:ascii="MS UI Gothic" w:eastAsia="MS UI Gothic"/>
          <w:w w:val="80"/>
        </w:rPr>
        <w:t xml:space="preserve">、 </w:t>
      </w:r>
      <w:r>
        <w:t>准确地完成事故调查处理工作</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rPr>
        <w:t>事故发生地有关地方人民政府应当支</w:t>
      </w:r>
      <w:r>
        <w:rPr>
          <w:spacing w:val="3"/>
          <w:w w:val="105"/>
        </w:rPr>
        <w:t>持</w:t>
      </w:r>
      <w:r>
        <w:rPr>
          <w:rFonts w:hint="eastAsia" w:ascii="MS UI Gothic" w:eastAsia="MS UI Gothic"/>
          <w:spacing w:val="-5"/>
          <w:w w:val="80"/>
        </w:rPr>
        <w:t xml:space="preserve">、 </w:t>
      </w:r>
      <w:r>
        <w:rPr>
          <w:spacing w:val="2"/>
          <w:w w:val="105"/>
        </w:rPr>
        <w:t>配合上级人民政府或者有关部门的事</w:t>
      </w:r>
      <w:r>
        <w:rPr>
          <w:spacing w:val="26"/>
        </w:rPr>
        <w:t>故调查处理工作</w:t>
      </w:r>
      <w:r>
        <w:rPr>
          <w:rFonts w:hint="eastAsia" w:ascii="MS UI Gothic" w:eastAsia="MS UI Gothic"/>
          <w:spacing w:val="2"/>
          <w:w w:val="80"/>
        </w:rPr>
        <w:t xml:space="preserve">ꎬ </w:t>
      </w:r>
      <w:r>
        <w:rPr>
          <w:spacing w:val="30"/>
        </w:rPr>
        <w:t>并提供必要的便利</w:t>
      </w:r>
      <w:r>
        <w:rPr>
          <w:spacing w:val="3"/>
          <w:w w:val="105"/>
        </w:rPr>
        <w:t>条件</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rPr>
        <w:t>参加事故调查处理的部门和单位应当</w:t>
      </w:r>
      <w:r>
        <w:rPr>
          <w:spacing w:val="21"/>
        </w:rPr>
        <w:t>互相配合</w:t>
      </w:r>
      <w:r>
        <w:rPr>
          <w:rFonts w:hint="eastAsia" w:ascii="MS UI Gothic" w:eastAsia="MS UI Gothic"/>
          <w:spacing w:val="2"/>
          <w:w w:val="80"/>
        </w:rPr>
        <w:t xml:space="preserve">ꎬ </w:t>
      </w:r>
      <w:r>
        <w:rPr>
          <w:spacing w:val="30"/>
        </w:rPr>
        <w:t>提高事故调查处理工作的</w:t>
      </w:r>
      <w:r>
        <w:rPr>
          <w:spacing w:val="3"/>
        </w:rPr>
        <w:t>效率</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9"/>
        </w:rPr>
        <w:t>第六条  工会依法参加事故调查处</w:t>
      </w:r>
      <w:r>
        <w:rPr>
          <w:spacing w:val="3"/>
        </w:rPr>
        <w:t>理</w:t>
      </w:r>
      <w:r>
        <w:rPr>
          <w:rFonts w:hint="eastAsia" w:ascii="MS UI Gothic" w:eastAsia="MS UI Gothic"/>
          <w:spacing w:val="1"/>
          <w:w w:val="80"/>
        </w:rPr>
        <w:t xml:space="preserve">ꎬ </w:t>
      </w:r>
      <w:r>
        <w:rPr>
          <w:spacing w:val="3"/>
        </w:rPr>
        <w:t>有权向有关部门提出处理意见</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第七条 任何单位和个人不得阻挠和</w:t>
      </w:r>
      <w:r>
        <w:rPr>
          <w:spacing w:val="3"/>
          <w:w w:val="105"/>
        </w:rPr>
        <w:t>干涉对事故的报告和依法调查处理</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第八条 对事故报告和调查处理中的</w:t>
      </w:r>
      <w:r>
        <w:t>违法行为</w:t>
      </w:r>
      <w:r>
        <w:rPr>
          <w:rFonts w:hint="eastAsia" w:ascii="MS UI Gothic" w:eastAsia="MS UI Gothic"/>
          <w:w w:val="80"/>
        </w:rPr>
        <w:t xml:space="preserve">ꎬ </w:t>
      </w:r>
      <w:r>
        <w:t>任何单位和个人有权向安全生</w:t>
      </w:r>
      <w:r>
        <w:rPr>
          <w:w w:val="105"/>
        </w:rPr>
        <w:t>产监督管理部门</w:t>
      </w:r>
      <w:r>
        <w:rPr>
          <w:rFonts w:hint="eastAsia" w:ascii="MS UI Gothic" w:eastAsia="MS UI Gothic"/>
          <w:w w:val="80"/>
        </w:rPr>
        <w:t xml:space="preserve">、 </w:t>
      </w:r>
      <w:r>
        <w:rPr>
          <w:w w:val="105"/>
        </w:rPr>
        <w:t>监察机关或者其他有关</w:t>
      </w:r>
      <w:r>
        <w:t>部门举报</w:t>
      </w:r>
      <w:r>
        <w:rPr>
          <w:rFonts w:hint="eastAsia" w:ascii="MS UI Gothic" w:eastAsia="MS UI Gothic"/>
          <w:w w:val="80"/>
        </w:rPr>
        <w:t xml:space="preserve">ꎬ </w:t>
      </w:r>
      <w:r>
        <w:t>接到举报的部门应当依法及时</w:t>
      </w:r>
      <w:r>
        <w:rPr>
          <w:w w:val="105"/>
        </w:rPr>
        <w:t>处理</w:t>
      </w:r>
      <w:r>
        <w:rPr>
          <w:rFonts w:hint="eastAsia" w:ascii="MS UI Gothic" w:eastAsia="MS UI Gothic"/>
          <w:w w:val="80"/>
        </w:rPr>
        <w:t>ꎮ</w:t>
      </w:r>
    </w:p>
    <w:p>
      <w:pPr>
        <w:pStyle w:val="6"/>
        <w:tabs>
          <w:tab w:val="left" w:pos="2222"/>
        </w:tabs>
        <w:spacing w:before="134"/>
        <w:ind w:left="1384" w:firstLine="0"/>
        <w:jc w:val="left"/>
      </w:pPr>
      <w:r>
        <w:rPr>
          <w:spacing w:val="3"/>
          <w:w w:val="105"/>
        </w:rPr>
        <w:t>第二</w:t>
      </w:r>
      <w:r>
        <w:rPr>
          <w:w w:val="105"/>
        </w:rPr>
        <w:t>章</w:t>
      </w:r>
      <w:r>
        <w:rPr>
          <w:w w:val="105"/>
        </w:rPr>
        <w:tab/>
      </w:r>
      <w:r>
        <w:rPr>
          <w:w w:val="105"/>
        </w:rPr>
        <w:t>事</w:t>
      </w:r>
      <w:r>
        <w:rPr>
          <w:spacing w:val="-34"/>
          <w:w w:val="105"/>
        </w:rPr>
        <w:t xml:space="preserve"> </w:t>
      </w:r>
      <w:r>
        <w:rPr>
          <w:w w:val="105"/>
        </w:rPr>
        <w:t>故</w:t>
      </w:r>
      <w:r>
        <w:rPr>
          <w:spacing w:val="-33"/>
          <w:w w:val="105"/>
        </w:rPr>
        <w:t xml:space="preserve"> </w:t>
      </w:r>
      <w:r>
        <w:rPr>
          <w:w w:val="105"/>
        </w:rPr>
        <w:t>报</w:t>
      </w:r>
      <w:r>
        <w:rPr>
          <w:spacing w:val="-33"/>
          <w:w w:val="105"/>
        </w:rPr>
        <w:t xml:space="preserve"> </w:t>
      </w:r>
      <w:r>
        <w:rPr>
          <w:w w:val="105"/>
        </w:rPr>
        <w:t>告</w:t>
      </w:r>
    </w:p>
    <w:p>
      <w:pPr>
        <w:pStyle w:val="6"/>
        <w:spacing w:before="215" w:line="295" w:lineRule="auto"/>
        <w:ind w:left="440" w:right="1"/>
        <w:rPr>
          <w:rFonts w:hint="eastAsia" w:ascii="MS UI Gothic" w:eastAsia="MS UI Gothic"/>
        </w:rPr>
      </w:pPr>
      <w:r>
        <w:rPr>
          <w:spacing w:val="3"/>
          <w:w w:val="105"/>
        </w:rPr>
        <w:t>第九条 事故发生后</w:t>
      </w:r>
      <w:r>
        <w:rPr>
          <w:rFonts w:hint="eastAsia" w:ascii="MS UI Gothic" w:eastAsia="MS UI Gothic"/>
          <w:spacing w:val="10"/>
          <w:w w:val="80"/>
        </w:rPr>
        <w:t xml:space="preserve">ꎬ </w:t>
      </w:r>
      <w:r>
        <w:rPr>
          <w:spacing w:val="2"/>
          <w:w w:val="105"/>
        </w:rPr>
        <w:t>事故现场有关</w:t>
      </w:r>
      <w:r>
        <w:rPr>
          <w:spacing w:val="3"/>
        </w:rPr>
        <w:t>人员应当立即向本单位负责人报告</w:t>
      </w:r>
      <w:r>
        <w:rPr>
          <w:rFonts w:hint="eastAsia" w:ascii="MS UI Gothic" w:eastAsia="MS UI Gothic"/>
          <w:spacing w:val="21"/>
          <w:w w:val="80"/>
        </w:rPr>
        <w:t xml:space="preserve">ꎻ </w:t>
      </w:r>
      <w:r>
        <w:rPr>
          <w:spacing w:val="1"/>
        </w:rPr>
        <w:t>单位</w:t>
      </w:r>
      <w:r>
        <w:rPr>
          <w:spacing w:val="2"/>
          <w:w w:val="105"/>
        </w:rPr>
        <w:t>负责人接到报告后</w:t>
      </w:r>
      <w:r>
        <w:rPr>
          <w:rFonts w:hint="eastAsia" w:ascii="MS UI Gothic" w:eastAsia="MS UI Gothic"/>
          <w:spacing w:val="-2"/>
          <w:w w:val="80"/>
        </w:rPr>
        <w:t xml:space="preserve">ꎬ </w:t>
      </w:r>
      <w:r>
        <w:rPr>
          <w:spacing w:val="-20"/>
          <w:w w:val="105"/>
        </w:rPr>
        <w:t xml:space="preserve">应当于 </w:t>
      </w:r>
      <w:r>
        <w:rPr>
          <w:rFonts w:hint="eastAsia" w:ascii="MS UI Gothic" w:eastAsia="MS UI Gothic"/>
          <w:spacing w:val="-12"/>
          <w:w w:val="80"/>
        </w:rPr>
        <w:t xml:space="preserve">１ </w:t>
      </w:r>
      <w:r>
        <w:rPr>
          <w:spacing w:val="3"/>
          <w:w w:val="105"/>
        </w:rPr>
        <w:t>小时内向事</w:t>
      </w:r>
      <w:r>
        <w:rPr>
          <w:spacing w:val="2"/>
        </w:rPr>
        <w:t>故发生地县级以上人民政府安全生产监督管理部门和负有安全生产监督管理职责的</w:t>
      </w:r>
      <w:r>
        <w:rPr>
          <w:spacing w:val="3"/>
          <w:w w:val="105"/>
        </w:rPr>
        <w:t>有关部门报告</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rPr>
          <w:spacing w:val="3"/>
        </w:rPr>
        <w:t>情况紧急时</w:t>
      </w:r>
      <w:r>
        <w:rPr>
          <w:rFonts w:hint="eastAsia" w:ascii="MS UI Gothic" w:eastAsia="MS UI Gothic"/>
          <w:spacing w:val="15"/>
          <w:w w:val="80"/>
        </w:rPr>
        <w:t xml:space="preserve">ꎬ </w:t>
      </w:r>
      <w:r>
        <w:rPr>
          <w:spacing w:val="2"/>
        </w:rPr>
        <w:t>事故现场有关人员可以直接向事故发生地县级以上人民政府安全生产监督管理部门和负有安全生产监督管</w:t>
      </w:r>
      <w:r>
        <w:rPr>
          <w:spacing w:val="3"/>
          <w:w w:val="105"/>
        </w:rPr>
        <w:t>理职责的有关部门报告</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第十条 安全生产监督管理部门和负</w:t>
      </w:r>
      <w:r>
        <w:rPr>
          <w:spacing w:val="2"/>
        </w:rPr>
        <w:t>有安全生产监督管理职责的有关部门接到</w:t>
      </w:r>
      <w:r>
        <w:rPr>
          <w:spacing w:val="3"/>
        </w:rPr>
        <w:t>事故报告后</w:t>
      </w:r>
      <w:r>
        <w:rPr>
          <w:rFonts w:hint="eastAsia" w:ascii="MS UI Gothic" w:eastAsia="MS UI Gothic"/>
          <w:spacing w:val="20"/>
          <w:w w:val="80"/>
        </w:rPr>
        <w:t xml:space="preserve">ꎬ </w:t>
      </w:r>
      <w:r>
        <w:rPr>
          <w:spacing w:val="2"/>
        </w:rPr>
        <w:t>应当依照下列规定上报事故</w:t>
      </w:r>
      <w:r>
        <w:rPr>
          <w:spacing w:val="3"/>
          <w:w w:val="105"/>
        </w:rPr>
        <w:t>情况</w:t>
      </w:r>
      <w:r>
        <w:rPr>
          <w:rFonts w:hint="eastAsia" w:ascii="MS UI Gothic" w:eastAsia="MS UI Gothic"/>
          <w:spacing w:val="-1"/>
          <w:w w:val="80"/>
        </w:rPr>
        <w:t xml:space="preserve">ꎬ </w:t>
      </w:r>
      <w:r>
        <w:rPr>
          <w:spacing w:val="3"/>
          <w:w w:val="105"/>
        </w:rPr>
        <w:t>并通知公安机关</w:t>
      </w:r>
      <w:r>
        <w:rPr>
          <w:rFonts w:hint="eastAsia" w:ascii="MS UI Gothic" w:eastAsia="MS UI Gothic"/>
          <w:w w:val="80"/>
        </w:rPr>
        <w:t xml:space="preserve">、 </w:t>
      </w:r>
      <w:r>
        <w:rPr>
          <w:spacing w:val="2"/>
          <w:w w:val="105"/>
        </w:rPr>
        <w:t>劳动保障行政部</w:t>
      </w:r>
      <w:r>
        <w:rPr>
          <w:spacing w:val="3"/>
          <w:w w:val="105"/>
        </w:rPr>
        <w:t>门</w:t>
      </w:r>
      <w:r>
        <w:rPr>
          <w:rFonts w:hint="eastAsia" w:ascii="MS UI Gothic" w:eastAsia="MS UI Gothic"/>
          <w:spacing w:val="3"/>
          <w:w w:val="80"/>
        </w:rPr>
        <w:t xml:space="preserve">、 </w:t>
      </w:r>
      <w:r>
        <w:rPr>
          <w:spacing w:val="3"/>
          <w:w w:val="105"/>
        </w:rPr>
        <w:t>工会和人民检察院</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特别重大事故</w:t>
      </w:r>
      <w:r>
        <w:rPr>
          <w:rFonts w:hint="eastAsia" w:ascii="MS UI Gothic" w:eastAsia="MS UI Gothic"/>
          <w:w w:val="80"/>
        </w:rPr>
        <w:t xml:space="preserve">、  </w:t>
      </w:r>
      <w:r>
        <w:rPr>
          <w:w w:val="105"/>
        </w:rPr>
        <w:t>重大事故逐级</w:t>
      </w:r>
      <w:r>
        <w:t>上报至国务院安全生产监督管理部门和负</w:t>
      </w:r>
      <w:r>
        <w:rPr>
          <w:w w:val="105"/>
        </w:rPr>
        <w:t>有安全生产监督管理职责的有关部门</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较大事故逐级上报至省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直辖市人民政府安全生产监督管理部</w:t>
      </w:r>
      <w:r>
        <w:t>门和负有安全生产监督管理职责的有关</w:t>
      </w:r>
      <w:r>
        <w:rPr>
          <w:w w:val="105"/>
        </w:rPr>
        <w:t>部门</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一般事故上报至设区的市级人</w:t>
      </w:r>
      <w:r>
        <w:t>民政府安全生产监督管理部门和负有安全</w:t>
      </w:r>
      <w:r>
        <w:rPr>
          <w:w w:val="105"/>
        </w:rPr>
        <w:t>生产监督管理职责的有关部门</w:t>
      </w:r>
      <w:r>
        <w:rPr>
          <w:rFonts w:hint="eastAsia" w:ascii="MS UI Gothic" w:eastAsia="MS UI Gothic"/>
          <w:w w:val="80"/>
        </w:rPr>
        <w:t>ꎮ</w:t>
      </w:r>
    </w:p>
    <w:p>
      <w:pPr>
        <w:pStyle w:val="6"/>
        <w:spacing w:line="295" w:lineRule="auto"/>
        <w:ind w:left="381" w:right="126"/>
        <w:rPr>
          <w:rFonts w:hint="eastAsia" w:ascii="MS UI Gothic" w:eastAsia="MS UI Gothic"/>
        </w:rPr>
      </w:pPr>
      <w:r>
        <w:t>安全生产监督管理部门和负有安全生产监督管理职责的有关部门依照前款规定上报事故情况</w:t>
      </w:r>
      <w:r>
        <w:rPr>
          <w:rFonts w:hint="eastAsia" w:ascii="MS UI Gothic" w:eastAsia="MS UI Gothic"/>
          <w:w w:val="80"/>
        </w:rPr>
        <w:t xml:space="preserve">ꎬ </w:t>
      </w:r>
      <w:r>
        <w:t>应当同时报告本级人民政府</w:t>
      </w:r>
      <w:r>
        <w:rPr>
          <w:rFonts w:hint="eastAsia" w:ascii="MS UI Gothic" w:eastAsia="MS UI Gothic"/>
          <w:w w:val="80"/>
        </w:rPr>
        <w:t xml:space="preserve">ꎮ </w:t>
      </w:r>
      <w:r>
        <w:t>国务院安全生产监督管理部门和负有安全生产监督管理职责的有关部门以及省</w:t>
      </w:r>
      <w:r>
        <w:rPr>
          <w:w w:val="105"/>
        </w:rPr>
        <w:t>级人民政府接到发生特别重大事故</w:t>
      </w:r>
      <w:r>
        <w:rPr>
          <w:rFonts w:hint="eastAsia" w:ascii="MS UI Gothic" w:eastAsia="MS UI Gothic"/>
          <w:w w:val="80"/>
        </w:rPr>
        <w:t xml:space="preserve">、 </w:t>
      </w:r>
      <w:r>
        <w:rPr>
          <w:w w:val="105"/>
        </w:rPr>
        <w:t>重大事故的报告后</w:t>
      </w:r>
      <w:r>
        <w:rPr>
          <w:rFonts w:hint="eastAsia" w:ascii="MS UI Gothic" w:eastAsia="MS UI Gothic"/>
          <w:w w:val="80"/>
        </w:rPr>
        <w:t xml:space="preserve">ꎬ </w:t>
      </w:r>
      <w:r>
        <w:rPr>
          <w:w w:val="105"/>
        </w:rPr>
        <w:t>应当立即报告国务院</w:t>
      </w:r>
      <w:r>
        <w:rPr>
          <w:rFonts w:hint="eastAsia" w:ascii="MS UI Gothic" w:eastAsia="MS UI Gothic"/>
          <w:w w:val="80"/>
        </w:rPr>
        <w:t>ꎮ</w:t>
      </w:r>
    </w:p>
    <w:p>
      <w:pPr>
        <w:pStyle w:val="6"/>
        <w:spacing w:line="295" w:lineRule="auto"/>
        <w:ind w:left="381" w:right="126"/>
        <w:rPr>
          <w:rFonts w:hint="eastAsia" w:ascii="MS UI Gothic" w:eastAsia="MS UI Gothic"/>
        </w:rPr>
      </w:pPr>
      <w:r>
        <w:t>必要时</w:t>
      </w:r>
      <w:r>
        <w:rPr>
          <w:rFonts w:hint="eastAsia" w:ascii="MS UI Gothic" w:eastAsia="MS UI Gothic"/>
          <w:w w:val="80"/>
        </w:rPr>
        <w:t xml:space="preserve">ꎬ </w:t>
      </w:r>
      <w:r>
        <w:t>安全生产监督管理部门和负有安全生产监督管理职责的有关部门可以</w:t>
      </w:r>
      <w:r>
        <w:rPr>
          <w:w w:val="105"/>
        </w:rPr>
        <w:t>越级上报事故情况</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第十一条 安全生产监督管理部门和</w:t>
      </w:r>
      <w:r>
        <w:t>负有安全生产监督管理职责的有关部门逐级上报事故情况</w:t>
      </w:r>
      <w:r>
        <w:rPr>
          <w:rFonts w:hint="eastAsia" w:ascii="MS UI Gothic" w:eastAsia="MS UI Gothic"/>
          <w:w w:val="80"/>
        </w:rPr>
        <w:t xml:space="preserve">ꎬ </w:t>
      </w:r>
      <w:r>
        <w:t>每级上报的时间不得超</w:t>
      </w:r>
      <w:r>
        <w:rPr>
          <w:w w:val="105"/>
        </w:rPr>
        <w:t xml:space="preserve">过 </w:t>
      </w:r>
      <w:r>
        <w:rPr>
          <w:rFonts w:hint="eastAsia" w:ascii="MS UI Gothic" w:eastAsia="MS UI Gothic"/>
          <w:w w:val="80"/>
        </w:rPr>
        <w:t xml:space="preserve">２ </w:t>
      </w:r>
      <w:r>
        <w:rPr>
          <w:w w:val="105"/>
        </w:rPr>
        <w:t>小时</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第十二条 报告事故应当包括下列</w:t>
      </w:r>
      <w:r>
        <w:rPr>
          <w:w w:val="115"/>
        </w:rPr>
        <w:t>内容</w:t>
      </w:r>
      <w:r>
        <w:rPr>
          <w:rFonts w:hint="eastAsia" w:ascii="MS UI Gothic" w:eastAsia="MS UI Gothic"/>
          <w:w w:val="235"/>
        </w:rPr>
        <w:t>:</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事故发生单位概况</w:t>
      </w:r>
      <w:r>
        <w:rPr>
          <w:rFonts w:hint="eastAsia" w:ascii="MS UI Gothic" w:eastAsia="MS UI Gothic"/>
          <w:w w:val="80"/>
        </w:rPr>
        <w:t>ꎻ</w:t>
      </w:r>
    </w:p>
    <w:p>
      <w:pPr>
        <w:pStyle w:val="6"/>
        <w:spacing w:before="32"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事故发生的时间</w:t>
      </w:r>
      <w:r>
        <w:rPr>
          <w:rFonts w:hint="eastAsia" w:ascii="MS UI Gothic" w:eastAsia="MS UI Gothic"/>
          <w:w w:val="80"/>
        </w:rPr>
        <w:t xml:space="preserve">、  </w:t>
      </w:r>
      <w:r>
        <w:rPr>
          <w:w w:val="105"/>
        </w:rPr>
        <w:t>地点以及事故现场情况</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事故的简要经过</w:t>
      </w:r>
      <w:r>
        <w:rPr>
          <w:rFonts w:hint="eastAsia" w:ascii="MS UI Gothic" w:eastAsia="MS UI Gothic"/>
          <w:w w:val="80"/>
        </w:rPr>
        <w:t>ꎻ</w:t>
      </w:r>
    </w:p>
    <w:p>
      <w:pPr>
        <w:spacing w:after="0" w:line="255" w:lineRule="exact"/>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７４</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72" o:spid="_x0000_s1272" o:spt="203" style="height:2.15pt;width:398.25pt;" coordsize="7965,43">
            <o:lock v:ext="edit"/>
            <v:line id="_x0000_s1273" o:spid="_x0000_s1273" o:spt="20" style="position:absolute;left:0;top:39;height:0;width:7965;" stroked="t" coordsize="21600,21600">
              <v:path arrowok="t"/>
              <v:fill focussize="0,0"/>
              <v:stroke weight="0.388031496062992pt" color="#231F20"/>
              <v:imagedata o:title=""/>
              <o:lock v:ext="edit"/>
            </v:line>
            <v:line id="_x0000_s1274" o:spid="_x0000_s127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rFonts w:hint="eastAsia" w:ascii="MS UI Gothic" w:eastAsia="MS UI Gothic"/>
          <w:spacing w:val="-21"/>
          <w:w w:val="105"/>
        </w:rPr>
        <w:t xml:space="preserve">( </w:t>
      </w:r>
      <w:r>
        <w:rPr>
          <w:spacing w:val="3"/>
          <w:w w:val="105"/>
        </w:rPr>
        <w:t>四</w:t>
      </w:r>
      <w:r>
        <w:rPr>
          <w:rFonts w:hint="eastAsia" w:ascii="MS UI Gothic" w:eastAsia="MS UI Gothic"/>
          <w:spacing w:val="6"/>
          <w:w w:val="105"/>
        </w:rPr>
        <w:t xml:space="preserve">) </w:t>
      </w:r>
      <w:r>
        <w:rPr>
          <w:spacing w:val="5"/>
          <w:w w:val="105"/>
        </w:rPr>
        <w:t>事故已经造成或者可能造成的</w:t>
      </w:r>
      <w:r>
        <w:rPr>
          <w:spacing w:val="-13"/>
          <w:w w:val="110"/>
        </w:rPr>
        <w:t xml:space="preserve">伤亡人数 </w:t>
      </w:r>
      <w:r>
        <w:rPr>
          <w:rFonts w:hint="eastAsia" w:ascii="MS UI Gothic" w:eastAsia="MS UI Gothic"/>
          <w:spacing w:val="-41"/>
          <w:w w:val="150"/>
        </w:rPr>
        <w:t xml:space="preserve">( </w:t>
      </w:r>
      <w:r>
        <w:rPr>
          <w:spacing w:val="16"/>
          <w:w w:val="110"/>
        </w:rPr>
        <w:t>包括下落不明的人数</w:t>
      </w:r>
      <w:r>
        <w:rPr>
          <w:rFonts w:hint="eastAsia" w:ascii="MS UI Gothic" w:eastAsia="MS UI Gothic"/>
          <w:spacing w:val="-22"/>
          <w:w w:val="150"/>
        </w:rPr>
        <w:t xml:space="preserve">) </w:t>
      </w:r>
      <w:r>
        <w:rPr>
          <w:spacing w:val="9"/>
          <w:w w:val="110"/>
        </w:rPr>
        <w:t>和初</w:t>
      </w:r>
      <w:r>
        <w:rPr>
          <w:spacing w:val="3"/>
          <w:w w:val="110"/>
        </w:rPr>
        <w:t>步估计的直接经济损失</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已经采取的措施</w:t>
      </w:r>
      <w:r>
        <w:rPr>
          <w:rFonts w:hint="eastAsia" w:ascii="MS UI Gothic" w:eastAsia="MS UI Gothic"/>
          <w:w w:val="80"/>
        </w:rPr>
        <w:t>ꎻ</w:t>
      </w:r>
    </w:p>
    <w:p>
      <w:pPr>
        <w:pStyle w:val="6"/>
        <w:spacing w:before="58"/>
        <w:ind w:left="543" w:firstLine="0"/>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其他应当报告的情况</w:t>
      </w:r>
      <w:r>
        <w:rPr>
          <w:rFonts w:hint="eastAsia" w:ascii="MS UI Gothic" w:eastAsia="MS UI Gothic"/>
          <w:w w:val="80"/>
        </w:rPr>
        <w:t>ꎮ</w:t>
      </w:r>
    </w:p>
    <w:p>
      <w:pPr>
        <w:pStyle w:val="6"/>
        <w:spacing w:before="58" w:line="295" w:lineRule="auto"/>
        <w:ind w:right="39"/>
        <w:rPr>
          <w:rFonts w:hint="eastAsia" w:ascii="MS UI Gothic" w:eastAsia="MS UI Gothic"/>
        </w:rPr>
      </w:pPr>
      <w:r>
        <w:rPr>
          <w:spacing w:val="10"/>
        </w:rPr>
        <w:t>第十三条  事故报告后出现新情况</w:t>
      </w:r>
      <w:r>
        <w:rPr>
          <w:spacing w:val="3"/>
        </w:rPr>
        <w:t>的</w:t>
      </w:r>
      <w:r>
        <w:rPr>
          <w:rFonts w:hint="eastAsia" w:ascii="MS UI Gothic" w:eastAsia="MS UI Gothic"/>
          <w:spacing w:val="2"/>
          <w:w w:val="80"/>
        </w:rPr>
        <w:t xml:space="preserve">ꎬ </w:t>
      </w:r>
      <w:r>
        <w:rPr>
          <w:spacing w:val="3"/>
        </w:rPr>
        <w:t>应当及时补报</w:t>
      </w:r>
      <w:r>
        <w:rPr>
          <w:rFonts w:hint="eastAsia" w:ascii="MS UI Gothic" w:eastAsia="MS UI Gothic"/>
          <w:w w:val="80"/>
        </w:rPr>
        <w:t>ꎮ</w:t>
      </w:r>
    </w:p>
    <w:p>
      <w:pPr>
        <w:pStyle w:val="6"/>
        <w:spacing w:line="295" w:lineRule="auto"/>
        <w:ind w:right="39"/>
        <w:rPr>
          <w:rFonts w:hint="eastAsia" w:ascii="MS UI Gothic" w:eastAsia="MS UI Gothic"/>
        </w:rPr>
      </w:pPr>
      <w:r>
        <w:rPr>
          <w:spacing w:val="1"/>
        </w:rPr>
        <w:t xml:space="preserve">自事故发生之日起 </w:t>
      </w:r>
      <w:r>
        <w:rPr>
          <w:rFonts w:hint="eastAsia" w:ascii="MS UI Gothic" w:eastAsia="MS UI Gothic"/>
          <w:spacing w:val="4"/>
          <w:w w:val="85"/>
        </w:rPr>
        <w:t xml:space="preserve">３０ </w:t>
      </w:r>
      <w:r>
        <w:rPr>
          <w:spacing w:val="9"/>
        </w:rPr>
        <w:t>日内</w:t>
      </w:r>
      <w:r>
        <w:rPr>
          <w:rFonts w:hint="eastAsia" w:ascii="MS UI Gothic" w:eastAsia="MS UI Gothic"/>
          <w:w w:val="85"/>
        </w:rPr>
        <w:t xml:space="preserve">ꎬ </w:t>
      </w:r>
      <w:r>
        <w:rPr>
          <w:spacing w:val="10"/>
        </w:rPr>
        <w:t>事故造</w:t>
      </w:r>
      <w:r>
        <w:rPr>
          <w:spacing w:val="13"/>
        </w:rPr>
        <w:t>成的伤亡人数发生变化的</w:t>
      </w:r>
      <w:r>
        <w:rPr>
          <w:rFonts w:hint="eastAsia" w:ascii="MS UI Gothic" w:eastAsia="MS UI Gothic"/>
          <w:spacing w:val="17"/>
          <w:w w:val="85"/>
        </w:rPr>
        <w:t xml:space="preserve">ꎬ </w:t>
      </w:r>
      <w:r>
        <w:rPr>
          <w:spacing w:val="16"/>
        </w:rPr>
        <w:t>应当及时补</w:t>
      </w:r>
      <w:r>
        <w:rPr>
          <w:spacing w:val="3"/>
        </w:rPr>
        <w:t>报</w:t>
      </w:r>
      <w:r>
        <w:rPr>
          <w:rFonts w:hint="eastAsia" w:ascii="MS UI Gothic" w:eastAsia="MS UI Gothic"/>
          <w:spacing w:val="4"/>
          <w:w w:val="85"/>
        </w:rPr>
        <w:t xml:space="preserve">ꎮ </w:t>
      </w:r>
      <w:r>
        <w:rPr>
          <w:spacing w:val="3"/>
        </w:rPr>
        <w:t>道路交通事故</w:t>
      </w:r>
      <w:r>
        <w:rPr>
          <w:rFonts w:hint="eastAsia" w:ascii="MS UI Gothic" w:eastAsia="MS UI Gothic"/>
          <w:spacing w:val="4"/>
          <w:w w:val="85"/>
        </w:rPr>
        <w:t xml:space="preserve">、 </w:t>
      </w:r>
      <w:r>
        <w:rPr>
          <w:spacing w:val="2"/>
        </w:rPr>
        <w:t>火灾事故自发生之日</w:t>
      </w:r>
      <w:r>
        <w:rPr>
          <w:spacing w:val="-24"/>
        </w:rPr>
        <w:t xml:space="preserve">起 </w:t>
      </w:r>
      <w:r>
        <w:rPr>
          <w:rFonts w:hint="eastAsia" w:ascii="MS UI Gothic" w:eastAsia="MS UI Gothic"/>
          <w:spacing w:val="4"/>
          <w:w w:val="85"/>
        </w:rPr>
        <w:t xml:space="preserve">７ </w:t>
      </w:r>
      <w:r>
        <w:rPr>
          <w:spacing w:val="3"/>
        </w:rPr>
        <w:t>日内</w:t>
      </w:r>
      <w:r>
        <w:rPr>
          <w:rFonts w:hint="eastAsia" w:ascii="MS UI Gothic" w:eastAsia="MS UI Gothic"/>
          <w:spacing w:val="3"/>
          <w:w w:val="85"/>
        </w:rPr>
        <w:t xml:space="preserve">ꎬ </w:t>
      </w:r>
      <w:r>
        <w:rPr>
          <w:spacing w:val="2"/>
        </w:rPr>
        <w:t>事故造成的伤亡人数发生变化</w:t>
      </w:r>
      <w:r>
        <w:rPr>
          <w:spacing w:val="3"/>
        </w:rPr>
        <w:t>的</w:t>
      </w:r>
      <w:r>
        <w:rPr>
          <w:rFonts w:hint="eastAsia" w:ascii="MS UI Gothic" w:eastAsia="MS UI Gothic"/>
          <w:spacing w:val="24"/>
          <w:w w:val="85"/>
        </w:rPr>
        <w:t xml:space="preserve">ꎬ </w:t>
      </w:r>
      <w:r>
        <w:rPr>
          <w:spacing w:val="3"/>
        </w:rPr>
        <w:t>应当及时补报</w:t>
      </w:r>
      <w:r>
        <w:rPr>
          <w:rFonts w:hint="eastAsia" w:ascii="MS UI Gothic" w:eastAsia="MS UI Gothic"/>
          <w:w w:val="85"/>
        </w:rPr>
        <w:t>ꎮ</w:t>
      </w:r>
    </w:p>
    <w:p>
      <w:pPr>
        <w:pStyle w:val="6"/>
        <w:spacing w:line="295" w:lineRule="auto"/>
        <w:ind w:right="39"/>
        <w:rPr>
          <w:rFonts w:hint="eastAsia" w:ascii="MS UI Gothic" w:eastAsia="MS UI Gothic"/>
        </w:rPr>
      </w:pPr>
      <w:r>
        <w:t>第十四条 事故发生单位负责人接到事故报告后</w:t>
      </w:r>
      <w:r>
        <w:rPr>
          <w:rFonts w:hint="eastAsia" w:ascii="MS UI Gothic" w:eastAsia="MS UI Gothic"/>
          <w:w w:val="80"/>
        </w:rPr>
        <w:t xml:space="preserve">ꎬ </w:t>
      </w:r>
      <w:r>
        <w:t>应当立即启动事故相应应急预案</w:t>
      </w:r>
      <w:r>
        <w:rPr>
          <w:rFonts w:hint="eastAsia" w:ascii="MS UI Gothic" w:eastAsia="MS UI Gothic"/>
          <w:w w:val="80"/>
        </w:rPr>
        <w:t xml:space="preserve">ꎬ </w:t>
      </w:r>
      <w:r>
        <w:t>或者采取有效措施</w:t>
      </w:r>
      <w:r>
        <w:rPr>
          <w:rFonts w:hint="eastAsia" w:ascii="MS UI Gothic" w:eastAsia="MS UI Gothic"/>
          <w:w w:val="80"/>
        </w:rPr>
        <w:t xml:space="preserve">ꎬ </w:t>
      </w:r>
      <w:r>
        <w:t>组织抢救</w:t>
      </w:r>
      <w:r>
        <w:rPr>
          <w:rFonts w:hint="eastAsia" w:ascii="MS UI Gothic" w:eastAsia="MS UI Gothic"/>
          <w:w w:val="80"/>
        </w:rPr>
        <w:t xml:space="preserve">ꎬ </w:t>
      </w:r>
      <w:r>
        <w:t>防止事故扩大</w:t>
      </w:r>
      <w:r>
        <w:rPr>
          <w:rFonts w:hint="eastAsia" w:ascii="MS UI Gothic" w:eastAsia="MS UI Gothic"/>
          <w:w w:val="80"/>
        </w:rPr>
        <w:t xml:space="preserve">ꎬ </w:t>
      </w:r>
      <w:r>
        <w:t>减少人员伤亡和财产损失</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第十五条 事故发生地有关地方人民</w:t>
      </w:r>
      <w:r>
        <w:rPr>
          <w:spacing w:val="3"/>
          <w:w w:val="105"/>
        </w:rPr>
        <w:t>政府</w:t>
      </w:r>
      <w:r>
        <w:rPr>
          <w:rFonts w:hint="eastAsia" w:ascii="MS UI Gothic" w:eastAsia="MS UI Gothic"/>
          <w:spacing w:val="-4"/>
          <w:w w:val="80"/>
        </w:rPr>
        <w:t xml:space="preserve">、 </w:t>
      </w:r>
      <w:r>
        <w:rPr>
          <w:spacing w:val="2"/>
          <w:w w:val="105"/>
        </w:rPr>
        <w:t>安全生产监督管理部门和负有安全</w:t>
      </w:r>
      <w:r>
        <w:rPr>
          <w:spacing w:val="2"/>
        </w:rPr>
        <w:t>生产监督管理职责的有关部门接到事故报</w:t>
      </w:r>
      <w:r>
        <w:rPr>
          <w:spacing w:val="3"/>
        </w:rPr>
        <w:t>告后</w:t>
      </w:r>
      <w:r>
        <w:rPr>
          <w:rFonts w:hint="eastAsia" w:ascii="MS UI Gothic" w:eastAsia="MS UI Gothic"/>
          <w:spacing w:val="18"/>
          <w:w w:val="80"/>
        </w:rPr>
        <w:t xml:space="preserve">ꎬ </w:t>
      </w:r>
      <w:r>
        <w:rPr>
          <w:spacing w:val="7"/>
        </w:rPr>
        <w:t>其负责人应当立即赶赴事故现场</w:t>
      </w:r>
      <w:r>
        <w:rPr>
          <w:rFonts w:hint="eastAsia" w:ascii="MS UI Gothic" w:eastAsia="MS UI Gothic"/>
          <w:w w:val="80"/>
        </w:rPr>
        <w:t>ꎬ</w:t>
      </w:r>
      <w:r>
        <w:rPr>
          <w:spacing w:val="3"/>
          <w:w w:val="105"/>
        </w:rPr>
        <w:t>组织事故救援</w:t>
      </w:r>
      <w:r>
        <w:rPr>
          <w:rFonts w:hint="eastAsia" w:ascii="MS UI Gothic" w:eastAsia="MS UI Gothic"/>
          <w:w w:val="80"/>
        </w:rPr>
        <w:t>ꎮ</w:t>
      </w:r>
    </w:p>
    <w:p>
      <w:pPr>
        <w:pStyle w:val="6"/>
        <w:spacing w:line="295" w:lineRule="auto"/>
        <w:ind w:right="38"/>
        <w:rPr>
          <w:rFonts w:hint="eastAsia" w:ascii="MS UI Gothic" w:eastAsia="MS UI Gothic"/>
        </w:rPr>
      </w:pPr>
      <w:r>
        <w:rPr>
          <w:spacing w:val="3"/>
        </w:rPr>
        <w:t>第十六条 事故发生后</w:t>
      </w:r>
      <w:r>
        <w:rPr>
          <w:rFonts w:hint="eastAsia" w:ascii="MS UI Gothic" w:eastAsia="MS UI Gothic"/>
          <w:spacing w:val="8"/>
          <w:w w:val="80"/>
        </w:rPr>
        <w:t xml:space="preserve">ꎬ </w:t>
      </w:r>
      <w:r>
        <w:rPr>
          <w:spacing w:val="2"/>
        </w:rPr>
        <w:t>有关单位和</w:t>
      </w:r>
      <w:r>
        <w:rPr>
          <w:spacing w:val="11"/>
        </w:rPr>
        <w:t>人员应当妥善保护事故现场以及相关证</w:t>
      </w:r>
      <w:r>
        <w:rPr>
          <w:spacing w:val="3"/>
        </w:rPr>
        <w:t>据</w:t>
      </w:r>
      <w:r>
        <w:rPr>
          <w:rFonts w:hint="eastAsia" w:ascii="MS UI Gothic" w:eastAsia="MS UI Gothic"/>
          <w:spacing w:val="17"/>
          <w:w w:val="80"/>
        </w:rPr>
        <w:t xml:space="preserve">ꎬ </w:t>
      </w:r>
      <w:r>
        <w:rPr>
          <w:spacing w:val="6"/>
        </w:rPr>
        <w:t>任何单位和个人不得破坏事故现场</w:t>
      </w:r>
      <w:r>
        <w:rPr>
          <w:rFonts w:hint="eastAsia" w:ascii="MS UI Gothic" w:eastAsia="MS UI Gothic"/>
          <w:w w:val="80"/>
        </w:rPr>
        <w:t>、</w:t>
      </w:r>
      <w:r>
        <w:rPr>
          <w:spacing w:val="3"/>
        </w:rPr>
        <w:t>毁灭相关证据</w:t>
      </w:r>
      <w:r>
        <w:rPr>
          <w:rFonts w:hint="eastAsia" w:ascii="MS UI Gothic" w:eastAsia="MS UI Gothic"/>
          <w:w w:val="80"/>
        </w:rPr>
        <w:t>ꎮ</w:t>
      </w:r>
    </w:p>
    <w:p>
      <w:pPr>
        <w:pStyle w:val="6"/>
        <w:spacing w:line="295" w:lineRule="auto"/>
        <w:ind w:right="38"/>
        <w:rPr>
          <w:rFonts w:hint="eastAsia" w:ascii="MS UI Gothic" w:eastAsia="MS UI Gothic"/>
        </w:rPr>
      </w:pPr>
      <w:r>
        <w:t>因抢救人员</w:t>
      </w:r>
      <w:r>
        <w:rPr>
          <w:rFonts w:hint="eastAsia" w:ascii="MS UI Gothic" w:eastAsia="MS UI Gothic"/>
          <w:w w:val="80"/>
        </w:rPr>
        <w:t xml:space="preserve">、 </w:t>
      </w:r>
      <w:r>
        <w:t>防止事故扩大以及疏通交通等原因</w:t>
      </w:r>
      <w:r>
        <w:rPr>
          <w:rFonts w:hint="eastAsia" w:ascii="MS UI Gothic" w:eastAsia="MS UI Gothic"/>
          <w:w w:val="80"/>
        </w:rPr>
        <w:t xml:space="preserve">ꎬ </w:t>
      </w:r>
      <w:r>
        <w:t>需要移动事故现场物件的</w:t>
      </w:r>
      <w:r>
        <w:rPr>
          <w:rFonts w:hint="eastAsia" w:ascii="MS UI Gothic" w:eastAsia="MS UI Gothic"/>
          <w:w w:val="80"/>
        </w:rPr>
        <w:t>ꎬ</w:t>
      </w:r>
      <w:r>
        <w:t>应当做出标志</w:t>
      </w:r>
      <w:r>
        <w:rPr>
          <w:rFonts w:hint="eastAsia" w:ascii="MS UI Gothic" w:eastAsia="MS UI Gothic"/>
          <w:w w:val="80"/>
        </w:rPr>
        <w:t xml:space="preserve">ꎬ </w:t>
      </w:r>
      <w:r>
        <w:t>绘制现场简图并做出书面记录</w:t>
      </w:r>
      <w:r>
        <w:rPr>
          <w:rFonts w:hint="eastAsia" w:ascii="MS UI Gothic" w:eastAsia="MS UI Gothic"/>
          <w:w w:val="80"/>
        </w:rPr>
        <w:t xml:space="preserve">ꎬ </w:t>
      </w:r>
      <w:r>
        <w:t>妥善保存现场重要痕迹</w:t>
      </w:r>
      <w:r>
        <w:rPr>
          <w:rFonts w:hint="eastAsia" w:ascii="MS UI Gothic" w:eastAsia="MS UI Gothic"/>
          <w:w w:val="80"/>
        </w:rPr>
        <w:t xml:space="preserve">、 </w:t>
      </w:r>
      <w:r>
        <w:t>物证</w:t>
      </w:r>
      <w:r>
        <w:rPr>
          <w:rFonts w:hint="eastAsia" w:ascii="MS UI Gothic" w:eastAsia="MS UI Gothic"/>
          <w:w w:val="80"/>
        </w:rPr>
        <w:t>ꎮ</w:t>
      </w:r>
    </w:p>
    <w:p>
      <w:pPr>
        <w:pStyle w:val="6"/>
        <w:spacing w:line="295" w:lineRule="auto"/>
        <w:ind w:right="39"/>
        <w:rPr>
          <w:rFonts w:hint="eastAsia" w:ascii="MS UI Gothic" w:eastAsia="MS UI Gothic"/>
        </w:rPr>
      </w:pPr>
      <w:r>
        <w:t>第十七条 事故发生地公安机关根据事故的情况</w:t>
      </w:r>
      <w:r>
        <w:rPr>
          <w:rFonts w:hint="eastAsia" w:ascii="MS UI Gothic" w:eastAsia="MS UI Gothic"/>
          <w:w w:val="80"/>
        </w:rPr>
        <w:t xml:space="preserve">ꎬ </w:t>
      </w:r>
      <w:r>
        <w:t>对涉嫌犯罪的</w:t>
      </w:r>
      <w:r>
        <w:rPr>
          <w:rFonts w:hint="eastAsia" w:ascii="MS UI Gothic" w:eastAsia="MS UI Gothic"/>
          <w:w w:val="80"/>
        </w:rPr>
        <w:t xml:space="preserve">ꎬ </w:t>
      </w:r>
      <w:r>
        <w:t>应当依法立案侦查</w:t>
      </w:r>
      <w:r>
        <w:rPr>
          <w:rFonts w:hint="eastAsia" w:ascii="MS UI Gothic" w:eastAsia="MS UI Gothic"/>
          <w:w w:val="80"/>
        </w:rPr>
        <w:t xml:space="preserve">ꎬ </w:t>
      </w:r>
      <w:r>
        <w:t>采取强制措施和侦查措施</w:t>
      </w:r>
      <w:r>
        <w:rPr>
          <w:rFonts w:hint="eastAsia" w:ascii="MS UI Gothic" w:eastAsia="MS UI Gothic"/>
          <w:w w:val="80"/>
        </w:rPr>
        <w:t xml:space="preserve">ꎮ </w:t>
      </w:r>
      <w:r>
        <w:t>犯罪嫌疑人逃匿的</w:t>
      </w:r>
      <w:r>
        <w:rPr>
          <w:rFonts w:hint="eastAsia" w:ascii="MS UI Gothic" w:eastAsia="MS UI Gothic"/>
          <w:w w:val="80"/>
        </w:rPr>
        <w:t xml:space="preserve">ꎬ </w:t>
      </w:r>
      <w:r>
        <w:t>公安机关应当迅速追捕归案</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第十八条 安全生产监督管理部门和</w:t>
      </w:r>
      <w:r>
        <w:t>负有安全生产监督管理职责的有关部门应当建立值班制度</w:t>
      </w:r>
      <w:r>
        <w:rPr>
          <w:rFonts w:hint="eastAsia" w:ascii="MS UI Gothic" w:eastAsia="MS UI Gothic"/>
          <w:w w:val="80"/>
        </w:rPr>
        <w:t xml:space="preserve">ꎬ </w:t>
      </w:r>
      <w:r>
        <w:t>并向社会公布值班电</w:t>
      </w:r>
      <w:r>
        <w:rPr>
          <w:w w:val="105"/>
        </w:rPr>
        <w:t>话</w:t>
      </w:r>
      <w:r>
        <w:rPr>
          <w:rFonts w:hint="eastAsia" w:ascii="MS UI Gothic" w:eastAsia="MS UI Gothic"/>
          <w:w w:val="80"/>
        </w:rPr>
        <w:t xml:space="preserve">ꎬ </w:t>
      </w:r>
      <w:r>
        <w:rPr>
          <w:w w:val="105"/>
        </w:rPr>
        <w:t>受理事故报告和举报</w:t>
      </w:r>
      <w:r>
        <w:rPr>
          <w:rFonts w:hint="eastAsia" w:ascii="MS UI Gothic" w:eastAsia="MS UI Gothic"/>
          <w:w w:val="80"/>
        </w:rPr>
        <w:t>ꎮ</w:t>
      </w:r>
    </w:p>
    <w:p>
      <w:pPr>
        <w:pStyle w:val="6"/>
        <w:spacing w:before="11"/>
        <w:ind w:left="0" w:firstLine="0"/>
        <w:jc w:val="left"/>
        <w:rPr>
          <w:rFonts w:ascii="MS UI Gothic"/>
          <w:sz w:val="21"/>
        </w:rPr>
      </w:pPr>
      <w:r>
        <w:br w:type="column"/>
      </w:r>
    </w:p>
    <w:p>
      <w:pPr>
        <w:pStyle w:val="6"/>
        <w:tabs>
          <w:tab w:val="left" w:pos="1906"/>
        </w:tabs>
        <w:ind w:left="1067" w:firstLine="0"/>
        <w:jc w:val="left"/>
      </w:pPr>
      <w:r>
        <w:rPr>
          <w:spacing w:val="3"/>
          <w:w w:val="105"/>
        </w:rPr>
        <w:t>第三</w:t>
      </w:r>
      <w:r>
        <w:rPr>
          <w:w w:val="105"/>
        </w:rPr>
        <w:t>章</w:t>
      </w:r>
      <w:r>
        <w:rPr>
          <w:w w:val="105"/>
        </w:rPr>
        <w:tab/>
      </w:r>
      <w:r>
        <w:rPr>
          <w:w w:val="105"/>
        </w:rPr>
        <w:t>事</w:t>
      </w:r>
      <w:r>
        <w:rPr>
          <w:spacing w:val="-33"/>
          <w:w w:val="105"/>
        </w:rPr>
        <w:t xml:space="preserve"> </w:t>
      </w:r>
      <w:r>
        <w:rPr>
          <w:w w:val="105"/>
        </w:rPr>
        <w:t>故</w:t>
      </w:r>
      <w:r>
        <w:rPr>
          <w:spacing w:val="-33"/>
          <w:w w:val="105"/>
        </w:rPr>
        <w:t xml:space="preserve"> </w:t>
      </w:r>
      <w:r>
        <w:rPr>
          <w:w w:val="105"/>
        </w:rPr>
        <w:t>调</w:t>
      </w:r>
      <w:r>
        <w:rPr>
          <w:spacing w:val="-33"/>
          <w:w w:val="105"/>
        </w:rPr>
        <w:t xml:space="preserve"> </w:t>
      </w:r>
      <w:r>
        <w:rPr>
          <w:w w:val="105"/>
        </w:rPr>
        <w:t>查</w:t>
      </w:r>
    </w:p>
    <w:p>
      <w:pPr>
        <w:pStyle w:val="6"/>
        <w:spacing w:before="216" w:line="295" w:lineRule="auto"/>
        <w:ind w:right="442"/>
        <w:rPr>
          <w:rFonts w:hint="eastAsia" w:ascii="MS UI Gothic" w:eastAsia="MS UI Gothic"/>
        </w:rPr>
      </w:pPr>
      <w:r>
        <w:rPr>
          <w:w w:val="105"/>
        </w:rPr>
        <w:t>第十九条 特别重大事故由国务院或</w:t>
      </w:r>
      <w:r>
        <w:t>者国务院授权有关部门组织事故调查组进</w:t>
      </w:r>
      <w:r>
        <w:rPr>
          <w:w w:val="105"/>
        </w:rPr>
        <w:t>行调查</w:t>
      </w:r>
      <w:r>
        <w:rPr>
          <w:rFonts w:hint="eastAsia" w:ascii="MS UI Gothic" w:eastAsia="MS UI Gothic"/>
          <w:w w:val="80"/>
        </w:rPr>
        <w:t>ꎮ</w:t>
      </w:r>
    </w:p>
    <w:p>
      <w:pPr>
        <w:pStyle w:val="6"/>
        <w:spacing w:line="295" w:lineRule="auto"/>
        <w:ind w:right="442"/>
        <w:rPr>
          <w:rFonts w:hint="eastAsia" w:ascii="MS UI Gothic" w:eastAsia="MS UI Gothic"/>
        </w:rPr>
      </w:pPr>
      <w:r>
        <w:t>重大事故</w:t>
      </w:r>
      <w:r>
        <w:rPr>
          <w:rFonts w:hint="eastAsia" w:ascii="MS UI Gothic" w:eastAsia="MS UI Gothic"/>
          <w:w w:val="80"/>
        </w:rPr>
        <w:t xml:space="preserve">、 </w:t>
      </w:r>
      <w:r>
        <w:t>较大事故</w:t>
      </w:r>
      <w:r>
        <w:rPr>
          <w:rFonts w:hint="eastAsia" w:ascii="MS UI Gothic" w:eastAsia="MS UI Gothic"/>
          <w:w w:val="80"/>
        </w:rPr>
        <w:t xml:space="preserve">、 </w:t>
      </w:r>
      <w:r>
        <w:t>一般事故分别由事故发生地省级人民政府</w:t>
      </w:r>
      <w:r>
        <w:rPr>
          <w:rFonts w:hint="eastAsia" w:ascii="MS UI Gothic" w:eastAsia="MS UI Gothic"/>
          <w:w w:val="80"/>
        </w:rPr>
        <w:t xml:space="preserve">、 </w:t>
      </w:r>
      <w:r>
        <w:t>设区的市级人民政府</w:t>
      </w:r>
      <w:r>
        <w:rPr>
          <w:rFonts w:hint="eastAsia" w:ascii="MS UI Gothic" w:eastAsia="MS UI Gothic"/>
          <w:w w:val="80"/>
        </w:rPr>
        <w:t xml:space="preserve">、 </w:t>
      </w:r>
      <w:r>
        <w:t>县级人民政府负责调查</w:t>
      </w:r>
      <w:r>
        <w:rPr>
          <w:rFonts w:hint="eastAsia" w:ascii="MS UI Gothic" w:eastAsia="MS UI Gothic"/>
          <w:w w:val="80"/>
        </w:rPr>
        <w:t xml:space="preserve">ꎮ </w:t>
      </w:r>
      <w:r>
        <w:t>省级人民政府</w:t>
      </w:r>
      <w:r>
        <w:rPr>
          <w:rFonts w:hint="eastAsia" w:ascii="MS UI Gothic" w:eastAsia="MS UI Gothic"/>
          <w:w w:val="80"/>
        </w:rPr>
        <w:t xml:space="preserve">、 </w:t>
      </w:r>
      <w:r>
        <w:t>设区的市级人民政府</w:t>
      </w:r>
      <w:r>
        <w:rPr>
          <w:rFonts w:hint="eastAsia" w:ascii="MS UI Gothic" w:eastAsia="MS UI Gothic"/>
          <w:w w:val="80"/>
        </w:rPr>
        <w:t xml:space="preserve">、 </w:t>
      </w:r>
      <w:r>
        <w:t>县级人民政府可以直接组织事故调查组进行调查</w:t>
      </w:r>
      <w:r>
        <w:rPr>
          <w:rFonts w:hint="eastAsia" w:ascii="MS UI Gothic" w:eastAsia="MS UI Gothic"/>
          <w:w w:val="80"/>
        </w:rPr>
        <w:t xml:space="preserve">ꎬ </w:t>
      </w:r>
      <w:r>
        <w:t>也可以授权或者委托有关部门组织事故调查组进行调查</w:t>
      </w:r>
      <w:r>
        <w:rPr>
          <w:rFonts w:hint="eastAsia" w:ascii="MS UI Gothic" w:eastAsia="MS UI Gothic"/>
          <w:w w:val="80"/>
        </w:rPr>
        <w:t>ꎮ</w:t>
      </w:r>
    </w:p>
    <w:p>
      <w:pPr>
        <w:pStyle w:val="6"/>
        <w:spacing w:line="295" w:lineRule="auto"/>
        <w:ind w:right="442"/>
        <w:rPr>
          <w:rFonts w:hint="eastAsia" w:ascii="MS UI Gothic" w:eastAsia="MS UI Gothic"/>
        </w:rPr>
      </w:pPr>
      <w:r>
        <w:t>未造成人员伤亡的一般事故</w:t>
      </w:r>
      <w:r>
        <w:rPr>
          <w:rFonts w:hint="eastAsia" w:ascii="MS UI Gothic" w:eastAsia="MS UI Gothic"/>
          <w:w w:val="80"/>
        </w:rPr>
        <w:t xml:space="preserve">ꎬ </w:t>
      </w:r>
      <w:r>
        <w:t>县级人民政府也可以委托事故发生单位组织事故</w:t>
      </w:r>
      <w:r>
        <w:rPr>
          <w:w w:val="105"/>
        </w:rPr>
        <w:t>调查组进行调查</w:t>
      </w:r>
      <w:r>
        <w:rPr>
          <w:rFonts w:hint="eastAsia" w:ascii="MS UI Gothic" w:eastAsia="MS UI Gothic"/>
          <w:w w:val="80"/>
        </w:rPr>
        <w:t>ꎮ</w:t>
      </w:r>
    </w:p>
    <w:p>
      <w:pPr>
        <w:pStyle w:val="6"/>
        <w:spacing w:line="295" w:lineRule="auto"/>
        <w:ind w:right="442"/>
        <w:rPr>
          <w:rFonts w:hint="eastAsia" w:ascii="MS UI Gothic" w:eastAsia="MS UI Gothic"/>
        </w:rPr>
      </w:pPr>
      <w:r>
        <w:t>第二十条  上级人民政府认为必要时</w:t>
      </w:r>
      <w:r>
        <w:rPr>
          <w:rFonts w:hint="eastAsia" w:ascii="MS UI Gothic" w:eastAsia="MS UI Gothic"/>
          <w:w w:val="80"/>
        </w:rPr>
        <w:t xml:space="preserve">ꎬ </w:t>
      </w:r>
      <w:r>
        <w:t>可以调查由下级人民政府负责调查的事故</w:t>
      </w:r>
      <w:r>
        <w:rPr>
          <w:rFonts w:hint="eastAsia" w:ascii="MS UI Gothic" w:eastAsia="MS UI Gothic"/>
          <w:w w:val="80"/>
        </w:rPr>
        <w:t>ꎮ</w:t>
      </w:r>
    </w:p>
    <w:p>
      <w:pPr>
        <w:pStyle w:val="6"/>
        <w:spacing w:line="295" w:lineRule="auto"/>
        <w:ind w:right="442"/>
        <w:rPr>
          <w:rFonts w:hint="eastAsia" w:ascii="MS UI Gothic" w:eastAsia="MS UI Gothic"/>
        </w:rPr>
      </w:pPr>
      <w:r>
        <w:rPr>
          <w:spacing w:val="1"/>
        </w:rPr>
        <w:t xml:space="preserve">自事故发生之日起 </w:t>
      </w:r>
      <w:r>
        <w:rPr>
          <w:rFonts w:hint="eastAsia" w:ascii="MS UI Gothic" w:eastAsia="MS UI Gothic"/>
          <w:spacing w:val="12"/>
          <w:w w:val="80"/>
        </w:rPr>
        <w:t xml:space="preserve">３０ </w:t>
      </w:r>
      <w:r>
        <w:rPr>
          <w:spacing w:val="18"/>
        </w:rPr>
        <w:t xml:space="preserve">日内 </w:t>
      </w:r>
      <w:r>
        <w:rPr>
          <w:rFonts w:hint="eastAsia" w:ascii="MS UI Gothic" w:eastAsia="MS UI Gothic"/>
          <w:spacing w:val="-28"/>
          <w:w w:val="145"/>
        </w:rPr>
        <w:t xml:space="preserve">( </w:t>
      </w:r>
      <w:r>
        <w:rPr>
          <w:spacing w:val="8"/>
        </w:rPr>
        <w:t>道路交</w:t>
      </w:r>
      <w:r>
        <w:rPr>
          <w:spacing w:val="13"/>
        </w:rPr>
        <w:t>通事故</w:t>
      </w:r>
      <w:r>
        <w:rPr>
          <w:rFonts w:hint="eastAsia" w:ascii="MS UI Gothic" w:eastAsia="MS UI Gothic"/>
          <w:spacing w:val="5"/>
        </w:rPr>
        <w:t xml:space="preserve">、 </w:t>
      </w:r>
      <w:r>
        <w:rPr>
          <w:spacing w:val="26"/>
        </w:rPr>
        <w:t xml:space="preserve">火灾事故自发生之日起 </w:t>
      </w:r>
      <w:r>
        <w:rPr>
          <w:rFonts w:hint="eastAsia" w:ascii="MS UI Gothic" w:eastAsia="MS UI Gothic"/>
          <w:spacing w:val="21"/>
        </w:rPr>
        <w:t xml:space="preserve">７ </w:t>
      </w:r>
      <w:r>
        <w:t>日</w:t>
      </w:r>
      <w:r>
        <w:rPr>
          <w:spacing w:val="3"/>
        </w:rPr>
        <w:t>内</w:t>
      </w:r>
      <w:r>
        <w:rPr>
          <w:rFonts w:hint="eastAsia" w:ascii="MS UI Gothic" w:eastAsia="MS UI Gothic"/>
          <w:spacing w:val="-31"/>
          <w:w w:val="145"/>
        </w:rPr>
        <w:t xml:space="preserve">) </w:t>
      </w:r>
      <w:r>
        <w:rPr>
          <w:rFonts w:hint="eastAsia" w:ascii="MS UI Gothic" w:eastAsia="MS UI Gothic"/>
          <w:spacing w:val="21"/>
          <w:w w:val="80"/>
        </w:rPr>
        <w:t xml:space="preserve">ꎬ </w:t>
      </w:r>
      <w:r>
        <w:rPr>
          <w:spacing w:val="5"/>
        </w:rPr>
        <w:t>因事故伤亡人数变化导致事故等级</w:t>
      </w:r>
      <w:r>
        <w:rPr>
          <w:spacing w:val="3"/>
        </w:rPr>
        <w:t>发生变化</w:t>
      </w:r>
      <w:r>
        <w:rPr>
          <w:rFonts w:hint="eastAsia" w:ascii="MS UI Gothic" w:eastAsia="MS UI Gothic"/>
          <w:spacing w:val="20"/>
          <w:w w:val="80"/>
        </w:rPr>
        <w:t xml:space="preserve">ꎬ </w:t>
      </w:r>
      <w:r>
        <w:rPr>
          <w:spacing w:val="2"/>
        </w:rPr>
        <w:t>依照本条例规定应当由上级人</w:t>
      </w:r>
      <w:r>
        <w:rPr>
          <w:spacing w:val="3"/>
        </w:rPr>
        <w:t>民政府负责调查的</w:t>
      </w:r>
      <w:r>
        <w:rPr>
          <w:rFonts w:hint="eastAsia" w:ascii="MS UI Gothic" w:eastAsia="MS UI Gothic"/>
          <w:spacing w:val="20"/>
          <w:w w:val="80"/>
        </w:rPr>
        <w:t xml:space="preserve">ꎬ </w:t>
      </w:r>
      <w:r>
        <w:rPr>
          <w:spacing w:val="2"/>
        </w:rPr>
        <w:t>上级人民政府可以另</w:t>
      </w:r>
      <w:r>
        <w:rPr>
          <w:spacing w:val="3"/>
        </w:rPr>
        <w:t>行组织事故调查组进行调查</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第二十一条 特别重大事故以下等级</w:t>
      </w:r>
      <w:r>
        <w:rPr>
          <w:spacing w:val="3"/>
        </w:rPr>
        <w:t>事故</w:t>
      </w:r>
      <w:r>
        <w:rPr>
          <w:rFonts w:hint="eastAsia" w:ascii="MS UI Gothic" w:eastAsia="MS UI Gothic"/>
          <w:spacing w:val="20"/>
          <w:w w:val="80"/>
        </w:rPr>
        <w:t xml:space="preserve">ꎬ </w:t>
      </w:r>
      <w:r>
        <w:rPr>
          <w:spacing w:val="2"/>
        </w:rPr>
        <w:t>事故发生地与事故发生单位不在同</w:t>
      </w:r>
      <w:r>
        <w:rPr>
          <w:spacing w:val="3"/>
        </w:rPr>
        <w:t>一个县级以上行政区域的</w:t>
      </w:r>
      <w:r>
        <w:rPr>
          <w:rFonts w:hint="eastAsia" w:ascii="MS UI Gothic" w:eastAsia="MS UI Gothic"/>
          <w:spacing w:val="20"/>
          <w:w w:val="80"/>
        </w:rPr>
        <w:t xml:space="preserve">ꎬ </w:t>
      </w:r>
      <w:r>
        <w:rPr>
          <w:spacing w:val="2"/>
        </w:rPr>
        <w:t>由事故发生地</w:t>
      </w:r>
      <w:r>
        <w:rPr>
          <w:spacing w:val="3"/>
        </w:rPr>
        <w:t>人民政府负责调查</w:t>
      </w:r>
      <w:r>
        <w:rPr>
          <w:rFonts w:hint="eastAsia" w:ascii="MS UI Gothic" w:eastAsia="MS UI Gothic"/>
          <w:spacing w:val="20"/>
          <w:w w:val="80"/>
        </w:rPr>
        <w:t xml:space="preserve">ꎬ </w:t>
      </w:r>
      <w:r>
        <w:rPr>
          <w:spacing w:val="2"/>
        </w:rPr>
        <w:t>事故发生单位所在地</w:t>
      </w:r>
      <w:r>
        <w:rPr>
          <w:spacing w:val="3"/>
          <w:w w:val="105"/>
        </w:rPr>
        <w:t>人民政府应当派人参加</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第二十二条 事故调查组的组成应当</w:t>
      </w:r>
      <w:r>
        <w:rPr>
          <w:spacing w:val="3"/>
        </w:rPr>
        <w:t>遵循精简</w:t>
      </w:r>
      <w:r>
        <w:rPr>
          <w:rFonts w:hint="eastAsia" w:ascii="MS UI Gothic" w:eastAsia="MS UI Gothic"/>
          <w:spacing w:val="3"/>
          <w:w w:val="80"/>
        </w:rPr>
        <w:t xml:space="preserve">、 </w:t>
      </w:r>
      <w:r>
        <w:rPr>
          <w:spacing w:val="3"/>
        </w:rPr>
        <w:t>效能的原则</w:t>
      </w:r>
      <w:r>
        <w:rPr>
          <w:rFonts w:hint="eastAsia" w:ascii="MS UI Gothic" w:eastAsia="MS UI Gothic"/>
          <w:w w:val="80"/>
        </w:rPr>
        <w:t>ꎮ</w:t>
      </w:r>
    </w:p>
    <w:p>
      <w:pPr>
        <w:pStyle w:val="6"/>
        <w:spacing w:line="295" w:lineRule="auto"/>
        <w:ind w:right="440"/>
        <w:rPr>
          <w:rFonts w:hint="eastAsia" w:ascii="MS UI Gothic" w:eastAsia="MS UI Gothic"/>
        </w:rPr>
      </w:pPr>
      <w:r>
        <w:t>根据事故的具体情况</w:t>
      </w:r>
      <w:r>
        <w:rPr>
          <w:rFonts w:hint="eastAsia" w:ascii="MS UI Gothic" w:eastAsia="MS UI Gothic"/>
          <w:w w:val="80"/>
        </w:rPr>
        <w:t xml:space="preserve">ꎬ </w:t>
      </w:r>
      <w:r>
        <w:t>事故调查组由有关人民政府</w:t>
      </w:r>
      <w:r>
        <w:rPr>
          <w:rFonts w:hint="eastAsia" w:ascii="MS UI Gothic" w:eastAsia="MS UI Gothic"/>
          <w:w w:val="80"/>
        </w:rPr>
        <w:t xml:space="preserve">、 </w:t>
      </w:r>
      <w:r>
        <w:t>安全生产监督管理部门</w:t>
      </w:r>
      <w:r>
        <w:rPr>
          <w:rFonts w:hint="eastAsia" w:ascii="MS UI Gothic" w:eastAsia="MS UI Gothic"/>
          <w:w w:val="80"/>
        </w:rPr>
        <w:t>、</w:t>
      </w:r>
      <w:r>
        <w:t>负有安全生产监督管理职责的有关部门</w:t>
      </w:r>
      <w:r>
        <w:rPr>
          <w:rFonts w:hint="eastAsia" w:ascii="MS UI Gothic" w:eastAsia="MS UI Gothic"/>
          <w:w w:val="80"/>
        </w:rPr>
        <w:t>、</w:t>
      </w:r>
      <w:r>
        <w:t>监察机关</w:t>
      </w:r>
      <w:r>
        <w:rPr>
          <w:rFonts w:hint="eastAsia" w:ascii="MS UI Gothic" w:eastAsia="MS UI Gothic"/>
          <w:w w:val="80"/>
        </w:rPr>
        <w:t xml:space="preserve">、 </w:t>
      </w:r>
      <w:r>
        <w:t>公安机关以及工会派人组成</w:t>
      </w:r>
      <w:r>
        <w:rPr>
          <w:rFonts w:hint="eastAsia" w:ascii="MS UI Gothic" w:eastAsia="MS UI Gothic"/>
          <w:w w:val="80"/>
        </w:rPr>
        <w:t>ꎬ</w:t>
      </w:r>
      <w:r>
        <w:t>并应当邀请人民检察院派人参加</w:t>
      </w:r>
      <w:r>
        <w:rPr>
          <w:rFonts w:hint="eastAsia" w:ascii="MS UI Gothic" w:eastAsia="MS UI Gothic"/>
          <w:w w:val="80"/>
        </w:rPr>
        <w:t>ꎮ</w:t>
      </w:r>
    </w:p>
    <w:p>
      <w:pPr>
        <w:pStyle w:val="6"/>
        <w:spacing w:line="295" w:lineRule="auto"/>
        <w:ind w:right="442"/>
        <w:jc w:val="left"/>
        <w:rPr>
          <w:rFonts w:hint="eastAsia" w:ascii="MS UI Gothic" w:eastAsia="MS UI Gothic"/>
        </w:rPr>
      </w:pPr>
      <w:r>
        <w:t>事故调查组可以聘请有关专家参与调查</w:t>
      </w:r>
      <w:r>
        <w:rPr>
          <w:rFonts w:hint="eastAsia" w:ascii="MS UI Gothic" w:eastAsia="MS UI Gothic"/>
          <w:w w:val="80"/>
        </w:rPr>
        <w:t>ꎮ</w:t>
      </w:r>
    </w:p>
    <w:p>
      <w:pPr>
        <w:pStyle w:val="6"/>
        <w:tabs>
          <w:tab w:val="left" w:pos="1801"/>
        </w:tabs>
        <w:spacing w:line="255" w:lineRule="exact"/>
        <w:ind w:left="543" w:firstLine="0"/>
        <w:jc w:val="left"/>
      </w:pPr>
      <w:r>
        <w:rPr>
          <w:spacing w:val="3"/>
          <w:w w:val="105"/>
        </w:rPr>
        <w:t>第二十三</w:t>
      </w:r>
      <w:r>
        <w:rPr>
          <w:w w:val="105"/>
        </w:rPr>
        <w:t>条</w:t>
      </w:r>
      <w:r>
        <w:rPr>
          <w:w w:val="105"/>
        </w:rPr>
        <w:tab/>
      </w:r>
      <w:r>
        <w:rPr>
          <w:spacing w:val="3"/>
          <w:w w:val="105"/>
        </w:rPr>
        <w:t>事故调查组成员应当</w:t>
      </w:r>
      <w:r>
        <w:rPr>
          <w:w w:val="105"/>
        </w:rPr>
        <w:t>具</w:t>
      </w:r>
    </w:p>
    <w:p>
      <w:pPr>
        <w:spacing w:after="0" w:line="255"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７５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75" o:spid="_x0000_s1275" o:spt="203" style="height:2.15pt;width:398.25pt;" coordsize="7965,43">
            <o:lock v:ext="edit"/>
            <v:line id="_x0000_s1276" o:spid="_x0000_s1276" o:spt="20" style="position:absolute;left:0;top:39;height:0;width:7965;" stroked="t" coordsize="21600,21600">
              <v:path arrowok="t"/>
              <v:fill focussize="0,0"/>
              <v:stroke weight="0.388031496062992pt" color="#231F20"/>
              <v:imagedata o:title=""/>
              <o:lock v:ext="edit"/>
            </v:line>
            <v:line id="_x0000_s1277" o:spid="_x0000_s127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有事故调查所需要的知识和专长</w:t>
      </w:r>
      <w:r>
        <w:rPr>
          <w:rFonts w:hint="eastAsia" w:ascii="MS UI Gothic" w:eastAsia="MS UI Gothic"/>
          <w:w w:val="80"/>
        </w:rPr>
        <w:t xml:space="preserve">ꎬ </w:t>
      </w:r>
      <w:r>
        <w:t>并与所调查的事故没有直接利害关系</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第二十四条 事故调查组组长由负责</w:t>
      </w:r>
      <w:r>
        <w:t>事故调查的人民政府指定</w:t>
      </w:r>
      <w:r>
        <w:rPr>
          <w:rFonts w:hint="eastAsia" w:ascii="MS UI Gothic" w:eastAsia="MS UI Gothic"/>
          <w:w w:val="80"/>
        </w:rPr>
        <w:t xml:space="preserve">ꎮ </w:t>
      </w:r>
      <w:r>
        <w:t>事故调查组组</w:t>
      </w:r>
      <w:r>
        <w:rPr>
          <w:w w:val="105"/>
        </w:rPr>
        <w:t>长主持事故调查组的工作</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第二十五条 事故调查组履行下列</w:t>
      </w:r>
      <w:r>
        <w:rPr>
          <w:w w:val="115"/>
        </w:rPr>
        <w:t>职责</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查明事故发生的经过</w:t>
      </w:r>
      <w:r>
        <w:rPr>
          <w:rFonts w:hint="eastAsia" w:ascii="MS UI Gothic" w:eastAsia="MS UI Gothic"/>
          <w:w w:val="80"/>
        </w:rPr>
        <w:t xml:space="preserve">、 </w:t>
      </w:r>
      <w:r>
        <w:rPr>
          <w:w w:val="105"/>
        </w:rPr>
        <w:t>原因</w:t>
      </w:r>
      <w:r>
        <w:rPr>
          <w:rFonts w:hint="eastAsia" w:ascii="MS UI Gothic" w:eastAsia="MS UI Gothic"/>
          <w:w w:val="80"/>
        </w:rPr>
        <w:t>、</w:t>
      </w:r>
      <w:r>
        <w:rPr>
          <w:w w:val="105"/>
        </w:rPr>
        <w:t>人员伤亡情况及直接经济损失</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spacing w:val="-43"/>
          <w:w w:val="150"/>
        </w:rPr>
        <w:t xml:space="preserve">( </w:t>
      </w:r>
      <w:r>
        <w:rPr>
          <w:spacing w:val="3"/>
          <w:w w:val="110"/>
        </w:rPr>
        <w:t>二</w:t>
      </w:r>
      <w:r>
        <w:rPr>
          <w:rFonts w:hint="eastAsia" w:ascii="MS UI Gothic" w:eastAsia="MS UI Gothic"/>
          <w:spacing w:val="-25"/>
          <w:w w:val="150"/>
        </w:rPr>
        <w:t xml:space="preserve">) </w:t>
      </w:r>
      <w:r>
        <w:rPr>
          <w:spacing w:val="3"/>
          <w:w w:val="110"/>
        </w:rPr>
        <w:t>认定事故的性质和事故责任</w:t>
      </w:r>
      <w:r>
        <w:rPr>
          <w:rFonts w:hint="eastAsia" w:ascii="MS UI Gothic" w:eastAsia="MS UI Gothic"/>
          <w:w w:val="80"/>
        </w:rPr>
        <w:t>ꎻ</w:t>
      </w:r>
    </w:p>
    <w:p>
      <w:pPr>
        <w:pStyle w:val="6"/>
        <w:spacing w:before="53" w:line="295" w:lineRule="auto"/>
        <w:ind w:left="440" w:right="1"/>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0"/>
          <w:w w:val="110"/>
        </w:rPr>
        <w:t>提出对事故责任者的处理</w:t>
      </w:r>
      <w:r>
        <w:rPr>
          <w:spacing w:val="3"/>
          <w:w w:val="110"/>
        </w:rPr>
        <w:t>建议</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总结事故教训</w:t>
      </w:r>
      <w:r>
        <w:rPr>
          <w:rFonts w:hint="eastAsia" w:ascii="MS UI Gothic" w:eastAsia="MS UI Gothic"/>
          <w:w w:val="80"/>
        </w:rPr>
        <w:t xml:space="preserve">ꎬ </w:t>
      </w:r>
      <w:r>
        <w:rPr>
          <w:w w:val="105"/>
        </w:rPr>
        <w:t>提出防范和整改措施</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提交事故调查报告</w:t>
      </w:r>
      <w:r>
        <w:rPr>
          <w:rFonts w:hint="eastAsia" w:ascii="MS UI Gothic" w:eastAsia="MS UI Gothic"/>
          <w:w w:val="80"/>
        </w:rPr>
        <w:t>ꎮ</w:t>
      </w:r>
    </w:p>
    <w:p>
      <w:pPr>
        <w:pStyle w:val="6"/>
        <w:spacing w:before="56" w:line="295" w:lineRule="auto"/>
        <w:ind w:left="440" w:right="1"/>
        <w:rPr>
          <w:rFonts w:hint="eastAsia" w:ascii="MS UI Gothic" w:eastAsia="MS UI Gothic"/>
        </w:rPr>
      </w:pPr>
      <w:r>
        <w:t>第二十六条 事故调查组有权向有关单位和个人了解与事故有关的情况</w:t>
      </w:r>
      <w:r>
        <w:rPr>
          <w:rFonts w:hint="eastAsia" w:ascii="MS UI Gothic" w:eastAsia="MS UI Gothic"/>
          <w:w w:val="80"/>
        </w:rPr>
        <w:t xml:space="preserve">ꎬ </w:t>
      </w:r>
      <w:r>
        <w:t>并要求其提供相关文件</w:t>
      </w:r>
      <w:r>
        <w:rPr>
          <w:rFonts w:hint="eastAsia" w:ascii="MS UI Gothic" w:eastAsia="MS UI Gothic"/>
          <w:w w:val="80"/>
        </w:rPr>
        <w:t xml:space="preserve">、 </w:t>
      </w:r>
      <w:r>
        <w:t>资料</w:t>
      </w:r>
      <w:r>
        <w:rPr>
          <w:rFonts w:hint="eastAsia" w:ascii="MS UI Gothic" w:eastAsia="MS UI Gothic"/>
          <w:w w:val="80"/>
        </w:rPr>
        <w:t xml:space="preserve">ꎬ </w:t>
      </w:r>
      <w:r>
        <w:t>有关单位和个人不得拒绝</w:t>
      </w:r>
      <w:r>
        <w:rPr>
          <w:rFonts w:hint="eastAsia" w:ascii="MS UI Gothic" w:eastAsia="MS UI Gothic"/>
          <w:w w:val="80"/>
        </w:rPr>
        <w:t>ꎮ</w:t>
      </w:r>
    </w:p>
    <w:p>
      <w:pPr>
        <w:pStyle w:val="6"/>
        <w:spacing w:line="295" w:lineRule="auto"/>
        <w:ind w:left="440" w:right="1"/>
        <w:rPr>
          <w:rFonts w:hint="eastAsia" w:ascii="MS UI Gothic" w:eastAsia="MS UI Gothic"/>
        </w:rPr>
      </w:pPr>
      <w:r>
        <w:t>事故发生单位的负责人和有关人员在事故调查期间不得擅离职守</w:t>
      </w:r>
      <w:r>
        <w:rPr>
          <w:rFonts w:hint="eastAsia" w:ascii="MS UI Gothic" w:eastAsia="MS UI Gothic"/>
          <w:w w:val="80"/>
        </w:rPr>
        <w:t xml:space="preserve">ꎬ </w:t>
      </w:r>
      <w:r>
        <w:t>并应当随时接受事故调查组的询问</w:t>
      </w:r>
      <w:r>
        <w:rPr>
          <w:rFonts w:hint="eastAsia" w:ascii="MS UI Gothic" w:eastAsia="MS UI Gothic"/>
          <w:w w:val="80"/>
        </w:rPr>
        <w:t xml:space="preserve">ꎬ </w:t>
      </w:r>
      <w:r>
        <w:t>如实提供有关情况</w:t>
      </w:r>
      <w:r>
        <w:rPr>
          <w:rFonts w:hint="eastAsia" w:ascii="MS UI Gothic" w:eastAsia="MS UI Gothic"/>
          <w:w w:val="80"/>
        </w:rPr>
        <w:t>ꎮ</w:t>
      </w:r>
    </w:p>
    <w:p>
      <w:pPr>
        <w:pStyle w:val="6"/>
        <w:spacing w:line="295" w:lineRule="auto"/>
        <w:ind w:left="440" w:right="1"/>
        <w:rPr>
          <w:rFonts w:hint="eastAsia" w:ascii="MS UI Gothic" w:eastAsia="MS UI Gothic"/>
        </w:rPr>
      </w:pPr>
      <w:r>
        <w:t>事故调查中发现涉嫌犯罪的</w:t>
      </w:r>
      <w:r>
        <w:rPr>
          <w:rFonts w:hint="eastAsia" w:ascii="MS UI Gothic" w:eastAsia="MS UI Gothic"/>
          <w:w w:val="80"/>
        </w:rPr>
        <w:t xml:space="preserve">ꎬ </w:t>
      </w:r>
      <w:r>
        <w:t>事故调查组应当及时将有关材料或者其复印件移</w:t>
      </w:r>
      <w:r>
        <w:rPr>
          <w:w w:val="105"/>
        </w:rPr>
        <w:t>交司法机关处理</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第二十七条 事故调查中需要进行技</w:t>
      </w:r>
      <w:r>
        <w:rPr>
          <w:spacing w:val="3"/>
        </w:rPr>
        <w:t>术鉴定的</w:t>
      </w:r>
      <w:r>
        <w:rPr>
          <w:rFonts w:hint="eastAsia" w:ascii="MS UI Gothic" w:eastAsia="MS UI Gothic"/>
          <w:spacing w:val="21"/>
          <w:w w:val="80"/>
        </w:rPr>
        <w:t xml:space="preserve">ꎬ </w:t>
      </w:r>
      <w:r>
        <w:rPr>
          <w:spacing w:val="2"/>
        </w:rPr>
        <w:t>事故调查组应当委托具有国家</w:t>
      </w:r>
      <w:r>
        <w:rPr>
          <w:spacing w:val="5"/>
        </w:rPr>
        <w:t>规定资质的单位进行技术鉴定</w:t>
      </w:r>
      <w:r>
        <w:rPr>
          <w:rFonts w:hint="eastAsia" w:ascii="MS UI Gothic" w:eastAsia="MS UI Gothic"/>
          <w:spacing w:val="22"/>
          <w:w w:val="80"/>
        </w:rPr>
        <w:t xml:space="preserve">ꎮ </w:t>
      </w:r>
      <w:r>
        <w:rPr>
          <w:spacing w:val="9"/>
        </w:rPr>
        <w:t>必要时</w:t>
      </w:r>
      <w:r>
        <w:rPr>
          <w:rFonts w:hint="eastAsia" w:ascii="MS UI Gothic" w:eastAsia="MS UI Gothic"/>
          <w:w w:val="80"/>
        </w:rPr>
        <w:t>ꎬ</w:t>
      </w:r>
      <w:r>
        <w:rPr>
          <w:spacing w:val="2"/>
        </w:rPr>
        <w:t>事故调查组可以直接组织专家进行技术鉴</w:t>
      </w:r>
      <w:r>
        <w:rPr>
          <w:spacing w:val="3"/>
        </w:rPr>
        <w:t>定</w:t>
      </w:r>
      <w:r>
        <w:rPr>
          <w:rFonts w:hint="eastAsia" w:ascii="MS UI Gothic" w:eastAsia="MS UI Gothic"/>
          <w:spacing w:val="19"/>
          <w:w w:val="80"/>
        </w:rPr>
        <w:t xml:space="preserve">ꎮ </w:t>
      </w:r>
      <w:r>
        <w:rPr>
          <w:spacing w:val="14"/>
        </w:rPr>
        <w:t>技术鉴定所需时间不计入事故调查</w:t>
      </w:r>
      <w:r>
        <w:rPr>
          <w:spacing w:val="3"/>
        </w:rPr>
        <w:t>期限</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第二十八条 事故调查组成员在事故</w:t>
      </w:r>
      <w:r>
        <w:rPr>
          <w:spacing w:val="3"/>
        </w:rPr>
        <w:t>调查工作中应当诚信公正</w:t>
      </w:r>
      <w:r>
        <w:rPr>
          <w:rFonts w:hint="eastAsia" w:ascii="MS UI Gothic" w:eastAsia="MS UI Gothic"/>
          <w:spacing w:val="11"/>
          <w:w w:val="80"/>
        </w:rPr>
        <w:t xml:space="preserve">、 </w:t>
      </w:r>
      <w:r>
        <w:rPr>
          <w:spacing w:val="3"/>
        </w:rPr>
        <w:t>恪尽职守</w:t>
      </w:r>
      <w:r>
        <w:rPr>
          <w:rFonts w:hint="eastAsia" w:ascii="MS UI Gothic" w:eastAsia="MS UI Gothic"/>
          <w:spacing w:val="11"/>
          <w:w w:val="80"/>
        </w:rPr>
        <w:t xml:space="preserve">ꎬ </w:t>
      </w:r>
      <w:r>
        <w:t>遵</w:t>
      </w:r>
      <w:r>
        <w:rPr>
          <w:spacing w:val="12"/>
        </w:rPr>
        <w:t>守事故调查组的纪律</w:t>
      </w:r>
      <w:r>
        <w:rPr>
          <w:rFonts w:hint="eastAsia" w:ascii="MS UI Gothic" w:eastAsia="MS UI Gothic"/>
          <w:spacing w:val="24"/>
          <w:w w:val="80"/>
        </w:rPr>
        <w:t xml:space="preserve">ꎬ </w:t>
      </w:r>
      <w:r>
        <w:rPr>
          <w:spacing w:val="14"/>
        </w:rPr>
        <w:t>保守事故调查的</w:t>
      </w:r>
      <w:r>
        <w:rPr>
          <w:spacing w:val="3"/>
        </w:rPr>
        <w:t>秘密</w:t>
      </w:r>
      <w:r>
        <w:rPr>
          <w:rFonts w:hint="eastAsia" w:ascii="MS UI Gothic" w:eastAsia="MS UI Gothic"/>
          <w:w w:val="80"/>
        </w:rPr>
        <w:t>ꎮ</w:t>
      </w:r>
    </w:p>
    <w:p>
      <w:pPr>
        <w:pStyle w:val="6"/>
        <w:spacing w:line="295" w:lineRule="auto"/>
        <w:ind w:left="440" w:right="1"/>
        <w:rPr>
          <w:rFonts w:hint="eastAsia" w:ascii="MS UI Gothic" w:eastAsia="MS UI Gothic"/>
        </w:rPr>
      </w:pPr>
      <w:r>
        <w:t>未经事故调查组组长允许</w:t>
      </w:r>
      <w:r>
        <w:rPr>
          <w:rFonts w:hint="eastAsia" w:ascii="MS UI Gothic" w:eastAsia="MS UI Gothic"/>
          <w:w w:val="80"/>
        </w:rPr>
        <w:t xml:space="preserve">ꎬ </w:t>
      </w:r>
      <w:r>
        <w:t>事故调查组成员不得擅自发布有关事故的信息</w:t>
      </w:r>
      <w:r>
        <w:rPr>
          <w:rFonts w:hint="eastAsia" w:ascii="MS UI Gothic" w:eastAsia="MS UI Gothic"/>
          <w:w w:val="80"/>
        </w:rPr>
        <w:t>ꎮ</w:t>
      </w:r>
    </w:p>
    <w:p>
      <w:pPr>
        <w:pStyle w:val="6"/>
        <w:tabs>
          <w:tab w:val="left" w:pos="2117"/>
        </w:tabs>
        <w:spacing w:line="255" w:lineRule="exact"/>
        <w:ind w:left="860" w:firstLine="0"/>
        <w:jc w:val="left"/>
      </w:pPr>
      <w:r>
        <w:rPr>
          <w:spacing w:val="3"/>
          <w:w w:val="105"/>
        </w:rPr>
        <w:t>第二十九</w:t>
      </w:r>
      <w:r>
        <w:rPr>
          <w:w w:val="105"/>
        </w:rPr>
        <w:t>条</w:t>
      </w:r>
      <w:r>
        <w:rPr>
          <w:w w:val="105"/>
        </w:rPr>
        <w:tab/>
      </w:r>
      <w:r>
        <w:rPr>
          <w:spacing w:val="3"/>
        </w:rPr>
        <w:t>事故调查组应当自事</w:t>
      </w:r>
      <w:r>
        <w:t>故</w:t>
      </w:r>
    </w:p>
    <w:p>
      <w:pPr>
        <w:pStyle w:val="6"/>
        <w:spacing w:before="124" w:line="295" w:lineRule="auto"/>
        <w:ind w:left="381" w:right="124" w:firstLine="0"/>
        <w:rPr>
          <w:rFonts w:hint="eastAsia" w:ascii="MS UI Gothic" w:eastAsia="MS UI Gothic"/>
        </w:rPr>
      </w:pPr>
      <w:r>
        <w:br w:type="column"/>
      </w:r>
      <w:r>
        <w:t xml:space="preserve">发生之日起 </w:t>
      </w:r>
      <w:r>
        <w:rPr>
          <w:rFonts w:hint="eastAsia" w:ascii="MS UI Gothic" w:eastAsia="MS UI Gothic"/>
          <w:w w:val="85"/>
        </w:rPr>
        <w:t xml:space="preserve">６０ </w:t>
      </w:r>
      <w:r>
        <w:t>日内提交事故调查报告</w:t>
      </w:r>
      <w:r>
        <w:rPr>
          <w:rFonts w:hint="eastAsia" w:ascii="MS UI Gothic" w:eastAsia="MS UI Gothic"/>
          <w:w w:val="85"/>
        </w:rPr>
        <w:t>ꎻ</w:t>
      </w:r>
      <w:r>
        <w:t>特殊情况下</w:t>
      </w:r>
      <w:r>
        <w:rPr>
          <w:rFonts w:hint="eastAsia" w:ascii="MS UI Gothic" w:eastAsia="MS UI Gothic"/>
          <w:w w:val="85"/>
        </w:rPr>
        <w:t xml:space="preserve">ꎬ </w:t>
      </w:r>
      <w:r>
        <w:t>经负责事故调查的人民政府批准</w:t>
      </w:r>
      <w:r>
        <w:rPr>
          <w:rFonts w:hint="eastAsia" w:ascii="MS UI Gothic" w:eastAsia="MS UI Gothic"/>
          <w:w w:val="85"/>
        </w:rPr>
        <w:t xml:space="preserve">ꎬ </w:t>
      </w:r>
      <w:r>
        <w:t>提交事故调查报告的期限可以适当延长</w:t>
      </w:r>
      <w:r>
        <w:rPr>
          <w:rFonts w:hint="eastAsia" w:ascii="MS UI Gothic" w:eastAsia="MS UI Gothic"/>
          <w:w w:val="85"/>
        </w:rPr>
        <w:t xml:space="preserve">ꎬ </w:t>
      </w:r>
      <w:r>
        <w:t xml:space="preserve">但延长的期限最长不超过 </w:t>
      </w:r>
      <w:r>
        <w:rPr>
          <w:rFonts w:hint="eastAsia" w:ascii="MS UI Gothic" w:eastAsia="MS UI Gothic"/>
          <w:w w:val="85"/>
        </w:rPr>
        <w:t xml:space="preserve">６０ </w:t>
      </w:r>
      <w:r>
        <w:t>日</w:t>
      </w:r>
      <w:r>
        <w:rPr>
          <w:rFonts w:hint="eastAsia" w:ascii="MS UI Gothic" w:eastAsia="MS UI Gothic"/>
          <w:w w:val="85"/>
        </w:rPr>
        <w:t>ꎮ</w:t>
      </w:r>
    </w:p>
    <w:p>
      <w:pPr>
        <w:pStyle w:val="6"/>
        <w:spacing w:line="295" w:lineRule="auto"/>
        <w:ind w:left="381" w:right="126"/>
        <w:rPr>
          <w:rFonts w:hint="eastAsia" w:ascii="MS UI Gothic" w:eastAsia="MS UI Gothic"/>
        </w:rPr>
      </w:pPr>
      <w:r>
        <w:rPr>
          <w:w w:val="105"/>
        </w:rPr>
        <w:t>第三十条 事故调查报告应当包括下</w:t>
      </w:r>
      <w:r>
        <w:rPr>
          <w:w w:val="115"/>
        </w:rPr>
        <w:t>列内容</w:t>
      </w:r>
      <w:r>
        <w:rPr>
          <w:rFonts w:hint="eastAsia" w:ascii="MS UI Gothic" w:eastAsia="MS UI Gothic"/>
          <w:w w:val="235"/>
        </w:rPr>
        <w:t>:</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事故发生单位概况</w:t>
      </w:r>
      <w:r>
        <w:rPr>
          <w:rFonts w:hint="eastAsia" w:ascii="MS UI Gothic" w:eastAsia="MS UI Gothic"/>
          <w:w w:val="80"/>
        </w:rPr>
        <w:t>ꎻ</w:t>
      </w:r>
    </w:p>
    <w:p>
      <w:pPr>
        <w:pStyle w:val="6"/>
        <w:spacing w:before="55" w:line="295" w:lineRule="auto"/>
        <w:ind w:left="381" w:right="126"/>
        <w:jc w:val="left"/>
        <w:rPr>
          <w:rFonts w:hint="eastAsia" w:ascii="MS UI Gothic" w:eastAsia="MS UI Gothic"/>
        </w:rPr>
      </w:pPr>
      <w:r>
        <w:rPr>
          <w:rFonts w:hint="eastAsia" w:ascii="MS UI Gothic" w:eastAsia="MS UI Gothic"/>
          <w:spacing w:val="-37"/>
          <w:w w:val="135"/>
        </w:rPr>
        <w:t xml:space="preserve">( </w:t>
      </w:r>
      <w:r>
        <w:rPr>
          <w:spacing w:val="29"/>
          <w:w w:val="110"/>
        </w:rPr>
        <w:t>二</w:t>
      </w:r>
      <w:r>
        <w:rPr>
          <w:rFonts w:hint="eastAsia" w:ascii="MS UI Gothic" w:eastAsia="MS UI Gothic"/>
          <w:spacing w:val="-14"/>
          <w:w w:val="135"/>
        </w:rPr>
        <w:t xml:space="preserve">) </w:t>
      </w:r>
      <w:r>
        <w:rPr>
          <w:spacing w:val="40"/>
          <w:w w:val="110"/>
        </w:rPr>
        <w:t>事故发生经过和事故救援</w:t>
      </w:r>
      <w:r>
        <w:rPr>
          <w:spacing w:val="3"/>
          <w:w w:val="110"/>
        </w:rPr>
        <w:t>情况</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事故造成的人员伤亡和直接经</w:t>
      </w:r>
      <w:r>
        <w:rPr>
          <w:w w:val="110"/>
        </w:rPr>
        <w:t>济损失</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事故发生的原因和事故性质</w:t>
      </w:r>
      <w:r>
        <w:rPr>
          <w:rFonts w:hint="eastAsia" w:ascii="MS UI Gothic" w:eastAsia="MS UI Gothic"/>
          <w:w w:val="80"/>
        </w:rPr>
        <w:t>ꎻ</w:t>
      </w:r>
    </w:p>
    <w:p>
      <w:pPr>
        <w:pStyle w:val="6"/>
        <w:spacing w:before="57" w:line="295" w:lineRule="auto"/>
        <w:ind w:left="381" w:right="126"/>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事故责任的认定以及对事故责</w:t>
      </w:r>
      <w:r>
        <w:rPr>
          <w:w w:val="110"/>
        </w:rPr>
        <w:t>任者的处理建议</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事故防范和整改措施</w:t>
      </w:r>
      <w:r>
        <w:rPr>
          <w:rFonts w:hint="eastAsia" w:ascii="MS UI Gothic" w:eastAsia="MS UI Gothic"/>
          <w:w w:val="80"/>
        </w:rPr>
        <w:t>ꎮ</w:t>
      </w:r>
    </w:p>
    <w:p>
      <w:pPr>
        <w:pStyle w:val="6"/>
        <w:spacing w:before="58" w:line="295" w:lineRule="auto"/>
        <w:ind w:left="381" w:right="126"/>
        <w:rPr>
          <w:rFonts w:hint="eastAsia" w:ascii="MS UI Gothic" w:eastAsia="MS UI Gothic"/>
        </w:rPr>
      </w:pPr>
      <w:r>
        <w:t>事故调查报告应当附具有关证据材料</w:t>
      </w:r>
      <w:r>
        <w:rPr>
          <w:rFonts w:hint="eastAsia" w:ascii="MS UI Gothic" w:eastAsia="MS UI Gothic"/>
          <w:w w:val="80"/>
        </w:rPr>
        <w:t xml:space="preserve">ꎮ </w:t>
      </w:r>
      <w:r>
        <w:t>事故调查组成员应当在事故调查报告上签名</w:t>
      </w:r>
      <w:r>
        <w:rPr>
          <w:rFonts w:hint="eastAsia" w:ascii="MS UI Gothic" w:eastAsia="MS UI Gothic"/>
          <w:w w:val="80"/>
        </w:rPr>
        <w:t>ꎮ</w:t>
      </w:r>
    </w:p>
    <w:p>
      <w:pPr>
        <w:pStyle w:val="6"/>
        <w:spacing w:line="295" w:lineRule="auto"/>
        <w:ind w:left="381" w:right="126"/>
        <w:rPr>
          <w:rFonts w:hint="eastAsia" w:ascii="MS UI Gothic" w:eastAsia="MS UI Gothic"/>
        </w:rPr>
      </w:pPr>
      <w:r>
        <w:t>第三十一条 事故调查报告报送负责事故调查的人民政府后</w:t>
      </w:r>
      <w:r>
        <w:rPr>
          <w:rFonts w:hint="eastAsia" w:ascii="MS UI Gothic" w:eastAsia="MS UI Gothic"/>
          <w:w w:val="80"/>
        </w:rPr>
        <w:t xml:space="preserve">ꎬ </w:t>
      </w:r>
      <w:r>
        <w:t>事故调查工作即告结束</w:t>
      </w:r>
      <w:r>
        <w:rPr>
          <w:rFonts w:hint="eastAsia" w:ascii="MS UI Gothic" w:eastAsia="MS UI Gothic"/>
          <w:w w:val="80"/>
        </w:rPr>
        <w:t xml:space="preserve">ꎮ </w:t>
      </w:r>
      <w:r>
        <w:t>事故调查的有关资料应当归档保存</w:t>
      </w:r>
      <w:r>
        <w:rPr>
          <w:rFonts w:hint="eastAsia" w:ascii="MS UI Gothic" w:eastAsia="MS UI Gothic"/>
          <w:w w:val="80"/>
        </w:rPr>
        <w:t>ꎮ</w:t>
      </w:r>
    </w:p>
    <w:p>
      <w:pPr>
        <w:pStyle w:val="6"/>
        <w:tabs>
          <w:tab w:val="left" w:pos="2162"/>
        </w:tabs>
        <w:spacing w:before="151"/>
        <w:ind w:left="1324" w:firstLine="0"/>
        <w:jc w:val="left"/>
      </w:pPr>
      <w:r>
        <w:rPr>
          <w:spacing w:val="3"/>
          <w:w w:val="105"/>
        </w:rPr>
        <w:t>第四</w:t>
      </w:r>
      <w:r>
        <w:rPr>
          <w:w w:val="105"/>
        </w:rPr>
        <w:t>章</w:t>
      </w:r>
      <w:r>
        <w:rPr>
          <w:w w:val="105"/>
        </w:rPr>
        <w:tab/>
      </w:r>
      <w:r>
        <w:rPr>
          <w:w w:val="105"/>
        </w:rPr>
        <w:t>事</w:t>
      </w:r>
      <w:r>
        <w:rPr>
          <w:spacing w:val="-33"/>
          <w:w w:val="105"/>
        </w:rPr>
        <w:t xml:space="preserve"> </w:t>
      </w:r>
      <w:r>
        <w:rPr>
          <w:w w:val="105"/>
        </w:rPr>
        <w:t>故</w:t>
      </w:r>
      <w:r>
        <w:rPr>
          <w:spacing w:val="-33"/>
          <w:w w:val="105"/>
        </w:rPr>
        <w:t xml:space="preserve"> </w:t>
      </w:r>
      <w:r>
        <w:rPr>
          <w:w w:val="105"/>
        </w:rPr>
        <w:t>处</w:t>
      </w:r>
      <w:r>
        <w:rPr>
          <w:spacing w:val="-33"/>
          <w:w w:val="105"/>
        </w:rPr>
        <w:t xml:space="preserve"> </w:t>
      </w:r>
      <w:r>
        <w:rPr>
          <w:w w:val="105"/>
        </w:rPr>
        <w:t>理</w:t>
      </w:r>
    </w:p>
    <w:p>
      <w:pPr>
        <w:pStyle w:val="6"/>
        <w:spacing w:before="216" w:line="295" w:lineRule="auto"/>
        <w:ind w:left="381" w:right="124"/>
        <w:rPr>
          <w:rFonts w:hint="eastAsia" w:ascii="MS UI Gothic" w:eastAsia="MS UI Gothic"/>
        </w:rPr>
      </w:pPr>
      <w:r>
        <w:t>第三十二条 重大事故</w:t>
      </w:r>
      <w:r>
        <w:rPr>
          <w:rFonts w:hint="eastAsia" w:ascii="MS UI Gothic" w:eastAsia="MS UI Gothic"/>
          <w:w w:val="85"/>
        </w:rPr>
        <w:t xml:space="preserve">、 </w:t>
      </w:r>
      <w:r>
        <w:t>较大事故</w:t>
      </w:r>
      <w:r>
        <w:rPr>
          <w:rFonts w:hint="eastAsia" w:ascii="MS UI Gothic" w:eastAsia="MS UI Gothic"/>
          <w:w w:val="85"/>
        </w:rPr>
        <w:t>、</w:t>
      </w:r>
      <w:r>
        <w:t>一般事故</w:t>
      </w:r>
      <w:r>
        <w:rPr>
          <w:rFonts w:hint="eastAsia" w:ascii="MS UI Gothic" w:eastAsia="MS UI Gothic"/>
          <w:w w:val="85"/>
        </w:rPr>
        <w:t xml:space="preserve">ꎬ </w:t>
      </w:r>
      <w:r>
        <w:t xml:space="preserve">负责事故调查的人民政府应当自收到事故调查报告之日起 </w:t>
      </w:r>
      <w:r>
        <w:rPr>
          <w:rFonts w:hint="eastAsia" w:ascii="MS UI Gothic" w:eastAsia="MS UI Gothic"/>
          <w:w w:val="85"/>
        </w:rPr>
        <w:t xml:space="preserve">１５ </w:t>
      </w:r>
      <w:r>
        <w:t>日内做出批复</w:t>
      </w:r>
      <w:r>
        <w:rPr>
          <w:rFonts w:hint="eastAsia" w:ascii="MS UI Gothic" w:eastAsia="MS UI Gothic"/>
          <w:w w:val="85"/>
        </w:rPr>
        <w:t xml:space="preserve">ꎻ </w:t>
      </w:r>
      <w:r>
        <w:t>特别重大事故</w:t>
      </w:r>
      <w:r>
        <w:rPr>
          <w:rFonts w:hint="eastAsia" w:ascii="MS UI Gothic" w:eastAsia="MS UI Gothic"/>
          <w:w w:val="85"/>
        </w:rPr>
        <w:t xml:space="preserve">ꎬ ３０ </w:t>
      </w:r>
      <w:r>
        <w:t>日内做出批复</w:t>
      </w:r>
      <w:r>
        <w:rPr>
          <w:rFonts w:hint="eastAsia" w:ascii="MS UI Gothic" w:eastAsia="MS UI Gothic"/>
          <w:w w:val="85"/>
        </w:rPr>
        <w:t>ꎬ</w:t>
      </w:r>
      <w:r>
        <w:t>特殊情况下</w:t>
      </w:r>
      <w:r>
        <w:rPr>
          <w:rFonts w:hint="eastAsia" w:ascii="MS UI Gothic" w:eastAsia="MS UI Gothic"/>
          <w:w w:val="85"/>
        </w:rPr>
        <w:t xml:space="preserve">ꎬ </w:t>
      </w:r>
      <w:r>
        <w:t>批复时间可以适当延长</w:t>
      </w:r>
      <w:r>
        <w:rPr>
          <w:rFonts w:hint="eastAsia" w:ascii="MS UI Gothic" w:eastAsia="MS UI Gothic"/>
          <w:w w:val="85"/>
        </w:rPr>
        <w:t xml:space="preserve">ꎬ </w:t>
      </w:r>
      <w:r>
        <w:t xml:space="preserve">但延长的时间最长不超过 </w:t>
      </w:r>
      <w:r>
        <w:rPr>
          <w:rFonts w:hint="eastAsia" w:ascii="MS UI Gothic" w:eastAsia="MS UI Gothic"/>
          <w:w w:val="85"/>
        </w:rPr>
        <w:t xml:space="preserve">３０ </w:t>
      </w:r>
      <w:r>
        <w:t>日</w:t>
      </w:r>
      <w:r>
        <w:rPr>
          <w:rFonts w:hint="eastAsia" w:ascii="MS UI Gothic" w:eastAsia="MS UI Gothic"/>
          <w:w w:val="85"/>
        </w:rPr>
        <w:t>ꎮ</w:t>
      </w:r>
    </w:p>
    <w:p>
      <w:pPr>
        <w:pStyle w:val="6"/>
        <w:spacing w:line="295" w:lineRule="auto"/>
        <w:ind w:left="381" w:right="124"/>
        <w:rPr>
          <w:rFonts w:hint="eastAsia" w:ascii="MS UI Gothic" w:eastAsia="MS UI Gothic"/>
        </w:rPr>
      </w:pPr>
      <w:r>
        <w:t>有关机关应当按照人民政府的批复</w:t>
      </w:r>
      <w:r>
        <w:rPr>
          <w:rFonts w:hint="eastAsia" w:ascii="MS UI Gothic" w:eastAsia="MS UI Gothic"/>
          <w:w w:val="80"/>
        </w:rPr>
        <w:t>ꎬ</w:t>
      </w:r>
      <w:r>
        <w:t>依照法律</w:t>
      </w:r>
      <w:r>
        <w:rPr>
          <w:rFonts w:hint="eastAsia" w:ascii="MS UI Gothic" w:eastAsia="MS UI Gothic"/>
          <w:w w:val="80"/>
        </w:rPr>
        <w:t xml:space="preserve">、 </w:t>
      </w:r>
      <w:r>
        <w:t>行政法规规定的权限和程序</w:t>
      </w:r>
      <w:r>
        <w:rPr>
          <w:rFonts w:hint="eastAsia" w:ascii="MS UI Gothic" w:eastAsia="MS UI Gothic"/>
          <w:w w:val="80"/>
        </w:rPr>
        <w:t>ꎬ</w:t>
      </w:r>
      <w:r>
        <w:t>对事故发生单位和有关人员进行行政处罚</w:t>
      </w:r>
      <w:r>
        <w:rPr>
          <w:rFonts w:hint="eastAsia" w:ascii="MS UI Gothic" w:eastAsia="MS UI Gothic"/>
          <w:w w:val="80"/>
        </w:rPr>
        <w:t xml:space="preserve">ꎬ </w:t>
      </w:r>
      <w:r>
        <w:t>对负有事故责任的国家工作人员进行处分</w:t>
      </w:r>
      <w:r>
        <w:rPr>
          <w:rFonts w:hint="eastAsia" w:ascii="MS UI Gothic" w:eastAsia="MS UI Gothic"/>
          <w:w w:val="80"/>
        </w:rPr>
        <w:t>ꎮ</w:t>
      </w:r>
    </w:p>
    <w:p>
      <w:pPr>
        <w:pStyle w:val="6"/>
        <w:spacing w:line="295" w:lineRule="auto"/>
        <w:ind w:left="381" w:right="126"/>
        <w:rPr>
          <w:rFonts w:hint="eastAsia" w:ascii="MS UI Gothic" w:eastAsia="MS UI Gothic"/>
        </w:rPr>
      </w:pPr>
      <w:r>
        <w:t>事故发生单位应当按照负责事故调查的人民政府的批复</w:t>
      </w:r>
      <w:r>
        <w:rPr>
          <w:rFonts w:hint="eastAsia" w:ascii="MS UI Gothic" w:eastAsia="MS UI Gothic"/>
          <w:w w:val="80"/>
        </w:rPr>
        <w:t xml:space="preserve">ꎬ </w:t>
      </w:r>
      <w:r>
        <w:t>对本单位负有事故责</w:t>
      </w:r>
      <w:r>
        <w:rPr>
          <w:w w:val="105"/>
        </w:rPr>
        <w:t>任的人员进行处理</w:t>
      </w:r>
      <w:r>
        <w:rPr>
          <w:rFonts w:hint="eastAsia" w:ascii="MS UI Gothic" w:eastAsia="MS UI Gothic"/>
          <w:w w:val="80"/>
        </w:rPr>
        <w:t>ꎮ</w:t>
      </w:r>
    </w:p>
    <w:p>
      <w:pPr>
        <w:pStyle w:val="6"/>
        <w:spacing w:line="254" w:lineRule="exact"/>
        <w:ind w:left="800" w:firstLine="0"/>
        <w:jc w:val="left"/>
      </w:pPr>
      <w:r>
        <w:t>负有事故责任的人员涉嫌犯罪的</w:t>
      </w:r>
      <w:r>
        <w:rPr>
          <w:rFonts w:hint="eastAsia" w:ascii="MS UI Gothic" w:eastAsia="MS UI Gothic"/>
          <w:w w:val="80"/>
        </w:rPr>
        <w:t xml:space="preserve">ꎬ </w:t>
      </w:r>
      <w:r>
        <w:t>依</w:t>
      </w:r>
    </w:p>
    <w:p>
      <w:pPr>
        <w:spacing w:after="0" w:line="254" w:lineRule="exact"/>
        <w:jc w:val="left"/>
        <w:sectPr>
          <w:type w:val="continuous"/>
          <w:pgSz w:w="10500" w:h="14750"/>
          <w:pgMar w:top="1400" w:right="980" w:bottom="280" w:left="980" w:header="720" w:footer="720" w:gutter="0"/>
          <w:cols w:equalWidth="0" w:num="2">
            <w:col w:w="4212" w:space="40"/>
            <w:col w:w="4288"/>
          </w:cols>
        </w:sectPr>
      </w:pPr>
    </w:p>
    <w:p>
      <w:pPr>
        <w:tabs>
          <w:tab w:val="left" w:pos="2426"/>
        </w:tabs>
        <w:spacing w:before="162"/>
        <w:ind w:left="332" w:right="0" w:firstLine="0"/>
        <w:jc w:val="left"/>
        <w:rPr>
          <w:rFonts w:hint="eastAsia" w:ascii="Microsoft Yi Baiti" w:eastAsia="Microsoft Yi Baiti"/>
          <w:sz w:val="17"/>
        </w:rPr>
      </w:pPr>
      <w:r>
        <w:pict>
          <v:group id="_x0000_s1278" o:spid="_x0000_s1278" o:spt="203" style="position:absolute;left:0pt;margin-left:55.1pt;margin-top:23.85pt;height:2.15pt;width:398.25pt;mso-position-horizontal-relative:page;mso-wrap-distance-bottom:0pt;mso-wrap-distance-top:0pt;z-index:-251560960;mso-width-relative:page;mso-height-relative:page;" coordorigin="1103,477" coordsize="7965,43">
            <o:lock v:ext="edit"/>
            <v:line id="_x0000_s1279" o:spid="_x0000_s1279" o:spt="20" style="position:absolute;left:1103;top:516;height:0;width:7964;" stroked="t" coordsize="21600,21600">
              <v:path arrowok="t"/>
              <v:fill focussize="0,0"/>
              <v:stroke weight="0.388031496062992pt" color="#231F20"/>
              <v:imagedata o:title=""/>
              <o:lock v:ext="edit"/>
            </v:line>
            <v:line id="_x0000_s1280" o:spid="_x0000_s1280"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７６</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316"/>
        </w:tabs>
        <w:spacing w:before="163" w:line="240" w:lineRule="exact"/>
        <w:ind w:firstLine="0"/>
        <w:jc w:val="left"/>
        <w:rPr>
          <w:rFonts w:hint="eastAsia" w:ascii="MS UI Gothic" w:eastAsia="MS UI Gothic"/>
        </w:rPr>
      </w:pPr>
      <w:r>
        <w:rPr>
          <w:spacing w:val="3"/>
        </w:rPr>
        <w:t>法追究刑事责任</w:t>
      </w:r>
      <w:r>
        <w:rPr>
          <w:rFonts w:hint="eastAsia" w:ascii="MS UI Gothic" w:eastAsia="MS UI Gothic"/>
          <w:w w:val="80"/>
        </w:rPr>
        <w:t>ꎮ</w:t>
      </w:r>
      <w:r>
        <w:rPr>
          <w:rFonts w:hint="eastAsia" w:ascii="MS UI Gothic" w:eastAsia="MS UI Gothic"/>
          <w:w w:val="80"/>
        </w:rPr>
        <w:tab/>
      </w:r>
      <w:r>
        <w:rPr>
          <w:spacing w:val="3"/>
        </w:rPr>
        <w:t>关情况和资料的</w:t>
      </w:r>
      <w:r>
        <w:rPr>
          <w:rFonts w:hint="eastAsia" w:ascii="MS UI Gothic" w:eastAsia="MS UI Gothic"/>
          <w:w w:val="80"/>
        </w:rPr>
        <w:t>ꎻ</w:t>
      </w:r>
    </w:p>
    <w:p>
      <w:pPr>
        <w:spacing w:after="0" w:line="240" w:lineRule="exact"/>
        <w:jc w:val="left"/>
        <w:rPr>
          <w:rFonts w:hint="eastAsia" w:ascii="MS UI Gothic" w:eastAsia="MS UI Gothic"/>
        </w:rPr>
        <w:sectPr>
          <w:pgSz w:w="10500" w:h="14750"/>
          <w:pgMar w:top="960" w:right="980" w:bottom="280" w:left="980" w:header="720" w:footer="720" w:gutter="0"/>
        </w:sectPr>
      </w:pPr>
    </w:p>
    <w:p>
      <w:pPr>
        <w:pStyle w:val="6"/>
        <w:spacing w:before="74" w:line="295" w:lineRule="auto"/>
        <w:ind w:right="39"/>
        <w:rPr>
          <w:rFonts w:hint="eastAsia" w:ascii="MS UI Gothic" w:eastAsia="MS UI Gothic"/>
        </w:rPr>
      </w:pPr>
      <w:r>
        <w:t>第三十三条 事故发生单位应当认真吸取事故教训</w:t>
      </w:r>
      <w:r>
        <w:rPr>
          <w:rFonts w:hint="eastAsia" w:ascii="MS UI Gothic" w:eastAsia="MS UI Gothic"/>
          <w:w w:val="80"/>
        </w:rPr>
        <w:t xml:space="preserve">ꎬ </w:t>
      </w:r>
      <w:r>
        <w:t>落实防范和整改措施</w:t>
      </w:r>
      <w:r>
        <w:rPr>
          <w:rFonts w:hint="eastAsia" w:ascii="MS UI Gothic" w:eastAsia="MS UI Gothic"/>
          <w:w w:val="80"/>
        </w:rPr>
        <w:t xml:space="preserve">ꎬ </w:t>
      </w:r>
      <w:r>
        <w:t>防止事故再次发生</w:t>
      </w:r>
      <w:r>
        <w:rPr>
          <w:rFonts w:hint="eastAsia" w:ascii="MS UI Gothic" w:eastAsia="MS UI Gothic"/>
          <w:w w:val="80"/>
        </w:rPr>
        <w:t xml:space="preserve">ꎮ </w:t>
      </w:r>
      <w:r>
        <w:t>防范和整改措施的落实情况应当接受工会和职工的监督</w:t>
      </w:r>
      <w:r>
        <w:rPr>
          <w:rFonts w:hint="eastAsia" w:ascii="MS UI Gothic" w:eastAsia="MS UI Gothic"/>
          <w:w w:val="80"/>
        </w:rPr>
        <w:t>ꎮ</w:t>
      </w:r>
    </w:p>
    <w:p>
      <w:pPr>
        <w:pStyle w:val="6"/>
        <w:spacing w:line="295" w:lineRule="auto"/>
        <w:ind w:right="39"/>
        <w:rPr>
          <w:rFonts w:hint="eastAsia" w:ascii="MS UI Gothic" w:eastAsia="MS UI Gothic"/>
        </w:rPr>
      </w:pPr>
      <w:r>
        <w:t>安全生产监督管理部门和负有安全生产监督管理职责的有关部门应当对事故发生单位落实防范和整改措施的情况进行监</w:t>
      </w:r>
      <w:r>
        <w:rPr>
          <w:w w:val="105"/>
        </w:rPr>
        <w:t>督检查</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第三十四条 事故处理的情况由负责</w:t>
      </w:r>
      <w:r>
        <w:t>事故调查的人民政府或者其授权的有关部</w:t>
      </w:r>
      <w:r>
        <w:rPr>
          <w:w w:val="105"/>
        </w:rPr>
        <w:t>门</w:t>
      </w:r>
      <w:r>
        <w:rPr>
          <w:rFonts w:hint="eastAsia" w:ascii="MS UI Gothic" w:eastAsia="MS UI Gothic"/>
          <w:w w:val="80"/>
        </w:rPr>
        <w:t xml:space="preserve">、 </w:t>
      </w:r>
      <w:r>
        <w:rPr>
          <w:w w:val="105"/>
        </w:rPr>
        <w:t>机构向社会公布</w:t>
      </w:r>
      <w:r>
        <w:rPr>
          <w:rFonts w:hint="eastAsia" w:ascii="MS UI Gothic" w:eastAsia="MS UI Gothic"/>
          <w:w w:val="80"/>
        </w:rPr>
        <w:t xml:space="preserve">ꎬ </w:t>
      </w:r>
      <w:r>
        <w:rPr>
          <w:w w:val="105"/>
        </w:rPr>
        <w:t>依法应当保密的除外</w:t>
      </w:r>
      <w:r>
        <w:rPr>
          <w:rFonts w:hint="eastAsia" w:ascii="MS UI Gothic" w:eastAsia="MS UI Gothic"/>
          <w:w w:val="80"/>
        </w:rPr>
        <w:t>ꎮ</w:t>
      </w:r>
    </w:p>
    <w:p>
      <w:pPr>
        <w:pStyle w:val="6"/>
        <w:tabs>
          <w:tab w:val="left" w:pos="1906"/>
        </w:tabs>
        <w:spacing w:before="148"/>
        <w:ind w:left="1067" w:firstLine="0"/>
        <w:jc w:val="left"/>
      </w:pPr>
      <w:r>
        <w:rPr>
          <w:spacing w:val="3"/>
          <w:w w:val="105"/>
        </w:rPr>
        <w:t>第五</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left="118" w:right="39" w:firstLine="425"/>
        <w:rPr>
          <w:rFonts w:hint="eastAsia" w:ascii="MS UI Gothic" w:eastAsia="MS UI Gothic"/>
        </w:rPr>
      </w:pPr>
      <w:r>
        <w:t>第三十五条 事故发生单位主要负责人有下列行为之一的</w:t>
      </w:r>
      <w:r>
        <w:rPr>
          <w:rFonts w:hint="eastAsia" w:ascii="MS UI Gothic" w:eastAsia="MS UI Gothic"/>
          <w:w w:val="80"/>
        </w:rPr>
        <w:t xml:space="preserve">ꎬ </w:t>
      </w:r>
      <w:r>
        <w:t>处上一年年收入</w:t>
      </w:r>
      <w:r>
        <w:rPr>
          <w:rFonts w:hint="eastAsia" w:ascii="MS UI Gothic" w:eastAsia="MS UI Gothic"/>
          <w:w w:val="80"/>
        </w:rPr>
        <w:t>４０</w:t>
      </w:r>
      <w:r>
        <w:rPr>
          <w:w w:val="80"/>
        </w:rPr>
        <w:t xml:space="preserve">％ </w:t>
      </w:r>
      <w:r>
        <w:t xml:space="preserve">至 </w:t>
      </w:r>
      <w:r>
        <w:rPr>
          <w:rFonts w:hint="eastAsia" w:ascii="MS UI Gothic" w:eastAsia="MS UI Gothic"/>
          <w:w w:val="80"/>
        </w:rPr>
        <w:t>８０</w:t>
      </w:r>
      <w:r>
        <w:rPr>
          <w:w w:val="80"/>
        </w:rPr>
        <w:t xml:space="preserve">％ </w:t>
      </w:r>
      <w:r>
        <w:t>的罚款</w:t>
      </w:r>
      <w:r>
        <w:rPr>
          <w:rFonts w:hint="eastAsia" w:ascii="MS UI Gothic" w:eastAsia="MS UI Gothic"/>
          <w:w w:val="80"/>
        </w:rPr>
        <w:t xml:space="preserve">ꎻ </w:t>
      </w:r>
      <w:r>
        <w:t>属于国家工作人员的</w:t>
      </w:r>
      <w:r>
        <w:rPr>
          <w:rFonts w:hint="eastAsia" w:ascii="MS UI Gothic" w:eastAsia="MS UI Gothic"/>
          <w:w w:val="80"/>
        </w:rPr>
        <w:t xml:space="preserve">ꎬ </w:t>
      </w:r>
      <w:r>
        <w:t>并依法给予处分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225"/>
        </w:rPr>
        <w:t>:</w:t>
      </w:r>
    </w:p>
    <w:p>
      <w:pPr>
        <w:pStyle w:val="6"/>
        <w:spacing w:line="295" w:lineRule="auto"/>
        <w:ind w:left="543" w:right="627" w:firstLine="0"/>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不立即组织事故抢救的</w:t>
      </w:r>
      <w:r>
        <w:rPr>
          <w:rFonts w:hint="eastAsia" w:ascii="MS UI Gothic" w:eastAsia="MS UI Gothic"/>
          <w:w w:val="80"/>
        </w:rPr>
        <w:t>ꎻ</w:t>
      </w: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迟报或者漏报事故的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15"/>
        </w:rPr>
        <w:t xml:space="preserve">( </w:t>
      </w:r>
      <w:r>
        <w:rPr>
          <w:w w:val="110"/>
        </w:rPr>
        <w:t>三</w:t>
      </w:r>
      <w:r>
        <w:rPr>
          <w:rFonts w:hint="eastAsia" w:ascii="MS UI Gothic" w:eastAsia="MS UI Gothic"/>
          <w:w w:val="115"/>
        </w:rPr>
        <w:t xml:space="preserve">) </w:t>
      </w:r>
      <w:r>
        <w:rPr>
          <w:w w:val="110"/>
        </w:rPr>
        <w:t>在事故调查处理期间擅离职守的</w:t>
      </w:r>
      <w:r>
        <w:rPr>
          <w:rFonts w:hint="eastAsia" w:ascii="MS UI Gothic" w:eastAsia="MS UI Gothic"/>
          <w:w w:val="80"/>
        </w:rPr>
        <w:t>ꎮ</w:t>
      </w:r>
    </w:p>
    <w:p>
      <w:pPr>
        <w:pStyle w:val="6"/>
        <w:spacing w:line="295" w:lineRule="auto"/>
        <w:ind w:left="118" w:right="38" w:firstLine="425"/>
        <w:rPr>
          <w:rFonts w:hint="eastAsia" w:ascii="MS UI Gothic" w:eastAsia="MS UI Gothic"/>
        </w:rPr>
      </w:pPr>
      <w:r>
        <w:rPr>
          <w:spacing w:val="4"/>
        </w:rPr>
        <w:t>第三十六条 事故发生单位及其有关</w:t>
      </w:r>
      <w:r>
        <w:rPr>
          <w:spacing w:val="3"/>
        </w:rPr>
        <w:t>人员有下列行为之一的</w:t>
      </w:r>
      <w:r>
        <w:rPr>
          <w:rFonts w:hint="eastAsia" w:ascii="MS UI Gothic" w:eastAsia="MS UI Gothic"/>
          <w:spacing w:val="13"/>
          <w:w w:val="85"/>
        </w:rPr>
        <w:t xml:space="preserve">ꎬ </w:t>
      </w:r>
      <w:r>
        <w:rPr>
          <w:spacing w:val="2"/>
        </w:rPr>
        <w:t>对事故发生单位</w:t>
      </w:r>
      <w:r>
        <w:rPr>
          <w:spacing w:val="-30"/>
        </w:rPr>
        <w:t xml:space="preserve">处 </w:t>
      </w:r>
      <w:r>
        <w:rPr>
          <w:rFonts w:hint="eastAsia" w:ascii="MS UI Gothic" w:eastAsia="MS UI Gothic"/>
          <w:spacing w:val="-2"/>
          <w:w w:val="85"/>
        </w:rPr>
        <w:t xml:space="preserve">１００ </w:t>
      </w:r>
      <w:r>
        <w:rPr>
          <w:spacing w:val="-11"/>
        </w:rPr>
        <w:t xml:space="preserve">万元以上 </w:t>
      </w:r>
      <w:r>
        <w:rPr>
          <w:rFonts w:hint="eastAsia" w:ascii="MS UI Gothic" w:eastAsia="MS UI Gothic"/>
          <w:spacing w:val="-2"/>
          <w:w w:val="85"/>
        </w:rPr>
        <w:t xml:space="preserve">５００ </w:t>
      </w:r>
      <w:r>
        <w:rPr>
          <w:spacing w:val="3"/>
        </w:rPr>
        <w:t>万元以下的罚款</w:t>
      </w:r>
      <w:r>
        <w:rPr>
          <w:rFonts w:hint="eastAsia" w:ascii="MS UI Gothic" w:eastAsia="MS UI Gothic"/>
          <w:spacing w:val="17"/>
          <w:w w:val="85"/>
        </w:rPr>
        <w:t xml:space="preserve">ꎻ </w:t>
      </w:r>
      <w:r>
        <w:t>对</w:t>
      </w:r>
      <w:r>
        <w:rPr>
          <w:spacing w:val="3"/>
        </w:rPr>
        <w:t>主要负责人</w:t>
      </w:r>
      <w:r>
        <w:rPr>
          <w:rFonts w:hint="eastAsia" w:ascii="MS UI Gothic" w:eastAsia="MS UI Gothic"/>
          <w:spacing w:val="10"/>
          <w:w w:val="85"/>
        </w:rPr>
        <w:t xml:space="preserve">、 </w:t>
      </w:r>
      <w:r>
        <w:rPr>
          <w:spacing w:val="2"/>
        </w:rPr>
        <w:t>直接负责的主管人员和其他</w:t>
      </w:r>
      <w:r>
        <w:rPr>
          <w:spacing w:val="22"/>
        </w:rPr>
        <w:t xml:space="preserve">直接责任人员处上一年年收入 </w:t>
      </w:r>
      <w:r>
        <w:rPr>
          <w:rFonts w:hint="eastAsia" w:ascii="MS UI Gothic" w:eastAsia="MS UI Gothic"/>
          <w:w w:val="85"/>
        </w:rPr>
        <w:t>６０</w:t>
      </w:r>
      <w:r>
        <w:rPr>
          <w:spacing w:val="2"/>
          <w:w w:val="85"/>
        </w:rPr>
        <w:t xml:space="preserve">％ </w:t>
      </w:r>
      <w:r>
        <w:t>至</w:t>
      </w:r>
      <w:r>
        <w:rPr>
          <w:rFonts w:hint="eastAsia" w:ascii="MS UI Gothic" w:eastAsia="MS UI Gothic"/>
          <w:w w:val="85"/>
        </w:rPr>
        <w:t>１００</w:t>
      </w:r>
      <w:r>
        <w:rPr>
          <w:spacing w:val="-33"/>
          <w:w w:val="85"/>
        </w:rPr>
        <w:t xml:space="preserve">％ </w:t>
      </w:r>
      <w:r>
        <w:rPr>
          <w:spacing w:val="9"/>
        </w:rPr>
        <w:t>的罚款</w:t>
      </w:r>
      <w:r>
        <w:rPr>
          <w:rFonts w:hint="eastAsia" w:ascii="MS UI Gothic" w:eastAsia="MS UI Gothic"/>
          <w:spacing w:val="7"/>
          <w:w w:val="85"/>
        </w:rPr>
        <w:t xml:space="preserve">ꎻ </w:t>
      </w:r>
      <w:r>
        <w:rPr>
          <w:spacing w:val="13"/>
        </w:rPr>
        <w:t>属于国家工作人员的</w:t>
      </w:r>
      <w:r>
        <w:rPr>
          <w:rFonts w:hint="eastAsia" w:ascii="MS UI Gothic" w:eastAsia="MS UI Gothic"/>
          <w:spacing w:val="8"/>
          <w:w w:val="85"/>
        </w:rPr>
        <w:t xml:space="preserve">ꎬ </w:t>
      </w:r>
      <w:r>
        <w:t>并</w:t>
      </w:r>
      <w:r>
        <w:rPr>
          <w:spacing w:val="11"/>
        </w:rPr>
        <w:t>依法给予处分</w:t>
      </w:r>
      <w:r>
        <w:rPr>
          <w:rFonts w:hint="eastAsia" w:ascii="MS UI Gothic" w:eastAsia="MS UI Gothic"/>
          <w:spacing w:val="16"/>
          <w:w w:val="85"/>
        </w:rPr>
        <w:t xml:space="preserve">ꎻ </w:t>
      </w:r>
      <w:r>
        <w:rPr>
          <w:spacing w:val="17"/>
        </w:rPr>
        <w:t>构成违反治安管理行为</w:t>
      </w:r>
      <w:r>
        <w:rPr>
          <w:spacing w:val="3"/>
        </w:rPr>
        <w:t>的</w:t>
      </w:r>
      <w:r>
        <w:rPr>
          <w:rFonts w:hint="eastAsia" w:ascii="MS UI Gothic" w:eastAsia="MS UI Gothic"/>
          <w:spacing w:val="9"/>
          <w:w w:val="85"/>
        </w:rPr>
        <w:t xml:space="preserve">ꎬ </w:t>
      </w:r>
      <w:r>
        <w:rPr>
          <w:spacing w:val="6"/>
        </w:rPr>
        <w:t>由公安机关依法给予治安管理处罚</w:t>
      </w:r>
      <w:r>
        <w:rPr>
          <w:rFonts w:hint="eastAsia" w:ascii="MS UI Gothic" w:eastAsia="MS UI Gothic"/>
          <w:w w:val="85"/>
        </w:rPr>
        <w:t>ꎻ</w:t>
      </w:r>
      <w:r>
        <w:rPr>
          <w:spacing w:val="3"/>
        </w:rPr>
        <w:t>构成犯罪的</w:t>
      </w:r>
      <w:r>
        <w:rPr>
          <w:rFonts w:hint="eastAsia" w:ascii="MS UI Gothic" w:eastAsia="MS UI Gothic"/>
          <w:spacing w:val="2"/>
          <w:w w:val="85"/>
        </w:rPr>
        <w:t xml:space="preserve">ꎬ </w:t>
      </w:r>
      <w:r>
        <w:rPr>
          <w:spacing w:val="3"/>
        </w:rPr>
        <w:t>依法追究刑事责任</w:t>
      </w:r>
      <w:r>
        <w:rPr>
          <w:rFonts w:hint="eastAsia" w:ascii="MS UI Gothic" w:eastAsia="MS UI Gothic"/>
          <w:w w:val="225"/>
        </w:rPr>
        <w:t>:</w:t>
      </w:r>
    </w:p>
    <w:p>
      <w:pPr>
        <w:pStyle w:val="6"/>
        <w:spacing w:line="249"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谎报或者瞒报事故的</w:t>
      </w:r>
      <w:r>
        <w:rPr>
          <w:rFonts w:hint="eastAsia" w:ascii="MS UI Gothic" w:eastAsia="MS UI Gothic"/>
          <w:w w:val="80"/>
        </w:rPr>
        <w:t>ꎻ</w:t>
      </w:r>
    </w:p>
    <w:p>
      <w:pPr>
        <w:pStyle w:val="6"/>
        <w:spacing w:before="51" w:line="295" w:lineRule="auto"/>
        <w:ind w:right="39"/>
        <w:jc w:val="left"/>
        <w:rPr>
          <w:rFonts w:hint="eastAsia" w:ascii="MS UI Gothic" w:eastAsia="MS UI Gothic"/>
        </w:rPr>
      </w:pPr>
      <w:r>
        <w:rPr>
          <w:rFonts w:hint="eastAsia" w:ascii="MS UI Gothic" w:eastAsia="MS UI Gothic"/>
          <w:spacing w:val="-34"/>
          <w:w w:val="125"/>
        </w:rPr>
        <w:t xml:space="preserve">( </w:t>
      </w:r>
      <w:r>
        <w:rPr>
          <w:spacing w:val="29"/>
          <w:w w:val="110"/>
        </w:rPr>
        <w:t>二</w:t>
      </w:r>
      <w:r>
        <w:rPr>
          <w:rFonts w:hint="eastAsia" w:ascii="MS UI Gothic" w:eastAsia="MS UI Gothic"/>
          <w:spacing w:val="-11"/>
          <w:w w:val="125"/>
        </w:rPr>
        <w:t xml:space="preserve">) </w:t>
      </w:r>
      <w:r>
        <w:rPr>
          <w:spacing w:val="41"/>
          <w:w w:val="110"/>
        </w:rPr>
        <w:t>伪造或者故意破坏事故现</w:t>
      </w:r>
      <w:r>
        <w:rPr>
          <w:spacing w:val="3"/>
          <w:w w:val="110"/>
        </w:rPr>
        <w:t>场的</w:t>
      </w:r>
      <w:r>
        <w:rPr>
          <w:rFonts w:hint="eastAsia" w:ascii="MS UI Gothic" w:eastAsia="MS UI Gothic"/>
          <w:w w:val="80"/>
        </w:rPr>
        <w:t>ꎻ</w:t>
      </w:r>
    </w:p>
    <w:p>
      <w:pPr>
        <w:pStyle w:val="6"/>
        <w:spacing w:line="295" w:lineRule="auto"/>
        <w:ind w:right="39"/>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转移</w:t>
      </w:r>
      <w:r>
        <w:rPr>
          <w:rFonts w:hint="eastAsia" w:ascii="MS UI Gothic" w:eastAsia="MS UI Gothic"/>
          <w:w w:val="80"/>
        </w:rPr>
        <w:t xml:space="preserve">、 </w:t>
      </w:r>
      <w:r>
        <w:rPr>
          <w:w w:val="105"/>
        </w:rPr>
        <w:t>隐匿资金</w:t>
      </w:r>
      <w:r>
        <w:rPr>
          <w:rFonts w:hint="eastAsia" w:ascii="MS UI Gothic" w:eastAsia="MS UI Gothic"/>
          <w:w w:val="80"/>
        </w:rPr>
        <w:t xml:space="preserve">、 </w:t>
      </w:r>
      <w:r>
        <w:rPr>
          <w:w w:val="105"/>
        </w:rPr>
        <w:t>财产</w:t>
      </w:r>
      <w:r>
        <w:rPr>
          <w:rFonts w:hint="eastAsia" w:ascii="MS UI Gothic" w:eastAsia="MS UI Gothic"/>
          <w:w w:val="80"/>
        </w:rPr>
        <w:t xml:space="preserve">ꎬ </w:t>
      </w:r>
      <w:r>
        <w:rPr>
          <w:w w:val="105"/>
        </w:rPr>
        <w:t>或者销毁有关证据</w:t>
      </w:r>
      <w:r>
        <w:rPr>
          <w:rFonts w:hint="eastAsia" w:ascii="MS UI Gothic" w:eastAsia="MS UI Gothic"/>
          <w:w w:val="80"/>
        </w:rPr>
        <w:t xml:space="preserve">、 </w:t>
      </w:r>
      <w:r>
        <w:rPr>
          <w:w w:val="105"/>
        </w:rPr>
        <w:t>资料的</w:t>
      </w:r>
      <w:r>
        <w:rPr>
          <w:rFonts w:hint="eastAsia" w:ascii="MS UI Gothic" w:eastAsia="MS UI Gothic"/>
          <w:w w:val="80"/>
        </w:rPr>
        <w:t>ꎻ</w:t>
      </w:r>
    </w:p>
    <w:p>
      <w:pPr>
        <w:pStyle w:val="6"/>
        <w:spacing w:line="255" w:lineRule="exact"/>
        <w:ind w:left="543" w:firstLine="0"/>
        <w:jc w:val="left"/>
      </w:pPr>
      <w:r>
        <w:rPr>
          <w:rFonts w:hint="eastAsia" w:ascii="MS UI Gothic" w:eastAsia="MS UI Gothic"/>
          <w:w w:val="110"/>
        </w:rPr>
        <w:t xml:space="preserve">( </w:t>
      </w:r>
      <w:r>
        <w:rPr>
          <w:w w:val="110"/>
        </w:rPr>
        <w:t>四</w:t>
      </w:r>
      <w:r>
        <w:rPr>
          <w:rFonts w:hint="eastAsia" w:ascii="MS UI Gothic" w:eastAsia="MS UI Gothic"/>
          <w:w w:val="110"/>
        </w:rPr>
        <w:t xml:space="preserve">) </w:t>
      </w:r>
      <w:r>
        <w:rPr>
          <w:w w:val="110"/>
        </w:rPr>
        <w:t>拒绝接受调查或者拒绝提供有</w:t>
      </w:r>
    </w:p>
    <w:p>
      <w:pPr>
        <w:pStyle w:val="6"/>
        <w:spacing w:before="74" w:line="295" w:lineRule="auto"/>
        <w:ind w:left="118" w:right="442"/>
        <w:jc w:val="left"/>
        <w:rPr>
          <w:rFonts w:hint="eastAsia" w:ascii="MS UI Gothic" w:eastAsia="MS UI Gothic"/>
        </w:rPr>
      </w:pPr>
      <w:r>
        <w:br w:type="column"/>
      </w: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在事故调查中作伪证或者指使</w:t>
      </w:r>
      <w:r>
        <w:rPr>
          <w:w w:val="110"/>
        </w:rPr>
        <w:t>他人作伪证的</w:t>
      </w:r>
      <w:r>
        <w:rPr>
          <w:rFonts w:hint="eastAsia" w:ascii="MS UI Gothic" w:eastAsia="MS UI Gothic"/>
          <w:w w:val="80"/>
        </w:rPr>
        <w:t>ꎻ</w:t>
      </w:r>
    </w:p>
    <w:p>
      <w:pPr>
        <w:pStyle w:val="6"/>
        <w:spacing w:line="255" w:lineRule="exact"/>
        <w:ind w:left="538"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事故发生后逃匿的</w:t>
      </w:r>
      <w:r>
        <w:rPr>
          <w:rFonts w:hint="eastAsia" w:ascii="MS UI Gothic" w:eastAsia="MS UI Gothic"/>
          <w:w w:val="80"/>
        </w:rPr>
        <w:t>ꎮ</w:t>
      </w:r>
    </w:p>
    <w:p>
      <w:pPr>
        <w:pStyle w:val="6"/>
        <w:spacing w:before="58" w:line="295" w:lineRule="auto"/>
        <w:ind w:left="118" w:right="442"/>
        <w:rPr>
          <w:rFonts w:hint="eastAsia" w:ascii="MS UI Gothic" w:eastAsia="MS UI Gothic"/>
        </w:rPr>
      </w:pPr>
      <w:r>
        <w:rPr>
          <w:w w:val="105"/>
        </w:rPr>
        <w:t>第三十七条 事故发生单位对事故发生负有责任的</w:t>
      </w:r>
      <w:r>
        <w:rPr>
          <w:rFonts w:hint="eastAsia" w:ascii="MS UI Gothic" w:eastAsia="MS UI Gothic"/>
          <w:w w:val="80"/>
        </w:rPr>
        <w:t xml:space="preserve">ꎬ </w:t>
      </w:r>
      <w:r>
        <w:rPr>
          <w:w w:val="105"/>
        </w:rPr>
        <w:t>依照下列规定处以罚款</w:t>
      </w:r>
      <w:r>
        <w:rPr>
          <w:rFonts w:hint="eastAsia" w:ascii="MS UI Gothic" w:eastAsia="MS UI Gothic"/>
          <w:w w:val="105"/>
        </w:rPr>
        <w:t>:</w:t>
      </w:r>
    </w:p>
    <w:p>
      <w:pPr>
        <w:pStyle w:val="6"/>
        <w:spacing w:line="295" w:lineRule="auto"/>
        <w:ind w:left="118" w:right="442"/>
        <w:jc w:val="left"/>
        <w:rPr>
          <w:rFonts w:hint="eastAsia" w:ascii="MS UI Gothic" w:eastAsia="MS UI Gothic"/>
        </w:rPr>
      </w:pPr>
      <w:r>
        <w:rPr>
          <w:rFonts w:hint="eastAsia" w:ascii="MS UI Gothic" w:eastAsia="MS UI Gothic"/>
          <w:spacing w:val="19"/>
          <w:w w:val="145"/>
        </w:rPr>
        <w:t>(</w:t>
      </w:r>
      <w:r>
        <w:rPr>
          <w:spacing w:val="3"/>
        </w:rPr>
        <w:t>一</w:t>
      </w:r>
      <w:r>
        <w:rPr>
          <w:rFonts w:hint="eastAsia" w:ascii="MS UI Gothic" w:eastAsia="MS UI Gothic"/>
          <w:spacing w:val="22"/>
          <w:w w:val="145"/>
        </w:rPr>
        <w:t xml:space="preserve">) </w:t>
      </w:r>
      <w:r>
        <w:rPr>
          <w:spacing w:val="18"/>
        </w:rPr>
        <w:t>发生一般事故的</w:t>
      </w:r>
      <w:r>
        <w:rPr>
          <w:rFonts w:hint="eastAsia" w:ascii="MS UI Gothic" w:eastAsia="MS UI Gothic"/>
          <w:spacing w:val="13"/>
          <w:w w:val="80"/>
        </w:rPr>
        <w:t xml:space="preserve">ꎬ </w:t>
      </w:r>
      <w:r>
        <w:rPr>
          <w:spacing w:val="-13"/>
        </w:rPr>
        <w:t xml:space="preserve">处 </w:t>
      </w:r>
      <w:r>
        <w:rPr>
          <w:rFonts w:hint="eastAsia" w:ascii="MS UI Gothic" w:eastAsia="MS UI Gothic"/>
          <w:spacing w:val="11"/>
          <w:w w:val="80"/>
        </w:rPr>
        <w:t xml:space="preserve">１０ </w:t>
      </w:r>
      <w:r>
        <w:rPr>
          <w:spacing w:val="10"/>
        </w:rPr>
        <w:t>万元</w:t>
      </w:r>
      <w:r>
        <w:rPr>
          <w:spacing w:val="-17"/>
        </w:rPr>
        <w:t xml:space="preserve">以上 </w:t>
      </w:r>
      <w:r>
        <w:rPr>
          <w:rFonts w:hint="eastAsia" w:ascii="MS UI Gothic" w:eastAsia="MS UI Gothic"/>
          <w:spacing w:val="2"/>
          <w:w w:val="80"/>
        </w:rPr>
        <w:t xml:space="preserve">２０ </w:t>
      </w:r>
      <w:r>
        <w:rPr>
          <w:spacing w:val="3"/>
        </w:rPr>
        <w:t>万元以下的罚款</w:t>
      </w:r>
      <w:r>
        <w:rPr>
          <w:rFonts w:hint="eastAsia" w:ascii="MS UI Gothic" w:eastAsia="MS UI Gothic"/>
          <w:w w:val="80"/>
        </w:rPr>
        <w:t>ꎻ</w:t>
      </w:r>
    </w:p>
    <w:p>
      <w:pPr>
        <w:pStyle w:val="6"/>
        <w:spacing w:line="295" w:lineRule="auto"/>
        <w:ind w:left="118" w:right="442"/>
        <w:jc w:val="left"/>
        <w:rPr>
          <w:rFonts w:hint="eastAsia" w:ascii="MS UI Gothic" w:eastAsia="MS UI Gothic"/>
        </w:rPr>
      </w:pPr>
      <w:r>
        <w:rPr>
          <w:rFonts w:hint="eastAsia" w:ascii="MS UI Gothic" w:eastAsia="MS UI Gothic"/>
          <w:spacing w:val="19"/>
          <w:w w:val="145"/>
        </w:rPr>
        <w:t>(</w:t>
      </w:r>
      <w:r>
        <w:rPr>
          <w:spacing w:val="3"/>
        </w:rPr>
        <w:t>二</w:t>
      </w:r>
      <w:r>
        <w:rPr>
          <w:rFonts w:hint="eastAsia" w:ascii="MS UI Gothic" w:eastAsia="MS UI Gothic"/>
          <w:spacing w:val="22"/>
          <w:w w:val="145"/>
        </w:rPr>
        <w:t xml:space="preserve">) </w:t>
      </w:r>
      <w:r>
        <w:rPr>
          <w:spacing w:val="18"/>
        </w:rPr>
        <w:t>发生较大事故的</w:t>
      </w:r>
      <w:r>
        <w:rPr>
          <w:rFonts w:hint="eastAsia" w:ascii="MS UI Gothic" w:eastAsia="MS UI Gothic"/>
          <w:spacing w:val="13"/>
          <w:w w:val="80"/>
        </w:rPr>
        <w:t xml:space="preserve">ꎬ </w:t>
      </w:r>
      <w:r>
        <w:rPr>
          <w:spacing w:val="-13"/>
        </w:rPr>
        <w:t xml:space="preserve">处 </w:t>
      </w:r>
      <w:r>
        <w:rPr>
          <w:rFonts w:hint="eastAsia" w:ascii="MS UI Gothic" w:eastAsia="MS UI Gothic"/>
          <w:spacing w:val="11"/>
          <w:w w:val="80"/>
        </w:rPr>
        <w:t xml:space="preserve">２０ </w:t>
      </w:r>
      <w:r>
        <w:rPr>
          <w:spacing w:val="10"/>
        </w:rPr>
        <w:t>万元</w:t>
      </w:r>
      <w:r>
        <w:rPr>
          <w:spacing w:val="-17"/>
        </w:rPr>
        <w:t xml:space="preserve">以上 </w:t>
      </w:r>
      <w:r>
        <w:rPr>
          <w:rFonts w:hint="eastAsia" w:ascii="MS UI Gothic" w:eastAsia="MS UI Gothic"/>
          <w:spacing w:val="2"/>
          <w:w w:val="80"/>
        </w:rPr>
        <w:t xml:space="preserve">５０ </w:t>
      </w:r>
      <w:r>
        <w:rPr>
          <w:spacing w:val="3"/>
        </w:rPr>
        <w:t>万元以下的罚款</w:t>
      </w:r>
      <w:r>
        <w:rPr>
          <w:rFonts w:hint="eastAsia" w:ascii="MS UI Gothic" w:eastAsia="MS UI Gothic"/>
          <w:w w:val="80"/>
        </w:rPr>
        <w:t>ꎻ</w:t>
      </w:r>
    </w:p>
    <w:p>
      <w:pPr>
        <w:pStyle w:val="6"/>
        <w:spacing w:line="295" w:lineRule="auto"/>
        <w:ind w:left="118" w:right="442"/>
        <w:jc w:val="left"/>
        <w:rPr>
          <w:rFonts w:hint="eastAsia" w:ascii="MS UI Gothic" w:eastAsia="MS UI Gothic"/>
        </w:rPr>
      </w:pPr>
      <w:r>
        <w:rPr>
          <w:rFonts w:hint="eastAsia" w:ascii="MS UI Gothic" w:eastAsia="MS UI Gothic"/>
          <w:w w:val="140"/>
        </w:rPr>
        <w:t>(</w:t>
      </w:r>
      <w:r>
        <w:t>三</w:t>
      </w:r>
      <w:r>
        <w:rPr>
          <w:rFonts w:hint="eastAsia" w:ascii="MS UI Gothic" w:eastAsia="MS UI Gothic"/>
          <w:w w:val="140"/>
        </w:rPr>
        <w:t xml:space="preserve">) </w:t>
      </w:r>
      <w:r>
        <w:t>发生重大事故的</w:t>
      </w:r>
      <w:r>
        <w:rPr>
          <w:rFonts w:hint="eastAsia" w:ascii="MS UI Gothic" w:eastAsia="MS UI Gothic"/>
          <w:w w:val="85"/>
        </w:rPr>
        <w:t xml:space="preserve">ꎬ </w:t>
      </w:r>
      <w:r>
        <w:t xml:space="preserve">处 </w:t>
      </w:r>
      <w:r>
        <w:rPr>
          <w:rFonts w:hint="eastAsia" w:ascii="MS UI Gothic" w:eastAsia="MS UI Gothic"/>
          <w:w w:val="85"/>
        </w:rPr>
        <w:t xml:space="preserve">５０ </w:t>
      </w:r>
      <w:r>
        <w:t xml:space="preserve">万元以上 </w:t>
      </w:r>
      <w:r>
        <w:rPr>
          <w:rFonts w:hint="eastAsia" w:ascii="MS UI Gothic" w:eastAsia="MS UI Gothic"/>
          <w:w w:val="85"/>
        </w:rPr>
        <w:t xml:space="preserve">２００ </w:t>
      </w:r>
      <w:r>
        <w:t>万元以下的罚款</w:t>
      </w:r>
      <w:r>
        <w:rPr>
          <w:rFonts w:hint="eastAsia" w:ascii="MS UI Gothic" w:eastAsia="MS UI Gothic"/>
          <w:w w:val="85"/>
        </w:rPr>
        <w:t>ꎻ</w:t>
      </w:r>
    </w:p>
    <w:p>
      <w:pPr>
        <w:pStyle w:val="6"/>
        <w:spacing w:line="255" w:lineRule="exact"/>
        <w:ind w:left="538" w:firstLine="0"/>
        <w:jc w:val="left"/>
        <w:rPr>
          <w:rFonts w:hint="eastAsia" w:ascii="MS UI Gothic" w:eastAsia="MS UI Gothic"/>
        </w:rPr>
      </w:pPr>
      <w:r>
        <w:rPr>
          <w:rFonts w:hint="eastAsia" w:ascii="MS UI Gothic" w:eastAsia="MS UI Gothic"/>
          <w:w w:val="140"/>
        </w:rPr>
        <w:t xml:space="preserve">( </w:t>
      </w:r>
      <w:r>
        <w:rPr>
          <w:w w:val="105"/>
        </w:rPr>
        <w:t>四</w:t>
      </w:r>
      <w:r>
        <w:rPr>
          <w:rFonts w:hint="eastAsia" w:ascii="MS UI Gothic" w:eastAsia="MS UI Gothic"/>
          <w:w w:val="140"/>
        </w:rPr>
        <w:t xml:space="preserve">) </w:t>
      </w:r>
      <w:r>
        <w:rPr>
          <w:w w:val="105"/>
        </w:rPr>
        <w:t>发生特别重大事故的</w:t>
      </w:r>
      <w:r>
        <w:rPr>
          <w:rFonts w:hint="eastAsia" w:ascii="MS UI Gothic" w:eastAsia="MS UI Gothic"/>
          <w:w w:val="85"/>
        </w:rPr>
        <w:t xml:space="preserve">ꎬ </w:t>
      </w:r>
      <w:r>
        <w:rPr>
          <w:w w:val="105"/>
        </w:rPr>
        <w:t xml:space="preserve">处 </w:t>
      </w:r>
      <w:r>
        <w:rPr>
          <w:rFonts w:hint="eastAsia" w:ascii="MS UI Gothic" w:eastAsia="MS UI Gothic"/>
          <w:w w:val="85"/>
        </w:rPr>
        <w:t>２００</w:t>
      </w:r>
    </w:p>
    <w:p>
      <w:pPr>
        <w:pStyle w:val="6"/>
        <w:spacing w:before="54"/>
        <w:ind w:left="118" w:firstLine="0"/>
        <w:jc w:val="left"/>
        <w:rPr>
          <w:rFonts w:hint="eastAsia" w:ascii="MS UI Gothic" w:eastAsia="MS UI Gothic"/>
        </w:rPr>
      </w:pPr>
      <w:r>
        <w:rPr>
          <w:w w:val="95"/>
        </w:rPr>
        <w:t xml:space="preserve">万元以上 </w:t>
      </w:r>
      <w:r>
        <w:rPr>
          <w:rFonts w:hint="eastAsia" w:ascii="MS UI Gothic" w:eastAsia="MS UI Gothic"/>
          <w:w w:val="95"/>
        </w:rPr>
        <w:t xml:space="preserve">５００ </w:t>
      </w:r>
      <w:r>
        <w:rPr>
          <w:w w:val="95"/>
        </w:rPr>
        <w:t>万元以下的罚款</w:t>
      </w:r>
      <w:r>
        <w:rPr>
          <w:rFonts w:hint="eastAsia" w:ascii="MS UI Gothic" w:eastAsia="MS UI Gothic"/>
          <w:w w:val="90"/>
        </w:rPr>
        <w:t>ꎮ</w:t>
      </w:r>
    </w:p>
    <w:p>
      <w:pPr>
        <w:pStyle w:val="6"/>
        <w:spacing w:before="58" w:line="295" w:lineRule="auto"/>
        <w:ind w:left="118" w:right="442"/>
        <w:rPr>
          <w:rFonts w:hint="eastAsia" w:ascii="MS UI Gothic" w:eastAsia="MS UI Gothic"/>
        </w:rPr>
      </w:pPr>
      <w:r>
        <w:rPr>
          <w:w w:val="105"/>
        </w:rPr>
        <w:t>第三十八条 事故发生单位主要负责</w:t>
      </w:r>
      <w:r>
        <w:t>人未依法履行安全生产管理职责</w:t>
      </w:r>
      <w:r>
        <w:rPr>
          <w:rFonts w:hint="eastAsia" w:ascii="MS UI Gothic" w:eastAsia="MS UI Gothic"/>
          <w:w w:val="80"/>
        </w:rPr>
        <w:t xml:space="preserve">ꎬ </w:t>
      </w:r>
      <w:r>
        <w:t>导致事故发生的</w:t>
      </w:r>
      <w:r>
        <w:rPr>
          <w:rFonts w:hint="eastAsia" w:ascii="MS UI Gothic" w:eastAsia="MS UI Gothic"/>
          <w:w w:val="80"/>
        </w:rPr>
        <w:t xml:space="preserve">ꎬ </w:t>
      </w:r>
      <w:r>
        <w:t>依照下列规定处以罚款</w:t>
      </w:r>
      <w:r>
        <w:rPr>
          <w:rFonts w:hint="eastAsia" w:ascii="MS UI Gothic" w:eastAsia="MS UI Gothic"/>
          <w:w w:val="80"/>
        </w:rPr>
        <w:t xml:space="preserve">ꎻ </w:t>
      </w:r>
      <w:r>
        <w:t>属于国家工作人员的</w:t>
      </w:r>
      <w:r>
        <w:rPr>
          <w:rFonts w:hint="eastAsia" w:ascii="MS UI Gothic" w:eastAsia="MS UI Gothic"/>
          <w:w w:val="80"/>
        </w:rPr>
        <w:t xml:space="preserve">ꎬ </w:t>
      </w:r>
      <w:r>
        <w:t>并依法给予处分</w:t>
      </w:r>
      <w:r>
        <w:rPr>
          <w:rFonts w:hint="eastAsia" w:ascii="MS UI Gothic" w:eastAsia="MS UI Gothic"/>
          <w:w w:val="80"/>
        </w:rPr>
        <w:t xml:space="preserve">ꎻ </w:t>
      </w:r>
      <w:r>
        <w:t>构成</w:t>
      </w:r>
      <w:r>
        <w:rPr>
          <w:w w:val="105"/>
        </w:rPr>
        <w:t>犯罪的</w:t>
      </w:r>
      <w:r>
        <w:rPr>
          <w:rFonts w:hint="eastAsia" w:ascii="MS UI Gothic" w:eastAsia="MS UI Gothic"/>
          <w:w w:val="80"/>
        </w:rPr>
        <w:t xml:space="preserve">ꎬ </w:t>
      </w:r>
      <w:r>
        <w:rPr>
          <w:w w:val="105"/>
        </w:rPr>
        <w:t>依法追究刑事责任</w:t>
      </w:r>
      <w:r>
        <w:rPr>
          <w:rFonts w:hint="eastAsia" w:ascii="MS UI Gothic" w:eastAsia="MS UI Gothic"/>
          <w:w w:val="235"/>
        </w:rPr>
        <w:t>:</w:t>
      </w:r>
    </w:p>
    <w:p>
      <w:pPr>
        <w:pStyle w:val="6"/>
        <w:spacing w:line="295" w:lineRule="auto"/>
        <w:ind w:left="118" w:right="442"/>
        <w:rPr>
          <w:rFonts w:hint="eastAsia" w:ascii="MS UI Gothic" w:eastAsia="MS UI Gothic"/>
        </w:rPr>
      </w:pPr>
      <w:r>
        <w:rPr>
          <w:rFonts w:hint="eastAsia" w:ascii="MS UI Gothic" w:eastAsia="MS UI Gothic"/>
          <w:spacing w:val="-36"/>
          <w:w w:val="140"/>
        </w:rPr>
        <w:t xml:space="preserve">( </w:t>
      </w:r>
      <w:r>
        <w:rPr>
          <w:spacing w:val="3"/>
          <w:w w:val="105"/>
        </w:rPr>
        <w:t>一</w:t>
      </w:r>
      <w:r>
        <w:rPr>
          <w:rFonts w:hint="eastAsia" w:ascii="MS UI Gothic" w:eastAsia="MS UI Gothic"/>
          <w:w w:val="140"/>
        </w:rPr>
        <w:t xml:space="preserve">) </w:t>
      </w:r>
      <w:r>
        <w:rPr>
          <w:spacing w:val="5"/>
          <w:w w:val="105"/>
        </w:rPr>
        <w:t>发生一般事故的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３０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left="118" w:right="442"/>
        <w:rPr>
          <w:rFonts w:hint="eastAsia" w:ascii="MS UI Gothic" w:eastAsia="MS UI Gothic"/>
        </w:rPr>
      </w:pPr>
      <w:r>
        <w:rPr>
          <w:rFonts w:hint="eastAsia" w:ascii="MS UI Gothic" w:eastAsia="MS UI Gothic"/>
          <w:spacing w:val="-36"/>
          <w:w w:val="140"/>
        </w:rPr>
        <w:t xml:space="preserve">( </w:t>
      </w:r>
      <w:r>
        <w:rPr>
          <w:spacing w:val="3"/>
          <w:w w:val="105"/>
        </w:rPr>
        <w:t>二</w:t>
      </w:r>
      <w:r>
        <w:rPr>
          <w:rFonts w:hint="eastAsia" w:ascii="MS UI Gothic" w:eastAsia="MS UI Gothic"/>
          <w:w w:val="140"/>
        </w:rPr>
        <w:t xml:space="preserve">) </w:t>
      </w:r>
      <w:r>
        <w:rPr>
          <w:spacing w:val="5"/>
          <w:w w:val="105"/>
        </w:rPr>
        <w:t>发生较大事故的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４０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left="118" w:right="442"/>
        <w:rPr>
          <w:rFonts w:hint="eastAsia" w:ascii="MS UI Gothic" w:eastAsia="MS UI Gothic"/>
        </w:rPr>
      </w:pPr>
      <w:r>
        <w:rPr>
          <w:rFonts w:hint="eastAsia" w:ascii="MS UI Gothic" w:eastAsia="MS UI Gothic"/>
          <w:spacing w:val="-36"/>
          <w:w w:val="140"/>
        </w:rPr>
        <w:t xml:space="preserve">( </w:t>
      </w:r>
      <w:r>
        <w:rPr>
          <w:spacing w:val="3"/>
          <w:w w:val="105"/>
        </w:rPr>
        <w:t>三</w:t>
      </w:r>
      <w:r>
        <w:rPr>
          <w:rFonts w:hint="eastAsia" w:ascii="MS UI Gothic" w:eastAsia="MS UI Gothic"/>
          <w:w w:val="140"/>
        </w:rPr>
        <w:t xml:space="preserve">) </w:t>
      </w:r>
      <w:r>
        <w:rPr>
          <w:spacing w:val="5"/>
          <w:w w:val="105"/>
        </w:rPr>
        <w:t>发生重大事故的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６０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left="118" w:right="442"/>
        <w:rPr>
          <w:rFonts w:hint="eastAsia" w:ascii="MS UI Gothic" w:eastAsia="MS UI Gothic"/>
        </w:rPr>
      </w:pPr>
      <w:r>
        <w:rPr>
          <w:rFonts w:hint="eastAsia" w:ascii="MS UI Gothic" w:eastAsia="MS UI Gothic"/>
          <w:w w:val="140"/>
        </w:rPr>
        <w:t xml:space="preserve">( </w:t>
      </w:r>
      <w:r>
        <w:rPr>
          <w:w w:val="105"/>
        </w:rPr>
        <w:t>四</w:t>
      </w:r>
      <w:r>
        <w:rPr>
          <w:rFonts w:hint="eastAsia" w:ascii="MS UI Gothic" w:eastAsia="MS UI Gothic"/>
          <w:w w:val="140"/>
        </w:rPr>
        <w:t xml:space="preserve">) </w:t>
      </w:r>
      <w:r>
        <w:rPr>
          <w:w w:val="105"/>
        </w:rPr>
        <w:t>发生特别重大事故的</w:t>
      </w:r>
      <w:r>
        <w:rPr>
          <w:rFonts w:hint="eastAsia" w:ascii="MS UI Gothic" w:eastAsia="MS UI Gothic"/>
          <w:w w:val="85"/>
        </w:rPr>
        <w:t xml:space="preserve">ꎬ </w:t>
      </w:r>
      <w:r>
        <w:rPr>
          <w:w w:val="105"/>
        </w:rPr>
        <w:t xml:space="preserve">处上一年年收入 </w:t>
      </w:r>
      <w:r>
        <w:rPr>
          <w:rFonts w:hint="eastAsia" w:ascii="MS UI Gothic" w:eastAsia="MS UI Gothic"/>
          <w:w w:val="85"/>
        </w:rPr>
        <w:t>８０</w:t>
      </w:r>
      <w:r>
        <w:rPr>
          <w:w w:val="85"/>
        </w:rPr>
        <w:t xml:space="preserve">％ </w:t>
      </w:r>
      <w:r>
        <w:rPr>
          <w:w w:val="105"/>
        </w:rPr>
        <w:t>的罚款</w:t>
      </w:r>
      <w:r>
        <w:rPr>
          <w:rFonts w:hint="eastAsia" w:ascii="MS UI Gothic" w:eastAsia="MS UI Gothic"/>
          <w:w w:val="85"/>
        </w:rPr>
        <w:t>ꎮ</w:t>
      </w:r>
    </w:p>
    <w:p>
      <w:pPr>
        <w:pStyle w:val="6"/>
        <w:spacing w:line="295" w:lineRule="auto"/>
        <w:ind w:left="118" w:right="440"/>
        <w:rPr>
          <w:rFonts w:hint="eastAsia" w:ascii="MS UI Gothic" w:eastAsia="MS UI Gothic"/>
        </w:rPr>
      </w:pPr>
      <w:r>
        <w:rPr>
          <w:w w:val="105"/>
        </w:rPr>
        <w:t>第三十九条 有关地方人民政府</w:t>
      </w:r>
      <w:r>
        <w:rPr>
          <w:rFonts w:hint="eastAsia" w:ascii="MS UI Gothic" w:eastAsia="MS UI Gothic"/>
          <w:w w:val="80"/>
        </w:rPr>
        <w:t xml:space="preserve">、 </w:t>
      </w:r>
      <w:r>
        <w:rPr>
          <w:w w:val="105"/>
        </w:rPr>
        <w:t>安</w:t>
      </w:r>
      <w:r>
        <w:t>全生产监督管理部门和负有安全生产监督管理职责的有关部门有下列行为之一的</w:t>
      </w:r>
      <w:r>
        <w:rPr>
          <w:rFonts w:hint="eastAsia" w:ascii="MS UI Gothic" w:eastAsia="MS UI Gothic"/>
          <w:w w:val="80"/>
        </w:rPr>
        <w:t>ꎬ</w:t>
      </w:r>
      <w:r>
        <w:t>对直接负责的主管人员和其他直接责任人员依法给予处分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w:t>
      </w:r>
      <w:r>
        <w:rPr>
          <w:w w:val="105"/>
        </w:rPr>
        <w:t>刑事责任</w:t>
      </w:r>
      <w:r>
        <w:rPr>
          <w:rFonts w:hint="eastAsia" w:ascii="MS UI Gothic" w:eastAsia="MS UI Gothic"/>
          <w:w w:val="235"/>
        </w:rPr>
        <w:t>:</w:t>
      </w:r>
    </w:p>
    <w:p>
      <w:pPr>
        <w:pStyle w:val="6"/>
        <w:spacing w:line="251" w:lineRule="exact"/>
        <w:ind w:left="538"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不立即组织事故抢救的</w:t>
      </w:r>
      <w:r>
        <w:rPr>
          <w:rFonts w:hint="eastAsia" w:ascii="MS UI Gothic" w:eastAsia="MS UI Gothic"/>
          <w:w w:val="80"/>
        </w:rPr>
        <w:t>ꎻ</w:t>
      </w:r>
    </w:p>
    <w:p>
      <w:pPr>
        <w:pStyle w:val="6"/>
        <w:spacing w:before="47" w:line="295" w:lineRule="auto"/>
        <w:ind w:left="118" w:right="442"/>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迟报</w:t>
      </w:r>
      <w:r>
        <w:rPr>
          <w:rFonts w:hint="eastAsia" w:ascii="MS UI Gothic" w:eastAsia="MS UI Gothic"/>
          <w:w w:val="80"/>
        </w:rPr>
        <w:t xml:space="preserve">、 </w:t>
      </w:r>
      <w:r>
        <w:rPr>
          <w:w w:val="105"/>
        </w:rPr>
        <w:t>漏报</w:t>
      </w:r>
      <w:r>
        <w:rPr>
          <w:rFonts w:hint="eastAsia" w:ascii="MS UI Gothic" w:eastAsia="MS UI Gothic"/>
          <w:w w:val="80"/>
        </w:rPr>
        <w:t xml:space="preserve">、 </w:t>
      </w:r>
      <w:r>
        <w:rPr>
          <w:w w:val="105"/>
        </w:rPr>
        <w:t>谎报或者瞒报事故的</w:t>
      </w:r>
      <w:r>
        <w:rPr>
          <w:rFonts w:hint="eastAsia" w:ascii="MS UI Gothic" w:eastAsia="MS UI Gothic"/>
          <w:w w:val="80"/>
        </w:rPr>
        <w:t>ꎻ</w:t>
      </w:r>
    </w:p>
    <w:p>
      <w:pPr>
        <w:pStyle w:val="6"/>
        <w:spacing w:line="255" w:lineRule="exact"/>
        <w:ind w:left="538"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阻碍</w:t>
      </w:r>
      <w:r>
        <w:rPr>
          <w:rFonts w:hint="eastAsia" w:ascii="MS UI Gothic" w:eastAsia="MS UI Gothic"/>
          <w:w w:val="80"/>
        </w:rPr>
        <w:t xml:space="preserve">、 </w:t>
      </w:r>
      <w:r>
        <w:rPr>
          <w:w w:val="110"/>
        </w:rPr>
        <w:t>干涉事故调查工作的</w:t>
      </w:r>
      <w:r>
        <w:rPr>
          <w:rFonts w:hint="eastAsia" w:ascii="MS UI Gothic" w:eastAsia="MS UI Gothic"/>
          <w:w w:val="80"/>
        </w:rPr>
        <w:t>ꎻ</w:t>
      </w:r>
    </w:p>
    <w:p>
      <w:pPr>
        <w:pStyle w:val="6"/>
        <w:spacing w:before="59" w:line="295" w:lineRule="auto"/>
        <w:ind w:left="118" w:right="442"/>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在事故调查中作伪证或者指使</w:t>
      </w:r>
      <w:r>
        <w:rPr>
          <w:w w:val="110"/>
        </w:rPr>
        <w:t>他人作伪证的</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７７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81" o:spid="_x0000_s1281" o:spt="203" style="height:2.15pt;width:398.25pt;" coordsize="7965,43">
            <o:lock v:ext="edit"/>
            <v:line id="_x0000_s1282" o:spid="_x0000_s1282" o:spt="20" style="position:absolute;left:0;top:39;height:0;width:7965;" stroked="t" coordsize="21600,21600">
              <v:path arrowok="t"/>
              <v:fill focussize="0,0"/>
              <v:stroke weight="0.388031496062992pt" color="#231F20"/>
              <v:imagedata o:title=""/>
              <o:lock v:ext="edit"/>
            </v:line>
            <v:line id="_x0000_s1283" o:spid="_x0000_s128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t>第四十条 事故发生单位对事故发生负有责任的</w:t>
      </w:r>
      <w:r>
        <w:rPr>
          <w:rFonts w:hint="eastAsia" w:ascii="MS UI Gothic" w:eastAsia="MS UI Gothic"/>
          <w:w w:val="80"/>
        </w:rPr>
        <w:t xml:space="preserve">ꎬ </w:t>
      </w:r>
      <w:r>
        <w:t>由有关部门依法暂扣或者吊销其有关证照</w:t>
      </w:r>
      <w:r>
        <w:rPr>
          <w:rFonts w:hint="eastAsia" w:ascii="MS UI Gothic" w:eastAsia="MS UI Gothic"/>
          <w:w w:val="80"/>
        </w:rPr>
        <w:t xml:space="preserve">ꎻ </w:t>
      </w:r>
      <w:r>
        <w:t>对事故发生单位负有事故责任的有关人员</w:t>
      </w:r>
      <w:r>
        <w:rPr>
          <w:rFonts w:hint="eastAsia" w:ascii="MS UI Gothic" w:eastAsia="MS UI Gothic"/>
          <w:w w:val="80"/>
        </w:rPr>
        <w:t xml:space="preserve">ꎬ </w:t>
      </w:r>
      <w:r>
        <w:t>依法暂停或者撤销其与安全生产有关的执业资格</w:t>
      </w:r>
      <w:r>
        <w:rPr>
          <w:rFonts w:hint="eastAsia" w:ascii="MS UI Gothic" w:eastAsia="MS UI Gothic"/>
          <w:w w:val="80"/>
        </w:rPr>
        <w:t xml:space="preserve">、 </w:t>
      </w:r>
      <w:r>
        <w:t>岗位证书</w:t>
      </w:r>
      <w:r>
        <w:rPr>
          <w:rFonts w:hint="eastAsia" w:ascii="MS UI Gothic" w:eastAsia="MS UI Gothic"/>
          <w:w w:val="80"/>
        </w:rPr>
        <w:t xml:space="preserve">ꎻ </w:t>
      </w:r>
      <w:r>
        <w:t>事故发生单位主要负责人受到刑事处罚或者撤职处分的</w:t>
      </w:r>
      <w:r>
        <w:rPr>
          <w:rFonts w:hint="eastAsia" w:ascii="MS UI Gothic" w:eastAsia="MS UI Gothic"/>
          <w:w w:val="80"/>
        </w:rPr>
        <w:t xml:space="preserve">ꎬ </w:t>
      </w:r>
      <w:r>
        <w:t>自刑罚执行完毕或者受处分之日起</w:t>
      </w:r>
      <w:r>
        <w:rPr>
          <w:rFonts w:hint="eastAsia" w:ascii="MS UI Gothic" w:eastAsia="MS UI Gothic"/>
          <w:w w:val="80"/>
        </w:rPr>
        <w:t xml:space="preserve">ꎬ ５ </w:t>
      </w:r>
      <w:r>
        <w:t>年内不得担任任何生产经营单位的主要负责人</w:t>
      </w:r>
      <w:r>
        <w:rPr>
          <w:rFonts w:hint="eastAsia" w:ascii="MS UI Gothic" w:eastAsia="MS UI Gothic"/>
          <w:w w:val="80"/>
        </w:rPr>
        <w:t>ꎮ</w:t>
      </w:r>
    </w:p>
    <w:p>
      <w:pPr>
        <w:pStyle w:val="6"/>
        <w:spacing w:line="295" w:lineRule="auto"/>
        <w:ind w:left="440"/>
        <w:rPr>
          <w:rFonts w:hint="eastAsia" w:ascii="MS UI Gothic" w:eastAsia="MS UI Gothic"/>
        </w:rPr>
      </w:pPr>
      <w:r>
        <w:t>为发生事故的单位提供虚假证明的中介机构</w:t>
      </w:r>
      <w:r>
        <w:rPr>
          <w:rFonts w:hint="eastAsia" w:ascii="MS UI Gothic" w:eastAsia="MS UI Gothic"/>
          <w:w w:val="80"/>
        </w:rPr>
        <w:t xml:space="preserve">ꎬ </w:t>
      </w:r>
      <w:r>
        <w:t>由有关部门依法暂扣或者吊销其有关证照及其相关人员的执业资格</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第四十一条 参与事故调查的人员在</w:t>
      </w:r>
      <w:r>
        <w:t>事故调查中有下列行为之一的</w:t>
      </w:r>
      <w:r>
        <w:rPr>
          <w:rFonts w:hint="eastAsia" w:ascii="MS UI Gothic" w:eastAsia="MS UI Gothic"/>
          <w:w w:val="80"/>
        </w:rPr>
        <w:t xml:space="preserve">ꎬ </w:t>
      </w:r>
      <w:r>
        <w:t>依法给予</w:t>
      </w:r>
      <w:r>
        <w:rPr>
          <w:w w:val="105"/>
        </w:rPr>
        <w:t>处分</w:t>
      </w:r>
      <w:r>
        <w:rPr>
          <w:rFonts w:hint="eastAsia" w:ascii="MS UI Gothic" w:eastAsia="MS UI Gothic"/>
          <w:w w:val="80"/>
        </w:rPr>
        <w:t xml:space="preserve">ꎻ </w:t>
      </w:r>
      <w:r>
        <w:rPr>
          <w:w w:val="105"/>
        </w:rPr>
        <w:t>构成犯罪的</w:t>
      </w:r>
      <w:r>
        <w:rPr>
          <w:rFonts w:hint="eastAsia" w:ascii="MS UI Gothic" w:eastAsia="MS UI Gothic"/>
          <w:w w:val="80"/>
        </w:rPr>
        <w:t xml:space="preserve">ꎬ </w:t>
      </w:r>
      <w:r>
        <w:rPr>
          <w:w w:val="105"/>
        </w:rPr>
        <w:t>依法追究刑事责任</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对事故调查工作不负责任</w:t>
      </w:r>
      <w:r>
        <w:rPr>
          <w:rFonts w:hint="eastAsia" w:ascii="MS UI Gothic" w:eastAsia="MS UI Gothic"/>
          <w:w w:val="80"/>
        </w:rPr>
        <w:t xml:space="preserve">ꎬ </w:t>
      </w:r>
      <w:r>
        <w:rPr>
          <w:w w:val="105"/>
        </w:rPr>
        <w:t>致使事故调查工作有重大疏漏的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包庇</w:t>
      </w:r>
      <w:r>
        <w:rPr>
          <w:rFonts w:hint="eastAsia" w:ascii="MS UI Gothic" w:eastAsia="MS UI Gothic"/>
          <w:w w:val="80"/>
        </w:rPr>
        <w:t xml:space="preserve">、 </w:t>
      </w:r>
      <w:r>
        <w:rPr>
          <w:w w:val="105"/>
        </w:rPr>
        <w:t>袒护负有事故责任的人员或者借机打击报复的</w:t>
      </w:r>
      <w:r>
        <w:rPr>
          <w:rFonts w:hint="eastAsia" w:ascii="MS UI Gothic" w:eastAsia="MS UI Gothic"/>
          <w:w w:val="80"/>
        </w:rPr>
        <w:t>ꎮ</w:t>
      </w:r>
    </w:p>
    <w:p>
      <w:pPr>
        <w:pStyle w:val="6"/>
        <w:spacing w:line="295" w:lineRule="auto"/>
        <w:ind w:left="440"/>
      </w:pPr>
      <w:r>
        <w:rPr>
          <w:w w:val="105"/>
        </w:rPr>
        <w:t>第四十二条 违反本条例规定</w:t>
      </w:r>
      <w:r>
        <w:rPr>
          <w:rFonts w:hint="eastAsia" w:ascii="MS UI Gothic" w:eastAsia="MS UI Gothic"/>
          <w:w w:val="80"/>
        </w:rPr>
        <w:t xml:space="preserve">ꎬ </w:t>
      </w:r>
      <w:r>
        <w:rPr>
          <w:w w:val="105"/>
        </w:rPr>
        <w:t>有关</w:t>
      </w:r>
      <w:r>
        <w:t>地方人民政府或者有关部门故意拖延或者拒绝落实经批复的对事故责任人的处理意见的</w:t>
      </w:r>
      <w:r>
        <w:rPr>
          <w:rFonts w:hint="eastAsia" w:ascii="MS UI Gothic" w:eastAsia="MS UI Gothic"/>
          <w:w w:val="80"/>
        </w:rPr>
        <w:t xml:space="preserve">ꎬ </w:t>
      </w:r>
      <w:r>
        <w:t>由监察机关对有关责任人员依法给</w:t>
      </w:r>
    </w:p>
    <w:p>
      <w:pPr>
        <w:pStyle w:val="6"/>
        <w:spacing w:before="124"/>
        <w:ind w:left="383" w:firstLine="0"/>
        <w:jc w:val="left"/>
        <w:rPr>
          <w:rFonts w:hint="eastAsia" w:ascii="MS UI Gothic" w:eastAsia="MS UI Gothic"/>
        </w:rPr>
      </w:pPr>
      <w:r>
        <w:br w:type="column"/>
      </w:r>
      <w:r>
        <w:t>予处分</w:t>
      </w:r>
      <w:r>
        <w:rPr>
          <w:rFonts w:hint="eastAsia" w:ascii="MS UI Gothic" w:eastAsia="MS UI Gothic"/>
          <w:w w:val="80"/>
        </w:rPr>
        <w:t>ꎮ</w:t>
      </w:r>
    </w:p>
    <w:p>
      <w:pPr>
        <w:pStyle w:val="6"/>
        <w:spacing w:before="58" w:line="295" w:lineRule="auto"/>
        <w:ind w:left="383" w:right="126"/>
        <w:rPr>
          <w:rFonts w:hint="eastAsia" w:ascii="MS UI Gothic" w:eastAsia="MS UI Gothic"/>
        </w:rPr>
      </w:pPr>
      <w:r>
        <w:t>第四十三条 本条例规定的罚款的行政处罚</w:t>
      </w:r>
      <w:r>
        <w:rPr>
          <w:rFonts w:hint="eastAsia" w:ascii="MS UI Gothic" w:eastAsia="MS UI Gothic"/>
          <w:w w:val="80"/>
        </w:rPr>
        <w:t xml:space="preserve">ꎬ </w:t>
      </w:r>
      <w:r>
        <w:t>由安全生产监督管理部门决定</w:t>
      </w:r>
      <w:r>
        <w:rPr>
          <w:rFonts w:hint="eastAsia" w:ascii="MS UI Gothic" w:eastAsia="MS UI Gothic"/>
          <w:w w:val="80"/>
        </w:rPr>
        <w:t>ꎮ</w:t>
      </w:r>
    </w:p>
    <w:p>
      <w:pPr>
        <w:pStyle w:val="6"/>
        <w:spacing w:line="295" w:lineRule="auto"/>
        <w:ind w:left="383" w:right="124"/>
        <w:rPr>
          <w:rFonts w:hint="eastAsia" w:ascii="MS UI Gothic" w:eastAsia="MS UI Gothic"/>
        </w:rPr>
      </w:pPr>
      <w:r>
        <w:t>法律</w:t>
      </w:r>
      <w:r>
        <w:rPr>
          <w:rFonts w:hint="eastAsia" w:ascii="MS UI Gothic" w:eastAsia="MS UI Gothic"/>
          <w:w w:val="80"/>
        </w:rPr>
        <w:t xml:space="preserve">、 </w:t>
      </w:r>
      <w:r>
        <w:t>行政法规对行政处罚的种类</w:t>
      </w:r>
      <w:r>
        <w:rPr>
          <w:rFonts w:hint="eastAsia" w:ascii="MS UI Gothic" w:eastAsia="MS UI Gothic"/>
          <w:w w:val="80"/>
        </w:rPr>
        <w:t>、</w:t>
      </w:r>
      <w:r>
        <w:t>幅度和决定机关另有规定的</w:t>
      </w:r>
      <w:r>
        <w:rPr>
          <w:rFonts w:hint="eastAsia" w:ascii="MS UI Gothic" w:eastAsia="MS UI Gothic"/>
          <w:w w:val="80"/>
        </w:rPr>
        <w:t xml:space="preserve">ꎬ </w:t>
      </w:r>
      <w:r>
        <w:t>依照其规定</w:t>
      </w:r>
      <w:r>
        <w:rPr>
          <w:rFonts w:hint="eastAsia" w:ascii="MS UI Gothic" w:eastAsia="MS UI Gothic"/>
          <w:w w:val="80"/>
        </w:rPr>
        <w:t>ꎮ</w:t>
      </w:r>
    </w:p>
    <w:p>
      <w:pPr>
        <w:pStyle w:val="6"/>
        <w:tabs>
          <w:tab w:val="left" w:pos="2269"/>
          <w:tab w:val="left" w:pos="2898"/>
        </w:tabs>
        <w:spacing w:before="153"/>
        <w:ind w:left="1431"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216" w:line="295" w:lineRule="auto"/>
        <w:ind w:left="383" w:right="126"/>
        <w:rPr>
          <w:rFonts w:hint="eastAsia" w:ascii="MS UI Gothic" w:eastAsia="MS UI Gothic"/>
        </w:rPr>
      </w:pPr>
      <w:r>
        <w:t>第四十四条 没有造成人员伤亡</w:t>
      </w:r>
      <w:r>
        <w:rPr>
          <w:rFonts w:hint="eastAsia" w:ascii="MS UI Gothic" w:eastAsia="MS UI Gothic"/>
          <w:w w:val="80"/>
        </w:rPr>
        <w:t xml:space="preserve">ꎬ </w:t>
      </w:r>
      <w:r>
        <w:t>但是社会影响恶劣的事故</w:t>
      </w:r>
      <w:r>
        <w:rPr>
          <w:rFonts w:hint="eastAsia" w:ascii="MS UI Gothic" w:eastAsia="MS UI Gothic"/>
          <w:w w:val="80"/>
        </w:rPr>
        <w:t xml:space="preserve">ꎬ </w:t>
      </w:r>
      <w:r>
        <w:t>国务院或者有关地方人民政府认为需要调查处理的</w:t>
      </w:r>
      <w:r>
        <w:rPr>
          <w:rFonts w:hint="eastAsia" w:ascii="MS UI Gothic" w:eastAsia="MS UI Gothic"/>
          <w:w w:val="80"/>
        </w:rPr>
        <w:t xml:space="preserve">ꎬ </w:t>
      </w:r>
      <w:r>
        <w:t>依照本条例的有关规定执行</w:t>
      </w:r>
      <w:r>
        <w:rPr>
          <w:rFonts w:hint="eastAsia" w:ascii="MS UI Gothic" w:eastAsia="MS UI Gothic"/>
          <w:w w:val="80"/>
        </w:rPr>
        <w:t>ꎮ</w:t>
      </w:r>
    </w:p>
    <w:p>
      <w:pPr>
        <w:pStyle w:val="6"/>
        <w:spacing w:line="295" w:lineRule="auto"/>
        <w:ind w:left="383" w:right="126"/>
        <w:rPr>
          <w:rFonts w:hint="eastAsia" w:ascii="MS UI Gothic" w:eastAsia="MS UI Gothic"/>
        </w:rPr>
      </w:pPr>
      <w:r>
        <w:t>国家机关</w:t>
      </w:r>
      <w:r>
        <w:rPr>
          <w:rFonts w:hint="eastAsia" w:ascii="MS UI Gothic" w:eastAsia="MS UI Gothic"/>
          <w:w w:val="80"/>
        </w:rPr>
        <w:t xml:space="preserve">、 </w:t>
      </w:r>
      <w:r>
        <w:t>事业单位</w:t>
      </w:r>
      <w:r>
        <w:rPr>
          <w:rFonts w:hint="eastAsia" w:ascii="MS UI Gothic" w:eastAsia="MS UI Gothic"/>
          <w:w w:val="80"/>
        </w:rPr>
        <w:t xml:space="preserve">、 </w:t>
      </w:r>
      <w:r>
        <w:t>人民团体发生的事故的报告和调查处理</w:t>
      </w:r>
      <w:r>
        <w:rPr>
          <w:rFonts w:hint="eastAsia" w:ascii="MS UI Gothic" w:eastAsia="MS UI Gothic"/>
          <w:w w:val="80"/>
        </w:rPr>
        <w:t xml:space="preserve">ꎬ </w:t>
      </w:r>
      <w:r>
        <w:t>参照本条例的规定执行</w:t>
      </w:r>
      <w:r>
        <w:rPr>
          <w:rFonts w:hint="eastAsia" w:ascii="MS UI Gothic" w:eastAsia="MS UI Gothic"/>
          <w:w w:val="80"/>
        </w:rPr>
        <w:t>ꎮ</w:t>
      </w:r>
    </w:p>
    <w:p>
      <w:pPr>
        <w:pStyle w:val="6"/>
        <w:spacing w:line="295" w:lineRule="auto"/>
        <w:ind w:left="383" w:right="126"/>
        <w:rPr>
          <w:rFonts w:hint="eastAsia" w:ascii="MS UI Gothic" w:eastAsia="MS UI Gothic"/>
        </w:rPr>
      </w:pPr>
      <w:r>
        <w:t>第四十五条 特别重大事故以下等级事故的报告和调查处理</w:t>
      </w:r>
      <w:r>
        <w:rPr>
          <w:rFonts w:hint="eastAsia" w:ascii="MS UI Gothic" w:eastAsia="MS UI Gothic"/>
          <w:w w:val="80"/>
        </w:rPr>
        <w:t xml:space="preserve">ꎬ </w:t>
      </w:r>
      <w:r>
        <w:t>有关法律</w:t>
      </w:r>
      <w:r>
        <w:rPr>
          <w:rFonts w:hint="eastAsia" w:ascii="MS UI Gothic" w:eastAsia="MS UI Gothic"/>
          <w:w w:val="80"/>
        </w:rPr>
        <w:t xml:space="preserve">、 </w:t>
      </w:r>
      <w:r>
        <w:t>行政法规或者国务院另有规定的</w:t>
      </w:r>
      <w:r>
        <w:rPr>
          <w:rFonts w:hint="eastAsia" w:ascii="MS UI Gothic" w:eastAsia="MS UI Gothic"/>
          <w:w w:val="80"/>
        </w:rPr>
        <w:t xml:space="preserve">ꎬ </w:t>
      </w:r>
      <w:r>
        <w:t>依照其规定</w:t>
      </w:r>
      <w:r>
        <w:rPr>
          <w:rFonts w:hint="eastAsia" w:ascii="MS UI Gothic" w:eastAsia="MS UI Gothic"/>
          <w:w w:val="80"/>
        </w:rPr>
        <w:t>ꎮ</w:t>
      </w:r>
    </w:p>
    <w:p>
      <w:pPr>
        <w:pStyle w:val="6"/>
        <w:spacing w:line="253" w:lineRule="exact"/>
        <w:ind w:left="802" w:firstLine="0"/>
      </w:pPr>
      <w:r>
        <w:pict>
          <v:shape id="_x0000_s1284" o:spid="_x0000_s1284" o:spt="202" type="#_x0000_t202" style="position:absolute;left:0pt;margin-left:280.35pt;margin-top:11.8pt;height:24.35pt;width:5.15pt;mso-position-horizontal-relative:page;z-index:-27600588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t xml:space="preserve">第四十六条 本条例自 </w:t>
      </w:r>
      <w:r>
        <w:rPr>
          <w:rFonts w:hint="eastAsia" w:ascii="MS UI Gothic" w:eastAsia="MS UI Gothic"/>
        </w:rPr>
        <w:t xml:space="preserve">２００７ </w:t>
      </w:r>
      <w:r>
        <w:t xml:space="preserve">年 </w:t>
      </w:r>
      <w:r>
        <w:rPr>
          <w:rFonts w:hint="eastAsia" w:ascii="MS UI Gothic" w:eastAsia="MS UI Gothic"/>
        </w:rPr>
        <w:t xml:space="preserve">６ </w:t>
      </w:r>
      <w:r>
        <w:t>月</w:t>
      </w:r>
    </w:p>
    <w:p>
      <w:pPr>
        <w:pStyle w:val="6"/>
        <w:spacing w:before="52" w:line="295" w:lineRule="auto"/>
        <w:ind w:left="383" w:right="126" w:firstLine="155"/>
        <w:rPr>
          <w:rFonts w:hint="eastAsia" w:ascii="MS UI Gothic" w:hAnsi="MS UI Gothic" w:eastAsia="MS UI Gothic"/>
        </w:rPr>
      </w:pPr>
      <w:r>
        <w:rPr>
          <w:spacing w:val="3"/>
          <w:w w:val="95"/>
        </w:rPr>
        <w:t>日起施行</w:t>
      </w:r>
      <w:r>
        <w:rPr>
          <w:rFonts w:hint="eastAsia" w:ascii="MS UI Gothic" w:hAnsi="MS UI Gothic" w:eastAsia="MS UI Gothic"/>
          <w:spacing w:val="16"/>
          <w:w w:val="90"/>
        </w:rPr>
        <w:t xml:space="preserve">ꎮ </w:t>
      </w:r>
      <w:r>
        <w:rPr>
          <w:spacing w:val="-8"/>
          <w:w w:val="95"/>
        </w:rPr>
        <w:t xml:space="preserve">国务院 </w:t>
      </w:r>
      <w:r>
        <w:rPr>
          <w:rFonts w:hint="eastAsia" w:ascii="MS UI Gothic" w:hAnsi="MS UI Gothic" w:eastAsia="MS UI Gothic"/>
          <w:spacing w:val="-1"/>
          <w:w w:val="95"/>
        </w:rPr>
        <w:t xml:space="preserve">１９８９ </w:t>
      </w:r>
      <w:r>
        <w:rPr>
          <w:spacing w:val="-24"/>
          <w:w w:val="95"/>
        </w:rPr>
        <w:t xml:space="preserve">年 </w:t>
      </w:r>
      <w:r>
        <w:rPr>
          <w:rFonts w:hint="eastAsia" w:ascii="MS UI Gothic" w:hAnsi="MS UI Gothic" w:eastAsia="MS UI Gothic"/>
          <w:spacing w:val="-2"/>
          <w:w w:val="95"/>
        </w:rPr>
        <w:t xml:space="preserve">３ </w:t>
      </w:r>
      <w:r>
        <w:rPr>
          <w:spacing w:val="-24"/>
          <w:w w:val="95"/>
        </w:rPr>
        <w:t xml:space="preserve">月 </w:t>
      </w:r>
      <w:r>
        <w:rPr>
          <w:rFonts w:hint="eastAsia" w:ascii="MS UI Gothic" w:hAnsi="MS UI Gothic" w:eastAsia="MS UI Gothic"/>
          <w:spacing w:val="-2"/>
          <w:w w:val="95"/>
        </w:rPr>
        <w:t xml:space="preserve">２９ </w:t>
      </w:r>
      <w:r>
        <w:rPr>
          <w:spacing w:val="5"/>
          <w:w w:val="95"/>
        </w:rPr>
        <w:t>日公</w:t>
      </w:r>
      <w:r>
        <w:rPr>
          <w:spacing w:val="16"/>
          <w:w w:val="95"/>
        </w:rPr>
        <w:t xml:space="preserve">布的 </w:t>
      </w:r>
      <w:r>
        <w:rPr>
          <w:rFonts w:hint="eastAsia" w:ascii="MS UI Gothic" w:hAnsi="MS UI Gothic" w:eastAsia="MS UI Gothic"/>
          <w:spacing w:val="-6"/>
          <w:w w:val="95"/>
        </w:rPr>
        <w:t xml:space="preserve">« </w:t>
      </w:r>
      <w:r>
        <w:rPr>
          <w:spacing w:val="5"/>
          <w:w w:val="95"/>
        </w:rPr>
        <w:t>特别重大事故调查程序暂行规定</w:t>
      </w:r>
      <w:r>
        <w:rPr>
          <w:rFonts w:hint="eastAsia" w:ascii="MS UI Gothic" w:hAnsi="MS UI Gothic" w:eastAsia="MS UI Gothic"/>
          <w:w w:val="95"/>
        </w:rPr>
        <w:t xml:space="preserve">» </w:t>
      </w:r>
      <w:r>
        <w:rPr>
          <w:spacing w:val="-25"/>
          <w:w w:val="95"/>
        </w:rPr>
        <w:t xml:space="preserve">和 </w:t>
      </w:r>
      <w:r>
        <w:rPr>
          <w:rFonts w:hint="eastAsia" w:ascii="MS UI Gothic" w:hAnsi="MS UI Gothic" w:eastAsia="MS UI Gothic"/>
          <w:spacing w:val="-1"/>
          <w:w w:val="95"/>
        </w:rPr>
        <w:t xml:space="preserve">１９９１ </w:t>
      </w:r>
      <w:r>
        <w:rPr>
          <w:spacing w:val="-25"/>
          <w:w w:val="95"/>
        </w:rPr>
        <w:t xml:space="preserve">年 </w:t>
      </w:r>
      <w:r>
        <w:rPr>
          <w:rFonts w:hint="eastAsia" w:ascii="MS UI Gothic" w:hAnsi="MS UI Gothic" w:eastAsia="MS UI Gothic"/>
          <w:spacing w:val="-2"/>
          <w:w w:val="95"/>
        </w:rPr>
        <w:t xml:space="preserve">２ </w:t>
      </w:r>
      <w:r>
        <w:rPr>
          <w:spacing w:val="-25"/>
          <w:w w:val="95"/>
        </w:rPr>
        <w:t xml:space="preserve">月 </w:t>
      </w:r>
      <w:r>
        <w:rPr>
          <w:rFonts w:hint="eastAsia" w:ascii="MS UI Gothic" w:hAnsi="MS UI Gothic" w:eastAsia="MS UI Gothic"/>
          <w:spacing w:val="-1"/>
          <w:w w:val="95"/>
        </w:rPr>
        <w:t xml:space="preserve">２２ </w:t>
      </w:r>
      <w:r>
        <w:rPr>
          <w:spacing w:val="3"/>
          <w:w w:val="95"/>
        </w:rPr>
        <w:t xml:space="preserve">日公布的 </w:t>
      </w:r>
      <w:r>
        <w:rPr>
          <w:rFonts w:hint="eastAsia" w:ascii="MS UI Gothic" w:hAnsi="MS UI Gothic" w:eastAsia="MS UI Gothic"/>
          <w:spacing w:val="-19"/>
          <w:w w:val="95"/>
        </w:rPr>
        <w:t xml:space="preserve">« </w:t>
      </w:r>
      <w:r>
        <w:rPr>
          <w:spacing w:val="2"/>
          <w:w w:val="95"/>
        </w:rPr>
        <w:t>企业职工伤</w:t>
      </w:r>
      <w:r>
        <w:rPr>
          <w:spacing w:val="3"/>
          <w:w w:val="95"/>
        </w:rPr>
        <w:t>亡事故报告和处理规定</w:t>
      </w:r>
      <w:r>
        <w:rPr>
          <w:rFonts w:hint="eastAsia" w:ascii="MS UI Gothic" w:hAnsi="MS UI Gothic" w:eastAsia="MS UI Gothic"/>
          <w:spacing w:val="16"/>
          <w:w w:val="95"/>
        </w:rPr>
        <w:t xml:space="preserve">» </w:t>
      </w:r>
      <w:r>
        <w:rPr>
          <w:spacing w:val="3"/>
          <w:w w:val="95"/>
        </w:rPr>
        <w:t>同时废止</w:t>
      </w:r>
      <w:r>
        <w:rPr>
          <w:rFonts w:hint="eastAsia" w:ascii="MS UI Gothic" w:hAnsi="MS UI Gothic" w:eastAsia="MS UI Gothic"/>
          <w:w w:val="9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3"/>
        <w:ind w:left="0" w:firstLine="0"/>
        <w:jc w:val="left"/>
        <w:rPr>
          <w:rFonts w:ascii="MS UI Gothic"/>
          <w:sz w:val="16"/>
        </w:rPr>
      </w:pPr>
    </w:p>
    <w:p>
      <w:pPr>
        <w:pStyle w:val="4"/>
        <w:spacing w:before="74"/>
      </w:pPr>
      <w:r>
        <w:t>中华人民共和国国务院令</w:t>
      </w:r>
    </w:p>
    <w:p>
      <w:pPr>
        <w:pStyle w:val="6"/>
        <w:ind w:left="0" w:firstLine="0"/>
        <w:jc w:val="left"/>
        <w:rPr>
          <w:sz w:val="27"/>
        </w:rPr>
      </w:pPr>
    </w:p>
    <w:p>
      <w:pPr>
        <w:pStyle w:val="5"/>
      </w:pPr>
      <w:r>
        <w:t xml:space="preserve">第 </w:t>
      </w:r>
      <w:r>
        <w:rPr>
          <w:rFonts w:hint="eastAsia" w:ascii="MS UI Gothic" w:eastAsia="MS UI Gothic"/>
        </w:rPr>
        <w:t xml:space="preserve">３０２ </w:t>
      </w:r>
      <w:r>
        <w:t>号</w:t>
      </w:r>
    </w:p>
    <w:p>
      <w:pPr>
        <w:pStyle w:val="6"/>
        <w:spacing w:before="354"/>
        <w:ind w:left="353" w:firstLine="0"/>
        <w:jc w:val="center"/>
        <w:rPr>
          <w:rFonts w:hint="eastAsia" w:ascii="MS UI Gothic" w:hAnsi="MS UI Gothic" w:eastAsia="MS UI Gothic"/>
        </w:rPr>
      </w:pPr>
      <w:r>
        <w:t xml:space="preserve">现公布 </w:t>
      </w:r>
      <w:r>
        <w:rPr>
          <w:rFonts w:hint="eastAsia" w:ascii="MS UI Gothic" w:hAnsi="MS UI Gothic" w:eastAsia="MS UI Gothic"/>
          <w:w w:val="80"/>
        </w:rPr>
        <w:t xml:space="preserve">« </w:t>
      </w:r>
      <w:r>
        <w:t>国务院关于特大安全事故行政责任追究的规定</w:t>
      </w:r>
      <w:r>
        <w:rPr>
          <w:rFonts w:hint="eastAsia" w:ascii="MS UI Gothic" w:hAnsi="MS UI Gothic" w:eastAsia="MS UI Gothic"/>
          <w:w w:val="80"/>
        </w:rPr>
        <w:t xml:space="preserve">» ꎬ </w:t>
      </w:r>
      <w:r>
        <w:t>自公布之日起施行</w:t>
      </w:r>
      <w:r>
        <w:rPr>
          <w:rFonts w:hint="eastAsia" w:ascii="MS UI Gothic" w:hAnsi="MS UI Gothic" w:eastAsia="MS UI Gothic"/>
          <w:w w:val="80"/>
        </w:rPr>
        <w:t>ꎮ</w:t>
      </w:r>
    </w:p>
    <w:p>
      <w:pPr>
        <w:pStyle w:val="6"/>
        <w:tabs>
          <w:tab w:val="left" w:pos="7776"/>
        </w:tabs>
        <w:spacing w:before="373" w:line="295" w:lineRule="auto"/>
        <w:ind w:left="6100" w:right="126" w:firstLine="1047"/>
        <w:jc w:val="right"/>
      </w:pPr>
      <w:r>
        <w:rPr>
          <w:spacing w:val="3"/>
          <w:w w:val="105"/>
        </w:rPr>
        <w:t>总</w:t>
      </w:r>
      <w:r>
        <w:rPr>
          <w:w w:val="105"/>
        </w:rPr>
        <w:t>理</w:t>
      </w:r>
      <w:r>
        <w:rPr>
          <w:w w:val="105"/>
        </w:rPr>
        <w:tab/>
      </w:r>
      <w:r>
        <w:rPr>
          <w:spacing w:val="3"/>
        </w:rPr>
        <w:t>朱镕</w:t>
      </w:r>
      <w:r>
        <w:rPr>
          <w:spacing w:val="-15"/>
        </w:rPr>
        <w:t>基</w:t>
      </w:r>
      <w:r>
        <w:rPr>
          <w:spacing w:val="3"/>
        </w:rPr>
        <w:t>二</w:t>
      </w:r>
      <w:r>
        <w:rPr>
          <w:rFonts w:hint="eastAsia" w:ascii="MS UI Gothic" w:hAnsi="MS UI Gothic" w:eastAsia="MS UI Gothic"/>
          <w:spacing w:val="3"/>
        </w:rPr>
        <w:t>○○</w:t>
      </w:r>
      <w:r>
        <w:rPr>
          <w:spacing w:val="3"/>
        </w:rPr>
        <w:t>一年四月二十一</w:t>
      </w:r>
      <w:r>
        <w:t>日</w:t>
      </w:r>
    </w:p>
    <w:p>
      <w:pPr>
        <w:spacing w:after="0" w:line="295" w:lineRule="auto"/>
        <w:jc w:val="right"/>
        <w:sectPr>
          <w:type w:val="continuous"/>
          <w:pgSz w:w="10500" w:h="14750"/>
          <w:pgMar w:top="1400" w:right="980" w:bottom="280" w:left="980" w:header="720" w:footer="720" w:gutter="0"/>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７８</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85" o:spid="_x0000_s1285" o:spt="203" style="height:2.15pt;width:398.25pt;" coordsize="7965,43">
            <o:lock v:ext="edit"/>
            <v:line id="_x0000_s1286" o:spid="_x0000_s1286" o:spt="20" style="position:absolute;left:0;top:39;height:0;width:7965;" stroked="t" coordsize="21600,21600">
              <v:path arrowok="t"/>
              <v:fill focussize="0,0"/>
              <v:stroke weight="0.388031496062992pt" color="#231F20"/>
              <v:imagedata o:title=""/>
              <o:lock v:ext="edit"/>
            </v:line>
            <v:line id="_x0000_s1287" o:spid="_x0000_s1287"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icrosoft Yi Baiti"/>
        </w:rPr>
      </w:pPr>
    </w:p>
    <w:p>
      <w:pPr>
        <w:pStyle w:val="6"/>
        <w:spacing w:before="5"/>
        <w:ind w:left="0" w:firstLine="0"/>
        <w:jc w:val="left"/>
        <w:rPr>
          <w:rFonts w:ascii="Microsoft Yi Baiti"/>
        </w:rPr>
      </w:pPr>
    </w:p>
    <w:p>
      <w:pPr>
        <w:pStyle w:val="4"/>
        <w:spacing w:before="78" w:line="266" w:lineRule="auto"/>
        <w:ind w:left="2445" w:right="2331" w:hanging="435"/>
        <w:jc w:val="left"/>
        <w:rPr>
          <w:rFonts w:hint="eastAsia" w:ascii="Microsoft Yi Baiti" w:eastAsia="Microsoft Yi Baiti"/>
        </w:rPr>
      </w:pPr>
      <w:r>
        <w:t xml:space="preserve">国务院关于特大安全事故行政责任追究的规定 </w:t>
      </w:r>
      <w:r>
        <w:rPr>
          <w:rFonts w:hint="eastAsia" w:ascii="Microsoft Yi Baiti" w:eastAsia="Microsoft Yi Baiti"/>
        </w:rPr>
        <w:t>(</w:t>
      </w:r>
      <w:r>
        <w:rPr>
          <w:rFonts w:hint="eastAsia" w:ascii="MS UI Gothic" w:eastAsia="MS UI Gothic"/>
        </w:rPr>
        <w:t xml:space="preserve">２００１ </w:t>
      </w:r>
      <w:r>
        <w:t>年公布</w:t>
      </w:r>
      <w:r>
        <w:rPr>
          <w:rFonts w:hint="eastAsia" w:ascii="Microsoft Yi Baiti" w:eastAsia="Microsoft Yi Baiti"/>
        </w:rPr>
        <w:t>)</w:t>
      </w:r>
    </w:p>
    <w:p>
      <w:pPr>
        <w:pStyle w:val="6"/>
        <w:ind w:left="0" w:firstLine="0"/>
        <w:jc w:val="left"/>
        <w:rPr>
          <w:rFonts w:ascii="Microsoft Yi Baiti"/>
          <w:sz w:val="15"/>
        </w:rPr>
      </w:pPr>
    </w:p>
    <w:p>
      <w:pPr>
        <w:spacing w:after="0"/>
        <w:jc w:val="left"/>
        <w:rPr>
          <w:rFonts w:ascii="Microsoft Yi Baiti"/>
          <w:sz w:val="15"/>
        </w:rPr>
        <w:sectPr>
          <w:type w:val="continuous"/>
          <w:pgSz w:w="10500" w:h="14750"/>
          <w:pgMar w:top="1400" w:right="980" w:bottom="280" w:left="980" w:header="720" w:footer="720" w:gutter="0"/>
        </w:sectPr>
      </w:pPr>
    </w:p>
    <w:p>
      <w:pPr>
        <w:pStyle w:val="6"/>
        <w:spacing w:before="174" w:line="300" w:lineRule="auto"/>
        <w:ind w:right="39"/>
        <w:rPr>
          <w:rFonts w:hint="eastAsia" w:ascii="MS UI Gothic" w:eastAsia="MS UI Gothic"/>
        </w:rPr>
      </w:pPr>
      <w:r>
        <w:t>第一条 为了有效地防范特大安全事故的发生</w:t>
      </w:r>
      <w:r>
        <w:rPr>
          <w:rFonts w:hint="eastAsia" w:ascii="MS UI Gothic" w:eastAsia="MS UI Gothic"/>
          <w:w w:val="80"/>
        </w:rPr>
        <w:t xml:space="preserve">ꎬ </w:t>
      </w:r>
      <w:r>
        <w:t>严肃追究特大安全事故的行政责任</w:t>
      </w:r>
      <w:r>
        <w:rPr>
          <w:rFonts w:hint="eastAsia" w:ascii="MS UI Gothic" w:eastAsia="MS UI Gothic"/>
          <w:w w:val="80"/>
        </w:rPr>
        <w:t xml:space="preserve">ꎬ </w:t>
      </w:r>
      <w:r>
        <w:t>保障人民群众生命</w:t>
      </w:r>
      <w:r>
        <w:rPr>
          <w:rFonts w:hint="eastAsia" w:ascii="MS UI Gothic" w:eastAsia="MS UI Gothic"/>
          <w:w w:val="80"/>
        </w:rPr>
        <w:t xml:space="preserve">、 </w:t>
      </w:r>
      <w:r>
        <w:t>财产安全</w:t>
      </w:r>
      <w:r>
        <w:rPr>
          <w:rFonts w:hint="eastAsia" w:ascii="MS UI Gothic" w:eastAsia="MS UI Gothic"/>
          <w:w w:val="80"/>
        </w:rPr>
        <w:t xml:space="preserve">ꎬ </w:t>
      </w:r>
      <w:r>
        <w:t>制定本规定</w:t>
      </w:r>
      <w:r>
        <w:rPr>
          <w:rFonts w:hint="eastAsia" w:ascii="MS UI Gothic" w:eastAsia="MS UI Gothic"/>
          <w:w w:val="80"/>
        </w:rPr>
        <w:t>ꎮ</w:t>
      </w:r>
    </w:p>
    <w:p>
      <w:pPr>
        <w:pStyle w:val="6"/>
        <w:spacing w:line="300" w:lineRule="auto"/>
        <w:ind w:right="39"/>
        <w:rPr>
          <w:rFonts w:hint="eastAsia" w:ascii="MS UI Gothic" w:eastAsia="MS UI Gothic"/>
        </w:rPr>
      </w:pPr>
      <w:r>
        <w:rPr>
          <w:w w:val="105"/>
        </w:rPr>
        <w:t>第二条 地方人民政府主要领导人和</w:t>
      </w:r>
      <w:r>
        <w:t>政府有关部门正职负责人对下列特大安全</w:t>
      </w:r>
      <w:r>
        <w:rPr>
          <w:w w:val="105"/>
        </w:rPr>
        <w:t>事故的防范</w:t>
      </w:r>
      <w:r>
        <w:rPr>
          <w:rFonts w:hint="eastAsia" w:ascii="MS UI Gothic" w:eastAsia="MS UI Gothic"/>
          <w:w w:val="80"/>
        </w:rPr>
        <w:t xml:space="preserve">、 </w:t>
      </w:r>
      <w:r>
        <w:rPr>
          <w:w w:val="105"/>
        </w:rPr>
        <w:t>发生</w:t>
      </w:r>
      <w:r>
        <w:rPr>
          <w:rFonts w:hint="eastAsia" w:ascii="MS UI Gothic" w:eastAsia="MS UI Gothic"/>
          <w:w w:val="80"/>
        </w:rPr>
        <w:t xml:space="preserve">ꎬ </w:t>
      </w:r>
      <w:r>
        <w:rPr>
          <w:w w:val="105"/>
        </w:rPr>
        <w:t>依照法律</w:t>
      </w:r>
      <w:r>
        <w:rPr>
          <w:rFonts w:hint="eastAsia" w:ascii="MS UI Gothic" w:eastAsia="MS UI Gothic"/>
          <w:w w:val="80"/>
        </w:rPr>
        <w:t xml:space="preserve">、 </w:t>
      </w:r>
      <w:r>
        <w:rPr>
          <w:w w:val="105"/>
        </w:rPr>
        <w:t>行政法规和本规定的规定有失职</w:t>
      </w:r>
      <w:r>
        <w:rPr>
          <w:rFonts w:hint="eastAsia" w:ascii="MS UI Gothic" w:eastAsia="MS UI Gothic"/>
          <w:w w:val="80"/>
        </w:rPr>
        <w:t xml:space="preserve">、 </w:t>
      </w:r>
      <w:r>
        <w:rPr>
          <w:w w:val="105"/>
        </w:rPr>
        <w:t>渎职情形或者负</w:t>
      </w:r>
      <w:r>
        <w:t>有领导责任的</w:t>
      </w:r>
      <w:r>
        <w:rPr>
          <w:rFonts w:hint="eastAsia" w:ascii="MS UI Gothic" w:eastAsia="MS UI Gothic"/>
          <w:w w:val="80"/>
        </w:rPr>
        <w:t xml:space="preserve">ꎬ </w:t>
      </w:r>
      <w:r>
        <w:t>依照本规定给予行政处分</w:t>
      </w:r>
      <w:r>
        <w:rPr>
          <w:rFonts w:hint="eastAsia" w:ascii="MS UI Gothic" w:eastAsia="MS UI Gothic"/>
          <w:w w:val="80"/>
        </w:rPr>
        <w:t xml:space="preserve">ꎻ </w:t>
      </w:r>
      <w:r>
        <w:t>构成玩忽职守罪或者其他罪的</w:t>
      </w:r>
      <w:r>
        <w:rPr>
          <w:rFonts w:hint="eastAsia" w:ascii="MS UI Gothic" w:eastAsia="MS UI Gothic"/>
          <w:w w:val="80"/>
        </w:rPr>
        <w:t xml:space="preserve">ꎬ </w:t>
      </w:r>
      <w:r>
        <w:t>依法</w:t>
      </w:r>
      <w:r>
        <w:rPr>
          <w:w w:val="105"/>
        </w:rPr>
        <w:t>追究刑事责任</w:t>
      </w:r>
      <w:r>
        <w:rPr>
          <w:rFonts w:hint="eastAsia" w:ascii="MS UI Gothic" w:eastAsia="MS UI Gothic"/>
          <w:w w:val="235"/>
        </w:rPr>
        <w:t>:</w:t>
      </w:r>
    </w:p>
    <w:p>
      <w:pPr>
        <w:pStyle w:val="6"/>
        <w:spacing w:line="252"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特大火灾事故</w:t>
      </w:r>
      <w:r>
        <w:rPr>
          <w:rFonts w:hint="eastAsia" w:ascii="MS UI Gothic" w:eastAsia="MS UI Gothic"/>
          <w:w w:val="80"/>
        </w:rPr>
        <w:t>ꎻ</w:t>
      </w:r>
    </w:p>
    <w:p>
      <w:pPr>
        <w:pStyle w:val="6"/>
        <w:spacing w:before="60"/>
        <w:ind w:left="543"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特大交通安全事故</w:t>
      </w:r>
      <w:r>
        <w:rPr>
          <w:rFonts w:hint="eastAsia" w:ascii="MS UI Gothic" w:eastAsia="MS UI Gothic"/>
          <w:w w:val="80"/>
        </w:rPr>
        <w:t>ꎻ</w:t>
      </w:r>
    </w:p>
    <w:p>
      <w:pPr>
        <w:pStyle w:val="6"/>
        <w:spacing w:before="64"/>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特大建筑质量安全事故</w:t>
      </w:r>
      <w:r>
        <w:rPr>
          <w:rFonts w:hint="eastAsia" w:ascii="MS UI Gothic" w:eastAsia="MS UI Gothic"/>
          <w:w w:val="80"/>
        </w:rPr>
        <w:t>ꎻ</w:t>
      </w:r>
    </w:p>
    <w:p>
      <w:pPr>
        <w:pStyle w:val="6"/>
        <w:spacing w:before="62" w:line="300" w:lineRule="auto"/>
        <w:ind w:right="39"/>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民用爆炸物品和化学危险品特</w:t>
      </w:r>
      <w:r>
        <w:rPr>
          <w:w w:val="110"/>
        </w:rPr>
        <w:t>大安全事故</w:t>
      </w:r>
      <w:r>
        <w:rPr>
          <w:rFonts w:hint="eastAsia" w:ascii="MS UI Gothic" w:eastAsia="MS UI Gothic"/>
          <w:w w:val="80"/>
        </w:rPr>
        <w:t>ꎻ</w:t>
      </w:r>
    </w:p>
    <w:p>
      <w:pPr>
        <w:pStyle w:val="6"/>
        <w:spacing w:line="300" w:lineRule="auto"/>
        <w:ind w:right="39"/>
        <w:jc w:val="left"/>
        <w:rPr>
          <w:rFonts w:hint="eastAsia" w:ascii="MS UI Gothic" w:eastAsia="MS UI Gothic"/>
        </w:rPr>
      </w:pPr>
      <w:r>
        <w:rPr>
          <w:rFonts w:hint="eastAsia" w:ascii="MS UI Gothic" w:eastAsia="MS UI Gothic"/>
          <w:spacing w:val="-34"/>
          <w:w w:val="125"/>
        </w:rPr>
        <w:t xml:space="preserve">( </w:t>
      </w:r>
      <w:r>
        <w:rPr>
          <w:spacing w:val="29"/>
          <w:w w:val="110"/>
        </w:rPr>
        <w:t>五</w:t>
      </w:r>
      <w:r>
        <w:rPr>
          <w:rFonts w:hint="eastAsia" w:ascii="MS UI Gothic" w:eastAsia="MS UI Gothic"/>
          <w:spacing w:val="-11"/>
          <w:w w:val="125"/>
        </w:rPr>
        <w:t xml:space="preserve">) </w:t>
      </w:r>
      <w:r>
        <w:rPr>
          <w:spacing w:val="41"/>
          <w:w w:val="110"/>
        </w:rPr>
        <w:t>煤矿和其他矿山特大安全</w:t>
      </w:r>
      <w:r>
        <w:rPr>
          <w:spacing w:val="3"/>
          <w:w w:val="110"/>
        </w:rPr>
        <w:t>事故</w:t>
      </w:r>
      <w:r>
        <w:rPr>
          <w:rFonts w:hint="eastAsia" w:ascii="MS UI Gothic" w:eastAsia="MS UI Gothic"/>
          <w:w w:val="80"/>
        </w:rPr>
        <w:t>ꎻ</w:t>
      </w:r>
    </w:p>
    <w:p>
      <w:pPr>
        <w:pStyle w:val="6"/>
        <w:spacing w:line="300" w:lineRule="auto"/>
        <w:ind w:right="39"/>
        <w:jc w:val="left"/>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锅炉</w:t>
      </w:r>
      <w:r>
        <w:rPr>
          <w:rFonts w:hint="eastAsia" w:ascii="MS UI Gothic" w:eastAsia="MS UI Gothic"/>
          <w:w w:val="80"/>
        </w:rPr>
        <w:t xml:space="preserve">、 </w:t>
      </w:r>
      <w:r>
        <w:rPr>
          <w:w w:val="105"/>
        </w:rPr>
        <w:t>压力容器</w:t>
      </w:r>
      <w:r>
        <w:rPr>
          <w:rFonts w:hint="eastAsia" w:ascii="MS UI Gothic" w:eastAsia="MS UI Gothic"/>
          <w:w w:val="80"/>
        </w:rPr>
        <w:t xml:space="preserve">、 </w:t>
      </w:r>
      <w:r>
        <w:rPr>
          <w:w w:val="105"/>
        </w:rPr>
        <w:t>压力管道和特种设备特大安全事故</w:t>
      </w:r>
      <w:r>
        <w:rPr>
          <w:rFonts w:hint="eastAsia" w:ascii="MS UI Gothic" w:eastAsia="MS UI Gothic"/>
          <w:w w:val="80"/>
        </w:rPr>
        <w:t>ꎻ</w:t>
      </w:r>
    </w:p>
    <w:p>
      <w:pPr>
        <w:pStyle w:val="6"/>
        <w:ind w:left="543" w:firstLine="0"/>
        <w:jc w:val="left"/>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其他特大安全事故</w:t>
      </w:r>
      <w:r>
        <w:rPr>
          <w:rFonts w:hint="eastAsia" w:ascii="MS UI Gothic" w:eastAsia="MS UI Gothic"/>
          <w:w w:val="80"/>
        </w:rPr>
        <w:t>ꎮ</w:t>
      </w:r>
    </w:p>
    <w:p>
      <w:pPr>
        <w:pStyle w:val="6"/>
        <w:spacing w:before="59" w:line="300" w:lineRule="auto"/>
        <w:ind w:right="39"/>
        <w:rPr>
          <w:rFonts w:hint="eastAsia" w:ascii="MS UI Gothic" w:eastAsia="MS UI Gothic"/>
        </w:rPr>
      </w:pPr>
      <w:r>
        <w:t>地方人民政府和政府有关部门对特大安全事故的防范</w:t>
      </w:r>
      <w:r>
        <w:rPr>
          <w:rFonts w:hint="eastAsia" w:ascii="MS UI Gothic" w:eastAsia="MS UI Gothic"/>
          <w:w w:val="80"/>
        </w:rPr>
        <w:t xml:space="preserve">、 </w:t>
      </w:r>
      <w:r>
        <w:t>发生直接负责的主管人员和其他直接责任人员</w:t>
      </w:r>
      <w:r>
        <w:rPr>
          <w:rFonts w:hint="eastAsia" w:ascii="MS UI Gothic" w:eastAsia="MS UI Gothic"/>
          <w:w w:val="80"/>
        </w:rPr>
        <w:t xml:space="preserve">ꎬ </w:t>
      </w:r>
      <w:r>
        <w:t>比照本规定给予行政处分</w:t>
      </w:r>
      <w:r>
        <w:rPr>
          <w:rFonts w:hint="eastAsia" w:ascii="MS UI Gothic" w:eastAsia="MS UI Gothic"/>
          <w:w w:val="80"/>
        </w:rPr>
        <w:t xml:space="preserve">ꎻ </w:t>
      </w:r>
      <w:r>
        <w:t>构成玩忽职守罪或者其他罪的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300" w:lineRule="auto"/>
        <w:ind w:right="39"/>
        <w:rPr>
          <w:rFonts w:hint="eastAsia" w:ascii="MS UI Gothic" w:eastAsia="MS UI Gothic"/>
        </w:rPr>
      </w:pPr>
      <w:r>
        <w:t>特大安全事故肇事单位和个人的刑事处罚</w:t>
      </w:r>
      <w:r>
        <w:rPr>
          <w:rFonts w:hint="eastAsia" w:ascii="MS UI Gothic" w:eastAsia="MS UI Gothic"/>
          <w:w w:val="80"/>
        </w:rPr>
        <w:t xml:space="preserve">、 </w:t>
      </w:r>
      <w:r>
        <w:t>行政处罚和民事责任</w:t>
      </w:r>
      <w:r>
        <w:rPr>
          <w:rFonts w:hint="eastAsia" w:ascii="MS UI Gothic" w:eastAsia="MS UI Gothic"/>
          <w:w w:val="80"/>
        </w:rPr>
        <w:t xml:space="preserve">ꎬ </w:t>
      </w:r>
      <w:r>
        <w:t>依照有关法律</w:t>
      </w:r>
      <w:r>
        <w:rPr>
          <w:rFonts w:hint="eastAsia" w:ascii="MS UI Gothic" w:eastAsia="MS UI Gothic"/>
          <w:w w:val="80"/>
        </w:rPr>
        <w:t xml:space="preserve">、 </w:t>
      </w:r>
      <w:r>
        <w:t>法规和规章的规定执行</w:t>
      </w:r>
      <w:r>
        <w:rPr>
          <w:rFonts w:hint="eastAsia" w:ascii="MS UI Gothic" w:eastAsia="MS UI Gothic"/>
          <w:w w:val="80"/>
        </w:rPr>
        <w:t>ꎮ</w:t>
      </w:r>
    </w:p>
    <w:p>
      <w:pPr>
        <w:pStyle w:val="6"/>
        <w:tabs>
          <w:tab w:val="left" w:pos="1389"/>
        </w:tabs>
        <w:spacing w:line="300" w:lineRule="auto"/>
        <w:ind w:right="38"/>
        <w:jc w:val="left"/>
        <w:rPr>
          <w:rFonts w:hint="eastAsia" w:ascii="MS UI Gothic" w:eastAsia="MS UI Gothic"/>
        </w:rPr>
      </w:pPr>
      <w:r>
        <w:rPr>
          <w:spacing w:val="3"/>
        </w:rPr>
        <w:t>第三</w:t>
      </w:r>
      <w:r>
        <w:t>条</w:t>
      </w:r>
      <w:r>
        <w:tab/>
      </w:r>
      <w:r>
        <w:rPr>
          <w:spacing w:val="13"/>
        </w:rPr>
        <w:t>特大安全事故的具体标</w:t>
      </w:r>
      <w:r>
        <w:rPr>
          <w:spacing w:val="3"/>
        </w:rPr>
        <w:t>准</w:t>
      </w:r>
      <w:r>
        <w:rPr>
          <w:rFonts w:hint="eastAsia" w:ascii="MS UI Gothic" w:eastAsia="MS UI Gothic"/>
          <w:spacing w:val="-11"/>
          <w:w w:val="80"/>
        </w:rPr>
        <w:t>ꎬ</w:t>
      </w:r>
      <w:r>
        <w:rPr>
          <w:spacing w:val="3"/>
        </w:rPr>
        <w:t>按照国家有关规定执行</w:t>
      </w:r>
      <w:r>
        <w:rPr>
          <w:rFonts w:hint="eastAsia" w:ascii="MS UI Gothic" w:eastAsia="MS UI Gothic"/>
          <w:w w:val="80"/>
        </w:rPr>
        <w:t>ꎮ</w:t>
      </w:r>
    </w:p>
    <w:p>
      <w:pPr>
        <w:pStyle w:val="6"/>
        <w:spacing w:line="300" w:lineRule="auto"/>
        <w:ind w:right="39"/>
      </w:pPr>
      <w:r>
        <w:rPr>
          <w:w w:val="105"/>
        </w:rPr>
        <w:t>第四条 地方各级人民政府及政府有关部门应当依照有关法律</w:t>
      </w:r>
      <w:r>
        <w:rPr>
          <w:rFonts w:hint="eastAsia" w:ascii="MS UI Gothic" w:eastAsia="MS UI Gothic"/>
          <w:w w:val="80"/>
        </w:rPr>
        <w:t xml:space="preserve">、 </w:t>
      </w:r>
      <w:r>
        <w:rPr>
          <w:w w:val="105"/>
        </w:rPr>
        <w:t>法规和规章的</w:t>
      </w:r>
      <w:r>
        <w:t>规定</w:t>
      </w:r>
      <w:r>
        <w:rPr>
          <w:rFonts w:hint="eastAsia" w:ascii="MS UI Gothic" w:eastAsia="MS UI Gothic"/>
          <w:w w:val="80"/>
        </w:rPr>
        <w:t xml:space="preserve">ꎬ </w:t>
      </w:r>
      <w:r>
        <w:t>采取行政措施</w:t>
      </w:r>
      <w:r>
        <w:rPr>
          <w:rFonts w:hint="eastAsia" w:ascii="MS UI Gothic" w:eastAsia="MS UI Gothic"/>
          <w:w w:val="80"/>
        </w:rPr>
        <w:t xml:space="preserve">ꎬ </w:t>
      </w:r>
      <w:r>
        <w:t>对本地区实施安全</w:t>
      </w:r>
    </w:p>
    <w:p>
      <w:pPr>
        <w:pStyle w:val="6"/>
        <w:spacing w:before="174" w:line="300" w:lineRule="auto"/>
        <w:ind w:right="442" w:firstLine="0"/>
        <w:rPr>
          <w:rFonts w:hint="eastAsia" w:ascii="MS UI Gothic" w:eastAsia="MS UI Gothic"/>
        </w:rPr>
      </w:pPr>
      <w:r>
        <w:br w:type="column"/>
      </w:r>
      <w:r>
        <w:rPr>
          <w:spacing w:val="3"/>
        </w:rPr>
        <w:t>监督管理</w:t>
      </w:r>
      <w:r>
        <w:rPr>
          <w:rFonts w:hint="eastAsia" w:ascii="MS UI Gothic" w:eastAsia="MS UI Gothic"/>
          <w:spacing w:val="11"/>
          <w:w w:val="80"/>
        </w:rPr>
        <w:t xml:space="preserve">ꎬ </w:t>
      </w:r>
      <w:r>
        <w:rPr>
          <w:spacing w:val="3"/>
        </w:rPr>
        <w:t>保障本地区人民群众生命</w:t>
      </w:r>
      <w:r>
        <w:rPr>
          <w:rFonts w:hint="eastAsia" w:ascii="MS UI Gothic" w:eastAsia="MS UI Gothic"/>
          <w:spacing w:val="11"/>
          <w:w w:val="80"/>
        </w:rPr>
        <w:t xml:space="preserve">、 </w:t>
      </w:r>
      <w:r>
        <w:t>财</w:t>
      </w:r>
      <w:r>
        <w:rPr>
          <w:spacing w:val="3"/>
        </w:rPr>
        <w:t>产安全</w:t>
      </w:r>
      <w:r>
        <w:rPr>
          <w:rFonts w:hint="eastAsia" w:ascii="MS UI Gothic" w:eastAsia="MS UI Gothic"/>
          <w:spacing w:val="20"/>
          <w:w w:val="80"/>
        </w:rPr>
        <w:t xml:space="preserve">ꎬ </w:t>
      </w:r>
      <w:r>
        <w:rPr>
          <w:spacing w:val="2"/>
        </w:rPr>
        <w:t>对本地区或者职责范围内防范特</w:t>
      </w:r>
      <w:r>
        <w:rPr>
          <w:spacing w:val="3"/>
        </w:rPr>
        <w:t>大安全事故的发生</w:t>
      </w:r>
      <w:r>
        <w:rPr>
          <w:rFonts w:hint="eastAsia" w:ascii="MS UI Gothic" w:eastAsia="MS UI Gothic"/>
          <w:spacing w:val="16"/>
          <w:w w:val="80"/>
        </w:rPr>
        <w:t xml:space="preserve">、 </w:t>
      </w:r>
      <w:r>
        <w:rPr>
          <w:spacing w:val="2"/>
        </w:rPr>
        <w:t>特大安全事故发生后</w:t>
      </w:r>
      <w:r>
        <w:rPr>
          <w:spacing w:val="3"/>
        </w:rPr>
        <w:t>的迅速和妥善处理负责</w:t>
      </w:r>
      <w:r>
        <w:rPr>
          <w:rFonts w:hint="eastAsia" w:ascii="MS UI Gothic" w:eastAsia="MS UI Gothic"/>
          <w:w w:val="80"/>
        </w:rPr>
        <w:t>ꎮ</w:t>
      </w:r>
    </w:p>
    <w:p>
      <w:pPr>
        <w:pStyle w:val="6"/>
        <w:spacing w:line="300" w:lineRule="auto"/>
        <w:ind w:right="442"/>
        <w:rPr>
          <w:rFonts w:hint="eastAsia" w:ascii="MS UI Gothic" w:eastAsia="MS UI Gothic"/>
        </w:rPr>
      </w:pPr>
      <w:r>
        <w:rPr>
          <w:spacing w:val="2"/>
          <w:w w:val="105"/>
        </w:rPr>
        <w:t>第五条 地方各级人民政府应当每个</w:t>
      </w:r>
      <w:r>
        <w:rPr>
          <w:spacing w:val="2"/>
        </w:rPr>
        <w:t>季度至少召开一次防范特大安全事故工作</w:t>
      </w:r>
      <w:r>
        <w:rPr>
          <w:spacing w:val="3"/>
        </w:rPr>
        <w:t>会议</w:t>
      </w:r>
      <w:r>
        <w:rPr>
          <w:rFonts w:hint="eastAsia" w:ascii="MS UI Gothic" w:eastAsia="MS UI Gothic"/>
          <w:spacing w:val="20"/>
          <w:w w:val="80"/>
        </w:rPr>
        <w:t xml:space="preserve">ꎬ </w:t>
      </w:r>
      <w:r>
        <w:rPr>
          <w:spacing w:val="2"/>
        </w:rPr>
        <w:t>由政府主要领导人或者政府主要领导人委托政府分管领导人召集有关部门正</w:t>
      </w:r>
      <w:r>
        <w:rPr>
          <w:spacing w:val="3"/>
          <w:w w:val="105"/>
        </w:rPr>
        <w:t>职负责人参加</w:t>
      </w:r>
      <w:r>
        <w:rPr>
          <w:rFonts w:hint="eastAsia" w:ascii="MS UI Gothic" w:eastAsia="MS UI Gothic"/>
          <w:spacing w:val="13"/>
          <w:w w:val="80"/>
        </w:rPr>
        <w:t xml:space="preserve">ꎬ </w:t>
      </w:r>
      <w:r>
        <w:rPr>
          <w:spacing w:val="3"/>
          <w:w w:val="105"/>
        </w:rPr>
        <w:t>分析</w:t>
      </w:r>
      <w:r>
        <w:rPr>
          <w:rFonts w:hint="eastAsia" w:ascii="MS UI Gothic" w:eastAsia="MS UI Gothic"/>
          <w:spacing w:val="13"/>
          <w:w w:val="80"/>
        </w:rPr>
        <w:t xml:space="preserve">、 </w:t>
      </w:r>
      <w:r>
        <w:rPr>
          <w:spacing w:val="3"/>
          <w:w w:val="105"/>
        </w:rPr>
        <w:t>布置</w:t>
      </w:r>
      <w:r>
        <w:rPr>
          <w:rFonts w:hint="eastAsia" w:ascii="MS UI Gothic" w:eastAsia="MS UI Gothic"/>
          <w:spacing w:val="13"/>
          <w:w w:val="80"/>
        </w:rPr>
        <w:t xml:space="preserve">、 </w:t>
      </w:r>
      <w:r>
        <w:rPr>
          <w:spacing w:val="3"/>
          <w:w w:val="105"/>
        </w:rPr>
        <w:t>督促</w:t>
      </w:r>
      <w:r>
        <w:rPr>
          <w:rFonts w:hint="eastAsia" w:ascii="MS UI Gothic" w:eastAsia="MS UI Gothic"/>
          <w:spacing w:val="14"/>
          <w:w w:val="80"/>
        </w:rPr>
        <w:t xml:space="preserve">、 </w:t>
      </w:r>
      <w:r>
        <w:rPr>
          <w:spacing w:val="1"/>
          <w:w w:val="105"/>
        </w:rPr>
        <w:t>检查</w:t>
      </w:r>
      <w:r>
        <w:rPr>
          <w:spacing w:val="3"/>
        </w:rPr>
        <w:t>本地区防范特大安全事故的工作</w:t>
      </w:r>
      <w:r>
        <w:rPr>
          <w:rFonts w:hint="eastAsia" w:ascii="MS UI Gothic" w:eastAsia="MS UI Gothic"/>
          <w:spacing w:val="20"/>
          <w:w w:val="80"/>
        </w:rPr>
        <w:t xml:space="preserve">ꎮ </w:t>
      </w:r>
      <w:r>
        <w:rPr>
          <w:spacing w:val="1"/>
        </w:rPr>
        <w:t>会议应</w:t>
      </w:r>
      <w:r>
        <w:rPr>
          <w:spacing w:val="3"/>
        </w:rPr>
        <w:t>当作出决定并形成纪要</w:t>
      </w:r>
      <w:r>
        <w:rPr>
          <w:rFonts w:hint="eastAsia" w:ascii="MS UI Gothic" w:eastAsia="MS UI Gothic"/>
          <w:spacing w:val="20"/>
          <w:w w:val="80"/>
        </w:rPr>
        <w:t xml:space="preserve">ꎬ </w:t>
      </w:r>
      <w:r>
        <w:rPr>
          <w:spacing w:val="2"/>
        </w:rPr>
        <w:t>会议确定的各项</w:t>
      </w:r>
      <w:r>
        <w:rPr>
          <w:spacing w:val="3"/>
          <w:w w:val="105"/>
        </w:rPr>
        <w:t>防范措施必须严格实施</w:t>
      </w:r>
      <w:r>
        <w:rPr>
          <w:rFonts w:hint="eastAsia" w:ascii="MS UI Gothic" w:eastAsia="MS UI Gothic"/>
          <w:w w:val="80"/>
        </w:rPr>
        <w:t>ꎮ</w:t>
      </w:r>
    </w:p>
    <w:p>
      <w:pPr>
        <w:pStyle w:val="6"/>
        <w:spacing w:line="300" w:lineRule="auto"/>
        <w:ind w:right="440"/>
        <w:rPr>
          <w:rFonts w:hint="eastAsia" w:ascii="MS UI Gothic" w:eastAsia="MS UI Gothic"/>
        </w:rPr>
      </w:pPr>
      <w:r>
        <w:rPr>
          <w:w w:val="105"/>
        </w:rPr>
        <w:t xml:space="preserve">第六条  市 </w:t>
      </w:r>
      <w:r>
        <w:rPr>
          <w:rFonts w:hint="eastAsia" w:ascii="MS UI Gothic" w:eastAsia="MS UI Gothic"/>
          <w:w w:val="150"/>
        </w:rPr>
        <w:t xml:space="preserve">( </w:t>
      </w:r>
      <w:r>
        <w:rPr>
          <w:w w:val="105"/>
        </w:rPr>
        <w:t>地</w:t>
      </w:r>
      <w:r>
        <w:rPr>
          <w:rFonts w:hint="eastAsia" w:ascii="MS UI Gothic" w:eastAsia="MS UI Gothic"/>
          <w:w w:val="80"/>
        </w:rPr>
        <w:t xml:space="preserve">、  </w:t>
      </w:r>
      <w:r>
        <w:rPr>
          <w:w w:val="105"/>
        </w:rPr>
        <w:t>州</w:t>
      </w:r>
      <w:r>
        <w:rPr>
          <w:rFonts w:hint="eastAsia" w:ascii="MS UI Gothic" w:eastAsia="MS UI Gothic"/>
          <w:w w:val="150"/>
        </w:rPr>
        <w:t>)</w:t>
      </w:r>
      <w:r>
        <w:rPr>
          <w:rFonts w:hint="eastAsia" w:ascii="MS UI Gothic" w:eastAsia="MS UI Gothic"/>
          <w:w w:val="80"/>
        </w:rPr>
        <w:t xml:space="preserve">、  </w:t>
      </w:r>
      <w:r>
        <w:rPr>
          <w:w w:val="105"/>
        </w:rPr>
        <w:t xml:space="preserve">县 </w:t>
      </w:r>
      <w:r>
        <w:rPr>
          <w:rFonts w:hint="eastAsia" w:ascii="MS UI Gothic" w:eastAsia="MS UI Gothic"/>
          <w:w w:val="150"/>
        </w:rPr>
        <w:t xml:space="preserve">( </w:t>
      </w:r>
      <w:r>
        <w:rPr>
          <w:w w:val="105"/>
        </w:rPr>
        <w:t>市</w:t>
      </w:r>
      <w:r>
        <w:rPr>
          <w:rFonts w:hint="eastAsia" w:ascii="MS UI Gothic" w:eastAsia="MS UI Gothic"/>
          <w:w w:val="80"/>
        </w:rPr>
        <w:t>、</w:t>
      </w:r>
      <w:r>
        <w:rPr>
          <w:w w:val="105"/>
        </w:rPr>
        <w:t>区</w:t>
      </w:r>
      <w:r>
        <w:rPr>
          <w:rFonts w:hint="eastAsia" w:ascii="MS UI Gothic" w:eastAsia="MS UI Gothic"/>
          <w:w w:val="150"/>
        </w:rPr>
        <w:t xml:space="preserve">) </w:t>
      </w:r>
      <w:r>
        <w:rPr>
          <w:w w:val="105"/>
        </w:rPr>
        <w:t>人民政府应当组织有关部门按照职</w:t>
      </w:r>
      <w:r>
        <w:t>责分工对本地区容易发生特大安全事故的</w:t>
      </w:r>
      <w:r>
        <w:rPr>
          <w:w w:val="105"/>
        </w:rPr>
        <w:t>单位</w:t>
      </w:r>
      <w:r>
        <w:rPr>
          <w:rFonts w:hint="eastAsia" w:ascii="MS UI Gothic" w:eastAsia="MS UI Gothic"/>
          <w:w w:val="80"/>
        </w:rPr>
        <w:t xml:space="preserve">、 </w:t>
      </w:r>
      <w:r>
        <w:rPr>
          <w:w w:val="105"/>
        </w:rPr>
        <w:t>设施和场所安全事故的防范明确责任</w:t>
      </w:r>
      <w:r>
        <w:rPr>
          <w:rFonts w:hint="eastAsia" w:ascii="MS UI Gothic" w:eastAsia="MS UI Gothic"/>
          <w:w w:val="80"/>
        </w:rPr>
        <w:t xml:space="preserve">、 </w:t>
      </w:r>
      <w:r>
        <w:rPr>
          <w:w w:val="105"/>
        </w:rPr>
        <w:t>采取措施</w:t>
      </w:r>
      <w:r>
        <w:rPr>
          <w:rFonts w:hint="eastAsia" w:ascii="MS UI Gothic" w:eastAsia="MS UI Gothic"/>
          <w:w w:val="80"/>
        </w:rPr>
        <w:t xml:space="preserve">ꎬ </w:t>
      </w:r>
      <w:r>
        <w:rPr>
          <w:w w:val="105"/>
        </w:rPr>
        <w:t>并组织有关部门对上述单位</w:t>
      </w:r>
      <w:r>
        <w:rPr>
          <w:rFonts w:hint="eastAsia" w:ascii="MS UI Gothic" w:eastAsia="MS UI Gothic"/>
          <w:w w:val="80"/>
        </w:rPr>
        <w:t xml:space="preserve">、 </w:t>
      </w:r>
      <w:r>
        <w:rPr>
          <w:w w:val="105"/>
        </w:rPr>
        <w:t>设施和场所进行严格检查</w:t>
      </w:r>
      <w:r>
        <w:rPr>
          <w:rFonts w:hint="eastAsia" w:ascii="MS UI Gothic" w:eastAsia="MS UI Gothic"/>
          <w:w w:val="80"/>
        </w:rPr>
        <w:t>ꎮ</w:t>
      </w:r>
    </w:p>
    <w:p>
      <w:pPr>
        <w:pStyle w:val="6"/>
        <w:spacing w:line="300" w:lineRule="auto"/>
        <w:ind w:right="440"/>
        <w:rPr>
          <w:rFonts w:hint="eastAsia" w:ascii="MS UI Gothic" w:eastAsia="MS UI Gothic"/>
        </w:rPr>
      </w:pPr>
      <w:r>
        <w:rPr>
          <w:w w:val="105"/>
        </w:rPr>
        <w:t xml:space="preserve">第七条  市 </w:t>
      </w:r>
      <w:r>
        <w:rPr>
          <w:rFonts w:hint="eastAsia" w:ascii="MS UI Gothic" w:eastAsia="MS UI Gothic"/>
          <w:w w:val="150"/>
        </w:rPr>
        <w:t xml:space="preserve">( </w:t>
      </w:r>
      <w:r>
        <w:rPr>
          <w:w w:val="105"/>
        </w:rPr>
        <w:t>地</w:t>
      </w:r>
      <w:r>
        <w:rPr>
          <w:rFonts w:hint="eastAsia" w:ascii="MS UI Gothic" w:eastAsia="MS UI Gothic"/>
          <w:w w:val="80"/>
        </w:rPr>
        <w:t xml:space="preserve">、  </w:t>
      </w:r>
      <w:r>
        <w:rPr>
          <w:w w:val="105"/>
        </w:rPr>
        <w:t>州</w:t>
      </w:r>
      <w:r>
        <w:rPr>
          <w:rFonts w:hint="eastAsia" w:ascii="MS UI Gothic" w:eastAsia="MS UI Gothic"/>
          <w:w w:val="150"/>
        </w:rPr>
        <w:t>)</w:t>
      </w:r>
      <w:r>
        <w:rPr>
          <w:rFonts w:hint="eastAsia" w:ascii="MS UI Gothic" w:eastAsia="MS UI Gothic"/>
          <w:w w:val="80"/>
        </w:rPr>
        <w:t xml:space="preserve">、  </w:t>
      </w:r>
      <w:r>
        <w:rPr>
          <w:w w:val="105"/>
        </w:rPr>
        <w:t xml:space="preserve">县 </w:t>
      </w:r>
      <w:r>
        <w:rPr>
          <w:rFonts w:hint="eastAsia" w:ascii="MS UI Gothic" w:eastAsia="MS UI Gothic"/>
          <w:w w:val="150"/>
        </w:rPr>
        <w:t xml:space="preserve">( </w:t>
      </w:r>
      <w:r>
        <w:rPr>
          <w:w w:val="105"/>
        </w:rPr>
        <w:t>市</w:t>
      </w:r>
      <w:r>
        <w:rPr>
          <w:rFonts w:hint="eastAsia" w:ascii="MS UI Gothic" w:eastAsia="MS UI Gothic"/>
          <w:w w:val="80"/>
        </w:rPr>
        <w:t>、</w:t>
      </w:r>
      <w:r>
        <w:rPr>
          <w:w w:val="105"/>
        </w:rPr>
        <w:t>区</w:t>
      </w:r>
      <w:r>
        <w:rPr>
          <w:rFonts w:hint="eastAsia" w:ascii="MS UI Gothic" w:eastAsia="MS UI Gothic"/>
          <w:w w:val="150"/>
        </w:rPr>
        <w:t xml:space="preserve">) </w:t>
      </w:r>
      <w:r>
        <w:rPr>
          <w:w w:val="105"/>
        </w:rPr>
        <w:t>人民政府必须制定本地区特大安全</w:t>
      </w:r>
      <w:r>
        <w:t>事故应急处理预案</w:t>
      </w:r>
      <w:r>
        <w:rPr>
          <w:rFonts w:hint="eastAsia" w:ascii="MS UI Gothic" w:eastAsia="MS UI Gothic"/>
          <w:w w:val="80"/>
        </w:rPr>
        <w:t xml:space="preserve">ꎮ </w:t>
      </w:r>
      <w:r>
        <w:t>本地区特大安全事故应急处理预案经政府主要领导人签署后</w:t>
      </w:r>
      <w:r>
        <w:rPr>
          <w:rFonts w:hint="eastAsia" w:ascii="MS UI Gothic" w:eastAsia="MS UI Gothic"/>
          <w:w w:val="80"/>
        </w:rPr>
        <w:t>ꎬ</w:t>
      </w:r>
      <w:r>
        <w:rPr>
          <w:w w:val="105"/>
        </w:rPr>
        <w:t>报上一级人民政府备案</w:t>
      </w:r>
      <w:r>
        <w:rPr>
          <w:rFonts w:hint="eastAsia" w:ascii="MS UI Gothic" w:eastAsia="MS UI Gothic"/>
          <w:w w:val="80"/>
        </w:rPr>
        <w:t>ꎮ</w:t>
      </w:r>
    </w:p>
    <w:p>
      <w:pPr>
        <w:pStyle w:val="6"/>
        <w:spacing w:line="300" w:lineRule="auto"/>
        <w:ind w:right="440"/>
        <w:rPr>
          <w:rFonts w:hint="eastAsia" w:ascii="MS UI Gothic" w:eastAsia="MS UI Gothic"/>
        </w:rPr>
      </w:pPr>
      <w:r>
        <w:rPr>
          <w:w w:val="105"/>
        </w:rPr>
        <w:t xml:space="preserve">第八条  市 </w:t>
      </w:r>
      <w:r>
        <w:rPr>
          <w:rFonts w:hint="eastAsia" w:ascii="MS UI Gothic" w:eastAsia="MS UI Gothic"/>
          <w:w w:val="150"/>
        </w:rPr>
        <w:t xml:space="preserve">( </w:t>
      </w:r>
      <w:r>
        <w:rPr>
          <w:w w:val="105"/>
        </w:rPr>
        <w:t>地</w:t>
      </w:r>
      <w:r>
        <w:rPr>
          <w:rFonts w:hint="eastAsia" w:ascii="MS UI Gothic" w:eastAsia="MS UI Gothic"/>
          <w:w w:val="80"/>
        </w:rPr>
        <w:t xml:space="preserve">、  </w:t>
      </w:r>
      <w:r>
        <w:rPr>
          <w:w w:val="105"/>
        </w:rPr>
        <w:t>州</w:t>
      </w:r>
      <w:r>
        <w:rPr>
          <w:rFonts w:hint="eastAsia" w:ascii="MS UI Gothic" w:eastAsia="MS UI Gothic"/>
          <w:w w:val="150"/>
        </w:rPr>
        <w:t>)</w:t>
      </w:r>
      <w:r>
        <w:rPr>
          <w:rFonts w:hint="eastAsia" w:ascii="MS UI Gothic" w:eastAsia="MS UI Gothic"/>
          <w:w w:val="80"/>
        </w:rPr>
        <w:t xml:space="preserve">、  </w:t>
      </w:r>
      <w:r>
        <w:rPr>
          <w:w w:val="105"/>
        </w:rPr>
        <w:t xml:space="preserve">县 </w:t>
      </w:r>
      <w:r>
        <w:rPr>
          <w:rFonts w:hint="eastAsia" w:ascii="MS UI Gothic" w:eastAsia="MS UI Gothic"/>
          <w:w w:val="150"/>
        </w:rPr>
        <w:t xml:space="preserve">( </w:t>
      </w:r>
      <w:r>
        <w:rPr>
          <w:w w:val="105"/>
        </w:rPr>
        <w:t>市</w:t>
      </w:r>
      <w:r>
        <w:rPr>
          <w:rFonts w:hint="eastAsia" w:ascii="MS UI Gothic" w:eastAsia="MS UI Gothic"/>
          <w:w w:val="80"/>
        </w:rPr>
        <w:t>、</w:t>
      </w:r>
      <w:r>
        <w:rPr>
          <w:w w:val="105"/>
        </w:rPr>
        <w:t>区</w:t>
      </w:r>
      <w:r>
        <w:rPr>
          <w:rFonts w:hint="eastAsia" w:ascii="MS UI Gothic" w:eastAsia="MS UI Gothic"/>
          <w:w w:val="150"/>
        </w:rPr>
        <w:t xml:space="preserve">) </w:t>
      </w:r>
      <w:r>
        <w:rPr>
          <w:w w:val="105"/>
        </w:rPr>
        <w:t>人民政府应当组织有关部门对本规</w:t>
      </w:r>
      <w:r>
        <w:t>定第二条所列各类特大安全事故的隐患进行查处</w:t>
      </w:r>
      <w:r>
        <w:rPr>
          <w:rFonts w:hint="eastAsia" w:ascii="MS UI Gothic" w:eastAsia="MS UI Gothic"/>
          <w:w w:val="80"/>
        </w:rPr>
        <w:t xml:space="preserve">ꎻ </w:t>
      </w:r>
      <w:r>
        <w:t>发现特大安全事故隐患的</w:t>
      </w:r>
      <w:r>
        <w:rPr>
          <w:rFonts w:hint="eastAsia" w:ascii="MS UI Gothic" w:eastAsia="MS UI Gothic"/>
          <w:w w:val="80"/>
        </w:rPr>
        <w:t xml:space="preserve">ꎬ </w:t>
      </w:r>
      <w:r>
        <w:t>责令立即排除</w:t>
      </w:r>
      <w:r>
        <w:rPr>
          <w:rFonts w:hint="eastAsia" w:ascii="MS UI Gothic" w:eastAsia="MS UI Gothic"/>
          <w:w w:val="80"/>
        </w:rPr>
        <w:t xml:space="preserve">ꎻ </w:t>
      </w:r>
      <w:r>
        <w:t>特大安全事故隐患排除前或者排除过程中</w:t>
      </w:r>
      <w:r>
        <w:rPr>
          <w:rFonts w:hint="eastAsia" w:ascii="MS UI Gothic" w:eastAsia="MS UI Gothic"/>
          <w:w w:val="80"/>
        </w:rPr>
        <w:t xml:space="preserve">ꎬ </w:t>
      </w:r>
      <w:r>
        <w:t>无法保证安全的</w:t>
      </w:r>
      <w:r>
        <w:rPr>
          <w:rFonts w:hint="eastAsia" w:ascii="MS UI Gothic" w:eastAsia="MS UI Gothic"/>
          <w:w w:val="80"/>
        </w:rPr>
        <w:t xml:space="preserve">ꎬ </w:t>
      </w:r>
      <w:r>
        <w:t>责令暂时</w:t>
      </w:r>
      <w:r>
        <w:rPr>
          <w:w w:val="105"/>
        </w:rPr>
        <w:t>停产</w:t>
      </w:r>
      <w:r>
        <w:rPr>
          <w:rFonts w:hint="eastAsia" w:ascii="MS UI Gothic" w:eastAsia="MS UI Gothic"/>
          <w:w w:val="80"/>
        </w:rPr>
        <w:t xml:space="preserve">、 </w:t>
      </w:r>
      <w:r>
        <w:rPr>
          <w:w w:val="105"/>
        </w:rPr>
        <w:t>停业或者停止使用</w:t>
      </w:r>
      <w:r>
        <w:rPr>
          <w:rFonts w:hint="eastAsia" w:ascii="MS UI Gothic" w:eastAsia="MS UI Gothic"/>
          <w:w w:val="80"/>
        </w:rPr>
        <w:t xml:space="preserve">ꎮ </w:t>
      </w:r>
      <w:r>
        <w:rPr>
          <w:w w:val="105"/>
        </w:rPr>
        <w:t>法律</w:t>
      </w:r>
      <w:r>
        <w:rPr>
          <w:rFonts w:hint="eastAsia" w:ascii="MS UI Gothic" w:eastAsia="MS UI Gothic"/>
          <w:w w:val="80"/>
        </w:rPr>
        <w:t xml:space="preserve">、 </w:t>
      </w:r>
      <w:r>
        <w:rPr>
          <w:w w:val="105"/>
        </w:rPr>
        <w:t>行政法</w:t>
      </w:r>
      <w:r>
        <w:t>规对查处机关另有规定的</w:t>
      </w:r>
      <w:r>
        <w:rPr>
          <w:rFonts w:hint="eastAsia" w:ascii="MS UI Gothic" w:eastAsia="MS UI Gothic"/>
          <w:w w:val="80"/>
        </w:rPr>
        <w:t xml:space="preserve">ꎬ </w:t>
      </w:r>
      <w:r>
        <w:t>依照其规定</w:t>
      </w:r>
      <w:r>
        <w:rPr>
          <w:rFonts w:hint="eastAsia" w:ascii="MS UI Gothic" w:eastAsia="MS UI Gothic"/>
          <w:w w:val="80"/>
        </w:rPr>
        <w:t>ꎮ</w:t>
      </w:r>
    </w:p>
    <w:p>
      <w:pPr>
        <w:pStyle w:val="6"/>
        <w:spacing w:line="300" w:lineRule="auto"/>
        <w:ind w:right="440"/>
      </w:pPr>
      <w:r>
        <w:rPr>
          <w:w w:val="105"/>
        </w:rPr>
        <w:t xml:space="preserve">第九条  市 </w:t>
      </w:r>
      <w:r>
        <w:rPr>
          <w:rFonts w:hint="eastAsia" w:ascii="MS UI Gothic" w:eastAsia="MS UI Gothic"/>
          <w:w w:val="150"/>
        </w:rPr>
        <w:t xml:space="preserve">( </w:t>
      </w:r>
      <w:r>
        <w:rPr>
          <w:w w:val="105"/>
        </w:rPr>
        <w:t>地</w:t>
      </w:r>
      <w:r>
        <w:rPr>
          <w:rFonts w:hint="eastAsia" w:ascii="MS UI Gothic" w:eastAsia="MS UI Gothic"/>
          <w:w w:val="80"/>
        </w:rPr>
        <w:t xml:space="preserve">、  </w:t>
      </w:r>
      <w:r>
        <w:rPr>
          <w:w w:val="105"/>
        </w:rPr>
        <w:t>州</w:t>
      </w:r>
      <w:r>
        <w:rPr>
          <w:rFonts w:hint="eastAsia" w:ascii="MS UI Gothic" w:eastAsia="MS UI Gothic"/>
          <w:w w:val="150"/>
        </w:rPr>
        <w:t>)</w:t>
      </w:r>
      <w:r>
        <w:rPr>
          <w:rFonts w:hint="eastAsia" w:ascii="MS UI Gothic" w:eastAsia="MS UI Gothic"/>
          <w:w w:val="80"/>
        </w:rPr>
        <w:t xml:space="preserve">、  </w:t>
      </w:r>
      <w:r>
        <w:rPr>
          <w:w w:val="105"/>
        </w:rPr>
        <w:t xml:space="preserve">县 </w:t>
      </w:r>
      <w:r>
        <w:rPr>
          <w:rFonts w:hint="eastAsia" w:ascii="MS UI Gothic" w:eastAsia="MS UI Gothic"/>
          <w:w w:val="150"/>
        </w:rPr>
        <w:t xml:space="preserve">( </w:t>
      </w:r>
      <w:r>
        <w:rPr>
          <w:w w:val="105"/>
        </w:rPr>
        <w:t>市</w:t>
      </w:r>
      <w:r>
        <w:rPr>
          <w:rFonts w:hint="eastAsia" w:ascii="MS UI Gothic" w:eastAsia="MS UI Gothic"/>
          <w:w w:val="80"/>
        </w:rPr>
        <w:t>、</w:t>
      </w:r>
      <w:r>
        <w:rPr>
          <w:w w:val="105"/>
        </w:rPr>
        <w:t>区</w:t>
      </w:r>
      <w:r>
        <w:rPr>
          <w:rFonts w:hint="eastAsia" w:ascii="MS UI Gothic" w:eastAsia="MS UI Gothic"/>
          <w:w w:val="150"/>
        </w:rPr>
        <w:t xml:space="preserve">) </w:t>
      </w:r>
      <w:r>
        <w:rPr>
          <w:w w:val="105"/>
        </w:rPr>
        <w:t>人民政府及其有关部门对本地区存</w:t>
      </w:r>
      <w:r>
        <w:t>在的特大安全事故隐患</w:t>
      </w:r>
      <w:r>
        <w:rPr>
          <w:rFonts w:hint="eastAsia" w:ascii="MS UI Gothic" w:eastAsia="MS UI Gothic"/>
          <w:w w:val="80"/>
        </w:rPr>
        <w:t xml:space="preserve">ꎬ </w:t>
      </w:r>
      <w:r>
        <w:t>超出其管辖或者</w:t>
      </w:r>
    </w:p>
    <w:p>
      <w:pPr>
        <w:spacing w:after="0" w:line="300"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７９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88" o:spid="_x0000_s1288" o:spt="203" style="height:2.15pt;width:398.25pt;" coordsize="7965,43">
            <o:lock v:ext="edit"/>
            <v:line id="_x0000_s1289" o:spid="_x0000_s1289" o:spt="20" style="position:absolute;left:0;top:39;height:0;width:7965;" stroked="t" coordsize="21600,21600">
              <v:path arrowok="t"/>
              <v:fill focussize="0,0"/>
              <v:stroke weight="0.388031496062992pt" color="#231F20"/>
              <v:imagedata o:title=""/>
              <o:lock v:ext="edit"/>
            </v:line>
            <v:line id="_x0000_s1290" o:spid="_x0000_s129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职责范围的</w:t>
      </w:r>
      <w:r>
        <w:rPr>
          <w:rFonts w:hint="eastAsia" w:ascii="MS UI Gothic" w:eastAsia="MS UI Gothic"/>
          <w:w w:val="80"/>
        </w:rPr>
        <w:t xml:space="preserve">ꎬ </w:t>
      </w:r>
      <w:r>
        <w:t>应当立即向有管辖权或者负有职责的上级人民政府或者政府有关部门报告</w:t>
      </w:r>
      <w:r>
        <w:rPr>
          <w:rFonts w:hint="eastAsia" w:ascii="MS UI Gothic" w:eastAsia="MS UI Gothic"/>
          <w:w w:val="80"/>
        </w:rPr>
        <w:t xml:space="preserve">ꎻ </w:t>
      </w:r>
      <w:r>
        <w:t>情况紧急的</w:t>
      </w:r>
      <w:r>
        <w:rPr>
          <w:rFonts w:hint="eastAsia" w:ascii="MS UI Gothic" w:eastAsia="MS UI Gothic"/>
          <w:w w:val="80"/>
        </w:rPr>
        <w:t xml:space="preserve">ꎬ </w:t>
      </w:r>
      <w:r>
        <w:t>可以立即采取包括责令暂时停产</w:t>
      </w:r>
      <w:r>
        <w:rPr>
          <w:rFonts w:hint="eastAsia" w:ascii="MS UI Gothic" w:eastAsia="MS UI Gothic"/>
          <w:w w:val="80"/>
        </w:rPr>
        <w:t xml:space="preserve">、 </w:t>
      </w:r>
      <w:r>
        <w:t>停业在内的紧急措施</w:t>
      </w:r>
      <w:r>
        <w:rPr>
          <w:rFonts w:hint="eastAsia" w:ascii="MS UI Gothic" w:eastAsia="MS UI Gothic"/>
          <w:w w:val="80"/>
        </w:rPr>
        <w:t xml:space="preserve">ꎬ </w:t>
      </w:r>
      <w:r>
        <w:t>同时报告</w:t>
      </w:r>
      <w:r>
        <w:rPr>
          <w:rFonts w:hint="eastAsia" w:ascii="MS UI Gothic" w:eastAsia="MS UI Gothic"/>
          <w:w w:val="80"/>
        </w:rPr>
        <w:t xml:space="preserve">ꎻ </w:t>
      </w:r>
      <w:r>
        <w:t>有关上级人民政府或者政府有关部门接到报告后</w:t>
      </w:r>
      <w:r>
        <w:rPr>
          <w:rFonts w:hint="eastAsia" w:ascii="MS UI Gothic" w:eastAsia="MS UI Gothic"/>
          <w:w w:val="80"/>
        </w:rPr>
        <w:t xml:space="preserve">ꎬ </w:t>
      </w:r>
      <w:r>
        <w:t>应当立即组织查处</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第十条 中小学校对学生进行劳动技</w:t>
      </w:r>
      <w:r>
        <w:rPr>
          <w:spacing w:val="2"/>
        </w:rPr>
        <w:t>能教育以及组织学生参加公益劳动等社会</w:t>
      </w:r>
      <w:r>
        <w:rPr>
          <w:spacing w:val="3"/>
        </w:rPr>
        <w:t>实践活动</w:t>
      </w:r>
      <w:r>
        <w:rPr>
          <w:rFonts w:hint="eastAsia" w:ascii="MS UI Gothic" w:eastAsia="MS UI Gothic"/>
          <w:spacing w:val="23"/>
          <w:w w:val="80"/>
        </w:rPr>
        <w:t xml:space="preserve">ꎬ </w:t>
      </w:r>
      <w:r>
        <w:rPr>
          <w:spacing w:val="3"/>
        </w:rPr>
        <w:t>必须确保学生安全</w:t>
      </w:r>
      <w:r>
        <w:rPr>
          <w:rFonts w:hint="eastAsia" w:ascii="MS UI Gothic" w:eastAsia="MS UI Gothic"/>
          <w:spacing w:val="23"/>
          <w:w w:val="80"/>
        </w:rPr>
        <w:t xml:space="preserve">ꎮ </w:t>
      </w:r>
      <w:r>
        <w:rPr>
          <w:spacing w:val="2"/>
        </w:rPr>
        <w:t>严禁以任</w:t>
      </w:r>
      <w:r>
        <w:rPr>
          <w:spacing w:val="3"/>
        </w:rPr>
        <w:t>何形式</w:t>
      </w:r>
      <w:r>
        <w:rPr>
          <w:rFonts w:hint="eastAsia" w:ascii="MS UI Gothic" w:eastAsia="MS UI Gothic"/>
          <w:spacing w:val="23"/>
          <w:w w:val="80"/>
        </w:rPr>
        <w:t xml:space="preserve">、 </w:t>
      </w:r>
      <w:r>
        <w:rPr>
          <w:spacing w:val="3"/>
        </w:rPr>
        <w:t>名义组织学生从事接触易燃</w:t>
      </w:r>
      <w:r>
        <w:rPr>
          <w:rFonts w:hint="eastAsia" w:ascii="MS UI Gothic" w:eastAsia="MS UI Gothic"/>
          <w:spacing w:val="24"/>
          <w:w w:val="80"/>
        </w:rPr>
        <w:t xml:space="preserve">、 </w:t>
      </w:r>
      <w:r>
        <w:t>易</w:t>
      </w:r>
      <w:r>
        <w:rPr>
          <w:spacing w:val="3"/>
        </w:rPr>
        <w:t>爆</w:t>
      </w:r>
      <w:r>
        <w:rPr>
          <w:rFonts w:hint="eastAsia" w:ascii="MS UI Gothic" w:eastAsia="MS UI Gothic"/>
          <w:spacing w:val="23"/>
          <w:w w:val="80"/>
        </w:rPr>
        <w:t xml:space="preserve">、 </w:t>
      </w:r>
      <w:r>
        <w:rPr>
          <w:spacing w:val="3"/>
        </w:rPr>
        <w:t>有毒</w:t>
      </w:r>
      <w:r>
        <w:rPr>
          <w:rFonts w:hint="eastAsia" w:ascii="MS UI Gothic" w:eastAsia="MS UI Gothic"/>
          <w:spacing w:val="24"/>
          <w:w w:val="80"/>
        </w:rPr>
        <w:t xml:space="preserve">、 </w:t>
      </w:r>
      <w:r>
        <w:rPr>
          <w:spacing w:val="2"/>
        </w:rPr>
        <w:t>有害等危险品的劳动或者其他</w:t>
      </w:r>
      <w:r>
        <w:rPr>
          <w:spacing w:val="3"/>
        </w:rPr>
        <w:t>危险性劳动</w:t>
      </w:r>
      <w:r>
        <w:rPr>
          <w:rFonts w:hint="eastAsia" w:ascii="MS UI Gothic" w:eastAsia="MS UI Gothic"/>
          <w:spacing w:val="21"/>
          <w:w w:val="80"/>
        </w:rPr>
        <w:t xml:space="preserve">ꎮ </w:t>
      </w:r>
      <w:r>
        <w:rPr>
          <w:spacing w:val="2"/>
        </w:rPr>
        <w:t>严禁将学校场地出租作为从</w:t>
      </w:r>
      <w:r>
        <w:rPr>
          <w:spacing w:val="3"/>
        </w:rPr>
        <w:t>事易燃</w:t>
      </w:r>
      <w:r>
        <w:rPr>
          <w:rFonts w:hint="eastAsia" w:ascii="MS UI Gothic" w:eastAsia="MS UI Gothic"/>
          <w:spacing w:val="16"/>
          <w:w w:val="80"/>
        </w:rPr>
        <w:t xml:space="preserve">、 </w:t>
      </w:r>
      <w:r>
        <w:rPr>
          <w:spacing w:val="3"/>
        </w:rPr>
        <w:t>易爆</w:t>
      </w:r>
      <w:r>
        <w:rPr>
          <w:rFonts w:hint="eastAsia" w:ascii="MS UI Gothic" w:eastAsia="MS UI Gothic"/>
          <w:spacing w:val="16"/>
          <w:w w:val="80"/>
        </w:rPr>
        <w:t xml:space="preserve">、 </w:t>
      </w:r>
      <w:r>
        <w:rPr>
          <w:spacing w:val="3"/>
        </w:rPr>
        <w:t>有毒</w:t>
      </w:r>
      <w:r>
        <w:rPr>
          <w:rFonts w:hint="eastAsia" w:ascii="MS UI Gothic" w:eastAsia="MS UI Gothic"/>
          <w:spacing w:val="16"/>
          <w:w w:val="80"/>
        </w:rPr>
        <w:t xml:space="preserve">、 </w:t>
      </w:r>
      <w:r>
        <w:rPr>
          <w:spacing w:val="2"/>
        </w:rPr>
        <w:t>有害等危险品的生</w:t>
      </w:r>
      <w:r>
        <w:rPr>
          <w:spacing w:val="3"/>
        </w:rPr>
        <w:t>产</w:t>
      </w:r>
      <w:r>
        <w:rPr>
          <w:rFonts w:hint="eastAsia" w:ascii="MS UI Gothic" w:eastAsia="MS UI Gothic"/>
          <w:spacing w:val="3"/>
          <w:w w:val="80"/>
        </w:rPr>
        <w:t xml:space="preserve">、 </w:t>
      </w:r>
      <w:r>
        <w:rPr>
          <w:spacing w:val="3"/>
        </w:rPr>
        <w:t>经营场所</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3"/>
        </w:rPr>
        <w:t>中小学校违反前款规定的</w:t>
      </w:r>
      <w:r>
        <w:rPr>
          <w:rFonts w:hint="eastAsia" w:ascii="MS UI Gothic" w:eastAsia="MS UI Gothic"/>
          <w:spacing w:val="16"/>
          <w:w w:val="80"/>
        </w:rPr>
        <w:t xml:space="preserve">ꎬ </w:t>
      </w:r>
      <w:r>
        <w:rPr>
          <w:spacing w:val="2"/>
        </w:rPr>
        <w:t>按照学校</w:t>
      </w:r>
      <w:r>
        <w:rPr>
          <w:spacing w:val="3"/>
          <w:w w:val="105"/>
        </w:rPr>
        <w:t>隶属关系</w:t>
      </w:r>
      <w:r>
        <w:rPr>
          <w:rFonts w:hint="eastAsia" w:ascii="MS UI Gothic" w:eastAsia="MS UI Gothic"/>
          <w:w w:val="80"/>
        </w:rPr>
        <w:t xml:space="preserve">ꎬ </w:t>
      </w:r>
      <w:r>
        <w:rPr>
          <w:w w:val="105"/>
        </w:rPr>
        <w:t xml:space="preserve">对县 </w:t>
      </w:r>
      <w:r>
        <w:rPr>
          <w:rFonts w:hint="eastAsia" w:ascii="MS UI Gothic" w:eastAsia="MS UI Gothic"/>
          <w:spacing w:val="-35"/>
          <w:w w:val="150"/>
        </w:rPr>
        <w:t xml:space="preserve">( </w:t>
      </w:r>
      <w:r>
        <w:rPr>
          <w:spacing w:val="3"/>
          <w:w w:val="105"/>
        </w:rPr>
        <w:t>市</w:t>
      </w:r>
      <w:r>
        <w:rPr>
          <w:rFonts w:hint="eastAsia" w:ascii="MS UI Gothic" w:eastAsia="MS UI Gothic"/>
          <w:w w:val="80"/>
        </w:rPr>
        <w:t xml:space="preserve">、 </w:t>
      </w:r>
      <w:r>
        <w:rPr>
          <w:spacing w:val="5"/>
          <w:w w:val="105"/>
        </w:rPr>
        <w:t>区</w:t>
      </w:r>
      <w:r>
        <w:rPr>
          <w:rFonts w:hint="eastAsia" w:ascii="MS UI Gothic" w:eastAsia="MS UI Gothic"/>
          <w:spacing w:val="21"/>
          <w:w w:val="150"/>
        </w:rPr>
        <w:t>)</w:t>
      </w:r>
      <w:r>
        <w:rPr>
          <w:rFonts w:hint="eastAsia" w:ascii="MS UI Gothic" w:eastAsia="MS UI Gothic"/>
          <w:w w:val="80"/>
        </w:rPr>
        <w:t xml:space="preserve">、 </w:t>
      </w:r>
      <w:r>
        <w:rPr>
          <w:spacing w:val="-2"/>
          <w:w w:val="105"/>
        </w:rPr>
        <w:t xml:space="preserve">乡 </w:t>
      </w:r>
      <w:r>
        <w:rPr>
          <w:rFonts w:hint="eastAsia" w:ascii="MS UI Gothic" w:eastAsia="MS UI Gothic"/>
          <w:spacing w:val="-36"/>
          <w:w w:val="150"/>
        </w:rPr>
        <w:t xml:space="preserve">( </w:t>
      </w:r>
      <w:r>
        <w:rPr>
          <w:spacing w:val="5"/>
          <w:w w:val="105"/>
        </w:rPr>
        <w:t>镇</w:t>
      </w:r>
      <w:r>
        <w:rPr>
          <w:rFonts w:hint="eastAsia" w:ascii="MS UI Gothic" w:eastAsia="MS UI Gothic"/>
          <w:spacing w:val="12"/>
          <w:w w:val="150"/>
        </w:rPr>
        <w:t xml:space="preserve">) </w:t>
      </w:r>
      <w:r>
        <w:rPr>
          <w:w w:val="105"/>
        </w:rPr>
        <w:t>人</w:t>
      </w:r>
      <w:r>
        <w:rPr>
          <w:spacing w:val="9"/>
          <w:w w:val="105"/>
        </w:rPr>
        <w:t xml:space="preserve">民政府主要领导人和县 </w:t>
      </w:r>
      <w:r>
        <w:rPr>
          <w:rFonts w:hint="eastAsia" w:ascii="MS UI Gothic" w:eastAsia="MS UI Gothic"/>
          <w:spacing w:val="-31"/>
          <w:w w:val="150"/>
        </w:rPr>
        <w:t xml:space="preserve">( </w:t>
      </w:r>
      <w:r>
        <w:rPr>
          <w:spacing w:val="3"/>
          <w:w w:val="105"/>
        </w:rPr>
        <w:t>市</w:t>
      </w:r>
      <w:r>
        <w:rPr>
          <w:rFonts w:hint="eastAsia" w:ascii="MS UI Gothic" w:eastAsia="MS UI Gothic"/>
          <w:spacing w:val="4"/>
          <w:w w:val="80"/>
        </w:rPr>
        <w:t xml:space="preserve">、 </w:t>
      </w:r>
      <w:r>
        <w:rPr>
          <w:spacing w:val="15"/>
          <w:w w:val="105"/>
        </w:rPr>
        <w:t>区</w:t>
      </w:r>
      <w:r>
        <w:rPr>
          <w:rFonts w:hint="eastAsia" w:ascii="MS UI Gothic" w:eastAsia="MS UI Gothic"/>
          <w:spacing w:val="16"/>
          <w:w w:val="150"/>
        </w:rPr>
        <w:t xml:space="preserve">) </w:t>
      </w:r>
      <w:r>
        <w:rPr>
          <w:spacing w:val="9"/>
          <w:w w:val="105"/>
        </w:rPr>
        <w:t>人民</w:t>
      </w:r>
      <w:r>
        <w:rPr>
          <w:spacing w:val="3"/>
        </w:rPr>
        <w:t>政府教育行政部门正职负责人</w:t>
      </w:r>
      <w:r>
        <w:rPr>
          <w:rFonts w:hint="eastAsia" w:ascii="MS UI Gothic" w:eastAsia="MS UI Gothic"/>
          <w:spacing w:val="21"/>
          <w:w w:val="80"/>
        </w:rPr>
        <w:t xml:space="preserve">ꎬ </w:t>
      </w:r>
      <w:r>
        <w:rPr>
          <w:spacing w:val="2"/>
        </w:rPr>
        <w:t>根据情节</w:t>
      </w:r>
      <w:r>
        <w:rPr>
          <w:spacing w:val="3"/>
          <w:w w:val="105"/>
        </w:rPr>
        <w:t>轻重</w:t>
      </w:r>
      <w:r>
        <w:rPr>
          <w:rFonts w:hint="eastAsia" w:ascii="MS UI Gothic" w:eastAsia="MS UI Gothic"/>
          <w:spacing w:val="-2"/>
          <w:w w:val="80"/>
        </w:rPr>
        <w:t xml:space="preserve">ꎬ </w:t>
      </w:r>
      <w:r>
        <w:rPr>
          <w:spacing w:val="3"/>
          <w:w w:val="105"/>
        </w:rPr>
        <w:t>给予记过</w:t>
      </w:r>
      <w:r>
        <w:rPr>
          <w:rFonts w:hint="eastAsia" w:ascii="MS UI Gothic" w:eastAsia="MS UI Gothic"/>
          <w:spacing w:val="-2"/>
          <w:w w:val="80"/>
        </w:rPr>
        <w:t xml:space="preserve">、 </w:t>
      </w:r>
      <w:r>
        <w:rPr>
          <w:spacing w:val="2"/>
          <w:w w:val="105"/>
        </w:rPr>
        <w:t>降级直至撤职的行政处</w:t>
      </w:r>
      <w:r>
        <w:rPr>
          <w:spacing w:val="3"/>
        </w:rPr>
        <w:t>分</w:t>
      </w:r>
      <w:r>
        <w:rPr>
          <w:rFonts w:hint="eastAsia" w:ascii="MS UI Gothic" w:eastAsia="MS UI Gothic"/>
          <w:spacing w:val="23"/>
          <w:w w:val="80"/>
        </w:rPr>
        <w:t xml:space="preserve">ꎻ </w:t>
      </w:r>
      <w:r>
        <w:rPr>
          <w:spacing w:val="3"/>
        </w:rPr>
        <w:t>构成玩忽职守罪或者其他罪的</w:t>
      </w:r>
      <w:r>
        <w:rPr>
          <w:rFonts w:hint="eastAsia" w:ascii="MS UI Gothic" w:eastAsia="MS UI Gothic"/>
          <w:spacing w:val="23"/>
          <w:w w:val="80"/>
        </w:rPr>
        <w:t xml:space="preserve">ꎬ </w:t>
      </w:r>
      <w:r>
        <w:rPr>
          <w:spacing w:val="1"/>
        </w:rPr>
        <w:t>依法</w:t>
      </w:r>
      <w:r>
        <w:rPr>
          <w:spacing w:val="3"/>
          <w:w w:val="105"/>
        </w:rPr>
        <w:t>追究刑事责任</w:t>
      </w:r>
      <w:r>
        <w:rPr>
          <w:rFonts w:hint="eastAsia" w:ascii="MS UI Gothic" w:eastAsia="MS UI Gothic"/>
          <w:w w:val="80"/>
        </w:rPr>
        <w:t>ꎮ</w:t>
      </w:r>
    </w:p>
    <w:p>
      <w:pPr>
        <w:pStyle w:val="6"/>
        <w:spacing w:line="295" w:lineRule="auto"/>
        <w:ind w:left="440" w:right="1"/>
        <w:rPr>
          <w:rFonts w:hint="eastAsia" w:ascii="MS UI Gothic" w:eastAsia="MS UI Gothic"/>
        </w:rPr>
      </w:pPr>
      <w:r>
        <w:t>中小学校违反本条第一款规定的</w:t>
      </w:r>
      <w:r>
        <w:rPr>
          <w:rFonts w:hint="eastAsia" w:ascii="MS UI Gothic" w:eastAsia="MS UI Gothic"/>
          <w:w w:val="80"/>
        </w:rPr>
        <w:t xml:space="preserve">ꎬ </w:t>
      </w:r>
      <w:r>
        <w:t>对校长给予撤职的行政处分</w:t>
      </w:r>
      <w:r>
        <w:rPr>
          <w:rFonts w:hint="eastAsia" w:ascii="MS UI Gothic" w:eastAsia="MS UI Gothic"/>
          <w:w w:val="80"/>
        </w:rPr>
        <w:t xml:space="preserve">ꎬ </w:t>
      </w:r>
      <w:r>
        <w:t>对直接组织者给予开除公职的行政处分</w:t>
      </w:r>
      <w:r>
        <w:rPr>
          <w:rFonts w:hint="eastAsia" w:ascii="MS UI Gothic" w:eastAsia="MS UI Gothic"/>
          <w:w w:val="80"/>
        </w:rPr>
        <w:t xml:space="preserve">ꎻ </w:t>
      </w:r>
      <w:r>
        <w:t>构成非法制造爆炸物罪或者其他罪的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440"/>
      </w:pPr>
      <w:r>
        <w:rPr>
          <w:w w:val="105"/>
        </w:rPr>
        <w:t xml:space="preserve">第十一条 依法对涉及安全生产事项负责行政审批 </w:t>
      </w:r>
      <w:r>
        <w:rPr>
          <w:rFonts w:hint="eastAsia" w:ascii="MS UI Gothic" w:eastAsia="MS UI Gothic"/>
          <w:w w:val="150"/>
        </w:rPr>
        <w:t xml:space="preserve">( </w:t>
      </w:r>
      <w:r>
        <w:rPr>
          <w:w w:val="105"/>
        </w:rPr>
        <w:t>包括批准</w:t>
      </w:r>
      <w:r>
        <w:rPr>
          <w:rFonts w:hint="eastAsia" w:ascii="MS UI Gothic" w:eastAsia="MS UI Gothic"/>
          <w:w w:val="80"/>
        </w:rPr>
        <w:t xml:space="preserve">、 </w:t>
      </w:r>
      <w:r>
        <w:rPr>
          <w:w w:val="105"/>
        </w:rPr>
        <w:t>核准</w:t>
      </w:r>
      <w:r>
        <w:rPr>
          <w:rFonts w:hint="eastAsia" w:ascii="MS UI Gothic" w:eastAsia="MS UI Gothic"/>
          <w:w w:val="80"/>
        </w:rPr>
        <w:t xml:space="preserve">、 </w:t>
      </w:r>
      <w:r>
        <w:rPr>
          <w:w w:val="105"/>
        </w:rPr>
        <w:t>许可</w:t>
      </w:r>
      <w:r>
        <w:rPr>
          <w:rFonts w:hint="eastAsia" w:ascii="MS UI Gothic" w:eastAsia="MS UI Gothic"/>
          <w:w w:val="80"/>
        </w:rPr>
        <w:t>、</w:t>
      </w:r>
      <w:r>
        <w:rPr>
          <w:w w:val="105"/>
        </w:rPr>
        <w:t>注册</w:t>
      </w:r>
      <w:r>
        <w:rPr>
          <w:rFonts w:hint="eastAsia" w:ascii="MS UI Gothic" w:eastAsia="MS UI Gothic"/>
          <w:w w:val="80"/>
        </w:rPr>
        <w:t xml:space="preserve">、 </w:t>
      </w:r>
      <w:r>
        <w:rPr>
          <w:w w:val="105"/>
        </w:rPr>
        <w:t>认证</w:t>
      </w:r>
      <w:r>
        <w:rPr>
          <w:rFonts w:hint="eastAsia" w:ascii="MS UI Gothic" w:eastAsia="MS UI Gothic"/>
          <w:w w:val="80"/>
        </w:rPr>
        <w:t xml:space="preserve">、 </w:t>
      </w:r>
      <w:r>
        <w:rPr>
          <w:w w:val="105"/>
        </w:rPr>
        <w:t>颁发证照</w:t>
      </w:r>
      <w:r>
        <w:rPr>
          <w:rFonts w:hint="eastAsia" w:ascii="MS UI Gothic" w:eastAsia="MS UI Gothic"/>
          <w:w w:val="80"/>
        </w:rPr>
        <w:t xml:space="preserve">、 </w:t>
      </w:r>
      <w:r>
        <w:rPr>
          <w:w w:val="105"/>
        </w:rPr>
        <w:t>竣工验收等</w:t>
      </w:r>
      <w:r>
        <w:rPr>
          <w:rFonts w:hint="eastAsia" w:ascii="MS UI Gothic" w:eastAsia="MS UI Gothic"/>
          <w:w w:val="80"/>
        </w:rPr>
        <w:t xml:space="preserve">ꎬ </w:t>
      </w:r>
      <w:r>
        <w:rPr>
          <w:w w:val="105"/>
        </w:rPr>
        <w:t>下同</w:t>
      </w:r>
      <w:r>
        <w:rPr>
          <w:rFonts w:hint="eastAsia" w:ascii="MS UI Gothic" w:eastAsia="MS UI Gothic"/>
          <w:w w:val="150"/>
        </w:rPr>
        <w:t xml:space="preserve">) </w:t>
      </w:r>
      <w:r>
        <w:rPr>
          <w:w w:val="105"/>
        </w:rPr>
        <w:t>的政府部门或者机构</w:t>
      </w:r>
      <w:r>
        <w:rPr>
          <w:rFonts w:hint="eastAsia" w:ascii="MS UI Gothic" w:eastAsia="MS UI Gothic"/>
          <w:w w:val="80"/>
        </w:rPr>
        <w:t xml:space="preserve">ꎬ </w:t>
      </w:r>
      <w:r>
        <w:rPr>
          <w:w w:val="105"/>
        </w:rPr>
        <w:t>必须严格依照法律</w:t>
      </w:r>
      <w:r>
        <w:rPr>
          <w:rFonts w:hint="eastAsia" w:ascii="MS UI Gothic" w:eastAsia="MS UI Gothic"/>
          <w:w w:val="80"/>
        </w:rPr>
        <w:t xml:space="preserve">、 </w:t>
      </w:r>
      <w:r>
        <w:rPr>
          <w:w w:val="105"/>
        </w:rPr>
        <w:t>法规和规章规定的安全条件和程序进行审查</w:t>
      </w:r>
      <w:r>
        <w:rPr>
          <w:rFonts w:hint="eastAsia" w:ascii="MS UI Gothic" w:eastAsia="MS UI Gothic"/>
          <w:w w:val="80"/>
        </w:rPr>
        <w:t xml:space="preserve">ꎻ </w:t>
      </w:r>
      <w:r>
        <w:rPr>
          <w:w w:val="105"/>
        </w:rPr>
        <w:t>不符合法律</w:t>
      </w:r>
      <w:r>
        <w:rPr>
          <w:rFonts w:hint="eastAsia" w:ascii="MS UI Gothic" w:eastAsia="MS UI Gothic"/>
          <w:w w:val="80"/>
        </w:rPr>
        <w:t xml:space="preserve">、 </w:t>
      </w:r>
      <w:r>
        <w:rPr>
          <w:w w:val="105"/>
        </w:rPr>
        <w:t>法规和规章规</w:t>
      </w:r>
      <w:r>
        <w:t>定的安全条件的</w:t>
      </w:r>
      <w:r>
        <w:rPr>
          <w:rFonts w:hint="eastAsia" w:ascii="MS UI Gothic" w:eastAsia="MS UI Gothic"/>
          <w:w w:val="80"/>
        </w:rPr>
        <w:t xml:space="preserve">ꎬ </w:t>
      </w:r>
      <w:r>
        <w:t>不得批准</w:t>
      </w:r>
      <w:r>
        <w:rPr>
          <w:rFonts w:hint="eastAsia" w:ascii="MS UI Gothic" w:eastAsia="MS UI Gothic"/>
          <w:w w:val="80"/>
        </w:rPr>
        <w:t xml:space="preserve">ꎻ </w:t>
      </w:r>
      <w:r>
        <w:t>不符合法</w:t>
      </w:r>
      <w:r>
        <w:rPr>
          <w:w w:val="105"/>
        </w:rPr>
        <w:t>律</w:t>
      </w:r>
      <w:r>
        <w:rPr>
          <w:rFonts w:hint="eastAsia" w:ascii="MS UI Gothic" w:eastAsia="MS UI Gothic"/>
          <w:w w:val="80"/>
        </w:rPr>
        <w:t xml:space="preserve">、 </w:t>
      </w:r>
      <w:r>
        <w:rPr>
          <w:w w:val="105"/>
        </w:rPr>
        <w:t>法规和规章规定的安全条件</w:t>
      </w:r>
      <w:r>
        <w:rPr>
          <w:rFonts w:hint="eastAsia" w:ascii="MS UI Gothic" w:eastAsia="MS UI Gothic"/>
          <w:w w:val="80"/>
        </w:rPr>
        <w:t xml:space="preserve">ꎬ </w:t>
      </w:r>
      <w:r>
        <w:rPr>
          <w:w w:val="105"/>
        </w:rPr>
        <w:t>弄虚作</w:t>
      </w:r>
      <w:r>
        <w:t>假</w:t>
      </w:r>
      <w:r>
        <w:rPr>
          <w:rFonts w:hint="eastAsia" w:ascii="MS UI Gothic" w:eastAsia="MS UI Gothic"/>
          <w:w w:val="80"/>
        </w:rPr>
        <w:t xml:space="preserve">ꎬ </w:t>
      </w:r>
      <w:r>
        <w:t>骗取批准或者勾结串通行政审批工作人员取得批准的</w:t>
      </w:r>
      <w:r>
        <w:rPr>
          <w:rFonts w:hint="eastAsia" w:ascii="MS UI Gothic" w:eastAsia="MS UI Gothic"/>
          <w:w w:val="80"/>
        </w:rPr>
        <w:t xml:space="preserve">ꎬ </w:t>
      </w:r>
      <w:r>
        <w:t>负责行政审批的政府部门或者机构除必须立即撤销原批准外</w:t>
      </w:r>
      <w:r>
        <w:rPr>
          <w:rFonts w:hint="eastAsia" w:ascii="MS UI Gothic" w:eastAsia="MS UI Gothic"/>
          <w:w w:val="80"/>
        </w:rPr>
        <w:t xml:space="preserve">ꎬ </w:t>
      </w:r>
      <w:r>
        <w:t>应当对弄虚作假骗取批准或者勾结串通行政审批工作人员的当事人依法给予行政处</w:t>
      </w:r>
    </w:p>
    <w:p>
      <w:pPr>
        <w:pStyle w:val="6"/>
        <w:spacing w:before="124" w:line="295" w:lineRule="auto"/>
        <w:ind w:left="381" w:right="126" w:firstLine="0"/>
        <w:rPr>
          <w:rFonts w:hint="eastAsia" w:ascii="MS UI Gothic" w:eastAsia="MS UI Gothic"/>
        </w:rPr>
      </w:pPr>
      <w:r>
        <w:br w:type="column"/>
      </w:r>
      <w:r>
        <w:t>罚</w:t>
      </w:r>
      <w:r>
        <w:rPr>
          <w:rFonts w:hint="eastAsia" w:ascii="MS UI Gothic" w:eastAsia="MS UI Gothic"/>
          <w:w w:val="80"/>
        </w:rPr>
        <w:t xml:space="preserve">ꎻ </w:t>
      </w:r>
      <w:r>
        <w:t>构成行贿罪或者其他罪的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负责行政审批的政府部门或者机构违反前款规定</w:t>
      </w:r>
      <w:r>
        <w:rPr>
          <w:rFonts w:hint="eastAsia" w:ascii="MS UI Gothic" w:eastAsia="MS UI Gothic"/>
          <w:w w:val="80"/>
        </w:rPr>
        <w:t xml:space="preserve">ꎬ </w:t>
      </w:r>
      <w:r>
        <w:t>对不符合法律</w:t>
      </w:r>
      <w:r>
        <w:rPr>
          <w:rFonts w:hint="eastAsia" w:ascii="MS UI Gothic" w:eastAsia="MS UI Gothic"/>
          <w:w w:val="80"/>
        </w:rPr>
        <w:t xml:space="preserve">、 </w:t>
      </w:r>
      <w:r>
        <w:t>法规和规章规定的安全条件予以批准的</w:t>
      </w:r>
      <w:r>
        <w:rPr>
          <w:rFonts w:hint="eastAsia" w:ascii="MS UI Gothic" w:eastAsia="MS UI Gothic"/>
          <w:w w:val="80"/>
        </w:rPr>
        <w:t xml:space="preserve">ꎬ </w:t>
      </w:r>
      <w:r>
        <w:t>对部门或者机构的正职负责人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给予降级</w:t>
      </w:r>
      <w:r>
        <w:rPr>
          <w:rFonts w:hint="eastAsia" w:ascii="MS UI Gothic" w:eastAsia="MS UI Gothic"/>
          <w:w w:val="80"/>
        </w:rPr>
        <w:t xml:space="preserve">、 </w:t>
      </w:r>
      <w:r>
        <w:t>撤职直至开除公职的行政处分</w:t>
      </w:r>
      <w:r>
        <w:rPr>
          <w:rFonts w:hint="eastAsia" w:ascii="MS UI Gothic" w:eastAsia="MS UI Gothic"/>
          <w:w w:val="80"/>
        </w:rPr>
        <w:t xml:space="preserve">ꎻ </w:t>
      </w:r>
      <w:r>
        <w:t>与当事人勾结串通的</w:t>
      </w:r>
      <w:r>
        <w:rPr>
          <w:rFonts w:hint="eastAsia" w:ascii="MS UI Gothic" w:eastAsia="MS UI Gothic"/>
          <w:w w:val="80"/>
        </w:rPr>
        <w:t xml:space="preserve">ꎬ </w:t>
      </w:r>
      <w:r>
        <w:t>应当开除公职</w:t>
      </w:r>
      <w:r>
        <w:rPr>
          <w:rFonts w:hint="eastAsia" w:ascii="MS UI Gothic" w:eastAsia="MS UI Gothic"/>
          <w:w w:val="80"/>
        </w:rPr>
        <w:t xml:space="preserve">ꎻ </w:t>
      </w:r>
      <w:r>
        <w:t>构成受贿罪</w:t>
      </w:r>
      <w:r>
        <w:rPr>
          <w:rFonts w:hint="eastAsia" w:ascii="MS UI Gothic" w:eastAsia="MS UI Gothic"/>
          <w:w w:val="80"/>
        </w:rPr>
        <w:t xml:space="preserve">、 </w:t>
      </w:r>
      <w:r>
        <w:t>玩忽职守罪或者其他罪的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第十二条 对依照本规定第十一条第</w:t>
      </w:r>
      <w:r>
        <w:t>一款的规定取得批准的单位和个人</w:t>
      </w:r>
      <w:r>
        <w:rPr>
          <w:rFonts w:hint="eastAsia" w:ascii="MS UI Gothic" w:eastAsia="MS UI Gothic"/>
          <w:w w:val="80"/>
        </w:rPr>
        <w:t xml:space="preserve">ꎬ </w:t>
      </w:r>
      <w:r>
        <w:t>负责行政审批的政府部门或者机构必须对其实施严格监督检查</w:t>
      </w:r>
      <w:r>
        <w:rPr>
          <w:rFonts w:hint="eastAsia" w:ascii="MS UI Gothic" w:eastAsia="MS UI Gothic"/>
          <w:w w:val="80"/>
        </w:rPr>
        <w:t xml:space="preserve">ꎻ </w:t>
      </w:r>
      <w:r>
        <w:t>发现其不再具备安全条</w:t>
      </w:r>
      <w:r>
        <w:rPr>
          <w:w w:val="105"/>
        </w:rPr>
        <w:t>件的</w:t>
      </w:r>
      <w:r>
        <w:rPr>
          <w:rFonts w:hint="eastAsia" w:ascii="MS UI Gothic" w:eastAsia="MS UI Gothic"/>
          <w:w w:val="80"/>
        </w:rPr>
        <w:t xml:space="preserve">ꎬ </w:t>
      </w:r>
      <w:r>
        <w:rPr>
          <w:w w:val="105"/>
        </w:rPr>
        <w:t>必须立即撤销原批准</w:t>
      </w:r>
      <w:r>
        <w:rPr>
          <w:rFonts w:hint="eastAsia" w:ascii="MS UI Gothic" w:eastAsia="MS UI Gothic"/>
          <w:w w:val="80"/>
        </w:rPr>
        <w:t>ꎮ</w:t>
      </w:r>
    </w:p>
    <w:p>
      <w:pPr>
        <w:pStyle w:val="6"/>
        <w:spacing w:line="295" w:lineRule="auto"/>
        <w:ind w:left="381" w:right="124"/>
        <w:rPr>
          <w:rFonts w:hint="eastAsia" w:ascii="MS UI Gothic" w:eastAsia="MS UI Gothic"/>
        </w:rPr>
      </w:pPr>
      <w:r>
        <w:t>负责行政审批的政府部门或者机构违反前款规定</w:t>
      </w:r>
      <w:r>
        <w:rPr>
          <w:rFonts w:hint="eastAsia" w:ascii="MS UI Gothic" w:eastAsia="MS UI Gothic"/>
          <w:w w:val="80"/>
        </w:rPr>
        <w:t xml:space="preserve">ꎬ </w:t>
      </w:r>
      <w:r>
        <w:t>不对取得批准的单位和个人实施严格监督检查</w:t>
      </w:r>
      <w:r>
        <w:rPr>
          <w:rFonts w:hint="eastAsia" w:ascii="MS UI Gothic" w:eastAsia="MS UI Gothic"/>
          <w:w w:val="80"/>
        </w:rPr>
        <w:t xml:space="preserve">ꎬ </w:t>
      </w:r>
      <w:r>
        <w:t>或者发现其不再具备安全条件而不立即撤销原批准的</w:t>
      </w:r>
      <w:r>
        <w:rPr>
          <w:rFonts w:hint="eastAsia" w:ascii="MS UI Gothic" w:eastAsia="MS UI Gothic"/>
          <w:w w:val="80"/>
        </w:rPr>
        <w:t xml:space="preserve">ꎬ </w:t>
      </w:r>
      <w:r>
        <w:t>对部门或者机构的正职负责人</w:t>
      </w:r>
      <w:r>
        <w:rPr>
          <w:rFonts w:hint="eastAsia" w:ascii="MS UI Gothic" w:eastAsia="MS UI Gothic"/>
          <w:w w:val="80"/>
        </w:rPr>
        <w:t xml:space="preserve">ꎬ </w:t>
      </w:r>
      <w:r>
        <w:t>根据情节轻重</w:t>
      </w:r>
      <w:r>
        <w:rPr>
          <w:rFonts w:hint="eastAsia" w:ascii="MS UI Gothic" w:eastAsia="MS UI Gothic"/>
          <w:w w:val="80"/>
        </w:rPr>
        <w:t>ꎬ</w:t>
      </w:r>
      <w:r>
        <w:t>给予降级或者撤职的行政处分</w:t>
      </w:r>
      <w:r>
        <w:rPr>
          <w:rFonts w:hint="eastAsia" w:ascii="MS UI Gothic" w:eastAsia="MS UI Gothic"/>
          <w:w w:val="80"/>
        </w:rPr>
        <w:t xml:space="preserve">ꎻ </w:t>
      </w:r>
      <w:r>
        <w:t>构成受贿罪</w:t>
      </w:r>
      <w:r>
        <w:rPr>
          <w:rFonts w:hint="eastAsia" w:ascii="MS UI Gothic" w:eastAsia="MS UI Gothic"/>
          <w:w w:val="80"/>
        </w:rPr>
        <w:t xml:space="preserve">、 </w:t>
      </w:r>
      <w:r>
        <w:t>玩忽职守罪或者其他罪的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第十三条 对未依法取得批准</w:t>
      </w:r>
      <w:r>
        <w:rPr>
          <w:rFonts w:hint="eastAsia" w:ascii="MS UI Gothic" w:eastAsia="MS UI Gothic"/>
          <w:w w:val="80"/>
        </w:rPr>
        <w:t xml:space="preserve">ꎬ </w:t>
      </w:r>
      <w:r>
        <w:t>擅自从事有关活动的</w:t>
      </w:r>
      <w:r>
        <w:rPr>
          <w:rFonts w:hint="eastAsia" w:ascii="MS UI Gothic" w:eastAsia="MS UI Gothic"/>
          <w:w w:val="80"/>
        </w:rPr>
        <w:t xml:space="preserve">ꎬ </w:t>
      </w:r>
      <w:r>
        <w:t>负责行政审批的政府部门或者机构发现或者接到举报后</w:t>
      </w:r>
      <w:r>
        <w:rPr>
          <w:rFonts w:hint="eastAsia" w:ascii="MS UI Gothic" w:eastAsia="MS UI Gothic"/>
          <w:w w:val="80"/>
        </w:rPr>
        <w:t xml:space="preserve">ꎬ </w:t>
      </w:r>
      <w:r>
        <w:t>应当立即予以查封</w:t>
      </w:r>
      <w:r>
        <w:rPr>
          <w:rFonts w:hint="eastAsia" w:ascii="MS UI Gothic" w:eastAsia="MS UI Gothic"/>
          <w:w w:val="80"/>
        </w:rPr>
        <w:t xml:space="preserve">、 </w:t>
      </w:r>
      <w:r>
        <w:t>取缔</w:t>
      </w:r>
      <w:r>
        <w:rPr>
          <w:rFonts w:hint="eastAsia" w:ascii="MS UI Gothic" w:eastAsia="MS UI Gothic"/>
          <w:w w:val="80"/>
        </w:rPr>
        <w:t xml:space="preserve">ꎬ </w:t>
      </w:r>
      <w:r>
        <w:t>并依法给予行政处罚</w:t>
      </w:r>
      <w:r>
        <w:rPr>
          <w:rFonts w:hint="eastAsia" w:ascii="MS UI Gothic" w:eastAsia="MS UI Gothic"/>
          <w:w w:val="80"/>
        </w:rPr>
        <w:t xml:space="preserve">ꎻ </w:t>
      </w:r>
      <w:r>
        <w:t>属于经营单位的</w:t>
      </w:r>
      <w:r>
        <w:rPr>
          <w:rFonts w:hint="eastAsia" w:ascii="MS UI Gothic" w:eastAsia="MS UI Gothic"/>
          <w:w w:val="80"/>
        </w:rPr>
        <w:t xml:space="preserve">ꎬ </w:t>
      </w:r>
      <w:r>
        <w:t>由工商行政管理部门依法相应吊销营业执照</w:t>
      </w:r>
      <w:r>
        <w:rPr>
          <w:rFonts w:hint="eastAsia" w:ascii="MS UI Gothic" w:eastAsia="MS UI Gothic"/>
          <w:w w:val="80"/>
        </w:rPr>
        <w:t>ꎮ</w:t>
      </w:r>
    </w:p>
    <w:p>
      <w:pPr>
        <w:pStyle w:val="6"/>
        <w:spacing w:line="295" w:lineRule="auto"/>
        <w:ind w:left="381" w:right="124"/>
        <w:rPr>
          <w:rFonts w:hint="eastAsia" w:ascii="MS UI Gothic" w:eastAsia="MS UI Gothic"/>
        </w:rPr>
      </w:pPr>
      <w:r>
        <w:t>负责行政审批的政府部门或者机构违反前款规定</w:t>
      </w:r>
      <w:r>
        <w:rPr>
          <w:rFonts w:hint="eastAsia" w:ascii="MS UI Gothic" w:eastAsia="MS UI Gothic"/>
          <w:w w:val="80"/>
        </w:rPr>
        <w:t xml:space="preserve">ꎬ </w:t>
      </w:r>
      <w:r>
        <w:t>对发现或者举报的未依法取得批准而擅自从事有关活动的</w:t>
      </w:r>
      <w:r>
        <w:rPr>
          <w:rFonts w:hint="eastAsia" w:ascii="MS UI Gothic" w:eastAsia="MS UI Gothic"/>
          <w:w w:val="80"/>
        </w:rPr>
        <w:t xml:space="preserve">ꎬ </w:t>
      </w:r>
      <w:r>
        <w:t>不予查封</w:t>
      </w:r>
      <w:r>
        <w:rPr>
          <w:rFonts w:hint="eastAsia" w:ascii="MS UI Gothic" w:eastAsia="MS UI Gothic"/>
          <w:w w:val="80"/>
        </w:rPr>
        <w:t xml:space="preserve">、 </w:t>
      </w:r>
      <w:r>
        <w:t>取缔</w:t>
      </w:r>
      <w:r>
        <w:rPr>
          <w:rFonts w:hint="eastAsia" w:ascii="MS UI Gothic" w:eastAsia="MS UI Gothic"/>
          <w:w w:val="80"/>
        </w:rPr>
        <w:t xml:space="preserve">、 </w:t>
      </w:r>
      <w:r>
        <w:t>不依法给予行政处罚</w:t>
      </w:r>
      <w:r>
        <w:rPr>
          <w:rFonts w:hint="eastAsia" w:ascii="MS UI Gothic" w:eastAsia="MS UI Gothic"/>
          <w:w w:val="80"/>
        </w:rPr>
        <w:t xml:space="preserve">ꎬ </w:t>
      </w:r>
      <w:r>
        <w:t>工商行政管理部门不予吊销营业执照的</w:t>
      </w:r>
      <w:r>
        <w:rPr>
          <w:rFonts w:hint="eastAsia" w:ascii="MS UI Gothic" w:eastAsia="MS UI Gothic"/>
          <w:w w:val="80"/>
        </w:rPr>
        <w:t xml:space="preserve">ꎬ </w:t>
      </w:r>
      <w:r>
        <w:t>对部门或者机构的正职负责人</w:t>
      </w:r>
      <w:r>
        <w:rPr>
          <w:rFonts w:hint="eastAsia" w:ascii="MS UI Gothic" w:eastAsia="MS UI Gothic"/>
          <w:w w:val="80"/>
        </w:rPr>
        <w:t xml:space="preserve">ꎬ </w:t>
      </w:r>
      <w:r>
        <w:t>根据情节轻重</w:t>
      </w:r>
      <w:r>
        <w:rPr>
          <w:rFonts w:hint="eastAsia" w:ascii="MS UI Gothic" w:eastAsia="MS UI Gothic"/>
          <w:w w:val="80"/>
        </w:rPr>
        <w:t>ꎬ</w:t>
      </w:r>
      <w:r>
        <w:t>给予降级或者撤职的行政处分</w:t>
      </w:r>
      <w:r>
        <w:rPr>
          <w:rFonts w:hint="eastAsia" w:ascii="MS UI Gothic" w:eastAsia="MS UI Gothic"/>
          <w:w w:val="80"/>
        </w:rPr>
        <w:t xml:space="preserve">ꎻ </w:t>
      </w:r>
      <w:r>
        <w:t>构成受贿罪</w:t>
      </w:r>
      <w:r>
        <w:rPr>
          <w:rFonts w:hint="eastAsia" w:ascii="MS UI Gothic" w:eastAsia="MS UI Gothic"/>
          <w:w w:val="80"/>
        </w:rPr>
        <w:t xml:space="preserve">、 </w:t>
      </w:r>
      <w:r>
        <w:t>玩忽职守罪或者其他罪的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49" w:lineRule="exact"/>
        <w:ind w:left="800" w:firstLine="0"/>
        <w:rPr>
          <w:rFonts w:hint="eastAsia" w:ascii="MS UI Gothic" w:eastAsia="MS UI Gothic"/>
        </w:rPr>
      </w:pPr>
      <w:r>
        <w:rPr>
          <w:w w:val="110"/>
        </w:rPr>
        <w:t xml:space="preserve">第十四条 市 </w:t>
      </w:r>
      <w:r>
        <w:rPr>
          <w:rFonts w:hint="eastAsia" w:ascii="MS UI Gothic" w:eastAsia="MS UI Gothic"/>
          <w:w w:val="150"/>
        </w:rPr>
        <w:t xml:space="preserve">( </w:t>
      </w:r>
      <w:r>
        <w:rPr>
          <w:w w:val="110"/>
        </w:rPr>
        <w:t>地</w:t>
      </w:r>
      <w:r>
        <w:rPr>
          <w:rFonts w:hint="eastAsia" w:ascii="MS UI Gothic" w:eastAsia="MS UI Gothic"/>
        </w:rPr>
        <w:t xml:space="preserve">、 </w:t>
      </w:r>
      <w:r>
        <w:rPr>
          <w:w w:val="110"/>
        </w:rPr>
        <w:t>州</w:t>
      </w:r>
      <w:r>
        <w:rPr>
          <w:rFonts w:hint="eastAsia" w:ascii="MS UI Gothic" w:eastAsia="MS UI Gothic"/>
          <w:w w:val="150"/>
        </w:rPr>
        <w:t>)</w:t>
      </w:r>
      <w:r>
        <w:rPr>
          <w:rFonts w:hint="eastAsia" w:ascii="MS UI Gothic" w:eastAsia="MS UI Gothic"/>
        </w:rPr>
        <w:t xml:space="preserve">、 </w:t>
      </w:r>
      <w:r>
        <w:rPr>
          <w:w w:val="110"/>
        </w:rPr>
        <w:t xml:space="preserve">县 </w:t>
      </w:r>
      <w:r>
        <w:rPr>
          <w:rFonts w:hint="eastAsia" w:ascii="MS UI Gothic" w:eastAsia="MS UI Gothic"/>
          <w:w w:val="150"/>
        </w:rPr>
        <w:t xml:space="preserve">( </w:t>
      </w:r>
      <w:r>
        <w:rPr>
          <w:w w:val="110"/>
        </w:rPr>
        <w:t>市</w:t>
      </w:r>
      <w:r>
        <w:rPr>
          <w:rFonts w:hint="eastAsia" w:ascii="MS UI Gothic" w:eastAsia="MS UI Gothic"/>
        </w:rPr>
        <w:t>、</w:t>
      </w:r>
    </w:p>
    <w:p>
      <w:pPr>
        <w:spacing w:after="0" w:line="249" w:lineRule="exac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８０</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91" o:spid="_x0000_s1291" o:spt="203" style="height:2.15pt;width:398.25pt;" coordsize="7965,43">
            <o:lock v:ext="edit"/>
            <v:line id="_x0000_s1292" o:spid="_x0000_s1292" o:spt="20" style="position:absolute;left:0;top:39;height:0;width:7965;" stroked="t" coordsize="21600,21600">
              <v:path arrowok="t"/>
              <v:fill focussize="0,0"/>
              <v:stroke weight="0.388031496062992pt" color="#231F20"/>
              <v:imagedata o:title=""/>
              <o:lock v:ext="edit"/>
            </v:line>
            <v:line id="_x0000_s1293" o:spid="_x0000_s129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区</w:t>
      </w:r>
      <w:r>
        <w:rPr>
          <w:rFonts w:hint="eastAsia" w:ascii="MS UI Gothic" w:eastAsia="MS UI Gothic"/>
          <w:w w:val="150"/>
        </w:rPr>
        <w:t xml:space="preserve">) </w:t>
      </w:r>
      <w:r>
        <w:t>人民政府依照本规定应当履行职责而未履行</w:t>
      </w:r>
      <w:r>
        <w:rPr>
          <w:rFonts w:hint="eastAsia" w:ascii="MS UI Gothic" w:eastAsia="MS UI Gothic"/>
          <w:w w:val="80"/>
        </w:rPr>
        <w:t xml:space="preserve">ꎬ </w:t>
      </w:r>
      <w:r>
        <w:t>或者未按照规定的职责和程序履行</w:t>
      </w:r>
      <w:r>
        <w:rPr>
          <w:rFonts w:hint="eastAsia" w:ascii="MS UI Gothic" w:eastAsia="MS UI Gothic"/>
          <w:w w:val="80"/>
        </w:rPr>
        <w:t xml:space="preserve">ꎬ </w:t>
      </w:r>
      <w:r>
        <w:t>本地区发生特大安全事故的</w:t>
      </w:r>
      <w:r>
        <w:rPr>
          <w:rFonts w:hint="eastAsia" w:ascii="MS UI Gothic" w:eastAsia="MS UI Gothic"/>
          <w:w w:val="80"/>
        </w:rPr>
        <w:t xml:space="preserve">ꎬ </w:t>
      </w:r>
      <w:r>
        <w:t>对政府主要领导人</w:t>
      </w:r>
      <w:r>
        <w:rPr>
          <w:rFonts w:hint="eastAsia" w:ascii="MS UI Gothic" w:eastAsia="MS UI Gothic"/>
          <w:w w:val="80"/>
        </w:rPr>
        <w:t xml:space="preserve">ꎬ </w:t>
      </w:r>
      <w:r>
        <w:t>根据情节轻重</w:t>
      </w:r>
      <w:r>
        <w:rPr>
          <w:rFonts w:hint="eastAsia" w:ascii="MS UI Gothic" w:eastAsia="MS UI Gothic"/>
          <w:w w:val="80"/>
        </w:rPr>
        <w:t xml:space="preserve">ꎬ </w:t>
      </w:r>
      <w:r>
        <w:t>给予降级或者撤职的行政处分</w:t>
      </w:r>
      <w:r>
        <w:rPr>
          <w:rFonts w:hint="eastAsia" w:ascii="MS UI Gothic" w:eastAsia="MS UI Gothic"/>
          <w:w w:val="80"/>
        </w:rPr>
        <w:t xml:space="preserve">ꎻ </w:t>
      </w:r>
      <w:r>
        <w:t>构成玩忽职守罪的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38"/>
        <w:rPr>
          <w:rFonts w:hint="eastAsia" w:ascii="MS UI Gothic" w:eastAsia="MS UI Gothic"/>
        </w:rPr>
      </w:pPr>
      <w:r>
        <w:t>负责行政审批的政府部门或者机构</w:t>
      </w:r>
      <w:r>
        <w:rPr>
          <w:rFonts w:hint="eastAsia" w:ascii="MS UI Gothic" w:eastAsia="MS UI Gothic"/>
          <w:w w:val="80"/>
        </w:rPr>
        <w:t>、</w:t>
      </w:r>
      <w:r>
        <w:t>负责安全监督管理的政府有关部门</w:t>
      </w:r>
      <w:r>
        <w:rPr>
          <w:rFonts w:hint="eastAsia" w:ascii="MS UI Gothic" w:eastAsia="MS UI Gothic"/>
          <w:w w:val="80"/>
        </w:rPr>
        <w:t xml:space="preserve">ꎬ </w:t>
      </w:r>
      <w:r>
        <w:t>未依照本规定履行职责</w:t>
      </w:r>
      <w:r>
        <w:rPr>
          <w:rFonts w:hint="eastAsia" w:ascii="MS UI Gothic" w:eastAsia="MS UI Gothic"/>
          <w:w w:val="80"/>
        </w:rPr>
        <w:t xml:space="preserve">ꎬ </w:t>
      </w:r>
      <w:r>
        <w:t>发生特大安全事故的</w:t>
      </w:r>
      <w:r>
        <w:rPr>
          <w:rFonts w:hint="eastAsia" w:ascii="MS UI Gothic" w:eastAsia="MS UI Gothic"/>
          <w:w w:val="80"/>
        </w:rPr>
        <w:t xml:space="preserve">ꎬ </w:t>
      </w:r>
      <w:r>
        <w:t>对部门或者机构的正职负责人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给予撤职或者开除公职的行政处分</w:t>
      </w:r>
      <w:r>
        <w:rPr>
          <w:rFonts w:hint="eastAsia" w:ascii="MS UI Gothic" w:eastAsia="MS UI Gothic"/>
          <w:w w:val="80"/>
        </w:rPr>
        <w:t xml:space="preserve">ꎻ </w:t>
      </w:r>
      <w:r>
        <w:t>构成玩忽职守罪或者其他罪的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39"/>
        <w:rPr>
          <w:rFonts w:hint="eastAsia" w:ascii="MS UI Gothic" w:eastAsia="MS UI Gothic"/>
        </w:rPr>
      </w:pPr>
      <w:r>
        <w:t>第十五条 发生特大安全事故</w:t>
      </w:r>
      <w:r>
        <w:rPr>
          <w:rFonts w:hint="eastAsia" w:ascii="MS UI Gothic" w:eastAsia="MS UI Gothic"/>
          <w:w w:val="80"/>
        </w:rPr>
        <w:t xml:space="preserve">ꎬ </w:t>
      </w:r>
      <w:r>
        <w:t>社会影响特别恶劣或者性质特别严重的</w:t>
      </w:r>
      <w:r>
        <w:rPr>
          <w:rFonts w:hint="eastAsia" w:ascii="MS UI Gothic" w:eastAsia="MS UI Gothic"/>
          <w:w w:val="80"/>
        </w:rPr>
        <w:t xml:space="preserve">ꎬ </w:t>
      </w:r>
      <w:r>
        <w:t>由国务院对负有领导责任的省长</w:t>
      </w:r>
      <w:r>
        <w:rPr>
          <w:rFonts w:hint="eastAsia" w:ascii="MS UI Gothic" w:eastAsia="MS UI Gothic"/>
          <w:w w:val="80"/>
        </w:rPr>
        <w:t xml:space="preserve">、 </w:t>
      </w:r>
      <w:r>
        <w:t>自治区主席</w:t>
      </w:r>
      <w:r>
        <w:rPr>
          <w:rFonts w:hint="eastAsia" w:ascii="MS UI Gothic" w:eastAsia="MS UI Gothic"/>
          <w:w w:val="80"/>
        </w:rPr>
        <w:t xml:space="preserve">、 </w:t>
      </w:r>
      <w:r>
        <w:t>直辖市市长和国务院有关部门正职负责人给予行政处分</w:t>
      </w:r>
      <w:r>
        <w:rPr>
          <w:rFonts w:hint="eastAsia" w:ascii="MS UI Gothic" w:eastAsia="MS UI Gothic"/>
          <w:w w:val="80"/>
        </w:rPr>
        <w:t>ꎮ</w:t>
      </w:r>
    </w:p>
    <w:p>
      <w:pPr>
        <w:pStyle w:val="6"/>
        <w:spacing w:line="295" w:lineRule="auto"/>
        <w:ind w:right="38"/>
      </w:pPr>
      <w:r>
        <w:rPr>
          <w:w w:val="105"/>
        </w:rPr>
        <w:t>第十六条 特大安全事故发生后</w:t>
      </w:r>
      <w:r>
        <w:rPr>
          <w:rFonts w:hint="eastAsia" w:ascii="MS UI Gothic" w:eastAsia="MS UI Gothic"/>
          <w:w w:val="80"/>
        </w:rPr>
        <w:t xml:space="preserve">ꎬ </w:t>
      </w:r>
      <w:r>
        <w:rPr>
          <w:w w:val="105"/>
        </w:rPr>
        <w:t xml:space="preserve">有关县 </w:t>
      </w:r>
      <w:r>
        <w:rPr>
          <w:rFonts w:hint="eastAsia" w:ascii="MS UI Gothic" w:eastAsia="MS UI Gothic"/>
          <w:w w:val="150"/>
        </w:rPr>
        <w:t xml:space="preserve">( </w:t>
      </w:r>
      <w:r>
        <w:rPr>
          <w:w w:val="105"/>
        </w:rPr>
        <w:t>市</w:t>
      </w:r>
      <w:r>
        <w:rPr>
          <w:rFonts w:hint="eastAsia" w:ascii="MS UI Gothic" w:eastAsia="MS UI Gothic"/>
          <w:w w:val="80"/>
        </w:rPr>
        <w:t xml:space="preserve">、 </w:t>
      </w:r>
      <w:r>
        <w:rPr>
          <w:w w:val="105"/>
        </w:rPr>
        <w:t>区</w:t>
      </w:r>
      <w:r>
        <w:rPr>
          <w:rFonts w:hint="eastAsia" w:ascii="MS UI Gothic" w:eastAsia="MS UI Gothic"/>
          <w:w w:val="150"/>
        </w:rPr>
        <w:t>)</w:t>
      </w:r>
      <w:r>
        <w:rPr>
          <w:rFonts w:hint="eastAsia" w:ascii="MS UI Gothic" w:eastAsia="MS UI Gothic"/>
          <w:w w:val="80"/>
        </w:rPr>
        <w:t xml:space="preserve">、 </w:t>
      </w:r>
      <w:r>
        <w:rPr>
          <w:w w:val="105"/>
        </w:rPr>
        <w:t xml:space="preserve">市 </w:t>
      </w:r>
      <w:r>
        <w:rPr>
          <w:rFonts w:hint="eastAsia" w:ascii="MS UI Gothic" w:eastAsia="MS UI Gothic"/>
          <w:w w:val="150"/>
        </w:rPr>
        <w:t xml:space="preserve">( </w:t>
      </w:r>
      <w:r>
        <w:rPr>
          <w:w w:val="105"/>
        </w:rPr>
        <w:t>地</w:t>
      </w:r>
      <w:r>
        <w:rPr>
          <w:rFonts w:hint="eastAsia" w:ascii="MS UI Gothic" w:eastAsia="MS UI Gothic"/>
          <w:w w:val="80"/>
        </w:rPr>
        <w:t xml:space="preserve">、 </w:t>
      </w:r>
      <w:r>
        <w:rPr>
          <w:w w:val="105"/>
        </w:rPr>
        <w:t>州</w:t>
      </w:r>
      <w:r>
        <w:rPr>
          <w:rFonts w:hint="eastAsia" w:ascii="MS UI Gothic" w:eastAsia="MS UI Gothic"/>
          <w:w w:val="150"/>
        </w:rPr>
        <w:t xml:space="preserve">) </w:t>
      </w:r>
      <w:r>
        <w:rPr>
          <w:w w:val="105"/>
        </w:rPr>
        <w:t>和省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直辖市人民政府及政府有关部门应</w:t>
      </w:r>
      <w:r>
        <w:t>当按照国家规定的程序和时限立即上报</w:t>
      </w:r>
      <w:r>
        <w:rPr>
          <w:rFonts w:hint="eastAsia" w:ascii="MS UI Gothic" w:eastAsia="MS UI Gothic"/>
          <w:w w:val="80"/>
        </w:rPr>
        <w:t>ꎬ</w:t>
      </w:r>
      <w:r>
        <w:rPr>
          <w:w w:val="105"/>
        </w:rPr>
        <w:t>不得隐瞒不报</w:t>
      </w:r>
      <w:r>
        <w:rPr>
          <w:rFonts w:hint="eastAsia" w:ascii="MS UI Gothic" w:eastAsia="MS UI Gothic"/>
          <w:w w:val="80"/>
        </w:rPr>
        <w:t xml:space="preserve">、 </w:t>
      </w:r>
      <w:r>
        <w:rPr>
          <w:w w:val="105"/>
        </w:rPr>
        <w:t>谎报或者拖延报告</w:t>
      </w:r>
      <w:r>
        <w:rPr>
          <w:rFonts w:hint="eastAsia" w:ascii="MS UI Gothic" w:eastAsia="MS UI Gothic"/>
          <w:w w:val="80"/>
        </w:rPr>
        <w:t xml:space="preserve">ꎬ </w:t>
      </w:r>
      <w:r>
        <w:rPr>
          <w:w w:val="105"/>
        </w:rPr>
        <w:t>并应当配合</w:t>
      </w:r>
      <w:r>
        <w:rPr>
          <w:rFonts w:hint="eastAsia" w:ascii="MS UI Gothic" w:eastAsia="MS UI Gothic"/>
          <w:w w:val="80"/>
        </w:rPr>
        <w:t xml:space="preserve">、 </w:t>
      </w:r>
      <w:r>
        <w:rPr>
          <w:w w:val="105"/>
        </w:rPr>
        <w:t>协助事故调查</w:t>
      </w:r>
      <w:r>
        <w:rPr>
          <w:rFonts w:hint="eastAsia" w:ascii="MS UI Gothic" w:eastAsia="MS UI Gothic"/>
          <w:w w:val="80"/>
        </w:rPr>
        <w:t xml:space="preserve">ꎬ </w:t>
      </w:r>
      <w:r>
        <w:rPr>
          <w:w w:val="105"/>
        </w:rPr>
        <w:t>不得以任何方</w:t>
      </w:r>
    </w:p>
    <w:p>
      <w:pPr>
        <w:pStyle w:val="6"/>
        <w:spacing w:line="295" w:lineRule="auto"/>
        <w:ind w:right="39"/>
        <w:rPr>
          <w:rFonts w:hint="eastAsia" w:ascii="MS UI Gothic" w:eastAsia="MS UI Gothic"/>
        </w:rPr>
      </w:pPr>
      <w:r>
        <w:t>特大安全事故发生后</w:t>
      </w:r>
      <w:r>
        <w:rPr>
          <w:rFonts w:hint="eastAsia" w:ascii="MS UI Gothic" w:eastAsia="MS UI Gothic"/>
          <w:w w:val="80"/>
        </w:rPr>
        <w:t xml:space="preserve">ꎬ </w:t>
      </w:r>
      <w:r>
        <w:t>有关地方人民政府及政府有关部门违反前款规定的</w:t>
      </w:r>
      <w:r>
        <w:rPr>
          <w:rFonts w:hint="eastAsia" w:ascii="MS UI Gothic" w:eastAsia="MS UI Gothic"/>
          <w:w w:val="80"/>
        </w:rPr>
        <w:t xml:space="preserve">ꎬ </w:t>
      </w:r>
      <w:r>
        <w:t>对政府主要领导人和政府部门正职负责人给</w:t>
      </w:r>
      <w:r>
        <w:rPr>
          <w:w w:val="105"/>
        </w:rPr>
        <w:t>予降级的行政处分</w:t>
      </w:r>
      <w:r>
        <w:rPr>
          <w:rFonts w:hint="eastAsia" w:ascii="MS UI Gothic" w:eastAsia="MS UI Gothic"/>
          <w:w w:val="80"/>
        </w:rPr>
        <w:t>ꎮ</w:t>
      </w:r>
    </w:p>
    <w:p>
      <w:pPr>
        <w:pStyle w:val="6"/>
        <w:spacing w:line="295" w:lineRule="auto"/>
        <w:ind w:right="39"/>
        <w:rPr>
          <w:rFonts w:hint="eastAsia" w:ascii="MS UI Gothic" w:eastAsia="MS UI Gothic"/>
        </w:rPr>
      </w:pPr>
      <w:r>
        <w:t>第十七条 特大安全事故发生后</w:t>
      </w:r>
      <w:r>
        <w:rPr>
          <w:rFonts w:hint="eastAsia" w:ascii="MS UI Gothic" w:eastAsia="MS UI Gothic"/>
          <w:w w:val="80"/>
        </w:rPr>
        <w:t xml:space="preserve">ꎬ </w:t>
      </w:r>
      <w:r>
        <w:t>有关地方人民政府应当迅速组织救助</w:t>
      </w:r>
      <w:r>
        <w:rPr>
          <w:rFonts w:hint="eastAsia" w:ascii="MS UI Gothic" w:eastAsia="MS UI Gothic"/>
          <w:w w:val="80"/>
        </w:rPr>
        <w:t xml:space="preserve">ꎬ </w:t>
      </w:r>
      <w:r>
        <w:t>有关部门应当服从指挥</w:t>
      </w:r>
      <w:r>
        <w:rPr>
          <w:rFonts w:hint="eastAsia" w:ascii="MS UI Gothic" w:eastAsia="MS UI Gothic"/>
          <w:w w:val="80"/>
        </w:rPr>
        <w:t xml:space="preserve">、 </w:t>
      </w:r>
      <w:r>
        <w:t>调度</w:t>
      </w:r>
      <w:r>
        <w:rPr>
          <w:rFonts w:hint="eastAsia" w:ascii="MS UI Gothic" w:eastAsia="MS UI Gothic"/>
          <w:w w:val="80"/>
        </w:rPr>
        <w:t xml:space="preserve">ꎬ </w:t>
      </w:r>
      <w:r>
        <w:t>参加或者配合救助</w:t>
      </w:r>
      <w:r>
        <w:rPr>
          <w:rFonts w:hint="eastAsia" w:ascii="MS UI Gothic" w:eastAsia="MS UI Gothic"/>
          <w:w w:val="80"/>
        </w:rPr>
        <w:t xml:space="preserve">ꎬ </w:t>
      </w:r>
      <w:r>
        <w:t>将事故损失降到最低限度</w:t>
      </w:r>
      <w:r>
        <w:rPr>
          <w:rFonts w:hint="eastAsia" w:ascii="MS UI Gothic" w:eastAsia="MS UI Gothic"/>
          <w:w w:val="80"/>
        </w:rPr>
        <w:t>ꎮ</w:t>
      </w:r>
    </w:p>
    <w:p>
      <w:pPr>
        <w:pStyle w:val="6"/>
        <w:spacing w:line="295" w:lineRule="auto"/>
        <w:ind w:right="38"/>
        <w:rPr>
          <w:rFonts w:hint="eastAsia" w:ascii="MS UI Gothic" w:eastAsia="MS UI Gothic"/>
        </w:rPr>
      </w:pPr>
      <w:r>
        <w:t>第十八条 特大安全事故发生后</w:t>
      </w:r>
      <w:r>
        <w:rPr>
          <w:rFonts w:hint="eastAsia" w:ascii="MS UI Gothic" w:eastAsia="MS UI Gothic"/>
          <w:w w:val="80"/>
        </w:rPr>
        <w:t>ꎬ</w:t>
      </w:r>
      <w:r>
        <w:t>省</w:t>
      </w:r>
      <w:r>
        <w:rPr>
          <w:rFonts w:hint="eastAsia" w:ascii="MS UI Gothic" w:eastAsia="MS UI Gothic"/>
          <w:w w:val="80"/>
        </w:rPr>
        <w:t xml:space="preserve">、 </w:t>
      </w:r>
      <w:r>
        <w:t>自治区</w:t>
      </w:r>
      <w:r>
        <w:rPr>
          <w:rFonts w:hint="eastAsia" w:ascii="MS UI Gothic" w:eastAsia="MS UI Gothic"/>
          <w:w w:val="80"/>
        </w:rPr>
        <w:t xml:space="preserve">、 </w:t>
      </w:r>
      <w:r>
        <w:t>直辖市人民政府应当按照国家有关规定迅速</w:t>
      </w:r>
      <w:r>
        <w:rPr>
          <w:rFonts w:hint="eastAsia" w:ascii="MS UI Gothic" w:eastAsia="MS UI Gothic"/>
          <w:w w:val="80"/>
        </w:rPr>
        <w:t xml:space="preserve">、 </w:t>
      </w:r>
      <w:r>
        <w:t>如实发布事故消息</w:t>
      </w:r>
      <w:r>
        <w:rPr>
          <w:rFonts w:hint="eastAsia" w:ascii="MS UI Gothic" w:eastAsia="MS UI Gothic"/>
          <w:w w:val="80"/>
        </w:rPr>
        <w:t>ꎮ</w:t>
      </w:r>
    </w:p>
    <w:p>
      <w:pPr>
        <w:pStyle w:val="6"/>
        <w:spacing w:line="295" w:lineRule="auto"/>
        <w:ind w:right="39"/>
      </w:pPr>
      <w:r>
        <w:rPr>
          <w:w w:val="105"/>
        </w:rPr>
        <w:t>第十九条 特大安全事故发生后</w:t>
      </w:r>
      <w:r>
        <w:rPr>
          <w:rFonts w:hint="eastAsia" w:ascii="MS UI Gothic" w:eastAsia="MS UI Gothic"/>
          <w:w w:val="80"/>
        </w:rPr>
        <w:t xml:space="preserve">ꎬ </w:t>
      </w:r>
      <w:r>
        <w:rPr>
          <w:w w:val="105"/>
        </w:rPr>
        <w:t>按</w:t>
      </w:r>
      <w:r>
        <w:t>照国家有关规定组织调查组对事故进行调查</w:t>
      </w:r>
      <w:r>
        <w:rPr>
          <w:rFonts w:hint="eastAsia" w:ascii="MS UI Gothic" w:eastAsia="MS UI Gothic"/>
          <w:w w:val="80"/>
        </w:rPr>
        <w:t xml:space="preserve">ꎮ </w:t>
      </w:r>
      <w:r>
        <w:t>事故调查工作应当自事故发生之日起</w:t>
      </w:r>
    </w:p>
    <w:p>
      <w:pPr>
        <w:pStyle w:val="6"/>
        <w:spacing w:before="123" w:line="295" w:lineRule="auto"/>
        <w:ind w:left="130" w:right="440" w:hanging="6"/>
        <w:rPr>
          <w:rFonts w:hint="eastAsia" w:ascii="MS UI Gothic" w:eastAsia="MS UI Gothic"/>
        </w:rPr>
      </w:pPr>
      <w:r>
        <w:br w:type="column"/>
      </w:r>
      <w:r>
        <w:rPr>
          <w:rFonts w:hint="eastAsia" w:ascii="MS UI Gothic" w:eastAsia="MS UI Gothic"/>
          <w:w w:val="85"/>
        </w:rPr>
        <w:t xml:space="preserve">６０ </w:t>
      </w:r>
      <w:r>
        <w:t>日内完成</w:t>
      </w:r>
      <w:r>
        <w:rPr>
          <w:rFonts w:hint="eastAsia" w:ascii="MS UI Gothic" w:eastAsia="MS UI Gothic"/>
          <w:w w:val="85"/>
        </w:rPr>
        <w:t xml:space="preserve">ꎬ </w:t>
      </w:r>
      <w:r>
        <w:t>并由调查组提出调查报告</w:t>
      </w:r>
      <w:r>
        <w:rPr>
          <w:rFonts w:hint="eastAsia" w:ascii="MS UI Gothic" w:eastAsia="MS UI Gothic"/>
          <w:w w:val="85"/>
        </w:rPr>
        <w:t>ꎻ</w:t>
      </w:r>
      <w:r>
        <w:t>遇有特殊情况的</w:t>
      </w:r>
      <w:r>
        <w:rPr>
          <w:rFonts w:hint="eastAsia" w:ascii="MS UI Gothic" w:eastAsia="MS UI Gothic"/>
          <w:w w:val="85"/>
        </w:rPr>
        <w:t xml:space="preserve">ꎬ </w:t>
      </w:r>
      <w:r>
        <w:t>经调查组提出并报国家安全生产监督管理机构批准后</w:t>
      </w:r>
      <w:r>
        <w:rPr>
          <w:rFonts w:hint="eastAsia" w:ascii="MS UI Gothic" w:eastAsia="MS UI Gothic"/>
          <w:w w:val="85"/>
        </w:rPr>
        <w:t xml:space="preserve">ꎬ </w:t>
      </w:r>
      <w:r>
        <w:t>可以适当延长时间</w:t>
      </w:r>
      <w:r>
        <w:rPr>
          <w:rFonts w:hint="eastAsia" w:ascii="MS UI Gothic" w:eastAsia="MS UI Gothic"/>
          <w:w w:val="85"/>
        </w:rPr>
        <w:t xml:space="preserve">ꎮ </w:t>
      </w:r>
      <w:r>
        <w:t>调查报告应当包括依照本规定对有关责任人员追究行政责任或者其他法律责任的意见</w:t>
      </w:r>
      <w:r>
        <w:rPr>
          <w:rFonts w:hint="eastAsia" w:ascii="MS UI Gothic" w:eastAsia="MS UI Gothic"/>
          <w:w w:val="85"/>
        </w:rPr>
        <w:t>ꎮ</w:t>
      </w:r>
    </w:p>
    <w:p>
      <w:pPr>
        <w:pStyle w:val="6"/>
        <w:spacing w:line="295" w:lineRule="auto"/>
        <w:ind w:left="130" w:right="442"/>
        <w:rPr>
          <w:rFonts w:hint="eastAsia" w:ascii="MS UI Gothic" w:eastAsia="MS UI Gothic"/>
        </w:rPr>
      </w:pPr>
      <w:r>
        <w:t>省</w:t>
      </w:r>
      <w:r>
        <w:rPr>
          <w:rFonts w:hint="eastAsia" w:ascii="MS UI Gothic" w:eastAsia="MS UI Gothic"/>
          <w:w w:val="85"/>
        </w:rPr>
        <w:t xml:space="preserve">、 </w:t>
      </w:r>
      <w:r>
        <w:t>自治区</w:t>
      </w:r>
      <w:r>
        <w:rPr>
          <w:rFonts w:hint="eastAsia" w:ascii="MS UI Gothic" w:eastAsia="MS UI Gothic"/>
          <w:w w:val="85"/>
        </w:rPr>
        <w:t xml:space="preserve">、 </w:t>
      </w:r>
      <w:r>
        <w:t xml:space="preserve">直辖市人民政府应当自调查报告提交之日起 </w:t>
      </w:r>
      <w:r>
        <w:rPr>
          <w:rFonts w:hint="eastAsia" w:ascii="MS UI Gothic" w:eastAsia="MS UI Gothic"/>
          <w:w w:val="85"/>
        </w:rPr>
        <w:t xml:space="preserve">３０ </w:t>
      </w:r>
      <w:r>
        <w:t>日内</w:t>
      </w:r>
      <w:r>
        <w:rPr>
          <w:rFonts w:hint="eastAsia" w:ascii="MS UI Gothic" w:eastAsia="MS UI Gothic"/>
          <w:w w:val="85"/>
        </w:rPr>
        <w:t xml:space="preserve">ꎬ </w:t>
      </w:r>
      <w:r>
        <w:t>对有关责任人员作出处理决定</w:t>
      </w:r>
      <w:r>
        <w:rPr>
          <w:rFonts w:hint="eastAsia" w:ascii="MS UI Gothic" w:eastAsia="MS UI Gothic"/>
          <w:w w:val="85"/>
        </w:rPr>
        <w:t xml:space="preserve">ꎻ </w:t>
      </w:r>
      <w:r>
        <w:t>必要时</w:t>
      </w:r>
      <w:r>
        <w:rPr>
          <w:rFonts w:hint="eastAsia" w:ascii="MS UI Gothic" w:eastAsia="MS UI Gothic"/>
          <w:w w:val="85"/>
        </w:rPr>
        <w:t xml:space="preserve">ꎬ </w:t>
      </w:r>
      <w:r>
        <w:t>国务院可以对特大安全事故的有关责任人员作出处理决定</w:t>
      </w:r>
      <w:r>
        <w:rPr>
          <w:rFonts w:hint="eastAsia" w:ascii="MS UI Gothic" w:eastAsia="MS UI Gothic"/>
          <w:w w:val="85"/>
        </w:rPr>
        <w:t>ꎮ</w:t>
      </w:r>
    </w:p>
    <w:p>
      <w:pPr>
        <w:pStyle w:val="6"/>
        <w:spacing w:line="295" w:lineRule="auto"/>
        <w:ind w:left="130" w:right="442"/>
        <w:rPr>
          <w:rFonts w:hint="eastAsia" w:ascii="MS UI Gothic" w:eastAsia="MS UI Gothic"/>
        </w:rPr>
      </w:pPr>
      <w:r>
        <w:t>第二十条 地方人民政府或者政府部门阻挠</w:t>
      </w:r>
      <w:r>
        <w:rPr>
          <w:rFonts w:hint="eastAsia" w:ascii="MS UI Gothic" w:eastAsia="MS UI Gothic"/>
          <w:w w:val="80"/>
        </w:rPr>
        <w:t xml:space="preserve">、 </w:t>
      </w:r>
      <w:r>
        <w:t>干涉对特大安全事故有关责任人员追究行政责任的</w:t>
      </w:r>
      <w:r>
        <w:rPr>
          <w:rFonts w:hint="eastAsia" w:ascii="MS UI Gothic" w:eastAsia="MS UI Gothic"/>
          <w:w w:val="80"/>
        </w:rPr>
        <w:t xml:space="preserve">ꎬ </w:t>
      </w:r>
      <w:r>
        <w:t>对该地方人民政府主要领导人或者政府部门正职负责人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给予降级或者撤职的行政处分</w:t>
      </w:r>
      <w:r>
        <w:rPr>
          <w:rFonts w:hint="eastAsia" w:ascii="MS UI Gothic" w:eastAsia="MS UI Gothic"/>
          <w:w w:val="80"/>
        </w:rPr>
        <w:t>ꎮ</w:t>
      </w:r>
    </w:p>
    <w:p>
      <w:pPr>
        <w:pStyle w:val="6"/>
        <w:spacing w:line="295" w:lineRule="auto"/>
        <w:ind w:left="130" w:right="442"/>
        <w:rPr>
          <w:rFonts w:hint="eastAsia" w:ascii="MS UI Gothic" w:eastAsia="MS UI Gothic"/>
        </w:rPr>
      </w:pPr>
      <w:r>
        <w:rPr>
          <w:w w:val="105"/>
        </w:rPr>
        <w:t>第二十一条 任何单位和个人均有权</w:t>
      </w:r>
      <w:r>
        <w:t>向有关地方人民政府或者政府部门报告特大安全事故隐患</w:t>
      </w:r>
      <w:r>
        <w:rPr>
          <w:rFonts w:hint="eastAsia" w:ascii="MS UI Gothic" w:eastAsia="MS UI Gothic"/>
          <w:w w:val="80"/>
        </w:rPr>
        <w:t xml:space="preserve">ꎬ </w:t>
      </w:r>
      <w:r>
        <w:t>有权向上级人民政府或者政府部门举报地方人民政府或者政府部门不履行安全监督管理职责或者不按照规定履行职责的情况</w:t>
      </w:r>
      <w:r>
        <w:rPr>
          <w:rFonts w:hint="eastAsia" w:ascii="MS UI Gothic" w:eastAsia="MS UI Gothic"/>
          <w:w w:val="80"/>
        </w:rPr>
        <w:t xml:space="preserve">ꎮ </w:t>
      </w:r>
      <w:r>
        <w:t>接到报告或者举报的有关人民政府或者政府部门</w:t>
      </w:r>
      <w:r>
        <w:rPr>
          <w:rFonts w:hint="eastAsia" w:ascii="MS UI Gothic" w:eastAsia="MS UI Gothic"/>
          <w:w w:val="80"/>
        </w:rPr>
        <w:t xml:space="preserve">ꎬ </w:t>
      </w:r>
      <w:r>
        <w:t>应当立即组织对事故隐患进行查处</w:t>
      </w:r>
      <w:r>
        <w:rPr>
          <w:rFonts w:hint="eastAsia" w:ascii="MS UI Gothic" w:eastAsia="MS UI Gothic"/>
          <w:w w:val="80"/>
        </w:rPr>
        <w:t xml:space="preserve">ꎬ </w:t>
      </w:r>
      <w:r>
        <w:t>或者对举报的不</w:t>
      </w:r>
      <w:r>
        <w:rPr>
          <w:w w:val="105"/>
        </w:rPr>
        <w:t>履行</w:t>
      </w:r>
      <w:r>
        <w:rPr>
          <w:rFonts w:hint="eastAsia" w:ascii="MS UI Gothic" w:eastAsia="MS UI Gothic"/>
          <w:w w:val="80"/>
        </w:rPr>
        <w:t xml:space="preserve">、 </w:t>
      </w:r>
      <w:r>
        <w:rPr>
          <w:w w:val="105"/>
        </w:rPr>
        <w:t>不按照规定履行安全监督管理职责的情况进行调查处理</w:t>
      </w:r>
      <w:r>
        <w:rPr>
          <w:rFonts w:hint="eastAsia" w:ascii="MS UI Gothic" w:eastAsia="MS UI Gothic"/>
          <w:w w:val="80"/>
        </w:rPr>
        <w:t>ꎮ</w:t>
      </w:r>
    </w:p>
    <w:p>
      <w:pPr>
        <w:pStyle w:val="6"/>
        <w:spacing w:line="295" w:lineRule="auto"/>
        <w:ind w:left="130" w:right="442"/>
        <w:rPr>
          <w:rFonts w:hint="eastAsia" w:ascii="MS UI Gothic" w:eastAsia="MS UI Gothic"/>
        </w:rPr>
      </w:pPr>
      <w:r>
        <w:rPr>
          <w:w w:val="105"/>
        </w:rPr>
        <w:t>第二十二条 监察机关依照行政监察</w:t>
      </w:r>
      <w:r>
        <w:t>法的规定</w:t>
      </w:r>
      <w:r>
        <w:rPr>
          <w:rFonts w:hint="eastAsia" w:ascii="MS UI Gothic" w:eastAsia="MS UI Gothic"/>
          <w:w w:val="80"/>
        </w:rPr>
        <w:t xml:space="preserve">ꎬ </w:t>
      </w:r>
      <w:r>
        <w:t>对地方各级人民政府和政府部门及其工作人员履行安全监督管理职责实</w:t>
      </w:r>
      <w:r>
        <w:rPr>
          <w:w w:val="105"/>
        </w:rPr>
        <w:t>施监察</w:t>
      </w:r>
      <w:r>
        <w:rPr>
          <w:rFonts w:hint="eastAsia" w:ascii="MS UI Gothic" w:eastAsia="MS UI Gothic"/>
          <w:w w:val="80"/>
        </w:rPr>
        <w:t>ꎮ</w:t>
      </w:r>
    </w:p>
    <w:p>
      <w:pPr>
        <w:pStyle w:val="6"/>
        <w:spacing w:line="295" w:lineRule="auto"/>
        <w:ind w:left="130" w:right="442"/>
        <w:rPr>
          <w:rFonts w:hint="eastAsia" w:ascii="MS UI Gothic" w:eastAsia="MS UI Gothic"/>
        </w:rPr>
      </w:pPr>
      <w:r>
        <w:t>第二十三条 对特大安全事故以外的其他安全事故的防范</w:t>
      </w:r>
      <w:r>
        <w:rPr>
          <w:rFonts w:hint="eastAsia" w:ascii="MS UI Gothic" w:eastAsia="MS UI Gothic"/>
          <w:w w:val="80"/>
        </w:rPr>
        <w:t xml:space="preserve">、 </w:t>
      </w:r>
      <w:r>
        <w:t>发生追究行政责任的办法</w:t>
      </w:r>
      <w:r>
        <w:rPr>
          <w:rFonts w:hint="eastAsia" w:ascii="MS UI Gothic" w:eastAsia="MS UI Gothic"/>
          <w:w w:val="80"/>
        </w:rPr>
        <w:t xml:space="preserve">ꎬ </w:t>
      </w:r>
      <w:r>
        <w:t>由省</w:t>
      </w:r>
      <w:r>
        <w:rPr>
          <w:rFonts w:hint="eastAsia" w:ascii="MS UI Gothic" w:eastAsia="MS UI Gothic"/>
          <w:w w:val="80"/>
        </w:rPr>
        <w:t xml:space="preserve">、 </w:t>
      </w:r>
      <w:r>
        <w:t>自治区</w:t>
      </w:r>
      <w:r>
        <w:rPr>
          <w:rFonts w:hint="eastAsia" w:ascii="MS UI Gothic" w:eastAsia="MS UI Gothic"/>
          <w:w w:val="80"/>
        </w:rPr>
        <w:t xml:space="preserve">、 </w:t>
      </w:r>
      <w:r>
        <w:t>直辖市人民政府参照本规定制定</w:t>
      </w:r>
      <w:r>
        <w:rPr>
          <w:rFonts w:hint="eastAsia" w:ascii="MS UI Gothic" w:eastAsia="MS UI Gothic"/>
          <w:w w:val="80"/>
        </w:rPr>
        <w:t>ꎮ</w:t>
      </w:r>
    </w:p>
    <w:p>
      <w:pPr>
        <w:pStyle w:val="6"/>
        <w:spacing w:line="295" w:lineRule="auto"/>
        <w:ind w:left="130" w:right="442"/>
        <w:rPr>
          <w:rFonts w:hint="eastAsia" w:ascii="MS UI Gothic" w:eastAsia="MS UI Gothic"/>
        </w:rPr>
      </w:pPr>
      <w:r>
        <w:t>第二十四条  本规定自公布之日起施行</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0"/>
            <w:col w:w="4354"/>
          </w:cols>
        </w:sectPr>
      </w:pPr>
    </w:p>
    <w:p>
      <w:pPr>
        <w:pStyle w:val="6"/>
        <w:ind w:left="0" w:firstLine="0"/>
        <w:jc w:val="left"/>
        <w:rPr>
          <w:rFonts w:ascii="MS UI Gothic"/>
          <w:sz w:val="32"/>
        </w:rPr>
      </w:pPr>
    </w:p>
    <w:p>
      <w:pPr>
        <w:pStyle w:val="6"/>
        <w:spacing w:before="7"/>
        <w:ind w:left="0" w:firstLine="0"/>
        <w:jc w:val="left"/>
        <w:rPr>
          <w:rFonts w:ascii="MS UI Gothic"/>
          <w:sz w:val="22"/>
        </w:rPr>
      </w:pPr>
    </w:p>
    <w:p>
      <w:pPr>
        <w:pStyle w:val="4"/>
        <w:spacing w:before="0"/>
        <w:ind w:left="440"/>
        <w:jc w:val="left"/>
      </w:pPr>
      <w:r>
        <w:pict>
          <v:shape id="_x0000_s1294" o:spid="_x0000_s1294" style="position:absolute;left:0pt;margin-left:0pt;margin-top:665.15pt;height:1.75pt;width:398.25pt;mso-position-horizontal-relative:page;z-index:251761664;mso-width-relative:page;mso-height-relative:page;" filled="f" stroked="t" coordorigin="0,13304" coordsize="7965,35" path="m1419,-182l9384,-182m1419,-217l9384,-217e">
            <v:path arrowok="t"/>
            <v:fill on="f" focussize="0,0"/>
            <v:stroke weight="0.388031496062992pt" color="#231F20"/>
            <v:imagedata o:title=""/>
            <o:lock v:ext="edit"/>
          </v:shape>
        </w:pict>
      </w:r>
      <w:r>
        <w:t>安全生产规章</w:t>
      </w:r>
    </w:p>
    <w:p>
      <w:pPr>
        <w:spacing w:before="192"/>
        <w:ind w:left="440" w:right="0" w:firstLine="0"/>
        <w:jc w:val="left"/>
        <w:rPr>
          <w:sz w:val="17"/>
        </w:rPr>
      </w:pPr>
      <w:r>
        <w:br w:type="column"/>
      </w:r>
      <w:r>
        <w:rPr>
          <w:spacing w:val="3"/>
          <w:sz w:val="17"/>
        </w:rPr>
        <w:t>四</w:t>
      </w:r>
      <w:r>
        <w:rPr>
          <w:rFonts w:hint="eastAsia" w:ascii="Microsoft Yi Baiti" w:eastAsia="Microsoft Yi Baiti"/>
          <w:spacing w:val="9"/>
          <w:sz w:val="17"/>
        </w:rPr>
        <w:t xml:space="preserve">、 </w:t>
      </w:r>
      <w:r>
        <w:rPr>
          <w:spacing w:val="-19"/>
          <w:sz w:val="17"/>
        </w:rPr>
        <w:t>安 全 生 产 法</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８１</w:t>
      </w:r>
    </w:p>
    <w:p>
      <w:pPr>
        <w:spacing w:after="0"/>
        <w:jc w:val="left"/>
        <w:rPr>
          <w:rFonts w:hint="eastAsia" w:ascii="MS UI Gothic" w:eastAsia="MS UI Gothic"/>
        </w:rPr>
        <w:sectPr>
          <w:pgSz w:w="10500" w:h="14750"/>
          <w:pgMar w:top="960" w:right="980" w:bottom="280" w:left="980" w:header="720" w:footer="720" w:gutter="0"/>
          <w:cols w:equalWidth="0" w:num="3">
            <w:col w:w="2152" w:space="1110"/>
            <w:col w:w="1918" w:space="1945"/>
            <w:col w:w="1415"/>
          </w:cols>
        </w:sectPr>
      </w:pPr>
    </w:p>
    <w:p>
      <w:pPr>
        <w:pStyle w:val="6"/>
        <w:spacing w:before="4"/>
        <w:ind w:left="0" w:firstLine="0"/>
        <w:jc w:val="left"/>
        <w:rPr>
          <w:rFonts w:ascii="MS UI Gothic"/>
          <w:sz w:val="12"/>
        </w:rPr>
      </w:pPr>
    </w:p>
    <w:p>
      <w:pPr>
        <w:pStyle w:val="4"/>
        <w:spacing w:before="195"/>
        <w:ind w:left="286"/>
        <w:rPr>
          <w:rFonts w:hint="eastAsia" w:ascii="Microsoft Yi Baiti" w:eastAsia="Microsoft Yi Baiti"/>
        </w:rPr>
      </w:pPr>
      <w:r>
        <w:t xml:space="preserve">国家安全生产事故灾难应急预案 </w:t>
      </w:r>
      <w:r>
        <w:rPr>
          <w:rFonts w:hint="eastAsia" w:ascii="Microsoft Yi Baiti" w:eastAsia="Microsoft Yi Baiti"/>
        </w:rPr>
        <w:t>(</w:t>
      </w:r>
      <w:r>
        <w:rPr>
          <w:rFonts w:hint="eastAsia" w:ascii="MS UI Gothic" w:eastAsia="MS UI Gothic"/>
        </w:rPr>
        <w:t xml:space="preserve">２００６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tabs>
          <w:tab w:val="left" w:pos="1172"/>
        </w:tabs>
        <w:spacing w:before="175"/>
        <w:ind w:left="854" w:firstLine="0"/>
        <w:jc w:val="left"/>
      </w:pPr>
      <w:r>
        <w:rPr>
          <w:rFonts w:hint="eastAsia" w:ascii="MS UI Gothic" w:eastAsia="MS UI Gothic"/>
        </w:rPr>
        <w:t>１</w:t>
      </w:r>
      <w:r>
        <w:rPr>
          <w:rFonts w:hint="eastAsia" w:ascii="MS UI Gothic" w:eastAsia="MS UI Gothic"/>
        </w:rPr>
        <w:tab/>
      </w:r>
      <w:r>
        <w:rPr>
          <w:spacing w:val="1"/>
        </w:rPr>
        <w:t>总则</w:t>
      </w:r>
    </w:p>
    <w:p>
      <w:pPr>
        <w:pStyle w:val="6"/>
        <w:tabs>
          <w:tab w:val="left" w:pos="1378"/>
        </w:tabs>
        <w:spacing w:before="62"/>
        <w:ind w:left="854" w:firstLine="0"/>
        <w:jc w:val="left"/>
      </w:pPr>
      <w:r>
        <w:rPr>
          <w:rFonts w:hint="eastAsia" w:ascii="MS UI Gothic" w:eastAsia="MS UI Gothic"/>
        </w:rPr>
        <w:t>１</w:t>
      </w:r>
      <w:r>
        <w:rPr>
          <w:rFonts w:hint="eastAsia" w:ascii="MS UI Gothic" w:eastAsia="MS UI Gothic"/>
          <w:spacing w:val="-16"/>
        </w:rPr>
        <w:t xml:space="preserve"> １</w:t>
      </w:r>
      <w:r>
        <w:rPr>
          <w:rFonts w:hint="eastAsia" w:ascii="MS UI Gothic" w:eastAsia="MS UI Gothic"/>
        </w:rPr>
        <w:tab/>
      </w:r>
      <w:r>
        <w:rPr>
          <w:spacing w:val="2"/>
        </w:rPr>
        <w:t>编制目的</w:t>
      </w:r>
    </w:p>
    <w:p>
      <w:pPr>
        <w:pStyle w:val="6"/>
        <w:spacing w:before="64" w:line="300" w:lineRule="auto"/>
        <w:ind w:left="440" w:right="1"/>
        <w:rPr>
          <w:rFonts w:hint="eastAsia" w:ascii="MS UI Gothic" w:eastAsia="MS UI Gothic"/>
        </w:rPr>
      </w:pPr>
      <w:r>
        <w:t>规范安全生产事故灾难的应急管理和应急响应程序</w:t>
      </w:r>
      <w:r>
        <w:rPr>
          <w:rFonts w:hint="eastAsia" w:ascii="MS UI Gothic" w:eastAsia="MS UI Gothic"/>
          <w:w w:val="80"/>
        </w:rPr>
        <w:t xml:space="preserve">ꎬ </w:t>
      </w:r>
      <w:r>
        <w:t>及时有效地实施应急救援工作</w:t>
      </w:r>
      <w:r>
        <w:rPr>
          <w:rFonts w:hint="eastAsia" w:ascii="MS UI Gothic" w:eastAsia="MS UI Gothic"/>
          <w:w w:val="80"/>
        </w:rPr>
        <w:t xml:space="preserve">ꎬ </w:t>
      </w:r>
      <w:r>
        <w:t>最大程度地减少人员伤亡</w:t>
      </w:r>
      <w:r>
        <w:rPr>
          <w:rFonts w:hint="eastAsia" w:ascii="MS UI Gothic" w:eastAsia="MS UI Gothic"/>
          <w:w w:val="80"/>
        </w:rPr>
        <w:t xml:space="preserve">、 </w:t>
      </w:r>
      <w:r>
        <w:t>财产损失</w:t>
      </w:r>
      <w:r>
        <w:rPr>
          <w:rFonts w:hint="eastAsia" w:ascii="MS UI Gothic" w:eastAsia="MS UI Gothic"/>
          <w:w w:val="80"/>
        </w:rPr>
        <w:t xml:space="preserve">ꎬ </w:t>
      </w:r>
      <w:r>
        <w:t>维护人民群众的生命安全和社会稳定</w:t>
      </w:r>
      <w:r>
        <w:rPr>
          <w:rFonts w:hint="eastAsia" w:ascii="MS UI Gothic" w:eastAsia="MS UI Gothic"/>
          <w:w w:val="80"/>
        </w:rPr>
        <w:t>ꎮ</w:t>
      </w:r>
    </w:p>
    <w:p>
      <w:pPr>
        <w:pStyle w:val="6"/>
        <w:tabs>
          <w:tab w:val="left" w:pos="1378"/>
        </w:tabs>
        <w:spacing w:line="252" w:lineRule="exact"/>
        <w:ind w:left="854" w:firstLine="0"/>
        <w:jc w:val="left"/>
      </w:pPr>
      <w:r>
        <w:rPr>
          <w:rFonts w:hint="eastAsia" w:ascii="MS UI Gothic" w:eastAsia="MS UI Gothic"/>
        </w:rPr>
        <w:t>１</w:t>
      </w:r>
      <w:r>
        <w:rPr>
          <w:rFonts w:hint="eastAsia" w:ascii="MS UI Gothic" w:eastAsia="MS UI Gothic"/>
          <w:spacing w:val="-16"/>
        </w:rPr>
        <w:t xml:space="preserve"> ２</w:t>
      </w:r>
      <w:r>
        <w:rPr>
          <w:rFonts w:hint="eastAsia" w:ascii="MS UI Gothic" w:eastAsia="MS UI Gothic"/>
        </w:rPr>
        <w:tab/>
      </w:r>
      <w:r>
        <w:rPr>
          <w:spacing w:val="2"/>
        </w:rPr>
        <w:t>编制依据</w:t>
      </w:r>
    </w:p>
    <w:p>
      <w:pPr>
        <w:pStyle w:val="6"/>
        <w:spacing w:before="63" w:line="300" w:lineRule="auto"/>
        <w:ind w:left="440" w:right="1"/>
        <w:rPr>
          <w:rFonts w:hint="eastAsia" w:ascii="MS UI Gothic" w:hAnsi="MS UI Gothic" w:eastAsia="MS UI Gothic"/>
        </w:rPr>
      </w:pPr>
      <w:r>
        <w:t xml:space="preserve">依据 </w:t>
      </w:r>
      <w:r>
        <w:rPr>
          <w:rFonts w:hint="eastAsia" w:ascii="MS UI Gothic" w:hAnsi="MS UI Gothic" w:eastAsia="MS UI Gothic"/>
          <w:w w:val="80"/>
        </w:rPr>
        <w:t xml:space="preserve">« </w:t>
      </w:r>
      <w:r>
        <w:t>中华人民共和国安全生产法</w:t>
      </w:r>
      <w:r>
        <w:rPr>
          <w:rFonts w:hint="eastAsia" w:ascii="MS UI Gothic" w:hAnsi="MS UI Gothic" w:eastAsia="MS UI Gothic"/>
          <w:w w:val="80"/>
        </w:rPr>
        <w:t xml:space="preserve">»、 « </w:t>
      </w:r>
      <w:r>
        <w:t>国家突发公共事件总体应急预案</w:t>
      </w:r>
      <w:r>
        <w:rPr>
          <w:rFonts w:hint="eastAsia" w:ascii="MS UI Gothic" w:hAnsi="MS UI Gothic" w:eastAsia="MS UI Gothic"/>
          <w:w w:val="80"/>
        </w:rPr>
        <w:t xml:space="preserve">» </w:t>
      </w:r>
      <w:r>
        <w:t xml:space="preserve">和 </w:t>
      </w:r>
      <w:r>
        <w:rPr>
          <w:rFonts w:hint="eastAsia" w:ascii="MS UI Gothic" w:hAnsi="MS UI Gothic" w:eastAsia="MS UI Gothic"/>
          <w:w w:val="80"/>
        </w:rPr>
        <w:t xml:space="preserve">« </w:t>
      </w:r>
      <w:r>
        <w:t>国务院关于进一步加强安全生产工作的决定</w:t>
      </w:r>
      <w:r>
        <w:rPr>
          <w:rFonts w:hint="eastAsia" w:ascii="MS UI Gothic" w:hAnsi="MS UI Gothic" w:eastAsia="MS UI Gothic"/>
          <w:w w:val="80"/>
        </w:rPr>
        <w:t xml:space="preserve">» </w:t>
      </w:r>
      <w:r>
        <w:t>等法律法规及有关规定</w:t>
      </w:r>
      <w:r>
        <w:rPr>
          <w:rFonts w:hint="eastAsia" w:ascii="MS UI Gothic" w:hAnsi="MS UI Gothic" w:eastAsia="MS UI Gothic"/>
          <w:w w:val="80"/>
        </w:rPr>
        <w:t xml:space="preserve">ꎬ </w:t>
      </w:r>
      <w:r>
        <w:t>制定本预案</w:t>
      </w:r>
      <w:r>
        <w:rPr>
          <w:rFonts w:hint="eastAsia" w:ascii="MS UI Gothic" w:hAnsi="MS UI Gothic" w:eastAsia="MS UI Gothic"/>
          <w:w w:val="80"/>
        </w:rPr>
        <w:t>ꎮ</w:t>
      </w:r>
    </w:p>
    <w:p>
      <w:pPr>
        <w:pStyle w:val="6"/>
        <w:tabs>
          <w:tab w:val="left" w:pos="1378"/>
        </w:tabs>
        <w:spacing w:line="254" w:lineRule="exact"/>
        <w:ind w:left="854" w:firstLine="0"/>
        <w:jc w:val="left"/>
      </w:pPr>
      <w:r>
        <w:rPr>
          <w:rFonts w:hint="eastAsia" w:ascii="MS UI Gothic" w:eastAsia="MS UI Gothic"/>
        </w:rPr>
        <w:t>１</w:t>
      </w:r>
      <w:r>
        <w:rPr>
          <w:rFonts w:hint="eastAsia" w:ascii="MS UI Gothic" w:eastAsia="MS UI Gothic"/>
          <w:spacing w:val="-16"/>
        </w:rPr>
        <w:t xml:space="preserve"> ３</w:t>
      </w:r>
      <w:r>
        <w:rPr>
          <w:rFonts w:hint="eastAsia" w:ascii="MS UI Gothic" w:eastAsia="MS UI Gothic"/>
        </w:rPr>
        <w:tab/>
      </w:r>
      <w:r>
        <w:rPr>
          <w:spacing w:val="2"/>
        </w:rPr>
        <w:t>适用范围</w:t>
      </w:r>
    </w:p>
    <w:p>
      <w:pPr>
        <w:pStyle w:val="6"/>
        <w:spacing w:before="62" w:line="300" w:lineRule="auto"/>
        <w:ind w:left="440" w:right="1"/>
        <w:jc w:val="left"/>
        <w:rPr>
          <w:rFonts w:hint="eastAsia" w:ascii="MS UI Gothic" w:eastAsia="MS UI Gothic"/>
        </w:rPr>
      </w:pPr>
      <w:r>
        <w:t>本预案适用于下列安全生产事故灾难</w:t>
      </w:r>
      <w:r>
        <w:rPr>
          <w:w w:val="110"/>
        </w:rPr>
        <w:t>的应对工作</w:t>
      </w:r>
      <w:r>
        <w:rPr>
          <w:rFonts w:hint="eastAsia" w:ascii="MS UI Gothic" w:eastAsia="MS UI Gothic"/>
          <w:w w:val="235"/>
        </w:rPr>
        <w:t>:</w:t>
      </w:r>
    </w:p>
    <w:p>
      <w:pPr>
        <w:pStyle w:val="6"/>
        <w:ind w:left="860" w:firstLine="0"/>
        <w:rPr>
          <w:rFonts w:hint="eastAsia" w:ascii="MS UI Gothic" w:eastAsia="MS UI Gothic"/>
        </w:rPr>
      </w:pPr>
      <w:r>
        <w:rPr>
          <w:rFonts w:hint="eastAsia" w:ascii="MS UI Gothic" w:eastAsia="MS UI Gothic"/>
          <w:spacing w:val="15"/>
          <w:w w:val="168"/>
        </w:rPr>
        <w:t>(</w:t>
      </w:r>
      <w:r>
        <w:rPr>
          <w:rFonts w:hint="eastAsia" w:ascii="MS UI Gothic" w:eastAsia="MS UI Gothic"/>
          <w:spacing w:val="5"/>
          <w:w w:val="75"/>
        </w:rPr>
        <w:t>１</w:t>
      </w:r>
      <w:r>
        <w:rPr>
          <w:rFonts w:hint="eastAsia" w:ascii="MS UI Gothic" w:eastAsia="MS UI Gothic"/>
          <w:w w:val="168"/>
        </w:rPr>
        <w:t>)</w:t>
      </w:r>
      <w:r>
        <w:rPr>
          <w:rFonts w:hint="eastAsia" w:ascii="MS UI Gothic" w:eastAsia="MS UI Gothic"/>
          <w:spacing w:val="2"/>
        </w:rPr>
        <w:t xml:space="preserve">  </w:t>
      </w:r>
      <w:r>
        <w:rPr>
          <w:spacing w:val="1"/>
          <w:w w:val="102"/>
        </w:rPr>
        <w:t>造成</w:t>
      </w:r>
      <w:r>
        <w:rPr>
          <w:spacing w:val="-50"/>
        </w:rPr>
        <w:t xml:space="preserve"> </w:t>
      </w:r>
      <w:r>
        <w:rPr>
          <w:rFonts w:hint="eastAsia" w:ascii="MS UI Gothic" w:eastAsia="MS UI Gothic"/>
          <w:w w:val="75"/>
        </w:rPr>
        <w:t>３０</w:t>
      </w:r>
      <w:r>
        <w:rPr>
          <w:rFonts w:hint="eastAsia" w:ascii="MS UI Gothic" w:eastAsia="MS UI Gothic"/>
          <w:spacing w:val="-3"/>
        </w:rPr>
        <w:t xml:space="preserve"> </w:t>
      </w:r>
      <w:r>
        <w:rPr>
          <w:spacing w:val="5"/>
          <w:w w:val="102"/>
        </w:rPr>
        <w:t>人以上死亡</w:t>
      </w:r>
      <w:r>
        <w:rPr>
          <w:spacing w:val="10"/>
        </w:rPr>
        <w:t xml:space="preserve"> </w:t>
      </w:r>
      <w:r>
        <w:rPr>
          <w:rFonts w:hint="eastAsia" w:ascii="MS UI Gothic" w:eastAsia="MS UI Gothic"/>
          <w:w w:val="168"/>
        </w:rPr>
        <w:t>(</w:t>
      </w:r>
      <w:r>
        <w:rPr>
          <w:rFonts w:hint="eastAsia" w:ascii="MS UI Gothic" w:eastAsia="MS UI Gothic"/>
          <w:spacing w:val="-38"/>
        </w:rPr>
        <w:t xml:space="preserve"> </w:t>
      </w:r>
      <w:r>
        <w:rPr>
          <w:spacing w:val="7"/>
          <w:w w:val="102"/>
        </w:rPr>
        <w:t>含失踪</w:t>
      </w:r>
      <w:r>
        <w:rPr>
          <w:rFonts w:hint="eastAsia" w:ascii="MS UI Gothic" w:eastAsia="MS UI Gothic"/>
          <w:w w:val="168"/>
        </w:rPr>
        <w:t>)</w:t>
      </w:r>
      <w:r>
        <w:rPr>
          <w:rFonts w:hint="eastAsia" w:ascii="MS UI Gothic" w:eastAsia="MS UI Gothic"/>
          <w:spacing w:val="-40"/>
        </w:rPr>
        <w:t xml:space="preserve"> </w:t>
      </w:r>
      <w:r>
        <w:rPr>
          <w:rFonts w:hint="eastAsia" w:ascii="MS UI Gothic" w:eastAsia="MS UI Gothic"/>
          <w:spacing w:val="-11"/>
          <w:w w:val="51"/>
        </w:rPr>
        <w:t>ꎬ</w:t>
      </w:r>
    </w:p>
    <w:p>
      <w:pPr>
        <w:pStyle w:val="6"/>
        <w:spacing w:before="64" w:line="300" w:lineRule="auto"/>
        <w:ind w:left="440" w:right="1" w:firstLine="0"/>
        <w:rPr>
          <w:rFonts w:hint="eastAsia" w:ascii="MS UI Gothic" w:eastAsia="MS UI Gothic"/>
        </w:rPr>
      </w:pPr>
      <w:r>
        <w:t xml:space="preserve">或危及 </w:t>
      </w:r>
      <w:r>
        <w:rPr>
          <w:rFonts w:hint="eastAsia" w:ascii="MS UI Gothic" w:eastAsia="MS UI Gothic"/>
          <w:w w:val="85"/>
        </w:rPr>
        <w:t xml:space="preserve">３０ </w:t>
      </w:r>
      <w:r>
        <w:t>人以上生命安全</w:t>
      </w:r>
      <w:r>
        <w:rPr>
          <w:rFonts w:hint="eastAsia" w:ascii="MS UI Gothic" w:eastAsia="MS UI Gothic"/>
          <w:w w:val="85"/>
        </w:rPr>
        <w:t xml:space="preserve">ꎬ </w:t>
      </w:r>
      <w:r>
        <w:t xml:space="preserve">或者 </w:t>
      </w:r>
      <w:r>
        <w:rPr>
          <w:rFonts w:hint="eastAsia" w:ascii="MS UI Gothic" w:eastAsia="MS UI Gothic"/>
          <w:w w:val="85"/>
        </w:rPr>
        <w:t xml:space="preserve">１００ </w:t>
      </w:r>
      <w:r>
        <w:t xml:space="preserve">人以上中毒 </w:t>
      </w:r>
      <w:r>
        <w:rPr>
          <w:rFonts w:hint="eastAsia" w:ascii="MS UI Gothic" w:eastAsia="MS UI Gothic"/>
          <w:w w:val="140"/>
        </w:rPr>
        <w:t xml:space="preserve">( </w:t>
      </w:r>
      <w:r>
        <w:t>重伤</w:t>
      </w:r>
      <w:r>
        <w:rPr>
          <w:rFonts w:hint="eastAsia" w:ascii="MS UI Gothic" w:eastAsia="MS UI Gothic"/>
          <w:w w:val="140"/>
        </w:rPr>
        <w:t xml:space="preserve">) </w:t>
      </w:r>
      <w:r>
        <w:rPr>
          <w:rFonts w:hint="eastAsia" w:ascii="MS UI Gothic" w:eastAsia="MS UI Gothic"/>
          <w:w w:val="85"/>
        </w:rPr>
        <w:t xml:space="preserve">ꎬ </w:t>
      </w:r>
      <w:r>
        <w:t xml:space="preserve">或者需要紧急转移安置 </w:t>
      </w:r>
      <w:r>
        <w:rPr>
          <w:rFonts w:hint="eastAsia" w:ascii="MS UI Gothic" w:eastAsia="MS UI Gothic"/>
          <w:w w:val="85"/>
        </w:rPr>
        <w:t xml:space="preserve">１０ </w:t>
      </w:r>
      <w:r>
        <w:t>万人以上</w:t>
      </w:r>
      <w:r>
        <w:rPr>
          <w:rFonts w:hint="eastAsia" w:ascii="MS UI Gothic" w:eastAsia="MS UI Gothic"/>
          <w:w w:val="85"/>
        </w:rPr>
        <w:t xml:space="preserve">ꎬ </w:t>
      </w:r>
      <w:r>
        <w:t xml:space="preserve">或者直接经济损失 </w:t>
      </w:r>
      <w:r>
        <w:rPr>
          <w:rFonts w:hint="eastAsia" w:ascii="MS UI Gothic" w:eastAsia="MS UI Gothic"/>
          <w:w w:val="85"/>
        </w:rPr>
        <w:t xml:space="preserve">１ </w:t>
      </w:r>
      <w:r>
        <w:t>亿元以上的特别重大安全生产事故灾难</w:t>
      </w:r>
      <w:r>
        <w:rPr>
          <w:rFonts w:hint="eastAsia" w:ascii="MS UI Gothic" w:eastAsia="MS UI Gothic"/>
          <w:w w:val="85"/>
        </w:rPr>
        <w:t>ꎮ</w:t>
      </w:r>
    </w:p>
    <w:p>
      <w:pPr>
        <w:pStyle w:val="6"/>
        <w:spacing w:line="300" w:lineRule="auto"/>
        <w:ind w:left="440" w:right="1"/>
      </w:pPr>
      <w:r>
        <w:rPr>
          <w:rFonts w:hint="eastAsia" w:ascii="MS UI Gothic" w:eastAsia="MS UI Gothic"/>
          <w:w w:val="168"/>
        </w:rPr>
        <w:t>(</w:t>
      </w:r>
      <w:r>
        <w:rPr>
          <w:rFonts w:hint="eastAsia" w:ascii="MS UI Gothic" w:eastAsia="MS UI Gothic"/>
          <w:w w:val="75"/>
        </w:rPr>
        <w:t>２</w:t>
      </w:r>
      <w:r>
        <w:rPr>
          <w:rFonts w:hint="eastAsia" w:ascii="MS UI Gothic" w:eastAsia="MS UI Gothic"/>
          <w:w w:val="168"/>
        </w:rPr>
        <w:t>)</w:t>
      </w:r>
      <w:r>
        <w:rPr>
          <w:rFonts w:hint="eastAsia" w:ascii="MS UI Gothic" w:eastAsia="MS UI Gothic"/>
        </w:rPr>
        <w:t xml:space="preserve">  </w:t>
      </w:r>
      <w:r>
        <w:rPr>
          <w:w w:val="102"/>
        </w:rPr>
        <w:t>超出省</w:t>
      </w:r>
      <w:r>
        <w:t xml:space="preserve"> </w:t>
      </w:r>
      <w:r>
        <w:rPr>
          <w:rFonts w:hint="eastAsia" w:ascii="MS UI Gothic" w:eastAsia="MS UI Gothic"/>
          <w:w w:val="168"/>
        </w:rPr>
        <w:t>(</w:t>
      </w:r>
      <w:r>
        <w:rPr>
          <w:rFonts w:hint="eastAsia" w:ascii="MS UI Gothic" w:eastAsia="MS UI Gothic"/>
        </w:rPr>
        <w:t xml:space="preserve"> </w:t>
      </w:r>
      <w:r>
        <w:rPr>
          <w:w w:val="102"/>
        </w:rPr>
        <w:t>区</w:t>
      </w:r>
      <w:r>
        <w:rPr>
          <w:rFonts w:hint="eastAsia" w:ascii="MS UI Gothic" w:eastAsia="MS UI Gothic"/>
          <w:w w:val="77"/>
        </w:rPr>
        <w:t>、</w:t>
      </w:r>
      <w:r>
        <w:rPr>
          <w:rFonts w:hint="eastAsia" w:ascii="MS UI Gothic" w:eastAsia="MS UI Gothic"/>
        </w:rPr>
        <w:t xml:space="preserve">  </w:t>
      </w:r>
      <w:r>
        <w:rPr>
          <w:w w:val="102"/>
        </w:rPr>
        <w:t>市</w:t>
      </w:r>
      <w:r>
        <w:rPr>
          <w:rFonts w:hint="eastAsia" w:ascii="MS UI Gothic" w:eastAsia="MS UI Gothic"/>
          <w:w w:val="168"/>
        </w:rPr>
        <w:t>)</w:t>
      </w:r>
      <w:r>
        <w:rPr>
          <w:rFonts w:hint="eastAsia" w:ascii="MS UI Gothic" w:eastAsia="MS UI Gothic"/>
        </w:rPr>
        <w:t xml:space="preserve">  </w:t>
      </w:r>
      <w:r>
        <w:rPr>
          <w:w w:val="102"/>
        </w:rPr>
        <w:t>人民政府应</w:t>
      </w:r>
      <w:r>
        <w:t>急处置能力</w:t>
      </w:r>
      <w:r>
        <w:rPr>
          <w:rFonts w:hint="eastAsia" w:ascii="MS UI Gothic" w:eastAsia="MS UI Gothic"/>
          <w:w w:val="90"/>
        </w:rPr>
        <w:t xml:space="preserve">ꎬ </w:t>
      </w:r>
      <w:r>
        <w:t>或者跨省级行政区</w:t>
      </w:r>
      <w:r>
        <w:rPr>
          <w:rFonts w:hint="eastAsia" w:ascii="MS UI Gothic" w:eastAsia="MS UI Gothic"/>
        </w:rPr>
        <w:t xml:space="preserve">、 </w:t>
      </w:r>
      <w:r>
        <w:t xml:space="preserve">跨多个领域 </w:t>
      </w:r>
      <w:r>
        <w:rPr>
          <w:rFonts w:hint="eastAsia" w:ascii="MS UI Gothic" w:eastAsia="MS UI Gothic"/>
          <w:w w:val="140"/>
        </w:rPr>
        <w:t xml:space="preserve">( </w:t>
      </w:r>
      <w:r>
        <w:t>行业和部门</w:t>
      </w:r>
      <w:r>
        <w:rPr>
          <w:rFonts w:hint="eastAsia" w:ascii="MS UI Gothic" w:eastAsia="MS UI Gothic"/>
          <w:w w:val="140"/>
        </w:rPr>
        <w:t xml:space="preserve">) </w:t>
      </w:r>
      <w:r>
        <w:t>的安全生产事故</w:t>
      </w:r>
    </w:p>
    <w:p>
      <w:pPr>
        <w:pStyle w:val="6"/>
        <w:spacing w:line="244" w:lineRule="exact"/>
        <w:ind w:left="440" w:firstLine="0"/>
        <w:jc w:val="left"/>
        <w:rPr>
          <w:rFonts w:hint="eastAsia" w:ascii="MS UI Gothic" w:eastAsia="MS UI Gothic"/>
        </w:rPr>
      </w:pPr>
      <w:r>
        <w:t>灾难</w:t>
      </w:r>
      <w:r>
        <w:rPr>
          <w:rFonts w:hint="eastAsia" w:ascii="MS UI Gothic" w:eastAsia="MS UI Gothic"/>
          <w:w w:val="80"/>
        </w:rPr>
        <w:t>ꎮ</w:t>
      </w:r>
    </w:p>
    <w:p>
      <w:pPr>
        <w:pStyle w:val="6"/>
        <w:spacing w:before="175" w:line="297" w:lineRule="auto"/>
        <w:ind w:left="381" w:right="126" w:firstLine="0"/>
        <w:rPr>
          <w:rFonts w:hint="eastAsia" w:ascii="MS UI Gothic" w:eastAsia="MS UI Gothic"/>
        </w:rPr>
      </w:pPr>
      <w:r>
        <w:br w:type="column"/>
      </w:r>
      <w:r>
        <w:t>动性</w:t>
      </w:r>
      <w:r>
        <w:rPr>
          <w:rFonts w:hint="eastAsia" w:ascii="MS UI Gothic" w:eastAsia="MS UI Gothic"/>
          <w:w w:val="80"/>
        </w:rPr>
        <w:t xml:space="preserve">ꎬ </w:t>
      </w:r>
      <w:r>
        <w:t>充分发挥专业救援力量的骨干作用和人民群众的基础作用</w:t>
      </w:r>
      <w:r>
        <w:rPr>
          <w:rFonts w:hint="eastAsia" w:ascii="MS UI Gothic" w:eastAsia="MS UI Gothic"/>
          <w:w w:val="80"/>
        </w:rPr>
        <w:t>ꎮ</w:t>
      </w:r>
    </w:p>
    <w:p>
      <w:pPr>
        <w:pStyle w:val="6"/>
        <w:spacing w:before="3" w:line="300" w:lineRule="auto"/>
        <w:ind w:left="381" w:right="124"/>
        <w:rPr>
          <w:rFonts w:hint="eastAsia" w:ascii="MS UI Gothic" w:eastAsia="MS UI Gothic"/>
        </w:rPr>
      </w:pPr>
      <w:r>
        <w:rPr>
          <w:rFonts w:hint="eastAsia" w:ascii="MS UI Gothic" w:eastAsia="MS UI Gothic"/>
          <w:spacing w:val="15"/>
          <w:w w:val="168"/>
        </w:rPr>
        <w:t>(</w:t>
      </w:r>
      <w:r>
        <w:rPr>
          <w:rFonts w:hint="eastAsia" w:ascii="MS UI Gothic" w:eastAsia="MS UI Gothic"/>
          <w:spacing w:val="5"/>
          <w:w w:val="75"/>
        </w:rPr>
        <w:t>２</w:t>
      </w:r>
      <w:r>
        <w:rPr>
          <w:rFonts w:hint="eastAsia" w:ascii="MS UI Gothic" w:eastAsia="MS UI Gothic"/>
          <w:w w:val="168"/>
        </w:rPr>
        <w:t>)</w:t>
      </w:r>
      <w:r>
        <w:rPr>
          <w:rFonts w:hint="eastAsia" w:ascii="MS UI Gothic" w:eastAsia="MS UI Gothic"/>
          <w:spacing w:val="2"/>
        </w:rPr>
        <w:t xml:space="preserve">  </w:t>
      </w:r>
      <w:r>
        <w:rPr>
          <w:spacing w:val="15"/>
          <w:w w:val="102"/>
        </w:rPr>
        <w:t>统一领导</w:t>
      </w:r>
      <w:r>
        <w:rPr>
          <w:rFonts w:hint="eastAsia" w:ascii="MS UI Gothic" w:eastAsia="MS UI Gothic"/>
          <w:w w:val="51"/>
        </w:rPr>
        <w:t>ꎬ</w:t>
      </w:r>
      <w:r>
        <w:rPr>
          <w:rFonts w:hint="eastAsia" w:ascii="MS UI Gothic" w:eastAsia="MS UI Gothic"/>
          <w:spacing w:val="-2"/>
        </w:rPr>
        <w:t xml:space="preserve">  </w:t>
      </w:r>
      <w:r>
        <w:rPr>
          <w:spacing w:val="18"/>
          <w:w w:val="102"/>
        </w:rPr>
        <w:t>分级负责</w:t>
      </w:r>
      <w:r>
        <w:rPr>
          <w:rFonts w:hint="eastAsia" w:ascii="MS UI Gothic" w:eastAsia="MS UI Gothic"/>
          <w:w w:val="51"/>
        </w:rPr>
        <w:t>ꎮ</w:t>
      </w:r>
      <w:r>
        <w:rPr>
          <w:rFonts w:hint="eastAsia" w:ascii="MS UI Gothic" w:eastAsia="MS UI Gothic"/>
          <w:spacing w:val="-2"/>
        </w:rPr>
        <w:t xml:space="preserve">  </w:t>
      </w:r>
      <w:r>
        <w:rPr>
          <w:spacing w:val="15"/>
          <w:w w:val="102"/>
        </w:rPr>
        <w:t>在国务</w:t>
      </w:r>
      <w:r>
        <w:rPr>
          <w:spacing w:val="4"/>
        </w:rPr>
        <w:t>院统一领导和国务院安委会组织协调下</w:t>
      </w:r>
      <w:r>
        <w:rPr>
          <w:rFonts w:hint="eastAsia" w:ascii="MS UI Gothic" w:eastAsia="MS UI Gothic"/>
          <w:w w:val="85"/>
        </w:rPr>
        <w:t>ꎬ</w:t>
      </w:r>
      <w:r>
        <w:rPr>
          <w:spacing w:val="10"/>
        </w:rPr>
        <w:t xml:space="preserve">各省 </w:t>
      </w:r>
      <w:r>
        <w:rPr>
          <w:rFonts w:hint="eastAsia" w:ascii="MS UI Gothic" w:eastAsia="MS UI Gothic"/>
          <w:spacing w:val="-30"/>
          <w:w w:val="140"/>
        </w:rPr>
        <w:t xml:space="preserve">( </w:t>
      </w:r>
      <w:r>
        <w:rPr>
          <w:spacing w:val="3"/>
        </w:rPr>
        <w:t>区</w:t>
      </w:r>
      <w:r>
        <w:rPr>
          <w:rFonts w:hint="eastAsia" w:ascii="MS UI Gothic" w:eastAsia="MS UI Gothic"/>
          <w:spacing w:val="8"/>
        </w:rPr>
        <w:t xml:space="preserve">、 </w:t>
      </w:r>
      <w:r>
        <w:rPr>
          <w:spacing w:val="15"/>
        </w:rPr>
        <w:t>市</w:t>
      </w:r>
      <w:r>
        <w:rPr>
          <w:rFonts w:hint="eastAsia" w:ascii="MS UI Gothic" w:eastAsia="MS UI Gothic"/>
          <w:spacing w:val="40"/>
          <w:w w:val="140"/>
        </w:rPr>
        <w:t xml:space="preserve">) </w:t>
      </w:r>
      <w:r>
        <w:rPr>
          <w:spacing w:val="17"/>
        </w:rPr>
        <w:t>人民政府和国务院有关</w:t>
      </w:r>
      <w:r>
        <w:rPr>
          <w:spacing w:val="3"/>
        </w:rPr>
        <w:t>部门按照各自职责和权限</w:t>
      </w:r>
      <w:r>
        <w:rPr>
          <w:rFonts w:hint="eastAsia" w:ascii="MS UI Gothic" w:eastAsia="MS UI Gothic"/>
          <w:spacing w:val="12"/>
          <w:w w:val="85"/>
        </w:rPr>
        <w:t xml:space="preserve">ꎬ </w:t>
      </w:r>
      <w:r>
        <w:rPr>
          <w:spacing w:val="2"/>
        </w:rPr>
        <w:t>负责有关安全</w:t>
      </w:r>
      <w:r>
        <w:rPr>
          <w:spacing w:val="11"/>
        </w:rPr>
        <w:t>生产事故灾难的应急管理和应急处置工</w:t>
      </w:r>
      <w:r>
        <w:rPr>
          <w:spacing w:val="3"/>
        </w:rPr>
        <w:t>作</w:t>
      </w:r>
      <w:r>
        <w:rPr>
          <w:rFonts w:hint="eastAsia" w:ascii="MS UI Gothic" w:eastAsia="MS UI Gothic"/>
          <w:spacing w:val="12"/>
          <w:w w:val="85"/>
        </w:rPr>
        <w:t xml:space="preserve">ꎮ </w:t>
      </w:r>
      <w:r>
        <w:rPr>
          <w:spacing w:val="2"/>
        </w:rPr>
        <w:t>企业要认真履行安全生产责任主体的</w:t>
      </w:r>
      <w:r>
        <w:rPr>
          <w:spacing w:val="10"/>
        </w:rPr>
        <w:t>职责</w:t>
      </w:r>
      <w:r>
        <w:rPr>
          <w:rFonts w:hint="eastAsia" w:ascii="MS UI Gothic" w:eastAsia="MS UI Gothic"/>
          <w:spacing w:val="18"/>
          <w:w w:val="85"/>
        </w:rPr>
        <w:t xml:space="preserve">ꎬ </w:t>
      </w:r>
      <w:r>
        <w:rPr>
          <w:spacing w:val="31"/>
        </w:rPr>
        <w:t>建立安全生产应急预案和应急</w:t>
      </w:r>
      <w:r>
        <w:rPr>
          <w:spacing w:val="3"/>
        </w:rPr>
        <w:t>机制</w:t>
      </w:r>
      <w:r>
        <w:rPr>
          <w:rFonts w:hint="eastAsia" w:ascii="MS UI Gothic" w:eastAsia="MS UI Gothic"/>
          <w:w w:val="85"/>
        </w:rPr>
        <w:t>ꎮ</w:t>
      </w:r>
    </w:p>
    <w:p>
      <w:pPr>
        <w:pStyle w:val="6"/>
        <w:spacing w:line="300" w:lineRule="auto"/>
        <w:ind w:left="381" w:right="126"/>
        <w:rPr>
          <w:rFonts w:hint="eastAsia" w:ascii="MS UI Gothic" w:eastAsia="MS UI Gothic"/>
        </w:rPr>
      </w:pPr>
      <w:r>
        <w:rPr>
          <w:rFonts w:hint="eastAsia" w:ascii="MS UI Gothic" w:eastAsia="MS UI Gothic"/>
          <w:spacing w:val="15"/>
          <w:w w:val="168"/>
        </w:rPr>
        <w:t>(</w:t>
      </w:r>
      <w:r>
        <w:rPr>
          <w:rFonts w:hint="eastAsia" w:ascii="MS UI Gothic" w:eastAsia="MS UI Gothic"/>
          <w:spacing w:val="5"/>
          <w:w w:val="75"/>
        </w:rPr>
        <w:t>３</w:t>
      </w:r>
      <w:r>
        <w:rPr>
          <w:rFonts w:hint="eastAsia" w:ascii="MS UI Gothic" w:eastAsia="MS UI Gothic"/>
          <w:w w:val="168"/>
        </w:rPr>
        <w:t>)</w:t>
      </w:r>
      <w:r>
        <w:rPr>
          <w:rFonts w:hint="eastAsia" w:ascii="MS UI Gothic" w:eastAsia="MS UI Gothic"/>
          <w:spacing w:val="2"/>
        </w:rPr>
        <w:t xml:space="preserve">  </w:t>
      </w:r>
      <w:r>
        <w:rPr>
          <w:spacing w:val="15"/>
          <w:w w:val="102"/>
        </w:rPr>
        <w:t>条块结合</w:t>
      </w:r>
      <w:r>
        <w:rPr>
          <w:rFonts w:hint="eastAsia" w:ascii="MS UI Gothic" w:eastAsia="MS UI Gothic"/>
          <w:w w:val="51"/>
        </w:rPr>
        <w:t>ꎬ</w:t>
      </w:r>
      <w:r>
        <w:rPr>
          <w:rFonts w:hint="eastAsia" w:ascii="MS UI Gothic" w:eastAsia="MS UI Gothic"/>
          <w:spacing w:val="-2"/>
        </w:rPr>
        <w:t xml:space="preserve">  </w:t>
      </w:r>
      <w:r>
        <w:rPr>
          <w:spacing w:val="18"/>
          <w:w w:val="102"/>
        </w:rPr>
        <w:t>属地为主</w:t>
      </w:r>
      <w:r>
        <w:rPr>
          <w:rFonts w:hint="eastAsia" w:ascii="MS UI Gothic" w:eastAsia="MS UI Gothic"/>
          <w:w w:val="51"/>
        </w:rPr>
        <w:t>ꎮ</w:t>
      </w:r>
      <w:r>
        <w:rPr>
          <w:rFonts w:hint="eastAsia" w:ascii="MS UI Gothic" w:eastAsia="MS UI Gothic"/>
          <w:spacing w:val="-2"/>
        </w:rPr>
        <w:t xml:space="preserve">  </w:t>
      </w:r>
      <w:r>
        <w:rPr>
          <w:spacing w:val="11"/>
          <w:w w:val="102"/>
        </w:rPr>
        <w:t>安全生</w:t>
      </w:r>
      <w:r>
        <w:rPr>
          <w:spacing w:val="2"/>
        </w:rPr>
        <w:t>产事故灾难现场应急处置的领导和指挥以</w:t>
      </w:r>
      <w:r>
        <w:rPr>
          <w:spacing w:val="3"/>
        </w:rPr>
        <w:t>地方人民政府为主</w:t>
      </w:r>
      <w:r>
        <w:rPr>
          <w:rFonts w:hint="eastAsia" w:ascii="MS UI Gothic" w:eastAsia="MS UI Gothic"/>
          <w:spacing w:val="6"/>
          <w:w w:val="90"/>
        </w:rPr>
        <w:t xml:space="preserve">ꎬ </w:t>
      </w:r>
      <w:r>
        <w:rPr>
          <w:spacing w:val="2"/>
        </w:rPr>
        <w:t>实行地方各级人民政</w:t>
      </w:r>
      <w:r>
        <w:rPr>
          <w:spacing w:val="3"/>
        </w:rPr>
        <w:t>府行政首长负责制</w:t>
      </w:r>
      <w:r>
        <w:rPr>
          <w:rFonts w:hint="eastAsia" w:ascii="MS UI Gothic" w:eastAsia="MS UI Gothic"/>
          <w:spacing w:val="6"/>
          <w:w w:val="90"/>
        </w:rPr>
        <w:t xml:space="preserve">ꎮ </w:t>
      </w:r>
      <w:r>
        <w:rPr>
          <w:spacing w:val="2"/>
        </w:rPr>
        <w:t>有关部门应当与地方</w:t>
      </w:r>
      <w:r>
        <w:rPr>
          <w:spacing w:val="3"/>
        </w:rPr>
        <w:t>人民政府密切配合</w:t>
      </w:r>
      <w:r>
        <w:rPr>
          <w:rFonts w:hint="eastAsia" w:ascii="MS UI Gothic" w:eastAsia="MS UI Gothic"/>
          <w:spacing w:val="6"/>
          <w:w w:val="90"/>
        </w:rPr>
        <w:t xml:space="preserve">ꎬ </w:t>
      </w:r>
      <w:r>
        <w:rPr>
          <w:spacing w:val="2"/>
        </w:rPr>
        <w:t>充分发挥指导和协调</w:t>
      </w:r>
      <w:r>
        <w:rPr>
          <w:spacing w:val="3"/>
        </w:rPr>
        <w:t>作用</w:t>
      </w:r>
      <w:r>
        <w:rPr>
          <w:rFonts w:hint="eastAsia" w:ascii="MS UI Gothic" w:eastAsia="MS UI Gothic"/>
          <w:w w:val="90"/>
        </w:rPr>
        <w:t>ꎮ</w:t>
      </w:r>
    </w:p>
    <w:p>
      <w:pPr>
        <w:pStyle w:val="6"/>
        <w:spacing w:line="300" w:lineRule="auto"/>
        <w:ind w:left="381" w:right="126"/>
        <w:rPr>
          <w:rFonts w:hint="eastAsia" w:ascii="MS UI Gothic" w:eastAsia="MS UI Gothic"/>
        </w:rPr>
      </w:pPr>
      <w:r>
        <w:rPr>
          <w:rFonts w:hint="eastAsia" w:ascii="MS UI Gothic" w:eastAsia="MS UI Gothic"/>
          <w:w w:val="168"/>
        </w:rPr>
        <w:t>(</w:t>
      </w:r>
      <w:r>
        <w:rPr>
          <w:rFonts w:hint="eastAsia" w:ascii="MS UI Gothic" w:eastAsia="MS UI Gothic"/>
          <w:w w:val="75"/>
        </w:rPr>
        <w:t>４</w:t>
      </w:r>
      <w:r>
        <w:rPr>
          <w:rFonts w:hint="eastAsia" w:ascii="MS UI Gothic" w:eastAsia="MS UI Gothic"/>
          <w:w w:val="168"/>
        </w:rPr>
        <w:t>)</w:t>
      </w:r>
      <w:r>
        <w:rPr>
          <w:rFonts w:hint="eastAsia" w:ascii="MS UI Gothic" w:eastAsia="MS UI Gothic"/>
        </w:rPr>
        <w:t xml:space="preserve">  </w:t>
      </w:r>
      <w:r>
        <w:rPr>
          <w:w w:val="102"/>
        </w:rPr>
        <w:t>依靠科学</w:t>
      </w:r>
      <w:r>
        <w:rPr>
          <w:rFonts w:hint="eastAsia" w:ascii="MS UI Gothic" w:eastAsia="MS UI Gothic"/>
          <w:w w:val="51"/>
        </w:rPr>
        <w:t>ꎬ</w:t>
      </w:r>
      <w:r>
        <w:rPr>
          <w:rFonts w:hint="eastAsia" w:ascii="MS UI Gothic" w:eastAsia="MS UI Gothic"/>
        </w:rPr>
        <w:t xml:space="preserve">  </w:t>
      </w:r>
      <w:r>
        <w:rPr>
          <w:w w:val="102"/>
        </w:rPr>
        <w:t>依法规范</w:t>
      </w:r>
      <w:r>
        <w:rPr>
          <w:rFonts w:hint="eastAsia" w:ascii="MS UI Gothic" w:eastAsia="MS UI Gothic"/>
          <w:w w:val="51"/>
        </w:rPr>
        <w:t>ꎮ</w:t>
      </w:r>
      <w:r>
        <w:rPr>
          <w:rFonts w:hint="eastAsia" w:ascii="MS UI Gothic" w:eastAsia="MS UI Gothic"/>
        </w:rPr>
        <w:t xml:space="preserve">  </w:t>
      </w:r>
      <w:r>
        <w:rPr>
          <w:w w:val="102"/>
        </w:rPr>
        <w:t>采用先</w:t>
      </w:r>
      <w:r>
        <w:t>进技术</w:t>
      </w:r>
      <w:r>
        <w:rPr>
          <w:rFonts w:hint="eastAsia" w:ascii="MS UI Gothic" w:eastAsia="MS UI Gothic"/>
          <w:w w:val="90"/>
        </w:rPr>
        <w:t xml:space="preserve">ꎬ </w:t>
      </w:r>
      <w:r>
        <w:t>充分发挥专家作用</w:t>
      </w:r>
      <w:r>
        <w:rPr>
          <w:rFonts w:hint="eastAsia" w:ascii="MS UI Gothic" w:eastAsia="MS UI Gothic"/>
          <w:w w:val="90"/>
        </w:rPr>
        <w:t xml:space="preserve">ꎬ </w:t>
      </w:r>
      <w:r>
        <w:t>实行科学民主决策</w:t>
      </w:r>
      <w:r>
        <w:rPr>
          <w:rFonts w:hint="eastAsia" w:ascii="MS UI Gothic" w:eastAsia="MS UI Gothic"/>
          <w:w w:val="90"/>
        </w:rPr>
        <w:t xml:space="preserve">ꎮ </w:t>
      </w:r>
      <w:r>
        <w:t>采用先进的救援装备和技术</w:t>
      </w:r>
      <w:r>
        <w:rPr>
          <w:rFonts w:hint="eastAsia" w:ascii="MS UI Gothic" w:eastAsia="MS UI Gothic"/>
          <w:w w:val="90"/>
        </w:rPr>
        <w:t xml:space="preserve">ꎬ </w:t>
      </w:r>
      <w:r>
        <w:t>增强应急救援能力</w:t>
      </w:r>
      <w:r>
        <w:rPr>
          <w:rFonts w:hint="eastAsia" w:ascii="MS UI Gothic" w:eastAsia="MS UI Gothic"/>
          <w:w w:val="90"/>
        </w:rPr>
        <w:t xml:space="preserve">ꎮ </w:t>
      </w:r>
      <w:r>
        <w:t>依法规范应急救援工作</w:t>
      </w:r>
      <w:r>
        <w:rPr>
          <w:rFonts w:hint="eastAsia" w:ascii="MS UI Gothic" w:eastAsia="MS UI Gothic"/>
          <w:w w:val="90"/>
        </w:rPr>
        <w:t xml:space="preserve">ꎬ </w:t>
      </w:r>
      <w:r>
        <w:t>确保应急预案的科学性</w:t>
      </w:r>
      <w:r>
        <w:rPr>
          <w:rFonts w:hint="eastAsia" w:ascii="MS UI Gothic" w:eastAsia="MS UI Gothic"/>
        </w:rPr>
        <w:t xml:space="preserve">、 </w:t>
      </w:r>
      <w:r>
        <w:t>权威性和可操作性</w:t>
      </w:r>
      <w:r>
        <w:rPr>
          <w:rFonts w:hint="eastAsia" w:ascii="MS UI Gothic" w:eastAsia="MS UI Gothic"/>
          <w:w w:val="90"/>
        </w:rPr>
        <w:t>ꎮ</w:t>
      </w:r>
    </w:p>
    <w:p>
      <w:pPr>
        <w:pStyle w:val="6"/>
        <w:spacing w:line="252" w:lineRule="exact"/>
        <w:ind w:left="381"/>
      </w:pPr>
      <w:r>
        <w:rPr>
          <w:rFonts w:hint="eastAsia" w:ascii="MS UI Gothic" w:eastAsia="MS UI Gothic"/>
          <w:spacing w:val="15"/>
          <w:w w:val="168"/>
        </w:rPr>
        <w:t>(</w:t>
      </w:r>
      <w:r>
        <w:rPr>
          <w:rFonts w:hint="eastAsia" w:ascii="MS UI Gothic" w:eastAsia="MS UI Gothic"/>
          <w:spacing w:val="5"/>
          <w:w w:val="75"/>
        </w:rPr>
        <w:t>５</w:t>
      </w:r>
      <w:r>
        <w:rPr>
          <w:rFonts w:hint="eastAsia" w:ascii="MS UI Gothic" w:eastAsia="MS UI Gothic"/>
          <w:w w:val="168"/>
        </w:rPr>
        <w:t>)</w:t>
      </w:r>
      <w:r>
        <w:rPr>
          <w:rFonts w:hint="eastAsia" w:ascii="MS UI Gothic" w:eastAsia="MS UI Gothic"/>
          <w:spacing w:val="2"/>
        </w:rPr>
        <w:t xml:space="preserve">  </w:t>
      </w:r>
      <w:r>
        <w:rPr>
          <w:spacing w:val="15"/>
          <w:w w:val="102"/>
        </w:rPr>
        <w:t>预防为主</w:t>
      </w:r>
      <w:r>
        <w:rPr>
          <w:rFonts w:hint="eastAsia" w:ascii="MS UI Gothic" w:eastAsia="MS UI Gothic"/>
          <w:w w:val="51"/>
        </w:rPr>
        <w:t>ꎬ</w:t>
      </w:r>
      <w:r>
        <w:rPr>
          <w:rFonts w:hint="eastAsia" w:ascii="MS UI Gothic" w:eastAsia="MS UI Gothic"/>
          <w:spacing w:val="-2"/>
        </w:rPr>
        <w:t xml:space="preserve">  </w:t>
      </w:r>
      <w:r>
        <w:rPr>
          <w:spacing w:val="18"/>
          <w:w w:val="102"/>
        </w:rPr>
        <w:t>平战结合</w:t>
      </w:r>
      <w:r>
        <w:rPr>
          <w:rFonts w:hint="eastAsia" w:ascii="MS UI Gothic" w:eastAsia="MS UI Gothic"/>
          <w:w w:val="51"/>
        </w:rPr>
        <w:t>ꎮ</w:t>
      </w:r>
      <w:r>
        <w:rPr>
          <w:rFonts w:hint="eastAsia" w:ascii="MS UI Gothic" w:eastAsia="MS UI Gothic"/>
          <w:spacing w:val="-2"/>
        </w:rPr>
        <w:t xml:space="preserve">  </w:t>
      </w:r>
      <w:r>
        <w:rPr>
          <w:spacing w:val="15"/>
          <w:w w:val="102"/>
        </w:rPr>
        <w:t>贯彻落</w:t>
      </w:r>
    </w:p>
    <w:p>
      <w:pPr>
        <w:pStyle w:val="6"/>
        <w:spacing w:line="320" w:lineRule="atLeast"/>
        <w:ind w:left="381" w:right="126" w:firstLine="0"/>
      </w:pPr>
      <w:r>
        <w:t xml:space="preserve">实 </w:t>
      </w:r>
      <w:r>
        <w:rPr>
          <w:rFonts w:hint="eastAsia" w:ascii="MS UI Gothic" w:hAnsi="MS UI Gothic" w:eastAsia="MS UI Gothic"/>
          <w:spacing w:val="-21"/>
        </w:rPr>
        <w:t xml:space="preserve">“ </w:t>
      </w:r>
      <w:r>
        <w:rPr>
          <w:spacing w:val="15"/>
        </w:rPr>
        <w:t>安全第一</w:t>
      </w:r>
      <w:r>
        <w:rPr>
          <w:rFonts w:hint="eastAsia" w:ascii="MS UI Gothic" w:hAnsi="MS UI Gothic" w:eastAsia="MS UI Gothic"/>
          <w:spacing w:val="5"/>
          <w:w w:val="80"/>
        </w:rPr>
        <w:t xml:space="preserve">ꎬ </w:t>
      </w:r>
      <w:r>
        <w:rPr>
          <w:spacing w:val="17"/>
        </w:rPr>
        <w:t>预防为主</w:t>
      </w:r>
      <w:r>
        <w:rPr>
          <w:rFonts w:hint="eastAsia" w:ascii="MS UI Gothic" w:hAnsi="MS UI Gothic" w:eastAsia="MS UI Gothic"/>
          <w:spacing w:val="3"/>
        </w:rPr>
        <w:t xml:space="preserve">” </w:t>
      </w:r>
      <w:r>
        <w:rPr>
          <w:spacing w:val="15"/>
        </w:rPr>
        <w:t>的方针</w:t>
      </w:r>
      <w:r>
        <w:rPr>
          <w:rFonts w:hint="eastAsia" w:ascii="MS UI Gothic" w:hAnsi="MS UI Gothic" w:eastAsia="MS UI Gothic"/>
          <w:spacing w:val="6"/>
          <w:w w:val="80"/>
        </w:rPr>
        <w:t xml:space="preserve">ꎬ </w:t>
      </w:r>
      <w:r>
        <w:t>坚</w:t>
      </w:r>
      <w:r>
        <w:rPr>
          <w:spacing w:val="3"/>
        </w:rPr>
        <w:t>持事故灾难应急与预防工作相结合</w:t>
      </w:r>
      <w:r>
        <w:rPr>
          <w:rFonts w:hint="eastAsia" w:ascii="MS UI Gothic" w:hAnsi="MS UI Gothic" w:eastAsia="MS UI Gothic"/>
          <w:spacing w:val="15"/>
          <w:w w:val="80"/>
        </w:rPr>
        <w:t xml:space="preserve">ꎮ  </w:t>
      </w:r>
      <w:r>
        <w:rPr>
          <w:spacing w:val="1"/>
        </w:rPr>
        <w:t>做好</w:t>
      </w:r>
    </w:p>
    <w:p>
      <w:pPr>
        <w:spacing w:after="0" w:line="320" w:lineRule="atLeast"/>
        <w:sectPr>
          <w:type w:val="continuous"/>
          <w:pgSz w:w="10500" w:h="14750"/>
          <w:pgMar w:top="1400" w:right="980" w:bottom="280" w:left="980" w:header="720" w:footer="720" w:gutter="0"/>
          <w:cols w:equalWidth="0" w:num="2">
            <w:col w:w="4212" w:space="40"/>
            <w:col w:w="4288"/>
          </w:cols>
        </w:sectPr>
      </w:pPr>
    </w:p>
    <w:p>
      <w:pPr>
        <w:pStyle w:val="6"/>
        <w:spacing w:before="53"/>
        <w:ind w:left="0" w:firstLine="0"/>
        <w:jc w:val="right"/>
      </w:pPr>
      <w:r>
        <w:rPr>
          <w:rFonts w:hint="eastAsia" w:ascii="MS UI Gothic" w:eastAsia="MS UI Gothic"/>
          <w:spacing w:val="15"/>
          <w:w w:val="168"/>
        </w:rPr>
        <w:t>(</w:t>
      </w:r>
      <w:r>
        <w:rPr>
          <w:rFonts w:hint="eastAsia" w:ascii="MS UI Gothic" w:eastAsia="MS UI Gothic"/>
          <w:w w:val="75"/>
        </w:rPr>
        <w:t>３</w:t>
      </w:r>
      <w:r>
        <w:rPr>
          <w:rFonts w:hint="eastAsia" w:ascii="MS UI Gothic" w:eastAsia="MS UI Gothic"/>
          <w:spacing w:val="-36"/>
        </w:rPr>
        <w:t xml:space="preserve"> </w:t>
      </w:r>
      <w:r>
        <w:rPr>
          <w:rFonts w:hint="eastAsia" w:ascii="MS UI Gothic" w:eastAsia="MS UI Gothic"/>
          <w:w w:val="168"/>
        </w:rPr>
        <w:t>)</w:t>
      </w:r>
      <w:r>
        <w:rPr>
          <w:rFonts w:hint="eastAsia" w:ascii="MS UI Gothic" w:eastAsia="MS UI Gothic"/>
          <w:spacing w:val="11"/>
        </w:rPr>
        <w:t xml:space="preserve">  </w:t>
      </w:r>
      <w:r>
        <w:rPr>
          <w:spacing w:val="31"/>
          <w:w w:val="102"/>
        </w:rPr>
        <w:t>需要国务院安全生产委员会</w:t>
      </w:r>
    </w:p>
    <w:p>
      <w:pPr>
        <w:pStyle w:val="6"/>
        <w:spacing w:before="64" w:line="246" w:lineRule="exact"/>
        <w:ind w:left="0" w:firstLine="0"/>
        <w:jc w:val="right"/>
      </w:pPr>
      <w:r>
        <w:rPr>
          <w:rFonts w:hint="eastAsia" w:ascii="MS UI Gothic" w:eastAsia="MS UI Gothic"/>
          <w:spacing w:val="-21"/>
          <w:w w:val="105"/>
        </w:rPr>
        <w:t xml:space="preserve">( </w:t>
      </w:r>
      <w:r>
        <w:rPr>
          <w:spacing w:val="4"/>
          <w:w w:val="105"/>
        </w:rPr>
        <w:t>以下简称国务院安委会</w:t>
      </w:r>
      <w:r>
        <w:rPr>
          <w:rFonts w:hint="eastAsia" w:ascii="MS UI Gothic" w:eastAsia="MS UI Gothic"/>
          <w:spacing w:val="3"/>
          <w:w w:val="105"/>
        </w:rPr>
        <w:t xml:space="preserve">)  </w:t>
      </w:r>
      <w:r>
        <w:rPr>
          <w:spacing w:val="7"/>
          <w:w w:val="105"/>
        </w:rPr>
        <w:t>处置的安全生</w:t>
      </w:r>
    </w:p>
    <w:p>
      <w:pPr>
        <w:pStyle w:val="6"/>
        <w:spacing w:before="53"/>
        <w:ind w:left="383" w:firstLine="0"/>
        <w:jc w:val="left"/>
      </w:pPr>
      <w:r>
        <w:br w:type="column"/>
      </w:r>
      <w:r>
        <w:rPr>
          <w:spacing w:val="3"/>
        </w:rPr>
        <w:t>预防</w:t>
      </w:r>
      <w:r>
        <w:rPr>
          <w:rFonts w:hint="eastAsia" w:ascii="MS UI Gothic" w:eastAsia="MS UI Gothic"/>
          <w:spacing w:val="17"/>
        </w:rPr>
        <w:t xml:space="preserve">、 </w:t>
      </w:r>
      <w:r>
        <w:rPr>
          <w:spacing w:val="3"/>
        </w:rPr>
        <w:t>预测</w:t>
      </w:r>
      <w:r>
        <w:rPr>
          <w:rFonts w:hint="eastAsia" w:ascii="MS UI Gothic" w:eastAsia="MS UI Gothic"/>
          <w:spacing w:val="17"/>
        </w:rPr>
        <w:t xml:space="preserve">、 </w:t>
      </w:r>
      <w:r>
        <w:rPr>
          <w:spacing w:val="3"/>
        </w:rPr>
        <w:t>预警和预报工作</w:t>
      </w:r>
      <w:r>
        <w:rPr>
          <w:rFonts w:hint="eastAsia" w:ascii="MS UI Gothic" w:eastAsia="MS UI Gothic"/>
          <w:spacing w:val="23"/>
          <w:w w:val="80"/>
        </w:rPr>
        <w:t xml:space="preserve">ꎬ </w:t>
      </w:r>
      <w:r>
        <w:rPr>
          <w:spacing w:val="2"/>
        </w:rPr>
        <w:t>做好常态</w:t>
      </w:r>
    </w:p>
    <w:p>
      <w:pPr>
        <w:pStyle w:val="6"/>
        <w:spacing w:before="64" w:line="246" w:lineRule="exact"/>
        <w:ind w:left="383" w:firstLine="0"/>
        <w:jc w:val="left"/>
      </w:pPr>
      <w:r>
        <w:rPr>
          <w:spacing w:val="3"/>
        </w:rPr>
        <w:t>下的风险评估</w:t>
      </w:r>
      <w:r>
        <w:rPr>
          <w:rFonts w:hint="eastAsia" w:ascii="MS UI Gothic" w:eastAsia="MS UI Gothic"/>
          <w:spacing w:val="21"/>
        </w:rPr>
        <w:t xml:space="preserve">、 </w:t>
      </w:r>
      <w:r>
        <w:rPr>
          <w:spacing w:val="3"/>
        </w:rPr>
        <w:t>物资储备</w:t>
      </w:r>
      <w:r>
        <w:rPr>
          <w:rFonts w:hint="eastAsia" w:ascii="MS UI Gothic" w:eastAsia="MS UI Gothic"/>
          <w:spacing w:val="22"/>
        </w:rPr>
        <w:t xml:space="preserve">、 </w:t>
      </w:r>
      <w:r>
        <w:rPr>
          <w:spacing w:val="3"/>
        </w:rPr>
        <w:t>队伍建设</w:t>
      </w:r>
      <w:r>
        <w:rPr>
          <w:rFonts w:hint="eastAsia" w:ascii="MS UI Gothic" w:eastAsia="MS UI Gothic"/>
          <w:spacing w:val="21"/>
        </w:rPr>
        <w:t xml:space="preserve">、 </w:t>
      </w:r>
      <w:r>
        <w:t>完</w:t>
      </w:r>
    </w:p>
    <w:p>
      <w:pPr>
        <w:spacing w:after="0" w:line="246" w:lineRule="exact"/>
        <w:jc w:val="left"/>
        <w:sectPr>
          <w:type w:val="continuous"/>
          <w:pgSz w:w="10500" w:h="14750"/>
          <w:pgMar w:top="1400" w:right="980" w:bottom="280" w:left="980" w:header="720" w:footer="720" w:gutter="0"/>
          <w:cols w:equalWidth="0" w:num="2">
            <w:col w:w="4210" w:space="40"/>
            <w:col w:w="4290"/>
          </w:cols>
        </w:sectPr>
      </w:pPr>
    </w:p>
    <w:p>
      <w:pPr>
        <w:pStyle w:val="6"/>
        <w:spacing w:before="74"/>
        <w:ind w:left="440" w:firstLine="0"/>
        <w:jc w:val="left"/>
        <w:rPr>
          <w:rFonts w:hint="eastAsia" w:ascii="MS UI Gothic" w:eastAsia="MS UI Gothic"/>
        </w:rPr>
      </w:pPr>
      <w:r>
        <w:t>产事故灾难</w:t>
      </w:r>
      <w:r>
        <w:rPr>
          <w:rFonts w:hint="eastAsia" w:ascii="MS UI Gothic" w:eastAsia="MS UI Gothic"/>
          <w:w w:val="80"/>
        </w:rPr>
        <w:t>ꎮ</w:t>
      </w:r>
    </w:p>
    <w:p>
      <w:pPr>
        <w:pStyle w:val="6"/>
        <w:tabs>
          <w:tab w:val="left" w:pos="1378"/>
        </w:tabs>
        <w:spacing w:before="62"/>
        <w:ind w:left="854" w:firstLine="0"/>
        <w:jc w:val="left"/>
      </w:pPr>
      <w:r>
        <w:rPr>
          <w:rFonts w:hint="eastAsia" w:ascii="MS UI Gothic" w:eastAsia="MS UI Gothic"/>
        </w:rPr>
        <w:t>１</w:t>
      </w:r>
      <w:r>
        <w:rPr>
          <w:rFonts w:hint="eastAsia" w:ascii="MS UI Gothic" w:eastAsia="MS UI Gothic"/>
          <w:spacing w:val="-16"/>
        </w:rPr>
        <w:t xml:space="preserve"> ４</w:t>
      </w:r>
      <w:r>
        <w:rPr>
          <w:rFonts w:hint="eastAsia" w:ascii="MS UI Gothic" w:eastAsia="MS UI Gothic"/>
        </w:rPr>
        <w:tab/>
      </w:r>
      <w:r>
        <w:rPr>
          <w:spacing w:val="2"/>
        </w:rPr>
        <w:t>工作原则</w:t>
      </w:r>
    </w:p>
    <w:p>
      <w:pPr>
        <w:pStyle w:val="6"/>
        <w:spacing w:before="64" w:line="300" w:lineRule="auto"/>
        <w:ind w:left="440"/>
      </w:pPr>
      <w:r>
        <w:rPr>
          <w:rFonts w:hint="eastAsia" w:ascii="MS UI Gothic" w:eastAsia="MS UI Gothic"/>
          <w:w w:val="168"/>
        </w:rPr>
        <w:t>(</w:t>
      </w:r>
      <w:r>
        <w:rPr>
          <w:rFonts w:hint="eastAsia" w:ascii="MS UI Gothic" w:eastAsia="MS UI Gothic"/>
          <w:w w:val="75"/>
        </w:rPr>
        <w:t>１</w:t>
      </w:r>
      <w:r>
        <w:rPr>
          <w:rFonts w:hint="eastAsia" w:ascii="MS UI Gothic" w:eastAsia="MS UI Gothic"/>
          <w:w w:val="168"/>
        </w:rPr>
        <w:t>)</w:t>
      </w:r>
      <w:r>
        <w:rPr>
          <w:rFonts w:hint="eastAsia" w:ascii="MS UI Gothic" w:eastAsia="MS UI Gothic"/>
        </w:rPr>
        <w:t xml:space="preserve">  </w:t>
      </w:r>
      <w:r>
        <w:rPr>
          <w:w w:val="102"/>
        </w:rPr>
        <w:t>以人为本</w:t>
      </w:r>
      <w:r>
        <w:rPr>
          <w:rFonts w:hint="eastAsia" w:ascii="MS UI Gothic" w:eastAsia="MS UI Gothic"/>
          <w:w w:val="51"/>
        </w:rPr>
        <w:t>ꎬ</w:t>
      </w:r>
      <w:r>
        <w:rPr>
          <w:rFonts w:hint="eastAsia" w:ascii="MS UI Gothic" w:eastAsia="MS UI Gothic"/>
        </w:rPr>
        <w:t xml:space="preserve">  </w:t>
      </w:r>
      <w:r>
        <w:rPr>
          <w:w w:val="102"/>
        </w:rPr>
        <w:t>安全第一</w:t>
      </w:r>
      <w:r>
        <w:rPr>
          <w:rFonts w:hint="eastAsia" w:ascii="MS UI Gothic" w:eastAsia="MS UI Gothic"/>
          <w:w w:val="51"/>
        </w:rPr>
        <w:t>ꎮ</w:t>
      </w:r>
      <w:r>
        <w:rPr>
          <w:rFonts w:hint="eastAsia" w:ascii="MS UI Gothic" w:eastAsia="MS UI Gothic"/>
        </w:rPr>
        <w:t xml:space="preserve">  </w:t>
      </w:r>
      <w:r>
        <w:rPr>
          <w:w w:val="102"/>
        </w:rPr>
        <w:t>把保障</w:t>
      </w:r>
      <w:r>
        <w:t>人民群众的生命安全和身体健康</w:t>
      </w:r>
      <w:r>
        <w:rPr>
          <w:rFonts w:hint="eastAsia" w:ascii="MS UI Gothic" w:eastAsia="MS UI Gothic"/>
        </w:rPr>
        <w:t xml:space="preserve">、 </w:t>
      </w:r>
      <w:r>
        <w:t>最大程度地预防和减少安全生产事故灾难造成的人员伤亡作为首要任务</w:t>
      </w:r>
      <w:r>
        <w:rPr>
          <w:rFonts w:hint="eastAsia" w:ascii="MS UI Gothic" w:eastAsia="MS UI Gothic"/>
          <w:w w:val="90"/>
        </w:rPr>
        <w:t xml:space="preserve">ꎮ </w:t>
      </w:r>
      <w:r>
        <w:t>切实加强应急救援人员的安全防护</w:t>
      </w:r>
      <w:r>
        <w:rPr>
          <w:rFonts w:hint="eastAsia" w:ascii="MS UI Gothic" w:eastAsia="MS UI Gothic"/>
          <w:w w:val="90"/>
        </w:rPr>
        <w:t xml:space="preserve">ꎮ </w:t>
      </w:r>
      <w:r>
        <w:t>充分发挥人的主观能</w:t>
      </w:r>
    </w:p>
    <w:p>
      <w:pPr>
        <w:pStyle w:val="6"/>
        <w:spacing w:before="74"/>
        <w:ind w:left="383" w:firstLine="0"/>
        <w:jc w:val="left"/>
        <w:rPr>
          <w:rFonts w:hint="eastAsia" w:ascii="MS UI Gothic" w:eastAsia="MS UI Gothic"/>
        </w:rPr>
      </w:pPr>
      <w:r>
        <w:br w:type="column"/>
      </w:r>
      <w:r>
        <w:t>善装备</w:t>
      </w:r>
      <w:r>
        <w:rPr>
          <w:rFonts w:hint="eastAsia" w:ascii="MS UI Gothic" w:eastAsia="MS UI Gothic"/>
        </w:rPr>
        <w:t xml:space="preserve">、 </w:t>
      </w:r>
      <w:r>
        <w:t>预案演练等工作</w:t>
      </w:r>
      <w:r>
        <w:rPr>
          <w:rFonts w:hint="eastAsia" w:ascii="MS UI Gothic" w:eastAsia="MS UI Gothic"/>
          <w:w w:val="80"/>
        </w:rPr>
        <w:t>ꎮ</w:t>
      </w:r>
    </w:p>
    <w:p>
      <w:pPr>
        <w:pStyle w:val="6"/>
        <w:tabs>
          <w:tab w:val="left" w:pos="1114"/>
        </w:tabs>
        <w:spacing w:before="62"/>
        <w:ind w:left="796" w:firstLine="0"/>
        <w:jc w:val="left"/>
      </w:pPr>
      <w:r>
        <w:rPr>
          <w:rFonts w:hint="eastAsia" w:ascii="MS UI Gothic" w:eastAsia="MS UI Gothic"/>
        </w:rPr>
        <w:t>２</w:t>
      </w:r>
      <w:r>
        <w:rPr>
          <w:rFonts w:hint="eastAsia" w:ascii="MS UI Gothic" w:eastAsia="MS UI Gothic"/>
        </w:rPr>
        <w:tab/>
      </w:r>
      <w:r>
        <w:rPr>
          <w:spacing w:val="2"/>
        </w:rPr>
        <w:t>组织体系及相关机构职责</w:t>
      </w:r>
    </w:p>
    <w:p>
      <w:pPr>
        <w:pStyle w:val="6"/>
        <w:tabs>
          <w:tab w:val="left" w:pos="1320"/>
        </w:tabs>
        <w:spacing w:before="64"/>
        <w:ind w:left="796" w:firstLine="0"/>
        <w:jc w:val="left"/>
      </w:pPr>
      <w:r>
        <w:rPr>
          <w:rFonts w:hint="eastAsia" w:ascii="MS UI Gothic" w:eastAsia="MS UI Gothic"/>
        </w:rPr>
        <w:t>２</w:t>
      </w:r>
      <w:r>
        <w:rPr>
          <w:rFonts w:hint="eastAsia" w:ascii="MS UI Gothic" w:eastAsia="MS UI Gothic"/>
          <w:spacing w:val="-16"/>
        </w:rPr>
        <w:t xml:space="preserve"> １</w:t>
      </w:r>
      <w:r>
        <w:rPr>
          <w:rFonts w:hint="eastAsia" w:ascii="MS UI Gothic" w:eastAsia="MS UI Gothic"/>
        </w:rPr>
        <w:tab/>
      </w:r>
      <w:r>
        <w:rPr>
          <w:spacing w:val="2"/>
        </w:rPr>
        <w:t>组织体系</w:t>
      </w:r>
    </w:p>
    <w:p>
      <w:pPr>
        <w:pStyle w:val="6"/>
        <w:spacing w:before="64" w:line="300" w:lineRule="auto"/>
        <w:ind w:left="383" w:right="124"/>
      </w:pPr>
      <w:r>
        <w:t>全国安全生产事故灾难应急救援组织体系由国务院安委会</w:t>
      </w:r>
      <w:r>
        <w:rPr>
          <w:rFonts w:hint="eastAsia" w:ascii="MS UI Gothic" w:eastAsia="MS UI Gothic"/>
        </w:rPr>
        <w:t xml:space="preserve">、 </w:t>
      </w:r>
      <w:r>
        <w:t>国务院有关部门</w:t>
      </w:r>
      <w:r>
        <w:rPr>
          <w:rFonts w:hint="eastAsia" w:ascii="MS UI Gothic" w:eastAsia="MS UI Gothic"/>
        </w:rPr>
        <w:t>、</w:t>
      </w:r>
      <w:r>
        <w:t>地方各级人民政府安全生产事故灾难应急领导机构</w:t>
      </w:r>
      <w:r>
        <w:rPr>
          <w:rFonts w:hint="eastAsia" w:ascii="MS UI Gothic" w:eastAsia="MS UI Gothic"/>
        </w:rPr>
        <w:t xml:space="preserve">、 </w:t>
      </w:r>
      <w:r>
        <w:t>综合协调指挥机构</w:t>
      </w:r>
      <w:r>
        <w:rPr>
          <w:rFonts w:hint="eastAsia" w:ascii="MS UI Gothic" w:eastAsia="MS UI Gothic"/>
        </w:rPr>
        <w:t xml:space="preserve">、 </w:t>
      </w:r>
      <w:r>
        <w:t>专业协调</w:t>
      </w:r>
    </w:p>
    <w:p>
      <w:pPr>
        <w:spacing w:after="0" w:line="300" w:lineRule="auto"/>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８２</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295" o:spid="_x0000_s1295" o:spt="203" style="height:2.15pt;width:398.25pt;" coordsize="7965,43">
            <o:lock v:ext="edit"/>
            <v:line id="_x0000_s1296" o:spid="_x0000_s1296" o:spt="20" style="position:absolute;left:0;top:39;height:0;width:7965;" stroked="t" coordsize="21600,21600">
              <v:path arrowok="t"/>
              <v:fill focussize="0,0"/>
              <v:stroke weight="0.388031496062992pt" color="#231F20"/>
              <v:imagedata o:title=""/>
              <o:lock v:ext="edit"/>
            </v:line>
            <v:line id="_x0000_s1297" o:spid="_x0000_s129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jc w:val="left"/>
        <w:rPr>
          <w:rFonts w:hint="eastAsia" w:ascii="MS UI Gothic" w:eastAsia="MS UI Gothic"/>
        </w:rPr>
      </w:pPr>
      <w:r>
        <w:t>指挥机构</w:t>
      </w:r>
      <w:r>
        <w:rPr>
          <w:rFonts w:hint="eastAsia" w:ascii="MS UI Gothic" w:eastAsia="MS UI Gothic"/>
          <w:w w:val="80"/>
        </w:rPr>
        <w:t xml:space="preserve">、 </w:t>
      </w:r>
      <w:r>
        <w:t>应急支持保障部门</w:t>
      </w:r>
      <w:r>
        <w:rPr>
          <w:rFonts w:hint="eastAsia" w:ascii="MS UI Gothic" w:eastAsia="MS UI Gothic"/>
          <w:w w:val="80"/>
        </w:rPr>
        <w:t xml:space="preserve">、 </w:t>
      </w:r>
      <w:r>
        <w:t>应急救援队伍和生产经营单位组成</w:t>
      </w:r>
      <w:r>
        <w:rPr>
          <w:rFonts w:hint="eastAsia" w:ascii="MS UI Gothic" w:eastAsia="MS UI Gothic"/>
          <w:w w:val="80"/>
        </w:rPr>
        <w:t>ꎮ</w:t>
      </w:r>
    </w:p>
    <w:p>
      <w:pPr>
        <w:pStyle w:val="6"/>
        <w:spacing w:line="295" w:lineRule="auto"/>
        <w:ind w:right="39"/>
        <w:rPr>
          <w:rFonts w:hint="eastAsia" w:ascii="MS UI Gothic" w:eastAsia="MS UI Gothic"/>
        </w:rPr>
      </w:pPr>
      <w:r>
        <w:t>国家安全生产事故灾难应急领导机构为国务院安委会</w:t>
      </w:r>
      <w:r>
        <w:rPr>
          <w:rFonts w:hint="eastAsia" w:ascii="MS UI Gothic" w:eastAsia="MS UI Gothic"/>
          <w:w w:val="80"/>
        </w:rPr>
        <w:t xml:space="preserve">ꎬ </w:t>
      </w:r>
      <w:r>
        <w:t>综合协调指挥机构为国务院安委会办公室</w:t>
      </w:r>
      <w:r>
        <w:rPr>
          <w:rFonts w:hint="eastAsia" w:ascii="MS UI Gothic" w:eastAsia="MS UI Gothic"/>
          <w:w w:val="80"/>
        </w:rPr>
        <w:t xml:space="preserve">ꎬ </w:t>
      </w:r>
      <w:r>
        <w:t>国家安全生产应急救援指挥中心具体承担安全生产事故灾难应急管理工作</w:t>
      </w:r>
      <w:r>
        <w:rPr>
          <w:rFonts w:hint="eastAsia" w:ascii="MS UI Gothic" w:eastAsia="MS UI Gothic"/>
          <w:w w:val="80"/>
        </w:rPr>
        <w:t xml:space="preserve">ꎬ </w:t>
      </w:r>
      <w:r>
        <w:t>专业协调指挥机构为国务院有关部门管理的专业领域应急救援指挥</w:t>
      </w:r>
      <w:r>
        <w:rPr>
          <w:w w:val="105"/>
        </w:rPr>
        <w:t>机构</w:t>
      </w:r>
      <w:r>
        <w:rPr>
          <w:rFonts w:hint="eastAsia" w:ascii="MS UI Gothic" w:eastAsia="MS UI Gothic"/>
          <w:w w:val="80"/>
        </w:rPr>
        <w:t>ꎮ</w:t>
      </w:r>
    </w:p>
    <w:p>
      <w:pPr>
        <w:pStyle w:val="6"/>
        <w:spacing w:line="295" w:lineRule="auto"/>
        <w:ind w:right="39"/>
        <w:jc w:val="left"/>
        <w:rPr>
          <w:rFonts w:hint="eastAsia" w:ascii="MS UI Gothic" w:eastAsia="MS UI Gothic"/>
        </w:rPr>
      </w:pPr>
      <w:r>
        <w:t>地方各级人民政府的安全生产事故灾</w:t>
      </w:r>
      <w:r>
        <w:rPr>
          <w:w w:val="105"/>
        </w:rPr>
        <w:t>难应急机构由地方政府确定</w:t>
      </w:r>
      <w:r>
        <w:rPr>
          <w:rFonts w:hint="eastAsia" w:ascii="MS UI Gothic" w:eastAsia="MS UI Gothic"/>
          <w:w w:val="80"/>
        </w:rPr>
        <w:t>ꎮ</w:t>
      </w:r>
    </w:p>
    <w:p>
      <w:pPr>
        <w:pStyle w:val="6"/>
        <w:spacing w:line="295" w:lineRule="auto"/>
        <w:ind w:right="39"/>
        <w:rPr>
          <w:rFonts w:hint="eastAsia" w:ascii="MS UI Gothic" w:eastAsia="MS UI Gothic"/>
        </w:rPr>
      </w:pPr>
      <w:r>
        <w:rPr>
          <w:spacing w:val="3"/>
        </w:rPr>
        <w:t>应急救援队伍主要包括消防部队</w:t>
      </w:r>
      <w:r>
        <w:rPr>
          <w:rFonts w:hint="eastAsia" w:ascii="MS UI Gothic" w:eastAsia="MS UI Gothic"/>
          <w:spacing w:val="15"/>
          <w:w w:val="80"/>
        </w:rPr>
        <w:t xml:space="preserve">、 </w:t>
      </w:r>
      <w:r>
        <w:t>专</w:t>
      </w:r>
      <w:r>
        <w:rPr>
          <w:spacing w:val="3"/>
        </w:rPr>
        <w:t>业应急救援队伍</w:t>
      </w:r>
      <w:r>
        <w:rPr>
          <w:rFonts w:hint="eastAsia" w:ascii="MS UI Gothic" w:eastAsia="MS UI Gothic"/>
          <w:spacing w:val="19"/>
          <w:w w:val="80"/>
        </w:rPr>
        <w:t xml:space="preserve">、 </w:t>
      </w:r>
      <w:r>
        <w:rPr>
          <w:spacing w:val="2"/>
        </w:rPr>
        <w:t>生产经营单位的应急救</w:t>
      </w:r>
      <w:r>
        <w:rPr>
          <w:spacing w:val="3"/>
        </w:rPr>
        <w:t>援队伍</w:t>
      </w:r>
      <w:r>
        <w:rPr>
          <w:rFonts w:hint="eastAsia" w:ascii="MS UI Gothic" w:eastAsia="MS UI Gothic"/>
          <w:spacing w:val="23"/>
          <w:w w:val="80"/>
        </w:rPr>
        <w:t xml:space="preserve">、 </w:t>
      </w:r>
      <w:r>
        <w:rPr>
          <w:spacing w:val="3"/>
        </w:rPr>
        <w:t>社会力量</w:t>
      </w:r>
      <w:r>
        <w:rPr>
          <w:rFonts w:hint="eastAsia" w:ascii="MS UI Gothic" w:eastAsia="MS UI Gothic"/>
          <w:spacing w:val="23"/>
          <w:w w:val="80"/>
        </w:rPr>
        <w:t xml:space="preserve">、 </w:t>
      </w:r>
      <w:r>
        <w:rPr>
          <w:spacing w:val="2"/>
        </w:rPr>
        <w:t>志愿者队伍及有关国</w:t>
      </w:r>
      <w:r>
        <w:rPr>
          <w:spacing w:val="3"/>
        </w:rPr>
        <w:t>际救援力量等</w:t>
      </w:r>
      <w:r>
        <w:rPr>
          <w:rFonts w:hint="eastAsia" w:ascii="MS UI Gothic" w:eastAsia="MS UI Gothic"/>
          <w:w w:val="80"/>
        </w:rPr>
        <w:t>ꎮ</w:t>
      </w:r>
    </w:p>
    <w:p>
      <w:pPr>
        <w:pStyle w:val="6"/>
        <w:spacing w:line="295" w:lineRule="auto"/>
        <w:ind w:right="39"/>
        <w:rPr>
          <w:rFonts w:hint="eastAsia" w:ascii="MS UI Gothic" w:eastAsia="MS UI Gothic"/>
        </w:rPr>
      </w:pPr>
      <w:r>
        <w:rPr>
          <w:spacing w:val="2"/>
        </w:rPr>
        <w:t>国务院安委会各成员单位按照职责履行本部门的安全生产事故灾难应急救援和</w:t>
      </w:r>
      <w:r>
        <w:rPr>
          <w:spacing w:val="3"/>
          <w:w w:val="105"/>
        </w:rPr>
        <w:t>保障方面的职责</w:t>
      </w:r>
      <w:r>
        <w:rPr>
          <w:rFonts w:hint="eastAsia" w:ascii="MS UI Gothic" w:eastAsia="MS UI Gothic"/>
          <w:spacing w:val="-2"/>
          <w:w w:val="80"/>
        </w:rPr>
        <w:t xml:space="preserve">ꎬ </w:t>
      </w:r>
      <w:r>
        <w:rPr>
          <w:spacing w:val="3"/>
          <w:w w:val="105"/>
        </w:rPr>
        <w:t>负责制订</w:t>
      </w:r>
      <w:r>
        <w:rPr>
          <w:rFonts w:hint="eastAsia" w:ascii="MS UI Gothic" w:eastAsia="MS UI Gothic"/>
          <w:spacing w:val="-1"/>
          <w:w w:val="80"/>
        </w:rPr>
        <w:t xml:space="preserve">、 </w:t>
      </w:r>
      <w:r>
        <w:rPr>
          <w:spacing w:val="2"/>
          <w:w w:val="105"/>
        </w:rPr>
        <w:t>管理并实施</w:t>
      </w:r>
      <w:r>
        <w:rPr>
          <w:spacing w:val="3"/>
          <w:w w:val="105"/>
        </w:rPr>
        <w:t>有关应急预案</w:t>
      </w:r>
      <w:r>
        <w:rPr>
          <w:rFonts w:hint="eastAsia" w:ascii="MS UI Gothic" w:eastAsia="MS UI Gothic"/>
          <w:w w:val="80"/>
        </w:rPr>
        <w:t>ꎮ</w:t>
      </w:r>
    </w:p>
    <w:p>
      <w:pPr>
        <w:pStyle w:val="6"/>
        <w:spacing w:line="253" w:lineRule="exact"/>
        <w:ind w:left="538" w:firstLine="0"/>
      </w:pPr>
      <w:r>
        <w:rPr>
          <w:rFonts w:hint="eastAsia" w:ascii="MS UI Gothic" w:eastAsia="MS UI Gothic"/>
        </w:rPr>
        <w:t xml:space="preserve">２ ２ </w:t>
      </w:r>
      <w:r>
        <w:t>现场应急救援指挥部及职责</w:t>
      </w:r>
    </w:p>
    <w:p>
      <w:pPr>
        <w:pStyle w:val="6"/>
        <w:spacing w:before="46" w:line="295" w:lineRule="auto"/>
        <w:ind w:right="39"/>
        <w:rPr>
          <w:rFonts w:hint="eastAsia" w:ascii="MS UI Gothic" w:eastAsia="MS UI Gothic"/>
        </w:rPr>
      </w:pPr>
      <w:r>
        <w:t>现场应急救援指挥以属地为主</w:t>
      </w:r>
      <w:r>
        <w:rPr>
          <w:rFonts w:hint="eastAsia" w:ascii="MS UI Gothic" w:eastAsia="MS UI Gothic"/>
          <w:w w:val="80"/>
        </w:rPr>
        <w:t xml:space="preserve">ꎬ </w:t>
      </w:r>
      <w:r>
        <w:t>事发</w:t>
      </w:r>
      <w:r>
        <w:rPr>
          <w:w w:val="105"/>
        </w:rPr>
        <w:t xml:space="preserve">地省 </w:t>
      </w:r>
      <w:r>
        <w:rPr>
          <w:rFonts w:hint="eastAsia" w:ascii="MS UI Gothic" w:eastAsia="MS UI Gothic"/>
          <w:w w:val="150"/>
        </w:rPr>
        <w:t xml:space="preserve">( </w:t>
      </w:r>
      <w:r>
        <w:rPr>
          <w:w w:val="105"/>
        </w:rPr>
        <w:t>区</w:t>
      </w:r>
      <w:r>
        <w:rPr>
          <w:rFonts w:hint="eastAsia" w:ascii="MS UI Gothic" w:eastAsia="MS UI Gothic"/>
          <w:w w:val="80"/>
        </w:rPr>
        <w:t xml:space="preserve">、 </w:t>
      </w:r>
      <w:r>
        <w:rPr>
          <w:w w:val="105"/>
        </w:rPr>
        <w:t>市</w:t>
      </w:r>
      <w:r>
        <w:rPr>
          <w:rFonts w:hint="eastAsia" w:ascii="MS UI Gothic" w:eastAsia="MS UI Gothic"/>
          <w:w w:val="150"/>
        </w:rPr>
        <w:t xml:space="preserve">) </w:t>
      </w:r>
      <w:r>
        <w:rPr>
          <w:w w:val="105"/>
        </w:rPr>
        <w:t>人民政府成立现场应急</w:t>
      </w:r>
      <w:r>
        <w:t>救援指挥部</w:t>
      </w:r>
      <w:r>
        <w:rPr>
          <w:rFonts w:hint="eastAsia" w:ascii="MS UI Gothic" w:eastAsia="MS UI Gothic"/>
          <w:w w:val="80"/>
        </w:rPr>
        <w:t xml:space="preserve">ꎮ </w:t>
      </w:r>
      <w:r>
        <w:t>现场应急救援指挥部负责指挥所有参与应急救援的队伍和人员</w:t>
      </w:r>
      <w:r>
        <w:rPr>
          <w:rFonts w:hint="eastAsia" w:ascii="MS UI Gothic" w:eastAsia="MS UI Gothic"/>
          <w:w w:val="80"/>
        </w:rPr>
        <w:t xml:space="preserve">ꎬ </w:t>
      </w:r>
      <w:r>
        <w:t>及时向国务院报告事故灾难事态发展及救援情</w:t>
      </w:r>
      <w:r>
        <w:rPr>
          <w:w w:val="105"/>
        </w:rPr>
        <w:t>况</w:t>
      </w:r>
      <w:r>
        <w:rPr>
          <w:rFonts w:hint="eastAsia" w:ascii="MS UI Gothic" w:eastAsia="MS UI Gothic"/>
          <w:w w:val="80"/>
        </w:rPr>
        <w:t xml:space="preserve">ꎬ </w:t>
      </w:r>
      <w:r>
        <w:rPr>
          <w:w w:val="105"/>
        </w:rPr>
        <w:t>同时抄送国务院安委会办公室</w:t>
      </w:r>
      <w:r>
        <w:rPr>
          <w:rFonts w:hint="eastAsia" w:ascii="MS UI Gothic" w:eastAsia="MS UI Gothic"/>
          <w:w w:val="80"/>
        </w:rPr>
        <w:t>ꎮ</w:t>
      </w:r>
    </w:p>
    <w:p>
      <w:pPr>
        <w:pStyle w:val="6"/>
        <w:spacing w:line="295" w:lineRule="auto"/>
        <w:ind w:right="39"/>
        <w:rPr>
          <w:rFonts w:hint="eastAsia" w:ascii="MS UI Gothic" w:eastAsia="MS UI Gothic"/>
        </w:rPr>
      </w:pPr>
      <w:r>
        <w:rPr>
          <w:w w:val="105"/>
        </w:rPr>
        <w:t>涉及多个领域</w:t>
      </w:r>
      <w:r>
        <w:rPr>
          <w:rFonts w:hint="eastAsia" w:ascii="MS UI Gothic" w:eastAsia="MS UI Gothic"/>
          <w:w w:val="80"/>
        </w:rPr>
        <w:t xml:space="preserve">、 </w:t>
      </w:r>
      <w:r>
        <w:rPr>
          <w:w w:val="105"/>
        </w:rPr>
        <w:t>跨省级行政区或影响</w:t>
      </w:r>
      <w:r>
        <w:t>特别重大的事故灾难</w:t>
      </w:r>
      <w:r>
        <w:rPr>
          <w:rFonts w:hint="eastAsia" w:ascii="MS UI Gothic" w:eastAsia="MS UI Gothic"/>
          <w:w w:val="80"/>
        </w:rPr>
        <w:t xml:space="preserve">ꎬ </w:t>
      </w:r>
      <w:r>
        <w:t>根据需要由国务院安委会或者国务院有关部门组织成立现场应急救援指挥部</w:t>
      </w:r>
      <w:r>
        <w:rPr>
          <w:rFonts w:hint="eastAsia" w:ascii="MS UI Gothic" w:eastAsia="MS UI Gothic"/>
          <w:w w:val="80"/>
        </w:rPr>
        <w:t xml:space="preserve">ꎬ </w:t>
      </w:r>
      <w:r>
        <w:t>负责应急救援协调指挥</w:t>
      </w:r>
      <w:r>
        <w:rPr>
          <w:w w:val="105"/>
        </w:rPr>
        <w:t>工作</w:t>
      </w:r>
      <w:r>
        <w:rPr>
          <w:rFonts w:hint="eastAsia" w:ascii="MS UI Gothic" w:eastAsia="MS UI Gothic"/>
          <w:w w:val="80"/>
        </w:rPr>
        <w:t>ꎮ</w:t>
      </w:r>
    </w:p>
    <w:p>
      <w:pPr>
        <w:pStyle w:val="6"/>
        <w:spacing w:line="252" w:lineRule="exact"/>
        <w:ind w:left="538" w:firstLine="0"/>
      </w:pPr>
      <w:r>
        <w:rPr>
          <w:rFonts w:hint="eastAsia" w:ascii="MS UI Gothic" w:eastAsia="MS UI Gothic"/>
        </w:rPr>
        <w:t xml:space="preserve">３ </w:t>
      </w:r>
      <w:r>
        <w:t>预警预防机制</w:t>
      </w:r>
    </w:p>
    <w:p>
      <w:pPr>
        <w:pStyle w:val="6"/>
        <w:spacing w:before="54"/>
        <w:ind w:left="538" w:firstLine="0"/>
      </w:pPr>
      <w:r>
        <w:rPr>
          <w:rFonts w:hint="eastAsia" w:ascii="MS UI Gothic" w:eastAsia="MS UI Gothic"/>
        </w:rPr>
        <w:t xml:space="preserve">３ １ </w:t>
      </w:r>
      <w:r>
        <w:t>事故灾难监控与信息报告</w:t>
      </w:r>
    </w:p>
    <w:p>
      <w:pPr>
        <w:pStyle w:val="6"/>
        <w:spacing w:before="58" w:line="295" w:lineRule="auto"/>
        <w:ind w:right="39"/>
        <w:rPr>
          <w:rFonts w:hint="eastAsia" w:ascii="MS UI Gothic" w:eastAsia="MS UI Gothic"/>
        </w:rPr>
      </w:pPr>
      <w:r>
        <w:rPr>
          <w:w w:val="105"/>
        </w:rPr>
        <w:t xml:space="preserve">国务院有关部门和省 </w:t>
      </w:r>
      <w:r>
        <w:rPr>
          <w:rFonts w:hint="eastAsia" w:ascii="MS UI Gothic" w:eastAsia="MS UI Gothic"/>
          <w:w w:val="150"/>
        </w:rPr>
        <w:t xml:space="preserve">( </w:t>
      </w:r>
      <w:r>
        <w:rPr>
          <w:w w:val="105"/>
        </w:rPr>
        <w:t>区</w:t>
      </w:r>
      <w:r>
        <w:rPr>
          <w:rFonts w:hint="eastAsia" w:ascii="MS UI Gothic" w:eastAsia="MS UI Gothic"/>
          <w:w w:val="80"/>
        </w:rPr>
        <w:t xml:space="preserve">、 </w:t>
      </w:r>
      <w:r>
        <w:rPr>
          <w:w w:val="105"/>
        </w:rPr>
        <w:t>市</w:t>
      </w:r>
      <w:r>
        <w:rPr>
          <w:rFonts w:hint="eastAsia" w:ascii="MS UI Gothic" w:eastAsia="MS UI Gothic"/>
          <w:w w:val="150"/>
        </w:rPr>
        <w:t xml:space="preserve">) </w:t>
      </w:r>
      <w:r>
        <w:rPr>
          <w:w w:val="105"/>
        </w:rPr>
        <w:t>人</w:t>
      </w:r>
      <w:r>
        <w:t>民政府应当加强对重大危险源的监控</w:t>
      </w:r>
      <w:r>
        <w:rPr>
          <w:rFonts w:hint="eastAsia" w:ascii="MS UI Gothic" w:eastAsia="MS UI Gothic"/>
          <w:w w:val="80"/>
        </w:rPr>
        <w:t xml:space="preserve">ꎬ </w:t>
      </w:r>
      <w:r>
        <w:t>对可能引发特别重大事故的险情</w:t>
      </w:r>
      <w:r>
        <w:rPr>
          <w:rFonts w:hint="eastAsia" w:ascii="MS UI Gothic" w:eastAsia="MS UI Gothic"/>
          <w:w w:val="80"/>
        </w:rPr>
        <w:t xml:space="preserve">ꎬ </w:t>
      </w:r>
      <w:r>
        <w:t>或者其他</w:t>
      </w:r>
      <w:r>
        <w:rPr>
          <w:w w:val="105"/>
        </w:rPr>
        <w:t>灾害</w:t>
      </w:r>
      <w:r>
        <w:rPr>
          <w:rFonts w:hint="eastAsia" w:ascii="MS UI Gothic" w:eastAsia="MS UI Gothic"/>
          <w:w w:val="80"/>
        </w:rPr>
        <w:t xml:space="preserve">、 </w:t>
      </w:r>
      <w:r>
        <w:rPr>
          <w:w w:val="105"/>
        </w:rPr>
        <w:t>灾难可能引发安全生产事故灾难的重要信息应及时上报</w:t>
      </w:r>
      <w:r>
        <w:rPr>
          <w:rFonts w:hint="eastAsia" w:ascii="MS UI Gothic" w:eastAsia="MS UI Gothic"/>
          <w:w w:val="80"/>
        </w:rPr>
        <w:t>ꎮ</w:t>
      </w:r>
    </w:p>
    <w:p>
      <w:pPr>
        <w:pStyle w:val="6"/>
        <w:spacing w:line="252" w:lineRule="exact"/>
        <w:ind w:left="543" w:firstLine="0"/>
        <w:jc w:val="left"/>
        <w:rPr>
          <w:rFonts w:hint="eastAsia" w:ascii="MS UI Gothic" w:eastAsia="MS UI Gothic"/>
        </w:rPr>
      </w:pPr>
      <w:r>
        <w:t>特别重大安全生产事故灾难发生后</w:t>
      </w:r>
      <w:r>
        <w:rPr>
          <w:rFonts w:hint="eastAsia" w:ascii="MS UI Gothic" w:eastAsia="MS UI Gothic"/>
          <w:w w:val="80"/>
        </w:rPr>
        <w:t>ꎬ</w:t>
      </w:r>
    </w:p>
    <w:p>
      <w:pPr>
        <w:pStyle w:val="6"/>
        <w:spacing w:before="123" w:line="295" w:lineRule="auto"/>
        <w:ind w:right="442" w:firstLine="0"/>
        <w:rPr>
          <w:rFonts w:hint="eastAsia" w:ascii="MS UI Gothic" w:eastAsia="MS UI Gothic"/>
        </w:rPr>
      </w:pPr>
      <w:r>
        <w:br w:type="column"/>
      </w:r>
      <w:r>
        <w:rPr>
          <w:spacing w:val="2"/>
        </w:rPr>
        <w:t>事故现场有关人员应当立即报告单位负责</w:t>
      </w:r>
      <w:r>
        <w:rPr>
          <w:spacing w:val="3"/>
        </w:rPr>
        <w:t>人</w:t>
      </w:r>
      <w:r>
        <w:rPr>
          <w:rFonts w:hint="eastAsia" w:ascii="MS UI Gothic" w:eastAsia="MS UI Gothic"/>
          <w:spacing w:val="23"/>
          <w:w w:val="80"/>
        </w:rPr>
        <w:t xml:space="preserve">ꎬ </w:t>
      </w:r>
      <w:r>
        <w:rPr>
          <w:spacing w:val="3"/>
        </w:rPr>
        <w:t>单位负责人接到报告后</w:t>
      </w:r>
      <w:r>
        <w:rPr>
          <w:rFonts w:hint="eastAsia" w:ascii="MS UI Gothic" w:eastAsia="MS UI Gothic"/>
          <w:spacing w:val="23"/>
          <w:w w:val="80"/>
        </w:rPr>
        <w:t xml:space="preserve">ꎬ </w:t>
      </w:r>
      <w:r>
        <w:rPr>
          <w:spacing w:val="2"/>
        </w:rPr>
        <w:t>应当立即报</w:t>
      </w:r>
      <w:r>
        <w:rPr>
          <w:spacing w:val="3"/>
        </w:rPr>
        <w:t>告当地人民政府和上级主管部门</w:t>
      </w:r>
      <w:r>
        <w:rPr>
          <w:rFonts w:hint="eastAsia" w:ascii="MS UI Gothic" w:eastAsia="MS UI Gothic"/>
          <w:spacing w:val="20"/>
          <w:w w:val="80"/>
        </w:rPr>
        <w:t xml:space="preserve">ꎮ </w:t>
      </w:r>
      <w:r>
        <w:rPr>
          <w:spacing w:val="1"/>
        </w:rPr>
        <w:t>中央企</w:t>
      </w:r>
      <w:r>
        <w:rPr>
          <w:spacing w:val="2"/>
        </w:rPr>
        <w:t>业在上报当地政府的同时应当上报企业总</w:t>
      </w:r>
      <w:r>
        <w:rPr>
          <w:spacing w:val="3"/>
        </w:rPr>
        <w:t>部</w:t>
      </w:r>
      <w:r>
        <w:rPr>
          <w:rFonts w:hint="eastAsia" w:ascii="MS UI Gothic" w:eastAsia="MS UI Gothic"/>
          <w:spacing w:val="20"/>
          <w:w w:val="80"/>
        </w:rPr>
        <w:t xml:space="preserve">ꎮ </w:t>
      </w:r>
      <w:r>
        <w:rPr>
          <w:spacing w:val="2"/>
        </w:rPr>
        <w:t>当地人民政府接到报告后应当立即报</w:t>
      </w:r>
      <w:r>
        <w:rPr>
          <w:spacing w:val="3"/>
          <w:w w:val="105"/>
        </w:rPr>
        <w:t>告上级政府</w:t>
      </w:r>
      <w:r>
        <w:rPr>
          <w:rFonts w:hint="eastAsia" w:ascii="MS UI Gothic" w:eastAsia="MS UI Gothic"/>
          <w:spacing w:val="8"/>
          <w:w w:val="80"/>
        </w:rPr>
        <w:t xml:space="preserve">ꎬ </w:t>
      </w:r>
      <w:r>
        <w:rPr>
          <w:spacing w:val="3"/>
          <w:w w:val="105"/>
        </w:rPr>
        <w:t>国务院有关部门</w:t>
      </w:r>
      <w:r>
        <w:rPr>
          <w:rFonts w:hint="eastAsia" w:ascii="MS UI Gothic" w:eastAsia="MS UI Gothic"/>
          <w:spacing w:val="9"/>
          <w:w w:val="80"/>
        </w:rPr>
        <w:t xml:space="preserve">、 </w:t>
      </w:r>
      <w:r>
        <w:rPr>
          <w:spacing w:val="3"/>
          <w:w w:val="105"/>
        </w:rPr>
        <w:t>单位</w:t>
      </w:r>
      <w:r>
        <w:rPr>
          <w:rFonts w:hint="eastAsia" w:ascii="MS UI Gothic" w:eastAsia="MS UI Gothic"/>
          <w:spacing w:val="9"/>
          <w:w w:val="80"/>
        </w:rPr>
        <w:t xml:space="preserve">、 </w:t>
      </w:r>
      <w:r>
        <w:rPr>
          <w:w w:val="105"/>
        </w:rPr>
        <w:t>中</w:t>
      </w:r>
      <w:r>
        <w:rPr>
          <w:spacing w:val="2"/>
          <w:w w:val="105"/>
        </w:rPr>
        <w:t xml:space="preserve">央企业和事故灾难发生地的省 </w:t>
      </w:r>
      <w:r>
        <w:rPr>
          <w:rFonts w:hint="eastAsia" w:ascii="MS UI Gothic" w:eastAsia="MS UI Gothic"/>
          <w:spacing w:val="-35"/>
          <w:w w:val="150"/>
        </w:rPr>
        <w:t xml:space="preserve">( </w:t>
      </w:r>
      <w:r>
        <w:rPr>
          <w:spacing w:val="3"/>
          <w:w w:val="105"/>
        </w:rPr>
        <w:t>区</w:t>
      </w:r>
      <w:r>
        <w:rPr>
          <w:rFonts w:hint="eastAsia" w:ascii="MS UI Gothic" w:eastAsia="MS UI Gothic"/>
          <w:spacing w:val="23"/>
          <w:w w:val="80"/>
        </w:rPr>
        <w:t xml:space="preserve">、 </w:t>
      </w:r>
      <w:r>
        <w:rPr>
          <w:spacing w:val="9"/>
          <w:w w:val="105"/>
        </w:rPr>
        <w:t>市</w:t>
      </w:r>
      <w:r>
        <w:rPr>
          <w:rFonts w:hint="eastAsia" w:ascii="MS UI Gothic" w:eastAsia="MS UI Gothic"/>
          <w:w w:val="150"/>
        </w:rPr>
        <w:t xml:space="preserve">) </w:t>
      </w:r>
      <w:r>
        <w:rPr>
          <w:spacing w:val="-7"/>
          <w:w w:val="105"/>
        </w:rPr>
        <w:t xml:space="preserve">人民政府应当在接到报告后 </w:t>
      </w:r>
      <w:r>
        <w:rPr>
          <w:rFonts w:hint="eastAsia" w:ascii="MS UI Gothic" w:eastAsia="MS UI Gothic"/>
          <w:spacing w:val="-11"/>
          <w:w w:val="80"/>
        </w:rPr>
        <w:t xml:space="preserve">２ </w:t>
      </w:r>
      <w:r>
        <w:rPr>
          <w:spacing w:val="3"/>
          <w:w w:val="105"/>
        </w:rPr>
        <w:t>小时内</w:t>
      </w:r>
      <w:r>
        <w:rPr>
          <w:rFonts w:hint="eastAsia" w:ascii="MS UI Gothic" w:eastAsia="MS UI Gothic"/>
          <w:spacing w:val="1"/>
          <w:w w:val="80"/>
        </w:rPr>
        <w:t xml:space="preserve">ꎬ </w:t>
      </w:r>
      <w:r>
        <w:rPr>
          <w:w w:val="105"/>
        </w:rPr>
        <w:t>向</w:t>
      </w:r>
      <w:r>
        <w:rPr>
          <w:spacing w:val="10"/>
        </w:rPr>
        <w:t>国务院报告</w:t>
      </w:r>
      <w:r>
        <w:rPr>
          <w:rFonts w:hint="eastAsia" w:ascii="MS UI Gothic" w:eastAsia="MS UI Gothic"/>
          <w:spacing w:val="23"/>
          <w:w w:val="80"/>
        </w:rPr>
        <w:t xml:space="preserve">ꎬ </w:t>
      </w:r>
      <w:r>
        <w:rPr>
          <w:spacing w:val="17"/>
        </w:rPr>
        <w:t>同时抄送国务院安委会办</w:t>
      </w:r>
      <w:r>
        <w:rPr>
          <w:spacing w:val="3"/>
          <w:w w:val="105"/>
        </w:rPr>
        <w:t>公室</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自然灾害</w:t>
      </w:r>
      <w:r>
        <w:rPr>
          <w:rFonts w:hint="eastAsia" w:ascii="MS UI Gothic" w:eastAsia="MS UI Gothic"/>
          <w:spacing w:val="12"/>
          <w:w w:val="80"/>
        </w:rPr>
        <w:t xml:space="preserve">、 </w:t>
      </w:r>
      <w:r>
        <w:rPr>
          <w:spacing w:val="2"/>
        </w:rPr>
        <w:t>公共卫生和社会安全方面的突发事件可能引发安全生产事故灾难的</w:t>
      </w:r>
      <w:r>
        <w:rPr>
          <w:spacing w:val="3"/>
        </w:rPr>
        <w:t>信息</w:t>
      </w:r>
      <w:r>
        <w:rPr>
          <w:rFonts w:hint="eastAsia" w:ascii="MS UI Gothic" w:eastAsia="MS UI Gothic"/>
          <w:spacing w:val="11"/>
          <w:w w:val="80"/>
        </w:rPr>
        <w:t xml:space="preserve">ꎬ </w:t>
      </w:r>
      <w:r>
        <w:rPr>
          <w:spacing w:val="3"/>
        </w:rPr>
        <w:t>有关各级</w:t>
      </w:r>
      <w:r>
        <w:rPr>
          <w:rFonts w:hint="eastAsia" w:ascii="MS UI Gothic" w:eastAsia="MS UI Gothic"/>
          <w:spacing w:val="11"/>
          <w:w w:val="80"/>
        </w:rPr>
        <w:t xml:space="preserve">、 </w:t>
      </w:r>
      <w:r>
        <w:rPr>
          <w:spacing w:val="2"/>
        </w:rPr>
        <w:t>各类应急指挥机构均应及时通报同级安全生产事故灾难应急救援</w:t>
      </w:r>
      <w:r>
        <w:rPr>
          <w:spacing w:val="3"/>
        </w:rPr>
        <w:t>指挥机构</w:t>
      </w:r>
      <w:r>
        <w:rPr>
          <w:rFonts w:hint="eastAsia" w:ascii="MS UI Gothic" w:eastAsia="MS UI Gothic"/>
          <w:spacing w:val="20"/>
          <w:w w:val="80"/>
        </w:rPr>
        <w:t xml:space="preserve">ꎬ </w:t>
      </w:r>
      <w:r>
        <w:rPr>
          <w:spacing w:val="2"/>
        </w:rPr>
        <w:t>安全生产事故灾难应急救援指</w:t>
      </w:r>
      <w:r>
        <w:rPr>
          <w:spacing w:val="3"/>
        </w:rPr>
        <w:t>挥机构应当及时分析处理</w:t>
      </w:r>
      <w:r>
        <w:rPr>
          <w:rFonts w:hint="eastAsia" w:ascii="MS UI Gothic" w:eastAsia="MS UI Gothic"/>
          <w:spacing w:val="20"/>
          <w:w w:val="80"/>
        </w:rPr>
        <w:t xml:space="preserve">ꎬ </w:t>
      </w:r>
      <w:r>
        <w:rPr>
          <w:spacing w:val="2"/>
        </w:rPr>
        <w:t>并按照分级管</w:t>
      </w:r>
      <w:r>
        <w:rPr>
          <w:spacing w:val="3"/>
        </w:rPr>
        <w:t>理的程序逐级上报</w:t>
      </w:r>
      <w:r>
        <w:rPr>
          <w:rFonts w:hint="eastAsia" w:ascii="MS UI Gothic" w:eastAsia="MS UI Gothic"/>
          <w:spacing w:val="23"/>
          <w:w w:val="80"/>
        </w:rPr>
        <w:t xml:space="preserve">ꎬ </w:t>
      </w:r>
      <w:r>
        <w:rPr>
          <w:spacing w:val="3"/>
        </w:rPr>
        <w:t>紧急情况下</w:t>
      </w:r>
      <w:r>
        <w:rPr>
          <w:rFonts w:hint="eastAsia" w:ascii="MS UI Gothic" w:eastAsia="MS UI Gothic"/>
          <w:spacing w:val="23"/>
          <w:w w:val="80"/>
        </w:rPr>
        <w:t xml:space="preserve">ꎬ </w:t>
      </w:r>
      <w:r>
        <w:rPr>
          <w:spacing w:val="2"/>
        </w:rPr>
        <w:t>可越级</w:t>
      </w:r>
      <w:r>
        <w:rPr>
          <w:spacing w:val="3"/>
        </w:rPr>
        <w:t>上报</w:t>
      </w:r>
      <w:r>
        <w:rPr>
          <w:rFonts w:hint="eastAsia" w:ascii="MS UI Gothic" w:eastAsia="MS UI Gothic"/>
          <w:w w:val="80"/>
        </w:rPr>
        <w:t>ꎮ</w:t>
      </w:r>
    </w:p>
    <w:p>
      <w:pPr>
        <w:pStyle w:val="6"/>
        <w:spacing w:line="295" w:lineRule="auto"/>
        <w:ind w:right="440"/>
        <w:rPr>
          <w:rFonts w:hint="eastAsia" w:ascii="MS UI Gothic" w:eastAsia="MS UI Gothic"/>
        </w:rPr>
      </w:pPr>
      <w:r>
        <w:t>发生安全生产事故灾难的有关部门</w:t>
      </w:r>
      <w:r>
        <w:rPr>
          <w:rFonts w:hint="eastAsia" w:ascii="MS UI Gothic" w:eastAsia="MS UI Gothic"/>
          <w:w w:val="80"/>
        </w:rPr>
        <w:t>、</w:t>
      </w:r>
      <w:r>
        <w:rPr>
          <w:w w:val="105"/>
        </w:rPr>
        <w:t>单位要及时</w:t>
      </w:r>
      <w:r>
        <w:rPr>
          <w:rFonts w:hint="eastAsia" w:ascii="MS UI Gothic" w:eastAsia="MS UI Gothic"/>
          <w:w w:val="80"/>
        </w:rPr>
        <w:t xml:space="preserve">、 </w:t>
      </w:r>
      <w:r>
        <w:rPr>
          <w:w w:val="105"/>
        </w:rPr>
        <w:t>主动向国务院安委会办公室</w:t>
      </w:r>
      <w:r>
        <w:rPr>
          <w:rFonts w:hint="eastAsia" w:ascii="MS UI Gothic" w:eastAsia="MS UI Gothic"/>
          <w:w w:val="80"/>
        </w:rPr>
        <w:t xml:space="preserve">、 </w:t>
      </w:r>
      <w:r>
        <w:rPr>
          <w:w w:val="105"/>
        </w:rPr>
        <w:t>国务院有关部门提供与事故应急救援</w:t>
      </w:r>
      <w:r>
        <w:t>有关的资料</w:t>
      </w:r>
      <w:r>
        <w:rPr>
          <w:rFonts w:hint="eastAsia" w:ascii="MS UI Gothic" w:eastAsia="MS UI Gothic"/>
          <w:w w:val="80"/>
        </w:rPr>
        <w:t xml:space="preserve">ꎮ </w:t>
      </w:r>
      <w:r>
        <w:t>事故灾难发生地安全监管部门提供事故前监督检查的有关资料</w:t>
      </w:r>
      <w:r>
        <w:rPr>
          <w:rFonts w:hint="eastAsia" w:ascii="MS UI Gothic" w:eastAsia="MS UI Gothic"/>
          <w:w w:val="80"/>
        </w:rPr>
        <w:t xml:space="preserve">ꎬ </w:t>
      </w:r>
      <w:r>
        <w:t>为国</w:t>
      </w:r>
      <w:r>
        <w:rPr>
          <w:w w:val="105"/>
        </w:rPr>
        <w:t>务院安委会办公室</w:t>
      </w:r>
      <w:r>
        <w:rPr>
          <w:rFonts w:hint="eastAsia" w:ascii="MS UI Gothic" w:eastAsia="MS UI Gothic"/>
          <w:w w:val="80"/>
        </w:rPr>
        <w:t xml:space="preserve">、 </w:t>
      </w:r>
      <w:r>
        <w:rPr>
          <w:w w:val="105"/>
        </w:rPr>
        <w:t>国务院有关部门研究制订救援方案提供参考</w:t>
      </w:r>
      <w:r>
        <w:rPr>
          <w:rFonts w:hint="eastAsia" w:ascii="MS UI Gothic" w:eastAsia="MS UI Gothic"/>
          <w:w w:val="80"/>
        </w:rPr>
        <w:t>ꎮ</w:t>
      </w:r>
    </w:p>
    <w:p>
      <w:pPr>
        <w:pStyle w:val="6"/>
        <w:tabs>
          <w:tab w:val="left" w:pos="1062"/>
        </w:tabs>
        <w:spacing w:line="251" w:lineRule="exact"/>
        <w:ind w:left="538" w:firstLine="0"/>
        <w:jc w:val="left"/>
      </w:pPr>
      <w:r>
        <w:rPr>
          <w:rFonts w:hint="eastAsia" w:ascii="MS UI Gothic" w:eastAsia="MS UI Gothic"/>
        </w:rPr>
        <w:t>３</w:t>
      </w:r>
      <w:r>
        <w:rPr>
          <w:rFonts w:hint="eastAsia" w:ascii="MS UI Gothic" w:eastAsia="MS UI Gothic"/>
          <w:spacing w:val="-16"/>
        </w:rPr>
        <w:t xml:space="preserve"> ２</w:t>
      </w:r>
      <w:r>
        <w:rPr>
          <w:rFonts w:hint="eastAsia" w:ascii="MS UI Gothic" w:eastAsia="MS UI Gothic"/>
        </w:rPr>
        <w:tab/>
      </w:r>
      <w:r>
        <w:rPr>
          <w:spacing w:val="2"/>
        </w:rPr>
        <w:t>预警行动</w:t>
      </w:r>
    </w:p>
    <w:p>
      <w:pPr>
        <w:pStyle w:val="6"/>
        <w:spacing w:before="44" w:line="295" w:lineRule="auto"/>
        <w:ind w:right="442"/>
        <w:rPr>
          <w:rFonts w:hint="eastAsia" w:ascii="MS UI Gothic" w:eastAsia="MS UI Gothic"/>
        </w:rPr>
      </w:pPr>
      <w:r>
        <w:t>各级</w:t>
      </w:r>
      <w:r>
        <w:rPr>
          <w:rFonts w:hint="eastAsia" w:ascii="MS UI Gothic" w:eastAsia="MS UI Gothic"/>
          <w:w w:val="80"/>
        </w:rPr>
        <w:t xml:space="preserve">、 </w:t>
      </w:r>
      <w:r>
        <w:t>各部门安全生产事故灾难应急机构接到可能导致安全生产事故灾难的信息后</w:t>
      </w:r>
      <w:r>
        <w:rPr>
          <w:rFonts w:hint="eastAsia" w:ascii="MS UI Gothic" w:eastAsia="MS UI Gothic"/>
          <w:w w:val="80"/>
        </w:rPr>
        <w:t xml:space="preserve">ꎬ </w:t>
      </w:r>
      <w:r>
        <w:t>按照应急预案及时研究确定应对方案</w:t>
      </w:r>
      <w:r>
        <w:rPr>
          <w:rFonts w:hint="eastAsia" w:ascii="MS UI Gothic" w:eastAsia="MS UI Gothic"/>
          <w:w w:val="80"/>
        </w:rPr>
        <w:t xml:space="preserve">ꎬ </w:t>
      </w:r>
      <w:r>
        <w:t>并通知有关部门</w:t>
      </w:r>
      <w:r>
        <w:rPr>
          <w:rFonts w:hint="eastAsia" w:ascii="MS UI Gothic" w:eastAsia="MS UI Gothic"/>
          <w:w w:val="80"/>
        </w:rPr>
        <w:t xml:space="preserve">、 </w:t>
      </w:r>
      <w:r>
        <w:t>单位采取相应行动预防事故发生</w:t>
      </w:r>
      <w:r>
        <w:rPr>
          <w:rFonts w:hint="eastAsia" w:ascii="MS UI Gothic" w:eastAsia="MS UI Gothic"/>
          <w:w w:val="80"/>
        </w:rPr>
        <w:t>ꎮ</w:t>
      </w:r>
    </w:p>
    <w:p>
      <w:pPr>
        <w:pStyle w:val="6"/>
        <w:spacing w:line="252" w:lineRule="exact"/>
        <w:ind w:left="538" w:firstLine="0"/>
      </w:pPr>
      <w:r>
        <w:rPr>
          <w:rFonts w:hint="eastAsia" w:ascii="MS UI Gothic" w:eastAsia="MS UI Gothic"/>
        </w:rPr>
        <w:t xml:space="preserve">４ </w:t>
      </w:r>
      <w:r>
        <w:t>应急响应</w:t>
      </w:r>
    </w:p>
    <w:p>
      <w:pPr>
        <w:pStyle w:val="6"/>
        <w:tabs>
          <w:tab w:val="left" w:pos="1062"/>
        </w:tabs>
        <w:spacing w:before="58"/>
        <w:ind w:left="538" w:firstLine="0"/>
        <w:jc w:val="left"/>
      </w:pPr>
      <w:r>
        <w:rPr>
          <w:rFonts w:hint="eastAsia" w:ascii="MS UI Gothic" w:eastAsia="MS UI Gothic"/>
        </w:rPr>
        <w:t>４</w:t>
      </w:r>
      <w:r>
        <w:rPr>
          <w:rFonts w:hint="eastAsia" w:ascii="MS UI Gothic" w:eastAsia="MS UI Gothic"/>
          <w:spacing w:val="-16"/>
        </w:rPr>
        <w:t xml:space="preserve"> １</w:t>
      </w:r>
      <w:r>
        <w:rPr>
          <w:rFonts w:hint="eastAsia" w:ascii="MS UI Gothic" w:eastAsia="MS UI Gothic"/>
        </w:rPr>
        <w:tab/>
      </w:r>
      <w:r>
        <w:rPr>
          <w:spacing w:val="2"/>
        </w:rPr>
        <w:t>分级响应</w:t>
      </w:r>
    </w:p>
    <w:p>
      <w:pPr>
        <w:pStyle w:val="6"/>
        <w:spacing w:before="58" w:line="295" w:lineRule="auto"/>
        <w:ind w:left="662" w:right="442" w:hanging="119"/>
        <w:jc w:val="left"/>
      </w:pPr>
      <w:r>
        <w:pict>
          <v:shape id="_x0000_s1298" o:spid="_x0000_s1298" o:spt="202" type="#_x0000_t202" style="position:absolute;left:0pt;margin-left:264.5pt;margin-top:14.9pt;height:24.35pt;width:20.9pt;mso-position-horizontal-relative:page;z-index:-27599974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spacing w:val="-1"/>
                      <w:w w:val="75"/>
                    </w:rPr>
                    <w:t>１</w:t>
                  </w:r>
                  <w:r>
                    <w:rPr>
                      <w:rFonts w:hint="eastAsia" w:ascii="MS UI Gothic" w:eastAsia="MS UI Gothic"/>
                      <w:spacing w:val="-10"/>
                    </w:rPr>
                    <w:t xml:space="preserve"> </w:t>
                  </w:r>
                  <w:r>
                    <w:rPr>
                      <w:rFonts w:hint="eastAsia" w:ascii="MS UI Gothic" w:eastAsia="MS UI Gothic"/>
                      <w:spacing w:val="-4"/>
                      <w:w w:val="75"/>
                    </w:rPr>
                    <w:t>３</w:t>
                  </w:r>
                  <w:r>
                    <w:rPr>
                      <w:rFonts w:hint="eastAsia" w:ascii="MS UI Gothic" w:eastAsia="MS UI Gothic"/>
                      <w:spacing w:val="-9"/>
                      <w:w w:val="168"/>
                    </w:rPr>
                    <w:t>)</w:t>
                  </w:r>
                </w:p>
              </w:txbxContent>
            </v:textbox>
          </v:shape>
        </w:pict>
      </w:r>
      <w:r>
        <w:rPr>
          <w:rFonts w:hint="eastAsia" w:ascii="MS UI Gothic" w:hAnsi="MS UI Gothic" w:eastAsia="MS UI Gothic"/>
          <w:spacing w:val="13"/>
          <w:w w:val="105"/>
        </w:rPr>
        <w:t>Ⅰ</w:t>
      </w:r>
      <w:r>
        <w:rPr>
          <w:spacing w:val="26"/>
          <w:w w:val="105"/>
        </w:rPr>
        <w:t xml:space="preserve">级应急响应行动 </w:t>
      </w:r>
      <w:r>
        <w:rPr>
          <w:rFonts w:hint="eastAsia" w:ascii="MS UI Gothic" w:hAnsi="MS UI Gothic" w:eastAsia="MS UI Gothic"/>
          <w:spacing w:val="-30"/>
          <w:w w:val="150"/>
        </w:rPr>
        <w:t xml:space="preserve">( </w:t>
      </w:r>
      <w:r>
        <w:rPr>
          <w:spacing w:val="30"/>
          <w:w w:val="105"/>
        </w:rPr>
        <w:t>具体标准见</w:t>
      </w:r>
      <w:r>
        <w:rPr>
          <w:spacing w:val="5"/>
        </w:rPr>
        <w:t>由国务院安委会办公室或国务院有</w:t>
      </w:r>
    </w:p>
    <w:p>
      <w:pPr>
        <w:pStyle w:val="6"/>
        <w:spacing w:line="295" w:lineRule="auto"/>
        <w:ind w:right="442" w:firstLine="0"/>
      </w:pPr>
      <w:r>
        <w:rPr>
          <w:spacing w:val="3"/>
        </w:rPr>
        <w:t>关部门组织实施</w:t>
      </w:r>
      <w:r>
        <w:rPr>
          <w:rFonts w:hint="eastAsia" w:ascii="MS UI Gothic" w:hAnsi="MS UI Gothic" w:eastAsia="MS UI Gothic"/>
          <w:spacing w:val="20"/>
          <w:w w:val="80"/>
        </w:rPr>
        <w:t xml:space="preserve">ꎮ </w:t>
      </w:r>
      <w:r>
        <w:rPr>
          <w:spacing w:val="2"/>
        </w:rPr>
        <w:t>当国务院安委会办公室</w:t>
      </w:r>
      <w:r>
        <w:rPr>
          <w:spacing w:val="3"/>
        </w:rPr>
        <w:t>或国务院有关部门进行</w:t>
      </w:r>
      <w:r>
        <w:rPr>
          <w:rFonts w:hint="eastAsia" w:ascii="MS UI Gothic" w:hAnsi="MS UI Gothic" w:eastAsia="MS UI Gothic"/>
          <w:spacing w:val="3"/>
        </w:rPr>
        <w:t>Ⅰ</w:t>
      </w:r>
      <w:r>
        <w:rPr>
          <w:spacing w:val="2"/>
        </w:rPr>
        <w:t>级应急响应行动</w:t>
      </w:r>
      <w:r>
        <w:rPr>
          <w:spacing w:val="3"/>
        </w:rPr>
        <w:t>时</w:t>
      </w:r>
      <w:r>
        <w:rPr>
          <w:rFonts w:hint="eastAsia" w:ascii="MS UI Gothic" w:hAnsi="MS UI Gothic" w:eastAsia="MS UI Gothic"/>
          <w:spacing w:val="20"/>
          <w:w w:val="80"/>
        </w:rPr>
        <w:t xml:space="preserve">ꎬ </w:t>
      </w:r>
      <w:r>
        <w:rPr>
          <w:spacing w:val="2"/>
        </w:rPr>
        <w:t>事发地各级人民政府应当按照相应的</w:t>
      </w:r>
      <w:r>
        <w:rPr>
          <w:spacing w:val="3"/>
        </w:rPr>
        <w:t>预案全力以赴组织救援</w:t>
      </w:r>
      <w:r>
        <w:rPr>
          <w:rFonts w:hint="eastAsia" w:ascii="MS UI Gothic" w:hAnsi="MS UI Gothic" w:eastAsia="MS UI Gothic"/>
          <w:spacing w:val="15"/>
          <w:w w:val="80"/>
        </w:rPr>
        <w:t xml:space="preserve">ꎬ  </w:t>
      </w:r>
      <w:r>
        <w:rPr>
          <w:spacing w:val="2"/>
        </w:rPr>
        <w:t>并及时向国务院</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８３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299" o:spid="_x0000_s1299" o:spt="203" style="height:2.15pt;width:398.25pt;" coordsize="7965,43">
            <o:lock v:ext="edit"/>
            <v:line id="_x0000_s1300" o:spid="_x0000_s1300" o:spt="20" style="position:absolute;left:0;top:39;height:0;width:7965;" stroked="t" coordsize="21600,21600">
              <v:path arrowok="t"/>
              <v:fill focussize="0,0"/>
              <v:stroke weight="0.388031496062992pt" color="#231F20"/>
              <v:imagedata o:title=""/>
              <o:lock v:ext="edit"/>
            </v:line>
            <v:line id="_x0000_s1301" o:spid="_x0000_s130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及国务院安委会办公室</w:t>
      </w:r>
      <w:r>
        <w:rPr>
          <w:rFonts w:hint="eastAsia" w:ascii="MS UI Gothic" w:eastAsia="MS UI Gothic"/>
          <w:w w:val="80"/>
        </w:rPr>
        <w:t xml:space="preserve">、 </w:t>
      </w:r>
      <w:r>
        <w:t>国务院有关部门报告救援工作进展情况</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rPr>
          <w:rFonts w:hint="eastAsia" w:ascii="MS UI Gothic" w:hAnsi="MS UI Gothic" w:eastAsia="MS UI Gothic"/>
        </w:rPr>
        <w:t>Ⅱ</w:t>
      </w:r>
      <w:r>
        <w:t>级及以下应急响应行动的组织实施由省级人民政府决定</w:t>
      </w:r>
      <w:r>
        <w:rPr>
          <w:rFonts w:hint="eastAsia" w:ascii="MS UI Gothic" w:hAnsi="MS UI Gothic" w:eastAsia="MS UI Gothic"/>
          <w:w w:val="80"/>
        </w:rPr>
        <w:t xml:space="preserve">ꎮ </w:t>
      </w:r>
      <w:r>
        <w:t>地方各级人民政府根据事故灾难或险情的严重程度启动相应的应急预案</w:t>
      </w:r>
      <w:r>
        <w:rPr>
          <w:rFonts w:hint="eastAsia" w:ascii="MS UI Gothic" w:hAnsi="MS UI Gothic" w:eastAsia="MS UI Gothic"/>
          <w:w w:val="80"/>
        </w:rPr>
        <w:t xml:space="preserve">ꎬ </w:t>
      </w:r>
      <w:r>
        <w:t>超出其应急救援处置能力时</w:t>
      </w:r>
      <w:r>
        <w:rPr>
          <w:rFonts w:hint="eastAsia" w:ascii="MS UI Gothic" w:hAnsi="MS UI Gothic" w:eastAsia="MS UI Gothic"/>
          <w:w w:val="80"/>
        </w:rPr>
        <w:t xml:space="preserve">ꎬ </w:t>
      </w:r>
      <w:r>
        <w:t>及时报请上一级应急救援指挥机构启</w:t>
      </w:r>
      <w:r>
        <w:rPr>
          <w:w w:val="105"/>
        </w:rPr>
        <w:t>动上一级应急预案实施救援</w:t>
      </w:r>
      <w:r>
        <w:rPr>
          <w:rFonts w:hint="eastAsia" w:ascii="MS UI Gothic" w:hAnsi="MS UI Gothic" w:eastAsia="MS UI Gothic"/>
          <w:w w:val="80"/>
        </w:rPr>
        <w:t>ꎮ</w:t>
      </w:r>
    </w:p>
    <w:p>
      <w:pPr>
        <w:pStyle w:val="6"/>
        <w:spacing w:line="251" w:lineRule="exact"/>
        <w:ind w:left="854" w:firstLine="0"/>
      </w:pPr>
      <w:r>
        <w:rPr>
          <w:rFonts w:hint="eastAsia" w:ascii="MS UI Gothic" w:eastAsia="MS UI Gothic"/>
        </w:rPr>
        <w:t xml:space="preserve">４ １ １ </w:t>
      </w:r>
      <w:r>
        <w:t>国务院有关部门的响应</w:t>
      </w:r>
    </w:p>
    <w:p>
      <w:pPr>
        <w:pStyle w:val="6"/>
        <w:spacing w:before="57" w:line="295" w:lineRule="auto"/>
        <w:ind w:left="440" w:right="1"/>
        <w:rPr>
          <w:rFonts w:hint="eastAsia" w:ascii="MS UI Gothic" w:hAnsi="MS UI Gothic" w:eastAsia="MS UI Gothic"/>
        </w:rPr>
      </w:pPr>
      <w:r>
        <w:rPr>
          <w:rFonts w:hint="eastAsia" w:ascii="MS UI Gothic" w:hAnsi="MS UI Gothic" w:eastAsia="MS UI Gothic"/>
        </w:rPr>
        <w:t>Ⅰ</w:t>
      </w:r>
      <w:r>
        <w:t>级响应时</w:t>
      </w:r>
      <w:r>
        <w:rPr>
          <w:rFonts w:hint="eastAsia" w:ascii="MS UI Gothic" w:hAnsi="MS UI Gothic" w:eastAsia="MS UI Gothic"/>
          <w:w w:val="80"/>
        </w:rPr>
        <w:t xml:space="preserve">ꎬ </w:t>
      </w:r>
      <w:r>
        <w:t>国务院有关部门启动并实施本部门相关的应急预案</w:t>
      </w:r>
      <w:r>
        <w:rPr>
          <w:rFonts w:hint="eastAsia" w:ascii="MS UI Gothic" w:hAnsi="MS UI Gothic" w:eastAsia="MS UI Gothic"/>
          <w:w w:val="80"/>
        </w:rPr>
        <w:t xml:space="preserve">ꎬ </w:t>
      </w:r>
      <w:r>
        <w:t>组织应急救援</w:t>
      </w:r>
      <w:r>
        <w:rPr>
          <w:rFonts w:hint="eastAsia" w:ascii="MS UI Gothic" w:hAnsi="MS UI Gothic" w:eastAsia="MS UI Gothic"/>
          <w:w w:val="80"/>
        </w:rPr>
        <w:t xml:space="preserve">ꎬ </w:t>
      </w:r>
      <w:r>
        <w:t>并及时向国务院及国务院安委会办公室报告救援工作进展情况</w:t>
      </w:r>
      <w:r>
        <w:rPr>
          <w:rFonts w:hint="eastAsia" w:ascii="MS UI Gothic" w:hAnsi="MS UI Gothic" w:eastAsia="MS UI Gothic"/>
          <w:w w:val="80"/>
        </w:rPr>
        <w:t xml:space="preserve">ꎮ </w:t>
      </w:r>
      <w:r>
        <w:t>需要其他部门应急力量支援时</w:t>
      </w:r>
      <w:r>
        <w:rPr>
          <w:rFonts w:hint="eastAsia" w:ascii="MS UI Gothic" w:hAnsi="MS UI Gothic" w:eastAsia="MS UI Gothic"/>
          <w:w w:val="80"/>
        </w:rPr>
        <w:t xml:space="preserve">ꎬ </w:t>
      </w:r>
      <w:r>
        <w:t>及时提出请求</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t>根据发生的安全生产事故灾难的类别</w:t>
      </w:r>
      <w:r>
        <w:rPr>
          <w:rFonts w:hint="eastAsia" w:ascii="MS UI Gothic" w:eastAsia="MS UI Gothic"/>
          <w:w w:val="80"/>
        </w:rPr>
        <w:t xml:space="preserve">ꎬ </w:t>
      </w:r>
      <w:r>
        <w:t>国务院有关部门按照其职责和预案进行响应</w:t>
      </w:r>
      <w:r>
        <w:rPr>
          <w:rFonts w:hint="eastAsia" w:ascii="MS UI Gothic" w:eastAsia="MS UI Gothic"/>
          <w:w w:val="80"/>
        </w:rPr>
        <w:t>ꎮ</w:t>
      </w:r>
    </w:p>
    <w:p>
      <w:pPr>
        <w:pStyle w:val="6"/>
        <w:spacing w:line="254" w:lineRule="exact"/>
        <w:ind w:left="854" w:firstLine="0"/>
      </w:pPr>
      <w:r>
        <w:rPr>
          <w:rFonts w:hint="eastAsia" w:ascii="MS UI Gothic" w:eastAsia="MS UI Gothic"/>
        </w:rPr>
        <w:t xml:space="preserve">４ １ ２ </w:t>
      </w:r>
      <w:r>
        <w:t>国务院安委会办公室的响应</w:t>
      </w:r>
    </w:p>
    <w:p>
      <w:pPr>
        <w:pStyle w:val="6"/>
        <w:spacing w:before="54" w:line="295" w:lineRule="auto"/>
        <w:ind w:left="440" w:right="1"/>
        <w:rPr>
          <w:rFonts w:hint="eastAsia" w:ascii="MS UI Gothic" w:eastAsia="MS UI Gothic"/>
        </w:rPr>
      </w:pPr>
      <w:r>
        <w:rPr>
          <w:rFonts w:hint="eastAsia" w:ascii="MS UI Gothic" w:eastAsia="MS UI Gothic"/>
          <w:w w:val="168"/>
        </w:rPr>
        <w:t>(</w:t>
      </w:r>
      <w:r>
        <w:rPr>
          <w:rFonts w:hint="eastAsia" w:ascii="MS UI Gothic" w:eastAsia="MS UI Gothic"/>
          <w:w w:val="75"/>
        </w:rPr>
        <w:t>１</w:t>
      </w:r>
      <w:r>
        <w:rPr>
          <w:rFonts w:hint="eastAsia" w:ascii="MS UI Gothic" w:eastAsia="MS UI Gothic"/>
          <w:w w:val="168"/>
        </w:rPr>
        <w:t>)</w:t>
      </w:r>
      <w:r>
        <w:rPr>
          <w:rFonts w:hint="eastAsia" w:ascii="MS UI Gothic" w:eastAsia="MS UI Gothic"/>
        </w:rPr>
        <w:t xml:space="preserve">  </w:t>
      </w:r>
      <w:r>
        <w:rPr>
          <w:w w:val="102"/>
        </w:rPr>
        <w:t>及时向国务院报告安全生产事</w:t>
      </w:r>
      <w:r>
        <w:t>故灾难基本情况</w:t>
      </w:r>
      <w:r>
        <w:rPr>
          <w:rFonts w:hint="eastAsia" w:ascii="MS UI Gothic" w:eastAsia="MS UI Gothic"/>
        </w:rPr>
        <w:t xml:space="preserve">、 </w:t>
      </w:r>
      <w:r>
        <w:t>事态发展和救援进展情况</w:t>
      </w:r>
      <w:r>
        <w:rPr>
          <w:rFonts w:hint="eastAsia" w:ascii="MS UI Gothic" w:eastAsia="MS UI Gothic"/>
          <w:w w:val="90"/>
        </w:rPr>
        <w:t>ꎮ</w:t>
      </w:r>
    </w:p>
    <w:p>
      <w:pPr>
        <w:pStyle w:val="6"/>
        <w:spacing w:line="295" w:lineRule="auto"/>
        <w:ind w:left="440" w:right="1"/>
        <w:rPr>
          <w:rFonts w:hint="eastAsia" w:ascii="MS UI Gothic" w:eastAsia="MS UI Gothic"/>
        </w:rPr>
      </w:pPr>
      <w:r>
        <w:rPr>
          <w:rFonts w:hint="eastAsia" w:ascii="MS UI Gothic" w:eastAsia="MS UI Gothic"/>
          <w:w w:val="168"/>
        </w:rPr>
        <w:t>(</w:t>
      </w:r>
      <w:r>
        <w:rPr>
          <w:rFonts w:hint="eastAsia" w:ascii="MS UI Gothic" w:eastAsia="MS UI Gothic"/>
          <w:w w:val="75"/>
        </w:rPr>
        <w:t>２</w:t>
      </w:r>
      <w:r>
        <w:rPr>
          <w:rFonts w:hint="eastAsia" w:ascii="MS UI Gothic" w:eastAsia="MS UI Gothic"/>
          <w:w w:val="168"/>
        </w:rPr>
        <w:t>)</w:t>
      </w:r>
      <w:r>
        <w:rPr>
          <w:rFonts w:hint="eastAsia" w:ascii="MS UI Gothic" w:eastAsia="MS UI Gothic"/>
        </w:rPr>
        <w:t xml:space="preserve">  </w:t>
      </w:r>
      <w:r>
        <w:rPr>
          <w:w w:val="102"/>
        </w:rPr>
        <w:t>开通与事故灾难发生地的省级</w:t>
      </w:r>
      <w:r>
        <w:t>应急救援指挥机构</w:t>
      </w:r>
      <w:r>
        <w:rPr>
          <w:rFonts w:hint="eastAsia" w:ascii="MS UI Gothic" w:eastAsia="MS UI Gothic"/>
        </w:rPr>
        <w:t xml:space="preserve">、 </w:t>
      </w:r>
      <w:r>
        <w:t>现场应急救援指挥部</w:t>
      </w:r>
      <w:r>
        <w:rPr>
          <w:rFonts w:hint="eastAsia" w:ascii="MS UI Gothic" w:eastAsia="MS UI Gothic"/>
        </w:rPr>
        <w:t xml:space="preserve">、 </w:t>
      </w:r>
      <w:r>
        <w:t>相关专业应急救援指挥机构的通信联系</w:t>
      </w:r>
      <w:r>
        <w:rPr>
          <w:rFonts w:hint="eastAsia" w:ascii="MS UI Gothic" w:eastAsia="MS UI Gothic"/>
          <w:w w:val="90"/>
        </w:rPr>
        <w:t xml:space="preserve">ꎬ </w:t>
      </w:r>
      <w:r>
        <w:t>随时掌握事态发展情况</w:t>
      </w:r>
      <w:r>
        <w:rPr>
          <w:rFonts w:hint="eastAsia" w:ascii="MS UI Gothic" w:eastAsia="MS UI Gothic"/>
          <w:w w:val="90"/>
        </w:rPr>
        <w:t>ꎮ</w:t>
      </w:r>
    </w:p>
    <w:p>
      <w:pPr>
        <w:pStyle w:val="6"/>
        <w:spacing w:line="295" w:lineRule="auto"/>
        <w:ind w:left="440"/>
        <w:rPr>
          <w:rFonts w:hint="eastAsia" w:ascii="MS UI Gothic" w:eastAsia="MS UI Gothic"/>
        </w:rPr>
      </w:pPr>
      <w:r>
        <w:rPr>
          <w:rFonts w:hint="eastAsia" w:ascii="MS UI Gothic" w:eastAsia="MS UI Gothic"/>
          <w:w w:val="168"/>
        </w:rPr>
        <w:t>(</w:t>
      </w:r>
      <w:r>
        <w:rPr>
          <w:rFonts w:hint="eastAsia" w:ascii="MS UI Gothic" w:eastAsia="MS UI Gothic"/>
          <w:w w:val="75"/>
        </w:rPr>
        <w:t>３</w:t>
      </w:r>
      <w:r>
        <w:rPr>
          <w:rFonts w:hint="eastAsia" w:ascii="MS UI Gothic" w:eastAsia="MS UI Gothic"/>
          <w:w w:val="168"/>
        </w:rPr>
        <w:t>)</w:t>
      </w:r>
      <w:r>
        <w:rPr>
          <w:rFonts w:hint="eastAsia" w:ascii="MS UI Gothic" w:eastAsia="MS UI Gothic"/>
        </w:rPr>
        <w:t xml:space="preserve">  </w:t>
      </w:r>
      <w:r>
        <w:rPr>
          <w:w w:val="102"/>
        </w:rPr>
        <w:t>根据有关部门和专家的建议</w:t>
      </w:r>
      <w:r>
        <w:rPr>
          <w:rFonts w:hint="eastAsia" w:ascii="MS UI Gothic" w:eastAsia="MS UI Gothic"/>
          <w:w w:val="51"/>
        </w:rPr>
        <w:t>ꎬ</w:t>
      </w:r>
      <w:r>
        <w:t>通知相关应急救援指挥机构随时待命</w:t>
      </w:r>
      <w:r>
        <w:rPr>
          <w:rFonts w:hint="eastAsia" w:ascii="MS UI Gothic" w:eastAsia="MS UI Gothic"/>
          <w:w w:val="90"/>
        </w:rPr>
        <w:t xml:space="preserve">ꎬ </w:t>
      </w:r>
      <w:r>
        <w:t>为地方或专业应急救援指挥机构提供技术支持</w:t>
      </w:r>
      <w:r>
        <w:rPr>
          <w:rFonts w:hint="eastAsia" w:ascii="MS UI Gothic" w:eastAsia="MS UI Gothic"/>
          <w:w w:val="90"/>
        </w:rPr>
        <w:t>ꎮ</w:t>
      </w:r>
    </w:p>
    <w:p>
      <w:pPr>
        <w:pStyle w:val="6"/>
        <w:spacing w:line="295" w:lineRule="auto"/>
        <w:ind w:left="440" w:right="1"/>
        <w:rPr>
          <w:rFonts w:hint="eastAsia" w:ascii="MS UI Gothic" w:eastAsia="MS UI Gothic"/>
        </w:rPr>
      </w:pPr>
      <w:r>
        <w:rPr>
          <w:rFonts w:hint="eastAsia" w:ascii="MS UI Gothic" w:eastAsia="MS UI Gothic"/>
          <w:w w:val="168"/>
        </w:rPr>
        <w:t>(</w:t>
      </w:r>
      <w:r>
        <w:rPr>
          <w:rFonts w:hint="eastAsia" w:ascii="MS UI Gothic" w:eastAsia="MS UI Gothic"/>
          <w:w w:val="75"/>
        </w:rPr>
        <w:t>４</w:t>
      </w:r>
      <w:r>
        <w:rPr>
          <w:rFonts w:hint="eastAsia" w:ascii="MS UI Gothic" w:eastAsia="MS UI Gothic"/>
          <w:w w:val="168"/>
        </w:rPr>
        <w:t>)</w:t>
      </w:r>
      <w:r>
        <w:rPr>
          <w:rFonts w:hint="eastAsia" w:ascii="MS UI Gothic" w:eastAsia="MS UI Gothic"/>
        </w:rPr>
        <w:t xml:space="preserve">  </w:t>
      </w:r>
      <w:r>
        <w:rPr>
          <w:w w:val="102"/>
        </w:rPr>
        <w:t>派出有关人员和专家赶赴现场</w:t>
      </w:r>
      <w:r>
        <w:t>参加</w:t>
      </w:r>
      <w:r>
        <w:rPr>
          <w:rFonts w:hint="eastAsia" w:ascii="MS UI Gothic" w:eastAsia="MS UI Gothic"/>
        </w:rPr>
        <w:t xml:space="preserve">、 </w:t>
      </w:r>
      <w:r>
        <w:t>指导现场应急救援</w:t>
      </w:r>
      <w:r>
        <w:rPr>
          <w:rFonts w:hint="eastAsia" w:ascii="MS UI Gothic" w:eastAsia="MS UI Gothic"/>
          <w:w w:val="90"/>
        </w:rPr>
        <w:t xml:space="preserve">ꎬ </w:t>
      </w:r>
      <w:r>
        <w:t>必要时协调专业应急力量增援</w:t>
      </w:r>
      <w:r>
        <w:rPr>
          <w:rFonts w:hint="eastAsia" w:ascii="MS UI Gothic" w:eastAsia="MS UI Gothic"/>
          <w:w w:val="90"/>
        </w:rPr>
        <w:t>ꎮ</w:t>
      </w:r>
    </w:p>
    <w:p>
      <w:pPr>
        <w:pStyle w:val="6"/>
        <w:spacing w:line="295" w:lineRule="auto"/>
        <w:ind w:left="440"/>
        <w:rPr>
          <w:rFonts w:hint="eastAsia" w:ascii="MS UI Gothic" w:eastAsia="MS UI Gothic"/>
        </w:rPr>
      </w:pPr>
      <w:r>
        <w:rPr>
          <w:rFonts w:hint="eastAsia" w:ascii="MS UI Gothic" w:eastAsia="MS UI Gothic"/>
          <w:w w:val="168"/>
        </w:rPr>
        <w:t>(</w:t>
      </w:r>
      <w:r>
        <w:rPr>
          <w:rFonts w:hint="eastAsia" w:ascii="MS UI Gothic" w:eastAsia="MS UI Gothic"/>
          <w:w w:val="75"/>
        </w:rPr>
        <w:t>５</w:t>
      </w:r>
      <w:r>
        <w:rPr>
          <w:rFonts w:hint="eastAsia" w:ascii="MS UI Gothic" w:eastAsia="MS UI Gothic"/>
          <w:w w:val="168"/>
        </w:rPr>
        <w:t>)</w:t>
      </w:r>
      <w:r>
        <w:rPr>
          <w:rFonts w:hint="eastAsia" w:ascii="MS UI Gothic" w:eastAsia="MS UI Gothic"/>
        </w:rPr>
        <w:t xml:space="preserve">  </w:t>
      </w:r>
      <w:r>
        <w:rPr>
          <w:w w:val="102"/>
        </w:rPr>
        <w:t>对可能或者已经引发自然灾害</w:t>
      </w:r>
      <w:r>
        <w:rPr>
          <w:rFonts w:hint="eastAsia" w:ascii="MS UI Gothic" w:eastAsia="MS UI Gothic"/>
          <w:w w:val="77"/>
        </w:rPr>
        <w:t>、</w:t>
      </w:r>
      <w:r>
        <w:t>公共卫生和社会安全突发事件的</w:t>
      </w:r>
      <w:r>
        <w:rPr>
          <w:rFonts w:hint="eastAsia" w:ascii="MS UI Gothic" w:eastAsia="MS UI Gothic"/>
          <w:w w:val="90"/>
        </w:rPr>
        <w:t xml:space="preserve">ꎬ </w:t>
      </w:r>
      <w:r>
        <w:t>国务院安委会办公室要及时上报国务院</w:t>
      </w:r>
      <w:r>
        <w:rPr>
          <w:rFonts w:hint="eastAsia" w:ascii="MS UI Gothic" w:eastAsia="MS UI Gothic"/>
          <w:w w:val="90"/>
        </w:rPr>
        <w:t xml:space="preserve">ꎬ </w:t>
      </w:r>
      <w:r>
        <w:t>同时负责通报相关领域的应急救援指挥机构</w:t>
      </w:r>
      <w:r>
        <w:rPr>
          <w:rFonts w:hint="eastAsia" w:ascii="MS UI Gothic" w:eastAsia="MS UI Gothic"/>
          <w:w w:val="90"/>
        </w:rPr>
        <w:t>ꎮ</w:t>
      </w:r>
    </w:p>
    <w:p>
      <w:pPr>
        <w:pStyle w:val="6"/>
        <w:spacing w:line="295" w:lineRule="auto"/>
        <w:ind w:left="440" w:right="1"/>
        <w:rPr>
          <w:rFonts w:hint="eastAsia" w:ascii="MS UI Gothic" w:eastAsia="MS UI Gothic"/>
        </w:rPr>
      </w:pPr>
      <w:r>
        <w:rPr>
          <w:rFonts w:hint="eastAsia" w:ascii="MS UI Gothic" w:eastAsia="MS UI Gothic"/>
          <w:w w:val="168"/>
        </w:rPr>
        <w:t>(</w:t>
      </w:r>
      <w:r>
        <w:rPr>
          <w:rFonts w:hint="eastAsia" w:ascii="MS UI Gothic" w:eastAsia="MS UI Gothic"/>
          <w:w w:val="75"/>
        </w:rPr>
        <w:t>６</w:t>
      </w:r>
      <w:r>
        <w:rPr>
          <w:rFonts w:hint="eastAsia" w:ascii="MS UI Gothic" w:eastAsia="MS UI Gothic"/>
          <w:w w:val="168"/>
        </w:rPr>
        <w:t>)</w:t>
      </w:r>
      <w:r>
        <w:rPr>
          <w:rFonts w:hint="eastAsia" w:ascii="MS UI Gothic" w:eastAsia="MS UI Gothic"/>
        </w:rPr>
        <w:t xml:space="preserve">  </w:t>
      </w:r>
      <w:r>
        <w:rPr>
          <w:w w:val="102"/>
        </w:rPr>
        <w:t>组织协调特别重大安全生产事</w:t>
      </w:r>
      <w:r>
        <w:t>故灾难应急救援工作</w:t>
      </w:r>
      <w:r>
        <w:rPr>
          <w:rFonts w:hint="eastAsia" w:ascii="MS UI Gothic" w:eastAsia="MS UI Gothic"/>
          <w:w w:val="90"/>
        </w:rPr>
        <w:t>ꎮ</w:t>
      </w:r>
    </w:p>
    <w:p>
      <w:pPr>
        <w:pStyle w:val="6"/>
        <w:spacing w:line="255" w:lineRule="exact"/>
        <w:ind w:left="860" w:firstLine="0"/>
        <w:rPr>
          <w:rFonts w:hint="eastAsia" w:ascii="MS UI Gothic" w:eastAsia="MS UI Gothic"/>
        </w:rPr>
      </w:pPr>
      <w:r>
        <w:rPr>
          <w:rFonts w:hint="eastAsia" w:ascii="MS UI Gothic" w:eastAsia="MS UI Gothic"/>
          <w:spacing w:val="15"/>
          <w:w w:val="168"/>
        </w:rPr>
        <w:t>(</w:t>
      </w:r>
      <w:r>
        <w:rPr>
          <w:rFonts w:hint="eastAsia" w:ascii="MS UI Gothic" w:eastAsia="MS UI Gothic"/>
          <w:spacing w:val="5"/>
          <w:w w:val="75"/>
        </w:rPr>
        <w:t>７</w:t>
      </w:r>
      <w:r>
        <w:rPr>
          <w:rFonts w:hint="eastAsia" w:ascii="MS UI Gothic" w:eastAsia="MS UI Gothic"/>
          <w:w w:val="168"/>
        </w:rPr>
        <w:t>)</w:t>
      </w:r>
      <w:r>
        <w:rPr>
          <w:rFonts w:hint="eastAsia" w:ascii="MS UI Gothic" w:eastAsia="MS UI Gothic"/>
          <w:spacing w:val="2"/>
        </w:rPr>
        <w:t xml:space="preserve">  </w:t>
      </w:r>
      <w:r>
        <w:rPr>
          <w:spacing w:val="3"/>
          <w:w w:val="102"/>
        </w:rPr>
        <w:t>协调落实其他有关事项</w:t>
      </w:r>
      <w:r>
        <w:rPr>
          <w:rFonts w:hint="eastAsia" w:ascii="MS UI Gothic" w:eastAsia="MS UI Gothic"/>
          <w:w w:val="51"/>
        </w:rPr>
        <w:t>ꎮ</w:t>
      </w:r>
    </w:p>
    <w:p>
      <w:pPr>
        <w:pStyle w:val="6"/>
        <w:spacing w:before="124"/>
        <w:ind w:left="794" w:firstLine="0"/>
      </w:pPr>
      <w:r>
        <w:br w:type="column"/>
      </w:r>
      <w:r>
        <w:rPr>
          <w:rFonts w:hint="eastAsia" w:ascii="MS UI Gothic" w:eastAsia="MS UI Gothic"/>
        </w:rPr>
        <w:t xml:space="preserve">４ ２ </w:t>
      </w:r>
      <w:r>
        <w:t>指挥和协调</w:t>
      </w:r>
    </w:p>
    <w:p>
      <w:pPr>
        <w:pStyle w:val="6"/>
        <w:spacing w:before="58" w:line="295" w:lineRule="auto"/>
        <w:ind w:left="381" w:right="126"/>
        <w:rPr>
          <w:rFonts w:hint="eastAsia" w:ascii="MS UI Gothic" w:hAnsi="MS UI Gothic" w:eastAsia="MS UI Gothic"/>
        </w:rPr>
      </w:pPr>
      <w:r>
        <w:t>进入</w:t>
      </w:r>
      <w:r>
        <w:rPr>
          <w:rFonts w:hint="eastAsia" w:ascii="MS UI Gothic" w:hAnsi="MS UI Gothic" w:eastAsia="MS UI Gothic"/>
        </w:rPr>
        <w:t>Ⅰ</w:t>
      </w:r>
      <w:r>
        <w:t>级响应后</w:t>
      </w:r>
      <w:r>
        <w:rPr>
          <w:rFonts w:hint="eastAsia" w:ascii="MS UI Gothic" w:hAnsi="MS UI Gothic" w:eastAsia="MS UI Gothic"/>
          <w:w w:val="80"/>
        </w:rPr>
        <w:t xml:space="preserve">ꎬ </w:t>
      </w:r>
      <w:r>
        <w:t>国务院有关部门及其专业应急救援指挥机构立即按照预案组织相关应急救援力量</w:t>
      </w:r>
      <w:r>
        <w:rPr>
          <w:rFonts w:hint="eastAsia" w:ascii="MS UI Gothic" w:hAnsi="MS UI Gothic" w:eastAsia="MS UI Gothic"/>
          <w:w w:val="80"/>
        </w:rPr>
        <w:t xml:space="preserve">ꎬ </w:t>
      </w:r>
      <w:r>
        <w:t>配合地方政府组织实施应急救援</w:t>
      </w:r>
      <w:r>
        <w:rPr>
          <w:rFonts w:hint="eastAsia" w:ascii="MS UI Gothic" w:hAnsi="MS UI Gothic" w:eastAsia="MS UI Gothic"/>
          <w:w w:val="80"/>
        </w:rPr>
        <w:t>ꎮ</w:t>
      </w:r>
    </w:p>
    <w:p>
      <w:pPr>
        <w:pStyle w:val="6"/>
        <w:spacing w:line="295" w:lineRule="auto"/>
        <w:ind w:left="381" w:right="126"/>
        <w:rPr>
          <w:rFonts w:hint="eastAsia" w:ascii="MS UI Gothic" w:eastAsia="MS UI Gothic"/>
        </w:rPr>
      </w:pPr>
      <w:r>
        <w:t>国务院安委会办公室根据事故灾难的情况开展应急救援协调工作</w:t>
      </w:r>
      <w:r>
        <w:rPr>
          <w:rFonts w:hint="eastAsia" w:ascii="MS UI Gothic" w:eastAsia="MS UI Gothic"/>
          <w:w w:val="80"/>
        </w:rPr>
        <w:t xml:space="preserve">ꎮ </w:t>
      </w:r>
      <w:r>
        <w:t>通知有关部</w:t>
      </w:r>
      <w:r>
        <w:rPr>
          <w:w w:val="105"/>
        </w:rPr>
        <w:t>门及其应急机构</w:t>
      </w:r>
      <w:r>
        <w:rPr>
          <w:rFonts w:hint="eastAsia" w:ascii="MS UI Gothic" w:eastAsia="MS UI Gothic"/>
          <w:w w:val="80"/>
        </w:rPr>
        <w:t xml:space="preserve">、 </w:t>
      </w:r>
      <w:r>
        <w:rPr>
          <w:w w:val="105"/>
        </w:rPr>
        <w:t xml:space="preserve">救援队伍和事发地毗邻省 </w:t>
      </w:r>
      <w:r>
        <w:rPr>
          <w:rFonts w:hint="eastAsia" w:ascii="MS UI Gothic" w:eastAsia="MS UI Gothic"/>
          <w:w w:val="150"/>
        </w:rPr>
        <w:t xml:space="preserve">( </w:t>
      </w:r>
      <w:r>
        <w:rPr>
          <w:w w:val="105"/>
        </w:rPr>
        <w:t>区</w:t>
      </w:r>
      <w:r>
        <w:rPr>
          <w:rFonts w:hint="eastAsia" w:ascii="MS UI Gothic" w:eastAsia="MS UI Gothic"/>
          <w:w w:val="80"/>
        </w:rPr>
        <w:t xml:space="preserve">、 </w:t>
      </w:r>
      <w:r>
        <w:rPr>
          <w:w w:val="105"/>
        </w:rPr>
        <w:t>市</w:t>
      </w:r>
      <w:r>
        <w:rPr>
          <w:rFonts w:hint="eastAsia" w:ascii="MS UI Gothic" w:eastAsia="MS UI Gothic"/>
          <w:w w:val="150"/>
        </w:rPr>
        <w:t xml:space="preserve">) </w:t>
      </w:r>
      <w:r>
        <w:rPr>
          <w:w w:val="105"/>
        </w:rPr>
        <w:t>人民政府应急救援指挥机</w:t>
      </w:r>
      <w:r>
        <w:t>构</w:t>
      </w:r>
      <w:r>
        <w:rPr>
          <w:rFonts w:hint="eastAsia" w:ascii="MS UI Gothic" w:eastAsia="MS UI Gothic"/>
          <w:w w:val="80"/>
        </w:rPr>
        <w:t xml:space="preserve">ꎬ </w:t>
      </w:r>
      <w:r>
        <w:t>相关机构按照各自应急预案提供增援或保障</w:t>
      </w:r>
      <w:r>
        <w:rPr>
          <w:rFonts w:hint="eastAsia" w:ascii="MS UI Gothic" w:eastAsia="MS UI Gothic"/>
          <w:w w:val="80"/>
        </w:rPr>
        <w:t xml:space="preserve">ꎮ </w:t>
      </w:r>
      <w:r>
        <w:t>有关应急队伍在现场应急救援指挥部统一指挥下</w:t>
      </w:r>
      <w:r>
        <w:rPr>
          <w:rFonts w:hint="eastAsia" w:ascii="MS UI Gothic" w:eastAsia="MS UI Gothic"/>
          <w:w w:val="80"/>
        </w:rPr>
        <w:t xml:space="preserve">ꎬ </w:t>
      </w:r>
      <w:r>
        <w:t>密切配合</w:t>
      </w:r>
      <w:r>
        <w:rPr>
          <w:rFonts w:hint="eastAsia" w:ascii="MS UI Gothic" w:eastAsia="MS UI Gothic"/>
          <w:w w:val="80"/>
        </w:rPr>
        <w:t xml:space="preserve">ꎬ </w:t>
      </w:r>
      <w:r>
        <w:t>共同实施抢</w:t>
      </w:r>
      <w:r>
        <w:rPr>
          <w:w w:val="105"/>
        </w:rPr>
        <w:t>险救援和紧急处置行动</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2"/>
        </w:rPr>
        <w:t>现场应急救援指挥部负责现场应急救</w:t>
      </w:r>
      <w:r>
        <w:rPr>
          <w:spacing w:val="3"/>
        </w:rPr>
        <w:t>援的指挥</w:t>
      </w:r>
      <w:r>
        <w:rPr>
          <w:rFonts w:hint="eastAsia" w:ascii="MS UI Gothic" w:eastAsia="MS UI Gothic"/>
          <w:spacing w:val="20"/>
          <w:w w:val="80"/>
        </w:rPr>
        <w:t xml:space="preserve">ꎬ </w:t>
      </w:r>
      <w:r>
        <w:rPr>
          <w:spacing w:val="10"/>
        </w:rPr>
        <w:t>现场应急救援指挥部成立前</w:t>
      </w:r>
      <w:r>
        <w:rPr>
          <w:rFonts w:hint="eastAsia" w:ascii="MS UI Gothic" w:eastAsia="MS UI Gothic"/>
          <w:w w:val="80"/>
        </w:rPr>
        <w:t>ꎬ</w:t>
      </w:r>
      <w:r>
        <w:rPr>
          <w:spacing w:val="2"/>
        </w:rPr>
        <w:t>事发单位和先期到达的应急救援队伍必须</w:t>
      </w:r>
      <w:r>
        <w:rPr>
          <w:spacing w:val="3"/>
          <w:w w:val="105"/>
        </w:rPr>
        <w:t>迅速</w:t>
      </w:r>
      <w:r>
        <w:rPr>
          <w:rFonts w:hint="eastAsia" w:ascii="MS UI Gothic" w:eastAsia="MS UI Gothic"/>
          <w:w w:val="80"/>
        </w:rPr>
        <w:t xml:space="preserve">、 </w:t>
      </w:r>
      <w:r>
        <w:rPr>
          <w:spacing w:val="3"/>
          <w:w w:val="105"/>
        </w:rPr>
        <w:t>有效地实施先期处置</w:t>
      </w:r>
      <w:r>
        <w:rPr>
          <w:rFonts w:hint="eastAsia" w:ascii="MS UI Gothic" w:eastAsia="MS UI Gothic"/>
          <w:w w:val="80"/>
        </w:rPr>
        <w:t xml:space="preserve">ꎬ </w:t>
      </w:r>
      <w:r>
        <w:rPr>
          <w:spacing w:val="2"/>
          <w:w w:val="105"/>
        </w:rPr>
        <w:t>事故灾难发</w:t>
      </w:r>
      <w:r>
        <w:rPr>
          <w:spacing w:val="3"/>
        </w:rPr>
        <w:t>生地人民政府负责协调</w:t>
      </w:r>
      <w:r>
        <w:rPr>
          <w:rFonts w:hint="eastAsia" w:ascii="MS UI Gothic" w:eastAsia="MS UI Gothic"/>
          <w:spacing w:val="19"/>
          <w:w w:val="80"/>
        </w:rPr>
        <w:t xml:space="preserve">ꎬ </w:t>
      </w:r>
      <w:r>
        <w:rPr>
          <w:spacing w:val="2"/>
        </w:rPr>
        <w:t>全力控制事故灾</w:t>
      </w:r>
      <w:r>
        <w:rPr>
          <w:spacing w:val="3"/>
          <w:w w:val="105"/>
        </w:rPr>
        <w:t>难发展态势</w:t>
      </w:r>
      <w:r>
        <w:rPr>
          <w:rFonts w:hint="eastAsia" w:ascii="MS UI Gothic" w:eastAsia="MS UI Gothic"/>
          <w:w w:val="80"/>
        </w:rPr>
        <w:t xml:space="preserve">ꎬ </w:t>
      </w:r>
      <w:r>
        <w:rPr>
          <w:spacing w:val="3"/>
          <w:w w:val="105"/>
        </w:rPr>
        <w:t>防止次生</w:t>
      </w:r>
      <w:r>
        <w:rPr>
          <w:rFonts w:hint="eastAsia" w:ascii="MS UI Gothic" w:eastAsia="MS UI Gothic"/>
          <w:w w:val="80"/>
        </w:rPr>
        <w:t xml:space="preserve">、 </w:t>
      </w:r>
      <w:r>
        <w:rPr>
          <w:spacing w:val="2"/>
          <w:w w:val="105"/>
        </w:rPr>
        <w:t>衍生和耦合事故</w:t>
      </w:r>
      <w:r>
        <w:rPr>
          <w:rFonts w:hint="eastAsia" w:ascii="MS UI Gothic" w:eastAsia="MS UI Gothic"/>
          <w:spacing w:val="-38"/>
          <w:w w:val="150"/>
        </w:rPr>
        <w:t xml:space="preserve">( </w:t>
      </w:r>
      <w:r>
        <w:rPr>
          <w:spacing w:val="14"/>
          <w:w w:val="105"/>
        </w:rPr>
        <w:t>事件</w:t>
      </w:r>
      <w:r>
        <w:rPr>
          <w:rFonts w:hint="eastAsia" w:ascii="MS UI Gothic" w:eastAsia="MS UI Gothic"/>
          <w:spacing w:val="2"/>
          <w:w w:val="150"/>
        </w:rPr>
        <w:t xml:space="preserve">) </w:t>
      </w:r>
      <w:r>
        <w:rPr>
          <w:spacing w:val="14"/>
          <w:w w:val="105"/>
        </w:rPr>
        <w:t>发生</w:t>
      </w:r>
      <w:r>
        <w:rPr>
          <w:rFonts w:hint="eastAsia" w:ascii="MS UI Gothic" w:eastAsia="MS UI Gothic"/>
          <w:spacing w:val="17"/>
          <w:w w:val="80"/>
        </w:rPr>
        <w:t xml:space="preserve">ꎬ </w:t>
      </w:r>
      <w:r>
        <w:rPr>
          <w:spacing w:val="22"/>
          <w:w w:val="105"/>
        </w:rPr>
        <w:t>果断控制或切断事故灾</w:t>
      </w:r>
      <w:r>
        <w:rPr>
          <w:spacing w:val="3"/>
          <w:w w:val="105"/>
        </w:rPr>
        <w:t>害链</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中央企业发生事故灾难时</w:t>
      </w:r>
      <w:r>
        <w:rPr>
          <w:rFonts w:hint="eastAsia" w:ascii="MS UI Gothic" w:eastAsia="MS UI Gothic"/>
          <w:spacing w:val="15"/>
          <w:w w:val="80"/>
        </w:rPr>
        <w:t xml:space="preserve">ꎬ </w:t>
      </w:r>
      <w:r>
        <w:rPr>
          <w:spacing w:val="2"/>
        </w:rPr>
        <w:t>其总部应</w:t>
      </w:r>
      <w:r>
        <w:rPr>
          <w:spacing w:val="12"/>
        </w:rPr>
        <w:t>全力调动相关资源</w:t>
      </w:r>
      <w:r>
        <w:rPr>
          <w:rFonts w:hint="eastAsia" w:ascii="MS UI Gothic" w:eastAsia="MS UI Gothic"/>
          <w:spacing w:val="23"/>
          <w:w w:val="80"/>
        </w:rPr>
        <w:t xml:space="preserve">ꎬ </w:t>
      </w:r>
      <w:r>
        <w:rPr>
          <w:spacing w:val="16"/>
        </w:rPr>
        <w:t>有效开展应急救援</w:t>
      </w:r>
      <w:r>
        <w:rPr>
          <w:spacing w:val="3"/>
        </w:rPr>
        <w:t>工作</w:t>
      </w:r>
      <w:r>
        <w:rPr>
          <w:rFonts w:hint="eastAsia" w:ascii="MS UI Gothic" w:eastAsia="MS UI Gothic"/>
          <w:w w:val="80"/>
        </w:rPr>
        <w:t>ꎮ</w:t>
      </w:r>
    </w:p>
    <w:p>
      <w:pPr>
        <w:pStyle w:val="6"/>
        <w:spacing w:line="254" w:lineRule="exact"/>
        <w:ind w:left="794" w:firstLine="0"/>
      </w:pPr>
      <w:r>
        <w:rPr>
          <w:rFonts w:hint="eastAsia" w:ascii="MS UI Gothic" w:eastAsia="MS UI Gothic"/>
        </w:rPr>
        <w:t xml:space="preserve">４ ３ </w:t>
      </w:r>
      <w:r>
        <w:t>紧急处置</w:t>
      </w:r>
    </w:p>
    <w:p>
      <w:pPr>
        <w:pStyle w:val="6"/>
        <w:spacing w:before="42" w:line="295" w:lineRule="auto"/>
        <w:ind w:left="381" w:right="126"/>
        <w:rPr>
          <w:rFonts w:hint="eastAsia" w:ascii="MS UI Gothic" w:eastAsia="MS UI Gothic"/>
        </w:rPr>
      </w:pPr>
      <w:r>
        <w:t>现场处置主要依靠本行政区域内的应急处置力量</w:t>
      </w:r>
      <w:r>
        <w:rPr>
          <w:rFonts w:hint="eastAsia" w:ascii="MS UI Gothic" w:eastAsia="MS UI Gothic"/>
          <w:w w:val="80"/>
        </w:rPr>
        <w:t xml:space="preserve">ꎮ </w:t>
      </w:r>
      <w:r>
        <w:t>事故灾难发生后</w:t>
      </w:r>
      <w:r>
        <w:rPr>
          <w:rFonts w:hint="eastAsia" w:ascii="MS UI Gothic" w:eastAsia="MS UI Gothic"/>
          <w:w w:val="80"/>
        </w:rPr>
        <w:t xml:space="preserve">ꎬ </w:t>
      </w:r>
      <w:r>
        <w:t>发生事故的单位和当地人民政府按照应急预案迅速采取措施</w:t>
      </w:r>
      <w:r>
        <w:rPr>
          <w:rFonts w:hint="eastAsia" w:ascii="MS UI Gothic" w:eastAsia="MS UI Gothic"/>
          <w:w w:val="80"/>
        </w:rPr>
        <w:t>ꎮ</w:t>
      </w:r>
    </w:p>
    <w:p>
      <w:pPr>
        <w:pStyle w:val="6"/>
        <w:spacing w:line="295" w:lineRule="auto"/>
        <w:ind w:left="381" w:right="124"/>
        <w:rPr>
          <w:rFonts w:hint="eastAsia" w:ascii="MS UI Gothic" w:eastAsia="MS UI Gothic"/>
        </w:rPr>
      </w:pPr>
      <w:r>
        <w:t>根据事态发展变化情况</w:t>
      </w:r>
      <w:r>
        <w:rPr>
          <w:rFonts w:hint="eastAsia" w:ascii="MS UI Gothic" w:eastAsia="MS UI Gothic"/>
          <w:w w:val="80"/>
        </w:rPr>
        <w:t xml:space="preserve">ꎬ </w:t>
      </w:r>
      <w:r>
        <w:t>出现急剧恶化的特殊险情时</w:t>
      </w:r>
      <w:r>
        <w:rPr>
          <w:rFonts w:hint="eastAsia" w:ascii="MS UI Gothic" w:eastAsia="MS UI Gothic"/>
          <w:w w:val="80"/>
        </w:rPr>
        <w:t xml:space="preserve">ꎬ </w:t>
      </w:r>
      <w:r>
        <w:t>现场应急救援指挥部在充分考虑专家和有关方面意见的基础上</w:t>
      </w:r>
      <w:r>
        <w:rPr>
          <w:rFonts w:hint="eastAsia" w:ascii="MS UI Gothic" w:eastAsia="MS UI Gothic"/>
          <w:w w:val="80"/>
        </w:rPr>
        <w:t>ꎬ</w:t>
      </w:r>
      <w:r>
        <w:t>依法及时采取紧急处置措施</w:t>
      </w:r>
      <w:r>
        <w:rPr>
          <w:rFonts w:hint="eastAsia" w:ascii="MS UI Gothic" w:eastAsia="MS UI Gothic"/>
          <w:w w:val="80"/>
        </w:rPr>
        <w:t>ꎮ</w:t>
      </w:r>
    </w:p>
    <w:p>
      <w:pPr>
        <w:pStyle w:val="6"/>
        <w:spacing w:line="253" w:lineRule="exact"/>
        <w:ind w:left="794" w:firstLine="0"/>
      </w:pPr>
      <w:r>
        <w:rPr>
          <w:rFonts w:hint="eastAsia" w:ascii="MS UI Gothic" w:eastAsia="MS UI Gothic"/>
        </w:rPr>
        <w:t xml:space="preserve">４ ４ </w:t>
      </w:r>
      <w:r>
        <w:t>医疗卫生救助</w:t>
      </w:r>
    </w:p>
    <w:p>
      <w:pPr>
        <w:pStyle w:val="6"/>
        <w:spacing w:before="55" w:line="295" w:lineRule="auto"/>
        <w:ind w:left="381" w:right="126"/>
        <w:jc w:val="left"/>
        <w:rPr>
          <w:rFonts w:hint="eastAsia" w:ascii="MS UI Gothic" w:eastAsia="MS UI Gothic"/>
        </w:rPr>
      </w:pPr>
      <w:r>
        <w:t>事发地卫生行政主管部门负责组织开</w:t>
      </w:r>
      <w:r>
        <w:rPr>
          <w:w w:val="105"/>
        </w:rPr>
        <w:t>展紧急医疗救护和现场卫生处置工作</w:t>
      </w:r>
      <w:r>
        <w:rPr>
          <w:rFonts w:hint="eastAsia" w:ascii="MS UI Gothic" w:eastAsia="MS UI Gothic"/>
          <w:w w:val="80"/>
        </w:rPr>
        <w:t>ꎮ</w:t>
      </w:r>
    </w:p>
    <w:p>
      <w:pPr>
        <w:pStyle w:val="6"/>
        <w:spacing w:line="295" w:lineRule="auto"/>
        <w:ind w:left="381" w:right="126"/>
      </w:pPr>
      <w:r>
        <w:t>卫生部或国务院安委会办公室根据地方人民政府的请求</w:t>
      </w:r>
      <w:r>
        <w:rPr>
          <w:rFonts w:hint="eastAsia" w:ascii="MS UI Gothic" w:eastAsia="MS UI Gothic"/>
          <w:w w:val="80"/>
        </w:rPr>
        <w:t xml:space="preserve">ꎬ </w:t>
      </w:r>
      <w:r>
        <w:t>及时协调有关专业医</w:t>
      </w:r>
      <w:r>
        <w:rPr>
          <w:w w:val="105"/>
        </w:rPr>
        <w:t>疗救护机构和专科医院派出有关专家</w:t>
      </w:r>
      <w:r>
        <w:rPr>
          <w:rFonts w:hint="eastAsia" w:ascii="MS UI Gothic" w:eastAsia="MS UI Gothic"/>
          <w:w w:val="80"/>
        </w:rPr>
        <w:t xml:space="preserve">、 </w:t>
      </w:r>
      <w:r>
        <w:rPr>
          <w:w w:val="105"/>
        </w:rPr>
        <w:t>提</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８４</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02" o:spid="_x0000_s1302" o:spt="203" style="height:2.15pt;width:398.25pt;" coordsize="7965,43">
            <o:lock v:ext="edit"/>
            <v:line id="_x0000_s1303" o:spid="_x0000_s1303" o:spt="20" style="position:absolute;left:0;top:39;height:0;width:7965;" stroked="t" coordsize="21600,21600">
              <v:path arrowok="t"/>
              <v:fill focussize="0,0"/>
              <v:stroke weight="0.388031496062992pt" color="#231F20"/>
              <v:imagedata o:title=""/>
              <o:lock v:ext="edit"/>
            </v:line>
            <v:line id="_x0000_s1304" o:spid="_x0000_s130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jc w:val="left"/>
        <w:rPr>
          <w:rFonts w:hint="eastAsia" w:ascii="MS UI Gothic" w:eastAsia="MS UI Gothic"/>
        </w:rPr>
      </w:pPr>
      <w:r>
        <w:t>供特种药品和特种救治装备进行支援</w:t>
      </w:r>
      <w:r>
        <w:rPr>
          <w:rFonts w:hint="eastAsia" w:ascii="MS UI Gothic" w:eastAsia="MS UI Gothic"/>
          <w:w w:val="80"/>
        </w:rPr>
        <w:t>ꎮ</w:t>
      </w:r>
    </w:p>
    <w:p>
      <w:pPr>
        <w:pStyle w:val="6"/>
        <w:spacing w:before="58" w:line="295" w:lineRule="auto"/>
        <w:ind w:right="39"/>
        <w:rPr>
          <w:rFonts w:hint="eastAsia" w:ascii="MS UI Gothic" w:eastAsia="MS UI Gothic"/>
        </w:rPr>
      </w:pPr>
      <w:r>
        <w:t>事故灾难发生地疾病控制中心根据事故类型</w:t>
      </w:r>
      <w:r>
        <w:rPr>
          <w:rFonts w:hint="eastAsia" w:ascii="MS UI Gothic" w:eastAsia="MS UI Gothic"/>
          <w:w w:val="80"/>
        </w:rPr>
        <w:t xml:space="preserve">ꎬ </w:t>
      </w:r>
      <w:r>
        <w:t>按照专业规程进行现场防疫工作</w:t>
      </w:r>
      <w:r>
        <w:rPr>
          <w:rFonts w:hint="eastAsia" w:ascii="MS UI Gothic" w:eastAsia="MS UI Gothic"/>
          <w:w w:val="80"/>
        </w:rPr>
        <w:t>ꎮ</w:t>
      </w:r>
    </w:p>
    <w:p>
      <w:pPr>
        <w:pStyle w:val="6"/>
        <w:spacing w:line="254" w:lineRule="exact"/>
        <w:ind w:left="538" w:firstLine="0"/>
      </w:pPr>
      <w:r>
        <w:rPr>
          <w:rFonts w:hint="eastAsia" w:ascii="MS UI Gothic" w:eastAsia="MS UI Gothic"/>
        </w:rPr>
        <w:t xml:space="preserve">４ ５ </w:t>
      </w:r>
      <w:r>
        <w:t>应急人员的安全防护</w:t>
      </w:r>
    </w:p>
    <w:p>
      <w:pPr>
        <w:pStyle w:val="6"/>
        <w:spacing w:before="58" w:line="295" w:lineRule="auto"/>
        <w:ind w:right="38"/>
        <w:rPr>
          <w:rFonts w:hint="eastAsia" w:ascii="MS UI Gothic" w:eastAsia="MS UI Gothic"/>
        </w:rPr>
      </w:pPr>
      <w:r>
        <w:t>现场应急救援人员应根据需要携带相应的专业防护装备</w:t>
      </w:r>
      <w:r>
        <w:rPr>
          <w:rFonts w:hint="eastAsia" w:ascii="MS UI Gothic" w:eastAsia="MS UI Gothic"/>
          <w:w w:val="80"/>
        </w:rPr>
        <w:t xml:space="preserve">ꎬ </w:t>
      </w:r>
      <w:r>
        <w:t>采取安全防护措施</w:t>
      </w:r>
      <w:r>
        <w:rPr>
          <w:rFonts w:hint="eastAsia" w:ascii="MS UI Gothic" w:eastAsia="MS UI Gothic"/>
          <w:w w:val="80"/>
        </w:rPr>
        <w:t>ꎬ</w:t>
      </w:r>
      <w:r>
        <w:t>严格执行应急救援人员进入和离开事故现场的相关规定</w:t>
      </w:r>
      <w:r>
        <w:rPr>
          <w:rFonts w:hint="eastAsia" w:ascii="MS UI Gothic" w:eastAsia="MS UI Gothic"/>
          <w:w w:val="80"/>
        </w:rPr>
        <w:t>ꎮ</w:t>
      </w:r>
    </w:p>
    <w:p>
      <w:pPr>
        <w:pStyle w:val="6"/>
        <w:spacing w:line="295" w:lineRule="auto"/>
        <w:ind w:right="39"/>
        <w:rPr>
          <w:rFonts w:hint="eastAsia" w:ascii="MS UI Gothic" w:eastAsia="MS UI Gothic"/>
        </w:rPr>
      </w:pPr>
      <w:r>
        <w:t>现场应急救援指挥部根据需要具体协</w:t>
      </w:r>
      <w:r>
        <w:rPr>
          <w:w w:val="105"/>
        </w:rPr>
        <w:t>调</w:t>
      </w:r>
      <w:r>
        <w:rPr>
          <w:rFonts w:hint="eastAsia" w:ascii="MS UI Gothic" w:eastAsia="MS UI Gothic"/>
          <w:w w:val="80"/>
        </w:rPr>
        <w:t xml:space="preserve">、 </w:t>
      </w:r>
      <w:r>
        <w:rPr>
          <w:w w:val="105"/>
        </w:rPr>
        <w:t>调集相应的安全防护装备</w:t>
      </w:r>
      <w:r>
        <w:rPr>
          <w:rFonts w:hint="eastAsia" w:ascii="MS UI Gothic" w:eastAsia="MS UI Gothic"/>
          <w:w w:val="80"/>
        </w:rPr>
        <w:t>ꎮ</w:t>
      </w:r>
    </w:p>
    <w:p>
      <w:pPr>
        <w:pStyle w:val="6"/>
        <w:spacing w:line="255" w:lineRule="exact"/>
        <w:ind w:left="538" w:firstLine="0"/>
      </w:pPr>
      <w:r>
        <w:rPr>
          <w:rFonts w:hint="eastAsia" w:ascii="MS UI Gothic" w:eastAsia="MS UI Gothic"/>
        </w:rPr>
        <w:t xml:space="preserve">４ ６ </w:t>
      </w:r>
      <w:r>
        <w:t>群众的安全防护</w:t>
      </w:r>
    </w:p>
    <w:p>
      <w:pPr>
        <w:pStyle w:val="6"/>
        <w:spacing w:before="55" w:line="295" w:lineRule="auto"/>
        <w:ind w:right="39"/>
        <w:rPr>
          <w:rFonts w:hint="eastAsia" w:ascii="MS UI Gothic" w:eastAsia="MS UI Gothic"/>
        </w:rPr>
      </w:pPr>
      <w:r>
        <w:t>现场应急救援指挥部负责组织群众的</w:t>
      </w:r>
      <w:r>
        <w:rPr>
          <w:w w:val="110"/>
        </w:rPr>
        <w:t>安全防护工作</w:t>
      </w:r>
      <w:r>
        <w:rPr>
          <w:rFonts w:hint="eastAsia" w:ascii="MS UI Gothic" w:eastAsia="MS UI Gothic"/>
          <w:w w:val="80"/>
        </w:rPr>
        <w:t xml:space="preserve">ꎬ </w:t>
      </w:r>
      <w:r>
        <w:rPr>
          <w:w w:val="110"/>
        </w:rPr>
        <w:t>主要工作内容如下</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68"/>
        </w:rPr>
        <w:t>(</w:t>
      </w:r>
      <w:r>
        <w:rPr>
          <w:rFonts w:hint="eastAsia" w:ascii="MS UI Gothic" w:eastAsia="MS UI Gothic"/>
          <w:w w:val="75"/>
        </w:rPr>
        <w:t>１</w:t>
      </w:r>
      <w:r>
        <w:rPr>
          <w:rFonts w:hint="eastAsia" w:ascii="MS UI Gothic" w:eastAsia="MS UI Gothic"/>
          <w:w w:val="168"/>
        </w:rPr>
        <w:t>)</w:t>
      </w:r>
      <w:r>
        <w:rPr>
          <w:rFonts w:hint="eastAsia" w:ascii="MS UI Gothic" w:eastAsia="MS UI Gothic"/>
        </w:rPr>
        <w:t xml:space="preserve">  </w:t>
      </w:r>
      <w:r>
        <w:rPr>
          <w:w w:val="102"/>
        </w:rPr>
        <w:t>企业应当与当地政府</w:t>
      </w:r>
      <w:r>
        <w:rPr>
          <w:rFonts w:hint="eastAsia" w:ascii="MS UI Gothic" w:eastAsia="MS UI Gothic"/>
          <w:w w:val="77"/>
        </w:rPr>
        <w:t>、</w:t>
      </w:r>
      <w:r>
        <w:rPr>
          <w:rFonts w:hint="eastAsia" w:ascii="MS UI Gothic" w:eastAsia="MS UI Gothic"/>
        </w:rPr>
        <w:t xml:space="preserve">  </w:t>
      </w:r>
      <w:r>
        <w:rPr>
          <w:w w:val="102"/>
        </w:rPr>
        <w:t>社区建</w:t>
      </w:r>
      <w:r>
        <w:t>立应急互动机制</w:t>
      </w:r>
      <w:r>
        <w:rPr>
          <w:rFonts w:hint="eastAsia" w:ascii="MS UI Gothic" w:eastAsia="MS UI Gothic"/>
          <w:w w:val="90"/>
        </w:rPr>
        <w:t xml:space="preserve">ꎬ </w:t>
      </w:r>
      <w:r>
        <w:t>确定保护群众安全需要采取的防护措施</w:t>
      </w:r>
      <w:r>
        <w:rPr>
          <w:rFonts w:hint="eastAsia" w:ascii="MS UI Gothic" w:eastAsia="MS UI Gothic"/>
          <w:w w:val="90"/>
        </w:rPr>
        <w:t>ꎮ</w:t>
      </w:r>
    </w:p>
    <w:p>
      <w:pPr>
        <w:pStyle w:val="6"/>
        <w:spacing w:line="295" w:lineRule="auto"/>
        <w:ind w:right="39"/>
        <w:rPr>
          <w:rFonts w:hint="eastAsia" w:ascii="MS UI Gothic" w:eastAsia="MS UI Gothic"/>
        </w:rPr>
      </w:pPr>
      <w:r>
        <w:rPr>
          <w:rFonts w:hint="eastAsia" w:ascii="MS UI Gothic" w:eastAsia="MS UI Gothic"/>
          <w:w w:val="168"/>
        </w:rPr>
        <w:t>(</w:t>
      </w:r>
      <w:r>
        <w:rPr>
          <w:rFonts w:hint="eastAsia" w:ascii="MS UI Gothic" w:eastAsia="MS UI Gothic"/>
          <w:w w:val="75"/>
        </w:rPr>
        <w:t>２</w:t>
      </w:r>
      <w:r>
        <w:rPr>
          <w:rFonts w:hint="eastAsia" w:ascii="MS UI Gothic" w:eastAsia="MS UI Gothic"/>
          <w:w w:val="168"/>
        </w:rPr>
        <w:t>)</w:t>
      </w:r>
      <w:r>
        <w:rPr>
          <w:rFonts w:hint="eastAsia" w:ascii="MS UI Gothic" w:eastAsia="MS UI Gothic"/>
        </w:rPr>
        <w:t xml:space="preserve">  </w:t>
      </w:r>
      <w:r>
        <w:rPr>
          <w:w w:val="102"/>
        </w:rPr>
        <w:t>决定应急状态下群众疏散</w:t>
      </w:r>
      <w:r>
        <w:rPr>
          <w:rFonts w:hint="eastAsia" w:ascii="MS UI Gothic" w:eastAsia="MS UI Gothic"/>
          <w:w w:val="77"/>
        </w:rPr>
        <w:t>、</w:t>
      </w:r>
      <w:r>
        <w:rPr>
          <w:rFonts w:hint="eastAsia" w:ascii="MS UI Gothic" w:eastAsia="MS UI Gothic"/>
        </w:rPr>
        <w:t xml:space="preserve">  </w:t>
      </w:r>
      <w:r>
        <w:rPr>
          <w:w w:val="102"/>
        </w:rPr>
        <w:t>转</w:t>
      </w:r>
      <w:r>
        <w:t>移和安置的方式</w:t>
      </w:r>
      <w:r>
        <w:rPr>
          <w:rFonts w:hint="eastAsia" w:ascii="MS UI Gothic" w:eastAsia="MS UI Gothic"/>
        </w:rPr>
        <w:t xml:space="preserve">、 </w:t>
      </w:r>
      <w:r>
        <w:t>范围</w:t>
      </w:r>
      <w:r>
        <w:rPr>
          <w:rFonts w:hint="eastAsia" w:ascii="MS UI Gothic" w:eastAsia="MS UI Gothic"/>
        </w:rPr>
        <w:t xml:space="preserve">、 </w:t>
      </w:r>
      <w:r>
        <w:t>路线</w:t>
      </w:r>
      <w:r>
        <w:rPr>
          <w:rFonts w:hint="eastAsia" w:ascii="MS UI Gothic" w:eastAsia="MS UI Gothic"/>
        </w:rPr>
        <w:t xml:space="preserve">、 </w:t>
      </w:r>
      <w:r>
        <w:t>程序</w:t>
      </w:r>
      <w:r>
        <w:rPr>
          <w:rFonts w:hint="eastAsia" w:ascii="MS UI Gothic" w:eastAsia="MS UI Gothic"/>
          <w:w w:val="90"/>
        </w:rPr>
        <w:t>ꎮ</w:t>
      </w:r>
    </w:p>
    <w:p>
      <w:pPr>
        <w:pStyle w:val="6"/>
        <w:spacing w:line="295" w:lineRule="auto"/>
        <w:ind w:right="38"/>
        <w:rPr>
          <w:rFonts w:hint="eastAsia" w:ascii="MS UI Gothic" w:eastAsia="MS UI Gothic"/>
        </w:rPr>
      </w:pPr>
      <w:r>
        <w:rPr>
          <w:rFonts w:hint="eastAsia" w:ascii="MS UI Gothic" w:eastAsia="MS UI Gothic"/>
          <w:w w:val="168"/>
        </w:rPr>
        <w:t>(</w:t>
      </w:r>
      <w:r>
        <w:rPr>
          <w:rFonts w:hint="eastAsia" w:ascii="MS UI Gothic" w:eastAsia="MS UI Gothic"/>
          <w:w w:val="75"/>
        </w:rPr>
        <w:t>３</w:t>
      </w:r>
      <w:r>
        <w:rPr>
          <w:rFonts w:hint="eastAsia" w:ascii="MS UI Gothic" w:eastAsia="MS UI Gothic"/>
          <w:w w:val="168"/>
        </w:rPr>
        <w:t>)</w:t>
      </w:r>
      <w:r>
        <w:rPr>
          <w:rFonts w:hint="eastAsia" w:ascii="MS UI Gothic" w:eastAsia="MS UI Gothic"/>
        </w:rPr>
        <w:t xml:space="preserve">  </w:t>
      </w:r>
      <w:r>
        <w:rPr>
          <w:w w:val="102"/>
        </w:rPr>
        <w:t>指定有关部门负责实施疏散</w:t>
      </w:r>
      <w:r>
        <w:rPr>
          <w:rFonts w:hint="eastAsia" w:ascii="MS UI Gothic" w:eastAsia="MS UI Gothic"/>
          <w:w w:val="77"/>
        </w:rPr>
        <w:t>、</w:t>
      </w:r>
      <w:r>
        <w:t>转移</w:t>
      </w:r>
      <w:r>
        <w:rPr>
          <w:rFonts w:hint="eastAsia" w:ascii="MS UI Gothic" w:eastAsia="MS UI Gothic"/>
          <w:w w:val="90"/>
        </w:rPr>
        <w:t>ꎮ</w:t>
      </w:r>
    </w:p>
    <w:p>
      <w:pPr>
        <w:pStyle w:val="6"/>
        <w:spacing w:line="255" w:lineRule="exact"/>
        <w:ind w:left="543" w:firstLine="0"/>
        <w:rPr>
          <w:rFonts w:hint="eastAsia" w:ascii="MS UI Gothic" w:eastAsia="MS UI Gothic"/>
        </w:rPr>
      </w:pPr>
      <w:r>
        <w:rPr>
          <w:rFonts w:hint="eastAsia" w:ascii="MS UI Gothic" w:eastAsia="MS UI Gothic"/>
          <w:spacing w:val="15"/>
          <w:w w:val="168"/>
        </w:rPr>
        <w:t>(</w:t>
      </w:r>
      <w:r>
        <w:rPr>
          <w:rFonts w:hint="eastAsia" w:ascii="MS UI Gothic" w:eastAsia="MS UI Gothic"/>
          <w:spacing w:val="5"/>
          <w:w w:val="75"/>
        </w:rPr>
        <w:t>４</w:t>
      </w:r>
      <w:r>
        <w:rPr>
          <w:rFonts w:hint="eastAsia" w:ascii="MS UI Gothic" w:eastAsia="MS UI Gothic"/>
          <w:w w:val="168"/>
        </w:rPr>
        <w:t>)</w:t>
      </w:r>
      <w:r>
        <w:rPr>
          <w:rFonts w:hint="eastAsia" w:ascii="MS UI Gothic" w:eastAsia="MS UI Gothic"/>
          <w:spacing w:val="2"/>
        </w:rPr>
        <w:t xml:space="preserve">  </w:t>
      </w:r>
      <w:r>
        <w:rPr>
          <w:spacing w:val="3"/>
          <w:w w:val="102"/>
        </w:rPr>
        <w:t>启用应急避难场所</w:t>
      </w:r>
      <w:r>
        <w:rPr>
          <w:rFonts w:hint="eastAsia" w:ascii="MS UI Gothic" w:eastAsia="MS UI Gothic"/>
          <w:w w:val="51"/>
        </w:rPr>
        <w:t>ꎮ</w:t>
      </w:r>
    </w:p>
    <w:p>
      <w:pPr>
        <w:pStyle w:val="6"/>
        <w:spacing w:before="53"/>
        <w:ind w:left="543" w:firstLine="0"/>
        <w:jc w:val="left"/>
        <w:rPr>
          <w:rFonts w:hint="eastAsia" w:ascii="MS UI Gothic" w:eastAsia="MS UI Gothic"/>
        </w:rPr>
      </w:pPr>
      <w:r>
        <w:rPr>
          <w:rFonts w:hint="eastAsia" w:ascii="MS UI Gothic" w:eastAsia="MS UI Gothic"/>
          <w:spacing w:val="15"/>
          <w:w w:val="168"/>
        </w:rPr>
        <w:t>(</w:t>
      </w:r>
      <w:r>
        <w:rPr>
          <w:rFonts w:hint="eastAsia" w:ascii="MS UI Gothic" w:eastAsia="MS UI Gothic"/>
          <w:spacing w:val="5"/>
          <w:w w:val="75"/>
        </w:rPr>
        <w:t>５</w:t>
      </w:r>
      <w:r>
        <w:rPr>
          <w:rFonts w:hint="eastAsia" w:ascii="MS UI Gothic" w:eastAsia="MS UI Gothic"/>
          <w:w w:val="168"/>
        </w:rPr>
        <w:t>)</w:t>
      </w:r>
      <w:r>
        <w:rPr>
          <w:rFonts w:hint="eastAsia" w:ascii="MS UI Gothic" w:eastAsia="MS UI Gothic"/>
          <w:spacing w:val="2"/>
        </w:rPr>
        <w:t xml:space="preserve">  </w:t>
      </w:r>
      <w:r>
        <w:rPr>
          <w:spacing w:val="3"/>
          <w:w w:val="102"/>
        </w:rPr>
        <w:t>开展医疗防疫和疾病控制工作</w:t>
      </w:r>
      <w:r>
        <w:rPr>
          <w:rFonts w:hint="eastAsia" w:ascii="MS UI Gothic" w:eastAsia="MS UI Gothic"/>
          <w:w w:val="51"/>
        </w:rPr>
        <w:t>ꎮ</w:t>
      </w:r>
    </w:p>
    <w:p>
      <w:pPr>
        <w:pStyle w:val="6"/>
        <w:spacing w:before="58"/>
        <w:ind w:left="543" w:firstLine="0"/>
        <w:jc w:val="left"/>
        <w:rPr>
          <w:rFonts w:hint="eastAsia" w:ascii="MS UI Gothic" w:eastAsia="MS UI Gothic"/>
        </w:rPr>
      </w:pPr>
      <w:r>
        <w:rPr>
          <w:rFonts w:hint="eastAsia" w:ascii="MS UI Gothic" w:eastAsia="MS UI Gothic"/>
          <w:spacing w:val="15"/>
          <w:w w:val="168"/>
        </w:rPr>
        <w:t>(</w:t>
      </w:r>
      <w:r>
        <w:rPr>
          <w:rFonts w:hint="eastAsia" w:ascii="MS UI Gothic" w:eastAsia="MS UI Gothic"/>
          <w:spacing w:val="5"/>
          <w:w w:val="75"/>
        </w:rPr>
        <w:t>６</w:t>
      </w:r>
      <w:r>
        <w:rPr>
          <w:rFonts w:hint="eastAsia" w:ascii="MS UI Gothic" w:eastAsia="MS UI Gothic"/>
          <w:w w:val="168"/>
        </w:rPr>
        <w:t>)</w:t>
      </w:r>
      <w:r>
        <w:rPr>
          <w:rFonts w:hint="eastAsia" w:ascii="MS UI Gothic" w:eastAsia="MS UI Gothic"/>
          <w:spacing w:val="2"/>
        </w:rPr>
        <w:t xml:space="preserve">  </w:t>
      </w:r>
      <w:r>
        <w:rPr>
          <w:spacing w:val="3"/>
          <w:w w:val="102"/>
        </w:rPr>
        <w:t>负责治安管理</w:t>
      </w:r>
      <w:r>
        <w:rPr>
          <w:rFonts w:hint="eastAsia" w:ascii="MS UI Gothic" w:eastAsia="MS UI Gothic"/>
          <w:w w:val="51"/>
        </w:rPr>
        <w:t>ꎮ</w:t>
      </w:r>
    </w:p>
    <w:p>
      <w:pPr>
        <w:pStyle w:val="6"/>
        <w:tabs>
          <w:tab w:val="left" w:pos="1062"/>
        </w:tabs>
        <w:spacing w:before="58"/>
        <w:ind w:left="538" w:firstLine="0"/>
        <w:jc w:val="left"/>
      </w:pPr>
      <w:r>
        <w:rPr>
          <w:rFonts w:hint="eastAsia" w:ascii="MS UI Gothic" w:eastAsia="MS UI Gothic"/>
        </w:rPr>
        <w:t>４</w:t>
      </w:r>
      <w:r>
        <w:rPr>
          <w:rFonts w:hint="eastAsia" w:ascii="MS UI Gothic" w:eastAsia="MS UI Gothic"/>
          <w:spacing w:val="-16"/>
        </w:rPr>
        <w:t xml:space="preserve"> ７</w:t>
      </w:r>
      <w:r>
        <w:rPr>
          <w:rFonts w:hint="eastAsia" w:ascii="MS UI Gothic" w:eastAsia="MS UI Gothic"/>
        </w:rPr>
        <w:tab/>
      </w:r>
      <w:r>
        <w:rPr>
          <w:spacing w:val="2"/>
        </w:rPr>
        <w:t>社会力量的动员与参与</w:t>
      </w:r>
    </w:p>
    <w:p>
      <w:pPr>
        <w:pStyle w:val="6"/>
        <w:spacing w:before="58" w:line="295" w:lineRule="auto"/>
        <w:ind w:right="39"/>
        <w:jc w:val="left"/>
        <w:rPr>
          <w:rFonts w:hint="eastAsia" w:ascii="MS UI Gothic" w:eastAsia="MS UI Gothic"/>
        </w:rPr>
      </w:pPr>
      <w:r>
        <w:rPr>
          <w:spacing w:val="2"/>
        </w:rPr>
        <w:t>现场应急救援指挥部组织调动本行政</w:t>
      </w:r>
      <w:r>
        <w:rPr>
          <w:spacing w:val="3"/>
          <w:w w:val="105"/>
        </w:rPr>
        <w:t>区域社会力量参与应急救援工作</w:t>
      </w:r>
      <w:r>
        <w:rPr>
          <w:rFonts w:hint="eastAsia" w:ascii="MS UI Gothic" w:eastAsia="MS UI Gothic"/>
          <w:w w:val="80"/>
        </w:rPr>
        <w:t>ꎮ</w:t>
      </w:r>
    </w:p>
    <w:p>
      <w:pPr>
        <w:pStyle w:val="6"/>
        <w:spacing w:line="295" w:lineRule="auto"/>
        <w:ind w:right="39"/>
        <w:rPr>
          <w:rFonts w:hint="eastAsia" w:ascii="MS UI Gothic" w:eastAsia="MS UI Gothic"/>
        </w:rPr>
      </w:pPr>
      <w:r>
        <w:t>超出事发地省级人民政府处置能力时</w:t>
      </w:r>
      <w:r>
        <w:rPr>
          <w:rFonts w:hint="eastAsia" w:ascii="MS UI Gothic" w:eastAsia="MS UI Gothic"/>
          <w:w w:val="80"/>
        </w:rPr>
        <w:t xml:space="preserve">ꎬ </w:t>
      </w:r>
      <w:r>
        <w:t>省级人民政府向国务院申请本行政区域外的社会力量支援</w:t>
      </w:r>
      <w:r>
        <w:rPr>
          <w:rFonts w:hint="eastAsia" w:ascii="MS UI Gothic" w:eastAsia="MS UI Gothic"/>
          <w:w w:val="80"/>
        </w:rPr>
        <w:t xml:space="preserve">ꎬ </w:t>
      </w:r>
      <w:r>
        <w:t>国务院办公厅协调</w:t>
      </w:r>
      <w:r>
        <w:rPr>
          <w:w w:val="105"/>
        </w:rPr>
        <w:t>有关省级人民政府</w:t>
      </w:r>
      <w:r>
        <w:rPr>
          <w:rFonts w:hint="eastAsia" w:ascii="MS UI Gothic" w:eastAsia="MS UI Gothic"/>
          <w:w w:val="80"/>
        </w:rPr>
        <w:t xml:space="preserve">、 </w:t>
      </w:r>
      <w:r>
        <w:rPr>
          <w:w w:val="105"/>
        </w:rPr>
        <w:t>国务院有关部门组织社会力量进行支援</w:t>
      </w:r>
      <w:r>
        <w:rPr>
          <w:rFonts w:hint="eastAsia" w:ascii="MS UI Gothic" w:eastAsia="MS UI Gothic"/>
          <w:w w:val="80"/>
        </w:rPr>
        <w:t>ꎮ</w:t>
      </w:r>
    </w:p>
    <w:p>
      <w:pPr>
        <w:pStyle w:val="6"/>
        <w:spacing w:line="252" w:lineRule="exact"/>
        <w:ind w:left="538" w:firstLine="0"/>
      </w:pPr>
      <w:r>
        <w:rPr>
          <w:rFonts w:hint="eastAsia" w:ascii="MS UI Gothic" w:eastAsia="MS UI Gothic"/>
        </w:rPr>
        <w:t xml:space="preserve">４ ８ </w:t>
      </w:r>
      <w:r>
        <w:t>现场检测与评估</w:t>
      </w:r>
    </w:p>
    <w:p>
      <w:pPr>
        <w:pStyle w:val="6"/>
        <w:spacing w:before="57" w:line="295" w:lineRule="auto"/>
        <w:ind w:right="39"/>
        <w:rPr>
          <w:rFonts w:hint="eastAsia" w:ascii="MS UI Gothic" w:eastAsia="MS UI Gothic"/>
        </w:rPr>
      </w:pPr>
      <w:r>
        <w:t>根据需要</w:t>
      </w:r>
      <w:r>
        <w:rPr>
          <w:rFonts w:hint="eastAsia" w:ascii="MS UI Gothic" w:eastAsia="MS UI Gothic"/>
          <w:w w:val="80"/>
        </w:rPr>
        <w:t xml:space="preserve">ꎬ </w:t>
      </w:r>
      <w:r>
        <w:t>现场应急救援指挥部成立事故现场检测</w:t>
      </w:r>
      <w:r>
        <w:rPr>
          <w:rFonts w:hint="eastAsia" w:ascii="MS UI Gothic" w:eastAsia="MS UI Gothic"/>
          <w:w w:val="80"/>
        </w:rPr>
        <w:t xml:space="preserve">、 </w:t>
      </w:r>
      <w:r>
        <w:t>鉴定与评估小组</w:t>
      </w:r>
      <w:r>
        <w:rPr>
          <w:rFonts w:hint="eastAsia" w:ascii="MS UI Gothic" w:eastAsia="MS UI Gothic"/>
          <w:w w:val="80"/>
        </w:rPr>
        <w:t xml:space="preserve">ꎬ </w:t>
      </w:r>
      <w:r>
        <w:t>综合分析和评价检测数据</w:t>
      </w:r>
      <w:r>
        <w:rPr>
          <w:rFonts w:hint="eastAsia" w:ascii="MS UI Gothic" w:eastAsia="MS UI Gothic"/>
          <w:w w:val="80"/>
        </w:rPr>
        <w:t xml:space="preserve">ꎬ </w:t>
      </w:r>
      <w:r>
        <w:t>查找事故原因</w:t>
      </w:r>
      <w:r>
        <w:rPr>
          <w:rFonts w:hint="eastAsia" w:ascii="MS UI Gothic" w:eastAsia="MS UI Gothic"/>
          <w:w w:val="80"/>
        </w:rPr>
        <w:t xml:space="preserve">ꎬ </w:t>
      </w:r>
      <w:r>
        <w:t>评估事故发展趋势</w:t>
      </w:r>
      <w:r>
        <w:rPr>
          <w:rFonts w:hint="eastAsia" w:ascii="MS UI Gothic" w:eastAsia="MS UI Gothic"/>
          <w:w w:val="80"/>
        </w:rPr>
        <w:t xml:space="preserve">ꎬ </w:t>
      </w:r>
      <w:r>
        <w:t>预测事故后果</w:t>
      </w:r>
      <w:r>
        <w:rPr>
          <w:rFonts w:hint="eastAsia" w:ascii="MS UI Gothic" w:eastAsia="MS UI Gothic"/>
          <w:w w:val="80"/>
        </w:rPr>
        <w:t xml:space="preserve">ꎬ </w:t>
      </w:r>
      <w:r>
        <w:t>为制订现场抢救方案和事故调查提供参考</w:t>
      </w:r>
      <w:r>
        <w:rPr>
          <w:rFonts w:hint="eastAsia" w:ascii="MS UI Gothic" w:eastAsia="MS UI Gothic"/>
          <w:w w:val="80"/>
        </w:rPr>
        <w:t xml:space="preserve">ꎮ </w:t>
      </w:r>
      <w:r>
        <w:t>检测与评估报告要及时上报</w:t>
      </w:r>
      <w:r>
        <w:rPr>
          <w:rFonts w:hint="eastAsia" w:ascii="MS UI Gothic" w:eastAsia="MS UI Gothic"/>
          <w:w w:val="80"/>
        </w:rPr>
        <w:t>ꎮ</w:t>
      </w:r>
    </w:p>
    <w:p>
      <w:pPr>
        <w:pStyle w:val="6"/>
        <w:tabs>
          <w:tab w:val="left" w:pos="1062"/>
        </w:tabs>
        <w:spacing w:before="123"/>
        <w:ind w:left="538" w:firstLine="0"/>
        <w:jc w:val="left"/>
      </w:pPr>
      <w:r>
        <w:br w:type="column"/>
      </w:r>
      <w:r>
        <w:rPr>
          <w:rFonts w:hint="eastAsia" w:ascii="MS UI Gothic" w:eastAsia="MS UI Gothic"/>
        </w:rPr>
        <w:t>４</w:t>
      </w:r>
      <w:r>
        <w:rPr>
          <w:rFonts w:hint="eastAsia" w:ascii="MS UI Gothic" w:eastAsia="MS UI Gothic"/>
          <w:spacing w:val="-16"/>
        </w:rPr>
        <w:t xml:space="preserve"> ９</w:t>
      </w:r>
      <w:r>
        <w:rPr>
          <w:rFonts w:hint="eastAsia" w:ascii="MS UI Gothic" w:eastAsia="MS UI Gothic"/>
        </w:rPr>
        <w:tab/>
      </w:r>
      <w:r>
        <w:rPr>
          <w:spacing w:val="2"/>
        </w:rPr>
        <w:t>信息发布</w:t>
      </w:r>
    </w:p>
    <w:p>
      <w:pPr>
        <w:pStyle w:val="6"/>
        <w:spacing w:before="58" w:line="295" w:lineRule="auto"/>
        <w:ind w:right="442"/>
        <w:rPr>
          <w:rFonts w:hint="eastAsia" w:ascii="MS UI Gothic" w:eastAsia="MS UI Gothic"/>
        </w:rPr>
      </w:pPr>
      <w:r>
        <w:t>国务院安委会办公室会同有关部门具体负责特别重大安全生产事故灾难信息的</w:t>
      </w:r>
      <w:r>
        <w:rPr>
          <w:w w:val="105"/>
        </w:rPr>
        <w:t>发布工作</w:t>
      </w:r>
      <w:r>
        <w:rPr>
          <w:rFonts w:hint="eastAsia" w:ascii="MS UI Gothic" w:eastAsia="MS UI Gothic"/>
          <w:w w:val="80"/>
        </w:rPr>
        <w:t>ꎮ</w:t>
      </w:r>
    </w:p>
    <w:p>
      <w:pPr>
        <w:pStyle w:val="6"/>
        <w:tabs>
          <w:tab w:val="left" w:pos="1164"/>
        </w:tabs>
        <w:spacing w:line="254" w:lineRule="exact"/>
        <w:ind w:left="538" w:firstLine="0"/>
        <w:jc w:val="left"/>
      </w:pPr>
      <w:r>
        <w:rPr>
          <w:rFonts w:hint="eastAsia" w:ascii="MS UI Gothic" w:eastAsia="MS UI Gothic"/>
        </w:rPr>
        <w:t>４</w:t>
      </w:r>
      <w:r>
        <w:rPr>
          <w:rFonts w:hint="eastAsia" w:ascii="MS UI Gothic" w:eastAsia="MS UI Gothic"/>
          <w:spacing w:val="-15"/>
        </w:rPr>
        <w:t xml:space="preserve"> １０</w:t>
      </w:r>
      <w:r>
        <w:rPr>
          <w:rFonts w:hint="eastAsia" w:ascii="MS UI Gothic" w:eastAsia="MS UI Gothic"/>
        </w:rPr>
        <w:tab/>
      </w:r>
      <w:r>
        <w:rPr>
          <w:spacing w:val="2"/>
        </w:rPr>
        <w:t>应急结束</w:t>
      </w:r>
    </w:p>
    <w:p>
      <w:pPr>
        <w:pStyle w:val="6"/>
        <w:spacing w:before="58" w:line="295" w:lineRule="auto"/>
        <w:ind w:right="440"/>
        <w:rPr>
          <w:rFonts w:hint="eastAsia" w:ascii="MS UI Gothic" w:eastAsia="MS UI Gothic"/>
        </w:rPr>
      </w:pPr>
      <w:r>
        <w:t>当遇险人员全部得救</w:t>
      </w:r>
      <w:r>
        <w:rPr>
          <w:rFonts w:hint="eastAsia" w:ascii="MS UI Gothic" w:eastAsia="MS UI Gothic"/>
          <w:w w:val="80"/>
        </w:rPr>
        <w:t xml:space="preserve">ꎬ </w:t>
      </w:r>
      <w:r>
        <w:t>事故现场得以控制</w:t>
      </w:r>
      <w:r>
        <w:rPr>
          <w:rFonts w:hint="eastAsia" w:ascii="MS UI Gothic" w:eastAsia="MS UI Gothic"/>
          <w:w w:val="80"/>
        </w:rPr>
        <w:t xml:space="preserve">ꎬ </w:t>
      </w:r>
      <w:r>
        <w:t>环境符合有关标准</w:t>
      </w:r>
      <w:r>
        <w:rPr>
          <w:rFonts w:hint="eastAsia" w:ascii="MS UI Gothic" w:eastAsia="MS UI Gothic"/>
          <w:w w:val="80"/>
        </w:rPr>
        <w:t xml:space="preserve">ꎬ </w:t>
      </w:r>
      <w:r>
        <w:t>导致次生</w:t>
      </w:r>
      <w:r>
        <w:rPr>
          <w:rFonts w:hint="eastAsia" w:ascii="MS UI Gothic" w:eastAsia="MS UI Gothic"/>
          <w:w w:val="80"/>
        </w:rPr>
        <w:t xml:space="preserve">、 </w:t>
      </w:r>
      <w:r>
        <w:t>衍生事故隐患消除后</w:t>
      </w:r>
      <w:r>
        <w:rPr>
          <w:rFonts w:hint="eastAsia" w:ascii="MS UI Gothic" w:eastAsia="MS UI Gothic"/>
          <w:w w:val="80"/>
        </w:rPr>
        <w:t xml:space="preserve">ꎬ </w:t>
      </w:r>
      <w:r>
        <w:t>经现场应急救援指挥部确认和批准</w:t>
      </w:r>
      <w:r>
        <w:rPr>
          <w:rFonts w:hint="eastAsia" w:ascii="MS UI Gothic" w:eastAsia="MS UI Gothic"/>
          <w:w w:val="80"/>
        </w:rPr>
        <w:t xml:space="preserve">ꎬ </w:t>
      </w:r>
      <w:r>
        <w:t>现场应急处置工作结束</w:t>
      </w:r>
      <w:r>
        <w:rPr>
          <w:rFonts w:hint="eastAsia" w:ascii="MS UI Gothic" w:eastAsia="MS UI Gothic"/>
          <w:w w:val="80"/>
        </w:rPr>
        <w:t>ꎬ</w:t>
      </w:r>
      <w:r>
        <w:t>应急救援队伍撤离现场</w:t>
      </w:r>
      <w:r>
        <w:rPr>
          <w:rFonts w:hint="eastAsia" w:ascii="MS UI Gothic" w:eastAsia="MS UI Gothic"/>
          <w:w w:val="80"/>
        </w:rPr>
        <w:t xml:space="preserve">ꎮ </w:t>
      </w:r>
      <w:r>
        <w:t>由事故发生地省级人民政府宣布应急结束</w:t>
      </w:r>
      <w:r>
        <w:rPr>
          <w:rFonts w:hint="eastAsia" w:ascii="MS UI Gothic" w:eastAsia="MS UI Gothic"/>
          <w:w w:val="80"/>
        </w:rPr>
        <w:t>ꎮ</w:t>
      </w:r>
    </w:p>
    <w:p>
      <w:pPr>
        <w:pStyle w:val="6"/>
        <w:spacing w:line="251" w:lineRule="exact"/>
        <w:ind w:left="538" w:firstLine="0"/>
      </w:pPr>
      <w:r>
        <w:rPr>
          <w:rFonts w:hint="eastAsia" w:ascii="MS UI Gothic" w:eastAsia="MS UI Gothic"/>
        </w:rPr>
        <w:t xml:space="preserve">５ </w:t>
      </w:r>
      <w:r>
        <w:t>后期处置</w:t>
      </w:r>
    </w:p>
    <w:p>
      <w:pPr>
        <w:pStyle w:val="6"/>
        <w:tabs>
          <w:tab w:val="left" w:pos="1062"/>
        </w:tabs>
        <w:spacing w:before="58"/>
        <w:ind w:left="538" w:firstLine="0"/>
        <w:jc w:val="left"/>
      </w:pPr>
      <w:r>
        <w:rPr>
          <w:rFonts w:hint="eastAsia" w:ascii="MS UI Gothic" w:eastAsia="MS UI Gothic"/>
        </w:rPr>
        <w:t>５</w:t>
      </w:r>
      <w:r>
        <w:rPr>
          <w:rFonts w:hint="eastAsia" w:ascii="MS UI Gothic" w:eastAsia="MS UI Gothic"/>
          <w:spacing w:val="-16"/>
        </w:rPr>
        <w:t xml:space="preserve"> １</w:t>
      </w:r>
      <w:r>
        <w:rPr>
          <w:rFonts w:hint="eastAsia" w:ascii="MS UI Gothic" w:eastAsia="MS UI Gothic"/>
        </w:rPr>
        <w:tab/>
      </w:r>
      <w:r>
        <w:rPr>
          <w:spacing w:val="2"/>
        </w:rPr>
        <w:t>善后处置</w:t>
      </w:r>
    </w:p>
    <w:p>
      <w:pPr>
        <w:pStyle w:val="6"/>
        <w:spacing w:before="59" w:line="295" w:lineRule="auto"/>
        <w:ind w:right="442"/>
        <w:rPr>
          <w:rFonts w:hint="eastAsia" w:ascii="MS UI Gothic" w:eastAsia="MS UI Gothic"/>
        </w:rPr>
      </w:pPr>
      <w:r>
        <w:t xml:space="preserve">省级人民政府会同相关部门 </w:t>
      </w:r>
      <w:r>
        <w:rPr>
          <w:rFonts w:hint="eastAsia" w:ascii="MS UI Gothic" w:eastAsia="MS UI Gothic"/>
          <w:w w:val="150"/>
        </w:rPr>
        <w:t xml:space="preserve">( </w:t>
      </w:r>
      <w:r>
        <w:t>单位</w:t>
      </w:r>
      <w:r>
        <w:rPr>
          <w:rFonts w:hint="eastAsia" w:ascii="MS UI Gothic" w:eastAsia="MS UI Gothic"/>
          <w:w w:val="150"/>
        </w:rPr>
        <w:t xml:space="preserve">) </w:t>
      </w:r>
      <w:r>
        <w:t>负责组织特别重大安全生产事故灾难的善后处置工作</w:t>
      </w:r>
      <w:r>
        <w:rPr>
          <w:rFonts w:hint="eastAsia" w:ascii="MS UI Gothic" w:eastAsia="MS UI Gothic"/>
          <w:w w:val="80"/>
        </w:rPr>
        <w:t xml:space="preserve">ꎬ </w:t>
      </w:r>
      <w:r>
        <w:t>包括人员安置</w:t>
      </w:r>
      <w:r>
        <w:rPr>
          <w:rFonts w:hint="eastAsia" w:ascii="MS UI Gothic" w:eastAsia="MS UI Gothic"/>
          <w:w w:val="80"/>
        </w:rPr>
        <w:t xml:space="preserve">、 </w:t>
      </w:r>
      <w:r>
        <w:t>补偿</w:t>
      </w:r>
      <w:r>
        <w:rPr>
          <w:rFonts w:hint="eastAsia" w:ascii="MS UI Gothic" w:eastAsia="MS UI Gothic"/>
          <w:w w:val="80"/>
        </w:rPr>
        <w:t xml:space="preserve">ꎬ </w:t>
      </w:r>
      <w:r>
        <w:t>征用物资补偿</w:t>
      </w:r>
      <w:r>
        <w:rPr>
          <w:rFonts w:hint="eastAsia" w:ascii="MS UI Gothic" w:eastAsia="MS UI Gothic"/>
          <w:w w:val="80"/>
        </w:rPr>
        <w:t xml:space="preserve">ꎬ </w:t>
      </w:r>
      <w:r>
        <w:t>灾后重建</w:t>
      </w:r>
      <w:r>
        <w:rPr>
          <w:rFonts w:hint="eastAsia" w:ascii="MS UI Gothic" w:eastAsia="MS UI Gothic"/>
          <w:w w:val="80"/>
        </w:rPr>
        <w:t xml:space="preserve">ꎬ </w:t>
      </w:r>
      <w:r>
        <w:t>污染物收集</w:t>
      </w:r>
      <w:r>
        <w:rPr>
          <w:rFonts w:hint="eastAsia" w:ascii="MS UI Gothic" w:eastAsia="MS UI Gothic"/>
          <w:w w:val="80"/>
        </w:rPr>
        <w:t xml:space="preserve">、 </w:t>
      </w:r>
      <w:r>
        <w:t>清理与处理等事项</w:t>
      </w:r>
      <w:r>
        <w:rPr>
          <w:rFonts w:hint="eastAsia" w:ascii="MS UI Gothic" w:eastAsia="MS UI Gothic"/>
          <w:w w:val="80"/>
        </w:rPr>
        <w:t xml:space="preserve">ꎮ </w:t>
      </w:r>
      <w:r>
        <w:t>尽快消除事故影响</w:t>
      </w:r>
      <w:r>
        <w:rPr>
          <w:rFonts w:hint="eastAsia" w:ascii="MS UI Gothic" w:eastAsia="MS UI Gothic"/>
          <w:w w:val="80"/>
        </w:rPr>
        <w:t xml:space="preserve">ꎬ </w:t>
      </w:r>
      <w:r>
        <w:t>妥善安置和慰问受害及受影响人员</w:t>
      </w:r>
      <w:r>
        <w:rPr>
          <w:rFonts w:hint="eastAsia" w:ascii="MS UI Gothic" w:eastAsia="MS UI Gothic"/>
          <w:w w:val="80"/>
        </w:rPr>
        <w:t xml:space="preserve">ꎬ </w:t>
      </w:r>
      <w:r>
        <w:t>保证社会稳定</w:t>
      </w:r>
      <w:r>
        <w:rPr>
          <w:rFonts w:hint="eastAsia" w:ascii="MS UI Gothic" w:eastAsia="MS UI Gothic"/>
          <w:w w:val="80"/>
        </w:rPr>
        <w:t xml:space="preserve">ꎬ </w:t>
      </w:r>
      <w:r>
        <w:t>尽快恢复正常秩序</w:t>
      </w:r>
      <w:r>
        <w:rPr>
          <w:rFonts w:hint="eastAsia" w:ascii="MS UI Gothic" w:eastAsia="MS UI Gothic"/>
          <w:w w:val="80"/>
        </w:rPr>
        <w:t>ꎮ</w:t>
      </w:r>
    </w:p>
    <w:p>
      <w:pPr>
        <w:pStyle w:val="6"/>
        <w:tabs>
          <w:tab w:val="left" w:pos="1062"/>
        </w:tabs>
        <w:spacing w:line="251" w:lineRule="exact"/>
        <w:ind w:left="538" w:firstLine="0"/>
        <w:jc w:val="left"/>
      </w:pPr>
      <w:r>
        <w:rPr>
          <w:rFonts w:hint="eastAsia" w:ascii="MS UI Gothic" w:eastAsia="MS UI Gothic"/>
        </w:rPr>
        <w:t>５</w:t>
      </w:r>
      <w:r>
        <w:rPr>
          <w:rFonts w:hint="eastAsia" w:ascii="MS UI Gothic" w:eastAsia="MS UI Gothic"/>
          <w:spacing w:val="-16"/>
        </w:rPr>
        <w:t xml:space="preserve"> ２</w:t>
      </w:r>
      <w:r>
        <w:rPr>
          <w:rFonts w:hint="eastAsia" w:ascii="MS UI Gothic" w:eastAsia="MS UI Gothic"/>
        </w:rPr>
        <w:tab/>
      </w:r>
      <w:r>
        <w:rPr>
          <w:spacing w:val="1"/>
        </w:rPr>
        <w:t>保险</w:t>
      </w:r>
    </w:p>
    <w:p>
      <w:pPr>
        <w:pStyle w:val="6"/>
        <w:spacing w:before="58" w:line="295" w:lineRule="auto"/>
        <w:ind w:right="442"/>
        <w:rPr>
          <w:rFonts w:hint="eastAsia" w:ascii="MS UI Gothic" w:eastAsia="MS UI Gothic"/>
        </w:rPr>
      </w:pPr>
      <w:r>
        <w:t>安全生产事故灾难发生后</w:t>
      </w:r>
      <w:r>
        <w:rPr>
          <w:rFonts w:hint="eastAsia" w:ascii="MS UI Gothic" w:eastAsia="MS UI Gothic"/>
          <w:w w:val="80"/>
        </w:rPr>
        <w:t xml:space="preserve">ꎬ </w:t>
      </w:r>
      <w:r>
        <w:t>保险机构及时开展应急救援人员保险受理和受灾人</w:t>
      </w:r>
      <w:r>
        <w:rPr>
          <w:w w:val="105"/>
        </w:rPr>
        <w:t>员保险理赔工作</w:t>
      </w:r>
      <w:r>
        <w:rPr>
          <w:rFonts w:hint="eastAsia" w:ascii="MS UI Gothic" w:eastAsia="MS UI Gothic"/>
          <w:w w:val="80"/>
        </w:rPr>
        <w:t>ꎮ</w:t>
      </w:r>
    </w:p>
    <w:p>
      <w:pPr>
        <w:pStyle w:val="6"/>
        <w:spacing w:line="295" w:lineRule="auto"/>
        <w:ind w:right="442" w:firstLine="413"/>
      </w:pPr>
      <w:r>
        <w:rPr>
          <w:rFonts w:hint="eastAsia" w:ascii="MS UI Gothic" w:eastAsia="MS UI Gothic"/>
        </w:rPr>
        <w:t xml:space="preserve">５ ３ </w:t>
      </w:r>
      <w:r>
        <w:t>事故灾难调查报告</w:t>
      </w:r>
      <w:r>
        <w:rPr>
          <w:rFonts w:hint="eastAsia" w:ascii="MS UI Gothic" w:eastAsia="MS UI Gothic"/>
        </w:rPr>
        <w:t xml:space="preserve">、 </w:t>
      </w:r>
      <w:r>
        <w:t>经验教训总结及改进建议</w:t>
      </w:r>
    </w:p>
    <w:p>
      <w:pPr>
        <w:pStyle w:val="6"/>
        <w:spacing w:line="295" w:lineRule="auto"/>
        <w:ind w:right="442"/>
        <w:rPr>
          <w:rFonts w:hint="eastAsia" w:ascii="MS UI Gothic" w:eastAsia="MS UI Gothic"/>
        </w:rPr>
      </w:pPr>
      <w:r>
        <w:t>特别重大安全生产事故灾难由国务院安全生产监督管理部门负责组成调查组进行调查</w:t>
      </w:r>
      <w:r>
        <w:rPr>
          <w:rFonts w:hint="eastAsia" w:ascii="MS UI Gothic" w:eastAsia="MS UI Gothic"/>
          <w:w w:val="80"/>
        </w:rPr>
        <w:t xml:space="preserve">ꎻ </w:t>
      </w:r>
      <w:r>
        <w:t>必要时</w:t>
      </w:r>
      <w:r>
        <w:rPr>
          <w:rFonts w:hint="eastAsia" w:ascii="MS UI Gothic" w:eastAsia="MS UI Gothic"/>
          <w:w w:val="80"/>
        </w:rPr>
        <w:t xml:space="preserve">ꎬ </w:t>
      </w:r>
      <w:r>
        <w:t>国务院直接组成调查组</w:t>
      </w:r>
      <w:r>
        <w:rPr>
          <w:w w:val="105"/>
        </w:rPr>
        <w:t>或者授权有关部门组成调查组</w:t>
      </w:r>
      <w:r>
        <w:rPr>
          <w:rFonts w:hint="eastAsia" w:ascii="MS UI Gothic" w:eastAsia="MS UI Gothic"/>
          <w:w w:val="80"/>
        </w:rPr>
        <w:t>ꎮ</w:t>
      </w:r>
    </w:p>
    <w:p>
      <w:pPr>
        <w:pStyle w:val="6"/>
        <w:spacing w:line="295" w:lineRule="auto"/>
        <w:ind w:right="442"/>
        <w:rPr>
          <w:rFonts w:hint="eastAsia" w:ascii="MS UI Gothic" w:eastAsia="MS UI Gothic"/>
        </w:rPr>
      </w:pPr>
      <w:r>
        <w:t>安全生产事故灾难善后处置工作结束后</w:t>
      </w:r>
      <w:r>
        <w:rPr>
          <w:rFonts w:hint="eastAsia" w:ascii="MS UI Gothic" w:eastAsia="MS UI Gothic"/>
          <w:w w:val="80"/>
        </w:rPr>
        <w:t xml:space="preserve">ꎬ </w:t>
      </w:r>
      <w:r>
        <w:t>现场应急救援指挥部分析总结应急救援经验教训</w:t>
      </w:r>
      <w:r>
        <w:rPr>
          <w:rFonts w:hint="eastAsia" w:ascii="MS UI Gothic" w:eastAsia="MS UI Gothic"/>
          <w:w w:val="80"/>
        </w:rPr>
        <w:t xml:space="preserve">ꎬ </w:t>
      </w:r>
      <w:r>
        <w:t>提出改进应急救援工作的建议</w:t>
      </w:r>
      <w:r>
        <w:rPr>
          <w:rFonts w:hint="eastAsia" w:ascii="MS UI Gothic" w:eastAsia="MS UI Gothic"/>
          <w:w w:val="80"/>
        </w:rPr>
        <w:t xml:space="preserve">ꎬ </w:t>
      </w:r>
      <w:r>
        <w:t>完成应急救援总结报告并及时上报</w:t>
      </w:r>
      <w:r>
        <w:rPr>
          <w:rFonts w:hint="eastAsia" w:ascii="MS UI Gothic" w:eastAsia="MS UI Gothic"/>
          <w:w w:val="80"/>
        </w:rPr>
        <w:t>ꎮ</w:t>
      </w:r>
    </w:p>
    <w:p>
      <w:pPr>
        <w:pStyle w:val="6"/>
        <w:spacing w:line="253" w:lineRule="exact"/>
        <w:ind w:left="538" w:firstLine="0"/>
      </w:pPr>
      <w:r>
        <w:rPr>
          <w:rFonts w:hint="eastAsia" w:ascii="MS UI Gothic" w:eastAsia="MS UI Gothic"/>
        </w:rPr>
        <w:t xml:space="preserve">６ </w:t>
      </w:r>
      <w:r>
        <w:t>保障措施</w:t>
      </w:r>
    </w:p>
    <w:p>
      <w:pPr>
        <w:pStyle w:val="6"/>
        <w:spacing w:before="51"/>
        <w:ind w:left="538" w:firstLine="0"/>
      </w:pPr>
      <w:r>
        <w:rPr>
          <w:rFonts w:hint="eastAsia" w:ascii="MS UI Gothic" w:eastAsia="MS UI Gothic"/>
        </w:rPr>
        <w:t xml:space="preserve">６ １ </w:t>
      </w:r>
      <w:r>
        <w:t>通信与信息保障</w:t>
      </w:r>
    </w:p>
    <w:p>
      <w:pPr>
        <w:pStyle w:val="6"/>
        <w:spacing w:before="58" w:line="295" w:lineRule="auto"/>
        <w:ind w:right="442"/>
      </w:pPr>
      <w:r>
        <w:t>建立健全国家安全生产事故灾难应急救援综合信息网络系统和重大安全生产事故灾难信息报告系统</w:t>
      </w:r>
      <w:r>
        <w:rPr>
          <w:rFonts w:hint="eastAsia" w:ascii="MS UI Gothic" w:eastAsia="MS UI Gothic"/>
          <w:w w:val="80"/>
        </w:rPr>
        <w:t xml:space="preserve">ꎻ </w:t>
      </w:r>
      <w:r>
        <w:t>建立完善救援力量</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８５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05" o:spid="_x0000_s1305" o:spt="203" style="height:2.15pt;width:398.25pt;" coordsize="7965,43">
            <o:lock v:ext="edit"/>
            <v:line id="_x0000_s1306" o:spid="_x0000_s1306" o:spt="20" style="position:absolute;left:0;top:39;height:0;width:7965;" stroked="t" coordsize="21600,21600">
              <v:path arrowok="t"/>
              <v:fill focussize="0,0"/>
              <v:stroke weight="0.388031496062992pt" color="#231F20"/>
              <v:imagedata o:title=""/>
              <o:lock v:ext="edit"/>
            </v:line>
            <v:line id="_x0000_s1307" o:spid="_x0000_s130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和资源信息数据库</w:t>
      </w:r>
      <w:r>
        <w:rPr>
          <w:rFonts w:hint="eastAsia" w:ascii="MS UI Gothic" w:eastAsia="MS UI Gothic"/>
          <w:w w:val="80"/>
        </w:rPr>
        <w:t xml:space="preserve">ꎻ </w:t>
      </w:r>
      <w:r>
        <w:t>规范信息获取</w:t>
      </w:r>
      <w:r>
        <w:rPr>
          <w:rFonts w:hint="eastAsia" w:ascii="MS UI Gothic" w:eastAsia="MS UI Gothic"/>
          <w:w w:val="80"/>
        </w:rPr>
        <w:t xml:space="preserve">、 </w:t>
      </w:r>
      <w:r>
        <w:t>分析</w:t>
      </w:r>
      <w:r>
        <w:rPr>
          <w:rFonts w:hint="eastAsia" w:ascii="MS UI Gothic" w:eastAsia="MS UI Gothic"/>
          <w:w w:val="80"/>
        </w:rPr>
        <w:t xml:space="preserve">、 </w:t>
      </w:r>
      <w:r>
        <w:t>发布</w:t>
      </w:r>
      <w:r>
        <w:rPr>
          <w:rFonts w:hint="eastAsia" w:ascii="MS UI Gothic" w:eastAsia="MS UI Gothic"/>
          <w:w w:val="80"/>
        </w:rPr>
        <w:t xml:space="preserve">、 </w:t>
      </w:r>
      <w:r>
        <w:t>报送格式和程序</w:t>
      </w:r>
      <w:r>
        <w:rPr>
          <w:rFonts w:hint="eastAsia" w:ascii="MS UI Gothic" w:eastAsia="MS UI Gothic"/>
          <w:w w:val="80"/>
        </w:rPr>
        <w:t xml:space="preserve">ꎬ </w:t>
      </w:r>
      <w:r>
        <w:t>保证应急机构之间的信息资源共享</w:t>
      </w:r>
      <w:r>
        <w:rPr>
          <w:rFonts w:hint="eastAsia" w:ascii="MS UI Gothic" w:eastAsia="MS UI Gothic"/>
          <w:w w:val="80"/>
        </w:rPr>
        <w:t xml:space="preserve">ꎬ </w:t>
      </w:r>
      <w:r>
        <w:t>为应急决策提供相关信息支持</w:t>
      </w:r>
      <w:r>
        <w:rPr>
          <w:rFonts w:hint="eastAsia" w:ascii="MS UI Gothic" w:eastAsia="MS UI Gothic"/>
          <w:w w:val="80"/>
        </w:rPr>
        <w:t>ꎮ</w:t>
      </w:r>
    </w:p>
    <w:p>
      <w:pPr>
        <w:pStyle w:val="6"/>
        <w:spacing w:line="295" w:lineRule="auto"/>
        <w:ind w:left="440" w:right="1"/>
        <w:rPr>
          <w:rFonts w:hint="eastAsia" w:ascii="MS UI Gothic" w:eastAsia="MS UI Gothic"/>
        </w:rPr>
      </w:pPr>
      <w:r>
        <w:t>有关部门应急救援指挥机构和省级应</w:t>
      </w:r>
      <w:r>
        <w:rPr>
          <w:w w:val="105"/>
        </w:rPr>
        <w:t>急救援指挥机构负责本部门</w:t>
      </w:r>
      <w:r>
        <w:rPr>
          <w:rFonts w:hint="eastAsia" w:ascii="MS UI Gothic" w:eastAsia="MS UI Gothic"/>
          <w:w w:val="80"/>
        </w:rPr>
        <w:t xml:space="preserve">、 </w:t>
      </w:r>
      <w:r>
        <w:rPr>
          <w:w w:val="105"/>
        </w:rPr>
        <w:t>本地区相关信息收集</w:t>
      </w:r>
      <w:r>
        <w:rPr>
          <w:rFonts w:hint="eastAsia" w:ascii="MS UI Gothic" w:eastAsia="MS UI Gothic"/>
          <w:w w:val="80"/>
        </w:rPr>
        <w:t xml:space="preserve">、 </w:t>
      </w:r>
      <w:r>
        <w:rPr>
          <w:w w:val="105"/>
        </w:rPr>
        <w:t>分析和处理</w:t>
      </w:r>
      <w:r>
        <w:rPr>
          <w:rFonts w:hint="eastAsia" w:ascii="MS UI Gothic" w:eastAsia="MS UI Gothic"/>
          <w:w w:val="80"/>
        </w:rPr>
        <w:t xml:space="preserve">ꎬ </w:t>
      </w:r>
      <w:r>
        <w:rPr>
          <w:w w:val="105"/>
        </w:rPr>
        <w:t>定期向国务院安</w:t>
      </w:r>
      <w:r>
        <w:t>委会办公室报送有关信息</w:t>
      </w:r>
      <w:r>
        <w:rPr>
          <w:rFonts w:hint="eastAsia" w:ascii="MS UI Gothic" w:eastAsia="MS UI Gothic"/>
          <w:w w:val="80"/>
        </w:rPr>
        <w:t xml:space="preserve">ꎬ </w:t>
      </w:r>
      <w:r>
        <w:t>重要信息和变更信息要及时报送</w:t>
      </w:r>
      <w:r>
        <w:rPr>
          <w:rFonts w:hint="eastAsia" w:ascii="MS UI Gothic" w:eastAsia="MS UI Gothic"/>
          <w:w w:val="80"/>
        </w:rPr>
        <w:t xml:space="preserve">ꎬ </w:t>
      </w:r>
      <w:r>
        <w:t>国务院安委会办公室</w:t>
      </w:r>
      <w:r>
        <w:rPr>
          <w:w w:val="105"/>
        </w:rPr>
        <w:t>负责收集</w:t>
      </w:r>
      <w:r>
        <w:rPr>
          <w:rFonts w:hint="eastAsia" w:ascii="MS UI Gothic" w:eastAsia="MS UI Gothic"/>
          <w:w w:val="80"/>
        </w:rPr>
        <w:t xml:space="preserve">、 </w:t>
      </w:r>
      <w:r>
        <w:rPr>
          <w:w w:val="105"/>
        </w:rPr>
        <w:t>分析和处理全国安全生产事故灾难应急救援有关信息</w:t>
      </w:r>
      <w:r>
        <w:rPr>
          <w:rFonts w:hint="eastAsia" w:ascii="MS UI Gothic" w:eastAsia="MS UI Gothic"/>
          <w:w w:val="80"/>
        </w:rPr>
        <w:t>ꎮ</w:t>
      </w:r>
    </w:p>
    <w:p>
      <w:pPr>
        <w:pStyle w:val="6"/>
        <w:spacing w:line="251" w:lineRule="exact"/>
        <w:ind w:left="854" w:firstLine="0"/>
      </w:pPr>
      <w:r>
        <w:rPr>
          <w:rFonts w:hint="eastAsia" w:ascii="MS UI Gothic" w:eastAsia="MS UI Gothic"/>
        </w:rPr>
        <w:t>６</w:t>
      </w:r>
      <w:r>
        <w:rPr>
          <w:rFonts w:hint="eastAsia" w:ascii="MS UI Gothic" w:eastAsia="MS UI Gothic"/>
          <w:spacing w:val="-4"/>
        </w:rPr>
        <w:t xml:space="preserve"> ２   </w:t>
      </w:r>
      <w:r>
        <w:rPr>
          <w:spacing w:val="2"/>
        </w:rPr>
        <w:t>应急支援与保障</w:t>
      </w:r>
    </w:p>
    <w:p>
      <w:pPr>
        <w:pStyle w:val="6"/>
        <w:tabs>
          <w:tab w:val="left" w:pos="1583"/>
        </w:tabs>
        <w:spacing w:before="55"/>
        <w:ind w:left="854" w:firstLine="0"/>
        <w:jc w:val="left"/>
      </w:pPr>
      <w:r>
        <w:rPr>
          <w:rFonts w:hint="eastAsia" w:ascii="MS UI Gothic" w:eastAsia="MS UI Gothic"/>
        </w:rPr>
        <w:t>６</w:t>
      </w:r>
      <w:r>
        <w:rPr>
          <w:rFonts w:hint="eastAsia" w:ascii="MS UI Gothic" w:eastAsia="MS UI Gothic"/>
          <w:spacing w:val="-19"/>
        </w:rPr>
        <w:t xml:space="preserve"> ２ １</w:t>
      </w:r>
      <w:r>
        <w:rPr>
          <w:rFonts w:hint="eastAsia" w:ascii="MS UI Gothic" w:eastAsia="MS UI Gothic"/>
        </w:rPr>
        <w:tab/>
      </w:r>
      <w:r>
        <w:rPr>
          <w:spacing w:val="2"/>
        </w:rPr>
        <w:t>救援装备保障</w:t>
      </w:r>
    </w:p>
    <w:p>
      <w:pPr>
        <w:pStyle w:val="6"/>
        <w:spacing w:before="58" w:line="295" w:lineRule="auto"/>
        <w:ind w:left="440" w:right="1"/>
        <w:rPr>
          <w:rFonts w:hint="eastAsia" w:ascii="MS UI Gothic" w:eastAsia="MS UI Gothic"/>
        </w:rPr>
      </w:pPr>
      <w:r>
        <w:t>各专业应急救援队伍和企业根据实际情况和需要配备必要的应急救援装备</w:t>
      </w:r>
      <w:r>
        <w:rPr>
          <w:rFonts w:hint="eastAsia" w:ascii="MS UI Gothic" w:eastAsia="MS UI Gothic"/>
          <w:w w:val="80"/>
        </w:rPr>
        <w:t xml:space="preserve">ꎮ </w:t>
      </w:r>
      <w:r>
        <w:t>专业应急救援指挥机构应当掌握本专业的特种救援装备情况</w:t>
      </w:r>
      <w:r>
        <w:rPr>
          <w:rFonts w:hint="eastAsia" w:ascii="MS UI Gothic" w:eastAsia="MS UI Gothic"/>
          <w:w w:val="80"/>
        </w:rPr>
        <w:t xml:space="preserve">ꎬ </w:t>
      </w:r>
      <w:r>
        <w:t>各专业队伍按规程配备</w:t>
      </w:r>
      <w:r>
        <w:rPr>
          <w:w w:val="105"/>
        </w:rPr>
        <w:t>救援装备</w:t>
      </w:r>
      <w:r>
        <w:rPr>
          <w:rFonts w:hint="eastAsia" w:ascii="MS UI Gothic" w:eastAsia="MS UI Gothic"/>
          <w:w w:val="80"/>
        </w:rPr>
        <w:t>ꎮ</w:t>
      </w:r>
    </w:p>
    <w:p>
      <w:pPr>
        <w:pStyle w:val="6"/>
        <w:tabs>
          <w:tab w:val="left" w:pos="1583"/>
        </w:tabs>
        <w:spacing w:line="252" w:lineRule="exact"/>
        <w:ind w:left="854" w:firstLine="0"/>
        <w:jc w:val="left"/>
      </w:pPr>
      <w:r>
        <w:rPr>
          <w:rFonts w:hint="eastAsia" w:ascii="MS UI Gothic" w:eastAsia="MS UI Gothic"/>
        </w:rPr>
        <w:t>６</w:t>
      </w:r>
      <w:r>
        <w:rPr>
          <w:rFonts w:hint="eastAsia" w:ascii="MS UI Gothic" w:eastAsia="MS UI Gothic"/>
          <w:spacing w:val="-19"/>
        </w:rPr>
        <w:t xml:space="preserve"> ２ ２</w:t>
      </w:r>
      <w:r>
        <w:rPr>
          <w:rFonts w:hint="eastAsia" w:ascii="MS UI Gothic" w:eastAsia="MS UI Gothic"/>
        </w:rPr>
        <w:tab/>
      </w:r>
      <w:r>
        <w:rPr>
          <w:spacing w:val="2"/>
        </w:rPr>
        <w:t>应急队伍保障</w:t>
      </w:r>
    </w:p>
    <w:p>
      <w:pPr>
        <w:pStyle w:val="6"/>
        <w:spacing w:before="58" w:line="295" w:lineRule="auto"/>
        <w:ind w:left="440" w:right="1"/>
        <w:rPr>
          <w:rFonts w:hint="eastAsia" w:ascii="MS UI Gothic" w:eastAsia="MS UI Gothic"/>
        </w:rPr>
      </w:pPr>
      <w:r>
        <w:rPr>
          <w:w w:val="105"/>
        </w:rPr>
        <w:t>矿山</w:t>
      </w:r>
      <w:r>
        <w:rPr>
          <w:rFonts w:hint="eastAsia" w:ascii="MS UI Gothic" w:eastAsia="MS UI Gothic"/>
          <w:w w:val="80"/>
        </w:rPr>
        <w:t xml:space="preserve">、 </w:t>
      </w:r>
      <w:r>
        <w:rPr>
          <w:w w:val="105"/>
        </w:rPr>
        <w:t>危险化学品</w:t>
      </w:r>
      <w:r>
        <w:rPr>
          <w:rFonts w:hint="eastAsia" w:ascii="MS UI Gothic" w:eastAsia="MS UI Gothic"/>
          <w:w w:val="80"/>
        </w:rPr>
        <w:t xml:space="preserve">、 </w:t>
      </w:r>
      <w:r>
        <w:rPr>
          <w:w w:val="105"/>
        </w:rPr>
        <w:t>交通运输等行业</w:t>
      </w:r>
      <w:r>
        <w:t>或领域的企业应当依法组建和完善救援队</w:t>
      </w:r>
      <w:r>
        <w:rPr>
          <w:w w:val="105"/>
        </w:rPr>
        <w:t>伍</w:t>
      </w:r>
      <w:r>
        <w:rPr>
          <w:rFonts w:hint="eastAsia" w:ascii="MS UI Gothic" w:eastAsia="MS UI Gothic"/>
          <w:w w:val="80"/>
        </w:rPr>
        <w:t xml:space="preserve">ꎮ </w:t>
      </w:r>
      <w:r>
        <w:rPr>
          <w:w w:val="105"/>
        </w:rPr>
        <w:t>各级</w:t>
      </w:r>
      <w:r>
        <w:rPr>
          <w:rFonts w:hint="eastAsia" w:ascii="MS UI Gothic" w:eastAsia="MS UI Gothic"/>
          <w:w w:val="80"/>
        </w:rPr>
        <w:t xml:space="preserve">、 </w:t>
      </w:r>
      <w:r>
        <w:rPr>
          <w:w w:val="105"/>
        </w:rPr>
        <w:t>各行业安全生产应急救援机构</w:t>
      </w:r>
      <w:r>
        <w:t>负责检查并掌握相关应急救援力量的建设</w:t>
      </w:r>
      <w:r>
        <w:rPr>
          <w:w w:val="105"/>
        </w:rPr>
        <w:t>和准备情况</w:t>
      </w:r>
      <w:r>
        <w:rPr>
          <w:rFonts w:hint="eastAsia" w:ascii="MS UI Gothic" w:eastAsia="MS UI Gothic"/>
          <w:w w:val="80"/>
        </w:rPr>
        <w:t>ꎮ</w:t>
      </w:r>
    </w:p>
    <w:p>
      <w:pPr>
        <w:pStyle w:val="6"/>
        <w:tabs>
          <w:tab w:val="left" w:pos="1583"/>
        </w:tabs>
        <w:spacing w:line="252" w:lineRule="exact"/>
        <w:ind w:left="854" w:firstLine="0"/>
        <w:jc w:val="left"/>
      </w:pPr>
      <w:r>
        <w:rPr>
          <w:rFonts w:hint="eastAsia" w:ascii="MS UI Gothic" w:eastAsia="MS UI Gothic"/>
        </w:rPr>
        <w:t>６</w:t>
      </w:r>
      <w:r>
        <w:rPr>
          <w:rFonts w:hint="eastAsia" w:ascii="MS UI Gothic" w:eastAsia="MS UI Gothic"/>
          <w:spacing w:val="-19"/>
        </w:rPr>
        <w:t xml:space="preserve"> ２ ３</w:t>
      </w:r>
      <w:r>
        <w:rPr>
          <w:rFonts w:hint="eastAsia" w:ascii="MS UI Gothic" w:eastAsia="MS UI Gothic"/>
        </w:rPr>
        <w:tab/>
      </w:r>
      <w:r>
        <w:rPr>
          <w:spacing w:val="2"/>
        </w:rPr>
        <w:t>交通运输保障</w:t>
      </w:r>
    </w:p>
    <w:p>
      <w:pPr>
        <w:pStyle w:val="6"/>
        <w:spacing w:before="58" w:line="295" w:lineRule="auto"/>
        <w:ind w:left="440"/>
        <w:rPr>
          <w:rFonts w:hint="eastAsia" w:ascii="MS UI Gothic" w:eastAsia="MS UI Gothic"/>
        </w:rPr>
      </w:pPr>
      <w:r>
        <w:t>发生特别重大安全生产事故灾难后</w:t>
      </w:r>
      <w:r>
        <w:rPr>
          <w:rFonts w:hint="eastAsia" w:ascii="MS UI Gothic" w:eastAsia="MS UI Gothic"/>
          <w:w w:val="80"/>
        </w:rPr>
        <w:t>ꎬ</w:t>
      </w:r>
      <w:r>
        <w:t>国务院安委会办公室或有关部门根据救援需要及时协调民航</w:t>
      </w:r>
      <w:r>
        <w:rPr>
          <w:rFonts w:hint="eastAsia" w:ascii="MS UI Gothic" w:eastAsia="MS UI Gothic"/>
          <w:w w:val="80"/>
        </w:rPr>
        <w:t xml:space="preserve">、 </w:t>
      </w:r>
      <w:r>
        <w:t>交通和铁路等行政主管部门提供交通运输保障</w:t>
      </w:r>
      <w:r>
        <w:rPr>
          <w:rFonts w:hint="eastAsia" w:ascii="MS UI Gothic" w:eastAsia="MS UI Gothic"/>
          <w:w w:val="80"/>
        </w:rPr>
        <w:t xml:space="preserve">ꎮ </w:t>
      </w:r>
      <w:r>
        <w:t>地方人民政府有关部门对事故现场进行道路交通管制</w:t>
      </w:r>
      <w:r>
        <w:rPr>
          <w:rFonts w:hint="eastAsia" w:ascii="MS UI Gothic" w:eastAsia="MS UI Gothic"/>
          <w:w w:val="80"/>
        </w:rPr>
        <w:t>ꎬ</w:t>
      </w:r>
      <w:r>
        <w:t>根据需要开设应急救援特别通道</w:t>
      </w:r>
      <w:r>
        <w:rPr>
          <w:rFonts w:hint="eastAsia" w:ascii="MS UI Gothic" w:eastAsia="MS UI Gothic"/>
          <w:w w:val="80"/>
        </w:rPr>
        <w:t xml:space="preserve">ꎬ </w:t>
      </w:r>
      <w:r>
        <w:t>道路受损时应迅速组织抢修</w:t>
      </w:r>
      <w:r>
        <w:rPr>
          <w:rFonts w:hint="eastAsia" w:ascii="MS UI Gothic" w:eastAsia="MS UI Gothic"/>
          <w:w w:val="80"/>
        </w:rPr>
        <w:t xml:space="preserve">ꎬ </w:t>
      </w:r>
      <w:r>
        <w:t>确保救灾物资</w:t>
      </w:r>
      <w:r>
        <w:rPr>
          <w:rFonts w:hint="eastAsia" w:ascii="MS UI Gothic" w:eastAsia="MS UI Gothic"/>
          <w:w w:val="80"/>
        </w:rPr>
        <w:t xml:space="preserve">、 </w:t>
      </w:r>
      <w:r>
        <w:t>器材和人员运送及时到位</w:t>
      </w:r>
      <w:r>
        <w:rPr>
          <w:rFonts w:hint="eastAsia" w:ascii="MS UI Gothic" w:eastAsia="MS UI Gothic"/>
          <w:w w:val="80"/>
        </w:rPr>
        <w:t xml:space="preserve">ꎬ </w:t>
      </w:r>
      <w:r>
        <w:t>满足应急处置工作需要</w:t>
      </w:r>
      <w:r>
        <w:rPr>
          <w:rFonts w:hint="eastAsia" w:ascii="MS UI Gothic" w:eastAsia="MS UI Gothic"/>
          <w:w w:val="80"/>
        </w:rPr>
        <w:t>ꎮ</w:t>
      </w:r>
    </w:p>
    <w:p>
      <w:pPr>
        <w:pStyle w:val="6"/>
        <w:tabs>
          <w:tab w:val="left" w:pos="1583"/>
        </w:tabs>
        <w:spacing w:line="249" w:lineRule="exact"/>
        <w:ind w:left="854" w:firstLine="0"/>
        <w:jc w:val="left"/>
      </w:pPr>
      <w:r>
        <w:rPr>
          <w:rFonts w:hint="eastAsia" w:ascii="MS UI Gothic" w:eastAsia="MS UI Gothic"/>
        </w:rPr>
        <w:t>６</w:t>
      </w:r>
      <w:r>
        <w:rPr>
          <w:rFonts w:hint="eastAsia" w:ascii="MS UI Gothic" w:eastAsia="MS UI Gothic"/>
          <w:spacing w:val="-19"/>
        </w:rPr>
        <w:t xml:space="preserve"> ２ ４</w:t>
      </w:r>
      <w:r>
        <w:rPr>
          <w:rFonts w:hint="eastAsia" w:ascii="MS UI Gothic" w:eastAsia="MS UI Gothic"/>
        </w:rPr>
        <w:tab/>
      </w:r>
      <w:r>
        <w:rPr>
          <w:spacing w:val="2"/>
        </w:rPr>
        <w:t>医疗卫生保障</w:t>
      </w:r>
    </w:p>
    <w:p>
      <w:pPr>
        <w:pStyle w:val="6"/>
        <w:spacing w:before="59" w:line="295" w:lineRule="auto"/>
        <w:ind w:left="440" w:right="1"/>
      </w:pPr>
      <w:r>
        <w:t>县级以上各级人民政府应当加强急救医疗服务网络的建设</w:t>
      </w:r>
      <w:r>
        <w:rPr>
          <w:rFonts w:hint="eastAsia" w:ascii="MS UI Gothic" w:eastAsia="MS UI Gothic"/>
          <w:w w:val="80"/>
        </w:rPr>
        <w:t xml:space="preserve">ꎬ </w:t>
      </w:r>
      <w:r>
        <w:t>配备相应的医疗救</w:t>
      </w:r>
      <w:r>
        <w:rPr>
          <w:w w:val="105"/>
        </w:rPr>
        <w:t>治药物</w:t>
      </w:r>
      <w:r>
        <w:rPr>
          <w:rFonts w:hint="eastAsia" w:ascii="MS UI Gothic" w:eastAsia="MS UI Gothic"/>
          <w:w w:val="80"/>
        </w:rPr>
        <w:t xml:space="preserve">、 </w:t>
      </w:r>
      <w:r>
        <w:rPr>
          <w:w w:val="105"/>
        </w:rPr>
        <w:t>技术</w:t>
      </w:r>
      <w:r>
        <w:rPr>
          <w:rFonts w:hint="eastAsia" w:ascii="MS UI Gothic" w:eastAsia="MS UI Gothic"/>
          <w:w w:val="80"/>
        </w:rPr>
        <w:t xml:space="preserve">、 </w:t>
      </w:r>
      <w:r>
        <w:rPr>
          <w:w w:val="105"/>
        </w:rPr>
        <w:t>设备和人员</w:t>
      </w:r>
      <w:r>
        <w:rPr>
          <w:rFonts w:hint="eastAsia" w:ascii="MS UI Gothic" w:eastAsia="MS UI Gothic"/>
          <w:w w:val="80"/>
        </w:rPr>
        <w:t xml:space="preserve">ꎬ </w:t>
      </w:r>
      <w:r>
        <w:rPr>
          <w:w w:val="105"/>
        </w:rPr>
        <w:t>提高医疗卫</w:t>
      </w:r>
      <w:r>
        <w:t>生机构应对安全生产事故灾难的救治</w:t>
      </w:r>
    </w:p>
    <w:p>
      <w:pPr>
        <w:spacing w:before="124"/>
        <w:ind w:left="381" w:right="0" w:firstLine="0"/>
        <w:jc w:val="left"/>
        <w:rPr>
          <w:rFonts w:hint="eastAsia" w:ascii="MS UI Gothic" w:eastAsia="MS UI Gothic"/>
          <w:sz w:val="20"/>
        </w:rPr>
      </w:pPr>
      <w:r>
        <w:br w:type="column"/>
      </w:r>
      <w:r>
        <w:rPr>
          <w:sz w:val="20"/>
        </w:rPr>
        <w:t>能力</w:t>
      </w:r>
      <w:r>
        <w:rPr>
          <w:rFonts w:hint="eastAsia" w:ascii="MS UI Gothic" w:eastAsia="MS UI Gothic"/>
          <w:w w:val="80"/>
          <w:sz w:val="20"/>
        </w:rPr>
        <w:t>ꎮ</w:t>
      </w:r>
    </w:p>
    <w:p>
      <w:pPr>
        <w:pStyle w:val="6"/>
        <w:tabs>
          <w:tab w:val="left" w:pos="1524"/>
        </w:tabs>
        <w:spacing w:before="58"/>
        <w:ind w:left="794" w:firstLine="0"/>
        <w:jc w:val="left"/>
      </w:pPr>
      <w:r>
        <w:rPr>
          <w:rFonts w:hint="eastAsia" w:ascii="MS UI Gothic" w:eastAsia="MS UI Gothic"/>
        </w:rPr>
        <w:t>６</w:t>
      </w:r>
      <w:r>
        <w:rPr>
          <w:rFonts w:hint="eastAsia" w:ascii="MS UI Gothic" w:eastAsia="MS UI Gothic"/>
          <w:spacing w:val="-19"/>
        </w:rPr>
        <w:t xml:space="preserve"> ２ ５</w:t>
      </w:r>
      <w:r>
        <w:rPr>
          <w:rFonts w:hint="eastAsia" w:ascii="MS UI Gothic" w:eastAsia="MS UI Gothic"/>
        </w:rPr>
        <w:tab/>
      </w:r>
      <w:r>
        <w:rPr>
          <w:spacing w:val="2"/>
        </w:rPr>
        <w:t>物资保障</w:t>
      </w:r>
    </w:p>
    <w:p>
      <w:pPr>
        <w:pStyle w:val="6"/>
        <w:spacing w:before="58" w:line="295" w:lineRule="auto"/>
        <w:ind w:left="381" w:right="126"/>
        <w:rPr>
          <w:rFonts w:hint="eastAsia" w:ascii="MS UI Gothic" w:eastAsia="MS UI Gothic"/>
        </w:rPr>
      </w:pPr>
      <w:r>
        <w:t>国务院有关部门和县级以上人民政府及其有关部门</w:t>
      </w:r>
      <w:r>
        <w:rPr>
          <w:rFonts w:hint="eastAsia" w:ascii="MS UI Gothic" w:eastAsia="MS UI Gothic"/>
          <w:w w:val="80"/>
        </w:rPr>
        <w:t xml:space="preserve">、 </w:t>
      </w:r>
      <w:r>
        <w:t>企业</w:t>
      </w:r>
      <w:r>
        <w:rPr>
          <w:rFonts w:hint="eastAsia" w:ascii="MS UI Gothic" w:eastAsia="MS UI Gothic"/>
          <w:w w:val="80"/>
        </w:rPr>
        <w:t xml:space="preserve">ꎬ </w:t>
      </w:r>
      <w:r>
        <w:t>应当建立应急救援设施</w:t>
      </w:r>
      <w:r>
        <w:rPr>
          <w:rFonts w:hint="eastAsia" w:ascii="MS UI Gothic" w:eastAsia="MS UI Gothic"/>
          <w:w w:val="80"/>
        </w:rPr>
        <w:t xml:space="preserve">、 </w:t>
      </w:r>
      <w:r>
        <w:t>设备</w:t>
      </w:r>
      <w:r>
        <w:rPr>
          <w:rFonts w:hint="eastAsia" w:ascii="MS UI Gothic" w:eastAsia="MS UI Gothic"/>
          <w:w w:val="80"/>
        </w:rPr>
        <w:t xml:space="preserve">、 </w:t>
      </w:r>
      <w:r>
        <w:t>救治药品和医疗器械等储备制度</w:t>
      </w:r>
      <w:r>
        <w:rPr>
          <w:rFonts w:hint="eastAsia" w:ascii="MS UI Gothic" w:eastAsia="MS UI Gothic"/>
          <w:w w:val="80"/>
        </w:rPr>
        <w:t xml:space="preserve">ꎬ </w:t>
      </w:r>
      <w:r>
        <w:t>储备必要的应急物资和装备</w:t>
      </w:r>
      <w:r>
        <w:rPr>
          <w:rFonts w:hint="eastAsia" w:ascii="MS UI Gothic" w:eastAsia="MS UI Gothic"/>
          <w:w w:val="80"/>
        </w:rPr>
        <w:t>ꎮ</w:t>
      </w:r>
    </w:p>
    <w:p>
      <w:pPr>
        <w:pStyle w:val="6"/>
        <w:spacing w:line="295" w:lineRule="auto"/>
        <w:ind w:left="381" w:right="124"/>
        <w:rPr>
          <w:rFonts w:hint="eastAsia" w:ascii="MS UI Gothic" w:eastAsia="MS UI Gothic"/>
        </w:rPr>
      </w:pPr>
      <w:r>
        <w:t>各专业应急救援机构根据实际情况</w:t>
      </w:r>
      <w:r>
        <w:rPr>
          <w:rFonts w:hint="eastAsia" w:ascii="MS UI Gothic" w:eastAsia="MS UI Gothic"/>
          <w:w w:val="80"/>
        </w:rPr>
        <w:t>ꎬ</w:t>
      </w:r>
      <w:r>
        <w:t>负责监督应急物资的储备情况</w:t>
      </w:r>
      <w:r>
        <w:rPr>
          <w:rFonts w:hint="eastAsia" w:ascii="MS UI Gothic" w:eastAsia="MS UI Gothic"/>
          <w:w w:val="80"/>
        </w:rPr>
        <w:t xml:space="preserve">、 </w:t>
      </w:r>
      <w:r>
        <w:t>掌握应急物资的生产加工能力储备情况</w:t>
      </w:r>
      <w:r>
        <w:rPr>
          <w:rFonts w:hint="eastAsia" w:ascii="MS UI Gothic" w:eastAsia="MS UI Gothic"/>
          <w:w w:val="80"/>
        </w:rPr>
        <w:t>ꎮ</w:t>
      </w:r>
    </w:p>
    <w:p>
      <w:pPr>
        <w:pStyle w:val="6"/>
        <w:tabs>
          <w:tab w:val="left" w:pos="1524"/>
        </w:tabs>
        <w:spacing w:line="254" w:lineRule="exact"/>
        <w:ind w:left="794" w:firstLine="0"/>
        <w:jc w:val="left"/>
      </w:pPr>
      <w:r>
        <w:rPr>
          <w:rFonts w:hint="eastAsia" w:ascii="MS UI Gothic" w:eastAsia="MS UI Gothic"/>
        </w:rPr>
        <w:t>６</w:t>
      </w:r>
      <w:r>
        <w:rPr>
          <w:rFonts w:hint="eastAsia" w:ascii="MS UI Gothic" w:eastAsia="MS UI Gothic"/>
          <w:spacing w:val="-19"/>
        </w:rPr>
        <w:t xml:space="preserve"> ２ ６</w:t>
      </w:r>
      <w:r>
        <w:rPr>
          <w:rFonts w:hint="eastAsia" w:ascii="MS UI Gothic" w:eastAsia="MS UI Gothic"/>
        </w:rPr>
        <w:tab/>
      </w:r>
      <w:r>
        <w:rPr>
          <w:spacing w:val="2"/>
        </w:rPr>
        <w:t>资金保障</w:t>
      </w:r>
    </w:p>
    <w:p>
      <w:pPr>
        <w:pStyle w:val="6"/>
        <w:spacing w:before="55" w:line="295" w:lineRule="auto"/>
        <w:ind w:left="381" w:right="126"/>
        <w:rPr>
          <w:rFonts w:hint="eastAsia" w:ascii="MS UI Gothic" w:hAnsi="MS UI Gothic" w:eastAsia="MS UI Gothic"/>
        </w:rPr>
      </w:pPr>
      <w:r>
        <w:t>生产经营单位应当做好事故应急救援必要的资金准备</w:t>
      </w:r>
      <w:r>
        <w:rPr>
          <w:rFonts w:hint="eastAsia" w:ascii="MS UI Gothic" w:hAnsi="MS UI Gothic" w:eastAsia="MS UI Gothic"/>
          <w:w w:val="80"/>
        </w:rPr>
        <w:t xml:space="preserve">ꎮ </w:t>
      </w:r>
      <w:r>
        <w:t>安全生产事故灾难应急救援资金首先由事故责任单位承担</w:t>
      </w:r>
      <w:r>
        <w:rPr>
          <w:rFonts w:hint="eastAsia" w:ascii="MS UI Gothic" w:hAnsi="MS UI Gothic" w:eastAsia="MS UI Gothic"/>
          <w:w w:val="80"/>
        </w:rPr>
        <w:t xml:space="preserve">ꎬ </w:t>
      </w:r>
      <w:r>
        <w:t>事故责任单位暂时无力承担的</w:t>
      </w:r>
      <w:r>
        <w:rPr>
          <w:rFonts w:hint="eastAsia" w:ascii="MS UI Gothic" w:hAnsi="MS UI Gothic" w:eastAsia="MS UI Gothic"/>
          <w:w w:val="80"/>
        </w:rPr>
        <w:t xml:space="preserve">ꎬ </w:t>
      </w:r>
      <w:r>
        <w:t>由当地政府协调解决</w:t>
      </w:r>
      <w:r>
        <w:rPr>
          <w:rFonts w:hint="eastAsia" w:ascii="MS UI Gothic" w:hAnsi="MS UI Gothic" w:eastAsia="MS UI Gothic"/>
          <w:w w:val="80"/>
        </w:rPr>
        <w:t xml:space="preserve">ꎮ </w:t>
      </w:r>
      <w:r>
        <w:t xml:space="preserve">国家处置安全生产事故灾难所需工作经费按照 </w:t>
      </w:r>
      <w:r>
        <w:rPr>
          <w:rFonts w:hint="eastAsia" w:ascii="MS UI Gothic" w:hAnsi="MS UI Gothic" w:eastAsia="MS UI Gothic"/>
          <w:w w:val="80"/>
        </w:rPr>
        <w:t xml:space="preserve">« </w:t>
      </w:r>
      <w:r>
        <w:t>财政应急保障预案</w:t>
      </w:r>
      <w:r>
        <w:rPr>
          <w:rFonts w:hint="eastAsia" w:ascii="MS UI Gothic" w:hAnsi="MS UI Gothic" w:eastAsia="MS UI Gothic"/>
          <w:w w:val="80"/>
        </w:rPr>
        <w:t xml:space="preserve">» </w:t>
      </w:r>
      <w:r>
        <w:t>的规定解决</w:t>
      </w:r>
      <w:r>
        <w:rPr>
          <w:rFonts w:hint="eastAsia" w:ascii="MS UI Gothic" w:hAnsi="MS UI Gothic" w:eastAsia="MS UI Gothic"/>
          <w:w w:val="80"/>
        </w:rPr>
        <w:t>ꎮ</w:t>
      </w:r>
    </w:p>
    <w:p>
      <w:pPr>
        <w:pStyle w:val="6"/>
        <w:tabs>
          <w:tab w:val="left" w:pos="1524"/>
        </w:tabs>
        <w:spacing w:line="251" w:lineRule="exact"/>
        <w:ind w:left="794" w:firstLine="0"/>
        <w:jc w:val="left"/>
      </w:pPr>
      <w:r>
        <w:rPr>
          <w:rFonts w:hint="eastAsia" w:ascii="MS UI Gothic" w:eastAsia="MS UI Gothic"/>
        </w:rPr>
        <w:t>６</w:t>
      </w:r>
      <w:r>
        <w:rPr>
          <w:rFonts w:hint="eastAsia" w:ascii="MS UI Gothic" w:eastAsia="MS UI Gothic"/>
          <w:spacing w:val="-19"/>
        </w:rPr>
        <w:t xml:space="preserve"> ２ ７</w:t>
      </w:r>
      <w:r>
        <w:rPr>
          <w:rFonts w:hint="eastAsia" w:ascii="MS UI Gothic" w:eastAsia="MS UI Gothic"/>
        </w:rPr>
        <w:tab/>
      </w:r>
      <w:r>
        <w:rPr>
          <w:spacing w:val="2"/>
        </w:rPr>
        <w:t>社会动员保障</w:t>
      </w:r>
    </w:p>
    <w:p>
      <w:pPr>
        <w:pStyle w:val="6"/>
        <w:spacing w:before="58" w:line="295" w:lineRule="auto"/>
        <w:ind w:left="381" w:right="124"/>
        <w:rPr>
          <w:rFonts w:hint="eastAsia" w:ascii="MS UI Gothic" w:eastAsia="MS UI Gothic"/>
        </w:rPr>
      </w:pPr>
      <w:r>
        <w:t>地方各级人民政府根据需要动员和组织社会力量参与安全生产事故灾难的应急救援</w:t>
      </w:r>
      <w:r>
        <w:rPr>
          <w:rFonts w:hint="eastAsia" w:ascii="MS UI Gothic" w:eastAsia="MS UI Gothic"/>
          <w:w w:val="80"/>
        </w:rPr>
        <w:t xml:space="preserve">ꎮ </w:t>
      </w:r>
      <w:r>
        <w:t>国务院安委会办公室协调调用事发地以外的有关社会应急力量参与增援时</w:t>
      </w:r>
      <w:r>
        <w:rPr>
          <w:rFonts w:hint="eastAsia" w:ascii="MS UI Gothic" w:eastAsia="MS UI Gothic"/>
          <w:w w:val="80"/>
        </w:rPr>
        <w:t>ꎬ</w:t>
      </w:r>
      <w:r>
        <w:t>地方人民政府要为其提供各种必要保障</w:t>
      </w:r>
      <w:r>
        <w:rPr>
          <w:rFonts w:hint="eastAsia" w:ascii="MS UI Gothic" w:eastAsia="MS UI Gothic"/>
          <w:w w:val="80"/>
        </w:rPr>
        <w:t>ꎮ</w:t>
      </w:r>
    </w:p>
    <w:p>
      <w:pPr>
        <w:pStyle w:val="6"/>
        <w:spacing w:line="252" w:lineRule="exact"/>
        <w:ind w:left="794" w:firstLine="0"/>
      </w:pPr>
      <w:r>
        <w:rPr>
          <w:rFonts w:hint="eastAsia" w:ascii="MS UI Gothic" w:eastAsia="MS UI Gothic"/>
        </w:rPr>
        <w:t xml:space="preserve">６ ２ ８ </w:t>
      </w:r>
      <w:r>
        <w:t>应急避难场所保障</w:t>
      </w:r>
    </w:p>
    <w:p>
      <w:pPr>
        <w:pStyle w:val="6"/>
        <w:spacing w:before="58" w:line="295" w:lineRule="auto"/>
        <w:ind w:left="381" w:right="126"/>
        <w:rPr>
          <w:rFonts w:hint="eastAsia" w:ascii="MS UI Gothic" w:eastAsia="MS UI Gothic"/>
        </w:rPr>
      </w:pPr>
      <w:r>
        <w:rPr>
          <w:w w:val="105"/>
        </w:rPr>
        <w:t>直辖市</w:t>
      </w:r>
      <w:r>
        <w:rPr>
          <w:rFonts w:hint="eastAsia" w:ascii="MS UI Gothic" w:eastAsia="MS UI Gothic"/>
          <w:w w:val="80"/>
        </w:rPr>
        <w:t xml:space="preserve">、 </w:t>
      </w:r>
      <w:r>
        <w:rPr>
          <w:w w:val="105"/>
        </w:rPr>
        <w:t>省会城市和大城市人民政府</w:t>
      </w:r>
      <w:r>
        <w:t>负责提供特别重大事故灾难发生时人员避</w:t>
      </w:r>
      <w:r>
        <w:rPr>
          <w:w w:val="105"/>
        </w:rPr>
        <w:t>难需要的场所</w:t>
      </w:r>
      <w:r>
        <w:rPr>
          <w:rFonts w:hint="eastAsia" w:ascii="MS UI Gothic" w:eastAsia="MS UI Gothic"/>
          <w:w w:val="80"/>
        </w:rPr>
        <w:t>ꎮ</w:t>
      </w:r>
    </w:p>
    <w:p>
      <w:pPr>
        <w:pStyle w:val="6"/>
        <w:spacing w:line="254" w:lineRule="exact"/>
        <w:ind w:left="794" w:firstLine="0"/>
      </w:pPr>
      <w:r>
        <w:rPr>
          <w:rFonts w:hint="eastAsia" w:ascii="MS UI Gothic" w:eastAsia="MS UI Gothic"/>
        </w:rPr>
        <w:t xml:space="preserve">６ ３ </w:t>
      </w:r>
      <w:r>
        <w:t>技术储备与保障</w:t>
      </w:r>
    </w:p>
    <w:p>
      <w:pPr>
        <w:pStyle w:val="6"/>
        <w:spacing w:before="59" w:line="295" w:lineRule="auto"/>
        <w:ind w:left="381" w:right="126"/>
        <w:rPr>
          <w:rFonts w:hint="eastAsia" w:ascii="MS UI Gothic" w:eastAsia="MS UI Gothic"/>
        </w:rPr>
      </w:pPr>
      <w:r>
        <w:t>国务院安委会办公室成立安全生产事故灾难应急救援专家组</w:t>
      </w:r>
      <w:r>
        <w:rPr>
          <w:rFonts w:hint="eastAsia" w:ascii="MS UI Gothic" w:eastAsia="MS UI Gothic"/>
          <w:w w:val="80"/>
        </w:rPr>
        <w:t xml:space="preserve">ꎬ </w:t>
      </w:r>
      <w:r>
        <w:t>为应急救援提供技术支持和保障</w:t>
      </w:r>
      <w:r>
        <w:rPr>
          <w:rFonts w:hint="eastAsia" w:ascii="MS UI Gothic" w:eastAsia="MS UI Gothic"/>
          <w:w w:val="80"/>
        </w:rPr>
        <w:t xml:space="preserve">ꎮ </w:t>
      </w:r>
      <w:r>
        <w:t>要充分利用安全生产技术支撑体系的专家和机构</w:t>
      </w:r>
      <w:r>
        <w:rPr>
          <w:rFonts w:hint="eastAsia" w:ascii="MS UI Gothic" w:eastAsia="MS UI Gothic"/>
          <w:w w:val="80"/>
        </w:rPr>
        <w:t xml:space="preserve">ꎬ </w:t>
      </w:r>
      <w:r>
        <w:t>研究安全生产应急救援重大问题</w:t>
      </w:r>
      <w:r>
        <w:rPr>
          <w:rFonts w:hint="eastAsia" w:ascii="MS UI Gothic" w:eastAsia="MS UI Gothic"/>
          <w:w w:val="80"/>
        </w:rPr>
        <w:t xml:space="preserve">ꎬ </w:t>
      </w:r>
      <w:r>
        <w:t>开发应急技术和装备</w:t>
      </w:r>
      <w:r>
        <w:rPr>
          <w:rFonts w:hint="eastAsia" w:ascii="MS UI Gothic" w:eastAsia="MS UI Gothic"/>
          <w:w w:val="80"/>
        </w:rPr>
        <w:t>ꎮ</w:t>
      </w:r>
    </w:p>
    <w:p>
      <w:pPr>
        <w:pStyle w:val="6"/>
        <w:spacing w:line="251" w:lineRule="exact"/>
        <w:ind w:left="794" w:firstLine="0"/>
      </w:pPr>
      <w:r>
        <w:rPr>
          <w:rFonts w:hint="eastAsia" w:ascii="MS UI Gothic" w:eastAsia="MS UI Gothic"/>
        </w:rPr>
        <w:t xml:space="preserve">６ ４ </w:t>
      </w:r>
      <w:r>
        <w:t>宣传</w:t>
      </w:r>
      <w:r>
        <w:rPr>
          <w:rFonts w:hint="eastAsia" w:ascii="MS UI Gothic" w:eastAsia="MS UI Gothic"/>
        </w:rPr>
        <w:t xml:space="preserve">、 </w:t>
      </w:r>
      <w:r>
        <w:t>培训和演习</w:t>
      </w:r>
    </w:p>
    <w:p>
      <w:pPr>
        <w:pStyle w:val="6"/>
        <w:tabs>
          <w:tab w:val="left" w:pos="1524"/>
        </w:tabs>
        <w:spacing w:before="58"/>
        <w:ind w:left="794" w:firstLine="0"/>
        <w:jc w:val="left"/>
      </w:pPr>
      <w:r>
        <w:rPr>
          <w:rFonts w:hint="eastAsia" w:ascii="MS UI Gothic" w:eastAsia="MS UI Gothic"/>
        </w:rPr>
        <w:t>６</w:t>
      </w:r>
      <w:r>
        <w:rPr>
          <w:rFonts w:hint="eastAsia" w:ascii="MS UI Gothic" w:eastAsia="MS UI Gothic"/>
          <w:spacing w:val="-19"/>
        </w:rPr>
        <w:t xml:space="preserve"> ４ １</w:t>
      </w:r>
      <w:r>
        <w:rPr>
          <w:rFonts w:hint="eastAsia" w:ascii="MS UI Gothic" w:eastAsia="MS UI Gothic"/>
        </w:rPr>
        <w:tab/>
      </w:r>
      <w:r>
        <w:rPr>
          <w:spacing w:val="2"/>
        </w:rPr>
        <w:t>公众信息交流</w:t>
      </w:r>
    </w:p>
    <w:p>
      <w:pPr>
        <w:pStyle w:val="6"/>
        <w:spacing w:before="58" w:line="295" w:lineRule="auto"/>
        <w:ind w:left="381" w:right="124"/>
      </w:pPr>
      <w:r>
        <w:t>国务院安委会办公室和有关部门组织应急法律法规和事故预防</w:t>
      </w:r>
      <w:r>
        <w:rPr>
          <w:rFonts w:hint="eastAsia" w:ascii="MS UI Gothic" w:eastAsia="MS UI Gothic"/>
          <w:w w:val="80"/>
        </w:rPr>
        <w:t xml:space="preserve">、 </w:t>
      </w:r>
      <w:r>
        <w:t>避险</w:t>
      </w:r>
      <w:r>
        <w:rPr>
          <w:rFonts w:hint="eastAsia" w:ascii="MS UI Gothic" w:eastAsia="MS UI Gothic"/>
          <w:w w:val="80"/>
        </w:rPr>
        <w:t xml:space="preserve">、  </w:t>
      </w:r>
      <w:r>
        <w:t>避灾</w:t>
      </w:r>
      <w:r>
        <w:rPr>
          <w:rFonts w:hint="eastAsia" w:ascii="MS UI Gothic" w:eastAsia="MS UI Gothic"/>
          <w:w w:val="80"/>
        </w:rPr>
        <w:t>、</w:t>
      </w:r>
      <w:r>
        <w:t>自救</w:t>
      </w:r>
      <w:r>
        <w:rPr>
          <w:rFonts w:hint="eastAsia" w:ascii="MS UI Gothic" w:eastAsia="MS UI Gothic"/>
          <w:w w:val="80"/>
        </w:rPr>
        <w:t xml:space="preserve">、 </w:t>
      </w:r>
      <w:r>
        <w:t>互救常识的宣传工作</w:t>
      </w:r>
      <w:r>
        <w:rPr>
          <w:rFonts w:hint="eastAsia" w:ascii="MS UI Gothic" w:eastAsia="MS UI Gothic"/>
          <w:w w:val="80"/>
        </w:rPr>
        <w:t xml:space="preserve">ꎬ </w:t>
      </w:r>
      <w:r>
        <w:t>各种媒体提</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pict>
          <v:shape id="_x0000_s1308" o:spid="_x0000_s1308" style="position:absolute;left:0pt;margin-left:0pt;margin-top:700.1pt;height:1.75pt;width:398.25pt;mso-position-horizontal-relative:page;z-index:251767808;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８６</w:t>
      </w:r>
    </w:p>
    <w:p>
      <w:pPr>
        <w:pStyle w:val="6"/>
        <w:spacing w:before="297" w:line="240" w:lineRule="exact"/>
        <w:ind w:firstLine="0"/>
        <w:jc w:val="left"/>
        <w:rPr>
          <w:rFonts w:hint="eastAsia" w:ascii="MS UI Gothic" w:eastAsia="MS UI Gothic"/>
        </w:rPr>
      </w:pPr>
      <w:r>
        <w:t>供相关支持</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1599" w:right="2225" w:firstLine="0"/>
        <w:jc w:val="center"/>
        <w:rPr>
          <w:rFonts w:hint="eastAsia" w:ascii="MS UI Gothic" w:eastAsia="MS UI Gothic"/>
        </w:rPr>
      </w:pPr>
      <w:r>
        <w:rPr>
          <w:w w:val="115"/>
        </w:rPr>
        <w:t>关规定给予奖励</w:t>
      </w:r>
      <w:r>
        <w:rPr>
          <w:rFonts w:hint="eastAsia" w:ascii="MS UI Gothic" w:eastAsia="MS UI Gothic"/>
          <w:w w:val="235"/>
        </w:rPr>
        <w:t>:</w:t>
      </w:r>
    </w:p>
    <w:p>
      <w:pPr>
        <w:spacing w:after="0" w:line="240" w:lineRule="exact"/>
        <w:jc w:val="center"/>
        <w:rPr>
          <w:rFonts w:hint="eastAsia" w:ascii="MS UI Gothic" w:eastAsia="MS UI Gothic"/>
        </w:rPr>
        <w:sectPr>
          <w:pgSz w:w="10500" w:h="14750"/>
          <w:pgMar w:top="960" w:right="980" w:bottom="280" w:left="980" w:header="720" w:footer="720" w:gutter="0"/>
          <w:cols w:equalWidth="0" w:num="2">
            <w:col w:w="1316" w:space="986"/>
            <w:col w:w="6238"/>
          </w:cols>
        </w:sectPr>
      </w:pPr>
    </w:p>
    <w:p>
      <w:pPr>
        <w:pStyle w:val="6"/>
        <w:spacing w:before="74" w:line="295" w:lineRule="auto"/>
        <w:ind w:right="39"/>
        <w:rPr>
          <w:rFonts w:hint="eastAsia" w:ascii="MS UI Gothic" w:eastAsia="MS UI Gothic"/>
        </w:rPr>
      </w:pPr>
      <w:r>
        <w:t>地方各级人民政府结合本地实际</w:t>
      </w:r>
      <w:r>
        <w:rPr>
          <w:rFonts w:hint="eastAsia" w:ascii="MS UI Gothic" w:eastAsia="MS UI Gothic"/>
          <w:w w:val="80"/>
        </w:rPr>
        <w:t xml:space="preserve">ꎬ </w:t>
      </w:r>
      <w:r>
        <w:t>负责本地相关宣传</w:t>
      </w:r>
      <w:r>
        <w:rPr>
          <w:rFonts w:hint="eastAsia" w:ascii="MS UI Gothic" w:eastAsia="MS UI Gothic"/>
          <w:w w:val="80"/>
        </w:rPr>
        <w:t xml:space="preserve">、 </w:t>
      </w:r>
      <w:r>
        <w:t>教育工作</w:t>
      </w:r>
      <w:r>
        <w:rPr>
          <w:rFonts w:hint="eastAsia" w:ascii="MS UI Gothic" w:eastAsia="MS UI Gothic"/>
          <w:w w:val="80"/>
        </w:rPr>
        <w:t xml:space="preserve">ꎬ </w:t>
      </w:r>
      <w:r>
        <w:t>提高全民的危机意识</w:t>
      </w:r>
      <w:r>
        <w:rPr>
          <w:rFonts w:hint="eastAsia" w:ascii="MS UI Gothic" w:eastAsia="MS UI Gothic"/>
          <w:w w:val="80"/>
        </w:rPr>
        <w:t>ꎮ</w:t>
      </w:r>
    </w:p>
    <w:p>
      <w:pPr>
        <w:pStyle w:val="6"/>
        <w:spacing w:line="295" w:lineRule="auto"/>
        <w:ind w:right="39"/>
        <w:rPr>
          <w:rFonts w:hint="eastAsia" w:ascii="MS UI Gothic" w:eastAsia="MS UI Gothic"/>
        </w:rPr>
      </w:pPr>
      <w:r>
        <w:t>企业与所在地政府</w:t>
      </w:r>
      <w:r>
        <w:rPr>
          <w:rFonts w:hint="eastAsia" w:ascii="MS UI Gothic" w:eastAsia="MS UI Gothic"/>
          <w:w w:val="80"/>
        </w:rPr>
        <w:t xml:space="preserve">、 </w:t>
      </w:r>
      <w:r>
        <w:t>社区建立互动机制</w:t>
      </w:r>
      <w:r>
        <w:rPr>
          <w:rFonts w:hint="eastAsia" w:ascii="MS UI Gothic" w:eastAsia="MS UI Gothic"/>
          <w:w w:val="80"/>
        </w:rPr>
        <w:t xml:space="preserve">ꎬ </w:t>
      </w:r>
      <w:r>
        <w:t>向周边群众宣传相关应急知识</w:t>
      </w:r>
      <w:r>
        <w:rPr>
          <w:rFonts w:hint="eastAsia" w:ascii="MS UI Gothic" w:eastAsia="MS UI Gothic"/>
          <w:w w:val="80"/>
        </w:rPr>
        <w:t>ꎮ</w:t>
      </w:r>
    </w:p>
    <w:p>
      <w:pPr>
        <w:pStyle w:val="6"/>
        <w:tabs>
          <w:tab w:val="left" w:pos="1267"/>
        </w:tabs>
        <w:spacing w:line="255" w:lineRule="exact"/>
        <w:ind w:left="538" w:firstLine="0"/>
        <w:jc w:val="left"/>
      </w:pPr>
      <w:r>
        <w:rPr>
          <w:rFonts w:hint="eastAsia" w:ascii="MS UI Gothic" w:eastAsia="MS UI Gothic"/>
        </w:rPr>
        <w:t>６</w:t>
      </w:r>
      <w:r>
        <w:rPr>
          <w:rFonts w:hint="eastAsia" w:ascii="MS UI Gothic" w:eastAsia="MS UI Gothic"/>
          <w:spacing w:val="-19"/>
        </w:rPr>
        <w:t xml:space="preserve"> ４ ２</w:t>
      </w:r>
      <w:r>
        <w:rPr>
          <w:rFonts w:hint="eastAsia" w:ascii="MS UI Gothic" w:eastAsia="MS UI Gothic"/>
        </w:rPr>
        <w:tab/>
      </w:r>
      <w:r>
        <w:rPr>
          <w:spacing w:val="1"/>
        </w:rPr>
        <w:t>培训</w:t>
      </w:r>
    </w:p>
    <w:p>
      <w:pPr>
        <w:pStyle w:val="6"/>
        <w:spacing w:before="56" w:line="295" w:lineRule="auto"/>
        <w:ind w:right="39"/>
        <w:rPr>
          <w:rFonts w:hint="eastAsia" w:ascii="MS UI Gothic" w:eastAsia="MS UI Gothic"/>
        </w:rPr>
      </w:pPr>
      <w:r>
        <w:t>有关部门组织各级应急管理机构以及专业救援队伍的相关人员进行上岗前培训</w:t>
      </w:r>
      <w:r>
        <w:rPr>
          <w:w w:val="105"/>
        </w:rPr>
        <w:t>和业务培训</w:t>
      </w:r>
      <w:r>
        <w:rPr>
          <w:rFonts w:hint="eastAsia" w:ascii="MS UI Gothic" w:eastAsia="MS UI Gothic"/>
          <w:w w:val="80"/>
        </w:rPr>
        <w:t>ꎮ</w:t>
      </w:r>
    </w:p>
    <w:p>
      <w:pPr>
        <w:pStyle w:val="6"/>
        <w:spacing w:line="295" w:lineRule="auto"/>
        <w:ind w:right="38"/>
        <w:rPr>
          <w:rFonts w:hint="eastAsia" w:ascii="MS UI Gothic" w:eastAsia="MS UI Gothic"/>
        </w:rPr>
      </w:pPr>
      <w:r>
        <w:t>有关部门</w:t>
      </w:r>
      <w:r>
        <w:rPr>
          <w:rFonts w:hint="eastAsia" w:ascii="MS UI Gothic" w:eastAsia="MS UI Gothic"/>
          <w:w w:val="80"/>
        </w:rPr>
        <w:t xml:space="preserve">、 </w:t>
      </w:r>
      <w:r>
        <w:t>单位可根据自身实际情况</w:t>
      </w:r>
      <w:r>
        <w:rPr>
          <w:rFonts w:hint="eastAsia" w:ascii="MS UI Gothic" w:eastAsia="MS UI Gothic"/>
          <w:w w:val="80"/>
        </w:rPr>
        <w:t xml:space="preserve">ꎬ </w:t>
      </w:r>
      <w:r>
        <w:t>做好兼职应急救援队伍的培训</w:t>
      </w:r>
      <w:r>
        <w:rPr>
          <w:rFonts w:hint="eastAsia" w:ascii="MS UI Gothic" w:eastAsia="MS UI Gothic"/>
          <w:w w:val="80"/>
        </w:rPr>
        <w:t xml:space="preserve">ꎬ </w:t>
      </w:r>
      <w:r>
        <w:t>积极组织社会志愿者的培训</w:t>
      </w:r>
      <w:r>
        <w:rPr>
          <w:rFonts w:hint="eastAsia" w:ascii="MS UI Gothic" w:eastAsia="MS UI Gothic"/>
          <w:w w:val="80"/>
        </w:rPr>
        <w:t xml:space="preserve">ꎬ </w:t>
      </w:r>
      <w:r>
        <w:t>提高公众自救</w:t>
      </w:r>
      <w:r>
        <w:rPr>
          <w:rFonts w:hint="eastAsia" w:ascii="MS UI Gothic" w:eastAsia="MS UI Gothic"/>
          <w:w w:val="80"/>
        </w:rPr>
        <w:t>、</w:t>
      </w:r>
      <w:r>
        <w:t>互救能力</w:t>
      </w:r>
      <w:r>
        <w:rPr>
          <w:rFonts w:hint="eastAsia" w:ascii="MS UI Gothic" w:eastAsia="MS UI Gothic"/>
          <w:w w:val="80"/>
        </w:rPr>
        <w:t>ꎮ</w:t>
      </w:r>
    </w:p>
    <w:p>
      <w:pPr>
        <w:pStyle w:val="6"/>
        <w:spacing w:line="295" w:lineRule="auto"/>
        <w:ind w:right="39"/>
        <w:jc w:val="left"/>
        <w:rPr>
          <w:rFonts w:hint="eastAsia" w:ascii="MS UI Gothic" w:eastAsia="MS UI Gothic"/>
        </w:rPr>
      </w:pPr>
      <w:r>
        <w:t>地方各级人民政府将突发公共事件应</w:t>
      </w:r>
      <w:r>
        <w:rPr>
          <w:w w:val="105"/>
        </w:rPr>
        <w:t>急管理内容列入行政干部培训的课程</w:t>
      </w:r>
      <w:r>
        <w:rPr>
          <w:rFonts w:hint="eastAsia" w:ascii="MS UI Gothic" w:eastAsia="MS UI Gothic"/>
          <w:w w:val="80"/>
        </w:rPr>
        <w:t>ꎮ</w:t>
      </w:r>
    </w:p>
    <w:p>
      <w:pPr>
        <w:pStyle w:val="6"/>
        <w:tabs>
          <w:tab w:val="left" w:pos="1267"/>
        </w:tabs>
        <w:spacing w:line="255" w:lineRule="exact"/>
        <w:ind w:left="538" w:firstLine="0"/>
        <w:jc w:val="left"/>
      </w:pPr>
      <w:r>
        <w:rPr>
          <w:rFonts w:hint="eastAsia" w:ascii="MS UI Gothic" w:eastAsia="MS UI Gothic"/>
        </w:rPr>
        <w:t>６</w:t>
      </w:r>
      <w:r>
        <w:rPr>
          <w:rFonts w:hint="eastAsia" w:ascii="MS UI Gothic" w:eastAsia="MS UI Gothic"/>
          <w:spacing w:val="-19"/>
        </w:rPr>
        <w:t xml:space="preserve"> ４ ３</w:t>
      </w:r>
      <w:r>
        <w:rPr>
          <w:rFonts w:hint="eastAsia" w:ascii="MS UI Gothic" w:eastAsia="MS UI Gothic"/>
        </w:rPr>
        <w:tab/>
      </w:r>
      <w:r>
        <w:rPr>
          <w:spacing w:val="1"/>
        </w:rPr>
        <w:t>演习</w:t>
      </w:r>
    </w:p>
    <w:p>
      <w:pPr>
        <w:pStyle w:val="6"/>
        <w:spacing w:before="53" w:line="295" w:lineRule="auto"/>
        <w:ind w:right="39"/>
        <w:rPr>
          <w:rFonts w:hint="eastAsia" w:ascii="MS UI Gothic" w:eastAsia="MS UI Gothic"/>
        </w:rPr>
      </w:pPr>
      <w:r>
        <w:rPr>
          <w:spacing w:val="2"/>
        </w:rPr>
        <w:t>各专业应急机构每年至少组织一次安</w:t>
      </w:r>
      <w:r>
        <w:rPr>
          <w:spacing w:val="3"/>
        </w:rPr>
        <w:t>全生产事故灾难应急救援演习</w:t>
      </w:r>
      <w:r>
        <w:rPr>
          <w:rFonts w:hint="eastAsia" w:ascii="MS UI Gothic" w:eastAsia="MS UI Gothic"/>
          <w:spacing w:val="21"/>
          <w:w w:val="80"/>
        </w:rPr>
        <w:t xml:space="preserve">ꎮ </w:t>
      </w:r>
      <w:r>
        <w:rPr>
          <w:spacing w:val="2"/>
        </w:rPr>
        <w:t>国务院安</w:t>
      </w:r>
      <w:r>
        <w:rPr>
          <w:spacing w:val="11"/>
        </w:rPr>
        <w:t>委会办公室每两年至少组织一次联合演</w:t>
      </w:r>
      <w:r>
        <w:rPr>
          <w:spacing w:val="3"/>
        </w:rPr>
        <w:t>习</w:t>
      </w:r>
      <w:r>
        <w:rPr>
          <w:rFonts w:hint="eastAsia" w:ascii="MS UI Gothic" w:eastAsia="MS UI Gothic"/>
          <w:spacing w:val="23"/>
          <w:w w:val="80"/>
        </w:rPr>
        <w:t xml:space="preserve">ꎮ </w:t>
      </w:r>
      <w:r>
        <w:rPr>
          <w:spacing w:val="3"/>
        </w:rPr>
        <w:t>各企事业单位应当根据自身特点</w:t>
      </w:r>
      <w:r>
        <w:rPr>
          <w:rFonts w:hint="eastAsia" w:ascii="MS UI Gothic" w:eastAsia="MS UI Gothic"/>
          <w:spacing w:val="23"/>
          <w:w w:val="80"/>
        </w:rPr>
        <w:t xml:space="preserve">ꎬ </w:t>
      </w:r>
      <w:r>
        <w:t>定</w:t>
      </w:r>
      <w:r>
        <w:rPr>
          <w:spacing w:val="3"/>
        </w:rPr>
        <w:t>期组织本单位的应急救援演习</w:t>
      </w:r>
      <w:r>
        <w:rPr>
          <w:rFonts w:hint="eastAsia" w:ascii="MS UI Gothic" w:eastAsia="MS UI Gothic"/>
          <w:spacing w:val="21"/>
          <w:w w:val="80"/>
        </w:rPr>
        <w:t xml:space="preserve">ꎮ </w:t>
      </w:r>
      <w:r>
        <w:rPr>
          <w:spacing w:val="2"/>
        </w:rPr>
        <w:t>演习结束</w:t>
      </w:r>
      <w:r>
        <w:rPr>
          <w:spacing w:val="3"/>
        </w:rPr>
        <w:t>后应及时进行总结</w:t>
      </w:r>
      <w:r>
        <w:rPr>
          <w:rFonts w:hint="eastAsia" w:ascii="MS UI Gothic" w:eastAsia="MS UI Gothic"/>
          <w:w w:val="80"/>
        </w:rPr>
        <w:t>ꎮ</w:t>
      </w:r>
    </w:p>
    <w:p>
      <w:pPr>
        <w:pStyle w:val="6"/>
        <w:tabs>
          <w:tab w:val="left" w:pos="1062"/>
        </w:tabs>
        <w:spacing w:line="251" w:lineRule="exact"/>
        <w:ind w:left="538" w:firstLine="0"/>
        <w:jc w:val="left"/>
      </w:pPr>
      <w:r>
        <w:rPr>
          <w:rFonts w:hint="eastAsia" w:ascii="MS UI Gothic" w:eastAsia="MS UI Gothic"/>
        </w:rPr>
        <w:t>６</w:t>
      </w:r>
      <w:r>
        <w:rPr>
          <w:rFonts w:hint="eastAsia" w:ascii="MS UI Gothic" w:eastAsia="MS UI Gothic"/>
          <w:spacing w:val="-16"/>
        </w:rPr>
        <w:t xml:space="preserve"> ５</w:t>
      </w:r>
      <w:r>
        <w:rPr>
          <w:rFonts w:hint="eastAsia" w:ascii="MS UI Gothic" w:eastAsia="MS UI Gothic"/>
        </w:rPr>
        <w:tab/>
      </w:r>
      <w:r>
        <w:rPr>
          <w:spacing w:val="2"/>
        </w:rPr>
        <w:t>监督检查</w:t>
      </w:r>
    </w:p>
    <w:p>
      <w:pPr>
        <w:pStyle w:val="6"/>
        <w:spacing w:before="58" w:line="295" w:lineRule="auto"/>
        <w:ind w:right="39"/>
        <w:rPr>
          <w:rFonts w:hint="eastAsia" w:ascii="MS UI Gothic" w:eastAsia="MS UI Gothic"/>
        </w:rPr>
      </w:pPr>
      <w:r>
        <w:t>国务院安委会办公室对安全生产事故灾难应急预案实施的全过程进行监督</w:t>
      </w:r>
      <w:r>
        <w:rPr>
          <w:w w:val="105"/>
        </w:rPr>
        <w:t>检查</w:t>
      </w:r>
      <w:r>
        <w:rPr>
          <w:rFonts w:hint="eastAsia" w:ascii="MS UI Gothic" w:eastAsia="MS UI Gothic"/>
          <w:w w:val="80"/>
        </w:rPr>
        <w:t>ꎮ</w:t>
      </w:r>
    </w:p>
    <w:p>
      <w:pPr>
        <w:pStyle w:val="6"/>
        <w:spacing w:line="254" w:lineRule="exact"/>
        <w:ind w:left="538" w:firstLine="0"/>
      </w:pPr>
      <w:r>
        <w:rPr>
          <w:rFonts w:hint="eastAsia" w:ascii="MS UI Gothic" w:eastAsia="MS UI Gothic"/>
        </w:rPr>
        <w:t xml:space="preserve">７ </w:t>
      </w:r>
      <w:r>
        <w:t>附 则</w:t>
      </w:r>
    </w:p>
    <w:p>
      <w:pPr>
        <w:pStyle w:val="6"/>
        <w:spacing w:before="58"/>
        <w:ind w:left="538" w:firstLine="0"/>
      </w:pPr>
      <w:r>
        <w:rPr>
          <w:rFonts w:hint="eastAsia" w:ascii="MS UI Gothic" w:eastAsia="MS UI Gothic"/>
        </w:rPr>
        <w:t xml:space="preserve">７ １ </w:t>
      </w:r>
      <w:r>
        <w:t>预案管理与更新</w:t>
      </w:r>
    </w:p>
    <w:p>
      <w:pPr>
        <w:pStyle w:val="6"/>
        <w:spacing w:before="58" w:line="295" w:lineRule="auto"/>
        <w:ind w:right="38"/>
        <w:rPr>
          <w:rFonts w:hint="eastAsia" w:ascii="MS UI Gothic" w:eastAsia="MS UI Gothic"/>
        </w:rPr>
      </w:pPr>
      <w:r>
        <w:t>随着应急救援相关法律法规的制定</w:t>
      </w:r>
      <w:r>
        <w:rPr>
          <w:rFonts w:hint="eastAsia" w:ascii="MS UI Gothic" w:eastAsia="MS UI Gothic"/>
          <w:w w:val="80"/>
        </w:rPr>
        <w:t>、</w:t>
      </w:r>
      <w:r>
        <w:t>修改和完善</w:t>
      </w:r>
      <w:r>
        <w:rPr>
          <w:rFonts w:hint="eastAsia" w:ascii="MS UI Gothic" w:eastAsia="MS UI Gothic"/>
          <w:w w:val="80"/>
        </w:rPr>
        <w:t xml:space="preserve">ꎬ </w:t>
      </w:r>
      <w:r>
        <w:t>部门职责或应急资源发生变化</w:t>
      </w:r>
      <w:r>
        <w:rPr>
          <w:rFonts w:hint="eastAsia" w:ascii="MS UI Gothic" w:eastAsia="MS UI Gothic"/>
          <w:w w:val="80"/>
        </w:rPr>
        <w:t xml:space="preserve">ꎬ </w:t>
      </w:r>
      <w:r>
        <w:t>以及实施过程中发现存在问题或出现新的情况</w:t>
      </w:r>
      <w:r>
        <w:rPr>
          <w:rFonts w:hint="eastAsia" w:ascii="MS UI Gothic" w:eastAsia="MS UI Gothic"/>
          <w:w w:val="80"/>
        </w:rPr>
        <w:t xml:space="preserve">ꎬ </w:t>
      </w:r>
      <w:r>
        <w:t>应及时修订完善本预案</w:t>
      </w:r>
      <w:r>
        <w:rPr>
          <w:rFonts w:hint="eastAsia" w:ascii="MS UI Gothic" w:eastAsia="MS UI Gothic"/>
          <w:w w:val="80"/>
        </w:rPr>
        <w:t>ꎮ</w:t>
      </w:r>
    </w:p>
    <w:p>
      <w:pPr>
        <w:pStyle w:val="6"/>
        <w:spacing w:line="295" w:lineRule="auto"/>
        <w:ind w:right="57"/>
        <w:rPr>
          <w:rFonts w:hint="eastAsia" w:ascii="MS UI Gothic" w:hAnsi="MS UI Gothic" w:eastAsia="MS UI Gothic"/>
        </w:rPr>
      </w:pPr>
      <w:r>
        <w:t>本预案有关数量的表述中</w:t>
      </w:r>
      <w:r>
        <w:rPr>
          <w:rFonts w:hint="eastAsia" w:ascii="MS UI Gothic" w:hAnsi="MS UI Gothic" w:eastAsia="MS UI Gothic"/>
          <w:w w:val="80"/>
        </w:rPr>
        <w:t xml:space="preserve">ꎬ </w:t>
      </w:r>
      <w:r>
        <w:rPr>
          <w:rFonts w:hint="eastAsia" w:ascii="MS UI Gothic" w:hAnsi="MS UI Gothic" w:eastAsia="MS UI Gothic"/>
        </w:rPr>
        <w:t xml:space="preserve">“ </w:t>
      </w:r>
      <w:r>
        <w:t>以上</w:t>
      </w:r>
      <w:r>
        <w:rPr>
          <w:rFonts w:hint="eastAsia" w:ascii="MS UI Gothic" w:hAnsi="MS UI Gothic" w:eastAsia="MS UI Gothic"/>
        </w:rPr>
        <w:t xml:space="preserve">” </w:t>
      </w:r>
      <w:r>
        <w:t>含本数</w:t>
      </w:r>
      <w:r>
        <w:rPr>
          <w:rFonts w:hint="eastAsia" w:ascii="MS UI Gothic" w:hAnsi="MS UI Gothic" w:eastAsia="MS UI Gothic"/>
          <w:w w:val="80"/>
        </w:rPr>
        <w:t xml:space="preserve">ꎬ </w:t>
      </w:r>
      <w:r>
        <w:rPr>
          <w:rFonts w:hint="eastAsia" w:ascii="MS UI Gothic" w:hAnsi="MS UI Gothic" w:eastAsia="MS UI Gothic"/>
        </w:rPr>
        <w:t xml:space="preserve">“ </w:t>
      </w:r>
      <w:r>
        <w:t>以下</w:t>
      </w:r>
      <w:r>
        <w:rPr>
          <w:rFonts w:hint="eastAsia" w:ascii="MS UI Gothic" w:hAnsi="MS UI Gothic" w:eastAsia="MS UI Gothic"/>
        </w:rPr>
        <w:t xml:space="preserve">” </w:t>
      </w:r>
      <w:r>
        <w:t>不含本数</w:t>
      </w:r>
      <w:r>
        <w:rPr>
          <w:rFonts w:hint="eastAsia" w:ascii="MS UI Gothic" w:hAnsi="MS UI Gothic" w:eastAsia="MS UI Gothic"/>
          <w:w w:val="80"/>
        </w:rPr>
        <w:t>ꎮ</w:t>
      </w:r>
    </w:p>
    <w:p>
      <w:pPr>
        <w:pStyle w:val="6"/>
        <w:spacing w:line="255" w:lineRule="exact"/>
        <w:ind w:left="538" w:firstLine="0"/>
      </w:pPr>
      <w:r>
        <w:rPr>
          <w:rFonts w:hint="eastAsia" w:ascii="MS UI Gothic" w:eastAsia="MS UI Gothic"/>
        </w:rPr>
        <w:t xml:space="preserve">７ ２ </w:t>
      </w:r>
      <w:r>
        <w:t>奖励与责任追究</w:t>
      </w:r>
    </w:p>
    <w:p>
      <w:pPr>
        <w:pStyle w:val="6"/>
        <w:tabs>
          <w:tab w:val="left" w:pos="1267"/>
        </w:tabs>
        <w:spacing w:before="55"/>
        <w:ind w:left="538" w:firstLine="0"/>
        <w:jc w:val="left"/>
      </w:pPr>
      <w:r>
        <w:rPr>
          <w:rFonts w:hint="eastAsia" w:ascii="MS UI Gothic" w:eastAsia="MS UI Gothic"/>
        </w:rPr>
        <w:t>７</w:t>
      </w:r>
      <w:r>
        <w:rPr>
          <w:rFonts w:hint="eastAsia" w:ascii="MS UI Gothic" w:eastAsia="MS UI Gothic"/>
          <w:spacing w:val="-19"/>
        </w:rPr>
        <w:t xml:space="preserve"> ２ １</w:t>
      </w:r>
      <w:r>
        <w:rPr>
          <w:rFonts w:hint="eastAsia" w:ascii="MS UI Gothic" w:eastAsia="MS UI Gothic"/>
        </w:rPr>
        <w:tab/>
      </w:r>
      <w:r>
        <w:rPr>
          <w:spacing w:val="1"/>
        </w:rPr>
        <w:t>奖励</w:t>
      </w:r>
    </w:p>
    <w:p>
      <w:pPr>
        <w:pStyle w:val="6"/>
        <w:spacing w:before="58" w:line="295" w:lineRule="auto"/>
        <w:ind w:right="39"/>
      </w:pPr>
      <w:r>
        <w:t>在安全生产事故灾难应急救援工作中有下列表现之一的单位和个人</w:t>
      </w:r>
      <w:r>
        <w:rPr>
          <w:rFonts w:hint="eastAsia" w:ascii="MS UI Gothic" w:eastAsia="MS UI Gothic"/>
          <w:w w:val="80"/>
        </w:rPr>
        <w:t xml:space="preserve">ꎬ </w:t>
      </w:r>
      <w:r>
        <w:t>应依据有</w:t>
      </w:r>
    </w:p>
    <w:p>
      <w:pPr>
        <w:pStyle w:val="6"/>
        <w:spacing w:before="74" w:line="295" w:lineRule="auto"/>
        <w:ind w:right="442"/>
        <w:rPr>
          <w:rFonts w:hint="eastAsia" w:ascii="MS UI Gothic" w:eastAsia="MS UI Gothic"/>
        </w:rPr>
      </w:pPr>
      <w:r>
        <w:br w:type="column"/>
      </w:r>
      <w:r>
        <w:rPr>
          <w:rFonts w:hint="eastAsia" w:ascii="MS UI Gothic" w:eastAsia="MS UI Gothic"/>
          <w:w w:val="168"/>
        </w:rPr>
        <w:t>(</w:t>
      </w:r>
      <w:r>
        <w:rPr>
          <w:rFonts w:hint="eastAsia" w:ascii="MS UI Gothic" w:eastAsia="MS UI Gothic"/>
          <w:w w:val="75"/>
        </w:rPr>
        <w:t>１</w:t>
      </w:r>
      <w:r>
        <w:rPr>
          <w:rFonts w:hint="eastAsia" w:ascii="MS UI Gothic" w:eastAsia="MS UI Gothic"/>
          <w:w w:val="168"/>
        </w:rPr>
        <w:t>)</w:t>
      </w:r>
      <w:r>
        <w:rPr>
          <w:rFonts w:hint="eastAsia" w:ascii="MS UI Gothic" w:eastAsia="MS UI Gothic"/>
        </w:rPr>
        <w:t xml:space="preserve">  </w:t>
      </w:r>
      <w:r>
        <w:rPr>
          <w:w w:val="102"/>
        </w:rPr>
        <w:t>出色完成应急处置任务</w:t>
      </w:r>
      <w:r>
        <w:rPr>
          <w:rFonts w:hint="eastAsia" w:ascii="MS UI Gothic" w:eastAsia="MS UI Gothic"/>
          <w:w w:val="51"/>
        </w:rPr>
        <w:t>ꎬ</w:t>
      </w:r>
      <w:r>
        <w:rPr>
          <w:rFonts w:hint="eastAsia" w:ascii="MS UI Gothic" w:eastAsia="MS UI Gothic"/>
        </w:rPr>
        <w:t xml:space="preserve">  </w:t>
      </w:r>
      <w:r>
        <w:rPr>
          <w:w w:val="102"/>
        </w:rPr>
        <w:t>成绩</w:t>
      </w:r>
      <w:r>
        <w:t>显著的</w:t>
      </w:r>
      <w:r>
        <w:rPr>
          <w:rFonts w:hint="eastAsia" w:ascii="MS UI Gothic" w:eastAsia="MS UI Gothic"/>
          <w:w w:val="90"/>
        </w:rPr>
        <w:t>ꎮ</w:t>
      </w:r>
    </w:p>
    <w:p>
      <w:pPr>
        <w:pStyle w:val="6"/>
        <w:spacing w:line="295" w:lineRule="auto"/>
        <w:ind w:right="442"/>
        <w:rPr>
          <w:rFonts w:hint="eastAsia" w:ascii="MS UI Gothic" w:eastAsia="MS UI Gothic"/>
        </w:rPr>
      </w:pPr>
      <w:r>
        <w:rPr>
          <w:rFonts w:hint="eastAsia" w:ascii="MS UI Gothic" w:eastAsia="MS UI Gothic"/>
          <w:w w:val="168"/>
        </w:rPr>
        <w:t>(</w:t>
      </w:r>
      <w:r>
        <w:rPr>
          <w:rFonts w:hint="eastAsia" w:ascii="MS UI Gothic" w:eastAsia="MS UI Gothic"/>
          <w:w w:val="75"/>
        </w:rPr>
        <w:t>２</w:t>
      </w:r>
      <w:r>
        <w:rPr>
          <w:rFonts w:hint="eastAsia" w:ascii="MS UI Gothic" w:eastAsia="MS UI Gothic"/>
          <w:w w:val="168"/>
        </w:rPr>
        <w:t>)</w:t>
      </w:r>
      <w:r>
        <w:rPr>
          <w:rFonts w:hint="eastAsia" w:ascii="MS UI Gothic" w:eastAsia="MS UI Gothic"/>
        </w:rPr>
        <w:t xml:space="preserve">  </w:t>
      </w:r>
      <w:r>
        <w:rPr>
          <w:w w:val="102"/>
        </w:rPr>
        <w:t>防止或抢救事故灾难有功</w:t>
      </w:r>
      <w:r>
        <w:rPr>
          <w:rFonts w:hint="eastAsia" w:ascii="MS UI Gothic" w:eastAsia="MS UI Gothic"/>
          <w:w w:val="51"/>
        </w:rPr>
        <w:t>ꎬ</w:t>
      </w:r>
      <w:r>
        <w:rPr>
          <w:rFonts w:hint="eastAsia" w:ascii="MS UI Gothic" w:eastAsia="MS UI Gothic"/>
        </w:rPr>
        <w:t xml:space="preserve">  </w:t>
      </w:r>
      <w:r>
        <w:rPr>
          <w:w w:val="102"/>
        </w:rPr>
        <w:t>使</w:t>
      </w:r>
      <w:r>
        <w:t>国家</w:t>
      </w:r>
      <w:r>
        <w:rPr>
          <w:rFonts w:hint="eastAsia" w:ascii="MS UI Gothic" w:eastAsia="MS UI Gothic"/>
        </w:rPr>
        <w:t xml:space="preserve">、 </w:t>
      </w:r>
      <w:r>
        <w:t>集体和人民群众的财产免受损失或者减少损失的</w:t>
      </w:r>
      <w:r>
        <w:rPr>
          <w:rFonts w:hint="eastAsia" w:ascii="MS UI Gothic" w:eastAsia="MS UI Gothic"/>
          <w:w w:val="90"/>
        </w:rPr>
        <w:t>ꎮ</w:t>
      </w:r>
    </w:p>
    <w:p>
      <w:pPr>
        <w:pStyle w:val="6"/>
        <w:spacing w:line="295" w:lineRule="auto"/>
        <w:ind w:right="440"/>
        <w:rPr>
          <w:rFonts w:hint="eastAsia" w:ascii="MS UI Gothic" w:eastAsia="MS UI Gothic"/>
        </w:rPr>
      </w:pPr>
      <w:r>
        <w:rPr>
          <w:rFonts w:hint="eastAsia" w:ascii="MS UI Gothic" w:eastAsia="MS UI Gothic"/>
          <w:w w:val="168"/>
        </w:rPr>
        <w:t>(</w:t>
      </w:r>
      <w:r>
        <w:rPr>
          <w:rFonts w:hint="eastAsia" w:ascii="MS UI Gothic" w:eastAsia="MS UI Gothic"/>
          <w:w w:val="75"/>
        </w:rPr>
        <w:t>３</w:t>
      </w:r>
      <w:r>
        <w:rPr>
          <w:rFonts w:hint="eastAsia" w:ascii="MS UI Gothic" w:eastAsia="MS UI Gothic"/>
          <w:w w:val="168"/>
        </w:rPr>
        <w:t>)</w:t>
      </w:r>
      <w:r>
        <w:rPr>
          <w:rFonts w:hint="eastAsia" w:ascii="MS UI Gothic" w:eastAsia="MS UI Gothic"/>
        </w:rPr>
        <w:t xml:space="preserve">  </w:t>
      </w:r>
      <w:r>
        <w:rPr>
          <w:w w:val="102"/>
        </w:rPr>
        <w:t>对应急救援工作提出重大建议</w:t>
      </w:r>
      <w:r>
        <w:rPr>
          <w:rFonts w:hint="eastAsia" w:ascii="MS UI Gothic" w:eastAsia="MS UI Gothic"/>
          <w:w w:val="51"/>
        </w:rPr>
        <w:t>ꎬ</w:t>
      </w:r>
      <w:r>
        <w:t>实施效果显著的</w:t>
      </w:r>
      <w:r>
        <w:rPr>
          <w:rFonts w:hint="eastAsia" w:ascii="MS UI Gothic" w:eastAsia="MS UI Gothic"/>
          <w:w w:val="90"/>
        </w:rPr>
        <w:t>ꎮ</w:t>
      </w:r>
    </w:p>
    <w:p>
      <w:pPr>
        <w:pStyle w:val="6"/>
        <w:spacing w:line="295" w:lineRule="auto"/>
        <w:ind w:left="538" w:right="1556" w:firstLine="5"/>
      </w:pPr>
      <w:r>
        <w:rPr>
          <w:rFonts w:hint="eastAsia" w:ascii="MS UI Gothic" w:eastAsia="MS UI Gothic"/>
          <w:spacing w:val="15"/>
          <w:w w:val="168"/>
        </w:rPr>
        <w:t>(</w:t>
      </w:r>
      <w:r>
        <w:rPr>
          <w:rFonts w:hint="eastAsia" w:ascii="MS UI Gothic" w:eastAsia="MS UI Gothic"/>
          <w:spacing w:val="5"/>
          <w:w w:val="75"/>
        </w:rPr>
        <w:t>４</w:t>
      </w:r>
      <w:r>
        <w:rPr>
          <w:rFonts w:hint="eastAsia" w:ascii="MS UI Gothic" w:eastAsia="MS UI Gothic"/>
          <w:w w:val="168"/>
        </w:rPr>
        <w:t>)</w:t>
      </w:r>
      <w:r>
        <w:rPr>
          <w:rFonts w:hint="eastAsia" w:ascii="MS UI Gothic" w:eastAsia="MS UI Gothic"/>
          <w:spacing w:val="2"/>
        </w:rPr>
        <w:t xml:space="preserve">  </w:t>
      </w:r>
      <w:r>
        <w:rPr>
          <w:spacing w:val="3"/>
          <w:w w:val="102"/>
        </w:rPr>
        <w:t>有其他特殊贡献的</w:t>
      </w:r>
      <w:r>
        <w:rPr>
          <w:rFonts w:hint="eastAsia" w:ascii="MS UI Gothic" w:eastAsia="MS UI Gothic"/>
          <w:w w:val="51"/>
        </w:rPr>
        <w:t xml:space="preserve">ꎮ </w:t>
      </w:r>
      <w:r>
        <w:rPr>
          <w:rFonts w:hint="eastAsia" w:ascii="MS UI Gothic" w:eastAsia="MS UI Gothic"/>
        </w:rPr>
        <w:t>７</w:t>
      </w:r>
      <w:r>
        <w:rPr>
          <w:rFonts w:hint="eastAsia" w:ascii="MS UI Gothic" w:eastAsia="MS UI Gothic"/>
          <w:spacing w:val="-8"/>
        </w:rPr>
        <w:t xml:space="preserve"> ２</w:t>
      </w:r>
      <w:r>
        <w:rPr>
          <w:rFonts w:hint="eastAsia" w:ascii="MS UI Gothic" w:eastAsia="MS UI Gothic"/>
          <w:spacing w:val="-2"/>
        </w:rPr>
        <w:t xml:space="preserve"> ２ </w:t>
      </w:r>
      <w:r>
        <w:rPr>
          <w:spacing w:val="2"/>
        </w:rPr>
        <w:t>责任追究</w:t>
      </w:r>
    </w:p>
    <w:p>
      <w:pPr>
        <w:pStyle w:val="6"/>
        <w:spacing w:line="295" w:lineRule="auto"/>
        <w:ind w:right="442"/>
        <w:rPr>
          <w:rFonts w:hint="eastAsia" w:ascii="MS UI Gothic" w:eastAsia="MS UI Gothic"/>
        </w:rPr>
      </w:pPr>
      <w:r>
        <w:rPr>
          <w:spacing w:val="2"/>
        </w:rPr>
        <w:t>在安全生产事故灾难应急救援工作中</w:t>
      </w:r>
      <w:r>
        <w:rPr>
          <w:spacing w:val="3"/>
          <w:w w:val="105"/>
        </w:rPr>
        <w:t>有下列行为之一的</w:t>
      </w:r>
      <w:r>
        <w:rPr>
          <w:rFonts w:hint="eastAsia" w:ascii="MS UI Gothic" w:eastAsia="MS UI Gothic"/>
          <w:spacing w:val="-6"/>
          <w:w w:val="80"/>
        </w:rPr>
        <w:t xml:space="preserve">ꎬ </w:t>
      </w:r>
      <w:r>
        <w:rPr>
          <w:spacing w:val="3"/>
          <w:w w:val="105"/>
        </w:rPr>
        <w:t>按照法律</w:t>
      </w:r>
      <w:r>
        <w:rPr>
          <w:rFonts w:hint="eastAsia" w:ascii="MS UI Gothic" w:eastAsia="MS UI Gothic"/>
          <w:spacing w:val="-12"/>
        </w:rPr>
        <w:t xml:space="preserve">、 </w:t>
      </w:r>
      <w:r>
        <w:rPr>
          <w:spacing w:val="2"/>
          <w:w w:val="105"/>
        </w:rPr>
        <w:t>法规及有</w:t>
      </w:r>
      <w:r>
        <w:rPr>
          <w:spacing w:val="3"/>
        </w:rPr>
        <w:t>关规定</w:t>
      </w:r>
      <w:r>
        <w:rPr>
          <w:rFonts w:hint="eastAsia" w:ascii="MS UI Gothic" w:eastAsia="MS UI Gothic"/>
          <w:spacing w:val="20"/>
          <w:w w:val="80"/>
        </w:rPr>
        <w:t xml:space="preserve">ꎬ </w:t>
      </w:r>
      <w:r>
        <w:rPr>
          <w:spacing w:val="2"/>
        </w:rPr>
        <w:t>对有关责任人员视情节和危害后</w:t>
      </w:r>
      <w:r>
        <w:rPr>
          <w:spacing w:val="3"/>
        </w:rPr>
        <w:t>果</w:t>
      </w:r>
      <w:r>
        <w:rPr>
          <w:rFonts w:hint="eastAsia" w:ascii="MS UI Gothic" w:eastAsia="MS UI Gothic"/>
          <w:spacing w:val="20"/>
          <w:w w:val="80"/>
        </w:rPr>
        <w:t xml:space="preserve">ꎬ </w:t>
      </w:r>
      <w:r>
        <w:rPr>
          <w:spacing w:val="2"/>
        </w:rPr>
        <w:t>由其所在单位或者上级机关给予行政</w:t>
      </w:r>
      <w:r>
        <w:rPr>
          <w:spacing w:val="3"/>
        </w:rPr>
        <w:t>处分</w:t>
      </w:r>
      <w:r>
        <w:rPr>
          <w:rFonts w:hint="eastAsia" w:ascii="MS UI Gothic" w:eastAsia="MS UI Gothic"/>
          <w:spacing w:val="23"/>
          <w:w w:val="80"/>
        </w:rPr>
        <w:t xml:space="preserve">ꎻ </w:t>
      </w:r>
      <w:r>
        <w:rPr>
          <w:spacing w:val="3"/>
        </w:rPr>
        <w:t>其中</w:t>
      </w:r>
      <w:r>
        <w:rPr>
          <w:rFonts w:hint="eastAsia" w:ascii="MS UI Gothic" w:eastAsia="MS UI Gothic"/>
          <w:spacing w:val="23"/>
          <w:w w:val="80"/>
        </w:rPr>
        <w:t xml:space="preserve">ꎬ </w:t>
      </w:r>
      <w:r>
        <w:rPr>
          <w:spacing w:val="2"/>
        </w:rPr>
        <w:t>对国家公务员和国家行政机</w:t>
      </w:r>
      <w:r>
        <w:rPr>
          <w:spacing w:val="3"/>
        </w:rPr>
        <w:t>关任命的其他人员</w:t>
      </w:r>
      <w:r>
        <w:rPr>
          <w:rFonts w:hint="eastAsia" w:ascii="MS UI Gothic" w:eastAsia="MS UI Gothic"/>
          <w:spacing w:val="20"/>
          <w:w w:val="80"/>
        </w:rPr>
        <w:t xml:space="preserve">ꎬ </w:t>
      </w:r>
      <w:r>
        <w:rPr>
          <w:spacing w:val="2"/>
        </w:rPr>
        <w:t>分别由任免机关或者</w:t>
      </w:r>
      <w:r>
        <w:rPr>
          <w:spacing w:val="3"/>
        </w:rPr>
        <w:t>监察机关给予行政处分</w:t>
      </w:r>
      <w:r>
        <w:rPr>
          <w:rFonts w:hint="eastAsia" w:ascii="MS UI Gothic" w:eastAsia="MS UI Gothic"/>
          <w:spacing w:val="20"/>
          <w:w w:val="80"/>
        </w:rPr>
        <w:t xml:space="preserve">ꎻ </w:t>
      </w:r>
      <w:r>
        <w:rPr>
          <w:spacing w:val="2"/>
        </w:rPr>
        <w:t>属于违反治安管</w:t>
      </w:r>
      <w:r>
        <w:rPr>
          <w:spacing w:val="3"/>
        </w:rPr>
        <w:t>理行为的</w:t>
      </w:r>
      <w:r>
        <w:rPr>
          <w:rFonts w:hint="eastAsia" w:ascii="MS UI Gothic" w:eastAsia="MS UI Gothic"/>
          <w:spacing w:val="20"/>
          <w:w w:val="80"/>
        </w:rPr>
        <w:t xml:space="preserve">ꎬ </w:t>
      </w:r>
      <w:r>
        <w:rPr>
          <w:spacing w:val="2"/>
        </w:rPr>
        <w:t>由公安机关依照有关法律法规</w:t>
      </w:r>
      <w:r>
        <w:rPr>
          <w:spacing w:val="3"/>
        </w:rPr>
        <w:t>的规定予以处罚</w:t>
      </w:r>
      <w:r>
        <w:rPr>
          <w:rFonts w:hint="eastAsia" w:ascii="MS UI Gothic" w:eastAsia="MS UI Gothic"/>
          <w:spacing w:val="23"/>
          <w:w w:val="80"/>
        </w:rPr>
        <w:t xml:space="preserve">ꎻ </w:t>
      </w:r>
      <w:r>
        <w:rPr>
          <w:spacing w:val="3"/>
        </w:rPr>
        <w:t>构成犯罪的</w:t>
      </w:r>
      <w:r>
        <w:rPr>
          <w:rFonts w:hint="eastAsia" w:ascii="MS UI Gothic" w:eastAsia="MS UI Gothic"/>
          <w:spacing w:val="23"/>
          <w:w w:val="80"/>
        </w:rPr>
        <w:t xml:space="preserve">ꎬ </w:t>
      </w:r>
      <w:r>
        <w:rPr>
          <w:spacing w:val="2"/>
        </w:rPr>
        <w:t>由司法机</w:t>
      </w:r>
      <w:r>
        <w:rPr>
          <w:spacing w:val="3"/>
          <w:w w:val="105"/>
        </w:rPr>
        <w:t>关依法追究刑事责任</w:t>
      </w:r>
      <w:r>
        <w:rPr>
          <w:rFonts w:hint="eastAsia" w:ascii="MS UI Gothic" w:eastAsia="MS UI Gothic"/>
          <w:w w:val="235"/>
        </w:rPr>
        <w:t>:</w:t>
      </w:r>
    </w:p>
    <w:p>
      <w:pPr>
        <w:pStyle w:val="6"/>
        <w:spacing w:line="295" w:lineRule="auto"/>
        <w:ind w:right="440"/>
        <w:rPr>
          <w:rFonts w:hint="eastAsia" w:ascii="MS UI Gothic" w:eastAsia="MS UI Gothic"/>
        </w:rPr>
      </w:pPr>
      <w:r>
        <w:rPr>
          <w:rFonts w:hint="eastAsia" w:ascii="MS UI Gothic" w:eastAsia="MS UI Gothic"/>
          <w:w w:val="168"/>
        </w:rPr>
        <w:t>(</w:t>
      </w:r>
      <w:r>
        <w:rPr>
          <w:rFonts w:hint="eastAsia" w:ascii="MS UI Gothic" w:eastAsia="MS UI Gothic"/>
          <w:w w:val="75"/>
        </w:rPr>
        <w:t>１</w:t>
      </w:r>
      <w:r>
        <w:rPr>
          <w:rFonts w:hint="eastAsia" w:ascii="MS UI Gothic" w:eastAsia="MS UI Gothic"/>
          <w:w w:val="168"/>
        </w:rPr>
        <w:t>)</w:t>
      </w:r>
      <w:r>
        <w:rPr>
          <w:rFonts w:hint="eastAsia" w:ascii="MS UI Gothic" w:eastAsia="MS UI Gothic"/>
        </w:rPr>
        <w:t xml:space="preserve">  </w:t>
      </w:r>
      <w:r>
        <w:rPr>
          <w:w w:val="102"/>
        </w:rPr>
        <w:t>不按照规定制订事故应急预案</w:t>
      </w:r>
      <w:r>
        <w:rPr>
          <w:rFonts w:hint="eastAsia" w:ascii="MS UI Gothic" w:eastAsia="MS UI Gothic"/>
          <w:w w:val="51"/>
        </w:rPr>
        <w:t>ꎬ</w:t>
      </w:r>
      <w:r>
        <w:t>拒绝履行应急准备义务的</w:t>
      </w:r>
      <w:r>
        <w:rPr>
          <w:rFonts w:hint="eastAsia" w:ascii="MS UI Gothic" w:eastAsia="MS UI Gothic"/>
          <w:w w:val="90"/>
        </w:rPr>
        <w:t>ꎮ</w:t>
      </w:r>
    </w:p>
    <w:p>
      <w:pPr>
        <w:pStyle w:val="6"/>
        <w:spacing w:line="295" w:lineRule="auto"/>
        <w:ind w:right="442"/>
        <w:rPr>
          <w:rFonts w:hint="eastAsia" w:ascii="MS UI Gothic" w:eastAsia="MS UI Gothic"/>
        </w:rPr>
      </w:pPr>
      <w:r>
        <w:rPr>
          <w:rFonts w:hint="eastAsia" w:ascii="MS UI Gothic" w:eastAsia="MS UI Gothic"/>
          <w:w w:val="168"/>
        </w:rPr>
        <w:t>(</w:t>
      </w:r>
      <w:r>
        <w:rPr>
          <w:rFonts w:hint="eastAsia" w:ascii="MS UI Gothic" w:eastAsia="MS UI Gothic"/>
          <w:w w:val="75"/>
        </w:rPr>
        <w:t>２</w:t>
      </w:r>
      <w:r>
        <w:rPr>
          <w:rFonts w:hint="eastAsia" w:ascii="MS UI Gothic" w:eastAsia="MS UI Gothic"/>
          <w:w w:val="168"/>
        </w:rPr>
        <w:t>)</w:t>
      </w:r>
      <w:r>
        <w:rPr>
          <w:rFonts w:hint="eastAsia" w:ascii="MS UI Gothic" w:eastAsia="MS UI Gothic"/>
        </w:rPr>
        <w:t xml:space="preserve">  </w:t>
      </w:r>
      <w:r>
        <w:rPr>
          <w:w w:val="102"/>
        </w:rPr>
        <w:t>不按照规定报告</w:t>
      </w:r>
      <w:r>
        <w:rPr>
          <w:rFonts w:hint="eastAsia" w:ascii="MS UI Gothic" w:eastAsia="MS UI Gothic"/>
          <w:w w:val="77"/>
        </w:rPr>
        <w:t>、</w:t>
      </w:r>
      <w:r>
        <w:rPr>
          <w:rFonts w:hint="eastAsia" w:ascii="MS UI Gothic" w:eastAsia="MS UI Gothic"/>
        </w:rPr>
        <w:t xml:space="preserve">  </w:t>
      </w:r>
      <w:r>
        <w:rPr>
          <w:w w:val="102"/>
        </w:rPr>
        <w:t>通报事故灾</w:t>
      </w:r>
      <w:r>
        <w:t>难真实情况的</w:t>
      </w:r>
      <w:r>
        <w:rPr>
          <w:rFonts w:hint="eastAsia" w:ascii="MS UI Gothic" w:eastAsia="MS UI Gothic"/>
          <w:w w:val="90"/>
        </w:rPr>
        <w:t>ꎮ</w:t>
      </w:r>
    </w:p>
    <w:p>
      <w:pPr>
        <w:pStyle w:val="6"/>
        <w:spacing w:line="295" w:lineRule="auto"/>
        <w:ind w:right="442"/>
        <w:rPr>
          <w:rFonts w:hint="eastAsia" w:ascii="MS UI Gothic" w:eastAsia="MS UI Gothic"/>
        </w:rPr>
      </w:pPr>
      <w:r>
        <w:rPr>
          <w:rFonts w:hint="eastAsia" w:ascii="MS UI Gothic" w:eastAsia="MS UI Gothic"/>
          <w:w w:val="168"/>
        </w:rPr>
        <w:t>(</w:t>
      </w:r>
      <w:r>
        <w:rPr>
          <w:rFonts w:hint="eastAsia" w:ascii="MS UI Gothic" w:eastAsia="MS UI Gothic"/>
          <w:w w:val="75"/>
        </w:rPr>
        <w:t>３</w:t>
      </w:r>
      <w:r>
        <w:rPr>
          <w:rFonts w:hint="eastAsia" w:ascii="MS UI Gothic" w:eastAsia="MS UI Gothic"/>
          <w:w w:val="168"/>
        </w:rPr>
        <w:t>)</w:t>
      </w:r>
      <w:r>
        <w:rPr>
          <w:rFonts w:hint="eastAsia" w:ascii="MS UI Gothic" w:eastAsia="MS UI Gothic"/>
        </w:rPr>
        <w:t xml:space="preserve">  </w:t>
      </w:r>
      <w:r>
        <w:rPr>
          <w:w w:val="102"/>
        </w:rPr>
        <w:t>拒不执行安全生产事故灾难应</w:t>
      </w:r>
      <w:r>
        <w:t>急预案</w:t>
      </w:r>
      <w:r>
        <w:rPr>
          <w:rFonts w:hint="eastAsia" w:ascii="MS UI Gothic" w:eastAsia="MS UI Gothic"/>
          <w:w w:val="90"/>
        </w:rPr>
        <w:t xml:space="preserve">ꎬ </w:t>
      </w:r>
      <w:r>
        <w:t>不服从命令和指挥</w:t>
      </w:r>
      <w:r>
        <w:rPr>
          <w:rFonts w:hint="eastAsia" w:ascii="MS UI Gothic" w:eastAsia="MS UI Gothic"/>
          <w:w w:val="90"/>
        </w:rPr>
        <w:t xml:space="preserve">ꎬ </w:t>
      </w:r>
      <w:r>
        <w:t>或者在应急响应时临阵脱逃的</w:t>
      </w:r>
      <w:r>
        <w:rPr>
          <w:rFonts w:hint="eastAsia" w:ascii="MS UI Gothic" w:eastAsia="MS UI Gothic"/>
          <w:w w:val="90"/>
        </w:rPr>
        <w:t>ꎮ</w:t>
      </w:r>
    </w:p>
    <w:p>
      <w:pPr>
        <w:pStyle w:val="6"/>
        <w:spacing w:line="295" w:lineRule="auto"/>
        <w:ind w:right="442"/>
        <w:rPr>
          <w:rFonts w:hint="eastAsia" w:ascii="MS UI Gothic" w:eastAsia="MS UI Gothic"/>
        </w:rPr>
      </w:pPr>
      <w:r>
        <w:rPr>
          <w:rFonts w:hint="eastAsia" w:ascii="MS UI Gothic" w:eastAsia="MS UI Gothic"/>
          <w:w w:val="168"/>
        </w:rPr>
        <w:t>(</w:t>
      </w:r>
      <w:r>
        <w:rPr>
          <w:rFonts w:hint="eastAsia" w:ascii="MS UI Gothic" w:eastAsia="MS UI Gothic"/>
          <w:w w:val="75"/>
        </w:rPr>
        <w:t>４</w:t>
      </w:r>
      <w:r>
        <w:rPr>
          <w:rFonts w:hint="eastAsia" w:ascii="MS UI Gothic" w:eastAsia="MS UI Gothic"/>
          <w:w w:val="168"/>
        </w:rPr>
        <w:t>)</w:t>
      </w:r>
      <w:r>
        <w:rPr>
          <w:rFonts w:hint="eastAsia" w:ascii="MS UI Gothic" w:eastAsia="MS UI Gothic"/>
        </w:rPr>
        <w:t xml:space="preserve">  </w:t>
      </w:r>
      <w:r>
        <w:rPr>
          <w:w w:val="102"/>
        </w:rPr>
        <w:t>盗窃</w:t>
      </w:r>
      <w:r>
        <w:rPr>
          <w:rFonts w:hint="eastAsia" w:ascii="MS UI Gothic" w:eastAsia="MS UI Gothic"/>
          <w:w w:val="77"/>
        </w:rPr>
        <w:t>、</w:t>
      </w:r>
      <w:r>
        <w:rPr>
          <w:rFonts w:hint="eastAsia" w:ascii="MS UI Gothic" w:eastAsia="MS UI Gothic"/>
        </w:rPr>
        <w:t xml:space="preserve">  </w:t>
      </w:r>
      <w:r>
        <w:rPr>
          <w:w w:val="102"/>
        </w:rPr>
        <w:t>挪用</w:t>
      </w:r>
      <w:r>
        <w:rPr>
          <w:rFonts w:hint="eastAsia" w:ascii="MS UI Gothic" w:eastAsia="MS UI Gothic"/>
          <w:w w:val="77"/>
        </w:rPr>
        <w:t>、</w:t>
      </w:r>
      <w:r>
        <w:rPr>
          <w:rFonts w:hint="eastAsia" w:ascii="MS UI Gothic" w:eastAsia="MS UI Gothic"/>
        </w:rPr>
        <w:t xml:space="preserve">  </w:t>
      </w:r>
      <w:r>
        <w:rPr>
          <w:w w:val="102"/>
        </w:rPr>
        <w:t>贪污应急工作资</w:t>
      </w:r>
      <w:r>
        <w:t>金或者物资的</w:t>
      </w:r>
      <w:r>
        <w:rPr>
          <w:rFonts w:hint="eastAsia" w:ascii="MS UI Gothic" w:eastAsia="MS UI Gothic"/>
          <w:w w:val="90"/>
        </w:rPr>
        <w:t>ꎮ</w:t>
      </w:r>
    </w:p>
    <w:p>
      <w:pPr>
        <w:pStyle w:val="6"/>
        <w:spacing w:line="295" w:lineRule="auto"/>
        <w:ind w:right="442"/>
        <w:rPr>
          <w:rFonts w:hint="eastAsia" w:ascii="MS UI Gothic" w:eastAsia="MS UI Gothic"/>
        </w:rPr>
      </w:pPr>
      <w:r>
        <w:rPr>
          <w:rFonts w:hint="eastAsia" w:ascii="MS UI Gothic" w:eastAsia="MS UI Gothic"/>
          <w:w w:val="168"/>
        </w:rPr>
        <w:t>(</w:t>
      </w:r>
      <w:r>
        <w:rPr>
          <w:rFonts w:hint="eastAsia" w:ascii="MS UI Gothic" w:eastAsia="MS UI Gothic"/>
          <w:w w:val="75"/>
        </w:rPr>
        <w:t>５</w:t>
      </w:r>
      <w:r>
        <w:rPr>
          <w:rFonts w:hint="eastAsia" w:ascii="MS UI Gothic" w:eastAsia="MS UI Gothic"/>
          <w:w w:val="168"/>
        </w:rPr>
        <w:t>)</w:t>
      </w:r>
      <w:r>
        <w:rPr>
          <w:rFonts w:hint="eastAsia" w:ascii="MS UI Gothic" w:eastAsia="MS UI Gothic"/>
        </w:rPr>
        <w:t xml:space="preserve">  </w:t>
      </w:r>
      <w:r>
        <w:rPr>
          <w:w w:val="102"/>
        </w:rPr>
        <w:t>阻碍应急工作人员依法执行任</w:t>
      </w:r>
      <w:r>
        <w:t>务或者进行破坏活动的</w:t>
      </w:r>
      <w:r>
        <w:rPr>
          <w:rFonts w:hint="eastAsia" w:ascii="MS UI Gothic" w:eastAsia="MS UI Gothic"/>
          <w:w w:val="90"/>
        </w:rPr>
        <w:t>ꎮ</w:t>
      </w:r>
    </w:p>
    <w:p>
      <w:pPr>
        <w:pStyle w:val="6"/>
        <w:spacing w:line="255" w:lineRule="exact"/>
        <w:ind w:left="543" w:firstLine="0"/>
        <w:rPr>
          <w:rFonts w:hint="eastAsia" w:ascii="MS UI Gothic" w:eastAsia="MS UI Gothic"/>
        </w:rPr>
      </w:pPr>
      <w:r>
        <w:rPr>
          <w:rFonts w:hint="eastAsia" w:ascii="MS UI Gothic" w:eastAsia="MS UI Gothic"/>
          <w:spacing w:val="15"/>
          <w:w w:val="168"/>
        </w:rPr>
        <w:t>(</w:t>
      </w:r>
      <w:r>
        <w:rPr>
          <w:rFonts w:hint="eastAsia" w:ascii="MS UI Gothic" w:eastAsia="MS UI Gothic"/>
          <w:spacing w:val="5"/>
          <w:w w:val="75"/>
        </w:rPr>
        <w:t>６</w:t>
      </w:r>
      <w:r>
        <w:rPr>
          <w:rFonts w:hint="eastAsia" w:ascii="MS UI Gothic" w:eastAsia="MS UI Gothic"/>
          <w:w w:val="168"/>
        </w:rPr>
        <w:t>)</w:t>
      </w:r>
      <w:r>
        <w:rPr>
          <w:rFonts w:hint="eastAsia" w:ascii="MS UI Gothic" w:eastAsia="MS UI Gothic"/>
          <w:spacing w:val="2"/>
        </w:rPr>
        <w:t xml:space="preserve">  </w:t>
      </w:r>
      <w:r>
        <w:rPr>
          <w:spacing w:val="3"/>
          <w:w w:val="102"/>
        </w:rPr>
        <w:t>散布谣言</w:t>
      </w:r>
      <w:r>
        <w:rPr>
          <w:rFonts w:hint="eastAsia" w:ascii="MS UI Gothic" w:eastAsia="MS UI Gothic"/>
          <w:w w:val="51"/>
        </w:rPr>
        <w:t>ꎬ</w:t>
      </w:r>
      <w:r>
        <w:rPr>
          <w:rFonts w:hint="eastAsia" w:ascii="MS UI Gothic" w:eastAsia="MS UI Gothic"/>
          <w:spacing w:val="-8"/>
        </w:rPr>
        <w:t xml:space="preserve">  </w:t>
      </w:r>
      <w:r>
        <w:rPr>
          <w:spacing w:val="3"/>
          <w:w w:val="102"/>
        </w:rPr>
        <w:t>扰乱社会秩序的</w:t>
      </w:r>
      <w:r>
        <w:rPr>
          <w:rFonts w:hint="eastAsia" w:ascii="MS UI Gothic" w:eastAsia="MS UI Gothic"/>
          <w:w w:val="51"/>
        </w:rPr>
        <w:t>ꎮ</w:t>
      </w:r>
    </w:p>
    <w:p>
      <w:pPr>
        <w:pStyle w:val="6"/>
        <w:spacing w:before="36"/>
        <w:ind w:left="543" w:firstLine="0"/>
        <w:rPr>
          <w:rFonts w:hint="eastAsia" w:ascii="MS UI Gothic" w:eastAsia="MS UI Gothic"/>
        </w:rPr>
      </w:pPr>
      <w:r>
        <w:rPr>
          <w:rFonts w:hint="eastAsia" w:ascii="MS UI Gothic" w:eastAsia="MS UI Gothic"/>
          <w:spacing w:val="15"/>
          <w:w w:val="168"/>
        </w:rPr>
        <w:t>(</w:t>
      </w:r>
      <w:r>
        <w:rPr>
          <w:rFonts w:hint="eastAsia" w:ascii="MS UI Gothic" w:eastAsia="MS UI Gothic"/>
          <w:spacing w:val="5"/>
          <w:w w:val="75"/>
        </w:rPr>
        <w:t>７</w:t>
      </w:r>
      <w:r>
        <w:rPr>
          <w:rFonts w:hint="eastAsia" w:ascii="MS UI Gothic" w:eastAsia="MS UI Gothic"/>
          <w:w w:val="168"/>
        </w:rPr>
        <w:t>)</w:t>
      </w:r>
      <w:r>
        <w:rPr>
          <w:rFonts w:hint="eastAsia" w:ascii="MS UI Gothic" w:eastAsia="MS UI Gothic"/>
          <w:spacing w:val="2"/>
        </w:rPr>
        <w:t xml:space="preserve">  </w:t>
      </w:r>
      <w:r>
        <w:rPr>
          <w:spacing w:val="3"/>
          <w:w w:val="102"/>
        </w:rPr>
        <w:t>有其他危害应急工作行为的</w:t>
      </w:r>
      <w:r>
        <w:rPr>
          <w:rFonts w:hint="eastAsia" w:ascii="MS UI Gothic" w:eastAsia="MS UI Gothic"/>
          <w:w w:val="51"/>
        </w:rPr>
        <w:t>ꎮ</w:t>
      </w:r>
    </w:p>
    <w:p>
      <w:pPr>
        <w:pStyle w:val="6"/>
        <w:spacing w:before="58"/>
        <w:ind w:left="538" w:firstLine="0"/>
      </w:pPr>
      <w:r>
        <w:rPr>
          <w:rFonts w:hint="eastAsia" w:ascii="MS UI Gothic" w:eastAsia="MS UI Gothic"/>
        </w:rPr>
        <w:t xml:space="preserve">７ ３ </w:t>
      </w:r>
      <w:r>
        <w:t>国际沟通与协作</w:t>
      </w:r>
    </w:p>
    <w:p>
      <w:pPr>
        <w:pStyle w:val="6"/>
        <w:spacing w:before="58" w:line="295" w:lineRule="auto"/>
        <w:ind w:right="442"/>
        <w:rPr>
          <w:rFonts w:hint="eastAsia" w:ascii="MS UI Gothic" w:eastAsia="MS UI Gothic"/>
        </w:rPr>
      </w:pPr>
      <w:r>
        <w:t>国务院安委会办公室和有关部门积极建立与国际应急机构的联系</w:t>
      </w:r>
      <w:r>
        <w:rPr>
          <w:rFonts w:hint="eastAsia" w:ascii="MS UI Gothic" w:eastAsia="MS UI Gothic"/>
          <w:w w:val="80"/>
        </w:rPr>
        <w:t xml:space="preserve">ꎬ </w:t>
      </w:r>
      <w:r>
        <w:t>组织参加国际救援活动</w:t>
      </w:r>
      <w:r>
        <w:rPr>
          <w:rFonts w:hint="eastAsia" w:ascii="MS UI Gothic" w:eastAsia="MS UI Gothic"/>
          <w:w w:val="80"/>
        </w:rPr>
        <w:t xml:space="preserve">ꎬ </w:t>
      </w:r>
      <w:r>
        <w:t>开展国际间的交流与合作</w:t>
      </w:r>
      <w:r>
        <w:rPr>
          <w:rFonts w:hint="eastAsia" w:ascii="MS UI Gothic" w:eastAsia="MS UI Gothic"/>
          <w:w w:val="80"/>
        </w:rPr>
        <w:t>ꎮ</w:t>
      </w:r>
    </w:p>
    <w:p>
      <w:pPr>
        <w:pStyle w:val="6"/>
        <w:tabs>
          <w:tab w:val="left" w:pos="1062"/>
        </w:tabs>
        <w:spacing w:line="254" w:lineRule="exact"/>
        <w:ind w:left="538" w:firstLine="0"/>
        <w:jc w:val="left"/>
      </w:pPr>
      <w:r>
        <w:rPr>
          <w:rFonts w:hint="eastAsia" w:ascii="MS UI Gothic" w:eastAsia="MS UI Gothic"/>
        </w:rPr>
        <w:t>７</w:t>
      </w:r>
      <w:r>
        <w:rPr>
          <w:rFonts w:hint="eastAsia" w:ascii="MS UI Gothic" w:eastAsia="MS UI Gothic"/>
          <w:spacing w:val="-16"/>
        </w:rPr>
        <w:t xml:space="preserve"> ４</w:t>
      </w:r>
      <w:r>
        <w:rPr>
          <w:rFonts w:hint="eastAsia" w:ascii="MS UI Gothic" w:eastAsia="MS UI Gothic"/>
        </w:rPr>
        <w:tab/>
      </w:r>
      <w:r>
        <w:rPr>
          <w:spacing w:val="2"/>
        </w:rPr>
        <w:t>预案实施时间</w:t>
      </w:r>
    </w:p>
    <w:p>
      <w:pPr>
        <w:pStyle w:val="6"/>
        <w:spacing w:before="59"/>
        <w:ind w:left="543" w:firstLine="0"/>
        <w:jc w:val="left"/>
        <w:rPr>
          <w:rFonts w:hint="eastAsia" w:ascii="MS UI Gothic" w:eastAsia="MS UI Gothic"/>
        </w:rPr>
      </w:pPr>
      <w:r>
        <w:t>本预案自印发之日起施行</w:t>
      </w:r>
      <w:r>
        <w:rPr>
          <w:rFonts w:hint="eastAsia" w:ascii="MS UI Gothic" w:eastAsia="MS UI Gothic"/>
          <w:w w:val="80"/>
        </w:rPr>
        <w:t>ꎮ</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８７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09" o:spid="_x0000_s1309" o:spt="203" style="height:2.15pt;width:398.25pt;" coordsize="7965,43">
            <o:lock v:ext="edit"/>
            <v:line id="_x0000_s1310" o:spid="_x0000_s1310" o:spt="20" style="position:absolute;left:0;top:39;height:0;width:7965;" stroked="t" coordsize="21600,21600">
              <v:path arrowok="t"/>
              <v:fill focussize="0,0"/>
              <v:stroke weight="0.388031496062992pt" color="#231F20"/>
              <v:imagedata o:title=""/>
              <o:lock v:ext="edit"/>
            </v:line>
            <v:line id="_x0000_s1311" o:spid="_x0000_s131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4"/>
        <w:ind w:left="0" w:firstLine="0"/>
        <w:jc w:val="left"/>
        <w:rPr>
          <w:rFonts w:ascii="MS UI Gothic"/>
          <w:sz w:val="23"/>
        </w:rPr>
      </w:pPr>
    </w:p>
    <w:p>
      <w:pPr>
        <w:pStyle w:val="4"/>
        <w:spacing w:before="195"/>
        <w:ind w:left="286"/>
        <w:rPr>
          <w:rFonts w:hint="eastAsia" w:ascii="Microsoft Yi Baiti" w:eastAsia="Microsoft Yi Baiti"/>
        </w:rPr>
      </w:pPr>
      <w:r>
        <w:t xml:space="preserve">安全生产事故隐患排查治理暂行规定 </w:t>
      </w:r>
      <w:r>
        <w:rPr>
          <w:rFonts w:hint="eastAsia" w:ascii="Microsoft Yi Baiti" w:eastAsia="Microsoft Yi Baiti"/>
        </w:rPr>
        <w:t>(</w:t>
      </w:r>
      <w:r>
        <w:rPr>
          <w:rFonts w:hint="eastAsia" w:ascii="MS UI Gothic" w:eastAsia="MS UI Gothic"/>
        </w:rPr>
        <w:t xml:space="preserve">２００８ </w:t>
      </w:r>
      <w:r>
        <w:t>年公布</w:t>
      </w:r>
      <w:r>
        <w:rPr>
          <w:rFonts w:hint="eastAsia" w:ascii="Microsoft Yi Baiti" w:eastAsia="Microsoft Yi Baiti"/>
        </w:rPr>
        <w:t>)</w:t>
      </w:r>
    </w:p>
    <w:p>
      <w:pPr>
        <w:pStyle w:val="6"/>
        <w:spacing w:before="6"/>
        <w:ind w:left="0" w:firstLine="0"/>
        <w:jc w:val="left"/>
        <w:rPr>
          <w:rFonts w:ascii="Microsoft Yi Baiti"/>
          <w:sz w:val="27"/>
        </w:rPr>
      </w:pPr>
    </w:p>
    <w:p>
      <w:pPr>
        <w:spacing w:after="0"/>
        <w:jc w:val="left"/>
        <w:rPr>
          <w:rFonts w:ascii="Microsoft Yi Baiti"/>
          <w:sz w:val="27"/>
        </w:rPr>
        <w:sectPr>
          <w:type w:val="continuous"/>
          <w:pgSz w:w="10500" w:h="14750"/>
          <w:pgMar w:top="1400" w:right="980" w:bottom="280" w:left="980" w:header="720" w:footer="720" w:gutter="0"/>
        </w:sectPr>
      </w:pPr>
    </w:p>
    <w:p>
      <w:pPr>
        <w:pStyle w:val="6"/>
        <w:spacing w:before="4"/>
        <w:ind w:left="0" w:firstLine="0"/>
        <w:jc w:val="left"/>
        <w:rPr>
          <w:rFonts w:ascii="Microsoft Yi Baiti"/>
          <w:sz w:val="23"/>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6" w:line="292" w:lineRule="auto"/>
        <w:ind w:left="440" w:right="1"/>
        <w:rPr>
          <w:rFonts w:hint="eastAsia" w:ascii="MS UI Gothic" w:eastAsia="MS UI Gothic"/>
        </w:rPr>
      </w:pPr>
      <w:r>
        <w:t>第一条 为了建立安全生产事故隐患排查治理长效机制</w:t>
      </w:r>
      <w:r>
        <w:rPr>
          <w:rFonts w:hint="eastAsia" w:ascii="MS UI Gothic" w:eastAsia="MS UI Gothic"/>
          <w:w w:val="80"/>
        </w:rPr>
        <w:t xml:space="preserve">ꎬ </w:t>
      </w:r>
      <w:r>
        <w:t>强化安全生产主体责任</w:t>
      </w:r>
      <w:r>
        <w:rPr>
          <w:rFonts w:hint="eastAsia" w:ascii="MS UI Gothic" w:eastAsia="MS UI Gothic"/>
          <w:w w:val="80"/>
        </w:rPr>
        <w:t xml:space="preserve">ꎬ </w:t>
      </w:r>
      <w:r>
        <w:t>加强事故隐患监督管理</w:t>
      </w:r>
      <w:r>
        <w:rPr>
          <w:rFonts w:hint="eastAsia" w:ascii="MS UI Gothic" w:eastAsia="MS UI Gothic"/>
          <w:w w:val="80"/>
        </w:rPr>
        <w:t xml:space="preserve">ꎬ </w:t>
      </w:r>
      <w:r>
        <w:t>防止和减少事故</w:t>
      </w:r>
      <w:r>
        <w:rPr>
          <w:rFonts w:hint="eastAsia" w:ascii="MS UI Gothic" w:eastAsia="MS UI Gothic"/>
          <w:w w:val="80"/>
        </w:rPr>
        <w:t xml:space="preserve">ꎬ </w:t>
      </w:r>
      <w:r>
        <w:t>保障人民群众生命财产安全</w:t>
      </w:r>
      <w:r>
        <w:rPr>
          <w:rFonts w:hint="eastAsia" w:ascii="MS UI Gothic" w:eastAsia="MS UI Gothic"/>
          <w:w w:val="80"/>
        </w:rPr>
        <w:t xml:space="preserve">ꎬ </w:t>
      </w:r>
      <w:r>
        <w:t>根据安全生产法等法律</w:t>
      </w:r>
      <w:r>
        <w:rPr>
          <w:rFonts w:hint="eastAsia" w:ascii="MS UI Gothic" w:eastAsia="MS UI Gothic"/>
          <w:w w:val="80"/>
        </w:rPr>
        <w:t xml:space="preserve">、 </w:t>
      </w:r>
      <w:r>
        <w:t>行政法规</w:t>
      </w:r>
      <w:r>
        <w:rPr>
          <w:rFonts w:hint="eastAsia" w:ascii="MS UI Gothic" w:eastAsia="MS UI Gothic"/>
          <w:w w:val="80"/>
        </w:rPr>
        <w:t xml:space="preserve">ꎬ </w:t>
      </w:r>
      <w:r>
        <w:t>制定本规定</w:t>
      </w:r>
      <w:r>
        <w:rPr>
          <w:rFonts w:hint="eastAsia" w:ascii="MS UI Gothic" w:eastAsia="MS UI Gothic"/>
          <w:w w:val="80"/>
        </w:rPr>
        <w:t>ꎮ</w:t>
      </w:r>
    </w:p>
    <w:p>
      <w:pPr>
        <w:pStyle w:val="6"/>
        <w:spacing w:line="292" w:lineRule="auto"/>
        <w:ind w:left="440"/>
        <w:rPr>
          <w:rFonts w:hint="eastAsia" w:ascii="MS UI Gothic" w:eastAsia="MS UI Gothic"/>
        </w:rPr>
      </w:pPr>
      <w:r>
        <w:rPr>
          <w:spacing w:val="2"/>
          <w:w w:val="105"/>
        </w:rPr>
        <w:t>第二条 生产经营单位安全生产事故</w:t>
      </w:r>
      <w:r>
        <w:rPr>
          <w:spacing w:val="4"/>
        </w:rPr>
        <w:t>隐患排查治理和安全生产监督管理部门</w:t>
      </w:r>
      <w:r>
        <w:rPr>
          <w:rFonts w:hint="eastAsia" w:ascii="MS UI Gothic" w:eastAsia="MS UI Gothic"/>
          <w:w w:val="80"/>
        </w:rPr>
        <w:t>、</w:t>
      </w:r>
      <w:r>
        <w:rPr>
          <w:spacing w:val="5"/>
          <w:w w:val="105"/>
        </w:rPr>
        <w:t xml:space="preserve">煤矿安全监察机构 </w:t>
      </w:r>
      <w:r>
        <w:rPr>
          <w:rFonts w:hint="eastAsia" w:ascii="MS UI Gothic" w:eastAsia="MS UI Gothic"/>
          <w:spacing w:val="-37"/>
          <w:w w:val="150"/>
        </w:rPr>
        <w:t xml:space="preserve">( </w:t>
      </w:r>
      <w:r>
        <w:rPr>
          <w:spacing w:val="14"/>
          <w:w w:val="105"/>
        </w:rPr>
        <w:t>以下统称安全监管</w:t>
      </w:r>
      <w:r>
        <w:rPr>
          <w:spacing w:val="3"/>
          <w:w w:val="105"/>
        </w:rPr>
        <w:t>监察部门</w:t>
      </w:r>
      <w:r>
        <w:rPr>
          <w:rFonts w:hint="eastAsia" w:ascii="MS UI Gothic" w:eastAsia="MS UI Gothic"/>
          <w:spacing w:val="-15"/>
          <w:w w:val="150"/>
        </w:rPr>
        <w:t xml:space="preserve">) </w:t>
      </w:r>
      <w:r>
        <w:rPr>
          <w:spacing w:val="3"/>
          <w:w w:val="105"/>
        </w:rPr>
        <w:t>实施监管监察</w:t>
      </w:r>
      <w:r>
        <w:rPr>
          <w:rFonts w:hint="eastAsia" w:ascii="MS UI Gothic" w:eastAsia="MS UI Gothic"/>
          <w:spacing w:val="2"/>
          <w:w w:val="80"/>
        </w:rPr>
        <w:t xml:space="preserve">ꎬ </w:t>
      </w:r>
      <w:r>
        <w:rPr>
          <w:spacing w:val="3"/>
          <w:w w:val="105"/>
        </w:rPr>
        <w:t>适用本规定</w:t>
      </w:r>
      <w:r>
        <w:rPr>
          <w:rFonts w:hint="eastAsia" w:ascii="MS UI Gothic" w:eastAsia="MS UI Gothic"/>
          <w:w w:val="80"/>
        </w:rPr>
        <w:t>ꎮ</w:t>
      </w:r>
    </w:p>
    <w:p>
      <w:pPr>
        <w:pStyle w:val="6"/>
        <w:spacing w:line="292" w:lineRule="auto"/>
        <w:ind w:left="440" w:right="1"/>
        <w:rPr>
          <w:rFonts w:hint="eastAsia" w:ascii="MS UI Gothic" w:eastAsia="MS UI Gothic"/>
        </w:rPr>
      </w:pPr>
      <w:r>
        <w:rPr>
          <w:spacing w:val="3"/>
        </w:rPr>
        <w:t>有关法律</w:t>
      </w:r>
      <w:r>
        <w:rPr>
          <w:rFonts w:hint="eastAsia" w:ascii="MS UI Gothic" w:eastAsia="MS UI Gothic"/>
          <w:spacing w:val="15"/>
          <w:w w:val="80"/>
        </w:rPr>
        <w:t xml:space="preserve">、 </w:t>
      </w:r>
      <w:r>
        <w:rPr>
          <w:spacing w:val="2"/>
        </w:rPr>
        <w:t>行政法规对安全生产事故</w:t>
      </w:r>
      <w:r>
        <w:rPr>
          <w:spacing w:val="3"/>
        </w:rPr>
        <w:t>隐患排查治理另有规定的</w:t>
      </w:r>
      <w:r>
        <w:rPr>
          <w:rFonts w:hint="eastAsia" w:ascii="MS UI Gothic" w:eastAsia="MS UI Gothic"/>
          <w:spacing w:val="23"/>
          <w:w w:val="80"/>
        </w:rPr>
        <w:t xml:space="preserve">ꎬ </w:t>
      </w:r>
      <w:r>
        <w:rPr>
          <w:spacing w:val="3"/>
        </w:rPr>
        <w:t>依照其规定</w:t>
      </w:r>
      <w:r>
        <w:rPr>
          <w:rFonts w:hint="eastAsia" w:ascii="MS UI Gothic" w:eastAsia="MS UI Gothic"/>
          <w:w w:val="80"/>
        </w:rPr>
        <w:t>ꎮ</w:t>
      </w:r>
    </w:p>
    <w:p>
      <w:pPr>
        <w:pStyle w:val="6"/>
        <w:spacing w:line="292" w:lineRule="auto"/>
        <w:ind w:left="440" w:right="1"/>
        <w:rPr>
          <w:rFonts w:hint="eastAsia" w:ascii="MS UI Gothic" w:eastAsia="MS UI Gothic"/>
        </w:rPr>
      </w:pPr>
      <w:r>
        <w:rPr>
          <w:spacing w:val="2"/>
          <w:w w:val="105"/>
        </w:rPr>
        <w:t>第三条 本规定所称安全生产事故隐</w:t>
      </w:r>
      <w:r>
        <w:rPr>
          <w:spacing w:val="-17"/>
          <w:w w:val="105"/>
        </w:rPr>
        <w:t xml:space="preserve">患 </w:t>
      </w:r>
      <w:r>
        <w:rPr>
          <w:rFonts w:hint="eastAsia" w:ascii="MS UI Gothic" w:eastAsia="MS UI Gothic"/>
          <w:spacing w:val="-39"/>
          <w:w w:val="150"/>
        </w:rPr>
        <w:t xml:space="preserve">( </w:t>
      </w:r>
      <w:r>
        <w:rPr>
          <w:spacing w:val="5"/>
          <w:w w:val="105"/>
        </w:rPr>
        <w:t>以下简称事故隐患</w:t>
      </w:r>
      <w:r>
        <w:rPr>
          <w:rFonts w:hint="eastAsia" w:ascii="MS UI Gothic" w:eastAsia="MS UI Gothic"/>
          <w:spacing w:val="-39"/>
          <w:w w:val="150"/>
        </w:rPr>
        <w:t xml:space="preserve">) </w:t>
      </w:r>
      <w:r>
        <w:rPr>
          <w:rFonts w:hint="eastAsia" w:ascii="MS UI Gothic" w:eastAsia="MS UI Gothic"/>
          <w:spacing w:val="10"/>
          <w:w w:val="80"/>
        </w:rPr>
        <w:t xml:space="preserve">ꎬ </w:t>
      </w:r>
      <w:r>
        <w:rPr>
          <w:spacing w:val="7"/>
          <w:w w:val="105"/>
        </w:rPr>
        <w:t>是指生产经营</w:t>
      </w:r>
      <w:r>
        <w:rPr>
          <w:spacing w:val="3"/>
          <w:w w:val="105"/>
        </w:rPr>
        <w:t>单位违反安全生产法律</w:t>
      </w:r>
      <w:r>
        <w:rPr>
          <w:rFonts w:hint="eastAsia" w:ascii="MS UI Gothic" w:eastAsia="MS UI Gothic"/>
          <w:spacing w:val="16"/>
          <w:w w:val="80"/>
        </w:rPr>
        <w:t xml:space="preserve">、 </w:t>
      </w:r>
      <w:r>
        <w:rPr>
          <w:spacing w:val="3"/>
          <w:w w:val="105"/>
        </w:rPr>
        <w:t>法规</w:t>
      </w:r>
      <w:r>
        <w:rPr>
          <w:rFonts w:hint="eastAsia" w:ascii="MS UI Gothic" w:eastAsia="MS UI Gothic"/>
          <w:spacing w:val="17"/>
          <w:w w:val="80"/>
        </w:rPr>
        <w:t xml:space="preserve">、 </w:t>
      </w:r>
      <w:r>
        <w:rPr>
          <w:spacing w:val="3"/>
          <w:w w:val="105"/>
        </w:rPr>
        <w:t>规章</w:t>
      </w:r>
      <w:r>
        <w:rPr>
          <w:rFonts w:hint="eastAsia" w:ascii="MS UI Gothic" w:eastAsia="MS UI Gothic"/>
          <w:spacing w:val="16"/>
          <w:w w:val="80"/>
        </w:rPr>
        <w:t xml:space="preserve">、 </w:t>
      </w:r>
      <w:r>
        <w:rPr>
          <w:w w:val="105"/>
        </w:rPr>
        <w:t>标</w:t>
      </w:r>
      <w:r>
        <w:rPr>
          <w:spacing w:val="3"/>
          <w:w w:val="105"/>
        </w:rPr>
        <w:t>准</w:t>
      </w:r>
      <w:r>
        <w:rPr>
          <w:rFonts w:hint="eastAsia" w:ascii="MS UI Gothic" w:eastAsia="MS UI Gothic"/>
          <w:spacing w:val="-2"/>
          <w:w w:val="80"/>
        </w:rPr>
        <w:t xml:space="preserve">、 </w:t>
      </w:r>
      <w:r>
        <w:rPr>
          <w:spacing w:val="3"/>
          <w:w w:val="105"/>
        </w:rPr>
        <w:t>规程和安全生产管理制度的规定</w:t>
      </w:r>
      <w:r>
        <w:rPr>
          <w:rFonts w:hint="eastAsia" w:ascii="MS UI Gothic" w:eastAsia="MS UI Gothic"/>
          <w:spacing w:val="-2"/>
          <w:w w:val="80"/>
        </w:rPr>
        <w:t xml:space="preserve">ꎬ </w:t>
      </w:r>
      <w:r>
        <w:rPr>
          <w:w w:val="105"/>
        </w:rPr>
        <w:t>或</w:t>
      </w:r>
      <w:r>
        <w:rPr>
          <w:spacing w:val="2"/>
        </w:rPr>
        <w:t>者因其他因素在生产经营活动中存在可能</w:t>
      </w:r>
      <w:r>
        <w:rPr>
          <w:spacing w:val="3"/>
          <w:w w:val="105"/>
        </w:rPr>
        <w:t>导致事故发生的物的危险状态</w:t>
      </w:r>
      <w:r>
        <w:rPr>
          <w:rFonts w:hint="eastAsia" w:ascii="MS UI Gothic" w:eastAsia="MS UI Gothic"/>
          <w:spacing w:val="-5"/>
          <w:w w:val="80"/>
        </w:rPr>
        <w:t xml:space="preserve">、 </w:t>
      </w:r>
      <w:r>
        <w:rPr>
          <w:spacing w:val="2"/>
          <w:w w:val="105"/>
        </w:rPr>
        <w:t>人的不安</w:t>
      </w:r>
      <w:r>
        <w:rPr>
          <w:spacing w:val="3"/>
          <w:w w:val="105"/>
        </w:rPr>
        <w:t>全行为和管理上的缺陷</w:t>
      </w:r>
      <w:r>
        <w:rPr>
          <w:rFonts w:hint="eastAsia" w:ascii="MS UI Gothic" w:eastAsia="MS UI Gothic"/>
          <w:w w:val="80"/>
        </w:rPr>
        <w:t>ꎮ</w:t>
      </w:r>
    </w:p>
    <w:p>
      <w:pPr>
        <w:pStyle w:val="6"/>
        <w:spacing w:line="292" w:lineRule="auto"/>
        <w:ind w:left="440" w:right="1"/>
        <w:rPr>
          <w:rFonts w:hint="eastAsia" w:ascii="MS UI Gothic" w:eastAsia="MS UI Gothic"/>
        </w:rPr>
      </w:pPr>
      <w:r>
        <w:t>事故隐患分为一般事故隐患和重大事故隐患</w:t>
      </w:r>
      <w:r>
        <w:rPr>
          <w:rFonts w:hint="eastAsia" w:ascii="MS UI Gothic" w:eastAsia="MS UI Gothic"/>
          <w:w w:val="80"/>
        </w:rPr>
        <w:t xml:space="preserve">ꎮ </w:t>
      </w:r>
      <w:r>
        <w:t>一般事故隐患</w:t>
      </w:r>
      <w:r>
        <w:rPr>
          <w:rFonts w:hint="eastAsia" w:ascii="MS UI Gothic" w:eastAsia="MS UI Gothic"/>
          <w:w w:val="80"/>
        </w:rPr>
        <w:t xml:space="preserve">ꎬ </w:t>
      </w:r>
      <w:r>
        <w:t>是指危害和整改难度较小</w:t>
      </w:r>
      <w:r>
        <w:rPr>
          <w:rFonts w:hint="eastAsia" w:ascii="MS UI Gothic" w:eastAsia="MS UI Gothic"/>
          <w:w w:val="80"/>
        </w:rPr>
        <w:t xml:space="preserve">ꎬ </w:t>
      </w:r>
      <w:r>
        <w:t>发现后能够立即整改排除的隐患</w:t>
      </w:r>
      <w:r>
        <w:rPr>
          <w:rFonts w:hint="eastAsia" w:ascii="MS UI Gothic" w:eastAsia="MS UI Gothic"/>
          <w:w w:val="80"/>
        </w:rPr>
        <w:t xml:space="preserve">ꎮ </w:t>
      </w:r>
      <w:r>
        <w:t>重大事故隐患</w:t>
      </w:r>
      <w:r>
        <w:rPr>
          <w:rFonts w:hint="eastAsia" w:ascii="MS UI Gothic" w:eastAsia="MS UI Gothic"/>
          <w:w w:val="80"/>
        </w:rPr>
        <w:t xml:space="preserve">ꎬ </w:t>
      </w:r>
      <w:r>
        <w:t>是指危害和整改难度较大</w:t>
      </w:r>
      <w:r>
        <w:rPr>
          <w:rFonts w:hint="eastAsia" w:ascii="MS UI Gothic" w:eastAsia="MS UI Gothic"/>
          <w:w w:val="80"/>
        </w:rPr>
        <w:t xml:space="preserve">ꎬ </w:t>
      </w:r>
      <w:r>
        <w:t>应当全部或者局部停产停业</w:t>
      </w:r>
      <w:r>
        <w:rPr>
          <w:rFonts w:hint="eastAsia" w:ascii="MS UI Gothic" w:eastAsia="MS UI Gothic"/>
          <w:w w:val="80"/>
        </w:rPr>
        <w:t xml:space="preserve">ꎬ </w:t>
      </w:r>
      <w:r>
        <w:t>并经过一定时间整改治理方能排除的隐患</w:t>
      </w:r>
      <w:r>
        <w:rPr>
          <w:rFonts w:hint="eastAsia" w:ascii="MS UI Gothic" w:eastAsia="MS UI Gothic"/>
          <w:w w:val="80"/>
        </w:rPr>
        <w:t xml:space="preserve">ꎬ </w:t>
      </w:r>
      <w:r>
        <w:t>或者因外部因素影响致使生产经营单位自身难以排除的隐患</w:t>
      </w:r>
      <w:r>
        <w:rPr>
          <w:rFonts w:hint="eastAsia" w:ascii="MS UI Gothic" w:eastAsia="MS UI Gothic"/>
          <w:w w:val="80"/>
        </w:rPr>
        <w:t>ꎮ</w:t>
      </w:r>
    </w:p>
    <w:p>
      <w:pPr>
        <w:pStyle w:val="6"/>
        <w:spacing w:line="292" w:lineRule="auto"/>
        <w:ind w:left="440" w:right="1"/>
        <w:rPr>
          <w:rFonts w:hint="eastAsia" w:ascii="MS UI Gothic" w:eastAsia="MS UI Gothic"/>
        </w:rPr>
      </w:pPr>
      <w:r>
        <w:rPr>
          <w:w w:val="105"/>
        </w:rPr>
        <w:t>第四条 生产经营单位应当建立健全事故隐患排查治理制度</w:t>
      </w:r>
      <w:r>
        <w:rPr>
          <w:rFonts w:hint="eastAsia" w:ascii="MS UI Gothic" w:eastAsia="MS UI Gothic"/>
          <w:w w:val="80"/>
        </w:rPr>
        <w:t>ꎮ</w:t>
      </w:r>
    </w:p>
    <w:p>
      <w:pPr>
        <w:pStyle w:val="6"/>
        <w:spacing w:line="292" w:lineRule="auto"/>
        <w:ind w:left="440" w:right="1"/>
        <w:jc w:val="left"/>
        <w:rPr>
          <w:rFonts w:hint="eastAsia" w:ascii="MS UI Gothic" w:eastAsia="MS UI Gothic"/>
        </w:rPr>
      </w:pPr>
      <w:r>
        <w:t>生产经营单位主要负责人对本单位事</w:t>
      </w:r>
      <w:r>
        <w:rPr>
          <w:w w:val="105"/>
        </w:rPr>
        <w:t>故隐患排查治理工作全面负责</w:t>
      </w:r>
      <w:r>
        <w:rPr>
          <w:rFonts w:hint="eastAsia" w:ascii="MS UI Gothic" w:eastAsia="MS UI Gothic"/>
          <w:w w:val="80"/>
        </w:rPr>
        <w:t>ꎮ</w:t>
      </w:r>
    </w:p>
    <w:p>
      <w:pPr>
        <w:pStyle w:val="6"/>
        <w:spacing w:line="292" w:lineRule="auto"/>
        <w:ind w:left="440" w:right="1"/>
      </w:pPr>
      <w:r>
        <w:rPr>
          <w:w w:val="105"/>
        </w:rPr>
        <w:t>第五条 各级安全监管监察部门按照</w:t>
      </w:r>
      <w:r>
        <w:t>职责对所辖区域内生产经营单位排查治理事故隐患工作依法实施综合监督管理</w:t>
      </w:r>
      <w:r>
        <w:rPr>
          <w:rFonts w:hint="eastAsia" w:ascii="MS UI Gothic" w:eastAsia="MS UI Gothic"/>
          <w:w w:val="80"/>
        </w:rPr>
        <w:t xml:space="preserve">ꎻ </w:t>
      </w:r>
      <w:r>
        <w:t>各</w:t>
      </w:r>
    </w:p>
    <w:p>
      <w:pPr>
        <w:pStyle w:val="6"/>
        <w:spacing w:before="83" w:line="292" w:lineRule="auto"/>
        <w:ind w:left="381" w:right="126" w:firstLine="0"/>
        <w:rPr>
          <w:rFonts w:hint="eastAsia" w:ascii="MS UI Gothic" w:eastAsia="MS UI Gothic"/>
        </w:rPr>
      </w:pPr>
      <w:r>
        <w:br w:type="column"/>
      </w:r>
      <w:r>
        <w:t>级人民政府有关部门在各自职责范围内对生产经营单位排查治理事故隐患工作依法</w:t>
      </w:r>
      <w:r>
        <w:rPr>
          <w:w w:val="105"/>
        </w:rPr>
        <w:t>实施监督管理</w:t>
      </w:r>
      <w:r>
        <w:rPr>
          <w:rFonts w:hint="eastAsia" w:ascii="MS UI Gothic" w:eastAsia="MS UI Gothic"/>
          <w:w w:val="80"/>
        </w:rPr>
        <w:t>ꎮ</w:t>
      </w:r>
    </w:p>
    <w:p>
      <w:pPr>
        <w:pStyle w:val="6"/>
        <w:spacing w:line="292" w:lineRule="auto"/>
        <w:ind w:left="381" w:right="126"/>
        <w:rPr>
          <w:rFonts w:hint="eastAsia" w:ascii="MS UI Gothic" w:eastAsia="MS UI Gothic"/>
        </w:rPr>
      </w:pPr>
      <w:r>
        <w:t>第六条 任何单位和个人发现事故隐患</w:t>
      </w:r>
      <w:r>
        <w:rPr>
          <w:rFonts w:hint="eastAsia" w:ascii="MS UI Gothic" w:eastAsia="MS UI Gothic"/>
          <w:w w:val="80"/>
        </w:rPr>
        <w:t xml:space="preserve">ꎬ </w:t>
      </w:r>
      <w:r>
        <w:t>均有权向安全监管监察部门和有关部门报告</w:t>
      </w:r>
      <w:r>
        <w:rPr>
          <w:rFonts w:hint="eastAsia" w:ascii="MS UI Gothic" w:eastAsia="MS UI Gothic"/>
          <w:w w:val="80"/>
        </w:rPr>
        <w:t>ꎮ</w:t>
      </w:r>
    </w:p>
    <w:p>
      <w:pPr>
        <w:pStyle w:val="6"/>
        <w:spacing w:line="292" w:lineRule="auto"/>
        <w:ind w:left="381" w:right="126"/>
        <w:rPr>
          <w:rFonts w:hint="eastAsia" w:ascii="MS UI Gothic" w:eastAsia="MS UI Gothic"/>
        </w:rPr>
      </w:pPr>
      <w:r>
        <w:t>安全监管监察部门接到事故隐患报告后</w:t>
      </w:r>
      <w:r>
        <w:rPr>
          <w:rFonts w:hint="eastAsia" w:ascii="MS UI Gothic" w:eastAsia="MS UI Gothic"/>
          <w:w w:val="80"/>
        </w:rPr>
        <w:t xml:space="preserve">ꎬ </w:t>
      </w:r>
      <w:r>
        <w:t>应当按照职责分工立即组织核实并予以查处</w:t>
      </w:r>
      <w:r>
        <w:rPr>
          <w:rFonts w:hint="eastAsia" w:ascii="MS UI Gothic" w:eastAsia="MS UI Gothic"/>
          <w:w w:val="80"/>
        </w:rPr>
        <w:t xml:space="preserve">ꎻ </w:t>
      </w:r>
      <w:r>
        <w:t>发现所报告事故隐患应当由其他有关部门处理的</w:t>
      </w:r>
      <w:r>
        <w:rPr>
          <w:rFonts w:hint="eastAsia" w:ascii="MS UI Gothic" w:eastAsia="MS UI Gothic"/>
          <w:w w:val="80"/>
        </w:rPr>
        <w:t xml:space="preserve">ꎬ </w:t>
      </w:r>
      <w:r>
        <w:t>应当立即移送有关部门并记录备查</w:t>
      </w:r>
      <w:r>
        <w:rPr>
          <w:rFonts w:hint="eastAsia" w:ascii="MS UI Gothic" w:eastAsia="MS UI Gothic"/>
          <w:w w:val="80"/>
        </w:rPr>
        <w:t>ꎮ</w:t>
      </w:r>
    </w:p>
    <w:p>
      <w:pPr>
        <w:pStyle w:val="6"/>
        <w:tabs>
          <w:tab w:val="left" w:pos="1743"/>
        </w:tabs>
        <w:spacing w:before="154"/>
        <w:ind w:left="905" w:firstLine="0"/>
        <w:jc w:val="left"/>
      </w:pPr>
      <w:r>
        <w:rPr>
          <w:spacing w:val="3"/>
          <w:w w:val="105"/>
        </w:rPr>
        <w:t>第二</w:t>
      </w:r>
      <w:r>
        <w:rPr>
          <w:w w:val="105"/>
        </w:rPr>
        <w:t>章</w:t>
      </w:r>
      <w:r>
        <w:rPr>
          <w:w w:val="105"/>
        </w:rPr>
        <w:tab/>
      </w:r>
      <w:r>
        <w:rPr>
          <w:spacing w:val="3"/>
          <w:w w:val="105"/>
        </w:rPr>
        <w:t>生产经营单位的职</w:t>
      </w:r>
      <w:r>
        <w:rPr>
          <w:w w:val="105"/>
        </w:rPr>
        <w:t>责</w:t>
      </w:r>
    </w:p>
    <w:p>
      <w:pPr>
        <w:pStyle w:val="6"/>
        <w:spacing w:before="215" w:line="292" w:lineRule="auto"/>
        <w:ind w:left="381" w:right="126"/>
        <w:rPr>
          <w:rFonts w:hint="eastAsia" w:ascii="MS UI Gothic" w:eastAsia="MS UI Gothic"/>
        </w:rPr>
      </w:pPr>
      <w:r>
        <w:t>第七条  生产经营单位应当依照法律</w:t>
      </w:r>
      <w:r>
        <w:rPr>
          <w:rFonts w:hint="eastAsia" w:ascii="MS UI Gothic" w:eastAsia="MS UI Gothic"/>
          <w:w w:val="80"/>
        </w:rPr>
        <w:t xml:space="preserve">、 </w:t>
      </w:r>
      <w:r>
        <w:t>法规</w:t>
      </w:r>
      <w:r>
        <w:rPr>
          <w:rFonts w:hint="eastAsia" w:ascii="MS UI Gothic" w:eastAsia="MS UI Gothic"/>
          <w:w w:val="80"/>
        </w:rPr>
        <w:t xml:space="preserve">、 </w:t>
      </w:r>
      <w:r>
        <w:t>规章</w:t>
      </w:r>
      <w:r>
        <w:rPr>
          <w:rFonts w:hint="eastAsia" w:ascii="MS UI Gothic" w:eastAsia="MS UI Gothic"/>
          <w:w w:val="80"/>
        </w:rPr>
        <w:t xml:space="preserve">、 </w:t>
      </w:r>
      <w:r>
        <w:t>标准和规程的要求从事生产经营活动</w:t>
      </w:r>
      <w:r>
        <w:rPr>
          <w:rFonts w:hint="eastAsia" w:ascii="MS UI Gothic" w:eastAsia="MS UI Gothic"/>
          <w:w w:val="80"/>
        </w:rPr>
        <w:t xml:space="preserve">ꎮ </w:t>
      </w:r>
      <w:r>
        <w:t>严禁非法从事生产经营活动</w:t>
      </w:r>
      <w:r>
        <w:rPr>
          <w:rFonts w:hint="eastAsia" w:ascii="MS UI Gothic" w:eastAsia="MS UI Gothic"/>
          <w:w w:val="80"/>
        </w:rPr>
        <w:t>ꎮ</w:t>
      </w:r>
    </w:p>
    <w:p>
      <w:pPr>
        <w:pStyle w:val="6"/>
        <w:spacing w:line="292" w:lineRule="auto"/>
        <w:ind w:left="381" w:right="126"/>
        <w:rPr>
          <w:rFonts w:hint="eastAsia" w:ascii="MS UI Gothic" w:eastAsia="MS UI Gothic"/>
        </w:rPr>
      </w:pPr>
      <w:r>
        <w:t>第八条 生产经营单位是事故隐患排查</w:t>
      </w:r>
      <w:r>
        <w:rPr>
          <w:rFonts w:hint="eastAsia" w:ascii="MS UI Gothic" w:eastAsia="MS UI Gothic"/>
          <w:w w:val="80"/>
        </w:rPr>
        <w:t xml:space="preserve">、 </w:t>
      </w:r>
      <w:r>
        <w:t>治理和防控的责任主体</w:t>
      </w:r>
      <w:r>
        <w:rPr>
          <w:rFonts w:hint="eastAsia" w:ascii="MS UI Gothic" w:eastAsia="MS UI Gothic"/>
          <w:w w:val="80"/>
        </w:rPr>
        <w:t>ꎮ</w:t>
      </w:r>
    </w:p>
    <w:p>
      <w:pPr>
        <w:pStyle w:val="6"/>
        <w:spacing w:line="292" w:lineRule="auto"/>
        <w:ind w:left="381" w:right="126"/>
        <w:rPr>
          <w:rFonts w:hint="eastAsia" w:ascii="MS UI Gothic" w:eastAsia="MS UI Gothic"/>
        </w:rPr>
      </w:pPr>
      <w:r>
        <w:t>生产经营单位应当建立健全事故隐患排查治理和建档监控等制度</w:t>
      </w:r>
      <w:r>
        <w:rPr>
          <w:rFonts w:hint="eastAsia" w:ascii="MS UI Gothic" w:eastAsia="MS UI Gothic"/>
          <w:w w:val="80"/>
        </w:rPr>
        <w:t xml:space="preserve">ꎬ </w:t>
      </w:r>
      <w:r>
        <w:t>逐级建立并落实从主要负责人到每个从业人员的隐患</w:t>
      </w:r>
      <w:r>
        <w:rPr>
          <w:w w:val="105"/>
        </w:rPr>
        <w:t>排查治理和监控责任制</w:t>
      </w:r>
      <w:r>
        <w:rPr>
          <w:rFonts w:hint="eastAsia" w:ascii="MS UI Gothic" w:eastAsia="MS UI Gothic"/>
          <w:w w:val="80"/>
        </w:rPr>
        <w:t>ꎮ</w:t>
      </w:r>
    </w:p>
    <w:p>
      <w:pPr>
        <w:pStyle w:val="6"/>
        <w:spacing w:line="292" w:lineRule="auto"/>
        <w:ind w:left="381" w:right="126"/>
        <w:rPr>
          <w:rFonts w:hint="eastAsia" w:ascii="MS UI Gothic" w:eastAsia="MS UI Gothic"/>
        </w:rPr>
      </w:pPr>
      <w:r>
        <w:t>第九条 生产经营单位应当保证事故隐患排查治理所需的资金</w:t>
      </w:r>
      <w:r>
        <w:rPr>
          <w:rFonts w:hint="eastAsia" w:ascii="MS UI Gothic" w:eastAsia="MS UI Gothic"/>
          <w:w w:val="80"/>
        </w:rPr>
        <w:t xml:space="preserve">ꎬ </w:t>
      </w:r>
      <w:r>
        <w:t>建立资金使用专项制度</w:t>
      </w:r>
      <w:r>
        <w:rPr>
          <w:rFonts w:hint="eastAsia" w:ascii="MS UI Gothic" w:eastAsia="MS UI Gothic"/>
          <w:w w:val="80"/>
        </w:rPr>
        <w:t>ꎮ</w:t>
      </w:r>
    </w:p>
    <w:p>
      <w:pPr>
        <w:pStyle w:val="6"/>
        <w:spacing w:line="292" w:lineRule="auto"/>
        <w:ind w:left="381" w:right="126"/>
        <w:rPr>
          <w:rFonts w:hint="eastAsia" w:ascii="MS UI Gothic" w:eastAsia="MS UI Gothic"/>
        </w:rPr>
      </w:pPr>
      <w:r>
        <w:t>第十条 生产经营单位应当定期组织安全生产管理人员</w:t>
      </w:r>
      <w:r>
        <w:rPr>
          <w:rFonts w:hint="eastAsia" w:ascii="MS UI Gothic" w:eastAsia="MS UI Gothic"/>
          <w:w w:val="80"/>
        </w:rPr>
        <w:t xml:space="preserve">、 </w:t>
      </w:r>
      <w:r>
        <w:t>工程技术人员和其他相关人员排查本单位的事故隐患</w:t>
      </w:r>
      <w:r>
        <w:rPr>
          <w:rFonts w:hint="eastAsia" w:ascii="MS UI Gothic" w:eastAsia="MS UI Gothic"/>
          <w:w w:val="80"/>
        </w:rPr>
        <w:t xml:space="preserve">ꎮ </w:t>
      </w:r>
      <w:r>
        <w:t>对排查出的事故隐患</w:t>
      </w:r>
      <w:r>
        <w:rPr>
          <w:rFonts w:hint="eastAsia" w:ascii="MS UI Gothic" w:eastAsia="MS UI Gothic"/>
          <w:w w:val="80"/>
        </w:rPr>
        <w:t xml:space="preserve">ꎬ </w:t>
      </w:r>
      <w:r>
        <w:t>应当按照事故隐患的等级进行登记</w:t>
      </w:r>
      <w:r>
        <w:rPr>
          <w:rFonts w:hint="eastAsia" w:ascii="MS UI Gothic" w:eastAsia="MS UI Gothic"/>
          <w:w w:val="80"/>
        </w:rPr>
        <w:t xml:space="preserve">ꎬ </w:t>
      </w:r>
      <w:r>
        <w:t>建立事故隐患信息档案</w:t>
      </w:r>
      <w:r>
        <w:rPr>
          <w:rFonts w:hint="eastAsia" w:ascii="MS UI Gothic" w:eastAsia="MS UI Gothic"/>
          <w:w w:val="80"/>
        </w:rPr>
        <w:t xml:space="preserve">ꎬ </w:t>
      </w:r>
      <w:r>
        <w:t>并按照职责分工实施监控治理</w:t>
      </w:r>
      <w:r>
        <w:rPr>
          <w:rFonts w:hint="eastAsia" w:ascii="MS UI Gothic" w:eastAsia="MS UI Gothic"/>
          <w:w w:val="80"/>
        </w:rPr>
        <w:t>ꎮ</w:t>
      </w:r>
    </w:p>
    <w:p>
      <w:pPr>
        <w:pStyle w:val="6"/>
        <w:spacing w:line="292" w:lineRule="auto"/>
        <w:ind w:left="381" w:right="126"/>
      </w:pPr>
      <w:r>
        <w:t>第十一条 生产经营单位应当建立事故隐患报告和举报奖励制度</w:t>
      </w:r>
      <w:r>
        <w:rPr>
          <w:rFonts w:hint="eastAsia" w:ascii="MS UI Gothic" w:eastAsia="MS UI Gothic"/>
          <w:w w:val="80"/>
        </w:rPr>
        <w:t xml:space="preserve">ꎬ </w:t>
      </w:r>
      <w:r>
        <w:t>鼓励</w:t>
      </w:r>
      <w:r>
        <w:rPr>
          <w:rFonts w:hint="eastAsia" w:ascii="MS UI Gothic" w:eastAsia="MS UI Gothic"/>
          <w:w w:val="80"/>
        </w:rPr>
        <w:t xml:space="preserve">、 </w:t>
      </w:r>
      <w:r>
        <w:t>发动职工发现和排除事故隐患</w:t>
      </w:r>
      <w:r>
        <w:rPr>
          <w:rFonts w:hint="eastAsia" w:ascii="MS UI Gothic" w:eastAsia="MS UI Gothic"/>
          <w:w w:val="80"/>
        </w:rPr>
        <w:t xml:space="preserve">ꎬ </w:t>
      </w:r>
      <w:r>
        <w:t>鼓励社会公众举报</w:t>
      </w:r>
      <w:r>
        <w:rPr>
          <w:rFonts w:hint="eastAsia" w:ascii="MS UI Gothic" w:eastAsia="MS UI Gothic"/>
          <w:w w:val="80"/>
        </w:rPr>
        <w:t xml:space="preserve">ꎮ </w:t>
      </w:r>
      <w:r>
        <w:t>对发现</w:t>
      </w:r>
      <w:r>
        <w:rPr>
          <w:rFonts w:hint="eastAsia" w:ascii="MS UI Gothic" w:eastAsia="MS UI Gothic"/>
          <w:w w:val="80"/>
        </w:rPr>
        <w:t xml:space="preserve">、 </w:t>
      </w:r>
      <w:r>
        <w:t>排除和举报事故隐患的有</w:t>
      </w:r>
    </w:p>
    <w:p>
      <w:pPr>
        <w:spacing w:after="0" w:line="292"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８８</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12" o:spid="_x0000_s1312" o:spt="203" style="height:2.15pt;width:398.25pt;" coordsize="7965,43">
            <o:lock v:ext="edit"/>
            <v:line id="_x0000_s1313" o:spid="_x0000_s1313" o:spt="20" style="position:absolute;left:0;top:39;height:0;width:7965;" stroked="t" coordsize="21600,21600">
              <v:path arrowok="t"/>
              <v:fill focussize="0,0"/>
              <v:stroke weight="0.388031496062992pt" color="#231F20"/>
              <v:imagedata o:title=""/>
              <o:lock v:ext="edit"/>
            </v:line>
            <v:line id="_x0000_s1314" o:spid="_x0000_s131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rPr>
          <w:rFonts w:hint="eastAsia" w:ascii="MS UI Gothic" w:eastAsia="MS UI Gothic"/>
        </w:rPr>
      </w:pPr>
      <w:r>
        <w:t>功人员</w:t>
      </w:r>
      <w:r>
        <w:rPr>
          <w:rFonts w:hint="eastAsia" w:ascii="MS UI Gothic" w:eastAsia="MS UI Gothic"/>
          <w:w w:val="80"/>
        </w:rPr>
        <w:t xml:space="preserve">ꎬ </w:t>
      </w:r>
      <w:r>
        <w:t>应当给予物质奖励和表彰</w:t>
      </w:r>
      <w:r>
        <w:rPr>
          <w:rFonts w:hint="eastAsia" w:ascii="MS UI Gothic" w:eastAsia="MS UI Gothic"/>
          <w:w w:val="80"/>
        </w:rPr>
        <w:t>ꎮ</w:t>
      </w:r>
    </w:p>
    <w:p>
      <w:pPr>
        <w:pStyle w:val="6"/>
        <w:spacing w:before="58" w:line="295" w:lineRule="auto"/>
        <w:ind w:right="38"/>
        <w:rPr>
          <w:rFonts w:hint="eastAsia" w:ascii="MS UI Gothic" w:eastAsia="MS UI Gothic"/>
        </w:rPr>
      </w:pPr>
      <w:r>
        <w:t>第十二条 生产经营单位将生产经营项目</w:t>
      </w:r>
      <w:r>
        <w:rPr>
          <w:rFonts w:hint="eastAsia" w:ascii="MS UI Gothic" w:eastAsia="MS UI Gothic"/>
          <w:w w:val="80"/>
        </w:rPr>
        <w:t xml:space="preserve">、 </w:t>
      </w:r>
      <w:r>
        <w:t>场所</w:t>
      </w:r>
      <w:r>
        <w:rPr>
          <w:rFonts w:hint="eastAsia" w:ascii="MS UI Gothic" w:eastAsia="MS UI Gothic"/>
          <w:w w:val="80"/>
        </w:rPr>
        <w:t xml:space="preserve">、 </w:t>
      </w:r>
      <w:r>
        <w:t>设备发包</w:t>
      </w:r>
      <w:r>
        <w:rPr>
          <w:rFonts w:hint="eastAsia" w:ascii="MS UI Gothic" w:eastAsia="MS UI Gothic"/>
          <w:w w:val="80"/>
        </w:rPr>
        <w:t xml:space="preserve">、 </w:t>
      </w:r>
      <w:r>
        <w:t>出租的</w:t>
      </w:r>
      <w:r>
        <w:rPr>
          <w:rFonts w:hint="eastAsia" w:ascii="MS UI Gothic" w:eastAsia="MS UI Gothic"/>
          <w:w w:val="80"/>
        </w:rPr>
        <w:t xml:space="preserve">ꎬ  </w:t>
      </w:r>
      <w:r>
        <w:t>应当与承包</w:t>
      </w:r>
      <w:r>
        <w:rPr>
          <w:rFonts w:hint="eastAsia" w:ascii="MS UI Gothic" w:eastAsia="MS UI Gothic"/>
          <w:w w:val="80"/>
        </w:rPr>
        <w:t xml:space="preserve">、 </w:t>
      </w:r>
      <w:r>
        <w:t>承租单位签订安全生产管理协议</w:t>
      </w:r>
      <w:r>
        <w:rPr>
          <w:rFonts w:hint="eastAsia" w:ascii="MS UI Gothic" w:eastAsia="MS UI Gothic"/>
          <w:w w:val="80"/>
        </w:rPr>
        <w:t>ꎬ</w:t>
      </w:r>
      <w:r>
        <w:t>并在协议中明确各方对事故隐患排查</w:t>
      </w:r>
      <w:r>
        <w:rPr>
          <w:rFonts w:hint="eastAsia" w:ascii="MS UI Gothic" w:eastAsia="MS UI Gothic"/>
          <w:w w:val="80"/>
        </w:rPr>
        <w:t xml:space="preserve">、 </w:t>
      </w:r>
      <w:r>
        <w:t>治理和防控的管理职责</w:t>
      </w:r>
      <w:r>
        <w:rPr>
          <w:rFonts w:hint="eastAsia" w:ascii="MS UI Gothic" w:eastAsia="MS UI Gothic"/>
          <w:w w:val="80"/>
        </w:rPr>
        <w:t xml:space="preserve">ꎮ </w:t>
      </w:r>
      <w:r>
        <w:t>生产经营单位对承包</w:t>
      </w:r>
      <w:r>
        <w:rPr>
          <w:rFonts w:hint="eastAsia" w:ascii="MS UI Gothic" w:eastAsia="MS UI Gothic"/>
          <w:w w:val="80"/>
        </w:rPr>
        <w:t xml:space="preserve">、 </w:t>
      </w:r>
      <w:r>
        <w:t>承租单位的事故隐患排查治理负有统一协调和监督管理的职责</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第十三条 安全监管监察部门和有关</w:t>
      </w:r>
      <w:r>
        <w:t>部门的监督检查人员依法履行事故隐患监督检查职责时</w:t>
      </w:r>
      <w:r>
        <w:rPr>
          <w:rFonts w:hint="eastAsia" w:ascii="MS UI Gothic" w:eastAsia="MS UI Gothic"/>
          <w:w w:val="80"/>
        </w:rPr>
        <w:t xml:space="preserve">ꎬ </w:t>
      </w:r>
      <w:r>
        <w:t>生产经营单位应当积极配</w:t>
      </w:r>
      <w:r>
        <w:rPr>
          <w:w w:val="105"/>
        </w:rPr>
        <w:t>合</w:t>
      </w:r>
      <w:r>
        <w:rPr>
          <w:rFonts w:hint="eastAsia" w:ascii="MS UI Gothic" w:eastAsia="MS UI Gothic"/>
          <w:w w:val="80"/>
        </w:rPr>
        <w:t xml:space="preserve">ꎬ </w:t>
      </w:r>
      <w:r>
        <w:rPr>
          <w:w w:val="105"/>
        </w:rPr>
        <w:t>不得拒绝和阻挠</w:t>
      </w:r>
      <w:r>
        <w:rPr>
          <w:rFonts w:hint="eastAsia" w:ascii="MS UI Gothic" w:eastAsia="MS UI Gothic"/>
          <w:w w:val="80"/>
        </w:rPr>
        <w:t>ꎮ</w:t>
      </w:r>
    </w:p>
    <w:p>
      <w:pPr>
        <w:pStyle w:val="6"/>
        <w:spacing w:line="295" w:lineRule="auto"/>
        <w:ind w:right="38"/>
        <w:rPr>
          <w:rFonts w:hint="eastAsia" w:ascii="MS UI Gothic" w:eastAsia="MS UI Gothic"/>
        </w:rPr>
      </w:pPr>
      <w:r>
        <w:t>第十四条 生产经营单位应当每季</w:t>
      </w:r>
      <w:r>
        <w:rPr>
          <w:rFonts w:hint="eastAsia" w:ascii="MS UI Gothic" w:eastAsia="MS UI Gothic"/>
        </w:rPr>
        <w:t>、</w:t>
      </w:r>
      <w:r>
        <w:t>每年对本单位事故隐患排查治理情况进行统计分析</w:t>
      </w:r>
      <w:r>
        <w:rPr>
          <w:rFonts w:hint="eastAsia" w:ascii="MS UI Gothic" w:eastAsia="MS UI Gothic"/>
          <w:w w:val="85"/>
        </w:rPr>
        <w:t xml:space="preserve">ꎬ </w:t>
      </w:r>
      <w:r>
        <w:t xml:space="preserve">并分别于下一季度 </w:t>
      </w:r>
      <w:r>
        <w:rPr>
          <w:rFonts w:hint="eastAsia" w:ascii="MS UI Gothic" w:eastAsia="MS UI Gothic"/>
          <w:w w:val="85"/>
        </w:rPr>
        <w:t xml:space="preserve">１５ </w:t>
      </w:r>
      <w:r>
        <w:t xml:space="preserve">日前和下一年 </w:t>
      </w:r>
      <w:r>
        <w:rPr>
          <w:rFonts w:hint="eastAsia" w:ascii="MS UI Gothic" w:eastAsia="MS UI Gothic"/>
        </w:rPr>
        <w:t xml:space="preserve">１ </w:t>
      </w:r>
      <w:r>
        <w:t xml:space="preserve">月 </w:t>
      </w:r>
      <w:r>
        <w:rPr>
          <w:rFonts w:hint="eastAsia" w:ascii="MS UI Gothic" w:eastAsia="MS UI Gothic"/>
          <w:w w:val="85"/>
        </w:rPr>
        <w:t xml:space="preserve">３１ </w:t>
      </w:r>
      <w:r>
        <w:t>日前向安全监管监察部门和有关部门报送书面统计分析表</w:t>
      </w:r>
      <w:r>
        <w:rPr>
          <w:rFonts w:hint="eastAsia" w:ascii="MS UI Gothic" w:eastAsia="MS UI Gothic"/>
          <w:w w:val="85"/>
        </w:rPr>
        <w:t xml:space="preserve">ꎮ </w:t>
      </w:r>
      <w:r>
        <w:t>统计分析表应当由生产经营单位主要负责人签字</w:t>
      </w:r>
      <w:r>
        <w:rPr>
          <w:rFonts w:hint="eastAsia" w:ascii="MS UI Gothic" w:eastAsia="MS UI Gothic"/>
          <w:w w:val="85"/>
        </w:rPr>
        <w:t>ꎮ</w:t>
      </w:r>
    </w:p>
    <w:p>
      <w:pPr>
        <w:pStyle w:val="6"/>
        <w:spacing w:line="295" w:lineRule="auto"/>
        <w:ind w:right="39"/>
        <w:rPr>
          <w:rFonts w:hint="eastAsia" w:ascii="MS UI Gothic" w:eastAsia="MS UI Gothic"/>
        </w:rPr>
      </w:pPr>
      <w:r>
        <w:t>对于重大事故隐患</w:t>
      </w:r>
      <w:r>
        <w:rPr>
          <w:rFonts w:hint="eastAsia" w:ascii="MS UI Gothic" w:eastAsia="MS UI Gothic"/>
          <w:w w:val="80"/>
        </w:rPr>
        <w:t xml:space="preserve">ꎬ </w:t>
      </w:r>
      <w:r>
        <w:t>生产经营单位除依照前款规定报送外</w:t>
      </w:r>
      <w:r>
        <w:rPr>
          <w:rFonts w:hint="eastAsia" w:ascii="MS UI Gothic" w:eastAsia="MS UI Gothic"/>
          <w:w w:val="80"/>
        </w:rPr>
        <w:t xml:space="preserve">ꎬ </w:t>
      </w:r>
      <w:r>
        <w:t>应当及时向安全监管监察部门和有关部门报告</w:t>
      </w:r>
      <w:r>
        <w:rPr>
          <w:rFonts w:hint="eastAsia" w:ascii="MS UI Gothic" w:eastAsia="MS UI Gothic"/>
          <w:w w:val="80"/>
        </w:rPr>
        <w:t xml:space="preserve">ꎮ </w:t>
      </w:r>
      <w:r>
        <w:t>重大事故隐</w:t>
      </w:r>
      <w:r>
        <w:rPr>
          <w:w w:val="105"/>
        </w:rPr>
        <w:t>患报告内容应当包括</w:t>
      </w:r>
      <w:r>
        <w:rPr>
          <w:rFonts w:hint="eastAsia" w:ascii="MS UI Gothic" w:eastAsia="MS UI Gothic"/>
          <w:w w:val="235"/>
        </w:rPr>
        <w:t>:</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隐患的现状及其产生原因</w:t>
      </w:r>
      <w:r>
        <w:rPr>
          <w:rFonts w:hint="eastAsia" w:ascii="MS UI Gothic" w:eastAsia="MS UI Gothic"/>
          <w:w w:val="80"/>
        </w:rPr>
        <w:t>ꎻ</w:t>
      </w:r>
    </w:p>
    <w:p>
      <w:pPr>
        <w:pStyle w:val="6"/>
        <w:spacing w:before="44" w:line="295" w:lineRule="auto"/>
        <w:ind w:right="39"/>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隐患的危害程度和整改难易程</w:t>
      </w:r>
      <w:r>
        <w:rPr>
          <w:w w:val="110"/>
        </w:rPr>
        <w:t>度分析</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隐患的治理方案</w:t>
      </w:r>
      <w:r>
        <w:rPr>
          <w:rFonts w:hint="eastAsia" w:ascii="MS UI Gothic" w:eastAsia="MS UI Gothic"/>
          <w:w w:val="80"/>
        </w:rPr>
        <w:t>ꎮ</w:t>
      </w:r>
    </w:p>
    <w:p>
      <w:pPr>
        <w:pStyle w:val="6"/>
        <w:spacing w:before="58" w:line="295" w:lineRule="auto"/>
        <w:ind w:right="39"/>
        <w:rPr>
          <w:rFonts w:hint="eastAsia" w:ascii="MS UI Gothic" w:eastAsia="MS UI Gothic"/>
        </w:rPr>
      </w:pPr>
      <w:r>
        <w:rPr>
          <w:w w:val="105"/>
        </w:rPr>
        <w:t>第十五条 对于一般事故隐患</w:t>
      </w:r>
      <w:r>
        <w:rPr>
          <w:rFonts w:hint="eastAsia" w:ascii="MS UI Gothic" w:eastAsia="MS UI Gothic"/>
          <w:w w:val="80"/>
        </w:rPr>
        <w:t xml:space="preserve">ꎬ </w:t>
      </w:r>
      <w:r>
        <w:rPr>
          <w:w w:val="105"/>
        </w:rPr>
        <w:t xml:space="preserve">由生产经营单位 </w:t>
      </w:r>
      <w:r>
        <w:rPr>
          <w:rFonts w:hint="eastAsia" w:ascii="MS UI Gothic" w:eastAsia="MS UI Gothic"/>
          <w:w w:val="150"/>
        </w:rPr>
        <w:t xml:space="preserve">( </w:t>
      </w:r>
      <w:r>
        <w:rPr>
          <w:w w:val="105"/>
        </w:rPr>
        <w:t>车间</w:t>
      </w:r>
      <w:r>
        <w:rPr>
          <w:rFonts w:hint="eastAsia" w:ascii="MS UI Gothic" w:eastAsia="MS UI Gothic"/>
          <w:w w:val="80"/>
        </w:rPr>
        <w:t xml:space="preserve">、 </w:t>
      </w:r>
      <w:r>
        <w:rPr>
          <w:w w:val="105"/>
        </w:rPr>
        <w:t>分厂</w:t>
      </w:r>
      <w:r>
        <w:rPr>
          <w:rFonts w:hint="eastAsia" w:ascii="MS UI Gothic" w:eastAsia="MS UI Gothic"/>
          <w:w w:val="80"/>
        </w:rPr>
        <w:t xml:space="preserve">、 </w:t>
      </w:r>
      <w:r>
        <w:rPr>
          <w:w w:val="105"/>
        </w:rPr>
        <w:t>区队等</w:t>
      </w:r>
      <w:r>
        <w:rPr>
          <w:rFonts w:hint="eastAsia" w:ascii="MS UI Gothic" w:eastAsia="MS UI Gothic"/>
          <w:w w:val="150"/>
        </w:rPr>
        <w:t xml:space="preserve">) </w:t>
      </w:r>
      <w:r>
        <w:rPr>
          <w:w w:val="105"/>
        </w:rPr>
        <w:t>负责人或者有关人员立即组织整改</w:t>
      </w:r>
      <w:r>
        <w:rPr>
          <w:rFonts w:hint="eastAsia" w:ascii="MS UI Gothic" w:eastAsia="MS UI Gothic"/>
          <w:w w:val="80"/>
        </w:rPr>
        <w:t>ꎮ</w:t>
      </w:r>
    </w:p>
    <w:p>
      <w:pPr>
        <w:pStyle w:val="6"/>
        <w:spacing w:line="295" w:lineRule="auto"/>
        <w:ind w:right="39"/>
        <w:rPr>
          <w:rFonts w:hint="eastAsia" w:ascii="MS UI Gothic" w:eastAsia="MS UI Gothic"/>
        </w:rPr>
      </w:pPr>
      <w:r>
        <w:t>对于重大事故隐患</w:t>
      </w:r>
      <w:r>
        <w:rPr>
          <w:rFonts w:hint="eastAsia" w:ascii="MS UI Gothic" w:eastAsia="MS UI Gothic"/>
          <w:w w:val="80"/>
        </w:rPr>
        <w:t xml:space="preserve">ꎬ </w:t>
      </w:r>
      <w:r>
        <w:t>由生产经营单位主要负责人组织制定并实施事故隐患治理方案</w:t>
      </w:r>
      <w:r>
        <w:rPr>
          <w:rFonts w:hint="eastAsia" w:ascii="MS UI Gothic" w:eastAsia="MS UI Gothic"/>
          <w:w w:val="80"/>
        </w:rPr>
        <w:t xml:space="preserve">ꎮ </w:t>
      </w:r>
      <w:r>
        <w:t>重大事故隐患治理方案应当包括以</w:t>
      </w:r>
      <w:r>
        <w:rPr>
          <w:w w:val="105"/>
        </w:rPr>
        <w:t>下内容</w:t>
      </w:r>
      <w:r>
        <w:rPr>
          <w:rFonts w:hint="eastAsia" w:ascii="MS UI Gothic" w:eastAsia="MS UI Gothic"/>
          <w:w w:val="235"/>
        </w:rPr>
        <w:t>:</w:t>
      </w:r>
    </w:p>
    <w:p>
      <w:pPr>
        <w:pStyle w:val="6"/>
        <w:spacing w:line="295" w:lineRule="auto"/>
        <w:ind w:left="543" w:right="1047" w:firstLine="0"/>
        <w:rPr>
          <w:rFonts w:hint="eastAsia" w:ascii="MS UI Gothic" w:eastAsia="MS UI Gothic"/>
        </w:rPr>
      </w:pPr>
      <w:r>
        <w:rPr>
          <w:rFonts w:hint="eastAsia" w:ascii="MS UI Gothic" w:eastAsia="MS UI Gothic"/>
          <w:spacing w:val="-23"/>
          <w:w w:val="105"/>
        </w:rPr>
        <w:t xml:space="preserve">( </w:t>
      </w:r>
      <w:r>
        <w:rPr>
          <w:spacing w:val="3"/>
          <w:w w:val="105"/>
        </w:rPr>
        <w:t>一</w:t>
      </w:r>
      <w:r>
        <w:rPr>
          <w:rFonts w:hint="eastAsia" w:ascii="MS UI Gothic" w:eastAsia="MS UI Gothic"/>
          <w:spacing w:val="24"/>
          <w:w w:val="105"/>
        </w:rPr>
        <w:t xml:space="preserve">) </w:t>
      </w:r>
      <w:r>
        <w:rPr>
          <w:spacing w:val="3"/>
          <w:w w:val="105"/>
        </w:rPr>
        <w:t>治理的目标和任务</w:t>
      </w:r>
      <w:r>
        <w:rPr>
          <w:rFonts w:hint="eastAsia" w:ascii="MS UI Gothic" w:eastAsia="MS UI Gothic"/>
          <w:w w:val="80"/>
        </w:rPr>
        <w:t>ꎻ</w:t>
      </w:r>
      <w:r>
        <w:rPr>
          <w:rFonts w:hint="eastAsia" w:ascii="MS UI Gothic" w:eastAsia="MS UI Gothic"/>
          <w:spacing w:val="-23"/>
          <w:w w:val="105"/>
        </w:rPr>
        <w:t xml:space="preserve">( </w:t>
      </w:r>
      <w:r>
        <w:rPr>
          <w:spacing w:val="3"/>
          <w:w w:val="105"/>
        </w:rPr>
        <w:t>二</w:t>
      </w:r>
      <w:r>
        <w:rPr>
          <w:rFonts w:hint="eastAsia" w:ascii="MS UI Gothic" w:eastAsia="MS UI Gothic"/>
          <w:spacing w:val="24"/>
          <w:w w:val="105"/>
        </w:rPr>
        <w:t xml:space="preserve">) </w:t>
      </w:r>
      <w:r>
        <w:rPr>
          <w:spacing w:val="3"/>
          <w:w w:val="105"/>
        </w:rPr>
        <w:t>采取的方法和措施</w:t>
      </w:r>
      <w:r>
        <w:rPr>
          <w:rFonts w:hint="eastAsia" w:ascii="MS UI Gothic" w:eastAsia="MS UI Gothic"/>
          <w:w w:val="80"/>
        </w:rPr>
        <w:t>ꎻ</w:t>
      </w:r>
      <w:r>
        <w:rPr>
          <w:rFonts w:hint="eastAsia" w:ascii="MS UI Gothic" w:eastAsia="MS UI Gothic"/>
          <w:spacing w:val="-23"/>
          <w:w w:val="105"/>
        </w:rPr>
        <w:t xml:space="preserve">( </w:t>
      </w:r>
      <w:r>
        <w:rPr>
          <w:spacing w:val="3"/>
          <w:w w:val="105"/>
        </w:rPr>
        <w:t>三</w:t>
      </w:r>
      <w:r>
        <w:rPr>
          <w:rFonts w:hint="eastAsia" w:ascii="MS UI Gothic" w:eastAsia="MS UI Gothic"/>
          <w:spacing w:val="23"/>
          <w:w w:val="105"/>
        </w:rPr>
        <w:t xml:space="preserve">) </w:t>
      </w:r>
      <w:r>
        <w:rPr>
          <w:spacing w:val="3"/>
          <w:w w:val="105"/>
        </w:rPr>
        <w:t>经费和物资的落实</w:t>
      </w:r>
      <w:r>
        <w:rPr>
          <w:rFonts w:hint="eastAsia" w:ascii="MS UI Gothic" w:eastAsia="MS UI Gothic"/>
          <w:w w:val="80"/>
        </w:rPr>
        <w:t>ꎻ</w:t>
      </w:r>
    </w:p>
    <w:p>
      <w:pPr>
        <w:pStyle w:val="6"/>
        <w:spacing w:line="295" w:lineRule="auto"/>
        <w:ind w:left="543" w:right="627" w:firstLine="0"/>
        <w:rPr>
          <w:rFonts w:hint="eastAsia" w:ascii="MS UI Gothic" w:eastAsia="MS UI Gothic"/>
        </w:rPr>
      </w:pPr>
      <w:r>
        <w:rPr>
          <w:rFonts w:hint="eastAsia" w:ascii="MS UI Gothic" w:eastAsia="MS UI Gothic"/>
          <w:spacing w:val="-24"/>
          <w:w w:val="105"/>
        </w:rPr>
        <w:t xml:space="preserve">( </w:t>
      </w:r>
      <w:r>
        <w:rPr>
          <w:spacing w:val="3"/>
          <w:w w:val="105"/>
        </w:rPr>
        <w:t>四</w:t>
      </w:r>
      <w:r>
        <w:rPr>
          <w:rFonts w:hint="eastAsia" w:ascii="MS UI Gothic" w:eastAsia="MS UI Gothic"/>
          <w:spacing w:val="20"/>
          <w:w w:val="105"/>
        </w:rPr>
        <w:t xml:space="preserve">) </w:t>
      </w:r>
      <w:r>
        <w:rPr>
          <w:spacing w:val="3"/>
          <w:w w:val="105"/>
        </w:rPr>
        <w:t>负责治理的机构和人员</w:t>
      </w:r>
      <w:r>
        <w:rPr>
          <w:rFonts w:hint="eastAsia" w:ascii="MS UI Gothic" w:eastAsia="MS UI Gothic"/>
          <w:w w:val="80"/>
        </w:rPr>
        <w:t>ꎻ</w:t>
      </w:r>
      <w:r>
        <w:rPr>
          <w:rFonts w:hint="eastAsia" w:ascii="MS UI Gothic" w:eastAsia="MS UI Gothic"/>
          <w:spacing w:val="-39"/>
          <w:w w:val="150"/>
        </w:rPr>
        <w:t xml:space="preserve">( </w:t>
      </w:r>
      <w:r>
        <w:rPr>
          <w:spacing w:val="3"/>
          <w:w w:val="110"/>
        </w:rPr>
        <w:t>五</w:t>
      </w:r>
      <w:r>
        <w:rPr>
          <w:rFonts w:hint="eastAsia" w:ascii="MS UI Gothic" w:eastAsia="MS UI Gothic"/>
          <w:spacing w:val="-1"/>
          <w:w w:val="150"/>
        </w:rPr>
        <w:t xml:space="preserve">) </w:t>
      </w:r>
      <w:r>
        <w:rPr>
          <w:spacing w:val="3"/>
          <w:w w:val="110"/>
        </w:rPr>
        <w:t>治理的时限和要求</w:t>
      </w:r>
      <w:r>
        <w:rPr>
          <w:rFonts w:hint="eastAsia" w:ascii="MS UI Gothic" w:eastAsia="MS UI Gothic"/>
          <w:w w:val="80"/>
        </w:rPr>
        <w:t>ꎻ</w:t>
      </w:r>
    </w:p>
    <w:p>
      <w:pPr>
        <w:pStyle w:val="6"/>
        <w:spacing w:before="123"/>
        <w:ind w:left="543" w:firstLine="0"/>
        <w:rPr>
          <w:rFonts w:hint="eastAsia" w:ascii="MS UI Gothic" w:eastAsia="MS UI Gothic"/>
        </w:rPr>
      </w:pPr>
      <w:r>
        <w:br w:type="column"/>
      </w: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安全措施和应急预案</w:t>
      </w:r>
      <w:r>
        <w:rPr>
          <w:rFonts w:hint="eastAsia" w:ascii="MS UI Gothic" w:eastAsia="MS UI Gothic"/>
          <w:w w:val="80"/>
        </w:rPr>
        <w:t>ꎮ</w:t>
      </w:r>
    </w:p>
    <w:p>
      <w:pPr>
        <w:pStyle w:val="6"/>
        <w:spacing w:before="58" w:line="295" w:lineRule="auto"/>
        <w:ind w:right="440"/>
        <w:rPr>
          <w:rFonts w:hint="eastAsia" w:ascii="MS UI Gothic" w:eastAsia="MS UI Gothic"/>
        </w:rPr>
      </w:pPr>
      <w:r>
        <w:t>第十六条 生产经营单位在事故隐患治理过程中</w:t>
      </w:r>
      <w:r>
        <w:rPr>
          <w:rFonts w:hint="eastAsia" w:ascii="MS UI Gothic" w:eastAsia="MS UI Gothic"/>
          <w:w w:val="80"/>
        </w:rPr>
        <w:t xml:space="preserve">ꎬ </w:t>
      </w:r>
      <w:r>
        <w:t>应当采取相应的安全防范措施</w:t>
      </w:r>
      <w:r>
        <w:rPr>
          <w:rFonts w:hint="eastAsia" w:ascii="MS UI Gothic" w:eastAsia="MS UI Gothic"/>
          <w:w w:val="80"/>
        </w:rPr>
        <w:t xml:space="preserve">ꎬ </w:t>
      </w:r>
      <w:r>
        <w:t>防止事故发生</w:t>
      </w:r>
      <w:r>
        <w:rPr>
          <w:rFonts w:hint="eastAsia" w:ascii="MS UI Gothic" w:eastAsia="MS UI Gothic"/>
          <w:w w:val="80"/>
        </w:rPr>
        <w:t xml:space="preserve">ꎮ </w:t>
      </w:r>
      <w:r>
        <w:t>事故隐患排除前或者排除过程中无法保证安全的</w:t>
      </w:r>
      <w:r>
        <w:rPr>
          <w:rFonts w:hint="eastAsia" w:ascii="MS UI Gothic" w:eastAsia="MS UI Gothic"/>
          <w:w w:val="80"/>
        </w:rPr>
        <w:t xml:space="preserve">ꎬ </w:t>
      </w:r>
      <w:r>
        <w:t>应当从危险区域内撤出作业人员</w:t>
      </w:r>
      <w:r>
        <w:rPr>
          <w:rFonts w:hint="eastAsia" w:ascii="MS UI Gothic" w:eastAsia="MS UI Gothic"/>
          <w:w w:val="80"/>
        </w:rPr>
        <w:t xml:space="preserve">ꎬ </w:t>
      </w:r>
      <w:r>
        <w:t>并疏散可能危及的其他人员</w:t>
      </w:r>
      <w:r>
        <w:rPr>
          <w:rFonts w:hint="eastAsia" w:ascii="MS UI Gothic" w:eastAsia="MS UI Gothic"/>
          <w:w w:val="80"/>
        </w:rPr>
        <w:t xml:space="preserve">ꎬ </w:t>
      </w:r>
      <w:r>
        <w:t>设置警戒标志</w:t>
      </w:r>
      <w:r>
        <w:rPr>
          <w:rFonts w:hint="eastAsia" w:ascii="MS UI Gothic" w:eastAsia="MS UI Gothic"/>
          <w:w w:val="80"/>
        </w:rPr>
        <w:t xml:space="preserve">ꎬ </w:t>
      </w:r>
      <w:r>
        <w:t>暂时停产停业或者停止使用</w:t>
      </w:r>
      <w:r>
        <w:rPr>
          <w:rFonts w:hint="eastAsia" w:ascii="MS UI Gothic" w:eastAsia="MS UI Gothic"/>
          <w:w w:val="80"/>
        </w:rPr>
        <w:t xml:space="preserve">ꎻ </w:t>
      </w:r>
      <w:r>
        <w:t>对暂时难以停产或者停止使用的相关生产储存装置</w:t>
      </w:r>
      <w:r>
        <w:rPr>
          <w:rFonts w:hint="eastAsia" w:ascii="MS UI Gothic" w:eastAsia="MS UI Gothic"/>
          <w:w w:val="80"/>
        </w:rPr>
        <w:t xml:space="preserve">、 </w:t>
      </w:r>
      <w:r>
        <w:t>设施</w:t>
      </w:r>
      <w:r>
        <w:rPr>
          <w:rFonts w:hint="eastAsia" w:ascii="MS UI Gothic" w:eastAsia="MS UI Gothic"/>
          <w:w w:val="80"/>
        </w:rPr>
        <w:t xml:space="preserve">、 </w:t>
      </w:r>
      <w:r>
        <w:t>设备</w:t>
      </w:r>
      <w:r>
        <w:rPr>
          <w:rFonts w:hint="eastAsia" w:ascii="MS UI Gothic" w:eastAsia="MS UI Gothic"/>
          <w:w w:val="80"/>
        </w:rPr>
        <w:t>ꎬ</w:t>
      </w:r>
      <w:r>
        <w:t>应当加强维护和保养</w:t>
      </w:r>
      <w:r>
        <w:rPr>
          <w:rFonts w:hint="eastAsia" w:ascii="MS UI Gothic" w:eastAsia="MS UI Gothic"/>
          <w:w w:val="80"/>
        </w:rPr>
        <w:t xml:space="preserve">ꎬ </w:t>
      </w:r>
      <w:r>
        <w:t>防止事故发生</w:t>
      </w:r>
      <w:r>
        <w:rPr>
          <w:rFonts w:hint="eastAsia" w:ascii="MS UI Gothic" w:eastAsia="MS UI Gothic"/>
          <w:w w:val="80"/>
        </w:rPr>
        <w:t>ꎮ</w:t>
      </w:r>
    </w:p>
    <w:p>
      <w:pPr>
        <w:pStyle w:val="6"/>
        <w:spacing w:line="295" w:lineRule="auto"/>
        <w:ind w:right="440"/>
        <w:rPr>
          <w:rFonts w:hint="eastAsia" w:ascii="MS UI Gothic" w:eastAsia="MS UI Gothic"/>
        </w:rPr>
      </w:pPr>
      <w:r>
        <w:t>第十七条 生产经营单位应当加强对自然灾害的预防</w:t>
      </w:r>
      <w:r>
        <w:rPr>
          <w:rFonts w:hint="eastAsia" w:ascii="MS UI Gothic" w:eastAsia="MS UI Gothic"/>
          <w:w w:val="80"/>
        </w:rPr>
        <w:t xml:space="preserve">ꎮ </w:t>
      </w:r>
      <w:r>
        <w:t>对于因自然灾害可能导致事故灾难的隐患</w:t>
      </w:r>
      <w:r>
        <w:rPr>
          <w:rFonts w:hint="eastAsia" w:ascii="MS UI Gothic" w:eastAsia="MS UI Gothic"/>
          <w:w w:val="80"/>
        </w:rPr>
        <w:t xml:space="preserve">ꎬ </w:t>
      </w:r>
      <w:r>
        <w:t>应当按照有关法律</w:t>
      </w:r>
      <w:r>
        <w:rPr>
          <w:rFonts w:hint="eastAsia" w:ascii="MS UI Gothic" w:eastAsia="MS UI Gothic"/>
          <w:w w:val="80"/>
        </w:rPr>
        <w:t>、</w:t>
      </w:r>
      <w:r>
        <w:t>法规</w:t>
      </w:r>
      <w:r>
        <w:rPr>
          <w:rFonts w:hint="eastAsia" w:ascii="MS UI Gothic" w:eastAsia="MS UI Gothic"/>
          <w:w w:val="80"/>
        </w:rPr>
        <w:t xml:space="preserve">、 </w:t>
      </w:r>
      <w:r>
        <w:t>标准和本规定的要求排查治理</w:t>
      </w:r>
      <w:r>
        <w:rPr>
          <w:rFonts w:hint="eastAsia" w:ascii="MS UI Gothic" w:eastAsia="MS UI Gothic"/>
          <w:w w:val="80"/>
        </w:rPr>
        <w:t xml:space="preserve">ꎬ </w:t>
      </w:r>
      <w:r>
        <w:t>采取可靠的预防措施</w:t>
      </w:r>
      <w:r>
        <w:rPr>
          <w:rFonts w:hint="eastAsia" w:ascii="MS UI Gothic" w:eastAsia="MS UI Gothic"/>
          <w:w w:val="80"/>
        </w:rPr>
        <w:t xml:space="preserve">ꎬ </w:t>
      </w:r>
      <w:r>
        <w:t>制定应急预案</w:t>
      </w:r>
      <w:r>
        <w:rPr>
          <w:rFonts w:hint="eastAsia" w:ascii="MS UI Gothic" w:eastAsia="MS UI Gothic"/>
          <w:w w:val="80"/>
        </w:rPr>
        <w:t xml:space="preserve">ꎮ </w:t>
      </w:r>
      <w:r>
        <w:t>在接到有关自然灾害预报时</w:t>
      </w:r>
      <w:r>
        <w:rPr>
          <w:rFonts w:hint="eastAsia" w:ascii="MS UI Gothic" w:eastAsia="MS UI Gothic"/>
          <w:w w:val="80"/>
        </w:rPr>
        <w:t xml:space="preserve">ꎬ </w:t>
      </w:r>
      <w:r>
        <w:t>应当及时向下属单位发出预警通知</w:t>
      </w:r>
      <w:r>
        <w:rPr>
          <w:rFonts w:hint="eastAsia" w:ascii="MS UI Gothic" w:eastAsia="MS UI Gothic"/>
          <w:w w:val="80"/>
        </w:rPr>
        <w:t xml:space="preserve">ꎻ </w:t>
      </w:r>
      <w:r>
        <w:t>发生自然灾害可能危及生产经营单位和人员安全的情况时</w:t>
      </w:r>
      <w:r>
        <w:rPr>
          <w:rFonts w:hint="eastAsia" w:ascii="MS UI Gothic" w:eastAsia="MS UI Gothic"/>
          <w:w w:val="80"/>
        </w:rPr>
        <w:t xml:space="preserve">ꎬ </w:t>
      </w:r>
      <w:r>
        <w:t>应当采取撤离人员</w:t>
      </w:r>
      <w:r>
        <w:rPr>
          <w:rFonts w:hint="eastAsia" w:ascii="MS UI Gothic" w:eastAsia="MS UI Gothic"/>
          <w:w w:val="80"/>
        </w:rPr>
        <w:t xml:space="preserve">、 </w:t>
      </w:r>
      <w:r>
        <w:t>停止作业</w:t>
      </w:r>
      <w:r>
        <w:rPr>
          <w:rFonts w:hint="eastAsia" w:ascii="MS UI Gothic" w:eastAsia="MS UI Gothic"/>
          <w:w w:val="80"/>
        </w:rPr>
        <w:t xml:space="preserve">、 </w:t>
      </w:r>
      <w:r>
        <w:t>加强监测等安全措施</w:t>
      </w:r>
      <w:r>
        <w:rPr>
          <w:rFonts w:hint="eastAsia" w:ascii="MS UI Gothic" w:eastAsia="MS UI Gothic"/>
          <w:w w:val="80"/>
        </w:rPr>
        <w:t xml:space="preserve">ꎬ </w:t>
      </w:r>
      <w:r>
        <w:t>并及时向当地人民政府及其有关部门报告</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第十八条 地方人民政府或者安全监</w:t>
      </w:r>
      <w:r>
        <w:t>管监察部门及有关部门挂牌督办并责令全部或者局部停产停业治理的重大事故隐患</w:t>
      </w:r>
      <w:r>
        <w:rPr>
          <w:rFonts w:hint="eastAsia" w:ascii="MS UI Gothic" w:eastAsia="MS UI Gothic"/>
          <w:w w:val="80"/>
        </w:rPr>
        <w:t xml:space="preserve">ꎬ </w:t>
      </w:r>
      <w:r>
        <w:t>治理工作结束后</w:t>
      </w:r>
      <w:r>
        <w:rPr>
          <w:rFonts w:hint="eastAsia" w:ascii="MS UI Gothic" w:eastAsia="MS UI Gothic"/>
          <w:w w:val="80"/>
        </w:rPr>
        <w:t xml:space="preserve">ꎬ </w:t>
      </w:r>
      <w:r>
        <w:t>有条件的生产经营单位应当组织本单位的技术人员和专家对重大事故隐患的治理情况进行评估</w:t>
      </w:r>
      <w:r>
        <w:rPr>
          <w:rFonts w:hint="eastAsia" w:ascii="MS UI Gothic" w:eastAsia="MS UI Gothic"/>
          <w:w w:val="80"/>
        </w:rPr>
        <w:t xml:space="preserve">ꎻ </w:t>
      </w:r>
      <w:r>
        <w:t>其他生产经营单位应当委托具备相应资质的安全评价机构对重大事故隐患的治理情况进</w:t>
      </w:r>
      <w:r>
        <w:rPr>
          <w:w w:val="105"/>
        </w:rPr>
        <w:t>行评估</w:t>
      </w:r>
      <w:r>
        <w:rPr>
          <w:rFonts w:hint="eastAsia" w:ascii="MS UI Gothic" w:eastAsia="MS UI Gothic"/>
          <w:w w:val="80"/>
        </w:rPr>
        <w:t>ꎮ</w:t>
      </w:r>
    </w:p>
    <w:p>
      <w:pPr>
        <w:pStyle w:val="6"/>
        <w:spacing w:line="295" w:lineRule="auto"/>
        <w:ind w:right="442"/>
        <w:rPr>
          <w:rFonts w:hint="eastAsia" w:ascii="MS UI Gothic" w:eastAsia="MS UI Gothic"/>
        </w:rPr>
      </w:pPr>
      <w:r>
        <w:t>经治理后符合安全生产条件的</w:t>
      </w:r>
      <w:r>
        <w:rPr>
          <w:rFonts w:hint="eastAsia" w:ascii="MS UI Gothic" w:eastAsia="MS UI Gothic"/>
          <w:w w:val="80"/>
        </w:rPr>
        <w:t xml:space="preserve">ꎬ </w:t>
      </w:r>
      <w:r>
        <w:t>生产经营单位应当向安全监管监察部门和有关部门提出恢复生产的书面申请</w:t>
      </w:r>
      <w:r>
        <w:rPr>
          <w:rFonts w:hint="eastAsia" w:ascii="MS UI Gothic" w:eastAsia="MS UI Gothic"/>
          <w:w w:val="80"/>
        </w:rPr>
        <w:t xml:space="preserve">ꎬ </w:t>
      </w:r>
      <w:r>
        <w:t>经安全监管监察部门和有关部门审查同意后</w:t>
      </w:r>
      <w:r>
        <w:rPr>
          <w:rFonts w:hint="eastAsia" w:ascii="MS UI Gothic" w:eastAsia="MS UI Gothic"/>
          <w:w w:val="80"/>
        </w:rPr>
        <w:t xml:space="preserve">ꎬ </w:t>
      </w:r>
      <w:r>
        <w:t>方可恢复生产经营</w:t>
      </w:r>
      <w:r>
        <w:rPr>
          <w:rFonts w:hint="eastAsia" w:ascii="MS UI Gothic" w:eastAsia="MS UI Gothic"/>
          <w:w w:val="80"/>
        </w:rPr>
        <w:t xml:space="preserve">ꎮ </w:t>
      </w:r>
      <w:r>
        <w:t>申请报告应当包括治理方</w:t>
      </w:r>
      <w:r>
        <w:rPr>
          <w:w w:val="105"/>
        </w:rPr>
        <w:t>案的内容</w:t>
      </w:r>
      <w:r>
        <w:rPr>
          <w:rFonts w:hint="eastAsia" w:ascii="MS UI Gothic" w:eastAsia="MS UI Gothic"/>
          <w:w w:val="80"/>
        </w:rPr>
        <w:t xml:space="preserve">、 </w:t>
      </w:r>
      <w:r>
        <w:rPr>
          <w:w w:val="105"/>
        </w:rPr>
        <w:t>项目和安全评价机构出具的评价报告等</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８９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15" o:spid="_x0000_s1315" o:spt="203" style="height:2.15pt;width:398.25pt;" coordsize="7965,43">
            <o:lock v:ext="edit"/>
            <v:line id="_x0000_s1316" o:spid="_x0000_s1316" o:spt="20" style="position:absolute;left:0;top:39;height:0;width:7965;" stroked="t" coordsize="21600,21600">
              <v:path arrowok="t"/>
              <v:fill focussize="0,0"/>
              <v:stroke weight="0.388031496062992pt" color="#231F20"/>
              <v:imagedata o:title=""/>
              <o:lock v:ext="edit"/>
            </v:line>
            <v:line id="_x0000_s1317" o:spid="_x0000_s131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
        <w:ind w:left="0" w:firstLine="0"/>
        <w:jc w:val="left"/>
        <w:rPr>
          <w:rFonts w:ascii="MS UI Gothic"/>
          <w:sz w:val="21"/>
        </w:rPr>
      </w:pPr>
    </w:p>
    <w:p>
      <w:pPr>
        <w:pStyle w:val="6"/>
        <w:tabs>
          <w:tab w:val="left" w:pos="2222"/>
        </w:tabs>
        <w:ind w:left="1384" w:firstLine="0"/>
        <w:jc w:val="left"/>
      </w:pPr>
      <w:r>
        <w:rPr>
          <w:spacing w:val="3"/>
          <w:w w:val="105"/>
        </w:rPr>
        <w:t>第三</w:t>
      </w:r>
      <w:r>
        <w:rPr>
          <w:w w:val="105"/>
        </w:rPr>
        <w:t>章</w:t>
      </w:r>
      <w:r>
        <w:rPr>
          <w:w w:val="105"/>
        </w:rPr>
        <w:tab/>
      </w:r>
      <w:r>
        <w:rPr>
          <w:w w:val="105"/>
        </w:rPr>
        <w:t>监</w:t>
      </w:r>
      <w:r>
        <w:rPr>
          <w:spacing w:val="-38"/>
          <w:w w:val="105"/>
        </w:rPr>
        <w:t xml:space="preserve"> </w:t>
      </w:r>
      <w:r>
        <w:rPr>
          <w:w w:val="105"/>
        </w:rPr>
        <w:t>督</w:t>
      </w:r>
      <w:r>
        <w:rPr>
          <w:spacing w:val="-38"/>
          <w:w w:val="105"/>
        </w:rPr>
        <w:t xml:space="preserve"> </w:t>
      </w:r>
      <w:r>
        <w:rPr>
          <w:w w:val="105"/>
        </w:rPr>
        <w:t>管</w:t>
      </w:r>
      <w:r>
        <w:rPr>
          <w:spacing w:val="-38"/>
          <w:w w:val="105"/>
        </w:rPr>
        <w:t xml:space="preserve"> </w:t>
      </w:r>
      <w:r>
        <w:rPr>
          <w:w w:val="105"/>
        </w:rPr>
        <w:t>理</w:t>
      </w:r>
    </w:p>
    <w:p>
      <w:pPr>
        <w:pStyle w:val="6"/>
        <w:spacing w:before="215" w:line="295" w:lineRule="auto"/>
        <w:ind w:left="440" w:right="1"/>
        <w:rPr>
          <w:rFonts w:hint="eastAsia" w:ascii="MS UI Gothic" w:eastAsia="MS UI Gothic"/>
        </w:rPr>
      </w:pPr>
      <w:r>
        <w:rPr>
          <w:spacing w:val="4"/>
        </w:rPr>
        <w:t>第十九条 安全监管监察部门应当指</w:t>
      </w:r>
      <w:r>
        <w:rPr>
          <w:spacing w:val="3"/>
        </w:rPr>
        <w:t>导</w:t>
      </w:r>
      <w:r>
        <w:rPr>
          <w:rFonts w:hint="eastAsia" w:ascii="MS UI Gothic" w:eastAsia="MS UI Gothic"/>
          <w:spacing w:val="23"/>
          <w:w w:val="80"/>
        </w:rPr>
        <w:t xml:space="preserve">、 </w:t>
      </w:r>
      <w:r>
        <w:rPr>
          <w:spacing w:val="3"/>
        </w:rPr>
        <w:t>监督生产经营单位按照有关法律</w:t>
      </w:r>
      <w:r>
        <w:rPr>
          <w:rFonts w:hint="eastAsia" w:ascii="MS UI Gothic" w:eastAsia="MS UI Gothic"/>
          <w:spacing w:val="24"/>
          <w:w w:val="80"/>
        </w:rPr>
        <w:t xml:space="preserve">、 </w:t>
      </w:r>
      <w:r>
        <w:t>法</w:t>
      </w:r>
      <w:r>
        <w:rPr>
          <w:spacing w:val="3"/>
        </w:rPr>
        <w:t>规</w:t>
      </w:r>
      <w:r>
        <w:rPr>
          <w:rFonts w:hint="eastAsia" w:ascii="MS UI Gothic" w:eastAsia="MS UI Gothic"/>
          <w:spacing w:val="7"/>
          <w:w w:val="80"/>
        </w:rPr>
        <w:t xml:space="preserve">、 </w:t>
      </w:r>
      <w:r>
        <w:rPr>
          <w:spacing w:val="3"/>
        </w:rPr>
        <w:t>规章</w:t>
      </w:r>
      <w:r>
        <w:rPr>
          <w:rFonts w:hint="eastAsia" w:ascii="MS UI Gothic" w:eastAsia="MS UI Gothic"/>
          <w:spacing w:val="7"/>
          <w:w w:val="80"/>
        </w:rPr>
        <w:t xml:space="preserve">、 </w:t>
      </w:r>
      <w:r>
        <w:rPr>
          <w:spacing w:val="3"/>
        </w:rPr>
        <w:t>标准和规程的要求</w:t>
      </w:r>
      <w:r>
        <w:rPr>
          <w:rFonts w:hint="eastAsia" w:ascii="MS UI Gothic" w:eastAsia="MS UI Gothic"/>
          <w:spacing w:val="7"/>
          <w:w w:val="80"/>
        </w:rPr>
        <w:t xml:space="preserve">ꎬ </w:t>
      </w:r>
      <w:r>
        <w:rPr>
          <w:spacing w:val="2"/>
        </w:rPr>
        <w:t>建立健全</w:t>
      </w:r>
      <w:r>
        <w:rPr>
          <w:spacing w:val="3"/>
        </w:rPr>
        <w:t>事故隐患排查治理等各项制度</w:t>
      </w:r>
      <w:r>
        <w:rPr>
          <w:rFonts w:hint="eastAsia" w:ascii="MS UI Gothic" w:eastAsia="MS UI Gothic"/>
          <w:w w:val="80"/>
        </w:rPr>
        <w:t>ꎮ</w:t>
      </w:r>
    </w:p>
    <w:p>
      <w:pPr>
        <w:pStyle w:val="6"/>
        <w:spacing w:line="295" w:lineRule="auto"/>
        <w:ind w:left="440" w:right="1"/>
        <w:rPr>
          <w:rFonts w:hint="eastAsia" w:ascii="MS UI Gothic" w:eastAsia="MS UI Gothic"/>
        </w:rPr>
      </w:pPr>
      <w:r>
        <w:t>第二十条 安全监管监察部门应当建立事故隐患排查治理监督检查制度</w:t>
      </w:r>
      <w:r>
        <w:rPr>
          <w:rFonts w:hint="eastAsia" w:ascii="MS UI Gothic" w:eastAsia="MS UI Gothic"/>
          <w:w w:val="80"/>
        </w:rPr>
        <w:t xml:space="preserve">ꎬ </w:t>
      </w:r>
      <w:r>
        <w:t>定期组织对生产经营单位事故隐患排查治理情况开展监督检查</w:t>
      </w:r>
      <w:r>
        <w:rPr>
          <w:rFonts w:hint="eastAsia" w:ascii="MS UI Gothic" w:eastAsia="MS UI Gothic"/>
          <w:w w:val="80"/>
        </w:rPr>
        <w:t xml:space="preserve">ꎻ </w:t>
      </w:r>
      <w:r>
        <w:t>应当加强对重点单位的事故隐患排查治理情况的监督检查</w:t>
      </w:r>
      <w:r>
        <w:rPr>
          <w:rFonts w:hint="eastAsia" w:ascii="MS UI Gothic" w:eastAsia="MS UI Gothic"/>
          <w:w w:val="80"/>
        </w:rPr>
        <w:t xml:space="preserve">ꎮ </w:t>
      </w:r>
      <w:r>
        <w:t>对检查过程中发现的重大事故隐患</w:t>
      </w:r>
      <w:r>
        <w:rPr>
          <w:rFonts w:hint="eastAsia" w:ascii="MS UI Gothic" w:eastAsia="MS UI Gothic"/>
          <w:w w:val="80"/>
        </w:rPr>
        <w:t xml:space="preserve">ꎬ </w:t>
      </w:r>
      <w:r>
        <w:t>应当下达整改指令书</w:t>
      </w:r>
      <w:r>
        <w:rPr>
          <w:rFonts w:hint="eastAsia" w:ascii="MS UI Gothic" w:eastAsia="MS UI Gothic"/>
          <w:w w:val="80"/>
        </w:rPr>
        <w:t xml:space="preserve">ꎬ </w:t>
      </w:r>
      <w:r>
        <w:t>并建立信息管理台账</w:t>
      </w:r>
      <w:r>
        <w:rPr>
          <w:rFonts w:hint="eastAsia" w:ascii="MS UI Gothic" w:eastAsia="MS UI Gothic"/>
          <w:w w:val="80"/>
        </w:rPr>
        <w:t xml:space="preserve">ꎮ </w:t>
      </w:r>
      <w:r>
        <w:t>必要时</w:t>
      </w:r>
      <w:r>
        <w:rPr>
          <w:rFonts w:hint="eastAsia" w:ascii="MS UI Gothic" w:eastAsia="MS UI Gothic"/>
          <w:w w:val="80"/>
        </w:rPr>
        <w:t xml:space="preserve">ꎬ </w:t>
      </w:r>
      <w:r>
        <w:t>报告同级人民政府并对重大事故隐患实行挂牌督办</w:t>
      </w:r>
      <w:r>
        <w:rPr>
          <w:rFonts w:hint="eastAsia" w:ascii="MS UI Gothic" w:eastAsia="MS UI Gothic"/>
          <w:w w:val="80"/>
        </w:rPr>
        <w:t>ꎮ</w:t>
      </w:r>
    </w:p>
    <w:p>
      <w:pPr>
        <w:pStyle w:val="6"/>
        <w:spacing w:line="295" w:lineRule="auto"/>
        <w:ind w:left="440" w:right="1"/>
        <w:rPr>
          <w:rFonts w:hint="eastAsia" w:ascii="MS UI Gothic" w:eastAsia="MS UI Gothic"/>
        </w:rPr>
      </w:pPr>
      <w:r>
        <w:t>安全监管监察部门应当配合有关部门做好对生产经营单位事故隐患排查治理情况开展的监督检查</w:t>
      </w:r>
      <w:r>
        <w:rPr>
          <w:rFonts w:hint="eastAsia" w:ascii="MS UI Gothic" w:eastAsia="MS UI Gothic"/>
          <w:w w:val="80"/>
        </w:rPr>
        <w:t xml:space="preserve">ꎬ </w:t>
      </w:r>
      <w:r>
        <w:t>依法查处事故隐患排</w:t>
      </w:r>
      <w:r>
        <w:rPr>
          <w:w w:val="105"/>
        </w:rPr>
        <w:t>查治理的非法和违法行为及其责任者</w:t>
      </w:r>
      <w:r>
        <w:rPr>
          <w:rFonts w:hint="eastAsia" w:ascii="MS UI Gothic" w:eastAsia="MS UI Gothic"/>
          <w:w w:val="80"/>
        </w:rPr>
        <w:t>ꎮ</w:t>
      </w:r>
    </w:p>
    <w:p>
      <w:pPr>
        <w:pStyle w:val="6"/>
        <w:spacing w:line="295" w:lineRule="auto"/>
        <w:ind w:left="440" w:right="1"/>
        <w:rPr>
          <w:rFonts w:hint="eastAsia" w:ascii="MS UI Gothic" w:eastAsia="MS UI Gothic"/>
        </w:rPr>
      </w:pPr>
      <w:r>
        <w:t>安全监管监察部门发现属于其他有关部门职责范围内的重大事故隐患的</w:t>
      </w:r>
      <w:r>
        <w:rPr>
          <w:rFonts w:hint="eastAsia" w:ascii="MS UI Gothic" w:eastAsia="MS UI Gothic"/>
          <w:w w:val="80"/>
        </w:rPr>
        <w:t xml:space="preserve">ꎬ </w:t>
      </w:r>
      <w:r>
        <w:t>应该及时将有关资料移送有管辖权的有关部门</w:t>
      </w:r>
      <w:r>
        <w:rPr>
          <w:rFonts w:hint="eastAsia" w:ascii="MS UI Gothic" w:eastAsia="MS UI Gothic"/>
          <w:w w:val="80"/>
        </w:rPr>
        <w:t xml:space="preserve">ꎬ </w:t>
      </w:r>
      <w:r>
        <w:t>并记录备查</w:t>
      </w:r>
      <w:r>
        <w:rPr>
          <w:rFonts w:hint="eastAsia" w:ascii="MS UI Gothic" w:eastAsia="MS UI Gothic"/>
          <w:w w:val="80"/>
        </w:rPr>
        <w:t>ꎮ</w:t>
      </w:r>
    </w:p>
    <w:p>
      <w:pPr>
        <w:pStyle w:val="6"/>
        <w:spacing w:line="295" w:lineRule="auto"/>
        <w:ind w:left="440" w:right="1"/>
        <w:rPr>
          <w:rFonts w:hint="eastAsia" w:ascii="MS UI Gothic" w:eastAsia="MS UI Gothic"/>
        </w:rPr>
      </w:pPr>
      <w:r>
        <w:t>第二十一条 已经取得安全生产许可证的生产经营单位</w:t>
      </w:r>
      <w:r>
        <w:rPr>
          <w:rFonts w:hint="eastAsia" w:ascii="MS UI Gothic" w:eastAsia="MS UI Gothic"/>
          <w:w w:val="80"/>
        </w:rPr>
        <w:t xml:space="preserve">ꎬ </w:t>
      </w:r>
      <w:r>
        <w:t>在其被挂牌督办的重大事故隐患治理结束前</w:t>
      </w:r>
      <w:r>
        <w:rPr>
          <w:rFonts w:hint="eastAsia" w:ascii="MS UI Gothic" w:eastAsia="MS UI Gothic"/>
          <w:w w:val="80"/>
        </w:rPr>
        <w:t xml:space="preserve">ꎬ </w:t>
      </w:r>
      <w:r>
        <w:t>安全监管监察部门应当加强监督检查</w:t>
      </w:r>
      <w:r>
        <w:rPr>
          <w:rFonts w:hint="eastAsia" w:ascii="MS UI Gothic" w:eastAsia="MS UI Gothic"/>
          <w:w w:val="80"/>
        </w:rPr>
        <w:t xml:space="preserve">ꎮ </w:t>
      </w:r>
      <w:r>
        <w:t>必要时</w:t>
      </w:r>
      <w:r>
        <w:rPr>
          <w:rFonts w:hint="eastAsia" w:ascii="MS UI Gothic" w:eastAsia="MS UI Gothic"/>
          <w:w w:val="80"/>
        </w:rPr>
        <w:t xml:space="preserve">ꎬ </w:t>
      </w:r>
      <w:r>
        <w:t>可以提请原许可证颁发机关依法暂扣其安全生产许可证</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第二十二条 安全监管监察部门应当</w:t>
      </w:r>
      <w:r>
        <w:t>会同有关部门把重大事故隐患整改纳入重点行业领域的安全专项整治中加以治理</w:t>
      </w:r>
      <w:r>
        <w:rPr>
          <w:rFonts w:hint="eastAsia" w:ascii="MS UI Gothic" w:eastAsia="MS UI Gothic"/>
          <w:w w:val="80"/>
        </w:rPr>
        <w:t>ꎬ</w:t>
      </w:r>
      <w:r>
        <w:rPr>
          <w:w w:val="105"/>
        </w:rPr>
        <w:t>落实相应责任</w:t>
      </w:r>
      <w:r>
        <w:rPr>
          <w:rFonts w:hint="eastAsia" w:ascii="MS UI Gothic" w:eastAsia="MS UI Gothic"/>
          <w:w w:val="80"/>
        </w:rPr>
        <w:t>ꎮ</w:t>
      </w:r>
    </w:p>
    <w:p>
      <w:pPr>
        <w:pStyle w:val="6"/>
        <w:spacing w:line="295" w:lineRule="auto"/>
        <w:ind w:left="440"/>
      </w:pPr>
      <w:r>
        <w:t>第二十三条 对挂牌督办并采取全部或者局部停产停业治理的重大事故隐患</w:t>
      </w:r>
      <w:r>
        <w:rPr>
          <w:rFonts w:hint="eastAsia" w:ascii="MS UI Gothic" w:eastAsia="MS UI Gothic"/>
          <w:w w:val="85"/>
        </w:rPr>
        <w:t>ꎬ</w:t>
      </w:r>
      <w:r>
        <w:t>安全监管监察部门收到生产经营单位恢复生产的申请报告后</w:t>
      </w:r>
      <w:r>
        <w:rPr>
          <w:rFonts w:hint="eastAsia" w:ascii="MS UI Gothic" w:eastAsia="MS UI Gothic"/>
          <w:w w:val="85"/>
        </w:rPr>
        <w:t xml:space="preserve">ꎬ </w:t>
      </w:r>
      <w:r>
        <w:t xml:space="preserve">应当在 </w:t>
      </w:r>
      <w:r>
        <w:rPr>
          <w:rFonts w:hint="eastAsia" w:ascii="MS UI Gothic" w:eastAsia="MS UI Gothic"/>
          <w:w w:val="85"/>
        </w:rPr>
        <w:t xml:space="preserve">１０ </w:t>
      </w:r>
      <w:r>
        <w:t>日内进行现场审查</w:t>
      </w:r>
      <w:r>
        <w:rPr>
          <w:rFonts w:hint="eastAsia" w:ascii="MS UI Gothic" w:eastAsia="MS UI Gothic"/>
          <w:w w:val="85"/>
        </w:rPr>
        <w:t xml:space="preserve">ꎮ </w:t>
      </w:r>
      <w:r>
        <w:t>审查合格的</w:t>
      </w:r>
      <w:r>
        <w:rPr>
          <w:rFonts w:hint="eastAsia" w:ascii="MS UI Gothic" w:eastAsia="MS UI Gothic"/>
          <w:w w:val="85"/>
        </w:rPr>
        <w:t xml:space="preserve">ꎬ </w:t>
      </w:r>
      <w:r>
        <w:t>对事故隐患进行核销</w:t>
      </w:r>
      <w:r>
        <w:rPr>
          <w:rFonts w:hint="eastAsia" w:ascii="MS UI Gothic" w:eastAsia="MS UI Gothic"/>
          <w:w w:val="85"/>
        </w:rPr>
        <w:t xml:space="preserve">ꎬ </w:t>
      </w:r>
      <w:r>
        <w:t>同意恢复生产经营</w:t>
      </w:r>
      <w:r>
        <w:rPr>
          <w:rFonts w:hint="eastAsia" w:ascii="MS UI Gothic" w:eastAsia="MS UI Gothic"/>
          <w:w w:val="85"/>
        </w:rPr>
        <w:t xml:space="preserve">ꎻ </w:t>
      </w:r>
      <w:r>
        <w:t>审查不合格</w:t>
      </w:r>
    </w:p>
    <w:p>
      <w:pPr>
        <w:pStyle w:val="6"/>
        <w:spacing w:before="124" w:line="295" w:lineRule="auto"/>
        <w:ind w:left="381" w:right="126" w:firstLine="0"/>
        <w:rPr>
          <w:rFonts w:hint="eastAsia" w:ascii="MS UI Gothic" w:eastAsia="MS UI Gothic"/>
        </w:rPr>
      </w:pPr>
      <w:r>
        <w:br w:type="column"/>
      </w:r>
      <w:r>
        <w:t>的</w:t>
      </w:r>
      <w:r>
        <w:rPr>
          <w:rFonts w:hint="eastAsia" w:ascii="MS UI Gothic" w:eastAsia="MS UI Gothic"/>
          <w:w w:val="80"/>
        </w:rPr>
        <w:t xml:space="preserve">ꎬ </w:t>
      </w:r>
      <w:r>
        <w:t>依法责令改正或者下达停产整改指令</w:t>
      </w:r>
      <w:r>
        <w:rPr>
          <w:rFonts w:hint="eastAsia" w:ascii="MS UI Gothic" w:eastAsia="MS UI Gothic"/>
          <w:w w:val="80"/>
        </w:rPr>
        <w:t xml:space="preserve">ꎮ </w:t>
      </w:r>
      <w:r>
        <w:t>对整改无望或者生产经营单位拒不执行整改指令的</w:t>
      </w:r>
      <w:r>
        <w:rPr>
          <w:rFonts w:hint="eastAsia" w:ascii="MS UI Gothic" w:eastAsia="MS UI Gothic"/>
          <w:w w:val="80"/>
        </w:rPr>
        <w:t xml:space="preserve">ꎬ </w:t>
      </w:r>
      <w:r>
        <w:t>依法实施行政处罚</w:t>
      </w:r>
      <w:r>
        <w:rPr>
          <w:rFonts w:hint="eastAsia" w:ascii="MS UI Gothic" w:eastAsia="MS UI Gothic"/>
          <w:w w:val="80"/>
        </w:rPr>
        <w:t xml:space="preserve">ꎻ </w:t>
      </w:r>
      <w:r>
        <w:t>不具备安全生产条件的</w:t>
      </w:r>
      <w:r>
        <w:rPr>
          <w:rFonts w:hint="eastAsia" w:ascii="MS UI Gothic" w:eastAsia="MS UI Gothic"/>
          <w:w w:val="80"/>
        </w:rPr>
        <w:t xml:space="preserve">ꎬ </w:t>
      </w:r>
      <w:r>
        <w:t>依法提请县级以上人民政府按照国务院规定的权限予以关闭</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第二十四条 安全监管监察部门应当</w:t>
      </w:r>
      <w:r>
        <w:t>每季将本行政区域重大事故隐患的排查治理情况和统计分析表逐级报至省级安全监</w:t>
      </w:r>
      <w:r>
        <w:rPr>
          <w:w w:val="105"/>
        </w:rPr>
        <w:t>管监察部门备案</w:t>
      </w:r>
      <w:r>
        <w:rPr>
          <w:rFonts w:hint="eastAsia" w:ascii="MS UI Gothic" w:eastAsia="MS UI Gothic"/>
          <w:w w:val="80"/>
        </w:rPr>
        <w:t>ꎮ</w:t>
      </w:r>
    </w:p>
    <w:p>
      <w:pPr>
        <w:pStyle w:val="6"/>
        <w:spacing w:line="295" w:lineRule="auto"/>
        <w:ind w:left="381" w:right="126"/>
        <w:rPr>
          <w:rFonts w:hint="eastAsia" w:ascii="MS UI Gothic" w:eastAsia="MS UI Gothic"/>
        </w:rPr>
      </w:pPr>
      <w:r>
        <w:t>省级安全监管监察部门应当每半年将本行政区域重大事故隐患的排查治理情况和统计分析表报国家安全生产监督管理总</w:t>
      </w:r>
      <w:r>
        <w:rPr>
          <w:w w:val="105"/>
        </w:rPr>
        <w:t>局备案</w:t>
      </w:r>
      <w:r>
        <w:rPr>
          <w:rFonts w:hint="eastAsia" w:ascii="MS UI Gothic" w:eastAsia="MS UI Gothic"/>
          <w:w w:val="80"/>
        </w:rPr>
        <w:t>ꎮ</w:t>
      </w:r>
    </w:p>
    <w:p>
      <w:pPr>
        <w:pStyle w:val="6"/>
        <w:tabs>
          <w:tab w:val="left" w:pos="2267"/>
          <w:tab w:val="left" w:pos="2896"/>
        </w:tabs>
        <w:spacing w:before="147"/>
        <w:ind w:left="1429" w:firstLine="0"/>
        <w:jc w:val="left"/>
      </w:pPr>
      <w:r>
        <w:rPr>
          <w:spacing w:val="3"/>
          <w:w w:val="105"/>
        </w:rPr>
        <w:t>第四</w:t>
      </w:r>
      <w:r>
        <w:rPr>
          <w:w w:val="105"/>
        </w:rPr>
        <w:t>章</w:t>
      </w:r>
      <w:r>
        <w:rPr>
          <w:w w:val="105"/>
        </w:rPr>
        <w:tab/>
      </w:r>
      <w:r>
        <w:rPr>
          <w:w w:val="105"/>
        </w:rPr>
        <w:t>罚</w:t>
      </w:r>
      <w:r>
        <w:rPr>
          <w:w w:val="105"/>
        </w:rPr>
        <w:tab/>
      </w:r>
      <w:r>
        <w:rPr>
          <w:w w:val="105"/>
        </w:rPr>
        <w:t>则</w:t>
      </w:r>
    </w:p>
    <w:p>
      <w:pPr>
        <w:pStyle w:val="6"/>
        <w:spacing w:before="215" w:line="295" w:lineRule="auto"/>
        <w:ind w:left="381" w:right="126"/>
        <w:rPr>
          <w:rFonts w:hint="eastAsia" w:ascii="MS UI Gothic" w:eastAsia="MS UI Gothic"/>
        </w:rPr>
      </w:pPr>
      <w:r>
        <w:t>第二十五条 生产经营单位及其主要负责人未履行事故隐患排查治理职责</w:t>
      </w:r>
      <w:r>
        <w:rPr>
          <w:rFonts w:hint="eastAsia" w:ascii="MS UI Gothic" w:eastAsia="MS UI Gothic"/>
          <w:w w:val="80"/>
        </w:rPr>
        <w:t xml:space="preserve">ꎬ </w:t>
      </w:r>
      <w:r>
        <w:t>导致发生生产安全事故的</w:t>
      </w:r>
      <w:r>
        <w:rPr>
          <w:rFonts w:hint="eastAsia" w:ascii="MS UI Gothic" w:eastAsia="MS UI Gothic"/>
          <w:w w:val="80"/>
        </w:rPr>
        <w:t xml:space="preserve">ꎬ </w:t>
      </w:r>
      <w:r>
        <w:t>依法给予行政处罚</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第二十六条 生产经营单位违反本规</w:t>
      </w:r>
      <w:r>
        <w:t>定</w:t>
      </w:r>
      <w:r>
        <w:rPr>
          <w:rFonts w:hint="eastAsia" w:ascii="MS UI Gothic" w:eastAsia="MS UI Gothic"/>
          <w:w w:val="80"/>
        </w:rPr>
        <w:t xml:space="preserve">ꎬ </w:t>
      </w:r>
      <w:r>
        <w:t>有下列行为之一的</w:t>
      </w:r>
      <w:r>
        <w:rPr>
          <w:rFonts w:hint="eastAsia" w:ascii="MS UI Gothic" w:eastAsia="MS UI Gothic"/>
          <w:w w:val="80"/>
        </w:rPr>
        <w:t xml:space="preserve">ꎬ </w:t>
      </w:r>
      <w:r>
        <w:t>由安全监管监察</w:t>
      </w:r>
      <w:r>
        <w:rPr>
          <w:w w:val="105"/>
        </w:rPr>
        <w:t>部门给予警告</w:t>
      </w:r>
      <w:r>
        <w:rPr>
          <w:rFonts w:hint="eastAsia" w:ascii="MS UI Gothic" w:eastAsia="MS UI Gothic"/>
          <w:w w:val="80"/>
        </w:rPr>
        <w:t xml:space="preserve">ꎬ </w:t>
      </w:r>
      <w:r>
        <w:rPr>
          <w:w w:val="105"/>
        </w:rPr>
        <w:t>并处三万元以下的罚款</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未建立安全生产事故隐患排查</w:t>
      </w:r>
      <w:r>
        <w:rPr>
          <w:w w:val="110"/>
        </w:rPr>
        <w:t>治理等各项制度的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未按规定上报事故隐患排查治</w:t>
      </w:r>
      <w:r>
        <w:rPr>
          <w:w w:val="110"/>
        </w:rPr>
        <w:t>理统计分析表的</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未制定事故隐患治理方案的</w:t>
      </w:r>
      <w:r>
        <w:rPr>
          <w:rFonts w:hint="eastAsia" w:ascii="MS UI Gothic" w:eastAsia="MS UI Gothic"/>
          <w:w w:val="80"/>
        </w:rPr>
        <w:t>ꎻ</w:t>
      </w:r>
    </w:p>
    <w:p>
      <w:pPr>
        <w:pStyle w:val="6"/>
        <w:spacing w:before="51" w:line="295" w:lineRule="auto"/>
        <w:ind w:left="381"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重大事故隐患不报或者未及时</w:t>
      </w:r>
      <w:r>
        <w:rPr>
          <w:w w:val="110"/>
        </w:rPr>
        <w:t>报告的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未对事故隐患进行排查治理擅</w:t>
      </w:r>
      <w:r>
        <w:rPr>
          <w:w w:val="110"/>
        </w:rPr>
        <w:t>自生产经营的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整改不合格或者未经安全监管</w:t>
      </w:r>
      <w:r>
        <w:t>监察部门审查同意擅自恢复生产经营的</w:t>
      </w:r>
      <w:r>
        <w:rPr>
          <w:rFonts w:hint="eastAsia" w:ascii="MS UI Gothic" w:eastAsia="MS UI Gothic"/>
          <w:w w:val="80"/>
        </w:rPr>
        <w:t>ꎮ</w:t>
      </w:r>
    </w:p>
    <w:p>
      <w:pPr>
        <w:pStyle w:val="6"/>
        <w:spacing w:line="295" w:lineRule="auto"/>
        <w:ind w:left="381" w:right="126"/>
      </w:pPr>
      <w:r>
        <w:t>第二十七条 承担检测检验</w:t>
      </w:r>
      <w:r>
        <w:rPr>
          <w:rFonts w:hint="eastAsia" w:ascii="MS UI Gothic" w:eastAsia="MS UI Gothic"/>
          <w:w w:val="80"/>
        </w:rPr>
        <w:t xml:space="preserve">、 </w:t>
      </w:r>
      <w:r>
        <w:t>安全评价的中介机构</w:t>
      </w:r>
      <w:r>
        <w:rPr>
          <w:rFonts w:hint="eastAsia" w:ascii="MS UI Gothic" w:eastAsia="MS UI Gothic"/>
          <w:w w:val="80"/>
        </w:rPr>
        <w:t xml:space="preserve">ꎬ </w:t>
      </w:r>
      <w:r>
        <w:t>出具虚假评价证明</w:t>
      </w:r>
      <w:r>
        <w:rPr>
          <w:rFonts w:hint="eastAsia" w:ascii="MS UI Gothic" w:eastAsia="MS UI Gothic"/>
          <w:w w:val="80"/>
        </w:rPr>
        <w:t xml:space="preserve">ꎬ </w:t>
      </w:r>
      <w:r>
        <w:t>尚不够刑事处罚的</w:t>
      </w:r>
      <w:r>
        <w:rPr>
          <w:rFonts w:hint="eastAsia" w:ascii="MS UI Gothic" w:eastAsia="MS UI Gothic"/>
          <w:w w:val="80"/>
        </w:rPr>
        <w:t xml:space="preserve">ꎬ </w:t>
      </w:r>
      <w:r>
        <w:t>没收违法所得</w:t>
      </w:r>
      <w:r>
        <w:rPr>
          <w:rFonts w:hint="eastAsia" w:ascii="MS UI Gothic" w:eastAsia="MS UI Gothic"/>
          <w:w w:val="80"/>
        </w:rPr>
        <w:t xml:space="preserve">ꎬ </w:t>
      </w:r>
      <w:r>
        <w:t>违法所得在五千元以上的</w:t>
      </w:r>
      <w:r>
        <w:rPr>
          <w:rFonts w:hint="eastAsia" w:ascii="MS UI Gothic" w:eastAsia="MS UI Gothic"/>
          <w:w w:val="80"/>
        </w:rPr>
        <w:t xml:space="preserve">ꎬ </w:t>
      </w:r>
      <w:r>
        <w:t>并处违法所得二倍以上五倍以下的罚款</w:t>
      </w:r>
      <w:r>
        <w:rPr>
          <w:rFonts w:hint="eastAsia" w:ascii="MS UI Gothic" w:eastAsia="MS UI Gothic"/>
          <w:w w:val="80"/>
        </w:rPr>
        <w:t xml:space="preserve">ꎬ </w:t>
      </w:r>
      <w:r>
        <w:t>没有违法所得或者违法所得不足五千元的</w:t>
      </w:r>
      <w:r>
        <w:rPr>
          <w:rFonts w:hint="eastAsia" w:ascii="MS UI Gothic" w:eastAsia="MS UI Gothic"/>
          <w:w w:val="80"/>
        </w:rPr>
        <w:t xml:space="preserve">ꎬ </w:t>
      </w:r>
      <w:r>
        <w:t>单处或者并处五千元</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９０</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18" o:spid="_x0000_s1318" o:spt="203" style="height:2.15pt;width:398.25pt;" coordsize="7965,43">
            <o:lock v:ext="edit"/>
            <v:line id="_x0000_s1319" o:spid="_x0000_s1319" o:spt="20" style="position:absolute;left:0;top:39;height:0;width:7965;" stroked="t" coordsize="21600,21600">
              <v:path arrowok="t"/>
              <v:fill focussize="0,0"/>
              <v:stroke weight="0.388031496062992pt" color="#231F20"/>
              <v:imagedata o:title=""/>
              <o:lock v:ext="edit"/>
            </v:line>
            <v:line id="_x0000_s1320" o:spid="_x0000_s132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以上二万元以下的罚款</w:t>
      </w:r>
      <w:r>
        <w:rPr>
          <w:rFonts w:hint="eastAsia" w:ascii="MS UI Gothic" w:eastAsia="MS UI Gothic"/>
          <w:w w:val="80"/>
        </w:rPr>
        <w:t xml:space="preserve">ꎬ </w:t>
      </w:r>
      <w:r>
        <w:t>同时可对其直接负责的主管人员和其他直接责任人员处五千元以上五万元以下的罚款</w:t>
      </w:r>
      <w:r>
        <w:rPr>
          <w:rFonts w:hint="eastAsia" w:ascii="MS UI Gothic" w:eastAsia="MS UI Gothic"/>
          <w:w w:val="80"/>
        </w:rPr>
        <w:t xml:space="preserve">ꎻ </w:t>
      </w:r>
      <w:r>
        <w:t>给他人造成损害的</w:t>
      </w:r>
      <w:r>
        <w:rPr>
          <w:rFonts w:hint="eastAsia" w:ascii="MS UI Gothic" w:eastAsia="MS UI Gothic"/>
          <w:w w:val="80"/>
        </w:rPr>
        <w:t xml:space="preserve">ꎬ </w:t>
      </w:r>
      <w:r>
        <w:t>与生产经营单位承担连带赔偿责任</w:t>
      </w:r>
      <w:r>
        <w:rPr>
          <w:rFonts w:hint="eastAsia" w:ascii="MS UI Gothic" w:eastAsia="MS UI Gothic"/>
          <w:w w:val="80"/>
        </w:rPr>
        <w:t>ꎮ</w:t>
      </w:r>
    </w:p>
    <w:p>
      <w:pPr>
        <w:pStyle w:val="6"/>
        <w:spacing w:line="295" w:lineRule="auto"/>
        <w:ind w:right="39"/>
        <w:rPr>
          <w:rFonts w:hint="eastAsia" w:ascii="MS UI Gothic" w:eastAsia="MS UI Gothic"/>
        </w:rPr>
      </w:pPr>
      <w:r>
        <w:t>对有前款违法行为的机构</w:t>
      </w:r>
      <w:r>
        <w:rPr>
          <w:rFonts w:hint="eastAsia" w:ascii="MS UI Gothic" w:eastAsia="MS UI Gothic"/>
          <w:w w:val="80"/>
        </w:rPr>
        <w:t xml:space="preserve">ꎬ </w:t>
      </w:r>
      <w:r>
        <w:t>撤销其相应的资质</w:t>
      </w:r>
      <w:r>
        <w:rPr>
          <w:rFonts w:hint="eastAsia" w:ascii="MS UI Gothic" w:eastAsia="MS UI Gothic"/>
          <w:w w:val="80"/>
        </w:rPr>
        <w:t>ꎮ</w:t>
      </w:r>
    </w:p>
    <w:p>
      <w:pPr>
        <w:pStyle w:val="6"/>
        <w:spacing w:line="295" w:lineRule="auto"/>
        <w:ind w:right="38"/>
        <w:rPr>
          <w:rFonts w:hint="eastAsia" w:ascii="MS UI Gothic" w:eastAsia="MS UI Gothic"/>
        </w:rPr>
      </w:pPr>
      <w:r>
        <w:t>第二十八条 生产经营单位事故隐患排查治理过程中违反有关安全生产法律</w:t>
      </w:r>
      <w:r>
        <w:rPr>
          <w:rFonts w:hint="eastAsia" w:ascii="MS UI Gothic" w:eastAsia="MS UI Gothic"/>
          <w:w w:val="80"/>
        </w:rPr>
        <w:t>、</w:t>
      </w:r>
      <w:r>
        <w:t>法规</w:t>
      </w:r>
      <w:r>
        <w:rPr>
          <w:rFonts w:hint="eastAsia" w:ascii="MS UI Gothic" w:eastAsia="MS UI Gothic"/>
          <w:w w:val="80"/>
        </w:rPr>
        <w:t xml:space="preserve">、 </w:t>
      </w:r>
      <w:r>
        <w:t>规章</w:t>
      </w:r>
      <w:r>
        <w:rPr>
          <w:rFonts w:hint="eastAsia" w:ascii="MS UI Gothic" w:eastAsia="MS UI Gothic"/>
          <w:w w:val="80"/>
        </w:rPr>
        <w:t xml:space="preserve">、 </w:t>
      </w:r>
      <w:r>
        <w:t>标准和规程规定的</w:t>
      </w:r>
      <w:r>
        <w:rPr>
          <w:rFonts w:hint="eastAsia" w:ascii="MS UI Gothic" w:eastAsia="MS UI Gothic"/>
          <w:w w:val="80"/>
        </w:rPr>
        <w:t xml:space="preserve">ꎬ </w:t>
      </w:r>
      <w:r>
        <w:t>依法给予行政处罚</w:t>
      </w:r>
      <w:r>
        <w:rPr>
          <w:rFonts w:hint="eastAsia" w:ascii="MS UI Gothic" w:eastAsia="MS UI Gothic"/>
          <w:w w:val="80"/>
        </w:rPr>
        <w:t>ꎮ</w:t>
      </w:r>
    </w:p>
    <w:p>
      <w:pPr>
        <w:pStyle w:val="6"/>
        <w:tabs>
          <w:tab w:val="left" w:pos="1801"/>
        </w:tabs>
        <w:spacing w:line="253" w:lineRule="exact"/>
        <w:ind w:left="543" w:firstLine="0"/>
        <w:jc w:val="left"/>
      </w:pPr>
      <w:r>
        <w:rPr>
          <w:spacing w:val="3"/>
          <w:w w:val="105"/>
        </w:rPr>
        <w:t>第二十九</w:t>
      </w:r>
      <w:r>
        <w:rPr>
          <w:w w:val="105"/>
        </w:rPr>
        <w:t>条</w:t>
      </w:r>
      <w:r>
        <w:rPr>
          <w:w w:val="105"/>
        </w:rPr>
        <w:tab/>
      </w:r>
      <w:r>
        <w:rPr>
          <w:spacing w:val="3"/>
        </w:rPr>
        <w:t>安全监管监察部门的</w:t>
      </w:r>
      <w:r>
        <w:t>工</w:t>
      </w:r>
    </w:p>
    <w:p>
      <w:pPr>
        <w:pStyle w:val="6"/>
        <w:spacing w:before="123" w:line="295" w:lineRule="auto"/>
        <w:ind w:right="442" w:firstLine="0"/>
        <w:jc w:val="left"/>
        <w:rPr>
          <w:rFonts w:hint="eastAsia" w:ascii="MS UI Gothic" w:eastAsia="MS UI Gothic"/>
        </w:rPr>
      </w:pPr>
      <w:r>
        <w:br w:type="column"/>
      </w:r>
      <w:r>
        <w:t>作人员未依法履行职责的</w:t>
      </w:r>
      <w:r>
        <w:rPr>
          <w:rFonts w:hint="eastAsia" w:ascii="MS UI Gothic" w:eastAsia="MS UI Gothic"/>
          <w:w w:val="80"/>
        </w:rPr>
        <w:t xml:space="preserve">ꎬ </w:t>
      </w:r>
      <w:r>
        <w:t>按照有关规定处理</w:t>
      </w:r>
      <w:r>
        <w:rPr>
          <w:rFonts w:hint="eastAsia" w:ascii="MS UI Gothic" w:eastAsia="MS UI Gothic"/>
          <w:w w:val="80"/>
        </w:rPr>
        <w:t>ꎮ</w:t>
      </w:r>
    </w:p>
    <w:p>
      <w:pPr>
        <w:pStyle w:val="6"/>
        <w:tabs>
          <w:tab w:val="left" w:pos="2011"/>
          <w:tab w:val="left" w:pos="2639"/>
        </w:tabs>
        <w:spacing w:before="156"/>
        <w:ind w:left="1172" w:firstLine="0"/>
        <w:jc w:val="left"/>
      </w:pPr>
      <w:r>
        <w:rPr>
          <w:spacing w:val="3"/>
          <w:w w:val="105"/>
        </w:rPr>
        <w:t>第五</w:t>
      </w:r>
      <w:r>
        <w:rPr>
          <w:w w:val="105"/>
        </w:rPr>
        <w:t>章</w:t>
      </w:r>
      <w:r>
        <w:rPr>
          <w:w w:val="105"/>
        </w:rPr>
        <w:tab/>
      </w:r>
      <w:r>
        <w:rPr>
          <w:w w:val="105"/>
        </w:rPr>
        <w:t>附</w:t>
      </w:r>
      <w:r>
        <w:rPr>
          <w:w w:val="105"/>
        </w:rPr>
        <w:tab/>
      </w:r>
      <w:r>
        <w:rPr>
          <w:w w:val="105"/>
        </w:rPr>
        <w:t>则</w:t>
      </w:r>
    </w:p>
    <w:p>
      <w:pPr>
        <w:pStyle w:val="6"/>
        <w:spacing w:before="215" w:line="295" w:lineRule="auto"/>
        <w:ind w:right="442"/>
        <w:rPr>
          <w:rFonts w:hint="eastAsia" w:ascii="MS UI Gothic" w:eastAsia="MS UI Gothic"/>
        </w:rPr>
      </w:pPr>
      <w:r>
        <w:rPr>
          <w:w w:val="105"/>
        </w:rPr>
        <w:t>第三十条 省级安全监管监察部门可</w:t>
      </w:r>
      <w:r>
        <w:t>以根据本规定</w:t>
      </w:r>
      <w:r>
        <w:rPr>
          <w:rFonts w:hint="eastAsia" w:ascii="MS UI Gothic" w:eastAsia="MS UI Gothic"/>
          <w:w w:val="80"/>
        </w:rPr>
        <w:t xml:space="preserve">ꎬ </w:t>
      </w:r>
      <w:r>
        <w:t>制定事故隐患排查治理和</w:t>
      </w:r>
      <w:r>
        <w:rPr>
          <w:w w:val="105"/>
        </w:rPr>
        <w:t>监督管理实施细则</w:t>
      </w:r>
      <w:r>
        <w:rPr>
          <w:rFonts w:hint="eastAsia" w:ascii="MS UI Gothic" w:eastAsia="MS UI Gothic"/>
          <w:w w:val="80"/>
        </w:rPr>
        <w:t>ꎮ</w:t>
      </w:r>
    </w:p>
    <w:p>
      <w:pPr>
        <w:pStyle w:val="6"/>
        <w:spacing w:line="295" w:lineRule="auto"/>
        <w:ind w:right="442"/>
        <w:rPr>
          <w:rFonts w:hint="eastAsia" w:ascii="MS UI Gothic" w:eastAsia="MS UI Gothic"/>
        </w:rPr>
      </w:pPr>
      <w:r>
        <w:t>第三十一条 事业单位</w:t>
      </w:r>
      <w:r>
        <w:rPr>
          <w:rFonts w:hint="eastAsia" w:ascii="MS UI Gothic" w:eastAsia="MS UI Gothic"/>
          <w:w w:val="80"/>
        </w:rPr>
        <w:t xml:space="preserve">、 </w:t>
      </w:r>
      <w:r>
        <w:t>人民团体以及其他经济组织的事故隐患排查治理</w:t>
      </w:r>
      <w:r>
        <w:rPr>
          <w:rFonts w:hint="eastAsia" w:ascii="MS UI Gothic" w:eastAsia="MS UI Gothic"/>
          <w:w w:val="80"/>
        </w:rPr>
        <w:t xml:space="preserve">ꎬ </w:t>
      </w:r>
      <w:r>
        <w:t>参照本规定执行</w:t>
      </w:r>
      <w:r>
        <w:rPr>
          <w:rFonts w:hint="eastAsia" w:ascii="MS UI Gothic" w:eastAsia="MS UI Gothic"/>
          <w:w w:val="80"/>
        </w:rPr>
        <w:t>ꎮ</w:t>
      </w:r>
    </w:p>
    <w:p>
      <w:pPr>
        <w:pStyle w:val="6"/>
        <w:spacing w:line="295" w:lineRule="auto"/>
        <w:ind w:left="280" w:right="442" w:firstLine="263"/>
        <w:rPr>
          <w:rFonts w:hint="eastAsia" w:ascii="MS UI Gothic" w:eastAsia="MS UI Gothic"/>
        </w:rPr>
      </w:pPr>
      <w:r>
        <w:pict>
          <v:shape id="_x0000_s1321" o:spid="_x0000_s1321" o:spt="202" type="#_x0000_t202" style="position:absolute;left:0pt;margin-left:264.5pt;margin-top:12pt;height:24.35pt;width:5.15pt;mso-position-horizontal-relative:page;z-index:25177292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第三十二条 本规定自 </w:t>
      </w:r>
      <w:r>
        <w:rPr>
          <w:rFonts w:hint="eastAsia" w:ascii="MS UI Gothic" w:eastAsia="MS UI Gothic"/>
          <w:w w:val="95"/>
        </w:rPr>
        <w:t xml:space="preserve">２００８ </w:t>
      </w:r>
      <w:r>
        <w:rPr>
          <w:w w:val="95"/>
        </w:rPr>
        <w:t xml:space="preserve">年 </w:t>
      </w:r>
      <w:r>
        <w:rPr>
          <w:rFonts w:hint="eastAsia" w:ascii="MS UI Gothic" w:eastAsia="MS UI Gothic"/>
          <w:w w:val="95"/>
        </w:rPr>
        <w:t xml:space="preserve">２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4"/>
        <w:spacing w:before="294"/>
        <w:ind w:right="654"/>
        <w:rPr>
          <w:rFonts w:hint="eastAsia" w:ascii="Microsoft Yi Baiti" w:eastAsia="Microsoft Yi Baiti"/>
        </w:rPr>
      </w:pPr>
      <w:r>
        <w:t xml:space="preserve">生产安全事故应急预案管理办法 </w:t>
      </w:r>
      <w:r>
        <w:rPr>
          <w:rFonts w:hint="eastAsia" w:ascii="Microsoft Yi Baiti" w:eastAsia="Microsoft Yi Baiti"/>
        </w:rPr>
        <w:t>(</w:t>
      </w:r>
      <w:r>
        <w:rPr>
          <w:rFonts w:hint="eastAsia" w:ascii="MS UI Gothic" w:eastAsia="MS UI Gothic"/>
        </w:rPr>
        <w:t xml:space="preserve">２０１９ </w:t>
      </w:r>
      <w:r>
        <w:t>年修正</w:t>
      </w:r>
      <w:r>
        <w:rPr>
          <w:rFonts w:hint="eastAsia" w:ascii="Microsoft Yi Baiti" w:eastAsia="Microsoft Yi Baiti"/>
        </w:rPr>
        <w:t>)</w:t>
      </w:r>
    </w:p>
    <w:p>
      <w:pPr>
        <w:pStyle w:val="6"/>
        <w:spacing w:before="367" w:line="295" w:lineRule="auto"/>
        <w:ind w:right="442"/>
        <w:rPr>
          <w:rFonts w:hint="eastAsia" w:ascii="Microsoft Yi Baiti" w:hAnsi="Microsoft Yi Baiti" w:eastAsia="Microsoft Yi Baiti"/>
        </w:rPr>
      </w:pPr>
      <w:r>
        <w:rPr>
          <w:rFonts w:hint="eastAsia" w:ascii="Microsoft Yi Baiti" w:hAnsi="Microsoft Yi Baiti" w:eastAsia="Microsoft Yi Baiti"/>
          <w:spacing w:val="2"/>
        </w:rPr>
        <w:t>(</w:t>
      </w:r>
      <w:r>
        <w:rPr>
          <w:rFonts w:hint="eastAsia" w:ascii="MS UI Gothic" w:hAnsi="MS UI Gothic" w:eastAsia="MS UI Gothic"/>
          <w:spacing w:val="-4"/>
        </w:rPr>
        <w:t xml:space="preserve">２０１６ </w:t>
      </w:r>
      <w:r>
        <w:rPr>
          <w:spacing w:val="-35"/>
        </w:rPr>
        <w:t xml:space="preserve">年 </w:t>
      </w:r>
      <w:r>
        <w:rPr>
          <w:rFonts w:hint="eastAsia" w:ascii="MS UI Gothic" w:hAnsi="MS UI Gothic" w:eastAsia="MS UI Gothic"/>
          <w:spacing w:val="-13"/>
        </w:rPr>
        <w:t xml:space="preserve">６ </w:t>
      </w:r>
      <w:r>
        <w:rPr>
          <w:spacing w:val="-36"/>
        </w:rPr>
        <w:t xml:space="preserve">月 </w:t>
      </w:r>
      <w:r>
        <w:rPr>
          <w:rFonts w:hint="eastAsia" w:ascii="MS UI Gothic" w:hAnsi="MS UI Gothic" w:eastAsia="MS UI Gothic"/>
          <w:spacing w:val="-13"/>
        </w:rPr>
        <w:t xml:space="preserve">３ </w:t>
      </w:r>
      <w:r>
        <w:rPr>
          <w:spacing w:val="-3"/>
        </w:rPr>
        <w:t xml:space="preserve">日国家安全生产监督管理总局令第 </w:t>
      </w:r>
      <w:r>
        <w:rPr>
          <w:rFonts w:hint="eastAsia" w:ascii="MS UI Gothic" w:hAnsi="MS UI Gothic" w:eastAsia="MS UI Gothic"/>
          <w:spacing w:val="-9"/>
        </w:rPr>
        <w:t xml:space="preserve">８８ </w:t>
      </w:r>
      <w:r>
        <w:rPr>
          <w:spacing w:val="-6"/>
        </w:rPr>
        <w:t xml:space="preserve">号公布 根据 </w:t>
      </w:r>
      <w:r>
        <w:rPr>
          <w:rFonts w:hint="eastAsia" w:ascii="MS UI Gothic" w:hAnsi="MS UI Gothic" w:eastAsia="MS UI Gothic"/>
          <w:spacing w:val="-6"/>
        </w:rPr>
        <w:t xml:space="preserve">２０１９ </w:t>
      </w:r>
      <w:r>
        <w:rPr>
          <w:spacing w:val="-34"/>
        </w:rPr>
        <w:t xml:space="preserve">年 </w:t>
      </w:r>
      <w:r>
        <w:rPr>
          <w:rFonts w:hint="eastAsia" w:ascii="MS UI Gothic" w:hAnsi="MS UI Gothic" w:eastAsia="MS UI Gothic"/>
          <w:spacing w:val="-12"/>
        </w:rPr>
        <w:t xml:space="preserve">７ </w:t>
      </w:r>
      <w:r>
        <w:rPr>
          <w:spacing w:val="-34"/>
        </w:rPr>
        <w:t xml:space="preserve">月 </w:t>
      </w:r>
      <w:r>
        <w:rPr>
          <w:rFonts w:hint="eastAsia" w:ascii="MS UI Gothic" w:hAnsi="MS UI Gothic" w:eastAsia="MS UI Gothic"/>
        </w:rPr>
        <w:t xml:space="preserve">１１ </w:t>
      </w:r>
      <w:r>
        <w:rPr>
          <w:spacing w:val="-2"/>
        </w:rPr>
        <w:t xml:space="preserve">日应急管理部令第 </w:t>
      </w:r>
      <w:r>
        <w:rPr>
          <w:rFonts w:hint="eastAsia" w:ascii="MS UI Gothic" w:hAnsi="MS UI Gothic" w:eastAsia="MS UI Gothic"/>
          <w:spacing w:val="9"/>
        </w:rPr>
        <w:t xml:space="preserve">２ </w:t>
      </w:r>
      <w:r>
        <w:rPr>
          <w:spacing w:val="23"/>
        </w:rPr>
        <w:t xml:space="preserve">号 </w:t>
      </w:r>
      <w:r>
        <w:rPr>
          <w:rFonts w:hint="eastAsia" w:ascii="Microsoft Yi Baiti" w:hAnsi="Microsoft Yi Baiti" w:eastAsia="Microsoft Yi Baiti"/>
          <w:spacing w:val="-33"/>
          <w:w w:val="110"/>
        </w:rPr>
        <w:t xml:space="preserve">« </w:t>
      </w:r>
      <w:r>
        <w:rPr>
          <w:spacing w:val="12"/>
        </w:rPr>
        <w:t xml:space="preserve">应急管理部关于修改 </w:t>
      </w:r>
      <w:r>
        <w:rPr>
          <w:rFonts w:hint="eastAsia" w:ascii="Microsoft Yi Baiti" w:hAnsi="Microsoft Yi Baiti" w:eastAsia="Microsoft Yi Baiti"/>
          <w:spacing w:val="-67"/>
          <w:w w:val="190"/>
        </w:rPr>
        <w:t xml:space="preserve">‹ </w:t>
      </w:r>
      <w:r>
        <w:rPr>
          <w:spacing w:val="9"/>
        </w:rPr>
        <w:t>生产安全事故应急预案管理办法</w:t>
      </w:r>
      <w:r>
        <w:rPr>
          <w:rFonts w:hint="eastAsia" w:ascii="Microsoft Yi Baiti" w:hAnsi="Microsoft Yi Baiti" w:eastAsia="Microsoft Yi Baiti"/>
          <w:spacing w:val="6"/>
          <w:w w:val="190"/>
        </w:rPr>
        <w:t xml:space="preserve">› </w:t>
      </w:r>
      <w:r>
        <w:t>的</w:t>
      </w:r>
      <w:r>
        <w:rPr>
          <w:spacing w:val="3"/>
        </w:rPr>
        <w:t>决定</w:t>
      </w:r>
      <w:r>
        <w:rPr>
          <w:rFonts w:hint="eastAsia" w:ascii="Microsoft Yi Baiti" w:hAnsi="Microsoft Yi Baiti" w:eastAsia="Microsoft Yi Baiti"/>
          <w:spacing w:val="14"/>
          <w:w w:val="110"/>
        </w:rPr>
        <w:t xml:space="preserve">» </w:t>
      </w:r>
      <w:r>
        <w:rPr>
          <w:spacing w:val="3"/>
        </w:rPr>
        <w:t>修正</w:t>
      </w:r>
      <w:r>
        <w:rPr>
          <w:rFonts w:hint="eastAsia" w:ascii="Microsoft Yi Baiti" w:hAnsi="Microsoft Yi Baiti" w:eastAsia="Microsoft Yi Baiti"/>
        </w:rPr>
        <w:t>)</w:t>
      </w:r>
    </w:p>
    <w:p>
      <w:pPr>
        <w:pStyle w:val="6"/>
        <w:spacing w:before="4"/>
        <w:ind w:left="0" w:firstLine="0"/>
        <w:jc w:val="left"/>
        <w:rPr>
          <w:rFonts w:ascii="Microsoft Yi Baiti"/>
          <w:sz w:val="13"/>
        </w:rPr>
      </w:pPr>
    </w:p>
    <w:p>
      <w:pPr>
        <w:spacing w:after="0"/>
        <w:jc w:val="left"/>
        <w:rPr>
          <w:rFonts w:ascii="Microsoft Yi Baiti"/>
          <w:sz w:val="13"/>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0" w:lineRule="auto"/>
        <w:ind w:right="38"/>
        <w:rPr>
          <w:rFonts w:hint="eastAsia" w:ascii="MS UI Gothic" w:hAnsi="MS UI Gothic" w:eastAsia="MS UI Gothic"/>
        </w:rPr>
      </w:pPr>
      <w:r>
        <w:t>第一条 为规范生产安全事故应急预案管理工作</w:t>
      </w:r>
      <w:r>
        <w:rPr>
          <w:rFonts w:hint="eastAsia" w:ascii="MS UI Gothic" w:hAnsi="MS UI Gothic" w:eastAsia="MS UI Gothic"/>
          <w:w w:val="80"/>
        </w:rPr>
        <w:t xml:space="preserve">ꎬ </w:t>
      </w:r>
      <w:r>
        <w:t>迅速有效处置生产安全事故</w:t>
      </w:r>
      <w:r>
        <w:rPr>
          <w:rFonts w:hint="eastAsia" w:ascii="MS UI Gothic" w:hAnsi="MS UI Gothic" w:eastAsia="MS UI Gothic"/>
          <w:w w:val="80"/>
        </w:rPr>
        <w:t xml:space="preserve">ꎬ </w:t>
      </w:r>
      <w:r>
        <w:t xml:space="preserve">依据 </w:t>
      </w:r>
      <w:r>
        <w:rPr>
          <w:rFonts w:hint="eastAsia" w:ascii="MS UI Gothic" w:hAnsi="MS UI Gothic" w:eastAsia="MS UI Gothic"/>
          <w:w w:val="80"/>
        </w:rPr>
        <w:t xml:space="preserve">« </w:t>
      </w:r>
      <w:r>
        <w:t>中华人民共和国突发事件应对法</w:t>
      </w:r>
      <w:r>
        <w:rPr>
          <w:rFonts w:hint="eastAsia" w:ascii="MS UI Gothic" w:hAnsi="MS UI Gothic" w:eastAsia="MS UI Gothic"/>
          <w:w w:val="80"/>
        </w:rPr>
        <w:t xml:space="preserve">» « </w:t>
      </w:r>
      <w:r>
        <w:t>中华人民共和国安全生产法</w:t>
      </w:r>
      <w:r>
        <w:rPr>
          <w:rFonts w:hint="eastAsia" w:ascii="MS UI Gothic" w:hAnsi="MS UI Gothic" w:eastAsia="MS UI Gothic"/>
          <w:w w:val="80"/>
        </w:rPr>
        <w:t>»</w:t>
      </w:r>
    </w:p>
    <w:p>
      <w:pPr>
        <w:pStyle w:val="6"/>
        <w:spacing w:line="290" w:lineRule="auto"/>
        <w:ind w:right="38" w:firstLine="0"/>
        <w:rPr>
          <w:rFonts w:hint="eastAsia" w:ascii="MS UI Gothic" w:hAnsi="MS UI Gothic" w:eastAsia="MS UI Gothic"/>
        </w:rPr>
      </w:pPr>
      <w:r>
        <w:rPr>
          <w:rFonts w:hint="eastAsia" w:ascii="MS UI Gothic" w:hAnsi="MS UI Gothic" w:eastAsia="MS UI Gothic"/>
          <w:spacing w:val="-13"/>
          <w:w w:val="95"/>
        </w:rPr>
        <w:t xml:space="preserve">« </w:t>
      </w:r>
      <w:r>
        <w:rPr>
          <w:spacing w:val="5"/>
          <w:w w:val="95"/>
        </w:rPr>
        <w:t>生产安全事故应急条例</w:t>
      </w:r>
      <w:r>
        <w:rPr>
          <w:rFonts w:hint="eastAsia" w:ascii="MS UI Gothic" w:hAnsi="MS UI Gothic" w:eastAsia="MS UI Gothic"/>
          <w:spacing w:val="11"/>
          <w:w w:val="95"/>
        </w:rPr>
        <w:t xml:space="preserve">»  </w:t>
      </w:r>
      <w:r>
        <w:rPr>
          <w:spacing w:val="7"/>
          <w:w w:val="95"/>
        </w:rPr>
        <w:t>等法律</w:t>
      </w:r>
      <w:r>
        <w:rPr>
          <w:rFonts w:hint="eastAsia" w:ascii="MS UI Gothic" w:hAnsi="MS UI Gothic" w:eastAsia="MS UI Gothic"/>
          <w:spacing w:val="1"/>
          <w:w w:val="95"/>
        </w:rPr>
        <w:t xml:space="preserve">、  </w:t>
      </w:r>
      <w:r>
        <w:rPr>
          <w:spacing w:val="5"/>
          <w:w w:val="95"/>
        </w:rPr>
        <w:t>行政</w:t>
      </w:r>
      <w:r>
        <w:rPr>
          <w:spacing w:val="11"/>
          <w:w w:val="95"/>
        </w:rPr>
        <w:t xml:space="preserve">法规和  </w:t>
      </w:r>
      <w:r>
        <w:rPr>
          <w:rFonts w:hint="eastAsia" w:ascii="MS UI Gothic" w:hAnsi="MS UI Gothic" w:eastAsia="MS UI Gothic"/>
          <w:spacing w:val="5"/>
          <w:w w:val="95"/>
        </w:rPr>
        <w:t xml:space="preserve">« </w:t>
      </w:r>
      <w:r>
        <w:rPr>
          <w:spacing w:val="24"/>
          <w:w w:val="95"/>
        </w:rPr>
        <w:t>突发事件应急预案管理办法</w:t>
      </w:r>
      <w:r>
        <w:rPr>
          <w:rFonts w:hint="eastAsia" w:ascii="MS UI Gothic" w:hAnsi="MS UI Gothic" w:eastAsia="MS UI Gothic"/>
          <w:w w:val="95"/>
        </w:rPr>
        <w:t xml:space="preserve">» </w:t>
      </w:r>
      <w:r>
        <w:rPr>
          <w:rFonts w:hint="eastAsia" w:ascii="MS UI Gothic" w:hAnsi="MS UI Gothic" w:eastAsia="MS UI Gothic"/>
          <w:spacing w:val="-35"/>
          <w:w w:val="140"/>
        </w:rPr>
        <w:t xml:space="preserve">( </w:t>
      </w:r>
      <w:r>
        <w:rPr>
          <w:spacing w:val="-3"/>
          <w:w w:val="95"/>
        </w:rPr>
        <w:t xml:space="preserve">国办发 </w:t>
      </w:r>
      <w:r>
        <w:rPr>
          <w:rFonts w:hint="eastAsia" w:ascii="MS UI Gothic" w:hAnsi="MS UI Gothic" w:eastAsia="MS UI Gothic"/>
          <w:spacing w:val="1"/>
          <w:w w:val="95"/>
        </w:rPr>
        <w:t xml:space="preserve">〔２０１３〕 １０１ </w:t>
      </w:r>
      <w:r>
        <w:rPr>
          <w:spacing w:val="3"/>
          <w:w w:val="95"/>
        </w:rPr>
        <w:t>号</w:t>
      </w:r>
      <w:r>
        <w:rPr>
          <w:rFonts w:hint="eastAsia" w:ascii="MS UI Gothic" w:hAnsi="MS UI Gothic" w:eastAsia="MS UI Gothic"/>
          <w:spacing w:val="-35"/>
          <w:w w:val="140"/>
        </w:rPr>
        <w:t xml:space="preserve">) </w:t>
      </w:r>
      <w:r>
        <w:rPr>
          <w:rFonts w:hint="eastAsia" w:ascii="MS UI Gothic" w:hAnsi="MS UI Gothic" w:eastAsia="MS UI Gothic"/>
          <w:spacing w:val="14"/>
          <w:w w:val="85"/>
        </w:rPr>
        <w:t xml:space="preserve">ꎬ </w:t>
      </w:r>
      <w:r>
        <w:rPr>
          <w:spacing w:val="3"/>
          <w:w w:val="95"/>
        </w:rPr>
        <w:t>制定本办法</w:t>
      </w:r>
      <w:r>
        <w:rPr>
          <w:rFonts w:hint="eastAsia" w:ascii="MS UI Gothic" w:hAnsi="MS UI Gothic" w:eastAsia="MS UI Gothic"/>
          <w:w w:val="85"/>
        </w:rPr>
        <w:t>ꎮ</w:t>
      </w:r>
    </w:p>
    <w:p>
      <w:pPr>
        <w:pStyle w:val="6"/>
        <w:spacing w:line="290" w:lineRule="auto"/>
        <w:ind w:right="38"/>
        <w:rPr>
          <w:rFonts w:hint="eastAsia" w:ascii="MS UI Gothic" w:eastAsia="MS UI Gothic"/>
        </w:rPr>
      </w:pPr>
      <w:r>
        <w:rPr>
          <w:w w:val="105"/>
        </w:rPr>
        <w:t>第二条  生产安全事故应急预案</w:t>
      </w:r>
      <w:r>
        <w:rPr>
          <w:rFonts w:hint="eastAsia" w:ascii="MS UI Gothic" w:eastAsia="MS UI Gothic"/>
          <w:w w:val="150"/>
        </w:rPr>
        <w:t xml:space="preserve">( </w:t>
      </w:r>
      <w:r>
        <w:rPr>
          <w:w w:val="105"/>
        </w:rPr>
        <w:t>以下简称应急预案</w:t>
      </w:r>
      <w:r>
        <w:rPr>
          <w:rFonts w:hint="eastAsia" w:ascii="MS UI Gothic" w:eastAsia="MS UI Gothic"/>
          <w:w w:val="150"/>
        </w:rPr>
        <w:t xml:space="preserve">) </w:t>
      </w:r>
      <w:r>
        <w:rPr>
          <w:w w:val="105"/>
        </w:rPr>
        <w:t>的编制</w:t>
      </w:r>
      <w:r>
        <w:rPr>
          <w:rFonts w:hint="eastAsia" w:ascii="MS UI Gothic" w:eastAsia="MS UI Gothic"/>
          <w:w w:val="80"/>
        </w:rPr>
        <w:t xml:space="preserve">、 </w:t>
      </w:r>
      <w:r>
        <w:rPr>
          <w:w w:val="105"/>
        </w:rPr>
        <w:t>评审</w:t>
      </w:r>
      <w:r>
        <w:rPr>
          <w:rFonts w:hint="eastAsia" w:ascii="MS UI Gothic" w:eastAsia="MS UI Gothic"/>
          <w:w w:val="80"/>
        </w:rPr>
        <w:t xml:space="preserve">、 </w:t>
      </w:r>
      <w:r>
        <w:rPr>
          <w:w w:val="105"/>
        </w:rPr>
        <w:t>公布</w:t>
      </w:r>
      <w:r>
        <w:rPr>
          <w:rFonts w:hint="eastAsia" w:ascii="MS UI Gothic" w:eastAsia="MS UI Gothic"/>
          <w:w w:val="80"/>
        </w:rPr>
        <w:t xml:space="preserve">、 </w:t>
      </w:r>
      <w:r>
        <w:rPr>
          <w:w w:val="105"/>
        </w:rPr>
        <w:t>备案</w:t>
      </w:r>
      <w:r>
        <w:rPr>
          <w:rFonts w:hint="eastAsia" w:ascii="MS UI Gothic" w:eastAsia="MS UI Gothic"/>
          <w:w w:val="80"/>
        </w:rPr>
        <w:t xml:space="preserve">、 </w:t>
      </w:r>
      <w:r>
        <w:rPr>
          <w:w w:val="105"/>
        </w:rPr>
        <w:t>实施及监督管理工作</w:t>
      </w:r>
      <w:r>
        <w:rPr>
          <w:rFonts w:hint="eastAsia" w:ascii="MS UI Gothic" w:eastAsia="MS UI Gothic"/>
          <w:w w:val="80"/>
        </w:rPr>
        <w:t xml:space="preserve">ꎬ </w:t>
      </w:r>
      <w:r>
        <w:rPr>
          <w:w w:val="105"/>
        </w:rPr>
        <w:t>适用本办法</w:t>
      </w:r>
      <w:r>
        <w:rPr>
          <w:rFonts w:hint="eastAsia" w:ascii="MS UI Gothic" w:eastAsia="MS UI Gothic"/>
          <w:w w:val="80"/>
        </w:rPr>
        <w:t>ꎮ</w:t>
      </w:r>
    </w:p>
    <w:p>
      <w:pPr>
        <w:pStyle w:val="6"/>
        <w:spacing w:before="3" w:line="290" w:lineRule="auto"/>
        <w:ind w:right="38"/>
        <w:rPr>
          <w:rFonts w:hint="eastAsia" w:ascii="MS UI Gothic" w:eastAsia="MS UI Gothic"/>
        </w:rPr>
      </w:pPr>
      <w:r>
        <w:t>第三条 应急预案的管理实行属地为主</w:t>
      </w:r>
      <w:r>
        <w:rPr>
          <w:rFonts w:hint="eastAsia" w:ascii="MS UI Gothic" w:eastAsia="MS UI Gothic"/>
          <w:w w:val="80"/>
        </w:rPr>
        <w:t xml:space="preserve">、 </w:t>
      </w:r>
      <w:r>
        <w:t>分级负责</w:t>
      </w:r>
      <w:r>
        <w:rPr>
          <w:rFonts w:hint="eastAsia" w:ascii="MS UI Gothic" w:eastAsia="MS UI Gothic"/>
          <w:w w:val="80"/>
        </w:rPr>
        <w:t xml:space="preserve">、 </w:t>
      </w:r>
      <w:r>
        <w:t>分类指导</w:t>
      </w:r>
      <w:r>
        <w:rPr>
          <w:rFonts w:hint="eastAsia" w:ascii="MS UI Gothic" w:eastAsia="MS UI Gothic"/>
          <w:w w:val="80"/>
        </w:rPr>
        <w:t xml:space="preserve">、 </w:t>
      </w:r>
      <w:r>
        <w:t>综合协调</w:t>
      </w:r>
      <w:r>
        <w:rPr>
          <w:rFonts w:hint="eastAsia" w:ascii="MS UI Gothic" w:eastAsia="MS UI Gothic"/>
          <w:w w:val="80"/>
        </w:rPr>
        <w:t xml:space="preserve">、  </w:t>
      </w:r>
      <w:r>
        <w:t>动态管理的原则</w:t>
      </w:r>
      <w:r>
        <w:rPr>
          <w:rFonts w:hint="eastAsia" w:ascii="MS UI Gothic" w:eastAsia="MS UI Gothic"/>
          <w:w w:val="80"/>
        </w:rPr>
        <w:t>ꎮ</w:t>
      </w:r>
    </w:p>
    <w:p>
      <w:pPr>
        <w:pStyle w:val="6"/>
        <w:spacing w:before="2" w:line="290" w:lineRule="auto"/>
        <w:ind w:right="38"/>
      </w:pPr>
      <w:r>
        <w:rPr>
          <w:w w:val="105"/>
        </w:rPr>
        <w:t>第四条 应急管理部负责全国应急预</w:t>
      </w:r>
      <w:r>
        <w:t>案的综合协调管理工作</w:t>
      </w:r>
      <w:r>
        <w:rPr>
          <w:rFonts w:hint="eastAsia" w:ascii="MS UI Gothic" w:eastAsia="MS UI Gothic"/>
          <w:w w:val="80"/>
        </w:rPr>
        <w:t xml:space="preserve">ꎮ </w:t>
      </w:r>
      <w:r>
        <w:t>国务院其他负有安全生产监督管理职责的部门在各自职责</w:t>
      </w:r>
      <w:r>
        <w:rPr>
          <w:w w:val="105"/>
        </w:rPr>
        <w:t>范围内</w:t>
      </w:r>
      <w:r>
        <w:rPr>
          <w:rFonts w:hint="eastAsia" w:ascii="MS UI Gothic" w:eastAsia="MS UI Gothic"/>
          <w:w w:val="80"/>
        </w:rPr>
        <w:t xml:space="preserve">ꎬ </w:t>
      </w:r>
      <w:r>
        <w:rPr>
          <w:w w:val="105"/>
        </w:rPr>
        <w:t>负责相关行业</w:t>
      </w:r>
      <w:r>
        <w:rPr>
          <w:rFonts w:hint="eastAsia" w:ascii="MS UI Gothic" w:eastAsia="MS UI Gothic"/>
          <w:w w:val="80"/>
        </w:rPr>
        <w:t xml:space="preserve">、 </w:t>
      </w:r>
      <w:r>
        <w:rPr>
          <w:w w:val="105"/>
        </w:rPr>
        <w:t>领域应急预案的</w:t>
      </w:r>
    </w:p>
    <w:p>
      <w:pPr>
        <w:pStyle w:val="6"/>
        <w:spacing w:before="174" w:line="290" w:lineRule="auto"/>
        <w:ind w:right="442" w:firstLine="0"/>
        <w:rPr>
          <w:rFonts w:hint="eastAsia" w:ascii="MS UI Gothic" w:eastAsia="MS UI Gothic"/>
        </w:rPr>
      </w:pPr>
      <w:r>
        <w:br w:type="column"/>
      </w:r>
      <w:r>
        <w:t>管理工作</w:t>
      </w:r>
      <w:r>
        <w:rPr>
          <w:rFonts w:hint="eastAsia" w:ascii="MS UI Gothic" w:eastAsia="MS UI Gothic"/>
          <w:w w:val="80"/>
        </w:rPr>
        <w:t xml:space="preserve">ꎮ </w:t>
      </w:r>
      <w:r>
        <w:t>县级以上地方各级人民政府应急管理部门负责本行政区域内应急预案的综合协调管理工作</w:t>
      </w:r>
      <w:r>
        <w:rPr>
          <w:rFonts w:hint="eastAsia" w:ascii="MS UI Gothic" w:eastAsia="MS UI Gothic"/>
          <w:w w:val="80"/>
        </w:rPr>
        <w:t xml:space="preserve">ꎮ </w:t>
      </w:r>
      <w:r>
        <w:t>县级以上地方各级人民政府其他负有安全生产监督管理职责的</w:t>
      </w:r>
      <w:r>
        <w:rPr>
          <w:w w:val="105"/>
        </w:rPr>
        <w:t>部门按照各自的职责负责有关行业</w:t>
      </w:r>
      <w:r>
        <w:rPr>
          <w:rFonts w:hint="eastAsia" w:ascii="MS UI Gothic" w:eastAsia="MS UI Gothic"/>
          <w:w w:val="80"/>
        </w:rPr>
        <w:t xml:space="preserve">、 </w:t>
      </w:r>
      <w:r>
        <w:rPr>
          <w:w w:val="105"/>
        </w:rPr>
        <w:t>领域应急预案的管理工作</w:t>
      </w:r>
      <w:r>
        <w:rPr>
          <w:rFonts w:hint="eastAsia" w:ascii="MS UI Gothic" w:eastAsia="MS UI Gothic"/>
          <w:w w:val="80"/>
        </w:rPr>
        <w:t>ꎮ</w:t>
      </w:r>
    </w:p>
    <w:p>
      <w:pPr>
        <w:pStyle w:val="6"/>
        <w:spacing w:before="5" w:line="290" w:lineRule="auto"/>
        <w:ind w:right="442"/>
        <w:rPr>
          <w:rFonts w:hint="eastAsia" w:ascii="MS UI Gothic" w:eastAsia="MS UI Gothic"/>
        </w:rPr>
      </w:pPr>
      <w:r>
        <w:rPr>
          <w:w w:val="105"/>
        </w:rPr>
        <w:t>第五条 生产经营单位主要负责人负</w:t>
      </w:r>
      <w:r>
        <w:t>责组织编制和实施本单位的应急预案</w:t>
      </w:r>
      <w:r>
        <w:rPr>
          <w:rFonts w:hint="eastAsia" w:ascii="MS UI Gothic" w:eastAsia="MS UI Gothic"/>
          <w:w w:val="80"/>
        </w:rPr>
        <w:t xml:space="preserve">ꎬ </w:t>
      </w:r>
      <w:r>
        <w:t>并对应急预案的真实性和实用性负责</w:t>
      </w:r>
      <w:r>
        <w:rPr>
          <w:rFonts w:hint="eastAsia" w:ascii="MS UI Gothic" w:eastAsia="MS UI Gothic"/>
          <w:w w:val="80"/>
        </w:rPr>
        <w:t xml:space="preserve">ꎻ </w:t>
      </w:r>
      <w:r>
        <w:t>各分管负责人应当按照职责分工落实应急预案</w:t>
      </w:r>
      <w:r>
        <w:rPr>
          <w:w w:val="105"/>
        </w:rPr>
        <w:t>规定的职责</w:t>
      </w:r>
      <w:r>
        <w:rPr>
          <w:rFonts w:hint="eastAsia" w:ascii="MS UI Gothic" w:eastAsia="MS UI Gothic"/>
          <w:w w:val="80"/>
        </w:rPr>
        <w:t>ꎮ</w:t>
      </w:r>
    </w:p>
    <w:p>
      <w:pPr>
        <w:pStyle w:val="6"/>
        <w:spacing w:before="4" w:line="290" w:lineRule="auto"/>
        <w:ind w:right="440"/>
      </w:pPr>
      <w:r>
        <w:t>第六条 生产经营单位应急预案分为综合应急预案</w:t>
      </w:r>
      <w:r>
        <w:rPr>
          <w:rFonts w:hint="eastAsia" w:ascii="MS UI Gothic" w:eastAsia="MS UI Gothic"/>
          <w:w w:val="80"/>
        </w:rPr>
        <w:t xml:space="preserve">、 </w:t>
      </w:r>
      <w:r>
        <w:t>专项应急预案和现场处置方案</w:t>
      </w:r>
      <w:r>
        <w:rPr>
          <w:rFonts w:hint="eastAsia" w:ascii="MS UI Gothic" w:eastAsia="MS UI Gothic"/>
          <w:w w:val="80"/>
        </w:rPr>
        <w:t xml:space="preserve">ꎮ </w:t>
      </w:r>
      <w:r>
        <w:t>综合应急预案</w:t>
      </w:r>
      <w:r>
        <w:rPr>
          <w:rFonts w:hint="eastAsia" w:ascii="MS UI Gothic" w:eastAsia="MS UI Gothic"/>
          <w:w w:val="80"/>
        </w:rPr>
        <w:t xml:space="preserve">ꎬ </w:t>
      </w:r>
      <w:r>
        <w:t>是指生产经营单位为应对各种生产安全事故而制定的综合性工作方案</w:t>
      </w:r>
      <w:r>
        <w:rPr>
          <w:rFonts w:hint="eastAsia" w:ascii="MS UI Gothic" w:eastAsia="MS UI Gothic"/>
          <w:w w:val="80"/>
        </w:rPr>
        <w:t xml:space="preserve">ꎬ </w:t>
      </w:r>
      <w:r>
        <w:t>是本单位应对生产安全事故的总体工作程序</w:t>
      </w:r>
      <w:r>
        <w:rPr>
          <w:rFonts w:hint="eastAsia" w:ascii="MS UI Gothic" w:eastAsia="MS UI Gothic"/>
          <w:w w:val="80"/>
        </w:rPr>
        <w:t xml:space="preserve">、 </w:t>
      </w:r>
      <w:r>
        <w:t>措施和应急预案体系的总纲</w:t>
      </w:r>
      <w:r>
        <w:rPr>
          <w:rFonts w:hint="eastAsia" w:ascii="MS UI Gothic" w:eastAsia="MS UI Gothic"/>
          <w:w w:val="80"/>
        </w:rPr>
        <w:t xml:space="preserve">ꎮ </w:t>
      </w:r>
      <w:r>
        <w:t>专项应急预案</w:t>
      </w:r>
      <w:r>
        <w:rPr>
          <w:rFonts w:hint="eastAsia" w:ascii="MS UI Gothic" w:eastAsia="MS UI Gothic"/>
          <w:w w:val="80"/>
        </w:rPr>
        <w:t xml:space="preserve">ꎬ </w:t>
      </w:r>
      <w:r>
        <w:t>是指生产经营单位为应对某一种或者多种类型生产安全事故</w:t>
      </w:r>
      <w:r>
        <w:rPr>
          <w:rFonts w:hint="eastAsia" w:ascii="MS UI Gothic" w:eastAsia="MS UI Gothic"/>
          <w:w w:val="80"/>
        </w:rPr>
        <w:t>ꎬ</w:t>
      </w:r>
      <w:r>
        <w:t>或者针对重要生产设施</w:t>
      </w:r>
      <w:r>
        <w:rPr>
          <w:rFonts w:hint="eastAsia" w:ascii="MS UI Gothic" w:eastAsia="MS UI Gothic"/>
          <w:w w:val="80"/>
        </w:rPr>
        <w:t xml:space="preserve">、 </w:t>
      </w:r>
      <w:r>
        <w:t>重大危险源</w:t>
      </w:r>
      <w:r>
        <w:rPr>
          <w:rFonts w:hint="eastAsia" w:ascii="MS UI Gothic" w:eastAsia="MS UI Gothic"/>
          <w:w w:val="80"/>
        </w:rPr>
        <w:t xml:space="preserve">、 </w:t>
      </w:r>
      <w:r>
        <w:t>重</w:t>
      </w:r>
    </w:p>
    <w:p>
      <w:pPr>
        <w:spacing w:after="0" w:line="290" w:lineRule="auto"/>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９１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22" o:spid="_x0000_s1322" o:spt="203" style="height:2.15pt;width:398.25pt;" coordsize="7965,43">
            <o:lock v:ext="edit"/>
            <v:line id="_x0000_s1323" o:spid="_x0000_s1323" o:spt="20" style="position:absolute;left:0;top:39;height:0;width:7965;" stroked="t" coordsize="21600,21600">
              <v:path arrowok="t"/>
              <v:fill focussize="0,0"/>
              <v:stroke weight="0.388031496062992pt" color="#231F20"/>
              <v:imagedata o:title=""/>
              <o:lock v:ext="edit"/>
            </v:line>
            <v:line id="_x0000_s1324" o:spid="_x0000_s132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大活动防止生产安全事故而制定的专项性工作方案</w:t>
      </w:r>
      <w:r>
        <w:rPr>
          <w:rFonts w:hint="eastAsia" w:ascii="MS UI Gothic" w:eastAsia="MS UI Gothic"/>
          <w:w w:val="80"/>
        </w:rPr>
        <w:t xml:space="preserve">ꎮ </w:t>
      </w:r>
      <w:r>
        <w:t>现场处置方案</w:t>
      </w:r>
      <w:r>
        <w:rPr>
          <w:rFonts w:hint="eastAsia" w:ascii="MS UI Gothic" w:eastAsia="MS UI Gothic"/>
          <w:w w:val="80"/>
        </w:rPr>
        <w:t xml:space="preserve">ꎬ </w:t>
      </w:r>
      <w:r>
        <w:t>是指生产经营单位根据不同生产安全事故类型</w:t>
      </w:r>
      <w:r>
        <w:rPr>
          <w:rFonts w:hint="eastAsia" w:ascii="MS UI Gothic" w:eastAsia="MS UI Gothic"/>
          <w:w w:val="80"/>
        </w:rPr>
        <w:t xml:space="preserve">ꎬ </w:t>
      </w:r>
      <w:r>
        <w:t>针对具体场所</w:t>
      </w:r>
      <w:r>
        <w:rPr>
          <w:rFonts w:hint="eastAsia" w:ascii="MS UI Gothic" w:eastAsia="MS UI Gothic"/>
          <w:w w:val="80"/>
        </w:rPr>
        <w:t xml:space="preserve">、 </w:t>
      </w:r>
      <w:r>
        <w:t>装置或者设施所制定的应急处置措施</w:t>
      </w:r>
      <w:r>
        <w:rPr>
          <w:rFonts w:hint="eastAsia" w:ascii="MS UI Gothic" w:eastAsia="MS UI Gothic"/>
          <w:w w:val="80"/>
        </w:rPr>
        <w:t>ꎮ</w:t>
      </w:r>
    </w:p>
    <w:p>
      <w:pPr>
        <w:pStyle w:val="6"/>
        <w:tabs>
          <w:tab w:val="left" w:pos="2012"/>
        </w:tabs>
        <w:spacing w:before="153"/>
        <w:ind w:left="1174" w:firstLine="0"/>
        <w:jc w:val="left"/>
      </w:pPr>
      <w:r>
        <w:rPr>
          <w:spacing w:val="3"/>
          <w:w w:val="105"/>
        </w:rPr>
        <w:t>第二</w:t>
      </w:r>
      <w:r>
        <w:rPr>
          <w:w w:val="105"/>
        </w:rPr>
        <w:t>章</w:t>
      </w:r>
      <w:r>
        <w:rPr>
          <w:w w:val="105"/>
        </w:rPr>
        <w:tab/>
      </w:r>
      <w:r>
        <w:rPr>
          <w:spacing w:val="3"/>
          <w:w w:val="105"/>
        </w:rPr>
        <w:t>应急预案的编</w:t>
      </w:r>
      <w:r>
        <w:rPr>
          <w:w w:val="105"/>
        </w:rPr>
        <w:t>制</w:t>
      </w:r>
    </w:p>
    <w:p>
      <w:pPr>
        <w:pStyle w:val="6"/>
        <w:spacing w:before="216" w:line="295" w:lineRule="auto"/>
        <w:ind w:left="440" w:right="1"/>
        <w:rPr>
          <w:rFonts w:hint="eastAsia" w:ascii="MS UI Gothic" w:eastAsia="MS UI Gothic"/>
        </w:rPr>
      </w:pPr>
      <w:r>
        <w:t>第七条 应急预案的编制应当遵循以人为本</w:t>
      </w:r>
      <w:r>
        <w:rPr>
          <w:rFonts w:hint="eastAsia" w:ascii="MS UI Gothic" w:eastAsia="MS UI Gothic"/>
          <w:w w:val="80"/>
        </w:rPr>
        <w:t xml:space="preserve">、 </w:t>
      </w:r>
      <w:r>
        <w:t>依法依规</w:t>
      </w:r>
      <w:r>
        <w:rPr>
          <w:rFonts w:hint="eastAsia" w:ascii="MS UI Gothic" w:eastAsia="MS UI Gothic"/>
          <w:w w:val="80"/>
        </w:rPr>
        <w:t xml:space="preserve">、 </w:t>
      </w:r>
      <w:r>
        <w:t>符合实际</w:t>
      </w:r>
      <w:r>
        <w:rPr>
          <w:rFonts w:hint="eastAsia" w:ascii="MS UI Gothic" w:eastAsia="MS UI Gothic"/>
          <w:w w:val="80"/>
        </w:rPr>
        <w:t xml:space="preserve">、 </w:t>
      </w:r>
      <w:r>
        <w:t>注重实效的原则</w:t>
      </w:r>
      <w:r>
        <w:rPr>
          <w:rFonts w:hint="eastAsia" w:ascii="MS UI Gothic" w:eastAsia="MS UI Gothic"/>
          <w:w w:val="80"/>
        </w:rPr>
        <w:t xml:space="preserve">ꎬ </w:t>
      </w:r>
      <w:r>
        <w:t>以应急处置为核心</w:t>
      </w:r>
      <w:r>
        <w:rPr>
          <w:rFonts w:hint="eastAsia" w:ascii="MS UI Gothic" w:eastAsia="MS UI Gothic"/>
          <w:w w:val="80"/>
        </w:rPr>
        <w:t xml:space="preserve">ꎬ </w:t>
      </w:r>
      <w:r>
        <w:t>明确应急职责</w:t>
      </w:r>
      <w:r>
        <w:rPr>
          <w:rFonts w:hint="eastAsia" w:ascii="MS UI Gothic" w:eastAsia="MS UI Gothic"/>
          <w:w w:val="80"/>
        </w:rPr>
        <w:t xml:space="preserve">、 </w:t>
      </w:r>
      <w:r>
        <w:t>规范应急程序</w:t>
      </w:r>
      <w:r>
        <w:rPr>
          <w:rFonts w:hint="eastAsia" w:ascii="MS UI Gothic" w:eastAsia="MS UI Gothic"/>
          <w:w w:val="80"/>
        </w:rPr>
        <w:t xml:space="preserve">、 </w:t>
      </w:r>
      <w:r>
        <w:t>细化保障措施</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第八条 应急预案的编制应当符合下</w:t>
      </w:r>
      <w:r>
        <w:rPr>
          <w:w w:val="110"/>
        </w:rPr>
        <w:t>列基本要求</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有关法律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规章和标准的规定</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本地区</w:t>
      </w:r>
      <w:r>
        <w:rPr>
          <w:rFonts w:hint="eastAsia" w:ascii="MS UI Gothic" w:eastAsia="MS UI Gothic"/>
          <w:w w:val="80"/>
        </w:rPr>
        <w:t xml:space="preserve">、 </w:t>
      </w:r>
      <w:r>
        <w:rPr>
          <w:w w:val="105"/>
        </w:rPr>
        <w:t>本部门</w:t>
      </w:r>
      <w:r>
        <w:rPr>
          <w:rFonts w:hint="eastAsia" w:ascii="MS UI Gothic" w:eastAsia="MS UI Gothic"/>
          <w:w w:val="80"/>
        </w:rPr>
        <w:t xml:space="preserve">、 </w:t>
      </w:r>
      <w:r>
        <w:rPr>
          <w:w w:val="105"/>
        </w:rPr>
        <w:t>本单位的安全生产实际情况</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本地区</w:t>
      </w:r>
      <w:r>
        <w:rPr>
          <w:rFonts w:hint="eastAsia" w:ascii="MS UI Gothic" w:eastAsia="MS UI Gothic"/>
          <w:w w:val="80"/>
        </w:rPr>
        <w:t xml:space="preserve">、 </w:t>
      </w:r>
      <w:r>
        <w:rPr>
          <w:w w:val="105"/>
        </w:rPr>
        <w:t>本部门</w:t>
      </w:r>
      <w:r>
        <w:rPr>
          <w:rFonts w:hint="eastAsia" w:ascii="MS UI Gothic" w:eastAsia="MS UI Gothic"/>
          <w:w w:val="80"/>
        </w:rPr>
        <w:t xml:space="preserve">、 </w:t>
      </w:r>
      <w:r>
        <w:rPr>
          <w:w w:val="105"/>
        </w:rPr>
        <w:t>本单位的危险性分析情况</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应急组织和人员的职责分工明确</w:t>
      </w:r>
      <w:r>
        <w:rPr>
          <w:rFonts w:hint="eastAsia" w:ascii="MS UI Gothic" w:eastAsia="MS UI Gothic"/>
          <w:w w:val="80"/>
        </w:rPr>
        <w:t xml:space="preserve">ꎬ </w:t>
      </w:r>
      <w:r>
        <w:rPr>
          <w:w w:val="105"/>
        </w:rPr>
        <w:t>并有具体的落实措施</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有明确</w:t>
      </w:r>
      <w:r>
        <w:rPr>
          <w:rFonts w:hint="eastAsia" w:ascii="MS UI Gothic" w:eastAsia="MS UI Gothic"/>
          <w:w w:val="80"/>
        </w:rPr>
        <w:t xml:space="preserve">、 </w:t>
      </w:r>
      <w:r>
        <w:rPr>
          <w:w w:val="105"/>
        </w:rPr>
        <w:t>具体的应急程序和处置措施</w:t>
      </w:r>
      <w:r>
        <w:rPr>
          <w:rFonts w:hint="eastAsia" w:ascii="MS UI Gothic" w:eastAsia="MS UI Gothic"/>
          <w:w w:val="80"/>
        </w:rPr>
        <w:t xml:space="preserve">ꎬ </w:t>
      </w:r>
      <w:r>
        <w:rPr>
          <w:w w:val="105"/>
        </w:rPr>
        <w:t>并与其应急能力相适应</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有明确的应急保障措施</w:t>
      </w:r>
      <w:r>
        <w:rPr>
          <w:rFonts w:hint="eastAsia" w:ascii="MS UI Gothic" w:eastAsia="MS UI Gothic"/>
          <w:w w:val="80"/>
        </w:rPr>
        <w:t xml:space="preserve">ꎬ </w:t>
      </w:r>
      <w:r>
        <w:rPr>
          <w:w w:val="105"/>
        </w:rPr>
        <w:t>满足本地区</w:t>
      </w:r>
      <w:r>
        <w:rPr>
          <w:rFonts w:hint="eastAsia" w:ascii="MS UI Gothic" w:eastAsia="MS UI Gothic"/>
          <w:w w:val="80"/>
        </w:rPr>
        <w:t xml:space="preserve">、 </w:t>
      </w:r>
      <w:r>
        <w:rPr>
          <w:w w:val="105"/>
        </w:rPr>
        <w:t>本部门</w:t>
      </w:r>
      <w:r>
        <w:rPr>
          <w:rFonts w:hint="eastAsia" w:ascii="MS UI Gothic" w:eastAsia="MS UI Gothic"/>
          <w:w w:val="80"/>
        </w:rPr>
        <w:t xml:space="preserve">、 </w:t>
      </w:r>
      <w:r>
        <w:rPr>
          <w:w w:val="105"/>
        </w:rPr>
        <w:t>本单位的应急工作需要</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应急预案基本要素齐全</w:t>
      </w:r>
      <w:r>
        <w:rPr>
          <w:rFonts w:hint="eastAsia" w:ascii="MS UI Gothic" w:eastAsia="MS UI Gothic"/>
          <w:w w:val="80"/>
        </w:rPr>
        <w:t xml:space="preserve">、 </w:t>
      </w:r>
      <w:r>
        <w:rPr>
          <w:w w:val="105"/>
        </w:rPr>
        <w:t>完整</w:t>
      </w:r>
      <w:r>
        <w:rPr>
          <w:rFonts w:hint="eastAsia" w:ascii="MS UI Gothic" w:eastAsia="MS UI Gothic"/>
          <w:w w:val="80"/>
        </w:rPr>
        <w:t xml:space="preserve">ꎬ </w:t>
      </w:r>
      <w:r>
        <w:rPr>
          <w:w w:val="105"/>
        </w:rPr>
        <w:t>应急预案附件提供的信息准确</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八</w:t>
      </w:r>
      <w:r>
        <w:rPr>
          <w:rFonts w:hint="eastAsia" w:ascii="MS UI Gothic" w:eastAsia="MS UI Gothic"/>
          <w:w w:val="105"/>
        </w:rPr>
        <w:t xml:space="preserve">) </w:t>
      </w:r>
      <w:r>
        <w:rPr>
          <w:w w:val="105"/>
        </w:rPr>
        <w:t>应急预案内容与相关应急预案</w:t>
      </w:r>
      <w:r>
        <w:rPr>
          <w:w w:val="110"/>
        </w:rPr>
        <w:t>相互衔接</w:t>
      </w:r>
      <w:r>
        <w:rPr>
          <w:rFonts w:hint="eastAsia" w:ascii="MS UI Gothic" w:eastAsia="MS UI Gothic"/>
          <w:w w:val="80"/>
        </w:rPr>
        <w:t>ꎮ</w:t>
      </w:r>
    </w:p>
    <w:p>
      <w:pPr>
        <w:pStyle w:val="6"/>
        <w:spacing w:line="295" w:lineRule="auto"/>
        <w:ind w:left="440"/>
        <w:rPr>
          <w:rFonts w:hint="eastAsia" w:ascii="MS UI Gothic" w:eastAsia="MS UI Gothic"/>
        </w:rPr>
      </w:pPr>
      <w:r>
        <w:t>第九条 编制应急预案应当成立编制工作小组</w:t>
      </w:r>
      <w:r>
        <w:rPr>
          <w:rFonts w:hint="eastAsia" w:ascii="MS UI Gothic" w:eastAsia="MS UI Gothic"/>
          <w:w w:val="80"/>
        </w:rPr>
        <w:t xml:space="preserve">ꎬ </w:t>
      </w:r>
      <w:r>
        <w:t>由本单位有关负责人任组长</w:t>
      </w:r>
      <w:r>
        <w:rPr>
          <w:rFonts w:hint="eastAsia" w:ascii="MS UI Gothic" w:eastAsia="MS UI Gothic"/>
          <w:w w:val="80"/>
        </w:rPr>
        <w:t>ꎬ</w:t>
      </w:r>
      <w:r>
        <w:t>吸收与应急预案有关的职能部门和单位的人员</w:t>
      </w:r>
      <w:r>
        <w:rPr>
          <w:rFonts w:hint="eastAsia" w:ascii="MS UI Gothic" w:eastAsia="MS UI Gothic"/>
          <w:w w:val="80"/>
        </w:rPr>
        <w:t xml:space="preserve">ꎬ </w:t>
      </w:r>
      <w:r>
        <w:t>以及有现场处置经验的人员参加</w:t>
      </w:r>
      <w:r>
        <w:rPr>
          <w:rFonts w:hint="eastAsia" w:ascii="MS UI Gothic" w:eastAsia="MS UI Gothic"/>
          <w:w w:val="80"/>
        </w:rPr>
        <w:t>ꎮ</w:t>
      </w:r>
    </w:p>
    <w:p>
      <w:pPr>
        <w:pStyle w:val="6"/>
        <w:spacing w:line="295" w:lineRule="auto"/>
        <w:ind w:left="440" w:right="1"/>
      </w:pPr>
      <w:r>
        <w:t>第十条 编制应急预案前</w:t>
      </w:r>
      <w:r>
        <w:rPr>
          <w:rFonts w:hint="eastAsia" w:ascii="MS UI Gothic" w:eastAsia="MS UI Gothic"/>
          <w:w w:val="80"/>
        </w:rPr>
        <w:t xml:space="preserve">ꎬ </w:t>
      </w:r>
      <w:r>
        <w:t>编制单位应当进行事故风险辨识</w:t>
      </w:r>
      <w:r>
        <w:rPr>
          <w:rFonts w:hint="eastAsia" w:ascii="MS UI Gothic" w:eastAsia="MS UI Gothic"/>
          <w:w w:val="80"/>
        </w:rPr>
        <w:t xml:space="preserve">、 </w:t>
      </w:r>
      <w:r>
        <w:t>评估和应急资源调查</w:t>
      </w:r>
      <w:r>
        <w:rPr>
          <w:rFonts w:hint="eastAsia" w:ascii="MS UI Gothic" w:eastAsia="MS UI Gothic"/>
          <w:w w:val="80"/>
        </w:rPr>
        <w:t xml:space="preserve">ꎮ </w:t>
      </w:r>
      <w:r>
        <w:t>事故风险辨识</w:t>
      </w:r>
      <w:r>
        <w:rPr>
          <w:rFonts w:hint="eastAsia" w:ascii="MS UI Gothic" w:eastAsia="MS UI Gothic"/>
          <w:w w:val="80"/>
        </w:rPr>
        <w:t xml:space="preserve">、 </w:t>
      </w:r>
      <w:r>
        <w:t>评估</w:t>
      </w:r>
      <w:r>
        <w:rPr>
          <w:rFonts w:hint="eastAsia" w:ascii="MS UI Gothic" w:eastAsia="MS UI Gothic"/>
          <w:w w:val="80"/>
        </w:rPr>
        <w:t xml:space="preserve">ꎬ </w:t>
      </w:r>
      <w:r>
        <w:t>是指针对不同事故种类及特点</w:t>
      </w:r>
      <w:r>
        <w:rPr>
          <w:rFonts w:hint="eastAsia" w:ascii="MS UI Gothic" w:eastAsia="MS UI Gothic"/>
          <w:w w:val="80"/>
        </w:rPr>
        <w:t xml:space="preserve">ꎬ </w:t>
      </w:r>
      <w:r>
        <w:t>识别存在的危险危害因素</w:t>
      </w:r>
      <w:r>
        <w:rPr>
          <w:rFonts w:hint="eastAsia" w:ascii="MS UI Gothic" w:eastAsia="MS UI Gothic"/>
          <w:w w:val="80"/>
        </w:rPr>
        <w:t xml:space="preserve">ꎬ </w:t>
      </w:r>
      <w:r>
        <w:t>分析事故可能产生的直接后果以及</w:t>
      </w:r>
    </w:p>
    <w:p>
      <w:pPr>
        <w:pStyle w:val="6"/>
        <w:spacing w:before="124" w:line="295" w:lineRule="auto"/>
        <w:ind w:left="381" w:right="126" w:firstLine="0"/>
        <w:rPr>
          <w:rFonts w:hint="eastAsia" w:ascii="MS UI Gothic" w:eastAsia="MS UI Gothic"/>
        </w:rPr>
      </w:pPr>
      <w:r>
        <w:br w:type="column"/>
      </w:r>
      <w:r>
        <w:t>次生</w:t>
      </w:r>
      <w:r>
        <w:rPr>
          <w:rFonts w:hint="eastAsia" w:ascii="MS UI Gothic" w:eastAsia="MS UI Gothic"/>
          <w:w w:val="80"/>
        </w:rPr>
        <w:t xml:space="preserve">、 </w:t>
      </w:r>
      <w:r>
        <w:t>衍生后果</w:t>
      </w:r>
      <w:r>
        <w:rPr>
          <w:rFonts w:hint="eastAsia" w:ascii="MS UI Gothic" w:eastAsia="MS UI Gothic"/>
          <w:w w:val="80"/>
        </w:rPr>
        <w:t xml:space="preserve">ꎬ </w:t>
      </w:r>
      <w:r>
        <w:t>评估各种后果的危害程度和影响范围</w:t>
      </w:r>
      <w:r>
        <w:rPr>
          <w:rFonts w:hint="eastAsia" w:ascii="MS UI Gothic" w:eastAsia="MS UI Gothic"/>
          <w:w w:val="80"/>
        </w:rPr>
        <w:t xml:space="preserve">ꎬ </w:t>
      </w:r>
      <w:r>
        <w:t>提出防范和控制事故风险措施的过程</w:t>
      </w:r>
      <w:r>
        <w:rPr>
          <w:rFonts w:hint="eastAsia" w:ascii="MS UI Gothic" w:eastAsia="MS UI Gothic"/>
          <w:w w:val="80"/>
        </w:rPr>
        <w:t xml:space="preserve">ꎮ </w:t>
      </w:r>
      <w:r>
        <w:t>应急资源调查</w:t>
      </w:r>
      <w:r>
        <w:rPr>
          <w:rFonts w:hint="eastAsia" w:ascii="MS UI Gothic" w:eastAsia="MS UI Gothic"/>
          <w:w w:val="80"/>
        </w:rPr>
        <w:t xml:space="preserve">ꎬ </w:t>
      </w:r>
      <w:r>
        <w:t>是指全面调查本地区</w:t>
      </w:r>
      <w:r>
        <w:rPr>
          <w:rFonts w:hint="eastAsia" w:ascii="MS UI Gothic" w:eastAsia="MS UI Gothic"/>
          <w:w w:val="80"/>
        </w:rPr>
        <w:t xml:space="preserve">、 </w:t>
      </w:r>
      <w:r>
        <w:t>本单位第一时间可以调用的应急资源状况和合作区域内可以请求援助的应急资源状况</w:t>
      </w:r>
      <w:r>
        <w:rPr>
          <w:rFonts w:hint="eastAsia" w:ascii="MS UI Gothic" w:eastAsia="MS UI Gothic"/>
          <w:w w:val="80"/>
        </w:rPr>
        <w:t xml:space="preserve">ꎬ </w:t>
      </w:r>
      <w:r>
        <w:t>并结合事故风险辨识评估结论制定应急措施的过程</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第十一条 地方各级人民政府应急管</w:t>
      </w:r>
      <w:r>
        <w:t>理部门和其他负有安全生产监督管理职责</w:t>
      </w:r>
      <w:r>
        <w:rPr>
          <w:w w:val="105"/>
        </w:rPr>
        <w:t>的部门应当根据法律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规章和同级</w:t>
      </w:r>
      <w:r>
        <w:t>人民政府以及上一级人民政府应急管理部门和其他负有安全生产监督管理职责的部门的应急预案</w:t>
      </w:r>
      <w:r>
        <w:rPr>
          <w:rFonts w:hint="eastAsia" w:ascii="MS UI Gothic" w:eastAsia="MS UI Gothic"/>
          <w:w w:val="80"/>
        </w:rPr>
        <w:t xml:space="preserve">ꎬ </w:t>
      </w:r>
      <w:r>
        <w:t>结合工作实际</w:t>
      </w:r>
      <w:r>
        <w:rPr>
          <w:rFonts w:hint="eastAsia" w:ascii="MS UI Gothic" w:eastAsia="MS UI Gothic"/>
          <w:w w:val="80"/>
        </w:rPr>
        <w:t xml:space="preserve">ꎬ </w:t>
      </w:r>
      <w:r>
        <w:t>组织编制相应的部门应急预案</w:t>
      </w:r>
      <w:r>
        <w:rPr>
          <w:rFonts w:hint="eastAsia" w:ascii="MS UI Gothic" w:eastAsia="MS UI Gothic"/>
          <w:w w:val="80"/>
        </w:rPr>
        <w:t xml:space="preserve">ꎮ </w:t>
      </w:r>
      <w:r>
        <w:t>部门应急预案应当</w:t>
      </w:r>
      <w:r>
        <w:rPr>
          <w:w w:val="105"/>
        </w:rPr>
        <w:t>根据本地区</w:t>
      </w:r>
      <w:r>
        <w:rPr>
          <w:rFonts w:hint="eastAsia" w:ascii="MS UI Gothic" w:eastAsia="MS UI Gothic"/>
          <w:w w:val="80"/>
        </w:rPr>
        <w:t xml:space="preserve">、 </w:t>
      </w:r>
      <w:r>
        <w:rPr>
          <w:w w:val="105"/>
        </w:rPr>
        <w:t>本部门的实际情况</w:t>
      </w:r>
      <w:r>
        <w:rPr>
          <w:rFonts w:hint="eastAsia" w:ascii="MS UI Gothic" w:eastAsia="MS UI Gothic"/>
          <w:w w:val="80"/>
        </w:rPr>
        <w:t xml:space="preserve">ꎬ </w:t>
      </w:r>
      <w:r>
        <w:rPr>
          <w:w w:val="105"/>
        </w:rPr>
        <w:t>明确信息报告</w:t>
      </w:r>
      <w:r>
        <w:rPr>
          <w:rFonts w:hint="eastAsia" w:ascii="MS UI Gothic" w:eastAsia="MS UI Gothic"/>
          <w:w w:val="80"/>
        </w:rPr>
        <w:t xml:space="preserve">、 </w:t>
      </w:r>
      <w:r>
        <w:rPr>
          <w:w w:val="105"/>
        </w:rPr>
        <w:t>响应分级</w:t>
      </w:r>
      <w:r>
        <w:rPr>
          <w:rFonts w:hint="eastAsia" w:ascii="MS UI Gothic" w:eastAsia="MS UI Gothic"/>
          <w:w w:val="80"/>
        </w:rPr>
        <w:t xml:space="preserve">、 </w:t>
      </w:r>
      <w:r>
        <w:rPr>
          <w:w w:val="105"/>
        </w:rPr>
        <w:t>指挥权移交</w:t>
      </w:r>
      <w:r>
        <w:rPr>
          <w:rFonts w:hint="eastAsia" w:ascii="MS UI Gothic" w:eastAsia="MS UI Gothic"/>
          <w:w w:val="80"/>
        </w:rPr>
        <w:t xml:space="preserve">、 </w:t>
      </w:r>
      <w:r>
        <w:rPr>
          <w:w w:val="105"/>
        </w:rPr>
        <w:t>警戒疏散等内容</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第十二条 生产经营单位应当根据有</w:t>
      </w:r>
      <w:r>
        <w:rPr>
          <w:spacing w:val="3"/>
        </w:rPr>
        <w:t>关法律</w:t>
      </w:r>
      <w:r>
        <w:rPr>
          <w:rFonts w:hint="eastAsia" w:ascii="MS UI Gothic" w:eastAsia="MS UI Gothic"/>
          <w:spacing w:val="7"/>
          <w:w w:val="80"/>
        </w:rPr>
        <w:t xml:space="preserve">、 </w:t>
      </w:r>
      <w:r>
        <w:rPr>
          <w:spacing w:val="3"/>
        </w:rPr>
        <w:t>法规</w:t>
      </w:r>
      <w:r>
        <w:rPr>
          <w:rFonts w:hint="eastAsia" w:ascii="MS UI Gothic" w:eastAsia="MS UI Gothic"/>
          <w:spacing w:val="7"/>
          <w:w w:val="80"/>
        </w:rPr>
        <w:t xml:space="preserve">、 </w:t>
      </w:r>
      <w:r>
        <w:rPr>
          <w:spacing w:val="3"/>
        </w:rPr>
        <w:t>规章和相关标准</w:t>
      </w:r>
      <w:r>
        <w:rPr>
          <w:rFonts w:hint="eastAsia" w:ascii="MS UI Gothic" w:eastAsia="MS UI Gothic"/>
          <w:spacing w:val="7"/>
          <w:w w:val="80"/>
        </w:rPr>
        <w:t xml:space="preserve">ꎬ </w:t>
      </w:r>
      <w:r>
        <w:rPr>
          <w:spacing w:val="2"/>
        </w:rPr>
        <w:t>结合本</w:t>
      </w:r>
      <w:r>
        <w:rPr>
          <w:spacing w:val="3"/>
        </w:rPr>
        <w:t>单位组织管理体系</w:t>
      </w:r>
      <w:r>
        <w:rPr>
          <w:rFonts w:hint="eastAsia" w:ascii="MS UI Gothic" w:eastAsia="MS UI Gothic"/>
          <w:spacing w:val="17"/>
          <w:w w:val="80"/>
        </w:rPr>
        <w:t xml:space="preserve">、 </w:t>
      </w:r>
      <w:r>
        <w:rPr>
          <w:spacing w:val="2"/>
        </w:rPr>
        <w:t>生产规模和可能发生</w:t>
      </w:r>
      <w:r>
        <w:rPr>
          <w:spacing w:val="3"/>
        </w:rPr>
        <w:t>的事故特点</w:t>
      </w:r>
      <w:r>
        <w:rPr>
          <w:rFonts w:hint="eastAsia" w:ascii="MS UI Gothic" w:eastAsia="MS UI Gothic"/>
          <w:spacing w:val="23"/>
          <w:w w:val="80"/>
        </w:rPr>
        <w:t xml:space="preserve">ꎬ </w:t>
      </w:r>
      <w:r>
        <w:rPr>
          <w:spacing w:val="3"/>
        </w:rPr>
        <w:t>与相关预案保持衔接</w:t>
      </w:r>
      <w:r>
        <w:rPr>
          <w:rFonts w:hint="eastAsia" w:ascii="MS UI Gothic" w:eastAsia="MS UI Gothic"/>
          <w:spacing w:val="23"/>
          <w:w w:val="80"/>
        </w:rPr>
        <w:t xml:space="preserve">ꎬ </w:t>
      </w:r>
      <w:r>
        <w:rPr>
          <w:spacing w:val="1"/>
        </w:rPr>
        <w:t>确立</w:t>
      </w:r>
      <w:r>
        <w:rPr>
          <w:spacing w:val="3"/>
        </w:rPr>
        <w:t>本单位的应急预案体系</w:t>
      </w:r>
      <w:r>
        <w:rPr>
          <w:rFonts w:hint="eastAsia" w:ascii="MS UI Gothic" w:eastAsia="MS UI Gothic"/>
          <w:spacing w:val="20"/>
          <w:w w:val="80"/>
        </w:rPr>
        <w:t xml:space="preserve">ꎬ </w:t>
      </w:r>
      <w:r>
        <w:rPr>
          <w:spacing w:val="2"/>
        </w:rPr>
        <w:t>编制相应的应急</w:t>
      </w:r>
      <w:r>
        <w:rPr>
          <w:spacing w:val="10"/>
        </w:rPr>
        <w:t>预案</w:t>
      </w:r>
      <w:r>
        <w:rPr>
          <w:rFonts w:hint="eastAsia" w:ascii="MS UI Gothic" w:eastAsia="MS UI Gothic"/>
          <w:spacing w:val="1"/>
          <w:w w:val="80"/>
        </w:rPr>
        <w:t xml:space="preserve">ꎬ </w:t>
      </w:r>
      <w:r>
        <w:rPr>
          <w:spacing w:val="31"/>
        </w:rPr>
        <w:t>并体现自救互救和先期处置等</w:t>
      </w:r>
      <w:r>
        <w:rPr>
          <w:spacing w:val="3"/>
        </w:rPr>
        <w:t>特点</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10"/>
        </w:rPr>
        <w:t>第十三条  生产经营单位风险种类</w:t>
      </w:r>
      <w:r>
        <w:rPr>
          <w:spacing w:val="3"/>
        </w:rPr>
        <w:t>多</w:t>
      </w:r>
      <w:r>
        <w:rPr>
          <w:rFonts w:hint="eastAsia" w:ascii="MS UI Gothic" w:eastAsia="MS UI Gothic"/>
          <w:spacing w:val="11"/>
          <w:w w:val="80"/>
        </w:rPr>
        <w:t xml:space="preserve">、 </w:t>
      </w:r>
      <w:r>
        <w:rPr>
          <w:spacing w:val="3"/>
        </w:rPr>
        <w:t>可能发生多种类型事故的</w:t>
      </w:r>
      <w:r>
        <w:rPr>
          <w:rFonts w:hint="eastAsia" w:ascii="MS UI Gothic" w:eastAsia="MS UI Gothic"/>
          <w:spacing w:val="11"/>
          <w:w w:val="80"/>
        </w:rPr>
        <w:t xml:space="preserve">ꎬ </w:t>
      </w:r>
      <w:r>
        <w:rPr>
          <w:spacing w:val="2"/>
        </w:rPr>
        <w:t>应当组织</w:t>
      </w:r>
      <w:r>
        <w:rPr>
          <w:spacing w:val="3"/>
        </w:rPr>
        <w:t>编制综合应急预案</w:t>
      </w:r>
      <w:r>
        <w:rPr>
          <w:rFonts w:hint="eastAsia" w:ascii="MS UI Gothic" w:eastAsia="MS UI Gothic"/>
          <w:spacing w:val="20"/>
          <w:w w:val="80"/>
        </w:rPr>
        <w:t xml:space="preserve">ꎮ </w:t>
      </w:r>
      <w:r>
        <w:rPr>
          <w:spacing w:val="2"/>
        </w:rPr>
        <w:t>综合应急预案应当规</w:t>
      </w:r>
      <w:r>
        <w:rPr>
          <w:spacing w:val="13"/>
        </w:rPr>
        <w:t>定应急组织机构及其职责</w:t>
      </w:r>
      <w:r>
        <w:rPr>
          <w:rFonts w:hint="eastAsia" w:ascii="MS UI Gothic" w:eastAsia="MS UI Gothic"/>
          <w:spacing w:val="22"/>
          <w:w w:val="80"/>
        </w:rPr>
        <w:t xml:space="preserve">、 </w:t>
      </w:r>
      <w:r>
        <w:rPr>
          <w:spacing w:val="16"/>
        </w:rPr>
        <w:t>应急预案体</w:t>
      </w:r>
      <w:r>
        <w:rPr>
          <w:spacing w:val="3"/>
        </w:rPr>
        <w:t>系</w:t>
      </w:r>
      <w:r>
        <w:rPr>
          <w:rFonts w:hint="eastAsia" w:ascii="MS UI Gothic" w:eastAsia="MS UI Gothic"/>
          <w:spacing w:val="15"/>
          <w:w w:val="80"/>
        </w:rPr>
        <w:t xml:space="preserve">、 </w:t>
      </w:r>
      <w:r>
        <w:rPr>
          <w:spacing w:val="3"/>
        </w:rPr>
        <w:t>事故风险描述</w:t>
      </w:r>
      <w:r>
        <w:rPr>
          <w:rFonts w:hint="eastAsia" w:ascii="MS UI Gothic" w:eastAsia="MS UI Gothic"/>
          <w:spacing w:val="16"/>
          <w:w w:val="80"/>
        </w:rPr>
        <w:t xml:space="preserve">、 </w:t>
      </w:r>
      <w:r>
        <w:rPr>
          <w:spacing w:val="3"/>
        </w:rPr>
        <w:t>预警及信息报告</w:t>
      </w:r>
      <w:r>
        <w:rPr>
          <w:rFonts w:hint="eastAsia" w:ascii="MS UI Gothic" w:eastAsia="MS UI Gothic"/>
          <w:spacing w:val="15"/>
          <w:w w:val="80"/>
        </w:rPr>
        <w:t xml:space="preserve">、 </w:t>
      </w:r>
      <w:r>
        <w:t>应</w:t>
      </w:r>
      <w:r>
        <w:rPr>
          <w:spacing w:val="18"/>
        </w:rPr>
        <w:t>急响应</w:t>
      </w:r>
      <w:r>
        <w:rPr>
          <w:rFonts w:hint="eastAsia" w:ascii="MS UI Gothic" w:eastAsia="MS UI Gothic"/>
          <w:spacing w:val="7"/>
          <w:w w:val="80"/>
        </w:rPr>
        <w:t xml:space="preserve">、 </w:t>
      </w:r>
      <w:r>
        <w:rPr>
          <w:spacing w:val="29"/>
        </w:rPr>
        <w:t>保障措施</w:t>
      </w:r>
      <w:r>
        <w:rPr>
          <w:rFonts w:hint="eastAsia" w:ascii="MS UI Gothic" w:eastAsia="MS UI Gothic"/>
          <w:spacing w:val="5"/>
          <w:w w:val="80"/>
        </w:rPr>
        <w:t xml:space="preserve">、  </w:t>
      </w:r>
      <w:r>
        <w:rPr>
          <w:spacing w:val="34"/>
        </w:rPr>
        <w:t>应急预案管理等</w:t>
      </w:r>
      <w:r>
        <w:rPr>
          <w:spacing w:val="3"/>
        </w:rPr>
        <w:t>内容</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第十四条 对于某一种或者多种类型</w:t>
      </w:r>
      <w:r>
        <w:rPr>
          <w:spacing w:val="3"/>
        </w:rPr>
        <w:t>的事故风险</w:t>
      </w:r>
      <w:r>
        <w:rPr>
          <w:rFonts w:hint="eastAsia" w:ascii="MS UI Gothic" w:eastAsia="MS UI Gothic"/>
          <w:spacing w:val="20"/>
          <w:w w:val="80"/>
        </w:rPr>
        <w:t xml:space="preserve">ꎬ </w:t>
      </w:r>
      <w:r>
        <w:rPr>
          <w:spacing w:val="2"/>
        </w:rPr>
        <w:t>生产经营单位可以编制相应</w:t>
      </w:r>
      <w:r>
        <w:rPr>
          <w:spacing w:val="3"/>
        </w:rPr>
        <w:t>的专项应急预案</w:t>
      </w:r>
      <w:r>
        <w:rPr>
          <w:rFonts w:hint="eastAsia" w:ascii="MS UI Gothic" w:eastAsia="MS UI Gothic"/>
          <w:spacing w:val="20"/>
          <w:w w:val="80"/>
        </w:rPr>
        <w:t xml:space="preserve">ꎬ </w:t>
      </w:r>
      <w:r>
        <w:rPr>
          <w:spacing w:val="2"/>
        </w:rPr>
        <w:t>或将专项应急预案并入</w:t>
      </w:r>
      <w:r>
        <w:rPr>
          <w:spacing w:val="3"/>
        </w:rPr>
        <w:t>综合应急预案</w:t>
      </w:r>
      <w:r>
        <w:rPr>
          <w:rFonts w:hint="eastAsia" w:ascii="MS UI Gothic" w:eastAsia="MS UI Gothic"/>
          <w:spacing w:val="20"/>
          <w:w w:val="80"/>
        </w:rPr>
        <w:t xml:space="preserve">ꎮ </w:t>
      </w:r>
      <w:r>
        <w:rPr>
          <w:spacing w:val="2"/>
        </w:rPr>
        <w:t>专项应急预案应当规定应</w:t>
      </w:r>
      <w:r>
        <w:rPr>
          <w:spacing w:val="12"/>
        </w:rPr>
        <w:t>急指挥机构与职责</w:t>
      </w:r>
      <w:r>
        <w:rPr>
          <w:rFonts w:hint="eastAsia" w:ascii="MS UI Gothic" w:eastAsia="MS UI Gothic"/>
          <w:spacing w:val="22"/>
          <w:w w:val="80"/>
        </w:rPr>
        <w:t xml:space="preserve">、 </w:t>
      </w:r>
      <w:r>
        <w:rPr>
          <w:spacing w:val="16"/>
        </w:rPr>
        <w:t>处置程序和措施等</w:t>
      </w:r>
      <w:r>
        <w:rPr>
          <w:spacing w:val="3"/>
        </w:rPr>
        <w:t>内容</w:t>
      </w:r>
      <w:r>
        <w:rPr>
          <w:rFonts w:hint="eastAsia" w:ascii="MS UI Gothic" w:eastAsia="MS UI Gothic"/>
          <w:w w:val="80"/>
        </w:rPr>
        <w:t>ꎮ</w:t>
      </w:r>
    </w:p>
    <w:p>
      <w:pPr>
        <w:pStyle w:val="6"/>
        <w:spacing w:line="295" w:lineRule="auto"/>
        <w:ind w:left="381" w:right="124"/>
      </w:pPr>
      <w:r>
        <w:rPr>
          <w:w w:val="105"/>
        </w:rPr>
        <w:t>第十五条 对于危险性较大的场所</w:t>
      </w:r>
      <w:r>
        <w:rPr>
          <w:rFonts w:hint="eastAsia" w:ascii="MS UI Gothic" w:eastAsia="MS UI Gothic"/>
          <w:w w:val="80"/>
        </w:rPr>
        <w:t>、</w:t>
      </w:r>
      <w:r>
        <w:t>装置或者设施</w:t>
      </w:r>
      <w:r>
        <w:rPr>
          <w:rFonts w:hint="eastAsia" w:ascii="MS UI Gothic" w:eastAsia="MS UI Gothic"/>
          <w:w w:val="80"/>
        </w:rPr>
        <w:t xml:space="preserve">ꎬ </w:t>
      </w:r>
      <w:r>
        <w:t>生产经营单位应当编制现</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９２</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25" o:spid="_x0000_s1325" o:spt="203" style="height:2.15pt;width:398.25pt;" coordsize="7965,43">
            <o:lock v:ext="edit"/>
            <v:line id="_x0000_s1326" o:spid="_x0000_s1326" o:spt="20" style="position:absolute;left:0;top:39;height:0;width:7965;" stroked="t" coordsize="21600,21600">
              <v:path arrowok="t"/>
              <v:fill focussize="0,0"/>
              <v:stroke weight="0.388031496062992pt" color="#231F20"/>
              <v:imagedata o:title=""/>
              <o:lock v:ext="edit"/>
            </v:line>
            <v:line id="_x0000_s1327" o:spid="_x0000_s132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场处置方案</w:t>
      </w:r>
      <w:r>
        <w:rPr>
          <w:rFonts w:hint="eastAsia" w:ascii="MS UI Gothic" w:eastAsia="MS UI Gothic"/>
          <w:w w:val="80"/>
        </w:rPr>
        <w:t xml:space="preserve">ꎮ </w:t>
      </w:r>
      <w:r>
        <w:t>现场处置方案应当规定应急工作职责</w:t>
      </w:r>
      <w:r>
        <w:rPr>
          <w:rFonts w:hint="eastAsia" w:ascii="MS UI Gothic" w:eastAsia="MS UI Gothic"/>
          <w:w w:val="80"/>
        </w:rPr>
        <w:t xml:space="preserve">、 </w:t>
      </w:r>
      <w:r>
        <w:t>应急处置措施和注意事项等内容</w:t>
      </w:r>
      <w:r>
        <w:rPr>
          <w:rFonts w:hint="eastAsia" w:ascii="MS UI Gothic" w:eastAsia="MS UI Gothic"/>
          <w:w w:val="80"/>
        </w:rPr>
        <w:t xml:space="preserve">ꎮ </w:t>
      </w:r>
      <w:r>
        <w:t>事故风险单一</w:t>
      </w:r>
      <w:r>
        <w:rPr>
          <w:rFonts w:hint="eastAsia" w:ascii="MS UI Gothic" w:eastAsia="MS UI Gothic"/>
          <w:w w:val="80"/>
        </w:rPr>
        <w:t xml:space="preserve">、 </w:t>
      </w:r>
      <w:r>
        <w:t>危险性小的生产经营单位</w:t>
      </w:r>
      <w:r>
        <w:rPr>
          <w:rFonts w:hint="eastAsia" w:ascii="MS UI Gothic" w:eastAsia="MS UI Gothic"/>
          <w:w w:val="80"/>
        </w:rPr>
        <w:t xml:space="preserve">ꎬ </w:t>
      </w:r>
      <w:r>
        <w:t>可以只编制现场处置方案</w:t>
      </w:r>
      <w:r>
        <w:rPr>
          <w:rFonts w:hint="eastAsia" w:ascii="MS UI Gothic" w:eastAsia="MS UI Gothic"/>
          <w:w w:val="80"/>
        </w:rPr>
        <w:t>ꎮ</w:t>
      </w:r>
    </w:p>
    <w:p>
      <w:pPr>
        <w:pStyle w:val="6"/>
        <w:spacing w:line="295" w:lineRule="auto"/>
        <w:ind w:right="38"/>
        <w:rPr>
          <w:rFonts w:hint="eastAsia" w:ascii="MS UI Gothic" w:eastAsia="MS UI Gothic"/>
        </w:rPr>
      </w:pPr>
      <w:r>
        <w:t>第十六条 生产经营单位应急预案应当包括向上级应急管理机构报告的内容</w:t>
      </w:r>
      <w:r>
        <w:rPr>
          <w:rFonts w:hint="eastAsia" w:ascii="MS UI Gothic" w:eastAsia="MS UI Gothic"/>
          <w:w w:val="80"/>
        </w:rPr>
        <w:t>、</w:t>
      </w:r>
      <w:r>
        <w:t>应急组织机构和人员的联系方式</w:t>
      </w:r>
      <w:r>
        <w:rPr>
          <w:rFonts w:hint="eastAsia" w:ascii="MS UI Gothic" w:eastAsia="MS UI Gothic"/>
          <w:w w:val="80"/>
        </w:rPr>
        <w:t xml:space="preserve">、 </w:t>
      </w:r>
      <w:r>
        <w:t>应急物资储备清单等附件信息</w:t>
      </w:r>
      <w:r>
        <w:rPr>
          <w:rFonts w:hint="eastAsia" w:ascii="MS UI Gothic" w:eastAsia="MS UI Gothic"/>
          <w:w w:val="80"/>
        </w:rPr>
        <w:t xml:space="preserve">ꎮ </w:t>
      </w:r>
      <w:r>
        <w:t>附件信息发生变化时</w:t>
      </w:r>
      <w:r>
        <w:rPr>
          <w:rFonts w:hint="eastAsia" w:ascii="MS UI Gothic" w:eastAsia="MS UI Gothic"/>
          <w:w w:val="80"/>
        </w:rPr>
        <w:t xml:space="preserve">ꎬ </w:t>
      </w:r>
      <w:r>
        <w:t>应当及时更新</w:t>
      </w:r>
      <w:r>
        <w:rPr>
          <w:rFonts w:hint="eastAsia" w:ascii="MS UI Gothic" w:eastAsia="MS UI Gothic"/>
          <w:w w:val="80"/>
        </w:rPr>
        <w:t xml:space="preserve">ꎬ </w:t>
      </w:r>
      <w:r>
        <w:t>确保准确有效</w:t>
      </w:r>
      <w:r>
        <w:rPr>
          <w:rFonts w:hint="eastAsia" w:ascii="MS UI Gothic" w:eastAsia="MS UI Gothic"/>
          <w:w w:val="80"/>
        </w:rPr>
        <w:t>ꎮ</w:t>
      </w:r>
    </w:p>
    <w:p>
      <w:pPr>
        <w:pStyle w:val="6"/>
        <w:spacing w:line="295" w:lineRule="auto"/>
        <w:ind w:right="39"/>
        <w:rPr>
          <w:rFonts w:hint="eastAsia" w:ascii="MS UI Gothic" w:eastAsia="MS UI Gothic"/>
        </w:rPr>
      </w:pPr>
      <w:r>
        <w:t>第十七条 生产经营单位组织应急预案编制过程中</w:t>
      </w:r>
      <w:r>
        <w:rPr>
          <w:rFonts w:hint="eastAsia" w:ascii="MS UI Gothic" w:eastAsia="MS UI Gothic"/>
          <w:w w:val="80"/>
        </w:rPr>
        <w:t xml:space="preserve">ꎬ </w:t>
      </w:r>
      <w:r>
        <w:t>应当根据法律</w:t>
      </w:r>
      <w:r>
        <w:rPr>
          <w:rFonts w:hint="eastAsia" w:ascii="MS UI Gothic" w:eastAsia="MS UI Gothic"/>
          <w:w w:val="80"/>
        </w:rPr>
        <w:t xml:space="preserve">、 </w:t>
      </w:r>
      <w:r>
        <w:t>法规</w:t>
      </w:r>
      <w:r>
        <w:rPr>
          <w:rFonts w:hint="eastAsia" w:ascii="MS UI Gothic" w:eastAsia="MS UI Gothic"/>
          <w:w w:val="80"/>
        </w:rPr>
        <w:t xml:space="preserve">、 </w:t>
      </w:r>
      <w:r>
        <w:t>规章的规定或者实际需要</w:t>
      </w:r>
      <w:r>
        <w:rPr>
          <w:rFonts w:hint="eastAsia" w:ascii="MS UI Gothic" w:eastAsia="MS UI Gothic"/>
          <w:w w:val="80"/>
        </w:rPr>
        <w:t xml:space="preserve">ꎬ </w:t>
      </w:r>
      <w:r>
        <w:t>征求相关应急救援队伍</w:t>
      </w:r>
      <w:r>
        <w:rPr>
          <w:rFonts w:hint="eastAsia" w:ascii="MS UI Gothic" w:eastAsia="MS UI Gothic"/>
          <w:w w:val="80"/>
        </w:rPr>
        <w:t xml:space="preserve">、 </w:t>
      </w:r>
      <w:r>
        <w:t>公民</w:t>
      </w:r>
      <w:r>
        <w:rPr>
          <w:rFonts w:hint="eastAsia" w:ascii="MS UI Gothic" w:eastAsia="MS UI Gothic"/>
          <w:w w:val="80"/>
        </w:rPr>
        <w:t xml:space="preserve">、  </w:t>
      </w:r>
      <w:r>
        <w:t>法人或者其他组织的意见</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第十八条 生产经营单位编制的各类</w:t>
      </w:r>
      <w:r>
        <w:t>应急预案之间应当相互衔接</w:t>
      </w:r>
      <w:r>
        <w:rPr>
          <w:rFonts w:hint="eastAsia" w:ascii="MS UI Gothic" w:eastAsia="MS UI Gothic"/>
          <w:w w:val="80"/>
        </w:rPr>
        <w:t xml:space="preserve">ꎬ </w:t>
      </w:r>
      <w:r>
        <w:t>并与相关人</w:t>
      </w:r>
      <w:r>
        <w:rPr>
          <w:w w:val="105"/>
        </w:rPr>
        <w:t>民政府及其部门</w:t>
      </w:r>
      <w:r>
        <w:rPr>
          <w:rFonts w:hint="eastAsia" w:ascii="MS UI Gothic" w:eastAsia="MS UI Gothic"/>
          <w:w w:val="80"/>
        </w:rPr>
        <w:t xml:space="preserve">、 </w:t>
      </w:r>
      <w:r>
        <w:rPr>
          <w:w w:val="105"/>
        </w:rPr>
        <w:t>应急救援队伍和涉及的其他单位的应急预案相衔接</w:t>
      </w:r>
      <w:r>
        <w:rPr>
          <w:rFonts w:hint="eastAsia" w:ascii="MS UI Gothic" w:eastAsia="MS UI Gothic"/>
          <w:w w:val="80"/>
        </w:rPr>
        <w:t>ꎮ</w:t>
      </w:r>
    </w:p>
    <w:p>
      <w:pPr>
        <w:pStyle w:val="6"/>
        <w:spacing w:line="295" w:lineRule="auto"/>
        <w:ind w:right="39"/>
        <w:rPr>
          <w:rFonts w:hint="eastAsia" w:ascii="MS UI Gothic" w:eastAsia="MS UI Gothic"/>
        </w:rPr>
      </w:pPr>
      <w:r>
        <w:t>第十九条 生产经营单位应当在编制应急预案的基础上</w:t>
      </w:r>
      <w:r>
        <w:rPr>
          <w:rFonts w:hint="eastAsia" w:ascii="MS UI Gothic" w:eastAsia="MS UI Gothic"/>
          <w:w w:val="80"/>
        </w:rPr>
        <w:t xml:space="preserve">ꎬ </w:t>
      </w:r>
      <w:r>
        <w:t>针对工作场所</w:t>
      </w:r>
      <w:r>
        <w:rPr>
          <w:rFonts w:hint="eastAsia" w:ascii="MS UI Gothic" w:eastAsia="MS UI Gothic"/>
          <w:w w:val="80"/>
        </w:rPr>
        <w:t xml:space="preserve">、 </w:t>
      </w:r>
      <w:r>
        <w:t>岗位的特点</w:t>
      </w:r>
      <w:r>
        <w:rPr>
          <w:rFonts w:hint="eastAsia" w:ascii="MS UI Gothic" w:eastAsia="MS UI Gothic"/>
          <w:w w:val="80"/>
        </w:rPr>
        <w:t xml:space="preserve">ꎬ </w:t>
      </w:r>
      <w:r>
        <w:t>编制简明</w:t>
      </w:r>
      <w:r>
        <w:rPr>
          <w:rFonts w:hint="eastAsia" w:ascii="MS UI Gothic" w:eastAsia="MS UI Gothic"/>
          <w:w w:val="80"/>
        </w:rPr>
        <w:t xml:space="preserve">、 </w:t>
      </w:r>
      <w:r>
        <w:t>实用</w:t>
      </w:r>
      <w:r>
        <w:rPr>
          <w:rFonts w:hint="eastAsia" w:ascii="MS UI Gothic" w:eastAsia="MS UI Gothic"/>
          <w:w w:val="80"/>
        </w:rPr>
        <w:t xml:space="preserve">、 </w:t>
      </w:r>
      <w:r>
        <w:t>有效的应急处置卡</w:t>
      </w:r>
      <w:r>
        <w:rPr>
          <w:rFonts w:hint="eastAsia" w:ascii="MS UI Gothic" w:eastAsia="MS UI Gothic"/>
          <w:w w:val="80"/>
        </w:rPr>
        <w:t xml:space="preserve">ꎮ </w:t>
      </w:r>
      <w:r>
        <w:t>应急处置卡应当规定重点岗位</w:t>
      </w:r>
      <w:r>
        <w:rPr>
          <w:rFonts w:hint="eastAsia" w:ascii="MS UI Gothic" w:eastAsia="MS UI Gothic"/>
          <w:w w:val="80"/>
        </w:rPr>
        <w:t xml:space="preserve">、 </w:t>
      </w:r>
      <w:r>
        <w:t>人员的应急处置程序和措施</w:t>
      </w:r>
      <w:r>
        <w:rPr>
          <w:rFonts w:hint="eastAsia" w:ascii="MS UI Gothic" w:eastAsia="MS UI Gothic"/>
          <w:w w:val="80"/>
        </w:rPr>
        <w:t xml:space="preserve">ꎬ </w:t>
      </w:r>
      <w:r>
        <w:t>以及相关联络人员和联系方式</w:t>
      </w:r>
      <w:r>
        <w:rPr>
          <w:rFonts w:hint="eastAsia" w:ascii="MS UI Gothic" w:eastAsia="MS UI Gothic"/>
          <w:w w:val="80"/>
        </w:rPr>
        <w:t xml:space="preserve">ꎬ </w:t>
      </w:r>
      <w:r>
        <w:t>便于从业人员携带</w:t>
      </w:r>
      <w:r>
        <w:rPr>
          <w:rFonts w:hint="eastAsia" w:ascii="MS UI Gothic" w:eastAsia="MS UI Gothic"/>
          <w:w w:val="80"/>
        </w:rPr>
        <w:t>ꎮ</w:t>
      </w:r>
    </w:p>
    <w:p>
      <w:pPr>
        <w:pStyle w:val="6"/>
        <w:spacing w:before="138"/>
        <w:ind w:left="229" w:firstLine="0"/>
      </w:pPr>
      <w:r>
        <w:t>第三章 应急预案的评审</w:t>
      </w:r>
      <w:r>
        <w:rPr>
          <w:rFonts w:hint="eastAsia" w:ascii="Microsoft Yi Baiti" w:eastAsia="Microsoft Yi Baiti"/>
        </w:rPr>
        <w:t xml:space="preserve">、 </w:t>
      </w:r>
      <w:r>
        <w:t>公布和备案</w:t>
      </w:r>
    </w:p>
    <w:p>
      <w:pPr>
        <w:pStyle w:val="6"/>
        <w:spacing w:before="216" w:line="295" w:lineRule="auto"/>
        <w:ind w:right="39"/>
        <w:rPr>
          <w:rFonts w:hint="eastAsia" w:ascii="MS UI Gothic" w:eastAsia="MS UI Gothic"/>
        </w:rPr>
      </w:pPr>
      <w:r>
        <w:t>第二十条 地方各级人民政府应急管理部门应当组织有关专家对本部门编制的部门应急预案进行审定</w:t>
      </w:r>
      <w:r>
        <w:rPr>
          <w:rFonts w:hint="eastAsia" w:ascii="MS UI Gothic" w:eastAsia="MS UI Gothic"/>
          <w:w w:val="80"/>
        </w:rPr>
        <w:t xml:space="preserve">ꎻ </w:t>
      </w:r>
      <w:r>
        <w:t>必要时</w:t>
      </w:r>
      <w:r>
        <w:rPr>
          <w:rFonts w:hint="eastAsia" w:ascii="MS UI Gothic" w:eastAsia="MS UI Gothic"/>
          <w:w w:val="80"/>
        </w:rPr>
        <w:t xml:space="preserve">ꎬ </w:t>
      </w:r>
      <w:r>
        <w:t>可以召开听证会</w:t>
      </w:r>
      <w:r>
        <w:rPr>
          <w:rFonts w:hint="eastAsia" w:ascii="MS UI Gothic" w:eastAsia="MS UI Gothic"/>
          <w:w w:val="80"/>
        </w:rPr>
        <w:t xml:space="preserve">ꎬ </w:t>
      </w:r>
      <w:r>
        <w:t>听取社会有关方面的意见</w:t>
      </w:r>
      <w:r>
        <w:rPr>
          <w:rFonts w:hint="eastAsia" w:ascii="MS UI Gothic" w:eastAsia="MS UI Gothic"/>
          <w:w w:val="80"/>
        </w:rPr>
        <w:t>ꎮ</w:t>
      </w:r>
    </w:p>
    <w:p>
      <w:pPr>
        <w:pStyle w:val="6"/>
        <w:spacing w:line="295" w:lineRule="auto"/>
        <w:ind w:right="38"/>
        <w:rPr>
          <w:rFonts w:hint="eastAsia" w:ascii="MS UI Gothic" w:eastAsia="MS UI Gothic"/>
        </w:rPr>
      </w:pPr>
      <w:r>
        <w:rPr>
          <w:spacing w:val="9"/>
          <w:w w:val="105"/>
        </w:rPr>
        <w:t>第二十一条 矿山</w:t>
      </w:r>
      <w:r>
        <w:rPr>
          <w:rFonts w:hint="eastAsia" w:ascii="MS UI Gothic" w:eastAsia="MS UI Gothic"/>
          <w:spacing w:val="19"/>
          <w:w w:val="80"/>
        </w:rPr>
        <w:t xml:space="preserve">、 </w:t>
      </w:r>
      <w:r>
        <w:rPr>
          <w:spacing w:val="2"/>
          <w:w w:val="105"/>
        </w:rPr>
        <w:t>金属冶炼企业和</w:t>
      </w:r>
      <w:r>
        <w:rPr>
          <w:spacing w:val="3"/>
          <w:w w:val="105"/>
        </w:rPr>
        <w:t>易燃易爆物品</w:t>
      </w:r>
      <w:r>
        <w:rPr>
          <w:rFonts w:hint="eastAsia" w:ascii="MS UI Gothic" w:eastAsia="MS UI Gothic"/>
          <w:spacing w:val="11"/>
          <w:w w:val="80"/>
        </w:rPr>
        <w:t xml:space="preserve">、 </w:t>
      </w:r>
      <w:r>
        <w:rPr>
          <w:spacing w:val="3"/>
          <w:w w:val="105"/>
        </w:rPr>
        <w:t>危险化学品的生产</w:t>
      </w:r>
      <w:r>
        <w:rPr>
          <w:rFonts w:hint="eastAsia" w:ascii="MS UI Gothic" w:eastAsia="MS UI Gothic"/>
          <w:spacing w:val="11"/>
          <w:w w:val="80"/>
        </w:rPr>
        <w:t xml:space="preserve">、 </w:t>
      </w:r>
      <w:r>
        <w:rPr>
          <w:spacing w:val="1"/>
          <w:w w:val="105"/>
        </w:rPr>
        <w:t>经营</w:t>
      </w:r>
      <w:r>
        <w:rPr>
          <w:rFonts w:hint="eastAsia" w:ascii="MS UI Gothic" w:eastAsia="MS UI Gothic"/>
          <w:spacing w:val="-38"/>
          <w:w w:val="150"/>
        </w:rPr>
        <w:t xml:space="preserve">( </w:t>
      </w:r>
      <w:r>
        <w:rPr>
          <w:spacing w:val="13"/>
          <w:w w:val="105"/>
        </w:rPr>
        <w:t>带储存设施的</w:t>
      </w:r>
      <w:r>
        <w:rPr>
          <w:rFonts w:hint="eastAsia" w:ascii="MS UI Gothic" w:eastAsia="MS UI Gothic"/>
          <w:spacing w:val="19"/>
          <w:w w:val="80"/>
        </w:rPr>
        <w:t xml:space="preserve">ꎬ </w:t>
      </w:r>
      <w:r>
        <w:rPr>
          <w:spacing w:val="16"/>
          <w:w w:val="105"/>
        </w:rPr>
        <w:t>下同</w:t>
      </w:r>
      <w:r>
        <w:rPr>
          <w:rFonts w:hint="eastAsia" w:ascii="MS UI Gothic" w:eastAsia="MS UI Gothic"/>
          <w:spacing w:val="21"/>
          <w:w w:val="150"/>
        </w:rPr>
        <w:t>)</w:t>
      </w:r>
      <w:r>
        <w:rPr>
          <w:rFonts w:hint="eastAsia" w:ascii="MS UI Gothic" w:eastAsia="MS UI Gothic"/>
          <w:spacing w:val="19"/>
          <w:w w:val="80"/>
        </w:rPr>
        <w:t xml:space="preserve">、 </w:t>
      </w:r>
      <w:r>
        <w:rPr>
          <w:spacing w:val="12"/>
          <w:w w:val="105"/>
        </w:rPr>
        <w:t>储存</w:t>
      </w:r>
      <w:r>
        <w:rPr>
          <w:rFonts w:hint="eastAsia" w:ascii="MS UI Gothic" w:eastAsia="MS UI Gothic"/>
          <w:spacing w:val="19"/>
          <w:w w:val="80"/>
        </w:rPr>
        <w:t xml:space="preserve">、 </w:t>
      </w:r>
      <w:r>
        <w:rPr>
          <w:spacing w:val="14"/>
          <w:w w:val="105"/>
        </w:rPr>
        <w:t>运输企</w:t>
      </w:r>
      <w:r>
        <w:rPr>
          <w:spacing w:val="3"/>
        </w:rPr>
        <w:t>业</w:t>
      </w:r>
      <w:r>
        <w:rPr>
          <w:rFonts w:hint="eastAsia" w:ascii="MS UI Gothic" w:eastAsia="MS UI Gothic"/>
          <w:spacing w:val="21"/>
          <w:w w:val="80"/>
        </w:rPr>
        <w:t xml:space="preserve">ꎬ </w:t>
      </w:r>
      <w:r>
        <w:rPr>
          <w:spacing w:val="2"/>
        </w:rPr>
        <w:t>以及使用危险化学品达到国家规定数</w:t>
      </w:r>
      <w:r>
        <w:rPr>
          <w:spacing w:val="3"/>
          <w:w w:val="105"/>
        </w:rPr>
        <w:t>量的化工企业</w:t>
      </w:r>
      <w:r>
        <w:rPr>
          <w:rFonts w:hint="eastAsia" w:ascii="MS UI Gothic" w:eastAsia="MS UI Gothic"/>
          <w:spacing w:val="11"/>
          <w:w w:val="80"/>
        </w:rPr>
        <w:t xml:space="preserve">、 </w:t>
      </w:r>
      <w:r>
        <w:rPr>
          <w:spacing w:val="3"/>
          <w:w w:val="105"/>
        </w:rPr>
        <w:t>烟花爆竹生产</w:t>
      </w:r>
      <w:r>
        <w:rPr>
          <w:rFonts w:hint="eastAsia" w:ascii="MS UI Gothic" w:eastAsia="MS UI Gothic"/>
          <w:spacing w:val="11"/>
          <w:w w:val="80"/>
        </w:rPr>
        <w:t xml:space="preserve">、 </w:t>
      </w:r>
      <w:r>
        <w:rPr>
          <w:spacing w:val="2"/>
          <w:w w:val="105"/>
        </w:rPr>
        <w:t>批发经营</w:t>
      </w:r>
      <w:r>
        <w:rPr>
          <w:spacing w:val="11"/>
        </w:rPr>
        <w:t>企业和中型规模以上的其他生产经营单</w:t>
      </w:r>
      <w:r>
        <w:rPr>
          <w:spacing w:val="3"/>
        </w:rPr>
        <w:t>位</w:t>
      </w:r>
      <w:r>
        <w:rPr>
          <w:rFonts w:hint="eastAsia" w:ascii="MS UI Gothic" w:eastAsia="MS UI Gothic"/>
          <w:spacing w:val="21"/>
          <w:w w:val="80"/>
        </w:rPr>
        <w:t xml:space="preserve">ꎬ </w:t>
      </w:r>
      <w:r>
        <w:rPr>
          <w:spacing w:val="2"/>
        </w:rPr>
        <w:t>应当对本单位编制的应急预案进行评</w:t>
      </w:r>
      <w:r>
        <w:rPr>
          <w:spacing w:val="3"/>
        </w:rPr>
        <w:t>审</w:t>
      </w:r>
      <w:r>
        <w:rPr>
          <w:rFonts w:hint="eastAsia" w:ascii="MS UI Gothic" w:eastAsia="MS UI Gothic"/>
          <w:spacing w:val="23"/>
          <w:w w:val="80"/>
        </w:rPr>
        <w:t xml:space="preserve">ꎬ </w:t>
      </w:r>
      <w:r>
        <w:rPr>
          <w:spacing w:val="3"/>
        </w:rPr>
        <w:t>并形成书面评审纪要</w:t>
      </w:r>
      <w:r>
        <w:rPr>
          <w:rFonts w:hint="eastAsia" w:ascii="MS UI Gothic" w:eastAsia="MS UI Gothic"/>
          <w:spacing w:val="23"/>
          <w:w w:val="80"/>
        </w:rPr>
        <w:t xml:space="preserve">ꎮ </w:t>
      </w:r>
      <w:r>
        <w:rPr>
          <w:spacing w:val="2"/>
        </w:rPr>
        <w:t>前款规定以外</w:t>
      </w:r>
      <w:r>
        <w:rPr>
          <w:spacing w:val="4"/>
        </w:rPr>
        <w:t>的其他生产经营单位可以根据自身需要</w:t>
      </w:r>
      <w:r>
        <w:rPr>
          <w:rFonts w:hint="eastAsia" w:ascii="MS UI Gothic" w:eastAsia="MS UI Gothic"/>
          <w:w w:val="80"/>
        </w:rPr>
        <w:t>ꎬ</w:t>
      </w:r>
    </w:p>
    <w:p>
      <w:pPr>
        <w:pStyle w:val="6"/>
        <w:spacing w:before="123"/>
        <w:ind w:firstLine="0"/>
        <w:jc w:val="left"/>
        <w:rPr>
          <w:rFonts w:hint="eastAsia" w:ascii="MS UI Gothic" w:eastAsia="MS UI Gothic"/>
        </w:rPr>
      </w:pPr>
      <w:r>
        <w:br w:type="column"/>
      </w:r>
      <w:r>
        <w:t>对本单位编制的应急预案进行论证</w:t>
      </w:r>
      <w:r>
        <w:rPr>
          <w:rFonts w:hint="eastAsia" w:ascii="MS UI Gothic" w:eastAsia="MS UI Gothic"/>
          <w:w w:val="80"/>
        </w:rPr>
        <w:t>ꎮ</w:t>
      </w:r>
    </w:p>
    <w:p>
      <w:pPr>
        <w:pStyle w:val="6"/>
        <w:spacing w:before="58" w:line="295" w:lineRule="auto"/>
        <w:ind w:right="442"/>
        <w:rPr>
          <w:rFonts w:hint="eastAsia" w:ascii="MS UI Gothic" w:eastAsia="MS UI Gothic"/>
        </w:rPr>
      </w:pPr>
      <w:r>
        <w:rPr>
          <w:w w:val="105"/>
        </w:rPr>
        <w:t>第二十二条 参加应急预案评审的人</w:t>
      </w:r>
      <w:r>
        <w:t>员应当包括有关安全生产及应急管理方面的专家</w:t>
      </w:r>
      <w:r>
        <w:rPr>
          <w:rFonts w:hint="eastAsia" w:ascii="MS UI Gothic" w:eastAsia="MS UI Gothic"/>
          <w:w w:val="80"/>
        </w:rPr>
        <w:t xml:space="preserve">ꎮ </w:t>
      </w:r>
      <w:r>
        <w:t>评审人员与所评审应急预案的生</w:t>
      </w:r>
      <w:r>
        <w:rPr>
          <w:w w:val="105"/>
        </w:rPr>
        <w:t>产经营单位有利害关系的</w:t>
      </w:r>
      <w:r>
        <w:rPr>
          <w:rFonts w:hint="eastAsia" w:ascii="MS UI Gothic" w:eastAsia="MS UI Gothic"/>
          <w:w w:val="80"/>
        </w:rPr>
        <w:t xml:space="preserve">ꎬ </w:t>
      </w:r>
      <w:r>
        <w:rPr>
          <w:w w:val="105"/>
        </w:rPr>
        <w:t>应当回避</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第二十三条 应急预案的评审或者论证应当注重基本要素的完整性</w:t>
      </w:r>
      <w:r>
        <w:rPr>
          <w:rFonts w:hint="eastAsia" w:ascii="MS UI Gothic" w:eastAsia="MS UI Gothic"/>
          <w:w w:val="80"/>
        </w:rPr>
        <w:t xml:space="preserve">、 </w:t>
      </w:r>
      <w:r>
        <w:rPr>
          <w:w w:val="105"/>
        </w:rPr>
        <w:t>组织体系的合理性</w:t>
      </w:r>
      <w:r>
        <w:rPr>
          <w:rFonts w:hint="eastAsia" w:ascii="MS UI Gothic" w:eastAsia="MS UI Gothic"/>
          <w:w w:val="80"/>
        </w:rPr>
        <w:t xml:space="preserve">、 </w:t>
      </w:r>
      <w:r>
        <w:rPr>
          <w:w w:val="105"/>
        </w:rPr>
        <w:t>应急处置程序和措施的针对性</w:t>
      </w:r>
      <w:r>
        <w:rPr>
          <w:rFonts w:hint="eastAsia" w:ascii="MS UI Gothic" w:eastAsia="MS UI Gothic"/>
          <w:w w:val="80"/>
        </w:rPr>
        <w:t xml:space="preserve">、 </w:t>
      </w:r>
      <w:r>
        <w:rPr>
          <w:w w:val="105"/>
        </w:rPr>
        <w:t>应急保障措施的可行性</w:t>
      </w:r>
      <w:r>
        <w:rPr>
          <w:rFonts w:hint="eastAsia" w:ascii="MS UI Gothic" w:eastAsia="MS UI Gothic"/>
          <w:w w:val="80"/>
        </w:rPr>
        <w:t xml:space="preserve">、 </w:t>
      </w:r>
      <w:r>
        <w:rPr>
          <w:w w:val="105"/>
        </w:rPr>
        <w:t>应急预案的衔接性等内容</w:t>
      </w:r>
      <w:r>
        <w:rPr>
          <w:rFonts w:hint="eastAsia" w:ascii="MS UI Gothic" w:eastAsia="MS UI Gothic"/>
          <w:w w:val="80"/>
        </w:rPr>
        <w:t>ꎮ</w:t>
      </w:r>
    </w:p>
    <w:p>
      <w:pPr>
        <w:pStyle w:val="6"/>
        <w:spacing w:line="295" w:lineRule="auto"/>
        <w:ind w:right="442"/>
        <w:rPr>
          <w:rFonts w:hint="eastAsia" w:ascii="MS UI Gothic" w:eastAsia="MS UI Gothic"/>
        </w:rPr>
      </w:pPr>
      <w:r>
        <w:t>第二十四条 生产经营单位的应急预案经评审或者论证后</w:t>
      </w:r>
      <w:r>
        <w:rPr>
          <w:rFonts w:hint="eastAsia" w:ascii="MS UI Gothic" w:eastAsia="MS UI Gothic"/>
          <w:w w:val="80"/>
        </w:rPr>
        <w:t xml:space="preserve">ꎬ </w:t>
      </w:r>
      <w:r>
        <w:t>由本单位主要负责人签署</w:t>
      </w:r>
      <w:r>
        <w:rPr>
          <w:rFonts w:hint="eastAsia" w:ascii="MS UI Gothic" w:eastAsia="MS UI Gothic"/>
          <w:w w:val="80"/>
        </w:rPr>
        <w:t xml:space="preserve">ꎬ </w:t>
      </w:r>
      <w:r>
        <w:t>向本单位从业人员公布</w:t>
      </w:r>
      <w:r>
        <w:rPr>
          <w:rFonts w:hint="eastAsia" w:ascii="MS UI Gothic" w:eastAsia="MS UI Gothic"/>
          <w:w w:val="80"/>
        </w:rPr>
        <w:t xml:space="preserve">ꎬ </w:t>
      </w:r>
      <w:r>
        <w:t>并及时发放到本单位有关部门</w:t>
      </w:r>
      <w:r>
        <w:rPr>
          <w:rFonts w:hint="eastAsia" w:ascii="MS UI Gothic" w:eastAsia="MS UI Gothic"/>
          <w:w w:val="80"/>
        </w:rPr>
        <w:t xml:space="preserve">、 </w:t>
      </w:r>
      <w:r>
        <w:t>岗位和相关应急救援队伍</w:t>
      </w:r>
      <w:r>
        <w:rPr>
          <w:rFonts w:hint="eastAsia" w:ascii="MS UI Gothic" w:eastAsia="MS UI Gothic"/>
          <w:w w:val="80"/>
        </w:rPr>
        <w:t xml:space="preserve">ꎮ </w:t>
      </w:r>
      <w:r>
        <w:t>事故风险可能影响周边其他单位</w:t>
      </w:r>
      <w:r>
        <w:rPr>
          <w:rFonts w:hint="eastAsia" w:ascii="MS UI Gothic" w:eastAsia="MS UI Gothic"/>
          <w:w w:val="80"/>
        </w:rPr>
        <w:t xml:space="preserve">、 </w:t>
      </w:r>
      <w:r>
        <w:t>人员的</w:t>
      </w:r>
      <w:r>
        <w:rPr>
          <w:rFonts w:hint="eastAsia" w:ascii="MS UI Gothic" w:eastAsia="MS UI Gothic"/>
          <w:w w:val="80"/>
        </w:rPr>
        <w:t xml:space="preserve">ꎬ </w:t>
      </w:r>
      <w:r>
        <w:t>生产经营单位应当将有关事故风险的性质</w:t>
      </w:r>
      <w:r>
        <w:rPr>
          <w:rFonts w:hint="eastAsia" w:ascii="MS UI Gothic" w:eastAsia="MS UI Gothic"/>
          <w:w w:val="80"/>
        </w:rPr>
        <w:t xml:space="preserve">、 </w:t>
      </w:r>
      <w:r>
        <w:t>影响范围和应急防范措施告知周边的其他单位和人员</w:t>
      </w:r>
      <w:r>
        <w:rPr>
          <w:rFonts w:hint="eastAsia" w:ascii="MS UI Gothic" w:eastAsia="MS UI Gothic"/>
          <w:w w:val="80"/>
        </w:rPr>
        <w:t>ꎮ</w:t>
      </w:r>
    </w:p>
    <w:p>
      <w:pPr>
        <w:pStyle w:val="6"/>
        <w:spacing w:line="295" w:lineRule="auto"/>
        <w:ind w:right="442"/>
        <w:rPr>
          <w:rFonts w:hint="eastAsia" w:ascii="MS UI Gothic" w:eastAsia="MS UI Gothic"/>
        </w:rPr>
      </w:pPr>
      <w:r>
        <w:t>第二十五条 地方各级人民政府应急管理部门的应急预案</w:t>
      </w:r>
      <w:r>
        <w:rPr>
          <w:rFonts w:hint="eastAsia" w:ascii="MS UI Gothic" w:eastAsia="MS UI Gothic"/>
          <w:w w:val="80"/>
        </w:rPr>
        <w:t xml:space="preserve">ꎬ </w:t>
      </w:r>
      <w:r>
        <w:t>应当报同级人民政府备案</w:t>
      </w:r>
      <w:r>
        <w:rPr>
          <w:rFonts w:hint="eastAsia" w:ascii="MS UI Gothic" w:eastAsia="MS UI Gothic"/>
          <w:w w:val="80"/>
        </w:rPr>
        <w:t xml:space="preserve">ꎬ </w:t>
      </w:r>
      <w:r>
        <w:t>同时抄送上一级人民政府应急管理部门</w:t>
      </w:r>
      <w:r>
        <w:rPr>
          <w:rFonts w:hint="eastAsia" w:ascii="MS UI Gothic" w:eastAsia="MS UI Gothic"/>
          <w:w w:val="80"/>
        </w:rPr>
        <w:t xml:space="preserve">ꎬ </w:t>
      </w:r>
      <w:r>
        <w:t>并依法向社会公布</w:t>
      </w:r>
      <w:r>
        <w:rPr>
          <w:rFonts w:hint="eastAsia" w:ascii="MS UI Gothic" w:eastAsia="MS UI Gothic"/>
          <w:w w:val="80"/>
        </w:rPr>
        <w:t xml:space="preserve">ꎮ </w:t>
      </w:r>
      <w:r>
        <w:t>地方各级人民政府其他负有安全生产监督管理职责的部门的应急预案</w:t>
      </w:r>
      <w:r>
        <w:rPr>
          <w:rFonts w:hint="eastAsia" w:ascii="MS UI Gothic" w:eastAsia="MS UI Gothic"/>
          <w:w w:val="80"/>
        </w:rPr>
        <w:t xml:space="preserve">ꎬ </w:t>
      </w:r>
      <w:r>
        <w:t>应当抄送同级人民政府应急管理部门</w:t>
      </w:r>
      <w:r>
        <w:rPr>
          <w:rFonts w:hint="eastAsia" w:ascii="MS UI Gothic" w:eastAsia="MS UI Gothic"/>
          <w:w w:val="80"/>
        </w:rPr>
        <w:t>ꎮ</w:t>
      </w:r>
    </w:p>
    <w:p>
      <w:pPr>
        <w:pStyle w:val="6"/>
        <w:spacing w:line="295" w:lineRule="auto"/>
        <w:ind w:right="440"/>
      </w:pPr>
      <w:r>
        <w:t>第二十六条 易燃易爆物品</w:t>
      </w:r>
      <w:r>
        <w:rPr>
          <w:rFonts w:hint="eastAsia" w:ascii="MS UI Gothic" w:eastAsia="MS UI Gothic"/>
          <w:w w:val="80"/>
        </w:rPr>
        <w:t xml:space="preserve">、 </w:t>
      </w:r>
      <w:r>
        <w:t>危险化学品等危险物品的生产</w:t>
      </w:r>
      <w:r>
        <w:rPr>
          <w:rFonts w:hint="eastAsia" w:ascii="MS UI Gothic" w:eastAsia="MS UI Gothic"/>
          <w:w w:val="80"/>
        </w:rPr>
        <w:t xml:space="preserve">、 </w:t>
      </w:r>
      <w:r>
        <w:t>经营</w:t>
      </w:r>
      <w:r>
        <w:rPr>
          <w:rFonts w:hint="eastAsia" w:ascii="MS UI Gothic" w:eastAsia="MS UI Gothic"/>
          <w:w w:val="80"/>
        </w:rPr>
        <w:t xml:space="preserve">、 </w:t>
      </w:r>
      <w:r>
        <w:t>储存</w:t>
      </w:r>
      <w:r>
        <w:rPr>
          <w:rFonts w:hint="eastAsia" w:ascii="MS UI Gothic" w:eastAsia="MS UI Gothic"/>
          <w:w w:val="80"/>
        </w:rPr>
        <w:t xml:space="preserve">、 </w:t>
      </w:r>
      <w:r>
        <w:t>运输单位</w:t>
      </w:r>
      <w:r>
        <w:rPr>
          <w:rFonts w:hint="eastAsia" w:ascii="MS UI Gothic" w:eastAsia="MS UI Gothic"/>
          <w:w w:val="80"/>
        </w:rPr>
        <w:t xml:space="preserve">ꎬ </w:t>
      </w:r>
      <w:r>
        <w:t>矿山</w:t>
      </w:r>
      <w:r>
        <w:rPr>
          <w:rFonts w:hint="eastAsia" w:ascii="MS UI Gothic" w:eastAsia="MS UI Gothic"/>
          <w:w w:val="80"/>
        </w:rPr>
        <w:t xml:space="preserve">、 </w:t>
      </w:r>
      <w:r>
        <w:t>金属冶炼</w:t>
      </w:r>
      <w:r>
        <w:rPr>
          <w:rFonts w:hint="eastAsia" w:ascii="MS UI Gothic" w:eastAsia="MS UI Gothic"/>
          <w:w w:val="80"/>
        </w:rPr>
        <w:t xml:space="preserve">、 </w:t>
      </w:r>
      <w:r>
        <w:t>城市轨道交通运营</w:t>
      </w:r>
      <w:r>
        <w:rPr>
          <w:rFonts w:hint="eastAsia" w:ascii="MS UI Gothic" w:eastAsia="MS UI Gothic"/>
          <w:w w:val="80"/>
        </w:rPr>
        <w:t xml:space="preserve">、 </w:t>
      </w:r>
      <w:r>
        <w:t>建筑施工单位</w:t>
      </w:r>
      <w:r>
        <w:rPr>
          <w:rFonts w:hint="eastAsia" w:ascii="MS UI Gothic" w:eastAsia="MS UI Gothic"/>
          <w:w w:val="80"/>
        </w:rPr>
        <w:t xml:space="preserve">ꎬ </w:t>
      </w:r>
      <w:r>
        <w:t>以及宾馆</w:t>
      </w:r>
      <w:r>
        <w:rPr>
          <w:rFonts w:hint="eastAsia" w:ascii="MS UI Gothic" w:eastAsia="MS UI Gothic"/>
          <w:w w:val="80"/>
        </w:rPr>
        <w:t xml:space="preserve">、 </w:t>
      </w:r>
      <w:r>
        <w:t>商场</w:t>
      </w:r>
      <w:r>
        <w:rPr>
          <w:rFonts w:hint="eastAsia" w:ascii="MS UI Gothic" w:eastAsia="MS UI Gothic"/>
          <w:w w:val="80"/>
        </w:rPr>
        <w:t>、</w:t>
      </w:r>
      <w:r>
        <w:t>娱乐场所</w:t>
      </w:r>
      <w:r>
        <w:rPr>
          <w:rFonts w:hint="eastAsia" w:ascii="MS UI Gothic" w:eastAsia="MS UI Gothic"/>
          <w:w w:val="80"/>
        </w:rPr>
        <w:t xml:space="preserve">、 </w:t>
      </w:r>
      <w:r>
        <w:t>旅游景区等人员密集场所经营单位</w:t>
      </w:r>
      <w:r>
        <w:rPr>
          <w:rFonts w:hint="eastAsia" w:ascii="MS UI Gothic" w:eastAsia="MS UI Gothic"/>
          <w:w w:val="80"/>
        </w:rPr>
        <w:t xml:space="preserve">ꎬ </w:t>
      </w:r>
      <w:r>
        <w:t xml:space="preserve">应当在应急预案公布之日起 </w:t>
      </w:r>
      <w:r>
        <w:rPr>
          <w:rFonts w:hint="eastAsia" w:ascii="MS UI Gothic" w:eastAsia="MS UI Gothic"/>
          <w:w w:val="80"/>
        </w:rPr>
        <w:t xml:space="preserve">２０ </w:t>
      </w:r>
      <w:r>
        <w:t>个工作日内</w:t>
      </w:r>
      <w:r>
        <w:rPr>
          <w:rFonts w:hint="eastAsia" w:ascii="MS UI Gothic" w:eastAsia="MS UI Gothic"/>
          <w:w w:val="80"/>
        </w:rPr>
        <w:t xml:space="preserve">ꎬ </w:t>
      </w:r>
      <w:r>
        <w:t>按照分级属地原则</w:t>
      </w:r>
      <w:r>
        <w:rPr>
          <w:rFonts w:hint="eastAsia" w:ascii="MS UI Gothic" w:eastAsia="MS UI Gothic"/>
          <w:w w:val="80"/>
        </w:rPr>
        <w:t xml:space="preserve">ꎬ </w:t>
      </w:r>
      <w:r>
        <w:t>向县级以上人民政府应急管理部门和其他负有安全生产监督管理职责的部门进行备案</w:t>
      </w:r>
      <w:r>
        <w:rPr>
          <w:rFonts w:hint="eastAsia" w:ascii="MS UI Gothic" w:eastAsia="MS UI Gothic"/>
          <w:w w:val="80"/>
        </w:rPr>
        <w:t xml:space="preserve">ꎬ </w:t>
      </w:r>
      <w:r>
        <w:t>并依法向社会公布</w:t>
      </w:r>
      <w:r>
        <w:rPr>
          <w:rFonts w:hint="eastAsia" w:ascii="MS UI Gothic" w:eastAsia="MS UI Gothic"/>
          <w:w w:val="80"/>
        </w:rPr>
        <w:t xml:space="preserve">ꎮ </w:t>
      </w:r>
      <w:r>
        <w:t>前款所列单位属于中央企业的</w:t>
      </w:r>
      <w:r>
        <w:rPr>
          <w:rFonts w:hint="eastAsia" w:ascii="MS UI Gothic" w:eastAsia="MS UI Gothic"/>
          <w:w w:val="80"/>
        </w:rPr>
        <w:t xml:space="preserve">ꎬ </w:t>
      </w:r>
      <w:r>
        <w:t xml:space="preserve">其总部 </w:t>
      </w:r>
      <w:r>
        <w:rPr>
          <w:rFonts w:hint="eastAsia" w:ascii="MS UI Gothic" w:eastAsia="MS UI Gothic"/>
          <w:w w:val="145"/>
        </w:rPr>
        <w:t xml:space="preserve">( </w:t>
      </w:r>
      <w:r>
        <w:t>上市公司</w:t>
      </w:r>
      <w:r>
        <w:rPr>
          <w:rFonts w:hint="eastAsia" w:ascii="MS UI Gothic" w:eastAsia="MS UI Gothic"/>
          <w:w w:val="145"/>
        </w:rPr>
        <w:t xml:space="preserve">) </w:t>
      </w:r>
      <w:r>
        <w:t>的应急预案</w:t>
      </w:r>
      <w:r>
        <w:rPr>
          <w:rFonts w:hint="eastAsia" w:ascii="MS UI Gothic" w:eastAsia="MS UI Gothic"/>
          <w:w w:val="80"/>
        </w:rPr>
        <w:t>ꎬ</w:t>
      </w:r>
      <w:r>
        <w:t>报国务院主管的负有安全生产监督管理职责的部门备案</w:t>
      </w:r>
      <w:r>
        <w:rPr>
          <w:rFonts w:hint="eastAsia" w:ascii="MS UI Gothic" w:eastAsia="MS UI Gothic"/>
          <w:w w:val="80"/>
        </w:rPr>
        <w:t xml:space="preserve">ꎬ </w:t>
      </w:r>
      <w:r>
        <w:t>并抄送应急管理部</w:t>
      </w:r>
      <w:r>
        <w:rPr>
          <w:rFonts w:hint="eastAsia" w:ascii="MS UI Gothic" w:eastAsia="MS UI Gothic"/>
          <w:w w:val="80"/>
        </w:rPr>
        <w:t xml:space="preserve">ꎻ </w:t>
      </w:r>
      <w:r>
        <w:t>其所属单位的应急预案报所在地的省</w:t>
      </w:r>
      <w:r>
        <w:rPr>
          <w:rFonts w:hint="eastAsia" w:ascii="MS UI Gothic" w:eastAsia="MS UI Gothic"/>
          <w:w w:val="80"/>
        </w:rPr>
        <w:t xml:space="preserve">、 </w:t>
      </w:r>
      <w:r>
        <w:t>自治</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９３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28" o:spid="_x0000_s1328" o:spt="203" style="height:2.15pt;width:398.25pt;" coordsize="7965,43">
            <o:lock v:ext="edit"/>
            <v:line id="_x0000_s1329" o:spid="_x0000_s1329" o:spt="20" style="position:absolute;left:0;top:39;height:0;width:7965;" stroked="t" coordsize="21600,21600">
              <v:path arrowok="t"/>
              <v:fill focussize="0,0"/>
              <v:stroke weight="0.388031496062992pt" color="#231F20"/>
              <v:imagedata o:title=""/>
              <o:lock v:ext="edit"/>
            </v:line>
            <v:line id="_x0000_s1330" o:spid="_x0000_s13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区</w:t>
      </w:r>
      <w:r>
        <w:rPr>
          <w:rFonts w:hint="eastAsia" w:ascii="MS UI Gothic" w:eastAsia="MS UI Gothic"/>
          <w:w w:val="80"/>
        </w:rPr>
        <w:t xml:space="preserve">、 </w:t>
      </w:r>
      <w:r>
        <w:t>直辖市或者设区的市级人民政府主管的负有安全生产监督管理职责的部门备案</w:t>
      </w:r>
      <w:r>
        <w:rPr>
          <w:rFonts w:hint="eastAsia" w:ascii="MS UI Gothic" w:eastAsia="MS UI Gothic"/>
          <w:w w:val="80"/>
        </w:rPr>
        <w:t xml:space="preserve">ꎬ </w:t>
      </w:r>
      <w:r>
        <w:t>并抄送同级人民政府应急管理部门</w:t>
      </w:r>
      <w:r>
        <w:rPr>
          <w:rFonts w:hint="eastAsia" w:ascii="MS UI Gothic" w:eastAsia="MS UI Gothic"/>
          <w:w w:val="80"/>
        </w:rPr>
        <w:t>ꎮ</w:t>
      </w:r>
      <w:r>
        <w:t>本条第一款所列单位不属于中央企业的</w:t>
      </w:r>
      <w:r>
        <w:rPr>
          <w:rFonts w:hint="eastAsia" w:ascii="MS UI Gothic" w:eastAsia="MS UI Gothic"/>
          <w:w w:val="80"/>
        </w:rPr>
        <w:t>ꎬ</w:t>
      </w:r>
      <w:r>
        <w:t>其中非煤矿山</w:t>
      </w:r>
      <w:r>
        <w:rPr>
          <w:rFonts w:hint="eastAsia" w:ascii="MS UI Gothic" w:eastAsia="MS UI Gothic"/>
          <w:w w:val="80"/>
        </w:rPr>
        <w:t xml:space="preserve">、 </w:t>
      </w:r>
      <w:r>
        <w:t>金属冶炼和危险化学品生产</w:t>
      </w:r>
      <w:r>
        <w:rPr>
          <w:rFonts w:hint="eastAsia" w:ascii="MS UI Gothic" w:eastAsia="MS UI Gothic"/>
          <w:w w:val="80"/>
        </w:rPr>
        <w:t xml:space="preserve">、 </w:t>
      </w:r>
      <w:r>
        <w:t>经营</w:t>
      </w:r>
      <w:r>
        <w:rPr>
          <w:rFonts w:hint="eastAsia" w:ascii="MS UI Gothic" w:eastAsia="MS UI Gothic"/>
          <w:w w:val="80"/>
        </w:rPr>
        <w:t xml:space="preserve">、 </w:t>
      </w:r>
      <w:r>
        <w:t>储存</w:t>
      </w:r>
      <w:r>
        <w:rPr>
          <w:rFonts w:hint="eastAsia" w:ascii="MS UI Gothic" w:eastAsia="MS UI Gothic"/>
          <w:w w:val="80"/>
        </w:rPr>
        <w:t xml:space="preserve">、 </w:t>
      </w:r>
      <w:r>
        <w:t>运输企业</w:t>
      </w:r>
      <w:r>
        <w:rPr>
          <w:rFonts w:hint="eastAsia" w:ascii="MS UI Gothic" w:eastAsia="MS UI Gothic"/>
          <w:w w:val="80"/>
        </w:rPr>
        <w:t xml:space="preserve">ꎬ  </w:t>
      </w:r>
      <w:r>
        <w:t>以及使用危险化学品达到国家规定数量的化工企业</w:t>
      </w:r>
      <w:r>
        <w:rPr>
          <w:rFonts w:hint="eastAsia" w:ascii="MS UI Gothic" w:eastAsia="MS UI Gothic"/>
          <w:w w:val="80"/>
        </w:rPr>
        <w:t>、</w:t>
      </w:r>
      <w:r>
        <w:t>烟花爆竹生产</w:t>
      </w:r>
      <w:r>
        <w:rPr>
          <w:rFonts w:hint="eastAsia" w:ascii="MS UI Gothic" w:eastAsia="MS UI Gothic"/>
          <w:w w:val="80"/>
        </w:rPr>
        <w:t xml:space="preserve">、 </w:t>
      </w:r>
      <w:r>
        <w:t>批发经营企业的应急预案</w:t>
      </w:r>
      <w:r>
        <w:rPr>
          <w:rFonts w:hint="eastAsia" w:ascii="MS UI Gothic" w:eastAsia="MS UI Gothic"/>
          <w:w w:val="80"/>
        </w:rPr>
        <w:t xml:space="preserve">ꎬ </w:t>
      </w:r>
      <w:r>
        <w:t>按照隶属关系报所在地县级以上地方人民政府应急管理部门备案</w:t>
      </w:r>
      <w:r>
        <w:rPr>
          <w:rFonts w:hint="eastAsia" w:ascii="MS UI Gothic" w:eastAsia="MS UI Gothic"/>
          <w:w w:val="80"/>
        </w:rPr>
        <w:t xml:space="preserve">ꎻ </w:t>
      </w:r>
      <w:r>
        <w:t>本款前述单位以外的其他生产经营单位应急预案的备案</w:t>
      </w:r>
      <w:r>
        <w:rPr>
          <w:rFonts w:hint="eastAsia" w:ascii="MS UI Gothic" w:eastAsia="MS UI Gothic"/>
          <w:w w:val="80"/>
        </w:rPr>
        <w:t xml:space="preserve">ꎬ </w:t>
      </w:r>
      <w:r>
        <w:t>由省</w:t>
      </w:r>
      <w:r>
        <w:rPr>
          <w:rFonts w:hint="eastAsia" w:ascii="MS UI Gothic" w:eastAsia="MS UI Gothic"/>
          <w:w w:val="80"/>
        </w:rPr>
        <w:t xml:space="preserve">、 </w:t>
      </w:r>
      <w:r>
        <w:t>自治区</w:t>
      </w:r>
      <w:r>
        <w:rPr>
          <w:rFonts w:hint="eastAsia" w:ascii="MS UI Gothic" w:eastAsia="MS UI Gothic"/>
          <w:w w:val="80"/>
        </w:rPr>
        <w:t xml:space="preserve">、 </w:t>
      </w:r>
      <w:r>
        <w:t>直辖市人民政府负有安全生产监督管理职责的部门确定</w:t>
      </w:r>
      <w:r>
        <w:rPr>
          <w:rFonts w:hint="eastAsia" w:ascii="MS UI Gothic" w:eastAsia="MS UI Gothic"/>
          <w:w w:val="80"/>
        </w:rPr>
        <w:t xml:space="preserve">ꎮ </w:t>
      </w:r>
      <w:r>
        <w:t>油气输送管道运营单位的应急预案</w:t>
      </w:r>
      <w:r>
        <w:rPr>
          <w:rFonts w:hint="eastAsia" w:ascii="MS UI Gothic" w:eastAsia="MS UI Gothic"/>
          <w:w w:val="80"/>
        </w:rPr>
        <w:t xml:space="preserve">ꎬ </w:t>
      </w:r>
      <w:r>
        <w:t>除按照本条第一款</w:t>
      </w:r>
      <w:r>
        <w:rPr>
          <w:rFonts w:hint="eastAsia" w:ascii="MS UI Gothic" w:eastAsia="MS UI Gothic"/>
          <w:w w:val="80"/>
        </w:rPr>
        <w:t xml:space="preserve">、 </w:t>
      </w:r>
      <w:r>
        <w:t>第二款的规定备案外</w:t>
      </w:r>
      <w:r>
        <w:rPr>
          <w:rFonts w:hint="eastAsia" w:ascii="MS UI Gothic" w:eastAsia="MS UI Gothic"/>
          <w:w w:val="80"/>
        </w:rPr>
        <w:t xml:space="preserve">ꎬ </w:t>
      </w:r>
      <w:r>
        <w:t>还应当抄送所经行政区域的县级人民政府应急管理部门</w:t>
      </w:r>
      <w:r>
        <w:rPr>
          <w:rFonts w:hint="eastAsia" w:ascii="MS UI Gothic" w:eastAsia="MS UI Gothic"/>
          <w:w w:val="80"/>
        </w:rPr>
        <w:t xml:space="preserve">ꎮ </w:t>
      </w:r>
      <w:r>
        <w:t>海洋石油开采企业的应急预案</w:t>
      </w:r>
      <w:r>
        <w:rPr>
          <w:rFonts w:hint="eastAsia" w:ascii="MS UI Gothic" w:eastAsia="MS UI Gothic"/>
          <w:w w:val="80"/>
        </w:rPr>
        <w:t>ꎬ</w:t>
      </w:r>
      <w:r>
        <w:t>除按照本条第一款</w:t>
      </w:r>
      <w:r>
        <w:rPr>
          <w:rFonts w:hint="eastAsia" w:ascii="MS UI Gothic" w:eastAsia="MS UI Gothic"/>
          <w:w w:val="80"/>
        </w:rPr>
        <w:t xml:space="preserve">、 </w:t>
      </w:r>
      <w:r>
        <w:t>第二款的规定备案外</w:t>
      </w:r>
      <w:r>
        <w:rPr>
          <w:rFonts w:hint="eastAsia" w:ascii="MS UI Gothic" w:eastAsia="MS UI Gothic"/>
          <w:w w:val="80"/>
        </w:rPr>
        <w:t xml:space="preserve">ꎬ </w:t>
      </w:r>
      <w:r>
        <w:t>还应当抄送所经行政区域的县级人民政府应急管理部门和海洋石油安全监管机构</w:t>
      </w:r>
      <w:r>
        <w:rPr>
          <w:rFonts w:hint="eastAsia" w:ascii="MS UI Gothic" w:eastAsia="MS UI Gothic"/>
          <w:w w:val="80"/>
        </w:rPr>
        <w:t xml:space="preserve">ꎮ </w:t>
      </w:r>
      <w:r>
        <w:t>煤矿企业的应急预案除按照本条第一款</w:t>
      </w:r>
      <w:r>
        <w:rPr>
          <w:rFonts w:hint="eastAsia" w:ascii="MS UI Gothic" w:eastAsia="MS UI Gothic"/>
          <w:w w:val="80"/>
        </w:rPr>
        <w:t xml:space="preserve">、 </w:t>
      </w:r>
      <w:r>
        <w:t>第二款的规定备案外</w:t>
      </w:r>
      <w:r>
        <w:rPr>
          <w:rFonts w:hint="eastAsia" w:ascii="MS UI Gothic" w:eastAsia="MS UI Gothic"/>
          <w:w w:val="80"/>
        </w:rPr>
        <w:t xml:space="preserve">ꎬ </w:t>
      </w:r>
      <w:r>
        <w:t>还应当抄送所在地的煤矿安全监察机构</w:t>
      </w:r>
      <w:r>
        <w:rPr>
          <w:rFonts w:hint="eastAsia" w:ascii="MS UI Gothic" w:eastAsia="MS UI Gothic"/>
          <w:w w:val="80"/>
        </w:rPr>
        <w:t>ꎮ</w:t>
      </w:r>
    </w:p>
    <w:p>
      <w:pPr>
        <w:pStyle w:val="6"/>
        <w:spacing w:line="238" w:lineRule="exact"/>
        <w:ind w:left="860" w:firstLine="0"/>
      </w:pPr>
      <w:r>
        <w:rPr>
          <w:w w:val="105"/>
        </w:rPr>
        <w:t>第二十七条 生产经营单位申报应急</w:t>
      </w:r>
    </w:p>
    <w:p>
      <w:pPr>
        <w:pStyle w:val="6"/>
        <w:spacing w:before="58" w:line="295" w:lineRule="auto"/>
        <w:ind w:left="860" w:right="797" w:hanging="420"/>
        <w:rPr>
          <w:rFonts w:hint="eastAsia" w:ascii="MS UI Gothic" w:eastAsia="MS UI Gothic"/>
        </w:rPr>
      </w:pPr>
      <w:r>
        <w:rPr>
          <w:spacing w:val="3"/>
          <w:w w:val="110"/>
        </w:rPr>
        <w:t>预案备案</w:t>
      </w:r>
      <w:r>
        <w:rPr>
          <w:rFonts w:hint="eastAsia" w:ascii="MS UI Gothic" w:eastAsia="MS UI Gothic"/>
          <w:spacing w:val="-7"/>
          <w:w w:val="80"/>
        </w:rPr>
        <w:t xml:space="preserve">ꎬ </w:t>
      </w:r>
      <w:r>
        <w:rPr>
          <w:spacing w:val="3"/>
          <w:w w:val="110"/>
        </w:rPr>
        <w:t>应当提交下列材料</w:t>
      </w:r>
      <w:r>
        <w:rPr>
          <w:rFonts w:hint="eastAsia" w:ascii="MS UI Gothic" w:eastAsia="MS UI Gothic"/>
          <w:w w:val="125"/>
        </w:rPr>
        <w:t xml:space="preserve">: </w:t>
      </w:r>
      <w:r>
        <w:rPr>
          <w:rFonts w:hint="eastAsia" w:ascii="MS UI Gothic" w:eastAsia="MS UI Gothic"/>
          <w:spacing w:val="-23"/>
          <w:w w:val="105"/>
        </w:rPr>
        <w:t xml:space="preserve">( </w:t>
      </w:r>
      <w:r>
        <w:rPr>
          <w:spacing w:val="3"/>
          <w:w w:val="105"/>
        </w:rPr>
        <w:t>一</w:t>
      </w:r>
      <w:r>
        <w:rPr>
          <w:rFonts w:hint="eastAsia" w:ascii="MS UI Gothic" w:eastAsia="MS UI Gothic"/>
          <w:spacing w:val="22"/>
          <w:w w:val="105"/>
        </w:rPr>
        <w:t xml:space="preserve">) </w:t>
      </w:r>
      <w:r>
        <w:rPr>
          <w:spacing w:val="3"/>
          <w:w w:val="105"/>
        </w:rPr>
        <w:t>应急预案备案申报表</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本办法第二十一条所列单位</w:t>
      </w:r>
      <w:r>
        <w:rPr>
          <w:rFonts w:hint="eastAsia" w:ascii="MS UI Gothic" w:eastAsia="MS UI Gothic"/>
          <w:w w:val="80"/>
        </w:rPr>
        <w:t>ꎬ</w:t>
      </w:r>
      <w:r>
        <w:rPr>
          <w:w w:val="105"/>
        </w:rPr>
        <w:t>应当提供应急预案评审意见</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应急预案电子文档</w:t>
      </w:r>
      <w:r>
        <w:rPr>
          <w:rFonts w:hint="eastAsia" w:ascii="MS UI Gothic" w:eastAsia="MS UI Gothic"/>
          <w:w w:val="80"/>
        </w:rPr>
        <w:t>ꎻ</w:t>
      </w:r>
    </w:p>
    <w:p>
      <w:pPr>
        <w:pStyle w:val="6"/>
        <w:spacing w:before="57" w:line="295" w:lineRule="auto"/>
        <w:ind w:left="440" w:right="1"/>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风险评估结果和应急资源调查</w:t>
      </w:r>
      <w:r>
        <w:rPr>
          <w:w w:val="110"/>
        </w:rPr>
        <w:t>清单</w:t>
      </w:r>
      <w:r>
        <w:rPr>
          <w:rFonts w:hint="eastAsia" w:ascii="MS UI Gothic" w:eastAsia="MS UI Gothic"/>
          <w:w w:val="80"/>
        </w:rPr>
        <w:t>ꎮ</w:t>
      </w:r>
    </w:p>
    <w:p>
      <w:pPr>
        <w:pStyle w:val="6"/>
        <w:spacing w:line="295" w:lineRule="auto"/>
        <w:ind w:left="440" w:right="1"/>
      </w:pPr>
      <w:r>
        <w:t xml:space="preserve">第二十八条 受理备案登记的负有安全生产监督管理职责的部门应当在 </w:t>
      </w:r>
      <w:r>
        <w:rPr>
          <w:rFonts w:hint="eastAsia" w:ascii="MS UI Gothic" w:eastAsia="MS UI Gothic"/>
          <w:w w:val="80"/>
        </w:rPr>
        <w:t xml:space="preserve">５ </w:t>
      </w:r>
      <w:r>
        <w:t>个工作日内对应急预案材料进行核对</w:t>
      </w:r>
      <w:r>
        <w:rPr>
          <w:rFonts w:hint="eastAsia" w:ascii="MS UI Gothic" w:eastAsia="MS UI Gothic"/>
          <w:w w:val="80"/>
        </w:rPr>
        <w:t xml:space="preserve">ꎬ </w:t>
      </w:r>
      <w:r>
        <w:t>材料齐全的</w:t>
      </w:r>
      <w:r>
        <w:rPr>
          <w:rFonts w:hint="eastAsia" w:ascii="MS UI Gothic" w:eastAsia="MS UI Gothic"/>
          <w:w w:val="80"/>
        </w:rPr>
        <w:t xml:space="preserve">ꎬ </w:t>
      </w:r>
      <w:r>
        <w:t>应当予以备案并出具应急预案备案登记表</w:t>
      </w:r>
      <w:r>
        <w:rPr>
          <w:rFonts w:hint="eastAsia" w:ascii="MS UI Gothic" w:eastAsia="MS UI Gothic"/>
          <w:w w:val="80"/>
        </w:rPr>
        <w:t xml:space="preserve">ꎻ </w:t>
      </w:r>
      <w:r>
        <w:t>材料不齐全的</w:t>
      </w:r>
      <w:r>
        <w:rPr>
          <w:rFonts w:hint="eastAsia" w:ascii="MS UI Gothic" w:eastAsia="MS UI Gothic"/>
          <w:w w:val="80"/>
        </w:rPr>
        <w:t xml:space="preserve">ꎬ </w:t>
      </w:r>
      <w:r>
        <w:t>不予备案并一次性告知需要补齐的材料</w:t>
      </w:r>
      <w:r>
        <w:rPr>
          <w:rFonts w:hint="eastAsia" w:ascii="MS UI Gothic" w:eastAsia="MS UI Gothic"/>
          <w:w w:val="80"/>
        </w:rPr>
        <w:t xml:space="preserve">ꎮ </w:t>
      </w:r>
      <w:r>
        <w:t>逾期不予备案又不说明理由的</w:t>
      </w:r>
      <w:r>
        <w:rPr>
          <w:rFonts w:hint="eastAsia" w:ascii="MS UI Gothic" w:eastAsia="MS UI Gothic"/>
          <w:w w:val="80"/>
        </w:rPr>
        <w:t xml:space="preserve">ꎬ </w:t>
      </w:r>
      <w:r>
        <w:t>视为已经备案</w:t>
      </w:r>
      <w:r>
        <w:rPr>
          <w:rFonts w:hint="eastAsia" w:ascii="MS UI Gothic" w:eastAsia="MS UI Gothic"/>
          <w:w w:val="80"/>
        </w:rPr>
        <w:t xml:space="preserve">ꎮ </w:t>
      </w:r>
      <w:r>
        <w:t>对于实行安全生产许可的生产经营单位</w:t>
      </w:r>
      <w:r>
        <w:rPr>
          <w:rFonts w:hint="eastAsia" w:ascii="MS UI Gothic" w:eastAsia="MS UI Gothic"/>
          <w:w w:val="80"/>
        </w:rPr>
        <w:t xml:space="preserve">ꎬ </w:t>
      </w:r>
      <w:r>
        <w:t>已经进行</w:t>
      </w:r>
    </w:p>
    <w:p>
      <w:pPr>
        <w:pStyle w:val="6"/>
        <w:spacing w:before="124" w:line="295" w:lineRule="auto"/>
        <w:ind w:left="381" w:right="126" w:firstLine="0"/>
        <w:rPr>
          <w:rFonts w:hint="eastAsia" w:ascii="MS UI Gothic" w:eastAsia="MS UI Gothic"/>
        </w:rPr>
      </w:pPr>
      <w:r>
        <w:br w:type="column"/>
      </w:r>
      <w:r>
        <w:t>应急预案备案的</w:t>
      </w:r>
      <w:r>
        <w:rPr>
          <w:rFonts w:hint="eastAsia" w:ascii="MS UI Gothic" w:eastAsia="MS UI Gothic"/>
          <w:w w:val="80"/>
        </w:rPr>
        <w:t xml:space="preserve">ꎬ </w:t>
      </w:r>
      <w:r>
        <w:t>在申请安全生产许可证时</w:t>
      </w:r>
      <w:r>
        <w:rPr>
          <w:rFonts w:hint="eastAsia" w:ascii="MS UI Gothic" w:eastAsia="MS UI Gothic"/>
          <w:w w:val="80"/>
        </w:rPr>
        <w:t xml:space="preserve">ꎬ </w:t>
      </w:r>
      <w:r>
        <w:t>可以不提供相应的应急预案</w:t>
      </w:r>
      <w:r>
        <w:rPr>
          <w:rFonts w:hint="eastAsia" w:ascii="MS UI Gothic" w:eastAsia="MS UI Gothic"/>
          <w:w w:val="80"/>
        </w:rPr>
        <w:t xml:space="preserve">ꎬ </w:t>
      </w:r>
      <w:r>
        <w:t>仅提供应急预案备案登记表</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第二十九条 各级人民政府负有安全</w:t>
      </w:r>
      <w:r>
        <w:t>生产监督管理职责的部门应当建立应急预</w:t>
      </w:r>
      <w:r>
        <w:rPr>
          <w:w w:val="105"/>
        </w:rPr>
        <w:t>案备案登记建档制度</w:t>
      </w:r>
      <w:r>
        <w:rPr>
          <w:rFonts w:hint="eastAsia" w:ascii="MS UI Gothic" w:eastAsia="MS UI Gothic"/>
          <w:w w:val="80"/>
        </w:rPr>
        <w:t xml:space="preserve">ꎬ </w:t>
      </w:r>
      <w:r>
        <w:rPr>
          <w:w w:val="105"/>
        </w:rPr>
        <w:t>指导</w:t>
      </w:r>
      <w:r>
        <w:rPr>
          <w:rFonts w:hint="eastAsia" w:ascii="MS UI Gothic" w:eastAsia="MS UI Gothic"/>
          <w:w w:val="80"/>
        </w:rPr>
        <w:t xml:space="preserve">、 </w:t>
      </w:r>
      <w:r>
        <w:rPr>
          <w:w w:val="105"/>
        </w:rPr>
        <w:t>督促生产经营单位做好应急预案的备案登记工作</w:t>
      </w:r>
      <w:r>
        <w:rPr>
          <w:rFonts w:hint="eastAsia" w:ascii="MS UI Gothic" w:eastAsia="MS UI Gothic"/>
          <w:w w:val="80"/>
        </w:rPr>
        <w:t>ꎮ</w:t>
      </w:r>
    </w:p>
    <w:p>
      <w:pPr>
        <w:pStyle w:val="6"/>
        <w:tabs>
          <w:tab w:val="left" w:pos="1953"/>
        </w:tabs>
        <w:spacing w:before="152"/>
        <w:ind w:left="1114" w:firstLine="0"/>
        <w:jc w:val="left"/>
      </w:pPr>
      <w:r>
        <w:rPr>
          <w:spacing w:val="3"/>
          <w:w w:val="105"/>
        </w:rPr>
        <w:t>第四</w:t>
      </w:r>
      <w:r>
        <w:rPr>
          <w:w w:val="105"/>
        </w:rPr>
        <w:t>章</w:t>
      </w:r>
      <w:r>
        <w:rPr>
          <w:w w:val="105"/>
        </w:rPr>
        <w:tab/>
      </w:r>
      <w:r>
        <w:rPr>
          <w:spacing w:val="3"/>
          <w:w w:val="105"/>
        </w:rPr>
        <w:t>应急预案的实</w:t>
      </w:r>
      <w:r>
        <w:rPr>
          <w:w w:val="105"/>
        </w:rPr>
        <w:t>施</w:t>
      </w:r>
    </w:p>
    <w:p>
      <w:pPr>
        <w:pStyle w:val="6"/>
        <w:spacing w:before="215" w:line="295" w:lineRule="auto"/>
        <w:ind w:left="381" w:right="126"/>
        <w:rPr>
          <w:rFonts w:hint="eastAsia" w:ascii="MS UI Gothic" w:eastAsia="MS UI Gothic"/>
        </w:rPr>
      </w:pPr>
      <w:r>
        <w:rPr>
          <w:spacing w:val="2"/>
          <w:w w:val="105"/>
        </w:rPr>
        <w:t>第三十条 各级人民政府应急管理部</w:t>
      </w:r>
      <w:r>
        <w:rPr>
          <w:spacing w:val="3"/>
          <w:w w:val="105"/>
        </w:rPr>
        <w:t>门</w:t>
      </w:r>
      <w:r>
        <w:rPr>
          <w:rFonts w:hint="eastAsia" w:ascii="MS UI Gothic" w:eastAsia="MS UI Gothic"/>
          <w:spacing w:val="-2"/>
          <w:w w:val="80"/>
        </w:rPr>
        <w:t xml:space="preserve">、 </w:t>
      </w:r>
      <w:r>
        <w:rPr>
          <w:spacing w:val="2"/>
          <w:w w:val="105"/>
        </w:rPr>
        <w:t>各类生产经营单位应当采取多种形式</w:t>
      </w:r>
      <w:r>
        <w:rPr>
          <w:spacing w:val="3"/>
        </w:rPr>
        <w:t>开展应急预案的宣传教育</w:t>
      </w:r>
      <w:r>
        <w:rPr>
          <w:rFonts w:hint="eastAsia" w:ascii="MS UI Gothic" w:eastAsia="MS UI Gothic"/>
          <w:spacing w:val="20"/>
          <w:w w:val="80"/>
        </w:rPr>
        <w:t xml:space="preserve">ꎬ </w:t>
      </w:r>
      <w:r>
        <w:rPr>
          <w:spacing w:val="2"/>
        </w:rPr>
        <w:t>普及生产安全</w:t>
      </w:r>
      <w:r>
        <w:rPr>
          <w:spacing w:val="3"/>
          <w:w w:val="105"/>
        </w:rPr>
        <w:t>事故避险</w:t>
      </w:r>
      <w:r>
        <w:rPr>
          <w:rFonts w:hint="eastAsia" w:ascii="MS UI Gothic" w:eastAsia="MS UI Gothic"/>
          <w:spacing w:val="-1"/>
          <w:w w:val="80"/>
        </w:rPr>
        <w:t xml:space="preserve">、 </w:t>
      </w:r>
      <w:r>
        <w:rPr>
          <w:spacing w:val="3"/>
          <w:w w:val="105"/>
        </w:rPr>
        <w:t>自救和互救知识</w:t>
      </w:r>
      <w:r>
        <w:rPr>
          <w:rFonts w:hint="eastAsia" w:ascii="MS UI Gothic" w:eastAsia="MS UI Gothic"/>
          <w:w w:val="80"/>
        </w:rPr>
        <w:t xml:space="preserve">ꎬ </w:t>
      </w:r>
      <w:r>
        <w:rPr>
          <w:spacing w:val="2"/>
          <w:w w:val="105"/>
        </w:rPr>
        <w:t>提高从业人</w:t>
      </w:r>
      <w:r>
        <w:rPr>
          <w:spacing w:val="24"/>
        </w:rPr>
        <w:t>员和社会公众的安全意识与应急处置</w:t>
      </w:r>
      <w:r>
        <w:rPr>
          <w:spacing w:val="3"/>
          <w:w w:val="105"/>
        </w:rPr>
        <w:t>技能</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第三十一条 各级人民政府应急管理</w:t>
      </w:r>
      <w:r>
        <w:rPr>
          <w:spacing w:val="2"/>
        </w:rPr>
        <w:t>部门应当将本部门应急预案的培训纳入安</w:t>
      </w:r>
      <w:r>
        <w:rPr>
          <w:spacing w:val="3"/>
        </w:rPr>
        <w:t>全生产培训工作计划</w:t>
      </w:r>
      <w:r>
        <w:rPr>
          <w:rFonts w:hint="eastAsia" w:ascii="MS UI Gothic" w:eastAsia="MS UI Gothic"/>
          <w:spacing w:val="20"/>
          <w:w w:val="80"/>
        </w:rPr>
        <w:t xml:space="preserve">ꎬ </w:t>
      </w:r>
      <w:r>
        <w:rPr>
          <w:spacing w:val="2"/>
        </w:rPr>
        <w:t>并组织实施本行政区域内重点生产经营单位的应急预案培训</w:t>
      </w:r>
      <w:r>
        <w:rPr>
          <w:spacing w:val="3"/>
        </w:rPr>
        <w:t>工作</w:t>
      </w:r>
      <w:r>
        <w:rPr>
          <w:rFonts w:hint="eastAsia" w:ascii="MS UI Gothic" w:eastAsia="MS UI Gothic"/>
          <w:spacing w:val="20"/>
          <w:w w:val="80"/>
        </w:rPr>
        <w:t xml:space="preserve">ꎮ </w:t>
      </w:r>
      <w:r>
        <w:rPr>
          <w:spacing w:val="2"/>
        </w:rPr>
        <w:t>生产经营单位应当组织开展本单位</w:t>
      </w:r>
      <w:r>
        <w:rPr>
          <w:spacing w:val="3"/>
          <w:w w:val="105"/>
        </w:rPr>
        <w:t>的应急预案</w:t>
      </w:r>
      <w:r>
        <w:rPr>
          <w:rFonts w:hint="eastAsia" w:ascii="MS UI Gothic" w:eastAsia="MS UI Gothic"/>
          <w:spacing w:val="11"/>
          <w:w w:val="80"/>
        </w:rPr>
        <w:t xml:space="preserve">、 </w:t>
      </w:r>
      <w:r>
        <w:rPr>
          <w:spacing w:val="3"/>
          <w:w w:val="105"/>
        </w:rPr>
        <w:t>应急知识</w:t>
      </w:r>
      <w:r>
        <w:rPr>
          <w:rFonts w:hint="eastAsia" w:ascii="MS UI Gothic" w:eastAsia="MS UI Gothic"/>
          <w:spacing w:val="12"/>
          <w:w w:val="80"/>
        </w:rPr>
        <w:t xml:space="preserve">、 </w:t>
      </w:r>
      <w:r>
        <w:rPr>
          <w:spacing w:val="2"/>
          <w:w w:val="105"/>
        </w:rPr>
        <w:t>自救互救和避险</w:t>
      </w:r>
      <w:r>
        <w:rPr>
          <w:spacing w:val="3"/>
        </w:rPr>
        <w:t>逃生技能的培训活动</w:t>
      </w:r>
      <w:r>
        <w:rPr>
          <w:rFonts w:hint="eastAsia" w:ascii="MS UI Gothic" w:eastAsia="MS UI Gothic"/>
          <w:spacing w:val="20"/>
          <w:w w:val="80"/>
        </w:rPr>
        <w:t xml:space="preserve">ꎬ </w:t>
      </w:r>
      <w:r>
        <w:rPr>
          <w:spacing w:val="2"/>
        </w:rPr>
        <w:t>使有关人员了解应</w:t>
      </w:r>
      <w:r>
        <w:rPr>
          <w:spacing w:val="3"/>
          <w:w w:val="105"/>
        </w:rPr>
        <w:t>急预案内容</w:t>
      </w:r>
      <w:r>
        <w:rPr>
          <w:rFonts w:hint="eastAsia" w:ascii="MS UI Gothic" w:eastAsia="MS UI Gothic"/>
          <w:spacing w:val="-1"/>
          <w:w w:val="80"/>
        </w:rPr>
        <w:t xml:space="preserve">ꎬ </w:t>
      </w:r>
      <w:r>
        <w:rPr>
          <w:spacing w:val="3"/>
          <w:w w:val="105"/>
        </w:rPr>
        <w:t>熟悉应急职责</w:t>
      </w:r>
      <w:r>
        <w:rPr>
          <w:rFonts w:hint="eastAsia" w:ascii="MS UI Gothic" w:eastAsia="MS UI Gothic"/>
          <w:w w:val="80"/>
        </w:rPr>
        <w:t xml:space="preserve">、 </w:t>
      </w:r>
      <w:r>
        <w:rPr>
          <w:spacing w:val="2"/>
          <w:w w:val="105"/>
        </w:rPr>
        <w:t>应急处置程</w:t>
      </w:r>
      <w:r>
        <w:rPr>
          <w:spacing w:val="10"/>
          <w:w w:val="105"/>
        </w:rPr>
        <w:t>序和措施</w:t>
      </w:r>
      <w:r>
        <w:rPr>
          <w:rFonts w:hint="eastAsia" w:ascii="MS UI Gothic" w:eastAsia="MS UI Gothic"/>
          <w:spacing w:val="15"/>
          <w:w w:val="80"/>
        </w:rPr>
        <w:t xml:space="preserve">ꎮ </w:t>
      </w:r>
      <w:r>
        <w:rPr>
          <w:spacing w:val="20"/>
          <w:w w:val="105"/>
        </w:rPr>
        <w:t>应急培训的时间</w:t>
      </w:r>
      <w:r>
        <w:rPr>
          <w:rFonts w:hint="eastAsia" w:ascii="MS UI Gothic" w:eastAsia="MS UI Gothic"/>
          <w:spacing w:val="16"/>
          <w:w w:val="80"/>
        </w:rPr>
        <w:t xml:space="preserve">、 </w:t>
      </w:r>
      <w:r>
        <w:rPr>
          <w:spacing w:val="14"/>
          <w:w w:val="105"/>
        </w:rPr>
        <w:t>地点</w:t>
      </w:r>
      <w:r>
        <w:rPr>
          <w:rFonts w:hint="eastAsia" w:ascii="MS UI Gothic" w:eastAsia="MS UI Gothic"/>
          <w:spacing w:val="16"/>
          <w:w w:val="80"/>
        </w:rPr>
        <w:t xml:space="preserve">、 </w:t>
      </w:r>
      <w:r>
        <w:rPr>
          <w:w w:val="105"/>
        </w:rPr>
        <w:t>内</w:t>
      </w:r>
      <w:r>
        <w:rPr>
          <w:spacing w:val="3"/>
          <w:w w:val="105"/>
        </w:rPr>
        <w:t>容</w:t>
      </w:r>
      <w:r>
        <w:rPr>
          <w:rFonts w:hint="eastAsia" w:ascii="MS UI Gothic" w:eastAsia="MS UI Gothic"/>
          <w:spacing w:val="11"/>
          <w:w w:val="80"/>
        </w:rPr>
        <w:t xml:space="preserve">、 </w:t>
      </w:r>
      <w:r>
        <w:rPr>
          <w:spacing w:val="3"/>
          <w:w w:val="105"/>
        </w:rPr>
        <w:t>师资</w:t>
      </w:r>
      <w:r>
        <w:rPr>
          <w:rFonts w:hint="eastAsia" w:ascii="MS UI Gothic" w:eastAsia="MS UI Gothic"/>
          <w:spacing w:val="12"/>
          <w:w w:val="80"/>
        </w:rPr>
        <w:t xml:space="preserve">、 </w:t>
      </w:r>
      <w:r>
        <w:rPr>
          <w:spacing w:val="2"/>
          <w:w w:val="105"/>
        </w:rPr>
        <w:t>参加人员和考核结果等情况应</w:t>
      </w:r>
      <w:r>
        <w:rPr>
          <w:spacing w:val="2"/>
        </w:rPr>
        <w:t>当如实记入本单位的安全生产教育和培训</w:t>
      </w:r>
      <w:r>
        <w:rPr>
          <w:spacing w:val="3"/>
          <w:w w:val="105"/>
        </w:rPr>
        <w:t>档案</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第三十二条 各级人民政府应急管理</w:t>
      </w:r>
      <w:r>
        <w:t>部门应当至少每两年组织一次应急预案演</w:t>
      </w:r>
      <w:r>
        <w:rPr>
          <w:w w:val="105"/>
        </w:rPr>
        <w:t>练</w:t>
      </w:r>
      <w:r>
        <w:rPr>
          <w:rFonts w:hint="eastAsia" w:ascii="MS UI Gothic" w:eastAsia="MS UI Gothic"/>
          <w:w w:val="80"/>
        </w:rPr>
        <w:t xml:space="preserve">ꎬ </w:t>
      </w:r>
      <w:r>
        <w:rPr>
          <w:w w:val="105"/>
        </w:rPr>
        <w:t>提高本部门</w:t>
      </w:r>
      <w:r>
        <w:rPr>
          <w:rFonts w:hint="eastAsia" w:ascii="MS UI Gothic" w:eastAsia="MS UI Gothic"/>
          <w:w w:val="80"/>
        </w:rPr>
        <w:t xml:space="preserve">、 </w:t>
      </w:r>
      <w:r>
        <w:rPr>
          <w:w w:val="105"/>
        </w:rPr>
        <w:t>本地区生产安全事故应急处置能力</w:t>
      </w:r>
      <w:r>
        <w:rPr>
          <w:rFonts w:hint="eastAsia" w:ascii="MS UI Gothic" w:eastAsia="MS UI Gothic"/>
          <w:w w:val="80"/>
        </w:rPr>
        <w:t>ꎮ</w:t>
      </w:r>
    </w:p>
    <w:p>
      <w:pPr>
        <w:pStyle w:val="6"/>
        <w:spacing w:line="295" w:lineRule="auto"/>
        <w:ind w:left="381" w:right="126"/>
      </w:pPr>
      <w:r>
        <w:t>第三十三条 生产经营单位应当制定本单位的应急预案演练计划</w:t>
      </w:r>
      <w:r>
        <w:rPr>
          <w:rFonts w:hint="eastAsia" w:ascii="MS UI Gothic" w:eastAsia="MS UI Gothic"/>
          <w:w w:val="80"/>
        </w:rPr>
        <w:t xml:space="preserve">ꎬ </w:t>
      </w:r>
      <w:r>
        <w:t>根据本单位的事故风险特点</w:t>
      </w:r>
      <w:r>
        <w:rPr>
          <w:rFonts w:hint="eastAsia" w:ascii="MS UI Gothic" w:eastAsia="MS UI Gothic"/>
          <w:w w:val="80"/>
        </w:rPr>
        <w:t xml:space="preserve">ꎬ </w:t>
      </w:r>
      <w:r>
        <w:t>每年至少组织一次综合应急预案演练或者专项应急预案演练</w:t>
      </w:r>
      <w:r>
        <w:rPr>
          <w:rFonts w:hint="eastAsia" w:ascii="MS UI Gothic" w:eastAsia="MS UI Gothic"/>
          <w:w w:val="80"/>
        </w:rPr>
        <w:t xml:space="preserve">ꎬ </w:t>
      </w:r>
      <w:r>
        <w:t>每半年至少组织一次现场处置方案演练</w:t>
      </w:r>
      <w:r>
        <w:rPr>
          <w:rFonts w:hint="eastAsia" w:ascii="MS UI Gothic" w:eastAsia="MS UI Gothic"/>
          <w:w w:val="80"/>
        </w:rPr>
        <w:t xml:space="preserve">ꎮ </w:t>
      </w:r>
      <w:r>
        <w:t>易燃易爆物品</w:t>
      </w:r>
      <w:r>
        <w:rPr>
          <w:rFonts w:hint="eastAsia" w:ascii="MS UI Gothic" w:eastAsia="MS UI Gothic"/>
          <w:w w:val="80"/>
        </w:rPr>
        <w:t xml:space="preserve">、 </w:t>
      </w:r>
      <w:r>
        <w:t>危险化学品等危险物品的生产</w:t>
      </w:r>
      <w:r>
        <w:rPr>
          <w:rFonts w:hint="eastAsia" w:ascii="MS UI Gothic" w:eastAsia="MS UI Gothic"/>
          <w:w w:val="80"/>
        </w:rPr>
        <w:t xml:space="preserve">、 </w:t>
      </w:r>
      <w:r>
        <w:t>经营</w:t>
      </w:r>
      <w:r>
        <w:rPr>
          <w:rFonts w:hint="eastAsia" w:ascii="MS UI Gothic" w:eastAsia="MS UI Gothic"/>
          <w:w w:val="80"/>
        </w:rPr>
        <w:t xml:space="preserve">、 </w:t>
      </w:r>
      <w:r>
        <w:t>储存</w:t>
      </w:r>
      <w:r>
        <w:rPr>
          <w:rFonts w:hint="eastAsia" w:ascii="MS UI Gothic" w:eastAsia="MS UI Gothic"/>
          <w:w w:val="80"/>
        </w:rPr>
        <w:t xml:space="preserve">、 </w:t>
      </w:r>
      <w:r>
        <w:t>运输单位</w:t>
      </w:r>
      <w:r>
        <w:rPr>
          <w:rFonts w:hint="eastAsia" w:ascii="MS UI Gothic" w:eastAsia="MS UI Gothic"/>
          <w:w w:val="80"/>
        </w:rPr>
        <w:t xml:space="preserve">ꎬ  </w:t>
      </w:r>
      <w:r>
        <w:t>矿山</w:t>
      </w:r>
      <w:r>
        <w:rPr>
          <w:rFonts w:hint="eastAsia" w:ascii="MS UI Gothic" w:eastAsia="MS UI Gothic"/>
          <w:w w:val="80"/>
        </w:rPr>
        <w:t xml:space="preserve">、  </w:t>
      </w:r>
      <w:r>
        <w:t>金属冶炼</w:t>
      </w:r>
      <w:r>
        <w:rPr>
          <w:rFonts w:hint="eastAsia" w:ascii="MS UI Gothic" w:eastAsia="MS UI Gothic"/>
          <w:w w:val="80"/>
        </w:rPr>
        <w:t xml:space="preserve">、 </w:t>
      </w:r>
      <w:r>
        <w:t>城市轨道交通运营</w:t>
      </w:r>
      <w:r>
        <w:rPr>
          <w:rFonts w:hint="eastAsia" w:ascii="MS UI Gothic" w:eastAsia="MS UI Gothic"/>
          <w:w w:val="80"/>
        </w:rPr>
        <w:t xml:space="preserve">、 </w:t>
      </w:r>
      <w:r>
        <w:t>建筑施工单</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９４</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31" o:spid="_x0000_s1331" o:spt="203" style="height:2.15pt;width:398.25pt;" coordsize="7965,43">
            <o:lock v:ext="edit"/>
            <v:line id="_x0000_s1332" o:spid="_x0000_s1332" o:spt="20" style="position:absolute;left:0;top:39;height:0;width:7965;" stroked="t" coordsize="21600,21600">
              <v:path arrowok="t"/>
              <v:fill focussize="0,0"/>
              <v:stroke weight="0.388031496062992pt" color="#231F20"/>
              <v:imagedata o:title=""/>
              <o:lock v:ext="edit"/>
            </v:line>
            <v:line id="_x0000_s1333" o:spid="_x0000_s13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w w:val="105"/>
        </w:rPr>
        <w:t>位</w:t>
      </w:r>
      <w:r>
        <w:rPr>
          <w:rFonts w:hint="eastAsia" w:ascii="MS UI Gothic" w:eastAsia="MS UI Gothic"/>
          <w:w w:val="80"/>
        </w:rPr>
        <w:t xml:space="preserve">ꎬ </w:t>
      </w:r>
      <w:r>
        <w:rPr>
          <w:w w:val="105"/>
        </w:rPr>
        <w:t>以及宾馆</w:t>
      </w:r>
      <w:r>
        <w:rPr>
          <w:rFonts w:hint="eastAsia" w:ascii="MS UI Gothic" w:eastAsia="MS UI Gothic"/>
          <w:w w:val="80"/>
        </w:rPr>
        <w:t xml:space="preserve">、 </w:t>
      </w:r>
      <w:r>
        <w:rPr>
          <w:w w:val="105"/>
        </w:rPr>
        <w:t>商场</w:t>
      </w:r>
      <w:r>
        <w:rPr>
          <w:rFonts w:hint="eastAsia" w:ascii="MS UI Gothic" w:eastAsia="MS UI Gothic"/>
          <w:w w:val="80"/>
        </w:rPr>
        <w:t xml:space="preserve">、 </w:t>
      </w:r>
      <w:r>
        <w:rPr>
          <w:w w:val="105"/>
        </w:rPr>
        <w:t>娱乐场所</w:t>
      </w:r>
      <w:r>
        <w:rPr>
          <w:rFonts w:hint="eastAsia" w:ascii="MS UI Gothic" w:eastAsia="MS UI Gothic"/>
          <w:w w:val="80"/>
        </w:rPr>
        <w:t xml:space="preserve">、 </w:t>
      </w:r>
      <w:r>
        <w:rPr>
          <w:w w:val="105"/>
        </w:rPr>
        <w:t>旅游景</w:t>
      </w:r>
      <w:r>
        <w:t>区等人员密集场所经营单位</w:t>
      </w:r>
      <w:r>
        <w:rPr>
          <w:rFonts w:hint="eastAsia" w:ascii="MS UI Gothic" w:eastAsia="MS UI Gothic"/>
          <w:w w:val="80"/>
        </w:rPr>
        <w:t xml:space="preserve">ꎬ </w:t>
      </w:r>
      <w:r>
        <w:t>应当至少每半年组织一次生产安全事故应急预案演练</w:t>
      </w:r>
      <w:r>
        <w:rPr>
          <w:rFonts w:hint="eastAsia" w:ascii="MS UI Gothic" w:eastAsia="MS UI Gothic"/>
          <w:w w:val="80"/>
        </w:rPr>
        <w:t xml:space="preserve">ꎬ </w:t>
      </w:r>
      <w:r>
        <w:t>并将演练情况报送所在地县级以上地方人民政府负有安全生产监督管理职责的部门</w:t>
      </w:r>
      <w:r>
        <w:rPr>
          <w:rFonts w:hint="eastAsia" w:ascii="MS UI Gothic" w:eastAsia="MS UI Gothic"/>
          <w:w w:val="80"/>
        </w:rPr>
        <w:t xml:space="preserve">ꎮ </w:t>
      </w:r>
      <w:r>
        <w:t>县级以上地方人民政府负有安全生产监督管理职责的部门应当对本行政区域内前款规定的重点生产经营单位的生产安全事故应急救援预案演练进行抽查</w:t>
      </w:r>
      <w:r>
        <w:rPr>
          <w:rFonts w:hint="eastAsia" w:ascii="MS UI Gothic" w:eastAsia="MS UI Gothic"/>
          <w:w w:val="80"/>
        </w:rPr>
        <w:t xml:space="preserve">ꎻ </w:t>
      </w:r>
      <w:r>
        <w:t>发现演练不符合要求的</w:t>
      </w:r>
      <w:r>
        <w:rPr>
          <w:rFonts w:hint="eastAsia" w:ascii="MS UI Gothic" w:eastAsia="MS UI Gothic"/>
          <w:w w:val="80"/>
        </w:rPr>
        <w:t xml:space="preserve">ꎬ </w:t>
      </w:r>
      <w:r>
        <w:t>应当责令限期改正</w:t>
      </w:r>
      <w:r>
        <w:rPr>
          <w:rFonts w:hint="eastAsia" w:ascii="MS UI Gothic" w:eastAsia="MS UI Gothic"/>
          <w:w w:val="80"/>
        </w:rPr>
        <w:t>ꎮ</w:t>
      </w:r>
    </w:p>
    <w:p>
      <w:pPr>
        <w:pStyle w:val="6"/>
        <w:spacing w:line="295" w:lineRule="auto"/>
        <w:ind w:right="38"/>
        <w:rPr>
          <w:rFonts w:hint="eastAsia" w:ascii="MS UI Gothic" w:eastAsia="MS UI Gothic"/>
        </w:rPr>
      </w:pPr>
      <w:r>
        <w:rPr>
          <w:spacing w:val="10"/>
        </w:rPr>
        <w:t>第三十四条 应急预案演练结束后</w:t>
      </w:r>
      <w:r>
        <w:rPr>
          <w:rFonts w:hint="eastAsia" w:ascii="MS UI Gothic" w:eastAsia="MS UI Gothic"/>
          <w:w w:val="80"/>
        </w:rPr>
        <w:t>ꎬ</w:t>
      </w:r>
      <w:r>
        <w:rPr>
          <w:spacing w:val="2"/>
        </w:rPr>
        <w:t>应急预案演练组织单位应当对应急预案演</w:t>
      </w:r>
      <w:r>
        <w:rPr>
          <w:spacing w:val="3"/>
        </w:rPr>
        <w:t>练效果进行评估</w:t>
      </w:r>
      <w:r>
        <w:rPr>
          <w:rFonts w:hint="eastAsia" w:ascii="MS UI Gothic" w:eastAsia="MS UI Gothic"/>
          <w:spacing w:val="21"/>
          <w:w w:val="80"/>
        </w:rPr>
        <w:t xml:space="preserve">ꎬ </w:t>
      </w:r>
      <w:r>
        <w:rPr>
          <w:spacing w:val="2"/>
        </w:rPr>
        <w:t>撰写应急预案演练评估</w:t>
      </w:r>
      <w:r>
        <w:rPr>
          <w:spacing w:val="3"/>
        </w:rPr>
        <w:t>报告</w:t>
      </w:r>
      <w:r>
        <w:rPr>
          <w:rFonts w:hint="eastAsia" w:ascii="MS UI Gothic" w:eastAsia="MS UI Gothic"/>
          <w:spacing w:val="23"/>
          <w:w w:val="80"/>
        </w:rPr>
        <w:t xml:space="preserve">ꎬ </w:t>
      </w:r>
      <w:r>
        <w:rPr>
          <w:spacing w:val="3"/>
        </w:rPr>
        <w:t>分析存在的问题</w:t>
      </w:r>
      <w:r>
        <w:rPr>
          <w:rFonts w:hint="eastAsia" w:ascii="MS UI Gothic" w:eastAsia="MS UI Gothic"/>
          <w:spacing w:val="23"/>
          <w:w w:val="80"/>
        </w:rPr>
        <w:t xml:space="preserve">ꎬ </w:t>
      </w:r>
      <w:r>
        <w:rPr>
          <w:spacing w:val="2"/>
        </w:rPr>
        <w:t>并对应急预案提</w:t>
      </w:r>
      <w:r>
        <w:rPr>
          <w:spacing w:val="3"/>
        </w:rPr>
        <w:t>出修订意见</w:t>
      </w:r>
      <w:r>
        <w:rPr>
          <w:rFonts w:hint="eastAsia" w:ascii="MS UI Gothic" w:eastAsia="MS UI Gothic"/>
          <w:w w:val="80"/>
        </w:rPr>
        <w:t>ꎮ</w:t>
      </w:r>
    </w:p>
    <w:p>
      <w:pPr>
        <w:pStyle w:val="6"/>
        <w:spacing w:line="295" w:lineRule="auto"/>
        <w:ind w:right="38"/>
        <w:rPr>
          <w:rFonts w:hint="eastAsia" w:ascii="MS UI Gothic" w:eastAsia="MS UI Gothic"/>
        </w:rPr>
      </w:pPr>
      <w:r>
        <w:rPr>
          <w:spacing w:val="4"/>
        </w:rPr>
        <w:t>第三十五条 应急预案编制单位应当</w:t>
      </w:r>
      <w:r>
        <w:rPr>
          <w:spacing w:val="3"/>
        </w:rPr>
        <w:t>建立应急预案定期评估制度</w:t>
      </w:r>
      <w:r>
        <w:rPr>
          <w:rFonts w:hint="eastAsia" w:ascii="MS UI Gothic" w:eastAsia="MS UI Gothic"/>
          <w:spacing w:val="21"/>
          <w:w w:val="80"/>
        </w:rPr>
        <w:t xml:space="preserve">ꎬ </w:t>
      </w:r>
      <w:r>
        <w:rPr>
          <w:spacing w:val="2"/>
        </w:rPr>
        <w:t>对预案内容</w:t>
      </w:r>
      <w:r>
        <w:rPr>
          <w:spacing w:val="3"/>
        </w:rPr>
        <w:t>的针对性和实用性进行分析</w:t>
      </w:r>
      <w:r>
        <w:rPr>
          <w:rFonts w:hint="eastAsia" w:ascii="MS UI Gothic" w:eastAsia="MS UI Gothic"/>
          <w:spacing w:val="21"/>
          <w:w w:val="80"/>
        </w:rPr>
        <w:t xml:space="preserve">ꎬ </w:t>
      </w:r>
      <w:r>
        <w:rPr>
          <w:spacing w:val="2"/>
        </w:rPr>
        <w:t>并对应急预</w:t>
      </w:r>
      <w:r>
        <w:rPr>
          <w:spacing w:val="3"/>
        </w:rPr>
        <w:t>案是否需要修订作出结论</w:t>
      </w:r>
      <w:r>
        <w:rPr>
          <w:rFonts w:hint="eastAsia" w:ascii="MS UI Gothic" w:eastAsia="MS UI Gothic"/>
          <w:spacing w:val="11"/>
          <w:w w:val="80"/>
        </w:rPr>
        <w:t xml:space="preserve">ꎮ </w:t>
      </w:r>
      <w:r>
        <w:rPr>
          <w:spacing w:val="3"/>
        </w:rPr>
        <w:t>矿山</w:t>
      </w:r>
      <w:r>
        <w:rPr>
          <w:rFonts w:hint="eastAsia" w:ascii="MS UI Gothic" w:eastAsia="MS UI Gothic"/>
          <w:spacing w:val="11"/>
          <w:w w:val="80"/>
        </w:rPr>
        <w:t xml:space="preserve">、 </w:t>
      </w:r>
      <w:r>
        <w:rPr>
          <w:spacing w:val="2"/>
        </w:rPr>
        <w:t>金属冶</w:t>
      </w:r>
      <w:r>
        <w:rPr>
          <w:spacing w:val="3"/>
        </w:rPr>
        <w:t>炼</w:t>
      </w:r>
      <w:r>
        <w:rPr>
          <w:rFonts w:hint="eastAsia" w:ascii="MS UI Gothic" w:eastAsia="MS UI Gothic"/>
          <w:spacing w:val="23"/>
          <w:w w:val="80"/>
        </w:rPr>
        <w:t xml:space="preserve">、 </w:t>
      </w:r>
      <w:r>
        <w:rPr>
          <w:spacing w:val="3"/>
        </w:rPr>
        <w:t>建筑施工企业和易燃易爆物品</w:t>
      </w:r>
      <w:r>
        <w:rPr>
          <w:rFonts w:hint="eastAsia" w:ascii="MS UI Gothic" w:eastAsia="MS UI Gothic"/>
          <w:spacing w:val="23"/>
          <w:w w:val="80"/>
        </w:rPr>
        <w:t xml:space="preserve">、 </w:t>
      </w:r>
      <w:r>
        <w:rPr>
          <w:spacing w:val="1"/>
        </w:rPr>
        <w:t>危险</w:t>
      </w:r>
      <w:r>
        <w:rPr>
          <w:spacing w:val="6"/>
        </w:rPr>
        <w:t>化学品等危险物品的生产</w:t>
      </w:r>
      <w:r>
        <w:rPr>
          <w:rFonts w:hint="eastAsia" w:ascii="MS UI Gothic" w:eastAsia="MS UI Gothic"/>
          <w:spacing w:val="1"/>
          <w:w w:val="80"/>
        </w:rPr>
        <w:t xml:space="preserve">、 </w:t>
      </w:r>
      <w:r>
        <w:rPr>
          <w:spacing w:val="9"/>
        </w:rPr>
        <w:t>经营</w:t>
      </w:r>
      <w:r>
        <w:rPr>
          <w:rFonts w:hint="eastAsia" w:ascii="MS UI Gothic" w:eastAsia="MS UI Gothic"/>
          <w:spacing w:val="1"/>
          <w:w w:val="80"/>
        </w:rPr>
        <w:t xml:space="preserve">、  </w:t>
      </w:r>
      <w:r>
        <w:rPr>
          <w:spacing w:val="9"/>
        </w:rPr>
        <w:t>储存</w:t>
      </w:r>
      <w:r>
        <w:rPr>
          <w:rFonts w:hint="eastAsia" w:ascii="MS UI Gothic" w:eastAsia="MS UI Gothic"/>
          <w:w w:val="80"/>
        </w:rPr>
        <w:t>、</w:t>
      </w:r>
      <w:r>
        <w:rPr>
          <w:spacing w:val="3"/>
        </w:rPr>
        <w:t>运输企业</w:t>
      </w:r>
      <w:r>
        <w:rPr>
          <w:rFonts w:hint="eastAsia" w:ascii="MS UI Gothic" w:eastAsia="MS UI Gothic"/>
          <w:spacing w:val="19"/>
          <w:w w:val="80"/>
        </w:rPr>
        <w:t xml:space="preserve">、 </w:t>
      </w:r>
      <w:r>
        <w:rPr>
          <w:spacing w:val="2"/>
        </w:rPr>
        <w:t>使用危险化学品达到国家规定</w:t>
      </w:r>
      <w:r>
        <w:rPr>
          <w:spacing w:val="3"/>
        </w:rPr>
        <w:t>数量的化工企业</w:t>
      </w:r>
      <w:r>
        <w:rPr>
          <w:rFonts w:hint="eastAsia" w:ascii="MS UI Gothic" w:eastAsia="MS UI Gothic"/>
          <w:spacing w:val="23"/>
          <w:w w:val="80"/>
        </w:rPr>
        <w:t xml:space="preserve">、 </w:t>
      </w:r>
      <w:r>
        <w:rPr>
          <w:spacing w:val="3"/>
        </w:rPr>
        <w:t>烟花爆竹生产</w:t>
      </w:r>
      <w:r>
        <w:rPr>
          <w:rFonts w:hint="eastAsia" w:ascii="MS UI Gothic" w:eastAsia="MS UI Gothic"/>
          <w:spacing w:val="23"/>
          <w:w w:val="80"/>
        </w:rPr>
        <w:t xml:space="preserve">、 </w:t>
      </w:r>
      <w:r>
        <w:rPr>
          <w:spacing w:val="2"/>
        </w:rPr>
        <w:t>批发经营企业和中型规模以上的其他生产经营单</w:t>
      </w:r>
      <w:r>
        <w:rPr>
          <w:spacing w:val="3"/>
        </w:rPr>
        <w:t>位</w:t>
      </w:r>
      <w:r>
        <w:rPr>
          <w:rFonts w:hint="eastAsia" w:ascii="MS UI Gothic" w:eastAsia="MS UI Gothic"/>
          <w:spacing w:val="18"/>
          <w:w w:val="80"/>
        </w:rPr>
        <w:t xml:space="preserve">ꎬ </w:t>
      </w:r>
      <w:r>
        <w:rPr>
          <w:spacing w:val="6"/>
        </w:rPr>
        <w:t>应当每三年进行一次应急预案评估</w:t>
      </w:r>
      <w:r>
        <w:rPr>
          <w:rFonts w:hint="eastAsia" w:ascii="MS UI Gothic" w:eastAsia="MS UI Gothic"/>
          <w:w w:val="80"/>
        </w:rPr>
        <w:t>ꎮ</w:t>
      </w:r>
      <w:r>
        <w:rPr>
          <w:spacing w:val="2"/>
        </w:rPr>
        <w:t>应急预案评估可以邀请相关专业机构或者</w:t>
      </w:r>
      <w:r>
        <w:rPr>
          <w:spacing w:val="3"/>
        </w:rPr>
        <w:t>有关专家</w:t>
      </w:r>
      <w:r>
        <w:rPr>
          <w:rFonts w:hint="eastAsia" w:ascii="MS UI Gothic" w:eastAsia="MS UI Gothic"/>
          <w:spacing w:val="19"/>
          <w:w w:val="80"/>
        </w:rPr>
        <w:t xml:space="preserve">、 </w:t>
      </w:r>
      <w:r>
        <w:rPr>
          <w:spacing w:val="2"/>
        </w:rPr>
        <w:t>有实际应急救援工作经验的人</w:t>
      </w:r>
      <w:r>
        <w:rPr>
          <w:spacing w:val="3"/>
        </w:rPr>
        <w:t>员参加</w:t>
      </w:r>
      <w:r>
        <w:rPr>
          <w:rFonts w:hint="eastAsia" w:ascii="MS UI Gothic" w:eastAsia="MS UI Gothic"/>
          <w:spacing w:val="21"/>
          <w:w w:val="80"/>
        </w:rPr>
        <w:t xml:space="preserve">ꎬ </w:t>
      </w:r>
      <w:r>
        <w:rPr>
          <w:spacing w:val="2"/>
        </w:rPr>
        <w:t>必要时可以委托安全生产技术服</w:t>
      </w:r>
      <w:r>
        <w:rPr>
          <w:spacing w:val="3"/>
        </w:rPr>
        <w:t>务机构实施</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第三十六条 有下列情形之一的</w:t>
      </w:r>
      <w:r>
        <w:rPr>
          <w:rFonts w:hint="eastAsia" w:ascii="MS UI Gothic" w:eastAsia="MS UI Gothic"/>
          <w:w w:val="80"/>
        </w:rPr>
        <w:t xml:space="preserve">ꎬ </w:t>
      </w:r>
      <w:r>
        <w:rPr>
          <w:w w:val="105"/>
        </w:rPr>
        <w:t>应</w:t>
      </w:r>
      <w:r>
        <w:rPr>
          <w:w w:val="110"/>
        </w:rPr>
        <w:t>急预案应当及时修订并归档</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spacing w:val="-36"/>
          <w:w w:val="150"/>
        </w:rPr>
        <w:t xml:space="preserve">( </w:t>
      </w:r>
      <w:r>
        <w:rPr>
          <w:spacing w:val="3"/>
          <w:w w:val="105"/>
        </w:rPr>
        <w:t>一</w:t>
      </w:r>
      <w:r>
        <w:rPr>
          <w:rFonts w:hint="eastAsia" w:ascii="MS UI Gothic" w:eastAsia="MS UI Gothic"/>
          <w:spacing w:val="12"/>
          <w:w w:val="150"/>
        </w:rPr>
        <w:t xml:space="preserve">) </w:t>
      </w:r>
      <w:r>
        <w:rPr>
          <w:spacing w:val="7"/>
          <w:w w:val="105"/>
        </w:rPr>
        <w:t>依据的法律</w:t>
      </w:r>
      <w:r>
        <w:rPr>
          <w:rFonts w:hint="eastAsia" w:ascii="MS UI Gothic" w:eastAsia="MS UI Gothic"/>
          <w:spacing w:val="4"/>
          <w:w w:val="80"/>
        </w:rPr>
        <w:t xml:space="preserve">、 </w:t>
      </w:r>
      <w:r>
        <w:rPr>
          <w:spacing w:val="8"/>
          <w:w w:val="105"/>
        </w:rPr>
        <w:t>法规</w:t>
      </w:r>
      <w:r>
        <w:rPr>
          <w:rFonts w:hint="eastAsia" w:ascii="MS UI Gothic" w:eastAsia="MS UI Gothic"/>
          <w:spacing w:val="4"/>
          <w:w w:val="80"/>
        </w:rPr>
        <w:t xml:space="preserve">、 </w:t>
      </w:r>
      <w:r>
        <w:rPr>
          <w:spacing w:val="8"/>
          <w:w w:val="105"/>
        </w:rPr>
        <w:t>规章</w:t>
      </w:r>
      <w:r>
        <w:rPr>
          <w:rFonts w:hint="eastAsia" w:ascii="MS UI Gothic" w:eastAsia="MS UI Gothic"/>
          <w:spacing w:val="4"/>
          <w:w w:val="80"/>
        </w:rPr>
        <w:t xml:space="preserve">、 </w:t>
      </w:r>
      <w:r>
        <w:rPr>
          <w:w w:val="105"/>
        </w:rPr>
        <w:t>标</w:t>
      </w:r>
      <w:r>
        <w:rPr>
          <w:spacing w:val="11"/>
        </w:rPr>
        <w:t>准及上位预案中的有关规定发生重大变</w:t>
      </w:r>
      <w:r>
        <w:rPr>
          <w:spacing w:val="3"/>
          <w:w w:val="105"/>
        </w:rPr>
        <w:t>化的</w:t>
      </w:r>
      <w:r>
        <w:rPr>
          <w:rFonts w:hint="eastAsia" w:ascii="MS UI Gothic" w:eastAsia="MS UI Gothic"/>
          <w:w w:val="80"/>
        </w:rPr>
        <w:t>ꎻ</w:t>
      </w:r>
    </w:p>
    <w:p>
      <w:pPr>
        <w:pStyle w:val="6"/>
        <w:spacing w:line="295" w:lineRule="auto"/>
        <w:ind w:right="39"/>
        <w:jc w:val="left"/>
        <w:rPr>
          <w:rFonts w:hint="eastAsia" w:ascii="MS UI Gothic" w:eastAsia="MS UI Gothic"/>
        </w:rPr>
      </w:pPr>
      <w:r>
        <w:rPr>
          <w:rFonts w:hint="eastAsia" w:ascii="MS UI Gothic" w:eastAsia="MS UI Gothic"/>
          <w:spacing w:val="-21"/>
          <w:w w:val="105"/>
        </w:rPr>
        <w:t xml:space="preserve">( </w:t>
      </w:r>
      <w:r>
        <w:rPr>
          <w:spacing w:val="3"/>
          <w:w w:val="105"/>
        </w:rPr>
        <w:t>二</w:t>
      </w:r>
      <w:r>
        <w:rPr>
          <w:rFonts w:hint="eastAsia" w:ascii="MS UI Gothic" w:eastAsia="MS UI Gothic"/>
          <w:spacing w:val="6"/>
          <w:w w:val="105"/>
        </w:rPr>
        <w:t xml:space="preserve">) </w:t>
      </w:r>
      <w:r>
        <w:rPr>
          <w:spacing w:val="5"/>
          <w:w w:val="105"/>
        </w:rPr>
        <w:t>应急指挥机构及其职责发生调</w:t>
      </w:r>
      <w:r>
        <w:rPr>
          <w:spacing w:val="3"/>
          <w:w w:val="110"/>
        </w:rPr>
        <w:t>整的</w:t>
      </w:r>
      <w:r>
        <w:rPr>
          <w:rFonts w:hint="eastAsia" w:ascii="MS UI Gothic" w:eastAsia="MS UI Gothic"/>
          <w:w w:val="80"/>
        </w:rPr>
        <w:t>ꎻ</w:t>
      </w:r>
    </w:p>
    <w:p>
      <w:pPr>
        <w:pStyle w:val="6"/>
        <w:spacing w:line="295" w:lineRule="auto"/>
        <w:ind w:right="39"/>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安全生产面临的风险发生重大</w:t>
      </w:r>
      <w:r>
        <w:rPr>
          <w:w w:val="110"/>
        </w:rPr>
        <w:t>变化的</w:t>
      </w:r>
      <w:r>
        <w:rPr>
          <w:rFonts w:hint="eastAsia" w:ascii="MS UI Gothic" w:eastAsia="MS UI Gothic"/>
          <w:w w:val="80"/>
        </w:rPr>
        <w:t>ꎻ</w:t>
      </w:r>
    </w:p>
    <w:p>
      <w:pPr>
        <w:pStyle w:val="6"/>
        <w:spacing w:line="255" w:lineRule="exact"/>
        <w:ind w:left="543" w:firstLine="0"/>
        <w:jc w:val="left"/>
      </w:pPr>
      <w:r>
        <w:rPr>
          <w:rFonts w:hint="eastAsia" w:ascii="MS UI Gothic" w:eastAsia="MS UI Gothic"/>
          <w:spacing w:val="-28"/>
          <w:w w:val="110"/>
        </w:rPr>
        <w:t xml:space="preserve">( </w:t>
      </w:r>
      <w:r>
        <w:rPr>
          <w:spacing w:val="29"/>
          <w:w w:val="110"/>
        </w:rPr>
        <w:t>四</w:t>
      </w:r>
      <w:r>
        <w:rPr>
          <w:rFonts w:hint="eastAsia" w:ascii="MS UI Gothic" w:eastAsia="MS UI Gothic"/>
          <w:spacing w:val="8"/>
          <w:w w:val="110"/>
        </w:rPr>
        <w:t xml:space="preserve">) </w:t>
      </w:r>
      <w:r>
        <w:rPr>
          <w:spacing w:val="41"/>
          <w:w w:val="110"/>
        </w:rPr>
        <w:t>重要应急资源发生重大变</w:t>
      </w:r>
    </w:p>
    <w:p>
      <w:pPr>
        <w:spacing w:before="123"/>
        <w:ind w:left="124" w:right="0" w:firstLine="0"/>
        <w:jc w:val="left"/>
        <w:rPr>
          <w:rFonts w:hint="eastAsia" w:ascii="MS UI Gothic" w:eastAsia="MS UI Gothic"/>
          <w:sz w:val="20"/>
        </w:rPr>
      </w:pPr>
      <w:r>
        <w:br w:type="column"/>
      </w:r>
      <w:r>
        <w:rPr>
          <w:sz w:val="20"/>
        </w:rPr>
        <w:t>化的</w:t>
      </w:r>
      <w:r>
        <w:rPr>
          <w:rFonts w:hint="eastAsia" w:ascii="MS UI Gothic" w:eastAsia="MS UI Gothic"/>
          <w:w w:val="80"/>
          <w:sz w:val="20"/>
        </w:rPr>
        <w:t>ꎻ</w:t>
      </w:r>
    </w:p>
    <w:p>
      <w:pPr>
        <w:pStyle w:val="6"/>
        <w:spacing w:before="58" w:line="295" w:lineRule="auto"/>
        <w:ind w:right="442"/>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在应急演练和事故应急救援中发现需要修订预案的重大问题的</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编制单位认为应当修订的其他</w:t>
      </w:r>
      <w:r>
        <w:rPr>
          <w:w w:val="110"/>
        </w:rPr>
        <w:t>情况</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第三十七条 应急预案修订涉及组织</w:t>
      </w:r>
      <w:r>
        <w:rPr>
          <w:spacing w:val="3"/>
          <w:w w:val="105"/>
        </w:rPr>
        <w:t>指挥体系与职责</w:t>
      </w:r>
      <w:r>
        <w:rPr>
          <w:rFonts w:hint="eastAsia" w:ascii="MS UI Gothic" w:eastAsia="MS UI Gothic"/>
          <w:spacing w:val="11"/>
          <w:w w:val="80"/>
        </w:rPr>
        <w:t xml:space="preserve">、 </w:t>
      </w:r>
      <w:r>
        <w:rPr>
          <w:spacing w:val="3"/>
          <w:w w:val="105"/>
        </w:rPr>
        <w:t>应急处置程序</w:t>
      </w:r>
      <w:r>
        <w:rPr>
          <w:rFonts w:hint="eastAsia" w:ascii="MS UI Gothic" w:eastAsia="MS UI Gothic"/>
          <w:spacing w:val="12"/>
          <w:w w:val="80"/>
        </w:rPr>
        <w:t xml:space="preserve">、 </w:t>
      </w:r>
      <w:r>
        <w:rPr>
          <w:spacing w:val="2"/>
          <w:w w:val="105"/>
        </w:rPr>
        <w:t>主要处</w:t>
      </w:r>
      <w:r>
        <w:rPr>
          <w:spacing w:val="3"/>
          <w:w w:val="105"/>
        </w:rPr>
        <w:t>置措施</w:t>
      </w:r>
      <w:r>
        <w:rPr>
          <w:rFonts w:hint="eastAsia" w:ascii="MS UI Gothic" w:eastAsia="MS UI Gothic"/>
          <w:w w:val="80"/>
        </w:rPr>
        <w:t xml:space="preserve">、 </w:t>
      </w:r>
      <w:r>
        <w:rPr>
          <w:spacing w:val="3"/>
          <w:w w:val="105"/>
        </w:rPr>
        <w:t>应急响应分级等内容变更的</w:t>
      </w:r>
      <w:r>
        <w:rPr>
          <w:rFonts w:hint="eastAsia" w:ascii="MS UI Gothic" w:eastAsia="MS UI Gothic"/>
          <w:w w:val="80"/>
        </w:rPr>
        <w:t xml:space="preserve">ꎬ </w:t>
      </w:r>
      <w:r>
        <w:rPr>
          <w:w w:val="105"/>
        </w:rPr>
        <w:t>修</w:t>
      </w:r>
      <w:r>
        <w:rPr>
          <w:spacing w:val="2"/>
        </w:rPr>
        <w:t>订工作应当参照本办法规定的应急预案编</w:t>
      </w:r>
      <w:r>
        <w:rPr>
          <w:spacing w:val="3"/>
        </w:rPr>
        <w:t>制程序进行</w:t>
      </w:r>
      <w:r>
        <w:rPr>
          <w:rFonts w:hint="eastAsia" w:ascii="MS UI Gothic" w:eastAsia="MS UI Gothic"/>
          <w:spacing w:val="20"/>
          <w:w w:val="80"/>
        </w:rPr>
        <w:t xml:space="preserve">ꎬ </w:t>
      </w:r>
      <w:r>
        <w:rPr>
          <w:spacing w:val="2"/>
        </w:rPr>
        <w:t>并按照有关应急预案报备程</w:t>
      </w:r>
      <w:r>
        <w:rPr>
          <w:spacing w:val="3"/>
          <w:w w:val="105"/>
        </w:rPr>
        <w:t>序重新备案</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第三十八条 生产经营单位应当按照</w:t>
      </w:r>
      <w:r>
        <w:rPr>
          <w:spacing w:val="3"/>
        </w:rPr>
        <w:t>应急预案的规定</w:t>
      </w:r>
      <w:r>
        <w:rPr>
          <w:rFonts w:hint="eastAsia" w:ascii="MS UI Gothic" w:eastAsia="MS UI Gothic"/>
          <w:spacing w:val="11"/>
          <w:w w:val="80"/>
        </w:rPr>
        <w:t xml:space="preserve">ꎬ </w:t>
      </w:r>
      <w:r>
        <w:rPr>
          <w:spacing w:val="3"/>
        </w:rPr>
        <w:t>落实应急指挥体系</w:t>
      </w:r>
      <w:r>
        <w:rPr>
          <w:rFonts w:hint="eastAsia" w:ascii="MS UI Gothic" w:eastAsia="MS UI Gothic"/>
          <w:spacing w:val="11"/>
          <w:w w:val="80"/>
        </w:rPr>
        <w:t xml:space="preserve">、 </w:t>
      </w:r>
      <w:r>
        <w:t>应</w:t>
      </w:r>
      <w:r>
        <w:rPr>
          <w:spacing w:val="3"/>
        </w:rPr>
        <w:t>急救援队伍</w:t>
      </w:r>
      <w:r>
        <w:rPr>
          <w:rFonts w:hint="eastAsia" w:ascii="MS UI Gothic" w:eastAsia="MS UI Gothic"/>
          <w:spacing w:val="11"/>
          <w:w w:val="80"/>
        </w:rPr>
        <w:t xml:space="preserve">、 </w:t>
      </w:r>
      <w:r>
        <w:rPr>
          <w:spacing w:val="3"/>
        </w:rPr>
        <w:t>应急物资及装备</w:t>
      </w:r>
      <w:r>
        <w:rPr>
          <w:rFonts w:hint="eastAsia" w:ascii="MS UI Gothic" w:eastAsia="MS UI Gothic"/>
          <w:spacing w:val="11"/>
          <w:w w:val="80"/>
        </w:rPr>
        <w:t xml:space="preserve">ꎬ </w:t>
      </w:r>
      <w:r>
        <w:rPr>
          <w:spacing w:val="2"/>
        </w:rPr>
        <w:t>建立应急</w:t>
      </w:r>
      <w:r>
        <w:rPr>
          <w:spacing w:val="3"/>
        </w:rPr>
        <w:t>物资</w:t>
      </w:r>
      <w:r>
        <w:rPr>
          <w:rFonts w:hint="eastAsia" w:ascii="MS UI Gothic" w:eastAsia="MS UI Gothic"/>
          <w:spacing w:val="11"/>
          <w:w w:val="80"/>
        </w:rPr>
        <w:t xml:space="preserve">、 </w:t>
      </w:r>
      <w:r>
        <w:rPr>
          <w:spacing w:val="3"/>
        </w:rPr>
        <w:t>装备配备及其使用档案</w:t>
      </w:r>
      <w:r>
        <w:rPr>
          <w:rFonts w:hint="eastAsia" w:ascii="MS UI Gothic" w:eastAsia="MS UI Gothic"/>
          <w:spacing w:val="11"/>
          <w:w w:val="80"/>
        </w:rPr>
        <w:t xml:space="preserve">ꎬ </w:t>
      </w:r>
      <w:r>
        <w:rPr>
          <w:spacing w:val="2"/>
        </w:rPr>
        <w:t>并对应急</w:t>
      </w:r>
      <w:r>
        <w:rPr>
          <w:spacing w:val="3"/>
        </w:rPr>
        <w:t>物资</w:t>
      </w:r>
      <w:r>
        <w:rPr>
          <w:rFonts w:hint="eastAsia" w:ascii="MS UI Gothic" w:eastAsia="MS UI Gothic"/>
          <w:spacing w:val="11"/>
          <w:w w:val="80"/>
        </w:rPr>
        <w:t xml:space="preserve">、 </w:t>
      </w:r>
      <w:r>
        <w:rPr>
          <w:spacing w:val="3"/>
        </w:rPr>
        <w:t>装备进行定期检测和维护</w:t>
      </w:r>
      <w:r>
        <w:rPr>
          <w:rFonts w:hint="eastAsia" w:ascii="MS UI Gothic" w:eastAsia="MS UI Gothic"/>
          <w:spacing w:val="11"/>
          <w:w w:val="80"/>
        </w:rPr>
        <w:t xml:space="preserve">ꎬ </w:t>
      </w:r>
      <w:r>
        <w:rPr>
          <w:spacing w:val="1"/>
        </w:rPr>
        <w:t>使其处</w:t>
      </w:r>
      <w:r>
        <w:rPr>
          <w:spacing w:val="3"/>
        </w:rPr>
        <w:t>于适用状态</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第三十九条 生产经营单位发生事故</w:t>
      </w:r>
      <w:r>
        <w:t>时</w:t>
      </w:r>
      <w:r>
        <w:rPr>
          <w:rFonts w:hint="eastAsia" w:ascii="MS UI Gothic" w:eastAsia="MS UI Gothic"/>
          <w:w w:val="80"/>
        </w:rPr>
        <w:t xml:space="preserve">ꎬ </w:t>
      </w:r>
      <w:r>
        <w:t>应当第一时间启动应急响应</w:t>
      </w:r>
      <w:r>
        <w:rPr>
          <w:rFonts w:hint="eastAsia" w:ascii="MS UI Gothic" w:eastAsia="MS UI Gothic"/>
          <w:w w:val="80"/>
        </w:rPr>
        <w:t xml:space="preserve">ꎬ </w:t>
      </w:r>
      <w:r>
        <w:t>组织有关力量进行救援</w:t>
      </w:r>
      <w:r>
        <w:rPr>
          <w:rFonts w:hint="eastAsia" w:ascii="MS UI Gothic" w:eastAsia="MS UI Gothic"/>
          <w:w w:val="80"/>
        </w:rPr>
        <w:t xml:space="preserve">ꎬ </w:t>
      </w:r>
      <w:r>
        <w:t>并按照规定将事故信息及应急响应启动情况报告事故发生地县级以上人民政府应急管理部门和其他负有安</w:t>
      </w:r>
      <w:r>
        <w:rPr>
          <w:w w:val="105"/>
        </w:rPr>
        <w:t>全生产监督管理职责的部门</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第四十条 生产安全事故应急处置和</w:t>
      </w:r>
      <w:r>
        <w:rPr>
          <w:spacing w:val="3"/>
        </w:rPr>
        <w:t>应急救援结束后</w:t>
      </w:r>
      <w:r>
        <w:rPr>
          <w:rFonts w:hint="eastAsia" w:ascii="MS UI Gothic" w:eastAsia="MS UI Gothic"/>
          <w:spacing w:val="20"/>
          <w:w w:val="80"/>
        </w:rPr>
        <w:t xml:space="preserve">ꎬ </w:t>
      </w:r>
      <w:r>
        <w:rPr>
          <w:spacing w:val="2"/>
        </w:rPr>
        <w:t>事故发生单位应当对应</w:t>
      </w:r>
      <w:r>
        <w:rPr>
          <w:spacing w:val="3"/>
          <w:w w:val="105"/>
        </w:rPr>
        <w:t>急预案实施情况进行总结评估</w:t>
      </w:r>
      <w:r>
        <w:rPr>
          <w:rFonts w:hint="eastAsia" w:ascii="MS UI Gothic" w:eastAsia="MS UI Gothic"/>
          <w:w w:val="80"/>
        </w:rPr>
        <w:t>ꎮ</w:t>
      </w:r>
    </w:p>
    <w:p>
      <w:pPr>
        <w:pStyle w:val="6"/>
        <w:tabs>
          <w:tab w:val="left" w:pos="1906"/>
        </w:tabs>
        <w:spacing w:before="138"/>
        <w:ind w:left="1067" w:firstLine="0"/>
        <w:jc w:val="left"/>
      </w:pPr>
      <w:r>
        <w:rPr>
          <w:spacing w:val="3"/>
          <w:w w:val="105"/>
        </w:rPr>
        <w:t>第五</w:t>
      </w:r>
      <w:r>
        <w:rPr>
          <w:w w:val="105"/>
        </w:rPr>
        <w:t>章</w:t>
      </w:r>
      <w:r>
        <w:rPr>
          <w:w w:val="105"/>
        </w:rPr>
        <w:tab/>
      </w:r>
      <w:r>
        <w:rPr>
          <w:w w:val="105"/>
        </w:rPr>
        <w:t>监</w:t>
      </w:r>
      <w:r>
        <w:rPr>
          <w:spacing w:val="-38"/>
          <w:w w:val="105"/>
        </w:rPr>
        <w:t xml:space="preserve"> </w:t>
      </w:r>
      <w:r>
        <w:rPr>
          <w:w w:val="105"/>
        </w:rPr>
        <w:t>督</w:t>
      </w:r>
      <w:r>
        <w:rPr>
          <w:spacing w:val="-38"/>
          <w:w w:val="105"/>
        </w:rPr>
        <w:t xml:space="preserve"> </w:t>
      </w:r>
      <w:r>
        <w:rPr>
          <w:w w:val="105"/>
        </w:rPr>
        <w:t>管</w:t>
      </w:r>
      <w:r>
        <w:rPr>
          <w:spacing w:val="-38"/>
          <w:w w:val="105"/>
        </w:rPr>
        <w:t xml:space="preserve"> </w:t>
      </w:r>
      <w:r>
        <w:rPr>
          <w:w w:val="105"/>
        </w:rPr>
        <w:t>理</w:t>
      </w:r>
    </w:p>
    <w:p>
      <w:pPr>
        <w:pStyle w:val="6"/>
        <w:spacing w:before="215" w:line="295" w:lineRule="auto"/>
        <w:ind w:right="442"/>
        <w:rPr>
          <w:rFonts w:hint="eastAsia" w:ascii="MS UI Gothic" w:eastAsia="MS UI Gothic"/>
        </w:rPr>
      </w:pPr>
      <w:r>
        <w:rPr>
          <w:w w:val="105"/>
        </w:rPr>
        <w:t>第四十一条 各级人民政府应急管理</w:t>
      </w:r>
      <w:r>
        <w:t>部门和煤矿安全监察机构应当将生产经营单位应急预案工作纳入年度监督检查计划</w:t>
      </w:r>
      <w:r>
        <w:rPr>
          <w:rFonts w:hint="eastAsia" w:ascii="MS UI Gothic" w:eastAsia="MS UI Gothic"/>
          <w:w w:val="80"/>
        </w:rPr>
        <w:t xml:space="preserve">ꎬ </w:t>
      </w:r>
      <w:r>
        <w:t>明确检查的重点内容和标准</w:t>
      </w:r>
      <w:r>
        <w:rPr>
          <w:rFonts w:hint="eastAsia" w:ascii="MS UI Gothic" w:eastAsia="MS UI Gothic"/>
          <w:w w:val="80"/>
        </w:rPr>
        <w:t xml:space="preserve">ꎬ </w:t>
      </w:r>
      <w:r>
        <w:t>并严格</w:t>
      </w:r>
      <w:r>
        <w:rPr>
          <w:w w:val="105"/>
        </w:rPr>
        <w:t>按照计划开展执法检查</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第四十二条 地方各级人民政府应急</w:t>
      </w:r>
      <w:r>
        <w:t>管理部门应当每年对应急预案的监督管理工作情况进行总结</w:t>
      </w:r>
      <w:r>
        <w:rPr>
          <w:rFonts w:hint="eastAsia" w:ascii="MS UI Gothic" w:eastAsia="MS UI Gothic"/>
          <w:w w:val="80"/>
        </w:rPr>
        <w:t xml:space="preserve">ꎬ </w:t>
      </w:r>
      <w:r>
        <w:t>并报上一级人民政府</w:t>
      </w:r>
      <w:r>
        <w:rPr>
          <w:w w:val="105"/>
        </w:rPr>
        <w:t>应急管理部门</w:t>
      </w:r>
      <w:r>
        <w:rPr>
          <w:rFonts w:hint="eastAsia" w:ascii="MS UI Gothic" w:eastAsia="MS UI Gothic"/>
          <w:w w:val="80"/>
        </w:rPr>
        <w:t>ꎮ</w:t>
      </w:r>
    </w:p>
    <w:p>
      <w:pPr>
        <w:pStyle w:val="6"/>
        <w:spacing w:line="295" w:lineRule="auto"/>
        <w:ind w:right="442"/>
      </w:pPr>
      <w:r>
        <w:rPr>
          <w:w w:val="105"/>
        </w:rPr>
        <w:t>第四十三条 对于在应急预案管理工</w:t>
      </w:r>
      <w:r>
        <w:t>作中做出显著成绩的单位和人员</w:t>
      </w:r>
      <w:r>
        <w:rPr>
          <w:rFonts w:hint="eastAsia" w:ascii="MS UI Gothic" w:eastAsia="MS UI Gothic"/>
          <w:w w:val="80"/>
        </w:rPr>
        <w:t xml:space="preserve">ꎬ </w:t>
      </w:r>
      <w:r>
        <w:t>各级人</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９５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34" o:spid="_x0000_s1334" o:spt="203" style="height:2.15pt;width:398.25pt;" coordsize="7965,43">
            <o:lock v:ext="edit"/>
            <v:line id="_x0000_s1335" o:spid="_x0000_s1335" o:spt="20" style="position:absolute;left:0;top:39;height:0;width:7965;" stroked="t" coordsize="21600,21600">
              <v:path arrowok="t"/>
              <v:fill focussize="0,0"/>
              <v:stroke weight="0.388031496062992pt" color="#231F20"/>
              <v:imagedata o:title=""/>
              <o:lock v:ext="edit"/>
            </v:line>
            <v:line id="_x0000_s1336" o:spid="_x0000_s133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民政府应急管理部门</w:t>
      </w:r>
      <w:r>
        <w:rPr>
          <w:rFonts w:hint="eastAsia" w:ascii="MS UI Gothic" w:eastAsia="MS UI Gothic"/>
          <w:w w:val="80"/>
        </w:rPr>
        <w:t xml:space="preserve">、 </w:t>
      </w:r>
      <w:r>
        <w:t>生产经营单位可以给予表彰和奖励</w:t>
      </w:r>
      <w:r>
        <w:rPr>
          <w:rFonts w:hint="eastAsia" w:ascii="MS UI Gothic" w:eastAsia="MS UI Gothic"/>
          <w:w w:val="80"/>
        </w:rPr>
        <w:t>ꎮ</w:t>
      </w:r>
    </w:p>
    <w:p>
      <w:pPr>
        <w:pStyle w:val="6"/>
        <w:tabs>
          <w:tab w:val="left" w:pos="2222"/>
        </w:tabs>
        <w:spacing w:before="156"/>
        <w:ind w:left="1384" w:firstLine="0"/>
        <w:jc w:val="left"/>
      </w:pPr>
      <w:r>
        <w:rPr>
          <w:spacing w:val="3"/>
          <w:w w:val="105"/>
        </w:rPr>
        <w:t>第六</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left="440"/>
        <w:rPr>
          <w:rFonts w:hint="eastAsia" w:ascii="MS UI Gothic" w:hAnsi="MS UI Gothic" w:eastAsia="MS UI Gothic"/>
        </w:rPr>
      </w:pPr>
      <w:r>
        <w:t>第四十四条 生产经营单位有下列情形之一的</w:t>
      </w:r>
      <w:r>
        <w:rPr>
          <w:rFonts w:hint="eastAsia" w:ascii="MS UI Gothic" w:hAnsi="MS UI Gothic" w:eastAsia="MS UI Gothic"/>
          <w:w w:val="80"/>
        </w:rPr>
        <w:t xml:space="preserve">ꎬ </w:t>
      </w:r>
      <w:r>
        <w:t xml:space="preserve">由县级以上人民政府应急管理等部门依照 </w:t>
      </w:r>
      <w:r>
        <w:rPr>
          <w:rFonts w:hint="eastAsia" w:ascii="MS UI Gothic" w:hAnsi="MS UI Gothic" w:eastAsia="MS UI Gothic"/>
          <w:w w:val="80"/>
        </w:rPr>
        <w:t xml:space="preserve">« </w:t>
      </w:r>
      <w:r>
        <w:t>中华人民共和国安全生产法</w:t>
      </w:r>
      <w:r>
        <w:rPr>
          <w:rFonts w:hint="eastAsia" w:ascii="MS UI Gothic" w:hAnsi="MS UI Gothic" w:eastAsia="MS UI Gothic"/>
          <w:w w:val="80"/>
        </w:rPr>
        <w:t xml:space="preserve">» </w:t>
      </w:r>
      <w:r>
        <w:t>第九十四条的规定</w:t>
      </w:r>
      <w:r>
        <w:rPr>
          <w:rFonts w:hint="eastAsia" w:ascii="MS UI Gothic" w:hAnsi="MS UI Gothic" w:eastAsia="MS UI Gothic"/>
          <w:w w:val="80"/>
        </w:rPr>
        <w:t xml:space="preserve">ꎬ </w:t>
      </w:r>
      <w:r>
        <w:t>责令限期改正</w:t>
      </w:r>
      <w:r>
        <w:rPr>
          <w:rFonts w:hint="eastAsia" w:ascii="MS UI Gothic" w:hAnsi="MS UI Gothic" w:eastAsia="MS UI Gothic"/>
          <w:w w:val="80"/>
        </w:rPr>
        <w:t>ꎬ</w:t>
      </w:r>
      <w:r>
        <w:t xml:space="preserve">可以处 </w:t>
      </w:r>
      <w:r>
        <w:rPr>
          <w:rFonts w:hint="eastAsia" w:ascii="MS UI Gothic" w:hAnsi="MS UI Gothic" w:eastAsia="MS UI Gothic"/>
          <w:w w:val="80"/>
        </w:rPr>
        <w:t xml:space="preserve">５ </w:t>
      </w:r>
      <w:r>
        <w:t>万元以下罚款</w:t>
      </w:r>
      <w:r>
        <w:rPr>
          <w:rFonts w:hint="eastAsia" w:ascii="MS UI Gothic" w:hAnsi="MS UI Gothic" w:eastAsia="MS UI Gothic"/>
          <w:w w:val="80"/>
        </w:rPr>
        <w:t xml:space="preserve">ꎻ  </w:t>
      </w:r>
      <w:r>
        <w:t>逾期未改正的</w:t>
      </w:r>
      <w:r>
        <w:rPr>
          <w:rFonts w:hint="eastAsia" w:ascii="MS UI Gothic" w:hAnsi="MS UI Gothic" w:eastAsia="MS UI Gothic"/>
          <w:w w:val="80"/>
        </w:rPr>
        <w:t>ꎬ</w:t>
      </w:r>
      <w:r>
        <w:t>责令停产停业整顿</w:t>
      </w:r>
      <w:r>
        <w:rPr>
          <w:rFonts w:hint="eastAsia" w:ascii="MS UI Gothic" w:hAnsi="MS UI Gothic" w:eastAsia="MS UI Gothic"/>
          <w:w w:val="80"/>
        </w:rPr>
        <w:t xml:space="preserve">ꎬ </w:t>
      </w:r>
      <w:r>
        <w:t xml:space="preserve">并处 </w:t>
      </w:r>
      <w:r>
        <w:rPr>
          <w:rFonts w:hint="eastAsia" w:ascii="MS UI Gothic" w:hAnsi="MS UI Gothic" w:eastAsia="MS UI Gothic"/>
          <w:w w:val="80"/>
        </w:rPr>
        <w:t xml:space="preserve">５ </w:t>
      </w:r>
      <w:r>
        <w:t xml:space="preserve">万元以上 </w:t>
      </w:r>
      <w:r>
        <w:rPr>
          <w:rFonts w:hint="eastAsia" w:ascii="MS UI Gothic" w:hAnsi="MS UI Gothic" w:eastAsia="MS UI Gothic"/>
          <w:w w:val="80"/>
        </w:rPr>
        <w:t xml:space="preserve">１０ </w:t>
      </w:r>
      <w:r>
        <w:t>万元以下的罚款</w:t>
      </w:r>
      <w:r>
        <w:rPr>
          <w:rFonts w:hint="eastAsia" w:ascii="MS UI Gothic" w:hAnsi="MS UI Gothic" w:eastAsia="MS UI Gothic"/>
          <w:w w:val="80"/>
        </w:rPr>
        <w:t xml:space="preserve">ꎬ </w:t>
      </w:r>
      <w:r>
        <w:t xml:space="preserve">对直接负责的主管人员和其他直接责任人员处 </w:t>
      </w:r>
      <w:r>
        <w:rPr>
          <w:rFonts w:hint="eastAsia" w:ascii="MS UI Gothic" w:hAnsi="MS UI Gothic" w:eastAsia="MS UI Gothic"/>
          <w:w w:val="80"/>
        </w:rPr>
        <w:t xml:space="preserve">１ </w:t>
      </w:r>
      <w:r>
        <w:t xml:space="preserve">万元以上 </w:t>
      </w:r>
      <w:r>
        <w:rPr>
          <w:rFonts w:hint="eastAsia" w:ascii="MS UI Gothic" w:hAnsi="MS UI Gothic" w:eastAsia="MS UI Gothic"/>
          <w:w w:val="80"/>
        </w:rPr>
        <w:t xml:space="preserve">２ </w:t>
      </w:r>
      <w:r>
        <w:t>万元以下的罚款</w:t>
      </w:r>
      <w:r>
        <w:rPr>
          <w:rFonts w:hint="eastAsia" w:ascii="MS UI Gothic" w:hAnsi="MS UI Gothic" w:eastAsia="MS UI Gothic"/>
          <w:w w:val="230"/>
        </w:rPr>
        <w:t>:</w:t>
      </w:r>
    </w:p>
    <w:p>
      <w:pPr>
        <w:pStyle w:val="6"/>
        <w:spacing w:line="249" w:lineRule="exact"/>
        <w:ind w:left="860" w:firstLine="0"/>
        <w:rPr>
          <w:rFonts w:hint="eastAsia" w:ascii="MS UI Gothic" w:eastAsia="MS UI Gothic"/>
        </w:rPr>
      </w:pPr>
      <w:r>
        <w:rPr>
          <w:rFonts w:hint="eastAsia" w:ascii="MS UI Gothic" w:eastAsia="MS UI Gothic"/>
          <w:spacing w:val="-43"/>
          <w:w w:val="150"/>
        </w:rPr>
        <w:t xml:space="preserve">( </w:t>
      </w:r>
      <w:r>
        <w:rPr>
          <w:spacing w:val="3"/>
          <w:w w:val="110"/>
        </w:rPr>
        <w:t>一</w:t>
      </w:r>
      <w:r>
        <w:rPr>
          <w:rFonts w:hint="eastAsia" w:ascii="MS UI Gothic" w:eastAsia="MS UI Gothic"/>
          <w:spacing w:val="-25"/>
          <w:w w:val="150"/>
        </w:rPr>
        <w:t xml:space="preserve">) </w:t>
      </w:r>
      <w:r>
        <w:rPr>
          <w:spacing w:val="3"/>
          <w:w w:val="110"/>
        </w:rPr>
        <w:t>未按照规定编制应急预案的</w:t>
      </w:r>
      <w:r>
        <w:rPr>
          <w:rFonts w:hint="eastAsia" w:ascii="MS UI Gothic" w:eastAsia="MS UI Gothic"/>
          <w:w w:val="80"/>
        </w:rPr>
        <w:t>ꎻ</w:t>
      </w:r>
    </w:p>
    <w:p>
      <w:pPr>
        <w:pStyle w:val="6"/>
        <w:spacing w:before="58"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未按照规定定期组织应急预案</w:t>
      </w:r>
      <w:r>
        <w:rPr>
          <w:w w:val="110"/>
        </w:rPr>
        <w:t>演练的</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第四十五条 生产经营单位有下列情</w:t>
      </w:r>
      <w:r>
        <w:rPr>
          <w:spacing w:val="3"/>
        </w:rPr>
        <w:t>形之一的</w:t>
      </w:r>
      <w:r>
        <w:rPr>
          <w:rFonts w:hint="eastAsia" w:ascii="MS UI Gothic" w:eastAsia="MS UI Gothic"/>
          <w:spacing w:val="21"/>
          <w:w w:val="80"/>
        </w:rPr>
        <w:t xml:space="preserve">ꎬ </w:t>
      </w:r>
      <w:r>
        <w:rPr>
          <w:spacing w:val="2"/>
        </w:rPr>
        <w:t>由县级以上人民政府应急管理</w:t>
      </w:r>
      <w:r>
        <w:rPr>
          <w:spacing w:val="2"/>
          <w:w w:val="105"/>
        </w:rPr>
        <w:t>部门责令限期改正</w:t>
      </w:r>
      <w:r>
        <w:rPr>
          <w:rFonts w:hint="eastAsia" w:ascii="MS UI Gothic" w:eastAsia="MS UI Gothic"/>
          <w:spacing w:val="7"/>
          <w:w w:val="80"/>
        </w:rPr>
        <w:t xml:space="preserve">ꎬ </w:t>
      </w:r>
      <w:r>
        <w:rPr>
          <w:spacing w:val="-14"/>
          <w:w w:val="105"/>
        </w:rPr>
        <w:t xml:space="preserve">可以处 </w:t>
      </w:r>
      <w:r>
        <w:rPr>
          <w:rFonts w:hint="eastAsia" w:ascii="MS UI Gothic" w:eastAsia="MS UI Gothic"/>
          <w:spacing w:val="-6"/>
          <w:w w:val="80"/>
        </w:rPr>
        <w:t xml:space="preserve">１ </w:t>
      </w:r>
      <w:r>
        <w:rPr>
          <w:spacing w:val="-10"/>
          <w:w w:val="105"/>
        </w:rPr>
        <w:t xml:space="preserve">万元以上 </w:t>
      </w:r>
      <w:r>
        <w:rPr>
          <w:rFonts w:hint="eastAsia" w:ascii="MS UI Gothic" w:eastAsia="MS UI Gothic"/>
          <w:w w:val="80"/>
        </w:rPr>
        <w:t xml:space="preserve">３ </w:t>
      </w:r>
      <w:r>
        <w:rPr>
          <w:spacing w:val="3"/>
          <w:w w:val="105"/>
        </w:rPr>
        <w:t>万元以下的罚款</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在应急预案编制前未按照规定开展风险辨识</w:t>
      </w:r>
      <w:r>
        <w:rPr>
          <w:rFonts w:hint="eastAsia" w:ascii="MS UI Gothic" w:eastAsia="MS UI Gothic"/>
          <w:w w:val="80"/>
        </w:rPr>
        <w:t xml:space="preserve">、 </w:t>
      </w:r>
      <w:r>
        <w:rPr>
          <w:w w:val="105"/>
        </w:rPr>
        <w:t>评估和应急资源调查的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15"/>
        </w:rPr>
        <w:t xml:space="preserve">( </w:t>
      </w:r>
      <w:r>
        <w:rPr>
          <w:w w:val="110"/>
        </w:rPr>
        <w:t>二</w:t>
      </w:r>
      <w:r>
        <w:rPr>
          <w:rFonts w:hint="eastAsia" w:ascii="MS UI Gothic" w:eastAsia="MS UI Gothic"/>
          <w:w w:val="115"/>
        </w:rPr>
        <w:t xml:space="preserve">) </w:t>
      </w:r>
      <w:r>
        <w:rPr>
          <w:w w:val="110"/>
        </w:rPr>
        <w:t>未按照规定开展应急预案评审的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事故风险可能影响周边单位</w:t>
      </w:r>
      <w:r>
        <w:rPr>
          <w:rFonts w:hint="eastAsia" w:ascii="MS UI Gothic" w:eastAsia="MS UI Gothic"/>
          <w:w w:val="80"/>
        </w:rPr>
        <w:t>、</w:t>
      </w:r>
      <w:r>
        <w:rPr>
          <w:w w:val="105"/>
        </w:rPr>
        <w:t>人员的</w:t>
      </w:r>
      <w:r>
        <w:rPr>
          <w:rFonts w:hint="eastAsia" w:ascii="MS UI Gothic" w:eastAsia="MS UI Gothic"/>
          <w:w w:val="80"/>
        </w:rPr>
        <w:t xml:space="preserve">ꎬ </w:t>
      </w:r>
      <w:r>
        <w:rPr>
          <w:w w:val="105"/>
        </w:rPr>
        <w:t>未将事故风险的性质</w:t>
      </w:r>
      <w:r>
        <w:rPr>
          <w:rFonts w:hint="eastAsia" w:ascii="MS UI Gothic" w:eastAsia="MS UI Gothic"/>
          <w:w w:val="80"/>
        </w:rPr>
        <w:t xml:space="preserve">、 </w:t>
      </w:r>
      <w:r>
        <w:rPr>
          <w:w w:val="105"/>
        </w:rPr>
        <w:t>影响范围</w:t>
      </w:r>
      <w:r>
        <w:t>和应急防范措施告知周边单位和人员的</w:t>
      </w:r>
      <w:r>
        <w:rPr>
          <w:rFonts w:hint="eastAsia" w:ascii="MS UI Gothic" w:eastAsia="MS UI Gothic"/>
          <w:w w:val="80"/>
        </w:rPr>
        <w:t>ꎻ</w:t>
      </w:r>
    </w:p>
    <w:p>
      <w:pPr>
        <w:pStyle w:val="6"/>
        <w:spacing w:before="124" w:line="295" w:lineRule="auto"/>
        <w:ind w:left="381" w:right="126"/>
        <w:rPr>
          <w:rFonts w:hint="eastAsia" w:ascii="MS UI Gothic" w:eastAsia="MS UI Gothic"/>
        </w:rPr>
      </w:pPr>
      <w:r>
        <w:br w:type="column"/>
      </w:r>
      <w:r>
        <w:rPr>
          <w:rFonts w:hint="eastAsia" w:ascii="MS UI Gothic" w:eastAsia="MS UI Gothic"/>
          <w:spacing w:val="-34"/>
          <w:w w:val="120"/>
        </w:rPr>
        <w:t xml:space="preserve">( </w:t>
      </w:r>
      <w:r>
        <w:rPr>
          <w:spacing w:val="5"/>
          <w:w w:val="110"/>
        </w:rPr>
        <w:t>四</w:t>
      </w:r>
      <w:r>
        <w:rPr>
          <w:rFonts w:hint="eastAsia" w:ascii="MS UI Gothic" w:eastAsia="MS UI Gothic"/>
          <w:spacing w:val="-13"/>
          <w:w w:val="120"/>
        </w:rPr>
        <w:t xml:space="preserve">) </w:t>
      </w:r>
      <w:r>
        <w:rPr>
          <w:spacing w:val="23"/>
          <w:w w:val="110"/>
        </w:rPr>
        <w:t>未按照规定开展应急预案评</w:t>
      </w:r>
      <w:r>
        <w:rPr>
          <w:spacing w:val="3"/>
          <w:w w:val="110"/>
        </w:rPr>
        <w:t>估的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4"/>
          <w:w w:val="120"/>
        </w:rPr>
        <w:t xml:space="preserve">( </w:t>
      </w:r>
      <w:r>
        <w:rPr>
          <w:spacing w:val="5"/>
          <w:w w:val="110"/>
        </w:rPr>
        <w:t>五</w:t>
      </w:r>
      <w:r>
        <w:rPr>
          <w:rFonts w:hint="eastAsia" w:ascii="MS UI Gothic" w:eastAsia="MS UI Gothic"/>
          <w:spacing w:val="-13"/>
          <w:w w:val="120"/>
        </w:rPr>
        <w:t xml:space="preserve">) </w:t>
      </w:r>
      <w:r>
        <w:rPr>
          <w:spacing w:val="23"/>
          <w:w w:val="110"/>
        </w:rPr>
        <w:t>未按照规定进行应急预案修</w:t>
      </w:r>
      <w:r>
        <w:rPr>
          <w:spacing w:val="3"/>
          <w:w w:val="110"/>
        </w:rPr>
        <w:t>订的</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spacing w:val="-38"/>
          <w:w w:val="150"/>
        </w:rPr>
        <w:t xml:space="preserve">( </w:t>
      </w:r>
      <w:r>
        <w:rPr>
          <w:spacing w:val="3"/>
          <w:w w:val="105"/>
        </w:rPr>
        <w:t>六</w:t>
      </w:r>
      <w:r>
        <w:rPr>
          <w:rFonts w:hint="eastAsia" w:ascii="MS UI Gothic" w:eastAsia="MS UI Gothic"/>
          <w:spacing w:val="3"/>
          <w:w w:val="150"/>
        </w:rPr>
        <w:t xml:space="preserve">) </w:t>
      </w:r>
      <w:r>
        <w:rPr>
          <w:spacing w:val="5"/>
          <w:w w:val="105"/>
        </w:rPr>
        <w:t>未落实应急预案规定的应急物</w:t>
      </w:r>
      <w:r>
        <w:rPr>
          <w:spacing w:val="3"/>
        </w:rPr>
        <w:t>资及装备的</w:t>
      </w:r>
      <w:r>
        <w:rPr>
          <w:rFonts w:hint="eastAsia" w:ascii="MS UI Gothic" w:eastAsia="MS UI Gothic"/>
          <w:spacing w:val="19"/>
          <w:w w:val="80"/>
        </w:rPr>
        <w:t xml:space="preserve">ꎮ </w:t>
      </w:r>
      <w:r>
        <w:rPr>
          <w:spacing w:val="2"/>
        </w:rPr>
        <w:t>生产经营单位未按照规定进</w:t>
      </w:r>
      <w:r>
        <w:rPr>
          <w:spacing w:val="3"/>
        </w:rPr>
        <w:t>行应急预案备案的</w:t>
      </w:r>
      <w:r>
        <w:rPr>
          <w:rFonts w:hint="eastAsia" w:ascii="MS UI Gothic" w:eastAsia="MS UI Gothic"/>
          <w:spacing w:val="19"/>
          <w:w w:val="80"/>
        </w:rPr>
        <w:t xml:space="preserve">ꎬ </w:t>
      </w:r>
      <w:r>
        <w:rPr>
          <w:spacing w:val="2"/>
        </w:rPr>
        <w:t>由县级以上人民政府</w:t>
      </w:r>
      <w:r>
        <w:rPr>
          <w:spacing w:val="4"/>
        </w:rPr>
        <w:t>应急管理等部门依照职责责令限期改正</w:t>
      </w:r>
      <w:r>
        <w:rPr>
          <w:rFonts w:hint="eastAsia" w:ascii="MS UI Gothic" w:eastAsia="MS UI Gothic"/>
          <w:w w:val="80"/>
        </w:rPr>
        <w:t>ꎻ</w:t>
      </w:r>
      <w:r>
        <w:rPr>
          <w:spacing w:val="3"/>
          <w:w w:val="105"/>
        </w:rPr>
        <w:t>逾期未改正的</w:t>
      </w:r>
      <w:r>
        <w:rPr>
          <w:rFonts w:hint="eastAsia" w:ascii="MS UI Gothic" w:eastAsia="MS UI Gothic"/>
          <w:spacing w:val="8"/>
          <w:w w:val="80"/>
        </w:rPr>
        <w:t xml:space="preserve">ꎬ </w:t>
      </w:r>
      <w:r>
        <w:rPr>
          <w:spacing w:val="-37"/>
          <w:w w:val="105"/>
        </w:rPr>
        <w:t xml:space="preserve">处 </w:t>
      </w:r>
      <w:r>
        <w:rPr>
          <w:rFonts w:hint="eastAsia" w:ascii="MS UI Gothic" w:eastAsia="MS UI Gothic"/>
          <w:spacing w:val="-7"/>
          <w:w w:val="80"/>
        </w:rPr>
        <w:t xml:space="preserve">３ </w:t>
      </w:r>
      <w:r>
        <w:rPr>
          <w:spacing w:val="-14"/>
          <w:w w:val="105"/>
        </w:rPr>
        <w:t xml:space="preserve">万元以上 </w:t>
      </w:r>
      <w:r>
        <w:rPr>
          <w:rFonts w:hint="eastAsia" w:ascii="MS UI Gothic" w:eastAsia="MS UI Gothic"/>
          <w:spacing w:val="-7"/>
          <w:w w:val="80"/>
        </w:rPr>
        <w:t xml:space="preserve">５ </w:t>
      </w:r>
      <w:r>
        <w:rPr>
          <w:spacing w:val="3"/>
          <w:w w:val="105"/>
        </w:rPr>
        <w:t>万元以下</w:t>
      </w:r>
      <w:r>
        <w:rPr>
          <w:spacing w:val="3"/>
        </w:rPr>
        <w:t>的罚款</w:t>
      </w:r>
      <w:r>
        <w:rPr>
          <w:rFonts w:hint="eastAsia" w:ascii="MS UI Gothic" w:eastAsia="MS UI Gothic"/>
          <w:spacing w:val="19"/>
          <w:w w:val="80"/>
        </w:rPr>
        <w:t xml:space="preserve">ꎬ </w:t>
      </w:r>
      <w:r>
        <w:rPr>
          <w:spacing w:val="2"/>
        </w:rPr>
        <w:t>对直接负责的主管人员和其他直</w:t>
      </w:r>
      <w:r>
        <w:rPr>
          <w:spacing w:val="-3"/>
          <w:w w:val="105"/>
        </w:rPr>
        <w:t xml:space="preserve">接责任人员处 </w:t>
      </w:r>
      <w:r>
        <w:rPr>
          <w:rFonts w:hint="eastAsia" w:ascii="MS UI Gothic" w:eastAsia="MS UI Gothic"/>
          <w:spacing w:val="4"/>
          <w:w w:val="80"/>
        </w:rPr>
        <w:t xml:space="preserve">１ </w:t>
      </w:r>
      <w:r>
        <w:rPr>
          <w:w w:val="105"/>
        </w:rPr>
        <w:t xml:space="preserve">万元以上 </w:t>
      </w:r>
      <w:r>
        <w:rPr>
          <w:rFonts w:hint="eastAsia" w:ascii="MS UI Gothic" w:eastAsia="MS UI Gothic"/>
          <w:spacing w:val="4"/>
          <w:w w:val="80"/>
        </w:rPr>
        <w:t xml:space="preserve">２ </w:t>
      </w:r>
      <w:r>
        <w:rPr>
          <w:spacing w:val="15"/>
          <w:w w:val="105"/>
        </w:rPr>
        <w:t>万元以下的</w:t>
      </w:r>
      <w:r>
        <w:rPr>
          <w:spacing w:val="3"/>
          <w:w w:val="105"/>
        </w:rPr>
        <w:t>罚款</w:t>
      </w:r>
      <w:r>
        <w:rPr>
          <w:rFonts w:hint="eastAsia" w:ascii="MS UI Gothic" w:eastAsia="MS UI Gothic"/>
          <w:w w:val="80"/>
        </w:rPr>
        <w:t>ꎮ</w:t>
      </w:r>
    </w:p>
    <w:p>
      <w:pPr>
        <w:pStyle w:val="6"/>
        <w:tabs>
          <w:tab w:val="left" w:pos="2267"/>
          <w:tab w:val="left" w:pos="2896"/>
        </w:tabs>
        <w:spacing w:before="148"/>
        <w:ind w:left="1429" w:firstLine="0"/>
        <w:jc w:val="left"/>
      </w:pPr>
      <w:r>
        <w:rPr>
          <w:spacing w:val="3"/>
          <w:w w:val="105"/>
        </w:rPr>
        <w:t>第七</w:t>
      </w:r>
      <w:r>
        <w:rPr>
          <w:w w:val="105"/>
        </w:rPr>
        <w:t>章</w:t>
      </w:r>
      <w:r>
        <w:rPr>
          <w:w w:val="105"/>
        </w:rPr>
        <w:tab/>
      </w:r>
      <w:r>
        <w:rPr>
          <w:w w:val="105"/>
        </w:rPr>
        <w:t>附</w:t>
      </w:r>
      <w:r>
        <w:rPr>
          <w:w w:val="105"/>
        </w:rPr>
        <w:tab/>
      </w:r>
      <w:r>
        <w:rPr>
          <w:w w:val="105"/>
        </w:rPr>
        <w:t>则</w:t>
      </w:r>
    </w:p>
    <w:p>
      <w:pPr>
        <w:pStyle w:val="6"/>
        <w:spacing w:before="215" w:line="295" w:lineRule="auto"/>
        <w:ind w:left="381" w:right="126"/>
        <w:rPr>
          <w:rFonts w:hint="eastAsia" w:ascii="MS UI Gothic" w:hAnsi="MS UI Gothic" w:eastAsia="MS UI Gothic"/>
        </w:rPr>
      </w:pPr>
      <w:r>
        <w:rPr>
          <w:w w:val="105"/>
        </w:rPr>
        <w:t xml:space="preserve">第四十六条 </w:t>
      </w:r>
      <w:r>
        <w:rPr>
          <w:rFonts w:hint="eastAsia" w:ascii="MS UI Gothic" w:hAnsi="MS UI Gothic" w:eastAsia="MS UI Gothic"/>
          <w:w w:val="80"/>
        </w:rPr>
        <w:t xml:space="preserve">« </w:t>
      </w:r>
      <w:r>
        <w:rPr>
          <w:w w:val="105"/>
        </w:rPr>
        <w:t>生产经营单位生产安全事故应急预案备案申报表</w:t>
      </w:r>
      <w:r>
        <w:rPr>
          <w:rFonts w:hint="eastAsia" w:ascii="MS UI Gothic" w:hAnsi="MS UI Gothic" w:eastAsia="MS UI Gothic"/>
          <w:w w:val="80"/>
        </w:rPr>
        <w:t xml:space="preserve">» </w:t>
      </w:r>
      <w:r>
        <w:rPr>
          <w:w w:val="105"/>
        </w:rPr>
        <w:t xml:space="preserve">和 </w:t>
      </w:r>
      <w:r>
        <w:rPr>
          <w:rFonts w:hint="eastAsia" w:ascii="MS UI Gothic" w:hAnsi="MS UI Gothic" w:eastAsia="MS UI Gothic"/>
          <w:w w:val="80"/>
        </w:rPr>
        <w:t xml:space="preserve">« </w:t>
      </w:r>
      <w:r>
        <w:rPr>
          <w:w w:val="105"/>
        </w:rPr>
        <w:t>生</w:t>
      </w:r>
      <w:r>
        <w:t>产经营单位生产安全事故应急预案备案登</w:t>
      </w:r>
      <w:r>
        <w:rPr>
          <w:w w:val="105"/>
        </w:rPr>
        <w:t>记表</w:t>
      </w:r>
      <w:r>
        <w:rPr>
          <w:rFonts w:hint="eastAsia" w:ascii="MS UI Gothic" w:hAnsi="MS UI Gothic" w:eastAsia="MS UI Gothic"/>
          <w:w w:val="80"/>
        </w:rPr>
        <w:t xml:space="preserve">» </w:t>
      </w:r>
      <w:r>
        <w:rPr>
          <w:w w:val="105"/>
        </w:rPr>
        <w:t>由应急管理部统一制定</w:t>
      </w:r>
      <w:r>
        <w:rPr>
          <w:rFonts w:hint="eastAsia" w:ascii="MS UI Gothic" w:hAnsi="MS UI Gothic" w:eastAsia="MS UI Gothic"/>
          <w:w w:val="80"/>
        </w:rPr>
        <w:t>ꎮ</w:t>
      </w:r>
    </w:p>
    <w:p>
      <w:pPr>
        <w:pStyle w:val="6"/>
        <w:spacing w:line="295" w:lineRule="auto"/>
        <w:ind w:left="381" w:right="126"/>
        <w:rPr>
          <w:rFonts w:hint="eastAsia" w:ascii="MS UI Gothic" w:eastAsia="MS UI Gothic"/>
        </w:rPr>
      </w:pPr>
      <w:r>
        <w:t>第四十七条 各省</w:t>
      </w:r>
      <w:r>
        <w:rPr>
          <w:rFonts w:hint="eastAsia" w:ascii="MS UI Gothic" w:eastAsia="MS UI Gothic"/>
          <w:w w:val="80"/>
        </w:rPr>
        <w:t xml:space="preserve">、 </w:t>
      </w:r>
      <w:r>
        <w:t>自治区</w:t>
      </w:r>
      <w:r>
        <w:rPr>
          <w:rFonts w:hint="eastAsia" w:ascii="MS UI Gothic" w:eastAsia="MS UI Gothic"/>
          <w:w w:val="80"/>
        </w:rPr>
        <w:t xml:space="preserve">、  </w:t>
      </w:r>
      <w:r>
        <w:t>直辖市应急管理部门可以依据本办法的规定</w:t>
      </w:r>
      <w:r>
        <w:rPr>
          <w:rFonts w:hint="eastAsia" w:ascii="MS UI Gothic" w:eastAsia="MS UI Gothic"/>
          <w:w w:val="80"/>
        </w:rPr>
        <w:t xml:space="preserve">ꎬ </w:t>
      </w:r>
      <w:r>
        <w:t>结合本地区实际制定实施细则</w:t>
      </w:r>
      <w:r>
        <w:rPr>
          <w:rFonts w:hint="eastAsia" w:ascii="MS UI Gothic" w:eastAsia="MS UI Gothic"/>
          <w:w w:val="80"/>
        </w:rPr>
        <w:t>ꎮ</w:t>
      </w:r>
    </w:p>
    <w:p>
      <w:pPr>
        <w:pStyle w:val="6"/>
        <w:spacing w:line="295" w:lineRule="auto"/>
        <w:ind w:left="381" w:right="126"/>
        <w:rPr>
          <w:rFonts w:hint="eastAsia" w:ascii="MS UI Gothic" w:eastAsia="MS UI Gothic"/>
        </w:rPr>
      </w:pPr>
      <w:r>
        <w:t>第四十八条 对储存</w:t>
      </w:r>
      <w:r>
        <w:rPr>
          <w:rFonts w:hint="eastAsia" w:ascii="MS UI Gothic" w:eastAsia="MS UI Gothic"/>
          <w:w w:val="80"/>
        </w:rPr>
        <w:t xml:space="preserve">、 </w:t>
      </w:r>
      <w:r>
        <w:t>使用易燃易爆物品</w:t>
      </w:r>
      <w:r>
        <w:rPr>
          <w:rFonts w:hint="eastAsia" w:ascii="MS UI Gothic" w:eastAsia="MS UI Gothic"/>
          <w:w w:val="80"/>
        </w:rPr>
        <w:t xml:space="preserve">、 </w:t>
      </w:r>
      <w:r>
        <w:t>危险化学品等危险物品的科研机构</w:t>
      </w:r>
      <w:r>
        <w:rPr>
          <w:rFonts w:hint="eastAsia" w:ascii="MS UI Gothic" w:eastAsia="MS UI Gothic"/>
          <w:w w:val="80"/>
        </w:rPr>
        <w:t xml:space="preserve">、 </w:t>
      </w:r>
      <w:r>
        <w:t>学校</w:t>
      </w:r>
      <w:r>
        <w:rPr>
          <w:rFonts w:hint="eastAsia" w:ascii="MS UI Gothic" w:eastAsia="MS UI Gothic"/>
          <w:w w:val="80"/>
        </w:rPr>
        <w:t xml:space="preserve">、 </w:t>
      </w:r>
      <w:r>
        <w:t>医院等单位的安全事故应急预案的管理</w:t>
      </w:r>
      <w:r>
        <w:rPr>
          <w:rFonts w:hint="eastAsia" w:ascii="MS UI Gothic" w:eastAsia="MS UI Gothic"/>
          <w:w w:val="80"/>
        </w:rPr>
        <w:t xml:space="preserve">ꎬ </w:t>
      </w:r>
      <w:r>
        <w:t>参照本办法的有关规定执行</w:t>
      </w:r>
      <w:r>
        <w:rPr>
          <w:rFonts w:hint="eastAsia" w:ascii="MS UI Gothic" w:eastAsia="MS UI Gothic"/>
          <w:w w:val="80"/>
        </w:rPr>
        <w:t>ꎮ</w:t>
      </w:r>
    </w:p>
    <w:p>
      <w:pPr>
        <w:pStyle w:val="6"/>
        <w:spacing w:line="295" w:lineRule="auto"/>
        <w:ind w:left="536" w:right="126" w:firstLine="263"/>
        <w:rPr>
          <w:rFonts w:hint="eastAsia" w:ascii="MS UI Gothic" w:eastAsia="MS UI Gothic"/>
        </w:rPr>
      </w:pPr>
      <w:r>
        <w:pict>
          <v:shape id="_x0000_s1337" o:spid="_x0000_s1337" o:spt="202" type="#_x0000_t202" style="position:absolute;left:0pt;margin-left:280.35pt;margin-top:12pt;height:24.35pt;width:5.15pt;mso-position-horizontal-relative:page;z-index:251779072;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第四十九条 本办法自 </w:t>
      </w:r>
      <w:r>
        <w:rPr>
          <w:rFonts w:hint="eastAsia" w:ascii="MS UI Gothic" w:eastAsia="MS UI Gothic"/>
          <w:w w:val="95"/>
        </w:rPr>
        <w:t xml:space="preserve">２０１６ </w:t>
      </w:r>
      <w:r>
        <w:rPr>
          <w:w w:val="95"/>
        </w:rPr>
        <w:t xml:space="preserve">年 </w:t>
      </w:r>
      <w:r>
        <w:rPr>
          <w:rFonts w:hint="eastAsia" w:ascii="MS UI Gothic" w:eastAsia="MS UI Gothic"/>
          <w:w w:val="95"/>
        </w:rPr>
        <w:t xml:space="preserve">７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4"/>
        <w:spacing w:before="290"/>
        <w:ind w:left="286"/>
        <w:rPr>
          <w:rFonts w:hint="eastAsia" w:ascii="Microsoft Yi Baiti" w:eastAsia="Microsoft Yi Baiti"/>
        </w:rPr>
      </w:pPr>
      <w:r>
        <w:t xml:space="preserve">生产经营单位安全培训规定 </w:t>
      </w:r>
      <w:r>
        <w:rPr>
          <w:rFonts w:hint="eastAsia" w:ascii="Microsoft Yi Baiti" w:eastAsia="Microsoft Yi Baiti"/>
        </w:rPr>
        <w:t>(</w:t>
      </w:r>
      <w:r>
        <w:rPr>
          <w:rFonts w:hint="eastAsia" w:ascii="MS UI Gothic" w:eastAsia="MS UI Gothic"/>
        </w:rPr>
        <w:t xml:space="preserve">２０１５ </w:t>
      </w:r>
      <w:r>
        <w:t>年修正</w:t>
      </w:r>
      <w:r>
        <w:rPr>
          <w:rFonts w:hint="eastAsia" w:ascii="Microsoft Yi Baiti" w:eastAsia="Microsoft Yi Baiti"/>
        </w:rPr>
        <w:t>)</w:t>
      </w:r>
    </w:p>
    <w:p>
      <w:pPr>
        <w:pStyle w:val="6"/>
        <w:spacing w:before="367"/>
        <w:ind w:left="860" w:firstLine="0"/>
        <w:jc w:val="left"/>
      </w:pPr>
      <w:r>
        <w:rPr>
          <w:rFonts w:hint="eastAsia" w:ascii="Microsoft Yi Baiti" w:eastAsia="Microsoft Yi Baiti"/>
          <w:spacing w:val="2"/>
        </w:rPr>
        <w:t>(</w:t>
      </w:r>
      <w:r>
        <w:rPr>
          <w:rFonts w:hint="eastAsia" w:ascii="MS UI Gothic" w:eastAsia="MS UI Gothic"/>
          <w:spacing w:val="-5"/>
        </w:rPr>
        <w:t xml:space="preserve">２００５ </w:t>
      </w:r>
      <w:r>
        <w:rPr>
          <w:spacing w:val="-40"/>
        </w:rPr>
        <w:t xml:space="preserve">年 </w:t>
      </w:r>
      <w:r>
        <w:rPr>
          <w:rFonts w:hint="eastAsia" w:ascii="MS UI Gothic" w:eastAsia="MS UI Gothic"/>
          <w:spacing w:val="-10"/>
        </w:rPr>
        <w:t xml:space="preserve">１２ </w:t>
      </w:r>
      <w:r>
        <w:rPr>
          <w:spacing w:val="-40"/>
        </w:rPr>
        <w:t xml:space="preserve">月 </w:t>
      </w:r>
      <w:r>
        <w:rPr>
          <w:rFonts w:hint="eastAsia" w:ascii="MS UI Gothic" w:eastAsia="MS UI Gothic"/>
          <w:spacing w:val="-10"/>
        </w:rPr>
        <w:t xml:space="preserve">２８ </w:t>
      </w:r>
      <w:r>
        <w:rPr>
          <w:spacing w:val="-2"/>
        </w:rPr>
        <w:t xml:space="preserve">日国家安全生产监督管理总局局长办公会议审议通过 </w:t>
      </w:r>
      <w:r>
        <w:rPr>
          <w:rFonts w:hint="eastAsia" w:ascii="MS UI Gothic" w:eastAsia="MS UI Gothic"/>
          <w:spacing w:val="-6"/>
        </w:rPr>
        <w:t xml:space="preserve">２０１３ </w:t>
      </w:r>
      <w:r>
        <w:rPr>
          <w:spacing w:val="-40"/>
        </w:rPr>
        <w:t xml:space="preserve">年 </w:t>
      </w:r>
      <w:r>
        <w:rPr>
          <w:rFonts w:hint="eastAsia" w:ascii="MS UI Gothic" w:eastAsia="MS UI Gothic"/>
          <w:spacing w:val="-15"/>
        </w:rPr>
        <w:t xml:space="preserve">８ </w:t>
      </w:r>
      <w:r>
        <w:t>月</w:t>
      </w:r>
    </w:p>
    <w:p>
      <w:pPr>
        <w:pStyle w:val="6"/>
        <w:spacing w:before="58"/>
        <w:ind w:left="435" w:firstLine="0"/>
        <w:jc w:val="left"/>
        <w:rPr>
          <w:rFonts w:hint="eastAsia" w:ascii="Microsoft Yi Baiti" w:eastAsia="Microsoft Yi Baiti"/>
        </w:rPr>
      </w:pPr>
      <w:r>
        <w:rPr>
          <w:rFonts w:hint="eastAsia" w:ascii="MS UI Gothic" w:eastAsia="MS UI Gothic"/>
        </w:rPr>
        <w:t xml:space="preserve">２９ </w:t>
      </w:r>
      <w:r>
        <w:t xml:space="preserve">日总局第 </w:t>
      </w:r>
      <w:r>
        <w:rPr>
          <w:rFonts w:hint="eastAsia" w:ascii="MS UI Gothic" w:eastAsia="MS UI Gothic"/>
        </w:rPr>
        <w:t xml:space="preserve">６３ </w:t>
      </w:r>
      <w:r>
        <w:t>号令修改</w:t>
      </w:r>
      <w:r>
        <w:rPr>
          <w:rFonts w:hint="eastAsia" w:ascii="Microsoft Yi Baiti" w:eastAsia="Microsoft Yi Baiti"/>
        </w:rPr>
        <w:t xml:space="preserve">ꎬ </w:t>
      </w:r>
      <w:r>
        <w:rPr>
          <w:rFonts w:hint="eastAsia" w:ascii="MS UI Gothic" w:eastAsia="MS UI Gothic"/>
        </w:rPr>
        <w:t xml:space="preserve">２０１５ </w:t>
      </w:r>
      <w:r>
        <w:t xml:space="preserve">年 </w:t>
      </w:r>
      <w:r>
        <w:rPr>
          <w:rFonts w:hint="eastAsia" w:ascii="MS UI Gothic" w:eastAsia="MS UI Gothic"/>
        </w:rPr>
        <w:t xml:space="preserve">２ </w:t>
      </w:r>
      <w:r>
        <w:t xml:space="preserve">月 </w:t>
      </w:r>
      <w:r>
        <w:rPr>
          <w:rFonts w:hint="eastAsia" w:ascii="MS UI Gothic" w:eastAsia="MS UI Gothic"/>
        </w:rPr>
        <w:t xml:space="preserve">２６ </w:t>
      </w:r>
      <w:r>
        <w:t xml:space="preserve">日总局第 </w:t>
      </w:r>
      <w:r>
        <w:rPr>
          <w:rFonts w:hint="eastAsia" w:ascii="MS UI Gothic" w:eastAsia="MS UI Gothic"/>
        </w:rPr>
        <w:t xml:space="preserve">８０ </w:t>
      </w:r>
      <w:r>
        <w:t>号令修改</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5" w:lineRule="auto"/>
        <w:ind w:left="440"/>
      </w:pPr>
      <w:r>
        <w:t>第一条 为加强和规范生产经营单位安全培训工作</w:t>
      </w:r>
      <w:r>
        <w:rPr>
          <w:rFonts w:hint="eastAsia" w:ascii="MS UI Gothic" w:eastAsia="MS UI Gothic"/>
          <w:w w:val="80"/>
        </w:rPr>
        <w:t xml:space="preserve">ꎬ </w:t>
      </w:r>
      <w:r>
        <w:t>提高从业人员安全素质</w:t>
      </w:r>
      <w:r>
        <w:rPr>
          <w:rFonts w:hint="eastAsia" w:ascii="MS UI Gothic" w:eastAsia="MS UI Gothic"/>
          <w:w w:val="80"/>
        </w:rPr>
        <w:t>ꎬ</w:t>
      </w:r>
      <w:r>
        <w:t>防范伤亡事故</w:t>
      </w:r>
      <w:r>
        <w:rPr>
          <w:rFonts w:hint="eastAsia" w:ascii="MS UI Gothic" w:eastAsia="MS UI Gothic"/>
          <w:w w:val="80"/>
        </w:rPr>
        <w:t xml:space="preserve">ꎬ </w:t>
      </w:r>
      <w:r>
        <w:t>减轻职业危害</w:t>
      </w:r>
      <w:r>
        <w:rPr>
          <w:rFonts w:hint="eastAsia" w:ascii="MS UI Gothic" w:eastAsia="MS UI Gothic"/>
          <w:w w:val="80"/>
        </w:rPr>
        <w:t xml:space="preserve">ꎬ </w:t>
      </w:r>
      <w:r>
        <w:t>根据安全</w:t>
      </w:r>
    </w:p>
    <w:p>
      <w:pPr>
        <w:pStyle w:val="6"/>
        <w:spacing w:before="174" w:line="295" w:lineRule="auto"/>
        <w:ind w:left="381" w:right="126" w:firstLine="0"/>
        <w:jc w:val="left"/>
        <w:rPr>
          <w:rFonts w:hint="eastAsia" w:ascii="MS UI Gothic" w:eastAsia="MS UI Gothic"/>
        </w:rPr>
      </w:pPr>
      <w:r>
        <w:br w:type="column"/>
      </w:r>
      <w:r>
        <w:t>生产法和有关法律</w:t>
      </w:r>
      <w:r>
        <w:rPr>
          <w:rFonts w:hint="eastAsia" w:ascii="MS UI Gothic" w:eastAsia="MS UI Gothic"/>
        </w:rPr>
        <w:t xml:space="preserve">、 </w:t>
      </w:r>
      <w:r>
        <w:t>行政法规</w:t>
      </w:r>
      <w:r>
        <w:rPr>
          <w:rFonts w:hint="eastAsia" w:ascii="MS UI Gothic" w:eastAsia="MS UI Gothic"/>
          <w:w w:val="80"/>
        </w:rPr>
        <w:t xml:space="preserve">ꎬ </w:t>
      </w:r>
      <w:r>
        <w:t>制定本规定</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第二条  工矿商贸生产经营单位</w:t>
      </w:r>
      <w:r>
        <w:rPr>
          <w:rFonts w:hint="eastAsia" w:ascii="MS UI Gothic" w:eastAsia="MS UI Gothic"/>
          <w:w w:val="150"/>
        </w:rPr>
        <w:t xml:space="preserve">( </w:t>
      </w:r>
      <w:r>
        <w:rPr>
          <w:w w:val="105"/>
        </w:rPr>
        <w:t>以下简称生产经营单位</w:t>
      </w:r>
      <w:r>
        <w:rPr>
          <w:rFonts w:hint="eastAsia" w:ascii="MS UI Gothic" w:eastAsia="MS UI Gothic"/>
          <w:w w:val="150"/>
        </w:rPr>
        <w:t xml:space="preserve">) </w:t>
      </w:r>
      <w:r>
        <w:rPr>
          <w:w w:val="105"/>
        </w:rPr>
        <w:t>从业人员的安全培训</w:t>
      </w:r>
      <w:r>
        <w:rPr>
          <w:rFonts w:hint="eastAsia" w:ascii="MS UI Gothic" w:eastAsia="MS UI Gothic"/>
          <w:w w:val="80"/>
        </w:rPr>
        <w:t xml:space="preserve">ꎬ </w:t>
      </w:r>
      <w:r>
        <w:rPr>
          <w:w w:val="105"/>
        </w:rPr>
        <w:t>适用本规定</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９６</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38" o:spid="_x0000_s1338" o:spt="203" style="height:2.15pt;width:398.25pt;" coordsize="7965,43">
            <o:lock v:ext="edit"/>
            <v:line id="_x0000_s1339" o:spid="_x0000_s1339" o:spt="20" style="position:absolute;left:0;top:39;height:0;width:7965;" stroked="t" coordsize="21600,21600">
              <v:path arrowok="t"/>
              <v:fill focussize="0,0"/>
              <v:stroke weight="0.388031496062992pt" color="#231F20"/>
              <v:imagedata o:title=""/>
              <o:lock v:ext="edit"/>
            </v:line>
            <v:line id="_x0000_s1340" o:spid="_x0000_s134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spacing w:val="4"/>
        </w:rPr>
        <w:t>第三条 生产经营单位负责本单位从</w:t>
      </w:r>
      <w:r>
        <w:rPr>
          <w:spacing w:val="3"/>
        </w:rPr>
        <w:t>业人员安全培训工作</w:t>
      </w:r>
      <w:r>
        <w:rPr>
          <w:rFonts w:hint="eastAsia" w:ascii="MS UI Gothic" w:eastAsia="MS UI Gothic"/>
          <w:spacing w:val="21"/>
          <w:w w:val="80"/>
        </w:rPr>
        <w:t xml:space="preserve">ꎮ </w:t>
      </w:r>
      <w:r>
        <w:rPr>
          <w:spacing w:val="2"/>
        </w:rPr>
        <w:t>生产经营单位应当</w:t>
      </w:r>
      <w:r>
        <w:rPr>
          <w:spacing w:val="3"/>
        </w:rPr>
        <w:t>按照安全生产法和有关法律</w:t>
      </w:r>
      <w:r>
        <w:rPr>
          <w:rFonts w:hint="eastAsia" w:ascii="MS UI Gothic" w:eastAsia="MS UI Gothic"/>
          <w:spacing w:val="19"/>
          <w:w w:val="80"/>
        </w:rPr>
        <w:t xml:space="preserve">、 </w:t>
      </w:r>
      <w:r>
        <w:rPr>
          <w:spacing w:val="2"/>
        </w:rPr>
        <w:t>行政法规和</w:t>
      </w:r>
      <w:r>
        <w:rPr>
          <w:spacing w:val="3"/>
        </w:rPr>
        <w:t>本规定</w:t>
      </w:r>
      <w:r>
        <w:rPr>
          <w:rFonts w:hint="eastAsia" w:ascii="MS UI Gothic" w:eastAsia="MS UI Gothic"/>
          <w:w w:val="80"/>
        </w:rPr>
        <w:t xml:space="preserve">ꎬ </w:t>
      </w:r>
      <w:r>
        <w:rPr>
          <w:spacing w:val="3"/>
        </w:rPr>
        <w:t>建立健全安全培训工作制度</w:t>
      </w:r>
      <w:r>
        <w:rPr>
          <w:rFonts w:hint="eastAsia" w:ascii="MS UI Gothic" w:eastAsia="MS UI Gothic"/>
          <w:w w:val="80"/>
        </w:rPr>
        <w:t>ꎮ</w:t>
      </w:r>
    </w:p>
    <w:p>
      <w:pPr>
        <w:pStyle w:val="6"/>
        <w:spacing w:line="295" w:lineRule="auto"/>
        <w:ind w:right="38"/>
        <w:rPr>
          <w:rFonts w:hint="eastAsia" w:ascii="MS UI Gothic" w:eastAsia="MS UI Gothic"/>
        </w:rPr>
      </w:pPr>
      <w:r>
        <w:rPr>
          <w:spacing w:val="4"/>
        </w:rPr>
        <w:t>第四条 生产经营单位应当进行安全</w:t>
      </w:r>
      <w:r>
        <w:rPr>
          <w:spacing w:val="3"/>
        </w:rPr>
        <w:t>培训的从业人员包括主要负责人</w:t>
      </w:r>
      <w:r>
        <w:rPr>
          <w:rFonts w:hint="eastAsia" w:ascii="MS UI Gothic" w:eastAsia="MS UI Gothic"/>
          <w:spacing w:val="19"/>
          <w:w w:val="80"/>
        </w:rPr>
        <w:t xml:space="preserve">、 </w:t>
      </w:r>
      <w:r>
        <w:rPr>
          <w:spacing w:val="1"/>
        </w:rPr>
        <w:t>安全生</w:t>
      </w:r>
      <w:r>
        <w:rPr>
          <w:spacing w:val="3"/>
        </w:rPr>
        <w:t>产管理人员</w:t>
      </w:r>
      <w:r>
        <w:rPr>
          <w:rFonts w:hint="eastAsia" w:ascii="MS UI Gothic" w:eastAsia="MS UI Gothic"/>
          <w:spacing w:val="19"/>
          <w:w w:val="80"/>
        </w:rPr>
        <w:t xml:space="preserve">、 </w:t>
      </w:r>
      <w:r>
        <w:rPr>
          <w:spacing w:val="2"/>
        </w:rPr>
        <w:t>特种作业人员和其他从业人</w:t>
      </w:r>
      <w:r>
        <w:rPr>
          <w:spacing w:val="3"/>
        </w:rPr>
        <w:t>员</w:t>
      </w:r>
      <w:r>
        <w:rPr>
          <w:rFonts w:hint="eastAsia" w:ascii="MS UI Gothic" w:eastAsia="MS UI Gothic"/>
          <w:spacing w:val="18"/>
          <w:w w:val="80"/>
        </w:rPr>
        <w:t xml:space="preserve">ꎮ </w:t>
      </w:r>
      <w:r>
        <w:rPr>
          <w:spacing w:val="6"/>
        </w:rPr>
        <w:t>生产经营单位使用被派遣劳动者的</w:t>
      </w:r>
      <w:r>
        <w:rPr>
          <w:rFonts w:hint="eastAsia" w:ascii="MS UI Gothic" w:eastAsia="MS UI Gothic"/>
          <w:w w:val="80"/>
        </w:rPr>
        <w:t>ꎬ</w:t>
      </w:r>
      <w:r>
        <w:rPr>
          <w:spacing w:val="2"/>
        </w:rPr>
        <w:t>应当将被派遣劳动者纳入本单位从业人员</w:t>
      </w:r>
      <w:r>
        <w:rPr>
          <w:spacing w:val="3"/>
        </w:rPr>
        <w:t>统一管理</w:t>
      </w:r>
      <w:r>
        <w:rPr>
          <w:rFonts w:hint="eastAsia" w:ascii="MS UI Gothic" w:eastAsia="MS UI Gothic"/>
          <w:spacing w:val="21"/>
          <w:w w:val="80"/>
        </w:rPr>
        <w:t xml:space="preserve">ꎬ </w:t>
      </w:r>
      <w:r>
        <w:rPr>
          <w:spacing w:val="2"/>
        </w:rPr>
        <w:t>对被派遣劳动者进行岗位安全</w:t>
      </w:r>
      <w:r>
        <w:rPr>
          <w:spacing w:val="4"/>
        </w:rPr>
        <w:t>操作规程和安全操作技能的教育和培训</w:t>
      </w:r>
      <w:r>
        <w:rPr>
          <w:rFonts w:hint="eastAsia" w:ascii="MS UI Gothic" w:eastAsia="MS UI Gothic"/>
          <w:w w:val="80"/>
        </w:rPr>
        <w:t>ꎮ</w:t>
      </w:r>
      <w:r>
        <w:rPr>
          <w:spacing w:val="2"/>
        </w:rPr>
        <w:t>劳务派遣单位应当对被派遣劳动者进行必</w:t>
      </w:r>
      <w:r>
        <w:rPr>
          <w:spacing w:val="3"/>
        </w:rPr>
        <w:t>要的安全生产教育和培训</w:t>
      </w:r>
      <w:r>
        <w:rPr>
          <w:rFonts w:hint="eastAsia" w:ascii="MS UI Gothic" w:eastAsia="MS UI Gothic"/>
          <w:spacing w:val="21"/>
          <w:w w:val="80"/>
        </w:rPr>
        <w:t xml:space="preserve">ꎮ </w:t>
      </w:r>
      <w:r>
        <w:rPr>
          <w:spacing w:val="2"/>
        </w:rPr>
        <w:t>生产经营单位</w:t>
      </w:r>
      <w:r>
        <w:rPr>
          <w:spacing w:val="12"/>
        </w:rPr>
        <w:t>接收中等职业学校</w:t>
      </w:r>
      <w:r>
        <w:rPr>
          <w:rFonts w:hint="eastAsia" w:ascii="MS UI Gothic" w:eastAsia="MS UI Gothic"/>
          <w:w w:val="80"/>
        </w:rPr>
        <w:t xml:space="preserve">、 </w:t>
      </w:r>
      <w:r>
        <w:rPr>
          <w:spacing w:val="16"/>
        </w:rPr>
        <w:t>高等学校学生实习</w:t>
      </w:r>
      <w:r>
        <w:rPr>
          <w:spacing w:val="3"/>
        </w:rPr>
        <w:t>的</w:t>
      </w:r>
      <w:r>
        <w:rPr>
          <w:rFonts w:hint="eastAsia" w:ascii="MS UI Gothic" w:eastAsia="MS UI Gothic"/>
          <w:spacing w:val="21"/>
          <w:w w:val="80"/>
        </w:rPr>
        <w:t xml:space="preserve">ꎬ </w:t>
      </w:r>
      <w:r>
        <w:rPr>
          <w:spacing w:val="2"/>
        </w:rPr>
        <w:t>应当对实习学生进行相应的安全生产</w:t>
      </w:r>
      <w:r>
        <w:rPr>
          <w:spacing w:val="3"/>
        </w:rPr>
        <w:t>教育和培训</w:t>
      </w:r>
      <w:r>
        <w:rPr>
          <w:rFonts w:hint="eastAsia" w:ascii="MS UI Gothic" w:eastAsia="MS UI Gothic"/>
          <w:spacing w:val="21"/>
          <w:w w:val="80"/>
        </w:rPr>
        <w:t xml:space="preserve">ꎬ </w:t>
      </w:r>
      <w:r>
        <w:rPr>
          <w:spacing w:val="11"/>
        </w:rPr>
        <w:t>提供必要的劳动防护用品</w:t>
      </w:r>
      <w:r>
        <w:rPr>
          <w:rFonts w:hint="eastAsia" w:ascii="MS UI Gothic" w:eastAsia="MS UI Gothic"/>
          <w:w w:val="80"/>
        </w:rPr>
        <w:t>ꎮ</w:t>
      </w:r>
      <w:r>
        <w:rPr>
          <w:spacing w:val="2"/>
        </w:rPr>
        <w:t>学校应当协助生产经营单位对实习学生进</w:t>
      </w:r>
      <w:r>
        <w:rPr>
          <w:spacing w:val="3"/>
        </w:rPr>
        <w:t>行安全生产教育和培训</w:t>
      </w:r>
      <w:r>
        <w:rPr>
          <w:rFonts w:hint="eastAsia" w:ascii="MS UI Gothic" w:eastAsia="MS UI Gothic"/>
          <w:spacing w:val="21"/>
          <w:w w:val="80"/>
        </w:rPr>
        <w:t xml:space="preserve">ꎮ </w:t>
      </w:r>
      <w:r>
        <w:rPr>
          <w:spacing w:val="2"/>
        </w:rPr>
        <w:t>生产经营单位从</w:t>
      </w:r>
      <w:r>
        <w:rPr>
          <w:spacing w:val="3"/>
        </w:rPr>
        <w:t>业人员应当接受安全培训</w:t>
      </w:r>
      <w:r>
        <w:rPr>
          <w:rFonts w:hint="eastAsia" w:ascii="MS UI Gothic" w:eastAsia="MS UI Gothic"/>
          <w:spacing w:val="21"/>
          <w:w w:val="80"/>
        </w:rPr>
        <w:t xml:space="preserve">ꎬ </w:t>
      </w:r>
      <w:r>
        <w:rPr>
          <w:spacing w:val="2"/>
        </w:rPr>
        <w:t>熟悉有关安全</w:t>
      </w:r>
      <w:r>
        <w:rPr>
          <w:spacing w:val="3"/>
        </w:rPr>
        <w:t>生产规章制度和安全操作规程</w:t>
      </w:r>
      <w:r>
        <w:rPr>
          <w:rFonts w:hint="eastAsia" w:ascii="MS UI Gothic" w:eastAsia="MS UI Gothic"/>
          <w:spacing w:val="21"/>
          <w:w w:val="80"/>
        </w:rPr>
        <w:t xml:space="preserve">ꎬ </w:t>
      </w:r>
      <w:r>
        <w:rPr>
          <w:spacing w:val="2"/>
        </w:rPr>
        <w:t>具备必要</w:t>
      </w:r>
      <w:r>
        <w:rPr>
          <w:spacing w:val="3"/>
        </w:rPr>
        <w:t>的安全生产知识</w:t>
      </w:r>
      <w:r>
        <w:rPr>
          <w:rFonts w:hint="eastAsia" w:ascii="MS UI Gothic" w:eastAsia="MS UI Gothic"/>
          <w:spacing w:val="21"/>
          <w:w w:val="80"/>
        </w:rPr>
        <w:t xml:space="preserve">ꎬ </w:t>
      </w:r>
      <w:r>
        <w:rPr>
          <w:spacing w:val="2"/>
        </w:rPr>
        <w:t>掌握本岗位的安全操作</w:t>
      </w:r>
      <w:r>
        <w:rPr>
          <w:spacing w:val="3"/>
        </w:rPr>
        <w:t>技能</w:t>
      </w:r>
      <w:r>
        <w:rPr>
          <w:rFonts w:hint="eastAsia" w:ascii="MS UI Gothic" w:eastAsia="MS UI Gothic"/>
          <w:spacing w:val="23"/>
          <w:w w:val="80"/>
        </w:rPr>
        <w:t xml:space="preserve">ꎬ </w:t>
      </w:r>
      <w:r>
        <w:rPr>
          <w:spacing w:val="3"/>
        </w:rPr>
        <w:t>了解事故应急处理措施</w:t>
      </w:r>
      <w:r>
        <w:rPr>
          <w:rFonts w:hint="eastAsia" w:ascii="MS UI Gothic" w:eastAsia="MS UI Gothic"/>
          <w:spacing w:val="23"/>
          <w:w w:val="80"/>
        </w:rPr>
        <w:t xml:space="preserve">ꎬ </w:t>
      </w:r>
      <w:r>
        <w:rPr>
          <w:spacing w:val="2"/>
        </w:rPr>
        <w:t>知悉自身</w:t>
      </w:r>
      <w:r>
        <w:rPr>
          <w:spacing w:val="3"/>
        </w:rPr>
        <w:t>在安全生产方面的权利和义务</w:t>
      </w:r>
      <w:r>
        <w:rPr>
          <w:rFonts w:hint="eastAsia" w:ascii="MS UI Gothic" w:eastAsia="MS UI Gothic"/>
          <w:spacing w:val="21"/>
          <w:w w:val="80"/>
        </w:rPr>
        <w:t xml:space="preserve">ꎮ </w:t>
      </w:r>
      <w:r>
        <w:rPr>
          <w:spacing w:val="2"/>
        </w:rPr>
        <w:t>未经安全</w:t>
      </w:r>
      <w:r>
        <w:rPr>
          <w:spacing w:val="3"/>
        </w:rPr>
        <w:t>培训合格的从业人员</w:t>
      </w:r>
      <w:r>
        <w:rPr>
          <w:rFonts w:hint="eastAsia" w:ascii="MS UI Gothic" w:eastAsia="MS UI Gothic"/>
          <w:w w:val="80"/>
        </w:rPr>
        <w:t xml:space="preserve">ꎬ </w:t>
      </w:r>
      <w:r>
        <w:rPr>
          <w:spacing w:val="3"/>
        </w:rPr>
        <w:t>不得上岗作业</w:t>
      </w:r>
      <w:r>
        <w:rPr>
          <w:rFonts w:hint="eastAsia" w:ascii="MS UI Gothic" w:eastAsia="MS UI Gothic"/>
          <w:w w:val="80"/>
        </w:rPr>
        <w:t>ꎮ</w:t>
      </w:r>
    </w:p>
    <w:p>
      <w:pPr>
        <w:pStyle w:val="6"/>
        <w:tabs>
          <w:tab w:val="left" w:pos="1382"/>
        </w:tabs>
        <w:spacing w:line="240" w:lineRule="exact"/>
        <w:ind w:left="543" w:firstLine="0"/>
        <w:jc w:val="left"/>
      </w:pPr>
      <w:r>
        <w:rPr>
          <w:spacing w:val="3"/>
          <w:w w:val="105"/>
        </w:rPr>
        <w:t>第五</w:t>
      </w:r>
      <w:r>
        <w:rPr>
          <w:w w:val="105"/>
        </w:rPr>
        <w:t>条</w:t>
      </w:r>
      <w:r>
        <w:rPr>
          <w:w w:val="105"/>
        </w:rPr>
        <w:tab/>
      </w:r>
      <w:r>
        <w:rPr>
          <w:spacing w:val="3"/>
        </w:rPr>
        <w:t>国家安全生产监督管理总</w:t>
      </w:r>
      <w:r>
        <w:t>局</w:t>
      </w:r>
    </w:p>
    <w:p>
      <w:pPr>
        <w:pStyle w:val="6"/>
        <w:spacing w:before="55" w:line="295" w:lineRule="auto"/>
        <w:ind w:right="38" w:firstLine="0"/>
        <w:rPr>
          <w:rFonts w:hint="eastAsia" w:ascii="MS UI Gothic" w:eastAsia="MS UI Gothic"/>
        </w:rPr>
      </w:pPr>
      <w:r>
        <w:t>指导全国安全培训工作</w:t>
      </w:r>
      <w:r>
        <w:rPr>
          <w:rFonts w:hint="eastAsia" w:ascii="MS UI Gothic" w:eastAsia="MS UI Gothic"/>
          <w:w w:val="80"/>
        </w:rPr>
        <w:t xml:space="preserve">ꎬ </w:t>
      </w:r>
      <w:r>
        <w:t>依法对全国的安全培训工作实施监督管理</w:t>
      </w:r>
      <w:r>
        <w:rPr>
          <w:rFonts w:hint="eastAsia" w:ascii="MS UI Gothic" w:eastAsia="MS UI Gothic"/>
          <w:w w:val="80"/>
        </w:rPr>
        <w:t xml:space="preserve">ꎮ </w:t>
      </w:r>
      <w:r>
        <w:t>国务院有关主管部门按照各自职责指导监督本行业安全培训工作</w:t>
      </w:r>
      <w:r>
        <w:rPr>
          <w:rFonts w:hint="eastAsia" w:ascii="MS UI Gothic" w:eastAsia="MS UI Gothic"/>
          <w:w w:val="80"/>
        </w:rPr>
        <w:t xml:space="preserve">ꎬ </w:t>
      </w:r>
      <w:r>
        <w:t>并按照本规定制定实施办法</w:t>
      </w:r>
      <w:r>
        <w:rPr>
          <w:rFonts w:hint="eastAsia" w:ascii="MS UI Gothic" w:eastAsia="MS UI Gothic"/>
          <w:w w:val="80"/>
        </w:rPr>
        <w:t>ꎮ</w:t>
      </w:r>
      <w:r>
        <w:t>国家煤矿安全监察局指导监督检查全国煤矿安全培训工作</w:t>
      </w:r>
      <w:r>
        <w:rPr>
          <w:rFonts w:hint="eastAsia" w:ascii="MS UI Gothic" w:eastAsia="MS UI Gothic"/>
          <w:w w:val="80"/>
        </w:rPr>
        <w:t xml:space="preserve">ꎮ </w:t>
      </w:r>
      <w:r>
        <w:t>各级安全生产监督管理</w:t>
      </w:r>
      <w:r>
        <w:rPr>
          <w:w w:val="105"/>
        </w:rPr>
        <w:t xml:space="preserve">部门和煤矿安全监察机构 </w:t>
      </w:r>
      <w:r>
        <w:rPr>
          <w:rFonts w:hint="eastAsia" w:ascii="MS UI Gothic" w:eastAsia="MS UI Gothic"/>
          <w:w w:val="150"/>
        </w:rPr>
        <w:t xml:space="preserve">( </w:t>
      </w:r>
      <w:r>
        <w:rPr>
          <w:w w:val="105"/>
        </w:rPr>
        <w:t>以下简称安全生产监管监察部门</w:t>
      </w:r>
      <w:r>
        <w:rPr>
          <w:rFonts w:hint="eastAsia" w:ascii="MS UI Gothic" w:eastAsia="MS UI Gothic"/>
          <w:w w:val="120"/>
        </w:rPr>
        <w:t xml:space="preserve">) </w:t>
      </w:r>
      <w:r>
        <w:rPr>
          <w:w w:val="105"/>
        </w:rPr>
        <w:t>按照各自的职责</w:t>
      </w:r>
      <w:r>
        <w:rPr>
          <w:rFonts w:hint="eastAsia" w:ascii="MS UI Gothic" w:eastAsia="MS UI Gothic"/>
          <w:w w:val="80"/>
        </w:rPr>
        <w:t>ꎬ</w:t>
      </w:r>
      <w:r>
        <w:t>依法对生产经营单位的安全培训工作实施</w:t>
      </w:r>
      <w:r>
        <w:rPr>
          <w:w w:val="105"/>
        </w:rPr>
        <w:t>监督管理</w:t>
      </w:r>
      <w:r>
        <w:rPr>
          <w:rFonts w:hint="eastAsia" w:ascii="MS UI Gothic" w:eastAsia="MS UI Gothic"/>
          <w:w w:val="80"/>
        </w:rPr>
        <w:t>ꎮ</w:t>
      </w:r>
    </w:p>
    <w:p>
      <w:pPr>
        <w:pStyle w:val="6"/>
        <w:tabs>
          <w:tab w:val="left" w:pos="1382"/>
        </w:tabs>
        <w:spacing w:before="149" w:line="295" w:lineRule="auto"/>
        <w:ind w:left="1067" w:right="459" w:hanging="524"/>
        <w:jc w:val="left"/>
      </w:pPr>
      <w:r>
        <w:rPr>
          <w:spacing w:val="3"/>
        </w:rPr>
        <w:t>第二</w:t>
      </w:r>
      <w:r>
        <w:t>章</w:t>
      </w:r>
      <w:r>
        <w:tab/>
      </w:r>
      <w:r>
        <w:rPr>
          <w:spacing w:val="3"/>
        </w:rPr>
        <w:t>主要负责人</w:t>
      </w:r>
      <w:r>
        <w:rPr>
          <w:rFonts w:hint="eastAsia" w:ascii="Microsoft Yi Baiti" w:eastAsia="Microsoft Yi Baiti"/>
        </w:rPr>
        <w:t>、</w:t>
      </w:r>
      <w:r>
        <w:rPr>
          <w:rFonts w:hint="eastAsia" w:ascii="Microsoft Yi Baiti" w:eastAsia="Microsoft Yi Baiti"/>
          <w:spacing w:val="34"/>
        </w:rPr>
        <w:t xml:space="preserve"> </w:t>
      </w:r>
      <w:r>
        <w:rPr>
          <w:spacing w:val="3"/>
        </w:rPr>
        <w:t>安全生</w:t>
      </w:r>
      <w:r>
        <w:t>产</w:t>
      </w:r>
      <w:r>
        <w:rPr>
          <w:spacing w:val="3"/>
        </w:rPr>
        <w:t>管理人员的安全培</w:t>
      </w:r>
      <w:r>
        <w:t>训</w:t>
      </w:r>
    </w:p>
    <w:p>
      <w:pPr>
        <w:pStyle w:val="6"/>
        <w:tabs>
          <w:tab w:val="left" w:pos="1382"/>
        </w:tabs>
        <w:spacing w:before="156"/>
        <w:ind w:left="543" w:firstLine="0"/>
        <w:jc w:val="left"/>
      </w:pPr>
      <w:r>
        <w:rPr>
          <w:spacing w:val="3"/>
          <w:w w:val="105"/>
        </w:rPr>
        <w:t>第六</w:t>
      </w:r>
      <w:r>
        <w:rPr>
          <w:w w:val="105"/>
        </w:rPr>
        <w:t>条</w:t>
      </w:r>
      <w:r>
        <w:rPr>
          <w:w w:val="105"/>
        </w:rPr>
        <w:tab/>
      </w:r>
      <w:r>
        <w:rPr>
          <w:spacing w:val="3"/>
        </w:rPr>
        <w:t>生产经营单位主要负责人</w:t>
      </w:r>
      <w:r>
        <w:t>和</w:t>
      </w:r>
    </w:p>
    <w:p>
      <w:pPr>
        <w:pStyle w:val="6"/>
        <w:spacing w:before="123" w:line="295" w:lineRule="auto"/>
        <w:ind w:left="130" w:right="442" w:firstLine="0"/>
        <w:rPr>
          <w:rFonts w:hint="eastAsia" w:ascii="MS UI Gothic" w:eastAsia="MS UI Gothic"/>
        </w:rPr>
      </w:pPr>
      <w:r>
        <w:br w:type="column"/>
      </w:r>
      <w:r>
        <w:t>安全生产管理人员应当接受安全培训</w:t>
      </w:r>
      <w:r>
        <w:rPr>
          <w:rFonts w:hint="eastAsia" w:ascii="MS UI Gothic" w:eastAsia="MS UI Gothic"/>
          <w:w w:val="80"/>
        </w:rPr>
        <w:t xml:space="preserve">ꎬ </w:t>
      </w:r>
      <w:r>
        <w:t>具备与所从事的生产经营活动相适应的安全</w:t>
      </w:r>
      <w:r>
        <w:rPr>
          <w:w w:val="105"/>
        </w:rPr>
        <w:t>生产知识和管理能力</w:t>
      </w:r>
      <w:r>
        <w:rPr>
          <w:rFonts w:hint="eastAsia" w:ascii="MS UI Gothic" w:eastAsia="MS UI Gothic"/>
          <w:w w:val="80"/>
        </w:rPr>
        <w:t>ꎮ</w:t>
      </w:r>
    </w:p>
    <w:p>
      <w:pPr>
        <w:pStyle w:val="6"/>
        <w:spacing w:line="295" w:lineRule="auto"/>
        <w:ind w:left="130" w:right="442"/>
        <w:rPr>
          <w:rFonts w:hint="eastAsia" w:ascii="MS UI Gothic" w:eastAsia="MS UI Gothic"/>
        </w:rPr>
      </w:pPr>
      <w:r>
        <w:rPr>
          <w:w w:val="105"/>
        </w:rPr>
        <w:t>第七条 生产经营单位主要负责人安</w:t>
      </w:r>
      <w:r>
        <w:rPr>
          <w:w w:val="110"/>
        </w:rPr>
        <w:t>全培训应当包括下列内容</w:t>
      </w:r>
      <w:r>
        <w:rPr>
          <w:rFonts w:hint="eastAsia" w:ascii="MS UI Gothic" w:eastAsia="MS UI Gothic"/>
          <w:w w:val="235"/>
        </w:rPr>
        <w:t>:</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国家安全生产方针</w:t>
      </w:r>
      <w:r>
        <w:rPr>
          <w:rFonts w:hint="eastAsia" w:ascii="MS UI Gothic" w:eastAsia="MS UI Gothic"/>
          <w:w w:val="80"/>
        </w:rPr>
        <w:t xml:space="preserve">、 </w:t>
      </w:r>
      <w:r>
        <w:rPr>
          <w:w w:val="105"/>
        </w:rPr>
        <w:t>政策和有关安全生产的法律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规章及标准</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安全生产管理基本知识</w:t>
      </w:r>
      <w:r>
        <w:rPr>
          <w:rFonts w:hint="eastAsia" w:ascii="MS UI Gothic" w:eastAsia="MS UI Gothic"/>
          <w:w w:val="80"/>
        </w:rPr>
        <w:t xml:space="preserve">、 </w:t>
      </w:r>
      <w:r>
        <w:rPr>
          <w:w w:val="105"/>
        </w:rPr>
        <w:t>安全生产技术</w:t>
      </w:r>
      <w:r>
        <w:rPr>
          <w:rFonts w:hint="eastAsia" w:ascii="MS UI Gothic" w:eastAsia="MS UI Gothic"/>
          <w:w w:val="80"/>
        </w:rPr>
        <w:t xml:space="preserve">、 </w:t>
      </w:r>
      <w:r>
        <w:rPr>
          <w:w w:val="105"/>
        </w:rPr>
        <w:t>安全生产专业知识</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重大危险源管理</w:t>
      </w:r>
      <w:r>
        <w:rPr>
          <w:rFonts w:hint="eastAsia" w:ascii="MS UI Gothic" w:eastAsia="MS UI Gothic"/>
          <w:w w:val="80"/>
        </w:rPr>
        <w:t xml:space="preserve">、 </w:t>
      </w:r>
      <w:r>
        <w:rPr>
          <w:w w:val="105"/>
        </w:rPr>
        <w:t>重大事故防范</w:t>
      </w:r>
      <w:r>
        <w:rPr>
          <w:rFonts w:hint="eastAsia" w:ascii="MS UI Gothic" w:eastAsia="MS UI Gothic"/>
          <w:w w:val="80"/>
        </w:rPr>
        <w:t xml:space="preserve">、 </w:t>
      </w:r>
      <w:r>
        <w:rPr>
          <w:w w:val="105"/>
        </w:rPr>
        <w:t>应急管理和救援组织以及事故调查处理的有关规定</w:t>
      </w:r>
      <w:r>
        <w:rPr>
          <w:rFonts w:hint="eastAsia" w:ascii="MS UI Gothic" w:eastAsia="MS UI Gothic"/>
          <w:w w:val="80"/>
        </w:rPr>
        <w:t>ꎻ</w:t>
      </w:r>
    </w:p>
    <w:p>
      <w:pPr>
        <w:pStyle w:val="6"/>
        <w:spacing w:line="254" w:lineRule="exact"/>
        <w:ind w:left="549"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职业危害及其预防措施</w:t>
      </w:r>
      <w:r>
        <w:rPr>
          <w:rFonts w:hint="eastAsia" w:ascii="MS UI Gothic" w:eastAsia="MS UI Gothic"/>
          <w:w w:val="80"/>
        </w:rPr>
        <w:t>ꎻ</w:t>
      </w:r>
    </w:p>
    <w:p>
      <w:pPr>
        <w:pStyle w:val="6"/>
        <w:spacing w:before="51" w:line="295" w:lineRule="auto"/>
        <w:ind w:left="130" w:right="442"/>
        <w:rPr>
          <w:rFonts w:hint="eastAsia" w:ascii="MS UI Gothic" w:eastAsia="MS UI Gothic"/>
        </w:rPr>
      </w:pPr>
      <w:r>
        <w:rPr>
          <w:rFonts w:hint="eastAsia" w:ascii="MS UI Gothic" w:eastAsia="MS UI Gothic"/>
          <w:spacing w:val="-34"/>
          <w:w w:val="120"/>
        </w:rPr>
        <w:t xml:space="preserve">( </w:t>
      </w:r>
      <w:r>
        <w:rPr>
          <w:spacing w:val="5"/>
          <w:w w:val="110"/>
        </w:rPr>
        <w:t>五</w:t>
      </w:r>
      <w:r>
        <w:rPr>
          <w:rFonts w:hint="eastAsia" w:ascii="MS UI Gothic" w:eastAsia="MS UI Gothic"/>
          <w:spacing w:val="-13"/>
          <w:w w:val="120"/>
        </w:rPr>
        <w:t xml:space="preserve">) </w:t>
      </w:r>
      <w:r>
        <w:rPr>
          <w:spacing w:val="23"/>
          <w:w w:val="110"/>
        </w:rPr>
        <w:t>国内外先进的安全生产管理</w:t>
      </w:r>
      <w:r>
        <w:rPr>
          <w:spacing w:val="3"/>
          <w:w w:val="110"/>
        </w:rPr>
        <w:t>经验</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spacing w:val="-36"/>
          <w:w w:val="130"/>
        </w:rPr>
        <w:t xml:space="preserve">( </w:t>
      </w:r>
      <w:r>
        <w:rPr>
          <w:spacing w:val="29"/>
          <w:w w:val="110"/>
        </w:rPr>
        <w:t>六</w:t>
      </w:r>
      <w:r>
        <w:rPr>
          <w:rFonts w:hint="eastAsia" w:ascii="MS UI Gothic" w:eastAsia="MS UI Gothic"/>
          <w:spacing w:val="-13"/>
          <w:w w:val="130"/>
        </w:rPr>
        <w:t xml:space="preserve">) </w:t>
      </w:r>
      <w:r>
        <w:rPr>
          <w:spacing w:val="41"/>
          <w:w w:val="110"/>
        </w:rPr>
        <w:t>典型事故和应急救援案例</w:t>
      </w:r>
      <w:r>
        <w:rPr>
          <w:spacing w:val="3"/>
          <w:w w:val="110"/>
        </w:rPr>
        <w:t>分析</w:t>
      </w:r>
      <w:r>
        <w:rPr>
          <w:rFonts w:hint="eastAsia" w:ascii="MS UI Gothic" w:eastAsia="MS UI Gothic"/>
          <w:w w:val="80"/>
        </w:rPr>
        <w:t>ꎻ</w:t>
      </w:r>
    </w:p>
    <w:p>
      <w:pPr>
        <w:pStyle w:val="6"/>
        <w:spacing w:line="255" w:lineRule="exact"/>
        <w:ind w:left="549"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其他需要培训的内容</w:t>
      </w:r>
      <w:r>
        <w:rPr>
          <w:rFonts w:hint="eastAsia" w:ascii="MS UI Gothic" w:eastAsia="MS UI Gothic"/>
          <w:w w:val="80"/>
        </w:rPr>
        <w:t>ꎮ</w:t>
      </w:r>
    </w:p>
    <w:p>
      <w:pPr>
        <w:pStyle w:val="6"/>
        <w:spacing w:before="57" w:line="295" w:lineRule="auto"/>
        <w:ind w:left="130" w:right="442"/>
        <w:rPr>
          <w:rFonts w:hint="eastAsia" w:ascii="MS UI Gothic" w:eastAsia="MS UI Gothic"/>
        </w:rPr>
      </w:pPr>
      <w:r>
        <w:rPr>
          <w:w w:val="105"/>
        </w:rPr>
        <w:t>第八条 生产经营单位安全生产管理</w:t>
      </w:r>
      <w:r>
        <w:rPr>
          <w:w w:val="110"/>
        </w:rPr>
        <w:t>人员安全培训应当包括下列内容</w:t>
      </w:r>
      <w:r>
        <w:rPr>
          <w:rFonts w:hint="eastAsia" w:ascii="MS UI Gothic" w:eastAsia="MS UI Gothic"/>
          <w:w w:val="235"/>
        </w:rPr>
        <w:t>:</w:t>
      </w:r>
    </w:p>
    <w:p>
      <w:pPr>
        <w:pStyle w:val="6"/>
        <w:spacing w:line="295" w:lineRule="auto"/>
        <w:ind w:left="130" w:right="442"/>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国家安全生产方针</w:t>
      </w:r>
      <w:r>
        <w:rPr>
          <w:rFonts w:hint="eastAsia" w:ascii="MS UI Gothic" w:eastAsia="MS UI Gothic"/>
          <w:w w:val="80"/>
        </w:rPr>
        <w:t xml:space="preserve">、 </w:t>
      </w:r>
      <w:r>
        <w:rPr>
          <w:w w:val="105"/>
        </w:rPr>
        <w:t>政策和有关安全生产的法律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规章及标准</w:t>
      </w:r>
      <w:r>
        <w:rPr>
          <w:rFonts w:hint="eastAsia" w:ascii="MS UI Gothic" w:eastAsia="MS UI Gothic"/>
          <w:w w:val="80"/>
        </w:rPr>
        <w:t>ꎻ</w:t>
      </w:r>
    </w:p>
    <w:p>
      <w:pPr>
        <w:pStyle w:val="6"/>
        <w:spacing w:line="295" w:lineRule="auto"/>
        <w:ind w:left="130" w:right="442"/>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安全生产管理</w:t>
      </w:r>
      <w:r>
        <w:rPr>
          <w:rFonts w:hint="eastAsia" w:ascii="MS UI Gothic" w:eastAsia="MS UI Gothic"/>
          <w:w w:val="80"/>
        </w:rPr>
        <w:t xml:space="preserve">、 </w:t>
      </w:r>
      <w:r>
        <w:rPr>
          <w:w w:val="105"/>
        </w:rPr>
        <w:t>安全生产技术</w:t>
      </w:r>
      <w:r>
        <w:rPr>
          <w:rFonts w:hint="eastAsia" w:ascii="MS UI Gothic" w:eastAsia="MS UI Gothic"/>
          <w:w w:val="80"/>
        </w:rPr>
        <w:t xml:space="preserve">、 </w:t>
      </w:r>
      <w:r>
        <w:rPr>
          <w:w w:val="105"/>
        </w:rPr>
        <w:t>职业卫生等知识</w:t>
      </w:r>
      <w:r>
        <w:rPr>
          <w:rFonts w:hint="eastAsia" w:ascii="MS UI Gothic" w:eastAsia="MS UI Gothic"/>
          <w:w w:val="80"/>
        </w:rPr>
        <w:t>ꎻ</w:t>
      </w:r>
    </w:p>
    <w:p>
      <w:pPr>
        <w:pStyle w:val="6"/>
        <w:spacing w:line="295" w:lineRule="auto"/>
        <w:ind w:left="130" w:right="442"/>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伤亡事故统计</w:t>
      </w:r>
      <w:r>
        <w:rPr>
          <w:rFonts w:hint="eastAsia" w:ascii="MS UI Gothic" w:eastAsia="MS UI Gothic"/>
          <w:w w:val="80"/>
        </w:rPr>
        <w:t xml:space="preserve">、 </w:t>
      </w:r>
      <w:r>
        <w:rPr>
          <w:w w:val="105"/>
        </w:rPr>
        <w:t>报告及职业危害的调查处理方法</w:t>
      </w:r>
      <w:r>
        <w:rPr>
          <w:rFonts w:hint="eastAsia" w:ascii="MS UI Gothic" w:eastAsia="MS UI Gothic"/>
          <w:w w:val="80"/>
        </w:rPr>
        <w:t>ꎻ</w:t>
      </w:r>
    </w:p>
    <w:p>
      <w:pPr>
        <w:pStyle w:val="6"/>
        <w:spacing w:line="295" w:lineRule="auto"/>
        <w:ind w:left="130" w:right="442"/>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应急管理</w:t>
      </w:r>
      <w:r>
        <w:rPr>
          <w:rFonts w:hint="eastAsia" w:ascii="MS UI Gothic" w:eastAsia="MS UI Gothic"/>
          <w:w w:val="80"/>
        </w:rPr>
        <w:t xml:space="preserve">、 </w:t>
      </w:r>
      <w:r>
        <w:rPr>
          <w:w w:val="105"/>
        </w:rPr>
        <w:t>应急预案编制以及应急处置的内容和要求</w:t>
      </w:r>
      <w:r>
        <w:rPr>
          <w:rFonts w:hint="eastAsia" w:ascii="MS UI Gothic" w:eastAsia="MS UI Gothic"/>
          <w:w w:val="80"/>
        </w:rPr>
        <w:t>ꎻ</w:t>
      </w:r>
    </w:p>
    <w:p>
      <w:pPr>
        <w:pStyle w:val="6"/>
        <w:spacing w:line="295" w:lineRule="auto"/>
        <w:ind w:left="130" w:right="442"/>
        <w:jc w:val="left"/>
        <w:rPr>
          <w:rFonts w:hint="eastAsia" w:ascii="MS UI Gothic" w:eastAsia="MS UI Gothic"/>
        </w:rPr>
      </w:pPr>
      <w:r>
        <w:rPr>
          <w:rFonts w:hint="eastAsia" w:ascii="MS UI Gothic" w:eastAsia="MS UI Gothic"/>
          <w:spacing w:val="-34"/>
          <w:w w:val="120"/>
        </w:rPr>
        <w:t xml:space="preserve">( </w:t>
      </w:r>
      <w:r>
        <w:rPr>
          <w:spacing w:val="5"/>
          <w:w w:val="110"/>
        </w:rPr>
        <w:t>五</w:t>
      </w:r>
      <w:r>
        <w:rPr>
          <w:rFonts w:hint="eastAsia" w:ascii="MS UI Gothic" w:eastAsia="MS UI Gothic"/>
          <w:spacing w:val="-13"/>
          <w:w w:val="120"/>
        </w:rPr>
        <w:t xml:space="preserve">) </w:t>
      </w:r>
      <w:r>
        <w:rPr>
          <w:spacing w:val="23"/>
          <w:w w:val="110"/>
        </w:rPr>
        <w:t>国内外先进的安全生产管理</w:t>
      </w:r>
      <w:r>
        <w:rPr>
          <w:spacing w:val="3"/>
          <w:w w:val="110"/>
        </w:rPr>
        <w:t>经验</w:t>
      </w:r>
      <w:r>
        <w:rPr>
          <w:rFonts w:hint="eastAsia" w:ascii="MS UI Gothic" w:eastAsia="MS UI Gothic"/>
          <w:w w:val="80"/>
        </w:rPr>
        <w:t>ꎻ</w:t>
      </w:r>
    </w:p>
    <w:p>
      <w:pPr>
        <w:pStyle w:val="6"/>
        <w:spacing w:line="295" w:lineRule="auto"/>
        <w:ind w:left="130" w:right="442"/>
        <w:jc w:val="left"/>
        <w:rPr>
          <w:rFonts w:hint="eastAsia" w:ascii="MS UI Gothic" w:eastAsia="MS UI Gothic"/>
        </w:rPr>
      </w:pPr>
      <w:r>
        <w:rPr>
          <w:rFonts w:hint="eastAsia" w:ascii="MS UI Gothic" w:eastAsia="MS UI Gothic"/>
          <w:spacing w:val="-36"/>
          <w:w w:val="130"/>
        </w:rPr>
        <w:t xml:space="preserve">( </w:t>
      </w:r>
      <w:r>
        <w:rPr>
          <w:spacing w:val="29"/>
          <w:w w:val="110"/>
        </w:rPr>
        <w:t>六</w:t>
      </w:r>
      <w:r>
        <w:rPr>
          <w:rFonts w:hint="eastAsia" w:ascii="MS UI Gothic" w:eastAsia="MS UI Gothic"/>
          <w:spacing w:val="-13"/>
          <w:w w:val="130"/>
        </w:rPr>
        <w:t xml:space="preserve">) </w:t>
      </w:r>
      <w:r>
        <w:rPr>
          <w:spacing w:val="41"/>
          <w:w w:val="110"/>
        </w:rPr>
        <w:t>典型事故和应急救援案例</w:t>
      </w:r>
      <w:r>
        <w:rPr>
          <w:spacing w:val="3"/>
          <w:w w:val="110"/>
        </w:rPr>
        <w:t>分析</w:t>
      </w:r>
      <w:r>
        <w:rPr>
          <w:rFonts w:hint="eastAsia" w:ascii="MS UI Gothic" w:eastAsia="MS UI Gothic"/>
          <w:w w:val="80"/>
        </w:rPr>
        <w:t>ꎻ</w:t>
      </w:r>
    </w:p>
    <w:p>
      <w:pPr>
        <w:pStyle w:val="6"/>
        <w:spacing w:line="255" w:lineRule="exact"/>
        <w:ind w:left="549" w:firstLine="0"/>
        <w:jc w:val="left"/>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其他需要培训的内容</w:t>
      </w:r>
      <w:r>
        <w:rPr>
          <w:rFonts w:hint="eastAsia" w:ascii="MS UI Gothic" w:eastAsia="MS UI Gothic"/>
          <w:w w:val="80"/>
        </w:rPr>
        <w:t>ꎮ</w:t>
      </w:r>
    </w:p>
    <w:p>
      <w:pPr>
        <w:pStyle w:val="6"/>
        <w:spacing w:before="48" w:line="295" w:lineRule="auto"/>
        <w:ind w:right="440" w:firstLine="425"/>
      </w:pPr>
      <w:r>
        <w:t xml:space="preserve">第九条 生产经营单位主要负责人和安全生产管理人员初次安全培训时间不得少于 </w:t>
      </w:r>
      <w:r>
        <w:rPr>
          <w:rFonts w:hint="eastAsia" w:ascii="MS UI Gothic" w:eastAsia="MS UI Gothic"/>
          <w:w w:val="85"/>
        </w:rPr>
        <w:t xml:space="preserve">３２ </w:t>
      </w:r>
      <w:r>
        <w:t>学时</w:t>
      </w:r>
      <w:r>
        <w:rPr>
          <w:rFonts w:hint="eastAsia" w:ascii="MS UI Gothic" w:eastAsia="MS UI Gothic"/>
          <w:w w:val="85"/>
        </w:rPr>
        <w:t xml:space="preserve">ꎮ </w:t>
      </w:r>
      <w:r>
        <w:t>每年再培训时间不得少于</w:t>
      </w:r>
      <w:r>
        <w:rPr>
          <w:rFonts w:hint="eastAsia" w:ascii="MS UI Gothic" w:eastAsia="MS UI Gothic"/>
          <w:w w:val="85"/>
        </w:rPr>
        <w:t xml:space="preserve">１２ </w:t>
      </w:r>
      <w:r>
        <w:t>学时</w:t>
      </w:r>
      <w:r>
        <w:rPr>
          <w:rFonts w:hint="eastAsia" w:ascii="MS UI Gothic" w:eastAsia="MS UI Gothic"/>
          <w:w w:val="85"/>
        </w:rPr>
        <w:t xml:space="preserve">ꎮ </w:t>
      </w:r>
      <w:r>
        <w:t>煤矿</w:t>
      </w:r>
      <w:r>
        <w:rPr>
          <w:rFonts w:hint="eastAsia" w:ascii="MS UI Gothic" w:eastAsia="MS UI Gothic"/>
        </w:rPr>
        <w:t xml:space="preserve">、 </w:t>
      </w:r>
      <w:r>
        <w:t>非煤矿山</w:t>
      </w:r>
      <w:r>
        <w:rPr>
          <w:rFonts w:hint="eastAsia" w:ascii="MS UI Gothic" w:eastAsia="MS UI Gothic"/>
        </w:rPr>
        <w:t xml:space="preserve">、 </w:t>
      </w:r>
      <w:r>
        <w:t>危险化学品</w:t>
      </w:r>
      <w:r>
        <w:rPr>
          <w:rFonts w:hint="eastAsia" w:ascii="MS UI Gothic" w:eastAsia="MS UI Gothic"/>
        </w:rPr>
        <w:t>、</w:t>
      </w:r>
      <w:r>
        <w:t>烟花爆竹</w:t>
      </w:r>
      <w:r>
        <w:rPr>
          <w:rFonts w:hint="eastAsia" w:ascii="MS UI Gothic" w:eastAsia="MS UI Gothic"/>
        </w:rPr>
        <w:t xml:space="preserve">、 </w:t>
      </w:r>
      <w:r>
        <w:t>金属冶炼等生产经营单位主要负责人和安全生产管理人员初次安全培训</w:t>
      </w:r>
    </w:p>
    <w:p>
      <w:pPr>
        <w:spacing w:after="0" w:line="295" w:lineRule="auto"/>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338" w:firstLine="0"/>
        <w:jc w:val="right"/>
        <w:rPr>
          <w:rFonts w:hint="eastAsia" w:ascii="MS UI Gothic" w:eastAsia="MS UI Gothic"/>
        </w:rPr>
      </w:pPr>
      <w:r>
        <w:br w:type="column"/>
      </w:r>
      <w:r>
        <w:rPr>
          <w:rFonts w:hint="eastAsia" w:ascii="MS UI Gothic" w:eastAsia="MS UI Gothic"/>
          <w:spacing w:val="1"/>
          <w:w w:val="75"/>
        </w:rPr>
        <w:t>９７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41" o:spid="_x0000_s1341" o:spt="203" style="height:2.15pt;width:398.25pt;" coordsize="7965,43">
            <o:lock v:ext="edit"/>
            <v:line id="_x0000_s1342" o:spid="_x0000_s1342" o:spt="20" style="position:absolute;left:0;top:39;height:0;width:7965;" stroked="t" coordsize="21600,21600">
              <v:path arrowok="t"/>
              <v:fill focussize="0,0"/>
              <v:stroke weight="0.388031496062992pt" color="#231F20"/>
              <v:imagedata o:title=""/>
              <o:lock v:ext="edit"/>
            </v:line>
            <v:line id="_x0000_s1343" o:spid="_x0000_s134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jc w:val="left"/>
        <w:rPr>
          <w:rFonts w:hint="eastAsia" w:ascii="MS UI Gothic" w:eastAsia="MS UI Gothic"/>
        </w:rPr>
      </w:pPr>
      <w:r>
        <w:t xml:space="preserve">时间不得少于 </w:t>
      </w:r>
      <w:r>
        <w:rPr>
          <w:rFonts w:hint="eastAsia" w:ascii="MS UI Gothic" w:eastAsia="MS UI Gothic"/>
          <w:w w:val="85"/>
        </w:rPr>
        <w:t xml:space="preserve">４８ </w:t>
      </w:r>
      <w:r>
        <w:t>学时</w:t>
      </w:r>
      <w:r>
        <w:rPr>
          <w:rFonts w:hint="eastAsia" w:ascii="MS UI Gothic" w:eastAsia="MS UI Gothic"/>
          <w:w w:val="85"/>
        </w:rPr>
        <w:t xml:space="preserve">ꎬ </w:t>
      </w:r>
      <w:r>
        <w:t xml:space="preserve">每年再培训时间不得少于 </w:t>
      </w:r>
      <w:r>
        <w:rPr>
          <w:rFonts w:hint="eastAsia" w:ascii="MS UI Gothic" w:eastAsia="MS UI Gothic"/>
          <w:w w:val="85"/>
        </w:rPr>
        <w:t xml:space="preserve">１６ </w:t>
      </w:r>
      <w:r>
        <w:t>学时</w:t>
      </w:r>
      <w:r>
        <w:rPr>
          <w:rFonts w:hint="eastAsia" w:ascii="MS UI Gothic" w:eastAsia="MS UI Gothic"/>
          <w:w w:val="85"/>
        </w:rPr>
        <w:t>ꎮ</w:t>
      </w:r>
    </w:p>
    <w:p>
      <w:pPr>
        <w:pStyle w:val="6"/>
        <w:spacing w:line="295" w:lineRule="auto"/>
        <w:ind w:left="440"/>
        <w:rPr>
          <w:rFonts w:hint="eastAsia" w:ascii="MS UI Gothic" w:eastAsia="MS UI Gothic"/>
        </w:rPr>
      </w:pPr>
      <w:r>
        <w:rPr>
          <w:w w:val="105"/>
        </w:rPr>
        <w:t>第十条 生产经营单位主要负责人和</w:t>
      </w:r>
      <w:r>
        <w:t>安全生产管理人员的安全培训必须依照安全生产监管监察部门制定的安全培训大纲</w:t>
      </w:r>
      <w:r>
        <w:rPr>
          <w:w w:val="105"/>
        </w:rPr>
        <w:t>实施</w:t>
      </w:r>
      <w:r>
        <w:rPr>
          <w:rFonts w:hint="eastAsia" w:ascii="MS UI Gothic" w:eastAsia="MS UI Gothic"/>
          <w:w w:val="80"/>
        </w:rPr>
        <w:t xml:space="preserve">ꎮ </w:t>
      </w:r>
      <w:r>
        <w:rPr>
          <w:w w:val="105"/>
        </w:rPr>
        <w:t>非煤矿山</w:t>
      </w:r>
      <w:r>
        <w:rPr>
          <w:rFonts w:hint="eastAsia" w:ascii="MS UI Gothic" w:eastAsia="MS UI Gothic"/>
          <w:w w:val="80"/>
        </w:rPr>
        <w:t xml:space="preserve">、 </w:t>
      </w:r>
      <w:r>
        <w:rPr>
          <w:w w:val="105"/>
        </w:rPr>
        <w:t>危险化学品</w:t>
      </w:r>
      <w:r>
        <w:rPr>
          <w:rFonts w:hint="eastAsia" w:ascii="MS UI Gothic" w:eastAsia="MS UI Gothic"/>
          <w:w w:val="80"/>
        </w:rPr>
        <w:t xml:space="preserve">、 </w:t>
      </w:r>
      <w:r>
        <w:rPr>
          <w:w w:val="105"/>
        </w:rPr>
        <w:t>烟花爆竹</w:t>
      </w:r>
      <w:r>
        <w:rPr>
          <w:rFonts w:hint="eastAsia" w:ascii="MS UI Gothic" w:eastAsia="MS UI Gothic"/>
          <w:w w:val="80"/>
        </w:rPr>
        <w:t xml:space="preserve">、 </w:t>
      </w:r>
      <w:r>
        <w:rPr>
          <w:w w:val="105"/>
        </w:rPr>
        <w:t>金属冶炼等生产经营单位主要负责人</w:t>
      </w:r>
      <w:r>
        <w:t>和安全生产管理人员的安全培训大纲及考核标准由国家安全生产监督管理总局统一制定</w:t>
      </w:r>
      <w:r>
        <w:rPr>
          <w:rFonts w:hint="eastAsia" w:ascii="MS UI Gothic" w:eastAsia="MS UI Gothic"/>
          <w:w w:val="80"/>
        </w:rPr>
        <w:t xml:space="preserve">ꎮ </w:t>
      </w:r>
      <w:r>
        <w:t>煤矿主要负责人和安全生产管理人员的安全培训大纲及考核标准由国家煤矿</w:t>
      </w:r>
      <w:r>
        <w:rPr>
          <w:w w:val="105"/>
        </w:rPr>
        <w:t>安全监察局制定</w:t>
      </w:r>
      <w:r>
        <w:rPr>
          <w:rFonts w:hint="eastAsia" w:ascii="MS UI Gothic" w:eastAsia="MS UI Gothic"/>
          <w:w w:val="80"/>
        </w:rPr>
        <w:t xml:space="preserve">ꎮ </w:t>
      </w:r>
      <w:r>
        <w:rPr>
          <w:w w:val="105"/>
        </w:rPr>
        <w:t>煤矿</w:t>
      </w:r>
      <w:r>
        <w:rPr>
          <w:rFonts w:hint="eastAsia" w:ascii="MS UI Gothic" w:eastAsia="MS UI Gothic"/>
          <w:w w:val="80"/>
        </w:rPr>
        <w:t xml:space="preserve">、 </w:t>
      </w:r>
      <w:r>
        <w:rPr>
          <w:w w:val="105"/>
        </w:rPr>
        <w:t>非煤矿山</w:t>
      </w:r>
      <w:r>
        <w:rPr>
          <w:rFonts w:hint="eastAsia" w:ascii="MS UI Gothic" w:eastAsia="MS UI Gothic"/>
          <w:w w:val="80"/>
        </w:rPr>
        <w:t xml:space="preserve">、 </w:t>
      </w:r>
      <w:r>
        <w:rPr>
          <w:w w:val="105"/>
        </w:rPr>
        <w:t>危险化学品</w:t>
      </w:r>
      <w:r>
        <w:rPr>
          <w:rFonts w:hint="eastAsia" w:ascii="MS UI Gothic" w:eastAsia="MS UI Gothic"/>
          <w:w w:val="80"/>
        </w:rPr>
        <w:t xml:space="preserve">、 </w:t>
      </w:r>
      <w:r>
        <w:rPr>
          <w:w w:val="105"/>
        </w:rPr>
        <w:t>烟花爆竹</w:t>
      </w:r>
      <w:r>
        <w:rPr>
          <w:rFonts w:hint="eastAsia" w:ascii="MS UI Gothic" w:eastAsia="MS UI Gothic"/>
          <w:w w:val="80"/>
        </w:rPr>
        <w:t xml:space="preserve">、 </w:t>
      </w:r>
      <w:r>
        <w:rPr>
          <w:w w:val="105"/>
        </w:rPr>
        <w:t>金属冶炼以外的其他</w:t>
      </w:r>
      <w:r>
        <w:t>生产经营单位主要负责人和安全管理人员</w:t>
      </w:r>
      <w:r>
        <w:rPr>
          <w:w w:val="105"/>
        </w:rPr>
        <w:t>的安全培训大纲及考核标准</w:t>
      </w:r>
      <w:r>
        <w:rPr>
          <w:rFonts w:hint="eastAsia" w:ascii="MS UI Gothic" w:eastAsia="MS UI Gothic"/>
          <w:w w:val="80"/>
        </w:rPr>
        <w:t xml:space="preserve">ꎬ </w:t>
      </w:r>
      <w:r>
        <w:rPr>
          <w:w w:val="105"/>
        </w:rPr>
        <w:t>由省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直辖市安全生产监督管理部门制定</w:t>
      </w:r>
      <w:r>
        <w:rPr>
          <w:rFonts w:hint="eastAsia" w:ascii="MS UI Gothic" w:eastAsia="MS UI Gothic"/>
          <w:w w:val="80"/>
        </w:rPr>
        <w:t>ꎮ</w:t>
      </w:r>
    </w:p>
    <w:p>
      <w:pPr>
        <w:pStyle w:val="6"/>
        <w:tabs>
          <w:tab w:val="left" w:pos="1593"/>
        </w:tabs>
        <w:spacing w:before="144"/>
        <w:ind w:left="755" w:firstLine="0"/>
        <w:jc w:val="left"/>
      </w:pPr>
      <w:r>
        <w:rPr>
          <w:spacing w:val="3"/>
          <w:w w:val="105"/>
        </w:rPr>
        <w:t>第三</w:t>
      </w:r>
      <w:r>
        <w:rPr>
          <w:w w:val="105"/>
        </w:rPr>
        <w:t>章</w:t>
      </w:r>
      <w:r>
        <w:rPr>
          <w:w w:val="105"/>
        </w:rPr>
        <w:tab/>
      </w:r>
      <w:r>
        <w:rPr>
          <w:spacing w:val="3"/>
          <w:w w:val="105"/>
        </w:rPr>
        <w:t>其他从业人员的安全培</w:t>
      </w:r>
      <w:r>
        <w:rPr>
          <w:w w:val="105"/>
        </w:rPr>
        <w:t>训</w:t>
      </w:r>
    </w:p>
    <w:p>
      <w:pPr>
        <w:pStyle w:val="6"/>
        <w:spacing w:before="11"/>
        <w:ind w:left="0" w:firstLine="0"/>
        <w:jc w:val="left"/>
        <w:rPr>
          <w:sz w:val="16"/>
        </w:rPr>
      </w:pPr>
    </w:p>
    <w:p>
      <w:pPr>
        <w:pStyle w:val="6"/>
        <w:spacing w:line="295" w:lineRule="auto"/>
        <w:ind w:left="440"/>
        <w:rPr>
          <w:rFonts w:hint="eastAsia" w:ascii="MS UI Gothic" w:eastAsia="MS UI Gothic"/>
        </w:rPr>
      </w:pPr>
      <w:r>
        <w:t>第十一条 煤矿</w:t>
      </w:r>
      <w:r>
        <w:rPr>
          <w:rFonts w:hint="eastAsia" w:ascii="MS UI Gothic" w:eastAsia="MS UI Gothic"/>
          <w:w w:val="80"/>
        </w:rPr>
        <w:t xml:space="preserve">、 </w:t>
      </w:r>
      <w:r>
        <w:t>非煤矿山</w:t>
      </w:r>
      <w:r>
        <w:rPr>
          <w:rFonts w:hint="eastAsia" w:ascii="MS UI Gothic" w:eastAsia="MS UI Gothic"/>
          <w:w w:val="80"/>
        </w:rPr>
        <w:t xml:space="preserve">、  </w:t>
      </w:r>
      <w:r>
        <w:t>危险化学品</w:t>
      </w:r>
      <w:r>
        <w:rPr>
          <w:rFonts w:hint="eastAsia" w:ascii="MS UI Gothic" w:eastAsia="MS UI Gothic"/>
          <w:w w:val="80"/>
        </w:rPr>
        <w:t xml:space="preserve">、 </w:t>
      </w:r>
      <w:r>
        <w:t>烟花爆竹</w:t>
      </w:r>
      <w:r>
        <w:rPr>
          <w:rFonts w:hint="eastAsia" w:ascii="MS UI Gothic" w:eastAsia="MS UI Gothic"/>
          <w:w w:val="80"/>
        </w:rPr>
        <w:t xml:space="preserve">、 </w:t>
      </w:r>
      <w:r>
        <w:t>金属冶炼等生产经营单位必须对新上岗的临时工</w:t>
      </w:r>
      <w:r>
        <w:rPr>
          <w:rFonts w:hint="eastAsia" w:ascii="MS UI Gothic" w:eastAsia="MS UI Gothic"/>
          <w:w w:val="80"/>
        </w:rPr>
        <w:t xml:space="preserve">、 </w:t>
      </w:r>
      <w:r>
        <w:t>合同工</w:t>
      </w:r>
      <w:r>
        <w:rPr>
          <w:rFonts w:hint="eastAsia" w:ascii="MS UI Gothic" w:eastAsia="MS UI Gothic"/>
          <w:w w:val="80"/>
        </w:rPr>
        <w:t xml:space="preserve">、 </w:t>
      </w:r>
      <w:r>
        <w:t>劳务工</w:t>
      </w:r>
      <w:r>
        <w:rPr>
          <w:rFonts w:hint="eastAsia" w:ascii="MS UI Gothic" w:eastAsia="MS UI Gothic"/>
          <w:w w:val="80"/>
        </w:rPr>
        <w:t xml:space="preserve">、 </w:t>
      </w:r>
      <w:r>
        <w:t>轮换工</w:t>
      </w:r>
      <w:r>
        <w:rPr>
          <w:rFonts w:hint="eastAsia" w:ascii="MS UI Gothic" w:eastAsia="MS UI Gothic"/>
          <w:w w:val="80"/>
        </w:rPr>
        <w:t xml:space="preserve">、 </w:t>
      </w:r>
      <w:r>
        <w:t>协议工等进行强制性安全培训</w:t>
      </w:r>
      <w:r>
        <w:rPr>
          <w:rFonts w:hint="eastAsia" w:ascii="MS UI Gothic" w:eastAsia="MS UI Gothic"/>
          <w:w w:val="80"/>
        </w:rPr>
        <w:t xml:space="preserve">ꎬ </w:t>
      </w:r>
      <w:r>
        <w:t>保证其具备本岗位安全操作</w:t>
      </w:r>
      <w:r>
        <w:rPr>
          <w:rFonts w:hint="eastAsia" w:ascii="MS UI Gothic" w:eastAsia="MS UI Gothic"/>
          <w:w w:val="80"/>
        </w:rPr>
        <w:t xml:space="preserve">、 </w:t>
      </w:r>
      <w:r>
        <w:t>自救互救以及应急处置所需的知识和技能后</w:t>
      </w:r>
      <w:r>
        <w:rPr>
          <w:rFonts w:hint="eastAsia" w:ascii="MS UI Gothic" w:eastAsia="MS UI Gothic"/>
          <w:w w:val="80"/>
        </w:rPr>
        <w:t xml:space="preserve">ꎬ </w:t>
      </w:r>
      <w:r>
        <w:t>方能安排上岗作业</w:t>
      </w:r>
      <w:r>
        <w:rPr>
          <w:rFonts w:hint="eastAsia" w:ascii="MS UI Gothic" w:eastAsia="MS UI Gothic"/>
          <w:w w:val="80"/>
        </w:rPr>
        <w:t>ꎮ</w:t>
      </w:r>
    </w:p>
    <w:p>
      <w:pPr>
        <w:pStyle w:val="6"/>
        <w:spacing w:line="295" w:lineRule="auto"/>
        <w:ind w:left="440"/>
        <w:rPr>
          <w:rFonts w:hint="eastAsia" w:ascii="MS UI Gothic" w:eastAsia="MS UI Gothic"/>
        </w:rPr>
      </w:pPr>
      <w:r>
        <w:rPr>
          <w:spacing w:val="11"/>
          <w:w w:val="105"/>
        </w:rPr>
        <w:t>第十二条 加工</w:t>
      </w:r>
      <w:r>
        <w:rPr>
          <w:rFonts w:hint="eastAsia" w:ascii="MS UI Gothic" w:eastAsia="MS UI Gothic"/>
          <w:spacing w:val="18"/>
          <w:w w:val="80"/>
        </w:rPr>
        <w:t xml:space="preserve">、 </w:t>
      </w:r>
      <w:r>
        <w:rPr>
          <w:spacing w:val="2"/>
          <w:w w:val="105"/>
        </w:rPr>
        <w:t>制造业等生产单位</w:t>
      </w:r>
      <w:r>
        <w:rPr>
          <w:spacing w:val="12"/>
        </w:rPr>
        <w:t>的其他从业人员</w:t>
      </w:r>
      <w:r>
        <w:rPr>
          <w:rFonts w:hint="eastAsia" w:ascii="MS UI Gothic" w:eastAsia="MS UI Gothic"/>
          <w:spacing w:val="24"/>
          <w:w w:val="80"/>
        </w:rPr>
        <w:t xml:space="preserve">ꎬ </w:t>
      </w:r>
      <w:r>
        <w:rPr>
          <w:spacing w:val="15"/>
        </w:rPr>
        <w:t>在上岗前必须经过厂</w:t>
      </w:r>
      <w:r>
        <w:rPr>
          <w:rFonts w:hint="eastAsia" w:ascii="MS UI Gothic" w:eastAsia="MS UI Gothic"/>
          <w:spacing w:val="-36"/>
          <w:w w:val="150"/>
        </w:rPr>
        <w:t xml:space="preserve">( </w:t>
      </w:r>
      <w:r>
        <w:rPr>
          <w:spacing w:val="3"/>
          <w:w w:val="105"/>
        </w:rPr>
        <w:t>矿</w:t>
      </w:r>
      <w:r>
        <w:rPr>
          <w:rFonts w:hint="eastAsia" w:ascii="MS UI Gothic" w:eastAsia="MS UI Gothic"/>
          <w:spacing w:val="21"/>
          <w:w w:val="150"/>
        </w:rPr>
        <w:t>)</w:t>
      </w:r>
      <w:r>
        <w:rPr>
          <w:rFonts w:hint="eastAsia" w:ascii="MS UI Gothic" w:eastAsia="MS UI Gothic"/>
          <w:spacing w:val="2"/>
          <w:w w:val="80"/>
        </w:rPr>
        <w:t xml:space="preserve">、 </w:t>
      </w:r>
      <w:r>
        <w:rPr>
          <w:spacing w:val="1"/>
          <w:w w:val="105"/>
        </w:rPr>
        <w:t xml:space="preserve">车间 </w:t>
      </w:r>
      <w:r>
        <w:rPr>
          <w:rFonts w:hint="eastAsia" w:ascii="MS UI Gothic" w:eastAsia="MS UI Gothic"/>
          <w:spacing w:val="-35"/>
          <w:w w:val="150"/>
        </w:rPr>
        <w:t xml:space="preserve">( </w:t>
      </w:r>
      <w:r>
        <w:rPr>
          <w:spacing w:val="5"/>
          <w:w w:val="105"/>
        </w:rPr>
        <w:t>工段</w:t>
      </w:r>
      <w:r>
        <w:rPr>
          <w:rFonts w:hint="eastAsia" w:ascii="MS UI Gothic" w:eastAsia="MS UI Gothic"/>
          <w:spacing w:val="3"/>
          <w:w w:val="80"/>
        </w:rPr>
        <w:t xml:space="preserve">、 </w:t>
      </w:r>
      <w:r>
        <w:rPr>
          <w:spacing w:val="3"/>
          <w:w w:val="105"/>
        </w:rPr>
        <w:t>区</w:t>
      </w:r>
      <w:r>
        <w:rPr>
          <w:rFonts w:hint="eastAsia" w:ascii="MS UI Gothic" w:eastAsia="MS UI Gothic"/>
          <w:spacing w:val="4"/>
          <w:w w:val="80"/>
        </w:rPr>
        <w:t xml:space="preserve">、 </w:t>
      </w:r>
      <w:r>
        <w:rPr>
          <w:spacing w:val="5"/>
          <w:w w:val="105"/>
        </w:rPr>
        <w:t>队</w:t>
      </w:r>
      <w:r>
        <w:rPr>
          <w:rFonts w:hint="eastAsia" w:ascii="MS UI Gothic" w:eastAsia="MS UI Gothic"/>
          <w:spacing w:val="21"/>
          <w:w w:val="150"/>
        </w:rPr>
        <w:t>)</w:t>
      </w:r>
      <w:r>
        <w:rPr>
          <w:rFonts w:hint="eastAsia" w:ascii="MS UI Gothic" w:eastAsia="MS UI Gothic"/>
          <w:spacing w:val="2"/>
          <w:w w:val="80"/>
        </w:rPr>
        <w:t xml:space="preserve">、  </w:t>
      </w:r>
      <w:r>
        <w:rPr>
          <w:spacing w:val="5"/>
          <w:w w:val="105"/>
        </w:rPr>
        <w:t>班组三级</w:t>
      </w:r>
      <w:r>
        <w:rPr>
          <w:spacing w:val="3"/>
        </w:rPr>
        <w:t>安全培训教育</w:t>
      </w:r>
      <w:r>
        <w:rPr>
          <w:rFonts w:hint="eastAsia" w:ascii="MS UI Gothic" w:eastAsia="MS UI Gothic"/>
          <w:spacing w:val="21"/>
          <w:w w:val="80"/>
        </w:rPr>
        <w:t xml:space="preserve">ꎮ </w:t>
      </w:r>
      <w:r>
        <w:rPr>
          <w:spacing w:val="2"/>
        </w:rPr>
        <w:t>生产经营单位应当根据工</w:t>
      </w:r>
      <w:r>
        <w:rPr>
          <w:spacing w:val="3"/>
        </w:rPr>
        <w:t>作性质对其他从业人员进行安全培训</w:t>
      </w:r>
      <w:r>
        <w:rPr>
          <w:rFonts w:hint="eastAsia" w:ascii="MS UI Gothic" w:eastAsia="MS UI Gothic"/>
          <w:spacing w:val="21"/>
          <w:w w:val="80"/>
        </w:rPr>
        <w:t xml:space="preserve">ꎬ </w:t>
      </w:r>
      <w:r>
        <w:t>保</w:t>
      </w:r>
      <w:r>
        <w:rPr>
          <w:spacing w:val="3"/>
          <w:w w:val="105"/>
        </w:rPr>
        <w:t>证其具备本岗位安全操作</w:t>
      </w:r>
      <w:r>
        <w:rPr>
          <w:rFonts w:hint="eastAsia" w:ascii="MS UI Gothic" w:eastAsia="MS UI Gothic"/>
          <w:spacing w:val="-5"/>
          <w:w w:val="80"/>
        </w:rPr>
        <w:t xml:space="preserve">、 </w:t>
      </w:r>
      <w:r>
        <w:rPr>
          <w:spacing w:val="2"/>
          <w:w w:val="105"/>
        </w:rPr>
        <w:t>应急处置等知</w:t>
      </w:r>
      <w:r>
        <w:rPr>
          <w:spacing w:val="3"/>
          <w:w w:val="105"/>
        </w:rPr>
        <w:t>识和技能</w:t>
      </w:r>
      <w:r>
        <w:rPr>
          <w:rFonts w:hint="eastAsia" w:ascii="MS UI Gothic" w:eastAsia="MS UI Gothic"/>
          <w:w w:val="80"/>
        </w:rPr>
        <w:t>ꎮ</w:t>
      </w:r>
    </w:p>
    <w:p>
      <w:pPr>
        <w:pStyle w:val="6"/>
        <w:tabs>
          <w:tab w:val="left" w:pos="1545"/>
          <w:tab w:val="left" w:pos="1908"/>
        </w:tabs>
        <w:spacing w:line="295" w:lineRule="auto"/>
        <w:ind w:left="440"/>
        <w:jc w:val="right"/>
      </w:pPr>
      <w:r>
        <w:rPr>
          <w:spacing w:val="3"/>
        </w:rPr>
        <w:t>第十三</w:t>
      </w:r>
      <w:r>
        <w:t>条</w:t>
      </w:r>
      <w:r>
        <w:tab/>
      </w:r>
      <w:r>
        <w:rPr>
          <w:spacing w:val="3"/>
        </w:rPr>
        <w:t>生产经营单位新上岗的</w:t>
      </w:r>
      <w:r>
        <w:rPr>
          <w:spacing w:val="-12"/>
        </w:rPr>
        <w:t>从</w:t>
      </w:r>
      <w:r>
        <w:rPr>
          <w:spacing w:val="3"/>
        </w:rPr>
        <w:t>业人员</w:t>
      </w:r>
      <w:r>
        <w:rPr>
          <w:rFonts w:hint="eastAsia" w:ascii="MS UI Gothic" w:eastAsia="MS UI Gothic"/>
          <w:w w:val="80"/>
        </w:rPr>
        <w:t>ꎬ</w:t>
      </w:r>
      <w:r>
        <w:rPr>
          <w:rFonts w:hint="eastAsia" w:ascii="MS UI Gothic" w:eastAsia="MS UI Gothic"/>
          <w:spacing w:val="20"/>
          <w:w w:val="80"/>
        </w:rPr>
        <w:t xml:space="preserve"> </w:t>
      </w:r>
      <w:r>
        <w:rPr>
          <w:spacing w:val="15"/>
        </w:rPr>
        <w:t>岗前安全</w:t>
      </w:r>
      <w:r>
        <w:rPr>
          <w:spacing w:val="17"/>
        </w:rPr>
        <w:t>培训时间不得少</w:t>
      </w:r>
      <w:r>
        <w:t>于</w:t>
      </w:r>
      <w:r>
        <w:rPr>
          <w:spacing w:val="-27"/>
        </w:rPr>
        <w:t xml:space="preserve"> </w:t>
      </w:r>
      <w:r>
        <w:rPr>
          <w:rFonts w:hint="eastAsia" w:ascii="MS UI Gothic" w:eastAsia="MS UI Gothic"/>
          <w:w w:val="80"/>
        </w:rPr>
        <w:t>２４</w:t>
      </w:r>
      <w:r>
        <w:rPr>
          <w:spacing w:val="3"/>
        </w:rPr>
        <w:t>学时</w:t>
      </w:r>
      <w:r>
        <w:rPr>
          <w:rFonts w:hint="eastAsia" w:ascii="MS UI Gothic" w:eastAsia="MS UI Gothic"/>
          <w:w w:val="80"/>
        </w:rPr>
        <w:t>ꎮ</w:t>
      </w:r>
      <w:r>
        <w:rPr>
          <w:rFonts w:hint="eastAsia" w:ascii="MS UI Gothic" w:eastAsia="MS UI Gothic"/>
          <w:spacing w:val="11"/>
          <w:w w:val="80"/>
        </w:rPr>
        <w:t xml:space="preserve"> </w:t>
      </w:r>
      <w:r>
        <w:rPr>
          <w:spacing w:val="3"/>
        </w:rPr>
        <w:t>煤矿</w:t>
      </w:r>
      <w:r>
        <w:rPr>
          <w:rFonts w:hint="eastAsia" w:ascii="MS UI Gothic" w:eastAsia="MS UI Gothic"/>
          <w:w w:val="80"/>
        </w:rPr>
        <w:t>、</w:t>
      </w:r>
      <w:r>
        <w:rPr>
          <w:rFonts w:hint="eastAsia" w:ascii="MS UI Gothic" w:eastAsia="MS UI Gothic"/>
          <w:spacing w:val="12"/>
          <w:w w:val="80"/>
        </w:rPr>
        <w:t xml:space="preserve"> </w:t>
      </w:r>
      <w:r>
        <w:rPr>
          <w:spacing w:val="3"/>
        </w:rPr>
        <w:t>非煤矿山</w:t>
      </w:r>
      <w:r>
        <w:rPr>
          <w:rFonts w:hint="eastAsia" w:ascii="MS UI Gothic" w:eastAsia="MS UI Gothic"/>
          <w:w w:val="80"/>
        </w:rPr>
        <w:t>、</w:t>
      </w:r>
      <w:r>
        <w:rPr>
          <w:rFonts w:hint="eastAsia" w:ascii="MS UI Gothic" w:eastAsia="MS UI Gothic"/>
          <w:spacing w:val="11"/>
          <w:w w:val="80"/>
        </w:rPr>
        <w:t xml:space="preserve"> </w:t>
      </w:r>
      <w:r>
        <w:rPr>
          <w:spacing w:val="3"/>
        </w:rPr>
        <w:t>危险化学品</w:t>
      </w:r>
      <w:r>
        <w:rPr>
          <w:rFonts w:hint="eastAsia" w:ascii="MS UI Gothic" w:eastAsia="MS UI Gothic"/>
          <w:w w:val="80"/>
        </w:rPr>
        <w:t>、</w:t>
      </w:r>
      <w:r>
        <w:rPr>
          <w:rFonts w:hint="eastAsia" w:ascii="MS UI Gothic" w:eastAsia="MS UI Gothic"/>
          <w:spacing w:val="12"/>
          <w:w w:val="80"/>
        </w:rPr>
        <w:t xml:space="preserve"> </w:t>
      </w:r>
      <w:r>
        <w:t>烟</w:t>
      </w:r>
      <w:r>
        <w:rPr>
          <w:spacing w:val="3"/>
        </w:rPr>
        <w:t>花爆竹</w:t>
      </w:r>
      <w:r>
        <w:rPr>
          <w:rFonts w:hint="eastAsia" w:ascii="MS UI Gothic" w:eastAsia="MS UI Gothic"/>
          <w:w w:val="80"/>
        </w:rPr>
        <w:t>、</w:t>
      </w:r>
      <w:r>
        <w:rPr>
          <w:rFonts w:hint="eastAsia" w:ascii="MS UI Gothic" w:eastAsia="MS UI Gothic"/>
          <w:spacing w:val="4"/>
          <w:w w:val="80"/>
        </w:rPr>
        <w:t xml:space="preserve"> </w:t>
      </w:r>
      <w:r>
        <w:rPr>
          <w:spacing w:val="3"/>
        </w:rPr>
        <w:t>金属冶炼等生产经营单位新上</w:t>
      </w:r>
      <w:r>
        <w:t>岗</w:t>
      </w:r>
      <w:r>
        <w:rPr>
          <w:spacing w:val="3"/>
        </w:rPr>
        <w:t>的从业人</w:t>
      </w:r>
      <w:r>
        <w:rPr>
          <w:spacing w:val="7"/>
        </w:rPr>
        <w:t>员</w:t>
      </w:r>
      <w:r>
        <w:rPr>
          <w:spacing w:val="11"/>
        </w:rPr>
        <w:t>安全培</w:t>
      </w:r>
      <w:r>
        <w:rPr>
          <w:spacing w:val="13"/>
        </w:rPr>
        <w:t>训时间不得少</w:t>
      </w:r>
      <w:r>
        <w:t>于</w:t>
      </w:r>
      <w:r>
        <w:rPr>
          <w:spacing w:val="-1"/>
        </w:rPr>
        <w:t xml:space="preserve"> </w:t>
      </w:r>
      <w:r>
        <w:rPr>
          <w:rFonts w:hint="eastAsia" w:ascii="MS UI Gothic" w:eastAsia="MS UI Gothic"/>
          <w:w w:val="80"/>
        </w:rPr>
        <w:t>７２</w:t>
      </w:r>
      <w:r>
        <w:rPr>
          <w:rFonts w:hint="eastAsia" w:ascii="MS UI Gothic" w:eastAsia="MS UI Gothic"/>
          <w:spacing w:val="12"/>
          <w:w w:val="80"/>
        </w:rPr>
        <w:t xml:space="preserve"> </w:t>
      </w:r>
      <w:r>
        <w:t>学</w:t>
      </w:r>
      <w:r>
        <w:rPr>
          <w:spacing w:val="3"/>
        </w:rPr>
        <w:t>时</w:t>
      </w:r>
      <w:r>
        <w:rPr>
          <w:rFonts w:hint="eastAsia" w:ascii="MS UI Gothic" w:eastAsia="MS UI Gothic"/>
          <w:w w:val="80"/>
        </w:rPr>
        <w:t>ꎬ</w:t>
      </w:r>
      <w:r>
        <w:rPr>
          <w:rFonts w:hint="eastAsia" w:ascii="MS UI Gothic" w:eastAsia="MS UI Gothic"/>
          <w:spacing w:val="36"/>
          <w:w w:val="80"/>
        </w:rPr>
        <w:t xml:space="preserve"> </w:t>
      </w:r>
      <w:r>
        <w:rPr>
          <w:spacing w:val="3"/>
        </w:rPr>
        <w:t>每年再培训的时间不得少</w:t>
      </w:r>
      <w:r>
        <w:t>于</w:t>
      </w:r>
      <w:r>
        <w:rPr>
          <w:spacing w:val="-60"/>
        </w:rPr>
        <w:t xml:space="preserve"> </w:t>
      </w:r>
      <w:r>
        <w:rPr>
          <w:rFonts w:hint="eastAsia" w:ascii="MS UI Gothic" w:eastAsia="MS UI Gothic"/>
          <w:w w:val="80"/>
        </w:rPr>
        <w:t>２０</w:t>
      </w:r>
      <w:r>
        <w:rPr>
          <w:rFonts w:hint="eastAsia" w:ascii="MS UI Gothic" w:eastAsia="MS UI Gothic"/>
          <w:spacing w:val="-2"/>
          <w:w w:val="80"/>
        </w:rPr>
        <w:t xml:space="preserve"> </w:t>
      </w:r>
      <w:r>
        <w:rPr>
          <w:spacing w:val="3"/>
        </w:rPr>
        <w:t>学时</w:t>
      </w:r>
      <w:r>
        <w:rPr>
          <w:rFonts w:hint="eastAsia" w:ascii="MS UI Gothic" w:eastAsia="MS UI Gothic"/>
          <w:w w:val="80"/>
        </w:rPr>
        <w:t>ꎮ</w:t>
      </w:r>
      <w:r>
        <w:rPr>
          <w:spacing w:val="3"/>
        </w:rPr>
        <w:t>第</w:t>
      </w:r>
      <w:r>
        <w:rPr>
          <w:spacing w:val="11"/>
        </w:rPr>
        <w:t>十</w:t>
      </w:r>
      <w:r>
        <w:rPr>
          <w:spacing w:val="17"/>
        </w:rPr>
        <w:t>四</w:t>
      </w:r>
      <w:r>
        <w:t>条</w:t>
      </w:r>
      <w:r>
        <w:tab/>
      </w:r>
      <w:r>
        <w:t>厂</w:t>
      </w:r>
      <w:r>
        <w:rPr>
          <w:spacing w:val="49"/>
        </w:rPr>
        <w:t xml:space="preserve"> </w:t>
      </w:r>
      <w:r>
        <w:rPr>
          <w:rFonts w:hint="eastAsia" w:ascii="MS UI Gothic" w:eastAsia="MS UI Gothic"/>
          <w:w w:val="145"/>
        </w:rPr>
        <w:t>(</w:t>
      </w:r>
      <w:r>
        <w:rPr>
          <w:rFonts w:hint="eastAsia" w:ascii="MS UI Gothic" w:eastAsia="MS UI Gothic"/>
          <w:spacing w:val="-50"/>
          <w:w w:val="145"/>
        </w:rPr>
        <w:t xml:space="preserve"> </w:t>
      </w:r>
      <w:r>
        <w:rPr>
          <w:spacing w:val="13"/>
        </w:rPr>
        <w:t>矿</w:t>
      </w:r>
      <w:r>
        <w:rPr>
          <w:rFonts w:hint="eastAsia" w:ascii="MS UI Gothic" w:eastAsia="MS UI Gothic"/>
          <w:w w:val="145"/>
        </w:rPr>
        <w:t>)</w:t>
      </w:r>
      <w:r>
        <w:rPr>
          <w:rFonts w:hint="eastAsia" w:ascii="MS UI Gothic" w:eastAsia="MS UI Gothic"/>
          <w:spacing w:val="82"/>
          <w:w w:val="145"/>
        </w:rPr>
        <w:t xml:space="preserve"> </w:t>
      </w:r>
      <w:r>
        <w:rPr>
          <w:spacing w:val="17"/>
        </w:rPr>
        <w:t>级</w:t>
      </w:r>
      <w:r>
        <w:rPr>
          <w:spacing w:val="19"/>
        </w:rPr>
        <w:t>岗前安全</w:t>
      </w:r>
      <w:r>
        <w:t>培</w:t>
      </w:r>
    </w:p>
    <w:p>
      <w:pPr>
        <w:pStyle w:val="6"/>
        <w:spacing w:before="124"/>
        <w:ind w:left="383" w:firstLine="0"/>
        <w:jc w:val="left"/>
        <w:rPr>
          <w:rFonts w:hint="eastAsia" w:ascii="MS UI Gothic" w:eastAsia="MS UI Gothic"/>
        </w:rPr>
      </w:pPr>
      <w:r>
        <w:br w:type="column"/>
      </w:r>
      <w:r>
        <w:rPr>
          <w:w w:val="115"/>
        </w:rPr>
        <w:t>训内容应当包括</w:t>
      </w:r>
      <w:r>
        <w:rPr>
          <w:rFonts w:hint="eastAsia" w:ascii="MS UI Gothic" w:eastAsia="MS UI Gothic"/>
          <w:w w:val="235"/>
        </w:rPr>
        <w:t>:</w:t>
      </w:r>
    </w:p>
    <w:p>
      <w:pPr>
        <w:pStyle w:val="6"/>
        <w:spacing w:before="58" w:line="295" w:lineRule="auto"/>
        <w:ind w:left="383"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本单位安全生产情况及安全生</w:t>
      </w:r>
      <w:r>
        <w:rPr>
          <w:w w:val="110"/>
        </w:rPr>
        <w:t>产基本知识</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本单位安全生产规章制度和劳</w:t>
      </w:r>
      <w:r>
        <w:rPr>
          <w:w w:val="110"/>
        </w:rPr>
        <w:t>动纪律</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spacing w:val="-37"/>
          <w:w w:val="135"/>
        </w:rPr>
        <w:t xml:space="preserve">( </w:t>
      </w:r>
      <w:r>
        <w:rPr>
          <w:spacing w:val="29"/>
          <w:w w:val="110"/>
        </w:rPr>
        <w:t>三</w:t>
      </w:r>
      <w:r>
        <w:rPr>
          <w:rFonts w:hint="eastAsia" w:ascii="MS UI Gothic" w:eastAsia="MS UI Gothic"/>
          <w:spacing w:val="-14"/>
          <w:w w:val="135"/>
        </w:rPr>
        <w:t xml:space="preserve">) </w:t>
      </w:r>
      <w:r>
        <w:rPr>
          <w:spacing w:val="40"/>
          <w:w w:val="110"/>
        </w:rPr>
        <w:t>从业人员安全生产权利和</w:t>
      </w:r>
      <w:r>
        <w:rPr>
          <w:spacing w:val="3"/>
          <w:w w:val="110"/>
        </w:rPr>
        <w:t>义务</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3"/>
          <w:w w:val="150"/>
        </w:rPr>
        <w:t xml:space="preserve">) </w:t>
      </w:r>
      <w:r>
        <w:rPr>
          <w:spacing w:val="7"/>
          <w:w w:val="105"/>
        </w:rPr>
        <w:t>有关事故案例等</w:t>
      </w:r>
      <w:r>
        <w:rPr>
          <w:rFonts w:hint="eastAsia" w:ascii="MS UI Gothic" w:eastAsia="MS UI Gothic"/>
          <w:spacing w:val="19"/>
          <w:w w:val="80"/>
        </w:rPr>
        <w:t xml:space="preserve">ꎮ </w:t>
      </w:r>
      <w:r>
        <w:rPr>
          <w:spacing w:val="8"/>
          <w:w w:val="105"/>
        </w:rPr>
        <w:t>煤矿</w:t>
      </w:r>
      <w:r>
        <w:rPr>
          <w:rFonts w:hint="eastAsia" w:ascii="MS UI Gothic" w:eastAsia="MS UI Gothic"/>
          <w:spacing w:val="19"/>
          <w:w w:val="80"/>
        </w:rPr>
        <w:t xml:space="preserve">、 </w:t>
      </w:r>
      <w:r>
        <w:rPr>
          <w:spacing w:val="6"/>
          <w:w w:val="105"/>
        </w:rPr>
        <w:t>非煤</w:t>
      </w:r>
      <w:r>
        <w:rPr>
          <w:spacing w:val="3"/>
          <w:w w:val="105"/>
        </w:rPr>
        <w:t>矿山</w:t>
      </w:r>
      <w:r>
        <w:rPr>
          <w:rFonts w:hint="eastAsia" w:ascii="MS UI Gothic" w:eastAsia="MS UI Gothic"/>
          <w:spacing w:val="17"/>
          <w:w w:val="80"/>
        </w:rPr>
        <w:t xml:space="preserve">、 </w:t>
      </w:r>
      <w:r>
        <w:rPr>
          <w:spacing w:val="3"/>
          <w:w w:val="105"/>
        </w:rPr>
        <w:t>危险化学品</w:t>
      </w:r>
      <w:r>
        <w:rPr>
          <w:rFonts w:hint="eastAsia" w:ascii="MS UI Gothic" w:eastAsia="MS UI Gothic"/>
          <w:spacing w:val="17"/>
          <w:w w:val="80"/>
        </w:rPr>
        <w:t xml:space="preserve">、 </w:t>
      </w:r>
      <w:r>
        <w:rPr>
          <w:spacing w:val="3"/>
          <w:w w:val="105"/>
        </w:rPr>
        <w:t>烟花爆竹</w:t>
      </w:r>
      <w:r>
        <w:rPr>
          <w:rFonts w:hint="eastAsia" w:ascii="MS UI Gothic" w:eastAsia="MS UI Gothic"/>
          <w:spacing w:val="17"/>
          <w:w w:val="80"/>
        </w:rPr>
        <w:t xml:space="preserve">、 </w:t>
      </w:r>
      <w:r>
        <w:rPr>
          <w:spacing w:val="2"/>
          <w:w w:val="105"/>
        </w:rPr>
        <w:t>金属冶炼</w:t>
      </w:r>
      <w:r>
        <w:rPr>
          <w:spacing w:val="6"/>
          <w:w w:val="105"/>
        </w:rPr>
        <w:t xml:space="preserve">等生产经营单位厂 </w:t>
      </w:r>
      <w:r>
        <w:rPr>
          <w:rFonts w:hint="eastAsia" w:ascii="MS UI Gothic" w:eastAsia="MS UI Gothic"/>
          <w:spacing w:val="-33"/>
          <w:w w:val="150"/>
        </w:rPr>
        <w:t xml:space="preserve">( </w:t>
      </w:r>
      <w:r>
        <w:rPr>
          <w:spacing w:val="13"/>
          <w:w w:val="105"/>
        </w:rPr>
        <w:t>矿</w:t>
      </w:r>
      <w:r>
        <w:rPr>
          <w:rFonts w:hint="eastAsia" w:ascii="MS UI Gothic" w:eastAsia="MS UI Gothic"/>
          <w:spacing w:val="12"/>
          <w:w w:val="150"/>
        </w:rPr>
        <w:t xml:space="preserve">) </w:t>
      </w:r>
      <w:r>
        <w:rPr>
          <w:spacing w:val="15"/>
          <w:w w:val="105"/>
        </w:rPr>
        <w:t>级安全培训除</w:t>
      </w:r>
      <w:r>
        <w:rPr>
          <w:spacing w:val="12"/>
        </w:rPr>
        <w:t>包括上述内容外</w:t>
      </w:r>
      <w:r>
        <w:rPr>
          <w:rFonts w:hint="eastAsia" w:ascii="MS UI Gothic" w:eastAsia="MS UI Gothic"/>
          <w:spacing w:val="23"/>
          <w:w w:val="80"/>
        </w:rPr>
        <w:t xml:space="preserve">ꎬ </w:t>
      </w:r>
      <w:r>
        <w:rPr>
          <w:spacing w:val="16"/>
        </w:rPr>
        <w:t>应当增加事故应急救</w:t>
      </w:r>
      <w:r>
        <w:rPr>
          <w:spacing w:val="3"/>
          <w:w w:val="105"/>
        </w:rPr>
        <w:t>援</w:t>
      </w:r>
      <w:r>
        <w:rPr>
          <w:rFonts w:hint="eastAsia" w:ascii="MS UI Gothic" w:eastAsia="MS UI Gothic"/>
          <w:spacing w:val="3"/>
          <w:w w:val="80"/>
        </w:rPr>
        <w:t xml:space="preserve">、 </w:t>
      </w:r>
      <w:r>
        <w:rPr>
          <w:spacing w:val="31"/>
          <w:w w:val="105"/>
        </w:rPr>
        <w:t>事故应急预案演练及防范措施等</w:t>
      </w:r>
      <w:r>
        <w:rPr>
          <w:spacing w:val="3"/>
          <w:w w:val="105"/>
        </w:rPr>
        <w:t>内容</w:t>
      </w:r>
      <w:r>
        <w:rPr>
          <w:rFonts w:hint="eastAsia" w:ascii="MS UI Gothic" w:eastAsia="MS UI Gothic"/>
          <w:w w:val="80"/>
        </w:rPr>
        <w:t>ꎮ</w:t>
      </w:r>
    </w:p>
    <w:p>
      <w:pPr>
        <w:pStyle w:val="6"/>
        <w:spacing w:line="251" w:lineRule="exact"/>
        <w:ind w:left="802" w:firstLine="0"/>
        <w:rPr>
          <w:rFonts w:hint="eastAsia" w:ascii="MS UI Gothic" w:eastAsia="MS UI Gothic"/>
        </w:rPr>
      </w:pPr>
      <w:r>
        <w:rPr>
          <w:w w:val="110"/>
        </w:rPr>
        <w:t xml:space="preserve">第十五条 车间 </w:t>
      </w:r>
      <w:r>
        <w:rPr>
          <w:rFonts w:hint="eastAsia" w:ascii="MS UI Gothic" w:eastAsia="MS UI Gothic"/>
          <w:w w:val="150"/>
        </w:rPr>
        <w:t xml:space="preserve">( </w:t>
      </w:r>
      <w:r>
        <w:rPr>
          <w:w w:val="110"/>
        </w:rPr>
        <w:t>工段</w:t>
      </w:r>
      <w:r>
        <w:rPr>
          <w:rFonts w:hint="eastAsia" w:ascii="MS UI Gothic" w:eastAsia="MS UI Gothic"/>
        </w:rPr>
        <w:t xml:space="preserve">、 </w:t>
      </w:r>
      <w:r>
        <w:rPr>
          <w:w w:val="110"/>
        </w:rPr>
        <w:t>区</w:t>
      </w:r>
      <w:r>
        <w:rPr>
          <w:rFonts w:hint="eastAsia" w:ascii="MS UI Gothic" w:eastAsia="MS UI Gothic"/>
        </w:rPr>
        <w:t xml:space="preserve">、 </w:t>
      </w:r>
      <w:r>
        <w:rPr>
          <w:w w:val="110"/>
        </w:rPr>
        <w:t>队</w:t>
      </w:r>
      <w:r>
        <w:rPr>
          <w:rFonts w:hint="eastAsia" w:ascii="MS UI Gothic" w:eastAsia="MS UI Gothic"/>
          <w:w w:val="150"/>
        </w:rPr>
        <w:t>)</w:t>
      </w:r>
    </w:p>
    <w:p>
      <w:pPr>
        <w:pStyle w:val="6"/>
        <w:spacing w:before="54" w:line="295" w:lineRule="auto"/>
        <w:ind w:left="802" w:right="924" w:hanging="420"/>
        <w:rPr>
          <w:rFonts w:hint="eastAsia" w:ascii="MS UI Gothic" w:eastAsia="MS UI Gothic"/>
        </w:rPr>
      </w:pPr>
      <w:r>
        <w:rPr>
          <w:w w:val="105"/>
        </w:rPr>
        <w:t>级岗前安全培训内容应当包括</w:t>
      </w:r>
      <w:r>
        <w:rPr>
          <w:rFonts w:hint="eastAsia" w:ascii="MS UI Gothic" w:eastAsia="MS UI Gothic"/>
          <w:w w:val="105"/>
        </w:rPr>
        <w:t xml:space="preserve">:  ( </w:t>
      </w:r>
      <w:r>
        <w:rPr>
          <w:w w:val="105"/>
        </w:rPr>
        <w:t>一</w:t>
      </w:r>
      <w:r>
        <w:rPr>
          <w:rFonts w:hint="eastAsia" w:ascii="MS UI Gothic" w:eastAsia="MS UI Gothic"/>
          <w:w w:val="105"/>
        </w:rPr>
        <w:t xml:space="preserve">) </w:t>
      </w:r>
      <w:r>
        <w:rPr>
          <w:w w:val="105"/>
        </w:rPr>
        <w:t>工作环境及危险因素</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所从事工种可能遭受的职业伤</w:t>
      </w:r>
      <w:r>
        <w:rPr>
          <w:w w:val="110"/>
        </w:rPr>
        <w:t>害和伤亡事故</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所从事工种的安全职责</w:t>
      </w:r>
      <w:r>
        <w:rPr>
          <w:rFonts w:hint="eastAsia" w:ascii="MS UI Gothic" w:eastAsia="MS UI Gothic"/>
          <w:w w:val="80"/>
        </w:rPr>
        <w:t xml:space="preserve">、  </w:t>
      </w:r>
      <w:r>
        <w:rPr>
          <w:w w:val="105"/>
        </w:rPr>
        <w:t>操作技能及强制性标准</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自救互救</w:t>
      </w:r>
      <w:r>
        <w:rPr>
          <w:rFonts w:hint="eastAsia" w:ascii="MS UI Gothic" w:eastAsia="MS UI Gothic"/>
          <w:w w:val="80"/>
        </w:rPr>
        <w:t xml:space="preserve">、 </w:t>
      </w:r>
      <w:r>
        <w:rPr>
          <w:w w:val="105"/>
        </w:rPr>
        <w:t>急救方法</w:t>
      </w:r>
      <w:r>
        <w:rPr>
          <w:rFonts w:hint="eastAsia" w:ascii="MS UI Gothic" w:eastAsia="MS UI Gothic"/>
          <w:w w:val="80"/>
        </w:rPr>
        <w:t xml:space="preserve">、 </w:t>
      </w:r>
      <w:r>
        <w:rPr>
          <w:w w:val="105"/>
        </w:rPr>
        <w:t>疏散和现场紧急情况的处理</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安全设备设施</w:t>
      </w:r>
      <w:r>
        <w:rPr>
          <w:rFonts w:hint="eastAsia" w:ascii="MS UI Gothic" w:eastAsia="MS UI Gothic"/>
          <w:w w:val="80"/>
        </w:rPr>
        <w:t xml:space="preserve">、  </w:t>
      </w:r>
      <w:r>
        <w:rPr>
          <w:w w:val="105"/>
        </w:rPr>
        <w:t>个人防护用品的使用和维护</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 xml:space="preserve">本车间 </w:t>
      </w:r>
      <w:r>
        <w:rPr>
          <w:rFonts w:hint="eastAsia" w:ascii="MS UI Gothic" w:eastAsia="MS UI Gothic"/>
          <w:w w:val="150"/>
        </w:rPr>
        <w:t xml:space="preserve">( </w:t>
      </w:r>
      <w:r>
        <w:rPr>
          <w:w w:val="110"/>
        </w:rPr>
        <w:t>工段</w:t>
      </w:r>
      <w:r>
        <w:rPr>
          <w:rFonts w:hint="eastAsia" w:ascii="MS UI Gothic" w:eastAsia="MS UI Gothic"/>
          <w:w w:val="80"/>
        </w:rPr>
        <w:t xml:space="preserve">、 </w:t>
      </w:r>
      <w:r>
        <w:rPr>
          <w:w w:val="110"/>
        </w:rPr>
        <w:t>区</w:t>
      </w:r>
      <w:r>
        <w:rPr>
          <w:rFonts w:hint="eastAsia" w:ascii="MS UI Gothic" w:eastAsia="MS UI Gothic"/>
          <w:w w:val="80"/>
        </w:rPr>
        <w:t xml:space="preserve">、 </w:t>
      </w:r>
      <w:r>
        <w:rPr>
          <w:w w:val="110"/>
        </w:rPr>
        <w:t>队</w:t>
      </w:r>
      <w:r>
        <w:rPr>
          <w:rFonts w:hint="eastAsia" w:ascii="MS UI Gothic" w:eastAsia="MS UI Gothic"/>
          <w:w w:val="150"/>
        </w:rPr>
        <w:t xml:space="preserve">) </w:t>
      </w:r>
      <w:r>
        <w:rPr>
          <w:w w:val="110"/>
        </w:rPr>
        <w:t>安全生产状况及规章制度</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预防事故和职业危害的措施及</w:t>
      </w:r>
      <w:r>
        <w:rPr>
          <w:w w:val="110"/>
        </w:rPr>
        <w:t>应注意的安全事项</w:t>
      </w:r>
      <w:r>
        <w:rPr>
          <w:rFonts w:hint="eastAsia" w:ascii="MS UI Gothic" w:eastAsia="MS UI Gothic"/>
          <w:w w:val="80"/>
        </w:rPr>
        <w:t>ꎻ</w:t>
      </w:r>
    </w:p>
    <w:p>
      <w:pPr>
        <w:pStyle w:val="6"/>
        <w:spacing w:line="255" w:lineRule="exact"/>
        <w:ind w:left="802" w:firstLine="0"/>
        <w:jc w:val="left"/>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有关事故案例</w:t>
      </w:r>
      <w:r>
        <w:rPr>
          <w:rFonts w:hint="eastAsia" w:ascii="MS UI Gothic" w:eastAsia="MS UI Gothic"/>
          <w:w w:val="80"/>
        </w:rPr>
        <w:t>ꎻ</w:t>
      </w:r>
    </w:p>
    <w:p>
      <w:pPr>
        <w:pStyle w:val="6"/>
        <w:spacing w:before="48"/>
        <w:ind w:left="802" w:firstLine="0"/>
        <w:jc w:val="left"/>
        <w:rPr>
          <w:rFonts w:hint="eastAsia" w:ascii="MS UI Gothic" w:eastAsia="MS UI Gothic"/>
        </w:rPr>
      </w:pPr>
      <w:r>
        <w:rPr>
          <w:rFonts w:hint="eastAsia" w:ascii="MS UI Gothic" w:eastAsia="MS UI Gothic"/>
          <w:w w:val="150"/>
        </w:rPr>
        <w:t xml:space="preserve">( </w:t>
      </w:r>
      <w:r>
        <w:rPr>
          <w:w w:val="110"/>
        </w:rPr>
        <w:t>九</w:t>
      </w:r>
      <w:r>
        <w:rPr>
          <w:rFonts w:hint="eastAsia" w:ascii="MS UI Gothic" w:eastAsia="MS UI Gothic"/>
          <w:w w:val="150"/>
        </w:rPr>
        <w:t xml:space="preserve">) </w:t>
      </w:r>
      <w:r>
        <w:rPr>
          <w:w w:val="110"/>
        </w:rPr>
        <w:t>其他需要培训的内容</w:t>
      </w:r>
      <w:r>
        <w:rPr>
          <w:rFonts w:hint="eastAsia" w:ascii="MS UI Gothic" w:eastAsia="MS UI Gothic"/>
          <w:w w:val="80"/>
        </w:rPr>
        <w:t>ꎮ</w:t>
      </w:r>
    </w:p>
    <w:p>
      <w:pPr>
        <w:pStyle w:val="6"/>
        <w:tabs>
          <w:tab w:val="left" w:pos="1850"/>
        </w:tabs>
        <w:spacing w:before="58" w:line="295" w:lineRule="auto"/>
        <w:ind w:left="383" w:right="126"/>
        <w:jc w:val="left"/>
        <w:rPr>
          <w:rFonts w:hint="eastAsia" w:ascii="MS UI Gothic" w:eastAsia="MS UI Gothic"/>
        </w:rPr>
      </w:pPr>
      <w:r>
        <w:rPr>
          <w:spacing w:val="3"/>
          <w:w w:val="110"/>
        </w:rPr>
        <w:t>第十六</w:t>
      </w:r>
      <w:r>
        <w:rPr>
          <w:w w:val="110"/>
        </w:rPr>
        <w:t>条</w:t>
      </w:r>
      <w:r>
        <w:rPr>
          <w:w w:val="110"/>
        </w:rPr>
        <w:tab/>
      </w:r>
      <w:r>
        <w:rPr>
          <w:spacing w:val="3"/>
        </w:rPr>
        <w:t>班组级岗前安全培训内</w:t>
      </w:r>
      <w:r>
        <w:t>容</w:t>
      </w:r>
      <w:r>
        <w:rPr>
          <w:spacing w:val="3"/>
          <w:w w:val="110"/>
        </w:rPr>
        <w:t>应当包括</w:t>
      </w:r>
      <w:r>
        <w:rPr>
          <w:rFonts w:hint="eastAsia" w:ascii="MS UI Gothic" w:eastAsia="MS UI Gothic"/>
          <w:w w:val="235"/>
        </w:rPr>
        <w:t>:</w:t>
      </w:r>
    </w:p>
    <w:p>
      <w:pPr>
        <w:pStyle w:val="6"/>
        <w:spacing w:line="255" w:lineRule="exact"/>
        <w:ind w:left="802"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岗位安全操作规程</w:t>
      </w:r>
      <w:r>
        <w:rPr>
          <w:rFonts w:hint="eastAsia" w:ascii="MS UI Gothic" w:eastAsia="MS UI Gothic"/>
          <w:w w:val="80"/>
        </w:rPr>
        <w:t>ꎻ</w:t>
      </w:r>
    </w:p>
    <w:p>
      <w:pPr>
        <w:pStyle w:val="6"/>
        <w:spacing w:before="58" w:line="295" w:lineRule="auto"/>
        <w:ind w:left="383" w:right="126"/>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岗位之间工作衔接配合的安全</w:t>
      </w:r>
      <w:r>
        <w:rPr>
          <w:w w:val="110"/>
        </w:rPr>
        <w:t>与职业卫生事项</w:t>
      </w:r>
      <w:r>
        <w:rPr>
          <w:rFonts w:hint="eastAsia" w:ascii="MS UI Gothic" w:eastAsia="MS UI Gothic"/>
          <w:w w:val="80"/>
        </w:rPr>
        <w:t>ꎻ</w:t>
      </w:r>
    </w:p>
    <w:p>
      <w:pPr>
        <w:pStyle w:val="6"/>
        <w:spacing w:line="255" w:lineRule="exact"/>
        <w:ind w:left="802"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有关事故案例</w:t>
      </w:r>
      <w:r>
        <w:rPr>
          <w:rFonts w:hint="eastAsia" w:ascii="MS UI Gothic" w:eastAsia="MS UI Gothic"/>
          <w:w w:val="80"/>
        </w:rPr>
        <w:t>ꎻ</w:t>
      </w:r>
    </w:p>
    <w:p>
      <w:pPr>
        <w:pStyle w:val="6"/>
        <w:spacing w:before="59"/>
        <w:ind w:left="802"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其他需要培训的内容</w:t>
      </w:r>
      <w:r>
        <w:rPr>
          <w:rFonts w:hint="eastAsia" w:ascii="MS UI Gothic" w:eastAsia="MS UI Gothic"/>
          <w:w w:val="80"/>
        </w:rPr>
        <w:t>ꎮ</w:t>
      </w:r>
    </w:p>
    <w:p>
      <w:pPr>
        <w:pStyle w:val="6"/>
        <w:tabs>
          <w:tab w:val="left" w:pos="1850"/>
        </w:tabs>
        <w:spacing w:before="58" w:line="295" w:lineRule="auto"/>
        <w:ind w:left="383" w:right="126"/>
        <w:jc w:val="left"/>
      </w:pPr>
      <w:r>
        <w:rPr>
          <w:spacing w:val="3"/>
          <w:w w:val="105"/>
        </w:rPr>
        <w:t>第十七</w:t>
      </w:r>
      <w:r>
        <w:rPr>
          <w:w w:val="105"/>
        </w:rPr>
        <w:t>条</w:t>
      </w:r>
      <w:r>
        <w:rPr>
          <w:w w:val="105"/>
        </w:rPr>
        <w:tab/>
      </w:r>
      <w:r>
        <w:rPr>
          <w:spacing w:val="3"/>
        </w:rPr>
        <w:t>从业人员在本生产经营</w:t>
      </w:r>
      <w:r>
        <w:t>单</w:t>
      </w:r>
      <w:r>
        <w:rPr>
          <w:spacing w:val="3"/>
        </w:rPr>
        <w:t>位内调整工作岗位或离岗一年以上重新</w:t>
      </w:r>
      <w:r>
        <w:t>上</w:t>
      </w:r>
    </w:p>
    <w:p>
      <w:pPr>
        <w:spacing w:after="0" w:line="295" w:lineRule="auto"/>
        <w:jc w:val="left"/>
        <w:sectPr>
          <w:type w:val="continuous"/>
          <w:pgSz w:w="10500" w:h="14750"/>
          <w:pgMar w:top="1400" w:right="980" w:bottom="280" w:left="980" w:header="720" w:footer="720" w:gutter="0"/>
          <w:cols w:equalWidth="0" w:num="2">
            <w:col w:w="4210" w:space="40"/>
            <w:col w:w="4290"/>
          </w:cols>
        </w:sectPr>
      </w:pPr>
    </w:p>
    <w:p>
      <w:pPr>
        <w:pStyle w:val="6"/>
        <w:spacing w:before="159"/>
        <w:ind w:left="332" w:firstLine="0"/>
        <w:jc w:val="left"/>
        <w:rPr>
          <w:rFonts w:hint="eastAsia" w:ascii="MS UI Gothic" w:eastAsia="MS UI Gothic"/>
        </w:rPr>
      </w:pPr>
      <w:r>
        <w:rPr>
          <w:rFonts w:hint="eastAsia" w:ascii="MS UI Gothic" w:eastAsia="MS UI Gothic"/>
          <w:spacing w:val="1"/>
          <w:w w:val="75"/>
        </w:rPr>
        <w:t>９８</w:t>
      </w:r>
    </w:p>
    <w:p>
      <w:pPr>
        <w:spacing w:before="192"/>
        <w:ind w:left="332"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998" w:space="1096"/>
            <w:col w:w="6446"/>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44" o:spid="_x0000_s1344" o:spt="203" style="height:2.15pt;width:398.25pt;" coordsize="7965,43">
            <o:lock v:ext="edit"/>
            <v:line id="_x0000_s1345" o:spid="_x0000_s1345" o:spt="20" style="position:absolute;left:0;top:39;height:0;width:7965;" stroked="t" coordsize="21600,21600">
              <v:path arrowok="t"/>
              <v:fill focussize="0,0"/>
              <v:stroke weight="0.388031496062992pt" color="#231F20"/>
              <v:imagedata o:title=""/>
              <o:lock v:ext="edit"/>
            </v:line>
            <v:line id="_x0000_s1346" o:spid="_x0000_s134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rPr>
          <w:spacing w:val="3"/>
          <w:w w:val="105"/>
        </w:rPr>
        <w:t>岗时</w:t>
      </w:r>
      <w:r>
        <w:rPr>
          <w:rFonts w:hint="eastAsia" w:ascii="MS UI Gothic" w:eastAsia="MS UI Gothic"/>
          <w:spacing w:val="20"/>
          <w:w w:val="80"/>
        </w:rPr>
        <w:t xml:space="preserve">ꎬ </w:t>
      </w:r>
      <w:r>
        <w:rPr>
          <w:spacing w:val="22"/>
          <w:w w:val="105"/>
        </w:rPr>
        <w:t xml:space="preserve">应当重新接受车间 </w:t>
      </w:r>
      <w:r>
        <w:rPr>
          <w:rFonts w:hint="eastAsia" w:ascii="MS UI Gothic" w:eastAsia="MS UI Gothic"/>
          <w:spacing w:val="-32"/>
          <w:w w:val="150"/>
        </w:rPr>
        <w:t xml:space="preserve">( </w:t>
      </w:r>
      <w:r>
        <w:rPr>
          <w:spacing w:val="18"/>
          <w:w w:val="105"/>
        </w:rPr>
        <w:t>工段</w:t>
      </w:r>
      <w:r>
        <w:rPr>
          <w:rFonts w:hint="eastAsia" w:ascii="MS UI Gothic" w:eastAsia="MS UI Gothic"/>
          <w:spacing w:val="21"/>
          <w:w w:val="80"/>
        </w:rPr>
        <w:t xml:space="preserve">、 </w:t>
      </w:r>
      <w:r>
        <w:rPr>
          <w:spacing w:val="3"/>
          <w:w w:val="105"/>
        </w:rPr>
        <w:t>区</w:t>
      </w:r>
      <w:r>
        <w:rPr>
          <w:rFonts w:hint="eastAsia" w:ascii="MS UI Gothic" w:eastAsia="MS UI Gothic"/>
          <w:w w:val="80"/>
        </w:rPr>
        <w:t>、</w:t>
      </w:r>
      <w:r>
        <w:rPr>
          <w:spacing w:val="3"/>
          <w:w w:val="105"/>
        </w:rPr>
        <w:t>队</w:t>
      </w:r>
      <w:r>
        <w:rPr>
          <w:rFonts w:hint="eastAsia" w:ascii="MS UI Gothic" w:eastAsia="MS UI Gothic"/>
          <w:spacing w:val="-10"/>
          <w:w w:val="150"/>
        </w:rPr>
        <w:t xml:space="preserve">) </w:t>
      </w:r>
      <w:r>
        <w:rPr>
          <w:spacing w:val="13"/>
          <w:w w:val="105"/>
        </w:rPr>
        <w:t>和班组级的安全培训</w:t>
      </w:r>
      <w:r>
        <w:rPr>
          <w:rFonts w:hint="eastAsia" w:ascii="MS UI Gothic" w:eastAsia="MS UI Gothic"/>
          <w:spacing w:val="9"/>
          <w:w w:val="80"/>
        </w:rPr>
        <w:t xml:space="preserve">ꎮ </w:t>
      </w:r>
      <w:r>
        <w:rPr>
          <w:spacing w:val="16"/>
          <w:w w:val="105"/>
        </w:rPr>
        <w:t>生产经营单</w:t>
      </w:r>
      <w:r>
        <w:rPr>
          <w:spacing w:val="3"/>
          <w:w w:val="105"/>
        </w:rPr>
        <w:t>位采用新工艺</w:t>
      </w:r>
      <w:r>
        <w:rPr>
          <w:rFonts w:hint="eastAsia" w:ascii="MS UI Gothic" w:eastAsia="MS UI Gothic"/>
          <w:spacing w:val="11"/>
          <w:w w:val="80"/>
        </w:rPr>
        <w:t xml:space="preserve">、 </w:t>
      </w:r>
      <w:r>
        <w:rPr>
          <w:spacing w:val="3"/>
          <w:w w:val="105"/>
        </w:rPr>
        <w:t>新技术</w:t>
      </w:r>
      <w:r>
        <w:rPr>
          <w:rFonts w:hint="eastAsia" w:ascii="MS UI Gothic" w:eastAsia="MS UI Gothic"/>
          <w:spacing w:val="11"/>
          <w:w w:val="80"/>
        </w:rPr>
        <w:t xml:space="preserve">、 </w:t>
      </w:r>
      <w:r>
        <w:rPr>
          <w:spacing w:val="2"/>
          <w:w w:val="105"/>
        </w:rPr>
        <w:t>新材料或者使用</w:t>
      </w:r>
      <w:r>
        <w:rPr>
          <w:spacing w:val="3"/>
        </w:rPr>
        <w:t>新设备时</w:t>
      </w:r>
      <w:r>
        <w:rPr>
          <w:rFonts w:hint="eastAsia" w:ascii="MS UI Gothic" w:eastAsia="MS UI Gothic"/>
          <w:spacing w:val="21"/>
          <w:w w:val="80"/>
        </w:rPr>
        <w:t xml:space="preserve">ꎬ </w:t>
      </w:r>
      <w:r>
        <w:rPr>
          <w:spacing w:val="2"/>
        </w:rPr>
        <w:t>应当对有关从业人员重新进行</w:t>
      </w:r>
      <w:r>
        <w:rPr>
          <w:spacing w:val="3"/>
          <w:w w:val="105"/>
        </w:rPr>
        <w:t>有针对性的安全培训</w:t>
      </w:r>
      <w:r>
        <w:rPr>
          <w:rFonts w:hint="eastAsia" w:ascii="MS UI Gothic" w:eastAsia="MS UI Gothic"/>
          <w:w w:val="80"/>
        </w:rPr>
        <w:t>ꎮ</w:t>
      </w:r>
    </w:p>
    <w:p>
      <w:pPr>
        <w:pStyle w:val="6"/>
        <w:spacing w:line="295" w:lineRule="auto"/>
        <w:ind w:right="39"/>
        <w:rPr>
          <w:rFonts w:hint="eastAsia" w:ascii="MS UI Gothic" w:eastAsia="MS UI Gothic"/>
        </w:rPr>
      </w:pPr>
      <w:r>
        <w:t>第十八条 生产经营单位的特种作业人员</w:t>
      </w:r>
      <w:r>
        <w:rPr>
          <w:rFonts w:hint="eastAsia" w:ascii="MS UI Gothic" w:eastAsia="MS UI Gothic"/>
          <w:w w:val="80"/>
        </w:rPr>
        <w:t xml:space="preserve">ꎬ </w:t>
      </w:r>
      <w:r>
        <w:t>必须按照国家有关法律</w:t>
      </w:r>
      <w:r>
        <w:rPr>
          <w:rFonts w:hint="eastAsia" w:ascii="MS UI Gothic" w:eastAsia="MS UI Gothic"/>
          <w:w w:val="80"/>
        </w:rPr>
        <w:t xml:space="preserve">、 </w:t>
      </w:r>
      <w:r>
        <w:t>法规的规定接受专门的安全培训</w:t>
      </w:r>
      <w:r>
        <w:rPr>
          <w:rFonts w:hint="eastAsia" w:ascii="MS UI Gothic" w:eastAsia="MS UI Gothic"/>
          <w:w w:val="80"/>
        </w:rPr>
        <w:t xml:space="preserve">ꎬ </w:t>
      </w:r>
      <w:r>
        <w:t>经考核合格</w:t>
      </w:r>
      <w:r>
        <w:rPr>
          <w:rFonts w:hint="eastAsia" w:ascii="MS UI Gothic" w:eastAsia="MS UI Gothic"/>
          <w:w w:val="80"/>
        </w:rPr>
        <w:t xml:space="preserve">ꎬ </w:t>
      </w:r>
      <w:r>
        <w:t>取得特种作业操作资格证书后</w:t>
      </w:r>
      <w:r>
        <w:rPr>
          <w:rFonts w:hint="eastAsia" w:ascii="MS UI Gothic" w:eastAsia="MS UI Gothic"/>
          <w:w w:val="80"/>
        </w:rPr>
        <w:t xml:space="preserve">ꎬ </w:t>
      </w:r>
      <w:r>
        <w:t>方可上岗作业</w:t>
      </w:r>
      <w:r>
        <w:rPr>
          <w:rFonts w:hint="eastAsia" w:ascii="MS UI Gothic" w:eastAsia="MS UI Gothic"/>
          <w:w w:val="80"/>
        </w:rPr>
        <w:t xml:space="preserve">ꎮ </w:t>
      </w:r>
      <w:r>
        <w:t>特种作业人员的范围和培训考核管理办法</w:t>
      </w:r>
      <w:r>
        <w:rPr>
          <w:rFonts w:hint="eastAsia" w:ascii="MS UI Gothic" w:eastAsia="MS UI Gothic"/>
          <w:w w:val="80"/>
        </w:rPr>
        <w:t xml:space="preserve">ꎬ </w:t>
      </w:r>
      <w:r>
        <w:t>另行规定</w:t>
      </w:r>
      <w:r>
        <w:rPr>
          <w:rFonts w:hint="eastAsia" w:ascii="MS UI Gothic" w:eastAsia="MS UI Gothic"/>
          <w:w w:val="80"/>
        </w:rPr>
        <w:t>ꎮ</w:t>
      </w:r>
    </w:p>
    <w:p>
      <w:pPr>
        <w:pStyle w:val="6"/>
        <w:tabs>
          <w:tab w:val="left" w:pos="1487"/>
        </w:tabs>
        <w:spacing w:before="149"/>
        <w:ind w:left="648" w:firstLine="0"/>
        <w:jc w:val="left"/>
      </w:pPr>
      <w:r>
        <w:rPr>
          <w:spacing w:val="3"/>
          <w:w w:val="105"/>
        </w:rPr>
        <w:t>第四</w:t>
      </w:r>
      <w:r>
        <w:rPr>
          <w:w w:val="105"/>
        </w:rPr>
        <w:t>章</w:t>
      </w:r>
      <w:r>
        <w:rPr>
          <w:w w:val="105"/>
        </w:rPr>
        <w:tab/>
      </w:r>
      <w:r>
        <w:rPr>
          <w:spacing w:val="3"/>
          <w:w w:val="105"/>
        </w:rPr>
        <w:t>安全培训的组织实</w:t>
      </w:r>
      <w:r>
        <w:rPr>
          <w:w w:val="105"/>
        </w:rPr>
        <w:t>施</w:t>
      </w:r>
    </w:p>
    <w:p>
      <w:pPr>
        <w:pStyle w:val="6"/>
        <w:spacing w:before="215" w:line="295" w:lineRule="auto"/>
        <w:ind w:right="38"/>
        <w:rPr>
          <w:rFonts w:hint="eastAsia" w:ascii="MS UI Gothic" w:eastAsia="MS UI Gothic"/>
        </w:rPr>
      </w:pPr>
      <w:r>
        <w:t>第十九条 生产经营单位从业人员的安全培训工作</w:t>
      </w:r>
      <w:r>
        <w:rPr>
          <w:rFonts w:hint="eastAsia" w:ascii="MS UI Gothic" w:eastAsia="MS UI Gothic"/>
          <w:w w:val="80"/>
        </w:rPr>
        <w:t xml:space="preserve">ꎬ </w:t>
      </w:r>
      <w:r>
        <w:t>由生产经营单位组织实施</w:t>
      </w:r>
      <w:r>
        <w:rPr>
          <w:rFonts w:hint="eastAsia" w:ascii="MS UI Gothic" w:eastAsia="MS UI Gothic"/>
          <w:w w:val="80"/>
        </w:rPr>
        <w:t xml:space="preserve">ꎮ </w:t>
      </w:r>
      <w:r>
        <w:t>生产经营单位应当坚持以考促学</w:t>
      </w:r>
      <w:r>
        <w:rPr>
          <w:rFonts w:hint="eastAsia" w:ascii="MS UI Gothic" w:eastAsia="MS UI Gothic"/>
          <w:w w:val="80"/>
        </w:rPr>
        <w:t xml:space="preserve">、 </w:t>
      </w:r>
      <w:r>
        <w:t>以讲促学</w:t>
      </w:r>
      <w:r>
        <w:rPr>
          <w:rFonts w:hint="eastAsia" w:ascii="MS UI Gothic" w:eastAsia="MS UI Gothic"/>
          <w:w w:val="80"/>
        </w:rPr>
        <w:t xml:space="preserve">ꎬ </w:t>
      </w:r>
      <w:r>
        <w:t>确保全体从业人员熟练掌握岗位安全生产知识和技能</w:t>
      </w:r>
      <w:r>
        <w:rPr>
          <w:rFonts w:hint="eastAsia" w:ascii="MS UI Gothic" w:eastAsia="MS UI Gothic"/>
          <w:w w:val="80"/>
        </w:rPr>
        <w:t xml:space="preserve">ꎻ </w:t>
      </w:r>
      <w:r>
        <w:t>煤矿</w:t>
      </w:r>
      <w:r>
        <w:rPr>
          <w:rFonts w:hint="eastAsia" w:ascii="MS UI Gothic" w:eastAsia="MS UI Gothic"/>
          <w:w w:val="80"/>
        </w:rPr>
        <w:t xml:space="preserve">、 </w:t>
      </w:r>
      <w:r>
        <w:t>非煤矿山</w:t>
      </w:r>
      <w:r>
        <w:rPr>
          <w:rFonts w:hint="eastAsia" w:ascii="MS UI Gothic" w:eastAsia="MS UI Gothic"/>
          <w:w w:val="80"/>
        </w:rPr>
        <w:t>、</w:t>
      </w:r>
      <w:r>
        <w:t>危险化学品</w:t>
      </w:r>
      <w:r>
        <w:rPr>
          <w:rFonts w:hint="eastAsia" w:ascii="MS UI Gothic" w:eastAsia="MS UI Gothic"/>
          <w:w w:val="80"/>
        </w:rPr>
        <w:t xml:space="preserve">、 </w:t>
      </w:r>
      <w:r>
        <w:t>烟花爆竹</w:t>
      </w:r>
      <w:r>
        <w:rPr>
          <w:rFonts w:hint="eastAsia" w:ascii="MS UI Gothic" w:eastAsia="MS UI Gothic"/>
          <w:w w:val="80"/>
        </w:rPr>
        <w:t xml:space="preserve">、 </w:t>
      </w:r>
      <w:r>
        <w:t>金属冶炼等生产经营单位还应当完善和落实师傅带徒弟制度</w:t>
      </w:r>
      <w:r>
        <w:rPr>
          <w:rFonts w:hint="eastAsia" w:ascii="MS UI Gothic" w:eastAsia="MS UI Gothic"/>
          <w:w w:val="80"/>
        </w:rPr>
        <w:t>ꎮ</w:t>
      </w:r>
    </w:p>
    <w:p>
      <w:pPr>
        <w:pStyle w:val="6"/>
        <w:spacing w:line="295" w:lineRule="auto"/>
        <w:ind w:right="38"/>
        <w:rPr>
          <w:rFonts w:hint="eastAsia" w:ascii="MS UI Gothic" w:eastAsia="MS UI Gothic"/>
        </w:rPr>
      </w:pPr>
      <w:r>
        <w:t>第二十条 具备安全培训条件的生产经营单位</w:t>
      </w:r>
      <w:r>
        <w:rPr>
          <w:rFonts w:hint="eastAsia" w:ascii="MS UI Gothic" w:eastAsia="MS UI Gothic"/>
          <w:w w:val="80"/>
        </w:rPr>
        <w:t xml:space="preserve">ꎬ </w:t>
      </w:r>
      <w:r>
        <w:t>应当以自主培训为主</w:t>
      </w:r>
      <w:r>
        <w:rPr>
          <w:rFonts w:hint="eastAsia" w:ascii="MS UI Gothic" w:eastAsia="MS UI Gothic"/>
          <w:w w:val="80"/>
        </w:rPr>
        <w:t xml:space="preserve">ꎻ </w:t>
      </w:r>
      <w:r>
        <w:t>可以委托具备安全培训条件的机构</w:t>
      </w:r>
      <w:r>
        <w:rPr>
          <w:rFonts w:hint="eastAsia" w:ascii="MS UI Gothic" w:eastAsia="MS UI Gothic"/>
          <w:w w:val="80"/>
        </w:rPr>
        <w:t xml:space="preserve">ꎬ </w:t>
      </w:r>
      <w:r>
        <w:t>对从业人员进行安全培训</w:t>
      </w:r>
      <w:r>
        <w:rPr>
          <w:rFonts w:hint="eastAsia" w:ascii="MS UI Gothic" w:eastAsia="MS UI Gothic"/>
          <w:w w:val="80"/>
        </w:rPr>
        <w:t xml:space="preserve">ꎮ </w:t>
      </w:r>
      <w:r>
        <w:t>不具备安全培训条件的生产经营单位</w:t>
      </w:r>
      <w:r>
        <w:rPr>
          <w:rFonts w:hint="eastAsia" w:ascii="MS UI Gothic" w:eastAsia="MS UI Gothic"/>
          <w:w w:val="80"/>
        </w:rPr>
        <w:t xml:space="preserve">ꎬ </w:t>
      </w:r>
      <w:r>
        <w:t>应当委托具备安全培训条件的机构</w:t>
      </w:r>
      <w:r>
        <w:rPr>
          <w:rFonts w:hint="eastAsia" w:ascii="MS UI Gothic" w:eastAsia="MS UI Gothic"/>
          <w:w w:val="80"/>
        </w:rPr>
        <w:t xml:space="preserve">ꎬ </w:t>
      </w:r>
      <w:r>
        <w:t>对从业人员进行安全培训</w:t>
      </w:r>
      <w:r>
        <w:rPr>
          <w:rFonts w:hint="eastAsia" w:ascii="MS UI Gothic" w:eastAsia="MS UI Gothic"/>
          <w:w w:val="80"/>
        </w:rPr>
        <w:t xml:space="preserve">ꎮ </w:t>
      </w:r>
      <w:r>
        <w:t>生产经营单位委托其他机构进行安全培训的</w:t>
      </w:r>
      <w:r>
        <w:rPr>
          <w:rFonts w:hint="eastAsia" w:ascii="MS UI Gothic" w:eastAsia="MS UI Gothic"/>
          <w:w w:val="80"/>
        </w:rPr>
        <w:t>ꎬ</w:t>
      </w:r>
      <w:r>
        <w:t>保证安全培训的责任仍由本单位负责</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第二十一条 生产经营单位应当将安</w:t>
      </w:r>
      <w:r>
        <w:t>全培训工作纳入本单位年度工作计划</w:t>
      </w:r>
      <w:r>
        <w:rPr>
          <w:rFonts w:hint="eastAsia" w:ascii="MS UI Gothic" w:eastAsia="MS UI Gothic"/>
          <w:w w:val="80"/>
        </w:rPr>
        <w:t xml:space="preserve">ꎮ </w:t>
      </w:r>
      <w:r>
        <w:t>保证本单位安全培训工作所需资金</w:t>
      </w:r>
      <w:r>
        <w:rPr>
          <w:rFonts w:hint="eastAsia" w:ascii="MS UI Gothic" w:eastAsia="MS UI Gothic"/>
          <w:w w:val="80"/>
        </w:rPr>
        <w:t xml:space="preserve">ꎮ </w:t>
      </w:r>
      <w:r>
        <w:t>生产经营单位的主要负责人负责组织制定并实施</w:t>
      </w:r>
      <w:r>
        <w:rPr>
          <w:w w:val="105"/>
        </w:rPr>
        <w:t>本单位安全培训计划</w:t>
      </w:r>
      <w:r>
        <w:rPr>
          <w:rFonts w:hint="eastAsia" w:ascii="MS UI Gothic" w:eastAsia="MS UI Gothic"/>
          <w:w w:val="80"/>
        </w:rPr>
        <w:t>ꎮ</w:t>
      </w:r>
    </w:p>
    <w:p>
      <w:pPr>
        <w:pStyle w:val="6"/>
        <w:spacing w:line="295" w:lineRule="auto"/>
        <w:ind w:right="38"/>
      </w:pPr>
      <w:r>
        <w:rPr>
          <w:w w:val="105"/>
        </w:rPr>
        <w:t>第二十二条 生产经营单位应当建立</w:t>
      </w:r>
      <w:r>
        <w:t>健全从业人员安全生产教育和培训档案</w:t>
      </w:r>
      <w:r>
        <w:rPr>
          <w:rFonts w:hint="eastAsia" w:ascii="MS UI Gothic" w:eastAsia="MS UI Gothic"/>
          <w:w w:val="80"/>
        </w:rPr>
        <w:t>ꎬ</w:t>
      </w:r>
      <w:r>
        <w:t>由生产经营单位的安全生产管理机构以及</w:t>
      </w:r>
      <w:r>
        <w:rPr>
          <w:w w:val="105"/>
        </w:rPr>
        <w:t>安全生产管理人员详细</w:t>
      </w:r>
      <w:r>
        <w:rPr>
          <w:rFonts w:hint="eastAsia" w:ascii="MS UI Gothic" w:eastAsia="MS UI Gothic"/>
          <w:w w:val="80"/>
        </w:rPr>
        <w:t xml:space="preserve">、 </w:t>
      </w:r>
      <w:r>
        <w:rPr>
          <w:w w:val="105"/>
        </w:rPr>
        <w:t>准确记录培训的时间</w:t>
      </w:r>
      <w:r>
        <w:rPr>
          <w:rFonts w:hint="eastAsia" w:ascii="MS UI Gothic" w:eastAsia="MS UI Gothic"/>
          <w:w w:val="80"/>
        </w:rPr>
        <w:t xml:space="preserve">、 </w:t>
      </w:r>
      <w:r>
        <w:rPr>
          <w:w w:val="105"/>
        </w:rPr>
        <w:t>内容</w:t>
      </w:r>
      <w:r>
        <w:rPr>
          <w:rFonts w:hint="eastAsia" w:ascii="MS UI Gothic" w:eastAsia="MS UI Gothic"/>
          <w:w w:val="80"/>
        </w:rPr>
        <w:t xml:space="preserve">、 </w:t>
      </w:r>
      <w:r>
        <w:rPr>
          <w:w w:val="105"/>
        </w:rPr>
        <w:t>参加人员以及考核结果等</w:t>
      </w:r>
    </w:p>
    <w:p>
      <w:pPr>
        <w:spacing w:before="123"/>
        <w:ind w:left="124" w:right="0" w:firstLine="0"/>
        <w:jc w:val="left"/>
        <w:rPr>
          <w:rFonts w:hint="eastAsia" w:ascii="MS UI Gothic" w:eastAsia="MS UI Gothic"/>
          <w:sz w:val="20"/>
        </w:rPr>
      </w:pPr>
      <w:r>
        <w:br w:type="column"/>
      </w:r>
      <w:r>
        <w:rPr>
          <w:sz w:val="20"/>
        </w:rPr>
        <w:t>情况</w:t>
      </w:r>
      <w:r>
        <w:rPr>
          <w:rFonts w:hint="eastAsia" w:ascii="MS UI Gothic" w:eastAsia="MS UI Gothic"/>
          <w:w w:val="80"/>
          <w:sz w:val="20"/>
        </w:rPr>
        <w:t>ꎮ</w:t>
      </w:r>
    </w:p>
    <w:p>
      <w:pPr>
        <w:pStyle w:val="6"/>
        <w:spacing w:before="58" w:line="295" w:lineRule="auto"/>
        <w:ind w:right="442"/>
        <w:rPr>
          <w:rFonts w:hint="eastAsia" w:ascii="MS UI Gothic" w:eastAsia="MS UI Gothic"/>
        </w:rPr>
      </w:pPr>
      <w:r>
        <w:t>第二十三条 生产经营单位安排从业人员进行安全培训期间</w:t>
      </w:r>
      <w:r>
        <w:rPr>
          <w:rFonts w:hint="eastAsia" w:ascii="MS UI Gothic" w:eastAsia="MS UI Gothic"/>
          <w:w w:val="80"/>
        </w:rPr>
        <w:t xml:space="preserve">ꎬ </w:t>
      </w:r>
      <w:r>
        <w:t>应当支付工资和必要的费用</w:t>
      </w:r>
      <w:r>
        <w:rPr>
          <w:rFonts w:hint="eastAsia" w:ascii="MS UI Gothic" w:eastAsia="MS UI Gothic"/>
          <w:w w:val="80"/>
        </w:rPr>
        <w:t>ꎮ</w:t>
      </w:r>
    </w:p>
    <w:p>
      <w:pPr>
        <w:pStyle w:val="6"/>
        <w:tabs>
          <w:tab w:val="left" w:pos="1906"/>
        </w:tabs>
        <w:spacing w:before="155"/>
        <w:ind w:left="1067" w:firstLine="0"/>
        <w:jc w:val="left"/>
      </w:pPr>
      <w:r>
        <w:rPr>
          <w:spacing w:val="3"/>
          <w:w w:val="105"/>
        </w:rPr>
        <w:t>第五</w:t>
      </w:r>
      <w:r>
        <w:rPr>
          <w:w w:val="105"/>
        </w:rPr>
        <w:t>章</w:t>
      </w:r>
      <w:r>
        <w:rPr>
          <w:w w:val="105"/>
        </w:rPr>
        <w:tab/>
      </w:r>
      <w:r>
        <w:rPr>
          <w:w w:val="105"/>
        </w:rPr>
        <w:t>监</w:t>
      </w:r>
      <w:r>
        <w:rPr>
          <w:spacing w:val="-33"/>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right="442"/>
        <w:rPr>
          <w:rFonts w:hint="eastAsia" w:ascii="MS UI Gothic" w:eastAsia="MS UI Gothic"/>
        </w:rPr>
      </w:pPr>
      <w:r>
        <w:t>第二十四条 煤矿</w:t>
      </w:r>
      <w:r>
        <w:rPr>
          <w:rFonts w:hint="eastAsia" w:ascii="MS UI Gothic" w:eastAsia="MS UI Gothic"/>
          <w:w w:val="80"/>
        </w:rPr>
        <w:t xml:space="preserve">、 </w:t>
      </w:r>
      <w:r>
        <w:t>非煤矿山</w:t>
      </w:r>
      <w:r>
        <w:rPr>
          <w:rFonts w:hint="eastAsia" w:ascii="MS UI Gothic" w:eastAsia="MS UI Gothic"/>
          <w:w w:val="80"/>
        </w:rPr>
        <w:t xml:space="preserve">、  </w:t>
      </w:r>
      <w:r>
        <w:t>危险化学品</w:t>
      </w:r>
      <w:r>
        <w:rPr>
          <w:rFonts w:hint="eastAsia" w:ascii="MS UI Gothic" w:eastAsia="MS UI Gothic"/>
          <w:w w:val="80"/>
        </w:rPr>
        <w:t xml:space="preserve">、 </w:t>
      </w:r>
      <w:r>
        <w:t>烟花爆竹</w:t>
      </w:r>
      <w:r>
        <w:rPr>
          <w:rFonts w:hint="eastAsia" w:ascii="MS UI Gothic" w:eastAsia="MS UI Gothic"/>
          <w:w w:val="80"/>
        </w:rPr>
        <w:t xml:space="preserve">、 </w:t>
      </w:r>
      <w:r>
        <w:t>金属冶炼等生产经营单位主要负责人和安全生产管理人员</w:t>
      </w:r>
      <w:r>
        <w:rPr>
          <w:rFonts w:hint="eastAsia" w:ascii="MS UI Gothic" w:eastAsia="MS UI Gothic"/>
          <w:w w:val="80"/>
        </w:rPr>
        <w:t xml:space="preserve">ꎬ </w:t>
      </w:r>
      <w:r>
        <w:t xml:space="preserve">自任职之日起 </w:t>
      </w:r>
      <w:r>
        <w:rPr>
          <w:rFonts w:hint="eastAsia" w:ascii="MS UI Gothic" w:eastAsia="MS UI Gothic"/>
          <w:w w:val="80"/>
        </w:rPr>
        <w:t xml:space="preserve">６ </w:t>
      </w:r>
      <w:r>
        <w:t>个月内</w:t>
      </w:r>
      <w:r>
        <w:rPr>
          <w:rFonts w:hint="eastAsia" w:ascii="MS UI Gothic" w:eastAsia="MS UI Gothic"/>
          <w:w w:val="80"/>
        </w:rPr>
        <w:t xml:space="preserve">ꎬ </w:t>
      </w:r>
      <w:r>
        <w:t>必须经安全生产监管监察部门对其安全生产知识和管理能力考核合格</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第二十五条 安全生产监管监察部门</w:t>
      </w:r>
      <w:r>
        <w:t>依法对生产经营单位安全培训情况进行监督检查</w:t>
      </w:r>
      <w:r>
        <w:rPr>
          <w:rFonts w:hint="eastAsia" w:ascii="MS UI Gothic" w:eastAsia="MS UI Gothic"/>
          <w:w w:val="80"/>
        </w:rPr>
        <w:t xml:space="preserve">ꎬ </w:t>
      </w:r>
      <w:r>
        <w:t>督促生产经营单位按照国家有关法律法规和本规定开展安全培训工作</w:t>
      </w:r>
      <w:r>
        <w:rPr>
          <w:rFonts w:hint="eastAsia" w:ascii="MS UI Gothic" w:eastAsia="MS UI Gothic"/>
          <w:w w:val="80"/>
        </w:rPr>
        <w:t xml:space="preserve">ꎮ </w:t>
      </w:r>
      <w:r>
        <w:t>县级以上地方人民政府负责煤矿安全生产监督管理的部门对煤矿井下作业人员的安全培训情况进行监督检查</w:t>
      </w:r>
      <w:r>
        <w:rPr>
          <w:rFonts w:hint="eastAsia" w:ascii="MS UI Gothic" w:eastAsia="MS UI Gothic"/>
          <w:w w:val="80"/>
        </w:rPr>
        <w:t xml:space="preserve">ꎮ </w:t>
      </w:r>
      <w:r>
        <w:t>煤矿安全监察机构对煤矿特种作业人员安全培训及其持证</w:t>
      </w:r>
      <w:r>
        <w:rPr>
          <w:w w:val="105"/>
        </w:rPr>
        <w:t>上岗的情况进行监督检查</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第二十六条 各级安全生产监管监察</w:t>
      </w:r>
      <w:r>
        <w:t>部门对生产经营单位安全培训及其持证上岗的情况进行监督检查</w:t>
      </w:r>
      <w:r>
        <w:rPr>
          <w:rFonts w:hint="eastAsia" w:ascii="MS UI Gothic" w:eastAsia="MS UI Gothic"/>
          <w:w w:val="80"/>
        </w:rPr>
        <w:t xml:space="preserve">ꎬ </w:t>
      </w:r>
      <w:r>
        <w:t>主要包括以下</w:t>
      </w:r>
      <w:r>
        <w:rPr>
          <w:w w:val="105"/>
        </w:rPr>
        <w:t>内容</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安全培训制度</w:t>
      </w:r>
      <w:r>
        <w:rPr>
          <w:rFonts w:hint="eastAsia" w:ascii="MS UI Gothic" w:eastAsia="MS UI Gothic"/>
          <w:w w:val="80"/>
        </w:rPr>
        <w:t xml:space="preserve">、 </w:t>
      </w:r>
      <w:r>
        <w:rPr>
          <w:w w:val="105"/>
        </w:rPr>
        <w:t>计划的制定及其实施的情况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煤矿</w:t>
      </w:r>
      <w:r>
        <w:rPr>
          <w:rFonts w:hint="eastAsia" w:ascii="MS UI Gothic" w:eastAsia="MS UI Gothic"/>
          <w:w w:val="80"/>
        </w:rPr>
        <w:t xml:space="preserve">、 </w:t>
      </w:r>
      <w:r>
        <w:rPr>
          <w:w w:val="105"/>
        </w:rPr>
        <w:t>非煤矿山</w:t>
      </w:r>
      <w:r>
        <w:rPr>
          <w:rFonts w:hint="eastAsia" w:ascii="MS UI Gothic" w:eastAsia="MS UI Gothic"/>
          <w:w w:val="80"/>
        </w:rPr>
        <w:t xml:space="preserve">、 </w:t>
      </w:r>
      <w:r>
        <w:rPr>
          <w:w w:val="105"/>
        </w:rPr>
        <w:t>危险化学品</w:t>
      </w:r>
      <w:r>
        <w:rPr>
          <w:rFonts w:hint="eastAsia" w:ascii="MS UI Gothic" w:eastAsia="MS UI Gothic"/>
          <w:w w:val="80"/>
        </w:rPr>
        <w:t xml:space="preserve">、 </w:t>
      </w:r>
      <w:r>
        <w:rPr>
          <w:w w:val="105"/>
        </w:rPr>
        <w:t>烟花爆竹</w:t>
      </w:r>
      <w:r>
        <w:rPr>
          <w:rFonts w:hint="eastAsia" w:ascii="MS UI Gothic" w:eastAsia="MS UI Gothic"/>
          <w:w w:val="80"/>
        </w:rPr>
        <w:t xml:space="preserve">、 </w:t>
      </w:r>
      <w:r>
        <w:rPr>
          <w:w w:val="105"/>
        </w:rPr>
        <w:t>金属冶炼等生产经营单位</w:t>
      </w:r>
      <w:r>
        <w:t>主要负责人和安全生产管理人员安全培训以及安全生产知识和管理能力考核的情况</w:t>
      </w:r>
      <w:r>
        <w:rPr>
          <w:rFonts w:hint="eastAsia" w:ascii="MS UI Gothic" w:eastAsia="MS UI Gothic"/>
          <w:w w:val="80"/>
        </w:rPr>
        <w:t xml:space="preserve">ꎻ </w:t>
      </w:r>
      <w:r>
        <w:t>其他生产经营单位主要负责人和安全</w:t>
      </w:r>
      <w:r>
        <w:rPr>
          <w:w w:val="105"/>
        </w:rPr>
        <w:t>生产管理人员培训的情况</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特种作业人员操作资格证持证</w:t>
      </w:r>
      <w:r>
        <w:rPr>
          <w:w w:val="110"/>
        </w:rPr>
        <w:t>上岗的情况</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建立安全生产教育和培训档案</w:t>
      </w:r>
      <w:r>
        <w:rPr>
          <w:rFonts w:hint="eastAsia" w:ascii="MS UI Gothic" w:eastAsia="MS UI Gothic"/>
          <w:w w:val="80"/>
        </w:rPr>
        <w:t xml:space="preserve">ꎬ </w:t>
      </w:r>
      <w:r>
        <w:rPr>
          <w:w w:val="105"/>
        </w:rPr>
        <w:t>并如实记录的情况</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对从业人员现场抽考本职工作</w:t>
      </w:r>
      <w:r>
        <w:rPr>
          <w:w w:val="110"/>
        </w:rPr>
        <w:t>的安全生产知识</w:t>
      </w:r>
      <w:r>
        <w:rPr>
          <w:rFonts w:hint="eastAsia" w:ascii="MS UI Gothic" w:eastAsia="MS UI Gothic"/>
          <w:w w:val="80"/>
        </w:rPr>
        <w:t>ꎻ</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53" w:firstLine="0"/>
        <w:jc w:val="right"/>
        <w:rPr>
          <w:sz w:val="17"/>
        </w:rPr>
      </w:pPr>
      <w:r>
        <w:rPr>
          <w:spacing w:val="3"/>
          <w:sz w:val="17"/>
        </w:rPr>
        <w:t>四</w:t>
      </w:r>
      <w:r>
        <w:rPr>
          <w:rFonts w:hint="eastAsia" w:ascii="Microsoft Yi Baiti" w:eastAsia="Microsoft Yi Baiti"/>
          <w:spacing w:val="9"/>
          <w:sz w:val="17"/>
        </w:rPr>
        <w:t xml:space="preserve">、 </w:t>
      </w:r>
      <w:r>
        <w:rPr>
          <w:spacing w:val="-18"/>
          <w:sz w:val="17"/>
        </w:rPr>
        <w:t>安 全 生 产 法</w:t>
      </w:r>
    </w:p>
    <w:p>
      <w:pPr>
        <w:pStyle w:val="6"/>
        <w:spacing w:before="8"/>
        <w:ind w:left="0" w:firstLine="0"/>
        <w:jc w:val="left"/>
        <w:rPr>
          <w:sz w:val="23"/>
        </w:rPr>
      </w:pPr>
    </w:p>
    <w:p>
      <w:pPr>
        <w:pStyle w:val="6"/>
        <w:tabs>
          <w:tab w:val="left" w:pos="4592"/>
        </w:tabs>
        <w:spacing w:line="240" w:lineRule="exact"/>
        <w:ind w:left="820" w:firstLine="0"/>
        <w:jc w:val="center"/>
        <w:rPr>
          <w:rFonts w:hint="eastAsia" w:ascii="MS UI Gothic" w:eastAsia="MS UI Gothic"/>
        </w:rPr>
      </w:pPr>
      <w:r>
        <w:pict>
          <v:shape id="_x0000_s1347" o:spid="_x0000_s1347" style="position:absolute;left:0pt;margin-left:0pt;margin-top:664.5pt;height:1.75pt;width:398.25pt;mso-position-horizontal-relative:page;z-index:251783168;mso-width-relative:page;mso-height-relative:page;" filled="f" stroked="t" coordorigin="0,13290" coordsize="7965,35" path="m1419,-196l9384,-196m1419,-231l9384,-231e">
            <v:path arrowok="t"/>
            <v:fill on="f" focussize="0,0"/>
            <v:stroke weight="0.388031496062992pt" color="#231F20"/>
            <v:imagedata o:title=""/>
            <o:lock v:ext="edit"/>
          </v:shape>
        </w:pict>
      </w:r>
      <w:r>
        <w:rPr>
          <w:rFonts w:hint="eastAsia" w:ascii="MS UI Gothic" w:eastAsia="MS UI Gothic"/>
          <w:w w:val="150"/>
        </w:rPr>
        <w:t>(</w:t>
      </w:r>
      <w:r>
        <w:rPr>
          <w:rFonts w:hint="eastAsia" w:ascii="MS UI Gothic" w:eastAsia="MS UI Gothic"/>
          <w:spacing w:val="-77"/>
          <w:w w:val="150"/>
        </w:rPr>
        <w:t xml:space="preserve"> </w:t>
      </w:r>
      <w:r>
        <w:rPr>
          <w:spacing w:val="3"/>
          <w:w w:val="105"/>
        </w:rPr>
        <w:t>六</w:t>
      </w:r>
      <w:r>
        <w:rPr>
          <w:rFonts w:hint="eastAsia" w:ascii="MS UI Gothic" w:eastAsia="MS UI Gothic"/>
          <w:w w:val="150"/>
        </w:rPr>
        <w:t>)</w:t>
      </w:r>
      <w:r>
        <w:rPr>
          <w:rFonts w:hint="eastAsia" w:ascii="MS UI Gothic" w:eastAsia="MS UI Gothic"/>
          <w:spacing w:val="-1"/>
          <w:w w:val="150"/>
        </w:rPr>
        <w:t xml:space="preserve"> </w:t>
      </w:r>
      <w:r>
        <w:rPr>
          <w:spacing w:val="3"/>
          <w:w w:val="105"/>
        </w:rPr>
        <w:t>其他需要检查的内容</w:t>
      </w:r>
      <w:r>
        <w:rPr>
          <w:rFonts w:hint="eastAsia" w:ascii="MS UI Gothic" w:eastAsia="MS UI Gothic"/>
          <w:w w:val="80"/>
        </w:rPr>
        <w:t>ꎮ</w:t>
      </w:r>
      <w:r>
        <w:rPr>
          <w:rFonts w:hint="eastAsia" w:ascii="MS UI Gothic" w:eastAsia="MS UI Gothic"/>
          <w:w w:val="80"/>
        </w:rPr>
        <w:tab/>
      </w:r>
      <w:r>
        <w:rPr>
          <w:spacing w:val="3"/>
          <w:w w:val="85"/>
        </w:rPr>
        <w:t>项的</w:t>
      </w:r>
      <w:r>
        <w:rPr>
          <w:rFonts w:hint="eastAsia" w:ascii="MS UI Gothic" w:eastAsia="MS UI Gothic"/>
          <w:w w:val="80"/>
        </w:rPr>
        <w:t>ꎻ</w:t>
      </w:r>
    </w:p>
    <w:p>
      <w:pPr>
        <w:pStyle w:val="6"/>
        <w:spacing w:before="159"/>
        <w:ind w:left="860" w:firstLine="0"/>
        <w:jc w:val="left"/>
        <w:rPr>
          <w:rFonts w:hint="eastAsia" w:ascii="MS UI Gothic" w:eastAsia="MS UI Gothic"/>
        </w:rPr>
      </w:pPr>
      <w:r>
        <w:br w:type="column"/>
      </w:r>
      <w:r>
        <w:rPr>
          <w:rFonts w:hint="eastAsia" w:ascii="MS UI Gothic" w:eastAsia="MS UI Gothic"/>
          <w:spacing w:val="1"/>
          <w:w w:val="75"/>
        </w:rPr>
        <w:t>９９</w:t>
      </w:r>
    </w:p>
    <w:p>
      <w:pPr>
        <w:spacing w:after="0"/>
        <w:jc w:val="left"/>
        <w:rPr>
          <w:rFonts w:hint="eastAsia" w:ascii="MS UI Gothic" w:eastAsia="MS UI Gothic"/>
        </w:rPr>
        <w:sectPr>
          <w:pgSz w:w="10500" w:h="14750"/>
          <w:pgMar w:top="960" w:right="980" w:bottom="280" w:left="980" w:header="720" w:footer="720" w:gutter="0"/>
          <w:cols w:equalWidth="0" w:num="2">
            <w:col w:w="5195" w:space="1510"/>
            <w:col w:w="1835"/>
          </w:cols>
        </w:sectPr>
      </w:pPr>
    </w:p>
    <w:p>
      <w:pPr>
        <w:pStyle w:val="6"/>
        <w:spacing w:before="74" w:line="295" w:lineRule="auto"/>
        <w:ind w:left="440" w:right="1"/>
        <w:rPr>
          <w:rFonts w:hint="eastAsia" w:ascii="MS UI Gothic" w:eastAsia="MS UI Gothic"/>
        </w:rPr>
      </w:pPr>
      <w:r>
        <w:t>第二十七条 安全生产监管监察部门对煤矿</w:t>
      </w:r>
      <w:r>
        <w:rPr>
          <w:rFonts w:hint="eastAsia" w:ascii="MS UI Gothic" w:eastAsia="MS UI Gothic"/>
          <w:w w:val="80"/>
        </w:rPr>
        <w:t xml:space="preserve">、 </w:t>
      </w:r>
      <w:r>
        <w:t>非煤矿山</w:t>
      </w:r>
      <w:r>
        <w:rPr>
          <w:rFonts w:hint="eastAsia" w:ascii="MS UI Gothic" w:eastAsia="MS UI Gothic"/>
          <w:w w:val="80"/>
        </w:rPr>
        <w:t xml:space="preserve">、 </w:t>
      </w:r>
      <w:r>
        <w:t>危险化学品</w:t>
      </w:r>
      <w:r>
        <w:rPr>
          <w:rFonts w:hint="eastAsia" w:ascii="MS UI Gothic" w:eastAsia="MS UI Gothic"/>
          <w:w w:val="80"/>
        </w:rPr>
        <w:t xml:space="preserve">、 </w:t>
      </w:r>
      <w:r>
        <w:t>烟花爆竹</w:t>
      </w:r>
      <w:r>
        <w:rPr>
          <w:rFonts w:hint="eastAsia" w:ascii="MS UI Gothic" w:eastAsia="MS UI Gothic"/>
          <w:w w:val="80"/>
        </w:rPr>
        <w:t xml:space="preserve">、 </w:t>
      </w:r>
      <w:r>
        <w:t>金属冶炼等生产经营单位的主要负责人</w:t>
      </w:r>
      <w:r>
        <w:rPr>
          <w:rFonts w:hint="eastAsia" w:ascii="MS UI Gothic" w:eastAsia="MS UI Gothic"/>
          <w:w w:val="80"/>
        </w:rPr>
        <w:t xml:space="preserve">、 </w:t>
      </w:r>
      <w:r>
        <w:t>安全管理人员应当按照本规定严格考核</w:t>
      </w:r>
      <w:r>
        <w:rPr>
          <w:rFonts w:hint="eastAsia" w:ascii="MS UI Gothic" w:eastAsia="MS UI Gothic"/>
          <w:w w:val="80"/>
        </w:rPr>
        <w:t xml:space="preserve">ꎮ </w:t>
      </w:r>
      <w:r>
        <w:t>考核不得收费</w:t>
      </w:r>
      <w:r>
        <w:rPr>
          <w:rFonts w:hint="eastAsia" w:ascii="MS UI Gothic" w:eastAsia="MS UI Gothic"/>
          <w:w w:val="80"/>
        </w:rPr>
        <w:t xml:space="preserve">ꎮ </w:t>
      </w:r>
      <w:r>
        <w:t>安全生产监管监察部门负责考核的有关人员不得玩忽职守和滥用职权</w:t>
      </w:r>
      <w:r>
        <w:rPr>
          <w:rFonts w:hint="eastAsia" w:ascii="MS UI Gothic" w:eastAsia="MS UI Gothic"/>
          <w:w w:val="80"/>
        </w:rPr>
        <w:t>ꎮ</w:t>
      </w:r>
    </w:p>
    <w:p>
      <w:pPr>
        <w:pStyle w:val="6"/>
        <w:spacing w:line="295" w:lineRule="auto"/>
        <w:ind w:left="440"/>
        <w:rPr>
          <w:rFonts w:hint="eastAsia" w:ascii="MS UI Gothic" w:eastAsia="MS UI Gothic"/>
        </w:rPr>
      </w:pPr>
      <w:r>
        <w:t>第二十八条 安全生产监管监察部门检查中发现安全生产教育和培训责任落实不到位</w:t>
      </w:r>
      <w:r>
        <w:rPr>
          <w:rFonts w:hint="eastAsia" w:ascii="MS UI Gothic" w:eastAsia="MS UI Gothic"/>
          <w:w w:val="80"/>
        </w:rPr>
        <w:t xml:space="preserve">、 </w:t>
      </w:r>
      <w:r>
        <w:t>有关从业人员未经培训合格的</w:t>
      </w:r>
      <w:r>
        <w:rPr>
          <w:rFonts w:hint="eastAsia" w:ascii="MS UI Gothic" w:eastAsia="MS UI Gothic"/>
          <w:w w:val="80"/>
        </w:rPr>
        <w:t>ꎬ</w:t>
      </w:r>
      <w:r>
        <w:t>应当视为生产安全事故隐患</w:t>
      </w:r>
      <w:r>
        <w:rPr>
          <w:rFonts w:hint="eastAsia" w:ascii="MS UI Gothic" w:eastAsia="MS UI Gothic"/>
          <w:w w:val="80"/>
        </w:rPr>
        <w:t xml:space="preserve">ꎬ </w:t>
      </w:r>
      <w:r>
        <w:t>责令生产经营单位立即停止违法行为</w:t>
      </w:r>
      <w:r>
        <w:rPr>
          <w:rFonts w:hint="eastAsia" w:ascii="MS UI Gothic" w:eastAsia="MS UI Gothic"/>
          <w:w w:val="80"/>
        </w:rPr>
        <w:t xml:space="preserve">ꎬ </w:t>
      </w:r>
      <w:r>
        <w:t>限期整改</w:t>
      </w:r>
      <w:r>
        <w:rPr>
          <w:rFonts w:hint="eastAsia" w:ascii="MS UI Gothic" w:eastAsia="MS UI Gothic"/>
          <w:w w:val="80"/>
        </w:rPr>
        <w:t xml:space="preserve">ꎬ </w:t>
      </w:r>
      <w:r>
        <w:t>并依法予以处罚</w:t>
      </w:r>
      <w:r>
        <w:rPr>
          <w:rFonts w:hint="eastAsia" w:ascii="MS UI Gothic" w:eastAsia="MS UI Gothic"/>
          <w:w w:val="80"/>
        </w:rPr>
        <w:t>ꎮ</w:t>
      </w:r>
    </w:p>
    <w:p>
      <w:pPr>
        <w:pStyle w:val="6"/>
        <w:tabs>
          <w:tab w:val="left" w:pos="2327"/>
          <w:tab w:val="left" w:pos="2956"/>
        </w:tabs>
        <w:spacing w:before="147"/>
        <w:ind w:left="1488" w:firstLine="0"/>
        <w:jc w:val="left"/>
      </w:pPr>
      <w:r>
        <w:rPr>
          <w:spacing w:val="3"/>
          <w:w w:val="105"/>
        </w:rPr>
        <w:t>第六</w:t>
      </w:r>
      <w:r>
        <w:rPr>
          <w:w w:val="105"/>
        </w:rPr>
        <w:t>章</w:t>
      </w:r>
      <w:r>
        <w:rPr>
          <w:w w:val="105"/>
        </w:rPr>
        <w:tab/>
      </w:r>
      <w:r>
        <w:rPr>
          <w:w w:val="105"/>
        </w:rPr>
        <w:t>罚</w:t>
      </w:r>
      <w:r>
        <w:rPr>
          <w:w w:val="105"/>
        </w:rPr>
        <w:tab/>
      </w:r>
      <w:r>
        <w:rPr>
          <w:w w:val="105"/>
        </w:rPr>
        <w:t>则</w:t>
      </w:r>
    </w:p>
    <w:p>
      <w:pPr>
        <w:pStyle w:val="6"/>
        <w:spacing w:before="216" w:line="295" w:lineRule="auto"/>
        <w:ind w:left="440" w:right="1"/>
        <w:rPr>
          <w:rFonts w:hint="eastAsia" w:ascii="MS UI Gothic" w:eastAsia="MS UI Gothic"/>
        </w:rPr>
      </w:pPr>
      <w:r>
        <w:rPr>
          <w:spacing w:val="2"/>
          <w:w w:val="105"/>
        </w:rPr>
        <w:t>第二十九条 生产经营单位有下列行</w:t>
      </w:r>
      <w:r>
        <w:rPr>
          <w:spacing w:val="3"/>
        </w:rPr>
        <w:t>为之一的</w:t>
      </w:r>
      <w:r>
        <w:rPr>
          <w:rFonts w:hint="eastAsia" w:ascii="MS UI Gothic" w:eastAsia="MS UI Gothic"/>
          <w:spacing w:val="21"/>
          <w:w w:val="80"/>
        </w:rPr>
        <w:t xml:space="preserve">ꎬ </w:t>
      </w:r>
      <w:r>
        <w:rPr>
          <w:spacing w:val="2"/>
        </w:rPr>
        <w:t>由安全生产监管监察部门责令</w:t>
      </w:r>
      <w:r>
        <w:rPr>
          <w:spacing w:val="3"/>
          <w:w w:val="105"/>
        </w:rPr>
        <w:t>其限期改正</w:t>
      </w:r>
      <w:r>
        <w:rPr>
          <w:rFonts w:hint="eastAsia" w:ascii="MS UI Gothic" w:eastAsia="MS UI Gothic"/>
          <w:spacing w:val="7"/>
          <w:w w:val="80"/>
        </w:rPr>
        <w:t xml:space="preserve">ꎬ </w:t>
      </w:r>
      <w:r>
        <w:rPr>
          <w:spacing w:val="-18"/>
          <w:w w:val="105"/>
        </w:rPr>
        <w:t xml:space="preserve">可以处 </w:t>
      </w:r>
      <w:r>
        <w:rPr>
          <w:rFonts w:hint="eastAsia" w:ascii="MS UI Gothic" w:eastAsia="MS UI Gothic"/>
          <w:spacing w:val="-7"/>
          <w:w w:val="80"/>
        </w:rPr>
        <w:t xml:space="preserve">１ </w:t>
      </w:r>
      <w:r>
        <w:rPr>
          <w:spacing w:val="-14"/>
          <w:w w:val="105"/>
        </w:rPr>
        <w:t xml:space="preserve">万元以上 </w:t>
      </w:r>
      <w:r>
        <w:rPr>
          <w:rFonts w:hint="eastAsia" w:ascii="MS UI Gothic" w:eastAsia="MS UI Gothic"/>
          <w:spacing w:val="-7"/>
          <w:w w:val="80"/>
        </w:rPr>
        <w:t xml:space="preserve">３ </w:t>
      </w:r>
      <w:r>
        <w:rPr>
          <w:spacing w:val="3"/>
          <w:w w:val="105"/>
        </w:rPr>
        <w:t>万元以下的罚款</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未将安全培训工作纳入本单位</w:t>
      </w:r>
      <w:r>
        <w:t>工作计划并保证安全培训工作所需资</w:t>
      </w:r>
      <w:r>
        <w:rPr>
          <w:w w:val="105"/>
        </w:rPr>
        <w:t>金的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从业人员进行安全培训期间未支付工资并承担安全培训费用的</w:t>
      </w:r>
      <w:r>
        <w:rPr>
          <w:rFonts w:hint="eastAsia" w:ascii="MS UI Gothic" w:eastAsia="MS UI Gothic"/>
          <w:w w:val="80"/>
        </w:rPr>
        <w:t>ꎮ</w:t>
      </w:r>
    </w:p>
    <w:p>
      <w:pPr>
        <w:pStyle w:val="6"/>
        <w:spacing w:line="295" w:lineRule="auto"/>
        <w:ind w:left="440" w:right="1"/>
        <w:rPr>
          <w:rFonts w:hint="eastAsia" w:ascii="MS UI Gothic" w:eastAsia="MS UI Gothic"/>
        </w:rPr>
      </w:pPr>
      <w:r>
        <w:t>第三十条 生产经营单位有下列行为之一的</w:t>
      </w:r>
      <w:r>
        <w:rPr>
          <w:rFonts w:hint="eastAsia" w:ascii="MS UI Gothic" w:eastAsia="MS UI Gothic"/>
          <w:w w:val="85"/>
        </w:rPr>
        <w:t xml:space="preserve">ꎬ </w:t>
      </w:r>
      <w:r>
        <w:t>由安全生产监管监察部门责令其限期改正</w:t>
      </w:r>
      <w:r>
        <w:rPr>
          <w:rFonts w:hint="eastAsia" w:ascii="MS UI Gothic" w:eastAsia="MS UI Gothic"/>
          <w:w w:val="85"/>
        </w:rPr>
        <w:t xml:space="preserve">ꎬ </w:t>
      </w:r>
      <w:r>
        <w:t xml:space="preserve">可以处 </w:t>
      </w:r>
      <w:r>
        <w:rPr>
          <w:rFonts w:hint="eastAsia" w:ascii="MS UI Gothic" w:eastAsia="MS UI Gothic"/>
          <w:w w:val="85"/>
        </w:rPr>
        <w:t xml:space="preserve">５ </w:t>
      </w:r>
      <w:r>
        <w:t>万元以下的罚款</w:t>
      </w:r>
      <w:r>
        <w:rPr>
          <w:rFonts w:hint="eastAsia" w:ascii="MS UI Gothic" w:eastAsia="MS UI Gothic"/>
          <w:w w:val="85"/>
        </w:rPr>
        <w:t xml:space="preserve">ꎻ </w:t>
      </w:r>
      <w:r>
        <w:t>逾期未改正的</w:t>
      </w:r>
      <w:r>
        <w:rPr>
          <w:rFonts w:hint="eastAsia" w:ascii="MS UI Gothic" w:eastAsia="MS UI Gothic"/>
          <w:w w:val="85"/>
        </w:rPr>
        <w:t xml:space="preserve">ꎬ </w:t>
      </w:r>
      <w:r>
        <w:t>责令停产停业整顿</w:t>
      </w:r>
      <w:r>
        <w:rPr>
          <w:rFonts w:hint="eastAsia" w:ascii="MS UI Gothic" w:eastAsia="MS UI Gothic"/>
          <w:w w:val="85"/>
        </w:rPr>
        <w:t xml:space="preserve">ꎬ </w:t>
      </w:r>
      <w:r>
        <w:t xml:space="preserve">并处 </w:t>
      </w:r>
      <w:r>
        <w:rPr>
          <w:rFonts w:hint="eastAsia" w:ascii="MS UI Gothic" w:eastAsia="MS UI Gothic"/>
          <w:w w:val="85"/>
        </w:rPr>
        <w:t xml:space="preserve">５ </w:t>
      </w:r>
      <w:r>
        <w:t xml:space="preserve">万元以上 </w:t>
      </w:r>
      <w:r>
        <w:rPr>
          <w:rFonts w:hint="eastAsia" w:ascii="MS UI Gothic" w:eastAsia="MS UI Gothic"/>
          <w:w w:val="85"/>
        </w:rPr>
        <w:t xml:space="preserve">１０ </w:t>
      </w:r>
      <w:r>
        <w:t>万元以下的罚款</w:t>
      </w:r>
      <w:r>
        <w:rPr>
          <w:rFonts w:hint="eastAsia" w:ascii="MS UI Gothic" w:eastAsia="MS UI Gothic"/>
          <w:w w:val="85"/>
        </w:rPr>
        <w:t xml:space="preserve">ꎬ </w:t>
      </w:r>
      <w:r>
        <w:t xml:space="preserve">对其直接负责的主管人员和其他直接责任人员处 </w:t>
      </w:r>
      <w:r>
        <w:rPr>
          <w:rFonts w:hint="eastAsia" w:ascii="MS UI Gothic" w:eastAsia="MS UI Gothic"/>
          <w:w w:val="85"/>
        </w:rPr>
        <w:t>１</w:t>
      </w:r>
    </w:p>
    <w:p>
      <w:pPr>
        <w:pStyle w:val="6"/>
        <w:spacing w:line="251" w:lineRule="exact"/>
        <w:ind w:left="440" w:firstLine="0"/>
        <w:rPr>
          <w:rFonts w:hint="eastAsia" w:ascii="MS UI Gothic" w:eastAsia="MS UI Gothic"/>
        </w:rPr>
      </w:pPr>
      <w:r>
        <w:rPr>
          <w:w w:val="115"/>
        </w:rPr>
        <w:t xml:space="preserve">万元以上 </w:t>
      </w:r>
      <w:r>
        <w:rPr>
          <w:rFonts w:hint="eastAsia" w:ascii="MS UI Gothic" w:eastAsia="MS UI Gothic"/>
        </w:rPr>
        <w:t xml:space="preserve">２ </w:t>
      </w:r>
      <w:r>
        <w:rPr>
          <w:w w:val="115"/>
        </w:rPr>
        <w:t>万元以下的罚款</w:t>
      </w:r>
      <w:r>
        <w:rPr>
          <w:rFonts w:hint="eastAsia" w:ascii="MS UI Gothic" w:eastAsia="MS UI Gothic"/>
          <w:w w:val="235"/>
        </w:rPr>
        <w:t>:</w:t>
      </w:r>
    </w:p>
    <w:p>
      <w:pPr>
        <w:pStyle w:val="6"/>
        <w:spacing w:before="51"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煤矿</w:t>
      </w:r>
      <w:r>
        <w:rPr>
          <w:rFonts w:hint="eastAsia" w:ascii="MS UI Gothic" w:eastAsia="MS UI Gothic"/>
          <w:w w:val="80"/>
        </w:rPr>
        <w:t xml:space="preserve">、 </w:t>
      </w:r>
      <w:r>
        <w:rPr>
          <w:w w:val="105"/>
        </w:rPr>
        <w:t>非煤矿山</w:t>
      </w:r>
      <w:r>
        <w:rPr>
          <w:rFonts w:hint="eastAsia" w:ascii="MS UI Gothic" w:eastAsia="MS UI Gothic"/>
          <w:w w:val="80"/>
        </w:rPr>
        <w:t xml:space="preserve">、 </w:t>
      </w:r>
      <w:r>
        <w:rPr>
          <w:w w:val="105"/>
        </w:rPr>
        <w:t>危险化学品</w:t>
      </w:r>
      <w:r>
        <w:rPr>
          <w:rFonts w:hint="eastAsia" w:ascii="MS UI Gothic" w:eastAsia="MS UI Gothic"/>
          <w:w w:val="80"/>
        </w:rPr>
        <w:t xml:space="preserve">、 </w:t>
      </w:r>
      <w:r>
        <w:rPr>
          <w:w w:val="105"/>
        </w:rPr>
        <w:t>烟花爆竹</w:t>
      </w:r>
      <w:r>
        <w:rPr>
          <w:rFonts w:hint="eastAsia" w:ascii="MS UI Gothic" w:eastAsia="MS UI Gothic"/>
          <w:w w:val="80"/>
        </w:rPr>
        <w:t xml:space="preserve">、 </w:t>
      </w:r>
      <w:r>
        <w:rPr>
          <w:w w:val="105"/>
        </w:rPr>
        <w:t>金属冶炼等生产经营单位</w:t>
      </w:r>
      <w:r>
        <w:t>主要负责人和安全管理人员未按照规定经</w:t>
      </w:r>
      <w:r>
        <w:rPr>
          <w:w w:val="105"/>
        </w:rPr>
        <w:t>考核合格的</w:t>
      </w:r>
      <w:r>
        <w:rPr>
          <w:rFonts w:hint="eastAsia" w:ascii="MS UI Gothic" w:eastAsia="MS UI Gothic"/>
          <w:w w:val="80"/>
        </w:rPr>
        <w:t>ꎻ</w:t>
      </w:r>
    </w:p>
    <w:p>
      <w:pPr>
        <w:pStyle w:val="6"/>
        <w:spacing w:line="295" w:lineRule="auto"/>
        <w:ind w:left="440" w:right="1"/>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未按照规定对从业人员</w:t>
      </w:r>
      <w:r>
        <w:rPr>
          <w:rFonts w:hint="eastAsia" w:ascii="MS UI Gothic" w:eastAsia="MS UI Gothic"/>
        </w:rPr>
        <w:t xml:space="preserve">、 </w:t>
      </w:r>
      <w:r>
        <w:rPr>
          <w:w w:val="105"/>
        </w:rPr>
        <w:t>被派</w:t>
      </w:r>
      <w:r>
        <w:t>遣劳动者</w:t>
      </w:r>
      <w:r>
        <w:rPr>
          <w:rFonts w:hint="eastAsia" w:ascii="MS UI Gothic" w:eastAsia="MS UI Gothic"/>
        </w:rPr>
        <w:t xml:space="preserve">、 </w:t>
      </w:r>
      <w:r>
        <w:t>实习学生进行安全生产教育和培训或者未如实告知其有关安全生产事</w:t>
      </w:r>
    </w:p>
    <w:p>
      <w:pPr>
        <w:pStyle w:val="6"/>
        <w:spacing w:before="74" w:line="295" w:lineRule="auto"/>
        <w:ind w:left="381" w:right="126"/>
        <w:rPr>
          <w:rFonts w:hint="eastAsia" w:ascii="MS UI Gothic" w:eastAsia="MS UI Gothic"/>
        </w:rPr>
      </w:pPr>
      <w:r>
        <w:br w:type="column"/>
      </w: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未如实记录安全生产教育和培</w:t>
      </w:r>
      <w:r>
        <w:rPr>
          <w:spacing w:val="3"/>
          <w:w w:val="110"/>
        </w:rPr>
        <w:t>训情况的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27"/>
          <w:w w:val="145"/>
        </w:rPr>
        <w:t xml:space="preserve">( </w:t>
      </w:r>
      <w:r>
        <w:rPr>
          <w:spacing w:val="3"/>
        </w:rPr>
        <w:t>四</w:t>
      </w:r>
      <w:r>
        <w:rPr>
          <w:rFonts w:hint="eastAsia" w:ascii="MS UI Gothic" w:eastAsia="MS UI Gothic"/>
          <w:spacing w:val="15"/>
          <w:w w:val="145"/>
        </w:rPr>
        <w:t xml:space="preserve">) </w:t>
      </w:r>
      <w:r>
        <w:rPr>
          <w:spacing w:val="5"/>
        </w:rPr>
        <w:t>特种作业人员未按照规定经专</w:t>
      </w:r>
      <w:r>
        <w:rPr>
          <w:spacing w:val="2"/>
        </w:rPr>
        <w:t>门的安全技术培训并取得特种作业人员操</w:t>
      </w:r>
      <w:r>
        <w:rPr>
          <w:spacing w:val="3"/>
        </w:rPr>
        <w:t>作资格证书</w:t>
      </w:r>
      <w:r>
        <w:rPr>
          <w:rFonts w:hint="eastAsia" w:ascii="MS UI Gothic" w:eastAsia="MS UI Gothic"/>
          <w:spacing w:val="23"/>
          <w:w w:val="80"/>
        </w:rPr>
        <w:t xml:space="preserve">ꎬ </w:t>
      </w:r>
      <w:r>
        <w:rPr>
          <w:spacing w:val="3"/>
        </w:rPr>
        <w:t>上岗作业的</w:t>
      </w:r>
      <w:r>
        <w:rPr>
          <w:rFonts w:hint="eastAsia" w:ascii="MS UI Gothic" w:eastAsia="MS UI Gothic"/>
          <w:spacing w:val="23"/>
          <w:w w:val="80"/>
        </w:rPr>
        <w:t xml:space="preserve">ꎮ </w:t>
      </w:r>
      <w:r>
        <w:rPr>
          <w:spacing w:val="2"/>
        </w:rPr>
        <w:t>县级以上地方人民政府负责煤矿安全生产监督管理的部门发现煤矿未按照本规定对井下作业人员</w:t>
      </w:r>
      <w:r>
        <w:rPr>
          <w:spacing w:val="9"/>
        </w:rPr>
        <w:t>进行安全培训的</w:t>
      </w:r>
      <w:r>
        <w:rPr>
          <w:rFonts w:hint="eastAsia" w:ascii="MS UI Gothic" w:eastAsia="MS UI Gothic"/>
          <w:w w:val="80"/>
        </w:rPr>
        <w:t xml:space="preserve">ꎬ </w:t>
      </w:r>
      <w:r>
        <w:rPr>
          <w:spacing w:val="16"/>
        </w:rPr>
        <w:t>责令限期改正</w:t>
      </w:r>
      <w:r>
        <w:rPr>
          <w:rFonts w:hint="eastAsia" w:ascii="MS UI Gothic" w:eastAsia="MS UI Gothic"/>
          <w:w w:val="80"/>
        </w:rPr>
        <w:t xml:space="preserve">ꎬ </w:t>
      </w:r>
      <w:r>
        <w:rPr>
          <w:spacing w:val="-21"/>
        </w:rPr>
        <w:t xml:space="preserve">处 </w:t>
      </w:r>
      <w:r>
        <w:rPr>
          <w:rFonts w:hint="eastAsia" w:ascii="MS UI Gothic" w:eastAsia="MS UI Gothic"/>
          <w:w w:val="80"/>
        </w:rPr>
        <w:t xml:space="preserve">１０ </w:t>
      </w:r>
      <w:r>
        <w:rPr>
          <w:spacing w:val="-8"/>
        </w:rPr>
        <w:t xml:space="preserve">万元以上 </w:t>
      </w:r>
      <w:r>
        <w:rPr>
          <w:rFonts w:hint="eastAsia" w:ascii="MS UI Gothic" w:eastAsia="MS UI Gothic"/>
          <w:spacing w:val="8"/>
          <w:w w:val="80"/>
        </w:rPr>
        <w:t xml:space="preserve">５０ </w:t>
      </w:r>
      <w:r>
        <w:rPr>
          <w:spacing w:val="11"/>
        </w:rPr>
        <w:t>万元以下的罚款</w:t>
      </w:r>
      <w:r>
        <w:rPr>
          <w:rFonts w:hint="eastAsia" w:ascii="MS UI Gothic" w:eastAsia="MS UI Gothic"/>
          <w:spacing w:val="11"/>
          <w:w w:val="80"/>
        </w:rPr>
        <w:t xml:space="preserve">ꎻ </w:t>
      </w:r>
      <w:r>
        <w:rPr>
          <w:spacing w:val="9"/>
        </w:rPr>
        <w:t>逾期未改</w:t>
      </w:r>
      <w:r>
        <w:rPr>
          <w:spacing w:val="3"/>
        </w:rPr>
        <w:t>正的</w:t>
      </w:r>
      <w:r>
        <w:rPr>
          <w:rFonts w:hint="eastAsia" w:ascii="MS UI Gothic" w:eastAsia="MS UI Gothic"/>
          <w:spacing w:val="23"/>
          <w:w w:val="80"/>
        </w:rPr>
        <w:t xml:space="preserve">ꎬ </w:t>
      </w:r>
      <w:r>
        <w:rPr>
          <w:spacing w:val="3"/>
        </w:rPr>
        <w:t>责令停产停业整顿</w:t>
      </w:r>
      <w:r>
        <w:rPr>
          <w:rFonts w:hint="eastAsia" w:ascii="MS UI Gothic" w:eastAsia="MS UI Gothic"/>
          <w:spacing w:val="23"/>
          <w:w w:val="80"/>
        </w:rPr>
        <w:t xml:space="preserve">ꎮ </w:t>
      </w:r>
      <w:r>
        <w:rPr>
          <w:spacing w:val="2"/>
        </w:rPr>
        <w:t>煤矿安全监察机构发现煤矿特种作业人员无证上岗作业</w:t>
      </w:r>
      <w:r>
        <w:rPr>
          <w:spacing w:val="3"/>
        </w:rPr>
        <w:t>的</w:t>
      </w:r>
      <w:r>
        <w:rPr>
          <w:rFonts w:hint="eastAsia" w:ascii="MS UI Gothic" w:eastAsia="MS UI Gothic"/>
          <w:spacing w:val="20"/>
          <w:w w:val="80"/>
        </w:rPr>
        <w:t xml:space="preserve">ꎬ </w:t>
      </w:r>
      <w:r>
        <w:rPr>
          <w:spacing w:val="3"/>
        </w:rPr>
        <w:t>责令限期改正</w:t>
      </w:r>
      <w:r>
        <w:rPr>
          <w:rFonts w:hint="eastAsia" w:ascii="MS UI Gothic" w:eastAsia="MS UI Gothic"/>
          <w:spacing w:val="21"/>
          <w:w w:val="80"/>
        </w:rPr>
        <w:t xml:space="preserve">ꎬ </w:t>
      </w:r>
      <w:r>
        <w:rPr>
          <w:spacing w:val="-29"/>
        </w:rPr>
        <w:t xml:space="preserve">处 </w:t>
      </w:r>
      <w:r>
        <w:rPr>
          <w:rFonts w:hint="eastAsia" w:ascii="MS UI Gothic" w:eastAsia="MS UI Gothic"/>
          <w:w w:val="80"/>
        </w:rPr>
        <w:t xml:space="preserve">１０ </w:t>
      </w:r>
      <w:r>
        <w:rPr>
          <w:spacing w:val="-10"/>
        </w:rPr>
        <w:t xml:space="preserve">万元以上 </w:t>
      </w:r>
      <w:r>
        <w:rPr>
          <w:rFonts w:hint="eastAsia" w:ascii="MS UI Gothic" w:eastAsia="MS UI Gothic"/>
          <w:spacing w:val="1"/>
          <w:w w:val="80"/>
        </w:rPr>
        <w:t xml:space="preserve">５０ </w:t>
      </w:r>
      <w:r>
        <w:t>万</w:t>
      </w:r>
      <w:r>
        <w:rPr>
          <w:spacing w:val="3"/>
        </w:rPr>
        <w:t>元以下的罚款</w:t>
      </w:r>
      <w:r>
        <w:rPr>
          <w:rFonts w:hint="eastAsia" w:ascii="MS UI Gothic" w:eastAsia="MS UI Gothic"/>
          <w:spacing w:val="23"/>
          <w:w w:val="80"/>
        </w:rPr>
        <w:t xml:space="preserve">ꎻ </w:t>
      </w:r>
      <w:r>
        <w:rPr>
          <w:spacing w:val="3"/>
        </w:rPr>
        <w:t>逾期未改正的</w:t>
      </w:r>
      <w:r>
        <w:rPr>
          <w:rFonts w:hint="eastAsia" w:ascii="MS UI Gothic" w:eastAsia="MS UI Gothic"/>
          <w:spacing w:val="23"/>
          <w:w w:val="80"/>
        </w:rPr>
        <w:t xml:space="preserve">ꎬ </w:t>
      </w:r>
      <w:r>
        <w:rPr>
          <w:spacing w:val="2"/>
        </w:rPr>
        <w:t>责令停产</w:t>
      </w:r>
      <w:r>
        <w:rPr>
          <w:spacing w:val="3"/>
        </w:rPr>
        <w:t>停业整顿</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2"/>
          <w:w w:val="105"/>
        </w:rPr>
        <w:t>第三十一条 安全生产监管监察部门</w:t>
      </w:r>
      <w:r>
        <w:rPr>
          <w:spacing w:val="4"/>
          <w:w w:val="105"/>
        </w:rPr>
        <w:t>有关人员在考核</w:t>
      </w:r>
      <w:r>
        <w:rPr>
          <w:rFonts w:hint="eastAsia" w:ascii="MS UI Gothic" w:eastAsia="MS UI Gothic"/>
          <w:spacing w:val="1"/>
          <w:w w:val="80"/>
        </w:rPr>
        <w:t xml:space="preserve">、 </w:t>
      </w:r>
      <w:r>
        <w:rPr>
          <w:spacing w:val="11"/>
          <w:w w:val="105"/>
        </w:rPr>
        <w:t>发证工作中玩忽职守</w:t>
      </w:r>
      <w:r>
        <w:rPr>
          <w:rFonts w:hint="eastAsia" w:ascii="MS UI Gothic" w:eastAsia="MS UI Gothic"/>
          <w:w w:val="80"/>
        </w:rPr>
        <w:t>、</w:t>
      </w:r>
      <w:r>
        <w:rPr>
          <w:spacing w:val="3"/>
        </w:rPr>
        <w:t>滥用职权的</w:t>
      </w:r>
      <w:r>
        <w:rPr>
          <w:rFonts w:hint="eastAsia" w:ascii="MS UI Gothic" w:eastAsia="MS UI Gothic"/>
          <w:spacing w:val="19"/>
          <w:w w:val="80"/>
        </w:rPr>
        <w:t xml:space="preserve">ꎬ </w:t>
      </w:r>
      <w:r>
        <w:rPr>
          <w:spacing w:val="2"/>
        </w:rPr>
        <w:t>由上级安全生产监管监察部</w:t>
      </w:r>
      <w:r>
        <w:rPr>
          <w:spacing w:val="3"/>
          <w:w w:val="105"/>
        </w:rPr>
        <w:t>门或者行政监察部门给予记过</w:t>
      </w:r>
      <w:r>
        <w:rPr>
          <w:rFonts w:hint="eastAsia" w:ascii="MS UI Gothic" w:eastAsia="MS UI Gothic"/>
          <w:spacing w:val="-2"/>
          <w:w w:val="80"/>
        </w:rPr>
        <w:t xml:space="preserve">、 </w:t>
      </w:r>
      <w:r>
        <w:rPr>
          <w:spacing w:val="2"/>
          <w:w w:val="105"/>
        </w:rPr>
        <w:t>记大过的</w:t>
      </w:r>
      <w:r>
        <w:rPr>
          <w:spacing w:val="3"/>
          <w:w w:val="105"/>
        </w:rPr>
        <w:t>行政处分</w:t>
      </w:r>
      <w:r>
        <w:rPr>
          <w:rFonts w:hint="eastAsia" w:ascii="MS UI Gothic" w:eastAsia="MS UI Gothic"/>
          <w:w w:val="80"/>
        </w:rPr>
        <w:t>ꎮ</w:t>
      </w:r>
    </w:p>
    <w:p>
      <w:pPr>
        <w:pStyle w:val="6"/>
        <w:tabs>
          <w:tab w:val="left" w:pos="2267"/>
          <w:tab w:val="left" w:pos="2896"/>
        </w:tabs>
        <w:spacing w:before="142"/>
        <w:ind w:left="1429" w:firstLine="0"/>
        <w:jc w:val="left"/>
      </w:pPr>
      <w:r>
        <w:rPr>
          <w:spacing w:val="3"/>
          <w:w w:val="105"/>
        </w:rPr>
        <w:t>第七</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spacing w:line="295" w:lineRule="auto"/>
        <w:ind w:left="381" w:right="126"/>
        <w:rPr>
          <w:rFonts w:hint="eastAsia" w:ascii="MS UI Gothic" w:eastAsia="MS UI Gothic"/>
        </w:rPr>
      </w:pPr>
      <w:r>
        <w:rPr>
          <w:w w:val="105"/>
        </w:rPr>
        <w:t>第三十二条 生产经营单位主要负责</w:t>
      </w:r>
      <w:r>
        <w:t>人是指有限责任公司或者股份有限公司的</w:t>
      </w:r>
      <w:r>
        <w:rPr>
          <w:w w:val="105"/>
        </w:rPr>
        <w:t>董事长</w:t>
      </w:r>
      <w:r>
        <w:rPr>
          <w:rFonts w:hint="eastAsia" w:ascii="MS UI Gothic" w:eastAsia="MS UI Gothic"/>
          <w:w w:val="80"/>
        </w:rPr>
        <w:t xml:space="preserve">、 </w:t>
      </w:r>
      <w:r>
        <w:rPr>
          <w:w w:val="105"/>
        </w:rPr>
        <w:t>总经理</w:t>
      </w:r>
      <w:r>
        <w:rPr>
          <w:rFonts w:hint="eastAsia" w:ascii="MS UI Gothic" w:eastAsia="MS UI Gothic"/>
          <w:w w:val="80"/>
        </w:rPr>
        <w:t xml:space="preserve">ꎬ </w:t>
      </w:r>
      <w:r>
        <w:rPr>
          <w:w w:val="105"/>
        </w:rPr>
        <w:t>其他生产经营单位的厂长</w:t>
      </w:r>
      <w:r>
        <w:rPr>
          <w:rFonts w:hint="eastAsia" w:ascii="MS UI Gothic" w:eastAsia="MS UI Gothic"/>
          <w:w w:val="80"/>
        </w:rPr>
        <w:t xml:space="preserve">、 </w:t>
      </w:r>
      <w:r>
        <w:rPr>
          <w:w w:val="105"/>
        </w:rPr>
        <w:t>经理</w:t>
      </w:r>
      <w:r>
        <w:rPr>
          <w:rFonts w:hint="eastAsia" w:ascii="MS UI Gothic" w:eastAsia="MS UI Gothic"/>
          <w:w w:val="80"/>
        </w:rPr>
        <w:t xml:space="preserve">、 </w:t>
      </w:r>
      <w:r>
        <w:rPr>
          <w:rFonts w:hint="eastAsia" w:ascii="MS UI Gothic" w:eastAsia="MS UI Gothic"/>
          <w:w w:val="150"/>
        </w:rPr>
        <w:t xml:space="preserve">( </w:t>
      </w:r>
      <w:r>
        <w:rPr>
          <w:w w:val="105"/>
        </w:rPr>
        <w:t>矿务局</w:t>
      </w:r>
      <w:r>
        <w:rPr>
          <w:rFonts w:hint="eastAsia" w:ascii="MS UI Gothic" w:eastAsia="MS UI Gothic"/>
          <w:w w:val="150"/>
        </w:rPr>
        <w:t xml:space="preserve">) </w:t>
      </w:r>
      <w:r>
        <w:rPr>
          <w:w w:val="105"/>
        </w:rPr>
        <w:t>局长</w:t>
      </w:r>
      <w:r>
        <w:rPr>
          <w:rFonts w:hint="eastAsia" w:ascii="MS UI Gothic" w:eastAsia="MS UI Gothic"/>
          <w:w w:val="80"/>
        </w:rPr>
        <w:t xml:space="preserve">、 </w:t>
      </w:r>
      <w:r>
        <w:rPr>
          <w:w w:val="105"/>
        </w:rPr>
        <w:t xml:space="preserve">矿长 </w:t>
      </w:r>
      <w:r>
        <w:rPr>
          <w:rFonts w:hint="eastAsia" w:ascii="MS UI Gothic" w:eastAsia="MS UI Gothic"/>
          <w:w w:val="150"/>
        </w:rPr>
        <w:t xml:space="preserve">( </w:t>
      </w:r>
      <w:r>
        <w:rPr>
          <w:w w:val="105"/>
        </w:rPr>
        <w:t>含实际控制人</w:t>
      </w:r>
      <w:r>
        <w:rPr>
          <w:rFonts w:hint="eastAsia" w:ascii="MS UI Gothic" w:eastAsia="MS UI Gothic"/>
          <w:w w:val="150"/>
        </w:rPr>
        <w:t xml:space="preserve">) </w:t>
      </w:r>
      <w:r>
        <w:rPr>
          <w:w w:val="105"/>
        </w:rPr>
        <w:t>等</w:t>
      </w:r>
      <w:r>
        <w:rPr>
          <w:rFonts w:hint="eastAsia" w:ascii="MS UI Gothic" w:eastAsia="MS UI Gothic"/>
          <w:w w:val="80"/>
        </w:rPr>
        <w:t xml:space="preserve">ꎮ </w:t>
      </w:r>
      <w:r>
        <w:rPr>
          <w:w w:val="105"/>
        </w:rPr>
        <w:t>生产经营单位安全生产</w:t>
      </w:r>
      <w:r>
        <w:t>管理人员是指生产经营单位分管安全生产</w:t>
      </w:r>
      <w:r>
        <w:rPr>
          <w:w w:val="105"/>
        </w:rPr>
        <w:t>的负责人</w:t>
      </w:r>
      <w:r>
        <w:rPr>
          <w:rFonts w:hint="eastAsia" w:ascii="MS UI Gothic" w:eastAsia="MS UI Gothic"/>
          <w:w w:val="80"/>
        </w:rPr>
        <w:t xml:space="preserve">、 </w:t>
      </w:r>
      <w:r>
        <w:rPr>
          <w:w w:val="105"/>
        </w:rPr>
        <w:t>安全生产管理机构负责人及其</w:t>
      </w:r>
      <w:r>
        <w:t>管理人员</w:t>
      </w:r>
      <w:r>
        <w:rPr>
          <w:rFonts w:hint="eastAsia" w:ascii="MS UI Gothic" w:eastAsia="MS UI Gothic"/>
          <w:w w:val="80"/>
        </w:rPr>
        <w:t xml:space="preserve">ꎬ </w:t>
      </w:r>
      <w:r>
        <w:t>以及未设安全生产管理机构的</w:t>
      </w:r>
      <w:r>
        <w:rPr>
          <w:w w:val="105"/>
        </w:rPr>
        <w:t>生产经营单位专</w:t>
      </w:r>
      <w:r>
        <w:rPr>
          <w:rFonts w:hint="eastAsia" w:ascii="MS UI Gothic" w:eastAsia="MS UI Gothic"/>
          <w:w w:val="80"/>
        </w:rPr>
        <w:t xml:space="preserve">、 </w:t>
      </w:r>
      <w:r>
        <w:rPr>
          <w:w w:val="105"/>
        </w:rPr>
        <w:t>兼职安全生产管理人员</w:t>
      </w:r>
      <w:r>
        <w:t>等</w:t>
      </w:r>
      <w:r>
        <w:rPr>
          <w:rFonts w:hint="eastAsia" w:ascii="MS UI Gothic" w:eastAsia="MS UI Gothic"/>
          <w:w w:val="80"/>
        </w:rPr>
        <w:t xml:space="preserve">ꎮ </w:t>
      </w:r>
      <w:r>
        <w:t>生产经营单位其他从业人员是指除主</w:t>
      </w:r>
      <w:r>
        <w:rPr>
          <w:w w:val="105"/>
        </w:rPr>
        <w:t>要负责人</w:t>
      </w:r>
      <w:r>
        <w:rPr>
          <w:rFonts w:hint="eastAsia" w:ascii="MS UI Gothic" w:eastAsia="MS UI Gothic"/>
          <w:w w:val="80"/>
        </w:rPr>
        <w:t xml:space="preserve">、 </w:t>
      </w:r>
      <w:r>
        <w:rPr>
          <w:w w:val="105"/>
        </w:rPr>
        <w:t>安全生产管理人员和特种作业</w:t>
      </w:r>
      <w:r>
        <w:t>人员以外</w:t>
      </w:r>
      <w:r>
        <w:rPr>
          <w:rFonts w:hint="eastAsia" w:ascii="MS UI Gothic" w:eastAsia="MS UI Gothic"/>
          <w:w w:val="80"/>
        </w:rPr>
        <w:t xml:space="preserve">ꎬ </w:t>
      </w:r>
      <w:r>
        <w:t>该单位从事生产经营活动的所</w:t>
      </w:r>
      <w:r>
        <w:rPr>
          <w:w w:val="105"/>
        </w:rPr>
        <w:t>有人员</w:t>
      </w:r>
      <w:r>
        <w:rPr>
          <w:rFonts w:hint="eastAsia" w:ascii="MS UI Gothic" w:eastAsia="MS UI Gothic"/>
          <w:w w:val="80"/>
        </w:rPr>
        <w:t xml:space="preserve">ꎬ </w:t>
      </w:r>
      <w:r>
        <w:rPr>
          <w:w w:val="105"/>
        </w:rPr>
        <w:t>包括其他负责人</w:t>
      </w:r>
      <w:r>
        <w:rPr>
          <w:rFonts w:hint="eastAsia" w:ascii="MS UI Gothic" w:eastAsia="MS UI Gothic"/>
          <w:w w:val="80"/>
        </w:rPr>
        <w:t xml:space="preserve">、 </w:t>
      </w:r>
      <w:r>
        <w:rPr>
          <w:w w:val="105"/>
        </w:rPr>
        <w:t>其他管理人员</w:t>
      </w:r>
      <w:r>
        <w:rPr>
          <w:rFonts w:hint="eastAsia" w:ascii="MS UI Gothic" w:eastAsia="MS UI Gothic"/>
          <w:w w:val="80"/>
        </w:rPr>
        <w:t xml:space="preserve">、 </w:t>
      </w:r>
      <w:r>
        <w:rPr>
          <w:w w:val="105"/>
        </w:rPr>
        <w:t>技术人员和各岗位的工人以及临时聘用的人员</w:t>
      </w:r>
      <w:r>
        <w:rPr>
          <w:rFonts w:hint="eastAsia" w:ascii="MS UI Gothic" w:eastAsia="MS UI Gothic"/>
          <w:w w:val="80"/>
        </w:rPr>
        <w:t>ꎮ</w:t>
      </w:r>
    </w:p>
    <w:p>
      <w:pPr>
        <w:pStyle w:val="6"/>
        <w:spacing w:line="295" w:lineRule="auto"/>
        <w:ind w:left="381" w:right="126"/>
      </w:pPr>
      <w:r>
        <w:t>第三十三条 省</w:t>
      </w:r>
      <w:r>
        <w:rPr>
          <w:rFonts w:hint="eastAsia" w:ascii="MS UI Gothic" w:eastAsia="MS UI Gothic"/>
        </w:rPr>
        <w:t xml:space="preserve">、 </w:t>
      </w:r>
      <w:r>
        <w:t>自治区</w:t>
      </w:r>
      <w:r>
        <w:rPr>
          <w:rFonts w:hint="eastAsia" w:ascii="MS UI Gothic" w:eastAsia="MS UI Gothic"/>
        </w:rPr>
        <w:t xml:space="preserve">、 </w:t>
      </w:r>
      <w:r>
        <w:t>直辖市安全生产监督管理部门和省级煤矿安全监察</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１００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48" o:spid="_x0000_s1348" o:spt="203" style="height:2.15pt;width:398.25pt;" coordsize="7965,43">
            <o:lock v:ext="edit"/>
            <v:line id="_x0000_s1349" o:spid="_x0000_s1349" o:spt="20" style="position:absolute;left:0;top:39;height:0;width:7965;" stroked="t" coordsize="21600,21600">
              <v:path arrowok="t"/>
              <v:fill focussize="0,0"/>
              <v:stroke weight="0.388031496062992pt" color="#231F20"/>
              <v:imagedata o:title=""/>
              <o:lock v:ext="edit"/>
            </v:line>
            <v:line id="_x0000_s1350" o:spid="_x0000_s135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pict>
          <v:shape id="_x0000_s1351" o:spid="_x0000_s1351" o:spt="202" type="#_x0000_t202" style="position:absolute;left:0pt;margin-left:264.5pt;margin-top:18.15pt;height:24.35pt;width:5.15pt;mso-position-horizontal-relative:page;z-index:25178521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t>机构可以根据本规定制定实施细则</w:t>
      </w:r>
      <w:r>
        <w:rPr>
          <w:rFonts w:hint="eastAsia" w:ascii="MS UI Gothic" w:eastAsia="MS UI Gothic"/>
          <w:w w:val="80"/>
        </w:rPr>
        <w:t xml:space="preserve">ꎬ </w:t>
      </w:r>
      <w:r>
        <w:t>报国家安全生产监督管理总局和国家煤矿安全</w:t>
      </w:r>
      <w:r>
        <w:rPr>
          <w:w w:val="105"/>
        </w:rPr>
        <w:t>监察局备案</w:t>
      </w:r>
      <w:r>
        <w:rPr>
          <w:rFonts w:hint="eastAsia" w:ascii="MS UI Gothic" w:eastAsia="MS UI Gothic"/>
          <w:w w:val="80"/>
        </w:rPr>
        <w:t>ꎮ</w:t>
      </w:r>
    </w:p>
    <w:p>
      <w:pPr>
        <w:pStyle w:val="6"/>
        <w:tabs>
          <w:tab w:val="left" w:pos="1677"/>
        </w:tabs>
        <w:spacing w:before="123" w:line="295" w:lineRule="auto"/>
        <w:ind w:right="442" w:firstLine="263"/>
        <w:jc w:val="left"/>
        <w:rPr>
          <w:rFonts w:hint="eastAsia" w:ascii="MS UI Gothic" w:eastAsia="MS UI Gothic"/>
        </w:rPr>
      </w:pPr>
      <w:r>
        <w:br w:type="column"/>
      </w:r>
      <w:r>
        <w:rPr>
          <w:spacing w:val="3"/>
          <w:w w:val="95"/>
        </w:rPr>
        <w:t>第三十</w:t>
      </w:r>
      <w:r>
        <w:rPr>
          <w:spacing w:val="11"/>
          <w:w w:val="95"/>
        </w:rPr>
        <w:t>四</w:t>
      </w:r>
      <w:r>
        <w:rPr>
          <w:w w:val="95"/>
        </w:rPr>
        <w:t>条</w:t>
      </w:r>
      <w:r>
        <w:rPr>
          <w:w w:val="95"/>
        </w:rPr>
        <w:tab/>
      </w:r>
      <w:r>
        <w:rPr>
          <w:spacing w:val="13"/>
          <w:w w:val="95"/>
        </w:rPr>
        <w:t>本规定</w:t>
      </w:r>
      <w:r>
        <w:rPr>
          <w:w w:val="95"/>
        </w:rPr>
        <w:t>自</w:t>
      </w:r>
      <w:r>
        <w:rPr>
          <w:spacing w:val="-40"/>
          <w:w w:val="95"/>
        </w:rPr>
        <w:t xml:space="preserve"> </w:t>
      </w:r>
      <w:r>
        <w:rPr>
          <w:rFonts w:hint="eastAsia" w:ascii="MS UI Gothic" w:eastAsia="MS UI Gothic"/>
          <w:w w:val="95"/>
        </w:rPr>
        <w:t>２００６</w:t>
      </w:r>
      <w:r>
        <w:rPr>
          <w:rFonts w:hint="eastAsia" w:ascii="MS UI Gothic" w:eastAsia="MS UI Gothic"/>
          <w:spacing w:val="3"/>
          <w:w w:val="95"/>
        </w:rPr>
        <w:t xml:space="preserve"> </w:t>
      </w:r>
      <w:r>
        <w:rPr>
          <w:w w:val="95"/>
        </w:rPr>
        <w:t>年</w:t>
      </w:r>
      <w:r>
        <w:rPr>
          <w:spacing w:val="-39"/>
          <w:w w:val="95"/>
        </w:rPr>
        <w:t xml:space="preserve"> </w:t>
      </w:r>
      <w:r>
        <w:rPr>
          <w:rFonts w:hint="eastAsia" w:ascii="MS UI Gothic" w:eastAsia="MS UI Gothic"/>
          <w:w w:val="95"/>
        </w:rPr>
        <w:t>３</w:t>
      </w:r>
      <w:r>
        <w:rPr>
          <w:rFonts w:hint="eastAsia" w:ascii="MS UI Gothic" w:eastAsia="MS UI Gothic"/>
          <w:spacing w:val="3"/>
          <w:w w:val="95"/>
        </w:rPr>
        <w:t xml:space="preserve"> </w:t>
      </w:r>
      <w:r>
        <w:rPr>
          <w:spacing w:val="-14"/>
          <w:w w:val="95"/>
        </w:rPr>
        <w:t>月</w:t>
      </w:r>
      <w:r>
        <w:rPr>
          <w:spacing w:val="3"/>
          <w:w w:val="95"/>
        </w:rPr>
        <w:t>日起施行</w:t>
      </w:r>
      <w:r>
        <w:rPr>
          <w:rFonts w:hint="eastAsia" w:ascii="MS UI Gothic" w:eastAsia="MS UI Gothic"/>
          <w:w w:val="9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4" w:space="413"/>
            <w:col w:w="4193"/>
          </w:cols>
        </w:sectPr>
      </w:pPr>
    </w:p>
    <w:p>
      <w:pPr>
        <w:pStyle w:val="6"/>
        <w:spacing w:before="7"/>
        <w:ind w:left="0" w:firstLine="0"/>
        <w:jc w:val="left"/>
        <w:rPr>
          <w:rFonts w:ascii="MS UI Gothic"/>
          <w:sz w:val="17"/>
        </w:rPr>
      </w:pPr>
    </w:p>
    <w:p>
      <w:pPr>
        <w:pStyle w:val="4"/>
        <w:spacing w:before="74"/>
        <w:ind w:right="630"/>
      </w:pPr>
      <w:r>
        <w:t>国家安全生产监督管理总局令</w:t>
      </w:r>
    </w:p>
    <w:p>
      <w:pPr>
        <w:pStyle w:val="6"/>
        <w:ind w:left="0" w:firstLine="0"/>
        <w:jc w:val="left"/>
        <w:rPr>
          <w:sz w:val="27"/>
        </w:rPr>
      </w:pPr>
    </w:p>
    <w:p>
      <w:pPr>
        <w:pStyle w:val="5"/>
        <w:ind w:right="628"/>
      </w:pPr>
      <w:r>
        <w:t xml:space="preserve">第 </w:t>
      </w:r>
      <w:r>
        <w:rPr>
          <w:rFonts w:hint="eastAsia" w:ascii="MS UI Gothic" w:eastAsia="MS UI Gothic"/>
        </w:rPr>
        <w:t xml:space="preserve">１２ </w:t>
      </w:r>
      <w:r>
        <w:t>号</w:t>
      </w:r>
    </w:p>
    <w:p>
      <w:pPr>
        <w:pStyle w:val="6"/>
        <w:spacing w:before="354" w:line="295" w:lineRule="auto"/>
        <w:ind w:right="442"/>
        <w:rPr>
          <w:rFonts w:hint="eastAsia" w:ascii="MS UI Gothic" w:hAnsi="MS UI Gothic" w:eastAsia="MS UI Gothic"/>
        </w:rPr>
      </w:pPr>
      <w:r>
        <w:rPr>
          <w:rFonts w:hint="eastAsia" w:ascii="MS UI Gothic" w:hAnsi="MS UI Gothic" w:eastAsia="MS UI Gothic"/>
          <w:w w:val="95"/>
        </w:rPr>
        <w:t xml:space="preserve">« </w:t>
      </w:r>
      <w:r>
        <w:rPr>
          <w:w w:val="95"/>
        </w:rPr>
        <w:t>安全生产检测检验机构管理规定</w:t>
      </w:r>
      <w:r>
        <w:rPr>
          <w:rFonts w:hint="eastAsia" w:ascii="MS UI Gothic" w:hAnsi="MS UI Gothic" w:eastAsia="MS UI Gothic"/>
          <w:w w:val="95"/>
        </w:rPr>
        <w:t xml:space="preserve">» </w:t>
      </w:r>
      <w:r>
        <w:rPr>
          <w:w w:val="95"/>
        </w:rPr>
        <w:t xml:space="preserve">已经 </w:t>
      </w:r>
      <w:r>
        <w:rPr>
          <w:rFonts w:hint="eastAsia" w:ascii="MS UI Gothic" w:hAnsi="MS UI Gothic" w:eastAsia="MS UI Gothic"/>
          <w:w w:val="95"/>
        </w:rPr>
        <w:t xml:space="preserve">２００６ </w:t>
      </w:r>
      <w:r>
        <w:rPr>
          <w:w w:val="95"/>
        </w:rPr>
        <w:t xml:space="preserve">年 </w:t>
      </w:r>
      <w:r>
        <w:rPr>
          <w:rFonts w:hint="eastAsia" w:ascii="MS UI Gothic" w:hAnsi="MS UI Gothic" w:eastAsia="MS UI Gothic"/>
          <w:w w:val="95"/>
        </w:rPr>
        <w:t xml:space="preserve">１２ </w:t>
      </w:r>
      <w:r>
        <w:rPr>
          <w:w w:val="95"/>
        </w:rPr>
        <w:t xml:space="preserve">月 </w:t>
      </w:r>
      <w:r>
        <w:rPr>
          <w:rFonts w:hint="eastAsia" w:ascii="MS UI Gothic" w:hAnsi="MS UI Gothic" w:eastAsia="MS UI Gothic"/>
          <w:w w:val="95"/>
        </w:rPr>
        <w:t xml:space="preserve">２２ </w:t>
      </w:r>
      <w:r>
        <w:rPr>
          <w:w w:val="95"/>
        </w:rPr>
        <w:t>日国家安全生产监督管理总局局长办公会议审议通过</w:t>
      </w:r>
      <w:r>
        <w:rPr>
          <w:rFonts w:hint="eastAsia" w:ascii="MS UI Gothic" w:hAnsi="MS UI Gothic" w:eastAsia="MS UI Gothic"/>
          <w:w w:val="90"/>
        </w:rPr>
        <w:t xml:space="preserve">ꎬ </w:t>
      </w:r>
      <w:r>
        <w:rPr>
          <w:w w:val="95"/>
        </w:rPr>
        <w:t>现予公布</w:t>
      </w:r>
      <w:r>
        <w:rPr>
          <w:rFonts w:hint="eastAsia" w:ascii="MS UI Gothic" w:hAnsi="MS UI Gothic" w:eastAsia="MS UI Gothic"/>
          <w:w w:val="90"/>
        </w:rPr>
        <w:t xml:space="preserve">ꎬ </w:t>
      </w:r>
      <w:r>
        <w:rPr>
          <w:w w:val="95"/>
        </w:rPr>
        <w:t xml:space="preserve">自 </w:t>
      </w:r>
      <w:r>
        <w:rPr>
          <w:rFonts w:hint="eastAsia" w:ascii="MS UI Gothic" w:hAnsi="MS UI Gothic" w:eastAsia="MS UI Gothic"/>
          <w:w w:val="95"/>
        </w:rPr>
        <w:t xml:space="preserve">２００７ </w:t>
      </w:r>
      <w:r>
        <w:rPr>
          <w:w w:val="95"/>
        </w:rPr>
        <w:t xml:space="preserve">年 </w:t>
      </w:r>
      <w:r>
        <w:rPr>
          <w:rFonts w:hint="eastAsia" w:ascii="MS UI Gothic" w:hAnsi="MS UI Gothic" w:eastAsia="MS UI Gothic"/>
          <w:w w:val="95"/>
        </w:rPr>
        <w:t xml:space="preserve">４ </w:t>
      </w:r>
      <w:r>
        <w:rPr>
          <w:w w:val="95"/>
        </w:rPr>
        <w:t xml:space="preserve">月 </w:t>
      </w:r>
      <w:r>
        <w:rPr>
          <w:rFonts w:hint="eastAsia" w:ascii="MS UI Gothic" w:hAnsi="MS UI Gothic" w:eastAsia="MS UI Gothic"/>
          <w:w w:val="95"/>
        </w:rPr>
        <w:t xml:space="preserve">１ </w:t>
      </w:r>
      <w:r>
        <w:rPr>
          <w:w w:val="95"/>
        </w:rPr>
        <w:t>日起施行</w:t>
      </w:r>
      <w:r>
        <w:rPr>
          <w:rFonts w:hint="eastAsia" w:ascii="MS UI Gothic" w:hAnsi="MS UI Gothic" w:eastAsia="MS UI Gothic"/>
          <w:w w:val="90"/>
        </w:rPr>
        <w:t xml:space="preserve">ꎬ  </w:t>
      </w:r>
      <w:r>
        <w:rPr>
          <w:w w:val="95"/>
        </w:rPr>
        <w:t xml:space="preserve">原国家经济贸易委员会 </w:t>
      </w:r>
      <w:r>
        <w:rPr>
          <w:rFonts w:hint="eastAsia" w:ascii="MS UI Gothic" w:hAnsi="MS UI Gothic" w:eastAsia="MS UI Gothic"/>
          <w:w w:val="95"/>
        </w:rPr>
        <w:t xml:space="preserve">２００２ </w:t>
      </w:r>
      <w:r>
        <w:rPr>
          <w:w w:val="95"/>
        </w:rPr>
        <w:t xml:space="preserve">年公布的 </w:t>
      </w:r>
      <w:r>
        <w:rPr>
          <w:rFonts w:hint="eastAsia" w:ascii="MS UI Gothic" w:hAnsi="MS UI Gothic" w:eastAsia="MS UI Gothic"/>
          <w:w w:val="95"/>
        </w:rPr>
        <w:t xml:space="preserve">« </w:t>
      </w:r>
      <w:r>
        <w:rPr>
          <w:w w:val="95"/>
        </w:rPr>
        <w:t>煤矿矿用安全产品检验管理办法</w:t>
      </w:r>
      <w:r>
        <w:rPr>
          <w:rFonts w:hint="eastAsia" w:ascii="MS UI Gothic" w:hAnsi="MS UI Gothic" w:eastAsia="MS UI Gothic"/>
          <w:w w:val="95"/>
        </w:rPr>
        <w:t xml:space="preserve">» </w:t>
      </w:r>
      <w:r>
        <w:rPr>
          <w:w w:val="95"/>
        </w:rPr>
        <w:t>同时废止</w:t>
      </w:r>
      <w:r>
        <w:rPr>
          <w:rFonts w:hint="eastAsia" w:ascii="MS UI Gothic" w:hAnsi="MS UI Gothic" w:eastAsia="MS UI Gothic"/>
          <w:w w:val="90"/>
        </w:rPr>
        <w:t>ꎮ</w:t>
      </w:r>
    </w:p>
    <w:p>
      <w:pPr>
        <w:pStyle w:val="6"/>
        <w:spacing w:before="312"/>
        <w:ind w:left="0" w:right="442" w:firstLine="0"/>
        <w:jc w:val="right"/>
      </w:pPr>
      <w:r>
        <w:t>二</w:t>
      </w:r>
      <w:r>
        <w:rPr>
          <w:rFonts w:hint="eastAsia" w:ascii="MS UI Gothic" w:hAnsi="MS UI Gothic" w:eastAsia="MS UI Gothic"/>
        </w:rPr>
        <w:t>○○</w:t>
      </w:r>
      <w:r>
        <w:t>七年一月三十一日</w:t>
      </w:r>
    </w:p>
    <w:p>
      <w:pPr>
        <w:pStyle w:val="4"/>
        <w:ind w:right="654"/>
        <w:rPr>
          <w:rFonts w:hint="eastAsia" w:ascii="Microsoft Yi Baiti" w:eastAsia="Microsoft Yi Baiti"/>
        </w:rPr>
      </w:pPr>
      <w:r>
        <w:t xml:space="preserve">安全生产检测检验机构管理办法 </w:t>
      </w:r>
      <w:r>
        <w:rPr>
          <w:rFonts w:hint="eastAsia" w:ascii="Microsoft Yi Baiti" w:eastAsia="Microsoft Yi Baiti"/>
        </w:rPr>
        <w:t>(</w:t>
      </w:r>
      <w:r>
        <w:rPr>
          <w:rFonts w:hint="eastAsia" w:ascii="MS UI Gothic" w:eastAsia="MS UI Gothic"/>
        </w:rPr>
        <w:t xml:space="preserve">２００７ </w:t>
      </w:r>
      <w:r>
        <w:t>年公布</w:t>
      </w:r>
      <w:r>
        <w:rPr>
          <w:rFonts w:hint="eastAsia" w:ascii="Microsoft Yi Baiti" w:eastAsia="Microsoft Yi Baiti"/>
        </w:rPr>
        <w:t>)</w:t>
      </w:r>
    </w:p>
    <w:p>
      <w:pPr>
        <w:pStyle w:val="6"/>
        <w:spacing w:before="6"/>
        <w:ind w:left="0" w:firstLine="0"/>
        <w:jc w:val="left"/>
        <w:rPr>
          <w:rFonts w:ascii="Microsoft Yi Baiti"/>
          <w:sz w:val="27"/>
        </w:rPr>
      </w:pPr>
    </w:p>
    <w:p>
      <w:pPr>
        <w:spacing w:after="0"/>
        <w:jc w:val="left"/>
        <w:rPr>
          <w:rFonts w:ascii="Microsoft Yi Baiti"/>
          <w:sz w:val="27"/>
        </w:rPr>
        <w:sectPr>
          <w:type w:val="continuous"/>
          <w:pgSz w:w="10500" w:h="14750"/>
          <w:pgMar w:top="1400" w:right="980" w:bottom="280" w:left="980" w:header="720" w:footer="720" w:gutter="0"/>
        </w:sectPr>
      </w:pPr>
    </w:p>
    <w:p>
      <w:pPr>
        <w:pStyle w:val="6"/>
        <w:spacing w:before="4"/>
        <w:ind w:left="0" w:firstLine="0"/>
        <w:jc w:val="left"/>
        <w:rPr>
          <w:rFonts w:ascii="Microsoft Yi Baiti"/>
          <w:sz w:val="23"/>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6" w:line="295" w:lineRule="auto"/>
        <w:ind w:right="39"/>
      </w:pPr>
      <w:r>
        <w:t>第一条 为了加强对安全生产检测检验机构的管理</w:t>
      </w:r>
      <w:r>
        <w:rPr>
          <w:rFonts w:hint="eastAsia" w:ascii="MS UI Gothic" w:eastAsia="MS UI Gothic"/>
          <w:w w:val="80"/>
        </w:rPr>
        <w:t xml:space="preserve">ꎬ </w:t>
      </w:r>
      <w:r>
        <w:t>规范检测检验行为</w:t>
      </w:r>
      <w:r>
        <w:rPr>
          <w:rFonts w:hint="eastAsia" w:ascii="MS UI Gothic" w:eastAsia="MS UI Gothic"/>
          <w:w w:val="80"/>
        </w:rPr>
        <w:t xml:space="preserve">ꎬ </w:t>
      </w:r>
      <w:r>
        <w:t>根据</w:t>
      </w:r>
    </w:p>
    <w:p>
      <w:pPr>
        <w:pStyle w:val="6"/>
        <w:spacing w:line="295" w:lineRule="auto"/>
        <w:ind w:right="38" w:firstLine="0"/>
        <w:rPr>
          <w:rFonts w:hint="eastAsia" w:ascii="MS UI Gothic" w:hAnsi="MS UI Gothic" w:eastAsia="MS UI Gothic"/>
        </w:rPr>
      </w:pPr>
      <w:r>
        <w:rPr>
          <w:rFonts w:hint="eastAsia" w:ascii="MS UI Gothic" w:hAnsi="MS UI Gothic" w:eastAsia="MS UI Gothic"/>
        </w:rPr>
        <w:t xml:space="preserve">« </w:t>
      </w:r>
      <w:r>
        <w:t>安全生产法</w:t>
      </w:r>
      <w:r>
        <w:rPr>
          <w:rFonts w:hint="eastAsia" w:ascii="MS UI Gothic" w:hAnsi="MS UI Gothic" w:eastAsia="MS UI Gothic"/>
        </w:rPr>
        <w:t xml:space="preserve">» </w:t>
      </w:r>
      <w:r>
        <w:t>等有关法律</w:t>
      </w:r>
      <w:r>
        <w:rPr>
          <w:rFonts w:hint="eastAsia" w:ascii="MS UI Gothic" w:hAnsi="MS UI Gothic" w:eastAsia="MS UI Gothic"/>
        </w:rPr>
        <w:t xml:space="preserve">、 </w:t>
      </w:r>
      <w:r>
        <w:t>行政法规</w:t>
      </w:r>
      <w:r>
        <w:rPr>
          <w:rFonts w:hint="eastAsia" w:ascii="MS UI Gothic" w:hAnsi="MS UI Gothic" w:eastAsia="MS UI Gothic"/>
          <w:w w:val="80"/>
        </w:rPr>
        <w:t>ꎬ</w:t>
      </w:r>
      <w:r>
        <w:t>制定本规定</w:t>
      </w:r>
      <w:r>
        <w:rPr>
          <w:rFonts w:hint="eastAsia" w:ascii="MS UI Gothic" w:hAnsi="MS UI Gothic" w:eastAsia="MS UI Gothic"/>
          <w:w w:val="80"/>
        </w:rPr>
        <w:t>ꎮ</w:t>
      </w:r>
    </w:p>
    <w:p>
      <w:pPr>
        <w:pStyle w:val="6"/>
        <w:spacing w:line="295" w:lineRule="auto"/>
        <w:ind w:right="39"/>
        <w:rPr>
          <w:rFonts w:hint="eastAsia" w:ascii="MS UI Gothic" w:eastAsia="MS UI Gothic"/>
        </w:rPr>
      </w:pPr>
      <w:r>
        <w:rPr>
          <w:w w:val="105"/>
        </w:rPr>
        <w:t>第二条  安全生产检测检验机构</w:t>
      </w:r>
      <w:r>
        <w:rPr>
          <w:rFonts w:hint="eastAsia" w:ascii="MS UI Gothic" w:eastAsia="MS UI Gothic"/>
          <w:w w:val="150"/>
        </w:rPr>
        <w:t xml:space="preserve">( </w:t>
      </w:r>
      <w:r>
        <w:rPr>
          <w:w w:val="105"/>
        </w:rPr>
        <w:t>以下简称检测检验机构</w:t>
      </w:r>
      <w:r>
        <w:rPr>
          <w:rFonts w:hint="eastAsia" w:ascii="MS UI Gothic" w:eastAsia="MS UI Gothic"/>
          <w:w w:val="150"/>
        </w:rPr>
        <w:t xml:space="preserve">) </w:t>
      </w:r>
      <w:r>
        <w:rPr>
          <w:w w:val="105"/>
        </w:rPr>
        <w:t>及其检测检验</w:t>
      </w:r>
      <w:r>
        <w:t>人员从事安全生产检测检验活动</w:t>
      </w:r>
      <w:r>
        <w:rPr>
          <w:rFonts w:hint="eastAsia" w:ascii="MS UI Gothic" w:eastAsia="MS UI Gothic"/>
          <w:w w:val="80"/>
        </w:rPr>
        <w:t xml:space="preserve">ꎬ </w:t>
      </w:r>
      <w:r>
        <w:t>以及安</w:t>
      </w:r>
      <w:r>
        <w:rPr>
          <w:w w:val="105"/>
        </w:rPr>
        <w:t>全生产监督管理部门</w:t>
      </w:r>
      <w:r>
        <w:rPr>
          <w:rFonts w:hint="eastAsia" w:ascii="MS UI Gothic" w:eastAsia="MS UI Gothic"/>
          <w:w w:val="80"/>
        </w:rPr>
        <w:t xml:space="preserve">、 </w:t>
      </w:r>
      <w:r>
        <w:rPr>
          <w:w w:val="105"/>
        </w:rPr>
        <w:t>煤矿安全监察机构</w:t>
      </w:r>
      <w:r>
        <w:t>对检测检验机构的监督管理</w:t>
      </w:r>
      <w:r>
        <w:rPr>
          <w:rFonts w:hint="eastAsia" w:ascii="MS UI Gothic" w:eastAsia="MS UI Gothic"/>
          <w:w w:val="80"/>
        </w:rPr>
        <w:t xml:space="preserve">ꎬ </w:t>
      </w:r>
      <w:r>
        <w:t>适用本</w:t>
      </w:r>
      <w:r>
        <w:rPr>
          <w:w w:val="105"/>
        </w:rPr>
        <w:t>规定</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第三条 检测检验机构应当取得安全</w:t>
      </w:r>
      <w:r>
        <w:rPr>
          <w:spacing w:val="5"/>
          <w:w w:val="105"/>
        </w:rPr>
        <w:t xml:space="preserve">生产检测检验资质 </w:t>
      </w:r>
      <w:r>
        <w:rPr>
          <w:rFonts w:hint="eastAsia" w:ascii="MS UI Gothic" w:eastAsia="MS UI Gothic"/>
          <w:spacing w:val="-37"/>
          <w:w w:val="150"/>
        </w:rPr>
        <w:t xml:space="preserve">( </w:t>
      </w:r>
      <w:r>
        <w:rPr>
          <w:spacing w:val="14"/>
          <w:w w:val="105"/>
        </w:rPr>
        <w:t>以下简称检测检验</w:t>
      </w:r>
      <w:r>
        <w:rPr>
          <w:spacing w:val="3"/>
          <w:w w:val="105"/>
        </w:rPr>
        <w:t>资质</w:t>
      </w:r>
      <w:r>
        <w:rPr>
          <w:rFonts w:hint="eastAsia" w:ascii="MS UI Gothic" w:eastAsia="MS UI Gothic"/>
          <w:spacing w:val="-32"/>
          <w:w w:val="115"/>
        </w:rPr>
        <w:t xml:space="preserve">) </w:t>
      </w:r>
      <w:r>
        <w:rPr>
          <w:rFonts w:hint="eastAsia" w:ascii="MS UI Gothic" w:eastAsia="MS UI Gothic"/>
          <w:spacing w:val="-6"/>
          <w:w w:val="80"/>
        </w:rPr>
        <w:t xml:space="preserve">ꎬ </w:t>
      </w:r>
      <w:r>
        <w:rPr>
          <w:spacing w:val="6"/>
          <w:w w:val="105"/>
        </w:rPr>
        <w:t>并在资质有效期和批准的检测检</w:t>
      </w:r>
      <w:r>
        <w:rPr>
          <w:spacing w:val="3"/>
          <w:w w:val="105"/>
        </w:rPr>
        <w:t>验业务范围内独立开展检测检验活动</w:t>
      </w:r>
      <w:r>
        <w:rPr>
          <w:rFonts w:hint="eastAsia" w:ascii="MS UI Gothic" w:eastAsia="MS UI Gothic"/>
          <w:w w:val="80"/>
        </w:rPr>
        <w:t>ꎮ</w:t>
      </w:r>
    </w:p>
    <w:p>
      <w:pPr>
        <w:pStyle w:val="6"/>
        <w:spacing w:line="295" w:lineRule="auto"/>
        <w:ind w:right="39"/>
        <w:rPr>
          <w:rFonts w:hint="eastAsia" w:ascii="MS UI Gothic" w:eastAsia="MS UI Gothic"/>
        </w:rPr>
      </w:pPr>
      <w:r>
        <w:t>检测检验机构的设置应当充分利用社会现有资源</w:t>
      </w:r>
      <w:r>
        <w:rPr>
          <w:rFonts w:hint="eastAsia" w:ascii="MS UI Gothic" w:eastAsia="MS UI Gothic"/>
          <w:w w:val="80"/>
        </w:rPr>
        <w:t xml:space="preserve">ꎬ </w:t>
      </w:r>
      <w:r>
        <w:t>统筹规划</w:t>
      </w:r>
      <w:r>
        <w:rPr>
          <w:rFonts w:hint="eastAsia" w:ascii="MS UI Gothic" w:eastAsia="MS UI Gothic"/>
          <w:w w:val="80"/>
        </w:rPr>
        <w:t xml:space="preserve">ꎬ </w:t>
      </w:r>
      <w:r>
        <w:t>合理布局</w:t>
      </w:r>
      <w:r>
        <w:rPr>
          <w:rFonts w:hint="eastAsia" w:ascii="MS UI Gothic" w:eastAsia="MS UI Gothic"/>
          <w:w w:val="80"/>
        </w:rPr>
        <w:t xml:space="preserve">ꎬ </w:t>
      </w:r>
      <w:r>
        <w:t>优化结构</w:t>
      </w:r>
      <w:r>
        <w:rPr>
          <w:rFonts w:hint="eastAsia" w:ascii="MS UI Gothic" w:eastAsia="MS UI Gothic"/>
          <w:w w:val="80"/>
        </w:rPr>
        <w:t xml:space="preserve">ꎬ </w:t>
      </w:r>
      <w:r>
        <w:t>数量适当</w:t>
      </w:r>
      <w:r>
        <w:rPr>
          <w:rFonts w:hint="eastAsia" w:ascii="MS UI Gothic" w:eastAsia="MS UI Gothic"/>
          <w:w w:val="80"/>
        </w:rPr>
        <w:t xml:space="preserve">ꎬ </w:t>
      </w:r>
      <w:r>
        <w:t>避免无序竞争</w:t>
      </w:r>
      <w:r>
        <w:rPr>
          <w:rFonts w:hint="eastAsia" w:ascii="MS UI Gothic" w:eastAsia="MS UI Gothic"/>
          <w:w w:val="80"/>
        </w:rPr>
        <w:t>ꎮ</w:t>
      </w:r>
    </w:p>
    <w:p>
      <w:pPr>
        <w:pStyle w:val="6"/>
        <w:spacing w:line="295" w:lineRule="auto"/>
        <w:ind w:right="39"/>
        <w:rPr>
          <w:rFonts w:hint="eastAsia" w:ascii="MS UI Gothic" w:eastAsia="MS UI Gothic"/>
        </w:rPr>
      </w:pPr>
      <w:r>
        <w:t>第四条  检测检验资质分为甲级和乙级</w:t>
      </w:r>
      <w:r>
        <w:rPr>
          <w:rFonts w:hint="eastAsia" w:ascii="MS UI Gothic" w:eastAsia="MS UI Gothic"/>
          <w:w w:val="80"/>
        </w:rPr>
        <w:t>ꎮ</w:t>
      </w:r>
    </w:p>
    <w:p>
      <w:pPr>
        <w:pStyle w:val="6"/>
        <w:spacing w:line="255" w:lineRule="exact"/>
        <w:ind w:left="543" w:firstLine="0"/>
        <w:jc w:val="left"/>
      </w:pPr>
      <w:r>
        <w:t>取得甲级资质的检测检验机构可以在</w:t>
      </w:r>
    </w:p>
    <w:p>
      <w:pPr>
        <w:pStyle w:val="6"/>
        <w:spacing w:before="83" w:line="295" w:lineRule="auto"/>
        <w:ind w:right="442" w:firstLine="0"/>
        <w:rPr>
          <w:rFonts w:hint="eastAsia" w:ascii="MS UI Gothic" w:eastAsia="MS UI Gothic"/>
        </w:rPr>
      </w:pPr>
      <w:r>
        <w:br w:type="column"/>
      </w:r>
      <w:r>
        <w:rPr>
          <w:spacing w:val="2"/>
        </w:rPr>
        <w:t>全国工矿商贸生产经营单位从事涉及生产</w:t>
      </w:r>
      <w:r>
        <w:rPr>
          <w:spacing w:val="5"/>
          <w:w w:val="105"/>
        </w:rPr>
        <w:t xml:space="preserve">安全的设施设备 </w:t>
      </w:r>
      <w:r>
        <w:rPr>
          <w:rFonts w:hint="eastAsia" w:ascii="MS UI Gothic" w:eastAsia="MS UI Gothic"/>
          <w:spacing w:val="-34"/>
          <w:w w:val="150"/>
        </w:rPr>
        <w:t xml:space="preserve">( </w:t>
      </w:r>
      <w:r>
        <w:rPr>
          <w:spacing w:val="18"/>
          <w:w w:val="105"/>
        </w:rPr>
        <w:t>特种设备除外</w:t>
      </w:r>
      <w:r>
        <w:rPr>
          <w:rFonts w:hint="eastAsia" w:ascii="MS UI Gothic" w:eastAsia="MS UI Gothic"/>
          <w:spacing w:val="12"/>
          <w:w w:val="150"/>
        </w:rPr>
        <w:t xml:space="preserve">) </w:t>
      </w:r>
      <w:r>
        <w:rPr>
          <w:spacing w:val="9"/>
          <w:w w:val="105"/>
        </w:rPr>
        <w:t>及产</w:t>
      </w:r>
      <w:r>
        <w:rPr>
          <w:spacing w:val="10"/>
          <w:w w:val="105"/>
        </w:rPr>
        <w:t>品的型式检验</w:t>
      </w:r>
      <w:r>
        <w:rPr>
          <w:rFonts w:hint="eastAsia" w:ascii="MS UI Gothic" w:eastAsia="MS UI Gothic"/>
          <w:spacing w:val="18"/>
          <w:w w:val="80"/>
        </w:rPr>
        <w:t xml:space="preserve">、 </w:t>
      </w:r>
      <w:r>
        <w:rPr>
          <w:spacing w:val="19"/>
          <w:w w:val="105"/>
        </w:rPr>
        <w:t>安全标志检验</w:t>
      </w:r>
      <w:r>
        <w:rPr>
          <w:rFonts w:hint="eastAsia" w:ascii="MS UI Gothic" w:eastAsia="MS UI Gothic"/>
          <w:spacing w:val="18"/>
          <w:w w:val="80"/>
        </w:rPr>
        <w:t xml:space="preserve">、 </w:t>
      </w:r>
      <w:r>
        <w:rPr>
          <w:spacing w:val="15"/>
          <w:w w:val="105"/>
        </w:rPr>
        <w:t>在用检</w:t>
      </w:r>
      <w:r>
        <w:rPr>
          <w:spacing w:val="3"/>
          <w:w w:val="105"/>
        </w:rPr>
        <w:t>验</w:t>
      </w:r>
      <w:r>
        <w:rPr>
          <w:rFonts w:hint="eastAsia" w:ascii="MS UI Gothic" w:eastAsia="MS UI Gothic"/>
          <w:spacing w:val="11"/>
          <w:w w:val="80"/>
        </w:rPr>
        <w:t xml:space="preserve">、 </w:t>
      </w:r>
      <w:r>
        <w:rPr>
          <w:spacing w:val="3"/>
          <w:w w:val="105"/>
        </w:rPr>
        <w:t>监督监察检验</w:t>
      </w:r>
      <w:r>
        <w:rPr>
          <w:rFonts w:hint="eastAsia" w:ascii="MS UI Gothic" w:eastAsia="MS UI Gothic"/>
          <w:spacing w:val="12"/>
          <w:w w:val="80"/>
        </w:rPr>
        <w:t xml:space="preserve">、 </w:t>
      </w:r>
      <w:r>
        <w:rPr>
          <w:spacing w:val="2"/>
          <w:w w:val="105"/>
        </w:rPr>
        <w:t>作业场所安全检测和</w:t>
      </w:r>
      <w:r>
        <w:rPr>
          <w:spacing w:val="3"/>
          <w:w w:val="105"/>
        </w:rPr>
        <w:t>事故物证分析检验等业务</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取得乙级资质的检测检验机构可以在</w:t>
      </w:r>
      <w:r>
        <w:rPr>
          <w:spacing w:val="3"/>
          <w:w w:val="105"/>
        </w:rPr>
        <w:t>所在省</w:t>
      </w:r>
      <w:r>
        <w:rPr>
          <w:rFonts w:hint="eastAsia" w:ascii="MS UI Gothic" w:eastAsia="MS UI Gothic"/>
          <w:spacing w:val="11"/>
          <w:w w:val="80"/>
        </w:rPr>
        <w:t xml:space="preserve">、 </w:t>
      </w:r>
      <w:r>
        <w:rPr>
          <w:spacing w:val="3"/>
          <w:w w:val="105"/>
        </w:rPr>
        <w:t>自治区</w:t>
      </w:r>
      <w:r>
        <w:rPr>
          <w:rFonts w:hint="eastAsia" w:ascii="MS UI Gothic" w:eastAsia="MS UI Gothic"/>
          <w:spacing w:val="12"/>
          <w:w w:val="80"/>
        </w:rPr>
        <w:t xml:space="preserve">、 </w:t>
      </w:r>
      <w:r>
        <w:rPr>
          <w:spacing w:val="2"/>
          <w:w w:val="105"/>
        </w:rPr>
        <w:t>直辖市内工矿商贸生产</w:t>
      </w:r>
      <w:r>
        <w:rPr>
          <w:spacing w:val="11"/>
        </w:rPr>
        <w:t xml:space="preserve">经营单位从事涉及生产安全的设施设备 </w:t>
      </w:r>
      <w:r>
        <w:rPr>
          <w:rFonts w:hint="eastAsia" w:ascii="MS UI Gothic" w:eastAsia="MS UI Gothic"/>
          <w:spacing w:val="-32"/>
          <w:w w:val="150"/>
        </w:rPr>
        <w:t xml:space="preserve">( </w:t>
      </w:r>
      <w:r>
        <w:rPr>
          <w:spacing w:val="5"/>
          <w:w w:val="105"/>
        </w:rPr>
        <w:t>特种设备除外</w:t>
      </w:r>
      <w:r>
        <w:rPr>
          <w:rFonts w:hint="eastAsia" w:ascii="MS UI Gothic" w:eastAsia="MS UI Gothic"/>
          <w:spacing w:val="9"/>
          <w:w w:val="150"/>
        </w:rPr>
        <w:t xml:space="preserve">) </w:t>
      </w:r>
      <w:r>
        <w:rPr>
          <w:spacing w:val="7"/>
          <w:w w:val="105"/>
        </w:rPr>
        <w:t>在用检验</w:t>
      </w:r>
      <w:r>
        <w:rPr>
          <w:rFonts w:hint="eastAsia" w:ascii="MS UI Gothic" w:eastAsia="MS UI Gothic"/>
          <w:spacing w:val="22"/>
          <w:w w:val="80"/>
        </w:rPr>
        <w:t xml:space="preserve">、 </w:t>
      </w:r>
      <w:r>
        <w:rPr>
          <w:spacing w:val="7"/>
          <w:w w:val="105"/>
        </w:rPr>
        <w:t>监督监察检</w:t>
      </w:r>
      <w:r>
        <w:rPr>
          <w:spacing w:val="3"/>
          <w:w w:val="105"/>
        </w:rPr>
        <w:t>验</w:t>
      </w:r>
      <w:r>
        <w:rPr>
          <w:rFonts w:hint="eastAsia" w:ascii="MS UI Gothic" w:eastAsia="MS UI Gothic"/>
          <w:spacing w:val="-2"/>
          <w:w w:val="80"/>
        </w:rPr>
        <w:t xml:space="preserve">、 </w:t>
      </w:r>
      <w:r>
        <w:rPr>
          <w:spacing w:val="2"/>
          <w:w w:val="105"/>
        </w:rPr>
        <w:t>作业场所安全检测和重大事故以下的</w:t>
      </w:r>
      <w:r>
        <w:rPr>
          <w:spacing w:val="3"/>
          <w:w w:val="105"/>
        </w:rPr>
        <w:t>事故物证分析检验等业务</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安全生产检测检验目录由国家安全生</w:t>
      </w:r>
      <w:r>
        <w:rPr>
          <w:spacing w:val="5"/>
          <w:w w:val="105"/>
        </w:rPr>
        <w:t xml:space="preserve">产监督管理总局 </w:t>
      </w:r>
      <w:r>
        <w:rPr>
          <w:rFonts w:hint="eastAsia" w:ascii="MS UI Gothic" w:eastAsia="MS UI Gothic"/>
          <w:spacing w:val="-37"/>
          <w:w w:val="150"/>
        </w:rPr>
        <w:t xml:space="preserve">( </w:t>
      </w:r>
      <w:r>
        <w:rPr>
          <w:spacing w:val="15"/>
          <w:w w:val="105"/>
        </w:rPr>
        <w:t>以下简称安全监管总</w:t>
      </w:r>
      <w:r>
        <w:rPr>
          <w:spacing w:val="3"/>
          <w:w w:val="105"/>
        </w:rPr>
        <w:t>局</w:t>
      </w:r>
      <w:r>
        <w:rPr>
          <w:rFonts w:hint="eastAsia" w:ascii="MS UI Gothic" w:eastAsia="MS UI Gothic"/>
          <w:spacing w:val="15"/>
          <w:w w:val="150"/>
        </w:rPr>
        <w:t xml:space="preserve">) </w:t>
      </w:r>
      <w:r>
        <w:rPr>
          <w:spacing w:val="3"/>
          <w:w w:val="105"/>
        </w:rPr>
        <w:t>规定并公布</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第五条 安全监管总局指导</w:t>
      </w:r>
      <w:r>
        <w:rPr>
          <w:rFonts w:hint="eastAsia" w:ascii="MS UI Gothic" w:eastAsia="MS UI Gothic"/>
          <w:w w:val="80"/>
        </w:rPr>
        <w:t xml:space="preserve">、 </w:t>
      </w:r>
      <w:r>
        <w:rPr>
          <w:w w:val="105"/>
        </w:rPr>
        <w:t>协调</w:t>
      </w:r>
      <w:r>
        <w:rPr>
          <w:rFonts w:hint="eastAsia" w:ascii="MS UI Gothic" w:eastAsia="MS UI Gothic"/>
          <w:w w:val="80"/>
        </w:rPr>
        <w:t>、</w:t>
      </w:r>
      <w:r>
        <w:t>监督全国安全生产检测检验工作和检测检验机构资质管理工作</w:t>
      </w:r>
      <w:r>
        <w:rPr>
          <w:rFonts w:hint="eastAsia" w:ascii="MS UI Gothic" w:eastAsia="MS UI Gothic"/>
          <w:w w:val="80"/>
        </w:rPr>
        <w:t xml:space="preserve">ꎻ </w:t>
      </w:r>
      <w:r>
        <w:t>负责甲级检测检验</w:t>
      </w:r>
      <w:r>
        <w:rPr>
          <w:w w:val="105"/>
        </w:rPr>
        <w:t>机构的资质认定和监督检查</w:t>
      </w:r>
      <w:r>
        <w:rPr>
          <w:rFonts w:hint="eastAsia" w:ascii="MS UI Gothic" w:eastAsia="MS UI Gothic"/>
          <w:w w:val="80"/>
        </w:rPr>
        <w:t>ꎮ</w:t>
      </w:r>
    </w:p>
    <w:p>
      <w:pPr>
        <w:pStyle w:val="6"/>
        <w:spacing w:line="295" w:lineRule="auto"/>
        <w:ind w:right="442"/>
      </w:pPr>
      <w:r>
        <w:rPr>
          <w:w w:val="105"/>
        </w:rPr>
        <w:t>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直辖市安全生产监督管理部门指导</w:t>
      </w:r>
      <w:r>
        <w:rPr>
          <w:rFonts w:hint="eastAsia" w:ascii="MS UI Gothic" w:eastAsia="MS UI Gothic"/>
          <w:w w:val="80"/>
        </w:rPr>
        <w:t xml:space="preserve">、 </w:t>
      </w:r>
      <w:r>
        <w:rPr>
          <w:w w:val="105"/>
        </w:rPr>
        <w:t>协调</w:t>
      </w:r>
      <w:r>
        <w:rPr>
          <w:rFonts w:hint="eastAsia" w:ascii="MS UI Gothic" w:eastAsia="MS UI Gothic"/>
          <w:w w:val="80"/>
        </w:rPr>
        <w:t xml:space="preserve">、 </w:t>
      </w:r>
      <w:r>
        <w:rPr>
          <w:w w:val="105"/>
        </w:rPr>
        <w:t>监督本行政区域内安</w:t>
      </w:r>
      <w:r>
        <w:t>全生产检测检验工作</w:t>
      </w:r>
      <w:r>
        <w:rPr>
          <w:rFonts w:hint="eastAsia" w:ascii="MS UI Gothic" w:eastAsia="MS UI Gothic"/>
          <w:w w:val="80"/>
        </w:rPr>
        <w:t xml:space="preserve">ꎻ </w:t>
      </w:r>
      <w:r>
        <w:t>负责本行政区域内乙级非煤矿检测检验机构的资质认定和监</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１０１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52" o:spid="_x0000_s1352" o:spt="203" style="height:2.15pt;width:398.25pt;" coordsize="7965,43">
            <o:lock v:ext="edit"/>
            <v:line id="_x0000_s1353" o:spid="_x0000_s1353" o:spt="20" style="position:absolute;left:0;top:39;height:0;width:7965;" stroked="t" coordsize="21600,21600">
              <v:path arrowok="t"/>
              <v:fill focussize="0,0"/>
              <v:stroke weight="0.388031496062992pt" color="#231F20"/>
              <v:imagedata o:title=""/>
              <o:lock v:ext="edit"/>
            </v:line>
            <v:line id="_x0000_s1354" o:spid="_x0000_s135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督检查</w:t>
      </w:r>
      <w:r>
        <w:rPr>
          <w:rFonts w:hint="eastAsia" w:ascii="MS UI Gothic" w:eastAsia="MS UI Gothic"/>
          <w:w w:val="80"/>
        </w:rPr>
        <w:t>ꎮ</w:t>
      </w:r>
    </w:p>
    <w:p>
      <w:pPr>
        <w:pStyle w:val="6"/>
        <w:spacing w:before="58" w:line="295" w:lineRule="auto"/>
        <w:ind w:left="440"/>
        <w:rPr>
          <w:rFonts w:hint="eastAsia" w:ascii="MS UI Gothic" w:eastAsia="MS UI Gothic"/>
        </w:rPr>
      </w:pPr>
      <w:r>
        <w:rPr>
          <w:w w:val="105"/>
        </w:rPr>
        <w:t>省级煤矿安全监察机构指导</w:t>
      </w:r>
      <w:r>
        <w:rPr>
          <w:rFonts w:hint="eastAsia" w:ascii="MS UI Gothic" w:eastAsia="MS UI Gothic"/>
          <w:w w:val="80"/>
        </w:rPr>
        <w:t xml:space="preserve">、 </w:t>
      </w:r>
      <w:r>
        <w:rPr>
          <w:w w:val="105"/>
        </w:rPr>
        <w:t>协调</w:t>
      </w:r>
      <w:r>
        <w:rPr>
          <w:rFonts w:hint="eastAsia" w:ascii="MS UI Gothic" w:eastAsia="MS UI Gothic"/>
          <w:w w:val="80"/>
        </w:rPr>
        <w:t>、</w:t>
      </w:r>
      <w:r>
        <w:t>监督所辖区域内煤矿安全生产检测检验工作</w:t>
      </w:r>
      <w:r>
        <w:rPr>
          <w:rFonts w:hint="eastAsia" w:ascii="MS UI Gothic" w:eastAsia="MS UI Gothic"/>
          <w:w w:val="80"/>
        </w:rPr>
        <w:t xml:space="preserve">ꎻ </w:t>
      </w:r>
      <w:r>
        <w:t>负责所辖区域内乙级煤矿检测检验机</w:t>
      </w:r>
      <w:r>
        <w:rPr>
          <w:w w:val="105"/>
        </w:rPr>
        <w:t>构资质的认定和监督检查</w:t>
      </w:r>
      <w:r>
        <w:rPr>
          <w:rFonts w:hint="eastAsia" w:ascii="MS UI Gothic" w:eastAsia="MS UI Gothic"/>
          <w:w w:val="80"/>
        </w:rPr>
        <w:t>ꎮ</w:t>
      </w:r>
    </w:p>
    <w:p>
      <w:pPr>
        <w:pStyle w:val="6"/>
        <w:tabs>
          <w:tab w:val="left" w:pos="1698"/>
        </w:tabs>
        <w:spacing w:before="154"/>
        <w:ind w:left="860" w:firstLine="0"/>
        <w:jc w:val="left"/>
      </w:pPr>
      <w:r>
        <w:rPr>
          <w:spacing w:val="3"/>
          <w:w w:val="105"/>
        </w:rPr>
        <w:t>第二</w:t>
      </w:r>
      <w:r>
        <w:rPr>
          <w:w w:val="105"/>
        </w:rPr>
        <w:t>章</w:t>
      </w:r>
      <w:r>
        <w:rPr>
          <w:w w:val="105"/>
        </w:rPr>
        <w:tab/>
      </w:r>
      <w:r>
        <w:rPr>
          <w:spacing w:val="3"/>
          <w:w w:val="105"/>
        </w:rPr>
        <w:t>取得资质的条件和程</w:t>
      </w:r>
      <w:r>
        <w:rPr>
          <w:w w:val="105"/>
        </w:rPr>
        <w:t>序</w:t>
      </w:r>
    </w:p>
    <w:p>
      <w:pPr>
        <w:pStyle w:val="6"/>
        <w:spacing w:before="215" w:line="295" w:lineRule="auto"/>
        <w:ind w:left="440" w:right="1"/>
        <w:rPr>
          <w:rFonts w:hint="eastAsia" w:ascii="MS UI Gothic" w:eastAsia="MS UI Gothic"/>
        </w:rPr>
      </w:pPr>
      <w:r>
        <w:rPr>
          <w:w w:val="105"/>
        </w:rPr>
        <w:t>第六条 申请检测检验资质的机构应</w:t>
      </w:r>
      <w:r>
        <w:rPr>
          <w:w w:val="110"/>
        </w:rPr>
        <w:t>当具备下列基本条件</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具有法人资格</w:t>
      </w:r>
      <w:r>
        <w:rPr>
          <w:rFonts w:hint="eastAsia" w:ascii="MS UI Gothic" w:eastAsia="MS UI Gothic"/>
          <w:w w:val="80"/>
        </w:rPr>
        <w:t xml:space="preserve">ꎬ </w:t>
      </w:r>
      <w:r>
        <w:rPr>
          <w:w w:val="105"/>
        </w:rPr>
        <w:t>能够独立</w:t>
      </w:r>
      <w:r>
        <w:rPr>
          <w:rFonts w:hint="eastAsia" w:ascii="MS UI Gothic" w:eastAsia="MS UI Gothic"/>
          <w:w w:val="80"/>
        </w:rPr>
        <w:t xml:space="preserve">、 </w:t>
      </w:r>
      <w:r>
        <w:rPr>
          <w:w w:val="105"/>
        </w:rPr>
        <w:t>客观</w:t>
      </w:r>
      <w:r>
        <w:rPr>
          <w:rFonts w:hint="eastAsia" w:ascii="MS UI Gothic" w:eastAsia="MS UI Gothic"/>
          <w:w w:val="80"/>
        </w:rPr>
        <w:t xml:space="preserve">、 </w:t>
      </w:r>
      <w:r>
        <w:rPr>
          <w:w w:val="105"/>
        </w:rPr>
        <w:t>公正地开展检测检验工作</w:t>
      </w:r>
      <w:r>
        <w:rPr>
          <w:rFonts w:hint="eastAsia" w:ascii="MS UI Gothic" w:eastAsia="MS UI Gothic"/>
          <w:w w:val="80"/>
        </w:rPr>
        <w:t>ꎮ</w:t>
      </w:r>
    </w:p>
    <w:p>
      <w:pPr>
        <w:pStyle w:val="6"/>
        <w:spacing w:line="295" w:lineRule="auto"/>
        <w:ind w:left="435" w:right="1" w:firstLine="425"/>
        <w:rPr>
          <w:rFonts w:hint="eastAsia" w:ascii="MS UI Gothic" w:eastAsia="MS UI Gothic"/>
        </w:rPr>
      </w:pPr>
      <w:r>
        <w:rPr>
          <w:rFonts w:hint="eastAsia" w:ascii="MS UI Gothic" w:eastAsia="MS UI Gothic"/>
          <w:w w:val="140"/>
        </w:rPr>
        <w:t xml:space="preserve">( </w:t>
      </w:r>
      <w:r>
        <w:t>二</w:t>
      </w:r>
      <w:r>
        <w:rPr>
          <w:rFonts w:hint="eastAsia" w:ascii="MS UI Gothic" w:eastAsia="MS UI Gothic"/>
          <w:w w:val="140"/>
        </w:rPr>
        <w:t xml:space="preserve">) </w:t>
      </w:r>
      <w:r>
        <w:t>有与申请业务相适应的固定工作场所</w:t>
      </w:r>
      <w:r>
        <w:rPr>
          <w:rFonts w:hint="eastAsia" w:ascii="MS UI Gothic" w:eastAsia="MS UI Gothic"/>
          <w:w w:val="85"/>
        </w:rPr>
        <w:t xml:space="preserve">、 </w:t>
      </w:r>
      <w:r>
        <w:t>检测检验仪器</w:t>
      </w:r>
      <w:r>
        <w:rPr>
          <w:rFonts w:hint="eastAsia" w:ascii="MS UI Gothic" w:eastAsia="MS UI Gothic"/>
          <w:w w:val="85"/>
        </w:rPr>
        <w:t xml:space="preserve">、 </w:t>
      </w:r>
      <w:r>
        <w:t>设备</w:t>
      </w:r>
      <w:r>
        <w:rPr>
          <w:rFonts w:hint="eastAsia" w:ascii="MS UI Gothic" w:eastAsia="MS UI Gothic"/>
          <w:w w:val="85"/>
        </w:rPr>
        <w:t xml:space="preserve">、 </w:t>
      </w:r>
      <w:r>
        <w:t>设施和环境条件</w:t>
      </w:r>
      <w:r>
        <w:rPr>
          <w:rFonts w:hint="eastAsia" w:ascii="MS UI Gothic" w:eastAsia="MS UI Gothic"/>
          <w:w w:val="85"/>
        </w:rPr>
        <w:t xml:space="preserve">ꎬ </w:t>
      </w:r>
      <w:r>
        <w:t>其中检测检验仪器</w:t>
      </w:r>
      <w:r>
        <w:rPr>
          <w:rFonts w:hint="eastAsia" w:ascii="MS UI Gothic" w:eastAsia="MS UI Gothic"/>
          <w:w w:val="85"/>
        </w:rPr>
        <w:t xml:space="preserve">、 </w:t>
      </w:r>
      <w:r>
        <w:t>设备</w:t>
      </w:r>
      <w:r>
        <w:rPr>
          <w:rFonts w:hint="eastAsia" w:ascii="MS UI Gothic" w:eastAsia="MS UI Gothic"/>
          <w:w w:val="85"/>
        </w:rPr>
        <w:t xml:space="preserve">、 </w:t>
      </w:r>
      <w:r>
        <w:t xml:space="preserve">设施原值甲级不低于 </w:t>
      </w:r>
      <w:r>
        <w:rPr>
          <w:rFonts w:hint="eastAsia" w:ascii="MS UI Gothic" w:eastAsia="MS UI Gothic"/>
          <w:w w:val="85"/>
        </w:rPr>
        <w:t xml:space="preserve">３００ </w:t>
      </w:r>
      <w:r>
        <w:t>万元</w:t>
      </w:r>
      <w:r>
        <w:rPr>
          <w:rFonts w:hint="eastAsia" w:ascii="MS UI Gothic" w:eastAsia="MS UI Gothic"/>
          <w:w w:val="85"/>
        </w:rPr>
        <w:t xml:space="preserve">ꎬ </w:t>
      </w:r>
      <w:r>
        <w:t>乙级不低于</w:t>
      </w:r>
      <w:r>
        <w:rPr>
          <w:rFonts w:hint="eastAsia" w:ascii="MS UI Gothic" w:eastAsia="MS UI Gothic"/>
          <w:w w:val="85"/>
        </w:rPr>
        <w:t xml:space="preserve">１５０ </w:t>
      </w:r>
      <w:r>
        <w:t>万元</w:t>
      </w:r>
      <w:r>
        <w:rPr>
          <w:rFonts w:hint="eastAsia" w:asci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spacing w:val="-25"/>
          <w:w w:val="140"/>
        </w:rPr>
        <w:t xml:space="preserve">( </w:t>
      </w:r>
      <w:r>
        <w:rPr>
          <w:spacing w:val="3"/>
        </w:rPr>
        <w:t>三</w:t>
      </w:r>
      <w:r>
        <w:rPr>
          <w:rFonts w:hint="eastAsia" w:ascii="MS UI Gothic" w:eastAsia="MS UI Gothic"/>
          <w:spacing w:val="23"/>
          <w:w w:val="140"/>
        </w:rPr>
        <w:t xml:space="preserve">) </w:t>
      </w:r>
      <w:r>
        <w:rPr>
          <w:spacing w:val="5"/>
        </w:rPr>
        <w:t>有与申请业务相适应的专业技</w:t>
      </w:r>
      <w:r>
        <w:rPr>
          <w:spacing w:val="3"/>
        </w:rPr>
        <w:t>术人员</w:t>
      </w:r>
      <w:r>
        <w:rPr>
          <w:rFonts w:hint="eastAsia" w:ascii="MS UI Gothic" w:eastAsia="MS UI Gothic"/>
          <w:spacing w:val="14"/>
          <w:w w:val="85"/>
        </w:rPr>
        <w:t xml:space="preserve">ꎮ </w:t>
      </w:r>
      <w:r>
        <w:rPr>
          <w:spacing w:val="2"/>
        </w:rPr>
        <w:t>甲级机构专业技术人员不低于在</w:t>
      </w:r>
      <w:r>
        <w:rPr>
          <w:spacing w:val="-1"/>
        </w:rPr>
        <w:t xml:space="preserve">编人员总数的 </w:t>
      </w:r>
      <w:r>
        <w:rPr>
          <w:rFonts w:hint="eastAsia" w:ascii="MS UI Gothic" w:eastAsia="MS UI Gothic"/>
          <w:w w:val="95"/>
        </w:rPr>
        <w:t>７０</w:t>
      </w:r>
      <w:r>
        <w:rPr>
          <w:spacing w:val="-36"/>
          <w:w w:val="95"/>
        </w:rPr>
        <w:t xml:space="preserve">％ </w:t>
      </w:r>
      <w:r>
        <w:rPr>
          <w:rFonts w:hint="eastAsia" w:ascii="MS UI Gothic" w:eastAsia="MS UI Gothic"/>
          <w:spacing w:val="13"/>
          <w:w w:val="85"/>
        </w:rPr>
        <w:t xml:space="preserve">ꎬ </w:t>
      </w:r>
      <w:r>
        <w:rPr>
          <w:spacing w:val="16"/>
        </w:rPr>
        <w:t>其中中级以上技术</w:t>
      </w:r>
      <w:r>
        <w:rPr>
          <w:spacing w:val="3"/>
        </w:rPr>
        <w:t>职称</w:t>
      </w:r>
      <w:r>
        <w:rPr>
          <w:rFonts w:hint="eastAsia" w:ascii="MS UI Gothic" w:eastAsia="MS UI Gothic"/>
          <w:spacing w:val="26"/>
          <w:w w:val="95"/>
        </w:rPr>
        <w:t xml:space="preserve">、 </w:t>
      </w:r>
      <w:r>
        <w:rPr>
          <w:spacing w:val="2"/>
        </w:rPr>
        <w:t>注册安全工程师和高级技术职称人</w:t>
      </w:r>
      <w:r>
        <w:rPr>
          <w:spacing w:val="-5"/>
        </w:rPr>
        <w:t xml:space="preserve">员分别不低于在编人员总数的 </w:t>
      </w:r>
      <w:r>
        <w:rPr>
          <w:rFonts w:hint="eastAsia" w:ascii="MS UI Gothic" w:eastAsia="MS UI Gothic"/>
          <w:w w:val="95"/>
        </w:rPr>
        <w:t>４０</w:t>
      </w:r>
      <w:r>
        <w:rPr>
          <w:spacing w:val="-40"/>
          <w:w w:val="95"/>
        </w:rPr>
        <w:t xml:space="preserve">％ </w:t>
      </w:r>
      <w:r>
        <w:rPr>
          <w:rFonts w:hint="eastAsia" w:ascii="MS UI Gothic" w:eastAsia="MS UI Gothic"/>
          <w:spacing w:val="-3"/>
          <w:w w:val="95"/>
        </w:rPr>
        <w:t>、 １５</w:t>
      </w:r>
      <w:r>
        <w:rPr>
          <w:w w:val="95"/>
        </w:rPr>
        <w:t xml:space="preserve">％ </w:t>
      </w:r>
      <w:r>
        <w:rPr>
          <w:spacing w:val="-33"/>
        </w:rPr>
        <w:t xml:space="preserve">和 </w:t>
      </w:r>
      <w:r>
        <w:rPr>
          <w:rFonts w:hint="eastAsia" w:ascii="MS UI Gothic" w:eastAsia="MS UI Gothic"/>
          <w:w w:val="95"/>
        </w:rPr>
        <w:t>１５</w:t>
      </w:r>
      <w:r>
        <w:rPr>
          <w:spacing w:val="-36"/>
          <w:w w:val="95"/>
        </w:rPr>
        <w:t xml:space="preserve">％ </w:t>
      </w:r>
      <w:r>
        <w:rPr>
          <w:rFonts w:hint="eastAsia" w:ascii="MS UI Gothic" w:eastAsia="MS UI Gothic"/>
          <w:spacing w:val="10"/>
          <w:w w:val="85"/>
        </w:rPr>
        <w:t xml:space="preserve">ꎻ </w:t>
      </w:r>
      <w:r>
        <w:rPr>
          <w:spacing w:val="19"/>
        </w:rPr>
        <w:t>乙级机构专业技术人员不低</w:t>
      </w:r>
      <w:r>
        <w:rPr>
          <w:spacing w:val="-11"/>
          <w:w w:val="95"/>
        </w:rPr>
        <w:t>于</w:t>
      </w:r>
      <w:r>
        <w:rPr>
          <w:spacing w:val="1"/>
        </w:rPr>
        <w:t xml:space="preserve">在编人员总数的 </w:t>
      </w:r>
      <w:r>
        <w:rPr>
          <w:rFonts w:hint="eastAsia" w:ascii="MS UI Gothic" w:eastAsia="MS UI Gothic"/>
          <w:w w:val="95"/>
        </w:rPr>
        <w:t>６０</w:t>
      </w:r>
      <w:r>
        <w:rPr>
          <w:spacing w:val="-36"/>
          <w:w w:val="95"/>
        </w:rPr>
        <w:t xml:space="preserve">％ </w:t>
      </w:r>
      <w:r>
        <w:rPr>
          <w:rFonts w:hint="eastAsia" w:ascii="MS UI Gothic" w:eastAsia="MS UI Gothic"/>
          <w:spacing w:val="13"/>
          <w:w w:val="85"/>
        </w:rPr>
        <w:t xml:space="preserve">ꎬ </w:t>
      </w:r>
      <w:r>
        <w:rPr>
          <w:spacing w:val="16"/>
        </w:rPr>
        <w:t>其中中级以上技</w:t>
      </w:r>
      <w:r>
        <w:rPr>
          <w:spacing w:val="2"/>
        </w:rPr>
        <w:t>术职称人员和注册安全工程师分别不低于</w:t>
      </w:r>
      <w:r>
        <w:rPr>
          <w:spacing w:val="-6"/>
        </w:rPr>
        <w:t xml:space="preserve">在编人员总数的 </w:t>
      </w:r>
      <w:r>
        <w:rPr>
          <w:rFonts w:hint="eastAsia" w:ascii="MS UI Gothic" w:eastAsia="MS UI Gothic"/>
          <w:w w:val="95"/>
        </w:rPr>
        <w:t>３０</w:t>
      </w:r>
      <w:r>
        <w:rPr>
          <w:spacing w:val="-33"/>
          <w:w w:val="95"/>
        </w:rPr>
        <w:t xml:space="preserve">％ </w:t>
      </w:r>
      <w:r>
        <w:rPr>
          <w:spacing w:val="-29"/>
        </w:rPr>
        <w:t xml:space="preserve">和 </w:t>
      </w:r>
      <w:r>
        <w:rPr>
          <w:rFonts w:hint="eastAsia" w:ascii="MS UI Gothic" w:eastAsia="MS UI Gothic"/>
          <w:w w:val="95"/>
        </w:rPr>
        <w:t>１０</w:t>
      </w:r>
      <w:r>
        <w:rPr>
          <w:spacing w:val="-33"/>
          <w:w w:val="95"/>
        </w:rPr>
        <w:t xml:space="preserve">％ </w:t>
      </w:r>
      <w:r>
        <w:rPr>
          <w:rFonts w:hint="eastAsia" w:ascii="MS UI Gothic" w:eastAsia="MS UI Gothic"/>
          <w:w w:val="85"/>
        </w:rPr>
        <w:t>ꎮ</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7"/>
          <w:w w:val="105"/>
        </w:rPr>
        <w:t>四</w:t>
      </w:r>
      <w:r>
        <w:rPr>
          <w:rFonts w:hint="eastAsia" w:ascii="MS UI Gothic" w:eastAsia="MS UI Gothic"/>
          <w:spacing w:val="8"/>
          <w:w w:val="150"/>
        </w:rPr>
        <w:t xml:space="preserve">) </w:t>
      </w:r>
      <w:r>
        <w:rPr>
          <w:spacing w:val="15"/>
          <w:w w:val="105"/>
        </w:rPr>
        <w:t>甲级机构主持工作的负责人</w:t>
      </w:r>
      <w:r>
        <w:rPr>
          <w:rFonts w:hint="eastAsia" w:ascii="MS UI Gothic" w:eastAsia="MS UI Gothic"/>
          <w:spacing w:val="-12"/>
          <w:w w:val="80"/>
        </w:rPr>
        <w:t>、</w:t>
      </w:r>
      <w:r>
        <w:rPr>
          <w:spacing w:val="3"/>
          <w:w w:val="105"/>
        </w:rPr>
        <w:t>技术负责人</w:t>
      </w:r>
      <w:r>
        <w:rPr>
          <w:rFonts w:hint="eastAsia" w:ascii="MS UI Gothic" w:eastAsia="MS UI Gothic"/>
          <w:spacing w:val="-4"/>
          <w:w w:val="80"/>
        </w:rPr>
        <w:t xml:space="preserve">、 </w:t>
      </w:r>
      <w:r>
        <w:rPr>
          <w:spacing w:val="2"/>
          <w:w w:val="105"/>
        </w:rPr>
        <w:t>质量负责人具有与申请业务</w:t>
      </w:r>
      <w:r>
        <w:rPr>
          <w:spacing w:val="3"/>
        </w:rPr>
        <w:t>相适应的高级技术职称</w:t>
      </w:r>
      <w:r>
        <w:rPr>
          <w:rFonts w:hint="eastAsia" w:ascii="MS UI Gothic" w:eastAsia="MS UI Gothic"/>
          <w:spacing w:val="15"/>
          <w:w w:val="80"/>
        </w:rPr>
        <w:t xml:space="preserve">ꎬ </w:t>
      </w:r>
      <w:r>
        <w:rPr>
          <w:spacing w:val="1"/>
        </w:rPr>
        <w:t xml:space="preserve">技术负责人有 </w:t>
      </w:r>
      <w:r>
        <w:rPr>
          <w:rFonts w:hint="eastAsia" w:ascii="MS UI Gothic" w:eastAsia="MS UI Gothic"/>
          <w:w w:val="80"/>
        </w:rPr>
        <w:t xml:space="preserve">５ </w:t>
      </w:r>
      <w:r>
        <w:rPr>
          <w:spacing w:val="2"/>
        </w:rPr>
        <w:t>年以上与安全生产相关的检测检验工作经</w:t>
      </w:r>
      <w:r>
        <w:rPr>
          <w:spacing w:val="3"/>
          <w:w w:val="105"/>
        </w:rPr>
        <w:t>历</w:t>
      </w:r>
      <w:r>
        <w:rPr>
          <w:rFonts w:hint="eastAsia" w:ascii="MS UI Gothic" w:eastAsia="MS UI Gothic"/>
          <w:spacing w:val="-2"/>
          <w:w w:val="80"/>
        </w:rPr>
        <w:t xml:space="preserve">ꎻ </w:t>
      </w:r>
      <w:r>
        <w:rPr>
          <w:spacing w:val="3"/>
          <w:w w:val="105"/>
        </w:rPr>
        <w:t>乙级机构主持工作的负责人</w:t>
      </w:r>
      <w:r>
        <w:rPr>
          <w:rFonts w:hint="eastAsia" w:ascii="MS UI Gothic" w:eastAsia="MS UI Gothic"/>
          <w:spacing w:val="-1"/>
          <w:w w:val="80"/>
        </w:rPr>
        <w:t xml:space="preserve">、 </w:t>
      </w:r>
      <w:r>
        <w:rPr>
          <w:spacing w:val="2"/>
          <w:w w:val="105"/>
        </w:rPr>
        <w:t>技术负</w:t>
      </w:r>
      <w:r>
        <w:rPr>
          <w:spacing w:val="3"/>
          <w:w w:val="105"/>
        </w:rPr>
        <w:t>责人</w:t>
      </w:r>
      <w:r>
        <w:rPr>
          <w:rFonts w:hint="eastAsia" w:ascii="MS UI Gothic" w:eastAsia="MS UI Gothic"/>
          <w:spacing w:val="-4"/>
          <w:w w:val="80"/>
        </w:rPr>
        <w:t xml:space="preserve">、 </w:t>
      </w:r>
      <w:r>
        <w:rPr>
          <w:spacing w:val="2"/>
          <w:w w:val="105"/>
        </w:rPr>
        <w:t>质量负责人具有与申请业务相适应</w:t>
      </w:r>
      <w:r>
        <w:rPr>
          <w:spacing w:val="2"/>
        </w:rPr>
        <w:t>的中级以上技术职称或者注册安全工程师</w:t>
      </w:r>
      <w:r>
        <w:rPr>
          <w:spacing w:val="2"/>
          <w:w w:val="105"/>
        </w:rPr>
        <w:t>资格</w:t>
      </w:r>
      <w:r>
        <w:rPr>
          <w:rFonts w:hint="eastAsia" w:ascii="MS UI Gothic" w:eastAsia="MS UI Gothic"/>
          <w:spacing w:val="-2"/>
          <w:w w:val="80"/>
        </w:rPr>
        <w:t xml:space="preserve">ꎬ </w:t>
      </w:r>
      <w:r>
        <w:rPr>
          <w:spacing w:val="-11"/>
          <w:w w:val="105"/>
        </w:rPr>
        <w:t xml:space="preserve">技术负责人有 </w:t>
      </w:r>
      <w:r>
        <w:rPr>
          <w:rFonts w:hint="eastAsia" w:ascii="MS UI Gothic" w:eastAsia="MS UI Gothic"/>
          <w:spacing w:val="-12"/>
          <w:w w:val="80"/>
        </w:rPr>
        <w:t xml:space="preserve">３ </w:t>
      </w:r>
      <w:r>
        <w:rPr>
          <w:spacing w:val="2"/>
          <w:w w:val="105"/>
        </w:rPr>
        <w:t>年以上与安全生产</w:t>
      </w:r>
      <w:r>
        <w:rPr>
          <w:spacing w:val="3"/>
          <w:w w:val="105"/>
        </w:rPr>
        <w:t>相关的检测检验工作经历</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有满足资质认定准则要求的管理体系</w:t>
      </w:r>
      <w:r>
        <w:rPr>
          <w:rFonts w:hint="eastAsia" w:ascii="MS UI Gothic" w:eastAsia="MS UI Gothic"/>
          <w:w w:val="80"/>
        </w:rPr>
        <w:t xml:space="preserve">ꎬ </w:t>
      </w:r>
      <w:r>
        <w:rPr>
          <w:w w:val="105"/>
        </w:rPr>
        <w:t xml:space="preserve">并已有效运行 </w:t>
      </w:r>
      <w:r>
        <w:rPr>
          <w:rFonts w:hint="eastAsia" w:ascii="MS UI Gothic" w:eastAsia="MS UI Gothic"/>
          <w:w w:val="80"/>
        </w:rPr>
        <w:t xml:space="preserve">３ </w:t>
      </w:r>
      <w:r>
        <w:rPr>
          <w:w w:val="105"/>
        </w:rPr>
        <w:t>个月以上</w:t>
      </w:r>
      <w:r>
        <w:rPr>
          <w:rFonts w:hint="eastAsia" w:ascii="MS UI Gothic" w:eastAsia="MS UI Gothic"/>
          <w:w w:val="80"/>
        </w:rPr>
        <w:t>ꎮ</w:t>
      </w:r>
    </w:p>
    <w:p>
      <w:pPr>
        <w:pStyle w:val="6"/>
        <w:spacing w:line="295" w:lineRule="auto"/>
        <w:ind w:left="440" w:right="1"/>
      </w:pPr>
      <w:r>
        <w:rPr>
          <w:rFonts w:hint="eastAsia" w:ascii="MS UI Gothic" w:eastAsia="MS UI Gothic"/>
          <w:spacing w:val="-38"/>
          <w:w w:val="150"/>
        </w:rPr>
        <w:t xml:space="preserve">( </w:t>
      </w:r>
      <w:r>
        <w:rPr>
          <w:spacing w:val="3"/>
          <w:w w:val="105"/>
        </w:rPr>
        <w:t>六</w:t>
      </w:r>
      <w:r>
        <w:rPr>
          <w:rFonts w:hint="eastAsia" w:ascii="MS UI Gothic" w:eastAsia="MS UI Gothic"/>
          <w:spacing w:val="2"/>
          <w:w w:val="150"/>
        </w:rPr>
        <w:t xml:space="preserve">) </w:t>
      </w:r>
      <w:r>
        <w:rPr>
          <w:spacing w:val="5"/>
          <w:w w:val="105"/>
        </w:rPr>
        <w:t>甲级机构要求已取得国家重点</w:t>
      </w:r>
      <w:r>
        <w:rPr>
          <w:spacing w:val="10"/>
        </w:rPr>
        <w:t>实验室或者同等级其他检测检验机构资</w:t>
      </w:r>
      <w:r>
        <w:rPr>
          <w:spacing w:val="3"/>
          <w:w w:val="105"/>
        </w:rPr>
        <w:t>质</w:t>
      </w:r>
      <w:r>
        <w:rPr>
          <w:rFonts w:hint="eastAsia" w:ascii="MS UI Gothic" w:eastAsia="MS UI Gothic"/>
          <w:spacing w:val="-3"/>
          <w:w w:val="80"/>
        </w:rPr>
        <w:t xml:space="preserve">ꎬ </w:t>
      </w:r>
      <w:r>
        <w:rPr>
          <w:spacing w:val="-5"/>
          <w:w w:val="105"/>
        </w:rPr>
        <w:t xml:space="preserve">或者已取得乙级检测检验资质 </w:t>
      </w:r>
      <w:r>
        <w:rPr>
          <w:rFonts w:hint="eastAsia" w:ascii="MS UI Gothic" w:eastAsia="MS UI Gothic"/>
          <w:spacing w:val="-12"/>
          <w:w w:val="80"/>
        </w:rPr>
        <w:t xml:space="preserve">３ </w:t>
      </w:r>
      <w:r>
        <w:rPr>
          <w:spacing w:val="3"/>
          <w:w w:val="105"/>
        </w:rPr>
        <w:t>年以</w:t>
      </w:r>
    </w:p>
    <w:p>
      <w:pPr>
        <w:pStyle w:val="6"/>
        <w:spacing w:before="124" w:line="295" w:lineRule="auto"/>
        <w:ind w:left="381" w:right="126" w:firstLine="0"/>
        <w:rPr>
          <w:rFonts w:hint="eastAsia" w:ascii="MS UI Gothic" w:eastAsia="MS UI Gothic"/>
        </w:rPr>
      </w:pPr>
      <w:r>
        <w:br w:type="column"/>
      </w:r>
      <w:r>
        <w:t>上</w:t>
      </w:r>
      <w:r>
        <w:rPr>
          <w:rFonts w:hint="eastAsia" w:ascii="MS UI Gothic" w:eastAsia="MS UI Gothic"/>
          <w:w w:val="80"/>
        </w:rPr>
        <w:t xml:space="preserve">ꎻ </w:t>
      </w:r>
      <w:r>
        <w:t>乙级机构要求以检测检验为主营业务</w:t>
      </w:r>
      <w:r>
        <w:rPr>
          <w:rFonts w:hint="eastAsia" w:ascii="MS UI Gothic" w:eastAsia="MS UI Gothic"/>
          <w:w w:val="80"/>
        </w:rPr>
        <w:t xml:space="preserve">ꎬ </w:t>
      </w:r>
      <w:r>
        <w:t xml:space="preserve">且从事与安全生产相关的检测检验工作 </w:t>
      </w:r>
      <w:r>
        <w:rPr>
          <w:rFonts w:hint="eastAsia" w:ascii="MS UI Gothic" w:eastAsia="MS UI Gothic"/>
          <w:w w:val="80"/>
        </w:rPr>
        <w:t xml:space="preserve">３ </w:t>
      </w:r>
      <w:r>
        <w:t>年以上</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40"/>
        </w:rPr>
        <w:t xml:space="preserve">( </w:t>
      </w:r>
      <w:r>
        <w:t>七</w:t>
      </w:r>
      <w:r>
        <w:rPr>
          <w:rFonts w:hint="eastAsia" w:ascii="MS UI Gothic" w:eastAsia="MS UI Gothic"/>
          <w:w w:val="140"/>
        </w:rPr>
        <w:t xml:space="preserve">) </w:t>
      </w:r>
      <w:r>
        <w:t>有正常开展业务所需的资金或者经费保障</w:t>
      </w:r>
      <w:r>
        <w:rPr>
          <w:rFonts w:hint="eastAsia" w:ascii="MS UI Gothic" w:eastAsia="MS UI Gothic"/>
          <w:w w:val="85"/>
        </w:rPr>
        <w:t xml:space="preserve">ꎬ </w:t>
      </w:r>
      <w:r>
        <w:t xml:space="preserve">注册资金甲级不低于 </w:t>
      </w:r>
      <w:r>
        <w:rPr>
          <w:rFonts w:hint="eastAsia" w:ascii="MS UI Gothic" w:eastAsia="MS UI Gothic"/>
          <w:w w:val="85"/>
        </w:rPr>
        <w:t xml:space="preserve">３００ </w:t>
      </w:r>
      <w:r>
        <w:t>万元</w:t>
      </w:r>
      <w:r>
        <w:rPr>
          <w:rFonts w:hint="eastAsia" w:ascii="MS UI Gothic" w:eastAsia="MS UI Gothic"/>
          <w:w w:val="85"/>
        </w:rPr>
        <w:t xml:space="preserve">ꎬ </w:t>
      </w:r>
      <w:r>
        <w:t xml:space="preserve">乙级不低于 </w:t>
      </w:r>
      <w:r>
        <w:rPr>
          <w:rFonts w:hint="eastAsia" w:ascii="MS UI Gothic" w:eastAsia="MS UI Gothic"/>
          <w:w w:val="85"/>
        </w:rPr>
        <w:t xml:space="preserve">１５０ </w:t>
      </w:r>
      <w:r>
        <w:t>万元</w:t>
      </w:r>
      <w:r>
        <w:rPr>
          <w:rFonts w:hint="eastAsia" w:ascii="MS UI Gothic" w:eastAsia="MS UI Gothic"/>
          <w:w w:val="85"/>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法律</w:t>
      </w:r>
      <w:r>
        <w:rPr>
          <w:rFonts w:hint="eastAsia" w:ascii="MS UI Gothic" w:eastAsia="MS UI Gothic"/>
          <w:w w:val="80"/>
        </w:rPr>
        <w:t xml:space="preserve">、 </w:t>
      </w:r>
      <w:r>
        <w:rPr>
          <w:w w:val="110"/>
        </w:rPr>
        <w:t>行政法规规定的其他条件</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w w:val="105"/>
        </w:rPr>
        <w:t>第七条 申请取得检测检验资质</w:t>
      </w:r>
      <w:r>
        <w:rPr>
          <w:rFonts w:hint="eastAsia" w:ascii="MS UI Gothic" w:eastAsia="MS UI Gothic"/>
          <w:spacing w:val="10"/>
          <w:w w:val="80"/>
        </w:rPr>
        <w:t xml:space="preserve">ꎬ </w:t>
      </w:r>
      <w:r>
        <w:rPr>
          <w:w w:val="105"/>
        </w:rPr>
        <w:t>按</w:t>
      </w:r>
      <w:r>
        <w:rPr>
          <w:spacing w:val="3"/>
          <w:w w:val="110"/>
        </w:rPr>
        <w:t>照下列程序办理</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申请甲级资质的机构向安全监</w:t>
      </w:r>
      <w:r>
        <w:rPr>
          <w:spacing w:val="3"/>
        </w:rPr>
        <w:t>管总局提交申请书及相关资料</w:t>
      </w:r>
      <w:r>
        <w:rPr>
          <w:rFonts w:hint="eastAsia" w:ascii="MS UI Gothic" w:eastAsia="MS UI Gothic"/>
          <w:spacing w:val="20"/>
          <w:w w:val="80"/>
        </w:rPr>
        <w:t xml:space="preserve">ꎻ </w:t>
      </w:r>
      <w:r>
        <w:rPr>
          <w:spacing w:val="2"/>
        </w:rPr>
        <w:t>申请乙级资质的机构向所在地省级安全生产监督管理部门或者省级煤矿安全监察机构提交申</w:t>
      </w:r>
      <w:r>
        <w:rPr>
          <w:spacing w:val="3"/>
          <w:w w:val="105"/>
        </w:rPr>
        <w:t>请书及相关资料</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资质受理机关在收到申请资料</w:t>
      </w:r>
      <w:r>
        <w:rPr>
          <w:spacing w:val="-41"/>
          <w:w w:val="105"/>
        </w:rPr>
        <w:t xml:space="preserve">后 </w:t>
      </w:r>
      <w:r>
        <w:rPr>
          <w:rFonts w:hint="eastAsia" w:ascii="MS UI Gothic" w:eastAsia="MS UI Gothic"/>
          <w:spacing w:val="-13"/>
          <w:w w:val="80"/>
        </w:rPr>
        <w:t xml:space="preserve">５ </w:t>
      </w:r>
      <w:r>
        <w:rPr>
          <w:spacing w:val="2"/>
          <w:w w:val="105"/>
        </w:rPr>
        <w:t>个工作日内完成对申请资料的符合性</w:t>
      </w:r>
      <w:r>
        <w:rPr>
          <w:spacing w:val="3"/>
        </w:rPr>
        <w:t>审查工作</w:t>
      </w:r>
      <w:r>
        <w:rPr>
          <w:rFonts w:hint="eastAsia" w:ascii="MS UI Gothic" w:eastAsia="MS UI Gothic"/>
          <w:spacing w:val="20"/>
          <w:w w:val="80"/>
        </w:rPr>
        <w:t xml:space="preserve">ꎬ </w:t>
      </w:r>
      <w:r>
        <w:rPr>
          <w:spacing w:val="2"/>
        </w:rPr>
        <w:t>并将审查结果一次性告知申请</w:t>
      </w:r>
      <w:r>
        <w:rPr>
          <w:spacing w:val="3"/>
          <w:w w:val="105"/>
        </w:rPr>
        <w:t>机构</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45"/>
        </w:rPr>
        <w:t xml:space="preserve">( </w:t>
      </w:r>
      <w:r>
        <w:rPr>
          <w:w w:val="105"/>
        </w:rPr>
        <w:t>三</w:t>
      </w:r>
      <w:r>
        <w:rPr>
          <w:rFonts w:hint="eastAsia" w:ascii="MS UI Gothic" w:eastAsia="MS UI Gothic"/>
          <w:w w:val="145"/>
        </w:rPr>
        <w:t xml:space="preserve">) </w:t>
      </w:r>
      <w:r>
        <w:rPr>
          <w:w w:val="105"/>
        </w:rPr>
        <w:t xml:space="preserve">资质受理机关自申请资料审查合格之日起 </w:t>
      </w:r>
      <w:r>
        <w:rPr>
          <w:rFonts w:hint="eastAsia" w:ascii="MS UI Gothic" w:eastAsia="MS UI Gothic"/>
          <w:w w:val="80"/>
        </w:rPr>
        <w:t xml:space="preserve">２０ </w:t>
      </w:r>
      <w:r>
        <w:rPr>
          <w:w w:val="105"/>
        </w:rPr>
        <w:t>个工作日内安排评审专家</w:t>
      </w:r>
      <w:r>
        <w:t>对申请机构进行现场评审</w:t>
      </w:r>
      <w:r>
        <w:rPr>
          <w:rFonts w:hint="eastAsia" w:ascii="MS UI Gothic" w:eastAsia="MS UI Gothic"/>
          <w:w w:val="80"/>
        </w:rPr>
        <w:t xml:space="preserve">ꎬ </w:t>
      </w:r>
      <w:r>
        <w:t>评审专家按照资质认定评审准则进行技术评审并提交资</w:t>
      </w:r>
      <w:r>
        <w:rPr>
          <w:w w:val="105"/>
        </w:rPr>
        <w:t>质评审报告</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w w:val="145"/>
        </w:rPr>
        <w:t xml:space="preserve">( </w:t>
      </w:r>
      <w:r>
        <w:t>四</w:t>
      </w:r>
      <w:r>
        <w:rPr>
          <w:rFonts w:hint="eastAsia" w:ascii="MS UI Gothic" w:eastAsia="MS UI Gothic"/>
          <w:w w:val="145"/>
        </w:rPr>
        <w:t xml:space="preserve">) </w:t>
      </w:r>
      <w:r>
        <w:t xml:space="preserve">资质受理机关在接到资质评审报告之日起 </w:t>
      </w:r>
      <w:r>
        <w:rPr>
          <w:rFonts w:hint="eastAsia" w:ascii="MS UI Gothic" w:eastAsia="MS UI Gothic"/>
          <w:w w:val="80"/>
        </w:rPr>
        <w:t xml:space="preserve">２０ </w:t>
      </w:r>
      <w:r>
        <w:t>个工作日内</w:t>
      </w:r>
      <w:r>
        <w:rPr>
          <w:rFonts w:hint="eastAsia" w:ascii="MS UI Gothic" w:eastAsia="MS UI Gothic"/>
          <w:w w:val="80"/>
        </w:rPr>
        <w:t xml:space="preserve">ꎬ </w:t>
      </w:r>
      <w:r>
        <w:t>依据资质评审报告完成对申请机构的资质认定工作</w:t>
      </w:r>
      <w:r>
        <w:rPr>
          <w:rFonts w:hint="eastAsia" w:ascii="MS UI Gothic" w:eastAsia="MS UI Gothic"/>
          <w:w w:val="80"/>
        </w:rPr>
        <w:t>ꎮ</w:t>
      </w:r>
      <w:r>
        <w:t>予以认定的</w:t>
      </w:r>
      <w:r>
        <w:rPr>
          <w:rFonts w:hint="eastAsia" w:ascii="MS UI Gothic" w:eastAsia="MS UI Gothic"/>
          <w:w w:val="80"/>
        </w:rPr>
        <w:t xml:space="preserve">ꎬ </w:t>
      </w:r>
      <w:r>
        <w:t>颁发资质证书</w:t>
      </w:r>
      <w:r>
        <w:rPr>
          <w:rFonts w:hint="eastAsia" w:ascii="MS UI Gothic" w:eastAsia="MS UI Gothic"/>
          <w:w w:val="80"/>
        </w:rPr>
        <w:t xml:space="preserve">ꎻ </w:t>
      </w:r>
      <w:r>
        <w:t>不予认定的</w:t>
      </w:r>
      <w:r>
        <w:rPr>
          <w:rFonts w:hint="eastAsia" w:ascii="MS UI Gothic" w:eastAsia="MS UI Gothic"/>
          <w:w w:val="80"/>
        </w:rPr>
        <w:t xml:space="preserve">ꎬ </w:t>
      </w:r>
      <w:r>
        <w:t>书面通知申请机构</w:t>
      </w:r>
      <w:r>
        <w:rPr>
          <w:rFonts w:hint="eastAsia" w:ascii="MS UI Gothic" w:eastAsia="MS UI Gothic"/>
          <w:w w:val="80"/>
        </w:rPr>
        <w:t xml:space="preserve">ꎬ </w:t>
      </w:r>
      <w:r>
        <w:t>并说明理由</w:t>
      </w:r>
      <w:r>
        <w:rPr>
          <w:rFonts w:hint="eastAsia" w:ascii="MS UI Gothic" w:eastAsia="MS UI Gothic"/>
          <w:w w:val="80"/>
        </w:rPr>
        <w:t xml:space="preserve">ꎮ </w:t>
      </w:r>
      <w:r>
        <w:t>资质受理机关作出资质认定决定前</w:t>
      </w:r>
      <w:r>
        <w:rPr>
          <w:rFonts w:hint="eastAsia" w:ascii="MS UI Gothic" w:eastAsia="MS UI Gothic"/>
          <w:w w:val="80"/>
        </w:rPr>
        <w:t xml:space="preserve">ꎬ </w:t>
      </w:r>
      <w:r>
        <w:t xml:space="preserve">先进行不少于 </w:t>
      </w:r>
      <w:r>
        <w:rPr>
          <w:rFonts w:hint="eastAsia" w:ascii="MS UI Gothic" w:eastAsia="MS UI Gothic"/>
          <w:w w:val="80"/>
        </w:rPr>
        <w:t xml:space="preserve">１０ </w:t>
      </w:r>
      <w:r>
        <w:t>日的公示</w:t>
      </w:r>
      <w:r>
        <w:rPr>
          <w:rFonts w:hint="eastAsia" w:ascii="MS UI Gothic" w:eastAsia="MS UI Gothic"/>
          <w:w w:val="80"/>
        </w:rPr>
        <w:t>ꎮ</w:t>
      </w:r>
    </w:p>
    <w:p>
      <w:pPr>
        <w:pStyle w:val="6"/>
        <w:spacing w:line="295" w:lineRule="auto"/>
        <w:ind w:left="381" w:right="126"/>
        <w:jc w:val="left"/>
        <w:rPr>
          <w:rFonts w:hint="eastAsia" w:ascii="MS UI Gothic" w:eastAsia="MS UI Gothic"/>
        </w:rPr>
      </w:pPr>
      <w:r>
        <w:t>检测检验资质认定评审准则由安全监</w:t>
      </w:r>
      <w:r>
        <w:rPr>
          <w:w w:val="105"/>
        </w:rPr>
        <w:t>管总局制定</w:t>
      </w:r>
      <w:r>
        <w:rPr>
          <w:rFonts w:hint="eastAsia" w:ascii="MS UI Gothic" w:eastAsia="MS UI Gothic"/>
          <w:w w:val="80"/>
        </w:rPr>
        <w:t>ꎮ</w:t>
      </w:r>
    </w:p>
    <w:p>
      <w:pPr>
        <w:pStyle w:val="6"/>
        <w:spacing w:line="295" w:lineRule="auto"/>
        <w:ind w:left="381" w:right="126"/>
        <w:rPr>
          <w:rFonts w:hint="eastAsia" w:ascii="MS UI Gothic" w:eastAsia="MS UI Gothic"/>
        </w:rPr>
      </w:pPr>
      <w:r>
        <w:t>第八条 安全监管总局建立评审专家库</w:t>
      </w:r>
      <w:r>
        <w:rPr>
          <w:rFonts w:hint="eastAsia" w:ascii="MS UI Gothic" w:eastAsia="MS UI Gothic"/>
          <w:w w:val="80"/>
        </w:rPr>
        <w:t xml:space="preserve">ꎬ </w:t>
      </w:r>
      <w:r>
        <w:t>并指定技术服务机构承担专业技术评审工作</w:t>
      </w:r>
      <w:r>
        <w:rPr>
          <w:rFonts w:hint="eastAsia" w:ascii="MS UI Gothic" w:eastAsia="MS UI Gothic"/>
          <w:w w:val="80"/>
        </w:rPr>
        <w:t>ꎮ</w:t>
      </w:r>
    </w:p>
    <w:p>
      <w:pPr>
        <w:pStyle w:val="6"/>
        <w:spacing w:line="254" w:lineRule="exact"/>
        <w:ind w:left="800" w:firstLine="0"/>
        <w:jc w:val="left"/>
        <w:rPr>
          <w:rFonts w:hint="eastAsia" w:ascii="MS UI Gothic" w:eastAsia="MS UI Gothic"/>
        </w:rPr>
      </w:pPr>
      <w:r>
        <w:t>评审专家对评审结果负责</w:t>
      </w:r>
      <w:r>
        <w:rPr>
          <w:rFonts w:hint="eastAsia" w:ascii="MS UI Gothic" w:eastAsia="MS UI Gothic"/>
          <w:w w:val="80"/>
        </w:rPr>
        <w:t>ꎮ</w:t>
      </w:r>
    </w:p>
    <w:p>
      <w:pPr>
        <w:pStyle w:val="6"/>
        <w:tabs>
          <w:tab w:val="left" w:pos="884"/>
        </w:tabs>
        <w:spacing w:before="32"/>
        <w:ind w:left="0" w:right="128" w:firstLine="0"/>
        <w:jc w:val="right"/>
        <w:rPr>
          <w:rFonts w:hint="eastAsia" w:ascii="MS UI Gothic" w:eastAsia="MS UI Gothic"/>
        </w:rPr>
      </w:pPr>
      <w:r>
        <w:rPr>
          <w:spacing w:val="3"/>
        </w:rPr>
        <w:t>第九</w:t>
      </w:r>
      <w:r>
        <w:t>条</w:t>
      </w:r>
      <w:r>
        <w:tab/>
      </w:r>
      <w:r>
        <w:rPr>
          <w:spacing w:val="25"/>
        </w:rPr>
        <w:t>检测检验资质有效期</w:t>
      </w:r>
      <w:r>
        <w:t>为</w:t>
      </w:r>
      <w:r>
        <w:rPr>
          <w:spacing w:val="-2"/>
        </w:rPr>
        <w:t xml:space="preserve"> </w:t>
      </w:r>
      <w:r>
        <w:rPr>
          <w:rFonts w:hint="eastAsia" w:ascii="MS UI Gothic" w:eastAsia="MS UI Gothic"/>
        </w:rPr>
        <w:t>３</w:t>
      </w:r>
    </w:p>
    <w:p>
      <w:pPr>
        <w:pStyle w:val="6"/>
        <w:spacing w:before="58"/>
        <w:ind w:left="0" w:right="126" w:firstLine="0"/>
        <w:jc w:val="right"/>
      </w:pPr>
      <w:r>
        <w:rPr>
          <w:spacing w:val="3"/>
        </w:rPr>
        <w:t>年</w:t>
      </w:r>
      <w:r>
        <w:rPr>
          <w:rFonts w:hint="eastAsia" w:ascii="MS UI Gothic" w:eastAsia="MS UI Gothic"/>
          <w:spacing w:val="22"/>
          <w:w w:val="80"/>
        </w:rPr>
        <w:t xml:space="preserve">ꎮ </w:t>
      </w:r>
      <w:r>
        <w:rPr>
          <w:spacing w:val="3"/>
        </w:rPr>
        <w:t>资质有效期届满需要延续的</w:t>
      </w:r>
      <w:r>
        <w:rPr>
          <w:rFonts w:hint="eastAsia" w:ascii="MS UI Gothic" w:eastAsia="MS UI Gothic"/>
          <w:spacing w:val="23"/>
          <w:w w:val="80"/>
        </w:rPr>
        <w:t xml:space="preserve">ꎬ </w:t>
      </w:r>
      <w:r>
        <w:rPr>
          <w:spacing w:val="2"/>
        </w:rPr>
        <w:t>检测检</w:t>
      </w:r>
    </w:p>
    <w:p>
      <w:pPr>
        <w:spacing w:after="0"/>
        <w:jc w:val="righ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１０２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55" o:spid="_x0000_s1355" o:spt="203" style="height:2.15pt;width:398.25pt;" coordsize="7965,43">
            <o:lock v:ext="edit"/>
            <v:line id="_x0000_s1356" o:spid="_x0000_s1356" o:spt="20" style="position:absolute;left:0;top:39;height:0;width:7965;" stroked="t" coordsize="21600,21600">
              <v:path arrowok="t"/>
              <v:fill focussize="0,0"/>
              <v:stroke weight="0.388031496062992pt" color="#231F20"/>
              <v:imagedata o:title=""/>
              <o:lock v:ext="edit"/>
            </v:line>
            <v:line id="_x0000_s1357" o:spid="_x0000_s135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spacing w:val="-7"/>
          <w:w w:val="105"/>
        </w:rPr>
        <w:t xml:space="preserve">验机构应当于资质有效期届满 </w:t>
      </w:r>
      <w:r>
        <w:rPr>
          <w:rFonts w:hint="eastAsia" w:ascii="MS UI Gothic" w:eastAsia="MS UI Gothic"/>
          <w:spacing w:val="-13"/>
          <w:w w:val="80"/>
        </w:rPr>
        <w:t xml:space="preserve">６ </w:t>
      </w:r>
      <w:r>
        <w:rPr>
          <w:spacing w:val="3"/>
          <w:w w:val="105"/>
        </w:rPr>
        <w:t>个月前提</w:t>
      </w:r>
      <w:r>
        <w:rPr>
          <w:spacing w:val="3"/>
        </w:rPr>
        <w:t>出换证申请</w:t>
      </w:r>
      <w:r>
        <w:rPr>
          <w:rFonts w:hint="eastAsia" w:ascii="MS UI Gothic" w:eastAsia="MS UI Gothic"/>
          <w:spacing w:val="21"/>
          <w:w w:val="80"/>
        </w:rPr>
        <w:t xml:space="preserve">ꎮ </w:t>
      </w:r>
      <w:r>
        <w:rPr>
          <w:spacing w:val="2"/>
        </w:rPr>
        <w:t>换证审批程序按照本规定第</w:t>
      </w:r>
      <w:r>
        <w:rPr>
          <w:spacing w:val="3"/>
        </w:rPr>
        <w:t>七条和安全监管总局的相关规定执行</w:t>
      </w:r>
      <w:r>
        <w:rPr>
          <w:rFonts w:hint="eastAsia" w:ascii="MS UI Gothic" w:eastAsia="MS UI Gothic"/>
          <w:spacing w:val="21"/>
          <w:w w:val="80"/>
        </w:rPr>
        <w:t xml:space="preserve">ꎮ </w:t>
      </w:r>
      <w:r>
        <w:t>换</w:t>
      </w:r>
      <w:r>
        <w:rPr>
          <w:spacing w:val="3"/>
        </w:rPr>
        <w:t>证工作应当在机构资质有效期满前完成</w:t>
      </w:r>
      <w:r>
        <w:rPr>
          <w:rFonts w:hint="eastAsia" w:ascii="MS UI Gothic" w:eastAsia="MS UI Gothic"/>
          <w:w w:val="80"/>
        </w:rPr>
        <w:t>ꎮ</w:t>
      </w:r>
    </w:p>
    <w:p>
      <w:pPr>
        <w:pStyle w:val="6"/>
        <w:spacing w:line="295" w:lineRule="auto"/>
        <w:ind w:right="39"/>
        <w:rPr>
          <w:rFonts w:hint="eastAsia" w:ascii="MS UI Gothic" w:eastAsia="MS UI Gothic"/>
        </w:rPr>
      </w:pPr>
      <w:r>
        <w:t>在资质有效期内</w:t>
      </w:r>
      <w:r>
        <w:rPr>
          <w:rFonts w:hint="eastAsia" w:ascii="MS UI Gothic" w:eastAsia="MS UI Gothic"/>
          <w:w w:val="80"/>
        </w:rPr>
        <w:t xml:space="preserve">ꎬ </w:t>
      </w:r>
      <w:r>
        <w:t>需要增加检测检验项目的</w:t>
      </w:r>
      <w:r>
        <w:rPr>
          <w:rFonts w:hint="eastAsia" w:ascii="MS UI Gothic" w:eastAsia="MS UI Gothic"/>
          <w:w w:val="80"/>
        </w:rPr>
        <w:t xml:space="preserve">ꎬ </w:t>
      </w:r>
      <w:r>
        <w:t>检测检验机构应当提出增项申请</w:t>
      </w:r>
      <w:r>
        <w:rPr>
          <w:rFonts w:hint="eastAsia" w:ascii="MS UI Gothic" w:eastAsia="MS UI Gothic"/>
          <w:w w:val="80"/>
        </w:rPr>
        <w:t xml:space="preserve">ꎮ </w:t>
      </w:r>
      <w:r>
        <w:t>增项审批程序按照本规定第七条和安全监管总局的相关规定执行</w:t>
      </w:r>
      <w:r>
        <w:rPr>
          <w:rFonts w:hint="eastAsia" w:ascii="MS UI Gothic" w:eastAsia="MS UI Gothic"/>
          <w:w w:val="80"/>
        </w:rPr>
        <w:t xml:space="preserve">ꎮ </w:t>
      </w:r>
      <w:r>
        <w:t>增项评审可与定期监督评审合并进行</w:t>
      </w:r>
      <w:r>
        <w:rPr>
          <w:rFonts w:hint="eastAsia" w:ascii="MS UI Gothic" w:eastAsia="MS UI Gothic"/>
          <w:w w:val="80"/>
        </w:rPr>
        <w:t>ꎮ</w:t>
      </w:r>
    </w:p>
    <w:p>
      <w:pPr>
        <w:pStyle w:val="6"/>
        <w:spacing w:line="295" w:lineRule="auto"/>
        <w:ind w:right="39"/>
        <w:rPr>
          <w:rFonts w:hint="eastAsia" w:ascii="MS UI Gothic" w:eastAsia="MS UI Gothic"/>
        </w:rPr>
      </w:pPr>
      <w:r>
        <w:t>在资质有效期内</w:t>
      </w:r>
      <w:r>
        <w:rPr>
          <w:rFonts w:hint="eastAsia" w:ascii="MS UI Gothic" w:eastAsia="MS UI Gothic"/>
          <w:w w:val="80"/>
        </w:rPr>
        <w:t xml:space="preserve">ꎬ </w:t>
      </w:r>
      <w:r>
        <w:t>依据标准</w:t>
      </w:r>
      <w:r>
        <w:rPr>
          <w:rFonts w:hint="eastAsia" w:ascii="MS UI Gothic" w:eastAsia="MS UI Gothic"/>
          <w:w w:val="80"/>
        </w:rPr>
        <w:t xml:space="preserve">、 </w:t>
      </w:r>
      <w:r>
        <w:t>主要负责人</w:t>
      </w:r>
      <w:r>
        <w:rPr>
          <w:rFonts w:hint="eastAsia" w:ascii="MS UI Gothic" w:eastAsia="MS UI Gothic"/>
          <w:w w:val="80"/>
        </w:rPr>
        <w:t xml:space="preserve">、 </w:t>
      </w:r>
      <w:r>
        <w:t>授权签字人及授权签字事项</w:t>
      </w:r>
      <w:r>
        <w:rPr>
          <w:rFonts w:hint="eastAsia" w:ascii="MS UI Gothic" w:eastAsia="MS UI Gothic"/>
          <w:w w:val="80"/>
        </w:rPr>
        <w:t xml:space="preserve">、 </w:t>
      </w:r>
      <w:r>
        <w:t>机构名称</w:t>
      </w:r>
      <w:r>
        <w:rPr>
          <w:rFonts w:hint="eastAsia" w:ascii="MS UI Gothic" w:eastAsia="MS UI Gothic"/>
          <w:w w:val="80"/>
        </w:rPr>
        <w:t xml:space="preserve">、 </w:t>
      </w:r>
      <w:r>
        <w:t>地址</w:t>
      </w:r>
      <w:r>
        <w:rPr>
          <w:rFonts w:hint="eastAsia" w:ascii="MS UI Gothic" w:eastAsia="MS UI Gothic"/>
          <w:w w:val="80"/>
        </w:rPr>
        <w:t xml:space="preserve">、 </w:t>
      </w:r>
      <w:r>
        <w:t>法定代表人</w:t>
      </w:r>
      <w:r>
        <w:rPr>
          <w:rFonts w:hint="eastAsia" w:ascii="MS UI Gothic" w:eastAsia="MS UI Gothic"/>
          <w:w w:val="80"/>
        </w:rPr>
        <w:t xml:space="preserve">、 </w:t>
      </w:r>
      <w:r>
        <w:t>隶属关系等有关情况发生变更以及减少检测检验项目的</w:t>
      </w:r>
      <w:r>
        <w:rPr>
          <w:rFonts w:hint="eastAsia" w:ascii="MS UI Gothic" w:eastAsia="MS UI Gothic"/>
          <w:w w:val="80"/>
        </w:rPr>
        <w:t xml:space="preserve">ꎬ </w:t>
      </w:r>
      <w:r>
        <w:t>检测检验机构应当在变更后及时报资质证书颁发机关办理变更确认或者备案手续</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第十条 资质证书颁发机关向社会公</w:t>
      </w:r>
      <w:r>
        <w:t>告取得资质的检测检验机构及其检测检验业务范围</w:t>
      </w:r>
      <w:r>
        <w:rPr>
          <w:rFonts w:hint="eastAsia" w:ascii="MS UI Gothic" w:eastAsia="MS UI Gothic"/>
          <w:w w:val="80"/>
        </w:rPr>
        <w:t xml:space="preserve">、 </w:t>
      </w:r>
      <w:r>
        <w:t>授权签字人及授权签字事项</w:t>
      </w:r>
      <w:r>
        <w:rPr>
          <w:rFonts w:hint="eastAsia" w:ascii="MS UI Gothic" w:eastAsia="MS UI Gothic"/>
          <w:w w:val="80"/>
        </w:rPr>
        <w:t>ꎮ</w:t>
      </w:r>
      <w:r>
        <w:t>乙级机构的批准文件应当抄报安全监管总</w:t>
      </w:r>
      <w:r>
        <w:rPr>
          <w:w w:val="105"/>
        </w:rPr>
        <w:t>局备案</w:t>
      </w:r>
      <w:r>
        <w:rPr>
          <w:rFonts w:hint="eastAsia" w:ascii="MS UI Gothic" w:eastAsia="MS UI Gothic"/>
          <w:w w:val="80"/>
        </w:rPr>
        <w:t>ꎮ</w:t>
      </w:r>
    </w:p>
    <w:p>
      <w:pPr>
        <w:pStyle w:val="6"/>
        <w:spacing w:line="295" w:lineRule="auto"/>
        <w:ind w:right="39"/>
        <w:rPr>
          <w:rFonts w:hint="eastAsia" w:ascii="MS UI Gothic" w:eastAsia="MS UI Gothic"/>
        </w:rPr>
      </w:pPr>
      <w:r>
        <w:t>检测检验资质证书由安全监管总局制作</w:t>
      </w:r>
      <w:r>
        <w:rPr>
          <w:rFonts w:hint="eastAsia" w:ascii="MS UI Gothic" w:eastAsia="MS UI Gothic"/>
          <w:w w:val="80"/>
        </w:rPr>
        <w:t xml:space="preserve">ꎬ </w:t>
      </w:r>
      <w:r>
        <w:t>资质证书由证书及附件组成</w:t>
      </w:r>
      <w:r>
        <w:rPr>
          <w:rFonts w:hint="eastAsia" w:ascii="MS UI Gothic" w:eastAsia="MS UI Gothic"/>
          <w:w w:val="80"/>
        </w:rPr>
        <w:t>ꎮ</w:t>
      </w:r>
    </w:p>
    <w:p>
      <w:pPr>
        <w:pStyle w:val="6"/>
        <w:tabs>
          <w:tab w:val="left" w:pos="1906"/>
        </w:tabs>
        <w:spacing w:before="139"/>
        <w:ind w:left="1067" w:firstLine="0"/>
        <w:jc w:val="left"/>
      </w:pPr>
      <w:r>
        <w:rPr>
          <w:spacing w:val="3"/>
          <w:w w:val="105"/>
        </w:rPr>
        <w:t>第三</w:t>
      </w:r>
      <w:r>
        <w:rPr>
          <w:w w:val="105"/>
        </w:rPr>
        <w:t>章</w:t>
      </w:r>
      <w:r>
        <w:rPr>
          <w:w w:val="105"/>
        </w:rPr>
        <w:tab/>
      </w:r>
      <w:r>
        <w:rPr>
          <w:w w:val="105"/>
        </w:rPr>
        <w:t>检</w:t>
      </w:r>
      <w:r>
        <w:rPr>
          <w:spacing w:val="-34"/>
          <w:w w:val="105"/>
        </w:rPr>
        <w:t xml:space="preserve"> </w:t>
      </w:r>
      <w:r>
        <w:rPr>
          <w:w w:val="105"/>
        </w:rPr>
        <w:t>测</w:t>
      </w:r>
      <w:r>
        <w:rPr>
          <w:spacing w:val="-33"/>
          <w:w w:val="105"/>
        </w:rPr>
        <w:t xml:space="preserve"> </w:t>
      </w:r>
      <w:r>
        <w:rPr>
          <w:w w:val="105"/>
        </w:rPr>
        <w:t>检</w:t>
      </w:r>
      <w:r>
        <w:rPr>
          <w:spacing w:val="-33"/>
          <w:w w:val="105"/>
        </w:rPr>
        <w:t xml:space="preserve"> </w:t>
      </w:r>
      <w:r>
        <w:rPr>
          <w:w w:val="105"/>
        </w:rPr>
        <w:t>验</w:t>
      </w:r>
    </w:p>
    <w:p>
      <w:pPr>
        <w:pStyle w:val="6"/>
        <w:spacing w:before="215" w:line="295" w:lineRule="auto"/>
        <w:ind w:right="39"/>
        <w:rPr>
          <w:rFonts w:hint="eastAsia" w:ascii="MS UI Gothic" w:eastAsia="MS UI Gothic"/>
        </w:rPr>
      </w:pPr>
      <w:r>
        <w:rPr>
          <w:spacing w:val="4"/>
        </w:rPr>
        <w:t>第十一条 检测检验机构应当依照法</w:t>
      </w:r>
      <w:r>
        <w:rPr>
          <w:spacing w:val="3"/>
        </w:rPr>
        <w:t>律</w:t>
      </w:r>
      <w:r>
        <w:rPr>
          <w:rFonts w:hint="eastAsia" w:ascii="MS UI Gothic" w:eastAsia="MS UI Gothic"/>
          <w:spacing w:val="21"/>
        </w:rPr>
        <w:t xml:space="preserve">、 </w:t>
      </w:r>
      <w:r>
        <w:rPr>
          <w:spacing w:val="3"/>
        </w:rPr>
        <w:t>行政法规</w:t>
      </w:r>
      <w:r>
        <w:rPr>
          <w:rFonts w:hint="eastAsia" w:ascii="MS UI Gothic" w:eastAsia="MS UI Gothic"/>
          <w:spacing w:val="22"/>
        </w:rPr>
        <w:t xml:space="preserve">、 </w:t>
      </w:r>
      <w:r>
        <w:rPr>
          <w:spacing w:val="3"/>
        </w:rPr>
        <w:t>规章</w:t>
      </w:r>
      <w:r>
        <w:rPr>
          <w:rFonts w:hint="eastAsia" w:ascii="MS UI Gothic" w:eastAsia="MS UI Gothic"/>
          <w:spacing w:val="21"/>
        </w:rPr>
        <w:t xml:space="preserve">、 </w:t>
      </w:r>
      <w:r>
        <w:rPr>
          <w:spacing w:val="2"/>
        </w:rPr>
        <w:t>执业准则和相关技</w:t>
      </w:r>
      <w:r>
        <w:rPr>
          <w:spacing w:val="3"/>
        </w:rPr>
        <w:t>术规范</w:t>
      </w:r>
      <w:r>
        <w:rPr>
          <w:rFonts w:hint="eastAsia" w:ascii="MS UI Gothic" w:eastAsia="MS UI Gothic"/>
          <w:spacing w:val="14"/>
        </w:rPr>
        <w:t xml:space="preserve">、 </w:t>
      </w:r>
      <w:r>
        <w:rPr>
          <w:spacing w:val="3"/>
        </w:rPr>
        <w:t>标准</w:t>
      </w:r>
      <w:r>
        <w:rPr>
          <w:rFonts w:hint="eastAsia" w:ascii="MS UI Gothic" w:eastAsia="MS UI Gothic"/>
          <w:spacing w:val="21"/>
          <w:w w:val="80"/>
        </w:rPr>
        <w:t xml:space="preserve">ꎬ </w:t>
      </w:r>
      <w:r>
        <w:rPr>
          <w:spacing w:val="3"/>
        </w:rPr>
        <w:t>科学</w:t>
      </w:r>
      <w:r>
        <w:rPr>
          <w:rFonts w:hint="eastAsia" w:ascii="MS UI Gothic" w:eastAsia="MS UI Gothic"/>
          <w:spacing w:val="14"/>
        </w:rPr>
        <w:t xml:space="preserve">、 </w:t>
      </w:r>
      <w:r>
        <w:rPr>
          <w:spacing w:val="3"/>
        </w:rPr>
        <w:t>公正</w:t>
      </w:r>
      <w:r>
        <w:rPr>
          <w:rFonts w:hint="eastAsia" w:ascii="MS UI Gothic" w:eastAsia="MS UI Gothic"/>
          <w:spacing w:val="14"/>
        </w:rPr>
        <w:t xml:space="preserve">、 </w:t>
      </w:r>
      <w:r>
        <w:rPr>
          <w:spacing w:val="2"/>
        </w:rPr>
        <w:t>诚信地开展</w:t>
      </w:r>
      <w:r>
        <w:rPr>
          <w:spacing w:val="3"/>
        </w:rPr>
        <w:t>检测检验工作</w:t>
      </w:r>
      <w:r>
        <w:rPr>
          <w:rFonts w:hint="eastAsia" w:ascii="MS UI Gothic" w:eastAsia="MS UI Gothic"/>
          <w:spacing w:val="23"/>
          <w:w w:val="80"/>
        </w:rPr>
        <w:t xml:space="preserve">ꎬ </w:t>
      </w:r>
      <w:r>
        <w:rPr>
          <w:spacing w:val="3"/>
        </w:rPr>
        <w:t>提供及时</w:t>
      </w:r>
      <w:r>
        <w:rPr>
          <w:rFonts w:hint="eastAsia" w:ascii="MS UI Gothic" w:eastAsia="MS UI Gothic"/>
          <w:spacing w:val="17"/>
        </w:rPr>
        <w:t xml:space="preserve">、 </w:t>
      </w:r>
      <w:r>
        <w:rPr>
          <w:spacing w:val="3"/>
        </w:rPr>
        <w:t>优质</w:t>
      </w:r>
      <w:r>
        <w:rPr>
          <w:rFonts w:hint="eastAsia" w:ascii="MS UI Gothic" w:eastAsia="MS UI Gothic"/>
          <w:spacing w:val="17"/>
        </w:rPr>
        <w:t xml:space="preserve">、 </w:t>
      </w:r>
      <w:r>
        <w:rPr>
          <w:spacing w:val="2"/>
        </w:rPr>
        <w:t>安全的</w:t>
      </w:r>
      <w:r>
        <w:rPr>
          <w:spacing w:val="3"/>
        </w:rPr>
        <w:t>服务</w:t>
      </w:r>
      <w:r>
        <w:rPr>
          <w:rFonts w:hint="eastAsia" w:ascii="MS UI Gothic" w:eastAsia="MS UI Gothic"/>
          <w:spacing w:val="23"/>
          <w:w w:val="80"/>
        </w:rPr>
        <w:t xml:space="preserve">ꎬ </w:t>
      </w:r>
      <w:r>
        <w:rPr>
          <w:spacing w:val="3"/>
        </w:rPr>
        <w:t>保证检测检验结果真实</w:t>
      </w:r>
      <w:r>
        <w:rPr>
          <w:rFonts w:hint="eastAsia" w:ascii="MS UI Gothic" w:eastAsia="MS UI Gothic"/>
          <w:spacing w:val="17"/>
        </w:rPr>
        <w:t xml:space="preserve">、 </w:t>
      </w:r>
      <w:r>
        <w:rPr>
          <w:spacing w:val="3"/>
        </w:rPr>
        <w:t>准确</w:t>
      </w:r>
      <w:r>
        <w:rPr>
          <w:rFonts w:hint="eastAsia" w:ascii="MS UI Gothic" w:eastAsia="MS UI Gothic"/>
          <w:spacing w:val="17"/>
        </w:rPr>
        <w:t xml:space="preserve">、 </w:t>
      </w:r>
      <w:r>
        <w:t>客</w:t>
      </w:r>
      <w:r>
        <w:rPr>
          <w:spacing w:val="3"/>
        </w:rPr>
        <w:t>观</w:t>
      </w:r>
      <w:r>
        <w:rPr>
          <w:rFonts w:hint="eastAsia" w:ascii="MS UI Gothic" w:eastAsia="MS UI Gothic"/>
          <w:spacing w:val="2"/>
          <w:w w:val="80"/>
        </w:rPr>
        <w:t xml:space="preserve">ꎬ </w:t>
      </w:r>
      <w:r>
        <w:rPr>
          <w:spacing w:val="3"/>
        </w:rPr>
        <w:t>并对检测检验结果负责</w:t>
      </w:r>
      <w:r>
        <w:rPr>
          <w:rFonts w:hint="eastAsia" w:ascii="MS UI Gothic" w:eastAsia="MS UI Gothic"/>
          <w:w w:val="80"/>
        </w:rPr>
        <w:t>ꎮ</w:t>
      </w:r>
    </w:p>
    <w:p>
      <w:pPr>
        <w:pStyle w:val="6"/>
        <w:spacing w:line="295" w:lineRule="auto"/>
        <w:ind w:right="38"/>
        <w:rPr>
          <w:rFonts w:hint="eastAsia" w:ascii="MS UI Gothic" w:eastAsia="MS UI Gothic"/>
        </w:rPr>
      </w:pPr>
      <w:r>
        <w:rPr>
          <w:spacing w:val="14"/>
        </w:rPr>
        <w:t>检测检验人员应当熟悉安全生产法</w:t>
      </w:r>
      <w:r>
        <w:rPr>
          <w:spacing w:val="3"/>
        </w:rPr>
        <w:t>律</w:t>
      </w:r>
      <w:r>
        <w:rPr>
          <w:rFonts w:hint="eastAsia" w:ascii="MS UI Gothic" w:eastAsia="MS UI Gothic"/>
          <w:spacing w:val="5"/>
          <w:w w:val="80"/>
        </w:rPr>
        <w:t xml:space="preserve">、 </w:t>
      </w:r>
      <w:r>
        <w:rPr>
          <w:spacing w:val="3"/>
        </w:rPr>
        <w:t>法规</w:t>
      </w:r>
      <w:r>
        <w:rPr>
          <w:rFonts w:hint="eastAsia" w:ascii="MS UI Gothic" w:eastAsia="MS UI Gothic"/>
          <w:spacing w:val="5"/>
          <w:w w:val="80"/>
        </w:rPr>
        <w:t xml:space="preserve">、 </w:t>
      </w:r>
      <w:r>
        <w:rPr>
          <w:spacing w:val="3"/>
        </w:rPr>
        <w:t>规章</w:t>
      </w:r>
      <w:r>
        <w:rPr>
          <w:rFonts w:hint="eastAsia" w:ascii="MS UI Gothic" w:eastAsia="MS UI Gothic"/>
          <w:spacing w:val="6"/>
          <w:w w:val="80"/>
        </w:rPr>
        <w:t xml:space="preserve">、 </w:t>
      </w:r>
      <w:r>
        <w:rPr>
          <w:spacing w:val="3"/>
        </w:rPr>
        <w:t>标准和有关规定</w:t>
      </w:r>
      <w:r>
        <w:rPr>
          <w:rFonts w:hint="eastAsia" w:ascii="MS UI Gothic" w:eastAsia="MS UI Gothic"/>
          <w:spacing w:val="3"/>
          <w:w w:val="80"/>
        </w:rPr>
        <w:t xml:space="preserve">ꎬ  </w:t>
      </w:r>
      <w:r>
        <w:rPr>
          <w:spacing w:val="1"/>
        </w:rPr>
        <w:t>具备</w:t>
      </w:r>
      <w:r>
        <w:rPr>
          <w:spacing w:val="4"/>
        </w:rPr>
        <w:t>检测检验工作所需要的专业知识和能力</w:t>
      </w:r>
      <w:r>
        <w:rPr>
          <w:rFonts w:hint="eastAsia" w:ascii="MS UI Gothic" w:eastAsia="MS UI Gothic"/>
          <w:w w:val="80"/>
        </w:rPr>
        <w:t>ꎬ</w:t>
      </w:r>
      <w:r>
        <w:rPr>
          <w:spacing w:val="3"/>
        </w:rPr>
        <w:t>经过专业培训和考核</w:t>
      </w:r>
      <w:r>
        <w:rPr>
          <w:rFonts w:hint="eastAsia" w:ascii="MS UI Gothic" w:eastAsia="MS UI Gothic"/>
          <w:spacing w:val="21"/>
          <w:w w:val="80"/>
        </w:rPr>
        <w:t xml:space="preserve">ꎬ </w:t>
      </w:r>
      <w:r>
        <w:rPr>
          <w:spacing w:val="2"/>
        </w:rPr>
        <w:t>并应当只在一个检</w:t>
      </w:r>
      <w:r>
        <w:rPr>
          <w:spacing w:val="3"/>
        </w:rPr>
        <w:t>测检验机构中从事检测检验工作</w:t>
      </w:r>
      <w:r>
        <w:rPr>
          <w:rFonts w:hint="eastAsia" w:ascii="MS UI Gothic" w:eastAsia="MS UI Gothic"/>
          <w:spacing w:val="21"/>
          <w:w w:val="80"/>
        </w:rPr>
        <w:t xml:space="preserve">ꎮ </w:t>
      </w:r>
      <w:r>
        <w:rPr>
          <w:spacing w:val="1"/>
        </w:rPr>
        <w:t>检测检</w:t>
      </w:r>
      <w:r>
        <w:rPr>
          <w:spacing w:val="3"/>
        </w:rPr>
        <w:t>验人员未经培训或者考核不合格的</w:t>
      </w:r>
      <w:r>
        <w:rPr>
          <w:rFonts w:hint="eastAsia" w:ascii="MS UI Gothic" w:eastAsia="MS UI Gothic"/>
          <w:spacing w:val="21"/>
          <w:w w:val="80"/>
        </w:rPr>
        <w:t xml:space="preserve">ꎬ </w:t>
      </w:r>
      <w:r>
        <w:rPr>
          <w:spacing w:val="1"/>
        </w:rPr>
        <w:t>不得</w:t>
      </w:r>
      <w:r>
        <w:rPr>
          <w:spacing w:val="3"/>
        </w:rPr>
        <w:t>从事安全生产检测检验工作</w:t>
      </w:r>
      <w:r>
        <w:rPr>
          <w:rFonts w:hint="eastAsia" w:ascii="MS UI Gothic" w:eastAsia="MS UI Gothic"/>
          <w:w w:val="80"/>
        </w:rPr>
        <w:t>ꎮ</w:t>
      </w:r>
    </w:p>
    <w:p>
      <w:pPr>
        <w:pStyle w:val="6"/>
        <w:tabs>
          <w:tab w:val="left" w:pos="1591"/>
        </w:tabs>
        <w:spacing w:line="251" w:lineRule="exact"/>
        <w:ind w:left="543" w:firstLine="0"/>
        <w:jc w:val="left"/>
      </w:pPr>
      <w:r>
        <w:rPr>
          <w:spacing w:val="3"/>
          <w:w w:val="105"/>
        </w:rPr>
        <w:t>第十二</w:t>
      </w:r>
      <w:r>
        <w:rPr>
          <w:w w:val="105"/>
        </w:rPr>
        <w:t>条</w:t>
      </w:r>
      <w:r>
        <w:rPr>
          <w:w w:val="105"/>
        </w:rPr>
        <w:tab/>
      </w:r>
      <w:r>
        <w:rPr>
          <w:spacing w:val="3"/>
        </w:rPr>
        <w:t>检测检验机构及其检测</w:t>
      </w:r>
      <w:r>
        <w:t>检</w:t>
      </w:r>
    </w:p>
    <w:p>
      <w:pPr>
        <w:pStyle w:val="6"/>
        <w:spacing w:before="123" w:line="295" w:lineRule="auto"/>
        <w:ind w:right="442" w:firstLine="0"/>
        <w:rPr>
          <w:rFonts w:hint="eastAsia" w:ascii="MS UI Gothic" w:eastAsia="MS UI Gothic"/>
        </w:rPr>
      </w:pPr>
      <w:r>
        <w:br w:type="column"/>
      </w:r>
      <w:r>
        <w:t>验人员在从事检测检验活动时</w:t>
      </w:r>
      <w:r>
        <w:rPr>
          <w:rFonts w:hint="eastAsia" w:ascii="MS UI Gothic" w:eastAsia="MS UI Gothic"/>
          <w:w w:val="80"/>
        </w:rPr>
        <w:t xml:space="preserve">ꎬ </w:t>
      </w:r>
      <w:r>
        <w:t>应当恪守职业道德</w:t>
      </w:r>
      <w:r>
        <w:rPr>
          <w:rFonts w:hint="eastAsia" w:ascii="MS UI Gothic" w:eastAsia="MS UI Gothic"/>
          <w:w w:val="80"/>
        </w:rPr>
        <w:t xml:space="preserve">ꎬ </w:t>
      </w:r>
      <w:r>
        <w:t>诚实守信</w:t>
      </w:r>
      <w:r>
        <w:rPr>
          <w:rFonts w:hint="eastAsia" w:ascii="MS UI Gothic" w:eastAsia="MS UI Gothic"/>
          <w:w w:val="80"/>
        </w:rPr>
        <w:t xml:space="preserve">ꎬ </w:t>
      </w:r>
      <w:r>
        <w:t>不得泄露被检测检验单位的技术</w:t>
      </w:r>
      <w:r>
        <w:rPr>
          <w:rFonts w:hint="eastAsia" w:ascii="MS UI Gothic" w:eastAsia="MS UI Gothic"/>
          <w:w w:val="80"/>
        </w:rPr>
        <w:t xml:space="preserve">、 </w:t>
      </w:r>
      <w:r>
        <w:t>商业秘密</w:t>
      </w:r>
      <w:r>
        <w:rPr>
          <w:rFonts w:hint="eastAsia" w:ascii="MS UI Gothic" w:eastAsia="MS UI Gothic"/>
          <w:w w:val="80"/>
        </w:rPr>
        <w:t xml:space="preserve">ꎬ </w:t>
      </w:r>
      <w:r>
        <w:t>不得接受可能影响检测检验公正性的资助</w:t>
      </w:r>
      <w:r>
        <w:rPr>
          <w:rFonts w:hint="eastAsia" w:ascii="MS UI Gothic" w:eastAsia="MS UI Gothic"/>
          <w:w w:val="80"/>
        </w:rPr>
        <w:t xml:space="preserve">ꎬ </w:t>
      </w:r>
      <w:r>
        <w:t>不得从事与检测检验业务范围相关的产品开发</w:t>
      </w:r>
      <w:r>
        <w:rPr>
          <w:rFonts w:hint="eastAsia" w:ascii="MS UI Gothic" w:eastAsia="MS UI Gothic"/>
          <w:w w:val="80"/>
        </w:rPr>
        <w:t xml:space="preserve">、 </w:t>
      </w:r>
      <w:r>
        <w:t>营销等活动</w:t>
      </w:r>
      <w:r>
        <w:rPr>
          <w:rFonts w:hint="eastAsia" w:ascii="MS UI Gothic" w:eastAsia="MS UI Gothic"/>
          <w:w w:val="80"/>
        </w:rPr>
        <w:t xml:space="preserve">ꎬ </w:t>
      </w:r>
      <w:r>
        <w:t>不得利用检测检验机构的名义参与企业的商业性活动</w:t>
      </w:r>
      <w:r>
        <w:rPr>
          <w:rFonts w:hint="eastAsia" w:ascii="MS UI Gothic" w:eastAsia="MS UI Gothic"/>
          <w:w w:val="80"/>
        </w:rPr>
        <w:t>ꎮ</w:t>
      </w:r>
    </w:p>
    <w:p>
      <w:pPr>
        <w:pStyle w:val="6"/>
        <w:spacing w:line="295" w:lineRule="auto"/>
        <w:ind w:right="442"/>
        <w:rPr>
          <w:rFonts w:hint="eastAsia" w:ascii="MS UI Gothic" w:eastAsia="MS UI Gothic"/>
        </w:rPr>
      </w:pPr>
      <w:r>
        <w:t>检测检验收费应当符合法律</w:t>
      </w:r>
      <w:r>
        <w:rPr>
          <w:rFonts w:hint="eastAsia" w:ascii="MS UI Gothic" w:eastAsia="MS UI Gothic"/>
          <w:w w:val="80"/>
        </w:rPr>
        <w:t xml:space="preserve">、 </w:t>
      </w:r>
      <w:r>
        <w:t>行政法规的规定</w:t>
      </w:r>
      <w:r>
        <w:rPr>
          <w:rFonts w:hint="eastAsia" w:ascii="MS UI Gothic" w:eastAsia="MS UI Gothic"/>
          <w:w w:val="80"/>
        </w:rPr>
        <w:t>ꎮ</w:t>
      </w:r>
    </w:p>
    <w:p>
      <w:pPr>
        <w:pStyle w:val="6"/>
        <w:spacing w:line="295" w:lineRule="auto"/>
        <w:ind w:right="442"/>
        <w:rPr>
          <w:rFonts w:hint="eastAsia" w:ascii="MS UI Gothic" w:eastAsia="MS UI Gothic"/>
        </w:rPr>
      </w:pPr>
      <w:r>
        <w:t>第十三条 检测检验机构不得转让或者出借资质证书</w:t>
      </w:r>
      <w:r>
        <w:rPr>
          <w:rFonts w:hint="eastAsia" w:ascii="MS UI Gothic" w:eastAsia="MS UI Gothic"/>
          <w:w w:val="80"/>
        </w:rPr>
        <w:t xml:space="preserve">ꎬ </w:t>
      </w:r>
      <w:r>
        <w:t>不得将所承担的检测检验工作转包给其他检测检验机构</w:t>
      </w:r>
      <w:r>
        <w:rPr>
          <w:rFonts w:hint="eastAsia" w:ascii="MS UI Gothic" w:eastAsia="MS UI Gothic"/>
          <w:w w:val="80"/>
        </w:rPr>
        <w:t xml:space="preserve">ꎬ </w:t>
      </w:r>
      <w:r>
        <w:t>不得设立分支机构</w:t>
      </w:r>
      <w:r>
        <w:rPr>
          <w:rFonts w:hint="eastAsia" w:ascii="MS UI Gothic" w:eastAsia="MS UI Gothic"/>
          <w:w w:val="80"/>
        </w:rPr>
        <w:t>ꎮ</w:t>
      </w:r>
    </w:p>
    <w:p>
      <w:pPr>
        <w:pStyle w:val="6"/>
        <w:spacing w:line="295" w:lineRule="auto"/>
        <w:ind w:right="442"/>
        <w:rPr>
          <w:rFonts w:hint="eastAsia" w:ascii="MS UI Gothic" w:eastAsia="MS UI Gothic"/>
        </w:rPr>
      </w:pPr>
      <w:r>
        <w:t>检测检验机构需要分包个别检测检验项目时</w:t>
      </w:r>
      <w:r>
        <w:rPr>
          <w:rFonts w:hint="eastAsia" w:ascii="MS UI Gothic" w:eastAsia="MS UI Gothic"/>
          <w:w w:val="80"/>
        </w:rPr>
        <w:t xml:space="preserve">ꎬ </w:t>
      </w:r>
      <w:r>
        <w:t>必须选择有资质的检测机构</w:t>
      </w:r>
      <w:r>
        <w:rPr>
          <w:rFonts w:hint="eastAsia" w:ascii="MS UI Gothic" w:eastAsia="MS UI Gothic"/>
          <w:w w:val="80"/>
        </w:rPr>
        <w:t xml:space="preserve">ꎬ </w:t>
      </w:r>
      <w:r>
        <w:t>并对检测检验的最终结果负责</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第十四条 检测检验机构及其检测检</w:t>
      </w:r>
      <w:r>
        <w:t>验人员应当接受安全生产监督管理部门或</w:t>
      </w:r>
      <w:r>
        <w:rPr>
          <w:w w:val="105"/>
        </w:rPr>
        <w:t>者煤矿安全监察机构的监督检查</w:t>
      </w:r>
      <w:r>
        <w:rPr>
          <w:rFonts w:hint="eastAsia" w:ascii="MS UI Gothic" w:eastAsia="MS UI Gothic"/>
          <w:w w:val="80"/>
        </w:rPr>
        <w:t>ꎮ</w:t>
      </w:r>
    </w:p>
    <w:p>
      <w:pPr>
        <w:pStyle w:val="6"/>
        <w:spacing w:line="295" w:lineRule="auto"/>
        <w:ind w:right="440"/>
        <w:rPr>
          <w:rFonts w:hint="eastAsia" w:ascii="MS UI Gothic" w:eastAsia="MS UI Gothic"/>
        </w:rPr>
      </w:pPr>
      <w:r>
        <w:t>检测检验机构在工商注册地外的其他</w:t>
      </w:r>
      <w:r>
        <w:rPr>
          <w:w w:val="105"/>
        </w:rPr>
        <w:t>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直辖市从事检测检验活动</w:t>
      </w:r>
      <w:r>
        <w:rPr>
          <w:rFonts w:hint="eastAsia" w:ascii="MS UI Gothic" w:eastAsia="MS UI Gothic"/>
          <w:w w:val="80"/>
        </w:rPr>
        <w:t>ꎬ</w:t>
      </w:r>
      <w:r>
        <w:t>当地安全生产监督管理部门或者煤矿安全</w:t>
      </w:r>
      <w:r>
        <w:rPr>
          <w:w w:val="105"/>
        </w:rPr>
        <w:t>监察机构有权对其活动进行监督管理</w:t>
      </w:r>
      <w:r>
        <w:rPr>
          <w:rFonts w:hint="eastAsia" w:ascii="MS UI Gothic" w:eastAsia="MS UI Gothic"/>
          <w:w w:val="80"/>
        </w:rPr>
        <w:t>ꎮ</w:t>
      </w:r>
    </w:p>
    <w:p>
      <w:pPr>
        <w:pStyle w:val="6"/>
        <w:spacing w:line="295" w:lineRule="auto"/>
        <w:ind w:right="440"/>
        <w:rPr>
          <w:rFonts w:hint="eastAsia" w:ascii="MS UI Gothic" w:eastAsia="MS UI Gothic"/>
        </w:rPr>
      </w:pPr>
      <w:r>
        <w:t>第十五条  发现被检设施设备</w:t>
      </w:r>
      <w:r>
        <w:rPr>
          <w:rFonts w:hint="eastAsia" w:ascii="MS UI Gothic" w:eastAsia="MS UI Gothic"/>
          <w:w w:val="80"/>
        </w:rPr>
        <w:t xml:space="preserve">、  </w:t>
      </w:r>
      <w:r>
        <w:t>产品</w:t>
      </w:r>
      <w:r>
        <w:rPr>
          <w:rFonts w:hint="eastAsia" w:ascii="MS UI Gothic" w:eastAsia="MS UI Gothic"/>
          <w:w w:val="80"/>
        </w:rPr>
        <w:t xml:space="preserve">、 </w:t>
      </w:r>
      <w:r>
        <w:t>作业场所等存在重大事故隐患</w:t>
      </w:r>
      <w:r>
        <w:rPr>
          <w:rFonts w:hint="eastAsia" w:ascii="MS UI Gothic" w:eastAsia="MS UI Gothic"/>
          <w:w w:val="80"/>
        </w:rPr>
        <w:t xml:space="preserve">ꎬ </w:t>
      </w:r>
      <w:r>
        <w:t>检测检验机构必须立即告知检测检验委托方</w:t>
      </w:r>
      <w:r>
        <w:rPr>
          <w:rFonts w:hint="eastAsia" w:ascii="MS UI Gothic" w:eastAsia="MS UI Gothic"/>
          <w:w w:val="80"/>
        </w:rPr>
        <w:t>ꎬ</w:t>
      </w:r>
      <w:r>
        <w:t>并及时向安全生产监督管理部门或者煤矿安全监察机构报告</w:t>
      </w:r>
      <w:r>
        <w:rPr>
          <w:rFonts w:hint="eastAsia" w:ascii="MS UI Gothic" w:eastAsia="MS UI Gothic"/>
          <w:w w:val="80"/>
        </w:rPr>
        <w:t xml:space="preserve">ꎬ </w:t>
      </w:r>
      <w:r>
        <w:t>不得隐瞒不报</w:t>
      </w:r>
      <w:r>
        <w:rPr>
          <w:rFonts w:hint="eastAsia" w:ascii="MS UI Gothic" w:eastAsia="MS UI Gothic"/>
          <w:w w:val="80"/>
        </w:rPr>
        <w:t xml:space="preserve">、 </w:t>
      </w:r>
      <w:r>
        <w:t>谎报或者拖延不报</w:t>
      </w:r>
      <w:r>
        <w:rPr>
          <w:rFonts w:hint="eastAsia" w:ascii="MS UI Gothic" w:eastAsia="MS UI Gothic"/>
          <w:w w:val="80"/>
        </w:rPr>
        <w:t>ꎮ</w:t>
      </w:r>
    </w:p>
    <w:p>
      <w:pPr>
        <w:pStyle w:val="6"/>
        <w:tabs>
          <w:tab w:val="left" w:pos="1906"/>
        </w:tabs>
        <w:spacing w:before="134"/>
        <w:ind w:left="1067" w:firstLine="0"/>
        <w:jc w:val="left"/>
      </w:pPr>
      <w:r>
        <w:rPr>
          <w:spacing w:val="3"/>
          <w:w w:val="105"/>
        </w:rPr>
        <w:t>第四</w:t>
      </w:r>
      <w:r>
        <w:rPr>
          <w:w w:val="105"/>
        </w:rPr>
        <w:t>章</w:t>
      </w:r>
      <w:r>
        <w:rPr>
          <w:w w:val="105"/>
        </w:rPr>
        <w:tab/>
      </w:r>
      <w:r>
        <w:rPr>
          <w:w w:val="105"/>
        </w:rPr>
        <w:t>监</w:t>
      </w:r>
      <w:r>
        <w:rPr>
          <w:spacing w:val="-33"/>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6" w:line="295" w:lineRule="auto"/>
        <w:ind w:right="442"/>
        <w:rPr>
          <w:rFonts w:hint="eastAsia" w:ascii="MS UI Gothic" w:eastAsia="MS UI Gothic"/>
        </w:rPr>
      </w:pPr>
      <w:r>
        <w:rPr>
          <w:w w:val="105"/>
        </w:rPr>
        <w:t>第十六条 在检测检验资质有效期</w:t>
      </w:r>
      <w:r>
        <w:t>内</w:t>
      </w:r>
      <w:r>
        <w:rPr>
          <w:rFonts w:hint="eastAsia" w:ascii="MS UI Gothic" w:eastAsia="MS UI Gothic"/>
          <w:w w:val="80"/>
        </w:rPr>
        <w:t xml:space="preserve">ꎬ </w:t>
      </w:r>
      <w:r>
        <w:t>检测检验机构应当接受资质证书颁发机关组织进行的定期和不定期的监督评审或者检查</w:t>
      </w:r>
      <w:r>
        <w:rPr>
          <w:rFonts w:hint="eastAsia" w:ascii="MS UI Gothic" w:eastAsia="MS UI Gothic"/>
          <w:w w:val="80"/>
        </w:rPr>
        <w:t xml:space="preserve">ꎮ </w:t>
      </w:r>
      <w:r>
        <w:t>省级资质证书颁发机关监督评</w:t>
      </w:r>
      <w:r>
        <w:rPr>
          <w:w w:val="105"/>
        </w:rPr>
        <w:t>审的结果应当抄报安全监管总局</w:t>
      </w:r>
      <w:r>
        <w:rPr>
          <w:rFonts w:hint="eastAsia" w:ascii="MS UI Gothic" w:eastAsia="MS UI Gothic"/>
          <w:w w:val="80"/>
        </w:rPr>
        <w:t>ꎮ</w:t>
      </w:r>
    </w:p>
    <w:p>
      <w:pPr>
        <w:pStyle w:val="6"/>
        <w:spacing w:line="295" w:lineRule="auto"/>
        <w:ind w:right="442"/>
      </w:pPr>
      <w:r>
        <w:t>安全监管总局可以对乙级机构进行不定期的监督评审或者检查</w:t>
      </w:r>
      <w:r>
        <w:rPr>
          <w:rFonts w:hint="eastAsia" w:ascii="MS UI Gothic" w:eastAsia="MS UI Gothic"/>
          <w:w w:val="80"/>
        </w:rPr>
        <w:t xml:space="preserve">ꎮ </w:t>
      </w:r>
      <w:r>
        <w:t>经委托各省级安全生产监督管理部门或者煤矿安全监察</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38"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spacing w:line="295" w:lineRule="auto"/>
        <w:ind w:left="440" w:right="967" w:firstLine="0"/>
        <w:jc w:val="left"/>
        <w:rPr>
          <w:rFonts w:hint="eastAsia" w:ascii="MS UI Gothic" w:eastAsia="MS UI Gothic"/>
        </w:rPr>
      </w:pPr>
      <w:r>
        <w:t>机构可以对本行政区域内甲级机构进行监</w:t>
      </w:r>
      <w:r>
        <w:rPr>
          <w:w w:val="105"/>
        </w:rPr>
        <w:t>督检查</w:t>
      </w:r>
      <w:r>
        <w:rPr>
          <w:rFonts w:hint="eastAsia" w:ascii="MS UI Gothic" w:eastAsia="MS UI Gothic"/>
          <w:w w:val="80"/>
        </w:rPr>
        <w:t>ꎮ</w:t>
      </w:r>
    </w:p>
    <w:p>
      <w:pPr>
        <w:pStyle w:val="6"/>
        <w:ind w:left="0" w:firstLine="0"/>
        <w:jc w:val="left"/>
        <w:rPr>
          <w:rFonts w:ascii="MS UI Gothic"/>
          <w:sz w:val="24"/>
        </w:rPr>
      </w:pPr>
      <w:r>
        <w:br w:type="column"/>
      </w:r>
    </w:p>
    <w:p>
      <w:pPr>
        <w:pStyle w:val="6"/>
        <w:ind w:left="0" w:firstLine="0"/>
        <w:jc w:val="left"/>
        <w:rPr>
          <w:rFonts w:ascii="MS UI Gothic"/>
          <w:sz w:val="24"/>
        </w:rPr>
      </w:pPr>
    </w:p>
    <w:p>
      <w:pPr>
        <w:pStyle w:val="6"/>
        <w:spacing w:before="11"/>
        <w:ind w:left="0" w:firstLine="0"/>
        <w:jc w:val="left"/>
        <w:rPr>
          <w:rFonts w:ascii="MS UI Gothic"/>
          <w:sz w:val="19"/>
        </w:rPr>
      </w:pPr>
    </w:p>
    <w:p>
      <w:pPr>
        <w:pStyle w:val="6"/>
        <w:tabs>
          <w:tab w:val="left" w:pos="1279"/>
          <w:tab w:val="left" w:pos="1908"/>
        </w:tabs>
        <w:ind w:left="440" w:firstLine="0"/>
        <w:jc w:val="left"/>
      </w:pPr>
      <w:r>
        <w:pict>
          <v:shape id="_x0000_s1358" o:spid="_x0000_s1358" style="position:absolute;left:0pt;margin-left:0pt;margin-top:656.65pt;height:1.75pt;width:398.25pt;mso-position-horizontal-relative:page;z-index:251788288;mso-width-relative:page;mso-height-relative:page;" filled="f" stroked="t" coordorigin="0,13133" coordsize="7965,35" path="m1419,-353l9384,-353m1419,-388l9384,-388e">
            <v:path arrowok="t"/>
            <v:fill on="f" focussize="0,0"/>
            <v:stroke weight="0.388031496062992pt" color="#231F20"/>
            <v:imagedata o:title=""/>
            <o:lock v:ext="edit"/>
          </v:shape>
        </w:pict>
      </w:r>
      <w:r>
        <w:rPr>
          <w:spacing w:val="3"/>
          <w:w w:val="105"/>
        </w:rPr>
        <w:t>第五</w:t>
      </w:r>
      <w:r>
        <w:rPr>
          <w:w w:val="105"/>
        </w:rPr>
        <w:t>章</w:t>
      </w:r>
      <w:r>
        <w:rPr>
          <w:w w:val="105"/>
        </w:rPr>
        <w:tab/>
      </w:r>
      <w:r>
        <w:rPr>
          <w:w w:val="105"/>
        </w:rPr>
        <w:t>罚</w:t>
      </w:r>
      <w:r>
        <w:rPr>
          <w:w w:val="105"/>
        </w:rPr>
        <w:tab/>
      </w:r>
      <w:r>
        <w:rPr>
          <w:spacing w:val="-20"/>
          <w:w w:val="105"/>
        </w:rPr>
        <w:t>则</w:t>
      </w:r>
    </w:p>
    <w:p>
      <w:pPr>
        <w:pStyle w:val="6"/>
        <w:spacing w:before="159"/>
        <w:ind w:left="119" w:firstLine="0"/>
        <w:jc w:val="left"/>
        <w:rPr>
          <w:rFonts w:hint="eastAsia" w:ascii="MS UI Gothic" w:eastAsia="MS UI Gothic"/>
        </w:rPr>
      </w:pPr>
      <w:r>
        <w:br w:type="column"/>
      </w:r>
      <w:r>
        <w:rPr>
          <w:rFonts w:hint="eastAsia" w:ascii="MS UI Gothic" w:eastAsia="MS UI Gothic"/>
          <w:spacing w:val="1"/>
          <w:w w:val="75"/>
        </w:rPr>
        <w:t>１０３</w:t>
      </w:r>
    </w:p>
    <w:p>
      <w:pPr>
        <w:spacing w:after="0"/>
        <w:jc w:val="left"/>
        <w:rPr>
          <w:rFonts w:hint="eastAsia" w:ascii="MS UI Gothic" w:eastAsia="MS UI Gothic"/>
        </w:rPr>
        <w:sectPr>
          <w:pgSz w:w="10500" w:h="14750"/>
          <w:pgMar w:top="960" w:right="980" w:bottom="280" w:left="980" w:header="720" w:footer="720" w:gutter="0"/>
          <w:cols w:equalWidth="0" w:num="3">
            <w:col w:w="5180" w:space="60"/>
            <w:col w:w="2114" w:space="39"/>
            <w:col w:w="1147"/>
          </w:cols>
        </w:sectPr>
      </w:pPr>
    </w:p>
    <w:p>
      <w:pPr>
        <w:pStyle w:val="6"/>
        <w:spacing w:line="295" w:lineRule="auto"/>
        <w:ind w:left="435" w:right="1" w:firstLine="425"/>
        <w:rPr>
          <w:rFonts w:hint="eastAsia" w:ascii="MS UI Gothic" w:eastAsia="MS UI Gothic"/>
        </w:rPr>
      </w:pPr>
      <w:r>
        <w:rPr>
          <w:w w:val="105"/>
        </w:rPr>
        <w:t>第十七条 检测检验机构应当在每年</w:t>
      </w:r>
      <w:r>
        <w:rPr>
          <w:rFonts w:hint="eastAsia" w:ascii="MS UI Gothic" w:eastAsia="MS UI Gothic"/>
          <w:w w:val="80"/>
        </w:rPr>
        <w:t xml:space="preserve">１ </w:t>
      </w:r>
      <w:r>
        <w:t>月份向资质证书颁发机关报送上一年度的工作总结和本年度的工作计划</w:t>
      </w:r>
      <w:r>
        <w:rPr>
          <w:rFonts w:hint="eastAsia" w:ascii="MS UI Gothic" w:eastAsia="MS UI Gothic"/>
          <w:w w:val="80"/>
        </w:rPr>
        <w:t xml:space="preserve">ꎻ </w:t>
      </w:r>
      <w:r>
        <w:t>乙级机构工作总结和工作计划由所在地省级安全生产监督管理部门或者煤矿安全监察机构</w:t>
      </w:r>
      <w:r>
        <w:rPr>
          <w:w w:val="105"/>
        </w:rPr>
        <w:t>汇总后抄报安全监管总局</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第十八条 检测检验机构有下列情形</w:t>
      </w:r>
      <w:r>
        <w:t>之一的</w:t>
      </w:r>
      <w:r>
        <w:rPr>
          <w:rFonts w:hint="eastAsia" w:ascii="MS UI Gothic" w:eastAsia="MS UI Gothic"/>
          <w:w w:val="80"/>
        </w:rPr>
        <w:t xml:space="preserve">ꎬ </w:t>
      </w:r>
      <w:r>
        <w:t>由资质证书颁发机关注销其检测</w:t>
      </w:r>
      <w:r>
        <w:rPr>
          <w:w w:val="110"/>
        </w:rPr>
        <w:t>检验资质</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资质有效期届满未申请换证或</w:t>
      </w:r>
      <w:r>
        <w:rPr>
          <w:w w:val="110"/>
        </w:rPr>
        <w:t>者未批准换证的</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机构依法终止的</w:t>
      </w:r>
      <w:r>
        <w:rPr>
          <w:rFonts w:hint="eastAsia" w:ascii="MS UI Gothic" w:eastAsia="MS UI Gothic"/>
          <w:w w:val="80"/>
        </w:rPr>
        <w:t>ꎻ</w:t>
      </w:r>
    </w:p>
    <w:p>
      <w:pPr>
        <w:pStyle w:val="6"/>
        <w:spacing w:before="49"/>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资质依法被撤销的</w:t>
      </w:r>
      <w:r>
        <w:rPr>
          <w:rFonts w:hint="eastAsia" w:ascii="MS UI Gothic" w:eastAsia="MS UI Gothic"/>
          <w:w w:val="80"/>
        </w:rPr>
        <w:t>ꎻ</w:t>
      </w:r>
    </w:p>
    <w:p>
      <w:pPr>
        <w:pStyle w:val="6"/>
        <w:spacing w:before="59" w:line="295" w:lineRule="auto"/>
        <w:ind w:left="440" w:right="1"/>
        <w:rPr>
          <w:rFonts w:hint="eastAsia" w:ascii="MS UI Gothic" w:eastAsia="MS UI Gothic"/>
        </w:rPr>
      </w:pPr>
      <w:r>
        <w:rPr>
          <w:rFonts w:hint="eastAsia" w:ascii="MS UI Gothic" w:eastAsia="MS UI Gothic"/>
          <w:spacing w:val="-36"/>
          <w:w w:val="130"/>
        </w:rPr>
        <w:t xml:space="preserve">( </w:t>
      </w:r>
      <w:r>
        <w:rPr>
          <w:spacing w:val="29"/>
          <w:w w:val="110"/>
        </w:rPr>
        <w:t>四</w:t>
      </w:r>
      <w:r>
        <w:rPr>
          <w:rFonts w:hint="eastAsia" w:ascii="MS UI Gothic" w:eastAsia="MS UI Gothic"/>
          <w:spacing w:val="-13"/>
          <w:w w:val="130"/>
        </w:rPr>
        <w:t xml:space="preserve">) </w:t>
      </w:r>
      <w:r>
        <w:rPr>
          <w:spacing w:val="40"/>
          <w:w w:val="110"/>
        </w:rPr>
        <w:t>不宜继续认定资质的其他</w:t>
      </w:r>
      <w:r>
        <w:rPr>
          <w:spacing w:val="3"/>
          <w:w w:val="110"/>
        </w:rPr>
        <w:t>情形</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rPr>
        <w:t>被注销资质的机构应当自决定注销其</w:t>
      </w:r>
      <w:r>
        <w:rPr>
          <w:spacing w:val="-14"/>
          <w:w w:val="105"/>
        </w:rPr>
        <w:t xml:space="preserve">资质之日起 </w:t>
      </w:r>
      <w:r>
        <w:rPr>
          <w:rFonts w:hint="eastAsia" w:ascii="MS UI Gothic" w:eastAsia="MS UI Gothic"/>
          <w:spacing w:val="-14"/>
          <w:w w:val="80"/>
        </w:rPr>
        <w:t xml:space="preserve">７ </w:t>
      </w:r>
      <w:r>
        <w:rPr>
          <w:spacing w:val="2"/>
          <w:w w:val="105"/>
        </w:rPr>
        <w:t>日内将资质证书和相关印章</w:t>
      </w:r>
      <w:r>
        <w:rPr>
          <w:spacing w:val="3"/>
        </w:rPr>
        <w:t>交还资质证书颁发机关</w:t>
      </w:r>
      <w:r>
        <w:rPr>
          <w:rFonts w:hint="eastAsia" w:ascii="MS UI Gothic" w:eastAsia="MS UI Gothic"/>
          <w:spacing w:val="21"/>
          <w:w w:val="80"/>
        </w:rPr>
        <w:t xml:space="preserve">ꎬ </w:t>
      </w:r>
      <w:r>
        <w:rPr>
          <w:spacing w:val="2"/>
        </w:rPr>
        <w:t>并不得继续以检</w:t>
      </w:r>
      <w:r>
        <w:rPr>
          <w:spacing w:val="3"/>
          <w:w w:val="105"/>
        </w:rPr>
        <w:t>测检验机构名义从事相关业务活动</w:t>
      </w:r>
      <w:r>
        <w:rPr>
          <w:rFonts w:hint="eastAsia" w:ascii="MS UI Gothic" w:eastAsia="MS UI Gothic"/>
          <w:w w:val="80"/>
        </w:rPr>
        <w:t>ꎮ</w:t>
      </w:r>
    </w:p>
    <w:p>
      <w:pPr>
        <w:pStyle w:val="6"/>
        <w:spacing w:line="295" w:lineRule="auto"/>
        <w:ind w:left="440"/>
        <w:rPr>
          <w:rFonts w:hint="eastAsia" w:ascii="MS UI Gothic" w:eastAsia="MS UI Gothic"/>
        </w:rPr>
      </w:pPr>
      <w:r>
        <w:t>第十九条  安全生产监督管理部门</w:t>
      </w:r>
      <w:r>
        <w:rPr>
          <w:rFonts w:hint="eastAsia" w:ascii="MS UI Gothic" w:eastAsia="MS UI Gothic"/>
          <w:w w:val="80"/>
        </w:rPr>
        <w:t>、</w:t>
      </w:r>
      <w:r>
        <w:t>煤矿安全监察机构工作人员不得干扰检测检验机构的正常活动</w:t>
      </w:r>
      <w:r>
        <w:rPr>
          <w:rFonts w:hint="eastAsia" w:ascii="MS UI Gothic" w:eastAsia="MS UI Gothic"/>
          <w:w w:val="80"/>
        </w:rPr>
        <w:t xml:space="preserve">ꎬ </w:t>
      </w:r>
      <w:r>
        <w:t>不得以任何理由或者方式向检测检验机构收取费用或者变相收取费用</w:t>
      </w:r>
      <w:r>
        <w:rPr>
          <w:rFonts w:hint="eastAsia" w:ascii="MS UI Gothic" w:eastAsia="MS UI Gothic"/>
          <w:w w:val="80"/>
        </w:rPr>
        <w:t xml:space="preserve">ꎮ </w:t>
      </w:r>
      <w:r>
        <w:t>除另有规定外</w:t>
      </w:r>
      <w:r>
        <w:rPr>
          <w:rFonts w:hint="eastAsia" w:ascii="MS UI Gothic" w:eastAsia="MS UI Gothic"/>
          <w:w w:val="80"/>
        </w:rPr>
        <w:t xml:space="preserve">ꎬ </w:t>
      </w:r>
      <w:r>
        <w:t>不得强行要求生产经营单位接受指定的检测检验机构开展检测检验工作</w:t>
      </w:r>
      <w:r>
        <w:rPr>
          <w:rFonts w:hint="eastAsia" w:ascii="MS UI Gothic" w:eastAsia="MS UI Gothic"/>
          <w:w w:val="80"/>
        </w:rPr>
        <w:t xml:space="preserve">ꎮ </w:t>
      </w:r>
      <w:r>
        <w:t>在检测检验资质管理工作中滥用职权</w:t>
      </w:r>
      <w:r>
        <w:rPr>
          <w:rFonts w:hint="eastAsia" w:ascii="MS UI Gothic" w:eastAsia="MS UI Gothic"/>
          <w:w w:val="80"/>
        </w:rPr>
        <w:t xml:space="preserve">、 </w:t>
      </w:r>
      <w:r>
        <w:t>玩忽职守</w:t>
      </w:r>
      <w:r>
        <w:rPr>
          <w:rFonts w:hint="eastAsia" w:ascii="MS UI Gothic" w:eastAsia="MS UI Gothic"/>
          <w:w w:val="80"/>
        </w:rPr>
        <w:t xml:space="preserve">、 </w:t>
      </w:r>
      <w:r>
        <w:t>徇私舞弊的</w:t>
      </w:r>
      <w:r>
        <w:rPr>
          <w:rFonts w:hint="eastAsia" w:ascii="MS UI Gothic" w:eastAsia="MS UI Gothic"/>
          <w:w w:val="80"/>
        </w:rPr>
        <w:t>ꎬ</w:t>
      </w:r>
      <w:r>
        <w:t>依照有关规定给予行政处分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440" w:right="1"/>
        <w:rPr>
          <w:rFonts w:hint="eastAsia" w:ascii="MS UI Gothic" w:eastAsia="MS UI Gothic"/>
        </w:rPr>
      </w:pPr>
      <w:r>
        <w:t>任何单位和个人对违反本规定的行为</w:t>
      </w:r>
      <w:r>
        <w:rPr>
          <w:rFonts w:hint="eastAsia" w:ascii="MS UI Gothic" w:eastAsia="MS UI Gothic"/>
          <w:w w:val="80"/>
        </w:rPr>
        <w:t xml:space="preserve">ꎬ </w:t>
      </w:r>
      <w:r>
        <w:t>有权向安全生产监督管理部门</w:t>
      </w:r>
      <w:r>
        <w:rPr>
          <w:rFonts w:hint="eastAsia" w:ascii="MS UI Gothic" w:eastAsia="MS UI Gothic"/>
          <w:w w:val="80"/>
        </w:rPr>
        <w:t xml:space="preserve">、 </w:t>
      </w:r>
      <w:r>
        <w:t>煤矿安全监察机构举报</w:t>
      </w:r>
      <w:r>
        <w:rPr>
          <w:rFonts w:hint="eastAsia" w:ascii="MS UI Gothic" w:eastAsia="MS UI Gothic"/>
          <w:w w:val="80"/>
        </w:rPr>
        <w:t xml:space="preserve">ꎬ </w:t>
      </w:r>
      <w:r>
        <w:t>安全生产监督管理部门</w:t>
      </w:r>
      <w:r>
        <w:rPr>
          <w:rFonts w:hint="eastAsia" w:ascii="MS UI Gothic" w:eastAsia="MS UI Gothic"/>
          <w:w w:val="80"/>
        </w:rPr>
        <w:t xml:space="preserve">、 </w:t>
      </w:r>
      <w:r>
        <w:t>煤矿安全监察机构应当认真核实</w:t>
      </w:r>
      <w:r>
        <w:rPr>
          <w:rFonts w:hint="eastAsia" w:ascii="MS UI Gothic" w:eastAsia="MS UI Gothic"/>
          <w:w w:val="80"/>
        </w:rPr>
        <w:t xml:space="preserve">、 </w:t>
      </w:r>
      <w:r>
        <w:t>处理</w:t>
      </w:r>
      <w:r>
        <w:rPr>
          <w:rFonts w:hint="eastAsia" w:ascii="MS UI Gothic" w:eastAsia="MS UI Gothic"/>
          <w:w w:val="80"/>
        </w:rPr>
        <w:t xml:space="preserve">ꎬ </w:t>
      </w:r>
      <w:r>
        <w:t>并为举报人保密</w:t>
      </w:r>
      <w:r>
        <w:rPr>
          <w:rFonts w:hint="eastAsia" w:ascii="MS UI Gothic" w:eastAsia="MS UI Gothic"/>
          <w:w w:val="80"/>
        </w:rPr>
        <w:t>ꎮ</w:t>
      </w:r>
    </w:p>
    <w:p>
      <w:pPr>
        <w:pStyle w:val="6"/>
        <w:spacing w:line="295" w:lineRule="auto"/>
        <w:ind w:left="440" w:right="1"/>
        <w:rPr>
          <w:rFonts w:hint="eastAsia" w:ascii="MS UI Gothic" w:eastAsia="MS UI Gothic"/>
        </w:rPr>
      </w:pPr>
      <w:r>
        <w:t>检测检验机构对有关安全生产监督管</w:t>
      </w:r>
      <w:r>
        <w:rPr>
          <w:w w:val="105"/>
        </w:rPr>
        <w:t>理部门</w:t>
      </w:r>
      <w:r>
        <w:rPr>
          <w:rFonts w:hint="eastAsia" w:ascii="MS UI Gothic" w:eastAsia="MS UI Gothic"/>
          <w:w w:val="80"/>
        </w:rPr>
        <w:t xml:space="preserve">、 </w:t>
      </w:r>
      <w:r>
        <w:rPr>
          <w:w w:val="105"/>
        </w:rPr>
        <w:t>煤矿安全监察机构所作出的处理决定有权提出申诉</w:t>
      </w:r>
      <w:r>
        <w:rPr>
          <w:rFonts w:hint="eastAsia" w:ascii="MS UI Gothic" w:eastAsia="MS UI Gothic"/>
          <w:w w:val="80"/>
        </w:rPr>
        <w:t>ꎮ</w:t>
      </w:r>
    </w:p>
    <w:p>
      <w:pPr>
        <w:pStyle w:val="6"/>
        <w:spacing w:line="295" w:lineRule="auto"/>
        <w:ind w:left="381" w:right="126"/>
        <w:rPr>
          <w:rFonts w:hint="eastAsia" w:ascii="MS UI Gothic" w:eastAsia="MS UI Gothic"/>
        </w:rPr>
      </w:pPr>
      <w:r>
        <w:br w:type="column"/>
      </w:r>
      <w:r>
        <w:rPr>
          <w:w w:val="105"/>
        </w:rPr>
        <w:t>第二十条 检测检验机构未取得资质</w:t>
      </w:r>
      <w:r>
        <w:t>或者伪造资质证书从事安全生产检测检验活动的</w:t>
      </w:r>
      <w:r>
        <w:rPr>
          <w:rFonts w:hint="eastAsia" w:ascii="MS UI Gothic" w:eastAsia="MS UI Gothic"/>
          <w:w w:val="80"/>
        </w:rPr>
        <w:t xml:space="preserve">ꎬ </w:t>
      </w:r>
      <w:r>
        <w:t>或者资质有效期届满未批准换证继续从事安全生产检测检验活动的</w:t>
      </w:r>
      <w:r>
        <w:rPr>
          <w:rFonts w:hint="eastAsia" w:ascii="MS UI Gothic" w:eastAsia="MS UI Gothic"/>
          <w:w w:val="80"/>
        </w:rPr>
        <w:t xml:space="preserve">ꎬ </w:t>
      </w:r>
      <w:r>
        <w:t xml:space="preserve">处 </w:t>
      </w:r>
      <w:r>
        <w:rPr>
          <w:rFonts w:hint="eastAsia" w:ascii="MS UI Gothic" w:eastAsia="MS UI Gothic"/>
          <w:w w:val="80"/>
        </w:rPr>
        <w:t>１</w:t>
      </w:r>
    </w:p>
    <w:p>
      <w:pPr>
        <w:pStyle w:val="6"/>
        <w:spacing w:line="253" w:lineRule="exact"/>
        <w:ind w:left="381" w:firstLine="0"/>
        <w:rPr>
          <w:rFonts w:hint="eastAsia" w:ascii="MS UI Gothic" w:eastAsia="MS UI Gothic"/>
        </w:rPr>
      </w:pPr>
      <w:r>
        <w:t xml:space="preserve">万元以上 </w:t>
      </w:r>
      <w:r>
        <w:rPr>
          <w:rFonts w:hint="eastAsia" w:ascii="MS UI Gothic" w:eastAsia="MS UI Gothic"/>
        </w:rPr>
        <w:t xml:space="preserve">３ </w:t>
      </w:r>
      <w:r>
        <w:t>万元以下的罚款</w:t>
      </w:r>
      <w:r>
        <w:rPr>
          <w:rFonts w:hint="eastAsia" w:ascii="MS UI Gothic" w:eastAsia="MS UI Gothic"/>
          <w:w w:val="80"/>
        </w:rPr>
        <w:t>ꎮ</w:t>
      </w:r>
    </w:p>
    <w:p>
      <w:pPr>
        <w:pStyle w:val="6"/>
        <w:spacing w:before="57" w:line="295" w:lineRule="auto"/>
        <w:ind w:left="375" w:right="126" w:firstLine="425"/>
        <w:rPr>
          <w:rFonts w:hint="eastAsia" w:ascii="MS UI Gothic" w:eastAsia="MS UI Gothic"/>
        </w:rPr>
      </w:pPr>
      <w:r>
        <w:rPr>
          <w:w w:val="95"/>
        </w:rPr>
        <w:t>第二十一条   检测检验机构或者检测检验人员伪造检测检验结果</w:t>
      </w:r>
      <w:r>
        <w:rPr>
          <w:rFonts w:hint="eastAsia" w:ascii="MS UI Gothic" w:eastAsia="MS UI Gothic"/>
          <w:w w:val="90"/>
        </w:rPr>
        <w:t xml:space="preserve">ꎬ  </w:t>
      </w:r>
      <w:r>
        <w:rPr>
          <w:w w:val="95"/>
        </w:rPr>
        <w:t>出具虚假证明</w:t>
      </w:r>
      <w:r>
        <w:rPr>
          <w:rFonts w:hint="eastAsia" w:ascii="MS UI Gothic" w:eastAsia="MS UI Gothic"/>
          <w:w w:val="90"/>
        </w:rPr>
        <w:t xml:space="preserve">ꎬ </w:t>
      </w:r>
      <w:r>
        <w:rPr>
          <w:w w:val="95"/>
        </w:rPr>
        <w:t>构成犯罪的</w:t>
      </w:r>
      <w:r>
        <w:rPr>
          <w:rFonts w:hint="eastAsia" w:ascii="MS UI Gothic" w:eastAsia="MS UI Gothic"/>
          <w:w w:val="90"/>
        </w:rPr>
        <w:t xml:space="preserve">ꎬ </w:t>
      </w:r>
      <w:r>
        <w:rPr>
          <w:w w:val="95"/>
        </w:rPr>
        <w:t>依法追究刑事责任</w:t>
      </w:r>
      <w:r>
        <w:rPr>
          <w:rFonts w:hint="eastAsia" w:ascii="MS UI Gothic" w:eastAsia="MS UI Gothic"/>
          <w:w w:val="90"/>
        </w:rPr>
        <w:t xml:space="preserve">ꎻ </w:t>
      </w:r>
      <w:r>
        <w:rPr>
          <w:w w:val="95"/>
        </w:rPr>
        <w:t>尚不够刑事处罚的</w:t>
      </w:r>
      <w:r>
        <w:rPr>
          <w:rFonts w:hint="eastAsia" w:ascii="MS UI Gothic" w:eastAsia="MS UI Gothic"/>
          <w:w w:val="90"/>
        </w:rPr>
        <w:t xml:space="preserve">ꎬ </w:t>
      </w:r>
      <w:r>
        <w:rPr>
          <w:w w:val="95"/>
        </w:rPr>
        <w:t>没收违法所得</w:t>
      </w:r>
      <w:r>
        <w:rPr>
          <w:rFonts w:hint="eastAsia" w:ascii="MS UI Gothic" w:eastAsia="MS UI Gothic"/>
          <w:w w:val="90"/>
        </w:rPr>
        <w:t xml:space="preserve">ꎬ </w:t>
      </w:r>
      <w:r>
        <w:rPr>
          <w:w w:val="95"/>
        </w:rPr>
        <w:t xml:space="preserve">违法所得在 </w:t>
      </w:r>
      <w:r>
        <w:rPr>
          <w:rFonts w:hint="eastAsia" w:ascii="MS UI Gothic" w:eastAsia="MS UI Gothic"/>
          <w:w w:val="95"/>
        </w:rPr>
        <w:t xml:space="preserve">５０００ </w:t>
      </w:r>
      <w:r>
        <w:rPr>
          <w:w w:val="95"/>
        </w:rPr>
        <w:t>元以上的</w:t>
      </w:r>
      <w:r>
        <w:rPr>
          <w:rFonts w:hint="eastAsia" w:ascii="MS UI Gothic" w:eastAsia="MS UI Gothic"/>
          <w:w w:val="90"/>
        </w:rPr>
        <w:t xml:space="preserve">ꎬ  </w:t>
      </w:r>
      <w:r>
        <w:rPr>
          <w:w w:val="95"/>
        </w:rPr>
        <w:t xml:space="preserve">并处违法所得 </w:t>
      </w:r>
      <w:r>
        <w:rPr>
          <w:rFonts w:hint="eastAsia" w:ascii="MS UI Gothic" w:eastAsia="MS UI Gothic"/>
          <w:w w:val="95"/>
        </w:rPr>
        <w:t xml:space="preserve">２ </w:t>
      </w:r>
      <w:r>
        <w:rPr>
          <w:w w:val="95"/>
        </w:rPr>
        <w:t xml:space="preserve">倍以上 </w:t>
      </w:r>
      <w:r>
        <w:rPr>
          <w:rFonts w:hint="eastAsia" w:ascii="MS UI Gothic" w:eastAsia="MS UI Gothic"/>
          <w:w w:val="95"/>
        </w:rPr>
        <w:t xml:space="preserve">５ </w:t>
      </w:r>
      <w:r>
        <w:rPr>
          <w:w w:val="95"/>
        </w:rPr>
        <w:t>倍以下的罚款</w:t>
      </w:r>
      <w:r>
        <w:rPr>
          <w:rFonts w:hint="eastAsia" w:ascii="MS UI Gothic" w:eastAsia="MS UI Gothic"/>
          <w:w w:val="90"/>
        </w:rPr>
        <w:t xml:space="preserve">ꎬ </w:t>
      </w:r>
      <w:r>
        <w:rPr>
          <w:w w:val="95"/>
        </w:rPr>
        <w:t xml:space="preserve">没有违法所得或者违法所得不足 </w:t>
      </w:r>
      <w:r>
        <w:rPr>
          <w:rFonts w:hint="eastAsia" w:ascii="MS UI Gothic" w:eastAsia="MS UI Gothic"/>
          <w:w w:val="95"/>
        </w:rPr>
        <w:t xml:space="preserve">５０００ </w:t>
      </w:r>
      <w:r>
        <w:rPr>
          <w:w w:val="95"/>
        </w:rPr>
        <w:t>元的</w:t>
      </w:r>
      <w:r>
        <w:rPr>
          <w:rFonts w:hint="eastAsia" w:ascii="MS UI Gothic" w:eastAsia="MS UI Gothic"/>
          <w:w w:val="90"/>
        </w:rPr>
        <w:t xml:space="preserve">ꎬ </w:t>
      </w:r>
      <w:r>
        <w:rPr>
          <w:w w:val="95"/>
        </w:rPr>
        <w:t>单处或者并处</w:t>
      </w:r>
      <w:r>
        <w:rPr>
          <w:rFonts w:hint="eastAsia" w:ascii="MS UI Gothic" w:eastAsia="MS UI Gothic"/>
          <w:w w:val="95"/>
        </w:rPr>
        <w:t xml:space="preserve">５０００ </w:t>
      </w:r>
      <w:r>
        <w:rPr>
          <w:w w:val="95"/>
        </w:rPr>
        <w:t xml:space="preserve">元以上 </w:t>
      </w:r>
      <w:r>
        <w:rPr>
          <w:rFonts w:hint="eastAsia" w:ascii="MS UI Gothic" w:eastAsia="MS UI Gothic"/>
          <w:w w:val="95"/>
        </w:rPr>
        <w:t xml:space="preserve">２ </w:t>
      </w:r>
      <w:r>
        <w:rPr>
          <w:w w:val="95"/>
        </w:rPr>
        <w:t>万元以下的罚款</w:t>
      </w:r>
      <w:r>
        <w:rPr>
          <w:rFonts w:hint="eastAsia" w:ascii="MS UI Gothic" w:eastAsia="MS UI Gothic"/>
          <w:w w:val="90"/>
        </w:rPr>
        <w:t xml:space="preserve">ꎬ </w:t>
      </w:r>
      <w:r>
        <w:rPr>
          <w:w w:val="95"/>
        </w:rPr>
        <w:t>对其直接负责的主管人员和其他直接责任人员处</w:t>
      </w:r>
      <w:r>
        <w:rPr>
          <w:rFonts w:hint="eastAsia" w:ascii="MS UI Gothic" w:eastAsia="MS UI Gothic"/>
          <w:w w:val="95"/>
        </w:rPr>
        <w:t xml:space="preserve">５０００ </w:t>
      </w:r>
      <w:r>
        <w:rPr>
          <w:w w:val="95"/>
        </w:rPr>
        <w:t xml:space="preserve">元以上 </w:t>
      </w:r>
      <w:r>
        <w:rPr>
          <w:rFonts w:hint="eastAsia" w:ascii="MS UI Gothic" w:eastAsia="MS UI Gothic"/>
          <w:w w:val="95"/>
        </w:rPr>
        <w:t xml:space="preserve">５ </w:t>
      </w:r>
      <w:r>
        <w:rPr>
          <w:w w:val="95"/>
        </w:rPr>
        <w:t>万元以下的罚款</w:t>
      </w:r>
      <w:r>
        <w:rPr>
          <w:rFonts w:hint="eastAsia" w:ascii="MS UI Gothic" w:eastAsia="MS UI Gothic"/>
          <w:w w:val="90"/>
        </w:rPr>
        <w:t xml:space="preserve">ꎻ </w:t>
      </w:r>
      <w:r>
        <w:rPr>
          <w:w w:val="95"/>
        </w:rPr>
        <w:t>给他人造成损害的</w:t>
      </w:r>
      <w:r>
        <w:rPr>
          <w:rFonts w:hint="eastAsia" w:ascii="MS UI Gothic" w:eastAsia="MS UI Gothic"/>
          <w:w w:val="90"/>
        </w:rPr>
        <w:t xml:space="preserve">ꎬ  </w:t>
      </w:r>
      <w:r>
        <w:rPr>
          <w:w w:val="95"/>
        </w:rPr>
        <w:t>与生产经营单位承担连带赔偿责任</w:t>
      </w:r>
      <w:r>
        <w:rPr>
          <w:rFonts w:hint="eastAsia" w:ascii="MS UI Gothic" w:eastAsia="MS UI Gothic"/>
          <w:w w:val="90"/>
        </w:rPr>
        <w:t>ꎮ</w:t>
      </w:r>
    </w:p>
    <w:p>
      <w:pPr>
        <w:pStyle w:val="6"/>
        <w:spacing w:line="295" w:lineRule="auto"/>
        <w:ind w:left="381" w:right="126"/>
        <w:rPr>
          <w:rFonts w:hint="eastAsia" w:ascii="MS UI Gothic" w:eastAsia="MS UI Gothic"/>
        </w:rPr>
      </w:pPr>
      <w:r>
        <w:t>对有前款违法行为的机构</w:t>
      </w:r>
      <w:r>
        <w:rPr>
          <w:rFonts w:hint="eastAsia" w:ascii="MS UI Gothic" w:eastAsia="MS UI Gothic"/>
          <w:w w:val="80"/>
        </w:rPr>
        <w:t xml:space="preserve">ꎬ </w:t>
      </w:r>
      <w:r>
        <w:t>撤销其检测检验资质</w:t>
      </w:r>
      <w:r>
        <w:rPr>
          <w:rFonts w:hint="eastAsia" w:ascii="MS UI Gothic" w:eastAsia="MS UI Gothic"/>
          <w:w w:val="80"/>
        </w:rPr>
        <w:t>ꎮ</w:t>
      </w:r>
    </w:p>
    <w:p>
      <w:pPr>
        <w:pStyle w:val="6"/>
        <w:spacing w:line="295" w:lineRule="auto"/>
        <w:ind w:left="381" w:right="126"/>
        <w:rPr>
          <w:rFonts w:hint="eastAsia" w:ascii="MS UI Gothic" w:eastAsia="MS UI Gothic"/>
        </w:rPr>
      </w:pPr>
      <w:r>
        <w:t>第二十二条 检测检验机构在监督评审或者监督检查中不合格的</w:t>
      </w:r>
      <w:r>
        <w:rPr>
          <w:rFonts w:hint="eastAsia" w:ascii="MS UI Gothic" w:eastAsia="MS UI Gothic"/>
          <w:w w:val="80"/>
        </w:rPr>
        <w:t xml:space="preserve">ꎬ </w:t>
      </w:r>
      <w:r>
        <w:t>责令限期改正</w:t>
      </w:r>
      <w:r>
        <w:rPr>
          <w:rFonts w:hint="eastAsia" w:ascii="MS UI Gothic" w:eastAsia="MS UI Gothic"/>
          <w:w w:val="80"/>
        </w:rPr>
        <w:t xml:space="preserve">ꎻ </w:t>
      </w:r>
      <w:r>
        <w:t>情节严重的</w:t>
      </w:r>
      <w:r>
        <w:rPr>
          <w:rFonts w:hint="eastAsia" w:ascii="MS UI Gothic" w:eastAsia="MS UI Gothic"/>
          <w:w w:val="80"/>
        </w:rPr>
        <w:t xml:space="preserve">ꎬ </w:t>
      </w:r>
      <w:r>
        <w:t xml:space="preserve">责令暂停 </w:t>
      </w:r>
      <w:r>
        <w:rPr>
          <w:rFonts w:hint="eastAsia" w:ascii="MS UI Gothic" w:eastAsia="MS UI Gothic"/>
          <w:w w:val="80"/>
        </w:rPr>
        <w:t xml:space="preserve">３ </w:t>
      </w:r>
      <w:r>
        <w:t xml:space="preserve">至 </w:t>
      </w:r>
      <w:r>
        <w:rPr>
          <w:rFonts w:hint="eastAsia" w:ascii="MS UI Gothic" w:eastAsia="MS UI Gothic"/>
          <w:w w:val="80"/>
        </w:rPr>
        <w:t xml:space="preserve">６ </w:t>
      </w:r>
      <w:r>
        <w:t>个月检测检验工作</w:t>
      </w:r>
      <w:r>
        <w:rPr>
          <w:rFonts w:hint="eastAsia" w:ascii="MS UI Gothic" w:eastAsia="MS UI Gothic"/>
          <w:w w:val="80"/>
        </w:rPr>
        <w:t xml:space="preserve">ꎬ </w:t>
      </w:r>
      <w:r>
        <w:t>并进行整改</w:t>
      </w:r>
      <w:r>
        <w:rPr>
          <w:rFonts w:hint="eastAsia" w:ascii="MS UI Gothic" w:eastAsia="MS UI Gothic"/>
          <w:w w:val="80"/>
        </w:rPr>
        <w:t xml:space="preserve">ꎻ </w:t>
      </w:r>
      <w:r>
        <w:t>整改后仍不合格的或者连续两次监督评审不合格的</w:t>
      </w:r>
      <w:r>
        <w:rPr>
          <w:rFonts w:hint="eastAsia" w:ascii="MS UI Gothic" w:eastAsia="MS UI Gothic"/>
          <w:w w:val="80"/>
        </w:rPr>
        <w:t xml:space="preserve">ꎬ </w:t>
      </w:r>
      <w:r>
        <w:t>撤销其检测检验资质</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95"/>
        </w:rPr>
        <w:t xml:space="preserve">第二十三条   检测检验机构在资质有效期内超出批准的检测检验业务范围从事  </w:t>
      </w:r>
      <w:r>
        <w:rPr>
          <w:spacing w:val="3"/>
          <w:w w:val="95"/>
        </w:rPr>
        <w:t>安全生产检测检验活动的</w:t>
      </w:r>
      <w:r>
        <w:rPr>
          <w:rFonts w:hint="eastAsia" w:ascii="MS UI Gothic" w:eastAsia="MS UI Gothic"/>
          <w:spacing w:val="12"/>
          <w:w w:val="90"/>
        </w:rPr>
        <w:t xml:space="preserve">ꎬ  </w:t>
      </w:r>
      <w:r>
        <w:rPr>
          <w:spacing w:val="2"/>
          <w:w w:val="95"/>
        </w:rPr>
        <w:t>责令其停止超</w:t>
      </w:r>
      <w:r>
        <w:rPr>
          <w:spacing w:val="6"/>
          <w:w w:val="95"/>
        </w:rPr>
        <w:t>范围检测检验</w:t>
      </w:r>
      <w:r>
        <w:rPr>
          <w:rFonts w:hint="eastAsia" w:ascii="MS UI Gothic" w:eastAsia="MS UI Gothic"/>
          <w:spacing w:val="27"/>
          <w:w w:val="90"/>
        </w:rPr>
        <w:t xml:space="preserve">ꎬ </w:t>
      </w:r>
      <w:r>
        <w:rPr>
          <w:spacing w:val="-17"/>
          <w:w w:val="95"/>
        </w:rPr>
        <w:t xml:space="preserve">处 </w:t>
      </w:r>
      <w:r>
        <w:rPr>
          <w:rFonts w:hint="eastAsia" w:ascii="MS UI Gothic" w:eastAsia="MS UI Gothic"/>
          <w:spacing w:val="1"/>
          <w:w w:val="95"/>
        </w:rPr>
        <w:t xml:space="preserve">５０００ </w:t>
      </w:r>
      <w:r>
        <w:rPr>
          <w:spacing w:val="-4"/>
          <w:w w:val="95"/>
        </w:rPr>
        <w:t xml:space="preserve">元以上 </w:t>
      </w:r>
      <w:r>
        <w:rPr>
          <w:rFonts w:hint="eastAsia" w:ascii="MS UI Gothic" w:eastAsia="MS UI Gothic"/>
          <w:spacing w:val="5"/>
          <w:w w:val="95"/>
        </w:rPr>
        <w:t xml:space="preserve">２ </w:t>
      </w:r>
      <w:r>
        <w:rPr>
          <w:spacing w:val="8"/>
          <w:w w:val="95"/>
        </w:rPr>
        <w:t>万元以</w:t>
      </w:r>
      <w:r>
        <w:rPr>
          <w:spacing w:val="3"/>
          <w:w w:val="95"/>
        </w:rPr>
        <w:t>下的罚款</w:t>
      </w:r>
      <w:r>
        <w:rPr>
          <w:rFonts w:hint="eastAsia" w:ascii="MS UI Gothic" w:eastAsia="MS UI Gothic"/>
          <w:spacing w:val="19"/>
          <w:w w:val="90"/>
        </w:rPr>
        <w:t xml:space="preserve">ꎻ </w:t>
      </w:r>
      <w:r>
        <w:rPr>
          <w:spacing w:val="3"/>
          <w:w w:val="95"/>
        </w:rPr>
        <w:t>不补办增项手续</w:t>
      </w:r>
      <w:r>
        <w:rPr>
          <w:rFonts w:hint="eastAsia" w:ascii="MS UI Gothic" w:eastAsia="MS UI Gothic"/>
          <w:spacing w:val="19"/>
          <w:w w:val="90"/>
        </w:rPr>
        <w:t xml:space="preserve">ꎬ </w:t>
      </w:r>
      <w:r>
        <w:rPr>
          <w:spacing w:val="2"/>
          <w:w w:val="95"/>
        </w:rPr>
        <w:t>继续超范围</w:t>
      </w:r>
      <w:r>
        <w:rPr>
          <w:spacing w:val="3"/>
          <w:w w:val="95"/>
        </w:rPr>
        <w:t>检测检验的</w:t>
      </w:r>
      <w:r>
        <w:rPr>
          <w:rFonts w:hint="eastAsia" w:ascii="MS UI Gothic" w:eastAsia="MS UI Gothic"/>
          <w:spacing w:val="3"/>
          <w:w w:val="90"/>
        </w:rPr>
        <w:t xml:space="preserve">ꎬ </w:t>
      </w:r>
      <w:r>
        <w:rPr>
          <w:spacing w:val="3"/>
          <w:w w:val="95"/>
        </w:rPr>
        <w:t>撤销其检测检验资质</w:t>
      </w:r>
      <w:r>
        <w:rPr>
          <w:rFonts w:hint="eastAsia" w:ascii="MS UI Gothic" w:eastAsia="MS UI Gothic"/>
          <w:w w:val="90"/>
        </w:rPr>
        <w:t>ꎮ</w:t>
      </w:r>
    </w:p>
    <w:p>
      <w:pPr>
        <w:pStyle w:val="6"/>
        <w:spacing w:line="295" w:lineRule="auto"/>
        <w:ind w:left="381" w:right="126"/>
        <w:rPr>
          <w:rFonts w:hint="eastAsia" w:ascii="MS UI Gothic" w:eastAsia="MS UI Gothic"/>
        </w:rPr>
      </w:pPr>
      <w:r>
        <w:t>第二十四条 检测检验机构在资质有效期内应当办理变更确认而未办理的</w:t>
      </w:r>
      <w:r>
        <w:rPr>
          <w:rFonts w:hint="eastAsia" w:ascii="MS UI Gothic" w:eastAsia="MS UI Gothic"/>
          <w:w w:val="80"/>
        </w:rPr>
        <w:t xml:space="preserve">ꎬ </w:t>
      </w:r>
      <w:r>
        <w:t>责令改正</w:t>
      </w:r>
      <w:r>
        <w:rPr>
          <w:rFonts w:hint="eastAsia" w:ascii="MS UI Gothic" w:eastAsia="MS UI Gothic"/>
          <w:w w:val="80"/>
        </w:rPr>
        <w:t xml:space="preserve">ꎻ </w:t>
      </w:r>
      <w:r>
        <w:t>仍不改正</w:t>
      </w:r>
      <w:r>
        <w:rPr>
          <w:rFonts w:hint="eastAsia" w:ascii="MS UI Gothic" w:eastAsia="MS UI Gothic"/>
          <w:w w:val="80"/>
        </w:rPr>
        <w:t xml:space="preserve">ꎬ </w:t>
      </w:r>
      <w:r>
        <w:t>继续从事检测检验活动的</w:t>
      </w:r>
      <w:r>
        <w:rPr>
          <w:rFonts w:hint="eastAsia" w:ascii="MS UI Gothic" w:eastAsia="MS UI Gothic"/>
          <w:w w:val="80"/>
        </w:rPr>
        <w:t xml:space="preserve">ꎬ </w:t>
      </w:r>
      <w:r>
        <w:t xml:space="preserve">责令暂停 </w:t>
      </w:r>
      <w:r>
        <w:rPr>
          <w:rFonts w:hint="eastAsia" w:ascii="MS UI Gothic" w:eastAsia="MS UI Gothic"/>
          <w:w w:val="80"/>
        </w:rPr>
        <w:t xml:space="preserve">３ </w:t>
      </w:r>
      <w:r>
        <w:t xml:space="preserve">至 </w:t>
      </w:r>
      <w:r>
        <w:rPr>
          <w:rFonts w:hint="eastAsia" w:ascii="MS UI Gothic" w:eastAsia="MS UI Gothic"/>
          <w:w w:val="80"/>
        </w:rPr>
        <w:t xml:space="preserve">６ </w:t>
      </w:r>
      <w:r>
        <w:t>个月检测检验工作</w:t>
      </w:r>
      <w:r>
        <w:rPr>
          <w:rFonts w:hint="eastAsia" w:ascii="MS UI Gothic" w:eastAsia="MS UI Gothic"/>
          <w:w w:val="80"/>
        </w:rPr>
        <w:t xml:space="preserve">ꎻ </w:t>
      </w:r>
      <w:r>
        <w:t>逾期仍不改正的</w:t>
      </w:r>
      <w:r>
        <w:rPr>
          <w:rFonts w:hint="eastAsia" w:ascii="MS UI Gothic" w:eastAsia="MS UI Gothic"/>
          <w:w w:val="80"/>
        </w:rPr>
        <w:t xml:space="preserve">ꎬ </w:t>
      </w:r>
      <w:r>
        <w:t>撤销其检测检验资质</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１０４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59" o:spid="_x0000_s1359" o:spt="203" style="height:2.15pt;width:398.25pt;" coordsize="7965,43">
            <o:lock v:ext="edit"/>
            <v:line id="_x0000_s1360" o:spid="_x0000_s1360" o:spt="20" style="position:absolute;left:0;top:39;height:0;width:7965;" stroked="t" coordsize="21600,21600">
              <v:path arrowok="t"/>
              <v:fill focussize="0,0"/>
              <v:stroke weight="0.388031496062992pt" color="#231F20"/>
              <v:imagedata o:title=""/>
              <o:lock v:ext="edit"/>
            </v:line>
            <v:line id="_x0000_s1361" o:spid="_x0000_s136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left="118" w:right="38" w:firstLine="425"/>
        <w:rPr>
          <w:rFonts w:hint="eastAsia" w:ascii="MS UI Gothic" w:eastAsia="MS UI Gothic"/>
        </w:rPr>
      </w:pPr>
      <w:r>
        <w:t>第二十五条 检测检验机构有下列情形之一的</w:t>
      </w:r>
      <w:r>
        <w:rPr>
          <w:rFonts w:hint="eastAsia" w:ascii="MS UI Gothic" w:eastAsia="MS UI Gothic"/>
          <w:w w:val="80"/>
        </w:rPr>
        <w:t xml:space="preserve">ꎬ </w:t>
      </w:r>
      <w:r>
        <w:t>视情节轻重</w:t>
      </w:r>
      <w:r>
        <w:rPr>
          <w:rFonts w:hint="eastAsia" w:ascii="MS UI Gothic" w:eastAsia="MS UI Gothic"/>
          <w:w w:val="80"/>
        </w:rPr>
        <w:t xml:space="preserve">ꎬ </w:t>
      </w:r>
      <w:r>
        <w:t>分别予以责令改正</w:t>
      </w:r>
      <w:r>
        <w:rPr>
          <w:rFonts w:hint="eastAsia" w:ascii="MS UI Gothic" w:eastAsia="MS UI Gothic"/>
          <w:w w:val="80"/>
        </w:rPr>
        <w:t xml:space="preserve">、 </w:t>
      </w:r>
      <w:r>
        <w:t>警告</w:t>
      </w:r>
      <w:r>
        <w:rPr>
          <w:rFonts w:hint="eastAsia" w:ascii="MS UI Gothic" w:eastAsia="MS UI Gothic"/>
          <w:w w:val="80"/>
        </w:rPr>
        <w:t xml:space="preserve">、 </w:t>
      </w:r>
      <w:r>
        <w:t xml:space="preserve">暂停 </w:t>
      </w:r>
      <w:r>
        <w:rPr>
          <w:rFonts w:hint="eastAsia" w:ascii="MS UI Gothic" w:eastAsia="MS UI Gothic"/>
          <w:w w:val="80"/>
        </w:rPr>
        <w:t xml:space="preserve">３ </w:t>
      </w:r>
      <w:r>
        <w:t xml:space="preserve">至 </w:t>
      </w:r>
      <w:r>
        <w:rPr>
          <w:rFonts w:hint="eastAsia" w:ascii="MS UI Gothic" w:eastAsia="MS UI Gothic"/>
          <w:w w:val="80"/>
        </w:rPr>
        <w:t xml:space="preserve">６ </w:t>
      </w:r>
      <w:r>
        <w:t>个月检测检验工作</w:t>
      </w:r>
      <w:r>
        <w:rPr>
          <w:rFonts w:hint="eastAsia" w:ascii="MS UI Gothic" w:eastAsia="MS UI Gothic"/>
          <w:w w:val="80"/>
        </w:rPr>
        <w:t xml:space="preserve">、 </w:t>
      </w:r>
      <w:r>
        <w:t>撤销资质的处罚</w:t>
      </w:r>
      <w:r>
        <w:rPr>
          <w:rFonts w:hint="eastAsia" w:ascii="MS UI Gothic" w:eastAsia="MS UI Gothic"/>
          <w:w w:val="80"/>
        </w:rPr>
        <w:t xml:space="preserve">ꎻ </w:t>
      </w:r>
      <w:r>
        <w:t>情节严重的</w:t>
      </w:r>
      <w:r>
        <w:rPr>
          <w:rFonts w:hint="eastAsia" w:ascii="MS UI Gothic" w:eastAsia="MS UI Gothic"/>
          <w:w w:val="80"/>
        </w:rPr>
        <w:t xml:space="preserve">ꎬ </w:t>
      </w:r>
      <w:r>
        <w:t>并处</w:t>
      </w:r>
      <w:r>
        <w:rPr>
          <w:rFonts w:hint="eastAsia" w:ascii="MS UI Gothic" w:eastAsia="MS UI Gothic"/>
          <w:w w:val="80"/>
        </w:rPr>
        <w:t xml:space="preserve">５０００ </w:t>
      </w:r>
      <w:r>
        <w:t xml:space="preserve">元以上 </w:t>
      </w:r>
      <w:r>
        <w:rPr>
          <w:rFonts w:hint="eastAsia" w:ascii="MS UI Gothic" w:eastAsia="MS UI Gothic"/>
          <w:w w:val="80"/>
        </w:rPr>
        <w:t xml:space="preserve">２ </w:t>
      </w:r>
      <w:r>
        <w:t>万元以下的罚款</w:t>
      </w:r>
      <w:r>
        <w:rPr>
          <w:rFonts w:hint="eastAsia" w:ascii="MS UI Gothic" w:eastAsia="MS UI Gothic"/>
          <w:w w:val="22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检测检验不严格执行相关技术规范</w:t>
      </w:r>
      <w:r>
        <w:rPr>
          <w:rFonts w:hint="eastAsia" w:ascii="MS UI Gothic" w:eastAsia="MS UI Gothic"/>
          <w:w w:val="80"/>
        </w:rPr>
        <w:t xml:space="preserve">、 </w:t>
      </w:r>
      <w:r>
        <w:rPr>
          <w:w w:val="105"/>
        </w:rPr>
        <w:t>标准的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出具的检测检验结果错误</w:t>
      </w:r>
      <w:r>
        <w:rPr>
          <w:rFonts w:hint="eastAsia" w:ascii="MS UI Gothic" w:eastAsia="MS UI Gothic"/>
          <w:w w:val="80"/>
        </w:rPr>
        <w:t xml:space="preserve">ꎬ </w:t>
      </w:r>
      <w:r>
        <w:rPr>
          <w:w w:val="105"/>
        </w:rPr>
        <w:t>造成重大以上事故或者重大损失的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检测检验人员未经培训</w:t>
      </w:r>
      <w:r>
        <w:rPr>
          <w:rFonts w:hint="eastAsia" w:ascii="MS UI Gothic" w:eastAsia="MS UI Gothic"/>
          <w:w w:val="80"/>
        </w:rPr>
        <w:t xml:space="preserve">、 </w:t>
      </w:r>
      <w:r>
        <w:rPr>
          <w:w w:val="110"/>
        </w:rPr>
        <w:t>考核的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泄露被检测检验单位技术</w:t>
      </w:r>
      <w:r>
        <w:rPr>
          <w:rFonts w:hint="eastAsia" w:ascii="MS UI Gothic" w:eastAsia="MS UI Gothic"/>
          <w:w w:val="80"/>
        </w:rPr>
        <w:t xml:space="preserve">、  </w:t>
      </w:r>
      <w:r>
        <w:rPr>
          <w:w w:val="105"/>
        </w:rPr>
        <w:t>商业秘密的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利用检测检验机构的名义参与</w:t>
      </w:r>
      <w:r>
        <w:t>企业的商业性活动等影响诚信和公正的</w:t>
      </w:r>
      <w:r>
        <w:rPr>
          <w:rFonts w:hint="eastAsia" w:ascii="MS UI Gothic" w:eastAsia="MS UI Gothic"/>
          <w:w w:val="80"/>
        </w:rPr>
        <w:t>ꎻ</w:t>
      </w:r>
    </w:p>
    <w:p>
      <w:pPr>
        <w:pStyle w:val="6"/>
        <w:spacing w:line="295" w:lineRule="auto"/>
        <w:ind w:left="543" w:right="416" w:firstLine="0"/>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弄虚作假骗取资质证书的</w:t>
      </w:r>
      <w:r>
        <w:rPr>
          <w:rFonts w:hint="eastAsia" w:ascii="MS UI Gothic" w:eastAsia="MS UI Gothic"/>
          <w:w w:val="80"/>
        </w:rPr>
        <w:t>ꎻ</w:t>
      </w: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转让或者出借资质证书的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转包检测检验工作的</w:t>
      </w:r>
      <w:r>
        <w:rPr>
          <w:rFonts w:hint="eastAsia" w:ascii="MS UI Gothic" w:eastAsia="MS UI Gothic"/>
          <w:w w:val="80"/>
        </w:rPr>
        <w:t xml:space="preserve">ꎬ </w:t>
      </w:r>
      <w:r>
        <w:rPr>
          <w:w w:val="105"/>
        </w:rPr>
        <w:t>分包给没有资质的机构的</w:t>
      </w:r>
      <w:r>
        <w:rPr>
          <w:rFonts w:hint="eastAsia" w:ascii="MS UI Gothic" w:eastAsia="MS UI Gothic"/>
          <w:w w:val="80"/>
        </w:rPr>
        <w:t xml:space="preserve">ꎬ </w:t>
      </w:r>
      <w:r>
        <w:rPr>
          <w:w w:val="105"/>
        </w:rPr>
        <w:t>设立分支机构的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阻扰安全生产监督管理部门或</w:t>
      </w:r>
      <w:r>
        <w:t>者煤矿安全监察机构依法进行监督管</w:t>
      </w:r>
      <w:r>
        <w:rPr>
          <w:w w:val="105"/>
        </w:rPr>
        <w:t>理的</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十</w:t>
      </w:r>
      <w:r>
        <w:rPr>
          <w:rFonts w:hint="eastAsia" w:ascii="MS UI Gothic" w:eastAsia="MS UI Gothic"/>
          <w:w w:val="150"/>
        </w:rPr>
        <w:t xml:space="preserve">) </w:t>
      </w:r>
      <w:r>
        <w:rPr>
          <w:w w:val="110"/>
        </w:rPr>
        <w:t>不及时报告重大事故隐患的</w:t>
      </w:r>
      <w:r>
        <w:rPr>
          <w:rFonts w:hint="eastAsia" w:ascii="MS UI Gothic" w:eastAsia="MS UI Gothic"/>
          <w:w w:val="80"/>
        </w:rPr>
        <w:t>ꎮ</w:t>
      </w:r>
    </w:p>
    <w:p>
      <w:pPr>
        <w:pStyle w:val="6"/>
        <w:spacing w:before="43" w:line="295" w:lineRule="auto"/>
        <w:ind w:right="38"/>
        <w:rPr>
          <w:rFonts w:hint="eastAsia" w:ascii="MS UI Gothic" w:eastAsia="MS UI Gothic"/>
        </w:rPr>
      </w:pPr>
      <w:r>
        <w:t>第二十六条 依照本规定第二十条被处罚的</w:t>
      </w:r>
      <w:r>
        <w:rPr>
          <w:rFonts w:hint="eastAsia" w:ascii="MS UI Gothic" w:eastAsia="MS UI Gothic"/>
          <w:w w:val="80"/>
        </w:rPr>
        <w:t xml:space="preserve">ꎬ </w:t>
      </w:r>
      <w:r>
        <w:t>以及被撤销资质的检测检验机构</w:t>
      </w:r>
      <w:r>
        <w:rPr>
          <w:rFonts w:hint="eastAsia" w:ascii="MS UI Gothic" w:eastAsia="MS UI Gothic"/>
          <w:w w:val="80"/>
        </w:rPr>
        <w:t xml:space="preserve">ꎬ ３ </w:t>
      </w:r>
      <w:r>
        <w:t>年内不得申请或者再次申请检测检验资质</w:t>
      </w:r>
      <w:r>
        <w:rPr>
          <w:rFonts w:hint="eastAsia" w:ascii="MS UI Gothic" w:eastAsia="MS UI Gothic"/>
          <w:w w:val="80"/>
        </w:rPr>
        <w:t>ꎮ</w:t>
      </w:r>
    </w:p>
    <w:p>
      <w:pPr>
        <w:pStyle w:val="6"/>
        <w:spacing w:line="295" w:lineRule="auto"/>
        <w:ind w:right="38"/>
      </w:pPr>
      <w:r>
        <w:t>第二十七条 本规定所规定的行政处罚</w:t>
      </w:r>
      <w:r>
        <w:rPr>
          <w:rFonts w:hint="eastAsia" w:ascii="MS UI Gothic" w:eastAsia="MS UI Gothic"/>
          <w:w w:val="80"/>
        </w:rPr>
        <w:t xml:space="preserve">ꎬ </w:t>
      </w:r>
      <w:r>
        <w:t>由资质证书颁发机关决定</w:t>
      </w:r>
      <w:r>
        <w:rPr>
          <w:rFonts w:hint="eastAsia" w:ascii="MS UI Gothic" w:eastAsia="MS UI Gothic"/>
          <w:w w:val="80"/>
        </w:rPr>
        <w:t xml:space="preserve">ꎮ </w:t>
      </w:r>
      <w:r>
        <w:t>对乙级机构的处罚</w:t>
      </w:r>
      <w:r>
        <w:rPr>
          <w:rFonts w:hint="eastAsia" w:ascii="MS UI Gothic" w:eastAsia="MS UI Gothic"/>
          <w:w w:val="80"/>
        </w:rPr>
        <w:t xml:space="preserve">ꎬ </w:t>
      </w:r>
      <w:r>
        <w:t>报安全监管总局备案</w:t>
      </w:r>
      <w:r>
        <w:rPr>
          <w:rFonts w:hint="eastAsia" w:ascii="MS UI Gothic" w:eastAsia="MS UI Gothic"/>
          <w:w w:val="80"/>
        </w:rPr>
        <w:t xml:space="preserve">ꎻ </w:t>
      </w:r>
      <w:r>
        <w:t>对甲级机构的处罚</w:t>
      </w:r>
      <w:r>
        <w:rPr>
          <w:rFonts w:hint="eastAsia" w:ascii="MS UI Gothic" w:eastAsia="MS UI Gothic"/>
          <w:w w:val="80"/>
        </w:rPr>
        <w:t xml:space="preserve">ꎬ </w:t>
      </w:r>
      <w:r>
        <w:t>可以委托省级安全生产监督</w:t>
      </w:r>
    </w:p>
    <w:p>
      <w:pPr>
        <w:pStyle w:val="6"/>
        <w:spacing w:before="123"/>
        <w:ind w:left="118" w:firstLine="0"/>
        <w:jc w:val="left"/>
        <w:rPr>
          <w:rFonts w:hint="eastAsia" w:ascii="MS UI Gothic" w:eastAsia="MS UI Gothic"/>
        </w:rPr>
      </w:pPr>
      <w:r>
        <w:br w:type="column"/>
      </w:r>
      <w:r>
        <w:t>管理部门或者煤矿安全监察机构实施</w:t>
      </w:r>
      <w:r>
        <w:rPr>
          <w:rFonts w:hint="eastAsia" w:ascii="MS UI Gothic" w:eastAsia="MS UI Gothic"/>
          <w:w w:val="80"/>
        </w:rPr>
        <w:t>ꎮ</w:t>
      </w:r>
    </w:p>
    <w:p>
      <w:pPr>
        <w:pStyle w:val="6"/>
        <w:tabs>
          <w:tab w:val="left" w:pos="2005"/>
          <w:tab w:val="left" w:pos="2633"/>
        </w:tabs>
        <w:spacing w:before="215"/>
        <w:ind w:left="1166"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spacing w:line="295" w:lineRule="auto"/>
        <w:ind w:left="118" w:right="442"/>
        <w:rPr>
          <w:rFonts w:hint="eastAsia" w:ascii="MS UI Gothic" w:eastAsia="MS UI Gothic"/>
        </w:rPr>
      </w:pPr>
      <w:r>
        <w:rPr>
          <w:spacing w:val="24"/>
          <w:w w:val="110"/>
        </w:rPr>
        <w:t>第二十八条 本规定下列用语的</w:t>
      </w:r>
      <w:r>
        <w:rPr>
          <w:spacing w:val="3"/>
          <w:w w:val="115"/>
        </w:rPr>
        <w:t>含义</w:t>
      </w:r>
      <w:r>
        <w:rPr>
          <w:rFonts w:hint="eastAsia" w:ascii="MS UI Gothic" w:eastAsia="MS UI Gothic"/>
          <w:w w:val="235"/>
        </w:rPr>
        <w:t>:</w:t>
      </w:r>
    </w:p>
    <w:p>
      <w:pPr>
        <w:pStyle w:val="6"/>
        <w:spacing w:line="295" w:lineRule="auto"/>
        <w:ind w:left="118" w:right="442"/>
        <w:rPr>
          <w:rFonts w:hint="eastAsia" w:ascii="MS UI Gothic" w:hAnsi="MS UI Gothic" w:eastAsia="MS UI Gothic"/>
        </w:rPr>
      </w:pPr>
      <w:r>
        <w:rPr>
          <w:spacing w:val="14"/>
        </w:rPr>
        <w:t>安全生产检测检验</w:t>
      </w:r>
      <w:r>
        <w:rPr>
          <w:rFonts w:hint="eastAsia" w:ascii="MS UI Gothic" w:hAnsi="MS UI Gothic" w:eastAsia="MS UI Gothic"/>
          <w:spacing w:val="12"/>
          <w:w w:val="80"/>
        </w:rPr>
        <w:t xml:space="preserve">ꎬ </w:t>
      </w:r>
      <w:r>
        <w:rPr>
          <w:spacing w:val="18"/>
        </w:rPr>
        <w:t xml:space="preserve">是指根据 </w:t>
      </w:r>
      <w:r>
        <w:rPr>
          <w:rFonts w:hint="eastAsia" w:ascii="MS UI Gothic" w:hAnsi="MS UI Gothic" w:eastAsia="MS UI Gothic"/>
          <w:spacing w:val="-7"/>
          <w:w w:val="80"/>
        </w:rPr>
        <w:t xml:space="preserve">« </w:t>
      </w:r>
      <w:r>
        <w:rPr>
          <w:spacing w:val="-11"/>
        </w:rPr>
        <w:t>安</w:t>
      </w:r>
      <w:r>
        <w:rPr>
          <w:spacing w:val="7"/>
        </w:rPr>
        <w:t>全生产法</w:t>
      </w:r>
      <w:r>
        <w:rPr>
          <w:rFonts w:hint="eastAsia" w:ascii="MS UI Gothic" w:hAnsi="MS UI Gothic" w:eastAsia="MS UI Gothic"/>
          <w:spacing w:val="13"/>
          <w:w w:val="80"/>
        </w:rPr>
        <w:t xml:space="preserve">» </w:t>
      </w:r>
      <w:r>
        <w:rPr>
          <w:spacing w:val="16"/>
        </w:rPr>
        <w:t>等相关法律法规</w:t>
      </w:r>
      <w:r>
        <w:rPr>
          <w:rFonts w:hint="eastAsia" w:ascii="MS UI Gothic" w:hAnsi="MS UI Gothic" w:eastAsia="MS UI Gothic"/>
          <w:spacing w:val="1"/>
          <w:w w:val="80"/>
        </w:rPr>
        <w:t xml:space="preserve">、  </w:t>
      </w:r>
      <w:r>
        <w:rPr>
          <w:spacing w:val="15"/>
        </w:rPr>
        <w:t>规章等规</w:t>
      </w:r>
      <w:r>
        <w:rPr>
          <w:spacing w:val="3"/>
        </w:rPr>
        <w:t>定</w:t>
      </w:r>
      <w:r>
        <w:rPr>
          <w:rFonts w:hint="eastAsia" w:ascii="MS UI Gothic" w:hAnsi="MS UI Gothic" w:eastAsia="MS UI Gothic"/>
          <w:spacing w:val="9"/>
          <w:w w:val="80"/>
        </w:rPr>
        <w:t xml:space="preserve">ꎬ </w:t>
      </w:r>
      <w:r>
        <w:rPr>
          <w:spacing w:val="15"/>
        </w:rPr>
        <w:t>依据国家有关标准</w:t>
      </w:r>
      <w:r>
        <w:rPr>
          <w:rFonts w:hint="eastAsia" w:ascii="MS UI Gothic" w:hAnsi="MS UI Gothic" w:eastAsia="MS UI Gothic"/>
          <w:spacing w:val="16"/>
          <w:w w:val="80"/>
        </w:rPr>
        <w:t xml:space="preserve">、 </w:t>
      </w:r>
      <w:r>
        <w:rPr>
          <w:spacing w:val="19"/>
        </w:rPr>
        <w:t>规程等技术规</w:t>
      </w:r>
      <w:r>
        <w:rPr>
          <w:spacing w:val="3"/>
        </w:rPr>
        <w:t>范</w:t>
      </w:r>
      <w:r>
        <w:rPr>
          <w:rFonts w:hint="eastAsia" w:ascii="MS UI Gothic" w:hAnsi="MS UI Gothic" w:eastAsia="MS UI Gothic"/>
          <w:spacing w:val="20"/>
          <w:w w:val="80"/>
        </w:rPr>
        <w:t xml:space="preserve">ꎬ </w:t>
      </w:r>
      <w:r>
        <w:rPr>
          <w:spacing w:val="2"/>
        </w:rPr>
        <w:t>对工矿商贸生产经营单位影响从业人</w:t>
      </w:r>
      <w:r>
        <w:rPr>
          <w:spacing w:val="3"/>
        </w:rPr>
        <w:t>员安全和健康的设施设备</w:t>
      </w:r>
      <w:r>
        <w:rPr>
          <w:rFonts w:hint="eastAsia" w:ascii="MS UI Gothic" w:hAnsi="MS UI Gothic" w:eastAsia="MS UI Gothic"/>
          <w:spacing w:val="16"/>
          <w:w w:val="80"/>
        </w:rPr>
        <w:t xml:space="preserve">、 </w:t>
      </w:r>
      <w:r>
        <w:rPr>
          <w:spacing w:val="2"/>
        </w:rPr>
        <w:t>产品的安全性能和作业场所存在的危险性等进行检测检</w:t>
      </w:r>
      <w:r>
        <w:rPr>
          <w:spacing w:val="3"/>
        </w:rPr>
        <w:t>验</w:t>
      </w:r>
      <w:r>
        <w:rPr>
          <w:rFonts w:hint="eastAsia" w:ascii="MS UI Gothic" w:hAnsi="MS UI Gothic" w:eastAsia="MS UI Gothic"/>
          <w:spacing w:val="20"/>
          <w:w w:val="80"/>
        </w:rPr>
        <w:t xml:space="preserve">ꎬ </w:t>
      </w:r>
      <w:r>
        <w:rPr>
          <w:spacing w:val="2"/>
        </w:rPr>
        <w:t>并出具具有证明作用的数据和结果的</w:t>
      </w:r>
      <w:r>
        <w:rPr>
          <w:spacing w:val="3"/>
        </w:rPr>
        <w:t>活动</w:t>
      </w:r>
      <w:r>
        <w:rPr>
          <w:rFonts w:hint="eastAsia" w:ascii="MS UI Gothic" w:hAnsi="MS UI Gothic" w:eastAsia="MS UI Gothic"/>
          <w:w w:val="80"/>
        </w:rPr>
        <w:t>ꎮ</w:t>
      </w:r>
    </w:p>
    <w:p>
      <w:pPr>
        <w:pStyle w:val="6"/>
        <w:spacing w:line="295" w:lineRule="auto"/>
        <w:ind w:left="118" w:right="442"/>
        <w:rPr>
          <w:rFonts w:hint="eastAsia" w:ascii="MS UI Gothic" w:eastAsia="MS UI Gothic"/>
        </w:rPr>
      </w:pPr>
      <w:r>
        <w:t>安全生产检测检验机构</w:t>
      </w:r>
      <w:r>
        <w:rPr>
          <w:rFonts w:hint="eastAsia" w:ascii="MS UI Gothic" w:eastAsia="MS UI Gothic"/>
          <w:w w:val="80"/>
        </w:rPr>
        <w:t xml:space="preserve">ꎬ </w:t>
      </w:r>
      <w:r>
        <w:t>是指经安全监管总局或者省级安全生产监督管理部</w:t>
      </w:r>
      <w:r>
        <w:rPr>
          <w:w w:val="105"/>
        </w:rPr>
        <w:t>门</w:t>
      </w:r>
      <w:r>
        <w:rPr>
          <w:rFonts w:hint="eastAsia" w:ascii="MS UI Gothic" w:eastAsia="MS UI Gothic"/>
          <w:w w:val="80"/>
        </w:rPr>
        <w:t xml:space="preserve">、 </w:t>
      </w:r>
      <w:r>
        <w:rPr>
          <w:w w:val="105"/>
        </w:rPr>
        <w:t>煤矿安全监察机构认定</w:t>
      </w:r>
      <w:r>
        <w:rPr>
          <w:rFonts w:hint="eastAsia" w:ascii="MS UI Gothic" w:eastAsia="MS UI Gothic"/>
          <w:w w:val="80"/>
        </w:rPr>
        <w:t xml:space="preserve">ꎬ </w:t>
      </w:r>
      <w:r>
        <w:rPr>
          <w:w w:val="105"/>
        </w:rPr>
        <w:t>为安全生产监督管理部门</w:t>
      </w:r>
      <w:r>
        <w:rPr>
          <w:rFonts w:hint="eastAsia" w:ascii="MS UI Gothic" w:eastAsia="MS UI Gothic"/>
          <w:w w:val="80"/>
        </w:rPr>
        <w:t xml:space="preserve">、 </w:t>
      </w:r>
      <w:r>
        <w:rPr>
          <w:w w:val="105"/>
        </w:rPr>
        <w:t>煤矿安全监察机构和工矿</w:t>
      </w:r>
      <w:r>
        <w:t>商贸生产经营单位提供安全生产检测检验</w:t>
      </w:r>
      <w:r>
        <w:rPr>
          <w:w w:val="105"/>
        </w:rPr>
        <w:t>技术服务的中介组织</w:t>
      </w:r>
      <w:r>
        <w:rPr>
          <w:rFonts w:hint="eastAsia" w:ascii="MS UI Gothic" w:eastAsia="MS UI Gothic"/>
          <w:w w:val="80"/>
        </w:rPr>
        <w:t>ꎮ</w:t>
      </w:r>
    </w:p>
    <w:p>
      <w:pPr>
        <w:pStyle w:val="6"/>
        <w:spacing w:line="295" w:lineRule="auto"/>
        <w:ind w:left="118" w:right="442"/>
        <w:rPr>
          <w:rFonts w:hint="eastAsia" w:ascii="MS UI Gothic" w:eastAsia="MS UI Gothic"/>
        </w:rPr>
      </w:pPr>
      <w:r>
        <w:t>安全生产检测检验人员</w:t>
      </w:r>
      <w:r>
        <w:rPr>
          <w:rFonts w:hint="eastAsia" w:ascii="MS UI Gothic" w:eastAsia="MS UI Gothic"/>
          <w:w w:val="80"/>
        </w:rPr>
        <w:t xml:space="preserve">ꎬ </w:t>
      </w:r>
      <w:r>
        <w:t>是指在安全生产检测检验机构内从事检测检验工作的专职人员</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第二十九条 有特殊专业技能的境外</w:t>
      </w:r>
      <w:r>
        <w:t>机构以及在境内的外资机构申请安全生产检测检验资质</w:t>
      </w:r>
      <w:r>
        <w:rPr>
          <w:rFonts w:hint="eastAsia" w:ascii="MS UI Gothic" w:eastAsia="MS UI Gothic"/>
          <w:w w:val="80"/>
        </w:rPr>
        <w:t xml:space="preserve">ꎬ </w:t>
      </w:r>
      <w:r>
        <w:t>参照本规定和其他有关规</w:t>
      </w:r>
      <w:r>
        <w:rPr>
          <w:w w:val="105"/>
        </w:rPr>
        <w:t>定由安全监管总局办理</w:t>
      </w:r>
      <w:r>
        <w:rPr>
          <w:rFonts w:hint="eastAsia" w:ascii="MS UI Gothic" w:eastAsia="MS UI Gothic"/>
          <w:w w:val="80"/>
        </w:rPr>
        <w:t>ꎮ</w:t>
      </w:r>
    </w:p>
    <w:p>
      <w:pPr>
        <w:pStyle w:val="6"/>
        <w:spacing w:line="253" w:lineRule="exact"/>
        <w:ind w:left="538" w:firstLine="0"/>
        <w:rPr>
          <w:rFonts w:hint="eastAsia" w:ascii="MS UI Gothic" w:eastAsia="MS UI Gothic"/>
        </w:rPr>
      </w:pPr>
      <w:r>
        <w:t xml:space="preserve">第三十条 本规定自 </w:t>
      </w:r>
      <w:r>
        <w:rPr>
          <w:rFonts w:hint="eastAsia" w:ascii="MS UI Gothic" w:eastAsia="MS UI Gothic"/>
        </w:rPr>
        <w:t xml:space="preserve">２００７ </w:t>
      </w:r>
      <w:r>
        <w:t xml:space="preserve">年 </w:t>
      </w:r>
      <w:r>
        <w:rPr>
          <w:rFonts w:hint="eastAsia" w:ascii="MS UI Gothic" w:eastAsia="MS UI Gothic"/>
        </w:rPr>
        <w:t xml:space="preserve">４ </w:t>
      </w:r>
      <w:r>
        <w:t xml:space="preserve">月 </w:t>
      </w:r>
      <w:r>
        <w:rPr>
          <w:rFonts w:hint="eastAsia" w:ascii="MS UI Gothic" w:eastAsia="MS UI Gothic"/>
        </w:rPr>
        <w:t>１</w:t>
      </w:r>
    </w:p>
    <w:p>
      <w:pPr>
        <w:pStyle w:val="6"/>
        <w:spacing w:before="43" w:line="295" w:lineRule="auto"/>
        <w:ind w:left="118" w:right="442" w:firstLine="0"/>
        <w:rPr>
          <w:rFonts w:hint="eastAsia" w:ascii="MS UI Gothic" w:hAnsi="MS UI Gothic" w:eastAsia="MS UI Gothic"/>
        </w:rPr>
      </w:pPr>
      <w:r>
        <w:rPr>
          <w:w w:val="95"/>
        </w:rPr>
        <w:t>日起施行</w:t>
      </w:r>
      <w:r>
        <w:rPr>
          <w:rFonts w:hint="eastAsia" w:ascii="MS UI Gothic" w:hAnsi="MS UI Gothic" w:eastAsia="MS UI Gothic"/>
          <w:w w:val="90"/>
        </w:rPr>
        <w:t xml:space="preserve">ꎮ </w:t>
      </w:r>
      <w:r>
        <w:rPr>
          <w:w w:val="95"/>
        </w:rPr>
        <w:t xml:space="preserve">原国家经济贸易委员会 </w:t>
      </w:r>
      <w:r>
        <w:rPr>
          <w:rFonts w:hint="eastAsia" w:ascii="MS UI Gothic" w:hAnsi="MS UI Gothic" w:eastAsia="MS UI Gothic"/>
          <w:w w:val="95"/>
        </w:rPr>
        <w:t xml:space="preserve">２００２ </w:t>
      </w:r>
      <w:r>
        <w:rPr>
          <w:w w:val="95"/>
        </w:rPr>
        <w:t xml:space="preserve">年公布的 </w:t>
      </w:r>
      <w:r>
        <w:rPr>
          <w:rFonts w:hint="eastAsia" w:ascii="MS UI Gothic" w:hAnsi="MS UI Gothic" w:eastAsia="MS UI Gothic"/>
          <w:w w:val="95"/>
        </w:rPr>
        <w:t xml:space="preserve">« </w:t>
      </w:r>
      <w:r>
        <w:rPr>
          <w:w w:val="95"/>
        </w:rPr>
        <w:t>煤矿矿用安全产品检验管理办法</w:t>
      </w:r>
      <w:r>
        <w:rPr>
          <w:rFonts w:hint="eastAsia" w:ascii="MS UI Gothic" w:hAnsi="MS UI Gothic" w:eastAsia="MS UI Gothic"/>
          <w:w w:val="95"/>
        </w:rPr>
        <w:t xml:space="preserve">» </w:t>
      </w:r>
      <w:r>
        <w:rPr>
          <w:w w:val="95"/>
        </w:rPr>
        <w:t>同时废止</w:t>
      </w:r>
      <w:r>
        <w:rPr>
          <w:rFonts w:hint="eastAsia" w:ascii="MS UI Gothic" w:hAnsi="MS UI Gothic" w:eastAsia="MS UI Gothic"/>
          <w:w w:val="9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34" w:space="264"/>
            <w:col w:w="4342"/>
          </w:cols>
        </w:sectPr>
      </w:pPr>
    </w:p>
    <w:p>
      <w:pPr>
        <w:spacing w:before="192"/>
        <w:ind w:left="2648" w:right="0" w:firstLine="0"/>
        <w:jc w:val="center"/>
        <w:rPr>
          <w:sz w:val="17"/>
        </w:rPr>
      </w:pPr>
      <w:r>
        <w:rPr>
          <w:sz w:val="17"/>
        </w:rPr>
        <w:t>四</w:t>
      </w:r>
      <w:r>
        <w:rPr>
          <w:rFonts w:hint="eastAsia" w:ascii="Microsoft Yi Baiti" w:eastAsia="Microsoft Yi Baiti"/>
          <w:sz w:val="17"/>
        </w:rPr>
        <w:t xml:space="preserve">、 </w:t>
      </w:r>
      <w:r>
        <w:rPr>
          <w:sz w:val="17"/>
        </w:rPr>
        <w:t>安 全 生 产 法</w:t>
      </w:r>
    </w:p>
    <w:p>
      <w:pPr>
        <w:pStyle w:val="6"/>
        <w:ind w:left="0" w:firstLine="0"/>
        <w:jc w:val="left"/>
        <w:rPr>
          <w:sz w:val="24"/>
        </w:rPr>
      </w:pPr>
    </w:p>
    <w:p>
      <w:pPr>
        <w:pStyle w:val="6"/>
        <w:spacing w:before="1"/>
        <w:ind w:left="0" w:firstLine="0"/>
        <w:jc w:val="left"/>
        <w:rPr>
          <w:sz w:val="23"/>
        </w:rPr>
      </w:pPr>
    </w:p>
    <w:p>
      <w:pPr>
        <w:pStyle w:val="4"/>
        <w:spacing w:before="0"/>
        <w:ind w:left="2622"/>
      </w:pPr>
      <w:r>
        <w:rPr>
          <w:spacing w:val="8"/>
          <w:w w:val="95"/>
        </w:rPr>
        <w:t xml:space="preserve">建设项目安全设施 </w:t>
      </w:r>
      <w:r>
        <w:rPr>
          <w:spacing w:val="-37"/>
          <w:w w:val="80"/>
        </w:rPr>
        <w:t xml:space="preserve">“ </w:t>
      </w:r>
      <w:r>
        <w:rPr>
          <w:spacing w:val="5"/>
          <w:w w:val="95"/>
        </w:rPr>
        <w:t>三同时</w:t>
      </w:r>
      <w:r>
        <w:rPr>
          <w:w w:val="80"/>
        </w:rPr>
        <w:t>”</w:t>
      </w:r>
    </w:p>
    <w:p>
      <w:pPr>
        <w:spacing w:before="39"/>
        <w:ind w:left="2622" w:right="0" w:firstLine="0"/>
        <w:jc w:val="center"/>
        <w:rPr>
          <w:rFonts w:hint="eastAsia" w:ascii="Microsoft Yi Baiti" w:eastAsia="Microsoft Yi Baiti"/>
          <w:sz w:val="27"/>
        </w:rPr>
      </w:pPr>
      <w:r>
        <w:rPr>
          <w:spacing w:val="7"/>
          <w:w w:val="95"/>
          <w:sz w:val="27"/>
        </w:rPr>
        <w:t xml:space="preserve">监督管理办法 </w:t>
      </w:r>
      <w:r>
        <w:rPr>
          <w:rFonts w:hint="eastAsia" w:ascii="Microsoft Yi Baiti" w:eastAsia="Microsoft Yi Baiti"/>
          <w:spacing w:val="3"/>
          <w:w w:val="95"/>
          <w:sz w:val="27"/>
        </w:rPr>
        <w:t>(</w:t>
      </w:r>
      <w:r>
        <w:rPr>
          <w:rFonts w:hint="eastAsia" w:ascii="MS UI Gothic" w:eastAsia="MS UI Gothic"/>
          <w:spacing w:val="3"/>
          <w:w w:val="95"/>
          <w:sz w:val="27"/>
        </w:rPr>
        <w:t xml:space="preserve">２０１５ </w:t>
      </w:r>
      <w:r>
        <w:rPr>
          <w:spacing w:val="5"/>
          <w:w w:val="95"/>
          <w:sz w:val="27"/>
        </w:rPr>
        <w:t>年修订</w:t>
      </w:r>
      <w:r>
        <w:rPr>
          <w:rFonts w:hint="eastAsia" w:ascii="Microsoft Yi Baiti" w:eastAsia="Microsoft Yi Baiti"/>
          <w:spacing w:val="-12"/>
          <w:w w:val="95"/>
          <w:sz w:val="27"/>
        </w:rPr>
        <w:t>)</w:t>
      </w:r>
    </w:p>
    <w:p>
      <w:pPr>
        <w:pStyle w:val="6"/>
        <w:spacing w:before="159"/>
        <w:ind w:left="1278" w:firstLine="0"/>
        <w:jc w:val="left"/>
        <w:rPr>
          <w:rFonts w:hint="eastAsia" w:ascii="MS UI Gothic" w:eastAsia="MS UI Gothic"/>
        </w:rPr>
      </w:pPr>
      <w:r>
        <w:br w:type="column"/>
      </w:r>
      <w:r>
        <w:rPr>
          <w:rFonts w:hint="eastAsia" w:ascii="MS UI Gothic" w:eastAsia="MS UI Gothic"/>
          <w:spacing w:val="1"/>
          <w:w w:val="75"/>
        </w:rPr>
        <w:t>１０５</w:t>
      </w:r>
    </w:p>
    <w:p>
      <w:pPr>
        <w:spacing w:after="0"/>
        <w:jc w:val="left"/>
        <w:rPr>
          <w:rFonts w:hint="eastAsia" w:ascii="MS UI Gothic" w:eastAsia="MS UI Gothic"/>
        </w:rPr>
        <w:sectPr>
          <w:pgSz w:w="10500" w:h="14750"/>
          <w:pgMar w:top="960" w:right="980" w:bottom="280" w:left="980" w:header="720" w:footer="720" w:gutter="0"/>
          <w:cols w:equalWidth="0" w:num="2">
            <w:col w:w="6195" w:space="40"/>
            <w:col w:w="2305"/>
          </w:cols>
        </w:sectPr>
      </w:pPr>
    </w:p>
    <w:p>
      <w:pPr>
        <w:pStyle w:val="6"/>
        <w:spacing w:before="12"/>
        <w:ind w:left="0" w:firstLine="0"/>
        <w:jc w:val="left"/>
        <w:rPr>
          <w:rFonts w:ascii="MS UI Gothic"/>
          <w:sz w:val="14"/>
        </w:rPr>
      </w:pPr>
    </w:p>
    <w:p>
      <w:pPr>
        <w:pStyle w:val="6"/>
        <w:spacing w:before="175" w:line="295" w:lineRule="auto"/>
        <w:ind w:left="440" w:right="126"/>
        <w:rPr>
          <w:rFonts w:hint="eastAsia" w:ascii="Microsoft Yi Baiti" w:hAnsi="Microsoft Yi Baiti" w:eastAsia="Microsoft Yi Baiti"/>
        </w:rPr>
      </w:pPr>
      <w:r>
        <w:pict>
          <v:shape id="_x0000_s1362" o:spid="_x0000_s1362" style="position:absolute;left:0pt;margin-left:0pt;margin-top:603.4pt;height:1.75pt;width:398.25pt;mso-position-horizontal-relative:page;z-index:251790336;mso-width-relative:page;mso-height-relative:page;" filled="f" stroked="t" coordorigin="0,12068" coordsize="7965,35" path="m1419,-1418l9384,-1418m1419,-1453l9384,-1453e">
            <v:path arrowok="t"/>
            <v:fill on="f" focussize="0,0"/>
            <v:stroke weight="0.388031496062992pt" color="#231F20"/>
            <v:imagedata o:title=""/>
            <o:lock v:ext="edit"/>
          </v:shape>
        </w:pict>
      </w:r>
      <w:r>
        <w:rPr>
          <w:rFonts w:hint="eastAsia" w:ascii="Microsoft Yi Baiti" w:hAnsi="Microsoft Yi Baiti" w:eastAsia="Microsoft Yi Baiti"/>
          <w:spacing w:val="2"/>
        </w:rPr>
        <w:t>(</w:t>
      </w:r>
      <w:r>
        <w:rPr>
          <w:rFonts w:hint="eastAsia" w:ascii="MS UI Gothic" w:hAnsi="MS UI Gothic" w:eastAsia="MS UI Gothic"/>
          <w:spacing w:val="-4"/>
        </w:rPr>
        <w:t xml:space="preserve">２０１０ </w:t>
      </w:r>
      <w:r>
        <w:rPr>
          <w:spacing w:val="-35"/>
        </w:rPr>
        <w:t xml:space="preserve">年 </w:t>
      </w:r>
      <w:r>
        <w:rPr>
          <w:rFonts w:hint="eastAsia" w:ascii="MS UI Gothic" w:hAnsi="MS UI Gothic" w:eastAsia="MS UI Gothic"/>
          <w:spacing w:val="-9"/>
        </w:rPr>
        <w:t xml:space="preserve">１２ </w:t>
      </w:r>
      <w:r>
        <w:rPr>
          <w:spacing w:val="-35"/>
        </w:rPr>
        <w:t xml:space="preserve">月 </w:t>
      </w:r>
      <w:r>
        <w:rPr>
          <w:rFonts w:hint="eastAsia" w:ascii="MS UI Gothic" w:hAnsi="MS UI Gothic" w:eastAsia="MS UI Gothic"/>
          <w:spacing w:val="-9"/>
        </w:rPr>
        <w:t xml:space="preserve">１４ </w:t>
      </w:r>
      <w:r>
        <w:rPr>
          <w:spacing w:val="-3"/>
        </w:rPr>
        <w:t xml:space="preserve">日国家安全生产监管总局令第 </w:t>
      </w:r>
      <w:r>
        <w:rPr>
          <w:rFonts w:hint="eastAsia" w:ascii="MS UI Gothic" w:hAnsi="MS UI Gothic" w:eastAsia="MS UI Gothic"/>
          <w:spacing w:val="-8"/>
        </w:rPr>
        <w:t xml:space="preserve">３６ </w:t>
      </w:r>
      <w:r>
        <w:rPr>
          <w:spacing w:val="-4"/>
        </w:rPr>
        <w:t xml:space="preserve">号公布 根据 </w:t>
      </w:r>
      <w:r>
        <w:rPr>
          <w:rFonts w:hint="eastAsia" w:ascii="MS UI Gothic" w:hAnsi="MS UI Gothic" w:eastAsia="MS UI Gothic"/>
          <w:spacing w:val="-5"/>
        </w:rPr>
        <w:t xml:space="preserve">２０１５ </w:t>
      </w:r>
      <w:r>
        <w:rPr>
          <w:spacing w:val="-34"/>
        </w:rPr>
        <w:t xml:space="preserve">年 </w:t>
      </w:r>
      <w:r>
        <w:rPr>
          <w:rFonts w:hint="eastAsia" w:ascii="MS UI Gothic" w:hAnsi="MS UI Gothic" w:eastAsia="MS UI Gothic"/>
          <w:spacing w:val="-12"/>
        </w:rPr>
        <w:t xml:space="preserve">４ </w:t>
      </w:r>
      <w:r>
        <w:rPr>
          <w:spacing w:val="-34"/>
        </w:rPr>
        <w:t xml:space="preserve">月 </w:t>
      </w:r>
      <w:r>
        <w:rPr>
          <w:rFonts w:hint="eastAsia" w:ascii="MS UI Gothic" w:hAnsi="MS UI Gothic" w:eastAsia="MS UI Gothic"/>
          <w:spacing w:val="-12"/>
        </w:rPr>
        <w:t xml:space="preserve">２ </w:t>
      </w:r>
      <w:r>
        <w:t>日</w:t>
      </w:r>
      <w:r>
        <w:rPr>
          <w:spacing w:val="7"/>
        </w:rPr>
        <w:t xml:space="preserve">国家安全监管总局关于修改 </w:t>
      </w:r>
      <w:r>
        <w:rPr>
          <w:rFonts w:hint="eastAsia" w:ascii="Microsoft Yi Baiti" w:hAnsi="Microsoft Yi Baiti" w:eastAsia="Microsoft Yi Baiti"/>
          <w:w w:val="110"/>
        </w:rPr>
        <w:t xml:space="preserve">« </w:t>
      </w:r>
      <w:r>
        <w:rPr>
          <w:rFonts w:hint="eastAsia" w:ascii="Microsoft Yi Baiti" w:hAnsi="Microsoft Yi Baiti" w:eastAsia="Microsoft Yi Baiti"/>
          <w:spacing w:val="-64"/>
          <w:w w:val="190"/>
        </w:rPr>
        <w:t xml:space="preserve">‹ </w:t>
      </w:r>
      <w:r>
        <w:rPr>
          <w:spacing w:val="9"/>
        </w:rPr>
        <w:t>生产安全事故报告和调查处理条例</w:t>
      </w:r>
      <w:r>
        <w:rPr>
          <w:rFonts w:hint="eastAsia" w:ascii="Microsoft Yi Baiti" w:hAnsi="Microsoft Yi Baiti" w:eastAsia="Microsoft Yi Baiti"/>
          <w:spacing w:val="18"/>
          <w:w w:val="190"/>
        </w:rPr>
        <w:t xml:space="preserve">› </w:t>
      </w:r>
      <w:r>
        <w:rPr>
          <w:spacing w:val="9"/>
        </w:rPr>
        <w:t>罚款处罚暂行规</w:t>
      </w:r>
      <w:r>
        <w:rPr>
          <w:spacing w:val="3"/>
        </w:rPr>
        <w:t>定</w:t>
      </w:r>
      <w:r>
        <w:rPr>
          <w:rFonts w:hint="eastAsia" w:ascii="Microsoft Yi Baiti" w:hAnsi="Microsoft Yi Baiti" w:eastAsia="Microsoft Yi Baiti"/>
          <w:spacing w:val="15"/>
          <w:w w:val="110"/>
        </w:rPr>
        <w:t xml:space="preserve">» </w:t>
      </w:r>
      <w:r>
        <w:rPr>
          <w:spacing w:val="3"/>
        </w:rPr>
        <w:t>等四部规章的决定修订</w:t>
      </w:r>
      <w:r>
        <w:rPr>
          <w:rFonts w:hint="eastAsia" w:ascii="Microsoft Yi Baiti" w:hAnsi="Microsoft Yi Baiti" w:eastAsia="Microsoft Yi Baiti"/>
        </w:rPr>
        <w:t>)</w:t>
      </w:r>
    </w:p>
    <w:p>
      <w:pPr>
        <w:pStyle w:val="6"/>
        <w:spacing w:before="4"/>
        <w:ind w:left="0" w:firstLine="0"/>
        <w:jc w:val="left"/>
        <w:rPr>
          <w:rFonts w:ascii="Microsoft Yi Baiti"/>
          <w:sz w:val="13"/>
        </w:rPr>
      </w:pPr>
    </w:p>
    <w:p>
      <w:pPr>
        <w:spacing w:after="0"/>
        <w:jc w:val="left"/>
        <w:rPr>
          <w:rFonts w:ascii="Microsoft Yi Baiti"/>
          <w:sz w:val="13"/>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302" w:lineRule="auto"/>
        <w:ind w:left="440"/>
        <w:rPr>
          <w:rFonts w:hint="eastAsia" w:ascii="MS UI Gothic" w:hAnsi="MS UI Gothic" w:eastAsia="MS UI Gothic"/>
        </w:rPr>
      </w:pPr>
      <w:r>
        <w:t>第一条 为加强建设项目安全管理</w:t>
      </w:r>
      <w:r>
        <w:rPr>
          <w:rFonts w:hint="eastAsia" w:ascii="MS UI Gothic" w:hAnsi="MS UI Gothic" w:eastAsia="MS UI Gothic"/>
          <w:w w:val="80"/>
        </w:rPr>
        <w:t>ꎬ</w:t>
      </w:r>
      <w:r>
        <w:t>预防和减少生产安全事故</w:t>
      </w:r>
      <w:r>
        <w:rPr>
          <w:rFonts w:hint="eastAsia" w:ascii="MS UI Gothic" w:hAnsi="MS UI Gothic" w:eastAsia="MS UI Gothic"/>
          <w:w w:val="80"/>
        </w:rPr>
        <w:t xml:space="preserve">ꎬ </w:t>
      </w:r>
      <w:r>
        <w:t>保障从业人员生命和财产安全</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中华人民共和国安全生产法</w:t>
      </w:r>
      <w:r>
        <w:rPr>
          <w:rFonts w:hint="eastAsia" w:ascii="MS UI Gothic" w:hAnsi="MS UI Gothic" w:eastAsia="MS UI Gothic"/>
          <w:w w:val="80"/>
        </w:rPr>
        <w:t xml:space="preserve">» </w:t>
      </w:r>
      <w:r>
        <w:t xml:space="preserve">和 </w:t>
      </w:r>
      <w:r>
        <w:rPr>
          <w:rFonts w:hint="eastAsia" w:ascii="MS UI Gothic" w:hAnsi="MS UI Gothic" w:eastAsia="MS UI Gothic"/>
          <w:w w:val="80"/>
        </w:rPr>
        <w:t xml:space="preserve">« </w:t>
      </w:r>
      <w:r>
        <w:t>国务院关于进一步加强企业安全生产工作的通知</w:t>
      </w:r>
      <w:r>
        <w:rPr>
          <w:rFonts w:hint="eastAsia" w:ascii="MS UI Gothic" w:hAnsi="MS UI Gothic" w:eastAsia="MS UI Gothic"/>
          <w:w w:val="80"/>
        </w:rPr>
        <w:t xml:space="preserve">» </w:t>
      </w:r>
      <w:r>
        <w:t>等法律</w:t>
      </w:r>
      <w:r>
        <w:rPr>
          <w:rFonts w:hint="eastAsia" w:ascii="MS UI Gothic" w:hAnsi="MS UI Gothic" w:eastAsia="MS UI Gothic"/>
          <w:w w:val="80"/>
        </w:rPr>
        <w:t>、</w:t>
      </w:r>
      <w:r>
        <w:t>行政法规和规定</w:t>
      </w:r>
      <w:r>
        <w:rPr>
          <w:rFonts w:hint="eastAsia" w:ascii="MS UI Gothic" w:hAnsi="MS UI Gothic" w:eastAsia="MS UI Gothic"/>
          <w:w w:val="80"/>
        </w:rPr>
        <w:t xml:space="preserve">ꎬ </w:t>
      </w:r>
      <w:r>
        <w:t>制定本办法</w:t>
      </w:r>
      <w:r>
        <w:rPr>
          <w:rFonts w:hint="eastAsia" w:ascii="MS UI Gothic" w:hAnsi="MS UI Gothic" w:eastAsia="MS UI Gothic"/>
          <w:w w:val="80"/>
        </w:rPr>
        <w:t>ꎮ</w:t>
      </w:r>
    </w:p>
    <w:p>
      <w:pPr>
        <w:pStyle w:val="6"/>
        <w:spacing w:line="300" w:lineRule="auto"/>
        <w:ind w:left="440" w:right="1"/>
        <w:rPr>
          <w:rFonts w:hint="eastAsia" w:ascii="MS UI Gothic" w:eastAsia="MS UI Gothic"/>
        </w:rPr>
      </w:pPr>
      <w:r>
        <w:rPr>
          <w:spacing w:val="2"/>
          <w:w w:val="105"/>
        </w:rPr>
        <w:t>第二条 经县级以上人民政府及其有</w:t>
      </w:r>
      <w:r>
        <w:rPr>
          <w:spacing w:val="3"/>
          <w:w w:val="105"/>
        </w:rPr>
        <w:t>关主管部门依法审批</w:t>
      </w:r>
      <w:r>
        <w:rPr>
          <w:rFonts w:hint="eastAsia" w:ascii="MS UI Gothic" w:eastAsia="MS UI Gothic"/>
          <w:spacing w:val="-5"/>
          <w:w w:val="80"/>
        </w:rPr>
        <w:t xml:space="preserve">、 </w:t>
      </w:r>
      <w:r>
        <w:rPr>
          <w:spacing w:val="2"/>
          <w:w w:val="105"/>
        </w:rPr>
        <w:t>核准或者备案的生</w:t>
      </w:r>
      <w:r>
        <w:rPr>
          <w:spacing w:val="11"/>
          <w:w w:val="105"/>
        </w:rPr>
        <w:t>产经营单位新建</w:t>
      </w:r>
      <w:r>
        <w:rPr>
          <w:rFonts w:hint="eastAsia" w:ascii="MS UI Gothic" w:eastAsia="MS UI Gothic"/>
          <w:spacing w:val="18"/>
          <w:w w:val="80"/>
        </w:rPr>
        <w:t xml:space="preserve">、 </w:t>
      </w:r>
      <w:r>
        <w:rPr>
          <w:spacing w:val="13"/>
          <w:w w:val="105"/>
        </w:rPr>
        <w:t>改建</w:t>
      </w:r>
      <w:r>
        <w:rPr>
          <w:rFonts w:hint="eastAsia" w:ascii="MS UI Gothic" w:eastAsia="MS UI Gothic"/>
          <w:spacing w:val="18"/>
          <w:w w:val="80"/>
        </w:rPr>
        <w:t xml:space="preserve">、 </w:t>
      </w:r>
      <w:r>
        <w:rPr>
          <w:spacing w:val="17"/>
          <w:w w:val="105"/>
        </w:rPr>
        <w:t>扩建工程项目</w:t>
      </w:r>
      <w:r>
        <w:rPr>
          <w:rFonts w:hint="eastAsia" w:ascii="MS UI Gothic" w:eastAsia="MS UI Gothic"/>
          <w:spacing w:val="-39"/>
          <w:w w:val="150"/>
        </w:rPr>
        <w:t xml:space="preserve">( </w:t>
      </w:r>
      <w:r>
        <w:rPr>
          <w:spacing w:val="4"/>
          <w:w w:val="105"/>
        </w:rPr>
        <w:t>以下统称建设项目</w:t>
      </w:r>
      <w:r>
        <w:rPr>
          <w:rFonts w:hint="eastAsia" w:ascii="MS UI Gothic" w:eastAsia="MS UI Gothic"/>
          <w:spacing w:val="1"/>
          <w:w w:val="150"/>
        </w:rPr>
        <w:t xml:space="preserve">) </w:t>
      </w:r>
      <w:r>
        <w:rPr>
          <w:spacing w:val="7"/>
          <w:w w:val="105"/>
        </w:rPr>
        <w:t>安全设施的建设及</w:t>
      </w:r>
      <w:r>
        <w:rPr>
          <w:spacing w:val="3"/>
          <w:w w:val="105"/>
        </w:rPr>
        <w:t>其监督管理</w:t>
      </w:r>
      <w:r>
        <w:rPr>
          <w:rFonts w:hint="eastAsia" w:ascii="MS UI Gothic" w:eastAsia="MS UI Gothic"/>
          <w:spacing w:val="22"/>
          <w:w w:val="80"/>
        </w:rPr>
        <w:t xml:space="preserve">ꎬ </w:t>
      </w:r>
      <w:r>
        <w:rPr>
          <w:spacing w:val="3"/>
          <w:w w:val="105"/>
        </w:rPr>
        <w:t>适用本办法</w:t>
      </w:r>
      <w:r>
        <w:rPr>
          <w:rFonts w:hint="eastAsia" w:ascii="MS UI Gothic" w:eastAsia="MS UI Gothic"/>
          <w:w w:val="80"/>
        </w:rPr>
        <w:t>ꎮ</w:t>
      </w:r>
    </w:p>
    <w:p>
      <w:pPr>
        <w:pStyle w:val="6"/>
        <w:spacing w:line="300" w:lineRule="auto"/>
        <w:ind w:left="440"/>
        <w:rPr>
          <w:rFonts w:hint="eastAsia" w:ascii="MS UI Gothic" w:eastAsia="MS UI Gothic"/>
        </w:rPr>
      </w:pPr>
      <w:r>
        <w:t>法律</w:t>
      </w:r>
      <w:r>
        <w:rPr>
          <w:rFonts w:hint="eastAsia" w:ascii="MS UI Gothic" w:eastAsia="MS UI Gothic"/>
          <w:w w:val="80"/>
        </w:rPr>
        <w:t xml:space="preserve">、 </w:t>
      </w:r>
      <w:r>
        <w:t>行政法规及国务院对建设项目安全设施建设及其监督管理另有规定的</w:t>
      </w:r>
      <w:r>
        <w:rPr>
          <w:rFonts w:hint="eastAsia" w:ascii="MS UI Gothic" w:eastAsia="MS UI Gothic"/>
          <w:w w:val="80"/>
        </w:rPr>
        <w:t>ꎬ</w:t>
      </w:r>
      <w:r>
        <w:t>依照其规定</w:t>
      </w:r>
      <w:r>
        <w:rPr>
          <w:rFonts w:hint="eastAsia" w:ascii="MS UI Gothic" w:eastAsia="MS UI Gothic"/>
          <w:w w:val="80"/>
        </w:rPr>
        <w:t>ꎮ</w:t>
      </w:r>
    </w:p>
    <w:p>
      <w:pPr>
        <w:pStyle w:val="6"/>
        <w:spacing w:line="300" w:lineRule="auto"/>
        <w:ind w:left="440"/>
        <w:rPr>
          <w:rFonts w:hint="eastAsia" w:ascii="MS UI Gothic" w:eastAsia="MS UI Gothic"/>
        </w:rPr>
      </w:pPr>
      <w:r>
        <w:rPr>
          <w:spacing w:val="2"/>
          <w:w w:val="105"/>
        </w:rPr>
        <w:t>第三条 本办法所称的建设项目安全</w:t>
      </w:r>
      <w:r>
        <w:rPr>
          <w:spacing w:val="3"/>
        </w:rPr>
        <w:t>设施</w:t>
      </w:r>
      <w:r>
        <w:rPr>
          <w:rFonts w:hint="eastAsia" w:ascii="MS UI Gothic" w:eastAsia="MS UI Gothic"/>
          <w:spacing w:val="21"/>
          <w:w w:val="80"/>
        </w:rPr>
        <w:t xml:space="preserve">ꎬ </w:t>
      </w:r>
      <w:r>
        <w:rPr>
          <w:spacing w:val="2"/>
        </w:rPr>
        <w:t>是指生产经营单位在生产经营活动</w:t>
      </w:r>
      <w:r>
        <w:rPr>
          <w:spacing w:val="5"/>
          <w:w w:val="105"/>
        </w:rPr>
        <w:t>中用于预防生产安全事故的设备</w:t>
      </w:r>
      <w:r>
        <w:rPr>
          <w:rFonts w:hint="eastAsia" w:ascii="MS UI Gothic" w:eastAsia="MS UI Gothic"/>
          <w:spacing w:val="-2"/>
          <w:w w:val="80"/>
        </w:rPr>
        <w:t xml:space="preserve">、 </w:t>
      </w:r>
      <w:r>
        <w:rPr>
          <w:spacing w:val="8"/>
          <w:w w:val="105"/>
        </w:rPr>
        <w:t>设施</w:t>
      </w:r>
      <w:r>
        <w:rPr>
          <w:rFonts w:hint="eastAsia" w:ascii="MS UI Gothic" w:eastAsia="MS UI Gothic"/>
          <w:w w:val="80"/>
        </w:rPr>
        <w:t>、</w:t>
      </w:r>
      <w:r>
        <w:rPr>
          <w:spacing w:val="3"/>
          <w:w w:val="105"/>
        </w:rPr>
        <w:t>装置</w:t>
      </w:r>
      <w:r>
        <w:rPr>
          <w:rFonts w:hint="eastAsia" w:ascii="MS UI Gothic" w:eastAsia="MS UI Gothic"/>
          <w:spacing w:val="23"/>
          <w:w w:val="80"/>
        </w:rPr>
        <w:t xml:space="preserve">、 </w:t>
      </w:r>
      <w:r>
        <w:rPr>
          <w:spacing w:val="-4"/>
          <w:w w:val="105"/>
        </w:rPr>
        <w:t xml:space="preserve">构 </w:t>
      </w:r>
      <w:r>
        <w:rPr>
          <w:rFonts w:hint="eastAsia" w:ascii="MS UI Gothic" w:eastAsia="MS UI Gothic"/>
          <w:spacing w:val="-33"/>
          <w:w w:val="150"/>
        </w:rPr>
        <w:t xml:space="preserve">( </w:t>
      </w:r>
      <w:r>
        <w:rPr>
          <w:spacing w:val="15"/>
          <w:w w:val="105"/>
        </w:rPr>
        <w:t>建</w:t>
      </w:r>
      <w:r>
        <w:rPr>
          <w:rFonts w:hint="eastAsia" w:ascii="MS UI Gothic" w:eastAsia="MS UI Gothic"/>
          <w:spacing w:val="15"/>
          <w:w w:val="150"/>
        </w:rPr>
        <w:t xml:space="preserve">) </w:t>
      </w:r>
      <w:r>
        <w:rPr>
          <w:spacing w:val="17"/>
          <w:w w:val="105"/>
        </w:rPr>
        <w:t>筑物和其他技术措施的</w:t>
      </w:r>
      <w:r>
        <w:rPr>
          <w:spacing w:val="3"/>
          <w:w w:val="105"/>
        </w:rPr>
        <w:t>总称</w:t>
      </w:r>
      <w:r>
        <w:rPr>
          <w:rFonts w:hint="eastAsia" w:ascii="MS UI Gothic" w:eastAsia="MS UI Gothic"/>
          <w:w w:val="80"/>
        </w:rPr>
        <w:t>ꎮ</w:t>
      </w:r>
    </w:p>
    <w:p>
      <w:pPr>
        <w:pStyle w:val="6"/>
        <w:spacing w:line="300" w:lineRule="auto"/>
        <w:ind w:left="440"/>
        <w:rPr>
          <w:rFonts w:hint="eastAsia" w:ascii="MS UI Gothic" w:hAnsi="MS UI Gothic" w:eastAsia="MS UI Gothic"/>
        </w:rPr>
      </w:pPr>
      <w:r>
        <w:rPr>
          <w:spacing w:val="2"/>
          <w:w w:val="105"/>
        </w:rPr>
        <w:t>第四条 生产经营单位是建设项目安</w:t>
      </w:r>
      <w:r>
        <w:rPr>
          <w:spacing w:val="3"/>
        </w:rPr>
        <w:t>全设施建设的责任主体</w:t>
      </w:r>
      <w:r>
        <w:rPr>
          <w:rFonts w:hint="eastAsia" w:ascii="MS UI Gothic" w:hAnsi="MS UI Gothic" w:eastAsia="MS UI Gothic"/>
          <w:spacing w:val="21"/>
          <w:w w:val="80"/>
        </w:rPr>
        <w:t xml:space="preserve">ꎮ </w:t>
      </w:r>
      <w:r>
        <w:rPr>
          <w:spacing w:val="2"/>
        </w:rPr>
        <w:t>建设项目安全设</w:t>
      </w:r>
      <w:r>
        <w:rPr>
          <w:spacing w:val="5"/>
          <w:w w:val="105"/>
        </w:rPr>
        <w:t>施必须与主体工程同时设计</w:t>
      </w:r>
      <w:r>
        <w:rPr>
          <w:rFonts w:hint="eastAsia" w:ascii="MS UI Gothic" w:hAnsi="MS UI Gothic" w:eastAsia="MS UI Gothic"/>
          <w:spacing w:val="-2"/>
          <w:w w:val="80"/>
        </w:rPr>
        <w:t xml:space="preserve">、 </w:t>
      </w:r>
      <w:r>
        <w:rPr>
          <w:spacing w:val="10"/>
          <w:w w:val="105"/>
        </w:rPr>
        <w:t>同时施工</w:t>
      </w:r>
      <w:r>
        <w:rPr>
          <w:rFonts w:hint="eastAsia" w:ascii="MS UI Gothic" w:hAnsi="MS UI Gothic" w:eastAsia="MS UI Gothic"/>
          <w:w w:val="80"/>
        </w:rPr>
        <w:t>、</w:t>
      </w:r>
      <w:r>
        <w:rPr>
          <w:spacing w:val="6"/>
          <w:w w:val="105"/>
        </w:rPr>
        <w:t xml:space="preserve">同时投入生产和使用 </w:t>
      </w:r>
      <w:r>
        <w:rPr>
          <w:rFonts w:hint="eastAsia" w:ascii="MS UI Gothic" w:hAnsi="MS UI Gothic" w:eastAsia="MS UI Gothic"/>
          <w:spacing w:val="-33"/>
          <w:w w:val="150"/>
        </w:rPr>
        <w:t xml:space="preserve">( </w:t>
      </w:r>
      <w:r>
        <w:rPr>
          <w:spacing w:val="9"/>
          <w:w w:val="105"/>
        </w:rPr>
        <w:t xml:space="preserve">以下简称 </w:t>
      </w:r>
      <w:r>
        <w:rPr>
          <w:rFonts w:hint="eastAsia" w:ascii="MS UI Gothic" w:hAnsi="MS UI Gothic" w:eastAsia="MS UI Gothic"/>
          <w:spacing w:val="-20"/>
          <w:w w:val="105"/>
        </w:rPr>
        <w:t xml:space="preserve">“ </w:t>
      </w:r>
      <w:r>
        <w:rPr>
          <w:spacing w:val="9"/>
          <w:w w:val="105"/>
        </w:rPr>
        <w:t>三同</w:t>
      </w:r>
      <w:r>
        <w:rPr>
          <w:spacing w:val="3"/>
          <w:w w:val="105"/>
        </w:rPr>
        <w:t>时</w:t>
      </w:r>
      <w:r>
        <w:rPr>
          <w:rFonts w:hint="eastAsia" w:ascii="MS UI Gothic" w:hAnsi="MS UI Gothic" w:eastAsia="MS UI Gothic"/>
          <w:spacing w:val="4"/>
          <w:w w:val="105"/>
        </w:rPr>
        <w:t xml:space="preserve">” </w:t>
      </w:r>
      <w:r>
        <w:rPr>
          <w:rFonts w:hint="eastAsia" w:ascii="MS UI Gothic" w:hAnsi="MS UI Gothic" w:eastAsia="MS UI Gothic"/>
          <w:spacing w:val="-40"/>
          <w:w w:val="150"/>
        </w:rPr>
        <w:t xml:space="preserve">) </w:t>
      </w:r>
      <w:r>
        <w:rPr>
          <w:rFonts w:hint="eastAsia" w:ascii="MS UI Gothic" w:hAnsi="MS UI Gothic" w:eastAsia="MS UI Gothic"/>
          <w:spacing w:val="6"/>
          <w:w w:val="80"/>
        </w:rPr>
        <w:t xml:space="preserve">ꎮ </w:t>
      </w:r>
      <w:r>
        <w:rPr>
          <w:spacing w:val="4"/>
          <w:w w:val="105"/>
        </w:rPr>
        <w:t>安全设施投资应当纳入建设项目</w:t>
      </w:r>
      <w:r>
        <w:rPr>
          <w:spacing w:val="3"/>
          <w:w w:val="105"/>
        </w:rPr>
        <w:t>概算</w:t>
      </w:r>
      <w:r>
        <w:rPr>
          <w:rFonts w:hint="eastAsia" w:ascii="MS UI Gothic" w:hAnsi="MS UI Gothic" w:eastAsia="MS UI Gothic"/>
          <w:w w:val="80"/>
        </w:rPr>
        <w:t>ꎮ</w:t>
      </w:r>
    </w:p>
    <w:p>
      <w:pPr>
        <w:pStyle w:val="6"/>
        <w:spacing w:line="300" w:lineRule="auto"/>
        <w:ind w:left="440" w:right="1"/>
      </w:pPr>
      <w:r>
        <w:rPr>
          <w:w w:val="105"/>
        </w:rPr>
        <w:t xml:space="preserve">第五条 国家安全生产监督管理总局对全国建设项目安全设施 </w:t>
      </w:r>
      <w:r>
        <w:rPr>
          <w:rFonts w:hint="eastAsia" w:ascii="MS UI Gothic" w:hAnsi="MS UI Gothic" w:eastAsia="MS UI Gothic"/>
          <w:w w:val="105"/>
        </w:rPr>
        <w:t xml:space="preserve">“ </w:t>
      </w:r>
      <w:r>
        <w:rPr>
          <w:w w:val="105"/>
        </w:rPr>
        <w:t>三同时</w:t>
      </w:r>
      <w:r>
        <w:rPr>
          <w:rFonts w:hint="eastAsia" w:ascii="MS UI Gothic" w:hAnsi="MS UI Gothic" w:eastAsia="MS UI Gothic"/>
          <w:w w:val="105"/>
        </w:rPr>
        <w:t xml:space="preserve">” </w:t>
      </w:r>
      <w:r>
        <w:rPr>
          <w:w w:val="105"/>
        </w:rPr>
        <w:t>实</w:t>
      </w:r>
      <w:r>
        <w:t>施综合监督管理</w:t>
      </w:r>
      <w:r>
        <w:rPr>
          <w:rFonts w:hint="eastAsia" w:ascii="MS UI Gothic" w:hAnsi="MS UI Gothic" w:eastAsia="MS UI Gothic"/>
          <w:w w:val="80"/>
        </w:rPr>
        <w:t xml:space="preserve">ꎬ </w:t>
      </w:r>
      <w:r>
        <w:t>并在国务院规定的职责</w:t>
      </w:r>
    </w:p>
    <w:p>
      <w:pPr>
        <w:pStyle w:val="6"/>
        <w:spacing w:before="174" w:line="300" w:lineRule="auto"/>
        <w:ind w:left="381" w:right="126" w:firstLine="0"/>
        <w:jc w:val="left"/>
        <w:rPr>
          <w:rFonts w:hint="eastAsia" w:ascii="MS UI Gothic" w:hAnsi="MS UI Gothic" w:eastAsia="MS UI Gothic"/>
        </w:rPr>
      </w:pPr>
      <w:r>
        <w:br w:type="column"/>
      </w:r>
      <w:r>
        <w:rPr>
          <w:w w:val="105"/>
        </w:rPr>
        <w:t xml:space="preserve">范围内承担有关建设项目安全设施 </w:t>
      </w:r>
      <w:r>
        <w:rPr>
          <w:rFonts w:hint="eastAsia" w:ascii="MS UI Gothic" w:hAnsi="MS UI Gothic" w:eastAsia="MS UI Gothic"/>
          <w:w w:val="105"/>
        </w:rPr>
        <w:t xml:space="preserve">“ </w:t>
      </w:r>
      <w:r>
        <w:rPr>
          <w:w w:val="105"/>
        </w:rPr>
        <w:t>三同时</w:t>
      </w:r>
      <w:r>
        <w:rPr>
          <w:rFonts w:hint="eastAsia" w:ascii="MS UI Gothic" w:hAnsi="MS UI Gothic" w:eastAsia="MS UI Gothic"/>
          <w:w w:val="105"/>
        </w:rPr>
        <w:t xml:space="preserve">” </w:t>
      </w:r>
      <w:r>
        <w:rPr>
          <w:w w:val="105"/>
        </w:rPr>
        <w:t>的监督管理</w:t>
      </w:r>
      <w:r>
        <w:rPr>
          <w:rFonts w:hint="eastAsia" w:ascii="MS UI Gothic" w:hAnsi="MS UI Gothic" w:eastAsia="MS UI Gothic"/>
          <w:w w:val="80"/>
        </w:rPr>
        <w:t>ꎮ</w:t>
      </w:r>
    </w:p>
    <w:p>
      <w:pPr>
        <w:pStyle w:val="6"/>
        <w:spacing w:line="300" w:lineRule="auto"/>
        <w:ind w:left="381" w:right="126"/>
        <w:rPr>
          <w:rFonts w:hint="eastAsia" w:ascii="MS UI Gothic" w:hAnsi="MS UI Gothic" w:eastAsia="MS UI Gothic"/>
        </w:rPr>
      </w:pPr>
      <w:r>
        <w:rPr>
          <w:spacing w:val="2"/>
        </w:rPr>
        <w:t xml:space="preserve">县级以上地方各级安全生产监督管理部门对本行政区域内的建设项目安全设施 </w:t>
      </w:r>
      <w:r>
        <w:rPr>
          <w:rFonts w:hint="eastAsia" w:ascii="MS UI Gothic" w:hAnsi="MS UI Gothic" w:eastAsia="MS UI Gothic"/>
          <w:spacing w:val="-26"/>
          <w:w w:val="105"/>
        </w:rPr>
        <w:t xml:space="preserve">“ </w:t>
      </w:r>
      <w:r>
        <w:rPr>
          <w:spacing w:val="3"/>
          <w:w w:val="105"/>
        </w:rPr>
        <w:t>三同时</w:t>
      </w:r>
      <w:r>
        <w:rPr>
          <w:rFonts w:hint="eastAsia" w:ascii="MS UI Gothic" w:hAnsi="MS UI Gothic" w:eastAsia="MS UI Gothic"/>
          <w:spacing w:val="3"/>
          <w:w w:val="105"/>
        </w:rPr>
        <w:t xml:space="preserve">” </w:t>
      </w:r>
      <w:r>
        <w:rPr>
          <w:spacing w:val="8"/>
          <w:w w:val="105"/>
        </w:rPr>
        <w:t>实施综合监督管理</w:t>
      </w:r>
      <w:r>
        <w:rPr>
          <w:rFonts w:hint="eastAsia" w:ascii="MS UI Gothic" w:hAnsi="MS UI Gothic" w:eastAsia="MS UI Gothic"/>
          <w:spacing w:val="6"/>
          <w:w w:val="80"/>
        </w:rPr>
        <w:t xml:space="preserve">ꎬ </w:t>
      </w:r>
      <w:r>
        <w:rPr>
          <w:spacing w:val="7"/>
          <w:w w:val="105"/>
        </w:rPr>
        <w:t>并在本级</w:t>
      </w:r>
      <w:r>
        <w:rPr>
          <w:spacing w:val="2"/>
        </w:rPr>
        <w:t>人民政府规定的职责范围内承担本级人民</w:t>
      </w:r>
      <w:r>
        <w:rPr>
          <w:spacing w:val="3"/>
          <w:w w:val="105"/>
        </w:rPr>
        <w:t>政府及其有关主管部门审批</w:t>
      </w:r>
      <w:r>
        <w:rPr>
          <w:rFonts w:hint="eastAsia" w:ascii="MS UI Gothic" w:hAnsi="MS UI Gothic" w:eastAsia="MS UI Gothic"/>
          <w:spacing w:val="-2"/>
          <w:w w:val="80"/>
        </w:rPr>
        <w:t xml:space="preserve">、 </w:t>
      </w:r>
      <w:r>
        <w:rPr>
          <w:spacing w:val="2"/>
          <w:w w:val="105"/>
        </w:rPr>
        <w:t>核准或者备</w:t>
      </w:r>
      <w:r>
        <w:rPr>
          <w:spacing w:val="6"/>
          <w:w w:val="105"/>
        </w:rPr>
        <w:t xml:space="preserve">案的建设项目安全设施 </w:t>
      </w:r>
      <w:r>
        <w:rPr>
          <w:rFonts w:hint="eastAsia" w:ascii="MS UI Gothic" w:hAnsi="MS UI Gothic" w:eastAsia="MS UI Gothic"/>
          <w:spacing w:val="-20"/>
          <w:w w:val="105"/>
        </w:rPr>
        <w:t xml:space="preserve">“ </w:t>
      </w:r>
      <w:r>
        <w:rPr>
          <w:spacing w:val="17"/>
          <w:w w:val="105"/>
        </w:rPr>
        <w:t>三同时</w:t>
      </w:r>
      <w:r>
        <w:rPr>
          <w:rFonts w:hint="eastAsia" w:ascii="MS UI Gothic" w:hAnsi="MS UI Gothic" w:eastAsia="MS UI Gothic"/>
          <w:spacing w:val="20"/>
          <w:w w:val="105"/>
        </w:rPr>
        <w:t xml:space="preserve">” </w:t>
      </w:r>
      <w:r>
        <w:rPr>
          <w:spacing w:val="9"/>
          <w:w w:val="105"/>
        </w:rPr>
        <w:t>的监</w:t>
      </w:r>
      <w:r>
        <w:rPr>
          <w:spacing w:val="3"/>
          <w:w w:val="105"/>
        </w:rPr>
        <w:t>督管理</w:t>
      </w:r>
      <w:r>
        <w:rPr>
          <w:rFonts w:hint="eastAsia" w:ascii="MS UI Gothic" w:hAnsi="MS UI Gothic" w:eastAsia="MS UI Gothic"/>
          <w:w w:val="80"/>
        </w:rPr>
        <w:t>ꎮ</w:t>
      </w:r>
    </w:p>
    <w:p>
      <w:pPr>
        <w:pStyle w:val="6"/>
        <w:spacing w:line="300" w:lineRule="auto"/>
        <w:ind w:left="381" w:right="126"/>
        <w:rPr>
          <w:rFonts w:hint="eastAsia" w:ascii="MS UI Gothic" w:hAnsi="MS UI Gothic" w:eastAsia="MS UI Gothic"/>
        </w:rPr>
      </w:pPr>
      <w:r>
        <w:rPr>
          <w:spacing w:val="2"/>
        </w:rPr>
        <w:t>跨两个及两个以上行政区域的建设项</w:t>
      </w:r>
      <w:r>
        <w:rPr>
          <w:w w:val="105"/>
        </w:rPr>
        <w:t xml:space="preserve">目安全设施 </w:t>
      </w:r>
      <w:r>
        <w:rPr>
          <w:rFonts w:hint="eastAsia" w:ascii="MS UI Gothic" w:hAnsi="MS UI Gothic" w:eastAsia="MS UI Gothic"/>
          <w:spacing w:val="-21"/>
          <w:w w:val="105"/>
        </w:rPr>
        <w:t xml:space="preserve">“ </w:t>
      </w:r>
      <w:r>
        <w:rPr>
          <w:spacing w:val="15"/>
          <w:w w:val="105"/>
        </w:rPr>
        <w:t>三同时</w:t>
      </w:r>
      <w:r>
        <w:rPr>
          <w:rFonts w:hint="eastAsia" w:ascii="MS UI Gothic" w:hAnsi="MS UI Gothic" w:eastAsia="MS UI Gothic"/>
          <w:spacing w:val="20"/>
          <w:w w:val="105"/>
        </w:rPr>
        <w:t xml:space="preserve">” </w:t>
      </w:r>
      <w:r>
        <w:rPr>
          <w:spacing w:val="16"/>
          <w:w w:val="105"/>
        </w:rPr>
        <w:t>由其共同的上一</w:t>
      </w:r>
      <w:r>
        <w:rPr>
          <w:spacing w:val="2"/>
        </w:rPr>
        <w:t>级人民政府安全生产监督管理部门实施监</w:t>
      </w:r>
      <w:r>
        <w:rPr>
          <w:spacing w:val="3"/>
          <w:w w:val="105"/>
        </w:rPr>
        <w:t>督管理</w:t>
      </w:r>
      <w:r>
        <w:rPr>
          <w:rFonts w:hint="eastAsia" w:ascii="MS UI Gothic" w:hAnsi="MS UI Gothic" w:eastAsia="MS UI Gothic"/>
          <w:w w:val="80"/>
        </w:rPr>
        <w:t>ꎮ</w:t>
      </w:r>
    </w:p>
    <w:p>
      <w:pPr>
        <w:pStyle w:val="6"/>
        <w:spacing w:line="300" w:lineRule="auto"/>
        <w:ind w:left="381" w:right="126"/>
        <w:rPr>
          <w:rFonts w:hint="eastAsia" w:ascii="MS UI Gothic" w:hAnsi="MS UI Gothic" w:eastAsia="MS UI Gothic"/>
        </w:rPr>
      </w:pPr>
      <w:r>
        <w:t>上一级人民政府安全生产监督管理部门根据工作需要</w:t>
      </w:r>
      <w:r>
        <w:rPr>
          <w:rFonts w:hint="eastAsia" w:ascii="MS UI Gothic" w:hAnsi="MS UI Gothic" w:eastAsia="MS UI Gothic"/>
          <w:w w:val="80"/>
        </w:rPr>
        <w:t xml:space="preserve">ꎬ </w:t>
      </w:r>
      <w:r>
        <w:t>可以将其负责监督管理</w:t>
      </w:r>
      <w:r>
        <w:rPr>
          <w:w w:val="105"/>
        </w:rPr>
        <w:t xml:space="preserve">的建设项目安全设施 </w:t>
      </w:r>
      <w:r>
        <w:rPr>
          <w:rFonts w:hint="eastAsia" w:ascii="MS UI Gothic" w:hAnsi="MS UI Gothic" w:eastAsia="MS UI Gothic"/>
          <w:w w:val="105"/>
        </w:rPr>
        <w:t xml:space="preserve">“ </w:t>
      </w:r>
      <w:r>
        <w:rPr>
          <w:w w:val="105"/>
        </w:rPr>
        <w:t>三同时</w:t>
      </w:r>
      <w:r>
        <w:rPr>
          <w:rFonts w:hint="eastAsia" w:ascii="MS UI Gothic" w:hAnsi="MS UI Gothic" w:eastAsia="MS UI Gothic"/>
          <w:w w:val="105"/>
        </w:rPr>
        <w:t xml:space="preserve">” </w:t>
      </w:r>
      <w:r>
        <w:rPr>
          <w:w w:val="105"/>
        </w:rPr>
        <w:t>工作委</w:t>
      </w:r>
      <w:r>
        <w:t>托下一级人民政府安全生产监督管理部门</w:t>
      </w:r>
      <w:r>
        <w:rPr>
          <w:w w:val="105"/>
        </w:rPr>
        <w:t>实施监督管理</w:t>
      </w:r>
      <w:r>
        <w:rPr>
          <w:rFonts w:hint="eastAsia" w:ascii="MS UI Gothic" w:hAnsi="MS UI Gothic" w:eastAsia="MS UI Gothic"/>
          <w:w w:val="80"/>
        </w:rPr>
        <w:t>ꎮ</w:t>
      </w:r>
    </w:p>
    <w:p>
      <w:pPr>
        <w:pStyle w:val="6"/>
        <w:spacing w:line="300" w:lineRule="auto"/>
        <w:ind w:left="381" w:right="126"/>
        <w:rPr>
          <w:rFonts w:hint="eastAsia" w:ascii="MS UI Gothic" w:eastAsia="MS UI Gothic"/>
        </w:rPr>
      </w:pPr>
      <w:r>
        <w:rPr>
          <w:w w:val="105"/>
        </w:rPr>
        <w:t>第六条 安全生产监督管理部门应当</w:t>
      </w:r>
      <w:r>
        <w:t>加强建设项目安全设施建设的日常安全监管</w:t>
      </w:r>
      <w:r>
        <w:rPr>
          <w:rFonts w:hint="eastAsia" w:ascii="MS UI Gothic" w:eastAsia="MS UI Gothic"/>
          <w:w w:val="80"/>
        </w:rPr>
        <w:t xml:space="preserve">ꎬ </w:t>
      </w:r>
      <w:r>
        <w:t>落实有关行政许可及其监管责任</w:t>
      </w:r>
      <w:r>
        <w:rPr>
          <w:rFonts w:hint="eastAsia" w:ascii="MS UI Gothic" w:eastAsia="MS UI Gothic"/>
          <w:w w:val="80"/>
        </w:rPr>
        <w:t xml:space="preserve">ꎬ </w:t>
      </w:r>
      <w:r>
        <w:t>督促生产经营单位落实安全设施建设责任</w:t>
      </w:r>
      <w:r>
        <w:rPr>
          <w:rFonts w:hint="eastAsia" w:ascii="MS UI Gothic" w:eastAsia="MS UI Gothic"/>
          <w:w w:val="80"/>
        </w:rPr>
        <w:t>ꎮ</w:t>
      </w:r>
    </w:p>
    <w:p>
      <w:pPr>
        <w:pStyle w:val="6"/>
        <w:tabs>
          <w:tab w:val="left" w:pos="1743"/>
        </w:tabs>
        <w:spacing w:before="163"/>
        <w:ind w:left="905" w:firstLine="0"/>
        <w:jc w:val="left"/>
      </w:pPr>
      <w:r>
        <w:rPr>
          <w:spacing w:val="3"/>
          <w:w w:val="105"/>
        </w:rPr>
        <w:t>第二</w:t>
      </w:r>
      <w:r>
        <w:rPr>
          <w:w w:val="105"/>
        </w:rPr>
        <w:t>章</w:t>
      </w:r>
      <w:r>
        <w:rPr>
          <w:w w:val="105"/>
        </w:rPr>
        <w:tab/>
      </w:r>
      <w:r>
        <w:rPr>
          <w:spacing w:val="3"/>
          <w:w w:val="105"/>
        </w:rPr>
        <w:t>建设项目安全预评</w:t>
      </w:r>
      <w:r>
        <w:rPr>
          <w:w w:val="105"/>
        </w:rPr>
        <w:t>价</w:t>
      </w:r>
    </w:p>
    <w:p>
      <w:pPr>
        <w:pStyle w:val="6"/>
        <w:spacing w:before="215" w:line="302" w:lineRule="auto"/>
        <w:ind w:left="381" w:right="126"/>
        <w:rPr>
          <w:rFonts w:hint="eastAsia" w:ascii="MS UI Gothic" w:eastAsia="MS UI Gothic"/>
        </w:rPr>
      </w:pPr>
      <w:r>
        <w:rPr>
          <w:w w:val="105"/>
        </w:rPr>
        <w:t>第七条 下列建设项目在进行可行性</w:t>
      </w:r>
      <w:r>
        <w:t>研究时</w:t>
      </w:r>
      <w:r>
        <w:rPr>
          <w:rFonts w:hint="eastAsia" w:ascii="MS UI Gothic" w:eastAsia="MS UI Gothic"/>
          <w:w w:val="80"/>
        </w:rPr>
        <w:t xml:space="preserve">ꎬ </w:t>
      </w:r>
      <w:r>
        <w:t>生产经营单位应当按照国家规</w:t>
      </w:r>
      <w:r>
        <w:rPr>
          <w:w w:val="105"/>
        </w:rPr>
        <w:t>定</w:t>
      </w:r>
      <w:r>
        <w:rPr>
          <w:rFonts w:hint="eastAsia" w:ascii="MS UI Gothic" w:eastAsia="MS UI Gothic"/>
          <w:w w:val="80"/>
        </w:rPr>
        <w:t xml:space="preserve">ꎬ </w:t>
      </w:r>
      <w:r>
        <w:rPr>
          <w:w w:val="105"/>
        </w:rPr>
        <w:t>进行安全预评价</w:t>
      </w:r>
      <w:r>
        <w:rPr>
          <w:rFonts w:hint="eastAsia" w:ascii="MS UI Gothic" w:eastAsia="MS UI Gothic"/>
          <w:w w:val="235"/>
        </w:rPr>
        <w:t>:</w:t>
      </w:r>
    </w:p>
    <w:p>
      <w:pPr>
        <w:pStyle w:val="6"/>
        <w:spacing w:line="256" w:lineRule="exact"/>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非煤矿矿山建设项目</w:t>
      </w:r>
      <w:r>
        <w:rPr>
          <w:rFonts w:hint="eastAsia" w:ascii="MS UI Gothic" w:eastAsia="MS UI Gothic"/>
          <w:w w:val="80"/>
        </w:rPr>
        <w:t>ꎻ</w:t>
      </w:r>
    </w:p>
    <w:p>
      <w:pPr>
        <w:pStyle w:val="6"/>
        <w:spacing w:before="64" w:line="300" w:lineRule="auto"/>
        <w:ind w:left="381" w:right="126"/>
        <w:rPr>
          <w:rFonts w:hint="eastAsia" w:ascii="MS UI Gothic" w:eastAsia="MS UI Gothic"/>
        </w:rPr>
      </w:pPr>
      <w:r>
        <w:rPr>
          <w:rFonts w:hint="eastAsia" w:ascii="MS UI Gothic" w:eastAsia="MS UI Gothic"/>
          <w:spacing w:val="-39"/>
          <w:w w:val="150"/>
        </w:rPr>
        <w:t xml:space="preserve">( </w:t>
      </w:r>
      <w:r>
        <w:rPr>
          <w:spacing w:val="3"/>
          <w:w w:val="110"/>
        </w:rPr>
        <w:t>二</w:t>
      </w:r>
      <w:r>
        <w:rPr>
          <w:rFonts w:hint="eastAsia" w:ascii="MS UI Gothic" w:eastAsia="MS UI Gothic"/>
          <w:spacing w:val="-4"/>
          <w:w w:val="150"/>
        </w:rPr>
        <w:t xml:space="preserve">) </w:t>
      </w:r>
      <w:r>
        <w:rPr>
          <w:spacing w:val="3"/>
          <w:w w:val="110"/>
        </w:rPr>
        <w:t>生产</w:t>
      </w:r>
      <w:r>
        <w:rPr>
          <w:rFonts w:hint="eastAsia" w:ascii="MS UI Gothic" w:eastAsia="MS UI Gothic"/>
          <w:spacing w:val="10"/>
          <w:w w:val="80"/>
        </w:rPr>
        <w:t xml:space="preserve">、 </w:t>
      </w:r>
      <w:r>
        <w:rPr>
          <w:w w:val="110"/>
        </w:rPr>
        <w:t xml:space="preserve">储存危险化学品 </w:t>
      </w:r>
      <w:r>
        <w:rPr>
          <w:rFonts w:hint="eastAsia" w:ascii="MS UI Gothic" w:eastAsia="MS UI Gothic"/>
          <w:spacing w:val="-37"/>
          <w:w w:val="150"/>
        </w:rPr>
        <w:t xml:space="preserve">( </w:t>
      </w:r>
      <w:r>
        <w:rPr>
          <w:spacing w:val="5"/>
          <w:w w:val="110"/>
        </w:rPr>
        <w:t>包括</w:t>
      </w:r>
      <w:r>
        <w:rPr>
          <w:spacing w:val="19"/>
          <w:w w:val="105"/>
        </w:rPr>
        <w:t>使用长输管道输送危险化学品</w:t>
      </w:r>
      <w:r>
        <w:rPr>
          <w:rFonts w:hint="eastAsia" w:ascii="MS UI Gothic" w:eastAsia="MS UI Gothic"/>
          <w:spacing w:val="3"/>
          <w:w w:val="80"/>
        </w:rPr>
        <w:t xml:space="preserve">ꎬ </w:t>
      </w:r>
      <w:r>
        <w:rPr>
          <w:spacing w:val="23"/>
          <w:w w:val="105"/>
        </w:rPr>
        <w:t>下同</w:t>
      </w:r>
      <w:r>
        <w:rPr>
          <w:rFonts w:hint="eastAsia" w:ascii="MS UI Gothic" w:eastAsia="MS UI Gothic"/>
          <w:w w:val="105"/>
        </w:rPr>
        <w:t>)</w:t>
      </w:r>
    </w:p>
    <w:p>
      <w:pPr>
        <w:spacing w:after="0" w:line="300"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363" o:spid="_x0000_s1363" style="position:absolute;left:0pt;margin-left:0pt;margin-top:700.1pt;height:1.75pt;width:398.25pt;mso-position-horizontal-relative:page;z-index:251791360;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１０６</w:t>
      </w:r>
    </w:p>
    <w:p>
      <w:pPr>
        <w:pStyle w:val="6"/>
        <w:spacing w:before="297" w:line="240" w:lineRule="exact"/>
        <w:ind w:firstLine="0"/>
        <w:jc w:val="left"/>
        <w:rPr>
          <w:rFonts w:hint="eastAsia" w:ascii="MS UI Gothic" w:eastAsia="MS UI Gothic"/>
        </w:rPr>
      </w:pPr>
      <w:r>
        <w:t>的建设项目</w:t>
      </w:r>
      <w:r>
        <w:rPr>
          <w:rFonts w:hint="eastAsia" w:ascii="MS UI Gothic" w:eastAsia="MS UI Gothic"/>
          <w:w w:val="80"/>
        </w:rPr>
        <w:t>ꎻ</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tabs>
          <w:tab w:val="left" w:pos="3482"/>
        </w:tabs>
        <w:spacing w:line="240" w:lineRule="exact"/>
        <w:ind w:left="2434" w:firstLine="0"/>
        <w:jc w:val="left"/>
      </w:pPr>
      <w:r>
        <w:rPr>
          <w:spacing w:val="3"/>
          <w:w w:val="105"/>
        </w:rPr>
        <w:t>第十一</w:t>
      </w:r>
      <w:r>
        <w:rPr>
          <w:w w:val="105"/>
        </w:rPr>
        <w:t>条</w:t>
      </w:r>
      <w:r>
        <w:rPr>
          <w:w w:val="105"/>
        </w:rPr>
        <w:tab/>
      </w:r>
      <w:r>
        <w:rPr>
          <w:spacing w:val="3"/>
          <w:w w:val="105"/>
        </w:rPr>
        <w:t>建设项目安全设施设计</w:t>
      </w:r>
      <w:r>
        <w:rPr>
          <w:w w:val="105"/>
        </w:rPr>
        <w:t>应</w:t>
      </w:r>
    </w:p>
    <w:p>
      <w:pPr>
        <w:spacing w:after="0" w:line="240" w:lineRule="exact"/>
        <w:jc w:val="left"/>
        <w:sectPr>
          <w:pgSz w:w="10500" w:h="14750"/>
          <w:pgMar w:top="960" w:right="980" w:bottom="280" w:left="980" w:header="720" w:footer="720" w:gutter="0"/>
          <w:cols w:equalWidth="0" w:num="2">
            <w:col w:w="1316" w:space="986"/>
            <w:col w:w="6238"/>
          </w:cols>
        </w:sectPr>
      </w:pPr>
    </w:p>
    <w:p>
      <w:pPr>
        <w:pStyle w:val="6"/>
        <w:spacing w:before="74" w:line="295" w:lineRule="auto"/>
        <w:ind w:right="38"/>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生产</w:t>
      </w:r>
      <w:r>
        <w:rPr>
          <w:rFonts w:hint="eastAsia" w:ascii="MS UI Gothic" w:eastAsia="MS UI Gothic"/>
          <w:w w:val="80"/>
        </w:rPr>
        <w:t xml:space="preserve">、 </w:t>
      </w:r>
      <w:r>
        <w:rPr>
          <w:w w:val="110"/>
        </w:rPr>
        <w:t>储存烟花爆竹的建设项目</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金属冶炼建设项目</w:t>
      </w:r>
      <w:r>
        <w:rPr>
          <w:rFonts w:hint="eastAsia" w:ascii="MS UI Gothic" w:eastAsia="MS UI Gothic"/>
          <w:w w:val="80"/>
        </w:rPr>
        <w:t>ꎻ</w:t>
      </w:r>
    </w:p>
    <w:p>
      <w:pPr>
        <w:pStyle w:val="6"/>
        <w:spacing w:before="58"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五</w:t>
      </w:r>
      <w:r>
        <w:rPr>
          <w:rFonts w:hint="eastAsia" w:ascii="MS UI Gothic" w:eastAsia="MS UI Gothic"/>
          <w:spacing w:val="3"/>
          <w:w w:val="150"/>
        </w:rPr>
        <w:t xml:space="preserve">) </w:t>
      </w:r>
      <w:r>
        <w:rPr>
          <w:spacing w:val="5"/>
          <w:w w:val="105"/>
        </w:rPr>
        <w:t>使用危险化学品从事生产并且</w:t>
      </w:r>
      <w:r>
        <w:rPr>
          <w:spacing w:val="25"/>
        </w:rPr>
        <w:t xml:space="preserve">使用量达到规定数量的化工建设项目  </w:t>
      </w:r>
      <w:r>
        <w:rPr>
          <w:rFonts w:hint="eastAsia" w:ascii="MS UI Gothic" w:eastAsia="MS UI Gothic"/>
          <w:spacing w:val="-21"/>
          <w:w w:val="120"/>
        </w:rPr>
        <w:t xml:space="preserve">( </w:t>
      </w:r>
      <w:r>
        <w:rPr>
          <w:spacing w:val="4"/>
          <w:w w:val="105"/>
        </w:rPr>
        <w:t>属于危险化学品生产的除外</w:t>
      </w:r>
      <w:r>
        <w:rPr>
          <w:rFonts w:hint="eastAsia" w:ascii="MS UI Gothic" w:eastAsia="MS UI Gothic"/>
          <w:spacing w:val="-5"/>
          <w:w w:val="80"/>
        </w:rPr>
        <w:t xml:space="preserve">ꎬ </w:t>
      </w:r>
      <w:r>
        <w:rPr>
          <w:spacing w:val="8"/>
          <w:w w:val="105"/>
        </w:rPr>
        <w:t>以下简称</w:t>
      </w:r>
      <w:r>
        <w:rPr>
          <w:spacing w:val="3"/>
          <w:w w:val="105"/>
        </w:rPr>
        <w:t>化工建设项目</w:t>
      </w:r>
      <w:r>
        <w:rPr>
          <w:rFonts w:hint="eastAsia" w:ascii="MS UI Gothic" w:eastAsia="MS UI Gothic"/>
          <w:spacing w:val="-36"/>
          <w:w w:val="150"/>
        </w:rPr>
        <w:t xml:space="preserve">) </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行政法规和国务院规定的其他建设项目</w:t>
      </w:r>
      <w:r>
        <w:rPr>
          <w:rFonts w:hint="eastAsia" w:ascii="MS UI Gothic" w:eastAsia="MS UI Gothic"/>
          <w:w w:val="80"/>
        </w:rPr>
        <w:t>ꎮ</w:t>
      </w:r>
    </w:p>
    <w:p>
      <w:pPr>
        <w:pStyle w:val="6"/>
        <w:spacing w:line="295" w:lineRule="auto"/>
        <w:ind w:right="38"/>
        <w:rPr>
          <w:rFonts w:hint="eastAsia" w:ascii="MS UI Gothic" w:eastAsia="MS UI Gothic"/>
        </w:rPr>
      </w:pPr>
      <w:r>
        <w:t>第八条 生产经营单位应当委托具有相应资质的安全评价机构</w:t>
      </w:r>
      <w:r>
        <w:rPr>
          <w:rFonts w:hint="eastAsia" w:ascii="MS UI Gothic" w:eastAsia="MS UI Gothic"/>
          <w:w w:val="80"/>
        </w:rPr>
        <w:t xml:space="preserve">ꎬ </w:t>
      </w:r>
      <w:r>
        <w:t>对其建设项目进行安全预评价</w:t>
      </w:r>
      <w:r>
        <w:rPr>
          <w:rFonts w:hint="eastAsia" w:ascii="MS UI Gothic" w:eastAsia="MS UI Gothic"/>
          <w:w w:val="80"/>
        </w:rPr>
        <w:t xml:space="preserve">ꎬ </w:t>
      </w:r>
      <w:r>
        <w:t>并编制安全预评价报告</w:t>
      </w:r>
      <w:r>
        <w:rPr>
          <w:rFonts w:hint="eastAsia" w:ascii="MS UI Gothic" w:eastAsia="MS UI Gothic"/>
          <w:w w:val="80"/>
        </w:rPr>
        <w:t>ꎮ</w:t>
      </w:r>
    </w:p>
    <w:p>
      <w:pPr>
        <w:pStyle w:val="6"/>
        <w:spacing w:line="295" w:lineRule="auto"/>
        <w:ind w:right="38"/>
        <w:jc w:val="left"/>
        <w:rPr>
          <w:rFonts w:hint="eastAsia" w:ascii="MS UI Gothic" w:eastAsia="MS UI Gothic"/>
        </w:rPr>
      </w:pPr>
      <w:r>
        <w:t>建设项目安全预评价报告应当符合国</w:t>
      </w:r>
      <w:r>
        <w:rPr>
          <w:w w:val="105"/>
        </w:rPr>
        <w:t>家标准或者行业标准的规定</w:t>
      </w:r>
      <w:r>
        <w:rPr>
          <w:rFonts w:hint="eastAsia" w:ascii="MS UI Gothic" w:eastAsia="MS UI Gothic"/>
          <w:w w:val="80"/>
        </w:rPr>
        <w:t>ꎮ</w:t>
      </w:r>
    </w:p>
    <w:p>
      <w:pPr>
        <w:pStyle w:val="6"/>
        <w:spacing w:line="295" w:lineRule="auto"/>
        <w:ind w:right="38"/>
        <w:rPr>
          <w:rFonts w:hint="eastAsia" w:ascii="MS UI Gothic" w:eastAsia="MS UI Gothic"/>
        </w:rPr>
      </w:pPr>
      <w:r>
        <w:rPr>
          <w:w w:val="105"/>
        </w:rPr>
        <w:t>生产</w:t>
      </w:r>
      <w:r>
        <w:rPr>
          <w:rFonts w:hint="eastAsia" w:ascii="MS UI Gothic" w:eastAsia="MS UI Gothic"/>
          <w:w w:val="80"/>
        </w:rPr>
        <w:t xml:space="preserve">、 </w:t>
      </w:r>
      <w:r>
        <w:rPr>
          <w:w w:val="105"/>
        </w:rPr>
        <w:t>储存危险化学品的建设项目和</w:t>
      </w:r>
      <w:r>
        <w:t>化工建设项目安全预评价报告除符合本条第二款的规定外</w:t>
      </w:r>
      <w:r>
        <w:rPr>
          <w:rFonts w:hint="eastAsia" w:ascii="MS UI Gothic" w:eastAsia="MS UI Gothic"/>
          <w:w w:val="80"/>
        </w:rPr>
        <w:t xml:space="preserve">ꎬ </w:t>
      </w:r>
      <w:r>
        <w:t>还应当符合有关危险化</w:t>
      </w:r>
      <w:r>
        <w:rPr>
          <w:w w:val="105"/>
        </w:rPr>
        <w:t>学品建设项目的规定</w:t>
      </w:r>
      <w:r>
        <w:rPr>
          <w:rFonts w:hint="eastAsia" w:ascii="MS UI Gothic" w:eastAsia="MS UI Gothic"/>
          <w:w w:val="80"/>
        </w:rPr>
        <w:t>ꎮ</w:t>
      </w:r>
    </w:p>
    <w:p>
      <w:pPr>
        <w:pStyle w:val="6"/>
        <w:spacing w:line="295" w:lineRule="auto"/>
        <w:ind w:right="38"/>
        <w:rPr>
          <w:rFonts w:hint="eastAsia" w:ascii="MS UI Gothic" w:eastAsia="MS UI Gothic"/>
        </w:rPr>
      </w:pPr>
      <w:r>
        <w:t>第九条 本办法第七条规定以外的其他建设项目</w:t>
      </w:r>
      <w:r>
        <w:rPr>
          <w:rFonts w:hint="eastAsia" w:ascii="MS UI Gothic" w:eastAsia="MS UI Gothic"/>
          <w:w w:val="80"/>
        </w:rPr>
        <w:t xml:space="preserve">ꎬ </w:t>
      </w:r>
      <w:r>
        <w:t>生产经营单位应当对其安全生产条件和设施进行综合分析</w:t>
      </w:r>
      <w:r>
        <w:rPr>
          <w:rFonts w:hint="eastAsia" w:ascii="MS UI Gothic" w:eastAsia="MS UI Gothic"/>
          <w:w w:val="80"/>
        </w:rPr>
        <w:t xml:space="preserve">ꎬ </w:t>
      </w:r>
      <w:r>
        <w:t>形成书面报告备查</w:t>
      </w:r>
      <w:r>
        <w:rPr>
          <w:rFonts w:hint="eastAsia" w:ascii="MS UI Gothic" w:eastAsia="MS UI Gothic"/>
          <w:w w:val="80"/>
        </w:rPr>
        <w:t>ꎮ</w:t>
      </w:r>
    </w:p>
    <w:p>
      <w:pPr>
        <w:pStyle w:val="6"/>
        <w:tabs>
          <w:tab w:val="left" w:pos="1172"/>
        </w:tabs>
        <w:spacing w:before="142"/>
        <w:ind w:left="334" w:firstLine="0"/>
        <w:jc w:val="left"/>
      </w:pPr>
      <w:r>
        <w:rPr>
          <w:spacing w:val="3"/>
          <w:w w:val="105"/>
        </w:rPr>
        <w:t>第三</w:t>
      </w:r>
      <w:r>
        <w:rPr>
          <w:w w:val="105"/>
        </w:rPr>
        <w:t>章</w:t>
      </w:r>
      <w:r>
        <w:rPr>
          <w:w w:val="105"/>
        </w:rPr>
        <w:tab/>
      </w:r>
      <w:r>
        <w:rPr>
          <w:spacing w:val="3"/>
          <w:w w:val="105"/>
        </w:rPr>
        <w:t>建设项目安全设施设计审</w:t>
      </w:r>
      <w:r>
        <w:rPr>
          <w:w w:val="105"/>
        </w:rPr>
        <w:t>查</w:t>
      </w:r>
    </w:p>
    <w:p>
      <w:pPr>
        <w:pStyle w:val="6"/>
        <w:spacing w:before="215" w:line="295" w:lineRule="auto"/>
        <w:ind w:right="38"/>
        <w:rPr>
          <w:rFonts w:hint="eastAsia" w:ascii="MS UI Gothic" w:eastAsia="MS UI Gothic"/>
        </w:rPr>
      </w:pPr>
      <w:r>
        <w:rPr>
          <w:w w:val="105"/>
        </w:rPr>
        <w:t>第十条 生产经营单位在建设项目初</w:t>
      </w:r>
      <w:r>
        <w:t>步设计时</w:t>
      </w:r>
      <w:r>
        <w:rPr>
          <w:rFonts w:hint="eastAsia" w:ascii="MS UI Gothic" w:eastAsia="MS UI Gothic"/>
          <w:w w:val="80"/>
        </w:rPr>
        <w:t xml:space="preserve">ꎬ </w:t>
      </w:r>
      <w:r>
        <w:t>应当委托有相应资质的初步设计单位对建设项目安全设施同时进行设</w:t>
      </w:r>
      <w:r>
        <w:rPr>
          <w:w w:val="105"/>
        </w:rPr>
        <w:t>计</w:t>
      </w:r>
      <w:r>
        <w:rPr>
          <w:rFonts w:hint="eastAsia" w:ascii="MS UI Gothic" w:eastAsia="MS UI Gothic"/>
          <w:w w:val="80"/>
        </w:rPr>
        <w:t xml:space="preserve">ꎬ </w:t>
      </w:r>
      <w:r>
        <w:rPr>
          <w:w w:val="105"/>
        </w:rPr>
        <w:t>编制安全设施设计</w:t>
      </w:r>
      <w:r>
        <w:rPr>
          <w:rFonts w:hint="eastAsia" w:ascii="MS UI Gothic" w:eastAsia="MS UI Gothic"/>
          <w:w w:val="80"/>
        </w:rPr>
        <w:t>ꎮ</w:t>
      </w:r>
    </w:p>
    <w:p>
      <w:pPr>
        <w:pStyle w:val="6"/>
        <w:spacing w:line="295" w:lineRule="auto"/>
        <w:ind w:right="38"/>
        <w:rPr>
          <w:rFonts w:hint="eastAsia" w:ascii="MS UI Gothic" w:eastAsia="MS UI Gothic"/>
        </w:rPr>
      </w:pPr>
      <w:r>
        <w:rPr>
          <w:w w:val="105"/>
        </w:rPr>
        <w:t>安全设施设计必须符合有关法律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规章和国家标准或者行业标准</w:t>
      </w:r>
      <w:r>
        <w:rPr>
          <w:rFonts w:hint="eastAsia" w:ascii="MS UI Gothic" w:eastAsia="MS UI Gothic"/>
          <w:w w:val="80"/>
        </w:rPr>
        <w:t xml:space="preserve">、 </w:t>
      </w:r>
      <w:r>
        <w:rPr>
          <w:w w:val="105"/>
        </w:rPr>
        <w:t>技术</w:t>
      </w:r>
      <w:r>
        <w:t>规范的规定</w:t>
      </w:r>
      <w:r>
        <w:rPr>
          <w:rFonts w:hint="eastAsia" w:ascii="MS UI Gothic" w:eastAsia="MS UI Gothic"/>
          <w:w w:val="80"/>
        </w:rPr>
        <w:t xml:space="preserve">ꎬ </w:t>
      </w:r>
      <w:r>
        <w:t>并尽可能采用先进适用的工</w:t>
      </w:r>
      <w:r>
        <w:rPr>
          <w:w w:val="105"/>
        </w:rPr>
        <w:t>艺</w:t>
      </w:r>
      <w:r>
        <w:rPr>
          <w:rFonts w:hint="eastAsia" w:ascii="MS UI Gothic" w:eastAsia="MS UI Gothic"/>
          <w:w w:val="80"/>
        </w:rPr>
        <w:t xml:space="preserve">、 </w:t>
      </w:r>
      <w:r>
        <w:rPr>
          <w:w w:val="105"/>
        </w:rPr>
        <w:t>技术和可靠的设备</w:t>
      </w:r>
      <w:r>
        <w:rPr>
          <w:rFonts w:hint="eastAsia" w:ascii="MS UI Gothic" w:eastAsia="MS UI Gothic"/>
          <w:w w:val="80"/>
        </w:rPr>
        <w:t xml:space="preserve">、 </w:t>
      </w:r>
      <w:r>
        <w:rPr>
          <w:w w:val="105"/>
        </w:rPr>
        <w:t>设施</w:t>
      </w:r>
      <w:r>
        <w:rPr>
          <w:rFonts w:hint="eastAsia" w:ascii="MS UI Gothic" w:eastAsia="MS UI Gothic"/>
          <w:w w:val="80"/>
        </w:rPr>
        <w:t xml:space="preserve">ꎮ </w:t>
      </w:r>
      <w:r>
        <w:rPr>
          <w:w w:val="105"/>
        </w:rPr>
        <w:t>本办法第</w:t>
      </w:r>
      <w:r>
        <w:t>七条规定的建设项目安全设施设计还应当充分考虑建设项目安全预评价报告提出的</w:t>
      </w:r>
      <w:r>
        <w:rPr>
          <w:w w:val="105"/>
        </w:rPr>
        <w:t>安全对策措施</w:t>
      </w:r>
      <w:r>
        <w:rPr>
          <w:rFonts w:hint="eastAsia" w:ascii="MS UI Gothic" w:eastAsia="MS UI Gothic"/>
          <w:w w:val="80"/>
        </w:rPr>
        <w:t>ꎮ</w:t>
      </w:r>
    </w:p>
    <w:p>
      <w:pPr>
        <w:pStyle w:val="6"/>
        <w:spacing w:line="295" w:lineRule="auto"/>
        <w:ind w:right="38"/>
        <w:rPr>
          <w:rFonts w:hint="eastAsia" w:ascii="MS UI Gothic" w:eastAsia="MS UI Gothic"/>
        </w:rPr>
      </w:pPr>
      <w:r>
        <w:t>安全设施设计单位</w:t>
      </w:r>
      <w:r>
        <w:rPr>
          <w:rFonts w:hint="eastAsia" w:ascii="MS UI Gothic" w:eastAsia="MS UI Gothic"/>
          <w:w w:val="80"/>
        </w:rPr>
        <w:t xml:space="preserve">、 </w:t>
      </w:r>
      <w:r>
        <w:t>设计人应当对其编制的设计文件负责</w:t>
      </w:r>
      <w:r>
        <w:rPr>
          <w:rFonts w:hint="eastAsia" w:ascii="MS UI Gothic" w:eastAsia="MS UI Gothic"/>
          <w:w w:val="80"/>
        </w:rPr>
        <w:t>ꎮ</w:t>
      </w:r>
    </w:p>
    <w:p>
      <w:pPr>
        <w:pStyle w:val="6"/>
        <w:spacing w:before="74"/>
        <w:ind w:firstLine="0"/>
        <w:jc w:val="left"/>
        <w:rPr>
          <w:rFonts w:hint="eastAsia" w:ascii="MS UI Gothic" w:eastAsia="MS UI Gothic"/>
        </w:rPr>
      </w:pPr>
      <w:r>
        <w:br w:type="column"/>
      </w:r>
      <w:r>
        <w:rPr>
          <w:w w:val="115"/>
        </w:rPr>
        <w:t>当包括下列内容</w:t>
      </w:r>
      <w:r>
        <w:rPr>
          <w:rFonts w:hint="eastAsia" w:ascii="MS UI Gothic" w:eastAsia="MS UI Gothic"/>
          <w:w w:val="235"/>
        </w:rPr>
        <w:t>:</w:t>
      </w:r>
    </w:p>
    <w:p>
      <w:pPr>
        <w:pStyle w:val="6"/>
        <w:spacing w:before="58"/>
        <w:ind w:left="543" w:firstLine="0"/>
        <w:jc w:val="left"/>
        <w:rPr>
          <w:rFonts w:hint="eastAsia" w:ascii="MS UI Gothic" w:eastAsia="MS UI Gothic"/>
        </w:rPr>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设计依据</w:t>
      </w:r>
      <w:r>
        <w:rPr>
          <w:rFonts w:hint="eastAsia" w:ascii="MS UI Gothic" w:eastAsia="MS UI Gothic"/>
          <w:w w:val="80"/>
        </w:rPr>
        <w:t>ꎻ</w:t>
      </w:r>
    </w:p>
    <w:p>
      <w:pPr>
        <w:pStyle w:val="6"/>
        <w:spacing w:before="59"/>
        <w:ind w:left="543"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建设项目概述</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建设项目潜在的危险</w:t>
      </w:r>
      <w:r>
        <w:rPr>
          <w:rFonts w:hint="eastAsia" w:ascii="MS UI Gothic" w:eastAsia="MS UI Gothic"/>
          <w:w w:val="80"/>
        </w:rPr>
        <w:t xml:space="preserve">、 </w:t>
      </w:r>
      <w:r>
        <w:rPr>
          <w:w w:val="105"/>
        </w:rPr>
        <w:t>有害因素和危险</w:t>
      </w:r>
      <w:r>
        <w:rPr>
          <w:rFonts w:hint="eastAsia" w:ascii="MS UI Gothic" w:eastAsia="MS UI Gothic"/>
          <w:w w:val="80"/>
        </w:rPr>
        <w:t xml:space="preserve">、 </w:t>
      </w:r>
      <w:r>
        <w:rPr>
          <w:w w:val="105"/>
        </w:rPr>
        <w:t>有害程度及周边环境安全分析</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建筑及场地布置</w:t>
      </w:r>
      <w:r>
        <w:rPr>
          <w:rFonts w:hint="eastAsia" w:ascii="MS UI Gothic" w:eastAsia="MS UI Gothic"/>
          <w:w w:val="80"/>
        </w:rPr>
        <w:t>ꎻ</w:t>
      </w:r>
    </w:p>
    <w:p>
      <w:pPr>
        <w:pStyle w:val="6"/>
        <w:spacing w:before="58"/>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重大危险源分析及检测监控</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六</w:t>
      </w:r>
      <w:r>
        <w:rPr>
          <w:rFonts w:hint="eastAsia" w:ascii="MS UI Gothic" w:eastAsia="MS UI Gothic"/>
          <w:spacing w:val="-13"/>
          <w:w w:val="130"/>
        </w:rPr>
        <w:t xml:space="preserve">) </w:t>
      </w:r>
      <w:r>
        <w:rPr>
          <w:spacing w:val="41"/>
          <w:w w:val="110"/>
        </w:rPr>
        <w:t>安全设施设计采取的防范</w:t>
      </w:r>
      <w:r>
        <w:rPr>
          <w:spacing w:val="3"/>
          <w:w w:val="110"/>
        </w:rPr>
        <w:t>措施</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安全生产管理机构设置或者安</w:t>
      </w:r>
      <w:r>
        <w:rPr>
          <w:w w:val="110"/>
        </w:rPr>
        <w:t>全生产管理人员配备要求</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从业人员教育培训要求</w:t>
      </w:r>
      <w:r>
        <w:rPr>
          <w:rFonts w:hint="eastAsia" w:ascii="MS UI Gothic" w:eastAsia="MS UI Gothic"/>
          <w:w w:val="80"/>
        </w:rPr>
        <w:t>ꎻ</w:t>
      </w:r>
    </w:p>
    <w:p>
      <w:pPr>
        <w:pStyle w:val="6"/>
        <w:spacing w:before="57" w:line="295" w:lineRule="auto"/>
        <w:ind w:right="442"/>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工艺</w:t>
      </w:r>
      <w:r>
        <w:rPr>
          <w:rFonts w:hint="eastAsia" w:ascii="MS UI Gothic" w:eastAsia="MS UI Gothic"/>
          <w:w w:val="80"/>
        </w:rPr>
        <w:t xml:space="preserve">、 </w:t>
      </w:r>
      <w:r>
        <w:rPr>
          <w:w w:val="105"/>
        </w:rPr>
        <w:t>技术和设备</w:t>
      </w:r>
      <w:r>
        <w:rPr>
          <w:rFonts w:hint="eastAsia" w:ascii="MS UI Gothic" w:eastAsia="MS UI Gothic"/>
          <w:w w:val="80"/>
        </w:rPr>
        <w:t xml:space="preserve">、 </w:t>
      </w:r>
      <w:r>
        <w:rPr>
          <w:w w:val="105"/>
        </w:rPr>
        <w:t>设施的先进性和可靠性分析</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十</w:t>
      </w:r>
      <w:r>
        <w:rPr>
          <w:rFonts w:hint="eastAsia" w:ascii="MS UI Gothic" w:eastAsia="MS UI Gothic"/>
          <w:w w:val="150"/>
        </w:rPr>
        <w:t xml:space="preserve">) </w:t>
      </w:r>
      <w:r>
        <w:rPr>
          <w:w w:val="110"/>
        </w:rPr>
        <w:t>安全设施专项投资概算</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w w:val="105"/>
        </w:rPr>
        <w:t xml:space="preserve">( </w:t>
      </w:r>
      <w:r>
        <w:rPr>
          <w:w w:val="105"/>
        </w:rPr>
        <w:t>十一</w:t>
      </w:r>
      <w:r>
        <w:rPr>
          <w:rFonts w:hint="eastAsia" w:ascii="MS UI Gothic" w:eastAsia="MS UI Gothic"/>
          <w:w w:val="105"/>
        </w:rPr>
        <w:t xml:space="preserve">) </w:t>
      </w:r>
      <w:r>
        <w:rPr>
          <w:w w:val="105"/>
        </w:rPr>
        <w:t>安全预评价报告中的安全对</w:t>
      </w:r>
      <w:r>
        <w:rPr>
          <w:w w:val="110"/>
        </w:rPr>
        <w:t>策及建议采纳情况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十二</w:t>
      </w:r>
      <w:r>
        <w:rPr>
          <w:rFonts w:hint="eastAsia" w:ascii="MS UI Gothic" w:eastAsia="MS UI Gothic"/>
          <w:w w:val="105"/>
        </w:rPr>
        <w:t xml:space="preserve">) </w:t>
      </w:r>
      <w:r>
        <w:rPr>
          <w:w w:val="105"/>
        </w:rPr>
        <w:t>预期效果以及存在的问题与</w:t>
      </w:r>
      <w:r>
        <w:rPr>
          <w:w w:val="110"/>
        </w:rPr>
        <w:t>建议</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十三</w:t>
      </w:r>
      <w:r>
        <w:rPr>
          <w:rFonts w:hint="eastAsia" w:ascii="MS UI Gothic" w:eastAsia="MS UI Gothic"/>
          <w:w w:val="105"/>
        </w:rPr>
        <w:t xml:space="preserve">) </w:t>
      </w:r>
      <w:r>
        <w:rPr>
          <w:w w:val="105"/>
        </w:rPr>
        <w:t>可能出现的事故预防及应急</w:t>
      </w:r>
      <w:r>
        <w:rPr>
          <w:w w:val="110"/>
        </w:rPr>
        <w:t>救援措施</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十四</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w:t>
      </w:r>
      <w:r>
        <w:rPr>
          <w:rFonts w:hint="eastAsia" w:ascii="MS UI Gothic" w:eastAsia="MS UI Gothic"/>
          <w:w w:val="80"/>
        </w:rPr>
        <w:t xml:space="preserve">、 </w:t>
      </w:r>
      <w:r>
        <w:rPr>
          <w:w w:val="105"/>
        </w:rPr>
        <w:t>标准规定需要说明的其他事项</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第十二条 本办法第七条第一项</w:t>
      </w:r>
      <w:r>
        <w:rPr>
          <w:rFonts w:hint="eastAsia" w:ascii="MS UI Gothic" w:eastAsia="MS UI Gothic"/>
          <w:w w:val="80"/>
        </w:rPr>
        <w:t xml:space="preserve">、 </w:t>
      </w:r>
      <w:r>
        <w:rPr>
          <w:w w:val="105"/>
        </w:rPr>
        <w:t>第二项</w:t>
      </w:r>
      <w:r>
        <w:rPr>
          <w:rFonts w:hint="eastAsia" w:ascii="MS UI Gothic" w:eastAsia="MS UI Gothic"/>
          <w:w w:val="80"/>
        </w:rPr>
        <w:t xml:space="preserve">、 </w:t>
      </w:r>
      <w:r>
        <w:rPr>
          <w:w w:val="105"/>
        </w:rPr>
        <w:t>第三项</w:t>
      </w:r>
      <w:r>
        <w:rPr>
          <w:rFonts w:hint="eastAsia" w:ascii="MS UI Gothic" w:eastAsia="MS UI Gothic"/>
          <w:w w:val="80"/>
        </w:rPr>
        <w:t xml:space="preserve">、 </w:t>
      </w:r>
      <w:r>
        <w:rPr>
          <w:w w:val="105"/>
        </w:rPr>
        <w:t>第四项规定的建设项目安</w:t>
      </w:r>
      <w:r>
        <w:t>全设施设计完成后</w:t>
      </w:r>
      <w:r>
        <w:rPr>
          <w:rFonts w:hint="eastAsia" w:ascii="MS UI Gothic" w:eastAsia="MS UI Gothic"/>
          <w:w w:val="80"/>
        </w:rPr>
        <w:t xml:space="preserve">ꎬ </w:t>
      </w:r>
      <w:r>
        <w:t>生产经营单位应当按照本办法第五条的规定向安全生产监督管理部门提出审查申请</w:t>
      </w:r>
      <w:r>
        <w:rPr>
          <w:rFonts w:hint="eastAsia" w:ascii="MS UI Gothic" w:eastAsia="MS UI Gothic"/>
          <w:w w:val="80"/>
        </w:rPr>
        <w:t xml:space="preserve">ꎬ </w:t>
      </w:r>
      <w:r>
        <w:t>并提交下列文件</w:t>
      </w:r>
      <w:r>
        <w:rPr>
          <w:w w:val="105"/>
        </w:rPr>
        <w:t>资料</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建设项目审批</w:t>
      </w:r>
      <w:r>
        <w:rPr>
          <w:rFonts w:hint="eastAsia" w:ascii="MS UI Gothic" w:eastAsia="MS UI Gothic"/>
          <w:w w:val="80"/>
        </w:rPr>
        <w:t xml:space="preserve">、 </w:t>
      </w:r>
      <w:r>
        <w:rPr>
          <w:w w:val="105"/>
        </w:rPr>
        <w:t>核准或者备案的文件</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4"/>
          <w:w w:val="120"/>
        </w:rPr>
        <w:t xml:space="preserve">( </w:t>
      </w:r>
      <w:r>
        <w:rPr>
          <w:spacing w:val="5"/>
          <w:w w:val="110"/>
        </w:rPr>
        <w:t>二</w:t>
      </w:r>
      <w:r>
        <w:rPr>
          <w:rFonts w:hint="eastAsia" w:ascii="MS UI Gothic" w:eastAsia="MS UI Gothic"/>
          <w:spacing w:val="-13"/>
          <w:w w:val="120"/>
        </w:rPr>
        <w:t xml:space="preserve">) </w:t>
      </w:r>
      <w:r>
        <w:rPr>
          <w:spacing w:val="23"/>
          <w:w w:val="110"/>
        </w:rPr>
        <w:t>建设项目安全设施设计审查</w:t>
      </w:r>
      <w:r>
        <w:rPr>
          <w:spacing w:val="3"/>
          <w:w w:val="110"/>
        </w:rPr>
        <w:t>申请</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1"/>
          <w:w w:val="110"/>
        </w:rPr>
        <w:t>设计单位的设计资质证明</w:t>
      </w:r>
      <w:r>
        <w:rPr>
          <w:spacing w:val="3"/>
          <w:w w:val="110"/>
        </w:rPr>
        <w:t>文件</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建设项目安全设施设计</w:t>
      </w:r>
      <w:r>
        <w:rPr>
          <w:rFonts w:hint="eastAsia" w:ascii="MS UI Gothic" w:eastAsia="MS UI Gothic"/>
          <w:w w:val="80"/>
        </w:rPr>
        <w:t>ꎻ</w:t>
      </w:r>
    </w:p>
    <w:p>
      <w:pPr>
        <w:pStyle w:val="6"/>
        <w:spacing w:before="44"/>
        <w:ind w:left="543" w:firstLine="0"/>
      </w:pPr>
      <w:r>
        <w:rPr>
          <w:rFonts w:hint="eastAsia" w:ascii="MS UI Gothic" w:eastAsia="MS UI Gothic"/>
          <w:w w:val="150"/>
        </w:rPr>
        <w:t xml:space="preserve">( </w:t>
      </w:r>
      <w:r>
        <w:rPr>
          <w:w w:val="115"/>
        </w:rPr>
        <w:t>五</w:t>
      </w:r>
      <w:r>
        <w:rPr>
          <w:rFonts w:hint="eastAsia" w:ascii="MS UI Gothic" w:eastAsia="MS UI Gothic"/>
          <w:w w:val="150"/>
        </w:rPr>
        <w:t xml:space="preserve">) </w:t>
      </w:r>
      <w:r>
        <w:rPr>
          <w:w w:val="115"/>
        </w:rPr>
        <w:t>建设项目安全预评价报告及相</w:t>
      </w:r>
    </w:p>
    <w:p>
      <w:pPr>
        <w:spacing w:after="0"/>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１０７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64" o:spid="_x0000_s1364" o:spt="203" style="height:2.15pt;width:398.25pt;" coordsize="7965,43">
            <o:lock v:ext="edit"/>
            <v:line id="_x0000_s1365" o:spid="_x0000_s1365" o:spt="20" style="position:absolute;left:0;top:39;height:0;width:7965;" stroked="t" coordsize="21600,21600">
              <v:path arrowok="t"/>
              <v:fill focussize="0,0"/>
              <v:stroke weight="0.388031496062992pt" color="#231F20"/>
              <v:imagedata o:title=""/>
              <o:lock v:ext="edit"/>
            </v:line>
            <v:line id="_x0000_s1366" o:spid="_x0000_s136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关文件资料</w:t>
      </w:r>
      <w:r>
        <w:rPr>
          <w:rFonts w:hint="eastAsia" w:ascii="MS UI Gothic" w:eastAsia="MS UI Gothic"/>
          <w:w w:val="80"/>
        </w:rPr>
        <w:t>ꎻ</w:t>
      </w:r>
    </w:p>
    <w:p>
      <w:pPr>
        <w:pStyle w:val="6"/>
        <w:spacing w:before="58"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行政法规</w:t>
      </w:r>
      <w:r>
        <w:rPr>
          <w:rFonts w:hint="eastAsia" w:ascii="MS UI Gothic" w:eastAsia="MS UI Gothic"/>
          <w:w w:val="80"/>
        </w:rPr>
        <w:t xml:space="preserve">、 </w:t>
      </w:r>
      <w:r>
        <w:rPr>
          <w:w w:val="105"/>
        </w:rPr>
        <w:t>规章规定的其他文件资料</w:t>
      </w:r>
      <w:r>
        <w:rPr>
          <w:rFonts w:hint="eastAsia" w:ascii="MS UI Gothic" w:eastAsia="MS UI Gothic"/>
          <w:w w:val="80"/>
        </w:rPr>
        <w:t>ꎮ</w:t>
      </w:r>
    </w:p>
    <w:p>
      <w:pPr>
        <w:pStyle w:val="6"/>
        <w:spacing w:line="295" w:lineRule="auto"/>
        <w:ind w:left="440"/>
        <w:rPr>
          <w:rFonts w:hint="eastAsia" w:ascii="MS UI Gothic" w:eastAsia="MS UI Gothic"/>
        </w:rPr>
      </w:pPr>
      <w:r>
        <w:t>安全生产监督管理部门收到申请后</w:t>
      </w:r>
      <w:r>
        <w:rPr>
          <w:rFonts w:hint="eastAsia" w:ascii="MS UI Gothic" w:eastAsia="MS UI Gothic"/>
          <w:w w:val="80"/>
        </w:rPr>
        <w:t>ꎬ</w:t>
      </w:r>
      <w:r>
        <w:t>对属于本部门职责范围内的</w:t>
      </w:r>
      <w:r>
        <w:rPr>
          <w:rFonts w:hint="eastAsia" w:ascii="MS UI Gothic" w:eastAsia="MS UI Gothic"/>
          <w:w w:val="80"/>
        </w:rPr>
        <w:t xml:space="preserve">ꎬ </w:t>
      </w:r>
      <w:r>
        <w:t>应当及时进行审查</w:t>
      </w:r>
      <w:r>
        <w:rPr>
          <w:rFonts w:hint="eastAsia" w:ascii="MS UI Gothic" w:eastAsia="MS UI Gothic"/>
          <w:w w:val="80"/>
        </w:rPr>
        <w:t xml:space="preserve">ꎬ </w:t>
      </w:r>
      <w:r>
        <w:t xml:space="preserve">并在收到申请后 </w:t>
      </w:r>
      <w:r>
        <w:rPr>
          <w:rFonts w:hint="eastAsia" w:ascii="MS UI Gothic" w:eastAsia="MS UI Gothic"/>
          <w:w w:val="80"/>
        </w:rPr>
        <w:t xml:space="preserve">５ </w:t>
      </w:r>
      <w:r>
        <w:t>个工作日内作出受理或者不予受理的决定</w:t>
      </w:r>
      <w:r>
        <w:rPr>
          <w:rFonts w:hint="eastAsia" w:ascii="MS UI Gothic" w:eastAsia="MS UI Gothic"/>
          <w:w w:val="80"/>
        </w:rPr>
        <w:t xml:space="preserve">ꎬ </w:t>
      </w:r>
      <w:r>
        <w:t>书面告知申请人</w:t>
      </w:r>
      <w:r>
        <w:rPr>
          <w:rFonts w:hint="eastAsia" w:ascii="MS UI Gothic" w:eastAsia="MS UI Gothic"/>
          <w:w w:val="80"/>
        </w:rPr>
        <w:t xml:space="preserve">ꎻ </w:t>
      </w:r>
      <w:r>
        <w:t>对不属于本部门职责范围内的</w:t>
      </w:r>
      <w:r>
        <w:rPr>
          <w:rFonts w:hint="eastAsia" w:ascii="MS UI Gothic" w:eastAsia="MS UI Gothic"/>
          <w:w w:val="80"/>
        </w:rPr>
        <w:t xml:space="preserve">ꎬ </w:t>
      </w:r>
      <w:r>
        <w:t>应当将有关文件资料转送有审查权的安全生产监督管理部门</w:t>
      </w:r>
      <w:r>
        <w:rPr>
          <w:rFonts w:hint="eastAsia" w:ascii="MS UI Gothic" w:eastAsia="MS UI Gothic"/>
          <w:w w:val="80"/>
        </w:rPr>
        <w:t xml:space="preserve">ꎬ </w:t>
      </w:r>
      <w:r>
        <w:t>并书面告知申请人</w:t>
      </w:r>
      <w:r>
        <w:rPr>
          <w:rFonts w:hint="eastAsia" w:ascii="MS UI Gothic" w:eastAsia="MS UI Gothic"/>
          <w:w w:val="80"/>
        </w:rPr>
        <w:t>ꎮ</w:t>
      </w:r>
    </w:p>
    <w:p>
      <w:pPr>
        <w:pStyle w:val="6"/>
        <w:spacing w:line="295" w:lineRule="auto"/>
        <w:ind w:left="435" w:firstLine="425"/>
        <w:rPr>
          <w:rFonts w:hint="eastAsia" w:ascii="MS UI Gothic" w:eastAsia="MS UI Gothic"/>
        </w:rPr>
      </w:pPr>
      <w:r>
        <w:rPr>
          <w:spacing w:val="4"/>
        </w:rPr>
        <w:t>第十三条 对已经受理的建设项目安</w:t>
      </w:r>
      <w:r>
        <w:rPr>
          <w:spacing w:val="3"/>
        </w:rPr>
        <w:t>全设施设计审查申请</w:t>
      </w:r>
      <w:r>
        <w:rPr>
          <w:rFonts w:hint="eastAsia" w:ascii="MS UI Gothic" w:eastAsia="MS UI Gothic"/>
          <w:spacing w:val="13"/>
          <w:w w:val="85"/>
        </w:rPr>
        <w:t xml:space="preserve">ꎬ </w:t>
      </w:r>
      <w:r>
        <w:rPr>
          <w:spacing w:val="2"/>
        </w:rPr>
        <w:t xml:space="preserve">安全生产监督管理部门应当自受理之日起 </w:t>
      </w:r>
      <w:r>
        <w:rPr>
          <w:rFonts w:hint="eastAsia" w:ascii="MS UI Gothic" w:eastAsia="MS UI Gothic"/>
          <w:spacing w:val="15"/>
          <w:w w:val="85"/>
        </w:rPr>
        <w:t xml:space="preserve">２０ </w:t>
      </w:r>
      <w:r>
        <w:rPr>
          <w:spacing w:val="10"/>
        </w:rPr>
        <w:t>个工作日内作</w:t>
      </w:r>
      <w:r>
        <w:rPr>
          <w:spacing w:val="5"/>
        </w:rPr>
        <w:t>出是否批准的决定</w:t>
      </w:r>
      <w:r>
        <w:rPr>
          <w:rFonts w:hint="eastAsia" w:ascii="MS UI Gothic" w:eastAsia="MS UI Gothic"/>
          <w:spacing w:val="12"/>
          <w:w w:val="85"/>
        </w:rPr>
        <w:t xml:space="preserve">ꎬ </w:t>
      </w:r>
      <w:r>
        <w:rPr>
          <w:spacing w:val="11"/>
        </w:rPr>
        <w:t>并书面告知申请人</w:t>
      </w:r>
      <w:r>
        <w:rPr>
          <w:rFonts w:hint="eastAsia" w:ascii="MS UI Gothic" w:eastAsia="MS UI Gothic"/>
          <w:w w:val="85"/>
        </w:rPr>
        <w:t xml:space="preserve">ꎮ２０ </w:t>
      </w:r>
      <w:r>
        <w:rPr>
          <w:spacing w:val="10"/>
        </w:rPr>
        <w:t>个工作日内不能作出决定的</w:t>
      </w:r>
      <w:r>
        <w:rPr>
          <w:rFonts w:hint="eastAsia" w:ascii="MS UI Gothic" w:eastAsia="MS UI Gothic"/>
          <w:spacing w:val="3"/>
          <w:w w:val="85"/>
        </w:rPr>
        <w:t xml:space="preserve">ꎬ </w:t>
      </w:r>
      <w:r>
        <w:rPr>
          <w:spacing w:val="11"/>
        </w:rPr>
        <w:t>经本部</w:t>
      </w:r>
      <w:r>
        <w:rPr>
          <w:spacing w:val="12"/>
        </w:rPr>
        <w:t>门负责人批准</w:t>
      </w:r>
      <w:r>
        <w:rPr>
          <w:rFonts w:hint="eastAsia" w:ascii="MS UI Gothic" w:eastAsia="MS UI Gothic"/>
          <w:spacing w:val="16"/>
          <w:w w:val="85"/>
        </w:rPr>
        <w:t xml:space="preserve">ꎬ </w:t>
      </w:r>
      <w:r>
        <w:rPr>
          <w:spacing w:val="2"/>
        </w:rPr>
        <w:t xml:space="preserve">可以延长 </w:t>
      </w:r>
      <w:r>
        <w:rPr>
          <w:rFonts w:hint="eastAsia" w:ascii="MS UI Gothic" w:eastAsia="MS UI Gothic"/>
          <w:spacing w:val="2"/>
          <w:w w:val="85"/>
        </w:rPr>
        <w:t xml:space="preserve">１０ </w:t>
      </w:r>
      <w:r>
        <w:rPr>
          <w:spacing w:val="16"/>
        </w:rPr>
        <w:t>个工作日</w:t>
      </w:r>
      <w:r>
        <w:rPr>
          <w:rFonts w:hint="eastAsia" w:ascii="MS UI Gothic" w:eastAsia="MS UI Gothic"/>
          <w:w w:val="85"/>
        </w:rPr>
        <w:t>ꎬ</w:t>
      </w:r>
      <w:r>
        <w:rPr>
          <w:spacing w:val="25"/>
        </w:rPr>
        <w:t>并应当将延长期限的理由书面告知申</w:t>
      </w:r>
      <w:r>
        <w:rPr>
          <w:spacing w:val="3"/>
        </w:rPr>
        <w:t>请人</w:t>
      </w:r>
      <w:r>
        <w:rPr>
          <w:rFonts w:hint="eastAsia" w:ascii="MS UI Gothic" w:eastAsia="MS UI Gothic"/>
          <w:w w:val="85"/>
        </w:rPr>
        <w:t>ꎮ</w:t>
      </w:r>
    </w:p>
    <w:p>
      <w:pPr>
        <w:pStyle w:val="6"/>
        <w:spacing w:line="295" w:lineRule="auto"/>
        <w:ind w:left="440" w:right="1"/>
        <w:rPr>
          <w:rFonts w:hint="eastAsia" w:ascii="MS UI Gothic" w:eastAsia="MS UI Gothic"/>
        </w:rPr>
      </w:pPr>
      <w:r>
        <w:rPr>
          <w:spacing w:val="2"/>
          <w:w w:val="105"/>
        </w:rPr>
        <w:t>第十四条 建设项目安全设施设计有</w:t>
      </w:r>
      <w:r>
        <w:rPr>
          <w:spacing w:val="3"/>
        </w:rPr>
        <w:t>下列情形之一的</w:t>
      </w:r>
      <w:r>
        <w:rPr>
          <w:rFonts w:hint="eastAsia" w:ascii="MS UI Gothic" w:eastAsia="MS UI Gothic"/>
          <w:spacing w:val="23"/>
          <w:w w:val="80"/>
        </w:rPr>
        <w:t xml:space="preserve">ꎬ </w:t>
      </w:r>
      <w:r>
        <w:rPr>
          <w:spacing w:val="3"/>
        </w:rPr>
        <w:t>不予批准</w:t>
      </w:r>
      <w:r>
        <w:rPr>
          <w:rFonts w:hint="eastAsia" w:ascii="MS UI Gothic" w:eastAsia="MS UI Gothic"/>
          <w:spacing w:val="23"/>
          <w:w w:val="80"/>
        </w:rPr>
        <w:t xml:space="preserve">ꎬ </w:t>
      </w:r>
      <w:r>
        <w:rPr>
          <w:spacing w:val="2"/>
        </w:rPr>
        <w:t>并不得开工</w:t>
      </w:r>
      <w:r>
        <w:rPr>
          <w:spacing w:val="3"/>
          <w:w w:val="105"/>
        </w:rPr>
        <w:t>建设</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无建设项目审批</w:t>
      </w:r>
      <w:r>
        <w:rPr>
          <w:rFonts w:hint="eastAsia" w:ascii="MS UI Gothic" w:eastAsia="MS UI Gothic"/>
          <w:w w:val="80"/>
        </w:rPr>
        <w:t xml:space="preserve">、 </w:t>
      </w:r>
      <w:r>
        <w:rPr>
          <w:w w:val="105"/>
        </w:rPr>
        <w:t>核准或者备案文件的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未委托具有相应资质的设计单</w:t>
      </w:r>
      <w:r>
        <w:rPr>
          <w:w w:val="110"/>
        </w:rPr>
        <w:t>位进行设计的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安全预评价报告由未取得相应资质的安全评价机构编制的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设计内容不符合有关安全生产的法律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规章和国家标准或者行业标准</w:t>
      </w:r>
      <w:r>
        <w:rPr>
          <w:rFonts w:hint="eastAsia" w:ascii="MS UI Gothic" w:eastAsia="MS UI Gothic"/>
          <w:w w:val="80"/>
        </w:rPr>
        <w:t xml:space="preserve">、 </w:t>
      </w:r>
      <w:r>
        <w:rPr>
          <w:w w:val="105"/>
        </w:rPr>
        <w:t>技术规范的规定的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未采纳安全预评价报告中的安</w:t>
      </w:r>
      <w:r>
        <w:t>全对策和建议</w:t>
      </w:r>
      <w:r>
        <w:rPr>
          <w:rFonts w:hint="eastAsia" w:ascii="MS UI Gothic" w:eastAsia="MS UI Gothic"/>
          <w:w w:val="80"/>
        </w:rPr>
        <w:t xml:space="preserve">ꎬ </w:t>
      </w:r>
      <w:r>
        <w:t>且未作充分论证说明的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不符合法律</w:t>
      </w:r>
      <w:r>
        <w:rPr>
          <w:rFonts w:hint="eastAsia" w:ascii="MS UI Gothic" w:eastAsia="MS UI Gothic"/>
          <w:w w:val="80"/>
        </w:rPr>
        <w:t xml:space="preserve">、 </w:t>
      </w:r>
      <w:r>
        <w:rPr>
          <w:w w:val="105"/>
        </w:rPr>
        <w:t>行政法规规定的其他条件的</w:t>
      </w:r>
      <w:r>
        <w:rPr>
          <w:rFonts w:hint="eastAsia" w:ascii="MS UI Gothic" w:eastAsia="MS UI Gothic"/>
          <w:w w:val="80"/>
        </w:rPr>
        <w:t>ꎮ</w:t>
      </w:r>
    </w:p>
    <w:p>
      <w:pPr>
        <w:pStyle w:val="6"/>
        <w:spacing w:line="295" w:lineRule="auto"/>
        <w:ind w:left="440" w:right="1"/>
        <w:rPr>
          <w:rFonts w:hint="eastAsia" w:ascii="MS UI Gothic" w:eastAsia="MS UI Gothic"/>
        </w:rPr>
      </w:pPr>
      <w:r>
        <w:t>建设项目安全设施设计审查未予批准的</w:t>
      </w:r>
      <w:r>
        <w:rPr>
          <w:rFonts w:hint="eastAsia" w:ascii="MS UI Gothic" w:eastAsia="MS UI Gothic"/>
          <w:w w:val="80"/>
        </w:rPr>
        <w:t xml:space="preserve">ꎬ </w:t>
      </w:r>
      <w:r>
        <w:t>生产经营单位经过整改后可以向原审</w:t>
      </w:r>
      <w:r>
        <w:rPr>
          <w:w w:val="105"/>
        </w:rPr>
        <w:t>查部门申请再审</w:t>
      </w:r>
      <w:r>
        <w:rPr>
          <w:rFonts w:hint="eastAsia" w:ascii="MS UI Gothic" w:eastAsia="MS UI Gothic"/>
          <w:w w:val="80"/>
        </w:rPr>
        <w:t>ꎮ</w:t>
      </w:r>
    </w:p>
    <w:p>
      <w:pPr>
        <w:pStyle w:val="6"/>
        <w:spacing w:line="295" w:lineRule="auto"/>
        <w:ind w:left="440" w:right="1"/>
      </w:pPr>
      <w:r>
        <w:rPr>
          <w:w w:val="105"/>
        </w:rPr>
        <w:t>第十五条 已经批准的建设项目及其</w:t>
      </w:r>
      <w:r>
        <w:t>安全设施设计有下列情形之一的</w:t>
      </w:r>
      <w:r>
        <w:rPr>
          <w:rFonts w:hint="eastAsia" w:ascii="MS UI Gothic" w:eastAsia="MS UI Gothic"/>
          <w:w w:val="80"/>
        </w:rPr>
        <w:t xml:space="preserve">ꎬ </w:t>
      </w:r>
      <w:r>
        <w:t>生产经</w:t>
      </w:r>
    </w:p>
    <w:p>
      <w:pPr>
        <w:pStyle w:val="6"/>
        <w:spacing w:before="124" w:line="295" w:lineRule="auto"/>
        <w:ind w:left="381" w:right="126" w:firstLine="0"/>
        <w:rPr>
          <w:rFonts w:hint="eastAsia" w:ascii="MS UI Gothic" w:eastAsia="MS UI Gothic"/>
        </w:rPr>
      </w:pPr>
      <w:r>
        <w:br w:type="column"/>
      </w:r>
      <w:r>
        <w:rPr>
          <w:spacing w:val="3"/>
        </w:rPr>
        <w:t>营单位应当报原批准部门审查同意</w:t>
      </w:r>
      <w:r>
        <w:rPr>
          <w:rFonts w:hint="eastAsia" w:ascii="MS UI Gothic" w:eastAsia="MS UI Gothic"/>
          <w:spacing w:val="20"/>
          <w:w w:val="80"/>
        </w:rPr>
        <w:t xml:space="preserve">ꎻ </w:t>
      </w:r>
      <w:r>
        <w:rPr>
          <w:spacing w:val="1"/>
        </w:rPr>
        <w:t>未经</w:t>
      </w:r>
      <w:r>
        <w:rPr>
          <w:spacing w:val="3"/>
          <w:w w:val="105"/>
        </w:rPr>
        <w:t>审查同意的</w:t>
      </w:r>
      <w:r>
        <w:rPr>
          <w:rFonts w:hint="eastAsia" w:ascii="MS UI Gothic" w:eastAsia="MS UI Gothic"/>
          <w:w w:val="80"/>
        </w:rPr>
        <w:t xml:space="preserve">ꎬ </w:t>
      </w:r>
      <w:r>
        <w:rPr>
          <w:spacing w:val="3"/>
          <w:w w:val="105"/>
        </w:rPr>
        <w:t>不得开工建设</w:t>
      </w:r>
      <w:r>
        <w:rPr>
          <w:rFonts w:hint="eastAsia" w:ascii="MS UI Gothic" w:eastAsia="MS UI Gothic"/>
          <w:w w:val="235"/>
        </w:rPr>
        <w:t>:</w:t>
      </w:r>
    </w:p>
    <w:p>
      <w:pPr>
        <w:pStyle w:val="6"/>
        <w:spacing w:line="295" w:lineRule="auto"/>
        <w:ind w:left="381" w:right="124"/>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10"/>
          <w:w w:val="150"/>
        </w:rPr>
        <w:t xml:space="preserve">) </w:t>
      </w:r>
      <w:r>
        <w:rPr>
          <w:spacing w:val="18"/>
          <w:w w:val="105"/>
        </w:rPr>
        <w:t>建设项目的规模</w:t>
      </w:r>
      <w:r>
        <w:rPr>
          <w:rFonts w:hint="eastAsia" w:ascii="MS UI Gothic" w:eastAsia="MS UI Gothic"/>
          <w:spacing w:val="3"/>
          <w:w w:val="80"/>
        </w:rPr>
        <w:t xml:space="preserve">、 </w:t>
      </w:r>
      <w:r>
        <w:rPr>
          <w:spacing w:val="16"/>
          <w:w w:val="105"/>
        </w:rPr>
        <w:t>生产工艺</w:t>
      </w:r>
      <w:r>
        <w:rPr>
          <w:rFonts w:hint="eastAsia" w:ascii="MS UI Gothic" w:eastAsia="MS UI Gothic"/>
          <w:spacing w:val="-11"/>
          <w:w w:val="80"/>
        </w:rPr>
        <w:t>、</w:t>
      </w:r>
      <w:r>
        <w:rPr>
          <w:spacing w:val="3"/>
          <w:w w:val="105"/>
        </w:rPr>
        <w:t>原料</w:t>
      </w:r>
      <w:r>
        <w:rPr>
          <w:rFonts w:hint="eastAsia" w:ascii="MS UI Gothic" w:eastAsia="MS UI Gothic"/>
          <w:spacing w:val="24"/>
          <w:w w:val="80"/>
        </w:rPr>
        <w:t xml:space="preserve">、 </w:t>
      </w:r>
      <w:r>
        <w:rPr>
          <w:spacing w:val="3"/>
          <w:w w:val="105"/>
        </w:rPr>
        <w:t>设备发生重大变更的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改变安全设施设计且可能降低</w:t>
      </w:r>
      <w:r>
        <w:rPr>
          <w:w w:val="110"/>
        </w:rPr>
        <w:t>安全性能的</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在施工期间重新设计的</w:t>
      </w:r>
      <w:r>
        <w:rPr>
          <w:rFonts w:hint="eastAsia" w:ascii="MS UI Gothic" w:eastAsia="MS UI Gothic"/>
          <w:w w:val="80"/>
        </w:rPr>
        <w:t>ꎮ</w:t>
      </w:r>
    </w:p>
    <w:p>
      <w:pPr>
        <w:pStyle w:val="6"/>
        <w:spacing w:before="55" w:line="295" w:lineRule="auto"/>
        <w:ind w:left="381" w:right="126"/>
        <w:rPr>
          <w:rFonts w:hint="eastAsia" w:ascii="MS UI Gothic" w:eastAsia="MS UI Gothic"/>
        </w:rPr>
      </w:pPr>
      <w:r>
        <w:t>第十六条 本办法第七条第一项</w:t>
      </w:r>
      <w:r>
        <w:rPr>
          <w:rFonts w:hint="eastAsia" w:ascii="MS UI Gothic" w:eastAsia="MS UI Gothic"/>
          <w:w w:val="80"/>
        </w:rPr>
        <w:t xml:space="preserve">、 </w:t>
      </w:r>
      <w:r>
        <w:t>第二项</w:t>
      </w:r>
      <w:r>
        <w:rPr>
          <w:rFonts w:hint="eastAsia" w:ascii="MS UI Gothic" w:eastAsia="MS UI Gothic"/>
          <w:w w:val="80"/>
        </w:rPr>
        <w:t xml:space="preserve">、 </w:t>
      </w:r>
      <w:r>
        <w:t>第三项和第四项规定以外的建设项目安全设施设计</w:t>
      </w:r>
      <w:r>
        <w:rPr>
          <w:rFonts w:hint="eastAsia" w:ascii="MS UI Gothic" w:eastAsia="MS UI Gothic"/>
          <w:w w:val="80"/>
        </w:rPr>
        <w:t xml:space="preserve">ꎬ </w:t>
      </w:r>
      <w:r>
        <w:t>由生产经营单位组织审查</w:t>
      </w:r>
      <w:r>
        <w:rPr>
          <w:rFonts w:hint="eastAsia" w:ascii="MS UI Gothic" w:eastAsia="MS UI Gothic"/>
          <w:w w:val="80"/>
        </w:rPr>
        <w:t xml:space="preserve">ꎬ </w:t>
      </w:r>
      <w:r>
        <w:t>形成书面报告备查</w:t>
      </w:r>
      <w:r>
        <w:rPr>
          <w:rFonts w:hint="eastAsia" w:ascii="MS UI Gothic" w:eastAsia="MS UI Gothic"/>
          <w:w w:val="80"/>
        </w:rPr>
        <w:t>ꎮ</w:t>
      </w:r>
    </w:p>
    <w:p>
      <w:pPr>
        <w:pStyle w:val="6"/>
        <w:tabs>
          <w:tab w:val="left" w:pos="1848"/>
        </w:tabs>
        <w:spacing w:before="154" w:line="295" w:lineRule="auto"/>
        <w:ind w:left="1533" w:right="755" w:hanging="524"/>
        <w:jc w:val="left"/>
      </w:pPr>
      <w:r>
        <w:rPr>
          <w:spacing w:val="3"/>
          <w:w w:val="105"/>
        </w:rPr>
        <w:t>第四</w:t>
      </w:r>
      <w:r>
        <w:rPr>
          <w:w w:val="105"/>
        </w:rPr>
        <w:t>章</w:t>
      </w:r>
      <w:r>
        <w:rPr>
          <w:w w:val="105"/>
        </w:rPr>
        <w:tab/>
      </w:r>
      <w:r>
        <w:rPr>
          <w:spacing w:val="3"/>
        </w:rPr>
        <w:t>建设项目安全设</w:t>
      </w:r>
      <w:r>
        <w:rPr>
          <w:spacing w:val="-12"/>
        </w:rPr>
        <w:t>施</w:t>
      </w:r>
      <w:r>
        <w:rPr>
          <w:spacing w:val="3"/>
          <w:w w:val="105"/>
        </w:rPr>
        <w:t>施工和竣工验</w:t>
      </w:r>
      <w:r>
        <w:rPr>
          <w:w w:val="105"/>
        </w:rPr>
        <w:t>收</w:t>
      </w:r>
    </w:p>
    <w:p>
      <w:pPr>
        <w:pStyle w:val="6"/>
        <w:spacing w:before="156" w:line="295" w:lineRule="auto"/>
        <w:ind w:left="381" w:right="126"/>
        <w:rPr>
          <w:rFonts w:hint="eastAsia" w:ascii="MS UI Gothic" w:eastAsia="MS UI Gothic"/>
        </w:rPr>
      </w:pPr>
      <w:r>
        <w:rPr>
          <w:w w:val="105"/>
        </w:rPr>
        <w:t>第十七条 建设项目安全设施的施工</w:t>
      </w:r>
      <w:r>
        <w:t>应当由取得相应资质的施工单位进行</w:t>
      </w:r>
      <w:r>
        <w:rPr>
          <w:rFonts w:hint="eastAsia" w:ascii="MS UI Gothic" w:eastAsia="MS UI Gothic"/>
          <w:w w:val="80"/>
        </w:rPr>
        <w:t xml:space="preserve">ꎬ </w:t>
      </w:r>
      <w:r>
        <w:t>并</w:t>
      </w:r>
      <w:r>
        <w:rPr>
          <w:w w:val="105"/>
        </w:rPr>
        <w:t>与建设项目主体工程同时施工</w:t>
      </w:r>
      <w:r>
        <w:rPr>
          <w:rFonts w:hint="eastAsia" w:ascii="MS UI Gothic" w:eastAsia="MS UI Gothic"/>
          <w:w w:val="80"/>
        </w:rPr>
        <w:t>ꎮ</w:t>
      </w:r>
    </w:p>
    <w:p>
      <w:pPr>
        <w:pStyle w:val="6"/>
        <w:spacing w:line="295" w:lineRule="auto"/>
        <w:ind w:left="381" w:right="124"/>
        <w:rPr>
          <w:rFonts w:hint="eastAsia" w:ascii="MS UI Gothic" w:eastAsia="MS UI Gothic"/>
        </w:rPr>
      </w:pPr>
      <w:r>
        <w:t>施工单位应当在施工组织设计中编制安全技术措施和施工现场临时用电方案</w:t>
      </w:r>
      <w:r>
        <w:rPr>
          <w:rFonts w:hint="eastAsia" w:ascii="MS UI Gothic" w:eastAsia="MS UI Gothic"/>
          <w:w w:val="80"/>
        </w:rPr>
        <w:t>ꎬ</w:t>
      </w:r>
      <w:r>
        <w:t>同时对危险性较大的分部分项工程依法编制专项施工方案</w:t>
      </w:r>
      <w:r>
        <w:rPr>
          <w:rFonts w:hint="eastAsia" w:ascii="MS UI Gothic" w:eastAsia="MS UI Gothic"/>
          <w:w w:val="80"/>
        </w:rPr>
        <w:t xml:space="preserve">ꎬ </w:t>
      </w:r>
      <w:r>
        <w:t>并附具安全验算结果</w:t>
      </w:r>
      <w:r>
        <w:rPr>
          <w:rFonts w:hint="eastAsia" w:ascii="MS UI Gothic" w:eastAsia="MS UI Gothic"/>
          <w:w w:val="80"/>
        </w:rPr>
        <w:t>ꎬ</w:t>
      </w:r>
      <w:r>
        <w:rPr>
          <w:w w:val="105"/>
        </w:rPr>
        <w:t>经施工单位技术负责人</w:t>
      </w:r>
      <w:r>
        <w:rPr>
          <w:rFonts w:hint="eastAsia" w:ascii="MS UI Gothic" w:eastAsia="MS UI Gothic"/>
          <w:w w:val="80"/>
        </w:rPr>
        <w:t xml:space="preserve">、 </w:t>
      </w:r>
      <w:r>
        <w:rPr>
          <w:w w:val="105"/>
        </w:rPr>
        <w:t>总监理工程师签字后实施</w:t>
      </w:r>
      <w:r>
        <w:rPr>
          <w:rFonts w:hint="eastAsia" w:ascii="MS UI Gothic" w:eastAsia="MS UI Gothic"/>
          <w:w w:val="80"/>
        </w:rPr>
        <w:t>ꎮ</w:t>
      </w:r>
    </w:p>
    <w:p>
      <w:pPr>
        <w:pStyle w:val="6"/>
        <w:spacing w:line="295" w:lineRule="auto"/>
        <w:ind w:left="381" w:right="126"/>
        <w:rPr>
          <w:rFonts w:hint="eastAsia" w:ascii="MS UI Gothic" w:eastAsia="MS UI Gothic"/>
        </w:rPr>
      </w:pPr>
      <w:r>
        <w:t>施工单位应当严格按照安全设施设计和相关施工技术标准</w:t>
      </w:r>
      <w:r>
        <w:rPr>
          <w:rFonts w:hint="eastAsia" w:ascii="MS UI Gothic" w:eastAsia="MS UI Gothic"/>
          <w:w w:val="80"/>
        </w:rPr>
        <w:t xml:space="preserve">、 </w:t>
      </w:r>
      <w:r>
        <w:t>规范施工</w:t>
      </w:r>
      <w:r>
        <w:rPr>
          <w:rFonts w:hint="eastAsia" w:ascii="MS UI Gothic" w:eastAsia="MS UI Gothic"/>
          <w:w w:val="80"/>
        </w:rPr>
        <w:t xml:space="preserve">ꎬ </w:t>
      </w:r>
      <w:r>
        <w:t>并对安全设施的工程质量负责</w:t>
      </w:r>
      <w:r>
        <w:rPr>
          <w:rFonts w:hint="eastAsia" w:ascii="MS UI Gothic" w:eastAsia="MS UI Gothic"/>
          <w:w w:val="80"/>
        </w:rPr>
        <w:t>ꎮ</w:t>
      </w:r>
    </w:p>
    <w:p>
      <w:pPr>
        <w:pStyle w:val="6"/>
        <w:spacing w:line="295" w:lineRule="auto"/>
        <w:ind w:left="381" w:right="126"/>
        <w:rPr>
          <w:rFonts w:hint="eastAsia" w:ascii="MS UI Gothic" w:eastAsia="MS UI Gothic"/>
        </w:rPr>
      </w:pPr>
      <w:r>
        <w:t>第十八条 施工单位发现安全设施设计文件有错漏的</w:t>
      </w:r>
      <w:r>
        <w:rPr>
          <w:rFonts w:hint="eastAsia" w:ascii="MS UI Gothic" w:eastAsia="MS UI Gothic"/>
          <w:w w:val="80"/>
        </w:rPr>
        <w:t xml:space="preserve">ꎬ </w:t>
      </w:r>
      <w:r>
        <w:t>应当及时向生产经营单位</w:t>
      </w:r>
      <w:r>
        <w:rPr>
          <w:rFonts w:hint="eastAsia" w:ascii="MS UI Gothic" w:eastAsia="MS UI Gothic"/>
          <w:w w:val="80"/>
        </w:rPr>
        <w:t xml:space="preserve">、 </w:t>
      </w:r>
      <w:r>
        <w:t>设计单位提出</w:t>
      </w:r>
      <w:r>
        <w:rPr>
          <w:rFonts w:hint="eastAsia" w:ascii="MS UI Gothic" w:eastAsia="MS UI Gothic"/>
          <w:w w:val="80"/>
        </w:rPr>
        <w:t xml:space="preserve">ꎮ </w:t>
      </w:r>
      <w:r>
        <w:t>生产经营单位</w:t>
      </w:r>
      <w:r>
        <w:rPr>
          <w:rFonts w:hint="eastAsia" w:ascii="MS UI Gothic" w:eastAsia="MS UI Gothic"/>
          <w:w w:val="80"/>
        </w:rPr>
        <w:t xml:space="preserve">、 </w:t>
      </w:r>
      <w:r>
        <w:t>设计单位应当及时处理</w:t>
      </w:r>
      <w:r>
        <w:rPr>
          <w:rFonts w:hint="eastAsia" w:ascii="MS UI Gothic" w:eastAsia="MS UI Gothic"/>
          <w:w w:val="80"/>
        </w:rPr>
        <w:t>ꎮ</w:t>
      </w:r>
    </w:p>
    <w:p>
      <w:pPr>
        <w:pStyle w:val="6"/>
        <w:spacing w:line="295" w:lineRule="auto"/>
        <w:ind w:left="381" w:right="126"/>
        <w:rPr>
          <w:rFonts w:hint="eastAsia" w:ascii="MS UI Gothic" w:eastAsia="MS UI Gothic"/>
        </w:rPr>
      </w:pPr>
      <w:r>
        <w:t>施工单位发现安全设施存在重大事故隐患时</w:t>
      </w:r>
      <w:r>
        <w:rPr>
          <w:rFonts w:hint="eastAsia" w:ascii="MS UI Gothic" w:eastAsia="MS UI Gothic"/>
          <w:w w:val="80"/>
        </w:rPr>
        <w:t xml:space="preserve">ꎬ </w:t>
      </w:r>
      <w:r>
        <w:t>应当立即停止施工并报告生产经营单位进行整改</w:t>
      </w:r>
      <w:r>
        <w:rPr>
          <w:rFonts w:hint="eastAsia" w:ascii="MS UI Gothic" w:eastAsia="MS UI Gothic"/>
          <w:w w:val="80"/>
        </w:rPr>
        <w:t xml:space="preserve">ꎮ </w:t>
      </w:r>
      <w:r>
        <w:t>整改合格后</w:t>
      </w:r>
      <w:r>
        <w:rPr>
          <w:rFonts w:hint="eastAsia" w:ascii="MS UI Gothic" w:eastAsia="MS UI Gothic"/>
          <w:w w:val="80"/>
        </w:rPr>
        <w:t xml:space="preserve">ꎬ </w:t>
      </w:r>
      <w:r>
        <w:t>方可恢复施工</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第十九条 工程监理单位应当审查施</w:t>
      </w:r>
      <w:r>
        <w:t>工组织设计中的安全技术措施或者专项施</w:t>
      </w:r>
      <w:r>
        <w:rPr>
          <w:w w:val="105"/>
        </w:rPr>
        <w:t>工方案是否符合工程建设强制性标准</w:t>
      </w:r>
      <w:r>
        <w:rPr>
          <w:rFonts w:hint="eastAsia" w:ascii="MS UI Gothic" w:eastAsia="MS UI Gothic"/>
          <w:w w:val="80"/>
        </w:rPr>
        <w:t>ꎮ</w:t>
      </w:r>
    </w:p>
    <w:p>
      <w:pPr>
        <w:pStyle w:val="6"/>
        <w:spacing w:line="295" w:lineRule="auto"/>
        <w:ind w:left="381" w:right="126"/>
      </w:pPr>
      <w:r>
        <w:t>工程监理单位在实施监理过程中</w:t>
      </w:r>
      <w:r>
        <w:rPr>
          <w:rFonts w:hint="eastAsia" w:ascii="MS UI Gothic" w:eastAsia="MS UI Gothic"/>
          <w:w w:val="80"/>
        </w:rPr>
        <w:t xml:space="preserve">ꎬ </w:t>
      </w:r>
      <w:r>
        <w:t>发现存在事故隐患的</w:t>
      </w:r>
      <w:r>
        <w:rPr>
          <w:rFonts w:hint="eastAsia" w:ascii="MS UI Gothic" w:eastAsia="MS UI Gothic"/>
          <w:w w:val="80"/>
        </w:rPr>
        <w:t xml:space="preserve">ꎬ </w:t>
      </w:r>
      <w:r>
        <w:t>应当要求施工单位整</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１０８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67" o:spid="_x0000_s1367" o:spt="203" style="height:2.15pt;width:398.25pt;" coordsize="7965,43">
            <o:lock v:ext="edit"/>
            <v:line id="_x0000_s1368" o:spid="_x0000_s1368" o:spt="20" style="position:absolute;left:0;top:39;height:0;width:7965;" stroked="t" coordsize="21600,21600">
              <v:path arrowok="t"/>
              <v:fill focussize="0,0"/>
              <v:stroke weight="0.388031496062992pt" color="#231F20"/>
              <v:imagedata o:title=""/>
              <o:lock v:ext="edit"/>
            </v:line>
            <v:line id="_x0000_s1369" o:spid="_x0000_s136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改</w:t>
      </w:r>
      <w:r>
        <w:rPr>
          <w:rFonts w:hint="eastAsia" w:ascii="MS UI Gothic" w:eastAsia="MS UI Gothic"/>
          <w:w w:val="80"/>
        </w:rPr>
        <w:t xml:space="preserve">ꎻ </w:t>
      </w:r>
      <w:r>
        <w:t>情况严重的</w:t>
      </w:r>
      <w:r>
        <w:rPr>
          <w:rFonts w:hint="eastAsia" w:ascii="MS UI Gothic" w:eastAsia="MS UI Gothic"/>
          <w:w w:val="80"/>
        </w:rPr>
        <w:t xml:space="preserve">ꎬ </w:t>
      </w:r>
      <w:r>
        <w:t>应当要求施工单位暂时停止施工</w:t>
      </w:r>
      <w:r>
        <w:rPr>
          <w:rFonts w:hint="eastAsia" w:ascii="MS UI Gothic" w:eastAsia="MS UI Gothic"/>
          <w:w w:val="80"/>
        </w:rPr>
        <w:t xml:space="preserve">ꎬ </w:t>
      </w:r>
      <w:r>
        <w:t>并及时报告生产经营单位</w:t>
      </w:r>
      <w:r>
        <w:rPr>
          <w:rFonts w:hint="eastAsia" w:ascii="MS UI Gothic" w:eastAsia="MS UI Gothic"/>
          <w:w w:val="80"/>
        </w:rPr>
        <w:t xml:space="preserve">ꎮ </w:t>
      </w:r>
      <w:r>
        <w:t>施工单位拒不整改或者不停止施工的</w:t>
      </w:r>
      <w:r>
        <w:rPr>
          <w:rFonts w:hint="eastAsia" w:ascii="MS UI Gothic" w:eastAsia="MS UI Gothic"/>
          <w:w w:val="80"/>
        </w:rPr>
        <w:t xml:space="preserve">ꎬ </w:t>
      </w:r>
      <w:r>
        <w:t>工程监理单位应当及时向有关主管部门报告</w:t>
      </w:r>
      <w:r>
        <w:rPr>
          <w:rFonts w:hint="eastAsia" w:ascii="MS UI Gothic" w:eastAsia="MS UI Gothic"/>
          <w:w w:val="80"/>
        </w:rPr>
        <w:t>ꎮ</w:t>
      </w:r>
    </w:p>
    <w:p>
      <w:pPr>
        <w:pStyle w:val="6"/>
        <w:spacing w:line="295" w:lineRule="auto"/>
        <w:ind w:right="39"/>
        <w:rPr>
          <w:rFonts w:hint="eastAsia" w:ascii="MS UI Gothic" w:eastAsia="MS UI Gothic"/>
        </w:rPr>
      </w:pPr>
      <w:r>
        <w:t>工程监理单位</w:t>
      </w:r>
      <w:r>
        <w:rPr>
          <w:rFonts w:hint="eastAsia" w:ascii="MS UI Gothic" w:eastAsia="MS UI Gothic"/>
          <w:w w:val="80"/>
        </w:rPr>
        <w:t xml:space="preserve">、 </w:t>
      </w:r>
      <w:r>
        <w:t>监理人员应当按照法律</w:t>
      </w:r>
      <w:r>
        <w:rPr>
          <w:rFonts w:hint="eastAsia" w:ascii="MS UI Gothic" w:eastAsia="MS UI Gothic"/>
          <w:w w:val="80"/>
        </w:rPr>
        <w:t xml:space="preserve">、 </w:t>
      </w:r>
      <w:r>
        <w:t>法规和工程建设强制性标准实施监理</w:t>
      </w:r>
      <w:r>
        <w:rPr>
          <w:rFonts w:hint="eastAsia" w:ascii="MS UI Gothic" w:eastAsia="MS UI Gothic"/>
          <w:w w:val="80"/>
        </w:rPr>
        <w:t xml:space="preserve">ꎬ </w:t>
      </w:r>
      <w:r>
        <w:t>并对安全设施工程的工程质量承担监理责任</w:t>
      </w:r>
      <w:r>
        <w:rPr>
          <w:rFonts w:hint="eastAsia" w:ascii="MS UI Gothic" w:eastAsia="MS UI Gothic"/>
          <w:w w:val="80"/>
        </w:rPr>
        <w:t>ꎮ</w:t>
      </w:r>
    </w:p>
    <w:p>
      <w:pPr>
        <w:pStyle w:val="6"/>
        <w:spacing w:line="295" w:lineRule="auto"/>
        <w:ind w:right="39"/>
        <w:rPr>
          <w:rFonts w:hint="eastAsia" w:ascii="MS UI Gothic" w:eastAsia="MS UI Gothic"/>
        </w:rPr>
      </w:pPr>
      <w:r>
        <w:t>第二十条  建设项目安全设施建成后</w:t>
      </w:r>
      <w:r>
        <w:rPr>
          <w:rFonts w:hint="eastAsia" w:ascii="MS UI Gothic" w:eastAsia="MS UI Gothic"/>
          <w:w w:val="80"/>
        </w:rPr>
        <w:t xml:space="preserve">ꎬ </w:t>
      </w:r>
      <w:r>
        <w:t>生产经营单位应当对安全设施进行检查</w:t>
      </w:r>
      <w:r>
        <w:rPr>
          <w:rFonts w:hint="eastAsia" w:ascii="MS UI Gothic" w:eastAsia="MS UI Gothic"/>
          <w:w w:val="80"/>
        </w:rPr>
        <w:t xml:space="preserve">ꎬ </w:t>
      </w:r>
      <w:r>
        <w:t>对发现的问题及时整改</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第二十一条 本办法第七条规定的建</w:t>
      </w:r>
      <w:r>
        <w:rPr>
          <w:spacing w:val="3"/>
        </w:rPr>
        <w:t>设项目竣工后</w:t>
      </w:r>
      <w:r>
        <w:rPr>
          <w:rFonts w:hint="eastAsia" w:ascii="MS UI Gothic" w:eastAsia="MS UI Gothic"/>
          <w:spacing w:val="21"/>
          <w:w w:val="80"/>
        </w:rPr>
        <w:t xml:space="preserve">ꎬ </w:t>
      </w:r>
      <w:r>
        <w:rPr>
          <w:spacing w:val="2"/>
        </w:rPr>
        <w:t>根据规定建设项目需要试</w:t>
      </w:r>
      <w:r>
        <w:rPr>
          <w:spacing w:val="-7"/>
          <w:w w:val="105"/>
        </w:rPr>
        <w:t xml:space="preserve">运行 </w:t>
      </w:r>
      <w:r>
        <w:rPr>
          <w:rFonts w:hint="eastAsia" w:ascii="MS UI Gothic" w:eastAsia="MS UI Gothic"/>
          <w:spacing w:val="-35"/>
          <w:w w:val="150"/>
        </w:rPr>
        <w:t xml:space="preserve">( </w:t>
      </w:r>
      <w:r>
        <w:rPr>
          <w:spacing w:val="18"/>
          <w:w w:val="105"/>
        </w:rPr>
        <w:t>包括生产</w:t>
      </w:r>
      <w:r>
        <w:rPr>
          <w:rFonts w:hint="eastAsia" w:ascii="MS UI Gothic" w:eastAsia="MS UI Gothic"/>
          <w:spacing w:val="22"/>
          <w:w w:val="80"/>
        </w:rPr>
        <w:t xml:space="preserve">、 </w:t>
      </w:r>
      <w:r>
        <w:rPr>
          <w:spacing w:val="13"/>
          <w:w w:val="105"/>
        </w:rPr>
        <w:t>使用</w:t>
      </w:r>
      <w:r>
        <w:rPr>
          <w:rFonts w:hint="eastAsia" w:ascii="MS UI Gothic" w:eastAsia="MS UI Gothic"/>
          <w:spacing w:val="22"/>
          <w:w w:val="80"/>
        </w:rPr>
        <w:t xml:space="preserve">ꎬ </w:t>
      </w:r>
      <w:r>
        <w:rPr>
          <w:spacing w:val="20"/>
          <w:w w:val="105"/>
        </w:rPr>
        <w:t>下同</w:t>
      </w:r>
      <w:r>
        <w:rPr>
          <w:rFonts w:hint="eastAsia" w:ascii="MS UI Gothic" w:eastAsia="MS UI Gothic"/>
          <w:spacing w:val="8"/>
          <w:w w:val="150"/>
        </w:rPr>
        <w:t xml:space="preserve">) </w:t>
      </w:r>
      <w:r>
        <w:rPr>
          <w:spacing w:val="3"/>
          <w:w w:val="105"/>
        </w:rPr>
        <w:t>的</w:t>
      </w:r>
      <w:r>
        <w:rPr>
          <w:rFonts w:hint="eastAsia" w:ascii="MS UI Gothic" w:eastAsia="MS UI Gothic"/>
          <w:spacing w:val="22"/>
          <w:w w:val="80"/>
        </w:rPr>
        <w:t xml:space="preserve">ꎬ </w:t>
      </w:r>
      <w:r>
        <w:rPr>
          <w:w w:val="105"/>
        </w:rPr>
        <w:t>应</w:t>
      </w:r>
      <w:r>
        <w:rPr>
          <w:spacing w:val="25"/>
        </w:rPr>
        <w:t>当在正式投入生产或者使用前进行试</w:t>
      </w:r>
      <w:r>
        <w:rPr>
          <w:spacing w:val="3"/>
          <w:w w:val="105"/>
        </w:rPr>
        <w:t>运行</w:t>
      </w:r>
      <w:r>
        <w:rPr>
          <w:rFonts w:hint="eastAsia" w:ascii="MS UI Gothic" w:eastAsia="MS UI Gothic"/>
          <w:w w:val="80"/>
        </w:rPr>
        <w:t>ꎮ</w:t>
      </w:r>
    </w:p>
    <w:p>
      <w:pPr>
        <w:pStyle w:val="6"/>
        <w:spacing w:line="295" w:lineRule="auto"/>
        <w:ind w:right="39"/>
        <w:rPr>
          <w:rFonts w:hint="eastAsia" w:ascii="MS UI Gothic" w:eastAsia="MS UI Gothic"/>
        </w:rPr>
      </w:pPr>
      <w:r>
        <w:rPr>
          <w:w w:val="95"/>
        </w:rPr>
        <w:t xml:space="preserve">试运行时间应当不少于 </w:t>
      </w:r>
      <w:r>
        <w:rPr>
          <w:rFonts w:hint="eastAsia" w:ascii="MS UI Gothic" w:eastAsia="MS UI Gothic"/>
          <w:w w:val="95"/>
        </w:rPr>
        <w:t xml:space="preserve">３０ </w:t>
      </w:r>
      <w:r>
        <w:rPr>
          <w:w w:val="95"/>
        </w:rPr>
        <w:t>日</w:t>
      </w:r>
      <w:r>
        <w:rPr>
          <w:rFonts w:hint="eastAsia" w:ascii="MS UI Gothic" w:eastAsia="MS UI Gothic"/>
          <w:w w:val="90"/>
        </w:rPr>
        <w:t xml:space="preserve">ꎬ </w:t>
      </w:r>
      <w:r>
        <w:rPr>
          <w:w w:val="95"/>
        </w:rPr>
        <w:t xml:space="preserve">最长不得超过 </w:t>
      </w:r>
      <w:r>
        <w:rPr>
          <w:rFonts w:hint="eastAsia" w:ascii="MS UI Gothic" w:eastAsia="MS UI Gothic"/>
          <w:w w:val="95"/>
        </w:rPr>
        <w:t xml:space="preserve">１８０ </w:t>
      </w:r>
      <w:r>
        <w:rPr>
          <w:w w:val="95"/>
        </w:rPr>
        <w:t>日</w:t>
      </w:r>
      <w:r>
        <w:rPr>
          <w:rFonts w:hint="eastAsia" w:ascii="MS UI Gothic" w:eastAsia="MS UI Gothic"/>
          <w:w w:val="90"/>
        </w:rPr>
        <w:t xml:space="preserve">ꎬ </w:t>
      </w:r>
      <w:r>
        <w:rPr>
          <w:w w:val="95"/>
        </w:rPr>
        <w:t>国家有关部门有规定或者特殊要求的行业除外</w:t>
      </w:r>
      <w:r>
        <w:rPr>
          <w:rFonts w:hint="eastAsia" w:ascii="MS UI Gothic" w:eastAsia="MS UI Gothic"/>
          <w:w w:val="90"/>
        </w:rPr>
        <w:t>ꎮ</w:t>
      </w:r>
    </w:p>
    <w:p>
      <w:pPr>
        <w:pStyle w:val="6"/>
        <w:spacing w:line="295" w:lineRule="auto"/>
        <w:ind w:right="39"/>
        <w:rPr>
          <w:rFonts w:hint="eastAsia" w:ascii="MS UI Gothic" w:eastAsia="MS UI Gothic"/>
        </w:rPr>
      </w:pPr>
      <w:r>
        <w:rPr>
          <w:w w:val="105"/>
        </w:rPr>
        <w:t>生产</w:t>
      </w:r>
      <w:r>
        <w:rPr>
          <w:rFonts w:hint="eastAsia" w:ascii="MS UI Gothic" w:eastAsia="MS UI Gothic"/>
          <w:w w:val="80"/>
        </w:rPr>
        <w:t xml:space="preserve">、 </w:t>
      </w:r>
      <w:r>
        <w:rPr>
          <w:w w:val="105"/>
        </w:rPr>
        <w:t>储存危险化学品的建设项目和</w:t>
      </w:r>
      <w:r>
        <w:t>化工建设项目</w:t>
      </w:r>
      <w:r>
        <w:rPr>
          <w:rFonts w:hint="eastAsia" w:ascii="MS UI Gothic" w:eastAsia="MS UI Gothic"/>
          <w:w w:val="80"/>
        </w:rPr>
        <w:t xml:space="preserve">ꎬ </w:t>
      </w:r>
      <w:r>
        <w:t>应当在建设项目试运行前将试运行方案报负责建设项目安全许可的</w:t>
      </w:r>
      <w:r>
        <w:rPr>
          <w:w w:val="105"/>
        </w:rPr>
        <w:t>安全生产监督管理部门备案</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第二十二条 本办法第七条规定的建</w:t>
      </w:r>
      <w:r>
        <w:t>设项目安全设施竣工或者试运行完成后</w:t>
      </w:r>
      <w:r>
        <w:rPr>
          <w:rFonts w:hint="eastAsia" w:ascii="MS UI Gothic" w:eastAsia="MS UI Gothic"/>
          <w:w w:val="80"/>
        </w:rPr>
        <w:t>ꎬ</w:t>
      </w:r>
      <w:r>
        <w:t>生产经营单位应当委托具有相应资质的安全评价机构对安全设施进行验收评价</w:t>
      </w:r>
      <w:r>
        <w:rPr>
          <w:rFonts w:hint="eastAsia" w:ascii="MS UI Gothic" w:eastAsia="MS UI Gothic"/>
          <w:w w:val="80"/>
        </w:rPr>
        <w:t xml:space="preserve">ꎬ </w:t>
      </w:r>
      <w:r>
        <w:t>并</w:t>
      </w:r>
      <w:r>
        <w:rPr>
          <w:w w:val="105"/>
        </w:rPr>
        <w:t>编制建设项目安全验收评价报告</w:t>
      </w:r>
      <w:r>
        <w:rPr>
          <w:rFonts w:hint="eastAsia" w:ascii="MS UI Gothic" w:eastAsia="MS UI Gothic"/>
          <w:w w:val="80"/>
        </w:rPr>
        <w:t>ꎮ</w:t>
      </w:r>
    </w:p>
    <w:p>
      <w:pPr>
        <w:pStyle w:val="6"/>
        <w:spacing w:line="295" w:lineRule="auto"/>
        <w:ind w:right="39"/>
        <w:jc w:val="left"/>
        <w:rPr>
          <w:rFonts w:hint="eastAsia" w:ascii="MS UI Gothic" w:eastAsia="MS UI Gothic"/>
        </w:rPr>
      </w:pPr>
      <w:r>
        <w:t>建设项目安全验收评价报告应当符合</w:t>
      </w:r>
      <w:r>
        <w:rPr>
          <w:w w:val="105"/>
        </w:rPr>
        <w:t>国家标准或者行业标准的规定</w:t>
      </w:r>
      <w:r>
        <w:rPr>
          <w:rFonts w:hint="eastAsia" w:ascii="MS UI Gothic" w:eastAsia="MS UI Gothic"/>
          <w:w w:val="80"/>
        </w:rPr>
        <w:t>ꎮ</w:t>
      </w:r>
    </w:p>
    <w:p>
      <w:pPr>
        <w:pStyle w:val="6"/>
        <w:spacing w:line="295" w:lineRule="auto"/>
        <w:ind w:right="39"/>
        <w:rPr>
          <w:rFonts w:hint="eastAsia" w:ascii="MS UI Gothic" w:eastAsia="MS UI Gothic"/>
        </w:rPr>
      </w:pPr>
      <w:r>
        <w:rPr>
          <w:w w:val="105"/>
        </w:rPr>
        <w:t>生产</w:t>
      </w:r>
      <w:r>
        <w:rPr>
          <w:rFonts w:hint="eastAsia" w:ascii="MS UI Gothic" w:eastAsia="MS UI Gothic"/>
          <w:w w:val="80"/>
        </w:rPr>
        <w:t xml:space="preserve">、 </w:t>
      </w:r>
      <w:r>
        <w:rPr>
          <w:w w:val="105"/>
        </w:rPr>
        <w:t>储存危险化学品的建设项目和</w:t>
      </w:r>
      <w:r>
        <w:t>化工建设项目安全验收评价报告除符合本条第二款的规定外</w:t>
      </w:r>
      <w:r>
        <w:rPr>
          <w:rFonts w:hint="eastAsia" w:ascii="MS UI Gothic" w:eastAsia="MS UI Gothic"/>
          <w:w w:val="80"/>
        </w:rPr>
        <w:t xml:space="preserve">ꎬ </w:t>
      </w:r>
      <w:r>
        <w:t>还应当符合有关危险</w:t>
      </w:r>
      <w:r>
        <w:rPr>
          <w:w w:val="105"/>
        </w:rPr>
        <w:t>化学品建设项目的规定</w:t>
      </w:r>
      <w:r>
        <w:rPr>
          <w:rFonts w:hint="eastAsia" w:ascii="MS UI Gothic" w:eastAsia="MS UI Gothic"/>
          <w:w w:val="80"/>
        </w:rPr>
        <w:t>ꎮ</w:t>
      </w:r>
    </w:p>
    <w:p>
      <w:pPr>
        <w:pStyle w:val="6"/>
        <w:spacing w:line="295" w:lineRule="auto"/>
        <w:ind w:right="39"/>
        <w:rPr>
          <w:rFonts w:hint="eastAsia" w:ascii="MS UI Gothic" w:eastAsia="MS UI Gothic"/>
        </w:rPr>
      </w:pPr>
      <w:r>
        <w:t>第二十三条 建设项目竣工投入生产或者使用前</w:t>
      </w:r>
      <w:r>
        <w:rPr>
          <w:rFonts w:hint="eastAsia" w:ascii="MS UI Gothic" w:eastAsia="MS UI Gothic"/>
          <w:w w:val="80"/>
        </w:rPr>
        <w:t xml:space="preserve">ꎬ </w:t>
      </w:r>
      <w:r>
        <w:t>生产经营单位应当组织对安全设施进行竣工验收</w:t>
      </w:r>
      <w:r>
        <w:rPr>
          <w:rFonts w:hint="eastAsia" w:ascii="MS UI Gothic" w:eastAsia="MS UI Gothic"/>
          <w:w w:val="80"/>
        </w:rPr>
        <w:t xml:space="preserve">ꎬ </w:t>
      </w:r>
      <w:r>
        <w:t>并形成书面报告备查</w:t>
      </w:r>
      <w:r>
        <w:rPr>
          <w:rFonts w:hint="eastAsia" w:ascii="MS UI Gothic" w:eastAsia="MS UI Gothic"/>
          <w:w w:val="80"/>
        </w:rPr>
        <w:t xml:space="preserve">ꎮ </w:t>
      </w:r>
      <w:r>
        <w:t>安全设施竣工验收合格后</w:t>
      </w:r>
      <w:r>
        <w:rPr>
          <w:rFonts w:hint="eastAsia" w:ascii="MS UI Gothic" w:eastAsia="MS UI Gothic"/>
          <w:w w:val="80"/>
        </w:rPr>
        <w:t xml:space="preserve">ꎬ </w:t>
      </w:r>
      <w:r>
        <w:t>方可投入生产和使用</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t>安全监管部门应当按照下列方式之一</w:t>
      </w:r>
      <w:r>
        <w:rPr>
          <w:w w:val="105"/>
        </w:rPr>
        <w:t>对本办法第七条第一项</w:t>
      </w:r>
      <w:r>
        <w:rPr>
          <w:rFonts w:hint="eastAsia" w:ascii="MS UI Gothic" w:eastAsia="MS UI Gothic"/>
        </w:rPr>
        <w:t xml:space="preserve">、 </w:t>
      </w:r>
      <w:r>
        <w:rPr>
          <w:w w:val="105"/>
        </w:rPr>
        <w:t>第二项</w:t>
      </w:r>
      <w:r>
        <w:rPr>
          <w:rFonts w:hint="eastAsia" w:ascii="MS UI Gothic" w:eastAsia="MS UI Gothic"/>
        </w:rPr>
        <w:t xml:space="preserve">、 </w:t>
      </w:r>
      <w:r>
        <w:rPr>
          <w:w w:val="105"/>
        </w:rPr>
        <w:t>第三项</w:t>
      </w:r>
      <w:r>
        <w:t>和第四项规定建设项目的竣工验收活动和</w:t>
      </w:r>
      <w:r>
        <w:rPr>
          <w:w w:val="105"/>
        </w:rPr>
        <w:t>验收结果的监督核查</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40"/>
        </w:rPr>
        <w:t xml:space="preserve">( </w:t>
      </w:r>
      <w:r>
        <w:rPr>
          <w:w w:val="105"/>
        </w:rPr>
        <w:t>一</w:t>
      </w:r>
      <w:r>
        <w:rPr>
          <w:rFonts w:hint="eastAsia" w:ascii="MS UI Gothic" w:eastAsia="MS UI Gothic"/>
          <w:w w:val="140"/>
        </w:rPr>
        <w:t xml:space="preserve">) </w:t>
      </w:r>
      <w:r>
        <w:rPr>
          <w:w w:val="105"/>
        </w:rPr>
        <w:t xml:space="preserve">对安全设施竣工验收报告按照不少于总数 </w:t>
      </w:r>
      <w:r>
        <w:rPr>
          <w:rFonts w:hint="eastAsia" w:ascii="MS UI Gothic" w:eastAsia="MS UI Gothic"/>
          <w:w w:val="85"/>
        </w:rPr>
        <w:t>１０</w:t>
      </w:r>
      <w:r>
        <w:rPr>
          <w:w w:val="85"/>
        </w:rPr>
        <w:t xml:space="preserve">％ </w:t>
      </w:r>
      <w:r>
        <w:rPr>
          <w:w w:val="105"/>
        </w:rPr>
        <w:t>的比例进行随机抽查</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在实施有关安全许可时</w:t>
      </w:r>
      <w:r>
        <w:rPr>
          <w:rFonts w:hint="eastAsia" w:ascii="MS UI Gothic" w:eastAsia="MS UI Gothic"/>
          <w:w w:val="80"/>
        </w:rPr>
        <w:t xml:space="preserve">ꎬ </w:t>
      </w:r>
      <w:r>
        <w:rPr>
          <w:w w:val="105"/>
        </w:rPr>
        <w:t>对建</w:t>
      </w:r>
      <w:r>
        <w:t>设项目安全设施竣工验收报告进行审查</w:t>
      </w:r>
      <w:r>
        <w:rPr>
          <w:rFonts w:hint="eastAsia" w:ascii="MS UI Gothic" w:eastAsia="MS UI Gothic"/>
          <w:w w:val="80"/>
        </w:rPr>
        <w:t>ꎮ</w:t>
      </w:r>
    </w:p>
    <w:p>
      <w:pPr>
        <w:pStyle w:val="6"/>
        <w:spacing w:line="295" w:lineRule="auto"/>
        <w:ind w:right="442"/>
        <w:rPr>
          <w:rFonts w:hint="eastAsia" w:ascii="MS UI Gothic" w:eastAsia="MS UI Gothic"/>
        </w:rPr>
      </w:pPr>
      <w:r>
        <w:t>抽查和审查以书面方式为主</w:t>
      </w:r>
      <w:r>
        <w:rPr>
          <w:rFonts w:hint="eastAsia" w:ascii="MS UI Gothic" w:eastAsia="MS UI Gothic"/>
          <w:w w:val="80"/>
        </w:rPr>
        <w:t xml:space="preserve">ꎮ </w:t>
      </w:r>
      <w:r>
        <w:t>对竣工验收报告的实质内容存在疑问</w:t>
      </w:r>
      <w:r>
        <w:rPr>
          <w:rFonts w:hint="eastAsia" w:ascii="MS UI Gothic" w:eastAsia="MS UI Gothic"/>
          <w:w w:val="80"/>
        </w:rPr>
        <w:t xml:space="preserve">ꎬ </w:t>
      </w:r>
      <w:r>
        <w:t>需要到现场核查的</w:t>
      </w:r>
      <w:r>
        <w:rPr>
          <w:rFonts w:hint="eastAsia" w:ascii="MS UI Gothic" w:eastAsia="MS UI Gothic"/>
          <w:w w:val="80"/>
        </w:rPr>
        <w:t xml:space="preserve">ꎬ </w:t>
      </w:r>
      <w:r>
        <w:t>安全监管部门应当指派两名以上工作人员对有关内容进行现场核查</w:t>
      </w:r>
      <w:r>
        <w:rPr>
          <w:rFonts w:hint="eastAsia" w:ascii="MS UI Gothic" w:eastAsia="MS UI Gothic"/>
          <w:w w:val="80"/>
        </w:rPr>
        <w:t xml:space="preserve">ꎮ </w:t>
      </w:r>
      <w:r>
        <w:t>工作人员应当提出现场核查意见</w:t>
      </w:r>
      <w:r>
        <w:rPr>
          <w:rFonts w:hint="eastAsia" w:ascii="MS UI Gothic" w:eastAsia="MS UI Gothic"/>
          <w:w w:val="80"/>
        </w:rPr>
        <w:t xml:space="preserve">ꎬ </w:t>
      </w:r>
      <w:r>
        <w:t>并如实记录在案</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第二十四条 建设项目的安全设施有</w:t>
      </w:r>
      <w:r>
        <w:t>下列情形之一的</w:t>
      </w:r>
      <w:r>
        <w:rPr>
          <w:rFonts w:hint="eastAsia" w:ascii="MS UI Gothic" w:eastAsia="MS UI Gothic"/>
          <w:w w:val="80"/>
        </w:rPr>
        <w:t xml:space="preserve">ꎬ </w:t>
      </w:r>
      <w:r>
        <w:t>建设单位不得通过竣工</w:t>
      </w:r>
      <w:r>
        <w:rPr>
          <w:w w:val="105"/>
        </w:rPr>
        <w:t>验收</w:t>
      </w:r>
      <w:r>
        <w:rPr>
          <w:rFonts w:hint="eastAsia" w:ascii="MS UI Gothic" w:eastAsia="MS UI Gothic"/>
          <w:w w:val="80"/>
        </w:rPr>
        <w:t xml:space="preserve">ꎬ </w:t>
      </w:r>
      <w:r>
        <w:rPr>
          <w:w w:val="105"/>
        </w:rPr>
        <w:t>并不得投入生产或者使用</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未选择具有相应资质的施工单</w:t>
      </w:r>
      <w:r>
        <w:rPr>
          <w:w w:val="110"/>
        </w:rPr>
        <w:t>位施工的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未按照建设项目安全设施设计</w:t>
      </w:r>
      <w:r>
        <w:t>文件施工或者施工质量未达到建设项目安</w:t>
      </w:r>
      <w:r>
        <w:rPr>
          <w:w w:val="105"/>
        </w:rPr>
        <w:t>全设施设计文件要求的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建设项目安全设施的施工不符合国家有关施工技术标准的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未选择具有相应资质的安全评</w:t>
      </w:r>
      <w:r>
        <w:t>价机构进行安全验收评价或者安全验收评</w:t>
      </w:r>
      <w:r>
        <w:rPr>
          <w:w w:val="105"/>
        </w:rPr>
        <w:t>价不合格的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安全设施和安全生产条件不符合有关安全生产法律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规章和国家标准或者行业标准</w:t>
      </w:r>
      <w:r>
        <w:rPr>
          <w:rFonts w:hint="eastAsia" w:ascii="MS UI Gothic" w:eastAsia="MS UI Gothic"/>
          <w:w w:val="80"/>
        </w:rPr>
        <w:t xml:space="preserve">、 </w:t>
      </w:r>
      <w:r>
        <w:rPr>
          <w:w w:val="105"/>
        </w:rPr>
        <w:t>技术规范规定的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发现建设项目试运行期间存在</w:t>
      </w:r>
      <w:r>
        <w:rPr>
          <w:w w:val="110"/>
        </w:rPr>
        <w:t>事故隐患未整改的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七</w:t>
      </w:r>
      <w:r>
        <w:rPr>
          <w:rFonts w:hint="eastAsia" w:ascii="MS UI Gothic" w:eastAsia="MS UI Gothic"/>
          <w:spacing w:val="4"/>
          <w:w w:val="150"/>
        </w:rPr>
        <w:t xml:space="preserve">) </w:t>
      </w:r>
      <w:r>
        <w:rPr>
          <w:spacing w:val="5"/>
          <w:w w:val="105"/>
        </w:rPr>
        <w:t>未依法设置安全生产管理机构</w:t>
      </w:r>
      <w:r>
        <w:rPr>
          <w:spacing w:val="3"/>
          <w:w w:val="105"/>
        </w:rPr>
        <w:t>或者配备安全生产管理人员的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八</w:t>
      </w:r>
      <w:r>
        <w:rPr>
          <w:rFonts w:hint="eastAsia" w:ascii="MS UI Gothic" w:eastAsia="MS UI Gothic"/>
          <w:spacing w:val="4"/>
          <w:w w:val="150"/>
        </w:rPr>
        <w:t xml:space="preserve">) </w:t>
      </w:r>
      <w:r>
        <w:rPr>
          <w:spacing w:val="5"/>
          <w:w w:val="105"/>
        </w:rPr>
        <w:t>从业人员未经过安全生产教育</w:t>
      </w:r>
      <w:r>
        <w:rPr>
          <w:spacing w:val="3"/>
          <w:w w:val="105"/>
        </w:rPr>
        <w:t>和培训或者不具备相应资格的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不符合法律</w:t>
      </w:r>
      <w:r>
        <w:rPr>
          <w:rFonts w:hint="eastAsia" w:ascii="MS UI Gothic" w:eastAsia="MS UI Gothic"/>
          <w:w w:val="80"/>
        </w:rPr>
        <w:t xml:space="preserve">、 </w:t>
      </w:r>
      <w:r>
        <w:rPr>
          <w:w w:val="105"/>
        </w:rPr>
        <w:t>行政法规规定的其他条件的</w:t>
      </w:r>
      <w:r>
        <w:rPr>
          <w:rFonts w:hint="eastAsia" w:ascii="MS UI Gothic" w:eastAsia="MS UI Gothic"/>
          <w:w w:val="80"/>
        </w:rPr>
        <w:t>ꎮ</w:t>
      </w:r>
    </w:p>
    <w:p>
      <w:pPr>
        <w:pStyle w:val="6"/>
        <w:tabs>
          <w:tab w:val="left" w:pos="1801"/>
        </w:tabs>
        <w:spacing w:line="255" w:lineRule="exact"/>
        <w:ind w:left="543" w:firstLine="0"/>
        <w:jc w:val="left"/>
      </w:pPr>
      <w:r>
        <w:rPr>
          <w:spacing w:val="3"/>
          <w:w w:val="105"/>
        </w:rPr>
        <w:t>第二十五</w:t>
      </w:r>
      <w:r>
        <w:rPr>
          <w:w w:val="105"/>
        </w:rPr>
        <w:t>条</w:t>
      </w:r>
      <w:r>
        <w:rPr>
          <w:w w:val="105"/>
        </w:rPr>
        <w:tab/>
      </w:r>
      <w:r>
        <w:rPr>
          <w:spacing w:val="3"/>
          <w:w w:val="105"/>
        </w:rPr>
        <w:t>生产经营单位应当按</w:t>
      </w:r>
      <w:r>
        <w:rPr>
          <w:w w:val="105"/>
        </w:rPr>
        <w:t>照</w:t>
      </w:r>
    </w:p>
    <w:p>
      <w:pPr>
        <w:spacing w:after="0" w:line="255"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１０９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70" o:spid="_x0000_s1370" o:spt="203" style="height:2.15pt;width:398.25pt;" coordsize="7965,43">
            <o:lock v:ext="edit"/>
            <v:line id="_x0000_s1371" o:spid="_x0000_s1371" o:spt="20" style="position:absolute;left:0;top:39;height:0;width:7965;" stroked="t" coordsize="21600,21600">
              <v:path arrowok="t"/>
              <v:fill focussize="0,0"/>
              <v:stroke weight="0.388031496062992pt" color="#231F20"/>
              <v:imagedata o:title=""/>
              <o:lock v:ext="edit"/>
            </v:line>
            <v:line id="_x0000_s1372" o:spid="_x0000_s137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pPr>
      <w:r>
        <w:t>档案管理的规定</w:t>
      </w:r>
      <w:r>
        <w:rPr>
          <w:rFonts w:hint="eastAsia" w:ascii="MS UI Gothic" w:eastAsia="MS UI Gothic"/>
          <w:w w:val="80"/>
        </w:rPr>
        <w:t xml:space="preserve">ꎬ </w:t>
      </w:r>
      <w:r>
        <w:t>建立建设项目安全设施</w:t>
      </w:r>
    </w:p>
    <w:p>
      <w:pPr>
        <w:pStyle w:val="6"/>
        <w:spacing w:before="58"/>
        <w:ind w:left="440" w:firstLine="0"/>
        <w:rPr>
          <w:rFonts w:hint="eastAsia" w:ascii="MS UI Gothic" w:hAnsi="MS UI Gothic" w:eastAsia="MS UI Gothic"/>
        </w:rPr>
      </w:pPr>
      <w:r>
        <w:rPr>
          <w:rFonts w:hint="eastAsia" w:ascii="MS UI Gothic" w:hAnsi="MS UI Gothic" w:eastAsia="MS UI Gothic"/>
        </w:rPr>
        <w:t xml:space="preserve">“ </w:t>
      </w:r>
      <w:r>
        <w:t>三同时</w:t>
      </w:r>
      <w:r>
        <w:rPr>
          <w:rFonts w:hint="eastAsia" w:ascii="MS UI Gothic" w:hAnsi="MS UI Gothic" w:eastAsia="MS UI Gothic"/>
        </w:rPr>
        <w:t xml:space="preserve">” </w:t>
      </w:r>
      <w:r>
        <w:t>文件资料档案</w:t>
      </w:r>
      <w:r>
        <w:rPr>
          <w:rFonts w:hint="eastAsia" w:ascii="MS UI Gothic" w:hAnsi="MS UI Gothic" w:eastAsia="MS UI Gothic"/>
          <w:w w:val="80"/>
        </w:rPr>
        <w:t xml:space="preserve">ꎬ </w:t>
      </w:r>
      <w:r>
        <w:t>并妥善保存</w:t>
      </w:r>
      <w:r>
        <w:rPr>
          <w:rFonts w:hint="eastAsia" w:ascii="MS UI Gothic" w:hAnsi="MS UI Gothic" w:eastAsia="MS UI Gothic"/>
          <w:w w:val="80"/>
        </w:rPr>
        <w:t>ꎮ</w:t>
      </w:r>
    </w:p>
    <w:p>
      <w:pPr>
        <w:pStyle w:val="6"/>
        <w:spacing w:before="58" w:line="295" w:lineRule="auto"/>
        <w:ind w:left="440"/>
        <w:rPr>
          <w:rFonts w:hint="eastAsia" w:ascii="MS UI Gothic" w:eastAsia="MS UI Gothic"/>
        </w:rPr>
      </w:pPr>
      <w:r>
        <w:rPr>
          <w:w w:val="105"/>
        </w:rPr>
        <w:t>第二十六条 建设项目安全设施未与主体工程同时设计</w:t>
      </w:r>
      <w:r>
        <w:rPr>
          <w:rFonts w:hint="eastAsia" w:ascii="MS UI Gothic" w:eastAsia="MS UI Gothic"/>
          <w:w w:val="80"/>
        </w:rPr>
        <w:t xml:space="preserve">、 </w:t>
      </w:r>
      <w:r>
        <w:rPr>
          <w:w w:val="105"/>
        </w:rPr>
        <w:t>同时施工或者同时投</w:t>
      </w:r>
      <w:r>
        <w:t>入使用的</w:t>
      </w:r>
      <w:r>
        <w:rPr>
          <w:rFonts w:hint="eastAsia" w:ascii="MS UI Gothic" w:eastAsia="MS UI Gothic"/>
          <w:w w:val="80"/>
        </w:rPr>
        <w:t xml:space="preserve">ꎬ </w:t>
      </w:r>
      <w:r>
        <w:t>安全生产监督管理部门对与此有关的行政许可一律不予审批</w:t>
      </w:r>
      <w:r>
        <w:rPr>
          <w:rFonts w:hint="eastAsia" w:ascii="MS UI Gothic" w:eastAsia="MS UI Gothic"/>
          <w:w w:val="80"/>
        </w:rPr>
        <w:t xml:space="preserve">ꎬ </w:t>
      </w:r>
      <w:r>
        <w:t>同时责令</w:t>
      </w:r>
      <w:r>
        <w:rPr>
          <w:w w:val="105"/>
        </w:rPr>
        <w:t>生产经营单位立即停止施工</w:t>
      </w:r>
      <w:r>
        <w:rPr>
          <w:rFonts w:hint="eastAsia" w:ascii="MS UI Gothic" w:eastAsia="MS UI Gothic"/>
          <w:w w:val="80"/>
        </w:rPr>
        <w:t xml:space="preserve">、 </w:t>
      </w:r>
      <w:r>
        <w:rPr>
          <w:w w:val="105"/>
        </w:rPr>
        <w:t>限期改正违</w:t>
      </w:r>
      <w:r>
        <w:t>法行为</w:t>
      </w:r>
      <w:r>
        <w:rPr>
          <w:rFonts w:hint="eastAsia" w:ascii="MS UI Gothic" w:eastAsia="MS UI Gothic"/>
          <w:w w:val="80"/>
        </w:rPr>
        <w:t xml:space="preserve">ꎬ </w:t>
      </w:r>
      <w:r>
        <w:t>对有关生产经营单位和人员依法</w:t>
      </w:r>
      <w:r>
        <w:rPr>
          <w:w w:val="105"/>
        </w:rPr>
        <w:t>给予行政处罚</w:t>
      </w:r>
      <w:r>
        <w:rPr>
          <w:rFonts w:hint="eastAsia" w:ascii="MS UI Gothic" w:eastAsia="MS UI Gothic"/>
          <w:w w:val="80"/>
        </w:rPr>
        <w:t>ꎮ</w:t>
      </w:r>
    </w:p>
    <w:p>
      <w:pPr>
        <w:pStyle w:val="6"/>
        <w:tabs>
          <w:tab w:val="left" w:pos="2222"/>
        </w:tabs>
        <w:spacing w:before="152"/>
        <w:ind w:left="1384" w:firstLine="0"/>
        <w:jc w:val="left"/>
      </w:pPr>
      <w:r>
        <w:rPr>
          <w:spacing w:val="3"/>
          <w:w w:val="105"/>
        </w:rPr>
        <w:t>第五</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tabs>
          <w:tab w:val="left" w:pos="2305"/>
        </w:tabs>
        <w:spacing w:before="215"/>
        <w:ind w:left="860" w:firstLine="0"/>
        <w:jc w:val="left"/>
      </w:pPr>
      <w:r>
        <w:rPr>
          <w:spacing w:val="15"/>
          <w:w w:val="105"/>
        </w:rPr>
        <w:t>第</w:t>
      </w:r>
      <w:r>
        <w:rPr>
          <w:spacing w:val="34"/>
          <w:w w:val="105"/>
        </w:rPr>
        <w:t>二十七</w:t>
      </w:r>
      <w:r>
        <w:rPr>
          <w:w w:val="105"/>
        </w:rPr>
        <w:t>条</w:t>
      </w:r>
      <w:r>
        <w:rPr>
          <w:w w:val="105"/>
        </w:rPr>
        <w:tab/>
      </w:r>
      <w:r>
        <w:rPr>
          <w:spacing w:val="36"/>
        </w:rPr>
        <w:t>建设项目安全设</w:t>
      </w:r>
      <w:r>
        <w:rPr>
          <w:spacing w:val="-13"/>
        </w:rPr>
        <w:t>施</w:t>
      </w:r>
    </w:p>
    <w:p>
      <w:pPr>
        <w:pStyle w:val="6"/>
        <w:spacing w:before="58" w:line="240" w:lineRule="exact"/>
        <w:ind w:left="440" w:firstLine="0"/>
      </w:pPr>
      <w:r>
        <w:rPr>
          <w:rFonts w:hint="eastAsia" w:ascii="MS UI Gothic" w:hAnsi="MS UI Gothic" w:eastAsia="MS UI Gothic"/>
          <w:spacing w:val="-19"/>
        </w:rPr>
        <w:t xml:space="preserve">“ </w:t>
      </w:r>
      <w:r>
        <w:rPr>
          <w:spacing w:val="3"/>
        </w:rPr>
        <w:t>三同时</w:t>
      </w:r>
      <w:r>
        <w:rPr>
          <w:rFonts w:hint="eastAsia" w:ascii="MS UI Gothic" w:hAnsi="MS UI Gothic" w:eastAsia="MS UI Gothic"/>
          <w:spacing w:val="7"/>
        </w:rPr>
        <w:t xml:space="preserve">”  </w:t>
      </w:r>
      <w:r>
        <w:rPr>
          <w:spacing w:val="8"/>
        </w:rPr>
        <w:t>违反本办法的规定</w:t>
      </w:r>
      <w:r>
        <w:rPr>
          <w:rFonts w:hint="eastAsia" w:ascii="MS UI Gothic" w:hAnsi="MS UI Gothic" w:eastAsia="MS UI Gothic"/>
          <w:spacing w:val="9"/>
          <w:w w:val="80"/>
        </w:rPr>
        <w:t xml:space="preserve">ꎬ  </w:t>
      </w:r>
      <w:r>
        <w:rPr>
          <w:spacing w:val="7"/>
        </w:rPr>
        <w:t>安全生产</w:t>
      </w:r>
    </w:p>
    <w:p>
      <w:pPr>
        <w:pStyle w:val="6"/>
        <w:spacing w:before="124"/>
        <w:ind w:left="377" w:firstLine="0"/>
        <w:rPr>
          <w:rFonts w:hint="eastAsia" w:ascii="MS UI Gothic" w:eastAsia="MS UI Gothic"/>
        </w:rPr>
      </w:pPr>
      <w:r>
        <w:br w:type="column"/>
      </w:r>
      <w:r>
        <w:rPr>
          <w:rFonts w:hint="eastAsia" w:ascii="MS UI Gothic" w:eastAsia="MS UI Gothic"/>
          <w:spacing w:val="12"/>
          <w:w w:val="95"/>
        </w:rPr>
        <w:t xml:space="preserve">３ </w:t>
      </w:r>
      <w:r>
        <w:rPr>
          <w:spacing w:val="3"/>
          <w:w w:val="95"/>
        </w:rPr>
        <w:t>万元以下的罚款</w:t>
      </w:r>
      <w:r>
        <w:rPr>
          <w:rFonts w:hint="eastAsia" w:ascii="MS UI Gothic" w:eastAsia="MS UI Gothic"/>
          <w:w w:val="80"/>
        </w:rPr>
        <w:t>ꎮ</w:t>
      </w:r>
    </w:p>
    <w:p>
      <w:pPr>
        <w:pStyle w:val="6"/>
        <w:spacing w:before="58" w:line="295" w:lineRule="auto"/>
        <w:ind w:left="377" w:right="126" w:firstLine="425"/>
        <w:rPr>
          <w:rFonts w:hint="eastAsia" w:ascii="MS UI Gothic" w:eastAsia="MS UI Gothic"/>
        </w:rPr>
      </w:pPr>
      <w:r>
        <w:rPr>
          <w:spacing w:val="3"/>
        </w:rPr>
        <w:t>第三十条 本办法第七条第一项</w:t>
      </w:r>
      <w:r>
        <w:rPr>
          <w:rFonts w:hint="eastAsia" w:ascii="MS UI Gothic" w:eastAsia="MS UI Gothic"/>
          <w:spacing w:val="12"/>
          <w:w w:val="85"/>
        </w:rPr>
        <w:t xml:space="preserve">、 </w:t>
      </w:r>
      <w:r>
        <w:t>第</w:t>
      </w:r>
      <w:r>
        <w:rPr>
          <w:spacing w:val="3"/>
        </w:rPr>
        <w:t>二项</w:t>
      </w:r>
      <w:r>
        <w:rPr>
          <w:rFonts w:hint="eastAsia" w:ascii="MS UI Gothic" w:eastAsia="MS UI Gothic"/>
          <w:spacing w:val="8"/>
          <w:w w:val="85"/>
        </w:rPr>
        <w:t xml:space="preserve">、 </w:t>
      </w:r>
      <w:r>
        <w:rPr>
          <w:spacing w:val="2"/>
        </w:rPr>
        <w:t>第三项和第四项规定以外的建设项</w:t>
      </w:r>
      <w:r>
        <w:rPr>
          <w:spacing w:val="3"/>
        </w:rPr>
        <w:t>目有下列情形之一的</w:t>
      </w:r>
      <w:r>
        <w:rPr>
          <w:rFonts w:hint="eastAsia" w:ascii="MS UI Gothic" w:eastAsia="MS UI Gothic"/>
          <w:spacing w:val="12"/>
          <w:w w:val="85"/>
        </w:rPr>
        <w:t xml:space="preserve">ꎬ </w:t>
      </w:r>
      <w:r>
        <w:rPr>
          <w:spacing w:val="2"/>
        </w:rPr>
        <w:t>对有关生产经营单</w:t>
      </w:r>
      <w:r>
        <w:rPr>
          <w:spacing w:val="6"/>
        </w:rPr>
        <w:t>位责令限期改正</w:t>
      </w:r>
      <w:r>
        <w:rPr>
          <w:rFonts w:hint="eastAsia" w:ascii="MS UI Gothic" w:eastAsia="MS UI Gothic"/>
          <w:spacing w:val="21"/>
          <w:w w:val="85"/>
        </w:rPr>
        <w:t xml:space="preserve">ꎬ </w:t>
      </w:r>
      <w:r>
        <w:rPr>
          <w:spacing w:val="-3"/>
        </w:rPr>
        <w:t xml:space="preserve">可以并处 </w:t>
      </w:r>
      <w:r>
        <w:rPr>
          <w:rFonts w:hint="eastAsia" w:ascii="MS UI Gothic" w:eastAsia="MS UI Gothic"/>
          <w:spacing w:val="1"/>
          <w:w w:val="85"/>
        </w:rPr>
        <w:t xml:space="preserve">５０００ </w:t>
      </w:r>
      <w:r>
        <w:rPr>
          <w:spacing w:val="10"/>
        </w:rPr>
        <w:t>元以上</w:t>
      </w:r>
      <w:r>
        <w:rPr>
          <w:rFonts w:hint="eastAsia" w:ascii="MS UI Gothic" w:eastAsia="MS UI Gothic"/>
          <w:spacing w:val="8"/>
          <w:w w:val="85"/>
        </w:rPr>
        <w:t xml:space="preserve">３ </w:t>
      </w:r>
      <w:r>
        <w:rPr>
          <w:spacing w:val="3"/>
        </w:rPr>
        <w:t>万元以下的罚款</w:t>
      </w:r>
      <w:r>
        <w:rPr>
          <w:rFonts w:hint="eastAsia" w:ascii="MS UI Gothic" w:eastAsia="MS UI Gothic"/>
          <w:w w:val="225"/>
        </w:rPr>
        <w:t>:</w:t>
      </w:r>
    </w:p>
    <w:p>
      <w:pPr>
        <w:pStyle w:val="6"/>
        <w:spacing w:line="252" w:lineRule="exact"/>
        <w:ind w:left="802"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没有安全设施设计的</w:t>
      </w:r>
      <w:r>
        <w:rPr>
          <w:rFonts w:hint="eastAsia" w:ascii="MS UI Gothic" w:eastAsia="MS UI Gothic"/>
          <w:w w:val="80"/>
        </w:rPr>
        <w:t>ꎻ</w:t>
      </w:r>
    </w:p>
    <w:p>
      <w:pPr>
        <w:pStyle w:val="6"/>
        <w:spacing w:before="58"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安全设施设计未组织审查</w:t>
      </w:r>
      <w:r>
        <w:rPr>
          <w:rFonts w:hint="eastAsia" w:ascii="MS UI Gothic" w:eastAsia="MS UI Gothic"/>
          <w:w w:val="80"/>
        </w:rPr>
        <w:t xml:space="preserve">ꎬ </w:t>
      </w:r>
      <w:r>
        <w:rPr>
          <w:w w:val="105"/>
        </w:rPr>
        <w:t>并形成书面审查报告的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施工单位未按照安全设施设计</w:t>
      </w:r>
      <w:r>
        <w:rPr>
          <w:w w:val="110"/>
        </w:rPr>
        <w:t>施工的</w:t>
      </w:r>
      <w:r>
        <w:rPr>
          <w:rFonts w:hint="eastAsia" w:ascii="MS UI Gothic" w:eastAsia="MS UI Gothic"/>
          <w:w w:val="80"/>
        </w:rPr>
        <w:t>ꎻ</w:t>
      </w:r>
    </w:p>
    <w:p>
      <w:pPr>
        <w:pStyle w:val="6"/>
        <w:spacing w:line="255" w:lineRule="exact"/>
        <w:ind w:left="0" w:right="126" w:firstLine="0"/>
        <w:jc w:val="right"/>
      </w:pPr>
      <w:r>
        <w:rPr>
          <w:rFonts w:hint="eastAsia" w:ascii="MS UI Gothic" w:eastAsia="MS UI Gothic"/>
          <w:spacing w:val="-30"/>
          <w:w w:val="110"/>
        </w:rPr>
        <w:t xml:space="preserve">( </w:t>
      </w:r>
      <w:r>
        <w:rPr>
          <w:spacing w:val="3"/>
          <w:w w:val="110"/>
        </w:rPr>
        <w:t>四</w:t>
      </w:r>
      <w:r>
        <w:rPr>
          <w:rFonts w:hint="eastAsia" w:ascii="MS UI Gothic" w:eastAsia="MS UI Gothic"/>
          <w:spacing w:val="-13"/>
          <w:w w:val="110"/>
        </w:rPr>
        <w:t xml:space="preserve">) </w:t>
      </w:r>
      <w:r>
        <w:rPr>
          <w:spacing w:val="5"/>
          <w:w w:val="110"/>
        </w:rPr>
        <w:t>投入生产或者使用前</w:t>
      </w:r>
      <w:r>
        <w:rPr>
          <w:rFonts w:hint="eastAsia" w:ascii="MS UI Gothic" w:eastAsia="MS UI Gothic"/>
          <w:spacing w:val="-6"/>
          <w:w w:val="80"/>
        </w:rPr>
        <w:t xml:space="preserve">ꎬ </w:t>
      </w:r>
      <w:r>
        <w:rPr>
          <w:spacing w:val="7"/>
          <w:w w:val="110"/>
        </w:rPr>
        <w:t>安全设</w:t>
      </w:r>
    </w:p>
    <w:p>
      <w:pPr>
        <w:pStyle w:val="6"/>
        <w:spacing w:before="57" w:line="240" w:lineRule="exact"/>
        <w:ind w:left="0" w:right="126" w:firstLine="0"/>
        <w:jc w:val="right"/>
      </w:pPr>
      <w:r>
        <w:rPr>
          <w:spacing w:val="27"/>
        </w:rPr>
        <w:t>施未经竣工验收合格</w:t>
      </w:r>
      <w:r>
        <w:rPr>
          <w:rFonts w:hint="eastAsia" w:ascii="MS UI Gothic" w:eastAsia="MS UI Gothic"/>
          <w:spacing w:val="2"/>
          <w:w w:val="80"/>
        </w:rPr>
        <w:t xml:space="preserve">ꎬ   </w:t>
      </w:r>
      <w:r>
        <w:rPr>
          <w:spacing w:val="30"/>
        </w:rPr>
        <w:t>并形成书面报</w:t>
      </w:r>
    </w:p>
    <w:p>
      <w:pPr>
        <w:spacing w:after="0" w:line="240" w:lineRule="exact"/>
        <w:jc w:val="right"/>
        <w:sectPr>
          <w:type w:val="continuous"/>
          <w:pgSz w:w="10500" w:h="14750"/>
          <w:pgMar w:top="1400" w:right="980" w:bottom="280" w:left="980" w:header="720" w:footer="720" w:gutter="0"/>
          <w:cols w:equalWidth="0" w:num="2">
            <w:col w:w="4210" w:space="40"/>
            <w:col w:w="4290"/>
          </w:cols>
        </w:sectPr>
      </w:pPr>
    </w:p>
    <w:p>
      <w:pPr>
        <w:pStyle w:val="6"/>
        <w:spacing w:before="74" w:line="295" w:lineRule="auto"/>
        <w:ind w:left="440" w:right="1" w:firstLine="0"/>
        <w:rPr>
          <w:rFonts w:hint="eastAsia" w:ascii="MS UI Gothic" w:eastAsia="MS UI Gothic"/>
        </w:rPr>
      </w:pPr>
      <w:r>
        <w:t>监督管理部门及其工作人员给予审批通过或者颁发有关许可证的</w:t>
      </w:r>
      <w:r>
        <w:rPr>
          <w:rFonts w:hint="eastAsia" w:ascii="MS UI Gothic" w:eastAsia="MS UI Gothic"/>
          <w:w w:val="80"/>
        </w:rPr>
        <w:t xml:space="preserve">ꎬ </w:t>
      </w:r>
      <w:r>
        <w:t>依法给予行政处分</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第二十八条 生产经营单位对本办法</w:t>
      </w:r>
      <w:r>
        <w:rPr>
          <w:spacing w:val="3"/>
        </w:rPr>
        <w:t>第七条第一项</w:t>
      </w:r>
      <w:r>
        <w:rPr>
          <w:rFonts w:hint="eastAsia" w:ascii="MS UI Gothic" w:eastAsia="MS UI Gothic"/>
          <w:spacing w:val="23"/>
          <w:w w:val="80"/>
        </w:rPr>
        <w:t xml:space="preserve">、 </w:t>
      </w:r>
      <w:r>
        <w:rPr>
          <w:spacing w:val="3"/>
        </w:rPr>
        <w:t>第二项</w:t>
      </w:r>
      <w:r>
        <w:rPr>
          <w:rFonts w:hint="eastAsia" w:ascii="MS UI Gothic" w:eastAsia="MS UI Gothic"/>
          <w:spacing w:val="23"/>
          <w:w w:val="80"/>
        </w:rPr>
        <w:t xml:space="preserve">、 </w:t>
      </w:r>
      <w:r>
        <w:rPr>
          <w:spacing w:val="2"/>
        </w:rPr>
        <w:t>第三项和第四项</w:t>
      </w:r>
      <w:r>
        <w:rPr>
          <w:spacing w:val="3"/>
        </w:rPr>
        <w:t>规定的建设项目有下列情形之一的</w:t>
      </w:r>
      <w:r>
        <w:rPr>
          <w:rFonts w:hint="eastAsia" w:ascii="MS UI Gothic" w:eastAsia="MS UI Gothic"/>
          <w:spacing w:val="21"/>
          <w:w w:val="80"/>
        </w:rPr>
        <w:t xml:space="preserve">ꎬ </w:t>
      </w:r>
      <w:r>
        <w:rPr>
          <w:spacing w:val="1"/>
        </w:rPr>
        <w:t>责令</w:t>
      </w:r>
      <w:r>
        <w:rPr>
          <w:spacing w:val="5"/>
        </w:rPr>
        <w:t>停止建设或者停产停业整顿</w:t>
      </w:r>
      <w:r>
        <w:rPr>
          <w:rFonts w:hint="eastAsia" w:ascii="MS UI Gothic" w:eastAsia="MS UI Gothic"/>
          <w:spacing w:val="22"/>
          <w:w w:val="80"/>
        </w:rPr>
        <w:t xml:space="preserve">ꎬ </w:t>
      </w:r>
      <w:r>
        <w:rPr>
          <w:spacing w:val="10"/>
        </w:rPr>
        <w:t>限期改正</w:t>
      </w:r>
      <w:r>
        <w:rPr>
          <w:rFonts w:hint="eastAsia" w:ascii="MS UI Gothic" w:eastAsia="MS UI Gothic"/>
          <w:w w:val="80"/>
        </w:rPr>
        <w:t>ꎻ</w:t>
      </w:r>
      <w:r>
        <w:rPr>
          <w:spacing w:val="6"/>
        </w:rPr>
        <w:t>逾期未改正的</w:t>
      </w:r>
      <w:r>
        <w:rPr>
          <w:rFonts w:hint="eastAsia" w:ascii="MS UI Gothic" w:eastAsia="MS UI Gothic"/>
          <w:spacing w:val="4"/>
          <w:w w:val="80"/>
        </w:rPr>
        <w:t xml:space="preserve">ꎬ </w:t>
      </w:r>
      <w:r>
        <w:rPr>
          <w:spacing w:val="-20"/>
        </w:rPr>
        <w:t xml:space="preserve">处 </w:t>
      </w:r>
      <w:r>
        <w:rPr>
          <w:rFonts w:hint="eastAsia" w:ascii="MS UI Gothic" w:eastAsia="MS UI Gothic"/>
          <w:spacing w:val="5"/>
          <w:w w:val="80"/>
        </w:rPr>
        <w:t xml:space="preserve">５０ </w:t>
      </w:r>
      <w:r>
        <w:rPr>
          <w:spacing w:val="-2"/>
        </w:rPr>
        <w:t xml:space="preserve">万元以上 </w:t>
      </w:r>
      <w:r>
        <w:rPr>
          <w:rFonts w:hint="eastAsia" w:ascii="MS UI Gothic" w:eastAsia="MS UI Gothic"/>
          <w:spacing w:val="4"/>
          <w:w w:val="80"/>
        </w:rPr>
        <w:t xml:space="preserve">１００ </w:t>
      </w:r>
      <w:r>
        <w:rPr>
          <w:spacing w:val="6"/>
        </w:rPr>
        <w:t>万元</w:t>
      </w:r>
      <w:r>
        <w:rPr>
          <w:spacing w:val="3"/>
        </w:rPr>
        <w:t>以下的罚款</w:t>
      </w:r>
      <w:r>
        <w:rPr>
          <w:rFonts w:hint="eastAsia" w:ascii="MS UI Gothic" w:eastAsia="MS UI Gothic"/>
          <w:spacing w:val="21"/>
          <w:w w:val="80"/>
        </w:rPr>
        <w:t xml:space="preserve">ꎬ </w:t>
      </w:r>
      <w:r>
        <w:rPr>
          <w:spacing w:val="2"/>
        </w:rPr>
        <w:t>对其直接负责的主管人员和</w:t>
      </w:r>
      <w:r>
        <w:rPr>
          <w:spacing w:val="-2"/>
        </w:rPr>
        <w:t xml:space="preserve">其他直接责任人员处 </w:t>
      </w:r>
      <w:r>
        <w:rPr>
          <w:rFonts w:hint="eastAsia" w:ascii="MS UI Gothic" w:eastAsia="MS UI Gothic"/>
          <w:spacing w:val="14"/>
          <w:w w:val="80"/>
        </w:rPr>
        <w:t xml:space="preserve">２ </w:t>
      </w:r>
      <w:r>
        <w:rPr>
          <w:spacing w:val="-5"/>
        </w:rPr>
        <w:t xml:space="preserve">万元以上 </w:t>
      </w:r>
      <w:r>
        <w:rPr>
          <w:rFonts w:hint="eastAsia" w:ascii="MS UI Gothic" w:eastAsia="MS UI Gothic"/>
          <w:spacing w:val="14"/>
          <w:w w:val="80"/>
        </w:rPr>
        <w:t xml:space="preserve">５ </w:t>
      </w:r>
      <w:r>
        <w:rPr>
          <w:spacing w:val="3"/>
        </w:rPr>
        <w:t>万元以下的罚款</w:t>
      </w:r>
      <w:r>
        <w:rPr>
          <w:rFonts w:hint="eastAsia" w:ascii="MS UI Gothic" w:eastAsia="MS UI Gothic"/>
          <w:spacing w:val="23"/>
          <w:w w:val="80"/>
        </w:rPr>
        <w:t xml:space="preserve">ꎻ </w:t>
      </w:r>
      <w:r>
        <w:rPr>
          <w:spacing w:val="3"/>
        </w:rPr>
        <w:t>构成犯罪的</w:t>
      </w:r>
      <w:r>
        <w:rPr>
          <w:rFonts w:hint="eastAsia" w:ascii="MS UI Gothic" w:eastAsia="MS UI Gothic"/>
          <w:spacing w:val="23"/>
          <w:w w:val="80"/>
        </w:rPr>
        <w:t xml:space="preserve">ꎬ </w:t>
      </w:r>
      <w:r>
        <w:rPr>
          <w:spacing w:val="2"/>
        </w:rPr>
        <w:t>依照刑法有关规</w:t>
      </w:r>
      <w:r>
        <w:rPr>
          <w:spacing w:val="3"/>
        </w:rPr>
        <w:t>定追究刑事责任</w:t>
      </w:r>
      <w:r>
        <w:rPr>
          <w:rFonts w:hint="eastAsia" w:ascii="MS UI Gothic" w:eastAsia="MS UI Gothic"/>
          <w:w w:val="225"/>
        </w:rPr>
        <w:t>:</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未按照本办法规定对建设项目</w:t>
      </w:r>
      <w:r>
        <w:rPr>
          <w:spacing w:val="3"/>
          <w:w w:val="110"/>
        </w:rPr>
        <w:t>进行安全评价的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没有安全设施设计或者安全设</w:t>
      </w:r>
      <w:r>
        <w:t>施设计未按照规定报经安全生产监督管理</w:t>
      </w:r>
      <w:r>
        <w:rPr>
          <w:w w:val="105"/>
        </w:rPr>
        <w:t>部门审查同意</w:t>
      </w:r>
      <w:r>
        <w:rPr>
          <w:rFonts w:hint="eastAsia" w:ascii="MS UI Gothic" w:eastAsia="MS UI Gothic"/>
          <w:w w:val="80"/>
        </w:rPr>
        <w:t xml:space="preserve">ꎬ </w:t>
      </w:r>
      <w:r>
        <w:rPr>
          <w:w w:val="105"/>
        </w:rPr>
        <w:t>擅自开工的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施工单位未按照批准的安全设</w:t>
      </w:r>
      <w:r>
        <w:rPr>
          <w:w w:val="110"/>
        </w:rPr>
        <w:t>施设计施工的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投入生产或者使用前</w:t>
      </w:r>
      <w:r>
        <w:rPr>
          <w:rFonts w:hint="eastAsia" w:ascii="MS UI Gothic" w:eastAsia="MS UI Gothic"/>
          <w:w w:val="80"/>
        </w:rPr>
        <w:t xml:space="preserve">ꎬ </w:t>
      </w:r>
      <w:r>
        <w:rPr>
          <w:w w:val="105"/>
        </w:rPr>
        <w:t>安全设施未经验收合格的</w:t>
      </w:r>
      <w:r>
        <w:rPr>
          <w:rFonts w:hint="eastAsia" w:ascii="MS UI Gothic" w:eastAsia="MS UI Gothic"/>
          <w:w w:val="80"/>
        </w:rPr>
        <w:t>ꎮ</w:t>
      </w:r>
    </w:p>
    <w:p>
      <w:pPr>
        <w:pStyle w:val="6"/>
        <w:spacing w:line="295" w:lineRule="auto"/>
        <w:ind w:left="440" w:right="1"/>
      </w:pPr>
      <w:r>
        <w:t>第二十九条 已经批准的建设项目安全设施设计发生重大变更</w:t>
      </w:r>
      <w:r>
        <w:rPr>
          <w:rFonts w:hint="eastAsia" w:ascii="MS UI Gothic" w:eastAsia="MS UI Gothic"/>
          <w:w w:val="80"/>
        </w:rPr>
        <w:t xml:space="preserve">ꎬ </w:t>
      </w:r>
      <w:r>
        <w:t>生产经营单位未报原批准部门审查同意擅自开工建设的</w:t>
      </w:r>
      <w:r>
        <w:rPr>
          <w:rFonts w:hint="eastAsia" w:ascii="MS UI Gothic" w:eastAsia="MS UI Gothic"/>
          <w:w w:val="80"/>
        </w:rPr>
        <w:t xml:space="preserve">ꎬ </w:t>
      </w:r>
      <w:r>
        <w:t>责令限期改正</w:t>
      </w:r>
      <w:r>
        <w:rPr>
          <w:rFonts w:hint="eastAsia" w:ascii="MS UI Gothic" w:eastAsia="MS UI Gothic"/>
          <w:w w:val="80"/>
        </w:rPr>
        <w:t xml:space="preserve">ꎬ </w:t>
      </w:r>
      <w:r>
        <w:t xml:space="preserve">可以并处 </w:t>
      </w:r>
      <w:r>
        <w:rPr>
          <w:rFonts w:hint="eastAsia" w:ascii="MS UI Gothic" w:eastAsia="MS UI Gothic"/>
          <w:w w:val="80"/>
        </w:rPr>
        <w:t xml:space="preserve">１ </w:t>
      </w:r>
      <w:r>
        <w:t>万元以上</w:t>
      </w:r>
    </w:p>
    <w:p>
      <w:pPr>
        <w:spacing w:before="74"/>
        <w:ind w:left="381" w:right="0" w:firstLine="0"/>
        <w:jc w:val="left"/>
        <w:rPr>
          <w:rFonts w:hint="eastAsia" w:ascii="MS UI Gothic" w:eastAsia="MS UI Gothic"/>
          <w:sz w:val="20"/>
        </w:rPr>
      </w:pPr>
      <w:r>
        <w:br w:type="column"/>
      </w:r>
      <w:r>
        <w:rPr>
          <w:sz w:val="20"/>
        </w:rPr>
        <w:t>告的</w:t>
      </w:r>
      <w:r>
        <w:rPr>
          <w:rFonts w:hint="eastAsia" w:ascii="MS UI Gothic" w:eastAsia="MS UI Gothic"/>
          <w:w w:val="80"/>
          <w:sz w:val="20"/>
        </w:rPr>
        <w:t>ꎮ</w:t>
      </w:r>
    </w:p>
    <w:p>
      <w:pPr>
        <w:pStyle w:val="6"/>
        <w:spacing w:before="58" w:line="295" w:lineRule="auto"/>
        <w:ind w:left="375" w:right="126" w:firstLine="425"/>
        <w:rPr>
          <w:rFonts w:hint="eastAsia" w:ascii="MS UI Gothic" w:eastAsia="MS UI Gothic"/>
        </w:rPr>
      </w:pPr>
      <w:r>
        <w:rPr>
          <w:spacing w:val="4"/>
        </w:rPr>
        <w:t>第三十一条 承担建设项目安全评价</w:t>
      </w:r>
      <w:r>
        <w:rPr>
          <w:spacing w:val="3"/>
        </w:rPr>
        <w:t>的机构弄虚作假</w:t>
      </w:r>
      <w:r>
        <w:rPr>
          <w:rFonts w:hint="eastAsia" w:ascii="MS UI Gothic" w:eastAsia="MS UI Gothic"/>
          <w:spacing w:val="21"/>
        </w:rPr>
        <w:t xml:space="preserve">、 </w:t>
      </w:r>
      <w:r>
        <w:rPr>
          <w:spacing w:val="3"/>
        </w:rPr>
        <w:t>出具虚假报告</w:t>
      </w:r>
      <w:r>
        <w:rPr>
          <w:rFonts w:hint="eastAsia" w:ascii="MS UI Gothic" w:eastAsia="MS UI Gothic"/>
          <w:w w:val="85"/>
        </w:rPr>
        <w:t xml:space="preserve">ꎬ  </w:t>
      </w:r>
      <w:r>
        <w:rPr>
          <w:spacing w:val="1"/>
        </w:rPr>
        <w:t>尚未构</w:t>
      </w:r>
      <w:r>
        <w:rPr>
          <w:spacing w:val="6"/>
        </w:rPr>
        <w:t>成犯罪的</w:t>
      </w:r>
      <w:r>
        <w:rPr>
          <w:rFonts w:hint="eastAsia" w:ascii="MS UI Gothic" w:eastAsia="MS UI Gothic"/>
          <w:spacing w:val="21"/>
          <w:w w:val="85"/>
        </w:rPr>
        <w:t xml:space="preserve">ꎬ </w:t>
      </w:r>
      <w:r>
        <w:rPr>
          <w:spacing w:val="19"/>
        </w:rPr>
        <w:t>没收违法所得</w:t>
      </w:r>
      <w:r>
        <w:rPr>
          <w:rFonts w:hint="eastAsia" w:ascii="MS UI Gothic" w:eastAsia="MS UI Gothic"/>
          <w:spacing w:val="22"/>
          <w:w w:val="85"/>
        </w:rPr>
        <w:t xml:space="preserve">ꎬ </w:t>
      </w:r>
      <w:r>
        <w:rPr>
          <w:spacing w:val="18"/>
        </w:rPr>
        <w:t>违法所得在</w:t>
      </w:r>
      <w:r>
        <w:rPr>
          <w:rFonts w:hint="eastAsia" w:ascii="MS UI Gothic" w:eastAsia="MS UI Gothic"/>
          <w:spacing w:val="9"/>
          <w:w w:val="85"/>
        </w:rPr>
        <w:t xml:space="preserve">１０ </w:t>
      </w:r>
      <w:r>
        <w:rPr>
          <w:spacing w:val="3"/>
        </w:rPr>
        <w:t>万元以上的</w:t>
      </w:r>
      <w:r>
        <w:rPr>
          <w:rFonts w:hint="eastAsia" w:ascii="MS UI Gothic" w:eastAsia="MS UI Gothic"/>
          <w:spacing w:val="15"/>
          <w:w w:val="85"/>
        </w:rPr>
        <w:t xml:space="preserve">ꎬ </w:t>
      </w:r>
      <w:r>
        <w:rPr>
          <w:spacing w:val="-8"/>
        </w:rPr>
        <w:t xml:space="preserve">并处违法所得 </w:t>
      </w:r>
      <w:r>
        <w:rPr>
          <w:rFonts w:hint="eastAsia" w:ascii="MS UI Gothic" w:eastAsia="MS UI Gothic"/>
          <w:spacing w:val="-9"/>
        </w:rPr>
        <w:t xml:space="preserve">２ </w:t>
      </w:r>
      <w:r>
        <w:rPr>
          <w:spacing w:val="-13"/>
        </w:rPr>
        <w:t xml:space="preserve">倍以上 </w:t>
      </w:r>
      <w:r>
        <w:rPr>
          <w:rFonts w:hint="eastAsia" w:ascii="MS UI Gothic" w:eastAsia="MS UI Gothic"/>
        </w:rPr>
        <w:t xml:space="preserve">５ </w:t>
      </w:r>
      <w:r>
        <w:rPr>
          <w:spacing w:val="3"/>
        </w:rPr>
        <w:t>倍以下的罚款</w:t>
      </w:r>
      <w:r>
        <w:rPr>
          <w:rFonts w:hint="eastAsia" w:ascii="MS UI Gothic" w:eastAsia="MS UI Gothic"/>
          <w:spacing w:val="12"/>
          <w:w w:val="85"/>
        </w:rPr>
        <w:t xml:space="preserve">ꎻ </w:t>
      </w:r>
      <w:r>
        <w:rPr>
          <w:spacing w:val="2"/>
        </w:rPr>
        <w:t>没有违法所得或者违法所</w:t>
      </w:r>
      <w:r>
        <w:rPr>
          <w:spacing w:val="-14"/>
        </w:rPr>
        <w:t xml:space="preserve">得不足 </w:t>
      </w:r>
      <w:r>
        <w:rPr>
          <w:rFonts w:hint="eastAsia" w:ascii="MS UI Gothic" w:eastAsia="MS UI Gothic"/>
          <w:spacing w:val="-1"/>
          <w:w w:val="85"/>
        </w:rPr>
        <w:t xml:space="preserve">１０ </w:t>
      </w:r>
      <w:r>
        <w:rPr>
          <w:spacing w:val="3"/>
        </w:rPr>
        <w:t>万元的</w:t>
      </w:r>
      <w:r>
        <w:rPr>
          <w:rFonts w:hint="eastAsia" w:ascii="MS UI Gothic" w:eastAsia="MS UI Gothic"/>
          <w:spacing w:val="21"/>
          <w:w w:val="85"/>
        </w:rPr>
        <w:t xml:space="preserve">ꎬ </w:t>
      </w:r>
      <w:r>
        <w:rPr>
          <w:spacing w:val="-7"/>
        </w:rPr>
        <w:t xml:space="preserve">单处或者并处 </w:t>
      </w:r>
      <w:r>
        <w:rPr>
          <w:rFonts w:hint="eastAsia" w:ascii="MS UI Gothic" w:eastAsia="MS UI Gothic"/>
          <w:spacing w:val="1"/>
          <w:w w:val="85"/>
        </w:rPr>
        <w:t xml:space="preserve">１０ </w:t>
      </w:r>
      <w:r>
        <w:rPr>
          <w:spacing w:val="3"/>
        </w:rPr>
        <w:t>万元</w:t>
      </w:r>
      <w:r>
        <w:rPr>
          <w:spacing w:val="-17"/>
        </w:rPr>
        <w:t xml:space="preserve">以上 </w:t>
      </w:r>
      <w:r>
        <w:rPr>
          <w:rFonts w:hint="eastAsia" w:ascii="MS UI Gothic" w:eastAsia="MS UI Gothic"/>
          <w:spacing w:val="1"/>
          <w:w w:val="85"/>
        </w:rPr>
        <w:t xml:space="preserve">２０ </w:t>
      </w:r>
      <w:r>
        <w:rPr>
          <w:spacing w:val="9"/>
        </w:rPr>
        <w:t>万元以下的罚款</w:t>
      </w:r>
      <w:r>
        <w:rPr>
          <w:rFonts w:hint="eastAsia" w:ascii="MS UI Gothic" w:eastAsia="MS UI Gothic"/>
          <w:spacing w:val="3"/>
          <w:w w:val="85"/>
        </w:rPr>
        <w:t xml:space="preserve">ꎬ </w:t>
      </w:r>
      <w:r>
        <w:rPr>
          <w:spacing w:val="10"/>
        </w:rPr>
        <w:t>对其直接负责</w:t>
      </w:r>
      <w:r>
        <w:t xml:space="preserve">的主管人员和其他直接责任人员处 </w:t>
      </w:r>
      <w:r>
        <w:rPr>
          <w:rFonts w:hint="eastAsia" w:ascii="MS UI Gothic" w:eastAsia="MS UI Gothic"/>
          <w:spacing w:val="11"/>
        </w:rPr>
        <w:t xml:space="preserve">２ </w:t>
      </w:r>
      <w:r>
        <w:rPr>
          <w:spacing w:val="3"/>
        </w:rPr>
        <w:t>万元</w:t>
      </w:r>
      <w:r>
        <w:rPr>
          <w:spacing w:val="-16"/>
        </w:rPr>
        <w:t xml:space="preserve">以上 </w:t>
      </w:r>
      <w:r>
        <w:rPr>
          <w:rFonts w:hint="eastAsia" w:ascii="MS UI Gothic" w:eastAsia="MS UI Gothic"/>
          <w:spacing w:val="-3"/>
        </w:rPr>
        <w:t xml:space="preserve">５ </w:t>
      </w:r>
      <w:r>
        <w:rPr>
          <w:spacing w:val="3"/>
        </w:rPr>
        <w:t>万元以下的罚款</w:t>
      </w:r>
      <w:r>
        <w:rPr>
          <w:rFonts w:hint="eastAsia" w:ascii="MS UI Gothic" w:eastAsia="MS UI Gothic"/>
          <w:spacing w:val="25"/>
          <w:w w:val="85"/>
        </w:rPr>
        <w:t xml:space="preserve">ꎻ </w:t>
      </w:r>
      <w:r>
        <w:rPr>
          <w:spacing w:val="2"/>
        </w:rPr>
        <w:t>给他人造成损害</w:t>
      </w:r>
      <w:r>
        <w:rPr>
          <w:spacing w:val="3"/>
        </w:rPr>
        <w:t>的</w:t>
      </w:r>
      <w:r>
        <w:rPr>
          <w:rFonts w:hint="eastAsia" w:ascii="MS UI Gothic" w:eastAsia="MS UI Gothic"/>
          <w:spacing w:val="17"/>
          <w:w w:val="85"/>
        </w:rPr>
        <w:t xml:space="preserve">ꎬ </w:t>
      </w:r>
      <w:r>
        <w:rPr>
          <w:spacing w:val="3"/>
        </w:rPr>
        <w:t>与生产经营单位承担连带赔偿责任</w:t>
      </w:r>
      <w:r>
        <w:rPr>
          <w:rFonts w:hint="eastAsia" w:ascii="MS UI Gothic" w:eastAsia="MS UI Gothic"/>
          <w:w w:val="85"/>
        </w:rPr>
        <w:t>ꎮ</w:t>
      </w:r>
    </w:p>
    <w:p>
      <w:pPr>
        <w:pStyle w:val="6"/>
        <w:spacing w:line="295" w:lineRule="auto"/>
        <w:ind w:left="381" w:right="126"/>
        <w:rPr>
          <w:rFonts w:hint="eastAsia" w:ascii="MS UI Gothic" w:eastAsia="MS UI Gothic"/>
        </w:rPr>
      </w:pPr>
      <w:r>
        <w:t>对有前款违法行为的机构</w:t>
      </w:r>
      <w:r>
        <w:rPr>
          <w:rFonts w:hint="eastAsia" w:ascii="MS UI Gothic" w:eastAsia="MS UI Gothic"/>
          <w:w w:val="80"/>
        </w:rPr>
        <w:t xml:space="preserve">ꎬ </w:t>
      </w:r>
      <w:r>
        <w:t>吊销其相应资质</w:t>
      </w:r>
      <w:r>
        <w:rPr>
          <w:rFonts w:hint="eastAsia" w:ascii="MS UI Gothic" w:eastAsia="MS UI Gothic"/>
          <w:w w:val="80"/>
        </w:rPr>
        <w:t>ꎮ</w:t>
      </w:r>
    </w:p>
    <w:p>
      <w:pPr>
        <w:pStyle w:val="6"/>
        <w:spacing w:line="295" w:lineRule="auto"/>
        <w:ind w:left="381" w:right="126"/>
        <w:rPr>
          <w:rFonts w:hint="eastAsia" w:ascii="MS UI Gothic" w:eastAsia="MS UI Gothic"/>
        </w:rPr>
      </w:pPr>
      <w:r>
        <w:t>第三十二条 本办法规定的行政处罚由安全生产监督管理部门决定</w:t>
      </w:r>
      <w:r>
        <w:rPr>
          <w:rFonts w:hint="eastAsia" w:ascii="MS UI Gothic" w:eastAsia="MS UI Gothic"/>
          <w:w w:val="80"/>
        </w:rPr>
        <w:t xml:space="preserve">ꎮ </w:t>
      </w:r>
      <w:r>
        <w:t>法律</w:t>
      </w:r>
      <w:r>
        <w:rPr>
          <w:rFonts w:hint="eastAsia" w:ascii="MS UI Gothic" w:eastAsia="MS UI Gothic"/>
          <w:w w:val="80"/>
        </w:rPr>
        <w:t xml:space="preserve">、 </w:t>
      </w:r>
      <w:r>
        <w:t>行政法规对行政处罚的种类</w:t>
      </w:r>
      <w:r>
        <w:rPr>
          <w:rFonts w:hint="eastAsia" w:ascii="MS UI Gothic" w:eastAsia="MS UI Gothic"/>
          <w:w w:val="80"/>
        </w:rPr>
        <w:t xml:space="preserve">、 </w:t>
      </w:r>
      <w:r>
        <w:t>幅度和决定机关另有规定的</w:t>
      </w:r>
      <w:r>
        <w:rPr>
          <w:rFonts w:hint="eastAsia" w:ascii="MS UI Gothic" w:eastAsia="MS UI Gothic"/>
          <w:w w:val="80"/>
        </w:rPr>
        <w:t xml:space="preserve">ꎬ </w:t>
      </w:r>
      <w:r>
        <w:t>依照其规定</w:t>
      </w:r>
      <w:r>
        <w:rPr>
          <w:rFonts w:hint="eastAsia" w:ascii="MS UI Gothic" w:eastAsia="MS UI Gothic"/>
          <w:w w:val="80"/>
        </w:rPr>
        <w:t>ꎮ</w:t>
      </w:r>
    </w:p>
    <w:p>
      <w:pPr>
        <w:pStyle w:val="6"/>
        <w:spacing w:line="295" w:lineRule="auto"/>
        <w:ind w:left="381" w:right="124"/>
        <w:rPr>
          <w:rFonts w:hint="eastAsia" w:ascii="MS UI Gothic" w:hAnsi="MS UI Gothic" w:eastAsia="MS UI Gothic"/>
        </w:rPr>
      </w:pPr>
      <w:r>
        <w:t>安全生产监督管理部门对应当由其他</w:t>
      </w:r>
      <w:r>
        <w:rPr>
          <w:w w:val="105"/>
        </w:rPr>
        <w:t xml:space="preserve">有关部门进行处理的 </w:t>
      </w:r>
      <w:r>
        <w:rPr>
          <w:rFonts w:hint="eastAsia" w:ascii="MS UI Gothic" w:hAnsi="MS UI Gothic" w:eastAsia="MS UI Gothic"/>
          <w:w w:val="105"/>
        </w:rPr>
        <w:t xml:space="preserve">“ </w:t>
      </w:r>
      <w:r>
        <w:rPr>
          <w:w w:val="105"/>
        </w:rPr>
        <w:t>三同时</w:t>
      </w:r>
      <w:r>
        <w:rPr>
          <w:rFonts w:hint="eastAsia" w:ascii="MS UI Gothic" w:hAnsi="MS UI Gothic" w:eastAsia="MS UI Gothic"/>
          <w:w w:val="105"/>
        </w:rPr>
        <w:t xml:space="preserve">” </w:t>
      </w:r>
      <w:r>
        <w:rPr>
          <w:w w:val="105"/>
        </w:rPr>
        <w:t>问题</w:t>
      </w:r>
      <w:r>
        <w:rPr>
          <w:rFonts w:hint="eastAsia" w:ascii="MS UI Gothic" w:hAnsi="MS UI Gothic" w:eastAsia="MS UI Gothic"/>
          <w:w w:val="80"/>
        </w:rPr>
        <w:t>ꎬ</w:t>
      </w:r>
      <w:r>
        <w:t>应当及时移送有关部门并形成记录备查</w:t>
      </w:r>
      <w:r>
        <w:rPr>
          <w:rFonts w:hint="eastAsia" w:ascii="MS UI Gothic" w:hAnsi="MS UI Gothic" w:eastAsia="MS UI Gothic"/>
          <w:w w:val="80"/>
        </w:rPr>
        <w:t>ꎮ</w:t>
      </w:r>
    </w:p>
    <w:p>
      <w:pPr>
        <w:pStyle w:val="6"/>
        <w:tabs>
          <w:tab w:val="left" w:pos="2267"/>
          <w:tab w:val="left" w:pos="2896"/>
        </w:tabs>
        <w:spacing w:before="142"/>
        <w:ind w:left="1429"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spacing w:line="295" w:lineRule="auto"/>
        <w:ind w:left="536" w:right="126" w:firstLine="263"/>
        <w:rPr>
          <w:rFonts w:hint="eastAsia" w:ascii="MS UI Gothic" w:eastAsia="MS UI Gothic"/>
        </w:rPr>
      </w:pPr>
      <w:r>
        <w:pict>
          <v:shape id="_x0000_s1373" o:spid="_x0000_s1373" o:spt="202" type="#_x0000_t202" style="position:absolute;left:0pt;margin-left:280.35pt;margin-top:12pt;height:24.35pt;width:5.15pt;mso-position-horizontal-relative:page;z-index:25179545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第三十三条 本办法自 </w:t>
      </w:r>
      <w:r>
        <w:rPr>
          <w:rFonts w:hint="eastAsia" w:ascii="MS UI Gothic" w:eastAsia="MS UI Gothic"/>
          <w:w w:val="95"/>
        </w:rPr>
        <w:t xml:space="preserve">２０１５ </w:t>
      </w:r>
      <w:r>
        <w:rPr>
          <w:w w:val="95"/>
        </w:rPr>
        <w:t xml:space="preserve">年 </w:t>
      </w:r>
      <w:r>
        <w:rPr>
          <w:rFonts w:hint="eastAsia" w:ascii="MS UI Gothic" w:eastAsia="MS UI Gothic"/>
          <w:w w:val="95"/>
        </w:rPr>
        <w:t xml:space="preserve">５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374" o:spid="_x0000_s1374" style="position:absolute;left:0pt;margin-left:0pt;margin-top:700.1pt;height:1.75pt;width:398.25pt;mso-position-horizontal-relative:page;z-index:251796480;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１１０</w:t>
      </w:r>
    </w:p>
    <w:p>
      <w:pPr>
        <w:spacing w:before="192"/>
        <w:ind w:left="242" w:right="2043" w:firstLine="0"/>
        <w:jc w:val="center"/>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ind w:left="0" w:firstLine="0"/>
        <w:jc w:val="left"/>
        <w:rPr>
          <w:rFonts w:ascii="Microsoft Yi Baiti"/>
          <w:sz w:val="28"/>
        </w:rPr>
      </w:pPr>
    </w:p>
    <w:p>
      <w:pPr>
        <w:pStyle w:val="6"/>
        <w:spacing w:before="8"/>
        <w:ind w:left="0" w:firstLine="0"/>
        <w:jc w:val="left"/>
        <w:rPr>
          <w:rFonts w:ascii="Microsoft Yi Baiti"/>
          <w:sz w:val="30"/>
        </w:rPr>
      </w:pPr>
    </w:p>
    <w:p>
      <w:pPr>
        <w:pStyle w:val="4"/>
        <w:spacing w:before="0"/>
        <w:ind w:left="242" w:right="2053"/>
        <w:rPr>
          <w:rFonts w:hint="eastAsia" w:ascii="Microsoft Yi Baiti" w:eastAsia="Microsoft Yi Baiti"/>
        </w:rPr>
      </w:pPr>
      <w:r>
        <w:t xml:space="preserve">安全生产培训管理办法 </w:t>
      </w:r>
      <w:r>
        <w:rPr>
          <w:rFonts w:hint="eastAsia" w:ascii="Microsoft Yi Baiti" w:eastAsia="Microsoft Yi Baiti"/>
        </w:rPr>
        <w:t>(</w:t>
      </w:r>
      <w:r>
        <w:rPr>
          <w:rFonts w:hint="eastAsia" w:ascii="MS UI Gothic" w:eastAsia="MS UI Gothic"/>
        </w:rPr>
        <w:t xml:space="preserve">２０１５ </w:t>
      </w:r>
      <w:r>
        <w:t>年修订</w:t>
      </w:r>
      <w:r>
        <w:rPr>
          <w:rFonts w:hint="eastAsia" w:ascii="Microsoft Yi Baiti" w:eastAsia="Microsoft Yi Baiti"/>
        </w:rPr>
        <w:t>)</w:t>
      </w:r>
    </w:p>
    <w:p>
      <w:pPr>
        <w:spacing w:after="0"/>
        <w:rPr>
          <w:rFonts w:hint="eastAsia" w:ascii="Microsoft Yi Baiti" w:eastAsia="Microsoft Yi Baiti"/>
        </w:rPr>
        <w:sectPr>
          <w:pgSz w:w="10500" w:h="14750"/>
          <w:pgMar w:top="960" w:right="980" w:bottom="280" w:left="980" w:header="720" w:footer="720" w:gutter="0"/>
          <w:cols w:equalWidth="0" w:num="2">
            <w:col w:w="1050" w:space="417"/>
            <w:col w:w="7073"/>
          </w:cols>
        </w:sectPr>
      </w:pPr>
    </w:p>
    <w:p>
      <w:pPr>
        <w:pStyle w:val="6"/>
        <w:spacing w:before="7"/>
        <w:ind w:left="0" w:firstLine="0"/>
        <w:jc w:val="left"/>
        <w:rPr>
          <w:rFonts w:ascii="Microsoft Yi Baiti"/>
          <w:sz w:val="18"/>
        </w:rPr>
      </w:pPr>
    </w:p>
    <w:p>
      <w:pPr>
        <w:pStyle w:val="6"/>
        <w:tabs>
          <w:tab w:val="left" w:pos="5010"/>
        </w:tabs>
        <w:spacing w:before="174"/>
        <w:ind w:left="0" w:right="442" w:firstLine="0"/>
        <w:jc w:val="right"/>
      </w:pPr>
      <w:r>
        <w:rPr>
          <w:rFonts w:hint="eastAsia" w:ascii="Microsoft Yi Baiti" w:eastAsia="Microsoft Yi Baiti"/>
          <w:spacing w:val="2"/>
        </w:rPr>
        <w:t>(</w:t>
      </w:r>
      <w:r>
        <w:rPr>
          <w:rFonts w:hint="eastAsia" w:ascii="MS UI Gothic" w:eastAsia="MS UI Gothic"/>
          <w:spacing w:val="2"/>
        </w:rPr>
        <w:t>２０１２</w:t>
      </w:r>
      <w:r>
        <w:rPr>
          <w:rFonts w:hint="eastAsia" w:ascii="MS UI Gothic" w:eastAsia="MS UI Gothic"/>
          <w:spacing w:val="-27"/>
        </w:rPr>
        <w:t xml:space="preserve"> </w:t>
      </w:r>
      <w:r>
        <w:t>年</w:t>
      </w:r>
      <w:r>
        <w:rPr>
          <w:spacing w:val="-70"/>
        </w:rPr>
        <w:t xml:space="preserve"> </w:t>
      </w:r>
      <w:r>
        <w:rPr>
          <w:rFonts w:hint="eastAsia" w:ascii="MS UI Gothic" w:eastAsia="MS UI Gothic"/>
        </w:rPr>
        <w:t>１</w:t>
      </w:r>
      <w:r>
        <w:rPr>
          <w:rFonts w:hint="eastAsia" w:ascii="MS UI Gothic" w:eastAsia="MS UI Gothic"/>
          <w:spacing w:val="-26"/>
        </w:rPr>
        <w:t xml:space="preserve"> </w:t>
      </w:r>
      <w:r>
        <w:t>月</w:t>
      </w:r>
      <w:r>
        <w:rPr>
          <w:spacing w:val="-70"/>
        </w:rPr>
        <w:t xml:space="preserve"> </w:t>
      </w:r>
      <w:r>
        <w:rPr>
          <w:rFonts w:hint="eastAsia" w:ascii="MS UI Gothic" w:eastAsia="MS UI Gothic"/>
        </w:rPr>
        <w:t>１９</w:t>
      </w:r>
      <w:r>
        <w:rPr>
          <w:rFonts w:hint="eastAsia" w:ascii="MS UI Gothic" w:eastAsia="MS UI Gothic"/>
          <w:spacing w:val="-26"/>
        </w:rPr>
        <w:t xml:space="preserve"> </w:t>
      </w:r>
      <w:r>
        <w:rPr>
          <w:spacing w:val="3"/>
        </w:rPr>
        <w:t>日国家安</w:t>
      </w:r>
      <w:r>
        <w:rPr>
          <w:spacing w:val="5"/>
        </w:rPr>
        <w:t>全监管总局令</w:t>
      </w:r>
      <w:r>
        <w:t>第</w:t>
      </w:r>
      <w:r>
        <w:rPr>
          <w:spacing w:val="-68"/>
        </w:rPr>
        <w:t xml:space="preserve"> </w:t>
      </w:r>
      <w:r>
        <w:rPr>
          <w:rFonts w:hint="eastAsia" w:ascii="MS UI Gothic" w:eastAsia="MS UI Gothic"/>
        </w:rPr>
        <w:t>４４</w:t>
      </w:r>
      <w:r>
        <w:rPr>
          <w:rFonts w:hint="eastAsia" w:ascii="MS UI Gothic" w:eastAsia="MS UI Gothic"/>
          <w:spacing w:val="-23"/>
        </w:rPr>
        <w:t xml:space="preserve"> </w:t>
      </w:r>
      <w:r>
        <w:rPr>
          <w:spacing w:val="5"/>
        </w:rPr>
        <w:t>号公</w:t>
      </w:r>
      <w:r>
        <w:t>布</w:t>
      </w:r>
      <w:r>
        <w:tab/>
      </w:r>
      <w:r>
        <w:rPr>
          <w:spacing w:val="5"/>
        </w:rPr>
        <w:t>根</w:t>
      </w:r>
      <w:r>
        <w:t>据</w:t>
      </w:r>
      <w:r>
        <w:rPr>
          <w:spacing w:val="-77"/>
        </w:rPr>
        <w:t xml:space="preserve"> </w:t>
      </w:r>
      <w:r>
        <w:rPr>
          <w:rFonts w:hint="eastAsia" w:ascii="MS UI Gothic" w:eastAsia="MS UI Gothic"/>
        </w:rPr>
        <w:t>２０１３</w:t>
      </w:r>
      <w:r>
        <w:rPr>
          <w:rFonts w:hint="eastAsia" w:ascii="MS UI Gothic" w:eastAsia="MS UI Gothic"/>
          <w:spacing w:val="-35"/>
        </w:rPr>
        <w:t xml:space="preserve"> </w:t>
      </w:r>
      <w:r>
        <w:t>年</w:t>
      </w:r>
      <w:r>
        <w:rPr>
          <w:spacing w:val="-77"/>
        </w:rPr>
        <w:t xml:space="preserve"> </w:t>
      </w:r>
      <w:r>
        <w:rPr>
          <w:rFonts w:hint="eastAsia" w:ascii="MS UI Gothic" w:eastAsia="MS UI Gothic"/>
        </w:rPr>
        <w:t>８</w:t>
      </w:r>
      <w:r>
        <w:rPr>
          <w:rFonts w:hint="eastAsia" w:ascii="MS UI Gothic" w:eastAsia="MS UI Gothic"/>
          <w:spacing w:val="-34"/>
        </w:rPr>
        <w:t xml:space="preserve"> </w:t>
      </w:r>
      <w:r>
        <w:t>月</w:t>
      </w:r>
      <w:r>
        <w:rPr>
          <w:spacing w:val="-77"/>
        </w:rPr>
        <w:t xml:space="preserve"> </w:t>
      </w:r>
      <w:r>
        <w:rPr>
          <w:rFonts w:hint="eastAsia" w:ascii="MS UI Gothic" w:eastAsia="MS UI Gothic"/>
        </w:rPr>
        <w:t>２９</w:t>
      </w:r>
      <w:r>
        <w:rPr>
          <w:rFonts w:hint="eastAsia" w:ascii="MS UI Gothic" w:eastAsia="MS UI Gothic"/>
          <w:spacing w:val="-34"/>
        </w:rPr>
        <w:t xml:space="preserve"> </w:t>
      </w:r>
      <w:r>
        <w:rPr>
          <w:spacing w:val="7"/>
        </w:rPr>
        <w:t>日国</w:t>
      </w:r>
      <w:r>
        <w:t>家</w:t>
      </w:r>
    </w:p>
    <w:p>
      <w:pPr>
        <w:pStyle w:val="6"/>
        <w:tabs>
          <w:tab w:val="left" w:pos="3454"/>
        </w:tabs>
        <w:spacing w:before="59"/>
        <w:ind w:left="0" w:right="444" w:firstLine="0"/>
        <w:jc w:val="right"/>
        <w:rPr>
          <w:rFonts w:hint="eastAsia" w:ascii="MS UI Gothic" w:eastAsia="MS UI Gothic"/>
        </w:rPr>
      </w:pPr>
      <w:r>
        <w:rPr>
          <w:spacing w:val="3"/>
        </w:rPr>
        <w:t>安全监管总局令</w:t>
      </w:r>
      <w:r>
        <w:t>第</w:t>
      </w:r>
      <w:r>
        <w:rPr>
          <w:spacing w:val="-48"/>
        </w:rPr>
        <w:t xml:space="preserve"> </w:t>
      </w:r>
      <w:r>
        <w:rPr>
          <w:rFonts w:hint="eastAsia" w:ascii="MS UI Gothic" w:eastAsia="MS UI Gothic"/>
        </w:rPr>
        <w:t xml:space="preserve">６３ </w:t>
      </w:r>
      <w:r>
        <w:rPr>
          <w:spacing w:val="3"/>
        </w:rPr>
        <w:t>号第一次修</w:t>
      </w:r>
      <w:r>
        <w:t>正</w:t>
      </w:r>
      <w:r>
        <w:tab/>
      </w:r>
      <w:r>
        <w:rPr>
          <w:spacing w:val="3"/>
        </w:rPr>
        <w:t>根</w:t>
      </w:r>
      <w:r>
        <w:t>据</w:t>
      </w:r>
      <w:r>
        <w:rPr>
          <w:spacing w:val="-75"/>
        </w:rPr>
        <w:t xml:space="preserve"> </w:t>
      </w:r>
      <w:r>
        <w:rPr>
          <w:rFonts w:hint="eastAsia" w:ascii="MS UI Gothic" w:eastAsia="MS UI Gothic"/>
        </w:rPr>
        <w:t>２０１５</w:t>
      </w:r>
      <w:r>
        <w:rPr>
          <w:rFonts w:hint="eastAsia" w:ascii="MS UI Gothic" w:eastAsia="MS UI Gothic"/>
          <w:spacing w:val="-33"/>
        </w:rPr>
        <w:t xml:space="preserve"> </w:t>
      </w:r>
      <w:r>
        <w:t>年</w:t>
      </w:r>
      <w:r>
        <w:rPr>
          <w:spacing w:val="-75"/>
        </w:rPr>
        <w:t xml:space="preserve"> </w:t>
      </w:r>
      <w:r>
        <w:rPr>
          <w:rFonts w:hint="eastAsia" w:ascii="MS UI Gothic" w:eastAsia="MS UI Gothic"/>
        </w:rPr>
        <w:t>５</w:t>
      </w:r>
      <w:r>
        <w:rPr>
          <w:rFonts w:hint="eastAsia" w:ascii="MS UI Gothic" w:eastAsia="MS UI Gothic"/>
          <w:spacing w:val="-33"/>
        </w:rPr>
        <w:t xml:space="preserve"> </w:t>
      </w:r>
      <w:r>
        <w:t>月</w:t>
      </w:r>
      <w:r>
        <w:rPr>
          <w:spacing w:val="-76"/>
        </w:rPr>
        <w:t xml:space="preserve"> </w:t>
      </w:r>
      <w:r>
        <w:rPr>
          <w:rFonts w:hint="eastAsia" w:ascii="MS UI Gothic" w:eastAsia="MS UI Gothic"/>
        </w:rPr>
        <w:t>２９</w:t>
      </w:r>
      <w:r>
        <w:rPr>
          <w:rFonts w:hint="eastAsia" w:ascii="MS UI Gothic" w:eastAsia="MS UI Gothic"/>
          <w:spacing w:val="-32"/>
        </w:rPr>
        <w:t xml:space="preserve"> </w:t>
      </w:r>
      <w:r>
        <w:rPr>
          <w:spacing w:val="7"/>
        </w:rPr>
        <w:t>日国家安全监管</w:t>
      </w:r>
      <w:r>
        <w:rPr>
          <w:spacing w:val="9"/>
        </w:rPr>
        <w:t>总局令</w:t>
      </w:r>
      <w:r>
        <w:t>第</w:t>
      </w:r>
      <w:r>
        <w:rPr>
          <w:spacing w:val="-75"/>
        </w:rPr>
        <w:t xml:space="preserve"> </w:t>
      </w:r>
      <w:r>
        <w:rPr>
          <w:rFonts w:hint="eastAsia" w:ascii="MS UI Gothic" w:eastAsia="MS UI Gothic"/>
        </w:rPr>
        <w:t>８０</w:t>
      </w:r>
    </w:p>
    <w:p>
      <w:pPr>
        <w:pStyle w:val="6"/>
        <w:spacing w:before="58"/>
        <w:ind w:firstLine="0"/>
        <w:jc w:val="left"/>
        <w:rPr>
          <w:rFonts w:hint="eastAsia" w:ascii="Microsoft Yi Baiti" w:eastAsia="Microsoft Yi Baiti"/>
        </w:rPr>
      </w:pPr>
      <w:r>
        <w:rPr>
          <w:w w:val="105"/>
        </w:rPr>
        <w:t>号第二次修正</w:t>
      </w:r>
      <w:r>
        <w:rPr>
          <w:rFonts w:hint="eastAsia" w:ascii="Microsoft Yi Baiti" w:eastAsia="Microsoft Yi Baiti"/>
          <w:w w:val="105"/>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2" w:lineRule="auto"/>
        <w:ind w:right="39"/>
        <w:rPr>
          <w:rFonts w:hint="eastAsia" w:ascii="MS UI Gothic" w:hAnsi="MS UI Gothic" w:eastAsia="MS UI Gothic"/>
        </w:rPr>
      </w:pPr>
      <w:r>
        <w:t>第一条  为了加强安全生产培训管理</w:t>
      </w:r>
      <w:r>
        <w:rPr>
          <w:rFonts w:hint="eastAsia" w:ascii="MS UI Gothic" w:hAnsi="MS UI Gothic" w:eastAsia="MS UI Gothic"/>
          <w:w w:val="80"/>
        </w:rPr>
        <w:t xml:space="preserve">ꎬ </w:t>
      </w:r>
      <w:r>
        <w:t>规范安全生产培训秩序</w:t>
      </w:r>
      <w:r>
        <w:rPr>
          <w:rFonts w:hint="eastAsia" w:ascii="MS UI Gothic" w:hAnsi="MS UI Gothic" w:eastAsia="MS UI Gothic"/>
          <w:w w:val="80"/>
        </w:rPr>
        <w:t xml:space="preserve">ꎬ </w:t>
      </w:r>
      <w:r>
        <w:t>保证安全生产培训质量</w:t>
      </w:r>
      <w:r>
        <w:rPr>
          <w:rFonts w:hint="eastAsia" w:ascii="MS UI Gothic" w:hAnsi="MS UI Gothic" w:eastAsia="MS UI Gothic"/>
          <w:w w:val="80"/>
        </w:rPr>
        <w:t xml:space="preserve">ꎬ </w:t>
      </w:r>
      <w:r>
        <w:t>促进安全生产培训工作健康发展</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中华人民共和国安全生产法</w:t>
      </w:r>
      <w:r>
        <w:rPr>
          <w:rFonts w:hint="eastAsia" w:ascii="MS UI Gothic" w:hAnsi="MS UI Gothic" w:eastAsia="MS UI Gothic"/>
          <w:w w:val="80"/>
        </w:rPr>
        <w:t xml:space="preserve">» </w:t>
      </w:r>
      <w:r>
        <w:t>和有关法律</w:t>
      </w:r>
      <w:r>
        <w:rPr>
          <w:rFonts w:hint="eastAsia" w:ascii="MS UI Gothic" w:hAnsi="MS UI Gothic" w:eastAsia="MS UI Gothic"/>
          <w:w w:val="80"/>
        </w:rPr>
        <w:t xml:space="preserve">、 </w:t>
      </w:r>
      <w:r>
        <w:t>行政法规的规定</w:t>
      </w:r>
      <w:r>
        <w:rPr>
          <w:rFonts w:hint="eastAsia" w:ascii="MS UI Gothic" w:hAnsi="MS UI Gothic" w:eastAsia="MS UI Gothic"/>
          <w:w w:val="80"/>
        </w:rPr>
        <w:t xml:space="preserve">ꎬ </w:t>
      </w:r>
      <w:r>
        <w:t>制定本办法</w:t>
      </w:r>
      <w:r>
        <w:rPr>
          <w:rFonts w:hint="eastAsia" w:ascii="MS UI Gothic" w:hAnsi="MS UI Gothic" w:eastAsia="MS UI Gothic"/>
          <w:w w:val="80"/>
        </w:rPr>
        <w:t>ꎮ</w:t>
      </w:r>
    </w:p>
    <w:p>
      <w:pPr>
        <w:pStyle w:val="6"/>
        <w:spacing w:line="292" w:lineRule="auto"/>
        <w:ind w:right="38"/>
        <w:rPr>
          <w:rFonts w:hint="eastAsia" w:ascii="MS UI Gothic" w:eastAsia="MS UI Gothic"/>
        </w:rPr>
      </w:pPr>
      <w:r>
        <w:rPr>
          <w:spacing w:val="7"/>
          <w:w w:val="105"/>
        </w:rPr>
        <w:t>第二条 安全培训机构</w:t>
      </w:r>
      <w:r>
        <w:rPr>
          <w:rFonts w:hint="eastAsia" w:ascii="MS UI Gothic" w:eastAsia="MS UI Gothic"/>
          <w:spacing w:val="19"/>
          <w:w w:val="80"/>
        </w:rPr>
        <w:t xml:space="preserve">、 </w:t>
      </w:r>
      <w:r>
        <w:rPr>
          <w:spacing w:val="2"/>
          <w:w w:val="105"/>
        </w:rPr>
        <w:t>生产经营单</w:t>
      </w:r>
      <w:r>
        <w:rPr>
          <w:spacing w:val="5"/>
          <w:w w:val="105"/>
        </w:rPr>
        <w:t xml:space="preserve">位从事安全生产培训 </w:t>
      </w:r>
      <w:r>
        <w:rPr>
          <w:rFonts w:hint="eastAsia" w:ascii="MS UI Gothic" w:eastAsia="MS UI Gothic"/>
          <w:spacing w:val="-37"/>
          <w:w w:val="150"/>
        </w:rPr>
        <w:t xml:space="preserve">( </w:t>
      </w:r>
      <w:r>
        <w:rPr>
          <w:spacing w:val="14"/>
          <w:w w:val="105"/>
        </w:rPr>
        <w:t>以下简称安全培</w:t>
      </w:r>
      <w:r>
        <w:rPr>
          <w:spacing w:val="3"/>
          <w:w w:val="105"/>
        </w:rPr>
        <w:t>训</w:t>
      </w:r>
      <w:r>
        <w:rPr>
          <w:rFonts w:hint="eastAsia" w:ascii="MS UI Gothic" w:eastAsia="MS UI Gothic"/>
          <w:spacing w:val="-1"/>
          <w:w w:val="150"/>
        </w:rPr>
        <w:t xml:space="preserve">) </w:t>
      </w:r>
      <w:r>
        <w:rPr>
          <w:spacing w:val="23"/>
          <w:w w:val="105"/>
        </w:rPr>
        <w:t>活动以及安全生产监督管理部门</w:t>
      </w:r>
      <w:r>
        <w:rPr>
          <w:rFonts w:hint="eastAsia" w:ascii="MS UI Gothic" w:eastAsia="MS UI Gothic"/>
          <w:spacing w:val="-12"/>
          <w:w w:val="80"/>
        </w:rPr>
        <w:t>、</w:t>
      </w:r>
      <w:r>
        <w:rPr>
          <w:spacing w:val="3"/>
          <w:w w:val="105"/>
        </w:rPr>
        <w:t>煤矿安全监察机构</w:t>
      </w:r>
      <w:r>
        <w:rPr>
          <w:rFonts w:hint="eastAsia" w:ascii="MS UI Gothic" w:eastAsia="MS UI Gothic"/>
          <w:spacing w:val="-4"/>
          <w:w w:val="80"/>
        </w:rPr>
        <w:t xml:space="preserve">、 </w:t>
      </w:r>
      <w:r>
        <w:rPr>
          <w:spacing w:val="2"/>
          <w:w w:val="105"/>
        </w:rPr>
        <w:t>地方人民政府负责煤</w:t>
      </w:r>
      <w:r>
        <w:rPr>
          <w:spacing w:val="2"/>
        </w:rPr>
        <w:t>矿安全培训的部门对安全培训工作实施监</w:t>
      </w:r>
      <w:r>
        <w:rPr>
          <w:spacing w:val="3"/>
          <w:w w:val="105"/>
        </w:rPr>
        <w:t>督管理</w:t>
      </w:r>
      <w:r>
        <w:rPr>
          <w:rFonts w:hint="eastAsia" w:ascii="MS UI Gothic" w:eastAsia="MS UI Gothic"/>
          <w:w w:val="80"/>
        </w:rPr>
        <w:t xml:space="preserve">ꎬ </w:t>
      </w:r>
      <w:r>
        <w:rPr>
          <w:spacing w:val="3"/>
          <w:w w:val="105"/>
        </w:rPr>
        <w:t>适用本办法</w:t>
      </w:r>
      <w:r>
        <w:rPr>
          <w:rFonts w:hint="eastAsia" w:ascii="MS UI Gothic" w:eastAsia="MS UI Gothic"/>
          <w:w w:val="80"/>
        </w:rPr>
        <w:t>ꎮ</w:t>
      </w:r>
    </w:p>
    <w:p>
      <w:pPr>
        <w:pStyle w:val="6"/>
        <w:spacing w:line="292" w:lineRule="auto"/>
        <w:ind w:right="39"/>
        <w:rPr>
          <w:rFonts w:hint="eastAsia" w:ascii="MS UI Gothic" w:eastAsia="MS UI Gothic"/>
        </w:rPr>
      </w:pPr>
      <w:r>
        <w:rPr>
          <w:w w:val="105"/>
        </w:rPr>
        <w:t>第三条 本办法所称安全培训是指以提高安全监管监察人员</w:t>
      </w:r>
      <w:r>
        <w:rPr>
          <w:rFonts w:hint="eastAsia" w:ascii="MS UI Gothic" w:eastAsia="MS UI Gothic"/>
          <w:w w:val="80"/>
        </w:rPr>
        <w:t xml:space="preserve">、 </w:t>
      </w:r>
      <w:r>
        <w:rPr>
          <w:w w:val="105"/>
        </w:rPr>
        <w:t>生产经营单位从</w:t>
      </w:r>
      <w:r>
        <w:t>业人员和从事安全生产工作的相关人员的安全素质为目的的教育培训活动</w:t>
      </w:r>
      <w:r>
        <w:rPr>
          <w:rFonts w:hint="eastAsia" w:ascii="MS UI Gothic" w:eastAsia="MS UI Gothic"/>
          <w:w w:val="80"/>
        </w:rPr>
        <w:t xml:space="preserve">ꎮ </w:t>
      </w:r>
      <w:r>
        <w:t>前款所称安全监管监察人员是指县级以上各级人</w:t>
      </w:r>
      <w:r>
        <w:rPr>
          <w:w w:val="105"/>
        </w:rPr>
        <w:t>民政府安全生产监督管理部门</w:t>
      </w:r>
      <w:r>
        <w:rPr>
          <w:rFonts w:hint="eastAsia" w:ascii="MS UI Gothic" w:eastAsia="MS UI Gothic"/>
          <w:w w:val="80"/>
        </w:rPr>
        <w:t xml:space="preserve">、 </w:t>
      </w:r>
      <w:r>
        <w:rPr>
          <w:w w:val="105"/>
        </w:rPr>
        <w:t>各级煤矿安全监察机构从事安全监管监察</w:t>
      </w:r>
      <w:r>
        <w:rPr>
          <w:rFonts w:hint="eastAsia" w:ascii="MS UI Gothic" w:eastAsia="MS UI Gothic"/>
          <w:w w:val="80"/>
        </w:rPr>
        <w:t xml:space="preserve">、 </w:t>
      </w:r>
      <w:r>
        <w:rPr>
          <w:w w:val="105"/>
        </w:rPr>
        <w:t>行政执</w:t>
      </w:r>
      <w:r>
        <w:t>法的安全生产监管人员和煤矿安全监察人员</w:t>
      </w:r>
      <w:r>
        <w:rPr>
          <w:rFonts w:hint="eastAsia" w:ascii="MS UI Gothic" w:eastAsia="MS UI Gothic"/>
          <w:w w:val="80"/>
        </w:rPr>
        <w:t xml:space="preserve">ꎻ </w:t>
      </w:r>
      <w:r>
        <w:t>生产经营单位从业人员是指生产经营</w:t>
      </w:r>
      <w:r>
        <w:rPr>
          <w:w w:val="105"/>
        </w:rPr>
        <w:t>单位主要负责人</w:t>
      </w:r>
      <w:r>
        <w:rPr>
          <w:rFonts w:hint="eastAsia" w:ascii="MS UI Gothic" w:eastAsia="MS UI Gothic"/>
          <w:w w:val="80"/>
        </w:rPr>
        <w:t xml:space="preserve">、 </w:t>
      </w:r>
      <w:r>
        <w:rPr>
          <w:w w:val="105"/>
        </w:rPr>
        <w:t>安全生产管理人员</w:t>
      </w:r>
      <w:r>
        <w:rPr>
          <w:rFonts w:hint="eastAsia" w:ascii="MS UI Gothic" w:eastAsia="MS UI Gothic"/>
          <w:w w:val="80"/>
        </w:rPr>
        <w:t xml:space="preserve">、 </w:t>
      </w:r>
      <w:r>
        <w:rPr>
          <w:w w:val="105"/>
        </w:rPr>
        <w:t>特</w:t>
      </w:r>
      <w:r>
        <w:t>种作业人员及其他从业人员</w:t>
      </w:r>
      <w:r>
        <w:rPr>
          <w:rFonts w:hint="eastAsia" w:ascii="MS UI Gothic" w:eastAsia="MS UI Gothic"/>
          <w:w w:val="80"/>
        </w:rPr>
        <w:t xml:space="preserve">ꎻ </w:t>
      </w:r>
      <w:r>
        <w:t>从事安全生产工作的相关人员是指从事安全教育培训</w:t>
      </w:r>
      <w:r>
        <w:rPr>
          <w:w w:val="105"/>
        </w:rPr>
        <w:t>工作的教师</w:t>
      </w:r>
      <w:r>
        <w:rPr>
          <w:rFonts w:hint="eastAsia" w:ascii="MS UI Gothic" w:eastAsia="MS UI Gothic"/>
          <w:w w:val="80"/>
        </w:rPr>
        <w:t xml:space="preserve">、 </w:t>
      </w:r>
      <w:r>
        <w:rPr>
          <w:w w:val="105"/>
        </w:rPr>
        <w:t>危险化学品登记机构的登记人员和承担安全评价</w:t>
      </w:r>
      <w:r>
        <w:rPr>
          <w:rFonts w:hint="eastAsia" w:ascii="MS UI Gothic" w:eastAsia="MS UI Gothic"/>
          <w:w w:val="80"/>
        </w:rPr>
        <w:t xml:space="preserve">、 </w:t>
      </w:r>
      <w:r>
        <w:rPr>
          <w:w w:val="105"/>
        </w:rPr>
        <w:t>咨询</w:t>
      </w:r>
      <w:r>
        <w:rPr>
          <w:rFonts w:hint="eastAsia" w:ascii="MS UI Gothic" w:eastAsia="MS UI Gothic"/>
          <w:w w:val="80"/>
        </w:rPr>
        <w:t xml:space="preserve">、 </w:t>
      </w:r>
      <w:r>
        <w:rPr>
          <w:w w:val="105"/>
        </w:rPr>
        <w:t>检测</w:t>
      </w:r>
      <w:r>
        <w:rPr>
          <w:rFonts w:hint="eastAsia" w:ascii="MS UI Gothic" w:eastAsia="MS UI Gothic"/>
          <w:w w:val="80"/>
        </w:rPr>
        <w:t xml:space="preserve">、 </w:t>
      </w:r>
      <w:r>
        <w:rPr>
          <w:w w:val="105"/>
        </w:rPr>
        <w:t>检验的人员及注册安全工程师</w:t>
      </w:r>
      <w:r>
        <w:rPr>
          <w:rFonts w:hint="eastAsia" w:ascii="MS UI Gothic" w:eastAsia="MS UI Gothic"/>
          <w:w w:val="80"/>
        </w:rPr>
        <w:t xml:space="preserve">、 </w:t>
      </w:r>
      <w:r>
        <w:rPr>
          <w:w w:val="105"/>
        </w:rPr>
        <w:t>安全生产应急救援人员等</w:t>
      </w:r>
      <w:r>
        <w:rPr>
          <w:rFonts w:hint="eastAsia" w:ascii="MS UI Gothic" w:eastAsia="MS UI Gothic"/>
          <w:w w:val="80"/>
        </w:rPr>
        <w:t>ꎮ</w:t>
      </w:r>
    </w:p>
    <w:p>
      <w:pPr>
        <w:pStyle w:val="6"/>
        <w:spacing w:line="292" w:lineRule="auto"/>
        <w:ind w:right="39"/>
      </w:pPr>
      <w:r>
        <w:t>第四条  安全培训工作实行统一规划</w:t>
      </w:r>
      <w:r>
        <w:rPr>
          <w:rFonts w:hint="eastAsia" w:ascii="MS UI Gothic" w:eastAsia="MS UI Gothic"/>
        </w:rPr>
        <w:t xml:space="preserve">、 </w:t>
      </w:r>
      <w:r>
        <w:t>归口管理</w:t>
      </w:r>
      <w:r>
        <w:rPr>
          <w:rFonts w:hint="eastAsia" w:ascii="MS UI Gothic" w:eastAsia="MS UI Gothic"/>
        </w:rPr>
        <w:t xml:space="preserve">、 </w:t>
      </w:r>
      <w:r>
        <w:t>分级实施</w:t>
      </w:r>
      <w:r>
        <w:rPr>
          <w:rFonts w:hint="eastAsia" w:ascii="MS UI Gothic" w:eastAsia="MS UI Gothic"/>
        </w:rPr>
        <w:t xml:space="preserve">、 </w:t>
      </w:r>
      <w:r>
        <w:t>分类指导</w:t>
      </w:r>
      <w:r>
        <w:rPr>
          <w:rFonts w:hint="eastAsia" w:ascii="MS UI Gothic" w:eastAsia="MS UI Gothic"/>
        </w:rPr>
        <w:t xml:space="preserve">、 </w:t>
      </w:r>
      <w:r>
        <w:t>教</w:t>
      </w:r>
    </w:p>
    <w:p>
      <w:pPr>
        <w:pStyle w:val="6"/>
        <w:spacing w:before="174"/>
        <w:ind w:firstLine="0"/>
        <w:jc w:val="left"/>
        <w:rPr>
          <w:rFonts w:hint="eastAsia" w:ascii="MS UI Gothic" w:eastAsia="MS UI Gothic"/>
        </w:rPr>
      </w:pPr>
      <w:r>
        <w:br w:type="column"/>
      </w:r>
      <w:r>
        <w:t>考分离的原则</w:t>
      </w:r>
      <w:r>
        <w:rPr>
          <w:rFonts w:hint="eastAsia" w:ascii="MS UI Gothic" w:eastAsia="MS UI Gothic"/>
          <w:w w:val="80"/>
        </w:rPr>
        <w:t>ꎮ</w:t>
      </w:r>
    </w:p>
    <w:p>
      <w:pPr>
        <w:pStyle w:val="6"/>
        <w:spacing w:before="58" w:line="295" w:lineRule="auto"/>
        <w:ind w:right="442"/>
        <w:rPr>
          <w:rFonts w:hint="eastAsia" w:ascii="MS UI Gothic" w:eastAsia="MS UI Gothic"/>
        </w:rPr>
      </w:pPr>
      <w:r>
        <w:rPr>
          <w:w w:val="105"/>
        </w:rPr>
        <w:t xml:space="preserve">国家安全生产监督管理总局 </w:t>
      </w:r>
      <w:r>
        <w:rPr>
          <w:rFonts w:hint="eastAsia" w:ascii="MS UI Gothic" w:eastAsia="MS UI Gothic"/>
          <w:w w:val="150"/>
        </w:rPr>
        <w:t xml:space="preserve">( </w:t>
      </w:r>
      <w:r>
        <w:rPr>
          <w:w w:val="105"/>
        </w:rPr>
        <w:t>以下简称国家安全监管总局</w:t>
      </w:r>
      <w:r>
        <w:rPr>
          <w:rFonts w:hint="eastAsia" w:ascii="MS UI Gothic" w:eastAsia="MS UI Gothic"/>
          <w:w w:val="150"/>
        </w:rPr>
        <w:t xml:space="preserve">) </w:t>
      </w:r>
      <w:r>
        <w:rPr>
          <w:w w:val="105"/>
        </w:rPr>
        <w:t>指导全国安全</w:t>
      </w:r>
      <w:r>
        <w:t>培训工作</w:t>
      </w:r>
      <w:r>
        <w:rPr>
          <w:rFonts w:hint="eastAsia" w:ascii="MS UI Gothic" w:eastAsia="MS UI Gothic"/>
          <w:w w:val="80"/>
        </w:rPr>
        <w:t xml:space="preserve">ꎬ </w:t>
      </w:r>
      <w:r>
        <w:t>依法对全国的安全培训工作实</w:t>
      </w:r>
      <w:r>
        <w:rPr>
          <w:w w:val="105"/>
        </w:rPr>
        <w:t>施监督管理</w:t>
      </w:r>
      <w:r>
        <w:rPr>
          <w:rFonts w:hint="eastAsia" w:ascii="MS UI Gothic" w:eastAsia="MS UI Gothic"/>
          <w:w w:val="80"/>
        </w:rPr>
        <w:t xml:space="preserve">ꎮ </w:t>
      </w:r>
      <w:r>
        <w:rPr>
          <w:w w:val="105"/>
        </w:rPr>
        <w:t xml:space="preserve">国家煤矿安全监察局 </w:t>
      </w:r>
      <w:r>
        <w:rPr>
          <w:rFonts w:hint="eastAsia" w:ascii="MS UI Gothic" w:eastAsia="MS UI Gothic"/>
          <w:w w:val="150"/>
        </w:rPr>
        <w:t xml:space="preserve">( </w:t>
      </w:r>
      <w:r>
        <w:rPr>
          <w:w w:val="105"/>
        </w:rPr>
        <w:t>以下简称国家煤矿安监局</w:t>
      </w:r>
      <w:r>
        <w:rPr>
          <w:rFonts w:hint="eastAsia" w:ascii="MS UI Gothic" w:eastAsia="MS UI Gothic"/>
          <w:w w:val="150"/>
        </w:rPr>
        <w:t xml:space="preserve">) </w:t>
      </w:r>
      <w:r>
        <w:rPr>
          <w:w w:val="105"/>
        </w:rPr>
        <w:t>指导全国煤矿</w:t>
      </w:r>
      <w:r>
        <w:t>安全培训工作</w:t>
      </w:r>
      <w:r>
        <w:rPr>
          <w:rFonts w:hint="eastAsia" w:ascii="MS UI Gothic" w:eastAsia="MS UI Gothic"/>
          <w:w w:val="80"/>
        </w:rPr>
        <w:t xml:space="preserve">ꎬ </w:t>
      </w:r>
      <w:r>
        <w:t>依法对全国煤矿安全培训工作实施监督管理</w:t>
      </w:r>
      <w:r>
        <w:rPr>
          <w:rFonts w:hint="eastAsia" w:ascii="MS UI Gothic" w:eastAsia="MS UI Gothic"/>
          <w:w w:val="80"/>
        </w:rPr>
        <w:t xml:space="preserve">ꎮ </w:t>
      </w:r>
      <w:r>
        <w:t>国家安全生产应急救援指挥中心指导全国安全生产应急救援培</w:t>
      </w:r>
      <w:r>
        <w:rPr>
          <w:w w:val="105"/>
        </w:rPr>
        <w:t>训工作</w:t>
      </w:r>
      <w:r>
        <w:rPr>
          <w:rFonts w:hint="eastAsia" w:ascii="MS UI Gothic" w:eastAsia="MS UI Gothic"/>
          <w:w w:val="80"/>
        </w:rPr>
        <w:t>ꎮ</w:t>
      </w:r>
    </w:p>
    <w:p>
      <w:pPr>
        <w:pStyle w:val="6"/>
        <w:spacing w:line="295" w:lineRule="auto"/>
        <w:ind w:right="442"/>
        <w:rPr>
          <w:rFonts w:hint="eastAsia" w:ascii="MS UI Gothic" w:eastAsia="MS UI Gothic"/>
        </w:rPr>
      </w:pPr>
      <w:r>
        <w:t>县级以上地方各级人民政府安全生产监督管理部门依法对本行政区域内的安全</w:t>
      </w:r>
      <w:r>
        <w:rPr>
          <w:w w:val="105"/>
        </w:rPr>
        <w:t>培训工作实施监督管理</w:t>
      </w:r>
      <w:r>
        <w:rPr>
          <w:rFonts w:hint="eastAsia" w:ascii="MS UI Gothic" w:eastAsia="MS UI Gothic"/>
          <w:w w:val="80"/>
        </w:rPr>
        <w:t>ꎮ</w:t>
      </w:r>
    </w:p>
    <w:p>
      <w:pPr>
        <w:pStyle w:val="6"/>
        <w:spacing w:line="295" w:lineRule="auto"/>
        <w:ind w:right="442"/>
        <w:rPr>
          <w:rFonts w:hint="eastAsia" w:ascii="MS UI Gothic" w:eastAsia="MS UI Gothic"/>
        </w:rPr>
      </w:pPr>
      <w:r>
        <w:rPr>
          <w:spacing w:val="3"/>
          <w:w w:val="105"/>
        </w:rPr>
        <w:t>省</w:t>
      </w:r>
      <w:r>
        <w:rPr>
          <w:rFonts w:hint="eastAsia" w:ascii="MS UI Gothic" w:eastAsia="MS UI Gothic"/>
          <w:spacing w:val="13"/>
          <w:w w:val="80"/>
        </w:rPr>
        <w:t xml:space="preserve">、 </w:t>
      </w:r>
      <w:r>
        <w:rPr>
          <w:spacing w:val="3"/>
          <w:w w:val="105"/>
        </w:rPr>
        <w:t>自治区</w:t>
      </w:r>
      <w:r>
        <w:rPr>
          <w:rFonts w:hint="eastAsia" w:ascii="MS UI Gothic" w:eastAsia="MS UI Gothic"/>
          <w:spacing w:val="13"/>
          <w:w w:val="80"/>
        </w:rPr>
        <w:t xml:space="preserve">、 </w:t>
      </w:r>
      <w:r>
        <w:rPr>
          <w:spacing w:val="2"/>
          <w:w w:val="105"/>
        </w:rPr>
        <w:t>直辖市人民政府负责煤</w:t>
      </w:r>
      <w:r>
        <w:rPr>
          <w:spacing w:val="3"/>
          <w:w w:val="105"/>
        </w:rPr>
        <w:t>矿安全培训的部门</w:t>
      </w:r>
      <w:r>
        <w:rPr>
          <w:rFonts w:hint="eastAsia" w:ascii="MS UI Gothic" w:eastAsia="MS UI Gothic"/>
          <w:spacing w:val="-2"/>
          <w:w w:val="80"/>
        </w:rPr>
        <w:t xml:space="preserve">、 </w:t>
      </w:r>
      <w:r>
        <w:rPr>
          <w:spacing w:val="2"/>
          <w:w w:val="105"/>
        </w:rPr>
        <w:t>省级煤矿安全监察机</w:t>
      </w:r>
      <w:r>
        <w:rPr>
          <w:spacing w:val="-19"/>
          <w:w w:val="105"/>
        </w:rPr>
        <w:t xml:space="preserve">构 </w:t>
      </w:r>
      <w:r>
        <w:rPr>
          <w:rFonts w:hint="eastAsia" w:ascii="MS UI Gothic" w:eastAsia="MS UI Gothic"/>
          <w:spacing w:val="-39"/>
          <w:w w:val="150"/>
        </w:rPr>
        <w:t xml:space="preserve">( </w:t>
      </w:r>
      <w:r>
        <w:rPr>
          <w:spacing w:val="14"/>
          <w:w w:val="105"/>
        </w:rPr>
        <w:t>以下统称省级煤矿安全培训监管机</w:t>
      </w:r>
      <w:r>
        <w:rPr>
          <w:spacing w:val="3"/>
          <w:w w:val="105"/>
        </w:rPr>
        <w:t>构</w:t>
      </w:r>
      <w:r>
        <w:rPr>
          <w:rFonts w:hint="eastAsia" w:ascii="MS UI Gothic" w:eastAsia="MS UI Gothic"/>
          <w:spacing w:val="-9"/>
          <w:w w:val="150"/>
        </w:rPr>
        <w:t xml:space="preserve">) </w:t>
      </w:r>
      <w:r>
        <w:rPr>
          <w:spacing w:val="13"/>
          <w:w w:val="105"/>
        </w:rPr>
        <w:t>按照各自工作职责</w:t>
      </w:r>
      <w:r>
        <w:rPr>
          <w:rFonts w:hint="eastAsia" w:ascii="MS UI Gothic" w:eastAsia="MS UI Gothic"/>
          <w:spacing w:val="10"/>
          <w:w w:val="80"/>
        </w:rPr>
        <w:t xml:space="preserve">ꎬ </w:t>
      </w:r>
      <w:r>
        <w:rPr>
          <w:spacing w:val="17"/>
          <w:w w:val="105"/>
        </w:rPr>
        <w:t>依法对所辖区</w:t>
      </w:r>
      <w:r>
        <w:rPr>
          <w:spacing w:val="3"/>
          <w:w w:val="105"/>
        </w:rPr>
        <w:t>域煤矿安全培训工作实施监督管理</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第五条 安全培训的机构应当具备从</w:t>
      </w:r>
      <w:r>
        <w:t>事安全培训工作所需要的条件</w:t>
      </w:r>
      <w:r>
        <w:rPr>
          <w:rFonts w:hint="eastAsia" w:ascii="MS UI Gothic" w:eastAsia="MS UI Gothic"/>
          <w:w w:val="80"/>
        </w:rPr>
        <w:t xml:space="preserve">ꎮ </w:t>
      </w:r>
      <w:r>
        <w:t>从事危险</w:t>
      </w:r>
      <w:r>
        <w:rPr>
          <w:w w:val="105"/>
        </w:rPr>
        <w:t>物品的生产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储存单位以及矿山</w:t>
      </w:r>
      <w:r>
        <w:rPr>
          <w:rFonts w:hint="eastAsia" w:ascii="MS UI Gothic" w:eastAsia="MS UI Gothic"/>
          <w:w w:val="80"/>
        </w:rPr>
        <w:t>、</w:t>
      </w:r>
      <w:r>
        <w:t>金属冶炼单位的主要负责人和安全生产管理人员</w:t>
      </w:r>
      <w:r>
        <w:rPr>
          <w:rFonts w:hint="eastAsia" w:ascii="MS UI Gothic" w:eastAsia="MS UI Gothic"/>
          <w:w w:val="80"/>
        </w:rPr>
        <w:t xml:space="preserve">ꎬ </w:t>
      </w:r>
      <w:r>
        <w:t>特种作业人员以及注册安全工程师等相关人员培训的安全培训机构</w:t>
      </w:r>
      <w:r>
        <w:rPr>
          <w:rFonts w:hint="eastAsia" w:ascii="MS UI Gothic" w:eastAsia="MS UI Gothic"/>
          <w:w w:val="80"/>
        </w:rPr>
        <w:t xml:space="preserve">ꎬ </w:t>
      </w:r>
      <w:r>
        <w:t>应当</w:t>
      </w:r>
      <w:r>
        <w:rPr>
          <w:w w:val="105"/>
        </w:rPr>
        <w:t>将教师</w:t>
      </w:r>
      <w:r>
        <w:rPr>
          <w:rFonts w:hint="eastAsia" w:ascii="MS UI Gothic" w:eastAsia="MS UI Gothic"/>
          <w:w w:val="80"/>
        </w:rPr>
        <w:t xml:space="preserve">、 </w:t>
      </w:r>
      <w:r>
        <w:rPr>
          <w:w w:val="105"/>
        </w:rPr>
        <w:t>教学和实习实训设施等情况书面报告所在地安全生产监督管理部门</w:t>
      </w:r>
      <w:r>
        <w:rPr>
          <w:rFonts w:hint="eastAsia" w:ascii="MS UI Gothic" w:eastAsia="MS UI Gothic"/>
          <w:w w:val="80"/>
        </w:rPr>
        <w:t xml:space="preserve">、 </w:t>
      </w:r>
      <w:r>
        <w:rPr>
          <w:w w:val="105"/>
        </w:rPr>
        <w:t>煤矿安全培训监管机构</w:t>
      </w:r>
      <w:r>
        <w:rPr>
          <w:rFonts w:hint="eastAsia" w:ascii="MS UI Gothic" w:eastAsia="MS UI Gothic"/>
          <w:w w:val="80"/>
        </w:rPr>
        <w:t>ꎮ</w:t>
      </w:r>
    </w:p>
    <w:p>
      <w:pPr>
        <w:pStyle w:val="6"/>
        <w:spacing w:line="295" w:lineRule="auto"/>
        <w:ind w:right="442"/>
        <w:rPr>
          <w:rFonts w:hint="eastAsia" w:ascii="MS UI Gothic" w:eastAsia="MS UI Gothic"/>
        </w:rPr>
      </w:pPr>
      <w:r>
        <w:t>安全生产相关社会组织依照法律</w:t>
      </w:r>
      <w:r>
        <w:rPr>
          <w:rFonts w:hint="eastAsia" w:ascii="MS UI Gothic" w:eastAsia="MS UI Gothic"/>
          <w:w w:val="80"/>
        </w:rPr>
        <w:t xml:space="preserve">、 </w:t>
      </w:r>
      <w:r>
        <w:t>行政法规和章程</w:t>
      </w:r>
      <w:r>
        <w:rPr>
          <w:rFonts w:hint="eastAsia" w:ascii="MS UI Gothic" w:eastAsia="MS UI Gothic"/>
          <w:w w:val="80"/>
        </w:rPr>
        <w:t xml:space="preserve">ꎬ </w:t>
      </w:r>
      <w:r>
        <w:t>为生产经营单位提供安全培训有关服务</w:t>
      </w:r>
      <w:r>
        <w:rPr>
          <w:rFonts w:hint="eastAsia" w:ascii="MS UI Gothic" w:eastAsia="MS UI Gothic"/>
          <w:w w:val="80"/>
        </w:rPr>
        <w:t xml:space="preserve">ꎬ </w:t>
      </w:r>
      <w:r>
        <w:t>对安全培训机构实行自律管理</w:t>
      </w:r>
      <w:r>
        <w:rPr>
          <w:rFonts w:hint="eastAsia" w:ascii="MS UI Gothic" w:eastAsia="MS UI Gothic"/>
          <w:w w:val="80"/>
        </w:rPr>
        <w:t xml:space="preserve">ꎬ </w:t>
      </w:r>
      <w:r>
        <w:t>促进安全培训工作水平的提升</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ind w:left="0" w:firstLine="0"/>
        <w:jc w:val="left"/>
        <w:rPr>
          <w:rFonts w:ascii="MS UI Gothic"/>
          <w:sz w:val="24"/>
        </w:rPr>
      </w:pPr>
    </w:p>
    <w:p>
      <w:pPr>
        <w:pStyle w:val="6"/>
        <w:ind w:left="0" w:firstLine="0"/>
        <w:jc w:val="left"/>
        <w:rPr>
          <w:rFonts w:ascii="MS UI Gothic"/>
          <w:sz w:val="24"/>
        </w:rPr>
      </w:pPr>
    </w:p>
    <w:p>
      <w:pPr>
        <w:pStyle w:val="6"/>
        <w:spacing w:before="11"/>
        <w:ind w:left="0" w:firstLine="0"/>
        <w:jc w:val="left"/>
        <w:rPr>
          <w:rFonts w:ascii="MS UI Gothic"/>
          <w:sz w:val="19"/>
        </w:rPr>
      </w:pPr>
    </w:p>
    <w:p>
      <w:pPr>
        <w:pStyle w:val="6"/>
        <w:tabs>
          <w:tab w:val="left" w:pos="2222"/>
        </w:tabs>
        <w:spacing w:line="174" w:lineRule="exact"/>
        <w:ind w:left="1384" w:firstLine="0"/>
        <w:jc w:val="left"/>
      </w:pPr>
      <w:r>
        <w:pict>
          <v:shape id="_x0000_s1375" o:spid="_x0000_s1375" style="position:absolute;left:0pt;margin-left:0pt;margin-top:656.65pt;height:1.75pt;width:398.25pt;mso-position-horizontal-relative:page;z-index:251797504;mso-width-relative:page;mso-height-relative:page;" filled="f" stroked="t" coordorigin="0,13133" coordsize="7965,35" path="m1419,-353l9384,-353m1419,-388l9384,-388e">
            <v:path arrowok="t"/>
            <v:fill on="f" focussize="0,0"/>
            <v:stroke weight="0.388031496062992pt" color="#231F20"/>
            <v:imagedata o:title=""/>
            <o:lock v:ext="edit"/>
          </v:shape>
        </w:pict>
      </w:r>
      <w:r>
        <w:rPr>
          <w:spacing w:val="3"/>
          <w:w w:val="105"/>
        </w:rPr>
        <w:t>第二</w:t>
      </w:r>
      <w:r>
        <w:rPr>
          <w:w w:val="105"/>
        </w:rPr>
        <w:t>章</w:t>
      </w:r>
      <w:r>
        <w:rPr>
          <w:w w:val="105"/>
        </w:rPr>
        <w:tab/>
      </w:r>
      <w:r>
        <w:rPr>
          <w:w w:val="105"/>
        </w:rPr>
        <w:t>安</w:t>
      </w:r>
      <w:r>
        <w:rPr>
          <w:spacing w:val="-37"/>
          <w:w w:val="105"/>
        </w:rPr>
        <w:t xml:space="preserve"> </w:t>
      </w:r>
      <w:r>
        <w:rPr>
          <w:w w:val="105"/>
        </w:rPr>
        <w:t>全</w:t>
      </w:r>
      <w:r>
        <w:rPr>
          <w:spacing w:val="-37"/>
          <w:w w:val="105"/>
        </w:rPr>
        <w:t xml:space="preserve"> </w:t>
      </w:r>
      <w:r>
        <w:rPr>
          <w:w w:val="105"/>
        </w:rPr>
        <w:t>培</w:t>
      </w:r>
      <w:r>
        <w:rPr>
          <w:spacing w:val="-37"/>
          <w:w w:val="105"/>
        </w:rPr>
        <w:t xml:space="preserve"> </w:t>
      </w:r>
      <w:r>
        <w:rPr>
          <w:spacing w:val="-18"/>
          <w:w w:val="105"/>
        </w:rPr>
        <w:t>训</w:t>
      </w:r>
    </w:p>
    <w:p>
      <w:pPr>
        <w:spacing w:before="192"/>
        <w:ind w:left="396" w:right="0" w:firstLine="0"/>
        <w:jc w:val="left"/>
        <w:rPr>
          <w:sz w:val="17"/>
        </w:rPr>
      </w:pPr>
      <w:r>
        <w:br w:type="column"/>
      </w: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ind w:left="1326" w:firstLine="0"/>
        <w:jc w:val="left"/>
        <w:rPr>
          <w:rFonts w:hint="eastAsia" w:ascii="MS UI Gothic" w:eastAsia="MS UI Gothic"/>
        </w:rPr>
      </w:pPr>
      <w:r>
        <w:t>件的机构进行安全培训</w:t>
      </w:r>
      <w:r>
        <w:rPr>
          <w:rFonts w:hint="eastAsia" w:ascii="MS UI Gothic" w:eastAsia="MS UI Gothic"/>
          <w:w w:val="80"/>
        </w:rPr>
        <w:t>ꎮ</w:t>
      </w:r>
    </w:p>
    <w:p>
      <w:pPr>
        <w:pStyle w:val="6"/>
        <w:spacing w:before="159"/>
        <w:ind w:left="641" w:firstLine="0"/>
        <w:jc w:val="left"/>
        <w:rPr>
          <w:rFonts w:hint="eastAsia" w:ascii="MS UI Gothic" w:eastAsia="MS UI Gothic"/>
        </w:rPr>
      </w:pPr>
      <w:r>
        <w:br w:type="column"/>
      </w:r>
      <w:r>
        <w:rPr>
          <w:rFonts w:hint="eastAsia" w:ascii="MS UI Gothic" w:eastAsia="MS UI Gothic"/>
          <w:spacing w:val="1"/>
          <w:w w:val="75"/>
        </w:rPr>
        <w:t>１１１</w:t>
      </w:r>
    </w:p>
    <w:p>
      <w:pPr>
        <w:spacing w:after="0"/>
        <w:jc w:val="left"/>
        <w:rPr>
          <w:rFonts w:hint="eastAsia" w:ascii="MS UI Gothic" w:eastAsia="MS UI Gothic"/>
        </w:rPr>
        <w:sectPr>
          <w:pgSz w:w="10500" w:h="14750"/>
          <w:pgMar w:top="960" w:right="980" w:bottom="280" w:left="980" w:header="720" w:footer="720" w:gutter="0"/>
          <w:cols w:equalWidth="0" w:num="3">
            <w:col w:w="3267" w:space="40"/>
            <w:col w:w="3526" w:space="39"/>
            <w:col w:w="1668"/>
          </w:cols>
        </w:sectPr>
      </w:pPr>
    </w:p>
    <w:p>
      <w:pPr>
        <w:pStyle w:val="6"/>
        <w:spacing w:before="298" w:line="295" w:lineRule="auto"/>
        <w:ind w:left="440" w:right="1"/>
        <w:rPr>
          <w:rFonts w:hint="eastAsia" w:ascii="MS UI Gothic" w:eastAsia="MS UI Gothic"/>
        </w:rPr>
      </w:pPr>
      <w:r>
        <w:t>第六条 安全培训应当按照规定的安全培训大纲进行</w:t>
      </w:r>
      <w:r>
        <w:rPr>
          <w:rFonts w:hint="eastAsia" w:ascii="MS UI Gothic" w:eastAsia="MS UI Gothic"/>
          <w:w w:val="80"/>
        </w:rPr>
        <w:t xml:space="preserve">ꎮ </w:t>
      </w:r>
      <w:r>
        <w:t>安全监管监察人员</w:t>
      </w:r>
      <w:r>
        <w:rPr>
          <w:rFonts w:hint="eastAsia" w:ascii="MS UI Gothic" w:eastAsia="MS UI Gothic"/>
          <w:w w:val="80"/>
        </w:rPr>
        <w:t xml:space="preserve">ꎬ </w:t>
      </w:r>
      <w:r>
        <w:t>危险物品的生产</w:t>
      </w:r>
      <w:r>
        <w:rPr>
          <w:rFonts w:hint="eastAsia" w:ascii="MS UI Gothic" w:eastAsia="MS UI Gothic"/>
          <w:w w:val="80"/>
        </w:rPr>
        <w:t xml:space="preserve">、 </w:t>
      </w:r>
      <w:r>
        <w:t>经营</w:t>
      </w:r>
      <w:r>
        <w:rPr>
          <w:rFonts w:hint="eastAsia" w:ascii="MS UI Gothic" w:eastAsia="MS UI Gothic"/>
          <w:w w:val="80"/>
        </w:rPr>
        <w:t xml:space="preserve">、 </w:t>
      </w:r>
      <w:r>
        <w:t>储存单位与非煤矿山</w:t>
      </w:r>
      <w:r>
        <w:rPr>
          <w:rFonts w:hint="eastAsia" w:ascii="MS UI Gothic" w:eastAsia="MS UI Gothic"/>
          <w:w w:val="80"/>
        </w:rPr>
        <w:t xml:space="preserve">、 </w:t>
      </w:r>
      <w:r>
        <w:t>金属冶炼单位的主要负责人和安全生产管理人员</w:t>
      </w:r>
      <w:r>
        <w:rPr>
          <w:rFonts w:hint="eastAsia" w:ascii="MS UI Gothic" w:eastAsia="MS UI Gothic"/>
          <w:w w:val="80"/>
        </w:rPr>
        <w:t xml:space="preserve">、 </w:t>
      </w:r>
      <w:r>
        <w:t>特种作业人员以及从事安全生产工作的相关人员的安全培训大纲</w:t>
      </w:r>
      <w:r>
        <w:rPr>
          <w:rFonts w:hint="eastAsia" w:ascii="MS UI Gothic" w:eastAsia="MS UI Gothic"/>
          <w:w w:val="80"/>
        </w:rPr>
        <w:t xml:space="preserve">ꎬ </w:t>
      </w:r>
      <w:r>
        <w:t>由国家安全监管总局组织制定</w:t>
      </w:r>
      <w:r>
        <w:rPr>
          <w:rFonts w:hint="eastAsia" w:ascii="MS UI Gothic" w:eastAsia="MS UI Gothic"/>
          <w:w w:val="80"/>
        </w:rPr>
        <w:t>ꎮ</w:t>
      </w:r>
    </w:p>
    <w:p>
      <w:pPr>
        <w:pStyle w:val="6"/>
        <w:spacing w:line="295" w:lineRule="auto"/>
        <w:ind w:left="440"/>
        <w:rPr>
          <w:rFonts w:hint="eastAsia" w:ascii="MS UI Gothic" w:eastAsia="MS UI Gothic"/>
        </w:rPr>
      </w:pPr>
      <w:r>
        <w:t>煤矿企业的主要负责人和安全生产管</w:t>
      </w:r>
      <w:r>
        <w:rPr>
          <w:w w:val="105"/>
        </w:rPr>
        <w:t>理人员</w:t>
      </w:r>
      <w:r>
        <w:rPr>
          <w:rFonts w:hint="eastAsia" w:ascii="MS UI Gothic" w:eastAsia="MS UI Gothic"/>
          <w:w w:val="80"/>
        </w:rPr>
        <w:t xml:space="preserve">、 </w:t>
      </w:r>
      <w:r>
        <w:rPr>
          <w:w w:val="105"/>
        </w:rPr>
        <w:t>特种作业人员的培训大纲由国家</w:t>
      </w:r>
      <w:r>
        <w:t>煤矿安监局组织制定</w:t>
      </w:r>
      <w:r>
        <w:rPr>
          <w:rFonts w:hint="eastAsia" w:ascii="MS UI Gothic" w:eastAsia="MS UI Gothic"/>
          <w:w w:val="80"/>
        </w:rPr>
        <w:t xml:space="preserve">ꎮ </w:t>
      </w:r>
      <w:r>
        <w:t>除危险物品的生</w:t>
      </w:r>
      <w:r>
        <w:rPr>
          <w:w w:val="105"/>
        </w:rPr>
        <w:t>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储存单位和矿山</w:t>
      </w:r>
      <w:r>
        <w:rPr>
          <w:rFonts w:hint="eastAsia" w:ascii="MS UI Gothic" w:eastAsia="MS UI Gothic"/>
          <w:w w:val="80"/>
        </w:rPr>
        <w:t xml:space="preserve">、 </w:t>
      </w:r>
      <w:r>
        <w:rPr>
          <w:w w:val="105"/>
        </w:rPr>
        <w:t>金属冶炼单</w:t>
      </w:r>
      <w:r>
        <w:t>位以外其他生产经营单位的主要负责人</w:t>
      </w:r>
      <w:r>
        <w:rPr>
          <w:rFonts w:hint="eastAsia" w:ascii="MS UI Gothic" w:eastAsia="MS UI Gothic"/>
          <w:w w:val="80"/>
        </w:rPr>
        <w:t>、</w:t>
      </w:r>
      <w:r>
        <w:t>安全生产管理人员及其他从业人员的安全培训大纲</w:t>
      </w:r>
      <w:r>
        <w:rPr>
          <w:rFonts w:hint="eastAsia" w:ascii="MS UI Gothic" w:eastAsia="MS UI Gothic"/>
          <w:w w:val="80"/>
        </w:rPr>
        <w:t xml:space="preserve">ꎬ </w:t>
      </w:r>
      <w:r>
        <w:t>由省级安全生产监督管理部</w:t>
      </w:r>
      <w:r>
        <w:rPr>
          <w:w w:val="105"/>
        </w:rPr>
        <w:t>门</w:t>
      </w:r>
      <w:r>
        <w:rPr>
          <w:rFonts w:hint="eastAsia" w:ascii="MS UI Gothic" w:eastAsia="MS UI Gothic"/>
          <w:w w:val="80"/>
        </w:rPr>
        <w:t xml:space="preserve">、 </w:t>
      </w:r>
      <w:r>
        <w:rPr>
          <w:w w:val="105"/>
        </w:rPr>
        <w:t>省级煤矿安全培训监管机构组织制定</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第七条 国家安全监管总局</w:t>
      </w:r>
      <w:r>
        <w:rPr>
          <w:rFonts w:hint="eastAsia" w:ascii="MS UI Gothic" w:eastAsia="MS UI Gothic"/>
          <w:w w:val="80"/>
        </w:rPr>
        <w:t xml:space="preserve">、 </w:t>
      </w:r>
      <w:r>
        <w:rPr>
          <w:w w:val="105"/>
        </w:rPr>
        <w:t>省级安</w:t>
      </w:r>
      <w:r>
        <w:t>全生产监督管理部门定期组织优秀安全培</w:t>
      </w:r>
      <w:r>
        <w:rPr>
          <w:w w:val="105"/>
        </w:rPr>
        <w:t>训教材的评选</w:t>
      </w:r>
      <w:r>
        <w:rPr>
          <w:rFonts w:hint="eastAsia" w:ascii="MS UI Gothic" w:eastAsia="MS UI Gothic"/>
          <w:w w:val="80"/>
        </w:rPr>
        <w:t>ꎮ</w:t>
      </w:r>
    </w:p>
    <w:p>
      <w:pPr>
        <w:pStyle w:val="6"/>
        <w:spacing w:line="295" w:lineRule="auto"/>
        <w:ind w:left="440" w:right="1"/>
        <w:jc w:val="left"/>
        <w:rPr>
          <w:rFonts w:hint="eastAsia" w:ascii="MS UI Gothic" w:eastAsia="MS UI Gothic"/>
        </w:rPr>
      </w:pPr>
      <w:r>
        <w:t>安全培训机构应当优先使用优秀安全</w:t>
      </w:r>
      <w:r>
        <w:rPr>
          <w:w w:val="105"/>
        </w:rPr>
        <w:t>培训教材</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第八条 国家安全监管总局负责省级</w:t>
      </w:r>
      <w:r>
        <w:t>以上安全生产监督管理部门的安全生产监</w:t>
      </w:r>
      <w:r>
        <w:rPr>
          <w:w w:val="105"/>
        </w:rPr>
        <w:t>管人员</w:t>
      </w:r>
      <w:r>
        <w:rPr>
          <w:rFonts w:hint="eastAsia" w:ascii="MS UI Gothic" w:eastAsia="MS UI Gothic"/>
          <w:w w:val="80"/>
        </w:rPr>
        <w:t xml:space="preserve">、 </w:t>
      </w:r>
      <w:r>
        <w:rPr>
          <w:w w:val="105"/>
        </w:rPr>
        <w:t>各级煤矿安全监察机构的煤矿安全监察人员的培训工作</w:t>
      </w:r>
      <w:r>
        <w:rPr>
          <w:rFonts w:hint="eastAsia" w:ascii="MS UI Gothic" w:eastAsia="MS UI Gothic"/>
          <w:w w:val="80"/>
        </w:rPr>
        <w:t>ꎮ</w:t>
      </w:r>
    </w:p>
    <w:p>
      <w:pPr>
        <w:pStyle w:val="6"/>
        <w:spacing w:line="295" w:lineRule="auto"/>
        <w:ind w:left="440" w:right="1"/>
        <w:rPr>
          <w:rFonts w:hint="eastAsia" w:ascii="MS UI Gothic" w:eastAsia="MS UI Gothic"/>
        </w:rPr>
      </w:pPr>
      <w:r>
        <w:t>省级安全生产监督管理部门负责市级</w:t>
      </w:r>
      <w:r>
        <w:rPr>
          <w:rFonts w:hint="eastAsia" w:ascii="MS UI Gothic" w:eastAsia="MS UI Gothic"/>
          <w:w w:val="80"/>
        </w:rPr>
        <w:t xml:space="preserve">、 </w:t>
      </w:r>
      <w:r>
        <w:t>县级安全生产监督管理部门的安全生产监管人员的培训工作</w:t>
      </w:r>
      <w:r>
        <w:rPr>
          <w:rFonts w:hint="eastAsia" w:ascii="MS UI Gothic" w:eastAsia="MS UI Gothic"/>
          <w:w w:val="80"/>
        </w:rPr>
        <w:t xml:space="preserve">ꎮ </w:t>
      </w:r>
      <w:r>
        <w:t>生产经营单位的从业人员的安全培训</w:t>
      </w:r>
      <w:r>
        <w:rPr>
          <w:rFonts w:hint="eastAsia" w:ascii="MS UI Gothic" w:eastAsia="MS UI Gothic"/>
          <w:w w:val="80"/>
        </w:rPr>
        <w:t xml:space="preserve">ꎬ </w:t>
      </w:r>
      <w:r>
        <w:t>由生产经营单位负责</w:t>
      </w:r>
      <w:r>
        <w:rPr>
          <w:rFonts w:hint="eastAsia" w:ascii="MS UI Gothic" w:eastAsia="MS UI Gothic"/>
          <w:w w:val="80"/>
        </w:rPr>
        <w:t xml:space="preserve">ꎮ </w:t>
      </w:r>
      <w:r>
        <w:t>危险化学品登记机构的登记人员和承担安全评价</w:t>
      </w:r>
      <w:r>
        <w:rPr>
          <w:rFonts w:hint="eastAsia" w:ascii="MS UI Gothic" w:eastAsia="MS UI Gothic"/>
          <w:w w:val="80"/>
        </w:rPr>
        <w:t xml:space="preserve">、 </w:t>
      </w:r>
      <w:r>
        <w:t>咨询</w:t>
      </w:r>
      <w:r>
        <w:rPr>
          <w:rFonts w:hint="eastAsia" w:ascii="MS UI Gothic" w:eastAsia="MS UI Gothic"/>
          <w:w w:val="80"/>
        </w:rPr>
        <w:t xml:space="preserve">、 </w:t>
      </w:r>
      <w:r>
        <w:t>检测</w:t>
      </w:r>
      <w:r>
        <w:rPr>
          <w:rFonts w:hint="eastAsia" w:ascii="MS UI Gothic" w:eastAsia="MS UI Gothic"/>
          <w:w w:val="80"/>
        </w:rPr>
        <w:t xml:space="preserve">、 </w:t>
      </w:r>
      <w:r>
        <w:t>检验的人员及注册安全工程师</w:t>
      </w:r>
      <w:r>
        <w:rPr>
          <w:rFonts w:hint="eastAsia" w:ascii="MS UI Gothic" w:eastAsia="MS UI Gothic"/>
          <w:w w:val="80"/>
        </w:rPr>
        <w:t xml:space="preserve">、 </w:t>
      </w:r>
      <w:r>
        <w:t>安全生产应急救援人员的安全培训</w:t>
      </w:r>
      <w:r>
        <w:rPr>
          <w:rFonts w:hint="eastAsia" w:ascii="MS UI Gothic" w:eastAsia="MS UI Gothic"/>
          <w:w w:val="80"/>
        </w:rPr>
        <w:t xml:space="preserve">ꎬ </w:t>
      </w:r>
      <w:r>
        <w:t>按照有关法律</w:t>
      </w:r>
      <w:r>
        <w:rPr>
          <w:rFonts w:hint="eastAsia" w:ascii="MS UI Gothic" w:eastAsia="MS UI Gothic"/>
          <w:w w:val="80"/>
        </w:rPr>
        <w:t xml:space="preserve">、 </w:t>
      </w:r>
      <w:r>
        <w:t>法规</w:t>
      </w:r>
      <w:r>
        <w:rPr>
          <w:rFonts w:hint="eastAsia" w:ascii="MS UI Gothic" w:eastAsia="MS UI Gothic"/>
          <w:w w:val="80"/>
        </w:rPr>
        <w:t xml:space="preserve">、 </w:t>
      </w:r>
      <w:r>
        <w:t>规章的规定进行</w:t>
      </w:r>
      <w:r>
        <w:rPr>
          <w:rFonts w:hint="eastAsia" w:ascii="MS UI Gothic" w:eastAsia="MS UI Gothic"/>
          <w:w w:val="80"/>
        </w:rPr>
        <w:t>ꎮ</w:t>
      </w:r>
    </w:p>
    <w:p>
      <w:pPr>
        <w:pStyle w:val="6"/>
        <w:spacing w:line="295" w:lineRule="auto"/>
        <w:ind w:left="440" w:right="1"/>
      </w:pPr>
      <w:r>
        <w:rPr>
          <w:w w:val="105"/>
        </w:rPr>
        <w:t>第九条 对从业人员的安全培训</w:t>
      </w:r>
      <w:r>
        <w:rPr>
          <w:rFonts w:hint="eastAsia" w:ascii="MS UI Gothic" w:eastAsia="MS UI Gothic"/>
          <w:w w:val="80"/>
        </w:rPr>
        <w:t xml:space="preserve">ꎬ </w:t>
      </w:r>
      <w:r>
        <w:rPr>
          <w:w w:val="105"/>
        </w:rPr>
        <w:t>具</w:t>
      </w:r>
      <w:r>
        <w:t>备安全培训条件的生产经营单位应当以自主培训为主</w:t>
      </w:r>
      <w:r>
        <w:rPr>
          <w:rFonts w:hint="eastAsia" w:ascii="MS UI Gothic" w:eastAsia="MS UI Gothic"/>
          <w:w w:val="80"/>
        </w:rPr>
        <w:t xml:space="preserve">ꎬ </w:t>
      </w:r>
      <w:r>
        <w:t>也可以委托具备安全培训条</w:t>
      </w:r>
    </w:p>
    <w:p>
      <w:pPr>
        <w:pStyle w:val="6"/>
        <w:spacing w:line="240" w:lineRule="exact"/>
        <w:ind w:left="800" w:firstLine="0"/>
        <w:jc w:val="left"/>
      </w:pPr>
      <w:r>
        <w:br w:type="column"/>
      </w:r>
      <w:r>
        <w:rPr>
          <w:w w:val="105"/>
        </w:rPr>
        <w:t>不具备安全培训条件的生产经营单</w:t>
      </w:r>
    </w:p>
    <w:p>
      <w:pPr>
        <w:pStyle w:val="6"/>
        <w:spacing w:before="58" w:line="295" w:lineRule="auto"/>
        <w:ind w:left="381" w:right="126" w:firstLine="0"/>
        <w:jc w:val="left"/>
        <w:rPr>
          <w:rFonts w:hint="eastAsia" w:ascii="MS UI Gothic" w:eastAsia="MS UI Gothic"/>
        </w:rPr>
      </w:pPr>
      <w:r>
        <w:t>位</w:t>
      </w:r>
      <w:r>
        <w:rPr>
          <w:rFonts w:hint="eastAsia" w:ascii="MS UI Gothic" w:eastAsia="MS UI Gothic"/>
          <w:w w:val="80"/>
        </w:rPr>
        <w:t xml:space="preserve">ꎬ </w:t>
      </w:r>
      <w:r>
        <w:t>应当委托具有安全培训条件的机构对从业人员进行安全培训</w:t>
      </w:r>
      <w:r>
        <w:rPr>
          <w:rFonts w:hint="eastAsia" w:ascii="MS UI Gothic" w:eastAsia="MS UI Gothic"/>
          <w:w w:val="80"/>
        </w:rPr>
        <w:t>ꎮ</w:t>
      </w:r>
    </w:p>
    <w:p>
      <w:pPr>
        <w:pStyle w:val="6"/>
        <w:spacing w:line="295" w:lineRule="auto"/>
        <w:ind w:left="381" w:right="126"/>
        <w:rPr>
          <w:rFonts w:hint="eastAsia" w:ascii="MS UI Gothic" w:eastAsia="MS UI Gothic"/>
        </w:rPr>
      </w:pPr>
      <w:r>
        <w:t>生产经营单位委托其他机构进行安全培训的</w:t>
      </w:r>
      <w:r>
        <w:rPr>
          <w:rFonts w:hint="eastAsia" w:ascii="MS UI Gothic" w:eastAsia="MS UI Gothic"/>
          <w:w w:val="80"/>
        </w:rPr>
        <w:t xml:space="preserve">ꎬ </w:t>
      </w:r>
      <w:r>
        <w:t>保证安全培训的责任仍由本单位负责</w:t>
      </w:r>
      <w:r>
        <w:rPr>
          <w:rFonts w:hint="eastAsia" w:ascii="MS UI Gothic" w:eastAsia="MS UI Gothic"/>
          <w:w w:val="80"/>
        </w:rPr>
        <w:t>ꎮ</w:t>
      </w:r>
    </w:p>
    <w:p>
      <w:pPr>
        <w:pStyle w:val="6"/>
        <w:spacing w:line="295" w:lineRule="auto"/>
        <w:ind w:left="381" w:right="124"/>
        <w:rPr>
          <w:rFonts w:hint="eastAsia" w:ascii="MS UI Gothic" w:eastAsia="MS UI Gothic"/>
        </w:rPr>
      </w:pPr>
      <w:r>
        <w:t>第十条 生产经营单位应当建立安全培训管理制度</w:t>
      </w:r>
      <w:r>
        <w:rPr>
          <w:rFonts w:hint="eastAsia" w:ascii="MS UI Gothic" w:eastAsia="MS UI Gothic"/>
          <w:w w:val="80"/>
        </w:rPr>
        <w:t xml:space="preserve">ꎬ </w:t>
      </w:r>
      <w:r>
        <w:t>保障从业人员安全培训所需经费</w:t>
      </w:r>
      <w:r>
        <w:rPr>
          <w:rFonts w:hint="eastAsia" w:ascii="MS UI Gothic" w:eastAsia="MS UI Gothic"/>
          <w:w w:val="80"/>
        </w:rPr>
        <w:t xml:space="preserve">ꎬ </w:t>
      </w:r>
      <w:r>
        <w:t>对从业人员进行与其所从事岗位相应的安全教育培训</w:t>
      </w:r>
      <w:r>
        <w:rPr>
          <w:rFonts w:hint="eastAsia" w:ascii="MS UI Gothic" w:eastAsia="MS UI Gothic"/>
          <w:w w:val="80"/>
        </w:rPr>
        <w:t xml:space="preserve">ꎻ </w:t>
      </w:r>
      <w:r>
        <w:t>从业人员调整工作岗位或者采用新工艺</w:t>
      </w:r>
      <w:r>
        <w:rPr>
          <w:rFonts w:hint="eastAsia" w:ascii="MS UI Gothic" w:eastAsia="MS UI Gothic"/>
          <w:w w:val="80"/>
        </w:rPr>
        <w:t xml:space="preserve">、 </w:t>
      </w:r>
      <w:r>
        <w:t>新技术</w:t>
      </w:r>
      <w:r>
        <w:rPr>
          <w:rFonts w:hint="eastAsia" w:ascii="MS UI Gothic" w:eastAsia="MS UI Gothic"/>
          <w:w w:val="80"/>
        </w:rPr>
        <w:t xml:space="preserve">、  </w:t>
      </w:r>
      <w:r>
        <w:t>新设备</w:t>
      </w:r>
      <w:r>
        <w:rPr>
          <w:rFonts w:hint="eastAsia" w:ascii="MS UI Gothic" w:eastAsia="MS UI Gothic"/>
          <w:w w:val="80"/>
        </w:rPr>
        <w:t>、</w:t>
      </w:r>
      <w:r>
        <w:t>新材料的</w:t>
      </w:r>
      <w:r>
        <w:rPr>
          <w:rFonts w:hint="eastAsia" w:ascii="MS UI Gothic" w:eastAsia="MS UI Gothic"/>
          <w:w w:val="80"/>
        </w:rPr>
        <w:t xml:space="preserve">ꎬ </w:t>
      </w:r>
      <w:r>
        <w:t>应当对其进行专门的安全教育和培训</w:t>
      </w:r>
      <w:r>
        <w:rPr>
          <w:rFonts w:hint="eastAsia" w:ascii="MS UI Gothic" w:eastAsia="MS UI Gothic"/>
          <w:w w:val="80"/>
        </w:rPr>
        <w:t xml:space="preserve">ꎮ </w:t>
      </w:r>
      <w:r>
        <w:t>未经安全教育和培训合格的从业人员</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line="295" w:lineRule="auto"/>
        <w:ind w:left="381" w:right="124"/>
        <w:rPr>
          <w:rFonts w:hint="eastAsia" w:ascii="MS UI Gothic" w:eastAsia="MS UI Gothic"/>
        </w:rPr>
      </w:pPr>
      <w:r>
        <w:t>生产经营单位使用被派遣劳动者的</w:t>
      </w:r>
      <w:r>
        <w:rPr>
          <w:rFonts w:hint="eastAsia" w:ascii="MS UI Gothic" w:eastAsia="MS UI Gothic"/>
          <w:w w:val="80"/>
        </w:rPr>
        <w:t>ꎬ</w:t>
      </w:r>
      <w:r>
        <w:t>应当将被派遣劳动者纳入本单位从业人员统一管理</w:t>
      </w:r>
      <w:r>
        <w:rPr>
          <w:rFonts w:hint="eastAsia" w:ascii="MS UI Gothic" w:eastAsia="MS UI Gothic"/>
          <w:w w:val="80"/>
        </w:rPr>
        <w:t xml:space="preserve">ꎬ </w:t>
      </w:r>
      <w:r>
        <w:t>对被派遣劳动者进行岗位安全操作规程和安全操作技能的教育和培训</w:t>
      </w:r>
      <w:r>
        <w:rPr>
          <w:rFonts w:hint="eastAsia" w:ascii="MS UI Gothic" w:eastAsia="MS UI Gothic"/>
          <w:w w:val="80"/>
        </w:rPr>
        <w:t>ꎮ</w:t>
      </w:r>
      <w:r>
        <w:t>劳务派遣单位应当对被派遣劳动者进行必</w:t>
      </w:r>
      <w:r>
        <w:rPr>
          <w:w w:val="105"/>
        </w:rPr>
        <w:t>要的安全生产教育和培训</w:t>
      </w:r>
      <w:r>
        <w:rPr>
          <w:rFonts w:hint="eastAsia" w:ascii="MS UI Gothic" w:eastAsia="MS UI Gothic"/>
          <w:w w:val="80"/>
        </w:rPr>
        <w:t>ꎮ</w:t>
      </w:r>
    </w:p>
    <w:p>
      <w:pPr>
        <w:pStyle w:val="6"/>
        <w:spacing w:line="295" w:lineRule="auto"/>
        <w:ind w:left="381" w:right="126"/>
        <w:rPr>
          <w:rFonts w:hint="eastAsia" w:ascii="MS UI Gothic" w:eastAsia="MS UI Gothic"/>
        </w:rPr>
      </w:pPr>
      <w:r>
        <w:t>生产经营单位接收中等职业学校</w:t>
      </w:r>
      <w:r>
        <w:rPr>
          <w:rFonts w:hint="eastAsia" w:ascii="MS UI Gothic" w:eastAsia="MS UI Gothic"/>
          <w:w w:val="80"/>
        </w:rPr>
        <w:t xml:space="preserve">、 </w:t>
      </w:r>
      <w:r>
        <w:t>高等学校学生实习的</w:t>
      </w:r>
      <w:r>
        <w:rPr>
          <w:rFonts w:hint="eastAsia" w:ascii="MS UI Gothic" w:eastAsia="MS UI Gothic"/>
          <w:w w:val="80"/>
        </w:rPr>
        <w:t xml:space="preserve">ꎬ </w:t>
      </w:r>
      <w:r>
        <w:t>应当对实习学生进行相应的安全生产教育和培训</w:t>
      </w:r>
      <w:r>
        <w:rPr>
          <w:rFonts w:hint="eastAsia" w:ascii="MS UI Gothic" w:eastAsia="MS UI Gothic"/>
          <w:w w:val="80"/>
        </w:rPr>
        <w:t xml:space="preserve">ꎬ </w:t>
      </w:r>
      <w:r>
        <w:t>提供必要的劳动防护用品</w:t>
      </w:r>
      <w:r>
        <w:rPr>
          <w:rFonts w:hint="eastAsia" w:ascii="MS UI Gothic" w:eastAsia="MS UI Gothic"/>
          <w:w w:val="80"/>
        </w:rPr>
        <w:t xml:space="preserve">ꎮ </w:t>
      </w:r>
      <w:r>
        <w:t>学校应当协助生产经营单位对实习学生进行安全生产教育和培训</w:t>
      </w:r>
      <w:r>
        <w:rPr>
          <w:rFonts w:hint="eastAsia" w:ascii="MS UI Gothic" w:eastAsia="MS UI Gothic"/>
          <w:w w:val="80"/>
        </w:rPr>
        <w:t>ꎮ</w:t>
      </w:r>
    </w:p>
    <w:p>
      <w:pPr>
        <w:pStyle w:val="6"/>
        <w:spacing w:line="295" w:lineRule="auto"/>
        <w:ind w:left="381" w:right="126"/>
        <w:rPr>
          <w:rFonts w:hint="eastAsia" w:ascii="MS UI Gothic" w:eastAsia="MS UI Gothic"/>
        </w:rPr>
      </w:pPr>
      <w:r>
        <w:t>从业人员安全培训的时间</w:t>
      </w:r>
      <w:r>
        <w:rPr>
          <w:rFonts w:hint="eastAsia" w:ascii="MS UI Gothic" w:eastAsia="MS UI Gothic"/>
          <w:w w:val="80"/>
        </w:rPr>
        <w:t xml:space="preserve">、 </w:t>
      </w:r>
      <w:r>
        <w:t>内容</w:t>
      </w:r>
      <w:r>
        <w:rPr>
          <w:rFonts w:hint="eastAsia" w:ascii="MS UI Gothic" w:eastAsia="MS UI Gothic"/>
          <w:w w:val="80"/>
        </w:rPr>
        <w:t xml:space="preserve">、 </w:t>
      </w:r>
      <w:r>
        <w:t>参加人员以及考核结果等情况</w:t>
      </w:r>
      <w:r>
        <w:rPr>
          <w:rFonts w:hint="eastAsia" w:ascii="MS UI Gothic" w:eastAsia="MS UI Gothic"/>
          <w:w w:val="80"/>
        </w:rPr>
        <w:t xml:space="preserve">ꎬ </w:t>
      </w:r>
      <w:r>
        <w:t>生产经营单位应当如实记录并建档备查</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t>第十一条 生产经营单位从业人员的培训内容和培训时间</w:t>
      </w:r>
      <w:r>
        <w:rPr>
          <w:rFonts w:hint="eastAsia" w:ascii="MS UI Gothic" w:hAnsi="MS UI Gothic" w:eastAsia="MS UI Gothic"/>
          <w:w w:val="80"/>
        </w:rPr>
        <w:t xml:space="preserve">ꎬ </w:t>
      </w:r>
      <w:r>
        <w:t xml:space="preserve">应当符合 </w:t>
      </w:r>
      <w:r>
        <w:rPr>
          <w:rFonts w:hint="eastAsia" w:ascii="MS UI Gothic" w:hAnsi="MS UI Gothic" w:eastAsia="MS UI Gothic"/>
          <w:w w:val="80"/>
        </w:rPr>
        <w:t xml:space="preserve">« </w:t>
      </w:r>
      <w:r>
        <w:t>生产经营单位安全培训规定</w:t>
      </w:r>
      <w:r>
        <w:rPr>
          <w:rFonts w:hint="eastAsia" w:ascii="MS UI Gothic" w:hAnsi="MS UI Gothic" w:eastAsia="MS UI Gothic"/>
          <w:w w:val="80"/>
        </w:rPr>
        <w:t xml:space="preserve">» </w:t>
      </w:r>
      <w:r>
        <w:t>和有关标准的规定</w:t>
      </w:r>
      <w:r>
        <w:rPr>
          <w:rFonts w:hint="eastAsia" w:ascii="MS UI Gothic" w:hAnsi="MS UI Gothic" w:eastAsia="MS UI Gothic"/>
          <w:w w:val="80"/>
        </w:rPr>
        <w:t>ꎮ</w:t>
      </w:r>
    </w:p>
    <w:p>
      <w:pPr>
        <w:pStyle w:val="6"/>
        <w:spacing w:line="295" w:lineRule="auto"/>
        <w:ind w:left="381" w:right="126"/>
        <w:rPr>
          <w:rFonts w:hint="eastAsia" w:ascii="MS UI Gothic" w:eastAsia="MS UI Gothic"/>
        </w:rPr>
      </w:pPr>
      <w:r>
        <w:rPr>
          <w:w w:val="105"/>
        </w:rPr>
        <w:t>第十二条 中央企业的分公司</w:t>
      </w:r>
      <w:r>
        <w:rPr>
          <w:rFonts w:hint="eastAsia" w:ascii="MS UI Gothic" w:eastAsia="MS UI Gothic"/>
          <w:w w:val="80"/>
        </w:rPr>
        <w:t xml:space="preserve">、 </w:t>
      </w:r>
      <w:r>
        <w:rPr>
          <w:w w:val="105"/>
        </w:rPr>
        <w:t>子公</w:t>
      </w:r>
      <w:r>
        <w:t>司及其所属单位和其他生产经营单位</w:t>
      </w:r>
      <w:r>
        <w:rPr>
          <w:rFonts w:hint="eastAsia" w:ascii="MS UI Gothic" w:eastAsia="MS UI Gothic"/>
          <w:w w:val="80"/>
        </w:rPr>
        <w:t xml:space="preserve">ꎬ </w:t>
      </w:r>
      <w:r>
        <w:t>发生造成人员死亡的生产安全事故的</w:t>
      </w:r>
      <w:r>
        <w:rPr>
          <w:rFonts w:hint="eastAsia" w:ascii="MS UI Gothic" w:eastAsia="MS UI Gothic"/>
          <w:w w:val="80"/>
        </w:rPr>
        <w:t xml:space="preserve">ꎬ </w:t>
      </w:r>
      <w:r>
        <w:t>其主要负责人和安全生产管理人员应当重新参</w:t>
      </w:r>
      <w:r>
        <w:rPr>
          <w:w w:val="105"/>
        </w:rPr>
        <w:t>加安全培训</w:t>
      </w:r>
      <w:r>
        <w:rPr>
          <w:rFonts w:hint="eastAsia" w:ascii="MS UI Gothic" w:eastAsia="MS UI Gothic"/>
          <w:w w:val="80"/>
        </w:rPr>
        <w:t>ꎮ</w:t>
      </w:r>
    </w:p>
    <w:p>
      <w:pPr>
        <w:pStyle w:val="6"/>
        <w:spacing w:line="252" w:lineRule="exact"/>
        <w:ind w:left="800" w:firstLine="0"/>
        <w:jc w:val="left"/>
      </w:pPr>
      <w:r>
        <w:rPr>
          <w:w w:val="105"/>
        </w:rPr>
        <w:t>特种作业人员对造成人员死亡的生产</w:t>
      </w:r>
    </w:p>
    <w:p>
      <w:pPr>
        <w:spacing w:after="0" w:line="252"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１１２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76" o:spid="_x0000_s1376" o:spt="203" style="height:2.15pt;width:398.25pt;" coordsize="7965,43">
            <o:lock v:ext="edit"/>
            <v:line id="_x0000_s1377" o:spid="_x0000_s1377" o:spt="20" style="position:absolute;left:0;top:39;height:0;width:7965;" stroked="t" coordsize="21600,21600">
              <v:path arrowok="t"/>
              <v:fill focussize="0,0"/>
              <v:stroke weight="0.388031496062992pt" color="#231F20"/>
              <v:imagedata o:title=""/>
              <o:lock v:ext="edit"/>
            </v:line>
            <v:line id="_x0000_s1378" o:spid="_x0000_s137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jc w:val="left"/>
      </w:pPr>
      <w:r>
        <w:t>安全事故负有直接责任的</w:t>
      </w:r>
      <w:r>
        <w:rPr>
          <w:rFonts w:hint="eastAsia" w:ascii="MS UI Gothic" w:eastAsia="MS UI Gothic"/>
          <w:w w:val="80"/>
        </w:rPr>
        <w:t xml:space="preserve">ꎬ </w:t>
      </w:r>
      <w:r>
        <w:t>应当按照</w:t>
      </w:r>
    </w:p>
    <w:p>
      <w:pPr>
        <w:pStyle w:val="6"/>
        <w:spacing w:before="58" w:line="295" w:lineRule="auto"/>
        <w:ind w:right="39" w:firstLine="0"/>
        <w:jc w:val="left"/>
        <w:rPr>
          <w:rFonts w:hint="eastAsia" w:ascii="MS UI Gothic" w:hAnsi="MS UI Gothic" w:eastAsia="MS UI Gothic"/>
        </w:rPr>
      </w:pPr>
      <w:r>
        <w:rPr>
          <w:rFonts w:hint="eastAsia" w:ascii="MS UI Gothic" w:hAnsi="MS UI Gothic" w:eastAsia="MS UI Gothic"/>
          <w:w w:val="80"/>
        </w:rPr>
        <w:t xml:space="preserve">« </w:t>
      </w:r>
      <w:r>
        <w:t>特种作业人员安全技术培训考核管理规定</w:t>
      </w:r>
      <w:r>
        <w:rPr>
          <w:rFonts w:hint="eastAsia" w:ascii="MS UI Gothic" w:hAnsi="MS UI Gothic" w:eastAsia="MS UI Gothic"/>
          <w:w w:val="80"/>
        </w:rPr>
        <w:t xml:space="preserve">» </w:t>
      </w:r>
      <w:r>
        <w:t>重新参加安全培训</w:t>
      </w:r>
      <w:r>
        <w:rPr>
          <w:rFonts w:hint="eastAsia" w:ascii="MS UI Gothic" w:hAnsi="MS UI Gothic" w:eastAsia="MS UI Gothic"/>
          <w:w w:val="80"/>
        </w:rPr>
        <w:t>ꎮ</w:t>
      </w:r>
    </w:p>
    <w:p>
      <w:pPr>
        <w:pStyle w:val="6"/>
        <w:spacing w:line="295" w:lineRule="auto"/>
        <w:ind w:right="39"/>
        <w:rPr>
          <w:rFonts w:hint="eastAsia" w:ascii="MS UI Gothic" w:eastAsia="MS UI Gothic"/>
        </w:rPr>
      </w:pPr>
      <w:r>
        <w:rPr>
          <w:spacing w:val="2"/>
          <w:w w:val="105"/>
        </w:rPr>
        <w:t>第十三条 国家鼓励生产经营单位实</w:t>
      </w:r>
      <w:r>
        <w:rPr>
          <w:spacing w:val="3"/>
          <w:w w:val="105"/>
        </w:rPr>
        <w:t>行师傅带徒弟制度</w:t>
      </w:r>
      <w:r>
        <w:rPr>
          <w:rFonts w:hint="eastAsia" w:ascii="MS UI Gothic" w:eastAsia="MS UI Gothic"/>
          <w:w w:val="80"/>
        </w:rPr>
        <w:t>ꎮ</w:t>
      </w:r>
    </w:p>
    <w:p>
      <w:pPr>
        <w:pStyle w:val="6"/>
        <w:spacing w:line="295" w:lineRule="auto"/>
        <w:ind w:right="38"/>
        <w:rPr>
          <w:rFonts w:hint="eastAsia" w:ascii="MS UI Gothic" w:eastAsia="MS UI Gothic"/>
        </w:rPr>
      </w:pPr>
      <w:r>
        <w:rPr>
          <w:spacing w:val="2"/>
        </w:rPr>
        <w:t>矿山新招的井下作业人员和危险物品生产经营单位新招的危险工艺操作岗位人</w:t>
      </w:r>
      <w:r>
        <w:rPr>
          <w:spacing w:val="3"/>
        </w:rPr>
        <w:t>员</w:t>
      </w:r>
      <w:r>
        <w:rPr>
          <w:rFonts w:hint="eastAsia" w:ascii="MS UI Gothic" w:eastAsia="MS UI Gothic"/>
          <w:spacing w:val="23"/>
          <w:w w:val="80"/>
        </w:rPr>
        <w:t xml:space="preserve">ꎬ </w:t>
      </w:r>
      <w:r>
        <w:rPr>
          <w:spacing w:val="3"/>
        </w:rPr>
        <w:t>除按照规定进行安全培训外</w:t>
      </w:r>
      <w:r>
        <w:rPr>
          <w:rFonts w:hint="eastAsia" w:ascii="MS UI Gothic" w:eastAsia="MS UI Gothic"/>
          <w:spacing w:val="23"/>
          <w:w w:val="80"/>
        </w:rPr>
        <w:t xml:space="preserve">ꎬ </w:t>
      </w:r>
      <w:r>
        <w:rPr>
          <w:spacing w:val="2"/>
        </w:rPr>
        <w:t>还应当</w:t>
      </w:r>
      <w:r>
        <w:rPr>
          <w:spacing w:val="1"/>
        </w:rPr>
        <w:t xml:space="preserve">在有经验的职工带领下实习满 </w:t>
      </w:r>
      <w:r>
        <w:rPr>
          <w:rFonts w:hint="eastAsia" w:ascii="MS UI Gothic" w:eastAsia="MS UI Gothic"/>
          <w:spacing w:val="17"/>
          <w:w w:val="80"/>
        </w:rPr>
        <w:t xml:space="preserve">２ </w:t>
      </w:r>
      <w:r>
        <w:rPr>
          <w:spacing w:val="9"/>
        </w:rPr>
        <w:t>个月后</w:t>
      </w:r>
      <w:r>
        <w:rPr>
          <w:rFonts w:hint="eastAsia" w:ascii="MS UI Gothic" w:eastAsia="MS UI Gothic"/>
          <w:w w:val="80"/>
        </w:rPr>
        <w:t>ꎬ</w:t>
      </w:r>
      <w:r>
        <w:rPr>
          <w:spacing w:val="3"/>
        </w:rPr>
        <w:t>方可独立上岗作业</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第十四条 国家鼓励生产经营单位招</w:t>
      </w:r>
      <w:r>
        <w:rPr>
          <w:spacing w:val="3"/>
          <w:w w:val="105"/>
        </w:rPr>
        <w:t>录职业院校毕业生</w:t>
      </w:r>
      <w:r>
        <w:rPr>
          <w:rFonts w:hint="eastAsia" w:ascii="MS UI Gothic" w:eastAsia="MS UI Gothic"/>
          <w:w w:val="80"/>
        </w:rPr>
        <w:t>ꎮ</w:t>
      </w:r>
    </w:p>
    <w:p>
      <w:pPr>
        <w:pStyle w:val="6"/>
        <w:spacing w:line="295" w:lineRule="auto"/>
        <w:ind w:right="39"/>
        <w:rPr>
          <w:rFonts w:hint="eastAsia" w:ascii="MS UI Gothic" w:eastAsia="MS UI Gothic"/>
        </w:rPr>
      </w:pPr>
      <w:r>
        <w:t>职业院校毕业生从事与所学专业相关的作业</w:t>
      </w:r>
      <w:r>
        <w:rPr>
          <w:rFonts w:hint="eastAsia" w:ascii="MS UI Gothic" w:eastAsia="MS UI Gothic"/>
          <w:w w:val="80"/>
        </w:rPr>
        <w:t xml:space="preserve">ꎬ </w:t>
      </w:r>
      <w:r>
        <w:t>可以免予参加初次培训</w:t>
      </w:r>
      <w:r>
        <w:rPr>
          <w:rFonts w:hint="eastAsia" w:ascii="MS UI Gothic" w:eastAsia="MS UI Gothic"/>
          <w:w w:val="80"/>
        </w:rPr>
        <w:t xml:space="preserve">ꎬ </w:t>
      </w:r>
      <w:r>
        <w:t>实际操作培训除外</w:t>
      </w:r>
      <w:r>
        <w:rPr>
          <w:rFonts w:hint="eastAsia" w:ascii="MS UI Gothic" w:eastAsia="MS UI Gothic"/>
          <w:w w:val="80"/>
        </w:rPr>
        <w:t>ꎮ</w:t>
      </w:r>
    </w:p>
    <w:p>
      <w:pPr>
        <w:pStyle w:val="6"/>
        <w:spacing w:line="295" w:lineRule="auto"/>
        <w:ind w:right="39"/>
        <w:rPr>
          <w:rFonts w:hint="eastAsia" w:ascii="MS UI Gothic" w:eastAsia="MS UI Gothic"/>
        </w:rPr>
      </w:pPr>
      <w:r>
        <w:t>第十五条 安全培训机构应当建立安全培训工作制度和人员培训档案</w:t>
      </w:r>
      <w:r>
        <w:rPr>
          <w:rFonts w:hint="eastAsia" w:ascii="MS UI Gothic" w:eastAsia="MS UI Gothic"/>
          <w:w w:val="80"/>
        </w:rPr>
        <w:t xml:space="preserve">ꎮ </w:t>
      </w:r>
      <w:r>
        <w:t>安全培训相关情况</w:t>
      </w:r>
      <w:r>
        <w:rPr>
          <w:rFonts w:hint="eastAsia" w:ascii="MS UI Gothic" w:eastAsia="MS UI Gothic"/>
          <w:w w:val="80"/>
        </w:rPr>
        <w:t xml:space="preserve">ꎬ </w:t>
      </w:r>
      <w:r>
        <w:t>应当如实记录并建档备查</w:t>
      </w:r>
      <w:r>
        <w:rPr>
          <w:rFonts w:hint="eastAsia" w:ascii="MS UI Gothic" w:eastAsia="MS UI Gothic"/>
          <w:w w:val="80"/>
        </w:rPr>
        <w:t>ꎮ</w:t>
      </w:r>
    </w:p>
    <w:p>
      <w:pPr>
        <w:pStyle w:val="6"/>
        <w:spacing w:line="295" w:lineRule="auto"/>
        <w:ind w:right="39"/>
        <w:rPr>
          <w:rFonts w:hint="eastAsia" w:ascii="MS UI Gothic" w:eastAsia="MS UI Gothic"/>
        </w:rPr>
      </w:pPr>
      <w:r>
        <w:t>第十六条 安全培训机构从事安全培训工作的收费</w:t>
      </w:r>
      <w:r>
        <w:rPr>
          <w:rFonts w:hint="eastAsia" w:ascii="MS UI Gothic" w:eastAsia="MS UI Gothic"/>
          <w:w w:val="80"/>
        </w:rPr>
        <w:t xml:space="preserve">ꎬ </w:t>
      </w:r>
      <w:r>
        <w:t>应当符合法律</w:t>
      </w:r>
      <w:r>
        <w:rPr>
          <w:rFonts w:hint="eastAsia" w:ascii="MS UI Gothic" w:eastAsia="MS UI Gothic"/>
          <w:w w:val="80"/>
        </w:rPr>
        <w:t xml:space="preserve">、 </w:t>
      </w:r>
      <w:r>
        <w:t>法规的规定</w:t>
      </w:r>
      <w:r>
        <w:rPr>
          <w:rFonts w:hint="eastAsia" w:ascii="MS UI Gothic" w:eastAsia="MS UI Gothic"/>
          <w:w w:val="80"/>
        </w:rPr>
        <w:t xml:space="preserve">ꎮ </w:t>
      </w:r>
      <w:r>
        <w:t>法律</w:t>
      </w:r>
      <w:r>
        <w:rPr>
          <w:rFonts w:hint="eastAsia" w:ascii="MS UI Gothic" w:eastAsia="MS UI Gothic"/>
          <w:w w:val="80"/>
        </w:rPr>
        <w:t xml:space="preserve">、 </w:t>
      </w:r>
      <w:r>
        <w:t>法规没有规定的</w:t>
      </w:r>
      <w:r>
        <w:rPr>
          <w:rFonts w:hint="eastAsia" w:ascii="MS UI Gothic" w:eastAsia="MS UI Gothic"/>
          <w:w w:val="80"/>
        </w:rPr>
        <w:t xml:space="preserve">ꎬ </w:t>
      </w:r>
      <w:r>
        <w:t>应当按照行业自律标准或者指导性标准收费</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第十七条 国家鼓励安全培训机构和</w:t>
      </w:r>
      <w:r>
        <w:t>生产经营单位利用现代信息技术开展安全</w:t>
      </w:r>
      <w:r>
        <w:rPr>
          <w:w w:val="105"/>
        </w:rPr>
        <w:t>培训</w:t>
      </w:r>
      <w:r>
        <w:rPr>
          <w:rFonts w:hint="eastAsia" w:ascii="MS UI Gothic" w:eastAsia="MS UI Gothic"/>
          <w:w w:val="80"/>
        </w:rPr>
        <w:t xml:space="preserve">ꎬ </w:t>
      </w:r>
      <w:r>
        <w:rPr>
          <w:w w:val="105"/>
        </w:rPr>
        <w:t>包括远程培训</w:t>
      </w:r>
      <w:r>
        <w:rPr>
          <w:rFonts w:hint="eastAsia" w:ascii="MS UI Gothic" w:eastAsia="MS UI Gothic"/>
          <w:w w:val="80"/>
        </w:rPr>
        <w:t>ꎮ</w:t>
      </w:r>
    </w:p>
    <w:p>
      <w:pPr>
        <w:pStyle w:val="6"/>
        <w:tabs>
          <w:tab w:val="left" w:pos="1696"/>
        </w:tabs>
        <w:spacing w:before="138"/>
        <w:ind w:left="858" w:firstLine="0"/>
        <w:jc w:val="left"/>
      </w:pPr>
      <w:r>
        <w:rPr>
          <w:spacing w:val="3"/>
          <w:w w:val="105"/>
        </w:rPr>
        <w:t>第三</w:t>
      </w:r>
      <w:r>
        <w:rPr>
          <w:w w:val="105"/>
        </w:rPr>
        <w:t>章</w:t>
      </w:r>
      <w:r>
        <w:rPr>
          <w:w w:val="105"/>
        </w:rPr>
        <w:tab/>
      </w:r>
      <w:r>
        <w:rPr>
          <w:spacing w:val="3"/>
          <w:w w:val="105"/>
        </w:rPr>
        <w:t>安全培训的考</w:t>
      </w:r>
      <w:r>
        <w:rPr>
          <w:w w:val="105"/>
        </w:rPr>
        <w:t>核</w:t>
      </w:r>
    </w:p>
    <w:p>
      <w:pPr>
        <w:pStyle w:val="6"/>
        <w:spacing w:before="216" w:line="295" w:lineRule="auto"/>
        <w:ind w:right="39"/>
        <w:rPr>
          <w:rFonts w:hint="eastAsia" w:ascii="MS UI Gothic" w:eastAsia="MS UI Gothic"/>
        </w:rPr>
      </w:pPr>
      <w:r>
        <w:rPr>
          <w:w w:val="105"/>
        </w:rPr>
        <w:t>第十八条 安全监管监察人员</w:t>
      </w:r>
      <w:r>
        <w:rPr>
          <w:rFonts w:hint="eastAsia" w:ascii="MS UI Gothic" w:eastAsia="MS UI Gothic"/>
          <w:w w:val="80"/>
        </w:rPr>
        <w:t xml:space="preserve">、 </w:t>
      </w:r>
      <w:r>
        <w:rPr>
          <w:w w:val="105"/>
        </w:rPr>
        <w:t>从事安全生产工作的相关人员</w:t>
      </w:r>
      <w:r>
        <w:rPr>
          <w:rFonts w:hint="eastAsia" w:ascii="MS UI Gothic" w:eastAsia="MS UI Gothic"/>
          <w:w w:val="80"/>
        </w:rPr>
        <w:t xml:space="preserve">、 </w:t>
      </w:r>
      <w:r>
        <w:rPr>
          <w:w w:val="105"/>
        </w:rPr>
        <w:t>依照有关法律</w:t>
      </w:r>
      <w:r>
        <w:t>法规应当接受安全生产知识和管理能力考核的生产经营单位主要负责人和安全生产</w:t>
      </w:r>
      <w:r>
        <w:rPr>
          <w:w w:val="105"/>
        </w:rPr>
        <w:t>管理人员</w:t>
      </w:r>
      <w:r>
        <w:rPr>
          <w:rFonts w:hint="eastAsia" w:ascii="MS UI Gothic" w:eastAsia="MS UI Gothic"/>
          <w:w w:val="80"/>
        </w:rPr>
        <w:t xml:space="preserve">、 </w:t>
      </w:r>
      <w:r>
        <w:rPr>
          <w:w w:val="105"/>
        </w:rPr>
        <w:t>特种作业人员的安全培训的考核</w:t>
      </w:r>
      <w:r>
        <w:rPr>
          <w:rFonts w:hint="eastAsia" w:ascii="MS UI Gothic" w:eastAsia="MS UI Gothic"/>
          <w:w w:val="80"/>
        </w:rPr>
        <w:t xml:space="preserve">ꎬ </w:t>
      </w:r>
      <w:r>
        <w:rPr>
          <w:w w:val="105"/>
        </w:rPr>
        <w:t>应当坚持教考分离</w:t>
      </w:r>
      <w:r>
        <w:rPr>
          <w:rFonts w:hint="eastAsia" w:ascii="MS UI Gothic" w:eastAsia="MS UI Gothic"/>
          <w:w w:val="80"/>
        </w:rPr>
        <w:t xml:space="preserve">、 </w:t>
      </w:r>
      <w:r>
        <w:rPr>
          <w:w w:val="105"/>
        </w:rPr>
        <w:t>统一标准</w:t>
      </w:r>
      <w:r>
        <w:rPr>
          <w:rFonts w:hint="eastAsia" w:ascii="MS UI Gothic" w:eastAsia="MS UI Gothic"/>
          <w:w w:val="80"/>
        </w:rPr>
        <w:t xml:space="preserve">、 </w:t>
      </w:r>
      <w:r>
        <w:rPr>
          <w:w w:val="105"/>
        </w:rPr>
        <w:t>统一题库</w:t>
      </w:r>
      <w:r>
        <w:rPr>
          <w:rFonts w:hint="eastAsia" w:ascii="MS UI Gothic" w:eastAsia="MS UI Gothic"/>
          <w:w w:val="80"/>
        </w:rPr>
        <w:t xml:space="preserve">、 </w:t>
      </w:r>
      <w:r>
        <w:rPr>
          <w:w w:val="105"/>
        </w:rPr>
        <w:t>分级负责的原则</w:t>
      </w:r>
      <w:r>
        <w:rPr>
          <w:rFonts w:hint="eastAsia" w:ascii="MS UI Gothic" w:eastAsia="MS UI Gothic"/>
          <w:w w:val="80"/>
        </w:rPr>
        <w:t xml:space="preserve">ꎬ </w:t>
      </w:r>
      <w:r>
        <w:rPr>
          <w:w w:val="105"/>
        </w:rPr>
        <w:t>分步推行有远程视频监控的计算机考试</w:t>
      </w:r>
      <w:r>
        <w:rPr>
          <w:rFonts w:hint="eastAsia" w:ascii="MS UI Gothic" w:eastAsia="MS UI Gothic"/>
          <w:w w:val="80"/>
        </w:rPr>
        <w:t>ꎮ</w:t>
      </w:r>
    </w:p>
    <w:p>
      <w:pPr>
        <w:pStyle w:val="6"/>
        <w:spacing w:line="295" w:lineRule="auto"/>
        <w:ind w:right="39"/>
      </w:pPr>
      <w:r>
        <w:t>第十九条 安全监管监察人员</w:t>
      </w:r>
      <w:r>
        <w:rPr>
          <w:rFonts w:hint="eastAsia" w:ascii="MS UI Gothic" w:eastAsia="MS UI Gothic"/>
          <w:w w:val="80"/>
        </w:rPr>
        <w:t xml:space="preserve">ꎬ </w:t>
      </w:r>
      <w:r>
        <w:t>危险物品的生产</w:t>
      </w:r>
      <w:r>
        <w:rPr>
          <w:rFonts w:hint="eastAsia" w:ascii="MS UI Gothic" w:eastAsia="MS UI Gothic"/>
          <w:w w:val="80"/>
        </w:rPr>
        <w:t xml:space="preserve">、 </w:t>
      </w:r>
      <w:r>
        <w:t>经营</w:t>
      </w:r>
      <w:r>
        <w:rPr>
          <w:rFonts w:hint="eastAsia" w:ascii="MS UI Gothic" w:eastAsia="MS UI Gothic"/>
          <w:w w:val="80"/>
        </w:rPr>
        <w:t xml:space="preserve">、  </w:t>
      </w:r>
      <w:r>
        <w:t>储存单位及非煤矿山</w:t>
      </w:r>
      <w:r>
        <w:rPr>
          <w:rFonts w:hint="eastAsia" w:ascii="MS UI Gothic" w:eastAsia="MS UI Gothic"/>
          <w:w w:val="80"/>
        </w:rPr>
        <w:t xml:space="preserve">、 </w:t>
      </w:r>
      <w:r>
        <w:t>金属冶炼单位主要负责人</w:t>
      </w:r>
      <w:r>
        <w:rPr>
          <w:rFonts w:hint="eastAsia" w:ascii="MS UI Gothic" w:eastAsia="MS UI Gothic"/>
          <w:w w:val="80"/>
        </w:rPr>
        <w:t xml:space="preserve">、 </w:t>
      </w:r>
      <w:r>
        <w:t>安全生产管理人员和特种作业人员</w:t>
      </w:r>
      <w:r>
        <w:rPr>
          <w:rFonts w:hint="eastAsia" w:ascii="MS UI Gothic" w:eastAsia="MS UI Gothic"/>
          <w:w w:val="80"/>
        </w:rPr>
        <w:t xml:space="preserve">ꎬ </w:t>
      </w:r>
      <w:r>
        <w:t>以及从事安全</w:t>
      </w:r>
    </w:p>
    <w:p>
      <w:pPr>
        <w:pStyle w:val="6"/>
        <w:spacing w:before="123" w:line="295" w:lineRule="auto"/>
        <w:ind w:right="442" w:firstLine="0"/>
        <w:rPr>
          <w:rFonts w:hint="eastAsia" w:ascii="MS UI Gothic" w:eastAsia="MS UI Gothic"/>
        </w:rPr>
      </w:pPr>
      <w:r>
        <w:br w:type="column"/>
      </w:r>
      <w:r>
        <w:t>生产工作的相关人员的考核标准</w:t>
      </w:r>
      <w:r>
        <w:rPr>
          <w:rFonts w:hint="eastAsia" w:ascii="MS UI Gothic" w:eastAsia="MS UI Gothic"/>
          <w:w w:val="80"/>
        </w:rPr>
        <w:t xml:space="preserve">ꎬ </w:t>
      </w:r>
      <w:r>
        <w:t>由国家安全监管总局统一制定</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煤矿企业的主要负责人</w:t>
      </w:r>
      <w:r>
        <w:rPr>
          <w:rFonts w:hint="eastAsia" w:ascii="MS UI Gothic" w:eastAsia="MS UI Gothic"/>
          <w:spacing w:val="12"/>
          <w:w w:val="80"/>
        </w:rPr>
        <w:t xml:space="preserve">、 </w:t>
      </w:r>
      <w:r>
        <w:rPr>
          <w:spacing w:val="2"/>
        </w:rPr>
        <w:t>安全生产管</w:t>
      </w:r>
      <w:r>
        <w:rPr>
          <w:spacing w:val="3"/>
        </w:rPr>
        <w:t>理人员和特种作业人员的考核标准</w:t>
      </w:r>
      <w:r>
        <w:rPr>
          <w:rFonts w:hint="eastAsia" w:ascii="MS UI Gothic" w:eastAsia="MS UI Gothic"/>
          <w:spacing w:val="20"/>
          <w:w w:val="80"/>
        </w:rPr>
        <w:t xml:space="preserve">ꎬ </w:t>
      </w:r>
      <w:r>
        <w:rPr>
          <w:spacing w:val="1"/>
        </w:rPr>
        <w:t>由国</w:t>
      </w:r>
      <w:r>
        <w:rPr>
          <w:spacing w:val="3"/>
        </w:rPr>
        <w:t>家煤矿安监局制定</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除危险物品的生产</w:t>
      </w:r>
      <w:r>
        <w:rPr>
          <w:rFonts w:hint="eastAsia" w:ascii="MS UI Gothic" w:eastAsia="MS UI Gothic"/>
          <w:spacing w:val="20"/>
          <w:w w:val="80"/>
        </w:rPr>
        <w:t xml:space="preserve">、 </w:t>
      </w:r>
      <w:r>
        <w:rPr>
          <w:spacing w:val="3"/>
        </w:rPr>
        <w:t>经营</w:t>
      </w:r>
      <w:r>
        <w:rPr>
          <w:rFonts w:hint="eastAsia" w:ascii="MS UI Gothic" w:eastAsia="MS UI Gothic"/>
          <w:spacing w:val="20"/>
          <w:w w:val="80"/>
        </w:rPr>
        <w:t xml:space="preserve">、 </w:t>
      </w:r>
      <w:r>
        <w:rPr>
          <w:spacing w:val="2"/>
        </w:rPr>
        <w:t>储存单位</w:t>
      </w:r>
      <w:r>
        <w:rPr>
          <w:spacing w:val="3"/>
        </w:rPr>
        <w:t>和矿山</w:t>
      </w:r>
      <w:r>
        <w:rPr>
          <w:rFonts w:hint="eastAsia" w:ascii="MS UI Gothic" w:eastAsia="MS UI Gothic"/>
          <w:spacing w:val="16"/>
          <w:w w:val="80"/>
        </w:rPr>
        <w:t xml:space="preserve">、 </w:t>
      </w:r>
      <w:r>
        <w:rPr>
          <w:spacing w:val="2"/>
        </w:rPr>
        <w:t>金属冶炼单位以外其他生产经营</w:t>
      </w:r>
      <w:r>
        <w:rPr>
          <w:spacing w:val="3"/>
        </w:rPr>
        <w:t>单位主要负责人</w:t>
      </w:r>
      <w:r>
        <w:rPr>
          <w:rFonts w:hint="eastAsia" w:ascii="MS UI Gothic" w:eastAsia="MS UI Gothic"/>
          <w:spacing w:val="16"/>
          <w:w w:val="80"/>
        </w:rPr>
        <w:t xml:space="preserve">、 </w:t>
      </w:r>
      <w:r>
        <w:rPr>
          <w:spacing w:val="2"/>
        </w:rPr>
        <w:t>安全生产管理人员及其</w:t>
      </w:r>
      <w:r>
        <w:rPr>
          <w:spacing w:val="3"/>
        </w:rPr>
        <w:t>他从业人员的考核标准</w:t>
      </w:r>
      <w:r>
        <w:rPr>
          <w:rFonts w:hint="eastAsia" w:ascii="MS UI Gothic" w:eastAsia="MS UI Gothic"/>
          <w:spacing w:val="20"/>
          <w:w w:val="80"/>
        </w:rPr>
        <w:t xml:space="preserve">ꎬ </w:t>
      </w:r>
      <w:r>
        <w:rPr>
          <w:spacing w:val="2"/>
        </w:rPr>
        <w:t>由省级安全生产</w:t>
      </w:r>
      <w:r>
        <w:rPr>
          <w:spacing w:val="3"/>
        </w:rPr>
        <w:t>监督管理部门制定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第二十条 国家安全监管总局负责省</w:t>
      </w:r>
      <w:r>
        <w:t>级以上安全生产监督管理部门的安全生产</w:t>
      </w:r>
      <w:r>
        <w:rPr>
          <w:w w:val="105"/>
        </w:rPr>
        <w:t>监管人员</w:t>
      </w:r>
      <w:r>
        <w:rPr>
          <w:rFonts w:hint="eastAsia" w:ascii="MS UI Gothic" w:eastAsia="MS UI Gothic"/>
          <w:w w:val="80"/>
        </w:rPr>
        <w:t xml:space="preserve">、 </w:t>
      </w:r>
      <w:r>
        <w:rPr>
          <w:w w:val="105"/>
        </w:rPr>
        <w:t>各级煤矿安全监察机构的煤矿</w:t>
      </w:r>
      <w:r>
        <w:t>安全监察人员的考核</w:t>
      </w:r>
      <w:r>
        <w:rPr>
          <w:rFonts w:hint="eastAsia" w:ascii="MS UI Gothic" w:eastAsia="MS UI Gothic"/>
          <w:w w:val="80"/>
        </w:rPr>
        <w:t xml:space="preserve">ꎻ </w:t>
      </w:r>
      <w:r>
        <w:t>负责中央企业的总</w:t>
      </w:r>
      <w:r>
        <w:rPr>
          <w:w w:val="105"/>
        </w:rPr>
        <w:t>公司</w:t>
      </w:r>
      <w:r>
        <w:rPr>
          <w:rFonts w:hint="eastAsia" w:ascii="MS UI Gothic" w:eastAsia="MS UI Gothic"/>
          <w:w w:val="80"/>
        </w:rPr>
        <w:t xml:space="preserve">、 </w:t>
      </w:r>
      <w:r>
        <w:rPr>
          <w:w w:val="105"/>
        </w:rPr>
        <w:t>总厂或者集团公司的主要负责人和安全生产管理人员的考核</w:t>
      </w:r>
      <w:r>
        <w:rPr>
          <w:rFonts w:hint="eastAsia" w:ascii="MS UI Gothic" w:eastAsia="MS UI Gothic"/>
          <w:w w:val="80"/>
        </w:rPr>
        <w:t>ꎮ</w:t>
      </w:r>
    </w:p>
    <w:p>
      <w:pPr>
        <w:pStyle w:val="6"/>
        <w:spacing w:line="295" w:lineRule="auto"/>
        <w:ind w:right="442"/>
        <w:rPr>
          <w:rFonts w:hint="eastAsia" w:ascii="MS UI Gothic" w:eastAsia="MS UI Gothic"/>
        </w:rPr>
      </w:pPr>
      <w:r>
        <w:t>省级安全生产监督管理部门负责市</w:t>
      </w:r>
      <w:r>
        <w:rPr>
          <w:w w:val="105"/>
        </w:rPr>
        <w:t>级</w:t>
      </w:r>
      <w:r>
        <w:rPr>
          <w:rFonts w:hint="eastAsia" w:ascii="MS UI Gothic" w:eastAsia="MS UI Gothic"/>
          <w:w w:val="80"/>
        </w:rPr>
        <w:t xml:space="preserve">、 </w:t>
      </w:r>
      <w:r>
        <w:rPr>
          <w:w w:val="105"/>
        </w:rPr>
        <w:t>县级安全生产监督管理部门的安全生</w:t>
      </w:r>
      <w:r>
        <w:t>产监管人员的考核</w:t>
      </w:r>
      <w:r>
        <w:rPr>
          <w:rFonts w:hint="eastAsia" w:ascii="MS UI Gothic" w:eastAsia="MS UI Gothic"/>
          <w:w w:val="80"/>
        </w:rPr>
        <w:t xml:space="preserve">ꎻ </w:t>
      </w:r>
      <w:r>
        <w:t>负责省属生产经营单</w:t>
      </w:r>
      <w:r>
        <w:rPr>
          <w:w w:val="105"/>
        </w:rPr>
        <w:t>位和中央企业分公司</w:t>
      </w:r>
      <w:r>
        <w:rPr>
          <w:rFonts w:hint="eastAsia" w:ascii="MS UI Gothic" w:eastAsia="MS UI Gothic"/>
          <w:w w:val="80"/>
        </w:rPr>
        <w:t xml:space="preserve">、 </w:t>
      </w:r>
      <w:r>
        <w:rPr>
          <w:w w:val="105"/>
        </w:rPr>
        <w:t>子公司及其所属单</w:t>
      </w:r>
      <w:r>
        <w:t>位的主要负责人和安全生产管理人员的考</w:t>
      </w:r>
      <w:r>
        <w:rPr>
          <w:w w:val="105"/>
        </w:rPr>
        <w:t>核</w:t>
      </w:r>
      <w:r>
        <w:rPr>
          <w:rFonts w:hint="eastAsia" w:ascii="MS UI Gothic" w:eastAsia="MS UI Gothic"/>
          <w:w w:val="80"/>
        </w:rPr>
        <w:t xml:space="preserve">ꎻ </w:t>
      </w:r>
      <w:r>
        <w:rPr>
          <w:w w:val="105"/>
        </w:rPr>
        <w:t>负责特种作业人员的考核</w:t>
      </w:r>
      <w:r>
        <w:rPr>
          <w:rFonts w:hint="eastAsia" w:ascii="MS UI Gothic" w:eastAsia="MS UI Gothic"/>
          <w:w w:val="80"/>
        </w:rPr>
        <w:t>ꎮ</w:t>
      </w:r>
    </w:p>
    <w:p>
      <w:pPr>
        <w:pStyle w:val="6"/>
        <w:spacing w:line="295" w:lineRule="auto"/>
        <w:ind w:right="442"/>
        <w:rPr>
          <w:rFonts w:hint="eastAsia" w:ascii="MS UI Gothic" w:eastAsia="MS UI Gothic"/>
        </w:rPr>
      </w:pPr>
      <w:r>
        <w:t>市级安全生产监督管理部门负责本行</w:t>
      </w:r>
      <w:r>
        <w:rPr>
          <w:w w:val="105"/>
        </w:rPr>
        <w:t>政区域内除中央企业</w:t>
      </w:r>
      <w:r>
        <w:rPr>
          <w:rFonts w:hint="eastAsia" w:ascii="MS UI Gothic" w:eastAsia="MS UI Gothic"/>
          <w:w w:val="80"/>
        </w:rPr>
        <w:t xml:space="preserve">、 </w:t>
      </w:r>
      <w:r>
        <w:rPr>
          <w:w w:val="105"/>
        </w:rPr>
        <w:t>省属生产经营单位</w:t>
      </w:r>
      <w:r>
        <w:t>以外的其他生产经营单位的主要负责人和</w:t>
      </w:r>
      <w:r>
        <w:rPr>
          <w:w w:val="105"/>
        </w:rPr>
        <w:t>安全生产管理人员的考核</w:t>
      </w:r>
      <w:r>
        <w:rPr>
          <w:rFonts w:hint="eastAsia" w:ascii="MS UI Gothic" w:eastAsia="MS UI Gothic"/>
          <w:w w:val="80"/>
        </w:rPr>
        <w:t>ꎮ</w:t>
      </w:r>
    </w:p>
    <w:p>
      <w:pPr>
        <w:pStyle w:val="6"/>
        <w:spacing w:line="295" w:lineRule="auto"/>
        <w:ind w:right="442"/>
        <w:rPr>
          <w:rFonts w:hint="eastAsia" w:ascii="MS UI Gothic" w:eastAsia="MS UI Gothic"/>
        </w:rPr>
      </w:pPr>
      <w:r>
        <w:t>省级煤矿安全培训监管机构负责所辖</w:t>
      </w:r>
      <w:r>
        <w:rPr>
          <w:w w:val="105"/>
        </w:rPr>
        <w:t>区域内煤矿企业的主要负责人</w:t>
      </w:r>
      <w:r>
        <w:rPr>
          <w:rFonts w:hint="eastAsia" w:ascii="MS UI Gothic" w:eastAsia="MS UI Gothic"/>
          <w:w w:val="80"/>
        </w:rPr>
        <w:t xml:space="preserve">、 </w:t>
      </w:r>
      <w:r>
        <w:rPr>
          <w:w w:val="105"/>
        </w:rPr>
        <w:t>安全生产管理人员和特种作业人员的考核</w:t>
      </w:r>
      <w:r>
        <w:rPr>
          <w:rFonts w:hint="eastAsia" w:ascii="MS UI Gothic" w:eastAsia="MS UI Gothic"/>
          <w:w w:val="80"/>
        </w:rPr>
        <w:t>ꎮ</w:t>
      </w:r>
    </w:p>
    <w:p>
      <w:pPr>
        <w:pStyle w:val="6"/>
        <w:spacing w:line="295" w:lineRule="auto"/>
        <w:ind w:right="440"/>
        <w:rPr>
          <w:rFonts w:hint="eastAsia" w:ascii="MS UI Gothic" w:eastAsia="MS UI Gothic"/>
        </w:rPr>
      </w:pPr>
      <w:r>
        <w:t>除主要负责人</w:t>
      </w:r>
      <w:r>
        <w:rPr>
          <w:rFonts w:hint="eastAsia" w:ascii="MS UI Gothic" w:eastAsia="MS UI Gothic"/>
          <w:w w:val="80"/>
        </w:rPr>
        <w:t xml:space="preserve">、 </w:t>
      </w:r>
      <w:r>
        <w:t>安全生产管理人员</w:t>
      </w:r>
      <w:r>
        <w:rPr>
          <w:rFonts w:hint="eastAsia" w:ascii="MS UI Gothic" w:eastAsia="MS UI Gothic"/>
          <w:w w:val="80"/>
        </w:rPr>
        <w:t>、</w:t>
      </w:r>
      <w:r>
        <w:t>特种作业人员以外的生产经营单位的其他从业人员的考核</w:t>
      </w:r>
      <w:r>
        <w:rPr>
          <w:rFonts w:hint="eastAsia" w:ascii="MS UI Gothic" w:eastAsia="MS UI Gothic"/>
          <w:w w:val="80"/>
        </w:rPr>
        <w:t xml:space="preserve">ꎬ </w:t>
      </w:r>
      <w:r>
        <w:t>由生产经营单位按照省级安全生产监督管理部门公布的考核标准</w:t>
      </w:r>
      <w:r>
        <w:rPr>
          <w:rFonts w:hint="eastAsia" w:ascii="MS UI Gothic" w:eastAsia="MS UI Gothic"/>
          <w:w w:val="80"/>
        </w:rPr>
        <w:t xml:space="preserve">ꎬ </w:t>
      </w:r>
      <w:r>
        <w:t>自行组织考核</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第二十一条 安全生产监督管理部门</w:t>
      </w:r>
      <w:r>
        <w:rPr>
          <w:rFonts w:hint="eastAsia" w:ascii="MS UI Gothic" w:eastAsia="MS UI Gothic"/>
          <w:w w:val="80"/>
        </w:rPr>
        <w:t xml:space="preserve">、 </w:t>
      </w:r>
      <w:r>
        <w:rPr>
          <w:w w:val="105"/>
        </w:rPr>
        <w:t>煤矿安全培训监管机构和生产经营单</w:t>
      </w:r>
      <w:r>
        <w:t>位应当制定安全培训的考核制度</w:t>
      </w:r>
      <w:r>
        <w:rPr>
          <w:rFonts w:hint="eastAsia" w:ascii="MS UI Gothic" w:eastAsia="MS UI Gothic"/>
          <w:w w:val="80"/>
        </w:rPr>
        <w:t xml:space="preserve">ꎬ </w:t>
      </w:r>
      <w:r>
        <w:t>建立考</w:t>
      </w:r>
      <w:r>
        <w:rPr>
          <w:w w:val="105"/>
        </w:rPr>
        <w:t>核管理档案备查</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１１３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79" o:spid="_x0000_s1379" o:spt="203" style="height:2.15pt;width:398.25pt;" coordsize="7965,43">
            <o:lock v:ext="edit"/>
            <v:line id="_x0000_s1380" o:spid="_x0000_s1380" o:spt="20" style="position:absolute;left:0;top:39;height:0;width:7965;" stroked="t" coordsize="21600,21600">
              <v:path arrowok="t"/>
              <v:fill focussize="0,0"/>
              <v:stroke weight="0.388031496062992pt" color="#231F20"/>
              <v:imagedata o:title=""/>
              <o:lock v:ext="edit"/>
            </v:line>
            <v:line id="_x0000_s1381" o:spid="_x0000_s138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9"/>
        <w:ind w:left="0" w:firstLine="0"/>
        <w:jc w:val="left"/>
        <w:rPr>
          <w:rFonts w:ascii="MS UI Gothic"/>
        </w:rPr>
      </w:pPr>
    </w:p>
    <w:p>
      <w:pPr>
        <w:spacing w:after="0"/>
        <w:jc w:val="left"/>
        <w:rPr>
          <w:rFonts w:ascii="MS UI Gothic"/>
        </w:rPr>
        <w:sectPr>
          <w:type w:val="continuous"/>
          <w:pgSz w:w="10500" w:h="14750"/>
          <w:pgMar w:top="1400" w:right="980" w:bottom="280" w:left="980" w:header="720" w:footer="720" w:gutter="0"/>
        </w:sectPr>
      </w:pPr>
    </w:p>
    <w:p>
      <w:pPr>
        <w:pStyle w:val="6"/>
        <w:tabs>
          <w:tab w:val="left" w:pos="2012"/>
        </w:tabs>
        <w:spacing w:before="85"/>
        <w:ind w:left="1174" w:firstLine="0"/>
        <w:jc w:val="left"/>
      </w:pPr>
      <w:r>
        <w:rPr>
          <w:spacing w:val="3"/>
          <w:w w:val="105"/>
        </w:rPr>
        <w:t>第四</w:t>
      </w:r>
      <w:r>
        <w:rPr>
          <w:w w:val="105"/>
        </w:rPr>
        <w:t>章</w:t>
      </w:r>
      <w:r>
        <w:rPr>
          <w:w w:val="105"/>
        </w:rPr>
        <w:tab/>
      </w:r>
      <w:r>
        <w:rPr>
          <w:spacing w:val="3"/>
          <w:w w:val="105"/>
        </w:rPr>
        <w:t>安全培训的发</w:t>
      </w:r>
      <w:r>
        <w:rPr>
          <w:w w:val="105"/>
        </w:rPr>
        <w:t>证</w:t>
      </w:r>
    </w:p>
    <w:p>
      <w:pPr>
        <w:pStyle w:val="6"/>
        <w:spacing w:before="215" w:line="295" w:lineRule="auto"/>
        <w:ind w:left="440" w:right="1"/>
        <w:rPr>
          <w:rFonts w:hint="eastAsia" w:ascii="MS UI Gothic" w:eastAsia="MS UI Gothic"/>
        </w:rPr>
      </w:pPr>
      <w:r>
        <w:rPr>
          <w:spacing w:val="4"/>
        </w:rPr>
        <w:t>第二十二条 接受安全培训人员经考核合格的</w:t>
      </w:r>
      <w:r>
        <w:rPr>
          <w:rFonts w:hint="eastAsia" w:ascii="MS UI Gothic" w:eastAsia="MS UI Gothic"/>
          <w:spacing w:val="2"/>
          <w:w w:val="85"/>
        </w:rPr>
        <w:t xml:space="preserve">ꎬ </w:t>
      </w:r>
      <w:r>
        <w:rPr>
          <w:spacing w:val="8"/>
        </w:rPr>
        <w:t xml:space="preserve">由考核部门在考核结束后 </w:t>
      </w:r>
      <w:r>
        <w:rPr>
          <w:rFonts w:hint="eastAsia" w:ascii="MS UI Gothic" w:eastAsia="MS UI Gothic"/>
          <w:w w:val="85"/>
        </w:rPr>
        <w:t xml:space="preserve">１０ </w:t>
      </w:r>
      <w:r>
        <w:rPr>
          <w:spacing w:val="3"/>
        </w:rPr>
        <w:t>个工作日内颁发相应的证书</w:t>
      </w:r>
      <w:r>
        <w:rPr>
          <w:rFonts w:hint="eastAsia" w:ascii="MS UI Gothic" w:eastAsia="MS UI Gothic"/>
          <w:w w:val="85"/>
        </w:rPr>
        <w:t>ꎮ</w:t>
      </w:r>
    </w:p>
    <w:p>
      <w:pPr>
        <w:pStyle w:val="6"/>
        <w:spacing w:line="295" w:lineRule="auto"/>
        <w:ind w:left="440" w:right="1"/>
        <w:rPr>
          <w:rFonts w:hint="eastAsia" w:ascii="MS UI Gothic" w:hAnsi="MS UI Gothic" w:eastAsia="MS UI Gothic"/>
        </w:rPr>
      </w:pPr>
      <w:r>
        <w:rPr>
          <w:spacing w:val="4"/>
        </w:rPr>
        <w:t>第二十三条 安全生产监管人员经考</w:t>
      </w:r>
      <w:r>
        <w:rPr>
          <w:spacing w:val="3"/>
        </w:rPr>
        <w:t>核合格后</w:t>
      </w:r>
      <w:r>
        <w:rPr>
          <w:rFonts w:hint="eastAsia" w:ascii="MS UI Gothic" w:hAnsi="MS UI Gothic" w:eastAsia="MS UI Gothic"/>
          <w:spacing w:val="23"/>
          <w:w w:val="80"/>
        </w:rPr>
        <w:t xml:space="preserve">ꎬ </w:t>
      </w:r>
      <w:r>
        <w:rPr>
          <w:spacing w:val="3"/>
        </w:rPr>
        <w:t>颁发安全生产监管执法证</w:t>
      </w:r>
      <w:r>
        <w:rPr>
          <w:rFonts w:hint="eastAsia" w:ascii="MS UI Gothic" w:hAnsi="MS UI Gothic" w:eastAsia="MS UI Gothic"/>
          <w:spacing w:val="23"/>
          <w:w w:val="80"/>
        </w:rPr>
        <w:t xml:space="preserve">ꎻ </w:t>
      </w:r>
      <w:r>
        <w:t>煤</w:t>
      </w:r>
      <w:r>
        <w:rPr>
          <w:spacing w:val="3"/>
        </w:rPr>
        <w:t>矿安全监察人员经考核合格后</w:t>
      </w:r>
      <w:r>
        <w:rPr>
          <w:rFonts w:hint="eastAsia" w:ascii="MS UI Gothic" w:hAnsi="MS UI Gothic" w:eastAsia="MS UI Gothic"/>
          <w:spacing w:val="21"/>
          <w:w w:val="80"/>
        </w:rPr>
        <w:t xml:space="preserve">ꎬ </w:t>
      </w:r>
      <w:r>
        <w:rPr>
          <w:spacing w:val="2"/>
        </w:rPr>
        <w:t>颁发煤矿</w:t>
      </w:r>
      <w:r>
        <w:rPr>
          <w:spacing w:val="11"/>
        </w:rPr>
        <w:t>安全监察执法证</w:t>
      </w:r>
      <w:r>
        <w:rPr>
          <w:rFonts w:hint="eastAsia" w:ascii="MS UI Gothic" w:hAnsi="MS UI Gothic" w:eastAsia="MS UI Gothic"/>
          <w:spacing w:val="16"/>
          <w:w w:val="80"/>
        </w:rPr>
        <w:t xml:space="preserve">ꎻ </w:t>
      </w:r>
      <w:r>
        <w:rPr>
          <w:spacing w:val="20"/>
        </w:rPr>
        <w:t>危险物品的生产</w:t>
      </w:r>
      <w:r>
        <w:rPr>
          <w:rFonts w:hint="eastAsia" w:ascii="MS UI Gothic" w:hAnsi="MS UI Gothic" w:eastAsia="MS UI Gothic"/>
          <w:spacing w:val="16"/>
          <w:w w:val="80"/>
        </w:rPr>
        <w:t xml:space="preserve">、 </w:t>
      </w:r>
      <w:r>
        <w:rPr>
          <w:spacing w:val="-11"/>
        </w:rPr>
        <w:t>经</w:t>
      </w:r>
      <w:r>
        <w:rPr>
          <w:spacing w:val="3"/>
        </w:rPr>
        <w:t>营</w:t>
      </w:r>
      <w:r>
        <w:rPr>
          <w:rFonts w:hint="eastAsia" w:ascii="MS UI Gothic" w:hAnsi="MS UI Gothic" w:eastAsia="MS UI Gothic"/>
          <w:spacing w:val="23"/>
          <w:w w:val="80"/>
        </w:rPr>
        <w:t xml:space="preserve">、 </w:t>
      </w:r>
      <w:r>
        <w:rPr>
          <w:spacing w:val="3"/>
        </w:rPr>
        <w:t>储存单位和矿山</w:t>
      </w:r>
      <w:r>
        <w:rPr>
          <w:rFonts w:hint="eastAsia" w:ascii="MS UI Gothic" w:hAnsi="MS UI Gothic" w:eastAsia="MS UI Gothic"/>
          <w:spacing w:val="24"/>
          <w:w w:val="80"/>
        </w:rPr>
        <w:t xml:space="preserve">、 </w:t>
      </w:r>
      <w:r>
        <w:rPr>
          <w:spacing w:val="2"/>
        </w:rPr>
        <w:t>金属冶炼单位主要</w:t>
      </w:r>
      <w:r>
        <w:rPr>
          <w:spacing w:val="5"/>
        </w:rPr>
        <w:t>负责人</w:t>
      </w:r>
      <w:r>
        <w:rPr>
          <w:rFonts w:hint="eastAsia" w:ascii="MS UI Gothic" w:hAnsi="MS UI Gothic" w:eastAsia="MS UI Gothic"/>
          <w:spacing w:val="22"/>
          <w:w w:val="80"/>
        </w:rPr>
        <w:t xml:space="preserve">、 </w:t>
      </w:r>
      <w:r>
        <w:rPr>
          <w:spacing w:val="16"/>
        </w:rPr>
        <w:t>安全生产管理人员经考核合格</w:t>
      </w:r>
      <w:r>
        <w:rPr>
          <w:spacing w:val="3"/>
        </w:rPr>
        <w:t>后</w:t>
      </w:r>
      <w:r>
        <w:rPr>
          <w:rFonts w:hint="eastAsia" w:ascii="MS UI Gothic" w:hAnsi="MS UI Gothic" w:eastAsia="MS UI Gothic"/>
          <w:spacing w:val="23"/>
          <w:w w:val="80"/>
        </w:rPr>
        <w:t xml:space="preserve">ꎬ </w:t>
      </w:r>
      <w:r>
        <w:rPr>
          <w:spacing w:val="3"/>
        </w:rPr>
        <w:t>颁发安全合格证</w:t>
      </w:r>
      <w:r>
        <w:rPr>
          <w:rFonts w:hint="eastAsia" w:ascii="MS UI Gothic" w:hAnsi="MS UI Gothic" w:eastAsia="MS UI Gothic"/>
          <w:spacing w:val="23"/>
          <w:w w:val="80"/>
        </w:rPr>
        <w:t xml:space="preserve">ꎻ </w:t>
      </w:r>
      <w:r>
        <w:rPr>
          <w:spacing w:val="2"/>
        </w:rPr>
        <w:t>特种作业人员经考</w:t>
      </w:r>
      <w:r>
        <w:rPr>
          <w:spacing w:val="4"/>
        </w:rPr>
        <w:t>核合格后</w:t>
      </w:r>
      <w:r>
        <w:rPr>
          <w:rFonts w:hint="eastAsia" w:ascii="MS UI Gothic" w:hAnsi="MS UI Gothic" w:eastAsia="MS UI Gothic"/>
          <w:spacing w:val="14"/>
          <w:w w:val="80"/>
        </w:rPr>
        <w:t xml:space="preserve">ꎬ </w:t>
      </w:r>
      <w:r>
        <w:rPr>
          <w:spacing w:val="15"/>
        </w:rPr>
        <w:t xml:space="preserve">颁发 </w:t>
      </w:r>
      <w:r>
        <w:rPr>
          <w:rFonts w:hint="eastAsia" w:ascii="MS UI Gothic" w:hAnsi="MS UI Gothic" w:eastAsia="MS UI Gothic"/>
          <w:spacing w:val="-8"/>
          <w:w w:val="80"/>
        </w:rPr>
        <w:t xml:space="preserve">« </w:t>
      </w:r>
      <w:r>
        <w:rPr>
          <w:spacing w:val="17"/>
        </w:rPr>
        <w:t>中华人民共和国特种</w:t>
      </w:r>
      <w:r>
        <w:rPr>
          <w:spacing w:val="6"/>
        </w:rPr>
        <w:t>作业操作证</w:t>
      </w:r>
      <w:r>
        <w:rPr>
          <w:rFonts w:hint="eastAsia" w:ascii="MS UI Gothic" w:hAnsi="MS UI Gothic" w:eastAsia="MS UI Gothic"/>
          <w:spacing w:val="8"/>
          <w:w w:val="80"/>
        </w:rPr>
        <w:t xml:space="preserve">»   </w:t>
      </w:r>
      <w:r>
        <w:rPr>
          <w:rFonts w:hint="eastAsia" w:ascii="MS UI Gothic" w:hAnsi="MS UI Gothic" w:eastAsia="MS UI Gothic"/>
          <w:spacing w:val="-25"/>
          <w:w w:val="150"/>
        </w:rPr>
        <w:t xml:space="preserve">( </w:t>
      </w:r>
      <w:r>
        <w:rPr>
          <w:spacing w:val="15"/>
        </w:rPr>
        <w:t>以下简称特种作业操作</w:t>
      </w:r>
      <w:r>
        <w:rPr>
          <w:spacing w:val="3"/>
        </w:rPr>
        <w:t>证</w:t>
      </w:r>
      <w:r>
        <w:rPr>
          <w:rFonts w:hint="eastAsia" w:ascii="MS UI Gothic" w:hAnsi="MS UI Gothic" w:eastAsia="MS UI Gothic"/>
          <w:spacing w:val="-32"/>
          <w:w w:val="150"/>
        </w:rPr>
        <w:t xml:space="preserve">) </w:t>
      </w:r>
      <w:r>
        <w:rPr>
          <w:rFonts w:hint="eastAsia" w:ascii="MS UI Gothic" w:hAnsi="MS UI Gothic" w:eastAsia="MS UI Gothic"/>
          <w:spacing w:val="21"/>
          <w:w w:val="80"/>
        </w:rPr>
        <w:t xml:space="preserve">ꎻ </w:t>
      </w:r>
      <w:r>
        <w:rPr>
          <w:spacing w:val="5"/>
        </w:rPr>
        <w:t>危险化学品登记机构的登记人员经</w:t>
      </w:r>
      <w:r>
        <w:rPr>
          <w:spacing w:val="3"/>
        </w:rPr>
        <w:t>考核合格后</w:t>
      </w:r>
      <w:r>
        <w:rPr>
          <w:rFonts w:hint="eastAsia" w:ascii="MS UI Gothic" w:hAnsi="MS UI Gothic" w:eastAsia="MS UI Gothic"/>
          <w:spacing w:val="23"/>
          <w:w w:val="80"/>
        </w:rPr>
        <w:t xml:space="preserve">ꎬ </w:t>
      </w:r>
      <w:r>
        <w:rPr>
          <w:spacing w:val="3"/>
        </w:rPr>
        <w:t>颁发上岗证</w:t>
      </w:r>
      <w:r>
        <w:rPr>
          <w:rFonts w:hint="eastAsia" w:ascii="MS UI Gothic" w:hAnsi="MS UI Gothic" w:eastAsia="MS UI Gothic"/>
          <w:spacing w:val="23"/>
          <w:w w:val="80"/>
        </w:rPr>
        <w:t xml:space="preserve">ꎻ </w:t>
      </w:r>
      <w:r>
        <w:rPr>
          <w:spacing w:val="2"/>
        </w:rPr>
        <w:t>其他人员经培</w:t>
      </w:r>
      <w:r>
        <w:rPr>
          <w:spacing w:val="3"/>
        </w:rPr>
        <w:t>训合格后</w:t>
      </w:r>
      <w:r>
        <w:rPr>
          <w:rFonts w:hint="eastAsia" w:ascii="MS UI Gothic" w:hAnsi="MS UI Gothic" w:eastAsia="MS UI Gothic"/>
          <w:spacing w:val="2"/>
          <w:w w:val="80"/>
        </w:rPr>
        <w:t xml:space="preserve">ꎬ </w:t>
      </w:r>
      <w:r>
        <w:rPr>
          <w:spacing w:val="3"/>
        </w:rPr>
        <w:t>颁发培训合格证</w:t>
      </w:r>
      <w:r>
        <w:rPr>
          <w:rFonts w:hint="eastAsia" w:ascii="MS UI Gothic" w:hAnsi="MS UI Gothic" w:eastAsia="MS UI Gothic"/>
          <w:w w:val="80"/>
        </w:rPr>
        <w:t>ꎮ</w:t>
      </w:r>
    </w:p>
    <w:p>
      <w:pPr>
        <w:pStyle w:val="6"/>
        <w:spacing w:line="295" w:lineRule="auto"/>
        <w:ind w:left="440"/>
        <w:rPr>
          <w:rFonts w:hint="eastAsia" w:ascii="MS UI Gothic" w:eastAsia="MS UI Gothic"/>
        </w:rPr>
      </w:pPr>
      <w:r>
        <w:rPr>
          <w:spacing w:val="3"/>
        </w:rPr>
        <w:t>第二十四条  安全生产监管执法证</w:t>
      </w:r>
      <w:r>
        <w:rPr>
          <w:rFonts w:hint="eastAsia" w:ascii="MS UI Gothic" w:eastAsia="MS UI Gothic"/>
          <w:w w:val="80"/>
        </w:rPr>
        <w:t>、</w:t>
      </w:r>
      <w:r>
        <w:rPr>
          <w:spacing w:val="3"/>
        </w:rPr>
        <w:t>煤矿安全监察执法证</w:t>
      </w:r>
      <w:r>
        <w:rPr>
          <w:rFonts w:hint="eastAsia" w:ascii="MS UI Gothic" w:eastAsia="MS UI Gothic"/>
          <w:spacing w:val="23"/>
          <w:w w:val="80"/>
        </w:rPr>
        <w:t xml:space="preserve">、 </w:t>
      </w:r>
      <w:r>
        <w:rPr>
          <w:spacing w:val="3"/>
        </w:rPr>
        <w:t>安全合格证</w:t>
      </w:r>
      <w:r>
        <w:rPr>
          <w:rFonts w:hint="eastAsia" w:ascii="MS UI Gothic" w:eastAsia="MS UI Gothic"/>
          <w:spacing w:val="23"/>
          <w:w w:val="80"/>
        </w:rPr>
        <w:t xml:space="preserve">、 </w:t>
      </w:r>
      <w:r>
        <w:rPr>
          <w:spacing w:val="1"/>
        </w:rPr>
        <w:t>特种</w:t>
      </w:r>
      <w:r>
        <w:rPr>
          <w:spacing w:val="3"/>
        </w:rPr>
        <w:t>作业操作证和上岗证的式样</w:t>
      </w:r>
      <w:r>
        <w:rPr>
          <w:rFonts w:hint="eastAsia" w:ascii="MS UI Gothic" w:eastAsia="MS UI Gothic"/>
          <w:spacing w:val="21"/>
          <w:w w:val="80"/>
        </w:rPr>
        <w:t xml:space="preserve">ꎬ </w:t>
      </w:r>
      <w:r>
        <w:rPr>
          <w:spacing w:val="2"/>
        </w:rPr>
        <w:t>由国家安全</w:t>
      </w:r>
      <w:r>
        <w:rPr>
          <w:spacing w:val="5"/>
        </w:rPr>
        <w:t>监管总局统一规定</w:t>
      </w:r>
      <w:r>
        <w:rPr>
          <w:rFonts w:hint="eastAsia" w:ascii="MS UI Gothic" w:eastAsia="MS UI Gothic"/>
          <w:spacing w:val="22"/>
          <w:w w:val="80"/>
        </w:rPr>
        <w:t xml:space="preserve">ꎮ </w:t>
      </w:r>
      <w:r>
        <w:rPr>
          <w:spacing w:val="11"/>
        </w:rPr>
        <w:t>培训合格证的式样</w:t>
      </w:r>
      <w:r>
        <w:rPr>
          <w:rFonts w:hint="eastAsia" w:ascii="MS UI Gothic" w:eastAsia="MS UI Gothic"/>
          <w:w w:val="80"/>
        </w:rPr>
        <w:t>ꎬ</w:t>
      </w:r>
      <w:r>
        <w:rPr>
          <w:spacing w:val="3"/>
        </w:rPr>
        <w:t>由负责培训考核的部门规定</w:t>
      </w:r>
      <w:r>
        <w:rPr>
          <w:rFonts w:hint="eastAsia" w:ascii="MS UI Gothic" w:eastAsia="MS UI Gothic"/>
          <w:w w:val="80"/>
        </w:rPr>
        <w:t>ꎮ</w:t>
      </w:r>
    </w:p>
    <w:p>
      <w:pPr>
        <w:pStyle w:val="6"/>
        <w:spacing w:line="295" w:lineRule="auto"/>
        <w:ind w:left="440"/>
        <w:rPr>
          <w:rFonts w:hint="eastAsia" w:ascii="MS UI Gothic" w:hAnsi="MS UI Gothic" w:eastAsia="MS UI Gothic"/>
        </w:rPr>
      </w:pPr>
      <w:r>
        <w:t>第二十五条 安全生产监管执法证</w:t>
      </w:r>
      <w:r>
        <w:rPr>
          <w:rFonts w:hint="eastAsia" w:ascii="MS UI Gothic" w:hAnsi="MS UI Gothic" w:eastAsia="MS UI Gothic"/>
        </w:rPr>
        <w:t>、</w:t>
      </w:r>
      <w:r>
        <w:t>煤矿安全监察执法证</w:t>
      </w:r>
      <w:r>
        <w:rPr>
          <w:rFonts w:hint="eastAsia" w:ascii="MS UI Gothic" w:hAnsi="MS UI Gothic" w:eastAsia="MS UI Gothic"/>
        </w:rPr>
        <w:t xml:space="preserve">、 </w:t>
      </w:r>
      <w:r>
        <w:t xml:space="preserve">安全合格证的有效期为 </w:t>
      </w:r>
      <w:r>
        <w:rPr>
          <w:rFonts w:hint="eastAsia" w:ascii="MS UI Gothic" w:hAnsi="MS UI Gothic" w:eastAsia="MS UI Gothic"/>
        </w:rPr>
        <w:t xml:space="preserve">３ </w:t>
      </w:r>
      <w:r>
        <w:t>年</w:t>
      </w:r>
      <w:r>
        <w:rPr>
          <w:rFonts w:hint="eastAsia" w:ascii="MS UI Gothic" w:hAnsi="MS UI Gothic" w:eastAsia="MS UI Gothic"/>
          <w:w w:val="85"/>
        </w:rPr>
        <w:t xml:space="preserve">ꎮ </w:t>
      </w:r>
      <w:r>
        <w:t>有效期届满需要延期的</w:t>
      </w:r>
      <w:r>
        <w:rPr>
          <w:rFonts w:hint="eastAsia" w:ascii="MS UI Gothic" w:hAnsi="MS UI Gothic" w:eastAsia="MS UI Gothic"/>
          <w:w w:val="85"/>
        </w:rPr>
        <w:t xml:space="preserve">ꎬ </w:t>
      </w:r>
      <w:r>
        <w:t xml:space="preserve">应当于有效期届满 </w:t>
      </w:r>
      <w:r>
        <w:rPr>
          <w:rFonts w:hint="eastAsia" w:ascii="MS UI Gothic" w:hAnsi="MS UI Gothic" w:eastAsia="MS UI Gothic"/>
          <w:w w:val="85"/>
        </w:rPr>
        <w:t xml:space="preserve">３０ </w:t>
      </w:r>
      <w:r>
        <w:t>日前向原发证部门申请办理延期手续</w:t>
      </w:r>
      <w:r>
        <w:rPr>
          <w:rFonts w:hint="eastAsia" w:ascii="MS UI Gothic" w:hAnsi="MS UI Gothic" w:eastAsia="MS UI Gothic"/>
          <w:w w:val="85"/>
        </w:rPr>
        <w:t xml:space="preserve">ꎮ </w:t>
      </w:r>
      <w:r>
        <w:t xml:space="preserve">特种作业人员的考核发证按照 </w:t>
      </w:r>
      <w:r>
        <w:rPr>
          <w:rFonts w:hint="eastAsia" w:ascii="MS UI Gothic" w:hAnsi="MS UI Gothic" w:eastAsia="MS UI Gothic"/>
        </w:rPr>
        <w:t xml:space="preserve">« </w:t>
      </w:r>
      <w:r>
        <w:t>特种作业人员安全技术培训考核管理规定</w:t>
      </w:r>
      <w:r>
        <w:rPr>
          <w:rFonts w:hint="eastAsia" w:ascii="MS UI Gothic" w:hAnsi="MS UI Gothic" w:eastAsia="MS UI Gothic"/>
        </w:rPr>
        <w:t xml:space="preserve">» </w:t>
      </w:r>
      <w:r>
        <w:t>执行</w:t>
      </w:r>
      <w:r>
        <w:rPr>
          <w:rFonts w:hint="eastAsia" w:ascii="MS UI Gothic" w:hAnsi="MS UI Gothic" w:eastAsia="MS UI Gothic"/>
          <w:w w:val="85"/>
        </w:rPr>
        <w:t>ꎮ</w:t>
      </w:r>
    </w:p>
    <w:p>
      <w:pPr>
        <w:pStyle w:val="6"/>
        <w:spacing w:line="295" w:lineRule="auto"/>
        <w:ind w:left="440" w:right="1"/>
        <w:rPr>
          <w:rFonts w:hint="eastAsia" w:ascii="MS UI Gothic" w:eastAsia="MS UI Gothic"/>
        </w:rPr>
      </w:pPr>
      <w:r>
        <w:rPr>
          <w:w w:val="105"/>
        </w:rPr>
        <w:t>第二十六条 特种作业操作证和省级安全生产监督管理部门</w:t>
      </w:r>
      <w:r>
        <w:rPr>
          <w:rFonts w:hint="eastAsia" w:ascii="MS UI Gothic" w:eastAsia="MS UI Gothic"/>
          <w:w w:val="80"/>
        </w:rPr>
        <w:t xml:space="preserve">、 </w:t>
      </w:r>
      <w:r>
        <w:rPr>
          <w:w w:val="105"/>
        </w:rPr>
        <w:t>省级煤矿安全培训监管机构颁发的主要负责人</w:t>
      </w:r>
      <w:r>
        <w:rPr>
          <w:rFonts w:hint="eastAsia" w:ascii="MS UI Gothic" w:eastAsia="MS UI Gothic"/>
          <w:w w:val="80"/>
        </w:rPr>
        <w:t xml:space="preserve">、 </w:t>
      </w:r>
      <w:r>
        <w:rPr>
          <w:w w:val="105"/>
        </w:rPr>
        <w:t>安全生产</w:t>
      </w:r>
      <w:r>
        <w:t>管理人员的安全合格证</w:t>
      </w:r>
      <w:r>
        <w:rPr>
          <w:rFonts w:hint="eastAsia" w:ascii="MS UI Gothic" w:eastAsia="MS UI Gothic"/>
          <w:w w:val="80"/>
        </w:rPr>
        <w:t xml:space="preserve">ꎬ </w:t>
      </w:r>
      <w:r>
        <w:t>在全国范围内</w:t>
      </w:r>
      <w:r>
        <w:rPr>
          <w:w w:val="105"/>
        </w:rPr>
        <w:t>有效</w:t>
      </w:r>
      <w:r>
        <w:rPr>
          <w:rFonts w:hint="eastAsia" w:ascii="MS UI Gothic" w:eastAsia="MS UI Gothic"/>
          <w:w w:val="80"/>
        </w:rPr>
        <w:t>ꎮ</w:t>
      </w:r>
    </w:p>
    <w:p>
      <w:pPr>
        <w:pStyle w:val="6"/>
        <w:spacing w:line="295" w:lineRule="auto"/>
        <w:ind w:left="440"/>
        <w:rPr>
          <w:rFonts w:hint="eastAsia" w:ascii="MS UI Gothic" w:eastAsia="MS UI Gothic"/>
        </w:rPr>
      </w:pPr>
      <w:r>
        <w:t>第二十七条 承担安全评价</w:t>
      </w:r>
      <w:r>
        <w:rPr>
          <w:rFonts w:hint="eastAsia" w:ascii="MS UI Gothic" w:eastAsia="MS UI Gothic"/>
          <w:w w:val="80"/>
        </w:rPr>
        <w:t xml:space="preserve">、 </w:t>
      </w:r>
      <w:r>
        <w:t>咨询</w:t>
      </w:r>
      <w:r>
        <w:rPr>
          <w:rFonts w:hint="eastAsia" w:ascii="MS UI Gothic" w:eastAsia="MS UI Gothic"/>
          <w:w w:val="80"/>
        </w:rPr>
        <w:t>、</w:t>
      </w:r>
      <w:r>
        <w:t>检测</w:t>
      </w:r>
      <w:r>
        <w:rPr>
          <w:rFonts w:hint="eastAsia" w:ascii="MS UI Gothic" w:eastAsia="MS UI Gothic"/>
          <w:w w:val="80"/>
        </w:rPr>
        <w:t xml:space="preserve">、 </w:t>
      </w:r>
      <w:r>
        <w:t>检验的人员和安全生产应急救援人员的考核</w:t>
      </w:r>
      <w:r>
        <w:rPr>
          <w:rFonts w:hint="eastAsia" w:ascii="MS UI Gothic" w:eastAsia="MS UI Gothic"/>
          <w:w w:val="80"/>
        </w:rPr>
        <w:t xml:space="preserve">、 </w:t>
      </w:r>
      <w:r>
        <w:t>发证</w:t>
      </w:r>
      <w:r>
        <w:rPr>
          <w:rFonts w:hint="eastAsia" w:ascii="MS UI Gothic" w:eastAsia="MS UI Gothic"/>
          <w:w w:val="80"/>
        </w:rPr>
        <w:t xml:space="preserve">ꎬ </w:t>
      </w:r>
      <w:r>
        <w:t>按照有关法律</w:t>
      </w:r>
      <w:r>
        <w:rPr>
          <w:rFonts w:hint="eastAsia" w:ascii="MS UI Gothic" w:eastAsia="MS UI Gothic"/>
          <w:w w:val="80"/>
        </w:rPr>
        <w:t xml:space="preserve">、 </w:t>
      </w:r>
      <w:r>
        <w:t>法规</w:t>
      </w:r>
      <w:r>
        <w:rPr>
          <w:rFonts w:hint="eastAsia" w:ascii="MS UI Gothic" w:eastAsia="MS UI Gothic"/>
          <w:w w:val="80"/>
        </w:rPr>
        <w:t>、</w:t>
      </w:r>
      <w:r>
        <w:t>规章的规定执行</w:t>
      </w:r>
      <w:r>
        <w:rPr>
          <w:rFonts w:hint="eastAsia" w:ascii="MS UI Gothic" w:eastAsia="MS UI Gothic"/>
          <w:w w:val="80"/>
        </w:rPr>
        <w:t>ꎮ</w:t>
      </w:r>
    </w:p>
    <w:p>
      <w:pPr>
        <w:pStyle w:val="6"/>
        <w:tabs>
          <w:tab w:val="left" w:pos="2162"/>
        </w:tabs>
        <w:spacing w:before="85"/>
        <w:ind w:left="1324" w:firstLine="0"/>
        <w:jc w:val="left"/>
      </w:pPr>
      <w:r>
        <w:br w:type="column"/>
      </w:r>
      <w:r>
        <w:rPr>
          <w:spacing w:val="3"/>
          <w:w w:val="105"/>
        </w:rPr>
        <w:t>第五</w:t>
      </w:r>
      <w:r>
        <w:rPr>
          <w:w w:val="105"/>
        </w:rPr>
        <w:t>章</w:t>
      </w:r>
      <w:r>
        <w:rPr>
          <w:w w:val="105"/>
        </w:rPr>
        <w:tab/>
      </w:r>
      <w:r>
        <w:rPr>
          <w:w w:val="105"/>
        </w:rPr>
        <w:t>监</w:t>
      </w:r>
      <w:r>
        <w:rPr>
          <w:spacing w:val="-33"/>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left="381" w:right="126"/>
        <w:rPr>
          <w:rFonts w:hint="eastAsia" w:ascii="MS UI Gothic" w:eastAsia="MS UI Gothic"/>
        </w:rPr>
      </w:pPr>
      <w:r>
        <w:rPr>
          <w:spacing w:val="10"/>
        </w:rPr>
        <w:t>第二十八条  安全生产监督管理部</w:t>
      </w:r>
      <w:r>
        <w:rPr>
          <w:spacing w:val="3"/>
        </w:rPr>
        <w:t>门</w:t>
      </w:r>
      <w:r>
        <w:rPr>
          <w:rFonts w:hint="eastAsia" w:ascii="MS UI Gothic" w:eastAsia="MS UI Gothic"/>
          <w:spacing w:val="16"/>
          <w:w w:val="80"/>
        </w:rPr>
        <w:t xml:space="preserve">、 </w:t>
      </w:r>
      <w:r>
        <w:rPr>
          <w:spacing w:val="14"/>
        </w:rPr>
        <w:t>煤矿安全培训监管机构应当依照法</w:t>
      </w:r>
      <w:r>
        <w:rPr>
          <w:spacing w:val="3"/>
        </w:rPr>
        <w:t>律</w:t>
      </w:r>
      <w:r>
        <w:rPr>
          <w:rFonts w:hint="eastAsia" w:ascii="MS UI Gothic" w:eastAsia="MS UI Gothic"/>
          <w:spacing w:val="11"/>
          <w:w w:val="80"/>
        </w:rPr>
        <w:t xml:space="preserve">、 </w:t>
      </w:r>
      <w:r>
        <w:rPr>
          <w:spacing w:val="3"/>
        </w:rPr>
        <w:t>法规和本办法的规定</w:t>
      </w:r>
      <w:r>
        <w:rPr>
          <w:rFonts w:hint="eastAsia" w:ascii="MS UI Gothic" w:eastAsia="MS UI Gothic"/>
          <w:spacing w:val="11"/>
          <w:w w:val="80"/>
        </w:rPr>
        <w:t xml:space="preserve">ꎬ </w:t>
      </w:r>
      <w:r>
        <w:rPr>
          <w:spacing w:val="2"/>
        </w:rPr>
        <w:t>加强对安全培</w:t>
      </w:r>
      <w:r>
        <w:rPr>
          <w:spacing w:val="3"/>
        </w:rPr>
        <w:t>训工作的监督管理</w:t>
      </w:r>
      <w:r>
        <w:rPr>
          <w:rFonts w:hint="eastAsia" w:ascii="MS UI Gothic" w:eastAsia="MS UI Gothic"/>
          <w:spacing w:val="11"/>
          <w:w w:val="80"/>
        </w:rPr>
        <w:t xml:space="preserve">ꎬ </w:t>
      </w:r>
      <w:r>
        <w:rPr>
          <w:spacing w:val="3"/>
        </w:rPr>
        <w:t>对生产经营单位</w:t>
      </w:r>
      <w:r>
        <w:rPr>
          <w:rFonts w:hint="eastAsia" w:ascii="MS UI Gothic" w:eastAsia="MS UI Gothic"/>
          <w:spacing w:val="11"/>
          <w:w w:val="80"/>
        </w:rPr>
        <w:t xml:space="preserve">、 </w:t>
      </w:r>
      <w:r>
        <w:t>安</w:t>
      </w:r>
      <w:r>
        <w:rPr>
          <w:spacing w:val="3"/>
        </w:rPr>
        <w:t>全培训机构违反有关法律</w:t>
      </w:r>
      <w:r>
        <w:rPr>
          <w:rFonts w:hint="eastAsia" w:ascii="MS UI Gothic" w:eastAsia="MS UI Gothic"/>
          <w:spacing w:val="17"/>
          <w:w w:val="80"/>
        </w:rPr>
        <w:t xml:space="preserve">、 </w:t>
      </w:r>
      <w:r>
        <w:rPr>
          <w:spacing w:val="2"/>
        </w:rPr>
        <w:t>法规和本办法</w:t>
      </w:r>
      <w:r>
        <w:rPr>
          <w:spacing w:val="3"/>
        </w:rPr>
        <w:t>的行为</w:t>
      </w:r>
      <w:r>
        <w:rPr>
          <w:rFonts w:hint="eastAsia" w:ascii="MS UI Gothic" w:eastAsia="MS UI Gothic"/>
          <w:spacing w:val="2"/>
          <w:w w:val="80"/>
        </w:rPr>
        <w:t xml:space="preserve">ꎬ </w:t>
      </w:r>
      <w:r>
        <w:rPr>
          <w:spacing w:val="3"/>
        </w:rPr>
        <w:t>依法作出处理</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3"/>
        </w:rPr>
        <w:t>省级安全生产监督管理部门</w:t>
      </w:r>
      <w:r>
        <w:rPr>
          <w:rFonts w:hint="eastAsia" w:ascii="MS UI Gothic" w:eastAsia="MS UI Gothic"/>
          <w:spacing w:val="12"/>
          <w:w w:val="80"/>
        </w:rPr>
        <w:t xml:space="preserve">、 </w:t>
      </w:r>
      <w:r>
        <w:rPr>
          <w:spacing w:val="2"/>
        </w:rPr>
        <w:t>省级煤矿安全培训监管机构应当定期统计分析本</w:t>
      </w:r>
      <w:r>
        <w:rPr>
          <w:spacing w:val="6"/>
        </w:rPr>
        <w:t>行政区域内安全培训</w:t>
      </w:r>
      <w:r>
        <w:rPr>
          <w:rFonts w:hint="eastAsia" w:ascii="MS UI Gothic" w:eastAsia="MS UI Gothic"/>
          <w:spacing w:val="13"/>
          <w:w w:val="80"/>
        </w:rPr>
        <w:t xml:space="preserve">、 </w:t>
      </w:r>
      <w:r>
        <w:rPr>
          <w:spacing w:val="9"/>
        </w:rPr>
        <w:t>考核</w:t>
      </w:r>
      <w:r>
        <w:rPr>
          <w:rFonts w:hint="eastAsia" w:ascii="MS UI Gothic" w:eastAsia="MS UI Gothic"/>
          <w:spacing w:val="13"/>
          <w:w w:val="80"/>
        </w:rPr>
        <w:t xml:space="preserve">、 </w:t>
      </w:r>
      <w:r>
        <w:rPr>
          <w:spacing w:val="12"/>
        </w:rPr>
        <w:t>发证情况</w:t>
      </w:r>
      <w:r>
        <w:rPr>
          <w:rFonts w:hint="eastAsia" w:ascii="MS UI Gothic" w:eastAsia="MS UI Gothic"/>
          <w:w w:val="80"/>
        </w:rPr>
        <w:t>ꎬ</w:t>
      </w:r>
      <w:r>
        <w:rPr>
          <w:spacing w:val="3"/>
        </w:rPr>
        <w:t>并报国家安全监管总局</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第二十九条 安全生产监督管理部门</w:t>
      </w:r>
      <w:r>
        <w:t>和煤矿安全培训监管机构应当对安全培训机构开展安全培训活动的情况进行监督检</w:t>
      </w:r>
      <w:r>
        <w:rPr>
          <w:w w:val="105"/>
        </w:rPr>
        <w:t>查</w:t>
      </w:r>
      <w:r>
        <w:rPr>
          <w:rFonts w:hint="eastAsia" w:ascii="MS UI Gothic" w:eastAsia="MS UI Gothic"/>
          <w:w w:val="80"/>
        </w:rPr>
        <w:t xml:space="preserve">ꎬ </w:t>
      </w:r>
      <w:r>
        <w:rPr>
          <w:w w:val="105"/>
        </w:rPr>
        <w:t>检查内容包括</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具备从事安全培训工作所需要</w:t>
      </w:r>
      <w:r>
        <w:rPr>
          <w:w w:val="110"/>
        </w:rPr>
        <w:t>的条件的情况</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建立培训管理制度和教师配备</w:t>
      </w:r>
      <w:r>
        <w:rPr>
          <w:w w:val="110"/>
        </w:rPr>
        <w:t>的情况</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执行培训大纲</w:t>
      </w:r>
      <w:r>
        <w:rPr>
          <w:rFonts w:hint="eastAsia" w:ascii="MS UI Gothic" w:eastAsia="MS UI Gothic"/>
          <w:w w:val="80"/>
        </w:rPr>
        <w:t xml:space="preserve">、  </w:t>
      </w:r>
      <w:r>
        <w:rPr>
          <w:w w:val="105"/>
        </w:rPr>
        <w:t>建立培训档案和培训保障的情况</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培训收费的情况</w:t>
      </w:r>
      <w:r>
        <w:rPr>
          <w:rFonts w:hint="eastAsia" w:ascii="MS UI Gothic" w:eastAsia="MS UI Gothic"/>
          <w:w w:val="80"/>
        </w:rPr>
        <w:t>ꎻ</w:t>
      </w:r>
    </w:p>
    <w:p>
      <w:pPr>
        <w:pStyle w:val="6"/>
        <w:spacing w:before="44"/>
        <w:ind w:left="800" w:firstLine="0"/>
        <w:jc w:val="left"/>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法律法规规定的其他内容</w:t>
      </w:r>
      <w:r>
        <w:rPr>
          <w:rFonts w:hint="eastAsia" w:ascii="MS UI Gothic" w:eastAsia="MS UI Gothic"/>
          <w:w w:val="80"/>
        </w:rPr>
        <w:t>ꎮ</w:t>
      </w:r>
    </w:p>
    <w:p>
      <w:pPr>
        <w:pStyle w:val="6"/>
        <w:spacing w:before="58" w:line="295" w:lineRule="auto"/>
        <w:ind w:left="381" w:right="124"/>
        <w:rPr>
          <w:rFonts w:hint="eastAsia" w:ascii="MS UI Gothic" w:eastAsia="MS UI Gothic"/>
        </w:rPr>
      </w:pPr>
      <w:r>
        <w:rPr>
          <w:w w:val="105"/>
        </w:rPr>
        <w:t>第三十条 安全生产监督管理部门</w:t>
      </w:r>
      <w:r>
        <w:rPr>
          <w:rFonts w:hint="eastAsia" w:ascii="MS UI Gothic" w:eastAsia="MS UI Gothic"/>
          <w:w w:val="80"/>
        </w:rPr>
        <w:t>、</w:t>
      </w:r>
      <w:r>
        <w:t>煤矿安全培训监管机构应当对生产经营单位的安全培训情况进行监督检查</w:t>
      </w:r>
      <w:r>
        <w:rPr>
          <w:rFonts w:hint="eastAsia" w:ascii="MS UI Gothic" w:eastAsia="MS UI Gothic"/>
          <w:w w:val="80"/>
        </w:rPr>
        <w:t xml:space="preserve">ꎬ </w:t>
      </w:r>
      <w:r>
        <w:t>检查内</w:t>
      </w:r>
      <w:r>
        <w:rPr>
          <w:w w:val="105"/>
        </w:rPr>
        <w:t>容包括</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17"/>
          <w:w w:val="150"/>
        </w:rPr>
        <w:t xml:space="preserve">) </w:t>
      </w:r>
      <w:r>
        <w:rPr>
          <w:spacing w:val="26"/>
          <w:w w:val="105"/>
        </w:rPr>
        <w:t>安全培训制度</w:t>
      </w:r>
      <w:r>
        <w:rPr>
          <w:rFonts w:hint="eastAsia" w:ascii="MS UI Gothic" w:eastAsia="MS UI Gothic"/>
          <w:spacing w:val="7"/>
          <w:w w:val="80"/>
        </w:rPr>
        <w:t xml:space="preserve">、 </w:t>
      </w:r>
      <w:r>
        <w:rPr>
          <w:spacing w:val="22"/>
          <w:w w:val="105"/>
        </w:rPr>
        <w:t>年度培训计</w:t>
      </w:r>
      <w:r>
        <w:rPr>
          <w:spacing w:val="3"/>
          <w:w w:val="105"/>
        </w:rPr>
        <w:t>划</w:t>
      </w:r>
      <w:r>
        <w:rPr>
          <w:rFonts w:hint="eastAsia" w:ascii="MS UI Gothic" w:eastAsia="MS UI Gothic"/>
          <w:spacing w:val="-2"/>
          <w:w w:val="80"/>
        </w:rPr>
        <w:t xml:space="preserve">、 </w:t>
      </w:r>
      <w:r>
        <w:rPr>
          <w:spacing w:val="14"/>
          <w:w w:val="105"/>
        </w:rPr>
        <w:t>安全培训管理档案的制定和实施的</w:t>
      </w:r>
      <w:r>
        <w:rPr>
          <w:spacing w:val="3"/>
          <w:w w:val="105"/>
        </w:rPr>
        <w:t>情况</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4"/>
          <w:w w:val="120"/>
        </w:rPr>
        <w:t xml:space="preserve">( </w:t>
      </w:r>
      <w:r>
        <w:rPr>
          <w:spacing w:val="5"/>
          <w:w w:val="110"/>
        </w:rPr>
        <w:t>二</w:t>
      </w:r>
      <w:r>
        <w:rPr>
          <w:rFonts w:hint="eastAsia" w:ascii="MS UI Gothic" w:eastAsia="MS UI Gothic"/>
          <w:spacing w:val="-13"/>
          <w:w w:val="120"/>
        </w:rPr>
        <w:t xml:space="preserve">) </w:t>
      </w:r>
      <w:r>
        <w:rPr>
          <w:spacing w:val="23"/>
          <w:w w:val="110"/>
        </w:rPr>
        <w:t>安全培训经费投入和使用的</w:t>
      </w:r>
      <w:r>
        <w:rPr>
          <w:spacing w:val="3"/>
          <w:w w:val="110"/>
        </w:rPr>
        <w:t>情况</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9"/>
          <w:w w:val="150"/>
        </w:rPr>
        <w:t xml:space="preserve">) </w:t>
      </w:r>
      <w:r>
        <w:rPr>
          <w:spacing w:val="5"/>
          <w:w w:val="105"/>
        </w:rPr>
        <w:t>主要负责人</w:t>
      </w:r>
      <w:r>
        <w:rPr>
          <w:rFonts w:hint="eastAsia" w:ascii="MS UI Gothic" w:eastAsia="MS UI Gothic"/>
          <w:spacing w:val="23"/>
          <w:w w:val="80"/>
        </w:rPr>
        <w:t xml:space="preserve">、 </w:t>
      </w:r>
      <w:r>
        <w:rPr>
          <w:spacing w:val="9"/>
          <w:w w:val="105"/>
        </w:rPr>
        <w:t>安全生产管理人</w:t>
      </w:r>
      <w:r>
        <w:rPr>
          <w:spacing w:val="11"/>
        </w:rPr>
        <w:t>员接受安全生产知识和管理能力考核的</w:t>
      </w:r>
      <w:r>
        <w:rPr>
          <w:spacing w:val="3"/>
          <w:w w:val="105"/>
        </w:rPr>
        <w:t>情况</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spacing w:val="-37"/>
          <w:w w:val="135"/>
        </w:rPr>
        <w:t xml:space="preserve">( </w:t>
      </w:r>
      <w:r>
        <w:rPr>
          <w:spacing w:val="29"/>
          <w:w w:val="110"/>
        </w:rPr>
        <w:t>四</w:t>
      </w:r>
      <w:r>
        <w:rPr>
          <w:rFonts w:hint="eastAsia" w:ascii="MS UI Gothic" w:eastAsia="MS UI Gothic"/>
          <w:spacing w:val="-14"/>
          <w:w w:val="135"/>
        </w:rPr>
        <w:t xml:space="preserve">) </w:t>
      </w:r>
      <w:r>
        <w:rPr>
          <w:spacing w:val="40"/>
          <w:w w:val="110"/>
        </w:rPr>
        <w:t>特种作业人员持证上岗的</w:t>
      </w:r>
      <w:r>
        <w:rPr>
          <w:spacing w:val="3"/>
          <w:w w:val="110"/>
        </w:rPr>
        <w:t>情况</w:t>
      </w:r>
      <w:r>
        <w:rPr>
          <w:rFonts w:hint="eastAsia" w:ascii="MS UI Gothic" w:eastAsia="MS UI Gothic"/>
          <w:w w:val="80"/>
        </w:rPr>
        <w:t>ꎻ</w:t>
      </w:r>
    </w:p>
    <w:p>
      <w:pPr>
        <w:pStyle w:val="6"/>
        <w:spacing w:line="255" w:lineRule="exact"/>
        <w:ind w:left="800" w:firstLine="0"/>
        <w:jc w:val="left"/>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应用新工艺</w:t>
      </w:r>
      <w:r>
        <w:rPr>
          <w:rFonts w:hint="eastAsia" w:ascii="MS UI Gothic" w:eastAsia="MS UI Gothic"/>
        </w:rPr>
        <w:t xml:space="preserve">、 </w:t>
      </w:r>
      <w:r>
        <w:rPr>
          <w:w w:val="110"/>
        </w:rPr>
        <w:t>新技术</w:t>
      </w:r>
      <w:r>
        <w:rPr>
          <w:rFonts w:hint="eastAsia" w:ascii="MS UI Gothic" w:eastAsia="MS UI Gothic"/>
        </w:rPr>
        <w:t xml:space="preserve">、 </w:t>
      </w:r>
      <w:r>
        <w:rPr>
          <w:w w:val="110"/>
        </w:rPr>
        <w:t>新材</w:t>
      </w:r>
    </w:p>
    <w:p>
      <w:pPr>
        <w:spacing w:after="0" w:line="255"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１１４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82" o:spid="_x0000_s1382" o:spt="203" style="height:2.15pt;width:398.25pt;" coordsize="7965,43">
            <o:lock v:ext="edit"/>
            <v:line id="_x0000_s1383" o:spid="_x0000_s1383" o:spt="20" style="position:absolute;left:0;top:39;height:0;width:7965;" stroked="t" coordsize="21600,21600">
              <v:path arrowok="t"/>
              <v:fill focussize="0,0"/>
              <v:stroke weight="0.388031496062992pt" color="#231F20"/>
              <v:imagedata o:title=""/>
              <o:lock v:ext="edit"/>
            </v:line>
            <v:line id="_x0000_s1384" o:spid="_x0000_s138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料</w:t>
      </w:r>
      <w:r>
        <w:rPr>
          <w:rFonts w:hint="eastAsia" w:ascii="MS UI Gothic" w:eastAsia="MS UI Gothic"/>
          <w:w w:val="80"/>
        </w:rPr>
        <w:t xml:space="preserve">、 </w:t>
      </w:r>
      <w:r>
        <w:t>新设备以及转岗前对从业人员安全培训的情况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4"/>
          <w:w w:val="125"/>
        </w:rPr>
        <w:t xml:space="preserve">( </w:t>
      </w:r>
      <w:r>
        <w:rPr>
          <w:spacing w:val="29"/>
          <w:w w:val="110"/>
        </w:rPr>
        <w:t>六</w:t>
      </w:r>
      <w:r>
        <w:rPr>
          <w:rFonts w:hint="eastAsia" w:ascii="MS UI Gothic" w:eastAsia="MS UI Gothic"/>
          <w:spacing w:val="-11"/>
          <w:w w:val="125"/>
        </w:rPr>
        <w:t xml:space="preserve">) </w:t>
      </w:r>
      <w:r>
        <w:rPr>
          <w:spacing w:val="41"/>
          <w:w w:val="110"/>
        </w:rPr>
        <w:t>其他从业人员安全培训的</w:t>
      </w:r>
      <w:r>
        <w:rPr>
          <w:spacing w:val="3"/>
          <w:w w:val="110"/>
        </w:rPr>
        <w:t>情况</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法律法规规定的其他内容</w:t>
      </w:r>
      <w:r>
        <w:rPr>
          <w:rFonts w:hint="eastAsia" w:ascii="MS UI Gothic" w:eastAsia="MS UI Gothic"/>
          <w:w w:val="80"/>
        </w:rPr>
        <w:t>ꎮ</w:t>
      </w:r>
    </w:p>
    <w:p>
      <w:pPr>
        <w:pStyle w:val="6"/>
        <w:spacing w:before="57" w:line="295" w:lineRule="auto"/>
        <w:ind w:right="38"/>
        <w:rPr>
          <w:rFonts w:hint="eastAsia" w:ascii="MS UI Gothic" w:eastAsia="MS UI Gothic"/>
        </w:rPr>
      </w:pPr>
      <w:r>
        <w:rPr>
          <w:w w:val="105"/>
        </w:rPr>
        <w:t>第三十一条 任何单位或者个人对生产经营单位</w:t>
      </w:r>
      <w:r>
        <w:rPr>
          <w:rFonts w:hint="eastAsia" w:ascii="MS UI Gothic" w:eastAsia="MS UI Gothic"/>
          <w:w w:val="80"/>
        </w:rPr>
        <w:t xml:space="preserve">、 </w:t>
      </w:r>
      <w:r>
        <w:rPr>
          <w:w w:val="105"/>
        </w:rPr>
        <w:t>安全培训机构违反有关法律</w:t>
      </w:r>
      <w:r>
        <w:rPr>
          <w:rFonts w:hint="eastAsia" w:ascii="MS UI Gothic" w:eastAsia="MS UI Gothic"/>
          <w:w w:val="80"/>
        </w:rPr>
        <w:t xml:space="preserve">、 </w:t>
      </w:r>
      <w:r>
        <w:rPr>
          <w:w w:val="105"/>
        </w:rPr>
        <w:t>法规和本办法的行为</w:t>
      </w:r>
      <w:r>
        <w:rPr>
          <w:rFonts w:hint="eastAsia" w:ascii="MS UI Gothic" w:eastAsia="MS UI Gothic"/>
          <w:w w:val="80"/>
        </w:rPr>
        <w:t xml:space="preserve">ꎬ </w:t>
      </w:r>
      <w:r>
        <w:rPr>
          <w:w w:val="105"/>
        </w:rPr>
        <w:t>均有权向安全生产监督管理部门</w:t>
      </w:r>
      <w:r>
        <w:rPr>
          <w:rFonts w:hint="eastAsia" w:ascii="MS UI Gothic" w:eastAsia="MS UI Gothic"/>
          <w:w w:val="80"/>
        </w:rPr>
        <w:t xml:space="preserve">、 </w:t>
      </w:r>
      <w:r>
        <w:rPr>
          <w:w w:val="105"/>
        </w:rPr>
        <w:t>煤矿安全监察机构</w:t>
      </w:r>
      <w:r>
        <w:rPr>
          <w:rFonts w:hint="eastAsia" w:ascii="MS UI Gothic" w:eastAsia="MS UI Gothic"/>
          <w:w w:val="80"/>
        </w:rPr>
        <w:t>、</w:t>
      </w:r>
      <w:r>
        <w:rPr>
          <w:w w:val="105"/>
        </w:rPr>
        <w:t>煤矿安全培训监管机构报告或者举报</w:t>
      </w:r>
      <w:r>
        <w:rPr>
          <w:rFonts w:hint="eastAsia" w:ascii="MS UI Gothic" w:eastAsia="MS UI Gothic"/>
          <w:w w:val="80"/>
        </w:rPr>
        <w:t>ꎮ</w:t>
      </w:r>
    </w:p>
    <w:p>
      <w:pPr>
        <w:pStyle w:val="6"/>
        <w:spacing w:line="295" w:lineRule="auto"/>
        <w:ind w:right="39"/>
        <w:rPr>
          <w:rFonts w:hint="eastAsia" w:ascii="MS UI Gothic" w:eastAsia="MS UI Gothic"/>
        </w:rPr>
      </w:pPr>
      <w:r>
        <w:t>接到举报的部门或者机构应当为举报人保密</w:t>
      </w:r>
      <w:r>
        <w:rPr>
          <w:rFonts w:hint="eastAsia" w:ascii="MS UI Gothic" w:eastAsia="MS UI Gothic"/>
          <w:w w:val="80"/>
        </w:rPr>
        <w:t xml:space="preserve">ꎬ </w:t>
      </w:r>
      <w:r>
        <w:t>并按照有关规定对举报进行核查和处理</w:t>
      </w:r>
      <w:r>
        <w:rPr>
          <w:rFonts w:hint="eastAsia" w:ascii="MS UI Gothic" w:eastAsia="MS UI Gothic"/>
          <w:w w:val="80"/>
        </w:rPr>
        <w:t>ꎮ</w:t>
      </w:r>
    </w:p>
    <w:p>
      <w:pPr>
        <w:pStyle w:val="6"/>
        <w:spacing w:line="295" w:lineRule="auto"/>
        <w:ind w:right="38"/>
        <w:rPr>
          <w:rFonts w:hint="eastAsia" w:ascii="MS UI Gothic" w:hAnsi="MS UI Gothic" w:eastAsia="MS UI Gothic"/>
        </w:rPr>
      </w:pPr>
      <w:r>
        <w:rPr>
          <w:w w:val="105"/>
        </w:rPr>
        <w:t xml:space="preserve">第三十二条 监察机关依照 </w:t>
      </w:r>
      <w:r>
        <w:rPr>
          <w:rFonts w:hint="eastAsia" w:ascii="MS UI Gothic" w:hAnsi="MS UI Gothic" w:eastAsia="MS UI Gothic"/>
          <w:w w:val="80"/>
        </w:rPr>
        <w:t xml:space="preserve">« </w:t>
      </w:r>
      <w:r>
        <w:rPr>
          <w:w w:val="105"/>
        </w:rPr>
        <w:t>中华人民共和国行政监察法</w:t>
      </w:r>
      <w:r>
        <w:rPr>
          <w:rFonts w:hint="eastAsia" w:ascii="MS UI Gothic" w:hAnsi="MS UI Gothic" w:eastAsia="MS UI Gothic"/>
          <w:w w:val="80"/>
        </w:rPr>
        <w:t xml:space="preserve">» </w:t>
      </w:r>
      <w:r>
        <w:rPr>
          <w:w w:val="105"/>
        </w:rPr>
        <w:t>等法律</w:t>
      </w:r>
      <w:r>
        <w:rPr>
          <w:rFonts w:hint="eastAsia" w:ascii="MS UI Gothic" w:hAnsi="MS UI Gothic" w:eastAsia="MS UI Gothic"/>
          <w:w w:val="80"/>
        </w:rPr>
        <w:t xml:space="preserve">、 </w:t>
      </w:r>
      <w:r>
        <w:rPr>
          <w:w w:val="105"/>
        </w:rPr>
        <w:t>行政</w:t>
      </w:r>
      <w:r>
        <w:t>法规的规定</w:t>
      </w:r>
      <w:r>
        <w:rPr>
          <w:rFonts w:hint="eastAsia" w:ascii="MS UI Gothic" w:hAnsi="MS UI Gothic" w:eastAsia="MS UI Gothic"/>
          <w:w w:val="80"/>
        </w:rPr>
        <w:t xml:space="preserve">ꎬ </w:t>
      </w:r>
      <w:r>
        <w:t>对安全生产监督管理部门</w:t>
      </w:r>
      <w:r>
        <w:rPr>
          <w:rFonts w:hint="eastAsia" w:ascii="MS UI Gothic" w:hAnsi="MS UI Gothic" w:eastAsia="MS UI Gothic"/>
          <w:w w:val="80"/>
        </w:rPr>
        <w:t>、</w:t>
      </w:r>
      <w:r>
        <w:rPr>
          <w:w w:val="105"/>
        </w:rPr>
        <w:t>煤矿安全监察机构</w:t>
      </w:r>
      <w:r>
        <w:rPr>
          <w:rFonts w:hint="eastAsia" w:ascii="MS UI Gothic" w:hAnsi="MS UI Gothic" w:eastAsia="MS UI Gothic"/>
          <w:w w:val="80"/>
        </w:rPr>
        <w:t xml:space="preserve">、 </w:t>
      </w:r>
      <w:r>
        <w:rPr>
          <w:w w:val="105"/>
        </w:rPr>
        <w:t>煤矿安全培训监管机</w:t>
      </w:r>
      <w:r>
        <w:t>构及其工作人员履行安全培训工作监督管</w:t>
      </w:r>
      <w:r>
        <w:rPr>
          <w:w w:val="105"/>
        </w:rPr>
        <w:t>理职责情况实施监察</w:t>
      </w:r>
      <w:r>
        <w:rPr>
          <w:rFonts w:hint="eastAsia" w:ascii="MS UI Gothic" w:hAnsi="MS UI Gothic" w:eastAsia="MS UI Gothic"/>
          <w:w w:val="80"/>
        </w:rPr>
        <w:t>ꎮ</w:t>
      </w:r>
    </w:p>
    <w:p>
      <w:pPr>
        <w:pStyle w:val="6"/>
        <w:tabs>
          <w:tab w:val="left" w:pos="1906"/>
        </w:tabs>
        <w:spacing w:before="146"/>
        <w:ind w:left="1067" w:firstLine="0"/>
        <w:jc w:val="left"/>
      </w:pPr>
      <w:r>
        <w:rPr>
          <w:spacing w:val="3"/>
          <w:w w:val="105"/>
        </w:rPr>
        <w:t>第六</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right="38"/>
        <w:rPr>
          <w:rFonts w:hint="eastAsia" w:ascii="MS UI Gothic" w:eastAsia="MS UI Gothic"/>
        </w:rPr>
      </w:pPr>
      <w:r>
        <w:t>第三十三条  安全生产监督管理部门</w:t>
      </w:r>
      <w:r>
        <w:rPr>
          <w:rFonts w:hint="eastAsia" w:ascii="MS UI Gothic" w:eastAsia="MS UI Gothic"/>
          <w:w w:val="80"/>
        </w:rPr>
        <w:t xml:space="preserve">、 </w:t>
      </w:r>
      <w:r>
        <w:t>煤矿安全监察机构</w:t>
      </w:r>
      <w:r>
        <w:rPr>
          <w:rFonts w:hint="eastAsia" w:ascii="MS UI Gothic" w:eastAsia="MS UI Gothic"/>
          <w:w w:val="80"/>
        </w:rPr>
        <w:t xml:space="preserve">、 </w:t>
      </w:r>
      <w:r>
        <w:t>煤矿安全培训监管机构的工作人员在安全培训监督管理工作中滥用职权</w:t>
      </w:r>
      <w:r>
        <w:rPr>
          <w:rFonts w:hint="eastAsia" w:ascii="MS UI Gothic" w:eastAsia="MS UI Gothic"/>
          <w:w w:val="80"/>
        </w:rPr>
        <w:t xml:space="preserve">、 </w:t>
      </w:r>
      <w:r>
        <w:t>玩忽职守</w:t>
      </w:r>
      <w:r>
        <w:rPr>
          <w:rFonts w:hint="eastAsia" w:ascii="MS UI Gothic" w:eastAsia="MS UI Gothic"/>
          <w:w w:val="80"/>
        </w:rPr>
        <w:t xml:space="preserve">、 </w:t>
      </w:r>
      <w:r>
        <w:t>徇私舞弊的</w:t>
      </w:r>
      <w:r>
        <w:rPr>
          <w:rFonts w:hint="eastAsia" w:ascii="MS UI Gothic" w:eastAsia="MS UI Gothic"/>
          <w:w w:val="80"/>
        </w:rPr>
        <w:t>ꎬ</w:t>
      </w:r>
      <w:r>
        <w:t>依照有关规定给予处分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39"/>
        <w:rPr>
          <w:rFonts w:hint="eastAsia" w:ascii="MS UI Gothic" w:eastAsia="MS UI Gothic"/>
        </w:rPr>
      </w:pPr>
      <w:r>
        <w:rPr>
          <w:spacing w:val="4"/>
        </w:rPr>
        <w:t>第三十四条 安全培训机构有下列情</w:t>
      </w:r>
      <w:r>
        <w:rPr>
          <w:spacing w:val="3"/>
        </w:rPr>
        <w:t>形之一的</w:t>
      </w:r>
      <w:r>
        <w:rPr>
          <w:rFonts w:hint="eastAsia" w:ascii="MS UI Gothic" w:eastAsia="MS UI Gothic"/>
          <w:spacing w:val="23"/>
          <w:w w:val="80"/>
        </w:rPr>
        <w:t xml:space="preserve">ꎬ </w:t>
      </w:r>
      <w:r>
        <w:rPr>
          <w:spacing w:val="3"/>
        </w:rPr>
        <w:t>责令限期改正</w:t>
      </w:r>
      <w:r>
        <w:rPr>
          <w:rFonts w:hint="eastAsia" w:ascii="MS UI Gothic" w:eastAsia="MS UI Gothic"/>
          <w:spacing w:val="23"/>
          <w:w w:val="80"/>
        </w:rPr>
        <w:t xml:space="preserve">ꎬ </w:t>
      </w:r>
      <w:r>
        <w:rPr>
          <w:spacing w:val="-28"/>
        </w:rPr>
        <w:t xml:space="preserve">处 </w:t>
      </w:r>
      <w:r>
        <w:rPr>
          <w:rFonts w:hint="eastAsia" w:ascii="MS UI Gothic" w:eastAsia="MS UI Gothic"/>
          <w:spacing w:val="2"/>
          <w:w w:val="80"/>
        </w:rPr>
        <w:t xml:space="preserve">１ </w:t>
      </w:r>
      <w:r>
        <w:rPr>
          <w:spacing w:val="3"/>
        </w:rPr>
        <w:t>万元以下的罚款</w:t>
      </w:r>
      <w:r>
        <w:rPr>
          <w:rFonts w:hint="eastAsia" w:ascii="MS UI Gothic" w:eastAsia="MS UI Gothic"/>
          <w:spacing w:val="15"/>
          <w:w w:val="80"/>
        </w:rPr>
        <w:t xml:space="preserve">ꎻ </w:t>
      </w:r>
      <w:r>
        <w:rPr>
          <w:spacing w:val="6"/>
        </w:rPr>
        <w:t>逾期未改正的</w:t>
      </w:r>
      <w:r>
        <w:rPr>
          <w:rFonts w:hint="eastAsia" w:ascii="MS UI Gothic" w:eastAsia="MS UI Gothic"/>
          <w:spacing w:val="17"/>
          <w:w w:val="80"/>
        </w:rPr>
        <w:t xml:space="preserve">ꎬ </w:t>
      </w:r>
      <w:r>
        <w:rPr>
          <w:spacing w:val="7"/>
        </w:rPr>
        <w:t>给予警告</w:t>
      </w:r>
      <w:r>
        <w:rPr>
          <w:rFonts w:hint="eastAsia" w:ascii="MS UI Gothic" w:eastAsia="MS UI Gothic"/>
          <w:spacing w:val="17"/>
          <w:w w:val="80"/>
        </w:rPr>
        <w:t xml:space="preserve">ꎬ </w:t>
      </w:r>
      <w:r>
        <w:rPr>
          <w:spacing w:val="-29"/>
        </w:rPr>
        <w:t xml:space="preserve">处 </w:t>
      </w:r>
      <w:r>
        <w:rPr>
          <w:rFonts w:hint="eastAsia" w:ascii="MS UI Gothic" w:eastAsia="MS UI Gothic"/>
          <w:w w:val="80"/>
        </w:rPr>
        <w:t xml:space="preserve">１ </w:t>
      </w:r>
      <w:r>
        <w:rPr>
          <w:spacing w:val="-8"/>
        </w:rPr>
        <w:t xml:space="preserve">万元以上 </w:t>
      </w:r>
      <w:r>
        <w:rPr>
          <w:rFonts w:hint="eastAsia" w:ascii="MS UI Gothic" w:eastAsia="MS UI Gothic"/>
          <w:spacing w:val="6"/>
          <w:w w:val="80"/>
        </w:rPr>
        <w:t xml:space="preserve">３ </w:t>
      </w:r>
      <w:r>
        <w:rPr>
          <w:spacing w:val="3"/>
        </w:rPr>
        <w:t>万元以下的罚款</w:t>
      </w:r>
      <w:r>
        <w:rPr>
          <w:rFonts w:hint="eastAsia" w:ascii="MS UI Gothic" w:eastAsia="MS UI Gothic"/>
          <w:w w:val="235"/>
        </w:rPr>
        <w:t>:</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不具备安全培训条件的</w:t>
      </w:r>
      <w:r>
        <w:rPr>
          <w:rFonts w:hint="eastAsia" w:ascii="MS UI Gothic" w:eastAsia="MS UI Gothic"/>
          <w:w w:val="80"/>
        </w:rPr>
        <w:t>ꎻ</w:t>
      </w:r>
    </w:p>
    <w:p>
      <w:pPr>
        <w:pStyle w:val="6"/>
        <w:spacing w:before="53" w:line="295" w:lineRule="auto"/>
        <w:ind w:right="39"/>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未按照统一的培训大纲组织教</w:t>
      </w:r>
      <w:r>
        <w:rPr>
          <w:w w:val="110"/>
        </w:rPr>
        <w:t>学培训的</w:t>
      </w:r>
      <w:r>
        <w:rPr>
          <w:rFonts w:hint="eastAsia" w:ascii="MS UI Gothic" w:eastAsia="MS UI Gothic"/>
          <w:w w:val="80"/>
        </w:rPr>
        <w:t>ꎻ</w:t>
      </w:r>
    </w:p>
    <w:p>
      <w:pPr>
        <w:pStyle w:val="6"/>
        <w:spacing w:before="123" w:line="295" w:lineRule="auto"/>
        <w:ind w:left="130" w:right="442"/>
        <w:rPr>
          <w:rFonts w:hint="eastAsia" w:ascii="MS UI Gothic" w:eastAsia="MS UI Gothic"/>
        </w:rPr>
      </w:pPr>
      <w:r>
        <w:br w:type="column"/>
      </w: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未建立培训档案或者培训档案</w:t>
      </w:r>
      <w:r>
        <w:t>管理不规范的</w:t>
      </w:r>
      <w:r>
        <w:rPr>
          <w:rFonts w:hint="eastAsia" w:ascii="MS UI Gothic" w:eastAsia="MS UI Gothic"/>
          <w:w w:val="80"/>
        </w:rPr>
        <w:t xml:space="preserve">ꎻ </w:t>
      </w:r>
      <w:r>
        <w:t>安全培训机构采取不正当</w:t>
      </w:r>
      <w:r>
        <w:rPr>
          <w:w w:val="105"/>
        </w:rPr>
        <w:t>竞争手段</w:t>
      </w:r>
      <w:r>
        <w:rPr>
          <w:rFonts w:hint="eastAsia" w:ascii="MS UI Gothic" w:eastAsia="MS UI Gothic"/>
          <w:w w:val="80"/>
        </w:rPr>
        <w:t xml:space="preserve">ꎬ </w:t>
      </w:r>
      <w:r>
        <w:rPr>
          <w:w w:val="105"/>
        </w:rPr>
        <w:t>故意贬低</w:t>
      </w:r>
      <w:r>
        <w:rPr>
          <w:rFonts w:hint="eastAsia" w:ascii="MS UI Gothic" w:eastAsia="MS UI Gothic"/>
          <w:w w:val="80"/>
        </w:rPr>
        <w:t xml:space="preserve">、 </w:t>
      </w:r>
      <w:r>
        <w:rPr>
          <w:w w:val="105"/>
        </w:rPr>
        <w:t>诋毁其他安全培训机构的</w:t>
      </w:r>
      <w:r>
        <w:rPr>
          <w:rFonts w:hint="eastAsia" w:ascii="MS UI Gothic" w:eastAsia="MS UI Gothic"/>
          <w:w w:val="80"/>
        </w:rPr>
        <w:t xml:space="preserve">ꎬ </w:t>
      </w:r>
      <w:r>
        <w:rPr>
          <w:w w:val="105"/>
        </w:rPr>
        <w:t>依照前款规定处罚</w:t>
      </w:r>
      <w:r>
        <w:rPr>
          <w:rFonts w:hint="eastAsia" w:ascii="MS UI Gothic" w:eastAsia="MS UI Gothic"/>
          <w:w w:val="80"/>
        </w:rPr>
        <w:t>ꎮ</w:t>
      </w:r>
    </w:p>
    <w:p>
      <w:pPr>
        <w:pStyle w:val="6"/>
        <w:spacing w:line="295" w:lineRule="auto"/>
        <w:ind w:left="130" w:right="442"/>
        <w:rPr>
          <w:rFonts w:hint="eastAsia" w:ascii="MS UI Gothic" w:eastAsia="MS UI Gothic"/>
        </w:rPr>
      </w:pPr>
      <w:r>
        <w:rPr>
          <w:spacing w:val="2"/>
          <w:w w:val="95"/>
        </w:rPr>
        <w:t>第三十五条   生产经营单位主要负责</w:t>
      </w:r>
      <w:r>
        <w:rPr>
          <w:spacing w:val="3"/>
          <w:w w:val="95"/>
        </w:rPr>
        <w:t>人</w:t>
      </w:r>
      <w:r>
        <w:rPr>
          <w:rFonts w:hint="eastAsia" w:ascii="MS UI Gothic" w:eastAsia="MS UI Gothic"/>
          <w:spacing w:val="7"/>
          <w:w w:val="95"/>
        </w:rPr>
        <w:t xml:space="preserve">、  </w:t>
      </w:r>
      <w:r>
        <w:rPr>
          <w:spacing w:val="3"/>
          <w:w w:val="95"/>
        </w:rPr>
        <w:t>安全生产管理人员</w:t>
      </w:r>
      <w:r>
        <w:rPr>
          <w:rFonts w:hint="eastAsia" w:ascii="MS UI Gothic" w:eastAsia="MS UI Gothic"/>
          <w:spacing w:val="7"/>
          <w:w w:val="95"/>
        </w:rPr>
        <w:t xml:space="preserve">、  </w:t>
      </w:r>
      <w:r>
        <w:rPr>
          <w:spacing w:val="2"/>
          <w:w w:val="95"/>
        </w:rPr>
        <w:t>特种作业人员以</w:t>
      </w:r>
      <w:r>
        <w:rPr>
          <w:spacing w:val="3"/>
          <w:w w:val="95"/>
        </w:rPr>
        <w:t>欺骗</w:t>
      </w:r>
      <w:r>
        <w:rPr>
          <w:rFonts w:hint="eastAsia" w:ascii="MS UI Gothic" w:eastAsia="MS UI Gothic"/>
          <w:spacing w:val="1"/>
          <w:w w:val="95"/>
        </w:rPr>
        <w:t xml:space="preserve">、    </w:t>
      </w:r>
      <w:r>
        <w:rPr>
          <w:spacing w:val="2"/>
          <w:w w:val="95"/>
        </w:rPr>
        <w:t>贿赂等不正当手段取得安全合格证</w:t>
      </w:r>
      <w:r>
        <w:rPr>
          <w:spacing w:val="3"/>
          <w:w w:val="95"/>
        </w:rPr>
        <w:t>或者特种作业操作证的</w:t>
      </w:r>
      <w:r>
        <w:rPr>
          <w:rFonts w:hint="eastAsia" w:ascii="MS UI Gothic" w:eastAsia="MS UI Gothic"/>
          <w:spacing w:val="12"/>
          <w:w w:val="90"/>
        </w:rPr>
        <w:t xml:space="preserve">ꎬ  </w:t>
      </w:r>
      <w:r>
        <w:rPr>
          <w:spacing w:val="2"/>
          <w:w w:val="95"/>
        </w:rPr>
        <w:t>除撤销其相关证</w:t>
      </w:r>
      <w:r>
        <w:rPr>
          <w:spacing w:val="3"/>
          <w:w w:val="95"/>
        </w:rPr>
        <w:t>书外</w:t>
      </w:r>
      <w:r>
        <w:rPr>
          <w:rFonts w:hint="eastAsia" w:ascii="MS UI Gothic" w:eastAsia="MS UI Gothic"/>
          <w:spacing w:val="17"/>
          <w:w w:val="90"/>
        </w:rPr>
        <w:t xml:space="preserve">ꎬ </w:t>
      </w:r>
      <w:r>
        <w:rPr>
          <w:spacing w:val="-24"/>
          <w:w w:val="95"/>
        </w:rPr>
        <w:t xml:space="preserve">处 </w:t>
      </w:r>
      <w:r>
        <w:rPr>
          <w:rFonts w:hint="eastAsia" w:ascii="MS UI Gothic" w:eastAsia="MS UI Gothic"/>
          <w:w w:val="95"/>
        </w:rPr>
        <w:t xml:space="preserve">３０００ </w:t>
      </w:r>
      <w:r>
        <w:rPr>
          <w:spacing w:val="11"/>
          <w:w w:val="95"/>
        </w:rPr>
        <w:t>元以下的罚款</w:t>
      </w:r>
      <w:r>
        <w:rPr>
          <w:rFonts w:hint="eastAsia" w:ascii="MS UI Gothic" w:eastAsia="MS UI Gothic"/>
          <w:spacing w:val="20"/>
          <w:w w:val="90"/>
        </w:rPr>
        <w:t xml:space="preserve">ꎬ </w:t>
      </w:r>
      <w:r>
        <w:rPr>
          <w:spacing w:val="11"/>
          <w:w w:val="95"/>
        </w:rPr>
        <w:t>并自撤销</w:t>
      </w:r>
      <w:r>
        <w:rPr>
          <w:spacing w:val="6"/>
          <w:w w:val="95"/>
        </w:rPr>
        <w:t xml:space="preserve">其相关证书之日起 </w:t>
      </w:r>
      <w:r>
        <w:rPr>
          <w:rFonts w:hint="eastAsia" w:ascii="MS UI Gothic" w:eastAsia="MS UI Gothic"/>
          <w:spacing w:val="23"/>
          <w:w w:val="95"/>
        </w:rPr>
        <w:t xml:space="preserve">３ </w:t>
      </w:r>
      <w:r>
        <w:rPr>
          <w:spacing w:val="2"/>
          <w:w w:val="95"/>
        </w:rPr>
        <w:t>年内不得再次申请该</w:t>
      </w:r>
      <w:r>
        <w:rPr>
          <w:spacing w:val="3"/>
          <w:w w:val="95"/>
        </w:rPr>
        <w:t>证书</w:t>
      </w:r>
      <w:r>
        <w:rPr>
          <w:rFonts w:hint="eastAsia" w:ascii="MS UI Gothic" w:eastAsia="MS UI Gothic"/>
          <w:w w:val="90"/>
        </w:rPr>
        <w:t>ꎮ</w:t>
      </w:r>
    </w:p>
    <w:p>
      <w:pPr>
        <w:pStyle w:val="6"/>
        <w:spacing w:line="295" w:lineRule="auto"/>
        <w:ind w:left="130" w:right="442"/>
        <w:rPr>
          <w:rFonts w:hint="eastAsia" w:ascii="MS UI Gothic" w:eastAsia="MS UI Gothic"/>
        </w:rPr>
      </w:pPr>
      <w:r>
        <w:rPr>
          <w:spacing w:val="2"/>
          <w:w w:val="105"/>
        </w:rPr>
        <w:t>第三十六条 生产经营单位有下列情</w:t>
      </w:r>
      <w:r>
        <w:rPr>
          <w:spacing w:val="7"/>
          <w:w w:val="105"/>
        </w:rPr>
        <w:t>形之一的</w:t>
      </w:r>
      <w:r>
        <w:rPr>
          <w:rFonts w:hint="eastAsia" w:ascii="MS UI Gothic" w:eastAsia="MS UI Gothic"/>
          <w:spacing w:val="8"/>
          <w:w w:val="80"/>
        </w:rPr>
        <w:t xml:space="preserve">ꎬ </w:t>
      </w:r>
      <w:r>
        <w:rPr>
          <w:spacing w:val="16"/>
          <w:w w:val="105"/>
        </w:rPr>
        <w:t>责令改正</w:t>
      </w:r>
      <w:r>
        <w:rPr>
          <w:rFonts w:hint="eastAsia" w:ascii="MS UI Gothic" w:eastAsia="MS UI Gothic"/>
          <w:spacing w:val="8"/>
          <w:w w:val="80"/>
        </w:rPr>
        <w:t xml:space="preserve">ꎬ </w:t>
      </w:r>
      <w:r>
        <w:rPr>
          <w:spacing w:val="-32"/>
          <w:w w:val="105"/>
        </w:rPr>
        <w:t xml:space="preserve">处 </w:t>
      </w:r>
      <w:r>
        <w:rPr>
          <w:rFonts w:hint="eastAsia" w:ascii="MS UI Gothic" w:eastAsia="MS UI Gothic"/>
          <w:spacing w:val="-2"/>
          <w:w w:val="80"/>
        </w:rPr>
        <w:t xml:space="preserve">３ </w:t>
      </w:r>
      <w:r>
        <w:rPr>
          <w:spacing w:val="16"/>
          <w:w w:val="105"/>
        </w:rPr>
        <w:t>万元以下的</w:t>
      </w:r>
      <w:r>
        <w:rPr>
          <w:spacing w:val="3"/>
          <w:w w:val="105"/>
        </w:rPr>
        <w:t>罚款</w:t>
      </w:r>
      <w:r>
        <w:rPr>
          <w:rFonts w:hint="eastAsia" w:ascii="MS UI Gothic" w:eastAsia="MS UI Gothic"/>
          <w:w w:val="235"/>
        </w:rPr>
        <w:t>:</w:t>
      </w:r>
    </w:p>
    <w:p>
      <w:pPr>
        <w:pStyle w:val="6"/>
        <w:spacing w:line="295" w:lineRule="auto"/>
        <w:ind w:left="130" w:right="442"/>
        <w:rPr>
          <w:rFonts w:hint="eastAsia" w:ascii="MS UI Gothic" w:hAnsi="MS UI Gothic" w:eastAsia="MS UI Gothic"/>
        </w:rPr>
      </w:pPr>
      <w:r>
        <w:pict>
          <v:shape id="_x0000_s1385" o:spid="_x0000_s1385" o:spt="202" type="#_x0000_t202" style="position:absolute;left:0pt;margin-left:264.8pt;margin-top:12pt;height:24.35pt;width:5.15pt;mso-position-horizontal-relative:page;z-index:-275960832;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hAnsi="MS UI Gothic"/>
                    </w:rPr>
                  </w:pPr>
                  <w:r>
                    <w:rPr>
                      <w:rFonts w:ascii="MS UI Gothic" w:hAnsi="MS UI Gothic"/>
                      <w:w w:val="76"/>
                    </w:rPr>
                    <w:t>«</w:t>
                  </w:r>
                </w:p>
              </w:txbxContent>
            </v:textbox>
          </v:shape>
        </w:pict>
      </w:r>
      <w:r>
        <w:rPr>
          <w:rFonts w:hint="eastAsia" w:ascii="MS UI Gothic" w:hAnsi="MS UI Gothic" w:eastAsia="MS UI Gothic"/>
          <w:w w:val="150"/>
        </w:rPr>
        <w:t xml:space="preserve">( </w:t>
      </w:r>
      <w:r>
        <w:rPr>
          <w:w w:val="105"/>
        </w:rPr>
        <w:t>一</w:t>
      </w:r>
      <w:r>
        <w:rPr>
          <w:rFonts w:hint="eastAsia" w:ascii="MS UI Gothic" w:hAnsi="MS UI Gothic" w:eastAsia="MS UI Gothic"/>
          <w:w w:val="150"/>
        </w:rPr>
        <w:t xml:space="preserve">) </w:t>
      </w:r>
      <w:r>
        <w:rPr>
          <w:w w:val="105"/>
        </w:rPr>
        <w:t>从业人员安全培训的时间少于生产经营单位安全培训规定</w:t>
      </w:r>
      <w:r>
        <w:rPr>
          <w:rFonts w:hint="eastAsia" w:ascii="MS UI Gothic" w:hAnsi="MS UI Gothic" w:eastAsia="MS UI Gothic"/>
          <w:w w:val="80"/>
        </w:rPr>
        <w:t xml:space="preserve">» </w:t>
      </w:r>
      <w:r>
        <w:rPr>
          <w:w w:val="105"/>
        </w:rPr>
        <w:t>或者有关标准规定的</w:t>
      </w:r>
      <w:r>
        <w:rPr>
          <w:rFonts w:hint="eastAsia" w:ascii="MS UI Gothic" w:hAns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矿山新招的井下作业人员和危</w:t>
      </w:r>
      <w:r>
        <w:t>险物品生产经营单位新招的危险工艺操作岗位人员</w:t>
      </w:r>
      <w:r>
        <w:rPr>
          <w:rFonts w:hint="eastAsia" w:ascii="MS UI Gothic" w:eastAsia="MS UI Gothic"/>
          <w:w w:val="80"/>
        </w:rPr>
        <w:t xml:space="preserve">ꎬ </w:t>
      </w:r>
      <w:r>
        <w:t>未经实习期满独立上岗作</w:t>
      </w:r>
      <w:r>
        <w:rPr>
          <w:w w:val="105"/>
        </w:rPr>
        <w:t>业的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相关人员未按照本办法第十二条规定重新参加安全培训的</w:t>
      </w:r>
      <w:r>
        <w:rPr>
          <w:rFonts w:hint="eastAsia" w:ascii="MS UI Gothic" w:eastAsia="MS UI Gothic"/>
          <w:w w:val="80"/>
        </w:rPr>
        <w:t>ꎮ</w:t>
      </w:r>
    </w:p>
    <w:p>
      <w:pPr>
        <w:pStyle w:val="6"/>
        <w:spacing w:line="295" w:lineRule="auto"/>
        <w:ind w:left="130" w:right="442"/>
        <w:rPr>
          <w:rFonts w:hint="eastAsia" w:ascii="MS UI Gothic" w:eastAsia="MS UI Gothic"/>
        </w:rPr>
      </w:pPr>
      <w:r>
        <w:t>第三十七条 生产经营单位存在违反有关法律</w:t>
      </w:r>
      <w:r>
        <w:rPr>
          <w:rFonts w:hint="eastAsia" w:ascii="MS UI Gothic" w:eastAsia="MS UI Gothic"/>
          <w:w w:val="80"/>
        </w:rPr>
        <w:t xml:space="preserve">、 </w:t>
      </w:r>
      <w:r>
        <w:t>法规中安全生产教育培训的其他行为的</w:t>
      </w:r>
      <w:r>
        <w:rPr>
          <w:rFonts w:hint="eastAsia" w:ascii="MS UI Gothic" w:eastAsia="MS UI Gothic"/>
          <w:w w:val="80"/>
        </w:rPr>
        <w:t xml:space="preserve">ꎬ </w:t>
      </w:r>
      <w:r>
        <w:t>依照相关法律</w:t>
      </w:r>
      <w:r>
        <w:rPr>
          <w:rFonts w:hint="eastAsia" w:ascii="MS UI Gothic" w:eastAsia="MS UI Gothic"/>
          <w:w w:val="80"/>
        </w:rPr>
        <w:t xml:space="preserve">、 </w:t>
      </w:r>
      <w:r>
        <w:t>法规的规定予以处罚</w:t>
      </w:r>
      <w:r>
        <w:rPr>
          <w:rFonts w:hint="eastAsia" w:ascii="MS UI Gothic" w:eastAsia="MS UI Gothic"/>
          <w:w w:val="80"/>
        </w:rPr>
        <w:t>ꎮ</w:t>
      </w:r>
    </w:p>
    <w:p>
      <w:pPr>
        <w:pStyle w:val="6"/>
        <w:tabs>
          <w:tab w:val="left" w:pos="2016"/>
          <w:tab w:val="left" w:pos="2645"/>
        </w:tabs>
        <w:spacing w:before="136"/>
        <w:ind w:left="1178" w:firstLine="0"/>
        <w:jc w:val="left"/>
      </w:pPr>
      <w:r>
        <w:rPr>
          <w:spacing w:val="3"/>
          <w:w w:val="105"/>
        </w:rPr>
        <w:t>第七</w:t>
      </w:r>
      <w:r>
        <w:rPr>
          <w:w w:val="105"/>
        </w:rPr>
        <w:t>章</w:t>
      </w:r>
      <w:r>
        <w:rPr>
          <w:w w:val="105"/>
        </w:rPr>
        <w:tab/>
      </w:r>
      <w:r>
        <w:rPr>
          <w:w w:val="105"/>
        </w:rPr>
        <w:t>附</w:t>
      </w:r>
      <w:r>
        <w:rPr>
          <w:w w:val="105"/>
        </w:rPr>
        <w:tab/>
      </w:r>
      <w:r>
        <w:rPr>
          <w:w w:val="105"/>
        </w:rPr>
        <w:t>则</w:t>
      </w:r>
    </w:p>
    <w:p>
      <w:pPr>
        <w:pStyle w:val="6"/>
        <w:spacing w:before="215" w:line="295" w:lineRule="auto"/>
        <w:ind w:left="130" w:right="442" w:hanging="6"/>
        <w:rPr>
          <w:rFonts w:hint="eastAsia" w:ascii="MS UI Gothic" w:hAnsi="MS UI Gothic" w:eastAsia="MS UI Gothic"/>
        </w:rPr>
      </w:pPr>
      <w:r>
        <w:pict>
          <v:shape id="_x0000_s1386" o:spid="_x0000_s1386" o:spt="202" type="#_x0000_t202" style="position:absolute;left:0pt;margin-left:264.8pt;margin-top:22.75pt;height:40.1pt;width:188.45pt;mso-position-horizontal-relative:page;z-index:-27596185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pPr>
                  <w:r>
                    <w:rPr>
                      <w:rFonts w:hint="eastAsia" w:ascii="MS UI Gothic" w:hAnsi="MS UI Gothic" w:eastAsia="MS UI Gothic"/>
                      <w:w w:val="95"/>
                      <w:position w:val="-30"/>
                    </w:rPr>
                    <w:t xml:space="preserve">« </w:t>
                  </w:r>
                  <w:r>
                    <w:rPr>
                      <w:w w:val="95"/>
                    </w:rPr>
                    <w:t>日起施行</w:t>
                  </w:r>
                  <w:r>
                    <w:rPr>
                      <w:rFonts w:hint="eastAsia" w:ascii="MS UI Gothic" w:hAnsi="MS UI Gothic" w:eastAsia="MS UI Gothic"/>
                      <w:w w:val="90"/>
                    </w:rPr>
                    <w:t xml:space="preserve">ꎮ </w:t>
                  </w:r>
                  <w:r>
                    <w:rPr>
                      <w:rFonts w:hint="eastAsia" w:ascii="MS UI Gothic" w:hAnsi="MS UI Gothic" w:eastAsia="MS UI Gothic"/>
                      <w:w w:val="95"/>
                    </w:rPr>
                    <w:t xml:space="preserve">２００４ </w:t>
                  </w:r>
                  <w:r>
                    <w:rPr>
                      <w:w w:val="95"/>
                    </w:rPr>
                    <w:t xml:space="preserve">年 </w:t>
                  </w:r>
                  <w:r>
                    <w:rPr>
                      <w:rFonts w:hint="eastAsia" w:ascii="MS UI Gothic" w:hAnsi="MS UI Gothic" w:eastAsia="MS UI Gothic"/>
                      <w:w w:val="95"/>
                    </w:rPr>
                    <w:t xml:space="preserve">１２ </w:t>
                  </w:r>
                  <w:r>
                    <w:rPr>
                      <w:w w:val="95"/>
                    </w:rPr>
                    <w:t xml:space="preserve">月 </w:t>
                  </w:r>
                  <w:r>
                    <w:rPr>
                      <w:rFonts w:hint="eastAsia" w:ascii="MS UI Gothic" w:hAnsi="MS UI Gothic" w:eastAsia="MS UI Gothic"/>
                      <w:w w:val="95"/>
                    </w:rPr>
                    <w:t xml:space="preserve">２８ </w:t>
                  </w:r>
                  <w:r>
                    <w:rPr>
                      <w:w w:val="95"/>
                    </w:rPr>
                    <w:t>日公布的</w:t>
                  </w:r>
                </w:p>
              </w:txbxContent>
            </v:textbox>
          </v:shape>
        </w:pict>
      </w:r>
      <w:r>
        <w:rPr>
          <w:rFonts w:hint="eastAsia" w:ascii="MS UI Gothic" w:hAnsi="MS UI Gothic" w:eastAsia="MS UI Gothic"/>
          <w:w w:val="95"/>
          <w:position w:val="-30"/>
        </w:rPr>
        <w:t xml:space="preserve">１   </w:t>
      </w:r>
      <w:r>
        <w:rPr>
          <w:w w:val="95"/>
        </w:rPr>
        <w:t xml:space="preserve">第三十八条  本办法自 </w:t>
      </w:r>
      <w:r>
        <w:rPr>
          <w:rFonts w:hint="eastAsia" w:ascii="MS UI Gothic" w:hAnsi="MS UI Gothic" w:eastAsia="MS UI Gothic"/>
          <w:w w:val="95"/>
        </w:rPr>
        <w:t xml:space="preserve">２０１２ </w:t>
      </w:r>
      <w:r>
        <w:rPr>
          <w:w w:val="95"/>
        </w:rPr>
        <w:t xml:space="preserve">年 </w:t>
      </w:r>
      <w:r>
        <w:rPr>
          <w:rFonts w:hint="eastAsia" w:ascii="MS UI Gothic" w:hAnsi="MS UI Gothic" w:eastAsia="MS UI Gothic"/>
          <w:w w:val="95"/>
        </w:rPr>
        <w:t xml:space="preserve">３ </w:t>
      </w:r>
      <w:r>
        <w:rPr>
          <w:w w:val="95"/>
        </w:rPr>
        <w:t>月安全生产培训管理办法</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 xml:space="preserve">原国家安全生产监督管理局 </w:t>
      </w:r>
      <w:r>
        <w:rPr>
          <w:rFonts w:hint="eastAsia" w:ascii="MS UI Gothic" w:hAnsi="MS UI Gothic" w:eastAsia="MS UI Gothic"/>
          <w:w w:val="95"/>
        </w:rPr>
        <w:t xml:space="preserve">‹ </w:t>
      </w:r>
      <w:r>
        <w:rPr>
          <w:w w:val="95"/>
        </w:rPr>
        <w:t>国家煤矿安全监察局</w:t>
      </w:r>
      <w:r>
        <w:rPr>
          <w:rFonts w:hint="eastAsia" w:ascii="MS UI Gothic" w:hAnsi="MS UI Gothic" w:eastAsia="MS UI Gothic"/>
          <w:w w:val="95"/>
        </w:rPr>
        <w:t xml:space="preserve">› </w:t>
      </w:r>
      <w:r>
        <w:rPr>
          <w:w w:val="95"/>
        </w:rPr>
        <w:t xml:space="preserve">令第 </w:t>
      </w:r>
      <w:r>
        <w:rPr>
          <w:rFonts w:hint="eastAsia" w:ascii="MS UI Gothic" w:hAnsi="MS UI Gothic" w:eastAsia="MS UI Gothic"/>
          <w:w w:val="95"/>
        </w:rPr>
        <w:t xml:space="preserve">２０ </w:t>
      </w:r>
      <w:r>
        <w:rPr>
          <w:w w:val="95"/>
        </w:rPr>
        <w:t>号</w:t>
      </w:r>
      <w:r>
        <w:rPr>
          <w:rFonts w:hint="eastAsia" w:ascii="MS UI Gothic" w:hAnsi="MS UI Gothic" w:eastAsia="MS UI Gothic"/>
          <w:w w:val="140"/>
        </w:rPr>
        <w:t xml:space="preserve">) </w:t>
      </w:r>
      <w:r>
        <w:rPr>
          <w:w w:val="95"/>
        </w:rPr>
        <w:t>同时废止</w:t>
      </w:r>
      <w:r>
        <w:rPr>
          <w:rFonts w:hint="eastAsia" w:ascii="MS UI Gothic" w:hAnsi="MS UI Gothic" w:eastAsia="MS UI Gothic"/>
          <w:w w:val="9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１１５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87" o:spid="_x0000_s1387" o:spt="203" style="height:2.15pt;width:398.25pt;" coordsize="7965,43">
            <o:lock v:ext="edit"/>
            <v:line id="_x0000_s1388" o:spid="_x0000_s1388" o:spt="20" style="position:absolute;left:0;top:39;height:0;width:7965;" stroked="t" coordsize="21600,21600">
              <v:path arrowok="t"/>
              <v:fill focussize="0,0"/>
              <v:stroke weight="0.388031496062992pt" color="#231F20"/>
              <v:imagedata o:title=""/>
              <o:lock v:ext="edit"/>
            </v:line>
            <v:line id="_x0000_s1389" o:spid="_x0000_s1389"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4"/>
        <w:spacing w:before="238"/>
      </w:pPr>
      <w:r>
        <w:t>中华人民共和国人力资源和社会保障部令</w:t>
      </w:r>
    </w:p>
    <w:p>
      <w:pPr>
        <w:pStyle w:val="6"/>
        <w:ind w:left="0" w:firstLine="0"/>
        <w:jc w:val="left"/>
        <w:rPr>
          <w:sz w:val="27"/>
        </w:rPr>
      </w:pPr>
    </w:p>
    <w:p>
      <w:pPr>
        <w:pStyle w:val="5"/>
      </w:pPr>
      <w:r>
        <w:t xml:space="preserve">第 </w:t>
      </w:r>
      <w:r>
        <w:rPr>
          <w:rFonts w:hint="eastAsia" w:ascii="MS UI Gothic" w:eastAsia="MS UI Gothic"/>
        </w:rPr>
        <w:t xml:space="preserve">８ </w:t>
      </w:r>
      <w:r>
        <w:t>号</w:t>
      </w:r>
    </w:p>
    <w:p>
      <w:pPr>
        <w:pStyle w:val="6"/>
        <w:spacing w:before="354" w:line="295" w:lineRule="auto"/>
        <w:ind w:left="440" w:right="126"/>
        <w:rPr>
          <w:rFonts w:hint="eastAsia" w:ascii="MS UI Gothic" w:hAnsi="MS UI Gothic" w:eastAsia="MS UI Gothic"/>
        </w:rPr>
      </w:pPr>
      <w:r>
        <w:rPr>
          <w:spacing w:val="17"/>
          <w:w w:val="95"/>
        </w:rPr>
        <w:t xml:space="preserve">新修订的 </w:t>
      </w:r>
      <w:r>
        <w:rPr>
          <w:rFonts w:hint="eastAsia" w:ascii="MS UI Gothic" w:hAnsi="MS UI Gothic" w:eastAsia="MS UI Gothic"/>
          <w:spacing w:val="-13"/>
          <w:w w:val="95"/>
        </w:rPr>
        <w:t xml:space="preserve">« </w:t>
      </w:r>
      <w:r>
        <w:rPr>
          <w:spacing w:val="3"/>
          <w:w w:val="95"/>
        </w:rPr>
        <w:t>工伤认定办法</w:t>
      </w:r>
      <w:r>
        <w:rPr>
          <w:rFonts w:hint="eastAsia" w:ascii="MS UI Gothic" w:hAnsi="MS UI Gothic" w:eastAsia="MS UI Gothic"/>
          <w:spacing w:val="9"/>
          <w:w w:val="95"/>
        </w:rPr>
        <w:t xml:space="preserve">»  </w:t>
      </w:r>
      <w:r>
        <w:rPr>
          <w:spacing w:val="1"/>
          <w:w w:val="95"/>
        </w:rPr>
        <w:t xml:space="preserve">已经人力资源和社会保障部第 </w:t>
      </w:r>
      <w:r>
        <w:rPr>
          <w:rFonts w:hint="eastAsia" w:ascii="MS UI Gothic" w:hAnsi="MS UI Gothic" w:eastAsia="MS UI Gothic"/>
          <w:spacing w:val="13"/>
          <w:w w:val="95"/>
        </w:rPr>
        <w:t xml:space="preserve">５６ </w:t>
      </w:r>
      <w:r>
        <w:rPr>
          <w:spacing w:val="6"/>
          <w:w w:val="95"/>
        </w:rPr>
        <w:t>次部务会议通过</w:t>
      </w:r>
      <w:r>
        <w:rPr>
          <w:rFonts w:hint="eastAsia" w:ascii="MS UI Gothic" w:hAnsi="MS UI Gothic" w:eastAsia="MS UI Gothic"/>
          <w:spacing w:val="3"/>
          <w:w w:val="90"/>
        </w:rPr>
        <w:t xml:space="preserve">ꎬ  </w:t>
      </w:r>
      <w:r>
        <w:rPr>
          <w:w w:val="95"/>
        </w:rPr>
        <w:t>现</w:t>
      </w:r>
      <w:r>
        <w:rPr>
          <w:spacing w:val="3"/>
          <w:w w:val="95"/>
        </w:rPr>
        <w:t>予公布</w:t>
      </w:r>
      <w:r>
        <w:rPr>
          <w:rFonts w:hint="eastAsia" w:ascii="MS UI Gothic" w:hAnsi="MS UI Gothic" w:eastAsia="MS UI Gothic"/>
          <w:spacing w:val="18"/>
          <w:w w:val="90"/>
        </w:rPr>
        <w:t xml:space="preserve">ꎬ </w:t>
      </w:r>
      <w:r>
        <w:rPr>
          <w:spacing w:val="-26"/>
          <w:w w:val="95"/>
        </w:rPr>
        <w:t xml:space="preserve">自 </w:t>
      </w:r>
      <w:r>
        <w:rPr>
          <w:rFonts w:hint="eastAsia" w:ascii="MS UI Gothic" w:hAnsi="MS UI Gothic" w:eastAsia="MS UI Gothic"/>
          <w:spacing w:val="-2"/>
          <w:w w:val="95"/>
        </w:rPr>
        <w:t xml:space="preserve">２０１１ </w:t>
      </w:r>
      <w:r>
        <w:rPr>
          <w:spacing w:val="-26"/>
          <w:w w:val="95"/>
        </w:rPr>
        <w:t xml:space="preserve">年 </w:t>
      </w:r>
      <w:r>
        <w:rPr>
          <w:rFonts w:hint="eastAsia" w:ascii="MS UI Gothic" w:hAnsi="MS UI Gothic" w:eastAsia="MS UI Gothic"/>
          <w:spacing w:val="-4"/>
          <w:w w:val="95"/>
        </w:rPr>
        <w:t xml:space="preserve">１ </w:t>
      </w:r>
      <w:r>
        <w:rPr>
          <w:spacing w:val="-26"/>
          <w:w w:val="95"/>
        </w:rPr>
        <w:t xml:space="preserve">月 </w:t>
      </w:r>
      <w:r>
        <w:rPr>
          <w:rFonts w:hint="eastAsia" w:ascii="MS UI Gothic" w:hAnsi="MS UI Gothic" w:eastAsia="MS UI Gothic"/>
          <w:spacing w:val="-4"/>
          <w:w w:val="95"/>
        </w:rPr>
        <w:t xml:space="preserve">１ </w:t>
      </w:r>
      <w:r>
        <w:rPr>
          <w:spacing w:val="3"/>
          <w:w w:val="95"/>
        </w:rPr>
        <w:t>日起施行</w:t>
      </w:r>
      <w:r>
        <w:rPr>
          <w:rFonts w:hint="eastAsia" w:ascii="MS UI Gothic" w:hAnsi="MS UI Gothic" w:eastAsia="MS UI Gothic"/>
          <w:spacing w:val="19"/>
          <w:w w:val="90"/>
        </w:rPr>
        <w:t xml:space="preserve">ꎮ </w:t>
      </w:r>
      <w:r>
        <w:rPr>
          <w:w w:val="95"/>
        </w:rPr>
        <w:t xml:space="preserve">劳动和社会保障部 </w:t>
      </w:r>
      <w:r>
        <w:rPr>
          <w:rFonts w:hint="eastAsia" w:ascii="MS UI Gothic" w:hAnsi="MS UI Gothic" w:eastAsia="MS UI Gothic"/>
          <w:w w:val="95"/>
        </w:rPr>
        <w:t xml:space="preserve">２００３ </w:t>
      </w:r>
      <w:r>
        <w:rPr>
          <w:spacing w:val="-23"/>
          <w:w w:val="95"/>
        </w:rPr>
        <w:t xml:space="preserve">年 </w:t>
      </w:r>
      <w:r>
        <w:rPr>
          <w:rFonts w:hint="eastAsia" w:ascii="MS UI Gothic" w:hAnsi="MS UI Gothic" w:eastAsia="MS UI Gothic"/>
          <w:w w:val="95"/>
        </w:rPr>
        <w:t xml:space="preserve">９ </w:t>
      </w:r>
      <w:r>
        <w:rPr>
          <w:spacing w:val="-22"/>
          <w:w w:val="95"/>
        </w:rPr>
        <w:t xml:space="preserve">月 </w:t>
      </w:r>
      <w:r>
        <w:rPr>
          <w:rFonts w:hint="eastAsia" w:ascii="MS UI Gothic" w:hAnsi="MS UI Gothic" w:eastAsia="MS UI Gothic"/>
          <w:spacing w:val="-1"/>
          <w:w w:val="95"/>
        </w:rPr>
        <w:t xml:space="preserve">２３ </w:t>
      </w:r>
      <w:r>
        <w:rPr>
          <w:spacing w:val="5"/>
          <w:w w:val="95"/>
        </w:rPr>
        <w:t xml:space="preserve">日颁布的 </w:t>
      </w:r>
      <w:r>
        <w:rPr>
          <w:rFonts w:hint="eastAsia" w:ascii="MS UI Gothic" w:hAnsi="MS UI Gothic" w:eastAsia="MS UI Gothic"/>
          <w:spacing w:val="-18"/>
          <w:w w:val="95"/>
        </w:rPr>
        <w:t xml:space="preserve">« </w:t>
      </w:r>
      <w:r>
        <w:rPr>
          <w:w w:val="95"/>
        </w:rPr>
        <w:t>工</w:t>
      </w:r>
      <w:r>
        <w:rPr>
          <w:spacing w:val="3"/>
          <w:w w:val="95"/>
        </w:rPr>
        <w:t>伤认定办法</w:t>
      </w:r>
      <w:r>
        <w:rPr>
          <w:rFonts w:hint="eastAsia" w:ascii="MS UI Gothic" w:hAnsi="MS UI Gothic" w:eastAsia="MS UI Gothic"/>
          <w:spacing w:val="5"/>
          <w:w w:val="95"/>
        </w:rPr>
        <w:t xml:space="preserve">» </w:t>
      </w:r>
      <w:r>
        <w:rPr>
          <w:spacing w:val="3"/>
          <w:w w:val="95"/>
        </w:rPr>
        <w:t>同时废止</w:t>
      </w:r>
      <w:r>
        <w:rPr>
          <w:rFonts w:hint="eastAsia" w:ascii="MS UI Gothic" w:hAnsi="MS UI Gothic" w:eastAsia="MS UI Gothic"/>
          <w:w w:val="90"/>
        </w:rPr>
        <w:t>ꎮ</w:t>
      </w:r>
    </w:p>
    <w:p>
      <w:pPr>
        <w:pStyle w:val="6"/>
        <w:spacing w:before="9"/>
        <w:ind w:left="0" w:firstLine="0"/>
        <w:jc w:val="left"/>
        <w:rPr>
          <w:rFonts w:ascii="MS UI Gothic"/>
          <w:sz w:val="10"/>
        </w:rPr>
      </w:pPr>
    </w:p>
    <w:p>
      <w:pPr>
        <w:pStyle w:val="6"/>
        <w:spacing w:before="175"/>
        <w:ind w:left="0" w:right="126" w:firstLine="0"/>
        <w:jc w:val="right"/>
      </w:pPr>
      <w:r>
        <w:t>二</w:t>
      </w:r>
      <w:r>
        <w:rPr>
          <w:rFonts w:hint="eastAsia" w:ascii="MS UI Gothic" w:hAnsi="MS UI Gothic" w:eastAsia="MS UI Gothic"/>
        </w:rPr>
        <w:t>○</w:t>
      </w:r>
      <w:r>
        <w:t>一</w:t>
      </w:r>
      <w:r>
        <w:rPr>
          <w:rFonts w:hint="eastAsia" w:ascii="MS UI Gothic" w:hAnsi="MS UI Gothic" w:eastAsia="MS UI Gothic"/>
        </w:rPr>
        <w:t>○</w:t>
      </w:r>
      <w:r>
        <w:t>年十二月三十一日</w:t>
      </w:r>
    </w:p>
    <w:p>
      <w:pPr>
        <w:pStyle w:val="4"/>
        <w:ind w:left="286"/>
        <w:rPr>
          <w:rFonts w:hint="eastAsia" w:ascii="Microsoft Yi Baiti" w:eastAsia="Microsoft Yi Baiti"/>
        </w:rPr>
      </w:pPr>
      <w:r>
        <w:t xml:space="preserve">工伤认定办法 </w:t>
      </w:r>
      <w:r>
        <w:rPr>
          <w:rFonts w:hint="eastAsia" w:ascii="Microsoft Yi Baiti" w:eastAsia="Microsoft Yi Baiti"/>
        </w:rPr>
        <w:t>(</w:t>
      </w:r>
      <w:r>
        <w:rPr>
          <w:rFonts w:hint="eastAsia" w:ascii="MS UI Gothic" w:eastAsia="MS UI Gothic"/>
        </w:rPr>
        <w:t xml:space="preserve">２０１０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174" w:line="300" w:lineRule="auto"/>
        <w:ind w:left="440"/>
        <w:rPr>
          <w:rFonts w:hint="eastAsia" w:ascii="MS UI Gothic" w:hAnsi="MS UI Gothic" w:eastAsia="MS UI Gothic"/>
        </w:rPr>
      </w:pPr>
      <w:r>
        <w:t>第一条 为规范工伤认定程序</w:t>
      </w:r>
      <w:r>
        <w:rPr>
          <w:rFonts w:hint="eastAsia" w:ascii="MS UI Gothic" w:hAnsi="MS UI Gothic" w:eastAsia="MS UI Gothic"/>
          <w:w w:val="80"/>
        </w:rPr>
        <w:t xml:space="preserve">ꎬ </w:t>
      </w:r>
      <w:r>
        <w:t>依法进行工伤认定</w:t>
      </w:r>
      <w:r>
        <w:rPr>
          <w:rFonts w:hint="eastAsia" w:ascii="MS UI Gothic" w:hAnsi="MS UI Gothic" w:eastAsia="MS UI Gothic"/>
          <w:w w:val="80"/>
        </w:rPr>
        <w:t xml:space="preserve">ꎬ </w:t>
      </w:r>
      <w:r>
        <w:t>维护当事人的合法权益</w:t>
      </w:r>
      <w:r>
        <w:rPr>
          <w:rFonts w:hint="eastAsia" w:ascii="MS UI Gothic" w:hAnsi="MS UI Gothic" w:eastAsia="MS UI Gothic"/>
          <w:w w:val="80"/>
        </w:rPr>
        <w:t>ꎬ</w:t>
      </w:r>
      <w:r>
        <w:t xml:space="preserve">根据 </w:t>
      </w:r>
      <w:r>
        <w:rPr>
          <w:rFonts w:hint="eastAsia" w:ascii="MS UI Gothic" w:hAnsi="MS UI Gothic" w:eastAsia="MS UI Gothic"/>
        </w:rPr>
        <w:t xml:space="preserve">« </w:t>
      </w:r>
      <w:r>
        <w:t>工伤保险条例</w:t>
      </w:r>
      <w:r>
        <w:rPr>
          <w:rFonts w:hint="eastAsia" w:ascii="MS UI Gothic" w:hAnsi="MS UI Gothic" w:eastAsia="MS UI Gothic"/>
        </w:rPr>
        <w:t xml:space="preserve">» </w:t>
      </w:r>
      <w:r>
        <w:t>的有关规定</w:t>
      </w:r>
      <w:r>
        <w:rPr>
          <w:rFonts w:hint="eastAsia" w:ascii="MS UI Gothic" w:hAnsi="MS UI Gothic" w:eastAsia="MS UI Gothic"/>
          <w:w w:val="80"/>
        </w:rPr>
        <w:t xml:space="preserve">ꎬ </w:t>
      </w:r>
      <w:r>
        <w:t>制定本办法</w:t>
      </w:r>
      <w:r>
        <w:rPr>
          <w:rFonts w:hint="eastAsia" w:ascii="MS UI Gothic" w:hAnsi="MS UI Gothic" w:eastAsia="MS UI Gothic"/>
          <w:w w:val="80"/>
        </w:rPr>
        <w:t>ꎮ</w:t>
      </w:r>
    </w:p>
    <w:p>
      <w:pPr>
        <w:pStyle w:val="6"/>
        <w:spacing w:before="4" w:line="302" w:lineRule="auto"/>
        <w:ind w:left="440" w:right="1"/>
        <w:rPr>
          <w:rFonts w:hint="eastAsia" w:ascii="MS UI Gothic" w:eastAsia="MS UI Gothic"/>
        </w:rPr>
      </w:pPr>
      <w:r>
        <w:rPr>
          <w:w w:val="105"/>
        </w:rPr>
        <w:t>第二条 社会保险行政部门进行工伤认定按照本办法执行</w:t>
      </w:r>
      <w:r>
        <w:rPr>
          <w:rFonts w:hint="eastAsia" w:ascii="MS UI Gothic" w:eastAsia="MS UI Gothic"/>
          <w:w w:val="80"/>
        </w:rPr>
        <w:t>ꎮ</w:t>
      </w:r>
    </w:p>
    <w:p>
      <w:pPr>
        <w:pStyle w:val="6"/>
        <w:spacing w:line="300" w:lineRule="auto"/>
        <w:ind w:left="440" w:right="1"/>
        <w:rPr>
          <w:rFonts w:hint="eastAsia" w:ascii="MS UI Gothic" w:eastAsia="MS UI Gothic"/>
        </w:rPr>
      </w:pPr>
      <w:r>
        <w:t>第三条 工伤认定应当客观公正</w:t>
      </w:r>
      <w:r>
        <w:rPr>
          <w:rFonts w:hint="eastAsia" w:ascii="MS UI Gothic" w:eastAsia="MS UI Gothic"/>
          <w:w w:val="80"/>
        </w:rPr>
        <w:t xml:space="preserve">、 </w:t>
      </w:r>
      <w:r>
        <w:t>简捷方便</w:t>
      </w:r>
      <w:r>
        <w:rPr>
          <w:rFonts w:hint="eastAsia" w:ascii="MS UI Gothic" w:eastAsia="MS UI Gothic"/>
          <w:w w:val="80"/>
        </w:rPr>
        <w:t xml:space="preserve">ꎬ </w:t>
      </w:r>
      <w:r>
        <w:t>认定程序应当向社会公开</w:t>
      </w:r>
      <w:r>
        <w:rPr>
          <w:rFonts w:hint="eastAsia" w:ascii="MS UI Gothic" w:eastAsia="MS UI Gothic"/>
          <w:w w:val="80"/>
        </w:rPr>
        <w:t>ꎮ</w:t>
      </w:r>
    </w:p>
    <w:p>
      <w:pPr>
        <w:pStyle w:val="6"/>
        <w:spacing w:line="302" w:lineRule="auto"/>
        <w:ind w:left="440"/>
      </w:pPr>
      <w:r>
        <w:t>第四条 职工发生事故伤害或者按照职业病防治法规定被诊断</w:t>
      </w:r>
      <w:r>
        <w:rPr>
          <w:rFonts w:hint="eastAsia" w:ascii="MS UI Gothic" w:eastAsia="MS UI Gothic"/>
        </w:rPr>
        <w:t xml:space="preserve">、 </w:t>
      </w:r>
      <w:r>
        <w:t>鉴定为职业病</w:t>
      </w:r>
      <w:r>
        <w:rPr>
          <w:rFonts w:hint="eastAsia" w:ascii="MS UI Gothic" w:eastAsia="MS UI Gothic"/>
          <w:w w:val="85"/>
        </w:rPr>
        <w:t xml:space="preserve">ꎬ </w:t>
      </w:r>
      <w:r>
        <w:t>所在单位应当自事故伤害发生之日或者被诊断</w:t>
      </w:r>
      <w:r>
        <w:rPr>
          <w:rFonts w:hint="eastAsia" w:ascii="MS UI Gothic" w:eastAsia="MS UI Gothic"/>
        </w:rPr>
        <w:t xml:space="preserve">、 </w:t>
      </w:r>
      <w:r>
        <w:t xml:space="preserve">鉴定为职业病之日起 </w:t>
      </w:r>
      <w:r>
        <w:rPr>
          <w:rFonts w:hint="eastAsia" w:ascii="MS UI Gothic" w:eastAsia="MS UI Gothic"/>
          <w:w w:val="85"/>
        </w:rPr>
        <w:t xml:space="preserve">３０ </w:t>
      </w:r>
      <w:r>
        <w:t>日内</w:t>
      </w:r>
      <w:r>
        <w:rPr>
          <w:rFonts w:hint="eastAsia" w:ascii="MS UI Gothic" w:eastAsia="MS UI Gothic"/>
          <w:w w:val="85"/>
        </w:rPr>
        <w:t>ꎬ</w:t>
      </w:r>
      <w:r>
        <w:t>向统筹地区社会保险</w:t>
      </w:r>
    </w:p>
    <w:p>
      <w:pPr>
        <w:pStyle w:val="6"/>
        <w:spacing w:line="300" w:lineRule="auto"/>
        <w:ind w:left="440" w:right="1"/>
        <w:rPr>
          <w:rFonts w:hint="eastAsia" w:ascii="MS UI Gothic" w:eastAsia="MS UI Gothic"/>
        </w:rPr>
      </w:pPr>
      <w:r>
        <w:t>行政部门提出工伤认定申请</w:t>
      </w:r>
      <w:r>
        <w:rPr>
          <w:rFonts w:hint="eastAsia" w:ascii="MS UI Gothic" w:eastAsia="MS UI Gothic"/>
          <w:w w:val="80"/>
        </w:rPr>
        <w:t xml:space="preserve">ꎮ </w:t>
      </w:r>
      <w:r>
        <w:t>遇有特殊情况</w:t>
      </w:r>
      <w:r>
        <w:rPr>
          <w:rFonts w:hint="eastAsia" w:ascii="MS UI Gothic" w:eastAsia="MS UI Gothic"/>
          <w:w w:val="80"/>
        </w:rPr>
        <w:t xml:space="preserve">ꎬ </w:t>
      </w:r>
      <w:r>
        <w:t>经报社会保险行政部门同意</w:t>
      </w:r>
      <w:r>
        <w:rPr>
          <w:rFonts w:hint="eastAsia" w:ascii="MS UI Gothic" w:eastAsia="MS UI Gothic"/>
          <w:w w:val="80"/>
        </w:rPr>
        <w:t xml:space="preserve">ꎬ </w:t>
      </w:r>
      <w:r>
        <w:t>申请时限可以适当延长</w:t>
      </w:r>
      <w:r>
        <w:rPr>
          <w:rFonts w:hint="eastAsia" w:ascii="MS UI Gothic" w:eastAsia="MS UI Gothic"/>
          <w:w w:val="80"/>
        </w:rPr>
        <w:t>ꎮ</w:t>
      </w:r>
    </w:p>
    <w:p>
      <w:pPr>
        <w:pStyle w:val="6"/>
        <w:spacing w:line="300" w:lineRule="auto"/>
        <w:ind w:left="440" w:right="1"/>
        <w:rPr>
          <w:rFonts w:hint="eastAsia" w:ascii="MS UI Gothic" w:eastAsia="MS UI Gothic"/>
        </w:rPr>
      </w:pPr>
      <w:r>
        <w:t>按照前款规定应当向省级社会保险行政部门提出工伤认定申请的</w:t>
      </w:r>
      <w:r>
        <w:rPr>
          <w:rFonts w:hint="eastAsia" w:ascii="MS UI Gothic" w:eastAsia="MS UI Gothic"/>
          <w:w w:val="80"/>
        </w:rPr>
        <w:t xml:space="preserve">ꎬ </w:t>
      </w:r>
      <w:r>
        <w:t>根据属地原则应当向用人单位所在地设区的市级社会</w:t>
      </w:r>
      <w:r>
        <w:rPr>
          <w:w w:val="105"/>
        </w:rPr>
        <w:t>保险行政部门提出</w:t>
      </w:r>
      <w:r>
        <w:rPr>
          <w:rFonts w:hint="eastAsia" w:ascii="MS UI Gothic" w:eastAsia="MS UI Gothic"/>
          <w:w w:val="80"/>
        </w:rPr>
        <w:t>ꎮ</w:t>
      </w:r>
    </w:p>
    <w:p>
      <w:pPr>
        <w:pStyle w:val="6"/>
        <w:spacing w:before="4" w:line="300" w:lineRule="auto"/>
        <w:ind w:left="440" w:right="1"/>
        <w:rPr>
          <w:rFonts w:hint="eastAsia" w:ascii="MS UI Gothic" w:eastAsia="MS UI Gothic"/>
        </w:rPr>
      </w:pPr>
      <w:r>
        <w:rPr>
          <w:w w:val="105"/>
        </w:rPr>
        <w:t>第五条 用人单位未在规定的时限内</w:t>
      </w:r>
      <w:r>
        <w:t>提出工伤认定申请的</w:t>
      </w:r>
      <w:r>
        <w:rPr>
          <w:rFonts w:hint="eastAsia" w:ascii="MS UI Gothic" w:eastAsia="MS UI Gothic"/>
          <w:w w:val="80"/>
        </w:rPr>
        <w:t xml:space="preserve">ꎬ </w:t>
      </w:r>
      <w:r>
        <w:t>受伤害职工或者其</w:t>
      </w:r>
      <w:r>
        <w:rPr>
          <w:w w:val="105"/>
        </w:rPr>
        <w:t>近亲属</w:t>
      </w:r>
      <w:r>
        <w:rPr>
          <w:rFonts w:hint="eastAsia" w:ascii="MS UI Gothic" w:eastAsia="MS UI Gothic"/>
          <w:w w:val="80"/>
        </w:rPr>
        <w:t>、</w:t>
      </w:r>
    </w:p>
    <w:p>
      <w:pPr>
        <w:pStyle w:val="6"/>
        <w:spacing w:before="3" w:line="302" w:lineRule="auto"/>
        <w:ind w:left="440" w:right="1"/>
      </w:pPr>
      <w:r>
        <w:t>工会组织在事故伤害发生之日或者被诊断</w:t>
      </w:r>
      <w:r>
        <w:rPr>
          <w:rFonts w:hint="eastAsia" w:ascii="MS UI Gothic" w:eastAsia="MS UI Gothic"/>
          <w:w w:val="80"/>
        </w:rPr>
        <w:t xml:space="preserve">、 </w:t>
      </w:r>
      <w:r>
        <w:t xml:space="preserve">鉴定为职业病之日起 </w:t>
      </w:r>
      <w:r>
        <w:rPr>
          <w:rFonts w:hint="eastAsia" w:ascii="MS UI Gothic" w:eastAsia="MS UI Gothic"/>
          <w:w w:val="80"/>
        </w:rPr>
        <w:t xml:space="preserve">１ </w:t>
      </w:r>
      <w:r>
        <w:t>年内</w:t>
      </w:r>
      <w:r>
        <w:rPr>
          <w:rFonts w:hint="eastAsia" w:ascii="MS UI Gothic" w:eastAsia="MS UI Gothic"/>
          <w:w w:val="80"/>
        </w:rPr>
        <w:t xml:space="preserve">ꎬ </w:t>
      </w:r>
      <w:r>
        <w:t>可以</w:t>
      </w:r>
    </w:p>
    <w:p>
      <w:pPr>
        <w:pStyle w:val="6"/>
        <w:spacing w:before="174" w:line="300" w:lineRule="auto"/>
        <w:ind w:left="381" w:right="126" w:firstLine="0"/>
        <w:jc w:val="left"/>
        <w:rPr>
          <w:rFonts w:hint="eastAsia" w:ascii="MS UI Gothic" w:eastAsia="MS UI Gothic"/>
        </w:rPr>
      </w:pPr>
      <w:r>
        <w:br w:type="column"/>
      </w:r>
      <w:r>
        <w:t>直接按照本办法第四条规定提出工伤认定</w:t>
      </w:r>
      <w:r>
        <w:rPr>
          <w:w w:val="105"/>
        </w:rPr>
        <w:t>申请</w:t>
      </w:r>
      <w:r>
        <w:rPr>
          <w:rFonts w:hint="eastAsia" w:ascii="MS UI Gothic" w:eastAsia="MS UI Gothic"/>
          <w:w w:val="80"/>
        </w:rPr>
        <w:t>ꎮ</w:t>
      </w:r>
    </w:p>
    <w:p>
      <w:pPr>
        <w:pStyle w:val="6"/>
        <w:tabs>
          <w:tab w:val="left" w:pos="1638"/>
        </w:tabs>
        <w:spacing w:before="2"/>
        <w:ind w:left="800" w:firstLine="0"/>
        <w:jc w:val="left"/>
      </w:pPr>
      <w:r>
        <w:rPr>
          <w:spacing w:val="3"/>
          <w:w w:val="105"/>
        </w:rPr>
        <w:t>第六</w:t>
      </w:r>
      <w:r>
        <w:rPr>
          <w:w w:val="105"/>
        </w:rPr>
        <w:t>条</w:t>
      </w:r>
      <w:r>
        <w:rPr>
          <w:w w:val="105"/>
        </w:rPr>
        <w:tab/>
      </w:r>
      <w:r>
        <w:rPr>
          <w:spacing w:val="3"/>
          <w:w w:val="105"/>
        </w:rPr>
        <w:t>提出工伤认定申请应当填</w:t>
      </w:r>
      <w:r>
        <w:rPr>
          <w:w w:val="105"/>
        </w:rPr>
        <w:t>写</w:t>
      </w:r>
    </w:p>
    <w:p>
      <w:pPr>
        <w:pStyle w:val="6"/>
        <w:spacing w:before="66"/>
        <w:ind w:left="381" w:firstLine="0"/>
        <w:rPr>
          <w:rFonts w:hint="eastAsia" w:ascii="MS UI Gothic" w:hAnsi="MS UI Gothic" w:eastAsia="MS UI Gothic"/>
        </w:rPr>
      </w:pPr>
      <w:r>
        <w:rPr>
          <w:rFonts w:hint="eastAsia" w:ascii="MS UI Gothic" w:hAnsi="MS UI Gothic" w:eastAsia="MS UI Gothic"/>
          <w:w w:val="80"/>
        </w:rPr>
        <w:t xml:space="preserve">« </w:t>
      </w:r>
      <w:r>
        <w:rPr>
          <w:w w:val="110"/>
        </w:rPr>
        <w:t>工伤认定申请表</w:t>
      </w:r>
      <w:r>
        <w:rPr>
          <w:rFonts w:hint="eastAsia" w:ascii="MS UI Gothic" w:hAnsi="MS UI Gothic" w:eastAsia="MS UI Gothic"/>
          <w:w w:val="80"/>
        </w:rPr>
        <w:t xml:space="preserve">» ꎬ </w:t>
      </w:r>
      <w:r>
        <w:rPr>
          <w:w w:val="110"/>
        </w:rPr>
        <w:t>并提交下列材料</w:t>
      </w:r>
      <w:r>
        <w:rPr>
          <w:rFonts w:hint="eastAsia" w:ascii="MS UI Gothic" w:hAnsi="MS UI Gothic" w:eastAsia="MS UI Gothic"/>
          <w:w w:val="235"/>
        </w:rPr>
        <w:t>:</w:t>
      </w:r>
    </w:p>
    <w:p>
      <w:pPr>
        <w:pStyle w:val="6"/>
        <w:spacing w:before="64" w:line="302" w:lineRule="auto"/>
        <w:ind w:left="381" w:right="126"/>
        <w:rPr>
          <w:rFonts w:hint="eastAsia" w:ascii="MS UI Gothic" w:eastAsia="MS UI Gothic"/>
        </w:rPr>
      </w:pPr>
      <w:r>
        <w:rPr>
          <w:rFonts w:hint="eastAsia" w:ascii="MS UI Gothic" w:eastAsia="MS UI Gothic"/>
          <w:spacing w:val="-42"/>
          <w:w w:val="150"/>
        </w:rPr>
        <w:t xml:space="preserve">( </w:t>
      </w:r>
      <w:r>
        <w:rPr>
          <w:spacing w:val="3"/>
          <w:w w:val="110"/>
        </w:rPr>
        <w:t>一</w:t>
      </w:r>
      <w:r>
        <w:rPr>
          <w:rFonts w:hint="eastAsia" w:ascii="MS UI Gothic" w:eastAsia="MS UI Gothic"/>
          <w:spacing w:val="-21"/>
          <w:w w:val="150"/>
        </w:rPr>
        <w:t xml:space="preserve">) </w:t>
      </w:r>
      <w:r>
        <w:rPr>
          <w:spacing w:val="3"/>
          <w:w w:val="110"/>
        </w:rPr>
        <w:t>劳动</w:t>
      </w:r>
      <w:r>
        <w:rPr>
          <w:rFonts w:hint="eastAsia" w:ascii="MS UI Gothic" w:eastAsia="MS UI Gothic"/>
          <w:spacing w:val="-3"/>
          <w:w w:val="80"/>
        </w:rPr>
        <w:t xml:space="preserve">、 </w:t>
      </w:r>
      <w:r>
        <w:rPr>
          <w:spacing w:val="8"/>
          <w:w w:val="110"/>
        </w:rPr>
        <w:t>聘用合同文本复印件或</w:t>
      </w:r>
      <w:r>
        <w:rPr>
          <w:spacing w:val="9"/>
          <w:w w:val="105"/>
        </w:rPr>
        <w:t xml:space="preserve">者与用人单位存在劳动关系 </w:t>
      </w:r>
      <w:r>
        <w:rPr>
          <w:rFonts w:hint="eastAsia" w:ascii="MS UI Gothic" w:eastAsia="MS UI Gothic"/>
          <w:spacing w:val="-21"/>
          <w:w w:val="105"/>
        </w:rPr>
        <w:t xml:space="preserve">( </w:t>
      </w:r>
      <w:r>
        <w:rPr>
          <w:spacing w:val="13"/>
          <w:w w:val="105"/>
        </w:rPr>
        <w:t>包括事实</w:t>
      </w:r>
      <w:r>
        <w:rPr>
          <w:spacing w:val="3"/>
          <w:w w:val="105"/>
        </w:rPr>
        <w:t>劳动关系</w:t>
      </w:r>
      <w:r>
        <w:rPr>
          <w:rFonts w:hint="eastAsia" w:ascii="MS UI Gothic" w:eastAsia="MS UI Gothic"/>
          <w:spacing w:val="21"/>
          <w:w w:val="105"/>
        </w:rPr>
        <w:t>)</w:t>
      </w:r>
      <w:r>
        <w:rPr>
          <w:rFonts w:hint="eastAsia" w:ascii="MS UI Gothic" w:eastAsia="MS UI Gothic"/>
          <w:spacing w:val="14"/>
          <w:w w:val="80"/>
        </w:rPr>
        <w:t xml:space="preserve">、 </w:t>
      </w:r>
      <w:r>
        <w:rPr>
          <w:spacing w:val="3"/>
          <w:w w:val="105"/>
        </w:rPr>
        <w:t>人事关系的其他证明材料</w:t>
      </w:r>
      <w:r>
        <w:rPr>
          <w:rFonts w:hint="eastAsia" w:ascii="MS UI Gothic" w:eastAsia="MS UI Gothic"/>
          <w:w w:val="80"/>
        </w:rPr>
        <w:t>ꎻ</w:t>
      </w:r>
    </w:p>
    <w:p>
      <w:pPr>
        <w:pStyle w:val="6"/>
        <w:spacing w:line="302"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 xml:space="preserve">医疗机构出具的受伤后诊断证明书或者职业病诊断证明书 </w:t>
      </w:r>
      <w:r>
        <w:rPr>
          <w:rFonts w:hint="eastAsia" w:ascii="MS UI Gothic" w:eastAsia="MS UI Gothic"/>
          <w:w w:val="105"/>
        </w:rPr>
        <w:t xml:space="preserve">( </w:t>
      </w:r>
      <w:r>
        <w:rPr>
          <w:w w:val="105"/>
        </w:rPr>
        <w:t>或者职业</w:t>
      </w:r>
      <w:r>
        <w:rPr>
          <w:w w:val="110"/>
        </w:rPr>
        <w:t>病诊断鉴定书</w:t>
      </w:r>
      <w:r>
        <w:rPr>
          <w:rFonts w:hint="eastAsia" w:ascii="MS UI Gothic" w:eastAsia="MS UI Gothic"/>
          <w:w w:val="150"/>
        </w:rPr>
        <w:t xml:space="preserve">) </w:t>
      </w:r>
      <w:r>
        <w:rPr>
          <w:rFonts w:hint="eastAsia" w:ascii="MS UI Gothic" w:eastAsia="MS UI Gothic"/>
          <w:w w:val="80"/>
        </w:rPr>
        <w:t>ꎮ</w:t>
      </w:r>
    </w:p>
    <w:p>
      <w:pPr>
        <w:pStyle w:val="6"/>
        <w:spacing w:line="300" w:lineRule="auto"/>
        <w:ind w:left="381" w:right="126"/>
        <w:rPr>
          <w:rFonts w:hint="eastAsia" w:ascii="MS UI Gothic" w:eastAsia="MS UI Gothic"/>
        </w:rPr>
      </w:pPr>
      <w:r>
        <w:t>第七条 工伤认定申请人提交的申请材料符合要求</w:t>
      </w:r>
      <w:r>
        <w:rPr>
          <w:rFonts w:hint="eastAsia" w:ascii="MS UI Gothic" w:eastAsia="MS UI Gothic"/>
          <w:w w:val="80"/>
        </w:rPr>
        <w:t xml:space="preserve">ꎬ </w:t>
      </w:r>
      <w:r>
        <w:t>属于社会保险行政部门管辖范围且在受理时限内的</w:t>
      </w:r>
      <w:r>
        <w:rPr>
          <w:rFonts w:hint="eastAsia" w:ascii="MS UI Gothic" w:eastAsia="MS UI Gothic"/>
          <w:w w:val="80"/>
        </w:rPr>
        <w:t xml:space="preserve">ꎬ </w:t>
      </w:r>
      <w:r>
        <w:t>社会保险行政部门应当受理</w:t>
      </w:r>
      <w:r>
        <w:rPr>
          <w:rFonts w:hint="eastAsia" w:ascii="MS UI Gothic" w:eastAsia="MS UI Gothic"/>
          <w:w w:val="80"/>
        </w:rPr>
        <w:t>ꎮ</w:t>
      </w:r>
    </w:p>
    <w:p>
      <w:pPr>
        <w:pStyle w:val="6"/>
        <w:spacing w:line="302" w:lineRule="auto"/>
        <w:ind w:left="381" w:right="124"/>
        <w:rPr>
          <w:rFonts w:hint="eastAsia" w:ascii="MS UI Gothic" w:eastAsia="MS UI Gothic"/>
        </w:rPr>
      </w:pPr>
      <w:r>
        <w:t>第八条 社会保险行政部门收到工伤认定申请后</w:t>
      </w:r>
      <w:r>
        <w:rPr>
          <w:rFonts w:hint="eastAsia" w:ascii="MS UI Gothic" w:eastAsia="MS UI Gothic"/>
          <w:w w:val="85"/>
        </w:rPr>
        <w:t xml:space="preserve">ꎬ </w:t>
      </w:r>
      <w:r>
        <w:t xml:space="preserve">应当在 </w:t>
      </w:r>
      <w:r>
        <w:rPr>
          <w:rFonts w:hint="eastAsia" w:ascii="MS UI Gothic" w:eastAsia="MS UI Gothic"/>
          <w:w w:val="85"/>
        </w:rPr>
        <w:t xml:space="preserve">１５ </w:t>
      </w:r>
      <w:r>
        <w:t>日内对申请人提交的材料进行审核</w:t>
      </w:r>
      <w:r>
        <w:rPr>
          <w:rFonts w:hint="eastAsia" w:ascii="MS UI Gothic" w:eastAsia="MS UI Gothic"/>
          <w:w w:val="85"/>
        </w:rPr>
        <w:t xml:space="preserve">ꎬ </w:t>
      </w:r>
      <w:r>
        <w:t>材料完整的</w:t>
      </w:r>
      <w:r>
        <w:rPr>
          <w:rFonts w:hint="eastAsia" w:ascii="MS UI Gothic" w:eastAsia="MS UI Gothic"/>
          <w:w w:val="85"/>
        </w:rPr>
        <w:t xml:space="preserve">ꎬ </w:t>
      </w:r>
      <w:r>
        <w:t>作出受理或者不予受理的决定</w:t>
      </w:r>
      <w:r>
        <w:rPr>
          <w:rFonts w:hint="eastAsia" w:ascii="MS UI Gothic" w:eastAsia="MS UI Gothic"/>
          <w:w w:val="85"/>
        </w:rPr>
        <w:t xml:space="preserve">ꎻ </w:t>
      </w:r>
      <w:r>
        <w:t>材料不完整的</w:t>
      </w:r>
      <w:r>
        <w:rPr>
          <w:rFonts w:hint="eastAsia" w:ascii="MS UI Gothic" w:eastAsia="MS UI Gothic"/>
          <w:w w:val="85"/>
        </w:rPr>
        <w:t>ꎬ</w:t>
      </w:r>
      <w:r>
        <w:t>应当以书面形式一次性告知申请人需要补正的全部材料</w:t>
      </w:r>
      <w:r>
        <w:rPr>
          <w:rFonts w:hint="eastAsia" w:ascii="MS UI Gothic" w:eastAsia="MS UI Gothic"/>
          <w:w w:val="85"/>
        </w:rPr>
        <w:t xml:space="preserve">ꎮ </w:t>
      </w:r>
      <w:r>
        <w:t>社会保险行政部门收到申请人提交的全部补正材料后</w:t>
      </w:r>
      <w:r>
        <w:rPr>
          <w:rFonts w:hint="eastAsia" w:ascii="MS UI Gothic" w:eastAsia="MS UI Gothic"/>
          <w:w w:val="85"/>
        </w:rPr>
        <w:t xml:space="preserve">ꎬ </w:t>
      </w:r>
      <w:r>
        <w:t xml:space="preserve">应当在 </w:t>
      </w:r>
      <w:r>
        <w:rPr>
          <w:rFonts w:hint="eastAsia" w:ascii="MS UI Gothic" w:eastAsia="MS UI Gothic"/>
          <w:w w:val="85"/>
        </w:rPr>
        <w:t xml:space="preserve">１５ </w:t>
      </w:r>
      <w:r>
        <w:t>日内作出受理或者不予受理的决定</w:t>
      </w:r>
      <w:r>
        <w:rPr>
          <w:rFonts w:hint="eastAsia" w:ascii="MS UI Gothic" w:eastAsia="MS UI Gothic"/>
          <w:w w:val="85"/>
        </w:rPr>
        <w:t>ꎮ</w:t>
      </w:r>
    </w:p>
    <w:p>
      <w:pPr>
        <w:pStyle w:val="6"/>
        <w:spacing w:line="302" w:lineRule="auto"/>
        <w:ind w:left="381" w:right="126"/>
      </w:pPr>
      <w:r>
        <w:t>社会保险行政部门决定受理的</w:t>
      </w:r>
      <w:r>
        <w:rPr>
          <w:rFonts w:hint="eastAsia" w:ascii="MS UI Gothic" w:hAnsi="MS UI Gothic" w:eastAsia="MS UI Gothic"/>
          <w:w w:val="80"/>
        </w:rPr>
        <w:t xml:space="preserve">ꎬ </w:t>
      </w:r>
      <w:r>
        <w:t xml:space="preserve">应当出具 </w:t>
      </w:r>
      <w:r>
        <w:rPr>
          <w:rFonts w:hint="eastAsia" w:ascii="MS UI Gothic" w:hAnsi="MS UI Gothic" w:eastAsia="MS UI Gothic"/>
          <w:w w:val="80"/>
        </w:rPr>
        <w:t xml:space="preserve">« </w:t>
      </w:r>
      <w:r>
        <w:t>工伤认定申请受理决定书</w:t>
      </w:r>
      <w:r>
        <w:rPr>
          <w:rFonts w:hint="eastAsia" w:ascii="MS UI Gothic" w:hAnsi="MS UI Gothic" w:eastAsia="MS UI Gothic"/>
          <w:w w:val="80"/>
        </w:rPr>
        <w:t xml:space="preserve">» ꎻ </w:t>
      </w:r>
      <w:r>
        <w:t>决定不予受理的</w:t>
      </w:r>
      <w:r>
        <w:rPr>
          <w:rFonts w:hint="eastAsia" w:ascii="MS UI Gothic" w:hAnsi="MS UI Gothic" w:eastAsia="MS UI Gothic"/>
          <w:w w:val="80"/>
        </w:rPr>
        <w:t xml:space="preserve">ꎬ </w:t>
      </w:r>
      <w:r>
        <w:t xml:space="preserve">应当出具 </w:t>
      </w:r>
      <w:r>
        <w:rPr>
          <w:rFonts w:hint="eastAsia" w:ascii="MS UI Gothic" w:hAnsi="MS UI Gothic" w:eastAsia="MS UI Gothic"/>
          <w:w w:val="80"/>
        </w:rPr>
        <w:t xml:space="preserve">« </w:t>
      </w:r>
      <w:r>
        <w:t>工伤认定申请</w:t>
      </w:r>
    </w:p>
    <w:p>
      <w:pPr>
        <w:spacing w:after="0" w:line="302" w:lineRule="auto"/>
        <w:sectPr>
          <w:type w:val="continuous"/>
          <w:pgSz w:w="10500" w:h="14750"/>
          <w:pgMar w:top="1400" w:right="980" w:bottom="280" w:left="980" w:header="720" w:footer="720" w:gutter="0"/>
          <w:cols w:equalWidth="0" w:num="2">
            <w:col w:w="4212" w:space="40"/>
            <w:col w:w="4288"/>
          </w:cols>
        </w:sectPr>
      </w:pPr>
    </w:p>
    <w:p>
      <w:pPr>
        <w:tabs>
          <w:tab w:val="left" w:pos="2426"/>
        </w:tabs>
        <w:spacing w:before="162"/>
        <w:ind w:left="280" w:right="0" w:firstLine="0"/>
        <w:jc w:val="left"/>
        <w:rPr>
          <w:rFonts w:hint="eastAsia" w:ascii="Microsoft Yi Baiti" w:eastAsia="Microsoft Yi Baiti"/>
          <w:sz w:val="17"/>
        </w:rPr>
      </w:pPr>
      <w:r>
        <w:pict>
          <v:group id="_x0000_s1390" o:spid="_x0000_s1390" o:spt="203" style="position:absolute;left:0pt;margin-left:55.1pt;margin-top:23.85pt;height:2.15pt;width:398.25pt;mso-position-horizontal-relative:page;mso-wrap-distance-bottom:0pt;mso-wrap-distance-top:0pt;z-index:-251511808;mso-width-relative:page;mso-height-relative:page;" coordorigin="1103,477" coordsize="7965,43">
            <o:lock v:ext="edit"/>
            <v:line id="_x0000_s1391" o:spid="_x0000_s1391" o:spt="20" style="position:absolute;left:1103;top:516;height:0;width:7964;" stroked="t" coordsize="21600,21600">
              <v:path arrowok="t"/>
              <v:fill focussize="0,0"/>
              <v:stroke weight="0.388031496062992pt" color="#231F20"/>
              <v:imagedata o:title=""/>
              <o:lock v:ext="edit"/>
            </v:line>
            <v:line id="_x0000_s1392" o:spid="_x0000_s1392"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１１６</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735"/>
          <w:tab w:val="left" w:pos="5783"/>
        </w:tabs>
        <w:spacing w:before="163" w:line="240" w:lineRule="exact"/>
        <w:ind w:firstLine="0"/>
        <w:jc w:val="left"/>
      </w:pPr>
      <w:r>
        <w:rPr>
          <w:spacing w:val="3"/>
        </w:rPr>
        <w:t>不予受理决定书</w:t>
      </w:r>
      <w:r>
        <w:rPr>
          <w:rFonts w:hint="eastAsia" w:ascii="MS UI Gothic" w:hAnsi="MS UI Gothic" w:eastAsia="MS UI Gothic"/>
          <w:w w:val="80"/>
        </w:rPr>
        <w:t>»</w:t>
      </w:r>
      <w:r>
        <w:rPr>
          <w:rFonts w:hint="eastAsia" w:ascii="MS UI Gothic" w:hAnsi="MS UI Gothic" w:eastAsia="MS UI Gothic"/>
          <w:spacing w:val="-31"/>
          <w:w w:val="80"/>
        </w:rPr>
        <w:t xml:space="preserve"> </w:t>
      </w:r>
      <w:r>
        <w:rPr>
          <w:rFonts w:hint="eastAsia" w:ascii="MS UI Gothic" w:hAnsi="MS UI Gothic" w:eastAsia="MS UI Gothic"/>
          <w:w w:val="80"/>
        </w:rPr>
        <w:t>ꎮ</w:t>
      </w:r>
      <w:r>
        <w:rPr>
          <w:rFonts w:hint="eastAsia" w:ascii="MS UI Gothic" w:hAnsi="MS UI Gothic" w:eastAsia="MS UI Gothic"/>
          <w:w w:val="80"/>
        </w:rPr>
        <w:tab/>
      </w:r>
      <w:r>
        <w:rPr>
          <w:spacing w:val="3"/>
        </w:rPr>
        <w:t>第十六</w:t>
      </w:r>
      <w:r>
        <w:t>条</w:t>
      </w:r>
      <w:r>
        <w:tab/>
      </w:r>
      <w:r>
        <w:rPr>
          <w:spacing w:val="3"/>
        </w:rPr>
        <w:t>社会保险行政部门工作</w:t>
      </w:r>
      <w:r>
        <w:t>人</w:t>
      </w:r>
    </w:p>
    <w:p>
      <w:pPr>
        <w:spacing w:after="0" w:line="240" w:lineRule="exact"/>
        <w:jc w:val="left"/>
        <w:sectPr>
          <w:pgSz w:w="10500" w:h="14750"/>
          <w:pgMar w:top="960" w:right="980" w:bottom="280" w:left="980" w:header="720" w:footer="720" w:gutter="0"/>
        </w:sectPr>
      </w:pPr>
    </w:p>
    <w:p>
      <w:pPr>
        <w:pStyle w:val="6"/>
        <w:spacing w:before="74" w:line="295" w:lineRule="auto"/>
        <w:ind w:right="49"/>
        <w:rPr>
          <w:rFonts w:hint="eastAsia" w:ascii="MS UI Gothic" w:eastAsia="MS UI Gothic"/>
        </w:rPr>
      </w:pPr>
      <w:r>
        <w:rPr>
          <w:w w:val="105"/>
        </w:rPr>
        <w:t>第九条 社会保险行政部门受理工伤</w:t>
      </w:r>
      <w:r>
        <w:t>认定申请后</w:t>
      </w:r>
      <w:r>
        <w:rPr>
          <w:rFonts w:hint="eastAsia" w:ascii="MS UI Gothic" w:eastAsia="MS UI Gothic"/>
          <w:w w:val="80"/>
        </w:rPr>
        <w:t xml:space="preserve">ꎬ </w:t>
      </w:r>
      <w:r>
        <w:t>可以根据需要对申请人提供</w:t>
      </w:r>
      <w:r>
        <w:rPr>
          <w:w w:val="105"/>
        </w:rPr>
        <w:t>的证据进行调查核实</w:t>
      </w:r>
      <w:r>
        <w:rPr>
          <w:rFonts w:hint="eastAsia" w:ascii="MS UI Gothic" w:eastAsia="MS UI Gothic"/>
          <w:w w:val="80"/>
        </w:rPr>
        <w:t>ꎮ</w:t>
      </w:r>
    </w:p>
    <w:p>
      <w:pPr>
        <w:pStyle w:val="6"/>
        <w:spacing w:line="295" w:lineRule="auto"/>
        <w:ind w:right="49"/>
        <w:rPr>
          <w:rFonts w:hint="eastAsia" w:ascii="MS UI Gothic" w:eastAsia="MS UI Gothic"/>
        </w:rPr>
      </w:pPr>
      <w:r>
        <w:t>第十条 社会保险行政部门进行调查核实</w:t>
      </w:r>
      <w:r>
        <w:rPr>
          <w:rFonts w:hint="eastAsia" w:ascii="MS UI Gothic" w:eastAsia="MS UI Gothic"/>
          <w:w w:val="80"/>
        </w:rPr>
        <w:t xml:space="preserve">ꎬ </w:t>
      </w:r>
      <w:r>
        <w:t>应当由两名以上工作人员共同进行</w:t>
      </w:r>
      <w:r>
        <w:rPr>
          <w:rFonts w:hint="eastAsia" w:ascii="MS UI Gothic" w:eastAsia="MS UI Gothic"/>
          <w:w w:val="80"/>
        </w:rPr>
        <w:t xml:space="preserve">ꎬ </w:t>
      </w:r>
      <w:r>
        <w:t>并出示执行公务的证件</w:t>
      </w:r>
      <w:r>
        <w:rPr>
          <w:rFonts w:hint="eastAsia" w:ascii="MS UI Gothic" w:eastAsia="MS UI Gothic"/>
          <w:w w:val="80"/>
        </w:rPr>
        <w:t>ꎮ</w:t>
      </w:r>
    </w:p>
    <w:p>
      <w:pPr>
        <w:pStyle w:val="6"/>
        <w:spacing w:line="295" w:lineRule="auto"/>
        <w:ind w:right="49"/>
        <w:rPr>
          <w:rFonts w:hint="eastAsia" w:ascii="MS UI Gothic" w:eastAsia="MS UI Gothic"/>
        </w:rPr>
      </w:pPr>
      <w:r>
        <w:rPr>
          <w:w w:val="105"/>
        </w:rPr>
        <w:t>第十一条 社会保险行政部门工作人</w:t>
      </w:r>
      <w:r>
        <w:t>员在工伤认定中</w:t>
      </w:r>
      <w:r>
        <w:rPr>
          <w:rFonts w:hint="eastAsia" w:ascii="MS UI Gothic" w:eastAsia="MS UI Gothic"/>
          <w:w w:val="80"/>
        </w:rPr>
        <w:t xml:space="preserve">ꎬ </w:t>
      </w:r>
      <w:r>
        <w:t>可以进行以下调查核实</w:t>
      </w:r>
      <w:r>
        <w:rPr>
          <w:w w:val="110"/>
        </w:rPr>
        <w:t>工作</w:t>
      </w:r>
      <w:r>
        <w:rPr>
          <w:rFonts w:hint="eastAsia" w:ascii="MS UI Gothic" w:eastAsia="MS UI Gothic"/>
          <w:w w:val="235"/>
        </w:rPr>
        <w:t>:</w:t>
      </w:r>
    </w:p>
    <w:p>
      <w:pPr>
        <w:pStyle w:val="6"/>
        <w:spacing w:line="295" w:lineRule="auto"/>
        <w:ind w:right="4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根据工作需要</w:t>
      </w:r>
      <w:r>
        <w:rPr>
          <w:rFonts w:hint="eastAsia" w:ascii="MS UI Gothic" w:eastAsia="MS UI Gothic"/>
          <w:w w:val="80"/>
        </w:rPr>
        <w:t xml:space="preserve">ꎬ </w:t>
      </w:r>
      <w:r>
        <w:rPr>
          <w:w w:val="105"/>
        </w:rPr>
        <w:t>进入有关单位和事故现场</w:t>
      </w:r>
      <w:r>
        <w:rPr>
          <w:rFonts w:hint="eastAsia" w:ascii="MS UI Gothic" w:eastAsia="MS UI Gothic"/>
          <w:w w:val="80"/>
        </w:rPr>
        <w:t>ꎻ</w:t>
      </w:r>
    </w:p>
    <w:p>
      <w:pPr>
        <w:pStyle w:val="6"/>
        <w:spacing w:line="295" w:lineRule="auto"/>
        <w:ind w:right="4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依法查阅与工伤认定有关的资料</w:t>
      </w:r>
      <w:r>
        <w:rPr>
          <w:rFonts w:hint="eastAsia" w:ascii="MS UI Gothic" w:eastAsia="MS UI Gothic"/>
          <w:w w:val="80"/>
        </w:rPr>
        <w:t xml:space="preserve">ꎬ </w:t>
      </w:r>
      <w:r>
        <w:rPr>
          <w:w w:val="105"/>
        </w:rPr>
        <w:t>询问有关人员并作出调查笔录</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10"/>
          <w:w w:val="150"/>
        </w:rPr>
        <w:t xml:space="preserve">) </w:t>
      </w:r>
      <w:r>
        <w:rPr>
          <w:spacing w:val="-8"/>
          <w:w w:val="105"/>
        </w:rPr>
        <w:t>记录</w:t>
      </w:r>
      <w:r>
        <w:rPr>
          <w:rFonts w:hint="eastAsia" w:ascii="MS UI Gothic" w:eastAsia="MS UI Gothic"/>
          <w:spacing w:val="18"/>
          <w:w w:val="80"/>
        </w:rPr>
        <w:t xml:space="preserve">、 </w:t>
      </w:r>
      <w:r>
        <w:rPr>
          <w:spacing w:val="-8"/>
          <w:w w:val="105"/>
        </w:rPr>
        <w:t>录音</w:t>
      </w:r>
      <w:r>
        <w:rPr>
          <w:rFonts w:hint="eastAsia" w:ascii="MS UI Gothic" w:eastAsia="MS UI Gothic"/>
          <w:spacing w:val="17"/>
          <w:w w:val="80"/>
        </w:rPr>
        <w:t xml:space="preserve">、 </w:t>
      </w:r>
      <w:r>
        <w:rPr>
          <w:spacing w:val="-8"/>
          <w:w w:val="105"/>
        </w:rPr>
        <w:t>录像和复制与工伤</w:t>
      </w:r>
      <w:r>
        <w:rPr>
          <w:spacing w:val="-8"/>
        </w:rPr>
        <w:t>认定有关的资料</w:t>
      </w:r>
      <w:r>
        <w:rPr>
          <w:rFonts w:hint="eastAsia" w:ascii="MS UI Gothic" w:eastAsia="MS UI Gothic"/>
          <w:spacing w:val="17"/>
          <w:w w:val="80"/>
        </w:rPr>
        <w:t xml:space="preserve">ꎮ </w:t>
      </w:r>
      <w:r>
        <w:rPr>
          <w:spacing w:val="-9"/>
        </w:rPr>
        <w:t>调查核实工作的证据收集</w:t>
      </w:r>
      <w:r>
        <w:rPr>
          <w:spacing w:val="-8"/>
          <w:w w:val="105"/>
        </w:rPr>
        <w:t>参照行政诉讼证据收集的有关规定执行</w:t>
      </w:r>
      <w:r>
        <w:rPr>
          <w:rFonts w:hint="eastAsia" w:ascii="MS UI Gothic" w:eastAsia="MS UI Gothic"/>
          <w:w w:val="80"/>
        </w:rPr>
        <w:t>ꎮ</w:t>
      </w:r>
    </w:p>
    <w:p>
      <w:pPr>
        <w:pStyle w:val="6"/>
        <w:spacing w:line="295" w:lineRule="auto"/>
        <w:ind w:right="49"/>
        <w:rPr>
          <w:rFonts w:hint="eastAsia" w:ascii="MS UI Gothic" w:eastAsia="MS UI Gothic"/>
        </w:rPr>
      </w:pPr>
      <w:r>
        <w:t>第十二条 社会保险行政部门工作人员进行调查核实时</w:t>
      </w:r>
      <w:r>
        <w:rPr>
          <w:rFonts w:hint="eastAsia" w:ascii="MS UI Gothic" w:eastAsia="MS UI Gothic"/>
          <w:w w:val="80"/>
        </w:rPr>
        <w:t xml:space="preserve">ꎬ </w:t>
      </w:r>
      <w:r>
        <w:t>有关单位和个人应当予以协助</w:t>
      </w:r>
      <w:r>
        <w:rPr>
          <w:rFonts w:hint="eastAsia" w:ascii="MS UI Gothic" w:eastAsia="MS UI Gothic"/>
          <w:w w:val="80"/>
        </w:rPr>
        <w:t>ꎮ</w:t>
      </w:r>
    </w:p>
    <w:p>
      <w:pPr>
        <w:pStyle w:val="6"/>
        <w:spacing w:line="295" w:lineRule="auto"/>
        <w:ind w:right="49"/>
        <w:rPr>
          <w:rFonts w:hint="eastAsia" w:ascii="MS UI Gothic" w:eastAsia="MS UI Gothic"/>
        </w:rPr>
      </w:pPr>
      <w:r>
        <w:t>用人单位</w:t>
      </w:r>
      <w:r>
        <w:rPr>
          <w:rFonts w:hint="eastAsia" w:ascii="MS UI Gothic" w:eastAsia="MS UI Gothic"/>
          <w:w w:val="80"/>
        </w:rPr>
        <w:t xml:space="preserve">、 </w:t>
      </w:r>
      <w:r>
        <w:t>工会组织</w:t>
      </w:r>
      <w:r>
        <w:rPr>
          <w:rFonts w:hint="eastAsia" w:ascii="MS UI Gothic" w:eastAsia="MS UI Gothic"/>
          <w:w w:val="80"/>
        </w:rPr>
        <w:t xml:space="preserve">、 </w:t>
      </w:r>
      <w:r>
        <w:t>医疗机构以及有关部门应当负责安排相关人员配合工作</w:t>
      </w:r>
      <w:r>
        <w:rPr>
          <w:rFonts w:hint="eastAsia" w:ascii="MS UI Gothic" w:eastAsia="MS UI Gothic"/>
          <w:w w:val="80"/>
        </w:rPr>
        <w:t xml:space="preserve">ꎬ </w:t>
      </w:r>
      <w:r>
        <w:t>据实提供情况和证明材料</w:t>
      </w:r>
      <w:r>
        <w:rPr>
          <w:rFonts w:hint="eastAsia" w:ascii="MS UI Gothic" w:eastAsia="MS UI Gothic"/>
          <w:w w:val="80"/>
        </w:rPr>
        <w:t>ꎮ</w:t>
      </w:r>
    </w:p>
    <w:p>
      <w:pPr>
        <w:pStyle w:val="6"/>
        <w:spacing w:line="295" w:lineRule="auto"/>
        <w:ind w:right="49"/>
        <w:rPr>
          <w:rFonts w:hint="eastAsia" w:ascii="MS UI Gothic" w:eastAsia="MS UI Gothic"/>
        </w:rPr>
      </w:pPr>
      <w:r>
        <w:rPr>
          <w:w w:val="105"/>
        </w:rPr>
        <w:t>第十三条 社会保险行政部门在进行</w:t>
      </w:r>
      <w:r>
        <w:t>工伤认定时</w:t>
      </w:r>
      <w:r>
        <w:rPr>
          <w:rFonts w:hint="eastAsia" w:ascii="MS UI Gothic" w:eastAsia="MS UI Gothic"/>
          <w:w w:val="80"/>
        </w:rPr>
        <w:t xml:space="preserve">ꎬ </w:t>
      </w:r>
      <w:r>
        <w:t>对申请人提供的符合国家有关规定的职业病诊断证明书或者职业病诊断鉴定书</w:t>
      </w:r>
      <w:r>
        <w:rPr>
          <w:rFonts w:hint="eastAsia" w:ascii="MS UI Gothic" w:eastAsia="MS UI Gothic"/>
          <w:w w:val="80"/>
        </w:rPr>
        <w:t xml:space="preserve">ꎬ </w:t>
      </w:r>
      <w:r>
        <w:t>不再进行调查核实</w:t>
      </w:r>
      <w:r>
        <w:rPr>
          <w:rFonts w:hint="eastAsia" w:ascii="MS UI Gothic" w:eastAsia="MS UI Gothic"/>
          <w:w w:val="80"/>
        </w:rPr>
        <w:t xml:space="preserve">ꎮ </w:t>
      </w:r>
      <w:r>
        <w:t>职业病诊断证明书或者职业病诊断鉴定书不符合国家规定的要求和格式的</w:t>
      </w:r>
      <w:r>
        <w:rPr>
          <w:rFonts w:hint="eastAsia" w:ascii="MS UI Gothic" w:eastAsia="MS UI Gothic"/>
          <w:w w:val="80"/>
        </w:rPr>
        <w:t xml:space="preserve">ꎬ </w:t>
      </w:r>
      <w:r>
        <w:t>社会保险行政部</w:t>
      </w:r>
      <w:r>
        <w:rPr>
          <w:w w:val="105"/>
        </w:rPr>
        <w:t>门可以要求出具证据部门重新提供</w:t>
      </w:r>
      <w:r>
        <w:rPr>
          <w:rFonts w:hint="eastAsia" w:ascii="MS UI Gothic" w:eastAsia="MS UI Gothic"/>
          <w:w w:val="80"/>
        </w:rPr>
        <w:t>ꎮ</w:t>
      </w:r>
    </w:p>
    <w:p>
      <w:pPr>
        <w:pStyle w:val="6"/>
        <w:spacing w:line="295" w:lineRule="auto"/>
        <w:ind w:right="49"/>
        <w:rPr>
          <w:rFonts w:hint="eastAsia" w:ascii="MS UI Gothic" w:eastAsia="MS UI Gothic"/>
        </w:rPr>
      </w:pPr>
      <w:r>
        <w:rPr>
          <w:w w:val="105"/>
        </w:rPr>
        <w:t>第十四条 社会保险行政部门受理工</w:t>
      </w:r>
      <w:r>
        <w:t>伤认定申请后</w:t>
      </w:r>
      <w:r>
        <w:rPr>
          <w:rFonts w:hint="eastAsia" w:ascii="MS UI Gothic" w:eastAsia="MS UI Gothic"/>
          <w:w w:val="80"/>
        </w:rPr>
        <w:t xml:space="preserve">ꎬ </w:t>
      </w:r>
      <w:r>
        <w:t>可以根据工作需要</w:t>
      </w:r>
      <w:r>
        <w:rPr>
          <w:rFonts w:hint="eastAsia" w:ascii="MS UI Gothic" w:eastAsia="MS UI Gothic"/>
          <w:w w:val="80"/>
        </w:rPr>
        <w:t xml:space="preserve">ꎬ </w:t>
      </w:r>
      <w:r>
        <w:t>委托其他统筹地区的社会保险行政部门或者相</w:t>
      </w:r>
      <w:r>
        <w:rPr>
          <w:w w:val="105"/>
        </w:rPr>
        <w:t>关部门进行调查核实</w:t>
      </w:r>
      <w:r>
        <w:rPr>
          <w:rFonts w:hint="eastAsia" w:ascii="MS UI Gothic" w:eastAsia="MS UI Gothic"/>
          <w:w w:val="80"/>
        </w:rPr>
        <w:t>ꎮ</w:t>
      </w:r>
    </w:p>
    <w:p>
      <w:pPr>
        <w:pStyle w:val="6"/>
        <w:spacing w:line="295" w:lineRule="auto"/>
        <w:ind w:right="49"/>
        <w:rPr>
          <w:rFonts w:hint="eastAsia" w:ascii="MS UI Gothic" w:eastAsia="MS UI Gothic"/>
        </w:rPr>
      </w:pPr>
      <w:r>
        <w:rPr>
          <w:w w:val="105"/>
        </w:rPr>
        <w:t>第十五条 社会保险行政部门工作人员进行调查核实时</w:t>
      </w:r>
      <w:r>
        <w:rPr>
          <w:rFonts w:hint="eastAsia" w:ascii="MS UI Gothic" w:eastAsia="MS UI Gothic"/>
          <w:w w:val="80"/>
        </w:rPr>
        <w:t xml:space="preserve">ꎬ </w:t>
      </w:r>
      <w:r>
        <w:rPr>
          <w:w w:val="105"/>
        </w:rPr>
        <w:t>应当履行下列义务</w:t>
      </w:r>
      <w:r>
        <w:rPr>
          <w:rFonts w:hint="eastAsia" w:ascii="MS UI Gothic" w:eastAsia="MS UI Gothic"/>
          <w:w w:val="105"/>
        </w:rPr>
        <w:t>:</w:t>
      </w:r>
    </w:p>
    <w:p>
      <w:pPr>
        <w:pStyle w:val="6"/>
        <w:spacing w:line="295" w:lineRule="auto"/>
        <w:ind w:right="49"/>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保守有关单位商业秘密以及个</w:t>
      </w:r>
      <w:r>
        <w:rPr>
          <w:w w:val="110"/>
        </w:rPr>
        <w:t>人隐私</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为提供情况的有关人员保密</w:t>
      </w:r>
      <w:r>
        <w:rPr>
          <w:rFonts w:hint="eastAsia" w:ascii="MS UI Gothic" w:eastAsia="MS UI Gothic"/>
          <w:w w:val="80"/>
        </w:rPr>
        <w:t>ꎮ</w:t>
      </w:r>
    </w:p>
    <w:p>
      <w:pPr>
        <w:pStyle w:val="6"/>
        <w:spacing w:before="74" w:line="295" w:lineRule="auto"/>
        <w:ind w:right="442" w:firstLine="0"/>
        <w:rPr>
          <w:rFonts w:hint="eastAsia" w:ascii="MS UI Gothic" w:eastAsia="MS UI Gothic"/>
        </w:rPr>
      </w:pPr>
      <w:r>
        <w:br w:type="column"/>
      </w:r>
      <w:r>
        <w:t>员与工伤认定申请人有利害关系的</w:t>
      </w:r>
      <w:r>
        <w:rPr>
          <w:rFonts w:hint="eastAsia" w:ascii="MS UI Gothic" w:eastAsia="MS UI Gothic"/>
          <w:w w:val="80"/>
        </w:rPr>
        <w:t xml:space="preserve">ꎬ </w:t>
      </w:r>
      <w:r>
        <w:t>应当回避</w:t>
      </w:r>
      <w:r>
        <w:rPr>
          <w:rFonts w:hint="eastAsia" w:ascii="MS UI Gothic" w:eastAsia="MS UI Gothic"/>
          <w:w w:val="80"/>
        </w:rPr>
        <w:t>ꎮ</w:t>
      </w:r>
    </w:p>
    <w:p>
      <w:pPr>
        <w:pStyle w:val="6"/>
        <w:spacing w:line="295" w:lineRule="auto"/>
        <w:ind w:right="442"/>
        <w:rPr>
          <w:rFonts w:hint="eastAsia" w:ascii="MS UI Gothic" w:eastAsia="MS UI Gothic"/>
        </w:rPr>
      </w:pPr>
      <w:r>
        <w:t>第十七条 职工或者其近亲属认为是工伤</w:t>
      </w:r>
      <w:r>
        <w:rPr>
          <w:rFonts w:hint="eastAsia" w:ascii="MS UI Gothic" w:eastAsia="MS UI Gothic"/>
          <w:w w:val="80"/>
        </w:rPr>
        <w:t xml:space="preserve">ꎬ </w:t>
      </w:r>
      <w:r>
        <w:t>用人单位不认为是工伤的</w:t>
      </w:r>
      <w:r>
        <w:rPr>
          <w:rFonts w:hint="eastAsia" w:ascii="MS UI Gothic" w:eastAsia="MS UI Gothic"/>
          <w:w w:val="80"/>
        </w:rPr>
        <w:t xml:space="preserve">ꎬ </w:t>
      </w:r>
      <w:r>
        <w:t>由该用人单位承担举证责任</w:t>
      </w:r>
      <w:r>
        <w:rPr>
          <w:rFonts w:hint="eastAsia" w:ascii="MS UI Gothic" w:eastAsia="MS UI Gothic"/>
          <w:w w:val="80"/>
        </w:rPr>
        <w:t xml:space="preserve">ꎮ </w:t>
      </w:r>
      <w:r>
        <w:t>用人单位拒不举证的</w:t>
      </w:r>
      <w:r>
        <w:rPr>
          <w:rFonts w:hint="eastAsia" w:ascii="MS UI Gothic" w:eastAsia="MS UI Gothic"/>
          <w:w w:val="80"/>
        </w:rPr>
        <w:t xml:space="preserve">ꎬ </w:t>
      </w:r>
      <w:r>
        <w:t>社会保险行政部门可以根据受伤害职工提供的证据或者调查取得的证据</w:t>
      </w:r>
      <w:r>
        <w:rPr>
          <w:rFonts w:hint="eastAsia" w:ascii="MS UI Gothic" w:eastAsia="MS UI Gothic"/>
          <w:w w:val="80"/>
        </w:rPr>
        <w:t xml:space="preserve">ꎬ </w:t>
      </w:r>
      <w:r>
        <w:t>依法作出工伤认定决定</w:t>
      </w:r>
      <w:r>
        <w:rPr>
          <w:rFonts w:hint="eastAsia" w:ascii="MS UI Gothic" w:eastAsia="MS UI Gothic"/>
          <w:w w:val="80"/>
        </w:rPr>
        <w:t>ꎮ</w:t>
      </w:r>
    </w:p>
    <w:p>
      <w:pPr>
        <w:pStyle w:val="6"/>
        <w:spacing w:line="295" w:lineRule="auto"/>
        <w:ind w:right="442"/>
        <w:rPr>
          <w:rFonts w:hint="eastAsia" w:ascii="MS UI Gothic" w:hAnsi="MS UI Gothic" w:eastAsia="MS UI Gothic"/>
        </w:rPr>
      </w:pPr>
      <w:r>
        <w:t xml:space="preserve">第十八条 社会保险行政部门应当自受理工伤认定申请之日起 </w:t>
      </w:r>
      <w:r>
        <w:rPr>
          <w:rFonts w:hint="eastAsia" w:ascii="MS UI Gothic" w:hAnsi="MS UI Gothic" w:eastAsia="MS UI Gothic"/>
          <w:w w:val="85"/>
        </w:rPr>
        <w:t xml:space="preserve">６０ </w:t>
      </w:r>
      <w:r>
        <w:t>日内作出工伤认定决定</w:t>
      </w:r>
      <w:r>
        <w:rPr>
          <w:rFonts w:hint="eastAsia" w:ascii="MS UI Gothic" w:hAnsi="MS UI Gothic" w:eastAsia="MS UI Gothic"/>
          <w:w w:val="85"/>
        </w:rPr>
        <w:t xml:space="preserve">ꎬ </w:t>
      </w:r>
      <w:r>
        <w:t xml:space="preserve">出具 </w:t>
      </w:r>
      <w:r>
        <w:rPr>
          <w:rFonts w:hint="eastAsia" w:ascii="MS UI Gothic" w:hAnsi="MS UI Gothic" w:eastAsia="MS UI Gothic"/>
        </w:rPr>
        <w:t xml:space="preserve">« </w:t>
      </w:r>
      <w:r>
        <w:t>认定工伤决定书</w:t>
      </w:r>
      <w:r>
        <w:rPr>
          <w:rFonts w:hint="eastAsia" w:ascii="MS UI Gothic" w:hAnsi="MS UI Gothic" w:eastAsia="MS UI Gothic"/>
        </w:rPr>
        <w:t xml:space="preserve">» </w:t>
      </w:r>
      <w:r>
        <w:t xml:space="preserve">或者 </w:t>
      </w:r>
      <w:r>
        <w:rPr>
          <w:rFonts w:hint="eastAsia" w:ascii="MS UI Gothic" w:hAnsi="MS UI Gothic" w:eastAsia="MS UI Gothic"/>
        </w:rPr>
        <w:t xml:space="preserve">« </w:t>
      </w:r>
      <w:r>
        <w:t>不予认定工伤决定书</w:t>
      </w:r>
      <w:r>
        <w:rPr>
          <w:rFonts w:hint="eastAsia" w:ascii="MS UI Gothic" w:hAnsi="MS UI Gothic" w:eastAsia="MS UI Gothic"/>
        </w:rPr>
        <w:t xml:space="preserve">» </w:t>
      </w:r>
      <w:r>
        <w:rPr>
          <w:rFonts w:hint="eastAsia" w:ascii="MS UI Gothic" w:hAnsi="MS UI Gothic" w:eastAsia="MS UI Gothic"/>
          <w:w w:val="85"/>
        </w:rPr>
        <w:t>ꎮ</w:t>
      </w:r>
    </w:p>
    <w:p>
      <w:pPr>
        <w:pStyle w:val="6"/>
        <w:spacing w:line="295" w:lineRule="auto"/>
        <w:ind w:right="442"/>
        <w:rPr>
          <w:rFonts w:hint="eastAsia" w:ascii="MS UI Gothic" w:hAnsi="MS UI Gothic" w:eastAsia="MS UI Gothic"/>
        </w:rPr>
      </w:pPr>
      <w:r>
        <w:rPr>
          <w:w w:val="110"/>
        </w:rPr>
        <w:t xml:space="preserve">第十九条 </w:t>
      </w:r>
      <w:r>
        <w:rPr>
          <w:rFonts w:hint="eastAsia" w:ascii="MS UI Gothic" w:hAnsi="MS UI Gothic" w:eastAsia="MS UI Gothic"/>
        </w:rPr>
        <w:t xml:space="preserve">« </w:t>
      </w:r>
      <w:r>
        <w:rPr>
          <w:w w:val="110"/>
        </w:rPr>
        <w:t>认定工伤决定书</w:t>
      </w:r>
      <w:r>
        <w:rPr>
          <w:rFonts w:hint="eastAsia" w:ascii="MS UI Gothic" w:hAnsi="MS UI Gothic" w:eastAsia="MS UI Gothic"/>
        </w:rPr>
        <w:t xml:space="preserve">» </w:t>
      </w:r>
      <w:r>
        <w:rPr>
          <w:w w:val="110"/>
        </w:rPr>
        <w:t>应当载明下列事项</w:t>
      </w:r>
      <w:r>
        <w:rPr>
          <w:rFonts w:hint="eastAsia" w:ascii="MS UI Gothic" w:hAnsi="MS UI Gothic" w:eastAsia="MS UI Gothic"/>
          <w:w w:val="235"/>
        </w:rPr>
        <w:t>:</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用人单位全称</w:t>
      </w:r>
      <w:r>
        <w:rPr>
          <w:rFonts w:hint="eastAsia" w:ascii="MS UI Gothic" w:eastAsia="MS UI Gothic"/>
          <w:w w:val="80"/>
        </w:rPr>
        <w:t>ꎻ</w:t>
      </w:r>
    </w:p>
    <w:p>
      <w:pPr>
        <w:pStyle w:val="6"/>
        <w:spacing w:before="49"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职工的姓名</w:t>
      </w:r>
      <w:r>
        <w:rPr>
          <w:rFonts w:hint="eastAsia" w:ascii="MS UI Gothic" w:eastAsia="MS UI Gothic"/>
          <w:w w:val="80"/>
        </w:rPr>
        <w:t xml:space="preserve">、 </w:t>
      </w:r>
      <w:r>
        <w:rPr>
          <w:w w:val="105"/>
        </w:rPr>
        <w:t>性别</w:t>
      </w:r>
      <w:r>
        <w:rPr>
          <w:rFonts w:hint="eastAsia" w:ascii="MS UI Gothic" w:eastAsia="MS UI Gothic"/>
          <w:w w:val="80"/>
        </w:rPr>
        <w:t xml:space="preserve">、 </w:t>
      </w:r>
      <w:r>
        <w:rPr>
          <w:w w:val="105"/>
        </w:rPr>
        <w:t>年龄</w:t>
      </w:r>
      <w:r>
        <w:rPr>
          <w:rFonts w:hint="eastAsia" w:ascii="MS UI Gothic" w:eastAsia="MS UI Gothic"/>
          <w:w w:val="80"/>
        </w:rPr>
        <w:t xml:space="preserve">、 </w:t>
      </w:r>
      <w:r>
        <w:rPr>
          <w:w w:val="105"/>
        </w:rPr>
        <w:t>职业</w:t>
      </w:r>
      <w:r>
        <w:rPr>
          <w:rFonts w:hint="eastAsia" w:ascii="MS UI Gothic" w:eastAsia="MS UI Gothic"/>
          <w:w w:val="80"/>
        </w:rPr>
        <w:t xml:space="preserve">、 </w:t>
      </w:r>
      <w:r>
        <w:rPr>
          <w:w w:val="105"/>
        </w:rPr>
        <w:t>身份证号码</w:t>
      </w:r>
      <w:r>
        <w:rPr>
          <w:rFonts w:hint="eastAsia" w:ascii="MS UI Gothic" w:eastAsia="MS UI Gothic"/>
          <w:w w:val="80"/>
        </w:rPr>
        <w:t>ꎻ</w:t>
      </w:r>
    </w:p>
    <w:p>
      <w:pPr>
        <w:pStyle w:val="6"/>
        <w:spacing w:line="295" w:lineRule="auto"/>
        <w:ind w:right="442"/>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受伤害部位</w:t>
      </w:r>
      <w:r>
        <w:rPr>
          <w:rFonts w:hint="eastAsia" w:ascii="MS UI Gothic" w:eastAsia="MS UI Gothic"/>
        </w:rPr>
        <w:t xml:space="preserve">、 </w:t>
      </w:r>
      <w:r>
        <w:rPr>
          <w:w w:val="105"/>
        </w:rPr>
        <w:t>事故时间和诊断</w:t>
      </w:r>
      <w:r>
        <w:t>时间或职业病名称</w:t>
      </w:r>
      <w:r>
        <w:rPr>
          <w:rFonts w:hint="eastAsia" w:ascii="MS UI Gothic" w:eastAsia="MS UI Gothic"/>
        </w:rPr>
        <w:t xml:space="preserve">、 </w:t>
      </w:r>
      <w:r>
        <w:t>受伤害经过和核实情</w:t>
      </w:r>
      <w:r>
        <w:rPr>
          <w:w w:val="105"/>
        </w:rPr>
        <w:t>况</w:t>
      </w:r>
      <w:r>
        <w:rPr>
          <w:rFonts w:hint="eastAsia" w:ascii="MS UI Gothic" w:eastAsia="MS UI Gothic"/>
        </w:rPr>
        <w:t xml:space="preserve">、 </w:t>
      </w:r>
      <w:r>
        <w:rPr>
          <w:w w:val="105"/>
        </w:rPr>
        <w:t>医疗</w:t>
      </w:r>
    </w:p>
    <w:p>
      <w:pPr>
        <w:pStyle w:val="6"/>
        <w:spacing w:line="254" w:lineRule="exact"/>
        <w:ind w:left="543" w:firstLine="0"/>
        <w:jc w:val="left"/>
        <w:rPr>
          <w:rFonts w:hint="eastAsia" w:ascii="MS UI Gothic" w:eastAsia="MS UI Gothic"/>
        </w:rPr>
      </w:pPr>
      <w:r>
        <w:t>救治的基本情况和诊断结论</w:t>
      </w:r>
      <w:r>
        <w:rPr>
          <w:rFonts w:hint="eastAsia" w:ascii="MS UI Gothic" w:eastAsia="MS UI Gothic"/>
          <w:w w:val="80"/>
        </w:rPr>
        <w:t>ꎻ</w:t>
      </w:r>
    </w:p>
    <w:p>
      <w:pPr>
        <w:pStyle w:val="6"/>
        <w:spacing w:before="56" w:line="295" w:lineRule="auto"/>
        <w:ind w:right="442"/>
        <w:jc w:val="left"/>
        <w:rPr>
          <w:rFonts w:hint="eastAsia" w:ascii="MS UI Gothic" w:eastAsia="MS UI Gothic"/>
        </w:rPr>
      </w:pPr>
      <w:r>
        <w:rPr>
          <w:rFonts w:hint="eastAsia" w:ascii="MS UI Gothic" w:eastAsia="MS UI Gothic"/>
          <w:spacing w:val="-36"/>
          <w:w w:val="130"/>
        </w:rPr>
        <w:t xml:space="preserve">( </w:t>
      </w:r>
      <w:r>
        <w:rPr>
          <w:spacing w:val="29"/>
          <w:w w:val="110"/>
        </w:rPr>
        <w:t>四</w:t>
      </w:r>
      <w:r>
        <w:rPr>
          <w:rFonts w:hint="eastAsia" w:ascii="MS UI Gothic" w:eastAsia="MS UI Gothic"/>
          <w:spacing w:val="-13"/>
          <w:w w:val="130"/>
        </w:rPr>
        <w:t xml:space="preserve">) </w:t>
      </w:r>
      <w:r>
        <w:rPr>
          <w:spacing w:val="41"/>
          <w:w w:val="110"/>
        </w:rPr>
        <w:t>认定工伤或者视同工伤的</w:t>
      </w:r>
      <w:r>
        <w:rPr>
          <w:spacing w:val="3"/>
          <w:w w:val="110"/>
        </w:rPr>
        <w:t>依据</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不服认定决定申请行政复议或者提起行政诉讼的部门和时限</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作出认定工伤或者视同工伤决</w:t>
      </w:r>
      <w:r>
        <w:rPr>
          <w:w w:val="110"/>
        </w:rPr>
        <w:t>定的时间</w:t>
      </w:r>
      <w:r>
        <w:rPr>
          <w:rFonts w:hint="eastAsia" w:ascii="MS UI Gothic" w:eastAsia="MS UI Gothic"/>
          <w:w w:val="80"/>
        </w:rPr>
        <w:t>ꎮ</w:t>
      </w:r>
    </w:p>
    <w:p>
      <w:pPr>
        <w:pStyle w:val="6"/>
        <w:spacing w:line="295" w:lineRule="auto"/>
        <w:ind w:right="442"/>
        <w:jc w:val="left"/>
        <w:rPr>
          <w:rFonts w:hint="eastAsia" w:ascii="MS UI Gothic" w:hAnsi="MS UI Gothic" w:eastAsia="MS UI Gothic"/>
        </w:rPr>
      </w:pPr>
      <w:r>
        <w:rPr>
          <w:rFonts w:hint="eastAsia" w:ascii="MS UI Gothic" w:hAnsi="MS UI Gothic" w:eastAsia="MS UI Gothic"/>
        </w:rPr>
        <w:t xml:space="preserve">« </w:t>
      </w:r>
      <w:r>
        <w:t>不予认定工伤决定书</w:t>
      </w:r>
      <w:r>
        <w:rPr>
          <w:rFonts w:hint="eastAsia" w:ascii="MS UI Gothic" w:hAnsi="MS UI Gothic" w:eastAsia="MS UI Gothic"/>
        </w:rPr>
        <w:t xml:space="preserve">» </w:t>
      </w:r>
      <w:r>
        <w:t>应当载明下</w:t>
      </w:r>
      <w:r>
        <w:rPr>
          <w:w w:val="110"/>
        </w:rPr>
        <w:t>列事项</w:t>
      </w:r>
      <w:r>
        <w:rPr>
          <w:rFonts w:hint="eastAsia" w:ascii="MS UI Gothic" w:hAnsi="MS UI Gothic" w:eastAsia="MS UI Gothic"/>
          <w:w w:val="235"/>
        </w:rPr>
        <w:t>:</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用人单位全称</w:t>
      </w:r>
      <w:r>
        <w:rPr>
          <w:rFonts w:hint="eastAsia" w:ascii="MS UI Gothic" w:eastAsia="MS UI Gothic"/>
          <w:w w:val="80"/>
        </w:rPr>
        <w:t>ꎻ</w:t>
      </w:r>
    </w:p>
    <w:p>
      <w:pPr>
        <w:pStyle w:val="6"/>
        <w:spacing w:before="54" w:line="295" w:lineRule="auto"/>
        <w:ind w:right="442"/>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职工的姓名</w:t>
      </w:r>
      <w:r>
        <w:rPr>
          <w:rFonts w:hint="eastAsia" w:ascii="MS UI Gothic" w:eastAsia="MS UI Gothic"/>
          <w:w w:val="80"/>
        </w:rPr>
        <w:t xml:space="preserve">、 </w:t>
      </w:r>
      <w:r>
        <w:rPr>
          <w:w w:val="105"/>
        </w:rPr>
        <w:t>性别</w:t>
      </w:r>
      <w:r>
        <w:rPr>
          <w:rFonts w:hint="eastAsia" w:ascii="MS UI Gothic" w:eastAsia="MS UI Gothic"/>
          <w:w w:val="80"/>
        </w:rPr>
        <w:t xml:space="preserve">、 </w:t>
      </w:r>
      <w:r>
        <w:rPr>
          <w:w w:val="105"/>
        </w:rPr>
        <w:t>年龄</w:t>
      </w:r>
      <w:r>
        <w:rPr>
          <w:rFonts w:hint="eastAsia" w:ascii="MS UI Gothic" w:eastAsia="MS UI Gothic"/>
          <w:w w:val="80"/>
        </w:rPr>
        <w:t xml:space="preserve">、 </w:t>
      </w:r>
      <w:r>
        <w:rPr>
          <w:w w:val="105"/>
        </w:rPr>
        <w:t>职业</w:t>
      </w:r>
      <w:r>
        <w:rPr>
          <w:rFonts w:hint="eastAsia" w:ascii="MS UI Gothic" w:eastAsia="MS UI Gothic"/>
          <w:w w:val="80"/>
        </w:rPr>
        <w:t xml:space="preserve">、 </w:t>
      </w:r>
      <w:r>
        <w:rPr>
          <w:w w:val="105"/>
        </w:rPr>
        <w:t>身份证号码</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不予认定工伤或者不视同工伤</w:t>
      </w:r>
      <w:r>
        <w:rPr>
          <w:w w:val="110"/>
        </w:rPr>
        <w:t>的依据</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不服认定决定申请行政复议或者提起行政诉讼的部门和时限</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作出不予认定工伤或者不视同</w:t>
      </w:r>
      <w:r>
        <w:rPr>
          <w:w w:val="110"/>
        </w:rPr>
        <w:t>工伤决定的时间</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46" w:space="24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１１７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393" o:spid="_x0000_s1393" o:spt="203" style="height:2.15pt;width:398.25pt;" coordsize="7965,43">
            <o:lock v:ext="edit"/>
            <v:line id="_x0000_s1394" o:spid="_x0000_s1394" o:spt="20" style="position:absolute;left:0;top:39;height:0;width:7965;" stroked="t" coordsize="21600,21600">
              <v:path arrowok="t"/>
              <v:fill focussize="0,0"/>
              <v:stroke weight="0.388031496062992pt" color="#231F20"/>
              <v:imagedata o:title=""/>
              <o:lock v:ext="edit"/>
            </v:line>
            <v:line id="_x0000_s1395" o:spid="_x0000_s139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9"/>
        <w:rPr>
          <w:rFonts w:hint="eastAsia" w:ascii="MS UI Gothic" w:hAnsi="MS UI Gothic" w:eastAsia="MS UI Gothic"/>
        </w:rPr>
      </w:pPr>
      <w:r>
        <w:rPr>
          <w:rFonts w:hint="eastAsia" w:ascii="MS UI Gothic" w:hAnsi="MS UI Gothic" w:eastAsia="MS UI Gothic"/>
          <w:w w:val="80"/>
        </w:rPr>
        <w:t xml:space="preserve">« </w:t>
      </w:r>
      <w:r>
        <w:t>认定工伤决定书</w:t>
      </w:r>
      <w:r>
        <w:rPr>
          <w:rFonts w:hint="eastAsia" w:ascii="MS UI Gothic" w:hAnsi="MS UI Gothic" w:eastAsia="MS UI Gothic"/>
          <w:w w:val="80"/>
        </w:rPr>
        <w:t xml:space="preserve">» </w:t>
      </w:r>
      <w:r>
        <w:t xml:space="preserve">和 </w:t>
      </w:r>
      <w:r>
        <w:rPr>
          <w:rFonts w:hint="eastAsia" w:ascii="MS UI Gothic" w:hAnsi="MS UI Gothic" w:eastAsia="MS UI Gothic"/>
          <w:w w:val="80"/>
        </w:rPr>
        <w:t xml:space="preserve">« </w:t>
      </w:r>
      <w:r>
        <w:t>不予认定工伤决定书</w:t>
      </w:r>
      <w:r>
        <w:rPr>
          <w:rFonts w:hint="eastAsia" w:ascii="MS UI Gothic" w:hAnsi="MS UI Gothic" w:eastAsia="MS UI Gothic"/>
          <w:w w:val="80"/>
        </w:rPr>
        <w:t xml:space="preserve">» </w:t>
      </w:r>
      <w:r>
        <w:t>应当加盖社会保险行政部门工伤认定专用印章</w:t>
      </w:r>
      <w:r>
        <w:rPr>
          <w:rFonts w:hint="eastAsia" w:ascii="MS UI Gothic" w:hAnsi="MS UI Gothic" w:eastAsia="MS UI Gothic"/>
          <w:w w:val="80"/>
        </w:rPr>
        <w:t>ꎮ</w:t>
      </w:r>
    </w:p>
    <w:p>
      <w:pPr>
        <w:pStyle w:val="6"/>
        <w:spacing w:line="295" w:lineRule="auto"/>
        <w:ind w:left="440" w:right="9"/>
        <w:rPr>
          <w:rFonts w:hint="eastAsia" w:ascii="MS UI Gothic" w:eastAsia="MS UI Gothic"/>
        </w:rPr>
      </w:pPr>
      <w:r>
        <w:rPr>
          <w:w w:val="105"/>
        </w:rPr>
        <w:t>第二十条 社会保险行政部门受理工</w:t>
      </w:r>
      <w:r>
        <w:t>伤认定申请后</w:t>
      </w:r>
      <w:r>
        <w:rPr>
          <w:rFonts w:hint="eastAsia" w:ascii="MS UI Gothic" w:eastAsia="MS UI Gothic"/>
          <w:w w:val="80"/>
        </w:rPr>
        <w:t xml:space="preserve">ꎬ </w:t>
      </w:r>
      <w:r>
        <w:t>作出工伤认定决定需要以司法机关或者有关行政主管部门的结论为依据的</w:t>
      </w:r>
      <w:r>
        <w:rPr>
          <w:rFonts w:hint="eastAsia" w:ascii="MS UI Gothic" w:eastAsia="MS UI Gothic"/>
          <w:w w:val="80"/>
        </w:rPr>
        <w:t xml:space="preserve">ꎬ </w:t>
      </w:r>
      <w:r>
        <w:t>在司法机关或者有关行政主管部门尚未作出结论期间</w:t>
      </w:r>
      <w:r>
        <w:rPr>
          <w:rFonts w:hint="eastAsia" w:ascii="MS UI Gothic" w:eastAsia="MS UI Gothic"/>
          <w:w w:val="80"/>
        </w:rPr>
        <w:t xml:space="preserve">ꎬ </w:t>
      </w:r>
      <w:r>
        <w:t>作出工伤认定决定</w:t>
      </w:r>
      <w:r>
        <w:rPr>
          <w:w w:val="105"/>
        </w:rPr>
        <w:t>的时限中止</w:t>
      </w:r>
      <w:r>
        <w:rPr>
          <w:rFonts w:hint="eastAsia" w:ascii="MS UI Gothic" w:eastAsia="MS UI Gothic"/>
          <w:w w:val="80"/>
        </w:rPr>
        <w:t xml:space="preserve">ꎬ </w:t>
      </w:r>
      <w:r>
        <w:rPr>
          <w:w w:val="105"/>
        </w:rPr>
        <w:t>并书面通知申请人</w:t>
      </w:r>
      <w:r>
        <w:rPr>
          <w:rFonts w:hint="eastAsia" w:ascii="MS UI Gothic" w:eastAsia="MS UI Gothic"/>
          <w:w w:val="80"/>
        </w:rPr>
        <w:t>ꎮ</w:t>
      </w:r>
    </w:p>
    <w:p>
      <w:pPr>
        <w:pStyle w:val="6"/>
        <w:spacing w:line="295" w:lineRule="auto"/>
        <w:ind w:left="440" w:right="9"/>
        <w:rPr>
          <w:rFonts w:hint="eastAsia" w:ascii="MS UI Gothic" w:eastAsia="MS UI Gothic"/>
        </w:rPr>
      </w:pPr>
      <w:r>
        <w:t>第二十一条 社会保险行政部门对于事实清楚</w:t>
      </w:r>
      <w:r>
        <w:rPr>
          <w:rFonts w:hint="eastAsia" w:ascii="MS UI Gothic" w:eastAsia="MS UI Gothic"/>
        </w:rPr>
        <w:t xml:space="preserve">、 </w:t>
      </w:r>
      <w:r>
        <w:t>权利义务明确的工伤认定申请</w:t>
      </w:r>
      <w:r>
        <w:rPr>
          <w:rFonts w:hint="eastAsia" w:ascii="MS UI Gothic" w:eastAsia="MS UI Gothic"/>
          <w:w w:val="85"/>
        </w:rPr>
        <w:t xml:space="preserve">ꎬ </w:t>
      </w:r>
      <w:r>
        <w:t xml:space="preserve">应当自受理工伤认定申请之日起 </w:t>
      </w:r>
      <w:r>
        <w:rPr>
          <w:rFonts w:hint="eastAsia" w:ascii="MS UI Gothic" w:eastAsia="MS UI Gothic"/>
          <w:w w:val="85"/>
        </w:rPr>
        <w:t xml:space="preserve">１５ </w:t>
      </w:r>
      <w:r>
        <w:t>日内作出工伤认定决定</w:t>
      </w:r>
      <w:r>
        <w:rPr>
          <w:rFonts w:hint="eastAsia" w:ascii="MS UI Gothic" w:eastAsia="MS UI Gothic"/>
          <w:w w:val="85"/>
        </w:rPr>
        <w:t>ꎮ</w:t>
      </w:r>
    </w:p>
    <w:p>
      <w:pPr>
        <w:pStyle w:val="6"/>
        <w:spacing w:line="295" w:lineRule="auto"/>
        <w:ind w:left="440"/>
      </w:pPr>
      <w:r>
        <w:t xml:space="preserve">第二十二条  社会保险行政部门应当自工伤认定决定作出之日起 </w:t>
      </w:r>
      <w:r>
        <w:rPr>
          <w:rFonts w:hint="eastAsia" w:ascii="MS UI Gothic" w:eastAsia="MS UI Gothic"/>
          <w:w w:val="85"/>
        </w:rPr>
        <w:t xml:space="preserve">２０ </w:t>
      </w:r>
      <w:r>
        <w:t>日内</w:t>
      </w:r>
      <w:r>
        <w:rPr>
          <w:rFonts w:hint="eastAsia" w:ascii="MS UI Gothic" w:eastAsia="MS UI Gothic"/>
          <w:w w:val="85"/>
        </w:rPr>
        <w:t xml:space="preserve">ꎬ </w:t>
      </w:r>
      <w:r>
        <w:t>将</w:t>
      </w:r>
    </w:p>
    <w:p>
      <w:pPr>
        <w:pStyle w:val="6"/>
        <w:spacing w:line="295" w:lineRule="auto"/>
        <w:ind w:left="440" w:firstLine="0"/>
        <w:rPr>
          <w:rFonts w:hint="eastAsia" w:ascii="MS UI Gothic" w:hAnsi="MS UI Gothic" w:eastAsia="MS UI Gothic"/>
        </w:rPr>
      </w:pPr>
      <w:r>
        <w:rPr>
          <w:rFonts w:hint="eastAsia" w:ascii="MS UI Gothic" w:hAnsi="MS UI Gothic" w:eastAsia="MS UI Gothic"/>
          <w:spacing w:val="9"/>
          <w:w w:val="80"/>
        </w:rPr>
        <w:t>«</w:t>
      </w:r>
      <w:r>
        <w:rPr>
          <w:spacing w:val="-8"/>
          <w:w w:val="105"/>
        </w:rPr>
        <w:t>认定工伤决定书</w:t>
      </w:r>
      <w:r>
        <w:rPr>
          <w:rFonts w:hint="eastAsia" w:ascii="MS UI Gothic" w:hAnsi="MS UI Gothic" w:eastAsia="MS UI Gothic"/>
          <w:spacing w:val="11"/>
          <w:w w:val="80"/>
        </w:rPr>
        <w:t xml:space="preserve">» </w:t>
      </w:r>
      <w:r>
        <w:rPr>
          <w:spacing w:val="-15"/>
          <w:w w:val="105"/>
        </w:rPr>
        <w:t xml:space="preserve">或者 </w:t>
      </w:r>
      <w:r>
        <w:rPr>
          <w:rFonts w:hint="eastAsia" w:ascii="MS UI Gothic" w:hAnsi="MS UI Gothic" w:eastAsia="MS UI Gothic"/>
          <w:spacing w:val="13"/>
          <w:w w:val="80"/>
        </w:rPr>
        <w:t>«</w:t>
      </w:r>
      <w:r>
        <w:rPr>
          <w:spacing w:val="-3"/>
          <w:w w:val="105"/>
        </w:rPr>
        <w:t>不予认定工伤决</w:t>
      </w:r>
      <w:r>
        <w:rPr>
          <w:spacing w:val="-8"/>
          <w:w w:val="105"/>
        </w:rPr>
        <w:t>定书</w:t>
      </w:r>
      <w:r>
        <w:rPr>
          <w:rFonts w:hint="eastAsia" w:ascii="MS UI Gothic" w:hAnsi="MS UI Gothic" w:eastAsia="MS UI Gothic"/>
          <w:spacing w:val="23"/>
          <w:w w:val="80"/>
        </w:rPr>
        <w:t xml:space="preserve">» </w:t>
      </w:r>
      <w:r>
        <w:rPr>
          <w:spacing w:val="4"/>
          <w:w w:val="105"/>
        </w:rPr>
        <w:t xml:space="preserve">送达受伤害职工 </w:t>
      </w:r>
      <w:r>
        <w:rPr>
          <w:rFonts w:hint="eastAsia" w:ascii="MS UI Gothic" w:hAnsi="MS UI Gothic" w:eastAsia="MS UI Gothic"/>
          <w:spacing w:val="-37"/>
          <w:w w:val="150"/>
        </w:rPr>
        <w:t xml:space="preserve">( </w:t>
      </w:r>
      <w:r>
        <w:rPr>
          <w:spacing w:val="11"/>
          <w:w w:val="105"/>
        </w:rPr>
        <w:t>或者其近亲属</w:t>
      </w:r>
      <w:r>
        <w:rPr>
          <w:rFonts w:hint="eastAsia" w:ascii="MS UI Gothic" w:hAnsi="MS UI Gothic" w:eastAsia="MS UI Gothic"/>
          <w:w w:val="150"/>
        </w:rPr>
        <w:t xml:space="preserve">) </w:t>
      </w:r>
      <w:r>
        <w:rPr>
          <w:spacing w:val="-8"/>
          <w:w w:val="105"/>
        </w:rPr>
        <w:t>和用人单位</w:t>
      </w:r>
      <w:r>
        <w:rPr>
          <w:rFonts w:hint="eastAsia" w:ascii="MS UI Gothic" w:hAnsi="MS UI Gothic" w:eastAsia="MS UI Gothic"/>
          <w:spacing w:val="2"/>
          <w:w w:val="80"/>
        </w:rPr>
        <w:t xml:space="preserve">ꎬ </w:t>
      </w:r>
      <w:r>
        <w:rPr>
          <w:spacing w:val="-8"/>
          <w:w w:val="105"/>
        </w:rPr>
        <w:t>并抄送社会保险经办机构</w:t>
      </w:r>
      <w:r>
        <w:rPr>
          <w:rFonts w:hint="eastAsia" w:ascii="MS UI Gothic" w:hAnsi="MS UI Gothic" w:eastAsia="MS UI Gothic"/>
          <w:w w:val="80"/>
        </w:rPr>
        <w:t>ꎮ</w:t>
      </w:r>
    </w:p>
    <w:p>
      <w:pPr>
        <w:pStyle w:val="6"/>
        <w:spacing w:line="295" w:lineRule="auto"/>
        <w:ind w:left="440" w:right="9"/>
        <w:rPr>
          <w:rFonts w:hint="eastAsia" w:ascii="MS UI Gothic" w:hAnsi="MS UI Gothic" w:eastAsia="MS UI Gothic"/>
        </w:rPr>
      </w:pPr>
      <w:r>
        <w:rPr>
          <w:rFonts w:hint="eastAsia" w:ascii="MS UI Gothic" w:hAnsi="MS UI Gothic" w:eastAsia="MS UI Gothic"/>
          <w:w w:val="80"/>
        </w:rPr>
        <w:t xml:space="preserve">« </w:t>
      </w:r>
      <w:r>
        <w:t>认定工伤决定书</w:t>
      </w:r>
      <w:r>
        <w:rPr>
          <w:rFonts w:hint="eastAsia" w:ascii="MS UI Gothic" w:hAnsi="MS UI Gothic" w:eastAsia="MS UI Gothic"/>
          <w:w w:val="80"/>
        </w:rPr>
        <w:t xml:space="preserve">» </w:t>
      </w:r>
      <w:r>
        <w:t xml:space="preserve">和 </w:t>
      </w:r>
      <w:r>
        <w:rPr>
          <w:rFonts w:hint="eastAsia" w:ascii="MS UI Gothic" w:hAnsi="MS UI Gothic" w:eastAsia="MS UI Gothic"/>
          <w:w w:val="80"/>
        </w:rPr>
        <w:t xml:space="preserve">« </w:t>
      </w:r>
      <w:r>
        <w:t>不予认定工伤决定书</w:t>
      </w:r>
      <w:r>
        <w:rPr>
          <w:rFonts w:hint="eastAsia" w:ascii="MS UI Gothic" w:hAnsi="MS UI Gothic" w:eastAsia="MS UI Gothic"/>
          <w:w w:val="80"/>
        </w:rPr>
        <w:t xml:space="preserve">» </w:t>
      </w:r>
      <w:r>
        <w:t>的送达参照民事法律有关送达的规定执行</w:t>
      </w:r>
      <w:r>
        <w:rPr>
          <w:rFonts w:hint="eastAsia" w:ascii="MS UI Gothic" w:hAnsi="MS UI Gothic" w:eastAsia="MS UI Gothic"/>
          <w:w w:val="80"/>
        </w:rPr>
        <w:t>ꎮ</w:t>
      </w:r>
    </w:p>
    <w:p>
      <w:pPr>
        <w:pStyle w:val="6"/>
        <w:spacing w:before="124" w:line="295" w:lineRule="auto"/>
        <w:ind w:left="371" w:right="126"/>
        <w:rPr>
          <w:rFonts w:hint="eastAsia" w:ascii="MS UI Gothic" w:eastAsia="MS UI Gothic"/>
        </w:rPr>
      </w:pPr>
      <w:r>
        <w:br w:type="column"/>
      </w:r>
      <w:r>
        <w:rPr>
          <w:w w:val="105"/>
        </w:rPr>
        <w:t>第二十三条 职工或者其近亲属</w:t>
      </w:r>
      <w:r>
        <w:rPr>
          <w:rFonts w:hint="eastAsia" w:ascii="MS UI Gothic" w:eastAsia="MS UI Gothic"/>
          <w:w w:val="80"/>
        </w:rPr>
        <w:t xml:space="preserve">、 </w:t>
      </w:r>
      <w:r>
        <w:rPr>
          <w:w w:val="105"/>
        </w:rPr>
        <w:t>用</w:t>
      </w:r>
      <w:r>
        <w:t>人单位对不予受理决定不服或者对工伤认定决定不服的</w:t>
      </w:r>
      <w:r>
        <w:rPr>
          <w:rFonts w:hint="eastAsia" w:ascii="MS UI Gothic" w:eastAsia="MS UI Gothic"/>
          <w:w w:val="80"/>
        </w:rPr>
        <w:t xml:space="preserve">ꎬ </w:t>
      </w:r>
      <w:r>
        <w:t>可以依法申请行政复议或</w:t>
      </w:r>
      <w:r>
        <w:rPr>
          <w:w w:val="105"/>
        </w:rPr>
        <w:t>者提起行政诉讼</w:t>
      </w:r>
      <w:r>
        <w:rPr>
          <w:rFonts w:hint="eastAsia" w:ascii="MS UI Gothic" w:eastAsia="MS UI Gothic"/>
          <w:w w:val="80"/>
        </w:rPr>
        <w:t>ꎮ</w:t>
      </w:r>
    </w:p>
    <w:p>
      <w:pPr>
        <w:pStyle w:val="6"/>
        <w:spacing w:line="295" w:lineRule="auto"/>
        <w:ind w:left="371" w:right="126"/>
        <w:rPr>
          <w:rFonts w:hint="eastAsia" w:ascii="MS UI Gothic" w:eastAsia="MS UI Gothic"/>
        </w:rPr>
      </w:pPr>
      <w:r>
        <w:t>第二十四条 工伤认定结束后</w:t>
      </w:r>
      <w:r>
        <w:rPr>
          <w:rFonts w:hint="eastAsia" w:ascii="MS UI Gothic" w:eastAsia="MS UI Gothic"/>
          <w:w w:val="85"/>
        </w:rPr>
        <w:t xml:space="preserve">ꎬ </w:t>
      </w:r>
      <w:r>
        <w:t xml:space="preserve">社会保险行政部门应当将工伤认定的有关资料保存 </w:t>
      </w:r>
      <w:r>
        <w:rPr>
          <w:rFonts w:hint="eastAsia" w:ascii="MS UI Gothic" w:eastAsia="MS UI Gothic"/>
          <w:w w:val="85"/>
        </w:rPr>
        <w:t xml:space="preserve">５０ </w:t>
      </w:r>
      <w:r>
        <w:t>年</w:t>
      </w:r>
      <w:r>
        <w:rPr>
          <w:rFonts w:hint="eastAsia" w:ascii="MS UI Gothic" w:eastAsia="MS UI Gothic"/>
          <w:w w:val="85"/>
        </w:rPr>
        <w:t>ꎮ</w:t>
      </w:r>
    </w:p>
    <w:p>
      <w:pPr>
        <w:pStyle w:val="6"/>
        <w:spacing w:line="295" w:lineRule="auto"/>
        <w:ind w:left="365" w:right="126" w:firstLine="425"/>
        <w:rPr>
          <w:rFonts w:hint="eastAsia" w:ascii="MS UI Gothic" w:eastAsia="MS UI Gothic"/>
        </w:rPr>
      </w:pPr>
      <w:r>
        <w:rPr>
          <w:spacing w:val="2"/>
          <w:w w:val="95"/>
        </w:rPr>
        <w:t>第二十五条   用人单位拒不协助社会</w:t>
      </w:r>
      <w:r>
        <w:rPr>
          <w:spacing w:val="11"/>
          <w:w w:val="95"/>
        </w:rPr>
        <w:t xml:space="preserve">保险行政部门对事故伤害进行调查核实  </w:t>
      </w:r>
      <w:r>
        <w:rPr>
          <w:spacing w:val="3"/>
          <w:w w:val="95"/>
        </w:rPr>
        <w:t>的</w:t>
      </w:r>
      <w:r>
        <w:rPr>
          <w:rFonts w:hint="eastAsia" w:ascii="MS UI Gothic" w:eastAsia="MS UI Gothic"/>
          <w:spacing w:val="15"/>
          <w:w w:val="90"/>
        </w:rPr>
        <w:t xml:space="preserve">ꎬ </w:t>
      </w:r>
      <w:r>
        <w:rPr>
          <w:spacing w:val="15"/>
          <w:w w:val="95"/>
        </w:rPr>
        <w:t>由社会保险行政部门责令改正</w:t>
      </w:r>
      <w:r>
        <w:rPr>
          <w:rFonts w:hint="eastAsia" w:ascii="MS UI Gothic" w:eastAsia="MS UI Gothic"/>
          <w:spacing w:val="23"/>
          <w:w w:val="90"/>
        </w:rPr>
        <w:t xml:space="preserve">ꎬ </w:t>
      </w:r>
      <w:r>
        <w:rPr>
          <w:w w:val="95"/>
        </w:rPr>
        <w:t>处</w:t>
      </w:r>
      <w:r>
        <w:rPr>
          <w:rFonts w:hint="eastAsia" w:ascii="MS UI Gothic" w:eastAsia="MS UI Gothic"/>
          <w:spacing w:val="-1"/>
          <w:w w:val="95"/>
        </w:rPr>
        <w:t xml:space="preserve">２０００ </w:t>
      </w:r>
      <w:r>
        <w:rPr>
          <w:spacing w:val="-11"/>
          <w:w w:val="95"/>
        </w:rPr>
        <w:t xml:space="preserve">元以上 </w:t>
      </w:r>
      <w:r>
        <w:rPr>
          <w:rFonts w:hint="eastAsia" w:ascii="MS UI Gothic" w:eastAsia="MS UI Gothic"/>
          <w:spacing w:val="-2"/>
          <w:w w:val="95"/>
        </w:rPr>
        <w:t xml:space="preserve">２ </w:t>
      </w:r>
      <w:r>
        <w:rPr>
          <w:spacing w:val="3"/>
          <w:w w:val="95"/>
        </w:rPr>
        <w:t>万元以下的罚款</w:t>
      </w:r>
      <w:r>
        <w:rPr>
          <w:rFonts w:hint="eastAsia" w:ascii="MS UI Gothic" w:eastAsia="MS UI Gothic"/>
          <w:w w:val="90"/>
        </w:rPr>
        <w:t>ꎮ</w:t>
      </w:r>
    </w:p>
    <w:p>
      <w:pPr>
        <w:pStyle w:val="6"/>
        <w:spacing w:line="295" w:lineRule="auto"/>
        <w:ind w:left="371" w:right="124"/>
        <w:rPr>
          <w:rFonts w:hint="eastAsia" w:ascii="MS UI Gothic" w:hAnsi="MS UI Gothic" w:eastAsia="MS UI Gothic"/>
        </w:rPr>
      </w:pPr>
      <w:r>
        <w:t xml:space="preserve">第二十六条 本办法中的 </w:t>
      </w:r>
      <w:r>
        <w:rPr>
          <w:rFonts w:hint="eastAsia" w:ascii="MS UI Gothic" w:hAnsi="MS UI Gothic" w:eastAsia="MS UI Gothic"/>
        </w:rPr>
        <w:t xml:space="preserve">« </w:t>
      </w:r>
      <w:r>
        <w:t>工伤认定申请表</w:t>
      </w:r>
      <w:r>
        <w:rPr>
          <w:rFonts w:hint="eastAsia" w:ascii="MS UI Gothic" w:hAnsi="MS UI Gothic" w:eastAsia="MS UI Gothic"/>
        </w:rPr>
        <w:t xml:space="preserve">»、  « </w:t>
      </w:r>
      <w:r>
        <w:t>工伤认定申请受理决定书</w:t>
      </w:r>
      <w:r>
        <w:rPr>
          <w:rFonts w:hint="eastAsia" w:ascii="MS UI Gothic" w:hAnsi="MS UI Gothic" w:eastAsia="MS UI Gothic"/>
        </w:rPr>
        <w:t xml:space="preserve">»、 « </w:t>
      </w:r>
      <w:r>
        <w:t>工伤认定申请不予受理决定书</w:t>
      </w:r>
      <w:r>
        <w:rPr>
          <w:rFonts w:hint="eastAsia" w:ascii="MS UI Gothic" w:hAnsi="MS UI Gothic" w:eastAsia="MS UI Gothic"/>
        </w:rPr>
        <w:t>»、</w:t>
      </w:r>
    </w:p>
    <w:p>
      <w:pPr>
        <w:pStyle w:val="6"/>
        <w:spacing w:line="295" w:lineRule="auto"/>
        <w:ind w:left="371" w:right="126" w:firstLine="0"/>
        <w:rPr>
          <w:rFonts w:hint="eastAsia" w:ascii="MS UI Gothic" w:hAnsi="MS UI Gothic" w:eastAsia="MS UI Gothic"/>
        </w:rPr>
      </w:pPr>
      <w:r>
        <w:rPr>
          <w:rFonts w:hint="eastAsia" w:ascii="MS UI Gothic" w:hAnsi="MS UI Gothic" w:eastAsia="MS UI Gothic"/>
          <w:w w:val="80"/>
        </w:rPr>
        <w:t xml:space="preserve">« </w:t>
      </w:r>
      <w:r>
        <w:t>认定工伤决定书</w:t>
      </w:r>
      <w:r>
        <w:rPr>
          <w:rFonts w:hint="eastAsia" w:ascii="MS UI Gothic" w:hAnsi="MS UI Gothic" w:eastAsia="MS UI Gothic"/>
          <w:w w:val="80"/>
        </w:rPr>
        <w:t xml:space="preserve">»、 « </w:t>
      </w:r>
      <w:r>
        <w:t>不予认定工伤决定书</w:t>
      </w:r>
      <w:r>
        <w:rPr>
          <w:rFonts w:hint="eastAsia" w:ascii="MS UI Gothic" w:hAnsi="MS UI Gothic" w:eastAsia="MS UI Gothic"/>
          <w:w w:val="80"/>
        </w:rPr>
        <w:t xml:space="preserve">» </w:t>
      </w:r>
      <w:r>
        <w:t>的样式由国务院社会保险行政部门统一制定</w:t>
      </w:r>
      <w:r>
        <w:rPr>
          <w:rFonts w:hint="eastAsia" w:ascii="MS UI Gothic" w:hAnsi="MS UI Gothic" w:eastAsia="MS UI Gothic"/>
          <w:w w:val="80"/>
        </w:rPr>
        <w:t>ꎮ</w:t>
      </w:r>
    </w:p>
    <w:p>
      <w:pPr>
        <w:pStyle w:val="6"/>
        <w:spacing w:line="254" w:lineRule="exact"/>
        <w:ind w:left="790" w:firstLine="0"/>
      </w:pPr>
      <w:r>
        <w:pict>
          <v:shape id="_x0000_s1396" o:spid="_x0000_s1396" o:spt="202" type="#_x0000_t202" style="position:absolute;left:0pt;margin-left:280.35pt;margin-top:11.85pt;height:24.35pt;width:5.15pt;mso-position-horizontal-relative:page;z-index:-27595673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t xml:space="preserve">第二十七条 本办法自 </w:t>
      </w:r>
      <w:r>
        <w:rPr>
          <w:rFonts w:hint="eastAsia" w:ascii="MS UI Gothic" w:eastAsia="MS UI Gothic"/>
        </w:rPr>
        <w:t xml:space="preserve">２０１１ </w:t>
      </w:r>
      <w:r>
        <w:t xml:space="preserve">年 </w:t>
      </w:r>
      <w:r>
        <w:rPr>
          <w:rFonts w:hint="eastAsia" w:ascii="MS UI Gothic" w:eastAsia="MS UI Gothic"/>
        </w:rPr>
        <w:t xml:space="preserve">１ </w:t>
      </w:r>
      <w:r>
        <w:t>月</w:t>
      </w:r>
    </w:p>
    <w:p>
      <w:pPr>
        <w:pStyle w:val="6"/>
        <w:spacing w:before="47" w:line="295" w:lineRule="auto"/>
        <w:ind w:left="371" w:right="126" w:firstLine="155"/>
        <w:rPr>
          <w:rFonts w:hint="eastAsia" w:ascii="MS UI Gothic" w:hAnsi="MS UI Gothic" w:eastAsia="MS UI Gothic"/>
        </w:rPr>
      </w:pPr>
      <w:r>
        <w:rPr>
          <w:w w:val="95"/>
        </w:rPr>
        <w:t>日起施行</w:t>
      </w:r>
      <w:r>
        <w:rPr>
          <w:rFonts w:hint="eastAsia" w:ascii="MS UI Gothic" w:hAnsi="MS UI Gothic" w:eastAsia="MS UI Gothic"/>
          <w:w w:val="90"/>
        </w:rPr>
        <w:t xml:space="preserve">ꎮ </w:t>
      </w:r>
      <w:r>
        <w:rPr>
          <w:w w:val="95"/>
        </w:rPr>
        <w:t xml:space="preserve">劳动和社会保障部 </w:t>
      </w:r>
      <w:r>
        <w:rPr>
          <w:rFonts w:hint="eastAsia" w:ascii="MS UI Gothic" w:hAnsi="MS UI Gothic" w:eastAsia="MS UI Gothic"/>
          <w:w w:val="95"/>
        </w:rPr>
        <w:t xml:space="preserve">２００３ </w:t>
      </w:r>
      <w:r>
        <w:rPr>
          <w:w w:val="95"/>
        </w:rPr>
        <w:t xml:space="preserve">年 </w:t>
      </w:r>
      <w:r>
        <w:rPr>
          <w:rFonts w:hint="eastAsia" w:ascii="MS UI Gothic" w:hAnsi="MS UI Gothic" w:eastAsia="MS UI Gothic"/>
          <w:w w:val="95"/>
        </w:rPr>
        <w:t xml:space="preserve">９ </w:t>
      </w:r>
      <w:r>
        <w:rPr>
          <w:w w:val="95"/>
        </w:rPr>
        <w:t xml:space="preserve">月 </w:t>
      </w:r>
      <w:r>
        <w:rPr>
          <w:rFonts w:hint="eastAsia" w:ascii="MS UI Gothic" w:hAnsi="MS UI Gothic" w:eastAsia="MS UI Gothic"/>
          <w:w w:val="95"/>
        </w:rPr>
        <w:t xml:space="preserve">２３ </w:t>
      </w:r>
      <w:r>
        <w:rPr>
          <w:w w:val="95"/>
        </w:rPr>
        <w:t xml:space="preserve">日颁布的 </w:t>
      </w:r>
      <w:r>
        <w:rPr>
          <w:rFonts w:hint="eastAsia" w:ascii="MS UI Gothic" w:hAnsi="MS UI Gothic" w:eastAsia="MS UI Gothic"/>
          <w:w w:val="95"/>
        </w:rPr>
        <w:t xml:space="preserve">« </w:t>
      </w:r>
      <w:r>
        <w:rPr>
          <w:w w:val="95"/>
        </w:rPr>
        <w:t>工伤认定办法</w:t>
      </w:r>
      <w:r>
        <w:rPr>
          <w:rFonts w:hint="eastAsia" w:ascii="MS UI Gothic" w:hAnsi="MS UI Gothic" w:eastAsia="MS UI Gothic"/>
          <w:w w:val="95"/>
        </w:rPr>
        <w:t xml:space="preserve">»  </w:t>
      </w:r>
      <w:r>
        <w:rPr>
          <w:w w:val="95"/>
        </w:rPr>
        <w:t>同时废止</w:t>
      </w:r>
      <w:r>
        <w:rPr>
          <w:rFonts w:hint="eastAsia" w:ascii="MS UI Gothic" w:hAnsi="MS UI Gothic" w:eastAsia="MS UI Gothic"/>
          <w:w w:val="9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4222" w:space="40"/>
            <w:col w:w="4278"/>
          </w:cols>
        </w:sectPr>
      </w:pPr>
    </w:p>
    <w:p>
      <w:pPr>
        <w:pStyle w:val="6"/>
        <w:spacing w:before="5"/>
        <w:ind w:left="0" w:firstLine="0"/>
        <w:jc w:val="left"/>
        <w:rPr>
          <w:rFonts w:ascii="MS UI Gothic"/>
          <w:sz w:val="16"/>
        </w:rPr>
      </w:pPr>
    </w:p>
    <w:p>
      <w:pPr>
        <w:pStyle w:val="4"/>
        <w:spacing w:before="74"/>
      </w:pPr>
      <w:r>
        <w:t>中华人民共和国人力资源和社会保障部令</w:t>
      </w:r>
    </w:p>
    <w:p>
      <w:pPr>
        <w:pStyle w:val="5"/>
        <w:spacing w:before="189"/>
      </w:pPr>
      <w:r>
        <w:t xml:space="preserve">第 </w:t>
      </w:r>
      <w:r>
        <w:rPr>
          <w:rFonts w:hint="eastAsia" w:ascii="MS UI Gothic" w:eastAsia="MS UI Gothic"/>
        </w:rPr>
        <w:t xml:space="preserve">９ </w:t>
      </w:r>
      <w:r>
        <w:t>号</w:t>
      </w:r>
    </w:p>
    <w:p>
      <w:pPr>
        <w:pStyle w:val="6"/>
        <w:spacing w:before="197" w:line="295" w:lineRule="auto"/>
        <w:ind w:left="440" w:right="126"/>
        <w:rPr>
          <w:rFonts w:hint="eastAsia" w:ascii="MS UI Gothic" w:hAnsi="MS UI Gothic" w:eastAsia="MS UI Gothic"/>
        </w:rPr>
      </w:pPr>
      <w:r>
        <w:rPr>
          <w:spacing w:val="15"/>
          <w:w w:val="95"/>
        </w:rPr>
        <w:t xml:space="preserve">新修订的  </w:t>
      </w:r>
      <w:r>
        <w:rPr>
          <w:rFonts w:hint="eastAsia" w:ascii="MS UI Gothic" w:hAnsi="MS UI Gothic" w:eastAsia="MS UI Gothic"/>
          <w:spacing w:val="-2"/>
          <w:w w:val="95"/>
        </w:rPr>
        <w:t xml:space="preserve">« </w:t>
      </w:r>
      <w:r>
        <w:rPr>
          <w:spacing w:val="3"/>
          <w:w w:val="95"/>
        </w:rPr>
        <w:t>非法用工单位伤亡人员一次性赔偿办法</w:t>
      </w:r>
      <w:r>
        <w:rPr>
          <w:rFonts w:hint="eastAsia" w:ascii="MS UI Gothic" w:hAnsi="MS UI Gothic" w:eastAsia="MS UI Gothic"/>
          <w:spacing w:val="10"/>
          <w:w w:val="95"/>
        </w:rPr>
        <w:t xml:space="preserve">»    </w:t>
      </w:r>
      <w:r>
        <w:rPr>
          <w:spacing w:val="10"/>
          <w:w w:val="95"/>
        </w:rPr>
        <w:t>已经人力资源和社会保障部</w:t>
      </w:r>
      <w:r>
        <w:rPr>
          <w:spacing w:val="-25"/>
          <w:w w:val="95"/>
        </w:rPr>
        <w:t xml:space="preserve">第 </w:t>
      </w:r>
      <w:r>
        <w:rPr>
          <w:rFonts w:hint="eastAsia" w:ascii="MS UI Gothic" w:hAnsi="MS UI Gothic" w:eastAsia="MS UI Gothic"/>
          <w:spacing w:val="-3"/>
          <w:w w:val="95"/>
        </w:rPr>
        <w:t xml:space="preserve">５６ </w:t>
      </w:r>
      <w:r>
        <w:rPr>
          <w:spacing w:val="3"/>
          <w:w w:val="95"/>
        </w:rPr>
        <w:t>次部务会议通过</w:t>
      </w:r>
      <w:r>
        <w:rPr>
          <w:rFonts w:hint="eastAsia" w:ascii="MS UI Gothic" w:hAnsi="MS UI Gothic" w:eastAsia="MS UI Gothic"/>
          <w:spacing w:val="17"/>
          <w:w w:val="90"/>
        </w:rPr>
        <w:t xml:space="preserve">ꎬ </w:t>
      </w:r>
      <w:r>
        <w:rPr>
          <w:spacing w:val="3"/>
          <w:w w:val="95"/>
        </w:rPr>
        <w:t>现予公布</w:t>
      </w:r>
      <w:r>
        <w:rPr>
          <w:rFonts w:hint="eastAsia" w:ascii="MS UI Gothic" w:hAnsi="MS UI Gothic" w:eastAsia="MS UI Gothic"/>
          <w:spacing w:val="17"/>
          <w:w w:val="90"/>
        </w:rPr>
        <w:t xml:space="preserve">ꎬ </w:t>
      </w:r>
      <w:r>
        <w:rPr>
          <w:spacing w:val="-30"/>
          <w:w w:val="95"/>
        </w:rPr>
        <w:t xml:space="preserve">自 </w:t>
      </w:r>
      <w:r>
        <w:rPr>
          <w:rFonts w:hint="eastAsia" w:ascii="MS UI Gothic" w:hAnsi="MS UI Gothic" w:eastAsia="MS UI Gothic"/>
          <w:spacing w:val="-2"/>
          <w:w w:val="95"/>
        </w:rPr>
        <w:t xml:space="preserve">２０１１ </w:t>
      </w:r>
      <w:r>
        <w:rPr>
          <w:spacing w:val="-29"/>
          <w:w w:val="95"/>
        </w:rPr>
        <w:t xml:space="preserve">年 </w:t>
      </w:r>
      <w:r>
        <w:rPr>
          <w:rFonts w:hint="eastAsia" w:ascii="MS UI Gothic" w:hAnsi="MS UI Gothic" w:eastAsia="MS UI Gothic"/>
          <w:spacing w:val="-5"/>
          <w:w w:val="95"/>
        </w:rPr>
        <w:t xml:space="preserve">１ </w:t>
      </w:r>
      <w:r>
        <w:rPr>
          <w:spacing w:val="-29"/>
          <w:w w:val="95"/>
        </w:rPr>
        <w:t xml:space="preserve">月 </w:t>
      </w:r>
      <w:r>
        <w:rPr>
          <w:rFonts w:hint="eastAsia" w:ascii="MS UI Gothic" w:hAnsi="MS UI Gothic" w:eastAsia="MS UI Gothic"/>
          <w:spacing w:val="-5"/>
          <w:w w:val="95"/>
        </w:rPr>
        <w:t xml:space="preserve">１ </w:t>
      </w:r>
      <w:r>
        <w:rPr>
          <w:spacing w:val="3"/>
          <w:w w:val="95"/>
        </w:rPr>
        <w:t>日起施行</w:t>
      </w:r>
      <w:r>
        <w:rPr>
          <w:rFonts w:hint="eastAsia" w:ascii="MS UI Gothic" w:hAnsi="MS UI Gothic" w:eastAsia="MS UI Gothic"/>
          <w:spacing w:val="17"/>
          <w:w w:val="90"/>
        </w:rPr>
        <w:t xml:space="preserve">ꎮ </w:t>
      </w:r>
      <w:r>
        <w:rPr>
          <w:spacing w:val="-5"/>
          <w:w w:val="95"/>
        </w:rPr>
        <w:t xml:space="preserve">劳动和社会保障部 </w:t>
      </w:r>
      <w:r>
        <w:rPr>
          <w:rFonts w:hint="eastAsia" w:ascii="MS UI Gothic" w:hAnsi="MS UI Gothic" w:eastAsia="MS UI Gothic"/>
          <w:w w:val="95"/>
        </w:rPr>
        <w:t xml:space="preserve">２００３ </w:t>
      </w:r>
      <w:r>
        <w:rPr>
          <w:spacing w:val="-20"/>
          <w:w w:val="95"/>
        </w:rPr>
        <w:t xml:space="preserve">年 </w:t>
      </w:r>
      <w:r>
        <w:rPr>
          <w:rFonts w:hint="eastAsia" w:ascii="MS UI Gothic" w:hAnsi="MS UI Gothic" w:eastAsia="MS UI Gothic"/>
          <w:spacing w:val="3"/>
          <w:w w:val="95"/>
        </w:rPr>
        <w:t xml:space="preserve">９ </w:t>
      </w:r>
      <w:r>
        <w:rPr>
          <w:spacing w:val="-20"/>
          <w:w w:val="95"/>
        </w:rPr>
        <w:t xml:space="preserve">月 </w:t>
      </w:r>
      <w:r>
        <w:rPr>
          <w:rFonts w:hint="eastAsia" w:ascii="MS UI Gothic" w:hAnsi="MS UI Gothic" w:eastAsia="MS UI Gothic"/>
          <w:spacing w:val="2"/>
          <w:w w:val="95"/>
        </w:rPr>
        <w:t xml:space="preserve">２３ </w:t>
      </w:r>
      <w:r>
        <w:rPr>
          <w:spacing w:val="6"/>
          <w:w w:val="95"/>
        </w:rPr>
        <w:t xml:space="preserve">日颁布的 </w:t>
      </w:r>
      <w:r>
        <w:rPr>
          <w:rFonts w:hint="eastAsia" w:ascii="MS UI Gothic" w:hAnsi="MS UI Gothic" w:eastAsia="MS UI Gothic"/>
          <w:spacing w:val="-17"/>
          <w:w w:val="95"/>
        </w:rPr>
        <w:t xml:space="preserve">« </w:t>
      </w:r>
      <w:r>
        <w:rPr>
          <w:spacing w:val="3"/>
          <w:w w:val="95"/>
        </w:rPr>
        <w:t>非法用工单位伤亡人员一次性赔偿办法</w:t>
      </w:r>
      <w:r>
        <w:rPr>
          <w:rFonts w:hint="eastAsia" w:ascii="MS UI Gothic" w:hAnsi="MS UI Gothic" w:eastAsia="MS UI Gothic"/>
          <w:spacing w:val="13"/>
          <w:w w:val="95"/>
        </w:rPr>
        <w:t xml:space="preserve">» </w:t>
      </w:r>
      <w:r>
        <w:rPr>
          <w:spacing w:val="3"/>
          <w:w w:val="95"/>
        </w:rPr>
        <w:t>同时废止</w:t>
      </w:r>
      <w:r>
        <w:rPr>
          <w:rFonts w:hint="eastAsia" w:ascii="MS UI Gothic" w:hAnsi="MS UI Gothic" w:eastAsia="MS UI Gothic"/>
          <w:w w:val="90"/>
        </w:rPr>
        <w:t>ꎮ</w:t>
      </w:r>
    </w:p>
    <w:p>
      <w:pPr>
        <w:pStyle w:val="6"/>
        <w:spacing w:before="312"/>
        <w:ind w:left="0" w:right="126" w:firstLine="0"/>
        <w:jc w:val="right"/>
      </w:pPr>
      <w:r>
        <w:t>二</w:t>
      </w:r>
      <w:r>
        <w:rPr>
          <w:rFonts w:hint="eastAsia" w:ascii="MS UI Gothic" w:hAnsi="MS UI Gothic" w:eastAsia="MS UI Gothic"/>
        </w:rPr>
        <w:t>○</w:t>
      </w:r>
      <w:r>
        <w:t>一</w:t>
      </w:r>
      <w:r>
        <w:rPr>
          <w:rFonts w:hint="eastAsia" w:ascii="MS UI Gothic" w:hAnsi="MS UI Gothic" w:eastAsia="MS UI Gothic"/>
        </w:rPr>
        <w:t>○</w:t>
      </w:r>
      <w:r>
        <w:t>年十二月三十一日</w:t>
      </w:r>
    </w:p>
    <w:p>
      <w:pPr>
        <w:pStyle w:val="4"/>
        <w:ind w:left="286"/>
        <w:rPr>
          <w:rFonts w:hint="eastAsia" w:ascii="Microsoft Yi Baiti" w:eastAsia="Microsoft Yi Baiti"/>
        </w:rPr>
      </w:pPr>
      <w:r>
        <w:t xml:space="preserve">非法用工单位伤亡人员一次性赔偿办法 </w:t>
      </w:r>
      <w:r>
        <w:rPr>
          <w:rFonts w:hint="eastAsia" w:ascii="Microsoft Yi Baiti" w:eastAsia="Microsoft Yi Baiti"/>
        </w:rPr>
        <w:t>(</w:t>
      </w:r>
      <w:r>
        <w:rPr>
          <w:rFonts w:hint="eastAsia" w:ascii="MS UI Gothic" w:eastAsia="MS UI Gothic"/>
        </w:rPr>
        <w:t xml:space="preserve">２０１０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175" w:line="295" w:lineRule="auto"/>
        <w:ind w:left="440"/>
        <w:rPr>
          <w:rFonts w:hint="eastAsia" w:ascii="MS UI Gothic" w:hAnsi="MS UI Gothic" w:eastAsia="MS UI Gothic"/>
        </w:rPr>
      </w:pPr>
      <w:r>
        <w:t xml:space="preserve">第一条 根据 </w:t>
      </w:r>
      <w:r>
        <w:rPr>
          <w:rFonts w:hint="eastAsia" w:ascii="MS UI Gothic" w:hAnsi="MS UI Gothic" w:eastAsia="MS UI Gothic"/>
          <w:w w:val="80"/>
        </w:rPr>
        <w:t xml:space="preserve">« </w:t>
      </w:r>
      <w:r>
        <w:t>工伤保险条例</w:t>
      </w:r>
      <w:r>
        <w:rPr>
          <w:rFonts w:hint="eastAsia" w:ascii="MS UI Gothic" w:hAnsi="MS UI Gothic" w:eastAsia="MS UI Gothic"/>
          <w:w w:val="80"/>
        </w:rPr>
        <w:t xml:space="preserve">»  </w:t>
      </w:r>
      <w:r>
        <w:t>第六十六条第一款的授权</w:t>
      </w:r>
      <w:r>
        <w:rPr>
          <w:rFonts w:hint="eastAsia" w:ascii="MS UI Gothic" w:hAnsi="MS UI Gothic" w:eastAsia="MS UI Gothic"/>
          <w:w w:val="80"/>
        </w:rPr>
        <w:t xml:space="preserve">ꎬ </w:t>
      </w:r>
      <w:r>
        <w:t>制定本办法</w:t>
      </w:r>
      <w:r>
        <w:rPr>
          <w:rFonts w:hint="eastAsia" w:ascii="MS UI Gothic" w:hAnsi="MS UI Gothic" w:eastAsia="MS UI Gothic"/>
          <w:w w:val="80"/>
        </w:rPr>
        <w:t>ꎮ</w:t>
      </w:r>
    </w:p>
    <w:p>
      <w:pPr>
        <w:pStyle w:val="6"/>
        <w:spacing w:line="295" w:lineRule="auto"/>
        <w:ind w:left="440"/>
      </w:pPr>
      <w:r>
        <w:rPr>
          <w:w w:val="105"/>
        </w:rPr>
        <w:t>第二条 本办法所称非法用工单位伤</w:t>
      </w:r>
      <w:r>
        <w:t>亡人员</w:t>
      </w:r>
      <w:r>
        <w:rPr>
          <w:rFonts w:hint="eastAsia" w:ascii="MS UI Gothic" w:eastAsia="MS UI Gothic"/>
          <w:w w:val="80"/>
        </w:rPr>
        <w:t xml:space="preserve">ꎬ </w:t>
      </w:r>
      <w:r>
        <w:t>是指无营业执照或者未经依法登</w:t>
      </w:r>
      <w:r>
        <w:rPr>
          <w:w w:val="105"/>
        </w:rPr>
        <w:t>记</w:t>
      </w:r>
      <w:r>
        <w:rPr>
          <w:rFonts w:hint="eastAsia" w:ascii="MS UI Gothic" w:eastAsia="MS UI Gothic"/>
          <w:w w:val="80"/>
        </w:rPr>
        <w:t xml:space="preserve">、 </w:t>
      </w:r>
      <w:r>
        <w:rPr>
          <w:w w:val="105"/>
        </w:rPr>
        <w:t>备案的单位以及被依法吊销营业执照</w:t>
      </w:r>
    </w:p>
    <w:p>
      <w:pPr>
        <w:pStyle w:val="6"/>
        <w:spacing w:before="175" w:line="295" w:lineRule="auto"/>
        <w:ind w:left="383" w:right="126" w:firstLine="0"/>
        <w:rPr>
          <w:rFonts w:hint="eastAsia" w:ascii="MS UI Gothic" w:eastAsia="MS UI Gothic"/>
        </w:rPr>
      </w:pPr>
      <w:r>
        <w:br w:type="column"/>
      </w:r>
      <w:r>
        <w:t>或者撤销登记</w:t>
      </w:r>
      <w:r>
        <w:rPr>
          <w:rFonts w:hint="eastAsia" w:ascii="MS UI Gothic" w:eastAsia="MS UI Gothic"/>
          <w:w w:val="80"/>
        </w:rPr>
        <w:t xml:space="preserve">、 </w:t>
      </w:r>
      <w:r>
        <w:t>备案的单位受到事故伤害或者患职业病的职工</w:t>
      </w:r>
      <w:r>
        <w:rPr>
          <w:rFonts w:hint="eastAsia" w:ascii="MS UI Gothic" w:eastAsia="MS UI Gothic"/>
          <w:w w:val="80"/>
        </w:rPr>
        <w:t xml:space="preserve">ꎬ </w:t>
      </w:r>
      <w:r>
        <w:t>或者用人单位使用童工造成的伤残</w:t>
      </w:r>
      <w:r>
        <w:rPr>
          <w:rFonts w:hint="eastAsia" w:ascii="MS UI Gothic" w:eastAsia="MS UI Gothic"/>
          <w:w w:val="80"/>
        </w:rPr>
        <w:t xml:space="preserve">、 </w:t>
      </w:r>
      <w:r>
        <w:t>死亡童工</w:t>
      </w:r>
      <w:r>
        <w:rPr>
          <w:rFonts w:hint="eastAsia" w:ascii="MS UI Gothic" w:eastAsia="MS UI Gothic"/>
          <w:w w:val="80"/>
        </w:rPr>
        <w:t>ꎮ</w:t>
      </w:r>
    </w:p>
    <w:p>
      <w:pPr>
        <w:pStyle w:val="6"/>
        <w:spacing w:line="295" w:lineRule="auto"/>
        <w:ind w:left="383" w:right="126"/>
        <w:jc w:val="left"/>
      </w:pPr>
      <w:r>
        <w:t>前款所列单位必须按照本办法的规定向伤残职工或者死亡职工的近亲属</w:t>
      </w:r>
      <w:r>
        <w:rPr>
          <w:rFonts w:hint="eastAsia" w:ascii="MS UI Gothic" w:eastAsia="MS UI Gothic"/>
        </w:rPr>
        <w:t xml:space="preserve">、 </w:t>
      </w:r>
      <w:r>
        <w:t>伤残</w:t>
      </w:r>
    </w:p>
    <w:p>
      <w:pPr>
        <w:spacing w:after="0" w:line="295" w:lineRule="auto"/>
        <w:jc w:val="left"/>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１１８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397" o:spid="_x0000_s1397" o:spt="203" style="height:2.15pt;width:398.25pt;" coordsize="7965,43">
            <o:lock v:ext="edit"/>
            <v:line id="_x0000_s1398" o:spid="_x0000_s1398" o:spt="20" style="position:absolute;left:0;top:39;height:0;width:7965;" stroked="t" coordsize="21600,21600">
              <v:path arrowok="t"/>
              <v:fill focussize="0,0"/>
              <v:stroke weight="0.388031496062992pt" color="#231F20"/>
              <v:imagedata o:title=""/>
              <o:lock v:ext="edit"/>
            </v:line>
            <v:line id="_x0000_s1399" o:spid="_x0000_s139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43" w:firstLine="0"/>
        <w:jc w:val="left"/>
        <w:rPr>
          <w:rFonts w:hint="eastAsia" w:ascii="MS UI Gothic" w:eastAsia="MS UI Gothic"/>
        </w:rPr>
      </w:pPr>
      <w:r>
        <w:t>童工或者死亡童工的近亲属给予一次性</w:t>
      </w:r>
      <w:r>
        <w:rPr>
          <w:w w:val="105"/>
        </w:rPr>
        <w:t>赔偿</w:t>
      </w:r>
      <w:r>
        <w:rPr>
          <w:rFonts w:hint="eastAsia" w:ascii="MS UI Gothic" w:eastAsia="MS UI Gothic"/>
          <w:w w:val="80"/>
        </w:rPr>
        <w:t>ꎮ</w:t>
      </w:r>
    </w:p>
    <w:p>
      <w:pPr>
        <w:pStyle w:val="6"/>
        <w:tabs>
          <w:tab w:val="left" w:pos="1382"/>
        </w:tabs>
        <w:spacing w:line="295" w:lineRule="auto"/>
        <w:ind w:right="38"/>
        <w:jc w:val="right"/>
      </w:pPr>
      <w:r>
        <w:rPr>
          <w:spacing w:val="3"/>
          <w:w w:val="105"/>
        </w:rPr>
        <w:t>第三</w:t>
      </w:r>
      <w:r>
        <w:rPr>
          <w:w w:val="105"/>
        </w:rPr>
        <w:t>条</w:t>
      </w:r>
      <w:r>
        <w:rPr>
          <w:w w:val="105"/>
        </w:rPr>
        <w:tab/>
      </w:r>
      <w:r>
        <w:rPr>
          <w:spacing w:val="3"/>
        </w:rPr>
        <w:t>一次性赔偿包括受到事故</w:t>
      </w:r>
      <w:r>
        <w:t>伤</w:t>
      </w:r>
      <w:r>
        <w:rPr>
          <w:spacing w:val="3"/>
        </w:rPr>
        <w:t>害或者患职业病的职工或童工在治疗期</w:t>
      </w:r>
      <w:r>
        <w:t>间</w:t>
      </w:r>
      <w:r>
        <w:rPr>
          <w:spacing w:val="3"/>
        </w:rPr>
        <w:t>的费用和一次性</w:t>
      </w:r>
      <w:r>
        <w:rPr>
          <w:spacing w:val="5"/>
        </w:rPr>
        <w:t>赔</w:t>
      </w:r>
      <w:r>
        <w:rPr>
          <w:spacing w:val="7"/>
        </w:rPr>
        <w:t>偿</w:t>
      </w:r>
      <w:r>
        <w:rPr>
          <w:spacing w:val="3"/>
        </w:rPr>
        <w:t>金</w:t>
      </w:r>
      <w:r>
        <w:rPr>
          <w:rFonts w:hint="eastAsia" w:ascii="MS UI Gothic" w:eastAsia="MS UI Gothic"/>
          <w:w w:val="80"/>
        </w:rPr>
        <w:t>ꎮ</w:t>
      </w:r>
      <w:r>
        <w:rPr>
          <w:rFonts w:hint="eastAsia" w:ascii="MS UI Gothic" w:eastAsia="MS UI Gothic"/>
          <w:spacing w:val="2"/>
          <w:w w:val="80"/>
        </w:rPr>
        <w:t xml:space="preserve"> </w:t>
      </w:r>
      <w:r>
        <w:t>一</w:t>
      </w:r>
      <w:r>
        <w:rPr>
          <w:spacing w:val="3"/>
        </w:rPr>
        <w:t>次性赔偿金</w:t>
      </w:r>
      <w:r>
        <w:t>数额应当在</w:t>
      </w:r>
      <w:r>
        <w:rPr>
          <w:spacing w:val="3"/>
        </w:rPr>
        <w:t>受</w:t>
      </w:r>
      <w:r>
        <w:rPr>
          <w:spacing w:val="4"/>
        </w:rPr>
        <w:t>到事</w:t>
      </w:r>
      <w:r>
        <w:rPr>
          <w:spacing w:val="5"/>
        </w:rPr>
        <w:t>故伤害或者患职业病的</w:t>
      </w:r>
      <w:r>
        <w:t>职</w:t>
      </w:r>
      <w:r>
        <w:rPr>
          <w:spacing w:val="-2"/>
        </w:rPr>
        <w:t>工或童工死亡或者经劳动能力鉴定后确定</w:t>
      </w:r>
      <w:r>
        <w:rPr>
          <w:rFonts w:hint="eastAsia" w:ascii="MS UI Gothic" w:eastAsia="MS UI Gothic"/>
          <w:spacing w:val="-13"/>
          <w:w w:val="80"/>
        </w:rPr>
        <w:t>ꎮ</w:t>
      </w:r>
      <w:r>
        <w:rPr>
          <w:spacing w:val="3"/>
        </w:rPr>
        <w:t>劳动能力鉴定按照属地原则由单位</w:t>
      </w:r>
      <w:r>
        <w:t>所</w:t>
      </w:r>
    </w:p>
    <w:p>
      <w:pPr>
        <w:pStyle w:val="6"/>
        <w:spacing w:line="295" w:lineRule="auto"/>
        <w:ind w:right="43" w:firstLine="0"/>
        <w:rPr>
          <w:rFonts w:hint="eastAsia" w:ascii="MS UI Gothic" w:eastAsia="MS UI Gothic"/>
        </w:rPr>
      </w:pPr>
      <w:r>
        <w:rPr>
          <w:spacing w:val="11"/>
        </w:rPr>
        <w:t>在地设区的市级劳动能力鉴定委员会办</w:t>
      </w:r>
      <w:r>
        <w:rPr>
          <w:spacing w:val="3"/>
        </w:rPr>
        <w:t>理</w:t>
      </w:r>
      <w:r>
        <w:rPr>
          <w:rFonts w:hint="eastAsia" w:ascii="MS UI Gothic" w:eastAsia="MS UI Gothic"/>
          <w:spacing w:val="21"/>
          <w:w w:val="80"/>
        </w:rPr>
        <w:t xml:space="preserve">ꎮ </w:t>
      </w:r>
      <w:r>
        <w:rPr>
          <w:spacing w:val="2"/>
        </w:rPr>
        <w:t>劳动能力鉴定费用由伤亡职工或童工</w:t>
      </w:r>
      <w:r>
        <w:rPr>
          <w:spacing w:val="3"/>
          <w:w w:val="105"/>
        </w:rPr>
        <w:t>所在单位支付</w:t>
      </w:r>
      <w:r>
        <w:rPr>
          <w:rFonts w:hint="eastAsia" w:ascii="MS UI Gothic" w:eastAsia="MS UI Gothic"/>
          <w:w w:val="80"/>
        </w:rPr>
        <w:t>ꎮ</w:t>
      </w:r>
    </w:p>
    <w:p>
      <w:pPr>
        <w:pStyle w:val="6"/>
        <w:spacing w:line="295" w:lineRule="auto"/>
        <w:ind w:right="41"/>
        <w:rPr>
          <w:rFonts w:hint="eastAsia" w:ascii="MS UI Gothic" w:hAnsi="MS UI Gothic" w:eastAsia="MS UI Gothic"/>
        </w:rPr>
      </w:pPr>
      <w:r>
        <w:rPr>
          <w:spacing w:val="2"/>
          <w:w w:val="105"/>
        </w:rPr>
        <w:t>第四条 职工或童工受到事故伤害或</w:t>
      </w:r>
      <w:r>
        <w:rPr>
          <w:spacing w:val="3"/>
        </w:rPr>
        <w:t>者患职业病</w:t>
      </w:r>
      <w:r>
        <w:rPr>
          <w:rFonts w:hint="eastAsia" w:ascii="MS UI Gothic" w:hAnsi="MS UI Gothic" w:eastAsia="MS UI Gothic"/>
          <w:spacing w:val="20"/>
          <w:w w:val="80"/>
        </w:rPr>
        <w:t xml:space="preserve">ꎬ </w:t>
      </w:r>
      <w:r>
        <w:rPr>
          <w:spacing w:val="2"/>
        </w:rPr>
        <w:t>在劳动能力鉴定之前进行治疗期间的生活费按照统筹地区上年度职工</w:t>
      </w:r>
      <w:r>
        <w:rPr>
          <w:spacing w:val="6"/>
          <w:w w:val="105"/>
        </w:rPr>
        <w:t>月平均工资标准确定</w:t>
      </w:r>
      <w:r>
        <w:rPr>
          <w:rFonts w:hint="eastAsia" w:ascii="MS UI Gothic" w:hAnsi="MS UI Gothic" w:eastAsia="MS UI Gothic"/>
          <w:spacing w:val="2"/>
          <w:w w:val="80"/>
        </w:rPr>
        <w:t xml:space="preserve">ꎬ </w:t>
      </w:r>
      <w:r>
        <w:rPr>
          <w:spacing w:val="11"/>
          <w:w w:val="105"/>
        </w:rPr>
        <w:t>医疗费</w:t>
      </w:r>
      <w:r>
        <w:rPr>
          <w:rFonts w:hint="eastAsia" w:ascii="MS UI Gothic" w:hAnsi="MS UI Gothic" w:eastAsia="MS UI Gothic"/>
          <w:spacing w:val="2"/>
          <w:w w:val="80"/>
        </w:rPr>
        <w:t xml:space="preserve">、 </w:t>
      </w:r>
      <w:r>
        <w:rPr>
          <w:spacing w:val="11"/>
          <w:w w:val="105"/>
        </w:rPr>
        <w:t>护理费</w:t>
      </w:r>
      <w:r>
        <w:rPr>
          <w:rFonts w:hint="eastAsia" w:ascii="MS UI Gothic" w:hAnsi="MS UI Gothic" w:eastAsia="MS UI Gothic"/>
          <w:w w:val="80"/>
        </w:rPr>
        <w:t>、</w:t>
      </w:r>
      <w:r>
        <w:rPr>
          <w:spacing w:val="2"/>
        </w:rPr>
        <w:t>住院期间的伙食补助费以及所需的交通费</w:t>
      </w:r>
      <w:r>
        <w:rPr>
          <w:w w:val="105"/>
        </w:rPr>
        <w:t xml:space="preserve">等费用按照 </w:t>
      </w:r>
      <w:r>
        <w:rPr>
          <w:rFonts w:hint="eastAsia" w:ascii="MS UI Gothic" w:hAnsi="MS UI Gothic" w:eastAsia="MS UI Gothic"/>
          <w:spacing w:val="-14"/>
          <w:w w:val="80"/>
        </w:rPr>
        <w:t xml:space="preserve">« </w:t>
      </w:r>
      <w:r>
        <w:rPr>
          <w:spacing w:val="16"/>
          <w:w w:val="105"/>
        </w:rPr>
        <w:t>工伤保险条例</w:t>
      </w:r>
      <w:r>
        <w:rPr>
          <w:rFonts w:hint="eastAsia" w:ascii="MS UI Gothic" w:hAnsi="MS UI Gothic" w:eastAsia="MS UI Gothic"/>
          <w:spacing w:val="2"/>
          <w:w w:val="80"/>
        </w:rPr>
        <w:t xml:space="preserve">» </w:t>
      </w:r>
      <w:r>
        <w:rPr>
          <w:spacing w:val="14"/>
          <w:w w:val="105"/>
        </w:rPr>
        <w:t>规定的标</w:t>
      </w:r>
      <w:r>
        <w:rPr>
          <w:spacing w:val="3"/>
        </w:rPr>
        <w:t>准和范围确定</w:t>
      </w:r>
      <w:r>
        <w:rPr>
          <w:rFonts w:hint="eastAsia" w:ascii="MS UI Gothic" w:hAnsi="MS UI Gothic" w:eastAsia="MS UI Gothic"/>
          <w:spacing w:val="20"/>
          <w:w w:val="80"/>
        </w:rPr>
        <w:t xml:space="preserve">ꎬ </w:t>
      </w:r>
      <w:r>
        <w:rPr>
          <w:spacing w:val="2"/>
        </w:rPr>
        <w:t>并全部由伤残职工或童工</w:t>
      </w:r>
      <w:r>
        <w:rPr>
          <w:spacing w:val="3"/>
          <w:w w:val="105"/>
        </w:rPr>
        <w:t>所在单位支付</w:t>
      </w:r>
      <w:r>
        <w:rPr>
          <w:rFonts w:hint="eastAsia" w:ascii="MS UI Gothic" w:hAnsi="MS UI Gothic" w:eastAsia="MS UI Gothic"/>
          <w:w w:val="80"/>
        </w:rPr>
        <w:t>ꎮ</w:t>
      </w:r>
    </w:p>
    <w:p>
      <w:pPr>
        <w:pStyle w:val="6"/>
        <w:spacing w:line="295" w:lineRule="auto"/>
        <w:ind w:right="43"/>
        <w:rPr>
          <w:rFonts w:hint="eastAsia" w:ascii="MS UI Gothic" w:eastAsia="MS UI Gothic"/>
        </w:rPr>
      </w:pPr>
      <w:r>
        <w:rPr>
          <w:w w:val="105"/>
        </w:rPr>
        <w:t>第五条 一次性赔偿金按照以下标准</w:t>
      </w:r>
      <w:r>
        <w:rPr>
          <w:w w:val="115"/>
        </w:rPr>
        <w:t>支付</w:t>
      </w:r>
      <w:r>
        <w:rPr>
          <w:rFonts w:hint="eastAsia" w:ascii="MS UI Gothic" w:eastAsia="MS UI Gothic"/>
          <w:w w:val="235"/>
        </w:rPr>
        <w:t>:</w:t>
      </w:r>
    </w:p>
    <w:p>
      <w:pPr>
        <w:pStyle w:val="6"/>
        <w:spacing w:line="295" w:lineRule="auto"/>
        <w:ind w:right="41"/>
        <w:rPr>
          <w:rFonts w:hint="eastAsia" w:ascii="MS UI Gothic" w:eastAsia="MS UI Gothic"/>
        </w:rPr>
      </w:pPr>
      <w:r>
        <w:t xml:space="preserve">一级伤残的为赔偿基数的 </w:t>
      </w:r>
      <w:r>
        <w:rPr>
          <w:rFonts w:hint="eastAsia" w:ascii="MS UI Gothic" w:eastAsia="MS UI Gothic"/>
          <w:w w:val="85"/>
        </w:rPr>
        <w:t xml:space="preserve">１６ </w:t>
      </w:r>
      <w:r>
        <w:t>倍</w:t>
      </w:r>
      <w:r>
        <w:rPr>
          <w:rFonts w:hint="eastAsia" w:ascii="MS UI Gothic" w:eastAsia="MS UI Gothic"/>
          <w:w w:val="85"/>
        </w:rPr>
        <w:t xml:space="preserve">ꎬ </w:t>
      </w:r>
      <w:r>
        <w:t xml:space="preserve">二级伤残的为赔偿基数的 </w:t>
      </w:r>
      <w:r>
        <w:rPr>
          <w:rFonts w:hint="eastAsia" w:ascii="MS UI Gothic" w:eastAsia="MS UI Gothic"/>
          <w:w w:val="85"/>
        </w:rPr>
        <w:t xml:space="preserve">１４ </w:t>
      </w:r>
      <w:r>
        <w:t>倍</w:t>
      </w:r>
      <w:r>
        <w:rPr>
          <w:rFonts w:hint="eastAsia" w:ascii="MS UI Gothic" w:eastAsia="MS UI Gothic"/>
          <w:w w:val="85"/>
        </w:rPr>
        <w:t xml:space="preserve">ꎬ </w:t>
      </w:r>
      <w:r>
        <w:t xml:space="preserve">三级伤残的为赔偿基数的 </w:t>
      </w:r>
      <w:r>
        <w:rPr>
          <w:rFonts w:hint="eastAsia" w:ascii="MS UI Gothic" w:eastAsia="MS UI Gothic"/>
          <w:w w:val="85"/>
        </w:rPr>
        <w:t xml:space="preserve">１２ </w:t>
      </w:r>
      <w:r>
        <w:t>倍</w:t>
      </w:r>
      <w:r>
        <w:rPr>
          <w:rFonts w:hint="eastAsia" w:ascii="MS UI Gothic" w:eastAsia="MS UI Gothic"/>
          <w:w w:val="85"/>
        </w:rPr>
        <w:t xml:space="preserve">ꎬ </w:t>
      </w:r>
      <w:r>
        <w:t xml:space="preserve">四级伤残的为赔偿基数的 </w:t>
      </w:r>
      <w:r>
        <w:rPr>
          <w:rFonts w:hint="eastAsia" w:ascii="MS UI Gothic" w:eastAsia="MS UI Gothic"/>
          <w:w w:val="85"/>
        </w:rPr>
        <w:t xml:space="preserve">１０ </w:t>
      </w:r>
      <w:r>
        <w:t>倍</w:t>
      </w:r>
      <w:r>
        <w:rPr>
          <w:rFonts w:hint="eastAsia" w:ascii="MS UI Gothic" w:eastAsia="MS UI Gothic"/>
          <w:w w:val="85"/>
        </w:rPr>
        <w:t xml:space="preserve">ꎬ </w:t>
      </w:r>
      <w:r>
        <w:t xml:space="preserve">五级伤残的为赔偿基数的 </w:t>
      </w:r>
      <w:r>
        <w:rPr>
          <w:rFonts w:hint="eastAsia" w:ascii="MS UI Gothic" w:eastAsia="MS UI Gothic"/>
          <w:w w:val="85"/>
        </w:rPr>
        <w:t xml:space="preserve">８ </w:t>
      </w:r>
      <w:r>
        <w:t>倍</w:t>
      </w:r>
      <w:r>
        <w:rPr>
          <w:rFonts w:hint="eastAsia" w:ascii="MS UI Gothic" w:eastAsia="MS UI Gothic"/>
          <w:w w:val="85"/>
        </w:rPr>
        <w:t xml:space="preserve">ꎬ </w:t>
      </w:r>
      <w:r>
        <w:t xml:space="preserve">六级伤残的为赔偿基数的 </w:t>
      </w:r>
      <w:r>
        <w:rPr>
          <w:rFonts w:hint="eastAsia" w:ascii="MS UI Gothic" w:eastAsia="MS UI Gothic"/>
          <w:w w:val="85"/>
        </w:rPr>
        <w:t xml:space="preserve">６ </w:t>
      </w:r>
      <w:r>
        <w:t>倍</w:t>
      </w:r>
      <w:r>
        <w:rPr>
          <w:rFonts w:hint="eastAsia" w:ascii="MS UI Gothic" w:eastAsia="MS UI Gothic"/>
          <w:w w:val="85"/>
        </w:rPr>
        <w:t>ꎬ</w:t>
      </w:r>
    </w:p>
    <w:p>
      <w:pPr>
        <w:pStyle w:val="6"/>
        <w:spacing w:before="123" w:line="295" w:lineRule="auto"/>
        <w:ind w:right="442" w:firstLine="5"/>
        <w:rPr>
          <w:rFonts w:hint="eastAsia" w:ascii="MS UI Gothic" w:eastAsia="MS UI Gothic"/>
        </w:rPr>
      </w:pPr>
      <w:r>
        <w:br w:type="column"/>
      </w:r>
      <w:r>
        <w:t xml:space="preserve">七级伤残的为赔偿基数的 </w:t>
      </w:r>
      <w:r>
        <w:rPr>
          <w:rFonts w:hint="eastAsia" w:ascii="MS UI Gothic" w:eastAsia="MS UI Gothic"/>
        </w:rPr>
        <w:t xml:space="preserve">４ </w:t>
      </w:r>
      <w:r>
        <w:t>倍</w:t>
      </w:r>
      <w:r>
        <w:rPr>
          <w:rFonts w:hint="eastAsia" w:ascii="MS UI Gothic" w:eastAsia="MS UI Gothic"/>
          <w:w w:val="80"/>
        </w:rPr>
        <w:t xml:space="preserve">ꎬ </w:t>
      </w:r>
      <w:r>
        <w:t xml:space="preserve">八级伤残的为赔偿基数的 </w:t>
      </w:r>
      <w:r>
        <w:rPr>
          <w:rFonts w:hint="eastAsia" w:ascii="MS UI Gothic" w:eastAsia="MS UI Gothic"/>
        </w:rPr>
        <w:t xml:space="preserve">３ </w:t>
      </w:r>
      <w:r>
        <w:t>倍</w:t>
      </w:r>
      <w:r>
        <w:rPr>
          <w:rFonts w:hint="eastAsia" w:ascii="MS UI Gothic" w:eastAsia="MS UI Gothic"/>
          <w:w w:val="80"/>
        </w:rPr>
        <w:t xml:space="preserve">ꎬ </w:t>
      </w:r>
      <w:r>
        <w:t xml:space="preserve">九级伤残的为赔偿基数的 </w:t>
      </w:r>
      <w:r>
        <w:rPr>
          <w:rFonts w:hint="eastAsia" w:ascii="MS UI Gothic" w:eastAsia="MS UI Gothic"/>
        </w:rPr>
        <w:t xml:space="preserve">２ </w:t>
      </w:r>
      <w:r>
        <w:t>倍</w:t>
      </w:r>
      <w:r>
        <w:rPr>
          <w:rFonts w:hint="eastAsia" w:ascii="MS UI Gothic" w:eastAsia="MS UI Gothic"/>
          <w:w w:val="80"/>
        </w:rPr>
        <w:t xml:space="preserve">ꎬ </w:t>
      </w:r>
      <w:r>
        <w:t>十级伤残的为赔偿基数的</w:t>
      </w:r>
      <w:r>
        <w:rPr>
          <w:rFonts w:hint="eastAsia" w:ascii="MS UI Gothic" w:eastAsia="MS UI Gothic"/>
        </w:rPr>
        <w:t xml:space="preserve">１ </w:t>
      </w:r>
      <w:r>
        <w:t>倍</w:t>
      </w:r>
      <w:r>
        <w:rPr>
          <w:rFonts w:hint="eastAsia" w:ascii="MS UI Gothic" w:eastAsia="MS UI Gothic"/>
          <w:w w:val="80"/>
        </w:rPr>
        <w:t>ꎮ</w:t>
      </w:r>
    </w:p>
    <w:p>
      <w:pPr>
        <w:pStyle w:val="6"/>
        <w:spacing w:line="295" w:lineRule="auto"/>
        <w:ind w:left="130" w:right="442"/>
        <w:rPr>
          <w:rFonts w:hint="eastAsia" w:ascii="MS UI Gothic" w:eastAsia="MS UI Gothic"/>
        </w:rPr>
      </w:pPr>
      <w:r>
        <w:t>前款所称赔偿基数</w:t>
      </w:r>
      <w:r>
        <w:rPr>
          <w:rFonts w:hint="eastAsia" w:ascii="MS UI Gothic" w:eastAsia="MS UI Gothic"/>
          <w:w w:val="80"/>
        </w:rPr>
        <w:t xml:space="preserve">ꎬ </w:t>
      </w:r>
      <w:r>
        <w:t>是指单位所在工伤保险统筹地区上年度职工年平均工资</w:t>
      </w:r>
      <w:r>
        <w:rPr>
          <w:rFonts w:hint="eastAsia" w:ascii="MS UI Gothic" w:eastAsia="MS UI Gothic"/>
          <w:w w:val="80"/>
        </w:rPr>
        <w:t>ꎮ</w:t>
      </w:r>
    </w:p>
    <w:p>
      <w:pPr>
        <w:pStyle w:val="6"/>
        <w:spacing w:line="295" w:lineRule="auto"/>
        <w:ind w:left="130" w:right="442"/>
        <w:rPr>
          <w:rFonts w:hint="eastAsia" w:ascii="MS UI Gothic" w:eastAsia="MS UI Gothic"/>
        </w:rPr>
      </w:pPr>
      <w:r>
        <w:t>第六条 受到事故伤害或者患职业病造成死亡的</w:t>
      </w:r>
      <w:r>
        <w:rPr>
          <w:rFonts w:hint="eastAsia" w:ascii="MS UI Gothic" w:eastAsia="MS UI Gothic"/>
          <w:w w:val="85"/>
        </w:rPr>
        <w:t xml:space="preserve">ꎬ </w:t>
      </w:r>
      <w:r>
        <w:t xml:space="preserve">按照上一年度全国城镇居民人均可支配收入的 </w:t>
      </w:r>
      <w:r>
        <w:rPr>
          <w:rFonts w:hint="eastAsia" w:ascii="MS UI Gothic" w:eastAsia="MS UI Gothic"/>
          <w:w w:val="85"/>
        </w:rPr>
        <w:t xml:space="preserve">２０ </w:t>
      </w:r>
      <w:r>
        <w:t>倍支付一次性赔偿金</w:t>
      </w:r>
      <w:r>
        <w:rPr>
          <w:rFonts w:hint="eastAsia" w:ascii="MS UI Gothic" w:eastAsia="MS UI Gothic"/>
          <w:w w:val="85"/>
        </w:rPr>
        <w:t xml:space="preserve">ꎬ </w:t>
      </w:r>
      <w:r>
        <w:t xml:space="preserve">并按照上一年度全国城镇居民人均可支配收入的 </w:t>
      </w:r>
      <w:r>
        <w:rPr>
          <w:rFonts w:hint="eastAsia" w:ascii="MS UI Gothic" w:eastAsia="MS UI Gothic"/>
          <w:w w:val="85"/>
        </w:rPr>
        <w:t xml:space="preserve">１０ </w:t>
      </w:r>
      <w:r>
        <w:t>倍一次性支付丧葬补助等其他赔偿金</w:t>
      </w:r>
      <w:r>
        <w:rPr>
          <w:rFonts w:hint="eastAsia" w:ascii="MS UI Gothic" w:eastAsia="MS UI Gothic"/>
          <w:w w:val="85"/>
        </w:rPr>
        <w:t>ꎮ</w:t>
      </w:r>
    </w:p>
    <w:p>
      <w:pPr>
        <w:pStyle w:val="6"/>
        <w:spacing w:line="295" w:lineRule="auto"/>
        <w:ind w:left="130" w:right="442"/>
        <w:rPr>
          <w:rFonts w:hint="eastAsia" w:ascii="MS UI Gothic" w:eastAsia="MS UI Gothic"/>
        </w:rPr>
      </w:pPr>
      <w:r>
        <w:rPr>
          <w:w w:val="105"/>
        </w:rPr>
        <w:t>第七条 单位拒不支付一次性赔偿的</w:t>
      </w:r>
      <w:r>
        <w:rPr>
          <w:rFonts w:hint="eastAsia" w:ascii="MS UI Gothic" w:eastAsia="MS UI Gothic"/>
          <w:w w:val="80"/>
        </w:rPr>
        <w:t xml:space="preserve">ꎬ </w:t>
      </w:r>
      <w:r>
        <w:rPr>
          <w:w w:val="105"/>
        </w:rPr>
        <w:t>伤残职工或者死亡职工的近亲属</w:t>
      </w:r>
      <w:r>
        <w:rPr>
          <w:rFonts w:hint="eastAsia" w:ascii="MS UI Gothic" w:eastAsia="MS UI Gothic"/>
          <w:w w:val="80"/>
        </w:rPr>
        <w:t xml:space="preserve">、 </w:t>
      </w:r>
      <w:r>
        <w:rPr>
          <w:w w:val="105"/>
        </w:rPr>
        <w:t>伤</w:t>
      </w:r>
      <w:r>
        <w:t>残童工或者死亡童工的近亲属可以向人力资源和社会保障行政部门举报</w:t>
      </w:r>
      <w:r>
        <w:rPr>
          <w:rFonts w:hint="eastAsia" w:ascii="MS UI Gothic" w:eastAsia="MS UI Gothic"/>
          <w:w w:val="80"/>
        </w:rPr>
        <w:t xml:space="preserve">ꎮ </w:t>
      </w:r>
      <w:r>
        <w:t>经查证属实的</w:t>
      </w:r>
      <w:r>
        <w:rPr>
          <w:rFonts w:hint="eastAsia" w:ascii="MS UI Gothic" w:eastAsia="MS UI Gothic"/>
          <w:w w:val="80"/>
        </w:rPr>
        <w:t xml:space="preserve">ꎬ </w:t>
      </w:r>
      <w:r>
        <w:t>人力资源和社会保障行政部门应当</w:t>
      </w:r>
      <w:r>
        <w:rPr>
          <w:w w:val="105"/>
        </w:rPr>
        <w:t>责令该单位限期改正</w:t>
      </w:r>
      <w:r>
        <w:rPr>
          <w:rFonts w:hint="eastAsia" w:ascii="MS UI Gothic" w:eastAsia="MS UI Gothic"/>
          <w:w w:val="80"/>
        </w:rPr>
        <w:t>ꎮ</w:t>
      </w:r>
    </w:p>
    <w:p>
      <w:pPr>
        <w:pStyle w:val="6"/>
        <w:spacing w:line="295" w:lineRule="auto"/>
        <w:ind w:left="130" w:right="442"/>
        <w:rPr>
          <w:rFonts w:hint="eastAsia" w:ascii="MS UI Gothic" w:eastAsia="MS UI Gothic"/>
        </w:rPr>
      </w:pPr>
      <w:r>
        <w:rPr>
          <w:w w:val="105"/>
        </w:rPr>
        <w:t>第八条 伤残职工或者死亡职工的近亲属</w:t>
      </w:r>
      <w:r>
        <w:rPr>
          <w:rFonts w:hint="eastAsia" w:ascii="MS UI Gothic" w:eastAsia="MS UI Gothic"/>
          <w:w w:val="80"/>
        </w:rPr>
        <w:t xml:space="preserve">、 </w:t>
      </w:r>
      <w:r>
        <w:rPr>
          <w:w w:val="105"/>
        </w:rPr>
        <w:t>伤残童工或者死亡童工的近亲属就</w:t>
      </w:r>
      <w:r>
        <w:t>赔偿数额与单位发生争议的</w:t>
      </w:r>
      <w:r>
        <w:rPr>
          <w:rFonts w:hint="eastAsia" w:ascii="MS UI Gothic" w:eastAsia="MS UI Gothic"/>
          <w:w w:val="80"/>
        </w:rPr>
        <w:t xml:space="preserve">ꎬ </w:t>
      </w:r>
      <w:r>
        <w:t>按照劳动争</w:t>
      </w:r>
      <w:r>
        <w:rPr>
          <w:w w:val="105"/>
        </w:rPr>
        <w:t>议处理的有关规定处理</w:t>
      </w:r>
      <w:r>
        <w:rPr>
          <w:rFonts w:hint="eastAsia" w:ascii="MS UI Gothic" w:eastAsia="MS UI Gothic"/>
          <w:w w:val="80"/>
        </w:rPr>
        <w:t>ꎮ</w:t>
      </w:r>
    </w:p>
    <w:p>
      <w:pPr>
        <w:pStyle w:val="6"/>
        <w:spacing w:line="253" w:lineRule="exact"/>
        <w:ind w:left="549" w:firstLine="0"/>
      </w:pPr>
      <w:r>
        <w:t xml:space="preserve">第九条 本办法自 </w:t>
      </w:r>
      <w:r>
        <w:rPr>
          <w:rFonts w:hint="eastAsia" w:ascii="MS UI Gothic" w:eastAsia="MS UI Gothic"/>
        </w:rPr>
        <w:t xml:space="preserve">２０１１ </w:t>
      </w:r>
      <w:r>
        <w:t xml:space="preserve">年 </w:t>
      </w:r>
      <w:r>
        <w:rPr>
          <w:rFonts w:hint="eastAsia" w:ascii="MS UI Gothic" w:eastAsia="MS UI Gothic"/>
        </w:rPr>
        <w:t xml:space="preserve">１ </w:t>
      </w:r>
      <w:r>
        <w:t xml:space="preserve">月 </w:t>
      </w:r>
      <w:r>
        <w:rPr>
          <w:rFonts w:hint="eastAsia" w:ascii="MS UI Gothic" w:eastAsia="MS UI Gothic"/>
        </w:rPr>
        <w:t xml:space="preserve">１ </w:t>
      </w:r>
      <w:r>
        <w:t>日</w:t>
      </w:r>
    </w:p>
    <w:p>
      <w:pPr>
        <w:pStyle w:val="6"/>
        <w:spacing w:before="44" w:line="295" w:lineRule="auto"/>
        <w:ind w:right="442" w:firstLine="5"/>
        <w:rPr>
          <w:rFonts w:hint="eastAsia" w:ascii="MS UI Gothic" w:hAnsi="MS UI Gothic" w:eastAsia="MS UI Gothic"/>
        </w:rPr>
      </w:pPr>
      <w:r>
        <w:rPr>
          <w:w w:val="95"/>
        </w:rPr>
        <w:t>起施行</w:t>
      </w:r>
      <w:r>
        <w:rPr>
          <w:rFonts w:hint="eastAsia" w:ascii="MS UI Gothic" w:hAnsi="MS UI Gothic" w:eastAsia="MS UI Gothic"/>
          <w:w w:val="90"/>
        </w:rPr>
        <w:t xml:space="preserve">ꎮ </w:t>
      </w:r>
      <w:r>
        <w:rPr>
          <w:w w:val="95"/>
        </w:rPr>
        <w:t xml:space="preserve">劳动和社会保障部 </w:t>
      </w:r>
      <w:r>
        <w:rPr>
          <w:rFonts w:hint="eastAsia" w:ascii="MS UI Gothic" w:hAnsi="MS UI Gothic" w:eastAsia="MS UI Gothic"/>
          <w:w w:val="95"/>
        </w:rPr>
        <w:t xml:space="preserve">２００３ </w:t>
      </w:r>
      <w:r>
        <w:rPr>
          <w:w w:val="95"/>
        </w:rPr>
        <w:t xml:space="preserve">年 </w:t>
      </w:r>
      <w:r>
        <w:rPr>
          <w:rFonts w:hint="eastAsia" w:ascii="MS UI Gothic" w:hAnsi="MS UI Gothic" w:eastAsia="MS UI Gothic"/>
          <w:w w:val="95"/>
        </w:rPr>
        <w:t xml:space="preserve">９ </w:t>
      </w:r>
      <w:r>
        <w:rPr>
          <w:w w:val="95"/>
        </w:rPr>
        <w:t>月</w:t>
      </w:r>
      <w:r>
        <w:rPr>
          <w:rFonts w:hint="eastAsia" w:ascii="MS UI Gothic" w:hAnsi="MS UI Gothic" w:eastAsia="MS UI Gothic"/>
          <w:w w:val="95"/>
        </w:rPr>
        <w:t xml:space="preserve">２３ </w:t>
      </w:r>
      <w:r>
        <w:rPr>
          <w:w w:val="95"/>
        </w:rPr>
        <w:t xml:space="preserve">日颁布的 </w:t>
      </w:r>
      <w:r>
        <w:rPr>
          <w:rFonts w:hint="eastAsia" w:ascii="MS UI Gothic" w:hAnsi="MS UI Gothic" w:eastAsia="MS UI Gothic"/>
          <w:w w:val="95"/>
        </w:rPr>
        <w:t xml:space="preserve">« </w:t>
      </w:r>
      <w:r>
        <w:rPr>
          <w:w w:val="95"/>
        </w:rPr>
        <w:t>非法用工单位伤亡人员一次性赔偿办法</w:t>
      </w:r>
      <w:r>
        <w:rPr>
          <w:rFonts w:hint="eastAsia" w:ascii="MS UI Gothic" w:hAnsi="MS UI Gothic" w:eastAsia="MS UI Gothic"/>
          <w:w w:val="95"/>
        </w:rPr>
        <w:t xml:space="preserve">» </w:t>
      </w:r>
      <w:r>
        <w:rPr>
          <w:w w:val="95"/>
        </w:rPr>
        <w:t>同时废止</w:t>
      </w:r>
      <w:r>
        <w:rPr>
          <w:rFonts w:hint="eastAsia" w:ascii="MS UI Gothic" w:hAnsi="MS UI Gothic" w:eastAsia="MS UI Gothic"/>
          <w:w w:val="9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40" w:space="246"/>
            <w:col w:w="4354"/>
          </w:cols>
        </w:sectPr>
      </w:pPr>
    </w:p>
    <w:p>
      <w:pPr>
        <w:pStyle w:val="6"/>
        <w:spacing w:before="1"/>
        <w:ind w:left="0" w:firstLine="0"/>
        <w:jc w:val="left"/>
        <w:rPr>
          <w:rFonts w:ascii="MS UI Gothic"/>
          <w:sz w:val="16"/>
        </w:rPr>
      </w:pPr>
    </w:p>
    <w:p>
      <w:pPr>
        <w:pStyle w:val="4"/>
        <w:spacing w:before="74"/>
        <w:ind w:right="630"/>
      </w:pPr>
      <w:r>
        <w:t>中华人民共和国监察部</w:t>
      </w:r>
    </w:p>
    <w:p>
      <w:pPr>
        <w:spacing w:before="39"/>
        <w:ind w:left="310" w:right="630" w:firstLine="0"/>
        <w:jc w:val="center"/>
        <w:rPr>
          <w:sz w:val="27"/>
        </w:rPr>
      </w:pPr>
      <w:r>
        <w:rPr>
          <w:sz w:val="27"/>
        </w:rPr>
        <w:t>国家安全生产监督管理总局令</w:t>
      </w:r>
    </w:p>
    <w:p>
      <w:pPr>
        <w:pStyle w:val="6"/>
        <w:ind w:left="0" w:firstLine="0"/>
        <w:jc w:val="left"/>
        <w:rPr>
          <w:sz w:val="27"/>
        </w:rPr>
      </w:pPr>
    </w:p>
    <w:p>
      <w:pPr>
        <w:pStyle w:val="5"/>
        <w:ind w:right="628"/>
      </w:pPr>
      <w:r>
        <w:t xml:space="preserve">第 </w:t>
      </w:r>
      <w:r>
        <w:rPr>
          <w:rFonts w:hint="eastAsia" w:ascii="MS UI Gothic" w:eastAsia="MS UI Gothic"/>
        </w:rPr>
        <w:t xml:space="preserve">１１ </w:t>
      </w:r>
      <w:r>
        <w:t>号</w:t>
      </w:r>
    </w:p>
    <w:p>
      <w:pPr>
        <w:pStyle w:val="6"/>
        <w:spacing w:before="354"/>
        <w:ind w:left="0" w:right="442" w:firstLine="0"/>
        <w:jc w:val="right"/>
      </w:pPr>
      <w:r>
        <w:rPr>
          <w:rFonts w:hint="eastAsia" w:ascii="MS UI Gothic" w:hAnsi="MS UI Gothic" w:eastAsia="MS UI Gothic"/>
          <w:spacing w:val="-24"/>
        </w:rPr>
        <w:t xml:space="preserve">« </w:t>
      </w:r>
      <w:r>
        <w:rPr>
          <w:spacing w:val="3"/>
        </w:rPr>
        <w:t>安全生产领域违法违纪行为政纪处分暂行规定</w:t>
      </w:r>
      <w:r>
        <w:rPr>
          <w:rFonts w:hint="eastAsia" w:ascii="MS UI Gothic" w:hAnsi="MS UI Gothic" w:eastAsia="MS UI Gothic"/>
          <w:spacing w:val="8"/>
        </w:rPr>
        <w:t xml:space="preserve">» </w:t>
      </w:r>
      <w:r>
        <w:rPr>
          <w:spacing w:val="-11"/>
        </w:rPr>
        <w:t xml:space="preserve">已经监察部 </w:t>
      </w:r>
      <w:r>
        <w:rPr>
          <w:rFonts w:hint="eastAsia" w:ascii="MS UI Gothic" w:hAnsi="MS UI Gothic" w:eastAsia="MS UI Gothic"/>
          <w:spacing w:val="-5"/>
        </w:rPr>
        <w:t xml:space="preserve">２００６ </w:t>
      </w:r>
      <w:r>
        <w:rPr>
          <w:spacing w:val="-37"/>
        </w:rPr>
        <w:t xml:space="preserve">年 </w:t>
      </w:r>
      <w:r>
        <w:rPr>
          <w:rFonts w:hint="eastAsia" w:ascii="MS UI Gothic" w:hAnsi="MS UI Gothic" w:eastAsia="MS UI Gothic"/>
          <w:spacing w:val="-9"/>
        </w:rPr>
        <w:t xml:space="preserve">１０ </w:t>
      </w:r>
      <w:r>
        <w:rPr>
          <w:spacing w:val="-37"/>
        </w:rPr>
        <w:t xml:space="preserve">月 </w:t>
      </w:r>
      <w:r>
        <w:rPr>
          <w:rFonts w:hint="eastAsia" w:ascii="MS UI Gothic" w:hAnsi="MS UI Gothic" w:eastAsia="MS UI Gothic"/>
          <w:spacing w:val="-9"/>
        </w:rPr>
        <w:t xml:space="preserve">３０ </w:t>
      </w:r>
      <w:r>
        <w:rPr>
          <w:spacing w:val="1"/>
        </w:rPr>
        <w:t>日第</w:t>
      </w:r>
    </w:p>
    <w:p>
      <w:pPr>
        <w:pStyle w:val="6"/>
        <w:spacing w:before="58" w:line="240" w:lineRule="exact"/>
        <w:ind w:left="0" w:right="442" w:firstLine="0"/>
        <w:jc w:val="right"/>
      </w:pPr>
      <w:r>
        <w:rPr>
          <w:rFonts w:hint="eastAsia" w:ascii="MS UI Gothic" w:eastAsia="MS UI Gothic"/>
          <w:spacing w:val="-10"/>
        </w:rPr>
        <w:t xml:space="preserve">８ </w:t>
      </w:r>
      <w:r>
        <w:rPr>
          <w:spacing w:val="3"/>
        </w:rPr>
        <w:t>次部长办公会议</w:t>
      </w:r>
      <w:r>
        <w:rPr>
          <w:rFonts w:hint="eastAsia" w:ascii="MS UI Gothic" w:eastAsia="MS UI Gothic"/>
          <w:spacing w:val="3"/>
        </w:rPr>
        <w:t xml:space="preserve">、 </w:t>
      </w:r>
      <w:r>
        <w:rPr>
          <w:spacing w:val="-4"/>
        </w:rPr>
        <w:t xml:space="preserve">国家安全生产监督管理总局 </w:t>
      </w:r>
      <w:r>
        <w:rPr>
          <w:rFonts w:hint="eastAsia" w:ascii="MS UI Gothic" w:eastAsia="MS UI Gothic"/>
          <w:spacing w:val="-5"/>
        </w:rPr>
        <w:t xml:space="preserve">２００６ </w:t>
      </w:r>
      <w:r>
        <w:rPr>
          <w:spacing w:val="-38"/>
        </w:rPr>
        <w:t xml:space="preserve">年 </w:t>
      </w:r>
      <w:r>
        <w:rPr>
          <w:rFonts w:hint="eastAsia" w:ascii="MS UI Gothic" w:eastAsia="MS UI Gothic"/>
          <w:spacing w:val="-12"/>
        </w:rPr>
        <w:t xml:space="preserve">９ </w:t>
      </w:r>
      <w:r>
        <w:rPr>
          <w:spacing w:val="-37"/>
        </w:rPr>
        <w:t xml:space="preserve">月 </w:t>
      </w:r>
      <w:r>
        <w:rPr>
          <w:rFonts w:hint="eastAsia" w:ascii="MS UI Gothic" w:eastAsia="MS UI Gothic"/>
          <w:spacing w:val="-8"/>
        </w:rPr>
        <w:t xml:space="preserve">２６ </w:t>
      </w:r>
      <w:r>
        <w:rPr>
          <w:spacing w:val="-24"/>
        </w:rPr>
        <w:t xml:space="preserve">日第 </w:t>
      </w:r>
      <w:r>
        <w:rPr>
          <w:rFonts w:hint="eastAsia" w:ascii="MS UI Gothic" w:eastAsia="MS UI Gothic"/>
          <w:spacing w:val="-8"/>
        </w:rPr>
        <w:t xml:space="preserve">２３ </w:t>
      </w:r>
      <w:r>
        <w:rPr>
          <w:spacing w:val="2"/>
        </w:rPr>
        <w:t>次局长办公会议</w:t>
      </w:r>
    </w:p>
    <w:p>
      <w:pPr>
        <w:spacing w:after="0" w:line="240" w:lineRule="exact"/>
        <w:jc w:val="right"/>
        <w:sectPr>
          <w:type w:val="continuous"/>
          <w:pgSz w:w="10500" w:h="14750"/>
          <w:pgMar w:top="1400" w:right="980" w:bottom="280" w:left="980" w:header="720" w:footer="720" w:gutter="0"/>
        </w:sectPr>
      </w:pPr>
    </w:p>
    <w:p>
      <w:pPr>
        <w:pStyle w:val="6"/>
        <w:spacing w:before="74"/>
        <w:ind w:firstLine="0"/>
        <w:jc w:val="left"/>
        <w:rPr>
          <w:rFonts w:hint="eastAsia" w:ascii="MS UI Gothic" w:eastAsia="MS UI Gothic"/>
        </w:rPr>
      </w:pPr>
      <w:r>
        <w:t>通过</w:t>
      </w:r>
      <w:r>
        <w:rPr>
          <w:rFonts w:hint="eastAsia" w:ascii="MS UI Gothic" w:eastAsia="MS UI Gothic"/>
          <w:w w:val="80"/>
        </w:rPr>
        <w:t xml:space="preserve">ꎬ </w:t>
      </w:r>
      <w:r>
        <w:t>现予以公布</w:t>
      </w:r>
      <w:r>
        <w:rPr>
          <w:rFonts w:hint="eastAsia" w:ascii="MS UI Gothic" w:eastAsia="MS UI Gothic"/>
          <w:w w:val="80"/>
        </w:rPr>
        <w:t xml:space="preserve">ꎬ </w:t>
      </w:r>
      <w:r>
        <w:t>自公布之日起施行</w:t>
      </w:r>
      <w:r>
        <w:rPr>
          <w:rFonts w:hint="eastAsia" w:ascii="MS UI Gothic" w:eastAsia="MS UI Gothic"/>
          <w:w w:val="80"/>
        </w:rPr>
        <w:t>ꎮ</w:t>
      </w:r>
    </w:p>
    <w:p>
      <w:pPr>
        <w:pStyle w:val="6"/>
        <w:tabs>
          <w:tab w:val="left" w:pos="2430"/>
        </w:tabs>
        <w:spacing w:before="389" w:line="295" w:lineRule="auto"/>
        <w:ind w:right="442" w:firstLine="1047"/>
        <w:jc w:val="right"/>
      </w:pPr>
      <w:r>
        <w:br w:type="column"/>
      </w:r>
      <w:r>
        <w:rPr>
          <w:spacing w:val="3"/>
          <w:w w:val="105"/>
        </w:rPr>
        <w:t>监察部部</w:t>
      </w:r>
      <w:r>
        <w:rPr>
          <w:w w:val="105"/>
        </w:rPr>
        <w:t>长</w:t>
      </w:r>
      <w:r>
        <w:rPr>
          <w:w w:val="105"/>
        </w:rPr>
        <w:tab/>
      </w:r>
      <w:r>
        <w:rPr>
          <w:spacing w:val="3"/>
        </w:rPr>
        <w:t>李至</w:t>
      </w:r>
      <w:r>
        <w:rPr>
          <w:spacing w:val="-16"/>
        </w:rPr>
        <w:t>伦</w:t>
      </w:r>
      <w:r>
        <w:rPr>
          <w:spacing w:val="3"/>
          <w:w w:val="105"/>
        </w:rPr>
        <w:t>国家安全监管总局局</w:t>
      </w:r>
      <w:r>
        <w:rPr>
          <w:w w:val="105"/>
        </w:rPr>
        <w:t>长</w:t>
      </w:r>
      <w:r>
        <w:rPr>
          <w:w w:val="105"/>
        </w:rPr>
        <w:tab/>
      </w:r>
      <w:r>
        <w:rPr>
          <w:spacing w:val="3"/>
        </w:rPr>
        <w:t>李毅</w:t>
      </w:r>
      <w:r>
        <w:rPr>
          <w:spacing w:val="-16"/>
        </w:rPr>
        <w:t>中</w:t>
      </w:r>
      <w:r>
        <w:rPr>
          <w:spacing w:val="3"/>
        </w:rPr>
        <w:t>二</w:t>
      </w:r>
      <w:r>
        <w:rPr>
          <w:rFonts w:hint="eastAsia" w:ascii="MS UI Gothic" w:hAnsi="MS UI Gothic" w:eastAsia="MS UI Gothic"/>
          <w:spacing w:val="3"/>
        </w:rPr>
        <w:t>○○</w:t>
      </w:r>
      <w:r>
        <w:rPr>
          <w:spacing w:val="3"/>
        </w:rPr>
        <w:t>六年十一月二十二</w:t>
      </w:r>
      <w:r>
        <w:t>日</w:t>
      </w:r>
    </w:p>
    <w:p>
      <w:pPr>
        <w:spacing w:after="0" w:line="295" w:lineRule="auto"/>
        <w:jc w:val="right"/>
        <w:sectPr>
          <w:type w:val="continuous"/>
          <w:pgSz w:w="10500" w:h="14750"/>
          <w:pgMar w:top="1400" w:right="980" w:bottom="280" w:left="980" w:header="720" w:footer="720" w:gutter="0"/>
          <w:cols w:equalWidth="0" w:num="2">
            <w:col w:w="3831" w:space="1199"/>
            <w:col w:w="3510"/>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１１９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00" o:spid="_x0000_s1400" o:spt="203" style="height:2.15pt;width:398.25pt;" coordsize="7965,43">
            <o:lock v:ext="edit"/>
            <v:line id="_x0000_s1401" o:spid="_x0000_s1401" o:spt="20" style="position:absolute;left:0;top:39;height:0;width:7965;" stroked="t" coordsize="21600,21600">
              <v:path arrowok="t"/>
              <v:fill focussize="0,0"/>
              <v:stroke weight="0.388031496062992pt" color="#231F20"/>
              <v:imagedata o:title=""/>
              <o:lock v:ext="edit"/>
            </v:line>
            <v:line id="_x0000_s1402" o:spid="_x0000_s1402"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4"/>
        <w:spacing w:before="238" w:line="266" w:lineRule="auto"/>
        <w:ind w:left="2342" w:right="2054" w:firstLine="403"/>
        <w:jc w:val="left"/>
        <w:rPr>
          <w:rFonts w:hint="eastAsia" w:ascii="Microsoft Yi Baiti" w:eastAsia="Microsoft Yi Baiti"/>
        </w:rPr>
      </w:pPr>
      <w:r>
        <w:rPr>
          <w:spacing w:val="4"/>
        </w:rPr>
        <w:t xml:space="preserve">安全生产领域违法违纪行为  </w:t>
      </w:r>
      <w:r>
        <w:rPr>
          <w:spacing w:val="-5"/>
        </w:rPr>
        <w:t xml:space="preserve">政纪处分暂行规定 </w:t>
      </w:r>
      <w:r>
        <w:rPr>
          <w:rFonts w:hint="eastAsia" w:ascii="Microsoft Yi Baiti" w:eastAsia="Microsoft Yi Baiti"/>
          <w:spacing w:val="3"/>
        </w:rPr>
        <w:t>(</w:t>
      </w:r>
      <w:r>
        <w:rPr>
          <w:rFonts w:hint="eastAsia" w:ascii="MS UI Gothic" w:eastAsia="MS UI Gothic"/>
          <w:spacing w:val="-8"/>
        </w:rPr>
        <w:t xml:space="preserve">２００６ </w:t>
      </w:r>
      <w:r>
        <w:rPr>
          <w:spacing w:val="5"/>
        </w:rPr>
        <w:t>年公布</w:t>
      </w:r>
      <w:r>
        <w:rPr>
          <w:rFonts w:hint="eastAsia" w:ascii="Microsoft Yi Baiti" w:eastAsia="Microsoft Yi Baiti"/>
        </w:rPr>
        <w:t>)</w:t>
      </w:r>
    </w:p>
    <w:p>
      <w:pPr>
        <w:pStyle w:val="6"/>
        <w:ind w:left="0" w:firstLine="0"/>
        <w:jc w:val="left"/>
        <w:rPr>
          <w:rFonts w:ascii="Microsoft Yi Baiti"/>
          <w:sz w:val="15"/>
        </w:rPr>
      </w:pPr>
    </w:p>
    <w:p>
      <w:pPr>
        <w:spacing w:after="0"/>
        <w:jc w:val="left"/>
        <w:rPr>
          <w:rFonts w:ascii="Microsoft Yi Baiti"/>
          <w:sz w:val="15"/>
        </w:rPr>
        <w:sectPr>
          <w:type w:val="continuous"/>
          <w:pgSz w:w="10500" w:h="14750"/>
          <w:pgMar w:top="1400" w:right="980" w:bottom="280" w:left="980" w:header="720" w:footer="720" w:gutter="0"/>
        </w:sectPr>
      </w:pPr>
    </w:p>
    <w:p>
      <w:pPr>
        <w:pStyle w:val="6"/>
        <w:spacing w:before="174" w:line="300" w:lineRule="auto"/>
        <w:ind w:left="440"/>
        <w:rPr>
          <w:rFonts w:hint="eastAsia" w:ascii="MS UI Gothic" w:hAnsi="MS UI Gothic" w:eastAsia="MS UI Gothic"/>
        </w:rPr>
      </w:pPr>
      <w:r>
        <w:t>第一条 为了加强安全生产工作</w:t>
      </w:r>
      <w:r>
        <w:rPr>
          <w:rFonts w:hint="eastAsia" w:ascii="MS UI Gothic" w:hAnsi="MS UI Gothic" w:eastAsia="MS UI Gothic"/>
          <w:w w:val="80"/>
        </w:rPr>
        <w:t xml:space="preserve">ꎬ </w:t>
      </w:r>
      <w:r>
        <w:t>惩处安全生产领域违法违纪行为</w:t>
      </w:r>
      <w:r>
        <w:rPr>
          <w:rFonts w:hint="eastAsia" w:ascii="MS UI Gothic" w:hAnsi="MS UI Gothic" w:eastAsia="MS UI Gothic"/>
          <w:w w:val="80"/>
        </w:rPr>
        <w:t xml:space="preserve">ꎬ </w:t>
      </w:r>
      <w:r>
        <w:t>促进安全生产法律法规的贯彻实施</w:t>
      </w:r>
      <w:r>
        <w:rPr>
          <w:rFonts w:hint="eastAsia" w:ascii="MS UI Gothic" w:hAnsi="MS UI Gothic" w:eastAsia="MS UI Gothic"/>
          <w:w w:val="80"/>
        </w:rPr>
        <w:t xml:space="preserve">ꎬ </w:t>
      </w:r>
      <w:r>
        <w:t>保障人民群众生命财产和公共财产安全</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中华人民共和国行政监察法</w:t>
      </w:r>
      <w:r>
        <w:rPr>
          <w:rFonts w:hint="eastAsia" w:ascii="MS UI Gothic" w:hAnsi="MS UI Gothic" w:eastAsia="MS UI Gothic"/>
          <w:w w:val="80"/>
        </w:rPr>
        <w:t xml:space="preserve">»、  « </w:t>
      </w:r>
      <w:r>
        <w:t>中华人民共和国安全生产法</w:t>
      </w:r>
      <w:r>
        <w:rPr>
          <w:rFonts w:hint="eastAsia" w:ascii="MS UI Gothic" w:hAnsi="MS UI Gothic" w:eastAsia="MS UI Gothic"/>
          <w:w w:val="80"/>
        </w:rPr>
        <w:t xml:space="preserve">» </w:t>
      </w:r>
      <w:r>
        <w:t>及其他有关法律法规</w:t>
      </w:r>
      <w:r>
        <w:rPr>
          <w:rFonts w:hint="eastAsia" w:ascii="MS UI Gothic" w:hAnsi="MS UI Gothic" w:eastAsia="MS UI Gothic"/>
          <w:w w:val="80"/>
        </w:rPr>
        <w:t>ꎬ</w:t>
      </w:r>
      <w:r>
        <w:t>制定本规定</w:t>
      </w:r>
      <w:r>
        <w:rPr>
          <w:rFonts w:hint="eastAsia" w:ascii="MS UI Gothic" w:hAnsi="MS UI Gothic" w:eastAsia="MS UI Gothic"/>
          <w:w w:val="80"/>
        </w:rPr>
        <w:t>ꎮ</w:t>
      </w:r>
    </w:p>
    <w:p>
      <w:pPr>
        <w:pStyle w:val="6"/>
        <w:spacing w:line="300" w:lineRule="auto"/>
        <w:ind w:left="440"/>
        <w:rPr>
          <w:rFonts w:hint="eastAsia" w:ascii="MS UI Gothic" w:eastAsia="MS UI Gothic"/>
        </w:rPr>
      </w:pPr>
      <w:r>
        <w:t>第二条 国家行政机关及其公务员</w:t>
      </w:r>
      <w:r>
        <w:rPr>
          <w:rFonts w:hint="eastAsia" w:ascii="MS UI Gothic" w:eastAsia="MS UI Gothic"/>
          <w:w w:val="80"/>
        </w:rPr>
        <w:t>ꎬ</w:t>
      </w:r>
      <w:r>
        <w:t>企业</w:t>
      </w:r>
      <w:r>
        <w:rPr>
          <w:rFonts w:hint="eastAsia" w:ascii="MS UI Gothic" w:eastAsia="MS UI Gothic"/>
          <w:w w:val="80"/>
        </w:rPr>
        <w:t xml:space="preserve">、 </w:t>
      </w:r>
      <w:r>
        <w:t>事业单位中由国家行政机关任命的人员有安全生产领域违法违纪行为</w:t>
      </w:r>
      <w:r>
        <w:rPr>
          <w:rFonts w:hint="eastAsia" w:ascii="MS UI Gothic" w:eastAsia="MS UI Gothic"/>
          <w:w w:val="80"/>
        </w:rPr>
        <w:t xml:space="preserve">ꎬ </w:t>
      </w:r>
      <w:r>
        <w:t>应当给予处分的</w:t>
      </w:r>
      <w:r>
        <w:rPr>
          <w:rFonts w:hint="eastAsia" w:ascii="MS UI Gothic" w:eastAsia="MS UI Gothic"/>
          <w:w w:val="80"/>
        </w:rPr>
        <w:t xml:space="preserve">ꎬ </w:t>
      </w:r>
      <w:r>
        <w:t>适用本规定</w:t>
      </w:r>
      <w:r>
        <w:rPr>
          <w:rFonts w:hint="eastAsia" w:ascii="MS UI Gothic" w:eastAsia="MS UI Gothic"/>
          <w:w w:val="80"/>
        </w:rPr>
        <w:t>ꎮ</w:t>
      </w:r>
    </w:p>
    <w:p>
      <w:pPr>
        <w:pStyle w:val="6"/>
        <w:spacing w:line="300" w:lineRule="auto"/>
        <w:ind w:left="440" w:right="1"/>
        <w:rPr>
          <w:rFonts w:hint="eastAsia" w:ascii="MS UI Gothic" w:eastAsia="MS UI Gothic"/>
        </w:rPr>
      </w:pPr>
      <w:r>
        <w:rPr>
          <w:spacing w:val="2"/>
          <w:w w:val="105"/>
        </w:rPr>
        <w:t>第三条 有安全生产领域违法违纪行</w:t>
      </w:r>
      <w:r>
        <w:rPr>
          <w:spacing w:val="3"/>
        </w:rPr>
        <w:t>为的国家行政机关</w:t>
      </w:r>
      <w:r>
        <w:rPr>
          <w:rFonts w:hint="eastAsia" w:ascii="MS UI Gothic" w:eastAsia="MS UI Gothic"/>
          <w:spacing w:val="21"/>
          <w:w w:val="80"/>
        </w:rPr>
        <w:t xml:space="preserve">ꎬ </w:t>
      </w:r>
      <w:r>
        <w:rPr>
          <w:spacing w:val="2"/>
        </w:rPr>
        <w:t>对其直接负责的主管</w:t>
      </w:r>
      <w:r>
        <w:rPr>
          <w:spacing w:val="3"/>
        </w:rPr>
        <w:t>人员和其他直接责任人员</w:t>
      </w:r>
      <w:r>
        <w:rPr>
          <w:rFonts w:hint="eastAsia" w:ascii="MS UI Gothic" w:eastAsia="MS UI Gothic"/>
          <w:spacing w:val="21"/>
          <w:w w:val="80"/>
        </w:rPr>
        <w:t xml:space="preserve">ꎬ </w:t>
      </w:r>
      <w:r>
        <w:rPr>
          <w:spacing w:val="2"/>
        </w:rPr>
        <w:t>以及对有安全生产领域违法违纪行为的国家行政机关公</w:t>
      </w:r>
      <w:r>
        <w:rPr>
          <w:spacing w:val="-12"/>
          <w:w w:val="105"/>
        </w:rPr>
        <w:t xml:space="preserve">务员 </w:t>
      </w:r>
      <w:r>
        <w:rPr>
          <w:rFonts w:hint="eastAsia" w:ascii="MS UI Gothic" w:eastAsia="MS UI Gothic"/>
          <w:spacing w:val="-39"/>
          <w:w w:val="150"/>
        </w:rPr>
        <w:t xml:space="preserve">( </w:t>
      </w:r>
      <w:r>
        <w:rPr>
          <w:spacing w:val="6"/>
          <w:w w:val="105"/>
        </w:rPr>
        <w:t>以下统称有关责任人员</w:t>
      </w:r>
      <w:r>
        <w:rPr>
          <w:rFonts w:hint="eastAsia" w:ascii="MS UI Gothic" w:eastAsia="MS UI Gothic"/>
          <w:spacing w:val="-39"/>
          <w:w w:val="150"/>
        </w:rPr>
        <w:t xml:space="preserve">) </w:t>
      </w:r>
      <w:r>
        <w:rPr>
          <w:rFonts w:hint="eastAsia" w:ascii="MS UI Gothic" w:eastAsia="MS UI Gothic"/>
          <w:spacing w:val="10"/>
          <w:w w:val="80"/>
        </w:rPr>
        <w:t xml:space="preserve">ꎬ </w:t>
      </w:r>
      <w:r>
        <w:rPr>
          <w:spacing w:val="7"/>
          <w:w w:val="105"/>
        </w:rPr>
        <w:t>由监察</w:t>
      </w:r>
      <w:r>
        <w:rPr>
          <w:spacing w:val="3"/>
        </w:rPr>
        <w:t>机关或者任免机关按照管理权限</w:t>
      </w:r>
      <w:r>
        <w:rPr>
          <w:rFonts w:hint="eastAsia" w:ascii="MS UI Gothic" w:eastAsia="MS UI Gothic"/>
          <w:spacing w:val="21"/>
          <w:w w:val="80"/>
        </w:rPr>
        <w:t xml:space="preserve">ꎬ </w:t>
      </w:r>
      <w:r>
        <w:rPr>
          <w:spacing w:val="1"/>
        </w:rPr>
        <w:t>依法给</w:t>
      </w:r>
      <w:r>
        <w:rPr>
          <w:spacing w:val="3"/>
        </w:rPr>
        <w:t>予处分</w:t>
      </w:r>
      <w:r>
        <w:rPr>
          <w:rFonts w:hint="eastAsia" w:ascii="MS UI Gothic" w:eastAsia="MS UI Gothic"/>
          <w:spacing w:val="21"/>
          <w:w w:val="80"/>
        </w:rPr>
        <w:t xml:space="preserve">ꎮ </w:t>
      </w:r>
      <w:r>
        <w:rPr>
          <w:spacing w:val="2"/>
        </w:rPr>
        <w:t>有安全生产领域违法违纪行为的</w:t>
      </w:r>
      <w:r>
        <w:rPr>
          <w:spacing w:val="3"/>
          <w:w w:val="105"/>
        </w:rPr>
        <w:t>企业</w:t>
      </w:r>
      <w:r>
        <w:rPr>
          <w:rFonts w:hint="eastAsia" w:ascii="MS UI Gothic" w:eastAsia="MS UI Gothic"/>
          <w:spacing w:val="16"/>
          <w:w w:val="80"/>
        </w:rPr>
        <w:t xml:space="preserve">、 </w:t>
      </w:r>
      <w:r>
        <w:rPr>
          <w:spacing w:val="3"/>
          <w:w w:val="105"/>
        </w:rPr>
        <w:t>事业单位</w:t>
      </w:r>
      <w:r>
        <w:rPr>
          <w:rFonts w:hint="eastAsia" w:ascii="MS UI Gothic" w:eastAsia="MS UI Gothic"/>
          <w:spacing w:val="16"/>
          <w:w w:val="80"/>
        </w:rPr>
        <w:t xml:space="preserve">ꎬ </w:t>
      </w:r>
      <w:r>
        <w:rPr>
          <w:spacing w:val="3"/>
          <w:w w:val="105"/>
        </w:rPr>
        <w:t>对其直接负责的</w:t>
      </w:r>
      <w:r>
        <w:rPr>
          <w:rFonts w:hint="eastAsia" w:ascii="MS UI Gothic" w:eastAsia="MS UI Gothic"/>
          <w:w w:val="80"/>
        </w:rPr>
        <w:t>ꎮ</w:t>
      </w:r>
    </w:p>
    <w:p>
      <w:pPr>
        <w:pStyle w:val="6"/>
        <w:spacing w:line="300" w:lineRule="auto"/>
        <w:ind w:left="440"/>
        <w:rPr>
          <w:rFonts w:hint="eastAsia" w:ascii="MS UI Gothic" w:eastAsia="MS UI Gothic"/>
        </w:rPr>
      </w:pPr>
      <w:r>
        <w:rPr>
          <w:spacing w:val="3"/>
        </w:rPr>
        <w:t>主管人员和其他直接责任人员</w:t>
      </w:r>
      <w:r>
        <w:rPr>
          <w:rFonts w:hint="eastAsia" w:ascii="MS UI Gothic" w:eastAsia="MS UI Gothic"/>
          <w:spacing w:val="16"/>
          <w:w w:val="80"/>
        </w:rPr>
        <w:t xml:space="preserve">ꎬ </w:t>
      </w:r>
      <w:r>
        <w:rPr>
          <w:spacing w:val="1"/>
        </w:rPr>
        <w:t>以及</w:t>
      </w:r>
      <w:r>
        <w:rPr>
          <w:spacing w:val="4"/>
        </w:rPr>
        <w:t>对有安全生产领域违法违纪行为的企业</w:t>
      </w:r>
      <w:r>
        <w:rPr>
          <w:rFonts w:hint="eastAsia" w:ascii="MS UI Gothic" w:eastAsia="MS UI Gothic"/>
          <w:w w:val="80"/>
        </w:rPr>
        <w:t>、</w:t>
      </w:r>
      <w:r>
        <w:rPr>
          <w:spacing w:val="2"/>
        </w:rPr>
        <w:t>事业单位工作人员中由国家行政机关任命</w:t>
      </w:r>
      <w:r>
        <w:rPr>
          <w:spacing w:val="-9"/>
          <w:w w:val="105"/>
        </w:rPr>
        <w:t xml:space="preserve">的人员 </w:t>
      </w:r>
      <w:r>
        <w:rPr>
          <w:rFonts w:hint="eastAsia" w:ascii="MS UI Gothic" w:eastAsia="MS UI Gothic"/>
          <w:spacing w:val="-39"/>
          <w:w w:val="150"/>
        </w:rPr>
        <w:t xml:space="preserve">( </w:t>
      </w:r>
      <w:r>
        <w:rPr>
          <w:spacing w:val="7"/>
          <w:w w:val="105"/>
        </w:rPr>
        <w:t>以下统称有关责任人员</w:t>
      </w:r>
      <w:r>
        <w:rPr>
          <w:rFonts w:hint="eastAsia" w:ascii="MS UI Gothic" w:eastAsia="MS UI Gothic"/>
          <w:spacing w:val="-39"/>
          <w:w w:val="150"/>
        </w:rPr>
        <w:t xml:space="preserve">) </w:t>
      </w:r>
      <w:r>
        <w:rPr>
          <w:rFonts w:hint="eastAsia" w:ascii="MS UI Gothic" w:eastAsia="MS UI Gothic"/>
          <w:spacing w:val="12"/>
          <w:w w:val="80"/>
        </w:rPr>
        <w:t xml:space="preserve">ꎬ </w:t>
      </w:r>
      <w:r>
        <w:rPr>
          <w:spacing w:val="5"/>
          <w:w w:val="105"/>
        </w:rPr>
        <w:t>由监</w:t>
      </w:r>
      <w:r>
        <w:rPr>
          <w:spacing w:val="3"/>
        </w:rPr>
        <w:t>察机关或者任免机关按照管理权限</w:t>
      </w:r>
      <w:r>
        <w:rPr>
          <w:rFonts w:hint="eastAsia" w:ascii="MS UI Gothic" w:eastAsia="MS UI Gothic"/>
          <w:spacing w:val="21"/>
          <w:w w:val="80"/>
        </w:rPr>
        <w:t xml:space="preserve">ꎬ </w:t>
      </w:r>
      <w:r>
        <w:rPr>
          <w:spacing w:val="1"/>
        </w:rPr>
        <w:t>依法</w:t>
      </w:r>
      <w:r>
        <w:rPr>
          <w:spacing w:val="3"/>
          <w:w w:val="105"/>
        </w:rPr>
        <w:t>给予处分</w:t>
      </w:r>
      <w:r>
        <w:rPr>
          <w:rFonts w:hint="eastAsia" w:ascii="MS UI Gothic" w:eastAsia="MS UI Gothic"/>
          <w:w w:val="80"/>
        </w:rPr>
        <w:t>ꎮ</w:t>
      </w:r>
    </w:p>
    <w:p>
      <w:pPr>
        <w:pStyle w:val="6"/>
        <w:spacing w:line="300" w:lineRule="auto"/>
        <w:ind w:left="440" w:right="1"/>
        <w:rPr>
          <w:rFonts w:hint="eastAsia" w:ascii="MS UI Gothic" w:eastAsia="MS UI Gothic"/>
        </w:rPr>
      </w:pPr>
      <w:r>
        <w:rPr>
          <w:w w:val="105"/>
        </w:rPr>
        <w:t xml:space="preserve">第四条  </w:t>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不执行国家安全生产方针政策和安全生产法律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规章以及上级机关</w:t>
      </w:r>
      <w:r>
        <w:rPr>
          <w:rFonts w:hint="eastAsia" w:ascii="MS UI Gothic" w:eastAsia="MS UI Gothic"/>
          <w:w w:val="80"/>
        </w:rPr>
        <w:t xml:space="preserve">、 </w:t>
      </w:r>
      <w:r>
        <w:rPr>
          <w:w w:val="105"/>
        </w:rPr>
        <w:t>主管部门有关安全生产的决定</w:t>
      </w:r>
      <w:r>
        <w:rPr>
          <w:rFonts w:hint="eastAsia" w:ascii="MS UI Gothic" w:eastAsia="MS UI Gothic"/>
          <w:w w:val="80"/>
        </w:rPr>
        <w:t xml:space="preserve">、 </w:t>
      </w:r>
      <w:r>
        <w:rPr>
          <w:w w:val="105"/>
        </w:rPr>
        <w:t>命令</w:t>
      </w:r>
      <w:r>
        <w:rPr>
          <w:rFonts w:hint="eastAsia" w:ascii="MS UI Gothic" w:eastAsia="MS UI Gothic"/>
          <w:w w:val="80"/>
        </w:rPr>
        <w:t xml:space="preserve">、 </w:t>
      </w:r>
      <w:r>
        <w:rPr>
          <w:w w:val="105"/>
        </w:rPr>
        <w:t>指示的</w:t>
      </w:r>
      <w:r>
        <w:rPr>
          <w:rFonts w:hint="eastAsia" w:ascii="MS UI Gothic" w:eastAsia="MS UI Gothic"/>
          <w:w w:val="80"/>
        </w:rPr>
        <w:t>ꎻ</w:t>
      </w:r>
    </w:p>
    <w:p>
      <w:pPr>
        <w:pStyle w:val="6"/>
        <w:spacing w:line="300"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制定或者采取与国家安全生产方针政策以及安全生产法律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w:t>
      </w:r>
      <w:r>
        <w:t>相抵触的规定或者措施</w:t>
      </w:r>
      <w:r>
        <w:rPr>
          <w:rFonts w:hint="eastAsia" w:ascii="MS UI Gothic" w:eastAsia="MS UI Gothic"/>
          <w:w w:val="80"/>
        </w:rPr>
        <w:t xml:space="preserve">ꎬ </w:t>
      </w:r>
      <w:r>
        <w:t>造成不良后果或</w:t>
      </w:r>
      <w:r>
        <w:rPr>
          <w:w w:val="105"/>
        </w:rPr>
        <w:t>者经上级机关</w:t>
      </w:r>
      <w:r>
        <w:rPr>
          <w:rFonts w:hint="eastAsia" w:ascii="MS UI Gothic" w:eastAsia="MS UI Gothic"/>
          <w:w w:val="80"/>
        </w:rPr>
        <w:t xml:space="preserve">、 </w:t>
      </w:r>
      <w:r>
        <w:rPr>
          <w:w w:val="105"/>
        </w:rPr>
        <w:t>有关部门指出仍不改正的</w:t>
      </w:r>
      <w:r>
        <w:rPr>
          <w:rFonts w:hint="eastAsia" w:ascii="MS UI Gothic" w:eastAsia="MS UI Gothic"/>
          <w:w w:val="80"/>
        </w:rPr>
        <w:t>ꎮ</w:t>
      </w:r>
    </w:p>
    <w:p>
      <w:pPr>
        <w:pStyle w:val="6"/>
        <w:spacing w:before="174" w:line="300" w:lineRule="auto"/>
        <w:ind w:left="381" w:right="126"/>
        <w:rPr>
          <w:rFonts w:hint="eastAsia" w:ascii="MS UI Gothic" w:eastAsia="MS UI Gothic"/>
        </w:rPr>
      </w:pPr>
      <w:r>
        <w:br w:type="column"/>
      </w:r>
      <w:r>
        <w:rPr>
          <w:w w:val="105"/>
        </w:rPr>
        <w:t xml:space="preserve">第五条  </w:t>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向不符合法定安全</w:t>
      </w:r>
      <w:r>
        <w:t>生产条件的生产经营单位或者经营者颁发</w:t>
      </w:r>
      <w:r>
        <w:rPr>
          <w:w w:val="105"/>
        </w:rPr>
        <w:t>有关证照的</w:t>
      </w:r>
      <w:r>
        <w:rPr>
          <w:rFonts w:hint="eastAsia" w:ascii="MS UI Gothic" w:eastAsia="MS UI Gothic"/>
          <w:w w:val="80"/>
        </w:rPr>
        <w:t>ꎻ</w:t>
      </w:r>
    </w:p>
    <w:p>
      <w:pPr>
        <w:pStyle w:val="6"/>
        <w:spacing w:line="297"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对不具备法定条件机构</w:t>
      </w:r>
      <w:r>
        <w:rPr>
          <w:rFonts w:hint="eastAsia" w:ascii="MS UI Gothic" w:eastAsia="MS UI Gothic"/>
          <w:w w:val="80"/>
        </w:rPr>
        <w:t xml:space="preserve">、  </w:t>
      </w:r>
      <w:r>
        <w:rPr>
          <w:w w:val="105"/>
        </w:rPr>
        <w:t>人员的安全生产资质</w:t>
      </w:r>
      <w:r>
        <w:rPr>
          <w:rFonts w:hint="eastAsia" w:ascii="MS UI Gothic" w:eastAsia="MS UI Gothic"/>
          <w:w w:val="80"/>
        </w:rPr>
        <w:t xml:space="preserve">、 </w:t>
      </w:r>
      <w:r>
        <w:rPr>
          <w:w w:val="105"/>
        </w:rPr>
        <w:t>资格予以批准认定的</w:t>
      </w:r>
      <w:r>
        <w:rPr>
          <w:rFonts w:hint="eastAsia" w:ascii="MS UI Gothic" w:eastAsia="MS UI Gothic"/>
          <w:w w:val="80"/>
        </w:rPr>
        <w:t>ꎻ</w:t>
      </w:r>
    </w:p>
    <w:p>
      <w:pPr>
        <w:pStyle w:val="6"/>
        <w:spacing w:before="1" w:line="300"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对经责令整改仍不具备安全生</w:t>
      </w:r>
      <w:r>
        <w:t>产条件的生产经营单位</w:t>
      </w:r>
      <w:r>
        <w:rPr>
          <w:rFonts w:hint="eastAsia" w:ascii="MS UI Gothic" w:eastAsia="MS UI Gothic"/>
          <w:w w:val="80"/>
        </w:rPr>
        <w:t xml:space="preserve">ꎬ </w:t>
      </w:r>
      <w:r>
        <w:t>不撤销原行政许</w:t>
      </w:r>
      <w:r>
        <w:rPr>
          <w:w w:val="105"/>
        </w:rPr>
        <w:t>可</w:t>
      </w:r>
      <w:r>
        <w:rPr>
          <w:rFonts w:hint="eastAsia" w:ascii="MS UI Gothic" w:eastAsia="MS UI Gothic"/>
          <w:w w:val="80"/>
        </w:rPr>
        <w:t xml:space="preserve">、 </w:t>
      </w:r>
      <w:r>
        <w:rPr>
          <w:w w:val="105"/>
        </w:rPr>
        <w:t>审批或者不依法查处的</w:t>
      </w:r>
      <w:r>
        <w:rPr>
          <w:rFonts w:hint="eastAsia" w:ascii="MS UI Gothic" w:eastAsia="MS UI Gothic"/>
          <w:w w:val="80"/>
        </w:rPr>
        <w:t>ꎻ</w:t>
      </w:r>
    </w:p>
    <w:p>
      <w:pPr>
        <w:pStyle w:val="6"/>
        <w:spacing w:line="300"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违法委托单位或者个人行使有</w:t>
      </w:r>
      <w:r>
        <w:t>关安全生产的行政许可权或者审批权的</w:t>
      </w:r>
      <w:r>
        <w:rPr>
          <w:rFonts w:hint="eastAsia" w:ascii="MS UI Gothic" w:eastAsia="MS UI Gothic"/>
          <w:w w:val="80"/>
        </w:rPr>
        <w:t>ꎻ</w:t>
      </w:r>
    </w:p>
    <w:p>
      <w:pPr>
        <w:pStyle w:val="6"/>
        <w:spacing w:line="297" w:lineRule="auto"/>
        <w:ind w:left="381" w:right="126"/>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有其他违反规定实施安全生产</w:t>
      </w:r>
      <w:r>
        <w:rPr>
          <w:w w:val="110"/>
        </w:rPr>
        <w:t>行政许可或者审批行为的</w:t>
      </w:r>
      <w:r>
        <w:rPr>
          <w:rFonts w:hint="eastAsia" w:ascii="MS UI Gothic" w:eastAsia="MS UI Gothic"/>
          <w:w w:val="80"/>
        </w:rPr>
        <w:t>ꎮ</w:t>
      </w:r>
    </w:p>
    <w:p>
      <w:pPr>
        <w:pStyle w:val="6"/>
        <w:spacing w:line="300" w:lineRule="auto"/>
        <w:ind w:left="381" w:right="126"/>
        <w:rPr>
          <w:rFonts w:hint="eastAsia" w:ascii="MS UI Gothic" w:eastAsia="MS UI Gothic"/>
        </w:rPr>
      </w:pPr>
      <w:r>
        <w:rPr>
          <w:w w:val="105"/>
        </w:rPr>
        <w:t xml:space="preserve">第六条  </w:t>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批准向合法的生产经营单位或者经营者超量提供剧毒品</w:t>
      </w:r>
      <w:r>
        <w:rPr>
          <w:rFonts w:hint="eastAsia" w:ascii="MS UI Gothic" w:eastAsia="MS UI Gothic"/>
          <w:w w:val="80"/>
        </w:rPr>
        <w:t xml:space="preserve">、 </w:t>
      </w:r>
      <w:r>
        <w:rPr>
          <w:w w:val="105"/>
        </w:rPr>
        <w:t>火工品等危险物资</w:t>
      </w:r>
      <w:r>
        <w:rPr>
          <w:rFonts w:hint="eastAsia" w:ascii="MS UI Gothic" w:eastAsia="MS UI Gothic"/>
          <w:w w:val="80"/>
        </w:rPr>
        <w:t xml:space="preserve">ꎬ </w:t>
      </w:r>
      <w:r>
        <w:rPr>
          <w:w w:val="105"/>
        </w:rPr>
        <w:t>造成后果的</w:t>
      </w:r>
      <w:r>
        <w:rPr>
          <w:rFonts w:hint="eastAsia" w:ascii="MS UI Gothic" w:eastAsia="MS UI Gothic"/>
          <w:w w:val="80"/>
        </w:rPr>
        <w:t>ꎻ</w:t>
      </w:r>
    </w:p>
    <w:p>
      <w:pPr>
        <w:pStyle w:val="6"/>
        <w:spacing w:line="300"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批准向非法或者不具备安全生</w:t>
      </w:r>
      <w:r>
        <w:t>产条件的生产经营单位或者经营者</w:t>
      </w:r>
      <w:r>
        <w:rPr>
          <w:rFonts w:hint="eastAsia" w:ascii="MS UI Gothic" w:eastAsia="MS UI Gothic"/>
          <w:w w:val="80"/>
        </w:rPr>
        <w:t xml:space="preserve">ꎬ </w:t>
      </w:r>
      <w:r>
        <w:t>提供</w:t>
      </w:r>
      <w:r>
        <w:rPr>
          <w:w w:val="105"/>
        </w:rPr>
        <w:t>剧毒品</w:t>
      </w:r>
      <w:r>
        <w:rPr>
          <w:rFonts w:hint="eastAsia" w:ascii="MS UI Gothic" w:eastAsia="MS UI Gothic"/>
          <w:w w:val="80"/>
        </w:rPr>
        <w:t xml:space="preserve">、 </w:t>
      </w:r>
      <w:r>
        <w:rPr>
          <w:w w:val="105"/>
        </w:rPr>
        <w:t>火工品等危险物资或者其他生产经营条件的</w:t>
      </w:r>
      <w:r>
        <w:rPr>
          <w:rFonts w:hint="eastAsia" w:ascii="MS UI Gothic" w:eastAsia="MS UI Gothic"/>
          <w:w w:val="80"/>
        </w:rPr>
        <w:t>ꎮ</w:t>
      </w:r>
    </w:p>
    <w:p>
      <w:pPr>
        <w:pStyle w:val="6"/>
        <w:spacing w:line="300" w:lineRule="auto"/>
        <w:ind w:left="381" w:right="126"/>
        <w:rPr>
          <w:rFonts w:hint="eastAsia" w:ascii="MS UI Gothic" w:eastAsia="MS UI Gothic"/>
        </w:rPr>
      </w:pPr>
      <w:r>
        <w:rPr>
          <w:w w:val="105"/>
        </w:rPr>
        <w:t>第七条 国家行政机关公务员利用职</w:t>
      </w:r>
      <w:r>
        <w:t>权或者职务上的影响</w:t>
      </w:r>
      <w:r>
        <w:rPr>
          <w:rFonts w:hint="eastAsia" w:ascii="MS UI Gothic" w:eastAsia="MS UI Gothic"/>
          <w:w w:val="80"/>
        </w:rPr>
        <w:t xml:space="preserve">ꎬ </w:t>
      </w:r>
      <w:r>
        <w:t>违反规定为个人和</w:t>
      </w:r>
      <w:r>
        <w:rPr>
          <w:w w:val="105"/>
        </w:rPr>
        <w:t>亲友谋取私利</w:t>
      </w:r>
      <w:r>
        <w:rPr>
          <w:rFonts w:hint="eastAsia" w:ascii="MS UI Gothic" w:eastAsia="MS UI Gothic"/>
          <w:w w:val="80"/>
        </w:rPr>
        <w:t xml:space="preserve">ꎬ </w:t>
      </w:r>
      <w:r>
        <w:rPr>
          <w:w w:val="105"/>
        </w:rPr>
        <w:t>有下列行为之一的</w:t>
      </w:r>
      <w:r>
        <w:rPr>
          <w:rFonts w:hint="eastAsia" w:ascii="MS UI Gothic" w:eastAsia="MS UI Gothic"/>
          <w:w w:val="235"/>
        </w:rPr>
        <w:t>:</w:t>
      </w:r>
    </w:p>
    <w:p>
      <w:pPr>
        <w:pStyle w:val="6"/>
        <w:spacing w:line="300"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干预</w:t>
      </w:r>
      <w:r>
        <w:rPr>
          <w:rFonts w:hint="eastAsia" w:ascii="MS UI Gothic" w:eastAsia="MS UI Gothic"/>
          <w:w w:val="80"/>
        </w:rPr>
        <w:t xml:space="preserve">、 </w:t>
      </w:r>
      <w:r>
        <w:rPr>
          <w:w w:val="105"/>
        </w:rPr>
        <w:t>插手安全生产装备</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设施采购或者招标投标等活动的</w:t>
      </w:r>
      <w:r>
        <w:rPr>
          <w:rFonts w:hint="eastAsia" w:ascii="MS UI Gothic" w:eastAsia="MS UI Gothic"/>
          <w:w w:val="80"/>
        </w:rPr>
        <w:t>ꎻ</w:t>
      </w:r>
    </w:p>
    <w:p>
      <w:pPr>
        <w:pStyle w:val="6"/>
        <w:spacing w:line="300"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干预</w:t>
      </w:r>
      <w:r>
        <w:rPr>
          <w:rFonts w:hint="eastAsia" w:ascii="MS UI Gothic" w:eastAsia="MS UI Gothic"/>
          <w:w w:val="80"/>
        </w:rPr>
        <w:t xml:space="preserve">、 </w:t>
      </w:r>
      <w:r>
        <w:rPr>
          <w:w w:val="105"/>
        </w:rPr>
        <w:t>插手安全生产行政许可</w:t>
      </w:r>
      <w:r>
        <w:rPr>
          <w:rFonts w:hint="eastAsia" w:ascii="MS UI Gothic" w:eastAsia="MS UI Gothic"/>
          <w:w w:val="80"/>
        </w:rPr>
        <w:t xml:space="preserve">、 </w:t>
      </w:r>
      <w:r>
        <w:rPr>
          <w:w w:val="105"/>
        </w:rPr>
        <w:t>审批或者安全生产监督执法的</w:t>
      </w:r>
      <w:r>
        <w:rPr>
          <w:rFonts w:hint="eastAsia" w:ascii="MS UI Gothic" w:eastAsia="MS UI Gothic"/>
          <w:w w:val="80"/>
        </w:rPr>
        <w:t>ꎻ</w:t>
      </w:r>
    </w:p>
    <w:p>
      <w:pPr>
        <w:pStyle w:val="6"/>
        <w:spacing w:line="300" w:lineRule="auto"/>
        <w:ind w:left="381" w:right="126"/>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干预</w:t>
      </w:r>
      <w:r>
        <w:rPr>
          <w:rFonts w:hint="eastAsia" w:ascii="MS UI Gothic" w:eastAsia="MS UI Gothic"/>
          <w:w w:val="80"/>
        </w:rPr>
        <w:t xml:space="preserve">、 </w:t>
      </w:r>
      <w:r>
        <w:rPr>
          <w:w w:val="110"/>
        </w:rPr>
        <w:t>插手安全生产中介活动的</w:t>
      </w:r>
      <w:r>
        <w:rPr>
          <w:rFonts w:hint="eastAsia" w:ascii="MS UI Gothic" w:eastAsia="MS UI Gothic"/>
          <w:w w:val="80"/>
        </w:rPr>
        <w:t>ꎻ</w:t>
      </w:r>
    </w:p>
    <w:p>
      <w:pPr>
        <w:pStyle w:val="6"/>
        <w:spacing w:line="300"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有其他干预</w:t>
      </w:r>
      <w:r>
        <w:rPr>
          <w:rFonts w:hint="eastAsia" w:ascii="MS UI Gothic" w:eastAsia="MS UI Gothic"/>
          <w:w w:val="80"/>
        </w:rPr>
        <w:t xml:space="preserve">、 </w:t>
      </w:r>
      <w:r>
        <w:rPr>
          <w:w w:val="105"/>
        </w:rPr>
        <w:t>插手生产经营活动危及安全生产行为的</w:t>
      </w:r>
      <w:r>
        <w:rPr>
          <w:rFonts w:hint="eastAsia" w:ascii="MS UI Gothic" w:eastAsia="MS UI Gothic"/>
          <w:w w:val="80"/>
        </w:rPr>
        <w:t>ꎮ</w:t>
      </w:r>
    </w:p>
    <w:p>
      <w:pPr>
        <w:pStyle w:val="6"/>
        <w:spacing w:line="300" w:lineRule="auto"/>
        <w:ind w:left="381" w:right="126"/>
      </w:pPr>
      <w:r>
        <w:t>第八条 国家行政机关及其公务员有下列行为之一的</w:t>
      </w:r>
      <w:r>
        <w:rPr>
          <w:rFonts w:hint="eastAsia" w:ascii="MS UI Gothic" w:eastAsia="MS UI Gothic"/>
          <w:w w:val="80"/>
        </w:rPr>
        <w:t xml:space="preserve">ꎬ </w:t>
      </w:r>
      <w:r>
        <w:t>对有关责任人员</w:t>
      </w:r>
      <w:r>
        <w:rPr>
          <w:rFonts w:hint="eastAsia" w:ascii="MS UI Gothic" w:eastAsia="MS UI Gothic"/>
          <w:w w:val="80"/>
        </w:rPr>
        <w:t xml:space="preserve">ꎬ </w:t>
      </w:r>
      <w:r>
        <w:t>给予警告</w:t>
      </w:r>
      <w:r>
        <w:rPr>
          <w:rFonts w:hint="eastAsia" w:ascii="MS UI Gothic" w:eastAsia="MS UI Gothic"/>
          <w:w w:val="80"/>
        </w:rPr>
        <w:t xml:space="preserve">、 </w:t>
      </w:r>
      <w:r>
        <w:t>记过或者记大过处分</w:t>
      </w:r>
      <w:r>
        <w:rPr>
          <w:rFonts w:hint="eastAsia" w:ascii="MS UI Gothic" w:eastAsia="MS UI Gothic"/>
          <w:w w:val="80"/>
        </w:rPr>
        <w:t xml:space="preserve">ꎻ </w:t>
      </w:r>
      <w:r>
        <w:t>情节较重的</w:t>
      </w:r>
      <w:r>
        <w:rPr>
          <w:rFonts w:hint="eastAsia" w:ascii="MS UI Gothic" w:eastAsia="MS UI Gothic"/>
          <w:w w:val="80"/>
        </w:rPr>
        <w:t xml:space="preserve">ꎬ </w:t>
      </w:r>
      <w:r>
        <w:t>给予降级或者撤职处分</w:t>
      </w:r>
      <w:r>
        <w:rPr>
          <w:rFonts w:hint="eastAsia" w:ascii="MS UI Gothic" w:eastAsia="MS UI Gothic"/>
          <w:w w:val="80"/>
        </w:rPr>
        <w:t xml:space="preserve">ꎻ </w:t>
      </w:r>
      <w:r>
        <w:t>情节严重</w:t>
      </w:r>
    </w:p>
    <w:p>
      <w:pPr>
        <w:spacing w:after="0" w:line="300" w:lineRule="auto"/>
        <w:sectPr>
          <w:type w:val="continuous"/>
          <w:pgSz w:w="10500" w:h="14750"/>
          <w:pgMar w:top="1400" w:right="980" w:bottom="280" w:left="980" w:header="720" w:footer="720" w:gutter="0"/>
          <w:cols w:equalWidth="0" w:num="2">
            <w:col w:w="4212" w:space="40"/>
            <w:col w:w="4288"/>
          </w:cols>
        </w:sectPr>
      </w:pPr>
    </w:p>
    <w:p>
      <w:pPr>
        <w:tabs>
          <w:tab w:val="left" w:pos="2426"/>
        </w:tabs>
        <w:spacing w:before="162"/>
        <w:ind w:left="280" w:right="0" w:firstLine="0"/>
        <w:jc w:val="left"/>
        <w:rPr>
          <w:rFonts w:hint="eastAsia" w:ascii="Microsoft Yi Baiti" w:eastAsia="Microsoft Yi Baiti"/>
          <w:sz w:val="17"/>
        </w:rPr>
      </w:pPr>
      <w:r>
        <w:pict>
          <v:group id="_x0000_s1403" o:spid="_x0000_s1403" o:spt="203" style="position:absolute;left:0pt;margin-left:55.1pt;margin-top:23.85pt;height:2.15pt;width:398.25pt;mso-position-horizontal-relative:page;mso-wrap-distance-bottom:0pt;mso-wrap-distance-top:0pt;z-index:-251506688;mso-width-relative:page;mso-height-relative:page;" coordorigin="1103,477" coordsize="7965,43">
            <o:lock v:ext="edit"/>
            <v:line id="_x0000_s1404" o:spid="_x0000_s1404" o:spt="20" style="position:absolute;left:1103;top:516;height:0;width:7964;" stroked="t" coordsize="21600,21600">
              <v:path arrowok="t"/>
              <v:fill focussize="0,0"/>
              <v:stroke weight="0.388031496062992pt" color="#231F20"/>
              <v:imagedata o:title=""/>
              <o:lock v:ext="edit"/>
            </v:line>
            <v:line id="_x0000_s1405" o:spid="_x0000_s1405"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１２０</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316"/>
        </w:tabs>
        <w:spacing w:before="163" w:line="240" w:lineRule="exact"/>
        <w:ind w:firstLine="0"/>
        <w:jc w:val="left"/>
      </w:pPr>
      <w:r>
        <w:rPr>
          <w:spacing w:val="3"/>
          <w:w w:val="105"/>
        </w:rPr>
        <w:t>的</w:t>
      </w:r>
      <w:r>
        <w:rPr>
          <w:rFonts w:hint="eastAsia" w:ascii="MS UI Gothic" w:eastAsia="MS UI Gothic"/>
          <w:w w:val="80"/>
        </w:rPr>
        <w:t>ꎬ</w:t>
      </w:r>
      <w:r>
        <w:rPr>
          <w:rFonts w:hint="eastAsia" w:ascii="MS UI Gothic" w:eastAsia="MS UI Gothic"/>
          <w:spacing w:val="21"/>
          <w:w w:val="80"/>
        </w:rPr>
        <w:t xml:space="preserve"> </w:t>
      </w:r>
      <w:r>
        <w:rPr>
          <w:spacing w:val="3"/>
          <w:w w:val="105"/>
        </w:rPr>
        <w:t>给予开除处分</w:t>
      </w:r>
      <w:r>
        <w:rPr>
          <w:rFonts w:hint="eastAsia" w:ascii="MS UI Gothic" w:eastAsia="MS UI Gothic"/>
          <w:w w:val="235"/>
        </w:rPr>
        <w:t>:</w:t>
      </w:r>
      <w:r>
        <w:rPr>
          <w:rFonts w:hint="eastAsia" w:ascii="MS UI Gothic" w:eastAsia="MS UI Gothic"/>
          <w:w w:val="235"/>
        </w:rPr>
        <w:tab/>
      </w:r>
      <w:r>
        <w:rPr>
          <w:spacing w:val="3"/>
          <w:w w:val="105"/>
        </w:rPr>
        <w:t>财物</w:t>
      </w:r>
      <w:r>
        <w:rPr>
          <w:rFonts w:hint="eastAsia" w:ascii="MS UI Gothic" w:eastAsia="MS UI Gothic"/>
          <w:w w:val="80"/>
        </w:rPr>
        <w:t>ꎬ</w:t>
      </w:r>
      <w:r>
        <w:rPr>
          <w:rFonts w:hint="eastAsia" w:ascii="MS UI Gothic" w:eastAsia="MS UI Gothic"/>
          <w:spacing w:val="28"/>
          <w:w w:val="80"/>
        </w:rPr>
        <w:t xml:space="preserve"> </w:t>
      </w:r>
      <w:r>
        <w:rPr>
          <w:spacing w:val="3"/>
          <w:w w:val="105"/>
        </w:rPr>
        <w:t>或者非法收受他人财物</w:t>
      </w:r>
      <w:r>
        <w:rPr>
          <w:rFonts w:hint="eastAsia" w:ascii="MS UI Gothic" w:eastAsia="MS UI Gothic"/>
          <w:w w:val="80"/>
        </w:rPr>
        <w:t>ꎬ</w:t>
      </w:r>
      <w:r>
        <w:rPr>
          <w:rFonts w:hint="eastAsia" w:ascii="MS UI Gothic" w:eastAsia="MS UI Gothic"/>
          <w:spacing w:val="29"/>
          <w:w w:val="80"/>
        </w:rPr>
        <w:t xml:space="preserve"> </w:t>
      </w:r>
      <w:r>
        <w:rPr>
          <w:spacing w:val="3"/>
          <w:w w:val="105"/>
        </w:rPr>
        <w:t>在安全</w:t>
      </w:r>
      <w:r>
        <w:rPr>
          <w:w w:val="105"/>
        </w:rPr>
        <w:t>生</w:t>
      </w:r>
    </w:p>
    <w:p>
      <w:pPr>
        <w:spacing w:after="0" w:line="240" w:lineRule="exact"/>
        <w:jc w:val="left"/>
        <w:sectPr>
          <w:pgSz w:w="10500" w:h="14750"/>
          <w:pgMar w:top="960" w:right="980" w:bottom="280" w:left="980" w:header="720" w:footer="720" w:gutter="0"/>
        </w:sectPr>
      </w:pPr>
    </w:p>
    <w:p>
      <w:pPr>
        <w:pStyle w:val="6"/>
        <w:spacing w:before="74"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未按照有关规定对有关单位申报的新建</w:t>
      </w:r>
      <w:r>
        <w:rPr>
          <w:rFonts w:hint="eastAsia" w:ascii="MS UI Gothic" w:eastAsia="MS UI Gothic"/>
          <w:w w:val="80"/>
        </w:rPr>
        <w:t xml:space="preserve">、 </w:t>
      </w:r>
      <w:r>
        <w:rPr>
          <w:w w:val="105"/>
        </w:rPr>
        <w:t>改建</w:t>
      </w:r>
      <w:r>
        <w:rPr>
          <w:rFonts w:hint="eastAsia" w:ascii="MS UI Gothic" w:eastAsia="MS UI Gothic"/>
          <w:w w:val="80"/>
        </w:rPr>
        <w:t xml:space="preserve">、 </w:t>
      </w:r>
      <w:r>
        <w:rPr>
          <w:w w:val="105"/>
        </w:rPr>
        <w:t>扩建工程项目的安全设施</w:t>
      </w:r>
      <w:r>
        <w:rPr>
          <w:rFonts w:hint="eastAsia" w:ascii="MS UI Gothic" w:eastAsia="MS UI Gothic"/>
          <w:w w:val="80"/>
        </w:rPr>
        <w:t xml:space="preserve">ꎬ </w:t>
      </w:r>
      <w:r>
        <w:rPr>
          <w:w w:val="105"/>
        </w:rPr>
        <w:t>与主体工程同时设计</w:t>
      </w:r>
      <w:r>
        <w:rPr>
          <w:rFonts w:hint="eastAsia" w:ascii="MS UI Gothic" w:eastAsia="MS UI Gothic"/>
          <w:w w:val="80"/>
        </w:rPr>
        <w:t xml:space="preserve">、 </w:t>
      </w:r>
      <w:r>
        <w:rPr>
          <w:w w:val="105"/>
        </w:rPr>
        <w:t>同时施工</w:t>
      </w:r>
      <w:r>
        <w:rPr>
          <w:rFonts w:hint="eastAsia" w:ascii="MS UI Gothic" w:eastAsia="MS UI Gothic"/>
          <w:w w:val="80"/>
        </w:rPr>
        <w:t xml:space="preserve">、 </w:t>
      </w:r>
      <w:r>
        <w:rPr>
          <w:w w:val="105"/>
        </w:rPr>
        <w:t>同时投入生产和使用中组织审查验收的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发现存在重大安全隐患</w:t>
      </w:r>
      <w:r>
        <w:rPr>
          <w:rFonts w:hint="eastAsia" w:ascii="MS UI Gothic" w:eastAsia="MS UI Gothic"/>
          <w:w w:val="80"/>
        </w:rPr>
        <w:t xml:space="preserve">ꎬ </w:t>
      </w:r>
      <w:r>
        <w:rPr>
          <w:w w:val="105"/>
        </w:rPr>
        <w:t>未按</w:t>
      </w:r>
      <w:r>
        <w:t>规定采取措施</w:t>
      </w:r>
      <w:r>
        <w:rPr>
          <w:rFonts w:hint="eastAsia" w:ascii="MS UI Gothic" w:eastAsia="MS UI Gothic"/>
          <w:w w:val="80"/>
        </w:rPr>
        <w:t xml:space="preserve">ꎬ </w:t>
      </w:r>
      <w:r>
        <w:t>导致生产安全事故发</w:t>
      </w:r>
      <w:r>
        <w:rPr>
          <w:w w:val="105"/>
        </w:rPr>
        <w:t>生的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对发生的生产安全事故瞒报</w:t>
      </w:r>
      <w:r>
        <w:rPr>
          <w:rFonts w:hint="eastAsia" w:ascii="MS UI Gothic" w:eastAsia="MS UI Gothic"/>
          <w:w w:val="80"/>
        </w:rPr>
        <w:t>、</w:t>
      </w:r>
      <w:r>
        <w:rPr>
          <w:w w:val="105"/>
        </w:rPr>
        <w:t>谎报</w:t>
      </w:r>
      <w:r>
        <w:rPr>
          <w:rFonts w:hint="eastAsia" w:ascii="MS UI Gothic" w:eastAsia="MS UI Gothic"/>
          <w:w w:val="80"/>
        </w:rPr>
        <w:t xml:space="preserve">、 </w:t>
      </w:r>
      <w:r>
        <w:rPr>
          <w:w w:val="105"/>
        </w:rPr>
        <w:t>拖延不报</w:t>
      </w:r>
      <w:r>
        <w:rPr>
          <w:rFonts w:hint="eastAsia" w:ascii="MS UI Gothic" w:eastAsia="MS UI Gothic"/>
          <w:w w:val="80"/>
        </w:rPr>
        <w:t xml:space="preserve">ꎬ </w:t>
      </w:r>
      <w:r>
        <w:rPr>
          <w:w w:val="105"/>
        </w:rPr>
        <w:t>或者组织</w:t>
      </w:r>
      <w:r>
        <w:rPr>
          <w:rFonts w:hint="eastAsia" w:ascii="MS UI Gothic" w:eastAsia="MS UI Gothic"/>
          <w:w w:val="80"/>
        </w:rPr>
        <w:t xml:space="preserve">、 </w:t>
      </w:r>
      <w:r>
        <w:rPr>
          <w:w w:val="105"/>
        </w:rPr>
        <w:t>参与瞒报</w:t>
      </w:r>
      <w:r>
        <w:rPr>
          <w:rFonts w:hint="eastAsia" w:ascii="MS UI Gothic" w:eastAsia="MS UI Gothic"/>
          <w:w w:val="80"/>
        </w:rPr>
        <w:t>、</w:t>
      </w:r>
      <w:r>
        <w:rPr>
          <w:w w:val="105"/>
        </w:rPr>
        <w:t>谎报</w:t>
      </w:r>
      <w:r>
        <w:rPr>
          <w:rFonts w:hint="eastAsia" w:ascii="MS UI Gothic" w:eastAsia="MS UI Gothic"/>
          <w:w w:val="80"/>
        </w:rPr>
        <w:t xml:space="preserve">、 </w:t>
      </w:r>
      <w:r>
        <w:rPr>
          <w:w w:val="105"/>
        </w:rPr>
        <w:t>拖延不报的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生产安全事故发生后</w:t>
      </w:r>
      <w:r>
        <w:rPr>
          <w:rFonts w:hint="eastAsia" w:ascii="MS UI Gothic" w:eastAsia="MS UI Gothic"/>
          <w:w w:val="80"/>
        </w:rPr>
        <w:t xml:space="preserve">ꎬ </w:t>
      </w:r>
      <w:r>
        <w:rPr>
          <w:w w:val="105"/>
        </w:rPr>
        <w:t>不及时组织抢救的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对生产安全事故的防范</w:t>
      </w:r>
      <w:r>
        <w:rPr>
          <w:rFonts w:hint="eastAsia" w:ascii="MS UI Gothic" w:eastAsia="MS UI Gothic"/>
          <w:w w:val="80"/>
        </w:rPr>
        <w:t xml:space="preserve">、 </w:t>
      </w:r>
      <w:r>
        <w:rPr>
          <w:w w:val="105"/>
        </w:rPr>
        <w:t>报告</w:t>
      </w:r>
      <w:r>
        <w:rPr>
          <w:rFonts w:hint="eastAsia" w:ascii="MS UI Gothic" w:eastAsia="MS UI Gothic"/>
          <w:w w:val="80"/>
        </w:rPr>
        <w:t xml:space="preserve">、 </w:t>
      </w:r>
      <w:r>
        <w:rPr>
          <w:w w:val="105"/>
        </w:rPr>
        <w:t>应急救援有其他失职</w:t>
      </w:r>
      <w:r>
        <w:rPr>
          <w:rFonts w:hint="eastAsia" w:ascii="MS UI Gothic" w:eastAsia="MS UI Gothic"/>
          <w:w w:val="80"/>
        </w:rPr>
        <w:t xml:space="preserve">、 </w:t>
      </w:r>
      <w:r>
        <w:rPr>
          <w:w w:val="105"/>
        </w:rPr>
        <w:t>渎职行为的</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第九条 国家行政机关及其公务员有</w:t>
      </w:r>
      <w:r>
        <w:t>下列行为之一的</w:t>
      </w:r>
      <w:r>
        <w:rPr>
          <w:rFonts w:hint="eastAsia" w:ascii="MS UI Gothic" w:eastAsia="MS UI Gothic"/>
          <w:w w:val="80"/>
        </w:rPr>
        <w:t xml:space="preserve">ꎬ </w:t>
      </w:r>
      <w:r>
        <w:t>对有关责任人员</w:t>
      </w:r>
      <w:r>
        <w:rPr>
          <w:rFonts w:hint="eastAsia" w:ascii="MS UI Gothic" w:eastAsia="MS UI Gothic"/>
          <w:w w:val="80"/>
        </w:rPr>
        <w:t xml:space="preserve">ꎬ </w:t>
      </w:r>
      <w:r>
        <w:t>给予</w:t>
      </w:r>
      <w:r>
        <w:rPr>
          <w:w w:val="105"/>
        </w:rPr>
        <w:t>警告</w:t>
      </w:r>
      <w:r>
        <w:rPr>
          <w:rFonts w:hint="eastAsia" w:ascii="MS UI Gothic" w:eastAsia="MS UI Gothic"/>
          <w:w w:val="80"/>
        </w:rPr>
        <w:t xml:space="preserve">、 </w:t>
      </w:r>
      <w:r>
        <w:rPr>
          <w:w w:val="105"/>
        </w:rPr>
        <w:t>记过或者记大过处分</w:t>
      </w:r>
      <w:r>
        <w:rPr>
          <w:rFonts w:hint="eastAsia" w:ascii="MS UI Gothic" w:eastAsia="MS UI Gothic"/>
          <w:w w:val="80"/>
        </w:rPr>
        <w:t xml:space="preserve">ꎻ </w:t>
      </w:r>
      <w:r>
        <w:rPr>
          <w:w w:val="105"/>
        </w:rPr>
        <w:t>情节较重</w:t>
      </w:r>
      <w:r>
        <w:t>的</w:t>
      </w:r>
      <w:r>
        <w:rPr>
          <w:rFonts w:hint="eastAsia" w:ascii="MS UI Gothic" w:eastAsia="MS UI Gothic"/>
          <w:w w:val="80"/>
        </w:rPr>
        <w:t xml:space="preserve">ꎬ </w:t>
      </w:r>
      <w:r>
        <w:t>给予降级或者撤职处分</w:t>
      </w:r>
      <w:r>
        <w:rPr>
          <w:rFonts w:hint="eastAsia" w:ascii="MS UI Gothic" w:eastAsia="MS UI Gothic"/>
          <w:w w:val="80"/>
        </w:rPr>
        <w:t xml:space="preserve">ꎻ </w:t>
      </w:r>
      <w:r>
        <w:t>情节严重</w:t>
      </w:r>
      <w:r>
        <w:rPr>
          <w:w w:val="105"/>
        </w:rPr>
        <w:t>的</w:t>
      </w:r>
      <w:r>
        <w:rPr>
          <w:rFonts w:hint="eastAsia" w:ascii="MS UI Gothic" w:eastAsia="MS UI Gothic"/>
          <w:w w:val="80"/>
        </w:rPr>
        <w:t xml:space="preserve">ꎬ </w:t>
      </w:r>
      <w:r>
        <w:rPr>
          <w:w w:val="105"/>
        </w:rPr>
        <w:t>给予开除处分</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阻挠</w:t>
      </w:r>
      <w:r>
        <w:rPr>
          <w:rFonts w:hint="eastAsia" w:ascii="MS UI Gothic" w:eastAsia="MS UI Gothic"/>
          <w:w w:val="80"/>
        </w:rPr>
        <w:t xml:space="preserve">、 </w:t>
      </w:r>
      <w:r>
        <w:rPr>
          <w:w w:val="105"/>
        </w:rPr>
        <w:t>干涉生产安全事故调查工作的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阻挠</w:t>
      </w:r>
      <w:r>
        <w:rPr>
          <w:rFonts w:hint="eastAsia" w:ascii="MS UI Gothic" w:eastAsia="MS UI Gothic"/>
          <w:w w:val="80"/>
        </w:rPr>
        <w:t xml:space="preserve">、 </w:t>
      </w:r>
      <w:r>
        <w:rPr>
          <w:w w:val="105"/>
        </w:rPr>
        <w:t>干涉对事故责任人员进行责任追究的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不执行对事故责任人员的处理</w:t>
      </w:r>
      <w:r>
        <w:t>决定</w:t>
      </w:r>
      <w:r>
        <w:rPr>
          <w:rFonts w:hint="eastAsia" w:ascii="MS UI Gothic" w:eastAsia="MS UI Gothic"/>
          <w:w w:val="80"/>
        </w:rPr>
        <w:t xml:space="preserve">ꎬ </w:t>
      </w:r>
      <w:r>
        <w:t>或者擅自改变上级机关批复的对事</w:t>
      </w:r>
      <w:r>
        <w:rPr>
          <w:w w:val="105"/>
        </w:rPr>
        <w:t>故责任人员的处理意见的</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第十条 国家行政机关公务员有下列</w:t>
      </w:r>
      <w:r>
        <w:t>行为之一的</w:t>
      </w:r>
      <w:r>
        <w:rPr>
          <w:rFonts w:hint="eastAsia" w:ascii="MS UI Gothic" w:eastAsia="MS UI Gothic"/>
          <w:w w:val="80"/>
        </w:rPr>
        <w:t xml:space="preserve">ꎬ </w:t>
      </w:r>
      <w:r>
        <w:t>给予警告</w:t>
      </w:r>
      <w:r>
        <w:rPr>
          <w:rFonts w:hint="eastAsia" w:ascii="MS UI Gothic" w:eastAsia="MS UI Gothic"/>
        </w:rPr>
        <w:t xml:space="preserve">、 </w:t>
      </w:r>
      <w:r>
        <w:t>记过或者记大过处分</w:t>
      </w:r>
      <w:r>
        <w:rPr>
          <w:rFonts w:hint="eastAsia" w:ascii="MS UI Gothic" w:eastAsia="MS UI Gothic"/>
          <w:w w:val="80"/>
        </w:rPr>
        <w:t xml:space="preserve">ꎻ </w:t>
      </w:r>
      <w:r>
        <w:t>情节较重的</w:t>
      </w:r>
      <w:r>
        <w:rPr>
          <w:rFonts w:hint="eastAsia" w:ascii="MS UI Gothic" w:eastAsia="MS UI Gothic"/>
          <w:w w:val="80"/>
        </w:rPr>
        <w:t xml:space="preserve">ꎬ </w:t>
      </w:r>
      <w:r>
        <w:t>给予降级或者撤职处</w:t>
      </w:r>
      <w:r>
        <w:rPr>
          <w:w w:val="105"/>
        </w:rPr>
        <w:t>分</w:t>
      </w:r>
      <w:r>
        <w:rPr>
          <w:rFonts w:hint="eastAsia" w:ascii="MS UI Gothic" w:eastAsia="MS UI Gothic"/>
          <w:w w:val="80"/>
        </w:rPr>
        <w:t xml:space="preserve">ꎻ </w:t>
      </w:r>
      <w:r>
        <w:rPr>
          <w:w w:val="105"/>
        </w:rPr>
        <w:t>情节严重的</w:t>
      </w:r>
      <w:r>
        <w:rPr>
          <w:rFonts w:hint="eastAsia" w:ascii="MS UI Gothic" w:eastAsia="MS UI Gothic"/>
          <w:w w:val="80"/>
        </w:rPr>
        <w:t xml:space="preserve">ꎬ </w:t>
      </w:r>
      <w:r>
        <w:rPr>
          <w:w w:val="105"/>
        </w:rPr>
        <w:t>给予开除处分</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本人及其配偶</w:t>
      </w:r>
      <w:r>
        <w:rPr>
          <w:rFonts w:hint="eastAsia" w:ascii="MS UI Gothic" w:eastAsia="MS UI Gothic"/>
          <w:w w:val="80"/>
        </w:rPr>
        <w:t xml:space="preserve">、  </w:t>
      </w:r>
      <w:r>
        <w:rPr>
          <w:w w:val="105"/>
        </w:rPr>
        <w:t>子女及其配偶</w:t>
      </w:r>
      <w:r>
        <w:t>违反规定在煤矿等企业投资入股或者在安</w:t>
      </w:r>
      <w:r>
        <w:rPr>
          <w:w w:val="105"/>
        </w:rPr>
        <w:t>全生产领域经商办企业的</w:t>
      </w:r>
      <w:r>
        <w:rPr>
          <w:rFonts w:hint="eastAsia" w:ascii="MS UI Gothic" w:eastAsia="MS UI Gothic"/>
          <w:w w:val="80"/>
        </w:rPr>
        <w:t>ꎻ</w:t>
      </w:r>
    </w:p>
    <w:p>
      <w:pPr>
        <w:pStyle w:val="6"/>
        <w:spacing w:line="295" w:lineRule="auto"/>
        <w:ind w:right="39"/>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违反规定从事安全生产中介活</w:t>
      </w:r>
      <w:r>
        <w:rPr>
          <w:w w:val="110"/>
        </w:rPr>
        <w:t>动或者其他营利活动的</w:t>
      </w:r>
      <w:r>
        <w:rPr>
          <w:rFonts w:hint="eastAsia" w:ascii="MS UI Gothic" w:eastAsia="MS UI Gothic"/>
          <w:w w:val="80"/>
        </w:rPr>
        <w:t>ꎻ</w:t>
      </w:r>
    </w:p>
    <w:p>
      <w:pPr>
        <w:pStyle w:val="6"/>
        <w:spacing w:line="295" w:lineRule="auto"/>
        <w:ind w:right="39"/>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在事故调查处理时</w:t>
      </w:r>
      <w:r>
        <w:rPr>
          <w:rFonts w:hint="eastAsia" w:ascii="MS UI Gothic" w:eastAsia="MS UI Gothic"/>
          <w:w w:val="80"/>
        </w:rPr>
        <w:t xml:space="preserve">ꎬ </w:t>
      </w:r>
      <w:r>
        <w:rPr>
          <w:w w:val="105"/>
        </w:rPr>
        <w:t>滥用职权</w:t>
      </w:r>
      <w:r>
        <w:rPr>
          <w:rFonts w:hint="eastAsia" w:ascii="MS UI Gothic" w:eastAsia="MS UI Gothic"/>
          <w:w w:val="80"/>
        </w:rPr>
        <w:t xml:space="preserve">、 </w:t>
      </w:r>
      <w:r>
        <w:rPr>
          <w:w w:val="105"/>
        </w:rPr>
        <w:t>玩忽职守</w:t>
      </w:r>
      <w:r>
        <w:rPr>
          <w:rFonts w:hint="eastAsia" w:ascii="MS UI Gothic" w:eastAsia="MS UI Gothic"/>
          <w:w w:val="80"/>
        </w:rPr>
        <w:t xml:space="preserve">、 </w:t>
      </w:r>
      <w:r>
        <w:rPr>
          <w:w w:val="105"/>
        </w:rPr>
        <w:t>徇私舞弊的</w:t>
      </w:r>
      <w:r>
        <w:rPr>
          <w:rFonts w:hint="eastAsia" w:ascii="MS UI Gothic" w:eastAsia="MS UI Gothic"/>
          <w:w w:val="80"/>
        </w:rPr>
        <w:t>ꎻ</w:t>
      </w:r>
    </w:p>
    <w:p>
      <w:pPr>
        <w:pStyle w:val="6"/>
        <w:spacing w:line="255" w:lineRule="exact"/>
        <w:ind w:left="543" w:firstLine="0"/>
        <w:jc w:val="left"/>
      </w:pPr>
      <w:r>
        <w:rPr>
          <w:rFonts w:hint="eastAsia" w:ascii="MS UI Gothic" w:eastAsia="MS UI Gothic"/>
          <w:spacing w:val="-40"/>
          <w:w w:val="140"/>
        </w:rPr>
        <w:t xml:space="preserve">( </w:t>
      </w:r>
      <w:r>
        <w:rPr>
          <w:spacing w:val="3"/>
          <w:w w:val="110"/>
        </w:rPr>
        <w:t>四</w:t>
      </w:r>
      <w:r>
        <w:rPr>
          <w:rFonts w:hint="eastAsia" w:ascii="MS UI Gothic" w:eastAsia="MS UI Gothic"/>
          <w:spacing w:val="-22"/>
          <w:w w:val="140"/>
        </w:rPr>
        <w:t xml:space="preserve">) </w:t>
      </w:r>
      <w:r>
        <w:rPr>
          <w:spacing w:val="5"/>
          <w:w w:val="110"/>
        </w:rPr>
        <w:t>利用职务上的便利</w:t>
      </w:r>
      <w:r>
        <w:rPr>
          <w:rFonts w:hint="eastAsia" w:ascii="MS UI Gothic" w:eastAsia="MS UI Gothic"/>
          <w:spacing w:val="-6"/>
          <w:w w:val="80"/>
        </w:rPr>
        <w:t xml:space="preserve">ꎬ </w:t>
      </w:r>
      <w:r>
        <w:rPr>
          <w:spacing w:val="8"/>
          <w:w w:val="110"/>
        </w:rPr>
        <w:t>索取他人</w:t>
      </w:r>
    </w:p>
    <w:p>
      <w:pPr>
        <w:pStyle w:val="6"/>
        <w:spacing w:before="74"/>
        <w:ind w:firstLine="0"/>
        <w:jc w:val="left"/>
        <w:rPr>
          <w:rFonts w:hint="eastAsia" w:ascii="MS UI Gothic" w:eastAsia="MS UI Gothic"/>
        </w:rPr>
      </w:pPr>
      <w:r>
        <w:br w:type="column"/>
      </w:r>
      <w:r>
        <w:t>产领域为他人谋取利益的</w:t>
      </w:r>
      <w:r>
        <w:rPr>
          <w:rFonts w:hint="eastAsia" w:ascii="MS UI Gothic" w:eastAsia="MS UI Gothic"/>
          <w:w w:val="80"/>
        </w:rPr>
        <w:t>ꎮ</w:t>
      </w:r>
    </w:p>
    <w:p>
      <w:pPr>
        <w:pStyle w:val="6"/>
        <w:spacing w:before="58" w:line="295" w:lineRule="auto"/>
        <w:ind w:right="442"/>
        <w:rPr>
          <w:rFonts w:hint="eastAsia" w:ascii="MS UI Gothic" w:eastAsia="MS UI Gothic"/>
        </w:rPr>
      </w:pPr>
      <w:r>
        <w:t>对国家行政机关公务员本人违反规定投资入股煤矿的处分</w:t>
      </w:r>
      <w:r>
        <w:rPr>
          <w:rFonts w:hint="eastAsia" w:ascii="MS UI Gothic" w:eastAsia="MS UI Gothic"/>
          <w:w w:val="80"/>
        </w:rPr>
        <w:t xml:space="preserve">ꎬ </w:t>
      </w:r>
      <w:r>
        <w:t>法律</w:t>
      </w:r>
      <w:r>
        <w:rPr>
          <w:rFonts w:hint="eastAsia" w:ascii="MS UI Gothic" w:eastAsia="MS UI Gothic"/>
          <w:w w:val="80"/>
        </w:rPr>
        <w:t xml:space="preserve">、 </w:t>
      </w:r>
      <w:r>
        <w:t>法规另有规定的</w:t>
      </w:r>
      <w:r>
        <w:rPr>
          <w:rFonts w:hint="eastAsia" w:ascii="MS UI Gothic" w:eastAsia="MS UI Gothic"/>
          <w:w w:val="80"/>
        </w:rPr>
        <w:t xml:space="preserve">ꎬ </w:t>
      </w:r>
      <w:r>
        <w:t>从其规定</w:t>
      </w:r>
      <w:r>
        <w:rPr>
          <w:rFonts w:hint="eastAsia" w:ascii="MS UI Gothic" w:eastAsia="MS UI Gothic"/>
          <w:w w:val="80"/>
        </w:rPr>
        <w:t>ꎮ</w:t>
      </w:r>
    </w:p>
    <w:p>
      <w:pPr>
        <w:pStyle w:val="6"/>
        <w:spacing w:line="295" w:lineRule="auto"/>
        <w:ind w:right="440"/>
        <w:rPr>
          <w:rFonts w:hint="eastAsia" w:ascii="MS UI Gothic" w:eastAsia="MS UI Gothic"/>
        </w:rPr>
      </w:pPr>
      <w:r>
        <w:t>第十一条 国有企业及其工作人员有下列行为之一的</w:t>
      </w:r>
      <w:r>
        <w:rPr>
          <w:rFonts w:hint="eastAsia" w:ascii="MS UI Gothic" w:eastAsia="MS UI Gothic"/>
          <w:w w:val="80"/>
        </w:rPr>
        <w:t xml:space="preserve">ꎬ </w:t>
      </w:r>
      <w:r>
        <w:t>对有关责任人员</w:t>
      </w:r>
      <w:r>
        <w:rPr>
          <w:rFonts w:hint="eastAsia" w:ascii="MS UI Gothic" w:eastAsia="MS UI Gothic"/>
          <w:w w:val="80"/>
        </w:rPr>
        <w:t xml:space="preserve">ꎬ </w:t>
      </w:r>
      <w:r>
        <w:t>给予警告</w:t>
      </w:r>
      <w:r>
        <w:rPr>
          <w:rFonts w:hint="eastAsia" w:ascii="MS UI Gothic" w:eastAsia="MS UI Gothic"/>
          <w:w w:val="80"/>
        </w:rPr>
        <w:t xml:space="preserve">、 </w:t>
      </w:r>
      <w:r>
        <w:t>记过或者记大过处分</w:t>
      </w:r>
      <w:r>
        <w:rPr>
          <w:rFonts w:hint="eastAsia" w:ascii="MS UI Gothic" w:eastAsia="MS UI Gothic"/>
          <w:w w:val="80"/>
        </w:rPr>
        <w:t xml:space="preserve">ꎻ </w:t>
      </w:r>
      <w:r>
        <w:t>情节较重的</w:t>
      </w:r>
      <w:r>
        <w:rPr>
          <w:rFonts w:hint="eastAsia" w:ascii="MS UI Gothic" w:eastAsia="MS UI Gothic"/>
          <w:w w:val="80"/>
        </w:rPr>
        <w:t xml:space="preserve">ꎬ </w:t>
      </w:r>
      <w:r>
        <w:t>给予降级</w:t>
      </w:r>
      <w:r>
        <w:rPr>
          <w:rFonts w:hint="eastAsia" w:ascii="MS UI Gothic" w:eastAsia="MS UI Gothic"/>
          <w:w w:val="80"/>
        </w:rPr>
        <w:t xml:space="preserve">、 </w:t>
      </w:r>
      <w:r>
        <w:t>撤职或者留用察看处分</w:t>
      </w:r>
      <w:r>
        <w:rPr>
          <w:rFonts w:hint="eastAsia" w:ascii="MS UI Gothic" w:eastAsia="MS UI Gothic"/>
          <w:w w:val="80"/>
        </w:rPr>
        <w:t>ꎻ</w:t>
      </w:r>
      <w:r>
        <w:t>情节严重的</w:t>
      </w:r>
      <w:r>
        <w:rPr>
          <w:rFonts w:hint="eastAsia" w:ascii="MS UI Gothic" w:eastAsia="MS UI Gothic"/>
          <w:w w:val="80"/>
        </w:rPr>
        <w:t xml:space="preserve">ꎬ </w:t>
      </w:r>
      <w:r>
        <w:t>给予开除处分</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未取得安全生产行政许可及相</w:t>
      </w:r>
      <w:r>
        <w:t>关证照或者不具备安全生产条件从事生产</w:t>
      </w:r>
      <w:r>
        <w:rPr>
          <w:w w:val="105"/>
        </w:rPr>
        <w:t>经营活动的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弄虚作假</w:t>
      </w:r>
      <w:r>
        <w:rPr>
          <w:rFonts w:hint="eastAsia" w:ascii="MS UI Gothic" w:eastAsia="MS UI Gothic"/>
          <w:w w:val="80"/>
        </w:rPr>
        <w:t xml:space="preserve">ꎬ </w:t>
      </w:r>
      <w:r>
        <w:rPr>
          <w:w w:val="105"/>
        </w:rPr>
        <w:t>骗取安全生产相关证照的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出借</w:t>
      </w:r>
      <w:r>
        <w:rPr>
          <w:rFonts w:hint="eastAsia" w:ascii="MS UI Gothic" w:eastAsia="MS UI Gothic"/>
          <w:w w:val="80"/>
        </w:rPr>
        <w:t xml:space="preserve">、 </w:t>
      </w:r>
      <w:r>
        <w:rPr>
          <w:w w:val="105"/>
        </w:rPr>
        <w:t>出租</w:t>
      </w:r>
      <w:r>
        <w:rPr>
          <w:rFonts w:hint="eastAsia" w:ascii="MS UI Gothic" w:eastAsia="MS UI Gothic"/>
          <w:w w:val="80"/>
        </w:rPr>
        <w:t xml:space="preserve">、 </w:t>
      </w:r>
      <w:r>
        <w:rPr>
          <w:w w:val="105"/>
        </w:rPr>
        <w:t>转让或者冒用安全生产相关证照的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未按照有关规定保证安全生产</w:t>
      </w:r>
      <w:r>
        <w:t>所必需的资金投入</w:t>
      </w:r>
      <w:r>
        <w:rPr>
          <w:rFonts w:hint="eastAsia" w:ascii="MS UI Gothic" w:eastAsia="MS UI Gothic"/>
          <w:w w:val="80"/>
        </w:rPr>
        <w:t xml:space="preserve">ꎬ </w:t>
      </w:r>
      <w:r>
        <w:t>导致产生重大安全隐</w:t>
      </w:r>
      <w:r>
        <w:rPr>
          <w:w w:val="105"/>
        </w:rPr>
        <w:t>患的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t>五</w:t>
      </w:r>
      <w:r>
        <w:rPr>
          <w:rFonts w:hint="eastAsia" w:ascii="MS UI Gothic" w:eastAsia="MS UI Gothic"/>
          <w:w w:val="150"/>
        </w:rPr>
        <w:t xml:space="preserve">) </w:t>
      </w:r>
      <w:r>
        <w:t>新建</w:t>
      </w:r>
      <w:r>
        <w:rPr>
          <w:rFonts w:hint="eastAsia" w:ascii="MS UI Gothic" w:eastAsia="MS UI Gothic"/>
          <w:w w:val="80"/>
        </w:rPr>
        <w:t xml:space="preserve">、 </w:t>
      </w:r>
      <w:r>
        <w:t>改建</w:t>
      </w:r>
      <w:r>
        <w:rPr>
          <w:rFonts w:hint="eastAsia" w:ascii="MS UI Gothic" w:eastAsia="MS UI Gothic"/>
          <w:w w:val="80"/>
        </w:rPr>
        <w:t xml:space="preserve">、 </w:t>
      </w:r>
      <w:r>
        <w:t>扩建工程项目的安全设施</w:t>
      </w:r>
      <w:r>
        <w:rPr>
          <w:rFonts w:hint="eastAsia" w:ascii="MS UI Gothic" w:eastAsia="MS UI Gothic"/>
          <w:w w:val="80"/>
        </w:rPr>
        <w:t xml:space="preserve">ꎬ </w:t>
      </w:r>
      <w:r>
        <w:t>不与主体工程同时设计</w:t>
      </w:r>
      <w:r>
        <w:rPr>
          <w:rFonts w:hint="eastAsia" w:ascii="MS UI Gothic" w:eastAsia="MS UI Gothic"/>
          <w:w w:val="80"/>
        </w:rPr>
        <w:t xml:space="preserve">、 </w:t>
      </w:r>
      <w:r>
        <w:t>同时施工</w:t>
      </w:r>
      <w:r>
        <w:rPr>
          <w:rFonts w:hint="eastAsia" w:ascii="MS UI Gothic" w:eastAsia="MS UI Gothic"/>
          <w:w w:val="80"/>
        </w:rPr>
        <w:t xml:space="preserve">、 </w:t>
      </w:r>
      <w:r>
        <w:t>同时投入生产和使用</w:t>
      </w:r>
      <w:r>
        <w:rPr>
          <w:rFonts w:hint="eastAsia" w:ascii="MS UI Gothic" w:eastAsia="MS UI Gothic"/>
          <w:w w:val="80"/>
        </w:rPr>
        <w:t xml:space="preserve">ꎬ </w:t>
      </w:r>
      <w:r>
        <w:t>或者未按规定审批</w:t>
      </w:r>
      <w:r>
        <w:rPr>
          <w:rFonts w:hint="eastAsia" w:ascii="MS UI Gothic" w:eastAsia="MS UI Gothic"/>
          <w:w w:val="80"/>
        </w:rPr>
        <w:t xml:space="preserve">、 </w:t>
      </w:r>
      <w:r>
        <w:t>验收</w:t>
      </w:r>
      <w:r>
        <w:rPr>
          <w:rFonts w:hint="eastAsia" w:ascii="MS UI Gothic" w:eastAsia="MS UI Gothic"/>
          <w:w w:val="80"/>
        </w:rPr>
        <w:t xml:space="preserve">ꎬ </w:t>
      </w:r>
      <w:r>
        <w:t>擅自组织施工和生产的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被依法责令停产停业整顿</w:t>
      </w:r>
      <w:r>
        <w:rPr>
          <w:rFonts w:hint="eastAsia" w:ascii="MS UI Gothic" w:eastAsia="MS UI Gothic"/>
          <w:w w:val="80"/>
        </w:rPr>
        <w:t xml:space="preserve">、 </w:t>
      </w:r>
      <w:r>
        <w:rPr>
          <w:w w:val="105"/>
        </w:rPr>
        <w:t>吊销证照</w:t>
      </w:r>
      <w:r>
        <w:rPr>
          <w:rFonts w:hint="eastAsia" w:ascii="MS UI Gothic" w:eastAsia="MS UI Gothic"/>
          <w:w w:val="80"/>
        </w:rPr>
        <w:t xml:space="preserve">、 </w:t>
      </w:r>
      <w:r>
        <w:rPr>
          <w:w w:val="105"/>
        </w:rPr>
        <w:t>关闭的生产经营单位</w:t>
      </w:r>
      <w:r>
        <w:rPr>
          <w:rFonts w:hint="eastAsia" w:ascii="MS UI Gothic" w:eastAsia="MS UI Gothic"/>
          <w:w w:val="80"/>
        </w:rPr>
        <w:t xml:space="preserve">ꎬ </w:t>
      </w:r>
      <w:r>
        <w:rPr>
          <w:w w:val="105"/>
        </w:rPr>
        <w:t>继续从事生产经营活动的</w:t>
      </w:r>
      <w:r>
        <w:rPr>
          <w:rFonts w:hint="eastAsia" w:ascii="MS UI Gothic" w:eastAsia="MS UI Gothic"/>
          <w:w w:val="80"/>
        </w:rPr>
        <w:t>ꎮ</w:t>
      </w:r>
    </w:p>
    <w:p>
      <w:pPr>
        <w:pStyle w:val="6"/>
        <w:spacing w:line="295" w:lineRule="auto"/>
        <w:ind w:right="440"/>
        <w:rPr>
          <w:rFonts w:hint="eastAsia" w:ascii="MS UI Gothic" w:eastAsia="MS UI Gothic"/>
        </w:rPr>
      </w:pPr>
      <w:r>
        <w:t>第十二条 国有企业及其工作人员有下列行为之一</w:t>
      </w:r>
      <w:r>
        <w:rPr>
          <w:rFonts w:hint="eastAsia" w:ascii="MS UI Gothic" w:eastAsia="MS UI Gothic"/>
          <w:w w:val="80"/>
        </w:rPr>
        <w:t xml:space="preserve">ꎬ </w:t>
      </w:r>
      <w:r>
        <w:t>导致生产安全事故发生的</w:t>
      </w:r>
      <w:r>
        <w:rPr>
          <w:rFonts w:hint="eastAsia" w:ascii="MS UI Gothic" w:eastAsia="MS UI Gothic"/>
          <w:w w:val="80"/>
        </w:rPr>
        <w:t xml:space="preserve">ꎬ </w:t>
      </w:r>
      <w:r>
        <w:t>对有关责任人员</w:t>
      </w:r>
      <w:r>
        <w:rPr>
          <w:rFonts w:hint="eastAsia" w:ascii="MS UI Gothic" w:eastAsia="MS UI Gothic"/>
          <w:w w:val="80"/>
        </w:rPr>
        <w:t xml:space="preserve">ꎬ </w:t>
      </w:r>
      <w:r>
        <w:t>给予警告</w:t>
      </w:r>
      <w:r>
        <w:rPr>
          <w:rFonts w:hint="eastAsia" w:ascii="MS UI Gothic" w:eastAsia="MS UI Gothic"/>
          <w:w w:val="80"/>
        </w:rPr>
        <w:t xml:space="preserve">、 </w:t>
      </w:r>
      <w:r>
        <w:t>记过或者记大过处分</w:t>
      </w:r>
      <w:r>
        <w:rPr>
          <w:rFonts w:hint="eastAsia" w:ascii="MS UI Gothic" w:eastAsia="MS UI Gothic"/>
          <w:w w:val="80"/>
        </w:rPr>
        <w:t xml:space="preserve">ꎻ </w:t>
      </w:r>
      <w:r>
        <w:t>情节较重的</w:t>
      </w:r>
      <w:r>
        <w:rPr>
          <w:rFonts w:hint="eastAsia" w:ascii="MS UI Gothic" w:eastAsia="MS UI Gothic"/>
          <w:w w:val="80"/>
        </w:rPr>
        <w:t xml:space="preserve">ꎬ </w:t>
      </w:r>
      <w:r>
        <w:t>给予降级</w:t>
      </w:r>
      <w:r>
        <w:rPr>
          <w:rFonts w:hint="eastAsia" w:ascii="MS UI Gothic" w:eastAsia="MS UI Gothic"/>
          <w:w w:val="80"/>
        </w:rPr>
        <w:t>、</w:t>
      </w:r>
      <w:r>
        <w:t>撤职或者留用察看处分</w:t>
      </w:r>
      <w:r>
        <w:rPr>
          <w:rFonts w:hint="eastAsia" w:ascii="MS UI Gothic" w:eastAsia="MS UI Gothic"/>
          <w:w w:val="80"/>
        </w:rPr>
        <w:t xml:space="preserve">ꎻ </w:t>
      </w:r>
      <w:r>
        <w:t>情节严重的</w:t>
      </w:r>
      <w:r>
        <w:rPr>
          <w:rFonts w:hint="eastAsia" w:ascii="MS UI Gothic" w:eastAsia="MS UI Gothic"/>
          <w:w w:val="80"/>
        </w:rPr>
        <w:t xml:space="preserve">ꎬ </w:t>
      </w:r>
      <w:r>
        <w:t>给予开除处分</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对存在的重大安全隐患</w:t>
      </w:r>
      <w:r>
        <w:rPr>
          <w:rFonts w:hint="eastAsia" w:ascii="MS UI Gothic" w:eastAsia="MS UI Gothic"/>
          <w:w w:val="80"/>
        </w:rPr>
        <w:t xml:space="preserve">ꎬ </w:t>
      </w:r>
      <w:r>
        <w:rPr>
          <w:w w:val="105"/>
        </w:rPr>
        <w:t>未采取有效措施的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违章指挥</w:t>
      </w:r>
      <w:r>
        <w:rPr>
          <w:rFonts w:hint="eastAsia" w:ascii="MS UI Gothic" w:eastAsia="MS UI Gothic"/>
          <w:w w:val="80"/>
        </w:rPr>
        <w:t xml:space="preserve">ꎬ </w:t>
      </w:r>
      <w:r>
        <w:rPr>
          <w:w w:val="105"/>
        </w:rPr>
        <w:t>强令工人违章冒险作业的</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未按规定进行安全生产教育和</w:t>
      </w:r>
      <w:r>
        <w:t>培训并经考核合格</w:t>
      </w:r>
      <w:r>
        <w:rPr>
          <w:rFonts w:hint="eastAsia" w:ascii="MS UI Gothic" w:eastAsia="MS UI Gothic"/>
          <w:w w:val="80"/>
        </w:rPr>
        <w:t xml:space="preserve">ꎬ </w:t>
      </w:r>
      <w:r>
        <w:t>允许从业人员上岗</w:t>
      </w:r>
      <w:r>
        <w:rPr>
          <w:rFonts w:hint="eastAsia" w:ascii="MS UI Gothic" w:eastAsia="MS UI Gothic"/>
          <w:w w:val="80"/>
        </w:rPr>
        <w:t>ꎬ</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１２１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06" o:spid="_x0000_s1406" o:spt="203" style="height:2.15pt;width:398.25pt;" coordsize="7965,43">
            <o:lock v:ext="edit"/>
            <v:line id="_x0000_s1407" o:spid="_x0000_s1407" o:spt="20" style="position:absolute;left:0;top:39;height:0;width:7965;" stroked="t" coordsize="21600,21600">
              <v:path arrowok="t"/>
              <v:fill focussize="0,0"/>
              <v:stroke weight="0.388031496062992pt" color="#231F20"/>
              <v:imagedata o:title=""/>
              <o:lock v:ext="edit"/>
            </v:line>
            <v:line id="_x0000_s1408" o:spid="_x0000_s140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致使违章作业的</w:t>
      </w:r>
      <w:r>
        <w:rPr>
          <w:rFonts w:hint="eastAsia" w:ascii="MS UI Gothic" w:eastAsia="MS UI Gothic"/>
          <w:w w:val="80"/>
        </w:rPr>
        <w:t>ꎻ</w:t>
      </w:r>
    </w:p>
    <w:p>
      <w:pPr>
        <w:pStyle w:val="6"/>
        <w:spacing w:before="58"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制造</w:t>
      </w:r>
      <w:r>
        <w:rPr>
          <w:rFonts w:hint="eastAsia" w:ascii="MS UI Gothic" w:eastAsia="MS UI Gothic"/>
          <w:w w:val="80"/>
        </w:rPr>
        <w:t xml:space="preserve">、 </w:t>
      </w:r>
      <w:r>
        <w:rPr>
          <w:w w:val="105"/>
        </w:rPr>
        <w:t>销售</w:t>
      </w:r>
      <w:r>
        <w:rPr>
          <w:rFonts w:hint="eastAsia" w:ascii="MS UI Gothic" w:eastAsia="MS UI Gothic"/>
          <w:w w:val="80"/>
        </w:rPr>
        <w:t xml:space="preserve">、 </w:t>
      </w:r>
      <w:r>
        <w:rPr>
          <w:w w:val="105"/>
        </w:rPr>
        <w:t>使用国家明令淘汰或者不符合国家标准的设施</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器材或者产品的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超能力</w:t>
      </w:r>
      <w:r>
        <w:rPr>
          <w:rFonts w:hint="eastAsia" w:ascii="MS UI Gothic" w:eastAsia="MS UI Gothic"/>
          <w:w w:val="80"/>
        </w:rPr>
        <w:t xml:space="preserve">、 </w:t>
      </w:r>
      <w:r>
        <w:rPr>
          <w:w w:val="105"/>
        </w:rPr>
        <w:t>超强度</w:t>
      </w:r>
      <w:r>
        <w:rPr>
          <w:rFonts w:hint="eastAsia" w:ascii="MS UI Gothic" w:eastAsia="MS UI Gothic"/>
          <w:w w:val="80"/>
        </w:rPr>
        <w:t xml:space="preserve">、 </w:t>
      </w:r>
      <w:r>
        <w:rPr>
          <w:w w:val="105"/>
        </w:rPr>
        <w:t>超定员组织</w:t>
      </w:r>
      <w:r>
        <w:t>生产经营</w:t>
      </w:r>
      <w:r>
        <w:rPr>
          <w:rFonts w:hint="eastAsia" w:ascii="MS UI Gothic" w:eastAsia="MS UI Gothic"/>
          <w:w w:val="80"/>
        </w:rPr>
        <w:t xml:space="preserve">ꎬ </w:t>
      </w:r>
      <w:r>
        <w:t>拒不执行有关部门整改指</w:t>
      </w:r>
      <w:r>
        <w:rPr>
          <w:w w:val="105"/>
        </w:rPr>
        <w:t>令的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拒绝执法人员进行现场检查或</w:t>
      </w:r>
      <w:r>
        <w:t>者在被检查时隐瞒事故隐患</w:t>
      </w:r>
      <w:r>
        <w:rPr>
          <w:rFonts w:hint="eastAsia" w:ascii="MS UI Gothic" w:eastAsia="MS UI Gothic"/>
          <w:w w:val="80"/>
        </w:rPr>
        <w:t xml:space="preserve">ꎬ </w:t>
      </w:r>
      <w:r>
        <w:t>不如实反映</w:t>
      </w:r>
      <w:r>
        <w:rPr>
          <w:w w:val="105"/>
        </w:rPr>
        <w:t>情况的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有其他不履行或者不正确履行</w:t>
      </w:r>
      <w:r>
        <w:rPr>
          <w:w w:val="110"/>
        </w:rPr>
        <w:t>安全生产管理职责的</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第十三条 国有企业及其工作人员有</w:t>
      </w:r>
      <w:r>
        <w:t>下列行为之一的</w:t>
      </w:r>
      <w:r>
        <w:rPr>
          <w:rFonts w:hint="eastAsia" w:ascii="MS UI Gothic" w:eastAsia="MS UI Gothic"/>
          <w:w w:val="80"/>
        </w:rPr>
        <w:t xml:space="preserve">ꎬ </w:t>
      </w:r>
      <w:r>
        <w:t>对有关责任人员</w:t>
      </w:r>
      <w:r>
        <w:rPr>
          <w:rFonts w:hint="eastAsia" w:ascii="MS UI Gothic" w:eastAsia="MS UI Gothic"/>
          <w:w w:val="80"/>
        </w:rPr>
        <w:t xml:space="preserve">ꎬ </w:t>
      </w:r>
      <w:r>
        <w:t>给予记过或者记大过处分</w:t>
      </w:r>
      <w:r>
        <w:rPr>
          <w:rFonts w:hint="eastAsia" w:ascii="MS UI Gothic" w:eastAsia="MS UI Gothic"/>
          <w:w w:val="80"/>
        </w:rPr>
        <w:t xml:space="preserve">ꎻ </w:t>
      </w:r>
      <w:r>
        <w:t>情节较重的</w:t>
      </w:r>
      <w:r>
        <w:rPr>
          <w:rFonts w:hint="eastAsia" w:ascii="MS UI Gothic" w:eastAsia="MS UI Gothic"/>
          <w:w w:val="80"/>
        </w:rPr>
        <w:t xml:space="preserve">ꎬ </w:t>
      </w:r>
      <w:r>
        <w:t>给予降级</w:t>
      </w:r>
      <w:r>
        <w:rPr>
          <w:rFonts w:hint="eastAsia" w:ascii="MS UI Gothic" w:eastAsia="MS UI Gothic"/>
        </w:rPr>
        <w:t xml:space="preserve">、 </w:t>
      </w:r>
      <w:r>
        <w:t>撤职或者留用察看处分</w:t>
      </w:r>
      <w:r>
        <w:rPr>
          <w:rFonts w:hint="eastAsia" w:ascii="MS UI Gothic" w:eastAsia="MS UI Gothic"/>
          <w:w w:val="80"/>
        </w:rPr>
        <w:t xml:space="preserve">ꎻ </w:t>
      </w:r>
      <w:r>
        <w:t>情节严重</w:t>
      </w:r>
      <w:r>
        <w:rPr>
          <w:w w:val="105"/>
        </w:rPr>
        <w:t>的</w:t>
      </w:r>
      <w:r>
        <w:rPr>
          <w:rFonts w:hint="eastAsia" w:ascii="MS UI Gothic" w:eastAsia="MS UI Gothic"/>
          <w:w w:val="80"/>
        </w:rPr>
        <w:t xml:space="preserve">ꎬ </w:t>
      </w:r>
      <w:r>
        <w:rPr>
          <w:w w:val="105"/>
        </w:rPr>
        <w:t>给予开除处分</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对发生的生产安全事故瞒报</w:t>
      </w:r>
      <w:r>
        <w:rPr>
          <w:rFonts w:hint="eastAsia" w:ascii="MS UI Gothic" w:eastAsia="MS UI Gothic"/>
          <w:w w:val="80"/>
        </w:rPr>
        <w:t>、</w:t>
      </w:r>
      <w:r>
        <w:rPr>
          <w:w w:val="105"/>
        </w:rPr>
        <w:t>谎报或者拖延不报的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组织或者参与破坏事故现场</w:t>
      </w:r>
      <w:r>
        <w:rPr>
          <w:rFonts w:hint="eastAsia" w:ascii="MS UI Gothic" w:eastAsia="MS UI Gothic"/>
          <w:w w:val="80"/>
        </w:rPr>
        <w:t>、</w:t>
      </w:r>
      <w:r>
        <w:rPr>
          <w:w w:val="105"/>
        </w:rPr>
        <w:t>出具伪证或者隐匿</w:t>
      </w:r>
      <w:r>
        <w:rPr>
          <w:rFonts w:hint="eastAsia" w:ascii="MS UI Gothic" w:eastAsia="MS UI Gothic"/>
          <w:w w:val="80"/>
        </w:rPr>
        <w:t xml:space="preserve">、 </w:t>
      </w:r>
      <w:r>
        <w:rPr>
          <w:w w:val="105"/>
        </w:rPr>
        <w:t>转移</w:t>
      </w:r>
      <w:r>
        <w:rPr>
          <w:rFonts w:hint="eastAsia" w:ascii="MS UI Gothic" w:eastAsia="MS UI Gothic"/>
          <w:w w:val="80"/>
        </w:rPr>
        <w:t xml:space="preserve">、 </w:t>
      </w:r>
      <w:r>
        <w:rPr>
          <w:w w:val="105"/>
        </w:rPr>
        <w:t>篡改</w:t>
      </w:r>
      <w:r>
        <w:rPr>
          <w:rFonts w:hint="eastAsia" w:ascii="MS UI Gothic" w:eastAsia="MS UI Gothic"/>
          <w:w w:val="80"/>
        </w:rPr>
        <w:t xml:space="preserve">、 </w:t>
      </w:r>
      <w:r>
        <w:rPr>
          <w:w w:val="105"/>
        </w:rPr>
        <w:t>毁灭有关证据</w:t>
      </w:r>
      <w:r>
        <w:rPr>
          <w:rFonts w:hint="eastAsia" w:ascii="MS UI Gothic" w:eastAsia="MS UI Gothic"/>
          <w:w w:val="80"/>
        </w:rPr>
        <w:t xml:space="preserve">ꎬ </w:t>
      </w:r>
      <w:r>
        <w:rPr>
          <w:w w:val="105"/>
        </w:rPr>
        <w:t>阻挠事故调查处理的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生产安全事故发生后</w:t>
      </w:r>
      <w:r>
        <w:rPr>
          <w:rFonts w:hint="eastAsia" w:ascii="MS UI Gothic" w:eastAsia="MS UI Gothic"/>
          <w:w w:val="80"/>
        </w:rPr>
        <w:t xml:space="preserve">ꎬ </w:t>
      </w:r>
      <w:r>
        <w:rPr>
          <w:w w:val="105"/>
        </w:rPr>
        <w:t>不及时组织抢救或者擅离职守的</w:t>
      </w:r>
      <w:r>
        <w:rPr>
          <w:rFonts w:hint="eastAsia" w:ascii="MS UI Gothic" w:eastAsia="MS UI Gothic"/>
          <w:w w:val="80"/>
        </w:rPr>
        <w:t>ꎮ</w:t>
      </w:r>
    </w:p>
    <w:p>
      <w:pPr>
        <w:pStyle w:val="6"/>
        <w:spacing w:line="295" w:lineRule="auto"/>
        <w:ind w:left="440" w:right="1"/>
        <w:rPr>
          <w:rFonts w:hint="eastAsia" w:ascii="MS UI Gothic" w:eastAsia="MS UI Gothic"/>
        </w:rPr>
      </w:pPr>
      <w:r>
        <w:t>生产安全事故发生后逃匿的</w:t>
      </w:r>
      <w:r>
        <w:rPr>
          <w:rFonts w:hint="eastAsia" w:ascii="MS UI Gothic" w:eastAsia="MS UI Gothic"/>
          <w:w w:val="80"/>
        </w:rPr>
        <w:t xml:space="preserve">ꎬ </w:t>
      </w:r>
      <w:r>
        <w:t>给予开除处分</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第十四条 国有企业及其工作人员不</w:t>
      </w:r>
      <w:r>
        <w:t>执行或者不正确执行对事故责任人员作出的处理决定</w:t>
      </w:r>
      <w:r>
        <w:rPr>
          <w:rFonts w:hint="eastAsia" w:ascii="MS UI Gothic" w:eastAsia="MS UI Gothic"/>
          <w:w w:val="80"/>
        </w:rPr>
        <w:t xml:space="preserve">ꎬ </w:t>
      </w:r>
      <w:r>
        <w:t>或者擅自改变上级机关批复</w:t>
      </w:r>
      <w:r>
        <w:rPr>
          <w:w w:val="105"/>
        </w:rPr>
        <w:t>的对事故责任人员的处理意见的</w:t>
      </w:r>
      <w:r>
        <w:rPr>
          <w:rFonts w:hint="eastAsia" w:ascii="MS UI Gothic" w:eastAsia="MS UI Gothic"/>
          <w:w w:val="80"/>
        </w:rPr>
        <w:t>ꎮ</w:t>
      </w:r>
    </w:p>
    <w:p>
      <w:pPr>
        <w:pStyle w:val="6"/>
        <w:spacing w:line="295" w:lineRule="auto"/>
        <w:ind w:left="440" w:right="1"/>
      </w:pPr>
      <w:r>
        <w:t>第十五条  国有企业负责人及其配偶</w:t>
      </w:r>
      <w:r>
        <w:rPr>
          <w:rFonts w:hint="eastAsia" w:ascii="MS UI Gothic" w:eastAsia="MS UI Gothic"/>
        </w:rPr>
        <w:t xml:space="preserve">、 </w:t>
      </w:r>
      <w:r>
        <w:t>子女及其配偶违反规定在煤矿等企业</w:t>
      </w:r>
    </w:p>
    <w:p>
      <w:pPr>
        <w:pStyle w:val="6"/>
        <w:spacing w:before="124" w:line="295" w:lineRule="auto"/>
        <w:ind w:left="381" w:right="124" w:firstLine="0"/>
        <w:rPr>
          <w:rFonts w:hint="eastAsia" w:ascii="MS UI Gothic" w:eastAsia="MS UI Gothic"/>
        </w:rPr>
      </w:pPr>
      <w:r>
        <w:br w:type="column"/>
      </w:r>
      <w:r>
        <w:t>投资入股或者在安全生产领域经商办企业的</w:t>
      </w:r>
      <w:r>
        <w:rPr>
          <w:rFonts w:hint="eastAsia" w:ascii="MS UI Gothic" w:eastAsia="MS UI Gothic"/>
          <w:w w:val="80"/>
        </w:rPr>
        <w:t xml:space="preserve">ꎬ </w:t>
      </w:r>
      <w:r>
        <w:t>对由国家行政机关任命的人员</w:t>
      </w:r>
      <w:r>
        <w:rPr>
          <w:rFonts w:hint="eastAsia" w:ascii="MS UI Gothic" w:eastAsia="MS UI Gothic"/>
          <w:w w:val="80"/>
        </w:rPr>
        <w:t xml:space="preserve">ꎬ </w:t>
      </w:r>
      <w:r>
        <w:t>给予警告</w:t>
      </w:r>
      <w:r>
        <w:rPr>
          <w:rFonts w:hint="eastAsia" w:ascii="MS UI Gothic" w:eastAsia="MS UI Gothic"/>
          <w:w w:val="80"/>
        </w:rPr>
        <w:t xml:space="preserve">、 </w:t>
      </w:r>
      <w:r>
        <w:t>记过或者记大过处分</w:t>
      </w:r>
      <w:r>
        <w:rPr>
          <w:rFonts w:hint="eastAsia" w:ascii="MS UI Gothic" w:eastAsia="MS UI Gothic"/>
          <w:w w:val="80"/>
        </w:rPr>
        <w:t xml:space="preserve">ꎻ </w:t>
      </w:r>
      <w:r>
        <w:t>情节较重的</w:t>
      </w:r>
      <w:r>
        <w:rPr>
          <w:rFonts w:hint="eastAsia" w:ascii="MS UI Gothic" w:eastAsia="MS UI Gothic"/>
          <w:w w:val="80"/>
        </w:rPr>
        <w:t xml:space="preserve">ꎬ </w:t>
      </w:r>
      <w:r>
        <w:t>给予降级</w:t>
      </w:r>
      <w:r>
        <w:rPr>
          <w:rFonts w:hint="eastAsia" w:ascii="MS UI Gothic" w:eastAsia="MS UI Gothic"/>
          <w:w w:val="80"/>
        </w:rPr>
        <w:t xml:space="preserve">、 </w:t>
      </w:r>
      <w:r>
        <w:t>撤职或者留用察看处分</w:t>
      </w:r>
      <w:r>
        <w:rPr>
          <w:rFonts w:hint="eastAsia" w:ascii="MS UI Gothic" w:eastAsia="MS UI Gothic"/>
          <w:w w:val="80"/>
        </w:rPr>
        <w:t>ꎻ</w:t>
      </w:r>
      <w:r>
        <w:t>情节严重的</w:t>
      </w:r>
      <w:r>
        <w:rPr>
          <w:rFonts w:hint="eastAsia" w:ascii="MS UI Gothic" w:eastAsia="MS UI Gothic"/>
          <w:w w:val="80"/>
        </w:rPr>
        <w:t xml:space="preserve">ꎬ </w:t>
      </w:r>
      <w:r>
        <w:t>给予开除处分</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第十六条 承担安全评价</w:t>
      </w:r>
      <w:r>
        <w:rPr>
          <w:rFonts w:hint="eastAsia" w:ascii="MS UI Gothic" w:eastAsia="MS UI Gothic"/>
          <w:spacing w:val="24"/>
        </w:rPr>
        <w:t xml:space="preserve">、 </w:t>
      </w:r>
      <w:r>
        <w:rPr>
          <w:spacing w:val="3"/>
        </w:rPr>
        <w:t>培训</w:t>
      </w:r>
      <w:r>
        <w:rPr>
          <w:rFonts w:hint="eastAsia" w:ascii="MS UI Gothic" w:eastAsia="MS UI Gothic"/>
          <w:spacing w:val="24"/>
        </w:rPr>
        <w:t xml:space="preserve">、 </w:t>
      </w:r>
      <w:r>
        <w:t>认</w:t>
      </w:r>
      <w:r>
        <w:rPr>
          <w:spacing w:val="3"/>
        </w:rPr>
        <w:t>证</w:t>
      </w:r>
      <w:r>
        <w:rPr>
          <w:rFonts w:hint="eastAsia" w:ascii="MS UI Gothic" w:eastAsia="MS UI Gothic"/>
          <w:spacing w:val="17"/>
        </w:rPr>
        <w:t xml:space="preserve">、 </w:t>
      </w:r>
      <w:r>
        <w:rPr>
          <w:spacing w:val="3"/>
        </w:rPr>
        <w:t>资质验证</w:t>
      </w:r>
      <w:r>
        <w:rPr>
          <w:rFonts w:hint="eastAsia" w:ascii="MS UI Gothic" w:eastAsia="MS UI Gothic"/>
          <w:spacing w:val="18"/>
        </w:rPr>
        <w:t xml:space="preserve">、 </w:t>
      </w:r>
      <w:r>
        <w:rPr>
          <w:spacing w:val="3"/>
        </w:rPr>
        <w:t>设计</w:t>
      </w:r>
      <w:r>
        <w:rPr>
          <w:rFonts w:hint="eastAsia" w:ascii="MS UI Gothic" w:eastAsia="MS UI Gothic"/>
          <w:spacing w:val="17"/>
        </w:rPr>
        <w:t xml:space="preserve">、 </w:t>
      </w:r>
      <w:r>
        <w:rPr>
          <w:spacing w:val="3"/>
        </w:rPr>
        <w:t>检测</w:t>
      </w:r>
      <w:r>
        <w:rPr>
          <w:rFonts w:hint="eastAsia" w:ascii="MS UI Gothic" w:eastAsia="MS UI Gothic"/>
          <w:spacing w:val="18"/>
        </w:rPr>
        <w:t xml:space="preserve">、 </w:t>
      </w:r>
      <w:r>
        <w:rPr>
          <w:spacing w:val="2"/>
        </w:rPr>
        <w:t>检验等工作</w:t>
      </w:r>
      <w:r>
        <w:rPr>
          <w:spacing w:val="3"/>
        </w:rPr>
        <w:t>的机构及其工作人员</w:t>
      </w:r>
      <w:r>
        <w:rPr>
          <w:rFonts w:hint="eastAsia" w:ascii="MS UI Gothic" w:eastAsia="MS UI Gothic"/>
          <w:spacing w:val="20"/>
          <w:w w:val="80"/>
        </w:rPr>
        <w:t xml:space="preserve">ꎬ </w:t>
      </w:r>
      <w:r>
        <w:rPr>
          <w:spacing w:val="2"/>
        </w:rPr>
        <w:t>出具虚假报告等与</w:t>
      </w:r>
      <w:r>
        <w:rPr>
          <w:spacing w:val="3"/>
        </w:rPr>
        <w:t>事实不符的文件</w:t>
      </w:r>
      <w:r>
        <w:rPr>
          <w:rFonts w:hint="eastAsia" w:ascii="MS UI Gothic" w:eastAsia="MS UI Gothic"/>
          <w:spacing w:val="23"/>
        </w:rPr>
        <w:t xml:space="preserve">、 </w:t>
      </w:r>
      <w:r>
        <w:rPr>
          <w:spacing w:val="3"/>
        </w:rPr>
        <w:t>材料</w:t>
      </w:r>
      <w:r>
        <w:rPr>
          <w:rFonts w:hint="eastAsia" w:ascii="MS UI Gothic" w:eastAsia="MS UI Gothic"/>
          <w:spacing w:val="5"/>
          <w:w w:val="80"/>
        </w:rPr>
        <w:t xml:space="preserve">ꎬ </w:t>
      </w:r>
      <w:r>
        <w:rPr>
          <w:spacing w:val="2"/>
        </w:rPr>
        <w:t>造成安全生产隐</w:t>
      </w:r>
      <w:r>
        <w:rPr>
          <w:spacing w:val="3"/>
        </w:rPr>
        <w:t>患的</w:t>
      </w:r>
      <w:r>
        <w:rPr>
          <w:rFonts w:hint="eastAsia" w:ascii="MS UI Gothic" w:eastAsia="MS UI Gothic"/>
          <w:spacing w:val="19"/>
          <w:w w:val="80"/>
        </w:rPr>
        <w:t xml:space="preserve">ꎬ </w:t>
      </w:r>
      <w:r>
        <w:rPr>
          <w:spacing w:val="3"/>
        </w:rPr>
        <w:t>对有关责任人员</w:t>
      </w:r>
      <w:r>
        <w:rPr>
          <w:rFonts w:hint="eastAsia" w:ascii="MS UI Gothic" w:eastAsia="MS UI Gothic"/>
          <w:spacing w:val="19"/>
          <w:w w:val="80"/>
        </w:rPr>
        <w:t xml:space="preserve">ꎬ </w:t>
      </w:r>
      <w:r>
        <w:rPr>
          <w:spacing w:val="3"/>
        </w:rPr>
        <w:t>给予警告</w:t>
      </w:r>
      <w:r>
        <w:rPr>
          <w:rFonts w:hint="eastAsia" w:ascii="MS UI Gothic" w:eastAsia="MS UI Gothic"/>
          <w:spacing w:val="13"/>
        </w:rPr>
        <w:t xml:space="preserve">、 </w:t>
      </w:r>
      <w:r>
        <w:rPr>
          <w:spacing w:val="1"/>
        </w:rPr>
        <w:t>记过</w:t>
      </w:r>
      <w:r>
        <w:rPr>
          <w:spacing w:val="11"/>
        </w:rPr>
        <w:t>或者记大过处分</w:t>
      </w:r>
      <w:r>
        <w:rPr>
          <w:rFonts w:hint="eastAsia" w:ascii="MS UI Gothic" w:eastAsia="MS UI Gothic"/>
          <w:spacing w:val="3"/>
          <w:w w:val="80"/>
        </w:rPr>
        <w:t xml:space="preserve">ꎻ </w:t>
      </w:r>
      <w:r>
        <w:rPr>
          <w:spacing w:val="19"/>
        </w:rPr>
        <w:t>情节较重的</w:t>
      </w:r>
      <w:r>
        <w:rPr>
          <w:rFonts w:hint="eastAsia" w:ascii="MS UI Gothic" w:eastAsia="MS UI Gothic"/>
          <w:spacing w:val="3"/>
          <w:w w:val="80"/>
        </w:rPr>
        <w:t xml:space="preserve">ꎬ </w:t>
      </w:r>
      <w:r>
        <w:rPr>
          <w:spacing w:val="15"/>
        </w:rPr>
        <w:t>给予降</w:t>
      </w:r>
      <w:r>
        <w:rPr>
          <w:spacing w:val="3"/>
        </w:rPr>
        <w:t>级</w:t>
      </w:r>
      <w:r>
        <w:rPr>
          <w:rFonts w:hint="eastAsia" w:ascii="MS UI Gothic" w:eastAsia="MS UI Gothic"/>
          <w:spacing w:val="13"/>
        </w:rPr>
        <w:t xml:space="preserve">、 </w:t>
      </w:r>
      <w:r>
        <w:rPr>
          <w:spacing w:val="3"/>
        </w:rPr>
        <w:t>降职或者撤职处分</w:t>
      </w:r>
      <w:r>
        <w:rPr>
          <w:rFonts w:hint="eastAsia" w:ascii="MS UI Gothic" w:eastAsia="MS UI Gothic"/>
          <w:spacing w:val="20"/>
          <w:w w:val="80"/>
        </w:rPr>
        <w:t xml:space="preserve">ꎻ </w:t>
      </w:r>
      <w:r>
        <w:rPr>
          <w:spacing w:val="3"/>
        </w:rPr>
        <w:t>情节严重的</w:t>
      </w:r>
      <w:r>
        <w:rPr>
          <w:rFonts w:hint="eastAsia" w:ascii="MS UI Gothic" w:eastAsia="MS UI Gothic"/>
          <w:spacing w:val="19"/>
          <w:w w:val="80"/>
        </w:rPr>
        <w:t xml:space="preserve">ꎬ </w:t>
      </w:r>
      <w:r>
        <w:t>给</w:t>
      </w:r>
      <w:r>
        <w:rPr>
          <w:spacing w:val="3"/>
        </w:rPr>
        <w:t>予开除留用察看或者开除处分</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11"/>
          <w:w w:val="105"/>
        </w:rPr>
        <w:t>第十七条 法律</w:t>
      </w:r>
      <w:r>
        <w:rPr>
          <w:rFonts w:hint="eastAsia" w:ascii="MS UI Gothic" w:eastAsia="MS UI Gothic"/>
          <w:spacing w:val="19"/>
          <w:w w:val="80"/>
        </w:rPr>
        <w:t xml:space="preserve">、 </w:t>
      </w:r>
      <w:r>
        <w:rPr>
          <w:spacing w:val="2"/>
          <w:w w:val="105"/>
        </w:rPr>
        <w:t>法规授权的具有管</w:t>
      </w:r>
      <w:r>
        <w:rPr>
          <w:spacing w:val="2"/>
        </w:rPr>
        <w:t>理公共事务职能的组织以及国家行政机关依法委托的组织及其工勤人员以外的工作</w:t>
      </w:r>
      <w:r>
        <w:rPr>
          <w:spacing w:val="3"/>
        </w:rPr>
        <w:t>人员有安全生产领域违法违纪行为</w:t>
      </w:r>
      <w:r>
        <w:rPr>
          <w:rFonts w:hint="eastAsia" w:ascii="MS UI Gothic" w:eastAsia="MS UI Gothic"/>
          <w:spacing w:val="20"/>
          <w:w w:val="80"/>
        </w:rPr>
        <w:t xml:space="preserve">ꎬ </w:t>
      </w:r>
      <w:r>
        <w:rPr>
          <w:spacing w:val="1"/>
        </w:rPr>
        <w:t>应当</w:t>
      </w:r>
      <w:r>
        <w:rPr>
          <w:spacing w:val="3"/>
          <w:w w:val="105"/>
        </w:rPr>
        <w:t>给予处分的</w:t>
      </w:r>
      <w:r>
        <w:rPr>
          <w:rFonts w:hint="eastAsia" w:ascii="MS UI Gothic" w:eastAsia="MS UI Gothic"/>
          <w:spacing w:val="20"/>
          <w:w w:val="80"/>
        </w:rPr>
        <w:t xml:space="preserve">ꎬ </w:t>
      </w:r>
      <w:r>
        <w:rPr>
          <w:spacing w:val="3"/>
          <w:w w:val="105"/>
        </w:rPr>
        <w:t>参照本规定执行</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企业</w:t>
      </w:r>
      <w:r>
        <w:rPr>
          <w:rFonts w:hint="eastAsia" w:ascii="MS UI Gothic" w:eastAsia="MS UI Gothic"/>
          <w:spacing w:val="13"/>
          <w:w w:val="80"/>
        </w:rPr>
        <w:t xml:space="preserve">、 </w:t>
      </w:r>
      <w:r>
        <w:rPr>
          <w:spacing w:val="2"/>
        </w:rPr>
        <w:t>事业单位中除由国家行政机关</w:t>
      </w:r>
      <w:r>
        <w:rPr>
          <w:spacing w:val="3"/>
        </w:rPr>
        <w:t>任命的人员外</w:t>
      </w:r>
      <w:r>
        <w:rPr>
          <w:rFonts w:hint="eastAsia" w:ascii="MS UI Gothic" w:eastAsia="MS UI Gothic"/>
          <w:spacing w:val="20"/>
          <w:w w:val="80"/>
        </w:rPr>
        <w:t xml:space="preserve">ꎬ </w:t>
      </w:r>
      <w:r>
        <w:rPr>
          <w:spacing w:val="2"/>
        </w:rPr>
        <w:t>其他人员有安全生产领域</w:t>
      </w:r>
      <w:r>
        <w:rPr>
          <w:spacing w:val="10"/>
        </w:rPr>
        <w:t>违法违纪行为</w:t>
      </w:r>
      <w:r>
        <w:rPr>
          <w:rFonts w:hint="eastAsia" w:ascii="MS UI Gothic" w:eastAsia="MS UI Gothic"/>
          <w:spacing w:val="3"/>
          <w:w w:val="80"/>
        </w:rPr>
        <w:t xml:space="preserve">ꎬ </w:t>
      </w:r>
      <w:r>
        <w:rPr>
          <w:spacing w:val="20"/>
        </w:rPr>
        <w:t>应当给予处分的</w:t>
      </w:r>
      <w:r>
        <w:rPr>
          <w:rFonts w:hint="eastAsia" w:ascii="MS UI Gothic" w:eastAsia="MS UI Gothic"/>
          <w:spacing w:val="3"/>
          <w:w w:val="80"/>
        </w:rPr>
        <w:t xml:space="preserve">ꎬ </w:t>
      </w:r>
      <w:r>
        <w:rPr>
          <w:spacing w:val="11"/>
        </w:rPr>
        <w:t>由企</w:t>
      </w:r>
      <w:r>
        <w:rPr>
          <w:spacing w:val="3"/>
        </w:rPr>
        <w:t>业</w:t>
      </w:r>
      <w:r>
        <w:rPr>
          <w:rFonts w:hint="eastAsia" w:ascii="MS UI Gothic" w:eastAsia="MS UI Gothic"/>
          <w:spacing w:val="4"/>
          <w:w w:val="80"/>
        </w:rPr>
        <w:t xml:space="preserve">、 </w:t>
      </w:r>
      <w:r>
        <w:rPr>
          <w:spacing w:val="3"/>
        </w:rPr>
        <w:t>事业单位参照本规定执行</w:t>
      </w:r>
      <w:r>
        <w:rPr>
          <w:rFonts w:hint="eastAsia" w:ascii="MS UI Gothic" w:eastAsia="MS UI Gothic"/>
          <w:w w:val="80"/>
        </w:rPr>
        <w:t>ꎮ</w:t>
      </w:r>
    </w:p>
    <w:p>
      <w:pPr>
        <w:pStyle w:val="6"/>
        <w:spacing w:line="295" w:lineRule="auto"/>
        <w:ind w:left="381" w:right="126"/>
        <w:rPr>
          <w:rFonts w:hint="eastAsia" w:ascii="MS UI Gothic" w:eastAsia="MS UI Gothic"/>
        </w:rPr>
      </w:pPr>
      <w:r>
        <w:t>第十八条 有安全生产领域违法违纪行为</w:t>
      </w:r>
      <w:r>
        <w:rPr>
          <w:rFonts w:hint="eastAsia" w:ascii="MS UI Gothic" w:eastAsia="MS UI Gothic"/>
          <w:w w:val="80"/>
        </w:rPr>
        <w:t xml:space="preserve">ꎬ </w:t>
      </w:r>
      <w:r>
        <w:t>需要给予组织处理的</w:t>
      </w:r>
      <w:r>
        <w:rPr>
          <w:rFonts w:hint="eastAsia" w:ascii="MS UI Gothic" w:eastAsia="MS UI Gothic"/>
          <w:w w:val="80"/>
        </w:rPr>
        <w:t xml:space="preserve">ꎬ </w:t>
      </w:r>
      <w:r>
        <w:t>依照有关规定办理</w:t>
      </w:r>
      <w:r>
        <w:rPr>
          <w:rFonts w:hint="eastAsia" w:ascii="MS UI Gothic" w:eastAsia="MS UI Gothic"/>
          <w:w w:val="80"/>
        </w:rPr>
        <w:t>ꎮ</w:t>
      </w:r>
    </w:p>
    <w:p>
      <w:pPr>
        <w:pStyle w:val="6"/>
        <w:spacing w:line="295" w:lineRule="auto"/>
        <w:ind w:left="381" w:right="126"/>
        <w:rPr>
          <w:rFonts w:hint="eastAsia" w:ascii="MS UI Gothic" w:eastAsia="MS UI Gothic"/>
        </w:rPr>
      </w:pPr>
      <w:r>
        <w:t>第十九条 有安全生产领域违法违纪行为</w:t>
      </w:r>
      <w:r>
        <w:rPr>
          <w:rFonts w:hint="eastAsia" w:ascii="MS UI Gothic" w:eastAsia="MS UI Gothic"/>
          <w:w w:val="80"/>
        </w:rPr>
        <w:t xml:space="preserve">ꎬ </w:t>
      </w:r>
      <w:r>
        <w:t>涉嫌犯罪的</w:t>
      </w:r>
      <w:r>
        <w:rPr>
          <w:rFonts w:hint="eastAsia" w:ascii="MS UI Gothic" w:eastAsia="MS UI Gothic"/>
          <w:w w:val="80"/>
        </w:rPr>
        <w:t xml:space="preserve">ꎬ </w:t>
      </w:r>
      <w:r>
        <w:t>移送司法机关依法处理</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第二十条 本规定由监察部和国家安全生产监督管理总局负责解释</w:t>
      </w:r>
      <w:r>
        <w:rPr>
          <w:rFonts w:hint="eastAsia" w:ascii="MS UI Gothic" w:eastAsia="MS UI Gothic"/>
          <w:w w:val="80"/>
        </w:rPr>
        <w:t>ꎮ</w:t>
      </w:r>
    </w:p>
    <w:p>
      <w:pPr>
        <w:pStyle w:val="6"/>
        <w:spacing w:line="295" w:lineRule="auto"/>
        <w:ind w:left="381" w:right="126"/>
        <w:rPr>
          <w:rFonts w:hint="eastAsia" w:ascii="MS UI Gothic" w:eastAsia="MS UI Gothic"/>
        </w:rPr>
      </w:pPr>
      <w:r>
        <w:t>第二十一条  本规定自公布之日起施行</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１２２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09" o:spid="_x0000_s1409" o:spt="203" style="height:2.15pt;width:398.25pt;" coordsize="7965,43">
            <o:lock v:ext="edit"/>
            <v:line id="_x0000_s1410" o:spid="_x0000_s1410" o:spt="20" style="position:absolute;left:0;top:39;height:0;width:7965;" stroked="t" coordsize="21600,21600">
              <v:path arrowok="t"/>
              <v:fill focussize="0,0"/>
              <v:stroke weight="0.388031496062992pt" color="#231F20"/>
              <v:imagedata o:title=""/>
              <o:lock v:ext="edit"/>
            </v:line>
            <v:line id="_x0000_s1411" o:spid="_x0000_s1411"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icrosoft Yi Baiti"/>
        </w:rPr>
      </w:pPr>
    </w:p>
    <w:p>
      <w:pPr>
        <w:pStyle w:val="6"/>
        <w:spacing w:before="9"/>
        <w:ind w:left="0" w:firstLine="0"/>
        <w:jc w:val="left"/>
        <w:rPr>
          <w:rFonts w:ascii="Microsoft Yi Baiti"/>
        </w:rPr>
      </w:pPr>
    </w:p>
    <w:p>
      <w:pPr>
        <w:pStyle w:val="4"/>
        <w:spacing w:before="74" w:line="266" w:lineRule="auto"/>
        <w:ind w:left="2570" w:right="2890"/>
      </w:pPr>
      <w:r>
        <w:t>国家安全生产监督管理局国家煤矿安全监察局</w:t>
      </w:r>
    </w:p>
    <w:p>
      <w:pPr>
        <w:pStyle w:val="6"/>
        <w:spacing w:before="1"/>
        <w:ind w:left="0" w:firstLine="0"/>
        <w:jc w:val="left"/>
        <w:rPr>
          <w:sz w:val="24"/>
        </w:rPr>
      </w:pPr>
    </w:p>
    <w:p>
      <w:pPr>
        <w:pStyle w:val="5"/>
        <w:ind w:right="628"/>
      </w:pPr>
      <w:r>
        <w:t xml:space="preserve">第 </w:t>
      </w:r>
      <w:r>
        <w:rPr>
          <w:rFonts w:hint="eastAsia" w:ascii="MS UI Gothic" w:eastAsia="MS UI Gothic"/>
        </w:rPr>
        <w:t xml:space="preserve">１５ </w:t>
      </w:r>
      <w:r>
        <w:t>号令</w:t>
      </w:r>
    </w:p>
    <w:p>
      <w:pPr>
        <w:pStyle w:val="6"/>
        <w:spacing w:before="354" w:line="295" w:lineRule="auto"/>
        <w:ind w:right="442"/>
        <w:jc w:val="left"/>
        <w:rPr>
          <w:rFonts w:hint="eastAsia" w:ascii="MS UI Gothic" w:hAnsi="MS UI Gothic" w:eastAsia="MS UI Gothic"/>
        </w:rPr>
      </w:pPr>
      <w:r>
        <w:rPr>
          <w:rFonts w:hint="eastAsia" w:ascii="MS UI Gothic" w:hAnsi="MS UI Gothic" w:eastAsia="MS UI Gothic"/>
          <w:spacing w:val="-15"/>
          <w:w w:val="95"/>
        </w:rPr>
        <w:t xml:space="preserve">« </w:t>
      </w:r>
      <w:r>
        <w:rPr>
          <w:spacing w:val="3"/>
          <w:w w:val="95"/>
        </w:rPr>
        <w:t>安全生产监督罚款管理暂行办法</w:t>
      </w:r>
      <w:r>
        <w:rPr>
          <w:rFonts w:hint="eastAsia" w:ascii="MS UI Gothic" w:hAnsi="MS UI Gothic" w:eastAsia="MS UI Gothic"/>
          <w:spacing w:val="1"/>
          <w:w w:val="95"/>
        </w:rPr>
        <w:t xml:space="preserve">» </w:t>
      </w:r>
      <w:r>
        <w:rPr>
          <w:spacing w:val="-12"/>
          <w:w w:val="95"/>
        </w:rPr>
        <w:t xml:space="preserve">已经 </w:t>
      </w:r>
      <w:r>
        <w:rPr>
          <w:rFonts w:hint="eastAsia" w:ascii="MS UI Gothic" w:hAnsi="MS UI Gothic" w:eastAsia="MS UI Gothic"/>
          <w:spacing w:val="4"/>
          <w:w w:val="95"/>
        </w:rPr>
        <w:t xml:space="preserve">２００４ </w:t>
      </w:r>
      <w:r>
        <w:rPr>
          <w:spacing w:val="-18"/>
          <w:w w:val="95"/>
        </w:rPr>
        <w:t xml:space="preserve">年 </w:t>
      </w:r>
      <w:r>
        <w:rPr>
          <w:rFonts w:hint="eastAsia" w:ascii="MS UI Gothic" w:hAnsi="MS UI Gothic" w:eastAsia="MS UI Gothic"/>
          <w:spacing w:val="7"/>
          <w:w w:val="95"/>
        </w:rPr>
        <w:t xml:space="preserve">１０ </w:t>
      </w:r>
      <w:r>
        <w:rPr>
          <w:spacing w:val="-19"/>
          <w:w w:val="95"/>
        </w:rPr>
        <w:t xml:space="preserve">月 </w:t>
      </w:r>
      <w:r>
        <w:rPr>
          <w:rFonts w:hint="eastAsia" w:ascii="MS UI Gothic" w:hAnsi="MS UI Gothic" w:eastAsia="MS UI Gothic"/>
          <w:spacing w:val="7"/>
          <w:w w:val="95"/>
        </w:rPr>
        <w:t xml:space="preserve">１８ </w:t>
      </w:r>
      <w:r>
        <w:rPr>
          <w:spacing w:val="2"/>
          <w:w w:val="95"/>
        </w:rPr>
        <w:t>日国家安全生产监督管理</w:t>
      </w:r>
      <w:r>
        <w:rPr>
          <w:spacing w:val="21"/>
          <w:w w:val="95"/>
        </w:rPr>
        <w:t xml:space="preserve">局 </w:t>
      </w:r>
      <w:r>
        <w:rPr>
          <w:rFonts w:hint="eastAsia" w:ascii="MS UI Gothic" w:hAnsi="MS UI Gothic" w:eastAsia="MS UI Gothic"/>
          <w:spacing w:val="-30"/>
          <w:w w:val="140"/>
        </w:rPr>
        <w:t xml:space="preserve">( </w:t>
      </w:r>
      <w:r>
        <w:rPr>
          <w:spacing w:val="3"/>
          <w:w w:val="95"/>
        </w:rPr>
        <w:t>国家煤矿安全监察局</w:t>
      </w:r>
      <w:r>
        <w:rPr>
          <w:rFonts w:hint="eastAsia" w:ascii="MS UI Gothic" w:hAnsi="MS UI Gothic" w:eastAsia="MS UI Gothic"/>
          <w:spacing w:val="36"/>
          <w:w w:val="140"/>
        </w:rPr>
        <w:t xml:space="preserve">) </w:t>
      </w:r>
      <w:r>
        <w:rPr>
          <w:spacing w:val="3"/>
          <w:w w:val="95"/>
        </w:rPr>
        <w:t>局务会议审议通过</w:t>
      </w:r>
      <w:r>
        <w:rPr>
          <w:rFonts w:hint="eastAsia" w:ascii="MS UI Gothic" w:hAnsi="MS UI Gothic" w:eastAsia="MS UI Gothic"/>
          <w:spacing w:val="15"/>
          <w:w w:val="85"/>
        </w:rPr>
        <w:t xml:space="preserve">ꎬ </w:t>
      </w:r>
      <w:r>
        <w:rPr>
          <w:spacing w:val="3"/>
          <w:w w:val="95"/>
        </w:rPr>
        <w:t>现予公布</w:t>
      </w:r>
      <w:r>
        <w:rPr>
          <w:rFonts w:hint="eastAsia" w:ascii="MS UI Gothic" w:hAnsi="MS UI Gothic" w:eastAsia="MS UI Gothic"/>
          <w:spacing w:val="14"/>
          <w:w w:val="85"/>
        </w:rPr>
        <w:t xml:space="preserve">ꎬ </w:t>
      </w:r>
      <w:r>
        <w:rPr>
          <w:spacing w:val="3"/>
          <w:w w:val="95"/>
        </w:rPr>
        <w:t>自公布之日起施行</w:t>
      </w:r>
      <w:r>
        <w:rPr>
          <w:rFonts w:hint="eastAsia" w:ascii="MS UI Gothic" w:hAnsi="MS UI Gothic" w:eastAsia="MS UI Gothic"/>
          <w:w w:val="85"/>
        </w:rPr>
        <w:t>ꎮ</w:t>
      </w:r>
    </w:p>
    <w:p>
      <w:pPr>
        <w:pStyle w:val="6"/>
        <w:spacing w:before="313"/>
        <w:ind w:left="0" w:right="442" w:firstLine="0"/>
        <w:jc w:val="right"/>
      </w:pPr>
      <w:r>
        <w:t>二</w:t>
      </w:r>
      <w:r>
        <w:rPr>
          <w:rFonts w:hint="eastAsia" w:ascii="MS UI Gothic" w:hAnsi="MS UI Gothic" w:eastAsia="MS UI Gothic"/>
        </w:rPr>
        <w:t>○○</w:t>
      </w:r>
      <w:r>
        <w:t>四年十一月三日</w:t>
      </w:r>
    </w:p>
    <w:p>
      <w:pPr>
        <w:pStyle w:val="4"/>
        <w:ind w:right="654"/>
        <w:rPr>
          <w:rFonts w:hint="eastAsia" w:ascii="Microsoft Yi Baiti" w:eastAsia="Microsoft Yi Baiti"/>
        </w:rPr>
      </w:pPr>
      <w:r>
        <w:t xml:space="preserve">安全生产监督罚款管理暂行办法 </w:t>
      </w:r>
      <w:r>
        <w:rPr>
          <w:rFonts w:hint="eastAsia" w:ascii="Microsoft Yi Baiti" w:eastAsia="Microsoft Yi Baiti"/>
        </w:rPr>
        <w:t>(</w:t>
      </w:r>
      <w:r>
        <w:rPr>
          <w:rFonts w:hint="eastAsia" w:ascii="MS UI Gothic" w:eastAsia="MS UI Gothic"/>
        </w:rPr>
        <w:t xml:space="preserve">２００４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174" w:line="297" w:lineRule="auto"/>
        <w:ind w:right="38"/>
        <w:rPr>
          <w:rFonts w:hint="eastAsia" w:ascii="MS UI Gothic" w:hAnsi="MS UI Gothic" w:eastAsia="MS UI Gothic"/>
        </w:rPr>
      </w:pPr>
      <w:r>
        <w:t>第一条 为加强安全生产监督罚款管理工作</w:t>
      </w:r>
      <w:r>
        <w:rPr>
          <w:rFonts w:hint="eastAsia" w:ascii="MS UI Gothic" w:hAnsi="MS UI Gothic" w:eastAsia="MS UI Gothic"/>
          <w:w w:val="80"/>
        </w:rPr>
        <w:t xml:space="preserve">ꎬ </w:t>
      </w:r>
      <w:r>
        <w:t>依法实施安全生产综合监督管理</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安全生产法</w:t>
      </w:r>
      <w:r>
        <w:rPr>
          <w:rFonts w:hint="eastAsia" w:ascii="MS UI Gothic" w:hAnsi="MS UI Gothic" w:eastAsia="MS UI Gothic"/>
          <w:w w:val="80"/>
        </w:rPr>
        <w:t xml:space="preserve">»、 « </w:t>
      </w:r>
      <w:r>
        <w:t>罚款决定与罚款收缴分离实施办法</w:t>
      </w:r>
      <w:r>
        <w:rPr>
          <w:rFonts w:hint="eastAsia" w:ascii="MS UI Gothic" w:hAnsi="MS UI Gothic" w:eastAsia="MS UI Gothic"/>
          <w:w w:val="80"/>
        </w:rPr>
        <w:t xml:space="preserve">» </w:t>
      </w:r>
      <w:r>
        <w:t xml:space="preserve">和 </w:t>
      </w:r>
      <w:r>
        <w:rPr>
          <w:rFonts w:hint="eastAsia" w:ascii="MS UI Gothic" w:hAnsi="MS UI Gothic" w:eastAsia="MS UI Gothic"/>
          <w:w w:val="80"/>
        </w:rPr>
        <w:t xml:space="preserve">« </w:t>
      </w:r>
      <w:r>
        <w:t>财政部关于做好安全生产监督有关罚款收入管理工作的通知</w:t>
      </w:r>
      <w:r>
        <w:rPr>
          <w:rFonts w:hint="eastAsia" w:ascii="MS UI Gothic" w:hAnsi="MS UI Gothic" w:eastAsia="MS UI Gothic"/>
          <w:w w:val="80"/>
        </w:rPr>
        <w:t xml:space="preserve">» </w:t>
      </w:r>
      <w:r>
        <w:t>等法律</w:t>
      </w:r>
      <w:r>
        <w:rPr>
          <w:rFonts w:hint="eastAsia" w:ascii="MS UI Gothic" w:hAnsi="MS UI Gothic" w:eastAsia="MS UI Gothic"/>
          <w:w w:val="80"/>
        </w:rPr>
        <w:t xml:space="preserve">、 </w:t>
      </w:r>
      <w:r>
        <w:t>法规和有关规定</w:t>
      </w:r>
      <w:r>
        <w:rPr>
          <w:rFonts w:hint="eastAsia" w:ascii="MS UI Gothic" w:hAnsi="MS UI Gothic" w:eastAsia="MS UI Gothic"/>
          <w:w w:val="80"/>
        </w:rPr>
        <w:t>ꎬ</w:t>
      </w:r>
      <w:r>
        <w:t>制定本办法</w:t>
      </w:r>
      <w:r>
        <w:rPr>
          <w:rFonts w:hint="eastAsia" w:ascii="MS UI Gothic" w:hAnsi="MS UI Gothic" w:eastAsia="MS UI Gothic"/>
          <w:w w:val="80"/>
        </w:rPr>
        <w:t>ꎮ</w:t>
      </w:r>
    </w:p>
    <w:p>
      <w:pPr>
        <w:pStyle w:val="6"/>
        <w:spacing w:before="6" w:line="297" w:lineRule="auto"/>
        <w:ind w:right="39"/>
        <w:rPr>
          <w:rFonts w:hint="eastAsia" w:ascii="MS UI Gothic" w:eastAsia="MS UI Gothic"/>
        </w:rPr>
      </w:pPr>
      <w:r>
        <w:rPr>
          <w:spacing w:val="2"/>
          <w:w w:val="105"/>
        </w:rPr>
        <w:t>第二条 县级以上人民政府安全生产</w:t>
      </w:r>
      <w:r>
        <w:rPr>
          <w:spacing w:val="4"/>
          <w:w w:val="105"/>
        </w:rPr>
        <w:t xml:space="preserve">监督管理部门 </w:t>
      </w:r>
      <w:r>
        <w:rPr>
          <w:rFonts w:hint="eastAsia" w:ascii="MS UI Gothic" w:eastAsia="MS UI Gothic"/>
          <w:spacing w:val="-37"/>
          <w:w w:val="150"/>
        </w:rPr>
        <w:t xml:space="preserve">( </w:t>
      </w:r>
      <w:r>
        <w:rPr>
          <w:spacing w:val="15"/>
          <w:w w:val="105"/>
        </w:rPr>
        <w:t>以下简称安全生产监督</w:t>
      </w:r>
      <w:r>
        <w:rPr>
          <w:spacing w:val="10"/>
          <w:w w:val="105"/>
        </w:rPr>
        <w:t>管理部门</w:t>
      </w:r>
      <w:r>
        <w:rPr>
          <w:rFonts w:hint="eastAsia" w:ascii="MS UI Gothic" w:eastAsia="MS UI Gothic"/>
          <w:spacing w:val="-5"/>
          <w:w w:val="150"/>
        </w:rPr>
        <w:t xml:space="preserve">) </w:t>
      </w:r>
      <w:r>
        <w:rPr>
          <w:spacing w:val="15"/>
          <w:w w:val="105"/>
        </w:rPr>
        <w:t>对生产经营单位及其有关人</w:t>
      </w:r>
      <w:r>
        <w:rPr>
          <w:spacing w:val="11"/>
        </w:rPr>
        <w:t>员在生产经营活动中违反安全生产的法</w:t>
      </w:r>
      <w:r>
        <w:rPr>
          <w:spacing w:val="3"/>
          <w:w w:val="105"/>
        </w:rPr>
        <w:t>律</w:t>
      </w:r>
      <w:r>
        <w:rPr>
          <w:rFonts w:hint="eastAsia" w:ascii="MS UI Gothic" w:eastAsia="MS UI Gothic"/>
          <w:spacing w:val="19"/>
          <w:w w:val="80"/>
        </w:rPr>
        <w:t xml:space="preserve">、 </w:t>
      </w:r>
      <w:r>
        <w:rPr>
          <w:spacing w:val="3"/>
          <w:w w:val="105"/>
        </w:rPr>
        <w:t>行政法规</w:t>
      </w:r>
      <w:r>
        <w:rPr>
          <w:rFonts w:hint="eastAsia" w:ascii="MS UI Gothic" w:eastAsia="MS UI Gothic"/>
          <w:spacing w:val="20"/>
          <w:w w:val="80"/>
        </w:rPr>
        <w:t xml:space="preserve">、 </w:t>
      </w:r>
      <w:r>
        <w:rPr>
          <w:spacing w:val="3"/>
          <w:w w:val="105"/>
        </w:rPr>
        <w:t>部门规章</w:t>
      </w:r>
      <w:r>
        <w:rPr>
          <w:rFonts w:hint="eastAsia" w:ascii="MS UI Gothic" w:eastAsia="MS UI Gothic"/>
          <w:spacing w:val="19"/>
          <w:w w:val="80"/>
        </w:rPr>
        <w:t xml:space="preserve">、 </w:t>
      </w:r>
      <w:r>
        <w:rPr>
          <w:spacing w:val="3"/>
          <w:w w:val="105"/>
        </w:rPr>
        <w:t>国家标准</w:t>
      </w:r>
      <w:r>
        <w:rPr>
          <w:rFonts w:hint="eastAsia" w:ascii="MS UI Gothic" w:eastAsia="MS UI Gothic"/>
          <w:spacing w:val="20"/>
          <w:w w:val="80"/>
        </w:rPr>
        <w:t xml:space="preserve">、 </w:t>
      </w:r>
      <w:r>
        <w:rPr>
          <w:w w:val="105"/>
        </w:rPr>
        <w:t>行</w:t>
      </w:r>
      <w:r>
        <w:rPr>
          <w:spacing w:val="6"/>
          <w:w w:val="105"/>
        </w:rPr>
        <w:t xml:space="preserve">业标准和规程的违法行为 </w:t>
      </w:r>
      <w:r>
        <w:rPr>
          <w:rFonts w:hint="eastAsia" w:ascii="MS UI Gothic" w:eastAsia="MS UI Gothic"/>
          <w:spacing w:val="-37"/>
          <w:w w:val="150"/>
        </w:rPr>
        <w:t xml:space="preserve">( </w:t>
      </w:r>
      <w:r>
        <w:rPr>
          <w:spacing w:val="13"/>
          <w:w w:val="105"/>
        </w:rPr>
        <w:t>以下简称安</w:t>
      </w:r>
      <w:r>
        <w:rPr>
          <w:spacing w:val="11"/>
          <w:w w:val="105"/>
        </w:rPr>
        <w:t>全生产违法行为</w:t>
      </w:r>
      <w:r>
        <w:rPr>
          <w:rFonts w:hint="eastAsia" w:ascii="MS UI Gothic" w:eastAsia="MS UI Gothic"/>
          <w:spacing w:val="-6"/>
          <w:w w:val="150"/>
        </w:rPr>
        <w:t xml:space="preserve">) </w:t>
      </w:r>
      <w:r>
        <w:rPr>
          <w:spacing w:val="18"/>
          <w:w w:val="105"/>
        </w:rPr>
        <w:t>依法实施罚款</w:t>
      </w:r>
      <w:r>
        <w:rPr>
          <w:rFonts w:hint="eastAsia" w:ascii="MS UI Gothic" w:eastAsia="MS UI Gothic"/>
          <w:spacing w:val="10"/>
          <w:w w:val="80"/>
        </w:rPr>
        <w:t xml:space="preserve">ꎬ </w:t>
      </w:r>
      <w:r>
        <w:rPr>
          <w:spacing w:val="10"/>
          <w:w w:val="105"/>
        </w:rPr>
        <w:t>适用</w:t>
      </w:r>
      <w:r>
        <w:rPr>
          <w:spacing w:val="3"/>
          <w:w w:val="105"/>
        </w:rPr>
        <w:t>本办法</w:t>
      </w:r>
      <w:r>
        <w:rPr>
          <w:rFonts w:hint="eastAsia" w:ascii="MS UI Gothic" w:eastAsia="MS UI Gothic"/>
          <w:w w:val="80"/>
        </w:rPr>
        <w:t>ꎮ</w:t>
      </w:r>
    </w:p>
    <w:p>
      <w:pPr>
        <w:pStyle w:val="6"/>
        <w:spacing w:before="8" w:line="297" w:lineRule="auto"/>
        <w:ind w:right="39"/>
        <w:rPr>
          <w:rFonts w:hint="eastAsia" w:ascii="MS UI Gothic" w:eastAsia="MS UI Gothic"/>
        </w:rPr>
      </w:pPr>
      <w:r>
        <w:rPr>
          <w:w w:val="105"/>
        </w:rPr>
        <w:t>第三条 安全生产监督罚款实行处罚决定与罚款收缴分离</w:t>
      </w:r>
      <w:r>
        <w:rPr>
          <w:rFonts w:hint="eastAsia" w:ascii="MS UI Gothic" w:eastAsia="MS UI Gothic"/>
          <w:w w:val="80"/>
        </w:rPr>
        <w:t>ꎮ</w:t>
      </w:r>
    </w:p>
    <w:p>
      <w:pPr>
        <w:pStyle w:val="6"/>
        <w:spacing w:before="1" w:line="297" w:lineRule="auto"/>
        <w:ind w:right="39"/>
        <w:rPr>
          <w:rFonts w:hint="eastAsia" w:ascii="MS UI Gothic" w:eastAsia="MS UI Gothic"/>
        </w:rPr>
      </w:pPr>
      <w:r>
        <w:t>安全生产监督管理部门按照有关规定</w:t>
      </w:r>
      <w:r>
        <w:rPr>
          <w:rFonts w:hint="eastAsia" w:ascii="MS UI Gothic" w:eastAsia="MS UI Gothic"/>
          <w:w w:val="80"/>
        </w:rPr>
        <w:t xml:space="preserve">ꎬ </w:t>
      </w:r>
      <w:r>
        <w:t>对安全生产违法行为实施罚款</w:t>
      </w:r>
      <w:r>
        <w:rPr>
          <w:rFonts w:hint="eastAsia" w:ascii="MS UI Gothic" w:eastAsia="MS UI Gothic"/>
          <w:w w:val="80"/>
        </w:rPr>
        <w:t xml:space="preserve">ꎬ </w:t>
      </w:r>
      <w:r>
        <w:t>开具安全生产监督管理行政处罚决定书</w:t>
      </w:r>
      <w:r>
        <w:rPr>
          <w:rFonts w:hint="eastAsia" w:ascii="MS UI Gothic" w:eastAsia="MS UI Gothic"/>
          <w:w w:val="80"/>
        </w:rPr>
        <w:t xml:space="preserve">ꎻ </w:t>
      </w:r>
      <w:r>
        <w:t>被处罚人持安全生产监督管理部门开具的行政处罚决定书到指定的代收银行及其分支机</w:t>
      </w:r>
      <w:r>
        <w:rPr>
          <w:w w:val="105"/>
        </w:rPr>
        <w:t>构缴纳罚款</w:t>
      </w:r>
      <w:r>
        <w:rPr>
          <w:rFonts w:hint="eastAsia" w:ascii="MS UI Gothic" w:eastAsia="MS UI Gothic"/>
          <w:w w:val="80"/>
        </w:rPr>
        <w:t>ꎮ</w:t>
      </w:r>
    </w:p>
    <w:p>
      <w:pPr>
        <w:pStyle w:val="6"/>
        <w:spacing w:before="7" w:line="297" w:lineRule="auto"/>
        <w:ind w:right="39"/>
      </w:pPr>
      <w:r>
        <w:t xml:space="preserve">罚款代收银行的确定以及会计科目的使用应严格按照财政部 </w:t>
      </w:r>
      <w:r>
        <w:rPr>
          <w:rFonts w:hint="eastAsia" w:ascii="MS UI Gothic" w:hAnsi="MS UI Gothic" w:eastAsia="MS UI Gothic"/>
        </w:rPr>
        <w:t xml:space="preserve">« </w:t>
      </w:r>
      <w:r>
        <w:t>罚款代收代缴</w:t>
      </w:r>
    </w:p>
    <w:p>
      <w:pPr>
        <w:pStyle w:val="6"/>
        <w:spacing w:before="174" w:line="297" w:lineRule="auto"/>
        <w:ind w:right="442" w:firstLine="0"/>
        <w:rPr>
          <w:rFonts w:hint="eastAsia" w:ascii="MS UI Gothic" w:hAnsi="MS UI Gothic" w:eastAsia="MS UI Gothic"/>
        </w:rPr>
      </w:pPr>
      <w:r>
        <w:br w:type="column"/>
      </w:r>
      <w:r>
        <w:t>管理办法</w:t>
      </w:r>
      <w:r>
        <w:rPr>
          <w:rFonts w:hint="eastAsia" w:ascii="MS UI Gothic" w:hAnsi="MS UI Gothic" w:eastAsia="MS UI Gothic"/>
          <w:w w:val="80"/>
        </w:rPr>
        <w:t xml:space="preserve">» </w:t>
      </w:r>
      <w:r>
        <w:t>和其他有关规定办理</w:t>
      </w:r>
      <w:r>
        <w:rPr>
          <w:rFonts w:hint="eastAsia" w:ascii="MS UI Gothic" w:hAnsi="MS UI Gothic" w:eastAsia="MS UI Gothic"/>
          <w:w w:val="80"/>
        </w:rPr>
        <w:t xml:space="preserve">ꎮ </w:t>
      </w:r>
      <w:r>
        <w:t xml:space="preserve">代收银行的代收手续费按照 </w:t>
      </w:r>
      <w:r>
        <w:rPr>
          <w:rFonts w:hint="eastAsia" w:ascii="MS UI Gothic" w:hAnsi="MS UI Gothic" w:eastAsia="MS UI Gothic"/>
          <w:w w:val="80"/>
        </w:rPr>
        <w:t xml:space="preserve">« </w:t>
      </w:r>
      <w:r>
        <w:t>财政部</w:t>
      </w:r>
      <w:r>
        <w:rPr>
          <w:rFonts w:hint="eastAsia" w:ascii="MS UI Gothic" w:hAnsi="MS UI Gothic" w:eastAsia="MS UI Gothic"/>
          <w:w w:val="80"/>
        </w:rPr>
        <w:t xml:space="preserve">、 </w:t>
      </w:r>
      <w:r>
        <w:t>中国人民银行关于代收罚款手续费有关问题的通知</w:t>
      </w:r>
      <w:r>
        <w:rPr>
          <w:rFonts w:hint="eastAsia" w:ascii="MS UI Gothic" w:hAnsi="MS UI Gothic" w:eastAsia="MS UI Gothic"/>
          <w:w w:val="80"/>
        </w:rPr>
        <w:t xml:space="preserve">» </w:t>
      </w:r>
      <w:r>
        <w:t>的规定执行</w:t>
      </w:r>
      <w:r>
        <w:rPr>
          <w:rFonts w:hint="eastAsia" w:ascii="MS UI Gothic" w:hAnsi="MS UI Gothic" w:eastAsia="MS UI Gothic"/>
          <w:w w:val="80"/>
        </w:rPr>
        <w:t>ꎮ</w:t>
      </w:r>
    </w:p>
    <w:p>
      <w:pPr>
        <w:pStyle w:val="6"/>
        <w:spacing w:before="2" w:line="300" w:lineRule="auto"/>
        <w:ind w:right="440"/>
        <w:rPr>
          <w:rFonts w:hint="eastAsia" w:ascii="MS UI Gothic" w:eastAsia="MS UI Gothic"/>
        </w:rPr>
      </w:pPr>
      <w:r>
        <w:t>第四条 罚款票据使用省</w:t>
      </w:r>
      <w:r>
        <w:rPr>
          <w:rFonts w:hint="eastAsia" w:ascii="MS UI Gothic" w:eastAsia="MS UI Gothic"/>
          <w:w w:val="80"/>
        </w:rPr>
        <w:t xml:space="preserve">、 </w:t>
      </w:r>
      <w:r>
        <w:t>自治区</w:t>
      </w:r>
      <w:r>
        <w:rPr>
          <w:rFonts w:hint="eastAsia" w:ascii="MS UI Gothic" w:eastAsia="MS UI Gothic"/>
          <w:w w:val="80"/>
        </w:rPr>
        <w:t>、</w:t>
      </w:r>
      <w:r>
        <w:t>直辖市财政部门统一印制的罚款收据</w:t>
      </w:r>
      <w:r>
        <w:rPr>
          <w:rFonts w:hint="eastAsia" w:ascii="MS UI Gothic" w:eastAsia="MS UI Gothic"/>
          <w:w w:val="80"/>
        </w:rPr>
        <w:t xml:space="preserve">ꎬ </w:t>
      </w:r>
      <w:r>
        <w:t>并由代收银行负责管理</w:t>
      </w:r>
      <w:r>
        <w:rPr>
          <w:rFonts w:hint="eastAsia" w:ascii="MS UI Gothic" w:eastAsia="MS UI Gothic"/>
          <w:w w:val="80"/>
        </w:rPr>
        <w:t>ꎮ</w:t>
      </w:r>
    </w:p>
    <w:p>
      <w:pPr>
        <w:pStyle w:val="6"/>
        <w:spacing w:line="300" w:lineRule="auto"/>
        <w:ind w:right="442"/>
        <w:rPr>
          <w:rFonts w:hint="eastAsia" w:ascii="MS UI Gothic" w:eastAsia="MS UI Gothic"/>
        </w:rPr>
      </w:pPr>
      <w:r>
        <w:t>安全生产监督管理部门可领取小额罚款票据</w:t>
      </w:r>
      <w:r>
        <w:rPr>
          <w:rFonts w:hint="eastAsia" w:ascii="MS UI Gothic" w:eastAsia="MS UI Gothic"/>
          <w:w w:val="80"/>
        </w:rPr>
        <w:t xml:space="preserve">ꎬ </w:t>
      </w:r>
      <w:r>
        <w:t>并负责管理</w:t>
      </w:r>
      <w:r>
        <w:rPr>
          <w:rFonts w:hint="eastAsia" w:ascii="MS UI Gothic" w:eastAsia="MS UI Gothic"/>
          <w:w w:val="80"/>
        </w:rPr>
        <w:t xml:space="preserve">ꎮ </w:t>
      </w:r>
      <w:r>
        <w:t>罚没款票据的使用</w:t>
      </w:r>
      <w:r>
        <w:rPr>
          <w:rFonts w:hint="eastAsia" w:ascii="MS UI Gothic" w:eastAsia="MS UI Gothic"/>
          <w:w w:val="80"/>
        </w:rPr>
        <w:t xml:space="preserve">ꎬ </w:t>
      </w:r>
      <w:r>
        <w:t>应当符合罚款票据管理暂行规定</w:t>
      </w:r>
      <w:r>
        <w:rPr>
          <w:rFonts w:hint="eastAsia" w:ascii="MS UI Gothic" w:eastAsia="MS UI Gothic"/>
          <w:w w:val="80"/>
        </w:rPr>
        <w:t>ꎮ</w:t>
      </w:r>
    </w:p>
    <w:p>
      <w:pPr>
        <w:pStyle w:val="6"/>
        <w:spacing w:line="297" w:lineRule="auto"/>
        <w:ind w:right="442"/>
        <w:rPr>
          <w:rFonts w:hint="eastAsia" w:ascii="MS UI Gothic" w:eastAsia="MS UI Gothic"/>
        </w:rPr>
      </w:pPr>
      <w:r>
        <w:t>尚未实行银行代收的罚款</w:t>
      </w:r>
      <w:r>
        <w:rPr>
          <w:rFonts w:hint="eastAsia" w:ascii="MS UI Gothic" w:eastAsia="MS UI Gothic"/>
          <w:w w:val="80"/>
        </w:rPr>
        <w:t xml:space="preserve">ꎬ </w:t>
      </w:r>
      <w:r>
        <w:t>由县级以上安全生产监督管理部门统一向同级财政部门购领罚款票据</w:t>
      </w:r>
      <w:r>
        <w:rPr>
          <w:rFonts w:hint="eastAsia" w:ascii="MS UI Gothic" w:eastAsia="MS UI Gothic"/>
          <w:w w:val="80"/>
        </w:rPr>
        <w:t xml:space="preserve">ꎬ </w:t>
      </w:r>
      <w:r>
        <w:t>并负责本单位罚款票据的管理</w:t>
      </w:r>
      <w:r>
        <w:rPr>
          <w:rFonts w:hint="eastAsia" w:ascii="MS UI Gothic" w:eastAsia="MS UI Gothic"/>
          <w:w w:val="80"/>
        </w:rPr>
        <w:t>ꎮ</w:t>
      </w:r>
    </w:p>
    <w:p>
      <w:pPr>
        <w:pStyle w:val="6"/>
        <w:spacing w:line="297" w:lineRule="auto"/>
        <w:ind w:right="442"/>
        <w:rPr>
          <w:rFonts w:hint="eastAsia" w:ascii="MS UI Gothic" w:hAnsi="MS UI Gothic" w:eastAsia="MS UI Gothic"/>
        </w:rPr>
      </w:pPr>
      <w:r>
        <w:t>第五条 安全生产监督罚款收入纳入同级财政预算</w:t>
      </w:r>
      <w:r>
        <w:rPr>
          <w:rFonts w:hint="eastAsia" w:ascii="MS UI Gothic" w:hAnsi="MS UI Gothic" w:eastAsia="MS UI Gothic"/>
          <w:w w:val="80"/>
        </w:rPr>
        <w:t xml:space="preserve">ꎬ </w:t>
      </w:r>
      <w:r>
        <w:t xml:space="preserve">实行 </w:t>
      </w:r>
      <w:r>
        <w:rPr>
          <w:rFonts w:hint="eastAsia" w:ascii="MS UI Gothic" w:hAnsi="MS UI Gothic" w:eastAsia="MS UI Gothic"/>
        </w:rPr>
        <w:t xml:space="preserve">“ </w:t>
      </w:r>
      <w:r>
        <w:t>收支两条线</w:t>
      </w:r>
      <w:r>
        <w:rPr>
          <w:rFonts w:hint="eastAsia" w:ascii="MS UI Gothic" w:hAnsi="MS UI Gothic" w:eastAsia="MS UI Gothic"/>
        </w:rPr>
        <w:t xml:space="preserve">” </w:t>
      </w:r>
      <w:r>
        <w:t>管理</w:t>
      </w:r>
      <w:r>
        <w:rPr>
          <w:rFonts w:hint="eastAsia" w:ascii="MS UI Gothic" w:hAnsi="MS UI Gothic" w:eastAsia="MS UI Gothic"/>
          <w:w w:val="80"/>
        </w:rPr>
        <w:t>ꎮ</w:t>
      </w:r>
    </w:p>
    <w:p>
      <w:pPr>
        <w:pStyle w:val="6"/>
        <w:spacing w:line="300" w:lineRule="auto"/>
        <w:ind w:right="442"/>
        <w:jc w:val="left"/>
        <w:rPr>
          <w:rFonts w:hint="eastAsia" w:ascii="MS UI Gothic" w:eastAsia="MS UI Gothic"/>
        </w:rPr>
      </w:pPr>
      <w:r>
        <w:t>罚款缴库时间按照当地财政部门有关</w:t>
      </w:r>
      <w:r>
        <w:rPr>
          <w:w w:val="105"/>
        </w:rPr>
        <w:t>规定办理</w:t>
      </w:r>
      <w:r>
        <w:rPr>
          <w:rFonts w:hint="eastAsia" w:ascii="MS UI Gothic" w:eastAsia="MS UI Gothic"/>
          <w:w w:val="80"/>
        </w:rPr>
        <w:t>ꎮ</w:t>
      </w:r>
    </w:p>
    <w:p>
      <w:pPr>
        <w:pStyle w:val="6"/>
        <w:spacing w:line="297" w:lineRule="auto"/>
        <w:ind w:right="442"/>
        <w:rPr>
          <w:rFonts w:hint="eastAsia" w:ascii="MS UI Gothic" w:eastAsia="MS UI Gothic"/>
        </w:rPr>
      </w:pPr>
      <w:r>
        <w:t>第六条 安全生产监督管理部门定期到代收银行索取缴款票据</w:t>
      </w:r>
      <w:r>
        <w:rPr>
          <w:rFonts w:hint="eastAsia" w:ascii="MS UI Gothic" w:eastAsia="MS UI Gothic"/>
          <w:w w:val="80"/>
        </w:rPr>
        <w:t xml:space="preserve">ꎬ </w:t>
      </w:r>
      <w:r>
        <w:t>据以登记统计</w:t>
      </w:r>
      <w:r>
        <w:rPr>
          <w:rFonts w:hint="eastAsia" w:ascii="MS UI Gothic" w:eastAsia="MS UI Gothic"/>
          <w:w w:val="80"/>
        </w:rPr>
        <w:t xml:space="preserve">ꎬ </w:t>
      </w:r>
      <w:r>
        <w:t>并和安全生产监督管理行政处罚决定书核对</w:t>
      </w:r>
      <w:r>
        <w:rPr>
          <w:rFonts w:hint="eastAsia" w:ascii="MS UI Gothic" w:eastAsia="MS UI Gothic"/>
          <w:w w:val="80"/>
        </w:rPr>
        <w:t>ꎮ</w:t>
      </w:r>
    </w:p>
    <w:p>
      <w:pPr>
        <w:pStyle w:val="6"/>
        <w:spacing w:line="297" w:lineRule="auto"/>
        <w:ind w:right="440"/>
        <w:rPr>
          <w:rFonts w:hint="eastAsia" w:ascii="MS UI Gothic" w:eastAsia="MS UI Gothic"/>
        </w:rPr>
      </w:pPr>
      <w:r>
        <w:t xml:space="preserve">各地安全生产监督管理部门应于每季度终了后 </w:t>
      </w:r>
      <w:r>
        <w:rPr>
          <w:rFonts w:hint="eastAsia" w:ascii="MS UI Gothic" w:eastAsia="MS UI Gothic"/>
          <w:w w:val="80"/>
        </w:rPr>
        <w:t xml:space="preserve">７ </w:t>
      </w:r>
      <w:r>
        <w:t>日内将罚款统计表逐级上报</w:t>
      </w:r>
      <w:r>
        <w:rPr>
          <w:rFonts w:hint="eastAsia" w:ascii="MS UI Gothic" w:eastAsia="MS UI Gothic"/>
          <w:w w:val="80"/>
        </w:rPr>
        <w:t>ꎮ</w:t>
      </w:r>
    </w:p>
    <w:p>
      <w:pPr>
        <w:spacing w:after="0" w:line="297"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１２３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12" o:spid="_x0000_s1412" o:spt="203" style="height:2.15pt;width:398.25pt;" coordsize="7965,43">
            <o:lock v:ext="edit"/>
            <v:line id="_x0000_s1413" o:spid="_x0000_s1413" o:spt="20" style="position:absolute;left:0;top:39;height:0;width:7965;" stroked="t" coordsize="21600,21600">
              <v:path arrowok="t"/>
              <v:fill focussize="0,0"/>
              <v:stroke weight="0.388031496062992pt" color="#231F20"/>
              <v:imagedata o:title=""/>
              <o:lock v:ext="edit"/>
            </v:line>
            <v:line id="_x0000_s1414" o:spid="_x0000_s141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rPr>
          <w:spacing w:val="2"/>
        </w:rPr>
        <w:t xml:space="preserve">各省级安全生产监督管理部门应于每半年 </w:t>
      </w:r>
      <w:r>
        <w:rPr>
          <w:rFonts w:hint="eastAsia" w:ascii="MS UI Gothic" w:eastAsia="MS UI Gothic"/>
          <w:spacing w:val="-35"/>
          <w:w w:val="145"/>
        </w:rPr>
        <w:t xml:space="preserve">( </w:t>
      </w:r>
      <w:r>
        <w:rPr>
          <w:spacing w:val="3"/>
          <w:w w:val="105"/>
        </w:rPr>
        <w:t>年</w:t>
      </w:r>
      <w:r>
        <w:rPr>
          <w:rFonts w:hint="eastAsia" w:ascii="MS UI Gothic" w:eastAsia="MS UI Gothic"/>
          <w:spacing w:val="7"/>
          <w:w w:val="145"/>
        </w:rPr>
        <w:t xml:space="preserve">) </w:t>
      </w:r>
      <w:r>
        <w:rPr>
          <w:spacing w:val="-7"/>
          <w:w w:val="105"/>
        </w:rPr>
        <w:t xml:space="preserve">终了后 </w:t>
      </w:r>
      <w:r>
        <w:rPr>
          <w:rFonts w:hint="eastAsia" w:ascii="MS UI Gothic" w:eastAsia="MS UI Gothic"/>
          <w:spacing w:val="3"/>
          <w:w w:val="85"/>
        </w:rPr>
        <w:t xml:space="preserve">１５ </w:t>
      </w:r>
      <w:r>
        <w:rPr>
          <w:spacing w:val="14"/>
          <w:w w:val="105"/>
        </w:rPr>
        <w:t>日内将罚款统计表报国</w:t>
      </w:r>
      <w:r>
        <w:rPr>
          <w:spacing w:val="3"/>
          <w:w w:val="105"/>
        </w:rPr>
        <w:t>家安全生产监督管理局</w:t>
      </w:r>
      <w:r>
        <w:rPr>
          <w:rFonts w:hint="eastAsia" w:ascii="MS UI Gothic" w:eastAsia="MS UI Gothic"/>
          <w:w w:val="85"/>
        </w:rPr>
        <w:t>ꎮ</w:t>
      </w:r>
    </w:p>
    <w:p>
      <w:pPr>
        <w:pStyle w:val="6"/>
        <w:spacing w:line="295" w:lineRule="auto"/>
        <w:ind w:left="440"/>
        <w:rPr>
          <w:rFonts w:hint="eastAsia" w:ascii="MS UI Gothic" w:eastAsia="MS UI Gothic"/>
        </w:rPr>
      </w:pPr>
      <w:r>
        <w:t>第七条 安全生产监督管理部门罚款收入的缴库情况</w:t>
      </w:r>
      <w:r>
        <w:rPr>
          <w:rFonts w:hint="eastAsia" w:ascii="MS UI Gothic" w:eastAsia="MS UI Gothic"/>
          <w:w w:val="80"/>
        </w:rPr>
        <w:t xml:space="preserve">ꎬ </w:t>
      </w:r>
      <w:r>
        <w:t>应接受同级财政部门的检查和监督</w:t>
      </w:r>
      <w:r>
        <w:rPr>
          <w:rFonts w:hint="eastAsia" w:ascii="MS UI Gothic" w:eastAsia="MS UI Gothic"/>
          <w:w w:val="80"/>
        </w:rPr>
        <w:t>ꎮ</w:t>
      </w:r>
    </w:p>
    <w:p>
      <w:pPr>
        <w:pStyle w:val="6"/>
        <w:spacing w:line="295" w:lineRule="auto"/>
        <w:ind w:left="440"/>
      </w:pPr>
      <w:r>
        <w:rPr>
          <w:w w:val="105"/>
        </w:rPr>
        <w:t>第八条 安全生产监督罚款应严格执</w:t>
      </w:r>
      <w:r>
        <w:t>行国家有关罚款收支管理的规定</w:t>
      </w:r>
      <w:r>
        <w:rPr>
          <w:rFonts w:hint="eastAsia" w:ascii="MS UI Gothic" w:hAnsi="MS UI Gothic" w:eastAsia="MS UI Gothic"/>
          <w:w w:val="80"/>
        </w:rPr>
        <w:t xml:space="preserve">ꎬ </w:t>
      </w:r>
      <w:r>
        <w:t>对违反</w:t>
      </w:r>
      <w:r>
        <w:rPr>
          <w:rFonts w:hint="eastAsia" w:ascii="MS UI Gothic" w:hAnsi="MS UI Gothic" w:eastAsia="MS UI Gothic"/>
          <w:w w:val="105"/>
        </w:rPr>
        <w:t xml:space="preserve">“ </w:t>
      </w:r>
      <w:r>
        <w:rPr>
          <w:w w:val="105"/>
        </w:rPr>
        <w:t>收支两条线</w:t>
      </w:r>
      <w:r>
        <w:rPr>
          <w:rFonts w:hint="eastAsia" w:ascii="MS UI Gothic" w:hAnsi="MS UI Gothic" w:eastAsia="MS UI Gothic"/>
          <w:w w:val="105"/>
        </w:rPr>
        <w:t xml:space="preserve">” </w:t>
      </w:r>
      <w:r>
        <w:rPr>
          <w:w w:val="105"/>
        </w:rPr>
        <w:t>管理的机构和个人</w:t>
      </w:r>
      <w:r>
        <w:rPr>
          <w:rFonts w:hint="eastAsia" w:ascii="MS UI Gothic" w:hAnsi="MS UI Gothic" w:eastAsia="MS UI Gothic"/>
          <w:w w:val="80"/>
        </w:rPr>
        <w:t xml:space="preserve">ꎬ </w:t>
      </w:r>
      <w:r>
        <w:rPr>
          <w:w w:val="105"/>
        </w:rPr>
        <w:t>依照</w:t>
      </w:r>
    </w:p>
    <w:p>
      <w:pPr>
        <w:pStyle w:val="6"/>
        <w:spacing w:line="295" w:lineRule="auto"/>
        <w:ind w:left="440" w:firstLine="0"/>
        <w:rPr>
          <w:rFonts w:hint="eastAsia" w:ascii="MS UI Gothic" w:hAnsi="MS UI Gothic" w:eastAsia="MS UI Gothic"/>
        </w:rPr>
      </w:pPr>
      <w:r>
        <w:rPr>
          <w:rFonts w:hint="eastAsia" w:ascii="MS UI Gothic" w:hAnsi="MS UI Gothic" w:eastAsia="MS UI Gothic"/>
          <w:w w:val="80"/>
        </w:rPr>
        <w:t xml:space="preserve">« </w:t>
      </w:r>
      <w:r>
        <w:t>违反行政事业性收费和罚没收入收支两条线管理规定行政处分暂行规定</w:t>
      </w:r>
      <w:r>
        <w:rPr>
          <w:rFonts w:hint="eastAsia" w:ascii="MS UI Gothic" w:hAnsi="MS UI Gothic" w:eastAsia="MS UI Gothic"/>
          <w:w w:val="80"/>
        </w:rPr>
        <w:t xml:space="preserve">» </w:t>
      </w:r>
      <w:r>
        <w:t>追究责任</w:t>
      </w:r>
      <w:r>
        <w:rPr>
          <w:rFonts w:hint="eastAsia" w:ascii="MS UI Gothic" w:hAnsi="MS UI Gothic" w:eastAsia="MS UI Gothic"/>
          <w:w w:val="80"/>
        </w:rPr>
        <w:t>ꎮ</w:t>
      </w:r>
    </w:p>
    <w:p>
      <w:pPr>
        <w:pStyle w:val="6"/>
        <w:spacing w:line="295" w:lineRule="auto"/>
        <w:ind w:left="860" w:right="100" w:firstLine="0"/>
      </w:pPr>
      <w:r>
        <w:t>第九条 本办法自公布之日起施行</w:t>
      </w:r>
      <w:r>
        <w:rPr>
          <w:rFonts w:hint="eastAsia" w:ascii="MS UI Gothic" w:eastAsia="MS UI Gothic"/>
          <w:w w:val="80"/>
        </w:rPr>
        <w:t>ꎮ</w:t>
      </w:r>
      <w:r>
        <w:t>内容解读</w:t>
      </w:r>
    </w:p>
    <w:p>
      <w:pPr>
        <w:pStyle w:val="6"/>
        <w:spacing w:line="295" w:lineRule="auto"/>
        <w:ind w:left="440"/>
        <w:rPr>
          <w:rFonts w:hint="eastAsia" w:ascii="MS UI Gothic" w:eastAsia="MS UI Gothic"/>
        </w:rPr>
      </w:pPr>
      <w:r>
        <w:t>安全生产监督罚款统计实行分级管理</w:t>
      </w:r>
      <w:r>
        <w:rPr>
          <w:rFonts w:hint="eastAsia" w:ascii="MS UI Gothic" w:eastAsia="MS UI Gothic"/>
          <w:w w:val="80"/>
        </w:rPr>
        <w:t xml:space="preserve">ꎬ </w:t>
      </w:r>
      <w:r>
        <w:t>逐级报送</w:t>
      </w:r>
      <w:r>
        <w:rPr>
          <w:rFonts w:hint="eastAsia" w:ascii="MS UI Gothic" w:eastAsia="MS UI Gothic"/>
          <w:w w:val="80"/>
        </w:rPr>
        <w:t xml:space="preserve">ꎮ </w:t>
      </w:r>
      <w:r>
        <w:t>各省级安全监管局负责本行政区域内罚款汇总统计工作</w:t>
      </w:r>
      <w:r>
        <w:rPr>
          <w:rFonts w:hint="eastAsia" w:ascii="MS UI Gothic" w:eastAsia="MS UI Gothic"/>
          <w:w w:val="80"/>
        </w:rPr>
        <w:t xml:space="preserve">ꎬ </w:t>
      </w:r>
      <w:r>
        <w:t>并以电子邮件形式上报国家安全监管总局办公厅</w:t>
      </w:r>
      <w:r>
        <w:rPr>
          <w:rFonts w:hint="eastAsia" w:ascii="MS UI Gothic" w:eastAsia="MS UI Gothic"/>
          <w:w w:val="80"/>
        </w:rPr>
        <w:t>ꎮ</w:t>
      </w:r>
    </w:p>
    <w:p>
      <w:pPr>
        <w:pStyle w:val="6"/>
        <w:spacing w:line="295" w:lineRule="auto"/>
        <w:ind w:left="440"/>
      </w:pPr>
      <w:r>
        <w:t>地方各级安全监管部门在报送统计分析报表的同时</w:t>
      </w:r>
      <w:r>
        <w:rPr>
          <w:rFonts w:hint="eastAsia" w:ascii="MS UI Gothic" w:eastAsia="MS UI Gothic"/>
          <w:w w:val="80"/>
        </w:rPr>
        <w:t xml:space="preserve">ꎬ </w:t>
      </w:r>
      <w:r>
        <w:t>应当一并报送罚款统计分</w:t>
      </w:r>
    </w:p>
    <w:p>
      <w:pPr>
        <w:pStyle w:val="6"/>
        <w:spacing w:before="124" w:line="295" w:lineRule="auto"/>
        <w:ind w:left="383" w:right="126" w:firstLine="0"/>
        <w:rPr>
          <w:rFonts w:hint="eastAsia" w:ascii="MS UI Gothic" w:hAnsi="MS UI Gothic" w:eastAsia="MS UI Gothic"/>
        </w:rPr>
      </w:pPr>
      <w:r>
        <w:br w:type="column"/>
      </w:r>
      <w:r>
        <w:rPr>
          <w:spacing w:val="3"/>
        </w:rPr>
        <w:t>析报告</w:t>
      </w:r>
      <w:r>
        <w:rPr>
          <w:rFonts w:hint="eastAsia" w:ascii="MS UI Gothic" w:hAnsi="MS UI Gothic" w:eastAsia="MS UI Gothic"/>
          <w:spacing w:val="20"/>
          <w:w w:val="80"/>
        </w:rPr>
        <w:t xml:space="preserve">ꎮ </w:t>
      </w:r>
      <w:r>
        <w:rPr>
          <w:spacing w:val="2"/>
        </w:rPr>
        <w:t>统计分析报告应当对本期实施经</w:t>
      </w:r>
      <w:r>
        <w:rPr>
          <w:spacing w:val="3"/>
        </w:rPr>
        <w:t>济处罚情况</w:t>
      </w:r>
      <w:r>
        <w:rPr>
          <w:rFonts w:hint="eastAsia" w:ascii="MS UI Gothic" w:hAnsi="MS UI Gothic" w:eastAsia="MS UI Gothic"/>
          <w:spacing w:val="17"/>
          <w:w w:val="80"/>
        </w:rPr>
        <w:t xml:space="preserve">、 </w:t>
      </w:r>
      <w:r>
        <w:rPr>
          <w:spacing w:val="2"/>
        </w:rPr>
        <w:t>罚款收缴情况以及罚款收缴</w:t>
      </w:r>
      <w:r>
        <w:rPr>
          <w:spacing w:val="12"/>
        </w:rPr>
        <w:t>率等情况进行分析</w:t>
      </w:r>
      <w:r>
        <w:rPr>
          <w:rFonts w:hint="eastAsia" w:ascii="MS UI Gothic" w:hAnsi="MS UI Gothic" w:eastAsia="MS UI Gothic"/>
          <w:spacing w:val="23"/>
          <w:w w:val="80"/>
        </w:rPr>
        <w:t xml:space="preserve">ꎬ </w:t>
      </w:r>
      <w:r>
        <w:rPr>
          <w:spacing w:val="16"/>
        </w:rPr>
        <w:t>并与去年同期相比</w:t>
      </w:r>
      <w:r>
        <w:rPr>
          <w:spacing w:val="3"/>
        </w:rPr>
        <w:t>较</w:t>
      </w:r>
      <w:r>
        <w:rPr>
          <w:rFonts w:hint="eastAsia" w:ascii="MS UI Gothic" w:hAnsi="MS UI Gothic" w:eastAsia="MS UI Gothic"/>
          <w:spacing w:val="7"/>
          <w:w w:val="80"/>
        </w:rPr>
        <w:t xml:space="preserve">ꎬ </w:t>
      </w:r>
      <w:r>
        <w:rPr>
          <w:spacing w:val="10"/>
        </w:rPr>
        <w:t xml:space="preserve">特别是对 </w:t>
      </w:r>
      <w:r>
        <w:rPr>
          <w:rFonts w:hint="eastAsia" w:ascii="MS UI Gothic" w:hAnsi="MS UI Gothic" w:eastAsia="MS UI Gothic"/>
          <w:spacing w:val="-13"/>
        </w:rPr>
        <w:t xml:space="preserve">“ </w:t>
      </w:r>
      <w:r>
        <w:rPr>
          <w:spacing w:val="18"/>
        </w:rPr>
        <w:t>其他行业</w:t>
      </w:r>
      <w:r>
        <w:rPr>
          <w:rFonts w:hint="eastAsia" w:ascii="MS UI Gothic" w:hAnsi="MS UI Gothic" w:eastAsia="MS UI Gothic"/>
          <w:spacing w:val="12"/>
        </w:rPr>
        <w:t xml:space="preserve">” </w:t>
      </w:r>
      <w:r>
        <w:rPr>
          <w:spacing w:val="15"/>
        </w:rPr>
        <w:t>类的罚款情</w:t>
      </w:r>
      <w:r>
        <w:rPr>
          <w:spacing w:val="3"/>
        </w:rPr>
        <w:t>况要作简要分析说明</w:t>
      </w:r>
      <w:r>
        <w:rPr>
          <w:rFonts w:hint="eastAsia" w:ascii="MS UI Gothic" w:hAnsi="MS UI Gothic" w:eastAsia="MS UI Gothic"/>
          <w:spacing w:val="20"/>
          <w:w w:val="80"/>
        </w:rPr>
        <w:t xml:space="preserve">ꎬ </w:t>
      </w:r>
      <w:r>
        <w:rPr>
          <w:spacing w:val="2"/>
        </w:rPr>
        <w:t>研究总结罚款收缴</w:t>
      </w:r>
      <w:r>
        <w:rPr>
          <w:spacing w:val="13"/>
        </w:rPr>
        <w:t>管理工作中的经验及不足</w:t>
      </w:r>
      <w:r>
        <w:rPr>
          <w:rFonts w:hint="eastAsia" w:ascii="MS UI Gothic" w:hAnsi="MS UI Gothic" w:eastAsia="MS UI Gothic"/>
          <w:spacing w:val="23"/>
          <w:w w:val="80"/>
        </w:rPr>
        <w:t xml:space="preserve">ꎬ </w:t>
      </w:r>
      <w:r>
        <w:rPr>
          <w:spacing w:val="16"/>
        </w:rPr>
        <w:t>并提出改进</w:t>
      </w:r>
      <w:r>
        <w:rPr>
          <w:spacing w:val="3"/>
        </w:rPr>
        <w:t>建议</w:t>
      </w:r>
      <w:r>
        <w:rPr>
          <w:rFonts w:hint="eastAsia" w:ascii="MS UI Gothic" w:hAnsi="MS UI Gothic" w:eastAsia="MS UI Gothic"/>
          <w:w w:val="80"/>
        </w:rPr>
        <w:t>ꎮ</w:t>
      </w:r>
    </w:p>
    <w:p>
      <w:pPr>
        <w:pStyle w:val="6"/>
        <w:spacing w:line="295" w:lineRule="auto"/>
        <w:ind w:left="383" w:right="126"/>
        <w:rPr>
          <w:rFonts w:hint="eastAsia" w:ascii="MS UI Gothic" w:eastAsia="MS UI Gothic"/>
        </w:rPr>
      </w:pPr>
      <w:r>
        <w:rPr>
          <w:spacing w:val="13"/>
        </w:rPr>
        <w:t>安全生产监督罚款统计是一项经常</w:t>
      </w:r>
      <w:r>
        <w:rPr>
          <w:spacing w:val="3"/>
        </w:rPr>
        <w:t>性</w:t>
      </w:r>
      <w:r>
        <w:rPr>
          <w:rFonts w:hint="eastAsia" w:ascii="MS UI Gothic" w:eastAsia="MS UI Gothic"/>
          <w:spacing w:val="11"/>
          <w:w w:val="80"/>
        </w:rPr>
        <w:t xml:space="preserve">、 </w:t>
      </w:r>
      <w:r>
        <w:rPr>
          <w:spacing w:val="3"/>
        </w:rPr>
        <w:t>严肃性的工作</w:t>
      </w:r>
      <w:r>
        <w:rPr>
          <w:rFonts w:hint="eastAsia" w:ascii="MS UI Gothic" w:eastAsia="MS UI Gothic"/>
          <w:spacing w:val="11"/>
          <w:w w:val="80"/>
        </w:rPr>
        <w:t xml:space="preserve">ꎬ </w:t>
      </w:r>
      <w:r>
        <w:rPr>
          <w:spacing w:val="2"/>
        </w:rPr>
        <w:t>也是加强罚款管理的</w:t>
      </w:r>
      <w:r>
        <w:rPr>
          <w:spacing w:val="3"/>
        </w:rPr>
        <w:t>一项重要基础工作</w:t>
      </w:r>
      <w:r>
        <w:rPr>
          <w:rFonts w:hint="eastAsia" w:ascii="MS UI Gothic" w:eastAsia="MS UI Gothic"/>
          <w:spacing w:val="20"/>
          <w:w w:val="80"/>
        </w:rPr>
        <w:t xml:space="preserve">ꎮ </w:t>
      </w:r>
      <w:r>
        <w:rPr>
          <w:spacing w:val="2"/>
        </w:rPr>
        <w:t>地方各级安全监管部</w:t>
      </w:r>
      <w:r>
        <w:rPr>
          <w:spacing w:val="3"/>
        </w:rPr>
        <w:t>门要高度重视</w:t>
      </w:r>
      <w:r>
        <w:rPr>
          <w:rFonts w:hint="eastAsia" w:ascii="MS UI Gothic" w:eastAsia="MS UI Gothic"/>
          <w:spacing w:val="23"/>
          <w:w w:val="80"/>
        </w:rPr>
        <w:t xml:space="preserve">ꎬ </w:t>
      </w:r>
      <w:r>
        <w:rPr>
          <w:spacing w:val="3"/>
        </w:rPr>
        <w:t>精心组织</w:t>
      </w:r>
      <w:r>
        <w:rPr>
          <w:rFonts w:hint="eastAsia" w:ascii="MS UI Gothic" w:eastAsia="MS UI Gothic"/>
          <w:spacing w:val="23"/>
          <w:w w:val="80"/>
        </w:rPr>
        <w:t xml:space="preserve">ꎬ </w:t>
      </w:r>
      <w:r>
        <w:rPr>
          <w:spacing w:val="2"/>
        </w:rPr>
        <w:t>结合本地区的</w:t>
      </w:r>
      <w:r>
        <w:rPr>
          <w:spacing w:val="3"/>
        </w:rPr>
        <w:t>实际情况和特点</w:t>
      </w:r>
      <w:r>
        <w:rPr>
          <w:rFonts w:hint="eastAsia" w:ascii="MS UI Gothic" w:eastAsia="MS UI Gothic"/>
          <w:spacing w:val="23"/>
          <w:w w:val="80"/>
        </w:rPr>
        <w:t xml:space="preserve">ꎬ </w:t>
      </w:r>
      <w:r>
        <w:rPr>
          <w:spacing w:val="3"/>
        </w:rPr>
        <w:t>制定具体管理办法</w:t>
      </w:r>
      <w:r>
        <w:rPr>
          <w:rFonts w:hint="eastAsia" w:ascii="MS UI Gothic" w:eastAsia="MS UI Gothic"/>
          <w:spacing w:val="23"/>
          <w:w w:val="80"/>
        </w:rPr>
        <w:t xml:space="preserve">ꎬ </w:t>
      </w:r>
      <w:r>
        <w:t>确</w:t>
      </w:r>
      <w:r>
        <w:rPr>
          <w:spacing w:val="13"/>
        </w:rPr>
        <w:t>保安全生产监督罚款统计数据及时</w:t>
      </w:r>
      <w:r>
        <w:rPr>
          <w:rFonts w:hint="eastAsia" w:ascii="MS UI Gothic" w:eastAsia="MS UI Gothic"/>
          <w:spacing w:val="23"/>
          <w:w w:val="80"/>
        </w:rPr>
        <w:t xml:space="preserve">、 </w:t>
      </w:r>
      <w:r>
        <w:t>准</w:t>
      </w:r>
      <w:r>
        <w:rPr>
          <w:spacing w:val="3"/>
        </w:rPr>
        <w:t>确</w:t>
      </w:r>
      <w:r>
        <w:rPr>
          <w:rFonts w:hint="eastAsia" w:ascii="MS UI Gothic" w:eastAsia="MS UI Gothic"/>
          <w:spacing w:val="20"/>
          <w:w w:val="80"/>
        </w:rPr>
        <w:t xml:space="preserve">ꎮ </w:t>
      </w:r>
      <w:r>
        <w:rPr>
          <w:spacing w:val="2"/>
        </w:rPr>
        <w:t>要严格执行行政处罚决定与罚款收缴</w:t>
      </w:r>
      <w:r>
        <w:rPr>
          <w:spacing w:val="3"/>
        </w:rPr>
        <w:t>分离原则</w:t>
      </w:r>
      <w:r>
        <w:rPr>
          <w:rFonts w:hint="eastAsia" w:ascii="MS UI Gothic" w:eastAsia="MS UI Gothic"/>
          <w:spacing w:val="23"/>
          <w:w w:val="80"/>
        </w:rPr>
        <w:t xml:space="preserve">ꎬ </w:t>
      </w:r>
      <w:r>
        <w:rPr>
          <w:spacing w:val="3"/>
        </w:rPr>
        <w:t>建立统计台账</w:t>
      </w:r>
      <w:r>
        <w:rPr>
          <w:rFonts w:hint="eastAsia" w:ascii="MS UI Gothic" w:eastAsia="MS UI Gothic"/>
          <w:spacing w:val="23"/>
          <w:w w:val="80"/>
        </w:rPr>
        <w:t xml:space="preserve">ꎬ </w:t>
      </w:r>
      <w:r>
        <w:rPr>
          <w:spacing w:val="2"/>
        </w:rPr>
        <w:t>并指定专人负责统计罚缴分离执行情况和罚款收入收缴</w:t>
      </w:r>
      <w:r>
        <w:rPr>
          <w:spacing w:val="3"/>
        </w:rPr>
        <w:t>情况</w:t>
      </w:r>
      <w:r>
        <w:rPr>
          <w:rFonts w:hint="eastAsia" w:ascii="MS UI Gothic" w:eastAsia="MS UI Gothic"/>
          <w:spacing w:val="23"/>
          <w:w w:val="80"/>
        </w:rPr>
        <w:t xml:space="preserve">ꎬ </w:t>
      </w:r>
      <w:r>
        <w:rPr>
          <w:spacing w:val="3"/>
        </w:rPr>
        <w:t>定期到银行索取交款单据</w:t>
      </w:r>
      <w:r>
        <w:rPr>
          <w:rFonts w:hint="eastAsia" w:ascii="MS UI Gothic" w:eastAsia="MS UI Gothic"/>
          <w:spacing w:val="23"/>
          <w:w w:val="80"/>
        </w:rPr>
        <w:t xml:space="preserve">ꎬ </w:t>
      </w:r>
      <w:r>
        <w:rPr>
          <w:spacing w:val="2"/>
        </w:rPr>
        <w:t>并及时做好经济处罚决定书与罚款缴款凭证的核</w:t>
      </w:r>
      <w:r>
        <w:rPr>
          <w:spacing w:val="3"/>
        </w:rPr>
        <w:t>对</w:t>
      </w:r>
      <w:r>
        <w:rPr>
          <w:rFonts w:hint="eastAsia" w:ascii="MS UI Gothic" w:eastAsia="MS UI Gothic"/>
          <w:spacing w:val="10"/>
          <w:w w:val="80"/>
        </w:rPr>
        <w:t xml:space="preserve">、  </w:t>
      </w:r>
      <w:r>
        <w:rPr>
          <w:spacing w:val="25"/>
        </w:rPr>
        <w:t>登记</w:t>
      </w:r>
      <w:r>
        <w:rPr>
          <w:rFonts w:hint="eastAsia" w:ascii="MS UI Gothic" w:eastAsia="MS UI Gothic"/>
          <w:w w:val="80"/>
        </w:rPr>
        <w:t xml:space="preserve">、  </w:t>
      </w:r>
      <w:r>
        <w:rPr>
          <w:spacing w:val="25"/>
        </w:rPr>
        <w:t>统计</w:t>
      </w:r>
      <w:r>
        <w:rPr>
          <w:rFonts w:hint="eastAsia" w:ascii="MS UI Gothic" w:eastAsia="MS UI Gothic"/>
          <w:w w:val="80"/>
        </w:rPr>
        <w:t xml:space="preserve">、  </w:t>
      </w:r>
      <w:r>
        <w:rPr>
          <w:spacing w:val="26"/>
        </w:rPr>
        <w:t>装订</w:t>
      </w:r>
      <w:r>
        <w:rPr>
          <w:rFonts w:hint="eastAsia" w:ascii="MS UI Gothic" w:eastAsia="MS UI Gothic"/>
          <w:spacing w:val="1"/>
          <w:w w:val="80"/>
        </w:rPr>
        <w:t xml:space="preserve">、  </w:t>
      </w:r>
      <w:r>
        <w:rPr>
          <w:spacing w:val="40"/>
        </w:rPr>
        <w:t>保管及存档</w:t>
      </w:r>
      <w:r>
        <w:rPr>
          <w:spacing w:val="3"/>
        </w:rPr>
        <w:t>工作</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4"/>
        <w:spacing w:before="285"/>
        <w:ind w:left="286"/>
        <w:rPr>
          <w:rFonts w:hint="eastAsia" w:ascii="Microsoft Yi Baiti" w:eastAsia="Microsoft Yi Baiti"/>
        </w:rPr>
      </w:pPr>
      <w:r>
        <w:t xml:space="preserve">生产安全事故罚款处罚规定 ( 试行) </w:t>
      </w:r>
      <w:r>
        <w:rPr>
          <w:rFonts w:hint="eastAsia" w:ascii="Microsoft Yi Baiti" w:eastAsia="Microsoft Yi Baiti"/>
        </w:rPr>
        <w:t>(</w:t>
      </w:r>
      <w:r>
        <w:rPr>
          <w:rFonts w:hint="eastAsia" w:ascii="MS UI Gothic" w:eastAsia="MS UI Gothic"/>
        </w:rPr>
        <w:t xml:space="preserve">２０１５ </w:t>
      </w:r>
      <w:r>
        <w:t>年修正</w:t>
      </w:r>
      <w:r>
        <w:rPr>
          <w:rFonts w:hint="eastAsia" w:ascii="Microsoft Yi Baiti" w:eastAsia="Microsoft Yi Baiti"/>
        </w:rPr>
        <w:t>)</w:t>
      </w:r>
    </w:p>
    <w:p>
      <w:pPr>
        <w:pStyle w:val="6"/>
        <w:tabs>
          <w:tab w:val="left" w:pos="5820"/>
        </w:tabs>
        <w:spacing w:before="366"/>
        <w:ind w:left="860" w:firstLine="0"/>
        <w:jc w:val="left"/>
      </w:pPr>
      <w:r>
        <w:rPr>
          <w:rFonts w:hint="eastAsia" w:ascii="Microsoft Yi Baiti" w:eastAsia="Microsoft Yi Baiti"/>
        </w:rPr>
        <w:t>(</w:t>
      </w:r>
      <w:r>
        <w:rPr>
          <w:rFonts w:hint="eastAsia" w:ascii="Microsoft Yi Baiti" w:eastAsia="Microsoft Yi Baiti"/>
          <w:spacing w:val="-77"/>
        </w:rPr>
        <w:t xml:space="preserve"> </w:t>
      </w:r>
      <w:r>
        <w:rPr>
          <w:rFonts w:hint="eastAsia" w:ascii="MS UI Gothic" w:eastAsia="MS UI Gothic"/>
        </w:rPr>
        <w:t>２００７</w:t>
      </w:r>
      <w:r>
        <w:rPr>
          <w:rFonts w:hint="eastAsia" w:ascii="MS UI Gothic" w:eastAsia="MS UI Gothic"/>
          <w:spacing w:val="-28"/>
        </w:rPr>
        <w:t xml:space="preserve"> </w:t>
      </w:r>
      <w:r>
        <w:t>年</w:t>
      </w:r>
      <w:r>
        <w:rPr>
          <w:spacing w:val="-75"/>
        </w:rPr>
        <w:t xml:space="preserve"> </w:t>
      </w:r>
      <w:r>
        <w:rPr>
          <w:rFonts w:hint="eastAsia" w:ascii="MS UI Gothic" w:eastAsia="MS UI Gothic"/>
        </w:rPr>
        <w:t>７</w:t>
      </w:r>
      <w:r>
        <w:rPr>
          <w:rFonts w:hint="eastAsia" w:ascii="MS UI Gothic" w:eastAsia="MS UI Gothic"/>
          <w:spacing w:val="-28"/>
        </w:rPr>
        <w:t xml:space="preserve"> </w:t>
      </w:r>
      <w:r>
        <w:t>月</w:t>
      </w:r>
      <w:r>
        <w:rPr>
          <w:spacing w:val="-75"/>
        </w:rPr>
        <w:t xml:space="preserve"> </w:t>
      </w:r>
      <w:r>
        <w:rPr>
          <w:rFonts w:hint="eastAsia" w:ascii="MS UI Gothic" w:eastAsia="MS UI Gothic"/>
        </w:rPr>
        <w:t>１２</w:t>
      </w:r>
      <w:r>
        <w:rPr>
          <w:rFonts w:hint="eastAsia" w:ascii="MS UI Gothic" w:eastAsia="MS UI Gothic"/>
          <w:spacing w:val="-28"/>
        </w:rPr>
        <w:t xml:space="preserve"> </w:t>
      </w:r>
      <w:r>
        <w:rPr>
          <w:spacing w:val="3"/>
        </w:rPr>
        <w:t>日国家安全监管总局令</w:t>
      </w:r>
      <w:r>
        <w:t>第</w:t>
      </w:r>
      <w:r>
        <w:rPr>
          <w:spacing w:val="-75"/>
        </w:rPr>
        <w:t xml:space="preserve"> </w:t>
      </w:r>
      <w:r>
        <w:rPr>
          <w:rFonts w:hint="eastAsia" w:ascii="MS UI Gothic" w:eastAsia="MS UI Gothic"/>
        </w:rPr>
        <w:t>１３</w:t>
      </w:r>
      <w:r>
        <w:rPr>
          <w:rFonts w:hint="eastAsia" w:ascii="MS UI Gothic" w:eastAsia="MS UI Gothic"/>
          <w:spacing w:val="-28"/>
        </w:rPr>
        <w:t xml:space="preserve"> </w:t>
      </w:r>
      <w:r>
        <w:rPr>
          <w:spacing w:val="3"/>
        </w:rPr>
        <w:t>号公</w:t>
      </w:r>
      <w:r>
        <w:t>布</w:t>
      </w:r>
      <w:r>
        <w:tab/>
      </w:r>
      <w:r>
        <w:rPr>
          <w:spacing w:val="3"/>
        </w:rPr>
        <w:t>根</w:t>
      </w:r>
      <w:r>
        <w:t>据</w:t>
      </w:r>
      <w:r>
        <w:rPr>
          <w:spacing w:val="-73"/>
        </w:rPr>
        <w:t xml:space="preserve"> </w:t>
      </w:r>
      <w:r>
        <w:rPr>
          <w:rFonts w:hint="eastAsia" w:ascii="MS UI Gothic" w:eastAsia="MS UI Gothic"/>
        </w:rPr>
        <w:t>２０１１</w:t>
      </w:r>
      <w:r>
        <w:rPr>
          <w:rFonts w:hint="eastAsia" w:ascii="MS UI Gothic" w:eastAsia="MS UI Gothic"/>
          <w:spacing w:val="-23"/>
        </w:rPr>
        <w:t xml:space="preserve"> </w:t>
      </w:r>
      <w:r>
        <w:t>年</w:t>
      </w:r>
      <w:r>
        <w:rPr>
          <w:spacing w:val="-73"/>
        </w:rPr>
        <w:t xml:space="preserve"> </w:t>
      </w:r>
      <w:r>
        <w:rPr>
          <w:rFonts w:hint="eastAsia" w:ascii="MS UI Gothic" w:eastAsia="MS UI Gothic"/>
        </w:rPr>
        <w:t>９</w:t>
      </w:r>
      <w:r>
        <w:rPr>
          <w:rFonts w:hint="eastAsia" w:ascii="MS UI Gothic" w:eastAsia="MS UI Gothic"/>
          <w:spacing w:val="-23"/>
        </w:rPr>
        <w:t xml:space="preserve"> </w:t>
      </w:r>
      <w:r>
        <w:t>月</w:t>
      </w:r>
      <w:r>
        <w:rPr>
          <w:spacing w:val="-73"/>
        </w:rPr>
        <w:t xml:space="preserve"> </w:t>
      </w:r>
      <w:r>
        <w:rPr>
          <w:rFonts w:hint="eastAsia" w:ascii="MS UI Gothic" w:eastAsia="MS UI Gothic"/>
        </w:rPr>
        <w:t>１</w:t>
      </w:r>
      <w:r>
        <w:rPr>
          <w:rFonts w:hint="eastAsia" w:ascii="MS UI Gothic" w:eastAsia="MS UI Gothic"/>
          <w:spacing w:val="-24"/>
        </w:rPr>
        <w:t xml:space="preserve"> </w:t>
      </w:r>
      <w:r>
        <w:rPr>
          <w:spacing w:val="3"/>
        </w:rPr>
        <w:t>日国家</w:t>
      </w:r>
      <w:r>
        <w:t>安</w:t>
      </w:r>
    </w:p>
    <w:p>
      <w:pPr>
        <w:pStyle w:val="6"/>
        <w:tabs>
          <w:tab w:val="left" w:pos="3683"/>
        </w:tabs>
        <w:spacing w:before="58" w:line="295" w:lineRule="auto"/>
        <w:ind w:left="440" w:right="126" w:firstLine="0"/>
        <w:jc w:val="left"/>
        <w:rPr>
          <w:rFonts w:hint="eastAsia" w:ascii="Microsoft Yi Baiti" w:eastAsia="Microsoft Yi Baiti"/>
        </w:rPr>
      </w:pPr>
      <w:r>
        <w:t>全</w:t>
      </w:r>
      <w:r>
        <w:rPr>
          <w:spacing w:val="3"/>
        </w:rPr>
        <w:t>监管总局令</w:t>
      </w:r>
      <w:r>
        <w:t>第</w:t>
      </w:r>
      <w:r>
        <w:rPr>
          <w:spacing w:val="-49"/>
        </w:rPr>
        <w:t xml:space="preserve"> </w:t>
      </w:r>
      <w:r>
        <w:rPr>
          <w:rFonts w:hint="eastAsia" w:ascii="MS UI Gothic" w:eastAsia="MS UI Gothic"/>
        </w:rPr>
        <w:t>４２</w:t>
      </w:r>
      <w:r>
        <w:rPr>
          <w:rFonts w:hint="eastAsia" w:ascii="MS UI Gothic" w:eastAsia="MS UI Gothic"/>
          <w:spacing w:val="-1"/>
        </w:rPr>
        <w:t xml:space="preserve"> </w:t>
      </w:r>
      <w:r>
        <w:rPr>
          <w:spacing w:val="3"/>
        </w:rPr>
        <w:t>号第一次修</w:t>
      </w:r>
      <w:r>
        <w:t>正</w:t>
      </w:r>
      <w:r>
        <w:tab/>
      </w:r>
      <w:r>
        <w:rPr>
          <w:spacing w:val="9"/>
        </w:rPr>
        <w:t>根</w:t>
      </w:r>
      <w:r>
        <w:t>据</w:t>
      </w:r>
      <w:r>
        <w:rPr>
          <w:spacing w:val="-62"/>
        </w:rPr>
        <w:t xml:space="preserve"> </w:t>
      </w:r>
      <w:r>
        <w:rPr>
          <w:rFonts w:hint="eastAsia" w:ascii="MS UI Gothic" w:eastAsia="MS UI Gothic"/>
        </w:rPr>
        <w:t>２０１５</w:t>
      </w:r>
      <w:r>
        <w:rPr>
          <w:rFonts w:hint="eastAsia" w:ascii="MS UI Gothic" w:eastAsia="MS UI Gothic"/>
          <w:spacing w:val="-18"/>
        </w:rPr>
        <w:t xml:space="preserve"> </w:t>
      </w:r>
      <w:r>
        <w:t>年</w:t>
      </w:r>
      <w:r>
        <w:rPr>
          <w:spacing w:val="-62"/>
        </w:rPr>
        <w:t xml:space="preserve"> </w:t>
      </w:r>
      <w:r>
        <w:rPr>
          <w:rFonts w:hint="eastAsia" w:ascii="MS UI Gothic" w:eastAsia="MS UI Gothic"/>
        </w:rPr>
        <w:t>４</w:t>
      </w:r>
      <w:r>
        <w:rPr>
          <w:rFonts w:hint="eastAsia" w:ascii="MS UI Gothic" w:eastAsia="MS UI Gothic"/>
          <w:spacing w:val="-18"/>
        </w:rPr>
        <w:t xml:space="preserve"> </w:t>
      </w:r>
      <w:r>
        <w:t>月</w:t>
      </w:r>
      <w:r>
        <w:rPr>
          <w:spacing w:val="-62"/>
        </w:rPr>
        <w:t xml:space="preserve"> </w:t>
      </w:r>
      <w:r>
        <w:rPr>
          <w:rFonts w:hint="eastAsia" w:ascii="MS UI Gothic" w:eastAsia="MS UI Gothic"/>
        </w:rPr>
        <w:t>２</w:t>
      </w:r>
      <w:r>
        <w:rPr>
          <w:rFonts w:hint="eastAsia" w:ascii="MS UI Gothic" w:eastAsia="MS UI Gothic"/>
          <w:spacing w:val="-18"/>
        </w:rPr>
        <w:t xml:space="preserve"> </w:t>
      </w:r>
      <w:r>
        <w:rPr>
          <w:spacing w:val="9"/>
        </w:rPr>
        <w:t>日国家安全监管总局令</w:t>
      </w:r>
      <w:r>
        <w:t>第</w:t>
      </w:r>
      <w:r>
        <w:rPr>
          <w:spacing w:val="-62"/>
        </w:rPr>
        <w:t xml:space="preserve"> </w:t>
      </w:r>
      <w:r>
        <w:rPr>
          <w:rFonts w:hint="eastAsia" w:ascii="MS UI Gothic" w:eastAsia="MS UI Gothic"/>
        </w:rPr>
        <w:t>７７</w:t>
      </w:r>
      <w:r>
        <w:rPr>
          <w:rFonts w:hint="eastAsia" w:ascii="MS UI Gothic" w:eastAsia="MS UI Gothic"/>
          <w:spacing w:val="-18"/>
        </w:rPr>
        <w:t xml:space="preserve"> </w:t>
      </w:r>
      <w:r>
        <w:t>号</w:t>
      </w:r>
      <w:r>
        <w:rPr>
          <w:spacing w:val="3"/>
        </w:rPr>
        <w:t>第二次修正</w:t>
      </w:r>
      <w:r>
        <w:rPr>
          <w:rFonts w:hint="eastAsia" w:ascii="Microsoft Yi Baiti" w:eastAsia="Microsoft Yi Baiti"/>
        </w:rPr>
        <w:t>)</w:t>
      </w:r>
    </w:p>
    <w:p>
      <w:pPr>
        <w:pStyle w:val="6"/>
        <w:spacing w:before="5"/>
        <w:ind w:left="0" w:firstLine="0"/>
        <w:jc w:val="left"/>
        <w:rPr>
          <w:rFonts w:ascii="Microsoft Yi Baiti"/>
          <w:sz w:val="13"/>
        </w:rPr>
      </w:pPr>
    </w:p>
    <w:p>
      <w:pPr>
        <w:spacing w:after="0"/>
        <w:jc w:val="left"/>
        <w:rPr>
          <w:rFonts w:ascii="Microsoft Yi Baiti"/>
          <w:sz w:val="13"/>
        </w:rPr>
        <w:sectPr>
          <w:type w:val="continuous"/>
          <w:pgSz w:w="10500" w:h="14750"/>
          <w:pgMar w:top="1400" w:right="980" w:bottom="280" w:left="980" w:header="720" w:footer="720" w:gutter="0"/>
        </w:sectPr>
      </w:pPr>
    </w:p>
    <w:p>
      <w:pPr>
        <w:pStyle w:val="6"/>
        <w:spacing w:before="175" w:line="288" w:lineRule="auto"/>
        <w:ind w:left="440"/>
        <w:rPr>
          <w:rFonts w:hint="eastAsia" w:ascii="MS UI Gothic" w:hAnsi="MS UI Gothic" w:eastAsia="MS UI Gothic"/>
        </w:rPr>
      </w:pPr>
      <w:r>
        <w:t>第一条  为防止和减少生产安全事故</w:t>
      </w:r>
      <w:r>
        <w:rPr>
          <w:rFonts w:hint="eastAsia" w:ascii="MS UI Gothic" w:hAnsi="MS UI Gothic" w:eastAsia="MS UI Gothic"/>
          <w:w w:val="80"/>
        </w:rPr>
        <w:t xml:space="preserve">ꎬ </w:t>
      </w:r>
      <w:r>
        <w:t>严格追究生产安全事故发生单位及其有关责任人员的法律责任</w:t>
      </w:r>
      <w:r>
        <w:rPr>
          <w:rFonts w:hint="eastAsia" w:ascii="MS UI Gothic" w:hAnsi="MS UI Gothic" w:eastAsia="MS UI Gothic"/>
          <w:w w:val="80"/>
        </w:rPr>
        <w:t xml:space="preserve">ꎬ </w:t>
      </w:r>
      <w:r>
        <w:t>正确适用事故罚款的行政处罚</w:t>
      </w:r>
      <w:r>
        <w:rPr>
          <w:rFonts w:hint="eastAsia" w:ascii="MS UI Gothic" w:hAnsi="MS UI Gothic" w:eastAsia="MS UI Gothic"/>
          <w:w w:val="80"/>
        </w:rPr>
        <w:t xml:space="preserve">ꎬ </w:t>
      </w:r>
      <w:r>
        <w:t xml:space="preserve">依照 </w:t>
      </w:r>
      <w:r>
        <w:rPr>
          <w:rFonts w:hint="eastAsia" w:ascii="MS UI Gothic" w:hAnsi="MS UI Gothic" w:eastAsia="MS UI Gothic"/>
          <w:w w:val="80"/>
        </w:rPr>
        <w:t xml:space="preserve">« </w:t>
      </w:r>
      <w:r>
        <w:t>安全生产法</w:t>
      </w:r>
      <w:r>
        <w:rPr>
          <w:rFonts w:hint="eastAsia" w:ascii="MS UI Gothic" w:hAnsi="MS UI Gothic" w:eastAsia="MS UI Gothic"/>
          <w:w w:val="80"/>
        </w:rPr>
        <w:t>»、</w:t>
      </w:r>
    </w:p>
    <w:p>
      <w:pPr>
        <w:pStyle w:val="6"/>
        <w:spacing w:before="4" w:line="288" w:lineRule="auto"/>
        <w:ind w:left="440" w:right="1" w:firstLine="0"/>
        <w:rPr>
          <w:rFonts w:hint="eastAsia" w:ascii="MS UI Gothic" w:hAnsi="MS UI Gothic" w:eastAsia="MS UI Gothic"/>
        </w:rPr>
      </w:pPr>
      <w:r>
        <w:rPr>
          <w:rFonts w:hint="eastAsia" w:ascii="MS UI Gothic" w:hAnsi="MS UI Gothic" w:eastAsia="MS UI Gothic"/>
          <w:spacing w:val="8"/>
          <w:w w:val="80"/>
        </w:rPr>
        <w:t xml:space="preserve">« </w:t>
      </w:r>
      <w:r>
        <w:rPr>
          <w:spacing w:val="28"/>
        </w:rPr>
        <w:t>生产安全事故报告和调查处理条例</w:t>
      </w:r>
      <w:r>
        <w:rPr>
          <w:rFonts w:hint="eastAsia" w:ascii="MS UI Gothic" w:hAnsi="MS UI Gothic" w:eastAsia="MS UI Gothic"/>
          <w:w w:val="80"/>
        </w:rPr>
        <w:t xml:space="preserve">» </w:t>
      </w:r>
      <w:r>
        <w:rPr>
          <w:rFonts w:hint="eastAsia" w:ascii="MS UI Gothic" w:hAnsi="MS UI Gothic" w:eastAsia="MS UI Gothic"/>
          <w:spacing w:val="-37"/>
          <w:w w:val="150"/>
        </w:rPr>
        <w:t xml:space="preserve">( </w:t>
      </w:r>
      <w:r>
        <w:rPr>
          <w:spacing w:val="9"/>
          <w:w w:val="105"/>
        </w:rPr>
        <w:t xml:space="preserve">以下简称 </w:t>
      </w:r>
      <w:r>
        <w:rPr>
          <w:rFonts w:hint="eastAsia" w:ascii="MS UI Gothic" w:hAnsi="MS UI Gothic" w:eastAsia="MS UI Gothic"/>
          <w:spacing w:val="-9"/>
          <w:w w:val="80"/>
        </w:rPr>
        <w:t xml:space="preserve">« </w:t>
      </w:r>
      <w:r>
        <w:rPr>
          <w:spacing w:val="23"/>
          <w:w w:val="105"/>
        </w:rPr>
        <w:t>条例</w:t>
      </w:r>
      <w:r>
        <w:rPr>
          <w:rFonts w:hint="eastAsia" w:ascii="MS UI Gothic" w:hAnsi="MS UI Gothic" w:eastAsia="MS UI Gothic"/>
          <w:spacing w:val="4"/>
          <w:w w:val="80"/>
        </w:rPr>
        <w:t xml:space="preserve">» </w:t>
      </w:r>
      <w:r>
        <w:rPr>
          <w:rFonts w:hint="eastAsia" w:ascii="MS UI Gothic" w:hAnsi="MS UI Gothic" w:eastAsia="MS UI Gothic"/>
          <w:spacing w:val="13"/>
          <w:w w:val="150"/>
        </w:rPr>
        <w:t xml:space="preserve">) </w:t>
      </w:r>
      <w:r>
        <w:rPr>
          <w:spacing w:val="19"/>
          <w:w w:val="105"/>
        </w:rPr>
        <w:t>的规定</w:t>
      </w:r>
      <w:r>
        <w:rPr>
          <w:rFonts w:hint="eastAsia" w:ascii="MS UI Gothic" w:hAnsi="MS UI Gothic" w:eastAsia="MS UI Gothic"/>
          <w:spacing w:val="2"/>
          <w:w w:val="80"/>
        </w:rPr>
        <w:t xml:space="preserve">ꎬ </w:t>
      </w:r>
      <w:r>
        <w:rPr>
          <w:spacing w:val="14"/>
          <w:w w:val="105"/>
        </w:rPr>
        <w:t>制定本</w:t>
      </w:r>
      <w:r>
        <w:rPr>
          <w:spacing w:val="3"/>
          <w:w w:val="105"/>
        </w:rPr>
        <w:t>规定</w:t>
      </w:r>
      <w:r>
        <w:rPr>
          <w:rFonts w:hint="eastAsia" w:ascii="MS UI Gothic" w:hAnsi="MS UI Gothic" w:eastAsia="MS UI Gothic"/>
          <w:w w:val="80"/>
        </w:rPr>
        <w:t>ꎮ</w:t>
      </w:r>
    </w:p>
    <w:p>
      <w:pPr>
        <w:pStyle w:val="6"/>
        <w:spacing w:before="1" w:line="288" w:lineRule="auto"/>
        <w:ind w:left="440" w:right="1"/>
      </w:pPr>
      <w:r>
        <w:rPr>
          <w:spacing w:val="2"/>
          <w:w w:val="105"/>
        </w:rPr>
        <w:t>第二条 安全生产监督管理部门和煤</w:t>
      </w:r>
      <w:r>
        <w:rPr>
          <w:spacing w:val="2"/>
        </w:rPr>
        <w:t xml:space="preserve">矿安全监察机构对生产安全事故发生单位 </w:t>
      </w:r>
      <w:r>
        <w:rPr>
          <w:rFonts w:hint="eastAsia" w:ascii="MS UI Gothic" w:hAnsi="MS UI Gothic" w:eastAsia="MS UI Gothic"/>
          <w:spacing w:val="-38"/>
          <w:w w:val="150"/>
        </w:rPr>
        <w:t xml:space="preserve">( </w:t>
      </w:r>
      <w:r>
        <w:rPr>
          <w:spacing w:val="4"/>
          <w:w w:val="105"/>
        </w:rPr>
        <w:t>以下简称事故发生单位</w:t>
      </w:r>
      <w:r>
        <w:rPr>
          <w:rFonts w:hint="eastAsia" w:ascii="MS UI Gothic" w:hAnsi="MS UI Gothic" w:eastAsia="MS UI Gothic"/>
          <w:spacing w:val="1"/>
          <w:w w:val="150"/>
        </w:rPr>
        <w:t xml:space="preserve">) </w:t>
      </w:r>
      <w:r>
        <w:rPr>
          <w:spacing w:val="7"/>
          <w:w w:val="105"/>
        </w:rPr>
        <w:t>及其主要负责</w:t>
      </w:r>
      <w:r>
        <w:rPr>
          <w:spacing w:val="3"/>
        </w:rPr>
        <w:t>人</w:t>
      </w:r>
      <w:r>
        <w:rPr>
          <w:rFonts w:hint="eastAsia" w:ascii="MS UI Gothic" w:hAnsi="MS UI Gothic" w:eastAsia="MS UI Gothic"/>
          <w:spacing w:val="20"/>
        </w:rPr>
        <w:t xml:space="preserve">、 </w:t>
      </w:r>
      <w:r>
        <w:rPr>
          <w:spacing w:val="2"/>
        </w:rPr>
        <w:t>直接负责的主管人员和其他责任人员</w:t>
      </w:r>
      <w:r>
        <w:rPr>
          <w:spacing w:val="3"/>
          <w:w w:val="105"/>
        </w:rPr>
        <w:t xml:space="preserve">等有关责任人员依照 </w:t>
      </w:r>
      <w:r>
        <w:rPr>
          <w:rFonts w:hint="eastAsia" w:ascii="MS UI Gothic" w:hAnsi="MS UI Gothic" w:eastAsia="MS UI Gothic"/>
          <w:spacing w:val="-22"/>
        </w:rPr>
        <w:t xml:space="preserve">« </w:t>
      </w:r>
      <w:r>
        <w:rPr>
          <w:spacing w:val="17"/>
          <w:w w:val="105"/>
        </w:rPr>
        <w:t>安全生产法</w:t>
      </w:r>
      <w:r>
        <w:rPr>
          <w:rFonts w:hint="eastAsia" w:ascii="MS UI Gothic" w:hAnsi="MS UI Gothic" w:eastAsia="MS UI Gothic"/>
          <w:spacing w:val="8"/>
        </w:rPr>
        <w:t xml:space="preserve">» </w:t>
      </w:r>
      <w:r>
        <w:rPr>
          <w:w w:val="105"/>
        </w:rPr>
        <w:t>和</w:t>
      </w:r>
    </w:p>
    <w:p>
      <w:pPr>
        <w:pStyle w:val="6"/>
        <w:spacing w:before="175" w:line="288" w:lineRule="auto"/>
        <w:ind w:left="381" w:right="126" w:firstLine="0"/>
        <w:jc w:val="left"/>
        <w:rPr>
          <w:rFonts w:hint="eastAsia" w:ascii="MS UI Gothic" w:hAnsi="MS UI Gothic" w:eastAsia="MS UI Gothic"/>
        </w:rPr>
      </w:pPr>
      <w:r>
        <w:br w:type="column"/>
      </w:r>
      <w:r>
        <w:rPr>
          <w:rFonts w:hint="eastAsia" w:ascii="MS UI Gothic" w:hAnsi="MS UI Gothic" w:eastAsia="MS UI Gothic"/>
        </w:rPr>
        <w:t xml:space="preserve">« </w:t>
      </w:r>
      <w:r>
        <w:t>条例</w:t>
      </w:r>
      <w:r>
        <w:rPr>
          <w:rFonts w:hint="eastAsia" w:ascii="MS UI Gothic" w:hAnsi="MS UI Gothic" w:eastAsia="MS UI Gothic"/>
        </w:rPr>
        <w:t xml:space="preserve">»  </w:t>
      </w:r>
      <w:r>
        <w:t>实施罚款的行政处罚</w:t>
      </w:r>
      <w:r>
        <w:rPr>
          <w:rFonts w:hint="eastAsia" w:ascii="MS UI Gothic" w:hAnsi="MS UI Gothic" w:eastAsia="MS UI Gothic"/>
          <w:w w:val="80"/>
        </w:rPr>
        <w:t xml:space="preserve">ꎬ </w:t>
      </w:r>
      <w:r>
        <w:t>适用本规定</w:t>
      </w:r>
      <w:r>
        <w:rPr>
          <w:rFonts w:hint="eastAsia" w:ascii="MS UI Gothic" w:hAnsi="MS UI Gothic" w:eastAsia="MS UI Gothic"/>
          <w:w w:val="80"/>
        </w:rPr>
        <w:t>ꎮ</w:t>
      </w:r>
    </w:p>
    <w:p>
      <w:pPr>
        <w:pStyle w:val="6"/>
        <w:spacing w:before="2" w:line="288" w:lineRule="auto"/>
        <w:ind w:left="381" w:right="126"/>
        <w:rPr>
          <w:rFonts w:hint="eastAsia" w:ascii="MS UI Gothic" w:eastAsia="MS UI Gothic"/>
        </w:rPr>
      </w:pPr>
      <w:r>
        <w:rPr>
          <w:w w:val="105"/>
        </w:rPr>
        <w:t>第三条 本规定所称事故发生单位是</w:t>
      </w:r>
      <w:r>
        <w:t>指对事故发生负有责任的生产经营单位</w:t>
      </w:r>
      <w:r>
        <w:rPr>
          <w:rFonts w:hint="eastAsia" w:ascii="MS UI Gothic" w:eastAsia="MS UI Gothic"/>
          <w:w w:val="80"/>
        </w:rPr>
        <w:t>ꎮ</w:t>
      </w:r>
    </w:p>
    <w:p>
      <w:pPr>
        <w:pStyle w:val="6"/>
        <w:spacing w:before="2" w:line="288" w:lineRule="auto"/>
        <w:ind w:left="381" w:right="126"/>
        <w:rPr>
          <w:rFonts w:hint="eastAsia" w:ascii="MS UI Gothic" w:eastAsia="MS UI Gothic"/>
        </w:rPr>
      </w:pPr>
      <w:r>
        <w:t>本规定所称主要负责人是指有限责任</w:t>
      </w:r>
      <w:r>
        <w:rPr>
          <w:w w:val="105"/>
        </w:rPr>
        <w:t>公司</w:t>
      </w:r>
      <w:r>
        <w:rPr>
          <w:rFonts w:hint="eastAsia" w:ascii="MS UI Gothic" w:eastAsia="MS UI Gothic"/>
          <w:w w:val="80"/>
        </w:rPr>
        <w:t xml:space="preserve">、 </w:t>
      </w:r>
      <w:r>
        <w:rPr>
          <w:w w:val="105"/>
        </w:rPr>
        <w:t>股份有限公司的董事长或者总经理</w:t>
      </w:r>
      <w:r>
        <w:t>或者个人经营的投资人</w:t>
      </w:r>
      <w:r>
        <w:rPr>
          <w:rFonts w:hint="eastAsia" w:ascii="MS UI Gothic" w:eastAsia="MS UI Gothic"/>
          <w:w w:val="80"/>
        </w:rPr>
        <w:t xml:space="preserve">ꎬ </w:t>
      </w:r>
      <w:r>
        <w:t>其他生产经营单</w:t>
      </w:r>
      <w:r>
        <w:rPr>
          <w:w w:val="105"/>
        </w:rPr>
        <w:t>位的厂长</w:t>
      </w:r>
      <w:r>
        <w:rPr>
          <w:rFonts w:hint="eastAsia" w:ascii="MS UI Gothic" w:eastAsia="MS UI Gothic"/>
          <w:w w:val="80"/>
        </w:rPr>
        <w:t xml:space="preserve">、 </w:t>
      </w:r>
      <w:r>
        <w:rPr>
          <w:w w:val="105"/>
        </w:rPr>
        <w:t>经理</w:t>
      </w:r>
      <w:r>
        <w:rPr>
          <w:rFonts w:hint="eastAsia" w:ascii="MS UI Gothic" w:eastAsia="MS UI Gothic"/>
          <w:w w:val="80"/>
        </w:rPr>
        <w:t xml:space="preserve">、 </w:t>
      </w:r>
      <w:r>
        <w:rPr>
          <w:w w:val="105"/>
        </w:rPr>
        <w:t>局长</w:t>
      </w:r>
      <w:r>
        <w:rPr>
          <w:rFonts w:hint="eastAsia" w:ascii="MS UI Gothic" w:eastAsia="MS UI Gothic"/>
          <w:w w:val="80"/>
        </w:rPr>
        <w:t xml:space="preserve">、 </w:t>
      </w:r>
      <w:r>
        <w:rPr>
          <w:w w:val="105"/>
        </w:rPr>
        <w:t xml:space="preserve">矿长 </w:t>
      </w:r>
      <w:r>
        <w:rPr>
          <w:rFonts w:hint="eastAsia" w:ascii="MS UI Gothic" w:eastAsia="MS UI Gothic"/>
          <w:w w:val="150"/>
        </w:rPr>
        <w:t xml:space="preserve">( </w:t>
      </w:r>
      <w:r>
        <w:rPr>
          <w:w w:val="105"/>
        </w:rPr>
        <w:t>含实际控制人</w:t>
      </w:r>
      <w:r>
        <w:rPr>
          <w:rFonts w:hint="eastAsia" w:ascii="MS UI Gothic" w:eastAsia="MS UI Gothic"/>
          <w:w w:val="150"/>
        </w:rPr>
        <w:t xml:space="preserve">) </w:t>
      </w:r>
      <w:r>
        <w:rPr>
          <w:w w:val="105"/>
        </w:rPr>
        <w:t>等人员</w:t>
      </w:r>
      <w:r>
        <w:rPr>
          <w:rFonts w:hint="eastAsia" w:ascii="MS UI Gothic" w:eastAsia="MS UI Gothic"/>
          <w:w w:val="80"/>
        </w:rPr>
        <w:t>ꎮ</w:t>
      </w:r>
    </w:p>
    <w:p>
      <w:pPr>
        <w:pStyle w:val="6"/>
        <w:spacing w:before="3" w:line="288" w:lineRule="auto"/>
        <w:ind w:left="381" w:right="126"/>
      </w:pPr>
      <w:r>
        <w:rPr>
          <w:w w:val="105"/>
        </w:rPr>
        <w:t>第四条 本规定所称事故发生单位主要负责人</w:t>
      </w:r>
      <w:r>
        <w:rPr>
          <w:rFonts w:hint="eastAsia" w:ascii="MS UI Gothic" w:eastAsia="MS UI Gothic"/>
          <w:w w:val="80"/>
        </w:rPr>
        <w:t xml:space="preserve">、 </w:t>
      </w:r>
      <w:r>
        <w:rPr>
          <w:w w:val="105"/>
        </w:rPr>
        <w:t>直接负责的主管人员和其他直</w:t>
      </w:r>
      <w:r>
        <w:t>接责任人员的上一年年收入</w:t>
      </w:r>
      <w:r>
        <w:rPr>
          <w:rFonts w:hint="eastAsia" w:ascii="MS UI Gothic" w:eastAsia="MS UI Gothic"/>
          <w:w w:val="80"/>
        </w:rPr>
        <w:t xml:space="preserve">ꎬ </w:t>
      </w:r>
      <w:r>
        <w:t>属于国有生</w:t>
      </w:r>
    </w:p>
    <w:p>
      <w:pPr>
        <w:spacing w:after="0" w:line="288"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１２４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15" o:spid="_x0000_s1415" o:spt="203" style="height:2.15pt;width:398.25pt;" coordsize="7965,43">
            <o:lock v:ext="edit"/>
            <v:line id="_x0000_s1416" o:spid="_x0000_s1416" o:spt="20" style="position:absolute;left:0;top:39;height:0;width:7965;" stroked="t" coordsize="21600,21600">
              <v:path arrowok="t"/>
              <v:fill focussize="0,0"/>
              <v:stroke weight="0.388031496062992pt" color="#231F20"/>
              <v:imagedata o:title=""/>
              <o:lock v:ext="edit"/>
            </v:line>
            <v:line id="_x0000_s1417" o:spid="_x0000_s141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产经营单位的</w:t>
      </w:r>
      <w:r>
        <w:rPr>
          <w:rFonts w:hint="eastAsia" w:ascii="MS UI Gothic" w:eastAsia="MS UI Gothic"/>
          <w:w w:val="80"/>
        </w:rPr>
        <w:t xml:space="preserve">ꎬ </w:t>
      </w:r>
      <w:r>
        <w:t>是指该单位上级主管部门所确定的上一年年收入总额</w:t>
      </w:r>
      <w:r>
        <w:rPr>
          <w:rFonts w:hint="eastAsia" w:ascii="MS UI Gothic" w:eastAsia="MS UI Gothic"/>
          <w:w w:val="80"/>
        </w:rPr>
        <w:t xml:space="preserve">ꎻ </w:t>
      </w:r>
      <w:r>
        <w:t>属于非国有生产经营单位的</w:t>
      </w:r>
      <w:r>
        <w:rPr>
          <w:rFonts w:hint="eastAsia" w:ascii="MS UI Gothic" w:eastAsia="MS UI Gothic"/>
          <w:w w:val="80"/>
        </w:rPr>
        <w:t xml:space="preserve">ꎬ </w:t>
      </w:r>
      <w:r>
        <w:t>是指经财务</w:t>
      </w:r>
      <w:r>
        <w:rPr>
          <w:rFonts w:hint="eastAsia" w:ascii="MS UI Gothic" w:eastAsia="MS UI Gothic"/>
          <w:w w:val="80"/>
        </w:rPr>
        <w:t xml:space="preserve">、 </w:t>
      </w:r>
      <w:r>
        <w:t>税务部门核定的上一年年收入总额</w:t>
      </w:r>
      <w:r>
        <w:rPr>
          <w:rFonts w:hint="eastAsia" w:ascii="MS UI Gothic" w:eastAsia="MS UI Gothic"/>
          <w:w w:val="80"/>
        </w:rPr>
        <w:t>ꎮ</w:t>
      </w:r>
    </w:p>
    <w:p>
      <w:pPr>
        <w:pStyle w:val="6"/>
        <w:spacing w:line="295" w:lineRule="auto"/>
        <w:ind w:right="39"/>
        <w:rPr>
          <w:rFonts w:hint="eastAsia" w:ascii="MS UI Gothic" w:eastAsia="MS UI Gothic"/>
        </w:rPr>
      </w:pPr>
      <w:r>
        <w:t>生产经营单位提供虚假资料或者由于</w:t>
      </w:r>
      <w:r>
        <w:rPr>
          <w:w w:val="105"/>
        </w:rPr>
        <w:t>财务</w:t>
      </w:r>
      <w:r>
        <w:rPr>
          <w:rFonts w:hint="eastAsia" w:ascii="MS UI Gothic" w:eastAsia="MS UI Gothic"/>
          <w:w w:val="80"/>
        </w:rPr>
        <w:t xml:space="preserve">、 </w:t>
      </w:r>
      <w:r>
        <w:rPr>
          <w:w w:val="105"/>
        </w:rPr>
        <w:t>税务部门无法核定等原因致使有关</w:t>
      </w:r>
      <w:r>
        <w:t>人员的上一年年收入难以确定的</w:t>
      </w:r>
      <w:r>
        <w:rPr>
          <w:rFonts w:hint="eastAsia" w:ascii="MS UI Gothic" w:eastAsia="MS UI Gothic"/>
          <w:w w:val="80"/>
        </w:rPr>
        <w:t xml:space="preserve">ꎬ </w:t>
      </w:r>
      <w:r>
        <w:t>按照下</w:t>
      </w:r>
      <w:r>
        <w:rPr>
          <w:w w:val="105"/>
        </w:rPr>
        <w:t>列办法确定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主要负责人的上一年年收入</w:t>
      </w:r>
      <w:r>
        <w:rPr>
          <w:rFonts w:hint="eastAsia" w:ascii="MS UI Gothic" w:eastAsia="MS UI Gothic"/>
          <w:w w:val="80"/>
        </w:rPr>
        <w:t>ꎬ</w:t>
      </w:r>
      <w:r>
        <w:t>按照本省</w:t>
      </w:r>
      <w:r>
        <w:rPr>
          <w:rFonts w:hint="eastAsia" w:ascii="MS UI Gothic" w:eastAsia="MS UI Gothic"/>
          <w:w w:val="80"/>
        </w:rPr>
        <w:t xml:space="preserve">、 </w:t>
      </w:r>
      <w:r>
        <w:t>自治区</w:t>
      </w:r>
      <w:r>
        <w:rPr>
          <w:rFonts w:hint="eastAsia" w:ascii="MS UI Gothic" w:eastAsia="MS UI Gothic"/>
          <w:w w:val="80"/>
        </w:rPr>
        <w:t xml:space="preserve">、 </w:t>
      </w:r>
      <w:r>
        <w:t xml:space="preserve">直辖市上一年度职工平均工资的 </w:t>
      </w:r>
      <w:r>
        <w:rPr>
          <w:rFonts w:hint="eastAsia" w:ascii="MS UI Gothic" w:eastAsia="MS UI Gothic"/>
          <w:w w:val="80"/>
        </w:rPr>
        <w:t xml:space="preserve">５ </w:t>
      </w:r>
      <w:r>
        <w:t xml:space="preserve">倍以上 </w:t>
      </w:r>
      <w:r>
        <w:rPr>
          <w:rFonts w:hint="eastAsia" w:ascii="MS UI Gothic" w:eastAsia="MS UI Gothic"/>
          <w:w w:val="80"/>
        </w:rPr>
        <w:t xml:space="preserve">１０ </w:t>
      </w:r>
      <w:r>
        <w:t>倍以下计算</w:t>
      </w:r>
      <w:r>
        <w:rPr>
          <w:rFonts w:hint="eastAsia" w:ascii="MS UI Gothic" w:eastAsia="MS UI Gothic"/>
          <w:w w:val="80"/>
        </w:rPr>
        <w:t>ꎻ</w:t>
      </w:r>
    </w:p>
    <w:p>
      <w:pPr>
        <w:pStyle w:val="6"/>
        <w:spacing w:line="295" w:lineRule="auto"/>
        <w:ind w:left="118" w:right="38" w:firstLine="425"/>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直接负责的主管人员和其他直</w:t>
      </w:r>
      <w:r>
        <w:t>接责任人员的上一年年收入</w:t>
      </w:r>
      <w:r>
        <w:rPr>
          <w:rFonts w:hint="eastAsia" w:ascii="MS UI Gothic" w:eastAsia="MS UI Gothic"/>
          <w:w w:val="80"/>
        </w:rPr>
        <w:t xml:space="preserve">ꎬ </w:t>
      </w:r>
      <w:r>
        <w:t>按照本省</w:t>
      </w:r>
      <w:r>
        <w:rPr>
          <w:rFonts w:hint="eastAsia" w:ascii="MS UI Gothic" w:eastAsia="MS UI Gothic"/>
          <w:w w:val="80"/>
        </w:rPr>
        <w:t>、</w:t>
      </w:r>
      <w:r>
        <w:rPr>
          <w:w w:val="105"/>
        </w:rPr>
        <w:t>自治区</w:t>
      </w:r>
      <w:r>
        <w:rPr>
          <w:rFonts w:hint="eastAsia" w:ascii="MS UI Gothic" w:eastAsia="MS UI Gothic"/>
          <w:w w:val="80"/>
        </w:rPr>
        <w:t xml:space="preserve">、 </w:t>
      </w:r>
      <w:r>
        <w:rPr>
          <w:w w:val="105"/>
        </w:rPr>
        <w:t>直辖市上一年度职工平均工资的</w:t>
      </w:r>
      <w:r>
        <w:rPr>
          <w:rFonts w:hint="eastAsia" w:ascii="MS UI Gothic" w:eastAsia="MS UI Gothic"/>
          <w:w w:val="80"/>
        </w:rPr>
        <w:t xml:space="preserve">１ </w:t>
      </w:r>
      <w:r>
        <w:rPr>
          <w:w w:val="105"/>
        </w:rPr>
        <w:t xml:space="preserve">倍以上 </w:t>
      </w:r>
      <w:r>
        <w:rPr>
          <w:rFonts w:hint="eastAsia" w:ascii="MS UI Gothic" w:eastAsia="MS UI Gothic"/>
          <w:w w:val="80"/>
        </w:rPr>
        <w:t xml:space="preserve">５ </w:t>
      </w:r>
      <w:r>
        <w:rPr>
          <w:w w:val="105"/>
        </w:rPr>
        <w:t>倍以下计算</w:t>
      </w:r>
      <w:r>
        <w:rPr>
          <w:rFonts w:hint="eastAsia" w:ascii="MS UI Gothic" w:eastAsia="MS UI Gothic"/>
          <w:w w:val="80"/>
        </w:rPr>
        <w:t>ꎮ</w:t>
      </w:r>
    </w:p>
    <w:p>
      <w:pPr>
        <w:pStyle w:val="6"/>
        <w:spacing w:line="295" w:lineRule="auto"/>
        <w:ind w:right="39"/>
        <w:rPr>
          <w:rFonts w:hint="eastAsia" w:ascii="MS UI Gothic" w:hAnsi="MS UI Gothic" w:eastAsia="MS UI Gothic"/>
        </w:rPr>
      </w:pPr>
      <w:r>
        <w:rPr>
          <w:w w:val="105"/>
        </w:rPr>
        <w:t xml:space="preserve">第五条  </w:t>
      </w:r>
      <w:r>
        <w:rPr>
          <w:rFonts w:hint="eastAsia" w:ascii="MS UI Gothic" w:hAnsi="MS UI Gothic" w:eastAsia="MS UI Gothic"/>
          <w:w w:val="80"/>
        </w:rPr>
        <w:t xml:space="preserve">« </w:t>
      </w:r>
      <w:r>
        <w:rPr>
          <w:w w:val="105"/>
        </w:rPr>
        <w:t>条例</w:t>
      </w:r>
      <w:r>
        <w:rPr>
          <w:rFonts w:hint="eastAsia" w:ascii="MS UI Gothic" w:hAnsi="MS UI Gothic" w:eastAsia="MS UI Gothic"/>
          <w:w w:val="80"/>
        </w:rPr>
        <w:t xml:space="preserve">»  </w:t>
      </w:r>
      <w:r>
        <w:rPr>
          <w:w w:val="105"/>
        </w:rPr>
        <w:t>所称的迟报</w:t>
      </w:r>
      <w:r>
        <w:rPr>
          <w:rFonts w:hint="eastAsia" w:ascii="MS UI Gothic" w:hAnsi="MS UI Gothic" w:eastAsia="MS UI Gothic"/>
          <w:w w:val="80"/>
        </w:rPr>
        <w:t xml:space="preserve">、  </w:t>
      </w:r>
      <w:r>
        <w:rPr>
          <w:w w:val="105"/>
        </w:rPr>
        <w:t>漏报</w:t>
      </w:r>
      <w:r>
        <w:rPr>
          <w:rFonts w:hint="eastAsia" w:ascii="MS UI Gothic" w:hAnsi="MS UI Gothic" w:eastAsia="MS UI Gothic"/>
          <w:w w:val="80"/>
        </w:rPr>
        <w:t xml:space="preserve">、 </w:t>
      </w:r>
      <w:r>
        <w:rPr>
          <w:w w:val="105"/>
        </w:rPr>
        <w:t>谎报和瞒报</w:t>
      </w:r>
      <w:r>
        <w:rPr>
          <w:rFonts w:hint="eastAsia" w:ascii="MS UI Gothic" w:hAnsi="MS UI Gothic" w:eastAsia="MS UI Gothic"/>
          <w:w w:val="80"/>
        </w:rPr>
        <w:t xml:space="preserve">ꎬ </w:t>
      </w:r>
      <w:r>
        <w:rPr>
          <w:w w:val="105"/>
        </w:rPr>
        <w:t>依照下列情形认定</w:t>
      </w:r>
      <w:r>
        <w:rPr>
          <w:rFonts w:hint="eastAsia" w:ascii="MS UI Gothic" w:hAns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报告事故的时间超过规定时限的</w:t>
      </w:r>
      <w:r>
        <w:rPr>
          <w:rFonts w:hint="eastAsia" w:ascii="MS UI Gothic" w:eastAsia="MS UI Gothic"/>
          <w:w w:val="80"/>
        </w:rPr>
        <w:t xml:space="preserve">ꎬ </w:t>
      </w:r>
      <w:r>
        <w:rPr>
          <w:w w:val="105"/>
        </w:rPr>
        <w:t>属于迟报</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因过失对应当上报的事故或者事故发生的时间</w:t>
      </w:r>
      <w:r>
        <w:rPr>
          <w:rFonts w:hint="eastAsia" w:ascii="MS UI Gothic" w:eastAsia="MS UI Gothic"/>
          <w:w w:val="80"/>
        </w:rPr>
        <w:t xml:space="preserve">、 </w:t>
      </w:r>
      <w:r>
        <w:rPr>
          <w:w w:val="105"/>
        </w:rPr>
        <w:t>地点</w:t>
      </w:r>
      <w:r>
        <w:rPr>
          <w:rFonts w:hint="eastAsia" w:ascii="MS UI Gothic" w:eastAsia="MS UI Gothic"/>
          <w:w w:val="80"/>
        </w:rPr>
        <w:t xml:space="preserve">、 </w:t>
      </w:r>
      <w:r>
        <w:rPr>
          <w:w w:val="105"/>
        </w:rPr>
        <w:t>类别</w:t>
      </w:r>
      <w:r>
        <w:rPr>
          <w:rFonts w:hint="eastAsia" w:ascii="MS UI Gothic" w:eastAsia="MS UI Gothic"/>
          <w:w w:val="80"/>
        </w:rPr>
        <w:t xml:space="preserve">、 </w:t>
      </w:r>
      <w:r>
        <w:rPr>
          <w:w w:val="105"/>
        </w:rPr>
        <w:t>伤亡人数</w:t>
      </w:r>
      <w:r>
        <w:rPr>
          <w:rFonts w:hint="eastAsia" w:ascii="MS UI Gothic" w:eastAsia="MS UI Gothic"/>
          <w:w w:val="80"/>
        </w:rPr>
        <w:t xml:space="preserve">、 </w:t>
      </w:r>
      <w:r>
        <w:rPr>
          <w:w w:val="105"/>
        </w:rPr>
        <w:t>直接经济损失等内容遗漏未报的</w:t>
      </w:r>
      <w:r>
        <w:rPr>
          <w:rFonts w:hint="eastAsia" w:ascii="MS UI Gothic" w:eastAsia="MS UI Gothic"/>
          <w:w w:val="80"/>
        </w:rPr>
        <w:t xml:space="preserve">ꎬ </w:t>
      </w:r>
      <w:r>
        <w:rPr>
          <w:w w:val="105"/>
        </w:rPr>
        <w:t>属于漏报</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故意不如实报告事故发生的时间</w:t>
      </w:r>
      <w:r>
        <w:rPr>
          <w:rFonts w:hint="eastAsia" w:ascii="MS UI Gothic" w:eastAsia="MS UI Gothic"/>
          <w:w w:val="80"/>
        </w:rPr>
        <w:t xml:space="preserve">、 </w:t>
      </w:r>
      <w:r>
        <w:rPr>
          <w:w w:val="105"/>
        </w:rPr>
        <w:t>地点</w:t>
      </w:r>
      <w:r>
        <w:rPr>
          <w:rFonts w:hint="eastAsia" w:ascii="MS UI Gothic" w:eastAsia="MS UI Gothic"/>
          <w:w w:val="80"/>
        </w:rPr>
        <w:t xml:space="preserve">、 </w:t>
      </w:r>
      <w:r>
        <w:rPr>
          <w:w w:val="105"/>
        </w:rPr>
        <w:t>初步原因</w:t>
      </w:r>
      <w:r>
        <w:rPr>
          <w:rFonts w:hint="eastAsia" w:ascii="MS UI Gothic" w:eastAsia="MS UI Gothic"/>
          <w:w w:val="80"/>
        </w:rPr>
        <w:t xml:space="preserve">、 </w:t>
      </w:r>
      <w:r>
        <w:rPr>
          <w:w w:val="105"/>
        </w:rPr>
        <w:t>性质</w:t>
      </w:r>
      <w:r>
        <w:rPr>
          <w:rFonts w:hint="eastAsia" w:ascii="MS UI Gothic" w:eastAsia="MS UI Gothic"/>
          <w:w w:val="80"/>
        </w:rPr>
        <w:t xml:space="preserve">、 </w:t>
      </w:r>
      <w:r>
        <w:rPr>
          <w:w w:val="105"/>
        </w:rPr>
        <w:t>伤亡人数和</w:t>
      </w:r>
      <w:r>
        <w:t>涉险人数</w:t>
      </w:r>
      <w:r>
        <w:rPr>
          <w:rFonts w:hint="eastAsia" w:ascii="MS UI Gothic" w:eastAsia="MS UI Gothic"/>
          <w:w w:val="80"/>
        </w:rPr>
        <w:t xml:space="preserve">、 </w:t>
      </w:r>
      <w:r>
        <w:t>直接经济损失等有关内容的</w:t>
      </w:r>
      <w:r>
        <w:rPr>
          <w:rFonts w:hint="eastAsia" w:ascii="MS UI Gothic" w:eastAsia="MS UI Gothic"/>
          <w:w w:val="80"/>
        </w:rPr>
        <w:t>ꎬ</w:t>
      </w:r>
      <w:r>
        <w:rPr>
          <w:w w:val="105"/>
        </w:rPr>
        <w:t>属于谎报</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隐瞒已经发生的事故</w:t>
      </w:r>
      <w:r>
        <w:rPr>
          <w:rFonts w:hint="eastAsia" w:ascii="MS UI Gothic" w:eastAsia="MS UI Gothic"/>
          <w:w w:val="80"/>
        </w:rPr>
        <w:t xml:space="preserve">ꎬ </w:t>
      </w:r>
      <w:r>
        <w:rPr>
          <w:w w:val="105"/>
        </w:rPr>
        <w:t>超过规</w:t>
      </w:r>
      <w:r>
        <w:t>定时限未向安全监管监察部门和有关部门</w:t>
      </w:r>
      <w:r>
        <w:rPr>
          <w:w w:val="105"/>
        </w:rPr>
        <w:t>报告</w:t>
      </w:r>
      <w:r>
        <w:rPr>
          <w:rFonts w:hint="eastAsia" w:ascii="MS UI Gothic" w:eastAsia="MS UI Gothic"/>
          <w:w w:val="80"/>
        </w:rPr>
        <w:t xml:space="preserve">ꎬ </w:t>
      </w:r>
      <w:r>
        <w:rPr>
          <w:w w:val="105"/>
        </w:rPr>
        <w:t>经查证属实的</w:t>
      </w:r>
      <w:r>
        <w:rPr>
          <w:rFonts w:hint="eastAsia" w:ascii="MS UI Gothic" w:eastAsia="MS UI Gothic"/>
          <w:w w:val="80"/>
        </w:rPr>
        <w:t xml:space="preserve">ꎬ </w:t>
      </w:r>
      <w:r>
        <w:rPr>
          <w:w w:val="105"/>
        </w:rPr>
        <w:t>属于瞒报</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第六条 对事故发生单位及其有关责</w:t>
      </w:r>
      <w:r>
        <w:t>任人员处以罚款的行政处罚</w:t>
      </w:r>
      <w:r>
        <w:rPr>
          <w:rFonts w:hint="eastAsia" w:ascii="MS UI Gothic" w:eastAsia="MS UI Gothic"/>
          <w:w w:val="80"/>
        </w:rPr>
        <w:t xml:space="preserve">ꎬ </w:t>
      </w:r>
      <w:r>
        <w:t>依照下列规</w:t>
      </w:r>
      <w:r>
        <w:rPr>
          <w:w w:val="110"/>
        </w:rPr>
        <w:t>定决定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对发生特别重大事故的单位及</w:t>
      </w:r>
      <w:r>
        <w:t>其有关责任人员罚款的行政处罚</w:t>
      </w:r>
      <w:r>
        <w:rPr>
          <w:rFonts w:hint="eastAsia" w:ascii="MS UI Gothic" w:eastAsia="MS UI Gothic"/>
          <w:w w:val="80"/>
        </w:rPr>
        <w:t xml:space="preserve">ꎬ </w:t>
      </w:r>
      <w:r>
        <w:t>由国家</w:t>
      </w:r>
      <w:r>
        <w:rPr>
          <w:w w:val="105"/>
        </w:rPr>
        <w:t>安全生产监督管理总局决定</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对发生重大事故的单位及其有</w:t>
      </w:r>
      <w:r>
        <w:t>关责任人员罚款的行政处罚</w:t>
      </w:r>
      <w:r>
        <w:rPr>
          <w:rFonts w:hint="eastAsia" w:ascii="MS UI Gothic" w:eastAsia="MS UI Gothic"/>
          <w:w w:val="80"/>
        </w:rPr>
        <w:t xml:space="preserve">ꎬ </w:t>
      </w:r>
      <w:r>
        <w:t>由省级人民</w:t>
      </w:r>
      <w:r>
        <w:rPr>
          <w:w w:val="105"/>
        </w:rPr>
        <w:t>政府安全生产监督管理部门决定</w:t>
      </w:r>
      <w:r>
        <w:rPr>
          <w:rFonts w:hint="eastAsia" w:ascii="MS UI Gothic" w:eastAsia="MS UI Gothic"/>
          <w:w w:val="80"/>
        </w:rPr>
        <w:t>ꎻ</w:t>
      </w:r>
    </w:p>
    <w:p>
      <w:pPr>
        <w:pStyle w:val="6"/>
        <w:spacing w:before="123" w:line="295" w:lineRule="auto"/>
        <w:ind w:left="118" w:right="442"/>
        <w:rPr>
          <w:rFonts w:hint="eastAsia" w:ascii="MS UI Gothic" w:eastAsia="MS UI Gothic"/>
        </w:rPr>
      </w:pPr>
      <w:r>
        <w:br w:type="column"/>
      </w: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对发生较大事故的单位及其有</w:t>
      </w:r>
      <w:r>
        <w:t>关责任人员罚款的行政处罚</w:t>
      </w:r>
      <w:r>
        <w:rPr>
          <w:rFonts w:hint="eastAsia" w:ascii="MS UI Gothic" w:eastAsia="MS UI Gothic"/>
          <w:w w:val="80"/>
        </w:rPr>
        <w:t xml:space="preserve">ꎬ </w:t>
      </w:r>
      <w:r>
        <w:t>由设区的市级人民政府安全生产监督管理部门决定</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对发生一般事故的单位及其有</w:t>
      </w:r>
      <w:r>
        <w:t>关责任人员罚款的行政处罚</w:t>
      </w:r>
      <w:r>
        <w:rPr>
          <w:rFonts w:hint="eastAsia" w:ascii="MS UI Gothic" w:eastAsia="MS UI Gothic"/>
          <w:w w:val="80"/>
        </w:rPr>
        <w:t xml:space="preserve">ꎬ </w:t>
      </w:r>
      <w:r>
        <w:t>由县级人民</w:t>
      </w:r>
      <w:r>
        <w:rPr>
          <w:w w:val="105"/>
        </w:rPr>
        <w:t>政府安全生产监督管理部门决定</w:t>
      </w:r>
      <w:r>
        <w:rPr>
          <w:rFonts w:hint="eastAsia" w:ascii="MS UI Gothic" w:eastAsia="MS UI Gothic"/>
          <w:w w:val="80"/>
        </w:rPr>
        <w:t>ꎮ</w:t>
      </w:r>
    </w:p>
    <w:p>
      <w:pPr>
        <w:pStyle w:val="6"/>
        <w:spacing w:line="295" w:lineRule="auto"/>
        <w:ind w:left="118" w:right="442"/>
        <w:rPr>
          <w:rFonts w:hint="eastAsia" w:ascii="MS UI Gothic" w:eastAsia="MS UI Gothic"/>
        </w:rPr>
      </w:pPr>
      <w:r>
        <w:t>上级安全生产监督管理部门可以指定下一级安全生产监督管理部门对事故发生</w:t>
      </w:r>
      <w:r>
        <w:rPr>
          <w:w w:val="105"/>
        </w:rPr>
        <w:t>单位及其有关责任人员实施行政处罚</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第七条 对煤矿事故发生单位及其有</w:t>
      </w:r>
      <w:r>
        <w:t>关责任人员处以罚款的行政处罚</w:t>
      </w:r>
      <w:r>
        <w:rPr>
          <w:rFonts w:hint="eastAsia" w:ascii="MS UI Gothic" w:eastAsia="MS UI Gothic"/>
          <w:w w:val="80"/>
        </w:rPr>
        <w:t xml:space="preserve">ꎬ </w:t>
      </w:r>
      <w:r>
        <w:t>依照下</w:t>
      </w:r>
      <w:r>
        <w:rPr>
          <w:w w:val="105"/>
        </w:rPr>
        <w:t>列规定执行</w:t>
      </w:r>
      <w:r>
        <w:rPr>
          <w:rFonts w:hint="eastAsia" w:ascii="MS UI Gothic" w:eastAsia="MS UI Gothic"/>
          <w:w w:val="235"/>
        </w:rPr>
        <w:t>:</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对发生特别重大事故的煤矿及</w:t>
      </w:r>
      <w:r>
        <w:t>其有关责任人员罚款的行政处罚</w:t>
      </w:r>
      <w:r>
        <w:rPr>
          <w:rFonts w:hint="eastAsia" w:ascii="MS UI Gothic" w:eastAsia="MS UI Gothic"/>
          <w:w w:val="80"/>
        </w:rPr>
        <w:t xml:space="preserve">ꎬ </w:t>
      </w:r>
      <w:r>
        <w:t>由国家</w:t>
      </w:r>
      <w:r>
        <w:rPr>
          <w:w w:val="105"/>
        </w:rPr>
        <w:t>煤矿安全监察局决定</w:t>
      </w:r>
      <w:r>
        <w:rPr>
          <w:rFonts w:hint="eastAsia" w:ascii="MS UI Gothic" w:eastAsia="MS UI Gothic"/>
          <w:w w:val="80"/>
        </w:rPr>
        <w:t>ꎻ</w:t>
      </w:r>
    </w:p>
    <w:p>
      <w:pPr>
        <w:pStyle w:val="6"/>
        <w:spacing w:line="295" w:lineRule="auto"/>
        <w:ind w:left="118" w:righ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对发生重大事故和较大事故的</w:t>
      </w:r>
      <w:r>
        <w:t>煤矿及其有关责任人员罚款的行政处罚</w:t>
      </w:r>
      <w:r>
        <w:rPr>
          <w:rFonts w:hint="eastAsia" w:ascii="MS UI Gothic" w:eastAsia="MS UI Gothic"/>
          <w:w w:val="80"/>
        </w:rPr>
        <w:t>ꎬ</w:t>
      </w:r>
      <w:r>
        <w:rPr>
          <w:w w:val="105"/>
        </w:rPr>
        <w:t>由省级煤矿安全监察机构决定</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4"/>
          <w:w w:val="150"/>
        </w:rPr>
        <w:t xml:space="preserve">) </w:t>
      </w:r>
      <w:r>
        <w:rPr>
          <w:spacing w:val="5"/>
          <w:w w:val="105"/>
        </w:rPr>
        <w:t>对发生一般事故的煤矿及其有</w:t>
      </w:r>
      <w:r>
        <w:rPr>
          <w:spacing w:val="3"/>
        </w:rPr>
        <w:t>关责任人员罚款的行政处罚</w:t>
      </w:r>
      <w:r>
        <w:rPr>
          <w:rFonts w:hint="eastAsia" w:ascii="MS UI Gothic" w:eastAsia="MS UI Gothic"/>
          <w:spacing w:val="20"/>
          <w:w w:val="80"/>
        </w:rPr>
        <w:t xml:space="preserve">ꎬ </w:t>
      </w:r>
      <w:r>
        <w:rPr>
          <w:spacing w:val="2"/>
        </w:rPr>
        <w:t>由省级煤矿</w:t>
      </w:r>
      <w:r>
        <w:rPr>
          <w:spacing w:val="3"/>
          <w:w w:val="105"/>
        </w:rPr>
        <w:t>安全监察机构所属分局决定</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2"/>
        </w:rPr>
        <w:t>上级煤矿安全监察机构可以指定下一级煤矿安全监察机构对事故发生单位及其</w:t>
      </w:r>
      <w:r>
        <w:rPr>
          <w:spacing w:val="3"/>
          <w:w w:val="105"/>
        </w:rPr>
        <w:t>有关责任人员实施行政处罚</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第八条 特别重大事故以下等级事</w:t>
      </w:r>
      <w:r>
        <w:t>故</w:t>
      </w:r>
      <w:r>
        <w:rPr>
          <w:rFonts w:hint="eastAsia" w:ascii="MS UI Gothic" w:eastAsia="MS UI Gothic"/>
          <w:w w:val="80"/>
        </w:rPr>
        <w:t xml:space="preserve">ꎬ </w:t>
      </w:r>
      <w:r>
        <w:t>事故发生地与事故发生单位所在地不在同一个县级以上行政区域的</w:t>
      </w:r>
      <w:r>
        <w:rPr>
          <w:rFonts w:hint="eastAsia" w:ascii="MS UI Gothic" w:eastAsia="MS UI Gothic"/>
          <w:w w:val="80"/>
        </w:rPr>
        <w:t xml:space="preserve">ꎬ </w:t>
      </w:r>
      <w:r>
        <w:t>由事故发生地的安全生产监督管理部门或者煤矿安全监察机构依照本规定第六条或者第七条</w:t>
      </w:r>
      <w:r>
        <w:rPr>
          <w:w w:val="105"/>
        </w:rPr>
        <w:t>规定的权限实施行政处罚</w:t>
      </w:r>
      <w:r>
        <w:rPr>
          <w:rFonts w:hint="eastAsia" w:ascii="MS UI Gothic" w:eastAsia="MS UI Gothic"/>
          <w:w w:val="80"/>
        </w:rPr>
        <w:t>ꎮ</w:t>
      </w:r>
    </w:p>
    <w:p>
      <w:pPr>
        <w:pStyle w:val="6"/>
        <w:spacing w:line="295" w:lineRule="auto"/>
        <w:ind w:left="118" w:right="442"/>
      </w:pPr>
      <w:r>
        <w:rPr>
          <w:w w:val="105"/>
        </w:rPr>
        <w:t>第九条 安全生产监督管理部门和煤</w:t>
      </w:r>
      <w:r>
        <w:t>矿安全监察机构对事故发生单位及其有关责任人员实施罚款的行政处罚</w:t>
      </w:r>
      <w:r>
        <w:rPr>
          <w:rFonts w:hint="eastAsia" w:ascii="MS UI Gothic" w:eastAsia="MS UI Gothic"/>
          <w:w w:val="80"/>
        </w:rPr>
        <w:t xml:space="preserve">ꎬ </w:t>
      </w:r>
      <w:r>
        <w:t>依照</w:t>
      </w:r>
    </w:p>
    <w:p>
      <w:pPr>
        <w:pStyle w:val="6"/>
        <w:spacing w:line="295" w:lineRule="auto"/>
        <w:ind w:left="118" w:right="442" w:firstLine="0"/>
        <w:jc w:val="left"/>
        <w:rPr>
          <w:rFonts w:hint="eastAsia" w:ascii="MS UI Gothic" w:hAnsi="MS UI Gothic" w:eastAsia="MS UI Gothic"/>
        </w:rPr>
      </w:pPr>
      <w:r>
        <w:rPr>
          <w:rFonts w:hint="eastAsia" w:ascii="MS UI Gothic" w:hAnsi="MS UI Gothic" w:eastAsia="MS UI Gothic"/>
          <w:w w:val="80"/>
        </w:rPr>
        <w:t xml:space="preserve">« </w:t>
      </w:r>
      <w:r>
        <w:t>安全生产违法行为行政处罚办法</w:t>
      </w:r>
      <w:r>
        <w:rPr>
          <w:rFonts w:hint="eastAsia" w:ascii="MS UI Gothic" w:hAnsi="MS UI Gothic" w:eastAsia="MS UI Gothic"/>
          <w:w w:val="80"/>
        </w:rPr>
        <w:t xml:space="preserve">» </w:t>
      </w:r>
      <w:r>
        <w:t>规定的程序执行</w:t>
      </w:r>
      <w:r>
        <w:rPr>
          <w:rFonts w:hint="eastAsia" w:ascii="MS UI Gothic" w:hAnsi="MS UI Gothic" w:eastAsia="MS UI Gothic"/>
          <w:w w:val="80"/>
        </w:rPr>
        <w:t>ꎮ</w:t>
      </w:r>
    </w:p>
    <w:p>
      <w:pPr>
        <w:pStyle w:val="6"/>
        <w:spacing w:line="295" w:lineRule="auto"/>
        <w:ind w:left="118" w:right="442"/>
      </w:pPr>
      <w:r>
        <w:t>第十条 事故发生单位及其有关责任人员对安全生产监督管理部门和煤矿安全监察机构给予的行政处罚</w:t>
      </w:r>
      <w:r>
        <w:rPr>
          <w:rFonts w:hint="eastAsia" w:ascii="MS UI Gothic" w:eastAsia="MS UI Gothic"/>
          <w:w w:val="80"/>
        </w:rPr>
        <w:t xml:space="preserve">ꎬ </w:t>
      </w:r>
      <w:r>
        <w:t>享有陈述</w:t>
      </w:r>
      <w:r>
        <w:rPr>
          <w:rFonts w:hint="eastAsia" w:ascii="MS UI Gothic" w:eastAsia="MS UI Gothic"/>
          <w:w w:val="80"/>
        </w:rPr>
        <w:t xml:space="preserve">、 </w:t>
      </w:r>
      <w:r>
        <w:t>申辩的权利</w:t>
      </w:r>
      <w:r>
        <w:rPr>
          <w:rFonts w:hint="eastAsia" w:ascii="MS UI Gothic" w:eastAsia="MS UI Gothic"/>
          <w:w w:val="80"/>
        </w:rPr>
        <w:t xml:space="preserve">ꎻ </w:t>
      </w:r>
      <w:r>
        <w:t>对行政处罚不服的</w:t>
      </w:r>
      <w:r>
        <w:rPr>
          <w:rFonts w:hint="eastAsia" w:ascii="MS UI Gothic" w:eastAsia="MS UI Gothic"/>
          <w:w w:val="80"/>
        </w:rPr>
        <w:t xml:space="preserve">ꎬ </w:t>
      </w:r>
      <w:r>
        <w:t>有权依法</w:t>
      </w:r>
    </w:p>
    <w:p>
      <w:pPr>
        <w:spacing w:after="0" w:line="295" w:lineRule="auto"/>
        <w:sectPr>
          <w:type w:val="continuous"/>
          <w:pgSz w:w="10500" w:h="14750"/>
          <w:pgMar w:top="1400" w:right="980" w:bottom="280" w:left="980" w:header="720" w:footer="720" w:gutter="0"/>
          <w:cols w:equalWidth="0" w:num="2">
            <w:col w:w="3936" w:space="262"/>
            <w:col w:w="4342"/>
          </w:cols>
        </w:sectPr>
      </w:pPr>
    </w:p>
    <w:p>
      <w:pPr>
        <w:spacing w:before="192"/>
        <w:ind w:left="3703" w:right="0" w:firstLine="0"/>
        <w:jc w:val="lef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tabs>
          <w:tab w:val="left" w:pos="4632"/>
        </w:tabs>
        <w:ind w:left="440" w:firstLine="0"/>
        <w:jc w:val="left"/>
        <w:rPr>
          <w:rFonts w:hint="eastAsia" w:ascii="MS UI Gothic" w:eastAsia="MS UI Gothic"/>
        </w:rPr>
      </w:pPr>
      <w:r>
        <w:rPr>
          <w:spacing w:val="3"/>
        </w:rPr>
        <w:t>申请行政复议或者提起行政诉讼</w:t>
      </w:r>
      <w:r>
        <w:rPr>
          <w:rFonts w:hint="eastAsia" w:ascii="MS UI Gothic" w:eastAsia="MS UI Gothic"/>
          <w:w w:val="80"/>
        </w:rPr>
        <w:t>ꎮ</w:t>
      </w:r>
      <w:r>
        <w:rPr>
          <w:rFonts w:hint="eastAsia" w:ascii="MS UI Gothic" w:eastAsia="MS UI Gothic"/>
          <w:w w:val="80"/>
        </w:rPr>
        <w:tab/>
      </w:r>
      <w:r>
        <w:rPr>
          <w:spacing w:val="3"/>
        </w:rPr>
        <w:t>万元以下的罚款</w:t>
      </w:r>
      <w:r>
        <w:rPr>
          <w:rFonts w:hint="eastAsia" w:ascii="MS UI Gothic" w:eastAsia="MS UI Gothic"/>
          <w:w w:val="80"/>
        </w:rPr>
        <w:t>ꎮ</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１２５</w:t>
      </w:r>
    </w:p>
    <w:p>
      <w:pPr>
        <w:spacing w:after="0"/>
        <w:jc w:val="left"/>
        <w:rPr>
          <w:rFonts w:hint="eastAsia" w:ascii="MS UI Gothic" w:eastAsia="MS UI Gothic"/>
        </w:rPr>
        <w:sectPr>
          <w:pgSz w:w="10500" w:h="14750"/>
          <w:pgMar w:top="960" w:right="980" w:bottom="280" w:left="980" w:header="720" w:footer="720" w:gutter="0"/>
          <w:cols w:equalWidth="0" w:num="2">
            <w:col w:w="6243" w:space="829"/>
            <w:col w:w="1468"/>
          </w:cols>
        </w:sectPr>
      </w:pPr>
    </w:p>
    <w:p>
      <w:pPr>
        <w:pStyle w:val="6"/>
        <w:spacing w:before="58" w:line="295" w:lineRule="auto"/>
        <w:ind w:left="440"/>
        <w:rPr>
          <w:rFonts w:hint="eastAsia" w:ascii="MS UI Gothic" w:hAnsi="MS UI Gothic" w:eastAsia="MS UI Gothic"/>
        </w:rPr>
      </w:pPr>
      <w:r>
        <w:pict>
          <v:shape id="_x0000_s1418" o:spid="_x0000_s1418" style="position:absolute;left:0pt;margin-left:0pt;margin-top:651.65pt;height:1.75pt;width:398.25pt;mso-position-horizontal-relative:page;z-index:251814912;mso-width-relative:page;mso-height-relative:page;" filled="f" stroked="t" coordorigin="0,13034" coordsize="7965,35" path="m1419,-452l9384,-452m1419,-487l9384,-487e">
            <v:path arrowok="t"/>
            <v:fill on="f" focussize="0,0"/>
            <v:stroke weight="0.388031496062992pt" color="#231F20"/>
            <v:imagedata o:title=""/>
            <o:lock v:ext="edit"/>
          </v:shape>
        </w:pict>
      </w:r>
      <w:r>
        <w:rPr>
          <w:w w:val="105"/>
        </w:rPr>
        <w:t xml:space="preserve">第十一条 事故发生单位主要负责人有 </w:t>
      </w:r>
      <w:r>
        <w:rPr>
          <w:rFonts w:hint="eastAsia" w:ascii="MS UI Gothic" w:hAnsi="MS UI Gothic" w:eastAsia="MS UI Gothic"/>
          <w:w w:val="80"/>
        </w:rPr>
        <w:t xml:space="preserve">« </w:t>
      </w:r>
      <w:r>
        <w:rPr>
          <w:w w:val="105"/>
        </w:rPr>
        <w:t>安全生产法</w:t>
      </w:r>
      <w:r>
        <w:rPr>
          <w:rFonts w:hint="eastAsia" w:ascii="MS UI Gothic" w:hAnsi="MS UI Gothic" w:eastAsia="MS UI Gothic"/>
          <w:w w:val="80"/>
        </w:rPr>
        <w:t xml:space="preserve">» </w:t>
      </w:r>
      <w:r>
        <w:rPr>
          <w:w w:val="105"/>
        </w:rPr>
        <w:t>第一百零六条</w:t>
      </w:r>
      <w:r>
        <w:rPr>
          <w:rFonts w:hint="eastAsia" w:ascii="MS UI Gothic" w:hAnsi="MS UI Gothic" w:eastAsia="MS UI Gothic"/>
          <w:w w:val="80"/>
        </w:rPr>
        <w:t xml:space="preserve">、  « </w:t>
      </w:r>
      <w:r>
        <w:rPr>
          <w:w w:val="105"/>
        </w:rPr>
        <w:t>条</w:t>
      </w:r>
      <w:r>
        <w:t>例</w:t>
      </w:r>
      <w:r>
        <w:rPr>
          <w:rFonts w:hint="eastAsia" w:ascii="MS UI Gothic" w:hAnsi="MS UI Gothic" w:eastAsia="MS UI Gothic"/>
          <w:w w:val="80"/>
        </w:rPr>
        <w:t xml:space="preserve">» </w:t>
      </w:r>
      <w:r>
        <w:t>第三十五条规定的下列行为之一的</w:t>
      </w:r>
      <w:r>
        <w:rPr>
          <w:rFonts w:hint="eastAsia" w:ascii="MS UI Gothic" w:hAnsi="MS UI Gothic" w:eastAsia="MS UI Gothic"/>
          <w:w w:val="80"/>
        </w:rPr>
        <w:t>ꎬ</w:t>
      </w:r>
      <w:r>
        <w:rPr>
          <w:w w:val="105"/>
        </w:rPr>
        <w:t>依照下列规定处以罚款</w:t>
      </w:r>
      <w:r>
        <w:rPr>
          <w:rFonts w:hint="eastAsia" w:ascii="MS UI Gothic" w:hAns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40"/>
        </w:rPr>
        <w:t xml:space="preserve">( </w:t>
      </w:r>
      <w:r>
        <w:rPr>
          <w:w w:val="105"/>
        </w:rPr>
        <w:t>一</w:t>
      </w:r>
      <w:r>
        <w:rPr>
          <w:rFonts w:hint="eastAsia" w:ascii="MS UI Gothic" w:eastAsia="MS UI Gothic"/>
          <w:w w:val="140"/>
        </w:rPr>
        <w:t xml:space="preserve">) </w:t>
      </w:r>
      <w:r>
        <w:rPr>
          <w:w w:val="105"/>
        </w:rPr>
        <w:t>事故发生单位主要负责人在事</w:t>
      </w:r>
      <w:r>
        <w:t>故发生后不立即组织事故抢救的</w:t>
      </w:r>
      <w:r>
        <w:rPr>
          <w:rFonts w:hint="eastAsia" w:ascii="MS UI Gothic" w:eastAsia="MS UI Gothic"/>
          <w:w w:val="90"/>
        </w:rPr>
        <w:t xml:space="preserve">ꎬ </w:t>
      </w:r>
      <w:r>
        <w:t>处上一</w:t>
      </w:r>
      <w:r>
        <w:rPr>
          <w:w w:val="105"/>
        </w:rPr>
        <w:t xml:space="preserve">年年收入 </w:t>
      </w:r>
      <w:r>
        <w:rPr>
          <w:rFonts w:hint="eastAsia" w:ascii="MS UI Gothic" w:eastAsia="MS UI Gothic"/>
          <w:w w:val="90"/>
        </w:rPr>
        <w:t>１００</w:t>
      </w:r>
      <w:r>
        <w:rPr>
          <w:w w:val="90"/>
        </w:rPr>
        <w:t xml:space="preserve">％ </w:t>
      </w:r>
      <w:r>
        <w:rPr>
          <w:w w:val="105"/>
        </w:rPr>
        <w:t>的罚款</w:t>
      </w:r>
      <w:r>
        <w:rPr>
          <w:rFonts w:hint="eastAsia" w:ascii="MS UI Gothic" w:eastAsia="MS UI Gothic"/>
          <w:w w:val="90"/>
        </w:rPr>
        <w:t>ꎻ</w:t>
      </w:r>
    </w:p>
    <w:p>
      <w:pPr>
        <w:pStyle w:val="6"/>
        <w:spacing w:line="295" w:lineRule="auto"/>
        <w:ind w:left="435" w:right="1" w:firstLine="425"/>
        <w:rPr>
          <w:rFonts w:hint="eastAsia" w:ascii="MS UI Gothic" w:eastAsia="MS UI Gothic"/>
        </w:rPr>
      </w:pPr>
      <w:r>
        <w:rPr>
          <w:rFonts w:hint="eastAsia" w:ascii="MS UI Gothic" w:eastAsia="MS UI Gothic"/>
          <w:spacing w:val="-25"/>
          <w:w w:val="140"/>
        </w:rPr>
        <w:t xml:space="preserve">( </w:t>
      </w:r>
      <w:r>
        <w:rPr>
          <w:spacing w:val="3"/>
        </w:rPr>
        <w:t>二</w:t>
      </w:r>
      <w:r>
        <w:rPr>
          <w:rFonts w:hint="eastAsia" w:ascii="MS UI Gothic" w:eastAsia="MS UI Gothic"/>
          <w:spacing w:val="23"/>
          <w:w w:val="140"/>
        </w:rPr>
        <w:t xml:space="preserve">) </w:t>
      </w:r>
      <w:r>
        <w:rPr>
          <w:spacing w:val="5"/>
        </w:rPr>
        <w:t>事故发生单位主要负责人迟报</w:t>
      </w:r>
      <w:r>
        <w:rPr>
          <w:spacing w:val="3"/>
        </w:rPr>
        <w:t>事故的</w:t>
      </w:r>
      <w:r>
        <w:rPr>
          <w:rFonts w:hint="eastAsia" w:ascii="MS UI Gothic" w:eastAsia="MS UI Gothic"/>
          <w:spacing w:val="17"/>
          <w:w w:val="85"/>
        </w:rPr>
        <w:t xml:space="preserve">ꎬ </w:t>
      </w:r>
      <w:r>
        <w:rPr>
          <w:spacing w:val="6"/>
        </w:rPr>
        <w:t xml:space="preserve">处上一年年收入 </w:t>
      </w:r>
      <w:r>
        <w:rPr>
          <w:rFonts w:hint="eastAsia" w:ascii="MS UI Gothic" w:eastAsia="MS UI Gothic"/>
          <w:w w:val="85"/>
        </w:rPr>
        <w:t>６０</w:t>
      </w:r>
      <w:r>
        <w:rPr>
          <w:spacing w:val="-22"/>
          <w:w w:val="85"/>
        </w:rPr>
        <w:t xml:space="preserve">％ </w:t>
      </w:r>
      <w:r>
        <w:rPr>
          <w:spacing w:val="-25"/>
        </w:rPr>
        <w:t xml:space="preserve">至 </w:t>
      </w:r>
      <w:r>
        <w:rPr>
          <w:rFonts w:hint="eastAsia" w:ascii="MS UI Gothic" w:eastAsia="MS UI Gothic"/>
          <w:w w:val="85"/>
        </w:rPr>
        <w:t>８０</w:t>
      </w:r>
      <w:r>
        <w:rPr>
          <w:spacing w:val="-22"/>
          <w:w w:val="85"/>
        </w:rPr>
        <w:t xml:space="preserve">％ </w:t>
      </w:r>
      <w:r>
        <w:t>的</w:t>
      </w:r>
      <w:r>
        <w:rPr>
          <w:spacing w:val="9"/>
        </w:rPr>
        <w:t>罚款</w:t>
      </w:r>
      <w:r>
        <w:rPr>
          <w:rFonts w:hint="eastAsia" w:ascii="MS UI Gothic" w:eastAsia="MS UI Gothic"/>
          <w:spacing w:val="25"/>
          <w:w w:val="85"/>
        </w:rPr>
        <w:t xml:space="preserve">ꎻ </w:t>
      </w:r>
      <w:r>
        <w:rPr>
          <w:spacing w:val="31"/>
        </w:rPr>
        <w:t>漏报事故的</w:t>
      </w:r>
      <w:r>
        <w:rPr>
          <w:rFonts w:hint="eastAsia" w:ascii="MS UI Gothic" w:eastAsia="MS UI Gothic"/>
          <w:w w:val="85"/>
        </w:rPr>
        <w:t xml:space="preserve">ꎬ </w:t>
      </w:r>
      <w:r>
        <w:rPr>
          <w:spacing w:val="34"/>
        </w:rPr>
        <w:t>处上一年年收入</w:t>
      </w:r>
      <w:r>
        <w:rPr>
          <w:rFonts w:hint="eastAsia" w:ascii="MS UI Gothic" w:eastAsia="MS UI Gothic"/>
          <w:spacing w:val="34"/>
          <w:w w:val="85"/>
        </w:rPr>
        <w:t>４０</w:t>
      </w:r>
      <w:r>
        <w:rPr>
          <w:spacing w:val="-10"/>
          <w:w w:val="85"/>
        </w:rPr>
        <w:t xml:space="preserve">％ </w:t>
      </w:r>
      <w:r>
        <w:rPr>
          <w:spacing w:val="-27"/>
        </w:rPr>
        <w:t xml:space="preserve">至 </w:t>
      </w:r>
      <w:r>
        <w:rPr>
          <w:rFonts w:hint="eastAsia" w:ascii="MS UI Gothic" w:eastAsia="MS UI Gothic"/>
          <w:w w:val="85"/>
        </w:rPr>
        <w:t>６０</w:t>
      </w:r>
      <w:r>
        <w:rPr>
          <w:spacing w:val="-26"/>
          <w:w w:val="85"/>
        </w:rPr>
        <w:t xml:space="preserve">％ </w:t>
      </w:r>
      <w:r>
        <w:rPr>
          <w:spacing w:val="3"/>
        </w:rPr>
        <w:t>的罚款</w:t>
      </w:r>
      <w:r>
        <w:rPr>
          <w:rFonts w:hint="eastAsia" w:ascii="MS UI Gothic" w:eastAsia="MS UI Gothic"/>
          <w:w w:val="85"/>
        </w:rPr>
        <w:t>ꎻ</w:t>
      </w:r>
    </w:p>
    <w:p>
      <w:pPr>
        <w:pStyle w:val="6"/>
        <w:spacing w:line="295" w:lineRule="auto"/>
        <w:ind w:left="440" w:right="1"/>
        <w:rPr>
          <w:rFonts w:hint="eastAsia" w:ascii="MS UI Gothic" w:eastAsia="MS UI Gothic"/>
        </w:rPr>
      </w:pPr>
      <w:r>
        <w:rPr>
          <w:rFonts w:hint="eastAsia" w:ascii="MS UI Gothic" w:eastAsia="MS UI Gothic"/>
          <w:w w:val="140"/>
        </w:rPr>
        <w:t xml:space="preserve">( </w:t>
      </w:r>
      <w:r>
        <w:rPr>
          <w:w w:val="95"/>
        </w:rPr>
        <w:t>三</w:t>
      </w:r>
      <w:r>
        <w:rPr>
          <w:rFonts w:hint="eastAsia" w:ascii="MS UI Gothic" w:eastAsia="MS UI Gothic"/>
          <w:w w:val="140"/>
        </w:rPr>
        <w:t xml:space="preserve">)  </w:t>
      </w:r>
      <w:r>
        <w:rPr>
          <w:w w:val="95"/>
        </w:rPr>
        <w:t>事故发生单位主要负责人在事故调查处理期间擅离职守的</w:t>
      </w:r>
      <w:r>
        <w:rPr>
          <w:rFonts w:hint="eastAsia" w:ascii="MS UI Gothic" w:eastAsia="MS UI Gothic"/>
          <w:w w:val="90"/>
        </w:rPr>
        <w:t xml:space="preserve">ꎬ  </w:t>
      </w:r>
      <w:r>
        <w:rPr>
          <w:w w:val="95"/>
        </w:rPr>
        <w:t xml:space="preserve">处上一年年收入 </w:t>
      </w:r>
      <w:r>
        <w:rPr>
          <w:rFonts w:hint="eastAsia" w:ascii="MS UI Gothic" w:eastAsia="MS UI Gothic"/>
          <w:w w:val="95"/>
        </w:rPr>
        <w:t>８０</w:t>
      </w:r>
      <w:r>
        <w:rPr>
          <w:w w:val="95"/>
        </w:rPr>
        <w:t xml:space="preserve">％ 至 </w:t>
      </w:r>
      <w:r>
        <w:rPr>
          <w:rFonts w:hint="eastAsia" w:ascii="MS UI Gothic" w:eastAsia="MS UI Gothic"/>
          <w:w w:val="95"/>
        </w:rPr>
        <w:t>１００</w:t>
      </w:r>
      <w:r>
        <w:rPr>
          <w:w w:val="95"/>
        </w:rPr>
        <w:t>％ 的罚款</w:t>
      </w:r>
      <w:r>
        <w:rPr>
          <w:rFonts w:hint="eastAsia" w:ascii="MS UI Gothic" w:eastAsia="MS UI Gothic"/>
          <w:w w:val="90"/>
        </w:rPr>
        <w:t>ꎮ</w:t>
      </w:r>
    </w:p>
    <w:p>
      <w:pPr>
        <w:pStyle w:val="6"/>
        <w:spacing w:line="295" w:lineRule="auto"/>
        <w:ind w:left="440" w:right="1"/>
        <w:rPr>
          <w:rFonts w:hint="eastAsia" w:ascii="MS UI Gothic" w:hAnsi="MS UI Gothic" w:eastAsia="MS UI Gothic"/>
        </w:rPr>
      </w:pPr>
      <w:r>
        <w:rPr>
          <w:spacing w:val="8"/>
          <w:w w:val="95"/>
        </w:rPr>
        <w:t xml:space="preserve">第十二条 事故发生单位有 </w:t>
      </w:r>
      <w:r>
        <w:rPr>
          <w:rFonts w:hint="eastAsia" w:ascii="MS UI Gothic" w:hAnsi="MS UI Gothic" w:eastAsia="MS UI Gothic"/>
          <w:spacing w:val="-10"/>
          <w:w w:val="95"/>
        </w:rPr>
        <w:t xml:space="preserve">« </w:t>
      </w:r>
      <w:r>
        <w:rPr>
          <w:spacing w:val="10"/>
          <w:w w:val="95"/>
        </w:rPr>
        <w:t>条例</w:t>
      </w:r>
      <w:r>
        <w:rPr>
          <w:rFonts w:hint="eastAsia" w:ascii="MS UI Gothic" w:hAnsi="MS UI Gothic" w:eastAsia="MS UI Gothic"/>
          <w:w w:val="95"/>
        </w:rPr>
        <w:t xml:space="preserve">» </w:t>
      </w:r>
      <w:r>
        <w:rPr>
          <w:spacing w:val="12"/>
          <w:w w:val="95"/>
        </w:rPr>
        <w:t>第三十六条规定行为之一的</w:t>
      </w:r>
      <w:r>
        <w:rPr>
          <w:rFonts w:hint="eastAsia" w:ascii="MS UI Gothic" w:hAnsi="MS UI Gothic" w:eastAsia="MS UI Gothic"/>
          <w:spacing w:val="10"/>
          <w:w w:val="85"/>
        </w:rPr>
        <w:t xml:space="preserve">ꎬ </w:t>
      </w:r>
      <w:r>
        <w:rPr>
          <w:spacing w:val="34"/>
          <w:w w:val="95"/>
        </w:rPr>
        <w:t xml:space="preserve">依照 </w:t>
      </w:r>
      <w:r>
        <w:rPr>
          <w:rFonts w:hint="eastAsia" w:ascii="MS UI Gothic" w:hAnsi="MS UI Gothic" w:eastAsia="MS UI Gothic"/>
          <w:spacing w:val="-4"/>
          <w:w w:val="95"/>
        </w:rPr>
        <w:t xml:space="preserve">« </w:t>
      </w:r>
      <w:r>
        <w:rPr>
          <w:spacing w:val="-11"/>
          <w:w w:val="95"/>
        </w:rPr>
        <w:t>国</w:t>
      </w:r>
      <w:r>
        <w:rPr>
          <w:spacing w:val="9"/>
          <w:w w:val="95"/>
        </w:rPr>
        <w:t xml:space="preserve">家安全监管总局关于印发  </w:t>
      </w:r>
      <w:r>
        <w:rPr>
          <w:rFonts w:hint="eastAsia" w:ascii="MS UI Gothic" w:hAnsi="MS UI Gothic" w:eastAsia="MS UI Gothic"/>
          <w:spacing w:val="8"/>
          <w:w w:val="95"/>
        </w:rPr>
        <w:t xml:space="preserve">‹ </w:t>
      </w:r>
      <w:r>
        <w:rPr>
          <w:spacing w:val="11"/>
          <w:w w:val="95"/>
        </w:rPr>
        <w:t>安全生产行</w:t>
      </w:r>
      <w:r>
        <w:rPr>
          <w:spacing w:val="3"/>
          <w:w w:val="95"/>
        </w:rPr>
        <w:t>政处罚自由裁量标准</w:t>
      </w:r>
      <w:r>
        <w:rPr>
          <w:rFonts w:hint="eastAsia" w:ascii="MS UI Gothic" w:hAnsi="MS UI Gothic" w:eastAsia="MS UI Gothic"/>
          <w:spacing w:val="15"/>
          <w:w w:val="95"/>
        </w:rPr>
        <w:t xml:space="preserve">›  </w:t>
      </w:r>
      <w:r>
        <w:rPr>
          <w:spacing w:val="7"/>
          <w:w w:val="95"/>
        </w:rPr>
        <w:t>的通知</w:t>
      </w:r>
      <w:r>
        <w:rPr>
          <w:rFonts w:hint="eastAsia" w:ascii="MS UI Gothic" w:hAnsi="MS UI Gothic" w:eastAsia="MS UI Gothic"/>
          <w:spacing w:val="7"/>
          <w:w w:val="95"/>
        </w:rPr>
        <w:t xml:space="preserve">»   </w:t>
      </w:r>
      <w:r>
        <w:rPr>
          <w:rFonts w:hint="eastAsia" w:ascii="MS UI Gothic" w:hAnsi="MS UI Gothic" w:eastAsia="MS UI Gothic"/>
          <w:spacing w:val="-21"/>
          <w:w w:val="140"/>
        </w:rPr>
        <w:t xml:space="preserve">( </w:t>
      </w:r>
      <w:r>
        <w:rPr>
          <w:spacing w:val="4"/>
          <w:w w:val="95"/>
        </w:rPr>
        <w:t>安监总</w:t>
      </w:r>
      <w:r>
        <w:rPr>
          <w:w w:val="95"/>
        </w:rPr>
        <w:t xml:space="preserve">政法 </w:t>
      </w:r>
      <w:r>
        <w:rPr>
          <w:rFonts w:hint="eastAsia" w:ascii="MS UI Gothic" w:hAnsi="MS UI Gothic" w:eastAsia="MS UI Gothic"/>
          <w:spacing w:val="3"/>
          <w:w w:val="95"/>
        </w:rPr>
        <w:t xml:space="preserve">〔２０１０〕 １３７ </w:t>
      </w:r>
      <w:r>
        <w:rPr>
          <w:spacing w:val="3"/>
          <w:w w:val="95"/>
        </w:rPr>
        <w:t>号</w:t>
      </w:r>
      <w:r>
        <w:rPr>
          <w:rFonts w:hint="eastAsia" w:ascii="MS UI Gothic" w:hAnsi="MS UI Gothic" w:eastAsia="MS UI Gothic"/>
          <w:spacing w:val="13"/>
          <w:w w:val="140"/>
        </w:rPr>
        <w:t xml:space="preserve">) </w:t>
      </w:r>
      <w:r>
        <w:rPr>
          <w:spacing w:val="3"/>
          <w:w w:val="95"/>
        </w:rPr>
        <w:t>等规定给予罚款</w:t>
      </w:r>
      <w:r>
        <w:rPr>
          <w:rFonts w:hint="eastAsia" w:ascii="MS UI Gothic" w:hAnsi="MS UI Gothic" w:eastAsia="MS UI Gothic"/>
          <w:w w:val="85"/>
        </w:rPr>
        <w:t>ꎮ</w:t>
      </w:r>
    </w:p>
    <w:p>
      <w:pPr>
        <w:pStyle w:val="6"/>
        <w:spacing w:line="295" w:lineRule="auto"/>
        <w:ind w:left="440"/>
        <w:rPr>
          <w:rFonts w:hint="eastAsia" w:ascii="MS UI Gothic" w:hAnsi="MS UI Gothic" w:eastAsia="MS UI Gothic"/>
        </w:rPr>
      </w:pPr>
      <w:r>
        <w:t>第十三条 事故发生单位的主要负责人</w:t>
      </w:r>
      <w:r>
        <w:rPr>
          <w:rFonts w:hint="eastAsia" w:ascii="MS UI Gothic" w:hAnsi="MS UI Gothic" w:eastAsia="MS UI Gothic"/>
        </w:rPr>
        <w:t xml:space="preserve">、 </w:t>
      </w:r>
      <w:r>
        <w:t xml:space="preserve">直接负责的主管人员和其他直接责任人员有 </w:t>
      </w:r>
      <w:r>
        <w:rPr>
          <w:rFonts w:hint="eastAsia" w:ascii="MS UI Gothic" w:hAnsi="MS UI Gothic" w:eastAsia="MS UI Gothic"/>
        </w:rPr>
        <w:t xml:space="preserve">« </w:t>
      </w:r>
      <w:r>
        <w:t>安全生产法</w:t>
      </w:r>
      <w:r>
        <w:rPr>
          <w:rFonts w:hint="eastAsia" w:ascii="MS UI Gothic" w:hAnsi="MS UI Gothic" w:eastAsia="MS UI Gothic"/>
        </w:rPr>
        <w:t xml:space="preserve">» </w:t>
      </w:r>
      <w:r>
        <w:t>第一百零六条</w:t>
      </w:r>
      <w:r>
        <w:rPr>
          <w:rFonts w:hint="eastAsia" w:ascii="MS UI Gothic" w:hAnsi="MS UI Gothic" w:eastAsia="MS UI Gothic"/>
        </w:rPr>
        <w:t>、</w:t>
      </w:r>
    </w:p>
    <w:p>
      <w:pPr>
        <w:pStyle w:val="6"/>
        <w:spacing w:line="295" w:lineRule="auto"/>
        <w:ind w:left="440" w:right="1" w:firstLine="0"/>
        <w:rPr>
          <w:rFonts w:hint="eastAsia" w:ascii="MS UI Gothic" w:hAnsi="MS UI Gothic" w:eastAsia="MS UI Gothic"/>
        </w:rPr>
      </w:pPr>
      <w:r>
        <w:rPr>
          <w:rFonts w:hint="eastAsia" w:ascii="MS UI Gothic" w:hAnsi="MS UI Gothic" w:eastAsia="MS UI Gothic"/>
          <w:w w:val="80"/>
        </w:rPr>
        <w:t xml:space="preserve">« </w:t>
      </w:r>
      <w:r>
        <w:rPr>
          <w:w w:val="105"/>
        </w:rPr>
        <w:t>条例</w:t>
      </w:r>
      <w:r>
        <w:rPr>
          <w:rFonts w:hint="eastAsia" w:ascii="MS UI Gothic" w:hAnsi="MS UI Gothic" w:eastAsia="MS UI Gothic"/>
          <w:w w:val="80"/>
        </w:rPr>
        <w:t xml:space="preserve">» </w:t>
      </w:r>
      <w:r>
        <w:rPr>
          <w:w w:val="105"/>
        </w:rPr>
        <w:t>第三十六条规定的下列行为之一的</w:t>
      </w:r>
      <w:r>
        <w:rPr>
          <w:rFonts w:hint="eastAsia" w:ascii="MS UI Gothic" w:hAnsi="MS UI Gothic" w:eastAsia="MS UI Gothic"/>
          <w:w w:val="80"/>
        </w:rPr>
        <w:t xml:space="preserve">ꎬ </w:t>
      </w:r>
      <w:r>
        <w:rPr>
          <w:w w:val="105"/>
        </w:rPr>
        <w:t>依照下列规定处以罚款</w:t>
      </w:r>
      <w:r>
        <w:rPr>
          <w:rFonts w:hint="eastAsia" w:ascii="MS UI Gothic" w:hAns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40"/>
        </w:rPr>
        <w:t xml:space="preserve">( </w:t>
      </w:r>
      <w:r>
        <w:t>一</w:t>
      </w:r>
      <w:r>
        <w:rPr>
          <w:rFonts w:hint="eastAsia" w:ascii="MS UI Gothic" w:eastAsia="MS UI Gothic"/>
          <w:w w:val="140"/>
        </w:rPr>
        <w:t xml:space="preserve">) </w:t>
      </w:r>
      <w:r>
        <w:t>伪造</w:t>
      </w:r>
      <w:r>
        <w:rPr>
          <w:rFonts w:hint="eastAsia" w:ascii="MS UI Gothic" w:eastAsia="MS UI Gothic"/>
          <w:w w:val="95"/>
        </w:rPr>
        <w:t xml:space="preserve">、 </w:t>
      </w:r>
      <w:r>
        <w:t>故意破坏事故现场</w:t>
      </w:r>
      <w:r>
        <w:rPr>
          <w:rFonts w:hint="eastAsia" w:ascii="MS UI Gothic" w:eastAsia="MS UI Gothic"/>
          <w:w w:val="85"/>
        </w:rPr>
        <w:t xml:space="preserve">ꎬ </w:t>
      </w:r>
      <w:r>
        <w:t>或者转移</w:t>
      </w:r>
      <w:r>
        <w:rPr>
          <w:rFonts w:hint="eastAsia" w:ascii="MS UI Gothic" w:eastAsia="MS UI Gothic"/>
          <w:w w:val="95"/>
        </w:rPr>
        <w:t xml:space="preserve">、 </w:t>
      </w:r>
      <w:r>
        <w:t>隐匿资金</w:t>
      </w:r>
      <w:r>
        <w:rPr>
          <w:rFonts w:hint="eastAsia" w:ascii="MS UI Gothic" w:eastAsia="MS UI Gothic"/>
          <w:w w:val="95"/>
        </w:rPr>
        <w:t xml:space="preserve">、 </w:t>
      </w:r>
      <w:r>
        <w:t>财产</w:t>
      </w:r>
      <w:r>
        <w:rPr>
          <w:rFonts w:hint="eastAsia" w:ascii="MS UI Gothic" w:eastAsia="MS UI Gothic"/>
          <w:w w:val="95"/>
        </w:rPr>
        <w:t xml:space="preserve">、 </w:t>
      </w:r>
      <w:r>
        <w:t>销毁有关</w:t>
      </w:r>
      <w:r>
        <w:rPr>
          <w:w w:val="95"/>
        </w:rPr>
        <w:t>证</w:t>
      </w:r>
      <w:r>
        <w:t>据</w:t>
      </w:r>
      <w:r>
        <w:rPr>
          <w:rFonts w:hint="eastAsia" w:ascii="MS UI Gothic" w:eastAsia="MS UI Gothic"/>
          <w:w w:val="95"/>
        </w:rPr>
        <w:t xml:space="preserve">、 </w:t>
      </w:r>
      <w:r>
        <w:t>资料</w:t>
      </w:r>
      <w:r>
        <w:rPr>
          <w:rFonts w:hint="eastAsia" w:ascii="MS UI Gothic" w:eastAsia="MS UI Gothic"/>
          <w:w w:val="85"/>
        </w:rPr>
        <w:t xml:space="preserve">ꎬ </w:t>
      </w:r>
      <w:r>
        <w:t>或者拒绝接受调查</w:t>
      </w:r>
      <w:r>
        <w:rPr>
          <w:rFonts w:hint="eastAsia" w:ascii="MS UI Gothic" w:eastAsia="MS UI Gothic"/>
          <w:w w:val="85"/>
        </w:rPr>
        <w:t xml:space="preserve">ꎬ </w:t>
      </w:r>
      <w:r>
        <w:t>或者拒绝提供有关情况和资料</w:t>
      </w:r>
      <w:r>
        <w:rPr>
          <w:rFonts w:hint="eastAsia" w:ascii="MS UI Gothic" w:eastAsia="MS UI Gothic"/>
          <w:w w:val="85"/>
        </w:rPr>
        <w:t xml:space="preserve">ꎬ </w:t>
      </w:r>
      <w:r>
        <w:t>或者在事故调查中作伪证</w:t>
      </w:r>
      <w:r>
        <w:rPr>
          <w:rFonts w:hint="eastAsia" w:ascii="MS UI Gothic" w:eastAsia="MS UI Gothic"/>
          <w:w w:val="85"/>
        </w:rPr>
        <w:t xml:space="preserve">ꎬ </w:t>
      </w:r>
      <w:r>
        <w:t>或者指使他人作伪证的</w:t>
      </w:r>
      <w:r>
        <w:rPr>
          <w:rFonts w:hint="eastAsia" w:ascii="MS UI Gothic" w:eastAsia="MS UI Gothic"/>
          <w:w w:val="85"/>
        </w:rPr>
        <w:t xml:space="preserve">ꎬ </w:t>
      </w:r>
      <w:r>
        <w:t xml:space="preserve">处上一年年收入 </w:t>
      </w:r>
      <w:r>
        <w:rPr>
          <w:rFonts w:hint="eastAsia" w:ascii="MS UI Gothic" w:eastAsia="MS UI Gothic"/>
          <w:w w:val="95"/>
        </w:rPr>
        <w:t>８０</w:t>
      </w:r>
      <w:r>
        <w:rPr>
          <w:w w:val="95"/>
        </w:rPr>
        <w:t xml:space="preserve">％ </w:t>
      </w:r>
      <w:r>
        <w:t xml:space="preserve">至 </w:t>
      </w:r>
      <w:r>
        <w:rPr>
          <w:rFonts w:hint="eastAsia" w:ascii="MS UI Gothic" w:eastAsia="MS UI Gothic"/>
          <w:w w:val="95"/>
        </w:rPr>
        <w:t>９０</w:t>
      </w:r>
      <w:r>
        <w:rPr>
          <w:w w:val="95"/>
        </w:rPr>
        <w:t xml:space="preserve">％ </w:t>
      </w:r>
      <w:r>
        <w:t>的罚款</w:t>
      </w:r>
      <w:r>
        <w:rPr>
          <w:rFonts w:hint="eastAsia" w:ascii="MS UI Gothic" w:eastAsia="MS UI Gothic"/>
          <w:w w:val="85"/>
        </w:rPr>
        <w:t>ꎻ</w:t>
      </w:r>
    </w:p>
    <w:p>
      <w:pPr>
        <w:pStyle w:val="6"/>
        <w:spacing w:line="295" w:lineRule="auto"/>
        <w:ind w:left="440" w:right="1"/>
        <w:rPr>
          <w:rFonts w:hint="eastAsia" w:ascii="MS UI Gothic" w:eastAsia="MS UI Gothic"/>
        </w:rPr>
      </w:pPr>
      <w:r>
        <w:rPr>
          <w:rFonts w:hint="eastAsia" w:ascii="MS UI Gothic" w:eastAsia="MS UI Gothic"/>
          <w:w w:val="140"/>
        </w:rPr>
        <w:t xml:space="preserve">( </w:t>
      </w:r>
      <w:r>
        <w:rPr>
          <w:w w:val="95"/>
        </w:rPr>
        <w:t>二</w:t>
      </w:r>
      <w:r>
        <w:rPr>
          <w:rFonts w:hint="eastAsia" w:ascii="MS UI Gothic" w:eastAsia="MS UI Gothic"/>
          <w:w w:val="140"/>
        </w:rPr>
        <w:t xml:space="preserve">) </w:t>
      </w:r>
      <w:r>
        <w:rPr>
          <w:w w:val="95"/>
        </w:rPr>
        <w:t>谎报</w:t>
      </w:r>
      <w:r>
        <w:rPr>
          <w:rFonts w:hint="eastAsia" w:ascii="MS UI Gothic" w:eastAsia="MS UI Gothic"/>
          <w:w w:val="95"/>
        </w:rPr>
        <w:t xml:space="preserve">、  </w:t>
      </w:r>
      <w:r>
        <w:rPr>
          <w:w w:val="95"/>
        </w:rPr>
        <w:t>瞒报事故或者事故发生后逃匿的</w:t>
      </w:r>
      <w:r>
        <w:rPr>
          <w:rFonts w:hint="eastAsia" w:ascii="MS UI Gothic" w:eastAsia="MS UI Gothic"/>
          <w:w w:val="90"/>
        </w:rPr>
        <w:t xml:space="preserve">ꎬ </w:t>
      </w:r>
      <w:r>
        <w:rPr>
          <w:w w:val="95"/>
        </w:rPr>
        <w:t xml:space="preserve">处上一年年收入 </w:t>
      </w:r>
      <w:r>
        <w:rPr>
          <w:rFonts w:hint="eastAsia" w:ascii="MS UI Gothic" w:eastAsia="MS UI Gothic"/>
          <w:w w:val="95"/>
        </w:rPr>
        <w:t>１００</w:t>
      </w:r>
      <w:r>
        <w:rPr>
          <w:w w:val="95"/>
        </w:rPr>
        <w:t>％ 的罚款</w:t>
      </w:r>
      <w:r>
        <w:rPr>
          <w:rFonts w:hint="eastAsia" w:ascii="MS UI Gothic" w:eastAsia="MS UI Gothic"/>
          <w:w w:val="90"/>
        </w:rPr>
        <w:t>ꎮ</w:t>
      </w:r>
    </w:p>
    <w:p>
      <w:pPr>
        <w:pStyle w:val="6"/>
        <w:spacing w:line="295" w:lineRule="auto"/>
        <w:ind w:left="440" w:right="1"/>
      </w:pPr>
      <w:r>
        <w:rPr>
          <w:w w:val="95"/>
        </w:rPr>
        <w:t xml:space="preserve">第十四条  事故发生单位对造成 </w:t>
      </w:r>
      <w:r>
        <w:rPr>
          <w:rFonts w:hint="eastAsia" w:ascii="MS UI Gothic" w:eastAsia="MS UI Gothic"/>
          <w:spacing w:val="20"/>
          <w:w w:val="95"/>
        </w:rPr>
        <w:t xml:space="preserve">３ </w:t>
      </w:r>
      <w:r>
        <w:rPr>
          <w:w w:val="95"/>
        </w:rPr>
        <w:t>人</w:t>
      </w:r>
      <w:r>
        <w:rPr>
          <w:spacing w:val="3"/>
          <w:w w:val="95"/>
        </w:rPr>
        <w:t>以下死亡</w:t>
      </w:r>
      <w:r>
        <w:rPr>
          <w:rFonts w:hint="eastAsia" w:ascii="MS UI Gothic" w:eastAsia="MS UI Gothic"/>
          <w:spacing w:val="10"/>
          <w:w w:val="85"/>
        </w:rPr>
        <w:t xml:space="preserve">ꎬ </w:t>
      </w:r>
      <w:r>
        <w:rPr>
          <w:spacing w:val="-5"/>
          <w:w w:val="95"/>
        </w:rPr>
        <w:t xml:space="preserve">或者 </w:t>
      </w:r>
      <w:r>
        <w:rPr>
          <w:rFonts w:hint="eastAsia" w:ascii="MS UI Gothic" w:eastAsia="MS UI Gothic"/>
          <w:spacing w:val="12"/>
          <w:w w:val="95"/>
        </w:rPr>
        <w:t xml:space="preserve">３ </w:t>
      </w:r>
      <w:r>
        <w:rPr>
          <w:w w:val="95"/>
        </w:rPr>
        <w:t xml:space="preserve">人以上 </w:t>
      </w:r>
      <w:r>
        <w:rPr>
          <w:rFonts w:hint="eastAsia" w:ascii="MS UI Gothic" w:eastAsia="MS UI Gothic"/>
          <w:spacing w:val="8"/>
          <w:w w:val="95"/>
        </w:rPr>
        <w:t xml:space="preserve">１０ </w:t>
      </w:r>
      <w:r>
        <w:rPr>
          <w:spacing w:val="10"/>
          <w:w w:val="95"/>
        </w:rPr>
        <w:t xml:space="preserve">人以下重伤 </w:t>
      </w:r>
      <w:r>
        <w:rPr>
          <w:rFonts w:hint="eastAsia" w:ascii="MS UI Gothic" w:eastAsia="MS UI Gothic"/>
          <w:spacing w:val="-27"/>
          <w:w w:val="140"/>
        </w:rPr>
        <w:t xml:space="preserve">( </w:t>
      </w:r>
      <w:r>
        <w:rPr>
          <w:spacing w:val="17"/>
          <w:w w:val="95"/>
        </w:rPr>
        <w:t>包括急性工业中毒</w:t>
      </w:r>
      <w:r>
        <w:rPr>
          <w:rFonts w:hint="eastAsia" w:ascii="MS UI Gothic" w:eastAsia="MS UI Gothic"/>
          <w:spacing w:val="9"/>
          <w:w w:val="85"/>
        </w:rPr>
        <w:t xml:space="preserve">ꎬ </w:t>
      </w:r>
      <w:r>
        <w:rPr>
          <w:spacing w:val="21"/>
          <w:w w:val="95"/>
        </w:rPr>
        <w:t>下同</w:t>
      </w:r>
      <w:r>
        <w:rPr>
          <w:rFonts w:hint="eastAsia" w:ascii="MS UI Gothic" w:eastAsia="MS UI Gothic"/>
          <w:spacing w:val="-32"/>
          <w:w w:val="140"/>
        </w:rPr>
        <w:t xml:space="preserve">) </w:t>
      </w:r>
      <w:r>
        <w:rPr>
          <w:rFonts w:hint="eastAsia" w:ascii="MS UI Gothic" w:eastAsia="MS UI Gothic"/>
          <w:spacing w:val="9"/>
          <w:w w:val="85"/>
        </w:rPr>
        <w:t xml:space="preserve">ꎬ </w:t>
      </w:r>
      <w:r>
        <w:rPr>
          <w:spacing w:val="2"/>
          <w:w w:val="95"/>
        </w:rPr>
        <w:t xml:space="preserve">或者 </w:t>
      </w:r>
      <w:r>
        <w:rPr>
          <w:rFonts w:hint="eastAsia" w:ascii="MS UI Gothic" w:eastAsia="MS UI Gothic"/>
          <w:w w:val="95"/>
        </w:rPr>
        <w:t xml:space="preserve">３００ </w:t>
      </w:r>
      <w:r>
        <w:rPr>
          <w:spacing w:val="4"/>
          <w:w w:val="95"/>
        </w:rPr>
        <w:t xml:space="preserve">万元以上 </w:t>
      </w:r>
      <w:r>
        <w:rPr>
          <w:rFonts w:hint="eastAsia" w:ascii="MS UI Gothic" w:eastAsia="MS UI Gothic"/>
          <w:spacing w:val="4"/>
          <w:w w:val="95"/>
        </w:rPr>
        <w:t xml:space="preserve">１０００  </w:t>
      </w:r>
      <w:r>
        <w:rPr>
          <w:spacing w:val="11"/>
          <w:w w:val="95"/>
        </w:rPr>
        <w:t>万元以下直接经济损失的</w:t>
      </w:r>
    </w:p>
    <w:p>
      <w:pPr>
        <w:pStyle w:val="6"/>
        <w:spacing w:line="253" w:lineRule="exact"/>
        <w:ind w:left="440" w:firstLine="0"/>
        <w:rPr>
          <w:rFonts w:hint="eastAsia" w:ascii="MS UI Gothic" w:eastAsia="MS UI Gothic"/>
        </w:rPr>
      </w:pPr>
      <w:r>
        <w:rPr>
          <w:spacing w:val="4"/>
        </w:rPr>
        <w:t>一般事故负有责任的</w:t>
      </w:r>
      <w:r>
        <w:rPr>
          <w:rFonts w:hint="eastAsia" w:ascii="MS UI Gothic" w:eastAsia="MS UI Gothic"/>
          <w:spacing w:val="21"/>
          <w:w w:val="85"/>
        </w:rPr>
        <w:t xml:space="preserve">ꎬ </w:t>
      </w:r>
      <w:r>
        <w:rPr>
          <w:spacing w:val="-26"/>
        </w:rPr>
        <w:t xml:space="preserve">处 </w:t>
      </w:r>
      <w:r>
        <w:rPr>
          <w:rFonts w:hint="eastAsia" w:ascii="MS UI Gothic" w:eastAsia="MS UI Gothic"/>
          <w:spacing w:val="1"/>
          <w:w w:val="85"/>
        </w:rPr>
        <w:t xml:space="preserve">２０ </w:t>
      </w:r>
      <w:r>
        <w:rPr>
          <w:spacing w:val="-6"/>
        </w:rPr>
        <w:t xml:space="preserve">万元以上 </w:t>
      </w:r>
      <w:r>
        <w:rPr>
          <w:rFonts w:hint="eastAsia" w:ascii="MS UI Gothic" w:eastAsia="MS UI Gothic"/>
          <w:w w:val="85"/>
        </w:rPr>
        <w:t>５０</w:t>
      </w:r>
    </w:p>
    <w:p>
      <w:pPr>
        <w:pStyle w:val="6"/>
        <w:spacing w:before="58" w:line="295" w:lineRule="auto"/>
        <w:ind w:left="381" w:right="126"/>
        <w:rPr>
          <w:rFonts w:hint="eastAsia" w:ascii="MS UI Gothic" w:eastAsia="MS UI Gothic"/>
        </w:rPr>
      </w:pPr>
      <w:r>
        <w:br w:type="column"/>
      </w:r>
      <w:r>
        <w:t>事故发生单位有本条第一款规定的行为且有谎报或者瞒报事故情节的</w:t>
      </w:r>
      <w:r>
        <w:rPr>
          <w:rFonts w:hint="eastAsia" w:ascii="MS UI Gothic" w:eastAsia="MS UI Gothic"/>
          <w:w w:val="85"/>
        </w:rPr>
        <w:t xml:space="preserve">ꎬ </w:t>
      </w:r>
      <w:r>
        <w:t xml:space="preserve">处 </w:t>
      </w:r>
      <w:r>
        <w:rPr>
          <w:rFonts w:hint="eastAsia" w:ascii="MS UI Gothic" w:eastAsia="MS UI Gothic"/>
          <w:w w:val="85"/>
        </w:rPr>
        <w:t xml:space="preserve">５０ </w:t>
      </w:r>
      <w:r>
        <w:t>万元的罚款</w:t>
      </w:r>
      <w:r>
        <w:rPr>
          <w:rFonts w:hint="eastAsia" w:ascii="MS UI Gothic" w:eastAsia="MS UI Gothic"/>
          <w:w w:val="85"/>
        </w:rPr>
        <w:t>ꎮ</w:t>
      </w:r>
    </w:p>
    <w:p>
      <w:pPr>
        <w:pStyle w:val="6"/>
        <w:spacing w:line="295" w:lineRule="auto"/>
        <w:ind w:left="381" w:right="126"/>
        <w:rPr>
          <w:rFonts w:hint="eastAsia" w:ascii="MS UI Gothic" w:eastAsia="MS UI Gothic"/>
        </w:rPr>
      </w:pPr>
      <w:r>
        <w:rPr>
          <w:spacing w:val="2"/>
          <w:w w:val="105"/>
        </w:rPr>
        <w:t>第十五条 事故发生单位对较大事故</w:t>
      </w:r>
      <w:r>
        <w:rPr>
          <w:spacing w:val="26"/>
        </w:rPr>
        <w:t>发生负有责任的</w:t>
      </w:r>
      <w:r>
        <w:rPr>
          <w:rFonts w:hint="eastAsia" w:ascii="MS UI Gothic" w:eastAsia="MS UI Gothic"/>
          <w:spacing w:val="1"/>
          <w:w w:val="80"/>
        </w:rPr>
        <w:t xml:space="preserve">ꎬ </w:t>
      </w:r>
      <w:r>
        <w:rPr>
          <w:spacing w:val="30"/>
        </w:rPr>
        <w:t>依照下列规定处以</w:t>
      </w:r>
      <w:r>
        <w:rPr>
          <w:spacing w:val="3"/>
          <w:w w:val="110"/>
        </w:rPr>
        <w:t>罚款</w:t>
      </w:r>
      <w:r>
        <w:rPr>
          <w:rFonts w:hint="eastAsia" w:ascii="MS UI Gothic" w:eastAsia="MS UI Gothic"/>
          <w:w w:val="235"/>
        </w:rPr>
        <w:t>:</w:t>
      </w:r>
    </w:p>
    <w:p>
      <w:pPr>
        <w:pStyle w:val="6"/>
        <w:spacing w:line="295" w:lineRule="auto"/>
        <w:ind w:left="375" w:right="124" w:firstLine="425"/>
        <w:rPr>
          <w:rFonts w:hint="eastAsia" w:ascii="MS UI Gothic" w:eastAsia="MS UI Gothic"/>
        </w:rPr>
      </w:pPr>
      <w:r>
        <w:rPr>
          <w:rFonts w:hint="eastAsia" w:ascii="MS UI Gothic" w:eastAsia="MS UI Gothic"/>
          <w:spacing w:val="-31"/>
          <w:w w:val="140"/>
        </w:rPr>
        <w:t xml:space="preserve">( </w:t>
      </w:r>
      <w:r>
        <w:rPr>
          <w:spacing w:val="3"/>
          <w:w w:val="95"/>
        </w:rPr>
        <w:t>一</w:t>
      </w:r>
      <w:r>
        <w:rPr>
          <w:rFonts w:hint="eastAsia" w:ascii="MS UI Gothic" w:eastAsia="MS UI Gothic"/>
          <w:spacing w:val="32"/>
          <w:w w:val="140"/>
        </w:rPr>
        <w:t xml:space="preserve">) </w:t>
      </w:r>
      <w:r>
        <w:rPr>
          <w:spacing w:val="-1"/>
          <w:w w:val="95"/>
        </w:rPr>
        <w:t xml:space="preserve">造成 </w:t>
      </w:r>
      <w:r>
        <w:rPr>
          <w:rFonts w:hint="eastAsia" w:ascii="MS UI Gothic" w:eastAsia="MS UI Gothic"/>
          <w:spacing w:val="16"/>
          <w:w w:val="95"/>
        </w:rPr>
        <w:t xml:space="preserve">３ </w:t>
      </w:r>
      <w:r>
        <w:rPr>
          <w:spacing w:val="5"/>
          <w:w w:val="95"/>
        </w:rPr>
        <w:t xml:space="preserve">人以上 </w:t>
      </w:r>
      <w:r>
        <w:rPr>
          <w:rFonts w:hint="eastAsia" w:ascii="MS UI Gothic" w:eastAsia="MS UI Gothic"/>
          <w:spacing w:val="17"/>
          <w:w w:val="95"/>
        </w:rPr>
        <w:t xml:space="preserve">６ </w:t>
      </w:r>
      <w:r>
        <w:rPr>
          <w:spacing w:val="15"/>
          <w:w w:val="95"/>
        </w:rPr>
        <w:t>人以下死亡</w:t>
      </w:r>
      <w:r>
        <w:rPr>
          <w:rFonts w:hint="eastAsia" w:ascii="MS UI Gothic" w:eastAsia="MS UI Gothic"/>
          <w:w w:val="85"/>
        </w:rPr>
        <w:t>ꎬ</w:t>
      </w:r>
      <w:r>
        <w:rPr>
          <w:spacing w:val="2"/>
          <w:w w:val="95"/>
        </w:rPr>
        <w:t xml:space="preserve">或者 </w:t>
      </w:r>
      <w:r>
        <w:rPr>
          <w:rFonts w:hint="eastAsia" w:ascii="MS UI Gothic" w:eastAsia="MS UI Gothic"/>
          <w:spacing w:val="15"/>
          <w:w w:val="95"/>
        </w:rPr>
        <w:t xml:space="preserve">１０ </w:t>
      </w:r>
      <w:r>
        <w:rPr>
          <w:spacing w:val="18"/>
          <w:w w:val="95"/>
        </w:rPr>
        <w:t xml:space="preserve">人以上 </w:t>
      </w:r>
      <w:r>
        <w:rPr>
          <w:rFonts w:hint="eastAsia" w:ascii="MS UI Gothic" w:eastAsia="MS UI Gothic"/>
          <w:spacing w:val="15"/>
          <w:w w:val="95"/>
        </w:rPr>
        <w:t xml:space="preserve">３０ </w:t>
      </w:r>
      <w:r>
        <w:rPr>
          <w:spacing w:val="29"/>
          <w:w w:val="95"/>
        </w:rPr>
        <w:t>人以下重伤</w:t>
      </w:r>
      <w:r>
        <w:rPr>
          <w:rFonts w:hint="eastAsia" w:ascii="MS UI Gothic" w:eastAsia="MS UI Gothic"/>
          <w:spacing w:val="13"/>
          <w:w w:val="85"/>
        </w:rPr>
        <w:t xml:space="preserve">ꎬ </w:t>
      </w:r>
      <w:r>
        <w:rPr>
          <w:spacing w:val="18"/>
          <w:w w:val="95"/>
        </w:rPr>
        <w:t>或者</w:t>
      </w:r>
      <w:r>
        <w:rPr>
          <w:rFonts w:hint="eastAsia" w:ascii="MS UI Gothic" w:eastAsia="MS UI Gothic"/>
          <w:spacing w:val="13"/>
          <w:w w:val="95"/>
        </w:rPr>
        <w:t xml:space="preserve">１０００ </w:t>
      </w:r>
      <w:r>
        <w:rPr>
          <w:spacing w:val="-8"/>
          <w:w w:val="95"/>
        </w:rPr>
        <w:t xml:space="preserve">万元以上 </w:t>
      </w:r>
      <w:r>
        <w:rPr>
          <w:rFonts w:hint="eastAsia" w:ascii="MS UI Gothic" w:eastAsia="MS UI Gothic"/>
          <w:w w:val="95"/>
        </w:rPr>
        <w:t xml:space="preserve">３０００ </w:t>
      </w:r>
      <w:r>
        <w:rPr>
          <w:spacing w:val="8"/>
          <w:w w:val="95"/>
        </w:rPr>
        <w:t>万元以下直接经济损</w:t>
      </w:r>
      <w:r>
        <w:rPr>
          <w:spacing w:val="5"/>
          <w:w w:val="95"/>
        </w:rPr>
        <w:t>失的</w:t>
      </w:r>
      <w:r>
        <w:rPr>
          <w:rFonts w:hint="eastAsia" w:ascii="MS UI Gothic" w:eastAsia="MS UI Gothic"/>
          <w:spacing w:val="13"/>
          <w:w w:val="85"/>
        </w:rPr>
        <w:t xml:space="preserve">ꎬ </w:t>
      </w:r>
      <w:r>
        <w:rPr>
          <w:w w:val="95"/>
        </w:rPr>
        <w:t xml:space="preserve">处 </w:t>
      </w:r>
      <w:r>
        <w:rPr>
          <w:rFonts w:hint="eastAsia" w:ascii="MS UI Gothic" w:eastAsia="MS UI Gothic"/>
          <w:spacing w:val="15"/>
          <w:w w:val="95"/>
        </w:rPr>
        <w:t xml:space="preserve">５０ </w:t>
      </w:r>
      <w:r>
        <w:rPr>
          <w:spacing w:val="21"/>
          <w:w w:val="95"/>
        </w:rPr>
        <w:t xml:space="preserve">万元以上 </w:t>
      </w:r>
      <w:r>
        <w:rPr>
          <w:rFonts w:hint="eastAsia" w:ascii="MS UI Gothic" w:eastAsia="MS UI Gothic"/>
          <w:spacing w:val="15"/>
          <w:w w:val="95"/>
        </w:rPr>
        <w:t xml:space="preserve">７０ </w:t>
      </w:r>
      <w:r>
        <w:rPr>
          <w:spacing w:val="28"/>
          <w:w w:val="95"/>
        </w:rPr>
        <w:t>万元以下的</w:t>
      </w:r>
      <w:r>
        <w:rPr>
          <w:spacing w:val="3"/>
          <w:w w:val="95"/>
        </w:rPr>
        <w:t>罚款</w:t>
      </w:r>
      <w:r>
        <w:rPr>
          <w:rFonts w:hint="eastAsia" w:ascii="MS UI Gothic" w:eastAsia="MS UI Gothic"/>
          <w:w w:val="85"/>
        </w:rPr>
        <w:t>ꎻ</w:t>
      </w:r>
    </w:p>
    <w:p>
      <w:pPr>
        <w:pStyle w:val="6"/>
        <w:spacing w:line="295" w:lineRule="auto"/>
        <w:ind w:left="375" w:right="124" w:firstLine="425"/>
        <w:rPr>
          <w:rFonts w:hint="eastAsia" w:ascii="MS UI Gothic" w:eastAsia="MS UI Gothic"/>
        </w:rPr>
      </w:pPr>
      <w:r>
        <w:rPr>
          <w:rFonts w:hint="eastAsia" w:ascii="MS UI Gothic" w:eastAsia="MS UI Gothic"/>
          <w:spacing w:val="-31"/>
          <w:w w:val="140"/>
        </w:rPr>
        <w:t xml:space="preserve">( </w:t>
      </w:r>
      <w:r>
        <w:rPr>
          <w:spacing w:val="3"/>
          <w:w w:val="95"/>
        </w:rPr>
        <w:t>二</w:t>
      </w:r>
      <w:r>
        <w:rPr>
          <w:rFonts w:hint="eastAsia" w:ascii="MS UI Gothic" w:eastAsia="MS UI Gothic"/>
          <w:spacing w:val="29"/>
          <w:w w:val="140"/>
        </w:rPr>
        <w:t xml:space="preserve">) </w:t>
      </w:r>
      <w:r>
        <w:rPr>
          <w:spacing w:val="-12"/>
          <w:w w:val="95"/>
        </w:rPr>
        <w:t xml:space="preserve">造成 </w:t>
      </w:r>
      <w:r>
        <w:rPr>
          <w:rFonts w:hint="eastAsia" w:ascii="MS UI Gothic" w:eastAsia="MS UI Gothic"/>
          <w:spacing w:val="7"/>
          <w:w w:val="95"/>
        </w:rPr>
        <w:t xml:space="preserve">６ </w:t>
      </w:r>
      <w:r>
        <w:rPr>
          <w:spacing w:val="-2"/>
          <w:w w:val="95"/>
        </w:rPr>
        <w:t xml:space="preserve">人以上 </w:t>
      </w:r>
      <w:r>
        <w:rPr>
          <w:rFonts w:hint="eastAsia" w:ascii="MS UI Gothic" w:eastAsia="MS UI Gothic"/>
          <w:spacing w:val="6"/>
          <w:w w:val="95"/>
        </w:rPr>
        <w:t xml:space="preserve">１０ </w:t>
      </w:r>
      <w:r>
        <w:rPr>
          <w:spacing w:val="9"/>
          <w:w w:val="95"/>
        </w:rPr>
        <w:t>人以下死亡</w:t>
      </w:r>
      <w:r>
        <w:rPr>
          <w:rFonts w:hint="eastAsia" w:ascii="MS UI Gothic" w:eastAsia="MS UI Gothic"/>
          <w:w w:val="85"/>
        </w:rPr>
        <w:t>ꎬ</w:t>
      </w:r>
      <w:r>
        <w:rPr>
          <w:spacing w:val="2"/>
          <w:w w:val="95"/>
        </w:rPr>
        <w:t xml:space="preserve">或者 </w:t>
      </w:r>
      <w:r>
        <w:rPr>
          <w:rFonts w:hint="eastAsia" w:ascii="MS UI Gothic" w:eastAsia="MS UI Gothic"/>
          <w:spacing w:val="15"/>
          <w:w w:val="95"/>
        </w:rPr>
        <w:t xml:space="preserve">３０ </w:t>
      </w:r>
      <w:r>
        <w:rPr>
          <w:spacing w:val="18"/>
          <w:w w:val="95"/>
        </w:rPr>
        <w:t xml:space="preserve">人以上 </w:t>
      </w:r>
      <w:r>
        <w:rPr>
          <w:rFonts w:hint="eastAsia" w:ascii="MS UI Gothic" w:eastAsia="MS UI Gothic"/>
          <w:spacing w:val="15"/>
          <w:w w:val="95"/>
        </w:rPr>
        <w:t xml:space="preserve">５０ </w:t>
      </w:r>
      <w:r>
        <w:rPr>
          <w:spacing w:val="29"/>
          <w:w w:val="95"/>
        </w:rPr>
        <w:t>人以下重伤</w:t>
      </w:r>
      <w:r>
        <w:rPr>
          <w:rFonts w:hint="eastAsia" w:ascii="MS UI Gothic" w:eastAsia="MS UI Gothic"/>
          <w:spacing w:val="13"/>
          <w:w w:val="85"/>
        </w:rPr>
        <w:t xml:space="preserve">ꎬ </w:t>
      </w:r>
      <w:r>
        <w:rPr>
          <w:spacing w:val="18"/>
          <w:w w:val="95"/>
        </w:rPr>
        <w:t>或者</w:t>
      </w:r>
      <w:r>
        <w:rPr>
          <w:rFonts w:hint="eastAsia" w:ascii="MS UI Gothic" w:eastAsia="MS UI Gothic"/>
          <w:spacing w:val="13"/>
          <w:w w:val="95"/>
        </w:rPr>
        <w:t xml:space="preserve">３０００ </w:t>
      </w:r>
      <w:r>
        <w:rPr>
          <w:spacing w:val="-8"/>
          <w:w w:val="95"/>
        </w:rPr>
        <w:t xml:space="preserve">万元以上 </w:t>
      </w:r>
      <w:r>
        <w:rPr>
          <w:rFonts w:hint="eastAsia" w:ascii="MS UI Gothic" w:eastAsia="MS UI Gothic"/>
          <w:w w:val="95"/>
        </w:rPr>
        <w:t xml:space="preserve">５０００ </w:t>
      </w:r>
      <w:r>
        <w:rPr>
          <w:spacing w:val="8"/>
          <w:w w:val="95"/>
        </w:rPr>
        <w:t>万元以下直接经济损</w:t>
      </w:r>
      <w:r>
        <w:rPr>
          <w:spacing w:val="3"/>
          <w:w w:val="95"/>
        </w:rPr>
        <w:t>失的</w:t>
      </w:r>
      <w:r>
        <w:rPr>
          <w:rFonts w:hint="eastAsia" w:ascii="MS UI Gothic" w:eastAsia="MS UI Gothic"/>
          <w:w w:val="85"/>
        </w:rPr>
        <w:t xml:space="preserve">ꎬ </w:t>
      </w:r>
      <w:r>
        <w:rPr>
          <w:spacing w:val="-8"/>
          <w:w w:val="95"/>
        </w:rPr>
        <w:t xml:space="preserve">处 </w:t>
      </w:r>
      <w:r>
        <w:rPr>
          <w:rFonts w:hint="eastAsia" w:ascii="MS UI Gothic" w:eastAsia="MS UI Gothic"/>
          <w:spacing w:val="10"/>
          <w:w w:val="95"/>
        </w:rPr>
        <w:t xml:space="preserve">７０ </w:t>
      </w:r>
      <w:r>
        <w:rPr>
          <w:spacing w:val="15"/>
          <w:w w:val="95"/>
        </w:rPr>
        <w:t xml:space="preserve">万元以上 </w:t>
      </w:r>
      <w:r>
        <w:rPr>
          <w:rFonts w:hint="eastAsia" w:ascii="MS UI Gothic" w:eastAsia="MS UI Gothic"/>
          <w:spacing w:val="7"/>
          <w:w w:val="95"/>
        </w:rPr>
        <w:t xml:space="preserve">１００ </w:t>
      </w:r>
      <w:r>
        <w:rPr>
          <w:spacing w:val="24"/>
          <w:w w:val="95"/>
        </w:rPr>
        <w:t>万元以下的</w:t>
      </w:r>
      <w:r>
        <w:rPr>
          <w:spacing w:val="3"/>
          <w:w w:val="95"/>
        </w:rPr>
        <w:t>罚款</w:t>
      </w:r>
      <w:r>
        <w:rPr>
          <w:rFonts w:hint="eastAsia" w:ascii="MS UI Gothic" w:eastAsia="MS UI Gothic"/>
          <w:w w:val="85"/>
        </w:rPr>
        <w:t>ꎮ</w:t>
      </w:r>
    </w:p>
    <w:p>
      <w:pPr>
        <w:pStyle w:val="6"/>
        <w:spacing w:line="295" w:lineRule="auto"/>
        <w:ind w:left="381" w:right="126"/>
        <w:rPr>
          <w:rFonts w:hint="eastAsia" w:ascii="MS UI Gothic" w:eastAsia="MS UI Gothic"/>
        </w:rPr>
      </w:pPr>
      <w:r>
        <w:rPr>
          <w:w w:val="95"/>
        </w:rPr>
        <w:t>事故发生单位对较大事故发生负有责 任且有谎报或者瞒报情节的</w:t>
      </w:r>
      <w:r>
        <w:rPr>
          <w:rFonts w:hint="eastAsia" w:ascii="MS UI Gothic" w:eastAsia="MS UI Gothic"/>
          <w:w w:val="90"/>
        </w:rPr>
        <w:t xml:space="preserve">ꎬ </w:t>
      </w:r>
      <w:r>
        <w:rPr>
          <w:w w:val="95"/>
        </w:rPr>
        <w:t xml:space="preserve">处 </w:t>
      </w:r>
      <w:r>
        <w:rPr>
          <w:rFonts w:hint="eastAsia" w:ascii="MS UI Gothic" w:eastAsia="MS UI Gothic"/>
          <w:w w:val="95"/>
        </w:rPr>
        <w:t xml:space="preserve">１００ </w:t>
      </w:r>
      <w:r>
        <w:rPr>
          <w:w w:val="95"/>
        </w:rPr>
        <w:t>万元的罚款</w:t>
      </w:r>
      <w:r>
        <w:rPr>
          <w:rFonts w:hint="eastAsia" w:ascii="MS UI Gothic" w:eastAsia="MS UI Gothic"/>
          <w:w w:val="90"/>
        </w:rPr>
        <w:t>ꎮ</w:t>
      </w:r>
    </w:p>
    <w:p>
      <w:pPr>
        <w:pStyle w:val="6"/>
        <w:spacing w:line="295" w:lineRule="auto"/>
        <w:ind w:left="381" w:right="126"/>
        <w:rPr>
          <w:rFonts w:hint="eastAsia" w:ascii="MS UI Gothic" w:eastAsia="MS UI Gothic"/>
        </w:rPr>
      </w:pPr>
      <w:r>
        <w:rPr>
          <w:spacing w:val="2"/>
          <w:w w:val="105"/>
        </w:rPr>
        <w:t>第十六条 事故发生单位对重大事故</w:t>
      </w:r>
      <w:r>
        <w:rPr>
          <w:spacing w:val="26"/>
        </w:rPr>
        <w:t>发生负有责任的</w:t>
      </w:r>
      <w:r>
        <w:rPr>
          <w:rFonts w:hint="eastAsia" w:ascii="MS UI Gothic" w:eastAsia="MS UI Gothic"/>
          <w:spacing w:val="1"/>
          <w:w w:val="80"/>
        </w:rPr>
        <w:t xml:space="preserve">ꎬ </w:t>
      </w:r>
      <w:r>
        <w:rPr>
          <w:spacing w:val="30"/>
        </w:rPr>
        <w:t>依照下列规定处以</w:t>
      </w:r>
      <w:r>
        <w:rPr>
          <w:spacing w:val="3"/>
          <w:w w:val="110"/>
        </w:rPr>
        <w:t>罚款</w:t>
      </w:r>
      <w:r>
        <w:rPr>
          <w:rFonts w:hint="eastAsia" w:ascii="MS UI Gothic" w:eastAsia="MS UI Gothic"/>
          <w:w w:val="235"/>
        </w:rPr>
        <w:t>:</w:t>
      </w:r>
    </w:p>
    <w:p>
      <w:pPr>
        <w:pStyle w:val="6"/>
        <w:spacing w:line="295" w:lineRule="auto"/>
        <w:ind w:left="375" w:right="126" w:firstLine="425"/>
        <w:rPr>
          <w:rFonts w:hint="eastAsia" w:ascii="MS UI Gothic" w:eastAsia="MS UI Gothic"/>
        </w:rPr>
      </w:pPr>
      <w:r>
        <w:rPr>
          <w:rFonts w:hint="eastAsia" w:ascii="MS UI Gothic" w:eastAsia="MS UI Gothic"/>
          <w:spacing w:val="-31"/>
          <w:w w:val="140"/>
        </w:rPr>
        <w:t xml:space="preserve">( </w:t>
      </w:r>
      <w:r>
        <w:rPr>
          <w:spacing w:val="11"/>
          <w:w w:val="95"/>
        </w:rPr>
        <w:t>一</w:t>
      </w:r>
      <w:r>
        <w:rPr>
          <w:rFonts w:hint="eastAsia" w:ascii="MS UI Gothic" w:eastAsia="MS UI Gothic"/>
          <w:spacing w:val="38"/>
          <w:w w:val="140"/>
        </w:rPr>
        <w:t xml:space="preserve">) </w:t>
      </w:r>
      <w:r>
        <w:rPr>
          <w:spacing w:val="7"/>
          <w:w w:val="95"/>
        </w:rPr>
        <w:t xml:space="preserve">造成 </w:t>
      </w:r>
      <w:r>
        <w:rPr>
          <w:rFonts w:hint="eastAsia" w:ascii="MS UI Gothic" w:eastAsia="MS UI Gothic"/>
          <w:spacing w:val="14"/>
          <w:w w:val="95"/>
        </w:rPr>
        <w:t xml:space="preserve">１０ </w:t>
      </w:r>
      <w:r>
        <w:rPr>
          <w:spacing w:val="12"/>
          <w:w w:val="95"/>
        </w:rPr>
        <w:t xml:space="preserve">人以上 </w:t>
      </w:r>
      <w:r>
        <w:rPr>
          <w:rFonts w:hint="eastAsia" w:ascii="MS UI Gothic" w:eastAsia="MS UI Gothic"/>
          <w:spacing w:val="14"/>
          <w:w w:val="95"/>
        </w:rPr>
        <w:t xml:space="preserve">１５ </w:t>
      </w:r>
      <w:r>
        <w:rPr>
          <w:spacing w:val="18"/>
          <w:w w:val="95"/>
        </w:rPr>
        <w:t>人以下死</w:t>
      </w:r>
      <w:r>
        <w:rPr>
          <w:spacing w:val="3"/>
          <w:w w:val="95"/>
        </w:rPr>
        <w:t>亡</w:t>
      </w:r>
      <w:r>
        <w:rPr>
          <w:rFonts w:hint="eastAsia" w:ascii="MS UI Gothic" w:eastAsia="MS UI Gothic"/>
          <w:spacing w:val="22"/>
          <w:w w:val="85"/>
        </w:rPr>
        <w:t xml:space="preserve">ꎬ </w:t>
      </w:r>
      <w:r>
        <w:rPr>
          <w:spacing w:val="-16"/>
          <w:w w:val="95"/>
        </w:rPr>
        <w:t xml:space="preserve">或者 </w:t>
      </w:r>
      <w:r>
        <w:rPr>
          <w:rFonts w:hint="eastAsia" w:ascii="MS UI Gothic" w:eastAsia="MS UI Gothic"/>
          <w:spacing w:val="-2"/>
          <w:w w:val="95"/>
        </w:rPr>
        <w:t xml:space="preserve">５０ </w:t>
      </w:r>
      <w:r>
        <w:rPr>
          <w:spacing w:val="-11"/>
          <w:w w:val="95"/>
        </w:rPr>
        <w:t xml:space="preserve">人以上 </w:t>
      </w:r>
      <w:r>
        <w:rPr>
          <w:rFonts w:hint="eastAsia" w:ascii="MS UI Gothic" w:eastAsia="MS UI Gothic"/>
          <w:spacing w:val="-2"/>
          <w:w w:val="95"/>
        </w:rPr>
        <w:t xml:space="preserve">７０ </w:t>
      </w:r>
      <w:r>
        <w:rPr>
          <w:spacing w:val="3"/>
          <w:w w:val="95"/>
        </w:rPr>
        <w:t>人以下重伤</w:t>
      </w:r>
      <w:r>
        <w:rPr>
          <w:rFonts w:hint="eastAsia" w:ascii="MS UI Gothic" w:eastAsia="MS UI Gothic"/>
          <w:spacing w:val="24"/>
          <w:w w:val="85"/>
        </w:rPr>
        <w:t xml:space="preserve">ꎬ </w:t>
      </w:r>
      <w:r>
        <w:rPr>
          <w:spacing w:val="3"/>
          <w:w w:val="95"/>
        </w:rPr>
        <w:t>或者</w:t>
      </w:r>
      <w:r>
        <w:rPr>
          <w:rFonts w:hint="eastAsia" w:ascii="MS UI Gothic" w:eastAsia="MS UI Gothic"/>
          <w:spacing w:val="1"/>
          <w:w w:val="95"/>
        </w:rPr>
        <w:t xml:space="preserve">５０００ </w:t>
      </w:r>
      <w:r>
        <w:rPr>
          <w:spacing w:val="-9"/>
          <w:w w:val="95"/>
        </w:rPr>
        <w:t xml:space="preserve">万元以上 </w:t>
      </w:r>
      <w:r>
        <w:rPr>
          <w:rFonts w:hint="eastAsia" w:ascii="MS UI Gothic" w:eastAsia="MS UI Gothic"/>
          <w:w w:val="95"/>
        </w:rPr>
        <w:t xml:space="preserve">７０００ </w:t>
      </w:r>
      <w:r>
        <w:rPr>
          <w:spacing w:val="8"/>
          <w:w w:val="95"/>
        </w:rPr>
        <w:t>万元以下直接经济损</w:t>
      </w:r>
      <w:r>
        <w:rPr>
          <w:spacing w:val="3"/>
          <w:w w:val="95"/>
        </w:rPr>
        <w:t>失的</w:t>
      </w:r>
      <w:r>
        <w:rPr>
          <w:rFonts w:hint="eastAsia" w:ascii="MS UI Gothic" w:eastAsia="MS UI Gothic"/>
          <w:spacing w:val="22"/>
          <w:w w:val="85"/>
        </w:rPr>
        <w:t xml:space="preserve">ꎬ </w:t>
      </w:r>
      <w:r>
        <w:rPr>
          <w:spacing w:val="-19"/>
          <w:w w:val="95"/>
        </w:rPr>
        <w:t xml:space="preserve">处 </w:t>
      </w:r>
      <w:r>
        <w:rPr>
          <w:rFonts w:hint="eastAsia" w:ascii="MS UI Gothic" w:eastAsia="MS UI Gothic"/>
          <w:spacing w:val="4"/>
          <w:w w:val="95"/>
        </w:rPr>
        <w:t xml:space="preserve">１００ </w:t>
      </w:r>
      <w:r>
        <w:rPr>
          <w:spacing w:val="7"/>
          <w:w w:val="95"/>
        </w:rPr>
        <w:t xml:space="preserve">万元以上 </w:t>
      </w:r>
      <w:r>
        <w:rPr>
          <w:rFonts w:hint="eastAsia" w:ascii="MS UI Gothic" w:eastAsia="MS UI Gothic"/>
          <w:spacing w:val="3"/>
          <w:w w:val="95"/>
        </w:rPr>
        <w:t xml:space="preserve">３００ </w:t>
      </w:r>
      <w:r>
        <w:rPr>
          <w:spacing w:val="18"/>
          <w:w w:val="95"/>
        </w:rPr>
        <w:t>万元以下的</w:t>
      </w:r>
      <w:r>
        <w:rPr>
          <w:spacing w:val="3"/>
          <w:w w:val="95"/>
        </w:rPr>
        <w:t>罚款</w:t>
      </w:r>
      <w:r>
        <w:rPr>
          <w:rFonts w:hint="eastAsia" w:ascii="MS UI Gothic" w:eastAsia="MS UI Gothic"/>
          <w:w w:val="85"/>
        </w:rPr>
        <w:t>ꎻ</w:t>
      </w:r>
    </w:p>
    <w:p>
      <w:pPr>
        <w:pStyle w:val="6"/>
        <w:spacing w:line="295" w:lineRule="auto"/>
        <w:ind w:left="381" w:right="126"/>
        <w:rPr>
          <w:rFonts w:hint="eastAsia" w:ascii="MS UI Gothic" w:eastAsia="MS UI Gothic"/>
        </w:rPr>
      </w:pPr>
      <w:r>
        <w:rPr>
          <w:rFonts w:hint="eastAsia" w:ascii="MS UI Gothic" w:eastAsia="MS UI Gothic"/>
          <w:spacing w:val="-31"/>
          <w:w w:val="140"/>
        </w:rPr>
        <w:t xml:space="preserve">( </w:t>
      </w:r>
      <w:r>
        <w:rPr>
          <w:spacing w:val="11"/>
          <w:w w:val="95"/>
        </w:rPr>
        <w:t>二</w:t>
      </w:r>
      <w:r>
        <w:rPr>
          <w:rFonts w:hint="eastAsia" w:ascii="MS UI Gothic" w:eastAsia="MS UI Gothic"/>
          <w:spacing w:val="38"/>
          <w:w w:val="140"/>
        </w:rPr>
        <w:t xml:space="preserve">) </w:t>
      </w:r>
      <w:r>
        <w:rPr>
          <w:spacing w:val="7"/>
          <w:w w:val="95"/>
        </w:rPr>
        <w:t xml:space="preserve">造成 </w:t>
      </w:r>
      <w:r>
        <w:rPr>
          <w:rFonts w:hint="eastAsia" w:ascii="MS UI Gothic" w:eastAsia="MS UI Gothic"/>
          <w:spacing w:val="14"/>
          <w:w w:val="95"/>
        </w:rPr>
        <w:t xml:space="preserve">１５ </w:t>
      </w:r>
      <w:r>
        <w:rPr>
          <w:spacing w:val="12"/>
          <w:w w:val="95"/>
        </w:rPr>
        <w:t xml:space="preserve">人以上 </w:t>
      </w:r>
      <w:r>
        <w:rPr>
          <w:rFonts w:hint="eastAsia" w:ascii="MS UI Gothic" w:eastAsia="MS UI Gothic"/>
          <w:spacing w:val="14"/>
          <w:w w:val="95"/>
        </w:rPr>
        <w:t xml:space="preserve">３０ </w:t>
      </w:r>
      <w:r>
        <w:rPr>
          <w:spacing w:val="18"/>
          <w:w w:val="95"/>
        </w:rPr>
        <w:t>人以下死</w:t>
      </w:r>
      <w:r>
        <w:rPr>
          <w:spacing w:val="3"/>
          <w:w w:val="95"/>
        </w:rPr>
        <w:t>亡</w:t>
      </w:r>
      <w:r>
        <w:rPr>
          <w:rFonts w:hint="eastAsia" w:ascii="MS UI Gothic" w:eastAsia="MS UI Gothic"/>
          <w:spacing w:val="18"/>
          <w:w w:val="85"/>
        </w:rPr>
        <w:t xml:space="preserve">ꎬ </w:t>
      </w:r>
      <w:r>
        <w:rPr>
          <w:spacing w:val="-17"/>
          <w:w w:val="95"/>
        </w:rPr>
        <w:t xml:space="preserve">或者 </w:t>
      </w:r>
      <w:r>
        <w:rPr>
          <w:rFonts w:hint="eastAsia" w:ascii="MS UI Gothic" w:eastAsia="MS UI Gothic"/>
          <w:w w:val="95"/>
        </w:rPr>
        <w:t xml:space="preserve">７０ </w:t>
      </w:r>
      <w:r>
        <w:rPr>
          <w:spacing w:val="-5"/>
          <w:w w:val="95"/>
        </w:rPr>
        <w:t xml:space="preserve">人以上 </w:t>
      </w:r>
      <w:r>
        <w:rPr>
          <w:rFonts w:hint="eastAsia" w:ascii="MS UI Gothic" w:eastAsia="MS UI Gothic"/>
          <w:w w:val="95"/>
        </w:rPr>
        <w:t xml:space="preserve">１００ </w:t>
      </w:r>
      <w:r>
        <w:rPr>
          <w:spacing w:val="12"/>
          <w:w w:val="95"/>
        </w:rPr>
        <w:t>人以下重伤</w:t>
      </w:r>
      <w:r>
        <w:rPr>
          <w:rFonts w:hint="eastAsia" w:ascii="MS UI Gothic" w:eastAsia="MS UI Gothic"/>
          <w:spacing w:val="22"/>
          <w:w w:val="85"/>
        </w:rPr>
        <w:t xml:space="preserve">ꎬ </w:t>
      </w:r>
      <w:r>
        <w:rPr>
          <w:w w:val="95"/>
        </w:rPr>
        <w:t>或</w:t>
      </w:r>
      <w:r>
        <w:rPr>
          <w:spacing w:val="-15"/>
          <w:w w:val="95"/>
        </w:rPr>
        <w:t xml:space="preserve">者 </w:t>
      </w:r>
      <w:r>
        <w:rPr>
          <w:rFonts w:hint="eastAsia" w:ascii="MS UI Gothic" w:eastAsia="MS UI Gothic"/>
          <w:spacing w:val="3"/>
          <w:w w:val="95"/>
        </w:rPr>
        <w:t xml:space="preserve">７０００ </w:t>
      </w:r>
      <w:r>
        <w:rPr>
          <w:spacing w:val="1"/>
          <w:w w:val="95"/>
        </w:rPr>
        <w:t xml:space="preserve">万元以上 </w:t>
      </w:r>
      <w:r>
        <w:rPr>
          <w:rFonts w:hint="eastAsia" w:ascii="MS UI Gothic" w:eastAsia="MS UI Gothic"/>
          <w:spacing w:val="17"/>
          <w:w w:val="95"/>
        </w:rPr>
        <w:t xml:space="preserve">１ </w:t>
      </w:r>
      <w:r>
        <w:rPr>
          <w:spacing w:val="11"/>
          <w:w w:val="95"/>
        </w:rPr>
        <w:t>亿元以下直接经济损</w:t>
      </w:r>
      <w:r>
        <w:rPr>
          <w:spacing w:val="3"/>
          <w:w w:val="95"/>
        </w:rPr>
        <w:t>失的</w:t>
      </w:r>
      <w:r>
        <w:rPr>
          <w:rFonts w:hint="eastAsia" w:ascii="MS UI Gothic" w:eastAsia="MS UI Gothic"/>
          <w:spacing w:val="21"/>
          <w:w w:val="85"/>
        </w:rPr>
        <w:t xml:space="preserve">ꎬ </w:t>
      </w:r>
      <w:r>
        <w:rPr>
          <w:spacing w:val="-18"/>
          <w:w w:val="95"/>
        </w:rPr>
        <w:t xml:space="preserve">处 </w:t>
      </w:r>
      <w:r>
        <w:rPr>
          <w:rFonts w:hint="eastAsia" w:ascii="MS UI Gothic" w:eastAsia="MS UI Gothic"/>
          <w:spacing w:val="4"/>
          <w:w w:val="95"/>
        </w:rPr>
        <w:t xml:space="preserve">３００ </w:t>
      </w:r>
      <w:r>
        <w:rPr>
          <w:spacing w:val="7"/>
          <w:w w:val="95"/>
        </w:rPr>
        <w:t xml:space="preserve">万元以上 </w:t>
      </w:r>
      <w:r>
        <w:rPr>
          <w:rFonts w:hint="eastAsia" w:ascii="MS UI Gothic" w:eastAsia="MS UI Gothic"/>
          <w:spacing w:val="3"/>
          <w:w w:val="95"/>
        </w:rPr>
        <w:t xml:space="preserve">５００ </w:t>
      </w:r>
      <w:r>
        <w:rPr>
          <w:spacing w:val="18"/>
          <w:w w:val="95"/>
        </w:rPr>
        <w:t>万元以下的</w:t>
      </w:r>
      <w:r>
        <w:rPr>
          <w:spacing w:val="3"/>
          <w:w w:val="95"/>
        </w:rPr>
        <w:t>罚款</w:t>
      </w:r>
      <w:r>
        <w:rPr>
          <w:rFonts w:hint="eastAsia" w:ascii="MS UI Gothic" w:eastAsia="MS UI Gothic"/>
          <w:w w:val="85"/>
        </w:rPr>
        <w:t>ꎮ</w:t>
      </w:r>
    </w:p>
    <w:p>
      <w:pPr>
        <w:pStyle w:val="6"/>
        <w:spacing w:line="295" w:lineRule="auto"/>
        <w:ind w:left="381" w:right="126"/>
        <w:rPr>
          <w:rFonts w:hint="eastAsia" w:ascii="MS UI Gothic" w:eastAsia="MS UI Gothic"/>
        </w:rPr>
      </w:pPr>
      <w:r>
        <w:rPr>
          <w:w w:val="95"/>
        </w:rPr>
        <w:t>事故发生单位对重大事故发生负有责 任且有谎报或者瞒报情节的</w:t>
      </w:r>
      <w:r>
        <w:rPr>
          <w:rFonts w:hint="eastAsia" w:ascii="MS UI Gothic" w:eastAsia="MS UI Gothic"/>
          <w:w w:val="90"/>
        </w:rPr>
        <w:t xml:space="preserve">ꎬ </w:t>
      </w:r>
      <w:r>
        <w:rPr>
          <w:w w:val="95"/>
        </w:rPr>
        <w:t xml:space="preserve">处 </w:t>
      </w:r>
      <w:r>
        <w:rPr>
          <w:rFonts w:hint="eastAsia" w:ascii="MS UI Gothic" w:eastAsia="MS UI Gothic"/>
          <w:w w:val="95"/>
        </w:rPr>
        <w:t xml:space="preserve">５００ </w:t>
      </w:r>
      <w:r>
        <w:rPr>
          <w:w w:val="95"/>
        </w:rPr>
        <w:t>万元的罚款</w:t>
      </w:r>
      <w:r>
        <w:rPr>
          <w:rFonts w:hint="eastAsia" w:ascii="MS UI Gothic" w:eastAsia="MS UI Gothic"/>
          <w:w w:val="90"/>
        </w:rPr>
        <w:t>ꎮ</w:t>
      </w:r>
    </w:p>
    <w:p>
      <w:pPr>
        <w:pStyle w:val="6"/>
        <w:spacing w:line="295" w:lineRule="auto"/>
        <w:ind w:left="381" w:right="126"/>
        <w:rPr>
          <w:rFonts w:hint="eastAsia" w:ascii="MS UI Gothic" w:eastAsia="MS UI Gothic"/>
        </w:rPr>
      </w:pPr>
      <w:r>
        <w:rPr>
          <w:w w:val="105"/>
        </w:rPr>
        <w:t>第十七条 事故发生单位对特别重大</w:t>
      </w:r>
      <w:r>
        <w:t>事故发生负有责任的</w:t>
      </w:r>
      <w:r>
        <w:rPr>
          <w:rFonts w:hint="eastAsia" w:ascii="MS UI Gothic" w:eastAsia="MS UI Gothic"/>
          <w:w w:val="80"/>
        </w:rPr>
        <w:t xml:space="preserve">ꎬ </w:t>
      </w:r>
      <w:r>
        <w:t>依照下列规定处以</w:t>
      </w:r>
      <w:r>
        <w:rPr>
          <w:w w:val="110"/>
        </w:rPr>
        <w:t>罚款</w:t>
      </w:r>
      <w:r>
        <w:rPr>
          <w:rFonts w:hint="eastAsia" w:ascii="MS UI Gothic" w:eastAsia="MS UI Gothic"/>
          <w:w w:val="235"/>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１２６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19" o:spid="_x0000_s1419" o:spt="203" style="height:2.15pt;width:398.25pt;" coordsize="7965,43">
            <o:lock v:ext="edit"/>
            <v:line id="_x0000_s1420" o:spid="_x0000_s1420" o:spt="20" style="position:absolute;left:0;top:39;height:0;width:7965;" stroked="t" coordsize="21600,21600">
              <v:path arrowok="t"/>
              <v:fill focussize="0,0"/>
              <v:stroke weight="0.388031496062992pt" color="#231F20"/>
              <v:imagedata o:title=""/>
              <o:lock v:ext="edit"/>
            </v:line>
            <v:line id="_x0000_s1421" o:spid="_x0000_s142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spacing w:val="-31"/>
          <w:w w:val="140"/>
        </w:rPr>
        <w:t xml:space="preserve">( </w:t>
      </w:r>
      <w:r>
        <w:rPr>
          <w:spacing w:val="11"/>
          <w:w w:val="95"/>
        </w:rPr>
        <w:t>一</w:t>
      </w:r>
      <w:r>
        <w:rPr>
          <w:rFonts w:hint="eastAsia" w:ascii="MS UI Gothic" w:eastAsia="MS UI Gothic"/>
          <w:spacing w:val="38"/>
          <w:w w:val="140"/>
        </w:rPr>
        <w:t xml:space="preserve">) </w:t>
      </w:r>
      <w:r>
        <w:rPr>
          <w:spacing w:val="7"/>
          <w:w w:val="95"/>
        </w:rPr>
        <w:t xml:space="preserve">造成 </w:t>
      </w:r>
      <w:r>
        <w:rPr>
          <w:rFonts w:hint="eastAsia" w:ascii="MS UI Gothic" w:eastAsia="MS UI Gothic"/>
          <w:spacing w:val="14"/>
          <w:w w:val="95"/>
        </w:rPr>
        <w:t xml:space="preserve">３０ </w:t>
      </w:r>
      <w:r>
        <w:rPr>
          <w:spacing w:val="12"/>
          <w:w w:val="95"/>
        </w:rPr>
        <w:t xml:space="preserve">人以上 </w:t>
      </w:r>
      <w:r>
        <w:rPr>
          <w:rFonts w:hint="eastAsia" w:ascii="MS UI Gothic" w:eastAsia="MS UI Gothic"/>
          <w:spacing w:val="14"/>
          <w:w w:val="95"/>
        </w:rPr>
        <w:t xml:space="preserve">４０ </w:t>
      </w:r>
      <w:r>
        <w:rPr>
          <w:spacing w:val="18"/>
          <w:w w:val="95"/>
        </w:rPr>
        <w:t>人以下死</w:t>
      </w:r>
      <w:r>
        <w:rPr>
          <w:spacing w:val="3"/>
          <w:w w:val="95"/>
        </w:rPr>
        <w:t>亡</w:t>
      </w:r>
      <w:r>
        <w:rPr>
          <w:rFonts w:hint="eastAsia" w:ascii="MS UI Gothic" w:eastAsia="MS UI Gothic"/>
          <w:spacing w:val="14"/>
          <w:w w:val="85"/>
        </w:rPr>
        <w:t xml:space="preserve">ꎬ </w:t>
      </w:r>
      <w:r>
        <w:rPr>
          <w:spacing w:val="-19"/>
          <w:w w:val="95"/>
        </w:rPr>
        <w:t xml:space="preserve">或者 </w:t>
      </w:r>
      <w:r>
        <w:rPr>
          <w:rFonts w:hint="eastAsia" w:ascii="MS UI Gothic" w:eastAsia="MS UI Gothic"/>
          <w:spacing w:val="-4"/>
          <w:w w:val="95"/>
        </w:rPr>
        <w:t xml:space="preserve">１００ </w:t>
      </w:r>
      <w:r>
        <w:rPr>
          <w:spacing w:val="-13"/>
          <w:w w:val="95"/>
        </w:rPr>
        <w:t xml:space="preserve">人以上 </w:t>
      </w:r>
      <w:r>
        <w:rPr>
          <w:rFonts w:hint="eastAsia" w:ascii="MS UI Gothic" w:eastAsia="MS UI Gothic"/>
          <w:spacing w:val="-4"/>
          <w:w w:val="95"/>
        </w:rPr>
        <w:t xml:space="preserve">１２０ </w:t>
      </w:r>
      <w:r>
        <w:rPr>
          <w:spacing w:val="3"/>
          <w:w w:val="95"/>
        </w:rPr>
        <w:t>人以下重伤</w:t>
      </w:r>
      <w:r>
        <w:rPr>
          <w:rFonts w:hint="eastAsia" w:ascii="MS UI Gothic" w:eastAsia="MS UI Gothic"/>
          <w:spacing w:val="15"/>
          <w:w w:val="85"/>
        </w:rPr>
        <w:t xml:space="preserve">ꎬ </w:t>
      </w:r>
      <w:r>
        <w:rPr>
          <w:w w:val="95"/>
        </w:rPr>
        <w:t>或</w:t>
      </w:r>
      <w:r>
        <w:rPr>
          <w:spacing w:val="-10"/>
          <w:w w:val="95"/>
        </w:rPr>
        <w:t xml:space="preserve">者 </w:t>
      </w:r>
      <w:r>
        <w:rPr>
          <w:rFonts w:hint="eastAsia" w:ascii="MS UI Gothic" w:eastAsia="MS UI Gothic"/>
          <w:spacing w:val="15"/>
          <w:w w:val="95"/>
        </w:rPr>
        <w:t xml:space="preserve">１ </w:t>
      </w:r>
      <w:r>
        <w:rPr>
          <w:spacing w:val="-3"/>
          <w:w w:val="95"/>
        </w:rPr>
        <w:t xml:space="preserve">亿元以上 </w:t>
      </w:r>
      <w:r>
        <w:rPr>
          <w:rFonts w:hint="eastAsia" w:ascii="MS UI Gothic" w:eastAsia="MS UI Gothic"/>
          <w:w w:val="95"/>
        </w:rPr>
        <w:t>１</w:t>
      </w:r>
      <w:r>
        <w:rPr>
          <w:rFonts w:hint="eastAsia" w:ascii="MS UI Gothic" w:eastAsia="MS UI Gothic"/>
          <w:spacing w:val="16"/>
          <w:w w:val="95"/>
        </w:rPr>
        <w:t xml:space="preserve"> ２ </w:t>
      </w:r>
      <w:r>
        <w:rPr>
          <w:spacing w:val="2"/>
          <w:w w:val="95"/>
        </w:rPr>
        <w:t>亿元以下直接经济损失</w:t>
      </w:r>
      <w:r>
        <w:rPr>
          <w:spacing w:val="3"/>
          <w:w w:val="95"/>
        </w:rPr>
        <w:t>的</w:t>
      </w:r>
      <w:r>
        <w:rPr>
          <w:rFonts w:hint="eastAsia" w:ascii="MS UI Gothic" w:eastAsia="MS UI Gothic"/>
          <w:spacing w:val="17"/>
          <w:w w:val="85"/>
        </w:rPr>
        <w:t xml:space="preserve">ꎬ </w:t>
      </w:r>
      <w:r>
        <w:rPr>
          <w:spacing w:val="-14"/>
          <w:w w:val="95"/>
        </w:rPr>
        <w:t xml:space="preserve">处 </w:t>
      </w:r>
      <w:r>
        <w:rPr>
          <w:rFonts w:hint="eastAsia" w:ascii="MS UI Gothic" w:eastAsia="MS UI Gothic"/>
          <w:spacing w:val="4"/>
          <w:w w:val="95"/>
        </w:rPr>
        <w:t xml:space="preserve">５００ </w:t>
      </w:r>
      <w:r>
        <w:rPr>
          <w:spacing w:val="13"/>
          <w:w w:val="95"/>
        </w:rPr>
        <w:t xml:space="preserve">万元以上 </w:t>
      </w:r>
      <w:r>
        <w:rPr>
          <w:rFonts w:hint="eastAsia" w:ascii="MS UI Gothic" w:eastAsia="MS UI Gothic"/>
          <w:spacing w:val="3"/>
          <w:w w:val="95"/>
        </w:rPr>
        <w:t xml:space="preserve">１０００ </w:t>
      </w:r>
      <w:r>
        <w:rPr>
          <w:spacing w:val="22"/>
          <w:w w:val="95"/>
        </w:rPr>
        <w:t>万元以下的</w:t>
      </w:r>
      <w:r>
        <w:rPr>
          <w:spacing w:val="3"/>
          <w:w w:val="95"/>
        </w:rPr>
        <w:t>罚款</w:t>
      </w:r>
      <w:r>
        <w:rPr>
          <w:rFonts w:hint="eastAsia" w:ascii="MS UI Gothic" w:eastAsia="MS UI Gothic"/>
          <w:w w:val="85"/>
        </w:rPr>
        <w:t>ꎻ</w:t>
      </w:r>
    </w:p>
    <w:p>
      <w:pPr>
        <w:pStyle w:val="6"/>
        <w:spacing w:line="295" w:lineRule="auto"/>
        <w:ind w:right="38"/>
        <w:rPr>
          <w:rFonts w:hint="eastAsia" w:ascii="MS UI Gothic" w:eastAsia="MS UI Gothic"/>
        </w:rPr>
      </w:pPr>
      <w:r>
        <w:rPr>
          <w:rFonts w:hint="eastAsia" w:ascii="MS UI Gothic" w:eastAsia="MS UI Gothic"/>
          <w:spacing w:val="-31"/>
          <w:w w:val="140"/>
        </w:rPr>
        <w:t xml:space="preserve">( </w:t>
      </w:r>
      <w:r>
        <w:rPr>
          <w:spacing w:val="11"/>
          <w:w w:val="95"/>
        </w:rPr>
        <w:t>二</w:t>
      </w:r>
      <w:r>
        <w:rPr>
          <w:rFonts w:hint="eastAsia" w:ascii="MS UI Gothic" w:eastAsia="MS UI Gothic"/>
          <w:spacing w:val="38"/>
          <w:w w:val="140"/>
        </w:rPr>
        <w:t xml:space="preserve">) </w:t>
      </w:r>
      <w:r>
        <w:rPr>
          <w:spacing w:val="7"/>
          <w:w w:val="95"/>
        </w:rPr>
        <w:t xml:space="preserve">造成 </w:t>
      </w:r>
      <w:r>
        <w:rPr>
          <w:rFonts w:hint="eastAsia" w:ascii="MS UI Gothic" w:eastAsia="MS UI Gothic"/>
          <w:spacing w:val="14"/>
          <w:w w:val="95"/>
        </w:rPr>
        <w:t xml:space="preserve">４０ </w:t>
      </w:r>
      <w:r>
        <w:rPr>
          <w:spacing w:val="12"/>
          <w:w w:val="95"/>
        </w:rPr>
        <w:t xml:space="preserve">人以上 </w:t>
      </w:r>
      <w:r>
        <w:rPr>
          <w:rFonts w:hint="eastAsia" w:ascii="MS UI Gothic" w:eastAsia="MS UI Gothic"/>
          <w:spacing w:val="14"/>
          <w:w w:val="95"/>
        </w:rPr>
        <w:t xml:space="preserve">５０ </w:t>
      </w:r>
      <w:r>
        <w:rPr>
          <w:spacing w:val="18"/>
          <w:w w:val="95"/>
        </w:rPr>
        <w:t>人以下死</w:t>
      </w:r>
      <w:r>
        <w:rPr>
          <w:spacing w:val="3"/>
          <w:w w:val="95"/>
        </w:rPr>
        <w:t>亡</w:t>
      </w:r>
      <w:r>
        <w:rPr>
          <w:rFonts w:hint="eastAsia" w:ascii="MS UI Gothic" w:eastAsia="MS UI Gothic"/>
          <w:spacing w:val="14"/>
          <w:w w:val="85"/>
        </w:rPr>
        <w:t xml:space="preserve">ꎬ </w:t>
      </w:r>
      <w:r>
        <w:rPr>
          <w:spacing w:val="-19"/>
          <w:w w:val="95"/>
        </w:rPr>
        <w:t xml:space="preserve">或者 </w:t>
      </w:r>
      <w:r>
        <w:rPr>
          <w:rFonts w:hint="eastAsia" w:ascii="MS UI Gothic" w:eastAsia="MS UI Gothic"/>
          <w:spacing w:val="-4"/>
          <w:w w:val="95"/>
        </w:rPr>
        <w:t xml:space="preserve">１２０ </w:t>
      </w:r>
      <w:r>
        <w:rPr>
          <w:spacing w:val="-13"/>
          <w:w w:val="95"/>
        </w:rPr>
        <w:t xml:space="preserve">人以上 </w:t>
      </w:r>
      <w:r>
        <w:rPr>
          <w:rFonts w:hint="eastAsia" w:ascii="MS UI Gothic" w:eastAsia="MS UI Gothic"/>
          <w:spacing w:val="-4"/>
          <w:w w:val="95"/>
        </w:rPr>
        <w:t xml:space="preserve">１５０ </w:t>
      </w:r>
      <w:r>
        <w:rPr>
          <w:spacing w:val="3"/>
          <w:w w:val="95"/>
        </w:rPr>
        <w:t>人以下重伤</w:t>
      </w:r>
      <w:r>
        <w:rPr>
          <w:rFonts w:hint="eastAsia" w:ascii="MS UI Gothic" w:eastAsia="MS UI Gothic"/>
          <w:spacing w:val="15"/>
          <w:w w:val="85"/>
        </w:rPr>
        <w:t xml:space="preserve">ꎬ </w:t>
      </w:r>
      <w:r>
        <w:rPr>
          <w:w w:val="95"/>
        </w:rPr>
        <w:t>或</w:t>
      </w:r>
      <w:r>
        <w:rPr>
          <w:spacing w:val="-16"/>
          <w:w w:val="95"/>
        </w:rPr>
        <w:t xml:space="preserve">者 </w:t>
      </w:r>
      <w:r>
        <w:rPr>
          <w:rFonts w:hint="eastAsia" w:ascii="MS UI Gothic" w:eastAsia="MS UI Gothic"/>
          <w:w w:val="95"/>
        </w:rPr>
        <w:t>１</w:t>
      </w:r>
      <w:r>
        <w:rPr>
          <w:rFonts w:hint="eastAsia" w:ascii="MS UI Gothic" w:eastAsia="MS UI Gothic"/>
          <w:spacing w:val="8"/>
          <w:w w:val="95"/>
        </w:rPr>
        <w:t xml:space="preserve"> ２ </w:t>
      </w:r>
      <w:r>
        <w:rPr>
          <w:spacing w:val="-5"/>
          <w:w w:val="95"/>
        </w:rPr>
        <w:t xml:space="preserve">亿元以上 </w:t>
      </w:r>
      <w:r>
        <w:rPr>
          <w:rFonts w:hint="eastAsia" w:ascii="MS UI Gothic" w:eastAsia="MS UI Gothic"/>
          <w:w w:val="95"/>
        </w:rPr>
        <w:t>１</w:t>
      </w:r>
      <w:r>
        <w:rPr>
          <w:rFonts w:hint="eastAsia" w:ascii="MS UI Gothic" w:eastAsia="MS UI Gothic"/>
          <w:spacing w:val="8"/>
          <w:w w:val="95"/>
        </w:rPr>
        <w:t xml:space="preserve"> ５ </w:t>
      </w:r>
      <w:r>
        <w:rPr>
          <w:spacing w:val="2"/>
          <w:w w:val="95"/>
        </w:rPr>
        <w:t>亿元以下直接经济损</w:t>
      </w:r>
      <w:r>
        <w:rPr>
          <w:spacing w:val="3"/>
          <w:w w:val="95"/>
        </w:rPr>
        <w:t>失的</w:t>
      </w:r>
      <w:r>
        <w:rPr>
          <w:rFonts w:hint="eastAsia" w:ascii="MS UI Gothic" w:eastAsia="MS UI Gothic"/>
          <w:spacing w:val="12"/>
          <w:w w:val="85"/>
        </w:rPr>
        <w:t xml:space="preserve">ꎬ </w:t>
      </w:r>
      <w:r>
        <w:rPr>
          <w:spacing w:val="-30"/>
          <w:w w:val="95"/>
        </w:rPr>
        <w:t xml:space="preserve">处 </w:t>
      </w:r>
      <w:r>
        <w:rPr>
          <w:rFonts w:hint="eastAsia" w:ascii="MS UI Gothic" w:eastAsia="MS UI Gothic"/>
          <w:spacing w:val="-4"/>
          <w:w w:val="95"/>
        </w:rPr>
        <w:t xml:space="preserve">１０００ </w:t>
      </w:r>
      <w:r>
        <w:rPr>
          <w:spacing w:val="-11"/>
          <w:w w:val="95"/>
        </w:rPr>
        <w:t xml:space="preserve">万元以上 </w:t>
      </w:r>
      <w:r>
        <w:rPr>
          <w:rFonts w:hint="eastAsia" w:ascii="MS UI Gothic" w:eastAsia="MS UI Gothic"/>
          <w:spacing w:val="-4"/>
          <w:w w:val="95"/>
        </w:rPr>
        <w:t xml:space="preserve">１５００ </w:t>
      </w:r>
      <w:r>
        <w:rPr>
          <w:spacing w:val="5"/>
          <w:w w:val="95"/>
        </w:rPr>
        <w:t>万元以下的</w:t>
      </w:r>
      <w:r>
        <w:rPr>
          <w:spacing w:val="3"/>
          <w:w w:val="95"/>
        </w:rPr>
        <w:t>罚款</w:t>
      </w:r>
      <w:r>
        <w:rPr>
          <w:rFonts w:hint="eastAsia" w:ascii="MS UI Gothic" w:eastAsia="MS UI Gothic"/>
          <w:w w:val="85"/>
        </w:rPr>
        <w:t>ꎻ</w:t>
      </w:r>
    </w:p>
    <w:p>
      <w:pPr>
        <w:pStyle w:val="6"/>
        <w:spacing w:line="295" w:lineRule="auto"/>
        <w:ind w:right="38"/>
        <w:rPr>
          <w:rFonts w:hint="eastAsia" w:ascii="MS UI Gothic" w:eastAsia="MS UI Gothic"/>
        </w:rPr>
      </w:pPr>
      <w:r>
        <w:rPr>
          <w:rFonts w:hint="eastAsia" w:ascii="MS UI Gothic" w:eastAsia="MS UI Gothic"/>
          <w:spacing w:val="19"/>
          <w:w w:val="140"/>
        </w:rPr>
        <w:t>(</w:t>
      </w:r>
      <w:r>
        <w:rPr>
          <w:spacing w:val="3"/>
          <w:w w:val="95"/>
        </w:rPr>
        <w:t>三</w:t>
      </w:r>
      <w:r>
        <w:rPr>
          <w:rFonts w:hint="eastAsia" w:ascii="MS UI Gothic" w:eastAsia="MS UI Gothic"/>
          <w:spacing w:val="18"/>
          <w:w w:val="140"/>
        </w:rPr>
        <w:t xml:space="preserve">) </w:t>
      </w:r>
      <w:r>
        <w:rPr>
          <w:spacing w:val="-15"/>
          <w:w w:val="95"/>
        </w:rPr>
        <w:t xml:space="preserve">造成 </w:t>
      </w:r>
      <w:r>
        <w:rPr>
          <w:rFonts w:hint="eastAsia" w:ascii="MS UI Gothic" w:eastAsia="MS UI Gothic"/>
          <w:spacing w:val="-1"/>
          <w:w w:val="95"/>
        </w:rPr>
        <w:t xml:space="preserve">５０ </w:t>
      </w:r>
      <w:r>
        <w:rPr>
          <w:spacing w:val="4"/>
          <w:w w:val="95"/>
        </w:rPr>
        <w:t>人以上死亡</w:t>
      </w:r>
      <w:r>
        <w:rPr>
          <w:rFonts w:hint="eastAsia" w:ascii="MS UI Gothic" w:eastAsia="MS UI Gothic"/>
          <w:spacing w:val="2"/>
          <w:w w:val="85"/>
        </w:rPr>
        <w:t xml:space="preserve">ꎬ </w:t>
      </w:r>
      <w:r>
        <w:rPr>
          <w:spacing w:val="-12"/>
          <w:w w:val="95"/>
        </w:rPr>
        <w:t xml:space="preserve">或者 </w:t>
      </w:r>
      <w:r>
        <w:rPr>
          <w:rFonts w:hint="eastAsia" w:ascii="MS UI Gothic" w:eastAsia="MS UI Gothic"/>
          <w:w w:val="95"/>
        </w:rPr>
        <w:t xml:space="preserve">１５０ </w:t>
      </w:r>
      <w:r>
        <w:rPr>
          <w:spacing w:val="1"/>
          <w:w w:val="95"/>
        </w:rPr>
        <w:t>人以上重伤</w:t>
      </w:r>
      <w:r>
        <w:rPr>
          <w:rFonts w:hint="eastAsia" w:ascii="MS UI Gothic" w:eastAsia="MS UI Gothic"/>
          <w:spacing w:val="21"/>
          <w:w w:val="85"/>
        </w:rPr>
        <w:t xml:space="preserve">ꎬ </w:t>
      </w:r>
      <w:r>
        <w:rPr>
          <w:spacing w:val="-8"/>
          <w:w w:val="95"/>
        </w:rPr>
        <w:t xml:space="preserve">或者 </w:t>
      </w:r>
      <w:r>
        <w:rPr>
          <w:rFonts w:hint="eastAsia" w:ascii="MS UI Gothic" w:eastAsia="MS UI Gothic"/>
          <w:w w:val="95"/>
        </w:rPr>
        <w:t>１</w:t>
      </w:r>
      <w:r>
        <w:rPr>
          <w:rFonts w:hint="eastAsia" w:ascii="MS UI Gothic" w:eastAsia="MS UI Gothic"/>
          <w:spacing w:val="11"/>
          <w:w w:val="95"/>
        </w:rPr>
        <w:t xml:space="preserve"> ５ </w:t>
      </w:r>
      <w:r>
        <w:rPr>
          <w:spacing w:val="2"/>
          <w:w w:val="95"/>
        </w:rPr>
        <w:t>亿元以上直接经济</w:t>
      </w:r>
      <w:r>
        <w:rPr>
          <w:spacing w:val="3"/>
          <w:w w:val="95"/>
        </w:rPr>
        <w:t>损失的</w:t>
      </w:r>
      <w:r>
        <w:rPr>
          <w:rFonts w:hint="eastAsia" w:ascii="MS UI Gothic" w:eastAsia="MS UI Gothic"/>
          <w:spacing w:val="12"/>
          <w:w w:val="85"/>
        </w:rPr>
        <w:t xml:space="preserve">ꎬ </w:t>
      </w:r>
      <w:r>
        <w:rPr>
          <w:spacing w:val="-30"/>
          <w:w w:val="95"/>
        </w:rPr>
        <w:t xml:space="preserve">处 </w:t>
      </w:r>
      <w:r>
        <w:rPr>
          <w:rFonts w:hint="eastAsia" w:ascii="MS UI Gothic" w:eastAsia="MS UI Gothic"/>
          <w:spacing w:val="-4"/>
          <w:w w:val="95"/>
        </w:rPr>
        <w:t xml:space="preserve">１５００ </w:t>
      </w:r>
      <w:r>
        <w:rPr>
          <w:spacing w:val="-11"/>
          <w:w w:val="95"/>
        </w:rPr>
        <w:t xml:space="preserve">万元以上 </w:t>
      </w:r>
      <w:r>
        <w:rPr>
          <w:rFonts w:hint="eastAsia" w:ascii="MS UI Gothic" w:eastAsia="MS UI Gothic"/>
          <w:spacing w:val="-3"/>
          <w:w w:val="95"/>
        </w:rPr>
        <w:t xml:space="preserve">２０００ </w:t>
      </w:r>
      <w:r>
        <w:rPr>
          <w:spacing w:val="5"/>
          <w:w w:val="95"/>
        </w:rPr>
        <w:t>万元以下</w:t>
      </w:r>
      <w:r>
        <w:rPr>
          <w:spacing w:val="3"/>
          <w:w w:val="95"/>
        </w:rPr>
        <w:t>的罚款</w:t>
      </w:r>
      <w:r>
        <w:rPr>
          <w:rFonts w:hint="eastAsia" w:ascii="MS UI Gothic" w:eastAsia="MS UI Gothic"/>
          <w:w w:val="85"/>
        </w:rPr>
        <w:t>ꎮ</w:t>
      </w:r>
    </w:p>
    <w:p>
      <w:pPr>
        <w:pStyle w:val="6"/>
        <w:spacing w:line="295" w:lineRule="auto"/>
        <w:ind w:right="38"/>
        <w:rPr>
          <w:rFonts w:hint="eastAsia" w:ascii="MS UI Gothic" w:eastAsia="MS UI Gothic"/>
        </w:rPr>
      </w:pPr>
      <w:r>
        <w:t>事故发生单位对特别重大事故发生负有责任且有下列情形之一的</w:t>
      </w:r>
      <w:r>
        <w:rPr>
          <w:rFonts w:hint="eastAsia" w:ascii="MS UI Gothic" w:eastAsia="MS UI Gothic"/>
          <w:w w:val="85"/>
        </w:rPr>
        <w:t xml:space="preserve">ꎬ </w:t>
      </w:r>
      <w:r>
        <w:t xml:space="preserve">处 </w:t>
      </w:r>
      <w:r>
        <w:rPr>
          <w:rFonts w:hint="eastAsia" w:ascii="MS UI Gothic" w:eastAsia="MS UI Gothic"/>
          <w:w w:val="85"/>
        </w:rPr>
        <w:t xml:space="preserve">２０００ </w:t>
      </w:r>
      <w:r>
        <w:t>万</w:t>
      </w:r>
      <w:r>
        <w:rPr>
          <w:w w:val="105"/>
        </w:rPr>
        <w:t>元的罚款</w:t>
      </w:r>
      <w:r>
        <w:rPr>
          <w:rFonts w:hint="eastAsia" w:ascii="MS UI Gothic" w:eastAsia="MS UI Gothic"/>
          <w:w w:val="225"/>
        </w:rPr>
        <w:t>:</w:t>
      </w:r>
    </w:p>
    <w:p>
      <w:pPr>
        <w:pStyle w:val="6"/>
        <w:spacing w:line="295" w:lineRule="auto"/>
        <w:ind w:left="543" w:right="835" w:firstLine="0"/>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谎报特别重大事故的</w:t>
      </w:r>
      <w:r>
        <w:rPr>
          <w:rFonts w:hint="eastAsia" w:ascii="MS UI Gothic" w:eastAsia="MS UI Gothic"/>
          <w:w w:val="80"/>
        </w:rPr>
        <w:t>ꎻ</w:t>
      </w: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瞒报特别重大事故的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未依法取得有关行政审批或者证照擅自从事生产经营活动的</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拒绝</w:t>
      </w:r>
      <w:r>
        <w:rPr>
          <w:rFonts w:hint="eastAsia" w:ascii="MS UI Gothic" w:eastAsia="MS UI Gothic"/>
          <w:w w:val="80"/>
        </w:rPr>
        <w:t xml:space="preserve">、 </w:t>
      </w:r>
      <w:r>
        <w:rPr>
          <w:w w:val="110"/>
        </w:rPr>
        <w:t>阻碍行政执法的</w:t>
      </w:r>
      <w:r>
        <w:rPr>
          <w:rFonts w:hint="eastAsia" w:ascii="MS UI Gothic" w:eastAsia="MS UI Gothic"/>
          <w:w w:val="80"/>
        </w:rPr>
        <w:t>ꎻ</w:t>
      </w:r>
    </w:p>
    <w:p>
      <w:pPr>
        <w:pStyle w:val="6"/>
        <w:spacing w:before="43" w:line="295" w:lineRule="auto"/>
        <w:ind w:right="38"/>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拒不执行有关停产停业</w:t>
      </w:r>
      <w:r>
        <w:rPr>
          <w:rFonts w:hint="eastAsia" w:ascii="MS UI Gothic" w:eastAsia="MS UI Gothic"/>
          <w:w w:val="80"/>
        </w:rPr>
        <w:t xml:space="preserve">、  </w:t>
      </w:r>
      <w:r>
        <w:rPr>
          <w:w w:val="105"/>
        </w:rPr>
        <w:t>停止施工</w:t>
      </w:r>
      <w:r>
        <w:rPr>
          <w:rFonts w:hint="eastAsia" w:ascii="MS UI Gothic" w:eastAsia="MS UI Gothic"/>
          <w:w w:val="80"/>
        </w:rPr>
        <w:t xml:space="preserve">、 </w:t>
      </w:r>
      <w:r>
        <w:rPr>
          <w:w w:val="105"/>
        </w:rPr>
        <w:t>停止使用相关设备或者设施的行政执法指令的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9"/>
          <w:w w:val="150"/>
        </w:rPr>
        <w:t xml:space="preserve">( </w:t>
      </w:r>
      <w:r>
        <w:rPr>
          <w:spacing w:val="3"/>
          <w:w w:val="105"/>
        </w:rPr>
        <w:t>六</w:t>
      </w:r>
      <w:r>
        <w:rPr>
          <w:rFonts w:hint="eastAsia" w:ascii="MS UI Gothic" w:eastAsia="MS UI Gothic"/>
          <w:spacing w:val="-4"/>
          <w:w w:val="150"/>
        </w:rPr>
        <w:t xml:space="preserve">) </w:t>
      </w:r>
      <w:r>
        <w:rPr>
          <w:spacing w:val="5"/>
          <w:w w:val="105"/>
        </w:rPr>
        <w:t>明知存在事故隐患</w:t>
      </w:r>
      <w:r>
        <w:rPr>
          <w:rFonts w:hint="eastAsia" w:ascii="MS UI Gothic" w:eastAsia="MS UI Gothic"/>
          <w:spacing w:val="13"/>
          <w:w w:val="80"/>
        </w:rPr>
        <w:t xml:space="preserve">ꎬ </w:t>
      </w:r>
      <w:r>
        <w:rPr>
          <w:spacing w:val="8"/>
          <w:w w:val="105"/>
        </w:rPr>
        <w:t>仍然进行</w:t>
      </w:r>
      <w:r>
        <w:rPr>
          <w:spacing w:val="3"/>
          <w:w w:val="105"/>
        </w:rPr>
        <w:t>生产经营活动的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7"/>
          <w:w w:val="150"/>
        </w:rPr>
        <w:t xml:space="preserve">( </w:t>
      </w:r>
      <w:r>
        <w:rPr>
          <w:spacing w:val="3"/>
          <w:w w:val="105"/>
        </w:rPr>
        <w:t>七</w:t>
      </w:r>
      <w:r>
        <w:rPr>
          <w:rFonts w:hint="eastAsia" w:ascii="MS UI Gothic" w:eastAsia="MS UI Gothic"/>
          <w:spacing w:val="8"/>
          <w:w w:val="150"/>
        </w:rPr>
        <w:t xml:space="preserve">) </w:t>
      </w:r>
      <w:r>
        <w:rPr>
          <w:spacing w:val="-4"/>
          <w:w w:val="105"/>
        </w:rPr>
        <w:t xml:space="preserve">一年内已经发生 </w:t>
      </w:r>
      <w:r>
        <w:rPr>
          <w:rFonts w:hint="eastAsia" w:ascii="MS UI Gothic" w:eastAsia="MS UI Gothic"/>
          <w:spacing w:val="4"/>
          <w:w w:val="80"/>
        </w:rPr>
        <w:t xml:space="preserve">２ </w:t>
      </w:r>
      <w:r>
        <w:rPr>
          <w:spacing w:val="8"/>
          <w:w w:val="105"/>
        </w:rPr>
        <w:t>起以上较大</w:t>
      </w:r>
      <w:r>
        <w:rPr>
          <w:spacing w:val="5"/>
          <w:w w:val="105"/>
        </w:rPr>
        <w:t>事故</w:t>
      </w:r>
      <w:r>
        <w:rPr>
          <w:rFonts w:hint="eastAsia" w:ascii="MS UI Gothic" w:eastAsia="MS UI Gothic"/>
          <w:spacing w:val="-1"/>
          <w:w w:val="80"/>
        </w:rPr>
        <w:t xml:space="preserve">ꎬ </w:t>
      </w:r>
      <w:r>
        <w:rPr>
          <w:spacing w:val="-27"/>
          <w:w w:val="105"/>
        </w:rPr>
        <w:t xml:space="preserve">或者 </w:t>
      </w:r>
      <w:r>
        <w:rPr>
          <w:rFonts w:hint="eastAsia" w:ascii="MS UI Gothic" w:eastAsia="MS UI Gothic"/>
          <w:spacing w:val="-11"/>
          <w:w w:val="80"/>
        </w:rPr>
        <w:t xml:space="preserve">１ </w:t>
      </w:r>
      <w:r>
        <w:rPr>
          <w:spacing w:val="3"/>
          <w:w w:val="105"/>
        </w:rPr>
        <w:t>起重大以上事故</w:t>
      </w:r>
      <w:r>
        <w:rPr>
          <w:rFonts w:hint="eastAsia" w:ascii="MS UI Gothic" w:eastAsia="MS UI Gothic"/>
          <w:spacing w:val="-1"/>
          <w:w w:val="80"/>
        </w:rPr>
        <w:t xml:space="preserve">ꎬ </w:t>
      </w:r>
      <w:r>
        <w:rPr>
          <w:spacing w:val="3"/>
          <w:w w:val="105"/>
        </w:rPr>
        <w:t>再次发生特别重大事故的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八</w:t>
      </w:r>
      <w:r>
        <w:rPr>
          <w:rFonts w:hint="eastAsia" w:ascii="MS UI Gothic" w:eastAsia="MS UI Gothic"/>
          <w:w w:val="105"/>
        </w:rPr>
        <w:t xml:space="preserve">) </w:t>
      </w:r>
      <w:r>
        <w:rPr>
          <w:w w:val="105"/>
        </w:rPr>
        <w:t>地下矿山负责人未按照规定带</w:t>
      </w:r>
      <w:r>
        <w:rPr>
          <w:w w:val="110"/>
        </w:rPr>
        <w:t>班下井的</w:t>
      </w:r>
      <w:r>
        <w:rPr>
          <w:rFonts w:hint="eastAsia" w:ascii="MS UI Gothic" w:eastAsia="MS UI Gothic"/>
          <w:w w:val="80"/>
        </w:rPr>
        <w:t>ꎮ</w:t>
      </w:r>
    </w:p>
    <w:p>
      <w:pPr>
        <w:pStyle w:val="6"/>
        <w:spacing w:line="295" w:lineRule="auto"/>
        <w:ind w:right="38"/>
      </w:pPr>
      <w:r>
        <w:rPr>
          <w:w w:val="105"/>
        </w:rPr>
        <w:t>第十八条 事故发生单位主要负责人</w:t>
      </w:r>
      <w:r>
        <w:t>未依法履行安全生产管理职责</w:t>
      </w:r>
      <w:r>
        <w:rPr>
          <w:rFonts w:hint="eastAsia" w:ascii="MS UI Gothic" w:eastAsia="MS UI Gothic"/>
          <w:w w:val="80"/>
        </w:rPr>
        <w:t xml:space="preserve">ꎬ </w:t>
      </w:r>
      <w:r>
        <w:t>导致事故</w:t>
      </w:r>
    </w:p>
    <w:p>
      <w:pPr>
        <w:pStyle w:val="6"/>
        <w:spacing w:before="123"/>
        <w:ind w:firstLine="0"/>
        <w:jc w:val="left"/>
        <w:rPr>
          <w:rFonts w:hint="eastAsia" w:ascii="MS UI Gothic" w:eastAsia="MS UI Gothic"/>
        </w:rPr>
      </w:pPr>
      <w:r>
        <w:br w:type="column"/>
      </w:r>
      <w:r>
        <w:rPr>
          <w:w w:val="110"/>
        </w:rPr>
        <w:t>发生的</w:t>
      </w:r>
      <w:r>
        <w:rPr>
          <w:rFonts w:hint="eastAsia" w:ascii="MS UI Gothic" w:eastAsia="MS UI Gothic"/>
          <w:w w:val="80"/>
        </w:rPr>
        <w:t xml:space="preserve">ꎬ </w:t>
      </w:r>
      <w:r>
        <w:rPr>
          <w:w w:val="110"/>
        </w:rPr>
        <w:t>依照下列规定处以罚款</w:t>
      </w:r>
      <w:r>
        <w:rPr>
          <w:rFonts w:hint="eastAsia" w:ascii="MS UI Gothic" w:eastAsia="MS UI Gothic"/>
          <w:w w:val="235"/>
        </w:rPr>
        <w:t>:</w:t>
      </w:r>
    </w:p>
    <w:p>
      <w:pPr>
        <w:pStyle w:val="6"/>
        <w:spacing w:before="58" w:line="295" w:lineRule="auto"/>
        <w:ind w:right="442"/>
        <w:jc w:val="left"/>
        <w:rPr>
          <w:rFonts w:hint="eastAsia" w:ascii="MS UI Gothic" w:eastAsia="MS UI Gothic"/>
        </w:rPr>
      </w:pPr>
      <w:r>
        <w:rPr>
          <w:rFonts w:hint="eastAsia" w:ascii="MS UI Gothic" w:eastAsia="MS UI Gothic"/>
          <w:spacing w:val="-36"/>
          <w:w w:val="140"/>
        </w:rPr>
        <w:t xml:space="preserve">( </w:t>
      </w:r>
      <w:r>
        <w:rPr>
          <w:spacing w:val="3"/>
          <w:w w:val="105"/>
        </w:rPr>
        <w:t>一</w:t>
      </w:r>
      <w:r>
        <w:rPr>
          <w:rFonts w:hint="eastAsia" w:ascii="MS UI Gothic" w:eastAsia="MS UI Gothic"/>
          <w:w w:val="140"/>
        </w:rPr>
        <w:t xml:space="preserve">) </w:t>
      </w:r>
      <w:r>
        <w:rPr>
          <w:spacing w:val="5"/>
          <w:w w:val="105"/>
        </w:rPr>
        <w:t>发生一般事故的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３０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right="442"/>
        <w:jc w:val="left"/>
        <w:rPr>
          <w:rFonts w:hint="eastAsia" w:ascii="MS UI Gothic" w:eastAsia="MS UI Gothic"/>
        </w:rPr>
      </w:pPr>
      <w:r>
        <w:rPr>
          <w:rFonts w:hint="eastAsia" w:ascii="MS UI Gothic" w:eastAsia="MS UI Gothic"/>
          <w:spacing w:val="-36"/>
          <w:w w:val="140"/>
        </w:rPr>
        <w:t xml:space="preserve">( </w:t>
      </w:r>
      <w:r>
        <w:rPr>
          <w:spacing w:val="3"/>
          <w:w w:val="105"/>
        </w:rPr>
        <w:t>二</w:t>
      </w:r>
      <w:r>
        <w:rPr>
          <w:rFonts w:hint="eastAsia" w:ascii="MS UI Gothic" w:eastAsia="MS UI Gothic"/>
          <w:w w:val="140"/>
        </w:rPr>
        <w:t xml:space="preserve">) </w:t>
      </w:r>
      <w:r>
        <w:rPr>
          <w:spacing w:val="5"/>
          <w:w w:val="105"/>
        </w:rPr>
        <w:t>发生较大事故的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４０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right="442"/>
        <w:jc w:val="left"/>
        <w:rPr>
          <w:rFonts w:hint="eastAsia" w:ascii="MS UI Gothic" w:eastAsia="MS UI Gothic"/>
        </w:rPr>
      </w:pPr>
      <w:r>
        <w:rPr>
          <w:rFonts w:hint="eastAsia" w:ascii="MS UI Gothic" w:eastAsia="MS UI Gothic"/>
          <w:spacing w:val="-36"/>
          <w:w w:val="140"/>
        </w:rPr>
        <w:t xml:space="preserve">( </w:t>
      </w:r>
      <w:r>
        <w:rPr>
          <w:spacing w:val="3"/>
          <w:w w:val="105"/>
        </w:rPr>
        <w:t>三</w:t>
      </w:r>
      <w:r>
        <w:rPr>
          <w:rFonts w:hint="eastAsia" w:ascii="MS UI Gothic" w:eastAsia="MS UI Gothic"/>
          <w:w w:val="140"/>
        </w:rPr>
        <w:t xml:space="preserve">) </w:t>
      </w:r>
      <w:r>
        <w:rPr>
          <w:spacing w:val="5"/>
          <w:w w:val="105"/>
        </w:rPr>
        <w:t>发生重大事故的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６０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right="442"/>
        <w:jc w:val="left"/>
        <w:rPr>
          <w:rFonts w:hint="eastAsia" w:ascii="MS UI Gothic" w:eastAsia="MS UI Gothic"/>
        </w:rPr>
      </w:pPr>
      <w:r>
        <w:rPr>
          <w:rFonts w:hint="eastAsia" w:ascii="MS UI Gothic" w:eastAsia="MS UI Gothic"/>
          <w:w w:val="140"/>
        </w:rPr>
        <w:t xml:space="preserve">( </w:t>
      </w:r>
      <w:r>
        <w:rPr>
          <w:w w:val="105"/>
        </w:rPr>
        <w:t>四</w:t>
      </w:r>
      <w:r>
        <w:rPr>
          <w:rFonts w:hint="eastAsia" w:ascii="MS UI Gothic" w:eastAsia="MS UI Gothic"/>
          <w:w w:val="140"/>
        </w:rPr>
        <w:t xml:space="preserve">) </w:t>
      </w:r>
      <w:r>
        <w:rPr>
          <w:w w:val="105"/>
        </w:rPr>
        <w:t>发生特别重大事故的</w:t>
      </w:r>
      <w:r>
        <w:rPr>
          <w:rFonts w:hint="eastAsia" w:ascii="MS UI Gothic" w:eastAsia="MS UI Gothic"/>
          <w:w w:val="85"/>
        </w:rPr>
        <w:t xml:space="preserve">ꎬ </w:t>
      </w:r>
      <w:r>
        <w:rPr>
          <w:w w:val="105"/>
        </w:rPr>
        <w:t xml:space="preserve">处上一年年收入 </w:t>
      </w:r>
      <w:r>
        <w:rPr>
          <w:rFonts w:hint="eastAsia" w:ascii="MS UI Gothic" w:eastAsia="MS UI Gothic"/>
          <w:w w:val="85"/>
        </w:rPr>
        <w:t>８０</w:t>
      </w:r>
      <w:r>
        <w:rPr>
          <w:w w:val="85"/>
        </w:rPr>
        <w:t xml:space="preserve">％ </w:t>
      </w:r>
      <w:r>
        <w:rPr>
          <w:w w:val="105"/>
        </w:rPr>
        <w:t>的罚款</w:t>
      </w:r>
      <w:r>
        <w:rPr>
          <w:rFonts w:hint="eastAsia" w:ascii="MS UI Gothic" w:eastAsia="MS UI Gothic"/>
          <w:w w:val="85"/>
        </w:rPr>
        <w:t>ꎮ</w:t>
      </w:r>
    </w:p>
    <w:p>
      <w:pPr>
        <w:pStyle w:val="6"/>
        <w:tabs>
          <w:tab w:val="left" w:pos="1591"/>
        </w:tabs>
        <w:spacing w:line="255" w:lineRule="exact"/>
        <w:ind w:left="543" w:firstLine="0"/>
        <w:jc w:val="left"/>
      </w:pPr>
      <w:r>
        <w:rPr>
          <w:spacing w:val="3"/>
          <w:w w:val="105"/>
        </w:rPr>
        <w:t>第十九</w:t>
      </w:r>
      <w:r>
        <w:rPr>
          <w:w w:val="105"/>
        </w:rPr>
        <w:t>条</w:t>
      </w:r>
      <w:r>
        <w:rPr>
          <w:w w:val="105"/>
        </w:rPr>
        <w:tab/>
      </w:r>
      <w:r>
        <w:rPr>
          <w:spacing w:val="3"/>
          <w:w w:val="105"/>
        </w:rPr>
        <w:t>个人经营的投资人未依</w:t>
      </w:r>
      <w:r>
        <w:rPr>
          <w:w w:val="105"/>
        </w:rPr>
        <w:t>照</w:t>
      </w:r>
    </w:p>
    <w:p>
      <w:pPr>
        <w:pStyle w:val="6"/>
        <w:spacing w:before="54" w:line="295" w:lineRule="auto"/>
        <w:ind w:right="442" w:firstLine="0"/>
        <w:rPr>
          <w:rFonts w:hint="eastAsia" w:ascii="MS UI Gothic" w:hAnsi="MS UI Gothic" w:eastAsia="MS UI Gothic"/>
        </w:rPr>
      </w:pPr>
      <w:r>
        <w:rPr>
          <w:rFonts w:hint="eastAsia" w:ascii="MS UI Gothic" w:hAnsi="MS UI Gothic" w:eastAsia="MS UI Gothic"/>
          <w:w w:val="80"/>
        </w:rPr>
        <w:t xml:space="preserve">« </w:t>
      </w:r>
      <w:r>
        <w:rPr>
          <w:w w:val="105"/>
        </w:rPr>
        <w:t>安全生产法</w:t>
      </w:r>
      <w:r>
        <w:rPr>
          <w:rFonts w:hint="eastAsia" w:ascii="MS UI Gothic" w:hAnsi="MS UI Gothic" w:eastAsia="MS UI Gothic"/>
          <w:w w:val="80"/>
        </w:rPr>
        <w:t xml:space="preserve">» </w:t>
      </w:r>
      <w:r>
        <w:rPr>
          <w:w w:val="105"/>
        </w:rPr>
        <w:t>的规定保证安全生产所必</w:t>
      </w:r>
      <w:r>
        <w:t>需的资金投入</w:t>
      </w:r>
      <w:r>
        <w:rPr>
          <w:rFonts w:hint="eastAsia" w:ascii="MS UI Gothic" w:hAnsi="MS UI Gothic" w:eastAsia="MS UI Gothic"/>
          <w:w w:val="80"/>
        </w:rPr>
        <w:t xml:space="preserve">ꎬ </w:t>
      </w:r>
      <w:r>
        <w:t>致使生产经营单位不具备安全生产条件</w:t>
      </w:r>
      <w:r>
        <w:rPr>
          <w:rFonts w:hint="eastAsia" w:ascii="MS UI Gothic" w:hAnsi="MS UI Gothic" w:eastAsia="MS UI Gothic"/>
          <w:w w:val="80"/>
        </w:rPr>
        <w:t xml:space="preserve">ꎬ </w:t>
      </w:r>
      <w:r>
        <w:t>导致发生生产安全事故的</w:t>
      </w:r>
      <w:r>
        <w:rPr>
          <w:rFonts w:hint="eastAsia" w:ascii="MS UI Gothic" w:hAnsi="MS UI Gothic" w:eastAsia="MS UI Gothic"/>
          <w:w w:val="80"/>
        </w:rPr>
        <w:t xml:space="preserve">ꎬ </w:t>
      </w:r>
      <w:r>
        <w:t>依照下列规定对个人经营的投资人处</w:t>
      </w:r>
      <w:r>
        <w:rPr>
          <w:w w:val="105"/>
        </w:rPr>
        <w:t>以罚款</w:t>
      </w:r>
      <w:r>
        <w:rPr>
          <w:rFonts w:hint="eastAsia" w:ascii="MS UI Gothic" w:hAnsi="MS UI Gothic" w:eastAsia="MS UI Gothic"/>
          <w:w w:val="235"/>
        </w:rPr>
        <w:t>:</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发生一般事故的</w:t>
      </w:r>
      <w:r>
        <w:rPr>
          <w:rFonts w:hint="eastAsia" w:ascii="MS UI Gothic" w:eastAsia="MS UI Gothic"/>
          <w:w w:val="80"/>
        </w:rPr>
        <w:t xml:space="preserve">ꎬ </w:t>
      </w:r>
      <w:r>
        <w:rPr>
          <w:w w:val="105"/>
        </w:rPr>
        <w:t xml:space="preserve">处 </w:t>
      </w:r>
      <w:r>
        <w:rPr>
          <w:rFonts w:hint="eastAsia" w:ascii="MS UI Gothic" w:eastAsia="MS UI Gothic"/>
          <w:w w:val="80"/>
        </w:rPr>
        <w:t xml:space="preserve">２ </w:t>
      </w:r>
      <w:r>
        <w:rPr>
          <w:w w:val="105"/>
        </w:rPr>
        <w:t xml:space="preserve">万元以上 </w:t>
      </w:r>
      <w:r>
        <w:rPr>
          <w:rFonts w:hint="eastAsia" w:ascii="MS UI Gothic" w:eastAsia="MS UI Gothic"/>
          <w:w w:val="80"/>
        </w:rPr>
        <w:t xml:space="preserve">５ </w:t>
      </w:r>
      <w:r>
        <w:rPr>
          <w:w w:val="105"/>
        </w:rPr>
        <w:t>万元以下的罚款</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发生较大事故的</w:t>
      </w:r>
      <w:r>
        <w:rPr>
          <w:rFonts w:hint="eastAsia" w:ascii="MS UI Gothic" w:eastAsia="MS UI Gothic"/>
          <w:w w:val="80"/>
        </w:rPr>
        <w:t xml:space="preserve">ꎬ </w:t>
      </w:r>
      <w:r>
        <w:t xml:space="preserve">处 </w:t>
      </w:r>
      <w:r>
        <w:rPr>
          <w:rFonts w:hint="eastAsia" w:ascii="MS UI Gothic" w:eastAsia="MS UI Gothic"/>
          <w:w w:val="80"/>
        </w:rPr>
        <w:t xml:space="preserve">５ </w:t>
      </w:r>
      <w:r>
        <w:t xml:space="preserve">万元以上 </w:t>
      </w:r>
      <w:r>
        <w:rPr>
          <w:rFonts w:hint="eastAsia" w:ascii="MS UI Gothic" w:eastAsia="MS UI Gothic"/>
          <w:w w:val="80"/>
        </w:rPr>
        <w:t xml:space="preserve">１０ </w:t>
      </w:r>
      <w:r>
        <w:t>万元以下的罚款</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45"/>
        </w:rPr>
        <w:t>(</w:t>
      </w:r>
      <w:r>
        <w:t>三</w:t>
      </w:r>
      <w:r>
        <w:rPr>
          <w:rFonts w:hint="eastAsia" w:ascii="MS UI Gothic" w:eastAsia="MS UI Gothic"/>
          <w:w w:val="145"/>
        </w:rPr>
        <w:t xml:space="preserve">) </w:t>
      </w:r>
      <w:r>
        <w:t>发生重大事故的</w:t>
      </w:r>
      <w:r>
        <w:rPr>
          <w:rFonts w:hint="eastAsia" w:ascii="MS UI Gothic" w:eastAsia="MS UI Gothic"/>
          <w:w w:val="80"/>
        </w:rPr>
        <w:t xml:space="preserve">ꎬ </w:t>
      </w:r>
      <w:r>
        <w:t xml:space="preserve">处 </w:t>
      </w:r>
      <w:r>
        <w:rPr>
          <w:rFonts w:hint="eastAsia" w:ascii="MS UI Gothic" w:eastAsia="MS UI Gothic"/>
          <w:w w:val="80"/>
        </w:rPr>
        <w:t xml:space="preserve">１０ </w:t>
      </w:r>
      <w:r>
        <w:t xml:space="preserve">万元以上 </w:t>
      </w:r>
      <w:r>
        <w:rPr>
          <w:rFonts w:hint="eastAsia" w:ascii="MS UI Gothic" w:eastAsia="MS UI Gothic"/>
          <w:w w:val="80"/>
        </w:rPr>
        <w:t xml:space="preserve">１５ </w:t>
      </w:r>
      <w:r>
        <w:t>万元以下的罚款</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45"/>
        </w:rPr>
        <w:t xml:space="preserve">( </w:t>
      </w:r>
      <w:r>
        <w:rPr>
          <w:w w:val="105"/>
        </w:rPr>
        <w:t>四</w:t>
      </w:r>
      <w:r>
        <w:rPr>
          <w:rFonts w:hint="eastAsia" w:ascii="MS UI Gothic" w:eastAsia="MS UI Gothic"/>
          <w:w w:val="145"/>
        </w:rPr>
        <w:t xml:space="preserve">) </w:t>
      </w:r>
      <w:r>
        <w:rPr>
          <w:w w:val="105"/>
        </w:rPr>
        <w:t>发生特别重大事故的</w:t>
      </w:r>
      <w:r>
        <w:rPr>
          <w:rFonts w:hint="eastAsia" w:ascii="MS UI Gothic" w:eastAsia="MS UI Gothic"/>
          <w:w w:val="85"/>
        </w:rPr>
        <w:t xml:space="preserve">ꎬ </w:t>
      </w:r>
      <w:r>
        <w:rPr>
          <w:w w:val="105"/>
        </w:rPr>
        <w:t xml:space="preserve">处 </w:t>
      </w:r>
      <w:r>
        <w:rPr>
          <w:rFonts w:hint="eastAsia" w:ascii="MS UI Gothic" w:eastAsia="MS UI Gothic"/>
          <w:w w:val="85"/>
        </w:rPr>
        <w:t>１５</w:t>
      </w:r>
    </w:p>
    <w:p>
      <w:pPr>
        <w:pStyle w:val="6"/>
        <w:spacing w:before="51"/>
        <w:ind w:firstLine="0"/>
        <w:jc w:val="left"/>
        <w:rPr>
          <w:rFonts w:hint="eastAsia" w:ascii="MS UI Gothic" w:eastAsia="MS UI Gothic"/>
        </w:rPr>
      </w:pPr>
      <w:r>
        <w:t xml:space="preserve">万元以上 </w:t>
      </w:r>
      <w:r>
        <w:rPr>
          <w:rFonts w:hint="eastAsia" w:ascii="MS UI Gothic" w:eastAsia="MS UI Gothic"/>
          <w:w w:val="85"/>
        </w:rPr>
        <w:t xml:space="preserve">２０ </w:t>
      </w:r>
      <w:r>
        <w:t>万元以下的罚款</w:t>
      </w:r>
      <w:r>
        <w:rPr>
          <w:rFonts w:hint="eastAsia" w:ascii="MS UI Gothic" w:eastAsia="MS UI Gothic"/>
          <w:w w:val="85"/>
        </w:rPr>
        <w:t>ꎮ</w:t>
      </w:r>
    </w:p>
    <w:p>
      <w:pPr>
        <w:pStyle w:val="6"/>
        <w:spacing w:before="58" w:line="295" w:lineRule="auto"/>
        <w:ind w:right="440"/>
        <w:rPr>
          <w:rFonts w:hint="eastAsia" w:ascii="MS UI Gothic" w:hAnsi="MS UI Gothic" w:eastAsia="MS UI Gothic"/>
        </w:rPr>
      </w:pPr>
      <w:r>
        <w:t xml:space="preserve">第二十条 违反 </w:t>
      </w:r>
      <w:r>
        <w:rPr>
          <w:rFonts w:hint="eastAsia" w:ascii="MS UI Gothic" w:hAnsi="MS UI Gothic" w:eastAsia="MS UI Gothic"/>
          <w:w w:val="80"/>
        </w:rPr>
        <w:t xml:space="preserve">« </w:t>
      </w:r>
      <w:r>
        <w:t>条例</w:t>
      </w:r>
      <w:r>
        <w:rPr>
          <w:rFonts w:hint="eastAsia" w:ascii="MS UI Gothic" w:hAnsi="MS UI Gothic" w:eastAsia="MS UI Gothic"/>
          <w:w w:val="80"/>
        </w:rPr>
        <w:t xml:space="preserve">» </w:t>
      </w:r>
      <w:r>
        <w:t>和本规定</w:t>
      </w:r>
      <w:r>
        <w:rPr>
          <w:rFonts w:hint="eastAsia" w:ascii="MS UI Gothic" w:hAnsi="MS UI Gothic" w:eastAsia="MS UI Gothic"/>
          <w:w w:val="80"/>
        </w:rPr>
        <w:t>ꎬ</w:t>
      </w:r>
      <w:r>
        <w:t>事故发生单位及其有关责任人员有两种以上应当处以罚款的行为的</w:t>
      </w:r>
      <w:r>
        <w:rPr>
          <w:rFonts w:hint="eastAsia" w:ascii="MS UI Gothic" w:hAnsi="MS UI Gothic" w:eastAsia="MS UI Gothic"/>
          <w:w w:val="80"/>
        </w:rPr>
        <w:t xml:space="preserve">ꎬ </w:t>
      </w:r>
      <w:r>
        <w:t>安全生产监督管理部门或者煤矿安全监察机构应当分别裁量</w:t>
      </w:r>
      <w:r>
        <w:rPr>
          <w:rFonts w:hint="eastAsia" w:ascii="MS UI Gothic" w:hAnsi="MS UI Gothic" w:eastAsia="MS UI Gothic"/>
          <w:w w:val="80"/>
        </w:rPr>
        <w:t xml:space="preserve">ꎬ </w:t>
      </w:r>
      <w:r>
        <w:t>合并作出处罚决定</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w w:val="105"/>
        </w:rPr>
        <w:t>第二十一条 对事故发生负有责任的</w:t>
      </w:r>
      <w:r>
        <w:t>其他单位及其有关责任人员处以罚款的行</w:t>
      </w:r>
      <w:r>
        <w:rPr>
          <w:w w:val="105"/>
        </w:rPr>
        <w:t>政处罚</w:t>
      </w:r>
      <w:r>
        <w:rPr>
          <w:rFonts w:hint="eastAsia" w:ascii="MS UI Gothic" w:eastAsia="MS UI Gothic"/>
          <w:w w:val="80"/>
        </w:rPr>
        <w:t xml:space="preserve">ꎬ </w:t>
      </w:r>
      <w:r>
        <w:rPr>
          <w:w w:val="105"/>
        </w:rPr>
        <w:t>依照相关法律</w:t>
      </w:r>
      <w:r>
        <w:rPr>
          <w:rFonts w:hint="eastAsia" w:ascii="MS UI Gothic" w:eastAsia="MS UI Gothic"/>
          <w:w w:val="80"/>
        </w:rPr>
        <w:t xml:space="preserve">、 </w:t>
      </w:r>
      <w:r>
        <w:rPr>
          <w:w w:val="105"/>
        </w:rPr>
        <w:t>法规和规章的规定实施</w:t>
      </w:r>
      <w:r>
        <w:rPr>
          <w:rFonts w:hint="eastAsia" w:ascii="MS UI Gothic" w:eastAsia="MS UI Gothic"/>
          <w:w w:val="80"/>
        </w:rPr>
        <w:t>ꎮ</w:t>
      </w:r>
    </w:p>
    <w:p>
      <w:pPr>
        <w:pStyle w:val="6"/>
        <w:spacing w:line="295" w:lineRule="auto"/>
        <w:ind w:right="442"/>
        <w:rPr>
          <w:rFonts w:hint="eastAsia" w:ascii="MS UI Gothic" w:eastAsia="MS UI Gothic"/>
        </w:rPr>
      </w:pPr>
      <w:r>
        <w:t>第二十二条  本规定自公布之日起施行</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１２７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22" o:spid="_x0000_s1422" o:spt="203" style="height:2.15pt;width:398.25pt;" coordsize="7965,43">
            <o:lock v:ext="edit"/>
            <v:line id="_x0000_s1423" o:spid="_x0000_s1423" o:spt="20" style="position:absolute;left:0;top:39;height:0;width:7965;" stroked="t" coordsize="21600,21600">
              <v:path arrowok="t"/>
              <v:fill focussize="0,0"/>
              <v:stroke weight="0.388031496062992pt" color="#231F20"/>
              <v:imagedata o:title=""/>
              <o:lock v:ext="edit"/>
            </v:line>
            <v:line id="_x0000_s1424" o:spid="_x0000_s1424"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4"/>
        <w:spacing w:before="238"/>
      </w:pPr>
      <w:r>
        <w:t>国家安全生产监督管理总令</w:t>
      </w:r>
    </w:p>
    <w:p>
      <w:pPr>
        <w:pStyle w:val="6"/>
        <w:ind w:left="0" w:firstLine="0"/>
        <w:jc w:val="left"/>
        <w:rPr>
          <w:sz w:val="27"/>
        </w:rPr>
      </w:pPr>
    </w:p>
    <w:p>
      <w:pPr>
        <w:pStyle w:val="5"/>
        <w:ind w:left="312"/>
      </w:pPr>
      <w:r>
        <w:t xml:space="preserve">第 </w:t>
      </w:r>
      <w:r>
        <w:rPr>
          <w:rFonts w:hint="eastAsia" w:ascii="MS UI Gothic" w:eastAsia="MS UI Gothic"/>
        </w:rPr>
        <w:t xml:space="preserve">１５ </w:t>
      </w:r>
      <w:r>
        <w:t>号</w:t>
      </w:r>
    </w:p>
    <w:p>
      <w:pPr>
        <w:pStyle w:val="6"/>
        <w:spacing w:before="354" w:line="295" w:lineRule="auto"/>
        <w:ind w:left="440" w:right="126"/>
        <w:rPr>
          <w:rFonts w:hint="eastAsia" w:ascii="MS UI Gothic" w:hAnsi="MS UI Gothic" w:eastAsia="MS UI Gothic"/>
        </w:rPr>
      </w:pPr>
      <w:r>
        <w:rPr>
          <w:w w:val="95"/>
        </w:rPr>
        <w:t xml:space="preserve">新修订的 </w:t>
      </w:r>
      <w:r>
        <w:rPr>
          <w:rFonts w:hint="eastAsia" w:ascii="MS UI Gothic" w:hAnsi="MS UI Gothic" w:eastAsia="MS UI Gothic"/>
          <w:w w:val="95"/>
        </w:rPr>
        <w:t xml:space="preserve">« </w:t>
      </w:r>
      <w:r>
        <w:rPr>
          <w:w w:val="95"/>
        </w:rPr>
        <w:t>安全生产违法行为行政处罚办法</w:t>
      </w:r>
      <w:r>
        <w:rPr>
          <w:rFonts w:hint="eastAsia" w:ascii="MS UI Gothic" w:hAnsi="MS UI Gothic" w:eastAsia="MS UI Gothic"/>
          <w:w w:val="95"/>
        </w:rPr>
        <w:t xml:space="preserve">» </w:t>
      </w:r>
      <w:r>
        <w:rPr>
          <w:w w:val="95"/>
        </w:rPr>
        <w:t xml:space="preserve">已经 </w:t>
      </w:r>
      <w:r>
        <w:rPr>
          <w:rFonts w:hint="eastAsia" w:ascii="MS UI Gothic" w:hAnsi="MS UI Gothic" w:eastAsia="MS UI Gothic"/>
          <w:w w:val="95"/>
        </w:rPr>
        <w:t xml:space="preserve">２００７ </w:t>
      </w:r>
      <w:r>
        <w:rPr>
          <w:w w:val="95"/>
        </w:rPr>
        <w:t xml:space="preserve">年 </w:t>
      </w:r>
      <w:r>
        <w:rPr>
          <w:rFonts w:hint="eastAsia" w:ascii="MS UI Gothic" w:hAnsi="MS UI Gothic" w:eastAsia="MS UI Gothic"/>
          <w:w w:val="95"/>
        </w:rPr>
        <w:t xml:space="preserve">１１ </w:t>
      </w:r>
      <w:r>
        <w:rPr>
          <w:w w:val="95"/>
        </w:rPr>
        <w:t xml:space="preserve">月 </w:t>
      </w:r>
      <w:r>
        <w:rPr>
          <w:rFonts w:hint="eastAsia" w:ascii="MS UI Gothic" w:hAnsi="MS UI Gothic" w:eastAsia="MS UI Gothic"/>
          <w:w w:val="95"/>
        </w:rPr>
        <w:t xml:space="preserve">９ </w:t>
      </w:r>
      <w:r>
        <w:rPr>
          <w:w w:val="95"/>
        </w:rPr>
        <w:t>日国家安全生产监督管理总局局长办公会议审议通过</w:t>
      </w:r>
      <w:r>
        <w:rPr>
          <w:rFonts w:hint="eastAsia" w:ascii="MS UI Gothic" w:hAnsi="MS UI Gothic" w:eastAsia="MS UI Gothic"/>
          <w:w w:val="85"/>
        </w:rPr>
        <w:t xml:space="preserve">ꎬ </w:t>
      </w:r>
      <w:r>
        <w:rPr>
          <w:w w:val="95"/>
        </w:rPr>
        <w:t>现予公布</w:t>
      </w:r>
      <w:r>
        <w:rPr>
          <w:rFonts w:hint="eastAsia" w:ascii="MS UI Gothic" w:hAnsi="MS UI Gothic" w:eastAsia="MS UI Gothic"/>
          <w:w w:val="85"/>
        </w:rPr>
        <w:t xml:space="preserve">ꎬ </w:t>
      </w:r>
      <w:r>
        <w:rPr>
          <w:w w:val="95"/>
        </w:rPr>
        <w:t xml:space="preserve">自 </w:t>
      </w:r>
      <w:r>
        <w:rPr>
          <w:rFonts w:hint="eastAsia" w:ascii="MS UI Gothic" w:hAnsi="MS UI Gothic" w:eastAsia="MS UI Gothic"/>
          <w:w w:val="95"/>
        </w:rPr>
        <w:t xml:space="preserve">２００８ </w:t>
      </w:r>
      <w:r>
        <w:rPr>
          <w:w w:val="95"/>
        </w:rPr>
        <w:t xml:space="preserve">年 </w:t>
      </w:r>
      <w:r>
        <w:rPr>
          <w:rFonts w:hint="eastAsia" w:ascii="MS UI Gothic" w:hAnsi="MS UI Gothic" w:eastAsia="MS UI Gothic"/>
          <w:w w:val="95"/>
        </w:rPr>
        <w:t xml:space="preserve">１ </w:t>
      </w:r>
      <w:r>
        <w:rPr>
          <w:w w:val="95"/>
        </w:rPr>
        <w:t xml:space="preserve">月 </w:t>
      </w:r>
      <w:r>
        <w:rPr>
          <w:rFonts w:hint="eastAsia" w:ascii="MS UI Gothic" w:hAnsi="MS UI Gothic" w:eastAsia="MS UI Gothic"/>
          <w:w w:val="95"/>
        </w:rPr>
        <w:t xml:space="preserve">１ </w:t>
      </w:r>
      <w:r>
        <w:rPr>
          <w:w w:val="95"/>
        </w:rPr>
        <w:t>日起施行</w:t>
      </w:r>
      <w:r>
        <w:rPr>
          <w:rFonts w:hint="eastAsia" w:ascii="MS UI Gothic" w:hAnsi="MS UI Gothic" w:eastAsia="MS UI Gothic"/>
          <w:w w:val="85"/>
        </w:rPr>
        <w:t xml:space="preserve">ꎮ  </w:t>
      </w:r>
      <w:r>
        <w:rPr>
          <w:w w:val="95"/>
        </w:rPr>
        <w:t xml:space="preserve">原国家安全生产监督管理局 </w:t>
      </w:r>
      <w:r>
        <w:rPr>
          <w:rFonts w:hint="eastAsia" w:ascii="MS UI Gothic" w:hAnsi="MS UI Gothic" w:eastAsia="MS UI Gothic"/>
          <w:w w:val="140"/>
        </w:rPr>
        <w:t xml:space="preserve">( </w:t>
      </w:r>
      <w:r>
        <w:rPr>
          <w:w w:val="95"/>
        </w:rPr>
        <w:t>国家煤矿安全监察局</w:t>
      </w:r>
      <w:r>
        <w:rPr>
          <w:rFonts w:hint="eastAsia" w:ascii="MS UI Gothic" w:hAnsi="MS UI Gothic" w:eastAsia="MS UI Gothic"/>
          <w:w w:val="140"/>
        </w:rPr>
        <w:t xml:space="preserve">) </w:t>
      </w:r>
      <w:r>
        <w:rPr>
          <w:rFonts w:hint="eastAsia" w:ascii="MS UI Gothic" w:hAnsi="MS UI Gothic" w:eastAsia="MS UI Gothic"/>
          <w:w w:val="95"/>
        </w:rPr>
        <w:t xml:space="preserve">２００３ </w:t>
      </w:r>
      <w:r>
        <w:rPr>
          <w:w w:val="95"/>
        </w:rPr>
        <w:t xml:space="preserve">年 </w:t>
      </w:r>
      <w:r>
        <w:rPr>
          <w:rFonts w:hint="eastAsia" w:ascii="MS UI Gothic" w:hAnsi="MS UI Gothic" w:eastAsia="MS UI Gothic"/>
          <w:w w:val="95"/>
        </w:rPr>
        <w:t xml:space="preserve">５ </w:t>
      </w:r>
      <w:r>
        <w:rPr>
          <w:w w:val="95"/>
        </w:rPr>
        <w:t xml:space="preserve">月 </w:t>
      </w:r>
      <w:r>
        <w:rPr>
          <w:rFonts w:hint="eastAsia" w:ascii="MS UI Gothic" w:hAnsi="MS UI Gothic" w:eastAsia="MS UI Gothic"/>
          <w:w w:val="95"/>
        </w:rPr>
        <w:t xml:space="preserve">１９ </w:t>
      </w:r>
      <w:r>
        <w:rPr>
          <w:w w:val="95"/>
        </w:rPr>
        <w:t xml:space="preserve">日公布的 </w:t>
      </w:r>
      <w:r>
        <w:rPr>
          <w:rFonts w:hint="eastAsia" w:ascii="MS UI Gothic" w:hAnsi="MS UI Gothic" w:eastAsia="MS UI Gothic"/>
          <w:w w:val="95"/>
        </w:rPr>
        <w:t xml:space="preserve">« </w:t>
      </w:r>
      <w:r>
        <w:rPr>
          <w:w w:val="95"/>
        </w:rPr>
        <w:t>安全生产违法行为行政处罚办法</w:t>
      </w:r>
      <w:r>
        <w:rPr>
          <w:rFonts w:hint="eastAsia" w:ascii="MS UI Gothic" w:hAnsi="MS UI Gothic" w:eastAsia="MS UI Gothic"/>
          <w:w w:val="95"/>
        </w:rPr>
        <w:t xml:space="preserve">»、 ２００１ </w:t>
      </w:r>
      <w:r>
        <w:rPr>
          <w:w w:val="95"/>
        </w:rPr>
        <w:t xml:space="preserve">年 </w:t>
      </w:r>
      <w:r>
        <w:rPr>
          <w:rFonts w:hint="eastAsia" w:ascii="MS UI Gothic" w:hAnsi="MS UI Gothic" w:eastAsia="MS UI Gothic"/>
          <w:w w:val="95"/>
        </w:rPr>
        <w:t xml:space="preserve">４ </w:t>
      </w:r>
      <w:r>
        <w:rPr>
          <w:w w:val="95"/>
        </w:rPr>
        <w:t xml:space="preserve">月 </w:t>
      </w:r>
      <w:r>
        <w:rPr>
          <w:rFonts w:hint="eastAsia" w:ascii="MS UI Gothic" w:hAnsi="MS UI Gothic" w:eastAsia="MS UI Gothic"/>
          <w:w w:val="95"/>
        </w:rPr>
        <w:t xml:space="preserve">２７ </w:t>
      </w:r>
      <w:r>
        <w:rPr>
          <w:w w:val="95"/>
        </w:rPr>
        <w:t xml:space="preserve">日公布的 </w:t>
      </w:r>
      <w:r>
        <w:rPr>
          <w:rFonts w:hint="eastAsia" w:ascii="MS UI Gothic" w:hAnsi="MS UI Gothic" w:eastAsia="MS UI Gothic"/>
          <w:w w:val="95"/>
        </w:rPr>
        <w:t xml:space="preserve">« </w:t>
      </w:r>
      <w:r>
        <w:rPr>
          <w:w w:val="95"/>
        </w:rPr>
        <w:t>煤矿安全监察程序暂行规定</w:t>
      </w:r>
      <w:r>
        <w:rPr>
          <w:rFonts w:hint="eastAsia" w:ascii="MS UI Gothic" w:hAnsi="MS UI Gothic" w:eastAsia="MS UI Gothic"/>
          <w:w w:val="95"/>
        </w:rPr>
        <w:t xml:space="preserve">» </w:t>
      </w:r>
      <w:r>
        <w:rPr>
          <w:w w:val="95"/>
        </w:rPr>
        <w:t>同时废止</w:t>
      </w:r>
      <w:r>
        <w:rPr>
          <w:rFonts w:hint="eastAsia" w:ascii="MS UI Gothic" w:hAnsi="MS UI Gothic" w:eastAsia="MS UI Gothic"/>
          <w:w w:val="85"/>
        </w:rPr>
        <w:t>ꎮ</w:t>
      </w:r>
    </w:p>
    <w:p>
      <w:pPr>
        <w:pStyle w:val="6"/>
        <w:spacing w:before="8"/>
        <w:ind w:left="0" w:firstLine="0"/>
        <w:jc w:val="left"/>
        <w:rPr>
          <w:rFonts w:ascii="MS UI Gothic"/>
          <w:sz w:val="10"/>
        </w:rPr>
      </w:pPr>
    </w:p>
    <w:p>
      <w:pPr>
        <w:pStyle w:val="6"/>
        <w:spacing w:before="174"/>
        <w:ind w:left="0" w:right="126" w:firstLine="0"/>
        <w:jc w:val="right"/>
      </w:pPr>
      <w:r>
        <w:t>二</w:t>
      </w:r>
      <w:r>
        <w:rPr>
          <w:rFonts w:hint="eastAsia" w:ascii="MS UI Gothic" w:hAnsi="MS UI Gothic" w:eastAsia="MS UI Gothic"/>
        </w:rPr>
        <w:t>○○</w:t>
      </w:r>
      <w:r>
        <w:t>七年十一月三十日</w:t>
      </w:r>
    </w:p>
    <w:p>
      <w:pPr>
        <w:pStyle w:val="4"/>
        <w:ind w:left="286"/>
        <w:rPr>
          <w:rFonts w:hint="eastAsia" w:ascii="Microsoft Yi Baiti" w:eastAsia="Microsoft Yi Baiti"/>
        </w:rPr>
      </w:pPr>
      <w:r>
        <w:t xml:space="preserve">安全生产违法行为行政处罚办法 </w:t>
      </w:r>
      <w:r>
        <w:rPr>
          <w:rFonts w:hint="eastAsia" w:ascii="Microsoft Yi Baiti" w:eastAsia="Microsoft Yi Baiti"/>
        </w:rPr>
        <w:t>(</w:t>
      </w:r>
      <w:r>
        <w:rPr>
          <w:rFonts w:hint="eastAsia" w:ascii="MS UI Gothic" w:eastAsia="MS UI Gothic"/>
        </w:rPr>
        <w:t xml:space="preserve">２００７ </w:t>
      </w:r>
      <w:r>
        <w:t>年公布</w:t>
      </w:r>
      <w:r>
        <w:rPr>
          <w:rFonts w:hint="eastAsia" w:ascii="Microsoft Yi Baiti" w:eastAsia="Microsoft Yi Baiti"/>
        </w:rPr>
        <w:t>)</w:t>
      </w:r>
    </w:p>
    <w:p>
      <w:pPr>
        <w:pStyle w:val="6"/>
        <w:spacing w:before="6"/>
        <w:ind w:left="0" w:firstLine="0"/>
        <w:jc w:val="left"/>
        <w:rPr>
          <w:rFonts w:ascii="Microsoft Yi Baiti"/>
          <w:sz w:val="27"/>
        </w:rPr>
      </w:pPr>
    </w:p>
    <w:p>
      <w:pPr>
        <w:spacing w:after="0"/>
        <w:jc w:val="left"/>
        <w:rPr>
          <w:rFonts w:ascii="Microsoft Yi Baiti"/>
          <w:sz w:val="27"/>
        </w:rPr>
        <w:sectPr>
          <w:type w:val="continuous"/>
          <w:pgSz w:w="10500" w:h="14750"/>
          <w:pgMar w:top="1400" w:right="980" w:bottom="280" w:left="980" w:header="720" w:footer="720" w:gutter="0"/>
        </w:sectPr>
      </w:pPr>
    </w:p>
    <w:p>
      <w:pPr>
        <w:pStyle w:val="6"/>
        <w:spacing w:before="4"/>
        <w:ind w:left="0" w:firstLine="0"/>
        <w:jc w:val="left"/>
        <w:rPr>
          <w:rFonts w:ascii="Microsoft Yi Baiti"/>
          <w:sz w:val="23"/>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11"/>
        <w:ind w:left="0" w:firstLine="0"/>
        <w:jc w:val="left"/>
        <w:rPr>
          <w:sz w:val="16"/>
        </w:rPr>
      </w:pPr>
    </w:p>
    <w:p>
      <w:pPr>
        <w:pStyle w:val="6"/>
        <w:spacing w:line="295" w:lineRule="auto"/>
        <w:ind w:left="440"/>
        <w:rPr>
          <w:rFonts w:hint="eastAsia" w:ascii="MS UI Gothic" w:eastAsia="MS UI Gothic"/>
        </w:rPr>
      </w:pPr>
      <w:r>
        <w:t>第一条  为了制裁安全生产违法行为</w:t>
      </w:r>
      <w:r>
        <w:rPr>
          <w:rFonts w:hint="eastAsia" w:ascii="MS UI Gothic" w:eastAsia="MS UI Gothic"/>
          <w:w w:val="80"/>
        </w:rPr>
        <w:t xml:space="preserve">ꎬ </w:t>
      </w:r>
      <w:r>
        <w:t>规范安全生产行政处罚工作</w:t>
      </w:r>
      <w:r>
        <w:rPr>
          <w:rFonts w:hint="eastAsia" w:ascii="MS UI Gothic" w:eastAsia="MS UI Gothic"/>
          <w:w w:val="80"/>
        </w:rPr>
        <w:t xml:space="preserve">ꎬ </w:t>
      </w:r>
      <w:r>
        <w:t>依照行政处罚法</w:t>
      </w:r>
      <w:r>
        <w:rPr>
          <w:rFonts w:hint="eastAsia" w:ascii="MS UI Gothic" w:eastAsia="MS UI Gothic"/>
          <w:w w:val="80"/>
        </w:rPr>
        <w:t xml:space="preserve">、 </w:t>
      </w:r>
      <w:r>
        <w:t>安全生产法及其他有关法律</w:t>
      </w:r>
      <w:r>
        <w:rPr>
          <w:rFonts w:hint="eastAsia" w:ascii="MS UI Gothic" w:eastAsia="MS UI Gothic"/>
          <w:w w:val="80"/>
        </w:rPr>
        <w:t>、</w:t>
      </w:r>
      <w:r>
        <w:t>行政法规的规定</w:t>
      </w:r>
      <w:r>
        <w:rPr>
          <w:rFonts w:hint="eastAsia" w:ascii="MS UI Gothic" w:eastAsia="MS UI Gothic"/>
          <w:w w:val="80"/>
        </w:rPr>
        <w:t xml:space="preserve">ꎬ </w:t>
      </w:r>
      <w:r>
        <w:t>制定本办法</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第二条 县级以上人民政府安全生产</w:t>
      </w:r>
      <w:r>
        <w:t>监督管理部门对生产经营单位及其有关人员在生产经营活动中违反有关安全生产的</w:t>
      </w:r>
      <w:r>
        <w:rPr>
          <w:w w:val="105"/>
        </w:rPr>
        <w:t>法律</w:t>
      </w:r>
      <w:r>
        <w:rPr>
          <w:rFonts w:hint="eastAsia" w:ascii="MS UI Gothic" w:eastAsia="MS UI Gothic"/>
          <w:w w:val="80"/>
        </w:rPr>
        <w:t xml:space="preserve">、 </w:t>
      </w:r>
      <w:r>
        <w:rPr>
          <w:w w:val="105"/>
        </w:rPr>
        <w:t>行政法规</w:t>
      </w:r>
      <w:r>
        <w:rPr>
          <w:rFonts w:hint="eastAsia" w:ascii="MS UI Gothic" w:eastAsia="MS UI Gothic"/>
          <w:w w:val="80"/>
        </w:rPr>
        <w:t xml:space="preserve">、 </w:t>
      </w:r>
      <w:r>
        <w:rPr>
          <w:w w:val="105"/>
        </w:rPr>
        <w:t>部门规章</w:t>
      </w:r>
      <w:r>
        <w:rPr>
          <w:rFonts w:hint="eastAsia" w:ascii="MS UI Gothic" w:eastAsia="MS UI Gothic"/>
          <w:w w:val="80"/>
        </w:rPr>
        <w:t xml:space="preserve">、 </w:t>
      </w:r>
      <w:r>
        <w:rPr>
          <w:w w:val="105"/>
        </w:rPr>
        <w:t>国家标准</w:t>
      </w:r>
      <w:r>
        <w:rPr>
          <w:rFonts w:hint="eastAsia" w:ascii="MS UI Gothic" w:eastAsia="MS UI Gothic"/>
          <w:w w:val="80"/>
        </w:rPr>
        <w:t>、</w:t>
      </w:r>
      <w:r>
        <w:rPr>
          <w:w w:val="105"/>
        </w:rPr>
        <w:t xml:space="preserve">行业标准和规程的违法行为 </w:t>
      </w:r>
      <w:r>
        <w:rPr>
          <w:rFonts w:hint="eastAsia" w:ascii="MS UI Gothic" w:eastAsia="MS UI Gothic"/>
          <w:w w:val="150"/>
        </w:rPr>
        <w:t xml:space="preserve">( </w:t>
      </w:r>
      <w:r>
        <w:rPr>
          <w:w w:val="105"/>
        </w:rPr>
        <w:t>以下统称安全生产违法行为</w:t>
      </w:r>
      <w:r>
        <w:rPr>
          <w:rFonts w:hint="eastAsia" w:ascii="MS UI Gothic" w:eastAsia="MS UI Gothic"/>
          <w:w w:val="150"/>
        </w:rPr>
        <w:t xml:space="preserve">) </w:t>
      </w:r>
      <w:r>
        <w:rPr>
          <w:w w:val="105"/>
        </w:rPr>
        <w:t>实施行政处罚</w:t>
      </w:r>
      <w:r>
        <w:rPr>
          <w:rFonts w:hint="eastAsia" w:ascii="MS UI Gothic" w:eastAsia="MS UI Gothic"/>
          <w:w w:val="80"/>
        </w:rPr>
        <w:t xml:space="preserve">ꎬ </w:t>
      </w:r>
      <w:r>
        <w:rPr>
          <w:w w:val="105"/>
        </w:rPr>
        <w:t>适用本办法</w:t>
      </w:r>
      <w:r>
        <w:rPr>
          <w:rFonts w:hint="eastAsia" w:ascii="MS UI Gothic" w:eastAsia="MS UI Gothic"/>
          <w:w w:val="80"/>
        </w:rPr>
        <w:t>ꎮ</w:t>
      </w:r>
    </w:p>
    <w:p>
      <w:pPr>
        <w:pStyle w:val="6"/>
        <w:spacing w:line="295" w:lineRule="auto"/>
        <w:ind w:left="440" w:right="1"/>
        <w:rPr>
          <w:rFonts w:hint="eastAsia" w:ascii="MS UI Gothic" w:eastAsia="MS UI Gothic"/>
        </w:rPr>
      </w:pPr>
      <w:r>
        <w:t>煤矿安全监察机构依照本办法和煤矿</w:t>
      </w:r>
      <w:r>
        <w:rPr>
          <w:w w:val="105"/>
        </w:rPr>
        <w:t>安全监察行政处罚办法</w:t>
      </w:r>
      <w:r>
        <w:rPr>
          <w:rFonts w:hint="eastAsia" w:ascii="MS UI Gothic" w:eastAsia="MS UI Gothic"/>
          <w:w w:val="80"/>
        </w:rPr>
        <w:t xml:space="preserve">ꎬ </w:t>
      </w:r>
      <w:r>
        <w:rPr>
          <w:w w:val="105"/>
        </w:rPr>
        <w:t>对煤矿</w:t>
      </w:r>
      <w:r>
        <w:rPr>
          <w:rFonts w:hint="eastAsia" w:ascii="MS UI Gothic" w:eastAsia="MS UI Gothic"/>
          <w:w w:val="80"/>
        </w:rPr>
        <w:t xml:space="preserve">、 </w:t>
      </w:r>
      <w:r>
        <w:rPr>
          <w:w w:val="105"/>
        </w:rPr>
        <w:t>煤矿安</w:t>
      </w:r>
      <w:r>
        <w:t>全生产中介机构等生产经营单位及其有关人员的安全生产违法行为实施行政处罚</w:t>
      </w:r>
      <w:r>
        <w:rPr>
          <w:rFonts w:hint="eastAsia" w:ascii="MS UI Gothic" w:eastAsia="MS UI Gothic"/>
          <w:w w:val="80"/>
        </w:rPr>
        <w:t>ꎮ</w:t>
      </w:r>
    </w:p>
    <w:p>
      <w:pPr>
        <w:pStyle w:val="6"/>
        <w:spacing w:line="295" w:lineRule="auto"/>
        <w:ind w:left="440" w:right="1"/>
        <w:rPr>
          <w:rFonts w:hint="eastAsia" w:ascii="MS UI Gothic" w:eastAsia="MS UI Gothic"/>
        </w:rPr>
      </w:pPr>
      <w:r>
        <w:t>有关法律</w:t>
      </w:r>
      <w:r>
        <w:rPr>
          <w:rFonts w:hint="eastAsia" w:ascii="MS UI Gothic" w:eastAsia="MS UI Gothic"/>
          <w:w w:val="80"/>
        </w:rPr>
        <w:t xml:space="preserve">、 </w:t>
      </w:r>
      <w:r>
        <w:t>行政法规对安全生产违法行为行政处罚的种类</w:t>
      </w:r>
      <w:r>
        <w:rPr>
          <w:rFonts w:hint="eastAsia" w:ascii="MS UI Gothic" w:eastAsia="MS UI Gothic"/>
          <w:w w:val="80"/>
        </w:rPr>
        <w:t xml:space="preserve">、 </w:t>
      </w:r>
      <w:r>
        <w:t>幅度或者决定机关另有规定的</w:t>
      </w:r>
      <w:r>
        <w:rPr>
          <w:rFonts w:hint="eastAsia" w:ascii="MS UI Gothic" w:eastAsia="MS UI Gothic"/>
          <w:w w:val="80"/>
        </w:rPr>
        <w:t xml:space="preserve">ꎬ </w:t>
      </w:r>
      <w:r>
        <w:t>依照其规定</w:t>
      </w:r>
      <w:r>
        <w:rPr>
          <w:rFonts w:hint="eastAsia" w:ascii="MS UI Gothic" w:eastAsia="MS UI Gothic"/>
          <w:w w:val="80"/>
        </w:rPr>
        <w:t>ꎮ</w:t>
      </w:r>
    </w:p>
    <w:p>
      <w:pPr>
        <w:pStyle w:val="6"/>
        <w:spacing w:line="295" w:lineRule="auto"/>
        <w:ind w:left="440" w:right="1"/>
        <w:rPr>
          <w:rFonts w:hint="eastAsia" w:ascii="MS UI Gothic" w:eastAsia="MS UI Gothic"/>
        </w:rPr>
      </w:pPr>
      <w:r>
        <w:t>第三条 对安全生产违法行为实施行政处罚</w:t>
      </w:r>
      <w:r>
        <w:rPr>
          <w:rFonts w:hint="eastAsia" w:ascii="MS UI Gothic" w:eastAsia="MS UI Gothic"/>
          <w:w w:val="80"/>
        </w:rPr>
        <w:t xml:space="preserve">ꎬ </w:t>
      </w:r>
      <w:r>
        <w:t>应当遵循公平</w:t>
      </w:r>
      <w:r>
        <w:rPr>
          <w:rFonts w:hint="eastAsia" w:ascii="MS UI Gothic" w:eastAsia="MS UI Gothic"/>
          <w:w w:val="80"/>
        </w:rPr>
        <w:t xml:space="preserve">、 </w:t>
      </w:r>
      <w:r>
        <w:t>公正</w:t>
      </w:r>
      <w:r>
        <w:rPr>
          <w:rFonts w:hint="eastAsia" w:ascii="MS UI Gothic" w:eastAsia="MS UI Gothic"/>
          <w:w w:val="80"/>
        </w:rPr>
        <w:t xml:space="preserve">、 </w:t>
      </w:r>
      <w:r>
        <w:t>公开的原则</w:t>
      </w:r>
      <w:r>
        <w:rPr>
          <w:rFonts w:hint="eastAsia" w:ascii="MS UI Gothic" w:eastAsia="MS UI Gothic"/>
          <w:w w:val="80"/>
        </w:rPr>
        <w:t>ꎮ</w:t>
      </w:r>
    </w:p>
    <w:p>
      <w:pPr>
        <w:pStyle w:val="6"/>
        <w:spacing w:before="83" w:line="302" w:lineRule="auto"/>
        <w:ind w:left="381" w:right="126"/>
        <w:rPr>
          <w:rFonts w:hint="eastAsia" w:ascii="MS UI Gothic" w:eastAsia="MS UI Gothic"/>
        </w:rPr>
      </w:pPr>
      <w:r>
        <w:br w:type="column"/>
      </w:r>
      <w:r>
        <w:t>安全生产监督管理部门或者煤矿安全</w:t>
      </w:r>
      <w:r>
        <w:rPr>
          <w:w w:val="105"/>
        </w:rPr>
        <w:t xml:space="preserve">监察机构 </w:t>
      </w:r>
      <w:r>
        <w:rPr>
          <w:rFonts w:hint="eastAsia" w:ascii="MS UI Gothic" w:eastAsia="MS UI Gothic"/>
          <w:w w:val="150"/>
        </w:rPr>
        <w:t xml:space="preserve">( </w:t>
      </w:r>
      <w:r>
        <w:rPr>
          <w:w w:val="105"/>
        </w:rPr>
        <w:t>以下统称安全监管监察部门</w:t>
      </w:r>
      <w:r>
        <w:rPr>
          <w:rFonts w:hint="eastAsia" w:ascii="MS UI Gothic" w:eastAsia="MS UI Gothic"/>
          <w:w w:val="150"/>
        </w:rPr>
        <w:t xml:space="preserve">) </w:t>
      </w:r>
      <w:r>
        <w:t>及其行政执法人员实施行政处罚</w:t>
      </w:r>
      <w:r>
        <w:rPr>
          <w:rFonts w:hint="eastAsia" w:ascii="MS UI Gothic" w:eastAsia="MS UI Gothic"/>
          <w:w w:val="80"/>
        </w:rPr>
        <w:t xml:space="preserve">ꎬ </w:t>
      </w:r>
      <w:r>
        <w:t>必须以事实为依据</w:t>
      </w:r>
      <w:r>
        <w:rPr>
          <w:rFonts w:hint="eastAsia" w:ascii="MS UI Gothic" w:eastAsia="MS UI Gothic"/>
          <w:w w:val="80"/>
        </w:rPr>
        <w:t xml:space="preserve">ꎮ </w:t>
      </w:r>
      <w:r>
        <w:t>行政处罚应当与安全生产违</w:t>
      </w:r>
      <w:r>
        <w:rPr>
          <w:w w:val="105"/>
        </w:rPr>
        <w:t>法行为的事实</w:t>
      </w:r>
      <w:r>
        <w:rPr>
          <w:rFonts w:hint="eastAsia" w:ascii="MS UI Gothic" w:eastAsia="MS UI Gothic"/>
          <w:w w:val="80"/>
        </w:rPr>
        <w:t xml:space="preserve">、 </w:t>
      </w:r>
      <w:r>
        <w:rPr>
          <w:w w:val="105"/>
        </w:rPr>
        <w:t>性质</w:t>
      </w:r>
      <w:r>
        <w:rPr>
          <w:rFonts w:hint="eastAsia" w:ascii="MS UI Gothic" w:eastAsia="MS UI Gothic"/>
          <w:w w:val="80"/>
        </w:rPr>
        <w:t xml:space="preserve">、 </w:t>
      </w:r>
      <w:r>
        <w:rPr>
          <w:w w:val="105"/>
        </w:rPr>
        <w:t>情节以及社会危害程度相当</w:t>
      </w:r>
      <w:r>
        <w:rPr>
          <w:rFonts w:hint="eastAsia" w:ascii="MS UI Gothic" w:eastAsia="MS UI Gothic"/>
          <w:w w:val="80"/>
        </w:rPr>
        <w:t>ꎮ</w:t>
      </w:r>
    </w:p>
    <w:p>
      <w:pPr>
        <w:pStyle w:val="6"/>
        <w:spacing w:line="302" w:lineRule="auto"/>
        <w:ind w:left="381" w:right="126"/>
        <w:rPr>
          <w:rFonts w:hint="eastAsia" w:ascii="MS UI Gothic" w:eastAsia="MS UI Gothic"/>
        </w:rPr>
      </w:pPr>
      <w:r>
        <w:t>第四条 生产经营单位及其有关人员对安全监管监察部门给予的行政处罚</w:t>
      </w:r>
      <w:r>
        <w:rPr>
          <w:rFonts w:hint="eastAsia" w:ascii="MS UI Gothic" w:eastAsia="MS UI Gothic"/>
          <w:w w:val="80"/>
        </w:rPr>
        <w:t xml:space="preserve">ꎬ </w:t>
      </w:r>
      <w:r>
        <w:t>依法享有陈述权</w:t>
      </w:r>
      <w:r>
        <w:rPr>
          <w:rFonts w:hint="eastAsia" w:ascii="MS UI Gothic" w:eastAsia="MS UI Gothic"/>
          <w:w w:val="80"/>
        </w:rPr>
        <w:t xml:space="preserve">、 </w:t>
      </w:r>
      <w:r>
        <w:t>申辩权和听证权</w:t>
      </w:r>
      <w:r>
        <w:rPr>
          <w:rFonts w:hint="eastAsia" w:ascii="MS UI Gothic" w:eastAsia="MS UI Gothic"/>
          <w:w w:val="80"/>
        </w:rPr>
        <w:t xml:space="preserve">ꎻ </w:t>
      </w:r>
      <w:r>
        <w:t>对行政处罚不服的</w:t>
      </w:r>
      <w:r>
        <w:rPr>
          <w:rFonts w:hint="eastAsia" w:ascii="MS UI Gothic" w:eastAsia="MS UI Gothic"/>
          <w:w w:val="80"/>
        </w:rPr>
        <w:t xml:space="preserve">ꎬ </w:t>
      </w:r>
      <w:r>
        <w:t>有权依法申请行政复议或者提起行政诉讼</w:t>
      </w:r>
      <w:r>
        <w:rPr>
          <w:rFonts w:hint="eastAsia" w:ascii="MS UI Gothic" w:eastAsia="MS UI Gothic"/>
          <w:w w:val="80"/>
        </w:rPr>
        <w:t xml:space="preserve">ꎻ </w:t>
      </w:r>
      <w:r>
        <w:t>因违法给予行政处罚受到损害的</w:t>
      </w:r>
      <w:r>
        <w:rPr>
          <w:rFonts w:hint="eastAsia" w:ascii="MS UI Gothic" w:eastAsia="MS UI Gothic"/>
          <w:w w:val="80"/>
        </w:rPr>
        <w:t xml:space="preserve">ꎬ </w:t>
      </w:r>
      <w:r>
        <w:t>有权依法申请国家赔偿</w:t>
      </w:r>
      <w:r>
        <w:rPr>
          <w:rFonts w:hint="eastAsia" w:ascii="MS UI Gothic" w:eastAsia="MS UI Gothic"/>
          <w:w w:val="80"/>
        </w:rPr>
        <w:t>ꎮ</w:t>
      </w:r>
    </w:p>
    <w:p>
      <w:pPr>
        <w:pStyle w:val="6"/>
        <w:tabs>
          <w:tab w:val="left" w:pos="1638"/>
        </w:tabs>
        <w:spacing w:before="157"/>
        <w:ind w:left="800" w:firstLine="0"/>
        <w:jc w:val="left"/>
      </w:pPr>
      <w:r>
        <w:rPr>
          <w:spacing w:val="3"/>
        </w:rPr>
        <w:t>第二</w:t>
      </w:r>
      <w:r>
        <w:t>章</w:t>
      </w:r>
      <w:r>
        <w:tab/>
      </w:r>
      <w:r>
        <w:rPr>
          <w:spacing w:val="3"/>
        </w:rPr>
        <w:t>行政处罚的种类</w:t>
      </w:r>
      <w:r>
        <w:rPr>
          <w:rFonts w:hint="eastAsia" w:ascii="Microsoft Yi Baiti" w:eastAsia="Microsoft Yi Baiti"/>
        </w:rPr>
        <w:t>、</w:t>
      </w:r>
      <w:r>
        <w:rPr>
          <w:rFonts w:hint="eastAsia" w:ascii="Microsoft Yi Baiti" w:eastAsia="Microsoft Yi Baiti"/>
          <w:spacing w:val="20"/>
        </w:rPr>
        <w:t xml:space="preserve"> </w:t>
      </w:r>
      <w:r>
        <w:rPr>
          <w:spacing w:val="3"/>
        </w:rPr>
        <w:t>管</w:t>
      </w:r>
      <w:r>
        <w:t>辖</w:t>
      </w:r>
    </w:p>
    <w:p>
      <w:pPr>
        <w:pStyle w:val="6"/>
        <w:spacing w:before="215" w:line="312" w:lineRule="auto"/>
        <w:ind w:left="381" w:right="126"/>
        <w:rPr>
          <w:rFonts w:hint="eastAsia" w:ascii="MS UI Gothic" w:eastAsia="MS UI Gothic"/>
        </w:rPr>
      </w:pPr>
      <w:r>
        <w:rPr>
          <w:w w:val="105"/>
        </w:rPr>
        <w:t>第五条 安全生产违法行为行政处罚</w:t>
      </w:r>
      <w:r>
        <w:rPr>
          <w:w w:val="115"/>
        </w:rPr>
        <w:t>的种类</w:t>
      </w:r>
      <w:r>
        <w:rPr>
          <w:rFonts w:hint="eastAsia" w:ascii="MS UI Gothic" w:eastAsia="MS UI Gothic"/>
          <w:w w:val="235"/>
        </w:rPr>
        <w:t>:</w:t>
      </w:r>
    </w:p>
    <w:p>
      <w:pPr>
        <w:pStyle w:val="6"/>
        <w:spacing w:line="244" w:lineRule="exact"/>
        <w:ind w:left="800" w:firstLine="0"/>
        <w:jc w:val="left"/>
        <w:rPr>
          <w:rFonts w:hint="eastAsia" w:ascii="MS UI Gothic" w:eastAsia="MS UI Gothic"/>
        </w:rPr>
      </w:pPr>
      <w:r>
        <w:rPr>
          <w:rFonts w:hint="eastAsia" w:ascii="MS UI Gothic" w:eastAsia="MS UI Gothic"/>
          <w:spacing w:val="-39"/>
          <w:w w:val="140"/>
        </w:rPr>
        <w:t xml:space="preserve">( </w:t>
      </w:r>
      <w:r>
        <w:rPr>
          <w:spacing w:val="3"/>
          <w:w w:val="115"/>
        </w:rPr>
        <w:t>一</w:t>
      </w:r>
      <w:r>
        <w:rPr>
          <w:rFonts w:hint="eastAsia" w:ascii="MS UI Gothic" w:eastAsia="MS UI Gothic"/>
          <w:spacing w:val="-21"/>
          <w:w w:val="140"/>
        </w:rPr>
        <w:t xml:space="preserve">) </w:t>
      </w:r>
      <w:r>
        <w:rPr>
          <w:spacing w:val="3"/>
          <w:w w:val="115"/>
        </w:rPr>
        <w:t>警告</w:t>
      </w:r>
      <w:r>
        <w:rPr>
          <w:rFonts w:hint="eastAsia" w:ascii="MS UI Gothic" w:eastAsia="MS UI Gothic"/>
          <w:w w:val="80"/>
        </w:rPr>
        <w:t>ꎻ</w:t>
      </w:r>
    </w:p>
    <w:p>
      <w:pPr>
        <w:pStyle w:val="6"/>
        <w:spacing w:before="66"/>
        <w:ind w:left="800" w:firstLine="0"/>
        <w:jc w:val="left"/>
        <w:rPr>
          <w:rFonts w:hint="eastAsia" w:ascii="MS UI Gothic" w:eastAsia="MS UI Gothic"/>
        </w:rPr>
      </w:pPr>
      <w:r>
        <w:rPr>
          <w:rFonts w:hint="eastAsia" w:ascii="MS UI Gothic" w:eastAsia="MS UI Gothic"/>
          <w:spacing w:val="-39"/>
          <w:w w:val="140"/>
        </w:rPr>
        <w:t xml:space="preserve">( </w:t>
      </w:r>
      <w:r>
        <w:rPr>
          <w:spacing w:val="3"/>
          <w:w w:val="115"/>
        </w:rPr>
        <w:t>二</w:t>
      </w:r>
      <w:r>
        <w:rPr>
          <w:rFonts w:hint="eastAsia" w:ascii="MS UI Gothic" w:eastAsia="MS UI Gothic"/>
          <w:spacing w:val="-21"/>
          <w:w w:val="140"/>
        </w:rPr>
        <w:t xml:space="preserve">) </w:t>
      </w:r>
      <w:r>
        <w:rPr>
          <w:spacing w:val="3"/>
          <w:w w:val="115"/>
        </w:rPr>
        <w:t>罚款</w:t>
      </w:r>
      <w:r>
        <w:rPr>
          <w:rFonts w:hint="eastAsia" w:ascii="MS UI Gothic" w:eastAsia="MS UI Gothic"/>
          <w:w w:val="80"/>
        </w:rPr>
        <w:t>ꎻ</w:t>
      </w:r>
    </w:p>
    <w:p>
      <w:pPr>
        <w:pStyle w:val="6"/>
        <w:spacing w:before="66" w:line="302"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责令改正</w:t>
      </w:r>
      <w:r>
        <w:rPr>
          <w:rFonts w:hint="eastAsia" w:ascii="MS UI Gothic" w:eastAsia="MS UI Gothic"/>
          <w:w w:val="80"/>
        </w:rPr>
        <w:t xml:space="preserve">、 </w:t>
      </w:r>
      <w:r>
        <w:rPr>
          <w:w w:val="105"/>
        </w:rPr>
        <w:t>责令限期改正</w:t>
      </w:r>
      <w:r>
        <w:rPr>
          <w:rFonts w:hint="eastAsia" w:ascii="MS UI Gothic" w:eastAsia="MS UI Gothic"/>
          <w:w w:val="80"/>
        </w:rPr>
        <w:t xml:space="preserve">、 </w:t>
      </w:r>
      <w:r>
        <w:rPr>
          <w:w w:val="105"/>
        </w:rPr>
        <w:t>责令停止违法行为</w:t>
      </w:r>
      <w:r>
        <w:rPr>
          <w:rFonts w:hint="eastAsia" w:ascii="MS UI Gothic" w:eastAsia="MS UI Gothic"/>
          <w:w w:val="80"/>
        </w:rPr>
        <w:t>ꎻ</w:t>
      </w:r>
    </w:p>
    <w:p>
      <w:pPr>
        <w:pStyle w:val="6"/>
        <w:spacing w:line="302" w:lineRule="auto"/>
        <w:ind w:left="381"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没收违法所得</w:t>
      </w:r>
      <w:r>
        <w:rPr>
          <w:rFonts w:hint="eastAsia" w:ascii="MS UI Gothic" w:eastAsia="MS UI Gothic"/>
          <w:w w:val="80"/>
        </w:rPr>
        <w:t xml:space="preserve">、  </w:t>
      </w:r>
      <w:r>
        <w:rPr>
          <w:w w:val="105"/>
        </w:rPr>
        <w:t>没收非法开采的煤炭产品</w:t>
      </w:r>
      <w:r>
        <w:rPr>
          <w:rFonts w:hint="eastAsia" w:ascii="MS UI Gothic" w:eastAsia="MS UI Gothic"/>
          <w:w w:val="80"/>
        </w:rPr>
        <w:t xml:space="preserve">、 </w:t>
      </w:r>
      <w:r>
        <w:rPr>
          <w:w w:val="105"/>
        </w:rPr>
        <w:t>采掘设备</w:t>
      </w:r>
      <w:r>
        <w:rPr>
          <w:rFonts w:hint="eastAsia" w:ascii="MS UI Gothic" w:eastAsia="MS UI Gothic"/>
          <w:w w:val="80"/>
        </w:rPr>
        <w:t>ꎻ</w:t>
      </w:r>
    </w:p>
    <w:p>
      <w:pPr>
        <w:pStyle w:val="6"/>
        <w:spacing w:line="255" w:lineRule="exact"/>
        <w:ind w:left="800" w:firstLine="0"/>
        <w:jc w:val="left"/>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责令停产停业整顿</w:t>
      </w:r>
      <w:r>
        <w:rPr>
          <w:rFonts w:hint="eastAsia" w:ascii="MS UI Gothic" w:eastAsia="MS UI Gothic"/>
        </w:rPr>
        <w:t xml:space="preserve">、 </w:t>
      </w:r>
      <w:r>
        <w:rPr>
          <w:w w:val="110"/>
        </w:rPr>
        <w:t>责令停产</w:t>
      </w:r>
    </w:p>
    <w:p>
      <w:pPr>
        <w:spacing w:after="0" w:line="255"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１２８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25" o:spid="_x0000_s1425" o:spt="203" style="height:2.15pt;width:398.25pt;" coordsize="7965,43">
            <o:lock v:ext="edit"/>
            <v:line id="_x0000_s1426" o:spid="_x0000_s1426" o:spt="20" style="position:absolute;left:0;top:39;height:0;width:7965;" stroked="t" coordsize="21600,21600">
              <v:path arrowok="t"/>
              <v:fill focussize="0,0"/>
              <v:stroke weight="0.388031496062992pt" color="#231F20"/>
              <v:imagedata o:title=""/>
              <o:lock v:ext="edit"/>
            </v:line>
            <v:line id="_x0000_s1427" o:spid="_x0000_s142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jc w:val="left"/>
        <w:rPr>
          <w:rFonts w:hint="eastAsia" w:ascii="MS UI Gothic" w:eastAsia="MS UI Gothic"/>
        </w:rPr>
      </w:pPr>
      <w:r>
        <w:rPr>
          <w:spacing w:val="3"/>
        </w:rPr>
        <w:t>停业</w:t>
      </w:r>
      <w:r>
        <w:rPr>
          <w:rFonts w:hint="eastAsia" w:ascii="MS UI Gothic" w:eastAsia="MS UI Gothic"/>
          <w:spacing w:val="13"/>
        </w:rPr>
        <w:t xml:space="preserve">、 </w:t>
      </w:r>
      <w:r>
        <w:rPr>
          <w:spacing w:val="3"/>
        </w:rPr>
        <w:t>责令停止建设</w:t>
      </w:r>
      <w:r>
        <w:rPr>
          <w:rFonts w:hint="eastAsia" w:ascii="MS UI Gothic" w:eastAsia="MS UI Gothic"/>
          <w:spacing w:val="13"/>
        </w:rPr>
        <w:t xml:space="preserve">、 </w:t>
      </w:r>
      <w:r>
        <w:rPr>
          <w:spacing w:val="3"/>
        </w:rPr>
        <w:t>责令停止施工</w:t>
      </w:r>
      <w:r>
        <w:rPr>
          <w:rFonts w:hint="eastAsia" w:ascii="MS UI Gothic" w:eastAsia="MS UI Gothic"/>
          <w:w w:val="80"/>
        </w:rPr>
        <w:t>ꎻ</w:t>
      </w:r>
    </w:p>
    <w:p>
      <w:pPr>
        <w:pStyle w:val="6"/>
        <w:spacing w:before="58"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六</w:t>
      </w:r>
      <w:r>
        <w:rPr>
          <w:rFonts w:hint="eastAsia" w:ascii="MS UI Gothic" w:eastAsia="MS UI Gothic"/>
          <w:spacing w:val="-4"/>
          <w:w w:val="150"/>
        </w:rPr>
        <w:t xml:space="preserve">) </w:t>
      </w:r>
      <w:r>
        <w:rPr>
          <w:spacing w:val="5"/>
          <w:w w:val="105"/>
        </w:rPr>
        <w:t>暂扣或者吊销有关许可证</w:t>
      </w:r>
      <w:r>
        <w:rPr>
          <w:rFonts w:hint="eastAsia" w:ascii="MS UI Gothic" w:eastAsia="MS UI Gothic"/>
          <w:spacing w:val="13"/>
          <w:w w:val="80"/>
        </w:rPr>
        <w:t xml:space="preserve">ꎬ </w:t>
      </w:r>
      <w:r>
        <w:rPr>
          <w:w w:val="105"/>
        </w:rPr>
        <w:t>暂</w:t>
      </w:r>
      <w:r>
        <w:rPr>
          <w:spacing w:val="3"/>
          <w:w w:val="105"/>
        </w:rPr>
        <w:t>停或者撤销有关执业资格</w:t>
      </w:r>
      <w:r>
        <w:rPr>
          <w:rFonts w:hint="eastAsia" w:ascii="MS UI Gothic" w:eastAsia="MS UI Gothic"/>
          <w:spacing w:val="13"/>
          <w:w w:val="80"/>
        </w:rPr>
        <w:t xml:space="preserve">、 </w:t>
      </w:r>
      <w:r>
        <w:rPr>
          <w:spacing w:val="3"/>
          <w:w w:val="105"/>
        </w:rPr>
        <w:t>岗位证书</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spacing w:val="-39"/>
          <w:w w:val="140"/>
        </w:rPr>
        <w:t xml:space="preserve">( </w:t>
      </w:r>
      <w:r>
        <w:rPr>
          <w:spacing w:val="3"/>
          <w:w w:val="115"/>
        </w:rPr>
        <w:t>七</w:t>
      </w:r>
      <w:r>
        <w:rPr>
          <w:rFonts w:hint="eastAsia" w:ascii="MS UI Gothic" w:eastAsia="MS UI Gothic"/>
          <w:spacing w:val="-21"/>
          <w:w w:val="140"/>
        </w:rPr>
        <w:t xml:space="preserve">) </w:t>
      </w:r>
      <w:r>
        <w:rPr>
          <w:spacing w:val="3"/>
          <w:w w:val="115"/>
        </w:rPr>
        <w:t>关闭</w:t>
      </w:r>
      <w:r>
        <w:rPr>
          <w:rFonts w:hint="eastAsia" w:ascii="MS UI Gothic" w:eastAsia="MS UI Gothic"/>
          <w:w w:val="80"/>
        </w:rPr>
        <w:t>ꎻ</w:t>
      </w:r>
    </w:p>
    <w:p>
      <w:pPr>
        <w:pStyle w:val="6"/>
        <w:spacing w:before="58"/>
        <w:ind w:left="543" w:firstLine="0"/>
        <w:jc w:val="left"/>
        <w:rPr>
          <w:rFonts w:hint="eastAsia" w:ascii="MS UI Gothic" w:eastAsia="MS UI Gothic"/>
        </w:rPr>
      </w:pPr>
      <w:r>
        <w:rPr>
          <w:rFonts w:hint="eastAsia" w:ascii="MS UI Gothic" w:eastAsia="MS UI Gothic"/>
          <w:spacing w:val="-39"/>
          <w:w w:val="140"/>
        </w:rPr>
        <w:t xml:space="preserve">( </w:t>
      </w:r>
      <w:r>
        <w:rPr>
          <w:spacing w:val="3"/>
          <w:w w:val="115"/>
        </w:rPr>
        <w:t>八</w:t>
      </w:r>
      <w:r>
        <w:rPr>
          <w:rFonts w:hint="eastAsia" w:ascii="MS UI Gothic" w:eastAsia="MS UI Gothic"/>
          <w:spacing w:val="-21"/>
          <w:w w:val="140"/>
        </w:rPr>
        <w:t xml:space="preserve">) </w:t>
      </w:r>
      <w:r>
        <w:rPr>
          <w:spacing w:val="3"/>
          <w:w w:val="115"/>
        </w:rPr>
        <w:t>拘留</w:t>
      </w:r>
      <w:r>
        <w:rPr>
          <w:rFonts w:hint="eastAsia" w:ascii="MS UI Gothic" w:eastAsia="MS UI Gothic"/>
          <w:w w:val="80"/>
        </w:rPr>
        <w:t>ꎻ</w:t>
      </w:r>
    </w:p>
    <w:p>
      <w:pPr>
        <w:pStyle w:val="6"/>
        <w:spacing w:before="58" w:line="295" w:lineRule="auto"/>
        <w:ind w:right="39"/>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安全生产法律</w:t>
      </w:r>
      <w:r>
        <w:rPr>
          <w:rFonts w:hint="eastAsia" w:ascii="MS UI Gothic" w:eastAsia="MS UI Gothic"/>
          <w:w w:val="80"/>
        </w:rPr>
        <w:t xml:space="preserve">、  </w:t>
      </w:r>
      <w:r>
        <w:rPr>
          <w:w w:val="105"/>
        </w:rPr>
        <w:t>行政法规规定的其他行政处罚</w:t>
      </w:r>
      <w:r>
        <w:rPr>
          <w:rFonts w:hint="eastAsia" w:ascii="MS UI Gothic" w:eastAsia="MS UI Gothic"/>
          <w:w w:val="80"/>
        </w:rPr>
        <w:t>ꎮ</w:t>
      </w:r>
    </w:p>
    <w:p>
      <w:pPr>
        <w:pStyle w:val="6"/>
        <w:spacing w:line="295" w:lineRule="auto"/>
        <w:ind w:right="38"/>
        <w:rPr>
          <w:rFonts w:hint="eastAsia" w:ascii="MS UI Gothic" w:eastAsia="MS UI Gothic"/>
        </w:rPr>
      </w:pPr>
      <w:r>
        <w:t>法律</w:t>
      </w:r>
      <w:r>
        <w:rPr>
          <w:rFonts w:hint="eastAsia" w:ascii="MS UI Gothic" w:eastAsia="MS UI Gothic"/>
          <w:w w:val="80"/>
        </w:rPr>
        <w:t xml:space="preserve">、 </w:t>
      </w:r>
      <w:r>
        <w:t>行政法规将前款的责令改正</w:t>
      </w:r>
      <w:r>
        <w:rPr>
          <w:rFonts w:hint="eastAsia" w:ascii="MS UI Gothic" w:eastAsia="MS UI Gothic"/>
          <w:w w:val="80"/>
        </w:rPr>
        <w:t>、</w:t>
      </w:r>
      <w:r>
        <w:t>责令限期改正</w:t>
      </w:r>
      <w:r>
        <w:rPr>
          <w:rFonts w:hint="eastAsia" w:ascii="MS UI Gothic" w:eastAsia="MS UI Gothic"/>
          <w:w w:val="80"/>
        </w:rPr>
        <w:t xml:space="preserve">、 </w:t>
      </w:r>
      <w:r>
        <w:t>责令停止违法行为规定为现场处理措施的除外</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第六条 县级以上安全监管监察部门</w:t>
      </w:r>
      <w:r>
        <w:t>应当按照本章的规定</w:t>
      </w:r>
      <w:r>
        <w:rPr>
          <w:rFonts w:hint="eastAsia" w:ascii="MS UI Gothic" w:eastAsia="MS UI Gothic"/>
          <w:w w:val="80"/>
        </w:rPr>
        <w:t xml:space="preserve">ꎬ </w:t>
      </w:r>
      <w:r>
        <w:t>在各自的职责范围内对安全生产违法行为行政处罚行使管</w:t>
      </w:r>
      <w:r>
        <w:rPr>
          <w:w w:val="105"/>
        </w:rPr>
        <w:t>辖权</w:t>
      </w:r>
      <w:r>
        <w:rPr>
          <w:rFonts w:hint="eastAsia" w:ascii="MS UI Gothic" w:eastAsia="MS UI Gothic"/>
          <w:w w:val="80"/>
        </w:rPr>
        <w:t>ꎮ</w:t>
      </w:r>
    </w:p>
    <w:p>
      <w:pPr>
        <w:pStyle w:val="6"/>
        <w:spacing w:line="295" w:lineRule="auto"/>
        <w:ind w:right="39"/>
        <w:rPr>
          <w:rFonts w:hint="eastAsia" w:ascii="MS UI Gothic" w:eastAsia="MS UI Gothic"/>
        </w:rPr>
      </w:pPr>
      <w:r>
        <w:t>安全生产违法行为的行政处罚</w:t>
      </w:r>
      <w:r>
        <w:rPr>
          <w:rFonts w:hint="eastAsia" w:ascii="MS UI Gothic" w:eastAsia="MS UI Gothic"/>
          <w:w w:val="80"/>
        </w:rPr>
        <w:t xml:space="preserve">ꎬ </w:t>
      </w:r>
      <w:r>
        <w:t>由安全生产违法行为发生地的县级以上安全监管监察部门管辖</w:t>
      </w:r>
      <w:r>
        <w:rPr>
          <w:rFonts w:hint="eastAsia" w:ascii="MS UI Gothic" w:eastAsia="MS UI Gothic"/>
          <w:w w:val="80"/>
        </w:rPr>
        <w:t xml:space="preserve">ꎮ </w:t>
      </w:r>
      <w:r>
        <w:t>中央企业及其所属企</w:t>
      </w:r>
      <w:r>
        <w:rPr>
          <w:w w:val="105"/>
        </w:rPr>
        <w:t>业</w:t>
      </w:r>
      <w:r>
        <w:rPr>
          <w:rFonts w:hint="eastAsia" w:ascii="MS UI Gothic" w:eastAsia="MS UI Gothic"/>
          <w:w w:val="80"/>
        </w:rPr>
        <w:t xml:space="preserve">、 </w:t>
      </w:r>
      <w:r>
        <w:rPr>
          <w:w w:val="105"/>
        </w:rPr>
        <w:t>有关人员的安全生产违法行为的行政</w:t>
      </w:r>
      <w:r>
        <w:t>处罚</w:t>
      </w:r>
      <w:r>
        <w:rPr>
          <w:rFonts w:hint="eastAsia" w:ascii="MS UI Gothic" w:eastAsia="MS UI Gothic"/>
          <w:w w:val="80"/>
        </w:rPr>
        <w:t xml:space="preserve">ꎬ </w:t>
      </w:r>
      <w:r>
        <w:t>由安全生产违法行为发生地的设区</w:t>
      </w:r>
      <w:r>
        <w:rPr>
          <w:w w:val="105"/>
        </w:rPr>
        <w:t>的市级以上安全监管监察部门管辖</w:t>
      </w:r>
      <w:r>
        <w:rPr>
          <w:rFonts w:hint="eastAsia" w:ascii="MS UI Gothic" w:eastAsia="MS UI Gothic"/>
          <w:w w:val="80"/>
        </w:rPr>
        <w:t>ꎮ</w:t>
      </w:r>
    </w:p>
    <w:p>
      <w:pPr>
        <w:pStyle w:val="6"/>
        <w:spacing w:line="295" w:lineRule="auto"/>
        <w:ind w:right="39"/>
        <w:rPr>
          <w:rFonts w:hint="eastAsia" w:ascii="MS UI Gothic" w:eastAsia="MS UI Gothic"/>
        </w:rPr>
      </w:pPr>
      <w:r>
        <w:t>暂扣</w:t>
      </w:r>
      <w:r>
        <w:rPr>
          <w:rFonts w:hint="eastAsia" w:ascii="MS UI Gothic" w:eastAsia="MS UI Gothic"/>
          <w:w w:val="80"/>
        </w:rPr>
        <w:t xml:space="preserve">、 </w:t>
      </w:r>
      <w:r>
        <w:t>吊销有关许可证和暂停</w:t>
      </w:r>
      <w:r>
        <w:rPr>
          <w:rFonts w:hint="eastAsia" w:ascii="MS UI Gothic" w:eastAsia="MS UI Gothic"/>
          <w:w w:val="80"/>
        </w:rPr>
        <w:t xml:space="preserve">、 </w:t>
      </w:r>
      <w:r>
        <w:t>撤销有关执业资格</w:t>
      </w:r>
      <w:r>
        <w:rPr>
          <w:rFonts w:hint="eastAsia" w:ascii="MS UI Gothic" w:eastAsia="MS UI Gothic"/>
          <w:w w:val="80"/>
        </w:rPr>
        <w:t xml:space="preserve">、 </w:t>
      </w:r>
      <w:r>
        <w:t>岗位证书的行政处罚</w:t>
      </w:r>
      <w:r>
        <w:rPr>
          <w:rFonts w:hint="eastAsia" w:ascii="MS UI Gothic" w:eastAsia="MS UI Gothic"/>
          <w:w w:val="80"/>
        </w:rPr>
        <w:t xml:space="preserve">ꎬ </w:t>
      </w:r>
      <w:r>
        <w:t>由发证机关决定</w:t>
      </w:r>
      <w:r>
        <w:rPr>
          <w:rFonts w:hint="eastAsia" w:ascii="MS UI Gothic" w:eastAsia="MS UI Gothic"/>
          <w:w w:val="80"/>
        </w:rPr>
        <w:t xml:space="preserve">ꎮ </w:t>
      </w:r>
      <w:r>
        <w:t>其中</w:t>
      </w:r>
      <w:r>
        <w:rPr>
          <w:rFonts w:hint="eastAsia" w:ascii="MS UI Gothic" w:eastAsia="MS UI Gothic"/>
          <w:w w:val="80"/>
        </w:rPr>
        <w:t xml:space="preserve">ꎬ </w:t>
      </w:r>
      <w:r>
        <w:t>暂扣有关许可证和暂停有关执业资格</w:t>
      </w:r>
      <w:r>
        <w:rPr>
          <w:rFonts w:hint="eastAsia" w:ascii="MS UI Gothic" w:eastAsia="MS UI Gothic"/>
          <w:w w:val="80"/>
        </w:rPr>
        <w:t xml:space="preserve">、 </w:t>
      </w:r>
      <w:r>
        <w:t xml:space="preserve">岗位证书的期限一般不得超过 </w:t>
      </w:r>
      <w:r>
        <w:rPr>
          <w:rFonts w:hint="eastAsia" w:ascii="MS UI Gothic" w:eastAsia="MS UI Gothic"/>
          <w:w w:val="80"/>
        </w:rPr>
        <w:t xml:space="preserve">６ </w:t>
      </w:r>
      <w:r>
        <w:t>个月</w:t>
      </w:r>
      <w:r>
        <w:rPr>
          <w:rFonts w:hint="eastAsia" w:ascii="MS UI Gothic" w:eastAsia="MS UI Gothic"/>
          <w:w w:val="80"/>
        </w:rPr>
        <w:t xml:space="preserve">ꎻ </w:t>
      </w:r>
      <w:r>
        <w:t>法律</w:t>
      </w:r>
      <w:r>
        <w:rPr>
          <w:rFonts w:hint="eastAsia" w:ascii="MS UI Gothic" w:eastAsia="MS UI Gothic"/>
          <w:w w:val="80"/>
        </w:rPr>
        <w:t xml:space="preserve">、 </w:t>
      </w:r>
      <w:r>
        <w:t>行政法规另有规定的</w:t>
      </w:r>
      <w:r>
        <w:rPr>
          <w:rFonts w:hint="eastAsia" w:ascii="MS UI Gothic" w:eastAsia="MS UI Gothic"/>
          <w:w w:val="80"/>
        </w:rPr>
        <w:t xml:space="preserve">ꎬ </w:t>
      </w:r>
      <w:r>
        <w:t>依照其规定</w:t>
      </w:r>
      <w:r>
        <w:rPr>
          <w:rFonts w:hint="eastAsia" w:ascii="MS UI Gothic" w:eastAsia="MS UI Gothic"/>
          <w:w w:val="80"/>
        </w:rPr>
        <w:t>ꎮ</w:t>
      </w:r>
    </w:p>
    <w:p>
      <w:pPr>
        <w:pStyle w:val="6"/>
        <w:spacing w:line="295" w:lineRule="auto"/>
        <w:ind w:right="39"/>
        <w:rPr>
          <w:rFonts w:hint="eastAsia" w:ascii="MS UI Gothic" w:eastAsia="MS UI Gothic"/>
        </w:rPr>
      </w:pPr>
      <w:r>
        <w:t>给予关闭的行政处罚</w:t>
      </w:r>
      <w:r>
        <w:rPr>
          <w:rFonts w:hint="eastAsia" w:ascii="MS UI Gothic" w:eastAsia="MS UI Gothic"/>
          <w:w w:val="80"/>
        </w:rPr>
        <w:t xml:space="preserve">ꎬ </w:t>
      </w:r>
      <w:r>
        <w:t>由县级以上安全监管监察部门报请县级以上人民政府按</w:t>
      </w:r>
      <w:r>
        <w:rPr>
          <w:w w:val="105"/>
        </w:rPr>
        <w:t>照国务院规定的权限决定</w:t>
      </w:r>
      <w:r>
        <w:rPr>
          <w:rFonts w:hint="eastAsia" w:ascii="MS UI Gothic" w:eastAsia="MS UI Gothic"/>
          <w:w w:val="80"/>
        </w:rPr>
        <w:t>ꎮ</w:t>
      </w:r>
    </w:p>
    <w:p>
      <w:pPr>
        <w:pStyle w:val="6"/>
        <w:spacing w:line="295" w:lineRule="auto"/>
        <w:ind w:right="39"/>
        <w:rPr>
          <w:rFonts w:hint="eastAsia" w:ascii="MS UI Gothic" w:eastAsia="MS UI Gothic"/>
        </w:rPr>
      </w:pPr>
      <w:r>
        <w:t>给予拘留的行政处罚</w:t>
      </w:r>
      <w:r>
        <w:rPr>
          <w:rFonts w:hint="eastAsia" w:ascii="MS UI Gothic" w:eastAsia="MS UI Gothic"/>
          <w:w w:val="80"/>
        </w:rPr>
        <w:t xml:space="preserve">ꎬ </w:t>
      </w:r>
      <w:r>
        <w:t>由县级以上安全监管监察部门建议公安机关依照治安管</w:t>
      </w:r>
      <w:r>
        <w:rPr>
          <w:w w:val="105"/>
        </w:rPr>
        <w:t>理处罚法的规定决定</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第七条 两个以上安全监管监察部门</w:t>
      </w:r>
      <w:r>
        <w:t>因行政处罚管辖权发生争议的</w:t>
      </w:r>
      <w:r>
        <w:rPr>
          <w:rFonts w:hint="eastAsia" w:ascii="MS UI Gothic" w:eastAsia="MS UI Gothic"/>
          <w:w w:val="80"/>
        </w:rPr>
        <w:t xml:space="preserve">ꎬ </w:t>
      </w:r>
      <w:r>
        <w:t>由其共同</w:t>
      </w:r>
      <w:r>
        <w:rPr>
          <w:w w:val="105"/>
        </w:rPr>
        <w:t>的上一级安全监管监察部门指定管辖</w:t>
      </w:r>
      <w:r>
        <w:rPr>
          <w:rFonts w:hint="eastAsia" w:ascii="MS UI Gothic" w:eastAsia="MS UI Gothic"/>
          <w:w w:val="80"/>
        </w:rPr>
        <w:t>ꎮ</w:t>
      </w:r>
    </w:p>
    <w:p>
      <w:pPr>
        <w:pStyle w:val="6"/>
        <w:spacing w:line="295" w:lineRule="auto"/>
        <w:ind w:right="38"/>
        <w:rPr>
          <w:rFonts w:hint="eastAsia" w:ascii="MS UI Gothic" w:eastAsia="MS UI Gothic"/>
        </w:rPr>
      </w:pPr>
      <w:r>
        <w:t>第八条 对报告或者举报的安全生产违法行为</w:t>
      </w:r>
      <w:r>
        <w:rPr>
          <w:rFonts w:hint="eastAsia" w:ascii="MS UI Gothic" w:eastAsia="MS UI Gothic"/>
          <w:w w:val="80"/>
        </w:rPr>
        <w:t xml:space="preserve">ꎬ </w:t>
      </w:r>
      <w:r>
        <w:t>安全监管监察部门应当受理</w:t>
      </w:r>
      <w:r>
        <w:rPr>
          <w:rFonts w:hint="eastAsia" w:ascii="MS UI Gothic" w:eastAsia="MS UI Gothic"/>
          <w:w w:val="80"/>
        </w:rPr>
        <w:t>ꎻ</w:t>
      </w:r>
      <w:r>
        <w:t>发现不属于自己管辖的</w:t>
      </w:r>
      <w:r>
        <w:rPr>
          <w:rFonts w:hint="eastAsia" w:ascii="MS UI Gothic" w:eastAsia="MS UI Gothic"/>
          <w:w w:val="80"/>
        </w:rPr>
        <w:t xml:space="preserve">ꎬ </w:t>
      </w:r>
      <w:r>
        <w:t>应当及时移送有管辖权的部门</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t>受移送的安全监管监察部门对管辖权有异议的</w:t>
      </w:r>
      <w:r>
        <w:rPr>
          <w:rFonts w:hint="eastAsia" w:ascii="MS UI Gothic" w:eastAsia="MS UI Gothic"/>
          <w:w w:val="80"/>
        </w:rPr>
        <w:t xml:space="preserve">ꎬ </w:t>
      </w:r>
      <w:r>
        <w:t>应当报请共同的上一级安全监</w:t>
      </w:r>
      <w:r>
        <w:rPr>
          <w:w w:val="105"/>
        </w:rPr>
        <w:t>管监察部门指定管辖</w:t>
      </w:r>
      <w:r>
        <w:rPr>
          <w:rFonts w:hint="eastAsia" w:ascii="MS UI Gothic" w:eastAsia="MS UI Gothic"/>
          <w:w w:val="80"/>
        </w:rPr>
        <w:t>ꎮ</w:t>
      </w:r>
    </w:p>
    <w:p>
      <w:pPr>
        <w:pStyle w:val="6"/>
        <w:spacing w:line="295" w:lineRule="auto"/>
        <w:ind w:right="442"/>
        <w:rPr>
          <w:rFonts w:hint="eastAsia" w:ascii="MS UI Gothic" w:eastAsia="MS UI Gothic"/>
        </w:rPr>
      </w:pPr>
      <w:r>
        <w:t>第九条 安全生产违法行为构成犯罪的</w:t>
      </w:r>
      <w:r>
        <w:rPr>
          <w:rFonts w:hint="eastAsia" w:ascii="MS UI Gothic" w:eastAsia="MS UI Gothic"/>
          <w:w w:val="80"/>
        </w:rPr>
        <w:t xml:space="preserve">ꎬ </w:t>
      </w:r>
      <w:r>
        <w:t>安全监管监察部门应当将案件移送司法机关</w:t>
      </w:r>
      <w:r>
        <w:rPr>
          <w:rFonts w:hint="eastAsia" w:ascii="MS UI Gothic" w:eastAsia="MS UI Gothic"/>
          <w:w w:val="80"/>
        </w:rPr>
        <w:t xml:space="preserve">ꎬ </w:t>
      </w:r>
      <w:r>
        <w:t>依法追究刑事责任</w:t>
      </w:r>
      <w:r>
        <w:rPr>
          <w:rFonts w:hint="eastAsia" w:ascii="MS UI Gothic" w:eastAsia="MS UI Gothic"/>
          <w:w w:val="80"/>
        </w:rPr>
        <w:t xml:space="preserve">ꎻ </w:t>
      </w:r>
      <w:r>
        <w:t>尚不够刑事处罚但依法应当给予行政处罚的</w:t>
      </w:r>
      <w:r>
        <w:rPr>
          <w:rFonts w:hint="eastAsia" w:ascii="MS UI Gothic" w:eastAsia="MS UI Gothic"/>
          <w:w w:val="80"/>
        </w:rPr>
        <w:t xml:space="preserve">ꎬ </w:t>
      </w:r>
      <w:r>
        <w:t>由安全监管监察部门管辖</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第十条 上级安全监管监察部门可以</w:t>
      </w:r>
      <w:r>
        <w:t>直接查处下级安全监管监察部门管辖的案件</w:t>
      </w:r>
      <w:r>
        <w:rPr>
          <w:rFonts w:hint="eastAsia" w:ascii="MS UI Gothic" w:eastAsia="MS UI Gothic"/>
          <w:w w:val="80"/>
        </w:rPr>
        <w:t xml:space="preserve">ꎬ </w:t>
      </w:r>
      <w:r>
        <w:t>也可以将自己管辖的案件交由下级安</w:t>
      </w:r>
      <w:r>
        <w:rPr>
          <w:w w:val="105"/>
        </w:rPr>
        <w:t>全监管监察部门管辖</w:t>
      </w:r>
      <w:r>
        <w:rPr>
          <w:rFonts w:hint="eastAsia" w:ascii="MS UI Gothic" w:eastAsia="MS UI Gothic"/>
          <w:w w:val="80"/>
        </w:rPr>
        <w:t>ꎮ</w:t>
      </w:r>
    </w:p>
    <w:p>
      <w:pPr>
        <w:pStyle w:val="6"/>
        <w:spacing w:line="295" w:lineRule="auto"/>
        <w:ind w:right="440"/>
        <w:rPr>
          <w:rFonts w:hint="eastAsia" w:ascii="MS UI Gothic" w:eastAsia="MS UI Gothic"/>
        </w:rPr>
      </w:pPr>
      <w:r>
        <w:t>下级安全监管监察部门可以将重大</w:t>
      </w:r>
      <w:r>
        <w:rPr>
          <w:rFonts w:hint="eastAsia" w:ascii="MS UI Gothic" w:eastAsia="MS UI Gothic"/>
          <w:w w:val="80"/>
        </w:rPr>
        <w:t>、</w:t>
      </w:r>
      <w:r>
        <w:t>疑难案件报请上级安全监管监察部门</w:t>
      </w:r>
      <w:r>
        <w:rPr>
          <w:w w:val="105"/>
        </w:rPr>
        <w:t>管辖</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第十一条 上级安全监管监察部门有</w:t>
      </w:r>
      <w:r>
        <w:t>权对下级安全监管监察部门违法或者不适</w:t>
      </w:r>
      <w:r>
        <w:rPr>
          <w:w w:val="105"/>
        </w:rPr>
        <w:t>当的行政处罚予以纠正或者撤销</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第十二条 安全监管监察部门根据需</w:t>
      </w:r>
      <w:r>
        <w:t>要</w:t>
      </w:r>
      <w:r>
        <w:rPr>
          <w:rFonts w:hint="eastAsia" w:ascii="MS UI Gothic" w:eastAsia="MS UI Gothic"/>
          <w:w w:val="80"/>
        </w:rPr>
        <w:t xml:space="preserve">ꎬ </w:t>
      </w:r>
      <w:r>
        <w:t>可以在其法定职权范围内委托符合行政处罚法第十九条规定条件的组织或者乡</w:t>
      </w:r>
      <w:r>
        <w:rPr>
          <w:w w:val="105"/>
        </w:rPr>
        <w:t>镇人民政府</w:t>
      </w:r>
      <w:r>
        <w:rPr>
          <w:rFonts w:hint="eastAsia" w:ascii="MS UI Gothic" w:eastAsia="MS UI Gothic"/>
          <w:w w:val="80"/>
        </w:rPr>
        <w:t xml:space="preserve">、 </w:t>
      </w:r>
      <w:r>
        <w:rPr>
          <w:w w:val="105"/>
        </w:rPr>
        <w:t>城市街道办事处设立的安全</w:t>
      </w:r>
      <w:r>
        <w:t>生产监督管理机构实施行政处罚</w:t>
      </w:r>
      <w:r>
        <w:rPr>
          <w:rFonts w:hint="eastAsia" w:ascii="MS UI Gothic" w:eastAsia="MS UI Gothic"/>
          <w:w w:val="80"/>
        </w:rPr>
        <w:t xml:space="preserve">ꎮ </w:t>
      </w:r>
      <w:r>
        <w:t>受委托的单位在委托范围内</w:t>
      </w:r>
      <w:r>
        <w:rPr>
          <w:rFonts w:hint="eastAsia" w:ascii="MS UI Gothic" w:eastAsia="MS UI Gothic"/>
          <w:w w:val="80"/>
        </w:rPr>
        <w:t xml:space="preserve">ꎬ </w:t>
      </w:r>
      <w:r>
        <w:t>以委托的安全监管</w:t>
      </w:r>
      <w:r>
        <w:rPr>
          <w:w w:val="105"/>
        </w:rPr>
        <w:t>监察部门名义实施行政处罚</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委托的安全监管监察部门应当监督检</w:t>
      </w:r>
      <w:r>
        <w:rPr>
          <w:spacing w:val="3"/>
        </w:rPr>
        <w:t>查受委托的单位实施行政处罚</w:t>
      </w:r>
      <w:r>
        <w:rPr>
          <w:rFonts w:hint="eastAsia" w:ascii="MS UI Gothic" w:eastAsia="MS UI Gothic"/>
          <w:spacing w:val="20"/>
          <w:w w:val="80"/>
        </w:rPr>
        <w:t xml:space="preserve">ꎬ </w:t>
      </w:r>
      <w:r>
        <w:rPr>
          <w:spacing w:val="2"/>
        </w:rPr>
        <w:t>并对其实</w:t>
      </w:r>
      <w:r>
        <w:rPr>
          <w:spacing w:val="3"/>
          <w:w w:val="105"/>
        </w:rPr>
        <w:t>施行政处罚的后果承担法律责任</w:t>
      </w:r>
      <w:r>
        <w:rPr>
          <w:rFonts w:hint="eastAsia" w:ascii="MS UI Gothic" w:eastAsia="MS UI Gothic"/>
          <w:w w:val="80"/>
        </w:rPr>
        <w:t>ꎮ</w:t>
      </w:r>
    </w:p>
    <w:p>
      <w:pPr>
        <w:pStyle w:val="6"/>
        <w:tabs>
          <w:tab w:val="left" w:pos="1696"/>
        </w:tabs>
        <w:spacing w:before="135"/>
        <w:ind w:left="858" w:firstLine="0"/>
        <w:jc w:val="left"/>
      </w:pPr>
      <w:r>
        <w:rPr>
          <w:spacing w:val="3"/>
          <w:w w:val="105"/>
        </w:rPr>
        <w:t>第三</w:t>
      </w:r>
      <w:r>
        <w:rPr>
          <w:w w:val="105"/>
        </w:rPr>
        <w:t>章</w:t>
      </w:r>
      <w:r>
        <w:rPr>
          <w:w w:val="105"/>
        </w:rPr>
        <w:tab/>
      </w:r>
      <w:r>
        <w:rPr>
          <w:spacing w:val="3"/>
        </w:rPr>
        <w:t>行政处罚的程</w:t>
      </w:r>
      <w:r>
        <w:t>序</w:t>
      </w:r>
    </w:p>
    <w:p>
      <w:pPr>
        <w:pStyle w:val="6"/>
        <w:spacing w:before="215" w:line="295" w:lineRule="auto"/>
        <w:ind w:right="442"/>
        <w:rPr>
          <w:rFonts w:hint="eastAsia" w:ascii="MS UI Gothic" w:eastAsia="MS UI Gothic"/>
        </w:rPr>
      </w:pPr>
      <w:r>
        <w:rPr>
          <w:w w:val="105"/>
        </w:rPr>
        <w:t>第十三条 安全生产行政执法人员在</w:t>
      </w:r>
      <w:r>
        <w:t>执行公务时</w:t>
      </w:r>
      <w:r>
        <w:rPr>
          <w:rFonts w:hint="eastAsia" w:ascii="MS UI Gothic" w:eastAsia="MS UI Gothic"/>
          <w:w w:val="80"/>
        </w:rPr>
        <w:t xml:space="preserve">ꎬ </w:t>
      </w:r>
      <w:r>
        <w:t>必须出示省级以上安全生产监督管理部门或者县级以上地方人民政府统一制作的有效行政执法证件</w:t>
      </w:r>
      <w:r>
        <w:rPr>
          <w:rFonts w:hint="eastAsia" w:ascii="MS UI Gothic" w:eastAsia="MS UI Gothic"/>
          <w:w w:val="80"/>
        </w:rPr>
        <w:t xml:space="preserve">ꎮ </w:t>
      </w:r>
      <w:r>
        <w:t>其中对煤矿进行安全监察</w:t>
      </w:r>
      <w:r>
        <w:rPr>
          <w:rFonts w:hint="eastAsia" w:ascii="MS UI Gothic" w:eastAsia="MS UI Gothic"/>
          <w:w w:val="80"/>
        </w:rPr>
        <w:t xml:space="preserve">ꎬ </w:t>
      </w:r>
      <w:r>
        <w:t>必须出示国家安全生产监督管理总局统一制作的煤矿安全监察</w:t>
      </w:r>
      <w:r>
        <w:rPr>
          <w:w w:val="105"/>
        </w:rPr>
        <w:t>员证</w:t>
      </w:r>
      <w:r>
        <w:rPr>
          <w:rFonts w:hint="eastAsia" w:ascii="MS UI Gothic" w:eastAsia="MS UI Gothic"/>
          <w:w w:val="80"/>
        </w:rPr>
        <w:t>ꎮ</w:t>
      </w:r>
    </w:p>
    <w:p>
      <w:pPr>
        <w:pStyle w:val="6"/>
        <w:spacing w:line="295" w:lineRule="auto"/>
        <w:ind w:right="442"/>
      </w:pPr>
      <w:r>
        <w:rPr>
          <w:w w:val="105"/>
        </w:rPr>
        <w:t>第十四条 安全监管监察部门及其行</w:t>
      </w:r>
      <w:r>
        <w:t>政执法人员在监督检查时发现生产经营单</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１２９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28" o:spid="_x0000_s1428" o:spt="203" style="height:2.15pt;width:398.25pt;" coordsize="7965,43">
            <o:lock v:ext="edit"/>
            <v:line id="_x0000_s1429" o:spid="_x0000_s1429" o:spt="20" style="position:absolute;left:0;top:39;height:0;width:7965;" stroked="t" coordsize="21600,21600">
              <v:path arrowok="t"/>
              <v:fill focussize="0,0"/>
              <v:stroke weight="0.388031496062992pt" color="#231F20"/>
              <v:imagedata o:title=""/>
              <o:lock v:ext="edit"/>
            </v:line>
            <v:line id="_x0000_s1430" o:spid="_x0000_s14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位存在事故隐患的</w:t>
      </w:r>
      <w:r>
        <w:rPr>
          <w:rFonts w:hint="eastAsia" w:ascii="MS UI Gothic" w:eastAsia="MS UI Gothic"/>
          <w:w w:val="80"/>
        </w:rPr>
        <w:t xml:space="preserve">ꎬ </w:t>
      </w:r>
      <w:r>
        <w:t>应当按照下列规定采</w:t>
      </w:r>
      <w:r>
        <w:rPr>
          <w:w w:val="110"/>
        </w:rPr>
        <w:t>取现场处理措施</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能够立即排除的</w:t>
      </w:r>
      <w:r>
        <w:rPr>
          <w:rFonts w:hint="eastAsia" w:ascii="MS UI Gothic" w:eastAsia="MS UI Gothic"/>
          <w:w w:val="80"/>
        </w:rPr>
        <w:t xml:space="preserve">ꎬ </w:t>
      </w:r>
      <w:r>
        <w:rPr>
          <w:w w:val="105"/>
        </w:rPr>
        <w:t>应当责令立即排除</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重大事故隐患排除前或者排除</w:t>
      </w:r>
      <w:r>
        <w:t>过程中无法保证安全的</w:t>
      </w:r>
      <w:r>
        <w:rPr>
          <w:rFonts w:hint="eastAsia" w:ascii="MS UI Gothic" w:eastAsia="MS UI Gothic"/>
          <w:w w:val="80"/>
        </w:rPr>
        <w:t xml:space="preserve">ꎬ </w:t>
      </w:r>
      <w:r>
        <w:t>应当责令从危险区域撤出作业人员</w:t>
      </w:r>
      <w:r>
        <w:rPr>
          <w:rFonts w:hint="eastAsia" w:ascii="MS UI Gothic" w:eastAsia="MS UI Gothic"/>
          <w:w w:val="80"/>
        </w:rPr>
        <w:t xml:space="preserve">ꎬ </w:t>
      </w:r>
      <w:r>
        <w:t>并责令暂时停产停</w:t>
      </w:r>
      <w:r>
        <w:rPr>
          <w:w w:val="105"/>
        </w:rPr>
        <w:t>业</w:t>
      </w:r>
      <w:r>
        <w:rPr>
          <w:rFonts w:hint="eastAsia" w:ascii="MS UI Gothic" w:eastAsia="MS UI Gothic"/>
          <w:w w:val="80"/>
        </w:rPr>
        <w:t xml:space="preserve">、 </w:t>
      </w:r>
      <w:r>
        <w:rPr>
          <w:w w:val="105"/>
        </w:rPr>
        <w:t>停止建设</w:t>
      </w:r>
      <w:r>
        <w:rPr>
          <w:rFonts w:hint="eastAsia" w:ascii="MS UI Gothic" w:eastAsia="MS UI Gothic"/>
          <w:w w:val="80"/>
        </w:rPr>
        <w:t xml:space="preserve">、 </w:t>
      </w:r>
      <w:r>
        <w:rPr>
          <w:w w:val="105"/>
        </w:rPr>
        <w:t>停止施工或者停止使用</w:t>
      </w:r>
      <w:r>
        <w:rPr>
          <w:rFonts w:hint="eastAsia" w:ascii="MS UI Gothic" w:eastAsia="MS UI Gothic"/>
          <w:w w:val="80"/>
        </w:rPr>
        <w:t>ꎬ</w:t>
      </w:r>
      <w:r>
        <w:rPr>
          <w:w w:val="105"/>
        </w:rPr>
        <w:t>限期排除隐患</w:t>
      </w:r>
      <w:r>
        <w:rPr>
          <w:rFonts w:hint="eastAsia" w:ascii="MS UI Gothic" w:eastAsia="MS UI Gothic"/>
          <w:w w:val="80"/>
        </w:rPr>
        <w:t>ꎮ</w:t>
      </w:r>
    </w:p>
    <w:p>
      <w:pPr>
        <w:pStyle w:val="6"/>
        <w:spacing w:line="295" w:lineRule="auto"/>
        <w:ind w:left="440" w:right="1"/>
        <w:rPr>
          <w:rFonts w:hint="eastAsia" w:ascii="MS UI Gothic" w:eastAsia="MS UI Gothic"/>
        </w:rPr>
      </w:pPr>
      <w:r>
        <w:t>隐患排除后</w:t>
      </w:r>
      <w:r>
        <w:rPr>
          <w:rFonts w:hint="eastAsia" w:ascii="MS UI Gothic" w:eastAsia="MS UI Gothic"/>
          <w:w w:val="80"/>
        </w:rPr>
        <w:t xml:space="preserve">ꎬ </w:t>
      </w:r>
      <w:r>
        <w:t>经安全监管监察部门审查同意</w:t>
      </w:r>
      <w:r>
        <w:rPr>
          <w:rFonts w:hint="eastAsia" w:ascii="MS UI Gothic" w:eastAsia="MS UI Gothic"/>
          <w:w w:val="80"/>
        </w:rPr>
        <w:t xml:space="preserve">ꎬ </w:t>
      </w:r>
      <w:r>
        <w:t>方可恢复生产经营和使用</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 xml:space="preserve">本条第一款第 </w:t>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项规定的责令暂时停产停业</w:t>
      </w:r>
      <w:r>
        <w:rPr>
          <w:rFonts w:hint="eastAsia" w:ascii="MS UI Gothic" w:eastAsia="MS UI Gothic"/>
          <w:w w:val="80"/>
        </w:rPr>
        <w:t xml:space="preserve">、 </w:t>
      </w:r>
      <w:r>
        <w:rPr>
          <w:w w:val="105"/>
        </w:rPr>
        <w:t>停止建设</w:t>
      </w:r>
      <w:r>
        <w:rPr>
          <w:rFonts w:hint="eastAsia" w:ascii="MS UI Gothic" w:eastAsia="MS UI Gothic"/>
          <w:w w:val="80"/>
        </w:rPr>
        <w:t xml:space="preserve">、 </w:t>
      </w:r>
      <w:r>
        <w:rPr>
          <w:w w:val="105"/>
        </w:rPr>
        <w:t xml:space="preserve">停止施工或者停止使用的期限一般不超过 </w:t>
      </w:r>
      <w:r>
        <w:rPr>
          <w:rFonts w:hint="eastAsia" w:ascii="MS UI Gothic" w:eastAsia="MS UI Gothic"/>
          <w:w w:val="80"/>
        </w:rPr>
        <w:t xml:space="preserve">６ </w:t>
      </w:r>
      <w:r>
        <w:rPr>
          <w:w w:val="105"/>
        </w:rPr>
        <w:t>个月</w:t>
      </w:r>
      <w:r>
        <w:rPr>
          <w:rFonts w:hint="eastAsia" w:ascii="MS UI Gothic" w:eastAsia="MS UI Gothic"/>
          <w:w w:val="80"/>
        </w:rPr>
        <w:t xml:space="preserve">ꎻ </w:t>
      </w:r>
      <w:r>
        <w:rPr>
          <w:w w:val="105"/>
        </w:rPr>
        <w:t>法律</w:t>
      </w:r>
      <w:r>
        <w:rPr>
          <w:rFonts w:hint="eastAsia" w:ascii="MS UI Gothic" w:eastAsia="MS UI Gothic"/>
          <w:w w:val="80"/>
        </w:rPr>
        <w:t xml:space="preserve">、 </w:t>
      </w:r>
      <w:r>
        <w:rPr>
          <w:w w:val="105"/>
        </w:rPr>
        <w:t>行政法规另有规定的</w:t>
      </w:r>
      <w:r>
        <w:rPr>
          <w:rFonts w:hint="eastAsia" w:ascii="MS UI Gothic" w:eastAsia="MS UI Gothic"/>
          <w:w w:val="80"/>
        </w:rPr>
        <w:t xml:space="preserve">ꎬ </w:t>
      </w:r>
      <w:r>
        <w:rPr>
          <w:w w:val="105"/>
        </w:rPr>
        <w:t>依照其规定</w:t>
      </w:r>
      <w:r>
        <w:rPr>
          <w:rFonts w:hint="eastAsia" w:ascii="MS UI Gothic" w:eastAsia="MS UI Gothic"/>
          <w:w w:val="80"/>
        </w:rPr>
        <w:t>ꎮ</w:t>
      </w:r>
    </w:p>
    <w:p>
      <w:pPr>
        <w:pStyle w:val="6"/>
        <w:spacing w:line="295" w:lineRule="auto"/>
        <w:ind w:left="440" w:right="1"/>
        <w:rPr>
          <w:rFonts w:hint="eastAsia" w:ascii="MS UI Gothic" w:eastAsia="MS UI Gothic"/>
        </w:rPr>
      </w:pPr>
      <w:r>
        <w:t>第十五条 对有根据认为不符合安全生产的国家标准或者行业标准的在用设施</w:t>
      </w:r>
      <w:r>
        <w:rPr>
          <w:rFonts w:hint="eastAsia" w:ascii="MS UI Gothic" w:eastAsia="MS UI Gothic"/>
          <w:w w:val="80"/>
        </w:rPr>
        <w:t xml:space="preserve">、 </w:t>
      </w:r>
      <w:r>
        <w:t>设备</w:t>
      </w:r>
      <w:r>
        <w:rPr>
          <w:rFonts w:hint="eastAsia" w:ascii="MS UI Gothic" w:eastAsia="MS UI Gothic"/>
          <w:w w:val="80"/>
        </w:rPr>
        <w:t xml:space="preserve">、 </w:t>
      </w:r>
      <w:r>
        <w:t>器材</w:t>
      </w:r>
      <w:r>
        <w:rPr>
          <w:rFonts w:hint="eastAsia" w:ascii="MS UI Gothic" w:eastAsia="MS UI Gothic"/>
          <w:w w:val="80"/>
        </w:rPr>
        <w:t xml:space="preserve">ꎬ </w:t>
      </w:r>
      <w:r>
        <w:t>安全监管监察部门应当依法予以查封或者扣押</w:t>
      </w:r>
      <w:r>
        <w:rPr>
          <w:rFonts w:hint="eastAsia" w:ascii="MS UI Gothic" w:eastAsia="MS UI Gothic"/>
          <w:w w:val="80"/>
        </w:rPr>
        <w:t xml:space="preserve">ꎬ </w:t>
      </w:r>
      <w:r>
        <w:t xml:space="preserve">并在 </w:t>
      </w:r>
      <w:r>
        <w:rPr>
          <w:rFonts w:hint="eastAsia" w:ascii="MS UI Gothic" w:eastAsia="MS UI Gothic"/>
          <w:w w:val="80"/>
        </w:rPr>
        <w:t xml:space="preserve">１５ </w:t>
      </w:r>
      <w:r>
        <w:t>日内按照下列规定作出处理决定</w:t>
      </w:r>
      <w:r>
        <w:rPr>
          <w:rFonts w:hint="eastAsia" w:ascii="MS UI Gothic" w:eastAsia="MS UI Gothic"/>
          <w:w w:val="230"/>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能够修理</w:t>
      </w:r>
      <w:r>
        <w:rPr>
          <w:rFonts w:hint="eastAsia" w:ascii="MS UI Gothic" w:eastAsia="MS UI Gothic"/>
          <w:w w:val="80"/>
        </w:rPr>
        <w:t xml:space="preserve">、 </w:t>
      </w:r>
      <w:r>
        <w:t>更换的</w:t>
      </w:r>
      <w:r>
        <w:rPr>
          <w:rFonts w:hint="eastAsia" w:ascii="MS UI Gothic" w:eastAsia="MS UI Gothic"/>
          <w:w w:val="80"/>
        </w:rPr>
        <w:t xml:space="preserve">ꎬ </w:t>
      </w:r>
      <w:r>
        <w:t>责令予以修理</w:t>
      </w:r>
      <w:r>
        <w:rPr>
          <w:rFonts w:hint="eastAsia" w:ascii="MS UI Gothic" w:eastAsia="MS UI Gothic"/>
          <w:w w:val="80"/>
        </w:rPr>
        <w:t xml:space="preserve">、 </w:t>
      </w:r>
      <w:r>
        <w:t>更换</w:t>
      </w:r>
      <w:r>
        <w:rPr>
          <w:rFonts w:hint="eastAsia" w:ascii="MS UI Gothic" w:eastAsia="MS UI Gothic"/>
          <w:w w:val="80"/>
        </w:rPr>
        <w:t xml:space="preserve">ꎻ </w:t>
      </w:r>
      <w:r>
        <w:t>不能修理</w:t>
      </w:r>
      <w:r>
        <w:rPr>
          <w:rFonts w:hint="eastAsia" w:ascii="MS UI Gothic" w:eastAsia="MS UI Gothic"/>
          <w:w w:val="80"/>
        </w:rPr>
        <w:t xml:space="preserve">、 </w:t>
      </w:r>
      <w:r>
        <w:t>更换的</w:t>
      </w:r>
      <w:r>
        <w:rPr>
          <w:rFonts w:hint="eastAsia" w:ascii="MS UI Gothic" w:eastAsia="MS UI Gothic"/>
          <w:w w:val="80"/>
        </w:rPr>
        <w:t xml:space="preserve">ꎬ  </w:t>
      </w:r>
      <w:r>
        <w:t>不准使用</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依法采取其他行政强制措施或</w:t>
      </w:r>
      <w:r>
        <w:rPr>
          <w:w w:val="110"/>
        </w:rPr>
        <w:t>者现场处理措施</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依法给予行政处罚</w:t>
      </w:r>
      <w:r>
        <w:rPr>
          <w:rFonts w:hint="eastAsia" w:ascii="MS UI Gothic" w:eastAsia="MS UI Gothic"/>
          <w:w w:val="80"/>
        </w:rPr>
        <w:t>ꎻ</w:t>
      </w:r>
    </w:p>
    <w:p>
      <w:pPr>
        <w:pStyle w:val="6"/>
        <w:spacing w:before="40"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2"/>
          <w:w w:val="150"/>
        </w:rPr>
        <w:t xml:space="preserve">) </w:t>
      </w:r>
      <w:r>
        <w:rPr>
          <w:spacing w:val="5"/>
          <w:w w:val="105"/>
        </w:rPr>
        <w:t>经核查予以查封或者扣押的设</w:t>
      </w:r>
      <w:r>
        <w:rPr>
          <w:spacing w:val="3"/>
          <w:w w:val="105"/>
        </w:rPr>
        <w:t>备</w:t>
      </w:r>
      <w:r>
        <w:rPr>
          <w:rFonts w:hint="eastAsia" w:ascii="MS UI Gothic" w:eastAsia="MS UI Gothic"/>
          <w:spacing w:val="11"/>
          <w:w w:val="80"/>
        </w:rPr>
        <w:t xml:space="preserve">、 </w:t>
      </w:r>
      <w:r>
        <w:rPr>
          <w:spacing w:val="3"/>
          <w:w w:val="105"/>
        </w:rPr>
        <w:t>设施</w:t>
      </w:r>
      <w:r>
        <w:rPr>
          <w:rFonts w:hint="eastAsia" w:ascii="MS UI Gothic" w:eastAsia="MS UI Gothic"/>
          <w:spacing w:val="11"/>
          <w:w w:val="80"/>
        </w:rPr>
        <w:t xml:space="preserve">、 </w:t>
      </w:r>
      <w:r>
        <w:rPr>
          <w:spacing w:val="2"/>
          <w:w w:val="105"/>
        </w:rPr>
        <w:t>器材符合国家标准或者行业标</w:t>
      </w:r>
      <w:r>
        <w:rPr>
          <w:spacing w:val="3"/>
          <w:w w:val="105"/>
        </w:rPr>
        <w:t>准的</w:t>
      </w:r>
      <w:r>
        <w:rPr>
          <w:rFonts w:hint="eastAsia" w:ascii="MS UI Gothic" w:eastAsia="MS UI Gothic"/>
          <w:spacing w:val="22"/>
          <w:w w:val="80"/>
        </w:rPr>
        <w:t xml:space="preserve">ꎬ </w:t>
      </w:r>
      <w:r>
        <w:rPr>
          <w:spacing w:val="3"/>
          <w:w w:val="105"/>
        </w:rPr>
        <w:t>解除查封或者扣押</w:t>
      </w:r>
      <w:r>
        <w:rPr>
          <w:rFonts w:hint="eastAsia" w:ascii="MS UI Gothic" w:eastAsia="MS UI Gothic"/>
          <w:w w:val="80"/>
        </w:rPr>
        <w:t>ꎮ</w:t>
      </w:r>
    </w:p>
    <w:p>
      <w:pPr>
        <w:pStyle w:val="6"/>
        <w:spacing w:line="295" w:lineRule="auto"/>
        <w:ind w:left="440"/>
        <w:rPr>
          <w:rFonts w:hint="eastAsia" w:ascii="MS UI Gothic" w:eastAsia="MS UI Gothic"/>
        </w:rPr>
      </w:pPr>
      <w:r>
        <w:rPr>
          <w:spacing w:val="15"/>
        </w:rPr>
        <w:t>实施查封</w:t>
      </w:r>
      <w:r>
        <w:rPr>
          <w:rFonts w:hint="eastAsia" w:ascii="MS UI Gothic" w:eastAsia="MS UI Gothic"/>
          <w:spacing w:val="6"/>
          <w:w w:val="85"/>
        </w:rPr>
        <w:t xml:space="preserve">、 </w:t>
      </w:r>
      <w:r>
        <w:rPr>
          <w:spacing w:val="13"/>
        </w:rPr>
        <w:t>扣押</w:t>
      </w:r>
      <w:r>
        <w:rPr>
          <w:rFonts w:hint="eastAsia" w:ascii="MS UI Gothic" w:eastAsia="MS UI Gothic"/>
          <w:spacing w:val="6"/>
          <w:w w:val="85"/>
        </w:rPr>
        <w:t xml:space="preserve">ꎬ </w:t>
      </w:r>
      <w:r>
        <w:rPr>
          <w:spacing w:val="18"/>
        </w:rPr>
        <w:t>应当当场下达查</w:t>
      </w:r>
      <w:r>
        <w:rPr>
          <w:spacing w:val="3"/>
        </w:rPr>
        <w:t>封</w:t>
      </w:r>
      <w:r>
        <w:rPr>
          <w:rFonts w:hint="eastAsia" w:ascii="MS UI Gothic" w:eastAsia="MS UI Gothic"/>
          <w:spacing w:val="17"/>
          <w:w w:val="85"/>
        </w:rPr>
        <w:t xml:space="preserve">、 </w:t>
      </w:r>
      <w:r>
        <w:rPr>
          <w:spacing w:val="3"/>
        </w:rPr>
        <w:t>扣押决定书和被查封</w:t>
      </w:r>
      <w:r>
        <w:rPr>
          <w:rFonts w:hint="eastAsia" w:ascii="MS UI Gothic" w:eastAsia="MS UI Gothic"/>
          <w:spacing w:val="17"/>
          <w:w w:val="85"/>
        </w:rPr>
        <w:t xml:space="preserve">、 </w:t>
      </w:r>
      <w:r>
        <w:rPr>
          <w:spacing w:val="2"/>
        </w:rPr>
        <w:t>扣押的财物清</w:t>
      </w:r>
      <w:r>
        <w:rPr>
          <w:spacing w:val="3"/>
        </w:rPr>
        <w:t>单</w:t>
      </w:r>
      <w:r>
        <w:rPr>
          <w:rFonts w:hint="eastAsia" w:ascii="MS UI Gothic" w:eastAsia="MS UI Gothic"/>
          <w:spacing w:val="13"/>
          <w:w w:val="85"/>
        </w:rPr>
        <w:t xml:space="preserve">ꎮ </w:t>
      </w:r>
      <w:r>
        <w:rPr>
          <w:spacing w:val="6"/>
        </w:rPr>
        <w:t>在交通不便地区</w:t>
      </w:r>
      <w:r>
        <w:rPr>
          <w:rFonts w:hint="eastAsia" w:ascii="MS UI Gothic" w:eastAsia="MS UI Gothic"/>
          <w:spacing w:val="16"/>
          <w:w w:val="85"/>
        </w:rPr>
        <w:t xml:space="preserve">ꎬ </w:t>
      </w:r>
      <w:r>
        <w:rPr>
          <w:spacing w:val="13"/>
        </w:rPr>
        <w:t>或者不及时查封</w:t>
      </w:r>
      <w:r>
        <w:rPr>
          <w:rFonts w:hint="eastAsia" w:ascii="MS UI Gothic" w:eastAsia="MS UI Gothic"/>
          <w:w w:val="85"/>
        </w:rPr>
        <w:t>、</w:t>
      </w:r>
      <w:r>
        <w:rPr>
          <w:spacing w:val="3"/>
        </w:rPr>
        <w:t>扣押可能影响案件查处</w:t>
      </w:r>
      <w:r>
        <w:rPr>
          <w:rFonts w:hint="eastAsia" w:ascii="MS UI Gothic" w:eastAsia="MS UI Gothic"/>
          <w:spacing w:val="14"/>
          <w:w w:val="85"/>
        </w:rPr>
        <w:t xml:space="preserve">ꎬ </w:t>
      </w:r>
      <w:r>
        <w:rPr>
          <w:spacing w:val="2"/>
        </w:rPr>
        <w:t>或者存在事故隐</w:t>
      </w:r>
      <w:r>
        <w:rPr>
          <w:spacing w:val="3"/>
        </w:rPr>
        <w:t>患可能导致生产安全事故的</w:t>
      </w:r>
      <w:r>
        <w:rPr>
          <w:rFonts w:hint="eastAsia" w:ascii="MS UI Gothic" w:eastAsia="MS UI Gothic"/>
          <w:spacing w:val="14"/>
          <w:w w:val="85"/>
        </w:rPr>
        <w:t xml:space="preserve">ꎬ </w:t>
      </w:r>
      <w:r>
        <w:rPr>
          <w:spacing w:val="2"/>
        </w:rPr>
        <w:t>可以先行实</w:t>
      </w:r>
      <w:r>
        <w:rPr>
          <w:spacing w:val="3"/>
        </w:rPr>
        <w:t>施查封</w:t>
      </w:r>
      <w:r>
        <w:rPr>
          <w:rFonts w:hint="eastAsia" w:ascii="MS UI Gothic" w:eastAsia="MS UI Gothic"/>
          <w:spacing w:val="21"/>
          <w:w w:val="85"/>
        </w:rPr>
        <w:t xml:space="preserve">、 </w:t>
      </w:r>
      <w:r>
        <w:rPr>
          <w:spacing w:val="3"/>
        </w:rPr>
        <w:t>扣押</w:t>
      </w:r>
      <w:r>
        <w:rPr>
          <w:rFonts w:hint="eastAsia" w:ascii="MS UI Gothic" w:eastAsia="MS UI Gothic"/>
          <w:spacing w:val="21"/>
          <w:w w:val="85"/>
        </w:rPr>
        <w:t xml:space="preserve">ꎬ </w:t>
      </w:r>
      <w:r>
        <w:rPr>
          <w:spacing w:val="-18"/>
        </w:rPr>
        <w:t xml:space="preserve">并在 </w:t>
      </w:r>
      <w:r>
        <w:rPr>
          <w:rFonts w:hint="eastAsia" w:ascii="MS UI Gothic" w:eastAsia="MS UI Gothic"/>
          <w:w w:val="85"/>
        </w:rPr>
        <w:t xml:space="preserve">４８ </w:t>
      </w:r>
      <w:r>
        <w:rPr>
          <w:spacing w:val="3"/>
        </w:rPr>
        <w:t>小时内补办查封</w:t>
      </w:r>
      <w:r>
        <w:rPr>
          <w:rFonts w:hint="eastAsia" w:ascii="MS UI Gothic" w:eastAsia="MS UI Gothic"/>
          <w:w w:val="85"/>
        </w:rPr>
        <w:t>、</w:t>
      </w:r>
      <w:r>
        <w:rPr>
          <w:spacing w:val="3"/>
        </w:rPr>
        <w:t>扣押决定书</w:t>
      </w:r>
      <w:r>
        <w:rPr>
          <w:rFonts w:hint="eastAsia" w:ascii="MS UI Gothic" w:eastAsia="MS UI Gothic"/>
          <w:spacing w:val="24"/>
          <w:w w:val="85"/>
        </w:rPr>
        <w:t xml:space="preserve">ꎬ </w:t>
      </w:r>
      <w:r>
        <w:rPr>
          <w:spacing w:val="3"/>
        </w:rPr>
        <w:t>送达当事人</w:t>
      </w:r>
      <w:r>
        <w:rPr>
          <w:rFonts w:hint="eastAsia" w:ascii="MS UI Gothic" w:eastAsia="MS UI Gothic"/>
          <w:w w:val="85"/>
        </w:rPr>
        <w:t>ꎮ</w:t>
      </w:r>
    </w:p>
    <w:p>
      <w:pPr>
        <w:pStyle w:val="6"/>
        <w:spacing w:line="295" w:lineRule="auto"/>
        <w:ind w:left="440" w:right="1"/>
      </w:pPr>
      <w:r>
        <w:rPr>
          <w:w w:val="105"/>
        </w:rPr>
        <w:t>第十六条 生产经营单位被责令限期</w:t>
      </w:r>
      <w:r>
        <w:t>改正或者限期进行隐患排除治理的</w:t>
      </w:r>
      <w:r>
        <w:rPr>
          <w:rFonts w:hint="eastAsia" w:ascii="MS UI Gothic" w:eastAsia="MS UI Gothic"/>
          <w:w w:val="80"/>
        </w:rPr>
        <w:t xml:space="preserve">ꎬ </w:t>
      </w:r>
      <w:r>
        <w:t>应当在规定限期内完成</w:t>
      </w:r>
      <w:r>
        <w:rPr>
          <w:rFonts w:hint="eastAsia" w:ascii="MS UI Gothic" w:eastAsia="MS UI Gothic"/>
          <w:w w:val="80"/>
        </w:rPr>
        <w:t xml:space="preserve">ꎮ </w:t>
      </w:r>
      <w:r>
        <w:t>因不可抗力无法在规</w:t>
      </w:r>
    </w:p>
    <w:p>
      <w:pPr>
        <w:pStyle w:val="6"/>
        <w:spacing w:before="124" w:line="295" w:lineRule="auto"/>
        <w:ind w:left="381" w:right="126" w:firstLine="0"/>
        <w:rPr>
          <w:rFonts w:hint="eastAsia" w:ascii="MS UI Gothic" w:eastAsia="MS UI Gothic"/>
        </w:rPr>
      </w:pPr>
      <w:r>
        <w:br w:type="column"/>
      </w:r>
      <w:r>
        <w:t>定限期内完成的</w:t>
      </w:r>
      <w:r>
        <w:rPr>
          <w:rFonts w:hint="eastAsia" w:ascii="MS UI Gothic" w:eastAsia="MS UI Gothic"/>
          <w:w w:val="85"/>
        </w:rPr>
        <w:t xml:space="preserve">ꎬ </w:t>
      </w:r>
      <w:r>
        <w:t>应当在进行整改或者治理的同时</w:t>
      </w:r>
      <w:r>
        <w:rPr>
          <w:rFonts w:hint="eastAsia" w:ascii="MS UI Gothic" w:eastAsia="MS UI Gothic"/>
          <w:w w:val="85"/>
        </w:rPr>
        <w:t xml:space="preserve">ꎬ </w:t>
      </w:r>
      <w:r>
        <w:t xml:space="preserve">于限期届满前 </w:t>
      </w:r>
      <w:r>
        <w:rPr>
          <w:rFonts w:hint="eastAsia" w:ascii="MS UI Gothic" w:eastAsia="MS UI Gothic"/>
          <w:w w:val="85"/>
        </w:rPr>
        <w:t xml:space="preserve">１０ </w:t>
      </w:r>
      <w:r>
        <w:t>日内提出书面延期申请</w:t>
      </w:r>
      <w:r>
        <w:rPr>
          <w:rFonts w:hint="eastAsia" w:ascii="MS UI Gothic" w:eastAsia="MS UI Gothic"/>
          <w:w w:val="85"/>
        </w:rPr>
        <w:t xml:space="preserve">ꎬ </w:t>
      </w:r>
      <w:r>
        <w:t xml:space="preserve">安全监管监察部门应当在收到申请之日起 </w:t>
      </w:r>
      <w:r>
        <w:rPr>
          <w:rFonts w:hint="eastAsia" w:ascii="MS UI Gothic" w:eastAsia="MS UI Gothic"/>
        </w:rPr>
        <w:t xml:space="preserve">５ </w:t>
      </w:r>
      <w:r>
        <w:t>日内书面答复是否准予延期</w:t>
      </w:r>
      <w:r>
        <w:rPr>
          <w:rFonts w:hint="eastAsia" w:ascii="MS UI Gothic" w:eastAsia="MS UI Gothic"/>
          <w:w w:val="85"/>
        </w:rPr>
        <w:t>ꎮ</w:t>
      </w:r>
    </w:p>
    <w:p>
      <w:pPr>
        <w:pStyle w:val="6"/>
        <w:spacing w:line="295" w:lineRule="auto"/>
        <w:ind w:left="381" w:right="126"/>
        <w:rPr>
          <w:rFonts w:hint="eastAsia" w:ascii="MS UI Gothic" w:eastAsia="MS UI Gothic"/>
        </w:rPr>
      </w:pPr>
      <w:r>
        <w:t>生产经营单位提出复查申请或者整改</w:t>
      </w:r>
      <w:r>
        <w:rPr>
          <w:rFonts w:hint="eastAsia" w:ascii="MS UI Gothic" w:eastAsia="MS UI Gothic"/>
        </w:rPr>
        <w:t xml:space="preserve">、 </w:t>
      </w:r>
      <w:r>
        <w:t>治理限期届满的</w:t>
      </w:r>
      <w:r>
        <w:rPr>
          <w:rFonts w:hint="eastAsia" w:ascii="MS UI Gothic" w:eastAsia="MS UI Gothic"/>
          <w:w w:val="85"/>
        </w:rPr>
        <w:t xml:space="preserve">ꎬ  </w:t>
      </w:r>
      <w:r>
        <w:t xml:space="preserve">安全监管监察部门应当自申请或者限期届满之日起 </w:t>
      </w:r>
      <w:r>
        <w:rPr>
          <w:rFonts w:hint="eastAsia" w:ascii="MS UI Gothic" w:eastAsia="MS UI Gothic"/>
          <w:w w:val="85"/>
        </w:rPr>
        <w:t xml:space="preserve">１０ </w:t>
      </w:r>
      <w:r>
        <w:t>日内进行复查</w:t>
      </w:r>
      <w:r>
        <w:rPr>
          <w:rFonts w:hint="eastAsia" w:ascii="MS UI Gothic" w:eastAsia="MS UI Gothic"/>
          <w:w w:val="85"/>
        </w:rPr>
        <w:t xml:space="preserve">ꎬ </w:t>
      </w:r>
      <w:r>
        <w:t>填写复查意见书</w:t>
      </w:r>
      <w:r>
        <w:rPr>
          <w:rFonts w:hint="eastAsia" w:ascii="MS UI Gothic" w:eastAsia="MS UI Gothic"/>
          <w:w w:val="85"/>
        </w:rPr>
        <w:t xml:space="preserve">ꎬ </w:t>
      </w:r>
      <w:r>
        <w:t>由被复查单位和安全监管监察部门复查人员签名后存档</w:t>
      </w:r>
      <w:r>
        <w:rPr>
          <w:rFonts w:hint="eastAsia" w:ascii="MS UI Gothic" w:eastAsia="MS UI Gothic"/>
          <w:w w:val="85"/>
        </w:rPr>
        <w:t xml:space="preserve">ꎮ </w:t>
      </w:r>
      <w:r>
        <w:t>逾期未整改</w:t>
      </w:r>
      <w:r>
        <w:rPr>
          <w:rFonts w:hint="eastAsia" w:ascii="MS UI Gothic" w:eastAsia="MS UI Gothic"/>
        </w:rPr>
        <w:t xml:space="preserve">、 </w:t>
      </w:r>
      <w:r>
        <w:t>未治理或者整改</w:t>
      </w:r>
      <w:r>
        <w:rPr>
          <w:rFonts w:hint="eastAsia" w:ascii="MS UI Gothic" w:eastAsia="MS UI Gothic"/>
        </w:rPr>
        <w:t xml:space="preserve">、 </w:t>
      </w:r>
      <w:r>
        <w:t>治理不合格的</w:t>
      </w:r>
      <w:r>
        <w:rPr>
          <w:rFonts w:hint="eastAsia" w:ascii="MS UI Gothic" w:eastAsia="MS UI Gothic"/>
          <w:w w:val="85"/>
        </w:rPr>
        <w:t xml:space="preserve">ꎬ </w:t>
      </w:r>
      <w:r>
        <w:t>安全监管监察部门应当依法给予行政处罚</w:t>
      </w:r>
      <w:r>
        <w:rPr>
          <w:rFonts w:hint="eastAsia" w:ascii="MS UI Gothic" w:eastAsia="MS UI Gothic"/>
          <w:w w:val="85"/>
        </w:rPr>
        <w:t>ꎮ</w:t>
      </w:r>
    </w:p>
    <w:p>
      <w:pPr>
        <w:pStyle w:val="6"/>
        <w:spacing w:line="295" w:lineRule="auto"/>
        <w:ind w:left="381" w:right="124"/>
        <w:rPr>
          <w:rFonts w:hint="eastAsia" w:ascii="MS UI Gothic" w:eastAsia="MS UI Gothic"/>
        </w:rPr>
      </w:pPr>
      <w:r>
        <w:t>第十七条 安全监管监察部门在作出行政处罚决定前</w:t>
      </w:r>
      <w:r>
        <w:rPr>
          <w:rFonts w:hint="eastAsia" w:ascii="MS UI Gothic" w:eastAsia="MS UI Gothic"/>
          <w:w w:val="80"/>
        </w:rPr>
        <w:t xml:space="preserve">ꎬ </w:t>
      </w:r>
      <w:r>
        <w:t>应当填写行政处罚告知书</w:t>
      </w:r>
      <w:r>
        <w:rPr>
          <w:rFonts w:hint="eastAsia" w:ascii="MS UI Gothic" w:eastAsia="MS UI Gothic"/>
          <w:w w:val="80"/>
        </w:rPr>
        <w:t xml:space="preserve">ꎬ </w:t>
      </w:r>
      <w:r>
        <w:t>告知当事人作出行政处罚决定的事实</w:t>
      </w:r>
      <w:r>
        <w:rPr>
          <w:rFonts w:hint="eastAsia" w:ascii="MS UI Gothic" w:eastAsia="MS UI Gothic"/>
          <w:w w:val="80"/>
        </w:rPr>
        <w:t xml:space="preserve">、 </w:t>
      </w:r>
      <w:r>
        <w:t>理由</w:t>
      </w:r>
      <w:r>
        <w:rPr>
          <w:rFonts w:hint="eastAsia" w:ascii="MS UI Gothic" w:eastAsia="MS UI Gothic"/>
          <w:w w:val="80"/>
        </w:rPr>
        <w:t xml:space="preserve">、 </w:t>
      </w:r>
      <w:r>
        <w:t>依据</w:t>
      </w:r>
      <w:r>
        <w:rPr>
          <w:rFonts w:hint="eastAsia" w:ascii="MS UI Gothic" w:eastAsia="MS UI Gothic"/>
          <w:w w:val="80"/>
        </w:rPr>
        <w:t xml:space="preserve">ꎬ </w:t>
      </w:r>
      <w:r>
        <w:t>以及当事人依法享有的权利</w:t>
      </w:r>
      <w:r>
        <w:rPr>
          <w:rFonts w:hint="eastAsia" w:ascii="MS UI Gothic" w:eastAsia="MS UI Gothic"/>
          <w:w w:val="80"/>
        </w:rPr>
        <w:t xml:space="preserve">ꎬ </w:t>
      </w:r>
      <w:r>
        <w:t>并送达当事人</w:t>
      </w:r>
      <w:r>
        <w:rPr>
          <w:rFonts w:hint="eastAsia" w:ascii="MS UI Gothic" w:eastAsia="MS UI Gothic"/>
          <w:w w:val="80"/>
        </w:rPr>
        <w:t xml:space="preserve">ꎮ </w:t>
      </w:r>
      <w:r>
        <w:t xml:space="preserve">当事人应当在收到行政处罚告知书之日起 </w:t>
      </w:r>
      <w:r>
        <w:rPr>
          <w:rFonts w:hint="eastAsia" w:ascii="MS UI Gothic" w:eastAsia="MS UI Gothic"/>
          <w:w w:val="80"/>
        </w:rPr>
        <w:t xml:space="preserve">３ </w:t>
      </w:r>
      <w:r>
        <w:t>日内进行陈述</w:t>
      </w:r>
      <w:r>
        <w:rPr>
          <w:rFonts w:hint="eastAsia" w:ascii="MS UI Gothic" w:eastAsia="MS UI Gothic"/>
          <w:w w:val="80"/>
        </w:rPr>
        <w:t>、</w:t>
      </w:r>
      <w:r>
        <w:t>申辩</w:t>
      </w:r>
      <w:r>
        <w:rPr>
          <w:rFonts w:hint="eastAsia" w:ascii="MS UI Gothic" w:eastAsia="MS UI Gothic"/>
          <w:w w:val="80"/>
        </w:rPr>
        <w:t xml:space="preserve">ꎬ </w:t>
      </w:r>
      <w:r>
        <w:t>或者依法提出听证要求</w:t>
      </w:r>
      <w:r>
        <w:rPr>
          <w:rFonts w:hint="eastAsia" w:ascii="MS UI Gothic" w:eastAsia="MS UI Gothic"/>
          <w:w w:val="80"/>
        </w:rPr>
        <w:t xml:space="preserve">ꎬ </w:t>
      </w:r>
      <w:r>
        <w:t>逾期视为放弃上述权利</w:t>
      </w:r>
      <w:r>
        <w:rPr>
          <w:rFonts w:hint="eastAsia" w:ascii="MS UI Gothic" w:eastAsia="MS UI Gothic"/>
          <w:w w:val="80"/>
        </w:rPr>
        <w:t>ꎮ</w:t>
      </w:r>
    </w:p>
    <w:p>
      <w:pPr>
        <w:pStyle w:val="6"/>
        <w:spacing w:line="295" w:lineRule="auto"/>
        <w:ind w:left="381" w:right="124"/>
        <w:rPr>
          <w:rFonts w:hint="eastAsia" w:ascii="MS UI Gothic" w:eastAsia="MS UI Gothic"/>
        </w:rPr>
      </w:pPr>
      <w:r>
        <w:t>第十八条 安全监管监察部门应当充分听取当事人的陈述和申辩</w:t>
      </w:r>
      <w:r>
        <w:rPr>
          <w:rFonts w:hint="eastAsia" w:ascii="MS UI Gothic" w:eastAsia="MS UI Gothic"/>
          <w:w w:val="80"/>
        </w:rPr>
        <w:t xml:space="preserve">ꎬ </w:t>
      </w:r>
      <w:r>
        <w:t>对当事人提出的事实</w:t>
      </w:r>
      <w:r>
        <w:rPr>
          <w:rFonts w:hint="eastAsia" w:ascii="MS UI Gothic" w:eastAsia="MS UI Gothic"/>
          <w:w w:val="80"/>
        </w:rPr>
        <w:t xml:space="preserve">、 </w:t>
      </w:r>
      <w:r>
        <w:t>理由和证据</w:t>
      </w:r>
      <w:r>
        <w:rPr>
          <w:rFonts w:hint="eastAsia" w:ascii="MS UI Gothic" w:eastAsia="MS UI Gothic"/>
          <w:w w:val="80"/>
        </w:rPr>
        <w:t xml:space="preserve">ꎬ </w:t>
      </w:r>
      <w:r>
        <w:t>应当进行复核</w:t>
      </w:r>
      <w:r>
        <w:rPr>
          <w:rFonts w:hint="eastAsia" w:ascii="MS UI Gothic" w:eastAsia="MS UI Gothic"/>
          <w:w w:val="80"/>
        </w:rPr>
        <w:t>ꎻ</w:t>
      </w:r>
      <w:r>
        <w:t>当事人提出的事实</w:t>
      </w:r>
      <w:r>
        <w:rPr>
          <w:rFonts w:hint="eastAsia" w:ascii="MS UI Gothic" w:eastAsia="MS UI Gothic"/>
          <w:w w:val="80"/>
        </w:rPr>
        <w:t xml:space="preserve">、 </w:t>
      </w:r>
      <w:r>
        <w:t>理由和证据成立的</w:t>
      </w:r>
      <w:r>
        <w:rPr>
          <w:rFonts w:hint="eastAsia" w:ascii="MS UI Gothic" w:eastAsia="MS UI Gothic"/>
          <w:w w:val="80"/>
        </w:rPr>
        <w:t>ꎬ</w:t>
      </w:r>
      <w:r>
        <w:t>安全监管监察部门应当采纳</w:t>
      </w:r>
      <w:r>
        <w:rPr>
          <w:rFonts w:hint="eastAsia" w:ascii="MS UI Gothic" w:eastAsia="MS UI Gothic"/>
          <w:w w:val="80"/>
        </w:rPr>
        <w:t>ꎮ</w:t>
      </w:r>
    </w:p>
    <w:p>
      <w:pPr>
        <w:pStyle w:val="6"/>
        <w:spacing w:line="295" w:lineRule="auto"/>
        <w:ind w:left="381" w:right="126"/>
        <w:jc w:val="left"/>
        <w:rPr>
          <w:rFonts w:hint="eastAsia" w:ascii="MS UI Gothic" w:eastAsia="MS UI Gothic"/>
        </w:rPr>
      </w:pPr>
      <w:r>
        <w:t>安全监管监察部门不得因当事人陈述</w:t>
      </w:r>
      <w:r>
        <w:rPr>
          <w:w w:val="105"/>
        </w:rPr>
        <w:t>或者申辩而加重处罚</w:t>
      </w:r>
      <w:r>
        <w:rPr>
          <w:rFonts w:hint="eastAsia" w:ascii="MS UI Gothic" w:eastAsia="MS UI Gothic"/>
          <w:w w:val="80"/>
        </w:rPr>
        <w:t>ꎮ</w:t>
      </w:r>
    </w:p>
    <w:p>
      <w:pPr>
        <w:pStyle w:val="6"/>
        <w:spacing w:line="295" w:lineRule="auto"/>
        <w:ind w:left="381" w:right="126"/>
        <w:rPr>
          <w:rFonts w:hint="eastAsia" w:ascii="MS UI Gothic" w:eastAsia="MS UI Gothic"/>
        </w:rPr>
      </w:pPr>
      <w:r>
        <w:t>第十九条 安全监管监察部门对安全生产违法行为实施行政处罚</w:t>
      </w:r>
      <w:r>
        <w:rPr>
          <w:rFonts w:hint="eastAsia" w:ascii="MS UI Gothic" w:eastAsia="MS UI Gothic"/>
          <w:w w:val="80"/>
        </w:rPr>
        <w:t xml:space="preserve">ꎬ </w:t>
      </w:r>
      <w:r>
        <w:t>应当符合法定程序</w:t>
      </w:r>
      <w:r>
        <w:rPr>
          <w:rFonts w:hint="eastAsia" w:ascii="MS UI Gothic" w:eastAsia="MS UI Gothic"/>
          <w:w w:val="80"/>
        </w:rPr>
        <w:t xml:space="preserve">ꎬ </w:t>
      </w:r>
      <w:r>
        <w:t>制作行政执法文书</w:t>
      </w:r>
      <w:r>
        <w:rPr>
          <w:rFonts w:hint="eastAsia" w:ascii="MS UI Gothic" w:eastAsia="MS UI Gothic"/>
          <w:w w:val="80"/>
        </w:rPr>
        <w:t>ꎮ</w:t>
      </w:r>
    </w:p>
    <w:p>
      <w:pPr>
        <w:pStyle w:val="6"/>
        <w:tabs>
          <w:tab w:val="left" w:pos="2162"/>
        </w:tabs>
        <w:spacing w:before="133"/>
        <w:ind w:left="1324" w:firstLine="0"/>
        <w:jc w:val="left"/>
      </w:pPr>
      <w:r>
        <w:rPr>
          <w:spacing w:val="3"/>
          <w:w w:val="105"/>
        </w:rPr>
        <w:t>第一</w:t>
      </w:r>
      <w:r>
        <w:rPr>
          <w:w w:val="105"/>
        </w:rPr>
        <w:t>节</w:t>
      </w:r>
      <w:r>
        <w:rPr>
          <w:w w:val="105"/>
        </w:rPr>
        <w:tab/>
      </w:r>
      <w:r>
        <w:rPr>
          <w:w w:val="105"/>
        </w:rPr>
        <w:t>简</w:t>
      </w:r>
      <w:r>
        <w:rPr>
          <w:spacing w:val="-33"/>
          <w:w w:val="105"/>
        </w:rPr>
        <w:t xml:space="preserve"> </w:t>
      </w:r>
      <w:r>
        <w:rPr>
          <w:w w:val="105"/>
        </w:rPr>
        <w:t>易</w:t>
      </w:r>
      <w:r>
        <w:rPr>
          <w:spacing w:val="-33"/>
          <w:w w:val="105"/>
        </w:rPr>
        <w:t xml:space="preserve"> </w:t>
      </w:r>
      <w:r>
        <w:rPr>
          <w:w w:val="105"/>
        </w:rPr>
        <w:t>程</w:t>
      </w:r>
      <w:r>
        <w:rPr>
          <w:spacing w:val="-33"/>
          <w:w w:val="105"/>
        </w:rPr>
        <w:t xml:space="preserve"> </w:t>
      </w:r>
      <w:r>
        <w:rPr>
          <w:w w:val="105"/>
        </w:rPr>
        <w:t>序</w:t>
      </w:r>
    </w:p>
    <w:p>
      <w:pPr>
        <w:pStyle w:val="6"/>
        <w:spacing w:before="10"/>
        <w:ind w:left="0" w:firstLine="0"/>
        <w:jc w:val="left"/>
        <w:rPr>
          <w:sz w:val="16"/>
        </w:rPr>
      </w:pPr>
    </w:p>
    <w:p>
      <w:pPr>
        <w:pStyle w:val="6"/>
        <w:spacing w:line="295" w:lineRule="auto"/>
        <w:ind w:left="381" w:right="126"/>
        <w:rPr>
          <w:rFonts w:hint="eastAsia" w:ascii="MS UI Gothic" w:eastAsia="MS UI Gothic"/>
        </w:rPr>
      </w:pPr>
      <w:r>
        <w:t>第二十条 违法事实确凿并有法定依据</w:t>
      </w:r>
      <w:r>
        <w:rPr>
          <w:rFonts w:hint="eastAsia" w:ascii="MS UI Gothic" w:eastAsia="MS UI Gothic"/>
          <w:w w:val="85"/>
        </w:rPr>
        <w:t xml:space="preserve">ꎬ </w:t>
      </w:r>
      <w:r>
        <w:t xml:space="preserve">对个人处以 </w:t>
      </w:r>
      <w:r>
        <w:rPr>
          <w:rFonts w:hint="eastAsia" w:ascii="MS UI Gothic" w:eastAsia="MS UI Gothic"/>
          <w:w w:val="85"/>
        </w:rPr>
        <w:t xml:space="preserve">５０ </w:t>
      </w:r>
      <w:r>
        <w:t>元以下罚款</w:t>
      </w:r>
      <w:r>
        <w:rPr>
          <w:rFonts w:hint="eastAsia" w:ascii="MS UI Gothic" w:eastAsia="MS UI Gothic"/>
        </w:rPr>
        <w:t xml:space="preserve">、 </w:t>
      </w:r>
      <w:r>
        <w:t xml:space="preserve">对生产经营单位处以 </w:t>
      </w:r>
      <w:r>
        <w:rPr>
          <w:rFonts w:hint="eastAsia" w:ascii="MS UI Gothic" w:eastAsia="MS UI Gothic"/>
        </w:rPr>
        <w:t xml:space="preserve">１ </w:t>
      </w:r>
      <w:r>
        <w:t>千元以下罚款或者警告的行政处罚的</w:t>
      </w:r>
      <w:r>
        <w:rPr>
          <w:rFonts w:hint="eastAsia" w:ascii="MS UI Gothic" w:eastAsia="MS UI Gothic"/>
          <w:w w:val="85"/>
        </w:rPr>
        <w:t xml:space="preserve">ꎬ </w:t>
      </w:r>
      <w:r>
        <w:t>安全生产行政执法人员可以当场作出行政处罚决定</w:t>
      </w:r>
      <w:r>
        <w:rPr>
          <w:rFonts w:hint="eastAsia" w:ascii="MS UI Gothic" w:eastAsia="MS UI Gothic"/>
          <w:w w:val="85"/>
        </w:rPr>
        <w:t>ꎮ</w:t>
      </w:r>
    </w:p>
    <w:p>
      <w:pPr>
        <w:pStyle w:val="6"/>
        <w:tabs>
          <w:tab w:val="left" w:pos="2057"/>
        </w:tabs>
        <w:spacing w:line="252" w:lineRule="exact"/>
        <w:ind w:left="800" w:firstLine="0"/>
        <w:jc w:val="left"/>
      </w:pPr>
      <w:r>
        <w:rPr>
          <w:spacing w:val="3"/>
          <w:w w:val="105"/>
        </w:rPr>
        <w:t>第二十一</w:t>
      </w:r>
      <w:r>
        <w:rPr>
          <w:w w:val="105"/>
        </w:rPr>
        <w:t>条</w:t>
      </w:r>
      <w:r>
        <w:rPr>
          <w:w w:val="105"/>
        </w:rPr>
        <w:tab/>
      </w:r>
      <w:r>
        <w:rPr>
          <w:spacing w:val="3"/>
          <w:w w:val="105"/>
        </w:rPr>
        <w:t>安全生产行政执法人</w:t>
      </w:r>
      <w:r>
        <w:rPr>
          <w:w w:val="105"/>
        </w:rPr>
        <w:t>员</w:t>
      </w:r>
    </w:p>
    <w:p>
      <w:pPr>
        <w:spacing w:after="0" w:line="252"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１３０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31" o:spid="_x0000_s1431" o:spt="203" style="height:2.15pt;width:398.25pt;" coordsize="7965,43">
            <o:lock v:ext="edit"/>
            <v:line id="_x0000_s1432" o:spid="_x0000_s1432" o:spt="20" style="position:absolute;left:0;top:39;height:0;width:7965;" stroked="t" coordsize="21600,21600">
              <v:path arrowok="t"/>
              <v:fill focussize="0,0"/>
              <v:stroke weight="0.388031496062992pt" color="#231F20"/>
              <v:imagedata o:title=""/>
              <o:lock v:ext="edit"/>
            </v:line>
            <v:line id="_x0000_s1433" o:spid="_x0000_s14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当场作出行政处罚决定</w:t>
      </w:r>
      <w:r>
        <w:rPr>
          <w:rFonts w:hint="eastAsia" w:ascii="MS UI Gothic" w:eastAsia="MS UI Gothic"/>
          <w:w w:val="80"/>
        </w:rPr>
        <w:t xml:space="preserve">ꎬ </w:t>
      </w:r>
      <w:r>
        <w:t>应当填写预定格式</w:t>
      </w:r>
      <w:r>
        <w:rPr>
          <w:rFonts w:hint="eastAsia" w:ascii="MS UI Gothic" w:eastAsia="MS UI Gothic"/>
          <w:w w:val="80"/>
        </w:rPr>
        <w:t xml:space="preserve">、 </w:t>
      </w:r>
      <w:r>
        <w:t>编有号码的行政处罚决定书并当场交付当事人</w:t>
      </w:r>
      <w:r>
        <w:rPr>
          <w:rFonts w:hint="eastAsia" w:ascii="MS UI Gothic" w:eastAsia="MS UI Gothic"/>
          <w:w w:val="80"/>
        </w:rPr>
        <w:t>ꎮ</w:t>
      </w:r>
    </w:p>
    <w:p>
      <w:pPr>
        <w:pStyle w:val="6"/>
        <w:spacing w:line="295" w:lineRule="auto"/>
        <w:ind w:right="39"/>
        <w:rPr>
          <w:rFonts w:hint="eastAsia" w:ascii="MS UI Gothic" w:eastAsia="MS UI Gothic"/>
        </w:rPr>
      </w:pPr>
      <w:r>
        <w:t>安全生产行政执法人员当场作出行政处罚决定后应当及时报告</w:t>
      </w:r>
      <w:r>
        <w:rPr>
          <w:rFonts w:hint="eastAsia" w:ascii="MS UI Gothic" w:eastAsia="MS UI Gothic"/>
          <w:w w:val="80"/>
        </w:rPr>
        <w:t xml:space="preserve">ꎬ </w:t>
      </w:r>
      <w:r>
        <w:t xml:space="preserve">并在 </w:t>
      </w:r>
      <w:r>
        <w:rPr>
          <w:rFonts w:hint="eastAsia" w:ascii="MS UI Gothic" w:eastAsia="MS UI Gothic"/>
          <w:w w:val="80"/>
        </w:rPr>
        <w:t xml:space="preserve">５ </w:t>
      </w:r>
      <w:r>
        <w:t>日内报所属安全监管监察部门备案</w:t>
      </w:r>
      <w:r>
        <w:rPr>
          <w:rFonts w:hint="eastAsia" w:ascii="MS UI Gothic" w:eastAsia="MS UI Gothic"/>
          <w:w w:val="80"/>
        </w:rPr>
        <w:t>ꎮ</w:t>
      </w:r>
    </w:p>
    <w:p>
      <w:pPr>
        <w:pStyle w:val="6"/>
        <w:tabs>
          <w:tab w:val="left" w:pos="1906"/>
        </w:tabs>
        <w:spacing w:before="153"/>
        <w:ind w:left="1067" w:firstLine="0"/>
        <w:jc w:val="left"/>
      </w:pPr>
      <w:r>
        <w:rPr>
          <w:spacing w:val="3"/>
          <w:w w:val="105"/>
        </w:rPr>
        <w:t>第二</w:t>
      </w:r>
      <w:r>
        <w:rPr>
          <w:w w:val="105"/>
        </w:rPr>
        <w:t>节</w:t>
      </w:r>
      <w:r>
        <w:rPr>
          <w:w w:val="105"/>
        </w:rPr>
        <w:tab/>
      </w:r>
      <w:r>
        <w:rPr>
          <w:w w:val="105"/>
        </w:rPr>
        <w:t>一</w:t>
      </w:r>
      <w:r>
        <w:rPr>
          <w:spacing w:val="-34"/>
          <w:w w:val="105"/>
        </w:rPr>
        <w:t xml:space="preserve"> </w:t>
      </w:r>
      <w:r>
        <w:rPr>
          <w:w w:val="105"/>
        </w:rPr>
        <w:t>般</w:t>
      </w:r>
      <w:r>
        <w:rPr>
          <w:spacing w:val="-33"/>
          <w:w w:val="105"/>
        </w:rPr>
        <w:t xml:space="preserve"> </w:t>
      </w:r>
      <w:r>
        <w:rPr>
          <w:w w:val="105"/>
        </w:rPr>
        <w:t>程</w:t>
      </w:r>
      <w:r>
        <w:rPr>
          <w:spacing w:val="-33"/>
          <w:w w:val="105"/>
        </w:rPr>
        <w:t xml:space="preserve"> </w:t>
      </w:r>
      <w:r>
        <w:rPr>
          <w:w w:val="105"/>
        </w:rPr>
        <w:t>序</w:t>
      </w:r>
    </w:p>
    <w:p>
      <w:pPr>
        <w:pStyle w:val="6"/>
        <w:spacing w:before="10"/>
        <w:ind w:left="0" w:firstLine="0"/>
        <w:jc w:val="left"/>
        <w:rPr>
          <w:sz w:val="16"/>
        </w:rPr>
      </w:pPr>
    </w:p>
    <w:p>
      <w:pPr>
        <w:pStyle w:val="6"/>
        <w:spacing w:line="295" w:lineRule="auto"/>
        <w:ind w:right="39"/>
        <w:rPr>
          <w:rFonts w:hint="eastAsia" w:ascii="MS UI Gothic" w:eastAsia="MS UI Gothic"/>
        </w:rPr>
      </w:pPr>
      <w:r>
        <w:t>第二十二条 除依照简易程序当场作出的行政处罚外</w:t>
      </w:r>
      <w:r>
        <w:rPr>
          <w:rFonts w:hint="eastAsia" w:ascii="MS UI Gothic" w:eastAsia="MS UI Gothic"/>
          <w:w w:val="80"/>
        </w:rPr>
        <w:t xml:space="preserve">ꎬ </w:t>
      </w:r>
      <w:r>
        <w:t>安全监管监察部门发现生产经营单位及其有关人员有应当给予行政处罚的行为的</w:t>
      </w:r>
      <w:r>
        <w:rPr>
          <w:rFonts w:hint="eastAsia" w:ascii="MS UI Gothic" w:eastAsia="MS UI Gothic"/>
          <w:w w:val="80"/>
        </w:rPr>
        <w:t xml:space="preserve">ꎬ </w:t>
      </w:r>
      <w:r>
        <w:t>应当予以立案</w:t>
      </w:r>
      <w:r>
        <w:rPr>
          <w:rFonts w:hint="eastAsia" w:ascii="MS UI Gothic" w:eastAsia="MS UI Gothic"/>
          <w:w w:val="80"/>
        </w:rPr>
        <w:t xml:space="preserve">ꎬ </w:t>
      </w:r>
      <w:r>
        <w:t>填写立案审批表</w:t>
      </w:r>
      <w:r>
        <w:rPr>
          <w:rFonts w:hint="eastAsia" w:ascii="MS UI Gothic" w:eastAsia="MS UI Gothic"/>
          <w:w w:val="80"/>
        </w:rPr>
        <w:t xml:space="preserve">ꎬ </w:t>
      </w:r>
      <w:r>
        <w:t>并全面</w:t>
      </w:r>
      <w:r>
        <w:rPr>
          <w:rFonts w:hint="eastAsia" w:ascii="MS UI Gothic" w:eastAsia="MS UI Gothic"/>
          <w:w w:val="80"/>
        </w:rPr>
        <w:t xml:space="preserve">、 </w:t>
      </w:r>
      <w:r>
        <w:t>客观</w:t>
      </w:r>
      <w:r>
        <w:rPr>
          <w:rFonts w:hint="eastAsia" w:ascii="MS UI Gothic" w:eastAsia="MS UI Gothic"/>
          <w:w w:val="80"/>
        </w:rPr>
        <w:t xml:space="preserve">、 </w:t>
      </w:r>
      <w:r>
        <w:t>公正地进行调查</w:t>
      </w:r>
      <w:r>
        <w:rPr>
          <w:rFonts w:hint="eastAsia" w:ascii="MS UI Gothic" w:eastAsia="MS UI Gothic"/>
          <w:w w:val="80"/>
        </w:rPr>
        <w:t xml:space="preserve">ꎬ </w:t>
      </w:r>
      <w:r>
        <w:t>收集有关证据</w:t>
      </w:r>
      <w:r>
        <w:rPr>
          <w:rFonts w:hint="eastAsia" w:ascii="MS UI Gothic" w:eastAsia="MS UI Gothic"/>
          <w:w w:val="80"/>
        </w:rPr>
        <w:t xml:space="preserve">ꎮ </w:t>
      </w:r>
      <w:r>
        <w:t>对确需立即查处的安全生产违法行为</w:t>
      </w:r>
      <w:r>
        <w:rPr>
          <w:rFonts w:hint="eastAsia" w:ascii="MS UI Gothic" w:eastAsia="MS UI Gothic"/>
          <w:w w:val="80"/>
        </w:rPr>
        <w:t xml:space="preserve">ꎬ </w:t>
      </w:r>
      <w:r>
        <w:t>可以先行调查取证</w:t>
      </w:r>
      <w:r>
        <w:rPr>
          <w:rFonts w:hint="eastAsia" w:ascii="MS UI Gothic" w:eastAsia="MS UI Gothic"/>
          <w:w w:val="80"/>
        </w:rPr>
        <w:t xml:space="preserve">ꎬ </w:t>
      </w:r>
      <w:r>
        <w:t xml:space="preserve">并在 </w:t>
      </w:r>
      <w:r>
        <w:rPr>
          <w:rFonts w:hint="eastAsia" w:ascii="MS UI Gothic" w:eastAsia="MS UI Gothic"/>
          <w:w w:val="80"/>
        </w:rPr>
        <w:t xml:space="preserve">５ </w:t>
      </w:r>
      <w:r>
        <w:t>日内补办立案手续</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第二十三条 对已经立案的案件</w:t>
      </w:r>
      <w:r>
        <w:rPr>
          <w:rFonts w:hint="eastAsia" w:ascii="MS UI Gothic" w:eastAsia="MS UI Gothic"/>
          <w:w w:val="80"/>
        </w:rPr>
        <w:t xml:space="preserve">ꎬ </w:t>
      </w:r>
      <w:r>
        <w:rPr>
          <w:w w:val="105"/>
        </w:rPr>
        <w:t>由</w:t>
      </w:r>
      <w:r>
        <w:t>立案审批人指定两名或者两名以上安全生</w:t>
      </w:r>
      <w:r>
        <w:rPr>
          <w:w w:val="105"/>
        </w:rPr>
        <w:t>产行政执法人员进行调查</w:t>
      </w:r>
      <w:r>
        <w:rPr>
          <w:rFonts w:hint="eastAsia" w:ascii="MS UI Gothic" w:eastAsia="MS UI Gothic"/>
          <w:w w:val="80"/>
        </w:rPr>
        <w:t>ꎮ</w:t>
      </w:r>
    </w:p>
    <w:p>
      <w:pPr>
        <w:pStyle w:val="6"/>
        <w:spacing w:line="295" w:lineRule="auto"/>
        <w:ind w:right="39"/>
        <w:rPr>
          <w:rFonts w:hint="eastAsia" w:ascii="MS UI Gothic" w:eastAsia="MS UI Gothic"/>
        </w:rPr>
      </w:pPr>
      <w:r>
        <w:t>有下列情形之一的</w:t>
      </w:r>
      <w:r>
        <w:rPr>
          <w:rFonts w:hint="eastAsia" w:ascii="MS UI Gothic" w:eastAsia="MS UI Gothic"/>
          <w:w w:val="80"/>
        </w:rPr>
        <w:t xml:space="preserve">ꎬ </w:t>
      </w:r>
      <w:r>
        <w:t>承办案件的安全</w:t>
      </w:r>
      <w:r>
        <w:rPr>
          <w:w w:val="110"/>
        </w:rPr>
        <w:t>生产行政执法人员应当回避</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本人是本案的当事人或者当事</w:t>
      </w:r>
      <w:r>
        <w:rPr>
          <w:w w:val="110"/>
        </w:rPr>
        <w:t>人的近亲属的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本人或者其近亲属与本案有利</w:t>
      </w:r>
      <w:r>
        <w:rPr>
          <w:w w:val="110"/>
        </w:rPr>
        <w:t>害关系的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与本人有其他利害关系</w:t>
      </w:r>
      <w:r>
        <w:rPr>
          <w:rFonts w:hint="eastAsia" w:ascii="MS UI Gothic" w:eastAsia="MS UI Gothic"/>
          <w:w w:val="80"/>
        </w:rPr>
        <w:t xml:space="preserve">ꎬ </w:t>
      </w:r>
      <w:r>
        <w:rPr>
          <w:w w:val="105"/>
        </w:rPr>
        <w:t>可能影响案件的公正处理的</w:t>
      </w:r>
      <w:r>
        <w:rPr>
          <w:rFonts w:hint="eastAsia" w:ascii="MS UI Gothic" w:eastAsia="MS UI Gothic"/>
          <w:w w:val="80"/>
        </w:rPr>
        <w:t>ꎮ</w:t>
      </w:r>
    </w:p>
    <w:p>
      <w:pPr>
        <w:pStyle w:val="6"/>
        <w:spacing w:line="295" w:lineRule="auto"/>
        <w:ind w:right="39"/>
        <w:rPr>
          <w:rFonts w:hint="eastAsia" w:ascii="MS UI Gothic" w:eastAsia="MS UI Gothic"/>
        </w:rPr>
      </w:pPr>
      <w:r>
        <w:t>安全生产行政执法人员的回避</w:t>
      </w:r>
      <w:r>
        <w:rPr>
          <w:rFonts w:hint="eastAsia" w:ascii="MS UI Gothic" w:eastAsia="MS UI Gothic"/>
          <w:w w:val="80"/>
        </w:rPr>
        <w:t xml:space="preserve">ꎬ </w:t>
      </w:r>
      <w:r>
        <w:t>由派出其进行调查的安全监管监察部门的负责人决定</w:t>
      </w:r>
      <w:r>
        <w:rPr>
          <w:rFonts w:hint="eastAsia" w:ascii="MS UI Gothic" w:eastAsia="MS UI Gothic"/>
          <w:w w:val="80"/>
        </w:rPr>
        <w:t xml:space="preserve">ꎮ </w:t>
      </w:r>
      <w:r>
        <w:t>进行调查的安全监管监察部门负责人的回避</w:t>
      </w:r>
      <w:r>
        <w:rPr>
          <w:rFonts w:hint="eastAsia" w:ascii="MS UI Gothic" w:eastAsia="MS UI Gothic"/>
          <w:w w:val="80"/>
        </w:rPr>
        <w:t xml:space="preserve">ꎬ </w:t>
      </w:r>
      <w:r>
        <w:t>由该部门负责人集体讨论决定</w:t>
      </w:r>
      <w:r>
        <w:rPr>
          <w:rFonts w:hint="eastAsia" w:ascii="MS UI Gothic" w:eastAsia="MS UI Gothic"/>
          <w:w w:val="80"/>
        </w:rPr>
        <w:t xml:space="preserve">ꎮ </w:t>
      </w:r>
      <w:r>
        <w:t>回避决定作出之前</w:t>
      </w:r>
      <w:r>
        <w:rPr>
          <w:rFonts w:hint="eastAsia" w:ascii="MS UI Gothic" w:eastAsia="MS UI Gothic"/>
          <w:w w:val="80"/>
        </w:rPr>
        <w:t xml:space="preserve">ꎬ </w:t>
      </w:r>
      <w:r>
        <w:t>承办案件的安全生产行政执法人员不得擅自停止对案件的调查</w:t>
      </w:r>
      <w:r>
        <w:rPr>
          <w:rFonts w:hint="eastAsia" w:ascii="MS UI Gothic" w:eastAsia="MS UI Gothic"/>
          <w:w w:val="80"/>
        </w:rPr>
        <w:t>ꎮ</w:t>
      </w:r>
    </w:p>
    <w:p>
      <w:pPr>
        <w:pStyle w:val="6"/>
        <w:spacing w:line="295" w:lineRule="auto"/>
        <w:ind w:right="38"/>
        <w:rPr>
          <w:rFonts w:hint="eastAsia" w:ascii="MS UI Gothic" w:eastAsia="MS UI Gothic"/>
        </w:rPr>
      </w:pPr>
      <w:r>
        <w:t>第二十四条 进行案件调查时</w:t>
      </w:r>
      <w:r>
        <w:rPr>
          <w:rFonts w:hint="eastAsia" w:ascii="MS UI Gothic" w:eastAsia="MS UI Gothic"/>
          <w:w w:val="80"/>
        </w:rPr>
        <w:t xml:space="preserve">ꎬ </w:t>
      </w:r>
      <w:r>
        <w:t>安全生产行政执法人员不得少于两名</w:t>
      </w:r>
      <w:r>
        <w:rPr>
          <w:rFonts w:hint="eastAsia" w:ascii="MS UI Gothic" w:eastAsia="MS UI Gothic"/>
          <w:w w:val="80"/>
        </w:rPr>
        <w:t xml:space="preserve">ꎮ </w:t>
      </w:r>
      <w:r>
        <w:t>当事人或者有关人员应当如实回答安全生产行政执法人员的询问</w:t>
      </w:r>
      <w:r>
        <w:rPr>
          <w:rFonts w:hint="eastAsia" w:ascii="MS UI Gothic" w:eastAsia="MS UI Gothic"/>
          <w:w w:val="80"/>
        </w:rPr>
        <w:t xml:space="preserve">ꎬ </w:t>
      </w:r>
      <w:r>
        <w:t>并协助调查或者检查</w:t>
      </w:r>
      <w:r>
        <w:rPr>
          <w:rFonts w:hint="eastAsia" w:ascii="MS UI Gothic" w:eastAsia="MS UI Gothic"/>
          <w:w w:val="80"/>
        </w:rPr>
        <w:t>ꎬ</w:t>
      </w:r>
      <w:r>
        <w:t>不得拒绝</w:t>
      </w:r>
      <w:r>
        <w:rPr>
          <w:rFonts w:hint="eastAsia" w:ascii="MS UI Gothic" w:eastAsia="MS UI Gothic"/>
          <w:w w:val="80"/>
        </w:rPr>
        <w:t xml:space="preserve">、 </w:t>
      </w:r>
      <w:r>
        <w:t>阻挠或者提供虚假情况</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t>询问或者检查应当制作笔录</w:t>
      </w:r>
      <w:r>
        <w:rPr>
          <w:rFonts w:hint="eastAsia" w:ascii="MS UI Gothic" w:eastAsia="MS UI Gothic"/>
          <w:w w:val="80"/>
        </w:rPr>
        <w:t xml:space="preserve">ꎮ </w:t>
      </w:r>
      <w:r>
        <w:t>笔录应当记载时间</w:t>
      </w:r>
      <w:r>
        <w:rPr>
          <w:rFonts w:hint="eastAsia" w:ascii="MS UI Gothic" w:eastAsia="MS UI Gothic"/>
          <w:w w:val="80"/>
        </w:rPr>
        <w:t xml:space="preserve">、 </w:t>
      </w:r>
      <w:r>
        <w:t>地点</w:t>
      </w:r>
      <w:r>
        <w:rPr>
          <w:rFonts w:hint="eastAsia" w:ascii="MS UI Gothic" w:eastAsia="MS UI Gothic"/>
          <w:w w:val="80"/>
        </w:rPr>
        <w:t xml:space="preserve">、 </w:t>
      </w:r>
      <w:r>
        <w:t>询问和检查情况</w:t>
      </w:r>
      <w:r>
        <w:rPr>
          <w:rFonts w:hint="eastAsia" w:ascii="MS UI Gothic" w:eastAsia="MS UI Gothic"/>
          <w:w w:val="80"/>
        </w:rPr>
        <w:t xml:space="preserve">ꎬ </w:t>
      </w:r>
      <w:r>
        <w:t>并由被询问人</w:t>
      </w:r>
      <w:r>
        <w:rPr>
          <w:rFonts w:hint="eastAsia" w:ascii="MS UI Gothic" w:eastAsia="MS UI Gothic"/>
          <w:w w:val="80"/>
        </w:rPr>
        <w:t xml:space="preserve">、 </w:t>
      </w:r>
      <w:r>
        <w:t>被检查单位和安全生产行政执法人员签名或者盖章</w:t>
      </w:r>
      <w:r>
        <w:rPr>
          <w:rFonts w:hint="eastAsia" w:ascii="MS UI Gothic" w:eastAsia="MS UI Gothic"/>
          <w:w w:val="80"/>
        </w:rPr>
        <w:t xml:space="preserve">ꎻ </w:t>
      </w:r>
      <w:r>
        <w:t>被询问人</w:t>
      </w:r>
      <w:r>
        <w:rPr>
          <w:rFonts w:hint="eastAsia" w:ascii="MS UI Gothic" w:eastAsia="MS UI Gothic"/>
          <w:w w:val="80"/>
        </w:rPr>
        <w:t xml:space="preserve">、 </w:t>
      </w:r>
      <w:r>
        <w:t>被检查单位要求补正的</w:t>
      </w:r>
      <w:r>
        <w:rPr>
          <w:rFonts w:hint="eastAsia" w:ascii="MS UI Gothic" w:eastAsia="MS UI Gothic"/>
          <w:w w:val="80"/>
        </w:rPr>
        <w:t xml:space="preserve">ꎬ </w:t>
      </w:r>
      <w:r>
        <w:t>应当允许</w:t>
      </w:r>
      <w:r>
        <w:rPr>
          <w:rFonts w:hint="eastAsia" w:ascii="MS UI Gothic" w:eastAsia="MS UI Gothic"/>
          <w:w w:val="80"/>
        </w:rPr>
        <w:t xml:space="preserve">ꎮ </w:t>
      </w:r>
      <w:r>
        <w:t>被询问人或者被检查单位拒绝签名或者盖章的</w:t>
      </w:r>
      <w:r>
        <w:rPr>
          <w:rFonts w:hint="eastAsia" w:ascii="MS UI Gothic" w:eastAsia="MS UI Gothic"/>
          <w:w w:val="80"/>
        </w:rPr>
        <w:t xml:space="preserve">ꎬ </w:t>
      </w:r>
      <w:r>
        <w:t>安全生产行政执法人员应当在笔录上注明原因并签名</w:t>
      </w:r>
      <w:r>
        <w:rPr>
          <w:rFonts w:hint="eastAsia" w:ascii="MS UI Gothic" w:eastAsia="MS UI Gothic"/>
          <w:w w:val="80"/>
        </w:rPr>
        <w:t>ꎮ</w:t>
      </w:r>
    </w:p>
    <w:p>
      <w:pPr>
        <w:pStyle w:val="6"/>
        <w:spacing w:line="295" w:lineRule="auto"/>
        <w:ind w:right="442"/>
        <w:rPr>
          <w:rFonts w:hint="eastAsia" w:ascii="MS UI Gothic" w:hAnsi="MS UI Gothic" w:eastAsia="MS UI Gothic"/>
        </w:rPr>
      </w:pPr>
      <w:r>
        <w:t>第二十五条 安全生产行政执法人员应当收集</w:t>
      </w:r>
      <w:r>
        <w:rPr>
          <w:rFonts w:hint="eastAsia" w:ascii="MS UI Gothic" w:hAnsi="MS UI Gothic" w:eastAsia="MS UI Gothic"/>
          <w:w w:val="80"/>
        </w:rPr>
        <w:t xml:space="preserve">、 </w:t>
      </w:r>
      <w:r>
        <w:t>调取与案件有关的原始凭证作为证据</w:t>
      </w:r>
      <w:r>
        <w:rPr>
          <w:rFonts w:hint="eastAsia" w:ascii="MS UI Gothic" w:hAnsi="MS UI Gothic" w:eastAsia="MS UI Gothic"/>
          <w:w w:val="80"/>
        </w:rPr>
        <w:t xml:space="preserve">ꎮ </w:t>
      </w:r>
      <w:r>
        <w:t>调取原始凭证确有困难的</w:t>
      </w:r>
      <w:r>
        <w:rPr>
          <w:rFonts w:hint="eastAsia" w:ascii="MS UI Gothic" w:hAnsi="MS UI Gothic" w:eastAsia="MS UI Gothic"/>
          <w:w w:val="80"/>
        </w:rPr>
        <w:t xml:space="preserve">ꎬ </w:t>
      </w:r>
      <w:r>
        <w:t>可以复制</w:t>
      </w:r>
      <w:r>
        <w:rPr>
          <w:rFonts w:hint="eastAsia" w:ascii="MS UI Gothic" w:hAnsi="MS UI Gothic" w:eastAsia="MS UI Gothic"/>
          <w:w w:val="80"/>
        </w:rPr>
        <w:t xml:space="preserve">ꎬ </w:t>
      </w:r>
      <w:r>
        <w:t xml:space="preserve">复制件应当注明 </w:t>
      </w:r>
      <w:r>
        <w:rPr>
          <w:rFonts w:hint="eastAsia" w:ascii="MS UI Gothic" w:hAnsi="MS UI Gothic" w:eastAsia="MS UI Gothic"/>
        </w:rPr>
        <w:t xml:space="preserve">“ </w:t>
      </w:r>
      <w:r>
        <w:t>经核对与原件无异</w:t>
      </w:r>
      <w:r>
        <w:rPr>
          <w:rFonts w:hint="eastAsia" w:ascii="MS UI Gothic" w:hAnsi="MS UI Gothic" w:eastAsia="MS UI Gothic"/>
        </w:rPr>
        <w:t xml:space="preserve">” </w:t>
      </w:r>
      <w:r>
        <w:t>的字样和原始凭证存放的单位及其处所</w:t>
      </w:r>
      <w:r>
        <w:rPr>
          <w:rFonts w:hint="eastAsia" w:ascii="MS UI Gothic" w:hAnsi="MS UI Gothic" w:eastAsia="MS UI Gothic"/>
          <w:w w:val="80"/>
        </w:rPr>
        <w:t xml:space="preserve">ꎬ </w:t>
      </w:r>
      <w:r>
        <w:t>并由出具证据的人员签名或者单位盖章</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spacing w:val="2"/>
          <w:w w:val="105"/>
        </w:rPr>
        <w:t>第二十六条 安全生产行政执法人员</w:t>
      </w:r>
      <w:r>
        <w:rPr>
          <w:spacing w:val="11"/>
        </w:rPr>
        <w:t>在收集证据时</w:t>
      </w:r>
      <w:r>
        <w:rPr>
          <w:rFonts w:hint="eastAsia" w:ascii="MS UI Gothic" w:eastAsia="MS UI Gothic"/>
          <w:spacing w:val="23"/>
          <w:w w:val="80"/>
        </w:rPr>
        <w:t xml:space="preserve">ꎬ </w:t>
      </w:r>
      <w:r>
        <w:rPr>
          <w:spacing w:val="17"/>
        </w:rPr>
        <w:t>可以采取抽样取证的方</w:t>
      </w:r>
      <w:r>
        <w:rPr>
          <w:spacing w:val="3"/>
        </w:rPr>
        <w:t>法</w:t>
      </w:r>
      <w:r>
        <w:rPr>
          <w:rFonts w:hint="eastAsia" w:ascii="MS UI Gothic" w:eastAsia="MS UI Gothic"/>
          <w:spacing w:val="20"/>
          <w:w w:val="80"/>
        </w:rPr>
        <w:t xml:space="preserve">ꎻ </w:t>
      </w:r>
      <w:r>
        <w:rPr>
          <w:spacing w:val="2"/>
        </w:rPr>
        <w:t>在证据可能灭失或者以后难以取得的</w:t>
      </w:r>
      <w:r>
        <w:rPr>
          <w:spacing w:val="3"/>
        </w:rPr>
        <w:t>情况下</w:t>
      </w:r>
      <w:r>
        <w:rPr>
          <w:rFonts w:hint="eastAsia" w:ascii="MS UI Gothic" w:eastAsia="MS UI Gothic"/>
          <w:spacing w:val="23"/>
          <w:w w:val="80"/>
        </w:rPr>
        <w:t xml:space="preserve">ꎬ </w:t>
      </w:r>
      <w:r>
        <w:rPr>
          <w:spacing w:val="3"/>
        </w:rPr>
        <w:t>经本单位负责人批准</w:t>
      </w:r>
      <w:r>
        <w:rPr>
          <w:rFonts w:hint="eastAsia" w:ascii="MS UI Gothic" w:eastAsia="MS UI Gothic"/>
          <w:spacing w:val="23"/>
          <w:w w:val="80"/>
        </w:rPr>
        <w:t xml:space="preserve">ꎬ </w:t>
      </w:r>
      <w:r>
        <w:rPr>
          <w:spacing w:val="2"/>
        </w:rPr>
        <w:t>可以先行</w:t>
      </w:r>
      <w:r>
        <w:rPr>
          <w:spacing w:val="18"/>
          <w:w w:val="105"/>
        </w:rPr>
        <w:t>登记保存</w:t>
      </w:r>
      <w:r>
        <w:rPr>
          <w:rFonts w:hint="eastAsia" w:ascii="MS UI Gothic" w:eastAsia="MS UI Gothic"/>
          <w:spacing w:val="15"/>
          <w:w w:val="80"/>
        </w:rPr>
        <w:t xml:space="preserve">ꎬ </w:t>
      </w:r>
      <w:r>
        <w:rPr>
          <w:spacing w:val="10"/>
          <w:w w:val="105"/>
        </w:rPr>
        <w:t xml:space="preserve">并应当在 </w:t>
      </w:r>
      <w:r>
        <w:rPr>
          <w:rFonts w:hint="eastAsia" w:ascii="MS UI Gothic" w:eastAsia="MS UI Gothic"/>
          <w:spacing w:val="7"/>
          <w:w w:val="80"/>
        </w:rPr>
        <w:t xml:space="preserve">７ </w:t>
      </w:r>
      <w:r>
        <w:rPr>
          <w:spacing w:val="30"/>
          <w:w w:val="105"/>
        </w:rPr>
        <w:t>日内作出处理</w:t>
      </w:r>
      <w:r>
        <w:rPr>
          <w:spacing w:val="3"/>
          <w:w w:val="105"/>
        </w:rPr>
        <w:t>决定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5"/>
          <w:w w:val="105"/>
        </w:rPr>
        <w:t>一</w:t>
      </w:r>
      <w:r>
        <w:rPr>
          <w:rFonts w:hint="eastAsia" w:ascii="MS UI Gothic" w:eastAsia="MS UI Gothic"/>
          <w:spacing w:val="12"/>
          <w:w w:val="150"/>
        </w:rPr>
        <w:t xml:space="preserve">) </w:t>
      </w:r>
      <w:r>
        <w:rPr>
          <w:spacing w:val="23"/>
          <w:w w:val="105"/>
        </w:rPr>
        <w:t>违法事实成立依法应当没收</w:t>
      </w:r>
      <w:r>
        <w:rPr>
          <w:spacing w:val="3"/>
        </w:rPr>
        <w:t>的</w:t>
      </w:r>
      <w:r>
        <w:rPr>
          <w:rFonts w:hint="eastAsia" w:ascii="MS UI Gothic" w:eastAsia="MS UI Gothic"/>
          <w:spacing w:val="15"/>
          <w:w w:val="80"/>
        </w:rPr>
        <w:t xml:space="preserve">ꎬ </w:t>
      </w:r>
      <w:r>
        <w:rPr>
          <w:spacing w:val="3"/>
        </w:rPr>
        <w:t>作出行政处罚决定</w:t>
      </w:r>
      <w:r>
        <w:rPr>
          <w:rFonts w:hint="eastAsia" w:ascii="MS UI Gothic" w:eastAsia="MS UI Gothic"/>
          <w:spacing w:val="15"/>
          <w:w w:val="80"/>
        </w:rPr>
        <w:t xml:space="preserve">ꎬ </w:t>
      </w:r>
      <w:r>
        <w:rPr>
          <w:spacing w:val="3"/>
        </w:rPr>
        <w:t>予以没收</w:t>
      </w:r>
      <w:r>
        <w:rPr>
          <w:rFonts w:hint="eastAsia" w:ascii="MS UI Gothic" w:eastAsia="MS UI Gothic"/>
          <w:spacing w:val="15"/>
          <w:w w:val="80"/>
        </w:rPr>
        <w:t xml:space="preserve">ꎻ </w:t>
      </w:r>
      <w:r>
        <w:rPr>
          <w:spacing w:val="1"/>
        </w:rPr>
        <w:t>依法</w:t>
      </w:r>
      <w:r>
        <w:rPr>
          <w:spacing w:val="27"/>
        </w:rPr>
        <w:t>应当扣留或者封存的</w:t>
      </w:r>
      <w:r>
        <w:rPr>
          <w:rFonts w:hint="eastAsia" w:ascii="MS UI Gothic" w:eastAsia="MS UI Gothic"/>
          <w:spacing w:val="2"/>
          <w:w w:val="80"/>
        </w:rPr>
        <w:t xml:space="preserve">ꎬ </w:t>
      </w:r>
      <w:r>
        <w:rPr>
          <w:spacing w:val="30"/>
        </w:rPr>
        <w:t>予以扣留或者</w:t>
      </w:r>
      <w:r>
        <w:rPr>
          <w:spacing w:val="3"/>
          <w:w w:val="105"/>
        </w:rPr>
        <w:t>封存</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3"/>
          <w:w w:val="150"/>
        </w:rPr>
        <w:t xml:space="preserve">) </w:t>
      </w:r>
      <w:r>
        <w:rPr>
          <w:spacing w:val="5"/>
          <w:w w:val="105"/>
        </w:rPr>
        <w:t>违法事实不成立</w:t>
      </w:r>
      <w:r>
        <w:rPr>
          <w:rFonts w:hint="eastAsia" w:ascii="MS UI Gothic" w:eastAsia="MS UI Gothic"/>
          <w:spacing w:val="13"/>
          <w:w w:val="80"/>
        </w:rPr>
        <w:t xml:space="preserve">ꎬ </w:t>
      </w:r>
      <w:r>
        <w:rPr>
          <w:spacing w:val="8"/>
          <w:w w:val="105"/>
        </w:rPr>
        <w:t>或者依法不</w:t>
      </w:r>
      <w:r>
        <w:rPr>
          <w:spacing w:val="3"/>
          <w:w w:val="105"/>
        </w:rPr>
        <w:t>应当予以没收</w:t>
      </w:r>
      <w:r>
        <w:rPr>
          <w:rFonts w:hint="eastAsia" w:ascii="MS UI Gothic" w:eastAsia="MS UI Gothic"/>
          <w:spacing w:val="8"/>
          <w:w w:val="80"/>
        </w:rPr>
        <w:t xml:space="preserve">、 </w:t>
      </w:r>
      <w:r>
        <w:rPr>
          <w:spacing w:val="3"/>
          <w:w w:val="105"/>
        </w:rPr>
        <w:t>扣留</w:t>
      </w:r>
      <w:r>
        <w:rPr>
          <w:rFonts w:hint="eastAsia" w:ascii="MS UI Gothic" w:eastAsia="MS UI Gothic"/>
          <w:spacing w:val="9"/>
          <w:w w:val="80"/>
        </w:rPr>
        <w:t xml:space="preserve">、 </w:t>
      </w:r>
      <w:r>
        <w:rPr>
          <w:spacing w:val="3"/>
          <w:w w:val="105"/>
        </w:rPr>
        <w:t>封存的</w:t>
      </w:r>
      <w:r>
        <w:rPr>
          <w:rFonts w:hint="eastAsia" w:ascii="MS UI Gothic" w:eastAsia="MS UI Gothic"/>
          <w:spacing w:val="9"/>
          <w:w w:val="80"/>
        </w:rPr>
        <w:t xml:space="preserve">ꎬ </w:t>
      </w:r>
      <w:r>
        <w:rPr>
          <w:spacing w:val="2"/>
          <w:w w:val="105"/>
        </w:rPr>
        <w:t>解除登记</w:t>
      </w:r>
      <w:r>
        <w:rPr>
          <w:spacing w:val="3"/>
          <w:w w:val="105"/>
        </w:rPr>
        <w:t>保存</w:t>
      </w:r>
      <w:r>
        <w:rPr>
          <w:rFonts w:hint="eastAsia" w:ascii="MS UI Gothic" w:eastAsia="MS UI Gothic"/>
          <w:w w:val="80"/>
        </w:rPr>
        <w:t>ꎮ</w:t>
      </w:r>
    </w:p>
    <w:p>
      <w:pPr>
        <w:pStyle w:val="6"/>
        <w:spacing w:line="295" w:lineRule="auto"/>
        <w:ind w:right="442"/>
        <w:rPr>
          <w:rFonts w:hint="eastAsia" w:ascii="MS UI Gothic" w:eastAsia="MS UI Gothic"/>
        </w:rPr>
      </w:pPr>
      <w:r>
        <w:t>第二十七条 安全生产行政执法人员对与案件有关的物品</w:t>
      </w:r>
      <w:r>
        <w:rPr>
          <w:rFonts w:hint="eastAsia" w:ascii="MS UI Gothic" w:eastAsia="MS UI Gothic"/>
          <w:w w:val="80"/>
        </w:rPr>
        <w:t xml:space="preserve">、 </w:t>
      </w:r>
      <w:r>
        <w:t>场所进行勘验检查时</w:t>
      </w:r>
      <w:r>
        <w:rPr>
          <w:rFonts w:hint="eastAsia" w:ascii="MS UI Gothic" w:eastAsia="MS UI Gothic"/>
          <w:w w:val="80"/>
        </w:rPr>
        <w:t xml:space="preserve">ꎬ </w:t>
      </w:r>
      <w:r>
        <w:t>应当通知当事人到场</w:t>
      </w:r>
      <w:r>
        <w:rPr>
          <w:rFonts w:hint="eastAsia" w:ascii="MS UI Gothic" w:eastAsia="MS UI Gothic"/>
          <w:w w:val="80"/>
        </w:rPr>
        <w:t xml:space="preserve">ꎬ </w:t>
      </w:r>
      <w:r>
        <w:t>制作勘验笔录</w:t>
      </w:r>
      <w:r>
        <w:rPr>
          <w:rFonts w:hint="eastAsia" w:ascii="MS UI Gothic" w:eastAsia="MS UI Gothic"/>
          <w:w w:val="80"/>
        </w:rPr>
        <w:t xml:space="preserve">ꎬ </w:t>
      </w:r>
      <w:r>
        <w:t>并由当事人核对无误后签名或者盖章</w:t>
      </w:r>
      <w:r>
        <w:rPr>
          <w:rFonts w:hint="eastAsia" w:ascii="MS UI Gothic" w:eastAsia="MS UI Gothic"/>
          <w:w w:val="80"/>
        </w:rPr>
        <w:t xml:space="preserve">ꎮ </w:t>
      </w:r>
      <w:r>
        <w:t>当事人拒绝到场的</w:t>
      </w:r>
      <w:r>
        <w:rPr>
          <w:rFonts w:hint="eastAsia" w:ascii="MS UI Gothic" w:eastAsia="MS UI Gothic"/>
          <w:w w:val="80"/>
        </w:rPr>
        <w:t xml:space="preserve">ꎬ </w:t>
      </w:r>
      <w:r>
        <w:t>可以邀请在场的其他人员作证</w:t>
      </w:r>
      <w:r>
        <w:rPr>
          <w:rFonts w:hint="eastAsia" w:ascii="MS UI Gothic" w:eastAsia="MS UI Gothic"/>
          <w:w w:val="80"/>
        </w:rPr>
        <w:t xml:space="preserve">ꎬ </w:t>
      </w:r>
      <w:r>
        <w:t>并在勘验笔录中注明</w:t>
      </w:r>
      <w:r>
        <w:rPr>
          <w:rFonts w:hint="eastAsia" w:ascii="MS UI Gothic" w:eastAsia="MS UI Gothic"/>
          <w:w w:val="80"/>
        </w:rPr>
        <w:t xml:space="preserve">ꎻ </w:t>
      </w:r>
      <w:r>
        <w:t>也可以采用录音</w:t>
      </w:r>
      <w:r>
        <w:rPr>
          <w:rFonts w:hint="eastAsia" w:ascii="MS UI Gothic" w:eastAsia="MS UI Gothic"/>
          <w:w w:val="80"/>
        </w:rPr>
        <w:t xml:space="preserve">、 </w:t>
      </w:r>
      <w:r>
        <w:t>录像等方式记录有关物品</w:t>
      </w:r>
      <w:r>
        <w:rPr>
          <w:rFonts w:hint="eastAsia" w:ascii="MS UI Gothic" w:eastAsia="MS UI Gothic"/>
          <w:w w:val="80"/>
        </w:rPr>
        <w:t xml:space="preserve">、 </w:t>
      </w:r>
      <w:r>
        <w:t>场所的情况后</w:t>
      </w:r>
      <w:r>
        <w:rPr>
          <w:rFonts w:hint="eastAsia" w:ascii="MS UI Gothic" w:eastAsia="MS UI Gothic"/>
          <w:w w:val="80"/>
        </w:rPr>
        <w:t xml:space="preserve">ꎬ </w:t>
      </w:r>
      <w:r>
        <w:t>再进行勘验检查</w:t>
      </w:r>
      <w:r>
        <w:rPr>
          <w:rFonts w:hint="eastAsia" w:ascii="MS UI Gothic" w:eastAsia="MS UI Gothic"/>
          <w:w w:val="80"/>
        </w:rPr>
        <w:t>ꎮ</w:t>
      </w:r>
    </w:p>
    <w:p>
      <w:pPr>
        <w:pStyle w:val="6"/>
        <w:spacing w:line="295" w:lineRule="auto"/>
        <w:ind w:right="442"/>
      </w:pPr>
      <w:r>
        <w:rPr>
          <w:w w:val="105"/>
        </w:rPr>
        <w:t>第二十八条 案件调查终结后</w:t>
      </w:r>
      <w:r>
        <w:rPr>
          <w:rFonts w:hint="eastAsia" w:ascii="MS UI Gothic" w:eastAsia="MS UI Gothic"/>
          <w:w w:val="80"/>
        </w:rPr>
        <w:t xml:space="preserve">ꎬ </w:t>
      </w:r>
      <w:r>
        <w:rPr>
          <w:w w:val="105"/>
        </w:rPr>
        <w:t>负责</w:t>
      </w:r>
      <w:r>
        <w:t>承办案件的安全生产行政执法人员应当填写案件处理呈批表</w:t>
      </w:r>
      <w:r>
        <w:rPr>
          <w:rFonts w:hint="eastAsia" w:ascii="MS UI Gothic" w:eastAsia="MS UI Gothic"/>
          <w:w w:val="80"/>
        </w:rPr>
        <w:t xml:space="preserve">ꎬ </w:t>
      </w:r>
      <w:r>
        <w:t>连同有关证据材料一</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１３１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34" o:spid="_x0000_s1434" o:spt="203" style="height:2.15pt;width:398.25pt;" coordsize="7965,43">
            <o:lock v:ext="edit"/>
            <v:line id="_x0000_s1435" o:spid="_x0000_s1435" o:spt="20" style="position:absolute;left:0;top:39;height:0;width:7965;" stroked="t" coordsize="21600,21600">
              <v:path arrowok="t"/>
              <v:fill focussize="0,0"/>
              <v:stroke weight="0.388031496062992pt" color="#231F20"/>
              <v:imagedata o:title=""/>
              <o:lock v:ext="edit"/>
            </v:line>
            <v:line id="_x0000_s1436" o:spid="_x0000_s143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并报本部门负责人审批</w:t>
      </w:r>
      <w:r>
        <w:rPr>
          <w:rFonts w:hint="eastAsia" w:ascii="MS UI Gothic" w:eastAsia="MS UI Gothic"/>
          <w:w w:val="80"/>
        </w:rPr>
        <w:t>ꎮ</w:t>
      </w:r>
    </w:p>
    <w:p>
      <w:pPr>
        <w:pStyle w:val="6"/>
        <w:spacing w:before="58" w:line="295" w:lineRule="auto"/>
        <w:ind w:left="440"/>
        <w:rPr>
          <w:rFonts w:hint="eastAsia" w:ascii="MS UI Gothic" w:eastAsia="MS UI Gothic"/>
        </w:rPr>
      </w:pPr>
      <w:r>
        <w:t>安全监管监察部门负责人应当及时对案件调查结果进行审查</w:t>
      </w:r>
      <w:r>
        <w:rPr>
          <w:rFonts w:hint="eastAsia" w:ascii="MS UI Gothic" w:eastAsia="MS UI Gothic"/>
          <w:w w:val="80"/>
        </w:rPr>
        <w:t xml:space="preserve">ꎬ </w:t>
      </w:r>
      <w:r>
        <w:t>根据不同情况</w:t>
      </w:r>
      <w:r>
        <w:rPr>
          <w:rFonts w:hint="eastAsia" w:ascii="MS UI Gothic" w:eastAsia="MS UI Gothic"/>
          <w:w w:val="80"/>
        </w:rPr>
        <w:t>ꎬ</w:t>
      </w:r>
      <w:r>
        <w:rPr>
          <w:w w:val="105"/>
        </w:rPr>
        <w:t>分别作出以下决定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确有应受行政处罚的违法行为</w:t>
      </w:r>
      <w:r>
        <w:t>的</w:t>
      </w:r>
      <w:r>
        <w:rPr>
          <w:rFonts w:hint="eastAsia" w:ascii="MS UI Gothic" w:eastAsia="MS UI Gothic"/>
          <w:w w:val="80"/>
        </w:rPr>
        <w:t xml:space="preserve">ꎬ </w:t>
      </w:r>
      <w:r>
        <w:t>根据情节轻重及具体情况</w:t>
      </w:r>
      <w:r>
        <w:rPr>
          <w:rFonts w:hint="eastAsia" w:ascii="MS UI Gothic" w:eastAsia="MS UI Gothic"/>
          <w:w w:val="80"/>
        </w:rPr>
        <w:t xml:space="preserve">ꎬ </w:t>
      </w:r>
      <w:r>
        <w:t>作出行政</w:t>
      </w:r>
      <w:r>
        <w:rPr>
          <w:w w:val="105"/>
        </w:rPr>
        <w:t>处罚决定</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违法行为轻微</w:t>
      </w:r>
      <w:r>
        <w:rPr>
          <w:rFonts w:hint="eastAsia" w:ascii="MS UI Gothic" w:eastAsia="MS UI Gothic"/>
          <w:w w:val="80"/>
        </w:rPr>
        <w:t xml:space="preserve">ꎬ </w:t>
      </w:r>
      <w:r>
        <w:rPr>
          <w:w w:val="105"/>
        </w:rPr>
        <w:t>依法可以不予行政处罚的</w:t>
      </w:r>
      <w:r>
        <w:rPr>
          <w:rFonts w:hint="eastAsia" w:ascii="MS UI Gothic" w:eastAsia="MS UI Gothic"/>
          <w:w w:val="80"/>
        </w:rPr>
        <w:t xml:space="preserve">ꎬ </w:t>
      </w:r>
      <w:r>
        <w:rPr>
          <w:w w:val="105"/>
        </w:rPr>
        <w:t>不予行政处罚</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违法事实不能成立</w:t>
      </w:r>
      <w:r>
        <w:rPr>
          <w:rFonts w:hint="eastAsia" w:ascii="MS UI Gothic" w:eastAsia="MS UI Gothic"/>
          <w:w w:val="80"/>
        </w:rPr>
        <w:t xml:space="preserve">ꎬ </w:t>
      </w:r>
      <w:r>
        <w:rPr>
          <w:w w:val="105"/>
        </w:rPr>
        <w:t>不得给予行政处罚</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违法行为涉嫌犯罪的</w:t>
      </w:r>
      <w:r>
        <w:rPr>
          <w:rFonts w:hint="eastAsia" w:ascii="MS UI Gothic" w:eastAsia="MS UI Gothic"/>
          <w:w w:val="80"/>
        </w:rPr>
        <w:t xml:space="preserve">ꎬ </w:t>
      </w:r>
      <w:r>
        <w:rPr>
          <w:w w:val="105"/>
        </w:rPr>
        <w:t>移送司法机关处理</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rPr>
        <w:t>对严重安全生产违法行为给予责令停</w:t>
      </w:r>
      <w:r>
        <w:rPr>
          <w:spacing w:val="3"/>
        </w:rPr>
        <w:t>产停业整顿</w:t>
      </w:r>
      <w:r>
        <w:rPr>
          <w:rFonts w:hint="eastAsia" w:ascii="MS UI Gothic" w:eastAsia="MS UI Gothic"/>
          <w:spacing w:val="23"/>
          <w:w w:val="80"/>
        </w:rPr>
        <w:t xml:space="preserve">、 </w:t>
      </w:r>
      <w:r>
        <w:rPr>
          <w:spacing w:val="3"/>
        </w:rPr>
        <w:t>责令停产停业</w:t>
      </w:r>
      <w:r>
        <w:rPr>
          <w:rFonts w:hint="eastAsia" w:ascii="MS UI Gothic" w:eastAsia="MS UI Gothic"/>
          <w:spacing w:val="24"/>
          <w:w w:val="80"/>
        </w:rPr>
        <w:t xml:space="preserve">、 </w:t>
      </w:r>
      <w:r>
        <w:rPr>
          <w:spacing w:val="2"/>
        </w:rPr>
        <w:t>责令停止建</w:t>
      </w:r>
      <w:r>
        <w:rPr>
          <w:spacing w:val="3"/>
        </w:rPr>
        <w:t>设</w:t>
      </w:r>
      <w:r>
        <w:rPr>
          <w:rFonts w:hint="eastAsia" w:ascii="MS UI Gothic" w:eastAsia="MS UI Gothic"/>
          <w:spacing w:val="16"/>
          <w:w w:val="80"/>
        </w:rPr>
        <w:t xml:space="preserve">、 </w:t>
      </w:r>
      <w:r>
        <w:rPr>
          <w:spacing w:val="3"/>
        </w:rPr>
        <w:t>责令停止施工</w:t>
      </w:r>
      <w:r>
        <w:rPr>
          <w:rFonts w:hint="eastAsia" w:ascii="MS UI Gothic" w:eastAsia="MS UI Gothic"/>
          <w:spacing w:val="16"/>
          <w:w w:val="80"/>
        </w:rPr>
        <w:t xml:space="preserve">、 </w:t>
      </w:r>
      <w:r>
        <w:rPr>
          <w:spacing w:val="3"/>
        </w:rPr>
        <w:t>吊销有关许可证</w:t>
      </w:r>
      <w:r>
        <w:rPr>
          <w:rFonts w:hint="eastAsia" w:ascii="MS UI Gothic" w:eastAsia="MS UI Gothic"/>
          <w:spacing w:val="16"/>
          <w:w w:val="80"/>
        </w:rPr>
        <w:t xml:space="preserve">、 </w:t>
      </w:r>
      <w:r>
        <w:t>撤</w:t>
      </w:r>
      <w:r>
        <w:rPr>
          <w:spacing w:val="3"/>
        </w:rPr>
        <w:t>销有关执业资格或者岗位证书</w:t>
      </w:r>
      <w:r>
        <w:rPr>
          <w:rFonts w:hint="eastAsia" w:ascii="MS UI Gothic" w:eastAsia="MS UI Gothic"/>
          <w:spacing w:val="12"/>
          <w:w w:val="80"/>
        </w:rPr>
        <w:t xml:space="preserve">、 ３ </w:t>
      </w:r>
      <w:r>
        <w:rPr>
          <w:spacing w:val="6"/>
        </w:rPr>
        <w:t>万元以</w:t>
      </w:r>
      <w:r>
        <w:rPr>
          <w:spacing w:val="3"/>
        </w:rPr>
        <w:t>上罚款</w:t>
      </w:r>
      <w:r>
        <w:rPr>
          <w:rFonts w:hint="eastAsia" w:ascii="MS UI Gothic" w:eastAsia="MS UI Gothic"/>
          <w:spacing w:val="23"/>
          <w:w w:val="80"/>
        </w:rPr>
        <w:t xml:space="preserve">、 </w:t>
      </w:r>
      <w:r>
        <w:rPr>
          <w:spacing w:val="3"/>
        </w:rPr>
        <w:t>没收违法所得</w:t>
      </w:r>
      <w:r>
        <w:rPr>
          <w:rFonts w:hint="eastAsia" w:ascii="MS UI Gothic" w:eastAsia="MS UI Gothic"/>
          <w:spacing w:val="24"/>
          <w:w w:val="80"/>
        </w:rPr>
        <w:t xml:space="preserve">、 </w:t>
      </w:r>
      <w:r>
        <w:rPr>
          <w:spacing w:val="2"/>
        </w:rPr>
        <w:t>没收非法开采的</w:t>
      </w:r>
      <w:r>
        <w:rPr>
          <w:spacing w:val="-1"/>
        </w:rPr>
        <w:t xml:space="preserve">煤炭产品或者采掘设备价值 </w:t>
      </w:r>
      <w:r>
        <w:rPr>
          <w:rFonts w:hint="eastAsia" w:ascii="MS UI Gothic" w:eastAsia="MS UI Gothic"/>
          <w:spacing w:val="1"/>
          <w:w w:val="80"/>
        </w:rPr>
        <w:t xml:space="preserve">３ </w:t>
      </w:r>
      <w:r>
        <w:rPr>
          <w:spacing w:val="3"/>
        </w:rPr>
        <w:t>万元以上的行政处罚的</w:t>
      </w:r>
      <w:r>
        <w:rPr>
          <w:rFonts w:hint="eastAsia" w:ascii="MS UI Gothic" w:eastAsia="MS UI Gothic"/>
          <w:spacing w:val="21"/>
          <w:w w:val="80"/>
        </w:rPr>
        <w:t xml:space="preserve">ꎬ </w:t>
      </w:r>
      <w:r>
        <w:rPr>
          <w:spacing w:val="2"/>
        </w:rPr>
        <w:t>应当由安全监管监察部门的</w:t>
      </w:r>
      <w:r>
        <w:rPr>
          <w:spacing w:val="3"/>
        </w:rPr>
        <w:t>负责人集体讨论决定</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第二十九条 安全监管监察部门依照</w:t>
      </w:r>
      <w:r>
        <w:rPr>
          <w:spacing w:val="4"/>
        </w:rPr>
        <w:t>本办法第二十八条的规定给予行政处罚</w:t>
      </w:r>
      <w:r>
        <w:rPr>
          <w:rFonts w:hint="eastAsia" w:ascii="MS UI Gothic" w:eastAsia="MS UI Gothic"/>
          <w:w w:val="80"/>
        </w:rPr>
        <w:t>ꎬ</w:t>
      </w:r>
      <w:r>
        <w:rPr>
          <w:spacing w:val="3"/>
        </w:rPr>
        <w:t>应当制作行政处罚决定书</w:t>
      </w:r>
      <w:r>
        <w:rPr>
          <w:rFonts w:hint="eastAsia" w:ascii="MS UI Gothic" w:eastAsia="MS UI Gothic"/>
          <w:spacing w:val="21"/>
          <w:w w:val="80"/>
        </w:rPr>
        <w:t xml:space="preserve">ꎮ </w:t>
      </w:r>
      <w:r>
        <w:rPr>
          <w:spacing w:val="2"/>
        </w:rPr>
        <w:t>行政处罚决定</w:t>
      </w:r>
      <w:r>
        <w:rPr>
          <w:spacing w:val="3"/>
          <w:w w:val="105"/>
        </w:rPr>
        <w:t>书应当载明下列事项</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当事人的姓名或者名称</w:t>
      </w:r>
      <w:r>
        <w:rPr>
          <w:rFonts w:hint="eastAsia" w:ascii="MS UI Gothic" w:eastAsia="MS UI Gothic"/>
          <w:w w:val="80"/>
        </w:rPr>
        <w:t xml:space="preserve">、 </w:t>
      </w:r>
      <w:r>
        <w:rPr>
          <w:w w:val="105"/>
        </w:rPr>
        <w:t>地址或者住址</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违法事实和证据</w:t>
      </w:r>
      <w:r>
        <w:rPr>
          <w:rFonts w:hint="eastAsia" w:ascii="MS UI Gothic" w:eastAsia="MS UI Gothic"/>
          <w:w w:val="80"/>
        </w:rPr>
        <w:t>ꎻ</w:t>
      </w:r>
    </w:p>
    <w:p>
      <w:pPr>
        <w:pStyle w:val="6"/>
        <w:spacing w:before="39"/>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行政处罚的种类和依据</w:t>
      </w:r>
      <w:r>
        <w:rPr>
          <w:rFonts w:hint="eastAsia" w:ascii="MS UI Gothic" w:eastAsia="MS UI Gothic"/>
          <w:w w:val="80"/>
        </w:rPr>
        <w:t>ꎻ</w:t>
      </w:r>
    </w:p>
    <w:p>
      <w:pPr>
        <w:pStyle w:val="6"/>
        <w:spacing w:before="58"/>
        <w:ind w:left="860" w:firstLine="0"/>
        <w:rPr>
          <w:rFonts w:hint="eastAsia" w:ascii="MS UI Gothic" w:eastAsia="MS UI Gothic"/>
        </w:rPr>
      </w:pPr>
      <w:r>
        <w:rPr>
          <w:rFonts w:hint="eastAsia" w:ascii="MS UI Gothic" w:eastAsia="MS UI Gothic"/>
          <w:spacing w:val="-43"/>
          <w:w w:val="150"/>
        </w:rPr>
        <w:t xml:space="preserve">( </w:t>
      </w:r>
      <w:r>
        <w:rPr>
          <w:spacing w:val="3"/>
          <w:w w:val="110"/>
        </w:rPr>
        <w:t>四</w:t>
      </w:r>
      <w:r>
        <w:rPr>
          <w:rFonts w:hint="eastAsia" w:ascii="MS UI Gothic" w:eastAsia="MS UI Gothic"/>
          <w:spacing w:val="-25"/>
          <w:w w:val="150"/>
        </w:rPr>
        <w:t xml:space="preserve">) </w:t>
      </w:r>
      <w:r>
        <w:rPr>
          <w:spacing w:val="3"/>
          <w:w w:val="110"/>
        </w:rPr>
        <w:t>行政处罚的履行方式和期限</w:t>
      </w:r>
      <w:r>
        <w:rPr>
          <w:rFonts w:hint="eastAsia" w:ascii="MS UI Gothic" w:eastAsia="MS UI Gothic"/>
          <w:w w:val="80"/>
        </w:rPr>
        <w:t>ꎻ</w:t>
      </w:r>
    </w:p>
    <w:p>
      <w:pPr>
        <w:pStyle w:val="6"/>
        <w:spacing w:before="58"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不服行政处罚决定</w:t>
      </w:r>
      <w:r>
        <w:rPr>
          <w:rFonts w:hint="eastAsia" w:ascii="MS UI Gothic" w:eastAsia="MS UI Gothic"/>
          <w:w w:val="80"/>
        </w:rPr>
        <w:t xml:space="preserve">ꎬ </w:t>
      </w:r>
      <w:r>
        <w:rPr>
          <w:w w:val="105"/>
        </w:rPr>
        <w:t>申请行政复议或者提起行政诉讼的途径和期限</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六</w:t>
      </w:r>
      <w:r>
        <w:rPr>
          <w:rFonts w:hint="eastAsia" w:ascii="MS UI Gothic" w:eastAsia="MS UI Gothic"/>
          <w:spacing w:val="2"/>
          <w:w w:val="150"/>
        </w:rPr>
        <w:t xml:space="preserve">) </w:t>
      </w:r>
      <w:r>
        <w:rPr>
          <w:spacing w:val="5"/>
          <w:w w:val="105"/>
        </w:rPr>
        <w:t>作出行政处罚决定的安全监管</w:t>
      </w:r>
      <w:r>
        <w:rPr>
          <w:spacing w:val="3"/>
          <w:w w:val="105"/>
        </w:rPr>
        <w:t>监察部门的名称和作出决定的日期</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spacing w:val="2"/>
        </w:rPr>
        <w:t>行政处罚决定书必须盖有作出行政处</w:t>
      </w:r>
      <w:r>
        <w:rPr>
          <w:spacing w:val="3"/>
          <w:w w:val="105"/>
        </w:rPr>
        <w:t>罚决定的安全监管监察部门的印章</w:t>
      </w:r>
      <w:r>
        <w:rPr>
          <w:rFonts w:hint="eastAsia" w:ascii="MS UI Gothic" w:eastAsia="MS UI Gothic"/>
          <w:w w:val="80"/>
        </w:rPr>
        <w:t>ꎮ</w:t>
      </w:r>
    </w:p>
    <w:p>
      <w:pPr>
        <w:pStyle w:val="6"/>
        <w:spacing w:line="295" w:lineRule="auto"/>
        <w:ind w:left="440"/>
      </w:pPr>
      <w:r>
        <w:rPr>
          <w:spacing w:val="2"/>
          <w:w w:val="105"/>
        </w:rPr>
        <w:t>第三十条 行政处罚决定书应当在宣</w:t>
      </w:r>
      <w:r>
        <w:rPr>
          <w:spacing w:val="5"/>
        </w:rPr>
        <w:t>告后当场交付当事人</w:t>
      </w:r>
      <w:r>
        <w:rPr>
          <w:rFonts w:hint="eastAsia" w:ascii="MS UI Gothic" w:eastAsia="MS UI Gothic"/>
          <w:spacing w:val="22"/>
          <w:w w:val="80"/>
        </w:rPr>
        <w:t xml:space="preserve">ꎻ </w:t>
      </w:r>
      <w:r>
        <w:rPr>
          <w:spacing w:val="11"/>
        </w:rPr>
        <w:t>当事人不在场的</w:t>
      </w:r>
      <w:r>
        <w:rPr>
          <w:rFonts w:hint="eastAsia" w:ascii="MS UI Gothic" w:eastAsia="MS UI Gothic"/>
          <w:w w:val="80"/>
        </w:rPr>
        <w:t>ꎬ</w:t>
      </w:r>
      <w:r>
        <w:rPr>
          <w:spacing w:val="-8"/>
          <w:w w:val="105"/>
        </w:rPr>
        <w:t xml:space="preserve">安全监管监察部门应当在 </w:t>
      </w:r>
      <w:r>
        <w:rPr>
          <w:rFonts w:hint="eastAsia" w:ascii="MS UI Gothic" w:eastAsia="MS UI Gothic"/>
          <w:spacing w:val="-14"/>
          <w:w w:val="80"/>
        </w:rPr>
        <w:t xml:space="preserve">７ </w:t>
      </w:r>
      <w:r>
        <w:rPr>
          <w:spacing w:val="2"/>
          <w:w w:val="105"/>
        </w:rPr>
        <w:t>日内依照民事</w:t>
      </w:r>
    </w:p>
    <w:p>
      <w:pPr>
        <w:pStyle w:val="6"/>
        <w:spacing w:before="124" w:line="295" w:lineRule="auto"/>
        <w:ind w:left="381" w:right="126" w:firstLine="0"/>
        <w:rPr>
          <w:rFonts w:hint="eastAsia" w:ascii="MS UI Gothic" w:eastAsia="MS UI Gothic"/>
        </w:rPr>
      </w:pPr>
      <w:r>
        <w:br w:type="column"/>
      </w:r>
      <w:r>
        <w:t>诉讼法的有关规定</w:t>
      </w:r>
      <w:r>
        <w:rPr>
          <w:rFonts w:hint="eastAsia" w:ascii="MS UI Gothic" w:eastAsia="MS UI Gothic"/>
          <w:w w:val="80"/>
        </w:rPr>
        <w:t xml:space="preserve">ꎬ </w:t>
      </w:r>
      <w:r>
        <w:t>将行政处罚决定书送</w:t>
      </w:r>
      <w:r>
        <w:rPr>
          <w:w w:val="110"/>
        </w:rPr>
        <w:t>达当事人或者其他的法定受送达人</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送达必须有送达回执</w:t>
      </w:r>
      <w:r>
        <w:rPr>
          <w:rFonts w:hint="eastAsia" w:ascii="MS UI Gothic" w:eastAsia="MS UI Gothic"/>
          <w:w w:val="80"/>
        </w:rPr>
        <w:t xml:space="preserve">ꎬ </w:t>
      </w:r>
      <w:r>
        <w:rPr>
          <w:w w:val="105"/>
        </w:rPr>
        <w:t>由受送</w:t>
      </w:r>
      <w:r>
        <w:t>达人在送达回执上注明收到日期</w:t>
      </w:r>
      <w:r>
        <w:rPr>
          <w:rFonts w:hint="eastAsia" w:ascii="MS UI Gothic" w:eastAsia="MS UI Gothic"/>
          <w:w w:val="80"/>
        </w:rPr>
        <w:t xml:space="preserve">ꎬ </w:t>
      </w:r>
      <w:r>
        <w:t>签名或</w:t>
      </w:r>
      <w:r>
        <w:rPr>
          <w:w w:val="105"/>
        </w:rPr>
        <w:t>者盖章</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送达应当直接送交受送达人</w:t>
      </w:r>
      <w:r>
        <w:rPr>
          <w:rFonts w:hint="eastAsia" w:ascii="MS UI Gothic" w:eastAsia="MS UI Gothic"/>
          <w:w w:val="80"/>
        </w:rPr>
        <w:t>ꎮ</w:t>
      </w:r>
      <w:r>
        <w:t>受送达人是个人的</w:t>
      </w:r>
      <w:r>
        <w:rPr>
          <w:rFonts w:hint="eastAsia" w:ascii="MS UI Gothic" w:eastAsia="MS UI Gothic"/>
          <w:w w:val="80"/>
        </w:rPr>
        <w:t xml:space="preserve">ꎬ </w:t>
      </w:r>
      <w:r>
        <w:t>本人不在交他的同住成年家属签收</w:t>
      </w:r>
      <w:r>
        <w:rPr>
          <w:rFonts w:hint="eastAsia" w:ascii="MS UI Gothic" w:eastAsia="MS UI Gothic"/>
          <w:w w:val="80"/>
        </w:rPr>
        <w:t xml:space="preserve">ꎬ </w:t>
      </w:r>
      <w:r>
        <w:t>并在行政处罚决定书送达回执的备注栏内注明与受送达人的关系</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受送达人是法人或者其他组织的</w:t>
      </w:r>
      <w:r>
        <w:rPr>
          <w:rFonts w:hint="eastAsia" w:ascii="MS UI Gothic" w:eastAsia="MS UI Gothic"/>
          <w:w w:val="80"/>
        </w:rPr>
        <w:t xml:space="preserve">ꎬ </w:t>
      </w:r>
      <w:r>
        <w:rPr>
          <w:w w:val="105"/>
        </w:rPr>
        <w:t>应当由法人的法定代表人</w:t>
      </w:r>
      <w:r>
        <w:rPr>
          <w:rFonts w:hint="eastAsia" w:ascii="MS UI Gothic" w:eastAsia="MS UI Gothic"/>
          <w:w w:val="80"/>
        </w:rPr>
        <w:t xml:space="preserve">、 </w:t>
      </w:r>
      <w:r>
        <w:rPr>
          <w:w w:val="105"/>
        </w:rPr>
        <w:t>其他组织的主要负责人或者该法人</w:t>
      </w:r>
      <w:r>
        <w:rPr>
          <w:rFonts w:hint="eastAsia" w:ascii="MS UI Gothic" w:eastAsia="MS UI Gothic"/>
          <w:w w:val="80"/>
        </w:rPr>
        <w:t xml:space="preserve">、 </w:t>
      </w:r>
      <w:r>
        <w:rPr>
          <w:w w:val="105"/>
        </w:rPr>
        <w:t>组织负责收件的人签收</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受送达人指定代收人的</w:t>
      </w:r>
      <w:r>
        <w:rPr>
          <w:rFonts w:hint="eastAsia" w:ascii="MS UI Gothic" w:eastAsia="MS UI Gothic"/>
          <w:w w:val="80"/>
        </w:rPr>
        <w:t xml:space="preserve">ꎬ </w:t>
      </w:r>
      <w:r>
        <w:rPr>
          <w:w w:val="105"/>
        </w:rPr>
        <w:t>交代收人签收并注明受当事人委托的情况</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直接送达确有困难的</w:t>
      </w:r>
      <w:r>
        <w:rPr>
          <w:rFonts w:hint="eastAsia" w:ascii="MS UI Gothic" w:eastAsia="MS UI Gothic"/>
          <w:w w:val="80"/>
        </w:rPr>
        <w:t xml:space="preserve">ꎬ </w:t>
      </w:r>
      <w:r>
        <w:rPr>
          <w:w w:val="105"/>
        </w:rPr>
        <w:t>可以挂</w:t>
      </w:r>
      <w:r>
        <w:t>号邮寄送达</w:t>
      </w:r>
      <w:r>
        <w:rPr>
          <w:rFonts w:hint="eastAsia" w:ascii="MS UI Gothic" w:eastAsia="MS UI Gothic"/>
          <w:w w:val="80"/>
        </w:rPr>
        <w:t xml:space="preserve">ꎬ </w:t>
      </w:r>
      <w:r>
        <w:t>也可以委托当地安全监管监察部门代为送达</w:t>
      </w:r>
      <w:r>
        <w:rPr>
          <w:rFonts w:hint="eastAsia" w:ascii="MS UI Gothic" w:eastAsia="MS UI Gothic"/>
          <w:w w:val="80"/>
        </w:rPr>
        <w:t xml:space="preserve">ꎬ </w:t>
      </w:r>
      <w:r>
        <w:t>代为送达的安全监管监察部门收到文书后</w:t>
      </w:r>
      <w:r>
        <w:rPr>
          <w:rFonts w:hint="eastAsia" w:ascii="MS UI Gothic" w:eastAsia="MS UI Gothic"/>
          <w:w w:val="80"/>
        </w:rPr>
        <w:t xml:space="preserve">ꎬ </w:t>
      </w:r>
      <w:r>
        <w:t>必须立即交受送达人</w:t>
      </w:r>
      <w:r>
        <w:rPr>
          <w:w w:val="105"/>
        </w:rPr>
        <w:t>签收</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当事人或者他的同住成年家属</w:t>
      </w:r>
      <w:r>
        <w:t>拒绝接收的</w:t>
      </w:r>
      <w:r>
        <w:rPr>
          <w:rFonts w:hint="eastAsia" w:ascii="MS UI Gothic" w:eastAsia="MS UI Gothic"/>
          <w:w w:val="80"/>
        </w:rPr>
        <w:t xml:space="preserve">ꎬ </w:t>
      </w:r>
      <w:r>
        <w:t>送达人应当邀请有关基层组织的代表或者有关人员到场</w:t>
      </w:r>
      <w:r>
        <w:rPr>
          <w:rFonts w:hint="eastAsia" w:ascii="MS UI Gothic" w:eastAsia="MS UI Gothic"/>
          <w:w w:val="80"/>
        </w:rPr>
        <w:t xml:space="preserve">ꎬ </w:t>
      </w:r>
      <w:r>
        <w:t>注明情况</w:t>
      </w:r>
      <w:r>
        <w:rPr>
          <w:rFonts w:hint="eastAsia" w:ascii="MS UI Gothic" w:eastAsia="MS UI Gothic"/>
          <w:w w:val="80"/>
        </w:rPr>
        <w:t>ꎬ</w:t>
      </w:r>
      <w:r>
        <w:t>在行政处罚决定书送达回执上注明拒收的</w:t>
      </w:r>
      <w:r>
        <w:rPr>
          <w:w w:val="105"/>
        </w:rPr>
        <w:t>事由和日期</w:t>
      </w:r>
      <w:r>
        <w:rPr>
          <w:rFonts w:hint="eastAsia" w:ascii="MS UI Gothic" w:eastAsia="MS UI Gothic"/>
          <w:w w:val="80"/>
        </w:rPr>
        <w:t xml:space="preserve">ꎬ </w:t>
      </w:r>
      <w:r>
        <w:rPr>
          <w:w w:val="105"/>
        </w:rPr>
        <w:t>由送达人</w:t>
      </w:r>
      <w:r>
        <w:rPr>
          <w:rFonts w:hint="eastAsia" w:ascii="MS UI Gothic" w:eastAsia="MS UI Gothic"/>
          <w:w w:val="80"/>
        </w:rPr>
        <w:t xml:space="preserve">、 </w:t>
      </w:r>
      <w:r>
        <w:rPr>
          <w:w w:val="105"/>
        </w:rPr>
        <w:t>见证人签名或者</w:t>
      </w:r>
      <w:r>
        <w:t>盖章</w:t>
      </w:r>
      <w:r>
        <w:rPr>
          <w:rFonts w:hint="eastAsia" w:ascii="MS UI Gothic" w:eastAsia="MS UI Gothic"/>
          <w:w w:val="80"/>
        </w:rPr>
        <w:t xml:space="preserve">ꎬ </w:t>
      </w:r>
      <w:r>
        <w:t>将文书留在当事人的收发部门或者</w:t>
      </w:r>
      <w:r>
        <w:rPr>
          <w:w w:val="105"/>
        </w:rPr>
        <w:t>住所</w:t>
      </w:r>
      <w:r>
        <w:rPr>
          <w:rFonts w:hint="eastAsia" w:ascii="MS UI Gothic" w:eastAsia="MS UI Gothic"/>
          <w:w w:val="80"/>
        </w:rPr>
        <w:t xml:space="preserve">ꎬ </w:t>
      </w:r>
      <w:r>
        <w:rPr>
          <w:w w:val="105"/>
        </w:rPr>
        <w:t>即视为送达</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45"/>
        </w:rPr>
        <w:t xml:space="preserve">( </w:t>
      </w:r>
      <w:r>
        <w:t>七</w:t>
      </w:r>
      <w:r>
        <w:rPr>
          <w:rFonts w:hint="eastAsia" w:ascii="MS UI Gothic" w:eastAsia="MS UI Gothic"/>
          <w:w w:val="145"/>
        </w:rPr>
        <w:t xml:space="preserve">) </w:t>
      </w:r>
      <w:r>
        <w:t>受送达人下落不明</w:t>
      </w:r>
      <w:r>
        <w:rPr>
          <w:rFonts w:hint="eastAsia" w:ascii="MS UI Gothic" w:eastAsia="MS UI Gothic"/>
          <w:w w:val="80"/>
        </w:rPr>
        <w:t xml:space="preserve">ꎬ </w:t>
      </w:r>
      <w:r>
        <w:t>或者用以上方式无法送达的</w:t>
      </w:r>
      <w:r>
        <w:rPr>
          <w:rFonts w:hint="eastAsia" w:ascii="MS UI Gothic" w:eastAsia="MS UI Gothic"/>
          <w:w w:val="80"/>
        </w:rPr>
        <w:t xml:space="preserve">ꎬ </w:t>
      </w:r>
      <w:r>
        <w:t>可以公告送达</w:t>
      </w:r>
      <w:r>
        <w:rPr>
          <w:rFonts w:hint="eastAsia" w:ascii="MS UI Gothic" w:eastAsia="MS UI Gothic"/>
          <w:w w:val="80"/>
        </w:rPr>
        <w:t xml:space="preserve">ꎬ </w:t>
      </w:r>
      <w:r>
        <w:t xml:space="preserve">自公告发布之日起经过 </w:t>
      </w:r>
      <w:r>
        <w:rPr>
          <w:rFonts w:hint="eastAsia" w:ascii="MS UI Gothic" w:eastAsia="MS UI Gothic"/>
          <w:w w:val="80"/>
        </w:rPr>
        <w:t xml:space="preserve">６０ </w:t>
      </w:r>
      <w:r>
        <w:t>日</w:t>
      </w:r>
      <w:r>
        <w:rPr>
          <w:rFonts w:hint="eastAsia" w:ascii="MS UI Gothic" w:eastAsia="MS UI Gothic"/>
          <w:w w:val="80"/>
        </w:rPr>
        <w:t xml:space="preserve">ꎬ </w:t>
      </w:r>
      <w:r>
        <w:t>即视为送达</w:t>
      </w:r>
      <w:r>
        <w:rPr>
          <w:rFonts w:hint="eastAsia" w:ascii="MS UI Gothic" w:eastAsia="MS UI Gothic"/>
          <w:w w:val="80"/>
        </w:rPr>
        <w:t>ꎮ</w:t>
      </w:r>
      <w:r>
        <w:t>公告送达</w:t>
      </w:r>
      <w:r>
        <w:rPr>
          <w:rFonts w:hint="eastAsia" w:ascii="MS UI Gothic" w:eastAsia="MS UI Gothic"/>
          <w:w w:val="80"/>
        </w:rPr>
        <w:t xml:space="preserve">ꎬ </w:t>
      </w:r>
      <w:r>
        <w:t>应当在案卷中注明原因和经过</w:t>
      </w:r>
      <w:r>
        <w:rPr>
          <w:rFonts w:hint="eastAsia" w:ascii="MS UI Gothic" w:eastAsia="MS UI Gothic"/>
          <w:w w:val="80"/>
        </w:rPr>
        <w:t>ꎮ</w:t>
      </w:r>
    </w:p>
    <w:p>
      <w:pPr>
        <w:pStyle w:val="6"/>
        <w:spacing w:line="295" w:lineRule="auto"/>
        <w:ind w:left="381" w:right="126"/>
        <w:rPr>
          <w:rFonts w:hint="eastAsia" w:ascii="MS UI Gothic" w:eastAsia="MS UI Gothic"/>
        </w:rPr>
      </w:pPr>
      <w:r>
        <w:t>安全监管监察部门送达其他行政处罚执法文书</w:t>
      </w:r>
      <w:r>
        <w:rPr>
          <w:rFonts w:hint="eastAsia" w:ascii="MS UI Gothic" w:eastAsia="MS UI Gothic"/>
          <w:w w:val="80"/>
        </w:rPr>
        <w:t xml:space="preserve">ꎬ </w:t>
      </w:r>
      <w:r>
        <w:t>按照前款规定办理</w:t>
      </w:r>
      <w:r>
        <w:rPr>
          <w:rFonts w:hint="eastAsia" w:ascii="MS UI Gothic" w:eastAsia="MS UI Gothic"/>
          <w:w w:val="80"/>
        </w:rPr>
        <w:t>ꎮ</w:t>
      </w:r>
    </w:p>
    <w:p>
      <w:pPr>
        <w:pStyle w:val="6"/>
        <w:spacing w:line="295" w:lineRule="auto"/>
        <w:ind w:left="381" w:right="124"/>
      </w:pPr>
      <w:r>
        <w:t xml:space="preserve">第三十一条 行政处罚案件应当自立案之日起 </w:t>
      </w:r>
      <w:r>
        <w:rPr>
          <w:rFonts w:hint="eastAsia" w:ascii="MS UI Gothic" w:eastAsia="MS UI Gothic"/>
          <w:w w:val="85"/>
        </w:rPr>
        <w:t xml:space="preserve">３０ </w:t>
      </w:r>
      <w:r>
        <w:t>日内办理完毕</w:t>
      </w:r>
      <w:r>
        <w:rPr>
          <w:rFonts w:hint="eastAsia" w:ascii="MS UI Gothic" w:eastAsia="MS UI Gothic"/>
          <w:w w:val="85"/>
        </w:rPr>
        <w:t xml:space="preserve">ꎻ </w:t>
      </w:r>
      <w:r>
        <w:t>由于客观原因不能完成的</w:t>
      </w:r>
      <w:r>
        <w:rPr>
          <w:rFonts w:hint="eastAsia" w:ascii="MS UI Gothic" w:eastAsia="MS UI Gothic"/>
          <w:w w:val="85"/>
        </w:rPr>
        <w:t xml:space="preserve">ꎬ </w:t>
      </w:r>
      <w:r>
        <w:t>经安全监管监察部门负责人同意</w:t>
      </w:r>
      <w:r>
        <w:rPr>
          <w:rFonts w:hint="eastAsia" w:ascii="MS UI Gothic" w:eastAsia="MS UI Gothic"/>
          <w:w w:val="85"/>
        </w:rPr>
        <w:t xml:space="preserve">ꎬ </w:t>
      </w:r>
      <w:r>
        <w:t>可以延长</w:t>
      </w:r>
      <w:r>
        <w:rPr>
          <w:rFonts w:hint="eastAsia" w:ascii="MS UI Gothic" w:eastAsia="MS UI Gothic"/>
          <w:w w:val="85"/>
        </w:rPr>
        <w:t xml:space="preserve">ꎬ </w:t>
      </w:r>
      <w:r>
        <w:t xml:space="preserve">但不得超过 </w:t>
      </w:r>
      <w:r>
        <w:rPr>
          <w:rFonts w:hint="eastAsia" w:ascii="MS UI Gothic" w:eastAsia="MS UI Gothic"/>
          <w:w w:val="85"/>
        </w:rPr>
        <w:t xml:space="preserve">９０ </w:t>
      </w:r>
      <w:r>
        <w:t>日</w:t>
      </w:r>
      <w:r>
        <w:rPr>
          <w:rFonts w:hint="eastAsia" w:ascii="MS UI Gothic" w:eastAsia="MS UI Gothic"/>
          <w:w w:val="85"/>
        </w:rPr>
        <w:t>ꎻ</w:t>
      </w:r>
      <w:r>
        <w:t>特殊情况需进一步延长的</w:t>
      </w:r>
      <w:r>
        <w:rPr>
          <w:rFonts w:hint="eastAsia" w:ascii="MS UI Gothic" w:eastAsia="MS UI Gothic"/>
          <w:w w:val="85"/>
        </w:rPr>
        <w:t xml:space="preserve">ꎬ </w:t>
      </w:r>
      <w:r>
        <w:t>应当经上一级</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１３２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37" o:spid="_x0000_s1437" o:spt="203" style="height:2.15pt;width:398.25pt;" coordsize="7965,43">
            <o:lock v:ext="edit"/>
            <v:line id="_x0000_s1438" o:spid="_x0000_s1438" o:spt="20" style="position:absolute;left:0;top:39;height:0;width:7965;" stroked="t" coordsize="21600,21600">
              <v:path arrowok="t"/>
              <v:fill focussize="0,0"/>
              <v:stroke weight="0.388031496062992pt" color="#231F20"/>
              <v:imagedata o:title=""/>
              <o:lock v:ext="edit"/>
            </v:line>
            <v:line id="_x0000_s1439" o:spid="_x0000_s143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jc w:val="left"/>
      </w:pPr>
      <w:r>
        <w:rPr>
          <w:spacing w:val="-22"/>
        </w:rPr>
        <w:t>安全 监 管 监 察 部 门 批 准</w:t>
      </w:r>
      <w:r>
        <w:rPr>
          <w:rFonts w:hint="eastAsia" w:ascii="MS UI Gothic" w:eastAsia="MS UI Gothic"/>
          <w:spacing w:val="23"/>
          <w:w w:val="80"/>
        </w:rPr>
        <w:t xml:space="preserve">ꎬ </w:t>
      </w:r>
      <w:r>
        <w:rPr>
          <w:spacing w:val="-20"/>
        </w:rPr>
        <w:t>可 延 长 至</w:t>
      </w:r>
    </w:p>
    <w:p>
      <w:pPr>
        <w:pStyle w:val="6"/>
        <w:spacing w:before="58"/>
        <w:ind w:left="118" w:firstLine="0"/>
        <w:jc w:val="left"/>
        <w:rPr>
          <w:rFonts w:hint="eastAsia" w:ascii="MS UI Gothic" w:eastAsia="MS UI Gothic"/>
        </w:rPr>
      </w:pPr>
      <w:r>
        <w:rPr>
          <w:rFonts w:hint="eastAsia" w:ascii="MS UI Gothic" w:eastAsia="MS UI Gothic"/>
          <w:w w:val="90"/>
        </w:rPr>
        <w:t xml:space="preserve">１８０ </w:t>
      </w:r>
      <w:r>
        <w:rPr>
          <w:w w:val="90"/>
        </w:rPr>
        <w:t>日</w:t>
      </w:r>
      <w:r>
        <w:rPr>
          <w:rFonts w:hint="eastAsia" w:ascii="MS UI Gothic" w:eastAsia="MS UI Gothic"/>
          <w:w w:val="85"/>
        </w:rPr>
        <w:t>ꎮ</w:t>
      </w:r>
    </w:p>
    <w:p>
      <w:pPr>
        <w:pStyle w:val="6"/>
        <w:tabs>
          <w:tab w:val="left" w:pos="1906"/>
        </w:tabs>
        <w:spacing w:before="216"/>
        <w:ind w:left="1067" w:firstLine="0"/>
        <w:jc w:val="left"/>
      </w:pPr>
      <w:r>
        <w:rPr>
          <w:spacing w:val="3"/>
          <w:w w:val="105"/>
        </w:rPr>
        <w:t>第三</w:t>
      </w:r>
      <w:r>
        <w:rPr>
          <w:w w:val="105"/>
        </w:rPr>
        <w:t>节</w:t>
      </w:r>
      <w:r>
        <w:rPr>
          <w:w w:val="105"/>
        </w:rPr>
        <w:tab/>
      </w:r>
      <w:r>
        <w:rPr>
          <w:w w:val="105"/>
        </w:rPr>
        <w:t>听</w:t>
      </w:r>
      <w:r>
        <w:rPr>
          <w:spacing w:val="-34"/>
          <w:w w:val="105"/>
        </w:rPr>
        <w:t xml:space="preserve"> </w:t>
      </w:r>
      <w:r>
        <w:rPr>
          <w:w w:val="105"/>
        </w:rPr>
        <w:t>证</w:t>
      </w:r>
      <w:r>
        <w:rPr>
          <w:spacing w:val="-33"/>
          <w:w w:val="105"/>
        </w:rPr>
        <w:t xml:space="preserve"> </w:t>
      </w:r>
      <w:r>
        <w:rPr>
          <w:w w:val="105"/>
        </w:rPr>
        <w:t>程</w:t>
      </w:r>
      <w:r>
        <w:rPr>
          <w:spacing w:val="-33"/>
          <w:w w:val="105"/>
        </w:rPr>
        <w:t xml:space="preserve"> </w:t>
      </w:r>
      <w:r>
        <w:rPr>
          <w:w w:val="105"/>
        </w:rPr>
        <w:t>序</w:t>
      </w:r>
    </w:p>
    <w:p>
      <w:pPr>
        <w:pStyle w:val="6"/>
        <w:spacing w:before="10"/>
        <w:ind w:left="0" w:firstLine="0"/>
        <w:jc w:val="left"/>
        <w:rPr>
          <w:sz w:val="16"/>
        </w:rPr>
      </w:pPr>
    </w:p>
    <w:p>
      <w:pPr>
        <w:pStyle w:val="6"/>
        <w:spacing w:line="295" w:lineRule="auto"/>
        <w:ind w:right="39"/>
        <w:rPr>
          <w:rFonts w:hint="eastAsia" w:ascii="MS UI Gothic" w:eastAsia="MS UI Gothic"/>
        </w:rPr>
      </w:pPr>
      <w:r>
        <w:t>第三十二条 安全监管监察部门作出责令停产停业整顿</w:t>
      </w:r>
      <w:r>
        <w:rPr>
          <w:rFonts w:hint="eastAsia" w:ascii="MS UI Gothic" w:eastAsia="MS UI Gothic"/>
          <w:w w:val="80"/>
        </w:rPr>
        <w:t xml:space="preserve">、 </w:t>
      </w:r>
      <w:r>
        <w:t>责令停产停业</w:t>
      </w:r>
      <w:r>
        <w:rPr>
          <w:rFonts w:hint="eastAsia" w:ascii="MS UI Gothic" w:eastAsia="MS UI Gothic"/>
          <w:w w:val="80"/>
        </w:rPr>
        <w:t xml:space="preserve">、 </w:t>
      </w:r>
      <w:r>
        <w:t>吊销有关许可证</w:t>
      </w:r>
      <w:r>
        <w:rPr>
          <w:rFonts w:hint="eastAsia" w:ascii="MS UI Gothic" w:eastAsia="MS UI Gothic"/>
          <w:w w:val="80"/>
        </w:rPr>
        <w:t xml:space="preserve">、 </w:t>
      </w:r>
      <w:r>
        <w:t>撤销有关执业资格</w:t>
      </w:r>
      <w:r>
        <w:rPr>
          <w:rFonts w:hint="eastAsia" w:ascii="MS UI Gothic" w:eastAsia="MS UI Gothic"/>
          <w:w w:val="80"/>
        </w:rPr>
        <w:t xml:space="preserve">、 </w:t>
      </w:r>
      <w:r>
        <w:t>岗位证书或者较大数额罚款的行政处罚决定之前</w:t>
      </w:r>
      <w:r>
        <w:rPr>
          <w:rFonts w:hint="eastAsia" w:ascii="MS UI Gothic" w:eastAsia="MS UI Gothic"/>
          <w:w w:val="80"/>
        </w:rPr>
        <w:t xml:space="preserve">ꎬ </w:t>
      </w:r>
      <w:r>
        <w:t>应当告知当事人有要求举行听证的权利</w:t>
      </w:r>
      <w:r>
        <w:rPr>
          <w:rFonts w:hint="eastAsia" w:ascii="MS UI Gothic" w:eastAsia="MS UI Gothic"/>
          <w:w w:val="80"/>
        </w:rPr>
        <w:t xml:space="preserve">ꎻ </w:t>
      </w:r>
      <w:r>
        <w:t>当事人要求听证的</w:t>
      </w:r>
      <w:r>
        <w:rPr>
          <w:rFonts w:hint="eastAsia" w:ascii="MS UI Gothic" w:eastAsia="MS UI Gothic"/>
          <w:w w:val="80"/>
        </w:rPr>
        <w:t xml:space="preserve">ꎬ </w:t>
      </w:r>
      <w:r>
        <w:t>安全监管监察部门应当组织听证</w:t>
      </w:r>
      <w:r>
        <w:rPr>
          <w:rFonts w:hint="eastAsia" w:ascii="MS UI Gothic" w:eastAsia="MS UI Gothic"/>
          <w:w w:val="80"/>
        </w:rPr>
        <w:t xml:space="preserve">ꎬ </w:t>
      </w:r>
      <w:r>
        <w:t>不得向当事人收取听证费用</w:t>
      </w:r>
      <w:r>
        <w:rPr>
          <w:rFonts w:hint="eastAsia" w:ascii="MS UI Gothic" w:eastAsia="MS UI Gothic"/>
          <w:w w:val="80"/>
        </w:rPr>
        <w:t>ꎮ</w:t>
      </w:r>
    </w:p>
    <w:p>
      <w:pPr>
        <w:pStyle w:val="6"/>
        <w:spacing w:line="295" w:lineRule="auto"/>
        <w:ind w:right="39"/>
        <w:rPr>
          <w:rFonts w:hint="eastAsia" w:ascii="MS UI Gothic" w:eastAsia="MS UI Gothic"/>
        </w:rPr>
      </w:pPr>
      <w:r>
        <w:t>前款所称较大数额罚款</w:t>
      </w:r>
      <w:r>
        <w:rPr>
          <w:rFonts w:hint="eastAsia" w:ascii="MS UI Gothic" w:eastAsia="MS UI Gothic"/>
          <w:w w:val="80"/>
        </w:rPr>
        <w:t xml:space="preserve">ꎬ </w:t>
      </w:r>
      <w:r>
        <w:t>为省</w:t>
      </w:r>
      <w:r>
        <w:rPr>
          <w:rFonts w:hint="eastAsia" w:ascii="MS UI Gothic" w:eastAsia="MS UI Gothic"/>
          <w:w w:val="80"/>
        </w:rPr>
        <w:t xml:space="preserve">、 </w:t>
      </w:r>
      <w:r>
        <w:t>自治区</w:t>
      </w:r>
      <w:r>
        <w:rPr>
          <w:rFonts w:hint="eastAsia" w:ascii="MS UI Gothic" w:eastAsia="MS UI Gothic"/>
          <w:w w:val="80"/>
        </w:rPr>
        <w:t xml:space="preserve">、 </w:t>
      </w:r>
      <w:r>
        <w:t>直辖市人大常委会或者人民政府规定的数额</w:t>
      </w:r>
      <w:r>
        <w:rPr>
          <w:rFonts w:hint="eastAsia" w:ascii="MS UI Gothic" w:eastAsia="MS UI Gothic"/>
          <w:w w:val="80"/>
        </w:rPr>
        <w:t xml:space="preserve">ꎻ </w:t>
      </w:r>
      <w:r>
        <w:t>没有规定数额的</w:t>
      </w:r>
      <w:r>
        <w:rPr>
          <w:rFonts w:hint="eastAsia" w:ascii="MS UI Gothic" w:eastAsia="MS UI Gothic"/>
          <w:w w:val="80"/>
        </w:rPr>
        <w:t xml:space="preserve">ꎬ </w:t>
      </w:r>
      <w:r>
        <w:t xml:space="preserve">其数额对个人罚款为 </w:t>
      </w:r>
      <w:r>
        <w:rPr>
          <w:rFonts w:hint="eastAsia" w:ascii="MS UI Gothic" w:eastAsia="MS UI Gothic"/>
          <w:w w:val="80"/>
        </w:rPr>
        <w:t xml:space="preserve">１ </w:t>
      </w:r>
      <w:r>
        <w:t>万元以上</w:t>
      </w:r>
      <w:r>
        <w:rPr>
          <w:rFonts w:hint="eastAsia" w:ascii="MS UI Gothic" w:eastAsia="MS UI Gothic"/>
          <w:w w:val="80"/>
        </w:rPr>
        <w:t xml:space="preserve">ꎬ </w:t>
      </w:r>
      <w:r>
        <w:t xml:space="preserve">对生产经营单位罚款为 </w:t>
      </w:r>
      <w:r>
        <w:rPr>
          <w:rFonts w:hint="eastAsia" w:ascii="MS UI Gothic" w:eastAsia="MS UI Gothic"/>
          <w:w w:val="80"/>
        </w:rPr>
        <w:t xml:space="preserve">３ </w:t>
      </w:r>
      <w:r>
        <w:t>万元以上</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第三十三条 当事人要求听证的</w:t>
      </w:r>
      <w:r>
        <w:rPr>
          <w:rFonts w:hint="eastAsia" w:ascii="MS UI Gothic" w:eastAsia="MS UI Gothic"/>
          <w:w w:val="80"/>
        </w:rPr>
        <w:t xml:space="preserve">ꎬ </w:t>
      </w:r>
      <w:r>
        <w:rPr>
          <w:w w:val="105"/>
        </w:rPr>
        <w:t>应</w:t>
      </w:r>
      <w:r>
        <w:t>当在安全监管监察部门依照本办法第十七</w:t>
      </w:r>
      <w:r>
        <w:rPr>
          <w:w w:val="105"/>
        </w:rPr>
        <w:t xml:space="preserve">条规定告知后 </w:t>
      </w:r>
      <w:r>
        <w:rPr>
          <w:rFonts w:hint="eastAsia" w:ascii="MS UI Gothic" w:eastAsia="MS UI Gothic"/>
          <w:w w:val="80"/>
        </w:rPr>
        <w:t xml:space="preserve">３ </w:t>
      </w:r>
      <w:r>
        <w:rPr>
          <w:w w:val="105"/>
        </w:rPr>
        <w:t>日内以书面方式提出</w:t>
      </w:r>
      <w:r>
        <w:rPr>
          <w:rFonts w:hint="eastAsia" w:ascii="MS UI Gothic" w:eastAsia="MS UI Gothic"/>
          <w:w w:val="80"/>
        </w:rPr>
        <w:t>ꎮ</w:t>
      </w:r>
    </w:p>
    <w:p>
      <w:pPr>
        <w:pStyle w:val="6"/>
        <w:spacing w:line="295" w:lineRule="auto"/>
        <w:ind w:right="38"/>
        <w:rPr>
          <w:rFonts w:hint="eastAsia" w:ascii="MS UI Gothic" w:eastAsia="MS UI Gothic"/>
        </w:rPr>
      </w:pPr>
      <w:r>
        <w:t>第三十四条  当事人提出听证要求后</w:t>
      </w:r>
      <w:r>
        <w:rPr>
          <w:rFonts w:hint="eastAsia" w:ascii="MS UI Gothic" w:eastAsia="MS UI Gothic"/>
          <w:w w:val="80"/>
        </w:rPr>
        <w:t xml:space="preserve">ꎬ </w:t>
      </w:r>
      <w:r>
        <w:t xml:space="preserve">安全监管监察部门应当在举行听证会的 </w:t>
      </w:r>
      <w:r>
        <w:rPr>
          <w:rFonts w:hint="eastAsia" w:ascii="MS UI Gothic" w:eastAsia="MS UI Gothic"/>
          <w:w w:val="80"/>
        </w:rPr>
        <w:t xml:space="preserve">７ </w:t>
      </w:r>
      <w:r>
        <w:t>日前</w:t>
      </w:r>
      <w:r>
        <w:rPr>
          <w:rFonts w:hint="eastAsia" w:ascii="MS UI Gothic" w:eastAsia="MS UI Gothic"/>
          <w:w w:val="80"/>
        </w:rPr>
        <w:t xml:space="preserve">ꎬ </w:t>
      </w:r>
      <w:r>
        <w:t>通知当事人举行听证的时间</w:t>
      </w:r>
      <w:r>
        <w:rPr>
          <w:rFonts w:hint="eastAsia" w:ascii="MS UI Gothic" w:eastAsia="MS UI Gothic"/>
          <w:w w:val="80"/>
        </w:rPr>
        <w:t>、</w:t>
      </w:r>
      <w:r>
        <w:t>地点</w:t>
      </w:r>
      <w:r>
        <w:rPr>
          <w:rFonts w:hint="eastAsia" w:ascii="MS UI Gothic" w:eastAsia="MS UI Gothic"/>
          <w:w w:val="80"/>
        </w:rPr>
        <w:t>ꎮ</w:t>
      </w:r>
    </w:p>
    <w:p>
      <w:pPr>
        <w:pStyle w:val="6"/>
        <w:spacing w:line="295" w:lineRule="auto"/>
        <w:ind w:right="38"/>
        <w:rPr>
          <w:rFonts w:hint="eastAsia" w:ascii="MS UI Gothic" w:eastAsia="MS UI Gothic"/>
        </w:rPr>
      </w:pPr>
      <w:r>
        <w:t>当事人应当按期参加听证</w:t>
      </w:r>
      <w:r>
        <w:rPr>
          <w:rFonts w:hint="eastAsia" w:ascii="MS UI Gothic" w:eastAsia="MS UI Gothic"/>
          <w:w w:val="80"/>
        </w:rPr>
        <w:t xml:space="preserve">ꎮ </w:t>
      </w:r>
      <w:r>
        <w:t>当事人有正当理由要求延期的</w:t>
      </w:r>
      <w:r>
        <w:rPr>
          <w:rFonts w:hint="eastAsia" w:ascii="MS UI Gothic" w:eastAsia="MS UI Gothic"/>
          <w:w w:val="80"/>
        </w:rPr>
        <w:t xml:space="preserve">ꎬ </w:t>
      </w:r>
      <w:r>
        <w:t xml:space="preserve">经组织听证的安全监管监察部门负责人批准可以延期 </w:t>
      </w:r>
      <w:r>
        <w:rPr>
          <w:rFonts w:hint="eastAsia" w:ascii="MS UI Gothic" w:eastAsia="MS UI Gothic"/>
          <w:w w:val="80"/>
        </w:rPr>
        <w:t xml:space="preserve">１ </w:t>
      </w:r>
      <w:r>
        <w:t>次</w:t>
      </w:r>
      <w:r>
        <w:rPr>
          <w:rFonts w:hint="eastAsia" w:ascii="MS UI Gothic" w:eastAsia="MS UI Gothic"/>
          <w:w w:val="80"/>
        </w:rPr>
        <w:t>ꎻ</w:t>
      </w:r>
      <w:r>
        <w:t>当事人未按期参加听证</w:t>
      </w:r>
      <w:r>
        <w:rPr>
          <w:rFonts w:hint="eastAsia" w:ascii="MS UI Gothic" w:eastAsia="MS UI Gothic"/>
          <w:w w:val="80"/>
        </w:rPr>
        <w:t xml:space="preserve">ꎬ </w:t>
      </w:r>
      <w:r>
        <w:t>并且未事先说明理由的</w:t>
      </w:r>
      <w:r>
        <w:rPr>
          <w:rFonts w:hint="eastAsia" w:ascii="MS UI Gothic" w:eastAsia="MS UI Gothic"/>
          <w:w w:val="80"/>
        </w:rPr>
        <w:t xml:space="preserve">ꎬ </w:t>
      </w:r>
      <w:r>
        <w:t>视为放弃听证权利</w:t>
      </w:r>
      <w:r>
        <w:rPr>
          <w:rFonts w:hint="eastAsia" w:ascii="MS UI Gothic" w:eastAsia="MS UI Gothic"/>
          <w:w w:val="80"/>
        </w:rPr>
        <w:t>ꎮ</w:t>
      </w:r>
    </w:p>
    <w:p>
      <w:pPr>
        <w:pStyle w:val="6"/>
        <w:spacing w:line="295" w:lineRule="auto"/>
        <w:ind w:right="39"/>
        <w:rPr>
          <w:rFonts w:hint="eastAsia" w:ascii="MS UI Gothic" w:eastAsia="MS UI Gothic"/>
        </w:rPr>
      </w:pPr>
      <w:r>
        <w:t>第三十五条 听证参加人由听证主持人</w:t>
      </w:r>
      <w:r>
        <w:rPr>
          <w:rFonts w:hint="eastAsia" w:ascii="MS UI Gothic" w:eastAsia="MS UI Gothic"/>
          <w:w w:val="80"/>
        </w:rPr>
        <w:t xml:space="preserve">、 </w:t>
      </w:r>
      <w:r>
        <w:t>听证员</w:t>
      </w:r>
      <w:r>
        <w:rPr>
          <w:rFonts w:hint="eastAsia" w:ascii="MS UI Gothic" w:eastAsia="MS UI Gothic"/>
          <w:w w:val="80"/>
        </w:rPr>
        <w:t xml:space="preserve">、 </w:t>
      </w:r>
      <w:r>
        <w:t>案件调查人员</w:t>
      </w:r>
      <w:r>
        <w:rPr>
          <w:rFonts w:hint="eastAsia" w:ascii="MS UI Gothic" w:eastAsia="MS UI Gothic"/>
          <w:w w:val="80"/>
        </w:rPr>
        <w:t xml:space="preserve">、 </w:t>
      </w:r>
      <w:r>
        <w:t>当事人及其委托代理人</w:t>
      </w:r>
      <w:r>
        <w:rPr>
          <w:rFonts w:hint="eastAsia" w:ascii="MS UI Gothic" w:eastAsia="MS UI Gothic"/>
          <w:w w:val="80"/>
        </w:rPr>
        <w:t xml:space="preserve">、 </w:t>
      </w:r>
      <w:r>
        <w:t>书记员组成</w:t>
      </w:r>
      <w:r>
        <w:rPr>
          <w:rFonts w:hint="eastAsia" w:ascii="MS UI Gothic" w:eastAsia="MS UI Gothic"/>
          <w:w w:val="80"/>
        </w:rPr>
        <w:t>ꎮ</w:t>
      </w:r>
    </w:p>
    <w:p>
      <w:pPr>
        <w:pStyle w:val="6"/>
        <w:spacing w:line="295" w:lineRule="auto"/>
        <w:ind w:right="39"/>
        <w:rPr>
          <w:rFonts w:hint="eastAsia" w:ascii="MS UI Gothic" w:eastAsia="MS UI Gothic"/>
        </w:rPr>
      </w:pPr>
      <w:r>
        <w:rPr>
          <w:w w:val="105"/>
        </w:rPr>
        <w:t>听证主持人</w:t>
      </w:r>
      <w:r>
        <w:rPr>
          <w:rFonts w:hint="eastAsia" w:ascii="MS UI Gothic" w:eastAsia="MS UI Gothic"/>
          <w:w w:val="80"/>
        </w:rPr>
        <w:t xml:space="preserve">、 </w:t>
      </w:r>
      <w:r>
        <w:rPr>
          <w:w w:val="105"/>
        </w:rPr>
        <w:t>听证员</w:t>
      </w:r>
      <w:r>
        <w:rPr>
          <w:rFonts w:hint="eastAsia" w:ascii="MS UI Gothic" w:eastAsia="MS UI Gothic"/>
          <w:w w:val="80"/>
        </w:rPr>
        <w:t xml:space="preserve">、 </w:t>
      </w:r>
      <w:r>
        <w:rPr>
          <w:w w:val="105"/>
        </w:rPr>
        <w:t>书记员应当由</w:t>
      </w:r>
      <w:r>
        <w:t>组织听证的安全监管监察部门负责人指定</w:t>
      </w:r>
      <w:r>
        <w:rPr>
          <w:w w:val="105"/>
        </w:rPr>
        <w:t>的非本案调查人员担任</w:t>
      </w:r>
      <w:r>
        <w:rPr>
          <w:rFonts w:hint="eastAsia" w:ascii="MS UI Gothic" w:eastAsia="MS UI Gothic"/>
          <w:w w:val="80"/>
        </w:rPr>
        <w:t>ꎮ</w:t>
      </w:r>
    </w:p>
    <w:p>
      <w:pPr>
        <w:pStyle w:val="6"/>
        <w:spacing w:line="295" w:lineRule="auto"/>
        <w:ind w:right="39"/>
        <w:rPr>
          <w:rFonts w:hint="eastAsia" w:ascii="MS UI Gothic" w:eastAsia="MS UI Gothic"/>
        </w:rPr>
      </w:pPr>
      <w:r>
        <w:rPr>
          <w:spacing w:val="-5"/>
        </w:rPr>
        <w:t xml:space="preserve">当事人可以委托 </w:t>
      </w:r>
      <w:r>
        <w:rPr>
          <w:rFonts w:hint="eastAsia" w:ascii="MS UI Gothic" w:eastAsia="MS UI Gothic"/>
        </w:rPr>
        <w:t xml:space="preserve">１ </w:t>
      </w:r>
      <w:r>
        <w:rPr>
          <w:spacing w:val="-24"/>
        </w:rPr>
        <w:t xml:space="preserve">至 </w:t>
      </w:r>
      <w:r>
        <w:rPr>
          <w:rFonts w:hint="eastAsia" w:ascii="MS UI Gothic" w:eastAsia="MS UI Gothic"/>
        </w:rPr>
        <w:t xml:space="preserve">２ </w:t>
      </w:r>
      <w:r>
        <w:rPr>
          <w:spacing w:val="2"/>
        </w:rPr>
        <w:t>名代理人参加</w:t>
      </w:r>
      <w:r>
        <w:rPr>
          <w:spacing w:val="3"/>
        </w:rPr>
        <w:t>听证</w:t>
      </w:r>
      <w:r>
        <w:rPr>
          <w:rFonts w:hint="eastAsia" w:ascii="MS UI Gothic" w:eastAsia="MS UI Gothic"/>
          <w:spacing w:val="2"/>
          <w:w w:val="80"/>
        </w:rPr>
        <w:t xml:space="preserve">ꎬ </w:t>
      </w:r>
      <w:r>
        <w:rPr>
          <w:spacing w:val="3"/>
        </w:rPr>
        <w:t>并提交委托书</w:t>
      </w:r>
      <w:r>
        <w:rPr>
          <w:rFonts w:hint="eastAsia" w:ascii="MS UI Gothic" w:eastAsia="MS UI Gothic"/>
          <w:w w:val="80"/>
        </w:rPr>
        <w:t>ꎮ</w:t>
      </w:r>
    </w:p>
    <w:p>
      <w:pPr>
        <w:pStyle w:val="6"/>
        <w:spacing w:line="295" w:lineRule="auto"/>
        <w:ind w:right="39"/>
      </w:pPr>
      <w:r>
        <w:rPr>
          <w:w w:val="105"/>
        </w:rPr>
        <w:t>第三十六条 除涉及国家秘密</w:t>
      </w:r>
      <w:r>
        <w:rPr>
          <w:rFonts w:hint="eastAsia" w:ascii="MS UI Gothic" w:eastAsia="MS UI Gothic"/>
          <w:w w:val="80"/>
        </w:rPr>
        <w:t xml:space="preserve">、 </w:t>
      </w:r>
      <w:r>
        <w:rPr>
          <w:w w:val="105"/>
        </w:rPr>
        <w:t>商业</w:t>
      </w:r>
      <w:r>
        <w:t>秘密或者个人隐私外</w:t>
      </w:r>
      <w:r>
        <w:rPr>
          <w:rFonts w:hint="eastAsia" w:ascii="MS UI Gothic" w:eastAsia="MS UI Gothic"/>
          <w:w w:val="80"/>
        </w:rPr>
        <w:t xml:space="preserve">ꎬ </w:t>
      </w:r>
      <w:r>
        <w:t>听证应当公开</w:t>
      </w:r>
    </w:p>
    <w:p>
      <w:pPr>
        <w:spacing w:before="123"/>
        <w:ind w:left="118" w:right="0" w:firstLine="0"/>
        <w:jc w:val="left"/>
        <w:rPr>
          <w:rFonts w:hint="eastAsia" w:ascii="MS UI Gothic" w:eastAsia="MS UI Gothic"/>
          <w:sz w:val="20"/>
        </w:rPr>
      </w:pPr>
      <w:r>
        <w:br w:type="column"/>
      </w:r>
      <w:r>
        <w:rPr>
          <w:sz w:val="20"/>
        </w:rPr>
        <w:t>举行</w:t>
      </w:r>
      <w:r>
        <w:rPr>
          <w:rFonts w:hint="eastAsia" w:ascii="MS UI Gothic" w:eastAsia="MS UI Gothic"/>
          <w:w w:val="80"/>
          <w:sz w:val="20"/>
        </w:rPr>
        <w:t>ꎮ</w:t>
      </w:r>
    </w:p>
    <w:p>
      <w:pPr>
        <w:pStyle w:val="6"/>
        <w:tabs>
          <w:tab w:val="left" w:pos="1795"/>
        </w:tabs>
        <w:spacing w:before="58" w:line="295" w:lineRule="auto"/>
        <w:ind w:left="118" w:right="442"/>
        <w:jc w:val="left"/>
        <w:rPr>
          <w:rFonts w:hint="eastAsia" w:ascii="MS UI Gothic" w:eastAsia="MS UI Gothic"/>
        </w:rPr>
      </w:pPr>
      <w:r>
        <w:rPr>
          <w:spacing w:val="3"/>
          <w:w w:val="110"/>
        </w:rPr>
        <w:t>第三十七</w:t>
      </w:r>
      <w:r>
        <w:rPr>
          <w:w w:val="110"/>
        </w:rPr>
        <w:t>条</w:t>
      </w:r>
      <w:r>
        <w:rPr>
          <w:w w:val="110"/>
        </w:rPr>
        <w:tab/>
      </w:r>
      <w:r>
        <w:rPr>
          <w:spacing w:val="3"/>
        </w:rPr>
        <w:t>当事人在听证中的权</w:t>
      </w:r>
      <w:r>
        <w:t>利</w:t>
      </w:r>
      <w:r>
        <w:rPr>
          <w:spacing w:val="3"/>
          <w:w w:val="115"/>
        </w:rPr>
        <w:t>和义务</w:t>
      </w:r>
      <w:r>
        <w:rPr>
          <w:rFonts w:hint="eastAsia" w:ascii="MS UI Gothic" w:eastAsia="MS UI Gothic"/>
          <w:w w:val="235"/>
        </w:rPr>
        <w:t>:</w:t>
      </w:r>
    </w:p>
    <w:p>
      <w:pPr>
        <w:pStyle w:val="6"/>
        <w:spacing w:line="295" w:lineRule="auto"/>
        <w:ind w:left="118" w:right="442"/>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有权对案件涉及的事实</w:t>
      </w:r>
      <w:r>
        <w:rPr>
          <w:rFonts w:hint="eastAsia" w:ascii="MS UI Gothic" w:eastAsia="MS UI Gothic"/>
          <w:w w:val="80"/>
        </w:rPr>
        <w:t xml:space="preserve">、 </w:t>
      </w:r>
      <w:r>
        <w:rPr>
          <w:w w:val="105"/>
        </w:rPr>
        <w:t>适用法律及有关情况进行陈述和申辩</w:t>
      </w:r>
      <w:r>
        <w:rPr>
          <w:rFonts w:hint="eastAsia" w:ascii="MS UI Gothic" w:eastAsia="MS UI Gothic"/>
          <w:w w:val="80"/>
        </w:rPr>
        <w:t>ꎻ</w:t>
      </w:r>
    </w:p>
    <w:p>
      <w:pPr>
        <w:pStyle w:val="6"/>
        <w:spacing w:line="295" w:lineRule="auto"/>
        <w:ind w:left="118" w:right="442"/>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有权对案件调查人员提出的证</w:t>
      </w:r>
      <w:r>
        <w:rPr>
          <w:w w:val="110"/>
        </w:rPr>
        <w:t>据质证并提出新的证据</w:t>
      </w:r>
      <w:r>
        <w:rPr>
          <w:rFonts w:hint="eastAsia" w:ascii="MS UI Gothic" w:eastAsia="MS UI Gothic"/>
          <w:w w:val="80"/>
        </w:rPr>
        <w:t>ꎻ</w:t>
      </w:r>
    </w:p>
    <w:p>
      <w:pPr>
        <w:pStyle w:val="6"/>
        <w:spacing w:line="255" w:lineRule="exact"/>
        <w:ind w:left="538"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如实回答主持人的提问</w:t>
      </w:r>
      <w:r>
        <w:rPr>
          <w:rFonts w:hint="eastAsia" w:ascii="MS UI Gothic" w:eastAsia="MS UI Gothic"/>
          <w:w w:val="80"/>
        </w:rPr>
        <w:t>ꎻ</w:t>
      </w:r>
    </w:p>
    <w:p>
      <w:pPr>
        <w:pStyle w:val="6"/>
        <w:spacing w:before="55" w:line="295" w:lineRule="auto"/>
        <w:ind w:left="118" w:right="442"/>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遵守听证会场纪律</w:t>
      </w:r>
      <w:r>
        <w:rPr>
          <w:rFonts w:hint="eastAsia" w:ascii="MS UI Gothic" w:eastAsia="MS UI Gothic"/>
          <w:w w:val="80"/>
        </w:rPr>
        <w:t xml:space="preserve">ꎬ </w:t>
      </w:r>
      <w:r>
        <w:rPr>
          <w:w w:val="105"/>
        </w:rPr>
        <w:t>服从听证主持人指挥</w:t>
      </w:r>
      <w:r>
        <w:rPr>
          <w:rFonts w:hint="eastAsia" w:ascii="MS UI Gothic" w:eastAsia="MS UI Gothic"/>
          <w:w w:val="80"/>
        </w:rPr>
        <w:t>ꎮ</w:t>
      </w:r>
    </w:p>
    <w:p>
      <w:pPr>
        <w:pStyle w:val="6"/>
        <w:tabs>
          <w:tab w:val="left" w:pos="1983"/>
        </w:tabs>
        <w:spacing w:line="295" w:lineRule="auto"/>
        <w:ind w:left="118" w:right="442"/>
        <w:jc w:val="left"/>
        <w:rPr>
          <w:rFonts w:hint="eastAsia" w:ascii="MS UI Gothic" w:eastAsia="MS UI Gothic"/>
        </w:rPr>
      </w:pPr>
      <w:r>
        <w:rPr>
          <w:spacing w:val="15"/>
          <w:w w:val="110"/>
        </w:rPr>
        <w:t>第</w:t>
      </w:r>
      <w:r>
        <w:rPr>
          <w:spacing w:val="34"/>
          <w:w w:val="110"/>
        </w:rPr>
        <w:t>三十八</w:t>
      </w:r>
      <w:r>
        <w:rPr>
          <w:w w:val="110"/>
        </w:rPr>
        <w:t>条</w:t>
      </w:r>
      <w:r>
        <w:rPr>
          <w:w w:val="110"/>
        </w:rPr>
        <w:tab/>
      </w:r>
      <w:r>
        <w:rPr>
          <w:spacing w:val="36"/>
        </w:rPr>
        <w:t>听证按照下列程</w:t>
      </w:r>
      <w:r>
        <w:rPr>
          <w:spacing w:val="-11"/>
        </w:rPr>
        <w:t>序</w:t>
      </w:r>
      <w:r>
        <w:rPr>
          <w:spacing w:val="3"/>
          <w:w w:val="115"/>
        </w:rPr>
        <w:t>进行</w:t>
      </w:r>
      <w:r>
        <w:rPr>
          <w:rFonts w:hint="eastAsia" w:ascii="MS UI Gothic" w:eastAsia="MS UI Gothic"/>
          <w:w w:val="235"/>
        </w:rPr>
        <w:t>:</w:t>
      </w:r>
    </w:p>
    <w:p>
      <w:pPr>
        <w:pStyle w:val="6"/>
        <w:spacing w:line="295" w:lineRule="auto"/>
        <w:ind w:left="118" w:right="442"/>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9"/>
          <w:w w:val="150"/>
        </w:rPr>
        <w:t xml:space="preserve">) </w:t>
      </w:r>
      <w:r>
        <w:rPr>
          <w:spacing w:val="5"/>
          <w:w w:val="105"/>
        </w:rPr>
        <w:t>书记员宣布听证会场纪律</w:t>
      </w:r>
      <w:r>
        <w:rPr>
          <w:rFonts w:hint="eastAsia" w:ascii="MS UI Gothic" w:eastAsia="MS UI Gothic"/>
          <w:w w:val="80"/>
        </w:rPr>
        <w:t xml:space="preserve">、 </w:t>
      </w:r>
      <w:r>
        <w:rPr>
          <w:w w:val="105"/>
        </w:rPr>
        <w:t>当</w:t>
      </w:r>
      <w:r>
        <w:rPr>
          <w:spacing w:val="12"/>
        </w:rPr>
        <w:t>事人的权利和义务</w:t>
      </w:r>
      <w:r>
        <w:rPr>
          <w:rFonts w:hint="eastAsia" w:ascii="MS UI Gothic" w:eastAsia="MS UI Gothic"/>
          <w:spacing w:val="23"/>
          <w:w w:val="80"/>
        </w:rPr>
        <w:t xml:space="preserve">ꎮ </w:t>
      </w:r>
      <w:r>
        <w:rPr>
          <w:spacing w:val="16"/>
        </w:rPr>
        <w:t>听证主持人宣布案</w:t>
      </w:r>
      <w:r>
        <w:rPr>
          <w:spacing w:val="3"/>
        </w:rPr>
        <w:t>由</w:t>
      </w:r>
      <w:r>
        <w:rPr>
          <w:rFonts w:hint="eastAsia" w:ascii="MS UI Gothic" w:eastAsia="MS UI Gothic"/>
          <w:spacing w:val="21"/>
          <w:w w:val="80"/>
        </w:rPr>
        <w:t xml:space="preserve">ꎬ </w:t>
      </w:r>
      <w:r>
        <w:rPr>
          <w:spacing w:val="33"/>
        </w:rPr>
        <w:t>核实听证参加人名单</w:t>
      </w:r>
      <w:r>
        <w:rPr>
          <w:rFonts w:hint="eastAsia" w:ascii="MS UI Gothic" w:eastAsia="MS UI Gothic"/>
          <w:spacing w:val="7"/>
          <w:w w:val="80"/>
        </w:rPr>
        <w:t xml:space="preserve">ꎬ </w:t>
      </w:r>
      <w:r>
        <w:rPr>
          <w:spacing w:val="30"/>
        </w:rPr>
        <w:t>宣布听证</w:t>
      </w:r>
      <w:r>
        <w:rPr>
          <w:spacing w:val="3"/>
          <w:w w:val="105"/>
        </w:rPr>
        <w:t>开始</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案件调查人员提出当事人的违法事实</w:t>
      </w:r>
      <w:r>
        <w:rPr>
          <w:rFonts w:hint="eastAsia" w:ascii="MS UI Gothic" w:eastAsia="MS UI Gothic"/>
          <w:w w:val="80"/>
        </w:rPr>
        <w:t xml:space="preserve">、 </w:t>
      </w:r>
      <w:r>
        <w:rPr>
          <w:w w:val="105"/>
        </w:rPr>
        <w:t>出示证据</w:t>
      </w:r>
      <w:r>
        <w:rPr>
          <w:rFonts w:hint="eastAsia" w:ascii="MS UI Gothic" w:eastAsia="MS UI Gothic"/>
          <w:w w:val="80"/>
        </w:rPr>
        <w:t xml:space="preserve">ꎬ </w:t>
      </w:r>
      <w:r>
        <w:rPr>
          <w:w w:val="105"/>
        </w:rPr>
        <w:t>说明拟作出的行政处罚的内容及法律依据</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当事人或者其委托代理人对案件的事实</w:t>
      </w:r>
      <w:r>
        <w:rPr>
          <w:rFonts w:hint="eastAsia" w:ascii="MS UI Gothic" w:eastAsia="MS UI Gothic"/>
          <w:w w:val="80"/>
        </w:rPr>
        <w:t xml:space="preserve">、 </w:t>
      </w:r>
      <w:r>
        <w:rPr>
          <w:w w:val="105"/>
        </w:rPr>
        <w:t>证据</w:t>
      </w:r>
      <w:r>
        <w:rPr>
          <w:rFonts w:hint="eastAsia" w:ascii="MS UI Gothic" w:eastAsia="MS UI Gothic"/>
          <w:w w:val="80"/>
        </w:rPr>
        <w:t xml:space="preserve">、 </w:t>
      </w:r>
      <w:r>
        <w:rPr>
          <w:w w:val="105"/>
        </w:rPr>
        <w:t>适用的法律等进行陈述和申辩</w:t>
      </w:r>
      <w:r>
        <w:rPr>
          <w:rFonts w:hint="eastAsia" w:ascii="MS UI Gothic" w:eastAsia="MS UI Gothic"/>
          <w:w w:val="80"/>
        </w:rPr>
        <w:t xml:space="preserve">ꎬ </w:t>
      </w:r>
      <w:r>
        <w:rPr>
          <w:w w:val="105"/>
        </w:rPr>
        <w:t>提交新的证据材料</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听证主持人就案件的有关问题向当事人</w:t>
      </w:r>
      <w:r>
        <w:rPr>
          <w:rFonts w:hint="eastAsia" w:ascii="MS UI Gothic" w:eastAsia="MS UI Gothic"/>
          <w:w w:val="80"/>
        </w:rPr>
        <w:t xml:space="preserve">、 </w:t>
      </w:r>
      <w:r>
        <w:rPr>
          <w:w w:val="105"/>
        </w:rPr>
        <w:t>案件调查人员</w:t>
      </w:r>
      <w:r>
        <w:rPr>
          <w:rFonts w:hint="eastAsia" w:ascii="MS UI Gothic" w:eastAsia="MS UI Gothic"/>
          <w:w w:val="80"/>
        </w:rPr>
        <w:t xml:space="preserve">、 </w:t>
      </w:r>
      <w:r>
        <w:rPr>
          <w:w w:val="105"/>
        </w:rPr>
        <w:t>证人询问</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案件调查人员</w:t>
      </w:r>
      <w:r>
        <w:rPr>
          <w:rFonts w:hint="eastAsia" w:ascii="MS UI Gothic" w:eastAsia="MS UI Gothic"/>
          <w:w w:val="80"/>
        </w:rPr>
        <w:t xml:space="preserve">、 </w:t>
      </w:r>
      <w:r>
        <w:rPr>
          <w:w w:val="105"/>
        </w:rPr>
        <w:t>当事人或者其委托代理人相互辩论</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当事人或者其委托代理人作最</w:t>
      </w:r>
      <w:r>
        <w:rPr>
          <w:w w:val="110"/>
        </w:rPr>
        <w:t>后陈述</w:t>
      </w:r>
      <w:r>
        <w:rPr>
          <w:rFonts w:hint="eastAsia" w:ascii="MS UI Gothic" w:eastAsia="MS UI Gothic"/>
          <w:w w:val="80"/>
        </w:rPr>
        <w:t>ꎻ</w:t>
      </w:r>
    </w:p>
    <w:p>
      <w:pPr>
        <w:pStyle w:val="6"/>
        <w:spacing w:line="255" w:lineRule="exact"/>
        <w:ind w:left="538"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听证主持人宣布听证结束</w:t>
      </w:r>
      <w:r>
        <w:rPr>
          <w:rFonts w:hint="eastAsia" w:ascii="MS UI Gothic" w:eastAsia="MS UI Gothic"/>
          <w:w w:val="80"/>
        </w:rPr>
        <w:t>ꎮ</w:t>
      </w:r>
    </w:p>
    <w:p>
      <w:pPr>
        <w:pStyle w:val="6"/>
        <w:spacing w:before="44" w:line="295" w:lineRule="auto"/>
        <w:ind w:left="118" w:right="442"/>
        <w:jc w:val="left"/>
        <w:rPr>
          <w:rFonts w:hint="eastAsia" w:ascii="MS UI Gothic" w:eastAsia="MS UI Gothic"/>
        </w:rPr>
      </w:pPr>
      <w:r>
        <w:t>听证笔录应当当场交当事人核对无误</w:t>
      </w:r>
      <w:r>
        <w:rPr>
          <w:w w:val="105"/>
        </w:rPr>
        <w:t>后签名或者盖章</w:t>
      </w:r>
      <w:r>
        <w:rPr>
          <w:rFonts w:hint="eastAsia" w:ascii="MS UI Gothic" w:eastAsia="MS UI Gothic"/>
          <w:w w:val="80"/>
        </w:rPr>
        <w:t>ꎮ</w:t>
      </w:r>
    </w:p>
    <w:p>
      <w:pPr>
        <w:pStyle w:val="6"/>
        <w:tabs>
          <w:tab w:val="left" w:pos="1795"/>
        </w:tabs>
        <w:spacing w:line="295" w:lineRule="auto"/>
        <w:ind w:left="118" w:right="442"/>
        <w:jc w:val="left"/>
        <w:rPr>
          <w:rFonts w:hint="eastAsia" w:ascii="MS UI Gothic" w:eastAsia="MS UI Gothic"/>
        </w:rPr>
      </w:pPr>
      <w:r>
        <w:rPr>
          <w:spacing w:val="3"/>
          <w:w w:val="110"/>
        </w:rPr>
        <w:t>第三十九</w:t>
      </w:r>
      <w:r>
        <w:rPr>
          <w:w w:val="110"/>
        </w:rPr>
        <w:t>条</w:t>
      </w:r>
      <w:r>
        <w:rPr>
          <w:w w:val="110"/>
        </w:rPr>
        <w:tab/>
      </w:r>
      <w:r>
        <w:rPr>
          <w:spacing w:val="3"/>
        </w:rPr>
        <w:t>有下列情形之一的</w:t>
      </w:r>
      <w:r>
        <w:rPr>
          <w:rFonts w:hint="eastAsia" w:ascii="MS UI Gothic" w:eastAsia="MS UI Gothic"/>
          <w:w w:val="80"/>
        </w:rPr>
        <w:t>ꎬ</w:t>
      </w:r>
      <w:r>
        <w:rPr>
          <w:rFonts w:hint="eastAsia" w:ascii="MS UI Gothic" w:eastAsia="MS UI Gothic"/>
          <w:spacing w:val="3"/>
          <w:w w:val="80"/>
        </w:rPr>
        <w:t xml:space="preserve"> </w:t>
      </w:r>
      <w:r>
        <w:t>应</w:t>
      </w:r>
      <w:r>
        <w:rPr>
          <w:spacing w:val="3"/>
          <w:w w:val="110"/>
        </w:rPr>
        <w:t>当中止听证</w:t>
      </w:r>
      <w:r>
        <w:rPr>
          <w:rFonts w:hint="eastAsia" w:ascii="MS UI Gothic" w:eastAsia="MS UI Gothic"/>
          <w:w w:val="235"/>
        </w:rPr>
        <w:t>:</w:t>
      </w:r>
    </w:p>
    <w:p>
      <w:pPr>
        <w:pStyle w:val="6"/>
        <w:spacing w:line="255" w:lineRule="exact"/>
        <w:ind w:left="538"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需要重新调查取证的</w:t>
      </w:r>
      <w:r>
        <w:rPr>
          <w:rFonts w:hint="eastAsia" w:ascii="MS UI Gothic" w:eastAsia="MS UI Gothic"/>
          <w:w w:val="80"/>
        </w:rPr>
        <w:t>ꎻ</w:t>
      </w:r>
    </w:p>
    <w:p>
      <w:pPr>
        <w:pStyle w:val="6"/>
        <w:spacing w:before="57"/>
        <w:ind w:left="538"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需要通知新证人到场作证的</w:t>
      </w:r>
      <w:r>
        <w:rPr>
          <w:rFonts w:hint="eastAsia" w:ascii="MS UI Gothic" w:eastAsia="MS UI Gothic"/>
          <w:w w:val="80"/>
        </w:rPr>
        <w:t>ꎻ</w:t>
      </w:r>
    </w:p>
    <w:p>
      <w:pPr>
        <w:pStyle w:val="6"/>
        <w:spacing w:before="58" w:line="295" w:lineRule="auto"/>
        <w:ind w:left="118" w:right="442"/>
        <w:jc w:val="left"/>
        <w:rPr>
          <w:rFonts w:hint="eastAsia" w:ascii="MS UI Gothic" w:eastAsia="MS UI Gothic"/>
        </w:rPr>
      </w:pPr>
      <w:r>
        <w:rPr>
          <w:rFonts w:hint="eastAsia" w:ascii="MS UI Gothic" w:eastAsia="MS UI Gothic"/>
          <w:w w:val="120"/>
        </w:rPr>
        <w:t xml:space="preserve">( </w:t>
      </w:r>
      <w:r>
        <w:rPr>
          <w:w w:val="110"/>
        </w:rPr>
        <w:t>三</w:t>
      </w:r>
      <w:r>
        <w:rPr>
          <w:rFonts w:hint="eastAsia" w:ascii="MS UI Gothic" w:eastAsia="MS UI Gothic"/>
          <w:w w:val="120"/>
        </w:rPr>
        <w:t xml:space="preserve">) </w:t>
      </w:r>
      <w:r>
        <w:rPr>
          <w:w w:val="110"/>
        </w:rPr>
        <w:t>因不可抗力无法继续进行听证的</w:t>
      </w:r>
      <w:r>
        <w:rPr>
          <w:rFonts w:hint="eastAsia" w:ascii="MS UI Gothic" w:eastAsia="MS UI Gothic"/>
          <w:w w:val="80"/>
        </w:rPr>
        <w:t>ꎮ</w:t>
      </w:r>
    </w:p>
    <w:p>
      <w:pPr>
        <w:pStyle w:val="6"/>
        <w:tabs>
          <w:tab w:val="left" w:pos="1585"/>
        </w:tabs>
        <w:spacing w:line="295" w:lineRule="auto"/>
        <w:ind w:left="118" w:right="442"/>
        <w:jc w:val="left"/>
        <w:rPr>
          <w:rFonts w:hint="eastAsia" w:ascii="MS UI Gothic" w:eastAsia="MS UI Gothic"/>
        </w:rPr>
      </w:pPr>
      <w:r>
        <w:rPr>
          <w:spacing w:val="3"/>
          <w:w w:val="110"/>
        </w:rPr>
        <w:t>第四十</w:t>
      </w:r>
      <w:r>
        <w:rPr>
          <w:w w:val="110"/>
        </w:rPr>
        <w:t>条</w:t>
      </w:r>
      <w:r>
        <w:rPr>
          <w:w w:val="110"/>
        </w:rPr>
        <w:tab/>
      </w:r>
      <w:r>
        <w:rPr>
          <w:spacing w:val="3"/>
        </w:rPr>
        <w:t>有下列情形之一的</w:t>
      </w:r>
      <w:r>
        <w:rPr>
          <w:rFonts w:hint="eastAsia" w:ascii="MS UI Gothic" w:eastAsia="MS UI Gothic"/>
          <w:w w:val="80"/>
        </w:rPr>
        <w:t>ꎬ</w:t>
      </w:r>
      <w:r>
        <w:rPr>
          <w:rFonts w:hint="eastAsia" w:ascii="MS UI Gothic" w:eastAsia="MS UI Gothic"/>
          <w:spacing w:val="8"/>
          <w:w w:val="80"/>
        </w:rPr>
        <w:t xml:space="preserve"> </w:t>
      </w:r>
      <w:r>
        <w:rPr>
          <w:spacing w:val="3"/>
        </w:rPr>
        <w:t>应</w:t>
      </w:r>
      <w:r>
        <w:t>当</w:t>
      </w:r>
      <w:r>
        <w:rPr>
          <w:spacing w:val="3"/>
          <w:w w:val="110"/>
        </w:rPr>
        <w:t>终止听证</w:t>
      </w:r>
      <w:r>
        <w:rPr>
          <w:rFonts w:hint="eastAsia" w:ascii="MS UI Gothic" w:eastAsia="MS UI Gothic"/>
          <w:w w:val="235"/>
        </w:rPr>
        <w:t>:</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１３３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40" o:spid="_x0000_s1440" o:spt="203" style="height:2.15pt;width:398.25pt;" coordsize="7965,43">
            <o:lock v:ext="edit"/>
            <v:line id="_x0000_s1441" o:spid="_x0000_s1441" o:spt="20" style="position:absolute;left:0;top:39;height:0;width:7965;" stroked="t" coordsize="21600,21600">
              <v:path arrowok="t"/>
              <v:fill focussize="0,0"/>
              <v:stroke weight="0.388031496062992pt" color="#231F20"/>
              <v:imagedata o:title=""/>
              <o:lock v:ext="edit"/>
            </v:line>
            <v:line id="_x0000_s1442" o:spid="_x0000_s144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86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当事人撤回听证要求的</w:t>
      </w:r>
      <w:r>
        <w:rPr>
          <w:rFonts w:hint="eastAsia" w:ascii="MS UI Gothic" w:eastAsia="MS UI Gothic"/>
          <w:w w:val="80"/>
        </w:rPr>
        <w:t>ꎻ</w:t>
      </w:r>
    </w:p>
    <w:p>
      <w:pPr>
        <w:pStyle w:val="6"/>
        <w:spacing w:before="58"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当事人无正当理由不按时参加</w:t>
      </w:r>
      <w:r>
        <w:rPr>
          <w:w w:val="110"/>
        </w:rPr>
        <w:t>听证的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拟作出的行政处罚决定已经变更</w:t>
      </w:r>
      <w:r>
        <w:rPr>
          <w:rFonts w:hint="eastAsia" w:ascii="MS UI Gothic" w:eastAsia="MS UI Gothic"/>
          <w:w w:val="80"/>
        </w:rPr>
        <w:t xml:space="preserve">ꎬ </w:t>
      </w:r>
      <w:r>
        <w:rPr>
          <w:w w:val="105"/>
        </w:rPr>
        <w:t>不适用听证程序的</w:t>
      </w:r>
      <w:r>
        <w:rPr>
          <w:rFonts w:hint="eastAsia" w:ascii="MS UI Gothic" w:eastAsia="MS UI Gothic"/>
          <w:w w:val="80"/>
        </w:rPr>
        <w:t>ꎮ</w:t>
      </w:r>
    </w:p>
    <w:p>
      <w:pPr>
        <w:pStyle w:val="6"/>
        <w:spacing w:line="295" w:lineRule="auto"/>
        <w:ind w:left="440" w:right="1"/>
        <w:rPr>
          <w:rFonts w:hint="eastAsia" w:ascii="MS UI Gothic" w:eastAsia="MS UI Gothic"/>
        </w:rPr>
      </w:pPr>
      <w:r>
        <w:t>第四十一条 听证结束后</w:t>
      </w:r>
      <w:r>
        <w:rPr>
          <w:rFonts w:hint="eastAsia" w:ascii="MS UI Gothic" w:eastAsia="MS UI Gothic"/>
          <w:w w:val="80"/>
        </w:rPr>
        <w:t xml:space="preserve">ꎬ </w:t>
      </w:r>
      <w:r>
        <w:t>听证主持人应当依据听证情况</w:t>
      </w:r>
      <w:r>
        <w:rPr>
          <w:rFonts w:hint="eastAsia" w:ascii="MS UI Gothic" w:eastAsia="MS UI Gothic"/>
          <w:w w:val="80"/>
        </w:rPr>
        <w:t xml:space="preserve">ꎬ </w:t>
      </w:r>
      <w:r>
        <w:t>填写听证会报告书</w:t>
      </w:r>
      <w:r>
        <w:rPr>
          <w:rFonts w:hint="eastAsia" w:ascii="MS UI Gothic" w:eastAsia="MS UI Gothic"/>
          <w:w w:val="80"/>
        </w:rPr>
        <w:t xml:space="preserve">ꎬ </w:t>
      </w:r>
      <w:r>
        <w:t>提出处理意见并附听证笔录报安全监管监察部门负责人审查</w:t>
      </w:r>
      <w:r>
        <w:rPr>
          <w:rFonts w:hint="eastAsia" w:ascii="MS UI Gothic" w:eastAsia="MS UI Gothic"/>
          <w:w w:val="80"/>
        </w:rPr>
        <w:t xml:space="preserve">ꎮ </w:t>
      </w:r>
      <w:r>
        <w:t>安全监管监察部门依照本办法第二十八条的规定作出决定</w:t>
      </w:r>
      <w:r>
        <w:rPr>
          <w:rFonts w:hint="eastAsia" w:ascii="MS UI Gothic" w:eastAsia="MS UI Gothic"/>
          <w:w w:val="80"/>
        </w:rPr>
        <w:t>ꎮ</w:t>
      </w:r>
    </w:p>
    <w:p>
      <w:pPr>
        <w:pStyle w:val="6"/>
        <w:tabs>
          <w:tab w:val="left" w:pos="2012"/>
        </w:tabs>
        <w:spacing w:before="149"/>
        <w:ind w:left="1174" w:firstLine="0"/>
        <w:jc w:val="left"/>
      </w:pPr>
      <w:r>
        <w:rPr>
          <w:spacing w:val="3"/>
          <w:w w:val="105"/>
        </w:rPr>
        <w:t>第四</w:t>
      </w:r>
      <w:r>
        <w:rPr>
          <w:w w:val="105"/>
        </w:rPr>
        <w:t>章</w:t>
      </w:r>
      <w:r>
        <w:rPr>
          <w:w w:val="105"/>
        </w:rPr>
        <w:tab/>
      </w:r>
      <w:r>
        <w:rPr>
          <w:spacing w:val="3"/>
          <w:w w:val="105"/>
        </w:rPr>
        <w:t>行政处罚的适</w:t>
      </w:r>
      <w:r>
        <w:rPr>
          <w:w w:val="105"/>
        </w:rPr>
        <w:t>用</w:t>
      </w:r>
    </w:p>
    <w:p>
      <w:pPr>
        <w:pStyle w:val="6"/>
        <w:spacing w:before="11"/>
        <w:ind w:left="0" w:firstLine="0"/>
        <w:jc w:val="left"/>
        <w:rPr>
          <w:sz w:val="16"/>
        </w:rPr>
      </w:pPr>
    </w:p>
    <w:p>
      <w:pPr>
        <w:pStyle w:val="6"/>
        <w:spacing w:line="295" w:lineRule="auto"/>
        <w:ind w:left="440"/>
        <w:rPr>
          <w:rFonts w:hint="eastAsia" w:ascii="MS UI Gothic" w:eastAsia="MS UI Gothic"/>
        </w:rPr>
      </w:pPr>
      <w:r>
        <w:rPr>
          <w:spacing w:val="2"/>
          <w:w w:val="105"/>
        </w:rPr>
        <w:t>第四十二条 生产经营单位的决策机</w:t>
      </w:r>
      <w:r>
        <w:rPr>
          <w:spacing w:val="3"/>
          <w:w w:val="105"/>
        </w:rPr>
        <w:t>构</w:t>
      </w:r>
      <w:r>
        <w:rPr>
          <w:rFonts w:hint="eastAsia" w:ascii="MS UI Gothic" w:eastAsia="MS UI Gothic"/>
          <w:spacing w:val="14"/>
          <w:w w:val="80"/>
        </w:rPr>
        <w:t xml:space="preserve">、 </w:t>
      </w:r>
      <w:r>
        <w:rPr>
          <w:spacing w:val="30"/>
          <w:w w:val="105"/>
        </w:rPr>
        <w:t>主要负责人</w:t>
      </w:r>
      <w:r>
        <w:rPr>
          <w:rFonts w:hint="eastAsia" w:ascii="MS UI Gothic" w:eastAsia="MS UI Gothic"/>
          <w:spacing w:val="23"/>
          <w:w w:val="80"/>
        </w:rPr>
        <w:t xml:space="preserve">、 </w:t>
      </w:r>
      <w:r>
        <w:rPr>
          <w:spacing w:val="35"/>
          <w:w w:val="105"/>
        </w:rPr>
        <w:t>个人经营的投资人</w:t>
      </w:r>
      <w:r>
        <w:rPr>
          <w:rFonts w:hint="eastAsia" w:ascii="MS UI Gothic" w:eastAsia="MS UI Gothic"/>
          <w:spacing w:val="-22"/>
          <w:w w:val="150"/>
        </w:rPr>
        <w:t xml:space="preserve">( </w:t>
      </w:r>
      <w:r>
        <w:rPr>
          <w:spacing w:val="4"/>
          <w:w w:val="105"/>
        </w:rPr>
        <w:t>包括实际控制人</w:t>
      </w:r>
      <w:r>
        <w:rPr>
          <w:rFonts w:hint="eastAsia" w:ascii="MS UI Gothic" w:eastAsia="MS UI Gothic"/>
          <w:spacing w:val="10"/>
          <w:w w:val="80"/>
        </w:rPr>
        <w:t xml:space="preserve">ꎬ </w:t>
      </w:r>
      <w:r>
        <w:rPr>
          <w:spacing w:val="8"/>
          <w:w w:val="105"/>
        </w:rPr>
        <w:t>下同</w:t>
      </w:r>
      <w:r>
        <w:rPr>
          <w:rFonts w:hint="eastAsia" w:ascii="MS UI Gothic" w:eastAsia="MS UI Gothic"/>
          <w:spacing w:val="-4"/>
          <w:w w:val="150"/>
        </w:rPr>
        <w:t xml:space="preserve">) </w:t>
      </w:r>
      <w:r>
        <w:rPr>
          <w:spacing w:val="7"/>
          <w:w w:val="105"/>
        </w:rPr>
        <w:t>未依法保证下</w:t>
      </w:r>
      <w:r>
        <w:rPr>
          <w:spacing w:val="3"/>
        </w:rPr>
        <w:t>列安全生产所必需的资金投入</w:t>
      </w:r>
      <w:r>
        <w:rPr>
          <w:rFonts w:hint="eastAsia" w:ascii="MS UI Gothic" w:eastAsia="MS UI Gothic"/>
          <w:spacing w:val="21"/>
          <w:w w:val="80"/>
        </w:rPr>
        <w:t xml:space="preserve">ꎬ </w:t>
      </w:r>
      <w:r>
        <w:rPr>
          <w:spacing w:val="2"/>
        </w:rPr>
        <w:t>致使生产</w:t>
      </w:r>
      <w:r>
        <w:rPr>
          <w:spacing w:val="3"/>
        </w:rPr>
        <w:t>经营单位不具备安全生产条件的</w:t>
      </w:r>
      <w:r>
        <w:rPr>
          <w:rFonts w:hint="eastAsia" w:ascii="MS UI Gothic" w:eastAsia="MS UI Gothic"/>
          <w:spacing w:val="21"/>
          <w:w w:val="80"/>
        </w:rPr>
        <w:t xml:space="preserve">ꎬ </w:t>
      </w:r>
      <w:r>
        <w:rPr>
          <w:spacing w:val="1"/>
        </w:rPr>
        <w:t>责令限</w:t>
      </w:r>
      <w:r>
        <w:rPr>
          <w:spacing w:val="3"/>
        </w:rPr>
        <w:t>期改正</w:t>
      </w:r>
      <w:r>
        <w:rPr>
          <w:rFonts w:hint="eastAsia" w:ascii="MS UI Gothic" w:eastAsia="MS UI Gothic"/>
          <w:spacing w:val="23"/>
          <w:w w:val="80"/>
        </w:rPr>
        <w:t xml:space="preserve">ꎬ </w:t>
      </w:r>
      <w:r>
        <w:rPr>
          <w:spacing w:val="3"/>
        </w:rPr>
        <w:t>提供必需的资金</w:t>
      </w:r>
      <w:r>
        <w:rPr>
          <w:rFonts w:hint="eastAsia" w:ascii="MS UI Gothic" w:eastAsia="MS UI Gothic"/>
          <w:spacing w:val="23"/>
          <w:w w:val="80"/>
        </w:rPr>
        <w:t xml:space="preserve">ꎬ </w:t>
      </w:r>
      <w:r>
        <w:rPr>
          <w:spacing w:val="2"/>
        </w:rPr>
        <w:t>并可以对生产</w:t>
      </w:r>
      <w:r>
        <w:rPr>
          <w:spacing w:val="-12"/>
          <w:w w:val="105"/>
        </w:rPr>
        <w:t xml:space="preserve">经营单位处 </w:t>
      </w:r>
      <w:r>
        <w:rPr>
          <w:rFonts w:hint="eastAsia" w:ascii="MS UI Gothic" w:eastAsia="MS UI Gothic"/>
          <w:spacing w:val="-8"/>
          <w:w w:val="80"/>
        </w:rPr>
        <w:t xml:space="preserve">１ </w:t>
      </w:r>
      <w:r>
        <w:rPr>
          <w:spacing w:val="-9"/>
          <w:w w:val="105"/>
        </w:rPr>
        <w:t xml:space="preserve">万元以上 </w:t>
      </w:r>
      <w:r>
        <w:rPr>
          <w:rFonts w:hint="eastAsia" w:ascii="MS UI Gothic" w:eastAsia="MS UI Gothic"/>
          <w:spacing w:val="-8"/>
          <w:w w:val="80"/>
        </w:rPr>
        <w:t xml:space="preserve">３ </w:t>
      </w:r>
      <w:r>
        <w:rPr>
          <w:spacing w:val="11"/>
          <w:w w:val="105"/>
        </w:rPr>
        <w:t>万元以下罚款</w:t>
      </w:r>
      <w:r>
        <w:rPr>
          <w:rFonts w:hint="eastAsia" w:ascii="MS UI Gothic" w:eastAsia="MS UI Gothic"/>
          <w:w w:val="80"/>
        </w:rPr>
        <w:t>ꎬ</w:t>
      </w:r>
      <w:r>
        <w:rPr>
          <w:spacing w:val="3"/>
          <w:w w:val="105"/>
        </w:rPr>
        <w:t>对生产经营单位的主要负责人</w:t>
      </w:r>
      <w:r>
        <w:rPr>
          <w:rFonts w:hint="eastAsia" w:ascii="MS UI Gothic" w:eastAsia="MS UI Gothic"/>
          <w:spacing w:val="-4"/>
          <w:w w:val="80"/>
        </w:rPr>
        <w:t xml:space="preserve">、 </w:t>
      </w:r>
      <w:r>
        <w:rPr>
          <w:spacing w:val="2"/>
          <w:w w:val="105"/>
        </w:rPr>
        <w:t>个人经营</w:t>
      </w:r>
      <w:r>
        <w:rPr>
          <w:spacing w:val="-12"/>
          <w:w w:val="105"/>
        </w:rPr>
        <w:t xml:space="preserve">的投资人处 </w:t>
      </w:r>
      <w:r>
        <w:rPr>
          <w:rFonts w:hint="eastAsia" w:ascii="MS UI Gothic" w:eastAsia="MS UI Gothic"/>
          <w:spacing w:val="-8"/>
          <w:w w:val="80"/>
        </w:rPr>
        <w:t xml:space="preserve">５ </w:t>
      </w:r>
      <w:r>
        <w:rPr>
          <w:spacing w:val="-9"/>
          <w:w w:val="105"/>
        </w:rPr>
        <w:t xml:space="preserve">千元以上 </w:t>
      </w:r>
      <w:r>
        <w:rPr>
          <w:rFonts w:hint="eastAsia" w:ascii="MS UI Gothic" w:eastAsia="MS UI Gothic"/>
          <w:spacing w:val="-8"/>
          <w:w w:val="80"/>
        </w:rPr>
        <w:t xml:space="preserve">１ </w:t>
      </w:r>
      <w:r>
        <w:rPr>
          <w:spacing w:val="11"/>
          <w:w w:val="105"/>
        </w:rPr>
        <w:t>万元以下罚款</w:t>
      </w:r>
      <w:r>
        <w:rPr>
          <w:rFonts w:hint="eastAsia" w:ascii="MS UI Gothic" w:eastAsia="MS UI Gothic"/>
          <w:w w:val="80"/>
        </w:rPr>
        <w:t>ꎻ</w:t>
      </w:r>
      <w:r>
        <w:rPr>
          <w:spacing w:val="3"/>
        </w:rPr>
        <w:t>逾期未改正的</w:t>
      </w:r>
      <w:r>
        <w:rPr>
          <w:rFonts w:hint="eastAsia" w:ascii="MS UI Gothic" w:eastAsia="MS UI Gothic"/>
          <w:spacing w:val="21"/>
          <w:w w:val="80"/>
        </w:rPr>
        <w:t xml:space="preserve">ꎬ </w:t>
      </w:r>
      <w:r>
        <w:rPr>
          <w:spacing w:val="2"/>
        </w:rPr>
        <w:t>责令生产经营单位停产停</w:t>
      </w:r>
      <w:r>
        <w:rPr>
          <w:spacing w:val="3"/>
          <w:w w:val="105"/>
        </w:rPr>
        <w:t>业整顿</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未按规定缴存和使用安全生产</w:t>
      </w:r>
      <w:r>
        <w:rPr>
          <w:w w:val="110"/>
        </w:rPr>
        <w:t>风险抵押金的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未按规定足额提取和使用安全</w:t>
      </w:r>
      <w:r>
        <w:rPr>
          <w:w w:val="110"/>
        </w:rPr>
        <w:t>生产费用的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国家规定的其他安全生产所必</w:t>
      </w:r>
      <w:r>
        <w:rPr>
          <w:w w:val="110"/>
        </w:rPr>
        <w:t>须的资金投入</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t>生产经营单位主要负责人</w:t>
      </w:r>
      <w:r>
        <w:rPr>
          <w:rFonts w:hint="eastAsia" w:ascii="MS UI Gothic" w:hAnsi="MS UI Gothic" w:eastAsia="MS UI Gothic"/>
          <w:w w:val="80"/>
        </w:rPr>
        <w:t xml:space="preserve">、 </w:t>
      </w:r>
      <w:r>
        <w:t>个人经营的投资人有前款违法行为</w:t>
      </w:r>
      <w:r>
        <w:rPr>
          <w:rFonts w:hint="eastAsia" w:ascii="MS UI Gothic" w:hAnsi="MS UI Gothic" w:eastAsia="MS UI Gothic"/>
          <w:w w:val="80"/>
        </w:rPr>
        <w:t xml:space="preserve">ꎬ </w:t>
      </w:r>
      <w:r>
        <w:t>导致发生生产安全事故的</w:t>
      </w:r>
      <w:r>
        <w:rPr>
          <w:rFonts w:hint="eastAsia" w:ascii="MS UI Gothic" w:hAnsi="MS UI Gothic" w:eastAsia="MS UI Gothic"/>
          <w:w w:val="80"/>
        </w:rPr>
        <w:t xml:space="preserve">ꎬ </w:t>
      </w:r>
      <w:r>
        <w:t xml:space="preserve">依照 </w:t>
      </w:r>
      <w:r>
        <w:rPr>
          <w:rFonts w:hint="eastAsia" w:ascii="MS UI Gothic" w:hAnsi="MS UI Gothic" w:eastAsia="MS UI Gothic"/>
          <w:w w:val="80"/>
        </w:rPr>
        <w:t xml:space="preserve">« </w:t>
      </w:r>
      <w:r>
        <w:t>生产安全事故报告和调查处理条例</w:t>
      </w:r>
      <w:r>
        <w:rPr>
          <w:rFonts w:hint="eastAsia" w:ascii="MS UI Gothic" w:hAnsi="MS UI Gothic" w:eastAsia="MS UI Gothic"/>
          <w:w w:val="80"/>
        </w:rPr>
        <w:t xml:space="preserve">» </w:t>
      </w:r>
      <w:r>
        <w:t>的规定给予处罚</w:t>
      </w:r>
      <w:r>
        <w:rPr>
          <w:rFonts w:hint="eastAsia" w:ascii="MS UI Gothic" w:hAnsi="MS UI Gothic" w:eastAsia="MS UI Gothic"/>
          <w:w w:val="80"/>
        </w:rPr>
        <w:t>ꎮ</w:t>
      </w:r>
    </w:p>
    <w:p>
      <w:pPr>
        <w:pStyle w:val="6"/>
        <w:spacing w:line="295" w:lineRule="auto"/>
        <w:ind w:left="440" w:right="1"/>
        <w:rPr>
          <w:rFonts w:hint="eastAsia" w:ascii="MS UI Gothic" w:hAnsi="MS UI Gothic" w:eastAsia="MS UI Gothic"/>
        </w:rPr>
      </w:pPr>
      <w:r>
        <w:t>第四十三条 生产经营单位的主要负责人未依法履行安全生产管理职责</w:t>
      </w:r>
      <w:r>
        <w:rPr>
          <w:rFonts w:hint="eastAsia" w:ascii="MS UI Gothic" w:hAnsi="MS UI Gothic" w:eastAsia="MS UI Gothic"/>
          <w:w w:val="80"/>
        </w:rPr>
        <w:t xml:space="preserve">ꎬ </w:t>
      </w:r>
      <w:r>
        <w:t>导致生产安全事故发生的</w:t>
      </w:r>
      <w:r>
        <w:rPr>
          <w:rFonts w:hint="eastAsia" w:ascii="MS UI Gothic" w:hAnsi="MS UI Gothic" w:eastAsia="MS UI Gothic"/>
          <w:w w:val="80"/>
        </w:rPr>
        <w:t xml:space="preserve">ꎬ </w:t>
      </w:r>
      <w:r>
        <w:t xml:space="preserve">依照 </w:t>
      </w:r>
      <w:r>
        <w:rPr>
          <w:rFonts w:hint="eastAsia" w:ascii="MS UI Gothic" w:hAnsi="MS UI Gothic" w:eastAsia="MS UI Gothic"/>
          <w:w w:val="80"/>
        </w:rPr>
        <w:t xml:space="preserve">« </w:t>
      </w:r>
      <w:r>
        <w:t>生产安全事故报告和调查处理条例</w:t>
      </w:r>
      <w:r>
        <w:rPr>
          <w:rFonts w:hint="eastAsia" w:ascii="MS UI Gothic" w:hAnsi="MS UI Gothic" w:eastAsia="MS UI Gothic"/>
          <w:w w:val="80"/>
        </w:rPr>
        <w:t xml:space="preserve">» </w:t>
      </w:r>
      <w:r>
        <w:t>的规定给予处罚</w:t>
      </w:r>
      <w:r>
        <w:rPr>
          <w:rFonts w:hint="eastAsia" w:ascii="MS UI Gothic" w:hAnsi="MS UI Gothic" w:eastAsia="MS UI Gothic"/>
          <w:w w:val="80"/>
        </w:rPr>
        <w:t>ꎮ</w:t>
      </w:r>
    </w:p>
    <w:p>
      <w:pPr>
        <w:pStyle w:val="6"/>
        <w:spacing w:before="124" w:line="295" w:lineRule="auto"/>
        <w:ind w:left="381" w:right="124"/>
        <w:rPr>
          <w:rFonts w:hint="eastAsia" w:ascii="MS UI Gothic" w:eastAsia="MS UI Gothic"/>
        </w:rPr>
      </w:pPr>
      <w:r>
        <w:br w:type="column"/>
      </w:r>
      <w:r>
        <w:rPr>
          <w:spacing w:val="2"/>
          <w:w w:val="105"/>
        </w:rPr>
        <w:t>第四十四条 生产经营单位及其主要</w:t>
      </w:r>
      <w:r>
        <w:rPr>
          <w:spacing w:val="4"/>
        </w:rPr>
        <w:t>负责人或者其他人员有下列行为之一的</w:t>
      </w:r>
      <w:r>
        <w:rPr>
          <w:rFonts w:hint="eastAsia" w:ascii="MS UI Gothic" w:eastAsia="MS UI Gothic"/>
          <w:w w:val="80"/>
        </w:rPr>
        <w:t>ꎬ</w:t>
      </w:r>
      <w:r>
        <w:rPr>
          <w:spacing w:val="1"/>
          <w:w w:val="105"/>
        </w:rPr>
        <w:t>给予警告</w:t>
      </w:r>
      <w:r>
        <w:rPr>
          <w:rFonts w:hint="eastAsia" w:ascii="MS UI Gothic" w:eastAsia="MS UI Gothic"/>
          <w:w w:val="80"/>
        </w:rPr>
        <w:t xml:space="preserve">ꎬ </w:t>
      </w:r>
      <w:r>
        <w:rPr>
          <w:spacing w:val="-5"/>
          <w:w w:val="105"/>
        </w:rPr>
        <w:t xml:space="preserve">并可以对生产经营单位处 </w:t>
      </w:r>
      <w:r>
        <w:rPr>
          <w:rFonts w:hint="eastAsia" w:ascii="MS UI Gothic" w:eastAsia="MS UI Gothic"/>
          <w:spacing w:val="-10"/>
          <w:w w:val="80"/>
        </w:rPr>
        <w:t xml:space="preserve">１ </w:t>
      </w:r>
      <w:r>
        <w:rPr>
          <w:w w:val="105"/>
        </w:rPr>
        <w:t>万</w:t>
      </w:r>
      <w:r>
        <w:rPr>
          <w:spacing w:val="-17"/>
          <w:w w:val="105"/>
        </w:rPr>
        <w:t xml:space="preserve">元以上 </w:t>
      </w:r>
      <w:r>
        <w:rPr>
          <w:rFonts w:hint="eastAsia" w:ascii="MS UI Gothic" w:eastAsia="MS UI Gothic"/>
          <w:spacing w:val="-3"/>
          <w:w w:val="80"/>
        </w:rPr>
        <w:t xml:space="preserve">３ </w:t>
      </w:r>
      <w:r>
        <w:rPr>
          <w:spacing w:val="16"/>
          <w:w w:val="105"/>
        </w:rPr>
        <w:t>万元以下罚款</w:t>
      </w:r>
      <w:r>
        <w:rPr>
          <w:rFonts w:hint="eastAsia" w:ascii="MS UI Gothic" w:eastAsia="MS UI Gothic"/>
          <w:spacing w:val="7"/>
          <w:w w:val="80"/>
        </w:rPr>
        <w:t xml:space="preserve">ꎬ </w:t>
      </w:r>
      <w:r>
        <w:rPr>
          <w:spacing w:val="16"/>
          <w:w w:val="105"/>
        </w:rPr>
        <w:t>对其主要负责</w:t>
      </w:r>
      <w:r>
        <w:rPr>
          <w:spacing w:val="3"/>
          <w:w w:val="105"/>
        </w:rPr>
        <w:t>人</w:t>
      </w:r>
      <w:r>
        <w:rPr>
          <w:rFonts w:hint="eastAsia" w:ascii="MS UI Gothic" w:eastAsia="MS UI Gothic"/>
          <w:spacing w:val="16"/>
          <w:w w:val="80"/>
        </w:rPr>
        <w:t xml:space="preserve">、 </w:t>
      </w:r>
      <w:r>
        <w:rPr>
          <w:spacing w:val="-7"/>
          <w:w w:val="105"/>
        </w:rPr>
        <w:t xml:space="preserve">其他有关人员处 </w:t>
      </w:r>
      <w:r>
        <w:rPr>
          <w:rFonts w:hint="eastAsia" w:ascii="MS UI Gothic" w:eastAsia="MS UI Gothic"/>
          <w:spacing w:val="-3"/>
          <w:w w:val="80"/>
        </w:rPr>
        <w:t xml:space="preserve">１ </w:t>
      </w:r>
      <w:r>
        <w:rPr>
          <w:spacing w:val="-12"/>
          <w:w w:val="105"/>
        </w:rPr>
        <w:t xml:space="preserve">千元以上 </w:t>
      </w:r>
      <w:r>
        <w:rPr>
          <w:rFonts w:hint="eastAsia" w:ascii="MS UI Gothic" w:eastAsia="MS UI Gothic"/>
          <w:spacing w:val="-2"/>
          <w:w w:val="80"/>
        </w:rPr>
        <w:t xml:space="preserve">１ </w:t>
      </w:r>
      <w:r>
        <w:rPr>
          <w:spacing w:val="3"/>
          <w:w w:val="105"/>
        </w:rPr>
        <w:t>万元以下的罚款</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5"/>
          <w:w w:val="105"/>
        </w:rPr>
        <w:t xml:space="preserve">) </w:t>
      </w:r>
      <w:r>
        <w:rPr>
          <w:spacing w:val="5"/>
          <w:w w:val="105"/>
        </w:rPr>
        <w:t>违反操作规程或者安全管理规</w:t>
      </w:r>
      <w:r>
        <w:rPr>
          <w:spacing w:val="3"/>
          <w:w w:val="110"/>
        </w:rPr>
        <w:t>定作业的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违章指挥从业人员或者强令从业人员违章</w:t>
      </w:r>
      <w:r>
        <w:rPr>
          <w:rFonts w:hint="eastAsia" w:ascii="MS UI Gothic" w:eastAsia="MS UI Gothic"/>
          <w:w w:val="80"/>
        </w:rPr>
        <w:t xml:space="preserve">、 </w:t>
      </w:r>
      <w:r>
        <w:rPr>
          <w:w w:val="105"/>
        </w:rPr>
        <w:t>冒险作业的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发现从业人员违章作业不加制</w:t>
      </w:r>
      <w:r>
        <w:rPr>
          <w:w w:val="110"/>
        </w:rPr>
        <w:t>止的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超过核定的生产能力</w:t>
      </w:r>
      <w:r>
        <w:rPr>
          <w:rFonts w:hint="eastAsia" w:ascii="MS UI Gothic" w:eastAsia="MS UI Gothic"/>
          <w:w w:val="80"/>
        </w:rPr>
        <w:t xml:space="preserve">、  </w:t>
      </w:r>
      <w:r>
        <w:rPr>
          <w:w w:val="105"/>
        </w:rPr>
        <w:t>强度或者定员进行生产的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对被查封或者扣押的设施</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器材</w:t>
      </w:r>
      <w:r>
        <w:rPr>
          <w:rFonts w:hint="eastAsia" w:ascii="MS UI Gothic" w:eastAsia="MS UI Gothic"/>
          <w:w w:val="80"/>
        </w:rPr>
        <w:t xml:space="preserve">ꎬ </w:t>
      </w:r>
      <w:r>
        <w:rPr>
          <w:w w:val="105"/>
        </w:rPr>
        <w:t>擅自启封或者使用的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故意提供虚假情况或者隐瞒存在的事故隐患以及其他安全问题的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对事故预兆或者已发现的事故</w:t>
      </w:r>
      <w:r>
        <w:rPr>
          <w:w w:val="110"/>
        </w:rPr>
        <w:t>隐患不及时采取措施的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拒绝</w:t>
      </w:r>
      <w:r>
        <w:rPr>
          <w:rFonts w:hint="eastAsia" w:ascii="MS UI Gothic" w:eastAsia="MS UI Gothic"/>
          <w:w w:val="80"/>
        </w:rPr>
        <w:t xml:space="preserve">、 </w:t>
      </w:r>
      <w:r>
        <w:rPr>
          <w:w w:val="105"/>
        </w:rPr>
        <w:t>阻碍安全生产行政执法人员监督检查的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拒绝</w:t>
      </w:r>
      <w:r>
        <w:rPr>
          <w:rFonts w:hint="eastAsia" w:ascii="MS UI Gothic" w:eastAsia="MS UI Gothic"/>
          <w:w w:val="80"/>
        </w:rPr>
        <w:t xml:space="preserve">、 </w:t>
      </w:r>
      <w:r>
        <w:rPr>
          <w:w w:val="105"/>
        </w:rPr>
        <w:t>阻碍安全监管监察部门聘请的专家进行现场检查的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拒不执行安全监管监察部门及</w:t>
      </w:r>
      <w:r>
        <w:t>其行政执法人员的安全监管监察指令的</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第四十五条 危险物品的生产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储存单位以及矿山企业</w:t>
      </w:r>
      <w:r>
        <w:rPr>
          <w:rFonts w:hint="eastAsia" w:ascii="MS UI Gothic" w:eastAsia="MS UI Gothic"/>
          <w:w w:val="80"/>
        </w:rPr>
        <w:t xml:space="preserve">、 </w:t>
      </w:r>
      <w:r>
        <w:rPr>
          <w:w w:val="105"/>
        </w:rPr>
        <w:t>建筑施工单</w:t>
      </w:r>
      <w:r>
        <w:t>位有下列行为之一的</w:t>
      </w:r>
      <w:r>
        <w:rPr>
          <w:rFonts w:hint="eastAsia" w:ascii="MS UI Gothic" w:eastAsia="MS UI Gothic"/>
          <w:w w:val="80"/>
        </w:rPr>
        <w:t xml:space="preserve">ꎬ </w:t>
      </w:r>
      <w:r>
        <w:t>责令改正</w:t>
      </w:r>
      <w:r>
        <w:rPr>
          <w:rFonts w:hint="eastAsia" w:ascii="MS UI Gothic" w:eastAsia="MS UI Gothic"/>
          <w:w w:val="80"/>
        </w:rPr>
        <w:t xml:space="preserve">ꎬ </w:t>
      </w:r>
      <w:r>
        <w:t>并可以</w:t>
      </w:r>
      <w:r>
        <w:rPr>
          <w:w w:val="105"/>
        </w:rPr>
        <w:t xml:space="preserve">处 </w:t>
      </w:r>
      <w:r>
        <w:rPr>
          <w:rFonts w:hint="eastAsia" w:ascii="MS UI Gothic" w:eastAsia="MS UI Gothic"/>
          <w:w w:val="80"/>
        </w:rPr>
        <w:t xml:space="preserve">１ </w:t>
      </w:r>
      <w:r>
        <w:rPr>
          <w:w w:val="105"/>
        </w:rPr>
        <w:t xml:space="preserve">万元以上 </w:t>
      </w:r>
      <w:r>
        <w:rPr>
          <w:rFonts w:hint="eastAsia" w:ascii="MS UI Gothic" w:eastAsia="MS UI Gothic"/>
          <w:w w:val="80"/>
        </w:rPr>
        <w:t xml:space="preserve">３ </w:t>
      </w:r>
      <w:r>
        <w:rPr>
          <w:w w:val="105"/>
        </w:rPr>
        <w:t>万元以下的罚款</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未建立应急救援组织或者未按</w:t>
      </w:r>
      <w:r>
        <w:rPr>
          <w:w w:val="110"/>
        </w:rPr>
        <w:t>规定签订救护协议的</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未配备必要的应急救援器材</w:t>
      </w:r>
      <w:r>
        <w:rPr>
          <w:rFonts w:hint="eastAsia" w:ascii="MS UI Gothic" w:eastAsia="MS UI Gothic"/>
          <w:w w:val="80"/>
        </w:rPr>
        <w:t>、</w:t>
      </w:r>
      <w:r>
        <w:rPr>
          <w:w w:val="105"/>
        </w:rPr>
        <w:t>设备</w:t>
      </w:r>
      <w:r>
        <w:rPr>
          <w:rFonts w:hint="eastAsia" w:ascii="MS UI Gothic" w:eastAsia="MS UI Gothic"/>
          <w:w w:val="80"/>
        </w:rPr>
        <w:t xml:space="preserve">ꎬ </w:t>
      </w:r>
      <w:r>
        <w:rPr>
          <w:w w:val="105"/>
        </w:rPr>
        <w:t>并进行经常性维护</w:t>
      </w:r>
      <w:r>
        <w:rPr>
          <w:rFonts w:hint="eastAsia" w:ascii="MS UI Gothic" w:eastAsia="MS UI Gothic"/>
          <w:w w:val="80"/>
        </w:rPr>
        <w:t xml:space="preserve">、 </w:t>
      </w:r>
      <w:r>
        <w:rPr>
          <w:w w:val="105"/>
        </w:rPr>
        <w:t>保养</w:t>
      </w:r>
      <w:r>
        <w:rPr>
          <w:rFonts w:hint="eastAsia" w:ascii="MS UI Gothic" w:eastAsia="MS UI Gothic"/>
          <w:w w:val="80"/>
        </w:rPr>
        <w:t xml:space="preserve">ꎬ </w:t>
      </w:r>
      <w:r>
        <w:rPr>
          <w:w w:val="105"/>
        </w:rPr>
        <w:t>保证正常运转的</w:t>
      </w:r>
      <w:r>
        <w:rPr>
          <w:rFonts w:hint="eastAsia" w:ascii="MS UI Gothic" w:eastAsia="MS UI Gothic"/>
          <w:w w:val="80"/>
        </w:rPr>
        <w:t>ꎮ</w:t>
      </w:r>
    </w:p>
    <w:p>
      <w:pPr>
        <w:pStyle w:val="6"/>
        <w:spacing w:line="295" w:lineRule="auto"/>
        <w:ind w:left="381" w:right="126"/>
      </w:pPr>
      <w:r>
        <w:rPr>
          <w:w w:val="105"/>
        </w:rPr>
        <w:t>第四十六条 生产经营单位与从业人</w:t>
      </w:r>
      <w:r>
        <w:t>员订立协议</w:t>
      </w:r>
      <w:r>
        <w:rPr>
          <w:rFonts w:hint="eastAsia" w:ascii="MS UI Gothic" w:eastAsia="MS UI Gothic"/>
          <w:w w:val="80"/>
        </w:rPr>
        <w:t xml:space="preserve">ꎬ </w:t>
      </w:r>
      <w:r>
        <w:t>免除或者减轻其对从业人员因生产安全事故伤亡依法应承担的责任的</w:t>
      </w:r>
      <w:r>
        <w:rPr>
          <w:rFonts w:hint="eastAsia" w:ascii="MS UI Gothic" w:eastAsia="MS UI Gothic"/>
          <w:w w:val="80"/>
        </w:rPr>
        <w:t xml:space="preserve">ꎬ </w:t>
      </w:r>
      <w:r>
        <w:t>该协议无效</w:t>
      </w:r>
      <w:r>
        <w:rPr>
          <w:rFonts w:hint="eastAsia" w:ascii="MS UI Gothic" w:eastAsia="MS UI Gothic"/>
          <w:w w:val="80"/>
        </w:rPr>
        <w:t xml:space="preserve">ꎻ </w:t>
      </w:r>
      <w:r>
        <w:t>对生产经营单位的主要</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１３４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43" o:spid="_x0000_s1443" o:spt="203" style="height:2.15pt;width:398.25pt;" coordsize="7965,43">
            <o:lock v:ext="edit"/>
            <v:line id="_x0000_s1444" o:spid="_x0000_s1444" o:spt="20" style="position:absolute;left:0;top:39;height:0;width:7965;" stroked="t" coordsize="21600,21600">
              <v:path arrowok="t"/>
              <v:fill focussize="0,0"/>
              <v:stroke weight="0.388031496062992pt" color="#231F20"/>
              <v:imagedata o:title=""/>
              <o:lock v:ext="edit"/>
            </v:line>
            <v:line id="_x0000_s1445" o:spid="_x0000_s144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负责人</w:t>
      </w:r>
      <w:r>
        <w:rPr>
          <w:rFonts w:hint="eastAsia" w:ascii="MS UI Gothic" w:eastAsia="MS UI Gothic"/>
        </w:rPr>
        <w:t xml:space="preserve">、 </w:t>
      </w:r>
      <w:r>
        <w:t>个人经营的投资人按照下列规定</w:t>
      </w:r>
      <w:r>
        <w:rPr>
          <w:w w:val="110"/>
        </w:rPr>
        <w:t>处以罚款</w:t>
      </w:r>
      <w:r>
        <w:rPr>
          <w:rFonts w:hint="eastAsia" w:ascii="MS UI Gothic" w:eastAsia="MS UI Gothic"/>
          <w:w w:val="235"/>
        </w:rPr>
        <w:t>:</w:t>
      </w:r>
    </w:p>
    <w:p>
      <w:pPr>
        <w:pStyle w:val="6"/>
        <w:spacing w:line="295" w:lineRule="auto"/>
        <w:ind w:left="118" w:right="38" w:firstLine="425"/>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在协议中减轻因生产安全事故</w:t>
      </w:r>
      <w:r>
        <w:t>伤亡对从业人员依法应承担的责任的</w:t>
      </w:r>
      <w:r>
        <w:rPr>
          <w:rFonts w:hint="eastAsia" w:ascii="MS UI Gothic" w:eastAsia="MS UI Gothic"/>
          <w:w w:val="80"/>
        </w:rPr>
        <w:t xml:space="preserve">ꎬ </w:t>
      </w:r>
      <w:r>
        <w:t>处</w:t>
      </w:r>
      <w:r>
        <w:rPr>
          <w:rFonts w:hint="eastAsia" w:ascii="MS UI Gothic" w:eastAsia="MS UI Gothic"/>
          <w:w w:val="80"/>
        </w:rPr>
        <w:t xml:space="preserve">２ </w:t>
      </w:r>
      <w:r>
        <w:rPr>
          <w:w w:val="105"/>
        </w:rPr>
        <w:t xml:space="preserve">万元以上 </w:t>
      </w:r>
      <w:r>
        <w:rPr>
          <w:rFonts w:hint="eastAsia" w:ascii="MS UI Gothic" w:eastAsia="MS UI Gothic"/>
          <w:w w:val="80"/>
        </w:rPr>
        <w:t xml:space="preserve">５ </w:t>
      </w:r>
      <w:r>
        <w:rPr>
          <w:w w:val="105"/>
        </w:rPr>
        <w:t>万元以下的罚款</w:t>
      </w:r>
      <w:r>
        <w:rPr>
          <w:rFonts w:hint="eastAsia" w:ascii="MS UI Gothic" w:eastAsia="MS UI Gothic"/>
          <w:w w:val="80"/>
        </w:rPr>
        <w:t>ꎻ</w:t>
      </w:r>
    </w:p>
    <w:p>
      <w:pPr>
        <w:pStyle w:val="6"/>
        <w:spacing w:line="295" w:lineRule="auto"/>
        <w:ind w:left="118" w:right="38" w:firstLine="425"/>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在协议中免除因生产安全事故伤亡对从业人员依法应承担的责任的</w:t>
      </w:r>
      <w:r>
        <w:rPr>
          <w:rFonts w:hint="eastAsia" w:ascii="MS UI Gothic" w:eastAsia="MS UI Gothic"/>
          <w:w w:val="80"/>
        </w:rPr>
        <w:t xml:space="preserve">ꎬ </w:t>
      </w:r>
      <w:r>
        <w:t>处</w:t>
      </w:r>
      <w:r>
        <w:rPr>
          <w:rFonts w:hint="eastAsia" w:ascii="MS UI Gothic" w:eastAsia="MS UI Gothic"/>
          <w:w w:val="80"/>
        </w:rPr>
        <w:t xml:space="preserve">５ </w:t>
      </w:r>
      <w:r>
        <w:t xml:space="preserve">万元以上 </w:t>
      </w:r>
      <w:r>
        <w:rPr>
          <w:rFonts w:hint="eastAsia" w:ascii="MS UI Gothic" w:eastAsia="MS UI Gothic"/>
          <w:w w:val="80"/>
        </w:rPr>
        <w:t xml:space="preserve">１０ </w:t>
      </w:r>
      <w:r>
        <w:t>万元以下的罚款</w:t>
      </w:r>
      <w:r>
        <w:rPr>
          <w:rFonts w:hint="eastAsia" w:ascii="MS UI Gothic" w:eastAsia="MS UI Gothic"/>
          <w:w w:val="80"/>
        </w:rPr>
        <w:t>ꎮ</w:t>
      </w:r>
    </w:p>
    <w:p>
      <w:pPr>
        <w:pStyle w:val="6"/>
        <w:spacing w:line="295" w:lineRule="auto"/>
        <w:ind w:right="38"/>
        <w:rPr>
          <w:rFonts w:hint="eastAsia" w:ascii="MS UI Gothic" w:eastAsia="MS UI Gothic"/>
        </w:rPr>
      </w:pPr>
      <w:r>
        <w:t>第四十七条 生产经营单位不具备法律</w:t>
      </w:r>
      <w:r>
        <w:rPr>
          <w:rFonts w:hint="eastAsia" w:ascii="MS UI Gothic" w:eastAsia="MS UI Gothic"/>
          <w:w w:val="80"/>
        </w:rPr>
        <w:t xml:space="preserve">、 </w:t>
      </w:r>
      <w:r>
        <w:t>行政法规和国家标准</w:t>
      </w:r>
      <w:r>
        <w:rPr>
          <w:rFonts w:hint="eastAsia" w:ascii="MS UI Gothic" w:eastAsia="MS UI Gothic"/>
          <w:w w:val="80"/>
        </w:rPr>
        <w:t xml:space="preserve">、 </w:t>
      </w:r>
      <w:r>
        <w:t>行业标准规定的安全生产条件</w:t>
      </w:r>
      <w:r>
        <w:rPr>
          <w:rFonts w:hint="eastAsia" w:ascii="MS UI Gothic" w:eastAsia="MS UI Gothic"/>
          <w:w w:val="80"/>
        </w:rPr>
        <w:t xml:space="preserve">ꎬ </w:t>
      </w:r>
      <w:r>
        <w:t>经责令停产停业整顿仍不具备安全生产条件的</w:t>
      </w:r>
      <w:r>
        <w:rPr>
          <w:rFonts w:hint="eastAsia" w:ascii="MS UI Gothic" w:eastAsia="MS UI Gothic"/>
          <w:w w:val="80"/>
        </w:rPr>
        <w:t xml:space="preserve">ꎬ </w:t>
      </w:r>
      <w:r>
        <w:t>安全监管监察部门应当提请有管辖权的人民政府予以关闭</w:t>
      </w:r>
      <w:r>
        <w:rPr>
          <w:rFonts w:hint="eastAsia" w:ascii="MS UI Gothic" w:eastAsia="MS UI Gothic"/>
          <w:w w:val="80"/>
        </w:rPr>
        <w:t xml:space="preserve">ꎻ </w:t>
      </w:r>
      <w:r>
        <w:t>人民政府决定关闭的</w:t>
      </w:r>
      <w:r>
        <w:rPr>
          <w:rFonts w:hint="eastAsia" w:ascii="MS UI Gothic" w:eastAsia="MS UI Gothic"/>
          <w:w w:val="80"/>
        </w:rPr>
        <w:t xml:space="preserve">ꎬ </w:t>
      </w:r>
      <w:r>
        <w:t>安全监管监察部门应当依法吊销其有关许可证</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第四十八条 生产经营单位转让安全</w:t>
      </w:r>
      <w:r>
        <w:t>生产许可证的</w:t>
      </w:r>
      <w:r>
        <w:rPr>
          <w:rFonts w:hint="eastAsia" w:ascii="MS UI Gothic" w:eastAsia="MS UI Gothic"/>
          <w:w w:val="80"/>
        </w:rPr>
        <w:t xml:space="preserve">ꎬ </w:t>
      </w:r>
      <w:r>
        <w:t>没收违法所得</w:t>
      </w:r>
      <w:r>
        <w:rPr>
          <w:rFonts w:hint="eastAsia" w:ascii="MS UI Gothic" w:eastAsia="MS UI Gothic"/>
          <w:w w:val="80"/>
        </w:rPr>
        <w:t xml:space="preserve">ꎬ </w:t>
      </w:r>
      <w:r>
        <w:t>吊销安全</w:t>
      </w:r>
      <w:r>
        <w:rPr>
          <w:w w:val="105"/>
        </w:rPr>
        <w:t>生产许可证</w:t>
      </w:r>
      <w:r>
        <w:rPr>
          <w:rFonts w:hint="eastAsia" w:ascii="MS UI Gothic" w:eastAsia="MS UI Gothic"/>
          <w:w w:val="80"/>
        </w:rPr>
        <w:t xml:space="preserve">ꎬ </w:t>
      </w:r>
      <w:r>
        <w:rPr>
          <w:w w:val="105"/>
        </w:rPr>
        <w:t>并按照下列规定处以罚款</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接受转让的单位和个人未发生生产安全事故的</w:t>
      </w:r>
      <w:r>
        <w:rPr>
          <w:rFonts w:hint="eastAsia" w:ascii="MS UI Gothic" w:eastAsia="MS UI Gothic"/>
          <w:w w:val="80"/>
        </w:rPr>
        <w:t xml:space="preserve">ꎬ </w:t>
      </w:r>
      <w:r>
        <w:t xml:space="preserve">处 </w:t>
      </w:r>
      <w:r>
        <w:rPr>
          <w:rFonts w:hint="eastAsia" w:ascii="MS UI Gothic" w:eastAsia="MS UI Gothic"/>
          <w:w w:val="80"/>
        </w:rPr>
        <w:t xml:space="preserve">１０ </w:t>
      </w:r>
      <w:r>
        <w:t xml:space="preserve">万元以上 </w:t>
      </w:r>
      <w:r>
        <w:rPr>
          <w:rFonts w:hint="eastAsia" w:ascii="MS UI Gothic" w:eastAsia="MS UI Gothic"/>
          <w:w w:val="80"/>
        </w:rPr>
        <w:t xml:space="preserve">３０ </w:t>
      </w:r>
      <w:r>
        <w:t>万元以下的罚款</w:t>
      </w:r>
      <w:r>
        <w:rPr>
          <w:rFonts w:hint="eastAsia" w:ascii="MS UI Gothic" w:eastAsia="MS UI Gothic"/>
          <w:w w:val="80"/>
        </w:rPr>
        <w:t>ꎻ</w:t>
      </w:r>
    </w:p>
    <w:p>
      <w:pPr>
        <w:pStyle w:val="6"/>
        <w:spacing w:line="295" w:lineRule="auto"/>
        <w:ind w:left="118" w:right="38" w:firstLine="425"/>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接受转让的单位和个人发生生产安全事故但没有造成人员死亡的</w:t>
      </w:r>
      <w:r>
        <w:rPr>
          <w:rFonts w:hint="eastAsia" w:ascii="MS UI Gothic" w:eastAsia="MS UI Gothic"/>
          <w:w w:val="80"/>
        </w:rPr>
        <w:t xml:space="preserve">ꎬ </w:t>
      </w:r>
      <w:r>
        <w:t>处</w:t>
      </w:r>
      <w:r>
        <w:rPr>
          <w:rFonts w:hint="eastAsia" w:ascii="MS UI Gothic" w:eastAsia="MS UI Gothic"/>
          <w:w w:val="80"/>
        </w:rPr>
        <w:t xml:space="preserve">３０ </w:t>
      </w:r>
      <w:r>
        <w:t xml:space="preserve">万元以上 </w:t>
      </w:r>
      <w:r>
        <w:rPr>
          <w:rFonts w:hint="eastAsia" w:ascii="MS UI Gothic" w:eastAsia="MS UI Gothic"/>
          <w:w w:val="80"/>
        </w:rPr>
        <w:t xml:space="preserve">４０ </w:t>
      </w:r>
      <w:r>
        <w:t>万元以下的罚款</w:t>
      </w:r>
      <w:r>
        <w:rPr>
          <w:rFonts w:hint="eastAsia" w:ascii="MS UI Gothic" w:eastAsia="MS UI Gothic"/>
          <w:w w:val="80"/>
        </w:rPr>
        <w:t>ꎻ</w:t>
      </w:r>
    </w:p>
    <w:p>
      <w:pPr>
        <w:pStyle w:val="6"/>
        <w:spacing w:line="295" w:lineRule="auto"/>
        <w:ind w:left="118" w:right="38" w:firstLine="425"/>
        <w:rPr>
          <w:rFonts w:hint="eastAsia" w:ascii="MS UI Gothic" w:eastAsia="MS UI Gothic"/>
        </w:rPr>
      </w:pPr>
      <w:r>
        <w:rPr>
          <w:rFonts w:hint="eastAsia" w:ascii="MS UI Gothic" w:eastAsia="MS UI Gothic"/>
          <w:w w:val="145"/>
        </w:rPr>
        <w:t xml:space="preserve">( </w:t>
      </w:r>
      <w:r>
        <w:t>三</w:t>
      </w:r>
      <w:r>
        <w:rPr>
          <w:rFonts w:hint="eastAsia" w:ascii="MS UI Gothic" w:eastAsia="MS UI Gothic"/>
          <w:w w:val="145"/>
        </w:rPr>
        <w:t xml:space="preserve">) </w:t>
      </w:r>
      <w:r>
        <w:t>接受转让的单位和个人发生人员死亡生产安全事故的</w:t>
      </w:r>
      <w:r>
        <w:rPr>
          <w:rFonts w:hint="eastAsia" w:ascii="MS UI Gothic" w:eastAsia="MS UI Gothic"/>
          <w:w w:val="80"/>
        </w:rPr>
        <w:t xml:space="preserve">ꎬ </w:t>
      </w:r>
      <w:r>
        <w:t xml:space="preserve">处 </w:t>
      </w:r>
      <w:r>
        <w:rPr>
          <w:rFonts w:hint="eastAsia" w:ascii="MS UI Gothic" w:eastAsia="MS UI Gothic"/>
          <w:w w:val="80"/>
        </w:rPr>
        <w:t xml:space="preserve">４０ </w:t>
      </w:r>
      <w:r>
        <w:t>万元以上</w:t>
      </w:r>
      <w:r>
        <w:rPr>
          <w:rFonts w:hint="eastAsia" w:ascii="MS UI Gothic" w:eastAsia="MS UI Gothic"/>
          <w:w w:val="80"/>
        </w:rPr>
        <w:t xml:space="preserve">５０ </w:t>
      </w:r>
      <w:r>
        <w:t>万元以下的罚款</w:t>
      </w:r>
      <w:r>
        <w:rPr>
          <w:rFonts w:hint="eastAsia" w:ascii="MS UI Gothic" w:eastAsia="MS UI Gothic"/>
          <w:w w:val="80"/>
        </w:rPr>
        <w:t>ꎮ</w:t>
      </w:r>
    </w:p>
    <w:p>
      <w:pPr>
        <w:pStyle w:val="6"/>
        <w:spacing w:line="295" w:lineRule="auto"/>
        <w:ind w:right="38"/>
        <w:rPr>
          <w:rFonts w:hint="eastAsia" w:ascii="MS UI Gothic" w:eastAsia="MS UI Gothic"/>
        </w:rPr>
      </w:pPr>
      <w:r>
        <w:t>第四十九条 知道或者应当知道生产经营单位未取得安全生产许可证或者其他批准文件擅自从事生产经营活动</w:t>
      </w:r>
      <w:r>
        <w:rPr>
          <w:rFonts w:hint="eastAsia" w:ascii="MS UI Gothic" w:eastAsia="MS UI Gothic"/>
          <w:w w:val="80"/>
        </w:rPr>
        <w:t xml:space="preserve">ꎬ </w:t>
      </w:r>
      <w:r>
        <w:t>仍为其提供生产经营场所</w:t>
      </w:r>
      <w:r>
        <w:rPr>
          <w:rFonts w:hint="eastAsia" w:ascii="MS UI Gothic" w:eastAsia="MS UI Gothic"/>
          <w:w w:val="80"/>
        </w:rPr>
        <w:t xml:space="preserve">、 </w:t>
      </w:r>
      <w:r>
        <w:t>运输</w:t>
      </w:r>
      <w:r>
        <w:rPr>
          <w:rFonts w:hint="eastAsia" w:ascii="MS UI Gothic" w:eastAsia="MS UI Gothic"/>
          <w:w w:val="80"/>
        </w:rPr>
        <w:t xml:space="preserve">、 </w:t>
      </w:r>
      <w:r>
        <w:t>保管</w:t>
      </w:r>
      <w:r>
        <w:rPr>
          <w:rFonts w:hint="eastAsia" w:ascii="MS UI Gothic" w:eastAsia="MS UI Gothic"/>
          <w:w w:val="80"/>
        </w:rPr>
        <w:t xml:space="preserve">、 </w:t>
      </w:r>
      <w:r>
        <w:t>仓储等条件的</w:t>
      </w:r>
      <w:r>
        <w:rPr>
          <w:rFonts w:hint="eastAsia" w:ascii="MS UI Gothic" w:eastAsia="MS UI Gothic"/>
          <w:w w:val="80"/>
        </w:rPr>
        <w:t xml:space="preserve">ꎬ </w:t>
      </w:r>
      <w:r>
        <w:t>责令立即停止违法行为</w:t>
      </w:r>
      <w:r>
        <w:rPr>
          <w:rFonts w:hint="eastAsia" w:ascii="MS UI Gothic" w:eastAsia="MS UI Gothic"/>
          <w:w w:val="80"/>
        </w:rPr>
        <w:t xml:space="preserve">ꎬ </w:t>
      </w:r>
      <w:r>
        <w:t>有违法所得的</w:t>
      </w:r>
      <w:r>
        <w:rPr>
          <w:rFonts w:hint="eastAsia" w:ascii="MS UI Gothic" w:eastAsia="MS UI Gothic"/>
          <w:w w:val="80"/>
        </w:rPr>
        <w:t xml:space="preserve">ꎬ </w:t>
      </w:r>
      <w:r>
        <w:t>没收违法所得</w:t>
      </w:r>
      <w:r>
        <w:rPr>
          <w:rFonts w:hint="eastAsia" w:ascii="MS UI Gothic" w:eastAsia="MS UI Gothic"/>
          <w:w w:val="80"/>
        </w:rPr>
        <w:t xml:space="preserve">ꎬ </w:t>
      </w:r>
      <w:r>
        <w:t xml:space="preserve">并处违法所得 </w:t>
      </w:r>
      <w:r>
        <w:rPr>
          <w:rFonts w:hint="eastAsia" w:ascii="MS UI Gothic" w:eastAsia="MS UI Gothic"/>
          <w:w w:val="80"/>
        </w:rPr>
        <w:t xml:space="preserve">１ </w:t>
      </w:r>
      <w:r>
        <w:t xml:space="preserve">倍以上 </w:t>
      </w:r>
      <w:r>
        <w:rPr>
          <w:rFonts w:hint="eastAsia" w:ascii="MS UI Gothic" w:eastAsia="MS UI Gothic"/>
          <w:w w:val="80"/>
        </w:rPr>
        <w:t xml:space="preserve">３ </w:t>
      </w:r>
      <w:r>
        <w:t>倍以下的罚款</w:t>
      </w:r>
      <w:r>
        <w:rPr>
          <w:rFonts w:hint="eastAsia" w:ascii="MS UI Gothic" w:eastAsia="MS UI Gothic"/>
          <w:w w:val="80"/>
        </w:rPr>
        <w:t xml:space="preserve">ꎬ </w:t>
      </w:r>
      <w:r>
        <w:t xml:space="preserve">但是最高不得超过 </w:t>
      </w:r>
      <w:r>
        <w:rPr>
          <w:rFonts w:hint="eastAsia" w:ascii="MS UI Gothic" w:eastAsia="MS UI Gothic"/>
          <w:w w:val="80"/>
        </w:rPr>
        <w:t xml:space="preserve">３ </w:t>
      </w:r>
      <w:r>
        <w:t>万元</w:t>
      </w:r>
      <w:r>
        <w:rPr>
          <w:rFonts w:hint="eastAsia" w:ascii="MS UI Gothic" w:eastAsia="MS UI Gothic"/>
          <w:w w:val="80"/>
        </w:rPr>
        <w:t xml:space="preserve">ꎻ </w:t>
      </w:r>
      <w:r>
        <w:t>没有违法所得的</w:t>
      </w:r>
      <w:r>
        <w:rPr>
          <w:rFonts w:hint="eastAsia" w:ascii="MS UI Gothic" w:eastAsia="MS UI Gothic"/>
          <w:w w:val="80"/>
        </w:rPr>
        <w:t xml:space="preserve">ꎬ </w:t>
      </w:r>
      <w:r>
        <w:t xml:space="preserve">并处 </w:t>
      </w:r>
      <w:r>
        <w:rPr>
          <w:rFonts w:hint="eastAsia" w:ascii="MS UI Gothic" w:eastAsia="MS UI Gothic"/>
          <w:w w:val="80"/>
        </w:rPr>
        <w:t xml:space="preserve">５ </w:t>
      </w:r>
      <w:r>
        <w:t xml:space="preserve">千元以上 </w:t>
      </w:r>
      <w:r>
        <w:rPr>
          <w:rFonts w:hint="eastAsia" w:ascii="MS UI Gothic" w:eastAsia="MS UI Gothic"/>
          <w:w w:val="80"/>
        </w:rPr>
        <w:t xml:space="preserve">１ </w:t>
      </w:r>
      <w:r>
        <w:t>万元以下的罚款</w:t>
      </w:r>
      <w:r>
        <w:rPr>
          <w:rFonts w:hint="eastAsia" w:ascii="MS UI Gothic" w:eastAsia="MS UI Gothic"/>
          <w:w w:val="80"/>
        </w:rPr>
        <w:t>ꎮ</w:t>
      </w:r>
    </w:p>
    <w:p>
      <w:pPr>
        <w:pStyle w:val="6"/>
        <w:spacing w:line="295" w:lineRule="auto"/>
        <w:ind w:right="38"/>
      </w:pPr>
      <w:r>
        <w:rPr>
          <w:w w:val="105"/>
        </w:rPr>
        <w:t>第五十条 生产经营单位及其有关人员弄虚作假</w:t>
      </w:r>
      <w:r>
        <w:rPr>
          <w:rFonts w:hint="eastAsia" w:ascii="MS UI Gothic" w:eastAsia="MS UI Gothic"/>
          <w:w w:val="80"/>
        </w:rPr>
        <w:t xml:space="preserve">ꎬ </w:t>
      </w:r>
      <w:r>
        <w:rPr>
          <w:w w:val="105"/>
        </w:rPr>
        <w:t>骗取或者勾结</w:t>
      </w:r>
      <w:r>
        <w:rPr>
          <w:rFonts w:hint="eastAsia" w:ascii="MS UI Gothic" w:eastAsia="MS UI Gothic"/>
          <w:w w:val="80"/>
        </w:rPr>
        <w:t xml:space="preserve">、 </w:t>
      </w:r>
      <w:r>
        <w:rPr>
          <w:w w:val="105"/>
        </w:rPr>
        <w:t>串通行政审</w:t>
      </w:r>
      <w:r>
        <w:t>批工作人员取得安全生产许可证书及其他</w:t>
      </w:r>
    </w:p>
    <w:p>
      <w:pPr>
        <w:pStyle w:val="6"/>
        <w:spacing w:before="123" w:line="295" w:lineRule="auto"/>
        <w:ind w:right="442" w:firstLine="0"/>
        <w:rPr>
          <w:rFonts w:hint="eastAsia" w:ascii="MS UI Gothic" w:eastAsia="MS UI Gothic"/>
        </w:rPr>
      </w:pPr>
      <w:r>
        <w:br w:type="column"/>
      </w:r>
      <w:r>
        <w:t>批准文件的</w:t>
      </w:r>
      <w:r>
        <w:rPr>
          <w:rFonts w:hint="eastAsia" w:ascii="MS UI Gothic" w:eastAsia="MS UI Gothic"/>
          <w:w w:val="80"/>
        </w:rPr>
        <w:t xml:space="preserve">ꎬ </w:t>
      </w:r>
      <w:r>
        <w:t>撤销许可及批准文件</w:t>
      </w:r>
      <w:r>
        <w:rPr>
          <w:rFonts w:hint="eastAsia" w:ascii="MS UI Gothic" w:eastAsia="MS UI Gothic"/>
          <w:w w:val="80"/>
        </w:rPr>
        <w:t xml:space="preserve">ꎬ </w:t>
      </w:r>
      <w:r>
        <w:t>并按</w:t>
      </w:r>
      <w:r>
        <w:rPr>
          <w:w w:val="105"/>
        </w:rPr>
        <w:t>照下列规定处以罚款</w:t>
      </w:r>
      <w:r>
        <w:rPr>
          <w:rFonts w:hint="eastAsia" w:ascii="MS UI Gothic" w:eastAsia="MS UI Gothic"/>
          <w:w w:val="235"/>
        </w:rPr>
        <w:t>:</w:t>
      </w:r>
    </w:p>
    <w:p>
      <w:pPr>
        <w:pStyle w:val="6"/>
        <w:spacing w:line="295" w:lineRule="auto"/>
        <w:ind w:right="440"/>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生产经营单位有违法所得的</w:t>
      </w:r>
      <w:r>
        <w:rPr>
          <w:rFonts w:hint="eastAsia" w:ascii="MS UI Gothic" w:eastAsia="MS UI Gothic"/>
          <w:w w:val="80"/>
        </w:rPr>
        <w:t>ꎬ</w:t>
      </w:r>
      <w:r>
        <w:t>没收违法所得</w:t>
      </w:r>
      <w:r>
        <w:rPr>
          <w:rFonts w:hint="eastAsia" w:ascii="MS UI Gothic" w:eastAsia="MS UI Gothic"/>
          <w:w w:val="80"/>
        </w:rPr>
        <w:t xml:space="preserve">ꎬ </w:t>
      </w:r>
      <w:r>
        <w:t xml:space="preserve">并处违法所得 </w:t>
      </w:r>
      <w:r>
        <w:rPr>
          <w:rFonts w:hint="eastAsia" w:ascii="MS UI Gothic" w:eastAsia="MS UI Gothic"/>
          <w:w w:val="80"/>
        </w:rPr>
        <w:t xml:space="preserve">１ </w:t>
      </w:r>
      <w:r>
        <w:t xml:space="preserve">倍以上 </w:t>
      </w:r>
      <w:r>
        <w:rPr>
          <w:rFonts w:hint="eastAsia" w:ascii="MS UI Gothic" w:eastAsia="MS UI Gothic"/>
          <w:w w:val="80"/>
        </w:rPr>
        <w:t xml:space="preserve">３ </w:t>
      </w:r>
      <w:r>
        <w:t>倍以下的罚款</w:t>
      </w:r>
      <w:r>
        <w:rPr>
          <w:rFonts w:hint="eastAsia" w:ascii="MS UI Gothic" w:eastAsia="MS UI Gothic"/>
          <w:w w:val="80"/>
        </w:rPr>
        <w:t xml:space="preserve">ꎬ </w:t>
      </w:r>
      <w:r>
        <w:t xml:space="preserve">但是最高不得超过 </w:t>
      </w:r>
      <w:r>
        <w:rPr>
          <w:rFonts w:hint="eastAsia" w:ascii="MS UI Gothic" w:eastAsia="MS UI Gothic"/>
          <w:w w:val="80"/>
        </w:rPr>
        <w:t xml:space="preserve">３ </w:t>
      </w:r>
      <w:r>
        <w:t>万元</w:t>
      </w:r>
      <w:r>
        <w:rPr>
          <w:rFonts w:hint="eastAsia" w:ascii="MS UI Gothic" w:eastAsia="MS UI Gothic"/>
          <w:w w:val="80"/>
        </w:rPr>
        <w:t xml:space="preserve">ꎻ </w:t>
      </w:r>
      <w:r>
        <w:t>没有违法所得的</w:t>
      </w:r>
      <w:r>
        <w:rPr>
          <w:rFonts w:hint="eastAsia" w:ascii="MS UI Gothic" w:eastAsia="MS UI Gothic"/>
          <w:w w:val="80"/>
        </w:rPr>
        <w:t xml:space="preserve">ꎬ </w:t>
      </w:r>
      <w:r>
        <w:t xml:space="preserve">并处 </w:t>
      </w:r>
      <w:r>
        <w:rPr>
          <w:rFonts w:hint="eastAsia" w:ascii="MS UI Gothic" w:eastAsia="MS UI Gothic"/>
          <w:w w:val="80"/>
        </w:rPr>
        <w:t xml:space="preserve">５ </w:t>
      </w:r>
      <w:r>
        <w:t xml:space="preserve">千元以上 </w:t>
      </w:r>
      <w:r>
        <w:rPr>
          <w:rFonts w:hint="eastAsia" w:ascii="MS UI Gothic" w:eastAsia="MS UI Gothic"/>
          <w:w w:val="80"/>
        </w:rPr>
        <w:t xml:space="preserve">１ </w:t>
      </w:r>
      <w:r>
        <w:t>万元以下的罚款</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11"/>
          <w:w w:val="150"/>
        </w:rPr>
        <w:t xml:space="preserve">) </w:t>
      </w:r>
      <w:r>
        <w:rPr>
          <w:spacing w:val="-5"/>
          <w:w w:val="105"/>
        </w:rPr>
        <w:t xml:space="preserve">对有关人员处 </w:t>
      </w:r>
      <w:r>
        <w:rPr>
          <w:rFonts w:hint="eastAsia" w:ascii="MS UI Gothic" w:eastAsia="MS UI Gothic"/>
          <w:spacing w:val="6"/>
          <w:w w:val="80"/>
        </w:rPr>
        <w:t xml:space="preserve">１ </w:t>
      </w:r>
      <w:r>
        <w:rPr>
          <w:spacing w:val="-4"/>
          <w:w w:val="105"/>
        </w:rPr>
        <w:t xml:space="preserve">千元以上 </w:t>
      </w:r>
      <w:r>
        <w:rPr>
          <w:rFonts w:hint="eastAsia" w:ascii="MS UI Gothic" w:eastAsia="MS UI Gothic"/>
          <w:spacing w:val="6"/>
          <w:w w:val="80"/>
        </w:rPr>
        <w:t xml:space="preserve">１ </w:t>
      </w:r>
      <w:r>
        <w:rPr>
          <w:w w:val="105"/>
        </w:rPr>
        <w:t>万</w:t>
      </w:r>
      <w:r>
        <w:rPr>
          <w:spacing w:val="3"/>
          <w:w w:val="105"/>
        </w:rPr>
        <w:t>元以下的罚款</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有前款规定违法行为的生产经营单位</w:t>
      </w:r>
      <w:r>
        <w:rPr>
          <w:spacing w:val="-10"/>
          <w:w w:val="105"/>
        </w:rPr>
        <w:t xml:space="preserve">及其有关人员在 </w:t>
      </w:r>
      <w:r>
        <w:rPr>
          <w:rFonts w:hint="eastAsia" w:ascii="MS UI Gothic" w:eastAsia="MS UI Gothic"/>
          <w:spacing w:val="-12"/>
          <w:w w:val="80"/>
        </w:rPr>
        <w:t xml:space="preserve">３ </w:t>
      </w:r>
      <w:r>
        <w:rPr>
          <w:spacing w:val="2"/>
          <w:w w:val="105"/>
        </w:rPr>
        <w:t>年内不得再次申请该行</w:t>
      </w:r>
      <w:r>
        <w:rPr>
          <w:spacing w:val="3"/>
          <w:w w:val="105"/>
        </w:rPr>
        <w:t>政许可</w:t>
      </w:r>
      <w:r>
        <w:rPr>
          <w:rFonts w:hint="eastAsia" w:ascii="MS UI Gothic" w:eastAsia="MS UI Gothic"/>
          <w:w w:val="80"/>
        </w:rPr>
        <w:t>ꎮ</w:t>
      </w:r>
    </w:p>
    <w:p>
      <w:pPr>
        <w:pStyle w:val="6"/>
        <w:spacing w:line="295" w:lineRule="auto"/>
        <w:ind w:left="118" w:right="442" w:firstLine="425"/>
      </w:pPr>
      <w:r>
        <w:t>生产经营单位及其有关人员未依法办理安全生产许可证书变更手续的</w:t>
      </w:r>
      <w:r>
        <w:rPr>
          <w:rFonts w:hint="eastAsia" w:ascii="MS UI Gothic" w:eastAsia="MS UI Gothic"/>
          <w:w w:val="80"/>
        </w:rPr>
        <w:t xml:space="preserve">ꎬ </w:t>
      </w:r>
      <w:r>
        <w:t>责令限期改正</w:t>
      </w:r>
      <w:r>
        <w:rPr>
          <w:rFonts w:hint="eastAsia" w:ascii="MS UI Gothic" w:eastAsia="MS UI Gothic"/>
          <w:w w:val="80"/>
        </w:rPr>
        <w:t xml:space="preserve">ꎬ </w:t>
      </w:r>
      <w:r>
        <w:t xml:space="preserve">并对生产经营单位处 </w:t>
      </w:r>
      <w:r>
        <w:rPr>
          <w:rFonts w:hint="eastAsia" w:ascii="MS UI Gothic" w:eastAsia="MS UI Gothic"/>
          <w:w w:val="80"/>
        </w:rPr>
        <w:t xml:space="preserve">１ </w:t>
      </w:r>
      <w:r>
        <w:t>万元以上</w:t>
      </w:r>
      <w:r>
        <w:rPr>
          <w:rFonts w:hint="eastAsia" w:ascii="MS UI Gothic" w:eastAsia="MS UI Gothic"/>
          <w:w w:val="80"/>
        </w:rPr>
        <w:t xml:space="preserve">３ </w:t>
      </w:r>
      <w:r>
        <w:t>万元以下的罚款</w:t>
      </w:r>
      <w:r>
        <w:rPr>
          <w:rFonts w:hint="eastAsia" w:ascii="MS UI Gothic" w:eastAsia="MS UI Gothic"/>
          <w:w w:val="80"/>
        </w:rPr>
        <w:t xml:space="preserve">ꎬ </w:t>
      </w:r>
      <w:r>
        <w:t xml:space="preserve">对有关人员处 </w:t>
      </w:r>
      <w:r>
        <w:rPr>
          <w:rFonts w:hint="eastAsia" w:ascii="MS UI Gothic" w:eastAsia="MS UI Gothic"/>
          <w:w w:val="80"/>
        </w:rPr>
        <w:t xml:space="preserve">１ </w:t>
      </w:r>
      <w:r>
        <w:t>千元</w:t>
      </w:r>
    </w:p>
    <w:p>
      <w:pPr>
        <w:pStyle w:val="6"/>
        <w:spacing w:line="253" w:lineRule="exact"/>
        <w:ind w:firstLine="0"/>
        <w:rPr>
          <w:rFonts w:hint="eastAsia" w:ascii="MS UI Gothic" w:eastAsia="MS UI Gothic"/>
        </w:rPr>
      </w:pPr>
      <w:r>
        <w:t xml:space="preserve">以上 </w:t>
      </w:r>
      <w:r>
        <w:rPr>
          <w:rFonts w:hint="eastAsia" w:ascii="MS UI Gothic" w:eastAsia="MS UI Gothic"/>
        </w:rPr>
        <w:t xml:space="preserve">５ </w:t>
      </w:r>
      <w:r>
        <w:t>千元以下的罚款</w:t>
      </w:r>
      <w:r>
        <w:rPr>
          <w:rFonts w:hint="eastAsia" w:ascii="MS UI Gothic" w:eastAsia="MS UI Gothic"/>
          <w:w w:val="80"/>
        </w:rPr>
        <w:t>ꎮ</w:t>
      </w:r>
    </w:p>
    <w:p>
      <w:pPr>
        <w:pStyle w:val="6"/>
        <w:spacing w:before="49" w:line="295" w:lineRule="auto"/>
        <w:ind w:right="440"/>
        <w:rPr>
          <w:rFonts w:hint="eastAsia" w:ascii="MS UI Gothic" w:eastAsia="MS UI Gothic"/>
        </w:rPr>
      </w:pPr>
      <w:r>
        <w:rPr>
          <w:w w:val="105"/>
        </w:rPr>
        <w:t>第五十一条 未取得相应资格</w:t>
      </w:r>
      <w:r>
        <w:rPr>
          <w:rFonts w:hint="eastAsia" w:ascii="MS UI Gothic" w:eastAsia="MS UI Gothic"/>
          <w:w w:val="80"/>
        </w:rPr>
        <w:t xml:space="preserve">、 </w:t>
      </w:r>
      <w:r>
        <w:rPr>
          <w:w w:val="105"/>
        </w:rPr>
        <w:t>资质</w:t>
      </w:r>
      <w:r>
        <w:t>证书的机构及其有关人员从事安全评价</w:t>
      </w:r>
      <w:r>
        <w:rPr>
          <w:rFonts w:hint="eastAsia" w:ascii="MS UI Gothic" w:eastAsia="MS UI Gothic"/>
          <w:w w:val="80"/>
        </w:rPr>
        <w:t>、</w:t>
      </w:r>
      <w:r>
        <w:rPr>
          <w:w w:val="105"/>
        </w:rPr>
        <w:t>认证</w:t>
      </w:r>
      <w:r>
        <w:rPr>
          <w:rFonts w:hint="eastAsia" w:ascii="MS UI Gothic" w:eastAsia="MS UI Gothic"/>
          <w:w w:val="80"/>
        </w:rPr>
        <w:t xml:space="preserve">、 </w:t>
      </w:r>
      <w:r>
        <w:rPr>
          <w:w w:val="105"/>
        </w:rPr>
        <w:t>检测</w:t>
      </w:r>
      <w:r>
        <w:rPr>
          <w:rFonts w:hint="eastAsia" w:ascii="MS UI Gothic" w:eastAsia="MS UI Gothic"/>
          <w:w w:val="80"/>
        </w:rPr>
        <w:t xml:space="preserve">、 </w:t>
      </w:r>
      <w:r>
        <w:rPr>
          <w:w w:val="105"/>
        </w:rPr>
        <w:t>检验工作</w:t>
      </w:r>
      <w:r>
        <w:rPr>
          <w:rFonts w:hint="eastAsia" w:ascii="MS UI Gothic" w:eastAsia="MS UI Gothic"/>
          <w:w w:val="80"/>
        </w:rPr>
        <w:t xml:space="preserve">ꎬ </w:t>
      </w:r>
      <w:r>
        <w:rPr>
          <w:w w:val="105"/>
        </w:rPr>
        <w:t>责令停止违法行为</w:t>
      </w:r>
      <w:r>
        <w:rPr>
          <w:rFonts w:hint="eastAsia" w:ascii="MS UI Gothic" w:eastAsia="MS UI Gothic"/>
          <w:w w:val="80"/>
        </w:rPr>
        <w:t xml:space="preserve">ꎬ </w:t>
      </w:r>
      <w:r>
        <w:rPr>
          <w:w w:val="105"/>
        </w:rPr>
        <w:t>并按照下列规定处以罚款</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机构有违法所得的</w:t>
      </w:r>
      <w:r>
        <w:rPr>
          <w:rFonts w:hint="eastAsia" w:ascii="MS UI Gothic" w:eastAsia="MS UI Gothic"/>
          <w:w w:val="80"/>
        </w:rPr>
        <w:t xml:space="preserve">ꎬ </w:t>
      </w:r>
      <w:r>
        <w:t>没收违法所得</w:t>
      </w:r>
      <w:r>
        <w:rPr>
          <w:rFonts w:hint="eastAsia" w:ascii="MS UI Gothic" w:eastAsia="MS UI Gothic"/>
          <w:w w:val="80"/>
        </w:rPr>
        <w:t xml:space="preserve">ꎬ </w:t>
      </w:r>
      <w:r>
        <w:t xml:space="preserve">并处违法所得 </w:t>
      </w:r>
      <w:r>
        <w:rPr>
          <w:rFonts w:hint="eastAsia" w:ascii="MS UI Gothic" w:eastAsia="MS UI Gothic"/>
          <w:w w:val="80"/>
        </w:rPr>
        <w:t xml:space="preserve">１ </w:t>
      </w:r>
      <w:r>
        <w:t xml:space="preserve">倍以上 </w:t>
      </w:r>
      <w:r>
        <w:rPr>
          <w:rFonts w:hint="eastAsia" w:ascii="MS UI Gothic" w:eastAsia="MS UI Gothic"/>
          <w:w w:val="80"/>
        </w:rPr>
        <w:t xml:space="preserve">３ </w:t>
      </w:r>
      <w:r>
        <w:t>倍以下的罚款</w:t>
      </w:r>
      <w:r>
        <w:rPr>
          <w:rFonts w:hint="eastAsia" w:ascii="MS UI Gothic" w:eastAsia="MS UI Gothic"/>
          <w:w w:val="80"/>
        </w:rPr>
        <w:t xml:space="preserve">ꎬ </w:t>
      </w:r>
      <w:r>
        <w:t xml:space="preserve">但是最高不得超过 </w:t>
      </w:r>
      <w:r>
        <w:rPr>
          <w:rFonts w:hint="eastAsia" w:ascii="MS UI Gothic" w:eastAsia="MS UI Gothic"/>
          <w:w w:val="80"/>
        </w:rPr>
        <w:t xml:space="preserve">３ </w:t>
      </w:r>
      <w:r>
        <w:t>万元</w:t>
      </w:r>
      <w:r>
        <w:rPr>
          <w:rFonts w:hint="eastAsia" w:ascii="MS UI Gothic" w:eastAsia="MS UI Gothic"/>
          <w:w w:val="80"/>
        </w:rPr>
        <w:t xml:space="preserve">ꎻ </w:t>
      </w:r>
      <w:r>
        <w:t>没有违法所得的</w:t>
      </w:r>
      <w:r>
        <w:rPr>
          <w:rFonts w:hint="eastAsia" w:ascii="MS UI Gothic" w:eastAsia="MS UI Gothic"/>
          <w:w w:val="80"/>
        </w:rPr>
        <w:t xml:space="preserve">ꎬ </w:t>
      </w:r>
      <w:r>
        <w:t xml:space="preserve">并处 </w:t>
      </w:r>
      <w:r>
        <w:rPr>
          <w:rFonts w:hint="eastAsia" w:ascii="MS UI Gothic" w:eastAsia="MS UI Gothic"/>
          <w:w w:val="80"/>
        </w:rPr>
        <w:t xml:space="preserve">５ </w:t>
      </w:r>
      <w:r>
        <w:t xml:space="preserve">千元以上 </w:t>
      </w:r>
      <w:r>
        <w:rPr>
          <w:rFonts w:hint="eastAsia" w:ascii="MS UI Gothic" w:eastAsia="MS UI Gothic"/>
          <w:w w:val="80"/>
        </w:rPr>
        <w:t xml:space="preserve">１ </w:t>
      </w:r>
      <w:r>
        <w:t>万元以下的罚款</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11"/>
          <w:w w:val="150"/>
        </w:rPr>
        <w:t xml:space="preserve">) </w:t>
      </w:r>
      <w:r>
        <w:rPr>
          <w:spacing w:val="-7"/>
          <w:w w:val="105"/>
        </w:rPr>
        <w:t xml:space="preserve">有关人员处 </w:t>
      </w:r>
      <w:r>
        <w:rPr>
          <w:rFonts w:hint="eastAsia" w:ascii="MS UI Gothic" w:eastAsia="MS UI Gothic"/>
          <w:spacing w:val="5"/>
          <w:w w:val="80"/>
        </w:rPr>
        <w:t xml:space="preserve">５ </w:t>
      </w:r>
      <w:r>
        <w:rPr>
          <w:spacing w:val="-4"/>
          <w:w w:val="105"/>
        </w:rPr>
        <w:t xml:space="preserve">千元以上 </w:t>
      </w:r>
      <w:r>
        <w:rPr>
          <w:rFonts w:hint="eastAsia" w:ascii="MS UI Gothic" w:eastAsia="MS UI Gothic"/>
          <w:spacing w:val="6"/>
          <w:w w:val="80"/>
        </w:rPr>
        <w:t xml:space="preserve">１ </w:t>
      </w:r>
      <w:r>
        <w:rPr>
          <w:spacing w:val="5"/>
          <w:w w:val="105"/>
        </w:rPr>
        <w:t>万元</w:t>
      </w:r>
      <w:r>
        <w:rPr>
          <w:spacing w:val="3"/>
          <w:w w:val="105"/>
        </w:rPr>
        <w:t>以下的罚款</w:t>
      </w:r>
      <w:r>
        <w:rPr>
          <w:rFonts w:hint="eastAsia" w:ascii="MS UI Gothic" w:eastAsia="MS UI Gothic"/>
          <w:w w:val="80"/>
        </w:rPr>
        <w:t>ꎮ</w:t>
      </w:r>
    </w:p>
    <w:p>
      <w:pPr>
        <w:pStyle w:val="6"/>
        <w:spacing w:line="295" w:lineRule="auto"/>
        <w:ind w:right="440"/>
        <w:rPr>
          <w:rFonts w:hint="eastAsia" w:ascii="MS UI Gothic" w:eastAsia="MS UI Gothic"/>
        </w:rPr>
      </w:pPr>
      <w:r>
        <w:t>第五十二条 生产经营单位及其有关人员触犯不同的法律规定</w:t>
      </w:r>
      <w:r>
        <w:rPr>
          <w:rFonts w:hint="eastAsia" w:ascii="MS UI Gothic" w:eastAsia="MS UI Gothic"/>
          <w:w w:val="80"/>
        </w:rPr>
        <w:t xml:space="preserve">ꎬ </w:t>
      </w:r>
      <w:r>
        <w:t>有两个以上应当给予行政处罚的安全生产违法行为的</w:t>
      </w:r>
      <w:r>
        <w:rPr>
          <w:rFonts w:hint="eastAsia" w:ascii="MS UI Gothic" w:eastAsia="MS UI Gothic"/>
          <w:w w:val="80"/>
        </w:rPr>
        <w:t>ꎬ</w:t>
      </w:r>
      <w:r>
        <w:t>安全监管监察部门应当适用不同的法律规定</w:t>
      </w:r>
      <w:r>
        <w:rPr>
          <w:rFonts w:hint="eastAsia" w:ascii="MS UI Gothic" w:eastAsia="MS UI Gothic"/>
          <w:w w:val="80"/>
        </w:rPr>
        <w:t xml:space="preserve">ꎬ </w:t>
      </w:r>
      <w:r>
        <w:t>分别裁量</w:t>
      </w:r>
      <w:r>
        <w:rPr>
          <w:rFonts w:hint="eastAsia" w:ascii="MS UI Gothic" w:eastAsia="MS UI Gothic"/>
          <w:w w:val="80"/>
        </w:rPr>
        <w:t xml:space="preserve">ꎬ </w:t>
      </w:r>
      <w:r>
        <w:t>合并处罚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第五十三条 对同一生产经营单位及</w:t>
      </w:r>
      <w:r>
        <w:t>其有关人员的同一安全生产违法行为</w:t>
      </w:r>
      <w:r>
        <w:rPr>
          <w:rFonts w:hint="eastAsia" w:ascii="MS UI Gothic" w:eastAsia="MS UI Gothic"/>
          <w:w w:val="80"/>
        </w:rPr>
        <w:t xml:space="preserve">ꎬ </w:t>
      </w:r>
      <w:r>
        <w:t>不</w:t>
      </w:r>
      <w:r>
        <w:rPr>
          <w:w w:val="105"/>
        </w:rPr>
        <w:t>得给予两次以上罚款的行政处罚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第五十四条 生产经营单位及其有关人员有下列情形之一的</w:t>
      </w:r>
      <w:r>
        <w:rPr>
          <w:rFonts w:hint="eastAsia" w:ascii="MS UI Gothic" w:eastAsia="MS UI Gothic"/>
          <w:w w:val="80"/>
        </w:rPr>
        <w:t xml:space="preserve">ꎬ </w:t>
      </w:r>
      <w:r>
        <w:rPr>
          <w:w w:val="105"/>
        </w:rPr>
        <w:t>应当从重处罚</w:t>
      </w:r>
      <w:r>
        <w:rPr>
          <w:rFonts w:hint="eastAsia" w:ascii="MS UI Gothic" w:eastAsia="MS UI Gothic"/>
          <w:w w:val="105"/>
        </w:rPr>
        <w:t>:</w:t>
      </w:r>
    </w:p>
    <w:p>
      <w:pPr>
        <w:pStyle w:val="6"/>
        <w:spacing w:line="255" w:lineRule="exact"/>
        <w:ind w:left="543" w:firstLine="0"/>
        <w:jc w:val="left"/>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危及公共安全或者其他生产经</w:t>
      </w:r>
    </w:p>
    <w:p>
      <w:pPr>
        <w:spacing w:after="0" w:line="255"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１３５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46" o:spid="_x0000_s1446" o:spt="203" style="height:2.15pt;width:398.25pt;" coordsize="7965,43">
            <o:lock v:ext="edit"/>
            <v:line id="_x0000_s1447" o:spid="_x0000_s1447" o:spt="20" style="position:absolute;left:0;top:39;height:0;width:7965;" stroked="t" coordsize="21600,21600">
              <v:path arrowok="t"/>
              <v:fill focussize="0,0"/>
              <v:stroke weight="0.388031496062992pt" color="#231F20"/>
              <v:imagedata o:title=""/>
              <o:lock v:ext="edit"/>
            </v:line>
            <v:line id="_x0000_s1448" o:spid="_x0000_s144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3" w:firstLine="0"/>
        <w:jc w:val="left"/>
        <w:rPr>
          <w:rFonts w:hint="eastAsia" w:ascii="MS UI Gothic" w:eastAsia="MS UI Gothic"/>
        </w:rPr>
      </w:pPr>
      <w:r>
        <w:t>营单位安全的</w:t>
      </w:r>
      <w:r>
        <w:rPr>
          <w:rFonts w:hint="eastAsia" w:ascii="MS UI Gothic" w:eastAsia="MS UI Gothic"/>
          <w:w w:val="80"/>
        </w:rPr>
        <w:t xml:space="preserve">ꎬ </w:t>
      </w:r>
      <w:r>
        <w:t>经责令限期改正</w:t>
      </w:r>
      <w:r>
        <w:rPr>
          <w:rFonts w:hint="eastAsia" w:ascii="MS UI Gothic" w:eastAsia="MS UI Gothic"/>
          <w:w w:val="80"/>
        </w:rPr>
        <w:t xml:space="preserve">ꎬ </w:t>
      </w:r>
      <w:r>
        <w:t>逾期未改正的</w:t>
      </w:r>
      <w:r>
        <w:rPr>
          <w:rFonts w:hint="eastAsia" w:ascii="MS UI Gothic" w:eastAsia="MS UI Gothic"/>
          <w:w w:val="80"/>
        </w:rPr>
        <w:t>ꎻ</w:t>
      </w:r>
    </w:p>
    <w:p>
      <w:pPr>
        <w:pStyle w:val="6"/>
        <w:spacing w:line="295" w:lineRule="auto"/>
        <w:ind w:left="440" w:right="3"/>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一年内因同一违法行为受到两</w:t>
      </w:r>
      <w:r>
        <w:rPr>
          <w:w w:val="110"/>
        </w:rPr>
        <w:t>次以上行政处罚的</w:t>
      </w:r>
      <w:r>
        <w:rPr>
          <w:rFonts w:hint="eastAsia" w:ascii="MS UI Gothic" w:eastAsia="MS UI Gothic"/>
          <w:w w:val="80"/>
        </w:rPr>
        <w:t>ꎻ</w:t>
      </w:r>
    </w:p>
    <w:p>
      <w:pPr>
        <w:pStyle w:val="6"/>
        <w:spacing w:line="295" w:lineRule="auto"/>
        <w:ind w:left="440" w:right="3"/>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拒不整改或者整改不力</w:t>
      </w:r>
      <w:r>
        <w:rPr>
          <w:rFonts w:hint="eastAsia" w:ascii="MS UI Gothic" w:eastAsia="MS UI Gothic"/>
          <w:w w:val="80"/>
        </w:rPr>
        <w:t xml:space="preserve">ꎬ </w:t>
      </w:r>
      <w:r>
        <w:rPr>
          <w:w w:val="105"/>
        </w:rPr>
        <w:t>其违法行为呈持续状态的</w:t>
      </w:r>
      <w:r>
        <w:rPr>
          <w:rFonts w:hint="eastAsia" w:ascii="MS UI Gothic" w:eastAsia="MS UI Gothic"/>
          <w:w w:val="80"/>
        </w:rPr>
        <w:t>ꎻ</w:t>
      </w:r>
    </w:p>
    <w:p>
      <w:pPr>
        <w:pStyle w:val="6"/>
        <w:spacing w:line="295" w:lineRule="auto"/>
        <w:ind w:left="440" w:right="3"/>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拒绝</w:t>
      </w:r>
      <w:r>
        <w:rPr>
          <w:rFonts w:hint="eastAsia" w:ascii="MS UI Gothic" w:eastAsia="MS UI Gothic"/>
          <w:w w:val="80"/>
        </w:rPr>
        <w:t xml:space="preserve">、 </w:t>
      </w:r>
      <w:r>
        <w:rPr>
          <w:w w:val="105"/>
        </w:rPr>
        <w:t>阻碍或者以暴力威胁行政执法人员的</w:t>
      </w:r>
      <w:r>
        <w:rPr>
          <w:rFonts w:hint="eastAsia" w:ascii="MS UI Gothic" w:eastAsia="MS UI Gothic"/>
          <w:w w:val="80"/>
        </w:rPr>
        <w:t>ꎮ</w:t>
      </w:r>
    </w:p>
    <w:p>
      <w:pPr>
        <w:pStyle w:val="6"/>
        <w:spacing w:line="295" w:lineRule="auto"/>
        <w:ind w:left="440" w:right="3"/>
        <w:rPr>
          <w:rFonts w:hint="eastAsia" w:ascii="MS UI Gothic" w:eastAsia="MS UI Gothic"/>
        </w:rPr>
      </w:pPr>
      <w:r>
        <w:rPr>
          <w:w w:val="105"/>
        </w:rPr>
        <w:t>第五十五条 生产经营单位及其有关</w:t>
      </w:r>
      <w:r>
        <w:t>人员有下列情形之一的</w:t>
      </w:r>
      <w:r>
        <w:rPr>
          <w:rFonts w:hint="eastAsia" w:ascii="MS UI Gothic" w:eastAsia="MS UI Gothic"/>
          <w:w w:val="80"/>
        </w:rPr>
        <w:t xml:space="preserve">ꎬ </w:t>
      </w:r>
      <w:r>
        <w:t>应当从轻或者减</w:t>
      </w:r>
      <w:r>
        <w:rPr>
          <w:w w:val="105"/>
        </w:rPr>
        <w:t>轻行政处罚</w:t>
      </w:r>
      <w:r>
        <w:rPr>
          <w:rFonts w:hint="eastAsia" w:ascii="MS UI Gothic" w:eastAsia="MS UI Gothic"/>
          <w:w w:val="235"/>
        </w:rPr>
        <w:t>:</w:t>
      </w:r>
    </w:p>
    <w:p>
      <w:pPr>
        <w:pStyle w:val="6"/>
        <w:spacing w:line="295" w:lineRule="auto"/>
        <w:ind w:left="440" w:right="3"/>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主动消除或者减轻安全生产违</w:t>
      </w:r>
      <w:r>
        <w:rPr>
          <w:w w:val="110"/>
        </w:rPr>
        <w:t>法行为危害后果的</w:t>
      </w:r>
      <w:r>
        <w:rPr>
          <w:rFonts w:hint="eastAsia" w:ascii="MS UI Gothic" w:eastAsia="MS UI Gothic"/>
          <w:w w:val="80"/>
        </w:rPr>
        <w:t>ꎻ</w:t>
      </w:r>
    </w:p>
    <w:p>
      <w:pPr>
        <w:pStyle w:val="6"/>
        <w:spacing w:line="295" w:lineRule="auto"/>
        <w:ind w:left="440" w:right="3"/>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受他人胁迫实施安全生产违法</w:t>
      </w:r>
      <w:r>
        <w:rPr>
          <w:w w:val="110"/>
        </w:rPr>
        <w:t>行为的</w:t>
      </w:r>
      <w:r>
        <w:rPr>
          <w:rFonts w:hint="eastAsia" w:ascii="MS UI Gothic" w:eastAsia="MS UI Gothic"/>
          <w:w w:val="80"/>
        </w:rPr>
        <w:t>ꎻ</w:t>
      </w:r>
    </w:p>
    <w:p>
      <w:pPr>
        <w:pStyle w:val="6"/>
        <w:spacing w:line="295" w:lineRule="auto"/>
        <w:ind w:left="440" w:right="3"/>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配合安全监管监察部门查处安全生产违法行为有立功表现的</w:t>
      </w:r>
      <w:r>
        <w:rPr>
          <w:rFonts w:hint="eastAsia" w:ascii="MS UI Gothic" w:eastAsia="MS UI Gothic"/>
          <w:w w:val="80"/>
        </w:rPr>
        <w:t>ꎻ</w:t>
      </w:r>
    </w:p>
    <w:p>
      <w:pPr>
        <w:pStyle w:val="6"/>
        <w:spacing w:line="295" w:lineRule="auto"/>
        <w:ind w:left="440" w:right="3"/>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其他依法应予从轻或者减轻行</w:t>
      </w:r>
      <w:r>
        <w:rPr>
          <w:w w:val="110"/>
        </w:rPr>
        <w:t>政处罚的</w:t>
      </w:r>
      <w:r>
        <w:rPr>
          <w:rFonts w:hint="eastAsia" w:ascii="MS UI Gothic" w:eastAsia="MS UI Gothic"/>
          <w:w w:val="80"/>
        </w:rPr>
        <w:t>ꎮ</w:t>
      </w:r>
    </w:p>
    <w:p>
      <w:pPr>
        <w:pStyle w:val="6"/>
        <w:spacing w:line="295" w:lineRule="auto"/>
        <w:ind w:left="440" w:right="1"/>
        <w:rPr>
          <w:rFonts w:hint="eastAsia" w:ascii="MS UI Gothic" w:eastAsia="MS UI Gothic"/>
        </w:rPr>
      </w:pPr>
      <w:r>
        <w:t>安全生产违法行为轻微并及时纠正</w:t>
      </w:r>
      <w:r>
        <w:rPr>
          <w:rFonts w:hint="eastAsia" w:ascii="MS UI Gothic" w:eastAsia="MS UI Gothic"/>
          <w:w w:val="80"/>
        </w:rPr>
        <w:t>ꎬ</w:t>
      </w:r>
      <w:r>
        <w:t>没有造成危害后果的</w:t>
      </w:r>
      <w:r>
        <w:rPr>
          <w:rFonts w:hint="eastAsia" w:ascii="MS UI Gothic" w:eastAsia="MS UI Gothic"/>
          <w:w w:val="80"/>
        </w:rPr>
        <w:t xml:space="preserve">ꎬ </w:t>
      </w:r>
      <w:r>
        <w:t>不予行政处罚</w:t>
      </w:r>
      <w:r>
        <w:rPr>
          <w:rFonts w:hint="eastAsia" w:ascii="MS UI Gothic" w:eastAsia="MS UI Gothic"/>
          <w:w w:val="80"/>
        </w:rPr>
        <w:t>ꎮ</w:t>
      </w:r>
    </w:p>
    <w:p>
      <w:pPr>
        <w:pStyle w:val="6"/>
        <w:tabs>
          <w:tab w:val="left" w:pos="1698"/>
        </w:tabs>
        <w:spacing w:before="140"/>
        <w:ind w:left="860" w:firstLine="0"/>
        <w:jc w:val="left"/>
      </w:pPr>
      <w:r>
        <w:rPr>
          <w:spacing w:val="3"/>
          <w:w w:val="105"/>
        </w:rPr>
        <w:t>第五</w:t>
      </w:r>
      <w:r>
        <w:rPr>
          <w:w w:val="105"/>
        </w:rPr>
        <w:t>章</w:t>
      </w:r>
      <w:r>
        <w:rPr>
          <w:w w:val="105"/>
        </w:rPr>
        <w:tab/>
      </w:r>
      <w:r>
        <w:rPr>
          <w:spacing w:val="3"/>
          <w:w w:val="105"/>
        </w:rPr>
        <w:t>行政处罚的执行和备</w:t>
      </w:r>
      <w:r>
        <w:rPr>
          <w:w w:val="105"/>
        </w:rPr>
        <w:t>案</w:t>
      </w:r>
    </w:p>
    <w:p>
      <w:pPr>
        <w:pStyle w:val="6"/>
        <w:spacing w:before="11"/>
        <w:ind w:left="0" w:firstLine="0"/>
        <w:jc w:val="left"/>
        <w:rPr>
          <w:sz w:val="16"/>
        </w:rPr>
      </w:pPr>
    </w:p>
    <w:p>
      <w:pPr>
        <w:pStyle w:val="6"/>
        <w:spacing w:line="295" w:lineRule="auto"/>
        <w:ind w:left="440" w:right="3"/>
        <w:rPr>
          <w:rFonts w:hint="eastAsia" w:ascii="MS UI Gothic" w:eastAsia="MS UI Gothic"/>
        </w:rPr>
      </w:pPr>
      <w:r>
        <w:rPr>
          <w:w w:val="105"/>
        </w:rPr>
        <w:t>第五十六条 安全监管监察部门实施</w:t>
      </w:r>
      <w:r>
        <w:t>行政处罚时</w:t>
      </w:r>
      <w:r>
        <w:rPr>
          <w:rFonts w:hint="eastAsia" w:ascii="MS UI Gothic" w:eastAsia="MS UI Gothic"/>
          <w:w w:val="80"/>
        </w:rPr>
        <w:t xml:space="preserve">ꎬ </w:t>
      </w:r>
      <w:r>
        <w:t>应当同时责令生产经营单位</w:t>
      </w:r>
      <w:r>
        <w:rPr>
          <w:w w:val="105"/>
        </w:rPr>
        <w:t>及其有关人员停止</w:t>
      </w:r>
      <w:r>
        <w:rPr>
          <w:rFonts w:hint="eastAsia" w:ascii="MS UI Gothic" w:eastAsia="MS UI Gothic"/>
          <w:w w:val="80"/>
        </w:rPr>
        <w:t xml:space="preserve">、 </w:t>
      </w:r>
      <w:r>
        <w:rPr>
          <w:w w:val="105"/>
        </w:rPr>
        <w:t>改正或者限期改正违法行为</w:t>
      </w:r>
      <w:r>
        <w:rPr>
          <w:rFonts w:hint="eastAsia" w:ascii="MS UI Gothic" w:eastAsia="MS UI Gothic"/>
          <w:w w:val="80"/>
        </w:rPr>
        <w:t>ꎮ</w:t>
      </w:r>
    </w:p>
    <w:p>
      <w:pPr>
        <w:pStyle w:val="6"/>
        <w:spacing w:line="295" w:lineRule="auto"/>
        <w:ind w:left="440" w:right="3"/>
        <w:rPr>
          <w:rFonts w:hint="eastAsia" w:ascii="MS UI Gothic" w:eastAsia="MS UI Gothic"/>
        </w:rPr>
      </w:pPr>
      <w:r>
        <w:rPr>
          <w:w w:val="105"/>
        </w:rPr>
        <w:t>第五十七条 本办法所称的违法所</w:t>
      </w:r>
      <w:r>
        <w:rPr>
          <w:w w:val="110"/>
        </w:rPr>
        <w:t>得</w:t>
      </w:r>
      <w:r>
        <w:rPr>
          <w:rFonts w:hint="eastAsia" w:ascii="MS UI Gothic" w:eastAsia="MS UI Gothic"/>
          <w:w w:val="80"/>
        </w:rPr>
        <w:t xml:space="preserve">ꎬ </w:t>
      </w:r>
      <w:r>
        <w:rPr>
          <w:w w:val="110"/>
        </w:rPr>
        <w:t>按照下列规定计算</w:t>
      </w:r>
      <w:r>
        <w:rPr>
          <w:rFonts w:hint="eastAsia" w:ascii="MS UI Gothic" w:eastAsia="MS UI Gothic"/>
          <w:w w:val="235"/>
        </w:rPr>
        <w:t>:</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生产</w:t>
      </w:r>
      <w:r>
        <w:rPr>
          <w:rFonts w:hint="eastAsia" w:ascii="MS UI Gothic" w:eastAsia="MS UI Gothic"/>
          <w:w w:val="80"/>
        </w:rPr>
        <w:t xml:space="preserve">、 </w:t>
      </w:r>
      <w:r>
        <w:rPr>
          <w:w w:val="105"/>
        </w:rPr>
        <w:t>加工产品的</w:t>
      </w:r>
      <w:r>
        <w:rPr>
          <w:rFonts w:hint="eastAsia" w:ascii="MS UI Gothic" w:eastAsia="MS UI Gothic"/>
          <w:w w:val="80"/>
        </w:rPr>
        <w:t xml:space="preserve">ꎬ </w:t>
      </w:r>
      <w:r>
        <w:rPr>
          <w:w w:val="105"/>
        </w:rPr>
        <w:t>以生产</w:t>
      </w:r>
      <w:r>
        <w:rPr>
          <w:rFonts w:hint="eastAsia" w:ascii="MS UI Gothic" w:eastAsia="MS UI Gothic"/>
          <w:w w:val="80"/>
        </w:rPr>
        <w:t>、</w:t>
      </w:r>
      <w:r>
        <w:rPr>
          <w:w w:val="105"/>
        </w:rPr>
        <w:t>加工产品的销售收入作为违法所得</w:t>
      </w:r>
      <w:r>
        <w:rPr>
          <w:rFonts w:hint="eastAsia" w:ascii="MS UI Gothic" w:eastAsia="MS UI Gothic"/>
          <w:w w:val="80"/>
        </w:rPr>
        <w:t>ꎻ</w:t>
      </w:r>
    </w:p>
    <w:p>
      <w:pPr>
        <w:pStyle w:val="6"/>
        <w:spacing w:line="295" w:lineRule="auto"/>
        <w:ind w:left="440" w:right="3"/>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销售商品的</w:t>
      </w:r>
      <w:r>
        <w:rPr>
          <w:rFonts w:hint="eastAsia" w:ascii="MS UI Gothic" w:eastAsia="MS UI Gothic"/>
          <w:w w:val="80"/>
        </w:rPr>
        <w:t xml:space="preserve">ꎬ </w:t>
      </w:r>
      <w:r>
        <w:rPr>
          <w:w w:val="105"/>
        </w:rPr>
        <w:t>以销售收入作为违法所得</w:t>
      </w:r>
      <w:r>
        <w:rPr>
          <w:rFonts w:hint="eastAsia" w:ascii="MS UI Gothic" w:eastAsia="MS UI Gothic"/>
          <w:w w:val="80"/>
        </w:rPr>
        <w:t>ꎻ</w:t>
      </w:r>
    </w:p>
    <w:p>
      <w:pPr>
        <w:pStyle w:val="6"/>
        <w:spacing w:line="295" w:lineRule="auto"/>
        <w:ind w:left="440"/>
        <w:jc w:val="right"/>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提供安全生产中介</w:t>
      </w:r>
      <w:r>
        <w:rPr>
          <w:rFonts w:hint="eastAsia" w:ascii="MS UI Gothic" w:eastAsia="MS UI Gothic"/>
          <w:w w:val="80"/>
        </w:rPr>
        <w:t xml:space="preserve">、 </w:t>
      </w:r>
      <w:r>
        <w:rPr>
          <w:w w:val="105"/>
        </w:rPr>
        <w:t>租赁等服</w:t>
      </w:r>
      <w:r>
        <w:t>务的</w:t>
      </w:r>
      <w:r>
        <w:rPr>
          <w:rFonts w:hint="eastAsia" w:ascii="MS UI Gothic" w:eastAsia="MS UI Gothic"/>
          <w:w w:val="80"/>
        </w:rPr>
        <w:t xml:space="preserve">ꎬ </w:t>
      </w:r>
      <w:r>
        <w:t>以服务收入或者报酬作为违法所得</w:t>
      </w:r>
      <w:r>
        <w:rPr>
          <w:rFonts w:hint="eastAsia" w:ascii="MS UI Gothic" w:eastAsia="MS UI Gothic"/>
          <w:w w:val="80"/>
        </w:rPr>
        <w:t>ꎻ</w:t>
      </w:r>
      <w:r>
        <w:rPr>
          <w:rFonts w:hint="eastAsia" w:ascii="MS UI Gothic" w:eastAsia="MS UI Gothic"/>
          <w:w w:val="51"/>
        </w:rPr>
        <w:t xml:space="preserve"> </w:t>
      </w: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销售收入无法计算的</w:t>
      </w:r>
      <w:r>
        <w:rPr>
          <w:rFonts w:hint="eastAsia" w:ascii="MS UI Gothic" w:eastAsia="MS UI Gothic"/>
          <w:w w:val="80"/>
        </w:rPr>
        <w:t xml:space="preserve">ꎬ </w:t>
      </w:r>
      <w:r>
        <w:rPr>
          <w:w w:val="105"/>
        </w:rPr>
        <w:t>按当地</w:t>
      </w:r>
    </w:p>
    <w:p>
      <w:pPr>
        <w:pStyle w:val="6"/>
        <w:spacing w:line="295" w:lineRule="auto"/>
        <w:ind w:left="440" w:right="3" w:firstLine="0"/>
        <w:jc w:val="left"/>
        <w:rPr>
          <w:rFonts w:hint="eastAsia" w:ascii="MS UI Gothic" w:eastAsia="MS UI Gothic"/>
        </w:rPr>
      </w:pPr>
      <w:r>
        <w:t>同类同等规模的生产经营单位的平均销售</w:t>
      </w:r>
      <w:r>
        <w:rPr>
          <w:w w:val="105"/>
        </w:rPr>
        <w:t>收入计算</w:t>
      </w:r>
      <w:r>
        <w:rPr>
          <w:rFonts w:hint="eastAsia" w:ascii="MS UI Gothic" w:eastAsia="MS UI Gothic"/>
          <w:w w:val="80"/>
        </w:rPr>
        <w:t>ꎻ</w:t>
      </w:r>
    </w:p>
    <w:p>
      <w:pPr>
        <w:pStyle w:val="6"/>
        <w:spacing w:line="255" w:lineRule="exact"/>
        <w:ind w:left="860" w:firstLine="0"/>
        <w:jc w:val="left"/>
        <w:rPr>
          <w:rFonts w:hint="eastAsia" w:ascii="MS UI Gothic" w:eastAsia="MS UI Gothic"/>
        </w:rPr>
      </w:pPr>
      <w:r>
        <w:rPr>
          <w:rFonts w:hint="eastAsia" w:ascii="MS UI Gothic" w:eastAsia="MS UI Gothic"/>
          <w:w w:val="130"/>
        </w:rPr>
        <w:t xml:space="preserve">( </w:t>
      </w:r>
      <w:r>
        <w:rPr>
          <w:w w:val="110"/>
        </w:rPr>
        <w:t>五</w:t>
      </w:r>
      <w:r>
        <w:rPr>
          <w:rFonts w:hint="eastAsia" w:ascii="MS UI Gothic" w:eastAsia="MS UI Gothic"/>
          <w:w w:val="130"/>
        </w:rPr>
        <w:t xml:space="preserve">) </w:t>
      </w:r>
      <w:r>
        <w:rPr>
          <w:w w:val="110"/>
        </w:rPr>
        <w:t>服务收入</w:t>
      </w:r>
      <w:r>
        <w:rPr>
          <w:rFonts w:hint="eastAsia" w:ascii="MS UI Gothic" w:eastAsia="MS UI Gothic"/>
          <w:w w:val="80"/>
        </w:rPr>
        <w:t xml:space="preserve">、 </w:t>
      </w:r>
      <w:r>
        <w:rPr>
          <w:w w:val="110"/>
        </w:rPr>
        <w:t>报酬无法计算的</w:t>
      </w:r>
      <w:r>
        <w:rPr>
          <w:rFonts w:hint="eastAsia" w:ascii="MS UI Gothic" w:eastAsia="MS UI Gothic"/>
          <w:w w:val="80"/>
        </w:rPr>
        <w:t>ꎬ</w:t>
      </w:r>
    </w:p>
    <w:p>
      <w:pPr>
        <w:pStyle w:val="6"/>
        <w:spacing w:before="124" w:line="295" w:lineRule="auto"/>
        <w:ind w:left="377" w:right="126" w:firstLine="0"/>
        <w:jc w:val="left"/>
        <w:rPr>
          <w:rFonts w:hint="eastAsia" w:ascii="MS UI Gothic" w:eastAsia="MS UI Gothic"/>
        </w:rPr>
      </w:pPr>
      <w:r>
        <w:br w:type="column"/>
      </w:r>
      <w:r>
        <w:t>按照当地同行业同种服务的平均收入或者</w:t>
      </w:r>
      <w:r>
        <w:rPr>
          <w:w w:val="105"/>
        </w:rPr>
        <w:t>报酬计算</w:t>
      </w:r>
      <w:r>
        <w:rPr>
          <w:rFonts w:hint="eastAsia" w:ascii="MS UI Gothic" w:eastAsia="MS UI Gothic"/>
          <w:w w:val="80"/>
        </w:rPr>
        <w:t>ꎮ</w:t>
      </w:r>
    </w:p>
    <w:p>
      <w:pPr>
        <w:pStyle w:val="6"/>
        <w:spacing w:line="295" w:lineRule="auto"/>
        <w:ind w:left="377" w:right="126"/>
        <w:rPr>
          <w:rFonts w:hint="eastAsia" w:ascii="MS UI Gothic" w:eastAsia="MS UI Gothic"/>
        </w:rPr>
      </w:pPr>
      <w:r>
        <w:rPr>
          <w:w w:val="105"/>
        </w:rPr>
        <w:t>第五十八条 行政处罚决定依法作出</w:t>
      </w:r>
      <w:r>
        <w:t>后</w:t>
      </w:r>
      <w:r>
        <w:rPr>
          <w:rFonts w:hint="eastAsia" w:ascii="MS UI Gothic" w:eastAsia="MS UI Gothic"/>
          <w:w w:val="80"/>
        </w:rPr>
        <w:t xml:space="preserve">ꎬ </w:t>
      </w:r>
      <w:r>
        <w:t>当事人应当在行政处罚决定的期限内</w:t>
      </w:r>
      <w:r>
        <w:rPr>
          <w:rFonts w:hint="eastAsia" w:ascii="MS UI Gothic" w:eastAsia="MS UI Gothic"/>
          <w:w w:val="80"/>
        </w:rPr>
        <w:t xml:space="preserve">ꎬ </w:t>
      </w:r>
      <w:r>
        <w:t>予以履行</w:t>
      </w:r>
      <w:r>
        <w:rPr>
          <w:rFonts w:hint="eastAsia" w:ascii="MS UI Gothic" w:eastAsia="MS UI Gothic"/>
          <w:w w:val="80"/>
        </w:rPr>
        <w:t xml:space="preserve">ꎻ </w:t>
      </w:r>
      <w:r>
        <w:t>当事人逾期不履的</w:t>
      </w:r>
      <w:r>
        <w:rPr>
          <w:rFonts w:hint="eastAsia" w:ascii="MS UI Gothic" w:eastAsia="MS UI Gothic"/>
          <w:w w:val="80"/>
        </w:rPr>
        <w:t xml:space="preserve">ꎬ </w:t>
      </w:r>
      <w:r>
        <w:t>作出行政处罚决定的安全监管监察部门可以采</w:t>
      </w:r>
      <w:r>
        <w:rPr>
          <w:w w:val="105"/>
        </w:rPr>
        <w:t>取下列措施</w:t>
      </w:r>
      <w:r>
        <w:rPr>
          <w:rFonts w:hint="eastAsia" w:ascii="MS UI Gothic" w:eastAsia="MS UI Gothic"/>
          <w:w w:val="235"/>
        </w:rPr>
        <w:t>:</w:t>
      </w:r>
    </w:p>
    <w:p>
      <w:pPr>
        <w:pStyle w:val="6"/>
        <w:spacing w:line="295" w:lineRule="auto"/>
        <w:ind w:left="377" w:right="126"/>
        <w:rPr>
          <w:rFonts w:hint="eastAsia" w:ascii="MS UI Gothic" w:eastAsia="MS UI Gothic"/>
        </w:rPr>
      </w:pPr>
      <w:r>
        <w:rPr>
          <w:rFonts w:hint="eastAsia" w:ascii="MS UI Gothic" w:eastAsia="MS UI Gothic"/>
          <w:w w:val="145"/>
        </w:rPr>
        <w:t xml:space="preserve">( </w:t>
      </w:r>
      <w:r>
        <w:rPr>
          <w:w w:val="105"/>
        </w:rPr>
        <w:t>一</w:t>
      </w:r>
      <w:r>
        <w:rPr>
          <w:rFonts w:hint="eastAsia" w:ascii="MS UI Gothic" w:eastAsia="MS UI Gothic"/>
          <w:w w:val="145"/>
        </w:rPr>
        <w:t xml:space="preserve">) </w:t>
      </w:r>
      <w:r>
        <w:rPr>
          <w:w w:val="105"/>
        </w:rPr>
        <w:t>到期不缴纳罚款的</w:t>
      </w:r>
      <w:r>
        <w:rPr>
          <w:rFonts w:hint="eastAsia" w:ascii="MS UI Gothic" w:eastAsia="MS UI Gothic"/>
          <w:w w:val="85"/>
        </w:rPr>
        <w:t xml:space="preserve">ꎬ </w:t>
      </w:r>
      <w:r>
        <w:rPr>
          <w:w w:val="105"/>
        </w:rPr>
        <w:t xml:space="preserve">每日按罚款数额的 </w:t>
      </w:r>
      <w:r>
        <w:rPr>
          <w:rFonts w:hint="eastAsia" w:ascii="MS UI Gothic" w:eastAsia="MS UI Gothic"/>
          <w:w w:val="85"/>
        </w:rPr>
        <w:t>３</w:t>
      </w:r>
      <w:r>
        <w:rPr>
          <w:w w:val="85"/>
        </w:rPr>
        <w:t xml:space="preserve">％ </w:t>
      </w:r>
      <w:r>
        <w:rPr>
          <w:w w:val="105"/>
        </w:rPr>
        <w:t>加处罚款</w:t>
      </w:r>
      <w:r>
        <w:rPr>
          <w:rFonts w:hint="eastAsia" w:ascii="MS UI Gothic" w:eastAsia="MS UI Gothic"/>
          <w:w w:val="85"/>
        </w:rPr>
        <w:t>ꎻ</w:t>
      </w:r>
    </w:p>
    <w:p>
      <w:pPr>
        <w:pStyle w:val="6"/>
        <w:spacing w:line="295" w:lineRule="auto"/>
        <w:ind w:left="377"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根据法律规定</w:t>
      </w:r>
      <w:r>
        <w:rPr>
          <w:rFonts w:hint="eastAsia" w:ascii="MS UI Gothic" w:eastAsia="MS UI Gothic"/>
          <w:w w:val="80"/>
        </w:rPr>
        <w:t xml:space="preserve">ꎬ </w:t>
      </w:r>
      <w:r>
        <w:rPr>
          <w:w w:val="105"/>
        </w:rPr>
        <w:t>将查封</w:t>
      </w:r>
      <w:r>
        <w:rPr>
          <w:rFonts w:hint="eastAsia" w:ascii="MS UI Gothic" w:eastAsia="MS UI Gothic"/>
          <w:w w:val="80"/>
        </w:rPr>
        <w:t xml:space="preserve">、 </w:t>
      </w:r>
      <w:r>
        <w:rPr>
          <w:w w:val="105"/>
        </w:rPr>
        <w:t>扣押的设施</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器材拍卖所得价款抵缴罚款</w:t>
      </w:r>
      <w:r>
        <w:rPr>
          <w:rFonts w:hint="eastAsia" w:ascii="MS UI Gothic" w:eastAsia="MS UI Gothic"/>
          <w:w w:val="80"/>
        </w:rPr>
        <w:t>ꎻ</w:t>
      </w:r>
    </w:p>
    <w:p>
      <w:pPr>
        <w:pStyle w:val="6"/>
        <w:spacing w:line="254" w:lineRule="exact"/>
        <w:ind w:left="796"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申请人民法院强制执行</w:t>
      </w:r>
      <w:r>
        <w:rPr>
          <w:rFonts w:hint="eastAsia" w:ascii="MS UI Gothic" w:eastAsia="MS UI Gothic"/>
          <w:w w:val="80"/>
        </w:rPr>
        <w:t>ꎮ</w:t>
      </w:r>
    </w:p>
    <w:p>
      <w:pPr>
        <w:pStyle w:val="6"/>
        <w:spacing w:before="51" w:line="295" w:lineRule="auto"/>
        <w:ind w:left="377" w:right="126"/>
        <w:rPr>
          <w:rFonts w:hint="eastAsia" w:ascii="MS UI Gothic" w:eastAsia="MS UI Gothic"/>
        </w:rPr>
      </w:pPr>
      <w:r>
        <w:t>当事人对行政处罚决定不服申请行政复议或者提起行政诉讼的</w:t>
      </w:r>
      <w:r>
        <w:rPr>
          <w:rFonts w:hint="eastAsia" w:ascii="MS UI Gothic" w:eastAsia="MS UI Gothic"/>
          <w:w w:val="80"/>
        </w:rPr>
        <w:t xml:space="preserve">ꎬ </w:t>
      </w:r>
      <w:r>
        <w:t>行政处罚不停止执行</w:t>
      </w:r>
      <w:r>
        <w:rPr>
          <w:rFonts w:hint="eastAsia" w:ascii="MS UI Gothic" w:eastAsia="MS UI Gothic"/>
          <w:w w:val="80"/>
        </w:rPr>
        <w:t xml:space="preserve">ꎬ </w:t>
      </w:r>
      <w:r>
        <w:t>法律另有规定的除外</w:t>
      </w:r>
      <w:r>
        <w:rPr>
          <w:rFonts w:hint="eastAsia" w:ascii="MS UI Gothic" w:eastAsia="MS UI Gothic"/>
          <w:w w:val="80"/>
        </w:rPr>
        <w:t>ꎮ</w:t>
      </w:r>
    </w:p>
    <w:p>
      <w:pPr>
        <w:pStyle w:val="6"/>
        <w:spacing w:line="295" w:lineRule="auto"/>
        <w:ind w:left="377" w:right="124"/>
        <w:rPr>
          <w:rFonts w:hint="eastAsia" w:ascii="MS UI Gothic" w:eastAsia="MS UI Gothic"/>
        </w:rPr>
      </w:pPr>
      <w:r>
        <w:t>第五十九条 安全生产行政执法人员当场收缴罚款的</w:t>
      </w:r>
      <w:r>
        <w:rPr>
          <w:rFonts w:hint="eastAsia" w:ascii="MS UI Gothic" w:eastAsia="MS UI Gothic"/>
          <w:w w:val="80"/>
        </w:rPr>
        <w:t xml:space="preserve">ꎬ </w:t>
      </w:r>
      <w:r>
        <w:t>应当出具省</w:t>
      </w:r>
      <w:r>
        <w:rPr>
          <w:rFonts w:hint="eastAsia" w:ascii="MS UI Gothic" w:eastAsia="MS UI Gothic"/>
          <w:w w:val="80"/>
        </w:rPr>
        <w:t xml:space="preserve">、 </w:t>
      </w:r>
      <w:r>
        <w:t>自治区</w:t>
      </w:r>
      <w:r>
        <w:rPr>
          <w:rFonts w:hint="eastAsia" w:ascii="MS UI Gothic" w:eastAsia="MS UI Gothic"/>
          <w:w w:val="80"/>
        </w:rPr>
        <w:t>、</w:t>
      </w:r>
      <w:r>
        <w:t>直辖市财政部门统一制发的罚款收据</w:t>
      </w:r>
      <w:r>
        <w:rPr>
          <w:rFonts w:hint="eastAsia" w:ascii="MS UI Gothic" w:eastAsia="MS UI Gothic"/>
          <w:w w:val="80"/>
        </w:rPr>
        <w:t xml:space="preserve">ꎻ </w:t>
      </w:r>
      <w:r>
        <w:t>当场收缴的罚款</w:t>
      </w:r>
      <w:r>
        <w:rPr>
          <w:rFonts w:hint="eastAsia" w:ascii="MS UI Gothic" w:eastAsia="MS UI Gothic"/>
          <w:w w:val="80"/>
        </w:rPr>
        <w:t xml:space="preserve">ꎬ </w:t>
      </w:r>
      <w:r>
        <w:t xml:space="preserve">应当自收缴罚款之日起 </w:t>
      </w:r>
      <w:r>
        <w:rPr>
          <w:rFonts w:hint="eastAsia" w:ascii="MS UI Gothic" w:eastAsia="MS UI Gothic"/>
          <w:w w:val="80"/>
        </w:rPr>
        <w:t xml:space="preserve">２ </w:t>
      </w:r>
      <w:r>
        <w:t>日内</w:t>
      </w:r>
      <w:r>
        <w:rPr>
          <w:rFonts w:hint="eastAsia" w:ascii="MS UI Gothic" w:eastAsia="MS UI Gothic"/>
          <w:w w:val="80"/>
        </w:rPr>
        <w:t xml:space="preserve">ꎬ </w:t>
      </w:r>
      <w:r>
        <w:t>交至所属安全监管监察部门</w:t>
      </w:r>
      <w:r>
        <w:rPr>
          <w:rFonts w:hint="eastAsia" w:ascii="MS UI Gothic" w:eastAsia="MS UI Gothic"/>
          <w:w w:val="80"/>
        </w:rPr>
        <w:t xml:space="preserve">ꎻ </w:t>
      </w:r>
      <w:r>
        <w:t xml:space="preserve">安全监管监察部门应当在 </w:t>
      </w:r>
      <w:r>
        <w:rPr>
          <w:rFonts w:hint="eastAsia" w:ascii="MS UI Gothic" w:eastAsia="MS UI Gothic"/>
          <w:w w:val="80"/>
        </w:rPr>
        <w:t xml:space="preserve">２  </w:t>
      </w:r>
      <w:r>
        <w:t>日内将罚款缴付指定的银行</w:t>
      </w:r>
      <w:r>
        <w:rPr>
          <w:rFonts w:hint="eastAsia" w:ascii="MS UI Gothic" w:eastAsia="MS UI Gothic"/>
          <w:w w:val="80"/>
        </w:rPr>
        <w:t>ꎮ</w:t>
      </w:r>
    </w:p>
    <w:p>
      <w:pPr>
        <w:pStyle w:val="6"/>
        <w:spacing w:line="295" w:lineRule="auto"/>
        <w:ind w:left="377" w:right="124"/>
        <w:rPr>
          <w:rFonts w:hint="eastAsia" w:ascii="MS UI Gothic" w:eastAsia="MS UI Gothic"/>
        </w:rPr>
      </w:pPr>
      <w:r>
        <w:rPr>
          <w:spacing w:val="4"/>
        </w:rPr>
        <w:t>第六十条 除依法应当予以销毁的物</w:t>
      </w:r>
      <w:r>
        <w:rPr>
          <w:spacing w:val="3"/>
        </w:rPr>
        <w:t>品外</w:t>
      </w:r>
      <w:r>
        <w:rPr>
          <w:rFonts w:hint="eastAsia" w:ascii="MS UI Gothic" w:eastAsia="MS UI Gothic"/>
          <w:spacing w:val="7"/>
          <w:w w:val="80"/>
        </w:rPr>
        <w:t xml:space="preserve">ꎬ </w:t>
      </w:r>
      <w:r>
        <w:rPr>
          <w:spacing w:val="11"/>
        </w:rPr>
        <w:t>需要将查封</w:t>
      </w:r>
      <w:r>
        <w:rPr>
          <w:rFonts w:hint="eastAsia" w:ascii="MS UI Gothic" w:eastAsia="MS UI Gothic"/>
          <w:spacing w:val="9"/>
          <w:w w:val="80"/>
        </w:rPr>
        <w:t xml:space="preserve">、 </w:t>
      </w:r>
      <w:r>
        <w:rPr>
          <w:spacing w:val="11"/>
        </w:rPr>
        <w:t>扣押的设施</w:t>
      </w:r>
      <w:r>
        <w:rPr>
          <w:rFonts w:hint="eastAsia" w:ascii="MS UI Gothic" w:eastAsia="MS UI Gothic"/>
          <w:spacing w:val="10"/>
          <w:w w:val="80"/>
        </w:rPr>
        <w:t xml:space="preserve">、 </w:t>
      </w:r>
      <w:r>
        <w:rPr>
          <w:spacing w:val="9"/>
        </w:rPr>
        <w:t>设备</w:t>
      </w:r>
      <w:r>
        <w:rPr>
          <w:rFonts w:hint="eastAsia" w:ascii="MS UI Gothic" w:eastAsia="MS UI Gothic"/>
          <w:w w:val="80"/>
        </w:rPr>
        <w:t>、</w:t>
      </w:r>
      <w:r>
        <w:rPr>
          <w:spacing w:val="3"/>
        </w:rPr>
        <w:t>器材拍卖抵缴罚款的</w:t>
      </w:r>
      <w:r>
        <w:rPr>
          <w:rFonts w:hint="eastAsia" w:ascii="MS UI Gothic" w:eastAsia="MS UI Gothic"/>
          <w:spacing w:val="19"/>
          <w:w w:val="80"/>
        </w:rPr>
        <w:t xml:space="preserve">ꎬ </w:t>
      </w:r>
      <w:r>
        <w:rPr>
          <w:spacing w:val="2"/>
        </w:rPr>
        <w:t>依照法律或者国家</w:t>
      </w:r>
      <w:r>
        <w:rPr>
          <w:spacing w:val="3"/>
        </w:rPr>
        <w:t>有关规定处理</w:t>
      </w:r>
      <w:r>
        <w:rPr>
          <w:rFonts w:hint="eastAsia" w:ascii="MS UI Gothic" w:eastAsia="MS UI Gothic"/>
          <w:spacing w:val="23"/>
          <w:w w:val="80"/>
        </w:rPr>
        <w:t xml:space="preserve">ꎮ </w:t>
      </w:r>
      <w:r>
        <w:rPr>
          <w:spacing w:val="3"/>
        </w:rPr>
        <w:t>销毁物品</w:t>
      </w:r>
      <w:r>
        <w:rPr>
          <w:rFonts w:hint="eastAsia" w:ascii="MS UI Gothic" w:eastAsia="MS UI Gothic"/>
          <w:spacing w:val="23"/>
          <w:w w:val="80"/>
        </w:rPr>
        <w:t xml:space="preserve">ꎬ </w:t>
      </w:r>
      <w:r>
        <w:rPr>
          <w:spacing w:val="2"/>
        </w:rPr>
        <w:t>依照国家有关</w:t>
      </w:r>
      <w:r>
        <w:rPr>
          <w:spacing w:val="3"/>
        </w:rPr>
        <w:t>规定处理</w:t>
      </w:r>
      <w:r>
        <w:rPr>
          <w:rFonts w:hint="eastAsia" w:ascii="MS UI Gothic" w:eastAsia="MS UI Gothic"/>
          <w:spacing w:val="23"/>
          <w:w w:val="80"/>
        </w:rPr>
        <w:t xml:space="preserve">ꎻ </w:t>
      </w:r>
      <w:r>
        <w:rPr>
          <w:spacing w:val="3"/>
        </w:rPr>
        <w:t>没有规定的</w:t>
      </w:r>
      <w:r>
        <w:rPr>
          <w:rFonts w:hint="eastAsia" w:ascii="MS UI Gothic" w:eastAsia="MS UI Gothic"/>
          <w:spacing w:val="23"/>
          <w:w w:val="80"/>
        </w:rPr>
        <w:t xml:space="preserve">ꎬ </w:t>
      </w:r>
      <w:r>
        <w:rPr>
          <w:spacing w:val="2"/>
        </w:rPr>
        <w:t>经县级以上安全</w:t>
      </w:r>
      <w:r>
        <w:rPr>
          <w:spacing w:val="3"/>
        </w:rPr>
        <w:t>监管监察部门负责人批准</w:t>
      </w:r>
      <w:r>
        <w:rPr>
          <w:rFonts w:hint="eastAsia" w:ascii="MS UI Gothic" w:eastAsia="MS UI Gothic"/>
          <w:spacing w:val="19"/>
          <w:w w:val="80"/>
        </w:rPr>
        <w:t xml:space="preserve">ꎬ </w:t>
      </w:r>
      <w:r>
        <w:rPr>
          <w:spacing w:val="2"/>
        </w:rPr>
        <w:t>由两名以上安</w:t>
      </w:r>
      <w:r>
        <w:rPr>
          <w:spacing w:val="3"/>
        </w:rPr>
        <w:t>全生产行政执法人员监督销毁</w:t>
      </w:r>
      <w:r>
        <w:rPr>
          <w:rFonts w:hint="eastAsia" w:ascii="MS UI Gothic" w:eastAsia="MS UI Gothic"/>
          <w:spacing w:val="19"/>
          <w:w w:val="80"/>
        </w:rPr>
        <w:t xml:space="preserve">ꎬ </w:t>
      </w:r>
      <w:r>
        <w:rPr>
          <w:spacing w:val="2"/>
        </w:rPr>
        <w:t>并制作销</w:t>
      </w:r>
      <w:r>
        <w:rPr>
          <w:spacing w:val="3"/>
        </w:rPr>
        <w:t>毁记录</w:t>
      </w:r>
      <w:r>
        <w:rPr>
          <w:rFonts w:hint="eastAsia" w:ascii="MS UI Gothic" w:eastAsia="MS UI Gothic"/>
          <w:spacing w:val="21"/>
          <w:w w:val="80"/>
        </w:rPr>
        <w:t xml:space="preserve">ꎮ </w:t>
      </w:r>
      <w:r>
        <w:rPr>
          <w:spacing w:val="3"/>
        </w:rPr>
        <w:t>处理物品</w:t>
      </w:r>
      <w:r>
        <w:rPr>
          <w:rFonts w:hint="eastAsia" w:ascii="MS UI Gothic" w:eastAsia="MS UI Gothic"/>
          <w:spacing w:val="22"/>
          <w:w w:val="80"/>
        </w:rPr>
        <w:t xml:space="preserve">ꎬ </w:t>
      </w:r>
      <w:r>
        <w:rPr>
          <w:spacing w:val="3"/>
        </w:rPr>
        <w:t>应当制作清单</w:t>
      </w:r>
      <w:r>
        <w:rPr>
          <w:rFonts w:hint="eastAsia" w:ascii="MS UI Gothic" w:eastAsia="MS UI Gothic"/>
          <w:w w:val="80"/>
        </w:rPr>
        <w:t>ꎮ</w:t>
      </w:r>
    </w:p>
    <w:p>
      <w:pPr>
        <w:pStyle w:val="6"/>
        <w:spacing w:line="295" w:lineRule="auto"/>
        <w:ind w:left="377" w:right="126"/>
        <w:rPr>
          <w:rFonts w:hint="eastAsia" w:ascii="MS UI Gothic" w:eastAsia="MS UI Gothic"/>
        </w:rPr>
      </w:pPr>
      <w:r>
        <w:rPr>
          <w:spacing w:val="8"/>
        </w:rPr>
        <w:t>第六十一条 罚款</w:t>
      </w:r>
      <w:r>
        <w:rPr>
          <w:rFonts w:hint="eastAsia" w:ascii="MS UI Gothic" w:eastAsia="MS UI Gothic"/>
          <w:spacing w:val="16"/>
          <w:w w:val="80"/>
        </w:rPr>
        <w:t xml:space="preserve">、 </w:t>
      </w:r>
      <w:r>
        <w:rPr>
          <w:spacing w:val="2"/>
        </w:rPr>
        <w:t>没收违法所得的</w:t>
      </w:r>
      <w:r>
        <w:rPr>
          <w:spacing w:val="3"/>
        </w:rPr>
        <w:t>款项和没收非法开采的煤炭产品</w:t>
      </w:r>
      <w:r>
        <w:rPr>
          <w:rFonts w:hint="eastAsia" w:ascii="MS UI Gothic" w:eastAsia="MS UI Gothic"/>
          <w:spacing w:val="17"/>
          <w:w w:val="80"/>
        </w:rPr>
        <w:t xml:space="preserve">、 </w:t>
      </w:r>
      <w:r>
        <w:rPr>
          <w:spacing w:val="1"/>
        </w:rPr>
        <w:t>采掘设</w:t>
      </w:r>
      <w:r>
        <w:rPr>
          <w:spacing w:val="3"/>
        </w:rPr>
        <w:t>备</w:t>
      </w:r>
      <w:r>
        <w:rPr>
          <w:rFonts w:hint="eastAsia" w:ascii="MS UI Gothic" w:eastAsia="MS UI Gothic"/>
          <w:spacing w:val="23"/>
          <w:w w:val="80"/>
        </w:rPr>
        <w:t xml:space="preserve">ꎬ </w:t>
      </w:r>
      <w:r>
        <w:rPr>
          <w:spacing w:val="3"/>
        </w:rPr>
        <w:t>必须按照有关规定上缴</w:t>
      </w:r>
      <w:r>
        <w:rPr>
          <w:rFonts w:hint="eastAsia" w:ascii="MS UI Gothic" w:eastAsia="MS UI Gothic"/>
          <w:spacing w:val="23"/>
          <w:w w:val="80"/>
        </w:rPr>
        <w:t xml:space="preserve">ꎬ </w:t>
      </w:r>
      <w:r>
        <w:rPr>
          <w:spacing w:val="2"/>
        </w:rPr>
        <w:t>任何单位和</w:t>
      </w:r>
      <w:r>
        <w:rPr>
          <w:spacing w:val="3"/>
        </w:rPr>
        <w:t>个人不得截留</w:t>
      </w:r>
      <w:r>
        <w:rPr>
          <w:rFonts w:hint="eastAsia" w:ascii="MS UI Gothic" w:eastAsia="MS UI Gothic"/>
          <w:spacing w:val="5"/>
          <w:w w:val="80"/>
        </w:rPr>
        <w:t xml:space="preserve">、 </w:t>
      </w:r>
      <w:r>
        <w:rPr>
          <w:spacing w:val="3"/>
        </w:rPr>
        <w:t>私分或者变相私分</w:t>
      </w:r>
      <w:r>
        <w:rPr>
          <w:rFonts w:hint="eastAsia" w:ascii="MS UI Gothic" w:eastAsia="MS UI Gothic"/>
          <w:w w:val="80"/>
        </w:rPr>
        <w:t>ꎮ</w:t>
      </w:r>
    </w:p>
    <w:p>
      <w:pPr>
        <w:pStyle w:val="6"/>
        <w:spacing w:line="295" w:lineRule="auto"/>
        <w:ind w:left="377" w:right="126"/>
      </w:pPr>
      <w:r>
        <w:t xml:space="preserve">第六十二条 县级安全生产监督管理部门处以 </w:t>
      </w:r>
      <w:r>
        <w:rPr>
          <w:rFonts w:hint="eastAsia" w:ascii="MS UI Gothic" w:eastAsia="MS UI Gothic"/>
        </w:rPr>
        <w:t xml:space="preserve">２ </w:t>
      </w:r>
      <w:r>
        <w:t>万元以上罚款</w:t>
      </w:r>
      <w:r>
        <w:rPr>
          <w:rFonts w:hint="eastAsia" w:ascii="MS UI Gothic" w:eastAsia="MS UI Gothic"/>
        </w:rPr>
        <w:t xml:space="preserve">、 </w:t>
      </w:r>
      <w:r>
        <w:t>没收违法所得</w:t>
      </w:r>
      <w:r>
        <w:rPr>
          <w:rFonts w:hint="eastAsia" w:ascii="MS UI Gothic" w:eastAsia="MS UI Gothic"/>
        </w:rPr>
        <w:t xml:space="preserve">、 </w:t>
      </w:r>
      <w:r>
        <w:t xml:space="preserve">没收非法生产的煤炭产品或者采掘设备价值 </w:t>
      </w:r>
      <w:r>
        <w:rPr>
          <w:rFonts w:hint="eastAsia" w:ascii="MS UI Gothic" w:eastAsia="MS UI Gothic"/>
        </w:rPr>
        <w:t xml:space="preserve">２ </w:t>
      </w:r>
      <w:r>
        <w:t>万元以上</w:t>
      </w:r>
      <w:r>
        <w:rPr>
          <w:rFonts w:hint="eastAsia" w:ascii="MS UI Gothic" w:eastAsia="MS UI Gothic"/>
        </w:rPr>
        <w:t xml:space="preserve">、 </w:t>
      </w:r>
      <w:r>
        <w:t>责令停产停业</w:t>
      </w:r>
      <w:r>
        <w:rPr>
          <w:rFonts w:hint="eastAsia" w:ascii="MS UI Gothic" w:eastAsia="MS UI Gothic"/>
        </w:rPr>
        <w:t xml:space="preserve">、 </w:t>
      </w:r>
      <w:r>
        <w:t>停止</w:t>
      </w:r>
    </w:p>
    <w:p>
      <w:pPr>
        <w:spacing w:after="0" w:line="295" w:lineRule="auto"/>
        <w:sectPr>
          <w:type w:val="continuous"/>
          <w:pgSz w:w="10500" w:h="14750"/>
          <w:pgMar w:top="1400" w:right="980" w:bottom="280" w:left="980" w:header="720" w:footer="720" w:gutter="0"/>
          <w:cols w:equalWidth="0" w:num="2">
            <w:col w:w="4216" w:space="40"/>
            <w:col w:w="4284"/>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１３６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49" o:spid="_x0000_s1449" o:spt="203" style="height:2.15pt;width:398.25pt;" coordsize="7965,43">
            <o:lock v:ext="edit"/>
            <v:line id="_x0000_s1450" o:spid="_x0000_s1450" o:spt="20" style="position:absolute;left:0;top:39;height:0;width:7965;" stroked="t" coordsize="21600,21600">
              <v:path arrowok="t"/>
              <v:fill focussize="0,0"/>
              <v:stroke weight="0.388031496062992pt" color="#231F20"/>
              <v:imagedata o:title=""/>
              <o:lock v:ext="edit"/>
            </v:line>
            <v:line id="_x0000_s1451" o:spid="_x0000_s145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建设</w:t>
      </w:r>
      <w:r>
        <w:rPr>
          <w:rFonts w:hint="eastAsia" w:ascii="MS UI Gothic" w:eastAsia="MS UI Gothic"/>
        </w:rPr>
        <w:t xml:space="preserve">、 </w:t>
      </w:r>
      <w:r>
        <w:t>停止施工</w:t>
      </w:r>
      <w:r>
        <w:rPr>
          <w:rFonts w:hint="eastAsia" w:ascii="MS UI Gothic" w:eastAsia="MS UI Gothic"/>
        </w:rPr>
        <w:t xml:space="preserve">、 </w:t>
      </w:r>
      <w:r>
        <w:t>停产停业整顿</w:t>
      </w:r>
      <w:r>
        <w:rPr>
          <w:rFonts w:hint="eastAsia" w:ascii="MS UI Gothic" w:eastAsia="MS UI Gothic"/>
        </w:rPr>
        <w:t xml:space="preserve">、 </w:t>
      </w:r>
      <w:r>
        <w:t>撤销有关资格</w:t>
      </w:r>
      <w:r>
        <w:rPr>
          <w:rFonts w:hint="eastAsia" w:ascii="MS UI Gothic" w:eastAsia="MS UI Gothic"/>
        </w:rPr>
        <w:t xml:space="preserve">、 </w:t>
      </w:r>
      <w:r>
        <w:t>岗位证书或者吊销有关许可证的行政处罚的</w:t>
      </w:r>
      <w:r>
        <w:rPr>
          <w:rFonts w:hint="eastAsia" w:ascii="MS UI Gothic" w:eastAsia="MS UI Gothic"/>
          <w:w w:val="85"/>
        </w:rPr>
        <w:t xml:space="preserve">ꎬ </w:t>
      </w:r>
      <w:r>
        <w:t xml:space="preserve">应当自作出行政处罚决定之日起 </w:t>
      </w:r>
      <w:r>
        <w:rPr>
          <w:rFonts w:hint="eastAsia" w:ascii="MS UI Gothic" w:eastAsia="MS UI Gothic"/>
          <w:w w:val="85"/>
        </w:rPr>
        <w:t xml:space="preserve">１０ </w:t>
      </w:r>
      <w:r>
        <w:t>日内报设区的市级安全生产监督管理部门备案</w:t>
      </w:r>
      <w:r>
        <w:rPr>
          <w:rFonts w:hint="eastAsia" w:ascii="MS UI Gothic" w:eastAsia="MS UI Gothic"/>
          <w:w w:val="85"/>
        </w:rPr>
        <w:t>ꎮ</w:t>
      </w:r>
    </w:p>
    <w:p>
      <w:pPr>
        <w:pStyle w:val="6"/>
        <w:spacing w:line="295" w:lineRule="auto"/>
        <w:ind w:right="38"/>
        <w:rPr>
          <w:rFonts w:hint="eastAsia" w:ascii="MS UI Gothic" w:eastAsia="MS UI Gothic"/>
        </w:rPr>
      </w:pPr>
      <w:r>
        <w:rPr>
          <w:spacing w:val="4"/>
        </w:rPr>
        <w:t>第六十三条 设区的市级安全生产监</w:t>
      </w:r>
      <w:r>
        <w:rPr>
          <w:spacing w:val="3"/>
        </w:rPr>
        <w:t>督管理部门</w:t>
      </w:r>
      <w:r>
        <w:rPr>
          <w:rFonts w:hint="eastAsia" w:ascii="MS UI Gothic" w:eastAsia="MS UI Gothic"/>
          <w:spacing w:val="28"/>
        </w:rPr>
        <w:t xml:space="preserve">、 </w:t>
      </w:r>
      <w:r>
        <w:rPr>
          <w:spacing w:val="-3"/>
        </w:rPr>
        <w:t xml:space="preserve">煤矿安全监察分局处以 </w:t>
      </w:r>
      <w:r>
        <w:rPr>
          <w:rFonts w:hint="eastAsia" w:ascii="MS UI Gothic" w:eastAsia="MS UI Gothic"/>
          <w:spacing w:val="4"/>
        </w:rPr>
        <w:t xml:space="preserve">５ </w:t>
      </w:r>
      <w:r>
        <w:t>万</w:t>
      </w:r>
      <w:r>
        <w:rPr>
          <w:spacing w:val="3"/>
        </w:rPr>
        <w:t>元以上罚款</w:t>
      </w:r>
      <w:r>
        <w:rPr>
          <w:rFonts w:hint="eastAsia" w:ascii="MS UI Gothic" w:eastAsia="MS UI Gothic"/>
          <w:spacing w:val="29"/>
        </w:rPr>
        <w:t xml:space="preserve">、 </w:t>
      </w:r>
      <w:r>
        <w:rPr>
          <w:spacing w:val="3"/>
        </w:rPr>
        <w:t>没收违法所得</w:t>
      </w:r>
      <w:r>
        <w:rPr>
          <w:rFonts w:hint="eastAsia" w:ascii="MS UI Gothic" w:eastAsia="MS UI Gothic"/>
          <w:spacing w:val="29"/>
        </w:rPr>
        <w:t xml:space="preserve">、 </w:t>
      </w:r>
      <w:r>
        <w:rPr>
          <w:spacing w:val="2"/>
        </w:rPr>
        <w:t>没收非法生</w:t>
      </w:r>
      <w:r>
        <w:rPr>
          <w:spacing w:val="-1"/>
        </w:rPr>
        <w:t xml:space="preserve">产的煤炭产品或者采掘设备价值 </w:t>
      </w:r>
      <w:r>
        <w:rPr>
          <w:rFonts w:hint="eastAsia" w:ascii="MS UI Gothic" w:eastAsia="MS UI Gothic"/>
          <w:spacing w:val="13"/>
        </w:rPr>
        <w:t xml:space="preserve">５ </w:t>
      </w:r>
      <w:r>
        <w:rPr>
          <w:spacing w:val="3"/>
        </w:rPr>
        <w:t>万元以上</w:t>
      </w:r>
      <w:r>
        <w:rPr>
          <w:rFonts w:hint="eastAsia" w:ascii="MS UI Gothic" w:eastAsia="MS UI Gothic"/>
          <w:spacing w:val="21"/>
        </w:rPr>
        <w:t xml:space="preserve">、 </w:t>
      </w:r>
      <w:r>
        <w:rPr>
          <w:spacing w:val="16"/>
        </w:rPr>
        <w:t>责令停产停业</w:t>
      </w:r>
      <w:r>
        <w:rPr>
          <w:rFonts w:hint="eastAsia" w:ascii="MS UI Gothic" w:eastAsia="MS UI Gothic"/>
          <w:spacing w:val="26"/>
        </w:rPr>
        <w:t xml:space="preserve">、 </w:t>
      </w:r>
      <w:r>
        <w:rPr>
          <w:spacing w:val="18"/>
        </w:rPr>
        <w:t>停止建设</w:t>
      </w:r>
      <w:r>
        <w:rPr>
          <w:rFonts w:hint="eastAsia" w:ascii="MS UI Gothic" w:eastAsia="MS UI Gothic"/>
          <w:spacing w:val="28"/>
        </w:rPr>
        <w:t xml:space="preserve">、 </w:t>
      </w:r>
      <w:r>
        <w:rPr>
          <w:spacing w:val="16"/>
        </w:rPr>
        <w:t>停止施</w:t>
      </w:r>
      <w:r>
        <w:rPr>
          <w:spacing w:val="3"/>
        </w:rPr>
        <w:t>工</w:t>
      </w:r>
      <w:r>
        <w:rPr>
          <w:rFonts w:hint="eastAsia" w:ascii="MS UI Gothic" w:eastAsia="MS UI Gothic"/>
          <w:spacing w:val="21"/>
        </w:rPr>
        <w:t xml:space="preserve">、 </w:t>
      </w:r>
      <w:r>
        <w:rPr>
          <w:spacing w:val="3"/>
        </w:rPr>
        <w:t>停产停业整顿</w:t>
      </w:r>
      <w:r>
        <w:rPr>
          <w:rFonts w:hint="eastAsia" w:ascii="MS UI Gothic" w:eastAsia="MS UI Gothic"/>
          <w:spacing w:val="22"/>
        </w:rPr>
        <w:t xml:space="preserve">、 </w:t>
      </w:r>
      <w:r>
        <w:rPr>
          <w:spacing w:val="3"/>
        </w:rPr>
        <w:t>撤销有关资格</w:t>
      </w:r>
      <w:r>
        <w:rPr>
          <w:rFonts w:hint="eastAsia" w:ascii="MS UI Gothic" w:eastAsia="MS UI Gothic"/>
          <w:spacing w:val="22"/>
        </w:rPr>
        <w:t xml:space="preserve">、 </w:t>
      </w:r>
      <w:r>
        <w:rPr>
          <w:spacing w:val="1"/>
        </w:rPr>
        <w:t>岗位</w:t>
      </w:r>
      <w:r>
        <w:rPr>
          <w:spacing w:val="4"/>
        </w:rPr>
        <w:t>证书或者吊销有关许可证的行政处罚的</w:t>
      </w:r>
      <w:r>
        <w:rPr>
          <w:rFonts w:hint="eastAsia" w:ascii="MS UI Gothic" w:eastAsia="MS UI Gothic"/>
          <w:w w:val="85"/>
        </w:rPr>
        <w:t>ꎬ</w:t>
      </w:r>
      <w:r>
        <w:rPr>
          <w:spacing w:val="3"/>
        </w:rPr>
        <w:t xml:space="preserve">应当自作出行政处罚决定之日起 </w:t>
      </w:r>
      <w:r>
        <w:rPr>
          <w:rFonts w:hint="eastAsia" w:ascii="MS UI Gothic" w:eastAsia="MS UI Gothic"/>
          <w:spacing w:val="15"/>
          <w:w w:val="85"/>
        </w:rPr>
        <w:t xml:space="preserve">１０ </w:t>
      </w:r>
      <w:r>
        <w:rPr>
          <w:spacing w:val="6"/>
        </w:rPr>
        <w:t>日内</w:t>
      </w:r>
      <w:r>
        <w:rPr>
          <w:spacing w:val="3"/>
        </w:rPr>
        <w:t>报省级安全监管监察部门备案</w:t>
      </w:r>
      <w:r>
        <w:rPr>
          <w:rFonts w:hint="eastAsia" w:ascii="MS UI Gothic" w:eastAsia="MS UI Gothic"/>
          <w:w w:val="85"/>
        </w:rPr>
        <w:t>ꎮ</w:t>
      </w:r>
    </w:p>
    <w:p>
      <w:pPr>
        <w:pStyle w:val="6"/>
        <w:spacing w:line="295" w:lineRule="auto"/>
        <w:ind w:right="38"/>
        <w:rPr>
          <w:rFonts w:hint="eastAsia" w:ascii="MS UI Gothic" w:eastAsia="MS UI Gothic"/>
        </w:rPr>
      </w:pPr>
      <w:r>
        <w:rPr>
          <w:spacing w:val="4"/>
        </w:rPr>
        <w:t>第六十四条 省级安全监管监察部门</w:t>
      </w:r>
      <w:r>
        <w:rPr>
          <w:spacing w:val="-16"/>
        </w:rPr>
        <w:t xml:space="preserve">处以 </w:t>
      </w:r>
      <w:r>
        <w:rPr>
          <w:rFonts w:hint="eastAsia" w:ascii="MS UI Gothic" w:eastAsia="MS UI Gothic"/>
          <w:spacing w:val="9"/>
          <w:w w:val="85"/>
        </w:rPr>
        <w:t xml:space="preserve">１０ </w:t>
      </w:r>
      <w:r>
        <w:rPr>
          <w:spacing w:val="18"/>
        </w:rPr>
        <w:t>万元以上罚款</w:t>
      </w:r>
      <w:r>
        <w:rPr>
          <w:rFonts w:hint="eastAsia" w:ascii="MS UI Gothic" w:eastAsia="MS UI Gothic"/>
          <w:spacing w:val="26"/>
        </w:rPr>
        <w:t xml:space="preserve">、 </w:t>
      </w:r>
      <w:r>
        <w:rPr>
          <w:spacing w:val="18"/>
        </w:rPr>
        <w:t>没收违法所得</w:t>
      </w:r>
      <w:r>
        <w:rPr>
          <w:rFonts w:hint="eastAsia" w:ascii="MS UI Gothic" w:eastAsia="MS UI Gothic"/>
        </w:rPr>
        <w:t>、</w:t>
      </w:r>
      <w:r>
        <w:rPr>
          <w:spacing w:val="2"/>
        </w:rPr>
        <w:t>没收非法生产的煤炭产品或者采掘设备价</w:t>
      </w:r>
      <w:r>
        <w:rPr>
          <w:spacing w:val="-25"/>
        </w:rPr>
        <w:t xml:space="preserve">值 </w:t>
      </w:r>
      <w:r>
        <w:rPr>
          <w:rFonts w:hint="eastAsia" w:ascii="MS UI Gothic" w:eastAsia="MS UI Gothic"/>
          <w:spacing w:val="1"/>
          <w:w w:val="85"/>
        </w:rPr>
        <w:t xml:space="preserve">１０ </w:t>
      </w:r>
      <w:r>
        <w:rPr>
          <w:spacing w:val="10"/>
        </w:rPr>
        <w:t>万元以上</w:t>
      </w:r>
      <w:r>
        <w:rPr>
          <w:rFonts w:hint="eastAsia" w:ascii="MS UI Gothic" w:eastAsia="MS UI Gothic"/>
          <w:spacing w:val="24"/>
        </w:rPr>
        <w:t xml:space="preserve">、 </w:t>
      </w:r>
      <w:r>
        <w:rPr>
          <w:spacing w:val="11"/>
        </w:rPr>
        <w:t>责令停产停业</w:t>
      </w:r>
      <w:r>
        <w:rPr>
          <w:rFonts w:hint="eastAsia" w:ascii="MS UI Gothic" w:eastAsia="MS UI Gothic"/>
          <w:spacing w:val="24"/>
        </w:rPr>
        <w:t xml:space="preserve">、 </w:t>
      </w:r>
      <w:r>
        <w:rPr>
          <w:spacing w:val="8"/>
        </w:rPr>
        <w:t>停止建</w:t>
      </w:r>
      <w:r>
        <w:rPr>
          <w:spacing w:val="3"/>
        </w:rPr>
        <w:t>设</w:t>
      </w:r>
      <w:r>
        <w:rPr>
          <w:rFonts w:hint="eastAsia" w:ascii="MS UI Gothic" w:eastAsia="MS UI Gothic"/>
          <w:spacing w:val="21"/>
        </w:rPr>
        <w:t xml:space="preserve">、 </w:t>
      </w:r>
      <w:r>
        <w:rPr>
          <w:spacing w:val="3"/>
        </w:rPr>
        <w:t>停止施工</w:t>
      </w:r>
      <w:r>
        <w:rPr>
          <w:rFonts w:hint="eastAsia" w:ascii="MS UI Gothic" w:eastAsia="MS UI Gothic"/>
          <w:spacing w:val="22"/>
        </w:rPr>
        <w:t xml:space="preserve">、 </w:t>
      </w:r>
      <w:r>
        <w:rPr>
          <w:spacing w:val="3"/>
        </w:rPr>
        <w:t>停产停业整顿</w:t>
      </w:r>
      <w:r>
        <w:rPr>
          <w:rFonts w:hint="eastAsia" w:ascii="MS UI Gothic" w:eastAsia="MS UI Gothic"/>
          <w:spacing w:val="22"/>
        </w:rPr>
        <w:t xml:space="preserve">、 </w:t>
      </w:r>
      <w:r>
        <w:rPr>
          <w:spacing w:val="2"/>
        </w:rPr>
        <w:t>撤销有关</w:t>
      </w:r>
      <w:r>
        <w:rPr>
          <w:spacing w:val="3"/>
        </w:rPr>
        <w:t>资格</w:t>
      </w:r>
      <w:r>
        <w:rPr>
          <w:rFonts w:hint="eastAsia" w:ascii="MS UI Gothic" w:eastAsia="MS UI Gothic"/>
          <w:spacing w:val="20"/>
        </w:rPr>
        <w:t xml:space="preserve">、 </w:t>
      </w:r>
      <w:r>
        <w:rPr>
          <w:spacing w:val="2"/>
        </w:rPr>
        <w:t>岗位证书或者吊销有关许可证的行</w:t>
      </w:r>
      <w:r>
        <w:rPr>
          <w:spacing w:val="3"/>
        </w:rPr>
        <w:t>政处罚的</w:t>
      </w:r>
      <w:r>
        <w:rPr>
          <w:rFonts w:hint="eastAsia" w:ascii="MS UI Gothic" w:eastAsia="MS UI Gothic"/>
          <w:spacing w:val="13"/>
          <w:w w:val="85"/>
        </w:rPr>
        <w:t xml:space="preserve">ꎬ </w:t>
      </w:r>
      <w:r>
        <w:rPr>
          <w:spacing w:val="2"/>
        </w:rPr>
        <w:t>应当自作出行政处罚决定之日</w:t>
      </w:r>
      <w:r>
        <w:rPr>
          <w:spacing w:val="-11"/>
        </w:rPr>
        <w:t xml:space="preserve">起 </w:t>
      </w:r>
      <w:r>
        <w:rPr>
          <w:rFonts w:hint="eastAsia" w:ascii="MS UI Gothic" w:eastAsia="MS UI Gothic"/>
          <w:spacing w:val="12"/>
          <w:w w:val="85"/>
        </w:rPr>
        <w:t xml:space="preserve">１０ </w:t>
      </w:r>
      <w:r>
        <w:rPr>
          <w:spacing w:val="6"/>
        </w:rPr>
        <w:t>日内报国家安全生产监督管理总局</w:t>
      </w:r>
      <w:r>
        <w:rPr>
          <w:spacing w:val="3"/>
        </w:rPr>
        <w:t>或者国家煤矿安全监察局备案</w:t>
      </w:r>
      <w:r>
        <w:rPr>
          <w:rFonts w:hint="eastAsia" w:ascii="MS UI Gothic" w:eastAsia="MS UI Gothic"/>
          <w:w w:val="85"/>
        </w:rPr>
        <w:t>ꎮ</w:t>
      </w:r>
    </w:p>
    <w:p>
      <w:pPr>
        <w:pStyle w:val="6"/>
        <w:spacing w:line="295" w:lineRule="auto"/>
        <w:ind w:left="118" w:right="39" w:firstLine="425"/>
        <w:rPr>
          <w:rFonts w:hint="eastAsia" w:ascii="MS UI Gothic" w:eastAsia="MS UI Gothic"/>
        </w:rPr>
      </w:pPr>
      <w:r>
        <w:t>对上级安全监管监察部门交办案件给予行政处罚的</w:t>
      </w:r>
      <w:r>
        <w:rPr>
          <w:rFonts w:hint="eastAsia" w:ascii="MS UI Gothic" w:eastAsia="MS UI Gothic"/>
          <w:w w:val="85"/>
        </w:rPr>
        <w:t xml:space="preserve">ꎬ </w:t>
      </w:r>
      <w:r>
        <w:t>由决定行政处罚的安全监管监察部门自作出行政处罚决定之日起</w:t>
      </w:r>
      <w:r>
        <w:rPr>
          <w:rFonts w:hint="eastAsia" w:ascii="MS UI Gothic" w:eastAsia="MS UI Gothic"/>
          <w:w w:val="85"/>
        </w:rPr>
        <w:t xml:space="preserve">１０ </w:t>
      </w:r>
      <w:r>
        <w:t>日内报上级安全监管监察部门备案</w:t>
      </w:r>
      <w:r>
        <w:rPr>
          <w:rFonts w:hint="eastAsia" w:ascii="MS UI Gothic" w:eastAsia="MS UI Gothic"/>
          <w:w w:val="85"/>
        </w:rPr>
        <w:t>ꎮ</w:t>
      </w:r>
    </w:p>
    <w:p>
      <w:pPr>
        <w:pStyle w:val="6"/>
        <w:spacing w:before="123" w:line="295" w:lineRule="auto"/>
        <w:ind w:right="440"/>
        <w:rPr>
          <w:rFonts w:hint="eastAsia" w:ascii="MS UI Gothic" w:eastAsia="MS UI Gothic"/>
        </w:rPr>
      </w:pPr>
      <w:r>
        <w:br w:type="column"/>
      </w:r>
      <w:r>
        <w:t>第六十五条 行政处罚执行完毕后</w:t>
      </w:r>
      <w:r>
        <w:rPr>
          <w:rFonts w:hint="eastAsia" w:ascii="MS UI Gothic" w:eastAsia="MS UI Gothic"/>
          <w:w w:val="80"/>
        </w:rPr>
        <w:t>ꎬ</w:t>
      </w:r>
      <w:r>
        <w:t>案件材料应当按照有关规定立卷归档</w:t>
      </w:r>
      <w:r>
        <w:rPr>
          <w:rFonts w:hint="eastAsia" w:ascii="MS UI Gothic" w:eastAsia="MS UI Gothic"/>
          <w:w w:val="80"/>
        </w:rPr>
        <w:t>ꎮ</w:t>
      </w:r>
    </w:p>
    <w:p>
      <w:pPr>
        <w:pStyle w:val="6"/>
        <w:spacing w:line="295" w:lineRule="auto"/>
        <w:ind w:right="440"/>
        <w:rPr>
          <w:rFonts w:hint="eastAsia" w:ascii="MS UI Gothic" w:eastAsia="MS UI Gothic"/>
        </w:rPr>
      </w:pPr>
      <w:r>
        <w:t>案卷立案归档后</w:t>
      </w:r>
      <w:r>
        <w:rPr>
          <w:rFonts w:hint="eastAsia" w:ascii="MS UI Gothic" w:eastAsia="MS UI Gothic"/>
          <w:w w:val="80"/>
        </w:rPr>
        <w:t xml:space="preserve">ꎬ </w:t>
      </w:r>
      <w:r>
        <w:t>任何单位和个人不得擅自增加</w:t>
      </w:r>
      <w:r>
        <w:rPr>
          <w:rFonts w:hint="eastAsia" w:ascii="MS UI Gothic" w:eastAsia="MS UI Gothic"/>
          <w:w w:val="80"/>
        </w:rPr>
        <w:t xml:space="preserve">、 </w:t>
      </w:r>
      <w:r>
        <w:t>抽取</w:t>
      </w:r>
      <w:r>
        <w:rPr>
          <w:rFonts w:hint="eastAsia" w:ascii="MS UI Gothic" w:eastAsia="MS UI Gothic"/>
          <w:w w:val="80"/>
        </w:rPr>
        <w:t xml:space="preserve">、  </w:t>
      </w:r>
      <w:r>
        <w:t>涂改和销毁案卷材料</w:t>
      </w:r>
      <w:r>
        <w:rPr>
          <w:rFonts w:hint="eastAsia" w:ascii="MS UI Gothic" w:eastAsia="MS UI Gothic"/>
          <w:w w:val="80"/>
        </w:rPr>
        <w:t xml:space="preserve">ꎮ </w:t>
      </w:r>
      <w:r>
        <w:t>未经安全监管监察部门负责人批准</w:t>
      </w:r>
      <w:r>
        <w:rPr>
          <w:rFonts w:hint="eastAsia" w:ascii="MS UI Gothic" w:eastAsia="MS UI Gothic"/>
          <w:w w:val="80"/>
        </w:rPr>
        <w:t>ꎬ</w:t>
      </w:r>
      <w:r>
        <w:t>任何单位和个人不得借阅案卷</w:t>
      </w:r>
      <w:r>
        <w:rPr>
          <w:rFonts w:hint="eastAsia" w:ascii="MS UI Gothic" w:eastAsia="MS UI Gothic"/>
          <w:w w:val="80"/>
        </w:rPr>
        <w:t>ꎮ</w:t>
      </w:r>
    </w:p>
    <w:p>
      <w:pPr>
        <w:pStyle w:val="6"/>
        <w:tabs>
          <w:tab w:val="left" w:pos="2011"/>
          <w:tab w:val="left" w:pos="2639"/>
        </w:tabs>
        <w:spacing w:before="153"/>
        <w:ind w:left="1172"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215" w:line="295" w:lineRule="auto"/>
        <w:ind w:right="442"/>
        <w:rPr>
          <w:rFonts w:hint="eastAsia" w:ascii="MS UI Gothic" w:eastAsia="MS UI Gothic"/>
        </w:rPr>
      </w:pPr>
      <w:r>
        <w:rPr>
          <w:w w:val="105"/>
        </w:rPr>
        <w:t>第六十六条 安全生产监督管理部门</w:t>
      </w:r>
      <w:r>
        <w:t>所用的行政处罚文书式样</w:t>
      </w:r>
      <w:r>
        <w:rPr>
          <w:rFonts w:hint="eastAsia" w:ascii="MS UI Gothic" w:eastAsia="MS UI Gothic"/>
          <w:w w:val="80"/>
        </w:rPr>
        <w:t xml:space="preserve">ꎬ </w:t>
      </w:r>
      <w:r>
        <w:t>由国家安全生</w:t>
      </w:r>
      <w:r>
        <w:rPr>
          <w:w w:val="105"/>
        </w:rPr>
        <w:t>产监督管理总局统一制定</w:t>
      </w:r>
      <w:r>
        <w:rPr>
          <w:rFonts w:hint="eastAsia" w:ascii="MS UI Gothic" w:eastAsia="MS UI Gothic"/>
          <w:w w:val="80"/>
        </w:rPr>
        <w:t>ꎮ</w:t>
      </w:r>
    </w:p>
    <w:p>
      <w:pPr>
        <w:pStyle w:val="6"/>
        <w:spacing w:line="295" w:lineRule="auto"/>
        <w:ind w:right="442"/>
        <w:rPr>
          <w:rFonts w:hint="eastAsia" w:ascii="MS UI Gothic" w:eastAsia="MS UI Gothic"/>
        </w:rPr>
      </w:pPr>
      <w:r>
        <w:t>煤矿安全监察机构所用的行政处罚文书式样</w:t>
      </w:r>
      <w:r>
        <w:rPr>
          <w:rFonts w:hint="eastAsia" w:ascii="MS UI Gothic" w:eastAsia="MS UI Gothic"/>
          <w:w w:val="80"/>
        </w:rPr>
        <w:t xml:space="preserve">ꎬ </w:t>
      </w:r>
      <w:r>
        <w:t>由国家煤矿安全监察局统一制定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第六十七条 本办法所称的生产经营</w:t>
      </w:r>
      <w:r>
        <w:t>单位</w:t>
      </w:r>
      <w:r>
        <w:rPr>
          <w:rFonts w:hint="eastAsia" w:ascii="MS UI Gothic" w:eastAsia="MS UI Gothic"/>
          <w:w w:val="80"/>
        </w:rPr>
        <w:t xml:space="preserve">ꎬ </w:t>
      </w:r>
      <w:r>
        <w:t>是指合法和非法从事生产或者经营</w:t>
      </w:r>
      <w:r>
        <w:rPr>
          <w:w w:val="105"/>
        </w:rPr>
        <w:t>活动的基本单元</w:t>
      </w:r>
      <w:r>
        <w:rPr>
          <w:rFonts w:hint="eastAsia" w:ascii="MS UI Gothic" w:eastAsia="MS UI Gothic"/>
          <w:w w:val="80"/>
        </w:rPr>
        <w:t xml:space="preserve">ꎬ </w:t>
      </w:r>
      <w:r>
        <w:rPr>
          <w:w w:val="105"/>
        </w:rPr>
        <w:t>包括企业法人</w:t>
      </w:r>
      <w:r>
        <w:rPr>
          <w:rFonts w:hint="eastAsia" w:ascii="MS UI Gothic" w:eastAsia="MS UI Gothic"/>
          <w:w w:val="80"/>
        </w:rPr>
        <w:t xml:space="preserve">、 </w:t>
      </w:r>
      <w:r>
        <w:rPr>
          <w:w w:val="105"/>
        </w:rPr>
        <w:t>不具备企业法人资格的合伙组织</w:t>
      </w:r>
      <w:r>
        <w:rPr>
          <w:rFonts w:hint="eastAsia" w:ascii="MS UI Gothic" w:eastAsia="MS UI Gothic"/>
          <w:w w:val="80"/>
        </w:rPr>
        <w:t xml:space="preserve">、 </w:t>
      </w:r>
      <w:r>
        <w:rPr>
          <w:w w:val="105"/>
        </w:rPr>
        <w:t>个体工商户和自然人等生产经营主体</w:t>
      </w:r>
      <w:r>
        <w:rPr>
          <w:rFonts w:hint="eastAsia" w:ascii="MS UI Gothic" w:eastAsia="MS UI Gothic"/>
          <w:w w:val="80"/>
        </w:rPr>
        <w:t>ꎮ</w:t>
      </w:r>
    </w:p>
    <w:p>
      <w:pPr>
        <w:pStyle w:val="6"/>
        <w:spacing w:line="295" w:lineRule="auto"/>
        <w:ind w:right="440"/>
        <w:rPr>
          <w:rFonts w:hint="eastAsia" w:ascii="MS UI Gothic" w:hAnsi="MS UI Gothic" w:eastAsia="MS UI Gothic"/>
        </w:rPr>
      </w:pPr>
      <w:r>
        <w:t xml:space="preserve">本办法所称的 </w:t>
      </w:r>
      <w:r>
        <w:rPr>
          <w:rFonts w:hint="eastAsia" w:ascii="MS UI Gothic" w:hAnsi="MS UI Gothic" w:eastAsia="MS UI Gothic"/>
        </w:rPr>
        <w:t xml:space="preserve">“ </w:t>
      </w:r>
      <w:r>
        <w:t>以上</w:t>
      </w:r>
      <w:r>
        <w:rPr>
          <w:rFonts w:hint="eastAsia" w:ascii="MS UI Gothic" w:hAnsi="MS UI Gothic" w:eastAsia="MS UI Gothic"/>
        </w:rPr>
        <w:t xml:space="preserve">” </w:t>
      </w:r>
      <w:r>
        <w:t>包括本数</w:t>
      </w:r>
      <w:r>
        <w:rPr>
          <w:rFonts w:hint="eastAsia" w:ascii="MS UI Gothic" w:hAnsi="MS UI Gothic" w:eastAsia="MS UI Gothic"/>
          <w:w w:val="80"/>
        </w:rPr>
        <w:t>ꎬ</w:t>
      </w:r>
      <w:r>
        <w:t xml:space="preserve">所称的 </w:t>
      </w:r>
      <w:r>
        <w:rPr>
          <w:rFonts w:hint="eastAsia" w:ascii="MS UI Gothic" w:hAnsi="MS UI Gothic" w:eastAsia="MS UI Gothic"/>
        </w:rPr>
        <w:t xml:space="preserve">“ </w:t>
      </w:r>
      <w:r>
        <w:t>以下</w:t>
      </w:r>
      <w:r>
        <w:rPr>
          <w:rFonts w:hint="eastAsia" w:ascii="MS UI Gothic" w:hAnsi="MS UI Gothic" w:eastAsia="MS UI Gothic"/>
        </w:rPr>
        <w:t xml:space="preserve">” </w:t>
      </w:r>
      <w:r>
        <w:t>不包括本数</w:t>
      </w:r>
      <w:r>
        <w:rPr>
          <w:rFonts w:hint="eastAsia" w:ascii="MS UI Gothic" w:hAnsi="MS UI Gothic" w:eastAsia="MS UI Gothic"/>
          <w:w w:val="80"/>
        </w:rPr>
        <w:t>ꎮ</w:t>
      </w:r>
    </w:p>
    <w:p>
      <w:pPr>
        <w:pStyle w:val="6"/>
        <w:spacing w:line="295" w:lineRule="auto"/>
        <w:ind w:right="442" w:hanging="6"/>
        <w:rPr>
          <w:rFonts w:hint="eastAsia" w:ascii="MS UI Gothic" w:hAnsi="MS UI Gothic" w:eastAsia="MS UI Gothic"/>
        </w:rPr>
      </w:pPr>
      <w:r>
        <w:pict>
          <v:shape id="_x0000_s1452" o:spid="_x0000_s1452" o:spt="202" type="#_x0000_t202" style="position:absolute;left:0pt;margin-left:264.8pt;margin-top:12pt;height:40.1pt;width:188.45pt;mso-position-horizontal-relative:page;z-index:-27593625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pPr>
                  <w:r>
                    <w:rPr>
                      <w:rFonts w:hint="eastAsia" w:ascii="MS UI Gothic" w:eastAsia="MS UI Gothic"/>
                      <w:w w:val="145"/>
                      <w:position w:val="-30"/>
                    </w:rPr>
                    <w:t xml:space="preserve">( </w:t>
                  </w:r>
                  <w:r>
                    <w:rPr>
                      <w:w w:val="105"/>
                    </w:rPr>
                    <w:t>日起施行</w:t>
                  </w:r>
                  <w:r>
                    <w:rPr>
                      <w:rFonts w:hint="eastAsia" w:ascii="MS UI Gothic" w:eastAsia="MS UI Gothic"/>
                      <w:w w:val="80"/>
                    </w:rPr>
                    <w:t xml:space="preserve">ꎮ </w:t>
                  </w:r>
                  <w:r>
                    <w:rPr>
                      <w:w w:val="105"/>
                    </w:rPr>
                    <w:t>原国家安全生产监督管理局</w:t>
                  </w:r>
                </w:p>
              </w:txbxContent>
            </v:textbox>
          </v:shape>
        </w:pict>
      </w:r>
      <w:r>
        <w:rPr>
          <w:rFonts w:hint="eastAsia" w:ascii="MS UI Gothic" w:hAnsi="MS UI Gothic" w:eastAsia="MS UI Gothic"/>
          <w:w w:val="95"/>
          <w:position w:val="-30"/>
        </w:rPr>
        <w:t xml:space="preserve">１   </w:t>
      </w:r>
      <w:r>
        <w:rPr>
          <w:w w:val="95"/>
        </w:rPr>
        <w:t xml:space="preserve">第六十八条  本办法自 </w:t>
      </w:r>
      <w:r>
        <w:rPr>
          <w:rFonts w:hint="eastAsia" w:ascii="MS UI Gothic" w:hAnsi="MS UI Gothic" w:eastAsia="MS UI Gothic"/>
          <w:w w:val="95"/>
        </w:rPr>
        <w:t xml:space="preserve">２００８ </w:t>
      </w:r>
      <w:r>
        <w:rPr>
          <w:w w:val="95"/>
        </w:rPr>
        <w:t xml:space="preserve">年 </w:t>
      </w:r>
      <w:r>
        <w:rPr>
          <w:rFonts w:hint="eastAsia" w:ascii="MS UI Gothic" w:hAnsi="MS UI Gothic" w:eastAsia="MS UI Gothic"/>
          <w:w w:val="95"/>
        </w:rPr>
        <w:t xml:space="preserve">１ </w:t>
      </w:r>
      <w:r>
        <w:rPr>
          <w:w w:val="95"/>
        </w:rPr>
        <w:t>月国家煤矿安全监察局</w:t>
      </w:r>
      <w:r>
        <w:rPr>
          <w:rFonts w:hint="eastAsia" w:ascii="MS UI Gothic" w:hAnsi="MS UI Gothic" w:eastAsia="MS UI Gothic"/>
          <w:w w:val="140"/>
        </w:rPr>
        <w:t xml:space="preserve">) </w:t>
      </w:r>
      <w:r>
        <w:rPr>
          <w:rFonts w:hint="eastAsia" w:ascii="MS UI Gothic" w:hAnsi="MS UI Gothic" w:eastAsia="MS UI Gothic"/>
          <w:w w:val="95"/>
        </w:rPr>
        <w:t xml:space="preserve">２００３ </w:t>
      </w:r>
      <w:r>
        <w:rPr>
          <w:w w:val="95"/>
        </w:rPr>
        <w:t xml:space="preserve">年 </w:t>
      </w:r>
      <w:r>
        <w:rPr>
          <w:rFonts w:hint="eastAsia" w:ascii="MS UI Gothic" w:hAnsi="MS UI Gothic" w:eastAsia="MS UI Gothic"/>
          <w:w w:val="95"/>
        </w:rPr>
        <w:t xml:space="preserve">５ </w:t>
      </w:r>
      <w:r>
        <w:rPr>
          <w:w w:val="95"/>
        </w:rPr>
        <w:t xml:space="preserve">月 </w:t>
      </w:r>
      <w:r>
        <w:rPr>
          <w:rFonts w:hint="eastAsia" w:ascii="MS UI Gothic" w:hAnsi="MS UI Gothic" w:eastAsia="MS UI Gothic"/>
          <w:w w:val="95"/>
        </w:rPr>
        <w:t xml:space="preserve">１９ </w:t>
      </w:r>
      <w:r>
        <w:rPr>
          <w:w w:val="95"/>
        </w:rPr>
        <w:t xml:space="preserve">日公布的 </w:t>
      </w:r>
      <w:r>
        <w:rPr>
          <w:rFonts w:hint="eastAsia" w:ascii="MS UI Gothic" w:hAnsi="MS UI Gothic" w:eastAsia="MS UI Gothic"/>
          <w:w w:val="95"/>
        </w:rPr>
        <w:t xml:space="preserve">« </w:t>
      </w:r>
      <w:r>
        <w:rPr>
          <w:w w:val="95"/>
        </w:rPr>
        <w:t>安全生产违法行为行政处罚办法</w:t>
      </w:r>
      <w:r>
        <w:rPr>
          <w:rFonts w:hint="eastAsia" w:ascii="MS UI Gothic" w:hAnsi="MS UI Gothic" w:eastAsia="MS UI Gothic"/>
          <w:w w:val="95"/>
        </w:rPr>
        <w:t xml:space="preserve">»、 ２００１ </w:t>
      </w:r>
      <w:r>
        <w:rPr>
          <w:w w:val="95"/>
        </w:rPr>
        <w:t xml:space="preserve">年 </w:t>
      </w:r>
      <w:r>
        <w:rPr>
          <w:rFonts w:hint="eastAsia" w:ascii="MS UI Gothic" w:hAnsi="MS UI Gothic" w:eastAsia="MS UI Gothic"/>
          <w:w w:val="95"/>
        </w:rPr>
        <w:t xml:space="preserve">４ </w:t>
      </w:r>
      <w:r>
        <w:rPr>
          <w:w w:val="95"/>
        </w:rPr>
        <w:t xml:space="preserve">月 </w:t>
      </w:r>
      <w:r>
        <w:rPr>
          <w:rFonts w:hint="eastAsia" w:ascii="MS UI Gothic" w:hAnsi="MS UI Gothic" w:eastAsia="MS UI Gothic"/>
          <w:w w:val="95"/>
        </w:rPr>
        <w:t xml:space="preserve">２７ </w:t>
      </w:r>
      <w:r>
        <w:rPr>
          <w:w w:val="95"/>
        </w:rPr>
        <w:t xml:space="preserve">日公布的 </w:t>
      </w:r>
      <w:r>
        <w:rPr>
          <w:rFonts w:hint="eastAsia" w:ascii="MS UI Gothic" w:hAnsi="MS UI Gothic" w:eastAsia="MS UI Gothic"/>
          <w:w w:val="95"/>
        </w:rPr>
        <w:t xml:space="preserve">« </w:t>
      </w:r>
      <w:r>
        <w:rPr>
          <w:w w:val="95"/>
        </w:rPr>
        <w:t>煤矿安全监察程序暂行规定</w:t>
      </w:r>
      <w:r>
        <w:rPr>
          <w:rFonts w:hint="eastAsia" w:ascii="MS UI Gothic" w:hAnsi="MS UI Gothic" w:eastAsia="MS UI Gothic"/>
          <w:w w:val="95"/>
        </w:rPr>
        <w:t xml:space="preserve">» </w:t>
      </w:r>
      <w:r>
        <w:rPr>
          <w:w w:val="95"/>
        </w:rPr>
        <w:t>同时废止</w:t>
      </w:r>
      <w:r>
        <w:rPr>
          <w:rFonts w:hint="eastAsia" w:ascii="MS UI Gothic" w:hAnsi="MS UI Gothic" w:eastAsia="MS UI Gothic"/>
          <w:w w:val="85"/>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9"/>
        <w:ind w:left="0" w:firstLine="0"/>
        <w:jc w:val="left"/>
        <w:rPr>
          <w:rFonts w:ascii="MS UI Gothic"/>
          <w:sz w:val="15"/>
        </w:rPr>
      </w:pPr>
    </w:p>
    <w:p>
      <w:pPr>
        <w:pStyle w:val="4"/>
        <w:spacing w:before="78" w:line="266" w:lineRule="auto"/>
        <w:ind w:left="2069" w:right="2413" w:firstLine="360"/>
        <w:jc w:val="left"/>
        <w:rPr>
          <w:rFonts w:hint="eastAsia" w:ascii="Microsoft Yi Baiti" w:eastAsia="Microsoft Yi Baiti"/>
        </w:rPr>
      </w:pPr>
      <w:r>
        <w:t xml:space="preserve">安全生产行政处罚自由裁量 适用规则 ( 试行) </w:t>
      </w:r>
      <w:r>
        <w:rPr>
          <w:rFonts w:hint="eastAsia" w:ascii="Microsoft Yi Baiti" w:eastAsia="Microsoft Yi Baiti"/>
        </w:rPr>
        <w:t>(</w:t>
      </w:r>
      <w:r>
        <w:rPr>
          <w:rFonts w:hint="eastAsia" w:ascii="MS UI Gothic" w:eastAsia="MS UI Gothic"/>
        </w:rPr>
        <w:t xml:space="preserve">２０１０ </w:t>
      </w:r>
      <w:r>
        <w:t>年公布</w:t>
      </w:r>
      <w:r>
        <w:rPr>
          <w:rFonts w:hint="eastAsia" w:ascii="Microsoft Yi Baiti" w:eastAsia="Microsoft Yi Baiti"/>
        </w:rPr>
        <w:t>)</w:t>
      </w:r>
    </w:p>
    <w:p>
      <w:pPr>
        <w:pStyle w:val="6"/>
        <w:spacing w:before="329" w:line="295" w:lineRule="auto"/>
        <w:ind w:right="442"/>
        <w:rPr>
          <w:rFonts w:hint="eastAsia" w:ascii="Microsoft Yi Baiti" w:hAnsi="Microsoft Yi Baiti" w:eastAsia="Microsoft Yi Baiti"/>
        </w:rPr>
      </w:pPr>
      <w:r>
        <w:rPr>
          <w:rFonts w:hint="eastAsia" w:ascii="Microsoft Yi Baiti" w:hAnsi="Microsoft Yi Baiti" w:eastAsia="Microsoft Yi Baiti"/>
          <w:spacing w:val="-10"/>
        </w:rPr>
        <w:t xml:space="preserve">( « </w:t>
      </w:r>
      <w:r>
        <w:rPr>
          <w:spacing w:val="2"/>
        </w:rPr>
        <w:t xml:space="preserve">安全生产行政处罚自由裁量适用规则 </w:t>
      </w:r>
      <w:r>
        <w:rPr>
          <w:rFonts w:hint="eastAsia" w:ascii="Microsoft Yi Baiti" w:hAnsi="Microsoft Yi Baiti" w:eastAsia="Microsoft Yi Baiti"/>
          <w:spacing w:val="-34"/>
        </w:rPr>
        <w:t xml:space="preserve">( </w:t>
      </w:r>
      <w:r>
        <w:rPr>
          <w:spacing w:val="3"/>
        </w:rPr>
        <w:t>试行</w:t>
      </w:r>
      <w:r>
        <w:rPr>
          <w:rFonts w:hint="eastAsia" w:ascii="Microsoft Yi Baiti" w:hAnsi="Microsoft Yi Baiti" w:eastAsia="Microsoft Yi Baiti"/>
          <w:spacing w:val="15"/>
        </w:rPr>
        <w:t xml:space="preserve">) » </w:t>
      </w:r>
      <w:r>
        <w:rPr>
          <w:spacing w:val="-17"/>
        </w:rPr>
        <w:t xml:space="preserve">已经 </w:t>
      </w:r>
      <w:r>
        <w:rPr>
          <w:rFonts w:hint="eastAsia" w:ascii="MS UI Gothic" w:hAnsi="MS UI Gothic" w:eastAsia="MS UI Gothic"/>
          <w:spacing w:val="-2"/>
        </w:rPr>
        <w:t xml:space="preserve">２０１０ </w:t>
      </w:r>
      <w:r>
        <w:rPr>
          <w:spacing w:val="-26"/>
        </w:rPr>
        <w:t xml:space="preserve">年 </w:t>
      </w:r>
      <w:r>
        <w:rPr>
          <w:rFonts w:hint="eastAsia" w:ascii="MS UI Gothic" w:hAnsi="MS UI Gothic" w:eastAsia="MS UI Gothic"/>
          <w:spacing w:val="-1"/>
        </w:rPr>
        <w:t xml:space="preserve">６ </w:t>
      </w:r>
      <w:r>
        <w:rPr>
          <w:spacing w:val="-24"/>
        </w:rPr>
        <w:t xml:space="preserve">月 </w:t>
      </w:r>
      <w:r>
        <w:rPr>
          <w:rFonts w:hint="eastAsia" w:ascii="MS UI Gothic" w:hAnsi="MS UI Gothic" w:eastAsia="MS UI Gothic"/>
          <w:spacing w:val="-1"/>
        </w:rPr>
        <w:t xml:space="preserve">１７ </w:t>
      </w:r>
      <w:r>
        <w:rPr>
          <w:spacing w:val="5"/>
        </w:rPr>
        <w:t>日国家安</w:t>
      </w:r>
      <w:r>
        <w:rPr>
          <w:spacing w:val="3"/>
        </w:rPr>
        <w:t>全生产监督管理总局局长办公会议审议通过</w:t>
      </w:r>
      <w:r>
        <w:rPr>
          <w:rFonts w:hint="eastAsia" w:ascii="Microsoft Yi Baiti" w:hAnsi="Microsoft Yi Baiti" w:eastAsia="Microsoft Yi Baiti"/>
          <w:spacing w:val="1"/>
        </w:rPr>
        <w:t xml:space="preserve">ꎬ </w:t>
      </w:r>
      <w:r>
        <w:rPr>
          <w:spacing w:val="11"/>
        </w:rPr>
        <w:t>现予以公布</w:t>
      </w:r>
      <w:r>
        <w:rPr>
          <w:rFonts w:hint="eastAsia" w:ascii="Microsoft Yi Baiti" w:hAnsi="Microsoft Yi Baiti" w:eastAsia="Microsoft Yi Baiti"/>
          <w:spacing w:val="1"/>
        </w:rPr>
        <w:t xml:space="preserve">ꎬ </w:t>
      </w:r>
      <w:r>
        <w:rPr>
          <w:spacing w:val="-26"/>
        </w:rPr>
        <w:t xml:space="preserve">自 </w:t>
      </w:r>
      <w:r>
        <w:rPr>
          <w:rFonts w:hint="eastAsia" w:ascii="MS UI Gothic" w:hAnsi="MS UI Gothic" w:eastAsia="MS UI Gothic"/>
          <w:spacing w:val="-2"/>
        </w:rPr>
        <w:t xml:space="preserve">２０１０ </w:t>
      </w:r>
      <w:r>
        <w:rPr>
          <w:spacing w:val="-25"/>
        </w:rPr>
        <w:t xml:space="preserve">年 </w:t>
      </w:r>
      <w:r>
        <w:rPr>
          <w:rFonts w:hint="eastAsia" w:ascii="MS UI Gothic" w:hAnsi="MS UI Gothic" w:eastAsia="MS UI Gothic"/>
          <w:spacing w:val="-2"/>
        </w:rPr>
        <w:t xml:space="preserve">１０ </w:t>
      </w:r>
      <w:r>
        <w:rPr>
          <w:spacing w:val="-26"/>
        </w:rPr>
        <w:t xml:space="preserve">月 </w:t>
      </w:r>
      <w:r>
        <w:rPr>
          <w:rFonts w:hint="eastAsia" w:ascii="MS UI Gothic" w:hAnsi="MS UI Gothic" w:eastAsia="MS UI Gothic"/>
          <w:spacing w:val="-3"/>
        </w:rPr>
        <w:t xml:space="preserve">１ </w:t>
      </w:r>
      <w:r>
        <w:rPr>
          <w:spacing w:val="8"/>
        </w:rPr>
        <w:t>日起施</w:t>
      </w:r>
      <w:r>
        <w:rPr>
          <w:spacing w:val="3"/>
        </w:rPr>
        <w:t>行</w:t>
      </w:r>
      <w:r>
        <w:rPr>
          <w:rFonts w:hint="eastAsia" w:ascii="Microsoft Yi Baiti" w:hAnsi="Microsoft Yi Baiti" w:eastAsia="Microsoft Yi Baiti"/>
        </w:rPr>
        <w:t>)</w:t>
      </w:r>
    </w:p>
    <w:p>
      <w:pPr>
        <w:pStyle w:val="6"/>
        <w:spacing w:before="4"/>
        <w:ind w:left="0" w:firstLine="0"/>
        <w:jc w:val="left"/>
        <w:rPr>
          <w:rFonts w:ascii="Microsoft Yi Baiti"/>
          <w:sz w:val="13"/>
        </w:rPr>
      </w:pPr>
    </w:p>
    <w:p>
      <w:pPr>
        <w:spacing w:after="0"/>
        <w:jc w:val="left"/>
        <w:rPr>
          <w:rFonts w:ascii="Microsoft Yi Baiti"/>
          <w:sz w:val="13"/>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tabs>
          <w:tab w:val="left" w:pos="1417"/>
        </w:tabs>
        <w:spacing w:before="215"/>
        <w:ind w:left="543" w:firstLine="0"/>
        <w:jc w:val="left"/>
      </w:pPr>
      <w:r>
        <w:rPr>
          <w:spacing w:val="3"/>
          <w:w w:val="105"/>
        </w:rPr>
        <w:t>第一</w:t>
      </w:r>
      <w:r>
        <w:rPr>
          <w:w w:val="105"/>
        </w:rPr>
        <w:t>条</w:t>
      </w:r>
      <w:r>
        <w:rPr>
          <w:w w:val="105"/>
        </w:rPr>
        <w:tab/>
      </w:r>
      <w:r>
        <w:rPr>
          <w:spacing w:val="21"/>
        </w:rPr>
        <w:t>为了正确适用安全生产</w:t>
      </w:r>
      <w:r>
        <w:rPr>
          <w:spacing w:val="-17"/>
        </w:rPr>
        <w:t>法</w:t>
      </w:r>
    </w:p>
    <w:p>
      <w:pPr>
        <w:pStyle w:val="6"/>
        <w:spacing w:before="174" w:line="295" w:lineRule="auto"/>
        <w:ind w:left="383" w:right="442" w:firstLine="0"/>
      </w:pPr>
      <w:r>
        <w:br w:type="column"/>
      </w:r>
      <w:r>
        <w:t>律</w:t>
      </w:r>
      <w:r>
        <w:rPr>
          <w:rFonts w:hint="eastAsia" w:ascii="MS UI Gothic" w:hAnsi="MS UI Gothic" w:eastAsia="MS UI Gothic"/>
          <w:w w:val="80"/>
        </w:rPr>
        <w:t xml:space="preserve">、 </w:t>
      </w:r>
      <w:r>
        <w:t>行政法规和部门规章</w:t>
      </w:r>
      <w:r>
        <w:rPr>
          <w:rFonts w:hint="eastAsia" w:ascii="MS UI Gothic" w:hAnsi="MS UI Gothic" w:eastAsia="MS UI Gothic"/>
          <w:w w:val="80"/>
        </w:rPr>
        <w:t xml:space="preserve">ꎬ </w:t>
      </w:r>
      <w:r>
        <w:t>规范安全生产监督管理部门合法</w:t>
      </w:r>
      <w:r>
        <w:rPr>
          <w:rFonts w:hint="eastAsia" w:ascii="MS UI Gothic" w:hAnsi="MS UI Gothic" w:eastAsia="MS UI Gothic"/>
          <w:w w:val="80"/>
        </w:rPr>
        <w:t xml:space="preserve">、 </w:t>
      </w:r>
      <w:r>
        <w:t>适当地行使行政处罚自由裁量权</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行政处罚法</w:t>
      </w:r>
      <w:r>
        <w:rPr>
          <w:rFonts w:hint="eastAsia" w:ascii="MS UI Gothic" w:hAnsi="MS UI Gothic" w:eastAsia="MS UI Gothic"/>
          <w:w w:val="80"/>
        </w:rPr>
        <w:t xml:space="preserve">»、 « </w:t>
      </w:r>
      <w:r>
        <w:t>安</w:t>
      </w:r>
    </w:p>
    <w:p>
      <w:pPr>
        <w:spacing w:after="0" w:line="295" w:lineRule="auto"/>
        <w:sectPr>
          <w:type w:val="continuous"/>
          <w:pgSz w:w="10500" w:h="14750"/>
          <w:pgMar w:top="1400" w:right="980" w:bottom="280" w:left="980" w:header="720" w:footer="720" w:gutter="0"/>
          <w:cols w:equalWidth="0" w:num="2">
            <w:col w:w="3894" w:space="40"/>
            <w:col w:w="4606"/>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１３７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53" o:spid="_x0000_s1453" o:spt="203" style="height:2.15pt;width:398.25pt;" coordsize="7965,43">
            <o:lock v:ext="edit"/>
            <v:line id="_x0000_s1454" o:spid="_x0000_s1454" o:spt="20" style="position:absolute;left:0;top:39;height:0;width:7965;" stroked="t" coordsize="21600,21600">
              <v:path arrowok="t"/>
              <v:fill focussize="0,0"/>
              <v:stroke weight="0.388031496062992pt" color="#231F20"/>
              <v:imagedata o:title=""/>
              <o:lock v:ext="edit"/>
            </v:line>
            <v:line id="_x0000_s1455" o:spid="_x0000_s145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hAnsi="MS UI Gothic" w:eastAsia="MS UI Gothic"/>
        </w:rPr>
      </w:pPr>
      <w:r>
        <w:t>全生产法</w:t>
      </w:r>
      <w:r>
        <w:rPr>
          <w:rFonts w:hint="eastAsia" w:ascii="MS UI Gothic" w:hAnsi="MS UI Gothic" w:eastAsia="MS UI Gothic"/>
        </w:rPr>
        <w:t xml:space="preserve">»、 « </w:t>
      </w:r>
      <w:r>
        <w:t>职业病防治法</w:t>
      </w:r>
      <w:r>
        <w:rPr>
          <w:rFonts w:hint="eastAsia" w:ascii="MS UI Gothic" w:hAnsi="MS UI Gothic" w:eastAsia="MS UI Gothic"/>
        </w:rPr>
        <w:t xml:space="preserve">» </w:t>
      </w:r>
      <w:r>
        <w:t>等法律</w:t>
      </w:r>
      <w:r>
        <w:rPr>
          <w:rFonts w:hint="eastAsia" w:ascii="MS UI Gothic" w:hAnsi="MS UI Gothic" w:eastAsia="MS UI Gothic"/>
        </w:rPr>
        <w:t>、</w:t>
      </w:r>
      <w:r>
        <w:t>行政法规和部门规章的规定</w:t>
      </w:r>
      <w:r>
        <w:rPr>
          <w:rFonts w:hint="eastAsia" w:ascii="MS UI Gothic" w:hAnsi="MS UI Gothic" w:eastAsia="MS UI Gothic"/>
          <w:w w:val="80"/>
        </w:rPr>
        <w:t xml:space="preserve">ꎬ </w:t>
      </w:r>
      <w:r>
        <w:t>制定本规则</w:t>
      </w:r>
      <w:r>
        <w:rPr>
          <w:rFonts w:hint="eastAsia" w:ascii="MS UI Gothic" w:hAnsi="MS UI Gothic" w:eastAsia="MS UI Gothic"/>
          <w:w w:val="80"/>
        </w:rPr>
        <w:t>ꎮ</w:t>
      </w:r>
    </w:p>
    <w:p>
      <w:pPr>
        <w:pStyle w:val="6"/>
        <w:spacing w:line="295" w:lineRule="auto"/>
        <w:ind w:left="440"/>
        <w:rPr>
          <w:rFonts w:hint="eastAsia" w:ascii="MS UI Gothic" w:hAnsi="MS UI Gothic" w:eastAsia="MS UI Gothic"/>
        </w:rPr>
      </w:pPr>
      <w:r>
        <w:rPr>
          <w:spacing w:val="2"/>
          <w:w w:val="105"/>
        </w:rPr>
        <w:t>第二条 县级以上安全生产监督管理</w:t>
      </w:r>
      <w:r>
        <w:rPr>
          <w:spacing w:val="2"/>
        </w:rPr>
        <w:t>部门或其委托实施行政处罚的组织或者机</w:t>
      </w:r>
      <w:r>
        <w:rPr>
          <w:spacing w:val="-6"/>
          <w:w w:val="105"/>
        </w:rPr>
        <w:t xml:space="preserve">构 </w:t>
      </w:r>
      <w:r>
        <w:rPr>
          <w:rFonts w:hint="eastAsia" w:ascii="MS UI Gothic" w:hAnsi="MS UI Gothic" w:eastAsia="MS UI Gothic"/>
          <w:spacing w:val="-37"/>
          <w:w w:val="150"/>
        </w:rPr>
        <w:t xml:space="preserve">( </w:t>
      </w:r>
      <w:r>
        <w:rPr>
          <w:spacing w:val="13"/>
          <w:w w:val="105"/>
        </w:rPr>
        <w:t>以下统称安全监管执法机关</w:t>
      </w:r>
      <w:r>
        <w:rPr>
          <w:rFonts w:hint="eastAsia" w:ascii="MS UI Gothic" w:hAnsi="MS UI Gothic" w:eastAsia="MS UI Gothic"/>
          <w:spacing w:val="11"/>
          <w:w w:val="150"/>
        </w:rPr>
        <w:t xml:space="preserve">) </w:t>
      </w:r>
      <w:r>
        <w:rPr>
          <w:spacing w:val="9"/>
          <w:w w:val="105"/>
        </w:rPr>
        <w:t>依照</w:t>
      </w:r>
      <w:r>
        <w:rPr>
          <w:spacing w:val="3"/>
          <w:w w:val="105"/>
        </w:rPr>
        <w:t>安全生产法律</w:t>
      </w:r>
      <w:r>
        <w:rPr>
          <w:rFonts w:hint="eastAsia" w:ascii="MS UI Gothic" w:hAnsi="MS UI Gothic" w:eastAsia="MS UI Gothic"/>
          <w:spacing w:val="-4"/>
          <w:w w:val="80"/>
        </w:rPr>
        <w:t xml:space="preserve">、 </w:t>
      </w:r>
      <w:r>
        <w:rPr>
          <w:spacing w:val="2"/>
          <w:w w:val="105"/>
        </w:rPr>
        <w:t>行政法规和部门规章作出</w:t>
      </w:r>
      <w:r>
        <w:rPr>
          <w:spacing w:val="13"/>
        </w:rPr>
        <w:t>行政处罚行使自由裁量权的</w:t>
      </w:r>
      <w:r>
        <w:rPr>
          <w:rFonts w:hint="eastAsia" w:ascii="MS UI Gothic" w:hAnsi="MS UI Gothic" w:eastAsia="MS UI Gothic"/>
          <w:w w:val="80"/>
        </w:rPr>
        <w:t xml:space="preserve">ꎬ </w:t>
      </w:r>
      <w:r>
        <w:rPr>
          <w:spacing w:val="15"/>
        </w:rPr>
        <w:t>适用本规</w:t>
      </w:r>
      <w:r>
        <w:rPr>
          <w:spacing w:val="3"/>
        </w:rPr>
        <w:t>则</w:t>
      </w:r>
      <w:r>
        <w:rPr>
          <w:rFonts w:hint="eastAsia" w:ascii="MS UI Gothic" w:hAnsi="MS UI Gothic" w:eastAsia="MS UI Gothic"/>
          <w:spacing w:val="18"/>
          <w:w w:val="80"/>
        </w:rPr>
        <w:t xml:space="preserve">ꎻ </w:t>
      </w:r>
      <w:r>
        <w:rPr>
          <w:spacing w:val="6"/>
        </w:rPr>
        <w:t>具体实施行政处罚需要自由裁量的</w:t>
      </w:r>
      <w:r>
        <w:rPr>
          <w:rFonts w:hint="eastAsia" w:ascii="MS UI Gothic" w:hAnsi="MS UI Gothic" w:eastAsia="MS UI Gothic"/>
          <w:w w:val="80"/>
        </w:rPr>
        <w:t>ꎬ</w:t>
      </w:r>
      <w:r>
        <w:rPr>
          <w:spacing w:val="-16"/>
          <w:w w:val="105"/>
        </w:rPr>
        <w:t xml:space="preserve">参照 </w:t>
      </w:r>
      <w:r>
        <w:rPr>
          <w:rFonts w:hint="eastAsia" w:ascii="MS UI Gothic" w:hAnsi="MS UI Gothic" w:eastAsia="MS UI Gothic"/>
          <w:spacing w:val="-19"/>
          <w:w w:val="80"/>
        </w:rPr>
        <w:t xml:space="preserve">« </w:t>
      </w:r>
      <w:r>
        <w:rPr>
          <w:spacing w:val="5"/>
          <w:w w:val="105"/>
        </w:rPr>
        <w:t>安全生产行政处罚自由裁量标准</w:t>
      </w:r>
      <w:r>
        <w:rPr>
          <w:rFonts w:hint="eastAsia" w:ascii="MS UI Gothic" w:hAnsi="MS UI Gothic" w:eastAsia="MS UI Gothic"/>
          <w:w w:val="80"/>
        </w:rPr>
        <w:t xml:space="preserve">» </w:t>
      </w:r>
      <w:r>
        <w:rPr>
          <w:rFonts w:hint="eastAsia" w:ascii="MS UI Gothic" w:hAnsi="MS UI Gothic" w:eastAsia="MS UI Gothic"/>
          <w:spacing w:val="-36"/>
          <w:w w:val="150"/>
        </w:rPr>
        <w:t xml:space="preserve">( </w:t>
      </w:r>
      <w:r>
        <w:rPr>
          <w:spacing w:val="1"/>
          <w:w w:val="105"/>
        </w:rPr>
        <w:t xml:space="preserve">以下简称 </w:t>
      </w:r>
      <w:r>
        <w:rPr>
          <w:rFonts w:hint="eastAsia" w:ascii="MS UI Gothic" w:hAnsi="MS UI Gothic" w:eastAsia="MS UI Gothic"/>
          <w:spacing w:val="-15"/>
          <w:w w:val="80"/>
        </w:rPr>
        <w:t xml:space="preserve">« </w:t>
      </w:r>
      <w:r>
        <w:rPr>
          <w:spacing w:val="3"/>
          <w:w w:val="105"/>
        </w:rPr>
        <w:t>标准</w:t>
      </w:r>
      <w:r>
        <w:rPr>
          <w:rFonts w:hint="eastAsia" w:ascii="MS UI Gothic" w:hAnsi="MS UI Gothic" w:eastAsia="MS UI Gothic"/>
          <w:spacing w:val="11"/>
          <w:w w:val="80"/>
        </w:rPr>
        <w:t xml:space="preserve">» </w:t>
      </w:r>
      <w:r>
        <w:rPr>
          <w:rFonts w:hint="eastAsia" w:ascii="MS UI Gothic" w:hAnsi="MS UI Gothic" w:eastAsia="MS UI Gothic"/>
          <w:spacing w:val="14"/>
          <w:w w:val="150"/>
        </w:rPr>
        <w:t xml:space="preserve">) </w:t>
      </w:r>
      <w:r>
        <w:rPr>
          <w:spacing w:val="3"/>
          <w:w w:val="105"/>
        </w:rPr>
        <w:t>执行</w:t>
      </w:r>
      <w:r>
        <w:rPr>
          <w:rFonts w:hint="eastAsia" w:ascii="MS UI Gothic" w:hAnsi="MS UI Gothic" w:eastAsia="MS UI Gothic"/>
          <w:w w:val="80"/>
        </w:rPr>
        <w:t>ꎮ</w:t>
      </w:r>
    </w:p>
    <w:p>
      <w:pPr>
        <w:pStyle w:val="6"/>
        <w:spacing w:line="295" w:lineRule="auto"/>
        <w:ind w:left="440"/>
        <w:rPr>
          <w:rFonts w:hint="eastAsia" w:ascii="MS UI Gothic" w:hAnsi="MS UI Gothic" w:eastAsia="MS UI Gothic"/>
        </w:rPr>
      </w:pPr>
      <w:r>
        <w:t>煤矿安全监察机构对煤矿安全生产违法行为作出行政处罚行使自由裁量权的</w:t>
      </w:r>
      <w:r>
        <w:rPr>
          <w:rFonts w:hint="eastAsia" w:ascii="MS UI Gothic" w:hAnsi="MS UI Gothic" w:eastAsia="MS UI Gothic"/>
          <w:w w:val="80"/>
        </w:rPr>
        <w:t>ꎬ</w:t>
      </w:r>
      <w:r>
        <w:rPr>
          <w:w w:val="105"/>
        </w:rPr>
        <w:t xml:space="preserve">适用 </w:t>
      </w:r>
      <w:r>
        <w:rPr>
          <w:rFonts w:hint="eastAsia" w:ascii="MS UI Gothic" w:hAnsi="MS UI Gothic" w:eastAsia="MS UI Gothic"/>
          <w:w w:val="80"/>
        </w:rPr>
        <w:t xml:space="preserve">« </w:t>
      </w:r>
      <w:r>
        <w:rPr>
          <w:w w:val="105"/>
        </w:rPr>
        <w:t xml:space="preserve">煤矿安全监察行政处罚自由裁量实施标准 </w:t>
      </w:r>
      <w:r>
        <w:rPr>
          <w:rFonts w:hint="eastAsia" w:ascii="MS UI Gothic" w:hAnsi="MS UI Gothic" w:eastAsia="MS UI Gothic"/>
          <w:w w:val="150"/>
        </w:rPr>
        <w:t xml:space="preserve">( </w:t>
      </w:r>
      <w:r>
        <w:rPr>
          <w:w w:val="105"/>
        </w:rPr>
        <w:t>试行</w:t>
      </w:r>
      <w:r>
        <w:rPr>
          <w:rFonts w:hint="eastAsia" w:ascii="MS UI Gothic" w:hAnsi="MS UI Gothic" w:eastAsia="MS UI Gothic"/>
          <w:w w:val="150"/>
        </w:rPr>
        <w:t xml:space="preserve">) </w:t>
      </w:r>
      <w:r>
        <w:rPr>
          <w:rFonts w:hint="eastAsia" w:ascii="MS UI Gothic" w:hAnsi="MS UI Gothic" w:eastAsia="MS UI Gothic"/>
          <w:w w:val="80"/>
        </w:rPr>
        <w:t>» ꎮ</w:t>
      </w:r>
    </w:p>
    <w:p>
      <w:pPr>
        <w:pStyle w:val="6"/>
        <w:spacing w:line="295" w:lineRule="auto"/>
        <w:ind w:left="440"/>
        <w:rPr>
          <w:rFonts w:hint="eastAsia" w:ascii="MS UI Gothic" w:eastAsia="MS UI Gothic"/>
        </w:rPr>
      </w:pPr>
      <w:r>
        <w:rPr>
          <w:spacing w:val="3"/>
        </w:rPr>
        <w:t>法律</w:t>
      </w:r>
      <w:r>
        <w:rPr>
          <w:rFonts w:hint="eastAsia" w:ascii="MS UI Gothic" w:eastAsia="MS UI Gothic"/>
          <w:spacing w:val="15"/>
          <w:w w:val="80"/>
        </w:rPr>
        <w:t xml:space="preserve">、 </w:t>
      </w:r>
      <w:r>
        <w:rPr>
          <w:spacing w:val="2"/>
        </w:rPr>
        <w:t>行政法规和地方性法规对行政</w:t>
      </w:r>
      <w:r>
        <w:rPr>
          <w:spacing w:val="5"/>
        </w:rPr>
        <w:t>处罚自由裁量另有规定的</w:t>
      </w:r>
      <w:r>
        <w:rPr>
          <w:rFonts w:hint="eastAsia" w:ascii="MS UI Gothic" w:eastAsia="MS UI Gothic"/>
          <w:spacing w:val="22"/>
          <w:w w:val="80"/>
        </w:rPr>
        <w:t xml:space="preserve">ꎬ </w:t>
      </w:r>
      <w:r>
        <w:rPr>
          <w:spacing w:val="11"/>
        </w:rPr>
        <w:t>适用其规定</w:t>
      </w:r>
      <w:r>
        <w:rPr>
          <w:rFonts w:hint="eastAsia" w:ascii="MS UI Gothic" w:eastAsia="MS UI Gothic"/>
          <w:w w:val="80"/>
        </w:rPr>
        <w:t>ꎻ</w:t>
      </w:r>
      <w:r>
        <w:rPr>
          <w:spacing w:val="3"/>
        </w:rPr>
        <w:t>原国家安全监管局</w:t>
      </w:r>
      <w:r>
        <w:rPr>
          <w:rFonts w:hint="eastAsia" w:ascii="MS UI Gothic" w:eastAsia="MS UI Gothic"/>
          <w:spacing w:val="19"/>
          <w:w w:val="80"/>
        </w:rPr>
        <w:t xml:space="preserve">、 </w:t>
      </w:r>
      <w:r>
        <w:rPr>
          <w:spacing w:val="2"/>
        </w:rPr>
        <w:t>国家安全监管总局公</w:t>
      </w:r>
      <w:r>
        <w:rPr>
          <w:spacing w:val="3"/>
        </w:rPr>
        <w:t>布的部门规章与本规则不一致的</w:t>
      </w:r>
      <w:r>
        <w:rPr>
          <w:rFonts w:hint="eastAsia" w:ascii="MS UI Gothic" w:eastAsia="MS UI Gothic"/>
          <w:spacing w:val="21"/>
          <w:w w:val="80"/>
        </w:rPr>
        <w:t xml:space="preserve">ꎬ </w:t>
      </w:r>
      <w:r>
        <w:rPr>
          <w:spacing w:val="1"/>
        </w:rPr>
        <w:t>适用本</w:t>
      </w:r>
      <w:r>
        <w:rPr>
          <w:spacing w:val="3"/>
        </w:rPr>
        <w:t>规则</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第三条 本规则所称的行政处罚自由</w:t>
      </w:r>
      <w:r>
        <w:rPr>
          <w:spacing w:val="3"/>
        </w:rPr>
        <w:t>裁量权</w:t>
      </w:r>
      <w:r>
        <w:rPr>
          <w:rFonts w:hint="eastAsia" w:ascii="MS UI Gothic" w:eastAsia="MS UI Gothic"/>
          <w:spacing w:val="21"/>
          <w:w w:val="80"/>
        </w:rPr>
        <w:t xml:space="preserve">ꎬ </w:t>
      </w:r>
      <w:r>
        <w:rPr>
          <w:spacing w:val="2"/>
        </w:rPr>
        <w:t>是指安全监管执法机关在对安全</w:t>
      </w:r>
      <w:r>
        <w:rPr>
          <w:spacing w:val="3"/>
        </w:rPr>
        <w:t>生产违法行为实施行政处罚时</w:t>
      </w:r>
      <w:r>
        <w:rPr>
          <w:rFonts w:hint="eastAsia" w:ascii="MS UI Gothic" w:eastAsia="MS UI Gothic"/>
          <w:spacing w:val="21"/>
          <w:w w:val="80"/>
        </w:rPr>
        <w:t xml:space="preserve">ꎬ </w:t>
      </w:r>
      <w:r>
        <w:rPr>
          <w:spacing w:val="2"/>
        </w:rPr>
        <w:t>根据立法</w:t>
      </w:r>
      <w:r>
        <w:rPr>
          <w:spacing w:val="3"/>
        </w:rPr>
        <w:t>目的和行政处罚的原则</w:t>
      </w:r>
      <w:r>
        <w:rPr>
          <w:rFonts w:hint="eastAsia" w:ascii="MS UI Gothic" w:eastAsia="MS UI Gothic"/>
          <w:spacing w:val="11"/>
          <w:w w:val="80"/>
        </w:rPr>
        <w:t xml:space="preserve">ꎬ </w:t>
      </w:r>
      <w:r>
        <w:rPr>
          <w:spacing w:val="3"/>
        </w:rPr>
        <w:t>在法律</w:t>
      </w:r>
      <w:r>
        <w:rPr>
          <w:rFonts w:hint="eastAsia" w:ascii="MS UI Gothic" w:eastAsia="MS UI Gothic"/>
          <w:spacing w:val="11"/>
          <w:w w:val="80"/>
        </w:rPr>
        <w:t xml:space="preserve">、 </w:t>
      </w:r>
      <w:r>
        <w:rPr>
          <w:spacing w:val="2"/>
        </w:rPr>
        <w:t>行政法规和部门规章规定的行政处罚的种类和幅</w:t>
      </w:r>
      <w:r>
        <w:rPr>
          <w:spacing w:val="3"/>
        </w:rPr>
        <w:t>度内</w:t>
      </w:r>
      <w:r>
        <w:rPr>
          <w:rFonts w:hint="eastAsia" w:ascii="MS UI Gothic" w:eastAsia="MS UI Gothic"/>
          <w:spacing w:val="8"/>
          <w:w w:val="80"/>
        </w:rPr>
        <w:t xml:space="preserve">ꎬ </w:t>
      </w:r>
      <w:r>
        <w:rPr>
          <w:spacing w:val="20"/>
        </w:rPr>
        <w:t>综合考量违法的事实</w:t>
      </w:r>
      <w:r>
        <w:rPr>
          <w:rFonts w:hint="eastAsia" w:ascii="MS UI Gothic" w:eastAsia="MS UI Gothic"/>
          <w:spacing w:val="14"/>
          <w:w w:val="80"/>
        </w:rPr>
        <w:t xml:space="preserve">、 </w:t>
      </w:r>
      <w:r>
        <w:rPr>
          <w:spacing w:val="14"/>
        </w:rPr>
        <w:t>性质</w:t>
      </w:r>
      <w:r>
        <w:rPr>
          <w:rFonts w:hint="eastAsia" w:ascii="MS UI Gothic" w:eastAsia="MS UI Gothic"/>
          <w:spacing w:val="13"/>
          <w:w w:val="80"/>
        </w:rPr>
        <w:t xml:space="preserve">、 </w:t>
      </w:r>
      <w:r>
        <w:rPr>
          <w:spacing w:val="-11"/>
        </w:rPr>
        <w:t>手</w:t>
      </w:r>
      <w:r>
        <w:rPr>
          <w:spacing w:val="3"/>
        </w:rPr>
        <w:t>段</w:t>
      </w:r>
      <w:r>
        <w:rPr>
          <w:rFonts w:hint="eastAsia" w:ascii="MS UI Gothic" w:eastAsia="MS UI Gothic"/>
          <w:spacing w:val="6"/>
          <w:w w:val="80"/>
        </w:rPr>
        <w:t xml:space="preserve">、 </w:t>
      </w:r>
      <w:r>
        <w:rPr>
          <w:spacing w:val="5"/>
        </w:rPr>
        <w:t>后果</w:t>
      </w:r>
      <w:r>
        <w:rPr>
          <w:rFonts w:hint="eastAsia" w:ascii="MS UI Gothic" w:eastAsia="MS UI Gothic"/>
          <w:spacing w:val="12"/>
          <w:w w:val="80"/>
        </w:rPr>
        <w:t xml:space="preserve">、 </w:t>
      </w:r>
      <w:r>
        <w:rPr>
          <w:spacing w:val="21"/>
        </w:rPr>
        <w:t>情节和改正措施等因素</w:t>
      </w:r>
      <w:r>
        <w:rPr>
          <w:rFonts w:hint="eastAsia" w:ascii="MS UI Gothic" w:eastAsia="MS UI Gothic"/>
          <w:spacing w:val="14"/>
          <w:w w:val="80"/>
        </w:rPr>
        <w:t xml:space="preserve">ꎬ </w:t>
      </w:r>
      <w:r>
        <w:rPr>
          <w:spacing w:val="-11"/>
        </w:rPr>
        <w:t>正</w:t>
      </w:r>
      <w:r>
        <w:rPr>
          <w:spacing w:val="3"/>
        </w:rPr>
        <w:t>确</w:t>
      </w:r>
      <w:r>
        <w:rPr>
          <w:rFonts w:hint="eastAsia" w:ascii="MS UI Gothic" w:eastAsia="MS UI Gothic"/>
          <w:spacing w:val="23"/>
          <w:w w:val="80"/>
        </w:rPr>
        <w:t xml:space="preserve">、 </w:t>
      </w:r>
      <w:r>
        <w:rPr>
          <w:spacing w:val="3"/>
        </w:rPr>
        <w:t>适当地确定行政处罚的种类</w:t>
      </w:r>
      <w:r>
        <w:rPr>
          <w:rFonts w:hint="eastAsia" w:ascii="MS UI Gothic" w:eastAsia="MS UI Gothic"/>
          <w:spacing w:val="24"/>
          <w:w w:val="80"/>
        </w:rPr>
        <w:t xml:space="preserve">、 </w:t>
      </w:r>
      <w:r>
        <w:rPr>
          <w:spacing w:val="2"/>
        </w:rPr>
        <w:t>幅度或</w:t>
      </w:r>
      <w:r>
        <w:rPr>
          <w:spacing w:val="25"/>
        </w:rPr>
        <w:t>者作出不予行政处罚决定的选择适用</w:t>
      </w:r>
      <w:r>
        <w:rPr>
          <w:spacing w:val="3"/>
        </w:rPr>
        <w:t>权限</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第四条 各级安全监管执法机关应当</w:t>
      </w:r>
      <w:r>
        <w:t>加强对各自管辖范围内安全生产行政处罚</w:t>
      </w:r>
      <w:r>
        <w:rPr>
          <w:w w:val="105"/>
        </w:rPr>
        <w:t>自由裁量行为的监督检查</w:t>
      </w:r>
      <w:r>
        <w:rPr>
          <w:rFonts w:hint="eastAsia" w:ascii="MS UI Gothic" w:eastAsia="MS UI Gothic"/>
          <w:w w:val="80"/>
        </w:rPr>
        <w:t>ꎮ</w:t>
      </w:r>
    </w:p>
    <w:p>
      <w:pPr>
        <w:pStyle w:val="6"/>
        <w:spacing w:line="295" w:lineRule="auto"/>
        <w:ind w:left="440" w:right="1"/>
        <w:rPr>
          <w:rFonts w:hint="eastAsia" w:ascii="MS UI Gothic" w:eastAsia="MS UI Gothic"/>
        </w:rPr>
      </w:pPr>
      <w:r>
        <w:t>上级安全监管执法机关有权对下级安全监管执法机关违法或者不当的行政处罚</w:t>
      </w:r>
      <w:r>
        <w:rPr>
          <w:w w:val="105"/>
        </w:rPr>
        <w:t>予以纠正或者撤销</w:t>
      </w:r>
      <w:r>
        <w:rPr>
          <w:rFonts w:hint="eastAsia" w:ascii="MS UI Gothic" w:eastAsia="MS UI Gothic"/>
          <w:w w:val="80"/>
        </w:rPr>
        <w:t>ꎮ</w:t>
      </w:r>
    </w:p>
    <w:p>
      <w:pPr>
        <w:pStyle w:val="6"/>
        <w:spacing w:before="129" w:line="441" w:lineRule="auto"/>
        <w:ind w:left="860" w:hanging="315"/>
        <w:rPr>
          <w:rFonts w:hint="eastAsia" w:ascii="MS UI Gothic" w:eastAsia="MS UI Gothic"/>
        </w:rPr>
      </w:pPr>
      <w:r>
        <w:rPr>
          <w:w w:val="105"/>
        </w:rPr>
        <w:t>第二章 行政处罚自由裁量的考量原则第五条 行使行政处罚自由裁量权</w:t>
      </w:r>
      <w:r>
        <w:rPr>
          <w:rFonts w:hint="eastAsia" w:ascii="MS UI Gothic" w:eastAsia="MS UI Gothic"/>
          <w:w w:val="80"/>
        </w:rPr>
        <w:t>ꎬ</w:t>
      </w:r>
    </w:p>
    <w:p>
      <w:pPr>
        <w:pStyle w:val="6"/>
        <w:spacing w:before="124" w:line="295" w:lineRule="auto"/>
        <w:ind w:left="381" w:right="124" w:firstLine="0"/>
        <w:rPr>
          <w:rFonts w:hint="eastAsia" w:ascii="MS UI Gothic" w:eastAsia="MS UI Gothic"/>
        </w:rPr>
      </w:pPr>
      <w:r>
        <w:br w:type="column"/>
      </w:r>
      <w:r>
        <w:t>应当遵循程序法定原则</w:t>
      </w:r>
      <w:r>
        <w:rPr>
          <w:rFonts w:hint="eastAsia" w:ascii="MS UI Gothic" w:eastAsia="MS UI Gothic"/>
          <w:w w:val="80"/>
        </w:rPr>
        <w:t xml:space="preserve">ꎬ </w:t>
      </w:r>
      <w:r>
        <w:t>严格遵守法律</w:t>
      </w:r>
      <w:r>
        <w:rPr>
          <w:rFonts w:hint="eastAsia" w:ascii="MS UI Gothic" w:eastAsia="MS UI Gothic"/>
          <w:w w:val="80"/>
        </w:rPr>
        <w:t>、</w:t>
      </w:r>
      <w:r>
        <w:t>行政法规和部门规章规定的程序</w:t>
      </w:r>
      <w:r>
        <w:rPr>
          <w:rFonts w:hint="eastAsia" w:ascii="MS UI Gothic" w:eastAsia="MS UI Gothic"/>
          <w:w w:val="80"/>
        </w:rPr>
        <w:t>ꎮ</w:t>
      </w:r>
    </w:p>
    <w:p>
      <w:pPr>
        <w:pStyle w:val="6"/>
        <w:spacing w:line="295" w:lineRule="auto"/>
        <w:ind w:left="381" w:right="124"/>
        <w:rPr>
          <w:rFonts w:hint="eastAsia" w:ascii="MS UI Gothic" w:eastAsia="MS UI Gothic"/>
        </w:rPr>
      </w:pPr>
      <w:r>
        <w:t>第六条 行使行政处罚自由裁量权</w:t>
      </w:r>
      <w:r>
        <w:rPr>
          <w:rFonts w:hint="eastAsia" w:ascii="MS UI Gothic" w:eastAsia="MS UI Gothic"/>
          <w:w w:val="80"/>
        </w:rPr>
        <w:t>ꎬ</w:t>
      </w:r>
      <w:r>
        <w:t>应当遵循合法</w:t>
      </w:r>
      <w:r>
        <w:rPr>
          <w:rFonts w:hint="eastAsia" w:ascii="MS UI Gothic" w:eastAsia="MS UI Gothic"/>
          <w:w w:val="80"/>
        </w:rPr>
        <w:t xml:space="preserve">、 </w:t>
      </w:r>
      <w:r>
        <w:t>公平</w:t>
      </w:r>
      <w:r>
        <w:rPr>
          <w:rFonts w:hint="eastAsia" w:ascii="MS UI Gothic" w:eastAsia="MS UI Gothic"/>
          <w:w w:val="80"/>
        </w:rPr>
        <w:t xml:space="preserve">、 </w:t>
      </w:r>
      <w:r>
        <w:t>公正</w:t>
      </w:r>
      <w:r>
        <w:rPr>
          <w:rFonts w:hint="eastAsia" w:ascii="MS UI Gothic" w:eastAsia="MS UI Gothic"/>
          <w:w w:val="80"/>
        </w:rPr>
        <w:t xml:space="preserve">、 </w:t>
      </w:r>
      <w:r>
        <w:t>公开的原则</w:t>
      </w:r>
      <w:r>
        <w:rPr>
          <w:rFonts w:hint="eastAsia" w:ascii="MS UI Gothic" w:eastAsia="MS UI Gothic"/>
          <w:w w:val="80"/>
        </w:rPr>
        <w:t xml:space="preserve">ꎬ </w:t>
      </w:r>
      <w:r>
        <w:t>过罚相当的原则和处罚与教育相结合的原则</w:t>
      </w:r>
      <w:r>
        <w:rPr>
          <w:rFonts w:hint="eastAsia" w:ascii="MS UI Gothic" w:eastAsia="MS UI Gothic"/>
          <w:w w:val="80"/>
        </w:rPr>
        <w:t xml:space="preserve">ꎬ </w:t>
      </w:r>
      <w:r>
        <w:t>依法维护公民</w:t>
      </w:r>
      <w:r>
        <w:rPr>
          <w:rFonts w:hint="eastAsia" w:ascii="MS UI Gothic" w:eastAsia="MS UI Gothic"/>
          <w:w w:val="80"/>
        </w:rPr>
        <w:t xml:space="preserve">、 </w:t>
      </w:r>
      <w:r>
        <w:t>法人和其他组织的合法权益</w:t>
      </w:r>
      <w:r>
        <w:rPr>
          <w:rFonts w:hint="eastAsia" w:ascii="MS UI Gothic" w:eastAsia="MS UI Gothic"/>
          <w:w w:val="80"/>
        </w:rPr>
        <w:t xml:space="preserve">ꎬ </w:t>
      </w:r>
      <w:r>
        <w:t>确保行政处罚自由裁量权行使的合法性和合理性</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10"/>
        </w:rPr>
        <w:t>第七条 行使行政处罚自由裁量权</w:t>
      </w:r>
      <w:r>
        <w:rPr>
          <w:rFonts w:hint="eastAsia" w:ascii="MS UI Gothic" w:eastAsia="MS UI Gothic"/>
          <w:w w:val="80"/>
        </w:rPr>
        <w:t>ꎬ</w:t>
      </w:r>
      <w:r>
        <w:rPr>
          <w:spacing w:val="3"/>
        </w:rPr>
        <w:t>应当以事实为依据</w:t>
      </w:r>
      <w:r>
        <w:rPr>
          <w:rFonts w:hint="eastAsia" w:ascii="MS UI Gothic" w:eastAsia="MS UI Gothic"/>
          <w:spacing w:val="11"/>
          <w:w w:val="80"/>
        </w:rPr>
        <w:t xml:space="preserve">、 </w:t>
      </w:r>
      <w:r>
        <w:rPr>
          <w:spacing w:val="3"/>
        </w:rPr>
        <w:t>以法律为准绳</w:t>
      </w:r>
      <w:r>
        <w:rPr>
          <w:rFonts w:hint="eastAsia" w:ascii="MS UI Gothic" w:eastAsia="MS UI Gothic"/>
          <w:spacing w:val="11"/>
          <w:w w:val="80"/>
        </w:rPr>
        <w:t xml:space="preserve">ꎬ </w:t>
      </w:r>
      <w:r>
        <w:rPr>
          <w:spacing w:val="1"/>
        </w:rPr>
        <w:t>全面</w:t>
      </w:r>
      <w:r>
        <w:rPr>
          <w:spacing w:val="6"/>
        </w:rPr>
        <w:t>分析违法行为的主体</w:t>
      </w:r>
      <w:r>
        <w:rPr>
          <w:rFonts w:hint="eastAsia" w:ascii="MS UI Gothic" w:eastAsia="MS UI Gothic"/>
          <w:w w:val="80"/>
        </w:rPr>
        <w:t xml:space="preserve">、 </w:t>
      </w:r>
      <w:r>
        <w:rPr>
          <w:spacing w:val="9"/>
        </w:rPr>
        <w:t>客体</w:t>
      </w:r>
      <w:r>
        <w:rPr>
          <w:rFonts w:hint="eastAsia" w:ascii="MS UI Gothic" w:eastAsia="MS UI Gothic"/>
          <w:w w:val="80"/>
        </w:rPr>
        <w:t xml:space="preserve">、  </w:t>
      </w:r>
      <w:r>
        <w:rPr>
          <w:spacing w:val="12"/>
        </w:rPr>
        <w:t>主观方面</w:t>
      </w:r>
      <w:r>
        <w:rPr>
          <w:rFonts w:hint="eastAsia" w:ascii="MS UI Gothic" w:eastAsia="MS UI Gothic"/>
          <w:w w:val="80"/>
        </w:rPr>
        <w:t>、</w:t>
      </w:r>
      <w:r>
        <w:rPr>
          <w:spacing w:val="3"/>
        </w:rPr>
        <w:t>客观方面等因素</w:t>
      </w:r>
      <w:r>
        <w:rPr>
          <w:rFonts w:hint="eastAsia" w:ascii="MS UI Gothic" w:eastAsia="MS UI Gothic"/>
          <w:spacing w:val="23"/>
          <w:w w:val="80"/>
        </w:rPr>
        <w:t xml:space="preserve">ꎬ </w:t>
      </w:r>
      <w:r>
        <w:rPr>
          <w:spacing w:val="3"/>
        </w:rPr>
        <w:t>综合裁量</w:t>
      </w:r>
      <w:r>
        <w:rPr>
          <w:rFonts w:hint="eastAsia" w:ascii="MS UI Gothic" w:eastAsia="MS UI Gothic"/>
          <w:spacing w:val="23"/>
          <w:w w:val="80"/>
        </w:rPr>
        <w:t xml:space="preserve">ꎬ </w:t>
      </w:r>
      <w:r>
        <w:rPr>
          <w:spacing w:val="2"/>
        </w:rPr>
        <w:t>合理确定应否给予行政处罚或者应当给予行政处罚的</w:t>
      </w:r>
      <w:r>
        <w:rPr>
          <w:spacing w:val="3"/>
        </w:rPr>
        <w:t>种类</w:t>
      </w:r>
      <w:r>
        <w:rPr>
          <w:rFonts w:hint="eastAsia" w:ascii="MS UI Gothic" w:eastAsia="MS UI Gothic"/>
          <w:spacing w:val="7"/>
          <w:w w:val="80"/>
        </w:rPr>
        <w:t xml:space="preserve">、 </w:t>
      </w:r>
      <w:r>
        <w:rPr>
          <w:spacing w:val="3"/>
        </w:rPr>
        <w:t>幅度</w:t>
      </w:r>
      <w:r>
        <w:rPr>
          <w:rFonts w:hint="eastAsia" w:ascii="MS UI Gothic" w:eastAsia="MS UI Gothic"/>
          <w:spacing w:val="7"/>
          <w:w w:val="80"/>
        </w:rPr>
        <w:t xml:space="preserve">ꎮ </w:t>
      </w:r>
      <w:r>
        <w:rPr>
          <w:spacing w:val="3"/>
        </w:rPr>
        <w:t>给予行政处罚的种类</w:t>
      </w:r>
      <w:r>
        <w:rPr>
          <w:rFonts w:hint="eastAsia" w:ascii="MS UI Gothic" w:eastAsia="MS UI Gothic"/>
          <w:spacing w:val="7"/>
          <w:w w:val="80"/>
        </w:rPr>
        <w:t xml:space="preserve">、 </w:t>
      </w:r>
      <w:r>
        <w:rPr>
          <w:spacing w:val="1"/>
        </w:rPr>
        <w:t>幅度</w:t>
      </w:r>
      <w:r>
        <w:rPr>
          <w:spacing w:val="3"/>
        </w:rPr>
        <w:t>应当与违法行为的事实</w:t>
      </w:r>
      <w:r>
        <w:rPr>
          <w:rFonts w:hint="eastAsia" w:ascii="MS UI Gothic" w:eastAsia="MS UI Gothic"/>
          <w:spacing w:val="15"/>
          <w:w w:val="80"/>
        </w:rPr>
        <w:t xml:space="preserve">、 </w:t>
      </w:r>
      <w:r>
        <w:rPr>
          <w:spacing w:val="3"/>
        </w:rPr>
        <w:t>性质</w:t>
      </w:r>
      <w:r>
        <w:rPr>
          <w:rFonts w:hint="eastAsia" w:ascii="MS UI Gothic" w:eastAsia="MS UI Gothic"/>
          <w:spacing w:val="15"/>
          <w:w w:val="80"/>
        </w:rPr>
        <w:t xml:space="preserve">、 </w:t>
      </w:r>
      <w:r>
        <w:rPr>
          <w:spacing w:val="3"/>
        </w:rPr>
        <w:t>情节</w:t>
      </w:r>
      <w:r>
        <w:rPr>
          <w:rFonts w:hint="eastAsia" w:ascii="MS UI Gothic" w:eastAsia="MS UI Gothic"/>
          <w:spacing w:val="16"/>
          <w:w w:val="80"/>
        </w:rPr>
        <w:t xml:space="preserve">、 </w:t>
      </w:r>
      <w:r>
        <w:t>认</w:t>
      </w:r>
      <w:r>
        <w:rPr>
          <w:spacing w:val="3"/>
        </w:rPr>
        <w:t>知态度以及社会危害程度相当</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6"/>
        </w:rPr>
        <w:t>对同一类违法主体实施的性质相同</w:t>
      </w:r>
      <w:r>
        <w:rPr>
          <w:rFonts w:hint="eastAsia" w:ascii="MS UI Gothic" w:eastAsia="MS UI Gothic"/>
          <w:w w:val="80"/>
        </w:rPr>
        <w:t>、</w:t>
      </w:r>
      <w:r>
        <w:rPr>
          <w:spacing w:val="3"/>
        </w:rPr>
        <w:t>情节相近或者相似</w:t>
      </w:r>
      <w:r>
        <w:rPr>
          <w:rFonts w:hint="eastAsia" w:ascii="MS UI Gothic" w:eastAsia="MS UI Gothic"/>
          <w:spacing w:val="16"/>
          <w:w w:val="80"/>
        </w:rPr>
        <w:t xml:space="preserve">、 </w:t>
      </w:r>
      <w:r>
        <w:rPr>
          <w:spacing w:val="2"/>
        </w:rPr>
        <w:t>危害后果基本相当的</w:t>
      </w:r>
      <w:r>
        <w:rPr>
          <w:spacing w:val="8"/>
        </w:rPr>
        <w:t>违法行为</w:t>
      </w:r>
      <w:r>
        <w:rPr>
          <w:rFonts w:hint="eastAsia" w:ascii="MS UI Gothic" w:eastAsia="MS UI Gothic"/>
          <w:spacing w:val="23"/>
          <w:w w:val="80"/>
        </w:rPr>
        <w:t xml:space="preserve">ꎬ </w:t>
      </w:r>
      <w:r>
        <w:rPr>
          <w:spacing w:val="17"/>
        </w:rPr>
        <w:t>在行使行政处罚自由裁量权</w:t>
      </w:r>
      <w:r>
        <w:rPr>
          <w:spacing w:val="3"/>
        </w:rPr>
        <w:t>时</w:t>
      </w:r>
      <w:r>
        <w:rPr>
          <w:rFonts w:hint="eastAsia" w:ascii="MS UI Gothic" w:eastAsia="MS UI Gothic"/>
          <w:spacing w:val="11"/>
          <w:w w:val="80"/>
        </w:rPr>
        <w:t xml:space="preserve">ꎬ </w:t>
      </w:r>
      <w:r>
        <w:rPr>
          <w:spacing w:val="3"/>
        </w:rPr>
        <w:t>适用的法律依据</w:t>
      </w:r>
      <w:r>
        <w:rPr>
          <w:rFonts w:hint="eastAsia" w:ascii="MS UI Gothic" w:eastAsia="MS UI Gothic"/>
          <w:spacing w:val="11"/>
          <w:w w:val="80"/>
        </w:rPr>
        <w:t xml:space="preserve">、 </w:t>
      </w:r>
      <w:r>
        <w:rPr>
          <w:spacing w:val="2"/>
        </w:rPr>
        <w:t>处罚种类应当基本</w:t>
      </w:r>
      <w:r>
        <w:rPr>
          <w:spacing w:val="3"/>
        </w:rPr>
        <w:t>一致</w:t>
      </w:r>
      <w:r>
        <w:rPr>
          <w:rFonts w:hint="eastAsia" w:ascii="MS UI Gothic" w:eastAsia="MS UI Gothic"/>
          <w:spacing w:val="1"/>
          <w:w w:val="80"/>
        </w:rPr>
        <w:t xml:space="preserve">ꎬ </w:t>
      </w:r>
      <w:r>
        <w:rPr>
          <w:spacing w:val="3"/>
        </w:rPr>
        <w:t>处罚幅度应当基本相当</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第八条 同一个违法行为违反不同法律</w:t>
      </w:r>
      <w:r>
        <w:rPr>
          <w:rFonts w:hint="eastAsia" w:ascii="MS UI Gothic" w:eastAsia="MS UI Gothic"/>
          <w:w w:val="80"/>
        </w:rPr>
        <w:t xml:space="preserve">、 </w:t>
      </w:r>
      <w:r>
        <w:rPr>
          <w:w w:val="105"/>
        </w:rPr>
        <w:t>行政法规或者部门规章规定的</w:t>
      </w:r>
      <w:r>
        <w:rPr>
          <w:rFonts w:hint="eastAsia" w:ascii="MS UI Gothic" w:eastAsia="MS UI Gothic"/>
          <w:w w:val="80"/>
        </w:rPr>
        <w:t xml:space="preserve">ꎬ </w:t>
      </w:r>
      <w:r>
        <w:rPr>
          <w:w w:val="105"/>
        </w:rPr>
        <w:t>在适用具体法律条文时应当遵循下列原则</w:t>
      </w:r>
      <w:r>
        <w:rPr>
          <w:rFonts w:hint="eastAsia" w:ascii="MS UI Gothic" w:eastAsia="MS UI Gothic"/>
          <w:w w:val="235"/>
        </w:rPr>
        <w:t>:</w:t>
      </w:r>
    </w:p>
    <w:p>
      <w:pPr>
        <w:pStyle w:val="6"/>
        <w:spacing w:line="254" w:lineRule="exact"/>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优先适用法律效力高的规定</w:t>
      </w:r>
      <w:r>
        <w:rPr>
          <w:rFonts w:hint="eastAsia" w:ascii="MS UI Gothic" w:eastAsia="MS UI Gothic"/>
          <w:w w:val="80"/>
        </w:rPr>
        <w:t>ꎻ</w:t>
      </w:r>
    </w:p>
    <w:p>
      <w:pPr>
        <w:pStyle w:val="6"/>
        <w:spacing w:before="41" w:line="295" w:lineRule="auto"/>
        <w:ind w:left="381" w:right="126"/>
        <w:jc w:val="left"/>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3"/>
          <w:w w:val="150"/>
        </w:rPr>
        <w:t xml:space="preserve">) </w:t>
      </w:r>
      <w:r>
        <w:rPr>
          <w:spacing w:val="5"/>
          <w:w w:val="105"/>
        </w:rPr>
        <w:t>法律效力相同</w:t>
      </w:r>
      <w:r>
        <w:rPr>
          <w:rFonts w:hint="eastAsia" w:ascii="MS UI Gothic" w:eastAsia="MS UI Gothic"/>
          <w:spacing w:val="13"/>
          <w:w w:val="80"/>
        </w:rPr>
        <w:t xml:space="preserve">ꎬ </w:t>
      </w:r>
      <w:r>
        <w:rPr>
          <w:spacing w:val="9"/>
          <w:w w:val="105"/>
        </w:rPr>
        <w:t>属于特别规定</w:t>
      </w:r>
      <w:r>
        <w:rPr>
          <w:spacing w:val="3"/>
          <w:w w:val="105"/>
        </w:rPr>
        <w:t>的优先适用</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3"/>
          <w:w w:val="150"/>
        </w:rPr>
        <w:t xml:space="preserve">) </w:t>
      </w:r>
      <w:r>
        <w:rPr>
          <w:spacing w:val="5"/>
          <w:w w:val="105"/>
        </w:rPr>
        <w:t>法律效力相同</w:t>
      </w:r>
      <w:r>
        <w:rPr>
          <w:rFonts w:hint="eastAsia" w:ascii="MS UI Gothic" w:eastAsia="MS UI Gothic"/>
          <w:spacing w:val="13"/>
          <w:w w:val="80"/>
        </w:rPr>
        <w:t xml:space="preserve">ꎬ </w:t>
      </w:r>
      <w:r>
        <w:rPr>
          <w:spacing w:val="9"/>
          <w:w w:val="105"/>
        </w:rPr>
        <w:t>生效时间在后</w:t>
      </w:r>
      <w:r>
        <w:rPr>
          <w:spacing w:val="3"/>
          <w:w w:val="105"/>
        </w:rPr>
        <w:t>的优先适用</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第九条 法律对同一个违法行为设定</w:t>
      </w:r>
      <w:r>
        <w:rPr>
          <w:spacing w:val="3"/>
        </w:rPr>
        <w:t>了行政处罚的</w:t>
      </w:r>
      <w:r>
        <w:rPr>
          <w:rFonts w:hint="eastAsia" w:ascii="MS UI Gothic" w:eastAsia="MS UI Gothic"/>
          <w:spacing w:val="20"/>
          <w:w w:val="80"/>
        </w:rPr>
        <w:t xml:space="preserve">ꎬ </w:t>
      </w:r>
      <w:r>
        <w:rPr>
          <w:spacing w:val="2"/>
        </w:rPr>
        <w:t>按照下列原则行使自由裁</w:t>
      </w:r>
      <w:r>
        <w:rPr>
          <w:spacing w:val="3"/>
          <w:w w:val="110"/>
        </w:rPr>
        <w:t>量权</w:t>
      </w:r>
      <w:r>
        <w:rPr>
          <w:rFonts w:hint="eastAsia" w:ascii="MS UI Gothic" w:eastAsia="MS UI Gothic"/>
          <w:w w:val="235"/>
        </w:rPr>
        <w:t>:</w:t>
      </w:r>
    </w:p>
    <w:p>
      <w:pPr>
        <w:pStyle w:val="6"/>
        <w:spacing w:line="295" w:lineRule="auto"/>
        <w:ind w:left="381" w:right="126"/>
        <w:rPr>
          <w:rFonts w:hint="eastAsia" w:ascii="MS UI Gothic" w:hAnsi="MS UI Gothic" w:eastAsia="MS UI Gothic"/>
        </w:rPr>
      </w:pPr>
      <w:r>
        <w:rPr>
          <w:rFonts w:hint="eastAsia" w:ascii="MS UI Gothic" w:hAnsi="MS UI Gothic" w:eastAsia="MS UI Gothic"/>
          <w:spacing w:val="-38"/>
          <w:w w:val="150"/>
        </w:rPr>
        <w:t xml:space="preserve">( </w:t>
      </w:r>
      <w:r>
        <w:rPr>
          <w:spacing w:val="3"/>
          <w:w w:val="105"/>
        </w:rPr>
        <w:t>一</w:t>
      </w:r>
      <w:r>
        <w:rPr>
          <w:rFonts w:hint="eastAsia" w:ascii="MS UI Gothic" w:hAnsi="MS UI Gothic" w:eastAsia="MS UI Gothic"/>
          <w:spacing w:val="3"/>
          <w:w w:val="150"/>
        </w:rPr>
        <w:t xml:space="preserve">) </w:t>
      </w:r>
      <w:r>
        <w:rPr>
          <w:spacing w:val="5"/>
          <w:w w:val="105"/>
        </w:rPr>
        <w:t>同一法律规定实施某个违法行</w:t>
      </w:r>
      <w:r>
        <w:rPr>
          <w:spacing w:val="-3"/>
          <w:w w:val="105"/>
        </w:rPr>
        <w:t xml:space="preserve">为应当 </w:t>
      </w:r>
      <w:r>
        <w:rPr>
          <w:rFonts w:hint="eastAsia" w:ascii="MS UI Gothic" w:hAnsi="MS UI Gothic" w:eastAsia="MS UI Gothic"/>
          <w:spacing w:val="-35"/>
          <w:w w:val="150"/>
        </w:rPr>
        <w:t xml:space="preserve">( </w:t>
      </w:r>
      <w:r>
        <w:rPr>
          <w:spacing w:val="14"/>
          <w:w w:val="105"/>
        </w:rPr>
        <w:t>可以</w:t>
      </w:r>
      <w:r>
        <w:rPr>
          <w:rFonts w:hint="eastAsia" w:ascii="MS UI Gothic" w:hAnsi="MS UI Gothic" w:eastAsia="MS UI Gothic"/>
          <w:spacing w:val="11"/>
          <w:w w:val="150"/>
        </w:rPr>
        <w:t xml:space="preserve">) </w:t>
      </w:r>
      <w:r>
        <w:rPr>
          <w:spacing w:val="16"/>
          <w:w w:val="105"/>
        </w:rPr>
        <w:t>处以罚款的行政处罚确</w:t>
      </w:r>
      <w:r>
        <w:rPr>
          <w:spacing w:val="3"/>
          <w:w w:val="105"/>
        </w:rPr>
        <w:t>定的</w:t>
      </w:r>
      <w:r>
        <w:rPr>
          <w:rFonts w:hint="eastAsia" w:ascii="MS UI Gothic" w:hAnsi="MS UI Gothic" w:eastAsia="MS UI Gothic"/>
          <w:spacing w:val="12"/>
          <w:w w:val="80"/>
        </w:rPr>
        <w:t xml:space="preserve">ꎬ </w:t>
      </w:r>
      <w:r>
        <w:rPr>
          <w:spacing w:val="-7"/>
          <w:w w:val="105"/>
        </w:rPr>
        <w:t xml:space="preserve">参照 </w:t>
      </w:r>
      <w:r>
        <w:rPr>
          <w:rFonts w:hint="eastAsia" w:ascii="MS UI Gothic" w:hAnsi="MS UI Gothic" w:eastAsia="MS UI Gothic"/>
          <w:spacing w:val="-13"/>
          <w:w w:val="80"/>
        </w:rPr>
        <w:t xml:space="preserve">« </w:t>
      </w:r>
      <w:r>
        <w:rPr>
          <w:spacing w:val="17"/>
          <w:w w:val="105"/>
        </w:rPr>
        <w:t>标准</w:t>
      </w:r>
      <w:r>
        <w:rPr>
          <w:rFonts w:hint="eastAsia" w:ascii="MS UI Gothic" w:hAnsi="MS UI Gothic" w:eastAsia="MS UI Gothic"/>
          <w:spacing w:val="23"/>
          <w:w w:val="80"/>
        </w:rPr>
        <w:t xml:space="preserve">» </w:t>
      </w:r>
      <w:r>
        <w:rPr>
          <w:spacing w:val="16"/>
          <w:w w:val="105"/>
        </w:rPr>
        <w:t>对其罚款幅度予以</w:t>
      </w:r>
      <w:r>
        <w:rPr>
          <w:spacing w:val="3"/>
          <w:w w:val="105"/>
        </w:rPr>
        <w:t>细化</w:t>
      </w:r>
      <w:r>
        <w:rPr>
          <w:rFonts w:hint="eastAsia" w:ascii="MS UI Gothic" w:hAnsi="MS UI Gothic" w:eastAsia="MS UI Gothic"/>
          <w:w w:val="80"/>
        </w:rPr>
        <w:t>ꎻ</w:t>
      </w:r>
    </w:p>
    <w:p>
      <w:pPr>
        <w:pStyle w:val="6"/>
        <w:spacing w:line="295" w:lineRule="auto"/>
        <w:ind w:left="381" w:right="126"/>
      </w:pPr>
      <w:r>
        <w:rPr>
          <w:rFonts w:hint="eastAsia" w:ascii="MS UI Gothic" w:eastAsia="MS UI Gothic"/>
          <w:spacing w:val="-21"/>
          <w:w w:val="105"/>
        </w:rPr>
        <w:t xml:space="preserve">( </w:t>
      </w:r>
      <w:r>
        <w:rPr>
          <w:spacing w:val="3"/>
          <w:w w:val="105"/>
        </w:rPr>
        <w:t>二</w:t>
      </w:r>
      <w:r>
        <w:rPr>
          <w:rFonts w:hint="eastAsia" w:ascii="MS UI Gothic" w:eastAsia="MS UI Gothic"/>
          <w:spacing w:val="5"/>
          <w:w w:val="105"/>
        </w:rPr>
        <w:t xml:space="preserve">) </w:t>
      </w:r>
      <w:r>
        <w:rPr>
          <w:spacing w:val="5"/>
          <w:w w:val="105"/>
        </w:rPr>
        <w:t>同一法律规定实施某个违法行</w:t>
      </w:r>
      <w:r>
        <w:rPr>
          <w:spacing w:val="-10"/>
          <w:w w:val="110"/>
        </w:rPr>
        <w:t xml:space="preserve">为应当 </w:t>
      </w:r>
      <w:r>
        <w:rPr>
          <w:rFonts w:hint="eastAsia" w:ascii="MS UI Gothic" w:eastAsia="MS UI Gothic"/>
          <w:spacing w:val="-38"/>
          <w:w w:val="150"/>
        </w:rPr>
        <w:t xml:space="preserve">( </w:t>
      </w:r>
      <w:r>
        <w:rPr>
          <w:spacing w:val="15"/>
          <w:w w:val="110"/>
        </w:rPr>
        <w:t>可以</w:t>
      </w:r>
      <w:r>
        <w:rPr>
          <w:rFonts w:hint="eastAsia" w:ascii="MS UI Gothic" w:eastAsia="MS UI Gothic"/>
          <w:spacing w:val="-4"/>
          <w:w w:val="150"/>
        </w:rPr>
        <w:t xml:space="preserve">) </w:t>
      </w:r>
      <w:r>
        <w:rPr>
          <w:spacing w:val="6"/>
          <w:w w:val="110"/>
        </w:rPr>
        <w:t xml:space="preserve">处以不同种类 </w:t>
      </w:r>
      <w:r>
        <w:rPr>
          <w:rFonts w:hint="eastAsia" w:ascii="MS UI Gothic" w:eastAsia="MS UI Gothic"/>
          <w:spacing w:val="-36"/>
          <w:w w:val="150"/>
        </w:rPr>
        <w:t xml:space="preserve">( </w:t>
      </w:r>
      <w:r>
        <w:rPr>
          <w:spacing w:val="11"/>
          <w:w w:val="110"/>
        </w:rPr>
        <w:t>包括警</w:t>
      </w:r>
      <w:r>
        <w:rPr>
          <w:spacing w:val="3"/>
          <w:w w:val="105"/>
        </w:rPr>
        <w:t>告</w:t>
      </w:r>
      <w:r>
        <w:rPr>
          <w:rFonts w:hint="eastAsia" w:ascii="MS UI Gothic" w:eastAsia="MS UI Gothic"/>
          <w:spacing w:val="-6"/>
        </w:rPr>
        <w:t xml:space="preserve">、 </w:t>
      </w:r>
      <w:r>
        <w:rPr>
          <w:spacing w:val="3"/>
          <w:w w:val="105"/>
        </w:rPr>
        <w:t>没收违法所得</w:t>
      </w:r>
      <w:r>
        <w:rPr>
          <w:rFonts w:hint="eastAsia" w:ascii="MS UI Gothic" w:eastAsia="MS UI Gothic"/>
          <w:spacing w:val="-6"/>
        </w:rPr>
        <w:t xml:space="preserve">、 </w:t>
      </w:r>
      <w:r>
        <w:rPr>
          <w:spacing w:val="2"/>
          <w:w w:val="105"/>
        </w:rPr>
        <w:t>暂扣或者吊销许可证</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１３８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56" o:spid="_x0000_s1456" o:spt="203" style="height:2.15pt;width:398.25pt;" coordsize="7965,43">
            <o:lock v:ext="edit"/>
            <v:line id="_x0000_s1457" o:spid="_x0000_s1457" o:spt="20" style="position:absolute;left:0;top:39;height:0;width:7965;" stroked="t" coordsize="21600,21600">
              <v:path arrowok="t"/>
              <v:fill focussize="0,0"/>
              <v:stroke weight="0.388031496062992pt" color="#231F20"/>
              <v:imagedata o:title=""/>
              <o:lock v:ext="edit"/>
            </v:line>
            <v:line id="_x0000_s1458" o:spid="_x0000_s145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hAnsi="MS UI Gothic" w:eastAsia="MS UI Gothic"/>
        </w:rPr>
      </w:pPr>
      <w:r>
        <w:rPr>
          <w:spacing w:val="3"/>
        </w:rPr>
        <w:t>等</w:t>
      </w:r>
      <w:r>
        <w:rPr>
          <w:rFonts w:hint="eastAsia" w:ascii="MS UI Gothic" w:hAnsi="MS UI Gothic" w:eastAsia="MS UI Gothic"/>
          <w:spacing w:val="19"/>
          <w:w w:val="150"/>
        </w:rPr>
        <w:t xml:space="preserve">) </w:t>
      </w:r>
      <w:r>
        <w:rPr>
          <w:spacing w:val="13"/>
        </w:rPr>
        <w:t>的行政处罚的</w:t>
      </w:r>
      <w:r>
        <w:rPr>
          <w:rFonts w:hint="eastAsia" w:ascii="MS UI Gothic" w:hAnsi="MS UI Gothic" w:eastAsia="MS UI Gothic"/>
          <w:spacing w:val="10"/>
          <w:w w:val="80"/>
        </w:rPr>
        <w:t xml:space="preserve">ꎬ </w:t>
      </w:r>
      <w:r>
        <w:rPr>
          <w:spacing w:val="12"/>
        </w:rPr>
        <w:t xml:space="preserve">参照 </w:t>
      </w:r>
      <w:r>
        <w:rPr>
          <w:rFonts w:hint="eastAsia" w:ascii="MS UI Gothic" w:hAnsi="MS UI Gothic" w:eastAsia="MS UI Gothic"/>
          <w:spacing w:val="-10"/>
          <w:w w:val="80"/>
        </w:rPr>
        <w:t xml:space="preserve">« </w:t>
      </w:r>
      <w:r>
        <w:rPr>
          <w:spacing w:val="15"/>
        </w:rPr>
        <w:t>标准</w:t>
      </w:r>
      <w:r>
        <w:rPr>
          <w:rFonts w:hint="eastAsia" w:ascii="MS UI Gothic" w:hAnsi="MS UI Gothic" w:eastAsia="MS UI Gothic"/>
          <w:spacing w:val="21"/>
          <w:w w:val="80"/>
        </w:rPr>
        <w:t xml:space="preserve">» </w:t>
      </w:r>
      <w:r>
        <w:rPr>
          <w:spacing w:val="9"/>
        </w:rPr>
        <w:t>给予</w:t>
      </w:r>
      <w:r>
        <w:rPr>
          <w:spacing w:val="3"/>
        </w:rPr>
        <w:t>相应种类的行政处罚</w:t>
      </w:r>
      <w:r>
        <w:rPr>
          <w:rFonts w:hint="eastAsia" w:ascii="MS UI Gothic" w:hAnsi="MS UI Gothic" w:eastAsia="MS UI Gothic"/>
          <w:w w:val="80"/>
        </w:rPr>
        <w:t>ꎻ</w:t>
      </w:r>
    </w:p>
    <w:p>
      <w:pPr>
        <w:pStyle w:val="6"/>
        <w:spacing w:line="295" w:lineRule="auto"/>
        <w:ind w:right="39"/>
        <w:rPr>
          <w:rFonts w:hint="eastAsia" w:ascii="MS UI Gothic" w:hAnsi="MS UI Gothic" w:eastAsia="MS UI Gothic"/>
        </w:rPr>
      </w:pPr>
      <w:r>
        <w:rPr>
          <w:rFonts w:hint="eastAsia" w:ascii="MS UI Gothic" w:hAnsi="MS UI Gothic" w:eastAsia="MS UI Gothic"/>
          <w:spacing w:val="-38"/>
          <w:w w:val="150"/>
        </w:rPr>
        <w:t xml:space="preserve">( </w:t>
      </w:r>
      <w:r>
        <w:rPr>
          <w:spacing w:val="3"/>
          <w:w w:val="105"/>
        </w:rPr>
        <w:t>三</w:t>
      </w:r>
      <w:r>
        <w:rPr>
          <w:rFonts w:hint="eastAsia" w:ascii="MS UI Gothic" w:hAnsi="MS UI Gothic" w:eastAsia="MS UI Gothic"/>
          <w:spacing w:val="3"/>
          <w:w w:val="150"/>
        </w:rPr>
        <w:t xml:space="preserve">) </w:t>
      </w:r>
      <w:r>
        <w:rPr>
          <w:spacing w:val="5"/>
          <w:w w:val="105"/>
        </w:rPr>
        <w:t>同一法律规定实施某个违法行</w:t>
      </w:r>
      <w:r>
        <w:rPr>
          <w:spacing w:val="2"/>
        </w:rPr>
        <w:t>为根据情节轻重不同处以不同种类的行政</w:t>
      </w:r>
      <w:r>
        <w:rPr>
          <w:spacing w:val="3"/>
          <w:w w:val="105"/>
        </w:rPr>
        <w:t>处罚的</w:t>
      </w:r>
      <w:r>
        <w:rPr>
          <w:rFonts w:hint="eastAsia" w:ascii="MS UI Gothic" w:hAnsi="MS UI Gothic" w:eastAsia="MS UI Gothic"/>
          <w:spacing w:val="12"/>
          <w:w w:val="80"/>
        </w:rPr>
        <w:t xml:space="preserve">ꎬ </w:t>
      </w:r>
      <w:r>
        <w:rPr>
          <w:spacing w:val="-2"/>
          <w:w w:val="105"/>
        </w:rPr>
        <w:t xml:space="preserve">参照 </w:t>
      </w:r>
      <w:r>
        <w:rPr>
          <w:rFonts w:hint="eastAsia" w:ascii="MS UI Gothic" w:hAnsi="MS UI Gothic" w:eastAsia="MS UI Gothic"/>
          <w:spacing w:val="-13"/>
          <w:w w:val="80"/>
        </w:rPr>
        <w:t xml:space="preserve">« </w:t>
      </w:r>
      <w:r>
        <w:rPr>
          <w:spacing w:val="17"/>
          <w:w w:val="105"/>
        </w:rPr>
        <w:t>标准</w:t>
      </w:r>
      <w:r>
        <w:rPr>
          <w:rFonts w:hint="eastAsia" w:ascii="MS UI Gothic" w:hAnsi="MS UI Gothic" w:eastAsia="MS UI Gothic"/>
          <w:spacing w:val="23"/>
          <w:w w:val="80"/>
        </w:rPr>
        <w:t xml:space="preserve">» </w:t>
      </w:r>
      <w:r>
        <w:rPr>
          <w:spacing w:val="16"/>
          <w:w w:val="105"/>
        </w:rPr>
        <w:t>确定的情节给予</w:t>
      </w:r>
      <w:r>
        <w:rPr>
          <w:spacing w:val="3"/>
          <w:w w:val="105"/>
        </w:rPr>
        <w:t>相应种类的行政处罚</w:t>
      </w:r>
      <w:r>
        <w:rPr>
          <w:rFonts w:hint="eastAsia" w:ascii="MS UI Gothic" w:hAnsi="MS UI Gothic" w:eastAsia="MS UI Gothic"/>
          <w:w w:val="80"/>
        </w:rPr>
        <w:t>ꎮ</w:t>
      </w:r>
    </w:p>
    <w:p>
      <w:pPr>
        <w:pStyle w:val="6"/>
        <w:spacing w:line="295" w:lineRule="auto"/>
        <w:ind w:right="39"/>
        <w:rPr>
          <w:rFonts w:hint="eastAsia" w:ascii="MS UI Gothic" w:eastAsia="MS UI Gothic"/>
        </w:rPr>
      </w:pPr>
      <w:r>
        <w:t>第十条 生产经营单位及其有关人员违反不同的法律规定</w:t>
      </w:r>
      <w:r>
        <w:rPr>
          <w:rFonts w:hint="eastAsia" w:ascii="MS UI Gothic" w:eastAsia="MS UI Gothic"/>
          <w:w w:val="80"/>
        </w:rPr>
        <w:t xml:space="preserve">ꎬ </w:t>
      </w:r>
      <w:r>
        <w:t>或者违反同一条款的不同违法情形</w:t>
      </w:r>
      <w:r>
        <w:rPr>
          <w:rFonts w:hint="eastAsia" w:ascii="MS UI Gothic" w:eastAsia="MS UI Gothic"/>
          <w:w w:val="80"/>
        </w:rPr>
        <w:t xml:space="preserve">ꎬ </w:t>
      </w:r>
      <w:r>
        <w:t>有两个以上应当给予行政处罚的违法行为的</w:t>
      </w:r>
      <w:r>
        <w:rPr>
          <w:rFonts w:hint="eastAsia" w:ascii="MS UI Gothic" w:eastAsia="MS UI Gothic"/>
          <w:w w:val="80"/>
        </w:rPr>
        <w:t xml:space="preserve">ꎬ </w:t>
      </w:r>
      <w:r>
        <w:t>应当适用不同的法律规定或者同一法律条款规定的不同违法情形</w:t>
      </w:r>
      <w:r>
        <w:rPr>
          <w:rFonts w:hint="eastAsia" w:ascii="MS UI Gothic" w:eastAsia="MS UI Gothic"/>
          <w:w w:val="80"/>
        </w:rPr>
        <w:t xml:space="preserve">ꎬ </w:t>
      </w:r>
      <w:r>
        <w:t>分别裁量</w:t>
      </w:r>
      <w:r>
        <w:rPr>
          <w:rFonts w:hint="eastAsia" w:ascii="MS UI Gothic" w:eastAsia="MS UI Gothic"/>
          <w:w w:val="80"/>
        </w:rPr>
        <w:t xml:space="preserve">ꎬ </w:t>
      </w:r>
      <w:r>
        <w:t>合并处罚</w:t>
      </w:r>
      <w:r>
        <w:rPr>
          <w:rFonts w:hint="eastAsia" w:ascii="MS UI Gothic" w:eastAsia="MS UI Gothic"/>
          <w:w w:val="80"/>
        </w:rPr>
        <w:t>ꎮ</w:t>
      </w:r>
    </w:p>
    <w:p>
      <w:pPr>
        <w:pStyle w:val="6"/>
        <w:spacing w:before="148"/>
        <w:ind w:left="229" w:firstLine="0"/>
      </w:pPr>
      <w:r>
        <w:rPr>
          <w:w w:val="105"/>
        </w:rPr>
        <w:t>第三章 行政处罚自由裁量的适用规则</w:t>
      </w:r>
    </w:p>
    <w:p>
      <w:pPr>
        <w:pStyle w:val="6"/>
        <w:spacing w:before="215" w:line="295" w:lineRule="auto"/>
        <w:ind w:right="38"/>
        <w:rPr>
          <w:rFonts w:hint="eastAsia" w:ascii="MS UI Gothic" w:eastAsia="MS UI Gothic"/>
        </w:rPr>
      </w:pPr>
      <w:r>
        <w:t>第十一条 法律</w:t>
      </w:r>
      <w:r>
        <w:rPr>
          <w:rFonts w:hint="eastAsia" w:ascii="MS UI Gothic" w:eastAsia="MS UI Gothic"/>
          <w:w w:val="80"/>
        </w:rPr>
        <w:t xml:space="preserve">、 </w:t>
      </w:r>
      <w:r>
        <w:t>行政法规或者部门规章规定应当先予责令改正或者责令限期改正的</w:t>
      </w:r>
      <w:r>
        <w:rPr>
          <w:rFonts w:hint="eastAsia" w:ascii="MS UI Gothic" w:eastAsia="MS UI Gothic"/>
          <w:w w:val="80"/>
        </w:rPr>
        <w:t xml:space="preserve">ꎬ </w:t>
      </w:r>
      <w:r>
        <w:t>应当先予书面责令当事人在规定期限内予以改正</w:t>
      </w:r>
      <w:r>
        <w:rPr>
          <w:rFonts w:hint="eastAsia" w:ascii="MS UI Gothic" w:eastAsia="MS UI Gothic"/>
          <w:w w:val="80"/>
        </w:rPr>
        <w:t xml:space="preserve">ꎻ </w:t>
      </w:r>
      <w:r>
        <w:t>当事人逾期不改正的</w:t>
      </w:r>
      <w:r>
        <w:rPr>
          <w:rFonts w:hint="eastAsia" w:ascii="MS UI Gothic" w:eastAsia="MS UI Gothic"/>
          <w:w w:val="80"/>
        </w:rPr>
        <w:t>ꎬ</w:t>
      </w:r>
      <w:r>
        <w:t>再依法决定行政处罚</w:t>
      </w:r>
      <w:r>
        <w:rPr>
          <w:rFonts w:hint="eastAsia" w:ascii="MS UI Gothic" w:eastAsia="MS UI Gothic"/>
          <w:w w:val="80"/>
        </w:rPr>
        <w:t>ꎮ</w:t>
      </w:r>
    </w:p>
    <w:p>
      <w:pPr>
        <w:pStyle w:val="6"/>
        <w:spacing w:line="295" w:lineRule="auto"/>
        <w:ind w:right="39"/>
        <w:rPr>
          <w:rFonts w:hint="eastAsia" w:ascii="MS UI Gothic" w:eastAsia="MS UI Gothic"/>
        </w:rPr>
      </w:pPr>
      <w:r>
        <w:t>第十二条 法律</w:t>
      </w:r>
      <w:r>
        <w:rPr>
          <w:rFonts w:hint="eastAsia" w:ascii="MS UI Gothic" w:eastAsia="MS UI Gothic"/>
          <w:w w:val="80"/>
        </w:rPr>
        <w:t xml:space="preserve">、 </w:t>
      </w:r>
      <w:r>
        <w:t>行政法规或者部门规章规定的多种处罚应当并处的</w:t>
      </w:r>
      <w:r>
        <w:rPr>
          <w:rFonts w:hint="eastAsia" w:ascii="MS UI Gothic" w:eastAsia="MS UI Gothic"/>
          <w:w w:val="80"/>
        </w:rPr>
        <w:t xml:space="preserve">ꎬ </w:t>
      </w:r>
      <w:r>
        <w:t>不得选择适用</w:t>
      </w:r>
      <w:r>
        <w:rPr>
          <w:rFonts w:hint="eastAsia" w:ascii="MS UI Gothic" w:eastAsia="MS UI Gothic"/>
          <w:w w:val="80"/>
        </w:rPr>
        <w:t xml:space="preserve">ꎻ </w:t>
      </w:r>
      <w:r>
        <w:t>规定可以并处的</w:t>
      </w:r>
      <w:r>
        <w:rPr>
          <w:rFonts w:hint="eastAsia" w:ascii="MS UI Gothic" w:eastAsia="MS UI Gothic"/>
          <w:w w:val="80"/>
        </w:rPr>
        <w:t xml:space="preserve">ꎬ </w:t>
      </w:r>
      <w:r>
        <w:t>可以选择适用</w:t>
      </w:r>
      <w:r>
        <w:rPr>
          <w:rFonts w:hint="eastAsia" w:ascii="MS UI Gothic" w:eastAsia="MS UI Gothic"/>
          <w:w w:val="80"/>
        </w:rPr>
        <w:t>ꎮ</w:t>
      </w:r>
    </w:p>
    <w:p>
      <w:pPr>
        <w:pStyle w:val="6"/>
        <w:spacing w:line="295" w:lineRule="auto"/>
        <w:ind w:right="39"/>
        <w:rPr>
          <w:rFonts w:hint="eastAsia" w:ascii="MS UI Gothic" w:eastAsia="MS UI Gothic"/>
        </w:rPr>
      </w:pPr>
      <w:r>
        <w:t>法律</w:t>
      </w:r>
      <w:r>
        <w:rPr>
          <w:rFonts w:hint="eastAsia" w:ascii="MS UI Gothic" w:eastAsia="MS UI Gothic"/>
          <w:w w:val="80"/>
        </w:rPr>
        <w:t xml:space="preserve">、 </w:t>
      </w:r>
      <w:r>
        <w:t>行政法规或者部门规章明确规定的处罚种类可以单处也可以并处的</w:t>
      </w:r>
      <w:r>
        <w:rPr>
          <w:rFonts w:hint="eastAsia" w:ascii="MS UI Gothic" w:eastAsia="MS UI Gothic"/>
          <w:w w:val="80"/>
        </w:rPr>
        <w:t xml:space="preserve">ꎬ </w:t>
      </w:r>
      <w:r>
        <w:t>可以选择适用</w:t>
      </w:r>
      <w:r>
        <w:rPr>
          <w:rFonts w:hint="eastAsia" w:ascii="MS UI Gothic" w:eastAsia="MS UI Gothic"/>
          <w:w w:val="80"/>
        </w:rPr>
        <w:t xml:space="preserve">ꎬ </w:t>
      </w:r>
      <w:r>
        <w:t>但应分清主罚项和次罚项</w:t>
      </w:r>
      <w:r>
        <w:rPr>
          <w:rFonts w:hint="eastAsia" w:ascii="MS UI Gothic" w:eastAsia="MS UI Gothic"/>
          <w:w w:val="80"/>
        </w:rPr>
        <w:t>ꎮ</w:t>
      </w:r>
    </w:p>
    <w:p>
      <w:pPr>
        <w:pStyle w:val="6"/>
        <w:spacing w:line="295" w:lineRule="auto"/>
        <w:ind w:right="39"/>
        <w:rPr>
          <w:rFonts w:hint="eastAsia" w:ascii="MS UI Gothic" w:eastAsia="MS UI Gothic"/>
        </w:rPr>
      </w:pPr>
      <w:r>
        <w:t>法律</w:t>
      </w:r>
      <w:r>
        <w:rPr>
          <w:rFonts w:hint="eastAsia" w:ascii="MS UI Gothic" w:eastAsia="MS UI Gothic"/>
          <w:w w:val="80"/>
        </w:rPr>
        <w:t xml:space="preserve">、 </w:t>
      </w:r>
      <w:r>
        <w:t>行政法规规定应当先予没收物品</w:t>
      </w:r>
      <w:r>
        <w:rPr>
          <w:rFonts w:hint="eastAsia" w:ascii="MS UI Gothic" w:eastAsia="MS UI Gothic"/>
          <w:w w:val="80"/>
        </w:rPr>
        <w:t xml:space="preserve">、 </w:t>
      </w:r>
      <w:r>
        <w:t>没收违法所得</w:t>
      </w:r>
      <w:r>
        <w:rPr>
          <w:rFonts w:hint="eastAsia" w:ascii="MS UI Gothic" w:eastAsia="MS UI Gothic"/>
          <w:w w:val="80"/>
        </w:rPr>
        <w:t xml:space="preserve">ꎬ </w:t>
      </w:r>
      <w:r>
        <w:t>再作其他处罚的</w:t>
      </w:r>
      <w:r>
        <w:rPr>
          <w:rFonts w:hint="eastAsia" w:ascii="MS UI Gothic" w:eastAsia="MS UI Gothic"/>
          <w:w w:val="80"/>
        </w:rPr>
        <w:t xml:space="preserve">ꎬ </w:t>
      </w:r>
      <w:r>
        <w:t>不得直接选择适用其他处罚</w:t>
      </w:r>
      <w:r>
        <w:rPr>
          <w:rFonts w:hint="eastAsia" w:ascii="MS UI Gothic" w:eastAsia="MS UI Gothic"/>
          <w:w w:val="80"/>
        </w:rPr>
        <w:t>ꎮ</w:t>
      </w:r>
    </w:p>
    <w:p>
      <w:pPr>
        <w:pStyle w:val="6"/>
        <w:spacing w:line="295" w:lineRule="auto"/>
        <w:ind w:right="39"/>
        <w:rPr>
          <w:rFonts w:hint="eastAsia" w:ascii="MS UI Gothic" w:eastAsia="MS UI Gothic"/>
        </w:rPr>
      </w:pPr>
      <w:r>
        <w:t>第十三条 法律</w:t>
      </w:r>
      <w:r>
        <w:rPr>
          <w:rFonts w:hint="eastAsia" w:ascii="MS UI Gothic" w:eastAsia="MS UI Gothic"/>
          <w:w w:val="80"/>
        </w:rPr>
        <w:t xml:space="preserve">、 </w:t>
      </w:r>
      <w:r>
        <w:t>行政法规或者部门规章已经规定处罚种类的</w:t>
      </w:r>
      <w:r>
        <w:rPr>
          <w:rFonts w:hint="eastAsia" w:ascii="MS UI Gothic" w:eastAsia="MS UI Gothic"/>
          <w:w w:val="80"/>
        </w:rPr>
        <w:t xml:space="preserve">ꎬ </w:t>
      </w:r>
      <w:r>
        <w:t>实施自由裁量权时</w:t>
      </w:r>
      <w:r>
        <w:rPr>
          <w:rFonts w:hint="eastAsia" w:ascii="MS UI Gothic" w:eastAsia="MS UI Gothic"/>
          <w:w w:val="80"/>
        </w:rPr>
        <w:t xml:space="preserve">ꎬ </w:t>
      </w:r>
      <w:r>
        <w:t>不得改变行政处罚种类</w:t>
      </w:r>
      <w:r>
        <w:rPr>
          <w:rFonts w:hint="eastAsia" w:ascii="MS UI Gothic" w:eastAsia="MS UI Gothic"/>
          <w:w w:val="80"/>
        </w:rPr>
        <w:t xml:space="preserve">ꎻ </w:t>
      </w:r>
      <w:r>
        <w:t>对当事人实施罚款的</w:t>
      </w:r>
      <w:r>
        <w:rPr>
          <w:rFonts w:hint="eastAsia" w:ascii="MS UI Gothic" w:eastAsia="MS UI Gothic"/>
          <w:w w:val="80"/>
        </w:rPr>
        <w:t xml:space="preserve">ꎬ </w:t>
      </w:r>
      <w:r>
        <w:t>其罚款额不得高于法律</w:t>
      </w:r>
      <w:r>
        <w:rPr>
          <w:rFonts w:hint="eastAsia" w:ascii="MS UI Gothic" w:eastAsia="MS UI Gothic"/>
          <w:w w:val="80"/>
        </w:rPr>
        <w:t xml:space="preserve">、 </w:t>
      </w:r>
      <w:r>
        <w:t>行政法规或者部门规章规定数额的上限</w:t>
      </w:r>
      <w:r>
        <w:rPr>
          <w:rFonts w:hint="eastAsia" w:ascii="MS UI Gothic" w:eastAsia="MS UI Gothic"/>
          <w:w w:val="80"/>
        </w:rPr>
        <w:t xml:space="preserve">ꎬ </w:t>
      </w:r>
      <w:r>
        <w:t>也不得低于其规定数额的下限</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第十四条 当事人有下列情形之一</w:t>
      </w:r>
      <w:r>
        <w:rPr>
          <w:w w:val="110"/>
        </w:rPr>
        <w:t>的</w:t>
      </w:r>
      <w:r>
        <w:rPr>
          <w:rFonts w:hint="eastAsia" w:ascii="MS UI Gothic" w:eastAsia="MS UI Gothic"/>
          <w:w w:val="80"/>
        </w:rPr>
        <w:t xml:space="preserve">ꎬ </w:t>
      </w:r>
      <w:r>
        <w:rPr>
          <w:w w:val="110"/>
        </w:rPr>
        <w:t>应当依法从轻处罚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45"/>
        </w:rPr>
        <w:t>(</w:t>
      </w:r>
      <w:r>
        <w:rPr>
          <w:w w:val="105"/>
        </w:rPr>
        <w:t>一</w:t>
      </w:r>
      <w:r>
        <w:rPr>
          <w:rFonts w:hint="eastAsia" w:ascii="MS UI Gothic" w:eastAsia="MS UI Gothic"/>
          <w:w w:val="145"/>
        </w:rPr>
        <w:t xml:space="preserve">) </w:t>
      </w:r>
      <w:r>
        <w:rPr>
          <w:w w:val="105"/>
        </w:rPr>
        <w:t xml:space="preserve">已满 </w:t>
      </w:r>
      <w:r>
        <w:rPr>
          <w:rFonts w:hint="eastAsia" w:ascii="MS UI Gothic" w:eastAsia="MS UI Gothic"/>
          <w:w w:val="85"/>
        </w:rPr>
        <w:t xml:space="preserve">１４ </w:t>
      </w:r>
      <w:r>
        <w:rPr>
          <w:w w:val="105"/>
        </w:rPr>
        <w:t xml:space="preserve">周岁不满 </w:t>
      </w:r>
      <w:r>
        <w:rPr>
          <w:rFonts w:hint="eastAsia" w:ascii="MS UI Gothic" w:eastAsia="MS UI Gothic"/>
          <w:w w:val="85"/>
        </w:rPr>
        <w:t xml:space="preserve">１８ </w:t>
      </w:r>
      <w:r>
        <w:rPr>
          <w:w w:val="105"/>
        </w:rPr>
        <w:t>周岁的公民实施安全生产违法行为的</w:t>
      </w:r>
      <w:r>
        <w:rPr>
          <w:rFonts w:hint="eastAsia" w:ascii="MS UI Gothic" w:eastAsia="MS UI Gothic"/>
          <w:w w:val="85"/>
        </w:rPr>
        <w:t>ꎻ</w:t>
      </w:r>
    </w:p>
    <w:p>
      <w:pPr>
        <w:pStyle w:val="6"/>
        <w:spacing w:before="123" w:line="295" w:lineRule="auto"/>
        <w:ind w:right="442"/>
        <w:rPr>
          <w:rFonts w:hint="eastAsia" w:ascii="MS UI Gothic" w:eastAsia="MS UI Gothic"/>
        </w:rPr>
      </w:pPr>
      <w:r>
        <w:br w:type="column"/>
      </w: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主动消除或者减轻安全生产违</w:t>
      </w:r>
      <w:r>
        <w:rPr>
          <w:w w:val="110"/>
        </w:rPr>
        <w:t>法行为危害后果的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受他人胁迫实施安全生产违法</w:t>
      </w:r>
      <w:r>
        <w:rPr>
          <w:w w:val="110"/>
        </w:rPr>
        <w:t>行为的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配合安全监管执法机关查处安全生产违法行为</w:t>
      </w:r>
      <w:r>
        <w:rPr>
          <w:rFonts w:hint="eastAsia" w:ascii="MS UI Gothic" w:eastAsia="MS UI Gothic"/>
          <w:w w:val="80"/>
        </w:rPr>
        <w:t xml:space="preserve">ꎬ </w:t>
      </w:r>
      <w:r>
        <w:rPr>
          <w:w w:val="105"/>
        </w:rPr>
        <w:t>有立功表现的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主动投案</w:t>
      </w:r>
      <w:r>
        <w:rPr>
          <w:rFonts w:hint="eastAsia" w:ascii="MS UI Gothic" w:eastAsia="MS UI Gothic"/>
          <w:w w:val="80"/>
        </w:rPr>
        <w:t xml:space="preserve">ꎬ </w:t>
      </w:r>
      <w:r>
        <w:rPr>
          <w:w w:val="105"/>
        </w:rPr>
        <w:t>向安全监管执法机关如实交待自己的违法行为的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具有法律</w:t>
      </w:r>
      <w:r>
        <w:rPr>
          <w:rFonts w:hint="eastAsia" w:ascii="MS UI Gothic" w:eastAsia="MS UI Gothic"/>
          <w:w w:val="80"/>
        </w:rPr>
        <w:t xml:space="preserve">、 </w:t>
      </w:r>
      <w:r>
        <w:rPr>
          <w:w w:val="105"/>
        </w:rPr>
        <w:t>行政法规规定的其他从轻处罚情形的</w:t>
      </w:r>
      <w:r>
        <w:rPr>
          <w:rFonts w:hint="eastAsia" w:ascii="MS UI Gothic" w:eastAsia="MS UI Gothic"/>
          <w:w w:val="80"/>
        </w:rPr>
        <w:t>ꎮ</w:t>
      </w:r>
    </w:p>
    <w:p>
      <w:pPr>
        <w:pStyle w:val="6"/>
        <w:spacing w:line="295" w:lineRule="auto"/>
        <w:ind w:right="442"/>
        <w:rPr>
          <w:rFonts w:hint="eastAsia" w:ascii="MS UI Gothic" w:eastAsia="MS UI Gothic"/>
        </w:rPr>
      </w:pPr>
      <w:r>
        <w:t>有从轻处罚情节的</w:t>
      </w:r>
      <w:r>
        <w:rPr>
          <w:rFonts w:hint="eastAsia" w:ascii="MS UI Gothic" w:eastAsia="MS UI Gothic"/>
          <w:w w:val="80"/>
        </w:rPr>
        <w:t xml:space="preserve">ꎬ </w:t>
      </w:r>
      <w:r>
        <w:t>应当在法定处罚幅度的中档以下确定行政处罚标准</w:t>
      </w:r>
      <w:r>
        <w:rPr>
          <w:rFonts w:hint="eastAsia" w:ascii="MS UI Gothic" w:eastAsia="MS UI Gothic"/>
          <w:w w:val="80"/>
        </w:rPr>
        <w:t xml:space="preserve">ꎬ </w:t>
      </w:r>
      <w:r>
        <w:t>但不得低于法定处罚幅度的下限</w:t>
      </w:r>
      <w:r>
        <w:rPr>
          <w:rFonts w:hint="eastAsia" w:ascii="MS UI Gothic" w:eastAsia="MS UI Gothic"/>
          <w:w w:val="80"/>
        </w:rPr>
        <w:t>ꎮ</w:t>
      </w:r>
    </w:p>
    <w:p>
      <w:pPr>
        <w:pStyle w:val="6"/>
        <w:spacing w:line="295" w:lineRule="auto"/>
        <w:ind w:right="442"/>
        <w:rPr>
          <w:rFonts w:hint="eastAsia" w:ascii="MS UI Gothic" w:eastAsia="MS UI Gothic"/>
        </w:rPr>
      </w:pPr>
      <w:r>
        <w:rPr>
          <w:w w:val="105"/>
        </w:rPr>
        <w:t xml:space="preserve">本条第一款第 </w:t>
      </w: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项所称的立功</w:t>
      </w:r>
      <w:r>
        <w:t>表现</w:t>
      </w:r>
      <w:r>
        <w:rPr>
          <w:rFonts w:hint="eastAsia" w:ascii="MS UI Gothic" w:eastAsia="MS UI Gothic"/>
          <w:w w:val="80"/>
        </w:rPr>
        <w:t xml:space="preserve">ꎬ </w:t>
      </w:r>
      <w:r>
        <w:t>是指当事人有揭发他人安全生产违法行为</w:t>
      </w:r>
      <w:r>
        <w:rPr>
          <w:rFonts w:hint="eastAsia" w:ascii="MS UI Gothic" w:eastAsia="MS UI Gothic"/>
          <w:w w:val="80"/>
        </w:rPr>
        <w:t xml:space="preserve">ꎬ </w:t>
      </w:r>
      <w:r>
        <w:t>并经查证属实</w:t>
      </w:r>
      <w:r>
        <w:rPr>
          <w:rFonts w:hint="eastAsia" w:ascii="MS UI Gothic" w:eastAsia="MS UI Gothic"/>
          <w:w w:val="80"/>
        </w:rPr>
        <w:t xml:space="preserve">ꎻ </w:t>
      </w:r>
      <w:r>
        <w:t>或者提供查处其他安全生产违法行为的重要线索</w:t>
      </w:r>
      <w:r>
        <w:rPr>
          <w:rFonts w:hint="eastAsia" w:ascii="MS UI Gothic" w:eastAsia="MS UI Gothic"/>
          <w:w w:val="80"/>
        </w:rPr>
        <w:t xml:space="preserve">ꎬ </w:t>
      </w:r>
      <w:r>
        <w:t>并经查证属实</w:t>
      </w:r>
      <w:r>
        <w:rPr>
          <w:rFonts w:hint="eastAsia" w:ascii="MS UI Gothic" w:eastAsia="MS UI Gothic"/>
          <w:w w:val="80"/>
        </w:rPr>
        <w:t xml:space="preserve">ꎻ </w:t>
      </w:r>
      <w:r>
        <w:t>或者阻止他人实施安全生产违法行为</w:t>
      </w:r>
      <w:r>
        <w:rPr>
          <w:rFonts w:hint="eastAsia" w:ascii="MS UI Gothic" w:eastAsia="MS UI Gothic"/>
          <w:w w:val="80"/>
        </w:rPr>
        <w:t xml:space="preserve">ꎻ </w:t>
      </w:r>
      <w:r>
        <w:t>或者协助司法机关抓捕其他违法犯</w:t>
      </w:r>
      <w:r>
        <w:rPr>
          <w:w w:val="105"/>
        </w:rPr>
        <w:t>罪嫌疑人的行为</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第十五条 当事人有下列情形之一</w:t>
      </w:r>
      <w:r>
        <w:rPr>
          <w:w w:val="110"/>
        </w:rPr>
        <w:t>的</w:t>
      </w:r>
      <w:r>
        <w:rPr>
          <w:rFonts w:hint="eastAsia" w:ascii="MS UI Gothic" w:eastAsia="MS UI Gothic"/>
          <w:w w:val="80"/>
        </w:rPr>
        <w:t xml:space="preserve">ꎬ </w:t>
      </w:r>
      <w:r>
        <w:rPr>
          <w:w w:val="110"/>
        </w:rPr>
        <w:t>应当依法从重处罚</w:t>
      </w:r>
      <w:r>
        <w:rPr>
          <w:rFonts w:hint="eastAsia" w:ascii="MS UI Gothic" w:eastAsia="MS UI Gothic"/>
          <w:w w:val="235"/>
        </w:rPr>
        <w:t>:</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危及公共安全或者其他生产经</w:t>
      </w:r>
      <w:r>
        <w:t>营单位及其人员安全</w:t>
      </w:r>
      <w:r>
        <w:rPr>
          <w:rFonts w:hint="eastAsia" w:ascii="MS UI Gothic" w:eastAsia="MS UI Gothic"/>
          <w:w w:val="80"/>
        </w:rPr>
        <w:t xml:space="preserve">ꎬ </w:t>
      </w:r>
      <w:r>
        <w:t>经责令限期改正</w:t>
      </w:r>
      <w:r>
        <w:rPr>
          <w:rFonts w:hint="eastAsia" w:ascii="MS UI Gothic" w:eastAsia="MS UI Gothic"/>
          <w:w w:val="80"/>
        </w:rPr>
        <w:t>ꎬ</w:t>
      </w:r>
      <w:r>
        <w:rPr>
          <w:w w:val="105"/>
        </w:rPr>
        <w:t>逾期未改正的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一年内因同一种安全生产违法行为受到两次以上行政处罚的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拒不整改或者整改不力</w:t>
      </w:r>
      <w:r>
        <w:rPr>
          <w:rFonts w:hint="eastAsia" w:ascii="MS UI Gothic" w:eastAsia="MS UI Gothic"/>
          <w:w w:val="80"/>
        </w:rPr>
        <w:t xml:space="preserve">ꎬ </w:t>
      </w:r>
      <w:r>
        <w:rPr>
          <w:w w:val="105"/>
        </w:rPr>
        <w:t>其违法行为处于持续状态的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拒绝</w:t>
      </w:r>
      <w:r>
        <w:rPr>
          <w:rFonts w:hint="eastAsia" w:ascii="MS UI Gothic" w:eastAsia="MS UI Gothic"/>
          <w:w w:val="80"/>
        </w:rPr>
        <w:t xml:space="preserve">、 </w:t>
      </w:r>
      <w:r>
        <w:rPr>
          <w:w w:val="105"/>
        </w:rPr>
        <w:t>阻碍或者以暴力威胁行政执法人员的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在处置突发事件期间实施安全</w:t>
      </w:r>
      <w:r>
        <w:rPr>
          <w:w w:val="110"/>
        </w:rPr>
        <w:t>生产违法行为的</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隐匿</w:t>
      </w:r>
      <w:r>
        <w:rPr>
          <w:rFonts w:hint="eastAsia" w:ascii="MS UI Gothic" w:eastAsia="MS UI Gothic"/>
          <w:w w:val="80"/>
        </w:rPr>
        <w:t xml:space="preserve">、 </w:t>
      </w:r>
      <w:r>
        <w:rPr>
          <w:w w:val="110"/>
        </w:rPr>
        <w:t>销毁违法行为证据的</w:t>
      </w:r>
      <w:r>
        <w:rPr>
          <w:rFonts w:hint="eastAsia" w:ascii="MS UI Gothic" w:eastAsia="MS UI Gothic"/>
          <w:w w:val="80"/>
        </w:rPr>
        <w:t>ꎻ</w:t>
      </w:r>
    </w:p>
    <w:p>
      <w:pPr>
        <w:pStyle w:val="6"/>
        <w:spacing w:before="34" w:line="295" w:lineRule="auto"/>
        <w:ind w:right="442"/>
        <w:rPr>
          <w:rFonts w:hint="eastAsia" w:ascii="MS UI Gothic" w:eastAsia="MS UI Gothic"/>
        </w:rPr>
      </w:pPr>
      <w:r>
        <w:rPr>
          <w:rFonts w:hint="eastAsia" w:ascii="MS UI Gothic" w:eastAsia="MS UI Gothic"/>
          <w:w w:val="120"/>
        </w:rPr>
        <w:t xml:space="preserve">( </w:t>
      </w:r>
      <w:r>
        <w:rPr>
          <w:w w:val="110"/>
        </w:rPr>
        <w:t>七</w:t>
      </w:r>
      <w:r>
        <w:rPr>
          <w:rFonts w:hint="eastAsia" w:ascii="MS UI Gothic" w:eastAsia="MS UI Gothic"/>
          <w:w w:val="120"/>
        </w:rPr>
        <w:t xml:space="preserve">) </w:t>
      </w:r>
      <w:r>
        <w:rPr>
          <w:w w:val="110"/>
        </w:rPr>
        <w:t>违法行为情节恶劣</w:t>
      </w:r>
      <w:r>
        <w:rPr>
          <w:rFonts w:hint="eastAsia" w:ascii="MS UI Gothic" w:eastAsia="MS UI Gothic"/>
          <w:w w:val="80"/>
        </w:rPr>
        <w:t xml:space="preserve">ꎬ </w:t>
      </w:r>
      <w:r>
        <w:rPr>
          <w:w w:val="110"/>
        </w:rPr>
        <w:t xml:space="preserve">造成人身死亡 </w:t>
      </w:r>
      <w:r>
        <w:rPr>
          <w:rFonts w:hint="eastAsia" w:ascii="MS UI Gothic" w:eastAsia="MS UI Gothic"/>
          <w:w w:val="150"/>
        </w:rPr>
        <w:t xml:space="preserve">( </w:t>
      </w:r>
      <w:r>
        <w:rPr>
          <w:w w:val="110"/>
        </w:rPr>
        <w:t>重伤</w:t>
      </w:r>
      <w:r>
        <w:rPr>
          <w:rFonts w:hint="eastAsia" w:ascii="MS UI Gothic" w:eastAsia="MS UI Gothic"/>
          <w:w w:val="80"/>
        </w:rPr>
        <w:t xml:space="preserve">、 </w:t>
      </w:r>
      <w:r>
        <w:rPr>
          <w:w w:val="110"/>
        </w:rPr>
        <w:t>急性工业中毒</w:t>
      </w:r>
      <w:r>
        <w:rPr>
          <w:rFonts w:hint="eastAsia" w:ascii="MS UI Gothic" w:eastAsia="MS UI Gothic"/>
          <w:w w:val="150"/>
        </w:rPr>
        <w:t xml:space="preserve">) </w:t>
      </w:r>
      <w:r>
        <w:rPr>
          <w:w w:val="110"/>
        </w:rPr>
        <w:t>或者严重社会影响的</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故意实施违法行为的</w:t>
      </w:r>
      <w:r>
        <w:rPr>
          <w:rFonts w:hint="eastAsia" w:ascii="MS UI Gothic" w:eastAsia="MS UI Gothic"/>
          <w:w w:val="80"/>
        </w:rPr>
        <w:t>ꎻ</w:t>
      </w:r>
    </w:p>
    <w:p>
      <w:pPr>
        <w:pStyle w:val="6"/>
        <w:spacing w:before="58"/>
        <w:ind w:left="543" w:firstLine="0"/>
        <w:rPr>
          <w:rFonts w:hint="eastAsia" w:ascii="MS UI Gothic" w:eastAsia="MS UI Gothic"/>
        </w:rPr>
      </w:pPr>
      <w:r>
        <w:rPr>
          <w:rFonts w:hint="eastAsia" w:ascii="MS UI Gothic" w:eastAsia="MS UI Gothic"/>
          <w:w w:val="150"/>
        </w:rPr>
        <w:t xml:space="preserve">( </w:t>
      </w:r>
      <w:r>
        <w:rPr>
          <w:w w:val="110"/>
        </w:rPr>
        <w:t>九</w:t>
      </w:r>
      <w:r>
        <w:rPr>
          <w:rFonts w:hint="eastAsia" w:ascii="MS UI Gothic" w:eastAsia="MS UI Gothic"/>
          <w:w w:val="150"/>
        </w:rPr>
        <w:t xml:space="preserve">) </w:t>
      </w:r>
      <w:r>
        <w:rPr>
          <w:w w:val="110"/>
        </w:rPr>
        <w:t>对举报人</w:t>
      </w:r>
      <w:r>
        <w:rPr>
          <w:rFonts w:hint="eastAsia" w:ascii="MS UI Gothic" w:eastAsia="MS UI Gothic"/>
          <w:w w:val="80"/>
        </w:rPr>
        <w:t xml:space="preserve">、 </w:t>
      </w:r>
      <w:r>
        <w:rPr>
          <w:w w:val="110"/>
        </w:rPr>
        <w:t>证人打击报复的</w:t>
      </w:r>
      <w:r>
        <w:rPr>
          <w:rFonts w:hint="eastAsia" w:ascii="MS UI Gothic" w:eastAsia="MS UI Gothic"/>
          <w:w w:val="80"/>
        </w:rPr>
        <w:t>ꎻ</w:t>
      </w:r>
    </w:p>
    <w:p>
      <w:pPr>
        <w:spacing w:after="0"/>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１３９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59" o:spid="_x0000_s1459" o:spt="203" style="height:2.15pt;width:398.25pt;" coordsize="7965,43">
            <o:lock v:ext="edit"/>
            <v:line id="_x0000_s1460" o:spid="_x0000_s1460" o:spt="20" style="position:absolute;left:0;top:39;height:0;width:7965;" stroked="t" coordsize="21600,21600">
              <v:path arrowok="t"/>
              <v:fill focussize="0,0"/>
              <v:stroke weight="0.388031496062992pt" color="#231F20"/>
              <v:imagedata o:title=""/>
              <o:lock v:ext="edit"/>
            </v:line>
            <v:line id="_x0000_s1461" o:spid="_x0000_s146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860" w:firstLine="0"/>
        <w:jc w:val="left"/>
        <w:rPr>
          <w:rFonts w:hint="eastAsia" w:ascii="MS UI Gothic" w:eastAsia="MS UI Gothic"/>
        </w:rPr>
      </w:pPr>
      <w:r>
        <w:rPr>
          <w:rFonts w:hint="eastAsia" w:ascii="MS UI Gothic" w:eastAsia="MS UI Gothic"/>
          <w:spacing w:val="-43"/>
          <w:w w:val="150"/>
        </w:rPr>
        <w:t xml:space="preserve">( </w:t>
      </w:r>
      <w:r>
        <w:rPr>
          <w:spacing w:val="3"/>
          <w:w w:val="110"/>
        </w:rPr>
        <w:t>十</w:t>
      </w:r>
      <w:r>
        <w:rPr>
          <w:rFonts w:hint="eastAsia" w:ascii="MS UI Gothic" w:eastAsia="MS UI Gothic"/>
          <w:spacing w:val="-25"/>
          <w:w w:val="150"/>
        </w:rPr>
        <w:t xml:space="preserve">) </w:t>
      </w:r>
      <w:r>
        <w:rPr>
          <w:spacing w:val="3"/>
          <w:w w:val="110"/>
        </w:rPr>
        <w:t>未依法排查治理事故隐患的</w:t>
      </w:r>
      <w:r>
        <w:rPr>
          <w:rFonts w:hint="eastAsia" w:ascii="MS UI Gothic" w:eastAsia="MS UI Gothic"/>
          <w:w w:val="80"/>
        </w:rPr>
        <w:t>ꎻ</w:t>
      </w:r>
    </w:p>
    <w:p>
      <w:pPr>
        <w:pStyle w:val="6"/>
        <w:spacing w:before="58" w:line="295" w:lineRule="auto"/>
        <w:ind w:left="440" w:right="1"/>
        <w:jc w:val="left"/>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发生生产安全事故后逃匿或者瞒报</w:t>
      </w:r>
      <w:r>
        <w:rPr>
          <w:rFonts w:hint="eastAsia" w:ascii="MS UI Gothic" w:eastAsia="MS UI Gothic"/>
          <w:w w:val="80"/>
        </w:rPr>
        <w:t xml:space="preserve">、 </w:t>
      </w:r>
      <w:r>
        <w:rPr>
          <w:w w:val="105"/>
        </w:rPr>
        <w:t>谎报的</w:t>
      </w:r>
      <w:r>
        <w:rPr>
          <w:rFonts w:hint="eastAsia" w:ascii="MS UI Gothic" w:eastAsia="MS UI Gothic"/>
          <w:w w:val="80"/>
        </w:rPr>
        <w:t>ꎻ</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十二</w:t>
      </w:r>
      <w:r>
        <w:rPr>
          <w:rFonts w:hint="eastAsia" w:ascii="MS UI Gothic" w:eastAsia="MS UI Gothic"/>
          <w:w w:val="150"/>
        </w:rPr>
        <w:t xml:space="preserve">) </w:t>
      </w:r>
      <w:r>
        <w:rPr>
          <w:w w:val="105"/>
        </w:rPr>
        <w:t>具有法律</w:t>
      </w:r>
      <w:r>
        <w:rPr>
          <w:rFonts w:hint="eastAsia" w:ascii="MS UI Gothic" w:eastAsia="MS UI Gothic"/>
          <w:w w:val="80"/>
        </w:rPr>
        <w:t xml:space="preserve">、 </w:t>
      </w:r>
      <w:r>
        <w:rPr>
          <w:w w:val="105"/>
        </w:rPr>
        <w:t>行政法规规定的其他从重处罚情形的</w:t>
      </w:r>
      <w:r>
        <w:rPr>
          <w:rFonts w:hint="eastAsia" w:ascii="MS UI Gothic" w:eastAsia="MS UI Gothic"/>
          <w:w w:val="80"/>
        </w:rPr>
        <w:t>ꎮ</w:t>
      </w:r>
    </w:p>
    <w:p>
      <w:pPr>
        <w:pStyle w:val="6"/>
        <w:spacing w:line="295" w:lineRule="auto"/>
        <w:ind w:left="440" w:right="1"/>
        <w:rPr>
          <w:rFonts w:hint="eastAsia" w:ascii="MS UI Gothic" w:eastAsia="MS UI Gothic"/>
        </w:rPr>
      </w:pPr>
      <w:r>
        <w:t>有从重处罚情节的</w:t>
      </w:r>
      <w:r>
        <w:rPr>
          <w:rFonts w:hint="eastAsia" w:ascii="MS UI Gothic" w:eastAsia="MS UI Gothic"/>
          <w:w w:val="80"/>
        </w:rPr>
        <w:t xml:space="preserve">ꎬ </w:t>
      </w:r>
      <w:r>
        <w:t>应当在法定处罚幅度内选择较高或者最高幅度确定处罚标准</w:t>
      </w:r>
      <w:r>
        <w:rPr>
          <w:rFonts w:hint="eastAsia" w:ascii="MS UI Gothic" w:eastAsia="MS UI Gothic"/>
          <w:w w:val="80"/>
        </w:rPr>
        <w:t xml:space="preserve">ꎬ </w:t>
      </w:r>
      <w:r>
        <w:t>但不得高于法定处罚幅度上限</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第十六条 当事人有下列情形之一</w:t>
      </w:r>
      <w:r>
        <w:rPr>
          <w:w w:val="110"/>
        </w:rPr>
        <w:t>的</w:t>
      </w:r>
      <w:r>
        <w:rPr>
          <w:rFonts w:hint="eastAsia" w:ascii="MS UI Gothic" w:eastAsia="MS UI Gothic"/>
          <w:w w:val="80"/>
        </w:rPr>
        <w:t xml:space="preserve">ꎬ </w:t>
      </w:r>
      <w:r>
        <w:rPr>
          <w:w w:val="110"/>
        </w:rPr>
        <w:t>不予处罚</w:t>
      </w:r>
      <w:r>
        <w:rPr>
          <w:rFonts w:hint="eastAsia" w:ascii="MS UI Gothic" w:eastAsia="MS UI Gothic"/>
          <w:w w:val="235"/>
        </w:rPr>
        <w:t>:</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证据不足</w:t>
      </w:r>
      <w:r>
        <w:rPr>
          <w:rFonts w:hint="eastAsia" w:ascii="MS UI Gothic" w:eastAsia="MS UI Gothic"/>
          <w:w w:val="80"/>
        </w:rPr>
        <w:t xml:space="preserve">ꎬ </w:t>
      </w:r>
      <w:r>
        <w:rPr>
          <w:w w:val="105"/>
        </w:rPr>
        <w:t>安全生产违法事实不能成立的</w:t>
      </w:r>
      <w:r>
        <w:rPr>
          <w:rFonts w:hint="eastAsia" w:ascii="MS UI Gothic" w:eastAsia="MS UI Gothic"/>
          <w:w w:val="80"/>
        </w:rPr>
        <w:t>ꎻ</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安全生产违法行为轻微并及时纠正</w:t>
      </w:r>
      <w:r>
        <w:rPr>
          <w:rFonts w:hint="eastAsia" w:ascii="MS UI Gothic" w:eastAsia="MS UI Gothic"/>
          <w:w w:val="80"/>
        </w:rPr>
        <w:t xml:space="preserve">ꎬ </w:t>
      </w:r>
      <w:r>
        <w:rPr>
          <w:w w:val="105"/>
        </w:rPr>
        <w:t>没有造成危害后果的</w:t>
      </w:r>
      <w:r>
        <w:rPr>
          <w:rFonts w:hint="eastAsia" w:ascii="MS UI Gothic" w:eastAsia="MS UI Gothic"/>
          <w:w w:val="80"/>
        </w:rPr>
        <w:t>ꎻ</w:t>
      </w:r>
    </w:p>
    <w:p>
      <w:pPr>
        <w:pStyle w:val="6"/>
        <w:spacing w:line="295" w:lineRule="auto"/>
        <w:ind w:left="440" w:right="1"/>
        <w:jc w:val="left"/>
        <w:rPr>
          <w:rFonts w:hint="eastAsia" w:ascii="MS UI Gothic" w:eastAsia="MS UI Gothic"/>
        </w:rPr>
      </w:pPr>
      <w:r>
        <w:rPr>
          <w:rFonts w:hint="eastAsia" w:ascii="MS UI Gothic" w:eastAsia="MS UI Gothic"/>
          <w:w w:val="145"/>
        </w:rPr>
        <w:t xml:space="preserve">( </w:t>
      </w:r>
      <w:r>
        <w:rPr>
          <w:w w:val="105"/>
        </w:rPr>
        <w:t>三</w:t>
      </w:r>
      <w:r>
        <w:rPr>
          <w:rFonts w:hint="eastAsia" w:ascii="MS UI Gothic" w:eastAsia="MS UI Gothic"/>
          <w:w w:val="145"/>
        </w:rPr>
        <w:t xml:space="preserve">) </w:t>
      </w:r>
      <w:r>
        <w:rPr>
          <w:w w:val="105"/>
        </w:rPr>
        <w:t xml:space="preserve">不满 </w:t>
      </w:r>
      <w:r>
        <w:rPr>
          <w:rFonts w:hint="eastAsia" w:ascii="MS UI Gothic" w:eastAsia="MS UI Gothic"/>
          <w:w w:val="85"/>
        </w:rPr>
        <w:t xml:space="preserve">１４ </w:t>
      </w:r>
      <w:r>
        <w:rPr>
          <w:w w:val="105"/>
        </w:rPr>
        <w:t>周岁的公民实施安全生产违法行为的</w:t>
      </w:r>
      <w:r>
        <w:rPr>
          <w:rFonts w:hint="eastAsia" w:ascii="MS UI Gothic" w:eastAsia="MS UI Gothic"/>
          <w:w w:val="85"/>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精神病人在不能辨认或者不能</w:t>
      </w:r>
      <w:r>
        <w:t>控制自己行为时实施安全生产违法行</w:t>
      </w:r>
      <w:r>
        <w:rPr>
          <w:w w:val="105"/>
        </w:rPr>
        <w:t>为的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安全生产违法行为在两年内未被发现的</w:t>
      </w:r>
      <w:r>
        <w:rPr>
          <w:rFonts w:hint="eastAsia" w:ascii="MS UI Gothic" w:eastAsia="MS UI Gothic"/>
          <w:w w:val="80"/>
        </w:rPr>
        <w:t xml:space="preserve">ꎬ </w:t>
      </w:r>
      <w:r>
        <w:rPr>
          <w:w w:val="105"/>
        </w:rPr>
        <w:t>法律另有规定的除外</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具有法律</w:t>
      </w:r>
      <w:r>
        <w:rPr>
          <w:rFonts w:hint="eastAsia" w:ascii="MS UI Gothic" w:eastAsia="MS UI Gothic"/>
          <w:w w:val="80"/>
        </w:rPr>
        <w:t xml:space="preserve">、 </w:t>
      </w:r>
      <w:r>
        <w:rPr>
          <w:w w:val="105"/>
        </w:rPr>
        <w:t>行政法规</w:t>
      </w:r>
      <w:r>
        <w:rPr>
          <w:rFonts w:hint="eastAsia" w:ascii="MS UI Gothic" w:eastAsia="MS UI Gothic"/>
          <w:w w:val="80"/>
        </w:rPr>
        <w:t xml:space="preserve">、 </w:t>
      </w:r>
      <w:r>
        <w:rPr>
          <w:w w:val="105"/>
        </w:rPr>
        <w:t>部门规章规定的其他情形的</w:t>
      </w:r>
      <w:r>
        <w:rPr>
          <w:rFonts w:hint="eastAsia" w:ascii="MS UI Gothic" w:eastAsia="MS UI Gothic"/>
          <w:w w:val="80"/>
        </w:rPr>
        <w:t>ꎮ</w:t>
      </w:r>
    </w:p>
    <w:p>
      <w:pPr>
        <w:pStyle w:val="6"/>
        <w:spacing w:line="295" w:lineRule="auto"/>
        <w:ind w:left="440" w:right="1"/>
        <w:rPr>
          <w:rFonts w:hint="eastAsia" w:ascii="MS UI Gothic" w:eastAsia="MS UI Gothic"/>
        </w:rPr>
      </w:pPr>
      <w:r>
        <w:t>前款第五项规定的期限</w:t>
      </w:r>
      <w:r>
        <w:rPr>
          <w:rFonts w:hint="eastAsia" w:ascii="MS UI Gothic" w:eastAsia="MS UI Gothic"/>
          <w:w w:val="80"/>
        </w:rPr>
        <w:t xml:space="preserve">ꎬ </w:t>
      </w:r>
      <w:r>
        <w:t>从违法行为发生之日起计算</w:t>
      </w:r>
      <w:r>
        <w:rPr>
          <w:rFonts w:hint="eastAsia" w:ascii="MS UI Gothic" w:eastAsia="MS UI Gothic"/>
          <w:w w:val="80"/>
        </w:rPr>
        <w:t xml:space="preserve">ꎬ </w:t>
      </w:r>
      <w:r>
        <w:t>违法行为有连续或者继续状态的</w:t>
      </w:r>
      <w:r>
        <w:rPr>
          <w:rFonts w:hint="eastAsia" w:ascii="MS UI Gothic" w:eastAsia="MS UI Gothic"/>
          <w:w w:val="80"/>
        </w:rPr>
        <w:t xml:space="preserve">ꎬ </w:t>
      </w:r>
      <w:r>
        <w:t>从行为终了之日起计算</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rPr>
          <w:w w:val="105"/>
        </w:rPr>
        <w:t xml:space="preserve">第十七条 </w:t>
      </w:r>
      <w:r>
        <w:rPr>
          <w:rFonts w:hint="eastAsia" w:ascii="MS UI Gothic" w:hAnsi="MS UI Gothic" w:eastAsia="MS UI Gothic"/>
          <w:w w:val="80"/>
        </w:rPr>
        <w:t xml:space="preserve">« </w:t>
      </w:r>
      <w:r>
        <w:rPr>
          <w:w w:val="105"/>
        </w:rPr>
        <w:t>标准</w:t>
      </w:r>
      <w:r>
        <w:rPr>
          <w:rFonts w:hint="eastAsia" w:ascii="MS UI Gothic" w:hAnsi="MS UI Gothic" w:eastAsia="MS UI Gothic"/>
          <w:w w:val="80"/>
        </w:rPr>
        <w:t xml:space="preserve">» </w:t>
      </w:r>
      <w:r>
        <w:rPr>
          <w:w w:val="105"/>
        </w:rPr>
        <w:t>所称的违法所得</w:t>
      </w:r>
      <w:r>
        <w:rPr>
          <w:rFonts w:hint="eastAsia" w:ascii="MS UI Gothic" w:hAnsi="MS UI Gothic" w:eastAsia="MS UI Gothic"/>
          <w:w w:val="80"/>
        </w:rPr>
        <w:t xml:space="preserve">ꎬ </w:t>
      </w:r>
      <w:r>
        <w:rPr>
          <w:w w:val="105"/>
        </w:rPr>
        <w:t>按照下列规定计算</w:t>
      </w:r>
      <w:r>
        <w:rPr>
          <w:rFonts w:hint="eastAsia" w:ascii="MS UI Gothic" w:hAns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生产</w:t>
      </w:r>
      <w:r>
        <w:rPr>
          <w:rFonts w:hint="eastAsia" w:ascii="MS UI Gothic" w:eastAsia="MS UI Gothic"/>
          <w:w w:val="80"/>
        </w:rPr>
        <w:t xml:space="preserve">、 </w:t>
      </w:r>
      <w:r>
        <w:rPr>
          <w:w w:val="105"/>
        </w:rPr>
        <w:t>加工产品的</w:t>
      </w:r>
      <w:r>
        <w:rPr>
          <w:rFonts w:hint="eastAsia" w:ascii="MS UI Gothic" w:eastAsia="MS UI Gothic"/>
          <w:w w:val="80"/>
        </w:rPr>
        <w:t xml:space="preserve">ꎬ </w:t>
      </w:r>
      <w:r>
        <w:rPr>
          <w:w w:val="105"/>
        </w:rPr>
        <w:t>以生产</w:t>
      </w:r>
      <w:r>
        <w:rPr>
          <w:rFonts w:hint="eastAsia" w:ascii="MS UI Gothic" w:eastAsia="MS UI Gothic"/>
          <w:w w:val="80"/>
        </w:rPr>
        <w:t>、</w:t>
      </w:r>
      <w:r>
        <w:t>加工的产品及其销售收入作为违法所得</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销售商品的</w:t>
      </w:r>
      <w:r>
        <w:rPr>
          <w:rFonts w:hint="eastAsia" w:ascii="MS UI Gothic" w:eastAsia="MS UI Gothic"/>
          <w:w w:val="80"/>
        </w:rPr>
        <w:t xml:space="preserve">ꎬ </w:t>
      </w:r>
      <w:r>
        <w:rPr>
          <w:w w:val="105"/>
        </w:rPr>
        <w:t>以销售收入作为违法所得</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提供安全生产中介</w:t>
      </w:r>
      <w:r>
        <w:rPr>
          <w:rFonts w:hint="eastAsia" w:ascii="MS UI Gothic" w:eastAsia="MS UI Gothic"/>
          <w:w w:val="80"/>
        </w:rPr>
        <w:t xml:space="preserve">、 </w:t>
      </w:r>
      <w:r>
        <w:rPr>
          <w:w w:val="105"/>
        </w:rPr>
        <w:t>租赁等服</w:t>
      </w:r>
      <w:r>
        <w:t>务的</w:t>
      </w:r>
      <w:r>
        <w:rPr>
          <w:rFonts w:hint="eastAsia" w:ascii="MS UI Gothic" w:eastAsia="MS UI Gothic"/>
          <w:w w:val="80"/>
        </w:rPr>
        <w:t xml:space="preserve">ꎬ </w:t>
      </w:r>
      <w:r>
        <w:t>以服务收入或者报酬作为违法</w:t>
      </w:r>
      <w:r>
        <w:rPr>
          <w:w w:val="105"/>
        </w:rPr>
        <w:t>所得</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销售收入无法计算的</w:t>
      </w:r>
      <w:r>
        <w:rPr>
          <w:rFonts w:hint="eastAsia" w:ascii="MS UI Gothic" w:eastAsia="MS UI Gothic"/>
          <w:w w:val="80"/>
        </w:rPr>
        <w:t xml:space="preserve">ꎬ </w:t>
      </w:r>
      <w:r>
        <w:rPr>
          <w:w w:val="105"/>
        </w:rPr>
        <w:t>按照当</w:t>
      </w:r>
      <w:r>
        <w:t>地同类同等规模的生产经营单位的平均销</w:t>
      </w:r>
      <w:r>
        <w:rPr>
          <w:w w:val="105"/>
        </w:rPr>
        <w:t>售收入计算</w:t>
      </w:r>
      <w:r>
        <w:rPr>
          <w:rFonts w:hint="eastAsia" w:ascii="MS UI Gothic" w:eastAsia="MS UI Gothic"/>
          <w:w w:val="80"/>
        </w:rPr>
        <w:t>ꎻ</w:t>
      </w:r>
    </w:p>
    <w:p>
      <w:pPr>
        <w:pStyle w:val="6"/>
        <w:spacing w:line="254" w:lineRule="exact"/>
        <w:ind w:left="860" w:firstLine="0"/>
        <w:jc w:val="left"/>
        <w:rPr>
          <w:rFonts w:hint="eastAsia" w:ascii="MS UI Gothic" w:eastAsia="MS UI Gothic"/>
        </w:rPr>
      </w:pPr>
      <w:r>
        <w:rPr>
          <w:rFonts w:hint="eastAsia" w:ascii="MS UI Gothic" w:eastAsia="MS UI Gothic"/>
          <w:w w:val="135"/>
        </w:rPr>
        <w:t xml:space="preserve">( </w:t>
      </w:r>
      <w:r>
        <w:rPr>
          <w:w w:val="110"/>
        </w:rPr>
        <w:t>五</w:t>
      </w:r>
      <w:r>
        <w:rPr>
          <w:rFonts w:hint="eastAsia" w:ascii="MS UI Gothic" w:eastAsia="MS UI Gothic"/>
          <w:w w:val="135"/>
        </w:rPr>
        <w:t xml:space="preserve">) </w:t>
      </w:r>
      <w:r>
        <w:rPr>
          <w:w w:val="110"/>
        </w:rPr>
        <w:t>服务收入</w:t>
      </w:r>
      <w:r>
        <w:rPr>
          <w:rFonts w:hint="eastAsia" w:ascii="MS UI Gothic" w:eastAsia="MS UI Gothic"/>
          <w:w w:val="80"/>
        </w:rPr>
        <w:t xml:space="preserve">、 </w:t>
      </w:r>
      <w:r>
        <w:rPr>
          <w:w w:val="110"/>
        </w:rPr>
        <w:t>报酬无法计算的</w:t>
      </w:r>
      <w:r>
        <w:rPr>
          <w:rFonts w:hint="eastAsia" w:ascii="MS UI Gothic" w:eastAsia="MS UI Gothic"/>
          <w:w w:val="80"/>
        </w:rPr>
        <w:t>ꎬ</w:t>
      </w:r>
    </w:p>
    <w:p>
      <w:pPr>
        <w:pStyle w:val="6"/>
        <w:spacing w:before="124" w:line="295" w:lineRule="auto"/>
        <w:ind w:left="381" w:right="126" w:firstLine="0"/>
        <w:jc w:val="left"/>
        <w:rPr>
          <w:rFonts w:hint="eastAsia" w:ascii="MS UI Gothic" w:eastAsia="MS UI Gothic"/>
        </w:rPr>
      </w:pPr>
      <w:r>
        <w:br w:type="column"/>
      </w:r>
      <w:r>
        <w:t>按照当地同行业同种服务的平均收入或者</w:t>
      </w:r>
      <w:r>
        <w:rPr>
          <w:w w:val="105"/>
        </w:rPr>
        <w:t>报酬计算</w:t>
      </w:r>
      <w:r>
        <w:rPr>
          <w:rFonts w:hint="eastAsia" w:ascii="MS UI Gothic" w:eastAsia="MS UI Gothic"/>
          <w:w w:val="80"/>
        </w:rPr>
        <w:t>ꎮ</w:t>
      </w:r>
    </w:p>
    <w:p>
      <w:pPr>
        <w:pStyle w:val="6"/>
        <w:tabs>
          <w:tab w:val="left" w:pos="1219"/>
        </w:tabs>
        <w:spacing w:before="156"/>
        <w:ind w:left="381" w:firstLine="0"/>
        <w:jc w:val="left"/>
      </w:pPr>
      <w:r>
        <w:rPr>
          <w:spacing w:val="3"/>
          <w:w w:val="105"/>
        </w:rPr>
        <w:t>第四</w:t>
      </w:r>
      <w:r>
        <w:rPr>
          <w:w w:val="105"/>
        </w:rPr>
        <w:t>章</w:t>
      </w:r>
      <w:r>
        <w:rPr>
          <w:w w:val="105"/>
        </w:rPr>
        <w:tab/>
      </w:r>
      <w:r>
        <w:rPr>
          <w:spacing w:val="3"/>
          <w:w w:val="105"/>
        </w:rPr>
        <w:t>行政处罚自由裁量的审核与监</w:t>
      </w:r>
      <w:r>
        <w:rPr>
          <w:w w:val="105"/>
        </w:rPr>
        <w:t>督</w:t>
      </w:r>
    </w:p>
    <w:p>
      <w:pPr>
        <w:pStyle w:val="6"/>
        <w:spacing w:before="215" w:line="295" w:lineRule="auto"/>
        <w:ind w:left="381" w:right="126"/>
        <w:rPr>
          <w:rFonts w:hint="eastAsia" w:ascii="MS UI Gothic" w:eastAsia="MS UI Gothic"/>
        </w:rPr>
      </w:pPr>
      <w:r>
        <w:t>第十八条 除当场行政处罚外</w:t>
      </w:r>
      <w:r>
        <w:rPr>
          <w:rFonts w:hint="eastAsia" w:ascii="MS UI Gothic" w:eastAsia="MS UI Gothic"/>
          <w:w w:val="80"/>
        </w:rPr>
        <w:t xml:space="preserve">ꎬ </w:t>
      </w:r>
      <w:r>
        <w:t>行政处罚自由裁量结果实行审核制度</w:t>
      </w:r>
      <w:r>
        <w:rPr>
          <w:rFonts w:hint="eastAsia" w:ascii="MS UI Gothic" w:eastAsia="MS UI Gothic"/>
          <w:w w:val="80"/>
        </w:rPr>
        <w:t>ꎮ</w:t>
      </w:r>
    </w:p>
    <w:p>
      <w:pPr>
        <w:pStyle w:val="6"/>
        <w:spacing w:line="295" w:lineRule="auto"/>
        <w:ind w:left="381" w:right="124"/>
        <w:rPr>
          <w:rFonts w:hint="eastAsia" w:ascii="MS UI Gothic" w:eastAsia="MS UI Gothic"/>
        </w:rPr>
      </w:pPr>
      <w:r>
        <w:t>案件调查终结后</w:t>
      </w:r>
      <w:r>
        <w:rPr>
          <w:rFonts w:hint="eastAsia" w:ascii="MS UI Gothic" w:eastAsia="MS UI Gothic"/>
          <w:w w:val="80"/>
        </w:rPr>
        <w:t xml:space="preserve">ꎬ </w:t>
      </w:r>
      <w:r>
        <w:t>案件承办人员应当对拟作出行政处罚的种类和幅度提出建议</w:t>
      </w:r>
      <w:r>
        <w:rPr>
          <w:rFonts w:hint="eastAsia" w:ascii="MS UI Gothic" w:eastAsia="MS UI Gothic"/>
          <w:w w:val="80"/>
        </w:rPr>
        <w:t xml:space="preserve">ꎬ </w:t>
      </w:r>
      <w:r>
        <w:t>并说明行使自由裁量权的事实</w:t>
      </w:r>
      <w:r>
        <w:rPr>
          <w:rFonts w:hint="eastAsia" w:ascii="MS UI Gothic" w:eastAsia="MS UI Gothic"/>
          <w:w w:val="80"/>
        </w:rPr>
        <w:t xml:space="preserve">、 </w:t>
      </w:r>
      <w:r>
        <w:t>理由和依据</w:t>
      </w:r>
      <w:r>
        <w:rPr>
          <w:rFonts w:hint="eastAsia" w:ascii="MS UI Gothic" w:eastAsia="MS UI Gothic"/>
          <w:w w:val="80"/>
        </w:rPr>
        <w:t xml:space="preserve">ꎻ </w:t>
      </w:r>
      <w:r>
        <w:t>案件审核人员应当对处罚依据</w:t>
      </w:r>
      <w:r>
        <w:rPr>
          <w:rFonts w:hint="eastAsia" w:ascii="MS UI Gothic" w:eastAsia="MS UI Gothic"/>
          <w:w w:val="80"/>
        </w:rPr>
        <w:t>、</w:t>
      </w:r>
      <w:r>
        <w:t>额度等提出审核意见</w:t>
      </w:r>
      <w:r>
        <w:rPr>
          <w:rFonts w:hint="eastAsia" w:ascii="MS UI Gothic" w:eastAsia="MS UI Gothic"/>
          <w:w w:val="80"/>
        </w:rPr>
        <w:t xml:space="preserve">ꎬ </w:t>
      </w:r>
      <w:r>
        <w:t>并将审核意见报送安全监管执法机关负责人审查决定</w:t>
      </w:r>
      <w:r>
        <w:rPr>
          <w:rFonts w:hint="eastAsia" w:ascii="MS UI Gothic" w:eastAsia="MS UI Gothic"/>
          <w:w w:val="80"/>
        </w:rPr>
        <w:t xml:space="preserve">ꎻ </w:t>
      </w:r>
      <w:r>
        <w:t>安全监管执法机关已经成立行政处罚案件审核委员会的</w:t>
      </w:r>
      <w:r>
        <w:rPr>
          <w:rFonts w:hint="eastAsia" w:ascii="MS UI Gothic" w:eastAsia="MS UI Gothic"/>
          <w:w w:val="80"/>
        </w:rPr>
        <w:t xml:space="preserve">ꎬ </w:t>
      </w:r>
      <w:r>
        <w:t>审核意见报案件审核委员会审查决定</w:t>
      </w:r>
      <w:r>
        <w:rPr>
          <w:rFonts w:hint="eastAsia" w:ascii="MS UI Gothic" w:eastAsia="MS UI Gothic"/>
          <w:w w:val="80"/>
        </w:rPr>
        <w:t>ꎮ</w:t>
      </w:r>
    </w:p>
    <w:p>
      <w:pPr>
        <w:pStyle w:val="6"/>
        <w:spacing w:line="295" w:lineRule="auto"/>
        <w:ind w:left="381" w:right="126"/>
        <w:rPr>
          <w:rFonts w:hint="eastAsia" w:ascii="MS UI Gothic" w:eastAsia="MS UI Gothic"/>
        </w:rPr>
      </w:pPr>
      <w:r>
        <w:t>对安全生产违法行为给予从轻或者从重处罚的自由裁量结果</w:t>
      </w:r>
      <w:r>
        <w:rPr>
          <w:rFonts w:hint="eastAsia" w:ascii="MS UI Gothic" w:eastAsia="MS UI Gothic"/>
          <w:w w:val="80"/>
        </w:rPr>
        <w:t xml:space="preserve">ꎬ </w:t>
      </w:r>
      <w:r>
        <w:t>应当由安全监管</w:t>
      </w:r>
      <w:r>
        <w:rPr>
          <w:w w:val="105"/>
        </w:rPr>
        <w:t>执法机关的负责人集体讨论决定</w:t>
      </w:r>
      <w:r>
        <w:rPr>
          <w:rFonts w:hint="eastAsia" w:ascii="MS UI Gothic" w:eastAsia="MS UI Gothic"/>
          <w:w w:val="80"/>
        </w:rPr>
        <w:t>ꎮ</w:t>
      </w:r>
    </w:p>
    <w:p>
      <w:pPr>
        <w:pStyle w:val="6"/>
        <w:spacing w:line="295" w:lineRule="auto"/>
        <w:ind w:left="381" w:right="126"/>
        <w:rPr>
          <w:rFonts w:hint="eastAsia" w:ascii="MS UI Gothic" w:eastAsia="MS UI Gothic"/>
        </w:rPr>
      </w:pPr>
      <w:r>
        <w:t>第十九条 行政处罚案件实行备案审查制度</w:t>
      </w:r>
      <w:r>
        <w:rPr>
          <w:rFonts w:hint="eastAsia" w:ascii="MS UI Gothic" w:eastAsia="MS UI Gothic"/>
          <w:w w:val="80"/>
        </w:rPr>
        <w:t>ꎮ</w:t>
      </w:r>
    </w:p>
    <w:p>
      <w:pPr>
        <w:pStyle w:val="6"/>
        <w:spacing w:line="295" w:lineRule="auto"/>
        <w:ind w:left="381" w:right="124"/>
        <w:rPr>
          <w:rFonts w:hint="eastAsia" w:ascii="MS UI Gothic" w:eastAsia="MS UI Gothic"/>
        </w:rPr>
      </w:pPr>
      <w:r>
        <w:t>各级安全监管执法机关负责法制工作的机构负责本机关行政处罚案件的备案审查工作</w:t>
      </w:r>
      <w:r>
        <w:rPr>
          <w:rFonts w:hint="eastAsia" w:ascii="MS UI Gothic" w:eastAsia="MS UI Gothic"/>
          <w:w w:val="80"/>
        </w:rPr>
        <w:t xml:space="preserve">ꎬ </w:t>
      </w:r>
      <w:r>
        <w:t>对各类安全生产行政处罚案件的</w:t>
      </w:r>
      <w:r>
        <w:rPr>
          <w:w w:val="105"/>
        </w:rPr>
        <w:t>实体内容</w:t>
      </w:r>
      <w:r>
        <w:rPr>
          <w:rFonts w:hint="eastAsia" w:ascii="MS UI Gothic" w:eastAsia="MS UI Gothic"/>
          <w:w w:val="80"/>
        </w:rPr>
        <w:t xml:space="preserve">、 </w:t>
      </w:r>
      <w:r>
        <w:rPr>
          <w:w w:val="105"/>
        </w:rPr>
        <w:t>执法程序</w:t>
      </w:r>
      <w:r>
        <w:rPr>
          <w:rFonts w:hint="eastAsia" w:ascii="MS UI Gothic" w:eastAsia="MS UI Gothic"/>
          <w:w w:val="80"/>
        </w:rPr>
        <w:t xml:space="preserve">、 </w:t>
      </w:r>
      <w:r>
        <w:rPr>
          <w:w w:val="105"/>
        </w:rPr>
        <w:t>自由裁量的合法</w:t>
      </w:r>
      <w:r>
        <w:t>性</w:t>
      </w:r>
      <w:r>
        <w:rPr>
          <w:rFonts w:hint="eastAsia" w:ascii="MS UI Gothic" w:eastAsia="MS UI Gothic"/>
          <w:w w:val="80"/>
        </w:rPr>
        <w:t xml:space="preserve">、 </w:t>
      </w:r>
      <w:r>
        <w:t>适当性以及相关证据进行事后审查</w:t>
      </w:r>
      <w:r>
        <w:rPr>
          <w:rFonts w:hint="eastAsia" w:ascii="MS UI Gothic" w:eastAsia="MS UI Gothic"/>
          <w:w w:val="80"/>
        </w:rPr>
        <w:t>ꎬ</w:t>
      </w:r>
      <w:r>
        <w:t>并定期对行政执法案卷进行复查和监督</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第二十条 行使安全生产行政处罚自</w:t>
      </w:r>
      <w:r>
        <w:rPr>
          <w:spacing w:val="3"/>
        </w:rPr>
        <w:t>由裁量权的裁量结果应当公开</w:t>
      </w:r>
      <w:r>
        <w:rPr>
          <w:rFonts w:hint="eastAsia" w:ascii="MS UI Gothic" w:eastAsia="MS UI Gothic"/>
          <w:spacing w:val="20"/>
          <w:w w:val="80"/>
        </w:rPr>
        <w:t xml:space="preserve">ꎬ </w:t>
      </w:r>
      <w:r>
        <w:rPr>
          <w:spacing w:val="2"/>
        </w:rPr>
        <w:t>允许社会</w:t>
      </w:r>
      <w:r>
        <w:rPr>
          <w:spacing w:val="3"/>
        </w:rPr>
        <w:t>公众查阅</w:t>
      </w:r>
      <w:r>
        <w:rPr>
          <w:rFonts w:hint="eastAsia" w:ascii="MS UI Gothic" w:eastAsia="MS UI Gothic"/>
          <w:spacing w:val="11"/>
          <w:w w:val="80"/>
        </w:rPr>
        <w:t xml:space="preserve">ꎬ </w:t>
      </w:r>
      <w:r>
        <w:rPr>
          <w:spacing w:val="3"/>
        </w:rPr>
        <w:t>但涉及国家秘密</w:t>
      </w:r>
      <w:r>
        <w:rPr>
          <w:rFonts w:hint="eastAsia" w:ascii="MS UI Gothic" w:eastAsia="MS UI Gothic"/>
          <w:spacing w:val="11"/>
          <w:w w:val="80"/>
        </w:rPr>
        <w:t xml:space="preserve">、 </w:t>
      </w:r>
      <w:r>
        <w:rPr>
          <w:spacing w:val="2"/>
        </w:rPr>
        <w:t>商业秘密或</w:t>
      </w:r>
      <w:r>
        <w:rPr>
          <w:spacing w:val="3"/>
        </w:rPr>
        <w:t>者个人隐私的除外</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第二十一条 行政监察机关对安全监</w:t>
      </w:r>
      <w:r>
        <w:rPr>
          <w:spacing w:val="2"/>
        </w:rPr>
        <w:t>管执法机关及其工作人员行使行政处罚自</w:t>
      </w:r>
      <w:r>
        <w:rPr>
          <w:spacing w:val="3"/>
          <w:w w:val="105"/>
        </w:rPr>
        <w:t>由裁量权实施监察</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rPr>
          <w:spacing w:val="2"/>
        </w:rPr>
        <w:t>安全监管执法机关及其工作人员行使</w:t>
      </w:r>
      <w:r>
        <w:rPr>
          <w:spacing w:val="3"/>
        </w:rPr>
        <w:t>行政处罚自由裁量权明显不当的</w:t>
      </w:r>
      <w:r>
        <w:rPr>
          <w:rFonts w:hint="eastAsia" w:ascii="MS UI Gothic" w:hAnsi="MS UI Gothic" w:eastAsia="MS UI Gothic"/>
          <w:spacing w:val="20"/>
          <w:w w:val="80"/>
        </w:rPr>
        <w:t xml:space="preserve">ꎬ </w:t>
      </w:r>
      <w:r>
        <w:rPr>
          <w:spacing w:val="1"/>
        </w:rPr>
        <w:t>必须及</w:t>
      </w:r>
      <w:r>
        <w:rPr>
          <w:spacing w:val="7"/>
        </w:rPr>
        <w:t>时予以纠正</w:t>
      </w:r>
      <w:r>
        <w:rPr>
          <w:rFonts w:hint="eastAsia" w:ascii="MS UI Gothic" w:hAnsi="MS UI Gothic" w:eastAsia="MS UI Gothic"/>
          <w:spacing w:val="14"/>
          <w:w w:val="80"/>
        </w:rPr>
        <w:t xml:space="preserve">ꎻ </w:t>
      </w:r>
      <w:r>
        <w:rPr>
          <w:spacing w:val="17"/>
        </w:rPr>
        <w:t xml:space="preserve">对有关责任人员依照 </w:t>
      </w:r>
      <w:r>
        <w:rPr>
          <w:rFonts w:hint="eastAsia" w:ascii="MS UI Gothic" w:hAnsi="MS UI Gothic" w:eastAsia="MS UI Gothic"/>
          <w:spacing w:val="-7"/>
          <w:w w:val="80"/>
        </w:rPr>
        <w:t xml:space="preserve">« </w:t>
      </w:r>
      <w:r>
        <w:t>安</w:t>
      </w:r>
      <w:r>
        <w:rPr>
          <w:spacing w:val="2"/>
        </w:rPr>
        <w:t>全生产监管监察职责和行政执法责任追究</w:t>
      </w:r>
      <w:r>
        <w:rPr>
          <w:spacing w:val="3"/>
        </w:rPr>
        <w:t>的暂行规定</w:t>
      </w:r>
      <w:r>
        <w:rPr>
          <w:rFonts w:hint="eastAsia" w:ascii="MS UI Gothic" w:hAnsi="MS UI Gothic" w:eastAsia="MS UI Gothic"/>
          <w:spacing w:val="13"/>
          <w:w w:val="80"/>
        </w:rPr>
        <w:t xml:space="preserve">» </w:t>
      </w:r>
      <w:r>
        <w:rPr>
          <w:spacing w:val="3"/>
        </w:rPr>
        <w:t>处理</w:t>
      </w:r>
      <w:r>
        <w:rPr>
          <w:rFonts w:hint="eastAsia" w:ascii="MS UI Gothic" w:hAnsi="MS UI Gothic" w:eastAsia="MS UI Gothic"/>
          <w:w w:val="8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１４０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62" o:spid="_x0000_s1462" o:spt="203" style="height:2.15pt;width:398.25pt;" coordsize="7965,43">
            <o:lock v:ext="edit"/>
            <v:line id="_x0000_s1463" o:spid="_x0000_s1463" o:spt="20" style="position:absolute;left:0;top:39;height:0;width:7965;" stroked="t" coordsize="21600,21600">
              <v:path arrowok="t"/>
              <v:fill focussize="0,0"/>
              <v:stroke weight="0.388031496062992pt" color="#231F20"/>
              <v:imagedata o:title=""/>
              <o:lock v:ext="edit"/>
            </v:line>
            <v:line id="_x0000_s1464" o:spid="_x0000_s146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2011"/>
          <w:tab w:val="left" w:pos="2639"/>
        </w:tabs>
        <w:ind w:left="1172" w:firstLine="0"/>
        <w:jc w:val="left"/>
      </w:pPr>
      <w:r>
        <w:rPr>
          <w:spacing w:val="3"/>
          <w:w w:val="105"/>
        </w:rPr>
        <w:t>第五</w:t>
      </w:r>
      <w:r>
        <w:rPr>
          <w:w w:val="105"/>
        </w:rPr>
        <w:t>章</w:t>
      </w:r>
      <w:r>
        <w:rPr>
          <w:w w:val="105"/>
        </w:rPr>
        <w:tab/>
      </w:r>
      <w:r>
        <w:rPr>
          <w:w w:val="105"/>
        </w:rPr>
        <w:t>附</w:t>
      </w:r>
      <w:r>
        <w:rPr>
          <w:w w:val="105"/>
        </w:rPr>
        <w:tab/>
      </w:r>
      <w:r>
        <w:rPr>
          <w:w w:val="105"/>
        </w:rPr>
        <w:t>则</w:t>
      </w:r>
    </w:p>
    <w:p>
      <w:pPr>
        <w:pStyle w:val="6"/>
        <w:spacing w:before="215" w:line="295" w:lineRule="auto"/>
        <w:ind w:right="38"/>
        <w:rPr>
          <w:rFonts w:hint="eastAsia" w:ascii="MS UI Gothic" w:hAnsi="MS UI Gothic" w:eastAsia="MS UI Gothic"/>
        </w:rPr>
      </w:pPr>
      <w:r>
        <w:t xml:space="preserve">第二十二条 违反 </w:t>
      </w:r>
      <w:r>
        <w:rPr>
          <w:rFonts w:hint="eastAsia" w:ascii="MS UI Gothic" w:hAnsi="MS UI Gothic" w:eastAsia="MS UI Gothic"/>
          <w:w w:val="80"/>
        </w:rPr>
        <w:t xml:space="preserve">« </w:t>
      </w:r>
      <w:r>
        <w:t>安全生产法</w:t>
      </w:r>
      <w:r>
        <w:rPr>
          <w:rFonts w:hint="eastAsia" w:ascii="MS UI Gothic" w:hAnsi="MS UI Gothic" w:eastAsia="MS UI Gothic"/>
          <w:w w:val="80"/>
        </w:rPr>
        <w:t xml:space="preserve">» </w:t>
      </w:r>
      <w:r>
        <w:t>有关规定发生生产安全事故</w:t>
      </w:r>
      <w:r>
        <w:rPr>
          <w:rFonts w:hint="eastAsia" w:ascii="MS UI Gothic" w:hAnsi="MS UI Gothic" w:eastAsia="MS UI Gothic"/>
          <w:w w:val="80"/>
        </w:rPr>
        <w:t xml:space="preserve">ꎬ </w:t>
      </w:r>
      <w:r>
        <w:t>应当给予生产经营单位的主要负责人</w:t>
      </w:r>
      <w:r>
        <w:rPr>
          <w:rFonts w:hint="eastAsia" w:ascii="MS UI Gothic" w:hAnsi="MS UI Gothic" w:eastAsia="MS UI Gothic"/>
          <w:w w:val="80"/>
        </w:rPr>
        <w:t xml:space="preserve">、 </w:t>
      </w:r>
      <w:r>
        <w:t>个人经营的投资人和其他责任人员罚款的</w:t>
      </w:r>
      <w:r>
        <w:rPr>
          <w:rFonts w:hint="eastAsia" w:ascii="MS UI Gothic" w:hAnsi="MS UI Gothic" w:eastAsia="MS UI Gothic"/>
          <w:w w:val="80"/>
        </w:rPr>
        <w:t xml:space="preserve">ꎬ </w:t>
      </w:r>
      <w:r>
        <w:t xml:space="preserve">依照 </w:t>
      </w:r>
      <w:r>
        <w:rPr>
          <w:rFonts w:hint="eastAsia" w:ascii="MS UI Gothic" w:hAnsi="MS UI Gothic" w:eastAsia="MS UI Gothic"/>
          <w:w w:val="80"/>
        </w:rPr>
        <w:t xml:space="preserve">« </w:t>
      </w:r>
      <w:r>
        <w:t>安全生产法</w:t>
      </w:r>
      <w:r>
        <w:rPr>
          <w:rFonts w:hint="eastAsia" w:ascii="MS UI Gothic" w:hAnsi="MS UI Gothic" w:eastAsia="MS UI Gothic"/>
          <w:w w:val="80"/>
        </w:rPr>
        <w:t xml:space="preserve">» </w:t>
      </w:r>
      <w:r>
        <w:t>第八十条</w:t>
      </w:r>
      <w:r>
        <w:rPr>
          <w:rFonts w:hint="eastAsia" w:ascii="MS UI Gothic" w:hAnsi="MS UI Gothic" w:eastAsia="MS UI Gothic"/>
          <w:w w:val="80"/>
        </w:rPr>
        <w:t xml:space="preserve">、  </w:t>
      </w:r>
      <w:r>
        <w:t>第八十一条的规定处罚</w:t>
      </w:r>
      <w:r>
        <w:rPr>
          <w:rFonts w:hint="eastAsia" w:ascii="MS UI Gothic" w:hAnsi="MS UI Gothic" w:eastAsia="MS UI Gothic"/>
          <w:w w:val="80"/>
        </w:rPr>
        <w:t>ꎮ</w:t>
      </w:r>
    </w:p>
    <w:p>
      <w:pPr>
        <w:pStyle w:val="6"/>
        <w:spacing w:line="295" w:lineRule="auto"/>
        <w:ind w:right="38"/>
      </w:pPr>
      <w:r>
        <w:t xml:space="preserve">违反 </w:t>
      </w:r>
      <w:r>
        <w:rPr>
          <w:rFonts w:hint="eastAsia" w:ascii="MS UI Gothic" w:hAnsi="MS UI Gothic" w:eastAsia="MS UI Gothic"/>
          <w:w w:val="80"/>
        </w:rPr>
        <w:t xml:space="preserve">« </w:t>
      </w:r>
      <w:r>
        <w:t>安全生产法</w:t>
      </w:r>
      <w:r>
        <w:rPr>
          <w:rFonts w:hint="eastAsia" w:ascii="MS UI Gothic" w:hAnsi="MS UI Gothic" w:eastAsia="MS UI Gothic"/>
          <w:w w:val="80"/>
        </w:rPr>
        <w:t xml:space="preserve">» </w:t>
      </w:r>
      <w:r>
        <w:t>以外的有关法律</w:t>
      </w:r>
      <w:r>
        <w:rPr>
          <w:rFonts w:hint="eastAsia" w:ascii="MS UI Gothic" w:hAnsi="MS UI Gothic" w:eastAsia="MS UI Gothic"/>
          <w:w w:val="80"/>
        </w:rPr>
        <w:t xml:space="preserve">、 </w:t>
      </w:r>
      <w:r>
        <w:t>行政法规</w:t>
      </w:r>
      <w:r>
        <w:rPr>
          <w:rFonts w:hint="eastAsia" w:ascii="MS UI Gothic" w:hAnsi="MS UI Gothic" w:eastAsia="MS UI Gothic"/>
          <w:w w:val="80"/>
        </w:rPr>
        <w:t xml:space="preserve">、 </w:t>
      </w:r>
      <w:r>
        <w:t>部门规章的规定发生生产安全事故</w:t>
      </w:r>
      <w:r>
        <w:rPr>
          <w:rFonts w:hint="eastAsia" w:ascii="MS UI Gothic" w:hAnsi="MS UI Gothic" w:eastAsia="MS UI Gothic"/>
          <w:w w:val="80"/>
        </w:rPr>
        <w:t xml:space="preserve">ꎬ </w:t>
      </w:r>
      <w:r>
        <w:t>应当给予生产经营单位的主要负责人</w:t>
      </w:r>
      <w:r>
        <w:rPr>
          <w:rFonts w:hint="eastAsia" w:ascii="MS UI Gothic" w:hAnsi="MS UI Gothic" w:eastAsia="MS UI Gothic"/>
          <w:w w:val="80"/>
        </w:rPr>
        <w:t xml:space="preserve">、 </w:t>
      </w:r>
      <w:r>
        <w:t>个人经营的投资人和其他责任人</w:t>
      </w:r>
    </w:p>
    <w:p>
      <w:pPr>
        <w:pStyle w:val="6"/>
        <w:spacing w:before="123" w:line="295" w:lineRule="auto"/>
        <w:ind w:right="442" w:firstLine="0"/>
        <w:rPr>
          <w:rFonts w:hint="eastAsia" w:ascii="MS UI Gothic" w:hAnsi="MS UI Gothic" w:eastAsia="MS UI Gothic"/>
        </w:rPr>
      </w:pPr>
      <w:r>
        <w:br w:type="column"/>
      </w:r>
      <w:r>
        <w:t>员罚款的</w:t>
      </w:r>
      <w:r>
        <w:rPr>
          <w:rFonts w:hint="eastAsia" w:ascii="MS UI Gothic" w:hAnsi="MS UI Gothic" w:eastAsia="MS UI Gothic"/>
          <w:w w:val="80"/>
        </w:rPr>
        <w:t xml:space="preserve">ꎬ </w:t>
      </w:r>
      <w:r>
        <w:t xml:space="preserve">依照 </w:t>
      </w:r>
      <w:r>
        <w:rPr>
          <w:rFonts w:hint="eastAsia" w:ascii="MS UI Gothic" w:hAnsi="MS UI Gothic" w:eastAsia="MS UI Gothic"/>
        </w:rPr>
        <w:t xml:space="preserve">« </w:t>
      </w:r>
      <w:r>
        <w:t>生产安全事故报告和调查处理条例</w:t>
      </w:r>
      <w:r>
        <w:rPr>
          <w:rFonts w:hint="eastAsia" w:ascii="MS UI Gothic" w:hAnsi="MS UI Gothic" w:eastAsia="MS UI Gothic"/>
        </w:rPr>
        <w:t xml:space="preserve">» </w:t>
      </w:r>
      <w:r>
        <w:t>的规定处罚</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w w:val="105"/>
        </w:rPr>
        <w:t>第二十三条 行政处罚自由裁量审查</w:t>
      </w:r>
      <w:r>
        <w:t>和备案审查的具体办法</w:t>
      </w:r>
      <w:r>
        <w:rPr>
          <w:rFonts w:hint="eastAsia" w:ascii="MS UI Gothic" w:eastAsia="MS UI Gothic"/>
          <w:w w:val="80"/>
        </w:rPr>
        <w:t xml:space="preserve">ꎬ </w:t>
      </w:r>
      <w:r>
        <w:t>由地方各级安全监管执法机关根据本机关实际制定</w:t>
      </w:r>
      <w:r>
        <w:rPr>
          <w:rFonts w:hint="eastAsia" w:ascii="MS UI Gothic" w:eastAsia="MS UI Gothic"/>
          <w:w w:val="80"/>
        </w:rPr>
        <w:t xml:space="preserve">ꎬ </w:t>
      </w:r>
      <w:r>
        <w:t>并报</w:t>
      </w:r>
      <w:r>
        <w:rPr>
          <w:w w:val="105"/>
        </w:rPr>
        <w:t>上一级安全监管执法机关备案</w:t>
      </w:r>
      <w:r>
        <w:rPr>
          <w:rFonts w:hint="eastAsia" w:ascii="MS UI Gothic" w:eastAsia="MS UI Gothic"/>
          <w:w w:val="80"/>
        </w:rPr>
        <w:t>ꎮ</w:t>
      </w:r>
    </w:p>
    <w:p>
      <w:pPr>
        <w:pStyle w:val="6"/>
        <w:spacing w:line="295" w:lineRule="auto"/>
        <w:ind w:right="442"/>
        <w:rPr>
          <w:rFonts w:hint="eastAsia" w:ascii="MS UI Gothic" w:eastAsia="MS UI Gothic"/>
        </w:rPr>
      </w:pPr>
      <w:r>
        <w:t>第二十四条 安全生产违法行为涉嫌构成刑事犯罪的</w:t>
      </w:r>
      <w:r>
        <w:rPr>
          <w:rFonts w:hint="eastAsia" w:ascii="MS UI Gothic" w:eastAsia="MS UI Gothic"/>
          <w:w w:val="80"/>
        </w:rPr>
        <w:t xml:space="preserve">ꎬ </w:t>
      </w:r>
      <w:r>
        <w:t>应当依据规定程序移交司法机关</w:t>
      </w:r>
      <w:r>
        <w:rPr>
          <w:rFonts w:hint="eastAsia" w:ascii="MS UI Gothic" w:eastAsia="MS UI Gothic"/>
          <w:w w:val="80"/>
        </w:rPr>
        <w:t xml:space="preserve">ꎬ </w:t>
      </w:r>
      <w:r>
        <w:t>不得以罚代刑</w:t>
      </w:r>
      <w:r>
        <w:rPr>
          <w:rFonts w:hint="eastAsia" w:ascii="MS UI Gothic" w:eastAsia="MS UI Gothic"/>
          <w:w w:val="80"/>
        </w:rPr>
        <w:t>ꎮ</w:t>
      </w:r>
    </w:p>
    <w:p>
      <w:pPr>
        <w:pStyle w:val="6"/>
        <w:spacing w:line="295" w:lineRule="auto"/>
        <w:ind w:left="280" w:right="442" w:firstLine="263"/>
        <w:rPr>
          <w:rFonts w:hint="eastAsia" w:ascii="MS UI Gothic" w:eastAsia="MS UI Gothic"/>
        </w:rPr>
      </w:pPr>
      <w:r>
        <w:pict>
          <v:shape id="_x0000_s1465" o:spid="_x0000_s1465" o:spt="202" type="#_x0000_t202" style="position:absolute;left:0pt;margin-left:264.5pt;margin-top:12pt;height:24.35pt;width:5.15pt;mso-position-horizontal-relative:page;z-index:25183232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第二十五条 本规则自 </w:t>
      </w:r>
      <w:r>
        <w:rPr>
          <w:rFonts w:hint="eastAsia" w:ascii="MS UI Gothic" w:eastAsia="MS UI Gothic"/>
          <w:w w:val="95"/>
        </w:rPr>
        <w:t xml:space="preserve">２０１０ </w:t>
      </w:r>
      <w:r>
        <w:rPr>
          <w:w w:val="95"/>
        </w:rPr>
        <w:t xml:space="preserve">年 </w:t>
      </w:r>
      <w:r>
        <w:rPr>
          <w:rFonts w:hint="eastAsia" w:ascii="MS UI Gothic" w:eastAsia="MS UI Gothic"/>
          <w:w w:val="95"/>
        </w:rPr>
        <w:t xml:space="preserve">１０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10"/>
        <w:ind w:left="0" w:firstLine="0"/>
        <w:jc w:val="left"/>
        <w:rPr>
          <w:rFonts w:ascii="MS UI Gothic"/>
          <w:sz w:val="16"/>
        </w:rPr>
      </w:pPr>
    </w:p>
    <w:p>
      <w:pPr>
        <w:pStyle w:val="4"/>
        <w:spacing w:before="78" w:line="266" w:lineRule="auto"/>
        <w:ind w:left="1886" w:right="2170" w:firstLine="124"/>
        <w:jc w:val="left"/>
        <w:rPr>
          <w:rFonts w:hint="eastAsia" w:ascii="Microsoft Yi Baiti" w:eastAsia="Microsoft Yi Baiti"/>
        </w:rPr>
      </w:pPr>
      <w:r>
        <w:t xml:space="preserve">安全生产监管监察职责和行政执法责任追究的暂行规定 </w:t>
      </w:r>
      <w:r>
        <w:rPr>
          <w:rFonts w:hint="eastAsia" w:ascii="Microsoft Yi Baiti" w:eastAsia="Microsoft Yi Baiti"/>
        </w:rPr>
        <w:t>(</w:t>
      </w:r>
      <w:r>
        <w:rPr>
          <w:rFonts w:hint="eastAsia" w:ascii="MS UI Gothic" w:eastAsia="MS UI Gothic"/>
        </w:rPr>
        <w:t xml:space="preserve">２０１５ </w:t>
      </w:r>
      <w:r>
        <w:t>年修正</w:t>
      </w:r>
      <w:r>
        <w:rPr>
          <w:rFonts w:hint="eastAsia" w:ascii="Microsoft Yi Baiti" w:eastAsia="Microsoft Yi Baiti"/>
        </w:rPr>
        <w:t>)</w:t>
      </w:r>
    </w:p>
    <w:p>
      <w:pPr>
        <w:pStyle w:val="6"/>
        <w:tabs>
          <w:tab w:val="left" w:pos="5010"/>
        </w:tabs>
        <w:spacing w:before="329"/>
        <w:ind w:left="0" w:right="442" w:firstLine="0"/>
        <w:jc w:val="right"/>
      </w:pPr>
      <w:r>
        <w:rPr>
          <w:rFonts w:hint="eastAsia" w:ascii="Microsoft Yi Baiti" w:eastAsia="Microsoft Yi Baiti"/>
          <w:spacing w:val="2"/>
        </w:rPr>
        <w:t>(</w:t>
      </w:r>
      <w:r>
        <w:rPr>
          <w:rFonts w:hint="eastAsia" w:ascii="MS UI Gothic" w:eastAsia="MS UI Gothic"/>
          <w:spacing w:val="2"/>
        </w:rPr>
        <w:t>２００９</w:t>
      </w:r>
      <w:r>
        <w:rPr>
          <w:rFonts w:hint="eastAsia" w:ascii="MS UI Gothic" w:eastAsia="MS UI Gothic"/>
          <w:spacing w:val="-27"/>
        </w:rPr>
        <w:t xml:space="preserve"> </w:t>
      </w:r>
      <w:r>
        <w:t>年</w:t>
      </w:r>
      <w:r>
        <w:rPr>
          <w:spacing w:val="-70"/>
        </w:rPr>
        <w:t xml:space="preserve"> </w:t>
      </w:r>
      <w:r>
        <w:rPr>
          <w:rFonts w:hint="eastAsia" w:ascii="MS UI Gothic" w:eastAsia="MS UI Gothic"/>
        </w:rPr>
        <w:t>７</w:t>
      </w:r>
      <w:r>
        <w:rPr>
          <w:rFonts w:hint="eastAsia" w:ascii="MS UI Gothic" w:eastAsia="MS UI Gothic"/>
          <w:spacing w:val="-26"/>
        </w:rPr>
        <w:t xml:space="preserve"> </w:t>
      </w:r>
      <w:r>
        <w:t>月</w:t>
      </w:r>
      <w:r>
        <w:rPr>
          <w:spacing w:val="-70"/>
        </w:rPr>
        <w:t xml:space="preserve"> </w:t>
      </w:r>
      <w:r>
        <w:rPr>
          <w:rFonts w:hint="eastAsia" w:ascii="MS UI Gothic" w:eastAsia="MS UI Gothic"/>
        </w:rPr>
        <w:t>２５</w:t>
      </w:r>
      <w:r>
        <w:rPr>
          <w:rFonts w:hint="eastAsia" w:ascii="MS UI Gothic" w:eastAsia="MS UI Gothic"/>
          <w:spacing w:val="-26"/>
        </w:rPr>
        <w:t xml:space="preserve"> </w:t>
      </w:r>
      <w:r>
        <w:rPr>
          <w:spacing w:val="3"/>
        </w:rPr>
        <w:t>日国家安</w:t>
      </w:r>
      <w:r>
        <w:rPr>
          <w:spacing w:val="5"/>
        </w:rPr>
        <w:t>全监管总局令</w:t>
      </w:r>
      <w:r>
        <w:t>第</w:t>
      </w:r>
      <w:r>
        <w:rPr>
          <w:spacing w:val="-68"/>
        </w:rPr>
        <w:t xml:space="preserve"> </w:t>
      </w:r>
      <w:r>
        <w:rPr>
          <w:rFonts w:hint="eastAsia" w:ascii="MS UI Gothic" w:eastAsia="MS UI Gothic"/>
        </w:rPr>
        <w:t>２４</w:t>
      </w:r>
      <w:r>
        <w:rPr>
          <w:rFonts w:hint="eastAsia" w:ascii="MS UI Gothic" w:eastAsia="MS UI Gothic"/>
          <w:spacing w:val="-23"/>
        </w:rPr>
        <w:t xml:space="preserve"> </w:t>
      </w:r>
      <w:r>
        <w:rPr>
          <w:spacing w:val="5"/>
        </w:rPr>
        <w:t>号公</w:t>
      </w:r>
      <w:r>
        <w:t>布</w:t>
      </w:r>
      <w:r>
        <w:tab/>
      </w:r>
      <w:r>
        <w:rPr>
          <w:spacing w:val="5"/>
        </w:rPr>
        <w:t>根</w:t>
      </w:r>
      <w:r>
        <w:t>据</w:t>
      </w:r>
      <w:r>
        <w:rPr>
          <w:spacing w:val="-77"/>
        </w:rPr>
        <w:t xml:space="preserve"> </w:t>
      </w:r>
      <w:r>
        <w:rPr>
          <w:rFonts w:hint="eastAsia" w:ascii="MS UI Gothic" w:eastAsia="MS UI Gothic"/>
        </w:rPr>
        <w:t>２０１３</w:t>
      </w:r>
      <w:r>
        <w:rPr>
          <w:rFonts w:hint="eastAsia" w:ascii="MS UI Gothic" w:eastAsia="MS UI Gothic"/>
          <w:spacing w:val="-35"/>
        </w:rPr>
        <w:t xml:space="preserve"> </w:t>
      </w:r>
      <w:r>
        <w:t>年</w:t>
      </w:r>
      <w:r>
        <w:rPr>
          <w:spacing w:val="-77"/>
        </w:rPr>
        <w:t xml:space="preserve"> </w:t>
      </w:r>
      <w:r>
        <w:rPr>
          <w:rFonts w:hint="eastAsia" w:ascii="MS UI Gothic" w:eastAsia="MS UI Gothic"/>
        </w:rPr>
        <w:t>８</w:t>
      </w:r>
      <w:r>
        <w:rPr>
          <w:rFonts w:hint="eastAsia" w:ascii="MS UI Gothic" w:eastAsia="MS UI Gothic"/>
          <w:spacing w:val="-34"/>
        </w:rPr>
        <w:t xml:space="preserve"> </w:t>
      </w:r>
      <w:r>
        <w:t>月</w:t>
      </w:r>
      <w:r>
        <w:rPr>
          <w:spacing w:val="-77"/>
        </w:rPr>
        <w:t xml:space="preserve"> </w:t>
      </w:r>
      <w:r>
        <w:rPr>
          <w:rFonts w:hint="eastAsia" w:ascii="MS UI Gothic" w:eastAsia="MS UI Gothic"/>
        </w:rPr>
        <w:t>２９</w:t>
      </w:r>
      <w:r>
        <w:rPr>
          <w:rFonts w:hint="eastAsia" w:ascii="MS UI Gothic" w:eastAsia="MS UI Gothic"/>
          <w:spacing w:val="-34"/>
        </w:rPr>
        <w:t xml:space="preserve"> </w:t>
      </w:r>
      <w:r>
        <w:rPr>
          <w:spacing w:val="7"/>
        </w:rPr>
        <w:t>日国</w:t>
      </w:r>
      <w:r>
        <w:t>家</w:t>
      </w:r>
    </w:p>
    <w:p>
      <w:pPr>
        <w:pStyle w:val="6"/>
        <w:tabs>
          <w:tab w:val="left" w:pos="3477"/>
        </w:tabs>
        <w:spacing w:before="58"/>
        <w:ind w:left="0" w:right="444" w:firstLine="0"/>
        <w:jc w:val="right"/>
        <w:rPr>
          <w:rFonts w:hint="eastAsia" w:ascii="MS UI Gothic" w:eastAsia="MS UI Gothic"/>
        </w:rPr>
      </w:pPr>
      <w:r>
        <w:rPr>
          <w:spacing w:val="3"/>
        </w:rPr>
        <w:t>安全监管总局令</w:t>
      </w:r>
      <w:r>
        <w:t>第</w:t>
      </w:r>
      <w:r>
        <w:rPr>
          <w:spacing w:val="-48"/>
        </w:rPr>
        <w:t xml:space="preserve"> </w:t>
      </w:r>
      <w:r>
        <w:rPr>
          <w:rFonts w:hint="eastAsia" w:ascii="MS UI Gothic" w:eastAsia="MS UI Gothic"/>
        </w:rPr>
        <w:t xml:space="preserve">６３ </w:t>
      </w:r>
      <w:r>
        <w:rPr>
          <w:spacing w:val="3"/>
        </w:rPr>
        <w:t>号第一次</w:t>
      </w:r>
      <w:r>
        <w:rPr>
          <w:spacing w:val="7"/>
        </w:rPr>
        <w:t>修</w:t>
      </w:r>
      <w:r>
        <w:t>正</w:t>
      </w:r>
      <w:r>
        <w:tab/>
      </w:r>
      <w:r>
        <w:rPr>
          <w:spacing w:val="11"/>
        </w:rPr>
        <w:t>根</w:t>
      </w:r>
      <w:r>
        <w:t>据</w:t>
      </w:r>
      <w:r>
        <w:rPr>
          <w:spacing w:val="-65"/>
        </w:rPr>
        <w:t xml:space="preserve"> </w:t>
      </w:r>
      <w:r>
        <w:rPr>
          <w:rFonts w:hint="eastAsia" w:ascii="MS UI Gothic" w:eastAsia="MS UI Gothic"/>
        </w:rPr>
        <w:t>２０１５</w:t>
      </w:r>
      <w:r>
        <w:rPr>
          <w:rFonts w:hint="eastAsia" w:ascii="MS UI Gothic" w:eastAsia="MS UI Gothic"/>
          <w:spacing w:val="-22"/>
        </w:rPr>
        <w:t xml:space="preserve"> </w:t>
      </w:r>
      <w:r>
        <w:t>年</w:t>
      </w:r>
      <w:r>
        <w:rPr>
          <w:spacing w:val="-66"/>
        </w:rPr>
        <w:t xml:space="preserve"> </w:t>
      </w:r>
      <w:r>
        <w:rPr>
          <w:rFonts w:hint="eastAsia" w:ascii="MS UI Gothic" w:eastAsia="MS UI Gothic"/>
        </w:rPr>
        <w:t>４</w:t>
      </w:r>
      <w:r>
        <w:rPr>
          <w:rFonts w:hint="eastAsia" w:ascii="MS UI Gothic" w:eastAsia="MS UI Gothic"/>
          <w:spacing w:val="-22"/>
        </w:rPr>
        <w:t xml:space="preserve"> </w:t>
      </w:r>
      <w:r>
        <w:t>月</w:t>
      </w:r>
      <w:r>
        <w:rPr>
          <w:spacing w:val="-65"/>
        </w:rPr>
        <w:t xml:space="preserve"> </w:t>
      </w:r>
      <w:r>
        <w:rPr>
          <w:rFonts w:hint="eastAsia" w:ascii="MS UI Gothic" w:eastAsia="MS UI Gothic"/>
        </w:rPr>
        <w:t>２</w:t>
      </w:r>
      <w:r>
        <w:rPr>
          <w:rFonts w:hint="eastAsia" w:ascii="MS UI Gothic" w:eastAsia="MS UI Gothic"/>
          <w:spacing w:val="-23"/>
        </w:rPr>
        <w:t xml:space="preserve"> </w:t>
      </w:r>
      <w:r>
        <w:rPr>
          <w:spacing w:val="11"/>
        </w:rPr>
        <w:t>日国家安全监管总局令</w:t>
      </w:r>
      <w:r>
        <w:t>第</w:t>
      </w:r>
      <w:r>
        <w:rPr>
          <w:spacing w:val="-65"/>
        </w:rPr>
        <w:t xml:space="preserve"> </w:t>
      </w:r>
      <w:r>
        <w:rPr>
          <w:rFonts w:hint="eastAsia" w:ascii="MS UI Gothic" w:eastAsia="MS UI Gothic"/>
        </w:rPr>
        <w:t>７７</w:t>
      </w:r>
    </w:p>
    <w:p>
      <w:pPr>
        <w:pStyle w:val="6"/>
        <w:spacing w:before="58"/>
        <w:ind w:firstLine="0"/>
        <w:jc w:val="left"/>
        <w:rPr>
          <w:rFonts w:hint="eastAsia" w:ascii="Microsoft Yi Baiti" w:eastAsia="Microsoft Yi Baiti"/>
        </w:rPr>
      </w:pPr>
      <w:r>
        <w:rPr>
          <w:w w:val="105"/>
        </w:rPr>
        <w:t>号第二次修正</w:t>
      </w:r>
      <w:r>
        <w:rPr>
          <w:rFonts w:hint="eastAsia" w:ascii="Microsoft Yi Baiti" w:eastAsia="Microsoft Yi Baiti"/>
          <w:w w:val="105"/>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5" w:lineRule="auto"/>
        <w:ind w:right="38"/>
      </w:pPr>
      <w:r>
        <w:t>第一条 为促进安全生产监督管理部门</w:t>
      </w:r>
      <w:r>
        <w:rPr>
          <w:rFonts w:hint="eastAsia" w:ascii="MS UI Gothic" w:eastAsia="MS UI Gothic"/>
          <w:w w:val="80"/>
        </w:rPr>
        <w:t xml:space="preserve">、 </w:t>
      </w:r>
      <w:r>
        <w:t>煤矿安全监察机构及其行政执法人员依法履行职责</w:t>
      </w:r>
      <w:r>
        <w:rPr>
          <w:rFonts w:hint="eastAsia" w:ascii="MS UI Gothic" w:eastAsia="MS UI Gothic"/>
          <w:w w:val="80"/>
        </w:rPr>
        <w:t xml:space="preserve">ꎬ </w:t>
      </w:r>
      <w:r>
        <w:t>落实行政执法责任</w:t>
      </w:r>
      <w:r>
        <w:rPr>
          <w:rFonts w:hint="eastAsia" w:ascii="MS UI Gothic" w:eastAsia="MS UI Gothic"/>
          <w:w w:val="80"/>
        </w:rPr>
        <w:t xml:space="preserve">ꎬ </w:t>
      </w:r>
      <w:r>
        <w:t>保障公民</w:t>
      </w:r>
      <w:r>
        <w:rPr>
          <w:rFonts w:hint="eastAsia" w:ascii="MS UI Gothic" w:eastAsia="MS UI Gothic"/>
          <w:w w:val="80"/>
        </w:rPr>
        <w:t xml:space="preserve">、 </w:t>
      </w:r>
      <w:r>
        <w:t>法人和其他组织合法权益</w:t>
      </w:r>
      <w:r>
        <w:rPr>
          <w:rFonts w:hint="eastAsia" w:ascii="MS UI Gothic" w:eastAsia="MS UI Gothic"/>
          <w:w w:val="80"/>
        </w:rPr>
        <w:t xml:space="preserve">ꎬ </w:t>
      </w:r>
      <w:r>
        <w:t>根据</w:t>
      </w:r>
    </w:p>
    <w:p>
      <w:pPr>
        <w:pStyle w:val="6"/>
        <w:spacing w:line="295" w:lineRule="auto"/>
        <w:ind w:right="38" w:firstLine="0"/>
        <w:rPr>
          <w:rFonts w:hint="eastAsia" w:ascii="MS UI Gothic" w:hAnsi="MS UI Gothic" w:eastAsia="MS UI Gothic"/>
        </w:rPr>
      </w:pPr>
      <w:r>
        <w:rPr>
          <w:rFonts w:hint="eastAsia" w:ascii="MS UI Gothic" w:hAnsi="MS UI Gothic" w:eastAsia="MS UI Gothic"/>
          <w:spacing w:val="-25"/>
        </w:rPr>
        <w:t xml:space="preserve">« </w:t>
      </w:r>
      <w:r>
        <w:rPr>
          <w:spacing w:val="3"/>
        </w:rPr>
        <w:t>公务员法</w:t>
      </w:r>
      <w:r>
        <w:rPr>
          <w:rFonts w:hint="eastAsia" w:ascii="MS UI Gothic" w:hAnsi="MS UI Gothic" w:eastAsia="MS UI Gothic"/>
          <w:spacing w:val="-8"/>
        </w:rPr>
        <w:t xml:space="preserve">»、 « </w:t>
      </w:r>
      <w:r>
        <w:rPr>
          <w:spacing w:val="3"/>
        </w:rPr>
        <w:t>安全生产法</w:t>
      </w:r>
      <w:r>
        <w:rPr>
          <w:rFonts w:hint="eastAsia" w:ascii="MS UI Gothic" w:hAnsi="MS UI Gothic" w:eastAsia="MS UI Gothic"/>
          <w:spacing w:val="-8"/>
        </w:rPr>
        <w:t xml:space="preserve">»、 « </w:t>
      </w:r>
      <w:r>
        <w:rPr>
          <w:spacing w:val="3"/>
        </w:rPr>
        <w:t>安全生产</w:t>
      </w:r>
      <w:r>
        <w:rPr>
          <w:spacing w:val="11"/>
        </w:rPr>
        <w:t>许可证条例</w:t>
      </w:r>
      <w:r>
        <w:rPr>
          <w:rFonts w:hint="eastAsia" w:ascii="MS UI Gothic" w:hAnsi="MS UI Gothic" w:eastAsia="MS UI Gothic"/>
          <w:spacing w:val="3"/>
        </w:rPr>
        <w:t xml:space="preserve">» </w:t>
      </w:r>
      <w:r>
        <w:rPr>
          <w:spacing w:val="15"/>
        </w:rPr>
        <w:t>等法律法规和国务院有关</w:t>
      </w:r>
      <w:r>
        <w:rPr>
          <w:spacing w:val="3"/>
        </w:rPr>
        <w:t>规定</w:t>
      </w:r>
      <w:r>
        <w:rPr>
          <w:rFonts w:hint="eastAsia" w:ascii="MS UI Gothic" w:hAnsi="MS UI Gothic" w:eastAsia="MS UI Gothic"/>
          <w:spacing w:val="2"/>
          <w:w w:val="80"/>
        </w:rPr>
        <w:t xml:space="preserve">ꎬ </w:t>
      </w:r>
      <w:r>
        <w:rPr>
          <w:spacing w:val="3"/>
        </w:rPr>
        <w:t>制定本规定</w:t>
      </w:r>
      <w:r>
        <w:rPr>
          <w:rFonts w:hint="eastAsia" w:ascii="MS UI Gothic" w:hAnsi="MS UI Gothic" w:eastAsia="MS UI Gothic"/>
          <w:w w:val="80"/>
        </w:rPr>
        <w:t>ꎮ</w:t>
      </w:r>
    </w:p>
    <w:p>
      <w:pPr>
        <w:pStyle w:val="6"/>
        <w:spacing w:line="295" w:lineRule="auto"/>
        <w:ind w:right="38"/>
        <w:rPr>
          <w:rFonts w:hint="eastAsia" w:ascii="MS UI Gothic" w:eastAsia="MS UI Gothic"/>
        </w:rPr>
      </w:pPr>
      <w:r>
        <w:rPr>
          <w:w w:val="105"/>
        </w:rPr>
        <w:t>第二条 县级以上人民政府安全生产监督管理部门</w:t>
      </w:r>
      <w:r>
        <w:rPr>
          <w:rFonts w:hint="eastAsia" w:ascii="MS UI Gothic" w:eastAsia="MS UI Gothic"/>
          <w:w w:val="80"/>
        </w:rPr>
        <w:t xml:space="preserve">、 </w:t>
      </w:r>
      <w:r>
        <w:rPr>
          <w:w w:val="105"/>
        </w:rPr>
        <w:t xml:space="preserve">煤矿安全监察机构 </w:t>
      </w:r>
      <w:r>
        <w:rPr>
          <w:rFonts w:hint="eastAsia" w:ascii="MS UI Gothic" w:eastAsia="MS UI Gothic"/>
          <w:w w:val="150"/>
        </w:rPr>
        <w:t xml:space="preserve">( </w:t>
      </w:r>
      <w:r>
        <w:rPr>
          <w:w w:val="105"/>
        </w:rPr>
        <w:t>以下统称安全监管监察部门</w:t>
      </w:r>
      <w:r>
        <w:rPr>
          <w:rFonts w:hint="eastAsia" w:ascii="MS UI Gothic" w:eastAsia="MS UI Gothic"/>
          <w:w w:val="150"/>
        </w:rPr>
        <w:t xml:space="preserve">) </w:t>
      </w:r>
      <w:r>
        <w:rPr>
          <w:w w:val="105"/>
        </w:rPr>
        <w:t>及其内设机构</w:t>
      </w:r>
      <w:r>
        <w:rPr>
          <w:rFonts w:hint="eastAsia" w:ascii="MS UI Gothic" w:eastAsia="MS UI Gothic"/>
          <w:w w:val="80"/>
        </w:rPr>
        <w:t xml:space="preserve">、 </w:t>
      </w:r>
      <w:r>
        <w:rPr>
          <w:w w:val="105"/>
        </w:rPr>
        <w:t>行政执法人员履行安全生产监管监察</w:t>
      </w:r>
      <w:r>
        <w:t>职责和实施行政执法责任追究</w:t>
      </w:r>
      <w:r>
        <w:rPr>
          <w:rFonts w:hint="eastAsia" w:ascii="MS UI Gothic" w:eastAsia="MS UI Gothic"/>
          <w:w w:val="80"/>
        </w:rPr>
        <w:t xml:space="preserve">ꎬ </w:t>
      </w:r>
      <w:r>
        <w:t>适用本规</w:t>
      </w:r>
      <w:r>
        <w:rPr>
          <w:w w:val="105"/>
        </w:rPr>
        <w:t>定</w:t>
      </w:r>
      <w:r>
        <w:rPr>
          <w:rFonts w:hint="eastAsia" w:ascii="MS UI Gothic" w:eastAsia="MS UI Gothic"/>
          <w:w w:val="80"/>
        </w:rPr>
        <w:t xml:space="preserve">ꎻ </w:t>
      </w:r>
      <w:r>
        <w:rPr>
          <w:w w:val="105"/>
        </w:rPr>
        <w:t>法律</w:t>
      </w:r>
      <w:r>
        <w:rPr>
          <w:rFonts w:hint="eastAsia" w:ascii="MS UI Gothic" w:eastAsia="MS UI Gothic"/>
          <w:w w:val="80"/>
        </w:rPr>
        <w:t xml:space="preserve">、 </w:t>
      </w:r>
      <w:r>
        <w:rPr>
          <w:w w:val="105"/>
        </w:rPr>
        <w:t>法规对行政执法责任追究或者</w:t>
      </w:r>
      <w:r>
        <w:t>党政领导干部问责另有规定的</w:t>
      </w:r>
      <w:r>
        <w:rPr>
          <w:rFonts w:hint="eastAsia" w:ascii="MS UI Gothic" w:eastAsia="MS UI Gothic"/>
          <w:w w:val="80"/>
        </w:rPr>
        <w:t xml:space="preserve">ꎬ </w:t>
      </w:r>
      <w:r>
        <w:t>依照其</w:t>
      </w:r>
      <w:r>
        <w:rPr>
          <w:w w:val="105"/>
        </w:rPr>
        <w:t>规定</w:t>
      </w:r>
      <w:r>
        <w:rPr>
          <w:rFonts w:hint="eastAsia" w:ascii="MS UI Gothic" w:eastAsia="MS UI Gothic"/>
          <w:w w:val="80"/>
        </w:rPr>
        <w:t>ꎮ</w:t>
      </w:r>
    </w:p>
    <w:p>
      <w:pPr>
        <w:pStyle w:val="6"/>
        <w:spacing w:line="250" w:lineRule="exact"/>
        <w:ind w:left="543" w:firstLine="0"/>
      </w:pPr>
      <w:r>
        <w:t>本规定所称行政执法责任追究</w:t>
      </w:r>
      <w:r>
        <w:rPr>
          <w:rFonts w:hint="eastAsia" w:ascii="MS UI Gothic" w:eastAsia="MS UI Gothic"/>
          <w:w w:val="80"/>
        </w:rPr>
        <w:t xml:space="preserve">ꎬ </w:t>
      </w:r>
      <w:r>
        <w:t>是指</w:t>
      </w:r>
    </w:p>
    <w:p>
      <w:pPr>
        <w:pStyle w:val="6"/>
        <w:spacing w:before="174" w:line="295" w:lineRule="auto"/>
        <w:ind w:right="442" w:firstLine="0"/>
        <w:rPr>
          <w:rFonts w:hint="eastAsia" w:ascii="MS UI Gothic" w:eastAsia="MS UI Gothic"/>
        </w:rPr>
      </w:pPr>
      <w:r>
        <w:br w:type="column"/>
      </w:r>
      <w:r>
        <w:rPr>
          <w:spacing w:val="3"/>
          <w:w w:val="105"/>
        </w:rPr>
        <w:t>对作出违法</w:t>
      </w:r>
      <w:r>
        <w:rPr>
          <w:rFonts w:hint="eastAsia" w:ascii="MS UI Gothic" w:eastAsia="MS UI Gothic"/>
          <w:spacing w:val="-2"/>
          <w:w w:val="80"/>
        </w:rPr>
        <w:t xml:space="preserve">、 </w:t>
      </w:r>
      <w:r>
        <w:rPr>
          <w:spacing w:val="2"/>
          <w:w w:val="105"/>
        </w:rPr>
        <w:t>不当的安全监管监察行政执</w:t>
      </w:r>
      <w:r>
        <w:rPr>
          <w:spacing w:val="-8"/>
          <w:w w:val="105"/>
        </w:rPr>
        <w:t xml:space="preserve">法行为 </w:t>
      </w:r>
      <w:r>
        <w:rPr>
          <w:rFonts w:hint="eastAsia" w:ascii="MS UI Gothic" w:eastAsia="MS UI Gothic"/>
          <w:spacing w:val="-39"/>
          <w:w w:val="150"/>
        </w:rPr>
        <w:t xml:space="preserve">( </w:t>
      </w:r>
      <w:r>
        <w:rPr>
          <w:spacing w:val="7"/>
          <w:w w:val="105"/>
        </w:rPr>
        <w:t>以下简称行政执法行为</w:t>
      </w:r>
      <w:r>
        <w:rPr>
          <w:rFonts w:hint="eastAsia" w:ascii="MS UI Gothic" w:eastAsia="MS UI Gothic"/>
          <w:spacing w:val="-39"/>
          <w:w w:val="150"/>
        </w:rPr>
        <w:t xml:space="preserve">) </w:t>
      </w:r>
      <w:r>
        <w:rPr>
          <w:rFonts w:hint="eastAsia" w:ascii="MS UI Gothic" w:eastAsia="MS UI Gothic"/>
          <w:spacing w:val="12"/>
          <w:w w:val="80"/>
        </w:rPr>
        <w:t xml:space="preserve">ꎬ </w:t>
      </w:r>
      <w:r>
        <w:rPr>
          <w:spacing w:val="5"/>
          <w:w w:val="105"/>
        </w:rPr>
        <w:t>或者</w:t>
      </w:r>
      <w:r>
        <w:rPr>
          <w:spacing w:val="2"/>
        </w:rPr>
        <w:t>未履行法定职责的安全监管监察部门及其</w:t>
      </w:r>
      <w:r>
        <w:rPr>
          <w:spacing w:val="3"/>
          <w:w w:val="105"/>
        </w:rPr>
        <w:t>内设机构</w:t>
      </w:r>
      <w:r>
        <w:rPr>
          <w:rFonts w:hint="eastAsia" w:ascii="MS UI Gothic" w:eastAsia="MS UI Gothic"/>
          <w:w w:val="80"/>
        </w:rPr>
        <w:t xml:space="preserve">、 </w:t>
      </w:r>
      <w:r>
        <w:rPr>
          <w:spacing w:val="3"/>
          <w:w w:val="105"/>
        </w:rPr>
        <w:t>行政执法人员</w:t>
      </w:r>
      <w:r>
        <w:rPr>
          <w:rFonts w:hint="eastAsia" w:ascii="MS UI Gothic" w:eastAsia="MS UI Gothic"/>
          <w:w w:val="80"/>
        </w:rPr>
        <w:t xml:space="preserve">ꎬ </w:t>
      </w:r>
      <w:r>
        <w:rPr>
          <w:spacing w:val="2"/>
          <w:w w:val="105"/>
        </w:rPr>
        <w:t>实施行政责任</w:t>
      </w:r>
      <w:r>
        <w:rPr>
          <w:spacing w:val="-1"/>
          <w:w w:val="105"/>
        </w:rPr>
        <w:t xml:space="preserve">追究 </w:t>
      </w:r>
      <w:r>
        <w:rPr>
          <w:rFonts w:hint="eastAsia" w:ascii="MS UI Gothic" w:eastAsia="MS UI Gothic"/>
          <w:spacing w:val="-36"/>
          <w:w w:val="150"/>
        </w:rPr>
        <w:t xml:space="preserve">( </w:t>
      </w:r>
      <w:r>
        <w:rPr>
          <w:spacing w:val="3"/>
          <w:w w:val="105"/>
        </w:rPr>
        <w:t>以下简称责任追究</w:t>
      </w:r>
      <w:r>
        <w:rPr>
          <w:rFonts w:hint="eastAsia" w:ascii="MS UI Gothic" w:eastAsia="MS UI Gothic"/>
          <w:spacing w:val="-36"/>
          <w:w w:val="150"/>
        </w:rPr>
        <w:t xml:space="preserve">) </w:t>
      </w:r>
      <w:r>
        <w:rPr>
          <w:rFonts w:hint="eastAsia" w:ascii="MS UI Gothic" w:eastAsia="MS UI Gothic"/>
          <w:w w:val="80"/>
        </w:rPr>
        <w:t>ꎮ</w:t>
      </w:r>
    </w:p>
    <w:p>
      <w:pPr>
        <w:pStyle w:val="6"/>
        <w:spacing w:line="295" w:lineRule="auto"/>
        <w:ind w:right="442"/>
        <w:rPr>
          <w:rFonts w:hint="eastAsia" w:ascii="MS UI Gothic" w:eastAsia="MS UI Gothic"/>
        </w:rPr>
      </w:pPr>
      <w:r>
        <w:t>第三条  责任追究应当遵循公正公平</w:t>
      </w:r>
      <w:r>
        <w:rPr>
          <w:rFonts w:hint="eastAsia" w:ascii="MS UI Gothic" w:eastAsia="MS UI Gothic"/>
          <w:w w:val="80"/>
        </w:rPr>
        <w:t xml:space="preserve">、 </w:t>
      </w:r>
      <w:r>
        <w:t>有错必纠</w:t>
      </w:r>
      <w:r>
        <w:rPr>
          <w:rFonts w:hint="eastAsia" w:ascii="MS UI Gothic" w:eastAsia="MS UI Gothic"/>
          <w:w w:val="80"/>
        </w:rPr>
        <w:t xml:space="preserve">、 </w:t>
      </w:r>
      <w:r>
        <w:t>责罚相当</w:t>
      </w:r>
      <w:r>
        <w:rPr>
          <w:rFonts w:hint="eastAsia" w:ascii="MS UI Gothic" w:eastAsia="MS UI Gothic"/>
          <w:w w:val="80"/>
        </w:rPr>
        <w:t xml:space="preserve">、 </w:t>
      </w:r>
      <w:r>
        <w:t>惩教结合的原则</w:t>
      </w:r>
      <w:r>
        <w:rPr>
          <w:rFonts w:hint="eastAsia" w:ascii="MS UI Gothic" w:eastAsia="MS UI Gothic"/>
          <w:w w:val="80"/>
        </w:rPr>
        <w:t xml:space="preserve">ꎬ </w:t>
      </w:r>
      <w:r>
        <w:t>做到事实清楚</w:t>
      </w:r>
      <w:r>
        <w:rPr>
          <w:rFonts w:hint="eastAsia" w:ascii="MS UI Gothic" w:eastAsia="MS UI Gothic"/>
          <w:w w:val="80"/>
        </w:rPr>
        <w:t xml:space="preserve">、 </w:t>
      </w:r>
      <w:r>
        <w:t>证据确凿</w:t>
      </w:r>
      <w:r>
        <w:rPr>
          <w:rFonts w:hint="eastAsia" w:ascii="MS UI Gothic" w:eastAsia="MS UI Gothic"/>
          <w:w w:val="80"/>
        </w:rPr>
        <w:t xml:space="preserve">、 </w:t>
      </w:r>
      <w:r>
        <w:t>定性准确</w:t>
      </w:r>
      <w:r>
        <w:rPr>
          <w:rFonts w:hint="eastAsia" w:ascii="MS UI Gothic" w:eastAsia="MS UI Gothic"/>
          <w:w w:val="80"/>
        </w:rPr>
        <w:t xml:space="preserve">、 </w:t>
      </w:r>
      <w:r>
        <w:t>处理适当</w:t>
      </w:r>
      <w:r>
        <w:rPr>
          <w:rFonts w:hint="eastAsia" w:ascii="MS UI Gothic" w:eastAsia="MS UI Gothic"/>
          <w:w w:val="80"/>
        </w:rPr>
        <w:t xml:space="preserve">、 </w:t>
      </w:r>
      <w:r>
        <w:t>程序合法</w:t>
      </w:r>
      <w:r>
        <w:rPr>
          <w:rFonts w:hint="eastAsia" w:ascii="MS UI Gothic" w:eastAsia="MS UI Gothic"/>
          <w:w w:val="80"/>
        </w:rPr>
        <w:t xml:space="preserve">、 </w:t>
      </w:r>
      <w:r>
        <w:t>手续完备</w:t>
      </w:r>
      <w:r>
        <w:rPr>
          <w:rFonts w:hint="eastAsia" w:ascii="MS UI Gothic" w:eastAsia="MS UI Gothic"/>
          <w:w w:val="80"/>
        </w:rPr>
        <w:t>ꎮ</w:t>
      </w:r>
    </w:p>
    <w:p>
      <w:pPr>
        <w:pStyle w:val="6"/>
        <w:spacing w:line="295" w:lineRule="auto"/>
        <w:ind w:right="442"/>
        <w:rPr>
          <w:rFonts w:hint="eastAsia" w:ascii="MS UI Gothic" w:eastAsia="MS UI Gothic"/>
        </w:rPr>
      </w:pPr>
      <w:r>
        <w:t>第四条 责任追究实行回避制度</w:t>
      </w:r>
      <w:r>
        <w:rPr>
          <w:rFonts w:hint="eastAsia" w:ascii="MS UI Gothic" w:eastAsia="MS UI Gothic"/>
          <w:w w:val="80"/>
        </w:rPr>
        <w:t xml:space="preserve">ꎮ </w:t>
      </w:r>
      <w:r>
        <w:t>与违法</w:t>
      </w:r>
      <w:r>
        <w:rPr>
          <w:rFonts w:hint="eastAsia" w:ascii="MS UI Gothic" w:eastAsia="MS UI Gothic"/>
          <w:w w:val="80"/>
        </w:rPr>
        <w:t xml:space="preserve">、 </w:t>
      </w:r>
      <w:r>
        <w:t>不当行政执法行为或者责任人有利害关系</w:t>
      </w:r>
      <w:r>
        <w:rPr>
          <w:rFonts w:hint="eastAsia" w:ascii="MS UI Gothic" w:eastAsia="MS UI Gothic"/>
          <w:w w:val="80"/>
        </w:rPr>
        <w:t xml:space="preserve">ꎬ </w:t>
      </w:r>
      <w:r>
        <w:t>或者有其他特殊关系</w:t>
      </w:r>
      <w:r>
        <w:rPr>
          <w:rFonts w:hint="eastAsia" w:ascii="MS UI Gothic" w:eastAsia="MS UI Gothic"/>
          <w:w w:val="80"/>
        </w:rPr>
        <w:t xml:space="preserve">ꎬ </w:t>
      </w:r>
      <w:r>
        <w:t>可能影响公正处理的人员</w:t>
      </w:r>
      <w:r>
        <w:rPr>
          <w:rFonts w:hint="eastAsia" w:ascii="MS UI Gothic" w:eastAsia="MS UI Gothic"/>
          <w:w w:val="80"/>
        </w:rPr>
        <w:t xml:space="preserve">ꎬ </w:t>
      </w:r>
      <w:r>
        <w:t>实施责任追究时应当回避</w:t>
      </w:r>
      <w:r>
        <w:rPr>
          <w:rFonts w:hint="eastAsia" w:ascii="MS UI Gothic" w:eastAsia="MS UI Gothic"/>
          <w:w w:val="80"/>
        </w:rPr>
        <w:t>ꎮ</w:t>
      </w:r>
    </w:p>
    <w:p>
      <w:pPr>
        <w:pStyle w:val="6"/>
        <w:spacing w:line="295" w:lineRule="auto"/>
        <w:ind w:right="442"/>
        <w:rPr>
          <w:rFonts w:hint="eastAsia" w:ascii="MS UI Gothic" w:eastAsia="MS UI Gothic"/>
        </w:rPr>
      </w:pPr>
      <w:r>
        <w:t>安全监管监察部门负责人的回避由该部门负责人集体讨论决定</w:t>
      </w:r>
      <w:r>
        <w:rPr>
          <w:rFonts w:hint="eastAsia" w:ascii="MS UI Gothic" w:eastAsia="MS UI Gothic"/>
          <w:w w:val="80"/>
        </w:rPr>
        <w:t xml:space="preserve">ꎬ </w:t>
      </w:r>
      <w:r>
        <w:t>其他人员的回</w:t>
      </w:r>
      <w:r>
        <w:rPr>
          <w:w w:val="105"/>
        </w:rPr>
        <w:t>避由该部门负责人决定</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１４１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66" o:spid="_x0000_s1466" o:spt="203" style="height:2.15pt;width:398.25pt;" coordsize="7965,43">
            <o:lock v:ext="edit"/>
            <v:line id="_x0000_s1467" o:spid="_x0000_s1467" o:spt="20" style="position:absolute;left:0;top:39;height:0;width:7965;" stroked="t" coordsize="21600,21600">
              <v:path arrowok="t"/>
              <v:fill focussize="0,0"/>
              <v:stroke weight="0.388031496062992pt" color="#231F20"/>
              <v:imagedata o:title=""/>
              <o:lock v:ext="edit"/>
            </v:line>
            <v:line id="_x0000_s1468" o:spid="_x0000_s146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
        <w:ind w:left="0" w:firstLine="0"/>
        <w:jc w:val="left"/>
        <w:rPr>
          <w:rFonts w:ascii="MS UI Gothic"/>
          <w:sz w:val="21"/>
        </w:rPr>
      </w:pPr>
    </w:p>
    <w:p>
      <w:pPr>
        <w:pStyle w:val="6"/>
        <w:tabs>
          <w:tab w:val="left" w:pos="1803"/>
        </w:tabs>
        <w:spacing w:line="295" w:lineRule="auto"/>
        <w:ind w:left="1698" w:right="521" w:hanging="734"/>
        <w:jc w:val="left"/>
      </w:pPr>
      <w:r>
        <w:rPr>
          <w:spacing w:val="3"/>
          <w:w w:val="105"/>
        </w:rPr>
        <w:t>第二</w:t>
      </w:r>
      <w:r>
        <w:rPr>
          <w:w w:val="105"/>
        </w:rPr>
        <w:t>章</w:t>
      </w:r>
      <w:r>
        <w:rPr>
          <w:w w:val="105"/>
        </w:rPr>
        <w:tab/>
      </w:r>
      <w:r>
        <w:rPr>
          <w:w w:val="105"/>
        </w:rPr>
        <w:tab/>
      </w:r>
      <w:r>
        <w:rPr>
          <w:spacing w:val="3"/>
        </w:rPr>
        <w:t>安全生产监管监察</w:t>
      </w:r>
      <w:r>
        <w:t>和</w:t>
      </w:r>
      <w:r>
        <w:rPr>
          <w:spacing w:val="3"/>
          <w:w w:val="105"/>
        </w:rPr>
        <w:t>行政执法职</w:t>
      </w:r>
      <w:r>
        <w:rPr>
          <w:w w:val="105"/>
        </w:rPr>
        <w:t>责</w:t>
      </w:r>
    </w:p>
    <w:p>
      <w:pPr>
        <w:pStyle w:val="6"/>
        <w:spacing w:before="156" w:line="295" w:lineRule="auto"/>
        <w:ind w:left="440"/>
        <w:rPr>
          <w:rFonts w:hint="eastAsia" w:ascii="MS UI Gothic" w:eastAsia="MS UI Gothic"/>
        </w:rPr>
      </w:pPr>
      <w:r>
        <w:rPr>
          <w:w w:val="105"/>
        </w:rPr>
        <w:t>第五条 县级以上人民政府安全生产</w:t>
      </w:r>
      <w:r>
        <w:t>监督管理部门依法对本行政区域内安全生产工作实施综合监督管理</w:t>
      </w:r>
      <w:r>
        <w:rPr>
          <w:rFonts w:hint="eastAsia" w:ascii="MS UI Gothic" w:eastAsia="MS UI Gothic"/>
          <w:w w:val="80"/>
        </w:rPr>
        <w:t xml:space="preserve">ꎬ </w:t>
      </w:r>
      <w:r>
        <w:t>指导协调和监督检查本级人民政府有关部门依法履行安全生产监督管理职责</w:t>
      </w:r>
      <w:r>
        <w:rPr>
          <w:rFonts w:hint="eastAsia" w:ascii="MS UI Gothic" w:eastAsia="MS UI Gothic"/>
          <w:w w:val="80"/>
        </w:rPr>
        <w:t xml:space="preserve">ꎻ </w:t>
      </w:r>
      <w:r>
        <w:t>对本行政区域内没有其他行政主管部门负责安全生产监督管理的生产经营单位实施安全生产监督管理</w:t>
      </w:r>
      <w:r>
        <w:rPr>
          <w:rFonts w:hint="eastAsia" w:ascii="MS UI Gothic" w:eastAsia="MS UI Gothic"/>
          <w:w w:val="80"/>
        </w:rPr>
        <w:t xml:space="preserve">ꎻ </w:t>
      </w:r>
      <w:r>
        <w:t>对下级人民政府安全生产工作进行监</w:t>
      </w:r>
      <w:r>
        <w:rPr>
          <w:w w:val="105"/>
        </w:rPr>
        <w:t>督检查</w:t>
      </w:r>
      <w:r>
        <w:rPr>
          <w:rFonts w:hint="eastAsia" w:ascii="MS UI Gothic" w:eastAsia="MS UI Gothic"/>
          <w:w w:val="80"/>
        </w:rPr>
        <w:t>ꎮ</w:t>
      </w:r>
    </w:p>
    <w:p>
      <w:pPr>
        <w:pStyle w:val="6"/>
        <w:spacing w:line="295" w:lineRule="auto"/>
        <w:ind w:left="440"/>
      </w:pPr>
      <w:r>
        <w:t>煤矿安全监察机构依法履行国家煤矿安全监察职责</w:t>
      </w:r>
      <w:r>
        <w:rPr>
          <w:rFonts w:hint="eastAsia" w:ascii="MS UI Gothic" w:eastAsia="MS UI Gothic"/>
          <w:w w:val="80"/>
        </w:rPr>
        <w:t xml:space="preserve">ꎬ </w:t>
      </w:r>
      <w:r>
        <w:t>实施煤矿安全监察行政执</w:t>
      </w:r>
      <w:r>
        <w:rPr>
          <w:w w:val="105"/>
        </w:rPr>
        <w:t>法</w:t>
      </w:r>
      <w:r>
        <w:rPr>
          <w:rFonts w:hint="eastAsia" w:ascii="MS UI Gothic" w:eastAsia="MS UI Gothic"/>
          <w:w w:val="80"/>
        </w:rPr>
        <w:t xml:space="preserve">ꎬ </w:t>
      </w:r>
      <w:r>
        <w:rPr>
          <w:w w:val="105"/>
        </w:rPr>
        <w:t>对煤矿安全进行重点监察</w:t>
      </w:r>
      <w:r>
        <w:rPr>
          <w:rFonts w:hint="eastAsia" w:ascii="MS UI Gothic" w:eastAsia="MS UI Gothic"/>
          <w:w w:val="80"/>
        </w:rPr>
        <w:t xml:space="preserve">、 </w:t>
      </w:r>
      <w:r>
        <w:rPr>
          <w:w w:val="105"/>
        </w:rPr>
        <w:t>专项监察</w:t>
      </w:r>
      <w:r>
        <w:t>和定期监察</w:t>
      </w:r>
      <w:r>
        <w:rPr>
          <w:rFonts w:hint="eastAsia" w:ascii="MS UI Gothic" w:eastAsia="MS UI Gothic"/>
          <w:w w:val="80"/>
        </w:rPr>
        <w:t xml:space="preserve">ꎬ </w:t>
      </w:r>
      <w:r>
        <w:t>对地方人民政府依法履行煤矿安全生产监督管理职责的情况进行监督</w:t>
      </w:r>
    </w:p>
    <w:p>
      <w:pPr>
        <w:pStyle w:val="6"/>
        <w:spacing w:line="236" w:lineRule="exact"/>
        <w:ind w:left="440" w:firstLine="0"/>
        <w:jc w:val="left"/>
        <w:rPr>
          <w:rFonts w:hint="eastAsia" w:ascii="MS UI Gothic" w:eastAsia="MS UI Gothic"/>
        </w:rPr>
      </w:pPr>
      <w:r>
        <w:t>检查</w:t>
      </w:r>
      <w:r>
        <w:rPr>
          <w:rFonts w:hint="eastAsia" w:ascii="MS UI Gothic" w:eastAsia="MS UI Gothic"/>
          <w:w w:val="80"/>
        </w:rPr>
        <w:t>ꎮ</w:t>
      </w:r>
    </w:p>
    <w:p>
      <w:pPr>
        <w:pStyle w:val="6"/>
        <w:spacing w:before="124" w:line="295" w:lineRule="auto"/>
        <w:ind w:left="383" w:right="126" w:firstLine="0"/>
        <w:rPr>
          <w:rFonts w:hint="eastAsia" w:ascii="MS UI Gothic" w:eastAsia="MS UI Gothic"/>
        </w:rPr>
      </w:pPr>
      <w:r>
        <w:br w:type="column"/>
      </w:r>
      <w:r>
        <w:t>根据安全监管监察工作需要</w:t>
      </w:r>
      <w:r>
        <w:rPr>
          <w:rFonts w:hint="eastAsia" w:ascii="MS UI Gothic" w:eastAsia="MS UI Gothic"/>
          <w:w w:val="80"/>
        </w:rPr>
        <w:t xml:space="preserve">ꎬ </w:t>
      </w:r>
      <w:r>
        <w:t>安全监管监察部门可以按照安全监管和煤矿安全监察执法工作计划编制现场检查方案</w:t>
      </w:r>
      <w:r>
        <w:rPr>
          <w:rFonts w:hint="eastAsia" w:ascii="MS UI Gothic" w:eastAsia="MS UI Gothic"/>
          <w:w w:val="80"/>
        </w:rPr>
        <w:t xml:space="preserve">ꎬ </w:t>
      </w:r>
      <w:r>
        <w:t>对作业</w:t>
      </w:r>
      <w:r>
        <w:rPr>
          <w:w w:val="105"/>
        </w:rPr>
        <w:t>现场的安全生产实施监督检查</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第七条 安全监管监察部门应当按照各自权限</w:t>
      </w:r>
      <w:r>
        <w:rPr>
          <w:rFonts w:hint="eastAsia" w:ascii="MS UI Gothic" w:eastAsia="MS UI Gothic"/>
          <w:w w:val="80"/>
        </w:rPr>
        <w:t xml:space="preserve">ꎬ </w:t>
      </w:r>
      <w:r>
        <w:rPr>
          <w:w w:val="105"/>
        </w:rPr>
        <w:t>依照法律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规章和国家</w:t>
      </w:r>
      <w:r>
        <w:t>标准或者行业标准规定的安全生产条件和</w:t>
      </w:r>
      <w:r>
        <w:rPr>
          <w:w w:val="105"/>
        </w:rPr>
        <w:t>程序</w:t>
      </w:r>
      <w:r>
        <w:rPr>
          <w:rFonts w:hint="eastAsia" w:ascii="MS UI Gothic" w:eastAsia="MS UI Gothic"/>
          <w:w w:val="80"/>
        </w:rPr>
        <w:t xml:space="preserve">ꎬ </w:t>
      </w:r>
      <w:r>
        <w:rPr>
          <w:w w:val="105"/>
        </w:rPr>
        <w:t>履行下列行政审批或者考核职责</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矿山</w:t>
      </w:r>
      <w:r>
        <w:rPr>
          <w:rFonts w:hint="eastAsia" w:ascii="MS UI Gothic" w:eastAsia="MS UI Gothic"/>
          <w:w w:val="80"/>
        </w:rPr>
        <w:t xml:space="preserve">、 </w:t>
      </w:r>
      <w:r>
        <w:rPr>
          <w:w w:val="105"/>
        </w:rPr>
        <w:t>金属冶炼建设项目和用于生产</w:t>
      </w:r>
      <w:r>
        <w:rPr>
          <w:rFonts w:hint="eastAsia" w:ascii="MS UI Gothic" w:eastAsia="MS UI Gothic"/>
          <w:w w:val="80"/>
        </w:rPr>
        <w:t xml:space="preserve">、 </w:t>
      </w:r>
      <w:r>
        <w:rPr>
          <w:w w:val="105"/>
        </w:rPr>
        <w:t>储存危险物品的建设项目安全设施的设计审查</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矿山企业</w:t>
      </w:r>
      <w:r>
        <w:rPr>
          <w:rFonts w:hint="eastAsia" w:ascii="MS UI Gothic" w:eastAsia="MS UI Gothic"/>
          <w:w w:val="80"/>
        </w:rPr>
        <w:t xml:space="preserve">、 </w:t>
      </w:r>
      <w:r>
        <w:rPr>
          <w:w w:val="105"/>
        </w:rPr>
        <w:t>危险化学品和烟花爆竹生产企业的安全生产许可</w:t>
      </w:r>
      <w:r>
        <w:rPr>
          <w:rFonts w:hint="eastAsia" w:ascii="MS UI Gothic" w:eastAsia="MS UI Gothic"/>
          <w:w w:val="80"/>
        </w:rPr>
        <w:t>ꎻ</w:t>
      </w:r>
    </w:p>
    <w:p>
      <w:pPr>
        <w:pStyle w:val="6"/>
        <w:spacing w:line="255" w:lineRule="exact"/>
        <w:ind w:left="802"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危险化学品经营许可</w:t>
      </w:r>
      <w:r>
        <w:rPr>
          <w:rFonts w:hint="eastAsia" w:ascii="MS UI Gothic" w:eastAsia="MS UI Gothic"/>
          <w:w w:val="80"/>
        </w:rPr>
        <w:t>ꎻ</w:t>
      </w:r>
    </w:p>
    <w:p>
      <w:pPr>
        <w:pStyle w:val="6"/>
        <w:spacing w:before="49" w:line="295" w:lineRule="auto"/>
        <w:ind w:left="383" w:right="124"/>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非药品类易制毒化学品生产</w:t>
      </w:r>
      <w:r>
        <w:rPr>
          <w:rFonts w:hint="eastAsia" w:ascii="MS UI Gothic" w:eastAsia="MS UI Gothic"/>
          <w:w w:val="80"/>
        </w:rPr>
        <w:t>、</w:t>
      </w:r>
      <w:r>
        <w:rPr>
          <w:w w:val="105"/>
        </w:rPr>
        <w:t>经营许可</w:t>
      </w:r>
      <w:r>
        <w:rPr>
          <w:rFonts w:hint="eastAsia" w:ascii="MS UI Gothic" w:eastAsia="MS UI Gothic"/>
          <w:w w:val="80"/>
        </w:rPr>
        <w:t>ꎻ</w:t>
      </w:r>
    </w:p>
    <w:p>
      <w:pPr>
        <w:pStyle w:val="6"/>
        <w:spacing w:line="255" w:lineRule="exact"/>
        <w:ind w:left="802" w:firstLine="0"/>
        <w:rPr>
          <w:rFonts w:hint="eastAsia" w:ascii="MS UI Gothic" w:eastAsia="MS UI Gothic"/>
        </w:rPr>
      </w:pPr>
      <w:r>
        <w:rPr>
          <w:rFonts w:hint="eastAsia" w:ascii="MS UI Gothic" w:eastAsia="MS UI Gothic"/>
          <w:w w:val="150"/>
        </w:rPr>
        <w:t xml:space="preserve">( </w:t>
      </w:r>
      <w:r>
        <w:t>五</w:t>
      </w:r>
      <w:r>
        <w:rPr>
          <w:rFonts w:hint="eastAsia" w:ascii="MS UI Gothic" w:eastAsia="MS UI Gothic"/>
          <w:w w:val="150"/>
        </w:rPr>
        <w:t xml:space="preserve">) </w:t>
      </w:r>
      <w:r>
        <w:t xml:space="preserve">烟花爆竹经营 </w:t>
      </w:r>
      <w:r>
        <w:rPr>
          <w:rFonts w:hint="eastAsia" w:ascii="MS UI Gothic" w:eastAsia="MS UI Gothic"/>
          <w:w w:val="150"/>
        </w:rPr>
        <w:t xml:space="preserve">( </w:t>
      </w:r>
      <w:r>
        <w:t>批发</w:t>
      </w:r>
      <w:r>
        <w:rPr>
          <w:rFonts w:hint="eastAsia" w:ascii="MS UI Gothic" w:eastAsia="MS UI Gothic"/>
        </w:rPr>
        <w:t xml:space="preserve">、 </w:t>
      </w:r>
      <w:r>
        <w:t>零售</w:t>
      </w:r>
      <w:r>
        <w:rPr>
          <w:rFonts w:hint="eastAsia" w:ascii="MS UI Gothic" w:eastAsia="MS UI Gothic"/>
          <w:w w:val="150"/>
        </w:rPr>
        <w:t>)</w:t>
      </w:r>
    </w:p>
    <w:p>
      <w:pPr>
        <w:pStyle w:val="6"/>
        <w:spacing w:before="59" w:line="240" w:lineRule="exact"/>
        <w:ind w:left="383" w:firstLine="0"/>
        <w:jc w:val="left"/>
        <w:rPr>
          <w:rFonts w:hint="eastAsia" w:ascii="MS UI Gothic" w:eastAsia="MS UI Gothic"/>
        </w:rPr>
      </w:pPr>
      <w:r>
        <w:t>许可</w:t>
      </w:r>
      <w:r>
        <w:rPr>
          <w:rFonts w:hint="eastAsia" w:ascii="MS UI Gothic" w:eastAsia="MS UI Gothic"/>
          <w:w w:val="80"/>
        </w:rPr>
        <w:t>ꎻ</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tabs>
          <w:tab w:val="left" w:pos="1698"/>
        </w:tabs>
        <w:spacing w:before="67"/>
        <w:ind w:left="860" w:firstLine="0"/>
        <w:jc w:val="left"/>
      </w:pPr>
      <w:r>
        <w:rPr>
          <w:spacing w:val="3"/>
          <w:w w:val="105"/>
        </w:rPr>
        <w:t>第六</w:t>
      </w:r>
      <w:r>
        <w:rPr>
          <w:w w:val="105"/>
        </w:rPr>
        <w:t>条</w:t>
      </w:r>
      <w:r>
        <w:rPr>
          <w:w w:val="105"/>
        </w:rPr>
        <w:tab/>
      </w:r>
      <w:r>
        <w:rPr>
          <w:spacing w:val="3"/>
        </w:rPr>
        <w:t>安全监管监察部门应当依</w:t>
      </w:r>
      <w:r>
        <w:t>照</w:t>
      </w:r>
    </w:p>
    <w:p>
      <w:pPr>
        <w:pStyle w:val="6"/>
        <w:spacing w:before="58" w:line="295" w:lineRule="auto"/>
        <w:ind w:left="440" w:firstLine="0"/>
        <w:rPr>
          <w:rFonts w:hint="eastAsia" w:ascii="MS UI Gothic" w:hAnsi="MS UI Gothic" w:eastAsia="MS UI Gothic"/>
        </w:rPr>
      </w:pPr>
      <w:r>
        <w:rPr>
          <w:rFonts w:hint="eastAsia" w:ascii="MS UI Gothic" w:hAnsi="MS UI Gothic" w:eastAsia="MS UI Gothic"/>
          <w:w w:val="80"/>
        </w:rPr>
        <w:t xml:space="preserve">« </w:t>
      </w:r>
      <w:r>
        <w:t>安全生产法</w:t>
      </w:r>
      <w:r>
        <w:rPr>
          <w:rFonts w:hint="eastAsia" w:ascii="MS UI Gothic" w:hAnsi="MS UI Gothic" w:eastAsia="MS UI Gothic"/>
          <w:w w:val="80"/>
        </w:rPr>
        <w:t xml:space="preserve">» </w:t>
      </w:r>
      <w:r>
        <w:t>和其他有关法律</w:t>
      </w:r>
      <w:r>
        <w:rPr>
          <w:rFonts w:hint="eastAsia" w:ascii="MS UI Gothic" w:hAnsi="MS UI Gothic" w:eastAsia="MS UI Gothic"/>
          <w:w w:val="80"/>
        </w:rPr>
        <w:t xml:space="preserve">、 </w:t>
      </w:r>
      <w:r>
        <w:t>法规</w:t>
      </w:r>
      <w:r>
        <w:rPr>
          <w:rFonts w:hint="eastAsia" w:ascii="MS UI Gothic" w:hAnsi="MS UI Gothic" w:eastAsia="MS UI Gothic"/>
          <w:w w:val="80"/>
        </w:rPr>
        <w:t>、</w:t>
      </w:r>
      <w:r>
        <w:t>规章和本级人民政府</w:t>
      </w:r>
      <w:r>
        <w:rPr>
          <w:rFonts w:hint="eastAsia" w:ascii="MS UI Gothic" w:hAnsi="MS UI Gothic" w:eastAsia="MS UI Gothic"/>
          <w:w w:val="80"/>
        </w:rPr>
        <w:t xml:space="preserve">、 </w:t>
      </w:r>
      <w:r>
        <w:t>上级安全监管监察部门规定的安全监管监察职责</w:t>
      </w:r>
      <w:r>
        <w:rPr>
          <w:rFonts w:hint="eastAsia" w:ascii="MS UI Gothic" w:hAnsi="MS UI Gothic" w:eastAsia="MS UI Gothic"/>
          <w:w w:val="80"/>
        </w:rPr>
        <w:t xml:space="preserve">ꎬ </w:t>
      </w:r>
      <w:r>
        <w:t>根据各自的监管监察权限</w:t>
      </w:r>
      <w:r>
        <w:rPr>
          <w:rFonts w:hint="eastAsia" w:ascii="MS UI Gothic" w:hAnsi="MS UI Gothic" w:eastAsia="MS UI Gothic"/>
          <w:w w:val="80"/>
        </w:rPr>
        <w:t xml:space="preserve">、 </w:t>
      </w:r>
      <w:r>
        <w:t>行政执法人员数量</w:t>
      </w:r>
      <w:r>
        <w:rPr>
          <w:rFonts w:hint="eastAsia" w:ascii="MS UI Gothic" w:hAnsi="MS UI Gothic" w:eastAsia="MS UI Gothic"/>
          <w:w w:val="80"/>
        </w:rPr>
        <w:t xml:space="preserve">、 </w:t>
      </w:r>
      <w:r>
        <w:t>监管监察的生产经营单位状况</w:t>
      </w:r>
      <w:r>
        <w:rPr>
          <w:rFonts w:hint="eastAsia" w:ascii="MS UI Gothic" w:hAnsi="MS UI Gothic" w:eastAsia="MS UI Gothic"/>
          <w:w w:val="80"/>
        </w:rPr>
        <w:t xml:space="preserve">、 </w:t>
      </w:r>
      <w:r>
        <w:t>技术装备和经费保障等实际情况</w:t>
      </w:r>
      <w:r>
        <w:rPr>
          <w:rFonts w:hint="eastAsia" w:ascii="MS UI Gothic" w:hAnsi="MS UI Gothic" w:eastAsia="MS UI Gothic"/>
          <w:w w:val="80"/>
        </w:rPr>
        <w:t xml:space="preserve">ꎬ </w:t>
      </w:r>
      <w:r>
        <w:t>制定本部门年度安全监管或者煤矿安全监察执法工作计划</w:t>
      </w:r>
      <w:r>
        <w:rPr>
          <w:rFonts w:hint="eastAsia" w:ascii="MS UI Gothic" w:hAnsi="MS UI Gothic" w:eastAsia="MS UI Gothic"/>
          <w:w w:val="80"/>
        </w:rPr>
        <w:t>ꎬ</w:t>
      </w:r>
      <w:r>
        <w:t>并按照执法工作计划进行监管监察</w:t>
      </w:r>
      <w:r>
        <w:rPr>
          <w:rFonts w:hint="eastAsia" w:ascii="MS UI Gothic" w:hAnsi="MS UI Gothic" w:eastAsia="MS UI Gothic"/>
          <w:w w:val="80"/>
        </w:rPr>
        <w:t xml:space="preserve">ꎬ </w:t>
      </w:r>
      <w:r>
        <w:t>发现事故隐患</w:t>
      </w:r>
      <w:r>
        <w:rPr>
          <w:rFonts w:hint="eastAsia" w:ascii="MS UI Gothic" w:hAnsi="MS UI Gothic" w:eastAsia="MS UI Gothic"/>
          <w:w w:val="80"/>
        </w:rPr>
        <w:t xml:space="preserve">ꎬ </w:t>
      </w:r>
      <w:r>
        <w:t>应当依法及时处理</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t>安全监管执法工作计划应当报本级人民政府批准后实施</w:t>
      </w:r>
      <w:r>
        <w:rPr>
          <w:rFonts w:hint="eastAsia" w:ascii="MS UI Gothic" w:eastAsia="MS UI Gothic"/>
          <w:w w:val="80"/>
        </w:rPr>
        <w:t xml:space="preserve">ꎬ </w:t>
      </w:r>
      <w:r>
        <w:t>并报上一级安全监管部门备案</w:t>
      </w:r>
      <w:r>
        <w:rPr>
          <w:rFonts w:hint="eastAsia" w:ascii="MS UI Gothic" w:eastAsia="MS UI Gothic"/>
          <w:w w:val="80"/>
        </w:rPr>
        <w:t xml:space="preserve">ꎻ </w:t>
      </w:r>
      <w:r>
        <w:t>煤矿安全监察执法工作计划应当报上一级煤矿安全监察机构批准后实施</w:t>
      </w:r>
      <w:r>
        <w:rPr>
          <w:rFonts w:hint="eastAsia" w:ascii="MS UI Gothic" w:eastAsia="MS UI Gothic"/>
          <w:w w:val="80"/>
        </w:rPr>
        <w:t xml:space="preserve">ꎮ </w:t>
      </w:r>
      <w:r>
        <w:t>安全监管和煤矿安全监察执法工作计划因特殊情况需要作出重大调整或者变更的</w:t>
      </w:r>
      <w:r>
        <w:rPr>
          <w:rFonts w:hint="eastAsia" w:ascii="MS UI Gothic" w:eastAsia="MS UI Gothic"/>
          <w:w w:val="80"/>
        </w:rPr>
        <w:t xml:space="preserve">ꎬ </w:t>
      </w:r>
      <w:r>
        <w:t>应当及时报原批准单位批准</w:t>
      </w:r>
      <w:r>
        <w:rPr>
          <w:rFonts w:hint="eastAsia" w:ascii="MS UI Gothic" w:eastAsia="MS UI Gothic"/>
          <w:w w:val="80"/>
        </w:rPr>
        <w:t xml:space="preserve">ꎬ </w:t>
      </w:r>
      <w:r>
        <w:t>并按照</w:t>
      </w:r>
      <w:r>
        <w:rPr>
          <w:w w:val="105"/>
        </w:rPr>
        <w:t>批准后的计划执行</w:t>
      </w:r>
      <w:r>
        <w:rPr>
          <w:rFonts w:hint="eastAsia" w:ascii="MS UI Gothic" w:eastAsia="MS UI Gothic"/>
          <w:w w:val="80"/>
        </w:rPr>
        <w:t>ꎮ</w:t>
      </w:r>
    </w:p>
    <w:p>
      <w:pPr>
        <w:pStyle w:val="6"/>
        <w:spacing w:line="295" w:lineRule="auto"/>
        <w:ind w:left="440"/>
        <w:rPr>
          <w:rFonts w:hint="eastAsia" w:ascii="MS UI Gothic" w:eastAsia="MS UI Gothic"/>
        </w:rPr>
      </w:pPr>
      <w:r>
        <w:t>安全监管和煤矿安全监察执法工作计划应当包括监管监察的对象</w:t>
      </w:r>
      <w:r>
        <w:rPr>
          <w:rFonts w:hint="eastAsia" w:ascii="MS UI Gothic" w:eastAsia="MS UI Gothic"/>
          <w:w w:val="80"/>
        </w:rPr>
        <w:t xml:space="preserve">、 </w:t>
      </w:r>
      <w:r>
        <w:t>时间</w:t>
      </w:r>
      <w:r>
        <w:rPr>
          <w:rFonts w:hint="eastAsia" w:ascii="MS UI Gothic" w:eastAsia="MS UI Gothic"/>
          <w:w w:val="80"/>
        </w:rPr>
        <w:t xml:space="preserve">、  </w:t>
      </w:r>
      <w:r>
        <w:t>次数</w:t>
      </w:r>
      <w:r>
        <w:rPr>
          <w:rFonts w:hint="eastAsia" w:ascii="MS UI Gothic" w:eastAsia="MS UI Gothic"/>
          <w:w w:val="80"/>
        </w:rPr>
        <w:t xml:space="preserve">、 </w:t>
      </w:r>
      <w:r>
        <w:t>主要事项</w:t>
      </w:r>
      <w:r>
        <w:rPr>
          <w:rFonts w:hint="eastAsia" w:ascii="MS UI Gothic" w:eastAsia="MS UI Gothic"/>
          <w:w w:val="80"/>
        </w:rPr>
        <w:t xml:space="preserve">、 </w:t>
      </w:r>
      <w:r>
        <w:t>方式和职责分工等内容</w:t>
      </w:r>
      <w:r>
        <w:rPr>
          <w:rFonts w:hint="eastAsia" w:ascii="MS UI Gothic" w:eastAsia="MS UI Gothic"/>
          <w:w w:val="80"/>
        </w:rPr>
        <w:t>ꎮ</w:t>
      </w:r>
    </w:p>
    <w:p>
      <w:pPr>
        <w:pStyle w:val="6"/>
        <w:spacing w:before="67" w:line="295" w:lineRule="auto"/>
        <w:ind w:left="381" w:right="124"/>
        <w:rPr>
          <w:rFonts w:hint="eastAsia" w:ascii="MS UI Gothic" w:eastAsia="MS UI Gothic"/>
        </w:rPr>
      </w:pPr>
      <w:r>
        <w:br w:type="column"/>
      </w: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矿山</w:t>
      </w:r>
      <w:r>
        <w:rPr>
          <w:rFonts w:hint="eastAsia" w:ascii="MS UI Gothic" w:eastAsia="MS UI Gothic"/>
          <w:w w:val="80"/>
        </w:rPr>
        <w:t xml:space="preserve">、 </w:t>
      </w:r>
      <w:r>
        <w:rPr>
          <w:w w:val="105"/>
        </w:rPr>
        <w:t>危险化学品</w:t>
      </w:r>
      <w:r>
        <w:rPr>
          <w:rFonts w:hint="eastAsia" w:ascii="MS UI Gothic" w:eastAsia="MS UI Gothic"/>
          <w:w w:val="80"/>
        </w:rPr>
        <w:t xml:space="preserve">、 </w:t>
      </w:r>
      <w:r>
        <w:rPr>
          <w:w w:val="105"/>
        </w:rPr>
        <w:t>烟花爆竹</w:t>
      </w:r>
      <w:r>
        <w:t>生产经营单位和金属冶炼单位主要负责人</w:t>
      </w:r>
      <w:r>
        <w:rPr>
          <w:rFonts w:hint="eastAsia" w:ascii="MS UI Gothic" w:eastAsia="MS UI Gothic"/>
          <w:w w:val="80"/>
        </w:rPr>
        <w:t xml:space="preserve">、 </w:t>
      </w:r>
      <w:r>
        <w:t>安全生产管理人员的安全资格认定</w:t>
      </w:r>
      <w:r>
        <w:rPr>
          <w:rFonts w:hint="eastAsia" w:ascii="MS UI Gothic" w:eastAsia="MS UI Gothic"/>
          <w:w w:val="80"/>
        </w:rPr>
        <w:t>ꎬ</w:t>
      </w:r>
      <w:r>
        <w:rPr>
          <w:w w:val="105"/>
        </w:rPr>
        <w:t xml:space="preserve">特种作业人员 </w:t>
      </w:r>
      <w:r>
        <w:rPr>
          <w:rFonts w:hint="eastAsia" w:ascii="MS UI Gothic" w:eastAsia="MS UI Gothic"/>
          <w:w w:val="150"/>
        </w:rPr>
        <w:t xml:space="preserve">( </w:t>
      </w:r>
      <w:r>
        <w:rPr>
          <w:w w:val="105"/>
        </w:rPr>
        <w:t>特种设备作业人员除外</w:t>
      </w:r>
      <w:r>
        <w:rPr>
          <w:rFonts w:hint="eastAsia" w:ascii="MS UI Gothic" w:eastAsia="MS UI Gothic"/>
          <w:w w:val="150"/>
        </w:rPr>
        <w:t xml:space="preserve">) </w:t>
      </w:r>
      <w:r>
        <w:rPr>
          <w:w w:val="105"/>
        </w:rPr>
        <w:t>操作资格认定</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涉及人身安全</w:t>
      </w:r>
      <w:r>
        <w:rPr>
          <w:rFonts w:hint="eastAsia" w:ascii="MS UI Gothic" w:eastAsia="MS UI Gothic"/>
          <w:w w:val="80"/>
        </w:rPr>
        <w:t xml:space="preserve">、  </w:t>
      </w:r>
      <w:r>
        <w:rPr>
          <w:w w:val="105"/>
        </w:rPr>
        <w:t>危险性较大的</w:t>
      </w:r>
      <w:r>
        <w:t>海洋石油开采特种设备和矿山井下特种设</w:t>
      </w:r>
      <w:r>
        <w:rPr>
          <w:w w:val="105"/>
        </w:rPr>
        <w:t>备安全使用证或者安全标志的核发</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安全生产检测检验</w:t>
      </w:r>
      <w:r>
        <w:rPr>
          <w:rFonts w:hint="eastAsia" w:ascii="MS UI Gothic" w:eastAsia="MS UI Gothic"/>
          <w:w w:val="80"/>
        </w:rPr>
        <w:t xml:space="preserve">、  </w:t>
      </w:r>
      <w:r>
        <w:rPr>
          <w:w w:val="105"/>
        </w:rPr>
        <w:t>安全评价机构资质的认可</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注册助理安全工程师资格</w:t>
      </w:r>
      <w:r>
        <w:rPr>
          <w:rFonts w:hint="eastAsia" w:ascii="MS UI Gothic" w:eastAsia="MS UI Gothic"/>
          <w:w w:val="80"/>
        </w:rPr>
        <w:t xml:space="preserve">、  </w:t>
      </w:r>
      <w:r>
        <w:rPr>
          <w:w w:val="105"/>
        </w:rPr>
        <w:t>注册安全工程师执业资格的考试和注册</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行政法规和国务院设定的其他行政审批或者考核职责</w:t>
      </w:r>
      <w:r>
        <w:rPr>
          <w:rFonts w:hint="eastAsia" w:ascii="MS UI Gothic" w:eastAsia="MS UI Gothic"/>
          <w:w w:val="80"/>
        </w:rPr>
        <w:t>ꎮ</w:t>
      </w:r>
    </w:p>
    <w:p>
      <w:pPr>
        <w:pStyle w:val="6"/>
        <w:spacing w:line="295" w:lineRule="auto"/>
        <w:ind w:left="381" w:right="124"/>
        <w:rPr>
          <w:rFonts w:hint="eastAsia" w:ascii="MS UI Gothic" w:eastAsia="MS UI Gothic"/>
        </w:rPr>
      </w:pPr>
      <w:r>
        <w:t>行政许可申请人对其申请材料实质内容的真实性负责</w:t>
      </w:r>
      <w:r>
        <w:rPr>
          <w:rFonts w:hint="eastAsia" w:ascii="MS UI Gothic" w:eastAsia="MS UI Gothic"/>
          <w:w w:val="80"/>
        </w:rPr>
        <w:t xml:space="preserve">ꎮ </w:t>
      </w:r>
      <w:r>
        <w:t>安全监管监察部门对符合法定条件的申请</w:t>
      </w:r>
      <w:r>
        <w:rPr>
          <w:rFonts w:hint="eastAsia" w:ascii="MS UI Gothic" w:eastAsia="MS UI Gothic"/>
          <w:w w:val="80"/>
        </w:rPr>
        <w:t xml:space="preserve">ꎬ </w:t>
      </w:r>
      <w:r>
        <w:t>应当依法予以受理</w:t>
      </w:r>
      <w:r>
        <w:rPr>
          <w:rFonts w:hint="eastAsia" w:ascii="MS UI Gothic" w:eastAsia="MS UI Gothic"/>
          <w:w w:val="80"/>
        </w:rPr>
        <w:t>ꎬ</w:t>
      </w:r>
      <w:r>
        <w:t>并作出准予或者不予行政许可的决定</w:t>
      </w:r>
      <w:r>
        <w:rPr>
          <w:rFonts w:hint="eastAsia" w:ascii="MS UI Gothic" w:eastAsia="MS UI Gothic"/>
          <w:w w:val="80"/>
        </w:rPr>
        <w:t xml:space="preserve">ꎮ </w:t>
      </w:r>
      <w:r>
        <w:t>根据法定条件和程序</w:t>
      </w:r>
      <w:r>
        <w:rPr>
          <w:rFonts w:hint="eastAsia" w:ascii="MS UI Gothic" w:eastAsia="MS UI Gothic"/>
          <w:w w:val="80"/>
        </w:rPr>
        <w:t xml:space="preserve">ꎬ </w:t>
      </w:r>
      <w:r>
        <w:t>需要对申请材料的实质内容进行核实的</w:t>
      </w:r>
      <w:r>
        <w:rPr>
          <w:rFonts w:hint="eastAsia" w:ascii="MS UI Gothic" w:eastAsia="MS UI Gothic"/>
          <w:w w:val="80"/>
        </w:rPr>
        <w:t xml:space="preserve">ꎬ </w:t>
      </w:r>
      <w:r>
        <w:t>应当指派两名以上行政执法人员进行核查</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１４２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69" o:spid="_x0000_s1469" o:spt="203" style="height:2.15pt;width:398.25pt;" coordsize="7965,43">
            <o:lock v:ext="edit"/>
            <v:line id="_x0000_s1470" o:spid="_x0000_s1470" o:spt="20" style="position:absolute;left:0;top:39;height:0;width:7965;" stroked="t" coordsize="21600,21600">
              <v:path arrowok="t"/>
              <v:fill focussize="0,0"/>
              <v:stroke weight="0.388031496062992pt" color="#231F20"/>
              <v:imagedata o:title=""/>
              <o:lock v:ext="edit"/>
            </v:line>
            <v:line id="_x0000_s1471" o:spid="_x0000_s147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t>对未依法取得行政许可或者验收合格擅自从事有关活动的生产经营单位</w:t>
      </w:r>
      <w:r>
        <w:rPr>
          <w:rFonts w:hint="eastAsia" w:ascii="MS UI Gothic" w:eastAsia="MS UI Gothic"/>
          <w:w w:val="80"/>
        </w:rPr>
        <w:t xml:space="preserve">ꎬ </w:t>
      </w:r>
      <w:r>
        <w:t>安全监管监察部门发现或者接到举报后</w:t>
      </w:r>
      <w:r>
        <w:rPr>
          <w:rFonts w:hint="eastAsia" w:ascii="MS UI Gothic" w:eastAsia="MS UI Gothic"/>
          <w:w w:val="80"/>
        </w:rPr>
        <w:t xml:space="preserve">ꎬ </w:t>
      </w:r>
      <w:r>
        <w:t>属于本部门行政许可职责范围的</w:t>
      </w:r>
      <w:r>
        <w:rPr>
          <w:rFonts w:hint="eastAsia" w:ascii="MS UI Gothic" w:eastAsia="MS UI Gothic"/>
          <w:w w:val="80"/>
        </w:rPr>
        <w:t xml:space="preserve">ꎬ </w:t>
      </w:r>
      <w:r>
        <w:t>应当及时依法查处</w:t>
      </w:r>
      <w:r>
        <w:rPr>
          <w:rFonts w:hint="eastAsia" w:ascii="MS UI Gothic" w:eastAsia="MS UI Gothic"/>
          <w:w w:val="80"/>
        </w:rPr>
        <w:t xml:space="preserve">ꎻ </w:t>
      </w:r>
      <w:r>
        <w:t>属于其他部门行政许可职责范围的</w:t>
      </w:r>
      <w:r>
        <w:rPr>
          <w:rFonts w:hint="eastAsia" w:ascii="MS UI Gothic" w:eastAsia="MS UI Gothic"/>
          <w:w w:val="80"/>
        </w:rPr>
        <w:t xml:space="preserve">ꎬ </w:t>
      </w:r>
      <w:r>
        <w:t>应当及时移送相关部门</w:t>
      </w:r>
      <w:r>
        <w:rPr>
          <w:rFonts w:hint="eastAsia" w:ascii="MS UI Gothic" w:eastAsia="MS UI Gothic"/>
          <w:w w:val="80"/>
        </w:rPr>
        <w:t xml:space="preserve">ꎮ </w:t>
      </w:r>
      <w:r>
        <w:t>对已经依法取得本部门行政许可的生产经营单位</w:t>
      </w:r>
      <w:r>
        <w:rPr>
          <w:rFonts w:hint="eastAsia" w:ascii="MS UI Gothic" w:eastAsia="MS UI Gothic"/>
          <w:w w:val="80"/>
        </w:rPr>
        <w:t xml:space="preserve">ꎬ </w:t>
      </w:r>
      <w:r>
        <w:t>发现其不再具备安全生产条件的</w:t>
      </w:r>
      <w:r>
        <w:rPr>
          <w:rFonts w:hint="eastAsia" w:ascii="MS UI Gothic" w:eastAsia="MS UI Gothic"/>
          <w:w w:val="80"/>
        </w:rPr>
        <w:t xml:space="preserve">ꎬ </w:t>
      </w:r>
      <w:r>
        <w:t>安全监管监察部门应当依法暂扣或者吊销原行政许可证件</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第八条 安全监管监察部门应当按照</w:t>
      </w:r>
      <w:r>
        <w:t>年度安全监管和煤矿安全监察执法工作计</w:t>
      </w:r>
      <w:r>
        <w:rPr>
          <w:w w:val="105"/>
        </w:rPr>
        <w:t>划</w:t>
      </w:r>
      <w:r>
        <w:rPr>
          <w:rFonts w:hint="eastAsia" w:ascii="MS UI Gothic" w:eastAsia="MS UI Gothic"/>
          <w:w w:val="80"/>
        </w:rPr>
        <w:t xml:space="preserve">、 </w:t>
      </w:r>
      <w:r>
        <w:rPr>
          <w:w w:val="105"/>
        </w:rPr>
        <w:t>现场检查方案</w:t>
      </w:r>
      <w:r>
        <w:rPr>
          <w:rFonts w:hint="eastAsia" w:ascii="MS UI Gothic" w:eastAsia="MS UI Gothic"/>
          <w:w w:val="80"/>
        </w:rPr>
        <w:t xml:space="preserve">ꎬ </w:t>
      </w:r>
      <w:r>
        <w:rPr>
          <w:w w:val="105"/>
        </w:rPr>
        <w:t>对生产经营单位是否具备有关法律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规章和国家标准或</w:t>
      </w:r>
      <w:r>
        <w:t>者行业标准规定的安全生产条件进行监督</w:t>
      </w:r>
      <w:r>
        <w:rPr>
          <w:w w:val="105"/>
        </w:rPr>
        <w:t>检查</w:t>
      </w:r>
      <w:r>
        <w:rPr>
          <w:rFonts w:hint="eastAsia" w:ascii="MS UI Gothic" w:eastAsia="MS UI Gothic"/>
          <w:w w:val="80"/>
        </w:rPr>
        <w:t xml:space="preserve">ꎬ </w:t>
      </w:r>
      <w:r>
        <w:rPr>
          <w:w w:val="105"/>
        </w:rPr>
        <w:t>重点监督检查下列事项</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依法通过有关安全生产行政审</w:t>
      </w:r>
      <w:r>
        <w:rPr>
          <w:w w:val="110"/>
        </w:rPr>
        <w:t>批的情况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有关人员的安全生产教育和培训</w:t>
      </w:r>
      <w:r>
        <w:rPr>
          <w:rFonts w:hint="eastAsia" w:ascii="MS UI Gothic" w:eastAsia="MS UI Gothic"/>
          <w:w w:val="80"/>
        </w:rPr>
        <w:t xml:space="preserve">、 </w:t>
      </w:r>
      <w:r>
        <w:rPr>
          <w:w w:val="105"/>
        </w:rPr>
        <w:t>考核情况</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建立和落实安全生产责任制</w:t>
      </w:r>
      <w:r>
        <w:rPr>
          <w:rFonts w:hint="eastAsia" w:ascii="MS UI Gothic" w:eastAsia="MS UI Gothic"/>
          <w:w w:val="80"/>
        </w:rPr>
        <w:t>、</w:t>
      </w:r>
      <w:r>
        <w:rPr>
          <w:w w:val="105"/>
        </w:rPr>
        <w:t>安全生产规章制度和操作规程</w:t>
      </w:r>
      <w:r>
        <w:rPr>
          <w:rFonts w:hint="eastAsia" w:ascii="MS UI Gothic" w:eastAsia="MS UI Gothic"/>
          <w:w w:val="80"/>
        </w:rPr>
        <w:t xml:space="preserve">、 </w:t>
      </w:r>
      <w:r>
        <w:rPr>
          <w:w w:val="105"/>
        </w:rPr>
        <w:t>作业规程的情况</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按照国家规定提取和使用安全</w:t>
      </w:r>
      <w:r>
        <w:t>生产费用</w:t>
      </w:r>
      <w:r>
        <w:rPr>
          <w:rFonts w:hint="eastAsia" w:ascii="MS UI Gothic" w:eastAsia="MS UI Gothic"/>
          <w:w w:val="80"/>
        </w:rPr>
        <w:t xml:space="preserve">ꎬ </w:t>
      </w:r>
      <w:r>
        <w:t>安排用于配备劳动防护用品</w:t>
      </w:r>
      <w:r>
        <w:rPr>
          <w:rFonts w:hint="eastAsia" w:ascii="MS UI Gothic" w:eastAsia="MS UI Gothic"/>
          <w:w w:val="80"/>
        </w:rPr>
        <w:t>、</w:t>
      </w:r>
      <w:r>
        <w:t>进行安全生产教育和培训的经费</w:t>
      </w:r>
      <w:r>
        <w:rPr>
          <w:rFonts w:hint="eastAsia" w:ascii="MS UI Gothic" w:eastAsia="MS UI Gothic"/>
          <w:w w:val="80"/>
        </w:rPr>
        <w:t xml:space="preserve">ꎬ </w:t>
      </w:r>
      <w:r>
        <w:t>以及其</w:t>
      </w:r>
      <w:r>
        <w:rPr>
          <w:w w:val="105"/>
        </w:rPr>
        <w:t>他安全生产投入的情况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依法设置安全生产管理机构和配备安全生产管理人员的情况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危险物品的生产</w:t>
      </w:r>
      <w:r>
        <w:rPr>
          <w:rFonts w:hint="eastAsia" w:ascii="MS UI Gothic" w:eastAsia="MS UI Gothic"/>
          <w:w w:val="80"/>
        </w:rPr>
        <w:t xml:space="preserve">、  </w:t>
      </w:r>
      <w:r>
        <w:rPr>
          <w:w w:val="105"/>
        </w:rPr>
        <w:t>储存单位以及矿山</w:t>
      </w:r>
      <w:r>
        <w:rPr>
          <w:rFonts w:hint="eastAsia" w:ascii="MS UI Gothic" w:eastAsia="MS UI Gothic"/>
          <w:w w:val="80"/>
        </w:rPr>
        <w:t xml:space="preserve">、 </w:t>
      </w:r>
      <w:r>
        <w:rPr>
          <w:w w:val="105"/>
        </w:rPr>
        <w:t>金属冶炼单位配备或者聘用注册安全工程师的情况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从业人员</w:t>
      </w:r>
      <w:r>
        <w:rPr>
          <w:rFonts w:hint="eastAsia" w:ascii="MS UI Gothic" w:eastAsia="MS UI Gothic"/>
          <w:w w:val="80"/>
        </w:rPr>
        <w:t xml:space="preserve">、 </w:t>
      </w:r>
      <w:r>
        <w:rPr>
          <w:w w:val="105"/>
        </w:rPr>
        <w:t>被派遣劳动者和实习学生受到安全生产教育</w:t>
      </w:r>
      <w:r>
        <w:rPr>
          <w:rFonts w:hint="eastAsia" w:ascii="MS UI Gothic" w:eastAsia="MS UI Gothic"/>
          <w:w w:val="80"/>
        </w:rPr>
        <w:t xml:space="preserve">、 </w:t>
      </w:r>
      <w:r>
        <w:rPr>
          <w:w w:val="105"/>
        </w:rPr>
        <w:t>培训及其教育培训档案的情况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新建</w:t>
      </w:r>
      <w:r>
        <w:rPr>
          <w:rFonts w:hint="eastAsia" w:ascii="MS UI Gothic" w:eastAsia="MS UI Gothic"/>
          <w:w w:val="80"/>
        </w:rPr>
        <w:t xml:space="preserve">、 </w:t>
      </w:r>
      <w:r>
        <w:rPr>
          <w:w w:val="105"/>
        </w:rPr>
        <w:t>改建</w:t>
      </w:r>
      <w:r>
        <w:rPr>
          <w:rFonts w:hint="eastAsia" w:ascii="MS UI Gothic" w:eastAsia="MS UI Gothic"/>
          <w:w w:val="80"/>
        </w:rPr>
        <w:t xml:space="preserve">、 </w:t>
      </w:r>
      <w:r>
        <w:rPr>
          <w:w w:val="105"/>
        </w:rPr>
        <w:t>扩建工程项目的安全设施与主体工程同时设计</w:t>
      </w:r>
      <w:r>
        <w:rPr>
          <w:rFonts w:hint="eastAsia" w:ascii="MS UI Gothic" w:eastAsia="MS UI Gothic"/>
          <w:w w:val="80"/>
        </w:rPr>
        <w:t xml:space="preserve">、 </w:t>
      </w:r>
      <w:r>
        <w:rPr>
          <w:w w:val="105"/>
        </w:rPr>
        <w:t>同时施工</w:t>
      </w:r>
      <w:r>
        <w:rPr>
          <w:rFonts w:hint="eastAsia" w:ascii="MS UI Gothic" w:eastAsia="MS UI Gothic"/>
          <w:w w:val="80"/>
        </w:rPr>
        <w:t xml:space="preserve">、 </w:t>
      </w:r>
      <w:r>
        <w:rPr>
          <w:w w:val="105"/>
        </w:rPr>
        <w:t>同时投入生产和使用</w:t>
      </w:r>
      <w:r>
        <w:rPr>
          <w:rFonts w:hint="eastAsia" w:ascii="MS UI Gothic" w:eastAsia="MS UI Gothic"/>
          <w:w w:val="80"/>
        </w:rPr>
        <w:t xml:space="preserve">ꎬ </w:t>
      </w:r>
      <w:r>
        <w:rPr>
          <w:w w:val="105"/>
        </w:rPr>
        <w:t>以及按规定办理设计审查和竣工验收的情况</w:t>
      </w:r>
      <w:r>
        <w:rPr>
          <w:rFonts w:hint="eastAsia" w:ascii="MS UI Gothic" w:eastAsia="MS UI Gothic"/>
          <w:w w:val="80"/>
        </w:rPr>
        <w:t>ꎻ</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在有较大危险因素的生产经营场所和有关设施</w:t>
      </w:r>
      <w:r>
        <w:rPr>
          <w:rFonts w:hint="eastAsia" w:ascii="MS UI Gothic" w:eastAsia="MS UI Gothic"/>
          <w:w w:val="80"/>
        </w:rPr>
        <w:t xml:space="preserve">、 </w:t>
      </w:r>
      <w:r>
        <w:rPr>
          <w:w w:val="105"/>
        </w:rPr>
        <w:t>设备上</w:t>
      </w:r>
      <w:r>
        <w:rPr>
          <w:rFonts w:hint="eastAsia" w:ascii="MS UI Gothic" w:eastAsia="MS UI Gothic"/>
          <w:w w:val="80"/>
        </w:rPr>
        <w:t xml:space="preserve">ꎬ </w:t>
      </w:r>
      <w:r>
        <w:rPr>
          <w:w w:val="105"/>
        </w:rPr>
        <w:t>设置安全警示标志的情况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对安全设备的维护</w:t>
      </w:r>
      <w:r>
        <w:rPr>
          <w:rFonts w:hint="eastAsia" w:ascii="MS UI Gothic" w:eastAsia="MS UI Gothic"/>
          <w:w w:val="80"/>
        </w:rPr>
        <w:t xml:space="preserve">、 </w:t>
      </w:r>
      <w:r>
        <w:rPr>
          <w:w w:val="105"/>
        </w:rPr>
        <w:t>保养</w:t>
      </w:r>
      <w:r>
        <w:rPr>
          <w:rFonts w:hint="eastAsia" w:ascii="MS UI Gothic" w:eastAsia="MS UI Gothic"/>
          <w:w w:val="80"/>
        </w:rPr>
        <w:t xml:space="preserve">、 </w:t>
      </w:r>
      <w:r>
        <w:rPr>
          <w:w w:val="105"/>
        </w:rPr>
        <w:t>定期检测的情况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重大危险源登记建档</w:t>
      </w:r>
      <w:r>
        <w:rPr>
          <w:rFonts w:hint="eastAsia" w:ascii="MS UI Gothic" w:eastAsia="MS UI Gothic"/>
          <w:w w:val="80"/>
        </w:rPr>
        <w:t xml:space="preserve">、 </w:t>
      </w:r>
      <w:r>
        <w:rPr>
          <w:w w:val="105"/>
        </w:rPr>
        <w:t>定期检测</w:t>
      </w:r>
      <w:r>
        <w:rPr>
          <w:rFonts w:hint="eastAsia" w:ascii="MS UI Gothic" w:eastAsia="MS UI Gothic"/>
          <w:w w:val="80"/>
        </w:rPr>
        <w:t xml:space="preserve">、 </w:t>
      </w:r>
      <w:r>
        <w:rPr>
          <w:w w:val="105"/>
        </w:rPr>
        <w:t>评估</w:t>
      </w:r>
      <w:r>
        <w:rPr>
          <w:rFonts w:hint="eastAsia" w:ascii="MS UI Gothic" w:eastAsia="MS UI Gothic"/>
          <w:w w:val="80"/>
        </w:rPr>
        <w:t xml:space="preserve">、  </w:t>
      </w:r>
      <w:r>
        <w:rPr>
          <w:w w:val="105"/>
        </w:rPr>
        <w:t>监控和制定应急预案的情况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十二</w:t>
      </w:r>
      <w:r>
        <w:rPr>
          <w:rFonts w:hint="eastAsia" w:ascii="MS UI Gothic" w:eastAsia="MS UI Gothic"/>
          <w:w w:val="150"/>
        </w:rPr>
        <w:t xml:space="preserve">) </w:t>
      </w:r>
      <w:r>
        <w:rPr>
          <w:w w:val="105"/>
        </w:rPr>
        <w:t>教育和督促从业人员严格执</w:t>
      </w:r>
      <w:r>
        <w:t>行本单位的安全生产规章制度和安全操作规程</w:t>
      </w:r>
      <w:r>
        <w:rPr>
          <w:rFonts w:hint="eastAsia" w:ascii="MS UI Gothic" w:eastAsia="MS UI Gothic"/>
          <w:w w:val="80"/>
        </w:rPr>
        <w:t xml:space="preserve">ꎬ </w:t>
      </w:r>
      <w:r>
        <w:t>并向从业人员如实告知作业场所和</w:t>
      </w:r>
      <w:r>
        <w:rPr>
          <w:w w:val="105"/>
        </w:rPr>
        <w:t>工作岗位存在的危险因素</w:t>
      </w:r>
      <w:r>
        <w:rPr>
          <w:rFonts w:hint="eastAsia" w:ascii="MS UI Gothic" w:eastAsia="MS UI Gothic"/>
          <w:w w:val="80"/>
        </w:rPr>
        <w:t xml:space="preserve">、 </w:t>
      </w:r>
      <w:r>
        <w:rPr>
          <w:w w:val="105"/>
        </w:rPr>
        <w:t>防范措施以及事故应急措施的情况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十三</w:t>
      </w:r>
      <w:r>
        <w:rPr>
          <w:rFonts w:hint="eastAsia" w:ascii="MS UI Gothic" w:eastAsia="MS UI Gothic"/>
          <w:w w:val="150"/>
        </w:rPr>
        <w:t xml:space="preserve">) </w:t>
      </w:r>
      <w:r>
        <w:rPr>
          <w:w w:val="105"/>
        </w:rPr>
        <w:t>为从业人员提供符合国家标</w:t>
      </w:r>
      <w:r>
        <w:t>准或者行业标准的劳动防护用品</w:t>
      </w:r>
      <w:r>
        <w:rPr>
          <w:rFonts w:hint="eastAsia" w:ascii="MS UI Gothic" w:eastAsia="MS UI Gothic"/>
          <w:w w:val="80"/>
        </w:rPr>
        <w:t xml:space="preserve">ꎬ </w:t>
      </w:r>
      <w:r>
        <w:t>并监</w:t>
      </w:r>
      <w:r>
        <w:rPr>
          <w:w w:val="105"/>
        </w:rPr>
        <w:t>督</w:t>
      </w:r>
      <w:r>
        <w:rPr>
          <w:rFonts w:hint="eastAsia" w:ascii="MS UI Gothic" w:eastAsia="MS UI Gothic"/>
          <w:w w:val="80"/>
        </w:rPr>
        <w:t xml:space="preserve">、 </w:t>
      </w:r>
      <w:r>
        <w:rPr>
          <w:w w:val="105"/>
        </w:rPr>
        <w:t>教育从业人员按照使用规则正确佩戴和使用的情况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十四</w:t>
      </w:r>
      <w:r>
        <w:rPr>
          <w:rFonts w:hint="eastAsia" w:ascii="MS UI Gothic" w:eastAsia="MS UI Gothic"/>
          <w:w w:val="150"/>
        </w:rPr>
        <w:t xml:space="preserve">) </w:t>
      </w:r>
      <w:r>
        <w:rPr>
          <w:w w:val="105"/>
        </w:rPr>
        <w:t>在同一作业区域内进行生产</w:t>
      </w:r>
      <w:r>
        <w:t>经营活动</w:t>
      </w:r>
      <w:r>
        <w:rPr>
          <w:rFonts w:hint="eastAsia" w:ascii="MS UI Gothic" w:eastAsia="MS UI Gothic"/>
          <w:w w:val="80"/>
        </w:rPr>
        <w:t xml:space="preserve">ꎬ </w:t>
      </w:r>
      <w:r>
        <w:t>可能危及对方生产安全的</w:t>
      </w:r>
      <w:r>
        <w:rPr>
          <w:rFonts w:hint="eastAsia" w:ascii="MS UI Gothic" w:eastAsia="MS UI Gothic"/>
          <w:w w:val="80"/>
        </w:rPr>
        <w:t xml:space="preserve">ꎬ </w:t>
      </w:r>
      <w:r>
        <w:t>与对方签订安全生产管理协议</w:t>
      </w:r>
      <w:r>
        <w:rPr>
          <w:rFonts w:hint="eastAsia" w:ascii="MS UI Gothic" w:eastAsia="MS UI Gothic"/>
          <w:w w:val="80"/>
        </w:rPr>
        <w:t xml:space="preserve">ꎬ </w:t>
      </w:r>
      <w:r>
        <w:t>明确各自的安全生产管理职责和应当采取的安全措施</w:t>
      </w:r>
      <w:r>
        <w:rPr>
          <w:rFonts w:hint="eastAsia" w:ascii="MS UI Gothic" w:eastAsia="MS UI Gothic"/>
          <w:w w:val="80"/>
        </w:rPr>
        <w:t xml:space="preserve">ꎬ </w:t>
      </w:r>
      <w:r>
        <w:t>并指定专职安全生产管理人员进行安</w:t>
      </w:r>
      <w:r>
        <w:rPr>
          <w:w w:val="105"/>
        </w:rPr>
        <w:t>全检查与协调的情况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十五</w:t>
      </w:r>
      <w:r>
        <w:rPr>
          <w:rFonts w:hint="eastAsia" w:ascii="MS UI Gothic" w:eastAsia="MS UI Gothic"/>
          <w:w w:val="150"/>
        </w:rPr>
        <w:t xml:space="preserve">) </w:t>
      </w:r>
      <w:r>
        <w:rPr>
          <w:w w:val="105"/>
        </w:rPr>
        <w:t>对承包单位</w:t>
      </w:r>
      <w:r>
        <w:rPr>
          <w:rFonts w:hint="eastAsia" w:ascii="MS UI Gothic" w:eastAsia="MS UI Gothic"/>
          <w:w w:val="80"/>
        </w:rPr>
        <w:t xml:space="preserve">、 </w:t>
      </w:r>
      <w:r>
        <w:rPr>
          <w:w w:val="105"/>
        </w:rPr>
        <w:t>承租单位的安全生产工作实行统一协调</w:t>
      </w:r>
      <w:r>
        <w:rPr>
          <w:rFonts w:hint="eastAsia" w:ascii="MS UI Gothic" w:eastAsia="MS UI Gothic"/>
          <w:w w:val="80"/>
        </w:rPr>
        <w:t xml:space="preserve">、 </w:t>
      </w:r>
      <w:r>
        <w:rPr>
          <w:w w:val="105"/>
        </w:rPr>
        <w:t>管理</w:t>
      </w:r>
      <w:r>
        <w:rPr>
          <w:rFonts w:hint="eastAsia" w:ascii="MS UI Gothic" w:eastAsia="MS UI Gothic"/>
          <w:w w:val="80"/>
        </w:rPr>
        <w:t xml:space="preserve">ꎬ </w:t>
      </w:r>
      <w:r>
        <w:rPr>
          <w:w w:val="105"/>
        </w:rPr>
        <w:t>定期进</w:t>
      </w:r>
      <w:r>
        <w:t>行安全检查</w:t>
      </w:r>
      <w:r>
        <w:rPr>
          <w:rFonts w:hint="eastAsia" w:ascii="MS UI Gothic" w:eastAsia="MS UI Gothic"/>
          <w:w w:val="80"/>
        </w:rPr>
        <w:t xml:space="preserve">ꎬ </w:t>
      </w:r>
      <w:r>
        <w:t>督促整改安全问题的情况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十六</w:t>
      </w:r>
      <w:r>
        <w:rPr>
          <w:rFonts w:hint="eastAsia" w:ascii="MS UI Gothic" w:eastAsia="MS UI Gothic"/>
          <w:w w:val="150"/>
        </w:rPr>
        <w:t xml:space="preserve">) </w:t>
      </w:r>
      <w:r>
        <w:rPr>
          <w:w w:val="105"/>
        </w:rPr>
        <w:t>建立健全生产安全事故隐患</w:t>
      </w:r>
      <w:r>
        <w:t>排查治理制度</w:t>
      </w:r>
      <w:r>
        <w:rPr>
          <w:rFonts w:hint="eastAsia" w:ascii="MS UI Gothic" w:eastAsia="MS UI Gothic"/>
          <w:w w:val="80"/>
        </w:rPr>
        <w:t xml:space="preserve">ꎬ </w:t>
      </w:r>
      <w:r>
        <w:t>及时发现并消除事故隐患</w:t>
      </w:r>
      <w:r>
        <w:rPr>
          <w:rFonts w:hint="eastAsia" w:ascii="MS UI Gothic" w:eastAsia="MS UI Gothic"/>
          <w:w w:val="80"/>
        </w:rPr>
        <w:t xml:space="preserve">ꎬ </w:t>
      </w:r>
      <w:r>
        <w:t>如实记录事故隐患治理</w:t>
      </w:r>
      <w:r>
        <w:rPr>
          <w:rFonts w:hint="eastAsia" w:ascii="MS UI Gothic" w:eastAsia="MS UI Gothic"/>
          <w:w w:val="80"/>
        </w:rPr>
        <w:t xml:space="preserve">ꎬ </w:t>
      </w:r>
      <w:r>
        <w:t>以及向从业</w:t>
      </w:r>
      <w:r>
        <w:rPr>
          <w:w w:val="105"/>
        </w:rPr>
        <w:t>人员通报的情况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十七</w:t>
      </w:r>
      <w:r>
        <w:rPr>
          <w:rFonts w:hint="eastAsia" w:ascii="MS UI Gothic" w:eastAsia="MS UI Gothic"/>
          <w:w w:val="150"/>
        </w:rPr>
        <w:t xml:space="preserve">) </w:t>
      </w:r>
      <w:r>
        <w:rPr>
          <w:w w:val="105"/>
        </w:rPr>
        <w:t>制定</w:t>
      </w:r>
      <w:r>
        <w:rPr>
          <w:rFonts w:hint="eastAsia" w:ascii="MS UI Gothic" w:eastAsia="MS UI Gothic"/>
          <w:w w:val="80"/>
        </w:rPr>
        <w:t xml:space="preserve">、 </w:t>
      </w:r>
      <w:r>
        <w:rPr>
          <w:w w:val="105"/>
        </w:rPr>
        <w:t>实施生产安全事故应</w:t>
      </w:r>
      <w:r>
        <w:t>急预案</w:t>
      </w:r>
      <w:r>
        <w:rPr>
          <w:rFonts w:hint="eastAsia" w:ascii="MS UI Gothic" w:eastAsia="MS UI Gothic"/>
          <w:w w:val="80"/>
        </w:rPr>
        <w:t xml:space="preserve">ꎬ </w:t>
      </w:r>
      <w:r>
        <w:t>定期组织应急预案演练</w:t>
      </w:r>
      <w:r>
        <w:rPr>
          <w:rFonts w:hint="eastAsia" w:ascii="MS UI Gothic" w:eastAsia="MS UI Gothic"/>
          <w:w w:val="80"/>
        </w:rPr>
        <w:t xml:space="preserve">ꎬ </w:t>
      </w:r>
      <w:r>
        <w:t>以及有</w:t>
      </w:r>
      <w:r>
        <w:rPr>
          <w:w w:val="105"/>
        </w:rPr>
        <w:t>关应急预案备案的情况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十八</w:t>
      </w:r>
      <w:r>
        <w:rPr>
          <w:rFonts w:hint="eastAsia" w:ascii="MS UI Gothic" w:eastAsia="MS UI Gothic"/>
          <w:w w:val="150"/>
        </w:rPr>
        <w:t xml:space="preserve">) </w:t>
      </w:r>
      <w:r>
        <w:rPr>
          <w:w w:val="105"/>
        </w:rPr>
        <w:t>危险物品的生产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储存单位以及矿山</w:t>
      </w:r>
      <w:r>
        <w:rPr>
          <w:rFonts w:hint="eastAsia" w:ascii="MS UI Gothic" w:eastAsia="MS UI Gothic"/>
          <w:w w:val="80"/>
        </w:rPr>
        <w:t xml:space="preserve">、 </w:t>
      </w:r>
      <w:r>
        <w:rPr>
          <w:w w:val="105"/>
        </w:rPr>
        <w:t>金属冶炼单位建立应急救援组织或者兼职救援队伍</w:t>
      </w:r>
      <w:r>
        <w:rPr>
          <w:rFonts w:hint="eastAsia" w:ascii="MS UI Gothic" w:eastAsia="MS UI Gothic"/>
          <w:w w:val="80"/>
        </w:rPr>
        <w:t xml:space="preserve">、 </w:t>
      </w:r>
      <w:r>
        <w:rPr>
          <w:w w:val="105"/>
        </w:rPr>
        <w:t>签订应急救援协议</w:t>
      </w:r>
      <w:r>
        <w:rPr>
          <w:rFonts w:hint="eastAsia" w:ascii="MS UI Gothic" w:eastAsia="MS UI Gothic"/>
          <w:w w:val="80"/>
        </w:rPr>
        <w:t xml:space="preserve">ꎬ </w:t>
      </w:r>
      <w:r>
        <w:rPr>
          <w:w w:val="105"/>
        </w:rPr>
        <w:t>以及应急救援器材</w:t>
      </w:r>
      <w:r>
        <w:rPr>
          <w:rFonts w:hint="eastAsia" w:ascii="MS UI Gothic" w:eastAsia="MS UI Gothic"/>
          <w:w w:val="80"/>
        </w:rPr>
        <w:t xml:space="preserve">、 </w:t>
      </w:r>
      <w:r>
        <w:rPr>
          <w:w w:val="105"/>
        </w:rPr>
        <w:t>设备和物资的配备</w:t>
      </w:r>
      <w:r>
        <w:rPr>
          <w:rFonts w:hint="eastAsia" w:ascii="MS UI Gothic" w:eastAsia="MS UI Gothic"/>
          <w:w w:val="80"/>
        </w:rPr>
        <w:t xml:space="preserve">、 </w:t>
      </w:r>
      <w:r>
        <w:rPr>
          <w:w w:val="105"/>
        </w:rPr>
        <w:t>维护</w:t>
      </w:r>
      <w:r>
        <w:rPr>
          <w:rFonts w:hint="eastAsia" w:ascii="MS UI Gothic" w:eastAsia="MS UI Gothic"/>
          <w:w w:val="80"/>
        </w:rPr>
        <w:t xml:space="preserve">、 </w:t>
      </w:r>
      <w:r>
        <w:rPr>
          <w:w w:val="105"/>
        </w:rPr>
        <w:t>保养的情况</w:t>
      </w:r>
      <w:r>
        <w:rPr>
          <w:rFonts w:hint="eastAsia" w:ascii="MS UI Gothic" w:eastAsia="MS UI Gothic"/>
          <w:w w:val="80"/>
        </w:rPr>
        <w:t>ꎻ</w:t>
      </w:r>
    </w:p>
    <w:p>
      <w:pPr>
        <w:pStyle w:val="6"/>
        <w:spacing w:line="252" w:lineRule="exact"/>
        <w:ind w:left="543" w:firstLine="0"/>
      </w:pPr>
      <w:r>
        <w:rPr>
          <w:rFonts w:hint="eastAsia" w:ascii="MS UI Gothic" w:eastAsia="MS UI Gothic"/>
          <w:w w:val="150"/>
        </w:rPr>
        <w:t xml:space="preserve">( </w:t>
      </w:r>
      <w:r>
        <w:rPr>
          <w:w w:val="115"/>
        </w:rPr>
        <w:t>十九</w:t>
      </w:r>
      <w:r>
        <w:rPr>
          <w:rFonts w:hint="eastAsia" w:ascii="MS UI Gothic" w:eastAsia="MS UI Gothic"/>
          <w:w w:val="150"/>
        </w:rPr>
        <w:t xml:space="preserve">) </w:t>
      </w:r>
      <w:r>
        <w:rPr>
          <w:w w:val="115"/>
        </w:rPr>
        <w:t>按照规定报告生产安全事故</w:t>
      </w:r>
    </w:p>
    <w:p>
      <w:pPr>
        <w:spacing w:after="0" w:line="252"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１４３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72" o:spid="_x0000_s1472" o:spt="203" style="height:2.15pt;width:398.25pt;" coordsize="7965,43">
            <o:lock v:ext="edit"/>
            <v:line id="_x0000_s1473" o:spid="_x0000_s1473" o:spt="20" style="position:absolute;left:0;top:39;height:0;width:7965;" stroked="t" coordsize="21600,21600">
              <v:path arrowok="t"/>
              <v:fill focussize="0,0"/>
              <v:stroke weight="0.388031496062992pt" color="#231F20"/>
              <v:imagedata o:title=""/>
              <o:lock v:ext="edit"/>
            </v:line>
            <v:line id="_x0000_s1474" o:spid="_x0000_s147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的情况</w:t>
      </w:r>
      <w:r>
        <w:rPr>
          <w:rFonts w:hint="eastAsia" w:ascii="MS UI Gothic" w:eastAsia="MS UI Gothic"/>
          <w:w w:val="80"/>
        </w:rPr>
        <w:t>ꎻ</w:t>
      </w:r>
    </w:p>
    <w:p>
      <w:pPr>
        <w:pStyle w:val="6"/>
        <w:spacing w:before="58" w:line="295" w:lineRule="auto"/>
        <w:ind w:left="440" w:right="1"/>
        <w:rPr>
          <w:rFonts w:hint="eastAsia" w:ascii="MS UI Gothic" w:eastAsia="MS UI Gothic"/>
        </w:rPr>
      </w:pPr>
      <w:r>
        <w:rPr>
          <w:rFonts w:hint="eastAsia" w:ascii="MS UI Gothic" w:eastAsia="MS UI Gothic"/>
          <w:w w:val="115"/>
        </w:rPr>
        <w:t xml:space="preserve">( </w:t>
      </w:r>
      <w:r>
        <w:rPr>
          <w:w w:val="110"/>
        </w:rPr>
        <w:t>二十</w:t>
      </w:r>
      <w:r>
        <w:rPr>
          <w:rFonts w:hint="eastAsia" w:ascii="MS UI Gothic" w:eastAsia="MS UI Gothic"/>
          <w:w w:val="115"/>
        </w:rPr>
        <w:t xml:space="preserve">) </w:t>
      </w:r>
      <w:r>
        <w:rPr>
          <w:w w:val="110"/>
        </w:rPr>
        <w:t>依法应当监督检查的其他情况</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第九条 安全监管监察部门在监督检</w:t>
      </w:r>
      <w:r>
        <w:t>查中</w:t>
      </w:r>
      <w:r>
        <w:rPr>
          <w:rFonts w:hint="eastAsia" w:ascii="MS UI Gothic" w:eastAsia="MS UI Gothic"/>
          <w:w w:val="80"/>
        </w:rPr>
        <w:t xml:space="preserve">ꎬ </w:t>
      </w:r>
      <w:r>
        <w:t>发现生产经营单位存在安全生产违法行为或者事故隐患的</w:t>
      </w:r>
      <w:r>
        <w:rPr>
          <w:rFonts w:hint="eastAsia" w:ascii="MS UI Gothic" w:eastAsia="MS UI Gothic"/>
          <w:w w:val="80"/>
        </w:rPr>
        <w:t xml:space="preserve">ꎬ </w:t>
      </w:r>
      <w:r>
        <w:t>应当依法采取下</w:t>
      </w:r>
      <w:r>
        <w:rPr>
          <w:w w:val="105"/>
        </w:rPr>
        <w:t>列现场处理措施</w:t>
      </w:r>
      <w:r>
        <w:rPr>
          <w:rFonts w:hint="eastAsia" w:ascii="MS UI Gothic" w:eastAsia="MS UI Gothic"/>
          <w:w w:val="235"/>
        </w:rPr>
        <w:t>:</w:t>
      </w:r>
    </w:p>
    <w:p>
      <w:pPr>
        <w:pStyle w:val="6"/>
        <w:spacing w:line="253" w:lineRule="exact"/>
        <w:ind w:left="86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当场予以纠正</w:t>
      </w:r>
      <w:r>
        <w:rPr>
          <w:rFonts w:hint="eastAsia" w:ascii="MS UI Gothic" w:eastAsia="MS UI Gothic"/>
          <w:w w:val="80"/>
        </w:rPr>
        <w:t>ꎻ</w:t>
      </w:r>
    </w:p>
    <w:p>
      <w:pPr>
        <w:pStyle w:val="6"/>
        <w:spacing w:before="57"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5"/>
          <w:w w:val="105"/>
        </w:rPr>
        <w:t>责令限期改正</w:t>
      </w:r>
      <w:r>
        <w:rPr>
          <w:rFonts w:hint="eastAsia" w:ascii="MS UI Gothic" w:eastAsia="MS UI Gothic"/>
          <w:spacing w:val="24"/>
          <w:w w:val="80"/>
        </w:rPr>
        <w:t xml:space="preserve">、 </w:t>
      </w:r>
      <w:r>
        <w:rPr>
          <w:spacing w:val="9"/>
          <w:w w:val="105"/>
        </w:rPr>
        <w:t>责令限期达到</w:t>
      </w:r>
      <w:r>
        <w:rPr>
          <w:spacing w:val="3"/>
          <w:w w:val="105"/>
        </w:rPr>
        <w:t>要求</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9"/>
          <w:w w:val="150"/>
        </w:rPr>
        <w:t xml:space="preserve">( </w:t>
      </w:r>
      <w:r>
        <w:rPr>
          <w:spacing w:val="3"/>
          <w:w w:val="110"/>
        </w:rPr>
        <w:t>三</w:t>
      </w:r>
      <w:r>
        <w:rPr>
          <w:rFonts w:hint="eastAsia" w:ascii="MS UI Gothic" w:eastAsia="MS UI Gothic"/>
          <w:spacing w:val="-3"/>
          <w:w w:val="150"/>
        </w:rPr>
        <w:t xml:space="preserve">) </w:t>
      </w:r>
      <w:r>
        <w:rPr>
          <w:spacing w:val="16"/>
          <w:w w:val="110"/>
        </w:rPr>
        <w:t xml:space="preserve">责令立即停止作业 </w:t>
      </w:r>
      <w:r>
        <w:rPr>
          <w:rFonts w:hint="eastAsia" w:ascii="MS UI Gothic" w:eastAsia="MS UI Gothic"/>
          <w:spacing w:val="-34"/>
          <w:w w:val="150"/>
        </w:rPr>
        <w:t xml:space="preserve">( </w:t>
      </w:r>
      <w:r>
        <w:rPr>
          <w:spacing w:val="23"/>
          <w:w w:val="110"/>
        </w:rPr>
        <w:t>施工</w:t>
      </w:r>
      <w:r>
        <w:rPr>
          <w:rFonts w:hint="eastAsia" w:ascii="MS UI Gothic" w:eastAsia="MS UI Gothic"/>
          <w:spacing w:val="21"/>
          <w:w w:val="150"/>
        </w:rPr>
        <w:t>)</w:t>
      </w:r>
      <w:r>
        <w:rPr>
          <w:rFonts w:hint="eastAsia" w:ascii="MS UI Gothic" w:eastAsia="MS UI Gothic"/>
          <w:spacing w:val="-15"/>
          <w:w w:val="80"/>
        </w:rPr>
        <w:t>、</w:t>
      </w:r>
      <w:r>
        <w:rPr>
          <w:spacing w:val="12"/>
          <w:w w:val="105"/>
        </w:rPr>
        <w:t>责令立即停止使用</w:t>
      </w:r>
      <w:r>
        <w:rPr>
          <w:rFonts w:hint="eastAsia" w:ascii="MS UI Gothic" w:eastAsia="MS UI Gothic"/>
          <w:w w:val="80"/>
        </w:rPr>
        <w:t xml:space="preserve">、 </w:t>
      </w:r>
      <w:r>
        <w:rPr>
          <w:spacing w:val="16"/>
          <w:w w:val="105"/>
        </w:rPr>
        <w:t>责令立即排除事故</w:t>
      </w:r>
      <w:r>
        <w:rPr>
          <w:spacing w:val="3"/>
          <w:w w:val="110"/>
        </w:rPr>
        <w:t>隐患</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6"/>
          <w:w w:val="130"/>
        </w:rPr>
        <w:t xml:space="preserve">( </w:t>
      </w:r>
      <w:r>
        <w:rPr>
          <w:spacing w:val="29"/>
          <w:w w:val="110"/>
        </w:rPr>
        <w:t>四</w:t>
      </w:r>
      <w:r>
        <w:rPr>
          <w:rFonts w:hint="eastAsia" w:ascii="MS UI Gothic" w:eastAsia="MS UI Gothic"/>
          <w:spacing w:val="-13"/>
          <w:w w:val="130"/>
        </w:rPr>
        <w:t xml:space="preserve">) </w:t>
      </w:r>
      <w:r>
        <w:rPr>
          <w:spacing w:val="40"/>
          <w:w w:val="110"/>
        </w:rPr>
        <w:t>责令从危险区域撤出作业</w:t>
      </w:r>
      <w:r>
        <w:rPr>
          <w:spacing w:val="3"/>
          <w:w w:val="110"/>
        </w:rPr>
        <w:t>人员</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7"/>
          <w:w w:val="150"/>
        </w:rPr>
        <w:t xml:space="preserve">( </w:t>
      </w:r>
      <w:r>
        <w:rPr>
          <w:spacing w:val="3"/>
          <w:w w:val="105"/>
        </w:rPr>
        <w:t>五</w:t>
      </w:r>
      <w:r>
        <w:rPr>
          <w:rFonts w:hint="eastAsia" w:ascii="MS UI Gothic" w:eastAsia="MS UI Gothic"/>
          <w:spacing w:val="16"/>
          <w:w w:val="150"/>
        </w:rPr>
        <w:t xml:space="preserve">) </w:t>
      </w:r>
      <w:r>
        <w:rPr>
          <w:spacing w:val="27"/>
          <w:w w:val="105"/>
        </w:rPr>
        <w:t>责令暂时停产停业</w:t>
      </w:r>
      <w:r>
        <w:rPr>
          <w:rFonts w:hint="eastAsia" w:ascii="MS UI Gothic" w:eastAsia="MS UI Gothic"/>
          <w:spacing w:val="7"/>
          <w:w w:val="80"/>
        </w:rPr>
        <w:t xml:space="preserve">、 </w:t>
      </w:r>
      <w:r>
        <w:rPr>
          <w:spacing w:val="16"/>
          <w:w w:val="105"/>
        </w:rPr>
        <w:t>停止建</w:t>
      </w:r>
      <w:r>
        <w:rPr>
          <w:spacing w:val="3"/>
          <w:w w:val="105"/>
        </w:rPr>
        <w:t>设</w:t>
      </w:r>
      <w:r>
        <w:rPr>
          <w:rFonts w:hint="eastAsia" w:ascii="MS UI Gothic" w:eastAsia="MS UI Gothic"/>
          <w:spacing w:val="-2"/>
          <w:w w:val="80"/>
        </w:rPr>
        <w:t xml:space="preserve">、 </w:t>
      </w:r>
      <w:r>
        <w:rPr>
          <w:spacing w:val="23"/>
          <w:w w:val="105"/>
        </w:rPr>
        <w:t>停止施工或者停止使用相关设备</w:t>
      </w:r>
      <w:r>
        <w:rPr>
          <w:rFonts w:hint="eastAsia" w:ascii="MS UI Gothic" w:eastAsia="MS UI Gothic"/>
          <w:spacing w:val="-15"/>
          <w:w w:val="80"/>
        </w:rPr>
        <w:t>、</w:t>
      </w:r>
      <w:r>
        <w:rPr>
          <w:spacing w:val="3"/>
          <w:w w:val="105"/>
        </w:rPr>
        <w:t>设施</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六</w:t>
      </w:r>
      <w:r>
        <w:rPr>
          <w:rFonts w:hint="eastAsia" w:ascii="MS UI Gothic" w:eastAsia="MS UI Gothic"/>
          <w:spacing w:val="6"/>
          <w:w w:val="105"/>
        </w:rPr>
        <w:t xml:space="preserve">) </w:t>
      </w:r>
      <w:r>
        <w:rPr>
          <w:spacing w:val="5"/>
          <w:w w:val="105"/>
        </w:rPr>
        <w:t>依法应当采取的其他现场处理</w:t>
      </w:r>
      <w:r>
        <w:rPr>
          <w:spacing w:val="3"/>
          <w:w w:val="110"/>
        </w:rPr>
        <w:t>措施</w:t>
      </w:r>
      <w:r>
        <w:rPr>
          <w:rFonts w:hint="eastAsia" w:ascii="MS UI Gothic" w:eastAsia="MS UI Gothic"/>
          <w:w w:val="80"/>
        </w:rPr>
        <w:t>ꎮ</w:t>
      </w:r>
    </w:p>
    <w:p>
      <w:pPr>
        <w:pStyle w:val="6"/>
        <w:spacing w:line="295" w:lineRule="auto"/>
        <w:ind w:left="440" w:right="1"/>
        <w:rPr>
          <w:rFonts w:hint="eastAsia" w:ascii="MS UI Gothic" w:eastAsia="MS UI Gothic"/>
        </w:rPr>
      </w:pPr>
      <w:r>
        <w:t>第十条 被责令限期改正</w:t>
      </w:r>
      <w:r>
        <w:rPr>
          <w:rFonts w:hint="eastAsia" w:ascii="MS UI Gothic" w:eastAsia="MS UI Gothic"/>
        </w:rPr>
        <w:t xml:space="preserve">、 </w:t>
      </w:r>
      <w:r>
        <w:t>限期达到要求</w:t>
      </w:r>
      <w:r>
        <w:rPr>
          <w:rFonts w:hint="eastAsia" w:ascii="MS UI Gothic" w:eastAsia="MS UI Gothic"/>
        </w:rPr>
        <w:t xml:space="preserve">、 </w:t>
      </w:r>
      <w:r>
        <w:t>暂时停产停业</w:t>
      </w:r>
      <w:r>
        <w:rPr>
          <w:rFonts w:hint="eastAsia" w:ascii="MS UI Gothic" w:eastAsia="MS UI Gothic"/>
        </w:rPr>
        <w:t xml:space="preserve">、 </w:t>
      </w:r>
      <w:r>
        <w:t>停止建设</w:t>
      </w:r>
      <w:r>
        <w:rPr>
          <w:rFonts w:hint="eastAsia" w:ascii="MS UI Gothic" w:eastAsia="MS UI Gothic"/>
        </w:rPr>
        <w:t xml:space="preserve">、 </w:t>
      </w:r>
      <w:r>
        <w:t>停止施工或者停止使用的生产经营单位提出复查申请或者整改</w:t>
      </w:r>
      <w:r>
        <w:rPr>
          <w:rFonts w:hint="eastAsia" w:ascii="MS UI Gothic" w:eastAsia="MS UI Gothic"/>
        </w:rPr>
        <w:t xml:space="preserve">、 </w:t>
      </w:r>
      <w:r>
        <w:t>治理限期届满的</w:t>
      </w:r>
      <w:r>
        <w:rPr>
          <w:rFonts w:hint="eastAsia" w:ascii="MS UI Gothic" w:eastAsia="MS UI Gothic"/>
          <w:w w:val="85"/>
        </w:rPr>
        <w:t xml:space="preserve">ꎬ  </w:t>
      </w:r>
      <w:r>
        <w:t xml:space="preserve">安全监管监察部门应当自收到申请或者限期届满之日起 </w:t>
      </w:r>
      <w:r>
        <w:rPr>
          <w:rFonts w:hint="eastAsia" w:ascii="MS UI Gothic" w:eastAsia="MS UI Gothic"/>
          <w:w w:val="85"/>
        </w:rPr>
        <w:t xml:space="preserve">１０ </w:t>
      </w:r>
      <w:r>
        <w:t>日内进行复查</w:t>
      </w:r>
      <w:r>
        <w:rPr>
          <w:rFonts w:hint="eastAsia" w:ascii="MS UI Gothic" w:eastAsia="MS UI Gothic"/>
          <w:w w:val="85"/>
        </w:rPr>
        <w:t xml:space="preserve">ꎬ </w:t>
      </w:r>
      <w:r>
        <w:t>并填写复查意见书</w:t>
      </w:r>
      <w:r>
        <w:rPr>
          <w:rFonts w:hint="eastAsia" w:ascii="MS UI Gothic" w:eastAsia="MS UI Gothic"/>
          <w:w w:val="85"/>
        </w:rPr>
        <w:t xml:space="preserve">ꎬ </w:t>
      </w:r>
      <w:r>
        <w:t>由被复查单位和安全监管监察部门复查人员签名后存档</w:t>
      </w:r>
      <w:r>
        <w:rPr>
          <w:rFonts w:hint="eastAsia" w:ascii="MS UI Gothic" w:eastAsia="MS UI Gothic"/>
          <w:w w:val="85"/>
        </w:rPr>
        <w:t>ꎮ</w:t>
      </w:r>
    </w:p>
    <w:p>
      <w:pPr>
        <w:pStyle w:val="6"/>
        <w:spacing w:line="295" w:lineRule="auto"/>
        <w:ind w:left="440"/>
        <w:rPr>
          <w:rFonts w:hint="eastAsia" w:ascii="MS UI Gothic" w:eastAsia="MS UI Gothic"/>
        </w:rPr>
      </w:pPr>
      <w:r>
        <w:t>煤矿安全监察机构依照有关规定将复查工作移交给县级以上地方人民政府负责煤矿安全生产监督管理的部门的</w:t>
      </w:r>
      <w:r>
        <w:rPr>
          <w:rFonts w:hint="eastAsia" w:ascii="MS UI Gothic" w:eastAsia="MS UI Gothic"/>
          <w:w w:val="85"/>
        </w:rPr>
        <w:t xml:space="preserve">ꎬ </w:t>
      </w:r>
      <w:r>
        <w:t>应当及时将相应的执法文书抄送该部门并备案</w:t>
      </w:r>
      <w:r>
        <w:rPr>
          <w:rFonts w:hint="eastAsia" w:ascii="MS UI Gothic" w:eastAsia="MS UI Gothic"/>
          <w:w w:val="85"/>
        </w:rPr>
        <w:t>ꎮ</w:t>
      </w:r>
      <w:r>
        <w:t xml:space="preserve">县级以上地方人民政府负责煤矿安全生产监督管理的部门应当自收到煤矿申请或者限期届满之日起 </w:t>
      </w:r>
      <w:r>
        <w:rPr>
          <w:rFonts w:hint="eastAsia" w:ascii="MS UI Gothic" w:eastAsia="MS UI Gothic"/>
          <w:w w:val="85"/>
        </w:rPr>
        <w:t xml:space="preserve">１０ </w:t>
      </w:r>
      <w:r>
        <w:t>日内进行复查</w:t>
      </w:r>
      <w:r>
        <w:rPr>
          <w:rFonts w:hint="eastAsia" w:ascii="MS UI Gothic" w:eastAsia="MS UI Gothic"/>
          <w:w w:val="85"/>
        </w:rPr>
        <w:t xml:space="preserve">ꎬ </w:t>
      </w:r>
      <w:r>
        <w:t>并填写复查意见书</w:t>
      </w:r>
      <w:r>
        <w:rPr>
          <w:rFonts w:hint="eastAsia" w:ascii="MS UI Gothic" w:eastAsia="MS UI Gothic"/>
          <w:w w:val="85"/>
        </w:rPr>
        <w:t xml:space="preserve">ꎬ </w:t>
      </w:r>
      <w:r>
        <w:t>由被复查煤矿和复查人员签名后存档</w:t>
      </w:r>
      <w:r>
        <w:rPr>
          <w:rFonts w:hint="eastAsia" w:ascii="MS UI Gothic" w:eastAsia="MS UI Gothic"/>
          <w:w w:val="85"/>
        </w:rPr>
        <w:t xml:space="preserve">ꎬ </w:t>
      </w:r>
      <w:r>
        <w:t>并将复查意见书及时抄送移交复查的煤矿安全监察机构</w:t>
      </w:r>
      <w:r>
        <w:rPr>
          <w:rFonts w:hint="eastAsia" w:ascii="MS UI Gothic" w:eastAsia="MS UI Gothic"/>
          <w:w w:val="85"/>
        </w:rPr>
        <w:t>ꎮ</w:t>
      </w:r>
    </w:p>
    <w:p>
      <w:pPr>
        <w:pStyle w:val="6"/>
        <w:spacing w:line="248" w:lineRule="exact"/>
        <w:ind w:left="860" w:firstLine="0"/>
      </w:pPr>
      <w:r>
        <w:t>对逾期未整改</w:t>
      </w:r>
      <w:r>
        <w:rPr>
          <w:rFonts w:hint="eastAsia" w:ascii="MS UI Gothic" w:eastAsia="MS UI Gothic"/>
        </w:rPr>
        <w:t xml:space="preserve">、 </w:t>
      </w:r>
      <w:r>
        <w:t>治理或者整改</w:t>
      </w:r>
      <w:r>
        <w:rPr>
          <w:rFonts w:hint="eastAsia" w:ascii="MS UI Gothic" w:eastAsia="MS UI Gothic"/>
        </w:rPr>
        <w:t xml:space="preserve">、 </w:t>
      </w:r>
      <w:r>
        <w:t>治理</w:t>
      </w:r>
    </w:p>
    <w:p>
      <w:pPr>
        <w:pStyle w:val="6"/>
        <w:spacing w:before="124" w:line="295" w:lineRule="auto"/>
        <w:ind w:left="381" w:right="126" w:firstLine="0"/>
        <w:rPr>
          <w:rFonts w:hint="eastAsia" w:ascii="MS UI Gothic" w:eastAsia="MS UI Gothic"/>
        </w:rPr>
      </w:pPr>
      <w:r>
        <w:br w:type="column"/>
      </w:r>
      <w:r>
        <w:t>不合格的生产经营单位</w:t>
      </w:r>
      <w:r>
        <w:rPr>
          <w:rFonts w:hint="eastAsia" w:ascii="MS UI Gothic" w:eastAsia="MS UI Gothic"/>
          <w:w w:val="80"/>
        </w:rPr>
        <w:t xml:space="preserve">ꎬ </w:t>
      </w:r>
      <w:r>
        <w:t>安全监管监察部门应当依法给予行政处罚</w:t>
      </w:r>
      <w:r>
        <w:rPr>
          <w:rFonts w:hint="eastAsia" w:ascii="MS UI Gothic" w:eastAsia="MS UI Gothic"/>
          <w:w w:val="80"/>
        </w:rPr>
        <w:t xml:space="preserve">ꎬ </w:t>
      </w:r>
      <w:r>
        <w:t>并依法提请县级以上地方人民政府按照规定的权限决定关闭</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第十一条 安全监管监察部门在监督</w:t>
      </w:r>
      <w:r>
        <w:t>检查中</w:t>
      </w:r>
      <w:r>
        <w:rPr>
          <w:rFonts w:hint="eastAsia" w:ascii="MS UI Gothic" w:eastAsia="MS UI Gothic"/>
          <w:w w:val="80"/>
        </w:rPr>
        <w:t xml:space="preserve">ꎬ </w:t>
      </w:r>
      <w:r>
        <w:t>发现生产经营单位存在安全生产</w:t>
      </w:r>
      <w:r>
        <w:rPr>
          <w:w w:val="105"/>
        </w:rPr>
        <w:t>非法</w:t>
      </w:r>
      <w:r>
        <w:rPr>
          <w:rFonts w:hint="eastAsia" w:ascii="MS UI Gothic" w:eastAsia="MS UI Gothic"/>
          <w:w w:val="80"/>
        </w:rPr>
        <w:t xml:space="preserve">、 </w:t>
      </w:r>
      <w:r>
        <w:rPr>
          <w:w w:val="105"/>
        </w:rPr>
        <w:t>违法行为的</w:t>
      </w:r>
      <w:r>
        <w:rPr>
          <w:rFonts w:hint="eastAsia" w:ascii="MS UI Gothic" w:eastAsia="MS UI Gothic"/>
          <w:w w:val="80"/>
        </w:rPr>
        <w:t xml:space="preserve">ꎬ </w:t>
      </w:r>
      <w:r>
        <w:rPr>
          <w:w w:val="105"/>
        </w:rPr>
        <w:t>有权依法采取下列行政强制措施</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对有根据认为不符合安全生产的国家标准或者行业标准的在用设施</w:t>
      </w:r>
      <w:r>
        <w:rPr>
          <w:rFonts w:hint="eastAsia" w:ascii="MS UI Gothic" w:eastAsia="MS UI Gothic"/>
          <w:w w:val="80"/>
        </w:rPr>
        <w:t xml:space="preserve">、 </w:t>
      </w:r>
      <w:r>
        <w:t>设备</w:t>
      </w:r>
      <w:r>
        <w:rPr>
          <w:rFonts w:hint="eastAsia" w:ascii="MS UI Gothic" w:eastAsia="MS UI Gothic"/>
          <w:w w:val="80"/>
        </w:rPr>
        <w:t xml:space="preserve">、 </w:t>
      </w:r>
      <w:r>
        <w:t>器材</w:t>
      </w:r>
      <w:r>
        <w:rPr>
          <w:rFonts w:hint="eastAsia" w:ascii="MS UI Gothic" w:eastAsia="MS UI Gothic"/>
          <w:w w:val="80"/>
        </w:rPr>
        <w:t xml:space="preserve">ꎬ </w:t>
      </w:r>
      <w:r>
        <w:t>违法生产</w:t>
      </w:r>
      <w:r>
        <w:rPr>
          <w:rFonts w:hint="eastAsia" w:ascii="MS UI Gothic" w:eastAsia="MS UI Gothic"/>
          <w:w w:val="80"/>
        </w:rPr>
        <w:t xml:space="preserve">、 </w:t>
      </w:r>
      <w:r>
        <w:t>储存</w:t>
      </w:r>
      <w:r>
        <w:rPr>
          <w:rFonts w:hint="eastAsia" w:ascii="MS UI Gothic" w:eastAsia="MS UI Gothic"/>
          <w:w w:val="80"/>
        </w:rPr>
        <w:t xml:space="preserve">、  </w:t>
      </w:r>
      <w:r>
        <w:t>使用</w:t>
      </w:r>
      <w:r>
        <w:rPr>
          <w:rFonts w:hint="eastAsia" w:ascii="MS UI Gothic" w:eastAsia="MS UI Gothic"/>
          <w:w w:val="80"/>
        </w:rPr>
        <w:t xml:space="preserve">、  </w:t>
      </w:r>
      <w:r>
        <w:t>经营</w:t>
      </w:r>
      <w:r>
        <w:rPr>
          <w:rFonts w:hint="eastAsia" w:ascii="MS UI Gothic" w:eastAsia="MS UI Gothic"/>
          <w:w w:val="80"/>
        </w:rPr>
        <w:t xml:space="preserve">、 </w:t>
      </w:r>
      <w:r>
        <w:t>运输的危险物品</w:t>
      </w:r>
      <w:r>
        <w:rPr>
          <w:rFonts w:hint="eastAsia" w:ascii="MS UI Gothic" w:eastAsia="MS UI Gothic"/>
          <w:w w:val="80"/>
        </w:rPr>
        <w:t xml:space="preserve">ꎬ </w:t>
      </w:r>
      <w:r>
        <w:t>以及违法生产</w:t>
      </w:r>
      <w:r>
        <w:rPr>
          <w:rFonts w:hint="eastAsia" w:ascii="MS UI Gothic" w:eastAsia="MS UI Gothic"/>
          <w:w w:val="80"/>
        </w:rPr>
        <w:t xml:space="preserve">、 </w:t>
      </w:r>
      <w:r>
        <w:t>储存</w:t>
      </w:r>
      <w:r>
        <w:rPr>
          <w:rFonts w:hint="eastAsia" w:ascii="MS UI Gothic" w:eastAsia="MS UI Gothic"/>
          <w:w w:val="80"/>
        </w:rPr>
        <w:t xml:space="preserve">、 </w:t>
      </w:r>
      <w:r>
        <w:t>使用</w:t>
      </w:r>
      <w:r>
        <w:rPr>
          <w:rFonts w:hint="eastAsia" w:ascii="MS UI Gothic" w:eastAsia="MS UI Gothic"/>
          <w:w w:val="80"/>
        </w:rPr>
        <w:t xml:space="preserve">、 </w:t>
      </w:r>
      <w:r>
        <w:t>经营危险物品的作业场所予以查封或者扣押</w:t>
      </w:r>
      <w:r>
        <w:rPr>
          <w:rFonts w:hint="eastAsia" w:ascii="MS UI Gothic" w:eastAsia="MS UI Gothic"/>
          <w:w w:val="80"/>
        </w:rPr>
        <w:t xml:space="preserve">ꎬ </w:t>
      </w:r>
      <w:r>
        <w:t>并依法作出处理决定</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扣押相关的证据材料和违法物品</w:t>
      </w:r>
      <w:r>
        <w:rPr>
          <w:rFonts w:hint="eastAsia" w:ascii="MS UI Gothic" w:eastAsia="MS UI Gothic"/>
          <w:w w:val="80"/>
        </w:rPr>
        <w:t xml:space="preserve">ꎬ </w:t>
      </w:r>
      <w:r>
        <w:rPr>
          <w:w w:val="105"/>
        </w:rPr>
        <w:t>临时查封有关场所</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法规规定的其他行政强制措施</w:t>
      </w:r>
      <w:r>
        <w:rPr>
          <w:rFonts w:hint="eastAsia" w:ascii="MS UI Gothic" w:eastAsia="MS UI Gothic"/>
          <w:w w:val="80"/>
        </w:rPr>
        <w:t>ꎮ</w:t>
      </w:r>
    </w:p>
    <w:p>
      <w:pPr>
        <w:pStyle w:val="6"/>
        <w:spacing w:line="295" w:lineRule="auto"/>
        <w:ind w:left="381" w:right="126"/>
        <w:rPr>
          <w:rFonts w:hint="eastAsia" w:ascii="MS UI Gothic" w:eastAsia="MS UI Gothic"/>
        </w:rPr>
      </w:pPr>
      <w:r>
        <w:t>实施查封</w:t>
      </w:r>
      <w:r>
        <w:rPr>
          <w:rFonts w:hint="eastAsia" w:ascii="MS UI Gothic" w:eastAsia="MS UI Gothic"/>
        </w:rPr>
        <w:t xml:space="preserve">、 </w:t>
      </w:r>
      <w:r>
        <w:t>扣押的</w:t>
      </w:r>
      <w:r>
        <w:rPr>
          <w:rFonts w:hint="eastAsia" w:ascii="MS UI Gothic" w:eastAsia="MS UI Gothic"/>
          <w:w w:val="80"/>
        </w:rPr>
        <w:t xml:space="preserve">ꎬ </w:t>
      </w:r>
      <w:r>
        <w:t>应当制作并当场交付查封</w:t>
      </w:r>
      <w:r>
        <w:rPr>
          <w:rFonts w:hint="eastAsia" w:ascii="MS UI Gothic" w:eastAsia="MS UI Gothic"/>
        </w:rPr>
        <w:t xml:space="preserve">、 </w:t>
      </w:r>
      <w:r>
        <w:t>扣押决定书和清单</w:t>
      </w:r>
      <w:r>
        <w:rPr>
          <w:rFonts w:hint="eastAsia" w:ascii="MS UI Gothic" w:eastAsia="MS UI Gothic"/>
          <w:w w:val="80"/>
        </w:rPr>
        <w:t>ꎮ</w:t>
      </w:r>
    </w:p>
    <w:p>
      <w:pPr>
        <w:pStyle w:val="6"/>
        <w:spacing w:line="295" w:lineRule="auto"/>
        <w:ind w:left="381" w:right="124"/>
        <w:rPr>
          <w:rFonts w:hint="eastAsia" w:ascii="MS UI Gothic" w:eastAsia="MS UI Gothic"/>
        </w:rPr>
      </w:pPr>
      <w:r>
        <w:t>第十二条 安全监管监察部门依法对存在重大事故隐患的生产经营单位作出停产停业</w:t>
      </w:r>
      <w:r>
        <w:rPr>
          <w:rFonts w:hint="eastAsia" w:ascii="MS UI Gothic" w:eastAsia="MS UI Gothic"/>
          <w:w w:val="80"/>
        </w:rPr>
        <w:t xml:space="preserve">、 </w:t>
      </w:r>
      <w:r>
        <w:t>停止施工</w:t>
      </w:r>
      <w:r>
        <w:rPr>
          <w:rFonts w:hint="eastAsia" w:ascii="MS UI Gothic" w:eastAsia="MS UI Gothic"/>
          <w:w w:val="80"/>
        </w:rPr>
        <w:t xml:space="preserve">、 </w:t>
      </w:r>
      <w:r>
        <w:t>停止使用相关设施</w:t>
      </w:r>
      <w:r>
        <w:rPr>
          <w:rFonts w:hint="eastAsia" w:ascii="MS UI Gothic" w:eastAsia="MS UI Gothic"/>
          <w:w w:val="80"/>
        </w:rPr>
        <w:t>、</w:t>
      </w:r>
      <w:r>
        <w:t>设备的决定</w:t>
      </w:r>
      <w:r>
        <w:rPr>
          <w:rFonts w:hint="eastAsia" w:ascii="MS UI Gothic" w:eastAsia="MS UI Gothic"/>
          <w:w w:val="80"/>
        </w:rPr>
        <w:t xml:space="preserve">ꎬ </w:t>
      </w:r>
      <w:r>
        <w:t>生产经营单位应当依法执行</w:t>
      </w:r>
      <w:r>
        <w:rPr>
          <w:rFonts w:hint="eastAsia" w:ascii="MS UI Gothic" w:eastAsia="MS UI Gothic"/>
          <w:w w:val="80"/>
        </w:rPr>
        <w:t xml:space="preserve">ꎬ </w:t>
      </w:r>
      <w:r>
        <w:t>及时消除事故隐患</w:t>
      </w:r>
      <w:r>
        <w:rPr>
          <w:rFonts w:hint="eastAsia" w:ascii="MS UI Gothic" w:eastAsia="MS UI Gothic"/>
          <w:w w:val="80"/>
        </w:rPr>
        <w:t xml:space="preserve">ꎮ </w:t>
      </w:r>
      <w:r>
        <w:t>生产经营单位拒不执行</w:t>
      </w:r>
      <w:r>
        <w:rPr>
          <w:rFonts w:hint="eastAsia" w:ascii="MS UI Gothic" w:eastAsia="MS UI Gothic"/>
          <w:w w:val="80"/>
        </w:rPr>
        <w:t xml:space="preserve">ꎬ </w:t>
      </w:r>
      <w:r>
        <w:t>有发生生产安全事故的现实危险的</w:t>
      </w:r>
      <w:r>
        <w:rPr>
          <w:rFonts w:hint="eastAsia" w:ascii="MS UI Gothic" w:eastAsia="MS UI Gothic"/>
          <w:w w:val="80"/>
        </w:rPr>
        <w:t xml:space="preserve">ꎬ </w:t>
      </w:r>
      <w:r>
        <w:t>在保证安全的前提下</w:t>
      </w:r>
      <w:r>
        <w:rPr>
          <w:rFonts w:hint="eastAsia" w:ascii="MS UI Gothic" w:eastAsia="MS UI Gothic"/>
          <w:w w:val="80"/>
        </w:rPr>
        <w:t xml:space="preserve">ꎬ </w:t>
      </w:r>
      <w:r>
        <w:t>经本部门主要负责人批准</w:t>
      </w:r>
      <w:r>
        <w:rPr>
          <w:rFonts w:hint="eastAsia" w:ascii="MS UI Gothic" w:eastAsia="MS UI Gothic"/>
          <w:w w:val="80"/>
        </w:rPr>
        <w:t xml:space="preserve">ꎬ </w:t>
      </w:r>
      <w:r>
        <w:t>安全监管监察部门可以采取通知有关单位停止供电</w:t>
      </w:r>
      <w:r>
        <w:rPr>
          <w:rFonts w:hint="eastAsia" w:ascii="MS UI Gothic" w:eastAsia="MS UI Gothic"/>
          <w:w w:val="80"/>
        </w:rPr>
        <w:t xml:space="preserve">、 </w:t>
      </w:r>
      <w:r>
        <w:t>停止供应民用爆炸物品等措施</w:t>
      </w:r>
      <w:r>
        <w:rPr>
          <w:rFonts w:hint="eastAsia" w:ascii="MS UI Gothic" w:eastAsia="MS UI Gothic"/>
          <w:w w:val="80"/>
        </w:rPr>
        <w:t xml:space="preserve">ꎬ </w:t>
      </w:r>
      <w:r>
        <w:t>强制生产经营单位履行决定</w:t>
      </w:r>
      <w:r>
        <w:rPr>
          <w:rFonts w:hint="eastAsia" w:ascii="MS UI Gothic" w:eastAsia="MS UI Gothic"/>
          <w:w w:val="80"/>
        </w:rPr>
        <w:t xml:space="preserve">ꎮ </w:t>
      </w:r>
      <w:r>
        <w:t>通知应当采用书面形式</w:t>
      </w:r>
      <w:r>
        <w:rPr>
          <w:rFonts w:hint="eastAsia" w:ascii="MS UI Gothic" w:eastAsia="MS UI Gothic"/>
          <w:w w:val="80"/>
        </w:rPr>
        <w:t xml:space="preserve">ꎬ </w:t>
      </w:r>
      <w:r>
        <w:t>有关单位应当予以配合</w:t>
      </w:r>
      <w:r>
        <w:rPr>
          <w:rFonts w:hint="eastAsia" w:ascii="MS UI Gothic" w:eastAsia="MS UI Gothic"/>
          <w:w w:val="80"/>
        </w:rPr>
        <w:t>ꎮ</w:t>
      </w:r>
    </w:p>
    <w:p>
      <w:pPr>
        <w:pStyle w:val="6"/>
        <w:spacing w:line="295" w:lineRule="auto"/>
        <w:ind w:left="381" w:right="126"/>
        <w:rPr>
          <w:rFonts w:hint="eastAsia" w:ascii="MS UI Gothic" w:eastAsia="MS UI Gothic"/>
        </w:rPr>
      </w:pPr>
      <w:r>
        <w:t>安全监管监察部门依照前款规定采取停止供电措施</w:t>
      </w:r>
      <w:r>
        <w:rPr>
          <w:rFonts w:hint="eastAsia" w:ascii="MS UI Gothic" w:eastAsia="MS UI Gothic"/>
          <w:w w:val="80"/>
        </w:rPr>
        <w:t xml:space="preserve">ꎬ </w:t>
      </w:r>
      <w:r>
        <w:t>除有危及生产安全的紧急情形外</w:t>
      </w:r>
      <w:r>
        <w:rPr>
          <w:rFonts w:hint="eastAsia" w:ascii="MS UI Gothic" w:eastAsia="MS UI Gothic"/>
          <w:w w:val="80"/>
        </w:rPr>
        <w:t xml:space="preserve">ꎬ </w:t>
      </w:r>
      <w:r>
        <w:t>应当提前二十四小时通知生产经营单位</w:t>
      </w:r>
      <w:r>
        <w:rPr>
          <w:rFonts w:hint="eastAsia" w:ascii="MS UI Gothic" w:eastAsia="MS UI Gothic"/>
          <w:w w:val="80"/>
        </w:rPr>
        <w:t xml:space="preserve">ꎮ </w:t>
      </w:r>
      <w:r>
        <w:t>生产经营单位依法履行行政决定</w:t>
      </w:r>
      <w:r>
        <w:rPr>
          <w:rFonts w:hint="eastAsia" w:ascii="MS UI Gothic" w:eastAsia="MS UI Gothic"/>
          <w:w w:val="80"/>
        </w:rPr>
        <w:t xml:space="preserve">、 </w:t>
      </w:r>
      <w:r>
        <w:t>采取相应措施消除事故隐患的</w:t>
      </w:r>
      <w:r>
        <w:rPr>
          <w:rFonts w:hint="eastAsia" w:ascii="MS UI Gothic" w:eastAsia="MS UI Gothic"/>
          <w:w w:val="80"/>
        </w:rPr>
        <w:t xml:space="preserve">ꎬ </w:t>
      </w:r>
      <w:r>
        <w:t>安全监管监察部门应当及时解除前款规定的措施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１４４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75" o:spid="_x0000_s1475" o:spt="203" style="height:2.15pt;width:398.25pt;" coordsize="7965,43">
            <o:lock v:ext="edit"/>
            <v:line id="_x0000_s1476" o:spid="_x0000_s1476" o:spt="20" style="position:absolute;left:0;top:39;height:0;width:7965;" stroked="t" coordsize="21600,21600">
              <v:path arrowok="t"/>
              <v:fill focussize="0,0"/>
              <v:stroke weight="0.388031496062992pt" color="#231F20"/>
              <v:imagedata o:title=""/>
              <o:lock v:ext="edit"/>
            </v:line>
            <v:line id="_x0000_s1477" o:spid="_x0000_s147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spacing w:val="2"/>
          <w:w w:val="105"/>
        </w:rPr>
        <w:t>第十三条 安全监管监察部门在监督</w:t>
      </w:r>
      <w:r>
        <w:rPr>
          <w:spacing w:val="3"/>
        </w:rPr>
        <w:t>检查中</w:t>
      </w:r>
      <w:r>
        <w:rPr>
          <w:rFonts w:hint="eastAsia" w:ascii="MS UI Gothic" w:eastAsia="MS UI Gothic"/>
          <w:spacing w:val="21"/>
          <w:w w:val="80"/>
        </w:rPr>
        <w:t xml:space="preserve">ꎬ </w:t>
      </w:r>
      <w:r>
        <w:rPr>
          <w:spacing w:val="2"/>
        </w:rPr>
        <w:t>发现生产经营单位存在的安全问</w:t>
      </w:r>
      <w:r>
        <w:rPr>
          <w:spacing w:val="11"/>
        </w:rPr>
        <w:t>题涉及有关地方人民政府或其有关部门</w:t>
      </w:r>
      <w:r>
        <w:rPr>
          <w:spacing w:val="3"/>
        </w:rPr>
        <w:t>的</w:t>
      </w:r>
      <w:r>
        <w:rPr>
          <w:rFonts w:hint="eastAsia" w:ascii="MS UI Gothic" w:eastAsia="MS UI Gothic"/>
          <w:spacing w:val="21"/>
          <w:w w:val="80"/>
        </w:rPr>
        <w:t xml:space="preserve">ꎬ </w:t>
      </w:r>
      <w:r>
        <w:rPr>
          <w:spacing w:val="2"/>
        </w:rPr>
        <w:t>应当及时向有关地方人民政府报告或</w:t>
      </w:r>
      <w:r>
        <w:rPr>
          <w:spacing w:val="3"/>
          <w:w w:val="105"/>
        </w:rPr>
        <w:t>其有关部门通报</w:t>
      </w:r>
      <w:r>
        <w:rPr>
          <w:rFonts w:hint="eastAsia" w:ascii="MS UI Gothic" w:eastAsia="MS UI Gothic"/>
          <w:w w:val="80"/>
        </w:rPr>
        <w:t>ꎮ</w:t>
      </w:r>
    </w:p>
    <w:p>
      <w:pPr>
        <w:pStyle w:val="6"/>
        <w:spacing w:line="295" w:lineRule="auto"/>
        <w:ind w:right="39"/>
        <w:rPr>
          <w:rFonts w:hint="eastAsia" w:ascii="MS UI Gothic" w:eastAsia="MS UI Gothic"/>
        </w:rPr>
      </w:pPr>
      <w:r>
        <w:rPr>
          <w:spacing w:val="4"/>
        </w:rPr>
        <w:t>第十四条 安全监管监察部门应当严</w:t>
      </w:r>
      <w:r>
        <w:rPr>
          <w:spacing w:val="3"/>
        </w:rPr>
        <w:t>格依照法律</w:t>
      </w:r>
      <w:r>
        <w:rPr>
          <w:rFonts w:hint="eastAsia" w:ascii="MS UI Gothic" w:eastAsia="MS UI Gothic"/>
          <w:spacing w:val="19"/>
          <w:w w:val="80"/>
        </w:rPr>
        <w:t xml:space="preserve">、 </w:t>
      </w:r>
      <w:r>
        <w:rPr>
          <w:spacing w:val="2"/>
        </w:rPr>
        <w:t>法规和规章规定的行政处罚</w:t>
      </w:r>
      <w:r>
        <w:rPr>
          <w:spacing w:val="3"/>
        </w:rPr>
        <w:t>的行为</w:t>
      </w:r>
      <w:r>
        <w:rPr>
          <w:rFonts w:hint="eastAsia" w:ascii="MS UI Gothic" w:eastAsia="MS UI Gothic"/>
          <w:spacing w:val="7"/>
          <w:w w:val="80"/>
        </w:rPr>
        <w:t xml:space="preserve">、 </w:t>
      </w:r>
      <w:r>
        <w:rPr>
          <w:spacing w:val="3"/>
        </w:rPr>
        <w:t>种类</w:t>
      </w:r>
      <w:r>
        <w:rPr>
          <w:rFonts w:hint="eastAsia" w:ascii="MS UI Gothic" w:eastAsia="MS UI Gothic"/>
          <w:spacing w:val="7"/>
          <w:w w:val="80"/>
        </w:rPr>
        <w:t xml:space="preserve">、 </w:t>
      </w:r>
      <w:r>
        <w:rPr>
          <w:spacing w:val="3"/>
        </w:rPr>
        <w:t>幅度和程序</w:t>
      </w:r>
      <w:r>
        <w:rPr>
          <w:rFonts w:hint="eastAsia" w:ascii="MS UI Gothic" w:eastAsia="MS UI Gothic"/>
          <w:spacing w:val="7"/>
          <w:w w:val="80"/>
        </w:rPr>
        <w:t xml:space="preserve">ꎬ </w:t>
      </w:r>
      <w:r>
        <w:rPr>
          <w:spacing w:val="2"/>
        </w:rPr>
        <w:t>按照各自的</w:t>
      </w:r>
      <w:r>
        <w:rPr>
          <w:spacing w:val="3"/>
        </w:rPr>
        <w:t>管辖权限</w:t>
      </w:r>
      <w:r>
        <w:rPr>
          <w:rFonts w:hint="eastAsia" w:ascii="MS UI Gothic" w:eastAsia="MS UI Gothic"/>
          <w:spacing w:val="21"/>
          <w:w w:val="80"/>
        </w:rPr>
        <w:t xml:space="preserve">ꎬ </w:t>
      </w:r>
      <w:r>
        <w:rPr>
          <w:spacing w:val="2"/>
        </w:rPr>
        <w:t>对监督检查中发现的生产经营</w:t>
      </w:r>
      <w:r>
        <w:rPr>
          <w:spacing w:val="3"/>
        </w:rPr>
        <w:t>单位及有关人员的安全生产非法</w:t>
      </w:r>
      <w:r>
        <w:rPr>
          <w:rFonts w:hint="eastAsia" w:ascii="MS UI Gothic" w:eastAsia="MS UI Gothic"/>
          <w:spacing w:val="19"/>
          <w:w w:val="80"/>
        </w:rPr>
        <w:t xml:space="preserve">、 </w:t>
      </w:r>
      <w:r>
        <w:rPr>
          <w:spacing w:val="2"/>
        </w:rPr>
        <w:t>违法行</w:t>
      </w:r>
      <w:r>
        <w:rPr>
          <w:spacing w:val="3"/>
        </w:rPr>
        <w:t>为实施行政处罚</w:t>
      </w:r>
      <w:r>
        <w:rPr>
          <w:rFonts w:hint="eastAsia" w:ascii="MS UI Gothic" w:eastAsia="MS UI Gothic"/>
          <w:w w:val="80"/>
        </w:rPr>
        <w:t>ꎮ</w:t>
      </w:r>
    </w:p>
    <w:p>
      <w:pPr>
        <w:pStyle w:val="6"/>
        <w:spacing w:line="295" w:lineRule="auto"/>
        <w:ind w:right="39"/>
        <w:rPr>
          <w:rFonts w:hint="eastAsia" w:ascii="MS UI Gothic" w:eastAsia="MS UI Gothic"/>
        </w:rPr>
      </w:pPr>
      <w:r>
        <w:t>对到期不缴纳罚款的</w:t>
      </w:r>
      <w:r>
        <w:rPr>
          <w:rFonts w:hint="eastAsia" w:ascii="MS UI Gothic" w:eastAsia="MS UI Gothic"/>
          <w:w w:val="80"/>
        </w:rPr>
        <w:t xml:space="preserve">ꎬ </w:t>
      </w:r>
      <w:r>
        <w:t>安全监管监察部门可以每日按罚款数额的百分之三加处罚款</w:t>
      </w:r>
      <w:r>
        <w:rPr>
          <w:rFonts w:hint="eastAsia" w:ascii="MS UI Gothic" w:eastAsia="MS UI Gothic"/>
          <w:w w:val="80"/>
        </w:rPr>
        <w:t>ꎮ</w:t>
      </w:r>
    </w:p>
    <w:p>
      <w:pPr>
        <w:pStyle w:val="6"/>
        <w:spacing w:line="295" w:lineRule="auto"/>
        <w:ind w:right="39"/>
        <w:rPr>
          <w:rFonts w:hint="eastAsia" w:ascii="MS UI Gothic" w:eastAsia="MS UI Gothic"/>
        </w:rPr>
      </w:pPr>
      <w:r>
        <w:t>生产经营单位拒不执行安全监管监察部门行政处罚决定的</w:t>
      </w:r>
      <w:r>
        <w:rPr>
          <w:rFonts w:hint="eastAsia" w:ascii="MS UI Gothic" w:eastAsia="MS UI Gothic"/>
          <w:w w:val="80"/>
        </w:rPr>
        <w:t xml:space="preserve">ꎬ </w:t>
      </w:r>
      <w:r>
        <w:t>作出行政处罚决定的安全监管监察部门可以依法申请人民法院强制执行</w:t>
      </w:r>
      <w:r>
        <w:rPr>
          <w:rFonts w:hint="eastAsia" w:ascii="MS UI Gothic" w:eastAsia="MS UI Gothic"/>
          <w:w w:val="80"/>
        </w:rPr>
        <w:t xml:space="preserve">ꎻ </w:t>
      </w:r>
      <w:r>
        <w:t>拒不执行处罚决定可能导致生产安全事故的</w:t>
      </w:r>
      <w:r>
        <w:rPr>
          <w:rFonts w:hint="eastAsia" w:ascii="MS UI Gothic" w:eastAsia="MS UI Gothic"/>
          <w:w w:val="80"/>
        </w:rPr>
        <w:t xml:space="preserve">ꎬ </w:t>
      </w:r>
      <w:r>
        <w:t>应当及时向有关地方人</w:t>
      </w:r>
      <w:r>
        <w:rPr>
          <w:w w:val="105"/>
        </w:rPr>
        <w:t>民政府报告或其有关部门通报</w:t>
      </w:r>
      <w:r>
        <w:rPr>
          <w:rFonts w:hint="eastAsia" w:ascii="MS UI Gothic" w:eastAsia="MS UI Gothic"/>
          <w:w w:val="80"/>
        </w:rPr>
        <w:t>ꎮ</w:t>
      </w:r>
    </w:p>
    <w:p>
      <w:pPr>
        <w:pStyle w:val="6"/>
        <w:spacing w:line="295" w:lineRule="auto"/>
        <w:ind w:right="38"/>
        <w:rPr>
          <w:rFonts w:hint="eastAsia" w:ascii="MS UI Gothic" w:eastAsia="MS UI Gothic"/>
        </w:rPr>
      </w:pPr>
      <w:r>
        <w:t>第十五条 安全监管监察部门对生产经营单位及其从业人员作出现场处理措施</w:t>
      </w:r>
      <w:r>
        <w:rPr>
          <w:rFonts w:hint="eastAsia" w:ascii="MS UI Gothic" w:eastAsia="MS UI Gothic"/>
          <w:w w:val="80"/>
        </w:rPr>
        <w:t xml:space="preserve">、 </w:t>
      </w:r>
      <w:r>
        <w:t>行政强制措施和行政处罚决定等行政执法行为前</w:t>
      </w:r>
      <w:r>
        <w:rPr>
          <w:rFonts w:hint="eastAsia" w:ascii="MS UI Gothic" w:eastAsia="MS UI Gothic"/>
          <w:w w:val="80"/>
        </w:rPr>
        <w:t xml:space="preserve">ꎬ </w:t>
      </w:r>
      <w:r>
        <w:t>应当充分听取当事人的陈述</w:t>
      </w:r>
      <w:r>
        <w:rPr>
          <w:rFonts w:hint="eastAsia" w:ascii="MS UI Gothic" w:eastAsia="MS UI Gothic"/>
          <w:w w:val="80"/>
        </w:rPr>
        <w:t xml:space="preserve">、 </w:t>
      </w:r>
      <w:r>
        <w:t>申辩</w:t>
      </w:r>
      <w:r>
        <w:rPr>
          <w:rFonts w:hint="eastAsia" w:ascii="MS UI Gothic" w:eastAsia="MS UI Gothic"/>
          <w:w w:val="80"/>
        </w:rPr>
        <w:t xml:space="preserve">ꎬ </w:t>
      </w:r>
      <w:r>
        <w:t>对其提出的事实</w:t>
      </w:r>
      <w:r>
        <w:rPr>
          <w:rFonts w:hint="eastAsia" w:ascii="MS UI Gothic" w:eastAsia="MS UI Gothic"/>
          <w:w w:val="80"/>
        </w:rPr>
        <w:t xml:space="preserve">、 </w:t>
      </w:r>
      <w:r>
        <w:t>理由和证据</w:t>
      </w:r>
      <w:r>
        <w:rPr>
          <w:rFonts w:hint="eastAsia" w:ascii="MS UI Gothic" w:eastAsia="MS UI Gothic"/>
          <w:w w:val="80"/>
        </w:rPr>
        <w:t xml:space="preserve">ꎬ </w:t>
      </w:r>
      <w:r>
        <w:t>应当进行复核</w:t>
      </w:r>
      <w:r>
        <w:rPr>
          <w:rFonts w:hint="eastAsia" w:ascii="MS UI Gothic" w:eastAsia="MS UI Gothic"/>
          <w:w w:val="80"/>
        </w:rPr>
        <w:t xml:space="preserve">ꎮ </w:t>
      </w:r>
      <w:r>
        <w:t>当事人提出的事实</w:t>
      </w:r>
      <w:r>
        <w:rPr>
          <w:rFonts w:hint="eastAsia" w:ascii="MS UI Gothic" w:eastAsia="MS UI Gothic"/>
          <w:w w:val="80"/>
        </w:rPr>
        <w:t>、</w:t>
      </w:r>
      <w:r>
        <w:t>理由和证据成立的</w:t>
      </w:r>
      <w:r>
        <w:rPr>
          <w:rFonts w:hint="eastAsia" w:ascii="MS UI Gothic" w:eastAsia="MS UI Gothic"/>
          <w:w w:val="80"/>
        </w:rPr>
        <w:t xml:space="preserve">ꎬ </w:t>
      </w:r>
      <w:r>
        <w:t>应当予以采纳</w:t>
      </w:r>
      <w:r>
        <w:rPr>
          <w:rFonts w:hint="eastAsia" w:ascii="MS UI Gothic" w:eastAsia="MS UI Gothic"/>
          <w:w w:val="80"/>
        </w:rPr>
        <w:t>ꎮ</w:t>
      </w:r>
    </w:p>
    <w:p>
      <w:pPr>
        <w:pStyle w:val="6"/>
        <w:spacing w:line="295" w:lineRule="auto"/>
        <w:ind w:right="38"/>
        <w:rPr>
          <w:rFonts w:hint="eastAsia" w:ascii="MS UI Gothic" w:eastAsia="MS UI Gothic"/>
        </w:rPr>
      </w:pPr>
      <w:r>
        <w:t>安全监管监察部门对生产经营单位及</w:t>
      </w:r>
      <w:r>
        <w:rPr>
          <w:w w:val="105"/>
        </w:rPr>
        <w:t>其从业人员作出现场处理措施</w:t>
      </w:r>
      <w:r>
        <w:rPr>
          <w:rFonts w:hint="eastAsia" w:ascii="MS UI Gothic" w:eastAsia="MS UI Gothic"/>
          <w:w w:val="80"/>
        </w:rPr>
        <w:t xml:space="preserve">、 </w:t>
      </w:r>
      <w:r>
        <w:rPr>
          <w:w w:val="105"/>
        </w:rPr>
        <w:t>行政强制</w:t>
      </w:r>
      <w:r>
        <w:t>措施和行政处罚决定等行政执法行为时</w:t>
      </w:r>
      <w:r>
        <w:rPr>
          <w:rFonts w:hint="eastAsia" w:ascii="MS UI Gothic" w:eastAsia="MS UI Gothic"/>
          <w:w w:val="80"/>
        </w:rPr>
        <w:t>ꎬ</w:t>
      </w:r>
      <w:r>
        <w:t>应当依法制作有关法律文书</w:t>
      </w:r>
      <w:r>
        <w:rPr>
          <w:rFonts w:hint="eastAsia" w:ascii="MS UI Gothic" w:eastAsia="MS UI Gothic"/>
          <w:w w:val="80"/>
        </w:rPr>
        <w:t xml:space="preserve">ꎬ </w:t>
      </w:r>
      <w:r>
        <w:t>并按照规定</w:t>
      </w:r>
      <w:r>
        <w:rPr>
          <w:w w:val="105"/>
        </w:rPr>
        <w:t>送达当事人</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第十六条 安全监管监察部门应当依</w:t>
      </w:r>
      <w:r>
        <w:t>法履行下列生产安全事故报告和调查处理</w:t>
      </w:r>
      <w:r>
        <w:rPr>
          <w:w w:val="110"/>
        </w:rPr>
        <w:t>职责</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建立值班制度</w:t>
      </w:r>
      <w:r>
        <w:rPr>
          <w:rFonts w:hint="eastAsia" w:ascii="MS UI Gothic" w:eastAsia="MS UI Gothic"/>
          <w:w w:val="80"/>
        </w:rPr>
        <w:t xml:space="preserve">ꎬ </w:t>
      </w:r>
      <w:r>
        <w:rPr>
          <w:w w:val="105"/>
        </w:rPr>
        <w:t>并向社会公布值班电话</w:t>
      </w:r>
      <w:r>
        <w:rPr>
          <w:rFonts w:hint="eastAsia" w:ascii="MS UI Gothic" w:eastAsia="MS UI Gothic"/>
          <w:w w:val="80"/>
        </w:rPr>
        <w:t xml:space="preserve">ꎬ </w:t>
      </w:r>
      <w:r>
        <w:rPr>
          <w:w w:val="105"/>
        </w:rPr>
        <w:t>受理事故报告和举报</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按照法定的时限</w:t>
      </w:r>
      <w:r>
        <w:rPr>
          <w:rFonts w:hint="eastAsia" w:ascii="MS UI Gothic" w:eastAsia="MS UI Gothic"/>
          <w:w w:val="80"/>
        </w:rPr>
        <w:t xml:space="preserve">、  </w:t>
      </w:r>
      <w:r>
        <w:rPr>
          <w:w w:val="105"/>
        </w:rPr>
        <w:t>内容和程序逐级上报和补报事故</w:t>
      </w:r>
      <w:r>
        <w:rPr>
          <w:rFonts w:hint="eastAsia" w:ascii="MS UI Gothic" w:eastAsia="MS UI Gothic"/>
          <w:w w:val="80"/>
        </w:rPr>
        <w:t>ꎻ</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接到事故报告后</w:t>
      </w:r>
      <w:r>
        <w:rPr>
          <w:rFonts w:hint="eastAsia" w:ascii="MS UI Gothic" w:eastAsia="MS UI Gothic"/>
          <w:w w:val="80"/>
        </w:rPr>
        <w:t xml:space="preserve">ꎬ </w:t>
      </w:r>
      <w:r>
        <w:rPr>
          <w:w w:val="105"/>
        </w:rPr>
        <w:t>按照规定派</w:t>
      </w:r>
      <w:r>
        <w:t>人立即赶赴事故现场</w:t>
      </w:r>
      <w:r>
        <w:rPr>
          <w:rFonts w:hint="eastAsia" w:ascii="MS UI Gothic" w:eastAsia="MS UI Gothic"/>
          <w:w w:val="80"/>
        </w:rPr>
        <w:t xml:space="preserve">ꎬ </w:t>
      </w:r>
      <w:r>
        <w:t>组织或者指导协调</w:t>
      </w:r>
      <w:r>
        <w:rPr>
          <w:w w:val="105"/>
        </w:rPr>
        <w:t>事故救援</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按照规定组织或者参加事故调</w:t>
      </w:r>
      <w:r>
        <w:rPr>
          <w:w w:val="110"/>
        </w:rPr>
        <w:t>查处理</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对事故发生单位落实事故防范和整改措施的情况进行监督检查</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依法对事故责任单位和有关责</w:t>
      </w:r>
      <w:r>
        <w:rPr>
          <w:w w:val="110"/>
        </w:rPr>
        <w:t>任人员实施行政处罚</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依法应当履行的其他职责</w:t>
      </w:r>
      <w:r>
        <w:rPr>
          <w:rFonts w:hint="eastAsia" w:ascii="MS UI Gothic" w:eastAsia="MS UI Gothic"/>
          <w:w w:val="80"/>
        </w:rPr>
        <w:t>ꎮ</w:t>
      </w:r>
    </w:p>
    <w:p>
      <w:pPr>
        <w:pStyle w:val="6"/>
        <w:spacing w:before="53" w:line="295" w:lineRule="auto"/>
        <w:ind w:right="442"/>
        <w:rPr>
          <w:rFonts w:hint="eastAsia" w:ascii="MS UI Gothic" w:eastAsia="MS UI Gothic"/>
        </w:rPr>
      </w:pPr>
      <w:r>
        <w:t>第十七条 安全监管监察部门应当依法受理</w:t>
      </w:r>
      <w:r>
        <w:rPr>
          <w:rFonts w:hint="eastAsia" w:ascii="MS UI Gothic" w:eastAsia="MS UI Gothic"/>
          <w:w w:val="80"/>
        </w:rPr>
        <w:t xml:space="preserve">、 </w:t>
      </w:r>
      <w:r>
        <w:t>调查和处理本部门法定职责范围内的举报事项</w:t>
      </w:r>
      <w:r>
        <w:rPr>
          <w:rFonts w:hint="eastAsia" w:ascii="MS UI Gothic" w:eastAsia="MS UI Gothic"/>
          <w:w w:val="80"/>
        </w:rPr>
        <w:t xml:space="preserve">ꎬ </w:t>
      </w:r>
      <w:r>
        <w:t>并形成书面材料</w:t>
      </w:r>
      <w:r>
        <w:rPr>
          <w:rFonts w:hint="eastAsia" w:ascii="MS UI Gothic" w:eastAsia="MS UI Gothic"/>
          <w:w w:val="80"/>
        </w:rPr>
        <w:t xml:space="preserve">ꎮ </w:t>
      </w:r>
      <w:r>
        <w:t>调查处理情况应当答复举报人</w:t>
      </w:r>
      <w:r>
        <w:rPr>
          <w:rFonts w:hint="eastAsia" w:ascii="MS UI Gothic" w:eastAsia="MS UI Gothic"/>
          <w:w w:val="80"/>
        </w:rPr>
        <w:t xml:space="preserve">ꎬ </w:t>
      </w:r>
      <w:r>
        <w:t>但举报人的姓名</w:t>
      </w:r>
      <w:r>
        <w:rPr>
          <w:rFonts w:hint="eastAsia" w:ascii="MS UI Gothic" w:eastAsia="MS UI Gothic"/>
          <w:w w:val="80"/>
        </w:rPr>
        <w:t xml:space="preserve">、 </w:t>
      </w:r>
      <w:r>
        <w:t>名称</w:t>
      </w:r>
      <w:r>
        <w:rPr>
          <w:rFonts w:hint="eastAsia" w:ascii="MS UI Gothic" w:eastAsia="MS UI Gothic"/>
          <w:w w:val="80"/>
        </w:rPr>
        <w:t xml:space="preserve">、 </w:t>
      </w:r>
      <w:r>
        <w:t>住址不清的除外</w:t>
      </w:r>
      <w:r>
        <w:rPr>
          <w:rFonts w:hint="eastAsia" w:ascii="MS UI Gothic" w:eastAsia="MS UI Gothic"/>
          <w:w w:val="80"/>
        </w:rPr>
        <w:t xml:space="preserve">ꎮ </w:t>
      </w:r>
      <w:r>
        <w:t>对不属于本部门职责范围的举报事项</w:t>
      </w:r>
      <w:r>
        <w:rPr>
          <w:rFonts w:hint="eastAsia" w:ascii="MS UI Gothic" w:eastAsia="MS UI Gothic"/>
          <w:w w:val="80"/>
        </w:rPr>
        <w:t xml:space="preserve">ꎬ </w:t>
      </w:r>
      <w:r>
        <w:t>应当依法予以登记</w:t>
      </w:r>
      <w:r>
        <w:rPr>
          <w:rFonts w:hint="eastAsia" w:ascii="MS UI Gothic" w:eastAsia="MS UI Gothic"/>
          <w:w w:val="80"/>
        </w:rPr>
        <w:t xml:space="preserve">ꎬ </w:t>
      </w:r>
      <w:r>
        <w:t>并告知举报人向有权机关提出</w:t>
      </w:r>
      <w:r>
        <w:rPr>
          <w:rFonts w:hint="eastAsia" w:ascii="MS UI Gothic" w:eastAsia="MS UI Gothic"/>
          <w:w w:val="80"/>
        </w:rPr>
        <w:t>ꎮ</w:t>
      </w:r>
    </w:p>
    <w:p>
      <w:pPr>
        <w:pStyle w:val="6"/>
        <w:spacing w:line="295" w:lineRule="auto"/>
        <w:ind w:right="442"/>
        <w:rPr>
          <w:rFonts w:hint="eastAsia" w:ascii="MS UI Gothic" w:eastAsia="MS UI Gothic"/>
        </w:rPr>
      </w:pPr>
      <w:r>
        <w:t>第十八条 安全监管监察部门应当依法受理行政复议申请</w:t>
      </w:r>
      <w:r>
        <w:rPr>
          <w:rFonts w:hint="eastAsia" w:ascii="MS UI Gothic" w:eastAsia="MS UI Gothic"/>
          <w:w w:val="80"/>
        </w:rPr>
        <w:t xml:space="preserve">ꎬ </w:t>
      </w:r>
      <w:r>
        <w:t>审理行政复议案件</w:t>
      </w:r>
      <w:r>
        <w:rPr>
          <w:rFonts w:hint="eastAsia" w:ascii="MS UI Gothic" w:eastAsia="MS UI Gothic"/>
          <w:w w:val="80"/>
        </w:rPr>
        <w:t xml:space="preserve">ꎬ </w:t>
      </w:r>
      <w:r>
        <w:t>并作出处理或者决定</w:t>
      </w:r>
      <w:r>
        <w:rPr>
          <w:rFonts w:hint="eastAsia" w:ascii="MS UI Gothic" w:eastAsia="MS UI Gothic"/>
          <w:w w:val="80"/>
        </w:rPr>
        <w:t>ꎮ</w:t>
      </w:r>
    </w:p>
    <w:p>
      <w:pPr>
        <w:pStyle w:val="6"/>
        <w:tabs>
          <w:tab w:val="left" w:pos="1591"/>
        </w:tabs>
        <w:spacing w:before="149" w:line="295" w:lineRule="auto"/>
        <w:ind w:left="1277" w:right="1071" w:hanging="524"/>
        <w:jc w:val="left"/>
      </w:pPr>
      <w:r>
        <w:rPr>
          <w:spacing w:val="3"/>
          <w:w w:val="105"/>
        </w:rPr>
        <w:t>第三</w:t>
      </w:r>
      <w:r>
        <w:rPr>
          <w:w w:val="105"/>
        </w:rPr>
        <w:t>章</w:t>
      </w:r>
      <w:r>
        <w:rPr>
          <w:w w:val="105"/>
        </w:rPr>
        <w:tab/>
      </w:r>
      <w:r>
        <w:rPr>
          <w:spacing w:val="3"/>
        </w:rPr>
        <w:t>责任追究的范围</w:t>
      </w:r>
      <w:r>
        <w:rPr>
          <w:spacing w:val="-11"/>
        </w:rPr>
        <w:t>与</w:t>
      </w:r>
      <w:r>
        <w:rPr>
          <w:spacing w:val="3"/>
          <w:w w:val="105"/>
        </w:rPr>
        <w:t>承担责任的主</w:t>
      </w:r>
      <w:r>
        <w:rPr>
          <w:w w:val="105"/>
        </w:rPr>
        <w:t>体</w:t>
      </w:r>
    </w:p>
    <w:p>
      <w:pPr>
        <w:pStyle w:val="6"/>
        <w:spacing w:before="156" w:line="295" w:lineRule="auto"/>
        <w:ind w:right="442"/>
        <w:rPr>
          <w:rFonts w:hint="eastAsia" w:ascii="MS UI Gothic" w:eastAsia="MS UI Gothic"/>
        </w:rPr>
      </w:pPr>
      <w:r>
        <w:rPr>
          <w:w w:val="105"/>
        </w:rPr>
        <w:t>第十九条 安全监管监察部门及其内设机构</w:t>
      </w:r>
      <w:r>
        <w:rPr>
          <w:rFonts w:hint="eastAsia" w:ascii="MS UI Gothic" w:eastAsia="MS UI Gothic"/>
          <w:w w:val="80"/>
        </w:rPr>
        <w:t xml:space="preserve">、 </w:t>
      </w:r>
      <w:r>
        <w:rPr>
          <w:w w:val="105"/>
        </w:rPr>
        <w:t>行政执法人员履行本规定第二章</w:t>
      </w:r>
      <w:r>
        <w:t>规定的行政执法职责</w:t>
      </w:r>
      <w:r>
        <w:rPr>
          <w:rFonts w:hint="eastAsia" w:ascii="MS UI Gothic" w:eastAsia="MS UI Gothic"/>
          <w:w w:val="80"/>
        </w:rPr>
        <w:t xml:space="preserve">ꎬ </w:t>
      </w:r>
      <w:r>
        <w:t>有下列违法或者不当的情形之一</w:t>
      </w:r>
      <w:r>
        <w:rPr>
          <w:rFonts w:hint="eastAsia" w:ascii="MS UI Gothic" w:eastAsia="MS UI Gothic"/>
          <w:w w:val="80"/>
        </w:rPr>
        <w:t xml:space="preserve">ꎬ </w:t>
      </w:r>
      <w:r>
        <w:t>致使行政执法行为被撤</w:t>
      </w:r>
      <w:r>
        <w:rPr>
          <w:w w:val="105"/>
        </w:rPr>
        <w:t>销</w:t>
      </w:r>
      <w:r>
        <w:rPr>
          <w:rFonts w:hint="eastAsia" w:ascii="MS UI Gothic" w:eastAsia="MS UI Gothic"/>
          <w:w w:val="80"/>
        </w:rPr>
        <w:t xml:space="preserve">、 </w:t>
      </w:r>
      <w:r>
        <w:rPr>
          <w:w w:val="105"/>
        </w:rPr>
        <w:t>变更</w:t>
      </w:r>
      <w:r>
        <w:rPr>
          <w:rFonts w:hint="eastAsia" w:ascii="MS UI Gothic" w:eastAsia="MS UI Gothic"/>
          <w:w w:val="80"/>
        </w:rPr>
        <w:t xml:space="preserve">、 </w:t>
      </w:r>
      <w:r>
        <w:rPr>
          <w:w w:val="105"/>
        </w:rPr>
        <w:t>确认违法</w:t>
      </w:r>
      <w:r>
        <w:rPr>
          <w:rFonts w:hint="eastAsia" w:ascii="MS UI Gothic" w:eastAsia="MS UI Gothic"/>
          <w:w w:val="80"/>
        </w:rPr>
        <w:t xml:space="preserve">ꎬ </w:t>
      </w:r>
      <w:r>
        <w:rPr>
          <w:w w:val="105"/>
        </w:rPr>
        <w:t>或者被责令履行法定职责</w:t>
      </w:r>
      <w:r>
        <w:rPr>
          <w:rFonts w:hint="eastAsia" w:ascii="MS UI Gothic" w:eastAsia="MS UI Gothic"/>
          <w:w w:val="80"/>
        </w:rPr>
        <w:t xml:space="preserve">、 </w:t>
      </w:r>
      <w:r>
        <w:rPr>
          <w:w w:val="105"/>
        </w:rPr>
        <w:t>承担行政赔偿责任的</w:t>
      </w:r>
      <w:r>
        <w:rPr>
          <w:rFonts w:hint="eastAsia" w:ascii="MS UI Gothic" w:eastAsia="MS UI Gothic"/>
          <w:w w:val="80"/>
        </w:rPr>
        <w:t xml:space="preserve">ꎬ </w:t>
      </w:r>
      <w:r>
        <w:rPr>
          <w:w w:val="105"/>
        </w:rPr>
        <w:t>应当实施责任追究</w:t>
      </w:r>
      <w:r>
        <w:rPr>
          <w:rFonts w:hint="eastAsia" w:ascii="MS UI Gothic" w:eastAsia="MS UI Gothic"/>
          <w:w w:val="235"/>
        </w:rPr>
        <w:t>:</w:t>
      </w:r>
    </w:p>
    <w:p>
      <w:pPr>
        <w:pStyle w:val="6"/>
        <w:spacing w:line="251"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超越</w:t>
      </w:r>
      <w:r>
        <w:rPr>
          <w:rFonts w:hint="eastAsia" w:ascii="MS UI Gothic" w:eastAsia="MS UI Gothic"/>
          <w:w w:val="80"/>
        </w:rPr>
        <w:t xml:space="preserve">、 </w:t>
      </w:r>
      <w:r>
        <w:rPr>
          <w:w w:val="110"/>
        </w:rPr>
        <w:t>滥用法定职权的</w:t>
      </w:r>
      <w:r>
        <w:rPr>
          <w:rFonts w:hint="eastAsia" w:ascii="MS UI Gothic" w:eastAsia="MS UI Gothic"/>
          <w:w w:val="80"/>
        </w:rPr>
        <w:t>ꎻ</w:t>
      </w:r>
    </w:p>
    <w:p>
      <w:pPr>
        <w:pStyle w:val="6"/>
        <w:spacing w:before="58" w:line="295" w:lineRule="auto"/>
        <w:ind w:left="543" w:right="611" w:firstLine="0"/>
        <w:jc w:val="left"/>
        <w:rPr>
          <w:rFonts w:hint="eastAsia" w:ascii="MS UI Gothic" w:eastAsia="MS UI Gothic"/>
        </w:rPr>
      </w:pPr>
      <w:r>
        <w:rPr>
          <w:rFonts w:hint="eastAsia" w:ascii="MS UI Gothic" w:eastAsia="MS UI Gothic"/>
          <w:spacing w:val="-37"/>
          <w:w w:val="130"/>
        </w:rPr>
        <w:t xml:space="preserve">( </w:t>
      </w:r>
      <w:r>
        <w:rPr>
          <w:spacing w:val="3"/>
          <w:w w:val="110"/>
        </w:rPr>
        <w:t>二</w:t>
      </w:r>
      <w:r>
        <w:rPr>
          <w:rFonts w:hint="eastAsia" w:ascii="MS UI Gothic" w:eastAsia="MS UI Gothic"/>
          <w:spacing w:val="-19"/>
          <w:w w:val="130"/>
        </w:rPr>
        <w:t xml:space="preserve">) </w:t>
      </w:r>
      <w:r>
        <w:rPr>
          <w:spacing w:val="3"/>
          <w:w w:val="110"/>
        </w:rPr>
        <w:t>主要事实不清</w:t>
      </w:r>
      <w:r>
        <w:rPr>
          <w:rFonts w:hint="eastAsia" w:ascii="MS UI Gothic" w:eastAsia="MS UI Gothic"/>
          <w:spacing w:val="-7"/>
          <w:w w:val="80"/>
        </w:rPr>
        <w:t xml:space="preserve">、 </w:t>
      </w:r>
      <w:r>
        <w:rPr>
          <w:spacing w:val="3"/>
          <w:w w:val="110"/>
        </w:rPr>
        <w:t>证据不足的</w:t>
      </w:r>
      <w:r>
        <w:rPr>
          <w:rFonts w:hint="eastAsia" w:ascii="MS UI Gothic" w:eastAsia="MS UI Gothic"/>
          <w:w w:val="80"/>
        </w:rPr>
        <w:t>ꎻ</w:t>
      </w:r>
      <w:r>
        <w:rPr>
          <w:rFonts w:hint="eastAsia" w:ascii="MS UI Gothic" w:eastAsia="MS UI Gothic"/>
          <w:spacing w:val="-37"/>
          <w:w w:val="150"/>
        </w:rPr>
        <w:t xml:space="preserve">( </w:t>
      </w:r>
      <w:r>
        <w:rPr>
          <w:spacing w:val="3"/>
          <w:w w:val="110"/>
        </w:rPr>
        <w:t>三</w:t>
      </w:r>
      <w:r>
        <w:rPr>
          <w:rFonts w:hint="eastAsia" w:ascii="MS UI Gothic" w:eastAsia="MS UI Gothic"/>
          <w:spacing w:val="10"/>
          <w:w w:val="150"/>
        </w:rPr>
        <w:t xml:space="preserve">) </w:t>
      </w:r>
      <w:r>
        <w:rPr>
          <w:spacing w:val="3"/>
          <w:w w:val="110"/>
        </w:rPr>
        <w:t>适用依据错误的</w:t>
      </w:r>
      <w:r>
        <w:rPr>
          <w:rFonts w:hint="eastAsia" w:ascii="MS UI Gothic" w:eastAsia="MS UI Gothic"/>
          <w:w w:val="80"/>
        </w:rPr>
        <w:t>ꎻ</w:t>
      </w:r>
    </w:p>
    <w:p>
      <w:pPr>
        <w:pStyle w:val="6"/>
        <w:spacing w:line="295" w:lineRule="auto"/>
        <w:ind w:left="543" w:right="1240" w:firstLine="0"/>
        <w:jc w:val="left"/>
        <w:rPr>
          <w:rFonts w:hint="eastAsia" w:ascii="MS UI Gothic" w:eastAsia="MS UI Gothic"/>
        </w:rPr>
      </w:pPr>
      <w:r>
        <w:rPr>
          <w:rFonts w:hint="eastAsia" w:ascii="MS UI Gothic" w:eastAsia="MS UI Gothic"/>
          <w:spacing w:val="-23"/>
          <w:w w:val="105"/>
        </w:rPr>
        <w:t xml:space="preserve">( </w:t>
      </w:r>
      <w:r>
        <w:rPr>
          <w:spacing w:val="3"/>
          <w:w w:val="105"/>
        </w:rPr>
        <w:t>四</w:t>
      </w:r>
      <w:r>
        <w:rPr>
          <w:rFonts w:hint="eastAsia" w:ascii="MS UI Gothic" w:eastAsia="MS UI Gothic"/>
          <w:spacing w:val="22"/>
          <w:w w:val="105"/>
        </w:rPr>
        <w:t xml:space="preserve">) </w:t>
      </w:r>
      <w:r>
        <w:rPr>
          <w:spacing w:val="3"/>
          <w:w w:val="105"/>
        </w:rPr>
        <w:t>行政裁量明显不当的</w:t>
      </w:r>
      <w:r>
        <w:rPr>
          <w:rFonts w:hint="eastAsia" w:ascii="MS UI Gothic" w:eastAsia="MS UI Gothic"/>
          <w:w w:val="80"/>
        </w:rPr>
        <w:t>ꎻ</w:t>
      </w:r>
      <w:r>
        <w:rPr>
          <w:rFonts w:hint="eastAsia" w:ascii="MS UI Gothic" w:eastAsia="MS UI Gothic"/>
          <w:spacing w:val="-38"/>
          <w:w w:val="150"/>
        </w:rPr>
        <w:t xml:space="preserve">( </w:t>
      </w:r>
      <w:r>
        <w:rPr>
          <w:spacing w:val="3"/>
          <w:w w:val="110"/>
        </w:rPr>
        <w:t>五</w:t>
      </w:r>
      <w:r>
        <w:rPr>
          <w:rFonts w:hint="eastAsia" w:ascii="MS UI Gothic" w:eastAsia="MS UI Gothic"/>
          <w:spacing w:val="1"/>
          <w:w w:val="150"/>
        </w:rPr>
        <w:t xml:space="preserve">) </w:t>
      </w:r>
      <w:r>
        <w:rPr>
          <w:spacing w:val="3"/>
          <w:w w:val="110"/>
        </w:rPr>
        <w:t>违反法定程序的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未按照年度安全监管或者煤矿安全监察执法工作计划</w:t>
      </w:r>
      <w:r>
        <w:rPr>
          <w:rFonts w:hint="eastAsia" w:ascii="MS UI Gothic" w:eastAsia="MS UI Gothic"/>
          <w:w w:val="80"/>
        </w:rPr>
        <w:t xml:space="preserve">、 </w:t>
      </w:r>
      <w:r>
        <w:rPr>
          <w:w w:val="105"/>
        </w:rPr>
        <w:t>现场检查方案履行法定职责的</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其他违法或者不当的情形</w:t>
      </w:r>
      <w:r>
        <w:rPr>
          <w:rFonts w:hint="eastAsia" w:ascii="MS UI Gothic" w:eastAsia="MS UI Gothic"/>
          <w:w w:val="80"/>
        </w:rPr>
        <w:t>ꎮ</w:t>
      </w:r>
    </w:p>
    <w:p>
      <w:pPr>
        <w:spacing w:after="0" w:line="254" w:lineRule="exac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１４５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78" o:spid="_x0000_s1478" o:spt="203" style="height:2.15pt;width:398.25pt;" coordsize="7965,43">
            <o:lock v:ext="edit"/>
            <v:line id="_x0000_s1479" o:spid="_x0000_s1479" o:spt="20" style="position:absolute;left:0;top:39;height:0;width:7965;" stroked="t" coordsize="21600,21600">
              <v:path arrowok="t"/>
              <v:fill focussize="0,0"/>
              <v:stroke weight="0.388031496062992pt" color="#231F20"/>
              <v:imagedata o:title=""/>
              <o:lock v:ext="edit"/>
            </v:line>
            <v:line id="_x0000_s1480" o:spid="_x0000_s148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t>前款所称的行政执法行为被撤销</w:t>
      </w:r>
      <w:r>
        <w:rPr>
          <w:rFonts w:hint="eastAsia" w:ascii="MS UI Gothic" w:eastAsia="MS UI Gothic"/>
          <w:w w:val="80"/>
        </w:rPr>
        <w:t xml:space="preserve">、 </w:t>
      </w:r>
      <w:r>
        <w:t>变更</w:t>
      </w:r>
      <w:r>
        <w:rPr>
          <w:rFonts w:hint="eastAsia" w:ascii="MS UI Gothic" w:eastAsia="MS UI Gothic"/>
          <w:w w:val="80"/>
        </w:rPr>
        <w:t xml:space="preserve">、 </w:t>
      </w:r>
      <w:r>
        <w:t>确认违法</w:t>
      </w:r>
      <w:r>
        <w:rPr>
          <w:rFonts w:hint="eastAsia" w:ascii="MS UI Gothic" w:eastAsia="MS UI Gothic"/>
          <w:w w:val="80"/>
        </w:rPr>
        <w:t xml:space="preserve">ꎬ </w:t>
      </w:r>
      <w:r>
        <w:t>或者被责令履行法定职责</w:t>
      </w:r>
      <w:r>
        <w:rPr>
          <w:rFonts w:hint="eastAsia" w:ascii="MS UI Gothic" w:eastAsia="MS UI Gothic"/>
          <w:w w:val="80"/>
        </w:rPr>
        <w:t xml:space="preserve">、 </w:t>
      </w:r>
      <w:r>
        <w:t>承担行政赔偿责任</w:t>
      </w:r>
      <w:r>
        <w:rPr>
          <w:rFonts w:hint="eastAsia" w:ascii="MS UI Gothic" w:eastAsia="MS UI Gothic"/>
          <w:w w:val="80"/>
        </w:rPr>
        <w:t xml:space="preserve">ꎬ </w:t>
      </w:r>
      <w:r>
        <w:t>是指行政执法行为被人民法院生效的判决</w:t>
      </w:r>
      <w:r>
        <w:rPr>
          <w:rFonts w:hint="eastAsia" w:ascii="MS UI Gothic" w:eastAsia="MS UI Gothic"/>
          <w:w w:val="80"/>
        </w:rPr>
        <w:t xml:space="preserve">、 </w:t>
      </w:r>
      <w:r>
        <w:t>裁定</w:t>
      </w:r>
      <w:r>
        <w:rPr>
          <w:rFonts w:hint="eastAsia" w:ascii="MS UI Gothic" w:eastAsia="MS UI Gothic"/>
          <w:w w:val="80"/>
        </w:rPr>
        <w:t xml:space="preserve">ꎬ </w:t>
      </w:r>
      <w:r>
        <w:t>或者行政复议机关等有权机关的决定予以撤销</w:t>
      </w:r>
      <w:r>
        <w:rPr>
          <w:rFonts w:hint="eastAsia" w:ascii="MS UI Gothic" w:eastAsia="MS UI Gothic"/>
          <w:w w:val="80"/>
        </w:rPr>
        <w:t>、</w:t>
      </w:r>
      <w:r>
        <w:t>变更</w:t>
      </w:r>
      <w:r>
        <w:rPr>
          <w:rFonts w:hint="eastAsia" w:ascii="MS UI Gothic" w:eastAsia="MS UI Gothic"/>
          <w:w w:val="80"/>
        </w:rPr>
        <w:t xml:space="preserve">、 </w:t>
      </w:r>
      <w:r>
        <w:t>确认违法或者被责令履行法定职责</w:t>
      </w:r>
      <w:r>
        <w:rPr>
          <w:rFonts w:hint="eastAsia" w:ascii="MS UI Gothic" w:eastAsia="MS UI Gothic"/>
          <w:w w:val="80"/>
        </w:rPr>
        <w:t xml:space="preserve">、 </w:t>
      </w:r>
      <w:r>
        <w:t>承担行政赔偿责任的情形</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第二十条 有下列情形之一的</w:t>
      </w:r>
      <w:r>
        <w:rPr>
          <w:rFonts w:hint="eastAsia" w:ascii="MS UI Gothic" w:eastAsia="MS UI Gothic"/>
          <w:w w:val="80"/>
        </w:rPr>
        <w:t xml:space="preserve">ꎬ </w:t>
      </w:r>
      <w:r>
        <w:rPr>
          <w:w w:val="105"/>
        </w:rPr>
        <w:t>安全监管监察部门及其内设机构</w:t>
      </w:r>
      <w:r>
        <w:rPr>
          <w:rFonts w:hint="eastAsia" w:ascii="MS UI Gothic" w:eastAsia="MS UI Gothic"/>
          <w:w w:val="80"/>
        </w:rPr>
        <w:t xml:space="preserve">、 </w:t>
      </w:r>
      <w:r>
        <w:rPr>
          <w:w w:val="105"/>
        </w:rPr>
        <w:t>行政执法人员不承担责任</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因生产经营单位</w:t>
      </w:r>
      <w:r>
        <w:rPr>
          <w:rFonts w:hint="eastAsia" w:ascii="MS UI Gothic" w:eastAsia="MS UI Gothic"/>
          <w:w w:val="80"/>
        </w:rPr>
        <w:t xml:space="preserve">、 </w:t>
      </w:r>
      <w:r>
        <w:rPr>
          <w:w w:val="105"/>
        </w:rPr>
        <w:t>中介机构等</w:t>
      </w:r>
      <w:r>
        <w:t>行政管理相对人的行为</w:t>
      </w:r>
      <w:r>
        <w:rPr>
          <w:rFonts w:hint="eastAsia" w:ascii="MS UI Gothic" w:eastAsia="MS UI Gothic"/>
          <w:w w:val="80"/>
        </w:rPr>
        <w:t xml:space="preserve">ꎬ </w:t>
      </w:r>
      <w:r>
        <w:t>致使安全监管监</w:t>
      </w:r>
      <w:r>
        <w:rPr>
          <w:w w:val="105"/>
        </w:rPr>
        <w:t>察部门及其内设机构</w:t>
      </w:r>
      <w:r>
        <w:rPr>
          <w:rFonts w:hint="eastAsia" w:ascii="MS UI Gothic" w:eastAsia="MS UI Gothic"/>
          <w:w w:val="80"/>
        </w:rPr>
        <w:t xml:space="preserve">、 </w:t>
      </w:r>
      <w:r>
        <w:rPr>
          <w:w w:val="105"/>
        </w:rPr>
        <w:t>行政执法人员无法作出正确行政执法行为的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因有关行政执法依据规定不一致</w:t>
      </w:r>
      <w:r>
        <w:rPr>
          <w:rFonts w:hint="eastAsia" w:ascii="MS UI Gothic" w:eastAsia="MS UI Gothic"/>
          <w:w w:val="80"/>
        </w:rPr>
        <w:t xml:space="preserve">ꎬ </w:t>
      </w:r>
      <w:r>
        <w:rPr>
          <w:w w:val="105"/>
        </w:rPr>
        <w:t>致使行政执法行为适用法律</w:t>
      </w:r>
      <w:r>
        <w:rPr>
          <w:rFonts w:hint="eastAsia" w:ascii="MS UI Gothic" w:eastAsia="MS UI Gothic"/>
          <w:w w:val="80"/>
        </w:rPr>
        <w:t xml:space="preserve">、 </w:t>
      </w:r>
      <w:r>
        <w:rPr>
          <w:w w:val="105"/>
        </w:rPr>
        <w:t>法规和规章依据不当的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因不能预见</w:t>
      </w:r>
      <w:r>
        <w:rPr>
          <w:rFonts w:hint="eastAsia" w:ascii="MS UI Gothic" w:eastAsia="MS UI Gothic"/>
          <w:w w:val="80"/>
        </w:rPr>
        <w:t xml:space="preserve">、 </w:t>
      </w:r>
      <w:r>
        <w:rPr>
          <w:w w:val="105"/>
        </w:rPr>
        <w:t>不能避免并不能</w:t>
      </w:r>
      <w:r>
        <w:t>克服的不可抗力致使行政执法行为违法</w:t>
      </w:r>
      <w:r>
        <w:rPr>
          <w:rFonts w:hint="eastAsia" w:ascii="MS UI Gothic" w:eastAsia="MS UI Gothic"/>
          <w:w w:val="80"/>
        </w:rPr>
        <w:t>、</w:t>
      </w:r>
      <w:r>
        <w:rPr>
          <w:w w:val="105"/>
        </w:rPr>
        <w:t>不当或者未履行法定职责的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违法</w:t>
      </w:r>
      <w:r>
        <w:rPr>
          <w:rFonts w:hint="eastAsia" w:ascii="MS UI Gothic" w:eastAsia="MS UI Gothic"/>
          <w:w w:val="80"/>
        </w:rPr>
        <w:t xml:space="preserve">、 </w:t>
      </w:r>
      <w:r>
        <w:rPr>
          <w:w w:val="105"/>
        </w:rPr>
        <w:t>不当的行政执法行为情</w:t>
      </w:r>
      <w:r>
        <w:t>节轻微并及时纠正</w:t>
      </w:r>
      <w:r>
        <w:rPr>
          <w:rFonts w:hint="eastAsia" w:ascii="MS UI Gothic" w:eastAsia="MS UI Gothic"/>
          <w:w w:val="80"/>
        </w:rPr>
        <w:t xml:space="preserve">ꎬ </w:t>
      </w:r>
      <w:r>
        <w:t>没有造成不良后果或</w:t>
      </w:r>
      <w:r>
        <w:rPr>
          <w:w w:val="105"/>
        </w:rPr>
        <w:t>者不良后果被及时消除的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按照批准</w:t>
      </w:r>
      <w:r>
        <w:rPr>
          <w:rFonts w:hint="eastAsia" w:ascii="MS UI Gothic" w:eastAsia="MS UI Gothic"/>
          <w:w w:val="80"/>
        </w:rPr>
        <w:t xml:space="preserve">、 </w:t>
      </w:r>
      <w:r>
        <w:rPr>
          <w:w w:val="105"/>
        </w:rPr>
        <w:t>备案的安全监管或者煤矿安全监察执法工作计划</w:t>
      </w:r>
      <w:r>
        <w:rPr>
          <w:rFonts w:hint="eastAsia" w:ascii="MS UI Gothic" w:eastAsia="MS UI Gothic"/>
          <w:w w:val="80"/>
        </w:rPr>
        <w:t xml:space="preserve">、 </w:t>
      </w:r>
      <w:r>
        <w:rPr>
          <w:w w:val="105"/>
        </w:rPr>
        <w:t>现场检查方案和法律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规章规定的方式</w:t>
      </w:r>
      <w:r>
        <w:rPr>
          <w:rFonts w:hint="eastAsia" w:ascii="MS UI Gothic" w:eastAsia="MS UI Gothic"/>
          <w:w w:val="80"/>
        </w:rPr>
        <w:t xml:space="preserve">、 </w:t>
      </w:r>
      <w:r>
        <w:rPr>
          <w:w w:val="105"/>
        </w:rPr>
        <w:t>程序已经履行安全生产监管监察职责的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对发现的安全生产非法</w:t>
      </w:r>
      <w:r>
        <w:rPr>
          <w:rFonts w:hint="eastAsia" w:ascii="MS UI Gothic" w:eastAsia="MS UI Gothic"/>
          <w:w w:val="80"/>
        </w:rPr>
        <w:t xml:space="preserve">、 </w:t>
      </w:r>
      <w:r>
        <w:rPr>
          <w:w w:val="105"/>
        </w:rPr>
        <w:t>违法</w:t>
      </w:r>
      <w:r>
        <w:t>行为和事故隐患已经依法查处</w:t>
      </w:r>
      <w:r>
        <w:rPr>
          <w:rFonts w:hint="eastAsia" w:ascii="MS UI Gothic" w:eastAsia="MS UI Gothic"/>
          <w:w w:val="80"/>
        </w:rPr>
        <w:t xml:space="preserve">ꎬ </w:t>
      </w:r>
      <w:r>
        <w:t>因生产经营单位及其从业人员拒不执行安全生产监</w:t>
      </w:r>
      <w:r>
        <w:rPr>
          <w:w w:val="105"/>
        </w:rPr>
        <w:t>管监察指令导致生产安全事故的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生产经营单位非法生产或者经</w:t>
      </w:r>
      <w:r>
        <w:t>责令停产停业整顿后仍不具备安全生产条件</w:t>
      </w:r>
      <w:r>
        <w:rPr>
          <w:rFonts w:hint="eastAsia" w:ascii="MS UI Gothic" w:eastAsia="MS UI Gothic"/>
          <w:w w:val="80"/>
        </w:rPr>
        <w:t xml:space="preserve">ꎬ </w:t>
      </w:r>
      <w:r>
        <w:t>安全监管监察部门已经依法提请县级以上地方人民政府决定取缔或者关闭的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对拒不执行行政处罚决定的生</w:t>
      </w:r>
      <w:r>
        <w:t>产经营单位</w:t>
      </w:r>
      <w:r>
        <w:rPr>
          <w:rFonts w:hint="eastAsia" w:ascii="MS UI Gothic" w:eastAsia="MS UI Gothic"/>
          <w:w w:val="80"/>
        </w:rPr>
        <w:t xml:space="preserve">ꎬ </w:t>
      </w:r>
      <w:r>
        <w:t>安全监管监察部门已经依法</w:t>
      </w:r>
      <w:r>
        <w:rPr>
          <w:w w:val="105"/>
        </w:rPr>
        <w:t>申请人民法院强制执行的</w:t>
      </w:r>
      <w:r>
        <w:rPr>
          <w:rFonts w:hint="eastAsia" w:ascii="MS UI Gothic" w:eastAsia="MS UI Gothic"/>
          <w:w w:val="80"/>
        </w:rPr>
        <w:t>ꎻ</w:t>
      </w:r>
    </w:p>
    <w:p>
      <w:pPr>
        <w:pStyle w:val="6"/>
        <w:spacing w:line="254" w:lineRule="exact"/>
        <w:ind w:left="860" w:firstLine="0"/>
      </w:pPr>
      <w:r>
        <w:rPr>
          <w:rFonts w:hint="eastAsia" w:ascii="MS UI Gothic" w:eastAsia="MS UI Gothic"/>
          <w:w w:val="105"/>
        </w:rPr>
        <w:t xml:space="preserve">( </w:t>
      </w:r>
      <w:r>
        <w:rPr>
          <w:w w:val="105"/>
        </w:rPr>
        <w:t>九</w:t>
      </w:r>
      <w:r>
        <w:rPr>
          <w:rFonts w:hint="eastAsia" w:ascii="MS UI Gothic" w:eastAsia="MS UI Gothic"/>
          <w:w w:val="105"/>
        </w:rPr>
        <w:t xml:space="preserve">) </w:t>
      </w:r>
      <w:r>
        <w:rPr>
          <w:w w:val="105"/>
        </w:rPr>
        <w:t>安全监管监察部门已经依法向</w:t>
      </w:r>
    </w:p>
    <w:p>
      <w:pPr>
        <w:pStyle w:val="6"/>
        <w:spacing w:before="124" w:line="295" w:lineRule="auto"/>
        <w:ind w:left="381" w:right="126" w:firstLine="0"/>
        <w:jc w:val="left"/>
        <w:rPr>
          <w:rFonts w:hint="eastAsia" w:ascii="MS UI Gothic" w:eastAsia="MS UI Gothic"/>
        </w:rPr>
      </w:pPr>
      <w:r>
        <w:br w:type="column"/>
      </w:r>
      <w:r>
        <w:t>县级以上地方人民政府提出加强和改善安</w:t>
      </w:r>
      <w:r>
        <w:rPr>
          <w:w w:val="105"/>
        </w:rPr>
        <w:t>全生产监督管理建议的</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十</w:t>
      </w:r>
      <w:r>
        <w:rPr>
          <w:rFonts w:hint="eastAsia" w:ascii="MS UI Gothic" w:eastAsia="MS UI Gothic"/>
          <w:w w:val="150"/>
        </w:rPr>
        <w:t xml:space="preserve">) </w:t>
      </w:r>
      <w:r>
        <w:rPr>
          <w:w w:val="110"/>
        </w:rPr>
        <w:t>依法不承担责任的其他情形</w:t>
      </w:r>
      <w:r>
        <w:rPr>
          <w:rFonts w:hint="eastAsia" w:ascii="MS UI Gothic" w:eastAsia="MS UI Gothic"/>
          <w:w w:val="80"/>
        </w:rPr>
        <w:t>ꎮ</w:t>
      </w:r>
    </w:p>
    <w:p>
      <w:pPr>
        <w:pStyle w:val="6"/>
        <w:spacing w:before="58" w:line="295" w:lineRule="auto"/>
        <w:ind w:left="381" w:right="126"/>
        <w:rPr>
          <w:rFonts w:hint="eastAsia" w:ascii="MS UI Gothic" w:eastAsia="MS UI Gothic"/>
        </w:rPr>
      </w:pPr>
      <w:r>
        <w:t>第二十一条 承办人直接作出违法或者不当行政执法行为的</w:t>
      </w:r>
      <w:r>
        <w:rPr>
          <w:rFonts w:hint="eastAsia" w:ascii="MS UI Gothic" w:eastAsia="MS UI Gothic"/>
          <w:w w:val="80"/>
        </w:rPr>
        <w:t xml:space="preserve">ꎬ </w:t>
      </w:r>
      <w:r>
        <w:t>由承办人承担责任</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第二十二条 对安全监管监察部门应当经审核</w:t>
      </w:r>
      <w:r>
        <w:rPr>
          <w:rFonts w:hint="eastAsia" w:ascii="MS UI Gothic" w:eastAsia="MS UI Gothic"/>
          <w:w w:val="80"/>
        </w:rPr>
        <w:t xml:space="preserve">、 </w:t>
      </w:r>
      <w:r>
        <w:rPr>
          <w:w w:val="105"/>
        </w:rPr>
        <w:t>批准作出的行政执法行为</w:t>
      </w:r>
      <w:r>
        <w:rPr>
          <w:rFonts w:hint="eastAsia" w:ascii="MS UI Gothic" w:eastAsia="MS UI Gothic"/>
          <w:w w:val="80"/>
        </w:rPr>
        <w:t xml:space="preserve">ꎬ </w:t>
      </w:r>
      <w:r>
        <w:rPr>
          <w:w w:val="105"/>
        </w:rPr>
        <w:t>分别按照下列情形区分并承担责任</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承办人未经审核人</w:t>
      </w:r>
      <w:r>
        <w:rPr>
          <w:rFonts w:hint="eastAsia" w:ascii="MS UI Gothic" w:eastAsia="MS UI Gothic"/>
          <w:w w:val="80"/>
        </w:rPr>
        <w:t xml:space="preserve">、  </w:t>
      </w:r>
      <w:r>
        <w:rPr>
          <w:w w:val="105"/>
        </w:rPr>
        <w:t>批准人审</w:t>
      </w:r>
      <w:r>
        <w:t>批擅自作出行政执法行为</w:t>
      </w:r>
      <w:r>
        <w:rPr>
          <w:rFonts w:hint="eastAsia" w:ascii="MS UI Gothic" w:eastAsia="MS UI Gothic"/>
          <w:w w:val="80"/>
        </w:rPr>
        <w:t xml:space="preserve">ꎬ </w:t>
      </w:r>
      <w:r>
        <w:t>或者不按审</w:t>
      </w:r>
      <w:r>
        <w:rPr>
          <w:w w:val="105"/>
        </w:rPr>
        <w:t>核</w:t>
      </w:r>
      <w:r>
        <w:rPr>
          <w:rFonts w:hint="eastAsia" w:ascii="MS UI Gothic" w:eastAsia="MS UI Gothic"/>
          <w:w w:val="80"/>
        </w:rPr>
        <w:t xml:space="preserve">、 </w:t>
      </w:r>
      <w:r>
        <w:rPr>
          <w:w w:val="105"/>
        </w:rPr>
        <w:t>批准的内容实施</w:t>
      </w:r>
      <w:r>
        <w:rPr>
          <w:rFonts w:hint="eastAsia" w:ascii="MS UI Gothic" w:eastAsia="MS UI Gothic"/>
          <w:w w:val="80"/>
        </w:rPr>
        <w:t xml:space="preserve">ꎬ </w:t>
      </w:r>
      <w:r>
        <w:rPr>
          <w:w w:val="105"/>
        </w:rPr>
        <w:t>致使行政执法行为违法或者不当的</w:t>
      </w:r>
      <w:r>
        <w:rPr>
          <w:rFonts w:hint="eastAsia" w:ascii="MS UI Gothic" w:eastAsia="MS UI Gothic"/>
          <w:w w:val="80"/>
        </w:rPr>
        <w:t xml:space="preserve">ꎬ </w:t>
      </w:r>
      <w:r>
        <w:rPr>
          <w:w w:val="105"/>
        </w:rPr>
        <w:t>由承办人承担责任</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承办人弄虚作假</w:t>
      </w:r>
      <w:r>
        <w:rPr>
          <w:rFonts w:hint="eastAsia" w:ascii="MS UI Gothic" w:eastAsia="MS UI Gothic"/>
          <w:w w:val="80"/>
        </w:rPr>
        <w:t xml:space="preserve">、 </w:t>
      </w:r>
      <w:r>
        <w:t>徇私舞弊</w:t>
      </w:r>
      <w:r>
        <w:rPr>
          <w:rFonts w:hint="eastAsia" w:ascii="MS UI Gothic" w:eastAsia="MS UI Gothic"/>
          <w:w w:val="80"/>
        </w:rPr>
        <w:t>ꎬ</w:t>
      </w:r>
      <w:r>
        <w:t>或者承办人提出的意见错误</w:t>
      </w:r>
      <w:r>
        <w:rPr>
          <w:rFonts w:hint="eastAsia" w:ascii="MS UI Gothic" w:eastAsia="MS UI Gothic"/>
          <w:w w:val="80"/>
        </w:rPr>
        <w:t xml:space="preserve">ꎬ </w:t>
      </w:r>
      <w:r>
        <w:t>审核人</w:t>
      </w:r>
      <w:r>
        <w:rPr>
          <w:rFonts w:hint="eastAsia" w:ascii="MS UI Gothic" w:eastAsia="MS UI Gothic"/>
          <w:w w:val="80"/>
        </w:rPr>
        <w:t xml:space="preserve">、 </w:t>
      </w:r>
      <w:r>
        <w:t>批准人没有发现或者发现后未予以纠正</w:t>
      </w:r>
      <w:r>
        <w:rPr>
          <w:rFonts w:hint="eastAsia" w:ascii="MS UI Gothic" w:eastAsia="MS UI Gothic"/>
          <w:w w:val="80"/>
        </w:rPr>
        <w:t xml:space="preserve">ꎬ </w:t>
      </w:r>
      <w:r>
        <w:t>致使行政执法行为违法或者不当的</w:t>
      </w:r>
      <w:r>
        <w:rPr>
          <w:rFonts w:hint="eastAsia" w:ascii="MS UI Gothic" w:eastAsia="MS UI Gothic"/>
          <w:w w:val="80"/>
        </w:rPr>
        <w:t xml:space="preserve">ꎬ </w:t>
      </w:r>
      <w:r>
        <w:t>由承办人承担主要责任</w:t>
      </w:r>
      <w:r>
        <w:rPr>
          <w:rFonts w:hint="eastAsia" w:ascii="MS UI Gothic" w:eastAsia="MS UI Gothic"/>
          <w:w w:val="80"/>
        </w:rPr>
        <w:t xml:space="preserve">ꎬ </w:t>
      </w:r>
      <w:r>
        <w:t>审核人</w:t>
      </w:r>
      <w:r>
        <w:rPr>
          <w:rFonts w:hint="eastAsia" w:ascii="MS UI Gothic" w:eastAsia="MS UI Gothic"/>
          <w:w w:val="80"/>
        </w:rPr>
        <w:t xml:space="preserve">、 </w:t>
      </w:r>
      <w:r>
        <w:t>批准人承担次要责任</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审核人改变或者不采纳承办人</w:t>
      </w:r>
      <w:r>
        <w:t>的正确意见</w:t>
      </w:r>
      <w:r>
        <w:rPr>
          <w:rFonts w:hint="eastAsia" w:ascii="MS UI Gothic" w:eastAsia="MS UI Gothic"/>
          <w:w w:val="80"/>
        </w:rPr>
        <w:t xml:space="preserve">ꎬ </w:t>
      </w:r>
      <w:r>
        <w:t>批准人批准该审核意见</w:t>
      </w:r>
      <w:r>
        <w:rPr>
          <w:rFonts w:hint="eastAsia" w:ascii="MS UI Gothic" w:eastAsia="MS UI Gothic"/>
          <w:w w:val="80"/>
        </w:rPr>
        <w:t xml:space="preserve">ꎬ </w:t>
      </w:r>
      <w:r>
        <w:t>致使行政执法行为违法或者不当的</w:t>
      </w:r>
      <w:r>
        <w:rPr>
          <w:rFonts w:hint="eastAsia" w:ascii="MS UI Gothic" w:eastAsia="MS UI Gothic"/>
          <w:w w:val="80"/>
        </w:rPr>
        <w:t xml:space="preserve">ꎬ </w:t>
      </w:r>
      <w:r>
        <w:t>由审核人承担主要责任</w:t>
      </w:r>
      <w:r>
        <w:rPr>
          <w:rFonts w:hint="eastAsia" w:ascii="MS UI Gothic" w:eastAsia="MS UI Gothic"/>
          <w:w w:val="80"/>
        </w:rPr>
        <w:t xml:space="preserve">ꎬ </w:t>
      </w:r>
      <w:r>
        <w:t>批准人承担次要责任</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审核人未报请批准人批准而擅</w:t>
      </w:r>
      <w:r>
        <w:t>自作出决定</w:t>
      </w:r>
      <w:r>
        <w:rPr>
          <w:rFonts w:hint="eastAsia" w:ascii="MS UI Gothic" w:eastAsia="MS UI Gothic"/>
          <w:w w:val="80"/>
        </w:rPr>
        <w:t xml:space="preserve">ꎬ </w:t>
      </w:r>
      <w:r>
        <w:t>致使行政执法行为违法或者</w:t>
      </w:r>
      <w:r>
        <w:rPr>
          <w:w w:val="105"/>
        </w:rPr>
        <w:t>不当的</w:t>
      </w:r>
      <w:r>
        <w:rPr>
          <w:rFonts w:hint="eastAsia" w:ascii="MS UI Gothic" w:eastAsia="MS UI Gothic"/>
          <w:w w:val="80"/>
        </w:rPr>
        <w:t xml:space="preserve">ꎬ </w:t>
      </w:r>
      <w:r>
        <w:rPr>
          <w:w w:val="105"/>
        </w:rPr>
        <w:t>由审核人承担责任</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审核人弄虚作假</w:t>
      </w:r>
      <w:r>
        <w:rPr>
          <w:rFonts w:hint="eastAsia" w:ascii="MS UI Gothic" w:eastAsia="MS UI Gothic"/>
          <w:w w:val="80"/>
        </w:rPr>
        <w:t xml:space="preserve">、 </w:t>
      </w:r>
      <w:r>
        <w:rPr>
          <w:w w:val="105"/>
        </w:rPr>
        <w:t>徇私舞弊</w:t>
      </w:r>
      <w:r>
        <w:rPr>
          <w:rFonts w:hint="eastAsia" w:ascii="MS UI Gothic" w:eastAsia="MS UI Gothic"/>
          <w:w w:val="80"/>
        </w:rPr>
        <w:t>ꎬ</w:t>
      </w:r>
      <w:r>
        <w:t>致使批准人作出错误决定的</w:t>
      </w:r>
      <w:r>
        <w:rPr>
          <w:rFonts w:hint="eastAsia" w:ascii="MS UI Gothic" w:eastAsia="MS UI Gothic"/>
          <w:w w:val="80"/>
        </w:rPr>
        <w:t xml:space="preserve">ꎬ </w:t>
      </w:r>
      <w:r>
        <w:t>由审核人承</w:t>
      </w:r>
      <w:r>
        <w:rPr>
          <w:w w:val="105"/>
        </w:rPr>
        <w:t>担责任</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批准人改变或者不采纳承办人</w:t>
      </w:r>
      <w:r>
        <w:rPr>
          <w:rFonts w:hint="eastAsia" w:ascii="MS UI Gothic" w:eastAsia="MS UI Gothic"/>
          <w:w w:val="80"/>
        </w:rPr>
        <w:t xml:space="preserve">、 </w:t>
      </w:r>
      <w:r>
        <w:rPr>
          <w:w w:val="105"/>
        </w:rPr>
        <w:t>审核人的正确意见</w:t>
      </w:r>
      <w:r>
        <w:rPr>
          <w:rFonts w:hint="eastAsia" w:ascii="MS UI Gothic" w:eastAsia="MS UI Gothic"/>
          <w:w w:val="80"/>
        </w:rPr>
        <w:t xml:space="preserve">ꎬ </w:t>
      </w:r>
      <w:r>
        <w:rPr>
          <w:w w:val="105"/>
        </w:rPr>
        <w:t>致使行政执法行</w:t>
      </w:r>
      <w:r>
        <w:t>为违法或者不当的</w:t>
      </w:r>
      <w:r>
        <w:rPr>
          <w:rFonts w:hint="eastAsia" w:ascii="MS UI Gothic" w:eastAsia="MS UI Gothic"/>
          <w:w w:val="80"/>
        </w:rPr>
        <w:t xml:space="preserve">ꎬ </w:t>
      </w:r>
      <w:r>
        <w:t>由批准人承担责任</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七</w:t>
      </w:r>
      <w:r>
        <w:rPr>
          <w:rFonts w:hint="eastAsia" w:ascii="MS UI Gothic" w:eastAsia="MS UI Gothic"/>
          <w:spacing w:val="17"/>
          <w:w w:val="150"/>
        </w:rPr>
        <w:t xml:space="preserve">) </w:t>
      </w:r>
      <w:r>
        <w:rPr>
          <w:spacing w:val="27"/>
          <w:w w:val="105"/>
        </w:rPr>
        <w:t>未经承办人拟办</w:t>
      </w:r>
      <w:r>
        <w:rPr>
          <w:rFonts w:hint="eastAsia" w:ascii="MS UI Gothic" w:eastAsia="MS UI Gothic"/>
          <w:spacing w:val="7"/>
          <w:w w:val="80"/>
        </w:rPr>
        <w:t xml:space="preserve">、 </w:t>
      </w:r>
      <w:r>
        <w:rPr>
          <w:spacing w:val="19"/>
          <w:w w:val="105"/>
        </w:rPr>
        <w:t>审核人审</w:t>
      </w:r>
      <w:r>
        <w:rPr>
          <w:spacing w:val="3"/>
        </w:rPr>
        <w:t>核</w:t>
      </w:r>
      <w:r>
        <w:rPr>
          <w:rFonts w:hint="eastAsia" w:ascii="MS UI Gothic" w:eastAsia="MS UI Gothic"/>
          <w:spacing w:val="20"/>
          <w:w w:val="80"/>
        </w:rPr>
        <w:t xml:space="preserve">ꎬ </w:t>
      </w:r>
      <w:r>
        <w:rPr>
          <w:spacing w:val="2"/>
        </w:rPr>
        <w:t>批准人直接作出违法或者不当的行政</w:t>
      </w:r>
      <w:r>
        <w:rPr>
          <w:spacing w:val="3"/>
          <w:w w:val="105"/>
        </w:rPr>
        <w:t>执法行为的</w:t>
      </w:r>
      <w:r>
        <w:rPr>
          <w:rFonts w:hint="eastAsia" w:ascii="MS UI Gothic" w:eastAsia="MS UI Gothic"/>
          <w:spacing w:val="18"/>
          <w:w w:val="80"/>
        </w:rPr>
        <w:t xml:space="preserve">ꎬ </w:t>
      </w:r>
      <w:r>
        <w:rPr>
          <w:spacing w:val="3"/>
          <w:w w:val="105"/>
        </w:rPr>
        <w:t>由批准人承担责任</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2"/>
          <w:w w:val="105"/>
        </w:rPr>
        <w:t>第二十三条 因安全监管监察部门指</w:t>
      </w:r>
      <w:r>
        <w:rPr>
          <w:spacing w:val="2"/>
        </w:rPr>
        <w:t>派不具有行政执法资格的单位或者人员执</w:t>
      </w:r>
      <w:r>
        <w:rPr>
          <w:spacing w:val="3"/>
        </w:rPr>
        <w:t>法</w:t>
      </w:r>
      <w:r>
        <w:rPr>
          <w:rFonts w:hint="eastAsia" w:ascii="MS UI Gothic" w:eastAsia="MS UI Gothic"/>
          <w:spacing w:val="19"/>
          <w:w w:val="80"/>
        </w:rPr>
        <w:t xml:space="preserve">ꎬ </w:t>
      </w:r>
      <w:r>
        <w:rPr>
          <w:spacing w:val="6"/>
        </w:rPr>
        <w:t>致使行政执法行为违法或者不当的</w:t>
      </w:r>
      <w:r>
        <w:rPr>
          <w:rFonts w:hint="eastAsia" w:ascii="MS UI Gothic" w:eastAsia="MS UI Gothic"/>
          <w:w w:val="80"/>
        </w:rPr>
        <w:t>ꎬ</w:t>
      </w:r>
      <w:r>
        <w:rPr>
          <w:spacing w:val="3"/>
          <w:w w:val="105"/>
        </w:rPr>
        <w:t>由指派部门及其负责人承担责任</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１４６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81" o:spid="_x0000_s1481" o:spt="203" style="height:2.15pt;width:398.25pt;" coordsize="7965,43">
            <o:lock v:ext="edit"/>
            <v:line id="_x0000_s1482" o:spid="_x0000_s1482" o:spt="20" style="position:absolute;left:0;top:39;height:0;width:7965;" stroked="t" coordsize="21600,21600">
              <v:path arrowok="t"/>
              <v:fill focussize="0,0"/>
              <v:stroke weight="0.388031496062992pt" color="#231F20"/>
              <v:imagedata o:title=""/>
              <o:lock v:ext="edit"/>
            </v:line>
            <v:line id="_x0000_s1483" o:spid="_x0000_s148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5" w:line="295" w:lineRule="auto"/>
        <w:ind w:right="39"/>
        <w:rPr>
          <w:rFonts w:hint="eastAsia" w:ascii="MS UI Gothic" w:eastAsia="MS UI Gothic"/>
        </w:rPr>
      </w:pPr>
      <w:r>
        <w:t>第二十四条 因安全监管监察部门负责人集体研究决定</w:t>
      </w:r>
      <w:r>
        <w:rPr>
          <w:rFonts w:hint="eastAsia" w:ascii="MS UI Gothic" w:eastAsia="MS UI Gothic"/>
          <w:w w:val="80"/>
        </w:rPr>
        <w:t xml:space="preserve">ꎬ </w:t>
      </w:r>
      <w:r>
        <w:t>致使行政执法行为违法或者不当的</w:t>
      </w:r>
      <w:r>
        <w:rPr>
          <w:rFonts w:hint="eastAsia" w:ascii="MS UI Gothic" w:eastAsia="MS UI Gothic"/>
          <w:w w:val="80"/>
        </w:rPr>
        <w:t xml:space="preserve">ꎬ </w:t>
      </w:r>
      <w:r>
        <w:t>主要负责人应当承担主要责任</w:t>
      </w:r>
      <w:r>
        <w:rPr>
          <w:rFonts w:hint="eastAsia" w:ascii="MS UI Gothic" w:eastAsia="MS UI Gothic"/>
          <w:w w:val="80"/>
        </w:rPr>
        <w:t xml:space="preserve">ꎬ </w:t>
      </w:r>
      <w:r>
        <w:t>参与作出决定的其他负责人应当分别承担相应的责任</w:t>
      </w:r>
      <w:r>
        <w:rPr>
          <w:rFonts w:hint="eastAsia" w:ascii="MS UI Gothic" w:eastAsia="MS UI Gothic"/>
          <w:w w:val="80"/>
        </w:rPr>
        <w:t>ꎮ</w:t>
      </w:r>
    </w:p>
    <w:p>
      <w:pPr>
        <w:pStyle w:val="6"/>
        <w:spacing w:line="295" w:lineRule="auto"/>
        <w:ind w:right="39"/>
        <w:rPr>
          <w:rFonts w:hint="eastAsia" w:ascii="MS UI Gothic" w:eastAsia="MS UI Gothic"/>
        </w:rPr>
      </w:pPr>
      <w:r>
        <w:t>安全监管监察部门负责人擅自改变集体决定</w:t>
      </w:r>
      <w:r>
        <w:rPr>
          <w:rFonts w:hint="eastAsia" w:ascii="MS UI Gothic" w:eastAsia="MS UI Gothic"/>
          <w:w w:val="80"/>
        </w:rPr>
        <w:t xml:space="preserve">ꎬ </w:t>
      </w:r>
      <w:r>
        <w:t>致使行政执法行为违法或者不当的</w:t>
      </w:r>
      <w:r>
        <w:rPr>
          <w:rFonts w:hint="eastAsia" w:ascii="MS UI Gothic" w:eastAsia="MS UI Gothic"/>
          <w:w w:val="80"/>
        </w:rPr>
        <w:t xml:space="preserve">ꎬ </w:t>
      </w:r>
      <w:r>
        <w:t>由该负责人承担全部责任</w:t>
      </w:r>
      <w:r>
        <w:rPr>
          <w:rFonts w:hint="eastAsia" w:ascii="MS UI Gothic" w:eastAsia="MS UI Gothic"/>
          <w:w w:val="80"/>
        </w:rPr>
        <w:t>ꎮ</w:t>
      </w:r>
    </w:p>
    <w:p>
      <w:pPr>
        <w:pStyle w:val="6"/>
        <w:spacing w:line="295" w:lineRule="auto"/>
        <w:ind w:right="38"/>
        <w:rPr>
          <w:rFonts w:hint="eastAsia" w:ascii="MS UI Gothic" w:eastAsia="MS UI Gothic"/>
        </w:rPr>
      </w:pPr>
      <w:r>
        <w:t>第二十五条 两名以上行政执法人员共同作出违法或者不当行政执法行为的</w:t>
      </w:r>
      <w:r>
        <w:rPr>
          <w:rFonts w:hint="eastAsia" w:ascii="MS UI Gothic" w:eastAsia="MS UI Gothic"/>
          <w:w w:val="80"/>
        </w:rPr>
        <w:t>ꎬ</w:t>
      </w:r>
      <w:r>
        <w:t>由主办人员承担主要责任</w:t>
      </w:r>
      <w:r>
        <w:rPr>
          <w:rFonts w:hint="eastAsia" w:ascii="MS UI Gothic" w:eastAsia="MS UI Gothic"/>
          <w:w w:val="80"/>
        </w:rPr>
        <w:t xml:space="preserve">ꎬ </w:t>
      </w:r>
      <w:r>
        <w:t>其他人员承担次要责任</w:t>
      </w:r>
      <w:r>
        <w:rPr>
          <w:rFonts w:hint="eastAsia" w:ascii="MS UI Gothic" w:eastAsia="MS UI Gothic"/>
          <w:w w:val="80"/>
        </w:rPr>
        <w:t xml:space="preserve">ꎻ </w:t>
      </w:r>
      <w:r>
        <w:t>不能区分主要</w:t>
      </w:r>
      <w:r>
        <w:rPr>
          <w:rFonts w:hint="eastAsia" w:ascii="MS UI Gothic" w:eastAsia="MS UI Gothic"/>
          <w:w w:val="80"/>
        </w:rPr>
        <w:t xml:space="preserve">、 </w:t>
      </w:r>
      <w:r>
        <w:t>次要责任人的</w:t>
      </w:r>
      <w:r>
        <w:rPr>
          <w:rFonts w:hint="eastAsia" w:ascii="MS UI Gothic" w:eastAsia="MS UI Gothic"/>
          <w:w w:val="80"/>
        </w:rPr>
        <w:t xml:space="preserve">ꎬ </w:t>
      </w:r>
      <w:r>
        <w:t>共同承担责任</w:t>
      </w:r>
      <w:r>
        <w:rPr>
          <w:rFonts w:hint="eastAsia" w:ascii="MS UI Gothic" w:eastAsia="MS UI Gothic"/>
          <w:w w:val="80"/>
        </w:rPr>
        <w:t>ꎮ</w:t>
      </w:r>
    </w:p>
    <w:p>
      <w:pPr>
        <w:pStyle w:val="6"/>
        <w:spacing w:line="295" w:lineRule="auto"/>
        <w:ind w:right="38"/>
        <w:rPr>
          <w:rFonts w:hint="eastAsia" w:ascii="MS UI Gothic" w:eastAsia="MS UI Gothic"/>
        </w:rPr>
      </w:pPr>
      <w:r>
        <w:t>因安全监管监察部门内设机构单独决定</w:t>
      </w:r>
      <w:r>
        <w:rPr>
          <w:rFonts w:hint="eastAsia" w:ascii="MS UI Gothic" w:eastAsia="MS UI Gothic"/>
          <w:w w:val="80"/>
        </w:rPr>
        <w:t xml:space="preserve">ꎬ </w:t>
      </w:r>
      <w:r>
        <w:t>致使行政执法行为违法或者不当的</w:t>
      </w:r>
      <w:r>
        <w:rPr>
          <w:rFonts w:hint="eastAsia" w:ascii="MS UI Gothic" w:eastAsia="MS UI Gothic"/>
          <w:w w:val="80"/>
        </w:rPr>
        <w:t>ꎬ</w:t>
      </w:r>
      <w:r>
        <w:t>由该机构承担全部责任</w:t>
      </w:r>
      <w:r>
        <w:rPr>
          <w:rFonts w:hint="eastAsia" w:ascii="MS UI Gothic" w:eastAsia="MS UI Gothic"/>
          <w:w w:val="80"/>
        </w:rPr>
        <w:t xml:space="preserve">ꎻ </w:t>
      </w:r>
      <w:r>
        <w:t>因两个以上内设机构共同决定</w:t>
      </w:r>
      <w:r>
        <w:rPr>
          <w:rFonts w:hint="eastAsia" w:ascii="MS UI Gothic" w:eastAsia="MS UI Gothic"/>
          <w:w w:val="80"/>
        </w:rPr>
        <w:t xml:space="preserve">ꎬ </w:t>
      </w:r>
      <w:r>
        <w:t>致使行政执法行为违法或者不当的</w:t>
      </w:r>
      <w:r>
        <w:rPr>
          <w:rFonts w:hint="eastAsia" w:ascii="MS UI Gothic" w:eastAsia="MS UI Gothic"/>
          <w:w w:val="80"/>
        </w:rPr>
        <w:t xml:space="preserve">ꎬ </w:t>
      </w:r>
      <w:r>
        <w:t>由有关内设机构共同承担责任</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第二十六条 经安全监管监察部门内</w:t>
      </w:r>
      <w:r>
        <w:t>设机构会签作出的行政执法行为</w:t>
      </w:r>
      <w:r>
        <w:rPr>
          <w:rFonts w:hint="eastAsia" w:ascii="MS UI Gothic" w:eastAsia="MS UI Gothic"/>
          <w:w w:val="80"/>
        </w:rPr>
        <w:t xml:space="preserve">ꎬ </w:t>
      </w:r>
      <w:r>
        <w:t>分别按</w:t>
      </w:r>
      <w:r>
        <w:rPr>
          <w:w w:val="105"/>
        </w:rPr>
        <w:t>照下列情形区分并承担责任</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主办机构提供的有关事实</w:t>
      </w:r>
      <w:r>
        <w:rPr>
          <w:rFonts w:hint="eastAsia" w:ascii="MS UI Gothic" w:eastAsia="MS UI Gothic"/>
          <w:w w:val="80"/>
        </w:rPr>
        <w:t xml:space="preserve">、  </w:t>
      </w:r>
      <w:r>
        <w:rPr>
          <w:w w:val="105"/>
        </w:rPr>
        <w:t>证据不真实</w:t>
      </w:r>
      <w:r>
        <w:rPr>
          <w:rFonts w:hint="eastAsia" w:ascii="MS UI Gothic" w:eastAsia="MS UI Gothic"/>
          <w:w w:val="80"/>
        </w:rPr>
        <w:t xml:space="preserve">、 </w:t>
      </w:r>
      <w:r>
        <w:rPr>
          <w:w w:val="105"/>
        </w:rPr>
        <w:t>不准确或者不完整</w:t>
      </w:r>
      <w:r>
        <w:rPr>
          <w:rFonts w:hint="eastAsia" w:ascii="MS UI Gothic" w:eastAsia="MS UI Gothic"/>
          <w:w w:val="80"/>
        </w:rPr>
        <w:t xml:space="preserve">ꎬ </w:t>
      </w:r>
      <w:r>
        <w:rPr>
          <w:w w:val="105"/>
        </w:rPr>
        <w:t>会签机构</w:t>
      </w:r>
      <w:r>
        <w:t>通过审查能够提出正确意见但没有提出</w:t>
      </w:r>
      <w:r>
        <w:rPr>
          <w:rFonts w:hint="eastAsia" w:ascii="MS UI Gothic" w:eastAsia="MS UI Gothic"/>
          <w:w w:val="80"/>
        </w:rPr>
        <w:t>ꎬ</w:t>
      </w:r>
      <w:r>
        <w:t>致使行政执法行为违法或者不当的</w:t>
      </w:r>
      <w:r>
        <w:rPr>
          <w:rFonts w:hint="eastAsia" w:ascii="MS UI Gothic" w:eastAsia="MS UI Gothic"/>
          <w:w w:val="80"/>
        </w:rPr>
        <w:t xml:space="preserve">ꎬ </w:t>
      </w:r>
      <w:r>
        <w:t>由主办机构承担主要责任</w:t>
      </w:r>
      <w:r>
        <w:rPr>
          <w:rFonts w:hint="eastAsia" w:ascii="MS UI Gothic" w:eastAsia="MS UI Gothic"/>
          <w:w w:val="80"/>
        </w:rPr>
        <w:t xml:space="preserve">ꎬ </w:t>
      </w:r>
      <w:r>
        <w:t>会签机构承担次要</w:t>
      </w:r>
      <w:r>
        <w:rPr>
          <w:w w:val="105"/>
        </w:rPr>
        <w:t>责任</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主办机构没有采纳会签机构提</w:t>
      </w:r>
      <w:r>
        <w:t>出的正确意见</w:t>
      </w:r>
      <w:r>
        <w:rPr>
          <w:rFonts w:hint="eastAsia" w:ascii="MS UI Gothic" w:eastAsia="MS UI Gothic"/>
          <w:w w:val="80"/>
        </w:rPr>
        <w:t xml:space="preserve">ꎬ </w:t>
      </w:r>
      <w:r>
        <w:t>致使行政执法行为违法或</w:t>
      </w:r>
      <w:r>
        <w:rPr>
          <w:w w:val="105"/>
        </w:rPr>
        <w:t>者不当的</w:t>
      </w:r>
      <w:r>
        <w:rPr>
          <w:rFonts w:hint="eastAsia" w:ascii="MS UI Gothic" w:eastAsia="MS UI Gothic"/>
          <w:w w:val="80"/>
        </w:rPr>
        <w:t xml:space="preserve">ꎬ </w:t>
      </w:r>
      <w:r>
        <w:rPr>
          <w:w w:val="105"/>
        </w:rPr>
        <w:t>由主办机构承担责任</w:t>
      </w:r>
      <w:r>
        <w:rPr>
          <w:rFonts w:hint="eastAsia" w:ascii="MS UI Gothic" w:eastAsia="MS UI Gothic"/>
          <w:w w:val="80"/>
        </w:rPr>
        <w:t>ꎮ</w:t>
      </w:r>
    </w:p>
    <w:p>
      <w:pPr>
        <w:pStyle w:val="6"/>
        <w:spacing w:line="295" w:lineRule="auto"/>
        <w:ind w:right="39"/>
        <w:rPr>
          <w:rFonts w:hint="eastAsia" w:ascii="MS UI Gothic" w:eastAsia="MS UI Gothic"/>
        </w:rPr>
      </w:pPr>
      <w:r>
        <w:t>第二十七条 因执行上级安全监管监察部门的指示</w:t>
      </w:r>
      <w:r>
        <w:rPr>
          <w:rFonts w:hint="eastAsia" w:ascii="MS UI Gothic" w:eastAsia="MS UI Gothic"/>
          <w:w w:val="80"/>
        </w:rPr>
        <w:t xml:space="preserve">、 </w:t>
      </w:r>
      <w:r>
        <w:t>批复</w:t>
      </w:r>
      <w:r>
        <w:rPr>
          <w:rFonts w:hint="eastAsia" w:ascii="MS UI Gothic" w:eastAsia="MS UI Gothic"/>
          <w:w w:val="80"/>
        </w:rPr>
        <w:t xml:space="preserve">ꎬ </w:t>
      </w:r>
      <w:r>
        <w:t>致使行政执法行为违法或者不当的</w:t>
      </w:r>
      <w:r>
        <w:rPr>
          <w:rFonts w:hint="eastAsia" w:ascii="MS UI Gothic" w:eastAsia="MS UI Gothic"/>
          <w:w w:val="80"/>
        </w:rPr>
        <w:t xml:space="preserve">ꎬ </w:t>
      </w:r>
      <w:r>
        <w:t>由作出指示</w:t>
      </w:r>
      <w:r>
        <w:rPr>
          <w:rFonts w:hint="eastAsia" w:ascii="MS UI Gothic" w:eastAsia="MS UI Gothic"/>
          <w:w w:val="80"/>
        </w:rPr>
        <w:t xml:space="preserve">、 </w:t>
      </w:r>
      <w:r>
        <w:t>批复的上级安全监管监察部门承担责任</w:t>
      </w:r>
      <w:r>
        <w:rPr>
          <w:rFonts w:hint="eastAsia" w:ascii="MS UI Gothic" w:eastAsia="MS UI Gothic"/>
          <w:w w:val="80"/>
        </w:rPr>
        <w:t>ꎮ</w:t>
      </w:r>
    </w:p>
    <w:p>
      <w:pPr>
        <w:pStyle w:val="6"/>
        <w:spacing w:line="295" w:lineRule="auto"/>
        <w:ind w:right="39"/>
        <w:rPr>
          <w:rFonts w:hint="eastAsia" w:ascii="MS UI Gothic" w:eastAsia="MS UI Gothic"/>
        </w:rPr>
      </w:pPr>
      <w:r>
        <w:t>因请示</w:t>
      </w:r>
      <w:r>
        <w:rPr>
          <w:rFonts w:hint="eastAsia" w:ascii="MS UI Gothic" w:eastAsia="MS UI Gothic"/>
          <w:w w:val="80"/>
        </w:rPr>
        <w:t xml:space="preserve">、 </w:t>
      </w:r>
      <w:r>
        <w:t>报告单位隐瞒事实或者未完整提供真实情况等原因</w:t>
      </w:r>
      <w:r>
        <w:rPr>
          <w:rFonts w:hint="eastAsia" w:ascii="MS UI Gothic" w:eastAsia="MS UI Gothic"/>
          <w:w w:val="80"/>
        </w:rPr>
        <w:t xml:space="preserve">ꎬ </w:t>
      </w:r>
      <w:r>
        <w:t>致使上级安全监管监察部门作出错误指示</w:t>
      </w:r>
      <w:r>
        <w:rPr>
          <w:rFonts w:hint="eastAsia" w:ascii="MS UI Gothic" w:eastAsia="MS UI Gothic"/>
          <w:w w:val="80"/>
        </w:rPr>
        <w:t xml:space="preserve">、 </w:t>
      </w:r>
      <w:r>
        <w:t>批复的</w:t>
      </w:r>
      <w:r>
        <w:rPr>
          <w:rFonts w:hint="eastAsia" w:ascii="MS UI Gothic" w:eastAsia="MS UI Gothic"/>
          <w:w w:val="80"/>
        </w:rPr>
        <w:t xml:space="preserve">ꎬ </w:t>
      </w:r>
      <w:r>
        <w:t>由请示</w:t>
      </w:r>
      <w:r>
        <w:rPr>
          <w:rFonts w:hint="eastAsia" w:ascii="MS UI Gothic" w:eastAsia="MS UI Gothic"/>
          <w:w w:val="80"/>
        </w:rPr>
        <w:t xml:space="preserve">、 </w:t>
      </w:r>
      <w:r>
        <w:t>报告单位承担责任</w:t>
      </w:r>
      <w:r>
        <w:rPr>
          <w:rFonts w:hint="eastAsia" w:ascii="MS UI Gothic" w:eastAsia="MS UI Gothic"/>
          <w:w w:val="80"/>
        </w:rPr>
        <w:t>ꎮ</w:t>
      </w:r>
    </w:p>
    <w:p>
      <w:pPr>
        <w:pStyle w:val="6"/>
        <w:spacing w:before="85" w:line="295" w:lineRule="auto"/>
        <w:ind w:right="442"/>
        <w:rPr>
          <w:rFonts w:hint="eastAsia" w:ascii="MS UI Gothic" w:eastAsia="MS UI Gothic"/>
        </w:rPr>
      </w:pPr>
      <w:r>
        <w:br w:type="column"/>
      </w:r>
      <w:r>
        <w:t>第二十八条 下级安全监管监察部门认为上级的决定或者命令有错误的</w:t>
      </w:r>
      <w:r>
        <w:rPr>
          <w:rFonts w:hint="eastAsia" w:ascii="MS UI Gothic" w:eastAsia="MS UI Gothic"/>
          <w:w w:val="80"/>
        </w:rPr>
        <w:t xml:space="preserve">ꎬ </w:t>
      </w:r>
      <w:r>
        <w:t>可以向上级提出改正</w:t>
      </w:r>
      <w:r>
        <w:rPr>
          <w:rFonts w:hint="eastAsia" w:ascii="MS UI Gothic" w:eastAsia="MS UI Gothic"/>
          <w:w w:val="80"/>
        </w:rPr>
        <w:t xml:space="preserve">、 </w:t>
      </w:r>
      <w:r>
        <w:t>撤销该决定或者命令的意见</w:t>
      </w:r>
      <w:r>
        <w:rPr>
          <w:rFonts w:hint="eastAsia" w:ascii="MS UI Gothic" w:eastAsia="MS UI Gothic"/>
          <w:w w:val="80"/>
        </w:rPr>
        <w:t xml:space="preserve">ꎻ </w:t>
      </w:r>
      <w:r>
        <w:t>上级不改变该决定或者命令</w:t>
      </w:r>
      <w:r>
        <w:rPr>
          <w:rFonts w:hint="eastAsia" w:ascii="MS UI Gothic" w:eastAsia="MS UI Gothic"/>
          <w:w w:val="80"/>
        </w:rPr>
        <w:t xml:space="preserve">ꎬ </w:t>
      </w:r>
      <w:r>
        <w:t>或者要求立即执行的</w:t>
      </w:r>
      <w:r>
        <w:rPr>
          <w:rFonts w:hint="eastAsia" w:ascii="MS UI Gothic" w:eastAsia="MS UI Gothic"/>
          <w:w w:val="80"/>
        </w:rPr>
        <w:t xml:space="preserve">ꎬ </w:t>
      </w:r>
      <w:r>
        <w:t>下级安全监管监察部门应当执行该决定或者命令</w:t>
      </w:r>
      <w:r>
        <w:rPr>
          <w:rFonts w:hint="eastAsia" w:ascii="MS UI Gothic" w:eastAsia="MS UI Gothic"/>
          <w:w w:val="80"/>
        </w:rPr>
        <w:t xml:space="preserve">ꎬ </w:t>
      </w:r>
      <w:r>
        <w:t>其不当或者违法责任由上级安全监管监察部门承担</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第二十九条 上级安全监管监察部门</w:t>
      </w:r>
      <w:r>
        <w:rPr>
          <w:spacing w:val="3"/>
          <w:w w:val="105"/>
        </w:rPr>
        <w:t>改变</w:t>
      </w:r>
      <w:r>
        <w:rPr>
          <w:rFonts w:hint="eastAsia" w:ascii="MS UI Gothic" w:eastAsia="MS UI Gothic"/>
          <w:spacing w:val="-2"/>
          <w:w w:val="80"/>
        </w:rPr>
        <w:t xml:space="preserve">、 </w:t>
      </w:r>
      <w:r>
        <w:rPr>
          <w:spacing w:val="2"/>
          <w:w w:val="105"/>
        </w:rPr>
        <w:t>撤销下级安全监管监察部门作出的</w:t>
      </w:r>
      <w:r>
        <w:rPr>
          <w:spacing w:val="3"/>
        </w:rPr>
        <w:t>行政执法行为</w:t>
      </w:r>
      <w:r>
        <w:rPr>
          <w:rFonts w:hint="eastAsia" w:ascii="MS UI Gothic" w:eastAsia="MS UI Gothic"/>
          <w:spacing w:val="20"/>
          <w:w w:val="80"/>
        </w:rPr>
        <w:t xml:space="preserve">ꎬ </w:t>
      </w:r>
      <w:r>
        <w:rPr>
          <w:spacing w:val="2"/>
        </w:rPr>
        <w:t>致使行政执法行为违法或</w:t>
      </w:r>
      <w:r>
        <w:rPr>
          <w:spacing w:val="3"/>
        </w:rPr>
        <w:t>者不当的</w:t>
      </w:r>
      <w:r>
        <w:rPr>
          <w:rFonts w:hint="eastAsia" w:ascii="MS UI Gothic" w:eastAsia="MS UI Gothic"/>
          <w:spacing w:val="20"/>
          <w:w w:val="80"/>
        </w:rPr>
        <w:t xml:space="preserve">ꎬ </w:t>
      </w:r>
      <w:r>
        <w:rPr>
          <w:spacing w:val="2"/>
        </w:rPr>
        <w:t>由上级安全监管监察部门及其</w:t>
      </w:r>
      <w:r>
        <w:rPr>
          <w:spacing w:val="3"/>
          <w:w w:val="105"/>
        </w:rPr>
        <w:t>有关内设机构</w:t>
      </w:r>
      <w:r>
        <w:rPr>
          <w:rFonts w:hint="eastAsia" w:ascii="MS UI Gothic" w:eastAsia="MS UI Gothic"/>
          <w:spacing w:val="-2"/>
          <w:w w:val="80"/>
        </w:rPr>
        <w:t xml:space="preserve">、 </w:t>
      </w:r>
      <w:r>
        <w:rPr>
          <w:spacing w:val="2"/>
          <w:w w:val="105"/>
        </w:rPr>
        <w:t>行政执法人员依照本章规</w:t>
      </w:r>
      <w:r>
        <w:rPr>
          <w:spacing w:val="3"/>
          <w:w w:val="105"/>
        </w:rPr>
        <w:t>定分别承担相应责任</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第三十条 安全监管监察部门及其内</w:t>
      </w:r>
      <w:r>
        <w:rPr>
          <w:spacing w:val="5"/>
        </w:rPr>
        <w:t>设机构</w:t>
      </w:r>
      <w:r>
        <w:rPr>
          <w:rFonts w:hint="eastAsia" w:ascii="MS UI Gothic" w:eastAsia="MS UI Gothic"/>
          <w:spacing w:val="22"/>
          <w:w w:val="80"/>
        </w:rPr>
        <w:t xml:space="preserve">、 </w:t>
      </w:r>
      <w:r>
        <w:rPr>
          <w:spacing w:val="17"/>
        </w:rPr>
        <w:t>行政执法人员不履行法定职责</w:t>
      </w:r>
      <w:r>
        <w:rPr>
          <w:spacing w:val="3"/>
        </w:rPr>
        <w:t>的</w:t>
      </w:r>
      <w:r>
        <w:rPr>
          <w:rFonts w:hint="eastAsia" w:ascii="MS UI Gothic" w:eastAsia="MS UI Gothic"/>
          <w:spacing w:val="23"/>
          <w:w w:val="80"/>
        </w:rPr>
        <w:t xml:space="preserve">ꎬ </w:t>
      </w:r>
      <w:r>
        <w:rPr>
          <w:spacing w:val="3"/>
        </w:rPr>
        <w:t>应当根据各自的职责分工</w:t>
      </w:r>
      <w:r>
        <w:rPr>
          <w:rFonts w:hint="eastAsia" w:ascii="MS UI Gothic" w:eastAsia="MS UI Gothic"/>
          <w:spacing w:val="23"/>
          <w:w w:val="80"/>
        </w:rPr>
        <w:t xml:space="preserve">ꎬ </w:t>
      </w:r>
      <w:r>
        <w:rPr>
          <w:spacing w:val="2"/>
        </w:rPr>
        <w:t>依照本章</w:t>
      </w:r>
      <w:r>
        <w:rPr>
          <w:spacing w:val="3"/>
        </w:rPr>
        <w:t>规定区分并承担责任</w:t>
      </w:r>
      <w:r>
        <w:rPr>
          <w:rFonts w:hint="eastAsia" w:ascii="MS UI Gothic" w:eastAsia="MS UI Gothic"/>
          <w:w w:val="80"/>
        </w:rPr>
        <w:t>ꎮ</w:t>
      </w:r>
    </w:p>
    <w:p>
      <w:pPr>
        <w:pStyle w:val="6"/>
        <w:tabs>
          <w:tab w:val="left" w:pos="1382"/>
        </w:tabs>
        <w:spacing w:before="144"/>
        <w:ind w:left="543" w:firstLine="0"/>
        <w:jc w:val="left"/>
      </w:pPr>
      <w:r>
        <w:rPr>
          <w:spacing w:val="3"/>
          <w:w w:val="105"/>
        </w:rPr>
        <w:t>第四</w:t>
      </w:r>
      <w:r>
        <w:rPr>
          <w:w w:val="105"/>
        </w:rPr>
        <w:t>章</w:t>
      </w:r>
      <w:r>
        <w:rPr>
          <w:w w:val="105"/>
        </w:rPr>
        <w:tab/>
      </w:r>
      <w:r>
        <w:rPr>
          <w:spacing w:val="3"/>
          <w:w w:val="105"/>
        </w:rPr>
        <w:t>责任追究的方式与适</w:t>
      </w:r>
      <w:r>
        <w:rPr>
          <w:w w:val="105"/>
        </w:rPr>
        <w:t>用</w:t>
      </w:r>
    </w:p>
    <w:p>
      <w:pPr>
        <w:pStyle w:val="6"/>
        <w:spacing w:before="215" w:line="295" w:lineRule="auto"/>
        <w:ind w:right="442"/>
        <w:rPr>
          <w:rFonts w:hint="eastAsia" w:ascii="MS UI Gothic" w:eastAsia="MS UI Gothic"/>
        </w:rPr>
      </w:pPr>
      <w:r>
        <w:rPr>
          <w:w w:val="105"/>
        </w:rPr>
        <w:t>第三十一条 对安全监管监察部门及</w:t>
      </w:r>
      <w:r>
        <w:rPr>
          <w:w w:val="110"/>
        </w:rPr>
        <w:t>其内设机构的责任追究包括下列方式</w:t>
      </w:r>
      <w:r>
        <w:rPr>
          <w:rFonts w:hint="eastAsia" w:ascii="MS UI Gothic" w:eastAsia="MS UI Gothic"/>
          <w:w w:val="235"/>
        </w:rPr>
        <w:t>:</w:t>
      </w:r>
    </w:p>
    <w:p>
      <w:pPr>
        <w:pStyle w:val="6"/>
        <w:spacing w:line="295" w:lineRule="auto"/>
        <w:ind w:left="543" w:right="1835" w:firstLine="0"/>
        <w:jc w:val="left"/>
        <w:rPr>
          <w:rFonts w:hint="eastAsia" w:ascii="MS UI Gothic" w:eastAsia="MS UI Gothic"/>
        </w:rPr>
      </w:pPr>
      <w:r>
        <w:rPr>
          <w:rFonts w:hint="eastAsia" w:ascii="MS UI Gothic" w:eastAsia="MS UI Gothic"/>
          <w:w w:val="110"/>
        </w:rPr>
        <w:t xml:space="preserve">( </w:t>
      </w:r>
      <w:r>
        <w:rPr>
          <w:w w:val="110"/>
        </w:rPr>
        <w:t>一</w:t>
      </w:r>
      <w:r>
        <w:rPr>
          <w:rFonts w:hint="eastAsia" w:ascii="MS UI Gothic" w:eastAsia="MS UI Gothic"/>
          <w:w w:val="110"/>
        </w:rPr>
        <w:t xml:space="preserve">) </w:t>
      </w:r>
      <w:r>
        <w:rPr>
          <w:w w:val="110"/>
        </w:rPr>
        <w:t>责令限期改正</w:t>
      </w:r>
      <w:r>
        <w:rPr>
          <w:rFonts w:hint="eastAsia" w:ascii="MS UI Gothic" w:eastAsia="MS UI Gothic"/>
          <w:w w:val="80"/>
        </w:rPr>
        <w:t>ꎻ</w:t>
      </w:r>
      <w:r>
        <w:rPr>
          <w:rFonts w:hint="eastAsia" w:ascii="MS UI Gothic" w:eastAsia="MS UI Gothic"/>
          <w:w w:val="150"/>
        </w:rPr>
        <w:t xml:space="preserve">( </w:t>
      </w:r>
      <w:r>
        <w:rPr>
          <w:w w:val="115"/>
        </w:rPr>
        <w:t>二</w:t>
      </w:r>
      <w:r>
        <w:rPr>
          <w:rFonts w:hint="eastAsia" w:ascii="MS UI Gothic" w:eastAsia="MS UI Gothic"/>
          <w:w w:val="150"/>
        </w:rPr>
        <w:t xml:space="preserve">) </w:t>
      </w:r>
      <w:r>
        <w:rPr>
          <w:w w:val="115"/>
        </w:rPr>
        <w:t>通报批评</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取消当年评优评先资格</w:t>
      </w:r>
      <w:r>
        <w:rPr>
          <w:rFonts w:hint="eastAsia" w:ascii="MS UI Gothic" w:eastAsia="MS UI Gothic"/>
          <w:w w:val="80"/>
        </w:rPr>
        <w:t>ꎻ</w:t>
      </w:r>
    </w:p>
    <w:p>
      <w:pPr>
        <w:pStyle w:val="6"/>
        <w:spacing w:before="57" w:line="295" w:lineRule="auto"/>
        <w:ind w:right="442"/>
        <w:jc w:val="left"/>
        <w:rPr>
          <w:rFonts w:hint="eastAsia" w:ascii="MS UI Gothic" w:eastAsia="MS UI Gothic"/>
        </w:rPr>
      </w:pPr>
      <w:r>
        <w:rPr>
          <w:rFonts w:hint="eastAsia" w:ascii="MS UI Gothic" w:eastAsia="MS UI Gothic"/>
          <w:spacing w:val="-37"/>
          <w:w w:val="150"/>
        </w:rPr>
        <w:t xml:space="preserve">( </w:t>
      </w:r>
      <w:r>
        <w:rPr>
          <w:spacing w:val="3"/>
          <w:w w:val="105"/>
        </w:rPr>
        <w:t>四</w:t>
      </w:r>
      <w:r>
        <w:rPr>
          <w:rFonts w:hint="eastAsia" w:ascii="MS UI Gothic" w:eastAsia="MS UI Gothic"/>
          <w:spacing w:val="9"/>
          <w:w w:val="150"/>
        </w:rPr>
        <w:t xml:space="preserve">) </w:t>
      </w:r>
      <w:r>
        <w:rPr>
          <w:spacing w:val="3"/>
          <w:w w:val="105"/>
        </w:rPr>
        <w:t>法律</w:t>
      </w:r>
      <w:r>
        <w:rPr>
          <w:rFonts w:hint="eastAsia" w:ascii="MS UI Gothic" w:eastAsia="MS UI Gothic"/>
          <w:spacing w:val="23"/>
          <w:w w:val="80"/>
        </w:rPr>
        <w:t xml:space="preserve">、 </w:t>
      </w:r>
      <w:r>
        <w:rPr>
          <w:spacing w:val="8"/>
          <w:w w:val="105"/>
        </w:rPr>
        <w:t>法规和规章规定的其他</w:t>
      </w:r>
      <w:r>
        <w:rPr>
          <w:spacing w:val="3"/>
          <w:w w:val="105"/>
        </w:rPr>
        <w:t>方式</w:t>
      </w:r>
      <w:r>
        <w:rPr>
          <w:rFonts w:hint="eastAsia" w:ascii="MS UI Gothic" w:eastAsia="MS UI Gothic"/>
          <w:w w:val="80"/>
        </w:rPr>
        <w:t>ꎮ</w:t>
      </w:r>
    </w:p>
    <w:p>
      <w:pPr>
        <w:pStyle w:val="6"/>
        <w:spacing w:line="295" w:lineRule="auto"/>
        <w:ind w:right="442"/>
        <w:jc w:val="left"/>
        <w:rPr>
          <w:rFonts w:hint="eastAsia" w:ascii="MS UI Gothic" w:eastAsia="MS UI Gothic"/>
        </w:rPr>
      </w:pPr>
      <w:r>
        <w:rPr>
          <w:spacing w:val="2"/>
        </w:rPr>
        <w:t>对行政执法人员的责任追究包括下列</w:t>
      </w:r>
      <w:r>
        <w:rPr>
          <w:spacing w:val="3"/>
          <w:w w:val="115"/>
        </w:rPr>
        <w:t>方式</w:t>
      </w:r>
      <w:r>
        <w:rPr>
          <w:rFonts w:hint="eastAsia" w:ascii="MS UI Gothic" w:eastAsia="MS UI Gothic"/>
          <w:w w:val="235"/>
        </w:rPr>
        <w:t>:</w:t>
      </w:r>
    </w:p>
    <w:p>
      <w:pPr>
        <w:pStyle w:val="6"/>
        <w:spacing w:line="295" w:lineRule="auto"/>
        <w:ind w:left="543" w:right="2288" w:firstLine="0"/>
        <w:jc w:val="left"/>
        <w:rPr>
          <w:rFonts w:hint="eastAsia" w:ascii="MS UI Gothic" w:eastAsia="MS UI Gothic"/>
        </w:rPr>
      </w:pPr>
      <w:r>
        <w:rPr>
          <w:rFonts w:hint="eastAsia" w:ascii="MS UI Gothic" w:eastAsia="MS UI Gothic"/>
          <w:spacing w:val="-32"/>
          <w:w w:val="115"/>
        </w:rPr>
        <w:t xml:space="preserve">( </w:t>
      </w:r>
      <w:r>
        <w:rPr>
          <w:spacing w:val="3"/>
          <w:w w:val="115"/>
        </w:rPr>
        <w:t>一</w:t>
      </w:r>
      <w:r>
        <w:rPr>
          <w:rFonts w:hint="eastAsia" w:ascii="MS UI Gothic" w:eastAsia="MS UI Gothic"/>
          <w:spacing w:val="-13"/>
          <w:w w:val="115"/>
        </w:rPr>
        <w:t xml:space="preserve">) </w:t>
      </w:r>
      <w:r>
        <w:rPr>
          <w:spacing w:val="3"/>
          <w:w w:val="115"/>
        </w:rPr>
        <w:t>批评教育</w:t>
      </w:r>
      <w:r>
        <w:rPr>
          <w:rFonts w:hint="eastAsia" w:ascii="MS UI Gothic" w:eastAsia="MS UI Gothic"/>
          <w:spacing w:val="-12"/>
          <w:w w:val="80"/>
        </w:rPr>
        <w:t>ꎻ</w:t>
      </w:r>
      <w:r>
        <w:rPr>
          <w:rFonts w:hint="eastAsia" w:ascii="MS UI Gothic" w:eastAsia="MS UI Gothic"/>
          <w:spacing w:val="-32"/>
          <w:w w:val="115"/>
        </w:rPr>
        <w:t xml:space="preserve">( </w:t>
      </w:r>
      <w:r>
        <w:rPr>
          <w:spacing w:val="3"/>
          <w:w w:val="115"/>
        </w:rPr>
        <w:t>二</w:t>
      </w:r>
      <w:r>
        <w:rPr>
          <w:rFonts w:hint="eastAsia" w:ascii="MS UI Gothic" w:eastAsia="MS UI Gothic"/>
          <w:spacing w:val="-13"/>
          <w:w w:val="115"/>
        </w:rPr>
        <w:t xml:space="preserve">) </w:t>
      </w:r>
      <w:r>
        <w:rPr>
          <w:spacing w:val="3"/>
          <w:w w:val="115"/>
        </w:rPr>
        <w:t>离岗培训</w:t>
      </w:r>
      <w:r>
        <w:rPr>
          <w:rFonts w:hint="eastAsia" w:ascii="MS UI Gothic" w:eastAsia="MS UI Gothic"/>
          <w:spacing w:val="-12"/>
          <w:w w:val="80"/>
        </w:rPr>
        <w:t>ꎻ</w:t>
      </w:r>
    </w:p>
    <w:p>
      <w:pPr>
        <w:pStyle w:val="6"/>
        <w:spacing w:line="295" w:lineRule="auto"/>
        <w:ind w:left="543" w:right="1030" w:firstLine="0"/>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取消当年评优评先资格</w:t>
      </w:r>
      <w:r>
        <w:rPr>
          <w:rFonts w:hint="eastAsia" w:ascii="MS UI Gothic" w:eastAsia="MS UI Gothic"/>
          <w:w w:val="80"/>
        </w:rPr>
        <w:t>ꎻ</w:t>
      </w: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暂扣行政执法证件</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调离执法岗位</w:t>
      </w:r>
      <w:r>
        <w:rPr>
          <w:rFonts w:hint="eastAsia" w:ascii="MS UI Gothic" w:eastAsia="MS UI Gothic"/>
          <w:w w:val="80"/>
        </w:rPr>
        <w:t>ꎻ</w:t>
      </w:r>
    </w:p>
    <w:p>
      <w:pPr>
        <w:pStyle w:val="6"/>
        <w:spacing w:before="53" w:line="295" w:lineRule="auto"/>
        <w:ind w:right="442"/>
        <w:jc w:val="left"/>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法规和规章规定的其他方式</w:t>
      </w:r>
      <w:r>
        <w:rPr>
          <w:rFonts w:hint="eastAsia" w:ascii="MS UI Gothic" w:eastAsia="MS UI Gothic"/>
          <w:w w:val="80"/>
        </w:rPr>
        <w:t>ꎮ</w:t>
      </w:r>
    </w:p>
    <w:p>
      <w:pPr>
        <w:pStyle w:val="6"/>
        <w:tabs>
          <w:tab w:val="left" w:pos="1172"/>
        </w:tabs>
        <w:spacing w:line="295" w:lineRule="auto"/>
        <w:ind w:right="442"/>
        <w:jc w:val="left"/>
        <w:rPr>
          <w:rFonts w:hint="eastAsia" w:ascii="MS UI Gothic" w:eastAsia="MS UI Gothic"/>
        </w:rPr>
      </w:pPr>
      <w:r>
        <w:rPr>
          <w:spacing w:val="3"/>
        </w:rPr>
        <w:t>本</w:t>
      </w:r>
      <w:r>
        <w:t>条</w:t>
      </w:r>
      <w:r>
        <w:tab/>
      </w:r>
      <w:r>
        <w:rPr>
          <w:spacing w:val="3"/>
        </w:rPr>
        <w:t>第一款和第二款规定的责任</w:t>
      </w:r>
      <w:r>
        <w:t>追</w:t>
      </w:r>
      <w:r>
        <w:rPr>
          <w:spacing w:val="3"/>
        </w:rPr>
        <w:t>究方式</w:t>
      </w:r>
      <w:r>
        <w:rPr>
          <w:rFonts w:hint="eastAsia" w:ascii="MS UI Gothic" w:eastAsia="MS UI Gothic"/>
          <w:w w:val="80"/>
        </w:rPr>
        <w:t>ꎬ</w:t>
      </w:r>
      <w:r>
        <w:rPr>
          <w:rFonts w:hint="eastAsia" w:ascii="MS UI Gothic" w:eastAsia="MS UI Gothic"/>
          <w:spacing w:val="3"/>
          <w:w w:val="80"/>
        </w:rPr>
        <w:t xml:space="preserve"> </w:t>
      </w:r>
      <w:r>
        <w:rPr>
          <w:spacing w:val="3"/>
        </w:rPr>
        <w:t>可以单独或者合并适用</w:t>
      </w:r>
      <w:r>
        <w:rPr>
          <w:rFonts w:hint="eastAsia" w:ascii="MS UI Gothic" w:eastAsia="MS UI Gothic"/>
          <w:w w:val="80"/>
        </w:rPr>
        <w:t>ꎮ</w:t>
      </w:r>
    </w:p>
    <w:p>
      <w:pPr>
        <w:pStyle w:val="6"/>
        <w:tabs>
          <w:tab w:val="left" w:pos="1801"/>
        </w:tabs>
        <w:spacing w:line="295" w:lineRule="auto"/>
        <w:ind w:right="442"/>
        <w:jc w:val="left"/>
      </w:pPr>
      <w:r>
        <w:rPr>
          <w:spacing w:val="3"/>
        </w:rPr>
        <w:t>第三十二</w:t>
      </w:r>
      <w:r>
        <w:t>条</w:t>
      </w:r>
      <w:r>
        <w:tab/>
      </w:r>
      <w:r>
        <w:rPr>
          <w:spacing w:val="3"/>
        </w:rPr>
        <w:t>对安全监管监察部门</w:t>
      </w:r>
      <w:r>
        <w:t>及</w:t>
      </w:r>
      <w:r>
        <w:rPr>
          <w:spacing w:val="3"/>
        </w:rPr>
        <w:t>其内设机构</w:t>
      </w:r>
      <w:r>
        <w:rPr>
          <w:rFonts w:hint="eastAsia" w:ascii="MS UI Gothic" w:eastAsia="MS UI Gothic"/>
        </w:rPr>
        <w:t>、</w:t>
      </w:r>
      <w:r>
        <w:rPr>
          <w:rFonts w:hint="eastAsia" w:ascii="MS UI Gothic" w:eastAsia="MS UI Gothic"/>
          <w:spacing w:val="37"/>
        </w:rPr>
        <w:t xml:space="preserve"> </w:t>
      </w:r>
      <w:r>
        <w:rPr>
          <w:spacing w:val="3"/>
        </w:rPr>
        <w:t>行政执法人员实施责任追</w:t>
      </w:r>
      <w:r>
        <w:t>究</w:t>
      </w:r>
    </w:p>
    <w:p>
      <w:pPr>
        <w:spacing w:after="0" w:line="295" w:lineRule="auto"/>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１４７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84" o:spid="_x0000_s1484" o:spt="203" style="height:2.15pt;width:398.25pt;" coordsize="7965,43">
            <o:lock v:ext="edit"/>
            <v:line id="_x0000_s1485" o:spid="_x0000_s1485" o:spt="20" style="position:absolute;left:0;top:39;height:0;width:7965;" stroked="t" coordsize="21600,21600">
              <v:path arrowok="t"/>
              <v:fill focussize="0,0"/>
              <v:stroke weight="0.388031496062992pt" color="#231F20"/>
              <v:imagedata o:title=""/>
              <o:lock v:ext="edit"/>
            </v:line>
            <v:line id="_x0000_s1486" o:spid="_x0000_s148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的时候</w:t>
      </w:r>
      <w:r>
        <w:rPr>
          <w:rFonts w:hint="eastAsia" w:ascii="MS UI Gothic" w:eastAsia="MS UI Gothic"/>
          <w:w w:val="80"/>
        </w:rPr>
        <w:t xml:space="preserve">ꎬ </w:t>
      </w:r>
      <w:r>
        <w:t>应当根据违法</w:t>
      </w:r>
      <w:r>
        <w:rPr>
          <w:rFonts w:hint="eastAsia" w:ascii="MS UI Gothic" w:eastAsia="MS UI Gothic"/>
          <w:w w:val="80"/>
        </w:rPr>
        <w:t xml:space="preserve">、 </w:t>
      </w:r>
      <w:r>
        <w:t>不当行政执法行为的事实</w:t>
      </w:r>
      <w:r>
        <w:rPr>
          <w:rFonts w:hint="eastAsia" w:ascii="MS UI Gothic" w:eastAsia="MS UI Gothic"/>
          <w:w w:val="80"/>
        </w:rPr>
        <w:t xml:space="preserve">、 </w:t>
      </w:r>
      <w:r>
        <w:t>性质</w:t>
      </w:r>
      <w:r>
        <w:rPr>
          <w:rFonts w:hint="eastAsia" w:ascii="MS UI Gothic" w:eastAsia="MS UI Gothic"/>
          <w:w w:val="80"/>
        </w:rPr>
        <w:t xml:space="preserve">、 </w:t>
      </w:r>
      <w:r>
        <w:t>情节和对于社会的危害程度</w:t>
      </w:r>
      <w:r>
        <w:rPr>
          <w:rFonts w:hint="eastAsia" w:ascii="MS UI Gothic" w:eastAsia="MS UI Gothic"/>
          <w:w w:val="80"/>
        </w:rPr>
        <w:t xml:space="preserve">ꎬ </w:t>
      </w:r>
      <w:r>
        <w:t>依照本规定的有关条款决定</w:t>
      </w:r>
      <w:r>
        <w:rPr>
          <w:rFonts w:hint="eastAsia" w:ascii="MS UI Gothic" w:eastAsia="MS UI Gothic"/>
          <w:w w:val="80"/>
        </w:rPr>
        <w:t>ꎮ</w:t>
      </w:r>
    </w:p>
    <w:p>
      <w:pPr>
        <w:pStyle w:val="6"/>
        <w:spacing w:line="295" w:lineRule="auto"/>
        <w:ind w:left="440" w:right="1"/>
        <w:rPr>
          <w:rFonts w:hint="eastAsia" w:ascii="MS UI Gothic" w:eastAsia="MS UI Gothic"/>
        </w:rPr>
      </w:pPr>
      <w:r>
        <w:t>第三十三条 违法或者不当行政执法行为的情节较轻</w:t>
      </w:r>
      <w:r>
        <w:rPr>
          <w:rFonts w:hint="eastAsia" w:ascii="MS UI Gothic" w:eastAsia="MS UI Gothic"/>
          <w:w w:val="80"/>
        </w:rPr>
        <w:t xml:space="preserve">、 </w:t>
      </w:r>
      <w:r>
        <w:t>危害较小的</w:t>
      </w:r>
      <w:r>
        <w:rPr>
          <w:rFonts w:hint="eastAsia" w:ascii="MS UI Gothic" w:eastAsia="MS UI Gothic"/>
          <w:w w:val="80"/>
        </w:rPr>
        <w:t xml:space="preserve">ꎬ </w:t>
      </w:r>
      <w:r>
        <w:t>对安全监管监察部门责令限期改正</w:t>
      </w:r>
      <w:r>
        <w:rPr>
          <w:rFonts w:hint="eastAsia" w:ascii="MS UI Gothic" w:eastAsia="MS UI Gothic"/>
          <w:w w:val="80"/>
        </w:rPr>
        <w:t xml:space="preserve">ꎬ </w:t>
      </w:r>
      <w:r>
        <w:t>对行政执法人员予以批评教育或者离岗培训</w:t>
      </w:r>
      <w:r>
        <w:rPr>
          <w:rFonts w:hint="eastAsia" w:ascii="MS UI Gothic" w:eastAsia="MS UI Gothic"/>
          <w:w w:val="80"/>
        </w:rPr>
        <w:t xml:space="preserve">ꎬ </w:t>
      </w:r>
      <w:r>
        <w:t>并取消当年评优评先资格</w:t>
      </w:r>
      <w:r>
        <w:rPr>
          <w:rFonts w:hint="eastAsia" w:ascii="MS UI Gothic" w:eastAsia="MS UI Gothic"/>
          <w:w w:val="80"/>
        </w:rPr>
        <w:t>ꎮ</w:t>
      </w:r>
    </w:p>
    <w:p>
      <w:pPr>
        <w:pStyle w:val="6"/>
        <w:spacing w:line="295" w:lineRule="auto"/>
        <w:ind w:left="440" w:right="1"/>
        <w:rPr>
          <w:rFonts w:hint="eastAsia" w:ascii="MS UI Gothic" w:eastAsia="MS UI Gothic"/>
        </w:rPr>
      </w:pPr>
      <w:r>
        <w:t>违法或者不当行政执法行为的情节较重</w:t>
      </w:r>
      <w:r>
        <w:rPr>
          <w:rFonts w:hint="eastAsia" w:ascii="MS UI Gothic" w:eastAsia="MS UI Gothic"/>
          <w:w w:val="80"/>
        </w:rPr>
        <w:t xml:space="preserve">、 </w:t>
      </w:r>
      <w:r>
        <w:t>危害较大的</w:t>
      </w:r>
      <w:r>
        <w:rPr>
          <w:rFonts w:hint="eastAsia" w:ascii="MS UI Gothic" w:eastAsia="MS UI Gothic"/>
          <w:w w:val="80"/>
        </w:rPr>
        <w:t xml:space="preserve">ꎬ </w:t>
      </w:r>
      <w:r>
        <w:t>对安全监管监察部门责令限期改正</w:t>
      </w:r>
      <w:r>
        <w:rPr>
          <w:rFonts w:hint="eastAsia" w:ascii="MS UI Gothic" w:eastAsia="MS UI Gothic"/>
          <w:w w:val="80"/>
        </w:rPr>
        <w:t xml:space="preserve">ꎬ </w:t>
      </w:r>
      <w:r>
        <w:t>予以通报批评</w:t>
      </w:r>
      <w:r>
        <w:rPr>
          <w:rFonts w:hint="eastAsia" w:ascii="MS UI Gothic" w:eastAsia="MS UI Gothic"/>
          <w:w w:val="80"/>
        </w:rPr>
        <w:t xml:space="preserve">ꎬ </w:t>
      </w:r>
      <w:r>
        <w:t>并取消当年评优评先资格</w:t>
      </w:r>
      <w:r>
        <w:rPr>
          <w:rFonts w:hint="eastAsia" w:ascii="MS UI Gothic" w:eastAsia="MS UI Gothic"/>
          <w:w w:val="80"/>
        </w:rPr>
        <w:t xml:space="preserve">ꎻ </w:t>
      </w:r>
      <w:r>
        <w:t>对行政执法人员予以调离执法岗位或者暂扣行政执法证件</w:t>
      </w:r>
      <w:r>
        <w:rPr>
          <w:rFonts w:hint="eastAsia" w:ascii="MS UI Gothic" w:eastAsia="MS UI Gothic"/>
          <w:w w:val="80"/>
        </w:rPr>
        <w:t xml:space="preserve">ꎬ </w:t>
      </w:r>
      <w:r>
        <w:t>并取消当年评优评先资格</w:t>
      </w:r>
      <w:r>
        <w:rPr>
          <w:rFonts w:hint="eastAsia" w:ascii="MS UI Gothic" w:eastAsia="MS UI Gothic"/>
          <w:w w:val="80"/>
        </w:rPr>
        <w:t>ꎮ</w:t>
      </w:r>
    </w:p>
    <w:p>
      <w:pPr>
        <w:pStyle w:val="6"/>
        <w:spacing w:line="295" w:lineRule="auto"/>
        <w:ind w:left="440" w:right="1"/>
        <w:rPr>
          <w:rFonts w:hint="eastAsia" w:ascii="MS UI Gothic" w:eastAsia="MS UI Gothic"/>
        </w:rPr>
      </w:pPr>
      <w:r>
        <w:t>第三十四条 安全监管监察部门及其内设机构在年度行政执法评议考核中被确定为不合格的</w:t>
      </w:r>
      <w:r>
        <w:rPr>
          <w:rFonts w:hint="eastAsia" w:ascii="MS UI Gothic" w:eastAsia="MS UI Gothic"/>
          <w:w w:val="80"/>
        </w:rPr>
        <w:t xml:space="preserve">ꎬ </w:t>
      </w:r>
      <w:r>
        <w:t>责令限期改正</w:t>
      </w:r>
      <w:r>
        <w:rPr>
          <w:rFonts w:hint="eastAsia" w:ascii="MS UI Gothic" w:eastAsia="MS UI Gothic"/>
          <w:w w:val="80"/>
        </w:rPr>
        <w:t xml:space="preserve">ꎬ </w:t>
      </w:r>
      <w:r>
        <w:t>并予以通报批评</w:t>
      </w:r>
      <w:r>
        <w:rPr>
          <w:rFonts w:hint="eastAsia" w:ascii="MS UI Gothic" w:eastAsia="MS UI Gothic"/>
          <w:w w:val="80"/>
        </w:rPr>
        <w:t xml:space="preserve">、 </w:t>
      </w:r>
      <w:r>
        <w:t>取消当年评优评先资格</w:t>
      </w:r>
      <w:r>
        <w:rPr>
          <w:rFonts w:hint="eastAsia" w:ascii="MS UI Gothic" w:eastAsia="MS UI Gothic"/>
          <w:w w:val="80"/>
        </w:rPr>
        <w:t>ꎮ</w:t>
      </w:r>
    </w:p>
    <w:p>
      <w:pPr>
        <w:pStyle w:val="6"/>
        <w:spacing w:line="295" w:lineRule="auto"/>
        <w:ind w:left="440"/>
        <w:rPr>
          <w:rFonts w:hint="eastAsia" w:ascii="MS UI Gothic" w:eastAsia="MS UI Gothic"/>
        </w:rPr>
      </w:pPr>
      <w:r>
        <w:t>行政执法人员在年度行政执法评议考核中被确定为不称职的</w:t>
      </w:r>
      <w:r>
        <w:rPr>
          <w:rFonts w:hint="eastAsia" w:ascii="MS UI Gothic" w:eastAsia="MS UI Gothic"/>
          <w:w w:val="80"/>
        </w:rPr>
        <w:t xml:space="preserve">ꎬ </w:t>
      </w:r>
      <w:r>
        <w:t>予以离岗培训</w:t>
      </w:r>
      <w:r>
        <w:rPr>
          <w:rFonts w:hint="eastAsia" w:ascii="MS UI Gothic" w:eastAsia="MS UI Gothic"/>
          <w:w w:val="80"/>
        </w:rPr>
        <w:t>、</w:t>
      </w:r>
      <w:r>
        <w:t>暂扣行政执法证件</w:t>
      </w:r>
      <w:r>
        <w:rPr>
          <w:rFonts w:hint="eastAsia" w:ascii="MS UI Gothic" w:eastAsia="MS UI Gothic"/>
          <w:w w:val="80"/>
        </w:rPr>
        <w:t xml:space="preserve">ꎬ </w:t>
      </w:r>
      <w:r>
        <w:t>并取消当年评优评先资格</w:t>
      </w:r>
      <w:r>
        <w:rPr>
          <w:rFonts w:hint="eastAsia" w:ascii="MS UI Gothic" w:eastAsia="MS UI Gothic"/>
          <w:w w:val="80"/>
        </w:rPr>
        <w:t>ꎮ</w:t>
      </w:r>
    </w:p>
    <w:p>
      <w:pPr>
        <w:pStyle w:val="6"/>
        <w:spacing w:line="295" w:lineRule="auto"/>
        <w:ind w:left="440"/>
        <w:rPr>
          <w:rFonts w:hint="eastAsia" w:ascii="MS UI Gothic" w:eastAsia="MS UI Gothic"/>
        </w:rPr>
      </w:pPr>
      <w:r>
        <w:t>第三十五条 一年内被申请行政复议或者被提起行政诉讼的行政执法行为中</w:t>
      </w:r>
      <w:r>
        <w:rPr>
          <w:rFonts w:hint="eastAsia" w:ascii="MS UI Gothic" w:eastAsia="MS UI Gothic"/>
          <w:w w:val="85"/>
        </w:rPr>
        <w:t>ꎬ</w:t>
      </w:r>
      <w:r>
        <w:t>被撤销</w:t>
      </w:r>
      <w:r>
        <w:rPr>
          <w:rFonts w:hint="eastAsia" w:ascii="MS UI Gothic" w:eastAsia="MS UI Gothic"/>
          <w:w w:val="85"/>
        </w:rPr>
        <w:t xml:space="preserve">、 </w:t>
      </w:r>
      <w:r>
        <w:t>变更</w:t>
      </w:r>
      <w:r>
        <w:rPr>
          <w:rFonts w:hint="eastAsia" w:ascii="MS UI Gothic" w:eastAsia="MS UI Gothic"/>
          <w:w w:val="85"/>
        </w:rPr>
        <w:t xml:space="preserve">、 </w:t>
      </w:r>
      <w:r>
        <w:t xml:space="preserve">确认违法的比例占 </w:t>
      </w:r>
      <w:r>
        <w:rPr>
          <w:rFonts w:hint="eastAsia" w:ascii="MS UI Gothic" w:eastAsia="MS UI Gothic"/>
          <w:w w:val="85"/>
        </w:rPr>
        <w:t>２０</w:t>
      </w:r>
      <w:r>
        <w:rPr>
          <w:w w:val="85"/>
        </w:rPr>
        <w:t xml:space="preserve">％ </w:t>
      </w:r>
      <w:r>
        <w:t xml:space="preserve">以上 </w:t>
      </w:r>
      <w:r>
        <w:rPr>
          <w:rFonts w:hint="eastAsia" w:ascii="MS UI Gothic" w:eastAsia="MS UI Gothic"/>
          <w:w w:val="140"/>
        </w:rPr>
        <w:t xml:space="preserve">( </w:t>
      </w:r>
      <w:r>
        <w:t>含本数</w:t>
      </w:r>
      <w:r>
        <w:rPr>
          <w:rFonts w:hint="eastAsia" w:ascii="MS UI Gothic" w:eastAsia="MS UI Gothic"/>
          <w:w w:val="85"/>
        </w:rPr>
        <w:t xml:space="preserve">ꎬ </w:t>
      </w:r>
      <w:r>
        <w:t>下同</w:t>
      </w:r>
      <w:r>
        <w:rPr>
          <w:rFonts w:hint="eastAsia" w:ascii="MS UI Gothic" w:eastAsia="MS UI Gothic"/>
          <w:w w:val="140"/>
        </w:rPr>
        <w:t xml:space="preserve">) </w:t>
      </w:r>
      <w:r>
        <w:t>的</w:t>
      </w:r>
      <w:r>
        <w:rPr>
          <w:rFonts w:hint="eastAsia" w:ascii="MS UI Gothic" w:eastAsia="MS UI Gothic"/>
          <w:w w:val="85"/>
        </w:rPr>
        <w:t xml:space="preserve">ꎬ </w:t>
      </w:r>
      <w:r>
        <w:t>应当责令有关安全监管监察部门限期改正</w:t>
      </w:r>
      <w:r>
        <w:rPr>
          <w:rFonts w:hint="eastAsia" w:ascii="MS UI Gothic" w:eastAsia="MS UI Gothic"/>
          <w:w w:val="85"/>
        </w:rPr>
        <w:t xml:space="preserve">ꎬ </w:t>
      </w:r>
      <w:r>
        <w:t>并取消当年评优评先资格</w:t>
      </w:r>
      <w:r>
        <w:rPr>
          <w:rFonts w:hint="eastAsia" w:ascii="MS UI Gothic" w:eastAsia="MS UI Gothic"/>
          <w:w w:val="85"/>
        </w:rPr>
        <w:t>ꎮ</w:t>
      </w:r>
    </w:p>
    <w:p>
      <w:pPr>
        <w:pStyle w:val="6"/>
        <w:spacing w:line="295" w:lineRule="auto"/>
        <w:ind w:left="440" w:right="1"/>
        <w:rPr>
          <w:rFonts w:hint="eastAsia" w:ascii="MS UI Gothic" w:hAnsi="MS UI Gothic" w:eastAsia="MS UI Gothic"/>
        </w:rPr>
      </w:pPr>
      <w:r>
        <w:t>第三十六条 安全监管监察部门承担行政赔偿责任的</w:t>
      </w:r>
      <w:r>
        <w:rPr>
          <w:rFonts w:hint="eastAsia" w:ascii="MS UI Gothic" w:hAnsi="MS UI Gothic" w:eastAsia="MS UI Gothic"/>
          <w:w w:val="80"/>
        </w:rPr>
        <w:t xml:space="preserve">ꎬ </w:t>
      </w:r>
      <w:r>
        <w:t xml:space="preserve">应当依照 </w:t>
      </w:r>
      <w:r>
        <w:rPr>
          <w:rFonts w:hint="eastAsia" w:ascii="MS UI Gothic" w:hAnsi="MS UI Gothic" w:eastAsia="MS UI Gothic"/>
          <w:w w:val="80"/>
        </w:rPr>
        <w:t xml:space="preserve">« </w:t>
      </w:r>
      <w:r>
        <w:t>国家赔偿法</w:t>
      </w:r>
      <w:r>
        <w:rPr>
          <w:rFonts w:hint="eastAsia" w:ascii="MS UI Gothic" w:hAnsi="MS UI Gothic" w:eastAsia="MS UI Gothic"/>
          <w:w w:val="80"/>
        </w:rPr>
        <w:t xml:space="preserve">» </w:t>
      </w:r>
      <w:r>
        <w:t>第十四条 的规定</w:t>
      </w:r>
      <w:r>
        <w:rPr>
          <w:rFonts w:hint="eastAsia" w:ascii="MS UI Gothic" w:hAnsi="MS UI Gothic" w:eastAsia="MS UI Gothic"/>
          <w:w w:val="80"/>
        </w:rPr>
        <w:t xml:space="preserve">ꎬ  </w:t>
      </w:r>
      <w:r>
        <w:t>责令有故意或者重大过失的行政执法人员承担全部或者部分行政赔偿费用</w:t>
      </w:r>
      <w:r>
        <w:rPr>
          <w:rFonts w:hint="eastAsia" w:ascii="MS UI Gothic" w:hAnsi="MS UI Gothic" w:eastAsia="MS UI Gothic"/>
          <w:w w:val="80"/>
        </w:rPr>
        <w:t>ꎮ</w:t>
      </w:r>
    </w:p>
    <w:p>
      <w:pPr>
        <w:pStyle w:val="6"/>
        <w:spacing w:line="295" w:lineRule="auto"/>
        <w:ind w:left="440" w:right="1"/>
        <w:rPr>
          <w:rFonts w:hint="eastAsia" w:ascii="MS UI Gothic" w:hAnsi="MS UI Gothic" w:eastAsia="MS UI Gothic"/>
        </w:rPr>
      </w:pPr>
      <w:r>
        <w:t>第三十七条 对实施违法或者不当的行政执法行为</w:t>
      </w:r>
      <w:r>
        <w:rPr>
          <w:rFonts w:hint="eastAsia" w:ascii="MS UI Gothic" w:hAnsi="MS UI Gothic" w:eastAsia="MS UI Gothic"/>
          <w:w w:val="80"/>
        </w:rPr>
        <w:t xml:space="preserve">ꎬ </w:t>
      </w:r>
      <w:r>
        <w:t>或者未履行法定职责的行政执法人员</w:t>
      </w:r>
      <w:r>
        <w:rPr>
          <w:rFonts w:hint="eastAsia" w:ascii="MS UI Gothic" w:hAnsi="MS UI Gothic" w:eastAsia="MS UI Gothic"/>
          <w:w w:val="80"/>
        </w:rPr>
        <w:t xml:space="preserve">ꎬ </w:t>
      </w:r>
      <w:r>
        <w:t xml:space="preserve">依照 </w:t>
      </w:r>
      <w:r>
        <w:rPr>
          <w:rFonts w:hint="eastAsia" w:ascii="MS UI Gothic" w:hAnsi="MS UI Gothic" w:eastAsia="MS UI Gothic"/>
          <w:w w:val="80"/>
        </w:rPr>
        <w:t xml:space="preserve">« </w:t>
      </w:r>
      <w:r>
        <w:t>公务员法</w:t>
      </w:r>
      <w:r>
        <w:rPr>
          <w:rFonts w:hint="eastAsia" w:ascii="MS UI Gothic" w:hAnsi="MS UI Gothic" w:eastAsia="MS UI Gothic"/>
          <w:w w:val="80"/>
        </w:rPr>
        <w:t xml:space="preserve">»、 « </w:t>
      </w:r>
      <w:r>
        <w:t>行政机关公务员处分条例</w:t>
      </w:r>
      <w:r>
        <w:rPr>
          <w:rFonts w:hint="eastAsia" w:ascii="MS UI Gothic" w:hAnsi="MS UI Gothic" w:eastAsia="MS UI Gothic"/>
          <w:w w:val="80"/>
        </w:rPr>
        <w:t xml:space="preserve">» </w:t>
      </w:r>
      <w:r>
        <w:t>等的规定应当给予行政处分或者辞退处理的</w:t>
      </w:r>
      <w:r>
        <w:rPr>
          <w:rFonts w:hint="eastAsia" w:ascii="MS UI Gothic" w:hAnsi="MS UI Gothic" w:eastAsia="MS UI Gothic"/>
          <w:w w:val="80"/>
        </w:rPr>
        <w:t xml:space="preserve">ꎬ </w:t>
      </w:r>
      <w:r>
        <w:t>依照其规定</w:t>
      </w:r>
      <w:r>
        <w:rPr>
          <w:rFonts w:hint="eastAsia" w:ascii="MS UI Gothic" w:hAnsi="MS UI Gothic" w:eastAsia="MS UI Gothic"/>
          <w:w w:val="80"/>
        </w:rPr>
        <w:t>ꎮ</w:t>
      </w:r>
    </w:p>
    <w:p>
      <w:pPr>
        <w:pStyle w:val="6"/>
        <w:spacing w:before="124" w:line="295" w:lineRule="auto"/>
        <w:ind w:left="381" w:right="126"/>
        <w:rPr>
          <w:rFonts w:hint="eastAsia" w:ascii="MS UI Gothic" w:eastAsia="MS UI Gothic"/>
        </w:rPr>
      </w:pPr>
      <w:r>
        <w:br w:type="column"/>
      </w:r>
      <w:r>
        <w:t>第三十八条 行政执法人员的行政执法行为涉嫌犯罪的</w:t>
      </w:r>
      <w:r>
        <w:rPr>
          <w:rFonts w:hint="eastAsia" w:ascii="MS UI Gothic" w:eastAsia="MS UI Gothic"/>
          <w:w w:val="80"/>
        </w:rPr>
        <w:t xml:space="preserve">ꎬ </w:t>
      </w:r>
      <w:r>
        <w:t>移交司法机关处理</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第三十九条 有下列情形之一的</w:t>
      </w:r>
      <w:r>
        <w:rPr>
          <w:rFonts w:hint="eastAsia" w:ascii="MS UI Gothic" w:eastAsia="MS UI Gothic"/>
          <w:w w:val="80"/>
        </w:rPr>
        <w:t xml:space="preserve">ꎬ </w:t>
      </w:r>
      <w:r>
        <w:rPr>
          <w:w w:val="105"/>
        </w:rPr>
        <w:t>可</w:t>
      </w:r>
      <w:r>
        <w:rPr>
          <w:w w:val="110"/>
        </w:rPr>
        <w:t>以从轻或者减轻追究责任</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违反本规定第十一条 至第十四条 所规定的职责</w:t>
      </w:r>
      <w:r>
        <w:rPr>
          <w:rFonts w:hint="eastAsia" w:ascii="MS UI Gothic" w:eastAsia="MS UI Gothic"/>
          <w:w w:val="80"/>
        </w:rPr>
        <w:t xml:space="preserve">ꎬ </w:t>
      </w:r>
      <w:r>
        <w:rPr>
          <w:w w:val="105"/>
        </w:rPr>
        <w:t>未造成严重后果的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主动采取措施</w:t>
      </w:r>
      <w:r>
        <w:rPr>
          <w:rFonts w:hint="eastAsia" w:ascii="MS UI Gothic" w:eastAsia="MS UI Gothic"/>
          <w:w w:val="80"/>
        </w:rPr>
        <w:t xml:space="preserve">ꎬ </w:t>
      </w:r>
      <w:r>
        <w:rPr>
          <w:w w:val="105"/>
        </w:rPr>
        <w:t>有效避免损失或者挽回影响的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积极配合责任追究</w:t>
      </w:r>
      <w:r>
        <w:rPr>
          <w:rFonts w:hint="eastAsia" w:ascii="MS UI Gothic" w:eastAsia="MS UI Gothic"/>
          <w:w w:val="80"/>
        </w:rPr>
        <w:t xml:space="preserve">ꎬ </w:t>
      </w:r>
      <w:r>
        <w:rPr>
          <w:w w:val="105"/>
        </w:rPr>
        <w:t>并且主动承担责任的</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依法可以从轻的其他情形</w:t>
      </w:r>
      <w:r>
        <w:rPr>
          <w:rFonts w:hint="eastAsia" w:ascii="MS UI Gothic" w:eastAsia="MS UI Gothic"/>
          <w:w w:val="80"/>
        </w:rPr>
        <w:t>ꎮ</w:t>
      </w:r>
    </w:p>
    <w:p>
      <w:pPr>
        <w:pStyle w:val="6"/>
        <w:spacing w:before="51" w:line="295" w:lineRule="auto"/>
        <w:ind w:left="381" w:right="126"/>
        <w:rPr>
          <w:rFonts w:hint="eastAsia" w:ascii="MS UI Gothic" w:eastAsia="MS UI Gothic"/>
        </w:rPr>
      </w:pPr>
      <w:r>
        <w:rPr>
          <w:w w:val="105"/>
        </w:rPr>
        <w:t>第四十条 有下列情形之一的</w:t>
      </w:r>
      <w:r>
        <w:rPr>
          <w:rFonts w:hint="eastAsia" w:ascii="MS UI Gothic" w:eastAsia="MS UI Gothic"/>
          <w:w w:val="80"/>
        </w:rPr>
        <w:t xml:space="preserve">ꎬ </w:t>
      </w:r>
      <w:r>
        <w:rPr>
          <w:w w:val="105"/>
        </w:rPr>
        <w:t>应当</w:t>
      </w:r>
      <w:r>
        <w:rPr>
          <w:w w:val="110"/>
        </w:rPr>
        <w:t>从重追究责任</w:t>
      </w:r>
      <w:r>
        <w:rPr>
          <w:rFonts w:hint="eastAsia" w:ascii="MS UI Gothic" w:eastAsia="MS UI Gothic"/>
          <w:w w:val="235"/>
        </w:rPr>
        <w:t>:</w:t>
      </w:r>
    </w:p>
    <w:p>
      <w:pPr>
        <w:pStyle w:val="6"/>
        <w:spacing w:line="295" w:lineRule="auto"/>
        <w:ind w:left="381" w:right="124"/>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9"/>
          <w:w w:val="150"/>
        </w:rPr>
        <w:t xml:space="preserve">) </w:t>
      </w:r>
      <w:r>
        <w:rPr>
          <w:spacing w:val="4"/>
          <w:w w:val="105"/>
        </w:rPr>
        <w:t>因违法</w:t>
      </w:r>
      <w:r>
        <w:rPr>
          <w:rFonts w:hint="eastAsia" w:ascii="MS UI Gothic" w:eastAsia="MS UI Gothic"/>
          <w:spacing w:val="23"/>
          <w:w w:val="80"/>
        </w:rPr>
        <w:t xml:space="preserve">、 </w:t>
      </w:r>
      <w:r>
        <w:rPr>
          <w:spacing w:val="8"/>
          <w:w w:val="105"/>
        </w:rPr>
        <w:t>不当行政执法行为或</w:t>
      </w:r>
      <w:r>
        <w:rPr>
          <w:spacing w:val="5"/>
        </w:rPr>
        <w:t>者不履行法定职责</w:t>
      </w:r>
      <w:r>
        <w:rPr>
          <w:rFonts w:hint="eastAsia" w:ascii="MS UI Gothic" w:eastAsia="MS UI Gothic"/>
          <w:spacing w:val="23"/>
          <w:w w:val="80"/>
        </w:rPr>
        <w:t xml:space="preserve">ꎬ </w:t>
      </w:r>
      <w:r>
        <w:rPr>
          <w:spacing w:val="11"/>
        </w:rPr>
        <w:t>严重损害国家声誉</w:t>
      </w:r>
      <w:r>
        <w:rPr>
          <w:rFonts w:hint="eastAsia" w:ascii="MS UI Gothic" w:eastAsia="MS UI Gothic"/>
          <w:w w:val="80"/>
        </w:rPr>
        <w:t>ꎬ</w:t>
      </w:r>
      <w:r>
        <w:rPr>
          <w:spacing w:val="3"/>
        </w:rPr>
        <w:t>或者造成恶劣社会影响</w:t>
      </w:r>
      <w:r>
        <w:rPr>
          <w:rFonts w:hint="eastAsia" w:ascii="MS UI Gothic" w:eastAsia="MS UI Gothic"/>
          <w:spacing w:val="19"/>
          <w:w w:val="80"/>
        </w:rPr>
        <w:t xml:space="preserve">ꎬ </w:t>
      </w:r>
      <w:r>
        <w:rPr>
          <w:spacing w:val="2"/>
        </w:rPr>
        <w:t>或者致使公共财</w:t>
      </w:r>
      <w:r>
        <w:rPr>
          <w:spacing w:val="3"/>
          <w:w w:val="105"/>
        </w:rPr>
        <w:t>产</w:t>
      </w:r>
      <w:r>
        <w:rPr>
          <w:rFonts w:hint="eastAsia" w:ascii="MS UI Gothic" w:eastAsia="MS UI Gothic"/>
          <w:spacing w:val="13"/>
          <w:w w:val="80"/>
        </w:rPr>
        <w:t xml:space="preserve">、 </w:t>
      </w:r>
      <w:r>
        <w:rPr>
          <w:spacing w:val="3"/>
          <w:w w:val="105"/>
        </w:rPr>
        <w:t>国家和人民利益遭受重大损失的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11"/>
          <w:w w:val="150"/>
        </w:rPr>
        <w:t xml:space="preserve">) </w:t>
      </w:r>
      <w:r>
        <w:rPr>
          <w:spacing w:val="4"/>
          <w:w w:val="105"/>
        </w:rPr>
        <w:t>滥用职权</w:t>
      </w:r>
      <w:r>
        <w:rPr>
          <w:rFonts w:hint="eastAsia" w:ascii="MS UI Gothic" w:eastAsia="MS UI Gothic"/>
          <w:spacing w:val="2"/>
          <w:w w:val="80"/>
        </w:rPr>
        <w:t xml:space="preserve">、 </w:t>
      </w:r>
      <w:r>
        <w:rPr>
          <w:spacing w:val="10"/>
          <w:w w:val="105"/>
        </w:rPr>
        <w:t>玩忽职守</w:t>
      </w:r>
      <w:r>
        <w:rPr>
          <w:rFonts w:hint="eastAsia" w:ascii="MS UI Gothic" w:eastAsia="MS UI Gothic"/>
          <w:spacing w:val="2"/>
          <w:w w:val="80"/>
        </w:rPr>
        <w:t xml:space="preserve">、 </w:t>
      </w:r>
      <w:r>
        <w:rPr>
          <w:spacing w:val="8"/>
          <w:w w:val="105"/>
        </w:rPr>
        <w:t>徇私舞</w:t>
      </w:r>
      <w:r>
        <w:rPr>
          <w:spacing w:val="3"/>
          <w:w w:val="105"/>
        </w:rPr>
        <w:t>弊</w:t>
      </w:r>
      <w:r>
        <w:rPr>
          <w:rFonts w:hint="eastAsia" w:ascii="MS UI Gothic" w:eastAsia="MS UI Gothic"/>
          <w:spacing w:val="11"/>
          <w:w w:val="80"/>
        </w:rPr>
        <w:t xml:space="preserve">ꎬ </w:t>
      </w:r>
      <w:r>
        <w:rPr>
          <w:spacing w:val="3"/>
          <w:w w:val="105"/>
        </w:rPr>
        <w:t>致使行政执法行为违法</w:t>
      </w:r>
      <w:r>
        <w:rPr>
          <w:rFonts w:hint="eastAsia" w:ascii="MS UI Gothic" w:eastAsia="MS UI Gothic"/>
          <w:spacing w:val="11"/>
          <w:w w:val="80"/>
        </w:rPr>
        <w:t xml:space="preserve">、 </w:t>
      </w:r>
      <w:r>
        <w:rPr>
          <w:spacing w:val="3"/>
          <w:w w:val="105"/>
        </w:rPr>
        <w:t>不当的</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弄虚作假</w:t>
      </w:r>
      <w:r>
        <w:rPr>
          <w:rFonts w:hint="eastAsia" w:ascii="MS UI Gothic" w:eastAsia="MS UI Gothic"/>
          <w:w w:val="80"/>
        </w:rPr>
        <w:t xml:space="preserve">、 </w:t>
      </w:r>
      <w:r>
        <w:rPr>
          <w:w w:val="105"/>
        </w:rPr>
        <w:t>隐瞒真相</w:t>
      </w:r>
      <w:r>
        <w:rPr>
          <w:rFonts w:hint="eastAsia" w:ascii="MS UI Gothic" w:eastAsia="MS UI Gothic"/>
          <w:w w:val="80"/>
        </w:rPr>
        <w:t xml:space="preserve">ꎬ </w:t>
      </w:r>
      <w:r>
        <w:rPr>
          <w:w w:val="105"/>
        </w:rPr>
        <w:t>干扰</w:t>
      </w:r>
      <w:r>
        <w:rPr>
          <w:rFonts w:hint="eastAsia" w:ascii="MS UI Gothic" w:eastAsia="MS UI Gothic"/>
          <w:w w:val="80"/>
        </w:rPr>
        <w:t>、</w:t>
      </w:r>
      <w:r>
        <w:rPr>
          <w:w w:val="105"/>
        </w:rPr>
        <w:t>阻碍责任追究的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对检举人</w:t>
      </w:r>
      <w:r>
        <w:rPr>
          <w:rFonts w:hint="eastAsia" w:ascii="MS UI Gothic" w:eastAsia="MS UI Gothic"/>
          <w:w w:val="80"/>
        </w:rPr>
        <w:t xml:space="preserve">、 </w:t>
      </w:r>
      <w:r>
        <w:rPr>
          <w:w w:val="105"/>
        </w:rPr>
        <w:t>控告人</w:t>
      </w:r>
      <w:r>
        <w:rPr>
          <w:rFonts w:hint="eastAsia" w:ascii="MS UI Gothic" w:eastAsia="MS UI Gothic"/>
          <w:w w:val="80"/>
        </w:rPr>
        <w:t xml:space="preserve">、 </w:t>
      </w:r>
      <w:r>
        <w:rPr>
          <w:w w:val="105"/>
        </w:rPr>
        <w:t>申诉人和实施责任追究的人员打击</w:t>
      </w:r>
      <w:r>
        <w:rPr>
          <w:rFonts w:hint="eastAsia" w:ascii="MS UI Gothic" w:eastAsia="MS UI Gothic"/>
          <w:w w:val="80"/>
        </w:rPr>
        <w:t xml:space="preserve">、 </w:t>
      </w:r>
      <w:r>
        <w:rPr>
          <w:w w:val="105"/>
        </w:rPr>
        <w:t>报复</w:t>
      </w:r>
      <w:r>
        <w:rPr>
          <w:rFonts w:hint="eastAsia" w:ascii="MS UI Gothic" w:eastAsia="MS UI Gothic"/>
          <w:w w:val="80"/>
        </w:rPr>
        <w:t xml:space="preserve">、 </w:t>
      </w:r>
      <w:r>
        <w:rPr>
          <w:w w:val="105"/>
        </w:rPr>
        <w:t>陷害的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一年内出现两次以上应当追究</w:t>
      </w:r>
      <w:r>
        <w:rPr>
          <w:w w:val="110"/>
        </w:rPr>
        <w:t>责任的情形的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依法应当从重追究责任的其他</w:t>
      </w:r>
      <w:r>
        <w:rPr>
          <w:w w:val="110"/>
        </w:rPr>
        <w:t>情形</w:t>
      </w:r>
      <w:r>
        <w:rPr>
          <w:rFonts w:hint="eastAsia" w:ascii="MS UI Gothic" w:eastAsia="MS UI Gothic"/>
          <w:w w:val="80"/>
        </w:rPr>
        <w:t>ꎮ</w:t>
      </w:r>
    </w:p>
    <w:p>
      <w:pPr>
        <w:pStyle w:val="6"/>
        <w:spacing w:before="144"/>
        <w:ind w:left="800" w:firstLine="0"/>
      </w:pPr>
      <w:r>
        <w:rPr>
          <w:w w:val="105"/>
        </w:rPr>
        <w:t>第五章 责任追究的机关与程序</w:t>
      </w:r>
    </w:p>
    <w:p>
      <w:pPr>
        <w:pStyle w:val="6"/>
        <w:spacing w:before="215" w:line="295" w:lineRule="auto"/>
        <w:ind w:left="381" w:right="124"/>
        <w:rPr>
          <w:rFonts w:hint="eastAsia" w:ascii="MS UI Gothic" w:eastAsia="MS UI Gothic"/>
        </w:rPr>
      </w:pPr>
      <w:r>
        <w:t>第四十一条 安全生产监督管理部门及其负责人的责任</w:t>
      </w:r>
      <w:r>
        <w:rPr>
          <w:rFonts w:hint="eastAsia" w:ascii="MS UI Gothic" w:eastAsia="MS UI Gothic"/>
          <w:w w:val="80"/>
        </w:rPr>
        <w:t xml:space="preserve">ꎬ </w:t>
      </w:r>
      <w:r>
        <w:t>按照干部管理权限</w:t>
      </w:r>
      <w:r>
        <w:rPr>
          <w:rFonts w:hint="eastAsia" w:ascii="MS UI Gothic" w:eastAsia="MS UI Gothic"/>
          <w:w w:val="80"/>
        </w:rPr>
        <w:t>ꎬ</w:t>
      </w:r>
      <w:r>
        <w:t>由其上级安全生产监督管理部门或者本级人民政府行政监察机关追究</w:t>
      </w:r>
      <w:r>
        <w:rPr>
          <w:rFonts w:hint="eastAsia" w:ascii="MS UI Gothic" w:eastAsia="MS UI Gothic"/>
          <w:w w:val="80"/>
        </w:rPr>
        <w:t xml:space="preserve">ꎻ </w:t>
      </w:r>
      <w:r>
        <w:t>所属内设机构和其他行政执法人员的责任</w:t>
      </w:r>
      <w:r>
        <w:rPr>
          <w:rFonts w:hint="eastAsia" w:ascii="MS UI Gothic" w:eastAsia="MS UI Gothic"/>
          <w:w w:val="80"/>
        </w:rPr>
        <w:t xml:space="preserve">ꎬ </w:t>
      </w:r>
      <w:r>
        <w:t>由所在安全生产监督管理部门追究</w:t>
      </w:r>
      <w:r>
        <w:rPr>
          <w:rFonts w:hint="eastAsia" w:ascii="MS UI Gothic" w:eastAsia="MS UI Gothic"/>
          <w:w w:val="80"/>
        </w:rPr>
        <w:t>ꎮ</w:t>
      </w:r>
    </w:p>
    <w:p>
      <w:pPr>
        <w:pStyle w:val="6"/>
        <w:spacing w:line="295" w:lineRule="auto"/>
        <w:ind w:left="381" w:right="126"/>
      </w:pPr>
      <w:r>
        <w:t>煤矿安全监察机构及其负责人的责任</w:t>
      </w:r>
      <w:r>
        <w:rPr>
          <w:rFonts w:hint="eastAsia" w:ascii="MS UI Gothic" w:eastAsia="MS UI Gothic"/>
          <w:w w:val="80"/>
        </w:rPr>
        <w:t xml:space="preserve">ꎬ </w:t>
      </w:r>
      <w:r>
        <w:t>按照干部管理权限</w:t>
      </w:r>
      <w:r>
        <w:rPr>
          <w:rFonts w:hint="eastAsia" w:ascii="MS UI Gothic" w:eastAsia="MS UI Gothic"/>
          <w:w w:val="80"/>
        </w:rPr>
        <w:t xml:space="preserve">ꎬ </w:t>
      </w:r>
      <w:r>
        <w:t>由其上级煤矿安</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１４８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87" o:spid="_x0000_s1487" o:spt="203" style="height:2.15pt;width:398.25pt;" coordsize="7965,43">
            <o:lock v:ext="edit"/>
            <v:line id="_x0000_s1488" o:spid="_x0000_s1488" o:spt="20" style="position:absolute;left:0;top:39;height:0;width:7965;" stroked="t" coordsize="21600,21600">
              <v:path arrowok="t"/>
              <v:fill focussize="0,0"/>
              <v:stroke weight="0.388031496062992pt" color="#231F20"/>
              <v:imagedata o:title=""/>
              <o:lock v:ext="edit"/>
            </v:line>
            <v:line id="_x0000_s1489" o:spid="_x0000_s148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全监察机构追究</w:t>
      </w:r>
      <w:r>
        <w:rPr>
          <w:rFonts w:hint="eastAsia" w:ascii="MS UI Gothic" w:eastAsia="MS UI Gothic"/>
          <w:w w:val="80"/>
        </w:rPr>
        <w:t xml:space="preserve">ꎻ </w:t>
      </w:r>
      <w:r>
        <w:t>所属内设机构及其行政执法人员的责任</w:t>
      </w:r>
      <w:r>
        <w:rPr>
          <w:rFonts w:hint="eastAsia" w:ascii="MS UI Gothic" w:eastAsia="MS UI Gothic"/>
          <w:w w:val="80"/>
        </w:rPr>
        <w:t xml:space="preserve">ꎬ </w:t>
      </w:r>
      <w:r>
        <w:t>由所在煤矿安全监察机构追究</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第四十二条 安全监管监察部门进行</w:t>
      </w:r>
      <w:r>
        <w:rPr>
          <w:w w:val="110"/>
        </w:rPr>
        <w:t>责任追究</w:t>
      </w:r>
      <w:r>
        <w:rPr>
          <w:rFonts w:hint="eastAsia" w:ascii="MS UI Gothic" w:eastAsia="MS UI Gothic"/>
          <w:w w:val="80"/>
        </w:rPr>
        <w:t xml:space="preserve">ꎬ </w:t>
      </w:r>
      <w:r>
        <w:rPr>
          <w:w w:val="110"/>
        </w:rPr>
        <w:t>按照下列程序办理</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负责法制工作的机构自行政执法行为被确认违法</w:t>
      </w:r>
      <w:r>
        <w:rPr>
          <w:rFonts w:hint="eastAsia" w:ascii="MS UI Gothic" w:eastAsia="MS UI Gothic"/>
          <w:w w:val="80"/>
        </w:rPr>
        <w:t xml:space="preserve">、 </w:t>
      </w:r>
      <w:r>
        <w:t xml:space="preserve">不当之日起 </w:t>
      </w:r>
      <w:r>
        <w:rPr>
          <w:rFonts w:hint="eastAsia" w:ascii="MS UI Gothic" w:eastAsia="MS UI Gothic"/>
          <w:w w:val="80"/>
        </w:rPr>
        <w:t xml:space="preserve">１５ </w:t>
      </w:r>
      <w:r>
        <w:t>日内</w:t>
      </w:r>
      <w:r>
        <w:rPr>
          <w:rFonts w:hint="eastAsia" w:ascii="MS UI Gothic" w:eastAsia="MS UI Gothic"/>
          <w:w w:val="80"/>
        </w:rPr>
        <w:t>ꎬ</w:t>
      </w:r>
      <w:r>
        <w:t>将有关当事人的情况书面通报本部门负责行政监察工作的机构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负责行政监察工作的机构自收到法制工作机构通报或者直接收到有关行政执法行为违法</w:t>
      </w:r>
      <w:r>
        <w:rPr>
          <w:rFonts w:hint="eastAsia" w:ascii="MS UI Gothic" w:eastAsia="MS UI Gothic"/>
          <w:w w:val="80"/>
        </w:rPr>
        <w:t xml:space="preserve">、 </w:t>
      </w:r>
      <w:r>
        <w:t xml:space="preserve">不当的举报之日起 </w:t>
      </w:r>
      <w:r>
        <w:rPr>
          <w:rFonts w:hint="eastAsia" w:ascii="MS UI Gothic" w:eastAsia="MS UI Gothic"/>
          <w:w w:val="80"/>
        </w:rPr>
        <w:t xml:space="preserve">６０ </w:t>
      </w:r>
      <w:r>
        <w:t>日内调查核实有关情况</w:t>
      </w:r>
      <w:r>
        <w:rPr>
          <w:rFonts w:hint="eastAsia" w:ascii="MS UI Gothic" w:eastAsia="MS UI Gothic"/>
          <w:w w:val="80"/>
        </w:rPr>
        <w:t xml:space="preserve">ꎬ </w:t>
      </w:r>
      <w:r>
        <w:t>提出责任追究的建议</w:t>
      </w:r>
      <w:r>
        <w:rPr>
          <w:rFonts w:hint="eastAsia" w:ascii="MS UI Gothic" w:eastAsia="MS UI Gothic"/>
          <w:w w:val="80"/>
        </w:rPr>
        <w:t xml:space="preserve">ꎬ </w:t>
      </w:r>
      <w:r>
        <w:t>报本部门领导班子集体讨论决定</w:t>
      </w:r>
      <w:r>
        <w:rPr>
          <w:rFonts w:hint="eastAsia" w:ascii="MS UI Gothic" w:eastAsia="MS UI Gothic"/>
          <w:w w:val="80"/>
        </w:rPr>
        <w:t>ꎻ</w:t>
      </w:r>
    </w:p>
    <w:p>
      <w:pPr>
        <w:pStyle w:val="6"/>
        <w:spacing w:line="295" w:lineRule="auto"/>
        <w:ind w:right="39"/>
        <w:jc w:val="right"/>
      </w:pPr>
      <w:r>
        <w:rPr>
          <w:rFonts w:hint="eastAsia" w:ascii="MS UI Gothic" w:eastAsia="MS UI Gothic"/>
          <w:w w:val="145"/>
        </w:rPr>
        <w:t xml:space="preserve">( </w:t>
      </w:r>
      <w:r>
        <w:rPr>
          <w:w w:val="105"/>
        </w:rPr>
        <w:t>三</w:t>
      </w:r>
      <w:r>
        <w:rPr>
          <w:rFonts w:hint="eastAsia" w:ascii="MS UI Gothic" w:eastAsia="MS UI Gothic"/>
          <w:w w:val="145"/>
        </w:rPr>
        <w:t xml:space="preserve">) </w:t>
      </w:r>
      <w:r>
        <w:rPr>
          <w:w w:val="105"/>
        </w:rPr>
        <w:t>负责人事工作的机构自责任追</w:t>
      </w:r>
      <w:r>
        <w:t xml:space="preserve">究决定作出之日起 </w:t>
      </w:r>
      <w:r>
        <w:rPr>
          <w:rFonts w:hint="eastAsia" w:ascii="MS UI Gothic" w:eastAsia="MS UI Gothic"/>
          <w:w w:val="80"/>
        </w:rPr>
        <w:t xml:space="preserve">１５ </w:t>
      </w:r>
      <w:r>
        <w:t>日内落实决定事项</w:t>
      </w:r>
      <w:r>
        <w:rPr>
          <w:rFonts w:hint="eastAsia" w:ascii="MS UI Gothic" w:eastAsia="MS UI Gothic"/>
          <w:w w:val="80"/>
        </w:rPr>
        <w:t>ꎮ</w:t>
      </w:r>
      <w:r>
        <w:rPr>
          <w:w w:val="105"/>
        </w:rPr>
        <w:t>法律</w:t>
      </w:r>
      <w:r>
        <w:rPr>
          <w:rFonts w:hint="eastAsia" w:ascii="MS UI Gothic" w:eastAsia="MS UI Gothic"/>
          <w:w w:val="80"/>
        </w:rPr>
        <w:t xml:space="preserve">、 </w:t>
      </w:r>
      <w:r>
        <w:rPr>
          <w:w w:val="105"/>
        </w:rPr>
        <w:t>法规对责任追究的程序另有规</w:t>
      </w:r>
    </w:p>
    <w:p>
      <w:pPr>
        <w:pStyle w:val="6"/>
        <w:spacing w:line="254" w:lineRule="exact"/>
        <w:ind w:firstLine="0"/>
        <w:rPr>
          <w:rFonts w:hint="eastAsia" w:ascii="MS UI Gothic" w:eastAsia="MS UI Gothic"/>
        </w:rPr>
      </w:pPr>
      <w:r>
        <w:t>定的</w:t>
      </w:r>
      <w:r>
        <w:rPr>
          <w:rFonts w:hint="eastAsia" w:ascii="MS UI Gothic" w:eastAsia="MS UI Gothic"/>
          <w:w w:val="80"/>
        </w:rPr>
        <w:t xml:space="preserve">ꎬ </w:t>
      </w:r>
      <w:r>
        <w:t>依照其规定</w:t>
      </w:r>
      <w:r>
        <w:rPr>
          <w:rFonts w:hint="eastAsia" w:ascii="MS UI Gothic" w:eastAsia="MS UI Gothic"/>
          <w:w w:val="80"/>
        </w:rPr>
        <w:t>ꎮ</w:t>
      </w:r>
    </w:p>
    <w:p>
      <w:pPr>
        <w:pStyle w:val="6"/>
        <w:spacing w:before="47" w:line="295" w:lineRule="auto"/>
        <w:ind w:right="39"/>
        <w:rPr>
          <w:rFonts w:hint="eastAsia" w:ascii="MS UI Gothic" w:hAnsi="MS UI Gothic" w:eastAsia="MS UI Gothic"/>
        </w:rPr>
      </w:pPr>
      <w:r>
        <w:rPr>
          <w:spacing w:val="4"/>
        </w:rPr>
        <w:t>第四十三条 安全监管监察部门实施</w:t>
      </w:r>
      <w:r>
        <w:rPr>
          <w:spacing w:val="17"/>
        </w:rPr>
        <w:t xml:space="preserve">责任追究应当制作 </w:t>
      </w:r>
      <w:r>
        <w:rPr>
          <w:rFonts w:hint="eastAsia" w:ascii="MS UI Gothic" w:hAnsi="MS UI Gothic" w:eastAsia="MS UI Gothic"/>
          <w:spacing w:val="-2"/>
          <w:w w:val="80"/>
        </w:rPr>
        <w:t xml:space="preserve">« </w:t>
      </w:r>
      <w:r>
        <w:rPr>
          <w:spacing w:val="14"/>
        </w:rPr>
        <w:t>行政执法责任追究</w:t>
      </w:r>
      <w:r>
        <w:rPr>
          <w:spacing w:val="4"/>
        </w:rPr>
        <w:t>决定书</w:t>
      </w:r>
      <w:r>
        <w:rPr>
          <w:rFonts w:hint="eastAsia" w:ascii="MS UI Gothic" w:hAnsi="MS UI Gothic" w:eastAsia="MS UI Gothic"/>
          <w:spacing w:val="-4"/>
          <w:w w:val="80"/>
        </w:rPr>
        <w:t xml:space="preserve">» ꎮ « </w:t>
      </w:r>
      <w:r>
        <w:rPr>
          <w:spacing w:val="14"/>
        </w:rPr>
        <w:t>行政执法责任追究决定书</w:t>
      </w:r>
      <w:r>
        <w:rPr>
          <w:rFonts w:hint="eastAsia" w:ascii="MS UI Gothic" w:hAnsi="MS UI Gothic" w:eastAsia="MS UI Gothic"/>
          <w:w w:val="80"/>
        </w:rPr>
        <w:t xml:space="preserve">» </w:t>
      </w:r>
      <w:r>
        <w:rPr>
          <w:spacing w:val="3"/>
        </w:rPr>
        <w:t>由负责行政监察工作的机构草拟</w:t>
      </w:r>
      <w:r>
        <w:rPr>
          <w:rFonts w:hint="eastAsia" w:ascii="MS UI Gothic" w:hAnsi="MS UI Gothic" w:eastAsia="MS UI Gothic"/>
          <w:spacing w:val="21"/>
          <w:w w:val="80"/>
        </w:rPr>
        <w:t xml:space="preserve">ꎬ </w:t>
      </w:r>
      <w:r>
        <w:rPr>
          <w:spacing w:val="1"/>
        </w:rPr>
        <w:t>安全监</w:t>
      </w:r>
      <w:r>
        <w:rPr>
          <w:spacing w:val="3"/>
        </w:rPr>
        <w:t>管监察部门作出决定</w:t>
      </w:r>
      <w:r>
        <w:rPr>
          <w:rFonts w:hint="eastAsia" w:ascii="MS UI Gothic" w:hAnsi="MS UI Gothic" w:eastAsia="MS UI Gothic"/>
          <w:w w:val="80"/>
        </w:rPr>
        <w:t>ꎮ</w:t>
      </w:r>
    </w:p>
    <w:p>
      <w:pPr>
        <w:pStyle w:val="6"/>
        <w:spacing w:line="295" w:lineRule="auto"/>
        <w:ind w:right="39"/>
        <w:rPr>
          <w:rFonts w:hint="eastAsia" w:ascii="MS UI Gothic" w:hAnsi="MS UI Gothic" w:eastAsia="MS UI Gothic"/>
        </w:rPr>
      </w:pPr>
      <w:r>
        <w:rPr>
          <w:rFonts w:hint="eastAsia" w:ascii="MS UI Gothic" w:hAnsi="MS UI Gothic" w:eastAsia="MS UI Gothic"/>
          <w:w w:val="80"/>
        </w:rPr>
        <w:t xml:space="preserve">« </w:t>
      </w:r>
      <w:r>
        <w:t>行政执法责任追究决定书</w:t>
      </w:r>
      <w:r>
        <w:rPr>
          <w:rFonts w:hint="eastAsia" w:ascii="MS UI Gothic" w:hAnsi="MS UI Gothic" w:eastAsia="MS UI Gothic"/>
          <w:w w:val="80"/>
        </w:rPr>
        <w:t xml:space="preserve">» </w:t>
      </w:r>
      <w:r>
        <w:t>应当写明责任追究的事实</w:t>
      </w:r>
      <w:r>
        <w:rPr>
          <w:rFonts w:hint="eastAsia" w:ascii="MS UI Gothic" w:hAnsi="MS UI Gothic" w:eastAsia="MS UI Gothic"/>
          <w:w w:val="80"/>
        </w:rPr>
        <w:t xml:space="preserve">、 </w:t>
      </w:r>
      <w:r>
        <w:t>依据</w:t>
      </w:r>
      <w:r>
        <w:rPr>
          <w:rFonts w:hint="eastAsia" w:ascii="MS UI Gothic" w:hAnsi="MS UI Gothic" w:eastAsia="MS UI Gothic"/>
          <w:w w:val="80"/>
        </w:rPr>
        <w:t xml:space="preserve">、 </w:t>
      </w:r>
      <w:r>
        <w:t>方式</w:t>
      </w:r>
      <w:r>
        <w:rPr>
          <w:rFonts w:hint="eastAsia" w:ascii="MS UI Gothic" w:hAnsi="MS UI Gothic" w:eastAsia="MS UI Gothic"/>
          <w:w w:val="80"/>
        </w:rPr>
        <w:t xml:space="preserve">、 </w:t>
      </w:r>
      <w:r>
        <w:t>批准机关</w:t>
      </w:r>
      <w:r>
        <w:rPr>
          <w:rFonts w:hint="eastAsia" w:ascii="MS UI Gothic" w:hAnsi="MS UI Gothic" w:eastAsia="MS UI Gothic"/>
          <w:w w:val="80"/>
        </w:rPr>
        <w:t xml:space="preserve">、 </w:t>
      </w:r>
      <w:r>
        <w:t>生效时间</w:t>
      </w:r>
      <w:r>
        <w:rPr>
          <w:rFonts w:hint="eastAsia" w:ascii="MS UI Gothic" w:hAnsi="MS UI Gothic" w:eastAsia="MS UI Gothic"/>
          <w:w w:val="80"/>
        </w:rPr>
        <w:t xml:space="preserve">、 </w:t>
      </w:r>
      <w:r>
        <w:t>当事人的申诉期限及受理机关等</w:t>
      </w:r>
      <w:r>
        <w:rPr>
          <w:rFonts w:hint="eastAsia" w:ascii="MS UI Gothic" w:hAnsi="MS UI Gothic" w:eastAsia="MS UI Gothic"/>
          <w:w w:val="80"/>
        </w:rPr>
        <w:t xml:space="preserve">ꎮ </w:t>
      </w:r>
      <w:r>
        <w:t>离岗培训和暂扣行政执法证件的</w:t>
      </w:r>
      <w:r>
        <w:rPr>
          <w:rFonts w:hint="eastAsia" w:ascii="MS UI Gothic" w:hAnsi="MS UI Gothic" w:eastAsia="MS UI Gothic"/>
          <w:w w:val="80"/>
        </w:rPr>
        <w:t xml:space="preserve">ꎬ </w:t>
      </w:r>
      <w:r>
        <w:t>还应当写明培训和暂扣的期限等</w:t>
      </w:r>
      <w:r>
        <w:rPr>
          <w:rFonts w:hint="eastAsia" w:ascii="MS UI Gothic" w:hAnsi="MS UI Gothic" w:eastAsia="MS UI Gothic"/>
          <w:w w:val="80"/>
        </w:rPr>
        <w:t>ꎮ</w:t>
      </w:r>
    </w:p>
    <w:p>
      <w:pPr>
        <w:pStyle w:val="6"/>
        <w:spacing w:line="295" w:lineRule="auto"/>
        <w:ind w:right="39"/>
        <w:rPr>
          <w:rFonts w:hint="eastAsia" w:ascii="MS UI Gothic" w:eastAsia="MS UI Gothic"/>
        </w:rPr>
      </w:pPr>
      <w:r>
        <w:t>第四十四条 安全监管监察部门作出责任追究决定前</w:t>
      </w:r>
      <w:r>
        <w:rPr>
          <w:rFonts w:hint="eastAsia" w:ascii="MS UI Gothic" w:eastAsia="MS UI Gothic"/>
          <w:w w:val="80"/>
        </w:rPr>
        <w:t xml:space="preserve">ꎬ </w:t>
      </w:r>
      <w:r>
        <w:t>负责行政监察工作的机构应当将追究责任的有关事实</w:t>
      </w:r>
      <w:r>
        <w:rPr>
          <w:rFonts w:hint="eastAsia" w:ascii="MS UI Gothic" w:eastAsia="MS UI Gothic"/>
          <w:w w:val="80"/>
        </w:rPr>
        <w:t xml:space="preserve">、 </w:t>
      </w:r>
      <w:r>
        <w:t>理由和依据告知当事人</w:t>
      </w:r>
      <w:r>
        <w:rPr>
          <w:rFonts w:hint="eastAsia" w:ascii="MS UI Gothic" w:eastAsia="MS UI Gothic"/>
          <w:w w:val="80"/>
        </w:rPr>
        <w:t xml:space="preserve">ꎬ </w:t>
      </w:r>
      <w:r>
        <w:t>并听取其陈述和申辩</w:t>
      </w:r>
      <w:r>
        <w:rPr>
          <w:rFonts w:hint="eastAsia" w:ascii="MS UI Gothic" w:eastAsia="MS UI Gothic"/>
          <w:w w:val="80"/>
        </w:rPr>
        <w:t xml:space="preserve">ꎮ </w:t>
      </w:r>
      <w:r>
        <w:t>对其合理意见</w:t>
      </w:r>
      <w:r>
        <w:rPr>
          <w:rFonts w:hint="eastAsia" w:ascii="MS UI Gothic" w:eastAsia="MS UI Gothic"/>
          <w:w w:val="80"/>
        </w:rPr>
        <w:t xml:space="preserve">ꎬ </w:t>
      </w:r>
      <w:r>
        <w:t>应当予以采纳</w:t>
      </w:r>
      <w:r>
        <w:rPr>
          <w:rFonts w:hint="eastAsia" w:ascii="MS UI Gothic" w:eastAsia="MS UI Gothic"/>
          <w:w w:val="80"/>
        </w:rPr>
        <w:t>ꎮ</w:t>
      </w:r>
    </w:p>
    <w:p>
      <w:pPr>
        <w:pStyle w:val="6"/>
        <w:spacing w:line="295" w:lineRule="auto"/>
        <w:ind w:right="39"/>
        <w:rPr>
          <w:rFonts w:hint="eastAsia" w:ascii="MS UI Gothic" w:hAnsi="MS UI Gothic" w:eastAsia="MS UI Gothic"/>
        </w:rPr>
      </w:pPr>
      <w:r>
        <w:rPr>
          <w:rFonts w:hint="eastAsia" w:ascii="MS UI Gothic" w:hAnsi="MS UI Gothic" w:eastAsia="MS UI Gothic"/>
          <w:w w:val="80"/>
        </w:rPr>
        <w:t xml:space="preserve">« </w:t>
      </w:r>
      <w:r>
        <w:t>行政执法责任追究决定书</w:t>
      </w:r>
      <w:r>
        <w:rPr>
          <w:rFonts w:hint="eastAsia" w:ascii="MS UI Gothic" w:hAnsi="MS UI Gothic" w:eastAsia="MS UI Gothic"/>
          <w:w w:val="80"/>
        </w:rPr>
        <w:t xml:space="preserve">» </w:t>
      </w:r>
      <w:r>
        <w:t>应当送到当事人</w:t>
      </w:r>
      <w:r>
        <w:rPr>
          <w:rFonts w:hint="eastAsia" w:ascii="MS UI Gothic" w:hAnsi="MS UI Gothic" w:eastAsia="MS UI Gothic"/>
          <w:w w:val="80"/>
        </w:rPr>
        <w:t xml:space="preserve">ꎬ </w:t>
      </w:r>
      <w:r>
        <w:t>以及当事人所在的单位和内设机构</w:t>
      </w:r>
      <w:r>
        <w:rPr>
          <w:rFonts w:hint="eastAsia" w:ascii="MS UI Gothic" w:hAnsi="MS UI Gothic" w:eastAsia="MS UI Gothic"/>
          <w:w w:val="80"/>
        </w:rPr>
        <w:t xml:space="preserve">ꎮ </w:t>
      </w:r>
      <w:r>
        <w:t>责任追究决定作出后</w:t>
      </w:r>
      <w:r>
        <w:rPr>
          <w:rFonts w:hint="eastAsia" w:ascii="MS UI Gothic" w:hAnsi="MS UI Gothic" w:eastAsia="MS UI Gothic"/>
          <w:w w:val="80"/>
        </w:rPr>
        <w:t xml:space="preserve">ꎬ </w:t>
      </w:r>
      <w:r>
        <w:t>作出决定的安全监管监察部门应当派人与当事人谈话</w:t>
      </w:r>
      <w:r>
        <w:rPr>
          <w:rFonts w:hint="eastAsia" w:ascii="MS UI Gothic" w:hAnsi="MS UI Gothic" w:eastAsia="MS UI Gothic"/>
          <w:w w:val="80"/>
        </w:rPr>
        <w:t xml:space="preserve">ꎬ </w:t>
      </w:r>
      <w:r>
        <w:t>做好思想工作</w:t>
      </w:r>
      <w:r>
        <w:rPr>
          <w:rFonts w:hint="eastAsia" w:ascii="MS UI Gothic" w:hAnsi="MS UI Gothic" w:eastAsia="MS UI Gothic"/>
          <w:w w:val="80"/>
        </w:rPr>
        <w:t xml:space="preserve">ꎬ </w:t>
      </w:r>
      <w:r>
        <w:t>督促其做好工作交接等后续工作</w:t>
      </w:r>
      <w:r>
        <w:rPr>
          <w:rFonts w:hint="eastAsia" w:ascii="MS UI Gothic" w:hAnsi="MS UI Gothic" w:eastAsia="MS UI Gothic"/>
          <w:w w:val="80"/>
        </w:rPr>
        <w:t>ꎮ</w:t>
      </w:r>
    </w:p>
    <w:p>
      <w:pPr>
        <w:pStyle w:val="6"/>
        <w:spacing w:before="123" w:line="295" w:lineRule="auto"/>
        <w:ind w:right="442"/>
        <w:rPr>
          <w:rFonts w:hint="eastAsia" w:ascii="MS UI Gothic" w:hAnsi="MS UI Gothic" w:eastAsia="MS UI Gothic"/>
        </w:rPr>
      </w:pPr>
      <w:r>
        <w:br w:type="column"/>
      </w:r>
      <w:r>
        <w:t>当事人对责任追究决定不服的</w:t>
      </w:r>
      <w:r>
        <w:rPr>
          <w:rFonts w:hint="eastAsia" w:ascii="MS UI Gothic" w:hAnsi="MS UI Gothic" w:eastAsia="MS UI Gothic"/>
          <w:w w:val="80"/>
        </w:rPr>
        <w:t xml:space="preserve">ꎬ </w:t>
      </w:r>
      <w:r>
        <w:t xml:space="preserve">可以依照 </w:t>
      </w:r>
      <w:r>
        <w:rPr>
          <w:rFonts w:hint="eastAsia" w:ascii="MS UI Gothic" w:hAnsi="MS UI Gothic" w:eastAsia="MS UI Gothic"/>
          <w:w w:val="80"/>
        </w:rPr>
        <w:t xml:space="preserve">« </w:t>
      </w:r>
      <w:r>
        <w:t>公务员法</w:t>
      </w:r>
      <w:r>
        <w:rPr>
          <w:rFonts w:hint="eastAsia" w:ascii="MS UI Gothic" w:hAnsi="MS UI Gothic" w:eastAsia="MS UI Gothic"/>
          <w:w w:val="80"/>
        </w:rPr>
        <w:t xml:space="preserve">» </w:t>
      </w:r>
      <w:r>
        <w:t>等规定申请复核和提出申诉</w:t>
      </w:r>
      <w:r>
        <w:rPr>
          <w:rFonts w:hint="eastAsia" w:ascii="MS UI Gothic" w:hAnsi="MS UI Gothic" w:eastAsia="MS UI Gothic"/>
          <w:w w:val="80"/>
        </w:rPr>
        <w:t xml:space="preserve">ꎮ </w:t>
      </w:r>
      <w:r>
        <w:t>申诉期间</w:t>
      </w:r>
      <w:r>
        <w:rPr>
          <w:rFonts w:hint="eastAsia" w:ascii="MS UI Gothic" w:hAnsi="MS UI Gothic" w:eastAsia="MS UI Gothic"/>
          <w:w w:val="80"/>
        </w:rPr>
        <w:t xml:space="preserve">ꎬ </w:t>
      </w:r>
      <w:r>
        <w:t>不停止责任追究决定的执行</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w w:val="105"/>
        </w:rPr>
        <w:t>第四十五条 对当事人的责任追究情况应当作为其考核</w:t>
      </w:r>
      <w:r>
        <w:rPr>
          <w:rFonts w:hint="eastAsia" w:ascii="MS UI Gothic" w:eastAsia="MS UI Gothic"/>
          <w:w w:val="80"/>
        </w:rPr>
        <w:t xml:space="preserve">、 </w:t>
      </w:r>
      <w:r>
        <w:rPr>
          <w:w w:val="105"/>
        </w:rPr>
        <w:t>奖惩</w:t>
      </w:r>
      <w:r>
        <w:rPr>
          <w:rFonts w:hint="eastAsia" w:ascii="MS UI Gothic" w:eastAsia="MS UI Gothic"/>
          <w:w w:val="80"/>
        </w:rPr>
        <w:t xml:space="preserve">、 </w:t>
      </w:r>
      <w:r>
        <w:rPr>
          <w:w w:val="105"/>
        </w:rPr>
        <w:t>任免的重要依</w:t>
      </w:r>
      <w:r>
        <w:t>据</w:t>
      </w:r>
      <w:r>
        <w:rPr>
          <w:rFonts w:hint="eastAsia" w:ascii="MS UI Gothic" w:eastAsia="MS UI Gothic"/>
          <w:w w:val="80"/>
        </w:rPr>
        <w:t xml:space="preserve">ꎮ </w:t>
      </w:r>
      <w:r>
        <w:t>安全监管监察部门负责人事工作的机构应当将责任追究的有关材料记入当事人</w:t>
      </w:r>
      <w:r>
        <w:rPr>
          <w:w w:val="105"/>
        </w:rPr>
        <w:t>个人档案</w:t>
      </w:r>
      <w:r>
        <w:rPr>
          <w:rFonts w:hint="eastAsia" w:ascii="MS UI Gothic" w:eastAsia="MS UI Gothic"/>
          <w:w w:val="80"/>
        </w:rPr>
        <w:t>ꎮ</w:t>
      </w:r>
    </w:p>
    <w:p>
      <w:pPr>
        <w:pStyle w:val="6"/>
        <w:tabs>
          <w:tab w:val="left" w:pos="2011"/>
          <w:tab w:val="left" w:pos="2639"/>
        </w:tabs>
        <w:spacing w:before="150"/>
        <w:ind w:left="1172"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215" w:line="295" w:lineRule="auto"/>
        <w:ind w:right="442"/>
        <w:rPr>
          <w:rFonts w:hint="eastAsia" w:ascii="MS UI Gothic" w:eastAsia="MS UI Gothic"/>
        </w:rPr>
      </w:pPr>
      <w:r>
        <w:t>第四十六条 本规定所称的安全生产非法行为</w:t>
      </w:r>
      <w:r>
        <w:rPr>
          <w:rFonts w:hint="eastAsia" w:ascii="MS UI Gothic" w:eastAsia="MS UI Gothic"/>
          <w:w w:val="80"/>
        </w:rPr>
        <w:t xml:space="preserve">ꎬ </w:t>
      </w:r>
      <w:r>
        <w:t>是指公民</w:t>
      </w:r>
      <w:r>
        <w:rPr>
          <w:rFonts w:hint="eastAsia" w:ascii="MS UI Gothic" w:eastAsia="MS UI Gothic"/>
          <w:w w:val="80"/>
        </w:rPr>
        <w:t xml:space="preserve">、 </w:t>
      </w:r>
      <w:r>
        <w:t>法人或者其他组织未依法取得安全监管监察部门的行政许可</w:t>
      </w:r>
      <w:r>
        <w:rPr>
          <w:rFonts w:hint="eastAsia" w:ascii="MS UI Gothic" w:eastAsia="MS UI Gothic"/>
          <w:w w:val="80"/>
        </w:rPr>
        <w:t xml:space="preserve">ꎬ </w:t>
      </w:r>
      <w:r>
        <w:t>擅自从事生产经营活动的行为</w:t>
      </w:r>
      <w:r>
        <w:rPr>
          <w:rFonts w:hint="eastAsia" w:ascii="MS UI Gothic" w:eastAsia="MS UI Gothic"/>
          <w:w w:val="80"/>
        </w:rPr>
        <w:t xml:space="preserve">ꎬ </w:t>
      </w:r>
      <w:r>
        <w:t>或者该行政许可已经失效</w:t>
      </w:r>
      <w:r>
        <w:rPr>
          <w:rFonts w:hint="eastAsia" w:ascii="MS UI Gothic" w:eastAsia="MS UI Gothic"/>
          <w:w w:val="80"/>
        </w:rPr>
        <w:t xml:space="preserve">ꎬ </w:t>
      </w:r>
      <w:r>
        <w:t>继续从事生产经营活动的行为</w:t>
      </w:r>
      <w:r>
        <w:rPr>
          <w:rFonts w:hint="eastAsia" w:ascii="MS UI Gothic" w:eastAsia="MS UI Gothic"/>
          <w:w w:val="80"/>
        </w:rPr>
        <w:t>ꎮ</w:t>
      </w:r>
    </w:p>
    <w:p>
      <w:pPr>
        <w:pStyle w:val="6"/>
        <w:spacing w:line="295" w:lineRule="auto"/>
        <w:ind w:right="442"/>
        <w:rPr>
          <w:rFonts w:hint="eastAsia" w:ascii="MS UI Gothic" w:eastAsia="MS UI Gothic"/>
        </w:rPr>
      </w:pPr>
      <w:r>
        <w:t>本规定所称的安全生产违法行为</w:t>
      </w:r>
      <w:r>
        <w:rPr>
          <w:rFonts w:hint="eastAsia" w:ascii="MS UI Gothic" w:eastAsia="MS UI Gothic"/>
          <w:w w:val="80"/>
        </w:rPr>
        <w:t xml:space="preserve">ꎬ </w:t>
      </w:r>
      <w:r>
        <w:t>是指公民</w:t>
      </w:r>
      <w:r>
        <w:rPr>
          <w:rFonts w:hint="eastAsia" w:ascii="MS UI Gothic" w:eastAsia="MS UI Gothic"/>
          <w:w w:val="80"/>
        </w:rPr>
        <w:t xml:space="preserve">、 </w:t>
      </w:r>
      <w:r>
        <w:t>法人或者其他组织违反有关安全生产的法律</w:t>
      </w:r>
      <w:r>
        <w:rPr>
          <w:rFonts w:hint="eastAsia" w:ascii="MS UI Gothic" w:eastAsia="MS UI Gothic"/>
          <w:w w:val="80"/>
        </w:rPr>
        <w:t xml:space="preserve">、 </w:t>
      </w:r>
      <w:r>
        <w:t>法规</w:t>
      </w:r>
      <w:r>
        <w:rPr>
          <w:rFonts w:hint="eastAsia" w:ascii="MS UI Gothic" w:eastAsia="MS UI Gothic"/>
          <w:w w:val="80"/>
        </w:rPr>
        <w:t xml:space="preserve">、 </w:t>
      </w:r>
      <w:r>
        <w:t>规章</w:t>
      </w:r>
      <w:r>
        <w:rPr>
          <w:rFonts w:hint="eastAsia" w:ascii="MS UI Gothic" w:eastAsia="MS UI Gothic"/>
          <w:w w:val="80"/>
        </w:rPr>
        <w:t xml:space="preserve">、 </w:t>
      </w:r>
      <w:r>
        <w:t>国家标准</w:t>
      </w:r>
      <w:r>
        <w:rPr>
          <w:rFonts w:hint="eastAsia" w:ascii="MS UI Gothic" w:eastAsia="MS UI Gothic"/>
          <w:w w:val="80"/>
        </w:rPr>
        <w:t xml:space="preserve">、  </w:t>
      </w:r>
      <w:r>
        <w:t>行业标准的规定</w:t>
      </w:r>
      <w:r>
        <w:rPr>
          <w:rFonts w:hint="eastAsia" w:ascii="MS UI Gothic" w:eastAsia="MS UI Gothic"/>
          <w:w w:val="80"/>
        </w:rPr>
        <w:t xml:space="preserve">ꎬ </w:t>
      </w:r>
      <w:r>
        <w:t>从事生产经营活动的行为</w:t>
      </w:r>
      <w:r>
        <w:rPr>
          <w:rFonts w:hint="eastAsia" w:ascii="MS UI Gothic" w:eastAsia="MS UI Gothic"/>
          <w:w w:val="80"/>
        </w:rPr>
        <w:t>ꎮ</w:t>
      </w:r>
    </w:p>
    <w:p>
      <w:pPr>
        <w:pStyle w:val="6"/>
        <w:spacing w:line="295" w:lineRule="auto"/>
        <w:ind w:right="440"/>
        <w:rPr>
          <w:rFonts w:hint="eastAsia" w:ascii="MS UI Gothic" w:eastAsia="MS UI Gothic"/>
        </w:rPr>
      </w:pPr>
      <w:r>
        <w:t>本规定所称的违法的行政执法行为</w:t>
      </w:r>
      <w:r>
        <w:rPr>
          <w:rFonts w:hint="eastAsia" w:ascii="MS UI Gothic" w:eastAsia="MS UI Gothic"/>
          <w:w w:val="80"/>
        </w:rPr>
        <w:t>ꎬ</w:t>
      </w:r>
      <w:r>
        <w:t>是指违反法律</w:t>
      </w:r>
      <w:r>
        <w:rPr>
          <w:rFonts w:hint="eastAsia" w:ascii="MS UI Gothic" w:eastAsia="MS UI Gothic"/>
          <w:w w:val="80"/>
        </w:rPr>
        <w:t xml:space="preserve">、 </w:t>
      </w:r>
      <w:r>
        <w:t>法规</w:t>
      </w:r>
      <w:r>
        <w:rPr>
          <w:rFonts w:hint="eastAsia" w:ascii="MS UI Gothic" w:eastAsia="MS UI Gothic"/>
          <w:w w:val="80"/>
        </w:rPr>
        <w:t xml:space="preserve">、  </w:t>
      </w:r>
      <w:r>
        <w:t>规章规定的职责</w:t>
      </w:r>
      <w:r>
        <w:rPr>
          <w:rFonts w:hint="eastAsia" w:ascii="MS UI Gothic" w:eastAsia="MS UI Gothic"/>
          <w:w w:val="80"/>
        </w:rPr>
        <w:t>、</w:t>
      </w:r>
      <w:r>
        <w:t>程序所作出的具体行政行为</w:t>
      </w:r>
      <w:r>
        <w:rPr>
          <w:rFonts w:hint="eastAsia" w:ascii="MS UI Gothic" w:eastAsia="MS UI Gothic"/>
          <w:w w:val="80"/>
        </w:rPr>
        <w:t>ꎮ</w:t>
      </w:r>
    </w:p>
    <w:p>
      <w:pPr>
        <w:pStyle w:val="6"/>
        <w:spacing w:line="295" w:lineRule="auto"/>
        <w:ind w:right="440"/>
        <w:rPr>
          <w:rFonts w:hint="eastAsia" w:ascii="MS UI Gothic" w:eastAsia="MS UI Gothic"/>
        </w:rPr>
      </w:pPr>
      <w:r>
        <w:t>本规定所称的不当的行政执法行为</w:t>
      </w:r>
      <w:r>
        <w:rPr>
          <w:rFonts w:hint="eastAsia" w:ascii="MS UI Gothic" w:eastAsia="MS UI Gothic"/>
          <w:w w:val="80"/>
        </w:rPr>
        <w:t>ꎬ</w:t>
      </w:r>
      <w:r>
        <w:t>是指违反客观</w:t>
      </w:r>
      <w:r>
        <w:rPr>
          <w:rFonts w:hint="eastAsia" w:ascii="MS UI Gothic" w:eastAsia="MS UI Gothic"/>
          <w:w w:val="80"/>
        </w:rPr>
        <w:t xml:space="preserve">、 </w:t>
      </w:r>
      <w:r>
        <w:t>适度</w:t>
      </w:r>
      <w:r>
        <w:rPr>
          <w:rFonts w:hint="eastAsia" w:ascii="MS UI Gothic" w:eastAsia="MS UI Gothic"/>
          <w:w w:val="80"/>
        </w:rPr>
        <w:t xml:space="preserve">、 </w:t>
      </w:r>
      <w:r>
        <w:t>公平</w:t>
      </w:r>
      <w:r>
        <w:rPr>
          <w:rFonts w:hint="eastAsia" w:ascii="MS UI Gothic" w:eastAsia="MS UI Gothic"/>
          <w:w w:val="80"/>
        </w:rPr>
        <w:t xml:space="preserve">、 </w:t>
      </w:r>
      <w:r>
        <w:t>公正</w:t>
      </w:r>
      <w:r>
        <w:rPr>
          <w:rFonts w:hint="eastAsia" w:ascii="MS UI Gothic" w:eastAsia="MS UI Gothic"/>
          <w:w w:val="80"/>
        </w:rPr>
        <w:t xml:space="preserve">、  </w:t>
      </w:r>
      <w:r>
        <w:t>合理等适用法律的一般原则所作出的具体行政行为</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第四十七条 依法授权或者委托行使</w:t>
      </w:r>
      <w:r>
        <w:t>安全生产行政执法职责的单位及其行政执</w:t>
      </w:r>
      <w:r>
        <w:rPr>
          <w:w w:val="105"/>
        </w:rPr>
        <w:t>法人员的责任追究</w:t>
      </w:r>
      <w:r>
        <w:rPr>
          <w:rFonts w:hint="eastAsia" w:ascii="MS UI Gothic" w:eastAsia="MS UI Gothic"/>
          <w:w w:val="80"/>
        </w:rPr>
        <w:t xml:space="preserve">ꎬ </w:t>
      </w:r>
      <w:r>
        <w:rPr>
          <w:w w:val="105"/>
        </w:rPr>
        <w:t>参照本规定执行</w:t>
      </w:r>
      <w:r>
        <w:rPr>
          <w:rFonts w:hint="eastAsia" w:ascii="MS UI Gothic" w:eastAsia="MS UI Gothic"/>
          <w:w w:val="80"/>
        </w:rPr>
        <w:t>ꎮ</w:t>
      </w:r>
    </w:p>
    <w:p>
      <w:pPr>
        <w:pStyle w:val="6"/>
        <w:tabs>
          <w:tab w:val="left" w:pos="1801"/>
        </w:tabs>
        <w:spacing w:line="295" w:lineRule="auto"/>
        <w:ind w:right="440"/>
        <w:jc w:val="right"/>
      </w:pPr>
      <w:r>
        <w:pict>
          <v:shape id="_x0000_s1490" o:spid="_x0000_s1490" o:spt="202" type="#_x0000_t202" style="position:absolute;left:0pt;margin-left:264.5pt;margin-top:12pt;height:24.35pt;width:5.15pt;mso-position-horizontal-relative:page;z-index:-27592192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spacing w:val="3"/>
          <w:w w:val="95"/>
        </w:rPr>
        <w:t>第四十八</w:t>
      </w:r>
      <w:r>
        <w:rPr>
          <w:w w:val="95"/>
        </w:rPr>
        <w:t>条</w:t>
      </w:r>
      <w:r>
        <w:rPr>
          <w:w w:val="95"/>
        </w:rPr>
        <w:tab/>
      </w:r>
      <w:r>
        <w:rPr>
          <w:spacing w:val="3"/>
          <w:w w:val="95"/>
        </w:rPr>
        <w:t>本规定</w:t>
      </w:r>
      <w:r>
        <w:rPr>
          <w:w w:val="95"/>
        </w:rPr>
        <w:t>自</w:t>
      </w:r>
      <w:r>
        <w:rPr>
          <w:spacing w:val="-60"/>
          <w:w w:val="95"/>
        </w:rPr>
        <w:t xml:space="preserve"> </w:t>
      </w:r>
      <w:r>
        <w:rPr>
          <w:rFonts w:hint="eastAsia" w:ascii="MS UI Gothic" w:eastAsia="MS UI Gothic"/>
          <w:w w:val="95"/>
        </w:rPr>
        <w:t>２００９</w:t>
      </w:r>
      <w:r>
        <w:rPr>
          <w:rFonts w:hint="eastAsia" w:ascii="MS UI Gothic" w:eastAsia="MS UI Gothic"/>
          <w:spacing w:val="-15"/>
          <w:w w:val="95"/>
        </w:rPr>
        <w:t xml:space="preserve"> </w:t>
      </w:r>
      <w:r>
        <w:rPr>
          <w:w w:val="95"/>
        </w:rPr>
        <w:t>年</w:t>
      </w:r>
      <w:r>
        <w:rPr>
          <w:spacing w:val="-57"/>
          <w:w w:val="95"/>
        </w:rPr>
        <w:t xml:space="preserve"> </w:t>
      </w:r>
      <w:r>
        <w:rPr>
          <w:rFonts w:hint="eastAsia" w:ascii="MS UI Gothic" w:eastAsia="MS UI Gothic"/>
          <w:w w:val="95"/>
        </w:rPr>
        <w:t>１０</w:t>
      </w:r>
      <w:r>
        <w:rPr>
          <w:rFonts w:hint="eastAsia" w:ascii="MS UI Gothic" w:eastAsia="MS UI Gothic"/>
          <w:spacing w:val="-14"/>
          <w:w w:val="95"/>
        </w:rPr>
        <w:t xml:space="preserve"> </w:t>
      </w:r>
      <w:r>
        <w:rPr>
          <w:spacing w:val="-11"/>
          <w:w w:val="95"/>
        </w:rPr>
        <w:t>月</w:t>
      </w:r>
      <w:r>
        <w:rPr>
          <w:spacing w:val="3"/>
          <w:w w:val="95"/>
        </w:rPr>
        <w:t>日起</w:t>
      </w:r>
      <w:r>
        <w:rPr>
          <w:spacing w:val="5"/>
          <w:w w:val="95"/>
        </w:rPr>
        <w:t>施</w:t>
      </w:r>
      <w:r>
        <w:rPr>
          <w:spacing w:val="3"/>
          <w:w w:val="95"/>
        </w:rPr>
        <w:t>行</w:t>
      </w:r>
      <w:r>
        <w:rPr>
          <w:rFonts w:hint="eastAsia" w:ascii="MS UI Gothic" w:eastAsia="MS UI Gothic"/>
          <w:w w:val="90"/>
        </w:rPr>
        <w:t>ꎮ</w:t>
      </w:r>
      <w:r>
        <w:rPr>
          <w:rFonts w:hint="eastAsia" w:ascii="MS UI Gothic" w:eastAsia="MS UI Gothic"/>
          <w:spacing w:val="32"/>
          <w:w w:val="90"/>
        </w:rPr>
        <w:t xml:space="preserve"> </w:t>
      </w:r>
      <w:r>
        <w:rPr>
          <w:spacing w:val="3"/>
          <w:w w:val="95"/>
        </w:rPr>
        <w:t>省</w:t>
      </w:r>
      <w:r>
        <w:rPr>
          <w:rFonts w:hint="eastAsia" w:ascii="MS UI Gothic" w:eastAsia="MS UI Gothic"/>
          <w:w w:val="95"/>
        </w:rPr>
        <w:t>、</w:t>
      </w:r>
      <w:r>
        <w:rPr>
          <w:rFonts w:hint="eastAsia" w:ascii="MS UI Gothic" w:eastAsia="MS UI Gothic"/>
          <w:spacing w:val="26"/>
          <w:w w:val="95"/>
        </w:rPr>
        <w:t xml:space="preserve"> </w:t>
      </w:r>
      <w:r>
        <w:rPr>
          <w:spacing w:val="9"/>
          <w:w w:val="95"/>
        </w:rPr>
        <w:t>自治</w:t>
      </w:r>
      <w:r>
        <w:rPr>
          <w:spacing w:val="3"/>
          <w:w w:val="95"/>
        </w:rPr>
        <w:t>区</w:t>
      </w:r>
      <w:r>
        <w:rPr>
          <w:rFonts w:hint="eastAsia" w:ascii="MS UI Gothic" w:eastAsia="MS UI Gothic"/>
          <w:w w:val="95"/>
        </w:rPr>
        <w:t>、</w:t>
      </w:r>
      <w:r>
        <w:rPr>
          <w:rFonts w:hint="eastAsia" w:ascii="MS UI Gothic" w:eastAsia="MS UI Gothic"/>
          <w:spacing w:val="26"/>
          <w:w w:val="95"/>
        </w:rPr>
        <w:t xml:space="preserve"> </w:t>
      </w:r>
      <w:r>
        <w:rPr>
          <w:spacing w:val="9"/>
          <w:w w:val="95"/>
        </w:rPr>
        <w:t>直辖市人民</w:t>
      </w:r>
      <w:r>
        <w:rPr>
          <w:w w:val="95"/>
        </w:rPr>
        <w:t>代</w:t>
      </w:r>
      <w:r>
        <w:rPr>
          <w:spacing w:val="3"/>
          <w:w w:val="95"/>
        </w:rPr>
        <w:t>表大会</w:t>
      </w:r>
      <w:r>
        <w:rPr>
          <w:spacing w:val="7"/>
          <w:w w:val="95"/>
        </w:rPr>
        <w:t>及</w:t>
      </w:r>
      <w:r>
        <w:rPr>
          <w:spacing w:val="11"/>
          <w:w w:val="95"/>
        </w:rPr>
        <w:t>其常</w:t>
      </w:r>
      <w:r>
        <w:rPr>
          <w:spacing w:val="13"/>
          <w:w w:val="95"/>
        </w:rPr>
        <w:t>务委员会或者</w:t>
      </w:r>
      <w:r>
        <w:rPr>
          <w:spacing w:val="3"/>
          <w:w w:val="95"/>
        </w:rPr>
        <w:t>省</w:t>
      </w:r>
      <w:r>
        <w:rPr>
          <w:rFonts w:hint="eastAsia" w:ascii="MS UI Gothic" w:eastAsia="MS UI Gothic"/>
          <w:w w:val="95"/>
        </w:rPr>
        <w:t xml:space="preserve">、 </w:t>
      </w:r>
      <w:r>
        <w:rPr>
          <w:rFonts w:hint="eastAsia" w:ascii="MS UI Gothic" w:eastAsia="MS UI Gothic"/>
          <w:spacing w:val="29"/>
          <w:w w:val="95"/>
        </w:rPr>
        <w:t xml:space="preserve"> </w:t>
      </w:r>
      <w:r>
        <w:rPr>
          <w:spacing w:val="13"/>
          <w:w w:val="95"/>
        </w:rPr>
        <w:t>自治</w:t>
      </w:r>
      <w:r>
        <w:rPr>
          <w:spacing w:val="3"/>
          <w:w w:val="95"/>
        </w:rPr>
        <w:t>区</w:t>
      </w:r>
      <w:r>
        <w:rPr>
          <w:rFonts w:hint="eastAsia" w:ascii="MS UI Gothic" w:eastAsia="MS UI Gothic"/>
          <w:w w:val="95"/>
        </w:rPr>
        <w:t>、</w:t>
      </w:r>
      <w:r>
        <w:rPr>
          <w:spacing w:val="3"/>
          <w:w w:val="95"/>
        </w:rPr>
        <w:t>直辖市人民政府对地方安全生产监督管</w:t>
      </w:r>
      <w:r>
        <w:rPr>
          <w:w w:val="95"/>
        </w:rPr>
        <w:t xml:space="preserve">理 </w:t>
      </w:r>
      <w:r>
        <w:rPr>
          <w:spacing w:val="3"/>
          <w:w w:val="95"/>
        </w:rPr>
        <w:t>部门及其内设机构</w:t>
      </w:r>
      <w:r>
        <w:rPr>
          <w:rFonts w:hint="eastAsia" w:ascii="MS UI Gothic" w:eastAsia="MS UI Gothic"/>
          <w:w w:val="95"/>
        </w:rPr>
        <w:t>、</w:t>
      </w:r>
      <w:r>
        <w:rPr>
          <w:rFonts w:hint="eastAsia" w:ascii="MS UI Gothic" w:eastAsia="MS UI Gothic"/>
          <w:spacing w:val="2"/>
          <w:w w:val="95"/>
        </w:rPr>
        <w:t xml:space="preserve"> </w:t>
      </w:r>
      <w:r>
        <w:rPr>
          <w:spacing w:val="3"/>
          <w:w w:val="95"/>
        </w:rPr>
        <w:t>行政执法人员的责</w:t>
      </w:r>
      <w:r>
        <w:rPr>
          <w:w w:val="95"/>
        </w:rPr>
        <w:t>任</w:t>
      </w:r>
    </w:p>
    <w:p>
      <w:pPr>
        <w:pStyle w:val="6"/>
        <w:spacing w:line="252" w:lineRule="exact"/>
        <w:ind w:firstLine="0"/>
        <w:jc w:val="left"/>
        <w:rPr>
          <w:rFonts w:hint="eastAsia" w:ascii="MS UI Gothic" w:eastAsia="MS UI Gothic"/>
        </w:rPr>
      </w:pPr>
      <w:r>
        <w:t>追究另有规定的</w:t>
      </w:r>
      <w:r>
        <w:rPr>
          <w:rFonts w:hint="eastAsia" w:ascii="MS UI Gothic" w:eastAsia="MS UI Gothic"/>
          <w:w w:val="80"/>
        </w:rPr>
        <w:t xml:space="preserve">ꎬ </w:t>
      </w:r>
      <w:r>
        <w:t>依照其规定</w:t>
      </w:r>
      <w:r>
        <w:rPr>
          <w:rFonts w:hint="eastAsia" w:ascii="MS UI Gothic" w:eastAsia="MS UI Gothic"/>
          <w:w w:val="80"/>
        </w:rPr>
        <w:t>ꎮ</w:t>
      </w:r>
    </w:p>
    <w:p>
      <w:pPr>
        <w:spacing w:after="0" w:line="252" w:lineRule="exact"/>
        <w:jc w:val="lef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１４９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91" o:spid="_x0000_s1491" o:spt="203" style="height:2.15pt;width:398.25pt;" coordsize="7965,43">
            <o:lock v:ext="edit"/>
            <v:line id="_x0000_s1492" o:spid="_x0000_s1492" o:spt="20" style="position:absolute;left:0;top:39;height:0;width:7965;" stroked="t" coordsize="21600,21600">
              <v:path arrowok="t"/>
              <v:fill focussize="0,0"/>
              <v:stroke weight="0.388031496062992pt" color="#231F20"/>
              <v:imagedata o:title=""/>
              <o:lock v:ext="edit"/>
            </v:line>
            <v:line id="_x0000_s1493" o:spid="_x0000_s1493"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4"/>
        <w:spacing w:before="238"/>
      </w:pPr>
      <w:r>
        <w:t>国家安全生产监督管理总局令</w:t>
      </w:r>
    </w:p>
    <w:p>
      <w:pPr>
        <w:pStyle w:val="6"/>
        <w:ind w:left="0" w:firstLine="0"/>
        <w:jc w:val="left"/>
        <w:rPr>
          <w:sz w:val="27"/>
        </w:rPr>
      </w:pPr>
    </w:p>
    <w:p>
      <w:pPr>
        <w:pStyle w:val="5"/>
        <w:ind w:left="312"/>
      </w:pPr>
      <w:r>
        <w:t xml:space="preserve">第 </w:t>
      </w:r>
      <w:r>
        <w:rPr>
          <w:rFonts w:hint="eastAsia" w:ascii="MS UI Gothic" w:eastAsia="MS UI Gothic"/>
        </w:rPr>
        <w:t xml:space="preserve">５６ </w:t>
      </w:r>
      <w:r>
        <w:t>号</w:t>
      </w:r>
    </w:p>
    <w:p>
      <w:pPr>
        <w:pStyle w:val="6"/>
        <w:spacing w:before="354"/>
        <w:ind w:left="860" w:firstLine="0"/>
        <w:jc w:val="left"/>
      </w:pPr>
      <w:r>
        <w:rPr>
          <w:rFonts w:hint="eastAsia" w:ascii="MS UI Gothic" w:hAnsi="MS UI Gothic" w:eastAsia="MS UI Gothic"/>
          <w:spacing w:val="-21"/>
        </w:rPr>
        <w:t xml:space="preserve">« </w:t>
      </w:r>
      <w:r>
        <w:rPr>
          <w:spacing w:val="3"/>
        </w:rPr>
        <w:t>安全生产监管监察部门信息公开办法</w:t>
      </w:r>
      <w:r>
        <w:rPr>
          <w:rFonts w:hint="eastAsia" w:ascii="MS UI Gothic" w:hAnsi="MS UI Gothic" w:eastAsia="MS UI Gothic"/>
          <w:spacing w:val="22"/>
        </w:rPr>
        <w:t xml:space="preserve">» </w:t>
      </w:r>
      <w:r>
        <w:rPr>
          <w:spacing w:val="-22"/>
        </w:rPr>
        <w:t xml:space="preserve">已经 </w:t>
      </w:r>
      <w:r>
        <w:rPr>
          <w:rFonts w:hint="eastAsia" w:ascii="MS UI Gothic" w:hAnsi="MS UI Gothic" w:eastAsia="MS UI Gothic"/>
          <w:spacing w:val="-3"/>
        </w:rPr>
        <w:t xml:space="preserve">２０１２ </w:t>
      </w:r>
      <w:r>
        <w:rPr>
          <w:spacing w:val="-33"/>
        </w:rPr>
        <w:t xml:space="preserve">年 </w:t>
      </w:r>
      <w:r>
        <w:rPr>
          <w:rFonts w:hint="eastAsia" w:ascii="MS UI Gothic" w:hAnsi="MS UI Gothic" w:eastAsia="MS UI Gothic"/>
          <w:spacing w:val="-6"/>
        </w:rPr>
        <w:t xml:space="preserve">９ </w:t>
      </w:r>
      <w:r>
        <w:rPr>
          <w:spacing w:val="-33"/>
        </w:rPr>
        <w:t xml:space="preserve">月 </w:t>
      </w:r>
      <w:r>
        <w:rPr>
          <w:rFonts w:hint="eastAsia" w:ascii="MS UI Gothic" w:hAnsi="MS UI Gothic" w:eastAsia="MS UI Gothic"/>
          <w:spacing w:val="-6"/>
        </w:rPr>
        <w:t xml:space="preserve">３ </w:t>
      </w:r>
      <w:r>
        <w:rPr>
          <w:spacing w:val="2"/>
        </w:rPr>
        <w:t>日国家安全生产监督管</w:t>
      </w:r>
    </w:p>
    <w:p>
      <w:pPr>
        <w:pStyle w:val="6"/>
        <w:spacing w:before="58"/>
        <w:ind w:left="440" w:firstLine="0"/>
        <w:jc w:val="left"/>
        <w:rPr>
          <w:rFonts w:hint="eastAsia" w:ascii="MS UI Gothic" w:eastAsia="MS UI Gothic"/>
        </w:rPr>
      </w:pPr>
      <w:r>
        <w:rPr>
          <w:w w:val="95"/>
        </w:rPr>
        <w:t>理总局局长办公会议审议通过</w:t>
      </w:r>
      <w:r>
        <w:rPr>
          <w:rFonts w:hint="eastAsia" w:ascii="MS UI Gothic" w:eastAsia="MS UI Gothic"/>
          <w:w w:val="90"/>
        </w:rPr>
        <w:t xml:space="preserve">ꎬ </w:t>
      </w:r>
      <w:r>
        <w:rPr>
          <w:w w:val="95"/>
        </w:rPr>
        <w:t>现予公布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２０１２ </w:t>
      </w:r>
      <w:r>
        <w:rPr>
          <w:w w:val="95"/>
        </w:rPr>
        <w:t xml:space="preserve">年 </w:t>
      </w:r>
      <w:r>
        <w:rPr>
          <w:rFonts w:hint="eastAsia" w:ascii="MS UI Gothic" w:eastAsia="MS UI Gothic"/>
          <w:w w:val="95"/>
        </w:rPr>
        <w:t xml:space="preserve">１１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spacing w:before="373"/>
        <w:ind w:left="0" w:right="126" w:firstLine="0"/>
        <w:jc w:val="right"/>
      </w:pPr>
      <w:r>
        <w:rPr>
          <w:rFonts w:hint="eastAsia" w:ascii="MS UI Gothic" w:eastAsia="MS UI Gothic"/>
          <w:w w:val="95"/>
        </w:rPr>
        <w:t xml:space="preserve">２０１２ </w:t>
      </w:r>
      <w:r>
        <w:rPr>
          <w:w w:val="95"/>
        </w:rPr>
        <w:t xml:space="preserve">年 </w:t>
      </w:r>
      <w:r>
        <w:rPr>
          <w:rFonts w:hint="eastAsia" w:ascii="MS UI Gothic" w:eastAsia="MS UI Gothic"/>
          <w:w w:val="95"/>
        </w:rPr>
        <w:t xml:space="preserve">９ </w:t>
      </w:r>
      <w:r>
        <w:rPr>
          <w:w w:val="95"/>
        </w:rPr>
        <w:t xml:space="preserve">月 </w:t>
      </w:r>
      <w:r>
        <w:rPr>
          <w:rFonts w:hint="eastAsia" w:ascii="MS UI Gothic" w:eastAsia="MS UI Gothic"/>
          <w:w w:val="95"/>
        </w:rPr>
        <w:t xml:space="preserve">２１ </w:t>
      </w:r>
      <w:r>
        <w:rPr>
          <w:w w:val="95"/>
        </w:rPr>
        <w:t>日</w:t>
      </w:r>
    </w:p>
    <w:p>
      <w:pPr>
        <w:pStyle w:val="4"/>
        <w:ind w:left="286"/>
        <w:rPr>
          <w:rFonts w:hint="eastAsia" w:ascii="Microsoft Yi Baiti" w:eastAsia="Microsoft Yi Baiti"/>
        </w:rPr>
      </w:pPr>
      <w:r>
        <w:t xml:space="preserve">安全生产监管监察部门信息公开办法 </w:t>
      </w:r>
      <w:r>
        <w:rPr>
          <w:rFonts w:hint="eastAsia" w:ascii="Microsoft Yi Baiti" w:eastAsia="Microsoft Yi Baiti"/>
        </w:rPr>
        <w:t>(</w:t>
      </w:r>
      <w:r>
        <w:rPr>
          <w:rFonts w:hint="eastAsia" w:ascii="MS UI Gothic" w:eastAsia="MS UI Gothic"/>
        </w:rPr>
        <w:t xml:space="preserve">２０１２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302" w:lineRule="auto"/>
        <w:ind w:left="440"/>
        <w:rPr>
          <w:rFonts w:hint="eastAsia" w:ascii="MS UI Gothic" w:hAnsi="MS UI Gothic" w:eastAsia="MS UI Gothic"/>
        </w:rPr>
      </w:pPr>
      <w:r>
        <w:t>第一条 为了深化政务公开</w:t>
      </w:r>
      <w:r>
        <w:rPr>
          <w:rFonts w:hint="eastAsia" w:ascii="MS UI Gothic" w:hAnsi="MS UI Gothic" w:eastAsia="MS UI Gothic"/>
          <w:w w:val="80"/>
        </w:rPr>
        <w:t xml:space="preserve">ꎬ </w:t>
      </w:r>
      <w:r>
        <w:t>加强政务服务</w:t>
      </w:r>
      <w:r>
        <w:rPr>
          <w:rFonts w:hint="eastAsia" w:ascii="MS UI Gothic" w:hAnsi="MS UI Gothic" w:eastAsia="MS UI Gothic"/>
          <w:w w:val="80"/>
        </w:rPr>
        <w:t xml:space="preserve">ꎬ </w:t>
      </w:r>
      <w:r>
        <w:t>保障公民</w:t>
      </w:r>
      <w:r>
        <w:rPr>
          <w:rFonts w:hint="eastAsia" w:ascii="MS UI Gothic" w:hAnsi="MS UI Gothic" w:eastAsia="MS UI Gothic"/>
          <w:w w:val="80"/>
        </w:rPr>
        <w:t xml:space="preserve">、 </w:t>
      </w:r>
      <w:r>
        <w:t>法人和其他组织依法获取安全生产监管监察部门信息</w:t>
      </w:r>
      <w:r>
        <w:rPr>
          <w:rFonts w:hint="eastAsia" w:ascii="MS UI Gothic" w:hAnsi="MS UI Gothic" w:eastAsia="MS UI Gothic"/>
          <w:w w:val="80"/>
        </w:rPr>
        <w:t xml:space="preserve">ꎬ </w:t>
      </w:r>
      <w:r>
        <w:t>促进依法行政</w:t>
      </w:r>
      <w:r>
        <w:rPr>
          <w:rFonts w:hint="eastAsia" w:ascii="MS UI Gothic" w:hAnsi="MS UI Gothic" w:eastAsia="MS UI Gothic"/>
          <w:w w:val="80"/>
        </w:rPr>
        <w:t xml:space="preserve">ꎬ </w:t>
      </w:r>
      <w:r>
        <w:t xml:space="preserve">依据 </w:t>
      </w:r>
      <w:r>
        <w:rPr>
          <w:rFonts w:hint="eastAsia" w:ascii="MS UI Gothic" w:hAnsi="MS UI Gothic" w:eastAsia="MS UI Gothic"/>
          <w:w w:val="80"/>
        </w:rPr>
        <w:t xml:space="preserve">« </w:t>
      </w:r>
      <w:r>
        <w:t>中华人民共和国政府信息公开条例</w:t>
      </w:r>
      <w:r>
        <w:rPr>
          <w:rFonts w:hint="eastAsia" w:ascii="MS UI Gothic" w:hAnsi="MS UI Gothic" w:eastAsia="MS UI Gothic"/>
          <w:w w:val="80"/>
        </w:rPr>
        <w:t xml:space="preserve">» </w:t>
      </w:r>
      <w:r>
        <w:rPr>
          <w:rFonts w:hint="eastAsia" w:ascii="MS UI Gothic" w:hAnsi="MS UI Gothic" w:eastAsia="MS UI Gothic"/>
          <w:w w:val="150"/>
        </w:rPr>
        <w:t xml:space="preserve">( </w:t>
      </w:r>
      <w:r>
        <w:t xml:space="preserve">以下简称 </w:t>
      </w:r>
      <w:r>
        <w:rPr>
          <w:rFonts w:hint="eastAsia" w:ascii="MS UI Gothic" w:hAnsi="MS UI Gothic" w:eastAsia="MS UI Gothic"/>
          <w:w w:val="80"/>
        </w:rPr>
        <w:t xml:space="preserve">« </w:t>
      </w:r>
      <w:r>
        <w:t>政府信息公开条例</w:t>
      </w:r>
      <w:r>
        <w:rPr>
          <w:rFonts w:hint="eastAsia" w:ascii="MS UI Gothic" w:hAnsi="MS UI Gothic" w:eastAsia="MS UI Gothic"/>
          <w:w w:val="80"/>
        </w:rPr>
        <w:t xml:space="preserve">» </w:t>
      </w:r>
      <w:r>
        <w:rPr>
          <w:rFonts w:hint="eastAsia" w:ascii="MS UI Gothic" w:hAnsi="MS UI Gothic" w:eastAsia="MS UI Gothic"/>
          <w:w w:val="150"/>
        </w:rPr>
        <w:t xml:space="preserve">) </w:t>
      </w:r>
      <w:r>
        <w:t>和有关法律</w:t>
      </w:r>
      <w:r>
        <w:rPr>
          <w:rFonts w:hint="eastAsia" w:ascii="MS UI Gothic" w:hAnsi="MS UI Gothic" w:eastAsia="MS UI Gothic"/>
          <w:w w:val="80"/>
        </w:rPr>
        <w:t xml:space="preserve">、 </w:t>
      </w:r>
      <w:r>
        <w:t>行政法规的规定</w:t>
      </w:r>
      <w:r>
        <w:rPr>
          <w:rFonts w:hint="eastAsia" w:ascii="MS UI Gothic" w:hAnsi="MS UI Gothic" w:eastAsia="MS UI Gothic"/>
          <w:w w:val="80"/>
        </w:rPr>
        <w:t>ꎬ</w:t>
      </w:r>
      <w:r>
        <w:t>制定本办法</w:t>
      </w:r>
      <w:r>
        <w:rPr>
          <w:rFonts w:hint="eastAsia" w:ascii="MS UI Gothic" w:hAnsi="MS UI Gothic" w:eastAsia="MS UI Gothic"/>
          <w:w w:val="80"/>
        </w:rPr>
        <w:t>ꎮ</w:t>
      </w:r>
    </w:p>
    <w:p>
      <w:pPr>
        <w:pStyle w:val="6"/>
        <w:spacing w:line="300" w:lineRule="auto"/>
        <w:ind w:left="440" w:right="1"/>
        <w:rPr>
          <w:rFonts w:hint="eastAsia" w:ascii="MS UI Gothic" w:eastAsia="MS UI Gothic"/>
        </w:rPr>
      </w:pPr>
      <w:r>
        <w:rPr>
          <w:w w:val="105"/>
        </w:rPr>
        <w:t>第二条 安全生产监督管理部门</w:t>
      </w:r>
      <w:r>
        <w:rPr>
          <w:rFonts w:hint="eastAsia" w:ascii="MS UI Gothic" w:eastAsia="MS UI Gothic"/>
          <w:w w:val="80"/>
        </w:rPr>
        <w:t xml:space="preserve">、 </w:t>
      </w:r>
      <w:r>
        <w:rPr>
          <w:w w:val="105"/>
        </w:rPr>
        <w:t xml:space="preserve">煤矿安全监察机构 </w:t>
      </w:r>
      <w:r>
        <w:rPr>
          <w:rFonts w:hint="eastAsia" w:ascii="MS UI Gothic" w:eastAsia="MS UI Gothic"/>
          <w:w w:val="150"/>
        </w:rPr>
        <w:t xml:space="preserve">( </w:t>
      </w:r>
      <w:r>
        <w:rPr>
          <w:w w:val="105"/>
        </w:rPr>
        <w:t>以下统称安全生产监管监察部门</w:t>
      </w:r>
      <w:r>
        <w:rPr>
          <w:rFonts w:hint="eastAsia" w:ascii="MS UI Gothic" w:eastAsia="MS UI Gothic"/>
          <w:w w:val="150"/>
        </w:rPr>
        <w:t xml:space="preserve">) </w:t>
      </w:r>
      <w:r>
        <w:rPr>
          <w:w w:val="105"/>
        </w:rPr>
        <w:t>公开本部门信息</w:t>
      </w:r>
      <w:r>
        <w:rPr>
          <w:rFonts w:hint="eastAsia" w:ascii="MS UI Gothic" w:eastAsia="MS UI Gothic"/>
          <w:w w:val="80"/>
        </w:rPr>
        <w:t xml:space="preserve">ꎬ </w:t>
      </w:r>
      <w:r>
        <w:rPr>
          <w:w w:val="105"/>
        </w:rPr>
        <w:t>适用本办法</w:t>
      </w:r>
      <w:r>
        <w:rPr>
          <w:rFonts w:hint="eastAsia" w:ascii="MS UI Gothic" w:eastAsia="MS UI Gothic"/>
          <w:w w:val="80"/>
        </w:rPr>
        <w:t>ꎮ</w:t>
      </w:r>
    </w:p>
    <w:p>
      <w:pPr>
        <w:pStyle w:val="6"/>
        <w:spacing w:before="4" w:line="300" w:lineRule="auto"/>
        <w:ind w:left="440" w:right="1"/>
        <w:rPr>
          <w:rFonts w:hint="eastAsia" w:ascii="MS UI Gothic" w:eastAsia="MS UI Gothic"/>
        </w:rPr>
      </w:pPr>
      <w:r>
        <w:rPr>
          <w:spacing w:val="2"/>
          <w:w w:val="105"/>
        </w:rPr>
        <w:t>第三条 本办法所称安全生产监管监</w:t>
      </w:r>
      <w:r>
        <w:rPr>
          <w:spacing w:val="-4"/>
          <w:w w:val="105"/>
        </w:rPr>
        <w:t xml:space="preserve">察部门信息 </w:t>
      </w:r>
      <w:r>
        <w:rPr>
          <w:rFonts w:hint="eastAsia" w:ascii="MS UI Gothic" w:eastAsia="MS UI Gothic"/>
          <w:spacing w:val="-38"/>
          <w:w w:val="150"/>
        </w:rPr>
        <w:t xml:space="preserve">( </w:t>
      </w:r>
      <w:r>
        <w:rPr>
          <w:spacing w:val="8"/>
          <w:w w:val="105"/>
        </w:rPr>
        <w:t>以下简称信息</w:t>
      </w:r>
      <w:r>
        <w:rPr>
          <w:rFonts w:hint="eastAsia" w:ascii="MS UI Gothic" w:eastAsia="MS UI Gothic"/>
          <w:spacing w:val="-39"/>
          <w:w w:val="150"/>
        </w:rPr>
        <w:t xml:space="preserve">) </w:t>
      </w:r>
      <w:r>
        <w:rPr>
          <w:rFonts w:hint="eastAsia" w:ascii="MS UI Gothic" w:eastAsia="MS UI Gothic"/>
          <w:spacing w:val="11"/>
          <w:w w:val="80"/>
        </w:rPr>
        <w:t xml:space="preserve">ꎬ </w:t>
      </w:r>
      <w:r>
        <w:rPr>
          <w:spacing w:val="7"/>
          <w:w w:val="105"/>
        </w:rPr>
        <w:t>是指安全</w:t>
      </w:r>
      <w:r>
        <w:rPr>
          <w:spacing w:val="2"/>
        </w:rPr>
        <w:t>生产监管监察部门在依法履行安全生产监</w:t>
      </w:r>
      <w:r>
        <w:rPr>
          <w:spacing w:val="3"/>
        </w:rPr>
        <w:t>管监察职责过程中</w:t>
      </w:r>
      <w:r>
        <w:rPr>
          <w:rFonts w:hint="eastAsia" w:ascii="MS UI Gothic" w:eastAsia="MS UI Gothic"/>
          <w:spacing w:val="23"/>
          <w:w w:val="80"/>
        </w:rPr>
        <w:t xml:space="preserve">ꎬ </w:t>
      </w:r>
      <w:r>
        <w:rPr>
          <w:spacing w:val="3"/>
        </w:rPr>
        <w:t>制作或者获取的</w:t>
      </w:r>
      <w:r>
        <w:rPr>
          <w:rFonts w:hint="eastAsia" w:ascii="MS UI Gothic" w:eastAsia="MS UI Gothic"/>
          <w:spacing w:val="23"/>
          <w:w w:val="80"/>
        </w:rPr>
        <w:t xml:space="preserve">ꎬ </w:t>
      </w:r>
      <w:r>
        <w:t>以</w:t>
      </w:r>
      <w:r>
        <w:rPr>
          <w:spacing w:val="3"/>
          <w:w w:val="105"/>
        </w:rPr>
        <w:t>一定形式记录</w:t>
      </w:r>
      <w:r>
        <w:rPr>
          <w:rFonts w:hint="eastAsia" w:ascii="MS UI Gothic" w:eastAsia="MS UI Gothic"/>
          <w:spacing w:val="24"/>
          <w:w w:val="80"/>
        </w:rPr>
        <w:t xml:space="preserve">、 </w:t>
      </w:r>
      <w:r>
        <w:rPr>
          <w:spacing w:val="3"/>
          <w:w w:val="105"/>
        </w:rPr>
        <w:t>保存的信息</w:t>
      </w:r>
      <w:r>
        <w:rPr>
          <w:rFonts w:hint="eastAsia" w:ascii="MS UI Gothic" w:eastAsia="MS UI Gothic"/>
          <w:w w:val="80"/>
        </w:rPr>
        <w:t>ꎮ</w:t>
      </w:r>
    </w:p>
    <w:p>
      <w:pPr>
        <w:pStyle w:val="6"/>
        <w:spacing w:before="6" w:line="300" w:lineRule="auto"/>
        <w:ind w:left="440" w:right="1"/>
        <w:rPr>
          <w:rFonts w:hint="eastAsia" w:ascii="MS UI Gothic" w:eastAsia="MS UI Gothic"/>
        </w:rPr>
      </w:pPr>
      <w:r>
        <w:rPr>
          <w:w w:val="105"/>
        </w:rPr>
        <w:t>第四条 安全生产监管监察部门应当</w:t>
      </w:r>
      <w:r>
        <w:t>加强对信息公开工作的组织领导</w:t>
      </w:r>
      <w:r>
        <w:rPr>
          <w:rFonts w:hint="eastAsia" w:ascii="MS UI Gothic" w:eastAsia="MS UI Gothic"/>
          <w:w w:val="80"/>
        </w:rPr>
        <w:t xml:space="preserve">ꎬ </w:t>
      </w:r>
      <w:r>
        <w:t>建立健</w:t>
      </w:r>
      <w:r>
        <w:rPr>
          <w:w w:val="105"/>
        </w:rPr>
        <w:t>全安全生产政府信息公开制度</w:t>
      </w:r>
      <w:r>
        <w:rPr>
          <w:rFonts w:hint="eastAsia" w:ascii="MS UI Gothic" w:eastAsia="MS UI Gothic"/>
          <w:w w:val="80"/>
        </w:rPr>
        <w:t>ꎮ</w:t>
      </w:r>
    </w:p>
    <w:p>
      <w:pPr>
        <w:pStyle w:val="6"/>
        <w:spacing w:before="3" w:line="300" w:lineRule="auto"/>
        <w:ind w:left="440" w:right="1"/>
        <w:rPr>
          <w:rFonts w:hint="eastAsia" w:ascii="MS UI Gothic" w:eastAsia="MS UI Gothic"/>
        </w:rPr>
      </w:pPr>
      <w:r>
        <w:rPr>
          <w:w w:val="105"/>
        </w:rPr>
        <w:t>第五条 安全生产监管监察部门应当</w:t>
      </w:r>
      <w:r>
        <w:t>指定专门机构负责本部门信息公开的日常</w:t>
      </w:r>
      <w:r>
        <w:rPr>
          <w:w w:val="105"/>
        </w:rPr>
        <w:t>工作</w:t>
      </w:r>
      <w:r>
        <w:rPr>
          <w:rFonts w:hint="eastAsia" w:ascii="MS UI Gothic" w:eastAsia="MS UI Gothic"/>
          <w:w w:val="80"/>
        </w:rPr>
        <w:t xml:space="preserve">ꎬ </w:t>
      </w:r>
      <w:r>
        <w:rPr>
          <w:w w:val="105"/>
        </w:rPr>
        <w:t>具体职责是</w:t>
      </w:r>
      <w:r>
        <w:rPr>
          <w:rFonts w:hint="eastAsia" w:ascii="MS UI Gothic" w:eastAsia="MS UI Gothic"/>
          <w:w w:val="235"/>
        </w:rPr>
        <w:t>:</w:t>
      </w:r>
    </w:p>
    <w:p>
      <w:pPr>
        <w:pStyle w:val="6"/>
        <w:spacing w:before="4" w:line="302" w:lineRule="auto"/>
        <w:ind w:left="440" w:right="1"/>
        <w:rPr>
          <w:rFonts w:hint="eastAsia" w:ascii="MS UI Gothic" w:eastAsia="MS UI Gothic"/>
        </w:rPr>
      </w:pPr>
      <w:r>
        <w:rPr>
          <w:rFonts w:hint="eastAsia" w:ascii="MS UI Gothic" w:eastAsia="MS UI Gothic"/>
          <w:w w:val="115"/>
        </w:rPr>
        <w:t xml:space="preserve">( </w:t>
      </w:r>
      <w:r>
        <w:rPr>
          <w:w w:val="110"/>
        </w:rPr>
        <w:t>一</w:t>
      </w:r>
      <w:r>
        <w:rPr>
          <w:rFonts w:hint="eastAsia" w:ascii="MS UI Gothic" w:eastAsia="MS UI Gothic"/>
          <w:w w:val="115"/>
        </w:rPr>
        <w:t xml:space="preserve">) </w:t>
      </w:r>
      <w:r>
        <w:rPr>
          <w:w w:val="110"/>
        </w:rPr>
        <w:t>组织制定本部门信息公开的制度</w:t>
      </w:r>
      <w:r>
        <w:rPr>
          <w:rFonts w:hint="eastAsia" w:ascii="MS UI Gothic" w:eastAsia="MS UI Gothic"/>
          <w:w w:val="80"/>
        </w:rPr>
        <w:t>ꎻ</w:t>
      </w:r>
    </w:p>
    <w:p>
      <w:pPr>
        <w:pStyle w:val="6"/>
        <w:spacing w:before="174" w:line="300" w:lineRule="auto"/>
        <w:ind w:left="381" w:right="126"/>
        <w:jc w:val="left"/>
        <w:rPr>
          <w:rFonts w:hint="eastAsia" w:ascii="MS UI Gothic" w:eastAsia="MS UI Gothic"/>
        </w:rPr>
      </w:pPr>
      <w:r>
        <w:br w:type="column"/>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组织编制本部门信息公开指南</w:t>
      </w:r>
      <w:r>
        <w:rPr>
          <w:rFonts w:hint="eastAsia" w:ascii="MS UI Gothic" w:eastAsia="MS UI Gothic"/>
          <w:w w:val="80"/>
        </w:rPr>
        <w:t xml:space="preserve">、 </w:t>
      </w:r>
      <w:r>
        <w:rPr>
          <w:w w:val="105"/>
        </w:rPr>
        <w:t>公开目录和公开工作年度报告</w:t>
      </w:r>
      <w:r>
        <w:rPr>
          <w:rFonts w:hint="eastAsia" w:ascii="MS UI Gothic" w:eastAsia="MS UI Gothic"/>
          <w:w w:val="80"/>
        </w:rPr>
        <w:t>ꎻ</w:t>
      </w:r>
    </w:p>
    <w:p>
      <w:pPr>
        <w:pStyle w:val="6"/>
        <w:spacing w:before="2" w:line="300"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组织</w:t>
      </w:r>
      <w:r>
        <w:rPr>
          <w:rFonts w:hint="eastAsia" w:ascii="MS UI Gothic" w:eastAsia="MS UI Gothic"/>
          <w:w w:val="80"/>
        </w:rPr>
        <w:t xml:space="preserve">、 </w:t>
      </w:r>
      <w:r>
        <w:rPr>
          <w:w w:val="105"/>
        </w:rPr>
        <w:t>协调本部门内设机构的信息公开工作</w:t>
      </w:r>
      <w:r>
        <w:rPr>
          <w:rFonts w:hint="eastAsia" w:ascii="MS UI Gothic" w:eastAsia="MS UI Gothic"/>
          <w:w w:val="80"/>
        </w:rPr>
        <w:t>ꎻ</w:t>
      </w:r>
    </w:p>
    <w:p>
      <w:pPr>
        <w:pStyle w:val="6"/>
        <w:spacing w:before="2" w:line="300" w:lineRule="auto"/>
        <w:ind w:left="381" w:right="126"/>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组织维护和更新本部门已经公</w:t>
      </w:r>
      <w:r>
        <w:rPr>
          <w:w w:val="110"/>
        </w:rPr>
        <w:t>开的信息</w:t>
      </w:r>
      <w:r>
        <w:rPr>
          <w:rFonts w:hint="eastAsia" w:ascii="MS UI Gothic" w:eastAsia="MS UI Gothic"/>
          <w:w w:val="80"/>
        </w:rPr>
        <w:t>ꎻ</w:t>
      </w:r>
    </w:p>
    <w:p>
      <w:pPr>
        <w:pStyle w:val="6"/>
        <w:spacing w:before="1" w:line="300" w:lineRule="auto"/>
        <w:ind w:left="381" w:right="126"/>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统一受理和答复向本部门提出</w:t>
      </w:r>
      <w:r>
        <w:rPr>
          <w:w w:val="110"/>
        </w:rPr>
        <w:t>的信息公开申请</w:t>
      </w:r>
      <w:r>
        <w:rPr>
          <w:rFonts w:hint="eastAsia" w:ascii="MS UI Gothic" w:eastAsia="MS UI Gothic"/>
          <w:w w:val="80"/>
        </w:rPr>
        <w:t>ꎻ</w:t>
      </w:r>
    </w:p>
    <w:p>
      <w:pPr>
        <w:pStyle w:val="6"/>
        <w:spacing w:before="2" w:line="302" w:lineRule="auto"/>
        <w:ind w:left="381" w:right="126"/>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负责对拟公开信息的保密审查</w:t>
      </w:r>
      <w:r>
        <w:rPr>
          <w:w w:val="110"/>
        </w:rPr>
        <w:t>工作进行程序审核</w:t>
      </w:r>
      <w:r>
        <w:rPr>
          <w:rFonts w:hint="eastAsia" w:ascii="MS UI Gothic" w:eastAsia="MS UI Gothic"/>
          <w:w w:val="80"/>
        </w:rPr>
        <w:t>ꎻ</w:t>
      </w:r>
    </w:p>
    <w:p>
      <w:pPr>
        <w:pStyle w:val="6"/>
        <w:spacing w:line="302" w:lineRule="auto"/>
        <w:ind w:left="381" w:right="126"/>
        <w:jc w:val="left"/>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本部门规定与信息公开有关的</w:t>
      </w:r>
      <w:r>
        <w:rPr>
          <w:w w:val="110"/>
        </w:rPr>
        <w:t>其他职责</w:t>
      </w:r>
      <w:r>
        <w:rPr>
          <w:rFonts w:hint="eastAsia" w:ascii="MS UI Gothic" w:eastAsia="MS UI Gothic"/>
          <w:w w:val="80"/>
        </w:rPr>
        <w:t>ꎮ</w:t>
      </w:r>
    </w:p>
    <w:p>
      <w:pPr>
        <w:pStyle w:val="6"/>
        <w:spacing w:line="302" w:lineRule="auto"/>
        <w:ind w:left="381" w:right="126"/>
        <w:rPr>
          <w:rFonts w:hint="eastAsia" w:ascii="MS UI Gothic" w:eastAsia="MS UI Gothic"/>
        </w:rPr>
      </w:pPr>
      <w:r>
        <w:t>安全生产监管监察部门的其他内设机构应当依照本办法的规定</w:t>
      </w:r>
      <w:r>
        <w:rPr>
          <w:rFonts w:hint="eastAsia" w:ascii="MS UI Gothic" w:eastAsia="MS UI Gothic"/>
          <w:w w:val="80"/>
        </w:rPr>
        <w:t xml:space="preserve">ꎬ </w:t>
      </w:r>
      <w:r>
        <w:t>负责审核并主动公开本机构有关信息</w:t>
      </w:r>
      <w:r>
        <w:rPr>
          <w:rFonts w:hint="eastAsia" w:ascii="MS UI Gothic" w:eastAsia="MS UI Gothic"/>
          <w:w w:val="80"/>
        </w:rPr>
        <w:t xml:space="preserve">ꎬ </w:t>
      </w:r>
      <w:r>
        <w:t>并配合协助前款规定的专门机构做好本部门信息公开</w:t>
      </w:r>
      <w:r>
        <w:rPr>
          <w:w w:val="105"/>
        </w:rPr>
        <w:t>工作</w:t>
      </w:r>
      <w:r>
        <w:rPr>
          <w:rFonts w:hint="eastAsia" w:ascii="MS UI Gothic" w:eastAsia="MS UI Gothic"/>
          <w:w w:val="80"/>
        </w:rPr>
        <w:t>ꎮ</w:t>
      </w:r>
    </w:p>
    <w:p>
      <w:pPr>
        <w:pStyle w:val="6"/>
        <w:spacing w:line="300" w:lineRule="auto"/>
        <w:ind w:left="381" w:right="126"/>
        <w:rPr>
          <w:rFonts w:hint="eastAsia" w:ascii="MS UI Gothic" w:eastAsia="MS UI Gothic"/>
        </w:rPr>
      </w:pPr>
      <w:r>
        <w:rPr>
          <w:w w:val="105"/>
        </w:rPr>
        <w:t>第六条 安全生产监管监察部门应当依据有关法律</w:t>
      </w:r>
      <w:r>
        <w:rPr>
          <w:rFonts w:hint="eastAsia" w:ascii="MS UI Gothic" w:eastAsia="MS UI Gothic"/>
          <w:w w:val="80"/>
        </w:rPr>
        <w:t xml:space="preserve">、 </w:t>
      </w:r>
      <w:r>
        <w:rPr>
          <w:w w:val="105"/>
        </w:rPr>
        <w:t>行政法规的规定加强对信</w:t>
      </w:r>
      <w:r>
        <w:t>息公开工作的保密审查</w:t>
      </w:r>
      <w:r>
        <w:rPr>
          <w:rFonts w:hint="eastAsia" w:ascii="MS UI Gothic" w:eastAsia="MS UI Gothic"/>
          <w:w w:val="80"/>
        </w:rPr>
        <w:t xml:space="preserve">ꎬ </w:t>
      </w:r>
      <w:r>
        <w:t>确保国家秘密信</w:t>
      </w:r>
      <w:r>
        <w:rPr>
          <w:w w:val="105"/>
        </w:rPr>
        <w:t>息安全</w:t>
      </w:r>
      <w:r>
        <w:rPr>
          <w:rFonts w:hint="eastAsia" w:ascii="MS UI Gothic" w:eastAsia="MS UI Gothic"/>
          <w:w w:val="80"/>
        </w:rPr>
        <w:t>ꎮ</w:t>
      </w:r>
    </w:p>
    <w:p>
      <w:pPr>
        <w:pStyle w:val="6"/>
        <w:spacing w:line="300" w:lineRule="auto"/>
        <w:ind w:left="381" w:right="126"/>
        <w:rPr>
          <w:rFonts w:hint="eastAsia" w:ascii="MS UI Gothic" w:eastAsia="MS UI Gothic"/>
        </w:rPr>
      </w:pPr>
      <w:r>
        <w:rPr>
          <w:w w:val="105"/>
        </w:rPr>
        <w:t>第七条 安全生产监管监察部门负责</w:t>
      </w:r>
      <w:r>
        <w:t>行政监察的机构应当加强对本部门信息公</w:t>
      </w:r>
      <w:r>
        <w:rPr>
          <w:w w:val="105"/>
        </w:rPr>
        <w:t>开工作的监督检查</w:t>
      </w:r>
      <w:r>
        <w:rPr>
          <w:rFonts w:hint="eastAsia" w:ascii="MS UI Gothic" w:eastAsia="MS UI Gothic"/>
          <w:w w:val="80"/>
        </w:rPr>
        <w:t>ꎮ</w:t>
      </w:r>
    </w:p>
    <w:p>
      <w:pPr>
        <w:pStyle w:val="6"/>
        <w:spacing w:line="302" w:lineRule="auto"/>
        <w:ind w:left="381" w:right="126"/>
      </w:pPr>
      <w:r>
        <w:rPr>
          <w:w w:val="105"/>
        </w:rPr>
        <w:t>第八条 安全生产监管监察部门应当</w:t>
      </w:r>
      <w:r>
        <w:t>建立健全信息公开的协调机制</w:t>
      </w:r>
      <w:r>
        <w:rPr>
          <w:rFonts w:hint="eastAsia" w:ascii="MS UI Gothic" w:eastAsia="MS UI Gothic"/>
          <w:w w:val="80"/>
        </w:rPr>
        <w:t xml:space="preserve">ꎮ </w:t>
      </w:r>
      <w:r>
        <w:t>安全生产</w:t>
      </w:r>
    </w:p>
    <w:p>
      <w:pPr>
        <w:spacing w:after="0" w:line="302"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１５０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494" o:spid="_x0000_s1494" o:spt="203" style="height:2.15pt;width:398.25pt;" coordsize="7965,43">
            <o:lock v:ext="edit"/>
            <v:line id="_x0000_s1495" o:spid="_x0000_s1495" o:spt="20" style="position:absolute;left:0;top:39;height:0;width:7965;" stroked="t" coordsize="21600,21600">
              <v:path arrowok="t"/>
              <v:fill focussize="0,0"/>
              <v:stroke weight="0.388031496062992pt" color="#231F20"/>
              <v:imagedata o:title=""/>
              <o:lock v:ext="edit"/>
            </v:line>
            <v:line id="_x0000_s1496" o:spid="_x0000_s149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spacing w:val="2"/>
        </w:rPr>
        <w:t>监管监察部门拟发布的信息涉及其他行政</w:t>
      </w:r>
      <w:r>
        <w:rPr>
          <w:spacing w:val="3"/>
        </w:rPr>
        <w:t>机关或者与其他行政机关联合制作的</w:t>
      </w:r>
      <w:r>
        <w:rPr>
          <w:rFonts w:hint="eastAsia" w:ascii="MS UI Gothic" w:eastAsia="MS UI Gothic"/>
          <w:spacing w:val="21"/>
          <w:w w:val="80"/>
        </w:rPr>
        <w:t xml:space="preserve">ꎬ </w:t>
      </w:r>
      <w:r>
        <w:t>应</w:t>
      </w:r>
      <w:r>
        <w:rPr>
          <w:spacing w:val="2"/>
        </w:rPr>
        <w:t>当由负责发布信息的内设机构与其他行政</w:t>
      </w:r>
      <w:r>
        <w:rPr>
          <w:spacing w:val="10"/>
        </w:rPr>
        <w:t>机关进行沟通</w:t>
      </w:r>
      <w:r>
        <w:rPr>
          <w:rFonts w:hint="eastAsia" w:ascii="MS UI Gothic" w:eastAsia="MS UI Gothic"/>
          <w:spacing w:val="16"/>
          <w:w w:val="80"/>
        </w:rPr>
        <w:t xml:space="preserve">、 </w:t>
      </w:r>
      <w:r>
        <w:rPr>
          <w:spacing w:val="13"/>
        </w:rPr>
        <w:t>确认</w:t>
      </w:r>
      <w:r>
        <w:rPr>
          <w:rFonts w:hint="eastAsia" w:ascii="MS UI Gothic" w:eastAsia="MS UI Gothic"/>
          <w:spacing w:val="16"/>
          <w:w w:val="80"/>
        </w:rPr>
        <w:t xml:space="preserve">ꎬ </w:t>
      </w:r>
      <w:r>
        <w:rPr>
          <w:spacing w:val="19"/>
        </w:rPr>
        <w:t>确保信息发布及</w:t>
      </w:r>
      <w:r>
        <w:rPr>
          <w:spacing w:val="3"/>
        </w:rPr>
        <w:t>时</w:t>
      </w:r>
      <w:r>
        <w:rPr>
          <w:rFonts w:hint="eastAsia" w:ascii="MS UI Gothic" w:eastAsia="MS UI Gothic"/>
          <w:spacing w:val="3"/>
          <w:w w:val="80"/>
        </w:rPr>
        <w:t xml:space="preserve">、 </w:t>
      </w:r>
      <w:r>
        <w:rPr>
          <w:spacing w:val="3"/>
        </w:rPr>
        <w:t>准确</w:t>
      </w:r>
      <w:r>
        <w:rPr>
          <w:rFonts w:hint="eastAsia" w:ascii="MS UI Gothic" w:eastAsia="MS UI Gothic"/>
          <w:w w:val="80"/>
        </w:rPr>
        <w:t>ꎮ</w:t>
      </w:r>
    </w:p>
    <w:p>
      <w:pPr>
        <w:pStyle w:val="6"/>
        <w:spacing w:line="295" w:lineRule="auto"/>
        <w:ind w:right="39"/>
        <w:rPr>
          <w:rFonts w:hint="eastAsia" w:ascii="MS UI Gothic" w:eastAsia="MS UI Gothic"/>
        </w:rPr>
      </w:pPr>
      <w:r>
        <w:rPr>
          <w:spacing w:val="2"/>
        </w:rPr>
        <w:t>安全生产监管监察部门拟发布的信息</w:t>
      </w:r>
      <w:r>
        <w:rPr>
          <w:spacing w:val="3"/>
        </w:rPr>
        <w:t>依照国家有关规定需要批准的</w:t>
      </w:r>
      <w:r>
        <w:rPr>
          <w:rFonts w:hint="eastAsia" w:ascii="MS UI Gothic" w:eastAsia="MS UI Gothic"/>
          <w:spacing w:val="21"/>
          <w:w w:val="80"/>
        </w:rPr>
        <w:t xml:space="preserve">ꎬ </w:t>
      </w:r>
      <w:r>
        <w:rPr>
          <w:spacing w:val="2"/>
        </w:rPr>
        <w:t>未经批准</w:t>
      </w:r>
      <w:r>
        <w:rPr>
          <w:spacing w:val="3"/>
        </w:rPr>
        <w:t>不得发布</w:t>
      </w:r>
      <w:r>
        <w:rPr>
          <w:rFonts w:hint="eastAsia" w:ascii="MS UI Gothic" w:eastAsia="MS UI Gothic"/>
          <w:w w:val="80"/>
        </w:rPr>
        <w:t>ꎮ</w:t>
      </w:r>
    </w:p>
    <w:p>
      <w:pPr>
        <w:pStyle w:val="6"/>
        <w:spacing w:line="295" w:lineRule="auto"/>
        <w:ind w:right="38"/>
        <w:rPr>
          <w:rFonts w:hint="eastAsia" w:ascii="MS UI Gothic" w:eastAsia="MS UI Gothic"/>
        </w:rPr>
      </w:pPr>
      <w:r>
        <w:t>第九条 安全生产监管监察部门应当遵循依法</w:t>
      </w:r>
      <w:r>
        <w:rPr>
          <w:rFonts w:hint="eastAsia" w:ascii="MS UI Gothic" w:eastAsia="MS UI Gothic"/>
          <w:w w:val="80"/>
        </w:rPr>
        <w:t xml:space="preserve">、 </w:t>
      </w:r>
      <w:r>
        <w:t>公正</w:t>
      </w:r>
      <w:r>
        <w:rPr>
          <w:rFonts w:hint="eastAsia" w:ascii="MS UI Gothic" w:eastAsia="MS UI Gothic"/>
          <w:w w:val="80"/>
        </w:rPr>
        <w:t xml:space="preserve">、 </w:t>
      </w:r>
      <w:r>
        <w:t>公开</w:t>
      </w:r>
      <w:r>
        <w:rPr>
          <w:rFonts w:hint="eastAsia" w:ascii="MS UI Gothic" w:eastAsia="MS UI Gothic"/>
          <w:w w:val="80"/>
        </w:rPr>
        <w:t xml:space="preserve">、 </w:t>
      </w:r>
      <w:r>
        <w:t>便民的原则</w:t>
      </w:r>
      <w:r>
        <w:rPr>
          <w:rFonts w:hint="eastAsia" w:ascii="MS UI Gothic" w:eastAsia="MS UI Gothic"/>
          <w:w w:val="80"/>
        </w:rPr>
        <w:t xml:space="preserve">ꎬ  </w:t>
      </w:r>
      <w:r>
        <w:t>及时</w:t>
      </w:r>
      <w:r>
        <w:rPr>
          <w:rFonts w:hint="eastAsia" w:ascii="MS UI Gothic" w:eastAsia="MS UI Gothic"/>
          <w:w w:val="80"/>
        </w:rPr>
        <w:t xml:space="preserve">、 </w:t>
      </w:r>
      <w:r>
        <w:t>准确地公开信息</w:t>
      </w:r>
      <w:r>
        <w:rPr>
          <w:rFonts w:hint="eastAsia" w:ascii="MS UI Gothic" w:eastAsia="MS UI Gothic"/>
          <w:w w:val="80"/>
        </w:rPr>
        <w:t xml:space="preserve">ꎬ </w:t>
      </w:r>
      <w:r>
        <w:t>但危及国家安全</w:t>
      </w:r>
      <w:r>
        <w:rPr>
          <w:rFonts w:hint="eastAsia" w:ascii="MS UI Gothic" w:eastAsia="MS UI Gothic"/>
          <w:w w:val="80"/>
        </w:rPr>
        <w:t>、</w:t>
      </w:r>
      <w:r>
        <w:t>公共安全</w:t>
      </w:r>
      <w:r>
        <w:rPr>
          <w:rFonts w:hint="eastAsia" w:ascii="MS UI Gothic" w:eastAsia="MS UI Gothic"/>
          <w:w w:val="80"/>
        </w:rPr>
        <w:t xml:space="preserve">、 </w:t>
      </w:r>
      <w:r>
        <w:t>经济安全和社会稳定的信息除外</w:t>
      </w:r>
      <w:r>
        <w:rPr>
          <w:rFonts w:hint="eastAsia" w:ascii="MS UI Gothic" w:eastAsia="MS UI Gothic"/>
          <w:w w:val="80"/>
        </w:rPr>
        <w:t>ꎮ</w:t>
      </w:r>
    </w:p>
    <w:p>
      <w:pPr>
        <w:pStyle w:val="6"/>
        <w:spacing w:line="295" w:lineRule="auto"/>
        <w:ind w:right="39"/>
        <w:rPr>
          <w:rFonts w:hint="eastAsia" w:ascii="MS UI Gothic" w:eastAsia="MS UI Gothic"/>
        </w:rPr>
      </w:pPr>
      <w:r>
        <w:t>安全生产监管监察部门发现影响或者可能影响社会稳定</w:t>
      </w:r>
      <w:r>
        <w:rPr>
          <w:rFonts w:hint="eastAsia" w:ascii="MS UI Gothic" w:eastAsia="MS UI Gothic"/>
          <w:w w:val="80"/>
        </w:rPr>
        <w:t xml:space="preserve">、 </w:t>
      </w:r>
      <w:r>
        <w:t>扰乱安全生产秩序的虚假或者不完整信息的</w:t>
      </w:r>
      <w:r>
        <w:rPr>
          <w:rFonts w:hint="eastAsia" w:ascii="MS UI Gothic" w:eastAsia="MS UI Gothic"/>
          <w:w w:val="80"/>
        </w:rPr>
        <w:t xml:space="preserve">ꎬ </w:t>
      </w:r>
      <w:r>
        <w:t>应当按照实事求是和审慎处理的原则</w:t>
      </w:r>
      <w:r>
        <w:rPr>
          <w:rFonts w:hint="eastAsia" w:ascii="MS UI Gothic" w:eastAsia="MS UI Gothic"/>
          <w:w w:val="80"/>
        </w:rPr>
        <w:t xml:space="preserve">ꎬ </w:t>
      </w:r>
      <w:r>
        <w:t>在职责范围内发布准确的信息予以澄清</w:t>
      </w:r>
      <w:r>
        <w:rPr>
          <w:rFonts w:hint="eastAsia" w:ascii="MS UI Gothic" w:eastAsia="MS UI Gothic"/>
          <w:w w:val="80"/>
        </w:rPr>
        <w:t xml:space="preserve">ꎬ </w:t>
      </w:r>
      <w:r>
        <w:t>及时回应社会关切</w:t>
      </w:r>
      <w:r>
        <w:rPr>
          <w:rFonts w:hint="eastAsia" w:ascii="MS UI Gothic" w:eastAsia="MS UI Gothic"/>
          <w:w w:val="80"/>
        </w:rPr>
        <w:t xml:space="preserve">ꎬ </w:t>
      </w:r>
      <w:r>
        <w:t>正确引导社会舆论</w:t>
      </w:r>
      <w:r>
        <w:rPr>
          <w:rFonts w:hint="eastAsia" w:ascii="MS UI Gothic" w:eastAsia="MS UI Gothic"/>
          <w:w w:val="80"/>
        </w:rPr>
        <w:t>ꎮ</w:t>
      </w:r>
    </w:p>
    <w:p>
      <w:pPr>
        <w:pStyle w:val="6"/>
        <w:tabs>
          <w:tab w:val="left" w:pos="1906"/>
        </w:tabs>
        <w:spacing w:before="142"/>
        <w:ind w:left="1067" w:firstLine="0"/>
        <w:jc w:val="left"/>
      </w:pPr>
      <w:r>
        <w:rPr>
          <w:spacing w:val="3"/>
          <w:w w:val="105"/>
        </w:rPr>
        <w:t>第二</w:t>
      </w:r>
      <w:r>
        <w:rPr>
          <w:w w:val="105"/>
        </w:rPr>
        <w:t>章</w:t>
      </w:r>
      <w:r>
        <w:rPr>
          <w:w w:val="105"/>
        </w:rPr>
        <w:tab/>
      </w:r>
      <w:r>
        <w:rPr>
          <w:w w:val="105"/>
        </w:rPr>
        <w:t>公</w:t>
      </w:r>
      <w:r>
        <w:rPr>
          <w:spacing w:val="-34"/>
          <w:w w:val="105"/>
        </w:rPr>
        <w:t xml:space="preserve"> </w:t>
      </w:r>
      <w:r>
        <w:rPr>
          <w:w w:val="105"/>
        </w:rPr>
        <w:t>开</w:t>
      </w:r>
      <w:r>
        <w:rPr>
          <w:spacing w:val="-33"/>
          <w:w w:val="105"/>
        </w:rPr>
        <w:t xml:space="preserve"> </w:t>
      </w:r>
      <w:r>
        <w:rPr>
          <w:w w:val="105"/>
        </w:rPr>
        <w:t>范</w:t>
      </w:r>
      <w:r>
        <w:rPr>
          <w:spacing w:val="-33"/>
          <w:w w:val="105"/>
        </w:rPr>
        <w:t xml:space="preserve"> </w:t>
      </w:r>
      <w:r>
        <w:rPr>
          <w:w w:val="105"/>
        </w:rPr>
        <w:t>围</w:t>
      </w:r>
    </w:p>
    <w:p>
      <w:pPr>
        <w:pStyle w:val="6"/>
        <w:spacing w:before="216" w:line="295" w:lineRule="auto"/>
        <w:ind w:right="39"/>
        <w:rPr>
          <w:rFonts w:hint="eastAsia" w:ascii="MS UI Gothic" w:hAnsi="MS UI Gothic" w:eastAsia="MS UI Gothic"/>
        </w:rPr>
      </w:pPr>
      <w:r>
        <w:rPr>
          <w:w w:val="105"/>
        </w:rPr>
        <w:t xml:space="preserve">第十条 安全生产监管监察部门应当依照 </w:t>
      </w:r>
      <w:r>
        <w:rPr>
          <w:rFonts w:hint="eastAsia" w:ascii="MS UI Gothic" w:hAnsi="MS UI Gothic" w:eastAsia="MS UI Gothic"/>
          <w:w w:val="80"/>
        </w:rPr>
        <w:t xml:space="preserve">« </w:t>
      </w:r>
      <w:r>
        <w:rPr>
          <w:w w:val="105"/>
        </w:rPr>
        <w:t>政府信息公开条例</w:t>
      </w:r>
      <w:r>
        <w:rPr>
          <w:rFonts w:hint="eastAsia" w:ascii="MS UI Gothic" w:hAnsi="MS UI Gothic" w:eastAsia="MS UI Gothic"/>
          <w:w w:val="80"/>
        </w:rPr>
        <w:t xml:space="preserve">» </w:t>
      </w:r>
      <w:r>
        <w:rPr>
          <w:w w:val="105"/>
        </w:rPr>
        <w:t>第九条的规</w:t>
      </w:r>
      <w:r>
        <w:t>定</w:t>
      </w:r>
      <w:r>
        <w:rPr>
          <w:rFonts w:hint="eastAsia" w:ascii="MS UI Gothic" w:hAnsi="MS UI Gothic" w:eastAsia="MS UI Gothic"/>
          <w:w w:val="80"/>
        </w:rPr>
        <w:t xml:space="preserve">ꎬ </w:t>
      </w:r>
      <w:r>
        <w:t>在本部门职责范围内确定主动公开的</w:t>
      </w:r>
      <w:r>
        <w:rPr>
          <w:w w:val="105"/>
        </w:rPr>
        <w:t>信息的具体内容</w:t>
      </w:r>
      <w:r>
        <w:rPr>
          <w:rFonts w:hint="eastAsia" w:ascii="MS UI Gothic" w:hAnsi="MS UI Gothic" w:eastAsia="MS UI Gothic"/>
          <w:w w:val="80"/>
        </w:rPr>
        <w:t xml:space="preserve">ꎬ </w:t>
      </w:r>
      <w:r>
        <w:rPr>
          <w:w w:val="105"/>
        </w:rPr>
        <w:t>并重点公开下列信息</w:t>
      </w:r>
      <w:r>
        <w:rPr>
          <w:rFonts w:hint="eastAsia" w:ascii="MS UI Gothic" w:hAns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2"/>
          <w:w w:val="150"/>
        </w:rPr>
        <w:t xml:space="preserve">) </w:t>
      </w:r>
      <w:r>
        <w:rPr>
          <w:spacing w:val="18"/>
          <w:w w:val="105"/>
        </w:rPr>
        <w:t>本部门基本信息</w:t>
      </w:r>
      <w:r>
        <w:rPr>
          <w:rFonts w:hint="eastAsia" w:ascii="MS UI Gothic" w:eastAsia="MS UI Gothic"/>
          <w:spacing w:val="16"/>
          <w:w w:val="80"/>
        </w:rPr>
        <w:t xml:space="preserve">ꎬ </w:t>
      </w:r>
      <w:r>
        <w:rPr>
          <w:spacing w:val="16"/>
          <w:w w:val="105"/>
        </w:rPr>
        <w:t>包括职能</w:t>
      </w:r>
      <w:r>
        <w:rPr>
          <w:rFonts w:hint="eastAsia" w:ascii="MS UI Gothic" w:eastAsia="MS UI Gothic"/>
          <w:spacing w:val="-11"/>
          <w:w w:val="80"/>
        </w:rPr>
        <w:t>、</w:t>
      </w:r>
      <w:r>
        <w:rPr>
          <w:spacing w:val="3"/>
          <w:w w:val="105"/>
        </w:rPr>
        <w:t>内设机构</w:t>
      </w:r>
      <w:r>
        <w:rPr>
          <w:rFonts w:hint="eastAsia" w:ascii="MS UI Gothic" w:eastAsia="MS UI Gothic"/>
          <w:spacing w:val="16"/>
          <w:w w:val="80"/>
        </w:rPr>
        <w:t xml:space="preserve">、 </w:t>
      </w:r>
      <w:r>
        <w:rPr>
          <w:spacing w:val="3"/>
          <w:w w:val="105"/>
        </w:rPr>
        <w:t>负责人姓名</w:t>
      </w:r>
      <w:r>
        <w:rPr>
          <w:rFonts w:hint="eastAsia" w:ascii="MS UI Gothic" w:eastAsia="MS UI Gothic"/>
          <w:spacing w:val="17"/>
          <w:w w:val="80"/>
        </w:rPr>
        <w:t xml:space="preserve">、 </w:t>
      </w:r>
      <w:r>
        <w:rPr>
          <w:spacing w:val="3"/>
          <w:w w:val="105"/>
        </w:rPr>
        <w:t>办公地点</w:t>
      </w:r>
      <w:r>
        <w:rPr>
          <w:rFonts w:hint="eastAsia" w:ascii="MS UI Gothic" w:eastAsia="MS UI Gothic"/>
          <w:spacing w:val="17"/>
          <w:w w:val="80"/>
        </w:rPr>
        <w:t xml:space="preserve">、 </w:t>
      </w:r>
      <w:r>
        <w:rPr>
          <w:spacing w:val="1"/>
          <w:w w:val="105"/>
        </w:rPr>
        <w:t>办事</w:t>
      </w:r>
      <w:r>
        <w:rPr>
          <w:spacing w:val="3"/>
          <w:w w:val="105"/>
        </w:rPr>
        <w:t>程序</w:t>
      </w:r>
      <w:r>
        <w:rPr>
          <w:rFonts w:hint="eastAsia" w:ascii="MS UI Gothic" w:eastAsia="MS UI Gothic"/>
          <w:spacing w:val="1"/>
          <w:w w:val="80"/>
        </w:rPr>
        <w:t xml:space="preserve">、 </w:t>
      </w:r>
      <w:r>
        <w:rPr>
          <w:spacing w:val="3"/>
          <w:w w:val="105"/>
        </w:rPr>
        <w:t>联系方式等</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7"/>
          <w:w w:val="150"/>
        </w:rPr>
        <w:t xml:space="preserve">( </w:t>
      </w:r>
      <w:r>
        <w:rPr>
          <w:spacing w:val="9"/>
          <w:w w:val="105"/>
        </w:rPr>
        <w:t>二</w:t>
      </w:r>
      <w:r>
        <w:rPr>
          <w:rFonts w:hint="eastAsia" w:ascii="MS UI Gothic" w:eastAsia="MS UI Gothic"/>
          <w:spacing w:val="17"/>
          <w:w w:val="150"/>
        </w:rPr>
        <w:t xml:space="preserve">) </w:t>
      </w:r>
      <w:r>
        <w:rPr>
          <w:spacing w:val="18"/>
          <w:w w:val="105"/>
        </w:rPr>
        <w:t>安全生产法律</w:t>
      </w:r>
      <w:r>
        <w:rPr>
          <w:rFonts w:hint="eastAsia" w:ascii="MS UI Gothic" w:eastAsia="MS UI Gothic"/>
          <w:spacing w:val="6"/>
          <w:w w:val="80"/>
        </w:rPr>
        <w:t xml:space="preserve">、 </w:t>
      </w:r>
      <w:r>
        <w:rPr>
          <w:spacing w:val="13"/>
          <w:w w:val="105"/>
        </w:rPr>
        <w:t>法规</w:t>
      </w:r>
      <w:r>
        <w:rPr>
          <w:rFonts w:hint="eastAsia" w:ascii="MS UI Gothic" w:eastAsia="MS UI Gothic"/>
          <w:spacing w:val="6"/>
          <w:w w:val="80"/>
        </w:rPr>
        <w:t xml:space="preserve">、 </w:t>
      </w:r>
      <w:r>
        <w:rPr>
          <w:spacing w:val="13"/>
          <w:w w:val="105"/>
        </w:rPr>
        <w:t>规章</w:t>
      </w:r>
      <w:r>
        <w:rPr>
          <w:rFonts w:hint="eastAsia" w:ascii="MS UI Gothic" w:eastAsia="MS UI Gothic"/>
          <w:w w:val="80"/>
        </w:rPr>
        <w:t>、</w:t>
      </w:r>
      <w:r>
        <w:rPr>
          <w:spacing w:val="3"/>
          <w:w w:val="105"/>
        </w:rPr>
        <w:t>标准和规范性文件</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15"/>
        </w:rPr>
        <w:t xml:space="preserve">( </w:t>
      </w:r>
      <w:r>
        <w:rPr>
          <w:w w:val="110"/>
        </w:rPr>
        <w:t>三</w:t>
      </w:r>
      <w:r>
        <w:rPr>
          <w:rFonts w:hint="eastAsia" w:ascii="MS UI Gothic" w:eastAsia="MS UI Gothic"/>
          <w:w w:val="115"/>
        </w:rPr>
        <w:t xml:space="preserve">) </w:t>
      </w:r>
      <w:r>
        <w:rPr>
          <w:w w:val="110"/>
        </w:rPr>
        <w:t>安全生产的专项规划及相关政策</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安全生产行政许可的事项</w:t>
      </w:r>
      <w:r>
        <w:rPr>
          <w:rFonts w:hint="eastAsia" w:ascii="MS UI Gothic" w:eastAsia="MS UI Gothic"/>
          <w:w w:val="80"/>
        </w:rPr>
        <w:t xml:space="preserve">、  </w:t>
      </w:r>
      <w:r>
        <w:rPr>
          <w:w w:val="105"/>
        </w:rPr>
        <w:t>负责承办的内设机构</w:t>
      </w:r>
      <w:r>
        <w:rPr>
          <w:rFonts w:hint="eastAsia" w:ascii="MS UI Gothic" w:eastAsia="MS UI Gothic"/>
          <w:w w:val="80"/>
        </w:rPr>
        <w:t xml:space="preserve">、 </w:t>
      </w:r>
      <w:r>
        <w:rPr>
          <w:w w:val="105"/>
        </w:rPr>
        <w:t>依据</w:t>
      </w:r>
      <w:r>
        <w:rPr>
          <w:rFonts w:hint="eastAsia" w:ascii="MS UI Gothic" w:eastAsia="MS UI Gothic"/>
          <w:w w:val="80"/>
        </w:rPr>
        <w:t xml:space="preserve">、 </w:t>
      </w:r>
      <w:r>
        <w:rPr>
          <w:w w:val="105"/>
        </w:rPr>
        <w:t>条件</w:t>
      </w:r>
      <w:r>
        <w:rPr>
          <w:rFonts w:hint="eastAsia" w:ascii="MS UI Gothic" w:eastAsia="MS UI Gothic"/>
          <w:w w:val="80"/>
        </w:rPr>
        <w:t xml:space="preserve">、 </w:t>
      </w:r>
      <w:r>
        <w:rPr>
          <w:w w:val="105"/>
        </w:rPr>
        <w:t>数量</w:t>
      </w:r>
      <w:r>
        <w:rPr>
          <w:rFonts w:hint="eastAsia" w:ascii="MS UI Gothic" w:eastAsia="MS UI Gothic"/>
          <w:w w:val="80"/>
        </w:rPr>
        <w:t>、</w:t>
      </w:r>
      <w:r>
        <w:rPr>
          <w:w w:val="105"/>
        </w:rPr>
        <w:t>程序</w:t>
      </w:r>
      <w:r>
        <w:rPr>
          <w:rFonts w:hint="eastAsia" w:ascii="MS UI Gothic" w:eastAsia="MS UI Gothic"/>
          <w:w w:val="80"/>
        </w:rPr>
        <w:t xml:space="preserve">、 </w:t>
      </w:r>
      <w:r>
        <w:rPr>
          <w:w w:val="105"/>
        </w:rPr>
        <w:t>期限以及申请行政许可需要提交的全部材料的目录及办理情况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行政事业性收费的项目</w:t>
      </w:r>
      <w:r>
        <w:rPr>
          <w:rFonts w:hint="eastAsia" w:ascii="MS UI Gothic" w:eastAsia="MS UI Gothic"/>
          <w:w w:val="80"/>
        </w:rPr>
        <w:t xml:space="preserve">、 </w:t>
      </w:r>
      <w:r>
        <w:rPr>
          <w:w w:val="105"/>
        </w:rPr>
        <w:t>依据</w:t>
      </w:r>
      <w:r>
        <w:rPr>
          <w:rFonts w:hint="eastAsia" w:ascii="MS UI Gothic" w:eastAsia="MS UI Gothic"/>
          <w:w w:val="80"/>
        </w:rPr>
        <w:t xml:space="preserve">、 </w:t>
      </w:r>
      <w:r>
        <w:rPr>
          <w:w w:val="105"/>
        </w:rPr>
        <w:t>标准</w:t>
      </w:r>
      <w:r>
        <w:rPr>
          <w:rFonts w:hint="eastAsia" w:ascii="MS UI Gothic" w:eastAsia="MS UI Gothic"/>
          <w:w w:val="80"/>
        </w:rPr>
        <w:t>ꎻ</w:t>
      </w:r>
    </w:p>
    <w:p>
      <w:pPr>
        <w:pStyle w:val="6"/>
        <w:spacing w:line="255" w:lineRule="exact"/>
        <w:ind w:left="543" w:firstLine="0"/>
      </w:pPr>
      <w:r>
        <w:rPr>
          <w:rFonts w:hint="eastAsia" w:ascii="MS UI Gothic" w:eastAsia="MS UI Gothic"/>
          <w:w w:val="110"/>
        </w:rPr>
        <w:t xml:space="preserve">( </w:t>
      </w:r>
      <w:r>
        <w:rPr>
          <w:w w:val="110"/>
        </w:rPr>
        <w:t>六</w:t>
      </w:r>
      <w:r>
        <w:rPr>
          <w:rFonts w:hint="eastAsia" w:ascii="MS UI Gothic" w:eastAsia="MS UI Gothic"/>
          <w:w w:val="110"/>
        </w:rPr>
        <w:t xml:space="preserve">) </w:t>
      </w:r>
      <w:r>
        <w:rPr>
          <w:w w:val="110"/>
        </w:rPr>
        <w:t>地方人民政府规定需要主动公</w:t>
      </w:r>
    </w:p>
    <w:p>
      <w:pPr>
        <w:pStyle w:val="6"/>
        <w:spacing w:before="123"/>
        <w:ind w:firstLine="0"/>
        <w:jc w:val="left"/>
        <w:rPr>
          <w:rFonts w:hint="eastAsia" w:ascii="MS UI Gothic" w:eastAsia="MS UI Gothic"/>
        </w:rPr>
      </w:pPr>
      <w:r>
        <w:br w:type="column"/>
      </w:r>
      <w:r>
        <w:t>开的财政信息</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七</w:t>
      </w:r>
      <w:r>
        <w:rPr>
          <w:rFonts w:hint="eastAsia" w:ascii="MS UI Gothic" w:eastAsia="MS UI Gothic"/>
          <w:spacing w:val="-13"/>
          <w:w w:val="130"/>
        </w:rPr>
        <w:t xml:space="preserve">) </w:t>
      </w:r>
      <w:r>
        <w:rPr>
          <w:spacing w:val="41"/>
          <w:w w:val="110"/>
        </w:rPr>
        <w:t>开展安全生产监督检查的</w:t>
      </w:r>
      <w:r>
        <w:rPr>
          <w:spacing w:val="3"/>
          <w:w w:val="110"/>
        </w:rPr>
        <w:t>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生产安全事故的发生情况</w:t>
      </w:r>
      <w:r>
        <w:rPr>
          <w:rFonts w:hint="eastAsia" w:ascii="MS UI Gothic" w:eastAsia="MS UI Gothic"/>
          <w:w w:val="80"/>
        </w:rPr>
        <w:t xml:space="preserve">ꎬ </w:t>
      </w:r>
      <w:r>
        <w:rPr>
          <w:w w:val="105"/>
        </w:rPr>
        <w:t>社</w:t>
      </w:r>
      <w:r>
        <w:t>会影响较大的生产安全事故的应急处置和救援情况</w:t>
      </w:r>
      <w:r>
        <w:rPr>
          <w:rFonts w:hint="eastAsia" w:ascii="MS UI Gothic" w:eastAsia="MS UI Gothic"/>
          <w:w w:val="80"/>
        </w:rPr>
        <w:t xml:space="preserve">ꎬ </w:t>
      </w:r>
      <w:r>
        <w:t>经过有关人民政府或者主管部</w:t>
      </w:r>
      <w:r>
        <w:rPr>
          <w:w w:val="105"/>
        </w:rPr>
        <w:t>门依法批复的事故调查和处理情况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九</w:t>
      </w:r>
      <w:r>
        <w:rPr>
          <w:rFonts w:hint="eastAsia" w:ascii="MS UI Gothic" w:eastAsia="MS UI Gothic"/>
          <w:spacing w:val="9"/>
          <w:w w:val="150"/>
        </w:rPr>
        <w:t xml:space="preserve">) </w:t>
      </w:r>
      <w:r>
        <w:rPr>
          <w:spacing w:val="3"/>
          <w:w w:val="105"/>
        </w:rPr>
        <w:t>法律</w:t>
      </w:r>
      <w:r>
        <w:rPr>
          <w:rFonts w:hint="eastAsia" w:ascii="MS UI Gothic" w:eastAsia="MS UI Gothic"/>
          <w:spacing w:val="23"/>
          <w:w w:val="80"/>
        </w:rPr>
        <w:t xml:space="preserve">、 </w:t>
      </w:r>
      <w:r>
        <w:rPr>
          <w:spacing w:val="8"/>
          <w:w w:val="105"/>
        </w:rPr>
        <w:t>法规和规章规定应当公</w:t>
      </w:r>
      <w:r>
        <w:rPr>
          <w:spacing w:val="3"/>
          <w:w w:val="105"/>
        </w:rPr>
        <w:t>开的其他信息</w:t>
      </w:r>
      <w:r>
        <w:rPr>
          <w:rFonts w:hint="eastAsia" w:ascii="MS UI Gothic" w:eastAsia="MS UI Gothic"/>
          <w:w w:val="80"/>
        </w:rPr>
        <w:t>ꎮ</w:t>
      </w:r>
    </w:p>
    <w:p>
      <w:pPr>
        <w:pStyle w:val="6"/>
        <w:spacing w:line="295" w:lineRule="auto"/>
        <w:ind w:right="440"/>
        <w:rPr>
          <w:rFonts w:hint="eastAsia" w:ascii="MS UI Gothic" w:eastAsia="MS UI Gothic"/>
        </w:rPr>
      </w:pPr>
      <w:r>
        <w:rPr>
          <w:spacing w:val="7"/>
        </w:rPr>
        <w:t>安全生产有关决策</w:t>
      </w:r>
      <w:r>
        <w:rPr>
          <w:rFonts w:hint="eastAsia" w:ascii="MS UI Gothic" w:eastAsia="MS UI Gothic"/>
          <w:spacing w:val="13"/>
          <w:w w:val="80"/>
        </w:rPr>
        <w:t xml:space="preserve">、 </w:t>
      </w:r>
      <w:r>
        <w:rPr>
          <w:spacing w:val="11"/>
        </w:rPr>
        <w:t>规定或者规划</w:t>
      </w:r>
      <w:r>
        <w:rPr>
          <w:rFonts w:hint="eastAsia" w:ascii="MS UI Gothic" w:eastAsia="MS UI Gothic"/>
          <w:w w:val="80"/>
        </w:rPr>
        <w:t>、</w:t>
      </w:r>
      <w:r>
        <w:rPr>
          <w:spacing w:val="3"/>
        </w:rPr>
        <w:t>计划</w:t>
      </w:r>
      <w:r>
        <w:rPr>
          <w:rFonts w:hint="eastAsia" w:ascii="MS UI Gothic" w:eastAsia="MS UI Gothic"/>
          <w:spacing w:val="7"/>
          <w:w w:val="80"/>
        </w:rPr>
        <w:t xml:space="preserve">、 </w:t>
      </w:r>
      <w:r>
        <w:rPr>
          <w:spacing w:val="3"/>
        </w:rPr>
        <w:t>方案等</w:t>
      </w:r>
      <w:r>
        <w:rPr>
          <w:rFonts w:hint="eastAsia" w:ascii="MS UI Gothic" w:eastAsia="MS UI Gothic"/>
          <w:spacing w:val="7"/>
          <w:w w:val="80"/>
        </w:rPr>
        <w:t xml:space="preserve">ꎬ </w:t>
      </w:r>
      <w:r>
        <w:rPr>
          <w:spacing w:val="3"/>
        </w:rPr>
        <w:t>涉及公民</w:t>
      </w:r>
      <w:r>
        <w:rPr>
          <w:rFonts w:hint="eastAsia" w:ascii="MS UI Gothic" w:eastAsia="MS UI Gothic"/>
          <w:spacing w:val="7"/>
          <w:w w:val="80"/>
        </w:rPr>
        <w:t xml:space="preserve">、 </w:t>
      </w:r>
      <w:r>
        <w:rPr>
          <w:spacing w:val="2"/>
        </w:rPr>
        <w:t>法人和其他组</w:t>
      </w:r>
      <w:r>
        <w:rPr>
          <w:spacing w:val="3"/>
        </w:rPr>
        <w:t>织切身利益或者有重大社会影响的</w:t>
      </w:r>
      <w:r>
        <w:rPr>
          <w:rFonts w:hint="eastAsia" w:ascii="MS UI Gothic" w:eastAsia="MS UI Gothic"/>
          <w:spacing w:val="19"/>
          <w:w w:val="80"/>
        </w:rPr>
        <w:t xml:space="preserve">ꎬ </w:t>
      </w:r>
      <w:r>
        <w:rPr>
          <w:spacing w:val="1"/>
        </w:rPr>
        <w:t>在决</w:t>
      </w:r>
      <w:r>
        <w:rPr>
          <w:spacing w:val="3"/>
        </w:rPr>
        <w:t>策前应当广泛征求有关公民</w:t>
      </w:r>
      <w:r>
        <w:rPr>
          <w:rFonts w:hint="eastAsia" w:ascii="MS UI Gothic" w:eastAsia="MS UI Gothic"/>
          <w:spacing w:val="16"/>
          <w:w w:val="80"/>
        </w:rPr>
        <w:t xml:space="preserve">、 </w:t>
      </w:r>
      <w:r>
        <w:rPr>
          <w:spacing w:val="2"/>
        </w:rPr>
        <w:t>法人和其他</w:t>
      </w:r>
      <w:r>
        <w:rPr>
          <w:spacing w:val="3"/>
        </w:rPr>
        <w:t>组织的意见</w:t>
      </w:r>
      <w:r>
        <w:rPr>
          <w:rFonts w:hint="eastAsia" w:ascii="MS UI Gothic" w:eastAsia="MS UI Gothic"/>
          <w:spacing w:val="19"/>
          <w:w w:val="80"/>
        </w:rPr>
        <w:t xml:space="preserve">ꎬ </w:t>
      </w:r>
      <w:r>
        <w:rPr>
          <w:spacing w:val="2"/>
        </w:rPr>
        <w:t>并以适当方式反馈或者公布</w:t>
      </w:r>
      <w:r>
        <w:rPr>
          <w:spacing w:val="3"/>
        </w:rPr>
        <w:t>意见采纳情况</w:t>
      </w:r>
      <w:r>
        <w:rPr>
          <w:rFonts w:hint="eastAsia" w:ascii="MS UI Gothic" w:eastAsia="MS UI Gothic"/>
          <w:w w:val="80"/>
        </w:rPr>
        <w:t>ꎮ</w:t>
      </w:r>
    </w:p>
    <w:p>
      <w:pPr>
        <w:pStyle w:val="6"/>
        <w:spacing w:line="295" w:lineRule="auto"/>
        <w:ind w:right="442"/>
        <w:rPr>
          <w:rFonts w:hint="eastAsia" w:ascii="MS UI Gothic" w:eastAsia="MS UI Gothic"/>
        </w:rPr>
      </w:pPr>
      <w:r>
        <w:t>第十一条 除本办法第十条规定应当主动公开的信息外</w:t>
      </w:r>
      <w:r>
        <w:rPr>
          <w:rFonts w:hint="eastAsia" w:ascii="MS UI Gothic" w:eastAsia="MS UI Gothic"/>
          <w:w w:val="80"/>
        </w:rPr>
        <w:t xml:space="preserve">ꎬ </w:t>
      </w:r>
      <w:r>
        <w:t>公民</w:t>
      </w:r>
      <w:r>
        <w:rPr>
          <w:rFonts w:hint="eastAsia" w:ascii="MS UI Gothic" w:eastAsia="MS UI Gothic"/>
          <w:w w:val="80"/>
        </w:rPr>
        <w:t xml:space="preserve">、 </w:t>
      </w:r>
      <w:r>
        <w:t>法人或者其他组织可以根据自身生产</w:t>
      </w:r>
      <w:r>
        <w:rPr>
          <w:rFonts w:hint="eastAsia" w:ascii="MS UI Gothic" w:eastAsia="MS UI Gothic"/>
          <w:w w:val="80"/>
        </w:rPr>
        <w:t xml:space="preserve">、 </w:t>
      </w:r>
      <w:r>
        <w:t>生活</w:t>
      </w:r>
      <w:r>
        <w:rPr>
          <w:rFonts w:hint="eastAsia" w:ascii="MS UI Gothic" w:eastAsia="MS UI Gothic"/>
          <w:w w:val="80"/>
        </w:rPr>
        <w:t xml:space="preserve">、 </w:t>
      </w:r>
      <w:r>
        <w:t>科研等特殊需要</w:t>
      </w:r>
      <w:r>
        <w:rPr>
          <w:rFonts w:hint="eastAsia" w:ascii="MS UI Gothic" w:eastAsia="MS UI Gothic"/>
          <w:w w:val="80"/>
        </w:rPr>
        <w:t xml:space="preserve">ꎬ </w:t>
      </w:r>
      <w:r>
        <w:t>申请获取相关信息</w:t>
      </w:r>
      <w:r>
        <w:rPr>
          <w:rFonts w:hint="eastAsia" w:ascii="MS UI Gothic" w:eastAsia="MS UI Gothic"/>
          <w:w w:val="80"/>
        </w:rPr>
        <w:t>ꎮ</w:t>
      </w:r>
    </w:p>
    <w:p>
      <w:pPr>
        <w:pStyle w:val="6"/>
        <w:spacing w:line="295" w:lineRule="auto"/>
        <w:ind w:right="442"/>
        <w:rPr>
          <w:rFonts w:hint="eastAsia" w:ascii="MS UI Gothic" w:eastAsia="MS UI Gothic"/>
        </w:rPr>
      </w:pPr>
      <w:r>
        <w:t>公民</w:t>
      </w:r>
      <w:r>
        <w:rPr>
          <w:rFonts w:hint="eastAsia" w:ascii="MS UI Gothic" w:eastAsia="MS UI Gothic"/>
          <w:w w:val="80"/>
        </w:rPr>
        <w:t xml:space="preserve">、 </w:t>
      </w:r>
      <w:r>
        <w:t>法人或者其他组织使用安全生产监管监察部门公开的信息</w:t>
      </w:r>
      <w:r>
        <w:rPr>
          <w:rFonts w:hint="eastAsia" w:ascii="MS UI Gothic" w:eastAsia="MS UI Gothic"/>
          <w:w w:val="80"/>
        </w:rPr>
        <w:t xml:space="preserve">ꎬ </w:t>
      </w:r>
      <w:r>
        <w:t>不得损害国家利益</w:t>
      </w:r>
      <w:r>
        <w:rPr>
          <w:rFonts w:hint="eastAsia" w:ascii="MS UI Gothic" w:eastAsia="MS UI Gothic"/>
          <w:w w:val="80"/>
        </w:rPr>
        <w:t xml:space="preserve">、 </w:t>
      </w:r>
      <w:r>
        <w:t>公共利益和他人的合法权益</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第十二条 安全生产监管监察部门的</w:t>
      </w:r>
      <w:r>
        <w:rPr>
          <w:w w:val="110"/>
        </w:rPr>
        <w:t>下列信息不予公开</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涉及国家秘密以及危及国家安全</w:t>
      </w:r>
      <w:r>
        <w:rPr>
          <w:rFonts w:hint="eastAsia" w:ascii="MS UI Gothic" w:eastAsia="MS UI Gothic"/>
          <w:w w:val="80"/>
        </w:rPr>
        <w:t xml:space="preserve">、 </w:t>
      </w:r>
      <w:r>
        <w:rPr>
          <w:w w:val="105"/>
        </w:rPr>
        <w:t>公共安全</w:t>
      </w:r>
      <w:r>
        <w:rPr>
          <w:rFonts w:hint="eastAsia" w:ascii="MS UI Gothic" w:eastAsia="MS UI Gothic"/>
          <w:w w:val="80"/>
        </w:rPr>
        <w:t xml:space="preserve">、 </w:t>
      </w:r>
      <w:r>
        <w:rPr>
          <w:w w:val="105"/>
        </w:rPr>
        <w:t>经济安全和社会稳定的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属于商业秘密或者公开后可能</w:t>
      </w:r>
      <w:r>
        <w:rPr>
          <w:w w:val="110"/>
        </w:rPr>
        <w:t>导致商业秘密被泄露的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属于个人隐私或者公开后可能导致对个人隐私权造成侵害的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在日常工作中制作或者获取的</w:t>
      </w:r>
      <w:r>
        <w:rPr>
          <w:w w:val="110"/>
        </w:rPr>
        <w:t>内部管理信息</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五</w:t>
      </w:r>
      <w:r>
        <w:rPr>
          <w:rFonts w:hint="eastAsia" w:ascii="MS UI Gothic" w:eastAsia="MS UI Gothic"/>
          <w:spacing w:val="3"/>
          <w:w w:val="150"/>
        </w:rPr>
        <w:t xml:space="preserve">) </w:t>
      </w:r>
      <w:r>
        <w:rPr>
          <w:spacing w:val="4"/>
          <w:w w:val="105"/>
        </w:rPr>
        <w:t>尚未形成</w:t>
      </w:r>
      <w:r>
        <w:rPr>
          <w:rFonts w:hint="eastAsia" w:ascii="MS UI Gothic" w:eastAsia="MS UI Gothic"/>
          <w:spacing w:val="19"/>
          <w:w w:val="80"/>
        </w:rPr>
        <w:t xml:space="preserve">ꎬ </w:t>
      </w:r>
      <w:r>
        <w:rPr>
          <w:spacing w:val="11"/>
          <w:w w:val="105"/>
        </w:rPr>
        <w:t>需要进行汇总</w:t>
      </w:r>
      <w:r>
        <w:rPr>
          <w:rFonts w:hint="eastAsia" w:ascii="MS UI Gothic" w:eastAsia="MS UI Gothic"/>
          <w:spacing w:val="19"/>
          <w:w w:val="80"/>
        </w:rPr>
        <w:t xml:space="preserve">、 </w:t>
      </w:r>
      <w:r>
        <w:rPr>
          <w:w w:val="105"/>
        </w:rPr>
        <w:t>加</w:t>
      </w:r>
      <w:r>
        <w:rPr>
          <w:spacing w:val="3"/>
          <w:w w:val="105"/>
        </w:rPr>
        <w:t>工</w:t>
      </w:r>
      <w:r>
        <w:rPr>
          <w:rFonts w:hint="eastAsia" w:ascii="MS UI Gothic" w:eastAsia="MS UI Gothic"/>
          <w:spacing w:val="15"/>
          <w:w w:val="80"/>
        </w:rPr>
        <w:t xml:space="preserve">、 </w:t>
      </w:r>
      <w:r>
        <w:rPr>
          <w:spacing w:val="-3"/>
          <w:w w:val="105"/>
        </w:rPr>
        <w:t xml:space="preserve">重新制作 </w:t>
      </w:r>
      <w:r>
        <w:rPr>
          <w:rFonts w:hint="eastAsia" w:ascii="MS UI Gothic" w:eastAsia="MS UI Gothic"/>
          <w:spacing w:val="-37"/>
          <w:w w:val="150"/>
        </w:rPr>
        <w:t xml:space="preserve">( </w:t>
      </w:r>
      <w:r>
        <w:rPr>
          <w:spacing w:val="9"/>
          <w:w w:val="105"/>
        </w:rPr>
        <w:t>作区分处理的除外</w:t>
      </w:r>
      <w:r>
        <w:rPr>
          <w:rFonts w:hint="eastAsia" w:ascii="MS UI Gothic" w:eastAsia="MS UI Gothic"/>
          <w:spacing w:val="-38"/>
          <w:w w:val="150"/>
        </w:rPr>
        <w:t xml:space="preserve">) </w:t>
      </w:r>
      <w:r>
        <w:rPr>
          <w:rFonts w:hint="eastAsia" w:ascii="MS UI Gothic" w:eastAsia="MS UI Gothic"/>
          <w:spacing w:val="18"/>
          <w:w w:val="80"/>
        </w:rPr>
        <w:t xml:space="preserve">ꎬ </w:t>
      </w:r>
      <w:r>
        <w:rPr>
          <w:w w:val="105"/>
        </w:rPr>
        <w:t>或</w:t>
      </w:r>
      <w:r>
        <w:rPr>
          <w:spacing w:val="3"/>
          <w:w w:val="105"/>
        </w:rPr>
        <w:t>者需要向其他行政机关</w:t>
      </w:r>
      <w:r>
        <w:rPr>
          <w:rFonts w:hint="eastAsia" w:ascii="MS UI Gothic" w:eastAsia="MS UI Gothic"/>
          <w:spacing w:val="11"/>
          <w:w w:val="80"/>
        </w:rPr>
        <w:t xml:space="preserve">、 </w:t>
      </w:r>
      <w:r>
        <w:rPr>
          <w:spacing w:val="3"/>
          <w:w w:val="105"/>
        </w:rPr>
        <w:t>公民</w:t>
      </w:r>
      <w:r>
        <w:rPr>
          <w:rFonts w:hint="eastAsia" w:ascii="MS UI Gothic" w:eastAsia="MS UI Gothic"/>
          <w:spacing w:val="12"/>
          <w:w w:val="80"/>
        </w:rPr>
        <w:t xml:space="preserve">、 </w:t>
      </w:r>
      <w:r>
        <w:rPr>
          <w:spacing w:val="2"/>
          <w:w w:val="105"/>
        </w:rPr>
        <w:t>法人或者</w:t>
      </w:r>
      <w:r>
        <w:rPr>
          <w:spacing w:val="3"/>
          <w:w w:val="105"/>
        </w:rPr>
        <w:t>其他组织搜集的信息</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处于讨论</w:t>
      </w:r>
      <w:r>
        <w:rPr>
          <w:rFonts w:hint="eastAsia" w:ascii="MS UI Gothic" w:eastAsia="MS UI Gothic"/>
          <w:w w:val="80"/>
        </w:rPr>
        <w:t xml:space="preserve">、 </w:t>
      </w:r>
      <w:r>
        <w:rPr>
          <w:w w:val="105"/>
        </w:rPr>
        <w:t>研究或者审查中的过程性信息</w:t>
      </w:r>
      <w:r>
        <w:rPr>
          <w:rFonts w:hint="eastAsia" w:ascii="MS UI Gothic" w:eastAsia="MS UI Gothic"/>
          <w:w w:val="80"/>
        </w:rPr>
        <w:t>ꎻ</w:t>
      </w:r>
    </w:p>
    <w:p>
      <w:pPr>
        <w:pStyle w:val="6"/>
        <w:spacing w:line="255" w:lineRule="exact"/>
        <w:ind w:left="543" w:firstLine="0"/>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依照法律</w:t>
      </w:r>
      <w:r>
        <w:rPr>
          <w:rFonts w:hint="eastAsia" w:ascii="MS UI Gothic" w:eastAsia="MS UI Gothic"/>
        </w:rPr>
        <w:t xml:space="preserve">、 </w:t>
      </w:r>
      <w:r>
        <w:rPr>
          <w:w w:val="110"/>
        </w:rPr>
        <w:t>法规和国务院规定</w:t>
      </w:r>
    </w:p>
    <w:p>
      <w:pPr>
        <w:spacing w:after="0" w:line="255"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１５１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497" o:spid="_x0000_s1497" o:spt="203" style="height:2.15pt;width:398.25pt;" coordsize="7965,43">
            <o:lock v:ext="edit"/>
            <v:line id="_x0000_s1498" o:spid="_x0000_s1498" o:spt="20" style="position:absolute;left:0;top:39;height:0;width:7965;" stroked="t" coordsize="21600,21600">
              <v:path arrowok="t"/>
              <v:fill focussize="0,0"/>
              <v:stroke weight="0.388031496062992pt" color="#231F20"/>
              <v:imagedata o:title=""/>
              <o:lock v:ext="edit"/>
            </v:line>
            <v:line id="_x0000_s1499" o:spid="_x0000_s149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不予公开的其他信息</w:t>
      </w:r>
      <w:r>
        <w:rPr>
          <w:rFonts w:hint="eastAsia" w:ascii="MS UI Gothic" w:eastAsia="MS UI Gothic"/>
          <w:w w:val="80"/>
        </w:rPr>
        <w:t>ꎮ</w:t>
      </w:r>
    </w:p>
    <w:p>
      <w:pPr>
        <w:pStyle w:val="6"/>
        <w:spacing w:before="58" w:line="295" w:lineRule="auto"/>
        <w:ind w:left="440"/>
        <w:rPr>
          <w:rFonts w:hint="eastAsia" w:ascii="MS UI Gothic" w:eastAsia="MS UI Gothic"/>
        </w:rPr>
      </w:pPr>
      <w:r>
        <w:t>安全生产监管监察部门有证据证明与申请人生产</w:t>
      </w:r>
      <w:r>
        <w:rPr>
          <w:rFonts w:hint="eastAsia" w:ascii="MS UI Gothic" w:eastAsia="MS UI Gothic"/>
          <w:w w:val="80"/>
        </w:rPr>
        <w:t xml:space="preserve">、 </w:t>
      </w:r>
      <w:r>
        <w:t>生活</w:t>
      </w:r>
      <w:r>
        <w:rPr>
          <w:rFonts w:hint="eastAsia" w:ascii="MS UI Gothic" w:eastAsia="MS UI Gothic"/>
          <w:w w:val="80"/>
        </w:rPr>
        <w:t xml:space="preserve">、 </w:t>
      </w:r>
      <w:r>
        <w:t>科研等特殊需要无关的信息</w:t>
      </w:r>
      <w:r>
        <w:rPr>
          <w:rFonts w:hint="eastAsia" w:ascii="MS UI Gothic" w:eastAsia="MS UI Gothic"/>
          <w:w w:val="80"/>
        </w:rPr>
        <w:t xml:space="preserve">ꎬ </w:t>
      </w:r>
      <w:r>
        <w:t>可以不予提供</w:t>
      </w:r>
      <w:r>
        <w:rPr>
          <w:rFonts w:hint="eastAsia" w:ascii="MS UI Gothic" w:eastAsia="MS UI Gothic"/>
          <w:w w:val="80"/>
        </w:rPr>
        <w:t>ꎮ</w:t>
      </w:r>
    </w:p>
    <w:p>
      <w:pPr>
        <w:pStyle w:val="6"/>
        <w:spacing w:line="295" w:lineRule="auto"/>
        <w:ind w:left="440"/>
        <w:rPr>
          <w:rFonts w:hint="eastAsia" w:ascii="MS UI Gothic" w:eastAsia="MS UI Gothic"/>
        </w:rPr>
      </w:pPr>
      <w:r>
        <w:t>与安全生产行政执法有关的信息</w:t>
      </w:r>
      <w:r>
        <w:rPr>
          <w:rFonts w:hint="eastAsia" w:ascii="MS UI Gothic" w:eastAsia="MS UI Gothic"/>
          <w:w w:val="80"/>
        </w:rPr>
        <w:t xml:space="preserve">ꎬ </w:t>
      </w:r>
      <w:r>
        <w:t>公开后可能影响检查</w:t>
      </w:r>
      <w:r>
        <w:rPr>
          <w:rFonts w:hint="eastAsia" w:ascii="MS UI Gothic" w:eastAsia="MS UI Gothic"/>
          <w:w w:val="80"/>
        </w:rPr>
        <w:t xml:space="preserve">、 </w:t>
      </w:r>
      <w:r>
        <w:t>调查</w:t>
      </w:r>
      <w:r>
        <w:rPr>
          <w:rFonts w:hint="eastAsia" w:ascii="MS UI Gothic" w:eastAsia="MS UI Gothic"/>
          <w:w w:val="80"/>
        </w:rPr>
        <w:t xml:space="preserve">、 </w:t>
      </w:r>
      <w:r>
        <w:t>取证等安全生产行政执法活动</w:t>
      </w:r>
      <w:r>
        <w:rPr>
          <w:rFonts w:hint="eastAsia" w:ascii="MS UI Gothic" w:eastAsia="MS UI Gothic"/>
          <w:w w:val="80"/>
        </w:rPr>
        <w:t xml:space="preserve">ꎬ </w:t>
      </w:r>
      <w:r>
        <w:t>或者危及公民</w:t>
      </w:r>
      <w:r>
        <w:rPr>
          <w:rFonts w:hint="eastAsia" w:ascii="MS UI Gothic" w:eastAsia="MS UI Gothic"/>
          <w:w w:val="80"/>
        </w:rPr>
        <w:t xml:space="preserve">、 </w:t>
      </w:r>
      <w:r>
        <w:t>法人和其他组织人身或者财产安全的</w:t>
      </w:r>
      <w:r>
        <w:rPr>
          <w:rFonts w:hint="eastAsia" w:ascii="MS UI Gothic" w:eastAsia="MS UI Gothic"/>
          <w:w w:val="80"/>
        </w:rPr>
        <w:t xml:space="preserve">ꎬ </w:t>
      </w:r>
      <w:r>
        <w:t>安全生产监管监察部门可以暂时不予公开</w:t>
      </w:r>
      <w:r>
        <w:rPr>
          <w:rFonts w:hint="eastAsia" w:ascii="MS UI Gothic" w:eastAsia="MS UI Gothic"/>
          <w:w w:val="80"/>
        </w:rPr>
        <w:t xml:space="preserve">ꎮ </w:t>
      </w:r>
      <w:r>
        <w:t>在行政执法活动结束后</w:t>
      </w:r>
      <w:r>
        <w:rPr>
          <w:rFonts w:hint="eastAsia" w:ascii="MS UI Gothic" w:eastAsia="MS UI Gothic"/>
          <w:w w:val="80"/>
        </w:rPr>
        <w:t xml:space="preserve">ꎬ </w:t>
      </w:r>
      <w:r>
        <w:t>再依照本办法的规定予以公开</w:t>
      </w:r>
      <w:r>
        <w:rPr>
          <w:rFonts w:hint="eastAsia" w:ascii="MS UI Gothic" w:eastAsia="MS UI Gothic"/>
          <w:w w:val="80"/>
        </w:rPr>
        <w:t>ꎮ</w:t>
      </w:r>
    </w:p>
    <w:p>
      <w:pPr>
        <w:pStyle w:val="6"/>
        <w:spacing w:line="295" w:lineRule="auto"/>
        <w:ind w:left="440"/>
        <w:rPr>
          <w:rFonts w:hint="eastAsia" w:ascii="MS UI Gothic" w:eastAsia="MS UI Gothic"/>
        </w:rPr>
      </w:pPr>
      <w:r>
        <w:t>涉及商业秘密</w:t>
      </w:r>
      <w:r>
        <w:rPr>
          <w:rFonts w:hint="eastAsia" w:ascii="MS UI Gothic" w:eastAsia="MS UI Gothic"/>
          <w:w w:val="80"/>
        </w:rPr>
        <w:t xml:space="preserve">、 </w:t>
      </w:r>
      <w:r>
        <w:t>个人隐私</w:t>
      </w:r>
      <w:r>
        <w:rPr>
          <w:rFonts w:hint="eastAsia" w:ascii="MS UI Gothic" w:eastAsia="MS UI Gothic"/>
          <w:w w:val="80"/>
        </w:rPr>
        <w:t xml:space="preserve">ꎬ </w:t>
      </w:r>
      <w:r>
        <w:t>经权利人同意公开</w:t>
      </w:r>
      <w:r>
        <w:rPr>
          <w:rFonts w:hint="eastAsia" w:ascii="MS UI Gothic" w:eastAsia="MS UI Gothic"/>
          <w:w w:val="80"/>
        </w:rPr>
        <w:t xml:space="preserve">ꎬ </w:t>
      </w:r>
      <w:r>
        <w:t>或者安全生产监管监察部门认为不公开可能对公共利益造成重大影响的信息</w:t>
      </w:r>
      <w:r>
        <w:rPr>
          <w:rFonts w:hint="eastAsia" w:ascii="MS UI Gothic" w:eastAsia="MS UI Gothic"/>
          <w:w w:val="80"/>
        </w:rPr>
        <w:t xml:space="preserve">ꎬ </w:t>
      </w:r>
      <w:r>
        <w:t>可以予以公开</w:t>
      </w:r>
      <w:r>
        <w:rPr>
          <w:rFonts w:hint="eastAsia" w:ascii="MS UI Gothic" w:eastAsia="MS UI Gothic"/>
          <w:w w:val="80"/>
        </w:rPr>
        <w:t>ꎮ</w:t>
      </w:r>
    </w:p>
    <w:p>
      <w:pPr>
        <w:pStyle w:val="6"/>
        <w:tabs>
          <w:tab w:val="left" w:pos="2012"/>
        </w:tabs>
        <w:spacing w:before="146"/>
        <w:ind w:left="1174" w:firstLine="0"/>
        <w:jc w:val="left"/>
      </w:pPr>
      <w:r>
        <w:rPr>
          <w:spacing w:val="3"/>
          <w:w w:val="105"/>
        </w:rPr>
        <w:t>第三</w:t>
      </w:r>
      <w:r>
        <w:rPr>
          <w:w w:val="105"/>
        </w:rPr>
        <w:t>章</w:t>
      </w:r>
      <w:r>
        <w:rPr>
          <w:w w:val="105"/>
        </w:rPr>
        <w:tab/>
      </w:r>
      <w:r>
        <w:rPr>
          <w:spacing w:val="3"/>
          <w:w w:val="105"/>
        </w:rPr>
        <w:t>公开方式和程</w:t>
      </w:r>
      <w:r>
        <w:rPr>
          <w:w w:val="105"/>
        </w:rPr>
        <w:t>序</w:t>
      </w:r>
    </w:p>
    <w:p>
      <w:pPr>
        <w:pStyle w:val="6"/>
        <w:spacing w:before="216" w:line="295" w:lineRule="auto"/>
        <w:ind w:left="440"/>
        <w:rPr>
          <w:rFonts w:hint="eastAsia" w:ascii="MS UI Gothic" w:hAnsi="MS UI Gothic" w:eastAsia="MS UI Gothic"/>
        </w:rPr>
      </w:pPr>
      <w:r>
        <w:rPr>
          <w:w w:val="105"/>
        </w:rPr>
        <w:t>第十三条 安全生产监管监察部门应当通过政府网站</w:t>
      </w:r>
      <w:r>
        <w:rPr>
          <w:rFonts w:hint="eastAsia" w:ascii="MS UI Gothic" w:hAnsi="MS UI Gothic" w:eastAsia="MS UI Gothic"/>
          <w:w w:val="80"/>
        </w:rPr>
        <w:t xml:space="preserve">、 </w:t>
      </w:r>
      <w:r>
        <w:rPr>
          <w:w w:val="105"/>
        </w:rPr>
        <w:t>公报</w:t>
      </w:r>
      <w:r>
        <w:rPr>
          <w:rFonts w:hint="eastAsia" w:ascii="MS UI Gothic" w:hAnsi="MS UI Gothic" w:eastAsia="MS UI Gothic"/>
          <w:w w:val="80"/>
        </w:rPr>
        <w:t xml:space="preserve">、 </w:t>
      </w:r>
      <w:r>
        <w:rPr>
          <w:w w:val="105"/>
        </w:rPr>
        <w:t>新闻发布会或者报刊</w:t>
      </w:r>
      <w:r>
        <w:rPr>
          <w:rFonts w:hint="eastAsia" w:ascii="MS UI Gothic" w:hAnsi="MS UI Gothic" w:eastAsia="MS UI Gothic"/>
          <w:w w:val="80"/>
        </w:rPr>
        <w:t xml:space="preserve">、 </w:t>
      </w:r>
      <w:r>
        <w:rPr>
          <w:w w:val="105"/>
        </w:rPr>
        <w:t>广播</w:t>
      </w:r>
      <w:r>
        <w:rPr>
          <w:rFonts w:hint="eastAsia" w:ascii="MS UI Gothic" w:hAnsi="MS UI Gothic" w:eastAsia="MS UI Gothic"/>
          <w:w w:val="80"/>
        </w:rPr>
        <w:t xml:space="preserve">、 </w:t>
      </w:r>
      <w:r>
        <w:rPr>
          <w:w w:val="105"/>
        </w:rPr>
        <w:t>电视等便于公众知晓的方式</w:t>
      </w:r>
      <w:r>
        <w:t>主动公开本办法第十条规定的信息</w:t>
      </w:r>
      <w:r>
        <w:rPr>
          <w:rFonts w:hint="eastAsia" w:ascii="MS UI Gothic" w:hAnsi="MS UI Gothic" w:eastAsia="MS UI Gothic"/>
          <w:w w:val="80"/>
        </w:rPr>
        <w:t xml:space="preserve">ꎬ </w:t>
      </w:r>
      <w:r>
        <w:t>并依</w:t>
      </w:r>
      <w:r>
        <w:rPr>
          <w:w w:val="105"/>
        </w:rPr>
        <w:t xml:space="preserve">照 </w:t>
      </w:r>
      <w:r>
        <w:rPr>
          <w:rFonts w:hint="eastAsia" w:ascii="MS UI Gothic" w:hAnsi="MS UI Gothic" w:eastAsia="MS UI Gothic"/>
          <w:w w:val="80"/>
        </w:rPr>
        <w:t xml:space="preserve">« </w:t>
      </w:r>
      <w:r>
        <w:rPr>
          <w:w w:val="105"/>
        </w:rPr>
        <w:t>政府信息公开条例</w:t>
      </w:r>
      <w:r>
        <w:rPr>
          <w:rFonts w:hint="eastAsia" w:ascii="MS UI Gothic" w:hAnsi="MS UI Gothic" w:eastAsia="MS UI Gothic"/>
          <w:w w:val="80"/>
        </w:rPr>
        <w:t xml:space="preserve">» </w:t>
      </w:r>
      <w:r>
        <w:rPr>
          <w:w w:val="105"/>
        </w:rPr>
        <w:t>的规定及时向</w:t>
      </w:r>
      <w:r>
        <w:t>当地档案馆和公共图书馆提供主动公开的信息</w:t>
      </w:r>
      <w:r>
        <w:rPr>
          <w:rFonts w:hint="eastAsia" w:ascii="MS UI Gothic" w:hAnsi="MS UI Gothic" w:eastAsia="MS UI Gothic"/>
          <w:w w:val="80"/>
        </w:rPr>
        <w:t xml:space="preserve">ꎮ </w:t>
      </w:r>
      <w:r>
        <w:t>具体办法由安全生产监管监察部门</w:t>
      </w:r>
      <w:r>
        <w:rPr>
          <w:w w:val="105"/>
        </w:rPr>
        <w:t>与当地档案馆</w:t>
      </w:r>
      <w:r>
        <w:rPr>
          <w:rFonts w:hint="eastAsia" w:ascii="MS UI Gothic" w:hAnsi="MS UI Gothic" w:eastAsia="MS UI Gothic"/>
          <w:w w:val="80"/>
        </w:rPr>
        <w:t xml:space="preserve">、 </w:t>
      </w:r>
      <w:r>
        <w:rPr>
          <w:w w:val="105"/>
        </w:rPr>
        <w:t>公共图书馆协商制定</w:t>
      </w:r>
      <w:r>
        <w:rPr>
          <w:rFonts w:hint="eastAsia" w:ascii="MS UI Gothic" w:hAnsi="MS UI Gothic" w:eastAsia="MS UI Gothic"/>
          <w:w w:val="80"/>
        </w:rPr>
        <w:t>ꎮ</w:t>
      </w:r>
    </w:p>
    <w:p>
      <w:pPr>
        <w:pStyle w:val="6"/>
        <w:spacing w:line="295" w:lineRule="auto"/>
        <w:ind w:left="440"/>
        <w:rPr>
          <w:rFonts w:hint="eastAsia" w:ascii="MS UI Gothic" w:eastAsia="MS UI Gothic"/>
        </w:rPr>
      </w:pPr>
      <w:r>
        <w:t>安全生产监管监察部门可以根据需要</w:t>
      </w:r>
      <w:r>
        <w:rPr>
          <w:rFonts w:hint="eastAsia" w:ascii="MS UI Gothic" w:eastAsia="MS UI Gothic"/>
          <w:w w:val="80"/>
        </w:rPr>
        <w:t xml:space="preserve">ꎬ </w:t>
      </w:r>
      <w:r>
        <w:t>在办公地点设立信息查阅室</w:t>
      </w:r>
      <w:r>
        <w:rPr>
          <w:rFonts w:hint="eastAsia" w:ascii="MS UI Gothic" w:eastAsia="MS UI Gothic"/>
          <w:w w:val="80"/>
        </w:rPr>
        <w:t xml:space="preserve">、 </w:t>
      </w:r>
      <w:r>
        <w:t>信息公告栏</w:t>
      </w:r>
      <w:r>
        <w:rPr>
          <w:rFonts w:hint="eastAsia" w:ascii="MS UI Gothic" w:eastAsia="MS UI Gothic"/>
          <w:w w:val="80"/>
        </w:rPr>
        <w:t xml:space="preserve">、 </w:t>
      </w:r>
      <w:r>
        <w:t>电子信息屏等场所</w:t>
      </w:r>
      <w:r>
        <w:rPr>
          <w:rFonts w:hint="eastAsia" w:ascii="MS UI Gothic" w:eastAsia="MS UI Gothic"/>
          <w:w w:val="80"/>
        </w:rPr>
        <w:t xml:space="preserve">、  </w:t>
      </w:r>
      <w:r>
        <w:t>设施公开信息</w:t>
      </w:r>
      <w:r>
        <w:rPr>
          <w:rFonts w:hint="eastAsia" w:ascii="MS UI Gothic" w:eastAsia="MS UI Gothic"/>
          <w:w w:val="80"/>
        </w:rPr>
        <w:t>ꎮ</w:t>
      </w:r>
    </w:p>
    <w:p>
      <w:pPr>
        <w:pStyle w:val="6"/>
        <w:spacing w:line="295" w:lineRule="auto"/>
        <w:ind w:left="440"/>
        <w:rPr>
          <w:rFonts w:hint="eastAsia" w:ascii="MS UI Gothic" w:eastAsia="MS UI Gothic"/>
        </w:rPr>
      </w:pPr>
      <w:r>
        <w:t>第十四条 安全生产监管监察部门制作的信息</w:t>
      </w:r>
      <w:r>
        <w:rPr>
          <w:rFonts w:hint="eastAsia" w:ascii="MS UI Gothic" w:eastAsia="MS UI Gothic"/>
          <w:w w:val="80"/>
        </w:rPr>
        <w:t xml:space="preserve">ꎬ </w:t>
      </w:r>
      <w:r>
        <w:t>由制作该信息的部门负责公开</w:t>
      </w:r>
      <w:r>
        <w:rPr>
          <w:rFonts w:hint="eastAsia" w:ascii="MS UI Gothic" w:eastAsia="MS UI Gothic"/>
          <w:w w:val="80"/>
        </w:rPr>
        <w:t xml:space="preserve">ꎻ </w:t>
      </w:r>
      <w:r>
        <w:t>安全生产监管监察部门从公民</w:t>
      </w:r>
      <w:r>
        <w:rPr>
          <w:rFonts w:hint="eastAsia" w:ascii="MS UI Gothic" w:eastAsia="MS UI Gothic"/>
          <w:w w:val="80"/>
        </w:rPr>
        <w:t xml:space="preserve">、 </w:t>
      </w:r>
      <w:r>
        <w:t>法人或者其他组织获取的信息</w:t>
      </w:r>
      <w:r>
        <w:rPr>
          <w:rFonts w:hint="eastAsia" w:ascii="MS UI Gothic" w:eastAsia="MS UI Gothic"/>
          <w:w w:val="80"/>
        </w:rPr>
        <w:t xml:space="preserve">ꎬ </w:t>
      </w:r>
      <w:r>
        <w:t>由保存该信息的行政机关负责公开</w:t>
      </w:r>
      <w:r>
        <w:rPr>
          <w:rFonts w:hint="eastAsia" w:ascii="MS UI Gothic" w:eastAsia="MS UI Gothic"/>
          <w:w w:val="80"/>
        </w:rPr>
        <w:t xml:space="preserve">ꎮ </w:t>
      </w:r>
      <w:r>
        <w:t>法律</w:t>
      </w:r>
      <w:r>
        <w:rPr>
          <w:rFonts w:hint="eastAsia" w:ascii="MS UI Gothic" w:eastAsia="MS UI Gothic"/>
          <w:w w:val="80"/>
        </w:rPr>
        <w:t xml:space="preserve">、 </w:t>
      </w:r>
      <w:r>
        <w:t>法规对政府信息公开的权限另有规定的</w:t>
      </w:r>
      <w:r>
        <w:rPr>
          <w:rFonts w:hint="eastAsia" w:ascii="MS UI Gothic" w:eastAsia="MS UI Gothic"/>
          <w:w w:val="80"/>
        </w:rPr>
        <w:t xml:space="preserve">ꎬ </w:t>
      </w:r>
      <w:r>
        <w:t>从其规定</w:t>
      </w:r>
      <w:r>
        <w:rPr>
          <w:rFonts w:hint="eastAsia" w:ascii="MS UI Gothic" w:eastAsia="MS UI Gothic"/>
          <w:w w:val="80"/>
        </w:rPr>
        <w:t>ꎮ</w:t>
      </w:r>
    </w:p>
    <w:p>
      <w:pPr>
        <w:pStyle w:val="6"/>
        <w:spacing w:line="295" w:lineRule="auto"/>
        <w:ind w:left="440"/>
        <w:rPr>
          <w:rFonts w:hint="eastAsia" w:ascii="MS UI Gothic" w:eastAsia="MS UI Gothic"/>
        </w:rPr>
      </w:pPr>
      <w:r>
        <w:t>第十五条 安全生产监管监察部门在制作信息时</w:t>
      </w:r>
      <w:r>
        <w:rPr>
          <w:rFonts w:hint="eastAsia" w:ascii="MS UI Gothic" w:eastAsia="MS UI Gothic"/>
          <w:w w:val="80"/>
        </w:rPr>
        <w:t xml:space="preserve">ꎬ </w:t>
      </w:r>
      <w:r>
        <w:t>应当明确该信息的公开属性</w:t>
      </w:r>
      <w:r>
        <w:rPr>
          <w:rFonts w:hint="eastAsia" w:ascii="MS UI Gothic" w:eastAsia="MS UI Gothic"/>
          <w:w w:val="80"/>
        </w:rPr>
        <w:t xml:space="preserve">ꎬ </w:t>
      </w:r>
      <w:r>
        <w:t>包括主动公开</w:t>
      </w:r>
      <w:r>
        <w:rPr>
          <w:rFonts w:hint="eastAsia" w:ascii="MS UI Gothic" w:eastAsia="MS UI Gothic"/>
          <w:w w:val="80"/>
        </w:rPr>
        <w:t xml:space="preserve">、 </w:t>
      </w:r>
      <w:r>
        <w:t>依申请公开或者不予公开</w:t>
      </w:r>
      <w:r>
        <w:rPr>
          <w:rFonts w:hint="eastAsia" w:ascii="MS UI Gothic" w:eastAsia="MS UI Gothic"/>
          <w:w w:val="80"/>
        </w:rPr>
        <w:t>ꎮ</w:t>
      </w:r>
    </w:p>
    <w:p>
      <w:pPr>
        <w:pStyle w:val="6"/>
        <w:spacing w:before="124" w:line="295" w:lineRule="auto"/>
        <w:ind w:left="383" w:right="124"/>
        <w:rPr>
          <w:rFonts w:hint="eastAsia" w:ascii="MS UI Gothic" w:eastAsia="MS UI Gothic"/>
        </w:rPr>
      </w:pPr>
      <w:r>
        <w:br w:type="column"/>
      </w:r>
      <w:r>
        <w:t>对于需要主动公开的信息</w:t>
      </w:r>
      <w:r>
        <w:rPr>
          <w:rFonts w:hint="eastAsia" w:ascii="MS UI Gothic" w:eastAsia="MS UI Gothic"/>
          <w:w w:val="85"/>
        </w:rPr>
        <w:t xml:space="preserve">ꎬ </w:t>
      </w:r>
      <w:r>
        <w:t xml:space="preserve">安全生产监管监察部门应当自该信息形成或者变更之日起 </w:t>
      </w:r>
      <w:r>
        <w:rPr>
          <w:rFonts w:hint="eastAsia" w:ascii="MS UI Gothic" w:eastAsia="MS UI Gothic"/>
          <w:w w:val="85"/>
        </w:rPr>
        <w:t xml:space="preserve">２０ </w:t>
      </w:r>
      <w:r>
        <w:t>个工作日内予以公开</w:t>
      </w:r>
      <w:r>
        <w:rPr>
          <w:rFonts w:hint="eastAsia" w:ascii="MS UI Gothic" w:eastAsia="MS UI Gothic"/>
          <w:w w:val="85"/>
        </w:rPr>
        <w:t xml:space="preserve">ꎮ </w:t>
      </w:r>
      <w:r>
        <w:t>法律</w:t>
      </w:r>
      <w:r>
        <w:rPr>
          <w:rFonts w:hint="eastAsia" w:ascii="MS UI Gothic" w:eastAsia="MS UI Gothic"/>
        </w:rPr>
        <w:t>、</w:t>
      </w:r>
      <w:r>
        <w:t>法规对公开期限另有规定的</w:t>
      </w:r>
      <w:r>
        <w:rPr>
          <w:rFonts w:hint="eastAsia" w:ascii="MS UI Gothic" w:eastAsia="MS UI Gothic"/>
          <w:w w:val="85"/>
        </w:rPr>
        <w:t xml:space="preserve">ꎬ </w:t>
      </w:r>
      <w:r>
        <w:t>从其规定</w:t>
      </w:r>
      <w:r>
        <w:rPr>
          <w:rFonts w:hint="eastAsia" w:ascii="MS UI Gothic" w:eastAsia="MS UI Gothic"/>
          <w:w w:val="85"/>
        </w:rPr>
        <w:t>ꎮ</w:t>
      </w:r>
    </w:p>
    <w:p>
      <w:pPr>
        <w:pStyle w:val="6"/>
        <w:spacing w:line="295" w:lineRule="auto"/>
        <w:ind w:left="383" w:right="126"/>
        <w:rPr>
          <w:rFonts w:hint="eastAsia" w:ascii="MS UI Gothic" w:hAnsi="MS UI Gothic" w:eastAsia="MS UI Gothic"/>
        </w:rPr>
      </w:pPr>
      <w:r>
        <w:t>第十六条 公民</w:t>
      </w:r>
      <w:r>
        <w:rPr>
          <w:rFonts w:hint="eastAsia" w:ascii="MS UI Gothic" w:hAnsi="MS UI Gothic" w:eastAsia="MS UI Gothic"/>
          <w:w w:val="80"/>
        </w:rPr>
        <w:t xml:space="preserve">、 </w:t>
      </w:r>
      <w:r>
        <w:t>法人或者其他组织依照本办法第十一条的规定申请获取信息的</w:t>
      </w:r>
      <w:r>
        <w:rPr>
          <w:rFonts w:hint="eastAsia" w:ascii="MS UI Gothic" w:hAnsi="MS UI Gothic" w:eastAsia="MS UI Gothic"/>
          <w:w w:val="80"/>
        </w:rPr>
        <w:t xml:space="preserve">ꎬ </w:t>
      </w:r>
      <w:r>
        <w:t xml:space="preserve">应当按照 </w:t>
      </w:r>
      <w:r>
        <w:rPr>
          <w:rFonts w:hint="eastAsia" w:ascii="MS UI Gothic" w:hAnsi="MS UI Gothic" w:eastAsia="MS UI Gothic"/>
        </w:rPr>
        <w:t xml:space="preserve">“ </w:t>
      </w:r>
      <w:r>
        <w:t>一事一申请</w:t>
      </w:r>
      <w:r>
        <w:rPr>
          <w:rFonts w:hint="eastAsia" w:ascii="MS UI Gothic" w:hAnsi="MS UI Gothic" w:eastAsia="MS UI Gothic"/>
        </w:rPr>
        <w:t xml:space="preserve">” </w:t>
      </w:r>
      <w:r>
        <w:t xml:space="preserve">的原则填写 </w:t>
      </w:r>
      <w:r>
        <w:rPr>
          <w:rFonts w:hint="eastAsia" w:ascii="MS UI Gothic" w:hAnsi="MS UI Gothic" w:eastAsia="MS UI Gothic"/>
          <w:w w:val="80"/>
        </w:rPr>
        <w:t xml:space="preserve">« </w:t>
      </w:r>
      <w:r>
        <w:t>信息公开申请表</w:t>
      </w:r>
      <w:r>
        <w:rPr>
          <w:rFonts w:hint="eastAsia" w:ascii="MS UI Gothic" w:hAnsi="MS UI Gothic" w:eastAsia="MS UI Gothic"/>
          <w:w w:val="80"/>
        </w:rPr>
        <w:t xml:space="preserve">» ꎬ </w:t>
      </w:r>
      <w:r>
        <w:t>向安全生产监管监察部门提出申请</w:t>
      </w:r>
      <w:r>
        <w:rPr>
          <w:rFonts w:hint="eastAsia" w:ascii="MS UI Gothic" w:hAnsi="MS UI Gothic" w:eastAsia="MS UI Gothic"/>
          <w:w w:val="80"/>
        </w:rPr>
        <w:t xml:space="preserve">ꎻ </w:t>
      </w:r>
      <w:r>
        <w:t xml:space="preserve">填写 </w:t>
      </w:r>
      <w:r>
        <w:rPr>
          <w:rFonts w:hint="eastAsia" w:ascii="MS UI Gothic" w:hAnsi="MS UI Gothic" w:eastAsia="MS UI Gothic"/>
          <w:w w:val="80"/>
        </w:rPr>
        <w:t xml:space="preserve">« </w:t>
      </w:r>
      <w:r>
        <w:t>信息公开申请表</w:t>
      </w:r>
      <w:r>
        <w:rPr>
          <w:rFonts w:hint="eastAsia" w:ascii="MS UI Gothic" w:hAnsi="MS UI Gothic" w:eastAsia="MS UI Gothic"/>
          <w:w w:val="80"/>
        </w:rPr>
        <w:t xml:space="preserve">» </w:t>
      </w:r>
      <w:r>
        <w:t>确有困难的</w:t>
      </w:r>
      <w:r>
        <w:rPr>
          <w:rFonts w:hint="eastAsia" w:ascii="MS UI Gothic" w:hAnsi="MS UI Gothic" w:eastAsia="MS UI Gothic"/>
          <w:w w:val="80"/>
        </w:rPr>
        <w:t xml:space="preserve">ꎬ </w:t>
      </w:r>
      <w:r>
        <w:t>申请人可以口头提出</w:t>
      </w:r>
      <w:r>
        <w:rPr>
          <w:rFonts w:hint="eastAsia" w:ascii="MS UI Gothic" w:hAnsi="MS UI Gothic" w:eastAsia="MS UI Gothic"/>
          <w:w w:val="80"/>
        </w:rPr>
        <w:t xml:space="preserve">ꎬ </w:t>
      </w:r>
      <w:r>
        <w:t>由受理该申请的安全生产监管监察部门代为填写</w:t>
      </w:r>
      <w:r>
        <w:rPr>
          <w:rFonts w:hint="eastAsia" w:ascii="MS UI Gothic" w:hAnsi="MS UI Gothic" w:eastAsia="MS UI Gothic"/>
          <w:w w:val="80"/>
        </w:rPr>
        <w:t xml:space="preserve">ꎬ </w:t>
      </w:r>
      <w:r>
        <w:t>申请人签字确认</w:t>
      </w:r>
      <w:r>
        <w:rPr>
          <w:rFonts w:hint="eastAsia" w:ascii="MS UI Gothic" w:hAnsi="MS UI Gothic" w:eastAsia="MS UI Gothic"/>
          <w:w w:val="80"/>
        </w:rPr>
        <w:t>ꎮ</w:t>
      </w:r>
    </w:p>
    <w:p>
      <w:pPr>
        <w:pStyle w:val="6"/>
        <w:spacing w:line="295" w:lineRule="auto"/>
        <w:ind w:left="383" w:right="126"/>
        <w:rPr>
          <w:rFonts w:hint="eastAsia" w:ascii="MS UI Gothic" w:hAnsi="MS UI Gothic" w:eastAsia="MS UI Gothic"/>
        </w:rPr>
      </w:pPr>
      <w:r>
        <w:t xml:space="preserve">第十七条 安全生产监管监察部门收到 </w:t>
      </w:r>
      <w:r>
        <w:rPr>
          <w:rFonts w:hint="eastAsia" w:ascii="MS UI Gothic" w:hAnsi="MS UI Gothic" w:eastAsia="MS UI Gothic"/>
          <w:w w:val="80"/>
        </w:rPr>
        <w:t xml:space="preserve">« </w:t>
      </w:r>
      <w:r>
        <w:t>信息公开申请表</w:t>
      </w:r>
      <w:r>
        <w:rPr>
          <w:rFonts w:hint="eastAsia" w:ascii="MS UI Gothic" w:hAnsi="MS UI Gothic" w:eastAsia="MS UI Gothic"/>
          <w:w w:val="80"/>
        </w:rPr>
        <w:t xml:space="preserve">» </w:t>
      </w:r>
      <w:r>
        <w:t>后</w:t>
      </w:r>
      <w:r>
        <w:rPr>
          <w:rFonts w:hint="eastAsia" w:ascii="MS UI Gothic" w:hAnsi="MS UI Gothic" w:eastAsia="MS UI Gothic"/>
          <w:w w:val="80"/>
        </w:rPr>
        <w:t xml:space="preserve">ꎬ </w:t>
      </w:r>
      <w:r>
        <w:t>负责信息公开的专门机构应当进行审查</w:t>
      </w:r>
      <w:r>
        <w:rPr>
          <w:rFonts w:hint="eastAsia" w:ascii="MS UI Gothic" w:hAnsi="MS UI Gothic" w:eastAsia="MS UI Gothic"/>
          <w:w w:val="80"/>
        </w:rPr>
        <w:t xml:space="preserve">ꎬ </w:t>
      </w:r>
      <w:r>
        <w:t>符合要求的</w:t>
      </w:r>
      <w:r>
        <w:rPr>
          <w:rFonts w:hint="eastAsia" w:ascii="MS UI Gothic" w:hAnsi="MS UI Gothic" w:eastAsia="MS UI Gothic"/>
          <w:w w:val="80"/>
        </w:rPr>
        <w:t xml:space="preserve">ꎬ </w:t>
      </w:r>
      <w:r>
        <w:t>予以受理</w:t>
      </w:r>
      <w:r>
        <w:rPr>
          <w:rFonts w:hint="eastAsia" w:ascii="MS UI Gothic" w:hAnsi="MS UI Gothic" w:eastAsia="MS UI Gothic"/>
          <w:w w:val="80"/>
        </w:rPr>
        <w:t xml:space="preserve">ꎬ </w:t>
      </w:r>
      <w:r>
        <w:t xml:space="preserve">并在收到 </w:t>
      </w:r>
      <w:r>
        <w:rPr>
          <w:rFonts w:hint="eastAsia" w:ascii="MS UI Gothic" w:hAnsi="MS UI Gothic" w:eastAsia="MS UI Gothic"/>
          <w:w w:val="80"/>
        </w:rPr>
        <w:t xml:space="preserve">« </w:t>
      </w:r>
      <w:r>
        <w:t>信息公开申请表</w:t>
      </w:r>
      <w:r>
        <w:rPr>
          <w:rFonts w:hint="eastAsia" w:ascii="MS UI Gothic" w:hAnsi="MS UI Gothic" w:eastAsia="MS UI Gothic"/>
          <w:w w:val="80"/>
        </w:rPr>
        <w:t xml:space="preserve">» </w:t>
      </w:r>
      <w:r>
        <w:t xml:space="preserve">之日起 </w:t>
      </w:r>
      <w:r>
        <w:rPr>
          <w:rFonts w:hint="eastAsia" w:ascii="MS UI Gothic" w:hAnsi="MS UI Gothic" w:eastAsia="MS UI Gothic"/>
          <w:w w:val="80"/>
        </w:rPr>
        <w:t xml:space="preserve">３ </w:t>
      </w:r>
      <w:r>
        <w:t>个工作日内向申请人出具申请登记回执</w:t>
      </w:r>
      <w:r>
        <w:rPr>
          <w:rFonts w:hint="eastAsia" w:ascii="MS UI Gothic" w:hAnsi="MS UI Gothic" w:eastAsia="MS UI Gothic"/>
          <w:w w:val="80"/>
        </w:rPr>
        <w:t xml:space="preserve">ꎻ </w:t>
      </w:r>
      <w:r>
        <w:t>不予受理的</w:t>
      </w:r>
      <w:r>
        <w:rPr>
          <w:rFonts w:hint="eastAsia" w:ascii="MS UI Gothic" w:hAnsi="MS UI Gothic" w:eastAsia="MS UI Gothic"/>
          <w:w w:val="80"/>
        </w:rPr>
        <w:t xml:space="preserve">ꎬ </w:t>
      </w:r>
      <w:r>
        <w:t>应当书面告知申请人不予受理的理由</w:t>
      </w:r>
      <w:r>
        <w:rPr>
          <w:rFonts w:hint="eastAsia" w:ascii="MS UI Gothic" w:hAnsi="MS UI Gothic" w:eastAsia="MS UI Gothic"/>
          <w:w w:val="80"/>
        </w:rPr>
        <w:t>ꎮ</w:t>
      </w:r>
    </w:p>
    <w:p>
      <w:pPr>
        <w:pStyle w:val="6"/>
        <w:spacing w:line="295" w:lineRule="auto"/>
        <w:ind w:left="383" w:right="126"/>
        <w:rPr>
          <w:rFonts w:hint="eastAsia" w:ascii="MS UI Gothic" w:eastAsia="MS UI Gothic"/>
        </w:rPr>
      </w:pPr>
      <w:r>
        <w:t>第十八条 安全生产监管监察部门受理信息公开申请后</w:t>
      </w:r>
      <w:r>
        <w:rPr>
          <w:rFonts w:hint="eastAsia" w:ascii="MS UI Gothic" w:eastAsia="MS UI Gothic"/>
          <w:w w:val="80"/>
        </w:rPr>
        <w:t xml:space="preserve">ꎬ </w:t>
      </w:r>
      <w:r>
        <w:t>负责信息公开的专门机构能够当场答复的</w:t>
      </w:r>
      <w:r>
        <w:rPr>
          <w:rFonts w:hint="eastAsia" w:ascii="MS UI Gothic" w:eastAsia="MS UI Gothic"/>
          <w:w w:val="80"/>
        </w:rPr>
        <w:t xml:space="preserve">ꎬ </w:t>
      </w:r>
      <w:r>
        <w:t>应当当场答复</w:t>
      </w:r>
      <w:r>
        <w:rPr>
          <w:rFonts w:hint="eastAsia" w:ascii="MS UI Gothic" w:eastAsia="MS UI Gothic"/>
          <w:w w:val="80"/>
        </w:rPr>
        <w:t xml:space="preserve">ꎻ </w:t>
      </w:r>
      <w:r>
        <w:t>不能够当场答复的</w:t>
      </w:r>
      <w:r>
        <w:rPr>
          <w:rFonts w:hint="eastAsia" w:ascii="MS UI Gothic" w:eastAsia="MS UI Gothic"/>
          <w:w w:val="80"/>
        </w:rPr>
        <w:t xml:space="preserve">ꎬ </w:t>
      </w:r>
      <w:r>
        <w:t>应当及时转送本部门相关内设机构办理</w:t>
      </w:r>
      <w:r>
        <w:rPr>
          <w:rFonts w:hint="eastAsia" w:ascii="MS UI Gothic" w:eastAsia="MS UI Gothic"/>
          <w:w w:val="80"/>
        </w:rPr>
        <w:t>ꎮ</w:t>
      </w:r>
    </w:p>
    <w:p>
      <w:pPr>
        <w:pStyle w:val="6"/>
        <w:spacing w:line="295" w:lineRule="auto"/>
        <w:ind w:left="383" w:right="126"/>
        <w:rPr>
          <w:rFonts w:hint="eastAsia" w:ascii="MS UI Gothic" w:hAnsi="MS UI Gothic" w:eastAsia="MS UI Gothic"/>
        </w:rPr>
      </w:pPr>
      <w:r>
        <w:t>安全生产监管监察部门受理的信息公开申请</w:t>
      </w:r>
      <w:r>
        <w:rPr>
          <w:rFonts w:hint="eastAsia" w:ascii="MS UI Gothic" w:hAnsi="MS UI Gothic" w:eastAsia="MS UI Gothic"/>
          <w:w w:val="85"/>
        </w:rPr>
        <w:t xml:space="preserve">ꎬ </w:t>
      </w:r>
      <w:r>
        <w:t xml:space="preserve">应当自收到 </w:t>
      </w:r>
      <w:r>
        <w:rPr>
          <w:rFonts w:hint="eastAsia" w:ascii="MS UI Gothic" w:hAnsi="MS UI Gothic" w:eastAsia="MS UI Gothic"/>
          <w:w w:val="85"/>
        </w:rPr>
        <w:t xml:space="preserve">« </w:t>
      </w:r>
      <w:r>
        <w:t>信息公开申请表</w:t>
      </w:r>
      <w:r>
        <w:rPr>
          <w:rFonts w:hint="eastAsia" w:ascii="MS UI Gothic" w:hAnsi="MS UI Gothic" w:eastAsia="MS UI Gothic"/>
          <w:w w:val="85"/>
        </w:rPr>
        <w:t xml:space="preserve">» </w:t>
      </w:r>
      <w:r>
        <w:t xml:space="preserve">之日起 </w:t>
      </w:r>
      <w:r>
        <w:rPr>
          <w:rFonts w:hint="eastAsia" w:ascii="MS UI Gothic" w:hAnsi="MS UI Gothic" w:eastAsia="MS UI Gothic"/>
          <w:w w:val="85"/>
        </w:rPr>
        <w:t xml:space="preserve">１５ </w:t>
      </w:r>
      <w:r>
        <w:t>个工作日内按照本办法第十九条的规定予以答复</w:t>
      </w:r>
      <w:r>
        <w:rPr>
          <w:rFonts w:hint="eastAsia" w:ascii="MS UI Gothic" w:hAnsi="MS UI Gothic" w:eastAsia="MS UI Gothic"/>
          <w:w w:val="85"/>
        </w:rPr>
        <w:t xml:space="preserve">ꎻ </w:t>
      </w:r>
      <w:r>
        <w:t xml:space="preserve">不能在 </w:t>
      </w:r>
      <w:r>
        <w:rPr>
          <w:rFonts w:hint="eastAsia" w:ascii="MS UI Gothic" w:hAnsi="MS UI Gothic" w:eastAsia="MS UI Gothic"/>
          <w:w w:val="85"/>
        </w:rPr>
        <w:t xml:space="preserve">１５ </w:t>
      </w:r>
      <w:r>
        <w:t>个工作日内作出答复的</w:t>
      </w:r>
      <w:r>
        <w:rPr>
          <w:rFonts w:hint="eastAsia" w:ascii="MS UI Gothic" w:hAnsi="MS UI Gothic" w:eastAsia="MS UI Gothic"/>
          <w:w w:val="85"/>
        </w:rPr>
        <w:t xml:space="preserve">ꎬ </w:t>
      </w:r>
      <w:r>
        <w:t>经本部门负责信息公开的专门机构负责人同意</w:t>
      </w:r>
      <w:r>
        <w:rPr>
          <w:rFonts w:hint="eastAsia" w:ascii="MS UI Gothic" w:hAnsi="MS UI Gothic" w:eastAsia="MS UI Gothic"/>
          <w:w w:val="85"/>
        </w:rPr>
        <w:t xml:space="preserve">ꎬ </w:t>
      </w:r>
      <w:r>
        <w:t>可以适当延长答复期限</w:t>
      </w:r>
      <w:r>
        <w:rPr>
          <w:rFonts w:hint="eastAsia" w:ascii="MS UI Gothic" w:hAnsi="MS UI Gothic" w:eastAsia="MS UI Gothic"/>
          <w:w w:val="85"/>
        </w:rPr>
        <w:t xml:space="preserve">ꎬ </w:t>
      </w:r>
      <w:r>
        <w:t>并书面告知申请人</w:t>
      </w:r>
      <w:r>
        <w:rPr>
          <w:rFonts w:hint="eastAsia" w:ascii="MS UI Gothic" w:hAnsi="MS UI Gothic" w:eastAsia="MS UI Gothic"/>
          <w:w w:val="85"/>
        </w:rPr>
        <w:t xml:space="preserve">ꎬ </w:t>
      </w:r>
      <w:r>
        <w:t xml:space="preserve">延长答复的期限最长不得超过 </w:t>
      </w:r>
      <w:r>
        <w:rPr>
          <w:rFonts w:hint="eastAsia" w:ascii="MS UI Gothic" w:hAnsi="MS UI Gothic" w:eastAsia="MS UI Gothic"/>
          <w:w w:val="85"/>
        </w:rPr>
        <w:t xml:space="preserve">１５ </w:t>
      </w:r>
      <w:r>
        <w:t>个工作日</w:t>
      </w:r>
      <w:r>
        <w:rPr>
          <w:rFonts w:hint="eastAsia" w:ascii="MS UI Gothic" w:hAnsi="MS UI Gothic" w:eastAsia="MS UI Gothic"/>
          <w:w w:val="85"/>
        </w:rPr>
        <w:t>ꎮ</w:t>
      </w:r>
    </w:p>
    <w:p>
      <w:pPr>
        <w:pStyle w:val="6"/>
        <w:spacing w:line="295" w:lineRule="auto"/>
        <w:ind w:left="383" w:right="124"/>
        <w:rPr>
          <w:rFonts w:hint="eastAsia" w:ascii="MS UI Gothic" w:eastAsia="MS UI Gothic"/>
        </w:rPr>
      </w:pPr>
      <w:r>
        <w:t>申请获取的信息涉及第三方权益的</w:t>
      </w:r>
      <w:r>
        <w:rPr>
          <w:rFonts w:hint="eastAsia" w:ascii="MS UI Gothic" w:eastAsia="MS UI Gothic"/>
          <w:w w:val="80"/>
        </w:rPr>
        <w:t>ꎬ</w:t>
      </w:r>
      <w:r>
        <w:t>受理申请的安全生产监管监察部门征求第三方意见所需时间不计算在前款规定的期</w:t>
      </w:r>
      <w:r>
        <w:rPr>
          <w:w w:val="105"/>
        </w:rPr>
        <w:t>限内</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第十九条 对于已经受理的信息公开</w:t>
      </w:r>
      <w:r>
        <w:t>申请</w:t>
      </w:r>
      <w:r>
        <w:rPr>
          <w:rFonts w:hint="eastAsia" w:ascii="MS UI Gothic" w:eastAsia="MS UI Gothic"/>
          <w:w w:val="80"/>
        </w:rPr>
        <w:t xml:space="preserve">ꎬ </w:t>
      </w:r>
      <w:r>
        <w:t>安全生产监管监察部门应当根据下</w:t>
      </w:r>
      <w:r>
        <w:rPr>
          <w:w w:val="105"/>
        </w:rPr>
        <w:t>列情况分别予以答复</w:t>
      </w:r>
      <w:r>
        <w:rPr>
          <w:rFonts w:hint="eastAsia" w:ascii="MS UI Gothic" w:eastAsia="MS UI Gothic"/>
          <w:w w:val="235"/>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１５２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00" o:spid="_x0000_s1500" o:spt="203" style="height:2.15pt;width:398.25pt;" coordsize="7965,43">
            <o:lock v:ext="edit"/>
            <v:line id="_x0000_s1501" o:spid="_x0000_s1501" o:spt="20" style="position:absolute;left:0;top:39;height:0;width:7965;" stroked="t" coordsize="21600,21600">
              <v:path arrowok="t"/>
              <v:fill focussize="0,0"/>
              <v:stroke weight="0.388031496062992pt" color="#231F20"/>
              <v:imagedata o:title=""/>
              <o:lock v:ext="edit"/>
            </v:line>
            <v:line id="_x0000_s1502" o:spid="_x0000_s150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spacing w:val="-41"/>
          <w:w w:val="150"/>
        </w:rPr>
        <w:t xml:space="preserve">( </w:t>
      </w:r>
      <w:r>
        <w:rPr>
          <w:spacing w:val="7"/>
          <w:w w:val="105"/>
        </w:rPr>
        <w:t>一</w:t>
      </w:r>
      <w:r>
        <w:rPr>
          <w:rFonts w:hint="eastAsia" w:ascii="MS UI Gothic" w:eastAsia="MS UI Gothic"/>
          <w:spacing w:val="-15"/>
          <w:w w:val="150"/>
        </w:rPr>
        <w:t xml:space="preserve">) </w:t>
      </w:r>
      <w:r>
        <w:rPr>
          <w:spacing w:val="15"/>
          <w:w w:val="105"/>
        </w:rPr>
        <w:t>属于本部门信息公开范围的</w:t>
      </w:r>
      <w:r>
        <w:rPr>
          <w:rFonts w:hint="eastAsia" w:ascii="MS UI Gothic" w:eastAsia="MS UI Gothic"/>
          <w:w w:val="80"/>
        </w:rPr>
        <w:t>ꎬ</w:t>
      </w:r>
      <w:r>
        <w:rPr>
          <w:spacing w:val="4"/>
        </w:rPr>
        <w:t>应当书面告知申请人获取该信息的方式</w:t>
      </w:r>
      <w:r>
        <w:rPr>
          <w:rFonts w:hint="eastAsia" w:ascii="MS UI Gothic" w:eastAsia="MS UI Gothic"/>
          <w:w w:val="80"/>
        </w:rPr>
        <w:t>、</w:t>
      </w:r>
      <w:r>
        <w:rPr>
          <w:spacing w:val="3"/>
          <w:w w:val="105"/>
        </w:rPr>
        <w:t>途径</w:t>
      </w:r>
      <w:r>
        <w:rPr>
          <w:rFonts w:hint="eastAsia" w:ascii="MS UI Gothic" w:eastAsia="MS UI Gothic"/>
          <w:spacing w:val="6"/>
          <w:w w:val="80"/>
        </w:rPr>
        <w:t xml:space="preserve">ꎬ </w:t>
      </w:r>
      <w:r>
        <w:rPr>
          <w:spacing w:val="3"/>
          <w:w w:val="105"/>
        </w:rPr>
        <w:t>或者直接向申请人提供该信息</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4"/>
          <w:w w:val="150"/>
        </w:rPr>
        <w:t xml:space="preserve">) </w:t>
      </w:r>
      <w:r>
        <w:rPr>
          <w:spacing w:val="5"/>
          <w:w w:val="105"/>
        </w:rPr>
        <w:t>属于不予公开范围的</w:t>
      </w:r>
      <w:r>
        <w:rPr>
          <w:rFonts w:hint="eastAsia" w:ascii="MS UI Gothic" w:eastAsia="MS UI Gothic"/>
          <w:spacing w:val="13"/>
          <w:w w:val="80"/>
        </w:rPr>
        <w:t xml:space="preserve">ꎬ </w:t>
      </w:r>
      <w:r>
        <w:rPr>
          <w:spacing w:val="7"/>
          <w:w w:val="105"/>
        </w:rPr>
        <w:t>应当书</w:t>
      </w:r>
      <w:r>
        <w:rPr>
          <w:spacing w:val="3"/>
          <w:w w:val="105"/>
        </w:rPr>
        <w:t>面告知申请人不予公开的理由</w:t>
      </w:r>
      <w:r>
        <w:rPr>
          <w:rFonts w:hint="eastAsia" w:ascii="MS UI Gothic" w:eastAsia="MS UI Gothic"/>
          <w:spacing w:val="13"/>
          <w:w w:val="80"/>
        </w:rPr>
        <w:t xml:space="preserve">、 </w:t>
      </w:r>
      <w:r>
        <w:rPr>
          <w:spacing w:val="3"/>
          <w:w w:val="105"/>
        </w:rPr>
        <w:t>依据</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依法不属于本部门职能范围或</w:t>
      </w:r>
      <w:r>
        <w:t>者信息不存在的</w:t>
      </w:r>
      <w:r>
        <w:rPr>
          <w:rFonts w:hint="eastAsia" w:ascii="MS UI Gothic" w:eastAsia="MS UI Gothic"/>
          <w:w w:val="80"/>
        </w:rPr>
        <w:t xml:space="preserve">ꎬ </w:t>
      </w:r>
      <w:r>
        <w:t>应当书面告知申请人</w:t>
      </w:r>
      <w:r>
        <w:rPr>
          <w:rFonts w:hint="eastAsia" w:ascii="MS UI Gothic" w:eastAsia="MS UI Gothic"/>
          <w:w w:val="80"/>
        </w:rPr>
        <w:t>ꎬ</w:t>
      </w:r>
      <w:r>
        <w:t>对能够确定该信息的公开机关的</w:t>
      </w:r>
      <w:r>
        <w:rPr>
          <w:rFonts w:hint="eastAsia" w:ascii="MS UI Gothic" w:eastAsia="MS UI Gothic"/>
          <w:w w:val="80"/>
        </w:rPr>
        <w:t xml:space="preserve">ꎬ </w:t>
      </w:r>
      <w:r>
        <w:t>应当告知申请人该行政机关的名称和联系方式</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申请内容不明确的</w:t>
      </w:r>
      <w:r>
        <w:rPr>
          <w:rFonts w:hint="eastAsia" w:ascii="MS UI Gothic" w:eastAsia="MS UI Gothic"/>
          <w:w w:val="80"/>
        </w:rPr>
        <w:t xml:space="preserve">ꎬ </w:t>
      </w:r>
      <w:r>
        <w:rPr>
          <w:w w:val="105"/>
        </w:rPr>
        <w:t>应当书面告知申请人作出更改</w:t>
      </w:r>
      <w:r>
        <w:rPr>
          <w:rFonts w:hint="eastAsia" w:ascii="MS UI Gothic" w:eastAsia="MS UI Gothic"/>
          <w:w w:val="80"/>
        </w:rPr>
        <w:t xml:space="preserve">、 </w:t>
      </w:r>
      <w:r>
        <w:rPr>
          <w:w w:val="105"/>
        </w:rPr>
        <w:t>补充</w:t>
      </w:r>
      <w:r>
        <w:rPr>
          <w:rFonts w:hint="eastAsia" w:ascii="MS UI Gothic" w:eastAsia="MS UI Gothic"/>
          <w:w w:val="80"/>
        </w:rPr>
        <w:t>ꎮ</w:t>
      </w:r>
    </w:p>
    <w:p>
      <w:pPr>
        <w:pStyle w:val="6"/>
        <w:spacing w:line="295" w:lineRule="auto"/>
        <w:ind w:right="39"/>
        <w:rPr>
          <w:rFonts w:hint="eastAsia" w:ascii="MS UI Gothic" w:eastAsia="MS UI Gothic"/>
        </w:rPr>
      </w:pPr>
      <w:r>
        <w:t>申请获取的信息中含有不应当公开的内容</w:t>
      </w:r>
      <w:r>
        <w:rPr>
          <w:rFonts w:hint="eastAsia" w:ascii="MS UI Gothic" w:eastAsia="MS UI Gothic"/>
          <w:w w:val="80"/>
        </w:rPr>
        <w:t xml:space="preserve">ꎬ </w:t>
      </w:r>
      <w:r>
        <w:t>但是能够作区分处理的</w:t>
      </w:r>
      <w:r>
        <w:rPr>
          <w:rFonts w:hint="eastAsia" w:ascii="MS UI Gothic" w:eastAsia="MS UI Gothic"/>
          <w:w w:val="80"/>
        </w:rPr>
        <w:t xml:space="preserve">ꎬ </w:t>
      </w:r>
      <w:r>
        <w:t>安全生产监管监察部门应当向申请人提供可以公开的信息内容</w:t>
      </w:r>
      <w:r>
        <w:rPr>
          <w:rFonts w:hint="eastAsia" w:ascii="MS UI Gothic" w:eastAsia="MS UI Gothic"/>
          <w:w w:val="80"/>
        </w:rPr>
        <w:t>ꎮ</w:t>
      </w:r>
    </w:p>
    <w:p>
      <w:pPr>
        <w:pStyle w:val="6"/>
        <w:spacing w:line="295" w:lineRule="auto"/>
        <w:ind w:right="38"/>
        <w:rPr>
          <w:rFonts w:hint="eastAsia" w:ascii="MS UI Gothic" w:eastAsia="MS UI Gothic"/>
        </w:rPr>
      </w:pPr>
      <w:r>
        <w:t>第二十条 申请获取的信息涉及商业秘密</w:t>
      </w:r>
      <w:r>
        <w:rPr>
          <w:rFonts w:hint="eastAsia" w:ascii="MS UI Gothic" w:eastAsia="MS UI Gothic"/>
          <w:w w:val="80"/>
        </w:rPr>
        <w:t xml:space="preserve">、 </w:t>
      </w:r>
      <w:r>
        <w:t>个人隐私</w:t>
      </w:r>
      <w:r>
        <w:rPr>
          <w:rFonts w:hint="eastAsia" w:ascii="MS UI Gothic" w:eastAsia="MS UI Gothic"/>
          <w:w w:val="80"/>
        </w:rPr>
        <w:t xml:space="preserve">ꎬ </w:t>
      </w:r>
      <w:r>
        <w:t>或者公开后可能损害第三方合法权益的</w:t>
      </w:r>
      <w:r>
        <w:rPr>
          <w:rFonts w:hint="eastAsia" w:ascii="MS UI Gothic" w:eastAsia="MS UI Gothic"/>
          <w:w w:val="80"/>
        </w:rPr>
        <w:t xml:space="preserve">ꎬ </w:t>
      </w:r>
      <w:r>
        <w:t>受理申请的安全生产监管监察部门应当书面征求第三方的意见</w:t>
      </w:r>
      <w:r>
        <w:rPr>
          <w:rFonts w:hint="eastAsia" w:ascii="MS UI Gothic" w:eastAsia="MS UI Gothic"/>
          <w:w w:val="80"/>
        </w:rPr>
        <w:t>ꎮ</w:t>
      </w:r>
      <w:r>
        <w:t>第三方不同意公开的</w:t>
      </w:r>
      <w:r>
        <w:rPr>
          <w:rFonts w:hint="eastAsia" w:ascii="MS UI Gothic" w:eastAsia="MS UI Gothic"/>
          <w:w w:val="80"/>
        </w:rPr>
        <w:t xml:space="preserve">ꎬ </w:t>
      </w:r>
      <w:r>
        <w:t>不得公开</w:t>
      </w:r>
      <w:r>
        <w:rPr>
          <w:rFonts w:hint="eastAsia" w:ascii="MS UI Gothic" w:eastAsia="MS UI Gothic"/>
          <w:w w:val="80"/>
        </w:rPr>
        <w:t xml:space="preserve">ꎻ </w:t>
      </w:r>
      <w:r>
        <w:t>但是</w:t>
      </w:r>
      <w:r>
        <w:rPr>
          <w:rFonts w:hint="eastAsia" w:ascii="MS UI Gothic" w:eastAsia="MS UI Gothic"/>
          <w:w w:val="80"/>
        </w:rPr>
        <w:t>ꎬ</w:t>
      </w:r>
      <w:r>
        <w:t>受理申请的安全生产监管监察部门认为不公开可能对公共利益造成重大影响的</w:t>
      </w:r>
      <w:r>
        <w:rPr>
          <w:rFonts w:hint="eastAsia" w:ascii="MS UI Gothic" w:eastAsia="MS UI Gothic"/>
          <w:w w:val="80"/>
        </w:rPr>
        <w:t xml:space="preserve">ꎬ </w:t>
      </w:r>
      <w:r>
        <w:t>应当予以公开</w:t>
      </w:r>
      <w:r>
        <w:rPr>
          <w:rFonts w:hint="eastAsia" w:ascii="MS UI Gothic" w:eastAsia="MS UI Gothic"/>
          <w:w w:val="80"/>
        </w:rPr>
        <w:t xml:space="preserve">ꎬ </w:t>
      </w:r>
      <w:r>
        <w:t>并将决定公开的信息内容和理由书面通知第三方</w:t>
      </w:r>
      <w:r>
        <w:rPr>
          <w:rFonts w:hint="eastAsia" w:ascii="MS UI Gothic" w:eastAsia="MS UI Gothic"/>
          <w:w w:val="80"/>
        </w:rPr>
        <w:t>ꎮ</w:t>
      </w:r>
    </w:p>
    <w:p>
      <w:pPr>
        <w:pStyle w:val="6"/>
        <w:spacing w:line="295" w:lineRule="auto"/>
        <w:ind w:right="38"/>
        <w:rPr>
          <w:rFonts w:hint="eastAsia" w:ascii="MS UI Gothic" w:eastAsia="MS UI Gothic"/>
        </w:rPr>
      </w:pPr>
      <w:r>
        <w:t>第二十一条 公民</w:t>
      </w:r>
      <w:r>
        <w:rPr>
          <w:rFonts w:hint="eastAsia" w:ascii="MS UI Gothic" w:eastAsia="MS UI Gothic"/>
          <w:w w:val="80"/>
        </w:rPr>
        <w:t xml:space="preserve">、 </w:t>
      </w:r>
      <w:r>
        <w:t>法人和其他组织有证据证明与其自身相关的信息不准确的</w:t>
      </w:r>
      <w:r>
        <w:rPr>
          <w:rFonts w:hint="eastAsia" w:ascii="MS UI Gothic" w:eastAsia="MS UI Gothic"/>
          <w:w w:val="80"/>
        </w:rPr>
        <w:t xml:space="preserve">ꎬ </w:t>
      </w:r>
      <w:r>
        <w:t>有权要求更正</w:t>
      </w:r>
      <w:r>
        <w:rPr>
          <w:rFonts w:hint="eastAsia" w:ascii="MS UI Gothic" w:eastAsia="MS UI Gothic"/>
          <w:w w:val="80"/>
        </w:rPr>
        <w:t xml:space="preserve">ꎮ </w:t>
      </w:r>
      <w:r>
        <w:t>受理申请的安全生产监管监察部门经核实后</w:t>
      </w:r>
      <w:r>
        <w:rPr>
          <w:rFonts w:hint="eastAsia" w:ascii="MS UI Gothic" w:eastAsia="MS UI Gothic"/>
          <w:w w:val="80"/>
        </w:rPr>
        <w:t xml:space="preserve">ꎬ </w:t>
      </w:r>
      <w:r>
        <w:t>应当予以更正</w:t>
      </w:r>
      <w:r>
        <w:rPr>
          <w:rFonts w:hint="eastAsia" w:ascii="MS UI Gothic" w:eastAsia="MS UI Gothic"/>
          <w:w w:val="80"/>
        </w:rPr>
        <w:t>ꎬ</w:t>
      </w:r>
      <w:r>
        <w:t>并将更正后的信息书面告知申请人</w:t>
      </w:r>
      <w:r>
        <w:rPr>
          <w:rFonts w:hint="eastAsia" w:ascii="MS UI Gothic" w:eastAsia="MS UI Gothic"/>
          <w:w w:val="80"/>
        </w:rPr>
        <w:t xml:space="preserve">ꎻ </w:t>
      </w:r>
      <w:r>
        <w:t>无权更正的</w:t>
      </w:r>
      <w:r>
        <w:rPr>
          <w:rFonts w:hint="eastAsia" w:ascii="MS UI Gothic" w:eastAsia="MS UI Gothic"/>
          <w:w w:val="80"/>
        </w:rPr>
        <w:t xml:space="preserve">ꎬ </w:t>
      </w:r>
      <w:r>
        <w:t>应当转送有权更正的部门或者其他行政机关处理</w:t>
      </w:r>
      <w:r>
        <w:rPr>
          <w:rFonts w:hint="eastAsia" w:ascii="MS UI Gothic" w:eastAsia="MS UI Gothic"/>
          <w:w w:val="80"/>
        </w:rPr>
        <w:t xml:space="preserve">ꎬ </w:t>
      </w:r>
      <w:r>
        <w:t>并告知申请人</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第二十二条 对于依申请公开的信</w:t>
      </w:r>
      <w:r>
        <w:t>息</w:t>
      </w:r>
      <w:r>
        <w:rPr>
          <w:rFonts w:hint="eastAsia" w:ascii="MS UI Gothic" w:eastAsia="MS UI Gothic"/>
          <w:w w:val="80"/>
        </w:rPr>
        <w:t xml:space="preserve">ꎬ </w:t>
      </w:r>
      <w:r>
        <w:t>安全生产监管监察部门应当按照申请人要求的形式予以提供</w:t>
      </w:r>
      <w:r>
        <w:rPr>
          <w:rFonts w:hint="eastAsia" w:ascii="MS UI Gothic" w:eastAsia="MS UI Gothic"/>
          <w:w w:val="80"/>
        </w:rPr>
        <w:t xml:space="preserve">ꎻ </w:t>
      </w:r>
      <w:r>
        <w:t>无法按照申请人要求的形式提供的</w:t>
      </w:r>
      <w:r>
        <w:rPr>
          <w:rFonts w:hint="eastAsia" w:ascii="MS UI Gothic" w:eastAsia="MS UI Gothic"/>
          <w:w w:val="80"/>
        </w:rPr>
        <w:t xml:space="preserve">ꎬ </w:t>
      </w:r>
      <w:r>
        <w:t>可以通过安排申请人</w:t>
      </w:r>
      <w:r>
        <w:rPr>
          <w:w w:val="105"/>
        </w:rPr>
        <w:t>查阅相关资料</w:t>
      </w:r>
      <w:r>
        <w:rPr>
          <w:rFonts w:hint="eastAsia" w:ascii="MS UI Gothic" w:eastAsia="MS UI Gothic"/>
          <w:w w:val="80"/>
        </w:rPr>
        <w:t xml:space="preserve">、 </w:t>
      </w:r>
      <w:r>
        <w:rPr>
          <w:w w:val="105"/>
        </w:rPr>
        <w:t>提供复制件或者其他适当的形式提供</w:t>
      </w:r>
      <w:r>
        <w:rPr>
          <w:rFonts w:hint="eastAsia" w:ascii="MS UI Gothic" w:eastAsia="MS UI Gothic"/>
          <w:w w:val="80"/>
        </w:rPr>
        <w:t>ꎮ</w:t>
      </w:r>
    </w:p>
    <w:p>
      <w:pPr>
        <w:pStyle w:val="6"/>
        <w:spacing w:line="295" w:lineRule="auto"/>
        <w:ind w:right="39"/>
      </w:pPr>
      <w:r>
        <w:rPr>
          <w:w w:val="105"/>
        </w:rPr>
        <w:t>第二十三条 安全生产监管监察部门</w:t>
      </w:r>
      <w:r>
        <w:t>依申请提供信息</w:t>
      </w:r>
      <w:r>
        <w:rPr>
          <w:rFonts w:hint="eastAsia" w:ascii="MS UI Gothic" w:eastAsia="MS UI Gothic"/>
          <w:w w:val="80"/>
        </w:rPr>
        <w:t xml:space="preserve">ꎬ </w:t>
      </w:r>
      <w:r>
        <w:t>除可以按照国家规定的</w:t>
      </w:r>
    </w:p>
    <w:p>
      <w:pPr>
        <w:pStyle w:val="6"/>
        <w:spacing w:before="123" w:line="295" w:lineRule="auto"/>
        <w:ind w:right="442" w:firstLine="0"/>
        <w:jc w:val="left"/>
        <w:rPr>
          <w:rFonts w:hint="eastAsia" w:ascii="MS UI Gothic" w:eastAsia="MS UI Gothic"/>
        </w:rPr>
      </w:pPr>
      <w:r>
        <w:br w:type="column"/>
      </w:r>
      <w:r>
        <w:t>标准向申请人收取检索</w:t>
      </w:r>
      <w:r>
        <w:rPr>
          <w:rFonts w:hint="eastAsia" w:ascii="MS UI Gothic" w:eastAsia="MS UI Gothic"/>
          <w:w w:val="80"/>
        </w:rPr>
        <w:t xml:space="preserve">、 </w:t>
      </w:r>
      <w:r>
        <w:t>复制</w:t>
      </w:r>
      <w:r>
        <w:rPr>
          <w:rFonts w:hint="eastAsia" w:ascii="MS UI Gothic" w:eastAsia="MS UI Gothic"/>
          <w:w w:val="80"/>
        </w:rPr>
        <w:t xml:space="preserve">、 </w:t>
      </w:r>
      <w:r>
        <w:t>邮寄等成本费用外</w:t>
      </w:r>
      <w:r>
        <w:rPr>
          <w:rFonts w:hint="eastAsia" w:ascii="MS UI Gothic" w:eastAsia="MS UI Gothic"/>
          <w:w w:val="80"/>
        </w:rPr>
        <w:t xml:space="preserve">ꎬ </w:t>
      </w:r>
      <w:r>
        <w:t>不得收取其他费用</w:t>
      </w:r>
      <w:r>
        <w:rPr>
          <w:rFonts w:hint="eastAsia" w:ascii="MS UI Gothic" w:eastAsia="MS UI Gothic"/>
          <w:w w:val="80"/>
        </w:rPr>
        <w:t>ꎮ</w:t>
      </w:r>
    </w:p>
    <w:p>
      <w:pPr>
        <w:pStyle w:val="6"/>
        <w:spacing w:line="295" w:lineRule="auto"/>
        <w:ind w:right="442"/>
        <w:rPr>
          <w:rFonts w:hint="eastAsia" w:ascii="MS UI Gothic" w:eastAsia="MS UI Gothic"/>
        </w:rPr>
      </w:pPr>
      <w:r>
        <w:t>申请获取信息的公民确有经济困难的</w:t>
      </w:r>
      <w:r>
        <w:rPr>
          <w:rFonts w:hint="eastAsia" w:ascii="MS UI Gothic" w:eastAsia="MS UI Gothic"/>
          <w:w w:val="80"/>
        </w:rPr>
        <w:t xml:space="preserve">ꎬ </w:t>
      </w:r>
      <w:r>
        <w:t>经本人申请</w:t>
      </w:r>
      <w:r>
        <w:rPr>
          <w:rFonts w:hint="eastAsia" w:ascii="MS UI Gothic" w:eastAsia="MS UI Gothic"/>
          <w:w w:val="80"/>
        </w:rPr>
        <w:t xml:space="preserve">、 </w:t>
      </w:r>
      <w:r>
        <w:t>安全生产监管监察部门负责信息公开的专门机构负责人审核同意</w:t>
      </w:r>
      <w:r>
        <w:rPr>
          <w:rFonts w:hint="eastAsia" w:ascii="MS UI Gothic" w:eastAsia="MS UI Gothic"/>
          <w:w w:val="80"/>
        </w:rPr>
        <w:t xml:space="preserve">ꎬ </w:t>
      </w:r>
      <w:r>
        <w:t>可以减免相关费用</w:t>
      </w:r>
      <w:r>
        <w:rPr>
          <w:rFonts w:hint="eastAsia" w:ascii="MS UI Gothic" w:eastAsia="MS UI Gothic"/>
          <w:w w:val="80"/>
        </w:rPr>
        <w:t>ꎮ</w:t>
      </w:r>
    </w:p>
    <w:p>
      <w:pPr>
        <w:pStyle w:val="6"/>
        <w:tabs>
          <w:tab w:val="left" w:pos="1906"/>
        </w:tabs>
        <w:spacing w:before="153"/>
        <w:ind w:left="1067" w:firstLine="0"/>
        <w:jc w:val="left"/>
      </w:pPr>
      <w:r>
        <w:rPr>
          <w:spacing w:val="3"/>
          <w:w w:val="105"/>
        </w:rPr>
        <w:t>第四</w:t>
      </w:r>
      <w:r>
        <w:rPr>
          <w:w w:val="105"/>
        </w:rPr>
        <w:t>章</w:t>
      </w:r>
      <w:r>
        <w:rPr>
          <w:w w:val="105"/>
        </w:rPr>
        <w:tab/>
      </w:r>
      <w:r>
        <w:rPr>
          <w:spacing w:val="3"/>
          <w:w w:val="105"/>
        </w:rPr>
        <w:t>监督与保</w:t>
      </w:r>
      <w:r>
        <w:rPr>
          <w:w w:val="105"/>
        </w:rPr>
        <w:t>障</w:t>
      </w:r>
    </w:p>
    <w:p>
      <w:pPr>
        <w:pStyle w:val="6"/>
        <w:spacing w:before="215" w:line="295" w:lineRule="auto"/>
        <w:ind w:right="442"/>
        <w:rPr>
          <w:rFonts w:hint="eastAsia" w:ascii="MS UI Gothic" w:eastAsia="MS UI Gothic"/>
        </w:rPr>
      </w:pPr>
      <w:r>
        <w:rPr>
          <w:spacing w:val="4"/>
        </w:rPr>
        <w:t>第二十四条 安全生产监管监察部门</w:t>
      </w:r>
      <w:r>
        <w:rPr>
          <w:spacing w:val="3"/>
        </w:rPr>
        <w:t>应当建立健全信息发布保密审查制度</w:t>
      </w:r>
      <w:r>
        <w:rPr>
          <w:rFonts w:hint="eastAsia" w:ascii="MS UI Gothic" w:eastAsia="MS UI Gothic"/>
          <w:spacing w:val="20"/>
          <w:w w:val="80"/>
        </w:rPr>
        <w:t xml:space="preserve">ꎬ </w:t>
      </w:r>
      <w:r>
        <w:t>明</w:t>
      </w:r>
      <w:r>
        <w:rPr>
          <w:spacing w:val="3"/>
        </w:rPr>
        <w:t>确保密审查的人员</w:t>
      </w:r>
      <w:r>
        <w:rPr>
          <w:rFonts w:hint="eastAsia" w:ascii="MS UI Gothic" w:eastAsia="MS UI Gothic"/>
          <w:spacing w:val="7"/>
          <w:w w:val="80"/>
        </w:rPr>
        <w:t xml:space="preserve">、 </w:t>
      </w:r>
      <w:r>
        <w:rPr>
          <w:spacing w:val="3"/>
        </w:rPr>
        <w:t>方法</w:t>
      </w:r>
      <w:r>
        <w:rPr>
          <w:rFonts w:hint="eastAsia" w:ascii="MS UI Gothic" w:eastAsia="MS UI Gothic"/>
          <w:spacing w:val="7"/>
          <w:w w:val="80"/>
        </w:rPr>
        <w:t xml:space="preserve">、 </w:t>
      </w:r>
      <w:r>
        <w:rPr>
          <w:spacing w:val="3"/>
        </w:rPr>
        <w:t>程序和责任</w:t>
      </w:r>
      <w:r>
        <w:rPr>
          <w:rFonts w:hint="eastAsia" w:ascii="MS UI Gothic" w:eastAsia="MS UI Gothic"/>
          <w:w w:val="80"/>
        </w:rPr>
        <w:t>ꎮ</w:t>
      </w:r>
    </w:p>
    <w:p>
      <w:pPr>
        <w:pStyle w:val="6"/>
        <w:spacing w:line="295" w:lineRule="auto"/>
        <w:ind w:right="442"/>
        <w:rPr>
          <w:rFonts w:hint="eastAsia" w:ascii="MS UI Gothic" w:hAnsi="MS UI Gothic" w:eastAsia="MS UI Gothic"/>
        </w:rPr>
      </w:pPr>
      <w:r>
        <w:rPr>
          <w:spacing w:val="13"/>
        </w:rPr>
        <w:t>安全生产监管监察部门在公开信息</w:t>
      </w:r>
      <w:r>
        <w:rPr>
          <w:spacing w:val="3"/>
        </w:rPr>
        <w:t>前</w:t>
      </w:r>
      <w:r>
        <w:rPr>
          <w:rFonts w:hint="eastAsia" w:ascii="MS UI Gothic" w:hAnsi="MS UI Gothic" w:eastAsia="MS UI Gothic"/>
          <w:spacing w:val="8"/>
          <w:w w:val="80"/>
        </w:rPr>
        <w:t xml:space="preserve">ꎬ </w:t>
      </w:r>
      <w:r>
        <w:rPr>
          <w:spacing w:val="10"/>
        </w:rPr>
        <w:t xml:space="preserve">应当依照 </w:t>
      </w:r>
      <w:r>
        <w:rPr>
          <w:rFonts w:hint="eastAsia" w:ascii="MS UI Gothic" w:hAnsi="MS UI Gothic" w:eastAsia="MS UI Gothic"/>
          <w:spacing w:val="-8"/>
          <w:w w:val="80"/>
        </w:rPr>
        <w:t xml:space="preserve">« </w:t>
      </w:r>
      <w:r>
        <w:rPr>
          <w:spacing w:val="18"/>
        </w:rPr>
        <w:t>中华人民共和国保守国</w:t>
      </w:r>
      <w:r>
        <w:rPr>
          <w:spacing w:val="3"/>
        </w:rPr>
        <w:t>家秘密法</w:t>
      </w:r>
      <w:r>
        <w:rPr>
          <w:rFonts w:hint="eastAsia" w:ascii="MS UI Gothic" w:hAnsi="MS UI Gothic" w:eastAsia="MS UI Gothic"/>
          <w:spacing w:val="9"/>
          <w:w w:val="80"/>
        </w:rPr>
        <w:t xml:space="preserve">»、 « </w:t>
      </w:r>
      <w:r>
        <w:rPr>
          <w:spacing w:val="10"/>
        </w:rPr>
        <w:t>安全生产工作国家秘密范</w:t>
      </w:r>
      <w:r>
        <w:rPr>
          <w:spacing w:val="7"/>
        </w:rPr>
        <w:t>围的规定</w:t>
      </w:r>
      <w:r>
        <w:rPr>
          <w:rFonts w:hint="eastAsia" w:ascii="MS UI Gothic" w:hAnsi="MS UI Gothic" w:eastAsia="MS UI Gothic"/>
          <w:spacing w:val="13"/>
          <w:w w:val="80"/>
        </w:rPr>
        <w:t xml:space="preserve">» </w:t>
      </w:r>
      <w:r>
        <w:rPr>
          <w:spacing w:val="13"/>
        </w:rPr>
        <w:t>等法律</w:t>
      </w:r>
      <w:r>
        <w:rPr>
          <w:rFonts w:hint="eastAsia" w:ascii="MS UI Gothic" w:hAnsi="MS UI Gothic" w:eastAsia="MS UI Gothic"/>
          <w:spacing w:val="1"/>
          <w:w w:val="80"/>
        </w:rPr>
        <w:t xml:space="preserve">、  </w:t>
      </w:r>
      <w:r>
        <w:rPr>
          <w:spacing w:val="18"/>
        </w:rPr>
        <w:t>行政法规和有关保</w:t>
      </w:r>
      <w:r>
        <w:rPr>
          <w:spacing w:val="3"/>
        </w:rPr>
        <w:t>密制度</w:t>
      </w:r>
      <w:r>
        <w:rPr>
          <w:rFonts w:hint="eastAsia" w:ascii="MS UI Gothic" w:hAnsi="MS UI Gothic" w:eastAsia="MS UI Gothic"/>
          <w:spacing w:val="23"/>
          <w:w w:val="80"/>
        </w:rPr>
        <w:t xml:space="preserve">ꎬ </w:t>
      </w:r>
      <w:r>
        <w:rPr>
          <w:spacing w:val="3"/>
        </w:rPr>
        <w:t>对拟公开的信息进行保密审查</w:t>
      </w:r>
      <w:r>
        <w:rPr>
          <w:rFonts w:hint="eastAsia" w:ascii="MS UI Gothic" w:hAnsi="MS UI Gothic" w:eastAsia="MS UI Gothic"/>
          <w:w w:val="80"/>
        </w:rPr>
        <w:t>ꎮ</w:t>
      </w:r>
    </w:p>
    <w:p>
      <w:pPr>
        <w:pStyle w:val="6"/>
        <w:spacing w:line="295" w:lineRule="auto"/>
        <w:ind w:right="440"/>
        <w:rPr>
          <w:rFonts w:hint="eastAsia" w:ascii="MS UI Gothic" w:eastAsia="MS UI Gothic"/>
        </w:rPr>
      </w:pPr>
      <w:r>
        <w:t>安全生产监管监察部门在保密审查过程中不能确定是否涉及国家秘密的</w:t>
      </w:r>
      <w:r>
        <w:rPr>
          <w:rFonts w:hint="eastAsia" w:ascii="MS UI Gothic" w:eastAsia="MS UI Gothic"/>
          <w:w w:val="80"/>
        </w:rPr>
        <w:t xml:space="preserve">ꎬ </w:t>
      </w:r>
      <w:r>
        <w:t>应当说明信息来源和本部门的保密审查意见</w:t>
      </w:r>
      <w:r>
        <w:rPr>
          <w:rFonts w:hint="eastAsia" w:ascii="MS UI Gothic" w:eastAsia="MS UI Gothic"/>
          <w:w w:val="80"/>
        </w:rPr>
        <w:t>ꎬ</w:t>
      </w:r>
      <w:r>
        <w:t>报上级安全生产监管监察部门或者本级保</w:t>
      </w:r>
      <w:r>
        <w:rPr>
          <w:w w:val="105"/>
        </w:rPr>
        <w:t>密行政管理部门确定</w:t>
      </w:r>
      <w:r>
        <w:rPr>
          <w:rFonts w:hint="eastAsia" w:ascii="MS UI Gothic" w:eastAsia="MS UI Gothic"/>
          <w:w w:val="80"/>
        </w:rPr>
        <w:t>ꎮ</w:t>
      </w:r>
    </w:p>
    <w:p>
      <w:pPr>
        <w:pStyle w:val="6"/>
        <w:spacing w:line="295" w:lineRule="auto"/>
        <w:ind w:right="442"/>
        <w:rPr>
          <w:rFonts w:hint="eastAsia" w:ascii="MS UI Gothic" w:eastAsia="MS UI Gothic"/>
        </w:rPr>
      </w:pPr>
      <w:r>
        <w:t>第二十五条 安全生产监管监察部门应当编制</w:t>
      </w:r>
      <w:r>
        <w:rPr>
          <w:rFonts w:hint="eastAsia" w:ascii="MS UI Gothic" w:eastAsia="MS UI Gothic"/>
          <w:w w:val="80"/>
        </w:rPr>
        <w:t xml:space="preserve">、 </w:t>
      </w:r>
      <w:r>
        <w:t>公布本部门信息公开指南及信息公开目录</w:t>
      </w:r>
      <w:r>
        <w:rPr>
          <w:rFonts w:hint="eastAsia" w:ascii="MS UI Gothic" w:eastAsia="MS UI Gothic"/>
          <w:w w:val="80"/>
        </w:rPr>
        <w:t xml:space="preserve">ꎬ </w:t>
      </w:r>
      <w:r>
        <w:t>并及时更新</w:t>
      </w:r>
      <w:r>
        <w:rPr>
          <w:rFonts w:hint="eastAsia" w:ascii="MS UI Gothic" w:eastAsia="MS UI Gothic"/>
          <w:w w:val="80"/>
        </w:rPr>
        <w:t>ꎮ</w:t>
      </w:r>
    </w:p>
    <w:p>
      <w:pPr>
        <w:pStyle w:val="6"/>
        <w:spacing w:line="295" w:lineRule="auto"/>
        <w:ind w:right="440"/>
        <w:rPr>
          <w:rFonts w:hint="eastAsia" w:ascii="MS UI Gothic" w:eastAsia="MS UI Gothic"/>
        </w:rPr>
      </w:pPr>
      <w:r>
        <w:t>信息公开指南应当包括信息的分类</w:t>
      </w:r>
      <w:r>
        <w:rPr>
          <w:rFonts w:hint="eastAsia" w:ascii="MS UI Gothic" w:eastAsia="MS UI Gothic"/>
          <w:w w:val="80"/>
        </w:rPr>
        <w:t>、</w:t>
      </w:r>
      <w:r>
        <w:t>编排体系</w:t>
      </w:r>
      <w:r>
        <w:rPr>
          <w:rFonts w:hint="eastAsia" w:ascii="MS UI Gothic" w:eastAsia="MS UI Gothic"/>
          <w:w w:val="80"/>
        </w:rPr>
        <w:t xml:space="preserve">、 </w:t>
      </w:r>
      <w:r>
        <w:t>获取方式和信息公开专门机构的名称</w:t>
      </w:r>
      <w:r>
        <w:rPr>
          <w:rFonts w:hint="eastAsia" w:ascii="MS UI Gothic" w:eastAsia="MS UI Gothic"/>
          <w:w w:val="80"/>
        </w:rPr>
        <w:t xml:space="preserve">、 </w:t>
      </w:r>
      <w:r>
        <w:t>办公地址</w:t>
      </w:r>
      <w:r>
        <w:rPr>
          <w:rFonts w:hint="eastAsia" w:ascii="MS UI Gothic" w:eastAsia="MS UI Gothic"/>
          <w:w w:val="80"/>
        </w:rPr>
        <w:t xml:space="preserve">、 </w:t>
      </w:r>
      <w:r>
        <w:t>办公时间</w:t>
      </w:r>
      <w:r>
        <w:rPr>
          <w:rFonts w:hint="eastAsia" w:ascii="MS UI Gothic" w:eastAsia="MS UI Gothic"/>
          <w:w w:val="80"/>
        </w:rPr>
        <w:t xml:space="preserve">、 </w:t>
      </w:r>
      <w:r>
        <w:t>联系电话</w:t>
      </w:r>
      <w:r>
        <w:rPr>
          <w:rFonts w:hint="eastAsia" w:ascii="MS UI Gothic" w:eastAsia="MS UI Gothic"/>
          <w:w w:val="80"/>
        </w:rPr>
        <w:t xml:space="preserve">、 </w:t>
      </w:r>
      <w:r>
        <w:t>传真号码</w:t>
      </w:r>
      <w:r>
        <w:rPr>
          <w:rFonts w:hint="eastAsia" w:ascii="MS UI Gothic" w:eastAsia="MS UI Gothic"/>
          <w:w w:val="80"/>
        </w:rPr>
        <w:t xml:space="preserve">、 </w:t>
      </w:r>
      <w:r>
        <w:t>电子邮箱等内容</w:t>
      </w:r>
      <w:r>
        <w:rPr>
          <w:rFonts w:hint="eastAsia" w:ascii="MS UI Gothic" w:eastAsia="MS UI Gothic"/>
          <w:w w:val="80"/>
        </w:rPr>
        <w:t>ꎮ</w:t>
      </w:r>
    </w:p>
    <w:p>
      <w:pPr>
        <w:pStyle w:val="6"/>
        <w:spacing w:line="295" w:lineRule="auto"/>
        <w:ind w:right="440"/>
        <w:rPr>
          <w:rFonts w:hint="eastAsia" w:ascii="MS UI Gothic" w:eastAsia="MS UI Gothic"/>
        </w:rPr>
      </w:pPr>
      <w:r>
        <w:t>信息公开目录应当包括信息的索引</w:t>
      </w:r>
      <w:r>
        <w:rPr>
          <w:rFonts w:hint="eastAsia" w:ascii="MS UI Gothic" w:eastAsia="MS UI Gothic"/>
          <w:w w:val="80"/>
        </w:rPr>
        <w:t>、</w:t>
      </w:r>
      <w:r>
        <w:t>名称</w:t>
      </w:r>
      <w:r>
        <w:rPr>
          <w:rFonts w:hint="eastAsia" w:ascii="MS UI Gothic" w:eastAsia="MS UI Gothic"/>
          <w:w w:val="80"/>
        </w:rPr>
        <w:t xml:space="preserve">、 </w:t>
      </w:r>
      <w:r>
        <w:t>信息内容概述</w:t>
      </w:r>
      <w:r>
        <w:rPr>
          <w:rFonts w:hint="eastAsia" w:ascii="MS UI Gothic" w:eastAsia="MS UI Gothic"/>
          <w:w w:val="80"/>
        </w:rPr>
        <w:t xml:space="preserve">、 </w:t>
      </w:r>
      <w:r>
        <w:t>生成日期</w:t>
      </w:r>
      <w:r>
        <w:rPr>
          <w:rFonts w:hint="eastAsia" w:ascii="MS UI Gothic" w:eastAsia="MS UI Gothic"/>
          <w:w w:val="80"/>
        </w:rPr>
        <w:t xml:space="preserve">、 </w:t>
      </w:r>
      <w:r>
        <w:t>公开时间等内容</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第二十六条 安全生产监管监察部门应当建立健全信息公开工作考核制度</w:t>
      </w:r>
      <w:r>
        <w:rPr>
          <w:rFonts w:hint="eastAsia" w:ascii="MS UI Gothic" w:eastAsia="MS UI Gothic"/>
          <w:w w:val="80"/>
        </w:rPr>
        <w:t xml:space="preserve">、 </w:t>
      </w:r>
      <w:r>
        <w:rPr>
          <w:w w:val="105"/>
        </w:rPr>
        <w:t>社</w:t>
      </w:r>
      <w:r>
        <w:t>会评议制度和责任追究制度</w:t>
      </w:r>
      <w:r>
        <w:rPr>
          <w:rFonts w:hint="eastAsia" w:ascii="MS UI Gothic" w:eastAsia="MS UI Gothic"/>
          <w:w w:val="80"/>
        </w:rPr>
        <w:t xml:space="preserve">ꎬ </w:t>
      </w:r>
      <w:r>
        <w:t>定期对信息</w:t>
      </w:r>
      <w:r>
        <w:rPr>
          <w:w w:val="105"/>
        </w:rPr>
        <w:t>公开工作进行考核</w:t>
      </w:r>
      <w:r>
        <w:rPr>
          <w:rFonts w:hint="eastAsia" w:ascii="MS UI Gothic" w:eastAsia="MS UI Gothic"/>
          <w:w w:val="80"/>
        </w:rPr>
        <w:t xml:space="preserve">、 </w:t>
      </w:r>
      <w:r>
        <w:rPr>
          <w:w w:val="105"/>
        </w:rPr>
        <w:t>评议</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第二十七条 安全生产监管监察部门</w:t>
      </w:r>
      <w:r>
        <w:rPr>
          <w:spacing w:val="-10"/>
          <w:w w:val="105"/>
        </w:rPr>
        <w:t xml:space="preserve">应当于每年 </w:t>
      </w:r>
      <w:r>
        <w:rPr>
          <w:rFonts w:hint="eastAsia" w:ascii="MS UI Gothic" w:eastAsia="MS UI Gothic"/>
          <w:spacing w:val="-1"/>
          <w:w w:val="80"/>
        </w:rPr>
        <w:t xml:space="preserve">３ </w:t>
      </w:r>
      <w:r>
        <w:rPr>
          <w:spacing w:val="-32"/>
          <w:w w:val="105"/>
        </w:rPr>
        <w:t xml:space="preserve">月 </w:t>
      </w:r>
      <w:r>
        <w:rPr>
          <w:rFonts w:hint="eastAsia" w:ascii="MS UI Gothic" w:eastAsia="MS UI Gothic"/>
          <w:spacing w:val="-1"/>
          <w:w w:val="80"/>
        </w:rPr>
        <w:t xml:space="preserve">３１ </w:t>
      </w:r>
      <w:r>
        <w:rPr>
          <w:spacing w:val="11"/>
          <w:w w:val="105"/>
        </w:rPr>
        <w:t>日前公布本部门上一</w:t>
      </w:r>
      <w:r>
        <w:rPr>
          <w:spacing w:val="3"/>
        </w:rPr>
        <w:t>年度信息公开工作年度报告</w:t>
      </w:r>
      <w:r>
        <w:rPr>
          <w:rFonts w:hint="eastAsia" w:ascii="MS UI Gothic" w:eastAsia="MS UI Gothic"/>
          <w:spacing w:val="20"/>
          <w:w w:val="80"/>
        </w:rPr>
        <w:t xml:space="preserve">ꎮ </w:t>
      </w:r>
      <w:r>
        <w:rPr>
          <w:spacing w:val="2"/>
        </w:rPr>
        <w:t>年度报告应</w:t>
      </w:r>
      <w:r>
        <w:rPr>
          <w:spacing w:val="3"/>
          <w:w w:val="105"/>
        </w:rPr>
        <w:t>当包括下列内容</w:t>
      </w:r>
      <w:r>
        <w:rPr>
          <w:rFonts w:hint="eastAsia" w:ascii="MS UI Gothic" w:eastAsia="MS UI Gothic"/>
          <w:w w:val="230"/>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１５３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03" o:spid="_x0000_s1503" o:spt="203" style="height:2.15pt;width:398.25pt;" coordsize="7965,43">
            <o:lock v:ext="edit"/>
            <v:line id="_x0000_s1504" o:spid="_x0000_s1504" o:spt="20" style="position:absolute;left:0;top:39;height:0;width:7965;" stroked="t" coordsize="21600,21600">
              <v:path arrowok="t"/>
              <v:fill focussize="0,0"/>
              <v:stroke weight="0.388031496062992pt" color="#231F20"/>
              <v:imagedata o:title=""/>
              <o:lock v:ext="edit"/>
            </v:line>
            <v:line id="_x0000_s1505" o:spid="_x0000_s150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860" w:firstLine="0"/>
        <w:jc w:val="left"/>
        <w:rPr>
          <w:rFonts w:hint="eastAsia" w:ascii="MS UI Gothic" w:eastAsia="MS UI Gothic"/>
        </w:rPr>
      </w:pPr>
      <w:r>
        <w:rPr>
          <w:rFonts w:hint="eastAsia" w:ascii="MS UI Gothic" w:eastAsia="MS UI Gothic"/>
          <w:spacing w:val="-41"/>
          <w:w w:val="145"/>
        </w:rPr>
        <w:t xml:space="preserve">( </w:t>
      </w:r>
      <w:r>
        <w:rPr>
          <w:spacing w:val="3"/>
          <w:w w:val="110"/>
        </w:rPr>
        <w:t>一</w:t>
      </w:r>
      <w:r>
        <w:rPr>
          <w:rFonts w:hint="eastAsia" w:ascii="MS UI Gothic" w:eastAsia="MS UI Gothic"/>
          <w:spacing w:val="-22"/>
          <w:w w:val="145"/>
        </w:rPr>
        <w:t xml:space="preserve">) </w:t>
      </w:r>
      <w:r>
        <w:rPr>
          <w:spacing w:val="3"/>
          <w:w w:val="110"/>
        </w:rPr>
        <w:t>本部门主动公开信息的情况</w:t>
      </w:r>
      <w:r>
        <w:rPr>
          <w:rFonts w:hint="eastAsia" w:ascii="MS UI Gothic" w:eastAsia="MS UI Gothic"/>
          <w:w w:val="80"/>
        </w:rPr>
        <w:t>ꎻ</w:t>
      </w:r>
    </w:p>
    <w:p>
      <w:pPr>
        <w:pStyle w:val="6"/>
        <w:spacing w:before="58" w:line="295" w:lineRule="auto"/>
        <w:ind w:left="440"/>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本部门依申请公开信息和不予</w:t>
      </w:r>
      <w:r>
        <w:rPr>
          <w:w w:val="110"/>
        </w:rPr>
        <w:t>公开信息的情况</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w w:val="115"/>
        </w:rPr>
        <w:t xml:space="preserve">( </w:t>
      </w:r>
      <w:r>
        <w:rPr>
          <w:w w:val="110"/>
        </w:rPr>
        <w:t>三</w:t>
      </w:r>
      <w:r>
        <w:rPr>
          <w:rFonts w:hint="eastAsia" w:ascii="MS UI Gothic" w:eastAsia="MS UI Gothic"/>
          <w:w w:val="115"/>
        </w:rPr>
        <w:t xml:space="preserve">) </w:t>
      </w:r>
      <w:r>
        <w:rPr>
          <w:w w:val="110"/>
        </w:rPr>
        <w:t>信息公开工作的收费及减免情况</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因信息公开申请行政复议</w:t>
      </w:r>
      <w:r>
        <w:rPr>
          <w:rFonts w:hint="eastAsia" w:ascii="MS UI Gothic" w:eastAsia="MS UI Gothic"/>
          <w:w w:val="80"/>
        </w:rPr>
        <w:t xml:space="preserve">、 </w:t>
      </w:r>
      <w:r>
        <w:rPr>
          <w:w w:val="105"/>
        </w:rPr>
        <w:t>提起行政诉讼的情况</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信息公开工作存在的主要问题</w:t>
      </w:r>
      <w:r>
        <w:rPr>
          <w:w w:val="110"/>
        </w:rPr>
        <w:t>及改进情况</w:t>
      </w:r>
      <w:r>
        <w:rPr>
          <w:rFonts w:hint="eastAsia" w:ascii="MS UI Gothic" w:eastAsia="MS UI Gothic"/>
          <w:w w:val="80"/>
        </w:rPr>
        <w:t>ꎻ</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其他需要报告的事项</w:t>
      </w:r>
      <w:r>
        <w:rPr>
          <w:rFonts w:hint="eastAsia" w:ascii="MS UI Gothic" w:eastAsia="MS UI Gothic"/>
          <w:w w:val="80"/>
        </w:rPr>
        <w:t>ꎮ</w:t>
      </w:r>
    </w:p>
    <w:p>
      <w:pPr>
        <w:pStyle w:val="6"/>
        <w:spacing w:before="54" w:line="295" w:lineRule="auto"/>
        <w:ind w:left="440"/>
        <w:rPr>
          <w:rFonts w:hint="eastAsia" w:ascii="MS UI Gothic" w:hAnsi="MS UI Gothic" w:eastAsia="MS UI Gothic"/>
        </w:rPr>
      </w:pPr>
      <w:r>
        <w:rPr>
          <w:w w:val="105"/>
        </w:rPr>
        <w:t>第二十八条 公民</w:t>
      </w:r>
      <w:r>
        <w:rPr>
          <w:rFonts w:hint="eastAsia" w:ascii="MS UI Gothic" w:hAnsi="MS UI Gothic" w:eastAsia="MS UI Gothic"/>
          <w:w w:val="80"/>
        </w:rPr>
        <w:t xml:space="preserve">、 </w:t>
      </w:r>
      <w:r>
        <w:rPr>
          <w:w w:val="105"/>
        </w:rPr>
        <w:t>法人或者其他组</w:t>
      </w:r>
      <w:r>
        <w:t>织认为安全生产监管监察部门不依法履行信息公开义务的</w:t>
      </w:r>
      <w:r>
        <w:rPr>
          <w:rFonts w:hint="eastAsia" w:ascii="MS UI Gothic" w:hAnsi="MS UI Gothic" w:eastAsia="MS UI Gothic"/>
          <w:w w:val="80"/>
        </w:rPr>
        <w:t xml:space="preserve">ꎬ </w:t>
      </w:r>
      <w:r>
        <w:t>可以向上级安全生产监管监察部门举报</w:t>
      </w:r>
      <w:r>
        <w:rPr>
          <w:rFonts w:hint="eastAsia" w:ascii="MS UI Gothic" w:hAnsi="MS UI Gothic" w:eastAsia="MS UI Gothic"/>
          <w:w w:val="80"/>
        </w:rPr>
        <w:t xml:space="preserve">ꎮ </w:t>
      </w:r>
      <w:r>
        <w:t>收到举报的安全生产监</w:t>
      </w:r>
      <w:r>
        <w:rPr>
          <w:w w:val="105"/>
        </w:rPr>
        <w:t xml:space="preserve">管监察部门应当依照 </w:t>
      </w:r>
      <w:r>
        <w:rPr>
          <w:rFonts w:hint="eastAsia" w:ascii="MS UI Gothic" w:hAnsi="MS UI Gothic" w:eastAsia="MS UI Gothic"/>
          <w:w w:val="80"/>
        </w:rPr>
        <w:t xml:space="preserve">« </w:t>
      </w:r>
      <w:r>
        <w:rPr>
          <w:w w:val="105"/>
        </w:rPr>
        <w:t>信访条例</w:t>
      </w:r>
      <w:r>
        <w:rPr>
          <w:rFonts w:hint="eastAsia" w:ascii="MS UI Gothic" w:hAnsi="MS UI Gothic" w:eastAsia="MS UI Gothic"/>
          <w:w w:val="80"/>
        </w:rPr>
        <w:t xml:space="preserve">» </w:t>
      </w:r>
      <w:r>
        <w:rPr>
          <w:w w:val="105"/>
        </w:rPr>
        <w:t>的规</w:t>
      </w:r>
      <w:r>
        <w:t>定予以处理</w:t>
      </w:r>
      <w:r>
        <w:rPr>
          <w:rFonts w:hint="eastAsia" w:ascii="MS UI Gothic" w:hAnsi="MS UI Gothic" w:eastAsia="MS UI Gothic"/>
          <w:w w:val="80"/>
        </w:rPr>
        <w:t xml:space="preserve">ꎬ </w:t>
      </w:r>
      <w:r>
        <w:t>督促被举报的安全生产监管</w:t>
      </w:r>
      <w:r>
        <w:rPr>
          <w:w w:val="105"/>
        </w:rPr>
        <w:t>监察部门依法履行信息公开义务</w:t>
      </w:r>
      <w:r>
        <w:rPr>
          <w:rFonts w:hint="eastAsia" w:ascii="MS UI Gothic" w:hAnsi="MS UI Gothic" w:eastAsia="MS UI Gothic"/>
          <w:w w:val="80"/>
        </w:rPr>
        <w:t>ꎮ</w:t>
      </w:r>
    </w:p>
    <w:p>
      <w:pPr>
        <w:pStyle w:val="6"/>
        <w:spacing w:line="295" w:lineRule="auto"/>
        <w:ind w:left="440"/>
        <w:rPr>
          <w:rFonts w:hint="eastAsia" w:ascii="MS UI Gothic" w:eastAsia="MS UI Gothic"/>
        </w:rPr>
      </w:pPr>
      <w:r>
        <w:rPr>
          <w:w w:val="105"/>
        </w:rPr>
        <w:t>第二十九条 公民</w:t>
      </w:r>
      <w:r>
        <w:rPr>
          <w:rFonts w:hint="eastAsia" w:ascii="MS UI Gothic" w:eastAsia="MS UI Gothic"/>
          <w:w w:val="80"/>
        </w:rPr>
        <w:t xml:space="preserve">、 </w:t>
      </w:r>
      <w:r>
        <w:rPr>
          <w:w w:val="105"/>
        </w:rPr>
        <w:t>法人或者其他组</w:t>
      </w:r>
      <w:r>
        <w:t>织认为信息公开工作中的具体行政行为侵犯其合法权益的</w:t>
      </w:r>
      <w:r>
        <w:rPr>
          <w:rFonts w:hint="eastAsia" w:ascii="MS UI Gothic" w:eastAsia="MS UI Gothic"/>
          <w:w w:val="80"/>
        </w:rPr>
        <w:t xml:space="preserve">ꎬ </w:t>
      </w:r>
      <w:r>
        <w:t>可以依法申请行政复议</w:t>
      </w:r>
      <w:r>
        <w:rPr>
          <w:w w:val="105"/>
        </w:rPr>
        <w:t>或者提起行政诉讼</w:t>
      </w:r>
      <w:r>
        <w:rPr>
          <w:rFonts w:hint="eastAsia" w:ascii="MS UI Gothic" w:eastAsia="MS UI Gothic"/>
          <w:w w:val="80"/>
        </w:rPr>
        <w:t>ꎮ</w:t>
      </w:r>
    </w:p>
    <w:p>
      <w:pPr>
        <w:pStyle w:val="6"/>
        <w:spacing w:line="295" w:lineRule="auto"/>
        <w:ind w:left="440"/>
      </w:pPr>
      <w:r>
        <w:rPr>
          <w:w w:val="105"/>
        </w:rPr>
        <w:t>第三十条 安全生产监管监察部门及</w:t>
      </w:r>
      <w:r>
        <w:t>其工作人员违反本办法的规定</w:t>
      </w:r>
      <w:r>
        <w:rPr>
          <w:rFonts w:hint="eastAsia" w:ascii="MS UI Gothic" w:eastAsia="MS UI Gothic"/>
          <w:w w:val="80"/>
        </w:rPr>
        <w:t xml:space="preserve">ꎬ </w:t>
      </w:r>
      <w:r>
        <w:t>有下列情</w:t>
      </w:r>
    </w:p>
    <w:p>
      <w:pPr>
        <w:pStyle w:val="6"/>
        <w:spacing w:before="124" w:line="295" w:lineRule="auto"/>
        <w:ind w:left="383" w:right="126" w:firstLine="0"/>
        <w:rPr>
          <w:rFonts w:hint="eastAsia" w:ascii="MS UI Gothic" w:eastAsia="MS UI Gothic"/>
        </w:rPr>
      </w:pPr>
      <w:r>
        <w:br w:type="column"/>
      </w:r>
      <w:r>
        <w:t>形之一的</w:t>
      </w:r>
      <w:r>
        <w:rPr>
          <w:rFonts w:hint="eastAsia" w:ascii="MS UI Gothic" w:eastAsia="MS UI Gothic"/>
          <w:w w:val="80"/>
        </w:rPr>
        <w:t xml:space="preserve">ꎬ </w:t>
      </w:r>
      <w:r>
        <w:t>由本部门负责行政监察的机构或者其上级安全生产监管监察部门责令改</w:t>
      </w:r>
      <w:r>
        <w:rPr>
          <w:w w:val="105"/>
        </w:rPr>
        <w:t>正</w:t>
      </w:r>
      <w:r>
        <w:rPr>
          <w:rFonts w:hint="eastAsia" w:ascii="MS UI Gothic" w:eastAsia="MS UI Gothic"/>
          <w:w w:val="80"/>
        </w:rPr>
        <w:t xml:space="preserve">ꎻ </w:t>
      </w:r>
      <w:r>
        <w:rPr>
          <w:w w:val="105"/>
        </w:rPr>
        <w:t>情节严重的</w:t>
      </w:r>
      <w:r>
        <w:rPr>
          <w:rFonts w:hint="eastAsia" w:ascii="MS UI Gothic" w:eastAsia="MS UI Gothic"/>
          <w:w w:val="80"/>
        </w:rPr>
        <w:t xml:space="preserve">ꎬ </w:t>
      </w:r>
      <w:r>
        <w:rPr>
          <w:w w:val="105"/>
        </w:rPr>
        <w:t>对部门主要负责人</w:t>
      </w:r>
      <w:r>
        <w:rPr>
          <w:rFonts w:hint="eastAsia" w:ascii="MS UI Gothic" w:eastAsia="MS UI Gothic"/>
          <w:w w:val="80"/>
        </w:rPr>
        <w:t xml:space="preserve">、 </w:t>
      </w:r>
      <w:r>
        <w:rPr>
          <w:w w:val="105"/>
        </w:rPr>
        <w:t>直</w:t>
      </w:r>
      <w:r>
        <w:t>接负责的主管人员和其他直接责任人员依法给予处分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w:t>
      </w:r>
      <w:r>
        <w:rPr>
          <w:w w:val="105"/>
        </w:rPr>
        <w:t>责任</w:t>
      </w:r>
      <w:r>
        <w:rPr>
          <w:rFonts w:hint="eastAsia" w:ascii="MS UI Gothic" w:eastAsia="MS UI Gothic"/>
          <w:w w:val="235"/>
        </w:rPr>
        <w:t>:</w:t>
      </w:r>
    </w:p>
    <w:p>
      <w:pPr>
        <w:pStyle w:val="6"/>
        <w:spacing w:line="251" w:lineRule="exact"/>
        <w:ind w:left="802"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不依法履行信息公开义务的</w:t>
      </w:r>
      <w:r>
        <w:rPr>
          <w:rFonts w:hint="eastAsia" w:ascii="MS UI Gothic" w:eastAsia="MS UI Gothic"/>
          <w:w w:val="80"/>
        </w:rPr>
        <w:t>ꎻ</w:t>
      </w:r>
    </w:p>
    <w:p>
      <w:pPr>
        <w:pStyle w:val="6"/>
        <w:spacing w:before="58" w:line="295" w:lineRule="auto"/>
        <w:ind w:left="383" w:right="124"/>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不及时更新公开的信息内容</w:t>
      </w:r>
      <w:r>
        <w:rPr>
          <w:rFonts w:hint="eastAsia" w:ascii="MS UI Gothic" w:eastAsia="MS UI Gothic"/>
          <w:w w:val="80"/>
        </w:rPr>
        <w:t>、</w:t>
      </w:r>
      <w:r>
        <w:rPr>
          <w:w w:val="105"/>
        </w:rPr>
        <w:t>信息公开指南和信息公开目录的</w:t>
      </w:r>
      <w:r>
        <w:rPr>
          <w:rFonts w:hint="eastAsia" w:ascii="MS UI Gothic" w:eastAsia="MS UI Gothic"/>
          <w:w w:val="80"/>
        </w:rPr>
        <w:t>ꎻ</w:t>
      </w:r>
    </w:p>
    <w:p>
      <w:pPr>
        <w:pStyle w:val="6"/>
        <w:spacing w:line="255" w:lineRule="exact"/>
        <w:ind w:left="802"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违反规定收取费用的</w:t>
      </w:r>
      <w:r>
        <w:rPr>
          <w:rFonts w:hint="eastAsia" w:ascii="MS UI Gothic" w:eastAsia="MS UI Gothic"/>
          <w:w w:val="80"/>
        </w:rPr>
        <w:t>ꎻ</w:t>
      </w:r>
    </w:p>
    <w:p>
      <w:pPr>
        <w:pStyle w:val="6"/>
        <w:spacing w:before="58" w:line="295" w:lineRule="auto"/>
        <w:ind w:left="383"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通过其他组织</w:t>
      </w:r>
      <w:r>
        <w:rPr>
          <w:rFonts w:hint="eastAsia" w:ascii="MS UI Gothic" w:eastAsia="MS UI Gothic"/>
          <w:w w:val="80"/>
        </w:rPr>
        <w:t xml:space="preserve">、  </w:t>
      </w:r>
      <w:r>
        <w:rPr>
          <w:w w:val="105"/>
        </w:rPr>
        <w:t>个人以有偿服务方式提供信息的</w:t>
      </w:r>
      <w:r>
        <w:rPr>
          <w:rFonts w:hint="eastAsia" w:ascii="MS UI Gothic" w:eastAsia="MS UI Gothic"/>
          <w:w w:val="80"/>
        </w:rPr>
        <w:t>ꎻ</w:t>
      </w:r>
    </w:p>
    <w:p>
      <w:pPr>
        <w:pStyle w:val="6"/>
        <w:spacing w:line="295" w:lineRule="auto"/>
        <w:ind w:left="802" w:right="505" w:firstLine="0"/>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公开不应当公开的信息的</w:t>
      </w:r>
      <w:r>
        <w:rPr>
          <w:rFonts w:hint="eastAsia" w:ascii="MS UI Gothic" w:eastAsia="MS UI Gothic"/>
          <w:w w:val="80"/>
        </w:rPr>
        <w:t>ꎻ</w:t>
      </w: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故意提供虚假信息的</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违反有关法律法规和本办法规</w:t>
      </w:r>
      <w:r>
        <w:rPr>
          <w:w w:val="110"/>
        </w:rPr>
        <w:t>定的其他行为</w:t>
      </w:r>
      <w:r>
        <w:rPr>
          <w:rFonts w:hint="eastAsia" w:ascii="MS UI Gothic" w:eastAsia="MS UI Gothic"/>
          <w:w w:val="80"/>
        </w:rPr>
        <w:t>ꎮ</w:t>
      </w:r>
    </w:p>
    <w:p>
      <w:pPr>
        <w:pStyle w:val="6"/>
        <w:tabs>
          <w:tab w:val="left" w:pos="2269"/>
          <w:tab w:val="left" w:pos="2898"/>
        </w:tabs>
        <w:spacing w:before="153"/>
        <w:ind w:left="1431" w:firstLine="0"/>
        <w:jc w:val="left"/>
      </w:pPr>
      <w:r>
        <w:rPr>
          <w:spacing w:val="3"/>
          <w:w w:val="105"/>
        </w:rPr>
        <w:t>第五</w:t>
      </w:r>
      <w:r>
        <w:rPr>
          <w:w w:val="105"/>
        </w:rPr>
        <w:t>章</w:t>
      </w:r>
      <w:r>
        <w:rPr>
          <w:w w:val="105"/>
        </w:rPr>
        <w:tab/>
      </w:r>
      <w:r>
        <w:rPr>
          <w:w w:val="105"/>
        </w:rPr>
        <w:t>附</w:t>
      </w:r>
      <w:r>
        <w:rPr>
          <w:w w:val="105"/>
        </w:rPr>
        <w:tab/>
      </w:r>
      <w:r>
        <w:rPr>
          <w:w w:val="105"/>
        </w:rPr>
        <w:t>则</w:t>
      </w:r>
    </w:p>
    <w:p>
      <w:pPr>
        <w:pStyle w:val="6"/>
        <w:spacing w:before="215" w:line="295" w:lineRule="auto"/>
        <w:ind w:left="383" w:right="126"/>
        <w:rPr>
          <w:rFonts w:hint="eastAsia" w:ascii="MS UI Gothic" w:eastAsia="MS UI Gothic"/>
        </w:rPr>
      </w:pPr>
      <w:r>
        <w:rPr>
          <w:w w:val="105"/>
        </w:rPr>
        <w:t>第三十一条 国家安全生产监督管理</w:t>
      </w:r>
      <w:r>
        <w:t>总局管理的具有行政职能的事业单位的有</w:t>
      </w:r>
      <w:r>
        <w:rPr>
          <w:w w:val="105"/>
        </w:rPr>
        <w:t>关信息公开</w:t>
      </w:r>
      <w:r>
        <w:rPr>
          <w:rFonts w:hint="eastAsia" w:ascii="MS UI Gothic" w:eastAsia="MS UI Gothic"/>
          <w:w w:val="80"/>
        </w:rPr>
        <w:t xml:space="preserve">ꎬ </w:t>
      </w:r>
      <w:r>
        <w:rPr>
          <w:w w:val="105"/>
        </w:rPr>
        <w:t>参照本办法执行</w:t>
      </w:r>
      <w:r>
        <w:rPr>
          <w:rFonts w:hint="eastAsia" w:ascii="MS UI Gothic" w:eastAsia="MS UI Gothic"/>
          <w:w w:val="80"/>
        </w:rPr>
        <w:t>ꎮ</w:t>
      </w:r>
    </w:p>
    <w:p>
      <w:pPr>
        <w:pStyle w:val="6"/>
        <w:tabs>
          <w:tab w:val="left" w:pos="2059"/>
        </w:tabs>
        <w:spacing w:line="295" w:lineRule="auto"/>
        <w:ind w:left="538" w:right="126" w:firstLine="263"/>
        <w:jc w:val="left"/>
        <w:rPr>
          <w:rFonts w:hint="eastAsia" w:ascii="MS UI Gothic" w:eastAsia="MS UI Gothic"/>
        </w:rPr>
      </w:pPr>
      <w:r>
        <w:pict>
          <v:shape id="_x0000_s1506" o:spid="_x0000_s1506" o:spt="202" type="#_x0000_t202" style="position:absolute;left:0pt;margin-left:280.35pt;margin-top:12pt;height:24.35pt;width:5.15pt;mso-position-horizontal-relative:page;z-index:25184768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spacing w:val="3"/>
          <w:w w:val="95"/>
        </w:rPr>
        <w:t>第三十二</w:t>
      </w:r>
      <w:r>
        <w:rPr>
          <w:w w:val="95"/>
        </w:rPr>
        <w:t>条</w:t>
      </w:r>
      <w:r>
        <w:rPr>
          <w:w w:val="95"/>
        </w:rPr>
        <w:tab/>
      </w:r>
      <w:r>
        <w:rPr>
          <w:spacing w:val="3"/>
          <w:w w:val="95"/>
        </w:rPr>
        <w:t>本办法</w:t>
      </w:r>
      <w:r>
        <w:rPr>
          <w:w w:val="95"/>
        </w:rPr>
        <w:t>自</w:t>
      </w:r>
      <w:r>
        <w:rPr>
          <w:spacing w:val="-59"/>
          <w:w w:val="95"/>
        </w:rPr>
        <w:t xml:space="preserve"> </w:t>
      </w:r>
      <w:r>
        <w:rPr>
          <w:rFonts w:hint="eastAsia" w:ascii="MS UI Gothic" w:eastAsia="MS UI Gothic"/>
          <w:w w:val="95"/>
        </w:rPr>
        <w:t>２０１２</w:t>
      </w:r>
      <w:r>
        <w:rPr>
          <w:rFonts w:hint="eastAsia" w:ascii="MS UI Gothic" w:eastAsia="MS UI Gothic"/>
          <w:spacing w:val="-12"/>
          <w:w w:val="95"/>
        </w:rPr>
        <w:t xml:space="preserve"> </w:t>
      </w:r>
      <w:r>
        <w:rPr>
          <w:w w:val="95"/>
        </w:rPr>
        <w:t>年</w:t>
      </w:r>
      <w:r>
        <w:rPr>
          <w:spacing w:val="-55"/>
          <w:w w:val="95"/>
        </w:rPr>
        <w:t xml:space="preserve"> </w:t>
      </w:r>
      <w:r>
        <w:rPr>
          <w:rFonts w:hint="eastAsia" w:ascii="MS UI Gothic" w:eastAsia="MS UI Gothic"/>
          <w:w w:val="95"/>
        </w:rPr>
        <w:t>１１</w:t>
      </w:r>
      <w:r>
        <w:rPr>
          <w:rFonts w:hint="eastAsia" w:ascii="MS UI Gothic" w:eastAsia="MS UI Gothic"/>
          <w:spacing w:val="-12"/>
          <w:w w:val="95"/>
        </w:rPr>
        <w:t xml:space="preserve"> </w:t>
      </w:r>
      <w:r>
        <w:rPr>
          <w:spacing w:val="-13"/>
          <w:w w:val="95"/>
        </w:rPr>
        <w:t>月</w:t>
      </w:r>
      <w:r>
        <w:rPr>
          <w:spacing w:val="3"/>
          <w:w w:val="95"/>
        </w:rPr>
        <w:t>日起施行</w:t>
      </w:r>
      <w:r>
        <w:rPr>
          <w:rFonts w:hint="eastAsia" w:ascii="MS UI Gothic" w:eastAsia="MS UI Gothic"/>
          <w:w w:val="9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1"/>
        <w:ind w:left="0" w:firstLine="0"/>
        <w:jc w:val="left"/>
        <w:rPr>
          <w:rFonts w:ascii="MS UI Gothic"/>
          <w:sz w:val="16"/>
        </w:rPr>
      </w:pPr>
    </w:p>
    <w:p>
      <w:pPr>
        <w:pStyle w:val="4"/>
        <w:spacing w:before="74"/>
      </w:pPr>
      <w:r>
        <w:t>国务院国有资产监督管理委员会令</w:t>
      </w:r>
    </w:p>
    <w:p>
      <w:pPr>
        <w:pStyle w:val="6"/>
        <w:ind w:left="0" w:firstLine="0"/>
        <w:jc w:val="left"/>
        <w:rPr>
          <w:sz w:val="27"/>
        </w:rPr>
      </w:pPr>
    </w:p>
    <w:p>
      <w:pPr>
        <w:pStyle w:val="5"/>
        <w:spacing w:before="1"/>
        <w:ind w:left="312"/>
      </w:pPr>
      <w:r>
        <w:t xml:space="preserve">第 </w:t>
      </w:r>
      <w:r>
        <w:rPr>
          <w:rFonts w:hint="eastAsia" w:ascii="MS UI Gothic" w:eastAsia="MS UI Gothic"/>
        </w:rPr>
        <w:t xml:space="preserve">２１ </w:t>
      </w:r>
      <w:r>
        <w:t>号</w:t>
      </w:r>
    </w:p>
    <w:p>
      <w:pPr>
        <w:pStyle w:val="6"/>
        <w:spacing w:before="353"/>
        <w:ind w:left="860" w:firstLine="0"/>
        <w:jc w:val="left"/>
        <w:rPr>
          <w:rFonts w:hint="eastAsia" w:ascii="MS UI Gothic" w:hAnsi="MS UI Gothic" w:eastAsia="MS UI Gothic"/>
        </w:rPr>
      </w:pPr>
      <w:r>
        <w:rPr>
          <w:rFonts w:hint="eastAsia" w:ascii="MS UI Gothic" w:hAnsi="MS UI Gothic" w:eastAsia="MS UI Gothic"/>
        </w:rPr>
        <w:t xml:space="preserve">« </w:t>
      </w:r>
      <w:r>
        <w:t>中央企业安全生产监督管理暂行办法</w:t>
      </w:r>
      <w:r>
        <w:rPr>
          <w:rFonts w:hint="eastAsia" w:ascii="MS UI Gothic" w:hAnsi="MS UI Gothic" w:eastAsia="MS UI Gothic"/>
        </w:rPr>
        <w:t xml:space="preserve">» </w:t>
      </w:r>
      <w:r>
        <w:t xml:space="preserve">已经国务院国有资产监督管理委员会第 </w:t>
      </w:r>
      <w:r>
        <w:rPr>
          <w:rFonts w:hint="eastAsia" w:ascii="MS UI Gothic" w:hAnsi="MS UI Gothic" w:eastAsia="MS UI Gothic"/>
        </w:rPr>
        <w:t>６７</w:t>
      </w:r>
    </w:p>
    <w:p>
      <w:pPr>
        <w:pStyle w:val="6"/>
        <w:spacing w:before="59"/>
        <w:ind w:left="440" w:firstLine="0"/>
        <w:jc w:val="left"/>
        <w:rPr>
          <w:rFonts w:hint="eastAsia" w:ascii="MS UI Gothic" w:eastAsia="MS UI Gothic"/>
        </w:rPr>
      </w:pPr>
      <w:r>
        <w:rPr>
          <w:w w:val="95"/>
        </w:rPr>
        <w:t>次委主任办公会审议通过</w:t>
      </w:r>
      <w:r>
        <w:rPr>
          <w:rFonts w:hint="eastAsia" w:ascii="MS UI Gothic" w:eastAsia="MS UI Gothic"/>
          <w:w w:val="90"/>
        </w:rPr>
        <w:t xml:space="preserve">ꎬ </w:t>
      </w:r>
      <w:r>
        <w:rPr>
          <w:w w:val="95"/>
        </w:rPr>
        <w:t>现予公布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２００８ </w:t>
      </w:r>
      <w:r>
        <w:rPr>
          <w:w w:val="95"/>
        </w:rPr>
        <w:t xml:space="preserve">年 </w:t>
      </w:r>
      <w:r>
        <w:rPr>
          <w:rFonts w:hint="eastAsia" w:ascii="MS UI Gothic" w:eastAsia="MS UI Gothic"/>
          <w:w w:val="95"/>
        </w:rPr>
        <w:t xml:space="preserve">９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spacing w:before="372"/>
        <w:ind w:left="0" w:right="126" w:firstLine="0"/>
        <w:jc w:val="right"/>
      </w:pPr>
      <w:r>
        <w:t>二</w:t>
      </w:r>
      <w:r>
        <w:rPr>
          <w:rFonts w:hint="eastAsia" w:ascii="MS UI Gothic" w:hAnsi="MS UI Gothic" w:eastAsia="MS UI Gothic"/>
        </w:rPr>
        <w:t>○○</w:t>
      </w:r>
      <w:r>
        <w:t>八年八月十八日</w:t>
      </w:r>
    </w:p>
    <w:p>
      <w:pPr>
        <w:pStyle w:val="4"/>
        <w:ind w:left="286"/>
        <w:rPr>
          <w:rFonts w:hint="eastAsia" w:ascii="Microsoft Yi Baiti" w:eastAsia="Microsoft Yi Baiti"/>
        </w:rPr>
      </w:pPr>
      <w:r>
        <w:t xml:space="preserve">中央企业安全生产监督管理暂行办法 </w:t>
      </w:r>
      <w:r>
        <w:rPr>
          <w:rFonts w:hint="eastAsia" w:ascii="Microsoft Yi Baiti" w:eastAsia="Microsoft Yi Baiti"/>
        </w:rPr>
        <w:t>(</w:t>
      </w:r>
      <w:r>
        <w:rPr>
          <w:rFonts w:hint="eastAsia" w:ascii="MS UI Gothic" w:eastAsia="MS UI Gothic"/>
        </w:rPr>
        <w:t xml:space="preserve">２００８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tabs>
          <w:tab w:val="left" w:pos="1698"/>
        </w:tabs>
        <w:spacing w:before="216"/>
        <w:ind w:left="860" w:firstLine="0"/>
        <w:jc w:val="left"/>
      </w:pPr>
      <w:r>
        <w:rPr>
          <w:spacing w:val="3"/>
          <w:w w:val="105"/>
        </w:rPr>
        <w:t>第一</w:t>
      </w:r>
      <w:r>
        <w:rPr>
          <w:w w:val="105"/>
        </w:rPr>
        <w:t>条</w:t>
      </w:r>
      <w:r>
        <w:rPr>
          <w:w w:val="105"/>
        </w:rPr>
        <w:tab/>
      </w:r>
      <w:r>
        <w:rPr>
          <w:spacing w:val="3"/>
        </w:rPr>
        <w:t>为履行国有资产出资人安</w:t>
      </w:r>
      <w:r>
        <w:t>全</w:t>
      </w:r>
    </w:p>
    <w:p>
      <w:pPr>
        <w:pStyle w:val="6"/>
        <w:spacing w:before="175" w:line="295" w:lineRule="auto"/>
        <w:ind w:left="383" w:right="126" w:firstLine="0"/>
      </w:pPr>
      <w:r>
        <w:br w:type="column"/>
      </w:r>
      <w:r>
        <w:t>生产监管职责</w:t>
      </w:r>
      <w:r>
        <w:rPr>
          <w:rFonts w:hint="eastAsia" w:ascii="MS UI Gothic" w:eastAsia="MS UI Gothic"/>
          <w:w w:val="80"/>
        </w:rPr>
        <w:t xml:space="preserve">ꎬ </w:t>
      </w:r>
      <w:r>
        <w:t>督促中央企业全面落实安全生产主体责任</w:t>
      </w:r>
      <w:r>
        <w:rPr>
          <w:rFonts w:hint="eastAsia" w:ascii="MS UI Gothic" w:eastAsia="MS UI Gothic"/>
          <w:w w:val="80"/>
        </w:rPr>
        <w:t xml:space="preserve">ꎬ </w:t>
      </w:r>
      <w:r>
        <w:t>建立安全生产长效机制</w:t>
      </w:r>
      <w:r>
        <w:rPr>
          <w:rFonts w:hint="eastAsia" w:ascii="MS UI Gothic" w:eastAsia="MS UI Gothic"/>
          <w:w w:val="80"/>
        </w:rPr>
        <w:t xml:space="preserve">ꎬ </w:t>
      </w:r>
      <w:r>
        <w:t>防止和减少生产安全事故</w:t>
      </w:r>
      <w:r>
        <w:rPr>
          <w:rFonts w:hint="eastAsia" w:ascii="MS UI Gothic" w:eastAsia="MS UI Gothic"/>
          <w:w w:val="80"/>
        </w:rPr>
        <w:t xml:space="preserve">ꎬ </w:t>
      </w:r>
      <w:r>
        <w:t>保障中央</w:t>
      </w:r>
    </w:p>
    <w:p>
      <w:pPr>
        <w:spacing w:after="0" w:line="295" w:lineRule="auto"/>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１５４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07" o:spid="_x0000_s1507" o:spt="203" style="height:2.15pt;width:398.25pt;" coordsize="7965,43">
            <o:lock v:ext="edit"/>
            <v:line id="_x0000_s1508" o:spid="_x0000_s1508" o:spt="20" style="position:absolute;left:0;top:39;height:0;width:7965;" stroked="t" coordsize="21600,21600">
              <v:path arrowok="t"/>
              <v:fill focussize="0,0"/>
              <v:stroke weight="0.388031496062992pt" color="#231F20"/>
              <v:imagedata o:title=""/>
              <o:lock v:ext="edit"/>
            </v:line>
            <v:line id="_x0000_s1509" o:spid="_x0000_s150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hAnsi="MS UI Gothic" w:eastAsia="MS UI Gothic"/>
        </w:rPr>
      </w:pPr>
      <w:r>
        <w:rPr>
          <w:w w:val="95"/>
        </w:rPr>
        <w:t>企业职工和人民群众生命财产安全</w:t>
      </w:r>
      <w:r>
        <w:rPr>
          <w:rFonts w:hint="eastAsia" w:ascii="MS UI Gothic" w:hAnsi="MS UI Gothic" w:eastAsia="MS UI Gothic"/>
          <w:w w:val="85"/>
        </w:rPr>
        <w:t xml:space="preserve">ꎬ   </w:t>
      </w:r>
      <w:r>
        <w:rPr>
          <w:w w:val="95"/>
        </w:rPr>
        <w:t>维护国有资产的保值增值</w:t>
      </w:r>
      <w:r>
        <w:rPr>
          <w:rFonts w:hint="eastAsia" w:ascii="MS UI Gothic" w:hAnsi="MS UI Gothic" w:eastAsia="MS UI Gothic"/>
          <w:w w:val="85"/>
        </w:rPr>
        <w:t xml:space="preserve">ꎬ </w:t>
      </w:r>
      <w:r>
        <w:rPr>
          <w:w w:val="95"/>
        </w:rPr>
        <w:t xml:space="preserve">根据 </w:t>
      </w:r>
      <w:r>
        <w:rPr>
          <w:rFonts w:hint="eastAsia" w:ascii="MS UI Gothic" w:hAnsi="MS UI Gothic" w:eastAsia="MS UI Gothic"/>
          <w:w w:val="95"/>
        </w:rPr>
        <w:t xml:space="preserve">« </w:t>
      </w:r>
      <w:r>
        <w:rPr>
          <w:w w:val="95"/>
        </w:rPr>
        <w:t>中华人民共和国安全生产法</w:t>
      </w:r>
      <w:r>
        <w:rPr>
          <w:rFonts w:hint="eastAsia" w:ascii="MS UI Gothic" w:hAnsi="MS UI Gothic" w:eastAsia="MS UI Gothic"/>
          <w:w w:val="95"/>
        </w:rPr>
        <w:t xml:space="preserve">»、   « </w:t>
      </w:r>
      <w:r>
        <w:rPr>
          <w:w w:val="95"/>
        </w:rPr>
        <w:t>企业国有资产监督管理暂行条例</w:t>
      </w:r>
      <w:r>
        <w:rPr>
          <w:rFonts w:hint="eastAsia" w:ascii="MS UI Gothic" w:hAnsi="MS UI Gothic" w:eastAsia="MS UI Gothic"/>
          <w:w w:val="95"/>
        </w:rPr>
        <w:t xml:space="preserve">»、   « </w:t>
      </w:r>
      <w:r>
        <w:rPr>
          <w:w w:val="95"/>
        </w:rPr>
        <w:t>国务院办公厅关于加强中央企业安全生产工作的通知</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 xml:space="preserve">国办发 </w:t>
      </w:r>
      <w:r>
        <w:rPr>
          <w:rFonts w:hint="eastAsia" w:ascii="MS UI Gothic" w:hAnsi="MS UI Gothic" w:eastAsia="MS UI Gothic"/>
          <w:w w:val="95"/>
        </w:rPr>
        <w:t xml:space="preserve">〔２００４〕 ５２ </w:t>
      </w:r>
      <w:r>
        <w:rPr>
          <w:w w:val="95"/>
        </w:rPr>
        <w:t>号</w:t>
      </w:r>
      <w:r>
        <w:rPr>
          <w:rFonts w:hint="eastAsia" w:ascii="MS UI Gothic" w:hAnsi="MS UI Gothic" w:eastAsia="MS UI Gothic"/>
          <w:w w:val="140"/>
        </w:rPr>
        <w:t xml:space="preserve">) </w:t>
      </w:r>
      <w:r>
        <w:rPr>
          <w:w w:val="95"/>
        </w:rPr>
        <w:t>等有关法律法规和规定</w:t>
      </w:r>
      <w:r>
        <w:rPr>
          <w:rFonts w:hint="eastAsia" w:ascii="MS UI Gothic" w:hAnsi="MS UI Gothic" w:eastAsia="MS UI Gothic"/>
          <w:w w:val="85"/>
        </w:rPr>
        <w:t xml:space="preserve">ꎬ </w:t>
      </w:r>
      <w:r>
        <w:rPr>
          <w:w w:val="95"/>
        </w:rPr>
        <w:t>制定本办法</w:t>
      </w:r>
      <w:r>
        <w:rPr>
          <w:rFonts w:hint="eastAsia" w:ascii="MS UI Gothic" w:hAnsi="MS UI Gothic" w:eastAsia="MS UI Gothic"/>
          <w:w w:val="85"/>
        </w:rPr>
        <w:t>ꎮ</w:t>
      </w:r>
    </w:p>
    <w:p>
      <w:pPr>
        <w:pStyle w:val="6"/>
        <w:spacing w:line="295" w:lineRule="auto"/>
        <w:ind w:right="39"/>
        <w:rPr>
          <w:rFonts w:hint="eastAsia" w:ascii="MS UI Gothic" w:eastAsia="MS UI Gothic"/>
        </w:rPr>
      </w:pPr>
      <w:r>
        <w:rPr>
          <w:w w:val="105"/>
        </w:rPr>
        <w:t>第二条 本办法所称中央企业</w:t>
      </w:r>
      <w:r>
        <w:rPr>
          <w:rFonts w:hint="eastAsia" w:ascii="MS UI Gothic" w:eastAsia="MS UI Gothic"/>
          <w:w w:val="80"/>
        </w:rPr>
        <w:t xml:space="preserve">ꎬ </w:t>
      </w:r>
      <w:r>
        <w:rPr>
          <w:w w:val="105"/>
        </w:rPr>
        <w:t xml:space="preserve">是指国务院国有资产监督管理委员会 </w:t>
      </w:r>
      <w:r>
        <w:rPr>
          <w:rFonts w:hint="eastAsia" w:ascii="MS UI Gothic" w:eastAsia="MS UI Gothic"/>
          <w:w w:val="150"/>
        </w:rPr>
        <w:t xml:space="preserve">( </w:t>
      </w:r>
      <w:r>
        <w:rPr>
          <w:w w:val="105"/>
        </w:rPr>
        <w:t>以下简称国资委</w:t>
      </w:r>
      <w:r>
        <w:rPr>
          <w:rFonts w:hint="eastAsia" w:ascii="MS UI Gothic" w:eastAsia="MS UI Gothic"/>
          <w:w w:val="150"/>
        </w:rPr>
        <w:t xml:space="preserve">) </w:t>
      </w:r>
      <w:r>
        <w:rPr>
          <w:w w:val="105"/>
        </w:rPr>
        <w:t>根据国务院授权履行出资人职责的国有及国有控股企业</w:t>
      </w:r>
      <w:r>
        <w:rPr>
          <w:rFonts w:hint="eastAsia" w:ascii="MS UI Gothic" w:eastAsia="MS UI Gothic"/>
          <w:w w:val="80"/>
        </w:rPr>
        <w:t>ꎮ</w:t>
      </w:r>
    </w:p>
    <w:p>
      <w:pPr>
        <w:pStyle w:val="6"/>
        <w:spacing w:line="295" w:lineRule="auto"/>
        <w:ind w:right="38"/>
        <w:rPr>
          <w:rFonts w:hint="eastAsia" w:ascii="MS UI Gothic" w:eastAsia="MS UI Gothic"/>
        </w:rPr>
      </w:pPr>
      <w:r>
        <w:rPr>
          <w:w w:val="105"/>
        </w:rPr>
        <w:t xml:space="preserve">第三条 中央企业应当依法接受国家安全生产监督管理部门和所在地省 </w:t>
      </w:r>
      <w:r>
        <w:rPr>
          <w:rFonts w:hint="eastAsia" w:ascii="MS UI Gothic" w:eastAsia="MS UI Gothic"/>
          <w:w w:val="150"/>
        </w:rPr>
        <w:t xml:space="preserve">( </w:t>
      </w:r>
      <w:r>
        <w:rPr>
          <w:w w:val="105"/>
        </w:rPr>
        <w:t>区</w:t>
      </w:r>
      <w:r>
        <w:rPr>
          <w:rFonts w:hint="eastAsia" w:ascii="MS UI Gothic" w:eastAsia="MS UI Gothic"/>
          <w:w w:val="80"/>
        </w:rPr>
        <w:t>、</w:t>
      </w:r>
      <w:r>
        <w:rPr>
          <w:w w:val="105"/>
        </w:rPr>
        <w:t>市</w:t>
      </w:r>
      <w:r>
        <w:rPr>
          <w:rFonts w:hint="eastAsia" w:ascii="MS UI Gothic" w:eastAsia="MS UI Gothic"/>
          <w:w w:val="150"/>
        </w:rPr>
        <w:t>)</w:t>
      </w:r>
      <w:r>
        <w:rPr>
          <w:rFonts w:hint="eastAsia" w:ascii="MS UI Gothic" w:eastAsia="MS UI Gothic"/>
          <w:w w:val="80"/>
        </w:rPr>
        <w:t xml:space="preserve">、 </w:t>
      </w:r>
      <w:r>
        <w:rPr>
          <w:w w:val="105"/>
        </w:rPr>
        <w:t xml:space="preserve">市 </w:t>
      </w:r>
      <w:r>
        <w:rPr>
          <w:rFonts w:hint="eastAsia" w:ascii="MS UI Gothic" w:eastAsia="MS UI Gothic"/>
          <w:w w:val="150"/>
        </w:rPr>
        <w:t xml:space="preserve">( </w:t>
      </w:r>
      <w:r>
        <w:rPr>
          <w:w w:val="105"/>
        </w:rPr>
        <w:t>地</w:t>
      </w:r>
      <w:r>
        <w:rPr>
          <w:rFonts w:hint="eastAsia" w:ascii="MS UI Gothic" w:eastAsia="MS UI Gothic"/>
          <w:w w:val="150"/>
        </w:rPr>
        <w:t xml:space="preserve">) </w:t>
      </w:r>
      <w:r>
        <w:rPr>
          <w:w w:val="105"/>
        </w:rPr>
        <w:t>安全生产监督管理部门以</w:t>
      </w:r>
      <w:r>
        <w:t>及行业安全生产监督管理部门的监督管理</w:t>
      </w:r>
      <w:r>
        <w:rPr>
          <w:rFonts w:hint="eastAsia" w:ascii="MS UI Gothic" w:eastAsia="MS UI Gothic"/>
          <w:w w:val="80"/>
        </w:rPr>
        <w:t xml:space="preserve">ꎮ </w:t>
      </w:r>
      <w:r>
        <w:t>国资委按照国有资产出资人的职责</w:t>
      </w:r>
      <w:r>
        <w:rPr>
          <w:rFonts w:hint="eastAsia" w:ascii="MS UI Gothic" w:eastAsia="MS UI Gothic"/>
          <w:w w:val="80"/>
        </w:rPr>
        <w:t>ꎬ</w:t>
      </w:r>
      <w:r>
        <w:t>对中央企业的安全生产工作履行以下</w:t>
      </w:r>
      <w:r>
        <w:rPr>
          <w:w w:val="105"/>
        </w:rPr>
        <w:t>职责</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负责指导督促中央企业贯彻落</w:t>
      </w:r>
      <w:r>
        <w:t>实国家安全生产方针政策及有关法律法</w:t>
      </w:r>
      <w:r>
        <w:rPr>
          <w:w w:val="105"/>
        </w:rPr>
        <w:t>规</w:t>
      </w:r>
      <w:r>
        <w:rPr>
          <w:rFonts w:hint="eastAsia" w:ascii="MS UI Gothic" w:eastAsia="MS UI Gothic"/>
          <w:w w:val="80"/>
        </w:rPr>
        <w:t xml:space="preserve">、 </w:t>
      </w:r>
      <w:r>
        <w:rPr>
          <w:w w:val="105"/>
        </w:rPr>
        <w:t>标准等</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督促中央企业主要负责人落实</w:t>
      </w:r>
      <w:r>
        <w:t>安全生产第一责任人的责任和企业安全生产责任制</w:t>
      </w:r>
      <w:r>
        <w:rPr>
          <w:rFonts w:hint="eastAsia" w:ascii="MS UI Gothic" w:eastAsia="MS UI Gothic"/>
          <w:w w:val="80"/>
        </w:rPr>
        <w:t xml:space="preserve">ꎬ </w:t>
      </w:r>
      <w:r>
        <w:t>做好对企业负责人履行安全生</w:t>
      </w:r>
      <w:r>
        <w:rPr>
          <w:w w:val="105"/>
        </w:rPr>
        <w:t>产职责的业绩考核</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4"/>
          <w:w w:val="150"/>
        </w:rPr>
        <w:t xml:space="preserve">) </w:t>
      </w:r>
      <w:r>
        <w:rPr>
          <w:spacing w:val="5"/>
          <w:w w:val="105"/>
        </w:rPr>
        <w:t>依照有关规定</w:t>
      </w:r>
      <w:r>
        <w:rPr>
          <w:rFonts w:hint="eastAsia" w:ascii="MS UI Gothic" w:eastAsia="MS UI Gothic"/>
          <w:spacing w:val="13"/>
          <w:w w:val="80"/>
        </w:rPr>
        <w:t xml:space="preserve">ꎬ </w:t>
      </w:r>
      <w:r>
        <w:rPr>
          <w:spacing w:val="9"/>
          <w:w w:val="105"/>
        </w:rPr>
        <w:t>参与或者组织</w:t>
      </w:r>
      <w:r>
        <w:rPr>
          <w:spacing w:val="3"/>
          <w:w w:val="105"/>
        </w:rPr>
        <w:t>开展中央企业安全生产检查</w:t>
      </w:r>
      <w:r>
        <w:rPr>
          <w:rFonts w:hint="eastAsia" w:ascii="MS UI Gothic" w:eastAsia="MS UI Gothic"/>
          <w:spacing w:val="-2"/>
          <w:w w:val="80"/>
        </w:rPr>
        <w:t xml:space="preserve">、 </w:t>
      </w:r>
      <w:r>
        <w:rPr>
          <w:spacing w:val="3"/>
          <w:w w:val="105"/>
        </w:rPr>
        <w:t>督查</w:t>
      </w:r>
      <w:r>
        <w:rPr>
          <w:rFonts w:hint="eastAsia" w:ascii="MS UI Gothic" w:eastAsia="MS UI Gothic"/>
          <w:spacing w:val="-1"/>
          <w:w w:val="80"/>
        </w:rPr>
        <w:t xml:space="preserve">ꎬ </w:t>
      </w:r>
      <w:r>
        <w:rPr>
          <w:spacing w:val="1"/>
          <w:w w:val="105"/>
        </w:rPr>
        <w:t>督促</w:t>
      </w:r>
      <w:r>
        <w:rPr>
          <w:spacing w:val="3"/>
        </w:rPr>
        <w:t>企业落实各项安全防范和隐患治理措施</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5"/>
          <w:w w:val="105"/>
        </w:rPr>
        <w:t>四</w:t>
      </w:r>
      <w:r>
        <w:rPr>
          <w:rFonts w:hint="eastAsia" w:ascii="MS UI Gothic" w:eastAsia="MS UI Gothic"/>
          <w:spacing w:val="11"/>
          <w:w w:val="150"/>
        </w:rPr>
        <w:t xml:space="preserve">) </w:t>
      </w:r>
      <w:r>
        <w:rPr>
          <w:spacing w:val="23"/>
          <w:w w:val="105"/>
        </w:rPr>
        <w:t>参与企业特别重大事故的调</w:t>
      </w:r>
      <w:r>
        <w:rPr>
          <w:spacing w:val="3"/>
        </w:rPr>
        <w:t>查</w:t>
      </w:r>
      <w:r>
        <w:rPr>
          <w:rFonts w:hint="eastAsia" w:ascii="MS UI Gothic" w:eastAsia="MS UI Gothic"/>
          <w:spacing w:val="23"/>
          <w:w w:val="80"/>
        </w:rPr>
        <w:t xml:space="preserve">ꎬ </w:t>
      </w:r>
      <w:r>
        <w:rPr>
          <w:spacing w:val="3"/>
        </w:rPr>
        <w:t>负责落实事故责任追究的有关规定</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督促企业做好统筹规划</w:t>
      </w:r>
      <w:r>
        <w:rPr>
          <w:rFonts w:hint="eastAsia" w:ascii="MS UI Gothic" w:eastAsia="MS UI Gothic"/>
          <w:w w:val="80"/>
        </w:rPr>
        <w:t xml:space="preserve">ꎬ </w:t>
      </w:r>
      <w:r>
        <w:rPr>
          <w:w w:val="105"/>
        </w:rPr>
        <w:t>把安</w:t>
      </w:r>
      <w:r>
        <w:t>全生产纳入中长期发展规划</w:t>
      </w:r>
      <w:r>
        <w:rPr>
          <w:rFonts w:hint="eastAsia" w:ascii="MS UI Gothic" w:eastAsia="MS UI Gothic"/>
          <w:w w:val="80"/>
        </w:rPr>
        <w:t xml:space="preserve">ꎬ </w:t>
      </w:r>
      <w:r>
        <w:t>保障职工健</w:t>
      </w:r>
      <w:r>
        <w:rPr>
          <w:w w:val="105"/>
        </w:rPr>
        <w:t>康与安全</w:t>
      </w:r>
      <w:r>
        <w:rPr>
          <w:rFonts w:hint="eastAsia" w:ascii="MS UI Gothic" w:eastAsia="MS UI Gothic"/>
          <w:w w:val="80"/>
        </w:rPr>
        <w:t xml:space="preserve">ꎬ </w:t>
      </w:r>
      <w:r>
        <w:rPr>
          <w:w w:val="105"/>
        </w:rPr>
        <w:t>切实履行社会责任</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第四条 国资委对中央企业安全生产</w:t>
      </w:r>
      <w:r>
        <w:rPr>
          <w:spacing w:val="3"/>
        </w:rPr>
        <w:t>实行分类监督管理</w:t>
      </w:r>
      <w:r>
        <w:rPr>
          <w:rFonts w:hint="eastAsia" w:ascii="MS UI Gothic" w:eastAsia="MS UI Gothic"/>
          <w:spacing w:val="13"/>
          <w:w w:val="85"/>
        </w:rPr>
        <w:t xml:space="preserve">ꎮ </w:t>
      </w:r>
      <w:r>
        <w:rPr>
          <w:spacing w:val="2"/>
        </w:rPr>
        <w:t>中央企业依据国资委核定的主营业务和安全生产的风险程度分</w:t>
      </w:r>
      <w:r>
        <w:rPr>
          <w:spacing w:val="1"/>
          <w:w w:val="102"/>
        </w:rPr>
        <w:t>为三类</w:t>
      </w:r>
      <w:r>
        <w:rPr>
          <w:spacing w:val="1"/>
        </w:rPr>
        <w:t xml:space="preserve"> </w:t>
      </w:r>
      <w:r>
        <w:rPr>
          <w:rFonts w:hint="eastAsia" w:ascii="MS UI Gothic" w:eastAsia="MS UI Gothic"/>
          <w:w w:val="168"/>
        </w:rPr>
        <w:t>(</w:t>
      </w:r>
      <w:r>
        <w:rPr>
          <w:rFonts w:hint="eastAsia" w:ascii="MS UI Gothic" w:eastAsia="MS UI Gothic"/>
        </w:rPr>
        <w:t xml:space="preserve"> </w:t>
      </w:r>
      <w:r>
        <w:rPr>
          <w:spacing w:val="2"/>
          <w:w w:val="102"/>
        </w:rPr>
        <w:t>见附件</w:t>
      </w:r>
      <w:r>
        <w:rPr>
          <w:spacing w:val="-50"/>
        </w:rPr>
        <w:t xml:space="preserve"> </w:t>
      </w:r>
      <w:r>
        <w:rPr>
          <w:rFonts w:hint="eastAsia" w:ascii="MS UI Gothic" w:eastAsia="MS UI Gothic"/>
          <w:spacing w:val="5"/>
          <w:w w:val="75"/>
        </w:rPr>
        <w:t>１</w:t>
      </w:r>
      <w:r>
        <w:rPr>
          <w:rFonts w:hint="eastAsia" w:ascii="MS UI Gothic" w:eastAsia="MS UI Gothic"/>
          <w:spacing w:val="21"/>
          <w:w w:val="168"/>
        </w:rPr>
        <w:t>)</w:t>
      </w:r>
      <w:r>
        <w:rPr>
          <w:rFonts w:hint="eastAsia" w:ascii="MS UI Gothic" w:eastAsia="MS UI Gothic"/>
          <w:w w:val="253"/>
        </w:rPr>
        <w:t>:</w:t>
      </w:r>
    </w:p>
    <w:p>
      <w:pPr>
        <w:pStyle w:val="6"/>
        <w:spacing w:line="295" w:lineRule="auto"/>
        <w:ind w:right="39"/>
      </w:pPr>
      <w:r>
        <w:rPr>
          <w:w w:val="105"/>
        </w:rPr>
        <w:t>第一类</w:t>
      </w:r>
      <w:r>
        <w:rPr>
          <w:rFonts w:hint="eastAsia" w:ascii="MS UI Gothic" w:eastAsia="MS UI Gothic"/>
          <w:w w:val="105"/>
        </w:rPr>
        <w:t xml:space="preserve">: </w:t>
      </w:r>
      <w:r>
        <w:rPr>
          <w:w w:val="105"/>
        </w:rPr>
        <w:t>主业从事煤炭及非煤矿山开采</w:t>
      </w:r>
      <w:r>
        <w:rPr>
          <w:rFonts w:hint="eastAsia" w:ascii="MS UI Gothic" w:eastAsia="MS UI Gothic"/>
        </w:rPr>
        <w:t xml:space="preserve">、 </w:t>
      </w:r>
      <w:r>
        <w:rPr>
          <w:w w:val="105"/>
        </w:rPr>
        <w:t>建筑施工</w:t>
      </w:r>
      <w:r>
        <w:rPr>
          <w:rFonts w:hint="eastAsia" w:ascii="MS UI Gothic" w:eastAsia="MS UI Gothic"/>
        </w:rPr>
        <w:t xml:space="preserve">、 </w:t>
      </w:r>
      <w:r>
        <w:rPr>
          <w:w w:val="105"/>
        </w:rPr>
        <w:t>危险物品的生产经营储运</w:t>
      </w:r>
    </w:p>
    <w:p>
      <w:pPr>
        <w:pStyle w:val="6"/>
        <w:spacing w:before="123"/>
        <w:ind w:firstLine="0"/>
        <w:rPr>
          <w:rFonts w:hint="eastAsia" w:ascii="MS UI Gothic" w:eastAsia="MS UI Gothic"/>
        </w:rPr>
      </w:pPr>
      <w:r>
        <w:br w:type="column"/>
      </w:r>
      <w:r>
        <w:t>使用</w:t>
      </w:r>
      <w:r>
        <w:rPr>
          <w:rFonts w:hint="eastAsia" w:ascii="MS UI Gothic" w:eastAsia="MS UI Gothic"/>
        </w:rPr>
        <w:t xml:space="preserve">、 </w:t>
      </w:r>
      <w:r>
        <w:t>交通运输的企业</w:t>
      </w:r>
      <w:r>
        <w:rPr>
          <w:rFonts w:hint="eastAsia" w:ascii="MS UI Gothic" w:eastAsia="MS UI Gothic"/>
          <w:w w:val="80"/>
        </w:rPr>
        <w:t>ꎻ</w:t>
      </w:r>
    </w:p>
    <w:p>
      <w:pPr>
        <w:pStyle w:val="6"/>
        <w:spacing w:before="58" w:line="295" w:lineRule="auto"/>
        <w:ind w:right="442"/>
        <w:rPr>
          <w:rFonts w:hint="eastAsia" w:ascii="MS UI Gothic" w:eastAsia="MS UI Gothic"/>
        </w:rPr>
      </w:pPr>
      <w:r>
        <w:t>第二类</w:t>
      </w:r>
      <w:r>
        <w:rPr>
          <w:rFonts w:hint="eastAsia" w:ascii="MS UI Gothic" w:eastAsia="MS UI Gothic"/>
          <w:w w:val="235"/>
        </w:rPr>
        <w:t xml:space="preserve">: </w:t>
      </w:r>
      <w:r>
        <w:t>主业从事冶金</w:t>
      </w:r>
      <w:r>
        <w:rPr>
          <w:rFonts w:hint="eastAsia" w:ascii="MS UI Gothic" w:eastAsia="MS UI Gothic"/>
          <w:w w:val="80"/>
        </w:rPr>
        <w:t xml:space="preserve">、 </w:t>
      </w:r>
      <w:r>
        <w:t>机械</w:t>
      </w:r>
      <w:r>
        <w:rPr>
          <w:rFonts w:hint="eastAsia" w:ascii="MS UI Gothic" w:eastAsia="MS UI Gothic"/>
          <w:w w:val="80"/>
        </w:rPr>
        <w:t xml:space="preserve">、 </w:t>
      </w:r>
      <w:r>
        <w:t>电子</w:t>
      </w:r>
      <w:r>
        <w:rPr>
          <w:rFonts w:hint="eastAsia" w:ascii="MS UI Gothic" w:eastAsia="MS UI Gothic"/>
          <w:w w:val="80"/>
        </w:rPr>
        <w:t xml:space="preserve">、 </w:t>
      </w:r>
      <w:r>
        <w:t>电力</w:t>
      </w:r>
      <w:r>
        <w:rPr>
          <w:rFonts w:hint="eastAsia" w:ascii="MS UI Gothic" w:eastAsia="MS UI Gothic"/>
          <w:w w:val="80"/>
        </w:rPr>
        <w:t xml:space="preserve">、 </w:t>
      </w:r>
      <w:r>
        <w:t>建材</w:t>
      </w:r>
      <w:r>
        <w:rPr>
          <w:rFonts w:hint="eastAsia" w:ascii="MS UI Gothic" w:eastAsia="MS UI Gothic"/>
          <w:w w:val="80"/>
        </w:rPr>
        <w:t xml:space="preserve">、 </w:t>
      </w:r>
      <w:r>
        <w:t>医药</w:t>
      </w:r>
      <w:r>
        <w:rPr>
          <w:rFonts w:hint="eastAsia" w:ascii="MS UI Gothic" w:eastAsia="MS UI Gothic"/>
          <w:w w:val="80"/>
        </w:rPr>
        <w:t xml:space="preserve">、  </w:t>
      </w:r>
      <w:r>
        <w:t>纺织</w:t>
      </w:r>
      <w:r>
        <w:rPr>
          <w:rFonts w:hint="eastAsia" w:ascii="MS UI Gothic" w:eastAsia="MS UI Gothic"/>
          <w:w w:val="80"/>
        </w:rPr>
        <w:t xml:space="preserve">、  </w:t>
      </w:r>
      <w:r>
        <w:t>仓储</w:t>
      </w:r>
      <w:r>
        <w:rPr>
          <w:rFonts w:hint="eastAsia" w:ascii="MS UI Gothic" w:eastAsia="MS UI Gothic"/>
          <w:w w:val="80"/>
        </w:rPr>
        <w:t xml:space="preserve">、  </w:t>
      </w:r>
      <w:r>
        <w:t>旅游</w:t>
      </w:r>
      <w:r>
        <w:rPr>
          <w:rFonts w:hint="eastAsia" w:ascii="MS UI Gothic" w:eastAsia="MS UI Gothic"/>
          <w:w w:val="80"/>
        </w:rPr>
        <w:t xml:space="preserve">、 </w:t>
      </w:r>
      <w:r>
        <w:t>通信的企业</w:t>
      </w:r>
      <w:r>
        <w:rPr>
          <w:rFonts w:hint="eastAsia" w:ascii="MS UI Gothic" w:eastAsia="MS UI Gothic"/>
          <w:w w:val="80"/>
        </w:rPr>
        <w:t>ꎻ</w:t>
      </w:r>
    </w:p>
    <w:p>
      <w:pPr>
        <w:pStyle w:val="6"/>
        <w:spacing w:line="295" w:lineRule="auto"/>
        <w:ind w:right="442"/>
        <w:rPr>
          <w:rFonts w:hint="eastAsia" w:ascii="MS UI Gothic" w:eastAsia="MS UI Gothic"/>
        </w:rPr>
      </w:pPr>
      <w:r>
        <w:rPr>
          <w:spacing w:val="3"/>
          <w:w w:val="110"/>
        </w:rPr>
        <w:t>第三类</w:t>
      </w:r>
      <w:r>
        <w:rPr>
          <w:rFonts w:hint="eastAsia" w:ascii="MS UI Gothic" w:eastAsia="MS UI Gothic"/>
          <w:spacing w:val="-25"/>
          <w:w w:val="140"/>
        </w:rPr>
        <w:t xml:space="preserve">: </w:t>
      </w:r>
      <w:r>
        <w:rPr>
          <w:spacing w:val="3"/>
          <w:w w:val="110"/>
        </w:rPr>
        <w:t>除上述第一</w:t>
      </w:r>
      <w:r>
        <w:rPr>
          <w:rFonts w:hint="eastAsia" w:ascii="MS UI Gothic" w:eastAsia="MS UI Gothic"/>
          <w:spacing w:val="-7"/>
          <w:w w:val="80"/>
        </w:rPr>
        <w:t xml:space="preserve">、 </w:t>
      </w:r>
      <w:r>
        <w:rPr>
          <w:spacing w:val="2"/>
          <w:w w:val="110"/>
        </w:rPr>
        <w:t>二类企业以外</w:t>
      </w:r>
      <w:r>
        <w:rPr>
          <w:spacing w:val="3"/>
          <w:w w:val="110"/>
        </w:rPr>
        <w:t>的企业</w:t>
      </w:r>
      <w:r>
        <w:rPr>
          <w:rFonts w:hint="eastAsia" w:ascii="MS UI Gothic" w:eastAsia="MS UI Gothic"/>
          <w:w w:val="80"/>
        </w:rPr>
        <w:t>ꎮ</w:t>
      </w:r>
    </w:p>
    <w:p>
      <w:pPr>
        <w:pStyle w:val="6"/>
        <w:spacing w:line="295" w:lineRule="auto"/>
        <w:ind w:right="442"/>
        <w:rPr>
          <w:rFonts w:hint="eastAsia" w:ascii="MS UI Gothic" w:eastAsia="MS UI Gothic"/>
        </w:rPr>
      </w:pPr>
      <w:r>
        <w:t>企业分类实行动态管理</w:t>
      </w:r>
      <w:r>
        <w:rPr>
          <w:rFonts w:hint="eastAsia" w:ascii="MS UI Gothic" w:eastAsia="MS UI Gothic"/>
          <w:w w:val="80"/>
        </w:rPr>
        <w:t xml:space="preserve">ꎬ </w:t>
      </w:r>
      <w:r>
        <w:t>可以根据主营业务内容的变化进行调整</w:t>
      </w:r>
      <w:r>
        <w:rPr>
          <w:rFonts w:hint="eastAsia" w:ascii="MS UI Gothic" w:eastAsia="MS UI Gothic"/>
          <w:w w:val="80"/>
        </w:rPr>
        <w:t>ꎮ</w:t>
      </w:r>
    </w:p>
    <w:p>
      <w:pPr>
        <w:pStyle w:val="6"/>
        <w:tabs>
          <w:tab w:val="left" w:pos="1591"/>
        </w:tabs>
        <w:spacing w:before="152"/>
        <w:ind w:left="753" w:firstLine="0"/>
        <w:jc w:val="left"/>
      </w:pPr>
      <w:r>
        <w:rPr>
          <w:spacing w:val="3"/>
          <w:w w:val="105"/>
        </w:rPr>
        <w:t>第二</w:t>
      </w:r>
      <w:r>
        <w:rPr>
          <w:w w:val="105"/>
        </w:rPr>
        <w:t>章</w:t>
      </w:r>
      <w:r>
        <w:rPr>
          <w:w w:val="105"/>
        </w:rPr>
        <w:tab/>
      </w:r>
      <w:r>
        <w:rPr>
          <w:spacing w:val="3"/>
          <w:w w:val="105"/>
        </w:rPr>
        <w:t>安全生产工作责</w:t>
      </w:r>
      <w:r>
        <w:rPr>
          <w:w w:val="105"/>
        </w:rPr>
        <w:t>任</w:t>
      </w:r>
    </w:p>
    <w:p>
      <w:pPr>
        <w:pStyle w:val="6"/>
        <w:spacing w:before="215" w:line="295" w:lineRule="auto"/>
        <w:ind w:right="440"/>
        <w:rPr>
          <w:rFonts w:hint="eastAsia" w:ascii="MS UI Gothic" w:hAnsi="MS UI Gothic" w:eastAsia="MS UI Gothic"/>
        </w:rPr>
      </w:pPr>
      <w:r>
        <w:t>第五条 中央企业是安全生产的责任主体</w:t>
      </w:r>
      <w:r>
        <w:rPr>
          <w:rFonts w:hint="eastAsia" w:ascii="MS UI Gothic" w:hAnsi="MS UI Gothic" w:eastAsia="MS UI Gothic"/>
          <w:w w:val="80"/>
        </w:rPr>
        <w:t xml:space="preserve">ꎬ </w:t>
      </w:r>
      <w:r>
        <w:t>必须贯彻落实国家安全生产方针政策及有关法律法规</w:t>
      </w:r>
      <w:r>
        <w:rPr>
          <w:rFonts w:hint="eastAsia" w:ascii="MS UI Gothic" w:hAnsi="MS UI Gothic" w:eastAsia="MS UI Gothic"/>
          <w:w w:val="80"/>
        </w:rPr>
        <w:t xml:space="preserve">、 </w:t>
      </w:r>
      <w:r>
        <w:t>标准</w:t>
      </w:r>
      <w:r>
        <w:rPr>
          <w:rFonts w:hint="eastAsia" w:ascii="MS UI Gothic" w:hAnsi="MS UI Gothic" w:eastAsia="MS UI Gothic"/>
          <w:w w:val="80"/>
        </w:rPr>
        <w:t xml:space="preserve">ꎬ </w:t>
      </w:r>
      <w:r>
        <w:t xml:space="preserve">按照 </w:t>
      </w:r>
      <w:r>
        <w:rPr>
          <w:rFonts w:hint="eastAsia" w:ascii="MS UI Gothic" w:hAnsi="MS UI Gothic" w:eastAsia="MS UI Gothic"/>
        </w:rPr>
        <w:t xml:space="preserve">“ </w:t>
      </w:r>
      <w:r>
        <w:t>统一领导</w:t>
      </w:r>
      <w:r>
        <w:rPr>
          <w:rFonts w:hint="eastAsia" w:ascii="MS UI Gothic" w:hAnsi="MS UI Gothic" w:eastAsia="MS UI Gothic"/>
          <w:w w:val="80"/>
        </w:rPr>
        <w:t xml:space="preserve">、 </w:t>
      </w:r>
      <w:r>
        <w:t>落实责任</w:t>
      </w:r>
      <w:r>
        <w:rPr>
          <w:rFonts w:hint="eastAsia" w:ascii="MS UI Gothic" w:hAnsi="MS UI Gothic" w:eastAsia="MS UI Gothic"/>
          <w:w w:val="80"/>
        </w:rPr>
        <w:t xml:space="preserve">、 </w:t>
      </w:r>
      <w:r>
        <w:t>分级管理</w:t>
      </w:r>
      <w:r>
        <w:rPr>
          <w:rFonts w:hint="eastAsia" w:ascii="MS UI Gothic" w:hAnsi="MS UI Gothic" w:eastAsia="MS UI Gothic"/>
          <w:w w:val="80"/>
        </w:rPr>
        <w:t xml:space="preserve">、 </w:t>
      </w:r>
      <w:r>
        <w:t>分类指导</w:t>
      </w:r>
      <w:r>
        <w:rPr>
          <w:rFonts w:hint="eastAsia" w:ascii="MS UI Gothic" w:hAnsi="MS UI Gothic" w:eastAsia="MS UI Gothic"/>
          <w:w w:val="80"/>
        </w:rPr>
        <w:t>、</w:t>
      </w:r>
      <w:r>
        <w:t>全员参与</w:t>
      </w:r>
      <w:r>
        <w:rPr>
          <w:rFonts w:hint="eastAsia" w:ascii="MS UI Gothic" w:hAnsi="MS UI Gothic" w:eastAsia="MS UI Gothic"/>
        </w:rPr>
        <w:t xml:space="preserve">” </w:t>
      </w:r>
      <w:r>
        <w:t>的原则</w:t>
      </w:r>
      <w:r>
        <w:rPr>
          <w:rFonts w:hint="eastAsia" w:ascii="MS UI Gothic" w:hAnsi="MS UI Gothic" w:eastAsia="MS UI Gothic"/>
          <w:w w:val="80"/>
        </w:rPr>
        <w:t xml:space="preserve">ꎬ </w:t>
      </w:r>
      <w:r>
        <w:t>逐级建立健全安全生产责任制</w:t>
      </w:r>
      <w:r>
        <w:rPr>
          <w:rFonts w:hint="eastAsia" w:ascii="MS UI Gothic" w:hAnsi="MS UI Gothic" w:eastAsia="MS UI Gothic"/>
          <w:w w:val="80"/>
        </w:rPr>
        <w:t xml:space="preserve">ꎮ </w:t>
      </w:r>
      <w:r>
        <w:t>安全生产责任制应当覆盖本企业全体职工和岗位</w:t>
      </w:r>
      <w:r>
        <w:rPr>
          <w:rFonts w:hint="eastAsia" w:ascii="MS UI Gothic" w:hAnsi="MS UI Gothic" w:eastAsia="MS UI Gothic"/>
          <w:w w:val="80"/>
        </w:rPr>
        <w:t xml:space="preserve">、 </w:t>
      </w:r>
      <w:r>
        <w:t>全部生产经营和管理过程</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w w:val="105"/>
        </w:rPr>
        <w:t>第六条 中央企业应当按照以下规定</w:t>
      </w:r>
      <w:r>
        <w:t>建立以企业主要负责人为核心的安全生产</w:t>
      </w:r>
      <w:r>
        <w:rPr>
          <w:w w:val="105"/>
        </w:rPr>
        <w:t>领导负责制</w:t>
      </w:r>
      <w:r>
        <w:rPr>
          <w:rFonts w:hint="eastAsia" w:ascii="MS UI Gothic" w:eastAsia="MS UI Gothic"/>
          <w:w w:val="80"/>
        </w:rPr>
        <w:t>ꎮ</w:t>
      </w:r>
    </w:p>
    <w:p>
      <w:pPr>
        <w:pStyle w:val="6"/>
        <w:spacing w:line="295" w:lineRule="auto"/>
        <w:ind w:right="442"/>
        <w:rPr>
          <w:rFonts w:hint="eastAsia" w:ascii="MS UI Gothic" w:hAnsi="MS UI Gothic" w:eastAsia="MS UI Gothic"/>
        </w:rPr>
      </w:pPr>
      <w:r>
        <w:rPr>
          <w:rFonts w:hint="eastAsia" w:ascii="MS UI Gothic" w:hAnsi="MS UI Gothic" w:eastAsia="MS UI Gothic"/>
          <w:spacing w:val="-38"/>
          <w:w w:val="150"/>
        </w:rPr>
        <w:t xml:space="preserve">( </w:t>
      </w:r>
      <w:r>
        <w:rPr>
          <w:spacing w:val="3"/>
          <w:w w:val="105"/>
        </w:rPr>
        <w:t>一</w:t>
      </w:r>
      <w:r>
        <w:rPr>
          <w:rFonts w:hint="eastAsia" w:ascii="MS UI Gothic" w:hAnsi="MS UI Gothic" w:eastAsia="MS UI Gothic"/>
          <w:spacing w:val="4"/>
          <w:w w:val="150"/>
        </w:rPr>
        <w:t xml:space="preserve">) </w:t>
      </w:r>
      <w:r>
        <w:rPr>
          <w:spacing w:val="5"/>
          <w:w w:val="105"/>
        </w:rPr>
        <w:t>中央企业主要负责人是本企业</w:t>
      </w:r>
      <w:r>
        <w:rPr>
          <w:spacing w:val="3"/>
        </w:rPr>
        <w:t>安全生产的第一责任人</w:t>
      </w:r>
      <w:r>
        <w:rPr>
          <w:rFonts w:hint="eastAsia" w:ascii="MS UI Gothic" w:hAnsi="MS UI Gothic" w:eastAsia="MS UI Gothic"/>
          <w:spacing w:val="20"/>
          <w:w w:val="80"/>
        </w:rPr>
        <w:t xml:space="preserve">ꎬ </w:t>
      </w:r>
      <w:r>
        <w:rPr>
          <w:spacing w:val="2"/>
        </w:rPr>
        <w:t>对本企业安全生</w:t>
      </w:r>
      <w:r>
        <w:rPr>
          <w:spacing w:val="8"/>
          <w:w w:val="105"/>
        </w:rPr>
        <w:t>产工作负总责</w:t>
      </w:r>
      <w:r>
        <w:rPr>
          <w:rFonts w:hint="eastAsia" w:ascii="MS UI Gothic" w:hAnsi="MS UI Gothic" w:eastAsia="MS UI Gothic"/>
          <w:spacing w:val="8"/>
          <w:w w:val="80"/>
        </w:rPr>
        <w:t xml:space="preserve">ꎬ </w:t>
      </w:r>
      <w:r>
        <w:rPr>
          <w:spacing w:val="8"/>
          <w:w w:val="105"/>
        </w:rPr>
        <w:t xml:space="preserve">应当全面履行 </w:t>
      </w:r>
      <w:r>
        <w:rPr>
          <w:rFonts w:hint="eastAsia" w:ascii="MS UI Gothic" w:hAnsi="MS UI Gothic" w:eastAsia="MS UI Gothic"/>
          <w:spacing w:val="-15"/>
          <w:w w:val="80"/>
        </w:rPr>
        <w:t xml:space="preserve">« </w:t>
      </w:r>
      <w:r>
        <w:rPr>
          <w:spacing w:val="14"/>
          <w:w w:val="105"/>
        </w:rPr>
        <w:t>中华人</w:t>
      </w:r>
      <w:r>
        <w:rPr>
          <w:spacing w:val="3"/>
          <w:w w:val="105"/>
        </w:rPr>
        <w:t>民共和国安全生产法</w:t>
      </w:r>
      <w:r>
        <w:rPr>
          <w:rFonts w:hint="eastAsia" w:ascii="MS UI Gothic" w:hAnsi="MS UI Gothic" w:eastAsia="MS UI Gothic"/>
          <w:spacing w:val="21"/>
          <w:w w:val="80"/>
        </w:rPr>
        <w:t xml:space="preserve">» </w:t>
      </w:r>
      <w:r>
        <w:rPr>
          <w:spacing w:val="3"/>
          <w:w w:val="105"/>
        </w:rPr>
        <w:t>规定的以下职责</w:t>
      </w:r>
      <w:r>
        <w:rPr>
          <w:rFonts w:hint="eastAsia" w:ascii="MS UI Gothic" w:hAnsi="MS UI Gothic" w:eastAsia="MS UI Gothic"/>
          <w:w w:val="235"/>
        </w:rPr>
        <w:t>:</w:t>
      </w:r>
    </w:p>
    <w:p>
      <w:pPr>
        <w:pStyle w:val="6"/>
        <w:spacing w:line="253" w:lineRule="exact"/>
        <w:ind w:left="538" w:firstLine="0"/>
        <w:rPr>
          <w:rFonts w:hint="eastAsia" w:ascii="MS UI Gothic" w:eastAsia="MS UI Gothic"/>
        </w:rPr>
      </w:pPr>
      <w:r>
        <w:rPr>
          <w:rFonts w:hint="eastAsia" w:ascii="MS UI Gothic" w:eastAsia="MS UI Gothic"/>
        </w:rPr>
        <w:t>１</w:t>
      </w:r>
      <w:r>
        <w:rPr>
          <w:rFonts w:hint="eastAsia" w:ascii="MS UI Gothic" w:eastAsia="MS UI Gothic"/>
          <w:spacing w:val="17"/>
        </w:rPr>
        <w:t xml:space="preserve"> </w:t>
      </w:r>
      <w:r>
        <w:rPr>
          <w:spacing w:val="3"/>
        </w:rPr>
        <w:t>建立健全本企业安全生产责任制</w:t>
      </w:r>
      <w:r>
        <w:rPr>
          <w:rFonts w:hint="eastAsia" w:ascii="MS UI Gothic" w:eastAsia="MS UI Gothic"/>
          <w:w w:val="85"/>
        </w:rPr>
        <w:t>ꎻ</w:t>
      </w:r>
    </w:p>
    <w:p>
      <w:pPr>
        <w:pStyle w:val="6"/>
        <w:spacing w:before="50" w:line="295" w:lineRule="auto"/>
        <w:ind w:right="442" w:firstLine="413"/>
        <w:jc w:val="left"/>
        <w:rPr>
          <w:rFonts w:hint="eastAsia" w:ascii="MS UI Gothic" w:eastAsia="MS UI Gothic"/>
        </w:rPr>
      </w:pPr>
      <w:r>
        <w:rPr>
          <w:rFonts w:hint="eastAsia" w:ascii="MS UI Gothic" w:eastAsia="MS UI Gothic"/>
        </w:rPr>
        <w:t xml:space="preserve">２ </w:t>
      </w:r>
      <w:r>
        <w:t>组织制定本企业安全生产规章制度和操作规程</w:t>
      </w:r>
      <w:r>
        <w:rPr>
          <w:rFonts w:hint="eastAsia" w:ascii="MS UI Gothic" w:eastAsia="MS UI Gothic"/>
          <w:w w:val="85"/>
        </w:rPr>
        <w:t>ꎻ</w:t>
      </w:r>
    </w:p>
    <w:p>
      <w:pPr>
        <w:pStyle w:val="6"/>
        <w:spacing w:line="295" w:lineRule="auto"/>
        <w:ind w:right="442" w:firstLine="413"/>
        <w:jc w:val="left"/>
        <w:rPr>
          <w:rFonts w:hint="eastAsia" w:ascii="MS UI Gothic" w:eastAsia="MS UI Gothic"/>
        </w:rPr>
      </w:pPr>
      <w:r>
        <w:rPr>
          <w:rFonts w:hint="eastAsia" w:ascii="MS UI Gothic" w:eastAsia="MS UI Gothic"/>
        </w:rPr>
        <w:t xml:space="preserve">３ </w:t>
      </w:r>
      <w:r>
        <w:t>保证本企业安全生产投入的有效实施</w:t>
      </w:r>
      <w:r>
        <w:rPr>
          <w:rFonts w:hint="eastAsia" w:ascii="MS UI Gothic" w:eastAsia="MS UI Gothic"/>
          <w:w w:val="85"/>
        </w:rPr>
        <w:t>ꎻ</w:t>
      </w:r>
    </w:p>
    <w:p>
      <w:pPr>
        <w:pStyle w:val="6"/>
        <w:spacing w:line="295" w:lineRule="auto"/>
        <w:ind w:right="442" w:firstLine="413"/>
        <w:jc w:val="left"/>
        <w:rPr>
          <w:rFonts w:hint="eastAsia" w:ascii="MS UI Gothic" w:eastAsia="MS UI Gothic"/>
        </w:rPr>
      </w:pPr>
      <w:r>
        <w:rPr>
          <w:rFonts w:hint="eastAsia" w:ascii="MS UI Gothic" w:eastAsia="MS UI Gothic"/>
        </w:rPr>
        <w:t xml:space="preserve">４ </w:t>
      </w:r>
      <w:r>
        <w:t>督促</w:t>
      </w:r>
      <w:r>
        <w:rPr>
          <w:rFonts w:hint="eastAsia" w:ascii="MS UI Gothic" w:eastAsia="MS UI Gothic"/>
        </w:rPr>
        <w:t xml:space="preserve">、 </w:t>
      </w:r>
      <w:r>
        <w:t>检查本企业的安全生产工作</w:t>
      </w:r>
      <w:r>
        <w:rPr>
          <w:rFonts w:hint="eastAsia" w:ascii="MS UI Gothic" w:eastAsia="MS UI Gothic"/>
          <w:w w:val="85"/>
        </w:rPr>
        <w:t xml:space="preserve">ꎬ </w:t>
      </w:r>
      <w:r>
        <w:t>及时消除生产安全事故隐患</w:t>
      </w:r>
      <w:r>
        <w:rPr>
          <w:rFonts w:hint="eastAsia" w:ascii="MS UI Gothic" w:eastAsia="MS UI Gothic"/>
          <w:w w:val="85"/>
        </w:rPr>
        <w:t>ꎻ</w:t>
      </w:r>
    </w:p>
    <w:p>
      <w:pPr>
        <w:pStyle w:val="6"/>
        <w:spacing w:line="295" w:lineRule="auto"/>
        <w:ind w:right="442" w:firstLine="413"/>
        <w:jc w:val="left"/>
        <w:rPr>
          <w:rFonts w:hint="eastAsia" w:ascii="MS UI Gothic" w:eastAsia="MS UI Gothic"/>
        </w:rPr>
      </w:pPr>
      <w:r>
        <w:rPr>
          <w:rFonts w:hint="eastAsia" w:ascii="MS UI Gothic" w:eastAsia="MS UI Gothic"/>
        </w:rPr>
        <w:t xml:space="preserve">５ </w:t>
      </w:r>
      <w:r>
        <w:t>组织制定并实施本企业的生产安全事故应急救援预案</w:t>
      </w:r>
      <w:r>
        <w:rPr>
          <w:rFonts w:hint="eastAsia" w:ascii="MS UI Gothic" w:eastAsia="MS UI Gothic"/>
          <w:w w:val="85"/>
        </w:rPr>
        <w:t>ꎻ</w:t>
      </w:r>
    </w:p>
    <w:p>
      <w:pPr>
        <w:pStyle w:val="6"/>
        <w:spacing w:line="255" w:lineRule="exact"/>
        <w:ind w:left="538" w:firstLine="0"/>
        <w:rPr>
          <w:rFonts w:hint="eastAsia" w:ascii="MS UI Gothic" w:eastAsia="MS UI Gothic"/>
        </w:rPr>
      </w:pPr>
      <w:r>
        <w:rPr>
          <w:rFonts w:hint="eastAsia" w:ascii="MS UI Gothic" w:eastAsia="MS UI Gothic"/>
        </w:rPr>
        <w:t xml:space="preserve">６ </w:t>
      </w:r>
      <w:r>
        <w:t>及时</w:t>
      </w:r>
      <w:r>
        <w:rPr>
          <w:rFonts w:hint="eastAsia" w:ascii="MS UI Gothic" w:eastAsia="MS UI Gothic"/>
        </w:rPr>
        <w:t xml:space="preserve">、 </w:t>
      </w:r>
      <w:r>
        <w:t>如实报告生产安全事故</w:t>
      </w:r>
      <w:r>
        <w:rPr>
          <w:rFonts w:hint="eastAsia" w:ascii="MS UI Gothic" w:eastAsia="MS UI Gothic"/>
          <w:w w:val="85"/>
        </w:rPr>
        <w:t>ꎮ</w:t>
      </w:r>
    </w:p>
    <w:p>
      <w:pPr>
        <w:pStyle w:val="6"/>
        <w:spacing w:before="53"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中央企业主管生产的负责人统</w:t>
      </w:r>
      <w:r>
        <w:t>筹组织生产过程中各项安全生产制度和措施的落实</w:t>
      </w:r>
      <w:r>
        <w:rPr>
          <w:rFonts w:hint="eastAsia" w:ascii="MS UI Gothic" w:eastAsia="MS UI Gothic"/>
          <w:w w:val="80"/>
        </w:rPr>
        <w:t xml:space="preserve">ꎬ </w:t>
      </w:r>
      <w:r>
        <w:t>完善安全生产条件</w:t>
      </w:r>
      <w:r>
        <w:rPr>
          <w:rFonts w:hint="eastAsia" w:ascii="MS UI Gothic" w:eastAsia="MS UI Gothic"/>
          <w:w w:val="80"/>
        </w:rPr>
        <w:t xml:space="preserve">ꎬ </w:t>
      </w:r>
      <w:r>
        <w:t>对企业安</w:t>
      </w:r>
      <w:r>
        <w:rPr>
          <w:w w:val="105"/>
        </w:rPr>
        <w:t>全生产工作负重要领导责任</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１５５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10" o:spid="_x0000_s1510" o:spt="203" style="height:2.15pt;width:398.25pt;" coordsize="7965,43">
            <o:lock v:ext="edit"/>
            <v:line id="_x0000_s1511" o:spid="_x0000_s1511" o:spt="20" style="position:absolute;left:0;top:39;height:0;width:7965;" stroked="t" coordsize="21600,21600">
              <v:path arrowok="t"/>
              <v:fill focussize="0,0"/>
              <v:stroke weight="0.388031496062992pt" color="#231F20"/>
              <v:imagedata o:title=""/>
              <o:lock v:ext="edit"/>
            </v:line>
            <v:line id="_x0000_s1512" o:spid="_x0000_s151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中央企业主管安全生产工作的</w:t>
      </w:r>
      <w:r>
        <w:t>负责人协助主要负责人落实各项安全生产</w:t>
      </w:r>
      <w:r>
        <w:rPr>
          <w:w w:val="105"/>
        </w:rPr>
        <w:t>法律法规</w:t>
      </w:r>
      <w:r>
        <w:rPr>
          <w:rFonts w:hint="eastAsia" w:ascii="MS UI Gothic" w:eastAsia="MS UI Gothic"/>
          <w:w w:val="80"/>
        </w:rPr>
        <w:t xml:space="preserve">、 </w:t>
      </w:r>
      <w:r>
        <w:rPr>
          <w:w w:val="105"/>
        </w:rPr>
        <w:t>标准</w:t>
      </w:r>
      <w:r>
        <w:rPr>
          <w:rFonts w:hint="eastAsia" w:ascii="MS UI Gothic" w:eastAsia="MS UI Gothic"/>
          <w:w w:val="80"/>
        </w:rPr>
        <w:t xml:space="preserve">ꎬ </w:t>
      </w:r>
      <w:r>
        <w:rPr>
          <w:w w:val="105"/>
        </w:rPr>
        <w:t>统筹协调和综合管理企</w:t>
      </w:r>
      <w:r>
        <w:t>业的安全生产工作</w:t>
      </w:r>
      <w:r>
        <w:rPr>
          <w:rFonts w:hint="eastAsia" w:ascii="MS UI Gothic" w:eastAsia="MS UI Gothic"/>
          <w:w w:val="80"/>
        </w:rPr>
        <w:t xml:space="preserve">ꎬ </w:t>
      </w:r>
      <w:r>
        <w:t>对企业安全生产工作</w:t>
      </w:r>
      <w:r>
        <w:rPr>
          <w:w w:val="105"/>
        </w:rPr>
        <w:t>负综合管理领导责任</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中央企业其他负责人应当按照</w:t>
      </w:r>
      <w:r>
        <w:t>分工抓好主管范围内的安全生产工作</w:t>
      </w:r>
      <w:r>
        <w:rPr>
          <w:rFonts w:hint="eastAsia" w:ascii="MS UI Gothic" w:eastAsia="MS UI Gothic"/>
          <w:w w:val="80"/>
        </w:rPr>
        <w:t xml:space="preserve">ꎬ </w:t>
      </w:r>
      <w:r>
        <w:t>对主管范围内的安全生产工作负领导责任</w:t>
      </w:r>
      <w:r>
        <w:rPr>
          <w:rFonts w:hint="eastAsia" w:ascii="MS UI Gothic" w:eastAsia="MS UI Gothic"/>
          <w:w w:val="80"/>
        </w:rPr>
        <w:t>ꎮ</w:t>
      </w:r>
    </w:p>
    <w:p>
      <w:pPr>
        <w:pStyle w:val="6"/>
        <w:tabs>
          <w:tab w:val="left" w:pos="1698"/>
        </w:tabs>
        <w:spacing w:line="295" w:lineRule="auto"/>
        <w:ind w:left="440" w:right="1"/>
        <w:jc w:val="left"/>
        <w:rPr>
          <w:rFonts w:hint="eastAsia" w:ascii="MS UI Gothic" w:eastAsia="MS UI Gothic"/>
        </w:rPr>
      </w:pPr>
      <w:r>
        <w:rPr>
          <w:spacing w:val="3"/>
          <w:w w:val="110"/>
        </w:rPr>
        <w:t>第七</w:t>
      </w:r>
      <w:r>
        <w:rPr>
          <w:w w:val="110"/>
        </w:rPr>
        <w:t>条</w:t>
      </w:r>
      <w:r>
        <w:rPr>
          <w:w w:val="110"/>
        </w:rPr>
        <w:tab/>
      </w:r>
      <w:r>
        <w:rPr>
          <w:spacing w:val="3"/>
        </w:rPr>
        <w:t>中央企业必须建立健全安</w:t>
      </w:r>
      <w:r>
        <w:t>全</w:t>
      </w:r>
      <w:r>
        <w:rPr>
          <w:spacing w:val="3"/>
          <w:w w:val="110"/>
        </w:rPr>
        <w:t>生产的组织机构</w:t>
      </w:r>
      <w:r>
        <w:rPr>
          <w:rFonts w:hint="eastAsia" w:ascii="MS UI Gothic" w:eastAsia="MS UI Gothic"/>
          <w:w w:val="80"/>
        </w:rPr>
        <w:t>ꎬ</w:t>
      </w:r>
      <w:r>
        <w:rPr>
          <w:rFonts w:hint="eastAsia" w:ascii="MS UI Gothic" w:eastAsia="MS UI Gothic"/>
          <w:spacing w:val="45"/>
          <w:w w:val="80"/>
        </w:rPr>
        <w:t xml:space="preserve"> </w:t>
      </w:r>
      <w:r>
        <w:rPr>
          <w:spacing w:val="3"/>
          <w:w w:val="110"/>
        </w:rPr>
        <w:t>包括</w:t>
      </w:r>
      <w:r>
        <w:rPr>
          <w:rFonts w:hint="eastAsia" w:ascii="MS UI Gothic" w:eastAsia="MS UI Gothic"/>
          <w:w w:val="235"/>
        </w:rPr>
        <w:t>:</w:t>
      </w:r>
    </w:p>
    <w:p>
      <w:pPr>
        <w:pStyle w:val="6"/>
        <w:spacing w:line="295" w:lineRule="auto"/>
        <w:ind w:left="440"/>
        <w:rPr>
          <w:rFonts w:hint="eastAsia" w:ascii="MS UI Gothic" w:hAnsi="MS UI Gothic" w:eastAsia="MS UI Gothic"/>
        </w:rPr>
      </w:pPr>
      <w:r>
        <w:rPr>
          <w:rFonts w:hint="eastAsia" w:ascii="MS UI Gothic" w:hAnsi="MS UI Gothic" w:eastAsia="MS UI Gothic"/>
          <w:w w:val="168"/>
        </w:rPr>
        <w:t>(</w:t>
      </w:r>
      <w:r>
        <w:rPr>
          <w:rFonts w:hint="eastAsia" w:ascii="MS UI Gothic" w:hAnsi="MS UI Gothic" w:eastAsia="MS UI Gothic"/>
          <w:spacing w:val="-40"/>
        </w:rPr>
        <w:t xml:space="preserve"> </w:t>
      </w:r>
      <w:r>
        <w:rPr>
          <w:spacing w:val="3"/>
          <w:w w:val="102"/>
        </w:rPr>
        <w:t>一</w:t>
      </w:r>
      <w:r>
        <w:rPr>
          <w:rFonts w:hint="eastAsia" w:ascii="MS UI Gothic" w:hAnsi="MS UI Gothic" w:eastAsia="MS UI Gothic"/>
          <w:w w:val="168"/>
        </w:rPr>
        <w:t>)</w:t>
      </w:r>
      <w:r>
        <w:rPr>
          <w:rFonts w:hint="eastAsia" w:ascii="MS UI Gothic" w:hAnsi="MS UI Gothic" w:eastAsia="MS UI Gothic"/>
          <w:spacing w:val="2"/>
        </w:rPr>
        <w:t xml:space="preserve">  </w:t>
      </w:r>
      <w:r>
        <w:rPr>
          <w:spacing w:val="7"/>
          <w:w w:val="102"/>
        </w:rPr>
        <w:t>安全生产工作的领导机构</w:t>
      </w:r>
      <w:r>
        <w:rPr>
          <w:rFonts w:hint="eastAsia" w:ascii="MS UI Gothic" w:hAnsi="MS UI Gothic" w:eastAsia="MS UI Gothic"/>
          <w:spacing w:val="-68"/>
          <w:w w:val="153"/>
        </w:rPr>
        <w:t>———</w:t>
      </w:r>
      <w:r>
        <w:rPr>
          <w:spacing w:val="-2"/>
          <w:w w:val="105"/>
        </w:rPr>
        <w:t xml:space="preserve">安全生产委员会 </w:t>
      </w:r>
      <w:r>
        <w:rPr>
          <w:rFonts w:hint="eastAsia" w:ascii="MS UI Gothic" w:hAnsi="MS UI Gothic" w:eastAsia="MS UI Gothic"/>
          <w:spacing w:val="-35"/>
          <w:w w:val="140"/>
        </w:rPr>
        <w:t xml:space="preserve">( </w:t>
      </w:r>
      <w:r>
        <w:rPr>
          <w:spacing w:val="9"/>
          <w:w w:val="105"/>
        </w:rPr>
        <w:t>以下简称安委会</w:t>
      </w:r>
      <w:r>
        <w:rPr>
          <w:rFonts w:hint="eastAsia" w:ascii="MS UI Gothic" w:hAnsi="MS UI Gothic" w:eastAsia="MS UI Gothic"/>
          <w:spacing w:val="-36"/>
          <w:w w:val="140"/>
        </w:rPr>
        <w:t xml:space="preserve">) </w:t>
      </w:r>
      <w:r>
        <w:rPr>
          <w:rFonts w:hint="eastAsia" w:ascii="MS UI Gothic" w:hAnsi="MS UI Gothic" w:eastAsia="MS UI Gothic"/>
          <w:spacing w:val="11"/>
          <w:w w:val="85"/>
        </w:rPr>
        <w:t xml:space="preserve">ꎬ </w:t>
      </w:r>
      <w:r>
        <w:rPr>
          <w:w w:val="105"/>
        </w:rPr>
        <w:t>负</w:t>
      </w:r>
      <w:r>
        <w:rPr>
          <w:spacing w:val="3"/>
        </w:rPr>
        <w:t>责统一领导本企业的安全生产工作</w:t>
      </w:r>
      <w:r>
        <w:rPr>
          <w:rFonts w:hint="eastAsia" w:ascii="MS UI Gothic" w:hAnsi="MS UI Gothic" w:eastAsia="MS UI Gothic"/>
          <w:spacing w:val="14"/>
          <w:w w:val="85"/>
        </w:rPr>
        <w:t xml:space="preserve">ꎬ </w:t>
      </w:r>
      <w:r>
        <w:rPr>
          <w:spacing w:val="1"/>
        </w:rPr>
        <w:t>研究</w:t>
      </w:r>
      <w:r>
        <w:rPr>
          <w:spacing w:val="3"/>
        </w:rPr>
        <w:t>决策企业安全生产的重大问题</w:t>
      </w:r>
      <w:r>
        <w:rPr>
          <w:rFonts w:hint="eastAsia" w:ascii="MS UI Gothic" w:hAnsi="MS UI Gothic" w:eastAsia="MS UI Gothic"/>
          <w:spacing w:val="14"/>
          <w:w w:val="85"/>
        </w:rPr>
        <w:t xml:space="preserve">ꎮ </w:t>
      </w:r>
      <w:r>
        <w:rPr>
          <w:spacing w:val="2"/>
        </w:rPr>
        <w:t>安委会主</w:t>
      </w:r>
      <w:r>
        <w:rPr>
          <w:spacing w:val="4"/>
        </w:rPr>
        <w:t>任应当由企业安全生产第一责任人担任</w:t>
      </w:r>
      <w:r>
        <w:rPr>
          <w:rFonts w:hint="eastAsia" w:ascii="MS UI Gothic" w:hAnsi="MS UI Gothic" w:eastAsia="MS UI Gothic"/>
          <w:w w:val="85"/>
        </w:rPr>
        <w:t>ꎮ</w:t>
      </w:r>
      <w:r>
        <w:rPr>
          <w:spacing w:val="3"/>
          <w:w w:val="105"/>
        </w:rPr>
        <w:t>安委会应当建立工作制度和例会制度</w:t>
      </w:r>
      <w:r>
        <w:rPr>
          <w:rFonts w:hint="eastAsia" w:ascii="MS UI Gothic" w:hAns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与企业生产经营相适应的安全</w:t>
      </w:r>
      <w:r>
        <w:rPr>
          <w:w w:val="110"/>
        </w:rPr>
        <w:t>生产监督管理机构</w:t>
      </w:r>
      <w:r>
        <w:rPr>
          <w:rFonts w:hint="eastAsia" w:ascii="MS UI Gothic" w:eastAsia="MS UI Gothic"/>
          <w:w w:val="80"/>
        </w:rPr>
        <w:t>ꎮ</w:t>
      </w:r>
    </w:p>
    <w:p>
      <w:pPr>
        <w:pStyle w:val="6"/>
        <w:spacing w:line="295" w:lineRule="auto"/>
        <w:ind w:left="440" w:right="1"/>
        <w:jc w:val="left"/>
        <w:rPr>
          <w:rFonts w:hint="eastAsia" w:ascii="MS UI Gothic" w:eastAsia="MS UI Gothic"/>
        </w:rPr>
      </w:pPr>
      <w:r>
        <w:t>第一类企业应当设置负责安全生产监</w:t>
      </w:r>
      <w:r>
        <w:rPr>
          <w:w w:val="105"/>
        </w:rPr>
        <w:t>督管理工作的独立职能部门</w:t>
      </w:r>
      <w:r>
        <w:rPr>
          <w:rFonts w:hint="eastAsia" w:ascii="MS UI Gothic" w:eastAsia="MS UI Gothic"/>
          <w:w w:val="80"/>
        </w:rPr>
        <w:t>ꎮ</w:t>
      </w:r>
    </w:p>
    <w:p>
      <w:pPr>
        <w:pStyle w:val="6"/>
        <w:spacing w:line="295" w:lineRule="auto"/>
        <w:ind w:left="440" w:right="1"/>
        <w:rPr>
          <w:rFonts w:hint="eastAsia" w:ascii="MS UI Gothic" w:eastAsia="MS UI Gothic"/>
        </w:rPr>
      </w:pPr>
      <w:r>
        <w:t>第二类企业应当在有关职能部门中设置负责安全生产监督管理工作的内部专业机构</w:t>
      </w:r>
      <w:r>
        <w:rPr>
          <w:rFonts w:hint="eastAsia" w:ascii="MS UI Gothic" w:eastAsia="MS UI Gothic"/>
          <w:w w:val="80"/>
        </w:rPr>
        <w:t xml:space="preserve">ꎻ </w:t>
      </w:r>
      <w:r>
        <w:t>安全生产任务较重的企业应当设置负责安全生产监督管理工作的独立职能</w:t>
      </w:r>
      <w:r>
        <w:rPr>
          <w:w w:val="105"/>
        </w:rPr>
        <w:t>部门</w:t>
      </w:r>
      <w:r>
        <w:rPr>
          <w:rFonts w:hint="eastAsia" w:ascii="MS UI Gothic" w:eastAsia="MS UI Gothic"/>
          <w:w w:val="80"/>
        </w:rPr>
        <w:t>ꎮ</w:t>
      </w:r>
    </w:p>
    <w:p>
      <w:pPr>
        <w:pStyle w:val="6"/>
        <w:spacing w:line="295" w:lineRule="auto"/>
        <w:ind w:left="440" w:right="1"/>
        <w:rPr>
          <w:rFonts w:hint="eastAsia" w:ascii="MS UI Gothic" w:eastAsia="MS UI Gothic"/>
        </w:rPr>
      </w:pPr>
      <w:r>
        <w:t>第三类企业应当明确有关职能部门负责安全生产监督管理工作</w:t>
      </w:r>
      <w:r>
        <w:rPr>
          <w:rFonts w:hint="eastAsia" w:ascii="MS UI Gothic" w:eastAsia="MS UI Gothic"/>
          <w:w w:val="80"/>
        </w:rPr>
        <w:t xml:space="preserve">ꎬ </w:t>
      </w:r>
      <w:r>
        <w:t>配备专职安全生产监督管理人员</w:t>
      </w:r>
      <w:r>
        <w:rPr>
          <w:rFonts w:hint="eastAsia" w:ascii="MS UI Gothic" w:eastAsia="MS UI Gothic"/>
          <w:w w:val="80"/>
        </w:rPr>
        <w:t xml:space="preserve">ꎻ </w:t>
      </w:r>
      <w:r>
        <w:t>安全生产任务较重的企业应当在有关职能部门中设置负责安全</w:t>
      </w:r>
      <w:r>
        <w:rPr>
          <w:w w:val="105"/>
        </w:rPr>
        <w:t>生产监督管理工作的内部专业机构</w:t>
      </w:r>
      <w:r>
        <w:rPr>
          <w:rFonts w:hint="eastAsia" w:ascii="MS UI Gothic" w:eastAsia="MS UI Gothic"/>
          <w:w w:val="80"/>
        </w:rPr>
        <w:t>ꎮ</w:t>
      </w:r>
    </w:p>
    <w:p>
      <w:pPr>
        <w:pStyle w:val="6"/>
        <w:spacing w:line="295" w:lineRule="auto"/>
        <w:ind w:left="440" w:right="1"/>
        <w:rPr>
          <w:rFonts w:hint="eastAsia" w:ascii="MS UI Gothic" w:eastAsia="MS UI Gothic"/>
        </w:rPr>
      </w:pPr>
      <w:r>
        <w:t>安全生产监督管理职能部门或者负责安全生产监督管理工作的职能部门是企业安全生产工作的综合管理部门</w:t>
      </w:r>
      <w:r>
        <w:rPr>
          <w:rFonts w:hint="eastAsia" w:ascii="MS UI Gothic" w:eastAsia="MS UI Gothic"/>
          <w:w w:val="80"/>
        </w:rPr>
        <w:t xml:space="preserve">ꎬ </w:t>
      </w:r>
      <w:r>
        <w:t>对其他职能部门的安全生产管理工作进行综合协调</w:t>
      </w:r>
      <w:r>
        <w:rPr>
          <w:w w:val="105"/>
        </w:rPr>
        <w:t>和监督</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第八条 中央企业应当明确各职能部</w:t>
      </w:r>
      <w:r>
        <w:t>门的具体安全生产管理职责</w:t>
      </w:r>
      <w:r>
        <w:rPr>
          <w:rFonts w:hint="eastAsia" w:ascii="MS UI Gothic" w:eastAsia="MS UI Gothic"/>
          <w:w w:val="80"/>
        </w:rPr>
        <w:t xml:space="preserve">ꎻ </w:t>
      </w:r>
      <w:r>
        <w:t>各职能部门应当将安全生产管理职责具体分解到相应</w:t>
      </w:r>
      <w:r>
        <w:rPr>
          <w:w w:val="105"/>
        </w:rPr>
        <w:t>岗位</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rPr>
          <w:w w:val="105"/>
        </w:rPr>
        <w:t>第九条 中央企业专职安全生产监督</w:t>
      </w:r>
      <w:r>
        <w:t>管理人员的任职资格和配备数量</w:t>
      </w:r>
      <w:r>
        <w:rPr>
          <w:rFonts w:hint="eastAsia" w:ascii="MS UI Gothic" w:eastAsia="MS UI Gothic"/>
          <w:w w:val="80"/>
        </w:rPr>
        <w:t xml:space="preserve">ꎬ </w:t>
      </w:r>
      <w:r>
        <w:t>应当符合国家和行业的有关规定</w:t>
      </w:r>
      <w:r>
        <w:rPr>
          <w:rFonts w:hint="eastAsia" w:ascii="MS UI Gothic" w:eastAsia="MS UI Gothic"/>
          <w:w w:val="80"/>
        </w:rPr>
        <w:t xml:space="preserve">ꎻ </w:t>
      </w:r>
      <w:r>
        <w:t>国家和行业没有明确规定的</w:t>
      </w:r>
      <w:r>
        <w:rPr>
          <w:rFonts w:hint="eastAsia" w:ascii="MS UI Gothic" w:eastAsia="MS UI Gothic"/>
          <w:w w:val="80"/>
        </w:rPr>
        <w:t xml:space="preserve">ꎬ </w:t>
      </w:r>
      <w:r>
        <w:t>中央企业应当根据本企业</w:t>
      </w:r>
      <w:r>
        <w:rPr>
          <w:w w:val="105"/>
        </w:rPr>
        <w:t>的生产经营内容和性质</w:t>
      </w:r>
      <w:r>
        <w:rPr>
          <w:rFonts w:hint="eastAsia" w:ascii="MS UI Gothic" w:eastAsia="MS UI Gothic"/>
          <w:w w:val="80"/>
        </w:rPr>
        <w:t xml:space="preserve">、 </w:t>
      </w:r>
      <w:r>
        <w:rPr>
          <w:w w:val="105"/>
        </w:rPr>
        <w:t>管理范围</w:t>
      </w:r>
      <w:r>
        <w:rPr>
          <w:rFonts w:hint="eastAsia" w:ascii="MS UI Gothic" w:eastAsia="MS UI Gothic"/>
          <w:w w:val="80"/>
        </w:rPr>
        <w:t xml:space="preserve">、 </w:t>
      </w:r>
      <w:r>
        <w:rPr>
          <w:w w:val="105"/>
        </w:rPr>
        <w:t>管理</w:t>
      </w:r>
      <w:r>
        <w:t>跨度等配备专职安全生产监督管理人员</w:t>
      </w:r>
      <w:r>
        <w:rPr>
          <w:rFonts w:hint="eastAsia" w:ascii="MS UI Gothic" w:eastAsia="MS UI Gothic"/>
          <w:w w:val="80"/>
        </w:rPr>
        <w:t>ꎮ</w:t>
      </w:r>
    </w:p>
    <w:p>
      <w:pPr>
        <w:pStyle w:val="6"/>
        <w:spacing w:line="295" w:lineRule="auto"/>
        <w:ind w:left="381" w:right="126"/>
        <w:rPr>
          <w:rFonts w:hint="eastAsia" w:ascii="MS UI Gothic" w:eastAsia="MS UI Gothic"/>
        </w:rPr>
      </w:pPr>
      <w:r>
        <w:t>中央企业应当加强安全队伍建设</w:t>
      </w:r>
      <w:r>
        <w:rPr>
          <w:rFonts w:hint="eastAsia" w:ascii="MS UI Gothic" w:eastAsia="MS UI Gothic"/>
          <w:w w:val="80"/>
        </w:rPr>
        <w:t xml:space="preserve">ꎬ </w:t>
      </w:r>
      <w:r>
        <w:t>提高人员素质</w:t>
      </w:r>
      <w:r>
        <w:rPr>
          <w:rFonts w:hint="eastAsia" w:ascii="MS UI Gothic" w:eastAsia="MS UI Gothic"/>
          <w:w w:val="80"/>
        </w:rPr>
        <w:t xml:space="preserve">ꎬ </w:t>
      </w:r>
      <w:r>
        <w:t>鼓励和支持安全生产监督管理人员取得注册安全工程师资质</w:t>
      </w:r>
      <w:r>
        <w:rPr>
          <w:rFonts w:hint="eastAsia" w:ascii="MS UI Gothic" w:eastAsia="MS UI Gothic"/>
          <w:w w:val="80"/>
        </w:rPr>
        <w:t xml:space="preserve">ꎮ </w:t>
      </w:r>
      <w:r>
        <w:t>安全生产监督管理机构工作人员应当逐步达到以</w:t>
      </w:r>
      <w:r>
        <w:rPr>
          <w:w w:val="105"/>
        </w:rPr>
        <w:t>注册安全工程师为主体</w:t>
      </w:r>
      <w:r>
        <w:rPr>
          <w:rFonts w:hint="eastAsia" w:ascii="MS UI Gothic" w:eastAsia="MS UI Gothic"/>
          <w:w w:val="80"/>
        </w:rPr>
        <w:t>ꎮ</w:t>
      </w:r>
    </w:p>
    <w:p>
      <w:pPr>
        <w:pStyle w:val="6"/>
        <w:spacing w:line="295" w:lineRule="auto"/>
        <w:ind w:left="381" w:right="124"/>
        <w:rPr>
          <w:rFonts w:hint="eastAsia" w:ascii="MS UI Gothic" w:eastAsia="MS UI Gothic"/>
        </w:rPr>
      </w:pPr>
      <w:r>
        <w:t>第十条 中央企业工会依法对本企业安全生产与劳动防护进行民主监督</w:t>
      </w:r>
      <w:r>
        <w:rPr>
          <w:rFonts w:hint="eastAsia" w:ascii="MS UI Gothic" w:eastAsia="MS UI Gothic"/>
          <w:w w:val="80"/>
        </w:rPr>
        <w:t xml:space="preserve">ꎬ </w:t>
      </w:r>
      <w:r>
        <w:t>依法维护职工合法权益</w:t>
      </w:r>
      <w:r>
        <w:rPr>
          <w:rFonts w:hint="eastAsia" w:ascii="MS UI Gothic" w:eastAsia="MS UI Gothic"/>
          <w:w w:val="80"/>
        </w:rPr>
        <w:t xml:space="preserve">ꎬ </w:t>
      </w:r>
      <w:r>
        <w:t>有权对建设项目的安全设施与主体工程同时设计</w:t>
      </w:r>
      <w:r>
        <w:rPr>
          <w:rFonts w:hint="eastAsia" w:ascii="MS UI Gothic" w:eastAsia="MS UI Gothic"/>
          <w:w w:val="80"/>
        </w:rPr>
        <w:t xml:space="preserve">、 </w:t>
      </w:r>
      <w:r>
        <w:t>同时施工</w:t>
      </w:r>
      <w:r>
        <w:rPr>
          <w:rFonts w:hint="eastAsia" w:ascii="MS UI Gothic" w:eastAsia="MS UI Gothic"/>
          <w:w w:val="80"/>
        </w:rPr>
        <w:t>、</w:t>
      </w:r>
      <w:r>
        <w:t>同时投入和使用情况进行监督</w:t>
      </w:r>
      <w:r>
        <w:rPr>
          <w:rFonts w:hint="eastAsia" w:ascii="MS UI Gothic" w:eastAsia="MS UI Gothic"/>
          <w:w w:val="80"/>
        </w:rPr>
        <w:t xml:space="preserve">ꎬ </w:t>
      </w:r>
      <w:r>
        <w:t>提出意见</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第十一条 中央企业应当对其独资及</w:t>
      </w:r>
      <w:r>
        <w:rPr>
          <w:spacing w:val="-8"/>
          <w:w w:val="110"/>
        </w:rPr>
        <w:t xml:space="preserve">控股子企业 </w:t>
      </w:r>
      <w:r>
        <w:rPr>
          <w:rFonts w:hint="eastAsia" w:ascii="MS UI Gothic" w:eastAsia="MS UI Gothic"/>
          <w:spacing w:val="-41"/>
          <w:w w:val="150"/>
        </w:rPr>
        <w:t xml:space="preserve">( </w:t>
      </w:r>
      <w:r>
        <w:rPr>
          <w:spacing w:val="16"/>
          <w:w w:val="110"/>
        </w:rPr>
        <w:t>包括境外子企业</w:t>
      </w:r>
      <w:r>
        <w:rPr>
          <w:rFonts w:hint="eastAsia" w:ascii="MS UI Gothic" w:eastAsia="MS UI Gothic"/>
          <w:spacing w:val="-22"/>
          <w:w w:val="150"/>
        </w:rPr>
        <w:t xml:space="preserve">) </w:t>
      </w:r>
      <w:r>
        <w:rPr>
          <w:spacing w:val="12"/>
          <w:w w:val="110"/>
        </w:rPr>
        <w:t>的安全</w:t>
      </w:r>
      <w:r>
        <w:rPr>
          <w:spacing w:val="3"/>
          <w:w w:val="110"/>
        </w:rPr>
        <w:t>生产认真履行以下监督管理责任</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监督管理独资及控股子企业安</w:t>
      </w:r>
      <w:r>
        <w:rPr>
          <w:spacing w:val="3"/>
        </w:rPr>
        <w:t>全生产条件具备情况</w:t>
      </w:r>
      <w:r>
        <w:rPr>
          <w:rFonts w:hint="eastAsia" w:ascii="MS UI Gothic" w:eastAsia="MS UI Gothic"/>
          <w:spacing w:val="20"/>
          <w:w w:val="80"/>
        </w:rPr>
        <w:t xml:space="preserve">ꎻ </w:t>
      </w:r>
      <w:r>
        <w:rPr>
          <w:spacing w:val="2"/>
        </w:rPr>
        <w:t>安全生产监督管理</w:t>
      </w:r>
      <w:r>
        <w:rPr>
          <w:spacing w:val="3"/>
          <w:w w:val="105"/>
        </w:rPr>
        <w:t>组织机构设置情况</w:t>
      </w:r>
      <w:r>
        <w:rPr>
          <w:rFonts w:hint="eastAsia" w:ascii="MS UI Gothic" w:eastAsia="MS UI Gothic"/>
          <w:spacing w:val="-1"/>
          <w:w w:val="80"/>
        </w:rPr>
        <w:t xml:space="preserve">ꎻ </w:t>
      </w:r>
      <w:r>
        <w:rPr>
          <w:spacing w:val="3"/>
          <w:w w:val="105"/>
        </w:rPr>
        <w:t>安全生产责任制</w:t>
      </w:r>
      <w:r>
        <w:rPr>
          <w:rFonts w:hint="eastAsia" w:ascii="MS UI Gothic" w:eastAsia="MS UI Gothic"/>
          <w:w w:val="80"/>
        </w:rPr>
        <w:t xml:space="preserve">、 </w:t>
      </w:r>
      <w:r>
        <w:rPr>
          <w:w w:val="105"/>
        </w:rPr>
        <w:t>安</w:t>
      </w:r>
      <w:r>
        <w:rPr>
          <w:spacing w:val="3"/>
        </w:rPr>
        <w:t>全生产各项规章制度建立情况</w:t>
      </w:r>
      <w:r>
        <w:rPr>
          <w:rFonts w:hint="eastAsia" w:ascii="MS UI Gothic" w:eastAsia="MS UI Gothic"/>
          <w:spacing w:val="20"/>
          <w:w w:val="80"/>
        </w:rPr>
        <w:t xml:space="preserve">ꎻ </w:t>
      </w:r>
      <w:r>
        <w:rPr>
          <w:spacing w:val="2"/>
        </w:rPr>
        <w:t>安全生产</w:t>
      </w:r>
      <w:r>
        <w:rPr>
          <w:spacing w:val="3"/>
        </w:rPr>
        <w:t>投入和隐患排查治理情况</w:t>
      </w:r>
      <w:r>
        <w:rPr>
          <w:rFonts w:hint="eastAsia" w:ascii="MS UI Gothic" w:eastAsia="MS UI Gothic"/>
          <w:spacing w:val="20"/>
          <w:w w:val="80"/>
        </w:rPr>
        <w:t xml:space="preserve">ꎻ </w:t>
      </w:r>
      <w:r>
        <w:rPr>
          <w:spacing w:val="2"/>
        </w:rPr>
        <w:t>安全生产应急</w:t>
      </w:r>
      <w:r>
        <w:rPr>
          <w:spacing w:val="23"/>
          <w:w w:val="105"/>
        </w:rPr>
        <w:t>管理情况</w:t>
      </w:r>
      <w:r>
        <w:rPr>
          <w:rFonts w:hint="eastAsia" w:ascii="MS UI Gothic" w:eastAsia="MS UI Gothic"/>
          <w:spacing w:val="12"/>
          <w:w w:val="80"/>
        </w:rPr>
        <w:t xml:space="preserve">ꎻ </w:t>
      </w:r>
      <w:r>
        <w:rPr>
          <w:spacing w:val="20"/>
          <w:w w:val="105"/>
        </w:rPr>
        <w:t>及时</w:t>
      </w:r>
      <w:r>
        <w:rPr>
          <w:rFonts w:hint="eastAsia" w:ascii="MS UI Gothic" w:eastAsia="MS UI Gothic"/>
          <w:spacing w:val="12"/>
          <w:w w:val="80"/>
        </w:rPr>
        <w:t xml:space="preserve">、 </w:t>
      </w:r>
      <w:r>
        <w:rPr>
          <w:spacing w:val="35"/>
          <w:w w:val="105"/>
        </w:rPr>
        <w:t>如实报告生产安全</w:t>
      </w:r>
      <w:r>
        <w:rPr>
          <w:spacing w:val="3"/>
          <w:w w:val="105"/>
        </w:rPr>
        <w:t>事故</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rPr>
        <w:t>第一类中央企业可以向其列为安全生产重点的独资及控股子企业委派专职安全</w:t>
      </w:r>
      <w:r>
        <w:rPr>
          <w:spacing w:val="21"/>
        </w:rPr>
        <w:t>生产总监</w:t>
      </w:r>
      <w:r>
        <w:rPr>
          <w:rFonts w:hint="eastAsia" w:ascii="MS UI Gothic" w:eastAsia="MS UI Gothic"/>
          <w:spacing w:val="1"/>
          <w:w w:val="80"/>
        </w:rPr>
        <w:t xml:space="preserve">ꎬ </w:t>
      </w:r>
      <w:r>
        <w:rPr>
          <w:spacing w:val="30"/>
        </w:rPr>
        <w:t>加强对子企业安全生产的</w:t>
      </w:r>
      <w:r>
        <w:rPr>
          <w:spacing w:val="3"/>
          <w:w w:val="105"/>
        </w:rPr>
        <w:t>监督</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将独资及控股子企业纳入中央</w:t>
      </w:r>
      <w:r>
        <w:t>企业安全生产管理体系</w:t>
      </w:r>
      <w:r>
        <w:rPr>
          <w:rFonts w:hint="eastAsia" w:ascii="MS UI Gothic" w:eastAsia="MS UI Gothic"/>
          <w:w w:val="80"/>
        </w:rPr>
        <w:t xml:space="preserve">ꎬ </w:t>
      </w:r>
      <w:r>
        <w:t>对其项目建设</w:t>
      </w:r>
      <w:r>
        <w:rPr>
          <w:rFonts w:hint="eastAsia" w:ascii="MS UI Gothic" w:eastAsia="MS UI Gothic"/>
          <w:w w:val="80"/>
        </w:rPr>
        <w:t>、</w:t>
      </w:r>
      <w:r>
        <w:rPr>
          <w:w w:val="105"/>
        </w:rPr>
        <w:t>收购</w:t>
      </w:r>
      <w:r>
        <w:rPr>
          <w:rFonts w:hint="eastAsia" w:ascii="MS UI Gothic" w:eastAsia="MS UI Gothic"/>
          <w:w w:val="80"/>
        </w:rPr>
        <w:t xml:space="preserve">、 </w:t>
      </w:r>
      <w:r>
        <w:rPr>
          <w:w w:val="105"/>
        </w:rPr>
        <w:t>并购</w:t>
      </w:r>
      <w:r>
        <w:rPr>
          <w:rFonts w:hint="eastAsia" w:ascii="MS UI Gothic" w:eastAsia="MS UI Gothic"/>
          <w:w w:val="80"/>
        </w:rPr>
        <w:t xml:space="preserve">、 </w:t>
      </w:r>
      <w:r>
        <w:rPr>
          <w:w w:val="105"/>
        </w:rPr>
        <w:t>转让</w:t>
      </w:r>
      <w:r>
        <w:rPr>
          <w:rFonts w:hint="eastAsia" w:ascii="MS UI Gothic" w:eastAsia="MS UI Gothic"/>
          <w:w w:val="80"/>
        </w:rPr>
        <w:t xml:space="preserve">、 </w:t>
      </w:r>
      <w:r>
        <w:rPr>
          <w:w w:val="105"/>
        </w:rPr>
        <w:t>运行</w:t>
      </w:r>
      <w:r>
        <w:rPr>
          <w:rFonts w:hint="eastAsia" w:ascii="MS UI Gothic" w:eastAsia="MS UI Gothic"/>
          <w:w w:val="80"/>
        </w:rPr>
        <w:t xml:space="preserve">、 </w:t>
      </w:r>
      <w:r>
        <w:rPr>
          <w:w w:val="105"/>
        </w:rPr>
        <w:t>停产等影响安</w:t>
      </w:r>
      <w:r>
        <w:t>全生产的重大事项实行报批制度</w:t>
      </w:r>
      <w:r>
        <w:rPr>
          <w:rFonts w:hint="eastAsia" w:ascii="MS UI Gothic" w:eastAsia="MS UI Gothic"/>
          <w:w w:val="80"/>
        </w:rPr>
        <w:t xml:space="preserve">ꎬ </w:t>
      </w:r>
      <w:r>
        <w:t>严格安</w:t>
      </w:r>
      <w:r>
        <w:rPr>
          <w:w w:val="105"/>
        </w:rPr>
        <w:t>全生产的检查</w:t>
      </w:r>
      <w:r>
        <w:rPr>
          <w:rFonts w:hint="eastAsia" w:ascii="MS UI Gothic" w:eastAsia="MS UI Gothic"/>
          <w:w w:val="80"/>
        </w:rPr>
        <w:t xml:space="preserve">、 </w:t>
      </w:r>
      <w:r>
        <w:rPr>
          <w:w w:val="105"/>
        </w:rPr>
        <w:t>考核</w:t>
      </w:r>
      <w:r>
        <w:rPr>
          <w:rFonts w:hint="eastAsia" w:ascii="MS UI Gothic" w:eastAsia="MS UI Gothic"/>
          <w:w w:val="80"/>
        </w:rPr>
        <w:t xml:space="preserve">、 </w:t>
      </w:r>
      <w:r>
        <w:rPr>
          <w:w w:val="105"/>
        </w:rPr>
        <w:t>奖惩和责任追究</w:t>
      </w:r>
      <w:r>
        <w:rPr>
          <w:rFonts w:hint="eastAsia" w:ascii="MS UI Gothic" w:eastAsia="MS UI Gothic"/>
          <w:w w:val="80"/>
        </w:rPr>
        <w:t>ꎮ</w:t>
      </w:r>
    </w:p>
    <w:p>
      <w:pPr>
        <w:pStyle w:val="6"/>
        <w:spacing w:line="295" w:lineRule="auto"/>
        <w:ind w:left="381" w:right="126"/>
      </w:pPr>
      <w:r>
        <w:rPr>
          <w:spacing w:val="3"/>
        </w:rPr>
        <w:t>对控股但不负责管理的子企业</w:t>
      </w:r>
      <w:r>
        <w:rPr>
          <w:rFonts w:hint="eastAsia" w:ascii="MS UI Gothic" w:eastAsia="MS UI Gothic"/>
          <w:spacing w:val="15"/>
          <w:w w:val="80"/>
        </w:rPr>
        <w:t xml:space="preserve">ꎬ </w:t>
      </w:r>
      <w:r>
        <w:rPr>
          <w:spacing w:val="1"/>
        </w:rPr>
        <w:t>中央</w:t>
      </w:r>
      <w:r>
        <w:rPr>
          <w:spacing w:val="13"/>
        </w:rPr>
        <w:t>企业应当与管理方商定管理模式</w:t>
      </w:r>
      <w:r>
        <w:rPr>
          <w:rFonts w:hint="eastAsia" w:ascii="MS UI Gothic" w:eastAsia="MS UI Gothic"/>
          <w:spacing w:val="1"/>
          <w:w w:val="80"/>
        </w:rPr>
        <w:t xml:space="preserve">ꎬ   </w:t>
      </w:r>
      <w:r>
        <w:rPr>
          <w:spacing w:val="10"/>
        </w:rPr>
        <w:t>按照</w:t>
      </w:r>
    </w:p>
    <w:p>
      <w:pPr>
        <w:pStyle w:val="6"/>
        <w:spacing w:line="255" w:lineRule="exact"/>
        <w:ind w:left="381" w:firstLine="0"/>
        <w:rPr>
          <w:rFonts w:hint="eastAsia" w:ascii="MS UI Gothic" w:hAnsi="MS UI Gothic" w:eastAsia="MS UI Gothic"/>
        </w:rPr>
      </w:pPr>
      <w:r>
        <w:rPr>
          <w:rFonts w:hint="eastAsia" w:ascii="MS UI Gothic" w:hAnsi="MS UI Gothic" w:eastAsia="MS UI Gothic"/>
          <w:spacing w:val="-23"/>
        </w:rPr>
        <w:t xml:space="preserve">« </w:t>
      </w:r>
      <w:r>
        <w:rPr>
          <w:spacing w:val="12"/>
        </w:rPr>
        <w:t>中华人民共和国安全生产法</w:t>
      </w:r>
      <w:r>
        <w:rPr>
          <w:rFonts w:hint="eastAsia" w:ascii="MS UI Gothic" w:hAnsi="MS UI Gothic" w:eastAsia="MS UI Gothic"/>
          <w:spacing w:val="23"/>
        </w:rPr>
        <w:t xml:space="preserve">» </w:t>
      </w:r>
      <w:r>
        <w:rPr>
          <w:spacing w:val="12"/>
        </w:rPr>
        <w:t>的要求</w:t>
      </w:r>
      <w:r>
        <w:rPr>
          <w:rFonts w:hint="eastAsia" w:ascii="MS UI Gothic" w:hAnsi="MS UI Gothic" w:eastAsia="MS UI Gothic"/>
          <w:w w:val="80"/>
        </w:rPr>
        <w:t>ꎬ</w:t>
      </w:r>
    </w:p>
    <w:p>
      <w:pPr>
        <w:spacing w:after="0" w:line="255" w:lineRule="exact"/>
        <w:rPr>
          <w:rFonts w:hint="eastAsia" w:ascii="MS UI Gothic" w:hAns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１５６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13" o:spid="_x0000_s1513" o:spt="203" style="height:2.15pt;width:398.25pt;" coordsize="7965,43">
            <o:lock v:ext="edit"/>
            <v:line id="_x0000_s1514" o:spid="_x0000_s1514" o:spt="20" style="position:absolute;left:0;top:39;height:0;width:7965;" stroked="t" coordsize="21600,21600">
              <v:path arrowok="t"/>
              <v:fill focussize="0,0"/>
              <v:stroke weight="0.388031496062992pt" color="#231F20"/>
              <v:imagedata o:title=""/>
              <o:lock v:ext="edit"/>
            </v:line>
            <v:line id="_x0000_s1515" o:spid="_x0000_s151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通过经营合同</w:t>
      </w:r>
      <w:r>
        <w:rPr>
          <w:rFonts w:hint="eastAsia" w:ascii="MS UI Gothic" w:eastAsia="MS UI Gothic"/>
          <w:w w:val="80"/>
        </w:rPr>
        <w:t xml:space="preserve">、 </w:t>
      </w:r>
      <w:r>
        <w:t>公司章程</w:t>
      </w:r>
      <w:r>
        <w:rPr>
          <w:rFonts w:hint="eastAsia" w:ascii="MS UI Gothic" w:eastAsia="MS UI Gothic"/>
          <w:w w:val="80"/>
        </w:rPr>
        <w:t xml:space="preserve">、 </w:t>
      </w:r>
      <w:r>
        <w:t>协议书等明确安全生产管理责任</w:t>
      </w:r>
      <w:r>
        <w:rPr>
          <w:rFonts w:hint="eastAsia" w:ascii="MS UI Gothic" w:eastAsia="MS UI Gothic"/>
          <w:w w:val="80"/>
        </w:rPr>
        <w:t xml:space="preserve">、 </w:t>
      </w:r>
      <w:r>
        <w:t>目标和要求等</w:t>
      </w:r>
      <w:r>
        <w:rPr>
          <w:rFonts w:hint="eastAsia" w:ascii="MS UI Gothic" w:eastAsia="MS UI Gothic"/>
          <w:w w:val="80"/>
        </w:rPr>
        <w:t>ꎮ</w:t>
      </w:r>
    </w:p>
    <w:p>
      <w:pPr>
        <w:pStyle w:val="6"/>
        <w:spacing w:line="295" w:lineRule="auto"/>
        <w:ind w:right="39"/>
        <w:rPr>
          <w:rFonts w:hint="eastAsia" w:ascii="MS UI Gothic" w:eastAsia="MS UI Gothic"/>
        </w:rPr>
      </w:pPr>
      <w:r>
        <w:t>对参股并负有管理职责的企业</w:t>
      </w:r>
      <w:r>
        <w:rPr>
          <w:rFonts w:hint="eastAsia" w:ascii="MS UI Gothic" w:eastAsia="MS UI Gothic"/>
          <w:w w:val="80"/>
        </w:rPr>
        <w:t xml:space="preserve">ꎬ </w:t>
      </w:r>
      <w:r>
        <w:t>中央企业应当按照有关法律法规的规定与参股企业签订安全生产管理协议书</w:t>
      </w:r>
      <w:r>
        <w:rPr>
          <w:rFonts w:hint="eastAsia" w:ascii="MS UI Gothic" w:eastAsia="MS UI Gothic"/>
          <w:w w:val="80"/>
        </w:rPr>
        <w:t xml:space="preserve">ꎬ </w:t>
      </w:r>
      <w:r>
        <w:t>明确安全生产管理责任</w:t>
      </w:r>
      <w:r>
        <w:rPr>
          <w:rFonts w:hint="eastAsia" w:ascii="MS UI Gothic" w:eastAsia="MS UI Gothic"/>
          <w:w w:val="80"/>
        </w:rPr>
        <w:t>ꎮ</w:t>
      </w:r>
    </w:p>
    <w:p>
      <w:pPr>
        <w:pStyle w:val="6"/>
        <w:spacing w:line="295" w:lineRule="auto"/>
        <w:ind w:right="39"/>
        <w:rPr>
          <w:rFonts w:hint="eastAsia" w:ascii="MS UI Gothic" w:eastAsia="MS UI Gothic"/>
        </w:rPr>
      </w:pPr>
      <w:r>
        <w:t>中央企业各级子企业应当按照以上规定逐级建立健全安全生产责任制</w:t>
      </w:r>
      <w:r>
        <w:rPr>
          <w:rFonts w:hint="eastAsia" w:ascii="MS UI Gothic" w:eastAsia="MS UI Gothic"/>
          <w:w w:val="80"/>
        </w:rPr>
        <w:t xml:space="preserve">ꎬ </w:t>
      </w:r>
      <w:r>
        <w:t>逐级加</w:t>
      </w:r>
      <w:r>
        <w:rPr>
          <w:w w:val="105"/>
        </w:rPr>
        <w:t>强安全生产工作的监督管理</w:t>
      </w:r>
      <w:r>
        <w:rPr>
          <w:rFonts w:hint="eastAsia" w:ascii="MS UI Gothic" w:eastAsia="MS UI Gothic"/>
          <w:w w:val="80"/>
        </w:rPr>
        <w:t>ꎮ</w:t>
      </w:r>
    </w:p>
    <w:p>
      <w:pPr>
        <w:pStyle w:val="6"/>
        <w:tabs>
          <w:tab w:val="left" w:pos="1382"/>
        </w:tabs>
        <w:spacing w:before="150"/>
        <w:ind w:left="543" w:firstLine="0"/>
        <w:jc w:val="left"/>
      </w:pPr>
      <w:r>
        <w:rPr>
          <w:spacing w:val="3"/>
          <w:w w:val="105"/>
        </w:rPr>
        <w:t>第三</w:t>
      </w:r>
      <w:r>
        <w:rPr>
          <w:w w:val="105"/>
        </w:rPr>
        <w:t>章</w:t>
      </w:r>
      <w:r>
        <w:rPr>
          <w:w w:val="105"/>
        </w:rPr>
        <w:tab/>
      </w:r>
      <w:r>
        <w:rPr>
          <w:spacing w:val="3"/>
          <w:w w:val="105"/>
        </w:rPr>
        <w:t>安全生产工作基本要</w:t>
      </w:r>
      <w:r>
        <w:rPr>
          <w:w w:val="105"/>
        </w:rPr>
        <w:t>求</w:t>
      </w:r>
    </w:p>
    <w:p>
      <w:pPr>
        <w:pStyle w:val="6"/>
        <w:spacing w:before="215" w:line="295" w:lineRule="auto"/>
        <w:ind w:right="39"/>
        <w:rPr>
          <w:rFonts w:hint="eastAsia" w:ascii="MS UI Gothic" w:eastAsia="MS UI Gothic"/>
        </w:rPr>
      </w:pPr>
      <w:r>
        <w:t>第十二条 中央企业应当制定中长期安全生产发展规划</w:t>
      </w:r>
      <w:r>
        <w:rPr>
          <w:rFonts w:hint="eastAsia" w:ascii="MS UI Gothic" w:eastAsia="MS UI Gothic"/>
          <w:w w:val="80"/>
        </w:rPr>
        <w:t xml:space="preserve">ꎬ </w:t>
      </w:r>
      <w:r>
        <w:t>并将其纳入企业总体发展战略规划</w:t>
      </w:r>
      <w:r>
        <w:rPr>
          <w:rFonts w:hint="eastAsia" w:ascii="MS UI Gothic" w:eastAsia="MS UI Gothic"/>
          <w:w w:val="80"/>
        </w:rPr>
        <w:t xml:space="preserve">ꎬ </w:t>
      </w:r>
      <w:r>
        <w:t>实现安全生产与企业发展的同步规划</w:t>
      </w:r>
      <w:r>
        <w:rPr>
          <w:rFonts w:hint="eastAsia" w:ascii="MS UI Gothic" w:eastAsia="MS UI Gothic"/>
          <w:w w:val="80"/>
        </w:rPr>
        <w:t xml:space="preserve">、 </w:t>
      </w:r>
      <w:r>
        <w:t>同步实施</w:t>
      </w:r>
      <w:r>
        <w:rPr>
          <w:rFonts w:hint="eastAsia" w:ascii="MS UI Gothic" w:eastAsia="MS UI Gothic"/>
          <w:w w:val="80"/>
        </w:rPr>
        <w:t xml:space="preserve">、 </w:t>
      </w:r>
      <w:r>
        <w:t>同步发展</w:t>
      </w:r>
      <w:r>
        <w:rPr>
          <w:rFonts w:hint="eastAsia" w:ascii="MS UI Gothic" w:eastAsia="MS UI Gothic"/>
          <w:w w:val="80"/>
        </w:rPr>
        <w:t>ꎮ</w:t>
      </w:r>
    </w:p>
    <w:p>
      <w:pPr>
        <w:pStyle w:val="6"/>
        <w:spacing w:line="295" w:lineRule="auto"/>
        <w:ind w:right="39"/>
        <w:rPr>
          <w:rFonts w:hint="eastAsia" w:ascii="MS UI Gothic" w:eastAsia="MS UI Gothic"/>
        </w:rPr>
      </w:pPr>
      <w:r>
        <w:t>第十三条 中央企业应当建立健全安全生产管理体系</w:t>
      </w:r>
      <w:r>
        <w:rPr>
          <w:rFonts w:hint="eastAsia" w:ascii="MS UI Gothic" w:eastAsia="MS UI Gothic"/>
          <w:w w:val="80"/>
        </w:rPr>
        <w:t xml:space="preserve">ꎬ </w:t>
      </w:r>
      <w:r>
        <w:t>积极推行和应用国内外先进的安全生产管理方法</w:t>
      </w:r>
      <w:r>
        <w:rPr>
          <w:rFonts w:hint="eastAsia" w:ascii="MS UI Gothic" w:eastAsia="MS UI Gothic"/>
          <w:w w:val="80"/>
        </w:rPr>
        <w:t xml:space="preserve">、 </w:t>
      </w:r>
      <w:r>
        <w:t>体系等</w:t>
      </w:r>
      <w:r>
        <w:rPr>
          <w:rFonts w:hint="eastAsia" w:ascii="MS UI Gothic" w:eastAsia="MS UI Gothic"/>
          <w:w w:val="80"/>
        </w:rPr>
        <w:t xml:space="preserve">ꎬ </w:t>
      </w:r>
      <w:r>
        <w:t>实现安全生产管理的规范化</w:t>
      </w:r>
      <w:r>
        <w:rPr>
          <w:rFonts w:hint="eastAsia" w:ascii="MS UI Gothic" w:eastAsia="MS UI Gothic"/>
          <w:w w:val="80"/>
        </w:rPr>
        <w:t xml:space="preserve">、 </w:t>
      </w:r>
      <w:r>
        <w:t>标准化</w:t>
      </w:r>
      <w:r>
        <w:rPr>
          <w:rFonts w:hint="eastAsia" w:ascii="MS UI Gothic" w:eastAsia="MS UI Gothic"/>
          <w:w w:val="80"/>
        </w:rPr>
        <w:t xml:space="preserve">、  </w:t>
      </w:r>
      <w:r>
        <w:t>科学化</w:t>
      </w:r>
      <w:r>
        <w:rPr>
          <w:rFonts w:hint="eastAsia" w:ascii="MS UI Gothic" w:eastAsia="MS UI Gothic"/>
          <w:w w:val="80"/>
        </w:rPr>
        <w:t xml:space="preserve">、 </w:t>
      </w:r>
      <w:r>
        <w:t>现代化</w:t>
      </w:r>
      <w:r>
        <w:rPr>
          <w:rFonts w:hint="eastAsia" w:ascii="MS UI Gothic" w:eastAsia="MS UI Gothic"/>
          <w:w w:val="80"/>
        </w:rPr>
        <w:t>ꎮ</w:t>
      </w:r>
    </w:p>
    <w:p>
      <w:pPr>
        <w:pStyle w:val="6"/>
        <w:spacing w:line="295" w:lineRule="auto"/>
        <w:ind w:right="39"/>
        <w:rPr>
          <w:rFonts w:hint="eastAsia" w:ascii="MS UI Gothic" w:eastAsia="MS UI Gothic"/>
        </w:rPr>
      </w:pPr>
      <w:r>
        <w:t>中央企业安全生产管理体系应当包括组织体系</w:t>
      </w:r>
      <w:r>
        <w:rPr>
          <w:rFonts w:hint="eastAsia" w:ascii="MS UI Gothic" w:eastAsia="MS UI Gothic"/>
          <w:w w:val="80"/>
        </w:rPr>
        <w:t xml:space="preserve">、 </w:t>
      </w:r>
      <w:r>
        <w:t>制度体系</w:t>
      </w:r>
      <w:r>
        <w:rPr>
          <w:rFonts w:hint="eastAsia" w:ascii="MS UI Gothic" w:eastAsia="MS UI Gothic"/>
          <w:w w:val="80"/>
        </w:rPr>
        <w:t xml:space="preserve">、 </w:t>
      </w:r>
      <w:r>
        <w:t>责任体系</w:t>
      </w:r>
      <w:r>
        <w:rPr>
          <w:rFonts w:hint="eastAsia" w:ascii="MS UI Gothic" w:eastAsia="MS UI Gothic"/>
          <w:w w:val="80"/>
        </w:rPr>
        <w:t xml:space="preserve">、 </w:t>
      </w:r>
      <w:r>
        <w:t>风险控制体系</w:t>
      </w:r>
      <w:r>
        <w:rPr>
          <w:rFonts w:hint="eastAsia" w:ascii="MS UI Gothic" w:eastAsia="MS UI Gothic"/>
          <w:w w:val="80"/>
        </w:rPr>
        <w:t xml:space="preserve">、 </w:t>
      </w:r>
      <w:r>
        <w:t>教育体系</w:t>
      </w:r>
      <w:r>
        <w:rPr>
          <w:rFonts w:hint="eastAsia" w:ascii="MS UI Gothic" w:eastAsia="MS UI Gothic"/>
          <w:w w:val="80"/>
        </w:rPr>
        <w:t xml:space="preserve">、 </w:t>
      </w:r>
      <w:r>
        <w:t>监督保证体系等</w:t>
      </w:r>
      <w:r>
        <w:rPr>
          <w:rFonts w:hint="eastAsia" w:ascii="MS UI Gothic" w:eastAsia="MS UI Gothic"/>
          <w:w w:val="80"/>
        </w:rPr>
        <w:t>ꎮ</w:t>
      </w:r>
    </w:p>
    <w:p>
      <w:pPr>
        <w:pStyle w:val="6"/>
        <w:spacing w:line="295" w:lineRule="auto"/>
        <w:ind w:right="38"/>
        <w:rPr>
          <w:rFonts w:hint="eastAsia" w:ascii="MS UI Gothic" w:eastAsia="MS UI Gothic"/>
        </w:rPr>
      </w:pPr>
      <w:r>
        <w:t>中央企业应当加强安全生产管理体系的运行控制</w:t>
      </w:r>
      <w:r>
        <w:rPr>
          <w:rFonts w:hint="eastAsia" w:ascii="MS UI Gothic" w:eastAsia="MS UI Gothic"/>
          <w:w w:val="80"/>
        </w:rPr>
        <w:t xml:space="preserve">ꎬ </w:t>
      </w:r>
      <w:r>
        <w:t>强化岗位培训</w:t>
      </w:r>
      <w:r>
        <w:rPr>
          <w:rFonts w:hint="eastAsia" w:ascii="MS UI Gothic" w:eastAsia="MS UI Gothic"/>
          <w:w w:val="80"/>
        </w:rPr>
        <w:t xml:space="preserve">、 </w:t>
      </w:r>
      <w:r>
        <w:t>过程督查</w:t>
      </w:r>
      <w:r>
        <w:rPr>
          <w:rFonts w:hint="eastAsia" w:ascii="MS UI Gothic" w:eastAsia="MS UI Gothic"/>
          <w:w w:val="80"/>
        </w:rPr>
        <w:t>、</w:t>
      </w:r>
      <w:r>
        <w:t>总结反馈</w:t>
      </w:r>
      <w:r>
        <w:rPr>
          <w:rFonts w:hint="eastAsia" w:ascii="MS UI Gothic" w:eastAsia="MS UI Gothic"/>
          <w:w w:val="80"/>
        </w:rPr>
        <w:t xml:space="preserve">、 </w:t>
      </w:r>
      <w:r>
        <w:t>持续改进等管理过程</w:t>
      </w:r>
      <w:r>
        <w:rPr>
          <w:rFonts w:hint="eastAsia" w:ascii="MS UI Gothic" w:eastAsia="MS UI Gothic"/>
          <w:w w:val="80"/>
        </w:rPr>
        <w:t xml:space="preserve">ꎬ </w:t>
      </w:r>
      <w:r>
        <w:t>确保体系的有效运行</w:t>
      </w:r>
      <w:r>
        <w:rPr>
          <w:rFonts w:hint="eastAsia" w:ascii="MS UI Gothic" w:eastAsia="MS UI Gothic"/>
          <w:w w:val="80"/>
        </w:rPr>
        <w:t>ꎮ</w:t>
      </w:r>
    </w:p>
    <w:p>
      <w:pPr>
        <w:pStyle w:val="6"/>
        <w:spacing w:line="295" w:lineRule="auto"/>
        <w:ind w:right="39"/>
        <w:rPr>
          <w:rFonts w:hint="eastAsia" w:ascii="MS UI Gothic" w:eastAsia="MS UI Gothic"/>
        </w:rPr>
      </w:pPr>
      <w:r>
        <w:t>第十四条 中央企业应当结合行业特点和企业实际</w:t>
      </w:r>
      <w:r>
        <w:rPr>
          <w:rFonts w:hint="eastAsia" w:ascii="MS UI Gothic" w:eastAsia="MS UI Gothic"/>
          <w:w w:val="80"/>
        </w:rPr>
        <w:t xml:space="preserve">ꎬ </w:t>
      </w:r>
      <w:r>
        <w:t>建立职业健康安全管理体系</w:t>
      </w:r>
      <w:r>
        <w:rPr>
          <w:rFonts w:hint="eastAsia" w:ascii="MS UI Gothic" w:eastAsia="MS UI Gothic"/>
          <w:w w:val="80"/>
        </w:rPr>
        <w:t xml:space="preserve">ꎬ </w:t>
      </w:r>
      <w:r>
        <w:t>消除或者减少职工的职业健康安全风险</w:t>
      </w:r>
      <w:r>
        <w:rPr>
          <w:rFonts w:hint="eastAsia" w:ascii="MS UI Gothic" w:eastAsia="MS UI Gothic"/>
          <w:w w:val="80"/>
        </w:rPr>
        <w:t xml:space="preserve">ꎬ </w:t>
      </w:r>
      <w:r>
        <w:t>保障职工职业健康</w:t>
      </w:r>
      <w:r>
        <w:rPr>
          <w:rFonts w:hint="eastAsia" w:ascii="MS UI Gothic" w:eastAsia="MS UI Gothic"/>
          <w:w w:val="80"/>
        </w:rPr>
        <w:t>ꎮ</w:t>
      </w:r>
    </w:p>
    <w:p>
      <w:pPr>
        <w:pStyle w:val="6"/>
        <w:spacing w:line="295" w:lineRule="auto"/>
        <w:ind w:right="38"/>
        <w:rPr>
          <w:rFonts w:hint="eastAsia" w:ascii="MS UI Gothic" w:eastAsia="MS UI Gothic"/>
        </w:rPr>
      </w:pPr>
      <w:r>
        <w:t>第十五条 中央企业应当建立健全企业安全生产应急管理体系</w:t>
      </w:r>
      <w:r>
        <w:rPr>
          <w:rFonts w:hint="eastAsia" w:ascii="MS UI Gothic" w:eastAsia="MS UI Gothic"/>
          <w:w w:val="80"/>
        </w:rPr>
        <w:t xml:space="preserve">ꎬ </w:t>
      </w:r>
      <w:r>
        <w:t>包括预案体系</w:t>
      </w:r>
      <w:r>
        <w:rPr>
          <w:rFonts w:hint="eastAsia" w:ascii="MS UI Gothic" w:eastAsia="MS UI Gothic"/>
          <w:w w:val="80"/>
        </w:rPr>
        <w:t xml:space="preserve">、 </w:t>
      </w:r>
      <w:r>
        <w:t>组织体系</w:t>
      </w:r>
      <w:r>
        <w:rPr>
          <w:rFonts w:hint="eastAsia" w:ascii="MS UI Gothic" w:eastAsia="MS UI Gothic"/>
          <w:w w:val="80"/>
        </w:rPr>
        <w:t xml:space="preserve">、 </w:t>
      </w:r>
      <w:r>
        <w:t>运行机制</w:t>
      </w:r>
      <w:r>
        <w:rPr>
          <w:rFonts w:hint="eastAsia" w:ascii="MS UI Gothic" w:eastAsia="MS UI Gothic"/>
          <w:w w:val="80"/>
        </w:rPr>
        <w:t xml:space="preserve">、 </w:t>
      </w:r>
      <w:r>
        <w:t>支持保障体系等</w:t>
      </w:r>
      <w:r>
        <w:rPr>
          <w:rFonts w:hint="eastAsia" w:ascii="MS UI Gothic" w:eastAsia="MS UI Gothic"/>
          <w:w w:val="80"/>
        </w:rPr>
        <w:t xml:space="preserve">ꎮ </w:t>
      </w:r>
      <w:r>
        <w:t>加强应急预案的编制</w:t>
      </w:r>
      <w:r>
        <w:rPr>
          <w:rFonts w:hint="eastAsia" w:ascii="MS UI Gothic" w:eastAsia="MS UI Gothic"/>
          <w:w w:val="80"/>
        </w:rPr>
        <w:t xml:space="preserve">、 </w:t>
      </w:r>
      <w:r>
        <w:t>评审</w:t>
      </w:r>
      <w:r>
        <w:rPr>
          <w:rFonts w:hint="eastAsia" w:ascii="MS UI Gothic" w:eastAsia="MS UI Gothic"/>
          <w:w w:val="80"/>
        </w:rPr>
        <w:t xml:space="preserve">、 </w:t>
      </w:r>
      <w:r>
        <w:t>培训</w:t>
      </w:r>
      <w:r>
        <w:rPr>
          <w:rFonts w:hint="eastAsia" w:ascii="MS UI Gothic" w:eastAsia="MS UI Gothic"/>
          <w:w w:val="80"/>
        </w:rPr>
        <w:t>、</w:t>
      </w:r>
      <w:r>
        <w:t>演练和应急救援队伍的建设工作</w:t>
      </w:r>
      <w:r>
        <w:rPr>
          <w:rFonts w:hint="eastAsia" w:ascii="MS UI Gothic" w:eastAsia="MS UI Gothic"/>
          <w:w w:val="80"/>
        </w:rPr>
        <w:t xml:space="preserve">ꎬ </w:t>
      </w:r>
      <w:r>
        <w:t>落实应急物资与装备</w:t>
      </w:r>
      <w:r>
        <w:rPr>
          <w:rFonts w:hint="eastAsia" w:ascii="MS UI Gothic" w:eastAsia="MS UI Gothic"/>
          <w:w w:val="80"/>
        </w:rPr>
        <w:t xml:space="preserve">ꎬ </w:t>
      </w:r>
      <w:r>
        <w:t>提高企业有效应对各类生产安全事故灾难的应急管理能力</w:t>
      </w:r>
      <w:r>
        <w:rPr>
          <w:rFonts w:hint="eastAsia" w:ascii="MS UI Gothic" w:eastAsia="MS UI Gothic"/>
          <w:w w:val="80"/>
        </w:rPr>
        <w:t>ꎮ</w:t>
      </w:r>
    </w:p>
    <w:p>
      <w:pPr>
        <w:pStyle w:val="6"/>
        <w:tabs>
          <w:tab w:val="left" w:pos="1591"/>
        </w:tabs>
        <w:spacing w:line="251" w:lineRule="exact"/>
        <w:ind w:left="543" w:firstLine="0"/>
        <w:jc w:val="left"/>
      </w:pPr>
      <w:r>
        <w:rPr>
          <w:spacing w:val="3"/>
          <w:w w:val="105"/>
        </w:rPr>
        <w:t>第十六</w:t>
      </w:r>
      <w:r>
        <w:rPr>
          <w:w w:val="105"/>
        </w:rPr>
        <w:t>条</w:t>
      </w:r>
      <w:r>
        <w:rPr>
          <w:w w:val="105"/>
        </w:rPr>
        <w:tab/>
      </w:r>
      <w:r>
        <w:rPr>
          <w:spacing w:val="3"/>
        </w:rPr>
        <w:t>中央企业应当加强安全</w:t>
      </w:r>
      <w:r>
        <w:t>生</w:t>
      </w:r>
    </w:p>
    <w:p>
      <w:pPr>
        <w:pStyle w:val="6"/>
        <w:spacing w:before="123" w:line="295" w:lineRule="auto"/>
        <w:ind w:right="442" w:firstLine="0"/>
        <w:rPr>
          <w:rFonts w:hint="eastAsia" w:ascii="MS UI Gothic" w:eastAsia="MS UI Gothic"/>
        </w:rPr>
      </w:pPr>
      <w:r>
        <w:br w:type="column"/>
      </w:r>
      <w:r>
        <w:t>产风险辨识和评估工作</w:t>
      </w:r>
      <w:r>
        <w:rPr>
          <w:rFonts w:hint="eastAsia" w:ascii="MS UI Gothic" w:eastAsia="MS UI Gothic"/>
          <w:w w:val="80"/>
        </w:rPr>
        <w:t xml:space="preserve">ꎬ </w:t>
      </w:r>
      <w:r>
        <w:t>制定重大危险源的监控措施和管理方案</w:t>
      </w:r>
      <w:r>
        <w:rPr>
          <w:rFonts w:hint="eastAsia" w:ascii="MS UI Gothic" w:eastAsia="MS UI Gothic"/>
          <w:w w:val="80"/>
        </w:rPr>
        <w:t xml:space="preserve">ꎬ </w:t>
      </w:r>
      <w:r>
        <w:t>确保重大危险源始终处于受控状态</w:t>
      </w:r>
      <w:r>
        <w:rPr>
          <w:rFonts w:hint="eastAsia" w:ascii="MS UI Gothic" w:eastAsia="MS UI Gothic"/>
          <w:w w:val="80"/>
        </w:rPr>
        <w:t>ꎮ</w:t>
      </w:r>
    </w:p>
    <w:p>
      <w:pPr>
        <w:pStyle w:val="6"/>
        <w:spacing w:line="295" w:lineRule="auto"/>
        <w:ind w:right="442"/>
        <w:rPr>
          <w:rFonts w:hint="eastAsia" w:ascii="MS UI Gothic" w:eastAsia="MS UI Gothic"/>
        </w:rPr>
      </w:pPr>
      <w:r>
        <w:t>第十七条 中央企业应当建立健全生产安全事故隐患排查和治理工作制度</w:t>
      </w:r>
      <w:r>
        <w:rPr>
          <w:rFonts w:hint="eastAsia" w:ascii="MS UI Gothic" w:eastAsia="MS UI Gothic"/>
          <w:w w:val="80"/>
        </w:rPr>
        <w:t xml:space="preserve">ꎬ </w:t>
      </w:r>
      <w:r>
        <w:t>规范各级生产安全事故隐患排查的频次</w:t>
      </w:r>
      <w:r>
        <w:rPr>
          <w:rFonts w:hint="eastAsia" w:ascii="MS UI Gothic" w:eastAsia="MS UI Gothic"/>
          <w:w w:val="80"/>
        </w:rPr>
        <w:t xml:space="preserve">、 </w:t>
      </w:r>
      <w:r>
        <w:t>控制管理原则</w:t>
      </w:r>
      <w:r>
        <w:rPr>
          <w:rFonts w:hint="eastAsia" w:ascii="MS UI Gothic" w:eastAsia="MS UI Gothic"/>
          <w:w w:val="80"/>
        </w:rPr>
        <w:t xml:space="preserve">、 </w:t>
      </w:r>
      <w:r>
        <w:t>分级管理模式</w:t>
      </w:r>
      <w:r>
        <w:rPr>
          <w:rFonts w:hint="eastAsia" w:ascii="MS UI Gothic" w:eastAsia="MS UI Gothic"/>
          <w:w w:val="80"/>
        </w:rPr>
        <w:t xml:space="preserve">、 </w:t>
      </w:r>
      <w:r>
        <w:t>分级管理内容等</w:t>
      </w:r>
      <w:r>
        <w:rPr>
          <w:rFonts w:hint="eastAsia" w:ascii="MS UI Gothic" w:eastAsia="MS UI Gothic"/>
          <w:w w:val="80"/>
        </w:rPr>
        <w:t xml:space="preserve">ꎮ </w:t>
      </w:r>
      <w:r>
        <w:t>对排查出的隐患要落实专项治理经费和专职负责人</w:t>
      </w:r>
      <w:r>
        <w:rPr>
          <w:rFonts w:hint="eastAsia" w:ascii="MS UI Gothic" w:eastAsia="MS UI Gothic"/>
          <w:w w:val="80"/>
        </w:rPr>
        <w:t xml:space="preserve">ꎬ </w:t>
      </w:r>
      <w:r>
        <w:t>按时完成整改</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第十八条 中央企业应当严格遵守新建</w:t>
      </w:r>
      <w:r>
        <w:rPr>
          <w:rFonts w:hint="eastAsia" w:ascii="MS UI Gothic" w:eastAsia="MS UI Gothic"/>
          <w:w w:val="80"/>
        </w:rPr>
        <w:t xml:space="preserve">、 </w:t>
      </w:r>
      <w:r>
        <w:rPr>
          <w:w w:val="105"/>
        </w:rPr>
        <w:t>改建</w:t>
      </w:r>
      <w:r>
        <w:rPr>
          <w:rFonts w:hint="eastAsia" w:ascii="MS UI Gothic" w:eastAsia="MS UI Gothic"/>
          <w:w w:val="80"/>
        </w:rPr>
        <w:t xml:space="preserve">、 </w:t>
      </w:r>
      <w:r>
        <w:rPr>
          <w:w w:val="105"/>
        </w:rPr>
        <w:t>扩建工程项目安全设施与主体工程同时设计</w:t>
      </w:r>
      <w:r>
        <w:rPr>
          <w:rFonts w:hint="eastAsia" w:ascii="MS UI Gothic" w:eastAsia="MS UI Gothic"/>
          <w:w w:val="80"/>
        </w:rPr>
        <w:t xml:space="preserve">、 </w:t>
      </w:r>
      <w:r>
        <w:rPr>
          <w:w w:val="105"/>
        </w:rPr>
        <w:t>同时施工</w:t>
      </w:r>
      <w:r>
        <w:rPr>
          <w:rFonts w:hint="eastAsia" w:ascii="MS UI Gothic" w:eastAsia="MS UI Gothic"/>
          <w:w w:val="80"/>
        </w:rPr>
        <w:t xml:space="preserve">、 </w:t>
      </w:r>
      <w:r>
        <w:rPr>
          <w:w w:val="105"/>
        </w:rPr>
        <w:t>同时投入生产和使用的有关规定</w:t>
      </w:r>
      <w:r>
        <w:rPr>
          <w:rFonts w:hint="eastAsia" w:ascii="MS UI Gothic" w:eastAsia="MS UI Gothic"/>
          <w:w w:val="80"/>
        </w:rPr>
        <w:t>ꎮ</w:t>
      </w:r>
    </w:p>
    <w:p>
      <w:pPr>
        <w:pStyle w:val="6"/>
        <w:spacing w:line="295" w:lineRule="auto"/>
        <w:ind w:right="442"/>
        <w:rPr>
          <w:rFonts w:hint="eastAsia" w:ascii="MS UI Gothic" w:eastAsia="MS UI Gothic"/>
        </w:rPr>
      </w:pPr>
      <w:r>
        <w:t>第十九条 中央企业应当严格按照国家和行业的有关规定</w:t>
      </w:r>
      <w:r>
        <w:rPr>
          <w:rFonts w:hint="eastAsia" w:ascii="MS UI Gothic" w:eastAsia="MS UI Gothic"/>
          <w:w w:val="80"/>
        </w:rPr>
        <w:t xml:space="preserve">ꎬ </w:t>
      </w:r>
      <w:r>
        <w:t>足额提取安全生产费用</w:t>
      </w:r>
      <w:r>
        <w:rPr>
          <w:rFonts w:hint="eastAsia" w:ascii="MS UI Gothic" w:eastAsia="MS UI Gothic"/>
          <w:w w:val="80"/>
        </w:rPr>
        <w:t xml:space="preserve">ꎮ </w:t>
      </w:r>
      <w:r>
        <w:t>国家和行业没有明确规定安全生产费用提取比例的中央企业</w:t>
      </w:r>
      <w:r>
        <w:rPr>
          <w:rFonts w:hint="eastAsia" w:ascii="MS UI Gothic" w:eastAsia="MS UI Gothic"/>
          <w:w w:val="80"/>
        </w:rPr>
        <w:t xml:space="preserve">ꎬ </w:t>
      </w:r>
      <w:r>
        <w:t>应当根据企业实际和可持续发展的需要</w:t>
      </w:r>
      <w:r>
        <w:rPr>
          <w:rFonts w:hint="eastAsia" w:ascii="MS UI Gothic" w:eastAsia="MS UI Gothic"/>
          <w:w w:val="80"/>
        </w:rPr>
        <w:t xml:space="preserve">ꎬ </w:t>
      </w:r>
      <w:r>
        <w:t>提取足够的安全生产费用</w:t>
      </w:r>
      <w:r>
        <w:rPr>
          <w:rFonts w:hint="eastAsia" w:ascii="MS UI Gothic" w:eastAsia="MS UI Gothic"/>
          <w:w w:val="80"/>
        </w:rPr>
        <w:t xml:space="preserve">ꎮ </w:t>
      </w:r>
      <w:r>
        <w:t>安全生产费用应当专户核算并编制使用计划</w:t>
      </w:r>
      <w:r>
        <w:rPr>
          <w:rFonts w:hint="eastAsia" w:ascii="MS UI Gothic" w:eastAsia="MS UI Gothic"/>
          <w:w w:val="80"/>
        </w:rPr>
        <w:t xml:space="preserve">ꎬ </w:t>
      </w:r>
      <w:r>
        <w:t>明确费用投入的项目内容</w:t>
      </w:r>
      <w:r>
        <w:rPr>
          <w:rFonts w:hint="eastAsia" w:ascii="MS UI Gothic" w:eastAsia="MS UI Gothic"/>
          <w:w w:val="80"/>
        </w:rPr>
        <w:t xml:space="preserve">、 </w:t>
      </w:r>
      <w:r>
        <w:t>额度</w:t>
      </w:r>
      <w:r>
        <w:rPr>
          <w:rFonts w:hint="eastAsia" w:ascii="MS UI Gothic" w:eastAsia="MS UI Gothic"/>
          <w:w w:val="80"/>
        </w:rPr>
        <w:t xml:space="preserve">、 </w:t>
      </w:r>
      <w:r>
        <w:t>完成期限</w:t>
      </w:r>
      <w:r>
        <w:rPr>
          <w:rFonts w:hint="eastAsia" w:ascii="MS UI Gothic" w:eastAsia="MS UI Gothic"/>
          <w:w w:val="80"/>
        </w:rPr>
        <w:t xml:space="preserve">、 </w:t>
      </w:r>
      <w:r>
        <w:t>责任部门和责任人等</w:t>
      </w:r>
      <w:r>
        <w:rPr>
          <w:rFonts w:hint="eastAsia" w:ascii="MS UI Gothic" w:eastAsia="MS UI Gothic"/>
          <w:w w:val="80"/>
        </w:rPr>
        <w:t xml:space="preserve">ꎬ </w:t>
      </w:r>
      <w:r>
        <w:t>确保安全生产费用投入的落实</w:t>
      </w:r>
      <w:r>
        <w:rPr>
          <w:rFonts w:hint="eastAsia" w:ascii="MS UI Gothic" w:eastAsia="MS UI Gothic"/>
          <w:w w:val="80"/>
        </w:rPr>
        <w:t xml:space="preserve">ꎬ </w:t>
      </w:r>
      <w:r>
        <w:t>并将落实情况随年度业绩考核总结分析报告同时报送国资委</w:t>
      </w:r>
      <w:r>
        <w:rPr>
          <w:rFonts w:hint="eastAsia" w:ascii="MS UI Gothic" w:eastAsia="MS UI Gothic"/>
          <w:w w:val="80"/>
        </w:rPr>
        <w:t>ꎮ</w:t>
      </w:r>
    </w:p>
    <w:p>
      <w:pPr>
        <w:pStyle w:val="6"/>
        <w:spacing w:line="295" w:lineRule="auto"/>
        <w:ind w:right="440"/>
        <w:rPr>
          <w:rFonts w:hint="eastAsia" w:ascii="MS UI Gothic" w:eastAsia="MS UI Gothic"/>
        </w:rPr>
      </w:pPr>
      <w:r>
        <w:rPr>
          <w:spacing w:val="2"/>
          <w:w w:val="105"/>
        </w:rPr>
        <w:t>第二十条 中央企业应当建立健全安</w:t>
      </w:r>
      <w:r>
        <w:rPr>
          <w:spacing w:val="3"/>
        </w:rPr>
        <w:t>全生产的教育和培训制度</w:t>
      </w:r>
      <w:r>
        <w:rPr>
          <w:rFonts w:hint="eastAsia" w:ascii="MS UI Gothic" w:eastAsia="MS UI Gothic"/>
          <w:spacing w:val="19"/>
          <w:w w:val="80"/>
        </w:rPr>
        <w:t xml:space="preserve">ꎬ </w:t>
      </w:r>
      <w:r>
        <w:rPr>
          <w:spacing w:val="2"/>
        </w:rPr>
        <w:t>严格落实企业</w:t>
      </w:r>
      <w:r>
        <w:rPr>
          <w:spacing w:val="3"/>
          <w:w w:val="105"/>
        </w:rPr>
        <w:t>负责人</w:t>
      </w:r>
      <w:r>
        <w:rPr>
          <w:rFonts w:hint="eastAsia" w:ascii="MS UI Gothic" w:eastAsia="MS UI Gothic"/>
          <w:spacing w:val="12"/>
          <w:w w:val="80"/>
        </w:rPr>
        <w:t xml:space="preserve">、 </w:t>
      </w:r>
      <w:r>
        <w:rPr>
          <w:spacing w:val="3"/>
          <w:w w:val="105"/>
        </w:rPr>
        <w:t>安全生产监督管理人员</w:t>
      </w:r>
      <w:r>
        <w:rPr>
          <w:rFonts w:hint="eastAsia" w:ascii="MS UI Gothic" w:eastAsia="MS UI Gothic"/>
          <w:spacing w:val="12"/>
          <w:w w:val="80"/>
        </w:rPr>
        <w:t xml:space="preserve">、 </w:t>
      </w:r>
      <w:r>
        <w:rPr>
          <w:spacing w:val="1"/>
          <w:w w:val="105"/>
        </w:rPr>
        <w:t>特种作</w:t>
      </w:r>
      <w:r>
        <w:rPr>
          <w:spacing w:val="4"/>
        </w:rPr>
        <w:t>业人员的持证上岗制度和培训考核制度</w:t>
      </w:r>
      <w:r>
        <w:rPr>
          <w:rFonts w:hint="eastAsia" w:ascii="MS UI Gothic" w:eastAsia="MS UI Gothic"/>
          <w:w w:val="80"/>
        </w:rPr>
        <w:t>ꎻ</w:t>
      </w:r>
      <w:r>
        <w:rPr>
          <w:spacing w:val="11"/>
        </w:rPr>
        <w:t>严格落实从业人员的安全生产教育培训</w:t>
      </w:r>
      <w:r>
        <w:rPr>
          <w:spacing w:val="3"/>
          <w:w w:val="105"/>
        </w:rPr>
        <w:t>制度</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第二十一条 中央企业应当建立安全</w:t>
      </w:r>
      <w:r>
        <w:rPr>
          <w:spacing w:val="3"/>
        </w:rPr>
        <w:t>生产考核和奖惩机制</w:t>
      </w:r>
      <w:r>
        <w:rPr>
          <w:rFonts w:hint="eastAsia" w:ascii="MS UI Gothic" w:eastAsia="MS UI Gothic"/>
          <w:spacing w:val="20"/>
          <w:w w:val="80"/>
        </w:rPr>
        <w:t xml:space="preserve">ꎮ </w:t>
      </w:r>
      <w:r>
        <w:rPr>
          <w:spacing w:val="2"/>
        </w:rPr>
        <w:t>严格安全生产业绩</w:t>
      </w:r>
      <w:r>
        <w:rPr>
          <w:spacing w:val="3"/>
        </w:rPr>
        <w:t>考核</w:t>
      </w:r>
      <w:r>
        <w:rPr>
          <w:rFonts w:hint="eastAsia" w:ascii="MS UI Gothic" w:eastAsia="MS UI Gothic"/>
          <w:spacing w:val="23"/>
          <w:w w:val="80"/>
        </w:rPr>
        <w:t xml:space="preserve">ꎬ </w:t>
      </w:r>
      <w:r>
        <w:rPr>
          <w:spacing w:val="3"/>
        </w:rPr>
        <w:t>加大安全生产奖励力度</w:t>
      </w:r>
      <w:r>
        <w:rPr>
          <w:rFonts w:hint="eastAsia" w:ascii="MS UI Gothic" w:eastAsia="MS UI Gothic"/>
          <w:spacing w:val="23"/>
          <w:w w:val="80"/>
        </w:rPr>
        <w:t xml:space="preserve">ꎬ </w:t>
      </w:r>
      <w:r>
        <w:rPr>
          <w:spacing w:val="2"/>
        </w:rPr>
        <w:t>严肃查处</w:t>
      </w:r>
      <w:r>
        <w:rPr>
          <w:spacing w:val="11"/>
        </w:rPr>
        <w:t>每起责任事故</w:t>
      </w:r>
      <w:r>
        <w:rPr>
          <w:rFonts w:hint="eastAsia" w:ascii="MS UI Gothic" w:eastAsia="MS UI Gothic"/>
          <w:spacing w:val="23"/>
          <w:w w:val="80"/>
        </w:rPr>
        <w:t xml:space="preserve">ꎬ </w:t>
      </w:r>
      <w:r>
        <w:rPr>
          <w:spacing w:val="17"/>
        </w:rPr>
        <w:t>严格追究事故责任人的</w:t>
      </w:r>
      <w:r>
        <w:rPr>
          <w:spacing w:val="3"/>
        </w:rPr>
        <w:t>责任</w:t>
      </w:r>
      <w:r>
        <w:rPr>
          <w:rFonts w:hint="eastAsia" w:ascii="MS UI Gothic" w:eastAsia="MS UI Gothic"/>
          <w:w w:val="80"/>
        </w:rPr>
        <w:t>ꎮ</w:t>
      </w:r>
    </w:p>
    <w:p>
      <w:pPr>
        <w:pStyle w:val="6"/>
        <w:spacing w:line="295" w:lineRule="auto"/>
        <w:ind w:right="442"/>
        <w:rPr>
          <w:rFonts w:hint="eastAsia" w:ascii="MS UI Gothic" w:eastAsia="MS UI Gothic"/>
        </w:rPr>
      </w:pPr>
      <w:r>
        <w:t>第二十二条 中央企业应当建立健全生产安全事故新闻发布制度和媒体应对工作机制</w:t>
      </w:r>
      <w:r>
        <w:rPr>
          <w:rFonts w:hint="eastAsia" w:ascii="MS UI Gothic" w:eastAsia="MS UI Gothic"/>
          <w:w w:val="80"/>
        </w:rPr>
        <w:t xml:space="preserve">ꎬ </w:t>
      </w:r>
      <w:r>
        <w:t>及时</w:t>
      </w:r>
      <w:r>
        <w:rPr>
          <w:rFonts w:hint="eastAsia" w:ascii="MS UI Gothic" w:eastAsia="MS UI Gothic"/>
          <w:w w:val="80"/>
        </w:rPr>
        <w:t xml:space="preserve">、 </w:t>
      </w:r>
      <w:r>
        <w:t>主动</w:t>
      </w:r>
      <w:r>
        <w:rPr>
          <w:rFonts w:hint="eastAsia" w:ascii="MS UI Gothic" w:eastAsia="MS UI Gothic"/>
          <w:w w:val="80"/>
        </w:rPr>
        <w:t xml:space="preserve">、 </w:t>
      </w:r>
      <w:r>
        <w:t>准确</w:t>
      </w:r>
      <w:r>
        <w:rPr>
          <w:rFonts w:hint="eastAsia" w:ascii="MS UI Gothic" w:eastAsia="MS UI Gothic"/>
          <w:w w:val="80"/>
        </w:rPr>
        <w:t xml:space="preserve">、  </w:t>
      </w:r>
      <w:r>
        <w:t>客观地向新闻媒体公布事故的有关情况</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１５７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16" o:spid="_x0000_s1516" o:spt="203" style="height:2.15pt;width:398.25pt;" coordsize="7965,43">
            <o:lock v:ext="edit"/>
            <v:line id="_x0000_s1517" o:spid="_x0000_s1517" o:spt="20" style="position:absolute;left:0;top:39;height:0;width:7965;" stroked="t" coordsize="21600,21600">
              <v:path arrowok="t"/>
              <v:fill focussize="0,0"/>
              <v:stroke weight="0.388031496062992pt" color="#231F20"/>
              <v:imagedata o:title=""/>
              <o:lock v:ext="edit"/>
            </v:line>
            <v:line id="_x0000_s1518" o:spid="_x0000_s151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w w:val="105"/>
        </w:rPr>
        <w:t>第二十三条 企业制定和执行的安全生产管理规章制度</w:t>
      </w:r>
      <w:r>
        <w:rPr>
          <w:rFonts w:hint="eastAsia" w:ascii="MS UI Gothic" w:eastAsia="MS UI Gothic"/>
          <w:w w:val="80"/>
        </w:rPr>
        <w:t xml:space="preserve">、 </w:t>
      </w:r>
      <w:r>
        <w:rPr>
          <w:w w:val="105"/>
        </w:rPr>
        <w:t>标准等应当不低于国家和行业要求</w:t>
      </w:r>
      <w:r>
        <w:rPr>
          <w:rFonts w:hint="eastAsia" w:ascii="MS UI Gothic" w:eastAsia="MS UI Gothic"/>
          <w:w w:val="80"/>
        </w:rPr>
        <w:t>ꎮ</w:t>
      </w:r>
    </w:p>
    <w:p>
      <w:pPr>
        <w:pStyle w:val="6"/>
        <w:tabs>
          <w:tab w:val="left" w:pos="1698"/>
        </w:tabs>
        <w:spacing w:before="155"/>
        <w:ind w:left="860" w:firstLine="0"/>
        <w:jc w:val="left"/>
      </w:pPr>
      <w:r>
        <w:rPr>
          <w:spacing w:val="3"/>
          <w:w w:val="105"/>
        </w:rPr>
        <w:t>第四</w:t>
      </w:r>
      <w:r>
        <w:rPr>
          <w:w w:val="105"/>
        </w:rPr>
        <w:t>章</w:t>
      </w:r>
      <w:r>
        <w:rPr>
          <w:w w:val="105"/>
        </w:rPr>
        <w:tab/>
      </w:r>
      <w:r>
        <w:rPr>
          <w:spacing w:val="3"/>
          <w:w w:val="105"/>
        </w:rPr>
        <w:t>安全生产工作报告制</w:t>
      </w:r>
      <w:r>
        <w:rPr>
          <w:w w:val="105"/>
        </w:rPr>
        <w:t>度</w:t>
      </w:r>
    </w:p>
    <w:p>
      <w:pPr>
        <w:pStyle w:val="6"/>
        <w:spacing w:before="215" w:line="295" w:lineRule="auto"/>
        <w:ind w:left="440" w:right="1"/>
        <w:rPr>
          <w:rFonts w:hint="eastAsia" w:ascii="MS UI Gothic" w:eastAsia="MS UI Gothic"/>
        </w:rPr>
      </w:pPr>
      <w:r>
        <w:rPr>
          <w:w w:val="105"/>
        </w:rPr>
        <w:t xml:space="preserve">第二十四条 中央企业应当于每年 </w:t>
      </w:r>
      <w:r>
        <w:rPr>
          <w:rFonts w:hint="eastAsia" w:ascii="MS UI Gothic" w:eastAsia="MS UI Gothic"/>
          <w:w w:val="80"/>
        </w:rPr>
        <w:t xml:space="preserve">１ </w:t>
      </w:r>
      <w:r>
        <w:t>月底前将上一年度的安全生产工作总结和</w:t>
      </w:r>
      <w:r>
        <w:rPr>
          <w:w w:val="105"/>
        </w:rPr>
        <w:t>本年度的工作安排报送国资委</w:t>
      </w:r>
      <w:r>
        <w:rPr>
          <w:rFonts w:hint="eastAsia" w:ascii="MS UI Gothic" w:eastAsia="MS UI Gothic"/>
          <w:w w:val="80"/>
        </w:rPr>
        <w:t>ꎮ</w:t>
      </w:r>
    </w:p>
    <w:p>
      <w:pPr>
        <w:pStyle w:val="6"/>
        <w:spacing w:line="295" w:lineRule="auto"/>
        <w:ind w:left="435" w:firstLine="425"/>
        <w:rPr>
          <w:rFonts w:hint="eastAsia" w:ascii="MS UI Gothic" w:eastAsia="MS UI Gothic"/>
        </w:rPr>
      </w:pPr>
      <w:r>
        <w:rPr>
          <w:spacing w:val="11"/>
          <w:w w:val="105"/>
        </w:rPr>
        <w:t>第二十五条 中央企业应当按季度</w:t>
      </w:r>
      <w:r>
        <w:rPr>
          <w:rFonts w:hint="eastAsia" w:ascii="MS UI Gothic" w:eastAsia="MS UI Gothic"/>
          <w:spacing w:val="-11"/>
          <w:w w:val="85"/>
        </w:rPr>
        <w:t>、</w:t>
      </w:r>
      <w:r>
        <w:rPr>
          <w:spacing w:val="7"/>
          <w:w w:val="105"/>
        </w:rPr>
        <w:t xml:space="preserve">年度对本企业 </w:t>
      </w:r>
      <w:r>
        <w:rPr>
          <w:rFonts w:hint="eastAsia" w:ascii="MS UI Gothic" w:eastAsia="MS UI Gothic"/>
          <w:spacing w:val="-20"/>
          <w:w w:val="105"/>
        </w:rPr>
        <w:t xml:space="preserve">( </w:t>
      </w:r>
      <w:r>
        <w:rPr>
          <w:spacing w:val="15"/>
          <w:w w:val="105"/>
        </w:rPr>
        <w:t>包括独资及控股并负责</w:t>
      </w:r>
      <w:r>
        <w:rPr>
          <w:spacing w:val="11"/>
          <w:w w:val="105"/>
        </w:rPr>
        <w:t>管理的企业</w:t>
      </w:r>
      <w:r>
        <w:rPr>
          <w:rFonts w:hint="eastAsia" w:ascii="MS UI Gothic" w:eastAsia="MS UI Gothic"/>
          <w:spacing w:val="21"/>
          <w:w w:val="105"/>
        </w:rPr>
        <w:t xml:space="preserve">) </w:t>
      </w:r>
      <w:r>
        <w:rPr>
          <w:spacing w:val="15"/>
          <w:w w:val="105"/>
        </w:rPr>
        <w:t>所发生的生产安全事故进</w:t>
      </w:r>
      <w:r>
        <w:rPr>
          <w:spacing w:val="-5"/>
          <w:w w:val="110"/>
        </w:rPr>
        <w:t xml:space="preserve">行统计分析并填制报表 </w:t>
      </w:r>
      <w:r>
        <w:rPr>
          <w:rFonts w:hint="eastAsia" w:ascii="MS UI Gothic" w:eastAsia="MS UI Gothic"/>
          <w:spacing w:val="-34"/>
          <w:w w:val="125"/>
        </w:rPr>
        <w:t xml:space="preserve">( </w:t>
      </w:r>
      <w:r>
        <w:rPr>
          <w:spacing w:val="-20"/>
          <w:w w:val="110"/>
        </w:rPr>
        <w:t xml:space="preserve">见附件 </w:t>
      </w:r>
      <w:r>
        <w:rPr>
          <w:rFonts w:hint="eastAsia" w:ascii="MS UI Gothic" w:eastAsia="MS UI Gothic"/>
          <w:spacing w:val="-4"/>
          <w:w w:val="85"/>
        </w:rPr>
        <w:t xml:space="preserve">２、 </w:t>
      </w:r>
      <w:r>
        <w:rPr>
          <w:spacing w:val="4"/>
          <w:w w:val="110"/>
        </w:rPr>
        <w:t>附件</w:t>
      </w:r>
      <w:r>
        <w:rPr>
          <w:rFonts w:hint="eastAsia" w:ascii="MS UI Gothic" w:eastAsia="MS UI Gothic"/>
          <w:spacing w:val="5"/>
          <w:w w:val="75"/>
        </w:rPr>
        <w:t>３</w:t>
      </w:r>
      <w:r>
        <w:rPr>
          <w:rFonts w:hint="eastAsia" w:ascii="MS UI Gothic" w:eastAsia="MS UI Gothic"/>
          <w:w w:val="168"/>
        </w:rPr>
        <w:t>)</w:t>
      </w:r>
      <w:r>
        <w:rPr>
          <w:rFonts w:hint="eastAsia" w:ascii="MS UI Gothic" w:eastAsia="MS UI Gothic"/>
          <w:spacing w:val="-40"/>
        </w:rPr>
        <w:t xml:space="preserve"> </w:t>
      </w:r>
      <w:r>
        <w:rPr>
          <w:rFonts w:hint="eastAsia" w:ascii="MS UI Gothic" w:eastAsia="MS UI Gothic"/>
          <w:w w:val="51"/>
        </w:rPr>
        <w:t>ꎬ</w:t>
      </w:r>
      <w:r>
        <w:rPr>
          <w:rFonts w:hint="eastAsia" w:ascii="MS UI Gothic" w:eastAsia="MS UI Gothic"/>
          <w:spacing w:val="-6"/>
        </w:rPr>
        <w:t xml:space="preserve">  </w:t>
      </w:r>
      <w:r>
        <w:rPr>
          <w:spacing w:val="7"/>
          <w:w w:val="102"/>
        </w:rPr>
        <w:t>于次季度首月</w:t>
      </w:r>
      <w:r>
        <w:rPr>
          <w:spacing w:val="-42"/>
        </w:rPr>
        <w:t xml:space="preserve"> </w:t>
      </w:r>
      <w:r>
        <w:rPr>
          <w:rFonts w:hint="eastAsia" w:ascii="MS UI Gothic" w:eastAsia="MS UI Gothic"/>
          <w:w w:val="75"/>
        </w:rPr>
        <w:t>１５</w:t>
      </w:r>
      <w:r>
        <w:rPr>
          <w:rFonts w:hint="eastAsia" w:ascii="MS UI Gothic" w:eastAsia="MS UI Gothic"/>
          <w:spacing w:val="5"/>
        </w:rPr>
        <w:t xml:space="preserve"> </w:t>
      </w:r>
      <w:r>
        <w:rPr>
          <w:spacing w:val="7"/>
          <w:w w:val="102"/>
        </w:rPr>
        <w:t>日前和次年度</w:t>
      </w:r>
      <w:r>
        <w:rPr>
          <w:spacing w:val="-42"/>
        </w:rPr>
        <w:t xml:space="preserve"> </w:t>
      </w:r>
      <w:r>
        <w:rPr>
          <w:rFonts w:hint="eastAsia" w:ascii="MS UI Gothic" w:eastAsia="MS UI Gothic"/>
          <w:w w:val="75"/>
        </w:rPr>
        <w:t>１</w:t>
      </w:r>
      <w:r>
        <w:rPr>
          <w:rFonts w:hint="eastAsia" w:ascii="MS UI Gothic" w:eastAsia="MS UI Gothic"/>
          <w:spacing w:val="5"/>
        </w:rPr>
        <w:t xml:space="preserve"> </w:t>
      </w:r>
      <w:r>
        <w:rPr>
          <w:w w:val="102"/>
        </w:rPr>
        <w:t>月</w:t>
      </w:r>
      <w:r>
        <w:rPr>
          <w:spacing w:val="3"/>
        </w:rPr>
        <w:t>底前报国资委</w:t>
      </w:r>
      <w:r>
        <w:rPr>
          <w:rFonts w:hint="eastAsia" w:ascii="MS UI Gothic" w:eastAsia="MS UI Gothic"/>
          <w:spacing w:val="13"/>
          <w:w w:val="85"/>
        </w:rPr>
        <w:t xml:space="preserve">ꎮ </w:t>
      </w:r>
      <w:r>
        <w:rPr>
          <w:spacing w:val="2"/>
        </w:rPr>
        <w:t>中央企业生产安全事故统</w:t>
      </w:r>
      <w:r>
        <w:rPr>
          <w:spacing w:val="3"/>
          <w:w w:val="110"/>
        </w:rPr>
        <w:t>计报表实行零报告制度</w:t>
      </w:r>
      <w:r>
        <w:rPr>
          <w:rFonts w:hint="eastAsia" w:ascii="MS UI Gothic" w:eastAsia="MS UI Gothic"/>
          <w:w w:val="85"/>
        </w:rPr>
        <w:t>ꎮ</w:t>
      </w:r>
    </w:p>
    <w:p>
      <w:pPr>
        <w:pStyle w:val="6"/>
        <w:spacing w:line="295" w:lineRule="auto"/>
        <w:ind w:left="440" w:right="1"/>
        <w:rPr>
          <w:rFonts w:hint="eastAsia" w:ascii="MS UI Gothic" w:eastAsia="MS UI Gothic"/>
        </w:rPr>
      </w:pPr>
      <w:r>
        <w:rPr>
          <w:w w:val="105"/>
        </w:rPr>
        <w:t>第二十六条 中央企业发生生产安全</w:t>
      </w:r>
      <w:r>
        <w:t>事故或者因生产安全事故引发突发事件</w:t>
      </w:r>
      <w:r>
        <w:rPr>
          <w:w w:val="105"/>
        </w:rPr>
        <w:t>后</w:t>
      </w:r>
      <w:r>
        <w:rPr>
          <w:rFonts w:hint="eastAsia" w:ascii="MS UI Gothic" w:eastAsia="MS UI Gothic"/>
          <w:w w:val="80"/>
        </w:rPr>
        <w:t xml:space="preserve">ꎬ </w:t>
      </w:r>
      <w:r>
        <w:rPr>
          <w:w w:val="105"/>
        </w:rPr>
        <w:t>应当按以下要求报告国资委</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境内发生较大及以上生产安全</w:t>
      </w:r>
      <w:r>
        <w:rPr>
          <w:spacing w:val="3"/>
        </w:rPr>
        <w:t>事故</w:t>
      </w:r>
      <w:r>
        <w:rPr>
          <w:rFonts w:hint="eastAsia" w:ascii="MS UI Gothic" w:eastAsia="MS UI Gothic"/>
          <w:spacing w:val="14"/>
          <w:w w:val="85"/>
        </w:rPr>
        <w:t xml:space="preserve">ꎬ </w:t>
      </w:r>
      <w:r>
        <w:rPr>
          <w:spacing w:val="2"/>
        </w:rPr>
        <w:t>中央企业应当编制生产安全事故快</w:t>
      </w:r>
      <w:r>
        <w:rPr>
          <w:spacing w:val="2"/>
          <w:w w:val="102"/>
        </w:rPr>
        <w:t>报</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1"/>
          <w:w w:val="102"/>
        </w:rPr>
        <w:t>见附件</w:t>
      </w:r>
      <w:r>
        <w:rPr>
          <w:spacing w:val="-50"/>
        </w:rPr>
        <w:t xml:space="preserve"> </w:t>
      </w:r>
      <w:r>
        <w:rPr>
          <w:rFonts w:hint="eastAsia" w:ascii="MS UI Gothic" w:eastAsia="MS UI Gothic"/>
          <w:spacing w:val="13"/>
          <w:w w:val="75"/>
        </w:rPr>
        <w:t>４</w:t>
      </w:r>
      <w:r>
        <w:rPr>
          <w:rFonts w:hint="eastAsia" w:ascii="MS UI Gothic" w:eastAsia="MS UI Gothic"/>
          <w:w w:val="168"/>
        </w:rPr>
        <w:t>)</w:t>
      </w:r>
      <w:r>
        <w:rPr>
          <w:rFonts w:hint="eastAsia" w:ascii="MS UI Gothic" w:eastAsia="MS UI Gothic"/>
          <w:spacing w:val="-40"/>
        </w:rPr>
        <w:t xml:space="preserve"> </w:t>
      </w:r>
      <w:r>
        <w:rPr>
          <w:rFonts w:hint="eastAsia" w:ascii="MS UI Gothic" w:eastAsia="MS UI Gothic"/>
          <w:w w:val="51"/>
        </w:rPr>
        <w:t>ꎬ</w:t>
      </w:r>
      <w:r>
        <w:rPr>
          <w:rFonts w:hint="eastAsia" w:ascii="MS UI Gothic" w:eastAsia="MS UI Gothic"/>
          <w:spacing w:val="-4"/>
        </w:rPr>
        <w:t xml:space="preserve">  </w:t>
      </w:r>
      <w:r>
        <w:rPr>
          <w:spacing w:val="13"/>
          <w:w w:val="102"/>
        </w:rPr>
        <w:t>按本办法规定的报告流程</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1"/>
          <w:w w:val="102"/>
        </w:rPr>
        <w:t>见附件</w:t>
      </w:r>
      <w:r>
        <w:rPr>
          <w:spacing w:val="-50"/>
        </w:rPr>
        <w:t xml:space="preserve"> </w:t>
      </w:r>
      <w:r>
        <w:rPr>
          <w:rFonts w:hint="eastAsia" w:ascii="MS UI Gothic" w:eastAsia="MS UI Gothic"/>
          <w:spacing w:val="5"/>
          <w:w w:val="75"/>
        </w:rPr>
        <w:t>５</w:t>
      </w:r>
      <w:r>
        <w:rPr>
          <w:rFonts w:hint="eastAsia" w:ascii="MS UI Gothic" w:eastAsia="MS UI Gothic"/>
          <w:w w:val="168"/>
        </w:rPr>
        <w:t>)</w:t>
      </w:r>
      <w:r>
        <w:rPr>
          <w:rFonts w:hint="eastAsia" w:ascii="MS UI Gothic" w:eastAsia="MS UI Gothic"/>
          <w:spacing w:val="2"/>
        </w:rPr>
        <w:t xml:space="preserve">  </w:t>
      </w:r>
      <w:r>
        <w:rPr>
          <w:spacing w:val="3"/>
          <w:w w:val="102"/>
        </w:rPr>
        <w:t>迅速报告</w:t>
      </w:r>
      <w:r>
        <w:rPr>
          <w:rFonts w:hint="eastAsia" w:ascii="MS UI Gothic" w:eastAsia="MS UI Gothic"/>
          <w:w w:val="51"/>
        </w:rPr>
        <w:t>ꎮ</w:t>
      </w:r>
      <w:r>
        <w:rPr>
          <w:rFonts w:hint="eastAsia" w:ascii="MS UI Gothic" w:eastAsia="MS UI Gothic"/>
          <w:spacing w:val="-8"/>
        </w:rPr>
        <w:t xml:space="preserve">  </w:t>
      </w:r>
      <w:r>
        <w:rPr>
          <w:spacing w:val="4"/>
          <w:w w:val="102"/>
        </w:rPr>
        <w:t>事故现场负责</w:t>
      </w:r>
      <w:r>
        <w:rPr>
          <w:spacing w:val="3"/>
        </w:rPr>
        <w:t>人应当立即向本单位负责人报告</w:t>
      </w:r>
      <w:r>
        <w:rPr>
          <w:rFonts w:hint="eastAsia" w:ascii="MS UI Gothic" w:eastAsia="MS UI Gothic"/>
          <w:spacing w:val="14"/>
          <w:w w:val="85"/>
        </w:rPr>
        <w:t xml:space="preserve">ꎬ </w:t>
      </w:r>
      <w:r>
        <w:rPr>
          <w:spacing w:val="1"/>
        </w:rPr>
        <w:t>单位负</w:t>
      </w:r>
      <w:r>
        <w:rPr>
          <w:spacing w:val="2"/>
          <w:w w:val="105"/>
        </w:rPr>
        <w:t>责人接到报告后</w:t>
      </w:r>
      <w:r>
        <w:rPr>
          <w:rFonts w:hint="eastAsia" w:ascii="MS UI Gothic" w:eastAsia="MS UI Gothic"/>
          <w:spacing w:val="-8"/>
          <w:w w:val="85"/>
        </w:rPr>
        <w:t xml:space="preserve">ꎬ </w:t>
      </w:r>
      <w:r>
        <w:rPr>
          <w:spacing w:val="-21"/>
          <w:w w:val="105"/>
        </w:rPr>
        <w:t xml:space="preserve">应当于 </w:t>
      </w:r>
      <w:r>
        <w:rPr>
          <w:rFonts w:hint="eastAsia" w:ascii="MS UI Gothic" w:eastAsia="MS UI Gothic"/>
          <w:spacing w:val="-16"/>
          <w:w w:val="85"/>
        </w:rPr>
        <w:t xml:space="preserve">１ </w:t>
      </w:r>
      <w:r>
        <w:rPr>
          <w:spacing w:val="2"/>
          <w:w w:val="105"/>
        </w:rPr>
        <w:t>小时内向上一</w:t>
      </w:r>
      <w:r>
        <w:rPr>
          <w:spacing w:val="3"/>
        </w:rPr>
        <w:t>级单位负责人报告</w:t>
      </w:r>
      <w:r>
        <w:rPr>
          <w:rFonts w:hint="eastAsia" w:ascii="MS UI Gothic" w:eastAsia="MS UI Gothic"/>
          <w:spacing w:val="14"/>
          <w:w w:val="85"/>
        </w:rPr>
        <w:t xml:space="preserve">ꎻ </w:t>
      </w:r>
      <w:r>
        <w:rPr>
          <w:spacing w:val="2"/>
        </w:rPr>
        <w:t>以后逐级报告至国资</w:t>
      </w:r>
      <w:r>
        <w:rPr>
          <w:spacing w:val="3"/>
          <w:w w:val="110"/>
        </w:rPr>
        <w:t>委</w:t>
      </w:r>
      <w:r>
        <w:rPr>
          <w:rFonts w:hint="eastAsia" w:ascii="MS UI Gothic" w:eastAsia="MS UI Gothic"/>
          <w:spacing w:val="-7"/>
          <w:w w:val="85"/>
        </w:rPr>
        <w:t xml:space="preserve">ꎬ </w:t>
      </w:r>
      <w:r>
        <w:rPr>
          <w:spacing w:val="-6"/>
          <w:w w:val="110"/>
        </w:rPr>
        <w:t xml:space="preserve">且每级时间间隔不得超过 </w:t>
      </w:r>
      <w:r>
        <w:rPr>
          <w:rFonts w:hint="eastAsia" w:ascii="MS UI Gothic" w:eastAsia="MS UI Gothic"/>
          <w:spacing w:val="-16"/>
          <w:w w:val="85"/>
        </w:rPr>
        <w:t xml:space="preserve">２ </w:t>
      </w:r>
      <w:r>
        <w:rPr>
          <w:spacing w:val="3"/>
          <w:w w:val="110"/>
        </w:rPr>
        <w:t>小时</w:t>
      </w:r>
      <w:r>
        <w:rPr>
          <w:rFonts w:hint="eastAsia" w:asci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境内由于生产安全事故引发的特别重大</w:t>
      </w:r>
      <w:r>
        <w:rPr>
          <w:rFonts w:hint="eastAsia" w:ascii="MS UI Gothic" w:eastAsia="MS UI Gothic"/>
          <w:w w:val="80"/>
        </w:rPr>
        <w:t xml:space="preserve">、 </w:t>
      </w:r>
      <w:r>
        <w:rPr>
          <w:w w:val="105"/>
        </w:rPr>
        <w:t>重大突发公共事件</w:t>
      </w:r>
      <w:r>
        <w:rPr>
          <w:rFonts w:hint="eastAsia" w:ascii="MS UI Gothic" w:eastAsia="MS UI Gothic"/>
          <w:w w:val="80"/>
        </w:rPr>
        <w:t xml:space="preserve">ꎬ </w:t>
      </w:r>
      <w:r>
        <w:rPr>
          <w:w w:val="105"/>
        </w:rPr>
        <w:t>中央企业接到报告后应当立即向国资委报告</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境外发生生产安全死亡事故</w:t>
      </w:r>
      <w:r>
        <w:rPr>
          <w:rFonts w:hint="eastAsia" w:ascii="MS UI Gothic" w:eastAsia="MS UI Gothic"/>
          <w:w w:val="80"/>
        </w:rPr>
        <w:t>ꎬ</w:t>
      </w:r>
      <w:r>
        <w:t>中央企业接到报告后应当立即向国资委</w:t>
      </w:r>
      <w:r>
        <w:rPr>
          <w:w w:val="105"/>
        </w:rPr>
        <w:t>报告</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在中央企业管理的区域内发生生产安全事故</w:t>
      </w:r>
      <w:r>
        <w:rPr>
          <w:rFonts w:hint="eastAsia" w:ascii="MS UI Gothic" w:eastAsia="MS UI Gothic"/>
          <w:w w:val="80"/>
        </w:rPr>
        <w:t xml:space="preserve">ꎬ </w:t>
      </w:r>
      <w:r>
        <w:rPr>
          <w:w w:val="105"/>
        </w:rPr>
        <w:t>中央企业作为业主</w:t>
      </w:r>
      <w:r>
        <w:rPr>
          <w:rFonts w:hint="eastAsia" w:ascii="MS UI Gothic" w:eastAsia="MS UI Gothic"/>
          <w:w w:val="80"/>
        </w:rPr>
        <w:t xml:space="preserve">、 </w:t>
      </w:r>
      <w:r>
        <w:rPr>
          <w:w w:val="105"/>
        </w:rPr>
        <w:t xml:space="preserve">总承包商或者分包商应当按本条第 </w:t>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款规定报告</w:t>
      </w:r>
      <w:r>
        <w:rPr>
          <w:rFonts w:hint="eastAsia" w:ascii="MS UI Gothic" w:eastAsia="MS UI Gothic"/>
          <w:w w:val="80"/>
        </w:rPr>
        <w:t>ꎮ</w:t>
      </w:r>
    </w:p>
    <w:p>
      <w:pPr>
        <w:pStyle w:val="6"/>
        <w:spacing w:line="295" w:lineRule="auto"/>
        <w:ind w:left="440" w:right="1"/>
      </w:pPr>
      <w:r>
        <w:rPr>
          <w:w w:val="105"/>
        </w:rPr>
        <w:t>第二十七条 中央企业应当将政府有关部门对较大事故</w:t>
      </w:r>
      <w:r>
        <w:rPr>
          <w:rFonts w:hint="eastAsia" w:ascii="MS UI Gothic" w:eastAsia="MS UI Gothic"/>
          <w:w w:val="80"/>
        </w:rPr>
        <w:t xml:space="preserve">、 </w:t>
      </w:r>
      <w:r>
        <w:rPr>
          <w:w w:val="105"/>
        </w:rPr>
        <w:t>重大事故的事故调查</w:t>
      </w:r>
      <w:r>
        <w:t>报告及批复及时报国资委备案</w:t>
      </w:r>
      <w:r>
        <w:rPr>
          <w:rFonts w:hint="eastAsia" w:ascii="MS UI Gothic" w:eastAsia="MS UI Gothic"/>
          <w:w w:val="80"/>
        </w:rPr>
        <w:t xml:space="preserve">ꎬ </w:t>
      </w:r>
      <w:r>
        <w:t>并将责任</w:t>
      </w:r>
    </w:p>
    <w:p>
      <w:pPr>
        <w:pStyle w:val="6"/>
        <w:spacing w:before="124"/>
        <w:ind w:left="381" w:firstLine="0"/>
        <w:jc w:val="left"/>
        <w:rPr>
          <w:rFonts w:hint="eastAsia" w:ascii="MS UI Gothic" w:eastAsia="MS UI Gothic"/>
        </w:rPr>
      </w:pPr>
      <w:r>
        <w:br w:type="column"/>
      </w:r>
      <w:r>
        <w:t>追究落实情况报告国资委</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w w:val="105"/>
        </w:rPr>
        <w:t>第二十八条 中央企业应当将安全生</w:t>
      </w:r>
      <w:r>
        <w:t>产工作领导机构及安全生产监督管理机构</w:t>
      </w:r>
      <w:r>
        <w:rPr>
          <w:w w:val="105"/>
        </w:rPr>
        <w:t>的名称</w:t>
      </w:r>
      <w:r>
        <w:rPr>
          <w:rFonts w:hint="eastAsia" w:ascii="MS UI Gothic" w:eastAsia="MS UI Gothic"/>
          <w:w w:val="80"/>
        </w:rPr>
        <w:t xml:space="preserve">、 </w:t>
      </w:r>
      <w:r>
        <w:rPr>
          <w:w w:val="105"/>
        </w:rPr>
        <w:t>组成人员</w:t>
      </w:r>
      <w:r>
        <w:rPr>
          <w:rFonts w:hint="eastAsia" w:ascii="MS UI Gothic" w:eastAsia="MS UI Gothic"/>
          <w:w w:val="80"/>
        </w:rPr>
        <w:t xml:space="preserve">、 </w:t>
      </w:r>
      <w:r>
        <w:rPr>
          <w:w w:val="105"/>
        </w:rPr>
        <w:t>职责</w:t>
      </w:r>
      <w:r>
        <w:rPr>
          <w:rFonts w:hint="eastAsia" w:ascii="MS UI Gothic" w:eastAsia="MS UI Gothic"/>
          <w:w w:val="80"/>
        </w:rPr>
        <w:t xml:space="preserve">、 </w:t>
      </w:r>
      <w:r>
        <w:rPr>
          <w:w w:val="105"/>
        </w:rPr>
        <w:t>工作制度及联</w:t>
      </w:r>
      <w:r>
        <w:t>系方式报国资委备案</w:t>
      </w:r>
      <w:r>
        <w:rPr>
          <w:rFonts w:hint="eastAsia" w:ascii="MS UI Gothic" w:eastAsia="MS UI Gothic"/>
          <w:w w:val="80"/>
        </w:rPr>
        <w:t xml:space="preserve">ꎬ </w:t>
      </w:r>
      <w:r>
        <w:t>并及时报送变动</w:t>
      </w:r>
      <w:r>
        <w:rPr>
          <w:w w:val="105"/>
        </w:rPr>
        <w:t>情况</w:t>
      </w:r>
      <w:r>
        <w:rPr>
          <w:rFonts w:hint="eastAsia" w:ascii="MS UI Gothic" w:eastAsia="MS UI Gothic"/>
          <w:w w:val="80"/>
        </w:rPr>
        <w:t>ꎮ</w:t>
      </w:r>
    </w:p>
    <w:p>
      <w:pPr>
        <w:pStyle w:val="6"/>
        <w:spacing w:line="295" w:lineRule="auto"/>
        <w:ind w:left="381" w:right="126"/>
        <w:rPr>
          <w:rFonts w:hint="eastAsia" w:ascii="MS UI Gothic" w:eastAsia="MS UI Gothic"/>
        </w:rPr>
      </w:pPr>
      <w:r>
        <w:t>第二十九条 中央企业应当将安全生产应急预案报国资委备案</w:t>
      </w:r>
      <w:r>
        <w:rPr>
          <w:rFonts w:hint="eastAsia" w:ascii="MS UI Gothic" w:eastAsia="MS UI Gothic"/>
          <w:w w:val="80"/>
        </w:rPr>
        <w:t xml:space="preserve">ꎬ </w:t>
      </w:r>
      <w:r>
        <w:t>并及时报送修订情况</w:t>
      </w:r>
      <w:r>
        <w:rPr>
          <w:rFonts w:hint="eastAsia" w:ascii="MS UI Gothic" w:eastAsia="MS UI Gothic"/>
          <w:w w:val="80"/>
        </w:rPr>
        <w:t>ꎮ</w:t>
      </w:r>
    </w:p>
    <w:p>
      <w:pPr>
        <w:pStyle w:val="6"/>
        <w:spacing w:line="295" w:lineRule="auto"/>
        <w:ind w:left="381" w:right="124"/>
        <w:rPr>
          <w:rFonts w:hint="eastAsia" w:ascii="MS UI Gothic" w:eastAsia="MS UI Gothic"/>
        </w:rPr>
      </w:pPr>
      <w:r>
        <w:t>第三十条 中央企业应当将安全生产方面的重要活动</w:t>
      </w:r>
      <w:r>
        <w:rPr>
          <w:rFonts w:hint="eastAsia" w:ascii="MS UI Gothic" w:eastAsia="MS UI Gothic"/>
          <w:w w:val="80"/>
        </w:rPr>
        <w:t xml:space="preserve">、 </w:t>
      </w:r>
      <w:r>
        <w:t>重要会议</w:t>
      </w:r>
      <w:r>
        <w:rPr>
          <w:rFonts w:hint="eastAsia" w:ascii="MS UI Gothic" w:eastAsia="MS UI Gothic"/>
          <w:w w:val="80"/>
        </w:rPr>
        <w:t xml:space="preserve">、 </w:t>
      </w:r>
      <w:r>
        <w:t>重大举措和成果</w:t>
      </w:r>
      <w:r>
        <w:rPr>
          <w:rFonts w:hint="eastAsia" w:ascii="MS UI Gothic" w:eastAsia="MS UI Gothic"/>
          <w:w w:val="80"/>
        </w:rPr>
        <w:t xml:space="preserve">、 </w:t>
      </w:r>
      <w:r>
        <w:t>重大问题等重要信息和重要事项</w:t>
      </w:r>
      <w:r>
        <w:rPr>
          <w:rFonts w:hint="eastAsia" w:ascii="MS UI Gothic" w:eastAsia="MS UI Gothic"/>
          <w:w w:val="80"/>
        </w:rPr>
        <w:t>ꎬ</w:t>
      </w:r>
      <w:r>
        <w:t>及时报告国资委</w:t>
      </w:r>
      <w:r>
        <w:rPr>
          <w:rFonts w:hint="eastAsia" w:ascii="MS UI Gothic" w:eastAsia="MS UI Gothic"/>
          <w:w w:val="80"/>
        </w:rPr>
        <w:t>ꎮ</w:t>
      </w:r>
    </w:p>
    <w:p>
      <w:pPr>
        <w:pStyle w:val="6"/>
        <w:tabs>
          <w:tab w:val="left" w:pos="1533"/>
        </w:tabs>
        <w:spacing w:before="148"/>
        <w:ind w:left="695" w:firstLine="0"/>
        <w:jc w:val="left"/>
      </w:pPr>
      <w:r>
        <w:rPr>
          <w:spacing w:val="3"/>
          <w:w w:val="105"/>
        </w:rPr>
        <w:t>第五</w:t>
      </w:r>
      <w:r>
        <w:rPr>
          <w:w w:val="105"/>
        </w:rPr>
        <w:t>章</w:t>
      </w:r>
      <w:r>
        <w:rPr>
          <w:w w:val="105"/>
        </w:rPr>
        <w:tab/>
      </w:r>
      <w:r>
        <w:rPr>
          <w:spacing w:val="3"/>
        </w:rPr>
        <w:t>安全生产监督管理与奖</w:t>
      </w:r>
      <w:r>
        <w:t>惩</w:t>
      </w:r>
    </w:p>
    <w:p>
      <w:pPr>
        <w:pStyle w:val="6"/>
        <w:spacing w:before="215" w:line="295" w:lineRule="auto"/>
        <w:ind w:left="381" w:right="126"/>
        <w:rPr>
          <w:rFonts w:hint="eastAsia" w:ascii="MS UI Gothic" w:eastAsia="MS UI Gothic"/>
        </w:rPr>
      </w:pPr>
      <w:r>
        <w:rPr>
          <w:spacing w:val="2"/>
          <w:w w:val="105"/>
        </w:rPr>
        <w:t>第三十一条 国资委参与中央企业特</w:t>
      </w:r>
      <w:r>
        <w:rPr>
          <w:spacing w:val="3"/>
        </w:rPr>
        <w:t>别重大生产安全事故的调查</w:t>
      </w:r>
      <w:r>
        <w:rPr>
          <w:rFonts w:hint="eastAsia" w:ascii="MS UI Gothic" w:eastAsia="MS UI Gothic"/>
          <w:spacing w:val="20"/>
          <w:w w:val="80"/>
        </w:rPr>
        <w:t xml:space="preserve">ꎬ </w:t>
      </w:r>
      <w:r>
        <w:rPr>
          <w:spacing w:val="2"/>
        </w:rPr>
        <w:t>并根据事故调查报告及国务院批复负责落实或者监督</w:t>
      </w:r>
      <w:r>
        <w:rPr>
          <w:spacing w:val="3"/>
          <w:w w:val="105"/>
        </w:rPr>
        <w:t>对事故有关责任单位和责任人的处理</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第三十二条 国资委组织开展中央企</w:t>
      </w:r>
      <w:r>
        <w:t>业安全生产督查</w:t>
      </w:r>
      <w:r>
        <w:rPr>
          <w:rFonts w:hint="eastAsia" w:ascii="MS UI Gothic" w:eastAsia="MS UI Gothic"/>
          <w:w w:val="80"/>
        </w:rPr>
        <w:t xml:space="preserve">ꎬ </w:t>
      </w:r>
      <w:r>
        <w:t>督促中央企业落实安全生产有关规定和改进安全生产工作</w:t>
      </w:r>
      <w:r>
        <w:rPr>
          <w:rFonts w:hint="eastAsia" w:ascii="MS UI Gothic" w:eastAsia="MS UI Gothic"/>
          <w:w w:val="80"/>
        </w:rPr>
        <w:t xml:space="preserve">ꎮ </w:t>
      </w:r>
      <w:r>
        <w:t>中央企业违反本办法有关安全生产监督管理规定的</w:t>
      </w:r>
      <w:r>
        <w:rPr>
          <w:rFonts w:hint="eastAsia" w:ascii="MS UI Gothic" w:eastAsia="MS UI Gothic"/>
          <w:w w:val="80"/>
        </w:rPr>
        <w:t xml:space="preserve">ꎬ </w:t>
      </w:r>
      <w:r>
        <w:t>国资委根据情节轻重要求其改正或</w:t>
      </w:r>
      <w:r>
        <w:rPr>
          <w:w w:val="105"/>
        </w:rPr>
        <w:t>者予以通报批评</w:t>
      </w:r>
      <w:r>
        <w:rPr>
          <w:rFonts w:hint="eastAsia" w:ascii="MS UI Gothic" w:eastAsia="MS UI Gothic"/>
          <w:w w:val="80"/>
        </w:rPr>
        <w:t>ꎮ</w:t>
      </w:r>
    </w:p>
    <w:p>
      <w:pPr>
        <w:pStyle w:val="6"/>
        <w:spacing w:line="295" w:lineRule="auto"/>
        <w:ind w:left="381" w:right="126"/>
        <w:rPr>
          <w:rFonts w:hint="eastAsia" w:ascii="MS UI Gothic" w:eastAsia="MS UI Gothic"/>
        </w:rPr>
      </w:pPr>
      <w:r>
        <w:t>中央企业半年内连续发生重大以上生产安全事故</w:t>
      </w:r>
      <w:r>
        <w:rPr>
          <w:rFonts w:hint="eastAsia" w:ascii="MS UI Gothic" w:eastAsia="MS UI Gothic"/>
          <w:w w:val="80"/>
        </w:rPr>
        <w:t xml:space="preserve">ꎬ </w:t>
      </w:r>
      <w:r>
        <w:t>国资委除依据有关规定落实对有关责任单位和责任人的处理外</w:t>
      </w:r>
      <w:r>
        <w:rPr>
          <w:rFonts w:hint="eastAsia" w:ascii="MS UI Gothic" w:eastAsia="MS UI Gothic"/>
          <w:w w:val="80"/>
        </w:rPr>
        <w:t xml:space="preserve">ꎬ </w:t>
      </w:r>
      <w:r>
        <w:t>对中央企业予以通报批评</w:t>
      </w:r>
      <w:r>
        <w:rPr>
          <w:rFonts w:hint="eastAsia" w:ascii="MS UI Gothic" w:eastAsia="MS UI Gothic"/>
          <w:w w:val="80"/>
        </w:rPr>
        <w:t xml:space="preserve">ꎬ </w:t>
      </w:r>
      <w:r>
        <w:t>对其主要负责人进行诫勉谈话</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第三十三条 国资委配合有关部门对</w:t>
      </w:r>
      <w:r>
        <w:t>中央企业安全生产违法行为的举报进行调查</w:t>
      </w:r>
      <w:r>
        <w:rPr>
          <w:rFonts w:hint="eastAsia" w:ascii="MS UI Gothic" w:eastAsia="MS UI Gothic"/>
          <w:w w:val="80"/>
        </w:rPr>
        <w:t xml:space="preserve">ꎬ </w:t>
      </w:r>
      <w:r>
        <w:t>或者责成有关单位进行调查</w:t>
      </w:r>
      <w:r>
        <w:rPr>
          <w:rFonts w:hint="eastAsia" w:ascii="MS UI Gothic" w:eastAsia="MS UI Gothic"/>
          <w:w w:val="80"/>
        </w:rPr>
        <w:t xml:space="preserve">ꎬ </w:t>
      </w:r>
      <w:r>
        <w:t>依照干</w:t>
      </w:r>
      <w:r>
        <w:rPr>
          <w:w w:val="105"/>
        </w:rPr>
        <w:t>部管理权限对有关责任人予以处理</w:t>
      </w:r>
      <w:r>
        <w:rPr>
          <w:rFonts w:hint="eastAsia" w:ascii="MS UI Gothic" w:eastAsia="MS UI Gothic"/>
          <w:w w:val="80"/>
        </w:rPr>
        <w:t>ꎮ</w:t>
      </w:r>
    </w:p>
    <w:p>
      <w:pPr>
        <w:pStyle w:val="6"/>
        <w:tabs>
          <w:tab w:val="left" w:pos="2057"/>
        </w:tabs>
        <w:spacing w:line="295" w:lineRule="auto"/>
        <w:ind w:left="381" w:right="126"/>
        <w:jc w:val="right"/>
      </w:pPr>
      <w:r>
        <w:rPr>
          <w:spacing w:val="3"/>
          <w:w w:val="105"/>
        </w:rPr>
        <w:t>第三十四</w:t>
      </w:r>
      <w:r>
        <w:rPr>
          <w:w w:val="105"/>
        </w:rPr>
        <w:t>条</w:t>
      </w:r>
      <w:r>
        <w:rPr>
          <w:w w:val="105"/>
        </w:rPr>
        <w:tab/>
      </w:r>
      <w:r>
        <w:rPr>
          <w:spacing w:val="3"/>
        </w:rPr>
        <w:t>国资委根据中央企业</w:t>
      </w:r>
      <w:r>
        <w:t>考</w:t>
      </w:r>
      <w:r>
        <w:rPr>
          <w:spacing w:val="3"/>
        </w:rPr>
        <w:t>核期</w:t>
      </w:r>
      <w:r>
        <w:rPr>
          <w:spacing w:val="13"/>
        </w:rPr>
        <w:t>内</w:t>
      </w:r>
      <w:r>
        <w:rPr>
          <w:spacing w:val="17"/>
        </w:rPr>
        <w:t>发</w:t>
      </w:r>
      <w:r>
        <w:rPr>
          <w:spacing w:val="19"/>
        </w:rPr>
        <w:t>生的生产安全责任事故认定</w:t>
      </w:r>
      <w:r>
        <w:t>情</w:t>
      </w:r>
      <w:r>
        <w:rPr>
          <w:spacing w:val="3"/>
        </w:rPr>
        <w:t>况</w:t>
      </w:r>
      <w:r>
        <w:rPr>
          <w:rFonts w:hint="eastAsia" w:ascii="MS UI Gothic" w:eastAsia="MS UI Gothic"/>
          <w:w w:val="90"/>
        </w:rPr>
        <w:t>ꎬ</w:t>
      </w:r>
      <w:r>
        <w:rPr>
          <w:rFonts w:hint="eastAsia" w:ascii="MS UI Gothic" w:eastAsia="MS UI Gothic"/>
          <w:spacing w:val="16"/>
          <w:w w:val="90"/>
        </w:rPr>
        <w:t xml:space="preserve"> </w:t>
      </w:r>
      <w:r>
        <w:rPr>
          <w:spacing w:val="3"/>
        </w:rPr>
        <w:t>对中央企业负责人经营业绩考核结</w:t>
      </w:r>
      <w:r>
        <w:t>果</w:t>
      </w:r>
      <w:r>
        <w:rPr>
          <w:spacing w:val="3"/>
          <w:w w:val="102"/>
        </w:rPr>
        <w:t>进行下列降级或者降分处</w:t>
      </w:r>
      <w:r>
        <w:rPr>
          <w:w w:val="102"/>
        </w:rPr>
        <w:t>理</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3"/>
          <w:w w:val="102"/>
        </w:rPr>
        <w:t>见附</w:t>
      </w:r>
      <w:r>
        <w:rPr>
          <w:w w:val="102"/>
        </w:rPr>
        <w:t>件</w:t>
      </w:r>
      <w:r>
        <w:rPr>
          <w:spacing w:val="-50"/>
        </w:rPr>
        <w:t xml:space="preserve"> </w:t>
      </w:r>
      <w:r>
        <w:rPr>
          <w:rFonts w:hint="eastAsia" w:ascii="MS UI Gothic" w:eastAsia="MS UI Gothic"/>
          <w:spacing w:val="5"/>
          <w:w w:val="75"/>
        </w:rPr>
        <w:t>６</w:t>
      </w:r>
      <w:r>
        <w:rPr>
          <w:rFonts w:hint="eastAsia" w:ascii="MS UI Gothic" w:eastAsia="MS UI Gothic"/>
          <w:spacing w:val="21"/>
          <w:w w:val="168"/>
        </w:rPr>
        <w:t>)</w:t>
      </w:r>
      <w:r>
        <w:rPr>
          <w:rFonts w:hint="eastAsia" w:ascii="MS UI Gothic" w:eastAsia="MS UI Gothic"/>
          <w:w w:val="253"/>
        </w:rPr>
        <w:t xml:space="preserve">:  </w:t>
      </w:r>
      <w:r>
        <w:rPr>
          <w:rFonts w:hint="eastAsia" w:ascii="MS UI Gothic" w:eastAsia="MS UI Gothic"/>
          <w:w w:val="150"/>
        </w:rPr>
        <w:t>(</w:t>
      </w:r>
      <w:r>
        <w:rPr>
          <w:rFonts w:hint="eastAsia" w:ascii="MS UI Gothic" w:eastAsia="MS UI Gothic"/>
          <w:spacing w:val="-76"/>
          <w:w w:val="150"/>
        </w:rPr>
        <w:t xml:space="preserve"> </w:t>
      </w:r>
      <w:r>
        <w:rPr>
          <w:spacing w:val="3"/>
          <w:w w:val="105"/>
        </w:rPr>
        <w:t>一</w:t>
      </w:r>
      <w:r>
        <w:rPr>
          <w:rFonts w:hint="eastAsia" w:ascii="MS UI Gothic" w:eastAsia="MS UI Gothic"/>
          <w:w w:val="150"/>
        </w:rPr>
        <w:t>)</w:t>
      </w:r>
      <w:r>
        <w:rPr>
          <w:rFonts w:hint="eastAsia" w:ascii="MS UI Gothic" w:eastAsia="MS UI Gothic"/>
          <w:spacing w:val="2"/>
          <w:w w:val="150"/>
        </w:rPr>
        <w:t xml:space="preserve"> </w:t>
      </w:r>
      <w:r>
        <w:rPr>
          <w:spacing w:val="3"/>
          <w:w w:val="105"/>
        </w:rPr>
        <w:t>中央</w:t>
      </w:r>
      <w:r>
        <w:rPr>
          <w:spacing w:val="9"/>
          <w:w w:val="105"/>
        </w:rPr>
        <w:t>企业负责人年</w:t>
      </w:r>
      <w:r>
        <w:rPr>
          <w:spacing w:val="11"/>
          <w:w w:val="105"/>
        </w:rPr>
        <w:t>度经营业</w:t>
      </w:r>
      <w:r>
        <w:rPr>
          <w:w w:val="105"/>
        </w:rPr>
        <w:t>绩</w:t>
      </w:r>
    </w:p>
    <w:p>
      <w:pPr>
        <w:spacing w:after="0" w:line="295" w:lineRule="auto"/>
        <w:jc w:val="righ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１５８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19" o:spid="_x0000_s1519" o:spt="203" style="height:2.15pt;width:398.25pt;" coordsize="7965,43">
            <o:lock v:ext="edit"/>
            <v:line id="_x0000_s1520" o:spid="_x0000_s1520" o:spt="20" style="position:absolute;left:0;top:39;height:0;width:7965;" stroked="t" coordsize="21600,21600">
              <v:path arrowok="t"/>
              <v:fill focussize="0,0"/>
              <v:stroke weight="0.388031496062992pt" color="#231F20"/>
              <v:imagedata o:title=""/>
              <o:lock v:ext="edit"/>
            </v:line>
            <v:line id="_x0000_s1521" o:spid="_x0000_s152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5" w:line="295" w:lineRule="auto"/>
        <w:ind w:right="38" w:firstLine="0"/>
        <w:rPr>
          <w:rFonts w:hint="eastAsia" w:ascii="MS UI Gothic" w:eastAsia="MS UI Gothic"/>
        </w:rPr>
      </w:pPr>
      <w:r>
        <w:t>考核期内发生特别重大责任事故并负主要责任的或者发生瞒报事故的</w:t>
      </w:r>
      <w:r>
        <w:rPr>
          <w:rFonts w:hint="eastAsia" w:ascii="MS UI Gothic" w:eastAsia="MS UI Gothic"/>
          <w:w w:val="80"/>
        </w:rPr>
        <w:t xml:space="preserve">ꎬ </w:t>
      </w:r>
      <w:r>
        <w:t>对该中央企业负责人的年度经营业绩考核结果予以降</w:t>
      </w:r>
      <w:r>
        <w:rPr>
          <w:w w:val="105"/>
        </w:rPr>
        <w:t>级处理</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中央企业负责人年度经营业绩</w:t>
      </w:r>
      <w:r>
        <w:rPr>
          <w:spacing w:val="2"/>
        </w:rPr>
        <w:t>考核期内发生较大责任事故或者重大责任</w:t>
      </w:r>
      <w:r>
        <w:rPr>
          <w:spacing w:val="3"/>
        </w:rPr>
        <w:t>事故起数达到降级起数的</w:t>
      </w:r>
      <w:r>
        <w:rPr>
          <w:rFonts w:hint="eastAsia" w:ascii="MS UI Gothic" w:eastAsia="MS UI Gothic"/>
          <w:spacing w:val="21"/>
          <w:w w:val="80"/>
        </w:rPr>
        <w:t xml:space="preserve">ꎬ </w:t>
      </w:r>
      <w:r>
        <w:rPr>
          <w:spacing w:val="2"/>
        </w:rPr>
        <w:t>对该中央企业负责人的年度经营业绩考核结果予以降级</w:t>
      </w:r>
      <w:r>
        <w:rPr>
          <w:spacing w:val="3"/>
          <w:w w:val="105"/>
        </w:rPr>
        <w:t>处理</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中央企业负责人年度经营业绩</w:t>
      </w:r>
      <w:r>
        <w:rPr>
          <w:spacing w:val="2"/>
        </w:rPr>
        <w:t>考核期内发生较大责任事故和重大责任事</w:t>
      </w:r>
      <w:r>
        <w:rPr>
          <w:spacing w:val="3"/>
        </w:rPr>
        <w:t>故但不够降级标准的</w:t>
      </w:r>
      <w:r>
        <w:rPr>
          <w:rFonts w:hint="eastAsia" w:ascii="MS UI Gothic" w:eastAsia="MS UI Gothic"/>
          <w:spacing w:val="21"/>
          <w:w w:val="80"/>
        </w:rPr>
        <w:t xml:space="preserve">ꎬ </w:t>
      </w:r>
      <w:r>
        <w:rPr>
          <w:spacing w:val="2"/>
        </w:rPr>
        <w:t>对该中央企业负责</w:t>
      </w:r>
      <w:r>
        <w:rPr>
          <w:spacing w:val="25"/>
        </w:rPr>
        <w:t>人的年度经营业绩考核结果予以降分</w:t>
      </w:r>
      <w:r>
        <w:rPr>
          <w:spacing w:val="3"/>
          <w:w w:val="105"/>
        </w:rPr>
        <w:t>处理</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3"/>
          <w:w w:val="150"/>
        </w:rPr>
        <w:t xml:space="preserve">) </w:t>
      </w:r>
      <w:r>
        <w:rPr>
          <w:spacing w:val="5"/>
          <w:w w:val="105"/>
        </w:rPr>
        <w:t>中央企业负责人任期经营业绩</w:t>
      </w:r>
      <w:r>
        <w:rPr>
          <w:spacing w:val="2"/>
        </w:rPr>
        <w:t>考核期内连续发生瞒报事故或者发生两起</w:t>
      </w:r>
      <w:r>
        <w:rPr>
          <w:spacing w:val="3"/>
        </w:rPr>
        <w:t>以上特别重大责任事故</w:t>
      </w:r>
      <w:r>
        <w:rPr>
          <w:rFonts w:hint="eastAsia" w:ascii="MS UI Gothic" w:eastAsia="MS UI Gothic"/>
          <w:spacing w:val="21"/>
          <w:w w:val="80"/>
        </w:rPr>
        <w:t xml:space="preserve">ꎬ </w:t>
      </w:r>
      <w:r>
        <w:rPr>
          <w:spacing w:val="2"/>
        </w:rPr>
        <w:t>对该中央企业负</w:t>
      </w:r>
      <w:r>
        <w:rPr>
          <w:spacing w:val="11"/>
        </w:rPr>
        <w:t>责人的任期经营业绩考核结果予以降级</w:t>
      </w:r>
      <w:r>
        <w:rPr>
          <w:spacing w:val="3"/>
          <w:w w:val="105"/>
        </w:rPr>
        <w:t>处理</w:t>
      </w:r>
      <w:r>
        <w:rPr>
          <w:rFonts w:hint="eastAsia" w:ascii="MS UI Gothic" w:eastAsia="MS UI Gothic"/>
          <w:w w:val="80"/>
        </w:rPr>
        <w:t>ꎮ</w:t>
      </w:r>
    </w:p>
    <w:p>
      <w:pPr>
        <w:pStyle w:val="6"/>
        <w:spacing w:line="295" w:lineRule="auto"/>
        <w:ind w:right="38"/>
        <w:rPr>
          <w:rFonts w:hint="eastAsia" w:ascii="MS UI Gothic" w:eastAsia="MS UI Gothic"/>
        </w:rPr>
      </w:pPr>
      <w:r>
        <w:t>本办法所称责任事故</w:t>
      </w:r>
      <w:r>
        <w:rPr>
          <w:rFonts w:hint="eastAsia" w:ascii="MS UI Gothic" w:eastAsia="MS UI Gothic"/>
          <w:w w:val="80"/>
        </w:rPr>
        <w:t xml:space="preserve">ꎬ </w:t>
      </w:r>
      <w:r>
        <w:t>是指依据事故调查报告及批复对事故性质的认定</w:t>
      </w:r>
      <w:r>
        <w:rPr>
          <w:rFonts w:hint="eastAsia" w:ascii="MS UI Gothic" w:eastAsia="MS UI Gothic"/>
          <w:w w:val="80"/>
        </w:rPr>
        <w:t xml:space="preserve">ꎬ </w:t>
      </w:r>
      <w:r>
        <w:t>中央企业或者中央企业独资及控股子企业对事</w:t>
      </w:r>
      <w:r>
        <w:rPr>
          <w:w w:val="105"/>
        </w:rPr>
        <w:t>故发生负有责任的生产安全事故</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第三十五条 对未严格按照国家和行</w:t>
      </w:r>
      <w:r>
        <w:rPr>
          <w:spacing w:val="2"/>
        </w:rPr>
        <w:t>业有关规定足额提取安全生产费用的中央</w:t>
      </w:r>
      <w:r>
        <w:rPr>
          <w:spacing w:val="3"/>
        </w:rPr>
        <w:t>企业</w:t>
      </w:r>
      <w:r>
        <w:rPr>
          <w:rFonts w:hint="eastAsia" w:ascii="MS UI Gothic" w:eastAsia="MS UI Gothic"/>
          <w:spacing w:val="21"/>
          <w:w w:val="80"/>
        </w:rPr>
        <w:t xml:space="preserve">ꎬ </w:t>
      </w:r>
      <w:r>
        <w:rPr>
          <w:spacing w:val="2"/>
        </w:rPr>
        <w:t>国资委从企业负责人业绩考核的业</w:t>
      </w:r>
      <w:r>
        <w:rPr>
          <w:spacing w:val="3"/>
          <w:w w:val="105"/>
        </w:rPr>
        <w:t>绩利润中予以扣减</w:t>
      </w:r>
      <w:r>
        <w:rPr>
          <w:rFonts w:hint="eastAsia" w:ascii="MS UI Gothic" w:eastAsia="MS UI Gothic"/>
          <w:spacing w:val="6"/>
          <w:w w:val="80"/>
        </w:rPr>
        <w:t xml:space="preserve">ꎬ </w:t>
      </w:r>
      <w:r>
        <w:rPr>
          <w:spacing w:val="3"/>
          <w:w w:val="105"/>
        </w:rPr>
        <w:t>并予以降分处理</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第三十六条 授权董事会对经理层人</w:t>
      </w:r>
      <w:r>
        <w:rPr>
          <w:spacing w:val="3"/>
        </w:rPr>
        <w:t>员进行经营业绩考核的中央企业</w:t>
      </w:r>
      <w:r>
        <w:rPr>
          <w:rFonts w:hint="eastAsia" w:ascii="MS UI Gothic" w:eastAsia="MS UI Gothic"/>
          <w:spacing w:val="21"/>
          <w:w w:val="80"/>
        </w:rPr>
        <w:t xml:space="preserve">ꎬ </w:t>
      </w:r>
      <w:r>
        <w:rPr>
          <w:spacing w:val="1"/>
        </w:rPr>
        <w:t>董事会</w:t>
      </w:r>
      <w:r>
        <w:rPr>
          <w:spacing w:val="2"/>
        </w:rPr>
        <w:t>应当将安全生产工作纳入经理层人员年度</w:t>
      </w:r>
      <w:r>
        <w:rPr>
          <w:spacing w:val="3"/>
        </w:rPr>
        <w:t>经营业绩考核</w:t>
      </w:r>
      <w:r>
        <w:rPr>
          <w:rFonts w:hint="eastAsia" w:ascii="MS UI Gothic" w:eastAsia="MS UI Gothic"/>
          <w:spacing w:val="23"/>
          <w:w w:val="80"/>
        </w:rPr>
        <w:t xml:space="preserve">ꎬ </w:t>
      </w:r>
      <w:r>
        <w:rPr>
          <w:spacing w:val="3"/>
        </w:rPr>
        <w:t>与绩效薪金挂钩</w:t>
      </w:r>
      <w:r>
        <w:rPr>
          <w:rFonts w:hint="eastAsia" w:ascii="MS UI Gothic" w:eastAsia="MS UI Gothic"/>
          <w:spacing w:val="23"/>
          <w:w w:val="80"/>
        </w:rPr>
        <w:t xml:space="preserve">ꎬ </w:t>
      </w:r>
      <w:r>
        <w:rPr>
          <w:spacing w:val="2"/>
        </w:rPr>
        <w:t>并比照</w:t>
      </w:r>
      <w:r>
        <w:rPr>
          <w:spacing w:val="3"/>
          <w:w w:val="105"/>
        </w:rPr>
        <w:t>本办法的安全生产业绩考核规定执行</w:t>
      </w:r>
      <w:r>
        <w:rPr>
          <w:rFonts w:hint="eastAsia" w:ascii="MS UI Gothic" w:eastAsia="MS UI Gothic"/>
          <w:w w:val="80"/>
        </w:rPr>
        <w:t>ꎮ</w:t>
      </w:r>
    </w:p>
    <w:p>
      <w:pPr>
        <w:pStyle w:val="6"/>
        <w:spacing w:line="295" w:lineRule="auto"/>
        <w:ind w:right="38"/>
        <w:rPr>
          <w:rFonts w:hint="eastAsia" w:ascii="MS UI Gothic" w:eastAsia="MS UI Gothic"/>
        </w:rPr>
      </w:pPr>
      <w:r>
        <w:t>董事会对经理层的安全生产业绩考核情况纳入国资委对董事会的考核评价内容</w:t>
      </w:r>
      <w:r>
        <w:rPr>
          <w:rFonts w:hint="eastAsia" w:ascii="MS UI Gothic" w:eastAsia="MS UI Gothic"/>
          <w:w w:val="80"/>
        </w:rPr>
        <w:t xml:space="preserve">ꎮ </w:t>
      </w:r>
      <w:r>
        <w:t>对董事会未有效履行监督</w:t>
      </w:r>
      <w:r>
        <w:rPr>
          <w:rFonts w:hint="eastAsia" w:ascii="MS UI Gothic" w:eastAsia="MS UI Gothic"/>
          <w:w w:val="80"/>
        </w:rPr>
        <w:t xml:space="preserve">、 </w:t>
      </w:r>
      <w:r>
        <w:t>考核安全生产职能</w:t>
      </w:r>
      <w:r>
        <w:rPr>
          <w:rFonts w:hint="eastAsia" w:ascii="MS UI Gothic" w:eastAsia="MS UI Gothic"/>
          <w:w w:val="80"/>
        </w:rPr>
        <w:t xml:space="preserve">ꎬ </w:t>
      </w:r>
      <w:r>
        <w:t>企业发生特别重大责任事故并造成严重社会影响的</w:t>
      </w:r>
      <w:r>
        <w:rPr>
          <w:rFonts w:hint="eastAsia" w:ascii="MS UI Gothic" w:eastAsia="MS UI Gothic"/>
          <w:w w:val="80"/>
        </w:rPr>
        <w:t xml:space="preserve">ꎬ </w:t>
      </w:r>
      <w:r>
        <w:t>国资委对董事会予以调整</w:t>
      </w:r>
      <w:r>
        <w:rPr>
          <w:rFonts w:hint="eastAsia" w:ascii="MS UI Gothic" w:eastAsia="MS UI Gothic"/>
          <w:w w:val="80"/>
        </w:rPr>
        <w:t xml:space="preserve">ꎬ </w:t>
      </w:r>
      <w:r>
        <w:t>对有关董事予以解聘</w:t>
      </w:r>
      <w:r>
        <w:rPr>
          <w:rFonts w:hint="eastAsia" w:ascii="MS UI Gothic" w:eastAsia="MS UI Gothic"/>
          <w:w w:val="80"/>
        </w:rPr>
        <w:t>ꎮ</w:t>
      </w:r>
    </w:p>
    <w:p>
      <w:pPr>
        <w:pStyle w:val="6"/>
        <w:spacing w:before="85" w:line="295" w:lineRule="auto"/>
        <w:ind w:right="442"/>
        <w:rPr>
          <w:rFonts w:hint="eastAsia" w:ascii="MS UI Gothic" w:eastAsia="MS UI Gothic"/>
        </w:rPr>
      </w:pPr>
      <w:r>
        <w:br w:type="column"/>
      </w:r>
      <w:r>
        <w:rPr>
          <w:spacing w:val="2"/>
          <w:w w:val="105"/>
        </w:rPr>
        <w:t>第三十七条 中央企业负责人年度经</w:t>
      </w:r>
      <w:r>
        <w:rPr>
          <w:spacing w:val="2"/>
        </w:rPr>
        <w:t>营业绩考核中因安全生产问题受到降级处</w:t>
      </w:r>
      <w:r>
        <w:rPr>
          <w:spacing w:val="3"/>
        </w:rPr>
        <w:t>理的</w:t>
      </w:r>
      <w:r>
        <w:rPr>
          <w:rFonts w:hint="eastAsia" w:ascii="MS UI Gothic" w:eastAsia="MS UI Gothic"/>
          <w:spacing w:val="20"/>
          <w:w w:val="80"/>
        </w:rPr>
        <w:t xml:space="preserve">ꎬ </w:t>
      </w:r>
      <w:r>
        <w:rPr>
          <w:spacing w:val="2"/>
        </w:rPr>
        <w:t>取消其参加该考核年度国资委组织</w:t>
      </w:r>
      <w:r>
        <w:rPr>
          <w:spacing w:val="3"/>
          <w:w w:val="105"/>
        </w:rPr>
        <w:t>或者参与组织的评优</w:t>
      </w:r>
      <w:r>
        <w:rPr>
          <w:rFonts w:hint="eastAsia" w:ascii="MS UI Gothic" w:eastAsia="MS UI Gothic"/>
          <w:spacing w:val="13"/>
          <w:w w:val="80"/>
        </w:rPr>
        <w:t xml:space="preserve">、 </w:t>
      </w:r>
      <w:r>
        <w:rPr>
          <w:spacing w:val="3"/>
          <w:w w:val="105"/>
        </w:rPr>
        <w:t>评先活动资格</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第三十八条 国资委对年度安全生产</w:t>
      </w:r>
      <w:r>
        <w:rPr>
          <w:spacing w:val="2"/>
        </w:rPr>
        <w:t>相对指标达到国内同行业最好水平或者达</w:t>
      </w:r>
      <w:r>
        <w:rPr>
          <w:spacing w:val="3"/>
          <w:w w:val="105"/>
        </w:rPr>
        <w:t>到国际先进水平的中央企业予以表彰</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第三十九条 国资委对认真贯彻执行</w:t>
      </w:r>
      <w:r>
        <w:t>本办法</w:t>
      </w:r>
      <w:r>
        <w:rPr>
          <w:rFonts w:hint="eastAsia" w:ascii="MS UI Gothic" w:eastAsia="MS UI Gothic"/>
          <w:w w:val="80"/>
        </w:rPr>
        <w:t xml:space="preserve">ꎬ </w:t>
      </w:r>
      <w:r>
        <w:t>安全生产工作成绩突出的个人和</w:t>
      </w:r>
      <w:r>
        <w:rPr>
          <w:w w:val="105"/>
        </w:rPr>
        <w:t>集体予以表彰奖励</w:t>
      </w:r>
      <w:r>
        <w:rPr>
          <w:rFonts w:hint="eastAsia" w:ascii="MS UI Gothic" w:eastAsia="MS UI Gothic"/>
          <w:w w:val="80"/>
        </w:rPr>
        <w:t>ꎮ</w:t>
      </w:r>
    </w:p>
    <w:p>
      <w:pPr>
        <w:pStyle w:val="6"/>
        <w:tabs>
          <w:tab w:val="left" w:pos="2011"/>
          <w:tab w:val="left" w:pos="2639"/>
        </w:tabs>
        <w:spacing w:before="149"/>
        <w:ind w:left="1172" w:firstLine="0"/>
        <w:jc w:val="left"/>
      </w:pPr>
      <w:r>
        <w:rPr>
          <w:spacing w:val="3"/>
          <w:w w:val="105"/>
        </w:rPr>
        <w:t>第六</w:t>
      </w:r>
      <w:r>
        <w:rPr>
          <w:w w:val="105"/>
        </w:rPr>
        <w:t>章</w:t>
      </w:r>
      <w:r>
        <w:rPr>
          <w:w w:val="105"/>
        </w:rPr>
        <w:tab/>
      </w:r>
      <w:r>
        <w:rPr>
          <w:w w:val="105"/>
        </w:rPr>
        <w:t>附</w:t>
      </w:r>
      <w:r>
        <w:rPr>
          <w:w w:val="105"/>
        </w:rPr>
        <w:tab/>
      </w:r>
      <w:r>
        <w:rPr>
          <w:w w:val="105"/>
        </w:rPr>
        <w:t>则</w:t>
      </w:r>
    </w:p>
    <w:p>
      <w:pPr>
        <w:pStyle w:val="6"/>
        <w:tabs>
          <w:tab w:val="left" w:pos="1591"/>
        </w:tabs>
        <w:spacing w:before="216"/>
        <w:ind w:left="543" w:firstLine="0"/>
        <w:jc w:val="left"/>
      </w:pPr>
      <w:r>
        <w:rPr>
          <w:spacing w:val="3"/>
          <w:w w:val="105"/>
        </w:rPr>
        <w:t>第四十</w:t>
      </w:r>
      <w:r>
        <w:rPr>
          <w:w w:val="105"/>
        </w:rPr>
        <w:t>条</w:t>
      </w:r>
      <w:r>
        <w:rPr>
          <w:w w:val="105"/>
        </w:rPr>
        <w:tab/>
      </w:r>
      <w:r>
        <w:rPr>
          <w:spacing w:val="3"/>
          <w:w w:val="105"/>
        </w:rPr>
        <w:t>生产安全事故等级划分</w:t>
      </w:r>
      <w:r>
        <w:rPr>
          <w:w w:val="105"/>
        </w:rPr>
        <w:t>按</w:t>
      </w:r>
    </w:p>
    <w:p>
      <w:pPr>
        <w:pStyle w:val="6"/>
        <w:spacing w:before="58" w:line="295" w:lineRule="auto"/>
        <w:ind w:right="442" w:firstLine="0"/>
        <w:rPr>
          <w:rFonts w:hint="eastAsia" w:ascii="MS UI Gothic" w:hAnsi="MS UI Gothic" w:eastAsia="MS UI Gothic"/>
        </w:rPr>
      </w:pPr>
      <w:r>
        <w:rPr>
          <w:rFonts w:hint="eastAsia" w:ascii="MS UI Gothic" w:hAnsi="MS UI Gothic" w:eastAsia="MS UI Gothic"/>
          <w:w w:val="85"/>
        </w:rPr>
        <w:t xml:space="preserve">« </w:t>
      </w:r>
      <w:r>
        <w:rPr>
          <w:spacing w:val="28"/>
        </w:rPr>
        <w:t>生产安全事故报告和调查处理条例</w:t>
      </w:r>
      <w:r>
        <w:rPr>
          <w:rFonts w:hint="eastAsia" w:ascii="MS UI Gothic" w:hAnsi="MS UI Gothic" w:eastAsia="MS UI Gothic"/>
          <w:w w:val="85"/>
        </w:rPr>
        <w:t xml:space="preserve">» </w:t>
      </w:r>
      <w:r>
        <w:rPr>
          <w:rFonts w:hint="eastAsia" w:ascii="MS UI Gothic" w:hAnsi="MS UI Gothic" w:eastAsia="MS UI Gothic"/>
          <w:spacing w:val="-31"/>
          <w:w w:val="140"/>
        </w:rPr>
        <w:t xml:space="preserve">( </w:t>
      </w:r>
      <w:r>
        <w:rPr>
          <w:spacing w:val="9"/>
        </w:rPr>
        <w:t xml:space="preserve">国务院令第 </w:t>
      </w:r>
      <w:r>
        <w:rPr>
          <w:rFonts w:hint="eastAsia" w:ascii="MS UI Gothic" w:hAnsi="MS UI Gothic" w:eastAsia="MS UI Gothic"/>
          <w:w w:val="85"/>
        </w:rPr>
        <w:t xml:space="preserve">４９３ </w:t>
      </w:r>
      <w:r>
        <w:rPr>
          <w:spacing w:val="19"/>
        </w:rPr>
        <w:t>号</w:t>
      </w:r>
      <w:r>
        <w:rPr>
          <w:rFonts w:hint="eastAsia" w:ascii="MS UI Gothic" w:hAnsi="MS UI Gothic" w:eastAsia="MS UI Gothic"/>
          <w:spacing w:val="42"/>
          <w:w w:val="140"/>
        </w:rPr>
        <w:t xml:space="preserve">) </w:t>
      </w:r>
      <w:r>
        <w:rPr>
          <w:spacing w:val="21"/>
        </w:rPr>
        <w:t>第三条的规定执</w:t>
      </w:r>
      <w:r>
        <w:rPr>
          <w:spacing w:val="3"/>
        </w:rPr>
        <w:t>行</w:t>
      </w:r>
      <w:r>
        <w:rPr>
          <w:rFonts w:hint="eastAsia" w:ascii="MS UI Gothic" w:hAnsi="MS UI Gothic" w:eastAsia="MS UI Gothic"/>
          <w:spacing w:val="17"/>
          <w:w w:val="85"/>
        </w:rPr>
        <w:t xml:space="preserve">ꎮ </w:t>
      </w:r>
      <w:r>
        <w:rPr>
          <w:spacing w:val="3"/>
        </w:rPr>
        <w:t>国务院对特殊行业另有规定的</w:t>
      </w:r>
      <w:r>
        <w:rPr>
          <w:rFonts w:hint="eastAsia" w:ascii="MS UI Gothic" w:hAnsi="MS UI Gothic" w:eastAsia="MS UI Gothic"/>
          <w:spacing w:val="17"/>
          <w:w w:val="85"/>
        </w:rPr>
        <w:t xml:space="preserve">ꎬ </w:t>
      </w:r>
      <w:r>
        <w:rPr>
          <w:spacing w:val="1"/>
        </w:rPr>
        <w:t>从其</w:t>
      </w:r>
      <w:r>
        <w:rPr>
          <w:spacing w:val="3"/>
        </w:rPr>
        <w:t>规定</w:t>
      </w:r>
      <w:r>
        <w:rPr>
          <w:rFonts w:hint="eastAsia" w:ascii="MS UI Gothic" w:hAnsi="MS UI Gothic" w:eastAsia="MS UI Gothic"/>
          <w:w w:val="85"/>
        </w:rPr>
        <w:t>ꎮ</w:t>
      </w:r>
    </w:p>
    <w:p>
      <w:pPr>
        <w:pStyle w:val="6"/>
        <w:spacing w:line="295" w:lineRule="auto"/>
        <w:ind w:right="442"/>
      </w:pPr>
      <w:r>
        <w:rPr>
          <w:w w:val="105"/>
        </w:rPr>
        <w:t xml:space="preserve">突发公共事件等级划分按 </w:t>
      </w:r>
      <w:r>
        <w:rPr>
          <w:rFonts w:hint="eastAsia" w:ascii="MS UI Gothic" w:hAnsi="MS UI Gothic" w:eastAsia="MS UI Gothic"/>
          <w:w w:val="95"/>
        </w:rPr>
        <w:t xml:space="preserve">« </w:t>
      </w:r>
      <w:r>
        <w:rPr>
          <w:w w:val="105"/>
        </w:rPr>
        <w:t>国务院</w:t>
      </w:r>
      <w:r>
        <w:t>关于实施国家突发公共事件总体应急预案</w:t>
      </w:r>
      <w:r>
        <w:rPr>
          <w:w w:val="105"/>
        </w:rPr>
        <w:t>的决定</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105"/>
        </w:rPr>
        <w:t xml:space="preserve">国发 </w:t>
      </w:r>
      <w:r>
        <w:rPr>
          <w:rFonts w:hint="eastAsia" w:ascii="MS UI Gothic" w:hAnsi="MS UI Gothic" w:eastAsia="MS UI Gothic"/>
          <w:w w:val="105"/>
        </w:rPr>
        <w:t>〔</w:t>
      </w:r>
      <w:r>
        <w:rPr>
          <w:rFonts w:hint="eastAsia" w:ascii="MS UI Gothic" w:hAnsi="MS UI Gothic" w:eastAsia="MS UI Gothic"/>
          <w:w w:val="95"/>
        </w:rPr>
        <w:t>２００５</w:t>
      </w:r>
      <w:r>
        <w:rPr>
          <w:rFonts w:hint="eastAsia" w:ascii="MS UI Gothic" w:hAnsi="MS UI Gothic" w:eastAsia="MS UI Gothic"/>
          <w:w w:val="105"/>
        </w:rPr>
        <w:t xml:space="preserve">〕 </w:t>
      </w:r>
      <w:r>
        <w:rPr>
          <w:rFonts w:hint="eastAsia" w:ascii="MS UI Gothic" w:hAnsi="MS UI Gothic" w:eastAsia="MS UI Gothic"/>
          <w:w w:val="95"/>
        </w:rPr>
        <w:t xml:space="preserve">１１ </w:t>
      </w:r>
      <w:r>
        <w:rPr>
          <w:w w:val="105"/>
        </w:rPr>
        <w:t>号</w:t>
      </w:r>
      <w:r>
        <w:rPr>
          <w:rFonts w:hint="eastAsia" w:ascii="MS UI Gothic" w:hAnsi="MS UI Gothic" w:eastAsia="MS UI Gothic"/>
          <w:w w:val="140"/>
        </w:rPr>
        <w:t xml:space="preserve">) </w:t>
      </w:r>
      <w:r>
        <w:rPr>
          <w:w w:val="105"/>
        </w:rPr>
        <w:t>附件</w:t>
      </w:r>
    </w:p>
    <w:p>
      <w:pPr>
        <w:pStyle w:val="6"/>
        <w:spacing w:line="295" w:lineRule="auto"/>
        <w:ind w:right="442" w:firstLine="0"/>
        <w:rPr>
          <w:rFonts w:hint="eastAsia" w:ascii="MS UI Gothic" w:hAnsi="MS UI Gothic" w:eastAsia="MS UI Gothic"/>
        </w:rPr>
      </w:pPr>
      <w:r>
        <w:rPr>
          <w:rFonts w:hint="eastAsia" w:ascii="MS UI Gothic" w:hAnsi="MS UI Gothic" w:eastAsia="MS UI Gothic"/>
          <w:spacing w:val="-20"/>
          <w:w w:val="80"/>
        </w:rPr>
        <w:t xml:space="preserve">« </w:t>
      </w:r>
      <w:r>
        <w:rPr>
          <w:spacing w:val="3"/>
          <w:w w:val="105"/>
        </w:rPr>
        <w:t>特别重大</w:t>
      </w:r>
      <w:r>
        <w:rPr>
          <w:rFonts w:hint="eastAsia" w:ascii="MS UI Gothic" w:hAnsi="MS UI Gothic" w:eastAsia="MS UI Gothic"/>
          <w:spacing w:val="2"/>
          <w:w w:val="80"/>
        </w:rPr>
        <w:t xml:space="preserve">、 </w:t>
      </w:r>
      <w:r>
        <w:rPr>
          <w:spacing w:val="10"/>
          <w:w w:val="105"/>
        </w:rPr>
        <w:t>重大突发公共事件分级标准</w:t>
      </w:r>
      <w:r>
        <w:rPr>
          <w:rFonts w:hint="eastAsia" w:ascii="MS UI Gothic" w:hAnsi="MS UI Gothic" w:eastAsia="MS UI Gothic"/>
          <w:spacing w:val="-27"/>
          <w:w w:val="150"/>
        </w:rPr>
        <w:t xml:space="preserve">( </w:t>
      </w:r>
      <w:r>
        <w:rPr>
          <w:spacing w:val="33"/>
          <w:w w:val="105"/>
        </w:rPr>
        <w:t>试行</w:t>
      </w:r>
      <w:r>
        <w:rPr>
          <w:rFonts w:hint="eastAsia" w:ascii="MS UI Gothic" w:hAnsi="MS UI Gothic" w:eastAsia="MS UI Gothic"/>
          <w:spacing w:val="10"/>
          <w:w w:val="150"/>
        </w:rPr>
        <w:t xml:space="preserve">) </w:t>
      </w:r>
      <w:r>
        <w:rPr>
          <w:rFonts w:hint="eastAsia" w:ascii="MS UI Gothic" w:hAnsi="MS UI Gothic" w:eastAsia="MS UI Gothic"/>
          <w:spacing w:val="17"/>
          <w:w w:val="80"/>
        </w:rPr>
        <w:t xml:space="preserve">» </w:t>
      </w:r>
      <w:r>
        <w:rPr>
          <w:spacing w:val="36"/>
          <w:w w:val="105"/>
        </w:rPr>
        <w:t>中安全事故类的有关规定</w:t>
      </w:r>
      <w:r>
        <w:rPr>
          <w:spacing w:val="3"/>
          <w:w w:val="105"/>
        </w:rPr>
        <w:t>执行</w:t>
      </w:r>
      <w:r>
        <w:rPr>
          <w:rFonts w:hint="eastAsia" w:ascii="MS UI Gothic" w:hAnsi="MS UI Gothic" w:eastAsia="MS UI Gothic"/>
          <w:w w:val="80"/>
        </w:rPr>
        <w:t>ꎮ</w:t>
      </w:r>
    </w:p>
    <w:p>
      <w:pPr>
        <w:pStyle w:val="6"/>
        <w:spacing w:line="295" w:lineRule="auto"/>
        <w:ind w:right="442"/>
        <w:rPr>
          <w:rFonts w:hint="eastAsia" w:ascii="MS UI Gothic" w:eastAsia="MS UI Gothic"/>
        </w:rPr>
      </w:pPr>
      <w:r>
        <w:t>第四十一条 境外中央企业除执行本办法外</w:t>
      </w:r>
      <w:r>
        <w:rPr>
          <w:rFonts w:hint="eastAsia" w:ascii="MS UI Gothic" w:eastAsia="MS UI Gothic"/>
          <w:w w:val="80"/>
        </w:rPr>
        <w:t xml:space="preserve">ꎬ </w:t>
      </w:r>
      <w:r>
        <w:t>还应严格遵守所在地的安全生产法律法规</w:t>
      </w:r>
      <w:r>
        <w:rPr>
          <w:rFonts w:hint="eastAsia" w:ascii="MS UI Gothic" w:eastAsia="MS UI Gothic"/>
          <w:w w:val="80"/>
        </w:rPr>
        <w:t>ꎮ</w:t>
      </w:r>
    </w:p>
    <w:p>
      <w:pPr>
        <w:pStyle w:val="6"/>
        <w:spacing w:line="295" w:lineRule="auto"/>
        <w:ind w:right="442"/>
        <w:rPr>
          <w:rFonts w:hint="eastAsia" w:ascii="MS UI Gothic" w:eastAsia="MS UI Gothic"/>
        </w:rPr>
      </w:pPr>
      <w:r>
        <w:t>第四十二条  本办法由国资委负责解释</w:t>
      </w:r>
      <w:r>
        <w:rPr>
          <w:rFonts w:hint="eastAsia" w:ascii="MS UI Gothic" w:eastAsia="MS UI Gothic"/>
          <w:w w:val="80"/>
        </w:rPr>
        <w:t>ꎮ</w:t>
      </w:r>
    </w:p>
    <w:p>
      <w:pPr>
        <w:pStyle w:val="6"/>
        <w:tabs>
          <w:tab w:val="left" w:pos="1832"/>
        </w:tabs>
        <w:spacing w:line="295" w:lineRule="auto"/>
        <w:ind w:left="280" w:right="442" w:firstLine="263"/>
        <w:jc w:val="left"/>
        <w:rPr>
          <w:rFonts w:hint="eastAsia" w:ascii="MS UI Gothic" w:eastAsia="MS UI Gothic"/>
        </w:rPr>
      </w:pPr>
      <w:r>
        <w:pict>
          <v:shape id="_x0000_s1522" o:spid="_x0000_s1522" o:spt="202" type="#_x0000_t202" style="position:absolute;left:0pt;margin-left:264.5pt;margin-top:12pt;height:24.35pt;width:5.15pt;mso-position-horizontal-relative:page;z-index:25185382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spacing w:val="3"/>
          <w:w w:val="95"/>
        </w:rPr>
        <w:t>第四十</w:t>
      </w:r>
      <w:r>
        <w:rPr>
          <w:spacing w:val="11"/>
          <w:w w:val="95"/>
        </w:rPr>
        <w:t>三</w:t>
      </w:r>
      <w:r>
        <w:rPr>
          <w:w w:val="95"/>
        </w:rPr>
        <w:t>条</w:t>
      </w:r>
      <w:r>
        <w:rPr>
          <w:w w:val="95"/>
        </w:rPr>
        <w:tab/>
      </w:r>
      <w:r>
        <w:rPr>
          <w:spacing w:val="13"/>
          <w:w w:val="95"/>
        </w:rPr>
        <w:t>本办法</w:t>
      </w:r>
      <w:r>
        <w:rPr>
          <w:w w:val="95"/>
        </w:rPr>
        <w:t>自</w:t>
      </w:r>
      <w:r>
        <w:rPr>
          <w:spacing w:val="-40"/>
          <w:w w:val="95"/>
        </w:rPr>
        <w:t xml:space="preserve"> </w:t>
      </w:r>
      <w:r>
        <w:rPr>
          <w:rFonts w:hint="eastAsia" w:ascii="MS UI Gothic" w:eastAsia="MS UI Gothic"/>
          <w:w w:val="95"/>
        </w:rPr>
        <w:t>２００８</w:t>
      </w:r>
      <w:r>
        <w:rPr>
          <w:rFonts w:hint="eastAsia" w:ascii="MS UI Gothic" w:eastAsia="MS UI Gothic"/>
          <w:spacing w:val="4"/>
          <w:w w:val="95"/>
        </w:rPr>
        <w:t xml:space="preserve"> </w:t>
      </w:r>
      <w:r>
        <w:rPr>
          <w:w w:val="95"/>
        </w:rPr>
        <w:t>年</w:t>
      </w:r>
      <w:r>
        <w:rPr>
          <w:spacing w:val="-40"/>
          <w:w w:val="95"/>
        </w:rPr>
        <w:t xml:space="preserve"> </w:t>
      </w:r>
      <w:r>
        <w:rPr>
          <w:rFonts w:hint="eastAsia" w:ascii="MS UI Gothic" w:eastAsia="MS UI Gothic"/>
          <w:w w:val="95"/>
        </w:rPr>
        <w:t>９</w:t>
      </w:r>
      <w:r>
        <w:rPr>
          <w:rFonts w:hint="eastAsia" w:ascii="MS UI Gothic" w:eastAsia="MS UI Gothic"/>
          <w:spacing w:val="4"/>
          <w:w w:val="95"/>
        </w:rPr>
        <w:t xml:space="preserve"> </w:t>
      </w:r>
      <w:r>
        <w:rPr>
          <w:spacing w:val="-14"/>
          <w:w w:val="95"/>
        </w:rPr>
        <w:t>月</w:t>
      </w:r>
      <w:r>
        <w:rPr>
          <w:spacing w:val="3"/>
          <w:w w:val="95"/>
        </w:rPr>
        <w:t>日起施行</w:t>
      </w:r>
      <w:r>
        <w:rPr>
          <w:rFonts w:hint="eastAsia" w:ascii="MS UI Gothic" w:eastAsia="MS UI Gothic"/>
          <w:w w:val="90"/>
        </w:rPr>
        <w:t>ꎮ</w:t>
      </w:r>
    </w:p>
    <w:p>
      <w:pPr>
        <w:pStyle w:val="6"/>
        <w:spacing w:line="255" w:lineRule="exact"/>
        <w:ind w:left="543" w:firstLine="0"/>
        <w:jc w:val="left"/>
        <w:rPr>
          <w:rFonts w:hint="eastAsia" w:ascii="MS UI Gothic" w:eastAsia="MS UI Gothic"/>
        </w:rPr>
      </w:pPr>
      <w:r>
        <w:rPr>
          <w:w w:val="115"/>
        </w:rPr>
        <w:t>附件</w:t>
      </w:r>
      <w:r>
        <w:rPr>
          <w:rFonts w:hint="eastAsia" w:ascii="MS UI Gothic" w:eastAsia="MS UI Gothic"/>
          <w:w w:val="235"/>
        </w:rPr>
        <w:t>:</w:t>
      </w:r>
    </w:p>
    <w:p>
      <w:pPr>
        <w:pStyle w:val="6"/>
        <w:spacing w:before="46" w:line="295" w:lineRule="auto"/>
        <w:ind w:left="543" w:right="1071" w:firstLine="0"/>
        <w:jc w:val="left"/>
      </w:pPr>
      <w:r>
        <w:rPr>
          <w:w w:val="105"/>
        </w:rPr>
        <w:t>央企业安全生产监管分类表</w:t>
      </w:r>
      <w:r>
        <w:t>中央企业生产安全事故季报表</w:t>
      </w:r>
    </w:p>
    <w:p>
      <w:pPr>
        <w:pStyle w:val="6"/>
        <w:spacing w:line="295" w:lineRule="auto"/>
        <w:ind w:left="543" w:right="861" w:firstLine="0"/>
        <w:jc w:val="left"/>
      </w:pPr>
      <w:r>
        <w:t>中央企业生产安全事故年度报表</w:t>
      </w:r>
      <w:r>
        <w:rPr>
          <w:w w:val="105"/>
        </w:rPr>
        <w:t>中央企业生产安全事故快报</w:t>
      </w:r>
    </w:p>
    <w:p>
      <w:pPr>
        <w:pStyle w:val="6"/>
        <w:spacing w:line="295" w:lineRule="auto"/>
        <w:ind w:left="543" w:right="442" w:firstLine="0"/>
        <w:jc w:val="left"/>
      </w:pPr>
      <w:r>
        <w:rPr>
          <w:w w:val="105"/>
        </w:rPr>
        <w:t>中央企业生产安全事故报告流程图</w:t>
      </w:r>
      <w:r>
        <w:t>中央企业生产安全责任事故降分降级</w:t>
      </w:r>
    </w:p>
    <w:p>
      <w:pPr>
        <w:pStyle w:val="6"/>
        <w:spacing w:line="255" w:lineRule="exact"/>
        <w:ind w:firstLine="0"/>
        <w:jc w:val="left"/>
      </w:pPr>
      <w:r>
        <w:rPr>
          <w:w w:val="105"/>
        </w:rPr>
        <w:t>处理细则</w:t>
      </w:r>
    </w:p>
    <w:p>
      <w:pPr>
        <w:spacing w:after="0" w:line="255" w:lineRule="exact"/>
        <w:jc w:val="left"/>
        <w:sectPr>
          <w:type w:val="continuous"/>
          <w:pgSz w:w="10500" w:h="14750"/>
          <w:pgMar w:top="1400" w:right="980" w:bottom="280" w:left="980" w:header="720" w:footer="720" w:gutter="0"/>
          <w:cols w:equalWidth="0" w:num="2">
            <w:col w:w="3934" w:space="258"/>
            <w:col w:w="4348"/>
          </w:cols>
        </w:sectPr>
      </w:pPr>
    </w:p>
    <w:p>
      <w:pPr>
        <w:pStyle w:val="6"/>
        <w:ind w:left="0" w:firstLine="0"/>
        <w:jc w:val="left"/>
        <w:rPr>
          <w:sz w:val="32"/>
        </w:rPr>
      </w:pPr>
    </w:p>
    <w:p>
      <w:pPr>
        <w:pStyle w:val="6"/>
        <w:spacing w:before="8"/>
        <w:ind w:left="0" w:firstLine="0"/>
        <w:jc w:val="left"/>
        <w:rPr>
          <w:sz w:val="23"/>
        </w:rPr>
      </w:pPr>
    </w:p>
    <w:p>
      <w:pPr>
        <w:pStyle w:val="6"/>
        <w:ind w:left="440" w:firstLine="0"/>
        <w:jc w:val="left"/>
      </w:pPr>
      <w:r>
        <w:pict>
          <v:shape id="_x0000_s1523" o:spid="_x0000_s1523" style="position:absolute;left:0pt;margin-left:0pt;margin-top:664.5pt;height:1.75pt;width:398.25pt;mso-position-horizontal-relative:page;z-index:251854848;mso-width-relative:page;mso-height-relative:page;" filled="f" stroked="t" coordorigin="0,13290" coordsize="7965,35" path="m1419,-196l9384,-196m1419,-231l9384,-231e">
            <v:path arrowok="t"/>
            <v:fill on="f" focussize="0,0"/>
            <v:stroke weight="0.388031496062992pt" color="#231F20"/>
            <v:imagedata o:title=""/>
            <o:lock v:ext="edit"/>
          </v:shape>
        </w:pict>
      </w:r>
      <w:r>
        <w:rPr>
          <w:spacing w:val="-25"/>
        </w:rPr>
        <w:t xml:space="preserve">附件 </w:t>
      </w:r>
      <w:r>
        <w:rPr>
          <w:w w:val="80"/>
        </w:rPr>
        <w:t>１</w:t>
      </w:r>
    </w:p>
    <w:p>
      <w:pPr>
        <w:spacing w:before="192"/>
        <w:ind w:left="488" w:right="88" w:firstLine="0"/>
        <w:jc w:val="center"/>
        <w:rPr>
          <w:sz w:val="17"/>
        </w:rPr>
      </w:pPr>
      <w:r>
        <w:br w:type="column"/>
      </w:r>
      <w:r>
        <w:rPr>
          <w:sz w:val="17"/>
        </w:rPr>
        <w:t>四</w:t>
      </w:r>
      <w:r>
        <w:rPr>
          <w:rFonts w:hint="eastAsia" w:ascii="Microsoft Yi Baiti" w:eastAsia="Microsoft Yi Baiti"/>
          <w:sz w:val="17"/>
        </w:rPr>
        <w:t xml:space="preserve">、 </w:t>
      </w:r>
      <w:r>
        <w:rPr>
          <w:sz w:val="17"/>
        </w:rPr>
        <w:t>安 全 生 产 法</w:t>
      </w:r>
    </w:p>
    <w:p>
      <w:pPr>
        <w:pStyle w:val="6"/>
        <w:ind w:left="0" w:firstLine="0"/>
        <w:jc w:val="left"/>
        <w:rPr>
          <w:sz w:val="24"/>
        </w:rPr>
      </w:pPr>
    </w:p>
    <w:p>
      <w:pPr>
        <w:pStyle w:val="6"/>
        <w:ind w:left="0" w:firstLine="0"/>
        <w:jc w:val="left"/>
        <w:rPr>
          <w:sz w:val="24"/>
        </w:rPr>
      </w:pPr>
    </w:p>
    <w:p>
      <w:pPr>
        <w:pStyle w:val="5"/>
        <w:spacing w:before="209"/>
        <w:ind w:left="488" w:right="88"/>
      </w:pPr>
      <w:r>
        <w:t>中央企业安全生产监管分类表</w:t>
      </w:r>
    </w:p>
    <w:p>
      <w:pPr>
        <w:pStyle w:val="6"/>
        <w:spacing w:before="3"/>
        <w:ind w:left="0" w:firstLine="0"/>
        <w:jc w:val="left"/>
        <w:rPr>
          <w:sz w:val="28"/>
        </w:rPr>
      </w:pPr>
    </w:p>
    <w:p>
      <w:pPr>
        <w:spacing w:before="0"/>
        <w:ind w:left="472" w:right="88" w:firstLine="0"/>
        <w:jc w:val="center"/>
        <w:rPr>
          <w:rFonts w:hint="eastAsia" w:ascii="MS UI Gothic" w:eastAsia="MS UI Gothic"/>
          <w:sz w:val="17"/>
        </w:rPr>
      </w:pPr>
      <w:r>
        <w:rPr>
          <w:spacing w:val="2"/>
          <w:w w:val="103"/>
          <w:sz w:val="17"/>
        </w:rPr>
        <w:t>第一类企业</w:t>
      </w:r>
      <w:r>
        <w:rPr>
          <w:spacing w:val="8"/>
          <w:sz w:val="17"/>
        </w:rPr>
        <w:t xml:space="preserve"> </w:t>
      </w:r>
      <w:r>
        <w:rPr>
          <w:rFonts w:hint="eastAsia" w:ascii="MS UI Gothic" w:eastAsia="MS UI Gothic"/>
          <w:spacing w:val="14"/>
          <w:w w:val="170"/>
          <w:sz w:val="17"/>
        </w:rPr>
        <w:t>(</w:t>
      </w:r>
      <w:r>
        <w:rPr>
          <w:rFonts w:hint="eastAsia" w:ascii="MS UI Gothic" w:eastAsia="MS UI Gothic"/>
          <w:spacing w:val="-1"/>
          <w:w w:val="75"/>
          <w:sz w:val="17"/>
        </w:rPr>
        <w:t>３３</w:t>
      </w:r>
      <w:r>
        <w:rPr>
          <w:rFonts w:hint="eastAsia" w:ascii="MS UI Gothic" w:eastAsia="MS UI Gothic"/>
          <w:spacing w:val="-5"/>
          <w:sz w:val="17"/>
        </w:rPr>
        <w:t xml:space="preserve"> </w:t>
      </w:r>
      <w:r>
        <w:rPr>
          <w:spacing w:val="3"/>
          <w:w w:val="103"/>
          <w:sz w:val="17"/>
        </w:rPr>
        <w:t>户</w:t>
      </w:r>
      <w:r>
        <w:rPr>
          <w:rFonts w:hint="eastAsia" w:ascii="MS UI Gothic" w:eastAsia="MS UI Gothic"/>
          <w:w w:val="170"/>
          <w:sz w:val="17"/>
        </w:rPr>
        <w:t>)</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１５９</w:t>
      </w:r>
    </w:p>
    <w:p>
      <w:pPr>
        <w:spacing w:after="0"/>
        <w:jc w:val="left"/>
        <w:rPr>
          <w:rFonts w:hint="eastAsia" w:ascii="MS UI Gothic" w:eastAsia="MS UI Gothic"/>
        </w:rPr>
        <w:sectPr>
          <w:pgSz w:w="10500" w:h="14750"/>
          <w:pgMar w:top="960" w:right="980" w:bottom="280" w:left="980" w:header="720" w:footer="720" w:gutter="0"/>
          <w:cols w:equalWidth="0" w:num="3">
            <w:col w:w="1050" w:space="1368"/>
            <w:col w:w="3606" w:space="1048"/>
            <w:col w:w="1468"/>
          </w:cols>
        </w:sectPr>
      </w:pPr>
    </w:p>
    <w:p>
      <w:pPr>
        <w:tabs>
          <w:tab w:val="left" w:pos="4516"/>
        </w:tabs>
        <w:spacing w:before="143"/>
        <w:ind w:left="545" w:right="0" w:firstLine="0"/>
        <w:jc w:val="left"/>
        <w:rPr>
          <w:sz w:val="17"/>
        </w:rPr>
      </w:pPr>
      <w:r>
        <w:rPr>
          <w:spacing w:val="3"/>
          <w:w w:val="105"/>
          <w:sz w:val="17"/>
        </w:rPr>
        <w:t>中国核工业集团公</w:t>
      </w:r>
      <w:r>
        <w:rPr>
          <w:w w:val="105"/>
          <w:sz w:val="17"/>
        </w:rPr>
        <w:t>司</w:t>
      </w:r>
      <w:r>
        <w:rPr>
          <w:w w:val="105"/>
          <w:sz w:val="17"/>
        </w:rPr>
        <w:tab/>
      </w:r>
      <w:r>
        <w:rPr>
          <w:spacing w:val="3"/>
          <w:w w:val="105"/>
          <w:sz w:val="17"/>
        </w:rPr>
        <w:t>中国建筑工程总公</w:t>
      </w:r>
      <w:r>
        <w:rPr>
          <w:w w:val="105"/>
          <w:sz w:val="17"/>
        </w:rPr>
        <w:t>司</w:t>
      </w:r>
    </w:p>
    <w:p>
      <w:pPr>
        <w:tabs>
          <w:tab w:val="left" w:pos="4516"/>
        </w:tabs>
        <w:spacing w:before="144"/>
        <w:ind w:left="545" w:right="0" w:firstLine="0"/>
        <w:jc w:val="left"/>
        <w:rPr>
          <w:sz w:val="17"/>
        </w:rPr>
      </w:pPr>
      <w:r>
        <w:rPr>
          <w:spacing w:val="3"/>
          <w:w w:val="105"/>
          <w:sz w:val="17"/>
        </w:rPr>
        <w:t>中国核工业建设集团公</w:t>
      </w:r>
      <w:r>
        <w:rPr>
          <w:w w:val="105"/>
          <w:sz w:val="17"/>
        </w:rPr>
        <w:t>司</w:t>
      </w:r>
      <w:r>
        <w:rPr>
          <w:w w:val="105"/>
          <w:sz w:val="17"/>
        </w:rPr>
        <w:tab/>
      </w:r>
      <w:r>
        <w:rPr>
          <w:spacing w:val="3"/>
          <w:w w:val="105"/>
          <w:sz w:val="17"/>
        </w:rPr>
        <w:t>国家开发投资公</w:t>
      </w:r>
      <w:r>
        <w:rPr>
          <w:w w:val="105"/>
          <w:sz w:val="17"/>
        </w:rPr>
        <w:t>司</w:t>
      </w:r>
    </w:p>
    <w:p>
      <w:pPr>
        <w:tabs>
          <w:tab w:val="left" w:pos="4516"/>
        </w:tabs>
        <w:spacing w:before="143"/>
        <w:ind w:left="545" w:right="0" w:firstLine="0"/>
        <w:jc w:val="left"/>
        <w:rPr>
          <w:sz w:val="17"/>
        </w:rPr>
      </w:pPr>
      <w:r>
        <w:rPr>
          <w:spacing w:val="3"/>
          <w:w w:val="105"/>
          <w:sz w:val="17"/>
        </w:rPr>
        <w:t>中国航天科技集团公</w:t>
      </w:r>
      <w:r>
        <w:rPr>
          <w:w w:val="105"/>
          <w:sz w:val="17"/>
        </w:rPr>
        <w:t>司</w:t>
      </w:r>
      <w:r>
        <w:rPr>
          <w:w w:val="105"/>
          <w:sz w:val="17"/>
        </w:rPr>
        <w:tab/>
      </w:r>
      <w:r>
        <w:rPr>
          <w:spacing w:val="3"/>
          <w:sz w:val="17"/>
        </w:rPr>
        <w:t>中国中煤能源集团公</w:t>
      </w:r>
      <w:r>
        <w:rPr>
          <w:sz w:val="17"/>
        </w:rPr>
        <w:t>司</w:t>
      </w:r>
    </w:p>
    <w:p>
      <w:pPr>
        <w:tabs>
          <w:tab w:val="left" w:pos="4516"/>
        </w:tabs>
        <w:spacing w:before="143"/>
        <w:ind w:left="545" w:right="0" w:firstLine="0"/>
        <w:jc w:val="left"/>
        <w:rPr>
          <w:sz w:val="17"/>
        </w:rPr>
      </w:pPr>
      <w:r>
        <w:rPr>
          <w:spacing w:val="3"/>
          <w:w w:val="105"/>
          <w:sz w:val="17"/>
        </w:rPr>
        <w:t>中国航天科工集团公</w:t>
      </w:r>
      <w:r>
        <w:rPr>
          <w:w w:val="105"/>
          <w:sz w:val="17"/>
        </w:rPr>
        <w:t>司</w:t>
      </w:r>
      <w:r>
        <w:rPr>
          <w:w w:val="105"/>
          <w:sz w:val="17"/>
        </w:rPr>
        <w:tab/>
      </w:r>
      <w:r>
        <w:rPr>
          <w:spacing w:val="3"/>
          <w:sz w:val="17"/>
        </w:rPr>
        <w:t>中国冶金科工集团公</w:t>
      </w:r>
      <w:r>
        <w:rPr>
          <w:sz w:val="17"/>
        </w:rPr>
        <w:t>司</w:t>
      </w:r>
    </w:p>
    <w:p>
      <w:pPr>
        <w:tabs>
          <w:tab w:val="left" w:pos="4516"/>
        </w:tabs>
        <w:spacing w:before="143"/>
        <w:ind w:left="545" w:right="0" w:firstLine="0"/>
        <w:jc w:val="left"/>
        <w:rPr>
          <w:sz w:val="17"/>
        </w:rPr>
      </w:pPr>
      <w:r>
        <w:rPr>
          <w:spacing w:val="3"/>
          <w:w w:val="105"/>
          <w:sz w:val="17"/>
        </w:rPr>
        <w:t>中国兵器工业集团公</w:t>
      </w:r>
      <w:r>
        <w:rPr>
          <w:w w:val="105"/>
          <w:sz w:val="17"/>
        </w:rPr>
        <w:t>司</w:t>
      </w:r>
      <w:r>
        <w:rPr>
          <w:w w:val="105"/>
          <w:sz w:val="17"/>
        </w:rPr>
        <w:tab/>
      </w:r>
      <w:r>
        <w:rPr>
          <w:spacing w:val="3"/>
          <w:w w:val="105"/>
          <w:sz w:val="17"/>
        </w:rPr>
        <w:t>中国化工集团公</w:t>
      </w:r>
      <w:r>
        <w:rPr>
          <w:w w:val="105"/>
          <w:sz w:val="17"/>
        </w:rPr>
        <w:t>司</w:t>
      </w:r>
    </w:p>
    <w:p>
      <w:pPr>
        <w:tabs>
          <w:tab w:val="left" w:pos="4516"/>
        </w:tabs>
        <w:spacing w:before="143"/>
        <w:ind w:left="545" w:right="0" w:firstLine="0"/>
        <w:jc w:val="left"/>
        <w:rPr>
          <w:sz w:val="17"/>
        </w:rPr>
      </w:pPr>
      <w:r>
        <w:rPr>
          <w:spacing w:val="3"/>
          <w:w w:val="105"/>
          <w:sz w:val="17"/>
        </w:rPr>
        <w:t>中国石油天然气集团公</w:t>
      </w:r>
      <w:r>
        <w:rPr>
          <w:w w:val="105"/>
          <w:sz w:val="17"/>
        </w:rPr>
        <w:t>司</w:t>
      </w:r>
      <w:r>
        <w:rPr>
          <w:w w:val="105"/>
          <w:sz w:val="17"/>
        </w:rPr>
        <w:tab/>
      </w:r>
      <w:r>
        <w:rPr>
          <w:spacing w:val="3"/>
          <w:w w:val="105"/>
          <w:sz w:val="17"/>
        </w:rPr>
        <w:t>中国化学工程集团公</w:t>
      </w:r>
      <w:r>
        <w:rPr>
          <w:w w:val="105"/>
          <w:sz w:val="17"/>
        </w:rPr>
        <w:t>司</w:t>
      </w:r>
    </w:p>
    <w:p>
      <w:pPr>
        <w:tabs>
          <w:tab w:val="left" w:pos="4516"/>
        </w:tabs>
        <w:spacing w:before="143"/>
        <w:ind w:left="545" w:right="0" w:firstLine="0"/>
        <w:jc w:val="left"/>
        <w:rPr>
          <w:sz w:val="17"/>
        </w:rPr>
      </w:pPr>
      <w:r>
        <w:rPr>
          <w:spacing w:val="3"/>
          <w:w w:val="105"/>
          <w:sz w:val="17"/>
        </w:rPr>
        <w:t>中国石油化工集团公</w:t>
      </w:r>
      <w:r>
        <w:rPr>
          <w:w w:val="105"/>
          <w:sz w:val="17"/>
        </w:rPr>
        <w:t>司</w:t>
      </w:r>
      <w:r>
        <w:rPr>
          <w:w w:val="105"/>
          <w:sz w:val="17"/>
        </w:rPr>
        <w:tab/>
      </w:r>
      <w:r>
        <w:rPr>
          <w:spacing w:val="3"/>
          <w:w w:val="105"/>
          <w:sz w:val="17"/>
        </w:rPr>
        <w:t>中国有色矿业集团有限公</w:t>
      </w:r>
      <w:r>
        <w:rPr>
          <w:w w:val="105"/>
          <w:sz w:val="17"/>
        </w:rPr>
        <w:t>司</w:t>
      </w:r>
    </w:p>
    <w:p>
      <w:pPr>
        <w:tabs>
          <w:tab w:val="left" w:pos="4516"/>
        </w:tabs>
        <w:spacing w:before="144"/>
        <w:ind w:left="545" w:right="0" w:firstLine="0"/>
        <w:jc w:val="left"/>
        <w:rPr>
          <w:sz w:val="17"/>
        </w:rPr>
      </w:pPr>
      <w:r>
        <w:rPr>
          <w:spacing w:val="3"/>
          <w:w w:val="105"/>
          <w:sz w:val="17"/>
        </w:rPr>
        <w:t>中国海洋石油总公</w:t>
      </w:r>
      <w:r>
        <w:rPr>
          <w:w w:val="105"/>
          <w:sz w:val="17"/>
        </w:rPr>
        <w:t>司</w:t>
      </w:r>
      <w:r>
        <w:rPr>
          <w:w w:val="105"/>
          <w:sz w:val="17"/>
        </w:rPr>
        <w:tab/>
      </w:r>
      <w:r>
        <w:rPr>
          <w:spacing w:val="3"/>
          <w:sz w:val="17"/>
        </w:rPr>
        <w:t>中国铁路工程总公</w:t>
      </w:r>
      <w:r>
        <w:rPr>
          <w:sz w:val="17"/>
        </w:rPr>
        <w:t>司</w:t>
      </w:r>
    </w:p>
    <w:p>
      <w:pPr>
        <w:tabs>
          <w:tab w:val="left" w:pos="4516"/>
        </w:tabs>
        <w:spacing w:before="143"/>
        <w:ind w:left="545" w:right="0" w:firstLine="0"/>
        <w:jc w:val="left"/>
        <w:rPr>
          <w:sz w:val="17"/>
        </w:rPr>
      </w:pPr>
      <w:r>
        <w:rPr>
          <w:spacing w:val="3"/>
          <w:w w:val="105"/>
          <w:sz w:val="17"/>
        </w:rPr>
        <w:t>国家电网公</w:t>
      </w:r>
      <w:r>
        <w:rPr>
          <w:w w:val="105"/>
          <w:sz w:val="17"/>
        </w:rPr>
        <w:t>司</w:t>
      </w:r>
      <w:r>
        <w:rPr>
          <w:w w:val="105"/>
          <w:sz w:val="17"/>
        </w:rPr>
        <w:tab/>
      </w:r>
      <w:r>
        <w:rPr>
          <w:spacing w:val="3"/>
          <w:sz w:val="17"/>
        </w:rPr>
        <w:t>中国铁道建筑总公</w:t>
      </w:r>
      <w:r>
        <w:rPr>
          <w:sz w:val="17"/>
        </w:rPr>
        <w:t>司</w:t>
      </w:r>
    </w:p>
    <w:p>
      <w:pPr>
        <w:tabs>
          <w:tab w:val="left" w:pos="4516"/>
        </w:tabs>
        <w:spacing w:before="143"/>
        <w:ind w:left="545" w:right="0" w:firstLine="0"/>
        <w:jc w:val="left"/>
        <w:rPr>
          <w:sz w:val="17"/>
        </w:rPr>
      </w:pPr>
      <w:r>
        <w:rPr>
          <w:spacing w:val="3"/>
          <w:w w:val="105"/>
          <w:sz w:val="17"/>
        </w:rPr>
        <w:t>神华集团有限责任公</w:t>
      </w:r>
      <w:r>
        <w:rPr>
          <w:w w:val="105"/>
          <w:sz w:val="17"/>
        </w:rPr>
        <w:t>司</w:t>
      </w:r>
      <w:r>
        <w:rPr>
          <w:w w:val="105"/>
          <w:sz w:val="17"/>
        </w:rPr>
        <w:tab/>
      </w:r>
      <w:r>
        <w:rPr>
          <w:spacing w:val="3"/>
          <w:w w:val="105"/>
          <w:sz w:val="17"/>
        </w:rPr>
        <w:t>中国交通建设集团有限公</w:t>
      </w:r>
      <w:r>
        <w:rPr>
          <w:w w:val="105"/>
          <w:sz w:val="17"/>
        </w:rPr>
        <w:t>司</w:t>
      </w:r>
    </w:p>
    <w:p>
      <w:pPr>
        <w:tabs>
          <w:tab w:val="left" w:pos="4516"/>
        </w:tabs>
        <w:spacing w:before="143"/>
        <w:ind w:left="545" w:right="0" w:firstLine="0"/>
        <w:jc w:val="left"/>
        <w:rPr>
          <w:sz w:val="17"/>
        </w:rPr>
      </w:pPr>
      <w:r>
        <w:rPr>
          <w:spacing w:val="3"/>
          <w:w w:val="115"/>
          <w:sz w:val="17"/>
        </w:rPr>
        <w:t>中国远洋运</w:t>
      </w:r>
      <w:r>
        <w:rPr>
          <w:w w:val="115"/>
          <w:sz w:val="17"/>
        </w:rPr>
        <w:t>输</w:t>
      </w:r>
      <w:r>
        <w:rPr>
          <w:spacing w:val="-58"/>
          <w:w w:val="115"/>
          <w:sz w:val="17"/>
        </w:rPr>
        <w:t xml:space="preserve"> </w:t>
      </w:r>
      <w:r>
        <w:rPr>
          <w:rFonts w:hint="eastAsia" w:ascii="MS UI Gothic" w:eastAsia="MS UI Gothic"/>
          <w:w w:val="150"/>
          <w:sz w:val="17"/>
        </w:rPr>
        <w:t>(</w:t>
      </w:r>
      <w:r>
        <w:rPr>
          <w:rFonts w:hint="eastAsia" w:ascii="MS UI Gothic" w:eastAsia="MS UI Gothic"/>
          <w:spacing w:val="-70"/>
          <w:w w:val="150"/>
          <w:sz w:val="17"/>
        </w:rPr>
        <w:t xml:space="preserve"> </w:t>
      </w:r>
      <w:r>
        <w:rPr>
          <w:spacing w:val="3"/>
          <w:w w:val="115"/>
          <w:sz w:val="17"/>
        </w:rPr>
        <w:t>集团</w:t>
      </w:r>
      <w:r>
        <w:rPr>
          <w:rFonts w:hint="eastAsia" w:ascii="MS UI Gothic" w:eastAsia="MS UI Gothic"/>
          <w:w w:val="150"/>
          <w:sz w:val="17"/>
        </w:rPr>
        <w:t>)</w:t>
      </w:r>
      <w:r>
        <w:rPr>
          <w:rFonts w:hint="eastAsia" w:ascii="MS UI Gothic" w:eastAsia="MS UI Gothic"/>
          <w:spacing w:val="-32"/>
          <w:w w:val="150"/>
          <w:sz w:val="17"/>
        </w:rPr>
        <w:t xml:space="preserve"> </w:t>
      </w:r>
      <w:r>
        <w:rPr>
          <w:spacing w:val="3"/>
          <w:w w:val="115"/>
          <w:sz w:val="17"/>
        </w:rPr>
        <w:t>总公</w:t>
      </w:r>
      <w:r>
        <w:rPr>
          <w:w w:val="115"/>
          <w:sz w:val="17"/>
        </w:rPr>
        <w:t>司</w:t>
      </w:r>
      <w:r>
        <w:rPr>
          <w:w w:val="115"/>
          <w:sz w:val="17"/>
        </w:rPr>
        <w:tab/>
      </w:r>
      <w:r>
        <w:rPr>
          <w:spacing w:val="3"/>
          <w:w w:val="115"/>
          <w:sz w:val="17"/>
        </w:rPr>
        <w:t>中国对外贸易运</w:t>
      </w:r>
      <w:r>
        <w:rPr>
          <w:w w:val="115"/>
          <w:sz w:val="17"/>
        </w:rPr>
        <w:t>输</w:t>
      </w:r>
      <w:r>
        <w:rPr>
          <w:spacing w:val="-18"/>
          <w:w w:val="115"/>
          <w:sz w:val="17"/>
        </w:rPr>
        <w:t xml:space="preserve"> </w:t>
      </w:r>
      <w:r>
        <w:rPr>
          <w:rFonts w:hint="eastAsia" w:ascii="MS UI Gothic" w:eastAsia="MS UI Gothic"/>
          <w:w w:val="150"/>
          <w:sz w:val="17"/>
        </w:rPr>
        <w:t>(</w:t>
      </w:r>
      <w:r>
        <w:rPr>
          <w:rFonts w:hint="eastAsia" w:ascii="MS UI Gothic" w:eastAsia="MS UI Gothic"/>
          <w:spacing w:val="-63"/>
          <w:w w:val="150"/>
          <w:sz w:val="17"/>
        </w:rPr>
        <w:t xml:space="preserve"> </w:t>
      </w:r>
      <w:r>
        <w:rPr>
          <w:spacing w:val="3"/>
          <w:w w:val="115"/>
          <w:sz w:val="17"/>
        </w:rPr>
        <w:t>集团</w:t>
      </w:r>
      <w:r>
        <w:rPr>
          <w:rFonts w:hint="eastAsia" w:ascii="MS UI Gothic" w:eastAsia="MS UI Gothic"/>
          <w:w w:val="150"/>
          <w:sz w:val="17"/>
        </w:rPr>
        <w:t>)</w:t>
      </w:r>
      <w:r>
        <w:rPr>
          <w:rFonts w:hint="eastAsia" w:ascii="MS UI Gothic" w:eastAsia="MS UI Gothic"/>
          <w:spacing w:val="14"/>
          <w:w w:val="150"/>
          <w:sz w:val="17"/>
        </w:rPr>
        <w:t xml:space="preserve"> </w:t>
      </w:r>
      <w:r>
        <w:rPr>
          <w:spacing w:val="3"/>
          <w:w w:val="115"/>
          <w:sz w:val="17"/>
        </w:rPr>
        <w:t>总公</w:t>
      </w:r>
      <w:r>
        <w:rPr>
          <w:w w:val="115"/>
          <w:sz w:val="17"/>
        </w:rPr>
        <w:t>司</w:t>
      </w:r>
    </w:p>
    <w:p>
      <w:pPr>
        <w:tabs>
          <w:tab w:val="left" w:pos="4516"/>
        </w:tabs>
        <w:spacing w:before="143"/>
        <w:ind w:left="545" w:right="0" w:firstLine="0"/>
        <w:jc w:val="left"/>
        <w:rPr>
          <w:sz w:val="17"/>
        </w:rPr>
      </w:pPr>
      <w:r>
        <w:rPr>
          <w:spacing w:val="3"/>
          <w:w w:val="110"/>
          <w:sz w:val="17"/>
        </w:rPr>
        <w:t>中国海</w:t>
      </w:r>
      <w:r>
        <w:rPr>
          <w:w w:val="110"/>
          <w:sz w:val="17"/>
        </w:rPr>
        <w:t>运</w:t>
      </w:r>
      <w:r>
        <w:rPr>
          <w:spacing w:val="-22"/>
          <w:w w:val="110"/>
          <w:sz w:val="17"/>
        </w:rPr>
        <w:t xml:space="preserve"> </w:t>
      </w:r>
      <w:r>
        <w:rPr>
          <w:rFonts w:hint="eastAsia" w:ascii="MS UI Gothic" w:eastAsia="MS UI Gothic"/>
          <w:w w:val="150"/>
          <w:sz w:val="17"/>
        </w:rPr>
        <w:t>(</w:t>
      </w:r>
      <w:r>
        <w:rPr>
          <w:rFonts w:hint="eastAsia" w:ascii="MS UI Gothic" w:eastAsia="MS UI Gothic"/>
          <w:spacing w:val="-63"/>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6"/>
          <w:w w:val="150"/>
          <w:sz w:val="17"/>
        </w:rPr>
        <w:t xml:space="preserve"> </w:t>
      </w:r>
      <w:r>
        <w:rPr>
          <w:spacing w:val="3"/>
          <w:w w:val="110"/>
          <w:sz w:val="17"/>
        </w:rPr>
        <w:t>总公</w:t>
      </w:r>
      <w:r>
        <w:rPr>
          <w:w w:val="110"/>
          <w:sz w:val="17"/>
        </w:rPr>
        <w:t>司</w:t>
      </w:r>
      <w:r>
        <w:rPr>
          <w:w w:val="110"/>
          <w:sz w:val="17"/>
        </w:rPr>
        <w:tab/>
      </w:r>
      <w:r>
        <w:rPr>
          <w:spacing w:val="3"/>
          <w:w w:val="110"/>
          <w:sz w:val="17"/>
        </w:rPr>
        <w:t>中国水利水电建设集团公</w:t>
      </w:r>
      <w:r>
        <w:rPr>
          <w:w w:val="110"/>
          <w:sz w:val="17"/>
        </w:rPr>
        <w:t>司</w:t>
      </w:r>
    </w:p>
    <w:p>
      <w:pPr>
        <w:tabs>
          <w:tab w:val="left" w:pos="4516"/>
        </w:tabs>
        <w:spacing w:before="143"/>
        <w:ind w:left="545" w:right="0" w:firstLine="0"/>
        <w:jc w:val="left"/>
        <w:rPr>
          <w:sz w:val="17"/>
        </w:rPr>
      </w:pPr>
      <w:r>
        <w:rPr>
          <w:spacing w:val="3"/>
          <w:w w:val="105"/>
          <w:sz w:val="17"/>
        </w:rPr>
        <w:t>中国航空集团公</w:t>
      </w:r>
      <w:r>
        <w:rPr>
          <w:w w:val="105"/>
          <w:sz w:val="17"/>
        </w:rPr>
        <w:t>司</w:t>
      </w:r>
      <w:r>
        <w:rPr>
          <w:w w:val="105"/>
          <w:sz w:val="17"/>
        </w:rPr>
        <w:tab/>
      </w:r>
      <w:r>
        <w:rPr>
          <w:spacing w:val="3"/>
          <w:w w:val="105"/>
          <w:sz w:val="17"/>
        </w:rPr>
        <w:t>中国黄金集团公</w:t>
      </w:r>
      <w:r>
        <w:rPr>
          <w:w w:val="105"/>
          <w:sz w:val="17"/>
        </w:rPr>
        <w:t>司</w:t>
      </w:r>
    </w:p>
    <w:p>
      <w:pPr>
        <w:tabs>
          <w:tab w:val="left" w:pos="4516"/>
        </w:tabs>
        <w:spacing w:before="143"/>
        <w:ind w:left="545" w:right="0" w:firstLine="0"/>
        <w:jc w:val="left"/>
        <w:rPr>
          <w:sz w:val="17"/>
        </w:rPr>
      </w:pPr>
      <w:r>
        <w:rPr>
          <w:spacing w:val="3"/>
          <w:w w:val="105"/>
          <w:sz w:val="17"/>
        </w:rPr>
        <w:t>中国东方航空集团公</w:t>
      </w:r>
      <w:r>
        <w:rPr>
          <w:w w:val="105"/>
          <w:sz w:val="17"/>
        </w:rPr>
        <w:t>司</w:t>
      </w:r>
      <w:r>
        <w:rPr>
          <w:w w:val="105"/>
          <w:sz w:val="17"/>
        </w:rPr>
        <w:tab/>
      </w:r>
      <w:r>
        <w:rPr>
          <w:spacing w:val="3"/>
          <w:w w:val="105"/>
          <w:sz w:val="17"/>
        </w:rPr>
        <w:t>鲁中冶金矿业集团公</w:t>
      </w:r>
      <w:r>
        <w:rPr>
          <w:w w:val="105"/>
          <w:sz w:val="17"/>
        </w:rPr>
        <w:t>司</w:t>
      </w:r>
    </w:p>
    <w:p>
      <w:pPr>
        <w:tabs>
          <w:tab w:val="left" w:pos="4516"/>
        </w:tabs>
        <w:spacing w:before="144"/>
        <w:ind w:left="545" w:right="0" w:firstLine="0"/>
        <w:jc w:val="left"/>
        <w:rPr>
          <w:sz w:val="17"/>
        </w:rPr>
      </w:pPr>
      <w:r>
        <w:rPr>
          <w:spacing w:val="3"/>
          <w:w w:val="105"/>
          <w:sz w:val="17"/>
        </w:rPr>
        <w:t>中国南方航空集团公</w:t>
      </w:r>
      <w:r>
        <w:rPr>
          <w:w w:val="105"/>
          <w:sz w:val="17"/>
        </w:rPr>
        <w:t>司</w:t>
      </w:r>
      <w:r>
        <w:rPr>
          <w:w w:val="105"/>
          <w:sz w:val="17"/>
        </w:rPr>
        <w:tab/>
      </w:r>
      <w:r>
        <w:rPr>
          <w:spacing w:val="3"/>
          <w:w w:val="110"/>
          <w:sz w:val="17"/>
        </w:rPr>
        <w:t>中国长江航</w:t>
      </w:r>
      <w:r>
        <w:rPr>
          <w:w w:val="110"/>
          <w:sz w:val="17"/>
        </w:rPr>
        <w:t>运</w:t>
      </w:r>
      <w:r>
        <w:rPr>
          <w:spacing w:val="-6"/>
          <w:w w:val="110"/>
          <w:sz w:val="17"/>
        </w:rPr>
        <w:t xml:space="preserve"> </w:t>
      </w:r>
      <w:r>
        <w:rPr>
          <w:rFonts w:hint="eastAsia" w:ascii="MS UI Gothic" w:eastAsia="MS UI Gothic"/>
          <w:w w:val="150"/>
          <w:sz w:val="17"/>
        </w:rPr>
        <w:t>(</w:t>
      </w:r>
      <w:r>
        <w:rPr>
          <w:rFonts w:hint="eastAsia" w:ascii="MS UI Gothic" w:eastAsia="MS UI Gothic"/>
          <w:spacing w:val="-60"/>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24"/>
          <w:w w:val="150"/>
          <w:sz w:val="17"/>
        </w:rPr>
        <w:t xml:space="preserve"> </w:t>
      </w:r>
      <w:r>
        <w:rPr>
          <w:spacing w:val="3"/>
          <w:w w:val="110"/>
          <w:sz w:val="17"/>
        </w:rPr>
        <w:t>总公</w:t>
      </w:r>
      <w:r>
        <w:rPr>
          <w:w w:val="110"/>
          <w:sz w:val="17"/>
        </w:rPr>
        <w:t>司</w:t>
      </w:r>
    </w:p>
    <w:p>
      <w:pPr>
        <w:tabs>
          <w:tab w:val="left" w:pos="4516"/>
        </w:tabs>
        <w:spacing w:before="1" w:line="360" w:lineRule="atLeast"/>
        <w:ind w:left="545" w:right="2391" w:firstLine="0"/>
        <w:jc w:val="left"/>
        <w:rPr>
          <w:sz w:val="17"/>
        </w:rPr>
      </w:pPr>
      <w:r>
        <w:rPr>
          <w:spacing w:val="3"/>
          <w:w w:val="105"/>
          <w:sz w:val="17"/>
        </w:rPr>
        <w:t>中国中化集团公</w:t>
      </w:r>
      <w:r>
        <w:rPr>
          <w:w w:val="105"/>
          <w:sz w:val="17"/>
        </w:rPr>
        <w:t>司</w:t>
      </w:r>
      <w:r>
        <w:rPr>
          <w:w w:val="105"/>
          <w:sz w:val="17"/>
        </w:rPr>
        <w:tab/>
      </w:r>
      <w:r>
        <w:rPr>
          <w:spacing w:val="3"/>
          <w:w w:val="105"/>
          <w:sz w:val="17"/>
        </w:rPr>
        <w:t>中国葛洲坝集团公</w:t>
      </w:r>
      <w:r>
        <w:rPr>
          <w:spacing w:val="-11"/>
          <w:w w:val="105"/>
          <w:sz w:val="17"/>
        </w:rPr>
        <w:t>司</w:t>
      </w:r>
      <w:r>
        <w:rPr>
          <w:spacing w:val="3"/>
          <w:w w:val="105"/>
          <w:sz w:val="17"/>
        </w:rPr>
        <w:t>中国五矿集团公</w:t>
      </w:r>
      <w:r>
        <w:rPr>
          <w:w w:val="105"/>
          <w:sz w:val="17"/>
        </w:rPr>
        <w:t>司</w:t>
      </w:r>
    </w:p>
    <w:p>
      <w:pPr>
        <w:spacing w:before="144"/>
        <w:ind w:left="295" w:right="0" w:firstLine="0"/>
        <w:jc w:val="center"/>
        <w:rPr>
          <w:rFonts w:hint="eastAsia" w:ascii="MS UI Gothic" w:eastAsia="MS UI Gothic"/>
          <w:sz w:val="17"/>
        </w:rPr>
      </w:pPr>
      <w:r>
        <w:rPr>
          <w:spacing w:val="2"/>
          <w:w w:val="103"/>
          <w:sz w:val="17"/>
        </w:rPr>
        <w:t>第二类企业</w:t>
      </w:r>
      <w:r>
        <w:rPr>
          <w:spacing w:val="8"/>
          <w:sz w:val="17"/>
        </w:rPr>
        <w:t xml:space="preserve"> </w:t>
      </w:r>
      <w:r>
        <w:rPr>
          <w:rFonts w:hint="eastAsia" w:ascii="MS UI Gothic" w:eastAsia="MS UI Gothic"/>
          <w:spacing w:val="14"/>
          <w:w w:val="170"/>
          <w:sz w:val="17"/>
        </w:rPr>
        <w:t>(</w:t>
      </w:r>
      <w:r>
        <w:rPr>
          <w:rFonts w:hint="eastAsia" w:ascii="MS UI Gothic" w:eastAsia="MS UI Gothic"/>
          <w:spacing w:val="-1"/>
          <w:w w:val="75"/>
          <w:sz w:val="17"/>
        </w:rPr>
        <w:t>７８</w:t>
      </w:r>
      <w:r>
        <w:rPr>
          <w:rFonts w:hint="eastAsia" w:ascii="MS UI Gothic" w:eastAsia="MS UI Gothic"/>
          <w:spacing w:val="-5"/>
          <w:sz w:val="17"/>
        </w:rPr>
        <w:t xml:space="preserve"> </w:t>
      </w:r>
      <w:r>
        <w:rPr>
          <w:spacing w:val="3"/>
          <w:w w:val="103"/>
          <w:sz w:val="17"/>
        </w:rPr>
        <w:t>户</w:t>
      </w:r>
      <w:r>
        <w:rPr>
          <w:rFonts w:hint="eastAsia" w:ascii="MS UI Gothic" w:eastAsia="MS UI Gothic"/>
          <w:w w:val="170"/>
          <w:sz w:val="17"/>
        </w:rPr>
        <w:t>)</w:t>
      </w:r>
    </w:p>
    <w:p>
      <w:pPr>
        <w:tabs>
          <w:tab w:val="left" w:pos="4516"/>
        </w:tabs>
        <w:spacing w:before="143"/>
        <w:ind w:left="545" w:right="0" w:firstLine="0"/>
        <w:jc w:val="left"/>
        <w:rPr>
          <w:sz w:val="17"/>
        </w:rPr>
      </w:pPr>
      <w:r>
        <w:rPr>
          <w:spacing w:val="3"/>
          <w:w w:val="105"/>
          <w:sz w:val="17"/>
        </w:rPr>
        <w:t>中国航空工业第一集团公</w:t>
      </w:r>
      <w:r>
        <w:rPr>
          <w:w w:val="105"/>
          <w:sz w:val="17"/>
        </w:rPr>
        <w:t>司</w:t>
      </w:r>
      <w:r>
        <w:rPr>
          <w:w w:val="105"/>
          <w:sz w:val="17"/>
        </w:rPr>
        <w:tab/>
      </w:r>
      <w:r>
        <w:rPr>
          <w:spacing w:val="3"/>
          <w:w w:val="105"/>
          <w:sz w:val="17"/>
        </w:rPr>
        <w:t>中国钢研科技集团公</w:t>
      </w:r>
      <w:r>
        <w:rPr>
          <w:w w:val="105"/>
          <w:sz w:val="17"/>
        </w:rPr>
        <w:t>司</w:t>
      </w:r>
    </w:p>
    <w:p>
      <w:pPr>
        <w:tabs>
          <w:tab w:val="left" w:pos="4516"/>
        </w:tabs>
        <w:spacing w:before="143"/>
        <w:ind w:left="545" w:right="0" w:firstLine="0"/>
        <w:jc w:val="left"/>
        <w:rPr>
          <w:sz w:val="17"/>
        </w:rPr>
      </w:pPr>
      <w:r>
        <w:rPr>
          <w:spacing w:val="3"/>
          <w:w w:val="105"/>
          <w:sz w:val="17"/>
        </w:rPr>
        <w:t>中国航空工业第二集团公</w:t>
      </w:r>
      <w:r>
        <w:rPr>
          <w:w w:val="105"/>
          <w:sz w:val="17"/>
        </w:rPr>
        <w:t>司</w:t>
      </w:r>
      <w:r>
        <w:rPr>
          <w:w w:val="105"/>
          <w:sz w:val="17"/>
        </w:rPr>
        <w:tab/>
      </w:r>
      <w:r>
        <w:rPr>
          <w:spacing w:val="3"/>
          <w:w w:val="105"/>
          <w:sz w:val="17"/>
        </w:rPr>
        <w:t>中国盐业总公</w:t>
      </w:r>
      <w:r>
        <w:rPr>
          <w:w w:val="105"/>
          <w:sz w:val="17"/>
        </w:rPr>
        <w:t>司</w:t>
      </w:r>
    </w:p>
    <w:p>
      <w:pPr>
        <w:tabs>
          <w:tab w:val="left" w:pos="4516"/>
        </w:tabs>
        <w:spacing w:before="143"/>
        <w:ind w:left="545" w:right="0" w:firstLine="0"/>
        <w:jc w:val="left"/>
        <w:rPr>
          <w:sz w:val="17"/>
        </w:rPr>
      </w:pPr>
      <w:r>
        <w:rPr>
          <w:spacing w:val="3"/>
          <w:w w:val="105"/>
          <w:sz w:val="17"/>
        </w:rPr>
        <w:t>中国船舶工业集团公</w:t>
      </w:r>
      <w:r>
        <w:rPr>
          <w:w w:val="105"/>
          <w:sz w:val="17"/>
        </w:rPr>
        <w:t>司</w:t>
      </w:r>
      <w:r>
        <w:rPr>
          <w:w w:val="105"/>
          <w:sz w:val="17"/>
        </w:rPr>
        <w:tab/>
      </w:r>
      <w:r>
        <w:rPr>
          <w:spacing w:val="3"/>
          <w:sz w:val="17"/>
        </w:rPr>
        <w:t>中国恒天集团公</w:t>
      </w:r>
      <w:r>
        <w:rPr>
          <w:sz w:val="17"/>
        </w:rPr>
        <w:t>司</w:t>
      </w:r>
    </w:p>
    <w:p>
      <w:pPr>
        <w:tabs>
          <w:tab w:val="left" w:pos="4516"/>
        </w:tabs>
        <w:spacing w:before="143"/>
        <w:ind w:left="545" w:right="0" w:firstLine="0"/>
        <w:jc w:val="left"/>
        <w:rPr>
          <w:sz w:val="17"/>
        </w:rPr>
      </w:pPr>
      <w:r>
        <w:rPr>
          <w:spacing w:val="3"/>
          <w:w w:val="105"/>
          <w:sz w:val="17"/>
        </w:rPr>
        <w:t>中国船舶重工集团公</w:t>
      </w:r>
      <w:r>
        <w:rPr>
          <w:w w:val="105"/>
          <w:sz w:val="17"/>
        </w:rPr>
        <w:t>司</w:t>
      </w:r>
      <w:r>
        <w:rPr>
          <w:w w:val="105"/>
          <w:sz w:val="17"/>
        </w:rPr>
        <w:tab/>
      </w:r>
      <w:r>
        <w:rPr>
          <w:spacing w:val="3"/>
          <w:sz w:val="17"/>
        </w:rPr>
        <w:t>中国中材集团公</w:t>
      </w:r>
      <w:r>
        <w:rPr>
          <w:sz w:val="17"/>
        </w:rPr>
        <w:t>司</w:t>
      </w:r>
    </w:p>
    <w:p>
      <w:pPr>
        <w:tabs>
          <w:tab w:val="left" w:pos="4516"/>
        </w:tabs>
        <w:spacing w:before="144"/>
        <w:ind w:left="545" w:right="0" w:firstLine="0"/>
        <w:jc w:val="left"/>
        <w:rPr>
          <w:sz w:val="17"/>
        </w:rPr>
      </w:pPr>
      <w:r>
        <w:rPr>
          <w:spacing w:val="3"/>
          <w:w w:val="105"/>
          <w:sz w:val="17"/>
        </w:rPr>
        <w:t>中国兵器装备集团公</w:t>
      </w:r>
      <w:r>
        <w:rPr>
          <w:w w:val="105"/>
          <w:sz w:val="17"/>
        </w:rPr>
        <w:t>司</w:t>
      </w:r>
      <w:r>
        <w:rPr>
          <w:w w:val="105"/>
          <w:sz w:val="17"/>
        </w:rPr>
        <w:tab/>
      </w:r>
      <w:r>
        <w:rPr>
          <w:spacing w:val="3"/>
          <w:sz w:val="17"/>
        </w:rPr>
        <w:t>中国中钢集团公</w:t>
      </w:r>
      <w:r>
        <w:rPr>
          <w:sz w:val="17"/>
        </w:rPr>
        <w:t>司</w:t>
      </w:r>
    </w:p>
    <w:p>
      <w:pPr>
        <w:tabs>
          <w:tab w:val="left" w:pos="4516"/>
        </w:tabs>
        <w:spacing w:before="143"/>
        <w:ind w:left="545" w:right="0" w:firstLine="0"/>
        <w:jc w:val="left"/>
        <w:rPr>
          <w:sz w:val="17"/>
        </w:rPr>
      </w:pPr>
      <w:r>
        <w:rPr>
          <w:spacing w:val="3"/>
          <w:w w:val="105"/>
          <w:sz w:val="17"/>
        </w:rPr>
        <w:t>中国电子科技集团公</w:t>
      </w:r>
      <w:r>
        <w:rPr>
          <w:w w:val="105"/>
          <w:sz w:val="17"/>
        </w:rPr>
        <w:t>司</w:t>
      </w:r>
      <w:r>
        <w:rPr>
          <w:w w:val="105"/>
          <w:sz w:val="17"/>
        </w:rPr>
        <w:tab/>
      </w:r>
      <w:r>
        <w:rPr>
          <w:spacing w:val="3"/>
          <w:sz w:val="17"/>
        </w:rPr>
        <w:t>中国建筑材料集团公</w:t>
      </w:r>
      <w:r>
        <w:rPr>
          <w:sz w:val="17"/>
        </w:rPr>
        <w:t>司</w:t>
      </w:r>
    </w:p>
    <w:p>
      <w:pPr>
        <w:tabs>
          <w:tab w:val="left" w:pos="4516"/>
        </w:tabs>
        <w:spacing w:before="143"/>
        <w:ind w:left="545" w:right="0" w:firstLine="0"/>
        <w:jc w:val="left"/>
        <w:rPr>
          <w:sz w:val="17"/>
        </w:rPr>
      </w:pPr>
      <w:r>
        <w:rPr>
          <w:spacing w:val="3"/>
          <w:w w:val="105"/>
          <w:sz w:val="17"/>
        </w:rPr>
        <w:t>中国南方电网有限责任公</w:t>
      </w:r>
      <w:r>
        <w:rPr>
          <w:w w:val="105"/>
          <w:sz w:val="17"/>
        </w:rPr>
        <w:t>司</w:t>
      </w:r>
      <w:r>
        <w:rPr>
          <w:w w:val="105"/>
          <w:sz w:val="17"/>
        </w:rPr>
        <w:tab/>
      </w:r>
      <w:r>
        <w:rPr>
          <w:spacing w:val="3"/>
          <w:sz w:val="17"/>
        </w:rPr>
        <w:t>北京有色金属研究总</w:t>
      </w:r>
      <w:r>
        <w:rPr>
          <w:sz w:val="17"/>
        </w:rPr>
        <w:t>院</w:t>
      </w:r>
    </w:p>
    <w:p>
      <w:pPr>
        <w:tabs>
          <w:tab w:val="left" w:pos="4516"/>
        </w:tabs>
        <w:spacing w:before="143"/>
        <w:ind w:left="545" w:right="0" w:firstLine="0"/>
        <w:jc w:val="left"/>
        <w:rPr>
          <w:sz w:val="17"/>
        </w:rPr>
      </w:pPr>
      <w:r>
        <w:rPr>
          <w:spacing w:val="3"/>
          <w:w w:val="105"/>
          <w:sz w:val="17"/>
        </w:rPr>
        <w:t>中国华能集团公</w:t>
      </w:r>
      <w:r>
        <w:rPr>
          <w:w w:val="105"/>
          <w:sz w:val="17"/>
        </w:rPr>
        <w:t>司</w:t>
      </w:r>
      <w:r>
        <w:rPr>
          <w:w w:val="105"/>
          <w:sz w:val="17"/>
        </w:rPr>
        <w:tab/>
      </w:r>
      <w:r>
        <w:rPr>
          <w:spacing w:val="3"/>
          <w:w w:val="105"/>
          <w:sz w:val="17"/>
        </w:rPr>
        <w:t>北京矿冶研究总</w:t>
      </w:r>
      <w:r>
        <w:rPr>
          <w:w w:val="105"/>
          <w:sz w:val="17"/>
        </w:rPr>
        <w:t>院</w:t>
      </w:r>
    </w:p>
    <w:p>
      <w:pPr>
        <w:tabs>
          <w:tab w:val="left" w:pos="4516"/>
        </w:tabs>
        <w:spacing w:before="143"/>
        <w:ind w:left="545" w:right="0" w:firstLine="0"/>
        <w:jc w:val="left"/>
        <w:rPr>
          <w:sz w:val="17"/>
        </w:rPr>
      </w:pPr>
      <w:r>
        <w:rPr>
          <w:spacing w:val="3"/>
          <w:w w:val="105"/>
          <w:sz w:val="17"/>
        </w:rPr>
        <w:t>中国大唐集团公</w:t>
      </w:r>
      <w:r>
        <w:rPr>
          <w:w w:val="105"/>
          <w:sz w:val="17"/>
        </w:rPr>
        <w:t>司</w:t>
      </w:r>
      <w:r>
        <w:rPr>
          <w:w w:val="105"/>
          <w:sz w:val="17"/>
        </w:rPr>
        <w:tab/>
      </w:r>
      <w:r>
        <w:rPr>
          <w:spacing w:val="3"/>
          <w:w w:val="105"/>
          <w:sz w:val="17"/>
        </w:rPr>
        <w:t>中国建筑科学研究</w:t>
      </w:r>
      <w:r>
        <w:rPr>
          <w:w w:val="105"/>
          <w:sz w:val="17"/>
        </w:rPr>
        <w:t>院</w:t>
      </w:r>
    </w:p>
    <w:p>
      <w:pPr>
        <w:tabs>
          <w:tab w:val="left" w:pos="4516"/>
        </w:tabs>
        <w:spacing w:before="143"/>
        <w:ind w:left="545" w:right="0" w:firstLine="0"/>
        <w:jc w:val="left"/>
        <w:rPr>
          <w:sz w:val="17"/>
        </w:rPr>
      </w:pPr>
      <w:r>
        <w:rPr>
          <w:spacing w:val="3"/>
          <w:w w:val="105"/>
          <w:sz w:val="17"/>
        </w:rPr>
        <w:t>中国华电集团公</w:t>
      </w:r>
      <w:r>
        <w:rPr>
          <w:w w:val="105"/>
          <w:sz w:val="17"/>
        </w:rPr>
        <w:t>司</w:t>
      </w:r>
      <w:r>
        <w:rPr>
          <w:w w:val="105"/>
          <w:sz w:val="17"/>
        </w:rPr>
        <w:tab/>
      </w:r>
      <w:r>
        <w:rPr>
          <w:spacing w:val="3"/>
          <w:sz w:val="17"/>
        </w:rPr>
        <w:t>中国北方机车车辆工业集团公</w:t>
      </w:r>
      <w:r>
        <w:rPr>
          <w:sz w:val="17"/>
        </w:rPr>
        <w:t>司</w:t>
      </w:r>
    </w:p>
    <w:p>
      <w:pPr>
        <w:tabs>
          <w:tab w:val="left" w:pos="4516"/>
        </w:tabs>
        <w:spacing w:before="143"/>
        <w:ind w:left="545" w:right="0" w:firstLine="0"/>
        <w:jc w:val="left"/>
        <w:rPr>
          <w:sz w:val="17"/>
        </w:rPr>
      </w:pPr>
      <w:r>
        <w:rPr>
          <w:spacing w:val="3"/>
          <w:w w:val="105"/>
          <w:sz w:val="17"/>
        </w:rPr>
        <w:t>中国国电集团公</w:t>
      </w:r>
      <w:r>
        <w:rPr>
          <w:w w:val="105"/>
          <w:sz w:val="17"/>
        </w:rPr>
        <w:t>司</w:t>
      </w:r>
      <w:r>
        <w:rPr>
          <w:w w:val="105"/>
          <w:sz w:val="17"/>
        </w:rPr>
        <w:tab/>
      </w:r>
      <w:r>
        <w:rPr>
          <w:spacing w:val="3"/>
          <w:sz w:val="17"/>
        </w:rPr>
        <w:t>中国南方机车车辆工业集团公</w:t>
      </w:r>
      <w:r>
        <w:rPr>
          <w:sz w:val="17"/>
        </w:rPr>
        <w:t>司</w:t>
      </w:r>
    </w:p>
    <w:p>
      <w:pPr>
        <w:spacing w:after="0"/>
        <w:jc w:val="left"/>
        <w:rPr>
          <w:sz w:val="17"/>
        </w:rPr>
        <w:sectPr>
          <w:type w:val="continuous"/>
          <w:pgSz w:w="10500" w:h="14750"/>
          <w:pgMar w:top="1400" w:right="980" w:bottom="280" w:left="980" w:header="720" w:footer="720" w:gutter="0"/>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１６０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24" o:spid="_x0000_s1524" o:spt="203" style="height:2.15pt;width:398.25pt;" coordsize="7965,43">
            <o:lock v:ext="edit"/>
            <v:line id="_x0000_s1525" o:spid="_x0000_s1525" o:spt="20" style="position:absolute;left:0;top:39;height:0;width:7965;" stroked="t" coordsize="21600,21600">
              <v:path arrowok="t"/>
              <v:fill focussize="0,0"/>
              <v:stroke weight="0.388031496062992pt" color="#231F20"/>
              <v:imagedata o:title=""/>
              <o:lock v:ext="edit"/>
            </v:line>
            <v:line id="_x0000_s1526" o:spid="_x0000_s152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9"/>
        </w:rPr>
      </w:pPr>
    </w:p>
    <w:p>
      <w:pPr>
        <w:tabs>
          <w:tab w:val="left" w:pos="4200"/>
        </w:tabs>
        <w:spacing w:before="88"/>
        <w:ind w:left="229" w:right="0" w:firstLine="0"/>
        <w:jc w:val="left"/>
        <w:rPr>
          <w:sz w:val="17"/>
        </w:rPr>
      </w:pPr>
      <w:r>
        <w:rPr>
          <w:spacing w:val="3"/>
          <w:w w:val="105"/>
          <w:sz w:val="17"/>
        </w:rPr>
        <w:t>中国电力投资集团公</w:t>
      </w:r>
      <w:r>
        <w:rPr>
          <w:w w:val="105"/>
          <w:sz w:val="17"/>
        </w:rPr>
        <w:t>司</w:t>
      </w:r>
      <w:r>
        <w:rPr>
          <w:w w:val="105"/>
          <w:sz w:val="17"/>
        </w:rPr>
        <w:tab/>
      </w:r>
      <w:r>
        <w:rPr>
          <w:spacing w:val="3"/>
          <w:sz w:val="17"/>
        </w:rPr>
        <w:t>中国铁路通信信号集团公</w:t>
      </w:r>
      <w:r>
        <w:rPr>
          <w:sz w:val="17"/>
        </w:rPr>
        <w:t>司</w:t>
      </w:r>
    </w:p>
    <w:p>
      <w:pPr>
        <w:tabs>
          <w:tab w:val="left" w:pos="4200"/>
        </w:tabs>
        <w:spacing w:before="143"/>
        <w:ind w:left="229" w:right="0" w:firstLine="0"/>
        <w:jc w:val="left"/>
        <w:rPr>
          <w:sz w:val="17"/>
        </w:rPr>
      </w:pPr>
      <w:r>
        <w:rPr>
          <w:spacing w:val="3"/>
          <w:w w:val="105"/>
          <w:sz w:val="17"/>
        </w:rPr>
        <w:t>中国长江三峡工程开发总公</w:t>
      </w:r>
      <w:r>
        <w:rPr>
          <w:w w:val="105"/>
          <w:sz w:val="17"/>
        </w:rPr>
        <w:t>司</w:t>
      </w:r>
      <w:r>
        <w:rPr>
          <w:w w:val="105"/>
          <w:sz w:val="17"/>
        </w:rPr>
        <w:tab/>
      </w:r>
      <w:r>
        <w:rPr>
          <w:spacing w:val="3"/>
          <w:sz w:val="17"/>
        </w:rPr>
        <w:t>中国普天信息产业集团公</w:t>
      </w:r>
      <w:r>
        <w:rPr>
          <w:sz w:val="17"/>
        </w:rPr>
        <w:t>司</w:t>
      </w:r>
    </w:p>
    <w:p>
      <w:pPr>
        <w:tabs>
          <w:tab w:val="left" w:pos="4200"/>
        </w:tabs>
        <w:spacing w:before="143"/>
        <w:ind w:left="229" w:right="0" w:firstLine="0"/>
        <w:jc w:val="left"/>
        <w:rPr>
          <w:sz w:val="17"/>
        </w:rPr>
      </w:pPr>
      <w:r>
        <w:rPr>
          <w:spacing w:val="3"/>
          <w:w w:val="105"/>
          <w:sz w:val="17"/>
        </w:rPr>
        <w:t>中国电信集团公</w:t>
      </w:r>
      <w:r>
        <w:rPr>
          <w:w w:val="105"/>
          <w:sz w:val="17"/>
        </w:rPr>
        <w:t>司</w:t>
      </w:r>
      <w:r>
        <w:rPr>
          <w:w w:val="105"/>
          <w:sz w:val="17"/>
        </w:rPr>
        <w:tab/>
      </w:r>
      <w:r>
        <w:rPr>
          <w:spacing w:val="3"/>
          <w:sz w:val="17"/>
        </w:rPr>
        <w:t>中国卫星通信集团公</w:t>
      </w:r>
      <w:r>
        <w:rPr>
          <w:sz w:val="17"/>
        </w:rPr>
        <w:t>司</w:t>
      </w:r>
    </w:p>
    <w:p>
      <w:pPr>
        <w:tabs>
          <w:tab w:val="left" w:pos="4200"/>
        </w:tabs>
        <w:spacing w:before="143"/>
        <w:ind w:left="229" w:right="0" w:firstLine="0"/>
        <w:jc w:val="left"/>
        <w:rPr>
          <w:sz w:val="17"/>
        </w:rPr>
      </w:pPr>
      <w:r>
        <w:rPr>
          <w:spacing w:val="3"/>
          <w:w w:val="105"/>
          <w:sz w:val="17"/>
        </w:rPr>
        <w:t>中国网络通信集团公</w:t>
      </w:r>
      <w:r>
        <w:rPr>
          <w:w w:val="105"/>
          <w:sz w:val="17"/>
        </w:rPr>
        <w:t>司</w:t>
      </w:r>
      <w:r>
        <w:rPr>
          <w:w w:val="105"/>
          <w:sz w:val="17"/>
        </w:rPr>
        <w:tab/>
      </w:r>
      <w:r>
        <w:rPr>
          <w:spacing w:val="3"/>
          <w:sz w:val="17"/>
        </w:rPr>
        <w:t>中国水利投资集团公</w:t>
      </w:r>
      <w:r>
        <w:rPr>
          <w:sz w:val="17"/>
        </w:rPr>
        <w:t>司</w:t>
      </w:r>
    </w:p>
    <w:p>
      <w:pPr>
        <w:tabs>
          <w:tab w:val="left" w:pos="4200"/>
        </w:tabs>
        <w:spacing w:before="143"/>
        <w:ind w:left="229" w:right="0" w:firstLine="0"/>
        <w:jc w:val="left"/>
        <w:rPr>
          <w:sz w:val="17"/>
        </w:rPr>
      </w:pPr>
      <w:r>
        <w:rPr>
          <w:spacing w:val="3"/>
          <w:w w:val="105"/>
          <w:sz w:val="17"/>
        </w:rPr>
        <w:t>中国联合通信有限公</w:t>
      </w:r>
      <w:r>
        <w:rPr>
          <w:w w:val="105"/>
          <w:sz w:val="17"/>
        </w:rPr>
        <w:t>司</w:t>
      </w:r>
      <w:r>
        <w:rPr>
          <w:w w:val="105"/>
          <w:sz w:val="17"/>
        </w:rPr>
        <w:tab/>
      </w:r>
      <w:r>
        <w:rPr>
          <w:spacing w:val="3"/>
          <w:w w:val="105"/>
          <w:sz w:val="17"/>
        </w:rPr>
        <w:t>中国农业发展集团总公</w:t>
      </w:r>
      <w:r>
        <w:rPr>
          <w:w w:val="105"/>
          <w:sz w:val="17"/>
        </w:rPr>
        <w:t>司</w:t>
      </w:r>
    </w:p>
    <w:p>
      <w:pPr>
        <w:tabs>
          <w:tab w:val="left" w:pos="4200"/>
        </w:tabs>
        <w:spacing w:before="143"/>
        <w:ind w:left="229" w:right="0" w:firstLine="0"/>
        <w:jc w:val="left"/>
        <w:rPr>
          <w:sz w:val="17"/>
        </w:rPr>
      </w:pPr>
      <w:r>
        <w:rPr>
          <w:spacing w:val="3"/>
          <w:w w:val="105"/>
          <w:sz w:val="17"/>
        </w:rPr>
        <w:t>中国移动通信集团公</w:t>
      </w:r>
      <w:r>
        <w:rPr>
          <w:w w:val="105"/>
          <w:sz w:val="17"/>
        </w:rPr>
        <w:t>司</w:t>
      </w:r>
      <w:r>
        <w:rPr>
          <w:w w:val="105"/>
          <w:sz w:val="17"/>
        </w:rPr>
        <w:tab/>
      </w:r>
      <w:r>
        <w:rPr>
          <w:spacing w:val="3"/>
          <w:w w:val="110"/>
          <w:sz w:val="17"/>
        </w:rPr>
        <w:t>中国成套设备进出</w:t>
      </w:r>
      <w:r>
        <w:rPr>
          <w:w w:val="110"/>
          <w:sz w:val="17"/>
        </w:rPr>
        <w:t>口</w:t>
      </w:r>
      <w:r>
        <w:rPr>
          <w:spacing w:val="-8"/>
          <w:w w:val="110"/>
          <w:sz w:val="17"/>
        </w:rPr>
        <w:t xml:space="preserve"> </w:t>
      </w:r>
      <w:r>
        <w:rPr>
          <w:rFonts w:hint="eastAsia" w:ascii="MS UI Gothic" w:eastAsia="MS UI Gothic"/>
          <w:w w:val="150"/>
          <w:sz w:val="17"/>
        </w:rPr>
        <w:t>(</w:t>
      </w:r>
      <w:r>
        <w:rPr>
          <w:rFonts w:hint="eastAsia" w:ascii="MS UI Gothic" w:eastAsia="MS UI Gothic"/>
          <w:spacing w:val="-61"/>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22"/>
          <w:w w:val="150"/>
          <w:sz w:val="17"/>
        </w:rPr>
        <w:t xml:space="preserve"> </w:t>
      </w:r>
      <w:r>
        <w:rPr>
          <w:spacing w:val="3"/>
          <w:w w:val="110"/>
          <w:sz w:val="17"/>
        </w:rPr>
        <w:t>总公</w:t>
      </w:r>
      <w:r>
        <w:rPr>
          <w:w w:val="110"/>
          <w:sz w:val="17"/>
        </w:rPr>
        <w:t>司</w:t>
      </w:r>
    </w:p>
    <w:p>
      <w:pPr>
        <w:tabs>
          <w:tab w:val="left" w:pos="4200"/>
        </w:tabs>
        <w:spacing w:before="144"/>
        <w:ind w:left="229" w:right="0" w:firstLine="0"/>
        <w:jc w:val="left"/>
        <w:rPr>
          <w:sz w:val="17"/>
        </w:rPr>
      </w:pPr>
      <w:r>
        <w:rPr>
          <w:spacing w:val="3"/>
          <w:w w:val="105"/>
          <w:sz w:val="17"/>
        </w:rPr>
        <w:t>中国电子信息产业集团公</w:t>
      </w:r>
      <w:r>
        <w:rPr>
          <w:w w:val="105"/>
          <w:sz w:val="17"/>
        </w:rPr>
        <w:t>司</w:t>
      </w:r>
      <w:r>
        <w:rPr>
          <w:w w:val="105"/>
          <w:sz w:val="17"/>
        </w:rPr>
        <w:tab/>
      </w:r>
      <w:r>
        <w:rPr>
          <w:spacing w:val="3"/>
          <w:w w:val="105"/>
          <w:sz w:val="17"/>
        </w:rPr>
        <w:t>中国生物技术集团公</w:t>
      </w:r>
      <w:r>
        <w:rPr>
          <w:w w:val="105"/>
          <w:sz w:val="17"/>
        </w:rPr>
        <w:t>司</w:t>
      </w:r>
    </w:p>
    <w:p>
      <w:pPr>
        <w:tabs>
          <w:tab w:val="left" w:pos="4200"/>
        </w:tabs>
        <w:spacing w:before="143"/>
        <w:ind w:left="229" w:right="0" w:firstLine="0"/>
        <w:jc w:val="left"/>
        <w:rPr>
          <w:sz w:val="17"/>
        </w:rPr>
      </w:pPr>
      <w:r>
        <w:rPr>
          <w:spacing w:val="3"/>
          <w:w w:val="105"/>
          <w:sz w:val="17"/>
        </w:rPr>
        <w:t>中国第一汽车集团公</w:t>
      </w:r>
      <w:r>
        <w:rPr>
          <w:w w:val="105"/>
          <w:sz w:val="17"/>
        </w:rPr>
        <w:t>司</w:t>
      </w:r>
      <w:r>
        <w:rPr>
          <w:w w:val="105"/>
          <w:sz w:val="17"/>
        </w:rPr>
        <w:tab/>
      </w:r>
      <w:r>
        <w:rPr>
          <w:spacing w:val="3"/>
          <w:w w:val="105"/>
          <w:sz w:val="17"/>
        </w:rPr>
        <w:t>中国医药集团总公</w:t>
      </w:r>
      <w:r>
        <w:rPr>
          <w:w w:val="105"/>
          <w:sz w:val="17"/>
        </w:rPr>
        <w:t>司</w:t>
      </w:r>
    </w:p>
    <w:p>
      <w:pPr>
        <w:tabs>
          <w:tab w:val="left" w:pos="4200"/>
        </w:tabs>
        <w:spacing w:before="143"/>
        <w:ind w:left="229" w:right="0" w:firstLine="0"/>
        <w:jc w:val="left"/>
        <w:rPr>
          <w:sz w:val="17"/>
        </w:rPr>
      </w:pPr>
      <w:r>
        <w:rPr>
          <w:spacing w:val="3"/>
          <w:w w:val="105"/>
          <w:sz w:val="17"/>
        </w:rPr>
        <w:t>东风汽车公</w:t>
      </w:r>
      <w:r>
        <w:rPr>
          <w:w w:val="105"/>
          <w:sz w:val="17"/>
        </w:rPr>
        <w:t>司</w:t>
      </w:r>
      <w:r>
        <w:rPr>
          <w:w w:val="105"/>
          <w:sz w:val="17"/>
        </w:rPr>
        <w:tab/>
      </w:r>
      <w:r>
        <w:rPr>
          <w:spacing w:val="3"/>
          <w:w w:val="105"/>
          <w:sz w:val="17"/>
        </w:rPr>
        <w:t>中国国旅集团公</w:t>
      </w:r>
      <w:r>
        <w:rPr>
          <w:w w:val="105"/>
          <w:sz w:val="17"/>
        </w:rPr>
        <w:t>司</w:t>
      </w:r>
    </w:p>
    <w:p>
      <w:pPr>
        <w:tabs>
          <w:tab w:val="left" w:pos="4200"/>
        </w:tabs>
        <w:spacing w:before="143"/>
        <w:ind w:left="229" w:right="0" w:firstLine="0"/>
        <w:jc w:val="left"/>
        <w:rPr>
          <w:sz w:val="17"/>
        </w:rPr>
      </w:pPr>
      <w:r>
        <w:rPr>
          <w:spacing w:val="3"/>
          <w:w w:val="105"/>
          <w:sz w:val="17"/>
        </w:rPr>
        <w:t>中国第一重型机械集团公</w:t>
      </w:r>
      <w:r>
        <w:rPr>
          <w:w w:val="105"/>
          <w:sz w:val="17"/>
        </w:rPr>
        <w:t>司</w:t>
      </w:r>
      <w:r>
        <w:rPr>
          <w:w w:val="105"/>
          <w:sz w:val="17"/>
        </w:rPr>
        <w:tab/>
      </w:r>
      <w:r>
        <w:rPr>
          <w:spacing w:val="3"/>
          <w:w w:val="110"/>
          <w:sz w:val="17"/>
        </w:rPr>
        <w:t>中国新</w:t>
      </w:r>
      <w:r>
        <w:rPr>
          <w:w w:val="110"/>
          <w:sz w:val="17"/>
        </w:rPr>
        <w:t>兴</w:t>
      </w:r>
      <w:r>
        <w:rPr>
          <w:spacing w:val="-4"/>
          <w:w w:val="110"/>
          <w:sz w:val="17"/>
        </w:rPr>
        <w:t xml:space="preserve"> </w:t>
      </w:r>
      <w:r>
        <w:rPr>
          <w:rFonts w:hint="eastAsia" w:ascii="MS UI Gothic" w:eastAsia="MS UI Gothic"/>
          <w:w w:val="150"/>
          <w:sz w:val="17"/>
        </w:rPr>
        <w:t>(</w:t>
      </w:r>
      <w:r>
        <w:rPr>
          <w:rFonts w:hint="eastAsia" w:ascii="MS UI Gothic" w:eastAsia="MS UI Gothic"/>
          <w:spacing w:val="-60"/>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27"/>
          <w:w w:val="150"/>
          <w:sz w:val="17"/>
        </w:rPr>
        <w:t xml:space="preserve"> </w:t>
      </w:r>
      <w:r>
        <w:rPr>
          <w:spacing w:val="3"/>
          <w:w w:val="110"/>
          <w:sz w:val="17"/>
        </w:rPr>
        <w:t>总公</w:t>
      </w:r>
      <w:r>
        <w:rPr>
          <w:w w:val="110"/>
          <w:sz w:val="17"/>
        </w:rPr>
        <w:t>司</w:t>
      </w:r>
    </w:p>
    <w:p>
      <w:pPr>
        <w:tabs>
          <w:tab w:val="left" w:pos="4200"/>
        </w:tabs>
        <w:spacing w:before="143"/>
        <w:ind w:left="229" w:right="0" w:firstLine="0"/>
        <w:jc w:val="left"/>
        <w:rPr>
          <w:sz w:val="17"/>
        </w:rPr>
      </w:pPr>
      <w:r>
        <w:rPr>
          <w:spacing w:val="3"/>
          <w:w w:val="105"/>
          <w:sz w:val="17"/>
        </w:rPr>
        <w:t>中国第二重型机械集团公</w:t>
      </w:r>
      <w:r>
        <w:rPr>
          <w:w w:val="105"/>
          <w:sz w:val="17"/>
        </w:rPr>
        <w:t>司</w:t>
      </w:r>
      <w:r>
        <w:rPr>
          <w:w w:val="105"/>
          <w:sz w:val="17"/>
        </w:rPr>
        <w:tab/>
      </w:r>
      <w:r>
        <w:rPr>
          <w:spacing w:val="3"/>
          <w:w w:val="110"/>
          <w:sz w:val="17"/>
        </w:rPr>
        <w:t>中国新时代控</w:t>
      </w:r>
      <w:r>
        <w:rPr>
          <w:w w:val="110"/>
          <w:sz w:val="17"/>
        </w:rPr>
        <w:t>股</w:t>
      </w:r>
      <w:r>
        <w:rPr>
          <w:spacing w:val="-5"/>
          <w:w w:val="110"/>
          <w:sz w:val="17"/>
        </w:rPr>
        <w:t xml:space="preserve"> </w:t>
      </w:r>
      <w:r>
        <w:rPr>
          <w:rFonts w:hint="eastAsia" w:ascii="MS UI Gothic" w:eastAsia="MS UI Gothic"/>
          <w:w w:val="150"/>
          <w:sz w:val="17"/>
        </w:rPr>
        <w:t>(</w:t>
      </w:r>
      <w:r>
        <w:rPr>
          <w:rFonts w:hint="eastAsia" w:ascii="MS UI Gothic" w:eastAsia="MS UI Gothic"/>
          <w:spacing w:val="-61"/>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26"/>
          <w:w w:val="150"/>
          <w:sz w:val="17"/>
        </w:rPr>
        <w:t xml:space="preserve"> </w:t>
      </w:r>
      <w:r>
        <w:rPr>
          <w:spacing w:val="3"/>
          <w:w w:val="110"/>
          <w:sz w:val="17"/>
        </w:rPr>
        <w:t>公</w:t>
      </w:r>
      <w:r>
        <w:rPr>
          <w:w w:val="110"/>
          <w:sz w:val="17"/>
        </w:rPr>
        <w:t>司</w:t>
      </w:r>
    </w:p>
    <w:p>
      <w:pPr>
        <w:tabs>
          <w:tab w:val="left" w:pos="4200"/>
        </w:tabs>
        <w:spacing w:before="143"/>
        <w:ind w:left="229" w:right="0" w:firstLine="0"/>
        <w:jc w:val="left"/>
        <w:rPr>
          <w:sz w:val="17"/>
        </w:rPr>
      </w:pPr>
      <w:r>
        <w:rPr>
          <w:spacing w:val="3"/>
          <w:w w:val="105"/>
          <w:sz w:val="17"/>
        </w:rPr>
        <w:t>哈尔滨电站设备集团公</w:t>
      </w:r>
      <w:r>
        <w:rPr>
          <w:w w:val="105"/>
          <w:sz w:val="17"/>
        </w:rPr>
        <w:t>司</w:t>
      </w:r>
      <w:r>
        <w:rPr>
          <w:w w:val="105"/>
          <w:sz w:val="17"/>
        </w:rPr>
        <w:tab/>
      </w:r>
      <w:r>
        <w:rPr>
          <w:spacing w:val="3"/>
          <w:sz w:val="17"/>
        </w:rPr>
        <w:t>中国冶金地质总</w:t>
      </w:r>
      <w:r>
        <w:rPr>
          <w:sz w:val="17"/>
        </w:rPr>
        <w:t>局</w:t>
      </w:r>
    </w:p>
    <w:p>
      <w:pPr>
        <w:tabs>
          <w:tab w:val="left" w:pos="4200"/>
        </w:tabs>
        <w:spacing w:before="144"/>
        <w:ind w:left="229" w:right="0" w:firstLine="0"/>
        <w:jc w:val="left"/>
        <w:rPr>
          <w:sz w:val="17"/>
        </w:rPr>
      </w:pPr>
      <w:r>
        <w:rPr>
          <w:spacing w:val="3"/>
          <w:w w:val="105"/>
          <w:sz w:val="17"/>
        </w:rPr>
        <w:t>中国东方电气集团公</w:t>
      </w:r>
      <w:r>
        <w:rPr>
          <w:w w:val="105"/>
          <w:sz w:val="17"/>
        </w:rPr>
        <w:t>司</w:t>
      </w:r>
      <w:r>
        <w:rPr>
          <w:w w:val="105"/>
          <w:sz w:val="17"/>
        </w:rPr>
        <w:tab/>
      </w:r>
      <w:r>
        <w:rPr>
          <w:spacing w:val="3"/>
          <w:sz w:val="17"/>
        </w:rPr>
        <w:t>中国煤炭地质总</w:t>
      </w:r>
      <w:r>
        <w:rPr>
          <w:sz w:val="17"/>
        </w:rPr>
        <w:t>局</w:t>
      </w:r>
    </w:p>
    <w:p>
      <w:pPr>
        <w:tabs>
          <w:tab w:val="left" w:pos="4200"/>
        </w:tabs>
        <w:spacing w:before="143"/>
        <w:ind w:left="229" w:right="0" w:firstLine="0"/>
        <w:jc w:val="left"/>
        <w:rPr>
          <w:sz w:val="17"/>
        </w:rPr>
      </w:pPr>
      <w:r>
        <w:rPr>
          <w:spacing w:val="3"/>
          <w:w w:val="105"/>
          <w:sz w:val="17"/>
        </w:rPr>
        <w:t>鞍山钢铁集团公</w:t>
      </w:r>
      <w:r>
        <w:rPr>
          <w:w w:val="105"/>
          <w:sz w:val="17"/>
        </w:rPr>
        <w:t>司</w:t>
      </w:r>
      <w:r>
        <w:rPr>
          <w:w w:val="105"/>
          <w:sz w:val="17"/>
        </w:rPr>
        <w:tab/>
      </w:r>
      <w:r>
        <w:rPr>
          <w:spacing w:val="3"/>
          <w:sz w:val="17"/>
        </w:rPr>
        <w:t>新兴铸管集团有限公</w:t>
      </w:r>
      <w:r>
        <w:rPr>
          <w:sz w:val="17"/>
        </w:rPr>
        <w:t>司</w:t>
      </w:r>
    </w:p>
    <w:p>
      <w:pPr>
        <w:tabs>
          <w:tab w:val="left" w:pos="4200"/>
        </w:tabs>
        <w:spacing w:before="143"/>
        <w:ind w:left="229" w:right="0" w:firstLine="0"/>
        <w:jc w:val="left"/>
        <w:rPr>
          <w:sz w:val="17"/>
        </w:rPr>
      </w:pPr>
      <w:r>
        <w:rPr>
          <w:spacing w:val="3"/>
          <w:w w:val="105"/>
          <w:sz w:val="17"/>
        </w:rPr>
        <w:t>宝钢集团有限公</w:t>
      </w:r>
      <w:r>
        <w:rPr>
          <w:w w:val="105"/>
          <w:sz w:val="17"/>
        </w:rPr>
        <w:t>司</w:t>
      </w:r>
      <w:r>
        <w:rPr>
          <w:w w:val="105"/>
          <w:sz w:val="17"/>
        </w:rPr>
        <w:tab/>
      </w:r>
      <w:r>
        <w:rPr>
          <w:spacing w:val="3"/>
          <w:sz w:val="17"/>
        </w:rPr>
        <w:t>中国航空油料集团公</w:t>
      </w:r>
      <w:r>
        <w:rPr>
          <w:sz w:val="17"/>
        </w:rPr>
        <w:t>司</w:t>
      </w:r>
    </w:p>
    <w:p>
      <w:pPr>
        <w:tabs>
          <w:tab w:val="left" w:pos="4200"/>
        </w:tabs>
        <w:spacing w:before="143"/>
        <w:ind w:left="229" w:right="0" w:firstLine="0"/>
        <w:jc w:val="left"/>
        <w:rPr>
          <w:sz w:val="17"/>
        </w:rPr>
      </w:pPr>
      <w:r>
        <w:rPr>
          <w:spacing w:val="3"/>
          <w:w w:val="110"/>
          <w:sz w:val="17"/>
        </w:rPr>
        <w:t>武汉钢</w:t>
      </w:r>
      <w:r>
        <w:rPr>
          <w:w w:val="110"/>
          <w:sz w:val="17"/>
        </w:rPr>
        <w:t>铁</w:t>
      </w:r>
      <w:r>
        <w:rPr>
          <w:spacing w:val="-19"/>
          <w:w w:val="110"/>
          <w:sz w:val="17"/>
        </w:rPr>
        <w:t xml:space="preserve"> </w:t>
      </w:r>
      <w:r>
        <w:rPr>
          <w:rFonts w:hint="eastAsia" w:ascii="MS UI Gothic" w:eastAsia="MS UI Gothic"/>
          <w:w w:val="150"/>
          <w:sz w:val="17"/>
        </w:rPr>
        <w:t>(</w:t>
      </w:r>
      <w:r>
        <w:rPr>
          <w:rFonts w:hint="eastAsia" w:ascii="MS UI Gothic" w:eastAsia="MS UI Gothic"/>
          <w:spacing w:val="-63"/>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10"/>
          <w:w w:val="150"/>
          <w:sz w:val="17"/>
        </w:rPr>
        <w:t xml:space="preserve"> </w:t>
      </w:r>
      <w:r>
        <w:rPr>
          <w:spacing w:val="3"/>
          <w:w w:val="110"/>
          <w:sz w:val="17"/>
        </w:rPr>
        <w:t>公</w:t>
      </w:r>
      <w:r>
        <w:rPr>
          <w:w w:val="110"/>
          <w:sz w:val="17"/>
        </w:rPr>
        <w:t>司</w:t>
      </w:r>
      <w:r>
        <w:rPr>
          <w:w w:val="110"/>
          <w:sz w:val="17"/>
        </w:rPr>
        <w:tab/>
      </w:r>
      <w:r>
        <w:rPr>
          <w:spacing w:val="3"/>
          <w:sz w:val="17"/>
        </w:rPr>
        <w:t>中国储备棉管理总公</w:t>
      </w:r>
      <w:r>
        <w:rPr>
          <w:sz w:val="17"/>
        </w:rPr>
        <w:t>司</w:t>
      </w:r>
    </w:p>
    <w:p>
      <w:pPr>
        <w:tabs>
          <w:tab w:val="left" w:pos="4200"/>
        </w:tabs>
        <w:spacing w:before="143"/>
        <w:ind w:left="229" w:right="0" w:firstLine="0"/>
        <w:jc w:val="left"/>
        <w:rPr>
          <w:sz w:val="17"/>
        </w:rPr>
      </w:pPr>
      <w:r>
        <w:rPr>
          <w:spacing w:val="3"/>
          <w:w w:val="105"/>
          <w:sz w:val="17"/>
        </w:rPr>
        <w:t>中国铝业公</w:t>
      </w:r>
      <w:r>
        <w:rPr>
          <w:w w:val="105"/>
          <w:sz w:val="17"/>
        </w:rPr>
        <w:t>司</w:t>
      </w:r>
      <w:r>
        <w:rPr>
          <w:w w:val="105"/>
          <w:sz w:val="17"/>
        </w:rPr>
        <w:tab/>
      </w:r>
      <w:r>
        <w:rPr>
          <w:spacing w:val="3"/>
          <w:w w:val="105"/>
          <w:sz w:val="17"/>
        </w:rPr>
        <w:t>中国印刷集团公</w:t>
      </w:r>
      <w:r>
        <w:rPr>
          <w:w w:val="105"/>
          <w:sz w:val="17"/>
        </w:rPr>
        <w:t>司</w:t>
      </w:r>
    </w:p>
    <w:p>
      <w:pPr>
        <w:tabs>
          <w:tab w:val="left" w:pos="4200"/>
        </w:tabs>
        <w:spacing w:before="143"/>
        <w:ind w:left="229" w:right="0" w:firstLine="0"/>
        <w:jc w:val="left"/>
        <w:rPr>
          <w:sz w:val="17"/>
        </w:rPr>
      </w:pPr>
      <w:r>
        <w:rPr>
          <w:spacing w:val="3"/>
          <w:w w:val="105"/>
          <w:sz w:val="17"/>
        </w:rPr>
        <w:t>中粮集团有限公</w:t>
      </w:r>
      <w:r>
        <w:rPr>
          <w:w w:val="105"/>
          <w:sz w:val="17"/>
        </w:rPr>
        <w:t>司</w:t>
      </w:r>
      <w:r>
        <w:rPr>
          <w:w w:val="105"/>
          <w:sz w:val="17"/>
        </w:rPr>
        <w:tab/>
      </w:r>
      <w:r>
        <w:rPr>
          <w:spacing w:val="3"/>
          <w:w w:val="110"/>
          <w:sz w:val="17"/>
        </w:rPr>
        <w:t>攀枝花钢</w:t>
      </w:r>
      <w:r>
        <w:rPr>
          <w:w w:val="110"/>
          <w:sz w:val="17"/>
        </w:rPr>
        <w:t>铁</w:t>
      </w:r>
      <w:r>
        <w:rPr>
          <w:spacing w:val="-4"/>
          <w:w w:val="110"/>
          <w:sz w:val="17"/>
        </w:rPr>
        <w:t xml:space="preserve"> </w:t>
      </w:r>
      <w:r>
        <w:rPr>
          <w:rFonts w:hint="eastAsia" w:ascii="MS UI Gothic" w:eastAsia="MS UI Gothic"/>
          <w:w w:val="150"/>
          <w:sz w:val="17"/>
        </w:rPr>
        <w:t>(</w:t>
      </w:r>
      <w:r>
        <w:rPr>
          <w:rFonts w:hint="eastAsia" w:ascii="MS UI Gothic" w:eastAsia="MS UI Gothic"/>
          <w:spacing w:val="-60"/>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27"/>
          <w:w w:val="150"/>
          <w:sz w:val="17"/>
        </w:rPr>
        <w:t xml:space="preserve"> </w:t>
      </w:r>
      <w:r>
        <w:rPr>
          <w:spacing w:val="3"/>
          <w:w w:val="110"/>
          <w:sz w:val="17"/>
        </w:rPr>
        <w:t>公</w:t>
      </w:r>
      <w:r>
        <w:rPr>
          <w:w w:val="110"/>
          <w:sz w:val="17"/>
        </w:rPr>
        <w:t>司</w:t>
      </w:r>
    </w:p>
    <w:p>
      <w:pPr>
        <w:tabs>
          <w:tab w:val="left" w:pos="4200"/>
        </w:tabs>
        <w:spacing w:before="144"/>
        <w:ind w:left="229" w:right="0" w:firstLine="0"/>
        <w:jc w:val="left"/>
        <w:rPr>
          <w:sz w:val="17"/>
        </w:rPr>
      </w:pPr>
      <w:r>
        <w:rPr>
          <w:spacing w:val="3"/>
          <w:w w:val="105"/>
          <w:sz w:val="17"/>
        </w:rPr>
        <w:t>中国储备粮管理总公</w:t>
      </w:r>
      <w:r>
        <w:rPr>
          <w:w w:val="105"/>
          <w:sz w:val="17"/>
        </w:rPr>
        <w:t>司</w:t>
      </w:r>
      <w:r>
        <w:rPr>
          <w:w w:val="105"/>
          <w:sz w:val="17"/>
        </w:rPr>
        <w:tab/>
      </w:r>
      <w:r>
        <w:rPr>
          <w:spacing w:val="3"/>
          <w:w w:val="105"/>
          <w:sz w:val="17"/>
        </w:rPr>
        <w:t>长沙矿冶研究</w:t>
      </w:r>
      <w:r>
        <w:rPr>
          <w:w w:val="105"/>
          <w:sz w:val="17"/>
        </w:rPr>
        <w:t>院</w:t>
      </w:r>
    </w:p>
    <w:p>
      <w:pPr>
        <w:tabs>
          <w:tab w:val="left" w:pos="4200"/>
        </w:tabs>
        <w:spacing w:before="143"/>
        <w:ind w:left="229" w:right="0" w:firstLine="0"/>
        <w:jc w:val="left"/>
        <w:rPr>
          <w:sz w:val="17"/>
        </w:rPr>
      </w:pPr>
      <w:r>
        <w:rPr>
          <w:spacing w:val="3"/>
          <w:w w:val="105"/>
          <w:sz w:val="17"/>
        </w:rPr>
        <w:t>招商局集团有限公</w:t>
      </w:r>
      <w:r>
        <w:rPr>
          <w:w w:val="105"/>
          <w:sz w:val="17"/>
        </w:rPr>
        <w:t>司</w:t>
      </w:r>
      <w:r>
        <w:rPr>
          <w:w w:val="105"/>
          <w:sz w:val="17"/>
        </w:rPr>
        <w:tab/>
      </w:r>
      <w:r>
        <w:rPr>
          <w:spacing w:val="3"/>
          <w:w w:val="105"/>
          <w:sz w:val="17"/>
        </w:rPr>
        <w:t>中国乐凯胶片集团公</w:t>
      </w:r>
      <w:r>
        <w:rPr>
          <w:w w:val="105"/>
          <w:sz w:val="17"/>
        </w:rPr>
        <w:t>司</w:t>
      </w:r>
    </w:p>
    <w:p>
      <w:pPr>
        <w:tabs>
          <w:tab w:val="left" w:pos="4200"/>
        </w:tabs>
        <w:spacing w:before="143"/>
        <w:ind w:left="229" w:right="0" w:firstLine="0"/>
        <w:jc w:val="left"/>
        <w:rPr>
          <w:sz w:val="17"/>
        </w:rPr>
      </w:pPr>
      <w:r>
        <w:rPr>
          <w:spacing w:val="3"/>
          <w:w w:val="110"/>
          <w:sz w:val="17"/>
        </w:rPr>
        <w:t>华</w:t>
      </w:r>
      <w:r>
        <w:rPr>
          <w:w w:val="110"/>
          <w:sz w:val="17"/>
        </w:rPr>
        <w:t>润</w:t>
      </w:r>
      <w:r>
        <w:rPr>
          <w:spacing w:val="-19"/>
          <w:w w:val="110"/>
          <w:sz w:val="17"/>
        </w:rPr>
        <w:t xml:space="preserve"> </w:t>
      </w:r>
      <w:r>
        <w:rPr>
          <w:rFonts w:hint="eastAsia" w:ascii="MS UI Gothic" w:eastAsia="MS UI Gothic"/>
          <w:w w:val="150"/>
          <w:sz w:val="17"/>
        </w:rPr>
        <w:t>(</w:t>
      </w:r>
      <w:r>
        <w:rPr>
          <w:rFonts w:hint="eastAsia" w:ascii="MS UI Gothic" w:eastAsia="MS UI Gothic"/>
          <w:spacing w:val="-63"/>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10"/>
          <w:w w:val="150"/>
          <w:sz w:val="17"/>
        </w:rPr>
        <w:t xml:space="preserve"> </w:t>
      </w:r>
      <w:r>
        <w:rPr>
          <w:spacing w:val="3"/>
          <w:w w:val="110"/>
          <w:sz w:val="17"/>
        </w:rPr>
        <w:t>有限公</w:t>
      </w:r>
      <w:r>
        <w:rPr>
          <w:w w:val="110"/>
          <w:sz w:val="17"/>
        </w:rPr>
        <w:t>司</w:t>
      </w:r>
      <w:r>
        <w:rPr>
          <w:w w:val="110"/>
          <w:sz w:val="17"/>
        </w:rPr>
        <w:tab/>
      </w:r>
      <w:r>
        <w:rPr>
          <w:spacing w:val="3"/>
          <w:w w:val="110"/>
          <w:sz w:val="17"/>
        </w:rPr>
        <w:t>中国广东核电集团有限公</w:t>
      </w:r>
      <w:r>
        <w:rPr>
          <w:w w:val="110"/>
          <w:sz w:val="17"/>
        </w:rPr>
        <w:t>司</w:t>
      </w:r>
    </w:p>
    <w:p>
      <w:pPr>
        <w:tabs>
          <w:tab w:val="left" w:pos="4200"/>
        </w:tabs>
        <w:spacing w:before="143"/>
        <w:ind w:left="229" w:right="0" w:firstLine="0"/>
        <w:jc w:val="left"/>
        <w:rPr>
          <w:sz w:val="17"/>
        </w:rPr>
      </w:pPr>
      <w:r>
        <w:rPr>
          <w:spacing w:val="3"/>
          <w:w w:val="105"/>
          <w:sz w:val="17"/>
        </w:rPr>
        <w:t>中国港中旅集团公</w:t>
      </w:r>
      <w:r>
        <w:rPr>
          <w:w w:val="105"/>
          <w:sz w:val="17"/>
        </w:rPr>
        <w:t>司</w:t>
      </w:r>
      <w:r>
        <w:rPr>
          <w:w w:val="105"/>
          <w:sz w:val="17"/>
        </w:rPr>
        <w:tab/>
      </w:r>
      <w:r>
        <w:rPr>
          <w:spacing w:val="3"/>
          <w:w w:val="105"/>
          <w:sz w:val="17"/>
        </w:rPr>
        <w:t>中国华录集团有限公</w:t>
      </w:r>
      <w:r>
        <w:rPr>
          <w:w w:val="105"/>
          <w:sz w:val="17"/>
        </w:rPr>
        <w:t>司</w:t>
      </w:r>
    </w:p>
    <w:p>
      <w:pPr>
        <w:tabs>
          <w:tab w:val="left" w:pos="4200"/>
        </w:tabs>
        <w:spacing w:before="143"/>
        <w:ind w:left="229" w:right="0" w:firstLine="0"/>
        <w:jc w:val="left"/>
        <w:rPr>
          <w:sz w:val="17"/>
        </w:rPr>
      </w:pPr>
      <w:r>
        <w:rPr>
          <w:spacing w:val="3"/>
          <w:w w:val="105"/>
          <w:sz w:val="17"/>
        </w:rPr>
        <w:t>国家核电技术有限公</w:t>
      </w:r>
      <w:r>
        <w:rPr>
          <w:w w:val="105"/>
          <w:sz w:val="17"/>
        </w:rPr>
        <w:t>司</w:t>
      </w:r>
      <w:r>
        <w:rPr>
          <w:w w:val="105"/>
          <w:sz w:val="17"/>
        </w:rPr>
        <w:tab/>
      </w:r>
      <w:r>
        <w:rPr>
          <w:spacing w:val="3"/>
          <w:w w:val="105"/>
          <w:sz w:val="17"/>
        </w:rPr>
        <w:t>上海贝尔阿尔卡特股份有限公</w:t>
      </w:r>
      <w:r>
        <w:rPr>
          <w:w w:val="105"/>
          <w:sz w:val="17"/>
        </w:rPr>
        <w:t>司</w:t>
      </w:r>
    </w:p>
    <w:p>
      <w:pPr>
        <w:tabs>
          <w:tab w:val="left" w:pos="4200"/>
        </w:tabs>
        <w:spacing w:before="143"/>
        <w:ind w:left="229" w:right="0" w:firstLine="0"/>
        <w:jc w:val="left"/>
        <w:rPr>
          <w:sz w:val="17"/>
        </w:rPr>
      </w:pPr>
      <w:r>
        <w:rPr>
          <w:spacing w:val="3"/>
          <w:w w:val="105"/>
          <w:sz w:val="17"/>
        </w:rPr>
        <w:t>中国商用飞机有限责任公</w:t>
      </w:r>
      <w:r>
        <w:rPr>
          <w:w w:val="105"/>
          <w:sz w:val="17"/>
        </w:rPr>
        <w:t>司</w:t>
      </w:r>
      <w:r>
        <w:rPr>
          <w:w w:val="105"/>
          <w:sz w:val="17"/>
        </w:rPr>
        <w:tab/>
      </w:r>
      <w:r>
        <w:rPr>
          <w:spacing w:val="3"/>
          <w:w w:val="105"/>
          <w:sz w:val="17"/>
        </w:rPr>
        <w:t>彩虹集团公</w:t>
      </w:r>
      <w:r>
        <w:rPr>
          <w:w w:val="105"/>
          <w:sz w:val="17"/>
        </w:rPr>
        <w:t>司</w:t>
      </w:r>
    </w:p>
    <w:p>
      <w:pPr>
        <w:tabs>
          <w:tab w:val="left" w:pos="4200"/>
        </w:tabs>
        <w:spacing w:before="143"/>
        <w:ind w:left="229" w:right="0" w:firstLine="0"/>
        <w:jc w:val="left"/>
        <w:rPr>
          <w:sz w:val="17"/>
        </w:rPr>
      </w:pPr>
      <w:r>
        <w:rPr>
          <w:spacing w:val="3"/>
          <w:w w:val="105"/>
          <w:sz w:val="17"/>
        </w:rPr>
        <w:t>中国节能投资公</w:t>
      </w:r>
      <w:r>
        <w:rPr>
          <w:w w:val="105"/>
          <w:sz w:val="17"/>
        </w:rPr>
        <w:t>司</w:t>
      </w:r>
      <w:r>
        <w:rPr>
          <w:w w:val="105"/>
          <w:sz w:val="17"/>
        </w:rPr>
        <w:tab/>
      </w:r>
      <w:r>
        <w:rPr>
          <w:spacing w:val="3"/>
          <w:w w:val="105"/>
          <w:sz w:val="17"/>
        </w:rPr>
        <w:t>武汉邮电科学研究</w:t>
      </w:r>
      <w:r>
        <w:rPr>
          <w:w w:val="105"/>
          <w:sz w:val="17"/>
        </w:rPr>
        <w:t>院</w:t>
      </w:r>
    </w:p>
    <w:p>
      <w:pPr>
        <w:tabs>
          <w:tab w:val="left" w:pos="4200"/>
        </w:tabs>
        <w:spacing w:before="144"/>
        <w:ind w:left="229" w:right="0" w:firstLine="0"/>
        <w:jc w:val="left"/>
        <w:rPr>
          <w:sz w:val="17"/>
        </w:rPr>
      </w:pPr>
      <w:r>
        <w:rPr>
          <w:spacing w:val="3"/>
          <w:w w:val="105"/>
          <w:sz w:val="17"/>
        </w:rPr>
        <w:t>中国诚通控股集团有限公</w:t>
      </w:r>
      <w:r>
        <w:rPr>
          <w:w w:val="105"/>
          <w:sz w:val="17"/>
        </w:rPr>
        <w:t>司</w:t>
      </w:r>
      <w:r>
        <w:rPr>
          <w:w w:val="105"/>
          <w:sz w:val="17"/>
        </w:rPr>
        <w:tab/>
      </w:r>
      <w:r>
        <w:rPr>
          <w:spacing w:val="3"/>
          <w:w w:val="105"/>
          <w:sz w:val="17"/>
        </w:rPr>
        <w:t>华侨城集团公</w:t>
      </w:r>
      <w:r>
        <w:rPr>
          <w:w w:val="105"/>
          <w:sz w:val="17"/>
        </w:rPr>
        <w:t>司</w:t>
      </w:r>
    </w:p>
    <w:p>
      <w:pPr>
        <w:tabs>
          <w:tab w:val="left" w:pos="4200"/>
        </w:tabs>
        <w:spacing w:before="143"/>
        <w:ind w:left="229" w:right="0" w:firstLine="0"/>
        <w:jc w:val="left"/>
        <w:rPr>
          <w:sz w:val="17"/>
        </w:rPr>
      </w:pPr>
      <w:r>
        <w:rPr>
          <w:spacing w:val="3"/>
          <w:w w:val="105"/>
          <w:sz w:val="17"/>
        </w:rPr>
        <w:t>煤炭科学研究总</w:t>
      </w:r>
      <w:r>
        <w:rPr>
          <w:w w:val="105"/>
          <w:sz w:val="17"/>
        </w:rPr>
        <w:t>院</w:t>
      </w:r>
      <w:r>
        <w:rPr>
          <w:w w:val="105"/>
          <w:sz w:val="17"/>
        </w:rPr>
        <w:tab/>
      </w:r>
      <w:r>
        <w:rPr>
          <w:spacing w:val="3"/>
          <w:w w:val="105"/>
          <w:sz w:val="17"/>
        </w:rPr>
        <w:t>西安电力机械制造公</w:t>
      </w:r>
      <w:r>
        <w:rPr>
          <w:w w:val="105"/>
          <w:sz w:val="17"/>
        </w:rPr>
        <w:t>司</w:t>
      </w:r>
    </w:p>
    <w:p>
      <w:pPr>
        <w:tabs>
          <w:tab w:val="left" w:pos="4200"/>
        </w:tabs>
        <w:spacing w:before="143" w:line="398" w:lineRule="auto"/>
        <w:ind w:left="3303" w:right="2707" w:hanging="3075"/>
        <w:jc w:val="left"/>
        <w:rPr>
          <w:rFonts w:hint="eastAsia" w:ascii="MS UI Gothic" w:eastAsia="MS UI Gothic"/>
          <w:sz w:val="17"/>
        </w:rPr>
      </w:pPr>
      <w:r>
        <w:rPr>
          <w:spacing w:val="3"/>
          <w:w w:val="105"/>
          <w:sz w:val="17"/>
        </w:rPr>
        <w:t>中国机械工业集团公</w:t>
      </w:r>
      <w:r>
        <w:rPr>
          <w:w w:val="105"/>
          <w:sz w:val="17"/>
        </w:rPr>
        <w:t>司</w:t>
      </w:r>
      <w:r>
        <w:rPr>
          <w:w w:val="105"/>
          <w:sz w:val="17"/>
        </w:rPr>
        <w:tab/>
      </w:r>
      <w:r>
        <w:rPr>
          <w:w w:val="105"/>
          <w:sz w:val="17"/>
        </w:rPr>
        <w:tab/>
      </w:r>
      <w:r>
        <w:rPr>
          <w:spacing w:val="3"/>
          <w:w w:val="105"/>
          <w:sz w:val="17"/>
        </w:rPr>
        <w:t>中国铁路物资总公</w:t>
      </w:r>
      <w:r>
        <w:rPr>
          <w:spacing w:val="-11"/>
          <w:w w:val="105"/>
          <w:sz w:val="17"/>
        </w:rPr>
        <w:t>司</w:t>
      </w:r>
      <w:r>
        <w:rPr>
          <w:spacing w:val="3"/>
          <w:w w:val="103"/>
          <w:sz w:val="17"/>
        </w:rPr>
        <w:t>第三类企</w:t>
      </w:r>
      <w:r>
        <w:rPr>
          <w:w w:val="103"/>
          <w:sz w:val="17"/>
        </w:rPr>
        <w:t>业</w:t>
      </w:r>
      <w:r>
        <w:rPr>
          <w:spacing w:val="8"/>
          <w:sz w:val="17"/>
        </w:rPr>
        <w:t xml:space="preserve"> </w:t>
      </w:r>
      <w:r>
        <w:rPr>
          <w:rFonts w:hint="eastAsia" w:ascii="MS UI Gothic" w:eastAsia="MS UI Gothic"/>
          <w:spacing w:val="14"/>
          <w:w w:val="170"/>
          <w:sz w:val="17"/>
        </w:rPr>
        <w:t>(</w:t>
      </w:r>
      <w:r>
        <w:rPr>
          <w:rFonts w:hint="eastAsia" w:ascii="MS UI Gothic" w:eastAsia="MS UI Gothic"/>
          <w:spacing w:val="-1"/>
          <w:w w:val="75"/>
          <w:sz w:val="17"/>
        </w:rPr>
        <w:t>３</w:t>
      </w:r>
      <w:r>
        <w:rPr>
          <w:rFonts w:hint="eastAsia" w:ascii="MS UI Gothic" w:eastAsia="MS UI Gothic"/>
          <w:w w:val="75"/>
          <w:sz w:val="17"/>
        </w:rPr>
        <w:t>６</w:t>
      </w:r>
      <w:r>
        <w:rPr>
          <w:rFonts w:hint="eastAsia" w:ascii="MS UI Gothic" w:eastAsia="MS UI Gothic"/>
          <w:spacing w:val="-5"/>
          <w:sz w:val="17"/>
        </w:rPr>
        <w:t xml:space="preserve"> </w:t>
      </w:r>
      <w:r>
        <w:rPr>
          <w:spacing w:val="3"/>
          <w:w w:val="103"/>
          <w:sz w:val="17"/>
        </w:rPr>
        <w:t>户</w:t>
      </w:r>
      <w:r>
        <w:rPr>
          <w:rFonts w:hint="eastAsia" w:ascii="MS UI Gothic" w:eastAsia="MS UI Gothic"/>
          <w:w w:val="170"/>
          <w:sz w:val="17"/>
        </w:rPr>
        <w:t>)</w:t>
      </w:r>
    </w:p>
    <w:p>
      <w:pPr>
        <w:tabs>
          <w:tab w:val="left" w:pos="4200"/>
        </w:tabs>
        <w:spacing w:before="0" w:line="217" w:lineRule="exact"/>
        <w:ind w:left="229" w:right="0" w:firstLine="0"/>
        <w:jc w:val="left"/>
        <w:rPr>
          <w:sz w:val="17"/>
        </w:rPr>
      </w:pPr>
      <w:r>
        <w:rPr>
          <w:spacing w:val="3"/>
          <w:w w:val="110"/>
          <w:sz w:val="17"/>
        </w:rPr>
        <w:t>中国通用技</w:t>
      </w:r>
      <w:r>
        <w:rPr>
          <w:w w:val="110"/>
          <w:sz w:val="17"/>
        </w:rPr>
        <w:t>术</w:t>
      </w:r>
      <w:r>
        <w:rPr>
          <w:spacing w:val="-42"/>
          <w:w w:val="110"/>
          <w:sz w:val="17"/>
        </w:rPr>
        <w:t xml:space="preserve"> </w:t>
      </w:r>
      <w:r>
        <w:rPr>
          <w:rFonts w:hint="eastAsia" w:ascii="MS UI Gothic" w:eastAsia="MS UI Gothic"/>
          <w:w w:val="150"/>
          <w:sz w:val="17"/>
        </w:rPr>
        <w:t>(</w:t>
      </w:r>
      <w:r>
        <w:rPr>
          <w:rFonts w:hint="eastAsia" w:ascii="MS UI Gothic" w:eastAsia="MS UI Gothic"/>
          <w:spacing w:val="-68"/>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18"/>
          <w:w w:val="150"/>
          <w:sz w:val="17"/>
        </w:rPr>
        <w:t xml:space="preserve"> </w:t>
      </w:r>
      <w:r>
        <w:rPr>
          <w:spacing w:val="3"/>
          <w:w w:val="110"/>
          <w:sz w:val="17"/>
        </w:rPr>
        <w:t>控股有限责任公</w:t>
      </w:r>
      <w:r>
        <w:rPr>
          <w:w w:val="110"/>
          <w:sz w:val="17"/>
        </w:rPr>
        <w:t>司</w:t>
      </w:r>
      <w:r>
        <w:rPr>
          <w:w w:val="110"/>
          <w:sz w:val="17"/>
        </w:rPr>
        <w:tab/>
      </w:r>
      <w:r>
        <w:rPr>
          <w:spacing w:val="3"/>
          <w:w w:val="110"/>
          <w:sz w:val="17"/>
        </w:rPr>
        <w:t>中国中纺集团公</w:t>
      </w:r>
      <w:r>
        <w:rPr>
          <w:w w:val="110"/>
          <w:sz w:val="17"/>
        </w:rPr>
        <w:t>司</w:t>
      </w:r>
    </w:p>
    <w:p>
      <w:pPr>
        <w:tabs>
          <w:tab w:val="left" w:pos="4200"/>
        </w:tabs>
        <w:spacing w:before="143"/>
        <w:ind w:left="229" w:right="0" w:firstLine="0"/>
        <w:jc w:val="left"/>
        <w:rPr>
          <w:sz w:val="17"/>
        </w:rPr>
      </w:pPr>
      <w:r>
        <w:rPr>
          <w:spacing w:val="3"/>
          <w:w w:val="105"/>
          <w:sz w:val="17"/>
        </w:rPr>
        <w:t>中国高新投资集团公</w:t>
      </w:r>
      <w:r>
        <w:rPr>
          <w:w w:val="105"/>
          <w:sz w:val="17"/>
        </w:rPr>
        <w:t>司</w:t>
      </w:r>
      <w:r>
        <w:rPr>
          <w:w w:val="105"/>
          <w:sz w:val="17"/>
        </w:rPr>
        <w:tab/>
      </w:r>
      <w:r>
        <w:rPr>
          <w:spacing w:val="3"/>
          <w:w w:val="105"/>
          <w:sz w:val="17"/>
        </w:rPr>
        <w:t>中国丝绸进出口总公</w:t>
      </w:r>
      <w:r>
        <w:rPr>
          <w:w w:val="105"/>
          <w:sz w:val="17"/>
        </w:rPr>
        <w:t>司</w:t>
      </w:r>
    </w:p>
    <w:p>
      <w:pPr>
        <w:tabs>
          <w:tab w:val="left" w:pos="4200"/>
        </w:tabs>
        <w:spacing w:before="143"/>
        <w:ind w:left="229" w:right="0" w:firstLine="0"/>
        <w:jc w:val="left"/>
        <w:rPr>
          <w:sz w:val="17"/>
        </w:rPr>
      </w:pPr>
      <w:r>
        <w:rPr>
          <w:spacing w:val="3"/>
          <w:w w:val="105"/>
          <w:sz w:val="17"/>
        </w:rPr>
        <w:t>中国国际工程咨询公</w:t>
      </w:r>
      <w:r>
        <w:rPr>
          <w:w w:val="105"/>
          <w:sz w:val="17"/>
        </w:rPr>
        <w:t>司</w:t>
      </w:r>
      <w:r>
        <w:rPr>
          <w:w w:val="105"/>
          <w:sz w:val="17"/>
        </w:rPr>
        <w:tab/>
      </w:r>
      <w:r>
        <w:rPr>
          <w:spacing w:val="3"/>
          <w:w w:val="105"/>
          <w:sz w:val="17"/>
        </w:rPr>
        <w:t>中国轻工业品进出口总公</w:t>
      </w:r>
      <w:r>
        <w:rPr>
          <w:w w:val="105"/>
          <w:sz w:val="17"/>
        </w:rPr>
        <w:t>司</w:t>
      </w:r>
    </w:p>
    <w:p>
      <w:pPr>
        <w:tabs>
          <w:tab w:val="left" w:pos="4200"/>
        </w:tabs>
        <w:spacing w:before="143"/>
        <w:ind w:left="229" w:right="0" w:firstLine="0"/>
        <w:jc w:val="left"/>
        <w:rPr>
          <w:sz w:val="17"/>
        </w:rPr>
      </w:pPr>
      <w:r>
        <w:rPr>
          <w:spacing w:val="3"/>
          <w:w w:val="105"/>
          <w:sz w:val="17"/>
        </w:rPr>
        <w:t>中商企业集团公</w:t>
      </w:r>
      <w:r>
        <w:rPr>
          <w:w w:val="105"/>
          <w:sz w:val="17"/>
        </w:rPr>
        <w:t>司</w:t>
      </w:r>
      <w:r>
        <w:rPr>
          <w:w w:val="105"/>
          <w:sz w:val="17"/>
        </w:rPr>
        <w:tab/>
      </w:r>
      <w:r>
        <w:rPr>
          <w:spacing w:val="3"/>
          <w:w w:val="105"/>
          <w:sz w:val="17"/>
        </w:rPr>
        <w:t>中国出国人员服务总公</w:t>
      </w:r>
      <w:r>
        <w:rPr>
          <w:w w:val="105"/>
          <w:sz w:val="17"/>
        </w:rPr>
        <w:t>司</w:t>
      </w:r>
    </w:p>
    <w:p>
      <w:pPr>
        <w:spacing w:after="0"/>
        <w:jc w:val="left"/>
        <w:rPr>
          <w:sz w:val="17"/>
        </w:rPr>
        <w:sectPr>
          <w:type w:val="continuous"/>
          <w:pgSz w:w="10500" w:h="14750"/>
          <w:pgMar w:top="1400" w:right="980" w:bottom="280" w:left="980" w:header="720" w:footer="720" w:gutter="0"/>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１６１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27" o:spid="_x0000_s1527" o:spt="203" style="height:2.15pt;width:398.25pt;" coordsize="7965,43">
            <o:lock v:ext="edit"/>
            <v:line id="_x0000_s1528" o:spid="_x0000_s1528" o:spt="20" style="position:absolute;left:0;top:39;height:0;width:7965;" stroked="t" coordsize="21600,21600">
              <v:path arrowok="t"/>
              <v:fill focussize="0,0"/>
              <v:stroke weight="0.388031496062992pt" color="#231F20"/>
              <v:imagedata o:title=""/>
              <o:lock v:ext="edit"/>
            </v:line>
            <v:line id="_x0000_s1529" o:spid="_x0000_s152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S UI Gothic"/>
          <w:sz w:val="15"/>
        </w:rPr>
      </w:pPr>
    </w:p>
    <w:p>
      <w:pPr>
        <w:tabs>
          <w:tab w:val="left" w:pos="4516"/>
        </w:tabs>
        <w:spacing w:before="88"/>
        <w:ind w:left="545" w:right="0" w:firstLine="0"/>
        <w:jc w:val="left"/>
        <w:rPr>
          <w:sz w:val="17"/>
        </w:rPr>
      </w:pPr>
      <w:r>
        <w:rPr>
          <w:spacing w:val="3"/>
          <w:w w:val="105"/>
          <w:sz w:val="17"/>
        </w:rPr>
        <w:t>中国华孚贸易发展集团公</w:t>
      </w:r>
      <w:r>
        <w:rPr>
          <w:w w:val="105"/>
          <w:sz w:val="17"/>
        </w:rPr>
        <w:t>司</w:t>
      </w:r>
      <w:r>
        <w:rPr>
          <w:w w:val="105"/>
          <w:sz w:val="17"/>
        </w:rPr>
        <w:tab/>
      </w:r>
      <w:r>
        <w:rPr>
          <w:spacing w:val="3"/>
          <w:sz w:val="17"/>
        </w:rPr>
        <w:t>中国林业集团公</w:t>
      </w:r>
      <w:r>
        <w:rPr>
          <w:sz w:val="17"/>
        </w:rPr>
        <w:t>司</w:t>
      </w:r>
    </w:p>
    <w:p>
      <w:pPr>
        <w:tabs>
          <w:tab w:val="left" w:pos="4516"/>
        </w:tabs>
        <w:spacing w:before="143"/>
        <w:ind w:left="545" w:right="0" w:firstLine="0"/>
        <w:jc w:val="left"/>
        <w:rPr>
          <w:sz w:val="17"/>
        </w:rPr>
      </w:pPr>
      <w:r>
        <w:rPr>
          <w:spacing w:val="3"/>
          <w:w w:val="105"/>
          <w:sz w:val="17"/>
        </w:rPr>
        <w:t>中国华星集团公</w:t>
      </w:r>
      <w:r>
        <w:rPr>
          <w:w w:val="105"/>
          <w:sz w:val="17"/>
        </w:rPr>
        <w:t>司</w:t>
      </w:r>
      <w:r>
        <w:rPr>
          <w:w w:val="105"/>
          <w:sz w:val="17"/>
        </w:rPr>
        <w:tab/>
      </w:r>
      <w:r>
        <w:rPr>
          <w:spacing w:val="3"/>
          <w:sz w:val="17"/>
        </w:rPr>
        <w:t>中国保利集团公</w:t>
      </w:r>
      <w:r>
        <w:rPr>
          <w:sz w:val="17"/>
        </w:rPr>
        <w:t>司</w:t>
      </w:r>
    </w:p>
    <w:p>
      <w:pPr>
        <w:tabs>
          <w:tab w:val="left" w:pos="4516"/>
        </w:tabs>
        <w:spacing w:before="143"/>
        <w:ind w:left="545" w:right="0" w:firstLine="0"/>
        <w:jc w:val="left"/>
        <w:rPr>
          <w:sz w:val="17"/>
        </w:rPr>
      </w:pPr>
      <w:r>
        <w:rPr>
          <w:spacing w:val="3"/>
          <w:w w:val="105"/>
          <w:sz w:val="17"/>
        </w:rPr>
        <w:t>机械科学研究总</w:t>
      </w:r>
      <w:r>
        <w:rPr>
          <w:w w:val="105"/>
          <w:sz w:val="17"/>
        </w:rPr>
        <w:t>院</w:t>
      </w:r>
      <w:r>
        <w:rPr>
          <w:w w:val="105"/>
          <w:sz w:val="17"/>
        </w:rPr>
        <w:tab/>
      </w:r>
      <w:r>
        <w:rPr>
          <w:spacing w:val="3"/>
          <w:w w:val="105"/>
          <w:sz w:val="17"/>
        </w:rPr>
        <w:t>珠海振戎公</w:t>
      </w:r>
      <w:r>
        <w:rPr>
          <w:w w:val="105"/>
          <w:sz w:val="17"/>
        </w:rPr>
        <w:t>司</w:t>
      </w:r>
    </w:p>
    <w:p>
      <w:pPr>
        <w:tabs>
          <w:tab w:val="left" w:pos="4516"/>
        </w:tabs>
        <w:spacing w:before="143"/>
        <w:ind w:left="545" w:right="0" w:firstLine="0"/>
        <w:jc w:val="left"/>
        <w:rPr>
          <w:sz w:val="17"/>
        </w:rPr>
      </w:pPr>
      <w:r>
        <w:rPr>
          <w:spacing w:val="3"/>
          <w:w w:val="105"/>
          <w:sz w:val="17"/>
        </w:rPr>
        <w:t>中国农业机械化科学研究</w:t>
      </w:r>
      <w:r>
        <w:rPr>
          <w:w w:val="105"/>
          <w:sz w:val="17"/>
        </w:rPr>
        <w:t>院</w:t>
      </w:r>
      <w:r>
        <w:rPr>
          <w:w w:val="105"/>
          <w:sz w:val="17"/>
        </w:rPr>
        <w:tab/>
      </w:r>
      <w:r>
        <w:rPr>
          <w:spacing w:val="3"/>
          <w:sz w:val="17"/>
        </w:rPr>
        <w:t>中国建筑设计研究</w:t>
      </w:r>
      <w:r>
        <w:rPr>
          <w:sz w:val="17"/>
        </w:rPr>
        <w:t>院</w:t>
      </w:r>
    </w:p>
    <w:p>
      <w:pPr>
        <w:tabs>
          <w:tab w:val="left" w:pos="4516"/>
        </w:tabs>
        <w:spacing w:before="144"/>
        <w:ind w:left="545" w:right="0" w:firstLine="0"/>
        <w:jc w:val="left"/>
        <w:rPr>
          <w:sz w:val="17"/>
        </w:rPr>
      </w:pPr>
      <w:r>
        <w:rPr>
          <w:spacing w:val="3"/>
          <w:w w:val="105"/>
          <w:sz w:val="17"/>
        </w:rPr>
        <w:t>中国轻工集团公</w:t>
      </w:r>
      <w:r>
        <w:rPr>
          <w:w w:val="105"/>
          <w:sz w:val="17"/>
        </w:rPr>
        <w:t>司</w:t>
      </w:r>
      <w:r>
        <w:rPr>
          <w:w w:val="105"/>
          <w:sz w:val="17"/>
        </w:rPr>
        <w:tab/>
      </w:r>
      <w:r>
        <w:rPr>
          <w:spacing w:val="3"/>
          <w:sz w:val="17"/>
        </w:rPr>
        <w:t>中国电子工程设计</w:t>
      </w:r>
      <w:r>
        <w:rPr>
          <w:sz w:val="17"/>
        </w:rPr>
        <w:t>院</w:t>
      </w:r>
    </w:p>
    <w:p>
      <w:pPr>
        <w:tabs>
          <w:tab w:val="left" w:pos="4516"/>
        </w:tabs>
        <w:spacing w:before="143"/>
        <w:ind w:left="545" w:right="0" w:firstLine="0"/>
        <w:jc w:val="left"/>
        <w:rPr>
          <w:sz w:val="17"/>
        </w:rPr>
      </w:pPr>
      <w:r>
        <w:rPr>
          <w:spacing w:val="3"/>
          <w:w w:val="105"/>
          <w:sz w:val="17"/>
        </w:rPr>
        <w:t>中国轻工业对外经济技术合作公</w:t>
      </w:r>
      <w:r>
        <w:rPr>
          <w:w w:val="105"/>
          <w:sz w:val="17"/>
        </w:rPr>
        <w:t>司</w:t>
      </w:r>
      <w:r>
        <w:rPr>
          <w:w w:val="105"/>
          <w:sz w:val="17"/>
        </w:rPr>
        <w:tab/>
      </w:r>
      <w:r>
        <w:rPr>
          <w:spacing w:val="3"/>
          <w:sz w:val="17"/>
        </w:rPr>
        <w:t>中煤国际工程设计研究总</w:t>
      </w:r>
      <w:r>
        <w:rPr>
          <w:sz w:val="17"/>
        </w:rPr>
        <w:t>院</w:t>
      </w:r>
    </w:p>
    <w:p>
      <w:pPr>
        <w:tabs>
          <w:tab w:val="left" w:pos="4516"/>
        </w:tabs>
        <w:spacing w:before="143"/>
        <w:ind w:left="545" w:right="0" w:firstLine="0"/>
        <w:jc w:val="left"/>
        <w:rPr>
          <w:sz w:val="17"/>
        </w:rPr>
      </w:pPr>
      <w:r>
        <w:rPr>
          <w:spacing w:val="3"/>
          <w:w w:val="110"/>
          <w:sz w:val="17"/>
        </w:rPr>
        <w:t>中国工</w:t>
      </w:r>
      <w:r>
        <w:rPr>
          <w:w w:val="110"/>
          <w:sz w:val="17"/>
        </w:rPr>
        <w:t>艺</w:t>
      </w:r>
      <w:r>
        <w:rPr>
          <w:spacing w:val="-19"/>
          <w:w w:val="110"/>
          <w:sz w:val="17"/>
        </w:rPr>
        <w:t xml:space="preserve"> </w:t>
      </w:r>
      <w:r>
        <w:rPr>
          <w:rFonts w:hint="eastAsia" w:ascii="MS UI Gothic" w:eastAsia="MS UI Gothic"/>
          <w:w w:val="150"/>
          <w:sz w:val="17"/>
        </w:rPr>
        <w:t>(</w:t>
      </w:r>
      <w:r>
        <w:rPr>
          <w:rFonts w:hint="eastAsia" w:ascii="MS UI Gothic" w:eastAsia="MS UI Gothic"/>
          <w:spacing w:val="-63"/>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10"/>
          <w:w w:val="150"/>
          <w:sz w:val="17"/>
        </w:rPr>
        <w:t xml:space="preserve"> </w:t>
      </w:r>
      <w:r>
        <w:rPr>
          <w:spacing w:val="3"/>
          <w:w w:val="110"/>
          <w:sz w:val="17"/>
        </w:rPr>
        <w:t>公</w:t>
      </w:r>
      <w:r>
        <w:rPr>
          <w:w w:val="110"/>
          <w:sz w:val="17"/>
        </w:rPr>
        <w:t>司</w:t>
      </w:r>
      <w:r>
        <w:rPr>
          <w:w w:val="110"/>
          <w:sz w:val="17"/>
        </w:rPr>
        <w:tab/>
      </w:r>
      <w:r>
        <w:rPr>
          <w:spacing w:val="3"/>
          <w:sz w:val="17"/>
        </w:rPr>
        <w:t>中国海诚国际工程投资总</w:t>
      </w:r>
      <w:r>
        <w:rPr>
          <w:sz w:val="17"/>
        </w:rPr>
        <w:t>院</w:t>
      </w:r>
    </w:p>
    <w:p>
      <w:pPr>
        <w:tabs>
          <w:tab w:val="left" w:pos="4516"/>
        </w:tabs>
        <w:spacing w:before="143"/>
        <w:ind w:left="545" w:right="0" w:firstLine="0"/>
        <w:jc w:val="left"/>
        <w:rPr>
          <w:sz w:val="17"/>
        </w:rPr>
      </w:pPr>
      <w:r>
        <w:rPr>
          <w:spacing w:val="3"/>
          <w:w w:val="105"/>
          <w:sz w:val="17"/>
        </w:rPr>
        <w:t>华诚投资管理有限公</w:t>
      </w:r>
      <w:r>
        <w:rPr>
          <w:w w:val="105"/>
          <w:sz w:val="17"/>
        </w:rPr>
        <w:t>司</w:t>
      </w:r>
      <w:r>
        <w:rPr>
          <w:w w:val="105"/>
          <w:sz w:val="17"/>
        </w:rPr>
        <w:tab/>
      </w:r>
      <w:r>
        <w:rPr>
          <w:spacing w:val="3"/>
          <w:sz w:val="17"/>
        </w:rPr>
        <w:t>中国民航信息集团公</w:t>
      </w:r>
      <w:r>
        <w:rPr>
          <w:sz w:val="17"/>
        </w:rPr>
        <w:t>司</w:t>
      </w:r>
    </w:p>
    <w:p>
      <w:pPr>
        <w:tabs>
          <w:tab w:val="left" w:pos="4516"/>
        </w:tabs>
        <w:spacing w:before="143"/>
        <w:ind w:left="545" w:right="0" w:firstLine="0"/>
        <w:jc w:val="left"/>
        <w:rPr>
          <w:sz w:val="17"/>
        </w:rPr>
      </w:pPr>
      <w:r>
        <w:rPr>
          <w:spacing w:val="3"/>
          <w:w w:val="105"/>
          <w:sz w:val="17"/>
        </w:rPr>
        <w:t>中国纺织科学研究</w:t>
      </w:r>
      <w:r>
        <w:rPr>
          <w:w w:val="105"/>
          <w:sz w:val="17"/>
        </w:rPr>
        <w:t>院</w:t>
      </w:r>
      <w:r>
        <w:rPr>
          <w:w w:val="105"/>
          <w:sz w:val="17"/>
        </w:rPr>
        <w:tab/>
      </w:r>
      <w:r>
        <w:rPr>
          <w:spacing w:val="3"/>
          <w:sz w:val="17"/>
        </w:rPr>
        <w:t>中国航空器材集团公</w:t>
      </w:r>
      <w:r>
        <w:rPr>
          <w:sz w:val="17"/>
        </w:rPr>
        <w:t>司</w:t>
      </w:r>
    </w:p>
    <w:p>
      <w:pPr>
        <w:tabs>
          <w:tab w:val="left" w:pos="4516"/>
        </w:tabs>
        <w:spacing w:before="143"/>
        <w:ind w:left="545" w:right="0" w:firstLine="0"/>
        <w:jc w:val="left"/>
        <w:rPr>
          <w:sz w:val="17"/>
        </w:rPr>
      </w:pPr>
      <w:r>
        <w:rPr>
          <w:spacing w:val="3"/>
          <w:w w:val="105"/>
          <w:sz w:val="17"/>
        </w:rPr>
        <w:t>中国国际技术智力合作公</w:t>
      </w:r>
      <w:r>
        <w:rPr>
          <w:w w:val="105"/>
          <w:sz w:val="17"/>
        </w:rPr>
        <w:t>司</w:t>
      </w:r>
      <w:r>
        <w:rPr>
          <w:w w:val="105"/>
          <w:sz w:val="17"/>
        </w:rPr>
        <w:tab/>
      </w:r>
      <w:r>
        <w:rPr>
          <w:spacing w:val="3"/>
          <w:sz w:val="17"/>
        </w:rPr>
        <w:t>中国电力工程顾问集团公</w:t>
      </w:r>
      <w:r>
        <w:rPr>
          <w:sz w:val="17"/>
        </w:rPr>
        <w:t>司</w:t>
      </w:r>
    </w:p>
    <w:p>
      <w:pPr>
        <w:tabs>
          <w:tab w:val="left" w:pos="4516"/>
        </w:tabs>
        <w:spacing w:before="144"/>
        <w:ind w:left="545" w:right="0" w:firstLine="0"/>
        <w:jc w:val="left"/>
        <w:rPr>
          <w:sz w:val="17"/>
        </w:rPr>
      </w:pPr>
      <w:r>
        <w:rPr>
          <w:spacing w:val="3"/>
          <w:w w:val="105"/>
          <w:sz w:val="17"/>
        </w:rPr>
        <w:t>中国远东国际贸易总公</w:t>
      </w:r>
      <w:r>
        <w:rPr>
          <w:w w:val="105"/>
          <w:sz w:val="17"/>
        </w:rPr>
        <w:t>司</w:t>
      </w:r>
      <w:r>
        <w:rPr>
          <w:w w:val="105"/>
          <w:sz w:val="17"/>
        </w:rPr>
        <w:tab/>
      </w:r>
      <w:r>
        <w:rPr>
          <w:spacing w:val="3"/>
          <w:sz w:val="17"/>
        </w:rPr>
        <w:t>中国水电工程顾问集团公</w:t>
      </w:r>
      <w:r>
        <w:rPr>
          <w:sz w:val="17"/>
        </w:rPr>
        <w:t>司</w:t>
      </w:r>
    </w:p>
    <w:p>
      <w:pPr>
        <w:tabs>
          <w:tab w:val="left" w:pos="4516"/>
        </w:tabs>
        <w:spacing w:before="143"/>
        <w:ind w:left="545" w:right="0" w:firstLine="0"/>
        <w:jc w:val="left"/>
        <w:rPr>
          <w:sz w:val="17"/>
        </w:rPr>
      </w:pPr>
      <w:r>
        <w:rPr>
          <w:spacing w:val="3"/>
          <w:w w:val="105"/>
          <w:sz w:val="17"/>
        </w:rPr>
        <w:t>中国房地产开发集团公</w:t>
      </w:r>
      <w:r>
        <w:rPr>
          <w:w w:val="105"/>
          <w:sz w:val="17"/>
        </w:rPr>
        <w:t>司</w:t>
      </w:r>
      <w:r>
        <w:rPr>
          <w:w w:val="105"/>
          <w:sz w:val="17"/>
        </w:rPr>
        <w:tab/>
      </w:r>
      <w:r>
        <w:rPr>
          <w:spacing w:val="3"/>
          <w:w w:val="105"/>
          <w:sz w:val="17"/>
        </w:rPr>
        <w:t>上海船舶运输科学研究</w:t>
      </w:r>
      <w:r>
        <w:rPr>
          <w:w w:val="105"/>
          <w:sz w:val="17"/>
        </w:rPr>
        <w:t>所</w:t>
      </w:r>
    </w:p>
    <w:p>
      <w:pPr>
        <w:tabs>
          <w:tab w:val="left" w:pos="4516"/>
        </w:tabs>
        <w:spacing w:before="143"/>
        <w:ind w:left="545" w:right="0" w:firstLine="0"/>
        <w:jc w:val="left"/>
        <w:rPr>
          <w:sz w:val="17"/>
        </w:rPr>
      </w:pPr>
      <w:r>
        <w:rPr>
          <w:spacing w:val="3"/>
          <w:w w:val="105"/>
          <w:sz w:val="17"/>
        </w:rPr>
        <w:t>中国邮电器材集团公</w:t>
      </w:r>
      <w:r>
        <w:rPr>
          <w:w w:val="105"/>
          <w:sz w:val="17"/>
        </w:rPr>
        <w:t>司</w:t>
      </w:r>
      <w:r>
        <w:rPr>
          <w:w w:val="105"/>
          <w:sz w:val="17"/>
        </w:rPr>
        <w:tab/>
      </w:r>
      <w:r>
        <w:rPr>
          <w:spacing w:val="3"/>
          <w:w w:val="105"/>
          <w:sz w:val="17"/>
        </w:rPr>
        <w:t>上海医药工业研究</w:t>
      </w:r>
      <w:r>
        <w:rPr>
          <w:w w:val="105"/>
          <w:sz w:val="17"/>
        </w:rPr>
        <w:t>院</w:t>
      </w:r>
    </w:p>
    <w:p>
      <w:pPr>
        <w:tabs>
          <w:tab w:val="left" w:pos="4516"/>
        </w:tabs>
        <w:spacing w:before="143"/>
        <w:ind w:left="545" w:right="0" w:firstLine="0"/>
        <w:jc w:val="left"/>
        <w:rPr>
          <w:sz w:val="17"/>
        </w:rPr>
      </w:pPr>
      <w:r>
        <w:rPr>
          <w:spacing w:val="3"/>
          <w:w w:val="105"/>
          <w:sz w:val="17"/>
        </w:rPr>
        <w:t>电信科学技术研究</w:t>
      </w:r>
      <w:r>
        <w:rPr>
          <w:w w:val="105"/>
          <w:sz w:val="17"/>
        </w:rPr>
        <w:t>院</w:t>
      </w:r>
      <w:r>
        <w:rPr>
          <w:w w:val="105"/>
          <w:sz w:val="17"/>
        </w:rPr>
        <w:tab/>
      </w:r>
      <w:r>
        <w:rPr>
          <w:spacing w:val="3"/>
          <w:w w:val="110"/>
          <w:sz w:val="17"/>
        </w:rPr>
        <w:t>南</w:t>
      </w:r>
      <w:r>
        <w:rPr>
          <w:w w:val="110"/>
          <w:sz w:val="17"/>
        </w:rPr>
        <w:t>光</w:t>
      </w:r>
      <w:r>
        <w:rPr>
          <w:spacing w:val="-3"/>
          <w:w w:val="110"/>
          <w:sz w:val="17"/>
        </w:rPr>
        <w:t xml:space="preserve"> </w:t>
      </w:r>
      <w:r>
        <w:rPr>
          <w:rFonts w:hint="eastAsia" w:ascii="MS UI Gothic" w:eastAsia="MS UI Gothic"/>
          <w:w w:val="150"/>
          <w:sz w:val="17"/>
        </w:rPr>
        <w:t>(</w:t>
      </w:r>
      <w:r>
        <w:rPr>
          <w:rFonts w:hint="eastAsia" w:ascii="MS UI Gothic" w:eastAsia="MS UI Gothic"/>
          <w:spacing w:val="-61"/>
          <w:w w:val="150"/>
          <w:sz w:val="17"/>
        </w:rPr>
        <w:t xml:space="preserve"> </w:t>
      </w:r>
      <w:r>
        <w:rPr>
          <w:spacing w:val="3"/>
          <w:w w:val="110"/>
          <w:sz w:val="17"/>
        </w:rPr>
        <w:t>集团</w:t>
      </w:r>
      <w:r>
        <w:rPr>
          <w:rFonts w:hint="eastAsia" w:ascii="MS UI Gothic" w:eastAsia="MS UI Gothic"/>
          <w:w w:val="150"/>
          <w:sz w:val="17"/>
        </w:rPr>
        <w:t>)</w:t>
      </w:r>
      <w:r>
        <w:rPr>
          <w:rFonts w:hint="eastAsia" w:ascii="MS UI Gothic" w:eastAsia="MS UI Gothic"/>
          <w:spacing w:val="27"/>
          <w:w w:val="150"/>
          <w:sz w:val="17"/>
        </w:rPr>
        <w:t xml:space="preserve"> </w:t>
      </w:r>
      <w:r>
        <w:rPr>
          <w:spacing w:val="3"/>
          <w:w w:val="110"/>
          <w:sz w:val="17"/>
        </w:rPr>
        <w:t>有限公</w:t>
      </w:r>
      <w:r>
        <w:rPr>
          <w:w w:val="110"/>
          <w:sz w:val="17"/>
        </w:rPr>
        <w:t>司</w:t>
      </w:r>
    </w:p>
    <w:p>
      <w:pPr>
        <w:spacing w:before="182" w:line="314" w:lineRule="auto"/>
        <w:ind w:left="545" w:right="231" w:firstLine="180"/>
        <w:jc w:val="left"/>
        <w:rPr>
          <w:rFonts w:hint="eastAsia" w:ascii="MS UI Gothic" w:eastAsia="MS UI Gothic"/>
          <w:sz w:val="17"/>
        </w:rPr>
      </w:pPr>
      <w:r>
        <w:rPr>
          <w:w w:val="105"/>
          <w:sz w:val="17"/>
        </w:rPr>
        <w:t>注</w:t>
      </w:r>
      <w:r>
        <w:rPr>
          <w:rFonts w:hint="eastAsia" w:ascii="MS UI Gothic" w:eastAsia="MS UI Gothic"/>
          <w:w w:val="235"/>
          <w:sz w:val="17"/>
        </w:rPr>
        <w:t xml:space="preserve">: </w:t>
      </w:r>
      <w:r>
        <w:rPr>
          <w:w w:val="105"/>
          <w:sz w:val="17"/>
        </w:rPr>
        <w:t>中国包装总公司</w:t>
      </w:r>
      <w:r>
        <w:rPr>
          <w:rFonts w:hint="eastAsia" w:ascii="MS UI Gothic" w:eastAsia="MS UI Gothic"/>
          <w:w w:val="80"/>
          <w:sz w:val="17"/>
        </w:rPr>
        <w:t xml:space="preserve">、 </w:t>
      </w:r>
      <w:r>
        <w:rPr>
          <w:w w:val="105"/>
          <w:sz w:val="17"/>
        </w:rPr>
        <w:t xml:space="preserve">中国农垦 </w:t>
      </w:r>
      <w:r>
        <w:rPr>
          <w:rFonts w:hint="eastAsia" w:ascii="MS UI Gothic" w:eastAsia="MS UI Gothic"/>
          <w:w w:val="150"/>
          <w:sz w:val="17"/>
        </w:rPr>
        <w:t xml:space="preserve">( </w:t>
      </w:r>
      <w:r>
        <w:rPr>
          <w:w w:val="105"/>
          <w:sz w:val="17"/>
        </w:rPr>
        <w:t>集团</w:t>
      </w:r>
      <w:r>
        <w:rPr>
          <w:rFonts w:hint="eastAsia" w:ascii="MS UI Gothic" w:eastAsia="MS UI Gothic"/>
          <w:w w:val="150"/>
          <w:sz w:val="17"/>
        </w:rPr>
        <w:t xml:space="preserve">) </w:t>
      </w:r>
      <w:r>
        <w:rPr>
          <w:w w:val="105"/>
          <w:sz w:val="17"/>
        </w:rPr>
        <w:t>总公司由托管企业负责安全生产监督管理</w:t>
      </w:r>
      <w:r>
        <w:rPr>
          <w:rFonts w:hint="eastAsia" w:ascii="MS UI Gothic" w:eastAsia="MS UI Gothic"/>
          <w:w w:val="80"/>
          <w:sz w:val="17"/>
        </w:rPr>
        <w:t xml:space="preserve">ꎮ </w:t>
      </w:r>
      <w:r>
        <w:rPr>
          <w:w w:val="105"/>
          <w:sz w:val="17"/>
        </w:rPr>
        <w:t>中国汽车技术研究中心比照第三类企业执行</w:t>
      </w:r>
      <w:r>
        <w:rPr>
          <w:rFonts w:hint="eastAsia" w:ascii="MS UI Gothic" w:eastAsia="MS UI Gothic"/>
          <w:w w:val="80"/>
          <w:sz w:val="17"/>
        </w:rPr>
        <w:t>ꎮ</w:t>
      </w:r>
    </w:p>
    <w:p>
      <w:pPr>
        <w:spacing w:after="0" w:line="314" w:lineRule="auto"/>
        <w:jc w:val="left"/>
        <w:rPr>
          <w:rFonts w:hint="eastAsia" w:ascii="MS UI Gothic" w:eastAsia="MS UI Gothic"/>
          <w:sz w:val="17"/>
        </w:rPr>
        <w:sectPr>
          <w:type w:val="continuous"/>
          <w:pgSz w:w="10500" w:h="14750"/>
          <w:pgMar w:top="1400" w:right="980" w:bottom="280" w:left="980" w:header="720" w:footer="720" w:gutter="0"/>
        </w:sectPr>
      </w:pPr>
    </w:p>
    <w:p>
      <w:pPr>
        <w:pStyle w:val="6"/>
        <w:spacing w:before="159"/>
        <w:ind w:left="280" w:firstLine="0"/>
        <w:jc w:val="left"/>
        <w:rPr>
          <w:rFonts w:hint="eastAsia" w:ascii="MS UI Gothic" w:eastAsia="MS UI Gothic"/>
        </w:rPr>
      </w:pPr>
      <w:r>
        <w:pict>
          <v:shape id="_x0000_s1530" o:spid="_x0000_s1530" style="position:absolute;left:0pt;margin-left:0pt;margin-top:700.1pt;height:1.75pt;width:398.25pt;mso-position-horizontal-relative:page;z-index:251857920;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１６２</w:t>
      </w:r>
    </w:p>
    <w:p>
      <w:pPr>
        <w:pStyle w:val="6"/>
        <w:spacing w:before="297"/>
        <w:ind w:firstLine="0"/>
        <w:jc w:val="left"/>
      </w:pPr>
      <w:r>
        <w:t xml:space="preserve">附件 </w:t>
      </w:r>
      <w:r>
        <w:rPr>
          <w:w w:val="80"/>
        </w:rPr>
        <w:t>２</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251"/>
            <w:col w:w="6239"/>
          </w:cols>
        </w:sectPr>
      </w:pPr>
    </w:p>
    <w:p>
      <w:pPr>
        <w:pStyle w:val="6"/>
        <w:spacing w:before="6"/>
        <w:ind w:left="0" w:firstLine="0"/>
        <w:jc w:val="left"/>
        <w:rPr>
          <w:rFonts w:ascii="Microsoft Yi Baiti"/>
          <w:sz w:val="7"/>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77"/>
        <w:gridCol w:w="557"/>
        <w:gridCol w:w="557"/>
        <w:gridCol w:w="796"/>
        <w:gridCol w:w="557"/>
        <w:gridCol w:w="557"/>
        <w:gridCol w:w="557"/>
        <w:gridCol w:w="1034"/>
        <w:gridCol w:w="568"/>
        <w:gridCol w:w="465"/>
        <w:gridCol w:w="698"/>
        <w:gridCol w:w="318"/>
        <w:gridCol w:w="318"/>
        <w:gridCol w:w="502"/>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2" w:hRule="atLeast"/>
        </w:trPr>
        <w:tc>
          <w:tcPr>
            <w:tcW w:w="7961" w:type="dxa"/>
            <w:gridSpan w:val="14"/>
            <w:tcBorders>
              <w:bottom w:val="single" w:color="231F20" w:sz="4" w:space="0"/>
            </w:tcBorders>
          </w:tcPr>
          <w:p>
            <w:pPr>
              <w:pStyle w:val="11"/>
              <w:spacing w:before="130"/>
              <w:ind w:left="2935" w:right="2917"/>
              <w:jc w:val="center"/>
              <w:rPr>
                <w:sz w:val="15"/>
              </w:rPr>
            </w:pPr>
            <w:r>
              <w:rPr>
                <w:w w:val="105"/>
                <w:sz w:val="15"/>
              </w:rPr>
              <w:t>中央企业生产安全事故季报表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1591" w:type="dxa"/>
            <w:gridSpan w:val="3"/>
            <w:tcBorders>
              <w:top w:val="single" w:color="231F20" w:sz="4" w:space="0"/>
              <w:bottom w:val="single" w:color="231F20" w:sz="4" w:space="0"/>
              <w:right w:val="nil"/>
            </w:tcBorders>
          </w:tcPr>
          <w:p>
            <w:pPr>
              <w:pStyle w:val="11"/>
              <w:spacing w:before="135"/>
              <w:ind w:left="104"/>
              <w:rPr>
                <w:rFonts w:hint="eastAsia" w:ascii="MS UI Gothic" w:eastAsia="MS UI Gothic"/>
                <w:sz w:val="15"/>
              </w:rPr>
            </w:pPr>
            <w:r>
              <w:rPr>
                <w:w w:val="115"/>
                <w:sz w:val="15"/>
              </w:rPr>
              <w:t>填报单位</w:t>
            </w:r>
            <w:r>
              <w:rPr>
                <w:rFonts w:hint="eastAsia" w:ascii="MS UI Gothic" w:eastAsia="MS UI Gothic"/>
                <w:w w:val="235"/>
                <w:sz w:val="15"/>
              </w:rPr>
              <w:t>:</w:t>
            </w:r>
          </w:p>
        </w:tc>
        <w:tc>
          <w:tcPr>
            <w:tcW w:w="2467" w:type="dxa"/>
            <w:gridSpan w:val="4"/>
            <w:tcBorders>
              <w:top w:val="single" w:color="231F20" w:sz="4" w:space="0"/>
              <w:left w:val="nil"/>
              <w:bottom w:val="single" w:color="231F20" w:sz="4" w:space="0"/>
              <w:right w:val="nil"/>
            </w:tcBorders>
          </w:tcPr>
          <w:p>
            <w:pPr>
              <w:pStyle w:val="11"/>
              <w:tabs>
                <w:tab w:val="left" w:pos="1543"/>
                <w:tab w:val="left" w:pos="1913"/>
              </w:tabs>
              <w:spacing w:before="135"/>
              <w:ind w:left="1065"/>
              <w:rPr>
                <w:sz w:val="15"/>
              </w:rPr>
            </w:pPr>
            <w:r>
              <w:rPr>
                <w:rFonts w:hint="eastAsia" w:ascii="MS UI Gothic" w:eastAsia="MS UI Gothic"/>
                <w:sz w:val="15"/>
              </w:rPr>
              <w:t>２０</w:t>
            </w:r>
            <w:r>
              <w:rPr>
                <w:rFonts w:hint="eastAsia" w:ascii="MS UI Gothic" w:eastAsia="MS UI Gothic"/>
                <w:sz w:val="15"/>
              </w:rPr>
              <w:tab/>
            </w:r>
            <w:r>
              <w:rPr>
                <w:sz w:val="15"/>
              </w:rPr>
              <w:t>年</w:t>
            </w:r>
            <w:r>
              <w:rPr>
                <w:sz w:val="15"/>
              </w:rPr>
              <w:tab/>
            </w:r>
            <w:r>
              <w:rPr>
                <w:spacing w:val="3"/>
                <w:sz w:val="15"/>
              </w:rPr>
              <w:t>季</w:t>
            </w:r>
            <w:r>
              <w:rPr>
                <w:sz w:val="15"/>
              </w:rPr>
              <w:t>度</w:t>
            </w:r>
          </w:p>
        </w:tc>
        <w:tc>
          <w:tcPr>
            <w:tcW w:w="1602" w:type="dxa"/>
            <w:gridSpan w:val="2"/>
            <w:tcBorders>
              <w:top w:val="single" w:color="231F20" w:sz="4" w:space="0"/>
              <w:left w:val="nil"/>
              <w:bottom w:val="single" w:color="231F20" w:sz="4" w:space="0"/>
              <w:right w:val="nil"/>
            </w:tcBorders>
          </w:tcPr>
          <w:p>
            <w:pPr>
              <w:pStyle w:val="11"/>
              <w:rPr>
                <w:rFonts w:ascii="Times New Roman"/>
                <w:sz w:val="14"/>
              </w:rPr>
            </w:pPr>
          </w:p>
        </w:tc>
        <w:tc>
          <w:tcPr>
            <w:tcW w:w="465" w:type="dxa"/>
            <w:tcBorders>
              <w:top w:val="single" w:color="231F20" w:sz="4" w:space="0"/>
              <w:left w:val="nil"/>
              <w:bottom w:val="single" w:color="231F20" w:sz="4" w:space="0"/>
              <w:right w:val="nil"/>
            </w:tcBorders>
          </w:tcPr>
          <w:p>
            <w:pPr>
              <w:pStyle w:val="11"/>
              <w:rPr>
                <w:rFonts w:ascii="Times New Roman"/>
                <w:sz w:val="14"/>
              </w:rPr>
            </w:pPr>
          </w:p>
        </w:tc>
        <w:tc>
          <w:tcPr>
            <w:tcW w:w="698" w:type="dxa"/>
            <w:tcBorders>
              <w:top w:val="single" w:color="231F20" w:sz="4" w:space="0"/>
              <w:left w:val="nil"/>
              <w:bottom w:val="single" w:color="231F20" w:sz="4" w:space="0"/>
              <w:right w:val="nil"/>
            </w:tcBorders>
          </w:tcPr>
          <w:p>
            <w:pPr>
              <w:pStyle w:val="11"/>
              <w:spacing w:before="135"/>
              <w:ind w:right="69"/>
              <w:jc w:val="right"/>
              <w:rPr>
                <w:sz w:val="15"/>
              </w:rPr>
            </w:pPr>
            <w:r>
              <w:rPr>
                <w:w w:val="103"/>
                <w:sz w:val="15"/>
              </w:rPr>
              <w:t>第</w:t>
            </w:r>
          </w:p>
        </w:tc>
        <w:tc>
          <w:tcPr>
            <w:tcW w:w="318" w:type="dxa"/>
            <w:tcBorders>
              <w:top w:val="single" w:color="231F20" w:sz="4" w:space="0"/>
              <w:left w:val="nil"/>
              <w:bottom w:val="single" w:color="231F20" w:sz="4" w:space="0"/>
              <w:right w:val="nil"/>
            </w:tcBorders>
          </w:tcPr>
          <w:p>
            <w:pPr>
              <w:pStyle w:val="11"/>
              <w:spacing w:before="135"/>
              <w:ind w:left="91"/>
              <w:rPr>
                <w:sz w:val="15"/>
              </w:rPr>
            </w:pPr>
            <w:r>
              <w:rPr>
                <w:w w:val="103"/>
                <w:sz w:val="15"/>
              </w:rPr>
              <w:t>页</w:t>
            </w:r>
          </w:p>
        </w:tc>
        <w:tc>
          <w:tcPr>
            <w:tcW w:w="318" w:type="dxa"/>
            <w:tcBorders>
              <w:top w:val="single" w:color="231F20" w:sz="4" w:space="0"/>
              <w:left w:val="nil"/>
              <w:bottom w:val="single" w:color="231F20" w:sz="4" w:space="0"/>
              <w:right w:val="nil"/>
            </w:tcBorders>
          </w:tcPr>
          <w:p>
            <w:pPr>
              <w:pStyle w:val="11"/>
              <w:spacing w:before="135"/>
              <w:ind w:left="91"/>
              <w:rPr>
                <w:sz w:val="15"/>
              </w:rPr>
            </w:pPr>
            <w:r>
              <w:rPr>
                <w:w w:val="103"/>
                <w:sz w:val="15"/>
              </w:rPr>
              <w:t>共</w:t>
            </w:r>
          </w:p>
        </w:tc>
        <w:tc>
          <w:tcPr>
            <w:tcW w:w="502" w:type="dxa"/>
            <w:tcBorders>
              <w:top w:val="single" w:color="231F20" w:sz="4" w:space="0"/>
              <w:left w:val="nil"/>
              <w:bottom w:val="single" w:color="231F20" w:sz="4" w:space="0"/>
            </w:tcBorders>
          </w:tcPr>
          <w:p>
            <w:pPr>
              <w:pStyle w:val="11"/>
              <w:spacing w:before="135"/>
              <w:ind w:left="92"/>
              <w:rPr>
                <w:sz w:val="15"/>
              </w:rPr>
            </w:pPr>
            <w:r>
              <w:rPr>
                <w:w w:val="103"/>
                <w:sz w:val="15"/>
              </w:rPr>
              <w:t>页</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477" w:type="dxa"/>
            <w:tcBorders>
              <w:top w:val="single" w:color="231F20" w:sz="4" w:space="0"/>
              <w:bottom w:val="single" w:color="231F20" w:sz="4" w:space="0"/>
              <w:right w:val="single" w:color="231F20" w:sz="4" w:space="0"/>
            </w:tcBorders>
          </w:tcPr>
          <w:p>
            <w:pPr>
              <w:pStyle w:val="11"/>
              <w:rPr>
                <w:rFonts w:ascii="Microsoft Yi Baiti"/>
                <w:sz w:val="18"/>
              </w:rPr>
            </w:pPr>
          </w:p>
          <w:p>
            <w:pPr>
              <w:pStyle w:val="11"/>
              <w:spacing w:before="4"/>
              <w:rPr>
                <w:rFonts w:ascii="Microsoft Yi Baiti"/>
                <w:sz w:val="18"/>
              </w:rPr>
            </w:pPr>
          </w:p>
          <w:p>
            <w:pPr>
              <w:pStyle w:val="11"/>
              <w:ind w:left="58" w:right="48"/>
              <w:jc w:val="center"/>
              <w:rPr>
                <w:sz w:val="15"/>
              </w:rPr>
            </w:pPr>
            <w:r>
              <w:rPr>
                <w:w w:val="105"/>
                <w:sz w:val="15"/>
              </w:rPr>
              <w:t>序号</w:t>
            </w:r>
          </w:p>
        </w:tc>
        <w:tc>
          <w:tcPr>
            <w:tcW w:w="557" w:type="dxa"/>
            <w:tcBorders>
              <w:top w:val="single" w:color="231F20" w:sz="4" w:space="0"/>
              <w:left w:val="single" w:color="231F20" w:sz="4" w:space="0"/>
              <w:bottom w:val="single" w:color="231F20" w:sz="4" w:space="0"/>
              <w:right w:val="single" w:color="231F20" w:sz="4" w:space="0"/>
            </w:tcBorders>
          </w:tcPr>
          <w:p>
            <w:pPr>
              <w:pStyle w:val="11"/>
              <w:spacing w:before="5"/>
              <w:rPr>
                <w:rFonts w:ascii="Microsoft Yi Baiti"/>
                <w:sz w:val="23"/>
              </w:rPr>
            </w:pPr>
          </w:p>
          <w:p>
            <w:pPr>
              <w:pStyle w:val="11"/>
              <w:spacing w:line="328" w:lineRule="auto"/>
              <w:ind w:left="123" w:right="107"/>
              <w:rPr>
                <w:sz w:val="15"/>
              </w:rPr>
            </w:pPr>
            <w:r>
              <w:rPr>
                <w:w w:val="105"/>
                <w:sz w:val="15"/>
              </w:rPr>
              <w:t>事故时间</w:t>
            </w:r>
          </w:p>
        </w:tc>
        <w:tc>
          <w:tcPr>
            <w:tcW w:w="557" w:type="dxa"/>
            <w:tcBorders>
              <w:top w:val="single" w:color="231F20" w:sz="4" w:space="0"/>
              <w:left w:val="single" w:color="231F20" w:sz="4" w:space="0"/>
              <w:bottom w:val="single" w:color="231F20" w:sz="4" w:space="0"/>
              <w:right w:val="single" w:color="231F20" w:sz="4" w:space="0"/>
            </w:tcBorders>
          </w:tcPr>
          <w:p>
            <w:pPr>
              <w:pStyle w:val="11"/>
              <w:spacing w:before="5"/>
              <w:rPr>
                <w:rFonts w:ascii="Microsoft Yi Baiti"/>
                <w:sz w:val="23"/>
              </w:rPr>
            </w:pPr>
          </w:p>
          <w:p>
            <w:pPr>
              <w:pStyle w:val="11"/>
              <w:spacing w:line="328" w:lineRule="auto"/>
              <w:ind w:left="123" w:right="107"/>
              <w:rPr>
                <w:sz w:val="15"/>
              </w:rPr>
            </w:pPr>
            <w:r>
              <w:rPr>
                <w:w w:val="105"/>
                <w:sz w:val="15"/>
              </w:rPr>
              <w:t>事故地点</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5"/>
              <w:rPr>
                <w:rFonts w:ascii="Microsoft Yi Baiti"/>
                <w:sz w:val="23"/>
              </w:rPr>
            </w:pPr>
          </w:p>
          <w:p>
            <w:pPr>
              <w:pStyle w:val="11"/>
              <w:spacing w:line="328" w:lineRule="auto"/>
              <w:ind w:left="164" w:right="146"/>
              <w:rPr>
                <w:sz w:val="15"/>
              </w:rPr>
            </w:pPr>
            <w:r>
              <w:rPr>
                <w:w w:val="105"/>
                <w:sz w:val="15"/>
              </w:rPr>
              <w:t>事故单位名称</w:t>
            </w:r>
          </w:p>
        </w:tc>
        <w:tc>
          <w:tcPr>
            <w:tcW w:w="557" w:type="dxa"/>
            <w:tcBorders>
              <w:top w:val="single" w:color="231F20" w:sz="4" w:space="0"/>
              <w:left w:val="single" w:color="231F20" w:sz="4" w:space="0"/>
              <w:bottom w:val="single" w:color="231F20" w:sz="4" w:space="0"/>
              <w:right w:val="single" w:color="231F20" w:sz="4" w:space="0"/>
            </w:tcBorders>
          </w:tcPr>
          <w:p>
            <w:pPr>
              <w:pStyle w:val="11"/>
              <w:spacing w:before="5"/>
              <w:rPr>
                <w:rFonts w:ascii="Microsoft Yi Baiti"/>
                <w:sz w:val="23"/>
              </w:rPr>
            </w:pPr>
          </w:p>
          <w:p>
            <w:pPr>
              <w:pStyle w:val="11"/>
              <w:spacing w:line="328" w:lineRule="auto"/>
              <w:ind w:left="123" w:right="107"/>
              <w:rPr>
                <w:sz w:val="15"/>
              </w:rPr>
            </w:pPr>
            <w:r>
              <w:rPr>
                <w:w w:val="105"/>
                <w:sz w:val="15"/>
              </w:rPr>
              <w:t>事故概况</w:t>
            </w:r>
          </w:p>
        </w:tc>
        <w:tc>
          <w:tcPr>
            <w:tcW w:w="557" w:type="dxa"/>
            <w:tcBorders>
              <w:top w:val="single" w:color="231F20" w:sz="4" w:space="0"/>
              <w:left w:val="single" w:color="231F20" w:sz="4" w:space="0"/>
              <w:bottom w:val="single" w:color="231F20" w:sz="4" w:space="0"/>
              <w:right w:val="single" w:color="231F20" w:sz="4" w:space="0"/>
            </w:tcBorders>
          </w:tcPr>
          <w:p>
            <w:pPr>
              <w:pStyle w:val="11"/>
              <w:spacing w:before="5"/>
              <w:rPr>
                <w:rFonts w:ascii="Microsoft Yi Baiti"/>
                <w:sz w:val="23"/>
              </w:rPr>
            </w:pPr>
          </w:p>
          <w:p>
            <w:pPr>
              <w:pStyle w:val="11"/>
              <w:spacing w:line="328" w:lineRule="auto"/>
              <w:ind w:left="123" w:right="107"/>
              <w:rPr>
                <w:sz w:val="15"/>
              </w:rPr>
            </w:pPr>
            <w:r>
              <w:rPr>
                <w:w w:val="105"/>
                <w:sz w:val="15"/>
              </w:rPr>
              <w:t>事故原因</w:t>
            </w:r>
          </w:p>
        </w:tc>
        <w:tc>
          <w:tcPr>
            <w:tcW w:w="557" w:type="dxa"/>
            <w:tcBorders>
              <w:top w:val="single" w:color="231F20" w:sz="4" w:space="0"/>
              <w:left w:val="single" w:color="231F20" w:sz="4" w:space="0"/>
              <w:bottom w:val="single" w:color="231F20" w:sz="4" w:space="0"/>
              <w:right w:val="single" w:color="231F20" w:sz="4" w:space="0"/>
            </w:tcBorders>
          </w:tcPr>
          <w:p>
            <w:pPr>
              <w:pStyle w:val="11"/>
              <w:spacing w:before="5"/>
              <w:rPr>
                <w:rFonts w:ascii="Microsoft Yi Baiti"/>
                <w:sz w:val="23"/>
              </w:rPr>
            </w:pPr>
          </w:p>
          <w:p>
            <w:pPr>
              <w:pStyle w:val="11"/>
              <w:spacing w:line="328" w:lineRule="auto"/>
              <w:ind w:left="122" w:right="107"/>
              <w:rPr>
                <w:sz w:val="15"/>
              </w:rPr>
            </w:pPr>
            <w:r>
              <w:rPr>
                <w:w w:val="105"/>
                <w:sz w:val="15"/>
              </w:rPr>
              <w:t>事故类别</w:t>
            </w:r>
          </w:p>
        </w:tc>
        <w:tc>
          <w:tcPr>
            <w:tcW w:w="1034" w:type="dxa"/>
            <w:tcBorders>
              <w:top w:val="single" w:color="231F20" w:sz="4" w:space="0"/>
              <w:left w:val="single" w:color="231F20" w:sz="4" w:space="0"/>
              <w:bottom w:val="single" w:color="231F20" w:sz="4" w:space="0"/>
              <w:right w:val="single" w:color="231F20" w:sz="4" w:space="0"/>
            </w:tcBorders>
          </w:tcPr>
          <w:p>
            <w:pPr>
              <w:pStyle w:val="11"/>
              <w:spacing w:before="5"/>
              <w:rPr>
                <w:rFonts w:ascii="Microsoft Yi Baiti"/>
                <w:sz w:val="23"/>
              </w:rPr>
            </w:pPr>
          </w:p>
          <w:p>
            <w:pPr>
              <w:pStyle w:val="11"/>
              <w:ind w:left="202"/>
              <w:rPr>
                <w:sz w:val="15"/>
              </w:rPr>
            </w:pPr>
            <w:r>
              <w:rPr>
                <w:spacing w:val="2"/>
                <w:sz w:val="15"/>
              </w:rPr>
              <w:t>死亡人数</w:t>
            </w:r>
          </w:p>
          <w:p>
            <w:pPr>
              <w:pStyle w:val="11"/>
              <w:spacing w:before="72"/>
              <w:ind w:left="187"/>
              <w:rPr>
                <w:rFonts w:hint="eastAsia" w:ascii="MS UI Gothic" w:eastAsia="MS UI Gothic"/>
                <w:sz w:val="15"/>
              </w:rPr>
            </w:pPr>
            <w:r>
              <w:rPr>
                <w:rFonts w:hint="eastAsia" w:ascii="MS UI Gothic" w:eastAsia="MS UI Gothic"/>
                <w:spacing w:val="-26"/>
                <w:w w:val="125"/>
                <w:sz w:val="15"/>
              </w:rPr>
              <w:t xml:space="preserve">( </w:t>
            </w:r>
            <w:r>
              <w:rPr>
                <w:spacing w:val="3"/>
                <w:w w:val="115"/>
                <w:sz w:val="15"/>
              </w:rPr>
              <w:t>含失踪</w:t>
            </w:r>
            <w:r>
              <w:rPr>
                <w:rFonts w:hint="eastAsia" w:ascii="MS UI Gothic" w:eastAsia="MS UI Gothic"/>
                <w:w w:val="125"/>
                <w:sz w:val="15"/>
              </w:rPr>
              <w:t>)</w:t>
            </w:r>
          </w:p>
        </w:tc>
        <w:tc>
          <w:tcPr>
            <w:tcW w:w="1033" w:type="dxa"/>
            <w:gridSpan w:val="2"/>
            <w:tcBorders>
              <w:top w:val="single" w:color="231F20" w:sz="4" w:space="0"/>
              <w:left w:val="single" w:color="231F20" w:sz="4" w:space="0"/>
              <w:bottom w:val="single" w:color="231F20" w:sz="4" w:space="0"/>
              <w:right w:val="single" w:color="231F20" w:sz="4" w:space="0"/>
            </w:tcBorders>
          </w:tcPr>
          <w:p>
            <w:pPr>
              <w:pStyle w:val="11"/>
              <w:spacing w:before="241" w:line="328" w:lineRule="auto"/>
              <w:ind w:left="69" w:right="63" w:firstLine="133"/>
              <w:rPr>
                <w:rFonts w:hint="eastAsia" w:ascii="MS UI Gothic" w:eastAsia="MS UI Gothic"/>
                <w:sz w:val="15"/>
              </w:rPr>
            </w:pPr>
            <w:r>
              <w:rPr>
                <w:spacing w:val="2"/>
                <w:w w:val="115"/>
                <w:sz w:val="15"/>
              </w:rPr>
              <w:t>直接经济</w:t>
            </w:r>
            <w:r>
              <w:rPr>
                <w:spacing w:val="-13"/>
                <w:w w:val="115"/>
                <w:sz w:val="15"/>
              </w:rPr>
              <w:t xml:space="preserve">损失 </w:t>
            </w:r>
            <w:r>
              <w:rPr>
                <w:rFonts w:hint="eastAsia" w:ascii="MS UI Gothic" w:eastAsia="MS UI Gothic"/>
                <w:spacing w:val="-30"/>
                <w:w w:val="150"/>
                <w:sz w:val="15"/>
              </w:rPr>
              <w:t xml:space="preserve">( </w:t>
            </w:r>
            <w:r>
              <w:rPr>
                <w:spacing w:val="3"/>
                <w:w w:val="115"/>
                <w:sz w:val="15"/>
              </w:rPr>
              <w:t>万元</w:t>
            </w:r>
            <w:r>
              <w:rPr>
                <w:rFonts w:hint="eastAsia" w:ascii="MS UI Gothic" w:eastAsia="MS UI Gothic"/>
                <w:spacing w:val="-14"/>
                <w:w w:val="150"/>
                <w:sz w:val="15"/>
              </w:rPr>
              <w:t>)</w:t>
            </w:r>
          </w:p>
        </w:tc>
        <w:tc>
          <w:tcPr>
            <w:tcW w:w="1836" w:type="dxa"/>
            <w:gridSpan w:val="4"/>
            <w:tcBorders>
              <w:top w:val="single" w:color="231F20" w:sz="4" w:space="0"/>
              <w:left w:val="single" w:color="231F20" w:sz="4" w:space="0"/>
              <w:bottom w:val="single" w:color="231F20" w:sz="4" w:space="0"/>
            </w:tcBorders>
          </w:tcPr>
          <w:p>
            <w:pPr>
              <w:pStyle w:val="11"/>
              <w:rPr>
                <w:rFonts w:ascii="Microsoft Yi Baiti"/>
                <w:sz w:val="18"/>
              </w:rPr>
            </w:pPr>
          </w:p>
          <w:p>
            <w:pPr>
              <w:pStyle w:val="11"/>
              <w:spacing w:before="4"/>
              <w:rPr>
                <w:rFonts w:ascii="Microsoft Yi Baiti"/>
                <w:sz w:val="18"/>
              </w:rPr>
            </w:pPr>
          </w:p>
          <w:p>
            <w:pPr>
              <w:pStyle w:val="11"/>
              <w:ind w:left="744" w:right="721"/>
              <w:jc w:val="center"/>
              <w:rPr>
                <w:sz w:val="15"/>
              </w:rPr>
            </w:pPr>
            <w:r>
              <w:rPr>
                <w:w w:val="105"/>
                <w:sz w:val="15"/>
              </w:rPr>
              <w:t>备注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477" w:type="dxa"/>
            <w:tcBorders>
              <w:top w:val="single" w:color="231F20" w:sz="4" w:space="0"/>
              <w:bottom w:val="single" w:color="231F20" w:sz="4" w:space="0"/>
              <w:right w:val="single" w:color="231F20" w:sz="4" w:space="0"/>
            </w:tcBorders>
          </w:tcPr>
          <w:p>
            <w:pPr>
              <w:pStyle w:val="11"/>
              <w:spacing w:before="135"/>
              <w:ind w:left="6"/>
              <w:jc w:val="center"/>
              <w:rPr>
                <w:rFonts w:hint="eastAsia" w:ascii="MS UI Gothic" w:eastAsia="MS UI Gothic"/>
                <w:sz w:val="15"/>
              </w:rPr>
            </w:pPr>
            <w:r>
              <w:rPr>
                <w:rFonts w:hint="eastAsia" w:ascii="MS UI Gothic" w:eastAsia="MS UI Gothic"/>
                <w:w w:val="75"/>
                <w:sz w:val="15"/>
              </w:rPr>
              <w:t>１</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3"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83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477" w:type="dxa"/>
            <w:tcBorders>
              <w:top w:val="single" w:color="231F20" w:sz="4" w:space="0"/>
              <w:bottom w:val="single" w:color="231F20" w:sz="4" w:space="0"/>
              <w:right w:val="single" w:color="231F20" w:sz="4" w:space="0"/>
            </w:tcBorders>
          </w:tcPr>
          <w:p>
            <w:pPr>
              <w:pStyle w:val="11"/>
              <w:spacing w:before="135"/>
              <w:ind w:left="6"/>
              <w:jc w:val="center"/>
              <w:rPr>
                <w:rFonts w:hint="eastAsia" w:ascii="MS UI Gothic" w:eastAsia="MS UI Gothic"/>
                <w:sz w:val="15"/>
              </w:rPr>
            </w:pPr>
            <w:r>
              <w:rPr>
                <w:rFonts w:hint="eastAsia" w:ascii="MS UI Gothic" w:eastAsia="MS UI Gothic"/>
                <w:w w:val="75"/>
                <w:sz w:val="15"/>
              </w:rPr>
              <w:t>２</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3"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83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477" w:type="dxa"/>
            <w:tcBorders>
              <w:top w:val="single" w:color="231F20" w:sz="4" w:space="0"/>
              <w:bottom w:val="single" w:color="231F20" w:sz="4" w:space="0"/>
              <w:right w:val="single" w:color="231F20" w:sz="4" w:space="0"/>
            </w:tcBorders>
          </w:tcPr>
          <w:p>
            <w:pPr>
              <w:pStyle w:val="11"/>
              <w:spacing w:before="135"/>
              <w:ind w:left="6"/>
              <w:jc w:val="center"/>
              <w:rPr>
                <w:rFonts w:hint="eastAsia" w:ascii="MS UI Gothic" w:eastAsia="MS UI Gothic"/>
                <w:sz w:val="15"/>
              </w:rPr>
            </w:pPr>
            <w:r>
              <w:rPr>
                <w:rFonts w:hint="eastAsia" w:ascii="MS UI Gothic" w:eastAsia="MS UI Gothic"/>
                <w:w w:val="75"/>
                <w:sz w:val="15"/>
              </w:rPr>
              <w:t>３</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3"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83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477" w:type="dxa"/>
            <w:tcBorders>
              <w:top w:val="single" w:color="231F20" w:sz="4" w:space="0"/>
              <w:bottom w:val="single" w:color="231F20" w:sz="4" w:space="0"/>
              <w:right w:val="single" w:color="231F20" w:sz="4" w:space="0"/>
            </w:tcBorders>
          </w:tcPr>
          <w:p>
            <w:pPr>
              <w:pStyle w:val="11"/>
              <w:spacing w:before="135"/>
              <w:ind w:left="6"/>
              <w:jc w:val="center"/>
              <w:rPr>
                <w:rFonts w:hint="eastAsia" w:ascii="MS UI Gothic" w:eastAsia="MS UI Gothic"/>
                <w:sz w:val="15"/>
              </w:rPr>
            </w:pPr>
            <w:r>
              <w:rPr>
                <w:rFonts w:hint="eastAsia" w:ascii="MS UI Gothic" w:eastAsia="MS UI Gothic"/>
                <w:w w:val="75"/>
                <w:sz w:val="15"/>
              </w:rPr>
              <w:t>４</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3"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83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477" w:type="dxa"/>
            <w:tcBorders>
              <w:top w:val="single" w:color="231F20" w:sz="4" w:space="0"/>
              <w:bottom w:val="single" w:color="231F20" w:sz="4" w:space="0"/>
              <w:right w:val="single" w:color="231F20" w:sz="4" w:space="0"/>
            </w:tcBorders>
          </w:tcPr>
          <w:p>
            <w:pPr>
              <w:pStyle w:val="11"/>
              <w:spacing w:before="135"/>
              <w:ind w:left="6"/>
              <w:jc w:val="center"/>
              <w:rPr>
                <w:rFonts w:hint="eastAsia" w:ascii="MS UI Gothic" w:eastAsia="MS UI Gothic"/>
                <w:sz w:val="15"/>
              </w:rPr>
            </w:pPr>
            <w:r>
              <w:rPr>
                <w:rFonts w:hint="eastAsia" w:ascii="MS UI Gothic" w:eastAsia="MS UI Gothic"/>
                <w:w w:val="75"/>
                <w:sz w:val="15"/>
              </w:rPr>
              <w:t>５</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3"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83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477" w:type="dxa"/>
            <w:tcBorders>
              <w:top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033"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83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899" w:hRule="atLeast"/>
        </w:trPr>
        <w:tc>
          <w:tcPr>
            <w:tcW w:w="7961" w:type="dxa"/>
            <w:gridSpan w:val="14"/>
            <w:tcBorders>
              <w:top w:val="single" w:color="231F20" w:sz="4" w:space="0"/>
              <w:bottom w:val="single" w:color="231F20" w:sz="4" w:space="0"/>
            </w:tcBorders>
          </w:tcPr>
          <w:p>
            <w:pPr>
              <w:pStyle w:val="11"/>
              <w:spacing w:before="323" w:line="328" w:lineRule="auto"/>
              <w:ind w:left="104" w:right="83" w:firstLine="159"/>
              <w:jc w:val="both"/>
              <w:rPr>
                <w:sz w:val="15"/>
              </w:rPr>
            </w:pPr>
            <w:r>
              <w:rPr>
                <w:w w:val="103"/>
                <w:sz w:val="15"/>
              </w:rPr>
              <w:t>备注</w:t>
            </w:r>
            <w:r>
              <w:rPr>
                <w:rFonts w:hint="eastAsia" w:ascii="MS UI Gothic" w:hAnsi="MS UI Gothic" w:eastAsia="MS UI Gothic"/>
                <w:w w:val="254"/>
                <w:sz w:val="15"/>
              </w:rPr>
              <w:t>:</w:t>
            </w:r>
            <w:r>
              <w:rPr>
                <w:rFonts w:hint="eastAsia" w:ascii="MS UI Gothic" w:hAnsi="MS UI Gothic" w:eastAsia="MS UI Gothic"/>
                <w:sz w:val="15"/>
              </w:rPr>
              <w:t xml:space="preserve">  </w:t>
            </w:r>
            <w:r>
              <w:rPr>
                <w:rFonts w:hint="eastAsia" w:ascii="MS UI Gothic" w:hAnsi="MS UI Gothic" w:eastAsia="MS UI Gothic"/>
                <w:w w:val="169"/>
                <w:sz w:val="15"/>
              </w:rPr>
              <w:t>(</w:t>
            </w:r>
            <w:r>
              <w:rPr>
                <w:rFonts w:hint="eastAsia" w:ascii="MS UI Gothic" w:hAnsi="MS UI Gothic" w:eastAsia="MS UI Gothic"/>
                <w:w w:val="75"/>
                <w:sz w:val="15"/>
              </w:rPr>
              <w:t>１</w:t>
            </w:r>
            <w:r>
              <w:rPr>
                <w:rFonts w:hint="eastAsia" w:ascii="MS UI Gothic" w:hAnsi="MS UI Gothic" w:eastAsia="MS UI Gothic"/>
                <w:w w:val="169"/>
                <w:sz w:val="15"/>
              </w:rPr>
              <w:t>)</w:t>
            </w:r>
            <w:r>
              <w:rPr>
                <w:rFonts w:hint="eastAsia" w:ascii="MS UI Gothic" w:hAnsi="MS UI Gothic" w:eastAsia="MS UI Gothic"/>
                <w:sz w:val="15"/>
              </w:rPr>
              <w:t xml:space="preserve">  </w:t>
            </w:r>
            <w:r>
              <w:rPr>
                <w:w w:val="103"/>
                <w:sz w:val="15"/>
              </w:rPr>
              <w:t>表中</w:t>
            </w:r>
            <w:r>
              <w:rPr>
                <w:sz w:val="15"/>
              </w:rPr>
              <w:t xml:space="preserve"> </w:t>
            </w:r>
            <w:r>
              <w:rPr>
                <w:rFonts w:hint="eastAsia" w:ascii="MS UI Gothic" w:hAnsi="MS UI Gothic" w:eastAsia="MS UI Gothic"/>
                <w:w w:val="103"/>
                <w:sz w:val="15"/>
              </w:rPr>
              <w:t>“</w:t>
            </w:r>
            <w:r>
              <w:rPr>
                <w:rFonts w:hint="eastAsia" w:ascii="MS UI Gothic" w:hAnsi="MS UI Gothic" w:eastAsia="MS UI Gothic"/>
                <w:sz w:val="15"/>
              </w:rPr>
              <w:t xml:space="preserve"> </w:t>
            </w:r>
            <w:r>
              <w:rPr>
                <w:w w:val="103"/>
                <w:sz w:val="15"/>
              </w:rPr>
              <w:t>事故类别</w:t>
            </w:r>
            <w:r>
              <w:rPr>
                <w:rFonts w:hint="eastAsia" w:ascii="MS UI Gothic" w:hAnsi="MS UI Gothic" w:eastAsia="MS UI Gothic"/>
                <w:w w:val="103"/>
                <w:sz w:val="15"/>
              </w:rPr>
              <w:t>”</w:t>
            </w:r>
            <w:r>
              <w:rPr>
                <w:rFonts w:hint="eastAsia" w:ascii="MS UI Gothic" w:hAnsi="MS UI Gothic" w:eastAsia="MS UI Gothic"/>
                <w:sz w:val="15"/>
              </w:rPr>
              <w:t xml:space="preserve">  </w:t>
            </w:r>
            <w:r>
              <w:rPr>
                <w:w w:val="103"/>
                <w:sz w:val="15"/>
              </w:rPr>
              <w:t>按以下分类填写</w:t>
            </w:r>
            <w:r>
              <w:rPr>
                <w:rFonts w:hint="eastAsia" w:ascii="MS UI Gothic" w:hAnsi="MS UI Gothic" w:eastAsia="MS UI Gothic"/>
                <w:w w:val="254"/>
                <w:sz w:val="15"/>
              </w:rPr>
              <w:t>:</w:t>
            </w:r>
            <w:r>
              <w:rPr>
                <w:rFonts w:hint="eastAsia" w:ascii="MS UI Gothic" w:hAnsi="MS UI Gothic" w:eastAsia="MS UI Gothic"/>
                <w:sz w:val="15"/>
              </w:rPr>
              <w:t xml:space="preserve">  </w:t>
            </w:r>
            <w:r>
              <w:rPr>
                <w:rFonts w:hint="eastAsia" w:ascii="MS UI Gothic" w:hAnsi="MS UI Gothic" w:eastAsia="MS UI Gothic"/>
                <w:w w:val="75"/>
                <w:sz w:val="15"/>
              </w:rPr>
              <w:t>１</w:t>
            </w:r>
            <w:r>
              <w:rPr>
                <w:rFonts w:hint="eastAsia" w:ascii="MS UI Gothic" w:hAnsi="MS UI Gothic" w:eastAsia="MS UI Gothic"/>
                <w:sz w:val="15"/>
              </w:rPr>
              <w:t xml:space="preserve">  </w:t>
            </w:r>
            <w:r>
              <w:rPr>
                <w:w w:val="103"/>
                <w:sz w:val="15"/>
              </w:rPr>
              <w:t>物体打击</w:t>
            </w:r>
            <w:r>
              <w:rPr>
                <w:rFonts w:hint="eastAsia" w:ascii="MS UI Gothic" w:hAnsi="MS UI Gothic" w:eastAsia="MS UI Gothic"/>
                <w:w w:val="51"/>
                <w:sz w:val="15"/>
              </w:rPr>
              <w:t>ꎻ</w:t>
            </w:r>
            <w:r>
              <w:rPr>
                <w:rFonts w:hint="eastAsia" w:ascii="MS UI Gothic" w:hAnsi="MS UI Gothic" w:eastAsia="MS UI Gothic"/>
                <w:sz w:val="15"/>
              </w:rPr>
              <w:t xml:space="preserve">  </w:t>
            </w:r>
            <w:r>
              <w:rPr>
                <w:rFonts w:hint="eastAsia" w:ascii="MS UI Gothic" w:hAnsi="MS UI Gothic" w:eastAsia="MS UI Gothic"/>
                <w:w w:val="75"/>
                <w:sz w:val="15"/>
              </w:rPr>
              <w:t>２</w:t>
            </w:r>
            <w:r>
              <w:rPr>
                <w:rFonts w:hint="eastAsia" w:ascii="MS UI Gothic" w:hAnsi="MS UI Gothic" w:eastAsia="MS UI Gothic"/>
                <w:sz w:val="15"/>
              </w:rPr>
              <w:t xml:space="preserve">  </w:t>
            </w:r>
            <w:r>
              <w:rPr>
                <w:w w:val="103"/>
                <w:sz w:val="15"/>
              </w:rPr>
              <w:t>车辆伤害</w:t>
            </w:r>
            <w:r>
              <w:rPr>
                <w:rFonts w:hint="eastAsia" w:ascii="MS UI Gothic" w:hAnsi="MS UI Gothic" w:eastAsia="MS UI Gothic"/>
                <w:w w:val="51"/>
                <w:sz w:val="15"/>
              </w:rPr>
              <w:t>ꎻ</w:t>
            </w:r>
            <w:r>
              <w:rPr>
                <w:rFonts w:hint="eastAsia" w:ascii="MS UI Gothic" w:hAnsi="MS UI Gothic" w:eastAsia="MS UI Gothic"/>
                <w:sz w:val="15"/>
              </w:rPr>
              <w:t xml:space="preserve">  </w:t>
            </w:r>
            <w:r>
              <w:rPr>
                <w:rFonts w:hint="eastAsia" w:ascii="MS UI Gothic" w:hAnsi="MS UI Gothic" w:eastAsia="MS UI Gothic"/>
                <w:w w:val="75"/>
                <w:sz w:val="15"/>
              </w:rPr>
              <w:t>３</w:t>
            </w:r>
            <w:r>
              <w:rPr>
                <w:rFonts w:hint="eastAsia" w:ascii="MS UI Gothic" w:hAnsi="MS UI Gothic" w:eastAsia="MS UI Gothic"/>
                <w:sz w:val="15"/>
              </w:rPr>
              <w:t xml:space="preserve">  </w:t>
            </w:r>
            <w:r>
              <w:rPr>
                <w:w w:val="103"/>
                <w:sz w:val="15"/>
              </w:rPr>
              <w:t>机械伤害</w:t>
            </w:r>
            <w:r>
              <w:rPr>
                <w:rFonts w:hint="eastAsia" w:ascii="MS UI Gothic" w:hAnsi="MS UI Gothic" w:eastAsia="MS UI Gothic"/>
                <w:w w:val="51"/>
                <w:sz w:val="15"/>
              </w:rPr>
              <w:t>ꎻ</w:t>
            </w:r>
            <w:r>
              <w:rPr>
                <w:rFonts w:hint="eastAsia" w:ascii="MS UI Gothic" w:hAnsi="MS UI Gothic" w:eastAsia="MS UI Gothic"/>
                <w:sz w:val="15"/>
              </w:rPr>
              <w:t xml:space="preserve">  </w:t>
            </w:r>
            <w:r>
              <w:rPr>
                <w:rFonts w:hint="eastAsia" w:ascii="MS UI Gothic" w:hAnsi="MS UI Gothic" w:eastAsia="MS UI Gothic"/>
                <w:w w:val="75"/>
                <w:sz w:val="15"/>
              </w:rPr>
              <w:t>４</w:t>
            </w:r>
            <w:r>
              <w:rPr>
                <w:rFonts w:hint="eastAsia" w:ascii="MS UI Gothic" w:hAnsi="MS UI Gothic" w:eastAsia="MS UI Gothic"/>
                <w:sz w:val="15"/>
              </w:rPr>
              <w:t xml:space="preserve">  </w:t>
            </w:r>
            <w:r>
              <w:rPr>
                <w:w w:val="103"/>
                <w:sz w:val="15"/>
              </w:rPr>
              <w:t>起重伤害</w:t>
            </w:r>
            <w:r>
              <w:rPr>
                <w:rFonts w:hint="eastAsia" w:ascii="MS UI Gothic" w:hAnsi="MS UI Gothic" w:eastAsia="MS UI Gothic"/>
                <w:w w:val="51"/>
                <w:sz w:val="15"/>
              </w:rPr>
              <w:t>ꎻ</w:t>
            </w:r>
            <w:r>
              <w:rPr>
                <w:rFonts w:hint="eastAsia" w:ascii="MS UI Gothic" w:hAnsi="MS UI Gothic" w:eastAsia="MS UI Gothic"/>
                <w:sz w:val="15"/>
              </w:rPr>
              <w:t xml:space="preserve">  </w:t>
            </w:r>
            <w:r>
              <w:rPr>
                <w:rFonts w:hint="eastAsia" w:ascii="MS UI Gothic" w:hAnsi="MS UI Gothic" w:eastAsia="MS UI Gothic"/>
                <w:w w:val="75"/>
                <w:sz w:val="15"/>
              </w:rPr>
              <w:t>５</w:t>
            </w:r>
            <w:r>
              <w:rPr>
                <w:sz w:val="15"/>
              </w:rPr>
              <w:t>触电</w:t>
            </w:r>
            <w:r>
              <w:rPr>
                <w:rFonts w:hint="eastAsia" w:ascii="MS UI Gothic" w:hAnsi="MS UI Gothic" w:eastAsia="MS UI Gothic"/>
                <w:w w:val="80"/>
                <w:sz w:val="15"/>
              </w:rPr>
              <w:t xml:space="preserve">ꎻ </w:t>
            </w:r>
            <w:r>
              <w:rPr>
                <w:rFonts w:hint="eastAsia" w:ascii="MS UI Gothic" w:hAnsi="MS UI Gothic" w:eastAsia="MS UI Gothic"/>
                <w:sz w:val="15"/>
              </w:rPr>
              <w:t xml:space="preserve">６ </w:t>
            </w:r>
            <w:r>
              <w:rPr>
                <w:sz w:val="15"/>
              </w:rPr>
              <w:t>淹溺</w:t>
            </w:r>
            <w:r>
              <w:rPr>
                <w:rFonts w:hint="eastAsia" w:ascii="MS UI Gothic" w:hAnsi="MS UI Gothic" w:eastAsia="MS UI Gothic"/>
                <w:w w:val="80"/>
                <w:sz w:val="15"/>
              </w:rPr>
              <w:t xml:space="preserve">ꎻ </w:t>
            </w:r>
            <w:r>
              <w:rPr>
                <w:rFonts w:hint="eastAsia" w:ascii="MS UI Gothic" w:hAnsi="MS UI Gothic" w:eastAsia="MS UI Gothic"/>
                <w:sz w:val="15"/>
              </w:rPr>
              <w:t xml:space="preserve">７ </w:t>
            </w:r>
            <w:r>
              <w:rPr>
                <w:sz w:val="15"/>
              </w:rPr>
              <w:t>灼烫</w:t>
            </w:r>
            <w:r>
              <w:rPr>
                <w:rFonts w:hint="eastAsia" w:ascii="MS UI Gothic" w:hAnsi="MS UI Gothic" w:eastAsia="MS UI Gothic"/>
                <w:w w:val="80"/>
                <w:sz w:val="15"/>
              </w:rPr>
              <w:t xml:space="preserve">ꎻ </w:t>
            </w:r>
            <w:r>
              <w:rPr>
                <w:rFonts w:hint="eastAsia" w:ascii="MS UI Gothic" w:hAnsi="MS UI Gothic" w:eastAsia="MS UI Gothic"/>
                <w:sz w:val="15"/>
              </w:rPr>
              <w:t xml:space="preserve">８ </w:t>
            </w:r>
            <w:r>
              <w:rPr>
                <w:sz w:val="15"/>
              </w:rPr>
              <w:t>火灾</w:t>
            </w:r>
            <w:r>
              <w:rPr>
                <w:rFonts w:hint="eastAsia" w:ascii="MS UI Gothic" w:hAnsi="MS UI Gothic" w:eastAsia="MS UI Gothic"/>
                <w:w w:val="80"/>
                <w:sz w:val="15"/>
              </w:rPr>
              <w:t xml:space="preserve">ꎻ </w:t>
            </w:r>
            <w:r>
              <w:rPr>
                <w:rFonts w:hint="eastAsia" w:ascii="MS UI Gothic" w:hAnsi="MS UI Gothic" w:eastAsia="MS UI Gothic"/>
                <w:sz w:val="15"/>
              </w:rPr>
              <w:t xml:space="preserve">９ </w:t>
            </w:r>
            <w:r>
              <w:rPr>
                <w:sz w:val="15"/>
              </w:rPr>
              <w:t>高处坠落</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１０ </w:t>
            </w:r>
            <w:r>
              <w:rPr>
                <w:sz w:val="15"/>
              </w:rPr>
              <w:t>坍塌</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１１ </w:t>
            </w:r>
            <w:r>
              <w:rPr>
                <w:sz w:val="15"/>
              </w:rPr>
              <w:t>冒顶片帮</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１２ </w:t>
            </w:r>
            <w:r>
              <w:rPr>
                <w:sz w:val="15"/>
              </w:rPr>
              <w:t>透水</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１３ </w:t>
            </w:r>
            <w:r>
              <w:rPr>
                <w:sz w:val="15"/>
              </w:rPr>
              <w:t>放炮</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１４ </w:t>
            </w:r>
            <w:r>
              <w:rPr>
                <w:sz w:val="15"/>
              </w:rPr>
              <w:t>火药爆炸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１５ </w:t>
            </w:r>
            <w:r>
              <w:rPr>
                <w:sz w:val="15"/>
              </w:rPr>
              <w:t>瓦斯爆炸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１６ </w:t>
            </w:r>
            <w:r>
              <w:rPr>
                <w:sz w:val="15"/>
              </w:rPr>
              <w:t>锅炉爆炸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１７ </w:t>
            </w:r>
            <w:r>
              <w:rPr>
                <w:sz w:val="15"/>
              </w:rPr>
              <w:t>容器爆炸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１８ </w:t>
            </w:r>
            <w:r>
              <w:rPr>
                <w:sz w:val="15"/>
              </w:rPr>
              <w:t>其他爆炸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１９ </w:t>
            </w:r>
            <w:r>
              <w:rPr>
                <w:sz w:val="15"/>
              </w:rPr>
              <w:t>中毒窒息</w:t>
            </w:r>
            <w:r>
              <w:rPr>
                <w:rFonts w:hint="eastAsia" w:ascii="MS UI Gothic" w:hAnsi="MS UI Gothic" w:eastAsia="MS UI Gothic"/>
                <w:w w:val="80"/>
                <w:sz w:val="15"/>
              </w:rPr>
              <w:t xml:space="preserve">ꎻ </w:t>
            </w:r>
            <w:r>
              <w:rPr>
                <w:rFonts w:hint="eastAsia" w:ascii="MS UI Gothic" w:hAnsi="MS UI Gothic" w:eastAsia="MS UI Gothic"/>
                <w:sz w:val="15"/>
              </w:rPr>
              <w:t xml:space="preserve">２０ </w:t>
            </w:r>
            <w:r>
              <w:rPr>
                <w:sz w:val="15"/>
              </w:rPr>
              <w:t>其他</w:t>
            </w:r>
          </w:p>
          <w:p>
            <w:pPr>
              <w:pStyle w:val="11"/>
              <w:spacing w:before="2"/>
              <w:ind w:left="343"/>
              <w:rPr>
                <w:sz w:val="15"/>
              </w:rPr>
            </w:pPr>
            <w:r>
              <w:rPr>
                <w:rFonts w:hint="eastAsia" w:ascii="MS UI Gothic" w:eastAsia="MS UI Gothic"/>
                <w:spacing w:val="13"/>
                <w:w w:val="169"/>
                <w:sz w:val="15"/>
              </w:rPr>
              <w:t>(</w:t>
            </w:r>
            <w:r>
              <w:rPr>
                <w:rFonts w:hint="eastAsia" w:ascii="MS UI Gothic" w:eastAsia="MS UI Gothic"/>
                <w:spacing w:val="3"/>
                <w:w w:val="75"/>
                <w:sz w:val="15"/>
              </w:rPr>
              <w:t>２</w:t>
            </w:r>
            <w:r>
              <w:rPr>
                <w:rFonts w:hint="eastAsia" w:ascii="MS UI Gothic" w:eastAsia="MS UI Gothic"/>
                <w:w w:val="169"/>
                <w:sz w:val="15"/>
              </w:rPr>
              <w:t>)</w:t>
            </w:r>
            <w:r>
              <w:rPr>
                <w:rFonts w:hint="eastAsia" w:ascii="MS UI Gothic" w:eastAsia="MS UI Gothic"/>
                <w:spacing w:val="2"/>
                <w:sz w:val="15"/>
              </w:rPr>
              <w:t xml:space="preserve">  </w:t>
            </w:r>
            <w:r>
              <w:rPr>
                <w:spacing w:val="3"/>
                <w:w w:val="103"/>
                <w:sz w:val="15"/>
              </w:rPr>
              <w:t>交通运输企业在生产经营活动中发生的交通事故</w:t>
            </w:r>
            <w:r>
              <w:rPr>
                <w:rFonts w:hint="eastAsia" w:ascii="MS UI Gothic" w:eastAsia="MS UI Gothic"/>
                <w:w w:val="51"/>
                <w:sz w:val="15"/>
              </w:rPr>
              <w:t>ꎬ</w:t>
            </w:r>
            <w:r>
              <w:rPr>
                <w:rFonts w:hint="eastAsia" w:ascii="MS UI Gothic" w:eastAsia="MS UI Gothic"/>
                <w:spacing w:val="-5"/>
                <w:sz w:val="15"/>
              </w:rPr>
              <w:t xml:space="preserve">  </w:t>
            </w:r>
            <w:r>
              <w:rPr>
                <w:spacing w:val="2"/>
                <w:w w:val="103"/>
                <w:sz w:val="15"/>
              </w:rPr>
              <w:t>列企业生产安全事故</w:t>
            </w:r>
          </w:p>
          <w:p>
            <w:pPr>
              <w:pStyle w:val="11"/>
              <w:spacing w:before="72"/>
              <w:ind w:left="343"/>
              <w:rPr>
                <w:sz w:val="15"/>
              </w:rPr>
            </w:pPr>
            <w:r>
              <w:rPr>
                <w:rFonts w:hint="eastAsia" w:ascii="MS UI Gothic" w:eastAsia="MS UI Gothic"/>
                <w:spacing w:val="13"/>
                <w:w w:val="169"/>
                <w:sz w:val="15"/>
              </w:rPr>
              <w:t>(</w:t>
            </w:r>
            <w:r>
              <w:rPr>
                <w:rFonts w:hint="eastAsia" w:ascii="MS UI Gothic" w:eastAsia="MS UI Gothic"/>
                <w:spacing w:val="3"/>
                <w:w w:val="75"/>
                <w:sz w:val="15"/>
              </w:rPr>
              <w:t>３</w:t>
            </w:r>
            <w:r>
              <w:rPr>
                <w:rFonts w:hint="eastAsia" w:ascii="MS UI Gothic" w:eastAsia="MS UI Gothic"/>
                <w:w w:val="169"/>
                <w:sz w:val="15"/>
              </w:rPr>
              <w:t>)</w:t>
            </w:r>
            <w:r>
              <w:rPr>
                <w:rFonts w:hint="eastAsia" w:ascii="MS UI Gothic" w:eastAsia="MS UI Gothic"/>
                <w:spacing w:val="2"/>
                <w:sz w:val="15"/>
              </w:rPr>
              <w:t xml:space="preserve">  </w:t>
            </w:r>
            <w:r>
              <w:rPr>
                <w:spacing w:val="2"/>
                <w:w w:val="103"/>
                <w:sz w:val="15"/>
              </w:rPr>
              <w:t>一般事故只填报死亡事故和直接经济损失</w:t>
            </w:r>
            <w:r>
              <w:rPr>
                <w:spacing w:val="-37"/>
                <w:sz w:val="15"/>
              </w:rPr>
              <w:t xml:space="preserve"> </w:t>
            </w:r>
            <w:r>
              <w:rPr>
                <w:rFonts w:hint="eastAsia" w:ascii="MS UI Gothic" w:eastAsia="MS UI Gothic"/>
                <w:spacing w:val="-1"/>
                <w:w w:val="75"/>
                <w:sz w:val="15"/>
              </w:rPr>
              <w:t>１００</w:t>
            </w:r>
            <w:r>
              <w:rPr>
                <w:rFonts w:hint="eastAsia" w:ascii="MS UI Gothic" w:eastAsia="MS UI Gothic"/>
                <w:spacing w:val="-4"/>
                <w:sz w:val="15"/>
              </w:rPr>
              <w:t xml:space="preserve"> </w:t>
            </w:r>
            <w:r>
              <w:rPr>
                <w:spacing w:val="2"/>
                <w:w w:val="103"/>
                <w:sz w:val="15"/>
              </w:rPr>
              <w:t>万元以上</w:t>
            </w:r>
            <w:r>
              <w:rPr>
                <w:spacing w:val="-37"/>
                <w:sz w:val="15"/>
              </w:rPr>
              <w:t xml:space="preserve"> </w:t>
            </w:r>
            <w:r>
              <w:rPr>
                <w:rFonts w:hint="eastAsia" w:ascii="MS UI Gothic" w:eastAsia="MS UI Gothic"/>
                <w:spacing w:val="-1"/>
                <w:w w:val="75"/>
                <w:sz w:val="15"/>
              </w:rPr>
              <w:t>１０００</w:t>
            </w:r>
            <w:r>
              <w:rPr>
                <w:rFonts w:hint="eastAsia" w:ascii="MS UI Gothic" w:eastAsia="MS UI Gothic"/>
                <w:spacing w:val="-4"/>
                <w:sz w:val="15"/>
              </w:rPr>
              <w:t xml:space="preserve"> </w:t>
            </w:r>
            <w:r>
              <w:rPr>
                <w:spacing w:val="2"/>
                <w:w w:val="103"/>
                <w:sz w:val="15"/>
              </w:rPr>
              <w:t>万元以下事故</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39" w:hRule="atLeast"/>
        </w:trPr>
        <w:tc>
          <w:tcPr>
            <w:tcW w:w="1591" w:type="dxa"/>
            <w:gridSpan w:val="3"/>
            <w:tcBorders>
              <w:top w:val="single" w:color="231F20" w:sz="4" w:space="0"/>
              <w:right w:val="nil"/>
            </w:tcBorders>
          </w:tcPr>
          <w:p>
            <w:pPr>
              <w:pStyle w:val="11"/>
              <w:spacing w:before="241"/>
              <w:ind w:left="104"/>
              <w:rPr>
                <w:rFonts w:hint="eastAsia" w:ascii="MS UI Gothic" w:eastAsia="MS UI Gothic"/>
                <w:sz w:val="15"/>
              </w:rPr>
            </w:pPr>
            <w:r>
              <w:rPr>
                <w:spacing w:val="-2"/>
                <w:w w:val="115"/>
                <w:sz w:val="15"/>
              </w:rPr>
              <w:t xml:space="preserve">单位负责人 </w:t>
            </w:r>
            <w:r>
              <w:rPr>
                <w:rFonts w:hint="eastAsia" w:ascii="MS UI Gothic" w:eastAsia="MS UI Gothic"/>
                <w:spacing w:val="-20"/>
                <w:w w:val="115"/>
                <w:sz w:val="15"/>
              </w:rPr>
              <w:t xml:space="preserve">( </w:t>
            </w:r>
            <w:r>
              <w:rPr>
                <w:spacing w:val="3"/>
                <w:w w:val="115"/>
                <w:sz w:val="15"/>
              </w:rPr>
              <w:t>签字</w:t>
            </w:r>
            <w:r>
              <w:rPr>
                <w:rFonts w:hint="eastAsia" w:ascii="MS UI Gothic" w:eastAsia="MS UI Gothic"/>
                <w:spacing w:val="8"/>
                <w:w w:val="115"/>
                <w:sz w:val="15"/>
              </w:rPr>
              <w:t>):</w:t>
            </w:r>
          </w:p>
          <w:p>
            <w:pPr>
              <w:pStyle w:val="11"/>
              <w:spacing w:before="72"/>
              <w:ind w:left="104"/>
              <w:rPr>
                <w:rFonts w:hint="eastAsia" w:ascii="MS UI Gothic" w:eastAsia="MS UI Gothic"/>
                <w:sz w:val="15"/>
              </w:rPr>
            </w:pPr>
            <w:r>
              <w:rPr>
                <w:w w:val="115"/>
                <w:sz w:val="15"/>
              </w:rPr>
              <w:t>联系电话</w:t>
            </w:r>
            <w:r>
              <w:rPr>
                <w:rFonts w:hint="eastAsia" w:ascii="MS UI Gothic" w:eastAsia="MS UI Gothic"/>
                <w:w w:val="235"/>
                <w:sz w:val="15"/>
              </w:rPr>
              <w:t>:</w:t>
            </w:r>
          </w:p>
        </w:tc>
        <w:tc>
          <w:tcPr>
            <w:tcW w:w="2467" w:type="dxa"/>
            <w:gridSpan w:val="4"/>
            <w:tcBorders>
              <w:top w:val="single" w:color="231F20" w:sz="4" w:space="0"/>
              <w:left w:val="nil"/>
              <w:right w:val="nil"/>
            </w:tcBorders>
          </w:tcPr>
          <w:p>
            <w:pPr>
              <w:pStyle w:val="11"/>
              <w:spacing w:before="241"/>
              <w:ind w:left="755"/>
              <w:rPr>
                <w:rFonts w:hint="eastAsia" w:ascii="MS UI Gothic" w:eastAsia="MS UI Gothic"/>
                <w:sz w:val="15"/>
              </w:rPr>
            </w:pPr>
            <w:r>
              <w:rPr>
                <w:w w:val="120"/>
                <w:sz w:val="15"/>
              </w:rPr>
              <w:t xml:space="preserve">部门负责人 </w:t>
            </w:r>
            <w:r>
              <w:rPr>
                <w:rFonts w:hint="eastAsia" w:ascii="MS UI Gothic" w:eastAsia="MS UI Gothic"/>
                <w:w w:val="150"/>
                <w:sz w:val="15"/>
              </w:rPr>
              <w:t xml:space="preserve">( </w:t>
            </w:r>
            <w:r>
              <w:rPr>
                <w:w w:val="120"/>
                <w:sz w:val="15"/>
              </w:rPr>
              <w:t>签字</w:t>
            </w:r>
            <w:r>
              <w:rPr>
                <w:rFonts w:hint="eastAsia" w:ascii="MS UI Gothic" w:eastAsia="MS UI Gothic"/>
                <w:w w:val="195"/>
                <w:sz w:val="15"/>
              </w:rPr>
              <w:t>):</w:t>
            </w:r>
          </w:p>
          <w:p>
            <w:pPr>
              <w:pStyle w:val="11"/>
              <w:spacing w:before="72"/>
              <w:ind w:left="751"/>
              <w:rPr>
                <w:rFonts w:hint="eastAsia" w:ascii="MS UI Gothic" w:eastAsia="MS UI Gothic"/>
                <w:sz w:val="15"/>
              </w:rPr>
            </w:pPr>
            <w:r>
              <w:rPr>
                <w:w w:val="115"/>
                <w:sz w:val="15"/>
              </w:rPr>
              <w:t>填报日期</w:t>
            </w:r>
            <w:r>
              <w:rPr>
                <w:rFonts w:hint="eastAsia" w:ascii="MS UI Gothic" w:eastAsia="MS UI Gothic"/>
                <w:w w:val="235"/>
                <w:sz w:val="15"/>
              </w:rPr>
              <w:t>:</w:t>
            </w:r>
          </w:p>
        </w:tc>
        <w:tc>
          <w:tcPr>
            <w:tcW w:w="1602" w:type="dxa"/>
            <w:gridSpan w:val="2"/>
            <w:tcBorders>
              <w:top w:val="single" w:color="231F20" w:sz="4" w:space="0"/>
              <w:left w:val="nil"/>
              <w:right w:val="nil"/>
            </w:tcBorders>
          </w:tcPr>
          <w:p>
            <w:pPr>
              <w:pStyle w:val="11"/>
              <w:spacing w:before="241"/>
              <w:ind w:left="467" w:right="-15"/>
              <w:rPr>
                <w:rFonts w:hint="eastAsia" w:ascii="MS UI Gothic" w:eastAsia="MS UI Gothic"/>
                <w:sz w:val="15"/>
              </w:rPr>
            </w:pPr>
            <w:r>
              <w:rPr>
                <w:spacing w:val="-15"/>
                <w:w w:val="120"/>
                <w:sz w:val="15"/>
              </w:rPr>
              <w:t xml:space="preserve">制表人 </w:t>
            </w:r>
            <w:r>
              <w:rPr>
                <w:rFonts w:hint="eastAsia" w:ascii="MS UI Gothic" w:eastAsia="MS UI Gothic"/>
                <w:spacing w:val="-32"/>
                <w:w w:val="150"/>
                <w:sz w:val="15"/>
              </w:rPr>
              <w:t xml:space="preserve">( </w:t>
            </w:r>
            <w:r>
              <w:rPr>
                <w:spacing w:val="3"/>
                <w:w w:val="120"/>
                <w:sz w:val="15"/>
              </w:rPr>
              <w:t>签字</w:t>
            </w:r>
            <w:r>
              <w:rPr>
                <w:rFonts w:hint="eastAsia" w:ascii="MS UI Gothic" w:eastAsia="MS UI Gothic"/>
                <w:spacing w:val="8"/>
                <w:w w:val="150"/>
                <w:sz w:val="15"/>
              </w:rPr>
              <w:t>):</w:t>
            </w:r>
          </w:p>
        </w:tc>
        <w:tc>
          <w:tcPr>
            <w:tcW w:w="2301" w:type="dxa"/>
            <w:gridSpan w:val="5"/>
            <w:tcBorders>
              <w:top w:val="single" w:color="231F20" w:sz="4" w:space="0"/>
              <w:left w:val="nil"/>
            </w:tcBorders>
          </w:tcPr>
          <w:p>
            <w:pPr>
              <w:pStyle w:val="11"/>
              <w:rPr>
                <w:rFonts w:ascii="Times New Roman"/>
                <w:sz w:val="14"/>
              </w:rPr>
            </w:pPr>
          </w:p>
        </w:tc>
      </w:tr>
    </w:tbl>
    <w:p>
      <w:pPr>
        <w:spacing w:after="0"/>
        <w:rPr>
          <w:rFonts w:ascii="Times New Roman"/>
          <w:sz w:val="14"/>
        </w:rPr>
        <w:sectPr>
          <w:type w:val="continuous"/>
          <w:pgSz w:w="10500" w:h="14750"/>
          <w:pgMar w:top="1400" w:right="980" w:bottom="280" w:left="980" w:header="720" w:footer="720" w:gutter="0"/>
        </w:sectPr>
      </w:pPr>
    </w:p>
    <w:p>
      <w:pPr>
        <w:pStyle w:val="6"/>
        <w:ind w:left="0" w:firstLine="0"/>
        <w:jc w:val="left"/>
        <w:rPr>
          <w:rFonts w:ascii="Microsoft Yi Baiti"/>
          <w:sz w:val="32"/>
        </w:rPr>
      </w:pPr>
    </w:p>
    <w:p>
      <w:pPr>
        <w:pStyle w:val="6"/>
        <w:spacing w:before="4"/>
        <w:ind w:left="0" w:firstLine="0"/>
        <w:jc w:val="left"/>
        <w:rPr>
          <w:rFonts w:ascii="Microsoft Yi Baiti"/>
          <w:sz w:val="37"/>
        </w:rPr>
      </w:pPr>
    </w:p>
    <w:p>
      <w:pPr>
        <w:pStyle w:val="6"/>
        <w:ind w:left="440" w:firstLine="0"/>
        <w:jc w:val="left"/>
      </w:pPr>
      <w:r>
        <w:pict>
          <v:shape id="_x0000_s1531" o:spid="_x0000_s1531" style="position:absolute;left:0pt;margin-left:0pt;margin-top:664.5pt;height:1.75pt;width:398.25pt;mso-position-horizontal-relative:page;z-index:251858944;mso-width-relative:page;mso-height-relative:page;" filled="f" stroked="t" coordorigin="0,13290" coordsize="7965,35" path="m1419,-196l9384,-196m1419,-231l9384,-231e">
            <v:path arrowok="t"/>
            <v:fill on="f" focussize="0,0"/>
            <v:stroke weight="0.388031496062992pt" color="#231F20"/>
            <v:imagedata o:title=""/>
            <o:lock v:ext="edit"/>
          </v:shape>
        </w:pict>
      </w:r>
      <w:r>
        <w:rPr>
          <w:spacing w:val="-25"/>
        </w:rPr>
        <w:t xml:space="preserve">附件 </w:t>
      </w:r>
      <w:r>
        <w:rPr>
          <w:w w:val="80"/>
        </w:rPr>
        <w:t>３</w:t>
      </w:r>
    </w:p>
    <w:p>
      <w:pPr>
        <w:spacing w:before="192"/>
        <w:ind w:left="440" w:right="0" w:firstLine="0"/>
        <w:jc w:val="left"/>
        <w:rPr>
          <w:sz w:val="17"/>
        </w:rPr>
      </w:pPr>
      <w:r>
        <w:br w:type="column"/>
      </w:r>
      <w:r>
        <w:rPr>
          <w:spacing w:val="3"/>
          <w:sz w:val="17"/>
        </w:rPr>
        <w:t>四</w:t>
      </w:r>
      <w:r>
        <w:rPr>
          <w:rFonts w:hint="eastAsia" w:ascii="Microsoft Yi Baiti" w:eastAsia="Microsoft Yi Baiti"/>
          <w:spacing w:val="9"/>
          <w:sz w:val="17"/>
        </w:rPr>
        <w:t xml:space="preserve">、 </w:t>
      </w:r>
      <w:r>
        <w:rPr>
          <w:spacing w:val="-19"/>
          <w:sz w:val="17"/>
        </w:rPr>
        <w:t>安 全 生 产 法</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１６３</w:t>
      </w:r>
    </w:p>
    <w:p>
      <w:pPr>
        <w:spacing w:after="0"/>
        <w:jc w:val="left"/>
        <w:rPr>
          <w:rFonts w:hint="eastAsia" w:ascii="MS UI Gothic" w:eastAsia="MS UI Gothic"/>
        </w:rPr>
        <w:sectPr>
          <w:pgSz w:w="10500" w:h="14750"/>
          <w:pgMar w:top="960" w:right="980" w:bottom="280" w:left="980" w:header="720" w:footer="720" w:gutter="0"/>
          <w:cols w:equalWidth="0" w:num="3">
            <w:col w:w="1050" w:space="2212"/>
            <w:col w:w="1918" w:space="1892"/>
            <w:col w:w="1468"/>
          </w:cols>
        </w:sectPr>
      </w:pPr>
    </w:p>
    <w:p>
      <w:pPr>
        <w:pStyle w:val="6"/>
        <w:spacing w:before="1"/>
        <w:ind w:left="0" w:firstLine="0"/>
        <w:jc w:val="left"/>
        <w:rPr>
          <w:rFonts w:ascii="MS UI Gothic"/>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77"/>
        <w:gridCol w:w="557"/>
        <w:gridCol w:w="557"/>
        <w:gridCol w:w="557"/>
        <w:gridCol w:w="637"/>
        <w:gridCol w:w="557"/>
        <w:gridCol w:w="557"/>
        <w:gridCol w:w="557"/>
        <w:gridCol w:w="796"/>
        <w:gridCol w:w="140"/>
        <w:gridCol w:w="418"/>
        <w:gridCol w:w="558"/>
        <w:gridCol w:w="566"/>
        <w:gridCol w:w="320"/>
        <w:gridCol w:w="320"/>
        <w:gridCol w:w="400"/>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7974" w:type="dxa"/>
            <w:gridSpan w:val="16"/>
            <w:tcBorders>
              <w:bottom w:val="single" w:color="231F20" w:sz="4" w:space="0"/>
            </w:tcBorders>
          </w:tcPr>
          <w:p>
            <w:pPr>
              <w:pStyle w:val="11"/>
              <w:spacing w:before="50"/>
              <w:ind w:left="2935" w:right="2930"/>
              <w:jc w:val="center"/>
              <w:rPr>
                <w:sz w:val="15"/>
              </w:rPr>
            </w:pPr>
            <w:r>
              <w:rPr>
                <w:w w:val="105"/>
                <w:sz w:val="15"/>
              </w:rPr>
              <w:t>中央企业生产安全事故月报表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591" w:type="dxa"/>
            <w:gridSpan w:val="3"/>
            <w:tcBorders>
              <w:top w:val="single" w:color="231F20" w:sz="4" w:space="0"/>
              <w:bottom w:val="single" w:color="231F20" w:sz="4" w:space="0"/>
              <w:right w:val="nil"/>
            </w:tcBorders>
          </w:tcPr>
          <w:p>
            <w:pPr>
              <w:pStyle w:val="11"/>
              <w:spacing w:before="55"/>
              <w:ind w:left="158"/>
              <w:rPr>
                <w:rFonts w:hint="eastAsia" w:ascii="MS UI Gothic" w:eastAsia="MS UI Gothic"/>
                <w:sz w:val="15"/>
              </w:rPr>
            </w:pPr>
            <w:r>
              <w:rPr>
                <w:w w:val="115"/>
                <w:sz w:val="15"/>
              </w:rPr>
              <w:t>填报单位</w:t>
            </w:r>
            <w:r>
              <w:rPr>
                <w:rFonts w:hint="eastAsia" w:ascii="MS UI Gothic" w:eastAsia="MS UI Gothic"/>
                <w:w w:val="235"/>
                <w:sz w:val="15"/>
              </w:rPr>
              <w:t>:</w:t>
            </w:r>
          </w:p>
        </w:tc>
        <w:tc>
          <w:tcPr>
            <w:tcW w:w="557" w:type="dxa"/>
            <w:tcBorders>
              <w:top w:val="single" w:color="231F20" w:sz="4" w:space="0"/>
              <w:left w:val="nil"/>
              <w:bottom w:val="single" w:color="231F20" w:sz="4" w:space="0"/>
              <w:right w:val="nil"/>
            </w:tcBorders>
          </w:tcPr>
          <w:p>
            <w:pPr>
              <w:pStyle w:val="11"/>
              <w:rPr>
                <w:rFonts w:ascii="Times New Roman"/>
                <w:sz w:val="14"/>
              </w:rPr>
            </w:pPr>
          </w:p>
        </w:tc>
        <w:tc>
          <w:tcPr>
            <w:tcW w:w="2308" w:type="dxa"/>
            <w:gridSpan w:val="4"/>
            <w:tcBorders>
              <w:top w:val="single" w:color="231F20" w:sz="4" w:space="0"/>
              <w:left w:val="nil"/>
              <w:bottom w:val="single" w:color="231F20" w:sz="4" w:space="0"/>
              <w:right w:val="nil"/>
            </w:tcBorders>
          </w:tcPr>
          <w:p>
            <w:pPr>
              <w:pStyle w:val="11"/>
              <w:tabs>
                <w:tab w:val="left" w:pos="1358"/>
                <w:tab w:val="left" w:pos="1836"/>
              </w:tabs>
              <w:spacing w:before="55"/>
              <w:ind w:left="881"/>
              <w:rPr>
                <w:sz w:val="15"/>
              </w:rPr>
            </w:pPr>
            <w:r>
              <w:rPr>
                <w:rFonts w:hint="eastAsia" w:ascii="MS UI Gothic" w:eastAsia="MS UI Gothic"/>
                <w:sz w:val="15"/>
              </w:rPr>
              <w:t>２０</w:t>
            </w:r>
            <w:r>
              <w:rPr>
                <w:rFonts w:hint="eastAsia" w:ascii="MS UI Gothic" w:eastAsia="MS UI Gothic"/>
                <w:sz w:val="15"/>
              </w:rPr>
              <w:tab/>
            </w:r>
            <w:r>
              <w:rPr>
                <w:sz w:val="15"/>
              </w:rPr>
              <w:t>年</w:t>
            </w:r>
            <w:r>
              <w:rPr>
                <w:sz w:val="15"/>
              </w:rPr>
              <w:tab/>
            </w:r>
            <w:r>
              <w:rPr>
                <w:sz w:val="15"/>
              </w:rPr>
              <w:t>月</w:t>
            </w:r>
          </w:p>
        </w:tc>
        <w:tc>
          <w:tcPr>
            <w:tcW w:w="936" w:type="dxa"/>
            <w:gridSpan w:val="2"/>
            <w:tcBorders>
              <w:top w:val="single" w:color="231F20" w:sz="4" w:space="0"/>
              <w:left w:val="nil"/>
              <w:bottom w:val="single" w:color="231F20" w:sz="4" w:space="0"/>
              <w:right w:val="nil"/>
            </w:tcBorders>
          </w:tcPr>
          <w:p>
            <w:pPr>
              <w:pStyle w:val="11"/>
              <w:rPr>
                <w:rFonts w:ascii="Times New Roman"/>
                <w:sz w:val="14"/>
              </w:rPr>
            </w:pPr>
          </w:p>
        </w:tc>
        <w:tc>
          <w:tcPr>
            <w:tcW w:w="418" w:type="dxa"/>
            <w:tcBorders>
              <w:top w:val="single" w:color="231F20" w:sz="4" w:space="0"/>
              <w:left w:val="nil"/>
              <w:bottom w:val="single" w:color="231F20" w:sz="4" w:space="0"/>
              <w:right w:val="nil"/>
            </w:tcBorders>
          </w:tcPr>
          <w:p>
            <w:pPr>
              <w:pStyle w:val="11"/>
              <w:rPr>
                <w:rFonts w:ascii="Times New Roman"/>
                <w:sz w:val="14"/>
              </w:rPr>
            </w:pPr>
          </w:p>
        </w:tc>
        <w:tc>
          <w:tcPr>
            <w:tcW w:w="558" w:type="dxa"/>
            <w:tcBorders>
              <w:top w:val="single" w:color="231F20" w:sz="4" w:space="0"/>
              <w:left w:val="nil"/>
              <w:bottom w:val="single" w:color="231F20" w:sz="4" w:space="0"/>
              <w:right w:val="nil"/>
            </w:tcBorders>
          </w:tcPr>
          <w:p>
            <w:pPr>
              <w:pStyle w:val="11"/>
              <w:rPr>
                <w:rFonts w:ascii="Times New Roman"/>
                <w:sz w:val="14"/>
              </w:rPr>
            </w:pPr>
          </w:p>
        </w:tc>
        <w:tc>
          <w:tcPr>
            <w:tcW w:w="566" w:type="dxa"/>
            <w:tcBorders>
              <w:top w:val="single" w:color="231F20" w:sz="4" w:space="0"/>
              <w:left w:val="nil"/>
              <w:bottom w:val="single" w:color="231F20" w:sz="4" w:space="0"/>
              <w:right w:val="nil"/>
            </w:tcBorders>
          </w:tcPr>
          <w:p>
            <w:pPr>
              <w:pStyle w:val="11"/>
              <w:spacing w:before="55"/>
              <w:ind w:left="333"/>
              <w:rPr>
                <w:sz w:val="15"/>
              </w:rPr>
            </w:pPr>
            <w:r>
              <w:rPr>
                <w:w w:val="103"/>
                <w:sz w:val="15"/>
              </w:rPr>
              <w:t>第</w:t>
            </w:r>
          </w:p>
        </w:tc>
        <w:tc>
          <w:tcPr>
            <w:tcW w:w="320" w:type="dxa"/>
            <w:tcBorders>
              <w:top w:val="single" w:color="231F20" w:sz="4" w:space="0"/>
              <w:left w:val="nil"/>
              <w:bottom w:val="single" w:color="231F20" w:sz="4" w:space="0"/>
              <w:right w:val="nil"/>
            </w:tcBorders>
          </w:tcPr>
          <w:p>
            <w:pPr>
              <w:pStyle w:val="11"/>
              <w:spacing w:before="55"/>
              <w:ind w:left="85"/>
              <w:rPr>
                <w:sz w:val="15"/>
              </w:rPr>
            </w:pPr>
            <w:r>
              <w:rPr>
                <w:w w:val="103"/>
                <w:sz w:val="15"/>
              </w:rPr>
              <w:t>页</w:t>
            </w:r>
          </w:p>
        </w:tc>
        <w:tc>
          <w:tcPr>
            <w:tcW w:w="320" w:type="dxa"/>
            <w:tcBorders>
              <w:top w:val="single" w:color="231F20" w:sz="4" w:space="0"/>
              <w:left w:val="nil"/>
              <w:bottom w:val="single" w:color="231F20" w:sz="4" w:space="0"/>
              <w:right w:val="nil"/>
            </w:tcBorders>
          </w:tcPr>
          <w:p>
            <w:pPr>
              <w:pStyle w:val="11"/>
              <w:spacing w:before="55"/>
              <w:ind w:left="83"/>
              <w:rPr>
                <w:sz w:val="15"/>
              </w:rPr>
            </w:pPr>
            <w:r>
              <w:rPr>
                <w:w w:val="103"/>
                <w:sz w:val="15"/>
              </w:rPr>
              <w:t>共</w:t>
            </w:r>
          </w:p>
        </w:tc>
        <w:tc>
          <w:tcPr>
            <w:tcW w:w="400" w:type="dxa"/>
            <w:tcBorders>
              <w:top w:val="single" w:color="231F20" w:sz="4" w:space="0"/>
              <w:left w:val="nil"/>
              <w:bottom w:val="single" w:color="231F20" w:sz="4" w:space="0"/>
            </w:tcBorders>
          </w:tcPr>
          <w:p>
            <w:pPr>
              <w:pStyle w:val="11"/>
              <w:spacing w:before="55"/>
              <w:ind w:left="81"/>
              <w:rPr>
                <w:sz w:val="15"/>
              </w:rPr>
            </w:pPr>
            <w:r>
              <w:rPr>
                <w:w w:val="103"/>
                <w:sz w:val="15"/>
              </w:rPr>
              <w:t>页</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263" w:hRule="atLeast"/>
        </w:trPr>
        <w:tc>
          <w:tcPr>
            <w:tcW w:w="477" w:type="dxa"/>
            <w:tcBorders>
              <w:top w:val="single" w:color="231F20" w:sz="4" w:space="0"/>
              <w:bottom w:val="single" w:color="231F20" w:sz="4" w:space="0"/>
              <w:right w:val="single" w:color="231F20" w:sz="4" w:space="0"/>
            </w:tcBorders>
          </w:tcPr>
          <w:p>
            <w:pPr>
              <w:pStyle w:val="11"/>
              <w:rPr>
                <w:rFonts w:ascii="MS UI Gothic"/>
                <w:sz w:val="18"/>
              </w:rPr>
            </w:pPr>
          </w:p>
          <w:p>
            <w:pPr>
              <w:pStyle w:val="11"/>
              <w:spacing w:before="7"/>
              <w:rPr>
                <w:rFonts w:ascii="MS UI Gothic"/>
                <w:sz w:val="23"/>
              </w:rPr>
            </w:pPr>
          </w:p>
          <w:p>
            <w:pPr>
              <w:pStyle w:val="11"/>
              <w:ind w:left="58" w:right="48"/>
              <w:jc w:val="center"/>
              <w:rPr>
                <w:sz w:val="15"/>
              </w:rPr>
            </w:pPr>
            <w:r>
              <w:rPr>
                <w:w w:val="105"/>
                <w:sz w:val="15"/>
              </w:rPr>
              <w:t>序号</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3"/>
              <w:rPr>
                <w:rFonts w:ascii="MS UI Gothic"/>
                <w:sz w:val="13"/>
              </w:rPr>
            </w:pPr>
          </w:p>
          <w:p>
            <w:pPr>
              <w:pStyle w:val="11"/>
              <w:spacing w:line="328" w:lineRule="auto"/>
              <w:ind w:left="123" w:right="107"/>
              <w:rPr>
                <w:sz w:val="15"/>
              </w:rPr>
            </w:pPr>
            <w:r>
              <w:rPr>
                <w:w w:val="105"/>
                <w:sz w:val="15"/>
              </w:rPr>
              <w:t>事故日期</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3"/>
              <w:rPr>
                <w:rFonts w:ascii="MS UI Gothic"/>
                <w:sz w:val="13"/>
              </w:rPr>
            </w:pPr>
          </w:p>
          <w:p>
            <w:pPr>
              <w:pStyle w:val="11"/>
              <w:spacing w:line="328" w:lineRule="auto"/>
              <w:ind w:left="123" w:right="107"/>
              <w:rPr>
                <w:sz w:val="15"/>
              </w:rPr>
            </w:pPr>
            <w:r>
              <w:rPr>
                <w:w w:val="105"/>
                <w:sz w:val="15"/>
              </w:rPr>
              <w:t>事故时间</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3"/>
              <w:rPr>
                <w:rFonts w:ascii="MS UI Gothic"/>
                <w:sz w:val="13"/>
              </w:rPr>
            </w:pPr>
          </w:p>
          <w:p>
            <w:pPr>
              <w:pStyle w:val="11"/>
              <w:spacing w:line="328" w:lineRule="auto"/>
              <w:ind w:left="123" w:right="107"/>
              <w:rPr>
                <w:sz w:val="15"/>
              </w:rPr>
            </w:pPr>
            <w:r>
              <w:rPr>
                <w:w w:val="105"/>
                <w:sz w:val="15"/>
              </w:rPr>
              <w:t>事故地点</w:t>
            </w:r>
          </w:p>
        </w:tc>
        <w:tc>
          <w:tcPr>
            <w:tcW w:w="637" w:type="dxa"/>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3"/>
              <w:rPr>
                <w:rFonts w:ascii="MS UI Gothic"/>
                <w:sz w:val="13"/>
              </w:rPr>
            </w:pPr>
          </w:p>
          <w:p>
            <w:pPr>
              <w:pStyle w:val="11"/>
              <w:spacing w:line="328" w:lineRule="auto"/>
              <w:ind w:left="84" w:right="66"/>
              <w:rPr>
                <w:sz w:val="15"/>
              </w:rPr>
            </w:pPr>
            <w:r>
              <w:rPr>
                <w:w w:val="105"/>
                <w:sz w:val="15"/>
              </w:rPr>
              <w:t>事故单位名称</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3"/>
              <w:rPr>
                <w:rFonts w:ascii="MS UI Gothic"/>
                <w:sz w:val="13"/>
              </w:rPr>
            </w:pPr>
          </w:p>
          <w:p>
            <w:pPr>
              <w:pStyle w:val="11"/>
              <w:spacing w:line="328" w:lineRule="auto"/>
              <w:ind w:left="122" w:right="107"/>
              <w:rPr>
                <w:sz w:val="15"/>
              </w:rPr>
            </w:pPr>
            <w:r>
              <w:rPr>
                <w:w w:val="105"/>
                <w:sz w:val="15"/>
              </w:rPr>
              <w:t>事故概况</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3"/>
              <w:rPr>
                <w:rFonts w:ascii="MS UI Gothic"/>
                <w:sz w:val="13"/>
              </w:rPr>
            </w:pPr>
          </w:p>
          <w:p>
            <w:pPr>
              <w:pStyle w:val="11"/>
              <w:spacing w:line="328" w:lineRule="auto"/>
              <w:ind w:left="122" w:right="107"/>
              <w:rPr>
                <w:sz w:val="15"/>
              </w:rPr>
            </w:pPr>
            <w:r>
              <w:rPr>
                <w:w w:val="105"/>
                <w:sz w:val="15"/>
              </w:rPr>
              <w:t>事故原因</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3"/>
              <w:rPr>
                <w:rFonts w:ascii="MS UI Gothic"/>
                <w:sz w:val="13"/>
              </w:rPr>
            </w:pPr>
          </w:p>
          <w:p>
            <w:pPr>
              <w:pStyle w:val="11"/>
              <w:spacing w:line="328" w:lineRule="auto"/>
              <w:ind w:left="122" w:right="107"/>
              <w:rPr>
                <w:sz w:val="15"/>
              </w:rPr>
            </w:pPr>
            <w:r>
              <w:rPr>
                <w:w w:val="105"/>
                <w:sz w:val="15"/>
              </w:rPr>
              <w:t>事故类别</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12"/>
              <w:rPr>
                <w:rFonts w:ascii="MS UI Gothic"/>
                <w:sz w:val="20"/>
              </w:rPr>
            </w:pPr>
          </w:p>
          <w:p>
            <w:pPr>
              <w:pStyle w:val="11"/>
              <w:spacing w:line="328" w:lineRule="auto"/>
              <w:ind w:left="243" w:right="226"/>
              <w:jc w:val="center"/>
              <w:rPr>
                <w:sz w:val="15"/>
              </w:rPr>
            </w:pPr>
            <w:r>
              <w:rPr>
                <w:w w:val="105"/>
                <w:sz w:val="15"/>
              </w:rPr>
              <w:t>死亡人数</w:t>
            </w:r>
          </w:p>
          <w:p>
            <w:pPr>
              <w:pStyle w:val="11"/>
              <w:spacing w:before="2"/>
              <w:ind w:left="11" w:right="10"/>
              <w:jc w:val="center"/>
              <w:rPr>
                <w:rFonts w:hint="eastAsia" w:ascii="MS UI Gothic" w:eastAsia="MS UI Gothic"/>
                <w:sz w:val="15"/>
              </w:rPr>
            </w:pPr>
            <w:r>
              <w:rPr>
                <w:rFonts w:hint="eastAsia" w:ascii="MS UI Gothic" w:eastAsia="MS UI Gothic"/>
                <w:w w:val="150"/>
                <w:sz w:val="15"/>
              </w:rPr>
              <w:t xml:space="preserve">( </w:t>
            </w:r>
            <w:r>
              <w:rPr>
                <w:w w:val="115"/>
                <w:sz w:val="15"/>
              </w:rPr>
              <w:t>含失踪</w:t>
            </w:r>
            <w:r>
              <w:rPr>
                <w:rFonts w:hint="eastAsia" w:ascii="MS UI Gothic" w:eastAsia="MS UI Gothic"/>
                <w:w w:val="150"/>
                <w:sz w:val="15"/>
              </w:rPr>
              <w:t>)</w:t>
            </w:r>
          </w:p>
        </w:tc>
        <w:tc>
          <w:tcPr>
            <w:tcW w:w="558" w:type="dxa"/>
            <w:gridSpan w:val="2"/>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3"/>
              <w:rPr>
                <w:rFonts w:ascii="MS UI Gothic"/>
                <w:sz w:val="13"/>
              </w:rPr>
            </w:pPr>
          </w:p>
          <w:p>
            <w:pPr>
              <w:pStyle w:val="11"/>
              <w:spacing w:line="328" w:lineRule="auto"/>
              <w:ind w:left="122" w:right="109"/>
              <w:rPr>
                <w:sz w:val="15"/>
              </w:rPr>
            </w:pPr>
            <w:r>
              <w:rPr>
                <w:w w:val="105"/>
                <w:sz w:val="15"/>
              </w:rPr>
              <w:t>重伤人数</w:t>
            </w:r>
          </w:p>
        </w:tc>
        <w:tc>
          <w:tcPr>
            <w:tcW w:w="558" w:type="dxa"/>
            <w:tcBorders>
              <w:top w:val="single" w:color="231F20" w:sz="4" w:space="0"/>
              <w:left w:val="single" w:color="231F20" w:sz="4" w:space="0"/>
              <w:bottom w:val="single" w:color="231F20" w:sz="4" w:space="0"/>
              <w:right w:val="single" w:color="231F20" w:sz="4" w:space="0"/>
            </w:tcBorders>
          </w:tcPr>
          <w:p>
            <w:pPr>
              <w:pStyle w:val="11"/>
              <w:spacing w:before="137" w:line="328" w:lineRule="auto"/>
              <w:ind w:left="121" w:right="110"/>
              <w:jc w:val="both"/>
              <w:rPr>
                <w:sz w:val="15"/>
              </w:rPr>
            </w:pPr>
            <w:r>
              <w:rPr>
                <w:w w:val="105"/>
                <w:sz w:val="15"/>
              </w:rPr>
              <w:t>直接经济损失</w:t>
            </w:r>
          </w:p>
          <w:p>
            <w:pPr>
              <w:pStyle w:val="11"/>
              <w:spacing w:before="2"/>
              <w:ind w:left="26"/>
              <w:jc w:val="both"/>
              <w:rPr>
                <w:rFonts w:hint="eastAsia" w:ascii="MS UI Gothic" w:eastAsia="MS UI Gothic"/>
                <w:sz w:val="15"/>
              </w:rPr>
            </w:pPr>
            <w:r>
              <w:rPr>
                <w:rFonts w:hint="eastAsia" w:ascii="MS UI Gothic" w:eastAsia="MS UI Gothic"/>
                <w:spacing w:val="-32"/>
                <w:w w:val="150"/>
                <w:sz w:val="15"/>
              </w:rPr>
              <w:t xml:space="preserve">( </w:t>
            </w:r>
            <w:r>
              <w:rPr>
                <w:spacing w:val="3"/>
                <w:w w:val="120"/>
                <w:sz w:val="15"/>
              </w:rPr>
              <w:t>万元</w:t>
            </w:r>
            <w:r>
              <w:rPr>
                <w:rFonts w:hint="eastAsia" w:ascii="MS UI Gothic" w:eastAsia="MS UI Gothic"/>
                <w:w w:val="150"/>
                <w:sz w:val="15"/>
              </w:rPr>
              <w:t>)</w:t>
            </w:r>
          </w:p>
        </w:tc>
        <w:tc>
          <w:tcPr>
            <w:tcW w:w="1606" w:type="dxa"/>
            <w:gridSpan w:val="4"/>
            <w:tcBorders>
              <w:top w:val="single" w:color="231F20" w:sz="4" w:space="0"/>
              <w:left w:val="single" w:color="231F20" w:sz="4" w:space="0"/>
              <w:bottom w:val="single" w:color="231F20" w:sz="4" w:space="0"/>
            </w:tcBorders>
          </w:tcPr>
          <w:p>
            <w:pPr>
              <w:pStyle w:val="11"/>
              <w:rPr>
                <w:rFonts w:ascii="MS UI Gothic"/>
                <w:sz w:val="18"/>
              </w:rPr>
            </w:pPr>
          </w:p>
          <w:p>
            <w:pPr>
              <w:pStyle w:val="11"/>
              <w:spacing w:before="7"/>
              <w:rPr>
                <w:rFonts w:ascii="MS UI Gothic"/>
                <w:sz w:val="23"/>
              </w:rPr>
            </w:pPr>
          </w:p>
          <w:p>
            <w:pPr>
              <w:pStyle w:val="11"/>
              <w:ind w:left="622" w:right="614"/>
              <w:jc w:val="center"/>
              <w:rPr>
                <w:sz w:val="15"/>
              </w:rPr>
            </w:pPr>
            <w:r>
              <w:rPr>
                <w:w w:val="105"/>
                <w:sz w:val="15"/>
              </w:rPr>
              <w:t>备注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１</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63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60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２</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63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60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３</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63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60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４</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63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60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５</w:t>
            </w: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63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60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63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gridSpan w:val="2"/>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558"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606" w:type="dxa"/>
            <w:gridSpan w:val="4"/>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263" w:hRule="atLeast"/>
        </w:trPr>
        <w:tc>
          <w:tcPr>
            <w:tcW w:w="7974" w:type="dxa"/>
            <w:gridSpan w:val="16"/>
            <w:tcBorders>
              <w:top w:val="single" w:color="231F20" w:sz="4" w:space="0"/>
              <w:bottom w:val="single" w:color="231F20" w:sz="4" w:space="0"/>
            </w:tcBorders>
          </w:tcPr>
          <w:p>
            <w:pPr>
              <w:pStyle w:val="11"/>
              <w:spacing w:before="137" w:line="328" w:lineRule="auto"/>
              <w:ind w:left="104" w:right="96" w:firstLine="159"/>
              <w:jc w:val="both"/>
              <w:rPr>
                <w:rFonts w:hint="eastAsia" w:ascii="MS UI Gothic" w:hAnsi="MS UI Gothic" w:eastAsia="MS UI Gothic"/>
                <w:sz w:val="15"/>
              </w:rPr>
            </w:pPr>
            <w:r>
              <w:rPr>
                <w:w w:val="103"/>
                <w:sz w:val="15"/>
              </w:rPr>
              <w:t>备注</w:t>
            </w:r>
            <w:r>
              <w:rPr>
                <w:rFonts w:hint="eastAsia" w:ascii="MS UI Gothic" w:hAnsi="MS UI Gothic" w:eastAsia="MS UI Gothic"/>
                <w:w w:val="254"/>
                <w:sz w:val="15"/>
              </w:rPr>
              <w:t>:</w:t>
            </w:r>
            <w:r>
              <w:rPr>
                <w:rFonts w:hint="eastAsia" w:ascii="MS UI Gothic" w:hAnsi="MS UI Gothic" w:eastAsia="MS UI Gothic"/>
                <w:sz w:val="15"/>
              </w:rPr>
              <w:t xml:space="preserve">  </w:t>
            </w:r>
            <w:r>
              <w:rPr>
                <w:rFonts w:hint="eastAsia" w:ascii="MS UI Gothic" w:hAnsi="MS UI Gothic" w:eastAsia="MS UI Gothic"/>
                <w:w w:val="169"/>
                <w:sz w:val="15"/>
              </w:rPr>
              <w:t>(</w:t>
            </w:r>
            <w:r>
              <w:rPr>
                <w:rFonts w:hint="eastAsia" w:ascii="MS UI Gothic" w:hAnsi="MS UI Gothic" w:eastAsia="MS UI Gothic"/>
                <w:w w:val="75"/>
                <w:sz w:val="15"/>
              </w:rPr>
              <w:t>１</w:t>
            </w:r>
            <w:r>
              <w:rPr>
                <w:rFonts w:hint="eastAsia" w:ascii="MS UI Gothic" w:hAnsi="MS UI Gothic" w:eastAsia="MS UI Gothic"/>
                <w:w w:val="169"/>
                <w:sz w:val="15"/>
              </w:rPr>
              <w:t>)</w:t>
            </w:r>
            <w:r>
              <w:rPr>
                <w:rFonts w:hint="eastAsia" w:ascii="MS UI Gothic" w:hAnsi="MS UI Gothic" w:eastAsia="MS UI Gothic"/>
                <w:sz w:val="15"/>
              </w:rPr>
              <w:t xml:space="preserve">  </w:t>
            </w:r>
            <w:r>
              <w:rPr>
                <w:w w:val="103"/>
                <w:sz w:val="15"/>
              </w:rPr>
              <w:t>表中</w:t>
            </w:r>
            <w:r>
              <w:rPr>
                <w:sz w:val="15"/>
              </w:rPr>
              <w:t xml:space="preserve"> </w:t>
            </w:r>
            <w:r>
              <w:rPr>
                <w:rFonts w:hint="eastAsia" w:ascii="MS UI Gothic" w:hAnsi="MS UI Gothic" w:eastAsia="MS UI Gothic"/>
                <w:w w:val="103"/>
                <w:sz w:val="15"/>
              </w:rPr>
              <w:t>“</w:t>
            </w:r>
            <w:r>
              <w:rPr>
                <w:rFonts w:hint="eastAsia" w:ascii="MS UI Gothic" w:hAnsi="MS UI Gothic" w:eastAsia="MS UI Gothic"/>
                <w:sz w:val="15"/>
              </w:rPr>
              <w:t xml:space="preserve"> </w:t>
            </w:r>
            <w:r>
              <w:rPr>
                <w:w w:val="103"/>
                <w:sz w:val="15"/>
              </w:rPr>
              <w:t>事故类别</w:t>
            </w:r>
            <w:r>
              <w:rPr>
                <w:rFonts w:hint="eastAsia" w:ascii="MS UI Gothic" w:hAnsi="MS UI Gothic" w:eastAsia="MS UI Gothic"/>
                <w:w w:val="103"/>
                <w:sz w:val="15"/>
              </w:rPr>
              <w:t>”</w:t>
            </w:r>
            <w:r>
              <w:rPr>
                <w:rFonts w:hint="eastAsia" w:ascii="MS UI Gothic" w:hAnsi="MS UI Gothic" w:eastAsia="MS UI Gothic"/>
                <w:sz w:val="15"/>
              </w:rPr>
              <w:t xml:space="preserve">  </w:t>
            </w:r>
            <w:r>
              <w:rPr>
                <w:w w:val="103"/>
                <w:sz w:val="15"/>
              </w:rPr>
              <w:t>按以下分类填写</w:t>
            </w:r>
            <w:r>
              <w:rPr>
                <w:rFonts w:hint="eastAsia" w:ascii="MS UI Gothic" w:hAnsi="MS UI Gothic" w:eastAsia="MS UI Gothic"/>
                <w:w w:val="254"/>
                <w:sz w:val="15"/>
              </w:rPr>
              <w:t>:</w:t>
            </w:r>
            <w:r>
              <w:rPr>
                <w:rFonts w:hint="eastAsia" w:ascii="MS UI Gothic" w:hAnsi="MS UI Gothic" w:eastAsia="MS UI Gothic"/>
                <w:sz w:val="15"/>
              </w:rPr>
              <w:t xml:space="preserve">  </w:t>
            </w:r>
            <w:r>
              <w:rPr>
                <w:rFonts w:hint="eastAsia" w:ascii="MS UI Gothic" w:hAnsi="MS UI Gothic" w:eastAsia="MS UI Gothic"/>
                <w:w w:val="75"/>
                <w:sz w:val="15"/>
              </w:rPr>
              <w:t>１</w:t>
            </w:r>
            <w:r>
              <w:rPr>
                <w:rFonts w:hint="eastAsia" w:ascii="MS UI Gothic" w:hAnsi="MS UI Gothic" w:eastAsia="MS UI Gothic"/>
                <w:sz w:val="15"/>
              </w:rPr>
              <w:t xml:space="preserve">  </w:t>
            </w:r>
            <w:r>
              <w:rPr>
                <w:w w:val="103"/>
                <w:sz w:val="15"/>
              </w:rPr>
              <w:t>物体打击</w:t>
            </w:r>
            <w:r>
              <w:rPr>
                <w:rFonts w:hint="eastAsia" w:ascii="MS UI Gothic" w:hAnsi="MS UI Gothic" w:eastAsia="MS UI Gothic"/>
                <w:w w:val="51"/>
                <w:sz w:val="15"/>
              </w:rPr>
              <w:t>ꎻ</w:t>
            </w:r>
            <w:r>
              <w:rPr>
                <w:rFonts w:hint="eastAsia" w:ascii="MS UI Gothic" w:hAnsi="MS UI Gothic" w:eastAsia="MS UI Gothic"/>
                <w:sz w:val="15"/>
              </w:rPr>
              <w:t xml:space="preserve">  </w:t>
            </w:r>
            <w:r>
              <w:rPr>
                <w:rFonts w:hint="eastAsia" w:ascii="MS UI Gothic" w:hAnsi="MS UI Gothic" w:eastAsia="MS UI Gothic"/>
                <w:w w:val="75"/>
                <w:sz w:val="15"/>
              </w:rPr>
              <w:t>２</w:t>
            </w:r>
            <w:r>
              <w:rPr>
                <w:rFonts w:hint="eastAsia" w:ascii="MS UI Gothic" w:hAnsi="MS UI Gothic" w:eastAsia="MS UI Gothic"/>
                <w:sz w:val="15"/>
              </w:rPr>
              <w:t xml:space="preserve">  </w:t>
            </w:r>
            <w:r>
              <w:rPr>
                <w:w w:val="103"/>
                <w:sz w:val="15"/>
              </w:rPr>
              <w:t>车辆伤害</w:t>
            </w:r>
            <w:r>
              <w:rPr>
                <w:rFonts w:hint="eastAsia" w:ascii="MS UI Gothic" w:hAnsi="MS UI Gothic" w:eastAsia="MS UI Gothic"/>
                <w:w w:val="51"/>
                <w:sz w:val="15"/>
              </w:rPr>
              <w:t>ꎻ</w:t>
            </w:r>
            <w:r>
              <w:rPr>
                <w:rFonts w:hint="eastAsia" w:ascii="MS UI Gothic" w:hAnsi="MS UI Gothic" w:eastAsia="MS UI Gothic"/>
                <w:sz w:val="15"/>
              </w:rPr>
              <w:t xml:space="preserve">  </w:t>
            </w:r>
            <w:r>
              <w:rPr>
                <w:rFonts w:hint="eastAsia" w:ascii="MS UI Gothic" w:hAnsi="MS UI Gothic" w:eastAsia="MS UI Gothic"/>
                <w:w w:val="75"/>
                <w:sz w:val="15"/>
              </w:rPr>
              <w:t>３</w:t>
            </w:r>
            <w:r>
              <w:rPr>
                <w:rFonts w:hint="eastAsia" w:ascii="MS UI Gothic" w:hAnsi="MS UI Gothic" w:eastAsia="MS UI Gothic"/>
                <w:sz w:val="15"/>
              </w:rPr>
              <w:t xml:space="preserve">  </w:t>
            </w:r>
            <w:r>
              <w:rPr>
                <w:w w:val="103"/>
                <w:sz w:val="15"/>
              </w:rPr>
              <w:t>机械伤害</w:t>
            </w:r>
            <w:r>
              <w:rPr>
                <w:rFonts w:hint="eastAsia" w:ascii="MS UI Gothic" w:hAnsi="MS UI Gothic" w:eastAsia="MS UI Gothic"/>
                <w:w w:val="51"/>
                <w:sz w:val="15"/>
              </w:rPr>
              <w:t>ꎻ</w:t>
            </w:r>
            <w:r>
              <w:rPr>
                <w:rFonts w:hint="eastAsia" w:ascii="MS UI Gothic" w:hAnsi="MS UI Gothic" w:eastAsia="MS UI Gothic"/>
                <w:sz w:val="15"/>
              </w:rPr>
              <w:t xml:space="preserve">  </w:t>
            </w:r>
            <w:r>
              <w:rPr>
                <w:rFonts w:hint="eastAsia" w:ascii="MS UI Gothic" w:hAnsi="MS UI Gothic" w:eastAsia="MS UI Gothic"/>
                <w:w w:val="75"/>
                <w:sz w:val="15"/>
              </w:rPr>
              <w:t>４</w:t>
            </w:r>
            <w:r>
              <w:rPr>
                <w:rFonts w:hint="eastAsia" w:ascii="MS UI Gothic" w:hAnsi="MS UI Gothic" w:eastAsia="MS UI Gothic"/>
                <w:sz w:val="15"/>
              </w:rPr>
              <w:t xml:space="preserve">  </w:t>
            </w:r>
            <w:r>
              <w:rPr>
                <w:w w:val="103"/>
                <w:sz w:val="15"/>
              </w:rPr>
              <w:t>起重伤害</w:t>
            </w:r>
            <w:r>
              <w:rPr>
                <w:rFonts w:hint="eastAsia" w:ascii="MS UI Gothic" w:hAnsi="MS UI Gothic" w:eastAsia="MS UI Gothic"/>
                <w:w w:val="51"/>
                <w:sz w:val="15"/>
              </w:rPr>
              <w:t>ꎻ</w:t>
            </w:r>
            <w:r>
              <w:rPr>
                <w:rFonts w:hint="eastAsia" w:ascii="MS UI Gothic" w:hAnsi="MS UI Gothic" w:eastAsia="MS UI Gothic"/>
                <w:sz w:val="15"/>
              </w:rPr>
              <w:t xml:space="preserve">  </w:t>
            </w:r>
            <w:r>
              <w:rPr>
                <w:rFonts w:hint="eastAsia" w:ascii="MS UI Gothic" w:hAnsi="MS UI Gothic" w:eastAsia="MS UI Gothic"/>
                <w:w w:val="75"/>
                <w:sz w:val="15"/>
              </w:rPr>
              <w:t>５</w:t>
            </w:r>
            <w:r>
              <w:rPr>
                <w:sz w:val="15"/>
              </w:rPr>
              <w:t>触电</w:t>
            </w:r>
            <w:r>
              <w:rPr>
                <w:rFonts w:hint="eastAsia" w:ascii="MS UI Gothic" w:hAnsi="MS UI Gothic" w:eastAsia="MS UI Gothic"/>
                <w:w w:val="80"/>
                <w:sz w:val="15"/>
              </w:rPr>
              <w:t xml:space="preserve">ꎻ </w:t>
            </w:r>
            <w:r>
              <w:rPr>
                <w:rFonts w:hint="eastAsia" w:ascii="MS UI Gothic" w:hAnsi="MS UI Gothic" w:eastAsia="MS UI Gothic"/>
                <w:sz w:val="15"/>
              </w:rPr>
              <w:t xml:space="preserve">６ </w:t>
            </w:r>
            <w:r>
              <w:rPr>
                <w:sz w:val="15"/>
              </w:rPr>
              <w:t>淹溺</w:t>
            </w:r>
            <w:r>
              <w:rPr>
                <w:rFonts w:hint="eastAsia" w:ascii="MS UI Gothic" w:hAnsi="MS UI Gothic" w:eastAsia="MS UI Gothic"/>
                <w:w w:val="80"/>
                <w:sz w:val="15"/>
              </w:rPr>
              <w:t xml:space="preserve">ꎻ </w:t>
            </w:r>
            <w:r>
              <w:rPr>
                <w:rFonts w:hint="eastAsia" w:ascii="MS UI Gothic" w:hAnsi="MS UI Gothic" w:eastAsia="MS UI Gothic"/>
                <w:sz w:val="15"/>
              </w:rPr>
              <w:t xml:space="preserve">７ </w:t>
            </w:r>
            <w:r>
              <w:rPr>
                <w:sz w:val="15"/>
              </w:rPr>
              <w:t>灼烫</w:t>
            </w:r>
            <w:r>
              <w:rPr>
                <w:rFonts w:hint="eastAsia" w:ascii="MS UI Gothic" w:hAnsi="MS UI Gothic" w:eastAsia="MS UI Gothic"/>
                <w:w w:val="80"/>
                <w:sz w:val="15"/>
              </w:rPr>
              <w:t xml:space="preserve">ꎻ </w:t>
            </w:r>
            <w:r>
              <w:rPr>
                <w:rFonts w:hint="eastAsia" w:ascii="MS UI Gothic" w:hAnsi="MS UI Gothic" w:eastAsia="MS UI Gothic"/>
                <w:sz w:val="15"/>
              </w:rPr>
              <w:t xml:space="preserve">８ </w:t>
            </w:r>
            <w:r>
              <w:rPr>
                <w:sz w:val="15"/>
              </w:rPr>
              <w:t>火灾</w:t>
            </w:r>
            <w:r>
              <w:rPr>
                <w:rFonts w:hint="eastAsia" w:ascii="MS UI Gothic" w:hAnsi="MS UI Gothic" w:eastAsia="MS UI Gothic"/>
                <w:w w:val="80"/>
                <w:sz w:val="15"/>
              </w:rPr>
              <w:t xml:space="preserve">ꎻ </w:t>
            </w:r>
            <w:r>
              <w:rPr>
                <w:rFonts w:hint="eastAsia" w:ascii="MS UI Gothic" w:hAnsi="MS UI Gothic" w:eastAsia="MS UI Gothic"/>
                <w:sz w:val="15"/>
              </w:rPr>
              <w:t xml:space="preserve">９ </w:t>
            </w:r>
            <w:r>
              <w:rPr>
                <w:sz w:val="15"/>
              </w:rPr>
              <w:t>高处坠落</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１０ </w:t>
            </w:r>
            <w:r>
              <w:rPr>
                <w:sz w:val="15"/>
              </w:rPr>
              <w:t>坍塌</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１１ </w:t>
            </w:r>
            <w:r>
              <w:rPr>
                <w:sz w:val="15"/>
              </w:rPr>
              <w:t>冒顶片帮</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１２ </w:t>
            </w:r>
            <w:r>
              <w:rPr>
                <w:sz w:val="15"/>
              </w:rPr>
              <w:t>透水</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１３ </w:t>
            </w:r>
            <w:r>
              <w:rPr>
                <w:sz w:val="15"/>
              </w:rPr>
              <w:t>放炮</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１４ </w:t>
            </w:r>
            <w:r>
              <w:rPr>
                <w:sz w:val="15"/>
              </w:rPr>
              <w:t>火药爆炸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１５ </w:t>
            </w:r>
            <w:r>
              <w:rPr>
                <w:sz w:val="15"/>
              </w:rPr>
              <w:t>瓦斯爆炸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１６ </w:t>
            </w:r>
            <w:r>
              <w:rPr>
                <w:sz w:val="15"/>
              </w:rPr>
              <w:t>锅炉爆炸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１７ </w:t>
            </w:r>
            <w:r>
              <w:rPr>
                <w:sz w:val="15"/>
              </w:rPr>
              <w:t>容器爆炸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１８ </w:t>
            </w:r>
            <w:r>
              <w:rPr>
                <w:sz w:val="15"/>
              </w:rPr>
              <w:t>其它爆炸</w:t>
            </w:r>
            <w:r>
              <w:rPr>
                <w:rFonts w:hint="eastAsia" w:ascii="MS UI Gothic" w:hAnsi="MS UI Gothic" w:eastAsia="MS UI Gothic"/>
                <w:w w:val="80"/>
                <w:sz w:val="15"/>
              </w:rPr>
              <w:t xml:space="preserve">ꎻ </w:t>
            </w:r>
            <w:r>
              <w:rPr>
                <w:rFonts w:hint="eastAsia" w:ascii="MS UI Gothic" w:hAnsi="MS UI Gothic" w:eastAsia="MS UI Gothic"/>
                <w:sz w:val="15"/>
              </w:rPr>
              <w:t xml:space="preserve">１９ </w:t>
            </w:r>
            <w:r>
              <w:rPr>
                <w:sz w:val="15"/>
              </w:rPr>
              <w:t>中毒窒息</w:t>
            </w:r>
            <w:r>
              <w:rPr>
                <w:rFonts w:hint="eastAsia" w:ascii="MS UI Gothic" w:hAnsi="MS UI Gothic" w:eastAsia="MS UI Gothic"/>
                <w:w w:val="80"/>
                <w:sz w:val="15"/>
              </w:rPr>
              <w:t xml:space="preserve">ꎻ </w:t>
            </w:r>
            <w:r>
              <w:rPr>
                <w:rFonts w:hint="eastAsia" w:ascii="MS UI Gothic" w:hAnsi="MS UI Gothic" w:eastAsia="MS UI Gothic"/>
                <w:sz w:val="15"/>
              </w:rPr>
              <w:t xml:space="preserve">２０ </w:t>
            </w:r>
            <w:r>
              <w:rPr>
                <w:sz w:val="15"/>
              </w:rPr>
              <w:t>其它</w:t>
            </w:r>
            <w:r>
              <w:rPr>
                <w:rFonts w:hint="eastAsia" w:ascii="MS UI Gothic" w:hAnsi="MS UI Gothic" w:eastAsia="MS UI Gothic"/>
                <w:w w:val="80"/>
                <w:sz w:val="15"/>
              </w:rPr>
              <w:t>ꎮ</w:t>
            </w:r>
          </w:p>
          <w:p>
            <w:pPr>
              <w:pStyle w:val="11"/>
              <w:spacing w:before="2"/>
              <w:ind w:left="343"/>
              <w:rPr>
                <w:rFonts w:hint="eastAsia" w:ascii="MS UI Gothic" w:eastAsia="MS UI Gothic"/>
                <w:sz w:val="15"/>
              </w:rPr>
            </w:pPr>
            <w:r>
              <w:rPr>
                <w:rFonts w:hint="eastAsia" w:ascii="MS UI Gothic" w:eastAsia="MS UI Gothic"/>
                <w:spacing w:val="13"/>
                <w:w w:val="169"/>
                <w:sz w:val="15"/>
              </w:rPr>
              <w:t>(</w:t>
            </w:r>
            <w:r>
              <w:rPr>
                <w:rFonts w:hint="eastAsia" w:ascii="MS UI Gothic" w:eastAsia="MS UI Gothic"/>
                <w:spacing w:val="3"/>
                <w:w w:val="75"/>
                <w:sz w:val="15"/>
              </w:rPr>
              <w:t>２</w:t>
            </w:r>
            <w:r>
              <w:rPr>
                <w:rFonts w:hint="eastAsia" w:ascii="MS UI Gothic" w:eastAsia="MS UI Gothic"/>
                <w:w w:val="169"/>
                <w:sz w:val="15"/>
              </w:rPr>
              <w:t>)</w:t>
            </w:r>
            <w:r>
              <w:rPr>
                <w:rFonts w:hint="eastAsia" w:ascii="MS UI Gothic" w:eastAsia="MS UI Gothic"/>
                <w:spacing w:val="2"/>
                <w:sz w:val="15"/>
              </w:rPr>
              <w:t xml:space="preserve">  </w:t>
            </w:r>
            <w:r>
              <w:rPr>
                <w:spacing w:val="3"/>
                <w:w w:val="103"/>
                <w:sz w:val="15"/>
              </w:rPr>
              <w:t>交通运输企业在生产经营活动中发生的交通事故</w:t>
            </w:r>
            <w:r>
              <w:rPr>
                <w:rFonts w:hint="eastAsia" w:ascii="MS UI Gothic" w:eastAsia="MS UI Gothic"/>
                <w:w w:val="51"/>
                <w:sz w:val="15"/>
              </w:rPr>
              <w:t>ꎬ</w:t>
            </w:r>
            <w:r>
              <w:rPr>
                <w:rFonts w:hint="eastAsia" w:ascii="MS UI Gothic" w:eastAsia="MS UI Gothic"/>
                <w:spacing w:val="-5"/>
                <w:sz w:val="15"/>
              </w:rPr>
              <w:t xml:space="preserve">  </w:t>
            </w:r>
            <w:r>
              <w:rPr>
                <w:spacing w:val="3"/>
                <w:w w:val="103"/>
                <w:sz w:val="15"/>
              </w:rPr>
              <w:t>列企业生产安全事故</w:t>
            </w:r>
            <w:r>
              <w:rPr>
                <w:rFonts w:hint="eastAsia" w:ascii="MS UI Gothic" w:eastAsia="MS UI Gothic"/>
                <w:w w:val="51"/>
                <w:sz w:val="15"/>
              </w:rPr>
              <w:t>ꎮ</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780" w:hRule="atLeast"/>
        </w:trPr>
        <w:tc>
          <w:tcPr>
            <w:tcW w:w="1591" w:type="dxa"/>
            <w:gridSpan w:val="3"/>
            <w:tcBorders>
              <w:top w:val="single" w:color="231F20" w:sz="4" w:space="0"/>
              <w:right w:val="nil"/>
            </w:tcBorders>
          </w:tcPr>
          <w:p>
            <w:pPr>
              <w:pStyle w:val="11"/>
              <w:spacing w:before="162"/>
              <w:ind w:left="104"/>
              <w:rPr>
                <w:rFonts w:hint="eastAsia" w:ascii="MS UI Gothic" w:eastAsia="MS UI Gothic"/>
                <w:sz w:val="15"/>
              </w:rPr>
            </w:pPr>
            <w:r>
              <w:rPr>
                <w:spacing w:val="-2"/>
                <w:w w:val="115"/>
                <w:sz w:val="15"/>
              </w:rPr>
              <w:t xml:space="preserve">单位负责人 </w:t>
            </w:r>
            <w:r>
              <w:rPr>
                <w:rFonts w:hint="eastAsia" w:ascii="MS UI Gothic" w:eastAsia="MS UI Gothic"/>
                <w:spacing w:val="-20"/>
                <w:w w:val="115"/>
                <w:sz w:val="15"/>
              </w:rPr>
              <w:t xml:space="preserve">( </w:t>
            </w:r>
            <w:r>
              <w:rPr>
                <w:spacing w:val="3"/>
                <w:w w:val="115"/>
                <w:sz w:val="15"/>
              </w:rPr>
              <w:t>签字</w:t>
            </w:r>
            <w:r>
              <w:rPr>
                <w:rFonts w:hint="eastAsia" w:ascii="MS UI Gothic" w:eastAsia="MS UI Gothic"/>
                <w:spacing w:val="8"/>
                <w:w w:val="115"/>
                <w:sz w:val="15"/>
              </w:rPr>
              <w:t>):</w:t>
            </w:r>
          </w:p>
          <w:p>
            <w:pPr>
              <w:pStyle w:val="11"/>
              <w:spacing w:before="72"/>
              <w:ind w:left="104"/>
              <w:rPr>
                <w:rFonts w:hint="eastAsia" w:ascii="MS UI Gothic" w:eastAsia="MS UI Gothic"/>
                <w:sz w:val="15"/>
              </w:rPr>
            </w:pPr>
            <w:r>
              <w:rPr>
                <w:w w:val="115"/>
                <w:sz w:val="15"/>
              </w:rPr>
              <w:t>联系电话</w:t>
            </w:r>
            <w:r>
              <w:rPr>
                <w:rFonts w:hint="eastAsia" w:ascii="MS UI Gothic" w:eastAsia="MS UI Gothic"/>
                <w:w w:val="235"/>
                <w:sz w:val="15"/>
              </w:rPr>
              <w:t>:</w:t>
            </w:r>
          </w:p>
        </w:tc>
        <w:tc>
          <w:tcPr>
            <w:tcW w:w="557" w:type="dxa"/>
            <w:tcBorders>
              <w:top w:val="single" w:color="231F20" w:sz="4" w:space="0"/>
              <w:left w:val="nil"/>
              <w:right w:val="nil"/>
            </w:tcBorders>
          </w:tcPr>
          <w:p>
            <w:pPr>
              <w:pStyle w:val="11"/>
              <w:rPr>
                <w:rFonts w:ascii="Times New Roman"/>
                <w:sz w:val="14"/>
              </w:rPr>
            </w:pPr>
          </w:p>
        </w:tc>
        <w:tc>
          <w:tcPr>
            <w:tcW w:w="2308" w:type="dxa"/>
            <w:gridSpan w:val="4"/>
            <w:tcBorders>
              <w:top w:val="single" w:color="231F20" w:sz="4" w:space="0"/>
              <w:left w:val="nil"/>
              <w:right w:val="nil"/>
            </w:tcBorders>
          </w:tcPr>
          <w:p>
            <w:pPr>
              <w:pStyle w:val="11"/>
              <w:spacing w:before="162"/>
              <w:ind w:left="516"/>
              <w:rPr>
                <w:rFonts w:hint="eastAsia" w:ascii="MS UI Gothic" w:eastAsia="MS UI Gothic"/>
                <w:sz w:val="15"/>
              </w:rPr>
            </w:pPr>
            <w:r>
              <w:rPr>
                <w:w w:val="120"/>
                <w:sz w:val="15"/>
              </w:rPr>
              <w:t xml:space="preserve">部门负责人 </w:t>
            </w:r>
            <w:r>
              <w:rPr>
                <w:rFonts w:hint="eastAsia" w:ascii="MS UI Gothic" w:eastAsia="MS UI Gothic"/>
                <w:w w:val="150"/>
                <w:sz w:val="15"/>
              </w:rPr>
              <w:t xml:space="preserve">( </w:t>
            </w:r>
            <w:r>
              <w:rPr>
                <w:w w:val="120"/>
                <w:sz w:val="15"/>
              </w:rPr>
              <w:t>签字</w:t>
            </w:r>
            <w:r>
              <w:rPr>
                <w:rFonts w:hint="eastAsia" w:ascii="MS UI Gothic" w:eastAsia="MS UI Gothic"/>
                <w:w w:val="195"/>
                <w:sz w:val="15"/>
              </w:rPr>
              <w:t>):</w:t>
            </w:r>
          </w:p>
          <w:p>
            <w:pPr>
              <w:pStyle w:val="11"/>
              <w:spacing w:before="72"/>
              <w:ind w:left="512"/>
              <w:rPr>
                <w:rFonts w:hint="eastAsia" w:ascii="MS UI Gothic" w:eastAsia="MS UI Gothic"/>
                <w:sz w:val="15"/>
              </w:rPr>
            </w:pPr>
            <w:r>
              <w:rPr>
                <w:w w:val="115"/>
                <w:sz w:val="15"/>
              </w:rPr>
              <w:t>填报日期</w:t>
            </w:r>
            <w:r>
              <w:rPr>
                <w:rFonts w:hint="eastAsia" w:ascii="MS UI Gothic" w:eastAsia="MS UI Gothic"/>
                <w:w w:val="235"/>
                <w:sz w:val="15"/>
              </w:rPr>
              <w:t>:</w:t>
            </w:r>
          </w:p>
        </w:tc>
        <w:tc>
          <w:tcPr>
            <w:tcW w:w="936" w:type="dxa"/>
            <w:gridSpan w:val="2"/>
            <w:tcBorders>
              <w:top w:val="single" w:color="231F20" w:sz="4" w:space="0"/>
              <w:left w:val="nil"/>
              <w:right w:val="nil"/>
            </w:tcBorders>
          </w:tcPr>
          <w:p>
            <w:pPr>
              <w:pStyle w:val="11"/>
              <w:spacing w:before="162"/>
              <w:ind w:left="387" w:right="-15"/>
              <w:rPr>
                <w:rFonts w:hint="eastAsia" w:ascii="MS UI Gothic" w:eastAsia="MS UI Gothic"/>
                <w:sz w:val="15"/>
              </w:rPr>
            </w:pPr>
            <w:r>
              <w:rPr>
                <w:spacing w:val="3"/>
                <w:w w:val="110"/>
                <w:sz w:val="15"/>
              </w:rPr>
              <w:t>制表人</w:t>
            </w:r>
            <w:r>
              <w:rPr>
                <w:rFonts w:hint="eastAsia" w:ascii="MS UI Gothic" w:eastAsia="MS UI Gothic"/>
                <w:w w:val="110"/>
                <w:sz w:val="15"/>
              </w:rPr>
              <w:t>:</w:t>
            </w:r>
          </w:p>
        </w:tc>
        <w:tc>
          <w:tcPr>
            <w:tcW w:w="418" w:type="dxa"/>
            <w:tcBorders>
              <w:top w:val="single" w:color="231F20" w:sz="4" w:space="0"/>
              <w:left w:val="nil"/>
              <w:right w:val="nil"/>
            </w:tcBorders>
          </w:tcPr>
          <w:p>
            <w:pPr>
              <w:pStyle w:val="11"/>
              <w:rPr>
                <w:rFonts w:ascii="Times New Roman"/>
                <w:sz w:val="14"/>
              </w:rPr>
            </w:pPr>
          </w:p>
        </w:tc>
        <w:tc>
          <w:tcPr>
            <w:tcW w:w="558" w:type="dxa"/>
            <w:tcBorders>
              <w:top w:val="single" w:color="231F20" w:sz="4" w:space="0"/>
              <w:left w:val="nil"/>
              <w:right w:val="nil"/>
            </w:tcBorders>
          </w:tcPr>
          <w:p>
            <w:pPr>
              <w:pStyle w:val="11"/>
              <w:rPr>
                <w:rFonts w:ascii="Times New Roman"/>
                <w:sz w:val="14"/>
              </w:rPr>
            </w:pPr>
          </w:p>
        </w:tc>
        <w:tc>
          <w:tcPr>
            <w:tcW w:w="1606" w:type="dxa"/>
            <w:gridSpan w:val="4"/>
            <w:tcBorders>
              <w:top w:val="single" w:color="231F20" w:sz="4" w:space="0"/>
              <w:left w:val="nil"/>
            </w:tcBorders>
          </w:tcPr>
          <w:p>
            <w:pPr>
              <w:pStyle w:val="11"/>
              <w:rPr>
                <w:rFonts w:ascii="Times New Roman"/>
                <w:sz w:val="14"/>
              </w:rPr>
            </w:pPr>
          </w:p>
        </w:tc>
      </w:tr>
    </w:tbl>
    <w:p>
      <w:pPr>
        <w:pStyle w:val="6"/>
        <w:spacing w:before="4"/>
        <w:ind w:left="0" w:firstLine="0"/>
        <w:jc w:val="left"/>
        <w:rPr>
          <w:rFonts w:ascii="MS UI Gothic"/>
          <w:sz w:val="23"/>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77"/>
        <w:gridCol w:w="1114"/>
        <w:gridCol w:w="1114"/>
        <w:gridCol w:w="1114"/>
        <w:gridCol w:w="1114"/>
        <w:gridCol w:w="1114"/>
        <w:gridCol w:w="1917"/>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7964" w:type="dxa"/>
            <w:gridSpan w:val="7"/>
            <w:tcBorders>
              <w:bottom w:val="single" w:color="231F20" w:sz="4" w:space="0"/>
            </w:tcBorders>
          </w:tcPr>
          <w:p>
            <w:pPr>
              <w:pStyle w:val="11"/>
              <w:spacing w:before="50"/>
              <w:ind w:left="2857" w:right="2842"/>
              <w:jc w:val="center"/>
              <w:rPr>
                <w:sz w:val="15"/>
              </w:rPr>
            </w:pPr>
            <w:r>
              <w:rPr>
                <w:w w:val="105"/>
                <w:sz w:val="15"/>
              </w:rPr>
              <w:t>中央企业生产安全事故年度报表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7964" w:type="dxa"/>
            <w:gridSpan w:val="7"/>
            <w:tcBorders>
              <w:top w:val="single" w:color="231F20" w:sz="4" w:space="0"/>
              <w:bottom w:val="single" w:color="231F20" w:sz="4" w:space="0"/>
            </w:tcBorders>
          </w:tcPr>
          <w:p>
            <w:pPr>
              <w:pStyle w:val="11"/>
              <w:tabs>
                <w:tab w:val="left" w:pos="4451"/>
                <w:tab w:val="left" w:pos="4928"/>
                <w:tab w:val="left" w:pos="6691"/>
              </w:tabs>
              <w:spacing w:before="55"/>
              <w:ind w:left="158"/>
              <w:rPr>
                <w:sz w:val="15"/>
              </w:rPr>
            </w:pPr>
            <w:r>
              <w:rPr>
                <w:spacing w:val="3"/>
                <w:w w:val="115"/>
                <w:sz w:val="15"/>
              </w:rPr>
              <w:t>填报单位</w:t>
            </w:r>
            <w:r>
              <w:rPr>
                <w:rFonts w:hint="eastAsia" w:ascii="MS UI Gothic" w:eastAsia="MS UI Gothic"/>
                <w:w w:val="235"/>
                <w:sz w:val="15"/>
              </w:rPr>
              <w:t>:</w:t>
            </w:r>
            <w:r>
              <w:rPr>
                <w:rFonts w:hint="eastAsia" w:ascii="MS UI Gothic" w:eastAsia="MS UI Gothic"/>
                <w:w w:val="235"/>
                <w:sz w:val="15"/>
              </w:rPr>
              <w:tab/>
            </w:r>
            <w:r>
              <w:rPr>
                <w:rFonts w:hint="eastAsia" w:ascii="MS UI Gothic" w:eastAsia="MS UI Gothic"/>
                <w:w w:val="95"/>
                <w:sz w:val="15"/>
              </w:rPr>
              <w:t>２０</w:t>
            </w:r>
            <w:r>
              <w:rPr>
                <w:rFonts w:hint="eastAsia" w:ascii="MS UI Gothic" w:eastAsia="MS UI Gothic"/>
                <w:w w:val="95"/>
                <w:sz w:val="15"/>
              </w:rPr>
              <w:tab/>
            </w:r>
            <w:r>
              <w:rPr>
                <w:w w:val="115"/>
                <w:sz w:val="15"/>
              </w:rPr>
              <w:t>年</w:t>
            </w:r>
            <w:r>
              <w:rPr>
                <w:w w:val="115"/>
                <w:sz w:val="15"/>
              </w:rPr>
              <w:tab/>
            </w:r>
            <w:r>
              <w:rPr>
                <w:w w:val="115"/>
                <w:sz w:val="15"/>
              </w:rPr>
              <w:t>第 页 共</w:t>
            </w:r>
            <w:r>
              <w:rPr>
                <w:spacing w:val="4"/>
                <w:w w:val="115"/>
                <w:sz w:val="15"/>
              </w:rPr>
              <w:t xml:space="preserve"> </w:t>
            </w:r>
            <w:r>
              <w:rPr>
                <w:w w:val="115"/>
                <w:sz w:val="15"/>
              </w:rPr>
              <w:t>页</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477" w:type="dxa"/>
            <w:tcBorders>
              <w:top w:val="single" w:color="231F20" w:sz="4" w:space="0"/>
              <w:bottom w:val="single" w:color="231F20" w:sz="4" w:space="0"/>
              <w:right w:val="single" w:color="231F20" w:sz="4" w:space="0"/>
            </w:tcBorders>
          </w:tcPr>
          <w:p>
            <w:pPr>
              <w:pStyle w:val="11"/>
              <w:rPr>
                <w:rFonts w:ascii="MS UI Gothic"/>
                <w:sz w:val="18"/>
              </w:rPr>
            </w:pPr>
          </w:p>
          <w:p>
            <w:pPr>
              <w:pStyle w:val="11"/>
              <w:spacing w:before="143"/>
              <w:ind w:left="58" w:right="48"/>
              <w:jc w:val="center"/>
              <w:rPr>
                <w:sz w:val="15"/>
              </w:rPr>
            </w:pPr>
            <w:r>
              <w:rPr>
                <w:w w:val="105"/>
                <w:sz w:val="15"/>
              </w:rPr>
              <w:t>序号</w:t>
            </w: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143"/>
              <w:ind w:left="27" w:right="11"/>
              <w:jc w:val="center"/>
              <w:rPr>
                <w:sz w:val="15"/>
              </w:rPr>
            </w:pPr>
            <w:r>
              <w:rPr>
                <w:w w:val="105"/>
                <w:sz w:val="15"/>
              </w:rPr>
              <w:t>事故级别</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11"/>
              <w:rPr>
                <w:rFonts w:ascii="MS UI Gothic"/>
                <w:sz w:val="18"/>
              </w:rPr>
            </w:pPr>
          </w:p>
          <w:p>
            <w:pPr>
              <w:pStyle w:val="11"/>
              <w:ind w:left="27" w:right="11"/>
              <w:jc w:val="center"/>
              <w:rPr>
                <w:sz w:val="15"/>
              </w:rPr>
            </w:pPr>
            <w:r>
              <w:rPr>
                <w:w w:val="105"/>
                <w:sz w:val="15"/>
              </w:rPr>
              <w:t>总计起数</w:t>
            </w:r>
          </w:p>
          <w:p>
            <w:pPr>
              <w:pStyle w:val="11"/>
              <w:spacing w:before="72"/>
              <w:ind w:left="27" w:right="25"/>
              <w:jc w:val="center"/>
              <w:rPr>
                <w:rFonts w:hint="eastAsia" w:ascii="MS UI Gothic" w:eastAsia="MS UI Gothic"/>
                <w:sz w:val="15"/>
              </w:rPr>
            </w:pPr>
            <w:r>
              <w:rPr>
                <w:rFonts w:hint="eastAsia" w:ascii="MS UI Gothic" w:eastAsia="MS UI Gothic"/>
                <w:w w:val="150"/>
                <w:sz w:val="15"/>
              </w:rPr>
              <w:t xml:space="preserve">( </w:t>
            </w:r>
            <w:r>
              <w:rPr>
                <w:w w:val="120"/>
                <w:sz w:val="15"/>
              </w:rPr>
              <w:t>起</w:t>
            </w:r>
            <w:r>
              <w:rPr>
                <w:rFonts w:hint="eastAsia" w:ascii="MS UI Gothic" w:eastAsia="MS UI Gothic"/>
                <w:w w:val="150"/>
                <w:sz w:val="15"/>
              </w:rPr>
              <w:t>)</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11"/>
              <w:rPr>
                <w:rFonts w:ascii="MS UI Gothic"/>
                <w:sz w:val="18"/>
              </w:rPr>
            </w:pPr>
          </w:p>
          <w:p>
            <w:pPr>
              <w:pStyle w:val="11"/>
              <w:ind w:left="27" w:right="12"/>
              <w:jc w:val="center"/>
              <w:rPr>
                <w:sz w:val="15"/>
              </w:rPr>
            </w:pPr>
            <w:r>
              <w:rPr>
                <w:w w:val="105"/>
                <w:sz w:val="15"/>
              </w:rPr>
              <w:t>死亡人数</w:t>
            </w:r>
          </w:p>
          <w:p>
            <w:pPr>
              <w:pStyle w:val="11"/>
              <w:spacing w:before="72"/>
              <w:ind w:left="27" w:right="25"/>
              <w:jc w:val="center"/>
              <w:rPr>
                <w:rFonts w:hint="eastAsia" w:ascii="MS UI Gothic" w:eastAsia="MS UI Gothic"/>
                <w:sz w:val="15"/>
              </w:rPr>
            </w:pPr>
            <w:r>
              <w:rPr>
                <w:rFonts w:hint="eastAsia" w:ascii="MS UI Gothic" w:eastAsia="MS UI Gothic"/>
                <w:w w:val="150"/>
                <w:sz w:val="15"/>
              </w:rPr>
              <w:t xml:space="preserve">( </w:t>
            </w:r>
            <w:r>
              <w:rPr>
                <w:w w:val="105"/>
                <w:sz w:val="15"/>
              </w:rPr>
              <w:t xml:space="preserve">人 </w:t>
            </w:r>
            <w:r>
              <w:rPr>
                <w:rFonts w:hint="eastAsia" w:ascii="MS UI Gothic" w:eastAsia="MS UI Gothic"/>
                <w:w w:val="105"/>
                <w:sz w:val="15"/>
              </w:rPr>
              <w:t xml:space="preserve"> </w:t>
            </w:r>
            <w:r>
              <w:rPr>
                <w:w w:val="105"/>
                <w:sz w:val="15"/>
              </w:rPr>
              <w:t>含失踪</w:t>
            </w:r>
            <w:r>
              <w:rPr>
                <w:rFonts w:hint="eastAsia" w:ascii="MS UI Gothic" w:eastAsia="MS UI Gothic"/>
                <w:w w:val="150"/>
                <w:sz w:val="15"/>
              </w:rPr>
              <w:t>)</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11"/>
              <w:rPr>
                <w:rFonts w:ascii="MS UI Gothic"/>
                <w:sz w:val="18"/>
              </w:rPr>
            </w:pPr>
          </w:p>
          <w:p>
            <w:pPr>
              <w:pStyle w:val="11"/>
              <w:ind w:left="27" w:right="12"/>
              <w:jc w:val="center"/>
              <w:rPr>
                <w:sz w:val="15"/>
              </w:rPr>
            </w:pPr>
            <w:r>
              <w:rPr>
                <w:w w:val="105"/>
                <w:sz w:val="15"/>
              </w:rPr>
              <w:t>重伤人数</w:t>
            </w:r>
          </w:p>
          <w:p>
            <w:pPr>
              <w:pStyle w:val="11"/>
              <w:spacing w:before="72"/>
              <w:ind w:left="27" w:right="25"/>
              <w:jc w:val="center"/>
              <w:rPr>
                <w:rFonts w:hint="eastAsia" w:ascii="MS UI Gothic" w:eastAsia="MS UI Gothic"/>
                <w:sz w:val="15"/>
              </w:rPr>
            </w:pPr>
            <w:r>
              <w:rPr>
                <w:rFonts w:hint="eastAsia" w:ascii="MS UI Gothic" w:eastAsia="MS UI Gothic"/>
                <w:w w:val="150"/>
                <w:sz w:val="15"/>
              </w:rPr>
              <w:t xml:space="preserve">( </w:t>
            </w:r>
            <w:r>
              <w:rPr>
                <w:w w:val="120"/>
                <w:sz w:val="15"/>
              </w:rPr>
              <w:t>人</w:t>
            </w:r>
            <w:r>
              <w:rPr>
                <w:rFonts w:hint="eastAsia" w:ascii="MS UI Gothic" w:eastAsia="MS UI Gothic"/>
                <w:w w:val="150"/>
                <w:sz w:val="15"/>
              </w:rPr>
              <w:t>)</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241" w:line="328" w:lineRule="auto"/>
              <w:ind w:left="107" w:right="105" w:firstLine="135"/>
              <w:rPr>
                <w:rFonts w:hint="eastAsia" w:ascii="MS UI Gothic" w:eastAsia="MS UI Gothic"/>
                <w:sz w:val="15"/>
              </w:rPr>
            </w:pPr>
            <w:r>
              <w:rPr>
                <w:spacing w:val="2"/>
                <w:w w:val="115"/>
                <w:sz w:val="15"/>
              </w:rPr>
              <w:t>直接经济</w:t>
            </w:r>
            <w:r>
              <w:rPr>
                <w:spacing w:val="-13"/>
                <w:w w:val="115"/>
                <w:sz w:val="15"/>
              </w:rPr>
              <w:t xml:space="preserve">损失 </w:t>
            </w:r>
            <w:r>
              <w:rPr>
                <w:rFonts w:hint="eastAsia" w:ascii="MS UI Gothic" w:eastAsia="MS UI Gothic"/>
                <w:spacing w:val="-30"/>
                <w:w w:val="150"/>
                <w:sz w:val="15"/>
              </w:rPr>
              <w:t xml:space="preserve">( </w:t>
            </w:r>
            <w:r>
              <w:rPr>
                <w:spacing w:val="3"/>
                <w:w w:val="115"/>
                <w:sz w:val="15"/>
              </w:rPr>
              <w:t>万元</w:t>
            </w:r>
            <w:r>
              <w:rPr>
                <w:rFonts w:hint="eastAsia" w:ascii="MS UI Gothic" w:eastAsia="MS UI Gothic"/>
                <w:spacing w:val="-13"/>
                <w:w w:val="150"/>
                <w:sz w:val="15"/>
              </w:rPr>
              <w:t>)</w:t>
            </w:r>
          </w:p>
        </w:tc>
        <w:tc>
          <w:tcPr>
            <w:tcW w:w="1917" w:type="dxa"/>
            <w:tcBorders>
              <w:top w:val="single" w:color="231F20" w:sz="4" w:space="0"/>
              <w:left w:val="single" w:color="231F20" w:sz="4" w:space="0"/>
              <w:bottom w:val="single" w:color="231F20" w:sz="4" w:space="0"/>
            </w:tcBorders>
          </w:tcPr>
          <w:p>
            <w:pPr>
              <w:pStyle w:val="11"/>
              <w:rPr>
                <w:rFonts w:ascii="MS UI Gothic"/>
                <w:sz w:val="18"/>
              </w:rPr>
            </w:pPr>
          </w:p>
          <w:p>
            <w:pPr>
              <w:pStyle w:val="11"/>
              <w:spacing w:before="143"/>
              <w:ind w:left="784" w:right="763"/>
              <w:jc w:val="center"/>
              <w:rPr>
                <w:sz w:val="15"/>
              </w:rPr>
            </w:pPr>
            <w:r>
              <w:rPr>
                <w:w w:val="105"/>
                <w:sz w:val="15"/>
              </w:rPr>
              <w:t>备注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１</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94"/>
              <w:ind w:left="27" w:right="11"/>
              <w:jc w:val="center"/>
              <w:rPr>
                <w:sz w:val="15"/>
              </w:rPr>
            </w:pPr>
            <w:r>
              <w:rPr>
                <w:w w:val="105"/>
                <w:sz w:val="15"/>
              </w:rPr>
              <w:t>一般事故</w:t>
            </w: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917" w:type="dxa"/>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２</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94"/>
              <w:ind w:left="27" w:right="11"/>
              <w:jc w:val="center"/>
              <w:rPr>
                <w:sz w:val="15"/>
              </w:rPr>
            </w:pPr>
            <w:r>
              <w:rPr>
                <w:w w:val="105"/>
                <w:sz w:val="15"/>
              </w:rPr>
              <w:t>较大事故</w:t>
            </w: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917" w:type="dxa"/>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３</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94"/>
              <w:ind w:left="27" w:right="11"/>
              <w:jc w:val="center"/>
              <w:rPr>
                <w:sz w:val="15"/>
              </w:rPr>
            </w:pPr>
            <w:r>
              <w:rPr>
                <w:w w:val="105"/>
                <w:sz w:val="15"/>
              </w:rPr>
              <w:t>重大事故</w:t>
            </w: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917" w:type="dxa"/>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４</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94"/>
              <w:ind w:left="27" w:right="11"/>
              <w:jc w:val="center"/>
              <w:rPr>
                <w:sz w:val="15"/>
              </w:rPr>
            </w:pPr>
            <w:r>
              <w:rPr>
                <w:w w:val="105"/>
                <w:sz w:val="15"/>
              </w:rPr>
              <w:t>特别重大事故</w:t>
            </w: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917" w:type="dxa"/>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５</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94"/>
              <w:ind w:left="27" w:right="11"/>
              <w:jc w:val="center"/>
              <w:rPr>
                <w:sz w:val="15"/>
              </w:rPr>
            </w:pPr>
            <w:r>
              <w:rPr>
                <w:w w:val="105"/>
                <w:sz w:val="15"/>
              </w:rPr>
              <w:t>其他</w:t>
            </w: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917" w:type="dxa"/>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spacing w:before="94"/>
              <w:ind w:left="6"/>
              <w:jc w:val="center"/>
              <w:rPr>
                <w:rFonts w:hint="eastAsia" w:ascii="MS UI Gothic" w:eastAsia="MS UI Gothic"/>
                <w:sz w:val="15"/>
              </w:rPr>
            </w:pPr>
            <w:r>
              <w:rPr>
                <w:rFonts w:hint="eastAsia" w:ascii="MS UI Gothic" w:eastAsia="MS UI Gothic"/>
                <w:w w:val="75"/>
                <w:sz w:val="15"/>
              </w:rPr>
              <w:t>６</w:t>
            </w:r>
          </w:p>
        </w:tc>
        <w:tc>
          <w:tcPr>
            <w:tcW w:w="1114" w:type="dxa"/>
            <w:tcBorders>
              <w:top w:val="single" w:color="231F20" w:sz="4" w:space="0"/>
              <w:left w:val="single" w:color="231F20" w:sz="4" w:space="0"/>
              <w:bottom w:val="single" w:color="231F20" w:sz="4" w:space="0"/>
              <w:right w:val="single" w:color="231F20" w:sz="4" w:space="0"/>
            </w:tcBorders>
          </w:tcPr>
          <w:p>
            <w:pPr>
              <w:pStyle w:val="11"/>
              <w:spacing w:before="94"/>
              <w:ind w:left="27" w:right="11"/>
              <w:jc w:val="center"/>
              <w:rPr>
                <w:sz w:val="15"/>
              </w:rPr>
            </w:pPr>
            <w:r>
              <w:rPr>
                <w:w w:val="105"/>
                <w:sz w:val="15"/>
              </w:rPr>
              <w:t>合计</w:t>
            </w: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917" w:type="dxa"/>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trPr>
        <w:tc>
          <w:tcPr>
            <w:tcW w:w="477" w:type="dxa"/>
            <w:tcBorders>
              <w:top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114" w:type="dxa"/>
            <w:tcBorders>
              <w:top w:val="single" w:color="231F20" w:sz="4" w:space="0"/>
              <w:left w:val="single" w:color="231F20" w:sz="4" w:space="0"/>
              <w:bottom w:val="single" w:color="231F20" w:sz="4" w:space="0"/>
              <w:right w:val="single" w:color="231F20" w:sz="4" w:space="0"/>
            </w:tcBorders>
          </w:tcPr>
          <w:p>
            <w:pPr>
              <w:pStyle w:val="11"/>
              <w:rPr>
                <w:rFonts w:ascii="Times New Roman"/>
                <w:sz w:val="14"/>
              </w:rPr>
            </w:pPr>
          </w:p>
        </w:tc>
        <w:tc>
          <w:tcPr>
            <w:tcW w:w="1917" w:type="dxa"/>
            <w:tcBorders>
              <w:top w:val="single" w:color="231F20" w:sz="4" w:space="0"/>
              <w:left w:val="single" w:color="231F20" w:sz="4" w:space="0"/>
              <w:bottom w:val="single" w:color="231F20" w:sz="4" w:space="0"/>
            </w:tcBorders>
          </w:tcPr>
          <w:p>
            <w:pPr>
              <w:pStyle w:val="11"/>
              <w:rPr>
                <w:rFonts w:ascii="Times New Roman"/>
                <w:sz w:val="14"/>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7964" w:type="dxa"/>
            <w:gridSpan w:val="7"/>
            <w:tcBorders>
              <w:top w:val="single" w:color="231F20" w:sz="4" w:space="0"/>
            </w:tcBorders>
          </w:tcPr>
          <w:p>
            <w:pPr>
              <w:pStyle w:val="11"/>
              <w:tabs>
                <w:tab w:val="left" w:pos="2336"/>
                <w:tab w:val="left" w:pos="4515"/>
              </w:tabs>
              <w:spacing w:before="82"/>
              <w:ind w:left="104"/>
              <w:rPr>
                <w:rFonts w:hint="eastAsia" w:ascii="MS UI Gothic" w:eastAsia="MS UI Gothic"/>
                <w:sz w:val="15"/>
              </w:rPr>
            </w:pPr>
            <w:r>
              <w:rPr>
                <w:spacing w:val="3"/>
                <w:w w:val="120"/>
                <w:sz w:val="15"/>
              </w:rPr>
              <w:t>单位负责</w:t>
            </w:r>
            <w:r>
              <w:rPr>
                <w:w w:val="120"/>
                <w:sz w:val="15"/>
              </w:rPr>
              <w:t>人</w:t>
            </w:r>
            <w:r>
              <w:rPr>
                <w:spacing w:val="-62"/>
                <w:w w:val="120"/>
                <w:sz w:val="15"/>
              </w:rPr>
              <w:t xml:space="preserve"> </w:t>
            </w:r>
            <w:r>
              <w:rPr>
                <w:rFonts w:hint="eastAsia" w:ascii="MS UI Gothic" w:eastAsia="MS UI Gothic"/>
                <w:w w:val="150"/>
                <w:sz w:val="15"/>
              </w:rPr>
              <w:t>(</w:t>
            </w:r>
            <w:r>
              <w:rPr>
                <w:rFonts w:hint="eastAsia" w:ascii="MS UI Gothic" w:eastAsia="MS UI Gothic"/>
                <w:spacing w:val="-63"/>
                <w:w w:val="150"/>
                <w:sz w:val="15"/>
              </w:rPr>
              <w:t xml:space="preserve"> </w:t>
            </w:r>
            <w:r>
              <w:rPr>
                <w:spacing w:val="3"/>
                <w:w w:val="120"/>
                <w:sz w:val="15"/>
              </w:rPr>
              <w:t>签字</w:t>
            </w:r>
            <w:r>
              <w:rPr>
                <w:rFonts w:hint="eastAsia" w:ascii="MS UI Gothic" w:eastAsia="MS UI Gothic"/>
                <w:spacing w:val="8"/>
                <w:w w:val="160"/>
                <w:sz w:val="15"/>
              </w:rPr>
              <w:t>):</w:t>
            </w:r>
            <w:r>
              <w:rPr>
                <w:rFonts w:hint="eastAsia" w:ascii="MS UI Gothic" w:eastAsia="MS UI Gothic"/>
                <w:spacing w:val="8"/>
                <w:w w:val="160"/>
                <w:sz w:val="15"/>
              </w:rPr>
              <w:tab/>
            </w:r>
            <w:r>
              <w:rPr>
                <w:spacing w:val="3"/>
                <w:w w:val="120"/>
                <w:sz w:val="15"/>
              </w:rPr>
              <w:t>部门负责</w:t>
            </w:r>
            <w:r>
              <w:rPr>
                <w:w w:val="120"/>
                <w:sz w:val="15"/>
              </w:rPr>
              <w:t>人</w:t>
            </w:r>
            <w:r>
              <w:rPr>
                <w:spacing w:val="-62"/>
                <w:w w:val="120"/>
                <w:sz w:val="15"/>
              </w:rPr>
              <w:t xml:space="preserve"> </w:t>
            </w:r>
            <w:r>
              <w:rPr>
                <w:rFonts w:hint="eastAsia" w:ascii="MS UI Gothic" w:eastAsia="MS UI Gothic"/>
                <w:w w:val="150"/>
                <w:sz w:val="15"/>
              </w:rPr>
              <w:t>(</w:t>
            </w:r>
            <w:r>
              <w:rPr>
                <w:rFonts w:hint="eastAsia" w:ascii="MS UI Gothic" w:eastAsia="MS UI Gothic"/>
                <w:spacing w:val="-63"/>
                <w:w w:val="150"/>
                <w:sz w:val="15"/>
              </w:rPr>
              <w:t xml:space="preserve"> </w:t>
            </w:r>
            <w:r>
              <w:rPr>
                <w:spacing w:val="3"/>
                <w:w w:val="120"/>
                <w:sz w:val="15"/>
              </w:rPr>
              <w:t>签字</w:t>
            </w:r>
            <w:r>
              <w:rPr>
                <w:rFonts w:hint="eastAsia" w:ascii="MS UI Gothic" w:eastAsia="MS UI Gothic"/>
                <w:spacing w:val="8"/>
                <w:w w:val="160"/>
                <w:sz w:val="15"/>
              </w:rPr>
              <w:t>):</w:t>
            </w:r>
            <w:r>
              <w:rPr>
                <w:rFonts w:hint="eastAsia" w:ascii="MS UI Gothic" w:eastAsia="MS UI Gothic"/>
                <w:spacing w:val="8"/>
                <w:w w:val="160"/>
                <w:sz w:val="15"/>
              </w:rPr>
              <w:tab/>
            </w:r>
            <w:r>
              <w:rPr>
                <w:spacing w:val="3"/>
                <w:w w:val="120"/>
                <w:sz w:val="15"/>
              </w:rPr>
              <w:t>制表</w:t>
            </w:r>
            <w:r>
              <w:rPr>
                <w:w w:val="120"/>
                <w:sz w:val="15"/>
              </w:rPr>
              <w:t>人</w:t>
            </w:r>
            <w:r>
              <w:rPr>
                <w:spacing w:val="-11"/>
                <w:w w:val="120"/>
                <w:sz w:val="15"/>
              </w:rPr>
              <w:t xml:space="preserve"> </w:t>
            </w:r>
            <w:r>
              <w:rPr>
                <w:rFonts w:hint="eastAsia" w:ascii="MS UI Gothic" w:eastAsia="MS UI Gothic"/>
                <w:w w:val="150"/>
                <w:sz w:val="15"/>
              </w:rPr>
              <w:t>(</w:t>
            </w:r>
            <w:r>
              <w:rPr>
                <w:rFonts w:hint="eastAsia" w:ascii="MS UI Gothic" w:eastAsia="MS UI Gothic"/>
                <w:spacing w:val="-52"/>
                <w:w w:val="150"/>
                <w:sz w:val="15"/>
              </w:rPr>
              <w:t xml:space="preserve"> </w:t>
            </w:r>
            <w:r>
              <w:rPr>
                <w:spacing w:val="3"/>
                <w:w w:val="120"/>
                <w:sz w:val="15"/>
              </w:rPr>
              <w:t>签字</w:t>
            </w:r>
            <w:r>
              <w:rPr>
                <w:rFonts w:hint="eastAsia" w:ascii="MS UI Gothic" w:eastAsia="MS UI Gothic"/>
                <w:spacing w:val="8"/>
                <w:w w:val="195"/>
                <w:sz w:val="15"/>
              </w:rPr>
              <w:t>):</w:t>
            </w:r>
          </w:p>
          <w:p>
            <w:pPr>
              <w:pStyle w:val="11"/>
              <w:tabs>
                <w:tab w:val="left" w:pos="2332"/>
              </w:tabs>
              <w:spacing w:before="72"/>
              <w:ind w:left="104"/>
              <w:rPr>
                <w:rFonts w:hint="eastAsia" w:ascii="MS UI Gothic" w:eastAsia="MS UI Gothic"/>
                <w:sz w:val="15"/>
              </w:rPr>
            </w:pPr>
            <w:r>
              <w:rPr>
                <w:spacing w:val="3"/>
                <w:w w:val="115"/>
                <w:sz w:val="15"/>
              </w:rPr>
              <w:t>联系电话</w:t>
            </w:r>
            <w:r>
              <w:rPr>
                <w:rFonts w:hint="eastAsia" w:ascii="MS UI Gothic" w:eastAsia="MS UI Gothic"/>
                <w:w w:val="235"/>
                <w:sz w:val="15"/>
              </w:rPr>
              <w:t>:</w:t>
            </w:r>
            <w:r>
              <w:rPr>
                <w:rFonts w:hint="eastAsia" w:ascii="MS UI Gothic" w:eastAsia="MS UI Gothic"/>
                <w:w w:val="235"/>
                <w:sz w:val="15"/>
              </w:rPr>
              <w:tab/>
            </w:r>
            <w:r>
              <w:rPr>
                <w:spacing w:val="3"/>
                <w:w w:val="115"/>
                <w:sz w:val="15"/>
              </w:rPr>
              <w:t>填报日期</w:t>
            </w:r>
            <w:r>
              <w:rPr>
                <w:rFonts w:hint="eastAsia" w:ascii="MS UI Gothic" w:eastAsia="MS UI Gothic"/>
                <w:w w:val="235"/>
                <w:sz w:val="15"/>
              </w:rPr>
              <w:t>:</w:t>
            </w:r>
          </w:p>
        </w:tc>
      </w:tr>
    </w:tbl>
    <w:p>
      <w:pPr>
        <w:spacing w:after="0"/>
        <w:rPr>
          <w:rFonts w:hint="eastAsia" w:ascii="MS UI Gothic" w:eastAsia="MS UI Gothic"/>
          <w:sz w:val="15"/>
        </w:rPr>
        <w:sectPr>
          <w:type w:val="continuous"/>
          <w:pgSz w:w="10500" w:h="14750"/>
          <w:pgMar w:top="1400" w:right="980" w:bottom="280" w:left="980" w:header="720" w:footer="720" w:gutter="0"/>
        </w:sectPr>
      </w:pPr>
    </w:p>
    <w:p>
      <w:pPr>
        <w:pStyle w:val="6"/>
        <w:spacing w:before="159"/>
        <w:ind w:left="280" w:firstLine="0"/>
        <w:jc w:val="left"/>
        <w:rPr>
          <w:rFonts w:hint="eastAsia" w:ascii="MS UI Gothic" w:eastAsia="MS UI Gothic"/>
        </w:rPr>
      </w:pPr>
      <w:r>
        <w:pict>
          <v:shape id="_x0000_s1532" o:spid="_x0000_s1532" style="position:absolute;left:0pt;margin-left:0pt;margin-top:700.1pt;height:1.75pt;width:398.25pt;mso-position-horizontal-relative:page;z-index:251859968;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１６４</w:t>
      </w:r>
    </w:p>
    <w:p>
      <w:pPr>
        <w:pStyle w:val="6"/>
        <w:spacing w:before="297"/>
        <w:ind w:firstLine="0"/>
        <w:jc w:val="left"/>
      </w:pPr>
      <w:r>
        <w:t xml:space="preserve">附件 </w:t>
      </w:r>
      <w:r>
        <w:rPr>
          <w:w w:val="80"/>
        </w:rPr>
        <w:t>４</w:t>
      </w:r>
    </w:p>
    <w:p>
      <w:pPr>
        <w:pStyle w:val="6"/>
        <w:ind w:left="0" w:firstLine="0"/>
        <w:jc w:val="left"/>
        <w:rPr>
          <w:sz w:val="32"/>
        </w:rPr>
      </w:pPr>
    </w:p>
    <w:p>
      <w:pPr>
        <w:pStyle w:val="6"/>
        <w:spacing w:before="10"/>
        <w:ind w:left="0" w:firstLine="0"/>
        <w:jc w:val="left"/>
        <w:rPr>
          <w:sz w:val="46"/>
        </w:rPr>
      </w:pPr>
    </w:p>
    <w:p>
      <w:pPr>
        <w:spacing w:before="0"/>
        <w:ind w:left="443" w:right="0" w:firstLine="0"/>
        <w:jc w:val="left"/>
        <w:rPr>
          <w:rFonts w:hint="eastAsia" w:ascii="MS UI Gothic" w:eastAsia="MS UI Gothic"/>
          <w:sz w:val="15"/>
        </w:rPr>
      </w:pPr>
      <w:r>
        <w:rPr>
          <w:w w:val="110"/>
          <w:sz w:val="15"/>
        </w:rPr>
        <w:t>中央企业名称</w:t>
      </w:r>
      <w:r>
        <w:rPr>
          <w:rFonts w:hint="eastAsia" w:ascii="MS UI Gothic" w:eastAsia="MS UI Gothic"/>
          <w:w w:val="110"/>
          <w:sz w:val="15"/>
        </w:rPr>
        <w:t>:</w:t>
      </w:r>
    </w:p>
    <w:p>
      <w:pPr>
        <w:spacing w:before="192"/>
        <w:ind w:left="230" w:right="2668" w:firstLine="0"/>
        <w:jc w:val="center"/>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ind w:left="0" w:firstLine="0"/>
        <w:jc w:val="left"/>
        <w:rPr>
          <w:rFonts w:ascii="Microsoft Yi Baiti"/>
          <w:sz w:val="28"/>
        </w:rPr>
      </w:pPr>
    </w:p>
    <w:p>
      <w:pPr>
        <w:pStyle w:val="6"/>
        <w:ind w:left="0" w:firstLine="0"/>
        <w:jc w:val="left"/>
        <w:rPr>
          <w:rFonts w:ascii="Microsoft Yi Baiti"/>
          <w:sz w:val="28"/>
        </w:rPr>
      </w:pPr>
    </w:p>
    <w:p>
      <w:pPr>
        <w:pStyle w:val="6"/>
        <w:spacing w:before="8"/>
        <w:ind w:left="0" w:firstLine="0"/>
        <w:jc w:val="left"/>
        <w:rPr>
          <w:rFonts w:ascii="Microsoft Yi Baiti"/>
          <w:sz w:val="28"/>
        </w:rPr>
      </w:pPr>
    </w:p>
    <w:p>
      <w:pPr>
        <w:spacing w:before="0"/>
        <w:ind w:left="247" w:right="2668" w:firstLine="0"/>
        <w:jc w:val="center"/>
        <w:rPr>
          <w:sz w:val="29"/>
        </w:rPr>
      </w:pPr>
      <w:r>
        <w:rPr>
          <w:sz w:val="29"/>
        </w:rPr>
        <w:t>中央企业生产安全事故快报</w:t>
      </w:r>
    </w:p>
    <w:p>
      <w:pPr>
        <w:spacing w:after="0"/>
        <w:jc w:val="center"/>
        <w:rPr>
          <w:sz w:val="29"/>
        </w:rPr>
        <w:sectPr>
          <w:pgSz w:w="10500" w:h="14750"/>
          <w:pgMar w:top="960" w:right="980" w:bottom="280" w:left="980" w:header="720" w:footer="720" w:gutter="0"/>
          <w:cols w:equalWidth="0" w:num="2">
            <w:col w:w="1516" w:space="588"/>
            <w:col w:w="6436"/>
          </w:cols>
        </w:sectPr>
      </w:pPr>
    </w:p>
    <w:p>
      <w:pPr>
        <w:pStyle w:val="6"/>
        <w:spacing w:before="6"/>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114"/>
        <w:gridCol w:w="796"/>
        <w:gridCol w:w="239"/>
        <w:gridCol w:w="319"/>
        <w:gridCol w:w="319"/>
        <w:gridCol w:w="717"/>
        <w:gridCol w:w="1115"/>
        <w:gridCol w:w="797"/>
        <w:gridCol w:w="2555"/>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2" w:hRule="atLeast"/>
        </w:trPr>
        <w:tc>
          <w:tcPr>
            <w:tcW w:w="1114" w:type="dxa"/>
            <w:tcBorders>
              <w:bottom w:val="single" w:color="231F20" w:sz="4" w:space="0"/>
              <w:right w:val="single" w:color="231F20" w:sz="4" w:space="0"/>
            </w:tcBorders>
          </w:tcPr>
          <w:p>
            <w:pPr>
              <w:pStyle w:val="11"/>
              <w:spacing w:before="130"/>
              <w:ind w:left="87" w:right="77"/>
              <w:jc w:val="center"/>
              <w:rPr>
                <w:sz w:val="15"/>
              </w:rPr>
            </w:pPr>
            <w:r>
              <w:rPr>
                <w:w w:val="105"/>
                <w:sz w:val="15"/>
              </w:rPr>
              <w:t>事故时间</w:t>
            </w:r>
          </w:p>
        </w:tc>
        <w:tc>
          <w:tcPr>
            <w:tcW w:w="796" w:type="dxa"/>
            <w:tcBorders>
              <w:left w:val="single" w:color="231F20" w:sz="4" w:space="0"/>
              <w:bottom w:val="single" w:color="231F20" w:sz="4" w:space="0"/>
              <w:right w:val="nil"/>
            </w:tcBorders>
          </w:tcPr>
          <w:p>
            <w:pPr>
              <w:pStyle w:val="11"/>
              <w:spacing w:before="130"/>
              <w:ind w:left="481"/>
              <w:rPr>
                <w:sz w:val="15"/>
              </w:rPr>
            </w:pPr>
            <w:r>
              <w:rPr>
                <w:w w:val="103"/>
                <w:sz w:val="15"/>
              </w:rPr>
              <w:t>年</w:t>
            </w:r>
          </w:p>
        </w:tc>
        <w:tc>
          <w:tcPr>
            <w:tcW w:w="239" w:type="dxa"/>
            <w:tcBorders>
              <w:left w:val="nil"/>
              <w:bottom w:val="single" w:color="231F20" w:sz="4" w:space="0"/>
              <w:right w:val="nil"/>
            </w:tcBorders>
          </w:tcPr>
          <w:p>
            <w:pPr>
              <w:pStyle w:val="11"/>
              <w:spacing w:before="130"/>
              <w:ind w:left="9"/>
              <w:rPr>
                <w:sz w:val="15"/>
              </w:rPr>
            </w:pPr>
            <w:r>
              <w:rPr>
                <w:w w:val="103"/>
                <w:sz w:val="15"/>
              </w:rPr>
              <w:t>月</w:t>
            </w:r>
          </w:p>
        </w:tc>
        <w:tc>
          <w:tcPr>
            <w:tcW w:w="319" w:type="dxa"/>
            <w:tcBorders>
              <w:left w:val="nil"/>
              <w:bottom w:val="single" w:color="231F20" w:sz="4" w:space="0"/>
              <w:right w:val="nil"/>
            </w:tcBorders>
          </w:tcPr>
          <w:p>
            <w:pPr>
              <w:pStyle w:val="11"/>
              <w:spacing w:before="130"/>
              <w:ind w:left="88"/>
              <w:rPr>
                <w:sz w:val="15"/>
              </w:rPr>
            </w:pPr>
            <w:r>
              <w:rPr>
                <w:w w:val="103"/>
                <w:sz w:val="15"/>
              </w:rPr>
              <w:t>日</w:t>
            </w:r>
          </w:p>
        </w:tc>
        <w:tc>
          <w:tcPr>
            <w:tcW w:w="319" w:type="dxa"/>
            <w:tcBorders>
              <w:left w:val="nil"/>
              <w:bottom w:val="single" w:color="231F20" w:sz="4" w:space="0"/>
              <w:right w:val="nil"/>
            </w:tcBorders>
          </w:tcPr>
          <w:p>
            <w:pPr>
              <w:pStyle w:val="11"/>
              <w:spacing w:before="130"/>
              <w:ind w:left="87"/>
              <w:rPr>
                <w:sz w:val="15"/>
              </w:rPr>
            </w:pPr>
            <w:r>
              <w:rPr>
                <w:w w:val="103"/>
                <w:sz w:val="15"/>
              </w:rPr>
              <w:t>时</w:t>
            </w:r>
          </w:p>
        </w:tc>
        <w:tc>
          <w:tcPr>
            <w:tcW w:w="717" w:type="dxa"/>
            <w:tcBorders>
              <w:left w:val="nil"/>
              <w:bottom w:val="single" w:color="231F20" w:sz="4" w:space="0"/>
              <w:right w:val="single" w:color="231F20" w:sz="4" w:space="0"/>
            </w:tcBorders>
          </w:tcPr>
          <w:p>
            <w:pPr>
              <w:pStyle w:val="11"/>
              <w:spacing w:before="130"/>
              <w:ind w:left="87"/>
              <w:rPr>
                <w:sz w:val="15"/>
              </w:rPr>
            </w:pPr>
            <w:r>
              <w:rPr>
                <w:w w:val="103"/>
                <w:sz w:val="15"/>
              </w:rPr>
              <w:t>分</w:t>
            </w:r>
          </w:p>
        </w:tc>
        <w:tc>
          <w:tcPr>
            <w:tcW w:w="1115" w:type="dxa"/>
            <w:tcBorders>
              <w:left w:val="single" w:color="231F20" w:sz="4" w:space="0"/>
              <w:bottom w:val="single" w:color="231F20" w:sz="4" w:space="0"/>
              <w:right w:val="single" w:color="231F20" w:sz="4" w:space="0"/>
            </w:tcBorders>
          </w:tcPr>
          <w:p>
            <w:pPr>
              <w:pStyle w:val="11"/>
              <w:spacing w:before="130"/>
              <w:ind w:left="240"/>
              <w:rPr>
                <w:sz w:val="15"/>
              </w:rPr>
            </w:pPr>
            <w:r>
              <w:rPr>
                <w:w w:val="105"/>
                <w:sz w:val="15"/>
              </w:rPr>
              <w:t>事故地点</w:t>
            </w:r>
          </w:p>
        </w:tc>
        <w:tc>
          <w:tcPr>
            <w:tcW w:w="3352" w:type="dxa"/>
            <w:gridSpan w:val="2"/>
            <w:tcBorders>
              <w:left w:val="single" w:color="231F20" w:sz="4" w:space="0"/>
              <w:bottom w:val="single" w:color="231F20" w:sz="4" w:space="0"/>
            </w:tcBorders>
          </w:tcPr>
          <w:p>
            <w:pPr>
              <w:pStyle w:val="11"/>
              <w:rPr>
                <w:rFonts w:ascii="Times New Roman"/>
                <w:sz w:val="16"/>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1114" w:type="dxa"/>
            <w:tcBorders>
              <w:top w:val="single" w:color="231F20" w:sz="4" w:space="0"/>
              <w:bottom w:val="single" w:color="231F20" w:sz="4" w:space="0"/>
              <w:right w:val="single" w:color="231F20" w:sz="4" w:space="0"/>
            </w:tcBorders>
          </w:tcPr>
          <w:p>
            <w:pPr>
              <w:pStyle w:val="11"/>
              <w:spacing w:before="135"/>
              <w:ind w:left="87" w:right="77"/>
              <w:jc w:val="center"/>
              <w:rPr>
                <w:sz w:val="15"/>
              </w:rPr>
            </w:pPr>
            <w:r>
              <w:rPr>
                <w:w w:val="105"/>
                <w:sz w:val="15"/>
              </w:rPr>
              <w:t>事故单位</w:t>
            </w:r>
          </w:p>
        </w:tc>
        <w:tc>
          <w:tcPr>
            <w:tcW w:w="6857" w:type="dxa"/>
            <w:gridSpan w:val="8"/>
            <w:tcBorders>
              <w:top w:val="single" w:color="231F20" w:sz="4" w:space="0"/>
              <w:left w:val="single" w:color="231F20" w:sz="4" w:space="0"/>
              <w:bottom w:val="single" w:color="231F20" w:sz="4" w:space="0"/>
            </w:tcBorders>
          </w:tcPr>
          <w:p>
            <w:pPr>
              <w:pStyle w:val="11"/>
              <w:rPr>
                <w:rFonts w:ascii="Times New Roman"/>
                <w:sz w:val="16"/>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1114" w:type="dxa"/>
            <w:vMerge w:val="restart"/>
            <w:tcBorders>
              <w:top w:val="single" w:color="231F20" w:sz="4" w:space="0"/>
              <w:bottom w:val="single" w:color="231F20" w:sz="4" w:space="0"/>
              <w:right w:val="single" w:color="231F20" w:sz="4" w:space="0"/>
            </w:tcBorders>
          </w:tcPr>
          <w:p>
            <w:pPr>
              <w:pStyle w:val="11"/>
              <w:spacing w:before="11"/>
              <w:rPr>
                <w:sz w:val="18"/>
              </w:rPr>
            </w:pPr>
          </w:p>
          <w:p>
            <w:pPr>
              <w:pStyle w:val="11"/>
              <w:spacing w:line="328" w:lineRule="auto"/>
              <w:ind w:left="317" w:right="226" w:hanging="80"/>
              <w:rPr>
                <w:sz w:val="15"/>
              </w:rPr>
            </w:pPr>
            <w:r>
              <w:rPr>
                <w:w w:val="105"/>
                <w:sz w:val="15"/>
              </w:rPr>
              <w:t>事故现场负责人</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135"/>
              <w:ind w:left="243"/>
              <w:rPr>
                <w:sz w:val="15"/>
              </w:rPr>
            </w:pPr>
            <w:r>
              <w:rPr>
                <w:w w:val="105"/>
                <w:sz w:val="15"/>
              </w:rPr>
              <w:t>姓名</w:t>
            </w:r>
          </w:p>
        </w:tc>
        <w:tc>
          <w:tcPr>
            <w:tcW w:w="1594" w:type="dxa"/>
            <w:gridSpan w:val="4"/>
            <w:tcBorders>
              <w:top w:val="single" w:color="231F20" w:sz="4" w:space="0"/>
              <w:left w:val="single" w:color="231F20" w:sz="4" w:space="0"/>
              <w:bottom w:val="single" w:color="231F20" w:sz="4" w:space="0"/>
              <w:right w:val="single" w:color="231F20" w:sz="4" w:space="0"/>
            </w:tcBorders>
          </w:tcPr>
          <w:p>
            <w:pPr>
              <w:pStyle w:val="11"/>
              <w:rPr>
                <w:rFonts w:ascii="Times New Roman"/>
                <w:sz w:val="16"/>
              </w:rPr>
            </w:pPr>
          </w:p>
        </w:tc>
        <w:tc>
          <w:tcPr>
            <w:tcW w:w="1115" w:type="dxa"/>
            <w:vMerge w:val="restart"/>
            <w:tcBorders>
              <w:top w:val="single" w:color="231F20" w:sz="4" w:space="0"/>
              <w:left w:val="single" w:color="231F20" w:sz="4" w:space="0"/>
              <w:bottom w:val="single" w:color="231F20" w:sz="4" w:space="0"/>
              <w:right w:val="single" w:color="231F20" w:sz="4" w:space="0"/>
            </w:tcBorders>
          </w:tcPr>
          <w:p>
            <w:pPr>
              <w:pStyle w:val="11"/>
              <w:spacing w:before="11"/>
              <w:rPr>
                <w:sz w:val="18"/>
              </w:rPr>
            </w:pPr>
          </w:p>
          <w:p>
            <w:pPr>
              <w:pStyle w:val="11"/>
              <w:spacing w:line="328" w:lineRule="auto"/>
              <w:ind w:left="319" w:right="230" w:hanging="80"/>
              <w:rPr>
                <w:sz w:val="15"/>
              </w:rPr>
            </w:pPr>
            <w:r>
              <w:rPr>
                <w:w w:val="105"/>
                <w:sz w:val="15"/>
              </w:rPr>
              <w:t>事故单位负责人</w:t>
            </w:r>
          </w:p>
        </w:tc>
        <w:tc>
          <w:tcPr>
            <w:tcW w:w="797" w:type="dxa"/>
            <w:tcBorders>
              <w:top w:val="single" w:color="231F20" w:sz="4" w:space="0"/>
              <w:left w:val="single" w:color="231F20" w:sz="4" w:space="0"/>
              <w:bottom w:val="single" w:color="231F20" w:sz="4" w:space="0"/>
              <w:right w:val="single" w:color="231F20" w:sz="4" w:space="0"/>
            </w:tcBorders>
          </w:tcPr>
          <w:p>
            <w:pPr>
              <w:pStyle w:val="11"/>
              <w:spacing w:before="135"/>
              <w:ind w:left="218" w:right="213"/>
              <w:jc w:val="center"/>
              <w:rPr>
                <w:sz w:val="15"/>
              </w:rPr>
            </w:pPr>
            <w:r>
              <w:rPr>
                <w:w w:val="105"/>
                <w:sz w:val="15"/>
              </w:rPr>
              <w:t>姓名</w:t>
            </w:r>
          </w:p>
        </w:tc>
        <w:tc>
          <w:tcPr>
            <w:tcW w:w="2555" w:type="dxa"/>
            <w:tcBorders>
              <w:top w:val="single" w:color="231F20" w:sz="4" w:space="0"/>
              <w:left w:val="single" w:color="231F20" w:sz="4" w:space="0"/>
              <w:bottom w:val="single" w:color="231F20" w:sz="4" w:space="0"/>
            </w:tcBorders>
          </w:tcPr>
          <w:p>
            <w:pPr>
              <w:pStyle w:val="11"/>
              <w:rPr>
                <w:rFonts w:ascii="Times New Roman"/>
                <w:sz w:val="16"/>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7" w:hRule="atLeast"/>
        </w:trPr>
        <w:tc>
          <w:tcPr>
            <w:tcW w:w="1114" w:type="dxa"/>
            <w:vMerge w:val="continue"/>
            <w:tcBorders>
              <w:top w:val="nil"/>
              <w:bottom w:val="single" w:color="231F20" w:sz="4" w:space="0"/>
              <w:right w:val="single" w:color="231F20" w:sz="4" w:space="0"/>
            </w:tcBorders>
          </w:tcPr>
          <w:p>
            <w:pPr>
              <w:rPr>
                <w:sz w:val="2"/>
                <w:szCs w:val="2"/>
              </w:rPr>
            </w:pP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135"/>
              <w:ind w:left="243"/>
              <w:rPr>
                <w:sz w:val="15"/>
              </w:rPr>
            </w:pPr>
            <w:r>
              <w:rPr>
                <w:w w:val="105"/>
                <w:sz w:val="15"/>
              </w:rPr>
              <w:t>电话</w:t>
            </w:r>
          </w:p>
        </w:tc>
        <w:tc>
          <w:tcPr>
            <w:tcW w:w="1594" w:type="dxa"/>
            <w:gridSpan w:val="4"/>
            <w:tcBorders>
              <w:top w:val="single" w:color="231F20" w:sz="4" w:space="0"/>
              <w:left w:val="single" w:color="231F20" w:sz="4" w:space="0"/>
              <w:bottom w:val="single" w:color="231F20" w:sz="4" w:space="0"/>
              <w:right w:val="single" w:color="231F20" w:sz="4" w:space="0"/>
            </w:tcBorders>
          </w:tcPr>
          <w:p>
            <w:pPr>
              <w:pStyle w:val="11"/>
              <w:rPr>
                <w:rFonts w:ascii="Times New Roman"/>
                <w:sz w:val="16"/>
              </w:rPr>
            </w:pPr>
          </w:p>
        </w:tc>
        <w:tc>
          <w:tcPr>
            <w:tcW w:w="1115" w:type="dxa"/>
            <w:vMerge w:val="continue"/>
            <w:tcBorders>
              <w:top w:val="nil"/>
              <w:left w:val="single" w:color="231F20" w:sz="4" w:space="0"/>
              <w:bottom w:val="single" w:color="231F20" w:sz="4" w:space="0"/>
              <w:right w:val="single" w:color="231F20" w:sz="4" w:space="0"/>
            </w:tcBorders>
          </w:tcPr>
          <w:p>
            <w:pPr>
              <w:rPr>
                <w:sz w:val="2"/>
                <w:szCs w:val="2"/>
              </w:rPr>
            </w:pPr>
          </w:p>
        </w:tc>
        <w:tc>
          <w:tcPr>
            <w:tcW w:w="797" w:type="dxa"/>
            <w:tcBorders>
              <w:top w:val="single" w:color="231F20" w:sz="4" w:space="0"/>
              <w:left w:val="single" w:color="231F20" w:sz="4" w:space="0"/>
              <w:bottom w:val="single" w:color="231F20" w:sz="4" w:space="0"/>
              <w:right w:val="single" w:color="231F20" w:sz="4" w:space="0"/>
            </w:tcBorders>
          </w:tcPr>
          <w:p>
            <w:pPr>
              <w:pStyle w:val="11"/>
              <w:spacing w:before="135"/>
              <w:ind w:left="218" w:right="213"/>
              <w:jc w:val="center"/>
              <w:rPr>
                <w:sz w:val="15"/>
              </w:rPr>
            </w:pPr>
            <w:r>
              <w:rPr>
                <w:w w:val="105"/>
                <w:sz w:val="15"/>
              </w:rPr>
              <w:t>电话</w:t>
            </w:r>
          </w:p>
        </w:tc>
        <w:tc>
          <w:tcPr>
            <w:tcW w:w="2555" w:type="dxa"/>
            <w:tcBorders>
              <w:top w:val="single" w:color="231F20" w:sz="4" w:space="0"/>
              <w:left w:val="single" w:color="231F20" w:sz="4" w:space="0"/>
              <w:bottom w:val="single" w:color="231F20" w:sz="4" w:space="0"/>
            </w:tcBorders>
          </w:tcPr>
          <w:p>
            <w:pPr>
              <w:pStyle w:val="11"/>
              <w:rPr>
                <w:rFonts w:ascii="Times New Roman"/>
                <w:sz w:val="16"/>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1910" w:type="dxa"/>
            <w:gridSpan w:val="2"/>
            <w:tcBorders>
              <w:top w:val="single" w:color="231F20" w:sz="4" w:space="0"/>
              <w:bottom w:val="single" w:color="231F20" w:sz="4" w:space="0"/>
              <w:right w:val="single" w:color="231F20" w:sz="4" w:space="0"/>
            </w:tcBorders>
          </w:tcPr>
          <w:p>
            <w:pPr>
              <w:pStyle w:val="11"/>
              <w:spacing w:before="11"/>
              <w:rPr>
                <w:sz w:val="18"/>
              </w:rPr>
            </w:pPr>
          </w:p>
          <w:p>
            <w:pPr>
              <w:pStyle w:val="11"/>
              <w:tabs>
                <w:tab w:val="left" w:pos="1113"/>
              </w:tabs>
              <w:spacing w:line="328" w:lineRule="auto"/>
              <w:ind w:left="636" w:right="265" w:hanging="375"/>
              <w:rPr>
                <w:sz w:val="15"/>
              </w:rPr>
            </w:pPr>
            <w:r>
              <w:rPr>
                <w:spacing w:val="3"/>
                <w:w w:val="115"/>
                <w:sz w:val="15"/>
              </w:rPr>
              <w:t>事故已死</w:t>
            </w:r>
            <w:r>
              <w:rPr>
                <w:w w:val="115"/>
                <w:sz w:val="15"/>
              </w:rPr>
              <w:t>亡</w:t>
            </w:r>
            <w:r>
              <w:rPr>
                <w:spacing w:val="-59"/>
                <w:w w:val="115"/>
                <w:sz w:val="15"/>
              </w:rPr>
              <w:t xml:space="preserve"> </w:t>
            </w:r>
            <w:r>
              <w:rPr>
                <w:rFonts w:hint="eastAsia" w:ascii="MS UI Gothic" w:eastAsia="MS UI Gothic"/>
                <w:w w:val="125"/>
                <w:sz w:val="15"/>
              </w:rPr>
              <w:t>(</w:t>
            </w:r>
            <w:r>
              <w:rPr>
                <w:rFonts w:hint="eastAsia" w:ascii="MS UI Gothic" w:eastAsia="MS UI Gothic"/>
                <w:spacing w:val="-51"/>
                <w:w w:val="125"/>
                <w:sz w:val="15"/>
              </w:rPr>
              <w:t xml:space="preserve"> </w:t>
            </w:r>
            <w:r>
              <w:rPr>
                <w:spacing w:val="3"/>
                <w:w w:val="115"/>
                <w:sz w:val="15"/>
              </w:rPr>
              <w:t>失踪</w:t>
            </w:r>
            <w:r>
              <w:rPr>
                <w:rFonts w:hint="eastAsia" w:ascii="MS UI Gothic" w:eastAsia="MS UI Gothic"/>
                <w:spacing w:val="-11"/>
                <w:w w:val="125"/>
                <w:sz w:val="15"/>
              </w:rPr>
              <w:t xml:space="preserve">) </w:t>
            </w:r>
            <w:r>
              <w:rPr>
                <w:w w:val="115"/>
                <w:sz w:val="15"/>
              </w:rPr>
              <w:t>人</w:t>
            </w:r>
            <w:r>
              <w:rPr>
                <w:w w:val="115"/>
                <w:sz w:val="15"/>
              </w:rPr>
              <w:tab/>
            </w:r>
            <w:r>
              <w:rPr>
                <w:w w:val="115"/>
                <w:sz w:val="15"/>
              </w:rPr>
              <w:t>数</w:t>
            </w:r>
          </w:p>
        </w:tc>
        <w:tc>
          <w:tcPr>
            <w:tcW w:w="1594" w:type="dxa"/>
            <w:gridSpan w:val="4"/>
            <w:tcBorders>
              <w:top w:val="single" w:color="231F20" w:sz="4" w:space="0"/>
              <w:left w:val="single" w:color="231F20" w:sz="4" w:space="0"/>
              <w:bottom w:val="single" w:color="231F20" w:sz="4" w:space="0"/>
              <w:right w:val="single" w:color="231F20" w:sz="4" w:space="0"/>
            </w:tcBorders>
          </w:tcPr>
          <w:p>
            <w:pPr>
              <w:pStyle w:val="11"/>
              <w:spacing w:before="241"/>
              <w:ind w:left="491" w:right="480"/>
              <w:jc w:val="center"/>
              <w:rPr>
                <w:rFonts w:hint="eastAsia" w:ascii="MS UI Gothic" w:eastAsia="MS UI Gothic"/>
                <w:sz w:val="15"/>
              </w:rPr>
            </w:pPr>
            <w:r>
              <w:rPr>
                <w:spacing w:val="3"/>
                <w:w w:val="115"/>
                <w:sz w:val="15"/>
              </w:rPr>
              <w:t>死亡</w:t>
            </w:r>
            <w:r>
              <w:rPr>
                <w:rFonts w:hint="eastAsia" w:ascii="MS UI Gothic" w:eastAsia="MS UI Gothic"/>
                <w:w w:val="140"/>
                <w:sz w:val="15"/>
              </w:rPr>
              <w:t>:</w:t>
            </w:r>
          </w:p>
          <w:p>
            <w:pPr>
              <w:pStyle w:val="11"/>
              <w:spacing w:before="72"/>
              <w:ind w:left="491" w:right="480"/>
              <w:jc w:val="center"/>
              <w:rPr>
                <w:rFonts w:hint="eastAsia" w:ascii="MS UI Gothic" w:eastAsia="MS UI Gothic"/>
                <w:sz w:val="15"/>
              </w:rPr>
            </w:pPr>
            <w:r>
              <w:rPr>
                <w:spacing w:val="3"/>
                <w:w w:val="115"/>
                <w:sz w:val="15"/>
              </w:rPr>
              <w:t>失踪</w:t>
            </w:r>
            <w:r>
              <w:rPr>
                <w:rFonts w:hint="eastAsia" w:ascii="MS UI Gothic" w:eastAsia="MS UI Gothic"/>
                <w:w w:val="140"/>
                <w:sz w:val="15"/>
              </w:rPr>
              <w:t>:</w:t>
            </w:r>
          </w:p>
        </w:tc>
        <w:tc>
          <w:tcPr>
            <w:tcW w:w="1912" w:type="dxa"/>
            <w:gridSpan w:val="2"/>
            <w:tcBorders>
              <w:top w:val="single" w:color="231F20" w:sz="4" w:space="0"/>
              <w:left w:val="single" w:color="231F20" w:sz="4" w:space="0"/>
              <w:bottom w:val="single" w:color="231F20" w:sz="4" w:space="0"/>
              <w:right w:val="single" w:color="231F20" w:sz="4" w:space="0"/>
            </w:tcBorders>
          </w:tcPr>
          <w:p>
            <w:pPr>
              <w:pStyle w:val="11"/>
              <w:spacing w:before="11"/>
              <w:rPr>
                <w:sz w:val="18"/>
              </w:rPr>
            </w:pPr>
          </w:p>
          <w:p>
            <w:pPr>
              <w:pStyle w:val="11"/>
              <w:tabs>
                <w:tab w:val="left" w:pos="1115"/>
              </w:tabs>
              <w:spacing w:line="328" w:lineRule="auto"/>
              <w:ind w:left="638" w:right="629"/>
              <w:rPr>
                <w:sz w:val="15"/>
              </w:rPr>
            </w:pPr>
            <w:r>
              <w:rPr>
                <w:spacing w:val="3"/>
                <w:w w:val="105"/>
                <w:sz w:val="15"/>
              </w:rPr>
              <w:t>事故重</w:t>
            </w:r>
            <w:r>
              <w:rPr>
                <w:spacing w:val="-16"/>
                <w:w w:val="105"/>
                <w:sz w:val="15"/>
              </w:rPr>
              <w:t>伤</w:t>
            </w:r>
            <w:r>
              <w:rPr>
                <w:w w:val="105"/>
                <w:sz w:val="15"/>
              </w:rPr>
              <w:t>人</w:t>
            </w:r>
            <w:r>
              <w:rPr>
                <w:w w:val="105"/>
                <w:sz w:val="15"/>
              </w:rPr>
              <w:tab/>
            </w:r>
            <w:r>
              <w:rPr>
                <w:spacing w:val="-18"/>
                <w:w w:val="105"/>
                <w:sz w:val="15"/>
              </w:rPr>
              <w:t>数</w:t>
            </w:r>
          </w:p>
        </w:tc>
        <w:tc>
          <w:tcPr>
            <w:tcW w:w="2555" w:type="dxa"/>
            <w:tcBorders>
              <w:top w:val="single" w:color="231F20" w:sz="4" w:space="0"/>
              <w:left w:val="single" w:color="231F20" w:sz="4" w:space="0"/>
              <w:bottom w:val="single" w:color="231F20" w:sz="4" w:space="0"/>
            </w:tcBorders>
          </w:tcPr>
          <w:p>
            <w:pPr>
              <w:pStyle w:val="11"/>
              <w:rPr>
                <w:rFonts w:ascii="Times New Roman"/>
                <w:sz w:val="16"/>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86" w:hRule="atLeast"/>
        </w:trPr>
        <w:tc>
          <w:tcPr>
            <w:tcW w:w="7971" w:type="dxa"/>
            <w:gridSpan w:val="9"/>
            <w:tcBorders>
              <w:top w:val="single" w:color="231F20" w:sz="4" w:space="0"/>
            </w:tcBorders>
          </w:tcPr>
          <w:p>
            <w:pPr>
              <w:pStyle w:val="11"/>
              <w:spacing w:before="10"/>
              <w:rPr>
                <w:sz w:val="35"/>
              </w:rPr>
            </w:pPr>
          </w:p>
          <w:p>
            <w:pPr>
              <w:pStyle w:val="11"/>
              <w:ind w:left="104"/>
              <w:rPr>
                <w:sz w:val="15"/>
              </w:rPr>
            </w:pPr>
            <w:r>
              <w:rPr>
                <w:sz w:val="15"/>
              </w:rPr>
              <w:t>一</w:t>
            </w:r>
            <w:r>
              <w:rPr>
                <w:rFonts w:hint="eastAsia" w:ascii="MS UI Gothic" w:eastAsia="MS UI Gothic"/>
                <w:sz w:val="15"/>
              </w:rPr>
              <w:t xml:space="preserve">、 </w:t>
            </w:r>
            <w:r>
              <w:rPr>
                <w:sz w:val="15"/>
              </w:rPr>
              <w:t>事故简要经过</w:t>
            </w:r>
          </w:p>
          <w:p>
            <w:pPr>
              <w:pStyle w:val="11"/>
              <w:rPr>
                <w:sz w:val="36"/>
              </w:rPr>
            </w:pPr>
          </w:p>
          <w:p>
            <w:pPr>
              <w:pStyle w:val="11"/>
              <w:spacing w:before="5"/>
              <w:rPr>
                <w:sz w:val="31"/>
              </w:rPr>
            </w:pPr>
          </w:p>
          <w:p>
            <w:pPr>
              <w:pStyle w:val="11"/>
              <w:ind w:left="104"/>
              <w:rPr>
                <w:sz w:val="15"/>
              </w:rPr>
            </w:pPr>
            <w:r>
              <w:rPr>
                <w:sz w:val="15"/>
              </w:rPr>
              <w:t>二</w:t>
            </w:r>
            <w:r>
              <w:rPr>
                <w:rFonts w:hint="eastAsia" w:ascii="MS UI Gothic" w:eastAsia="MS UI Gothic"/>
                <w:sz w:val="15"/>
              </w:rPr>
              <w:t xml:space="preserve">、 </w:t>
            </w:r>
            <w:r>
              <w:rPr>
                <w:sz w:val="15"/>
              </w:rPr>
              <w:t>事故现场情况及救援采取的主要措施</w:t>
            </w:r>
          </w:p>
          <w:p>
            <w:pPr>
              <w:pStyle w:val="11"/>
              <w:rPr>
                <w:sz w:val="36"/>
              </w:rPr>
            </w:pPr>
          </w:p>
          <w:p>
            <w:pPr>
              <w:pStyle w:val="11"/>
              <w:spacing w:before="5"/>
              <w:rPr>
                <w:sz w:val="31"/>
              </w:rPr>
            </w:pPr>
          </w:p>
          <w:p>
            <w:pPr>
              <w:pStyle w:val="11"/>
              <w:spacing w:before="1"/>
              <w:ind w:left="104"/>
              <w:rPr>
                <w:sz w:val="15"/>
              </w:rPr>
            </w:pPr>
            <w:r>
              <w:rPr>
                <w:sz w:val="15"/>
              </w:rPr>
              <w:t>三</w:t>
            </w:r>
            <w:r>
              <w:rPr>
                <w:rFonts w:hint="eastAsia" w:ascii="MS UI Gothic" w:eastAsia="MS UI Gothic"/>
                <w:sz w:val="15"/>
              </w:rPr>
              <w:t xml:space="preserve">、 </w:t>
            </w:r>
            <w:r>
              <w:rPr>
                <w:sz w:val="15"/>
              </w:rPr>
              <w:t>其他情况</w:t>
            </w:r>
          </w:p>
        </w:tc>
      </w:tr>
    </w:tbl>
    <w:p>
      <w:pPr>
        <w:spacing w:after="0"/>
        <w:rPr>
          <w:sz w:val="15"/>
        </w:rPr>
        <w:sectPr>
          <w:type w:val="continuous"/>
          <w:pgSz w:w="10500" w:h="14750"/>
          <w:pgMar w:top="1400" w:right="980" w:bottom="280" w:left="980" w:header="720" w:footer="720" w:gutter="0"/>
        </w:sectPr>
      </w:pPr>
    </w:p>
    <w:p>
      <w:pPr>
        <w:pStyle w:val="6"/>
        <w:ind w:left="0" w:firstLine="0"/>
        <w:jc w:val="left"/>
        <w:rPr>
          <w:sz w:val="32"/>
        </w:rPr>
      </w:pPr>
    </w:p>
    <w:p>
      <w:pPr>
        <w:pStyle w:val="6"/>
        <w:spacing w:before="8"/>
        <w:ind w:left="0" w:firstLine="0"/>
        <w:jc w:val="left"/>
        <w:rPr>
          <w:sz w:val="23"/>
        </w:rPr>
      </w:pPr>
    </w:p>
    <w:p>
      <w:pPr>
        <w:pStyle w:val="6"/>
        <w:ind w:left="440" w:firstLine="0"/>
        <w:jc w:val="left"/>
      </w:pPr>
      <w:r>
        <w:pict>
          <v:shape id="_x0000_s1533" o:spid="_x0000_s1533" style="position:absolute;left:0pt;margin-left:0pt;margin-top:664.5pt;height:1.75pt;width:398.25pt;mso-position-horizontal-relative:page;z-index:251860992;mso-width-relative:page;mso-height-relative:page;" filled="f" stroked="t" coordorigin="0,13290" coordsize="7965,35" path="m1419,-196l9384,-196m1419,-231l9384,-231e">
            <v:path arrowok="t"/>
            <v:fill on="f" focussize="0,0"/>
            <v:stroke weight="0.388031496062992pt" color="#231F20"/>
            <v:imagedata o:title=""/>
            <o:lock v:ext="edit"/>
          </v:shape>
        </w:pict>
      </w:r>
      <w:r>
        <w:rPr>
          <w:spacing w:val="-25"/>
        </w:rPr>
        <w:t xml:space="preserve">附件 </w:t>
      </w:r>
      <w:r>
        <w:rPr>
          <w:w w:val="80"/>
        </w:rPr>
        <w:t>５</w:t>
      </w:r>
    </w:p>
    <w:p>
      <w:pPr>
        <w:spacing w:before="192"/>
        <w:ind w:left="594" w:right="194" w:firstLine="0"/>
        <w:jc w:val="center"/>
        <w:rPr>
          <w:sz w:val="17"/>
        </w:rPr>
      </w:pPr>
      <w:r>
        <w:br w:type="column"/>
      </w:r>
      <w:r>
        <w:rPr>
          <w:sz w:val="17"/>
        </w:rPr>
        <w:t>四</w:t>
      </w:r>
      <w:r>
        <w:rPr>
          <w:rFonts w:hint="eastAsia" w:ascii="Microsoft Yi Baiti" w:eastAsia="Microsoft Yi Baiti"/>
          <w:sz w:val="17"/>
        </w:rPr>
        <w:t xml:space="preserve">、 </w:t>
      </w:r>
      <w:r>
        <w:rPr>
          <w:sz w:val="17"/>
        </w:rPr>
        <w:t>安 全 生 产 法</w:t>
      </w:r>
    </w:p>
    <w:p>
      <w:pPr>
        <w:pStyle w:val="6"/>
        <w:ind w:left="0" w:firstLine="0"/>
        <w:jc w:val="left"/>
        <w:rPr>
          <w:sz w:val="24"/>
        </w:rPr>
      </w:pPr>
    </w:p>
    <w:p>
      <w:pPr>
        <w:pStyle w:val="6"/>
        <w:ind w:left="0" w:firstLine="0"/>
        <w:jc w:val="left"/>
        <w:rPr>
          <w:sz w:val="24"/>
        </w:rPr>
      </w:pPr>
    </w:p>
    <w:p>
      <w:pPr>
        <w:pStyle w:val="6"/>
        <w:ind w:left="0" w:firstLine="0"/>
        <w:jc w:val="left"/>
      </w:pPr>
    </w:p>
    <w:p>
      <w:pPr>
        <w:pStyle w:val="3"/>
        <w:ind w:left="594"/>
      </w:pPr>
      <w:r>
        <w:t>中央企业生产安全事故报告流程图</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１６５</w:t>
      </w:r>
    </w:p>
    <w:p>
      <w:pPr>
        <w:spacing w:after="0"/>
        <w:jc w:val="left"/>
        <w:rPr>
          <w:rFonts w:hint="eastAsia" w:ascii="MS UI Gothic" w:eastAsia="MS UI Gothic"/>
        </w:rPr>
        <w:sectPr>
          <w:pgSz w:w="10500" w:h="14750"/>
          <w:pgMar w:top="960" w:right="980" w:bottom="280" w:left="980" w:header="720" w:footer="720" w:gutter="0"/>
          <w:cols w:equalWidth="0" w:num="3">
            <w:col w:w="1050" w:space="582"/>
            <w:col w:w="5178" w:space="262"/>
            <w:col w:w="1468"/>
          </w:cols>
        </w:sectPr>
      </w:pPr>
    </w:p>
    <w:p>
      <w:pPr>
        <w:pStyle w:val="6"/>
        <w:ind w:left="0" w:firstLine="0"/>
        <w:jc w:val="left"/>
        <w:rPr>
          <w:rFonts w:ascii="MS UI Gothic"/>
        </w:rPr>
      </w:pPr>
    </w:p>
    <w:p>
      <w:pPr>
        <w:pStyle w:val="6"/>
        <w:ind w:left="0" w:firstLine="0"/>
        <w:jc w:val="left"/>
        <w:rPr>
          <w:rFonts w:ascii="MS UI Gothic"/>
        </w:rPr>
      </w:pPr>
    </w:p>
    <w:p>
      <w:pPr>
        <w:pStyle w:val="6"/>
        <w:spacing w:before="5" w:after="1"/>
        <w:ind w:left="0" w:firstLine="0"/>
        <w:jc w:val="left"/>
        <w:rPr>
          <w:rFonts w:ascii="MS UI Gothic"/>
          <w:sz w:val="11"/>
        </w:rPr>
      </w:pPr>
    </w:p>
    <w:p>
      <w:pPr>
        <w:pStyle w:val="6"/>
        <w:ind w:left="3491" w:firstLine="0"/>
        <w:jc w:val="left"/>
        <w:rPr>
          <w:rFonts w:ascii="MS UI Gothic"/>
        </w:rPr>
      </w:pPr>
      <w:r>
        <w:rPr>
          <w:rFonts w:ascii="MS UI Gothic"/>
        </w:rPr>
        <w:drawing>
          <wp:inline distT="0" distB="0" distL="0" distR="0">
            <wp:extent cx="1176020" cy="409321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 cstate="print"/>
                    <a:stretch>
                      <a:fillRect/>
                    </a:stretch>
                  </pic:blipFill>
                  <pic:spPr>
                    <a:xfrm>
                      <a:off x="0" y="0"/>
                      <a:ext cx="1176203" cy="4093464"/>
                    </a:xfrm>
                    <a:prstGeom prst="rect">
                      <a:avLst/>
                    </a:prstGeom>
                  </pic:spPr>
                </pic:pic>
              </a:graphicData>
            </a:graphic>
          </wp:inline>
        </w:drawing>
      </w:r>
    </w:p>
    <w:p>
      <w:pPr>
        <w:spacing w:after="0"/>
        <w:jc w:val="left"/>
        <w:rPr>
          <w:rFonts w:ascii="MS UI Gothic"/>
        </w:rPr>
        <w:sectPr>
          <w:type w:val="continuous"/>
          <w:pgSz w:w="10500" w:h="14750"/>
          <w:pgMar w:top="1400" w:right="980" w:bottom="280" w:left="980" w:header="720" w:footer="720" w:gutter="0"/>
        </w:sectPr>
      </w:pPr>
    </w:p>
    <w:p>
      <w:pPr>
        <w:pStyle w:val="6"/>
        <w:spacing w:before="159"/>
        <w:ind w:left="280" w:firstLine="0"/>
        <w:jc w:val="left"/>
        <w:rPr>
          <w:rFonts w:hint="eastAsia" w:ascii="MS UI Gothic" w:eastAsia="MS UI Gothic"/>
        </w:rPr>
      </w:pPr>
      <w:r>
        <w:pict>
          <v:shape id="_x0000_s1534" o:spid="_x0000_s1534" style="position:absolute;left:0pt;margin-left:0pt;margin-top:700.1pt;height:1.75pt;width:398.25pt;mso-position-horizontal-relative:page;z-index:25186201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１６６</w:t>
      </w:r>
    </w:p>
    <w:p>
      <w:pPr>
        <w:pStyle w:val="6"/>
        <w:spacing w:before="297"/>
        <w:ind w:firstLine="0"/>
        <w:jc w:val="left"/>
      </w:pPr>
      <w:r>
        <w:t xml:space="preserve">附件 </w:t>
      </w:r>
      <w:r>
        <w:rPr>
          <w:w w:val="80"/>
        </w:rPr>
        <w:t>６</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251"/>
            <w:col w:w="6239"/>
          </w:cols>
        </w:sectPr>
      </w:pPr>
    </w:p>
    <w:p>
      <w:pPr>
        <w:pStyle w:val="6"/>
        <w:spacing w:before="3"/>
        <w:ind w:left="0" w:firstLine="0"/>
        <w:jc w:val="left"/>
        <w:rPr>
          <w:rFonts w:ascii="Microsoft Yi Baiti"/>
          <w:sz w:val="23"/>
        </w:rPr>
      </w:pPr>
    </w:p>
    <w:p>
      <w:pPr>
        <w:pStyle w:val="3"/>
        <w:spacing w:before="73"/>
        <w:ind w:right="320"/>
      </w:pPr>
      <w:r>
        <w:t>中央企业生产安全责任事故降分降级处理细则</w:t>
      </w:r>
    </w:p>
    <w:p>
      <w:pPr>
        <w:pStyle w:val="6"/>
        <w:spacing w:before="2"/>
        <w:ind w:left="0" w:firstLine="0"/>
        <w:jc w:val="left"/>
        <w:rPr>
          <w:sz w:val="11"/>
        </w:rPr>
      </w:pPr>
    </w:p>
    <w:p>
      <w:pPr>
        <w:spacing w:after="0"/>
        <w:jc w:val="left"/>
        <w:rPr>
          <w:sz w:val="11"/>
        </w:rPr>
        <w:sectPr>
          <w:type w:val="continuous"/>
          <w:pgSz w:w="10500" w:h="14750"/>
          <w:pgMar w:top="1400" w:right="980" w:bottom="280" w:left="980" w:header="720" w:footer="720" w:gutter="0"/>
        </w:sectPr>
      </w:pPr>
    </w:p>
    <w:p>
      <w:pPr>
        <w:pStyle w:val="6"/>
        <w:spacing w:before="175" w:line="295" w:lineRule="auto"/>
        <w:ind w:right="363"/>
        <w:rPr>
          <w:rFonts w:hint="eastAsia" w:ascii="MS UI Gothic" w:eastAsia="MS UI Gothic"/>
        </w:rPr>
      </w:pPr>
      <w:r>
        <w:t>中央企业的生产安全责任事故纳入中央企业负责人经营业绩考核之中</w:t>
      </w:r>
      <w:r>
        <w:rPr>
          <w:rFonts w:hint="eastAsia" w:ascii="MS UI Gothic" w:eastAsia="MS UI Gothic"/>
          <w:w w:val="80"/>
        </w:rPr>
        <w:t xml:space="preserve">ꎬ </w:t>
      </w:r>
      <w:r>
        <w:t>主要根</w:t>
      </w:r>
      <w:r>
        <w:rPr>
          <w:w w:val="105"/>
        </w:rPr>
        <w:t>据企业经营规模</w:t>
      </w:r>
      <w:r>
        <w:rPr>
          <w:rFonts w:hint="eastAsia" w:ascii="MS UI Gothic" w:eastAsia="MS UI Gothic"/>
          <w:w w:val="80"/>
        </w:rPr>
        <w:t xml:space="preserve">、 </w:t>
      </w:r>
      <w:r>
        <w:rPr>
          <w:w w:val="105"/>
        </w:rPr>
        <w:t>安全生产监管分类及事故的起数</w:t>
      </w:r>
      <w:r>
        <w:rPr>
          <w:rFonts w:hint="eastAsia" w:ascii="MS UI Gothic" w:eastAsia="MS UI Gothic"/>
          <w:w w:val="80"/>
        </w:rPr>
        <w:t xml:space="preserve">、 </w:t>
      </w:r>
      <w:r>
        <w:rPr>
          <w:w w:val="105"/>
        </w:rPr>
        <w:t>性质</w:t>
      </w:r>
      <w:r>
        <w:rPr>
          <w:rFonts w:hint="eastAsia" w:ascii="MS UI Gothic" w:eastAsia="MS UI Gothic"/>
          <w:w w:val="80"/>
        </w:rPr>
        <w:t xml:space="preserve">、 </w:t>
      </w:r>
      <w:r>
        <w:rPr>
          <w:w w:val="105"/>
        </w:rPr>
        <w:t>级别和责任情况</w:t>
      </w:r>
      <w:r>
        <w:rPr>
          <w:rFonts w:hint="eastAsia" w:ascii="MS UI Gothic" w:eastAsia="MS UI Gothic"/>
          <w:w w:val="80"/>
        </w:rPr>
        <w:t xml:space="preserve">ꎬ </w:t>
      </w:r>
      <w:r>
        <w:rPr>
          <w:w w:val="105"/>
        </w:rPr>
        <w:t>对中</w:t>
      </w:r>
      <w:r>
        <w:t>央企业负责人经营业绩考核结果进行降级</w:t>
      </w:r>
      <w:r>
        <w:rPr>
          <w:w w:val="105"/>
        </w:rPr>
        <w:t>或降分处理</w:t>
      </w:r>
      <w:r>
        <w:rPr>
          <w:rFonts w:hint="eastAsia" w:ascii="MS UI Gothic" w:eastAsia="MS UI Gothic"/>
          <w:w w:val="80"/>
        </w:rPr>
        <w:t>ꎮ</w:t>
      </w:r>
    </w:p>
    <w:p>
      <w:pPr>
        <w:pStyle w:val="6"/>
        <w:spacing w:line="251" w:lineRule="exact"/>
        <w:ind w:left="543" w:firstLine="0"/>
      </w:pPr>
      <w:r>
        <w:t>一</w:t>
      </w:r>
      <w:r>
        <w:rPr>
          <w:rFonts w:hint="eastAsia" w:ascii="MS UI Gothic" w:eastAsia="MS UI Gothic"/>
        </w:rPr>
        <w:t xml:space="preserve">、 </w:t>
      </w:r>
      <w:r>
        <w:t>降级</w:t>
      </w:r>
    </w:p>
    <w:p>
      <w:pPr>
        <w:pStyle w:val="6"/>
        <w:spacing w:before="58" w:line="295" w:lineRule="auto"/>
        <w:ind w:right="363"/>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中央企业年度内发生下列情况</w:t>
      </w:r>
      <w:r>
        <w:t>之一的</w:t>
      </w:r>
      <w:r>
        <w:rPr>
          <w:rFonts w:hint="eastAsia" w:ascii="MS UI Gothic" w:eastAsia="MS UI Gothic"/>
          <w:w w:val="80"/>
        </w:rPr>
        <w:t xml:space="preserve">ꎬ </w:t>
      </w:r>
      <w:r>
        <w:t>对中央企业负责人年度经营业绩</w:t>
      </w:r>
      <w:r>
        <w:rPr>
          <w:w w:val="110"/>
        </w:rPr>
        <w:t>考核结果予以降低一级处理</w:t>
      </w:r>
      <w:r>
        <w:rPr>
          <w:rFonts w:hint="eastAsia" w:ascii="MS UI Gothic" w:eastAsia="MS UI Gothic"/>
          <w:w w:val="235"/>
        </w:rPr>
        <w:t>:</w:t>
      </w:r>
    </w:p>
    <w:p>
      <w:pPr>
        <w:pStyle w:val="6"/>
        <w:spacing w:line="295" w:lineRule="auto"/>
        <w:ind w:right="363" w:firstLine="413"/>
        <w:rPr>
          <w:rFonts w:hint="eastAsia" w:ascii="MS UI Gothic" w:eastAsia="MS UI Gothic"/>
        </w:rPr>
      </w:pPr>
      <w:r>
        <w:rPr>
          <w:rFonts w:hint="eastAsia" w:ascii="MS UI Gothic" w:eastAsia="MS UI Gothic"/>
        </w:rPr>
        <w:t xml:space="preserve">１ </w:t>
      </w:r>
      <w:r>
        <w:t>发生生产安全事故</w:t>
      </w:r>
      <w:r>
        <w:rPr>
          <w:rFonts w:hint="eastAsia" w:ascii="MS UI Gothic" w:eastAsia="MS UI Gothic"/>
          <w:w w:val="85"/>
        </w:rPr>
        <w:t xml:space="preserve">ꎬ </w:t>
      </w:r>
      <w:r>
        <w:t>存在瞒报行为的中央企业</w:t>
      </w:r>
      <w:r>
        <w:rPr>
          <w:rFonts w:hint="eastAsia" w:ascii="MS UI Gothic" w:eastAsia="MS UI Gothic"/>
          <w:w w:val="85"/>
        </w:rPr>
        <w:t>ꎮ</w:t>
      </w:r>
    </w:p>
    <w:p>
      <w:pPr>
        <w:pStyle w:val="6"/>
        <w:spacing w:line="295" w:lineRule="auto"/>
        <w:ind w:right="361" w:firstLine="413"/>
        <w:rPr>
          <w:rFonts w:hint="eastAsia" w:ascii="MS UI Gothic" w:eastAsia="MS UI Gothic"/>
        </w:rPr>
      </w:pPr>
      <w:r>
        <w:rPr>
          <w:rFonts w:hint="eastAsia" w:ascii="MS UI Gothic" w:eastAsia="MS UI Gothic"/>
        </w:rPr>
        <w:t xml:space="preserve">２ </w:t>
      </w:r>
      <w:r>
        <w:t>发生特别重大生产安全责任事故</w:t>
      </w:r>
      <w:r>
        <w:rPr>
          <w:rFonts w:hint="eastAsia" w:ascii="MS UI Gothic" w:eastAsia="MS UI Gothic"/>
          <w:w w:val="85"/>
        </w:rPr>
        <w:t>ꎬ</w:t>
      </w:r>
      <w:r>
        <w:t>承担主要责任的中央企业</w:t>
      </w:r>
      <w:r>
        <w:rPr>
          <w:rFonts w:hint="eastAsia" w:ascii="MS UI Gothic" w:eastAsia="MS UI Gothic"/>
          <w:w w:val="85"/>
        </w:rPr>
        <w:t>ꎮ</w:t>
      </w:r>
    </w:p>
    <w:p>
      <w:pPr>
        <w:pStyle w:val="6"/>
        <w:spacing w:before="309"/>
        <w:ind w:left="0" w:firstLine="0"/>
        <w:jc w:val="right"/>
        <w:rPr>
          <w:rFonts w:hint="eastAsia" w:ascii="MS UI Gothic" w:eastAsia="MS UI Gothic"/>
        </w:rPr>
      </w:pPr>
      <w:r>
        <w:rPr>
          <w:w w:val="85"/>
        </w:rPr>
        <w:t xml:space="preserve">表 </w:t>
      </w:r>
      <w:r>
        <w:rPr>
          <w:rFonts w:hint="eastAsia" w:ascii="MS UI Gothic" w:eastAsia="MS UI Gothic"/>
          <w:w w:val="85"/>
        </w:rPr>
        <w:t>１</w:t>
      </w:r>
    </w:p>
    <w:p>
      <w:pPr>
        <w:pStyle w:val="6"/>
        <w:spacing w:before="175" w:line="295" w:lineRule="auto"/>
        <w:ind w:left="17" w:right="440" w:firstLine="413"/>
        <w:rPr>
          <w:rFonts w:hint="eastAsia" w:ascii="MS UI Gothic" w:eastAsia="MS UI Gothic"/>
        </w:rPr>
      </w:pPr>
      <w:r>
        <w:br w:type="column"/>
      </w:r>
      <w:r>
        <w:rPr>
          <w:rFonts w:hint="eastAsia" w:ascii="MS UI Gothic" w:eastAsia="MS UI Gothic"/>
        </w:rPr>
        <w:t xml:space="preserve">３ </w:t>
      </w:r>
      <w:r>
        <w:t>发生特别重大生产安全责任事故</w:t>
      </w:r>
      <w:r>
        <w:rPr>
          <w:rFonts w:hint="eastAsia" w:ascii="MS UI Gothic" w:eastAsia="MS UI Gothic"/>
          <w:w w:val="85"/>
        </w:rPr>
        <w:t>ꎬ</w:t>
      </w:r>
      <w:r>
        <w:t>承担一定责任的第二类中央企业</w:t>
      </w:r>
      <w:r>
        <w:rPr>
          <w:rFonts w:hint="eastAsia" w:ascii="MS UI Gothic" w:eastAsia="MS UI Gothic"/>
          <w:w w:val="85"/>
        </w:rPr>
        <w:t xml:space="preserve">ꎻ </w:t>
      </w:r>
      <w:r>
        <w:t>发生重大以上生产安全责任事故</w:t>
      </w:r>
      <w:r>
        <w:rPr>
          <w:rFonts w:hint="eastAsia" w:ascii="MS UI Gothic" w:eastAsia="MS UI Gothic"/>
          <w:w w:val="85"/>
        </w:rPr>
        <w:t xml:space="preserve">ꎬ </w:t>
      </w:r>
      <w:r>
        <w:t>承担一定责任的第三类中央企业</w:t>
      </w:r>
      <w:r>
        <w:rPr>
          <w:rFonts w:hint="eastAsia" w:ascii="MS UI Gothic" w:eastAsia="MS UI Gothic"/>
          <w:w w:val="85"/>
        </w:rPr>
        <w:t>ꎮ</w:t>
      </w:r>
    </w:p>
    <w:p>
      <w:pPr>
        <w:pStyle w:val="6"/>
        <w:spacing w:line="295" w:lineRule="auto"/>
        <w:ind w:left="17" w:right="442" w:firstLine="413"/>
        <w:rPr>
          <w:rFonts w:hint="eastAsia" w:ascii="MS UI Gothic" w:eastAsia="MS UI Gothic"/>
        </w:rPr>
      </w:pPr>
      <w:r>
        <w:rPr>
          <w:rFonts w:hint="eastAsia" w:ascii="MS UI Gothic" w:eastAsia="MS UI Gothic"/>
          <w:w w:val="85"/>
        </w:rPr>
        <w:t xml:space="preserve">４ </w:t>
      </w:r>
      <w:r>
        <w:rPr>
          <w:spacing w:val="12"/>
          <w:w w:val="105"/>
        </w:rPr>
        <w:t>较大生产安全责任事故或重大生</w:t>
      </w:r>
      <w:r>
        <w:rPr>
          <w:spacing w:val="3"/>
        </w:rPr>
        <w:t>产安全责任事故达到规定降级起数</w:t>
      </w:r>
      <w:r>
        <w:rPr>
          <w:rFonts w:hint="eastAsia" w:ascii="MS UI Gothic" w:eastAsia="MS UI Gothic"/>
          <w:spacing w:val="13"/>
          <w:w w:val="85"/>
        </w:rPr>
        <w:t xml:space="preserve">ꎬ </w:t>
      </w:r>
      <w:r>
        <w:rPr>
          <w:spacing w:val="1"/>
        </w:rPr>
        <w:t>且承</w:t>
      </w:r>
      <w:r>
        <w:rPr>
          <w:spacing w:val="2"/>
          <w:w w:val="102"/>
        </w:rPr>
        <w:t>担主要责任的中央企业</w:t>
      </w:r>
      <w:r>
        <w:rPr>
          <w:spacing w:val="2"/>
        </w:rPr>
        <w:t xml:space="preserve"> </w:t>
      </w:r>
      <w:r>
        <w:rPr>
          <w:rFonts w:hint="eastAsia" w:ascii="MS UI Gothic" w:eastAsia="MS UI Gothic"/>
          <w:w w:val="168"/>
        </w:rPr>
        <w:t>(</w:t>
      </w:r>
      <w:r>
        <w:rPr>
          <w:rFonts w:hint="eastAsia" w:ascii="MS UI Gothic" w:eastAsia="MS UI Gothic"/>
        </w:rPr>
        <w:t xml:space="preserve"> </w:t>
      </w:r>
      <w:r>
        <w:rPr>
          <w:spacing w:val="2"/>
          <w:w w:val="102"/>
        </w:rPr>
        <w:t>详见表</w:t>
      </w:r>
      <w:r>
        <w:rPr>
          <w:spacing w:val="-50"/>
        </w:rPr>
        <w:t xml:space="preserve"> </w:t>
      </w:r>
      <w:r>
        <w:rPr>
          <w:rFonts w:hint="eastAsia" w:ascii="MS UI Gothic" w:eastAsia="MS UI Gothic"/>
          <w:spacing w:val="5"/>
          <w:w w:val="75"/>
        </w:rPr>
        <w:t>１</w:t>
      </w:r>
      <w:r>
        <w:rPr>
          <w:rFonts w:hint="eastAsia" w:ascii="MS UI Gothic" w:eastAsia="MS UI Gothic"/>
          <w:w w:val="168"/>
        </w:rPr>
        <w:t>)</w:t>
      </w:r>
      <w:r>
        <w:rPr>
          <w:rFonts w:hint="eastAsia" w:ascii="MS UI Gothic" w:eastAsia="MS UI Gothic"/>
        </w:rPr>
        <w:t xml:space="preserve"> </w:t>
      </w:r>
      <w:r>
        <w:rPr>
          <w:rFonts w:hint="eastAsia" w:ascii="MS UI Gothic" w:eastAsia="MS UI Gothic"/>
          <w:w w:val="51"/>
        </w:rPr>
        <w:t>ꎮ</w:t>
      </w:r>
    </w:p>
    <w:p>
      <w:pPr>
        <w:pStyle w:val="6"/>
        <w:spacing w:line="295" w:lineRule="auto"/>
        <w:ind w:left="17" w:right="442" w:firstLine="413"/>
        <w:rPr>
          <w:rFonts w:hint="eastAsia" w:ascii="MS UI Gothic" w:eastAsia="MS UI Gothic"/>
        </w:rPr>
      </w:pPr>
      <w:r>
        <w:rPr>
          <w:rFonts w:hint="eastAsia" w:ascii="MS UI Gothic" w:eastAsia="MS UI Gothic"/>
        </w:rPr>
        <w:t xml:space="preserve">５ </w:t>
      </w:r>
      <w:r>
        <w:t>发生重大环境污染</w:t>
      </w:r>
      <w:r>
        <w:rPr>
          <w:rFonts w:hint="eastAsia" w:ascii="MS UI Gothic" w:eastAsia="MS UI Gothic"/>
        </w:rPr>
        <w:t xml:space="preserve">、 </w:t>
      </w:r>
      <w:r>
        <w:t>公共安全等事件</w:t>
      </w:r>
      <w:r>
        <w:rPr>
          <w:rFonts w:hint="eastAsia" w:ascii="MS UI Gothic" w:eastAsia="MS UI Gothic"/>
          <w:w w:val="85"/>
        </w:rPr>
        <w:t xml:space="preserve">ꎬ </w:t>
      </w:r>
      <w:r>
        <w:t>并造成重大社会影响的中央企业</w:t>
      </w:r>
      <w:r>
        <w:rPr>
          <w:rFonts w:hint="eastAsia" w:ascii="MS UI Gothic" w:eastAsia="MS UI Gothic"/>
          <w:w w:val="85"/>
        </w:rPr>
        <w:t>ꎮ</w:t>
      </w:r>
    </w:p>
    <w:p>
      <w:pPr>
        <w:pStyle w:val="6"/>
        <w:spacing w:line="295" w:lineRule="auto"/>
        <w:ind w:left="17"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中央企业任期内连续发生瞒报</w:t>
      </w:r>
      <w:r>
        <w:t>事故或发生两起以上特别重大生产安全责任事故</w:t>
      </w:r>
      <w:r>
        <w:rPr>
          <w:rFonts w:hint="eastAsia" w:ascii="MS UI Gothic" w:eastAsia="MS UI Gothic"/>
          <w:w w:val="80"/>
        </w:rPr>
        <w:t xml:space="preserve">ꎬ </w:t>
      </w:r>
      <w:r>
        <w:t>对中央企业负责人任期经营业绩</w:t>
      </w:r>
      <w:r>
        <w:rPr>
          <w:w w:val="105"/>
        </w:rPr>
        <w:t>考核结果予以降低一级处理</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60" w:space="40"/>
            <w:col w:w="4240"/>
          </w:cols>
        </w:sectPr>
      </w:pPr>
    </w:p>
    <w:p>
      <w:pPr>
        <w:pStyle w:val="6"/>
        <w:spacing w:before="1"/>
        <w:ind w:left="0" w:firstLine="0"/>
        <w:jc w:val="left"/>
        <w:rPr>
          <w:rFonts w:ascii="MS UI Gothic"/>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114"/>
        <w:gridCol w:w="2228"/>
        <w:gridCol w:w="2228"/>
        <w:gridCol w:w="2395"/>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114" w:type="dxa"/>
            <w:tcBorders>
              <w:bottom w:val="single" w:color="231F20" w:sz="4" w:space="0"/>
              <w:right w:val="single" w:color="231F20" w:sz="4" w:space="0"/>
            </w:tcBorders>
          </w:tcPr>
          <w:p>
            <w:pPr>
              <w:pStyle w:val="11"/>
              <w:spacing w:before="50"/>
              <w:ind w:left="87" w:right="77"/>
              <w:jc w:val="center"/>
              <w:rPr>
                <w:sz w:val="15"/>
              </w:rPr>
            </w:pPr>
            <w:r>
              <w:rPr>
                <w:w w:val="105"/>
                <w:sz w:val="15"/>
              </w:rPr>
              <w:t>类型</w:t>
            </w:r>
          </w:p>
        </w:tc>
        <w:tc>
          <w:tcPr>
            <w:tcW w:w="2228" w:type="dxa"/>
            <w:tcBorders>
              <w:left w:val="single" w:color="231F20" w:sz="4" w:space="0"/>
              <w:bottom w:val="single" w:color="231F20" w:sz="4" w:space="0"/>
              <w:right w:val="single" w:color="231F20" w:sz="4" w:space="0"/>
            </w:tcBorders>
          </w:tcPr>
          <w:p>
            <w:pPr>
              <w:pStyle w:val="11"/>
              <w:spacing w:before="50"/>
              <w:ind w:left="143" w:right="143"/>
              <w:jc w:val="center"/>
              <w:rPr>
                <w:rFonts w:hint="eastAsia" w:ascii="MS UI Gothic" w:eastAsia="MS UI Gothic"/>
                <w:sz w:val="15"/>
              </w:rPr>
            </w:pPr>
            <w:r>
              <w:rPr>
                <w:w w:val="115"/>
                <w:sz w:val="15"/>
              </w:rPr>
              <w:t xml:space="preserve">规模 </w:t>
            </w:r>
            <w:r>
              <w:rPr>
                <w:rFonts w:hint="eastAsia" w:ascii="MS UI Gothic" w:eastAsia="MS UI Gothic"/>
                <w:w w:val="150"/>
                <w:sz w:val="15"/>
              </w:rPr>
              <w:t xml:space="preserve">( </w:t>
            </w:r>
            <w:r>
              <w:rPr>
                <w:w w:val="115"/>
                <w:sz w:val="15"/>
              </w:rPr>
              <w:t>亿元</w:t>
            </w:r>
            <w:r>
              <w:rPr>
                <w:rFonts w:hint="eastAsia" w:ascii="MS UI Gothic" w:eastAsia="MS UI Gothic"/>
                <w:w w:val="150"/>
                <w:sz w:val="15"/>
              </w:rPr>
              <w:t>)</w:t>
            </w:r>
          </w:p>
        </w:tc>
        <w:tc>
          <w:tcPr>
            <w:tcW w:w="2228" w:type="dxa"/>
            <w:tcBorders>
              <w:left w:val="single" w:color="231F20" w:sz="4" w:space="0"/>
              <w:bottom w:val="single" w:color="231F20" w:sz="4" w:space="0"/>
              <w:right w:val="single" w:color="231F20" w:sz="4" w:space="0"/>
            </w:tcBorders>
          </w:tcPr>
          <w:p>
            <w:pPr>
              <w:pStyle w:val="11"/>
              <w:spacing w:before="50"/>
              <w:ind w:left="143" w:right="143"/>
              <w:jc w:val="center"/>
              <w:rPr>
                <w:rFonts w:hint="eastAsia" w:ascii="MS UI Gothic" w:hAnsi="MS UI Gothic" w:eastAsia="MS UI Gothic"/>
                <w:sz w:val="15"/>
              </w:rPr>
            </w:pPr>
            <w:r>
              <w:rPr>
                <w:w w:val="120"/>
                <w:sz w:val="15"/>
              </w:rPr>
              <w:t xml:space="preserve">较大责任事故 </w:t>
            </w:r>
            <w:r>
              <w:rPr>
                <w:rFonts w:hint="eastAsia" w:ascii="MS UI Gothic" w:hAnsi="MS UI Gothic" w:eastAsia="MS UI Gothic"/>
                <w:w w:val="170"/>
                <w:sz w:val="15"/>
              </w:rPr>
              <w:t xml:space="preserve">( </w:t>
            </w:r>
            <w:r>
              <w:rPr>
                <w:w w:val="120"/>
                <w:sz w:val="15"/>
              </w:rPr>
              <w:t>起数</w:t>
            </w:r>
            <w:r>
              <w:rPr>
                <w:rFonts w:hint="eastAsia" w:ascii="MS UI Gothic" w:hAnsi="MS UI Gothic" w:eastAsia="MS UI Gothic"/>
                <w:w w:val="170"/>
                <w:sz w:val="15"/>
              </w:rPr>
              <w:t>≥)</w:t>
            </w:r>
          </w:p>
        </w:tc>
        <w:tc>
          <w:tcPr>
            <w:tcW w:w="2395" w:type="dxa"/>
            <w:tcBorders>
              <w:left w:val="single" w:color="231F20" w:sz="4" w:space="0"/>
              <w:bottom w:val="single" w:color="231F20" w:sz="4" w:space="0"/>
            </w:tcBorders>
          </w:tcPr>
          <w:p>
            <w:pPr>
              <w:pStyle w:val="11"/>
              <w:spacing w:before="50"/>
              <w:ind w:left="226" w:right="222"/>
              <w:jc w:val="center"/>
              <w:rPr>
                <w:rFonts w:hint="eastAsia" w:ascii="MS UI Gothic" w:hAnsi="MS UI Gothic" w:eastAsia="MS UI Gothic"/>
                <w:sz w:val="15"/>
              </w:rPr>
            </w:pPr>
            <w:r>
              <w:rPr>
                <w:w w:val="120"/>
                <w:sz w:val="15"/>
              </w:rPr>
              <w:t xml:space="preserve">重大责任事故 </w:t>
            </w:r>
            <w:r>
              <w:rPr>
                <w:rFonts w:hint="eastAsia" w:ascii="MS UI Gothic" w:hAnsi="MS UI Gothic" w:eastAsia="MS UI Gothic"/>
                <w:w w:val="170"/>
                <w:sz w:val="15"/>
              </w:rPr>
              <w:t xml:space="preserve">( </w:t>
            </w:r>
            <w:r>
              <w:rPr>
                <w:w w:val="120"/>
                <w:sz w:val="15"/>
              </w:rPr>
              <w:t>起数</w:t>
            </w:r>
            <w:r>
              <w:rPr>
                <w:rFonts w:hint="eastAsia" w:ascii="MS UI Gothic" w:hAnsi="MS UI Gothic" w:eastAsia="MS UI Gothic"/>
                <w:w w:val="170"/>
                <w:sz w:val="15"/>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114" w:type="dxa"/>
            <w:vMerge w:val="restart"/>
            <w:tcBorders>
              <w:top w:val="single" w:color="231F20" w:sz="4" w:space="0"/>
              <w:bottom w:val="single" w:color="231F20" w:sz="4" w:space="0"/>
              <w:right w:val="single" w:color="231F20" w:sz="4" w:space="0"/>
            </w:tcBorders>
          </w:tcPr>
          <w:p>
            <w:pPr>
              <w:pStyle w:val="11"/>
              <w:rPr>
                <w:rFonts w:ascii="MS UI Gothic"/>
                <w:sz w:val="18"/>
              </w:rPr>
            </w:pPr>
          </w:p>
          <w:p>
            <w:pPr>
              <w:pStyle w:val="11"/>
              <w:spacing w:before="143"/>
              <w:ind w:left="158"/>
              <w:rPr>
                <w:sz w:val="15"/>
              </w:rPr>
            </w:pPr>
            <w:r>
              <w:rPr>
                <w:w w:val="105"/>
                <w:sz w:val="15"/>
              </w:rPr>
              <w:t>第一类企业</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55"/>
              <w:ind w:left="143" w:right="128"/>
              <w:jc w:val="center"/>
              <w:rPr>
                <w:rFonts w:hint="eastAsia" w:ascii="MS UI Gothic" w:hAnsi="MS UI Gothic" w:eastAsia="MS UI Gothic"/>
                <w:sz w:val="15"/>
              </w:rPr>
            </w:pPr>
            <w:r>
              <w:rPr>
                <w:spacing w:val="3"/>
                <w:w w:val="103"/>
                <w:sz w:val="15"/>
              </w:rPr>
              <w:t>销售收入</w:t>
            </w:r>
            <w:r>
              <w:rPr>
                <w:rFonts w:hint="eastAsia" w:ascii="MS UI Gothic" w:hAnsi="MS UI Gothic" w:eastAsia="MS UI Gothic"/>
                <w:w w:val="205"/>
                <w:sz w:val="15"/>
              </w:rPr>
              <w:t>≥</w:t>
            </w:r>
            <w:r>
              <w:rPr>
                <w:rFonts w:hint="eastAsia" w:ascii="MS UI Gothic" w:hAnsi="MS UI Gothic" w:eastAsia="MS UI Gothic"/>
                <w:spacing w:val="-1"/>
                <w:w w:val="75"/>
                <w:sz w:val="15"/>
              </w:rPr>
              <w:t>３０００</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55"/>
              <w:ind w:left="11"/>
              <w:jc w:val="center"/>
              <w:rPr>
                <w:rFonts w:hint="eastAsia" w:ascii="MS UI Gothic" w:eastAsia="MS UI Gothic"/>
                <w:sz w:val="15"/>
              </w:rPr>
            </w:pPr>
            <w:r>
              <w:rPr>
                <w:rFonts w:hint="eastAsia" w:ascii="MS UI Gothic" w:eastAsia="MS UI Gothic"/>
                <w:w w:val="75"/>
                <w:sz w:val="15"/>
              </w:rPr>
              <w:t>６</w:t>
            </w:r>
          </w:p>
        </w:tc>
        <w:tc>
          <w:tcPr>
            <w:tcW w:w="2395" w:type="dxa"/>
            <w:tcBorders>
              <w:top w:val="single" w:color="231F20" w:sz="4" w:space="0"/>
              <w:left w:val="single" w:color="231F20" w:sz="4" w:space="0"/>
              <w:bottom w:val="single" w:color="231F20" w:sz="4" w:space="0"/>
            </w:tcBorders>
          </w:tcPr>
          <w:p>
            <w:pPr>
              <w:pStyle w:val="11"/>
              <w:spacing w:before="55"/>
              <w:ind w:left="15"/>
              <w:jc w:val="center"/>
              <w:rPr>
                <w:rFonts w:hint="eastAsia" w:ascii="MS UI Gothic" w:eastAsia="MS UI Gothic"/>
                <w:sz w:val="15"/>
              </w:rPr>
            </w:pPr>
            <w:r>
              <w:rPr>
                <w:rFonts w:hint="eastAsia" w:ascii="MS UI Gothic" w:eastAsia="MS UI Gothic"/>
                <w:w w:val="75"/>
                <w:sz w:val="15"/>
              </w:rPr>
              <w:t>２</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114" w:type="dxa"/>
            <w:vMerge w:val="continue"/>
            <w:tcBorders>
              <w:top w:val="nil"/>
              <w:bottom w:val="single" w:color="231F20" w:sz="4" w:space="0"/>
              <w:right w:val="single" w:color="231F20" w:sz="4" w:space="0"/>
            </w:tcBorders>
          </w:tcPr>
          <w:p>
            <w:pPr>
              <w:rPr>
                <w:sz w:val="2"/>
                <w:szCs w:val="2"/>
              </w:rPr>
            </w:pP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35"/>
              <w:ind w:left="143" w:right="131"/>
              <w:jc w:val="center"/>
              <w:rPr>
                <w:rFonts w:hint="eastAsia" w:ascii="MS UI Gothic" w:hAnsi="MS UI Gothic" w:eastAsia="MS UI Gothic"/>
                <w:sz w:val="17"/>
              </w:rPr>
            </w:pPr>
            <w:r>
              <w:rPr>
                <w:rFonts w:hint="eastAsia" w:ascii="MS UI Gothic" w:hAnsi="MS UI Gothic" w:eastAsia="MS UI Gothic"/>
                <w:w w:val="75"/>
                <w:sz w:val="15"/>
              </w:rPr>
              <w:t>１５００</w:t>
            </w:r>
            <w:r>
              <w:rPr>
                <w:rFonts w:hint="eastAsia" w:ascii="MS UI Gothic" w:hAnsi="MS UI Gothic" w:eastAsia="MS UI Gothic"/>
                <w:spacing w:val="3"/>
                <w:w w:val="205"/>
                <w:sz w:val="15"/>
              </w:rPr>
              <w:t>≤</w:t>
            </w:r>
            <w:r>
              <w:rPr>
                <w:spacing w:val="4"/>
                <w:w w:val="103"/>
                <w:sz w:val="15"/>
              </w:rPr>
              <w:t>销售收入</w:t>
            </w:r>
            <w:r>
              <w:rPr>
                <w:rFonts w:hint="eastAsia" w:ascii="MS UI Gothic" w:hAnsi="MS UI Gothic" w:eastAsia="MS UI Gothic"/>
                <w:spacing w:val="12"/>
                <w:w w:val="151"/>
                <w:position w:val="1"/>
                <w:sz w:val="17"/>
              </w:rPr>
              <w:t>&lt;</w:t>
            </w:r>
            <w:r>
              <w:rPr>
                <w:rFonts w:hint="eastAsia" w:ascii="MS UI Gothic" w:hAnsi="MS UI Gothic" w:eastAsia="MS UI Gothic"/>
                <w:spacing w:val="-1"/>
                <w:w w:val="75"/>
                <w:sz w:val="17"/>
              </w:rPr>
              <w:t>３０００</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41"/>
              <w:ind w:left="10"/>
              <w:jc w:val="center"/>
              <w:rPr>
                <w:rFonts w:hint="eastAsia" w:ascii="MS UI Gothic" w:eastAsia="MS UI Gothic"/>
                <w:sz w:val="17"/>
              </w:rPr>
            </w:pPr>
            <w:r>
              <w:rPr>
                <w:rFonts w:hint="eastAsia" w:ascii="MS UI Gothic" w:eastAsia="MS UI Gothic"/>
                <w:w w:val="75"/>
                <w:sz w:val="17"/>
              </w:rPr>
              <w:t>５</w:t>
            </w:r>
          </w:p>
        </w:tc>
        <w:tc>
          <w:tcPr>
            <w:tcW w:w="2395" w:type="dxa"/>
            <w:tcBorders>
              <w:top w:val="single" w:color="231F20" w:sz="4" w:space="0"/>
              <w:left w:val="single" w:color="231F20" w:sz="4" w:space="0"/>
              <w:bottom w:val="single" w:color="231F20" w:sz="4" w:space="0"/>
            </w:tcBorders>
          </w:tcPr>
          <w:p>
            <w:pPr>
              <w:pStyle w:val="11"/>
              <w:spacing w:before="41"/>
              <w:ind w:left="14"/>
              <w:jc w:val="center"/>
              <w:rPr>
                <w:rFonts w:hint="eastAsia" w:ascii="MS UI Gothic" w:eastAsia="MS UI Gothic"/>
                <w:sz w:val="17"/>
              </w:rPr>
            </w:pPr>
            <w:r>
              <w:rPr>
                <w:rFonts w:hint="eastAsia" w:ascii="MS UI Gothic" w:eastAsia="MS UI Gothic"/>
                <w:w w:val="75"/>
                <w:sz w:val="17"/>
              </w:rPr>
              <w:t>２</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114" w:type="dxa"/>
            <w:vMerge w:val="continue"/>
            <w:tcBorders>
              <w:top w:val="nil"/>
              <w:bottom w:val="single" w:color="231F20" w:sz="4" w:space="0"/>
              <w:right w:val="single" w:color="231F20" w:sz="4" w:space="0"/>
            </w:tcBorders>
          </w:tcPr>
          <w:p>
            <w:pPr>
              <w:rPr>
                <w:sz w:val="2"/>
                <w:szCs w:val="2"/>
              </w:rPr>
            </w:pP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41"/>
              <w:ind w:left="143" w:right="127"/>
              <w:jc w:val="center"/>
              <w:rPr>
                <w:rFonts w:hint="eastAsia" w:ascii="MS UI Gothic" w:eastAsia="MS UI Gothic"/>
                <w:sz w:val="17"/>
              </w:rPr>
            </w:pPr>
            <w:r>
              <w:rPr>
                <w:sz w:val="17"/>
              </w:rPr>
              <w:t>销售收入</w:t>
            </w:r>
            <w:r>
              <w:rPr>
                <w:rFonts w:hint="eastAsia" w:ascii="MS UI Gothic" w:eastAsia="MS UI Gothic"/>
                <w:sz w:val="17"/>
              </w:rPr>
              <w:t>&lt;１５００</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41"/>
              <w:ind w:left="10"/>
              <w:jc w:val="center"/>
              <w:rPr>
                <w:rFonts w:hint="eastAsia" w:ascii="MS UI Gothic" w:eastAsia="MS UI Gothic"/>
                <w:sz w:val="17"/>
              </w:rPr>
            </w:pPr>
            <w:r>
              <w:rPr>
                <w:rFonts w:hint="eastAsia" w:ascii="MS UI Gothic" w:eastAsia="MS UI Gothic"/>
                <w:w w:val="75"/>
                <w:sz w:val="17"/>
              </w:rPr>
              <w:t>４</w:t>
            </w:r>
          </w:p>
        </w:tc>
        <w:tc>
          <w:tcPr>
            <w:tcW w:w="2395" w:type="dxa"/>
            <w:tcBorders>
              <w:top w:val="single" w:color="231F20" w:sz="4" w:space="0"/>
              <w:left w:val="single" w:color="231F20" w:sz="4" w:space="0"/>
              <w:bottom w:val="single" w:color="231F20" w:sz="4" w:space="0"/>
            </w:tcBorders>
          </w:tcPr>
          <w:p>
            <w:pPr>
              <w:pStyle w:val="11"/>
              <w:spacing w:before="41"/>
              <w:ind w:left="14"/>
              <w:jc w:val="center"/>
              <w:rPr>
                <w:rFonts w:hint="eastAsia" w:ascii="MS UI Gothic" w:eastAsia="MS UI Gothic"/>
                <w:sz w:val="17"/>
              </w:rPr>
            </w:pPr>
            <w:r>
              <w:rPr>
                <w:rFonts w:hint="eastAsia" w:ascii="MS UI Gothic" w:eastAsia="MS UI Gothic"/>
                <w:w w:val="75"/>
                <w:sz w:val="17"/>
              </w:rPr>
              <w:t>２</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114" w:type="dxa"/>
            <w:vMerge w:val="restart"/>
            <w:tcBorders>
              <w:top w:val="single" w:color="231F20" w:sz="4" w:space="0"/>
              <w:bottom w:val="single" w:color="231F20" w:sz="4" w:space="0"/>
              <w:right w:val="single" w:color="231F20" w:sz="4" w:space="0"/>
            </w:tcBorders>
          </w:tcPr>
          <w:p>
            <w:pPr>
              <w:pStyle w:val="11"/>
              <w:spacing w:before="1"/>
              <w:rPr>
                <w:rFonts w:ascii="MS UI Gothic"/>
                <w:sz w:val="28"/>
              </w:rPr>
            </w:pPr>
          </w:p>
          <w:p>
            <w:pPr>
              <w:pStyle w:val="11"/>
              <w:ind w:left="104"/>
              <w:rPr>
                <w:sz w:val="17"/>
              </w:rPr>
            </w:pPr>
            <w:r>
              <w:rPr>
                <w:w w:val="105"/>
                <w:sz w:val="17"/>
              </w:rPr>
              <w:t>第二类企业</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41"/>
              <w:ind w:left="143" w:right="129"/>
              <w:jc w:val="center"/>
              <w:rPr>
                <w:rFonts w:hint="eastAsia" w:ascii="MS UI Gothic" w:hAnsi="MS UI Gothic" w:eastAsia="MS UI Gothic"/>
                <w:sz w:val="17"/>
              </w:rPr>
            </w:pPr>
            <w:r>
              <w:rPr>
                <w:spacing w:val="3"/>
                <w:w w:val="103"/>
                <w:sz w:val="17"/>
              </w:rPr>
              <w:t>销售收入</w:t>
            </w:r>
            <w:r>
              <w:rPr>
                <w:rFonts w:hint="eastAsia" w:ascii="MS UI Gothic" w:hAnsi="MS UI Gothic" w:eastAsia="MS UI Gothic"/>
                <w:w w:val="206"/>
                <w:sz w:val="17"/>
              </w:rPr>
              <w:t>≥</w:t>
            </w:r>
            <w:r>
              <w:rPr>
                <w:rFonts w:hint="eastAsia" w:ascii="MS UI Gothic" w:hAnsi="MS UI Gothic" w:eastAsia="MS UI Gothic"/>
                <w:spacing w:val="-1"/>
                <w:w w:val="75"/>
                <w:sz w:val="17"/>
              </w:rPr>
              <w:t>３０００</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41"/>
              <w:ind w:left="10"/>
              <w:jc w:val="center"/>
              <w:rPr>
                <w:rFonts w:hint="eastAsia" w:ascii="MS UI Gothic" w:eastAsia="MS UI Gothic"/>
                <w:sz w:val="17"/>
              </w:rPr>
            </w:pPr>
            <w:r>
              <w:rPr>
                <w:rFonts w:hint="eastAsia" w:ascii="MS UI Gothic" w:eastAsia="MS UI Gothic"/>
                <w:w w:val="75"/>
                <w:sz w:val="17"/>
              </w:rPr>
              <w:t>４</w:t>
            </w:r>
          </w:p>
        </w:tc>
        <w:tc>
          <w:tcPr>
            <w:tcW w:w="2395" w:type="dxa"/>
            <w:tcBorders>
              <w:top w:val="single" w:color="231F20" w:sz="4" w:space="0"/>
              <w:left w:val="single" w:color="231F20" w:sz="4" w:space="0"/>
              <w:bottom w:val="single" w:color="231F20" w:sz="4" w:space="0"/>
            </w:tcBorders>
          </w:tcPr>
          <w:p>
            <w:pPr>
              <w:pStyle w:val="11"/>
              <w:spacing w:before="41"/>
              <w:ind w:left="14"/>
              <w:jc w:val="center"/>
              <w:rPr>
                <w:rFonts w:hint="eastAsia" w:ascii="MS UI Gothic" w:eastAsia="MS UI Gothic"/>
                <w:sz w:val="17"/>
              </w:rPr>
            </w:pPr>
            <w:r>
              <w:rPr>
                <w:rFonts w:hint="eastAsia" w:ascii="MS UI Gothic" w:eastAsia="MS UI Gothic"/>
                <w:w w:val="75"/>
                <w:sz w:val="17"/>
              </w:rPr>
              <w:t>１</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114" w:type="dxa"/>
            <w:vMerge w:val="continue"/>
            <w:tcBorders>
              <w:top w:val="nil"/>
              <w:bottom w:val="single" w:color="231F20" w:sz="4" w:space="0"/>
              <w:right w:val="single" w:color="231F20" w:sz="4" w:space="0"/>
            </w:tcBorders>
          </w:tcPr>
          <w:p>
            <w:pPr>
              <w:rPr>
                <w:sz w:val="2"/>
                <w:szCs w:val="2"/>
              </w:rPr>
            </w:pP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41"/>
              <w:ind w:left="143" w:right="133"/>
              <w:jc w:val="center"/>
              <w:rPr>
                <w:rFonts w:hint="eastAsia" w:ascii="MS UI Gothic" w:hAnsi="MS UI Gothic" w:eastAsia="MS UI Gothic"/>
                <w:sz w:val="17"/>
              </w:rPr>
            </w:pPr>
            <w:r>
              <w:rPr>
                <w:rFonts w:hint="eastAsia" w:ascii="MS UI Gothic" w:hAnsi="MS UI Gothic" w:eastAsia="MS UI Gothic"/>
                <w:spacing w:val="-1"/>
                <w:w w:val="75"/>
                <w:sz w:val="17"/>
              </w:rPr>
              <w:t>１５００</w:t>
            </w:r>
            <w:r>
              <w:rPr>
                <w:rFonts w:hint="eastAsia" w:ascii="MS UI Gothic" w:hAnsi="MS UI Gothic" w:eastAsia="MS UI Gothic"/>
                <w:spacing w:val="3"/>
                <w:w w:val="206"/>
                <w:sz w:val="17"/>
              </w:rPr>
              <w:t>≤</w:t>
            </w:r>
            <w:r>
              <w:rPr>
                <w:spacing w:val="4"/>
                <w:w w:val="103"/>
                <w:sz w:val="17"/>
              </w:rPr>
              <w:t>销售收入</w:t>
            </w:r>
            <w:r>
              <w:rPr>
                <w:rFonts w:hint="eastAsia" w:ascii="MS UI Gothic" w:hAnsi="MS UI Gothic" w:eastAsia="MS UI Gothic"/>
                <w:spacing w:val="12"/>
                <w:w w:val="151"/>
                <w:sz w:val="17"/>
              </w:rPr>
              <w:t>&lt;</w:t>
            </w:r>
            <w:r>
              <w:rPr>
                <w:rFonts w:hint="eastAsia" w:ascii="MS UI Gothic" w:hAnsi="MS UI Gothic" w:eastAsia="MS UI Gothic"/>
                <w:spacing w:val="-1"/>
                <w:w w:val="75"/>
                <w:sz w:val="17"/>
              </w:rPr>
              <w:t>３０００</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41"/>
              <w:ind w:left="10"/>
              <w:jc w:val="center"/>
              <w:rPr>
                <w:rFonts w:hint="eastAsia" w:ascii="MS UI Gothic" w:eastAsia="MS UI Gothic"/>
                <w:sz w:val="17"/>
              </w:rPr>
            </w:pPr>
            <w:r>
              <w:rPr>
                <w:rFonts w:hint="eastAsia" w:ascii="MS UI Gothic" w:eastAsia="MS UI Gothic"/>
                <w:w w:val="75"/>
                <w:sz w:val="17"/>
              </w:rPr>
              <w:t>３</w:t>
            </w:r>
          </w:p>
        </w:tc>
        <w:tc>
          <w:tcPr>
            <w:tcW w:w="2395" w:type="dxa"/>
            <w:tcBorders>
              <w:top w:val="single" w:color="231F20" w:sz="4" w:space="0"/>
              <w:left w:val="single" w:color="231F20" w:sz="4" w:space="0"/>
              <w:bottom w:val="single" w:color="231F20" w:sz="4" w:space="0"/>
            </w:tcBorders>
          </w:tcPr>
          <w:p>
            <w:pPr>
              <w:pStyle w:val="11"/>
              <w:spacing w:before="41"/>
              <w:ind w:left="14"/>
              <w:jc w:val="center"/>
              <w:rPr>
                <w:rFonts w:hint="eastAsia" w:ascii="MS UI Gothic" w:eastAsia="MS UI Gothic"/>
                <w:sz w:val="17"/>
              </w:rPr>
            </w:pPr>
            <w:r>
              <w:rPr>
                <w:rFonts w:hint="eastAsia" w:ascii="MS UI Gothic" w:eastAsia="MS UI Gothic"/>
                <w:w w:val="75"/>
                <w:sz w:val="17"/>
              </w:rPr>
              <w:t>１</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114" w:type="dxa"/>
            <w:vMerge w:val="continue"/>
            <w:tcBorders>
              <w:top w:val="nil"/>
              <w:bottom w:val="single" w:color="231F20" w:sz="4" w:space="0"/>
              <w:right w:val="single" w:color="231F20" w:sz="4" w:space="0"/>
            </w:tcBorders>
          </w:tcPr>
          <w:p>
            <w:pPr>
              <w:rPr>
                <w:sz w:val="2"/>
                <w:szCs w:val="2"/>
              </w:rPr>
            </w:pP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41"/>
              <w:ind w:left="143" w:right="127"/>
              <w:jc w:val="center"/>
              <w:rPr>
                <w:rFonts w:hint="eastAsia" w:ascii="MS UI Gothic" w:eastAsia="MS UI Gothic"/>
                <w:sz w:val="17"/>
              </w:rPr>
            </w:pPr>
            <w:r>
              <w:rPr>
                <w:sz w:val="17"/>
              </w:rPr>
              <w:t>销售收入</w:t>
            </w:r>
            <w:r>
              <w:rPr>
                <w:rFonts w:hint="eastAsia" w:ascii="MS UI Gothic" w:eastAsia="MS UI Gothic"/>
                <w:sz w:val="17"/>
              </w:rPr>
              <w:t>&lt;１５００</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41"/>
              <w:ind w:left="10"/>
              <w:jc w:val="center"/>
              <w:rPr>
                <w:rFonts w:hint="eastAsia" w:ascii="MS UI Gothic" w:eastAsia="MS UI Gothic"/>
                <w:sz w:val="17"/>
              </w:rPr>
            </w:pPr>
            <w:r>
              <w:rPr>
                <w:rFonts w:hint="eastAsia" w:ascii="MS UI Gothic" w:eastAsia="MS UI Gothic"/>
                <w:w w:val="75"/>
                <w:sz w:val="17"/>
              </w:rPr>
              <w:t>２</w:t>
            </w:r>
          </w:p>
        </w:tc>
        <w:tc>
          <w:tcPr>
            <w:tcW w:w="2395" w:type="dxa"/>
            <w:tcBorders>
              <w:top w:val="single" w:color="231F20" w:sz="4" w:space="0"/>
              <w:left w:val="single" w:color="231F20" w:sz="4" w:space="0"/>
              <w:bottom w:val="single" w:color="231F20" w:sz="4" w:space="0"/>
            </w:tcBorders>
          </w:tcPr>
          <w:p>
            <w:pPr>
              <w:pStyle w:val="11"/>
              <w:spacing w:before="41"/>
              <w:ind w:left="14"/>
              <w:jc w:val="center"/>
              <w:rPr>
                <w:rFonts w:hint="eastAsia" w:ascii="MS UI Gothic" w:eastAsia="MS UI Gothic"/>
                <w:sz w:val="17"/>
              </w:rPr>
            </w:pPr>
            <w:r>
              <w:rPr>
                <w:rFonts w:hint="eastAsia" w:ascii="MS UI Gothic" w:eastAsia="MS UI Gothic"/>
                <w:w w:val="75"/>
                <w:sz w:val="17"/>
              </w:rPr>
              <w:t>１</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114" w:type="dxa"/>
            <w:tcBorders>
              <w:top w:val="single" w:color="231F20" w:sz="4" w:space="0"/>
              <w:right w:val="single" w:color="231F20" w:sz="4" w:space="0"/>
            </w:tcBorders>
          </w:tcPr>
          <w:p>
            <w:pPr>
              <w:pStyle w:val="11"/>
              <w:spacing w:before="41"/>
              <w:ind w:left="87" w:right="79"/>
              <w:jc w:val="center"/>
              <w:rPr>
                <w:sz w:val="17"/>
              </w:rPr>
            </w:pPr>
            <w:r>
              <w:rPr>
                <w:w w:val="105"/>
                <w:sz w:val="17"/>
              </w:rPr>
              <w:t>第三类企业</w:t>
            </w:r>
          </w:p>
        </w:tc>
        <w:tc>
          <w:tcPr>
            <w:tcW w:w="2228" w:type="dxa"/>
            <w:tcBorders>
              <w:top w:val="single" w:color="231F20" w:sz="4" w:space="0"/>
              <w:left w:val="single" w:color="231F20" w:sz="4" w:space="0"/>
              <w:right w:val="single" w:color="231F20" w:sz="4" w:space="0"/>
            </w:tcBorders>
          </w:tcPr>
          <w:p>
            <w:pPr>
              <w:pStyle w:val="11"/>
              <w:spacing w:before="41"/>
              <w:ind w:left="143" w:right="128"/>
              <w:jc w:val="center"/>
              <w:rPr>
                <w:sz w:val="17"/>
              </w:rPr>
            </w:pPr>
            <w:r>
              <w:rPr>
                <w:w w:val="105"/>
                <w:sz w:val="17"/>
              </w:rPr>
              <w:t>所有规模</w:t>
            </w:r>
          </w:p>
        </w:tc>
        <w:tc>
          <w:tcPr>
            <w:tcW w:w="2228" w:type="dxa"/>
            <w:tcBorders>
              <w:top w:val="single" w:color="231F20" w:sz="4" w:space="0"/>
              <w:left w:val="single" w:color="231F20" w:sz="4" w:space="0"/>
              <w:right w:val="single" w:color="231F20" w:sz="4" w:space="0"/>
            </w:tcBorders>
          </w:tcPr>
          <w:p>
            <w:pPr>
              <w:pStyle w:val="11"/>
              <w:spacing w:before="41"/>
              <w:ind w:left="10"/>
              <w:jc w:val="center"/>
              <w:rPr>
                <w:rFonts w:hint="eastAsia" w:ascii="MS UI Gothic" w:eastAsia="MS UI Gothic"/>
                <w:sz w:val="17"/>
              </w:rPr>
            </w:pPr>
            <w:r>
              <w:rPr>
                <w:rFonts w:hint="eastAsia" w:ascii="MS UI Gothic" w:eastAsia="MS UI Gothic"/>
                <w:w w:val="75"/>
                <w:sz w:val="17"/>
              </w:rPr>
              <w:t>１</w:t>
            </w:r>
          </w:p>
        </w:tc>
        <w:tc>
          <w:tcPr>
            <w:tcW w:w="2395" w:type="dxa"/>
            <w:tcBorders>
              <w:top w:val="single" w:color="231F20" w:sz="4" w:space="0"/>
              <w:left w:val="single" w:color="231F20" w:sz="4" w:space="0"/>
            </w:tcBorders>
          </w:tcPr>
          <w:p>
            <w:pPr>
              <w:pStyle w:val="11"/>
              <w:spacing w:before="41"/>
              <w:ind w:left="14"/>
              <w:jc w:val="center"/>
              <w:rPr>
                <w:rFonts w:hint="eastAsia" w:ascii="MS UI Gothic" w:eastAsia="MS UI Gothic"/>
                <w:sz w:val="17"/>
              </w:rPr>
            </w:pPr>
            <w:r>
              <w:rPr>
                <w:rFonts w:hint="eastAsia" w:ascii="MS UI Gothic" w:eastAsia="MS UI Gothic"/>
                <w:w w:val="75"/>
                <w:sz w:val="17"/>
              </w:rPr>
              <w:t>１</w:t>
            </w:r>
          </w:p>
        </w:tc>
      </w:tr>
    </w:tbl>
    <w:p>
      <w:pPr>
        <w:pStyle w:val="6"/>
        <w:spacing w:before="2"/>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175"/>
        <w:ind w:left="543" w:firstLine="0"/>
      </w:pPr>
      <w:r>
        <w:t>二</w:t>
      </w:r>
      <w:r>
        <w:rPr>
          <w:rFonts w:hint="eastAsia" w:ascii="MS UI Gothic" w:eastAsia="MS UI Gothic"/>
        </w:rPr>
        <w:t xml:space="preserve">、 </w:t>
      </w:r>
      <w:r>
        <w:t>降分</w:t>
      </w:r>
    </w:p>
    <w:p>
      <w:pPr>
        <w:pStyle w:val="6"/>
        <w:spacing w:before="56" w:line="290"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中央企业年度内发生较大生产</w:t>
      </w:r>
      <w:r>
        <w:t>安全责任事故或重大生产安全责任事故</w:t>
      </w:r>
      <w:r>
        <w:rPr>
          <w:rFonts w:hint="eastAsia" w:ascii="MS UI Gothic" w:eastAsia="MS UI Gothic"/>
          <w:w w:val="80"/>
        </w:rPr>
        <w:t>ꎬ</w:t>
      </w:r>
      <w:r>
        <w:t>承担主要责任</w:t>
      </w:r>
      <w:r>
        <w:rPr>
          <w:rFonts w:hint="eastAsia" w:ascii="MS UI Gothic" w:eastAsia="MS UI Gothic"/>
          <w:w w:val="80"/>
        </w:rPr>
        <w:t xml:space="preserve">ꎬ </w:t>
      </w:r>
      <w:r>
        <w:t>事故起数未达到降级标准的</w:t>
      </w:r>
      <w:r>
        <w:rPr>
          <w:rFonts w:hint="eastAsia" w:ascii="MS UI Gothic" w:eastAsia="MS UI Gothic"/>
          <w:w w:val="80"/>
        </w:rPr>
        <w:t xml:space="preserve">ꎬ </w:t>
      </w:r>
      <w:r>
        <w:t>按以下标准对中央企业负责人年度经</w:t>
      </w:r>
      <w:r>
        <w:rPr>
          <w:w w:val="105"/>
        </w:rPr>
        <w:t>营业绩考核降分</w:t>
      </w:r>
      <w:r>
        <w:rPr>
          <w:rFonts w:hint="eastAsia" w:ascii="MS UI Gothic" w:eastAsia="MS UI Gothic"/>
          <w:w w:val="235"/>
        </w:rPr>
        <w:t>:</w:t>
      </w:r>
    </w:p>
    <w:p>
      <w:pPr>
        <w:pStyle w:val="6"/>
        <w:spacing w:before="4" w:line="290" w:lineRule="auto"/>
        <w:ind w:right="39" w:firstLine="413"/>
      </w:pPr>
      <w:r>
        <w:rPr>
          <w:rFonts w:hint="eastAsia" w:ascii="MS UI Gothic" w:hAnsi="MS UI Gothic" w:eastAsia="MS UI Gothic"/>
          <w:w w:val="90"/>
        </w:rPr>
        <w:t>１</w:t>
      </w:r>
      <w:r>
        <w:rPr>
          <w:rFonts w:hint="eastAsia" w:ascii="MS UI Gothic" w:hAnsi="MS UI Gothic" w:eastAsia="MS UI Gothic"/>
          <w:spacing w:val="41"/>
          <w:w w:val="90"/>
        </w:rPr>
        <w:t xml:space="preserve"> </w:t>
      </w:r>
      <w:r>
        <w:rPr>
          <w:spacing w:val="12"/>
        </w:rPr>
        <w:t>第一类企业</w:t>
      </w:r>
      <w:r>
        <w:rPr>
          <w:rFonts w:hint="eastAsia" w:ascii="MS UI Gothic" w:hAnsi="MS UI Gothic" w:eastAsia="MS UI Gothic"/>
          <w:spacing w:val="23"/>
          <w:w w:val="90"/>
        </w:rPr>
        <w:t xml:space="preserve">ꎬ </w:t>
      </w:r>
      <w:r>
        <w:rPr>
          <w:spacing w:val="14"/>
        </w:rPr>
        <w:t>较大生产安全责任</w:t>
      </w:r>
      <w:r>
        <w:rPr>
          <w:spacing w:val="1"/>
          <w:w w:val="102"/>
        </w:rPr>
        <w:t>事故</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1"/>
          <w:w w:val="102"/>
        </w:rPr>
        <w:t>起扣</w:t>
      </w:r>
      <w:r>
        <w:rPr>
          <w:spacing w:val="-40"/>
        </w:rPr>
        <w:t xml:space="preserve"> </w:t>
      </w:r>
      <w:r>
        <w:rPr>
          <w:rFonts w:hint="eastAsia" w:ascii="MS UI Gothic" w:hAnsi="MS UI Gothic" w:eastAsia="MS UI Gothic"/>
          <w:w w:val="75"/>
        </w:rPr>
        <w:t>０</w:t>
      </w:r>
      <w:r>
        <w:rPr>
          <w:rFonts w:hint="eastAsia" w:ascii="MS UI Gothic" w:hAnsi="MS UI Gothic" w:eastAsia="MS UI Gothic"/>
          <w:spacing w:val="-10"/>
        </w:rPr>
        <w:t xml:space="preserve"> </w:t>
      </w:r>
      <w:r>
        <w:rPr>
          <w:rFonts w:hint="eastAsia" w:ascii="MS UI Gothic" w:hAnsi="MS UI Gothic" w:eastAsia="MS UI Gothic"/>
          <w:w w:val="75"/>
        </w:rPr>
        <w:t>２</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０</w:t>
      </w:r>
      <w:r>
        <w:rPr>
          <w:rFonts w:hint="eastAsia" w:ascii="MS UI Gothic" w:hAnsi="MS UI Gothic" w:eastAsia="MS UI Gothic"/>
          <w:spacing w:val="-10"/>
        </w:rPr>
        <w:t xml:space="preserve"> </w:t>
      </w:r>
      <w:r>
        <w:rPr>
          <w:rFonts w:hint="eastAsia" w:ascii="MS UI Gothic" w:hAnsi="MS UI Gothic" w:eastAsia="MS UI Gothic"/>
          <w:w w:val="75"/>
        </w:rPr>
        <w:t>４</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w w:val="51"/>
        </w:rPr>
        <w:t>ꎬ</w:t>
      </w:r>
      <w:r>
        <w:rPr>
          <w:rFonts w:hint="eastAsia" w:ascii="MS UI Gothic" w:hAnsi="MS UI Gothic" w:eastAsia="MS UI Gothic"/>
          <w:spacing w:val="-5"/>
        </w:rPr>
        <w:t xml:space="preserve">  </w:t>
      </w:r>
      <w:r>
        <w:rPr>
          <w:spacing w:val="8"/>
          <w:w w:val="102"/>
        </w:rPr>
        <w:t>重大生产安</w:t>
      </w:r>
    </w:p>
    <w:p>
      <w:pPr>
        <w:pStyle w:val="6"/>
        <w:spacing w:before="3"/>
        <w:ind w:firstLine="0"/>
        <w:jc w:val="left"/>
        <w:rPr>
          <w:rFonts w:hint="eastAsia" w:ascii="MS UI Gothic" w:hAnsi="MS UI Gothic" w:eastAsia="MS UI Gothic"/>
        </w:rPr>
      </w:pPr>
      <w:r>
        <w:rPr>
          <w:spacing w:val="2"/>
          <w:w w:val="102"/>
        </w:rPr>
        <w:t>全责任事故</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1"/>
          <w:w w:val="102"/>
        </w:rPr>
        <w:t>起扣</w:t>
      </w:r>
      <w:r>
        <w:rPr>
          <w:spacing w:val="-50"/>
        </w:rPr>
        <w:t xml:space="preserve"> </w:t>
      </w:r>
      <w:r>
        <w:rPr>
          <w:rFonts w:hint="eastAsia" w:ascii="MS UI Gothic" w:hAnsi="MS UI Gothic" w:eastAsia="MS UI Gothic"/>
          <w:w w:val="75"/>
        </w:rPr>
        <w:t>０</w:t>
      </w:r>
      <w:r>
        <w:rPr>
          <w:rFonts w:hint="eastAsia" w:ascii="MS UI Gothic" w:hAnsi="MS UI Gothic" w:eastAsia="MS UI Gothic"/>
          <w:spacing w:val="-10"/>
        </w:rPr>
        <w:t xml:space="preserve"> </w:t>
      </w:r>
      <w:r>
        <w:rPr>
          <w:rFonts w:hint="eastAsia" w:ascii="MS UI Gothic" w:hAnsi="MS UI Gothic" w:eastAsia="MS UI Gothic"/>
          <w:w w:val="75"/>
        </w:rPr>
        <w:t>６</w:t>
      </w:r>
      <w:r>
        <w:rPr>
          <w:rFonts w:hint="eastAsia" w:ascii="MS UI Gothic" w:hAnsi="MS UI Gothic" w:eastAsia="MS UI Gothic"/>
          <w:spacing w:val="-3"/>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１</w:t>
      </w:r>
      <w:r>
        <w:rPr>
          <w:rFonts w:hint="eastAsia" w:ascii="MS UI Gothic" w:hAnsi="MS UI Gothic" w:eastAsia="MS UI Gothic"/>
          <w:spacing w:val="-10"/>
        </w:rPr>
        <w:t xml:space="preserve"> </w:t>
      </w:r>
      <w:r>
        <w:rPr>
          <w:rFonts w:hint="eastAsia" w:ascii="MS UI Gothic" w:hAnsi="MS UI Gothic" w:eastAsia="MS UI Gothic"/>
          <w:w w:val="75"/>
        </w:rPr>
        <w:t>２</w:t>
      </w:r>
      <w:r>
        <w:rPr>
          <w:rFonts w:hint="eastAsia" w:ascii="MS UI Gothic" w:hAnsi="MS UI Gothic" w:eastAsia="MS UI Gothic"/>
          <w:spacing w:val="-3"/>
        </w:rPr>
        <w:t xml:space="preserve"> </w:t>
      </w:r>
      <w:r>
        <w:rPr>
          <w:spacing w:val="3"/>
          <w:w w:val="102"/>
        </w:rPr>
        <w:t>分</w:t>
      </w:r>
      <w:r>
        <w:rPr>
          <w:rFonts w:hint="eastAsia" w:ascii="MS UI Gothic" w:hAnsi="MS UI Gothic" w:eastAsia="MS UI Gothic"/>
          <w:w w:val="51"/>
        </w:rPr>
        <w:t>ꎮ</w:t>
      </w:r>
    </w:p>
    <w:p>
      <w:pPr>
        <w:pStyle w:val="6"/>
        <w:spacing w:before="54"/>
        <w:ind w:left="538" w:firstLine="0"/>
      </w:pPr>
      <w:r>
        <w:rPr>
          <w:rFonts w:hint="eastAsia" w:ascii="MS UI Gothic" w:eastAsia="MS UI Gothic"/>
        </w:rPr>
        <w:t xml:space="preserve">２ </w:t>
      </w:r>
      <w:r>
        <w:t>第二类企业</w:t>
      </w:r>
      <w:r>
        <w:rPr>
          <w:rFonts w:hint="eastAsia" w:ascii="MS UI Gothic" w:eastAsia="MS UI Gothic"/>
          <w:w w:val="85"/>
        </w:rPr>
        <w:t xml:space="preserve">ꎬ </w:t>
      </w:r>
      <w:r>
        <w:t>较大生产安全责任</w:t>
      </w:r>
    </w:p>
    <w:p>
      <w:pPr>
        <w:pStyle w:val="6"/>
        <w:spacing w:before="175"/>
        <w:ind w:firstLine="0"/>
        <w:rPr>
          <w:rFonts w:hint="eastAsia" w:ascii="MS UI Gothic" w:hAnsi="MS UI Gothic" w:eastAsia="MS UI Gothic"/>
        </w:rPr>
      </w:pPr>
      <w:r>
        <w:br w:type="column"/>
      </w:r>
      <w:r>
        <w:rPr>
          <w:spacing w:val="1"/>
          <w:w w:val="102"/>
        </w:rPr>
        <w:t>事故</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1"/>
          <w:w w:val="102"/>
        </w:rPr>
        <w:t>起扣</w:t>
      </w:r>
      <w:r>
        <w:rPr>
          <w:spacing w:val="-50"/>
        </w:rPr>
        <w:t xml:space="preserve"> </w:t>
      </w:r>
      <w:r>
        <w:rPr>
          <w:rFonts w:hint="eastAsia" w:ascii="MS UI Gothic" w:hAnsi="MS UI Gothic" w:eastAsia="MS UI Gothic"/>
          <w:w w:val="75"/>
        </w:rPr>
        <w:t>０</w:t>
      </w:r>
      <w:r>
        <w:rPr>
          <w:rFonts w:hint="eastAsia" w:ascii="MS UI Gothic" w:hAnsi="MS UI Gothic" w:eastAsia="MS UI Gothic"/>
          <w:spacing w:val="-10"/>
        </w:rPr>
        <w:t xml:space="preserve"> </w:t>
      </w:r>
      <w:r>
        <w:rPr>
          <w:rFonts w:hint="eastAsia" w:ascii="MS UI Gothic" w:hAnsi="MS UI Gothic" w:eastAsia="MS UI Gothic"/>
          <w:w w:val="75"/>
        </w:rPr>
        <w:t>４</w:t>
      </w:r>
      <w:r>
        <w:rPr>
          <w:rFonts w:hint="eastAsia" w:ascii="MS UI Gothic" w:hAnsi="MS UI Gothic" w:eastAsia="MS UI Gothic"/>
          <w:spacing w:val="-3"/>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０</w:t>
      </w:r>
      <w:r>
        <w:rPr>
          <w:rFonts w:hint="eastAsia" w:ascii="MS UI Gothic" w:hAnsi="MS UI Gothic" w:eastAsia="MS UI Gothic"/>
          <w:spacing w:val="-10"/>
        </w:rPr>
        <w:t xml:space="preserve"> </w:t>
      </w:r>
      <w:r>
        <w:rPr>
          <w:rFonts w:hint="eastAsia" w:ascii="MS UI Gothic" w:hAnsi="MS UI Gothic" w:eastAsia="MS UI Gothic"/>
          <w:w w:val="75"/>
        </w:rPr>
        <w:t>８</w:t>
      </w:r>
      <w:r>
        <w:rPr>
          <w:rFonts w:hint="eastAsia" w:ascii="MS UI Gothic" w:hAnsi="MS UI Gothic" w:eastAsia="MS UI Gothic"/>
          <w:spacing w:val="-3"/>
        </w:rPr>
        <w:t xml:space="preserve"> </w:t>
      </w:r>
      <w:r>
        <w:rPr>
          <w:spacing w:val="3"/>
          <w:w w:val="102"/>
        </w:rPr>
        <w:t>分</w:t>
      </w:r>
      <w:r>
        <w:rPr>
          <w:rFonts w:hint="eastAsia" w:ascii="MS UI Gothic" w:hAnsi="MS UI Gothic" w:eastAsia="MS UI Gothic"/>
          <w:w w:val="51"/>
        </w:rPr>
        <w:t>ꎮ</w:t>
      </w:r>
    </w:p>
    <w:p>
      <w:pPr>
        <w:pStyle w:val="6"/>
        <w:spacing w:before="56" w:line="290" w:lineRule="auto"/>
        <w:ind w:right="440"/>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中央企业年度内发生较大以上</w:t>
      </w:r>
      <w:r>
        <w:t>生产安全责任事故</w:t>
      </w:r>
      <w:r>
        <w:rPr>
          <w:rFonts w:hint="eastAsia" w:ascii="MS UI Gothic" w:eastAsia="MS UI Gothic"/>
          <w:w w:val="80"/>
        </w:rPr>
        <w:t xml:space="preserve">ꎬ </w:t>
      </w:r>
      <w:r>
        <w:t>多方共同承担责任</w:t>
      </w:r>
      <w:r>
        <w:rPr>
          <w:rFonts w:hint="eastAsia" w:ascii="MS UI Gothic" w:eastAsia="MS UI Gothic"/>
          <w:w w:val="80"/>
        </w:rPr>
        <w:t>ꎬ</w:t>
      </w:r>
      <w:r>
        <w:t>按以下标准对中央企业负责人年度经营业</w:t>
      </w:r>
      <w:r>
        <w:rPr>
          <w:w w:val="110"/>
        </w:rPr>
        <w:t>绩考核降分</w:t>
      </w:r>
      <w:r>
        <w:rPr>
          <w:rFonts w:hint="eastAsia" w:ascii="MS UI Gothic" w:eastAsia="MS UI Gothic"/>
          <w:w w:val="235"/>
        </w:rPr>
        <w:t>:</w:t>
      </w:r>
    </w:p>
    <w:p>
      <w:pPr>
        <w:pStyle w:val="6"/>
        <w:spacing w:before="4" w:line="290" w:lineRule="auto"/>
        <w:ind w:right="442" w:firstLine="413"/>
      </w:pPr>
      <w:r>
        <w:rPr>
          <w:rFonts w:hint="eastAsia" w:ascii="MS UI Gothic" w:hAnsi="MS UI Gothic" w:eastAsia="MS UI Gothic"/>
          <w:w w:val="90"/>
        </w:rPr>
        <w:t>１</w:t>
      </w:r>
      <w:r>
        <w:rPr>
          <w:rFonts w:hint="eastAsia" w:ascii="MS UI Gothic" w:hAnsi="MS UI Gothic" w:eastAsia="MS UI Gothic"/>
          <w:spacing w:val="42"/>
          <w:w w:val="90"/>
        </w:rPr>
        <w:t xml:space="preserve"> </w:t>
      </w:r>
      <w:r>
        <w:rPr>
          <w:spacing w:val="12"/>
        </w:rPr>
        <w:t>第一类企业</w:t>
      </w:r>
      <w:r>
        <w:rPr>
          <w:rFonts w:hint="eastAsia" w:ascii="MS UI Gothic" w:hAnsi="MS UI Gothic" w:eastAsia="MS UI Gothic"/>
          <w:spacing w:val="23"/>
          <w:w w:val="90"/>
        </w:rPr>
        <w:t xml:space="preserve">ꎬ </w:t>
      </w:r>
      <w:r>
        <w:rPr>
          <w:spacing w:val="14"/>
        </w:rPr>
        <w:t>较大生产安全责任</w:t>
      </w:r>
      <w:r>
        <w:rPr>
          <w:spacing w:val="1"/>
          <w:w w:val="102"/>
        </w:rPr>
        <w:t>事故</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1"/>
          <w:w w:val="102"/>
        </w:rPr>
        <w:t>起扣</w:t>
      </w:r>
      <w:r>
        <w:rPr>
          <w:spacing w:val="-40"/>
        </w:rPr>
        <w:t xml:space="preserve"> </w:t>
      </w:r>
      <w:r>
        <w:rPr>
          <w:rFonts w:hint="eastAsia" w:ascii="MS UI Gothic" w:hAnsi="MS UI Gothic" w:eastAsia="MS UI Gothic"/>
          <w:spacing w:val="-1"/>
          <w:w w:val="75"/>
        </w:rPr>
        <w:t>０</w:t>
      </w:r>
      <w:r>
        <w:rPr>
          <w:rFonts w:hint="eastAsia" w:ascii="MS UI Gothic" w:hAnsi="MS UI Gothic" w:eastAsia="MS UI Gothic"/>
          <w:spacing w:val="-10"/>
        </w:rPr>
        <w:t xml:space="preserve"> </w:t>
      </w:r>
      <w:r>
        <w:rPr>
          <w:rFonts w:hint="eastAsia" w:ascii="MS UI Gothic" w:hAnsi="MS UI Gothic" w:eastAsia="MS UI Gothic"/>
          <w:w w:val="75"/>
        </w:rPr>
        <w:t>１</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０</w:t>
      </w:r>
      <w:r>
        <w:rPr>
          <w:rFonts w:hint="eastAsia" w:ascii="MS UI Gothic" w:hAnsi="MS UI Gothic" w:eastAsia="MS UI Gothic"/>
          <w:spacing w:val="-10"/>
        </w:rPr>
        <w:t xml:space="preserve"> </w:t>
      </w:r>
      <w:r>
        <w:rPr>
          <w:rFonts w:hint="eastAsia" w:ascii="MS UI Gothic" w:hAnsi="MS UI Gothic" w:eastAsia="MS UI Gothic"/>
          <w:w w:val="75"/>
        </w:rPr>
        <w:t>２</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w w:val="51"/>
        </w:rPr>
        <w:t>ꎻ</w:t>
      </w:r>
      <w:r>
        <w:rPr>
          <w:rFonts w:hint="eastAsia" w:ascii="MS UI Gothic" w:hAnsi="MS UI Gothic" w:eastAsia="MS UI Gothic"/>
          <w:spacing w:val="-5"/>
        </w:rPr>
        <w:t xml:space="preserve">  </w:t>
      </w:r>
      <w:r>
        <w:rPr>
          <w:spacing w:val="8"/>
          <w:w w:val="102"/>
        </w:rPr>
        <w:t>重大生产安</w:t>
      </w:r>
    </w:p>
    <w:p>
      <w:pPr>
        <w:pStyle w:val="6"/>
        <w:spacing w:before="1" w:line="292" w:lineRule="auto"/>
        <w:ind w:right="442" w:firstLine="0"/>
        <w:rPr>
          <w:rFonts w:hint="eastAsia" w:ascii="MS UI Gothic" w:hAnsi="MS UI Gothic" w:eastAsia="MS UI Gothic"/>
        </w:rPr>
      </w:pPr>
      <w:r>
        <w:rPr>
          <w:spacing w:val="2"/>
          <w:w w:val="102"/>
        </w:rPr>
        <w:t>全责任事故</w:t>
      </w:r>
      <w:r>
        <w:rPr>
          <w:spacing w:val="-44"/>
        </w:rPr>
        <w:t xml:space="preserve"> </w:t>
      </w:r>
      <w:r>
        <w:rPr>
          <w:rFonts w:hint="eastAsia" w:ascii="MS UI Gothic" w:hAnsi="MS UI Gothic" w:eastAsia="MS UI Gothic"/>
          <w:w w:val="75"/>
        </w:rPr>
        <w:t>１</w:t>
      </w:r>
      <w:r>
        <w:rPr>
          <w:rFonts w:hint="eastAsia" w:ascii="MS UI Gothic" w:hAnsi="MS UI Gothic" w:eastAsia="MS UI Gothic"/>
          <w:spacing w:val="6"/>
        </w:rPr>
        <w:t xml:space="preserve"> </w:t>
      </w:r>
      <w:r>
        <w:rPr>
          <w:spacing w:val="5"/>
          <w:w w:val="102"/>
        </w:rPr>
        <w:t>起扣</w:t>
      </w:r>
      <w:r>
        <w:rPr>
          <w:spacing w:val="-40"/>
        </w:rPr>
        <w:t xml:space="preserve"> </w:t>
      </w:r>
      <w:r>
        <w:rPr>
          <w:rFonts w:hint="eastAsia" w:ascii="MS UI Gothic" w:hAnsi="MS UI Gothic" w:eastAsia="MS UI Gothic"/>
          <w:w w:val="75"/>
        </w:rPr>
        <w:t>０</w:t>
      </w:r>
      <w:r>
        <w:rPr>
          <w:rFonts w:hint="eastAsia" w:ascii="MS UI Gothic" w:hAnsi="MS UI Gothic" w:eastAsia="MS UI Gothic"/>
          <w:spacing w:val="-10"/>
        </w:rPr>
        <w:t xml:space="preserve"> </w:t>
      </w:r>
      <w:r>
        <w:rPr>
          <w:rFonts w:hint="eastAsia" w:ascii="MS UI Gothic" w:hAnsi="MS UI Gothic" w:eastAsia="MS UI Gothic"/>
          <w:w w:val="75"/>
        </w:rPr>
        <w:t>３</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０</w:t>
      </w:r>
      <w:r>
        <w:rPr>
          <w:rFonts w:hint="eastAsia" w:ascii="MS UI Gothic" w:hAnsi="MS UI Gothic" w:eastAsia="MS UI Gothic"/>
          <w:spacing w:val="-10"/>
        </w:rPr>
        <w:t xml:space="preserve"> </w:t>
      </w:r>
      <w:r>
        <w:rPr>
          <w:rFonts w:hint="eastAsia" w:ascii="MS UI Gothic" w:hAnsi="MS UI Gothic" w:eastAsia="MS UI Gothic"/>
          <w:w w:val="75"/>
        </w:rPr>
        <w:t>６</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w w:val="51"/>
        </w:rPr>
        <w:t>ꎻ</w:t>
      </w:r>
      <w:r>
        <w:rPr>
          <w:rFonts w:hint="eastAsia" w:ascii="MS UI Gothic" w:hAnsi="MS UI Gothic" w:eastAsia="MS UI Gothic"/>
          <w:spacing w:val="-5"/>
        </w:rPr>
        <w:t xml:space="preserve">  </w:t>
      </w:r>
      <w:r>
        <w:rPr>
          <w:spacing w:val="5"/>
          <w:w w:val="102"/>
        </w:rPr>
        <w:t>特大</w:t>
      </w:r>
      <w:r>
        <w:rPr>
          <w:spacing w:val="2"/>
          <w:w w:val="102"/>
        </w:rPr>
        <w:t>生产安全责任事故</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1"/>
          <w:w w:val="102"/>
        </w:rPr>
        <w:t>起扣</w:t>
      </w:r>
      <w:r>
        <w:rPr>
          <w:spacing w:val="-50"/>
        </w:rPr>
        <w:t xml:space="preserve"> </w:t>
      </w:r>
      <w:r>
        <w:rPr>
          <w:rFonts w:hint="eastAsia" w:ascii="MS UI Gothic" w:hAnsi="MS UI Gothic" w:eastAsia="MS UI Gothic"/>
          <w:w w:val="75"/>
        </w:rPr>
        <w:t>０</w:t>
      </w:r>
      <w:r>
        <w:rPr>
          <w:rFonts w:hint="eastAsia" w:ascii="MS UI Gothic" w:hAnsi="MS UI Gothic" w:eastAsia="MS UI Gothic"/>
          <w:spacing w:val="-10"/>
        </w:rPr>
        <w:t xml:space="preserve"> </w:t>
      </w:r>
      <w:r>
        <w:rPr>
          <w:rFonts w:hint="eastAsia" w:ascii="MS UI Gothic" w:hAnsi="MS UI Gothic" w:eastAsia="MS UI Gothic"/>
          <w:w w:val="75"/>
        </w:rPr>
        <w:t>８</w:t>
      </w:r>
      <w:r>
        <w:rPr>
          <w:rFonts w:hint="eastAsia" w:ascii="MS UI Gothic" w:hAnsi="MS UI Gothic" w:eastAsia="MS UI Gothic"/>
          <w:spacing w:val="-3"/>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w w:val="75"/>
        </w:rPr>
        <w:t>２</w:t>
      </w:r>
      <w:r>
        <w:rPr>
          <w:rFonts w:hint="eastAsia" w:ascii="MS UI Gothic" w:hAnsi="MS UI Gothic" w:eastAsia="MS UI Gothic"/>
          <w:spacing w:val="-9"/>
        </w:rPr>
        <w:t xml:space="preserve"> </w:t>
      </w:r>
      <w:r>
        <w:rPr>
          <w:spacing w:val="3"/>
          <w:w w:val="102"/>
        </w:rPr>
        <w:t>分</w:t>
      </w:r>
      <w:r>
        <w:rPr>
          <w:rFonts w:hint="eastAsia" w:ascii="MS UI Gothic" w:hAnsi="MS UI Gothic" w:eastAsia="MS UI Gothic"/>
          <w:w w:val="51"/>
        </w:rPr>
        <w:t>ꎮ</w:t>
      </w:r>
    </w:p>
    <w:p>
      <w:pPr>
        <w:pStyle w:val="6"/>
        <w:spacing w:line="254" w:lineRule="exact"/>
        <w:ind w:left="538" w:firstLine="0"/>
      </w:pPr>
      <w:r>
        <w:rPr>
          <w:rFonts w:hint="eastAsia" w:ascii="MS UI Gothic" w:eastAsia="MS UI Gothic"/>
        </w:rPr>
        <w:t xml:space="preserve">２ </w:t>
      </w:r>
      <w:r>
        <w:t>第二类企业</w:t>
      </w:r>
      <w:r>
        <w:rPr>
          <w:rFonts w:hint="eastAsia" w:ascii="MS UI Gothic" w:eastAsia="MS UI Gothic"/>
          <w:w w:val="85"/>
        </w:rPr>
        <w:t xml:space="preserve">ꎬ </w:t>
      </w:r>
      <w:r>
        <w:t>较大生产安全责任</w:t>
      </w:r>
    </w:p>
    <w:p>
      <w:pPr>
        <w:spacing w:after="0" w:line="254"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１６７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35" o:spid="_x0000_s1535" o:spt="203" style="height:2.15pt;width:398.25pt;" coordsize="7965,43">
            <o:lock v:ext="edit"/>
            <v:line id="_x0000_s1536" o:spid="_x0000_s1536" o:spt="20" style="position:absolute;left:0;top:39;height:0;width:7965;" stroked="t" coordsize="21600,21600">
              <v:path arrowok="t"/>
              <v:fill focussize="0,0"/>
              <v:stroke weight="0.388031496062992pt" color="#231F20"/>
              <v:imagedata o:title=""/>
              <o:lock v:ext="edit"/>
            </v:line>
            <v:line id="_x0000_s1537" o:spid="_x0000_s153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pPr>
      <w:r>
        <w:rPr>
          <w:spacing w:val="1"/>
          <w:w w:val="102"/>
        </w:rPr>
        <w:t>事故</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1"/>
          <w:w w:val="102"/>
        </w:rPr>
        <w:t>起扣</w:t>
      </w:r>
      <w:r>
        <w:rPr>
          <w:spacing w:val="-40"/>
        </w:rPr>
        <w:t xml:space="preserve"> </w:t>
      </w:r>
      <w:r>
        <w:rPr>
          <w:rFonts w:hint="eastAsia" w:ascii="MS UI Gothic" w:hAnsi="MS UI Gothic" w:eastAsia="MS UI Gothic"/>
          <w:w w:val="75"/>
        </w:rPr>
        <w:t>０</w:t>
      </w:r>
      <w:r>
        <w:rPr>
          <w:rFonts w:hint="eastAsia" w:ascii="MS UI Gothic" w:hAnsi="MS UI Gothic" w:eastAsia="MS UI Gothic"/>
          <w:spacing w:val="-10"/>
        </w:rPr>
        <w:t xml:space="preserve"> </w:t>
      </w:r>
      <w:r>
        <w:rPr>
          <w:rFonts w:hint="eastAsia" w:ascii="MS UI Gothic" w:hAnsi="MS UI Gothic" w:eastAsia="MS UI Gothic"/>
          <w:w w:val="75"/>
        </w:rPr>
        <w:t>２</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０</w:t>
      </w:r>
      <w:r>
        <w:rPr>
          <w:rFonts w:hint="eastAsia" w:ascii="MS UI Gothic" w:hAnsi="MS UI Gothic" w:eastAsia="MS UI Gothic"/>
          <w:spacing w:val="-10"/>
        </w:rPr>
        <w:t xml:space="preserve"> </w:t>
      </w:r>
      <w:r>
        <w:rPr>
          <w:rFonts w:hint="eastAsia" w:ascii="MS UI Gothic" w:hAnsi="MS UI Gothic" w:eastAsia="MS UI Gothic"/>
          <w:w w:val="75"/>
        </w:rPr>
        <w:t>４</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w w:val="51"/>
        </w:rPr>
        <w:t>ꎻ</w:t>
      </w:r>
      <w:r>
        <w:rPr>
          <w:rFonts w:hint="eastAsia" w:ascii="MS UI Gothic" w:hAnsi="MS UI Gothic" w:eastAsia="MS UI Gothic"/>
          <w:spacing w:val="-5"/>
        </w:rPr>
        <w:t xml:space="preserve">  </w:t>
      </w:r>
      <w:r>
        <w:rPr>
          <w:spacing w:val="8"/>
          <w:w w:val="102"/>
        </w:rPr>
        <w:t>重大生产安</w:t>
      </w:r>
    </w:p>
    <w:p>
      <w:pPr>
        <w:pStyle w:val="6"/>
        <w:spacing w:before="58"/>
        <w:ind w:left="440" w:firstLine="0"/>
        <w:jc w:val="left"/>
        <w:rPr>
          <w:rFonts w:hint="eastAsia" w:ascii="MS UI Gothic" w:hAnsi="MS UI Gothic" w:eastAsia="MS UI Gothic"/>
        </w:rPr>
      </w:pPr>
      <w:r>
        <w:rPr>
          <w:spacing w:val="2"/>
          <w:w w:val="102"/>
        </w:rPr>
        <w:t>全责任事故</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1"/>
          <w:w w:val="102"/>
        </w:rPr>
        <w:t>起扣</w:t>
      </w:r>
      <w:r>
        <w:rPr>
          <w:spacing w:val="-50"/>
        </w:rPr>
        <w:t xml:space="preserve"> </w:t>
      </w:r>
      <w:r>
        <w:rPr>
          <w:rFonts w:hint="eastAsia" w:ascii="MS UI Gothic" w:hAnsi="MS UI Gothic" w:eastAsia="MS UI Gothic"/>
          <w:w w:val="75"/>
        </w:rPr>
        <w:t>０</w:t>
      </w:r>
      <w:r>
        <w:rPr>
          <w:rFonts w:hint="eastAsia" w:ascii="MS UI Gothic" w:hAnsi="MS UI Gothic" w:eastAsia="MS UI Gothic"/>
          <w:spacing w:val="-10"/>
        </w:rPr>
        <w:t xml:space="preserve"> </w:t>
      </w:r>
      <w:r>
        <w:rPr>
          <w:rFonts w:hint="eastAsia" w:ascii="MS UI Gothic" w:hAnsi="MS UI Gothic" w:eastAsia="MS UI Gothic"/>
          <w:w w:val="75"/>
        </w:rPr>
        <w:t>６</w:t>
      </w:r>
      <w:r>
        <w:rPr>
          <w:rFonts w:hint="eastAsia" w:ascii="MS UI Gothic" w:hAnsi="MS UI Gothic" w:eastAsia="MS UI Gothic"/>
          <w:spacing w:val="-3"/>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１</w:t>
      </w:r>
      <w:r>
        <w:rPr>
          <w:rFonts w:hint="eastAsia" w:ascii="MS UI Gothic" w:hAnsi="MS UI Gothic" w:eastAsia="MS UI Gothic"/>
          <w:spacing w:val="-10"/>
        </w:rPr>
        <w:t xml:space="preserve"> </w:t>
      </w:r>
      <w:r>
        <w:rPr>
          <w:rFonts w:hint="eastAsia" w:ascii="MS UI Gothic" w:hAnsi="MS UI Gothic" w:eastAsia="MS UI Gothic"/>
          <w:w w:val="75"/>
        </w:rPr>
        <w:t>２</w:t>
      </w:r>
      <w:r>
        <w:rPr>
          <w:rFonts w:hint="eastAsia" w:ascii="MS UI Gothic" w:hAnsi="MS UI Gothic" w:eastAsia="MS UI Gothic"/>
          <w:spacing w:val="-3"/>
        </w:rPr>
        <w:t xml:space="preserve"> </w:t>
      </w:r>
      <w:r>
        <w:rPr>
          <w:spacing w:val="3"/>
          <w:w w:val="102"/>
        </w:rPr>
        <w:t>分</w:t>
      </w:r>
      <w:r>
        <w:rPr>
          <w:rFonts w:hint="eastAsia" w:ascii="MS UI Gothic" w:hAnsi="MS UI Gothic" w:eastAsia="MS UI Gothic"/>
          <w:w w:val="51"/>
        </w:rPr>
        <w:t>ꎮ</w:t>
      </w:r>
    </w:p>
    <w:p>
      <w:pPr>
        <w:pStyle w:val="6"/>
        <w:spacing w:before="58" w:line="295" w:lineRule="auto"/>
        <w:ind w:left="440" w:right="1" w:firstLine="413"/>
        <w:rPr>
          <w:rFonts w:hint="eastAsia" w:ascii="MS UI Gothic" w:hAnsi="MS UI Gothic" w:eastAsia="MS UI Gothic"/>
        </w:rPr>
      </w:pPr>
      <w:r>
        <w:rPr>
          <w:rFonts w:hint="eastAsia" w:ascii="MS UI Gothic" w:hAnsi="MS UI Gothic" w:eastAsia="MS UI Gothic"/>
          <w:w w:val="90"/>
        </w:rPr>
        <w:t xml:space="preserve">３ </w:t>
      </w:r>
      <w:r>
        <w:rPr>
          <w:spacing w:val="12"/>
        </w:rPr>
        <w:t>第三类企业</w:t>
      </w:r>
      <w:r>
        <w:rPr>
          <w:rFonts w:hint="eastAsia" w:ascii="MS UI Gothic" w:hAnsi="MS UI Gothic" w:eastAsia="MS UI Gothic"/>
          <w:spacing w:val="23"/>
          <w:w w:val="90"/>
        </w:rPr>
        <w:t xml:space="preserve">ꎬ </w:t>
      </w:r>
      <w:r>
        <w:rPr>
          <w:spacing w:val="13"/>
        </w:rPr>
        <w:t>较大生产安全责任</w:t>
      </w:r>
      <w:r>
        <w:rPr>
          <w:spacing w:val="1"/>
          <w:w w:val="102"/>
        </w:rPr>
        <w:t>事故</w:t>
      </w:r>
      <w:r>
        <w:rPr>
          <w:spacing w:val="-50"/>
        </w:rPr>
        <w:t xml:space="preserve"> </w:t>
      </w:r>
      <w:r>
        <w:rPr>
          <w:rFonts w:hint="eastAsia" w:ascii="MS UI Gothic" w:hAnsi="MS UI Gothic" w:eastAsia="MS UI Gothic"/>
          <w:w w:val="75"/>
        </w:rPr>
        <w:t>１</w:t>
      </w:r>
      <w:r>
        <w:rPr>
          <w:rFonts w:hint="eastAsia" w:ascii="MS UI Gothic" w:hAnsi="MS UI Gothic" w:eastAsia="MS UI Gothic"/>
        </w:rPr>
        <w:t xml:space="preserve"> </w:t>
      </w:r>
      <w:r>
        <w:rPr>
          <w:spacing w:val="1"/>
          <w:w w:val="102"/>
        </w:rPr>
        <w:t>起扣</w:t>
      </w:r>
      <w:r>
        <w:rPr>
          <w:spacing w:val="-50"/>
        </w:rPr>
        <w:t xml:space="preserve"> </w:t>
      </w:r>
      <w:r>
        <w:rPr>
          <w:rFonts w:hint="eastAsia" w:ascii="MS UI Gothic" w:hAnsi="MS UI Gothic" w:eastAsia="MS UI Gothic"/>
          <w:w w:val="75"/>
        </w:rPr>
        <w:t>０</w:t>
      </w:r>
      <w:r>
        <w:rPr>
          <w:rFonts w:hint="eastAsia" w:ascii="MS UI Gothic" w:hAnsi="MS UI Gothic" w:eastAsia="MS UI Gothic"/>
        </w:rPr>
        <w:t xml:space="preserve"> </w:t>
      </w:r>
      <w:r>
        <w:rPr>
          <w:rFonts w:hint="eastAsia" w:ascii="MS UI Gothic" w:hAnsi="MS UI Gothic" w:eastAsia="MS UI Gothic"/>
          <w:w w:val="75"/>
        </w:rPr>
        <w:t>４</w:t>
      </w:r>
      <w:r>
        <w:rPr>
          <w:rFonts w:hint="eastAsia" w:ascii="MS UI Gothic" w:hAnsi="MS UI Gothic" w:eastAsia="MS UI Gothic"/>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０</w:t>
      </w:r>
      <w:r>
        <w:rPr>
          <w:rFonts w:hint="eastAsia" w:ascii="MS UI Gothic" w:hAnsi="MS UI Gothic" w:eastAsia="MS UI Gothic"/>
        </w:rPr>
        <w:t xml:space="preserve"> </w:t>
      </w:r>
      <w:r>
        <w:rPr>
          <w:rFonts w:hint="eastAsia" w:ascii="MS UI Gothic" w:hAnsi="MS UI Gothic" w:eastAsia="MS UI Gothic"/>
          <w:w w:val="75"/>
        </w:rPr>
        <w:t>８</w:t>
      </w:r>
      <w:r>
        <w:rPr>
          <w:rFonts w:hint="eastAsia" w:ascii="MS UI Gothic" w:hAnsi="MS UI Gothic" w:eastAsia="MS UI Gothic"/>
        </w:rPr>
        <w:t xml:space="preserve"> </w:t>
      </w:r>
      <w:r>
        <w:rPr>
          <w:spacing w:val="3"/>
          <w:w w:val="102"/>
        </w:rPr>
        <w:t>分</w:t>
      </w:r>
      <w:r>
        <w:rPr>
          <w:rFonts w:hint="eastAsia" w:ascii="MS UI Gothic" w:hAnsi="MS UI Gothic" w:eastAsia="MS UI Gothic"/>
          <w:w w:val="51"/>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中央企业年度内发生较大以上生产安全责任事故</w:t>
      </w:r>
      <w:r>
        <w:rPr>
          <w:rFonts w:hint="eastAsia" w:ascii="MS UI Gothic" w:eastAsia="MS UI Gothic"/>
          <w:w w:val="80"/>
        </w:rPr>
        <w:t xml:space="preserve">ꎬ </w:t>
      </w:r>
      <w:r>
        <w:rPr>
          <w:w w:val="105"/>
        </w:rPr>
        <w:t>承担管理责任</w:t>
      </w:r>
      <w:r>
        <w:rPr>
          <w:rFonts w:hint="eastAsia" w:ascii="MS UI Gothic" w:eastAsia="MS UI Gothic"/>
          <w:w w:val="80"/>
        </w:rPr>
        <w:t xml:space="preserve">、 </w:t>
      </w:r>
      <w:r>
        <w:rPr>
          <w:w w:val="105"/>
        </w:rPr>
        <w:t>次要责任</w:t>
      </w:r>
      <w:r>
        <w:rPr>
          <w:rFonts w:hint="eastAsia" w:ascii="MS UI Gothic" w:eastAsia="MS UI Gothic"/>
          <w:w w:val="80"/>
        </w:rPr>
        <w:t xml:space="preserve">、 </w:t>
      </w:r>
      <w:r>
        <w:rPr>
          <w:w w:val="105"/>
        </w:rPr>
        <w:t>一定责任等非主要责任的</w:t>
      </w:r>
      <w:r>
        <w:rPr>
          <w:rFonts w:hint="eastAsia" w:ascii="MS UI Gothic" w:eastAsia="MS UI Gothic"/>
          <w:w w:val="80"/>
        </w:rPr>
        <w:t xml:space="preserve">ꎬ </w:t>
      </w:r>
      <w:r>
        <w:rPr>
          <w:w w:val="105"/>
        </w:rPr>
        <w:t>按以下</w:t>
      </w:r>
      <w:r>
        <w:t>标准对中央企业负责人年度经营业绩考核</w:t>
      </w:r>
      <w:r>
        <w:rPr>
          <w:w w:val="105"/>
        </w:rPr>
        <w:t>降分</w:t>
      </w:r>
      <w:r>
        <w:rPr>
          <w:rFonts w:hint="eastAsia" w:ascii="MS UI Gothic" w:eastAsia="MS UI Gothic"/>
          <w:w w:val="235"/>
        </w:rPr>
        <w:t>:</w:t>
      </w:r>
    </w:p>
    <w:p>
      <w:pPr>
        <w:pStyle w:val="6"/>
        <w:spacing w:line="295" w:lineRule="auto"/>
        <w:ind w:left="440" w:firstLine="413"/>
        <w:rPr>
          <w:rFonts w:hint="eastAsia" w:ascii="MS UI Gothic" w:hAnsi="MS UI Gothic" w:eastAsia="MS UI Gothic"/>
        </w:rPr>
      </w:pPr>
      <w:r>
        <w:rPr>
          <w:rFonts w:hint="eastAsia" w:ascii="MS UI Gothic" w:hAnsi="MS UI Gothic" w:eastAsia="MS UI Gothic"/>
          <w:w w:val="85"/>
        </w:rPr>
        <w:t xml:space="preserve">１ </w:t>
      </w:r>
      <w:r>
        <w:t>第一类企业</w:t>
      </w:r>
      <w:r>
        <w:rPr>
          <w:rFonts w:hint="eastAsia" w:ascii="MS UI Gothic" w:hAnsi="MS UI Gothic" w:eastAsia="MS UI Gothic"/>
          <w:w w:val="85"/>
        </w:rPr>
        <w:t xml:space="preserve">ꎬ </w:t>
      </w:r>
      <w:r>
        <w:t>较大生产安全责任</w:t>
      </w:r>
      <w:r>
        <w:rPr>
          <w:w w:val="102"/>
        </w:rPr>
        <w:t>事故</w:t>
      </w:r>
      <w:r>
        <w:t xml:space="preserve"> </w:t>
      </w:r>
      <w:r>
        <w:rPr>
          <w:rFonts w:hint="eastAsia" w:ascii="MS UI Gothic" w:hAnsi="MS UI Gothic" w:eastAsia="MS UI Gothic"/>
          <w:w w:val="75"/>
        </w:rPr>
        <w:t>１</w:t>
      </w:r>
      <w:r>
        <w:rPr>
          <w:rFonts w:hint="eastAsia" w:ascii="MS UI Gothic" w:hAnsi="MS UI Gothic" w:eastAsia="MS UI Gothic"/>
        </w:rPr>
        <w:t xml:space="preserve"> </w:t>
      </w:r>
      <w:r>
        <w:rPr>
          <w:w w:val="102"/>
        </w:rPr>
        <w:t>起扣</w:t>
      </w:r>
      <w:r>
        <w:t xml:space="preserve"> </w:t>
      </w:r>
      <w:r>
        <w:rPr>
          <w:rFonts w:hint="eastAsia" w:ascii="MS UI Gothic" w:hAnsi="MS UI Gothic" w:eastAsia="MS UI Gothic"/>
          <w:w w:val="75"/>
        </w:rPr>
        <w:t>０</w:t>
      </w:r>
      <w:r>
        <w:rPr>
          <w:rFonts w:hint="eastAsia" w:ascii="MS UI Gothic" w:hAnsi="MS UI Gothic" w:eastAsia="MS UI Gothic"/>
        </w:rPr>
        <w:t xml:space="preserve"> </w:t>
      </w:r>
      <w:r>
        <w:rPr>
          <w:rFonts w:hint="eastAsia" w:ascii="MS UI Gothic" w:hAnsi="MS UI Gothic" w:eastAsia="MS UI Gothic"/>
          <w:w w:val="75"/>
        </w:rPr>
        <w:t>０５</w:t>
      </w:r>
      <w:r>
        <w:rPr>
          <w:rFonts w:hint="eastAsia" w:ascii="MS UI Gothic" w:hAnsi="MS UI Gothic" w:eastAsia="MS UI Gothic"/>
        </w:rPr>
        <w:t xml:space="preserve"> </w:t>
      </w:r>
      <w:r>
        <w:rPr>
          <w:w w:val="102"/>
        </w:rPr>
        <w:t>分</w:t>
      </w:r>
      <w:r>
        <w:rPr>
          <w:rFonts w:hint="eastAsia" w:ascii="MS UI Gothic" w:hAnsi="MS UI Gothic" w:eastAsia="MS UI Gothic"/>
          <w:w w:val="153"/>
        </w:rPr>
        <w:t>—</w:t>
      </w:r>
      <w:r>
        <w:rPr>
          <w:rFonts w:hint="eastAsia" w:ascii="MS UI Gothic" w:hAnsi="MS UI Gothic" w:eastAsia="MS UI Gothic"/>
          <w:w w:val="75"/>
        </w:rPr>
        <w:t>０</w:t>
      </w:r>
      <w:r>
        <w:rPr>
          <w:rFonts w:hint="eastAsia" w:ascii="MS UI Gothic" w:hAnsi="MS UI Gothic" w:eastAsia="MS UI Gothic"/>
        </w:rPr>
        <w:t xml:space="preserve"> </w:t>
      </w:r>
      <w:r>
        <w:rPr>
          <w:rFonts w:hint="eastAsia" w:ascii="MS UI Gothic" w:hAnsi="MS UI Gothic" w:eastAsia="MS UI Gothic"/>
          <w:w w:val="75"/>
        </w:rPr>
        <w:t>１</w:t>
      </w:r>
      <w:r>
        <w:rPr>
          <w:rFonts w:hint="eastAsia" w:ascii="MS UI Gothic" w:hAnsi="MS UI Gothic" w:eastAsia="MS UI Gothic"/>
        </w:rPr>
        <w:t xml:space="preserve"> </w:t>
      </w:r>
      <w:r>
        <w:rPr>
          <w:w w:val="102"/>
        </w:rPr>
        <w:t>分</w:t>
      </w:r>
      <w:r>
        <w:rPr>
          <w:rFonts w:hint="eastAsia" w:ascii="MS UI Gothic" w:hAnsi="MS UI Gothic" w:eastAsia="MS UI Gothic"/>
          <w:w w:val="51"/>
        </w:rPr>
        <w:t>ꎻ</w:t>
      </w:r>
      <w:r>
        <w:rPr>
          <w:rFonts w:hint="eastAsia" w:ascii="MS UI Gothic" w:hAnsi="MS UI Gothic" w:eastAsia="MS UI Gothic"/>
        </w:rPr>
        <w:t xml:space="preserve">  </w:t>
      </w:r>
      <w:r>
        <w:rPr>
          <w:w w:val="102"/>
        </w:rPr>
        <w:t>重大生产安全责任事故</w:t>
      </w:r>
      <w:r>
        <w:t xml:space="preserve"> </w:t>
      </w:r>
      <w:r>
        <w:rPr>
          <w:rFonts w:hint="eastAsia" w:ascii="MS UI Gothic" w:hAnsi="MS UI Gothic" w:eastAsia="MS UI Gothic"/>
          <w:w w:val="75"/>
        </w:rPr>
        <w:t>１</w:t>
      </w:r>
      <w:r>
        <w:rPr>
          <w:rFonts w:hint="eastAsia" w:ascii="MS UI Gothic" w:hAnsi="MS UI Gothic" w:eastAsia="MS UI Gothic"/>
        </w:rPr>
        <w:t xml:space="preserve"> </w:t>
      </w:r>
      <w:r>
        <w:rPr>
          <w:w w:val="102"/>
        </w:rPr>
        <w:t>起扣</w:t>
      </w:r>
      <w:r>
        <w:t xml:space="preserve"> </w:t>
      </w:r>
      <w:r>
        <w:rPr>
          <w:rFonts w:hint="eastAsia" w:ascii="MS UI Gothic" w:hAnsi="MS UI Gothic" w:eastAsia="MS UI Gothic"/>
          <w:w w:val="75"/>
        </w:rPr>
        <w:t>０</w:t>
      </w:r>
      <w:r>
        <w:rPr>
          <w:rFonts w:hint="eastAsia" w:ascii="MS UI Gothic" w:hAnsi="MS UI Gothic" w:eastAsia="MS UI Gothic"/>
        </w:rPr>
        <w:t xml:space="preserve"> </w:t>
      </w:r>
      <w:r>
        <w:rPr>
          <w:rFonts w:hint="eastAsia" w:ascii="MS UI Gothic" w:hAnsi="MS UI Gothic" w:eastAsia="MS UI Gothic"/>
          <w:w w:val="75"/>
        </w:rPr>
        <w:t>１５</w:t>
      </w:r>
      <w:r>
        <w:rPr>
          <w:rFonts w:hint="eastAsia" w:ascii="MS UI Gothic" w:hAnsi="MS UI Gothic" w:eastAsia="MS UI Gothic"/>
        </w:rPr>
        <w:t xml:space="preserve"> </w:t>
      </w:r>
      <w:r>
        <w:rPr>
          <w:w w:val="102"/>
        </w:rPr>
        <w:t>分</w:t>
      </w:r>
      <w:r>
        <w:rPr>
          <w:rFonts w:hint="eastAsia" w:ascii="MS UI Gothic" w:hAnsi="MS UI Gothic" w:eastAsia="MS UI Gothic"/>
          <w:w w:val="153"/>
        </w:rPr>
        <w:t>—</w:t>
      </w:r>
      <w:r>
        <w:rPr>
          <w:rFonts w:hint="eastAsia" w:ascii="MS UI Gothic" w:hAnsi="MS UI Gothic" w:eastAsia="MS UI Gothic"/>
          <w:w w:val="75"/>
        </w:rPr>
        <w:t>０</w:t>
      </w:r>
      <w:r>
        <w:rPr>
          <w:rFonts w:hint="eastAsia" w:ascii="MS UI Gothic" w:hAnsi="MS UI Gothic" w:eastAsia="MS UI Gothic"/>
        </w:rPr>
        <w:t xml:space="preserve"> </w:t>
      </w:r>
      <w:r>
        <w:rPr>
          <w:rFonts w:hint="eastAsia" w:ascii="MS UI Gothic" w:hAnsi="MS UI Gothic" w:eastAsia="MS UI Gothic"/>
          <w:w w:val="75"/>
        </w:rPr>
        <w:t>３</w:t>
      </w:r>
      <w:r>
        <w:rPr>
          <w:rFonts w:hint="eastAsia" w:ascii="MS UI Gothic" w:hAnsi="MS UI Gothic" w:eastAsia="MS UI Gothic"/>
        </w:rPr>
        <w:t xml:space="preserve"> </w:t>
      </w:r>
      <w:r>
        <w:rPr>
          <w:w w:val="102"/>
        </w:rPr>
        <w:t>分</w:t>
      </w:r>
      <w:r>
        <w:rPr>
          <w:rFonts w:hint="eastAsia" w:ascii="MS UI Gothic" w:hAnsi="MS UI Gothic" w:eastAsia="MS UI Gothic"/>
          <w:w w:val="51"/>
        </w:rPr>
        <w:t>ꎻ</w:t>
      </w:r>
      <w:r>
        <w:t xml:space="preserve">特大生产安全责任事故 </w:t>
      </w:r>
      <w:r>
        <w:rPr>
          <w:rFonts w:hint="eastAsia" w:ascii="MS UI Gothic" w:hAnsi="MS UI Gothic" w:eastAsia="MS UI Gothic"/>
        </w:rPr>
        <w:t xml:space="preserve">１ </w:t>
      </w:r>
      <w:r>
        <w:t xml:space="preserve">起扣 </w:t>
      </w:r>
      <w:r>
        <w:rPr>
          <w:rFonts w:hint="eastAsia" w:ascii="MS UI Gothic" w:hAnsi="MS UI Gothic" w:eastAsia="MS UI Gothic"/>
          <w:w w:val="85"/>
        </w:rPr>
        <w:t xml:space="preserve">０ </w:t>
      </w:r>
      <w:r>
        <w:rPr>
          <w:rFonts w:hint="eastAsia" w:ascii="MS UI Gothic" w:hAnsi="MS UI Gothic" w:eastAsia="MS UI Gothic"/>
        </w:rPr>
        <w:t xml:space="preserve">４ </w:t>
      </w:r>
      <w:r>
        <w:t>分</w:t>
      </w:r>
      <w:r>
        <w:rPr>
          <w:rFonts w:hint="eastAsia" w:ascii="MS UI Gothic" w:hAnsi="MS UI Gothic" w:eastAsia="MS UI Gothic"/>
          <w:w w:val="130"/>
        </w:rPr>
        <w:t>—</w:t>
      </w:r>
    </w:p>
    <w:p>
      <w:pPr>
        <w:pStyle w:val="6"/>
        <w:spacing w:before="124"/>
        <w:ind w:left="381" w:firstLine="0"/>
        <w:jc w:val="left"/>
        <w:rPr>
          <w:rFonts w:hint="eastAsia" w:ascii="MS UI Gothic" w:eastAsia="MS UI Gothic"/>
        </w:rPr>
      </w:pPr>
      <w:r>
        <w:br w:type="column"/>
      </w:r>
      <w:r>
        <w:rPr>
          <w:rFonts w:hint="eastAsia" w:ascii="MS UI Gothic" w:eastAsia="MS UI Gothic"/>
          <w:w w:val="95"/>
        </w:rPr>
        <w:t xml:space="preserve">１ </w:t>
      </w:r>
      <w:r>
        <w:rPr>
          <w:w w:val="95"/>
        </w:rPr>
        <w:t>分</w:t>
      </w:r>
      <w:r>
        <w:rPr>
          <w:rFonts w:hint="eastAsia" w:ascii="MS UI Gothic" w:eastAsia="MS UI Gothic"/>
          <w:w w:val="80"/>
        </w:rPr>
        <w:t>ꎮ</w:t>
      </w:r>
    </w:p>
    <w:p>
      <w:pPr>
        <w:pStyle w:val="6"/>
        <w:spacing w:before="58" w:line="295" w:lineRule="auto"/>
        <w:ind w:left="381" w:right="126" w:firstLine="413"/>
      </w:pPr>
      <w:r>
        <w:rPr>
          <w:rFonts w:hint="eastAsia" w:ascii="MS UI Gothic" w:hAnsi="MS UI Gothic" w:eastAsia="MS UI Gothic"/>
          <w:w w:val="90"/>
        </w:rPr>
        <w:t>２</w:t>
      </w:r>
      <w:r>
        <w:rPr>
          <w:rFonts w:hint="eastAsia" w:ascii="MS UI Gothic" w:hAnsi="MS UI Gothic" w:eastAsia="MS UI Gothic"/>
          <w:spacing w:val="42"/>
          <w:w w:val="90"/>
        </w:rPr>
        <w:t xml:space="preserve"> </w:t>
      </w:r>
      <w:r>
        <w:rPr>
          <w:spacing w:val="12"/>
        </w:rPr>
        <w:t>第二类企业</w:t>
      </w:r>
      <w:r>
        <w:rPr>
          <w:rFonts w:hint="eastAsia" w:ascii="MS UI Gothic" w:hAnsi="MS UI Gothic" w:eastAsia="MS UI Gothic"/>
          <w:spacing w:val="23"/>
          <w:w w:val="90"/>
        </w:rPr>
        <w:t xml:space="preserve">ꎬ </w:t>
      </w:r>
      <w:r>
        <w:rPr>
          <w:spacing w:val="14"/>
        </w:rPr>
        <w:t>较大生产安全责任</w:t>
      </w:r>
      <w:r>
        <w:rPr>
          <w:spacing w:val="1"/>
          <w:w w:val="102"/>
        </w:rPr>
        <w:t>事故</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1"/>
          <w:w w:val="102"/>
        </w:rPr>
        <w:t>起扣</w:t>
      </w:r>
      <w:r>
        <w:rPr>
          <w:spacing w:val="-40"/>
        </w:rPr>
        <w:t xml:space="preserve"> </w:t>
      </w:r>
      <w:r>
        <w:rPr>
          <w:rFonts w:hint="eastAsia" w:ascii="MS UI Gothic" w:hAnsi="MS UI Gothic" w:eastAsia="MS UI Gothic"/>
          <w:spacing w:val="-1"/>
          <w:w w:val="75"/>
        </w:rPr>
        <w:t>０</w:t>
      </w:r>
      <w:r>
        <w:rPr>
          <w:rFonts w:hint="eastAsia" w:ascii="MS UI Gothic" w:hAnsi="MS UI Gothic" w:eastAsia="MS UI Gothic"/>
          <w:spacing w:val="-10"/>
        </w:rPr>
        <w:t xml:space="preserve"> </w:t>
      </w:r>
      <w:r>
        <w:rPr>
          <w:rFonts w:hint="eastAsia" w:ascii="MS UI Gothic" w:hAnsi="MS UI Gothic" w:eastAsia="MS UI Gothic"/>
          <w:w w:val="75"/>
        </w:rPr>
        <w:t>１</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０</w:t>
      </w:r>
      <w:r>
        <w:rPr>
          <w:rFonts w:hint="eastAsia" w:ascii="MS UI Gothic" w:hAnsi="MS UI Gothic" w:eastAsia="MS UI Gothic"/>
          <w:spacing w:val="-10"/>
        </w:rPr>
        <w:t xml:space="preserve"> </w:t>
      </w:r>
      <w:r>
        <w:rPr>
          <w:rFonts w:hint="eastAsia" w:ascii="MS UI Gothic" w:hAnsi="MS UI Gothic" w:eastAsia="MS UI Gothic"/>
          <w:w w:val="75"/>
        </w:rPr>
        <w:t>２</w:t>
      </w:r>
      <w:r>
        <w:rPr>
          <w:rFonts w:hint="eastAsia" w:ascii="MS UI Gothic" w:hAnsi="MS UI Gothic" w:eastAsia="MS UI Gothic"/>
          <w:spacing w:val="6"/>
        </w:rPr>
        <w:t xml:space="preserve"> </w:t>
      </w:r>
      <w:r>
        <w:rPr>
          <w:spacing w:val="3"/>
          <w:w w:val="102"/>
        </w:rPr>
        <w:t>分</w:t>
      </w:r>
      <w:r>
        <w:rPr>
          <w:rFonts w:hint="eastAsia" w:ascii="MS UI Gothic" w:hAnsi="MS UI Gothic" w:eastAsia="MS UI Gothic"/>
          <w:w w:val="51"/>
        </w:rPr>
        <w:t>ꎻ</w:t>
      </w:r>
      <w:r>
        <w:rPr>
          <w:rFonts w:hint="eastAsia" w:ascii="MS UI Gothic" w:hAnsi="MS UI Gothic" w:eastAsia="MS UI Gothic"/>
          <w:spacing w:val="-5"/>
        </w:rPr>
        <w:t xml:space="preserve">  </w:t>
      </w:r>
      <w:r>
        <w:rPr>
          <w:spacing w:val="8"/>
          <w:w w:val="102"/>
        </w:rPr>
        <w:t>重大生产安</w:t>
      </w:r>
    </w:p>
    <w:p>
      <w:pPr>
        <w:pStyle w:val="6"/>
        <w:spacing w:line="255" w:lineRule="exact"/>
        <w:ind w:left="381" w:firstLine="0"/>
        <w:jc w:val="left"/>
        <w:rPr>
          <w:rFonts w:hint="eastAsia" w:ascii="MS UI Gothic" w:hAnsi="MS UI Gothic" w:eastAsia="MS UI Gothic"/>
        </w:rPr>
      </w:pPr>
      <w:r>
        <w:rPr>
          <w:spacing w:val="2"/>
          <w:w w:val="102"/>
        </w:rPr>
        <w:t>全责任事故</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1"/>
          <w:w w:val="102"/>
        </w:rPr>
        <w:t>起扣</w:t>
      </w:r>
      <w:r>
        <w:rPr>
          <w:spacing w:val="-50"/>
        </w:rPr>
        <w:t xml:space="preserve"> </w:t>
      </w:r>
      <w:r>
        <w:rPr>
          <w:rFonts w:hint="eastAsia" w:ascii="MS UI Gothic" w:hAnsi="MS UI Gothic" w:eastAsia="MS UI Gothic"/>
          <w:w w:val="75"/>
        </w:rPr>
        <w:t>０</w:t>
      </w:r>
      <w:r>
        <w:rPr>
          <w:rFonts w:hint="eastAsia" w:ascii="MS UI Gothic" w:hAnsi="MS UI Gothic" w:eastAsia="MS UI Gothic"/>
          <w:spacing w:val="-10"/>
        </w:rPr>
        <w:t xml:space="preserve"> </w:t>
      </w:r>
      <w:r>
        <w:rPr>
          <w:rFonts w:hint="eastAsia" w:ascii="MS UI Gothic" w:hAnsi="MS UI Gothic" w:eastAsia="MS UI Gothic"/>
          <w:w w:val="75"/>
        </w:rPr>
        <w:t>３</w:t>
      </w:r>
      <w:r>
        <w:rPr>
          <w:rFonts w:hint="eastAsia" w:ascii="MS UI Gothic" w:hAnsi="MS UI Gothic" w:eastAsia="MS UI Gothic"/>
          <w:spacing w:val="-3"/>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０</w:t>
      </w:r>
      <w:r>
        <w:rPr>
          <w:rFonts w:hint="eastAsia" w:ascii="MS UI Gothic" w:hAnsi="MS UI Gothic" w:eastAsia="MS UI Gothic"/>
          <w:spacing w:val="-10"/>
        </w:rPr>
        <w:t xml:space="preserve"> </w:t>
      </w:r>
      <w:r>
        <w:rPr>
          <w:rFonts w:hint="eastAsia" w:ascii="MS UI Gothic" w:hAnsi="MS UI Gothic" w:eastAsia="MS UI Gothic"/>
          <w:w w:val="75"/>
        </w:rPr>
        <w:t>６</w:t>
      </w:r>
      <w:r>
        <w:rPr>
          <w:rFonts w:hint="eastAsia" w:ascii="MS UI Gothic" w:hAnsi="MS UI Gothic" w:eastAsia="MS UI Gothic"/>
          <w:spacing w:val="-3"/>
        </w:rPr>
        <w:t xml:space="preserve"> </w:t>
      </w:r>
      <w:r>
        <w:rPr>
          <w:spacing w:val="3"/>
          <w:w w:val="102"/>
        </w:rPr>
        <w:t>分</w:t>
      </w:r>
      <w:r>
        <w:rPr>
          <w:rFonts w:hint="eastAsia" w:ascii="MS UI Gothic" w:hAnsi="MS UI Gothic" w:eastAsia="MS UI Gothic"/>
          <w:w w:val="51"/>
        </w:rPr>
        <w:t>ꎮ</w:t>
      </w:r>
    </w:p>
    <w:p>
      <w:pPr>
        <w:pStyle w:val="6"/>
        <w:spacing w:before="58" w:line="295" w:lineRule="auto"/>
        <w:ind w:left="381" w:right="126" w:firstLine="413"/>
        <w:rPr>
          <w:rFonts w:hint="eastAsia" w:ascii="MS UI Gothic" w:hAnsi="MS UI Gothic" w:eastAsia="MS UI Gothic"/>
        </w:rPr>
      </w:pPr>
      <w:r>
        <w:rPr>
          <w:rFonts w:hint="eastAsia" w:ascii="MS UI Gothic" w:hAnsi="MS UI Gothic" w:eastAsia="MS UI Gothic"/>
          <w:w w:val="90"/>
        </w:rPr>
        <w:t xml:space="preserve">３ </w:t>
      </w:r>
      <w:r>
        <w:rPr>
          <w:spacing w:val="12"/>
        </w:rPr>
        <w:t>第三类企业</w:t>
      </w:r>
      <w:r>
        <w:rPr>
          <w:rFonts w:hint="eastAsia" w:ascii="MS UI Gothic" w:hAnsi="MS UI Gothic" w:eastAsia="MS UI Gothic"/>
          <w:spacing w:val="23"/>
          <w:w w:val="90"/>
        </w:rPr>
        <w:t xml:space="preserve">ꎬ </w:t>
      </w:r>
      <w:r>
        <w:rPr>
          <w:spacing w:val="14"/>
        </w:rPr>
        <w:t>较大生产安全责任</w:t>
      </w:r>
      <w:r>
        <w:rPr>
          <w:spacing w:val="1"/>
          <w:w w:val="102"/>
        </w:rPr>
        <w:t>事故</w:t>
      </w:r>
      <w:r>
        <w:rPr>
          <w:spacing w:val="-50"/>
        </w:rPr>
        <w:t xml:space="preserve"> </w:t>
      </w:r>
      <w:r>
        <w:rPr>
          <w:rFonts w:hint="eastAsia" w:ascii="MS UI Gothic" w:hAnsi="MS UI Gothic" w:eastAsia="MS UI Gothic"/>
          <w:w w:val="75"/>
        </w:rPr>
        <w:t>１</w:t>
      </w:r>
      <w:r>
        <w:rPr>
          <w:rFonts w:hint="eastAsia" w:ascii="MS UI Gothic" w:hAnsi="MS UI Gothic" w:eastAsia="MS UI Gothic"/>
        </w:rPr>
        <w:t xml:space="preserve"> </w:t>
      </w:r>
      <w:r>
        <w:rPr>
          <w:spacing w:val="1"/>
          <w:w w:val="102"/>
        </w:rPr>
        <w:t>起扣</w:t>
      </w:r>
      <w:r>
        <w:rPr>
          <w:spacing w:val="-50"/>
        </w:rPr>
        <w:t xml:space="preserve"> </w:t>
      </w:r>
      <w:r>
        <w:rPr>
          <w:rFonts w:hint="eastAsia" w:ascii="MS UI Gothic" w:hAnsi="MS UI Gothic" w:eastAsia="MS UI Gothic"/>
          <w:w w:val="75"/>
        </w:rPr>
        <w:t>０</w:t>
      </w:r>
      <w:r>
        <w:rPr>
          <w:rFonts w:hint="eastAsia" w:ascii="MS UI Gothic" w:hAnsi="MS UI Gothic" w:eastAsia="MS UI Gothic"/>
        </w:rPr>
        <w:t xml:space="preserve"> </w:t>
      </w:r>
      <w:r>
        <w:rPr>
          <w:rFonts w:hint="eastAsia" w:ascii="MS UI Gothic" w:hAnsi="MS UI Gothic" w:eastAsia="MS UI Gothic"/>
          <w:w w:val="75"/>
        </w:rPr>
        <w:t>２</w:t>
      </w:r>
      <w:r>
        <w:rPr>
          <w:rFonts w:hint="eastAsia" w:ascii="MS UI Gothic" w:hAnsi="MS UI Gothic" w:eastAsia="MS UI Gothic"/>
        </w:rPr>
        <w:t xml:space="preserve"> </w:t>
      </w:r>
      <w:r>
        <w:rPr>
          <w:spacing w:val="3"/>
          <w:w w:val="102"/>
        </w:rPr>
        <w:t>分</w:t>
      </w:r>
      <w:r>
        <w:rPr>
          <w:rFonts w:hint="eastAsia" w:ascii="MS UI Gothic" w:hAnsi="MS UI Gothic" w:eastAsia="MS UI Gothic"/>
          <w:spacing w:val="3"/>
          <w:w w:val="153"/>
        </w:rPr>
        <w:t>—</w:t>
      </w:r>
      <w:r>
        <w:rPr>
          <w:rFonts w:hint="eastAsia" w:ascii="MS UI Gothic" w:hAnsi="MS UI Gothic" w:eastAsia="MS UI Gothic"/>
          <w:spacing w:val="-6"/>
          <w:w w:val="75"/>
        </w:rPr>
        <w:t>０</w:t>
      </w:r>
      <w:r>
        <w:rPr>
          <w:rFonts w:hint="eastAsia" w:ascii="MS UI Gothic" w:hAnsi="MS UI Gothic" w:eastAsia="MS UI Gothic"/>
        </w:rPr>
        <w:t xml:space="preserve"> </w:t>
      </w:r>
      <w:r>
        <w:rPr>
          <w:rFonts w:hint="eastAsia" w:ascii="MS UI Gothic" w:hAnsi="MS UI Gothic" w:eastAsia="MS UI Gothic"/>
          <w:w w:val="75"/>
        </w:rPr>
        <w:t>４</w:t>
      </w:r>
      <w:r>
        <w:rPr>
          <w:rFonts w:hint="eastAsia" w:ascii="MS UI Gothic" w:hAnsi="MS UI Gothic" w:eastAsia="MS UI Gothic"/>
        </w:rPr>
        <w:t xml:space="preserve"> </w:t>
      </w:r>
      <w:r>
        <w:rPr>
          <w:spacing w:val="3"/>
          <w:w w:val="102"/>
        </w:rPr>
        <w:t>分</w:t>
      </w:r>
      <w:r>
        <w:rPr>
          <w:rFonts w:hint="eastAsia" w:ascii="MS UI Gothic" w:hAnsi="MS UI Gothic" w:eastAsia="MS UI Gothic"/>
          <w:w w:val="51"/>
        </w:rPr>
        <w:t>ꎮ</w:t>
      </w:r>
    </w:p>
    <w:p>
      <w:pPr>
        <w:pStyle w:val="6"/>
        <w:spacing w:line="255" w:lineRule="exact"/>
        <w:ind w:left="800" w:firstLine="0"/>
      </w:pPr>
      <w:r>
        <w:t>三</w:t>
      </w:r>
      <w:r>
        <w:rPr>
          <w:rFonts w:hint="eastAsia" w:ascii="MS UI Gothic" w:eastAsia="MS UI Gothic"/>
        </w:rPr>
        <w:t xml:space="preserve">、 </w:t>
      </w:r>
      <w:r>
        <w:t>其他</w:t>
      </w:r>
    </w:p>
    <w:p>
      <w:pPr>
        <w:pStyle w:val="6"/>
        <w:spacing w:before="58" w:line="295" w:lineRule="auto"/>
        <w:ind w:left="381" w:right="126" w:firstLine="413"/>
        <w:rPr>
          <w:rFonts w:hint="eastAsia" w:ascii="MS UI Gothic" w:eastAsia="MS UI Gothic"/>
        </w:rPr>
      </w:pPr>
      <w:r>
        <w:rPr>
          <w:rFonts w:hint="eastAsia" w:ascii="MS UI Gothic" w:eastAsia="MS UI Gothic"/>
        </w:rPr>
        <w:t xml:space="preserve">１ </w:t>
      </w:r>
      <w:r>
        <w:t>中央企业因安全生产受到业绩考核降级处理后</w:t>
      </w:r>
      <w:r>
        <w:rPr>
          <w:rFonts w:hint="eastAsia" w:ascii="MS UI Gothic" w:eastAsia="MS UI Gothic"/>
          <w:w w:val="85"/>
        </w:rPr>
        <w:t xml:space="preserve">ꎬ </w:t>
      </w:r>
      <w:r>
        <w:t>不再另外降分</w:t>
      </w:r>
      <w:r>
        <w:rPr>
          <w:rFonts w:hint="eastAsia" w:ascii="MS UI Gothic" w:eastAsia="MS UI Gothic"/>
          <w:w w:val="85"/>
        </w:rPr>
        <w:t>ꎮ</w:t>
      </w:r>
    </w:p>
    <w:p>
      <w:pPr>
        <w:pStyle w:val="6"/>
        <w:spacing w:line="295" w:lineRule="auto"/>
        <w:ind w:left="381" w:right="126" w:firstLine="413"/>
        <w:rPr>
          <w:rFonts w:hint="eastAsia" w:ascii="MS UI Gothic" w:hAnsi="MS UI Gothic" w:eastAsia="MS UI Gothic"/>
        </w:rPr>
      </w:pPr>
      <w:r>
        <w:rPr>
          <w:rFonts w:hint="eastAsia" w:ascii="MS UI Gothic" w:hAnsi="MS UI Gothic" w:eastAsia="MS UI Gothic"/>
        </w:rPr>
        <w:t xml:space="preserve">２ </w:t>
      </w:r>
      <w:r>
        <w:t>煤炭企业按第一类企业中第二档</w:t>
      </w:r>
      <w:r>
        <w:rPr>
          <w:rFonts w:hint="eastAsia" w:ascii="MS UI Gothic" w:hAnsi="MS UI Gothic" w:eastAsia="MS UI Gothic"/>
          <w:w w:val="168"/>
        </w:rPr>
        <w:t>(</w:t>
      </w:r>
      <w:r>
        <w:rPr>
          <w:rFonts w:hint="eastAsia" w:ascii="MS UI Gothic" w:hAnsi="MS UI Gothic" w:eastAsia="MS UI Gothic"/>
          <w:w w:val="75"/>
        </w:rPr>
        <w:t>１５００</w:t>
      </w:r>
      <w:r>
        <w:rPr>
          <w:rFonts w:hint="eastAsia" w:ascii="MS UI Gothic" w:hAnsi="MS UI Gothic" w:eastAsia="MS UI Gothic"/>
        </w:rPr>
        <w:t xml:space="preserve"> </w:t>
      </w:r>
      <w:r>
        <w:rPr>
          <w:w w:val="102"/>
        </w:rPr>
        <w:t>亿元</w:t>
      </w:r>
      <w:r>
        <w:rPr>
          <w:rFonts w:hint="eastAsia" w:ascii="MS UI Gothic" w:hAnsi="MS UI Gothic" w:eastAsia="MS UI Gothic"/>
          <w:w w:val="204"/>
        </w:rPr>
        <w:t>≤</w:t>
      </w:r>
      <w:r>
        <w:rPr>
          <w:w w:val="102"/>
        </w:rPr>
        <w:t>销售收入</w:t>
      </w:r>
      <w:r>
        <w:rPr>
          <w:rFonts w:hint="eastAsia" w:ascii="MS UI Gothic" w:hAnsi="MS UI Gothic" w:eastAsia="MS UI Gothic"/>
          <w:w w:val="150"/>
        </w:rPr>
        <w:t>&lt;</w:t>
      </w:r>
      <w:r>
        <w:rPr>
          <w:rFonts w:hint="eastAsia" w:ascii="MS UI Gothic" w:hAnsi="MS UI Gothic" w:eastAsia="MS UI Gothic"/>
          <w:w w:val="75"/>
        </w:rPr>
        <w:t>３０００</w:t>
      </w:r>
      <w:r>
        <w:rPr>
          <w:rFonts w:hint="eastAsia" w:ascii="MS UI Gothic" w:hAnsi="MS UI Gothic" w:eastAsia="MS UI Gothic"/>
        </w:rPr>
        <w:t xml:space="preserve"> </w:t>
      </w:r>
      <w:r>
        <w:rPr>
          <w:w w:val="102"/>
        </w:rPr>
        <w:t>亿元</w:t>
      </w:r>
      <w:r>
        <w:rPr>
          <w:rFonts w:hint="eastAsia" w:ascii="MS UI Gothic" w:hAnsi="MS UI Gothic" w:eastAsia="MS UI Gothic"/>
          <w:w w:val="168"/>
        </w:rPr>
        <w:t>)</w:t>
      </w:r>
      <w:r>
        <w:rPr>
          <w:rFonts w:hint="eastAsia" w:ascii="MS UI Gothic" w:hAnsi="MS UI Gothic" w:eastAsia="MS UI Gothic"/>
        </w:rPr>
        <w:t xml:space="preserve">  </w:t>
      </w:r>
      <w:r>
        <w:rPr>
          <w:w w:val="102"/>
        </w:rPr>
        <w:t>进行</w:t>
      </w:r>
      <w:r>
        <w:t>考核</w:t>
      </w:r>
      <w:r>
        <w:rPr>
          <w:rFonts w:hint="eastAsia" w:ascii="MS UI Gothic" w:hAnsi="MS UI Gothic" w:eastAsia="MS UI Gothic"/>
          <w:w w:val="85"/>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１６８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38" o:spid="_x0000_s1538" o:spt="203" style="height:2.15pt;width:398.25pt;" coordsize="7965,43">
            <o:lock v:ext="edit"/>
            <v:line id="_x0000_s1539" o:spid="_x0000_s1539" o:spt="20" style="position:absolute;left:0;top:39;height:0;width:7965;" stroked="t" coordsize="21600,21600">
              <v:path arrowok="t"/>
              <v:fill focussize="0,0"/>
              <v:stroke weight="0.388031496062992pt" color="#231F20"/>
              <v:imagedata o:title=""/>
              <o:lock v:ext="edit"/>
            </v:line>
            <v:line id="_x0000_s1540" o:spid="_x0000_s1540"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icrosoft Yi Baiti"/>
        </w:rPr>
      </w:pPr>
    </w:p>
    <w:p>
      <w:pPr>
        <w:pStyle w:val="6"/>
        <w:spacing w:before="9"/>
        <w:ind w:left="0" w:firstLine="0"/>
        <w:jc w:val="left"/>
        <w:rPr>
          <w:rFonts w:ascii="Microsoft Yi Baiti"/>
        </w:rPr>
      </w:pPr>
    </w:p>
    <w:p>
      <w:pPr>
        <w:pStyle w:val="4"/>
        <w:spacing w:before="74"/>
        <w:ind w:right="630"/>
      </w:pPr>
      <w:r>
        <w:t>国务院国有资产监督管理委员会令</w:t>
      </w:r>
    </w:p>
    <w:p>
      <w:pPr>
        <w:pStyle w:val="6"/>
        <w:ind w:left="0" w:firstLine="0"/>
        <w:jc w:val="left"/>
        <w:rPr>
          <w:sz w:val="27"/>
        </w:rPr>
      </w:pPr>
    </w:p>
    <w:p>
      <w:pPr>
        <w:pStyle w:val="5"/>
        <w:ind w:right="628"/>
      </w:pPr>
      <w:r>
        <w:t xml:space="preserve">第 </w:t>
      </w:r>
      <w:r>
        <w:rPr>
          <w:rFonts w:hint="eastAsia" w:ascii="MS UI Gothic" w:eastAsia="MS UI Gothic"/>
        </w:rPr>
        <w:t xml:space="preserve">３１ </w:t>
      </w:r>
      <w:r>
        <w:t>号</w:t>
      </w:r>
    </w:p>
    <w:p>
      <w:pPr>
        <w:pStyle w:val="6"/>
        <w:spacing w:before="354" w:line="295" w:lineRule="auto"/>
        <w:ind w:right="442"/>
        <w:jc w:val="left"/>
        <w:rPr>
          <w:rFonts w:hint="eastAsia" w:ascii="MS UI Gothic" w:hAnsi="MS UI Gothic" w:eastAsia="MS UI Gothic"/>
        </w:rPr>
      </w:pPr>
      <w:r>
        <w:rPr>
          <w:rFonts w:hint="eastAsia" w:ascii="MS UI Gothic" w:hAnsi="MS UI Gothic" w:eastAsia="MS UI Gothic"/>
          <w:w w:val="95"/>
        </w:rPr>
        <w:t xml:space="preserve">« </w:t>
      </w:r>
      <w:r>
        <w:rPr>
          <w:w w:val="95"/>
        </w:rPr>
        <w:t>中央企业应急管理暂行办法</w:t>
      </w:r>
      <w:r>
        <w:rPr>
          <w:rFonts w:hint="eastAsia" w:ascii="MS UI Gothic" w:hAnsi="MS UI Gothic" w:eastAsia="MS UI Gothic"/>
          <w:w w:val="95"/>
        </w:rPr>
        <w:t xml:space="preserve">»   </w:t>
      </w:r>
      <w:r>
        <w:rPr>
          <w:w w:val="95"/>
        </w:rPr>
        <w:t xml:space="preserve">已由国务院国有资产监督管理委员会第 </w:t>
      </w:r>
      <w:r>
        <w:rPr>
          <w:rFonts w:hint="eastAsia" w:ascii="MS UI Gothic" w:hAnsi="MS UI Gothic" w:eastAsia="MS UI Gothic"/>
          <w:w w:val="95"/>
        </w:rPr>
        <w:t xml:space="preserve">１２８  </w:t>
      </w:r>
      <w:r>
        <w:rPr>
          <w:w w:val="95"/>
        </w:rPr>
        <w:t>次主任办公会议审议通过</w:t>
      </w:r>
      <w:r>
        <w:rPr>
          <w:rFonts w:hint="eastAsia" w:ascii="MS UI Gothic" w:hAnsi="MS UI Gothic" w:eastAsia="MS UI Gothic"/>
          <w:w w:val="90"/>
        </w:rPr>
        <w:t xml:space="preserve">ꎬ </w:t>
      </w:r>
      <w:r>
        <w:rPr>
          <w:w w:val="95"/>
        </w:rPr>
        <w:t>现予公布</w:t>
      </w:r>
      <w:r>
        <w:rPr>
          <w:rFonts w:hint="eastAsia" w:ascii="MS UI Gothic" w:hAnsi="MS UI Gothic" w:eastAsia="MS UI Gothic"/>
          <w:w w:val="90"/>
        </w:rPr>
        <w:t xml:space="preserve">ꎬ </w:t>
      </w:r>
      <w:r>
        <w:rPr>
          <w:w w:val="95"/>
        </w:rPr>
        <w:t>自印发之日起施行</w:t>
      </w:r>
      <w:r>
        <w:rPr>
          <w:rFonts w:hint="eastAsia" w:ascii="MS UI Gothic" w:hAnsi="MS UI Gothic" w:eastAsia="MS UI Gothic"/>
          <w:w w:val="90"/>
        </w:rPr>
        <w:t>ꎮ</w:t>
      </w:r>
    </w:p>
    <w:p>
      <w:pPr>
        <w:pStyle w:val="6"/>
        <w:tabs>
          <w:tab w:val="left" w:pos="7670"/>
        </w:tabs>
        <w:spacing w:before="313"/>
        <w:ind w:left="4107" w:firstLine="0"/>
        <w:jc w:val="left"/>
      </w:pPr>
      <w:r>
        <w:rPr>
          <w:spacing w:val="3"/>
          <w:w w:val="105"/>
        </w:rPr>
        <w:t>国务院国有资产监督管理委员会主</w:t>
      </w:r>
      <w:r>
        <w:rPr>
          <w:w w:val="105"/>
        </w:rPr>
        <w:t>任</w:t>
      </w:r>
      <w:r>
        <w:rPr>
          <w:w w:val="105"/>
        </w:rPr>
        <w:tab/>
      </w:r>
      <w:r>
        <w:rPr>
          <w:spacing w:val="3"/>
        </w:rPr>
        <w:t>王</w:t>
      </w:r>
      <w:r>
        <w:t>勇</w:t>
      </w:r>
    </w:p>
    <w:p>
      <w:pPr>
        <w:pStyle w:val="6"/>
        <w:spacing w:before="58"/>
        <w:ind w:left="0" w:right="442" w:firstLine="0"/>
        <w:jc w:val="right"/>
      </w:pPr>
      <w:r>
        <w:rPr>
          <w:spacing w:val="3"/>
        </w:rPr>
        <w:t>二</w:t>
      </w:r>
      <w:r>
        <w:rPr>
          <w:rFonts w:hint="eastAsia" w:ascii="MS UI Gothic" w:hAnsi="MS UI Gothic" w:eastAsia="MS UI Gothic"/>
          <w:spacing w:val="3"/>
        </w:rPr>
        <w:t>○</w:t>
      </w:r>
      <w:r>
        <w:rPr>
          <w:spacing w:val="2"/>
        </w:rPr>
        <w:t>一三年二月二十八日</w:t>
      </w:r>
    </w:p>
    <w:p>
      <w:pPr>
        <w:pStyle w:val="4"/>
        <w:ind w:right="654"/>
        <w:rPr>
          <w:rFonts w:hint="eastAsia" w:ascii="Microsoft Yi Baiti" w:eastAsia="Microsoft Yi Baiti"/>
        </w:rPr>
      </w:pPr>
      <w:r>
        <w:t xml:space="preserve">中央企业应急管理暂行办法 </w:t>
      </w:r>
      <w:r>
        <w:rPr>
          <w:rFonts w:hint="eastAsia" w:ascii="Microsoft Yi Baiti" w:eastAsia="Microsoft Yi Baiti"/>
        </w:rPr>
        <w:t>(</w:t>
      </w:r>
      <w:r>
        <w:rPr>
          <w:rFonts w:hint="eastAsia" w:ascii="MS UI Gothic" w:eastAsia="MS UI Gothic"/>
        </w:rPr>
        <w:t xml:space="preserve">２０１３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6" w:line="302" w:lineRule="auto"/>
        <w:ind w:right="38"/>
        <w:rPr>
          <w:rFonts w:hint="eastAsia" w:ascii="MS UI Gothic" w:hAnsi="MS UI Gothic" w:eastAsia="MS UI Gothic"/>
        </w:rPr>
      </w:pPr>
      <w:r>
        <w:rPr>
          <w:w w:val="95"/>
        </w:rPr>
        <w:t>第一条   为进一步加强和规范中央企业应急管理工作</w:t>
      </w:r>
      <w:r>
        <w:rPr>
          <w:rFonts w:hint="eastAsia" w:ascii="MS UI Gothic" w:hAnsi="MS UI Gothic" w:eastAsia="MS UI Gothic"/>
          <w:w w:val="85"/>
        </w:rPr>
        <w:t xml:space="preserve">ꎬ   </w:t>
      </w:r>
      <w:r>
        <w:rPr>
          <w:w w:val="95"/>
        </w:rPr>
        <w:t>提高中央企业防范和处置各类突发事件的能力</w:t>
      </w:r>
      <w:r>
        <w:rPr>
          <w:rFonts w:hint="eastAsia" w:ascii="MS UI Gothic" w:hAnsi="MS UI Gothic" w:eastAsia="MS UI Gothic"/>
          <w:w w:val="85"/>
        </w:rPr>
        <w:t xml:space="preserve">ꎬ   </w:t>
      </w:r>
      <w:r>
        <w:rPr>
          <w:w w:val="95"/>
        </w:rPr>
        <w:t>最大程度地预防和减少突发事件及其造成的损害和影响</w:t>
      </w:r>
      <w:r>
        <w:rPr>
          <w:rFonts w:hint="eastAsia" w:ascii="MS UI Gothic" w:hAnsi="MS UI Gothic" w:eastAsia="MS UI Gothic"/>
          <w:w w:val="85"/>
        </w:rPr>
        <w:t xml:space="preserve">ꎬ </w:t>
      </w:r>
      <w:r>
        <w:rPr>
          <w:w w:val="95"/>
        </w:rPr>
        <w:t>保障人民群众生命财产安全</w:t>
      </w:r>
      <w:r>
        <w:rPr>
          <w:rFonts w:hint="eastAsia" w:ascii="MS UI Gothic" w:hAnsi="MS UI Gothic" w:eastAsia="MS UI Gothic"/>
          <w:w w:val="85"/>
        </w:rPr>
        <w:t xml:space="preserve">ꎬ   </w:t>
      </w:r>
      <w:r>
        <w:rPr>
          <w:w w:val="95"/>
        </w:rPr>
        <w:t>维护国家安全和社会稳定</w:t>
      </w:r>
      <w:r>
        <w:rPr>
          <w:rFonts w:hint="eastAsia" w:ascii="MS UI Gothic" w:hAnsi="MS UI Gothic" w:eastAsia="MS UI Gothic"/>
          <w:w w:val="85"/>
        </w:rPr>
        <w:t xml:space="preserve">ꎬ </w:t>
      </w:r>
      <w:r>
        <w:rPr>
          <w:w w:val="95"/>
        </w:rPr>
        <w:t xml:space="preserve">根据 </w:t>
      </w:r>
      <w:r>
        <w:rPr>
          <w:rFonts w:hint="eastAsia" w:ascii="MS UI Gothic" w:hAnsi="MS UI Gothic" w:eastAsia="MS UI Gothic"/>
          <w:w w:val="95"/>
        </w:rPr>
        <w:t xml:space="preserve">« </w:t>
      </w:r>
      <w:r>
        <w:rPr>
          <w:w w:val="95"/>
        </w:rPr>
        <w:t>中华人民共和国突发事件应对法</w:t>
      </w:r>
      <w:r>
        <w:rPr>
          <w:rFonts w:hint="eastAsia" w:ascii="MS UI Gothic" w:hAnsi="MS UI Gothic" w:eastAsia="MS UI Gothic"/>
          <w:w w:val="95"/>
        </w:rPr>
        <w:t xml:space="preserve">»、   « </w:t>
      </w:r>
      <w:r>
        <w:rPr>
          <w:w w:val="95"/>
        </w:rPr>
        <w:t>中华人民共和国企业国有资产法</w:t>
      </w:r>
      <w:r>
        <w:rPr>
          <w:rFonts w:hint="eastAsia" w:ascii="MS UI Gothic" w:hAnsi="MS UI Gothic" w:eastAsia="MS UI Gothic"/>
          <w:w w:val="95"/>
        </w:rPr>
        <w:t xml:space="preserve">»、   « </w:t>
      </w:r>
      <w:r>
        <w:rPr>
          <w:w w:val="95"/>
        </w:rPr>
        <w:t>国家突发公共事件总体应急预案</w:t>
      </w:r>
      <w:r>
        <w:rPr>
          <w:rFonts w:hint="eastAsia" w:ascii="MS UI Gothic" w:hAnsi="MS UI Gothic" w:eastAsia="MS UI Gothic"/>
          <w:w w:val="95"/>
        </w:rPr>
        <w:t xml:space="preserve">»、   « </w:t>
      </w:r>
      <w:r>
        <w:rPr>
          <w:w w:val="95"/>
        </w:rPr>
        <w:t>国务院关于全面加强应急管理工作的意见</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 xml:space="preserve">国发 </w:t>
      </w:r>
      <w:r>
        <w:rPr>
          <w:rFonts w:hint="eastAsia" w:ascii="MS UI Gothic" w:hAnsi="MS UI Gothic" w:eastAsia="MS UI Gothic"/>
          <w:w w:val="95"/>
        </w:rPr>
        <w:t xml:space="preserve">〔２００６〕 ２４ </w:t>
      </w:r>
      <w:r>
        <w:rPr>
          <w:w w:val="95"/>
        </w:rPr>
        <w:t>号</w:t>
      </w:r>
      <w:r>
        <w:rPr>
          <w:rFonts w:hint="eastAsia" w:ascii="MS UI Gothic" w:hAnsi="MS UI Gothic" w:eastAsia="MS UI Gothic"/>
          <w:w w:val="140"/>
        </w:rPr>
        <w:t xml:space="preserve">) </w:t>
      </w:r>
      <w:r>
        <w:rPr>
          <w:w w:val="95"/>
        </w:rPr>
        <w:t>等有关法律法规</w:t>
      </w:r>
      <w:r>
        <w:rPr>
          <w:rFonts w:hint="eastAsia" w:ascii="MS UI Gothic" w:hAnsi="MS UI Gothic" w:eastAsia="MS UI Gothic"/>
          <w:w w:val="95"/>
        </w:rPr>
        <w:t xml:space="preserve">、  </w:t>
      </w:r>
      <w:r>
        <w:rPr>
          <w:w w:val="95"/>
        </w:rPr>
        <w:t>规定</w:t>
      </w:r>
      <w:r>
        <w:rPr>
          <w:rFonts w:hint="eastAsia" w:ascii="MS UI Gothic" w:hAnsi="MS UI Gothic" w:eastAsia="MS UI Gothic"/>
          <w:w w:val="85"/>
        </w:rPr>
        <w:t xml:space="preserve">ꎬ  </w:t>
      </w:r>
      <w:r>
        <w:rPr>
          <w:w w:val="95"/>
        </w:rPr>
        <w:t>制定本办法</w:t>
      </w:r>
      <w:r>
        <w:rPr>
          <w:rFonts w:hint="eastAsia" w:ascii="MS UI Gothic" w:hAnsi="MS UI Gothic" w:eastAsia="MS UI Gothic"/>
          <w:w w:val="85"/>
        </w:rPr>
        <w:t>ꎮ</w:t>
      </w:r>
    </w:p>
    <w:p>
      <w:pPr>
        <w:pStyle w:val="6"/>
        <w:spacing w:line="302" w:lineRule="auto"/>
        <w:ind w:right="39"/>
        <w:rPr>
          <w:rFonts w:hint="eastAsia" w:ascii="MS UI Gothic" w:eastAsia="MS UI Gothic"/>
        </w:rPr>
      </w:pPr>
      <w:r>
        <w:rPr>
          <w:spacing w:val="3"/>
        </w:rPr>
        <w:t>第二条 突发事件是指突然发生</w:t>
      </w:r>
      <w:r>
        <w:rPr>
          <w:rFonts w:hint="eastAsia" w:ascii="MS UI Gothic" w:eastAsia="MS UI Gothic"/>
          <w:spacing w:val="8"/>
          <w:w w:val="80"/>
        </w:rPr>
        <w:t xml:space="preserve">ꎬ </w:t>
      </w:r>
      <w:r>
        <w:t>造</w:t>
      </w:r>
      <w:r>
        <w:rPr>
          <w:spacing w:val="3"/>
        </w:rPr>
        <w:t>成或者可能造成严重社会危害</w:t>
      </w:r>
      <w:r>
        <w:rPr>
          <w:rFonts w:hint="eastAsia" w:ascii="MS UI Gothic" w:eastAsia="MS UI Gothic"/>
          <w:spacing w:val="21"/>
          <w:w w:val="80"/>
        </w:rPr>
        <w:t xml:space="preserve">ꎬ </w:t>
      </w:r>
      <w:r>
        <w:rPr>
          <w:spacing w:val="2"/>
        </w:rPr>
        <w:t>需要采取</w:t>
      </w:r>
      <w:r>
        <w:rPr>
          <w:spacing w:val="3"/>
        </w:rPr>
        <w:t>应急处置措施予以应对的自然灾害</w:t>
      </w:r>
      <w:r>
        <w:rPr>
          <w:rFonts w:hint="eastAsia" w:ascii="MS UI Gothic" w:eastAsia="MS UI Gothic"/>
          <w:spacing w:val="19"/>
          <w:w w:val="80"/>
        </w:rPr>
        <w:t xml:space="preserve">、 </w:t>
      </w:r>
      <w:r>
        <w:rPr>
          <w:spacing w:val="1"/>
        </w:rPr>
        <w:t>事故</w:t>
      </w:r>
      <w:r>
        <w:rPr>
          <w:spacing w:val="3"/>
        </w:rPr>
        <w:t>灾难</w:t>
      </w:r>
      <w:r>
        <w:rPr>
          <w:rFonts w:hint="eastAsia" w:ascii="MS UI Gothic" w:eastAsia="MS UI Gothic"/>
          <w:spacing w:val="7"/>
          <w:w w:val="80"/>
        </w:rPr>
        <w:t xml:space="preserve">、 </w:t>
      </w:r>
      <w:r>
        <w:rPr>
          <w:spacing w:val="3"/>
        </w:rPr>
        <w:t>公共卫生事件和社会安全事件</w:t>
      </w:r>
      <w:r>
        <w:rPr>
          <w:rFonts w:hint="eastAsia" w:ascii="MS UI Gothic" w:eastAsia="MS UI Gothic"/>
          <w:w w:val="80"/>
        </w:rPr>
        <w:t>ꎮ</w:t>
      </w:r>
    </w:p>
    <w:p>
      <w:pPr>
        <w:pStyle w:val="6"/>
        <w:spacing w:line="300" w:lineRule="auto"/>
        <w:ind w:right="39"/>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4"/>
          <w:w w:val="150"/>
        </w:rPr>
        <w:t xml:space="preserve">) </w:t>
      </w:r>
      <w:r>
        <w:rPr>
          <w:spacing w:val="24"/>
          <w:w w:val="105"/>
        </w:rPr>
        <w:t>自然灾害</w:t>
      </w:r>
      <w:r>
        <w:rPr>
          <w:rFonts w:hint="eastAsia" w:ascii="MS UI Gothic" w:eastAsia="MS UI Gothic"/>
          <w:spacing w:val="20"/>
          <w:w w:val="80"/>
        </w:rPr>
        <w:t xml:space="preserve">ꎮ </w:t>
      </w:r>
      <w:r>
        <w:rPr>
          <w:spacing w:val="24"/>
          <w:w w:val="105"/>
        </w:rPr>
        <w:t>主要包括水旱灾</w:t>
      </w:r>
      <w:r>
        <w:rPr>
          <w:spacing w:val="3"/>
          <w:w w:val="105"/>
        </w:rPr>
        <w:t>害</w:t>
      </w:r>
      <w:r>
        <w:rPr>
          <w:rFonts w:hint="eastAsia" w:ascii="MS UI Gothic" w:eastAsia="MS UI Gothic"/>
          <w:spacing w:val="19"/>
          <w:w w:val="80"/>
        </w:rPr>
        <w:t xml:space="preserve">、 </w:t>
      </w:r>
      <w:r>
        <w:rPr>
          <w:spacing w:val="3"/>
          <w:w w:val="105"/>
        </w:rPr>
        <w:t>气象灾害</w:t>
      </w:r>
      <w:r>
        <w:rPr>
          <w:rFonts w:hint="eastAsia" w:ascii="MS UI Gothic" w:eastAsia="MS UI Gothic"/>
          <w:spacing w:val="20"/>
          <w:w w:val="80"/>
        </w:rPr>
        <w:t xml:space="preserve">、 </w:t>
      </w:r>
      <w:r>
        <w:rPr>
          <w:spacing w:val="3"/>
          <w:w w:val="105"/>
        </w:rPr>
        <w:t>地震灾害</w:t>
      </w:r>
      <w:r>
        <w:rPr>
          <w:rFonts w:hint="eastAsia" w:ascii="MS UI Gothic" w:eastAsia="MS UI Gothic"/>
          <w:spacing w:val="19"/>
          <w:w w:val="80"/>
        </w:rPr>
        <w:t xml:space="preserve">、 </w:t>
      </w:r>
      <w:r>
        <w:rPr>
          <w:spacing w:val="3"/>
          <w:w w:val="105"/>
        </w:rPr>
        <w:t>地质灾害</w:t>
      </w:r>
      <w:r>
        <w:rPr>
          <w:rFonts w:hint="eastAsia" w:ascii="MS UI Gothic" w:eastAsia="MS UI Gothic"/>
          <w:spacing w:val="20"/>
          <w:w w:val="80"/>
        </w:rPr>
        <w:t xml:space="preserve">、 </w:t>
      </w:r>
      <w:r>
        <w:rPr>
          <w:w w:val="105"/>
        </w:rPr>
        <w:t>海</w:t>
      </w:r>
      <w:r>
        <w:rPr>
          <w:spacing w:val="3"/>
          <w:w w:val="105"/>
        </w:rPr>
        <w:t>洋灾害</w:t>
      </w:r>
      <w:r>
        <w:rPr>
          <w:rFonts w:hint="eastAsia" w:ascii="MS UI Gothic" w:eastAsia="MS UI Gothic"/>
          <w:spacing w:val="13"/>
          <w:w w:val="80"/>
        </w:rPr>
        <w:t xml:space="preserve">、 </w:t>
      </w:r>
      <w:r>
        <w:rPr>
          <w:spacing w:val="3"/>
          <w:w w:val="105"/>
        </w:rPr>
        <w:t>生物灾害和森林草原火灾等</w:t>
      </w:r>
      <w:r>
        <w:rPr>
          <w:rFonts w:hint="eastAsia" w:ascii="MS UI Gothic" w:eastAsia="MS UI Gothic"/>
          <w:w w:val="80"/>
        </w:rPr>
        <w:t>ꎮ</w:t>
      </w:r>
    </w:p>
    <w:p>
      <w:pPr>
        <w:pStyle w:val="6"/>
        <w:spacing w:line="302"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事故灾难</w:t>
      </w:r>
      <w:r>
        <w:rPr>
          <w:rFonts w:hint="eastAsia" w:ascii="MS UI Gothic" w:eastAsia="MS UI Gothic"/>
          <w:w w:val="80"/>
        </w:rPr>
        <w:t xml:space="preserve">ꎮ </w:t>
      </w:r>
      <w:r>
        <w:rPr>
          <w:w w:val="105"/>
        </w:rPr>
        <w:t>主要包括工矿商贸等企业的各类安全事故</w:t>
      </w:r>
      <w:r>
        <w:rPr>
          <w:rFonts w:hint="eastAsia" w:ascii="MS UI Gothic" w:eastAsia="MS UI Gothic"/>
          <w:w w:val="80"/>
        </w:rPr>
        <w:t xml:space="preserve">、 </w:t>
      </w:r>
      <w:r>
        <w:rPr>
          <w:w w:val="105"/>
        </w:rPr>
        <w:t>交通运输事故</w:t>
      </w:r>
      <w:r>
        <w:rPr>
          <w:rFonts w:hint="eastAsia" w:ascii="MS UI Gothic" w:eastAsia="MS UI Gothic"/>
          <w:w w:val="80"/>
        </w:rPr>
        <w:t>、</w:t>
      </w:r>
      <w:r>
        <w:rPr>
          <w:w w:val="105"/>
        </w:rPr>
        <w:t>公共设施和设备事故</w:t>
      </w:r>
      <w:r>
        <w:rPr>
          <w:rFonts w:hint="eastAsia" w:ascii="MS UI Gothic" w:eastAsia="MS UI Gothic"/>
          <w:w w:val="80"/>
        </w:rPr>
        <w:t xml:space="preserve">、 </w:t>
      </w:r>
      <w:r>
        <w:rPr>
          <w:w w:val="105"/>
        </w:rPr>
        <w:t>环境污染和生态破坏事件等</w:t>
      </w:r>
      <w:r>
        <w:rPr>
          <w:rFonts w:hint="eastAsia" w:ascii="MS UI Gothic" w:eastAsia="MS UI Gothic"/>
          <w:w w:val="80"/>
        </w:rPr>
        <w:t>ꎮ</w:t>
      </w:r>
    </w:p>
    <w:p>
      <w:pPr>
        <w:pStyle w:val="6"/>
        <w:spacing w:before="175" w:line="300" w:lineRule="auto"/>
        <w:ind w:right="442"/>
        <w:rPr>
          <w:rFonts w:hint="eastAsia" w:ascii="MS UI Gothic" w:eastAsia="MS UI Gothic"/>
        </w:rPr>
      </w:pPr>
      <w:r>
        <w:br w:type="column"/>
      </w: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公共卫生事件</w:t>
      </w:r>
      <w:r>
        <w:rPr>
          <w:rFonts w:hint="eastAsia" w:ascii="MS UI Gothic" w:eastAsia="MS UI Gothic"/>
          <w:w w:val="80"/>
        </w:rPr>
        <w:t xml:space="preserve">ꎮ </w:t>
      </w:r>
      <w:r>
        <w:rPr>
          <w:w w:val="105"/>
        </w:rPr>
        <w:t>主要包括传染病疫情</w:t>
      </w:r>
      <w:r>
        <w:rPr>
          <w:rFonts w:hint="eastAsia" w:ascii="MS UI Gothic" w:eastAsia="MS UI Gothic"/>
          <w:w w:val="80"/>
        </w:rPr>
        <w:t xml:space="preserve">、 </w:t>
      </w:r>
      <w:r>
        <w:rPr>
          <w:w w:val="105"/>
        </w:rPr>
        <w:t>群体性不明原因疾病</w:t>
      </w:r>
      <w:r>
        <w:rPr>
          <w:rFonts w:hint="eastAsia" w:ascii="MS UI Gothic" w:eastAsia="MS UI Gothic"/>
          <w:w w:val="80"/>
        </w:rPr>
        <w:t xml:space="preserve">、 </w:t>
      </w:r>
      <w:r>
        <w:rPr>
          <w:w w:val="105"/>
        </w:rPr>
        <w:t>食品安全和职业危害</w:t>
      </w:r>
      <w:r>
        <w:rPr>
          <w:rFonts w:hint="eastAsia" w:ascii="MS UI Gothic" w:eastAsia="MS UI Gothic"/>
          <w:w w:val="80"/>
        </w:rPr>
        <w:t xml:space="preserve">、 </w:t>
      </w:r>
      <w:r>
        <w:rPr>
          <w:w w:val="105"/>
        </w:rPr>
        <w:t>动物疫情</w:t>
      </w:r>
      <w:r>
        <w:rPr>
          <w:rFonts w:hint="eastAsia" w:ascii="MS UI Gothic" w:eastAsia="MS UI Gothic"/>
          <w:w w:val="80"/>
        </w:rPr>
        <w:t xml:space="preserve">ꎬ </w:t>
      </w:r>
      <w:r>
        <w:rPr>
          <w:w w:val="105"/>
        </w:rPr>
        <w:t>以及其他严重影响公众健康和生命安全的事件</w:t>
      </w:r>
      <w:r>
        <w:rPr>
          <w:rFonts w:hint="eastAsia" w:ascii="MS UI Gothic" w:eastAsia="MS UI Gothic"/>
          <w:w w:val="80"/>
        </w:rPr>
        <w:t>ꎮ</w:t>
      </w:r>
    </w:p>
    <w:p>
      <w:pPr>
        <w:pStyle w:val="6"/>
        <w:spacing w:before="3" w:line="302"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社会安全事件</w:t>
      </w:r>
      <w:r>
        <w:rPr>
          <w:rFonts w:hint="eastAsia" w:ascii="MS UI Gothic" w:eastAsia="MS UI Gothic"/>
          <w:w w:val="80"/>
        </w:rPr>
        <w:t xml:space="preserve">ꎮ </w:t>
      </w:r>
      <w:r>
        <w:rPr>
          <w:w w:val="105"/>
        </w:rPr>
        <w:t>主要包括恐怖袭击事件</w:t>
      </w:r>
      <w:r>
        <w:rPr>
          <w:rFonts w:hint="eastAsia" w:ascii="MS UI Gothic" w:eastAsia="MS UI Gothic"/>
          <w:w w:val="80"/>
        </w:rPr>
        <w:t xml:space="preserve">、 </w:t>
      </w:r>
      <w:r>
        <w:rPr>
          <w:w w:val="105"/>
        </w:rPr>
        <w:t>民族宗教事件</w:t>
      </w:r>
      <w:r>
        <w:rPr>
          <w:rFonts w:hint="eastAsia" w:ascii="MS UI Gothic" w:eastAsia="MS UI Gothic"/>
          <w:w w:val="80"/>
        </w:rPr>
        <w:t xml:space="preserve">、 </w:t>
      </w:r>
      <w:r>
        <w:rPr>
          <w:w w:val="105"/>
        </w:rPr>
        <w:t>经济安全事件</w:t>
      </w:r>
      <w:r>
        <w:rPr>
          <w:rFonts w:hint="eastAsia" w:ascii="MS UI Gothic" w:eastAsia="MS UI Gothic"/>
          <w:w w:val="80"/>
        </w:rPr>
        <w:t xml:space="preserve">、 </w:t>
      </w:r>
      <w:r>
        <w:rPr>
          <w:w w:val="105"/>
        </w:rPr>
        <w:t>涉外突发事件和群体性事件等</w:t>
      </w:r>
      <w:r>
        <w:rPr>
          <w:rFonts w:hint="eastAsia" w:ascii="MS UI Gothic" w:eastAsia="MS UI Gothic"/>
          <w:w w:val="80"/>
        </w:rPr>
        <w:t>ꎮ</w:t>
      </w:r>
    </w:p>
    <w:p>
      <w:pPr>
        <w:pStyle w:val="6"/>
        <w:spacing w:line="302" w:lineRule="auto"/>
        <w:ind w:right="442"/>
        <w:rPr>
          <w:rFonts w:hint="eastAsia" w:ascii="MS UI Gothic" w:eastAsia="MS UI Gothic"/>
        </w:rPr>
      </w:pPr>
      <w:r>
        <w:rPr>
          <w:w w:val="105"/>
        </w:rPr>
        <w:t>第三条 本办法所称中央企业</w:t>
      </w:r>
      <w:r>
        <w:rPr>
          <w:rFonts w:hint="eastAsia" w:ascii="MS UI Gothic" w:eastAsia="MS UI Gothic"/>
          <w:w w:val="80"/>
        </w:rPr>
        <w:t xml:space="preserve">ꎬ </w:t>
      </w:r>
      <w:r>
        <w:rPr>
          <w:w w:val="105"/>
        </w:rPr>
        <w:t xml:space="preserve">是指国务院国有资产监督管理委员会 </w:t>
      </w:r>
      <w:r>
        <w:rPr>
          <w:rFonts w:hint="eastAsia" w:ascii="MS UI Gothic" w:eastAsia="MS UI Gothic"/>
          <w:w w:val="150"/>
        </w:rPr>
        <w:t xml:space="preserve">( </w:t>
      </w:r>
      <w:r>
        <w:rPr>
          <w:w w:val="105"/>
        </w:rPr>
        <w:t>以下简称国资委</w:t>
      </w:r>
      <w:r>
        <w:rPr>
          <w:rFonts w:hint="eastAsia" w:ascii="MS UI Gothic" w:eastAsia="MS UI Gothic"/>
          <w:w w:val="150"/>
        </w:rPr>
        <w:t xml:space="preserve">) </w:t>
      </w:r>
      <w:r>
        <w:rPr>
          <w:w w:val="105"/>
        </w:rPr>
        <w:t>根据国务院授权履行出资人职责的国家出资企业</w:t>
      </w:r>
      <w:r>
        <w:rPr>
          <w:rFonts w:hint="eastAsia" w:ascii="MS UI Gothic" w:eastAsia="MS UI Gothic"/>
          <w:w w:val="80"/>
        </w:rPr>
        <w:t>ꎮ</w:t>
      </w:r>
    </w:p>
    <w:p>
      <w:pPr>
        <w:pStyle w:val="6"/>
        <w:spacing w:line="302" w:lineRule="auto"/>
        <w:ind w:right="442"/>
        <w:rPr>
          <w:rFonts w:hint="eastAsia" w:ascii="MS UI Gothic" w:eastAsia="MS UI Gothic"/>
        </w:rPr>
      </w:pPr>
      <w:r>
        <w:rPr>
          <w:w w:val="105"/>
        </w:rPr>
        <w:t>第四条 中央企业应急管理是指中央</w:t>
      </w:r>
      <w:r>
        <w:t>企业在政府有关部门的指导下对各类突发</w:t>
      </w:r>
      <w:r>
        <w:rPr>
          <w:w w:val="105"/>
        </w:rPr>
        <w:t>事件的预防与应急准备</w:t>
      </w:r>
      <w:r>
        <w:rPr>
          <w:rFonts w:hint="eastAsia" w:ascii="MS UI Gothic" w:eastAsia="MS UI Gothic"/>
          <w:w w:val="80"/>
        </w:rPr>
        <w:t xml:space="preserve">、 </w:t>
      </w:r>
      <w:r>
        <w:rPr>
          <w:w w:val="105"/>
        </w:rPr>
        <w:t>监测与预警</w:t>
      </w:r>
      <w:r>
        <w:rPr>
          <w:rFonts w:hint="eastAsia" w:ascii="MS UI Gothic" w:eastAsia="MS UI Gothic"/>
          <w:w w:val="80"/>
        </w:rPr>
        <w:t xml:space="preserve">、 </w:t>
      </w:r>
      <w:r>
        <w:rPr>
          <w:w w:val="105"/>
        </w:rPr>
        <w:t>应急处置与救援</w:t>
      </w:r>
      <w:r>
        <w:rPr>
          <w:rFonts w:hint="eastAsia" w:ascii="MS UI Gothic" w:eastAsia="MS UI Gothic"/>
          <w:w w:val="80"/>
        </w:rPr>
        <w:t xml:space="preserve">、 </w:t>
      </w:r>
      <w:r>
        <w:rPr>
          <w:w w:val="105"/>
        </w:rPr>
        <w:t>事后恢复与重建等活动的全过程管理</w:t>
      </w:r>
      <w:r>
        <w:rPr>
          <w:rFonts w:hint="eastAsia" w:ascii="MS UI Gothic" w:eastAsia="MS UI Gothic"/>
          <w:w w:val="80"/>
        </w:rPr>
        <w:t>ꎮ</w:t>
      </w:r>
    </w:p>
    <w:p>
      <w:pPr>
        <w:pStyle w:val="6"/>
        <w:spacing w:line="302" w:lineRule="auto"/>
        <w:ind w:right="442"/>
        <w:rPr>
          <w:rFonts w:hint="eastAsia" w:ascii="MS UI Gothic" w:eastAsia="MS UI Gothic"/>
        </w:rPr>
      </w:pPr>
      <w:r>
        <w:rPr>
          <w:w w:val="105"/>
        </w:rPr>
        <w:t>第五条 中央企业应急管理工作应依法接受政府有关部门的监督管理</w:t>
      </w:r>
      <w:r>
        <w:rPr>
          <w:rFonts w:hint="eastAsia" w:ascii="MS UI Gothic" w:eastAsia="MS UI Gothic"/>
          <w:w w:val="80"/>
        </w:rPr>
        <w:t>ꎮ</w:t>
      </w:r>
    </w:p>
    <w:p>
      <w:pPr>
        <w:pStyle w:val="6"/>
        <w:spacing w:line="302" w:lineRule="auto"/>
        <w:ind w:right="442"/>
        <w:rPr>
          <w:rFonts w:hint="eastAsia" w:ascii="MS UI Gothic" w:eastAsia="MS UI Gothic"/>
        </w:rPr>
      </w:pPr>
      <w:r>
        <w:rPr>
          <w:w w:val="105"/>
        </w:rPr>
        <w:t>第六条 国资委对中央企业的应急管</w:t>
      </w:r>
      <w:r>
        <w:rPr>
          <w:w w:val="110"/>
        </w:rPr>
        <w:t>理工作履行以下监管职责</w:t>
      </w:r>
      <w:r>
        <w:rPr>
          <w:rFonts w:hint="eastAsia" w:ascii="MS UI Gothic" w:eastAsia="MS UI Gothic"/>
          <w:w w:val="235"/>
        </w:rPr>
        <w:t>:</w:t>
      </w:r>
    </w:p>
    <w:p>
      <w:pPr>
        <w:pStyle w:val="6"/>
        <w:spacing w:line="300"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指导</w:t>
      </w:r>
      <w:r>
        <w:rPr>
          <w:rFonts w:hint="eastAsia" w:ascii="MS UI Gothic" w:eastAsia="MS UI Gothic"/>
          <w:w w:val="80"/>
        </w:rPr>
        <w:t xml:space="preserve">、 </w:t>
      </w:r>
      <w:r>
        <w:rPr>
          <w:w w:val="105"/>
        </w:rPr>
        <w:t>督促中央企业落实国家应急管理方针政策及有关法律法规</w:t>
      </w:r>
      <w:r>
        <w:rPr>
          <w:rFonts w:hint="eastAsia" w:ascii="MS UI Gothic" w:eastAsia="MS UI Gothic"/>
          <w:w w:val="80"/>
        </w:rPr>
        <w:t xml:space="preserve">、 </w:t>
      </w:r>
      <w:r>
        <w:rPr>
          <w:w w:val="105"/>
        </w:rPr>
        <w:t>规定和标准</w:t>
      </w:r>
      <w:r>
        <w:rPr>
          <w:rFonts w:hint="eastAsia" w:ascii="MS UI Gothic" w:eastAsia="MS UI Gothic"/>
          <w:w w:val="80"/>
        </w:rPr>
        <w:t>ꎮ</w:t>
      </w:r>
    </w:p>
    <w:p>
      <w:pPr>
        <w:pStyle w:val="6"/>
        <w:spacing w:line="302" w:lineRule="auto"/>
        <w:ind w:right="442"/>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指导</w:t>
      </w:r>
      <w:r>
        <w:rPr>
          <w:rFonts w:hint="eastAsia" w:ascii="MS UI Gothic" w:eastAsia="MS UI Gothic"/>
          <w:w w:val="80"/>
        </w:rPr>
        <w:t xml:space="preserve">、 </w:t>
      </w:r>
      <w:r>
        <w:rPr>
          <w:w w:val="105"/>
        </w:rPr>
        <w:t>督促中央企业建立完善</w:t>
      </w:r>
      <w:r>
        <w:t>各类突发事件应急预案</w:t>
      </w:r>
      <w:r>
        <w:rPr>
          <w:rFonts w:hint="eastAsia" w:ascii="MS UI Gothic" w:eastAsia="MS UI Gothic"/>
          <w:w w:val="80"/>
        </w:rPr>
        <w:t xml:space="preserve">ꎬ </w:t>
      </w:r>
      <w:r>
        <w:t>开展预案的培训</w:t>
      </w:r>
    </w:p>
    <w:p>
      <w:pPr>
        <w:spacing w:after="0" w:line="302"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１６９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41" o:spid="_x0000_s1541" o:spt="203" style="height:2.15pt;width:398.25pt;" coordsize="7965,43">
            <o:lock v:ext="edit"/>
            <v:line id="_x0000_s1542" o:spid="_x0000_s1542" o:spt="20" style="position:absolute;left:0;top:39;height:0;width:7965;" stroked="t" coordsize="21600,21600">
              <v:path arrowok="t"/>
              <v:fill focussize="0,0"/>
              <v:stroke weight="0.388031496062992pt" color="#231F20"/>
              <v:imagedata o:title=""/>
              <o:lock v:ext="edit"/>
            </v:line>
            <v:line id="_x0000_s1543" o:spid="_x0000_s154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和演练</w:t>
      </w:r>
      <w:r>
        <w:rPr>
          <w:rFonts w:hint="eastAsia" w:ascii="MS UI Gothic" w:eastAsia="MS UI Gothic"/>
          <w:w w:val="80"/>
        </w:rPr>
        <w:t>ꎮ</w:t>
      </w:r>
    </w:p>
    <w:p>
      <w:pPr>
        <w:pStyle w:val="6"/>
        <w:spacing w:before="58"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指导</w:t>
      </w:r>
      <w:r>
        <w:rPr>
          <w:rFonts w:hint="eastAsia" w:ascii="MS UI Gothic" w:eastAsia="MS UI Gothic"/>
          <w:w w:val="80"/>
        </w:rPr>
        <w:t xml:space="preserve">、 </w:t>
      </w:r>
      <w:r>
        <w:rPr>
          <w:w w:val="105"/>
        </w:rPr>
        <w:t>督促中央企业落实各项</w:t>
      </w:r>
      <w:r>
        <w:t>防范和处置突发事件的措施</w:t>
      </w:r>
      <w:r>
        <w:rPr>
          <w:rFonts w:hint="eastAsia" w:ascii="MS UI Gothic" w:eastAsia="MS UI Gothic"/>
          <w:w w:val="80"/>
        </w:rPr>
        <w:t xml:space="preserve">ꎬ </w:t>
      </w:r>
      <w:r>
        <w:t>及时有效应对企业各类突发事件</w:t>
      </w:r>
      <w:r>
        <w:rPr>
          <w:rFonts w:hint="eastAsia" w:ascii="MS UI Gothic" w:eastAsia="MS UI Gothic"/>
          <w:w w:val="80"/>
        </w:rPr>
        <w:t xml:space="preserve">ꎬ </w:t>
      </w:r>
      <w:r>
        <w:t>做好舆论引导</w:t>
      </w:r>
      <w:r>
        <w:rPr>
          <w:w w:val="105"/>
        </w:rPr>
        <w:t>工作</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参与国家有关部门或适当组织对中央企业应急管理的检查</w:t>
      </w:r>
      <w:r>
        <w:rPr>
          <w:rFonts w:hint="eastAsia" w:ascii="MS UI Gothic" w:eastAsia="MS UI Gothic"/>
          <w:w w:val="80"/>
        </w:rPr>
        <w:t xml:space="preserve">、 </w:t>
      </w:r>
      <w:r>
        <w:rPr>
          <w:w w:val="105"/>
        </w:rPr>
        <w:t>督查</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指导</w:t>
      </w:r>
      <w:r>
        <w:rPr>
          <w:rFonts w:hint="eastAsia" w:ascii="MS UI Gothic" w:eastAsia="MS UI Gothic"/>
          <w:w w:val="80"/>
        </w:rPr>
        <w:t xml:space="preserve">、 </w:t>
      </w:r>
      <w:r>
        <w:rPr>
          <w:w w:val="105"/>
        </w:rPr>
        <w:t>督促中央企业参与社会重大突发事件的应急处置与救援</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配合国家有关部门对中央企业</w:t>
      </w:r>
      <w:r>
        <w:t>在突发事件应对中的失职渎职责任进行</w:t>
      </w:r>
      <w:r>
        <w:rPr>
          <w:w w:val="105"/>
        </w:rPr>
        <w:t>追究</w:t>
      </w:r>
      <w:r>
        <w:rPr>
          <w:rFonts w:hint="eastAsia" w:ascii="MS UI Gothic" w:eastAsia="MS UI Gothic"/>
          <w:w w:val="80"/>
        </w:rPr>
        <w:t>ꎮ</w:t>
      </w:r>
    </w:p>
    <w:p>
      <w:pPr>
        <w:pStyle w:val="6"/>
        <w:tabs>
          <w:tab w:val="left" w:pos="1803"/>
        </w:tabs>
        <w:spacing w:before="149"/>
        <w:ind w:left="964" w:firstLine="0"/>
        <w:jc w:val="left"/>
      </w:pPr>
      <w:r>
        <w:rPr>
          <w:spacing w:val="3"/>
          <w:w w:val="105"/>
        </w:rPr>
        <w:t>第二</w:t>
      </w:r>
      <w:r>
        <w:rPr>
          <w:w w:val="105"/>
        </w:rPr>
        <w:t>章</w:t>
      </w:r>
      <w:r>
        <w:rPr>
          <w:w w:val="105"/>
        </w:rPr>
        <w:tab/>
      </w:r>
      <w:r>
        <w:rPr>
          <w:spacing w:val="3"/>
          <w:w w:val="105"/>
        </w:rPr>
        <w:t>工作责任和组织体</w:t>
      </w:r>
      <w:r>
        <w:rPr>
          <w:w w:val="105"/>
        </w:rPr>
        <w:t>系</w:t>
      </w:r>
    </w:p>
    <w:p>
      <w:pPr>
        <w:pStyle w:val="6"/>
        <w:spacing w:before="215" w:line="295" w:lineRule="auto"/>
        <w:ind w:left="440" w:right="1"/>
        <w:rPr>
          <w:rFonts w:hint="eastAsia" w:ascii="MS UI Gothic" w:eastAsia="MS UI Gothic"/>
        </w:rPr>
      </w:pPr>
      <w:r>
        <w:t>第七条 中央企业应当认真履行应急管理主体责任</w:t>
      </w:r>
      <w:r>
        <w:rPr>
          <w:rFonts w:hint="eastAsia" w:ascii="MS UI Gothic" w:eastAsia="MS UI Gothic"/>
          <w:w w:val="80"/>
        </w:rPr>
        <w:t xml:space="preserve">ꎬ </w:t>
      </w:r>
      <w:r>
        <w:t>贯彻落实国家应急管理方针政策及有关法律法规</w:t>
      </w:r>
      <w:r>
        <w:rPr>
          <w:rFonts w:hint="eastAsia" w:ascii="MS UI Gothic" w:eastAsia="MS UI Gothic"/>
          <w:w w:val="80"/>
        </w:rPr>
        <w:t xml:space="preserve">、 </w:t>
      </w:r>
      <w:r>
        <w:t>规定</w:t>
      </w:r>
      <w:r>
        <w:rPr>
          <w:rFonts w:hint="eastAsia" w:ascii="MS UI Gothic" w:eastAsia="MS UI Gothic"/>
          <w:w w:val="80"/>
        </w:rPr>
        <w:t xml:space="preserve">ꎬ </w:t>
      </w:r>
      <w:r>
        <w:t>建立和完善应急管理责任制</w:t>
      </w:r>
      <w:r>
        <w:rPr>
          <w:rFonts w:hint="eastAsia" w:ascii="MS UI Gothic" w:eastAsia="MS UI Gothic"/>
          <w:w w:val="80"/>
        </w:rPr>
        <w:t xml:space="preserve">ꎬ </w:t>
      </w:r>
      <w:r>
        <w:t>应急管理责任制应覆盖本企业全体职工和岗位</w:t>
      </w:r>
      <w:r>
        <w:rPr>
          <w:rFonts w:hint="eastAsia" w:ascii="MS UI Gothic" w:eastAsia="MS UI Gothic"/>
          <w:w w:val="80"/>
        </w:rPr>
        <w:t xml:space="preserve">、 </w:t>
      </w:r>
      <w:r>
        <w:t>全部生产经营和管理过程</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第八条 中央企业应当全面履行以下</w:t>
      </w:r>
      <w:r>
        <w:rPr>
          <w:w w:val="110"/>
        </w:rPr>
        <w:t>应急管理职责</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建立健全应急管理体系</w:t>
      </w:r>
      <w:r>
        <w:rPr>
          <w:rFonts w:hint="eastAsia" w:ascii="MS UI Gothic" w:eastAsia="MS UI Gothic"/>
          <w:w w:val="80"/>
        </w:rPr>
        <w:t xml:space="preserve">ꎬ </w:t>
      </w:r>
      <w:r>
        <w:rPr>
          <w:w w:val="105"/>
        </w:rPr>
        <w:t>完善应急管理组织机构</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编制完善各类突发事件的应急</w:t>
      </w:r>
      <w:r>
        <w:t>预案</w:t>
      </w:r>
      <w:r>
        <w:rPr>
          <w:rFonts w:hint="eastAsia" w:ascii="MS UI Gothic" w:eastAsia="MS UI Gothic"/>
          <w:w w:val="80"/>
        </w:rPr>
        <w:t xml:space="preserve">ꎬ </w:t>
      </w:r>
      <w:r>
        <w:t>组织开展应急预案的培训和演练</w:t>
      </w:r>
      <w:r>
        <w:rPr>
          <w:rFonts w:hint="eastAsia" w:ascii="MS UI Gothic" w:eastAsia="MS UI Gothic"/>
          <w:w w:val="80"/>
        </w:rPr>
        <w:t>ꎬ</w:t>
      </w:r>
      <w:r>
        <w:rPr>
          <w:w w:val="105"/>
        </w:rPr>
        <w:t>并持续改进</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督促所属企业主动与所在地人</w:t>
      </w:r>
      <w:r>
        <w:t>民政府应急管理体系对接</w:t>
      </w:r>
      <w:r>
        <w:rPr>
          <w:rFonts w:hint="eastAsia" w:ascii="MS UI Gothic" w:eastAsia="MS UI Gothic"/>
          <w:w w:val="80"/>
        </w:rPr>
        <w:t xml:space="preserve">ꎬ </w:t>
      </w:r>
      <w:r>
        <w:t>建立应急联动</w:t>
      </w:r>
      <w:r>
        <w:rPr>
          <w:w w:val="105"/>
        </w:rPr>
        <w:t>机制</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42"/>
          <w:w w:val="150"/>
        </w:rPr>
        <w:t xml:space="preserve">( </w:t>
      </w:r>
      <w:r>
        <w:rPr>
          <w:spacing w:val="3"/>
          <w:w w:val="115"/>
        </w:rPr>
        <w:t>四</w:t>
      </w:r>
      <w:r>
        <w:rPr>
          <w:rFonts w:hint="eastAsia" w:ascii="MS UI Gothic" w:eastAsia="MS UI Gothic"/>
          <w:spacing w:val="-20"/>
          <w:w w:val="150"/>
        </w:rPr>
        <w:t xml:space="preserve">) </w:t>
      </w:r>
      <w:r>
        <w:rPr>
          <w:spacing w:val="-10"/>
          <w:w w:val="115"/>
        </w:rPr>
        <w:t xml:space="preserve">加强企业专 </w:t>
      </w:r>
      <w:r>
        <w:rPr>
          <w:rFonts w:hint="eastAsia" w:ascii="MS UI Gothic" w:eastAsia="MS UI Gothic"/>
          <w:spacing w:val="-42"/>
          <w:w w:val="150"/>
        </w:rPr>
        <w:t xml:space="preserve">( </w:t>
      </w:r>
      <w:r>
        <w:rPr>
          <w:spacing w:val="3"/>
          <w:w w:val="115"/>
        </w:rPr>
        <w:t>兼</w:t>
      </w:r>
      <w:r>
        <w:rPr>
          <w:rFonts w:hint="eastAsia" w:ascii="MS UI Gothic" w:eastAsia="MS UI Gothic"/>
          <w:spacing w:val="-19"/>
          <w:w w:val="150"/>
        </w:rPr>
        <w:t xml:space="preserve">) </w:t>
      </w:r>
      <w:r>
        <w:rPr>
          <w:spacing w:val="7"/>
          <w:w w:val="115"/>
        </w:rPr>
        <w:t>职救援队伍</w:t>
      </w:r>
      <w:r>
        <w:rPr>
          <w:spacing w:val="3"/>
          <w:w w:val="115"/>
        </w:rPr>
        <w:t>和应急平台建设</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做好突发事件的报告</w:t>
      </w:r>
      <w:r>
        <w:rPr>
          <w:rFonts w:hint="eastAsia" w:ascii="MS UI Gothic" w:eastAsia="MS UI Gothic"/>
          <w:w w:val="80"/>
        </w:rPr>
        <w:t xml:space="preserve">、 </w:t>
      </w:r>
      <w:r>
        <w:rPr>
          <w:w w:val="105"/>
        </w:rPr>
        <w:t>处置和善后工作</w:t>
      </w:r>
      <w:r>
        <w:rPr>
          <w:rFonts w:hint="eastAsia" w:ascii="MS UI Gothic" w:eastAsia="MS UI Gothic"/>
          <w:w w:val="80"/>
        </w:rPr>
        <w:t xml:space="preserve">ꎬ </w:t>
      </w:r>
      <w:r>
        <w:rPr>
          <w:w w:val="105"/>
        </w:rPr>
        <w:t>做好突发事件的舆情监测</w:t>
      </w:r>
      <w:r>
        <w:rPr>
          <w:rFonts w:hint="eastAsia" w:ascii="MS UI Gothic" w:eastAsia="MS UI Gothic"/>
          <w:w w:val="80"/>
        </w:rPr>
        <w:t xml:space="preserve">、 </w:t>
      </w:r>
      <w:r>
        <w:rPr>
          <w:w w:val="105"/>
        </w:rPr>
        <w:t>信息披露</w:t>
      </w:r>
      <w:r>
        <w:rPr>
          <w:rFonts w:hint="eastAsia" w:ascii="MS UI Gothic" w:eastAsia="MS UI Gothic"/>
          <w:w w:val="80"/>
        </w:rPr>
        <w:t xml:space="preserve">、 </w:t>
      </w:r>
      <w:r>
        <w:rPr>
          <w:w w:val="105"/>
        </w:rPr>
        <w:t>新闻危机处置</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积极参与社会突发事件的应急</w:t>
      </w:r>
      <w:r>
        <w:rPr>
          <w:w w:val="110"/>
        </w:rPr>
        <w:t>处置与救援</w:t>
      </w:r>
      <w:r>
        <w:rPr>
          <w:rFonts w:hint="eastAsia" w:ascii="MS UI Gothic" w:eastAsia="MS UI Gothic"/>
          <w:w w:val="80"/>
        </w:rPr>
        <w:t>ꎮ</w:t>
      </w:r>
    </w:p>
    <w:p>
      <w:pPr>
        <w:pStyle w:val="6"/>
        <w:spacing w:line="295" w:lineRule="auto"/>
        <w:ind w:left="440" w:right="1"/>
      </w:pPr>
      <w:r>
        <w:rPr>
          <w:w w:val="105"/>
        </w:rPr>
        <w:t>第九条 中央企业主要负责人是本企</w:t>
      </w:r>
      <w:r>
        <w:t>业应急管理的第一责任人</w:t>
      </w:r>
      <w:r>
        <w:rPr>
          <w:rFonts w:hint="eastAsia" w:ascii="MS UI Gothic" w:eastAsia="MS UI Gothic"/>
          <w:w w:val="80"/>
        </w:rPr>
        <w:t xml:space="preserve">ꎬ </w:t>
      </w:r>
      <w:r>
        <w:t>对本企业应急</w:t>
      </w:r>
    </w:p>
    <w:p>
      <w:pPr>
        <w:pStyle w:val="6"/>
        <w:spacing w:before="124" w:line="295" w:lineRule="auto"/>
        <w:ind w:left="381" w:right="124" w:firstLine="0"/>
        <w:rPr>
          <w:rFonts w:hint="eastAsia" w:ascii="MS UI Gothic" w:eastAsia="MS UI Gothic"/>
        </w:rPr>
      </w:pPr>
      <w:r>
        <w:br w:type="column"/>
      </w:r>
      <w:r>
        <w:t>管理工作负总责</w:t>
      </w:r>
      <w:r>
        <w:rPr>
          <w:rFonts w:hint="eastAsia" w:ascii="MS UI Gothic" w:eastAsia="MS UI Gothic"/>
          <w:w w:val="80"/>
        </w:rPr>
        <w:t xml:space="preserve">ꎮ </w:t>
      </w:r>
      <w:r>
        <w:t>中央企业各类突发事件应急管理的分管负责人</w:t>
      </w:r>
      <w:r>
        <w:rPr>
          <w:rFonts w:hint="eastAsia" w:ascii="MS UI Gothic" w:eastAsia="MS UI Gothic"/>
          <w:w w:val="80"/>
        </w:rPr>
        <w:t xml:space="preserve">ꎬ </w:t>
      </w:r>
      <w:r>
        <w:t>协助主要负责人落实应急管理方针政策及有关法律法规</w:t>
      </w:r>
      <w:r>
        <w:rPr>
          <w:rFonts w:hint="eastAsia" w:ascii="MS UI Gothic" w:eastAsia="MS UI Gothic"/>
          <w:w w:val="80"/>
        </w:rPr>
        <w:t>、</w:t>
      </w:r>
      <w:r>
        <w:t>规定和标准</w:t>
      </w:r>
      <w:r>
        <w:rPr>
          <w:rFonts w:hint="eastAsia" w:ascii="MS UI Gothic" w:eastAsia="MS UI Gothic"/>
          <w:w w:val="80"/>
        </w:rPr>
        <w:t xml:space="preserve">ꎬ </w:t>
      </w:r>
      <w:r>
        <w:t>统筹协调和管理企业相应突发事件的应急管理工作</w:t>
      </w:r>
      <w:r>
        <w:rPr>
          <w:rFonts w:hint="eastAsia" w:ascii="MS UI Gothic" w:eastAsia="MS UI Gothic"/>
          <w:w w:val="80"/>
        </w:rPr>
        <w:t xml:space="preserve">ꎬ </w:t>
      </w:r>
      <w:r>
        <w:t>对企业应急管理工作负重要领导责任</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第十条 中央企业应当对其独资</w:t>
      </w:r>
      <w:r>
        <w:rPr>
          <w:rFonts w:hint="eastAsia" w:ascii="MS UI Gothic" w:eastAsia="MS UI Gothic"/>
        </w:rPr>
        <w:t xml:space="preserve">、 </w:t>
      </w:r>
      <w:r>
        <w:rPr>
          <w:w w:val="105"/>
        </w:rPr>
        <w:t>控</w:t>
      </w:r>
      <w:r>
        <w:t>股及参股企业的应急管理认真履行以下监</w:t>
      </w:r>
      <w:r>
        <w:rPr>
          <w:w w:val="110"/>
        </w:rPr>
        <w:t>督管理责任</w:t>
      </w:r>
      <w:r>
        <w:rPr>
          <w:rFonts w:hint="eastAsia" w:ascii="MS UI Gothic" w:eastAsia="MS UI Gothic"/>
          <w:w w:val="235"/>
        </w:rPr>
        <w:t>:</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监督管理独资及控股子企业应</w:t>
      </w:r>
      <w:r>
        <w:t>急管理组织机构设置情况</w:t>
      </w:r>
      <w:r>
        <w:rPr>
          <w:rFonts w:hint="eastAsia" w:ascii="MS UI Gothic" w:eastAsia="MS UI Gothic"/>
          <w:w w:val="80"/>
        </w:rPr>
        <w:t xml:space="preserve">ꎻ </w:t>
      </w:r>
      <w:r>
        <w:t>应急管理制度</w:t>
      </w:r>
      <w:r>
        <w:rPr>
          <w:w w:val="105"/>
        </w:rPr>
        <w:t>建立情况</w:t>
      </w:r>
      <w:r>
        <w:rPr>
          <w:rFonts w:hint="eastAsia" w:ascii="MS UI Gothic" w:eastAsia="MS UI Gothic"/>
          <w:w w:val="80"/>
        </w:rPr>
        <w:t xml:space="preserve">ꎻ </w:t>
      </w:r>
      <w:r>
        <w:rPr>
          <w:w w:val="105"/>
        </w:rPr>
        <w:t>应急预案编制</w:t>
      </w:r>
      <w:r>
        <w:rPr>
          <w:rFonts w:hint="eastAsia" w:ascii="MS UI Gothic" w:eastAsia="MS UI Gothic"/>
          <w:w w:val="80"/>
        </w:rPr>
        <w:t xml:space="preserve">、 </w:t>
      </w:r>
      <w:r>
        <w:rPr>
          <w:w w:val="105"/>
        </w:rPr>
        <w:t>评估</w:t>
      </w:r>
      <w:r>
        <w:rPr>
          <w:rFonts w:hint="eastAsia" w:ascii="MS UI Gothic" w:eastAsia="MS UI Gothic"/>
          <w:w w:val="80"/>
        </w:rPr>
        <w:t xml:space="preserve">、 </w:t>
      </w:r>
      <w:r>
        <w:rPr>
          <w:w w:val="105"/>
        </w:rPr>
        <w:t>备案</w:t>
      </w:r>
      <w:r>
        <w:rPr>
          <w:rFonts w:hint="eastAsia" w:ascii="MS UI Gothic" w:eastAsia="MS UI Gothic"/>
          <w:w w:val="80"/>
        </w:rPr>
        <w:t>、</w:t>
      </w:r>
      <w:r>
        <w:rPr>
          <w:w w:val="105"/>
        </w:rPr>
        <w:t>培训</w:t>
      </w:r>
      <w:r>
        <w:rPr>
          <w:rFonts w:hint="eastAsia" w:ascii="MS UI Gothic" w:eastAsia="MS UI Gothic"/>
          <w:w w:val="80"/>
        </w:rPr>
        <w:t xml:space="preserve">、 </w:t>
      </w:r>
      <w:r>
        <w:rPr>
          <w:w w:val="105"/>
        </w:rPr>
        <w:t>演练情况</w:t>
      </w:r>
      <w:r>
        <w:rPr>
          <w:rFonts w:hint="eastAsia" w:ascii="MS UI Gothic" w:eastAsia="MS UI Gothic"/>
          <w:w w:val="80"/>
        </w:rPr>
        <w:t xml:space="preserve">ꎻ </w:t>
      </w:r>
      <w:r>
        <w:rPr>
          <w:w w:val="105"/>
        </w:rPr>
        <w:t>应急管理投入</w:t>
      </w:r>
      <w:r>
        <w:rPr>
          <w:rFonts w:hint="eastAsia" w:ascii="MS UI Gothic" w:eastAsia="MS UI Gothic"/>
          <w:w w:val="80"/>
        </w:rPr>
        <w:t xml:space="preserve">、 </w:t>
      </w:r>
      <w:r>
        <w:rPr>
          <w:w w:val="105"/>
        </w:rPr>
        <w:t>专</w:t>
      </w:r>
      <w:r>
        <w:rPr>
          <w:rFonts w:hint="eastAsia" w:ascii="MS UI Gothic" w:eastAsia="MS UI Gothic"/>
          <w:w w:val="150"/>
        </w:rPr>
        <w:t xml:space="preserve">( </w:t>
      </w:r>
      <w:r>
        <w:rPr>
          <w:w w:val="105"/>
        </w:rPr>
        <w:t>兼</w:t>
      </w:r>
      <w:r>
        <w:rPr>
          <w:rFonts w:hint="eastAsia" w:ascii="MS UI Gothic" w:eastAsia="MS UI Gothic"/>
          <w:w w:val="150"/>
        </w:rPr>
        <w:t xml:space="preserve">) </w:t>
      </w:r>
      <w:r>
        <w:rPr>
          <w:w w:val="105"/>
        </w:rPr>
        <w:t>职救援队伍和应急平台建设情况</w:t>
      </w:r>
      <w:r>
        <w:rPr>
          <w:rFonts w:hint="eastAsia" w:ascii="MS UI Gothic" w:eastAsia="MS UI Gothic"/>
          <w:w w:val="80"/>
        </w:rPr>
        <w:t>ꎻ</w:t>
      </w:r>
      <w:r>
        <w:rPr>
          <w:w w:val="105"/>
        </w:rPr>
        <w:t>及时报告</w:t>
      </w:r>
      <w:r>
        <w:rPr>
          <w:rFonts w:hint="eastAsia" w:ascii="MS UI Gothic" w:eastAsia="MS UI Gothic"/>
          <w:w w:val="80"/>
        </w:rPr>
        <w:t xml:space="preserve">、 </w:t>
      </w:r>
      <w:r>
        <w:rPr>
          <w:w w:val="105"/>
        </w:rPr>
        <w:t>处置突发事件等情况</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将独资及控股子企业纳入中央</w:t>
      </w:r>
      <w:r>
        <w:t>企业应急管理体系</w:t>
      </w:r>
      <w:r>
        <w:rPr>
          <w:rFonts w:hint="eastAsia" w:ascii="MS UI Gothic" w:eastAsia="MS UI Gothic"/>
          <w:w w:val="80"/>
        </w:rPr>
        <w:t xml:space="preserve">ꎬ </w:t>
      </w:r>
      <w:r>
        <w:t>严格应急管理的检</w:t>
      </w:r>
      <w:r>
        <w:rPr>
          <w:w w:val="105"/>
        </w:rPr>
        <w:t>查</w:t>
      </w:r>
      <w:r>
        <w:rPr>
          <w:rFonts w:hint="eastAsia" w:ascii="MS UI Gothic" w:eastAsia="MS UI Gothic"/>
          <w:w w:val="80"/>
        </w:rPr>
        <w:t xml:space="preserve">、 </w:t>
      </w:r>
      <w:r>
        <w:rPr>
          <w:w w:val="105"/>
        </w:rPr>
        <w:t>考核</w:t>
      </w:r>
      <w:r>
        <w:rPr>
          <w:rFonts w:hint="eastAsia" w:ascii="MS UI Gothic" w:eastAsia="MS UI Gothic"/>
          <w:w w:val="80"/>
        </w:rPr>
        <w:t xml:space="preserve">、 </w:t>
      </w:r>
      <w:r>
        <w:rPr>
          <w:w w:val="105"/>
        </w:rPr>
        <w:t>奖惩和责任追究</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对参股等其他类子企业</w:t>
      </w:r>
      <w:r>
        <w:rPr>
          <w:rFonts w:hint="eastAsia" w:ascii="MS UI Gothic" w:eastAsia="MS UI Gothic"/>
          <w:w w:val="80"/>
        </w:rPr>
        <w:t xml:space="preserve">ꎬ </w:t>
      </w:r>
      <w:r>
        <w:rPr>
          <w:w w:val="105"/>
        </w:rPr>
        <w:t>中央</w:t>
      </w:r>
      <w:r>
        <w:t>企业应按照相关法律法规的要求</w:t>
      </w:r>
      <w:r>
        <w:rPr>
          <w:rFonts w:hint="eastAsia" w:ascii="MS UI Gothic" w:eastAsia="MS UI Gothic"/>
          <w:w w:val="80"/>
        </w:rPr>
        <w:t xml:space="preserve">ꎬ </w:t>
      </w:r>
      <w:r>
        <w:t>通过经</w:t>
      </w:r>
      <w:r>
        <w:rPr>
          <w:w w:val="105"/>
        </w:rPr>
        <w:t>营合同</w:t>
      </w:r>
      <w:r>
        <w:rPr>
          <w:rFonts w:hint="eastAsia" w:ascii="MS UI Gothic" w:eastAsia="MS UI Gothic"/>
          <w:w w:val="80"/>
        </w:rPr>
        <w:t xml:space="preserve">、 </w:t>
      </w:r>
      <w:r>
        <w:rPr>
          <w:w w:val="105"/>
        </w:rPr>
        <w:t>公司章程</w:t>
      </w:r>
      <w:r>
        <w:rPr>
          <w:rFonts w:hint="eastAsia" w:ascii="MS UI Gothic" w:eastAsia="MS UI Gothic"/>
          <w:w w:val="80"/>
        </w:rPr>
        <w:t xml:space="preserve">、 </w:t>
      </w:r>
      <w:r>
        <w:rPr>
          <w:w w:val="105"/>
        </w:rPr>
        <w:t>协议书等明确各股权方的应急管理责任</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第十一条 中央企业应当建立健全应</w:t>
      </w:r>
      <w:r>
        <w:t>急管理组织体系</w:t>
      </w:r>
      <w:r>
        <w:rPr>
          <w:rFonts w:hint="eastAsia" w:ascii="MS UI Gothic" w:eastAsia="MS UI Gothic"/>
          <w:w w:val="80"/>
        </w:rPr>
        <w:t xml:space="preserve">ꎬ </w:t>
      </w:r>
      <w:r>
        <w:t>明确本企业应急管理的综合协调部门和各类突发事件分管部门的</w:t>
      </w:r>
      <w:r>
        <w:rPr>
          <w:w w:val="105"/>
        </w:rPr>
        <w:t>职责</w:t>
      </w:r>
      <w:r>
        <w:rPr>
          <w:rFonts w:hint="eastAsia" w:ascii="MS UI Gothic" w:eastAsia="MS UI Gothic"/>
          <w:w w:val="80"/>
        </w:rPr>
        <w:t>ꎮ</w:t>
      </w:r>
    </w:p>
    <w:p>
      <w:pPr>
        <w:pStyle w:val="6"/>
        <w:spacing w:line="253" w:lineRule="exact"/>
        <w:ind w:left="80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应急管理机构和人员</w:t>
      </w:r>
      <w:r>
        <w:rPr>
          <w:rFonts w:hint="eastAsia" w:ascii="MS UI Gothic" w:eastAsia="MS UI Gothic"/>
          <w:w w:val="80"/>
        </w:rPr>
        <w:t>ꎮ</w:t>
      </w:r>
    </w:p>
    <w:p>
      <w:pPr>
        <w:pStyle w:val="6"/>
        <w:spacing w:before="41" w:line="295" w:lineRule="auto"/>
        <w:ind w:left="381" w:right="126"/>
        <w:rPr>
          <w:rFonts w:hint="eastAsia" w:ascii="MS UI Gothic" w:eastAsia="MS UI Gothic"/>
        </w:rPr>
      </w:pPr>
      <w:r>
        <w:t>中央企业应当按照有关规定</w:t>
      </w:r>
      <w:r>
        <w:rPr>
          <w:rFonts w:hint="eastAsia" w:ascii="MS UI Gothic" w:eastAsia="MS UI Gothic"/>
          <w:w w:val="80"/>
        </w:rPr>
        <w:t xml:space="preserve">ꎬ </w:t>
      </w:r>
      <w:r>
        <w:t>成立应急领导机构</w:t>
      </w:r>
      <w:r>
        <w:rPr>
          <w:rFonts w:hint="eastAsia" w:ascii="MS UI Gothic" w:eastAsia="MS UI Gothic"/>
          <w:w w:val="80"/>
        </w:rPr>
        <w:t xml:space="preserve">ꎬ </w:t>
      </w:r>
      <w:r>
        <w:t>设置或明确应急管理综合协调部门和专项突发事件应急管理分管部</w:t>
      </w:r>
      <w:r>
        <w:rPr>
          <w:w w:val="105"/>
        </w:rPr>
        <w:t>门</w:t>
      </w:r>
      <w:r>
        <w:rPr>
          <w:rFonts w:hint="eastAsia" w:ascii="MS UI Gothic" w:eastAsia="MS UI Gothic"/>
          <w:w w:val="80"/>
        </w:rPr>
        <w:t xml:space="preserve">ꎬ </w:t>
      </w:r>
      <w:r>
        <w:rPr>
          <w:w w:val="105"/>
        </w:rPr>
        <w:t xml:space="preserve">配置专 </w:t>
      </w:r>
      <w:r>
        <w:rPr>
          <w:rFonts w:hint="eastAsia" w:ascii="MS UI Gothic" w:eastAsia="MS UI Gothic"/>
          <w:w w:val="150"/>
        </w:rPr>
        <w:t xml:space="preserve">( </w:t>
      </w:r>
      <w:r>
        <w:rPr>
          <w:w w:val="105"/>
        </w:rPr>
        <w:t>兼</w:t>
      </w:r>
      <w:r>
        <w:rPr>
          <w:rFonts w:hint="eastAsia" w:ascii="MS UI Gothic" w:eastAsia="MS UI Gothic"/>
          <w:w w:val="150"/>
        </w:rPr>
        <w:t xml:space="preserve">) </w:t>
      </w:r>
      <w:r>
        <w:rPr>
          <w:w w:val="105"/>
        </w:rPr>
        <w:t>职应急管理人员</w:t>
      </w:r>
      <w:r>
        <w:rPr>
          <w:rFonts w:hint="eastAsia" w:ascii="MS UI Gothic" w:eastAsia="MS UI Gothic"/>
          <w:w w:val="80"/>
        </w:rPr>
        <w:t xml:space="preserve">ꎬ </w:t>
      </w:r>
      <w:r>
        <w:rPr>
          <w:w w:val="105"/>
        </w:rPr>
        <w:t>其</w:t>
      </w:r>
      <w:r>
        <w:t>任职资格和配备数量</w:t>
      </w:r>
      <w:r>
        <w:rPr>
          <w:rFonts w:hint="eastAsia" w:ascii="MS UI Gothic" w:eastAsia="MS UI Gothic"/>
          <w:w w:val="80"/>
        </w:rPr>
        <w:t xml:space="preserve">ꎬ </w:t>
      </w:r>
      <w:r>
        <w:t>应符合国家和行业的有关规定</w:t>
      </w:r>
      <w:r>
        <w:rPr>
          <w:rFonts w:hint="eastAsia" w:ascii="MS UI Gothic" w:eastAsia="MS UI Gothic"/>
          <w:w w:val="80"/>
        </w:rPr>
        <w:t xml:space="preserve">ꎻ </w:t>
      </w:r>
      <w:r>
        <w:t>国家和行业没有明确规定的</w:t>
      </w:r>
      <w:r>
        <w:rPr>
          <w:rFonts w:hint="eastAsia" w:ascii="MS UI Gothic" w:eastAsia="MS UI Gothic"/>
          <w:w w:val="80"/>
        </w:rPr>
        <w:t xml:space="preserve">ꎬ </w:t>
      </w:r>
      <w:r>
        <w:t>应根据本企业的生产经营内容和性</w:t>
      </w:r>
      <w:r>
        <w:rPr>
          <w:w w:val="105"/>
        </w:rPr>
        <w:t>质</w:t>
      </w:r>
      <w:r>
        <w:rPr>
          <w:rFonts w:hint="eastAsia" w:ascii="MS UI Gothic" w:eastAsia="MS UI Gothic"/>
          <w:w w:val="80"/>
        </w:rPr>
        <w:t xml:space="preserve">、 </w:t>
      </w:r>
      <w:r>
        <w:rPr>
          <w:w w:val="105"/>
        </w:rPr>
        <w:t>管理范围</w:t>
      </w:r>
      <w:r>
        <w:rPr>
          <w:rFonts w:hint="eastAsia" w:ascii="MS UI Gothic" w:eastAsia="MS UI Gothic"/>
          <w:w w:val="80"/>
        </w:rPr>
        <w:t xml:space="preserve">、 </w:t>
      </w:r>
      <w:r>
        <w:rPr>
          <w:w w:val="105"/>
        </w:rPr>
        <w:t>管理跨度等</w:t>
      </w:r>
      <w:r>
        <w:rPr>
          <w:rFonts w:hint="eastAsia" w:ascii="MS UI Gothic" w:eastAsia="MS UI Gothic"/>
          <w:w w:val="80"/>
        </w:rPr>
        <w:t xml:space="preserve">ꎬ </w:t>
      </w:r>
      <w:r>
        <w:rPr>
          <w:w w:val="105"/>
        </w:rPr>
        <w:t>配备专</w:t>
      </w:r>
      <w:r>
        <w:rPr>
          <w:rFonts w:hint="eastAsia" w:ascii="MS UI Gothic" w:eastAsia="MS UI Gothic"/>
          <w:w w:val="150"/>
        </w:rPr>
        <w:t xml:space="preserve">( </w:t>
      </w:r>
      <w:r>
        <w:rPr>
          <w:w w:val="105"/>
        </w:rPr>
        <w:t>兼</w:t>
      </w:r>
      <w:r>
        <w:rPr>
          <w:rFonts w:hint="eastAsia" w:ascii="MS UI Gothic" w:eastAsia="MS UI Gothic"/>
          <w:w w:val="150"/>
        </w:rPr>
        <w:t xml:space="preserve">) </w:t>
      </w:r>
      <w:r>
        <w:rPr>
          <w:w w:val="105"/>
        </w:rPr>
        <w:t>职应急管理人员</w:t>
      </w:r>
      <w:r>
        <w:rPr>
          <w:rFonts w:hint="eastAsia" w:ascii="MS UI Gothic" w:eastAsia="MS UI Gothic"/>
          <w:w w:val="80"/>
        </w:rPr>
        <w:t>ꎮ</w:t>
      </w:r>
    </w:p>
    <w:p>
      <w:pPr>
        <w:pStyle w:val="6"/>
        <w:spacing w:line="249" w:lineRule="exact"/>
        <w:ind w:left="80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应急管理工作领导机构</w:t>
      </w:r>
      <w:r>
        <w:rPr>
          <w:rFonts w:hint="eastAsia" w:ascii="MS UI Gothic" w:eastAsia="MS UI Gothic"/>
          <w:w w:val="80"/>
        </w:rPr>
        <w:t>ꎮ</w:t>
      </w:r>
    </w:p>
    <w:p>
      <w:pPr>
        <w:pStyle w:val="6"/>
        <w:spacing w:before="58" w:line="295" w:lineRule="auto"/>
        <w:ind w:left="381" w:right="124"/>
      </w:pPr>
      <w:r>
        <w:t>中央企业要成立应急管理领导小组</w:t>
      </w:r>
      <w:r>
        <w:rPr>
          <w:rFonts w:hint="eastAsia" w:ascii="MS UI Gothic" w:eastAsia="MS UI Gothic"/>
          <w:w w:val="80"/>
        </w:rPr>
        <w:t>ꎬ</w:t>
      </w:r>
      <w:r>
        <w:t>负责统一领导本企业的应急管理工作</w:t>
      </w:r>
      <w:r>
        <w:rPr>
          <w:rFonts w:hint="eastAsia" w:ascii="MS UI Gothic" w:eastAsia="MS UI Gothic"/>
          <w:w w:val="80"/>
        </w:rPr>
        <w:t xml:space="preserve">ꎬ </w:t>
      </w:r>
      <w:r>
        <w:t>研</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１７０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44" o:spid="_x0000_s1544" o:spt="203" style="height:2.15pt;width:398.25pt;" coordsize="7965,43">
            <o:lock v:ext="edit"/>
            <v:line id="_x0000_s1545" o:spid="_x0000_s1545" o:spt="20" style="position:absolute;left:0;top:39;height:0;width:7965;" stroked="t" coordsize="21600,21600">
              <v:path arrowok="t"/>
              <v:fill focussize="0,0"/>
              <v:stroke weight="0.388031496062992pt" color="#231F20"/>
              <v:imagedata o:title=""/>
              <o:lock v:ext="edit"/>
            </v:line>
            <v:line id="_x0000_s1546" o:spid="_x0000_s154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究决策应急管理重大问题和突发事件应对办法</w:t>
      </w:r>
      <w:r>
        <w:rPr>
          <w:rFonts w:hint="eastAsia" w:ascii="MS UI Gothic" w:eastAsia="MS UI Gothic"/>
          <w:w w:val="80"/>
        </w:rPr>
        <w:t xml:space="preserve">ꎮ </w:t>
      </w:r>
      <w:r>
        <w:t>领导机构主要负责人应当由企业主要负责人担任</w:t>
      </w:r>
      <w:r>
        <w:rPr>
          <w:rFonts w:hint="eastAsia" w:ascii="MS UI Gothic" w:eastAsia="MS UI Gothic"/>
          <w:w w:val="80"/>
        </w:rPr>
        <w:t xml:space="preserve">ꎬ </w:t>
      </w:r>
      <w:r>
        <w:t>并明确一位企业负责人具体分管领导机构的日常工作</w:t>
      </w:r>
      <w:r>
        <w:rPr>
          <w:rFonts w:hint="eastAsia" w:ascii="MS UI Gothic" w:eastAsia="MS UI Gothic"/>
          <w:w w:val="80"/>
        </w:rPr>
        <w:t xml:space="preserve">ꎮ </w:t>
      </w:r>
      <w:r>
        <w:t>领导机构应</w:t>
      </w:r>
      <w:r>
        <w:rPr>
          <w:w w:val="105"/>
        </w:rPr>
        <w:t>当建立工作制度和例会制度</w:t>
      </w:r>
      <w:r>
        <w:rPr>
          <w:rFonts w:hint="eastAsia" w:ascii="MS UI Gothic" w:eastAsia="MS UI Gothic"/>
          <w:w w:val="80"/>
        </w:rPr>
        <w:t>ꎮ</w:t>
      </w:r>
    </w:p>
    <w:p>
      <w:pPr>
        <w:pStyle w:val="6"/>
        <w:spacing w:line="252"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应急管理综合协调部门</w:t>
      </w:r>
      <w:r>
        <w:rPr>
          <w:rFonts w:hint="eastAsia" w:ascii="MS UI Gothic" w:eastAsia="MS UI Gothic"/>
          <w:w w:val="80"/>
        </w:rPr>
        <w:t>ꎮ</w:t>
      </w:r>
    </w:p>
    <w:p>
      <w:pPr>
        <w:pStyle w:val="6"/>
        <w:spacing w:before="58" w:line="295" w:lineRule="auto"/>
        <w:ind w:right="39"/>
        <w:rPr>
          <w:rFonts w:hint="eastAsia" w:ascii="MS UI Gothic" w:eastAsia="MS UI Gothic"/>
        </w:rPr>
      </w:pPr>
      <w:r>
        <w:t>应急管理综合协调部门负责组织企业应急体系建设</w:t>
      </w:r>
      <w:r>
        <w:rPr>
          <w:rFonts w:hint="eastAsia" w:ascii="MS UI Gothic" w:eastAsia="MS UI Gothic"/>
          <w:w w:val="80"/>
        </w:rPr>
        <w:t xml:space="preserve">ꎬ </w:t>
      </w:r>
      <w:r>
        <w:t>组织编制企业总体应急预案</w:t>
      </w:r>
      <w:r>
        <w:rPr>
          <w:rFonts w:hint="eastAsia" w:ascii="MS UI Gothic" w:eastAsia="MS UI Gothic"/>
          <w:w w:val="80"/>
        </w:rPr>
        <w:t xml:space="preserve">ꎬ </w:t>
      </w:r>
      <w:r>
        <w:t>组织协调分管部门开展应急管理日常工作</w:t>
      </w:r>
      <w:r>
        <w:rPr>
          <w:rFonts w:hint="eastAsia" w:ascii="MS UI Gothic" w:eastAsia="MS UI Gothic"/>
          <w:w w:val="80"/>
        </w:rPr>
        <w:t xml:space="preserve">ꎮ </w:t>
      </w:r>
      <w:r>
        <w:t>在跨界突发事件应急状态下</w:t>
      </w:r>
      <w:r>
        <w:rPr>
          <w:rFonts w:hint="eastAsia" w:ascii="MS UI Gothic" w:eastAsia="MS UI Gothic"/>
          <w:w w:val="80"/>
        </w:rPr>
        <w:t xml:space="preserve">ꎬ </w:t>
      </w:r>
      <w:r>
        <w:t>负责综合协调企业内部资源</w:t>
      </w:r>
      <w:r>
        <w:rPr>
          <w:rFonts w:hint="eastAsia" w:ascii="MS UI Gothic" w:eastAsia="MS UI Gothic"/>
          <w:w w:val="80"/>
        </w:rPr>
        <w:t xml:space="preserve">、 </w:t>
      </w:r>
      <w:r>
        <w:t>对外联络沟通等工作</w:t>
      </w:r>
      <w:r>
        <w:rPr>
          <w:rFonts w:hint="eastAsia" w:ascii="MS UI Gothic" w:eastAsia="MS UI Gothic"/>
          <w:w w:val="80"/>
        </w:rPr>
        <w:t>ꎮ</w:t>
      </w:r>
    </w:p>
    <w:p>
      <w:pPr>
        <w:pStyle w:val="6"/>
        <w:spacing w:line="251"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应急管理分管部门</w:t>
      </w:r>
      <w:r>
        <w:rPr>
          <w:rFonts w:hint="eastAsia" w:ascii="MS UI Gothic" w:eastAsia="MS UI Gothic"/>
          <w:w w:val="80"/>
        </w:rPr>
        <w:t>ꎮ</w:t>
      </w:r>
    </w:p>
    <w:p>
      <w:pPr>
        <w:pStyle w:val="6"/>
        <w:spacing w:before="58" w:line="295" w:lineRule="auto"/>
        <w:ind w:right="39"/>
        <w:rPr>
          <w:rFonts w:hint="eastAsia" w:ascii="MS UI Gothic" w:eastAsia="MS UI Gothic"/>
        </w:rPr>
      </w:pPr>
      <w:r>
        <w:t>应急管理分管部门负责专项应急预案的编制</w:t>
      </w:r>
      <w:r>
        <w:rPr>
          <w:rFonts w:hint="eastAsia" w:ascii="MS UI Gothic" w:eastAsia="MS UI Gothic"/>
          <w:w w:val="80"/>
        </w:rPr>
        <w:t xml:space="preserve">、 </w:t>
      </w:r>
      <w:r>
        <w:t>评估</w:t>
      </w:r>
      <w:r>
        <w:rPr>
          <w:rFonts w:hint="eastAsia" w:ascii="MS UI Gothic" w:eastAsia="MS UI Gothic"/>
          <w:w w:val="80"/>
        </w:rPr>
        <w:t xml:space="preserve">、 </w:t>
      </w:r>
      <w:r>
        <w:t>备案</w:t>
      </w:r>
      <w:r>
        <w:rPr>
          <w:rFonts w:hint="eastAsia" w:ascii="MS UI Gothic" w:eastAsia="MS UI Gothic"/>
          <w:w w:val="80"/>
        </w:rPr>
        <w:t xml:space="preserve">、 </w:t>
      </w:r>
      <w:r>
        <w:t>培训和演练</w:t>
      </w:r>
      <w:r>
        <w:rPr>
          <w:rFonts w:hint="eastAsia" w:ascii="MS UI Gothic" w:eastAsia="MS UI Gothic"/>
          <w:w w:val="80"/>
        </w:rPr>
        <w:t xml:space="preserve">ꎬ  </w:t>
      </w:r>
      <w:r>
        <w:t>负责专项突发事件应急管理的日常工作</w:t>
      </w:r>
      <w:r>
        <w:rPr>
          <w:rFonts w:hint="eastAsia" w:ascii="MS UI Gothic" w:eastAsia="MS UI Gothic"/>
          <w:w w:val="80"/>
        </w:rPr>
        <w:t xml:space="preserve">ꎬ </w:t>
      </w:r>
      <w:r>
        <w:t>分管专项突发事件的应急处置</w:t>
      </w:r>
      <w:r>
        <w:rPr>
          <w:rFonts w:hint="eastAsia" w:ascii="MS UI Gothic" w:eastAsia="MS UI Gothic"/>
          <w:w w:val="80"/>
        </w:rPr>
        <w:t>ꎮ</w:t>
      </w:r>
    </w:p>
    <w:p>
      <w:pPr>
        <w:pStyle w:val="6"/>
        <w:tabs>
          <w:tab w:val="left" w:pos="1906"/>
        </w:tabs>
        <w:spacing w:before="154"/>
        <w:ind w:left="1067" w:firstLine="0"/>
        <w:jc w:val="left"/>
      </w:pPr>
      <w:r>
        <w:rPr>
          <w:spacing w:val="3"/>
          <w:w w:val="105"/>
        </w:rPr>
        <w:t>第三</w:t>
      </w:r>
      <w:r>
        <w:rPr>
          <w:w w:val="105"/>
        </w:rPr>
        <w:t>章</w:t>
      </w:r>
      <w:r>
        <w:rPr>
          <w:w w:val="105"/>
        </w:rPr>
        <w:tab/>
      </w:r>
      <w:r>
        <w:rPr>
          <w:w w:val="105"/>
        </w:rPr>
        <w:t>工</w:t>
      </w:r>
      <w:r>
        <w:rPr>
          <w:spacing w:val="-34"/>
          <w:w w:val="105"/>
        </w:rPr>
        <w:t xml:space="preserve"> </w:t>
      </w:r>
      <w:r>
        <w:rPr>
          <w:w w:val="105"/>
        </w:rPr>
        <w:t>作</w:t>
      </w:r>
      <w:r>
        <w:rPr>
          <w:spacing w:val="-33"/>
          <w:w w:val="105"/>
        </w:rPr>
        <w:t xml:space="preserve"> </w:t>
      </w:r>
      <w:r>
        <w:rPr>
          <w:w w:val="105"/>
        </w:rPr>
        <w:t>要</w:t>
      </w:r>
      <w:r>
        <w:rPr>
          <w:spacing w:val="-33"/>
          <w:w w:val="105"/>
        </w:rPr>
        <w:t xml:space="preserve"> </w:t>
      </w:r>
      <w:r>
        <w:rPr>
          <w:w w:val="105"/>
        </w:rPr>
        <w:t>求</w:t>
      </w:r>
    </w:p>
    <w:p>
      <w:pPr>
        <w:pStyle w:val="6"/>
        <w:spacing w:before="11"/>
        <w:ind w:left="0" w:firstLine="0"/>
        <w:jc w:val="left"/>
        <w:rPr>
          <w:sz w:val="16"/>
        </w:rPr>
      </w:pPr>
    </w:p>
    <w:p>
      <w:pPr>
        <w:pStyle w:val="6"/>
        <w:spacing w:line="295" w:lineRule="auto"/>
        <w:ind w:right="38"/>
        <w:rPr>
          <w:rFonts w:hint="eastAsia" w:ascii="MS UI Gothic" w:hAnsi="MS UI Gothic" w:eastAsia="MS UI Gothic"/>
        </w:rPr>
      </w:pPr>
      <w:r>
        <w:t>第十二条 中央企业应急管理工作必须坚持预防为主</w:t>
      </w:r>
      <w:r>
        <w:rPr>
          <w:rFonts w:hint="eastAsia" w:ascii="MS UI Gothic" w:hAnsi="MS UI Gothic" w:eastAsia="MS UI Gothic"/>
          <w:w w:val="80"/>
        </w:rPr>
        <w:t xml:space="preserve">、 </w:t>
      </w:r>
      <w:r>
        <w:t>预防与处置相结合的原则</w:t>
      </w:r>
      <w:r>
        <w:rPr>
          <w:rFonts w:hint="eastAsia" w:ascii="MS UI Gothic" w:hAnsi="MS UI Gothic" w:eastAsia="MS UI Gothic"/>
          <w:w w:val="80"/>
        </w:rPr>
        <w:t xml:space="preserve">ꎬ </w:t>
      </w:r>
      <w:r>
        <w:t xml:space="preserve">按照 </w:t>
      </w:r>
      <w:r>
        <w:rPr>
          <w:rFonts w:hint="eastAsia" w:ascii="MS UI Gothic" w:hAnsi="MS UI Gothic" w:eastAsia="MS UI Gothic"/>
        </w:rPr>
        <w:t xml:space="preserve">“ </w:t>
      </w:r>
      <w:r>
        <w:t>统一领导</w:t>
      </w:r>
      <w:r>
        <w:rPr>
          <w:rFonts w:hint="eastAsia" w:ascii="MS UI Gothic" w:hAnsi="MS UI Gothic" w:eastAsia="MS UI Gothic"/>
          <w:w w:val="80"/>
        </w:rPr>
        <w:t xml:space="preserve">、 </w:t>
      </w:r>
      <w:r>
        <w:t>综合协调</w:t>
      </w:r>
      <w:r>
        <w:rPr>
          <w:rFonts w:hint="eastAsia" w:ascii="MS UI Gothic" w:hAnsi="MS UI Gothic" w:eastAsia="MS UI Gothic"/>
          <w:w w:val="80"/>
        </w:rPr>
        <w:t xml:space="preserve">、 </w:t>
      </w:r>
      <w:r>
        <w:t>分类管理</w:t>
      </w:r>
      <w:r>
        <w:rPr>
          <w:rFonts w:hint="eastAsia" w:ascii="MS UI Gothic" w:hAnsi="MS UI Gothic" w:eastAsia="MS UI Gothic"/>
          <w:w w:val="80"/>
        </w:rPr>
        <w:t xml:space="preserve">、 </w:t>
      </w:r>
      <w:r>
        <w:t>分级负责</w:t>
      </w:r>
      <w:r>
        <w:rPr>
          <w:rFonts w:hint="eastAsia" w:ascii="MS UI Gothic" w:hAnsi="MS UI Gothic" w:eastAsia="MS UI Gothic"/>
          <w:w w:val="80"/>
        </w:rPr>
        <w:t xml:space="preserve">、 </w:t>
      </w:r>
      <w:r>
        <w:t>企地衔接</w:t>
      </w:r>
      <w:r>
        <w:rPr>
          <w:rFonts w:hint="eastAsia" w:ascii="MS UI Gothic" w:hAnsi="MS UI Gothic" w:eastAsia="MS UI Gothic"/>
        </w:rPr>
        <w:t xml:space="preserve">” </w:t>
      </w:r>
      <w:r>
        <w:t>的要求</w:t>
      </w:r>
      <w:r>
        <w:rPr>
          <w:rFonts w:hint="eastAsia" w:ascii="MS UI Gothic" w:hAnsi="MS UI Gothic" w:eastAsia="MS UI Gothic"/>
          <w:w w:val="80"/>
        </w:rPr>
        <w:t>ꎬ</w:t>
      </w:r>
      <w:r>
        <w:t xml:space="preserve">建立 </w:t>
      </w:r>
      <w:r>
        <w:rPr>
          <w:rFonts w:hint="eastAsia" w:ascii="MS UI Gothic" w:hAnsi="MS UI Gothic" w:eastAsia="MS UI Gothic"/>
        </w:rPr>
        <w:t xml:space="preserve">“ </w:t>
      </w:r>
      <w:r>
        <w:t>上下贯通</w:t>
      </w:r>
      <w:r>
        <w:rPr>
          <w:rFonts w:hint="eastAsia" w:ascii="MS UI Gothic" w:hAnsi="MS UI Gothic" w:eastAsia="MS UI Gothic"/>
          <w:w w:val="80"/>
        </w:rPr>
        <w:t xml:space="preserve">、 </w:t>
      </w:r>
      <w:r>
        <w:t>多方联动</w:t>
      </w:r>
      <w:r>
        <w:rPr>
          <w:rFonts w:hint="eastAsia" w:ascii="MS UI Gothic" w:hAnsi="MS UI Gothic" w:eastAsia="MS UI Gothic"/>
          <w:w w:val="80"/>
        </w:rPr>
        <w:t xml:space="preserve">、 </w:t>
      </w:r>
      <w:r>
        <w:t>协调有序</w:t>
      </w:r>
      <w:r>
        <w:rPr>
          <w:rFonts w:hint="eastAsia" w:ascii="MS UI Gothic" w:hAnsi="MS UI Gothic" w:eastAsia="MS UI Gothic"/>
          <w:w w:val="80"/>
        </w:rPr>
        <w:t>、</w:t>
      </w:r>
      <w:r>
        <w:t>运转高效</w:t>
      </w:r>
      <w:r>
        <w:rPr>
          <w:rFonts w:hint="eastAsia" w:ascii="MS UI Gothic" w:hAnsi="MS UI Gothic" w:eastAsia="MS UI Gothic"/>
        </w:rPr>
        <w:t xml:space="preserve">” </w:t>
      </w:r>
      <w:r>
        <w:t>的应急管理机制</w:t>
      </w:r>
      <w:r>
        <w:rPr>
          <w:rFonts w:hint="eastAsia" w:ascii="MS UI Gothic" w:hAnsi="MS UI Gothic" w:eastAsia="MS UI Gothic"/>
          <w:w w:val="80"/>
        </w:rPr>
        <w:t xml:space="preserve">ꎬ </w:t>
      </w:r>
      <w:r>
        <w:t>开展应急管理常态工作</w:t>
      </w:r>
      <w:r>
        <w:rPr>
          <w:rFonts w:hint="eastAsia" w:ascii="MS UI Gothic" w:hAnsi="MS UI Gothic" w:eastAsia="MS UI Gothic"/>
          <w:w w:val="80"/>
        </w:rPr>
        <w:t>ꎮ</w:t>
      </w:r>
    </w:p>
    <w:p>
      <w:pPr>
        <w:pStyle w:val="6"/>
        <w:spacing w:line="295" w:lineRule="auto"/>
        <w:ind w:right="39"/>
        <w:rPr>
          <w:rFonts w:hint="eastAsia" w:ascii="MS UI Gothic" w:eastAsia="MS UI Gothic"/>
        </w:rPr>
      </w:pPr>
      <w:r>
        <w:t>第十三条 中央企业应建立完善应急管理体系</w:t>
      </w:r>
      <w:r>
        <w:rPr>
          <w:rFonts w:hint="eastAsia" w:ascii="MS UI Gothic" w:eastAsia="MS UI Gothic"/>
          <w:w w:val="80"/>
        </w:rPr>
        <w:t xml:space="preserve">ꎬ </w:t>
      </w:r>
      <w:r>
        <w:t>积极借鉴国内外应急管理先进理念</w:t>
      </w:r>
      <w:r>
        <w:rPr>
          <w:rFonts w:hint="eastAsia" w:ascii="MS UI Gothic" w:eastAsia="MS UI Gothic"/>
          <w:w w:val="80"/>
        </w:rPr>
        <w:t xml:space="preserve">ꎬ </w:t>
      </w:r>
      <w:r>
        <w:t>采用科学的应急管理方法和技术手段</w:t>
      </w:r>
      <w:r>
        <w:rPr>
          <w:rFonts w:hint="eastAsia" w:ascii="MS UI Gothic" w:eastAsia="MS UI Gothic"/>
          <w:w w:val="80"/>
        </w:rPr>
        <w:t xml:space="preserve">ꎬ </w:t>
      </w:r>
      <w:r>
        <w:t>不断提高应急管理水平</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中央企业应当将应急管理体系</w:t>
      </w:r>
      <w:r>
        <w:t>建设规划纳入企业总体发展战略规划</w:t>
      </w:r>
      <w:r>
        <w:rPr>
          <w:rFonts w:hint="eastAsia" w:ascii="MS UI Gothic" w:eastAsia="MS UI Gothic"/>
          <w:w w:val="80"/>
        </w:rPr>
        <w:t xml:space="preserve">ꎬ </w:t>
      </w:r>
      <w:r>
        <w:t>使应急管理体系建设与企业发展同步实施</w:t>
      </w:r>
      <w:r>
        <w:rPr>
          <w:rFonts w:hint="eastAsia" w:ascii="MS UI Gothic" w:eastAsia="MS UI Gothic"/>
          <w:w w:val="80"/>
        </w:rPr>
        <w:t>、</w:t>
      </w:r>
      <w:r>
        <w:rPr>
          <w:w w:val="105"/>
        </w:rPr>
        <w:t>同步推进</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中央企业应急管理体系建设应当包括</w:t>
      </w:r>
      <w:r>
        <w:rPr>
          <w:rFonts w:hint="eastAsia" w:ascii="MS UI Gothic" w:eastAsia="MS UI Gothic"/>
          <w:w w:val="235"/>
        </w:rPr>
        <w:t xml:space="preserve">: </w:t>
      </w:r>
      <w:r>
        <w:rPr>
          <w:w w:val="105"/>
        </w:rPr>
        <w:t>应急管理组织体系</w:t>
      </w:r>
      <w:r>
        <w:rPr>
          <w:rFonts w:hint="eastAsia" w:ascii="MS UI Gothic" w:eastAsia="MS UI Gothic"/>
          <w:w w:val="80"/>
        </w:rPr>
        <w:t xml:space="preserve">、 </w:t>
      </w:r>
      <w:r>
        <w:rPr>
          <w:w w:val="105"/>
        </w:rPr>
        <w:t>应急预案体系</w:t>
      </w:r>
      <w:r>
        <w:rPr>
          <w:rFonts w:hint="eastAsia" w:ascii="MS UI Gothic" w:eastAsia="MS UI Gothic"/>
          <w:w w:val="80"/>
        </w:rPr>
        <w:t xml:space="preserve">、 </w:t>
      </w:r>
      <w:r>
        <w:rPr>
          <w:w w:val="105"/>
        </w:rPr>
        <w:t>应急管理制度体系</w:t>
      </w:r>
      <w:r>
        <w:rPr>
          <w:rFonts w:hint="eastAsia" w:ascii="MS UI Gothic" w:eastAsia="MS UI Gothic"/>
          <w:w w:val="80"/>
        </w:rPr>
        <w:t xml:space="preserve">、 </w:t>
      </w:r>
      <w:r>
        <w:rPr>
          <w:w w:val="105"/>
        </w:rPr>
        <w:t>应急培训演练体系</w:t>
      </w:r>
      <w:r>
        <w:rPr>
          <w:rFonts w:hint="eastAsia" w:ascii="MS UI Gothic" w:eastAsia="MS UI Gothic"/>
          <w:w w:val="80"/>
        </w:rPr>
        <w:t xml:space="preserve">、 </w:t>
      </w:r>
      <w:r>
        <w:rPr>
          <w:w w:val="105"/>
        </w:rPr>
        <w:t>应急队伍建设体系</w:t>
      </w:r>
      <w:r>
        <w:rPr>
          <w:rFonts w:hint="eastAsia" w:ascii="MS UI Gothic" w:eastAsia="MS UI Gothic"/>
          <w:w w:val="80"/>
        </w:rPr>
        <w:t xml:space="preserve">、 </w:t>
      </w:r>
      <w:r>
        <w:rPr>
          <w:w w:val="105"/>
        </w:rPr>
        <w:t>应急保障体系等</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中央企业应当加强应急管理体</w:t>
      </w:r>
      <w:r>
        <w:t>系的运行管理</w:t>
      </w:r>
      <w:r>
        <w:rPr>
          <w:rFonts w:hint="eastAsia" w:ascii="MS UI Gothic" w:eastAsia="MS UI Gothic"/>
          <w:w w:val="80"/>
        </w:rPr>
        <w:t xml:space="preserve">ꎬ </w:t>
      </w:r>
      <w:r>
        <w:t>及时发现应急管理体系存</w:t>
      </w:r>
      <w:r>
        <w:rPr>
          <w:w w:val="105"/>
        </w:rPr>
        <w:t>在的问题</w:t>
      </w:r>
      <w:r>
        <w:rPr>
          <w:rFonts w:hint="eastAsia" w:ascii="MS UI Gothic" w:eastAsia="MS UI Gothic"/>
          <w:w w:val="80"/>
        </w:rPr>
        <w:t xml:space="preserve">ꎬ </w:t>
      </w:r>
      <w:r>
        <w:rPr>
          <w:w w:val="105"/>
        </w:rPr>
        <w:t>持续改进</w:t>
      </w:r>
      <w:r>
        <w:rPr>
          <w:rFonts w:hint="eastAsia" w:ascii="MS UI Gothic" w:eastAsia="MS UI Gothic"/>
          <w:w w:val="80"/>
        </w:rPr>
        <w:t xml:space="preserve">、 </w:t>
      </w:r>
      <w:r>
        <w:rPr>
          <w:w w:val="105"/>
        </w:rPr>
        <w:t>不断完善</w:t>
      </w:r>
      <w:r>
        <w:rPr>
          <w:rFonts w:hint="eastAsia" w:ascii="MS UI Gothic" w:eastAsia="MS UI Gothic"/>
          <w:w w:val="80"/>
        </w:rPr>
        <w:t xml:space="preserve">ꎬ </w:t>
      </w:r>
      <w:r>
        <w:rPr>
          <w:w w:val="105"/>
        </w:rPr>
        <w:t>确保企业应急管理体系有效运行</w:t>
      </w:r>
      <w:r>
        <w:rPr>
          <w:rFonts w:hint="eastAsia" w:ascii="MS UI Gothic" w:eastAsia="MS UI Gothic"/>
          <w:w w:val="80"/>
        </w:rPr>
        <w:t>ꎮ</w:t>
      </w:r>
    </w:p>
    <w:p>
      <w:pPr>
        <w:pStyle w:val="6"/>
        <w:spacing w:line="295" w:lineRule="auto"/>
        <w:ind w:right="440"/>
        <w:rPr>
          <w:rFonts w:hint="eastAsia" w:ascii="MS UI Gothic" w:hAnsi="MS UI Gothic" w:eastAsia="MS UI Gothic"/>
        </w:rPr>
      </w:pPr>
      <w:r>
        <w:rPr>
          <w:spacing w:val="4"/>
        </w:rPr>
        <w:t>第十四条 中央企业应当加强各类突</w:t>
      </w:r>
      <w:r>
        <w:rPr>
          <w:spacing w:val="3"/>
        </w:rPr>
        <w:t>发事件的风险识别</w:t>
      </w:r>
      <w:r>
        <w:rPr>
          <w:rFonts w:hint="eastAsia" w:ascii="MS UI Gothic" w:hAnsi="MS UI Gothic" w:eastAsia="MS UI Gothic"/>
          <w:spacing w:val="10"/>
          <w:w w:val="80"/>
        </w:rPr>
        <w:t xml:space="preserve">、 </w:t>
      </w:r>
      <w:r>
        <w:rPr>
          <w:spacing w:val="3"/>
        </w:rPr>
        <w:t>分析和评估</w:t>
      </w:r>
      <w:r>
        <w:rPr>
          <w:rFonts w:hint="eastAsia" w:ascii="MS UI Gothic" w:hAnsi="MS UI Gothic" w:eastAsia="MS UI Gothic"/>
          <w:spacing w:val="11"/>
          <w:w w:val="80"/>
        </w:rPr>
        <w:t xml:space="preserve">ꎬ </w:t>
      </w:r>
      <w:r>
        <w:rPr>
          <w:spacing w:val="2"/>
        </w:rPr>
        <w:t>针对突</w:t>
      </w:r>
      <w:r>
        <w:rPr>
          <w:spacing w:val="3"/>
        </w:rPr>
        <w:t>发事件的性质</w:t>
      </w:r>
      <w:r>
        <w:rPr>
          <w:rFonts w:hint="eastAsia" w:ascii="MS UI Gothic" w:hAnsi="MS UI Gothic" w:eastAsia="MS UI Gothic"/>
          <w:spacing w:val="16"/>
          <w:w w:val="80"/>
        </w:rPr>
        <w:t xml:space="preserve">、 </w:t>
      </w:r>
      <w:r>
        <w:rPr>
          <w:spacing w:val="2"/>
        </w:rPr>
        <w:t>特点和可能造成的社会危</w:t>
      </w:r>
      <w:r>
        <w:rPr>
          <w:spacing w:val="3"/>
        </w:rPr>
        <w:t>害</w:t>
      </w:r>
      <w:r>
        <w:rPr>
          <w:rFonts w:hint="eastAsia" w:ascii="MS UI Gothic" w:hAnsi="MS UI Gothic" w:eastAsia="MS UI Gothic"/>
          <w:spacing w:val="10"/>
          <w:w w:val="80"/>
        </w:rPr>
        <w:t xml:space="preserve">ꎬ </w:t>
      </w:r>
      <w:r>
        <w:rPr>
          <w:spacing w:val="3"/>
        </w:rPr>
        <w:t>编制企业总体应急预案</w:t>
      </w:r>
      <w:r>
        <w:rPr>
          <w:rFonts w:hint="eastAsia" w:ascii="MS UI Gothic" w:hAnsi="MS UI Gothic" w:eastAsia="MS UI Gothic"/>
          <w:spacing w:val="11"/>
          <w:w w:val="80"/>
        </w:rPr>
        <w:t xml:space="preserve">、 </w:t>
      </w:r>
      <w:r>
        <w:rPr>
          <w:spacing w:val="2"/>
        </w:rPr>
        <w:t>专项应急预</w:t>
      </w:r>
      <w:r>
        <w:rPr>
          <w:spacing w:val="20"/>
        </w:rPr>
        <w:t>案和现场处置方案</w:t>
      </w:r>
      <w:r>
        <w:rPr>
          <w:rFonts w:hint="eastAsia" w:ascii="MS UI Gothic" w:hAnsi="MS UI Gothic" w:eastAsia="MS UI Gothic"/>
          <w:spacing w:val="17"/>
          <w:w w:val="80"/>
        </w:rPr>
        <w:t xml:space="preserve">ꎬ </w:t>
      </w:r>
      <w:r>
        <w:rPr>
          <w:spacing w:val="21"/>
        </w:rPr>
        <w:t xml:space="preserve">形成 </w:t>
      </w:r>
      <w:r>
        <w:rPr>
          <w:rFonts w:hint="eastAsia" w:ascii="MS UI Gothic" w:hAnsi="MS UI Gothic" w:eastAsia="MS UI Gothic"/>
          <w:spacing w:val="-10"/>
        </w:rPr>
        <w:t xml:space="preserve">“ </w:t>
      </w:r>
      <w:r>
        <w:rPr>
          <w:spacing w:val="22"/>
        </w:rPr>
        <w:t>横向到边</w:t>
      </w:r>
      <w:r>
        <w:rPr>
          <w:rFonts w:hint="eastAsia" w:ascii="MS UI Gothic" w:hAnsi="MS UI Gothic" w:eastAsia="MS UI Gothic"/>
          <w:spacing w:val="-12"/>
          <w:w w:val="80"/>
        </w:rPr>
        <w:t>、</w:t>
      </w:r>
      <w:r>
        <w:rPr>
          <w:spacing w:val="13"/>
        </w:rPr>
        <w:t>纵向到底</w:t>
      </w:r>
      <w:r>
        <w:rPr>
          <w:rFonts w:hint="eastAsia" w:ascii="MS UI Gothic" w:hAnsi="MS UI Gothic" w:eastAsia="MS UI Gothic"/>
          <w:spacing w:val="20"/>
          <w:w w:val="80"/>
        </w:rPr>
        <w:t xml:space="preserve">、 </w:t>
      </w:r>
      <w:r>
        <w:rPr>
          <w:spacing w:val="15"/>
        </w:rPr>
        <w:t>上下对应</w:t>
      </w:r>
      <w:r>
        <w:rPr>
          <w:rFonts w:hint="eastAsia" w:ascii="MS UI Gothic" w:hAnsi="MS UI Gothic" w:eastAsia="MS UI Gothic"/>
          <w:spacing w:val="20"/>
          <w:w w:val="80"/>
        </w:rPr>
        <w:t xml:space="preserve">、 </w:t>
      </w:r>
      <w:r>
        <w:rPr>
          <w:spacing w:val="17"/>
        </w:rPr>
        <w:t>内外衔接</w:t>
      </w:r>
      <w:r>
        <w:rPr>
          <w:rFonts w:hint="eastAsia" w:ascii="MS UI Gothic" w:hAnsi="MS UI Gothic" w:eastAsia="MS UI Gothic"/>
          <w:spacing w:val="20"/>
        </w:rPr>
        <w:t xml:space="preserve">” </w:t>
      </w:r>
      <w:r>
        <w:rPr>
          <w:spacing w:val="9"/>
        </w:rPr>
        <w:t>的应</w:t>
      </w:r>
      <w:r>
        <w:rPr>
          <w:spacing w:val="10"/>
        </w:rPr>
        <w:t>急预案体系</w:t>
      </w:r>
      <w:r>
        <w:rPr>
          <w:rFonts w:hint="eastAsia" w:ascii="MS UI Gothic" w:hAnsi="MS UI Gothic" w:eastAsia="MS UI Gothic"/>
          <w:spacing w:val="23"/>
          <w:w w:val="80"/>
        </w:rPr>
        <w:t xml:space="preserve">ꎮ </w:t>
      </w:r>
      <w:r>
        <w:rPr>
          <w:spacing w:val="17"/>
        </w:rPr>
        <w:t>中央企业应当加强预案管</w:t>
      </w:r>
      <w:r>
        <w:rPr>
          <w:spacing w:val="3"/>
        </w:rPr>
        <w:t>理</w:t>
      </w:r>
      <w:r>
        <w:rPr>
          <w:rFonts w:hint="eastAsia" w:ascii="MS UI Gothic" w:hAnsi="MS UI Gothic" w:eastAsia="MS UI Gothic"/>
          <w:spacing w:val="10"/>
          <w:w w:val="80"/>
        </w:rPr>
        <w:t xml:space="preserve">ꎬ </w:t>
      </w:r>
      <w:r>
        <w:rPr>
          <w:spacing w:val="3"/>
        </w:rPr>
        <w:t>建立应急预案的评估</w:t>
      </w:r>
      <w:r>
        <w:rPr>
          <w:rFonts w:hint="eastAsia" w:ascii="MS UI Gothic" w:hAnsi="MS UI Gothic" w:eastAsia="MS UI Gothic"/>
          <w:spacing w:val="11"/>
          <w:w w:val="80"/>
        </w:rPr>
        <w:t xml:space="preserve">、 </w:t>
      </w:r>
      <w:r>
        <w:rPr>
          <w:spacing w:val="2"/>
        </w:rPr>
        <w:t>修订和备案管</w:t>
      </w:r>
      <w:r>
        <w:rPr>
          <w:spacing w:val="3"/>
        </w:rPr>
        <w:t>理制度</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spacing w:val="4"/>
        </w:rPr>
        <w:t>第十五条 中央企业应当加强风险监</w:t>
      </w:r>
      <w:r>
        <w:rPr>
          <w:spacing w:val="3"/>
        </w:rPr>
        <w:t>测</w:t>
      </w:r>
      <w:r>
        <w:rPr>
          <w:rFonts w:hint="eastAsia" w:ascii="MS UI Gothic" w:eastAsia="MS UI Gothic"/>
          <w:spacing w:val="23"/>
          <w:w w:val="80"/>
        </w:rPr>
        <w:t xml:space="preserve">ꎬ </w:t>
      </w:r>
      <w:r>
        <w:rPr>
          <w:spacing w:val="3"/>
        </w:rPr>
        <w:t>建立突发事件预警机制</w:t>
      </w:r>
      <w:r>
        <w:rPr>
          <w:rFonts w:hint="eastAsia" w:ascii="MS UI Gothic" w:eastAsia="MS UI Gothic"/>
          <w:spacing w:val="23"/>
          <w:w w:val="80"/>
        </w:rPr>
        <w:t xml:space="preserve">ꎬ </w:t>
      </w:r>
      <w:r>
        <w:rPr>
          <w:spacing w:val="2"/>
        </w:rPr>
        <w:t>针对可能发</w:t>
      </w:r>
      <w:r>
        <w:rPr>
          <w:spacing w:val="3"/>
        </w:rPr>
        <w:t>生的各类突发事件</w:t>
      </w:r>
      <w:r>
        <w:rPr>
          <w:rFonts w:hint="eastAsia" w:ascii="MS UI Gothic" w:eastAsia="MS UI Gothic"/>
          <w:spacing w:val="23"/>
          <w:w w:val="80"/>
        </w:rPr>
        <w:t xml:space="preserve">ꎬ </w:t>
      </w:r>
      <w:r>
        <w:rPr>
          <w:spacing w:val="3"/>
        </w:rPr>
        <w:t>及时采取措施</w:t>
      </w:r>
      <w:r>
        <w:rPr>
          <w:rFonts w:hint="eastAsia" w:ascii="MS UI Gothic" w:eastAsia="MS UI Gothic"/>
          <w:spacing w:val="23"/>
          <w:w w:val="80"/>
        </w:rPr>
        <w:t xml:space="preserve">ꎬ </w:t>
      </w:r>
      <w:r>
        <w:rPr>
          <w:spacing w:val="1"/>
        </w:rPr>
        <w:t>防范</w:t>
      </w:r>
      <w:r>
        <w:rPr>
          <w:spacing w:val="3"/>
        </w:rPr>
        <w:t>各类突发事件的发生</w:t>
      </w:r>
      <w:r>
        <w:rPr>
          <w:rFonts w:hint="eastAsia" w:ascii="MS UI Gothic" w:eastAsia="MS UI Gothic"/>
          <w:spacing w:val="20"/>
          <w:w w:val="80"/>
        </w:rPr>
        <w:t xml:space="preserve">ꎬ </w:t>
      </w:r>
      <w:r>
        <w:rPr>
          <w:spacing w:val="2"/>
        </w:rPr>
        <w:t>减少突发事件造成</w:t>
      </w:r>
      <w:r>
        <w:rPr>
          <w:spacing w:val="3"/>
        </w:rPr>
        <w:t>的危害</w:t>
      </w:r>
      <w:r>
        <w:rPr>
          <w:rFonts w:hint="eastAsia" w:ascii="MS UI Gothic" w:eastAsia="MS UI Gothic"/>
          <w:w w:val="80"/>
        </w:rPr>
        <w:t>ꎮ</w:t>
      </w:r>
    </w:p>
    <w:p>
      <w:pPr>
        <w:pStyle w:val="6"/>
        <w:spacing w:line="295" w:lineRule="auto"/>
        <w:ind w:right="442"/>
        <w:rPr>
          <w:rFonts w:hint="eastAsia" w:ascii="MS UI Gothic" w:eastAsia="MS UI Gothic"/>
        </w:rPr>
      </w:pPr>
      <w:r>
        <w:t>第十六条 中央企业应当加强各级企业负责人</w:t>
      </w:r>
      <w:r>
        <w:rPr>
          <w:rFonts w:hint="eastAsia" w:ascii="MS UI Gothic" w:eastAsia="MS UI Gothic"/>
          <w:w w:val="80"/>
        </w:rPr>
        <w:t xml:space="preserve">、 </w:t>
      </w:r>
      <w:r>
        <w:t>管理人员和作业人员的应急培训</w:t>
      </w:r>
      <w:r>
        <w:rPr>
          <w:rFonts w:hint="eastAsia" w:ascii="MS UI Gothic" w:eastAsia="MS UI Gothic"/>
          <w:w w:val="80"/>
        </w:rPr>
        <w:t xml:space="preserve">ꎬ </w:t>
      </w:r>
      <w:r>
        <w:t>提高应急指挥和救援人员的应急管理水平和专业技能</w:t>
      </w:r>
      <w:r>
        <w:rPr>
          <w:rFonts w:hint="eastAsia" w:ascii="MS UI Gothic" w:eastAsia="MS UI Gothic"/>
          <w:w w:val="80"/>
        </w:rPr>
        <w:t xml:space="preserve">ꎬ </w:t>
      </w:r>
      <w:r>
        <w:t>提高全员的应急意识和防灾</w:t>
      </w:r>
      <w:r>
        <w:rPr>
          <w:rFonts w:hint="eastAsia" w:ascii="MS UI Gothic" w:eastAsia="MS UI Gothic"/>
          <w:w w:val="80"/>
        </w:rPr>
        <w:t xml:space="preserve">、 </w:t>
      </w:r>
      <w:r>
        <w:t>避险</w:t>
      </w:r>
      <w:r>
        <w:rPr>
          <w:rFonts w:hint="eastAsia" w:ascii="MS UI Gothic" w:eastAsia="MS UI Gothic"/>
          <w:w w:val="80"/>
        </w:rPr>
        <w:t xml:space="preserve">、 </w:t>
      </w:r>
      <w:r>
        <w:t>自救</w:t>
      </w:r>
      <w:r>
        <w:rPr>
          <w:rFonts w:hint="eastAsia" w:ascii="MS UI Gothic" w:eastAsia="MS UI Gothic"/>
          <w:w w:val="80"/>
        </w:rPr>
        <w:t xml:space="preserve">、 </w:t>
      </w:r>
      <w:r>
        <w:t>互救能力</w:t>
      </w:r>
      <w:r>
        <w:rPr>
          <w:rFonts w:hint="eastAsia" w:ascii="MS UI Gothic" w:eastAsia="MS UI Gothic"/>
          <w:w w:val="80"/>
        </w:rPr>
        <w:t xml:space="preserve">ꎻ  </w:t>
      </w:r>
      <w:r>
        <w:t>要组织编制有针对性的培训教材</w:t>
      </w:r>
      <w:r>
        <w:rPr>
          <w:rFonts w:hint="eastAsia" w:ascii="MS UI Gothic" w:eastAsia="MS UI Gothic"/>
          <w:w w:val="80"/>
        </w:rPr>
        <w:t xml:space="preserve">ꎬ </w:t>
      </w:r>
      <w:r>
        <w:t>分层次开展全员应急培训</w:t>
      </w:r>
      <w:r>
        <w:rPr>
          <w:rFonts w:hint="eastAsia" w:ascii="MS UI Gothic" w:eastAsia="MS UI Gothic"/>
          <w:w w:val="80"/>
        </w:rPr>
        <w:t>ꎮ</w:t>
      </w:r>
    </w:p>
    <w:p>
      <w:pPr>
        <w:pStyle w:val="6"/>
        <w:spacing w:line="295" w:lineRule="auto"/>
        <w:ind w:right="442"/>
        <w:rPr>
          <w:rFonts w:hint="eastAsia" w:ascii="MS UI Gothic" w:eastAsia="MS UI Gothic"/>
        </w:rPr>
      </w:pPr>
      <w:r>
        <w:t>第十七条 中央企业应当有计划地组织开展多种形式</w:t>
      </w:r>
      <w:r>
        <w:rPr>
          <w:rFonts w:hint="eastAsia" w:ascii="MS UI Gothic" w:eastAsia="MS UI Gothic"/>
          <w:w w:val="80"/>
        </w:rPr>
        <w:t xml:space="preserve">、 </w:t>
      </w:r>
      <w:r>
        <w:t>节约高效的应急预案演练</w:t>
      </w:r>
      <w:r>
        <w:rPr>
          <w:rFonts w:hint="eastAsia" w:ascii="MS UI Gothic" w:eastAsia="MS UI Gothic"/>
          <w:w w:val="80"/>
        </w:rPr>
        <w:t xml:space="preserve">ꎬ </w:t>
      </w:r>
      <w:r>
        <w:t>突出演练的针对性和实战性</w:t>
      </w:r>
      <w:r>
        <w:rPr>
          <w:rFonts w:hint="eastAsia" w:ascii="MS UI Gothic" w:eastAsia="MS UI Gothic"/>
          <w:w w:val="80"/>
        </w:rPr>
        <w:t xml:space="preserve">ꎬ </w:t>
      </w:r>
      <w:r>
        <w:t>认真做好演练的评估工作</w:t>
      </w:r>
      <w:r>
        <w:rPr>
          <w:rFonts w:hint="eastAsia" w:ascii="MS UI Gothic" w:eastAsia="MS UI Gothic"/>
          <w:w w:val="80"/>
        </w:rPr>
        <w:t xml:space="preserve">ꎬ </w:t>
      </w:r>
      <w:r>
        <w:t>对演练中发现的问题和不足持续改进</w:t>
      </w:r>
      <w:r>
        <w:rPr>
          <w:rFonts w:hint="eastAsia" w:ascii="MS UI Gothic" w:eastAsia="MS UI Gothic"/>
          <w:w w:val="80"/>
        </w:rPr>
        <w:t xml:space="preserve">ꎬ </w:t>
      </w:r>
      <w:r>
        <w:t>提高应对各类突发事件的能力</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第十八条 中央企业应当按照专业救援和职工参与相结合</w:t>
      </w:r>
      <w:r>
        <w:rPr>
          <w:rFonts w:hint="eastAsia" w:ascii="MS UI Gothic" w:eastAsia="MS UI Gothic"/>
          <w:w w:val="80"/>
        </w:rPr>
        <w:t xml:space="preserve">、 </w:t>
      </w:r>
      <w:r>
        <w:rPr>
          <w:w w:val="105"/>
        </w:rPr>
        <w:t>险时救援和平时防</w:t>
      </w:r>
      <w:r>
        <w:t>范相结合的原则</w:t>
      </w:r>
      <w:r>
        <w:rPr>
          <w:rFonts w:hint="eastAsia" w:ascii="MS UI Gothic" w:eastAsia="MS UI Gothic"/>
          <w:w w:val="80"/>
        </w:rPr>
        <w:t xml:space="preserve">ꎬ </w:t>
      </w:r>
      <w:r>
        <w:t>建设以专业队伍为骨</w:t>
      </w:r>
      <w:r>
        <w:rPr>
          <w:w w:val="105"/>
        </w:rPr>
        <w:t>干</w:t>
      </w:r>
      <w:r>
        <w:rPr>
          <w:rFonts w:hint="eastAsia" w:ascii="MS UI Gothic" w:eastAsia="MS UI Gothic"/>
          <w:w w:val="80"/>
        </w:rPr>
        <w:t xml:space="preserve">、 </w:t>
      </w:r>
      <w:r>
        <w:rPr>
          <w:w w:val="105"/>
        </w:rPr>
        <w:t>兼职队伍为辅助</w:t>
      </w:r>
      <w:r>
        <w:rPr>
          <w:rFonts w:hint="eastAsia" w:ascii="MS UI Gothic" w:eastAsia="MS UI Gothic"/>
          <w:w w:val="80"/>
        </w:rPr>
        <w:t xml:space="preserve">、 </w:t>
      </w:r>
      <w:r>
        <w:rPr>
          <w:w w:val="105"/>
        </w:rPr>
        <w:t>职工队伍为基础的企业应急救援队伍体系</w:t>
      </w:r>
      <w:r>
        <w:rPr>
          <w:rFonts w:hint="eastAsia" w:ascii="MS UI Gothic" w:eastAsia="MS UI Gothic"/>
          <w:w w:val="80"/>
        </w:rPr>
        <w:t>ꎮ</w:t>
      </w:r>
    </w:p>
    <w:p>
      <w:pPr>
        <w:pStyle w:val="6"/>
        <w:spacing w:line="295" w:lineRule="auto"/>
        <w:ind w:right="442"/>
      </w:pPr>
      <w:r>
        <w:t>第十九条 中央企业应当加强应急救援基地建设</w:t>
      </w:r>
      <w:r>
        <w:rPr>
          <w:rFonts w:hint="eastAsia" w:ascii="MS UI Gothic" w:eastAsia="MS UI Gothic"/>
          <w:w w:val="80"/>
        </w:rPr>
        <w:t xml:space="preserve">ꎮ </w:t>
      </w:r>
      <w:r>
        <w:t>煤矿和非煤矿山</w:t>
      </w:r>
      <w:r>
        <w:rPr>
          <w:rFonts w:hint="eastAsia" w:ascii="MS UI Gothic" w:eastAsia="MS UI Gothic"/>
          <w:w w:val="80"/>
        </w:rPr>
        <w:t xml:space="preserve">、 </w:t>
      </w:r>
      <w:r>
        <w:t>石油</w:t>
      </w:r>
      <w:r>
        <w:rPr>
          <w:rFonts w:hint="eastAsia" w:ascii="MS UI Gothic" w:eastAsia="MS UI Gothic"/>
          <w:w w:val="80"/>
        </w:rPr>
        <w:t xml:space="preserve">、 </w:t>
      </w:r>
      <w:r>
        <w:t>化工</w:t>
      </w:r>
      <w:r>
        <w:rPr>
          <w:rFonts w:hint="eastAsia" w:ascii="MS UI Gothic" w:eastAsia="MS UI Gothic"/>
          <w:w w:val="80"/>
        </w:rPr>
        <w:t xml:space="preserve">、 </w:t>
      </w:r>
      <w:r>
        <w:t>电力</w:t>
      </w:r>
      <w:r>
        <w:rPr>
          <w:rFonts w:hint="eastAsia" w:ascii="MS UI Gothic" w:eastAsia="MS UI Gothic"/>
          <w:w w:val="80"/>
        </w:rPr>
        <w:t xml:space="preserve">、 </w:t>
      </w:r>
      <w:r>
        <w:t>通讯</w:t>
      </w:r>
      <w:r>
        <w:rPr>
          <w:rFonts w:hint="eastAsia" w:ascii="MS UI Gothic" w:eastAsia="MS UI Gothic"/>
          <w:w w:val="80"/>
        </w:rPr>
        <w:t xml:space="preserve">、 </w:t>
      </w:r>
      <w:r>
        <w:t>民航</w:t>
      </w:r>
      <w:r>
        <w:rPr>
          <w:rFonts w:hint="eastAsia" w:ascii="MS UI Gothic" w:eastAsia="MS UI Gothic"/>
          <w:w w:val="80"/>
        </w:rPr>
        <w:t xml:space="preserve">、 </w:t>
      </w:r>
      <w:r>
        <w:t>水上运输</w:t>
      </w:r>
      <w:r>
        <w:rPr>
          <w:rFonts w:hint="eastAsia" w:ascii="MS UI Gothic" w:eastAsia="MS UI Gothic"/>
          <w:w w:val="80"/>
        </w:rPr>
        <w:t xml:space="preserve">、 </w:t>
      </w:r>
      <w:r>
        <w:t>核工</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１７１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47" o:spid="_x0000_s1547" o:spt="203" style="height:2.15pt;width:398.25pt;" coordsize="7965,43">
            <o:lock v:ext="edit"/>
            <v:line id="_x0000_s1548" o:spid="_x0000_s1548" o:spt="20" style="position:absolute;left:0;top:39;height:0;width:7965;" stroked="t" coordsize="21600,21600">
              <v:path arrowok="t"/>
              <v:fill focussize="0,0"/>
              <v:stroke weight="0.388031496062992pt" color="#231F20"/>
              <v:imagedata o:title=""/>
              <o:lock v:ext="edit"/>
            </v:line>
            <v:line id="_x0000_s1549" o:spid="_x0000_s154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业等企业应当建设符合专业特点</w:t>
      </w:r>
      <w:r>
        <w:rPr>
          <w:rFonts w:hint="eastAsia" w:ascii="MS UI Gothic" w:eastAsia="MS UI Gothic"/>
          <w:w w:val="80"/>
        </w:rPr>
        <w:t xml:space="preserve">、 </w:t>
      </w:r>
      <w:r>
        <w:t>布局配置合理的应急救援基地</w:t>
      </w:r>
      <w:r>
        <w:rPr>
          <w:rFonts w:hint="eastAsia" w:ascii="MS UI Gothic" w:eastAsia="MS UI Gothic"/>
          <w:w w:val="80"/>
        </w:rPr>
        <w:t xml:space="preserve">ꎬ </w:t>
      </w:r>
      <w:r>
        <w:t>积极参加国家级和区域性应急救援基地建设</w:t>
      </w:r>
      <w:r>
        <w:rPr>
          <w:rFonts w:hint="eastAsia" w:ascii="MS UI Gothic" w:eastAsia="MS UI Gothic"/>
          <w:w w:val="80"/>
        </w:rPr>
        <w:t>ꎮ</w:t>
      </w:r>
    </w:p>
    <w:p>
      <w:pPr>
        <w:pStyle w:val="6"/>
        <w:spacing w:line="295" w:lineRule="auto"/>
        <w:ind w:left="440" w:right="1"/>
        <w:rPr>
          <w:rFonts w:hint="eastAsia" w:ascii="MS UI Gothic" w:eastAsia="MS UI Gothic"/>
        </w:rPr>
      </w:pPr>
      <w:r>
        <w:t>第二十条 中央企业应当加强综合保障能力建设</w:t>
      </w:r>
      <w:r>
        <w:rPr>
          <w:rFonts w:hint="eastAsia" w:ascii="MS UI Gothic" w:eastAsia="MS UI Gothic"/>
          <w:w w:val="80"/>
        </w:rPr>
        <w:t xml:space="preserve">ꎬ </w:t>
      </w:r>
      <w:r>
        <w:t>加强应急装备和物资的储备</w:t>
      </w:r>
      <w:r>
        <w:rPr>
          <w:rFonts w:hint="eastAsia" w:ascii="MS UI Gothic" w:eastAsia="MS UI Gothic"/>
          <w:w w:val="80"/>
        </w:rPr>
        <w:t xml:space="preserve">ꎬ </w:t>
      </w:r>
      <w:r>
        <w:t>满足突发事件处置需求</w:t>
      </w:r>
      <w:r>
        <w:rPr>
          <w:rFonts w:hint="eastAsia" w:ascii="MS UI Gothic" w:eastAsia="MS UI Gothic"/>
          <w:w w:val="80"/>
        </w:rPr>
        <w:t xml:space="preserve">ꎬ </w:t>
      </w:r>
      <w:r>
        <w:t>了解掌握企业所在地周边应急资源情况</w:t>
      </w:r>
      <w:r>
        <w:rPr>
          <w:rFonts w:hint="eastAsia" w:ascii="MS UI Gothic" w:eastAsia="MS UI Gothic"/>
          <w:w w:val="80"/>
        </w:rPr>
        <w:t xml:space="preserve">ꎬ </w:t>
      </w:r>
      <w:r>
        <w:t>并在应急处置中互相支援</w:t>
      </w:r>
      <w:r>
        <w:rPr>
          <w:rFonts w:hint="eastAsia" w:ascii="MS UI Gothic" w:eastAsia="MS UI Gothic"/>
          <w:w w:val="80"/>
        </w:rPr>
        <w:t>ꎮ</w:t>
      </w:r>
    </w:p>
    <w:p>
      <w:pPr>
        <w:pStyle w:val="6"/>
        <w:spacing w:line="295" w:lineRule="auto"/>
        <w:ind w:left="440"/>
        <w:rPr>
          <w:rFonts w:hint="eastAsia" w:ascii="MS UI Gothic" w:eastAsia="MS UI Gothic"/>
        </w:rPr>
      </w:pPr>
      <w:r>
        <w:t>第二十一条 中央企业应当加大应急管理投入力度</w:t>
      </w:r>
      <w:r>
        <w:rPr>
          <w:rFonts w:hint="eastAsia" w:ascii="MS UI Gothic" w:eastAsia="MS UI Gothic"/>
          <w:w w:val="80"/>
        </w:rPr>
        <w:t xml:space="preserve">ꎬ </w:t>
      </w:r>
      <w:r>
        <w:t>切实保障应急体系建设</w:t>
      </w:r>
      <w:r>
        <w:rPr>
          <w:rFonts w:hint="eastAsia" w:ascii="MS UI Gothic" w:eastAsia="MS UI Gothic"/>
          <w:w w:val="80"/>
        </w:rPr>
        <w:t>、</w:t>
      </w:r>
      <w:r>
        <w:t>应急基地和队伍建设</w:t>
      </w:r>
      <w:r>
        <w:rPr>
          <w:rFonts w:hint="eastAsia" w:ascii="MS UI Gothic" w:eastAsia="MS UI Gothic"/>
          <w:w w:val="80"/>
        </w:rPr>
        <w:t xml:space="preserve">、 </w:t>
      </w:r>
      <w:r>
        <w:t>应急装备和物资储备</w:t>
      </w:r>
      <w:r>
        <w:rPr>
          <w:rFonts w:hint="eastAsia" w:ascii="MS UI Gothic" w:eastAsia="MS UI Gothic"/>
          <w:w w:val="80"/>
        </w:rPr>
        <w:t xml:space="preserve">、 </w:t>
      </w:r>
      <w:r>
        <w:t>应急培训演练等的资金需求</w:t>
      </w:r>
      <w:r>
        <w:rPr>
          <w:rFonts w:hint="eastAsia" w:ascii="MS UI Gothic" w:eastAsia="MS UI Gothic"/>
          <w:w w:val="80"/>
        </w:rPr>
        <w:t>ꎮ</w:t>
      </w:r>
    </w:p>
    <w:p>
      <w:pPr>
        <w:pStyle w:val="6"/>
        <w:spacing w:line="295" w:lineRule="auto"/>
        <w:ind w:left="440"/>
        <w:rPr>
          <w:rFonts w:hint="eastAsia" w:ascii="MS UI Gothic" w:eastAsia="MS UI Gothic"/>
        </w:rPr>
      </w:pPr>
      <w:r>
        <w:t>第二十二条 中央企业应当加强与地方人民政府及其相关部门应急预案的衔接工作</w:t>
      </w:r>
      <w:r>
        <w:rPr>
          <w:rFonts w:hint="eastAsia" w:ascii="MS UI Gothic" w:eastAsia="MS UI Gothic"/>
          <w:w w:val="80"/>
        </w:rPr>
        <w:t xml:space="preserve">ꎬ </w:t>
      </w:r>
      <w:r>
        <w:t>建立政府与企业之间的应急联动机制</w:t>
      </w:r>
      <w:r>
        <w:rPr>
          <w:rFonts w:hint="eastAsia" w:ascii="MS UI Gothic" w:eastAsia="MS UI Gothic"/>
          <w:w w:val="80"/>
        </w:rPr>
        <w:t xml:space="preserve">ꎬ </w:t>
      </w:r>
      <w:r>
        <w:t>统筹配置应急救援组织机构</w:t>
      </w:r>
      <w:r>
        <w:rPr>
          <w:rFonts w:hint="eastAsia" w:ascii="MS UI Gothic" w:eastAsia="MS UI Gothic"/>
          <w:w w:val="80"/>
        </w:rPr>
        <w:t xml:space="preserve">、 </w:t>
      </w:r>
      <w:r>
        <w:t>队伍</w:t>
      </w:r>
      <w:r>
        <w:rPr>
          <w:rFonts w:hint="eastAsia" w:ascii="MS UI Gothic" w:eastAsia="MS UI Gothic"/>
          <w:w w:val="80"/>
        </w:rPr>
        <w:t>、</w:t>
      </w:r>
      <w:r>
        <w:t>装备和物资</w:t>
      </w:r>
      <w:r>
        <w:rPr>
          <w:rFonts w:hint="eastAsia" w:ascii="MS UI Gothic" w:eastAsia="MS UI Gothic"/>
          <w:w w:val="80"/>
        </w:rPr>
        <w:t xml:space="preserve">ꎬ </w:t>
      </w:r>
      <w:r>
        <w:t>共享区域应急资源</w:t>
      </w:r>
      <w:r>
        <w:rPr>
          <w:rFonts w:hint="eastAsia" w:ascii="MS UI Gothic" w:eastAsia="MS UI Gothic"/>
          <w:w w:val="80"/>
        </w:rPr>
        <w:t xml:space="preserve">ꎮ </w:t>
      </w:r>
      <w:r>
        <w:t>加强与所在地人民政府</w:t>
      </w:r>
      <w:r>
        <w:rPr>
          <w:rFonts w:hint="eastAsia" w:ascii="MS UI Gothic" w:eastAsia="MS UI Gothic"/>
          <w:w w:val="80"/>
        </w:rPr>
        <w:t xml:space="preserve">、 </w:t>
      </w:r>
      <w:r>
        <w:t>其他企业之间的应急救援联动</w:t>
      </w:r>
      <w:r>
        <w:rPr>
          <w:rFonts w:hint="eastAsia" w:ascii="MS UI Gothic" w:eastAsia="MS UI Gothic"/>
          <w:w w:val="80"/>
        </w:rPr>
        <w:t xml:space="preserve">ꎬ </w:t>
      </w:r>
      <w:r>
        <w:t>有针对性地组织开展联合应急演练</w:t>
      </w:r>
      <w:r>
        <w:rPr>
          <w:rFonts w:hint="eastAsia" w:ascii="MS UI Gothic" w:eastAsia="MS UI Gothic"/>
          <w:w w:val="80"/>
        </w:rPr>
        <w:t xml:space="preserve">ꎬ </w:t>
      </w:r>
      <w:r>
        <w:t>充分发挥应对重大突发事件区域一体化联防功能</w:t>
      </w:r>
      <w:r>
        <w:rPr>
          <w:rFonts w:hint="eastAsia" w:ascii="MS UI Gothic" w:eastAsia="MS UI Gothic"/>
          <w:w w:val="80"/>
        </w:rPr>
        <w:t xml:space="preserve">ꎬ </w:t>
      </w:r>
      <w:r>
        <w:t>提高共同应对突发事件的能力和水平</w:t>
      </w:r>
      <w:r>
        <w:rPr>
          <w:rFonts w:hint="eastAsia" w:ascii="MS UI Gothic" w:eastAsia="MS UI Gothic"/>
          <w:w w:val="80"/>
        </w:rPr>
        <w:t>ꎮ</w:t>
      </w:r>
    </w:p>
    <w:p>
      <w:pPr>
        <w:pStyle w:val="6"/>
        <w:spacing w:line="295" w:lineRule="auto"/>
        <w:ind w:left="440" w:right="1"/>
        <w:rPr>
          <w:rFonts w:hint="eastAsia" w:ascii="MS UI Gothic" w:eastAsia="MS UI Gothic"/>
        </w:rPr>
      </w:pPr>
      <w:r>
        <w:t>第二十三条 中央企业应当建设满足应急需要的应急平台</w:t>
      </w:r>
      <w:r>
        <w:rPr>
          <w:rFonts w:hint="eastAsia" w:ascii="MS UI Gothic" w:eastAsia="MS UI Gothic"/>
          <w:w w:val="80"/>
        </w:rPr>
        <w:t xml:space="preserve">ꎬ </w:t>
      </w:r>
      <w:r>
        <w:t>构建完善的突发事件信息网络</w:t>
      </w:r>
      <w:r>
        <w:rPr>
          <w:rFonts w:hint="eastAsia" w:ascii="MS UI Gothic" w:eastAsia="MS UI Gothic"/>
          <w:w w:val="80"/>
        </w:rPr>
        <w:t xml:space="preserve">ꎬ </w:t>
      </w:r>
      <w:r>
        <w:t>实现突发事件信息快速</w:t>
      </w:r>
      <w:r>
        <w:rPr>
          <w:rFonts w:hint="eastAsia" w:ascii="MS UI Gothic" w:eastAsia="MS UI Gothic"/>
          <w:w w:val="80"/>
        </w:rPr>
        <w:t xml:space="preserve">、 </w:t>
      </w:r>
      <w:r>
        <w:t>及时</w:t>
      </w:r>
      <w:r>
        <w:rPr>
          <w:rFonts w:hint="eastAsia" w:ascii="MS UI Gothic" w:eastAsia="MS UI Gothic"/>
          <w:w w:val="80"/>
        </w:rPr>
        <w:t xml:space="preserve">、 </w:t>
      </w:r>
      <w:r>
        <w:t>准确地收集和报送</w:t>
      </w:r>
      <w:r>
        <w:rPr>
          <w:rFonts w:hint="eastAsia" w:ascii="MS UI Gothic" w:eastAsia="MS UI Gothic"/>
          <w:w w:val="80"/>
        </w:rPr>
        <w:t xml:space="preserve">ꎬ </w:t>
      </w:r>
      <w:r>
        <w:t>为应急指挥决策提供信息支撑和辅助手段</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第二十四条 中央企业应当充分发挥保险在突发事件预防</w:t>
      </w:r>
      <w:r>
        <w:rPr>
          <w:rFonts w:hint="eastAsia" w:ascii="MS UI Gothic" w:eastAsia="MS UI Gothic"/>
          <w:w w:val="80"/>
        </w:rPr>
        <w:t xml:space="preserve">、 </w:t>
      </w:r>
      <w:r>
        <w:rPr>
          <w:w w:val="105"/>
        </w:rPr>
        <w:t>处置和恢复重建等</w:t>
      </w:r>
      <w:r>
        <w:t>方面的作用</w:t>
      </w:r>
      <w:r>
        <w:rPr>
          <w:rFonts w:hint="eastAsia" w:ascii="MS UI Gothic" w:eastAsia="MS UI Gothic"/>
          <w:w w:val="80"/>
        </w:rPr>
        <w:t xml:space="preserve">ꎬ </w:t>
      </w:r>
      <w:r>
        <w:t>大力推进意外伤害保险和责任保险制度建设</w:t>
      </w:r>
      <w:r>
        <w:rPr>
          <w:rFonts w:hint="eastAsia" w:ascii="MS UI Gothic" w:eastAsia="MS UI Gothic"/>
          <w:w w:val="80"/>
        </w:rPr>
        <w:t xml:space="preserve">ꎬ </w:t>
      </w:r>
      <w:r>
        <w:t>完善对专业和兼职应急</w:t>
      </w:r>
      <w:r>
        <w:rPr>
          <w:w w:val="105"/>
        </w:rPr>
        <w:t>队伍的工伤保险制度</w:t>
      </w:r>
      <w:r>
        <w:rPr>
          <w:rFonts w:hint="eastAsia" w:ascii="MS UI Gothic" w:eastAsia="MS UI Gothic"/>
          <w:w w:val="80"/>
        </w:rPr>
        <w:t>ꎮ</w:t>
      </w:r>
    </w:p>
    <w:p>
      <w:pPr>
        <w:pStyle w:val="6"/>
        <w:spacing w:line="295" w:lineRule="auto"/>
        <w:ind w:left="440" w:right="1"/>
        <w:rPr>
          <w:rFonts w:hint="eastAsia" w:ascii="MS UI Gothic" w:eastAsia="MS UI Gothic"/>
        </w:rPr>
      </w:pPr>
      <w:r>
        <w:t>第二十五条 中央企业应当积极推进科技支撑体系建设</w:t>
      </w:r>
      <w:r>
        <w:rPr>
          <w:rFonts w:hint="eastAsia" w:ascii="MS UI Gothic" w:eastAsia="MS UI Gothic"/>
          <w:w w:val="80"/>
        </w:rPr>
        <w:t xml:space="preserve">ꎬ </w:t>
      </w:r>
      <w:r>
        <w:t>紧密跟踪国内外先进应急理论</w:t>
      </w:r>
      <w:r>
        <w:rPr>
          <w:rFonts w:hint="eastAsia" w:ascii="MS UI Gothic" w:eastAsia="MS UI Gothic"/>
          <w:w w:val="80"/>
        </w:rPr>
        <w:t xml:space="preserve">、 </w:t>
      </w:r>
      <w:r>
        <w:t>技术发展</w:t>
      </w:r>
      <w:r>
        <w:rPr>
          <w:rFonts w:hint="eastAsia" w:ascii="MS UI Gothic" w:eastAsia="MS UI Gothic"/>
          <w:w w:val="80"/>
        </w:rPr>
        <w:t xml:space="preserve">ꎬ </w:t>
      </w:r>
      <w:r>
        <w:t>针对企业应急工作的重点和难点</w:t>
      </w:r>
      <w:r>
        <w:rPr>
          <w:rFonts w:hint="eastAsia" w:ascii="MS UI Gothic" w:eastAsia="MS UI Gothic"/>
          <w:w w:val="80"/>
        </w:rPr>
        <w:t xml:space="preserve">ꎬ </w:t>
      </w:r>
      <w:r>
        <w:t>加强与科研机构的联合攻关</w:t>
      </w:r>
      <w:r>
        <w:rPr>
          <w:rFonts w:hint="eastAsia" w:ascii="MS UI Gothic" w:eastAsia="MS UI Gothic"/>
          <w:w w:val="80"/>
        </w:rPr>
        <w:t xml:space="preserve">ꎬ </w:t>
      </w:r>
      <w:r>
        <w:t>积极研发和使用突发事件预防</w:t>
      </w:r>
      <w:r>
        <w:rPr>
          <w:rFonts w:hint="eastAsia" w:ascii="MS UI Gothic" w:eastAsia="MS UI Gothic"/>
          <w:w w:val="80"/>
        </w:rPr>
        <w:t xml:space="preserve">、 </w:t>
      </w:r>
      <w:r>
        <w:t>监测</w:t>
      </w:r>
      <w:r>
        <w:rPr>
          <w:rFonts w:hint="eastAsia" w:ascii="MS UI Gothic" w:eastAsia="MS UI Gothic"/>
          <w:w w:val="80"/>
        </w:rPr>
        <w:t xml:space="preserve">、 </w:t>
      </w:r>
      <w:r>
        <w:t>预警</w:t>
      </w:r>
      <w:r>
        <w:rPr>
          <w:rFonts w:hint="eastAsia" w:ascii="MS UI Gothic" w:eastAsia="MS UI Gothic"/>
          <w:w w:val="80"/>
        </w:rPr>
        <w:t xml:space="preserve">、 </w:t>
      </w:r>
      <w:r>
        <w:t>应急处置与救援的新技术</w:t>
      </w:r>
      <w:r>
        <w:rPr>
          <w:rFonts w:hint="eastAsia" w:ascii="MS UI Gothic" w:eastAsia="MS UI Gothic"/>
          <w:w w:val="80"/>
        </w:rPr>
        <w:t xml:space="preserve">、 </w:t>
      </w:r>
      <w:r>
        <w:t>新设备</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t>第二十六条 中央企业应当建立突发事件信息报告制度</w:t>
      </w:r>
      <w:r>
        <w:rPr>
          <w:rFonts w:hint="eastAsia" w:ascii="MS UI Gothic" w:eastAsia="MS UI Gothic"/>
          <w:w w:val="80"/>
        </w:rPr>
        <w:t xml:space="preserve">ꎮ </w:t>
      </w:r>
      <w:r>
        <w:t>突发事件发生后</w:t>
      </w:r>
      <w:r>
        <w:rPr>
          <w:rFonts w:hint="eastAsia" w:ascii="MS UI Gothic" w:eastAsia="MS UI Gothic"/>
          <w:w w:val="80"/>
        </w:rPr>
        <w:t xml:space="preserve">ꎬ </w:t>
      </w:r>
      <w:r>
        <w:t>要立即向所在地人民政府报告</w:t>
      </w:r>
      <w:r>
        <w:rPr>
          <w:rFonts w:hint="eastAsia" w:ascii="MS UI Gothic" w:eastAsia="MS UI Gothic"/>
          <w:w w:val="80"/>
        </w:rPr>
        <w:t xml:space="preserve">ꎬ </w:t>
      </w:r>
      <w:r>
        <w:t>并按照要求向国务院有关部门和国资委报告</w:t>
      </w:r>
      <w:r>
        <w:rPr>
          <w:rFonts w:hint="eastAsia" w:ascii="MS UI Gothic" w:eastAsia="MS UI Gothic"/>
          <w:w w:val="80"/>
        </w:rPr>
        <w:t xml:space="preserve">ꎬ </w:t>
      </w:r>
      <w:r>
        <w:t>情况紧急时</w:t>
      </w:r>
      <w:r>
        <w:rPr>
          <w:rFonts w:hint="eastAsia" w:ascii="MS UI Gothic" w:eastAsia="MS UI Gothic"/>
          <w:w w:val="80"/>
        </w:rPr>
        <w:t xml:space="preserve">ꎬ </w:t>
      </w:r>
      <w:r>
        <w:t>可直接向国务院报告</w:t>
      </w:r>
      <w:r>
        <w:rPr>
          <w:rFonts w:hint="eastAsia" w:ascii="MS UI Gothic" w:eastAsia="MS UI Gothic"/>
          <w:w w:val="80"/>
        </w:rPr>
        <w:t xml:space="preserve">ꎮ </w:t>
      </w:r>
      <w:r>
        <w:t>信息要做到及时</w:t>
      </w:r>
      <w:r>
        <w:rPr>
          <w:rFonts w:hint="eastAsia" w:ascii="MS UI Gothic" w:eastAsia="MS UI Gothic"/>
          <w:w w:val="80"/>
        </w:rPr>
        <w:t xml:space="preserve">、 </w:t>
      </w:r>
      <w:r>
        <w:t>客观</w:t>
      </w:r>
      <w:r>
        <w:rPr>
          <w:rFonts w:hint="eastAsia" w:ascii="MS UI Gothic" w:eastAsia="MS UI Gothic"/>
          <w:w w:val="80"/>
        </w:rPr>
        <w:t xml:space="preserve">、 </w:t>
      </w:r>
      <w:r>
        <w:t>真实</w:t>
      </w:r>
      <w:r>
        <w:rPr>
          <w:rFonts w:hint="eastAsia" w:ascii="MS UI Gothic" w:eastAsia="MS UI Gothic"/>
          <w:w w:val="80"/>
        </w:rPr>
        <w:t xml:space="preserve">ꎬ </w:t>
      </w:r>
      <w:r>
        <w:t>不得迟报</w:t>
      </w:r>
      <w:r>
        <w:rPr>
          <w:rFonts w:hint="eastAsia" w:ascii="MS UI Gothic" w:eastAsia="MS UI Gothic"/>
          <w:w w:val="80"/>
        </w:rPr>
        <w:t xml:space="preserve">、  </w:t>
      </w:r>
      <w:r>
        <w:t>谎报</w:t>
      </w:r>
      <w:r>
        <w:rPr>
          <w:rFonts w:hint="eastAsia" w:ascii="MS UI Gothic" w:eastAsia="MS UI Gothic"/>
          <w:w w:val="80"/>
        </w:rPr>
        <w:t xml:space="preserve">、  </w:t>
      </w:r>
      <w:r>
        <w:t>瞒报</w:t>
      </w:r>
      <w:r>
        <w:rPr>
          <w:rFonts w:hint="eastAsia" w:ascii="MS UI Gothic" w:eastAsia="MS UI Gothic"/>
          <w:w w:val="80"/>
        </w:rPr>
        <w:t xml:space="preserve">、 </w:t>
      </w:r>
      <w:r>
        <w:t>漏报</w:t>
      </w:r>
      <w:r>
        <w:rPr>
          <w:rFonts w:hint="eastAsia" w:ascii="MS UI Gothic" w:eastAsia="MS UI Gothic"/>
          <w:w w:val="80"/>
        </w:rPr>
        <w:t>ꎮ</w:t>
      </w:r>
    </w:p>
    <w:p>
      <w:pPr>
        <w:pStyle w:val="6"/>
        <w:spacing w:line="295" w:lineRule="auto"/>
        <w:ind w:left="381" w:right="124"/>
        <w:rPr>
          <w:rFonts w:hint="eastAsia" w:ascii="MS UI Gothic" w:eastAsia="MS UI Gothic"/>
        </w:rPr>
      </w:pPr>
      <w:r>
        <w:t>第二十七条 中央企业应当建立突发事件统计分析制度</w:t>
      </w:r>
      <w:r>
        <w:rPr>
          <w:rFonts w:hint="eastAsia" w:ascii="MS UI Gothic" w:eastAsia="MS UI Gothic"/>
          <w:w w:val="80"/>
        </w:rPr>
        <w:t xml:space="preserve">ꎬ </w:t>
      </w:r>
      <w:r>
        <w:t>及时</w:t>
      </w:r>
      <w:r>
        <w:rPr>
          <w:rFonts w:hint="eastAsia" w:ascii="MS UI Gothic" w:eastAsia="MS UI Gothic"/>
          <w:w w:val="80"/>
        </w:rPr>
        <w:t xml:space="preserve">、 </w:t>
      </w:r>
      <w:r>
        <w:t>全面</w:t>
      </w:r>
      <w:r>
        <w:rPr>
          <w:rFonts w:hint="eastAsia" w:ascii="MS UI Gothic" w:eastAsia="MS UI Gothic"/>
          <w:w w:val="80"/>
        </w:rPr>
        <w:t xml:space="preserve">、 </w:t>
      </w:r>
      <w:r>
        <w:t>准确地统计各类突发事件发生起数</w:t>
      </w:r>
      <w:r>
        <w:rPr>
          <w:rFonts w:hint="eastAsia" w:ascii="MS UI Gothic" w:eastAsia="MS UI Gothic"/>
          <w:w w:val="80"/>
        </w:rPr>
        <w:t xml:space="preserve">、 </w:t>
      </w:r>
      <w:r>
        <w:t>伤亡人数</w:t>
      </w:r>
      <w:r>
        <w:rPr>
          <w:rFonts w:hint="eastAsia" w:ascii="MS UI Gothic" w:eastAsia="MS UI Gothic"/>
          <w:w w:val="80"/>
        </w:rPr>
        <w:t>、</w:t>
      </w:r>
      <w:r>
        <w:t>造成的经济损失等相关情况</w:t>
      </w:r>
      <w:r>
        <w:rPr>
          <w:rFonts w:hint="eastAsia" w:ascii="MS UI Gothic" w:eastAsia="MS UI Gothic"/>
          <w:w w:val="80"/>
        </w:rPr>
        <w:t xml:space="preserve">ꎬ </w:t>
      </w:r>
      <w:r>
        <w:t>并纳入企业的统计指标体系</w:t>
      </w:r>
      <w:r>
        <w:rPr>
          <w:rFonts w:hint="eastAsia" w:ascii="MS UI Gothic" w:eastAsia="MS UI Gothic"/>
          <w:w w:val="80"/>
        </w:rPr>
        <w:t>ꎮ</w:t>
      </w:r>
    </w:p>
    <w:p>
      <w:pPr>
        <w:pStyle w:val="6"/>
        <w:spacing w:line="295" w:lineRule="auto"/>
        <w:ind w:left="381" w:right="124"/>
        <w:rPr>
          <w:rFonts w:hint="eastAsia" w:ascii="MS UI Gothic" w:eastAsia="MS UI Gothic"/>
        </w:rPr>
      </w:pPr>
      <w:r>
        <w:t>第二十八条 造成人员伤亡或生命受到威胁的突发事件发生后</w:t>
      </w:r>
      <w:r>
        <w:rPr>
          <w:rFonts w:hint="eastAsia" w:ascii="MS UI Gothic" w:eastAsia="MS UI Gothic"/>
          <w:w w:val="80"/>
        </w:rPr>
        <w:t xml:space="preserve">ꎬ </w:t>
      </w:r>
      <w:r>
        <w:t>中央企业应当立即启动应急预案</w:t>
      </w:r>
      <w:r>
        <w:rPr>
          <w:rFonts w:hint="eastAsia" w:ascii="MS UI Gothic" w:eastAsia="MS UI Gothic"/>
          <w:w w:val="80"/>
        </w:rPr>
        <w:t xml:space="preserve">ꎬ </w:t>
      </w:r>
      <w:r>
        <w:t>组织本单位应急救援队伍和工作人员营救受害人员</w:t>
      </w:r>
      <w:r>
        <w:rPr>
          <w:rFonts w:hint="eastAsia" w:ascii="MS UI Gothic" w:eastAsia="MS UI Gothic"/>
          <w:w w:val="80"/>
        </w:rPr>
        <w:t xml:space="preserve">ꎬ </w:t>
      </w:r>
      <w:r>
        <w:t>疏散</w:t>
      </w:r>
      <w:r>
        <w:rPr>
          <w:rFonts w:hint="eastAsia" w:ascii="MS UI Gothic" w:eastAsia="MS UI Gothic"/>
          <w:w w:val="80"/>
        </w:rPr>
        <w:t xml:space="preserve">、 </w:t>
      </w:r>
      <w:r>
        <w:t>撤离</w:t>
      </w:r>
      <w:r>
        <w:rPr>
          <w:rFonts w:hint="eastAsia" w:ascii="MS UI Gothic" w:eastAsia="MS UI Gothic"/>
          <w:w w:val="80"/>
        </w:rPr>
        <w:t xml:space="preserve">、 </w:t>
      </w:r>
      <w:r>
        <w:t>安置受到威胁的人员</w:t>
      </w:r>
      <w:r>
        <w:rPr>
          <w:rFonts w:hint="eastAsia" w:ascii="MS UI Gothic" w:eastAsia="MS UI Gothic"/>
          <w:w w:val="80"/>
        </w:rPr>
        <w:t xml:space="preserve">ꎬ </w:t>
      </w:r>
      <w:r>
        <w:t>控制危险源</w:t>
      </w:r>
      <w:r>
        <w:rPr>
          <w:rFonts w:hint="eastAsia" w:ascii="MS UI Gothic" w:eastAsia="MS UI Gothic"/>
          <w:w w:val="80"/>
        </w:rPr>
        <w:t>ꎬ</w:t>
      </w:r>
      <w:r>
        <w:t>标明危险区域</w:t>
      </w:r>
      <w:r>
        <w:rPr>
          <w:rFonts w:hint="eastAsia" w:ascii="MS UI Gothic" w:eastAsia="MS UI Gothic"/>
          <w:w w:val="80"/>
        </w:rPr>
        <w:t xml:space="preserve">ꎬ </w:t>
      </w:r>
      <w:r>
        <w:t>封锁危险场所</w:t>
      </w:r>
      <w:r>
        <w:rPr>
          <w:rFonts w:hint="eastAsia" w:ascii="MS UI Gothic" w:eastAsia="MS UI Gothic"/>
          <w:w w:val="80"/>
        </w:rPr>
        <w:t xml:space="preserve">ꎬ </w:t>
      </w:r>
      <w:r>
        <w:t>并采取防止危害扩大的必要措施</w:t>
      </w:r>
      <w:r>
        <w:rPr>
          <w:rFonts w:hint="eastAsia" w:ascii="MS UI Gothic" w:eastAsia="MS UI Gothic"/>
          <w:w w:val="80"/>
        </w:rPr>
        <w:t xml:space="preserve">ꎬ </w:t>
      </w:r>
      <w:r>
        <w:t>同时及时向所在地人民政府和有关部门报告</w:t>
      </w:r>
      <w:r>
        <w:rPr>
          <w:rFonts w:hint="eastAsia" w:ascii="MS UI Gothic" w:eastAsia="MS UI Gothic"/>
          <w:w w:val="80"/>
        </w:rPr>
        <w:t xml:space="preserve">ꎻ </w:t>
      </w:r>
      <w:r>
        <w:t>对因本单位的问题引发的或者主体是本单位人员的社会安全事件</w:t>
      </w:r>
      <w:r>
        <w:rPr>
          <w:rFonts w:hint="eastAsia" w:ascii="MS UI Gothic" w:eastAsia="MS UI Gothic"/>
          <w:w w:val="80"/>
        </w:rPr>
        <w:t xml:space="preserve">ꎬ </w:t>
      </w:r>
      <w:r>
        <w:t>有关单位应当按照规定上报情况</w:t>
      </w:r>
      <w:r>
        <w:rPr>
          <w:rFonts w:hint="eastAsia" w:ascii="MS UI Gothic" w:eastAsia="MS UI Gothic"/>
          <w:w w:val="80"/>
        </w:rPr>
        <w:t xml:space="preserve">ꎬ </w:t>
      </w:r>
      <w:r>
        <w:t>并迅速派出负责人赶赴现场开展劝解</w:t>
      </w:r>
      <w:r>
        <w:rPr>
          <w:rFonts w:hint="eastAsia" w:ascii="MS UI Gothic" w:eastAsia="MS UI Gothic"/>
          <w:w w:val="80"/>
        </w:rPr>
        <w:t xml:space="preserve">、 </w:t>
      </w:r>
      <w:r>
        <w:t>疏导工作</w:t>
      </w:r>
      <w:r>
        <w:rPr>
          <w:rFonts w:hint="eastAsia" w:ascii="MS UI Gothic" w:eastAsia="MS UI Gothic"/>
          <w:w w:val="80"/>
        </w:rPr>
        <w:t xml:space="preserve">ꎻ </w:t>
      </w:r>
      <w:r>
        <w:t>突发事件处置过程中</w:t>
      </w:r>
      <w:r>
        <w:rPr>
          <w:rFonts w:hint="eastAsia" w:ascii="MS UI Gothic" w:eastAsia="MS UI Gothic"/>
          <w:w w:val="80"/>
        </w:rPr>
        <w:t xml:space="preserve">ꎬ </w:t>
      </w:r>
      <w:r>
        <w:t>应加强协调</w:t>
      </w:r>
      <w:r>
        <w:rPr>
          <w:rFonts w:hint="eastAsia" w:ascii="MS UI Gothic" w:eastAsia="MS UI Gothic"/>
          <w:w w:val="80"/>
        </w:rPr>
        <w:t xml:space="preserve">ꎬ </w:t>
      </w:r>
      <w:r>
        <w:t>服从指挥</w:t>
      </w:r>
      <w:r>
        <w:rPr>
          <w:rFonts w:hint="eastAsia" w:ascii="MS UI Gothic" w:eastAsia="MS UI Gothic"/>
          <w:w w:val="80"/>
        </w:rPr>
        <w:t>ꎮ</w:t>
      </w:r>
    </w:p>
    <w:p>
      <w:pPr>
        <w:pStyle w:val="6"/>
        <w:spacing w:line="295" w:lineRule="auto"/>
        <w:ind w:left="381" w:right="126"/>
        <w:rPr>
          <w:rFonts w:hint="eastAsia" w:ascii="MS UI Gothic" w:eastAsia="MS UI Gothic"/>
        </w:rPr>
      </w:pPr>
      <w:r>
        <w:t>第二十九条 中央企业应当建立突发事件信息披露机制</w:t>
      </w:r>
      <w:r>
        <w:rPr>
          <w:rFonts w:hint="eastAsia" w:ascii="MS UI Gothic" w:eastAsia="MS UI Gothic"/>
          <w:w w:val="80"/>
        </w:rPr>
        <w:t xml:space="preserve">ꎬ </w:t>
      </w:r>
      <w:r>
        <w:t>突发事件发生后</w:t>
      </w:r>
      <w:r>
        <w:rPr>
          <w:rFonts w:hint="eastAsia" w:ascii="MS UI Gothic" w:eastAsia="MS UI Gothic"/>
          <w:w w:val="80"/>
        </w:rPr>
        <w:t xml:space="preserve">ꎬ </w:t>
      </w:r>
      <w:r>
        <w:t>应第一时间启动新闻宣传应急预案</w:t>
      </w:r>
      <w:r>
        <w:rPr>
          <w:rFonts w:hint="eastAsia" w:ascii="MS UI Gothic" w:eastAsia="MS UI Gothic"/>
          <w:w w:val="80"/>
        </w:rPr>
        <w:t xml:space="preserve">、 </w:t>
      </w:r>
      <w:r>
        <w:t>全面开展舆情监测</w:t>
      </w:r>
      <w:r>
        <w:rPr>
          <w:rFonts w:hint="eastAsia" w:ascii="MS UI Gothic" w:eastAsia="MS UI Gothic"/>
          <w:w w:val="80"/>
        </w:rPr>
        <w:t xml:space="preserve">、 </w:t>
      </w:r>
      <w:r>
        <w:t>拟定媒体应答口径</w:t>
      </w:r>
      <w:r>
        <w:rPr>
          <w:rFonts w:hint="eastAsia" w:ascii="MS UI Gothic" w:eastAsia="MS UI Gothic"/>
          <w:w w:val="80"/>
        </w:rPr>
        <w:t xml:space="preserve">ꎬ </w:t>
      </w:r>
      <w:r>
        <w:t>做好采访接待准备</w:t>
      </w:r>
      <w:r>
        <w:rPr>
          <w:rFonts w:hint="eastAsia" w:ascii="MS UI Gothic" w:eastAsia="MS UI Gothic"/>
          <w:w w:val="80"/>
        </w:rPr>
        <w:t xml:space="preserve">ꎬ </w:t>
      </w:r>
      <w:r>
        <w:t>并按照有关规定和政府有关部门的统一安排</w:t>
      </w:r>
      <w:r>
        <w:rPr>
          <w:rFonts w:hint="eastAsia" w:ascii="MS UI Gothic" w:eastAsia="MS UI Gothic"/>
          <w:w w:val="80"/>
        </w:rPr>
        <w:t xml:space="preserve">ꎬ </w:t>
      </w:r>
      <w:r>
        <w:t>及时准确地向社会</w:t>
      </w:r>
      <w:r>
        <w:rPr>
          <w:rFonts w:hint="eastAsia" w:ascii="MS UI Gothic" w:eastAsia="MS UI Gothic"/>
          <w:w w:val="80"/>
        </w:rPr>
        <w:t xml:space="preserve">、 </w:t>
      </w:r>
      <w:r>
        <w:t>媒体</w:t>
      </w:r>
      <w:r>
        <w:rPr>
          <w:rFonts w:hint="eastAsia" w:ascii="MS UI Gothic" w:eastAsia="MS UI Gothic"/>
          <w:w w:val="80"/>
        </w:rPr>
        <w:t xml:space="preserve">、 </w:t>
      </w:r>
      <w:r>
        <w:t>员工披露有关突发事件事态发展和应急处置进展情况的信息</w:t>
      </w:r>
      <w:r>
        <w:rPr>
          <w:rFonts w:hint="eastAsia" w:ascii="MS UI Gothic" w:eastAsia="MS UI Gothic"/>
          <w:w w:val="80"/>
        </w:rPr>
        <w:t>ꎮ</w:t>
      </w:r>
    </w:p>
    <w:p>
      <w:pPr>
        <w:pStyle w:val="6"/>
        <w:spacing w:line="295" w:lineRule="auto"/>
        <w:ind w:left="381" w:right="126"/>
      </w:pPr>
      <w:r>
        <w:t>第三十条 突发事件的威胁和危害得到控制或者消除后</w:t>
      </w:r>
      <w:r>
        <w:rPr>
          <w:rFonts w:hint="eastAsia" w:ascii="MS UI Gothic" w:eastAsia="MS UI Gothic"/>
          <w:w w:val="80"/>
        </w:rPr>
        <w:t xml:space="preserve">ꎬ </w:t>
      </w:r>
      <w:r>
        <w:t>中央企业应当按照政府有关部门的要求解除应急状态</w:t>
      </w:r>
      <w:r>
        <w:rPr>
          <w:rFonts w:hint="eastAsia" w:ascii="MS UI Gothic" w:eastAsia="MS UI Gothic"/>
          <w:w w:val="80"/>
        </w:rPr>
        <w:t xml:space="preserve">ꎬ </w:t>
      </w:r>
      <w:r>
        <w:t>并及时组织对突发事件造成的损害进行评估</w:t>
      </w:r>
      <w:r>
        <w:rPr>
          <w:rFonts w:hint="eastAsia" w:ascii="MS UI Gothic" w:eastAsia="MS UI Gothic"/>
          <w:w w:val="80"/>
        </w:rPr>
        <w:t xml:space="preserve">ꎬ </w:t>
      </w:r>
      <w:r>
        <w:t>开展或协助开展突发事件调查处理</w:t>
      </w:r>
      <w:r>
        <w:rPr>
          <w:rFonts w:hint="eastAsia" w:ascii="MS UI Gothic" w:eastAsia="MS UI Gothic"/>
          <w:w w:val="80"/>
        </w:rPr>
        <w:t xml:space="preserve">ꎬ </w:t>
      </w:r>
      <w:r>
        <w:t>查明发生经过和原因</w:t>
      </w:r>
      <w:r>
        <w:rPr>
          <w:rFonts w:hint="eastAsia" w:ascii="MS UI Gothic" w:eastAsia="MS UI Gothic"/>
          <w:w w:val="80"/>
        </w:rPr>
        <w:t xml:space="preserve">ꎬ </w:t>
      </w:r>
      <w:r>
        <w:t>总结经验教训</w:t>
      </w:r>
      <w:r>
        <w:rPr>
          <w:rFonts w:hint="eastAsia" w:ascii="MS UI Gothic" w:eastAsia="MS UI Gothic"/>
          <w:w w:val="80"/>
        </w:rPr>
        <w:t xml:space="preserve">ꎬ </w:t>
      </w:r>
      <w:r>
        <w:t>制定改进</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１７２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50" o:spid="_x0000_s1550" o:spt="203" style="height:2.15pt;width:398.25pt;" coordsize="7965,43">
            <o:lock v:ext="edit"/>
            <v:line id="_x0000_s1551" o:spid="_x0000_s1551" o:spt="20" style="position:absolute;left:0;top:39;height:0;width:7965;" stroked="t" coordsize="21600,21600">
              <v:path arrowok="t"/>
              <v:fill focussize="0,0"/>
              <v:stroke weight="0.388031496062992pt" color="#231F20"/>
              <v:imagedata o:title=""/>
              <o:lock v:ext="edit"/>
            </v:line>
            <v:line id="_x0000_s1552" o:spid="_x0000_s155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jc w:val="left"/>
        <w:rPr>
          <w:rFonts w:hint="eastAsia" w:ascii="MS UI Gothic" w:eastAsia="MS UI Gothic"/>
        </w:rPr>
      </w:pPr>
      <w:r>
        <w:t>措施</w:t>
      </w:r>
      <w:r>
        <w:rPr>
          <w:rFonts w:hint="eastAsia" w:ascii="MS UI Gothic" w:eastAsia="MS UI Gothic"/>
          <w:w w:val="80"/>
        </w:rPr>
        <w:t xml:space="preserve">ꎬ </w:t>
      </w:r>
      <w:r>
        <w:t>尽快恢复正常的生产</w:t>
      </w:r>
      <w:r>
        <w:rPr>
          <w:rFonts w:hint="eastAsia" w:ascii="MS UI Gothic" w:eastAsia="MS UI Gothic"/>
        </w:rPr>
        <w:t xml:space="preserve">、 </w:t>
      </w:r>
      <w:r>
        <w:t>生活和社会秩序</w:t>
      </w:r>
      <w:r>
        <w:rPr>
          <w:rFonts w:hint="eastAsia" w:ascii="MS UI Gothic" w:eastAsia="MS UI Gothic"/>
          <w:w w:val="80"/>
        </w:rPr>
        <w:t>ꎮ</w:t>
      </w:r>
    </w:p>
    <w:p>
      <w:pPr>
        <w:pStyle w:val="6"/>
        <w:tabs>
          <w:tab w:val="left" w:pos="1906"/>
        </w:tabs>
        <w:spacing w:before="156"/>
        <w:ind w:left="1067" w:firstLine="0"/>
        <w:jc w:val="left"/>
      </w:pPr>
      <w:r>
        <w:rPr>
          <w:spacing w:val="3"/>
          <w:w w:val="105"/>
        </w:rPr>
        <w:t>第四</w:t>
      </w:r>
      <w:r>
        <w:rPr>
          <w:w w:val="105"/>
        </w:rPr>
        <w:t>章</w:t>
      </w:r>
      <w:r>
        <w:rPr>
          <w:w w:val="105"/>
        </w:rPr>
        <w:tab/>
      </w:r>
      <w:r>
        <w:rPr>
          <w:w w:val="105"/>
        </w:rPr>
        <w:t>社</w:t>
      </w:r>
      <w:r>
        <w:rPr>
          <w:spacing w:val="-34"/>
          <w:w w:val="105"/>
        </w:rPr>
        <w:t xml:space="preserve"> </w:t>
      </w:r>
      <w:r>
        <w:rPr>
          <w:w w:val="105"/>
        </w:rPr>
        <w:t>会</w:t>
      </w:r>
      <w:r>
        <w:rPr>
          <w:spacing w:val="-33"/>
          <w:w w:val="105"/>
        </w:rPr>
        <w:t xml:space="preserve"> </w:t>
      </w:r>
      <w:r>
        <w:rPr>
          <w:w w:val="105"/>
        </w:rPr>
        <w:t>救</w:t>
      </w:r>
      <w:r>
        <w:rPr>
          <w:spacing w:val="-33"/>
          <w:w w:val="105"/>
        </w:rPr>
        <w:t xml:space="preserve"> </w:t>
      </w:r>
      <w:r>
        <w:rPr>
          <w:w w:val="105"/>
        </w:rPr>
        <w:t>援</w:t>
      </w:r>
    </w:p>
    <w:p>
      <w:pPr>
        <w:pStyle w:val="6"/>
        <w:spacing w:before="215" w:line="295" w:lineRule="auto"/>
        <w:ind w:right="39"/>
        <w:rPr>
          <w:rFonts w:hint="eastAsia" w:ascii="MS UI Gothic" w:eastAsia="MS UI Gothic"/>
        </w:rPr>
      </w:pPr>
      <w:r>
        <w:t>第三十一条 中央企业在做好本企业应急救援工作的同时</w:t>
      </w:r>
      <w:r>
        <w:rPr>
          <w:rFonts w:hint="eastAsia" w:ascii="MS UI Gothic" w:eastAsia="MS UI Gothic"/>
          <w:w w:val="80"/>
        </w:rPr>
        <w:t xml:space="preserve">ꎬ </w:t>
      </w:r>
      <w:r>
        <w:t>要切实履行社会责任</w:t>
      </w:r>
      <w:r>
        <w:rPr>
          <w:rFonts w:hint="eastAsia" w:ascii="MS UI Gothic" w:eastAsia="MS UI Gothic"/>
          <w:w w:val="80"/>
        </w:rPr>
        <w:t xml:space="preserve">ꎬ </w:t>
      </w:r>
      <w:r>
        <w:t>积极参与各类社会公共突发事件的应对处置</w:t>
      </w:r>
      <w:r>
        <w:rPr>
          <w:rFonts w:hint="eastAsia" w:ascii="MS UI Gothic" w:eastAsia="MS UI Gothic"/>
          <w:w w:val="80"/>
        </w:rPr>
        <w:t xml:space="preserve">ꎬ </w:t>
      </w:r>
      <w:r>
        <w:t>在政府的统一领导下</w:t>
      </w:r>
      <w:r>
        <w:rPr>
          <w:rFonts w:hint="eastAsia" w:ascii="MS UI Gothic" w:eastAsia="MS UI Gothic"/>
          <w:w w:val="80"/>
        </w:rPr>
        <w:t xml:space="preserve">ꎬ </w:t>
      </w:r>
      <w:r>
        <w:t>发挥自身专业技术</w:t>
      </w:r>
      <w:r>
        <w:rPr>
          <w:rFonts w:hint="eastAsia" w:ascii="MS UI Gothic" w:eastAsia="MS UI Gothic"/>
          <w:w w:val="80"/>
        </w:rPr>
        <w:t xml:space="preserve">、 </w:t>
      </w:r>
      <w:r>
        <w:t>装备</w:t>
      </w:r>
      <w:r>
        <w:rPr>
          <w:rFonts w:hint="eastAsia" w:ascii="MS UI Gothic" w:eastAsia="MS UI Gothic"/>
          <w:w w:val="80"/>
        </w:rPr>
        <w:t xml:space="preserve">、 </w:t>
      </w:r>
      <w:r>
        <w:t>资源优势</w:t>
      </w:r>
      <w:r>
        <w:rPr>
          <w:rFonts w:hint="eastAsia" w:ascii="MS UI Gothic" w:eastAsia="MS UI Gothic"/>
          <w:w w:val="80"/>
        </w:rPr>
        <w:t xml:space="preserve">ꎬ </w:t>
      </w:r>
      <w:r>
        <w:t>开展应急救援</w:t>
      </w:r>
      <w:r>
        <w:rPr>
          <w:rFonts w:hint="eastAsia" w:ascii="MS UI Gothic" w:eastAsia="MS UI Gothic"/>
          <w:w w:val="80"/>
        </w:rPr>
        <w:t xml:space="preserve">ꎬ </w:t>
      </w:r>
      <w:r>
        <w:t>共同维护社会稳定和人民群众生命财产安全</w:t>
      </w:r>
      <w:r>
        <w:rPr>
          <w:rFonts w:hint="eastAsia" w:ascii="MS UI Gothic" w:eastAsia="MS UI Gothic"/>
          <w:w w:val="80"/>
        </w:rPr>
        <w:t>ꎮ</w:t>
      </w:r>
    </w:p>
    <w:p>
      <w:pPr>
        <w:pStyle w:val="6"/>
        <w:spacing w:line="295" w:lineRule="auto"/>
        <w:ind w:right="39"/>
        <w:rPr>
          <w:rFonts w:hint="eastAsia" w:ascii="MS UI Gothic" w:eastAsia="MS UI Gothic"/>
        </w:rPr>
      </w:pPr>
      <w:r>
        <w:t>第三十二条 社会公共突发事件发生后</w:t>
      </w:r>
      <w:r>
        <w:rPr>
          <w:rFonts w:hint="eastAsia" w:ascii="MS UI Gothic" w:eastAsia="MS UI Gothic"/>
          <w:w w:val="80"/>
        </w:rPr>
        <w:t xml:space="preserve">ꎬ </w:t>
      </w:r>
      <w:r>
        <w:t>相关中央企业应当按照政府及有关部门要求</w:t>
      </w:r>
      <w:r>
        <w:rPr>
          <w:rFonts w:hint="eastAsia" w:ascii="MS UI Gothic" w:eastAsia="MS UI Gothic"/>
          <w:w w:val="80"/>
        </w:rPr>
        <w:t xml:space="preserve">ꎬ </w:t>
      </w:r>
      <w:r>
        <w:t>在能力范围内积极提供电力</w:t>
      </w:r>
      <w:r>
        <w:rPr>
          <w:rFonts w:hint="eastAsia" w:ascii="MS UI Gothic" w:eastAsia="MS UI Gothic"/>
          <w:w w:val="80"/>
        </w:rPr>
        <w:t xml:space="preserve">、 </w:t>
      </w:r>
      <w:r>
        <w:t>通讯</w:t>
      </w:r>
      <w:r>
        <w:rPr>
          <w:rFonts w:hint="eastAsia" w:ascii="MS UI Gothic" w:eastAsia="MS UI Gothic"/>
          <w:w w:val="80"/>
        </w:rPr>
        <w:t xml:space="preserve">、 </w:t>
      </w:r>
      <w:r>
        <w:t>油气</w:t>
      </w:r>
      <w:r>
        <w:rPr>
          <w:rFonts w:hint="eastAsia" w:ascii="MS UI Gothic" w:eastAsia="MS UI Gothic"/>
          <w:w w:val="80"/>
        </w:rPr>
        <w:t xml:space="preserve">、 </w:t>
      </w:r>
      <w:r>
        <w:t>交通等救援保障和食品</w:t>
      </w:r>
      <w:r>
        <w:rPr>
          <w:rFonts w:hint="eastAsia" w:ascii="MS UI Gothic" w:eastAsia="MS UI Gothic"/>
          <w:w w:val="80"/>
        </w:rPr>
        <w:t xml:space="preserve">、 </w:t>
      </w:r>
      <w:r>
        <w:t>药品等生活保障</w:t>
      </w:r>
      <w:r>
        <w:rPr>
          <w:rFonts w:hint="eastAsia" w:ascii="MS UI Gothic" w:eastAsia="MS UI Gothic"/>
          <w:w w:val="80"/>
        </w:rPr>
        <w:t>ꎮ</w:t>
      </w:r>
    </w:p>
    <w:p>
      <w:pPr>
        <w:pStyle w:val="6"/>
        <w:spacing w:line="295" w:lineRule="auto"/>
        <w:ind w:right="39"/>
        <w:rPr>
          <w:rFonts w:hint="eastAsia" w:ascii="MS UI Gothic" w:eastAsia="MS UI Gothic"/>
        </w:rPr>
      </w:pPr>
      <w:r>
        <w:t>第三十三条 中央企业应当建立重大自然灾害捐赠制度</w:t>
      </w:r>
      <w:r>
        <w:rPr>
          <w:rFonts w:hint="eastAsia" w:ascii="MS UI Gothic" w:eastAsia="MS UI Gothic"/>
          <w:w w:val="80"/>
        </w:rPr>
        <w:t xml:space="preserve">ꎬ </w:t>
      </w:r>
      <w:r>
        <w:t>规范捐赠行为</w:t>
      </w:r>
      <w:r>
        <w:rPr>
          <w:rFonts w:hint="eastAsia" w:ascii="MS UI Gothic" w:eastAsia="MS UI Gothic"/>
          <w:w w:val="80"/>
        </w:rPr>
        <w:t xml:space="preserve">ꎬ </w:t>
      </w:r>
      <w:r>
        <w:t>进行捐赠的中央企业必须按照规定及时向国资委报告和备案</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第三十四条 参与社会公共突发事件</w:t>
      </w:r>
      <w:r>
        <w:t>救援的中央企业</w:t>
      </w:r>
      <w:r>
        <w:rPr>
          <w:rFonts w:hint="eastAsia" w:ascii="MS UI Gothic" w:eastAsia="MS UI Gothic"/>
          <w:w w:val="80"/>
        </w:rPr>
        <w:t xml:space="preserve">ꎬ </w:t>
      </w:r>
      <w:r>
        <w:t>应当及时向国资委报告</w:t>
      </w:r>
      <w:r>
        <w:rPr>
          <w:w w:val="105"/>
        </w:rPr>
        <w:t>参与救援的实时信息</w:t>
      </w:r>
      <w:r>
        <w:rPr>
          <w:rFonts w:hint="eastAsia" w:ascii="MS UI Gothic" w:eastAsia="MS UI Gothic"/>
          <w:w w:val="80"/>
        </w:rPr>
        <w:t>ꎮ</w:t>
      </w:r>
    </w:p>
    <w:p>
      <w:pPr>
        <w:pStyle w:val="6"/>
        <w:tabs>
          <w:tab w:val="left" w:pos="1906"/>
        </w:tabs>
        <w:spacing w:before="142"/>
        <w:ind w:left="1067" w:firstLine="0"/>
        <w:jc w:val="left"/>
      </w:pPr>
      <w:r>
        <w:rPr>
          <w:spacing w:val="3"/>
          <w:w w:val="105"/>
        </w:rPr>
        <w:t>第五</w:t>
      </w:r>
      <w:r>
        <w:rPr>
          <w:w w:val="105"/>
        </w:rPr>
        <w:t>章</w:t>
      </w:r>
      <w:r>
        <w:rPr>
          <w:w w:val="105"/>
        </w:rPr>
        <w:tab/>
      </w:r>
      <w:r>
        <w:rPr>
          <w:spacing w:val="3"/>
          <w:w w:val="105"/>
        </w:rPr>
        <w:t>监督与奖</w:t>
      </w:r>
      <w:r>
        <w:rPr>
          <w:w w:val="105"/>
        </w:rPr>
        <w:t>惩</w:t>
      </w:r>
    </w:p>
    <w:p>
      <w:pPr>
        <w:pStyle w:val="6"/>
        <w:spacing w:before="215" w:line="295" w:lineRule="auto"/>
        <w:ind w:right="39"/>
        <w:rPr>
          <w:rFonts w:hint="eastAsia" w:ascii="MS UI Gothic" w:eastAsia="MS UI Gothic"/>
        </w:rPr>
      </w:pPr>
      <w:r>
        <w:t>第三十五条 国资委组织开展中央企业应急管理工作的督查工作</w:t>
      </w:r>
      <w:r>
        <w:rPr>
          <w:rFonts w:hint="eastAsia" w:ascii="MS UI Gothic" w:eastAsia="MS UI Gothic"/>
          <w:w w:val="80"/>
        </w:rPr>
        <w:t xml:space="preserve">ꎬ </w:t>
      </w:r>
      <w:r>
        <w:t>督促中央企业落实应急管理有关规定</w:t>
      </w:r>
      <w:r>
        <w:rPr>
          <w:rFonts w:hint="eastAsia" w:ascii="MS UI Gothic" w:eastAsia="MS UI Gothic"/>
          <w:w w:val="80"/>
        </w:rPr>
        <w:t xml:space="preserve">ꎬ </w:t>
      </w:r>
      <w:r>
        <w:t>提高中央企业应急管理工作水平</w:t>
      </w:r>
      <w:r>
        <w:rPr>
          <w:rFonts w:hint="eastAsia" w:ascii="MS UI Gothic" w:eastAsia="MS UI Gothic"/>
          <w:w w:val="80"/>
        </w:rPr>
        <w:t xml:space="preserve">ꎬ </w:t>
      </w:r>
      <w:r>
        <w:t>并酌情对检查结果予以通报</w:t>
      </w:r>
      <w:r>
        <w:rPr>
          <w:rFonts w:hint="eastAsia" w:ascii="MS UI Gothic" w:eastAsia="MS UI Gothic"/>
          <w:w w:val="80"/>
        </w:rPr>
        <w:t>ꎮ</w:t>
      </w:r>
    </w:p>
    <w:p>
      <w:pPr>
        <w:pStyle w:val="6"/>
        <w:spacing w:line="295" w:lineRule="auto"/>
        <w:ind w:right="38"/>
      </w:pPr>
      <w:r>
        <w:t>第三十六条 中央企业违反本办法</w:t>
      </w:r>
      <w:r>
        <w:rPr>
          <w:rFonts w:hint="eastAsia" w:ascii="MS UI Gothic" w:eastAsia="MS UI Gothic"/>
          <w:w w:val="80"/>
        </w:rPr>
        <w:t>ꎬ</w:t>
      </w:r>
      <w:r>
        <w:t>不履行应急管理职责的</w:t>
      </w:r>
      <w:r>
        <w:rPr>
          <w:rFonts w:hint="eastAsia" w:ascii="MS UI Gothic" w:eastAsia="MS UI Gothic"/>
          <w:w w:val="80"/>
        </w:rPr>
        <w:t xml:space="preserve">ꎬ </w:t>
      </w:r>
      <w:r>
        <w:t>国资委将责令其改正或予以通报批评</w:t>
      </w:r>
      <w:r>
        <w:rPr>
          <w:rFonts w:hint="eastAsia" w:ascii="MS UI Gothic" w:eastAsia="MS UI Gothic"/>
          <w:w w:val="80"/>
        </w:rPr>
        <w:t xml:space="preserve">ꎻ </w:t>
      </w:r>
      <w:r>
        <w:t>具有以下情形的</w:t>
      </w:r>
      <w:r>
        <w:rPr>
          <w:rFonts w:hint="eastAsia" w:ascii="MS UI Gothic" w:eastAsia="MS UI Gothic"/>
          <w:w w:val="80"/>
        </w:rPr>
        <w:t>ꎬ</w:t>
      </w:r>
      <w:r>
        <w:t>国资委将按照干部管理权限追究相关责任人的责任</w:t>
      </w:r>
      <w:r>
        <w:rPr>
          <w:rFonts w:hint="eastAsia" w:ascii="MS UI Gothic" w:eastAsia="MS UI Gothic"/>
          <w:w w:val="80"/>
        </w:rPr>
        <w:t xml:space="preserve">ꎻ </w:t>
      </w:r>
      <w:r>
        <w:t>涉嫌犯罪的</w:t>
      </w:r>
      <w:r>
        <w:rPr>
          <w:rFonts w:hint="eastAsia" w:ascii="MS UI Gothic" w:eastAsia="MS UI Gothic"/>
          <w:w w:val="80"/>
        </w:rPr>
        <w:t xml:space="preserve">ꎬ </w:t>
      </w:r>
      <w:r>
        <w:t>依法移送司法机</w:t>
      </w:r>
    </w:p>
    <w:p>
      <w:pPr>
        <w:pStyle w:val="6"/>
        <w:spacing w:before="123"/>
        <w:ind w:firstLine="0"/>
        <w:jc w:val="left"/>
        <w:rPr>
          <w:rFonts w:hint="eastAsia" w:ascii="MS UI Gothic" w:eastAsia="MS UI Gothic"/>
        </w:rPr>
      </w:pPr>
      <w:r>
        <w:br w:type="column"/>
      </w:r>
      <w:r>
        <w:t>关处理</w:t>
      </w:r>
      <w:r>
        <w:rPr>
          <w:rFonts w:hint="eastAsia" w:ascii="MS UI Gothic" w:eastAsia="MS UI Gothic"/>
          <w:w w:val="80"/>
        </w:rPr>
        <w:t>ꎮ</w:t>
      </w:r>
    </w:p>
    <w:p>
      <w:pPr>
        <w:pStyle w:val="6"/>
        <w:spacing w:before="58"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未按照规定采取预防措施</w:t>
      </w:r>
      <w:r>
        <w:rPr>
          <w:rFonts w:hint="eastAsia" w:ascii="MS UI Gothic" w:eastAsia="MS UI Gothic"/>
          <w:w w:val="80"/>
        </w:rPr>
        <w:t xml:space="preserve">ꎬ </w:t>
      </w:r>
      <w:r>
        <w:rPr>
          <w:w w:val="105"/>
        </w:rPr>
        <w:t>导</w:t>
      </w:r>
      <w:r>
        <w:t>致发生突发事件</w:t>
      </w:r>
      <w:r>
        <w:rPr>
          <w:rFonts w:hint="eastAsia" w:ascii="MS UI Gothic" w:eastAsia="MS UI Gothic"/>
          <w:w w:val="80"/>
        </w:rPr>
        <w:t xml:space="preserve">ꎬ </w:t>
      </w:r>
      <w:r>
        <w:t>或者未采取必要的防范</w:t>
      </w:r>
      <w:r>
        <w:rPr>
          <w:w w:val="105"/>
        </w:rPr>
        <w:t>措施</w:t>
      </w:r>
      <w:r>
        <w:rPr>
          <w:rFonts w:hint="eastAsia" w:ascii="MS UI Gothic" w:eastAsia="MS UI Gothic"/>
          <w:w w:val="80"/>
        </w:rPr>
        <w:t xml:space="preserve">ꎬ </w:t>
      </w:r>
      <w:r>
        <w:rPr>
          <w:w w:val="105"/>
        </w:rPr>
        <w:t>导致发生次生</w:t>
      </w:r>
      <w:r>
        <w:rPr>
          <w:rFonts w:hint="eastAsia" w:ascii="MS UI Gothic" w:eastAsia="MS UI Gothic"/>
          <w:w w:val="80"/>
        </w:rPr>
        <w:t xml:space="preserve">、 </w:t>
      </w:r>
      <w:r>
        <w:rPr>
          <w:w w:val="105"/>
        </w:rPr>
        <w:t>衍生事件的</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迟报</w:t>
      </w:r>
      <w:r>
        <w:rPr>
          <w:rFonts w:hint="eastAsia" w:ascii="MS UI Gothic" w:eastAsia="MS UI Gothic"/>
          <w:w w:val="80"/>
        </w:rPr>
        <w:t xml:space="preserve">、 </w:t>
      </w:r>
      <w:r>
        <w:t>谎报</w:t>
      </w:r>
      <w:r>
        <w:rPr>
          <w:rFonts w:hint="eastAsia" w:ascii="MS UI Gothic" w:eastAsia="MS UI Gothic"/>
          <w:w w:val="80"/>
        </w:rPr>
        <w:t xml:space="preserve">、 </w:t>
      </w:r>
      <w:r>
        <w:t>瞒报</w:t>
      </w:r>
      <w:r>
        <w:rPr>
          <w:rFonts w:hint="eastAsia" w:ascii="MS UI Gothic" w:eastAsia="MS UI Gothic"/>
          <w:w w:val="80"/>
        </w:rPr>
        <w:t xml:space="preserve">、 </w:t>
      </w:r>
      <w:r>
        <w:t>漏报有关突发事件的信息</w:t>
      </w:r>
      <w:r>
        <w:rPr>
          <w:rFonts w:hint="eastAsia" w:ascii="MS UI Gothic" w:eastAsia="MS UI Gothic"/>
          <w:w w:val="80"/>
        </w:rPr>
        <w:t xml:space="preserve">ꎬ </w:t>
      </w:r>
      <w:r>
        <w:t>或者通报</w:t>
      </w:r>
      <w:r>
        <w:rPr>
          <w:rFonts w:hint="eastAsia" w:ascii="MS UI Gothic" w:eastAsia="MS UI Gothic"/>
          <w:w w:val="80"/>
        </w:rPr>
        <w:t xml:space="preserve">、 </w:t>
      </w:r>
      <w:r>
        <w:t>报送</w:t>
      </w:r>
      <w:r>
        <w:rPr>
          <w:rFonts w:hint="eastAsia" w:ascii="MS UI Gothic" w:eastAsia="MS UI Gothic"/>
          <w:w w:val="80"/>
        </w:rPr>
        <w:t xml:space="preserve">、 </w:t>
      </w:r>
      <w:r>
        <w:t>公布虚假信息</w:t>
      </w:r>
      <w:r>
        <w:rPr>
          <w:rFonts w:hint="eastAsia" w:ascii="MS UI Gothic" w:eastAsia="MS UI Gothic"/>
          <w:w w:val="80"/>
        </w:rPr>
        <w:t xml:space="preserve">ꎬ </w:t>
      </w:r>
      <w:r>
        <w:t>造成严重后果的</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4"/>
          <w:w w:val="150"/>
        </w:rPr>
        <w:t xml:space="preserve">) </w:t>
      </w:r>
      <w:r>
        <w:rPr>
          <w:spacing w:val="5"/>
          <w:w w:val="105"/>
        </w:rPr>
        <w:t>未按照规定及时发布突发事件</w:t>
      </w:r>
      <w:r>
        <w:rPr>
          <w:spacing w:val="6"/>
          <w:w w:val="105"/>
        </w:rPr>
        <w:t>预警信息</w:t>
      </w:r>
      <w:r>
        <w:rPr>
          <w:rFonts w:hint="eastAsia" w:ascii="MS UI Gothic" w:eastAsia="MS UI Gothic"/>
          <w:spacing w:val="5"/>
          <w:w w:val="80"/>
        </w:rPr>
        <w:t xml:space="preserve">、 </w:t>
      </w:r>
      <w:r>
        <w:rPr>
          <w:spacing w:val="19"/>
          <w:w w:val="105"/>
        </w:rPr>
        <w:t>采取预警措施</w:t>
      </w:r>
      <w:r>
        <w:rPr>
          <w:rFonts w:hint="eastAsia" w:ascii="MS UI Gothic" w:eastAsia="MS UI Gothic"/>
          <w:spacing w:val="5"/>
          <w:w w:val="80"/>
        </w:rPr>
        <w:t xml:space="preserve">ꎬ </w:t>
      </w:r>
      <w:r>
        <w:rPr>
          <w:spacing w:val="18"/>
          <w:w w:val="105"/>
        </w:rPr>
        <w:t>导致事件发</w:t>
      </w:r>
      <w:r>
        <w:rPr>
          <w:spacing w:val="3"/>
          <w:w w:val="105"/>
        </w:rPr>
        <w:t>生的</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4"/>
          <w:w w:val="150"/>
        </w:rPr>
        <w:t xml:space="preserve">) </w:t>
      </w:r>
      <w:r>
        <w:rPr>
          <w:spacing w:val="5"/>
          <w:w w:val="105"/>
        </w:rPr>
        <w:t>未按照规定及时采取措施处置</w:t>
      </w:r>
      <w:r>
        <w:rPr>
          <w:spacing w:val="27"/>
        </w:rPr>
        <w:t>突发事件或者处置不当</w:t>
      </w:r>
      <w:r>
        <w:rPr>
          <w:rFonts w:hint="eastAsia" w:ascii="MS UI Gothic" w:eastAsia="MS UI Gothic"/>
          <w:spacing w:val="2"/>
          <w:w w:val="80"/>
        </w:rPr>
        <w:t xml:space="preserve">ꎬ </w:t>
      </w:r>
      <w:r>
        <w:rPr>
          <w:spacing w:val="28"/>
        </w:rPr>
        <w:t>造成严重后</w:t>
      </w:r>
      <w:r>
        <w:rPr>
          <w:spacing w:val="3"/>
          <w:w w:val="105"/>
        </w:rPr>
        <w:t>果的</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第三十七条 国资委对认真贯彻执行</w:t>
      </w:r>
      <w:r>
        <w:t>本办法和应对突发事件作出突出贡献的中央企业予以表彰</w:t>
      </w:r>
      <w:r>
        <w:rPr>
          <w:rFonts w:hint="eastAsia" w:ascii="MS UI Gothic" w:eastAsia="MS UI Gothic"/>
          <w:w w:val="80"/>
        </w:rPr>
        <w:t xml:space="preserve">ꎬ </w:t>
      </w:r>
      <w:r>
        <w:t>中央企业应当对作出突出贡献的基层单位和个人进行表彰奖励</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第三十八条 中央企业参与突发事件</w:t>
      </w:r>
      <w:r>
        <w:t>救援遭受重大经济损失的</w:t>
      </w:r>
      <w:r>
        <w:rPr>
          <w:rFonts w:hint="eastAsia" w:ascii="MS UI Gothic" w:eastAsia="MS UI Gothic"/>
          <w:w w:val="80"/>
        </w:rPr>
        <w:t xml:space="preserve">ꎬ </w:t>
      </w:r>
      <w:r>
        <w:t>国资委将按照国务院有关规定给予国有资本预算补助</w:t>
      </w:r>
      <w:r>
        <w:rPr>
          <w:rFonts w:hint="eastAsia" w:ascii="MS UI Gothic" w:eastAsia="MS UI Gothic"/>
          <w:w w:val="80"/>
        </w:rPr>
        <w:t>ꎬ</w:t>
      </w:r>
      <w:r>
        <w:t>并在当年中央企业负责人经营业绩考核中</w:t>
      </w:r>
      <w:r>
        <w:rPr>
          <w:w w:val="105"/>
        </w:rPr>
        <w:t>酌情考虑</w:t>
      </w:r>
      <w:r>
        <w:rPr>
          <w:rFonts w:hint="eastAsia" w:ascii="MS UI Gothic" w:eastAsia="MS UI Gothic"/>
          <w:w w:val="80"/>
        </w:rPr>
        <w:t>ꎮ</w:t>
      </w:r>
    </w:p>
    <w:p>
      <w:pPr>
        <w:pStyle w:val="6"/>
        <w:tabs>
          <w:tab w:val="left" w:pos="2011"/>
          <w:tab w:val="left" w:pos="2639"/>
        </w:tabs>
        <w:spacing w:before="141"/>
        <w:ind w:left="1172"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215" w:line="295" w:lineRule="auto"/>
        <w:ind w:right="440"/>
        <w:rPr>
          <w:rFonts w:hint="eastAsia" w:ascii="MS UI Gothic" w:hAnsi="MS UI Gothic" w:eastAsia="MS UI Gothic"/>
        </w:rPr>
      </w:pPr>
      <w:r>
        <w:t xml:space="preserve">第三十九条 突发事件的分类分级按照 </w:t>
      </w:r>
      <w:r>
        <w:rPr>
          <w:rFonts w:hint="eastAsia" w:ascii="MS UI Gothic" w:hAnsi="MS UI Gothic" w:eastAsia="MS UI Gothic"/>
        </w:rPr>
        <w:t xml:space="preserve">« </w:t>
      </w:r>
      <w:r>
        <w:t>中华人民共和国突发事件应对法</w:t>
      </w:r>
      <w:r>
        <w:rPr>
          <w:rFonts w:hint="eastAsia" w:ascii="MS UI Gothic" w:hAnsi="MS UI Gothic" w:eastAsia="MS UI Gothic"/>
        </w:rPr>
        <w:t>»、</w:t>
      </w:r>
    </w:p>
    <w:p>
      <w:pPr>
        <w:pStyle w:val="6"/>
        <w:spacing w:line="295" w:lineRule="auto"/>
        <w:ind w:right="442" w:firstLine="0"/>
        <w:jc w:val="left"/>
        <w:rPr>
          <w:rFonts w:hint="eastAsia" w:ascii="MS UI Gothic" w:hAnsi="MS UI Gothic" w:eastAsia="MS UI Gothic"/>
        </w:rPr>
      </w:pPr>
      <w:r>
        <w:rPr>
          <w:rFonts w:hint="eastAsia" w:ascii="MS UI Gothic" w:hAnsi="MS UI Gothic" w:eastAsia="MS UI Gothic"/>
          <w:w w:val="80"/>
        </w:rPr>
        <w:t xml:space="preserve">« </w:t>
      </w:r>
      <w:r>
        <w:t>国家突发公共事件总体应急预案</w:t>
      </w:r>
      <w:r>
        <w:rPr>
          <w:rFonts w:hint="eastAsia" w:ascii="MS UI Gothic" w:hAnsi="MS UI Gothic" w:eastAsia="MS UI Gothic"/>
          <w:w w:val="80"/>
        </w:rPr>
        <w:t xml:space="preserve">» </w:t>
      </w:r>
      <w:r>
        <w:t>有关规定执行</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spacing w:val="4"/>
        </w:rPr>
        <w:t>第四十条 中央企业境外机构应当首</w:t>
      </w:r>
      <w:r>
        <w:rPr>
          <w:spacing w:val="3"/>
        </w:rPr>
        <w:t>先遵守所在国相关法律法规</w:t>
      </w:r>
      <w:r>
        <w:rPr>
          <w:rFonts w:hint="eastAsia" w:ascii="MS UI Gothic" w:eastAsia="MS UI Gothic"/>
          <w:spacing w:val="20"/>
          <w:w w:val="80"/>
        </w:rPr>
        <w:t xml:space="preserve">ꎬ </w:t>
      </w:r>
      <w:r>
        <w:rPr>
          <w:spacing w:val="2"/>
        </w:rPr>
        <w:t>参照本办法</w:t>
      </w:r>
      <w:r>
        <w:rPr>
          <w:spacing w:val="3"/>
        </w:rPr>
        <w:t>执行</w:t>
      </w:r>
      <w:r>
        <w:rPr>
          <w:rFonts w:hint="eastAsia" w:ascii="MS UI Gothic" w:eastAsia="MS UI Gothic"/>
          <w:w w:val="80"/>
        </w:rPr>
        <w:t>ꎮ</w:t>
      </w:r>
    </w:p>
    <w:p>
      <w:pPr>
        <w:pStyle w:val="6"/>
        <w:spacing w:line="295" w:lineRule="auto"/>
        <w:ind w:right="442"/>
        <w:rPr>
          <w:rFonts w:hint="eastAsia" w:ascii="MS UI Gothic" w:eastAsia="MS UI Gothic"/>
        </w:rPr>
      </w:pPr>
      <w:r>
        <w:rPr>
          <w:spacing w:val="10"/>
        </w:rPr>
        <w:t>第四十一条  本办法由国资委负责</w:t>
      </w:r>
      <w:r>
        <w:rPr>
          <w:spacing w:val="3"/>
        </w:rPr>
        <w:t>解释</w:t>
      </w:r>
      <w:r>
        <w:rPr>
          <w:rFonts w:hint="eastAsia" w:ascii="MS UI Gothic" w:eastAsia="MS UI Gothic"/>
          <w:w w:val="80"/>
        </w:rPr>
        <w:t>ꎮ</w:t>
      </w:r>
    </w:p>
    <w:p>
      <w:pPr>
        <w:pStyle w:val="6"/>
        <w:spacing w:line="295" w:lineRule="auto"/>
        <w:ind w:right="442"/>
        <w:rPr>
          <w:rFonts w:hint="eastAsia" w:ascii="MS UI Gothic" w:eastAsia="MS UI Gothic"/>
        </w:rPr>
      </w:pPr>
      <w:r>
        <w:rPr>
          <w:spacing w:val="10"/>
        </w:rPr>
        <w:t>第四十二条  本办法自印发之日起</w:t>
      </w:r>
      <w:r>
        <w:rPr>
          <w:spacing w:val="3"/>
        </w:rPr>
        <w:t>施行</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１７３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53" o:spid="_x0000_s1553" o:spt="203" style="height:2.15pt;width:398.25pt;" coordsize="7965,43">
            <o:lock v:ext="edit"/>
            <v:line id="_x0000_s1554" o:spid="_x0000_s1554" o:spt="20" style="position:absolute;left:0;top:39;height:0;width:7965;" stroked="t" coordsize="21600,21600">
              <v:path arrowok="t"/>
              <v:fill focussize="0,0"/>
              <v:stroke weight="0.388031496062992pt" color="#231F20"/>
              <v:imagedata o:title=""/>
              <o:lock v:ext="edit"/>
            </v:line>
            <v:line id="_x0000_s1555" o:spid="_x0000_s1555"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4"/>
        <w:spacing w:before="238"/>
      </w:pPr>
      <w:r>
        <w:t>国家安全生产监督管理总局令</w:t>
      </w:r>
    </w:p>
    <w:p>
      <w:pPr>
        <w:pStyle w:val="6"/>
        <w:ind w:left="0" w:firstLine="0"/>
        <w:jc w:val="left"/>
        <w:rPr>
          <w:sz w:val="27"/>
        </w:rPr>
      </w:pPr>
    </w:p>
    <w:p>
      <w:pPr>
        <w:pStyle w:val="5"/>
        <w:ind w:left="312"/>
      </w:pPr>
      <w:r>
        <w:t xml:space="preserve">第 </w:t>
      </w:r>
      <w:r>
        <w:rPr>
          <w:rFonts w:hint="eastAsia" w:ascii="MS UI Gothic" w:eastAsia="MS UI Gothic"/>
        </w:rPr>
        <w:t xml:space="preserve">９１ </w:t>
      </w:r>
      <w:r>
        <w:t>号</w:t>
      </w:r>
    </w:p>
    <w:p>
      <w:pPr>
        <w:pStyle w:val="6"/>
        <w:spacing w:before="354"/>
        <w:ind w:left="860" w:firstLine="0"/>
        <w:jc w:val="left"/>
      </w:pPr>
      <w:r>
        <w:rPr>
          <w:rFonts w:hint="eastAsia" w:ascii="MS UI Gothic" w:hAnsi="MS UI Gothic" w:eastAsia="MS UI Gothic"/>
          <w:spacing w:val="-23"/>
        </w:rPr>
        <w:t xml:space="preserve">« </w:t>
      </w:r>
      <w:r>
        <w:rPr>
          <w:spacing w:val="3"/>
        </w:rPr>
        <w:t>冶金企业和有色金属企业安全生产规定</w:t>
      </w:r>
      <w:r>
        <w:rPr>
          <w:rFonts w:hint="eastAsia" w:ascii="MS UI Gothic" w:hAnsi="MS UI Gothic" w:eastAsia="MS UI Gothic"/>
          <w:spacing w:val="15"/>
        </w:rPr>
        <w:t xml:space="preserve">» </w:t>
      </w:r>
      <w:r>
        <w:rPr>
          <w:spacing w:val="-23"/>
        </w:rPr>
        <w:t xml:space="preserve">已经 </w:t>
      </w:r>
      <w:r>
        <w:rPr>
          <w:rFonts w:hint="eastAsia" w:ascii="MS UI Gothic" w:hAnsi="MS UI Gothic" w:eastAsia="MS UI Gothic"/>
          <w:spacing w:val="-4"/>
        </w:rPr>
        <w:t xml:space="preserve">２０１７ </w:t>
      </w:r>
      <w:r>
        <w:rPr>
          <w:spacing w:val="-35"/>
        </w:rPr>
        <w:t xml:space="preserve">年 </w:t>
      </w:r>
      <w:r>
        <w:rPr>
          <w:rFonts w:hint="eastAsia" w:ascii="MS UI Gothic" w:hAnsi="MS UI Gothic" w:eastAsia="MS UI Gothic"/>
          <w:spacing w:val="-7"/>
        </w:rPr>
        <w:t xml:space="preserve">１２ </w:t>
      </w:r>
      <w:r>
        <w:rPr>
          <w:spacing w:val="-35"/>
        </w:rPr>
        <w:t xml:space="preserve">月 </w:t>
      </w:r>
      <w:r>
        <w:rPr>
          <w:rFonts w:hint="eastAsia" w:ascii="MS UI Gothic" w:hAnsi="MS UI Gothic" w:eastAsia="MS UI Gothic"/>
          <w:spacing w:val="-7"/>
        </w:rPr>
        <w:t xml:space="preserve">１１ </w:t>
      </w:r>
      <w:r>
        <w:rPr>
          <w:spacing w:val="2"/>
        </w:rPr>
        <w:t>日国家安全生产监</w:t>
      </w:r>
    </w:p>
    <w:p>
      <w:pPr>
        <w:pStyle w:val="6"/>
        <w:spacing w:before="58"/>
        <w:ind w:left="440" w:firstLine="0"/>
        <w:jc w:val="left"/>
        <w:rPr>
          <w:rFonts w:hint="eastAsia" w:ascii="MS UI Gothic" w:eastAsia="MS UI Gothic"/>
        </w:rPr>
      </w:pPr>
      <w:r>
        <w:rPr>
          <w:w w:val="95"/>
        </w:rPr>
        <w:t xml:space="preserve">督管理总局第 </w:t>
      </w:r>
      <w:r>
        <w:rPr>
          <w:rFonts w:hint="eastAsia" w:ascii="MS UI Gothic" w:eastAsia="MS UI Gothic"/>
          <w:w w:val="95"/>
        </w:rPr>
        <w:t xml:space="preserve">１６ </w:t>
      </w:r>
      <w:r>
        <w:rPr>
          <w:w w:val="95"/>
        </w:rPr>
        <w:t>次局长办公会议审议通过</w:t>
      </w:r>
      <w:r>
        <w:rPr>
          <w:rFonts w:hint="eastAsia" w:ascii="MS UI Gothic" w:eastAsia="MS UI Gothic"/>
          <w:w w:val="90"/>
        </w:rPr>
        <w:t xml:space="preserve">ꎬ </w:t>
      </w:r>
      <w:r>
        <w:rPr>
          <w:w w:val="95"/>
        </w:rPr>
        <w:t>现予公布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２０１８ </w:t>
      </w:r>
      <w:r>
        <w:rPr>
          <w:w w:val="95"/>
        </w:rPr>
        <w:t xml:space="preserve">年 </w:t>
      </w:r>
      <w:r>
        <w:rPr>
          <w:rFonts w:hint="eastAsia" w:ascii="MS UI Gothic" w:eastAsia="MS UI Gothic"/>
          <w:w w:val="95"/>
        </w:rPr>
        <w:t xml:space="preserve">３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spacing w:before="373"/>
        <w:ind w:left="0" w:right="126" w:firstLine="0"/>
        <w:jc w:val="right"/>
      </w:pPr>
      <w:r>
        <w:rPr>
          <w:rFonts w:hint="eastAsia" w:ascii="MS UI Gothic" w:eastAsia="MS UI Gothic"/>
          <w:w w:val="95"/>
        </w:rPr>
        <w:t xml:space="preserve">２０１８ </w:t>
      </w:r>
      <w:r>
        <w:rPr>
          <w:w w:val="95"/>
        </w:rPr>
        <w:t xml:space="preserve">年 </w:t>
      </w:r>
      <w:r>
        <w:rPr>
          <w:rFonts w:hint="eastAsia" w:ascii="MS UI Gothic" w:eastAsia="MS UI Gothic"/>
          <w:w w:val="95"/>
        </w:rPr>
        <w:t xml:space="preserve">１ </w:t>
      </w:r>
      <w:r>
        <w:rPr>
          <w:w w:val="95"/>
        </w:rPr>
        <w:t xml:space="preserve">月 </w:t>
      </w:r>
      <w:r>
        <w:rPr>
          <w:rFonts w:hint="eastAsia" w:ascii="MS UI Gothic" w:eastAsia="MS UI Gothic"/>
          <w:w w:val="95"/>
        </w:rPr>
        <w:t xml:space="preserve">４ </w:t>
      </w:r>
      <w:r>
        <w:rPr>
          <w:w w:val="95"/>
        </w:rPr>
        <w:t>日</w:t>
      </w:r>
    </w:p>
    <w:p>
      <w:pPr>
        <w:pStyle w:val="4"/>
        <w:ind w:left="1085"/>
        <w:jc w:val="left"/>
        <w:rPr>
          <w:rFonts w:hint="eastAsia" w:ascii="Microsoft Yi Baiti" w:eastAsia="Microsoft Yi Baiti"/>
        </w:rPr>
      </w:pPr>
      <w:r>
        <w:t xml:space="preserve">冶金企业和有色金属企业安全生产规定 </w:t>
      </w:r>
      <w:r>
        <w:rPr>
          <w:rFonts w:hint="eastAsia" w:ascii="Microsoft Yi Baiti" w:eastAsia="Microsoft Yi Baiti"/>
        </w:rPr>
        <w:t>(</w:t>
      </w:r>
      <w:r>
        <w:rPr>
          <w:rFonts w:hint="eastAsia" w:ascii="MS UI Gothic" w:eastAsia="MS UI Gothic"/>
        </w:rPr>
        <w:t xml:space="preserve">２０１８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302" w:lineRule="auto"/>
        <w:ind w:left="440"/>
        <w:rPr>
          <w:rFonts w:hint="eastAsia" w:ascii="MS UI Gothic" w:hAnsi="MS UI Gothic" w:eastAsia="MS UI Gothic"/>
        </w:rPr>
      </w:pPr>
      <w:r>
        <w:t>第一条 为了加强冶金企业和有色金属企业安全生产工作</w:t>
      </w:r>
      <w:r>
        <w:rPr>
          <w:rFonts w:hint="eastAsia" w:ascii="MS UI Gothic" w:hAnsi="MS UI Gothic" w:eastAsia="MS UI Gothic"/>
          <w:w w:val="80"/>
        </w:rPr>
        <w:t xml:space="preserve">ꎬ </w:t>
      </w:r>
      <w:r>
        <w:t>预防和减少生产安全事故与职业病</w:t>
      </w:r>
      <w:r>
        <w:rPr>
          <w:rFonts w:hint="eastAsia" w:ascii="MS UI Gothic" w:hAnsi="MS UI Gothic" w:eastAsia="MS UI Gothic"/>
          <w:w w:val="80"/>
        </w:rPr>
        <w:t xml:space="preserve">ꎬ </w:t>
      </w:r>
      <w:r>
        <w:t>保障从业人员安全健康</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中华人民共和国安全生产法</w:t>
      </w:r>
      <w:r>
        <w:rPr>
          <w:rFonts w:hint="eastAsia" w:ascii="MS UI Gothic" w:hAnsi="MS UI Gothic" w:eastAsia="MS UI Gothic"/>
          <w:w w:val="80"/>
        </w:rPr>
        <w:t>»</w:t>
      </w:r>
    </w:p>
    <w:p>
      <w:pPr>
        <w:pStyle w:val="6"/>
        <w:spacing w:before="3" w:line="300" w:lineRule="auto"/>
        <w:ind w:left="440" w:firstLine="0"/>
        <w:rPr>
          <w:rFonts w:hint="eastAsia" w:ascii="MS UI Gothic" w:hAnsi="MS UI Gothic" w:eastAsia="MS UI Gothic"/>
        </w:rPr>
      </w:pPr>
      <w:r>
        <w:rPr>
          <w:rFonts w:hint="eastAsia" w:ascii="MS UI Gothic" w:hAnsi="MS UI Gothic" w:eastAsia="MS UI Gothic"/>
        </w:rPr>
        <w:t xml:space="preserve">« </w:t>
      </w:r>
      <w:r>
        <w:t>中华人民共和国职业病防治法</w:t>
      </w:r>
      <w:r>
        <w:rPr>
          <w:rFonts w:hint="eastAsia" w:ascii="MS UI Gothic" w:hAnsi="MS UI Gothic" w:eastAsia="MS UI Gothic"/>
        </w:rPr>
        <w:t xml:space="preserve">» </w:t>
      </w:r>
      <w:r>
        <w:rPr>
          <w:rFonts w:hint="eastAsia" w:ascii="MS UI Gothic" w:hAnsi="MS UI Gothic" w:eastAsia="MS UI Gothic"/>
          <w:w w:val="80"/>
        </w:rPr>
        <w:t xml:space="preserve">ꎬ </w:t>
      </w:r>
      <w:r>
        <w:t>制定本规定</w:t>
      </w:r>
      <w:r>
        <w:rPr>
          <w:rFonts w:hint="eastAsia" w:ascii="MS UI Gothic" w:hAnsi="MS UI Gothic" w:eastAsia="MS UI Gothic"/>
          <w:w w:val="80"/>
        </w:rPr>
        <w:t>ꎮ</w:t>
      </w:r>
    </w:p>
    <w:p>
      <w:pPr>
        <w:pStyle w:val="6"/>
        <w:tabs>
          <w:tab w:val="left" w:pos="1733"/>
        </w:tabs>
        <w:spacing w:before="2"/>
        <w:ind w:left="860" w:firstLine="0"/>
        <w:jc w:val="left"/>
      </w:pPr>
      <w:r>
        <w:rPr>
          <w:spacing w:val="3"/>
          <w:w w:val="105"/>
        </w:rPr>
        <w:t>第二</w:t>
      </w:r>
      <w:r>
        <w:rPr>
          <w:w w:val="105"/>
        </w:rPr>
        <w:t>条</w:t>
      </w:r>
      <w:r>
        <w:rPr>
          <w:w w:val="105"/>
        </w:rPr>
        <w:tab/>
      </w:r>
      <w:r>
        <w:rPr>
          <w:spacing w:val="21"/>
        </w:rPr>
        <w:t>冶金企业和有色金属企</w:t>
      </w:r>
      <w:r>
        <w:rPr>
          <w:spacing w:val="-17"/>
        </w:rPr>
        <w:t>业</w:t>
      </w:r>
    </w:p>
    <w:p>
      <w:pPr>
        <w:pStyle w:val="6"/>
        <w:spacing w:before="66" w:line="246" w:lineRule="exact"/>
        <w:ind w:left="440" w:firstLine="0"/>
      </w:pPr>
      <w:r>
        <w:rPr>
          <w:rFonts w:hint="eastAsia" w:ascii="MS UI Gothic" w:eastAsia="MS UI Gothic"/>
          <w:spacing w:val="-27"/>
          <w:w w:val="110"/>
        </w:rPr>
        <w:t xml:space="preserve">( </w:t>
      </w:r>
      <w:r>
        <w:rPr>
          <w:spacing w:val="3"/>
          <w:w w:val="110"/>
        </w:rPr>
        <w:t>以下统称企业</w:t>
      </w:r>
      <w:r>
        <w:rPr>
          <w:rFonts w:hint="eastAsia" w:ascii="MS UI Gothic" w:eastAsia="MS UI Gothic"/>
          <w:spacing w:val="6"/>
          <w:w w:val="110"/>
        </w:rPr>
        <w:t xml:space="preserve">) </w:t>
      </w:r>
      <w:r>
        <w:rPr>
          <w:spacing w:val="-3"/>
          <w:w w:val="110"/>
        </w:rPr>
        <w:t xml:space="preserve">的安全生产 </w:t>
      </w:r>
      <w:r>
        <w:rPr>
          <w:rFonts w:hint="eastAsia" w:ascii="MS UI Gothic" w:eastAsia="MS UI Gothic"/>
          <w:spacing w:val="-26"/>
          <w:w w:val="110"/>
        </w:rPr>
        <w:t xml:space="preserve">( </w:t>
      </w:r>
      <w:r>
        <w:rPr>
          <w:spacing w:val="6"/>
          <w:w w:val="110"/>
        </w:rPr>
        <w:t>含职业健</w:t>
      </w:r>
    </w:p>
    <w:p>
      <w:pPr>
        <w:pStyle w:val="6"/>
        <w:spacing w:before="174"/>
        <w:ind w:left="383" w:firstLine="0"/>
        <w:jc w:val="left"/>
        <w:rPr>
          <w:rFonts w:hint="eastAsia" w:ascii="MS UI Gothic" w:hAnsi="MS UI Gothic" w:eastAsia="MS UI Gothic"/>
        </w:rPr>
      </w:pPr>
      <w:r>
        <w:br w:type="column"/>
      </w:r>
      <w:r>
        <w:rPr>
          <w:spacing w:val="3"/>
          <w:w w:val="102"/>
        </w:rPr>
        <w:t>行业分类</w:t>
      </w:r>
      <w:r>
        <w:rPr>
          <w:rFonts w:hint="eastAsia" w:ascii="MS UI Gothic" w:hAnsi="MS UI Gothic" w:eastAsia="MS UI Gothic"/>
          <w:w w:val="76"/>
        </w:rPr>
        <w:t>»</w:t>
      </w:r>
      <w:r>
        <w:rPr>
          <w:rFonts w:hint="eastAsia" w:ascii="MS UI Gothic" w:hAnsi="MS UI Gothic" w:eastAsia="MS UI Gothic"/>
          <w:spacing w:val="2"/>
        </w:rPr>
        <w:t xml:space="preserve">  </w:t>
      </w:r>
      <w:r>
        <w:rPr>
          <w:rFonts w:hint="eastAsia" w:ascii="MS UI Gothic" w:hAnsi="MS UI Gothic" w:eastAsia="MS UI Gothic"/>
          <w:w w:val="168"/>
        </w:rPr>
        <w:t>(</w:t>
      </w:r>
      <w:r>
        <w:rPr>
          <w:rFonts w:hint="eastAsia" w:ascii="MS UI Gothic" w:hAnsi="MS UI Gothic" w:eastAsia="MS UI Gothic"/>
          <w:spacing w:val="-40"/>
        </w:rPr>
        <w:t xml:space="preserve"> </w:t>
      </w:r>
      <w:r>
        <w:rPr>
          <w:rFonts w:hint="eastAsia" w:ascii="MS UI Gothic" w:hAnsi="MS UI Gothic" w:eastAsia="MS UI Gothic"/>
          <w:spacing w:val="-2"/>
          <w:w w:val="88"/>
        </w:rPr>
        <w:t>Ｇ</w:t>
      </w:r>
      <w:r>
        <w:rPr>
          <w:rFonts w:hint="eastAsia" w:ascii="MS UI Gothic" w:hAnsi="MS UI Gothic" w:eastAsia="MS UI Gothic"/>
          <w:w w:val="80"/>
        </w:rPr>
        <w:t>Ｂ</w:t>
      </w:r>
      <w:r>
        <w:rPr>
          <w:rFonts w:hint="eastAsia" w:ascii="MS UI Gothic" w:hAnsi="MS UI Gothic" w:eastAsia="MS UI Gothic"/>
          <w:spacing w:val="-30"/>
        </w:rPr>
        <w:t xml:space="preserve"> </w:t>
      </w:r>
      <w:r>
        <w:rPr>
          <w:rFonts w:hint="eastAsia" w:ascii="MS UI Gothic" w:hAnsi="MS UI Gothic" w:eastAsia="MS UI Gothic"/>
          <w:w w:val="34"/>
        </w:rPr>
        <w:t>/</w:t>
      </w:r>
      <w:r>
        <w:rPr>
          <w:rFonts w:hint="eastAsia" w:ascii="MS UI Gothic" w:hAnsi="MS UI Gothic" w:eastAsia="MS UI Gothic"/>
          <w:spacing w:val="-16"/>
        </w:rPr>
        <w:t xml:space="preserve"> </w:t>
      </w:r>
      <w:r>
        <w:rPr>
          <w:rFonts w:hint="eastAsia" w:ascii="MS UI Gothic" w:hAnsi="MS UI Gothic" w:eastAsia="MS UI Gothic"/>
          <w:spacing w:val="-2"/>
          <w:w w:val="92"/>
        </w:rPr>
        <w:t>Ｔ</w:t>
      </w:r>
      <w:r>
        <w:rPr>
          <w:rFonts w:hint="eastAsia" w:ascii="MS UI Gothic" w:hAnsi="MS UI Gothic" w:eastAsia="MS UI Gothic"/>
          <w:spacing w:val="1"/>
          <w:w w:val="75"/>
        </w:rPr>
        <w:t>４７５４</w:t>
      </w:r>
      <w:r>
        <w:rPr>
          <w:rFonts w:hint="eastAsia" w:ascii="MS UI Gothic" w:hAnsi="MS UI Gothic" w:eastAsia="MS UI Gothic"/>
          <w:w w:val="168"/>
        </w:rPr>
        <w:t>)</w:t>
      </w:r>
      <w:r>
        <w:rPr>
          <w:rFonts w:hint="eastAsia" w:ascii="MS UI Gothic" w:hAnsi="MS UI Gothic" w:eastAsia="MS UI Gothic"/>
          <w:spacing w:val="2"/>
        </w:rPr>
        <w:t xml:space="preserve">  </w:t>
      </w:r>
      <w:r>
        <w:rPr>
          <w:spacing w:val="3"/>
          <w:w w:val="102"/>
        </w:rPr>
        <w:t>制定并公布</w:t>
      </w:r>
      <w:r>
        <w:rPr>
          <w:rFonts w:hint="eastAsia" w:ascii="MS UI Gothic" w:hAnsi="MS UI Gothic" w:eastAsia="MS UI Gothic"/>
          <w:w w:val="51"/>
        </w:rPr>
        <w:t>ꎮ</w:t>
      </w:r>
    </w:p>
    <w:p>
      <w:pPr>
        <w:pStyle w:val="6"/>
        <w:spacing w:before="64" w:line="300" w:lineRule="auto"/>
        <w:ind w:left="383" w:right="126"/>
        <w:rPr>
          <w:rFonts w:hint="eastAsia" w:ascii="MS UI Gothic" w:eastAsia="MS UI Gothic"/>
        </w:rPr>
      </w:pPr>
      <w:r>
        <w:t>第四条  企业是安全生产的责任主体</w:t>
      </w:r>
      <w:r>
        <w:rPr>
          <w:rFonts w:hint="eastAsia" w:ascii="MS UI Gothic" w:eastAsia="MS UI Gothic"/>
          <w:w w:val="80"/>
        </w:rPr>
        <w:t xml:space="preserve">ꎮ </w:t>
      </w:r>
      <w:r>
        <w:t>企业所属不具备法人资格的分支机构的安全生产工作</w:t>
      </w:r>
      <w:r>
        <w:rPr>
          <w:rFonts w:hint="eastAsia" w:ascii="MS UI Gothic" w:eastAsia="MS UI Gothic"/>
          <w:w w:val="80"/>
        </w:rPr>
        <w:t xml:space="preserve">ꎬ </w:t>
      </w:r>
      <w:r>
        <w:t>由企业承担管理责任</w:t>
      </w:r>
      <w:r>
        <w:rPr>
          <w:rFonts w:hint="eastAsia" w:ascii="MS UI Gothic" w:eastAsia="MS UI Gothic"/>
          <w:w w:val="80"/>
        </w:rPr>
        <w:t>ꎮ</w:t>
      </w:r>
    </w:p>
    <w:p>
      <w:pPr>
        <w:pStyle w:val="6"/>
        <w:spacing w:before="2" w:line="300" w:lineRule="auto"/>
        <w:ind w:left="383" w:right="126"/>
        <w:rPr>
          <w:rFonts w:hint="eastAsia" w:ascii="MS UI Gothic" w:eastAsia="MS UI Gothic"/>
        </w:rPr>
      </w:pPr>
      <w:r>
        <w:rPr>
          <w:w w:val="105"/>
        </w:rPr>
        <w:t>第五条 国家安全生产监督管理总局指导</w:t>
      </w:r>
      <w:r>
        <w:rPr>
          <w:rFonts w:hint="eastAsia" w:ascii="MS UI Gothic" w:eastAsia="MS UI Gothic"/>
          <w:w w:val="80"/>
        </w:rPr>
        <w:t xml:space="preserve">、 </w:t>
      </w:r>
      <w:r>
        <w:rPr>
          <w:w w:val="105"/>
        </w:rPr>
        <w:t>监督全国冶金企业和有色金属企业安全生产工作</w:t>
      </w:r>
      <w:r>
        <w:rPr>
          <w:rFonts w:hint="eastAsia" w:ascii="MS UI Gothic" w:eastAsia="MS UI Gothic"/>
          <w:w w:val="80"/>
        </w:rPr>
        <w:t>ꎮ</w:t>
      </w:r>
    </w:p>
    <w:p>
      <w:pPr>
        <w:pStyle w:val="6"/>
        <w:spacing w:before="3" w:line="300" w:lineRule="auto"/>
        <w:ind w:left="383" w:right="126"/>
      </w:pPr>
      <w:r>
        <w:rPr>
          <w:spacing w:val="2"/>
        </w:rPr>
        <w:t>县级以上地方人民政府安全生产监督</w:t>
      </w:r>
      <w:r>
        <w:rPr>
          <w:spacing w:val="5"/>
          <w:w w:val="105"/>
        </w:rPr>
        <w:t xml:space="preserve">管理部门和有关部门 </w:t>
      </w:r>
      <w:r>
        <w:rPr>
          <w:rFonts w:hint="eastAsia" w:ascii="MS UI Gothic" w:eastAsia="MS UI Gothic"/>
          <w:spacing w:val="-37"/>
          <w:w w:val="150"/>
        </w:rPr>
        <w:t xml:space="preserve">( </w:t>
      </w:r>
      <w:r>
        <w:rPr>
          <w:spacing w:val="14"/>
          <w:w w:val="105"/>
        </w:rPr>
        <w:t>以下统称负有冶</w:t>
      </w:r>
    </w:p>
    <w:p>
      <w:pPr>
        <w:pStyle w:val="6"/>
        <w:spacing w:before="2" w:line="244" w:lineRule="exact"/>
        <w:ind w:left="383" w:firstLine="0"/>
        <w:jc w:val="left"/>
      </w:pPr>
      <w:r>
        <w:rPr>
          <w:spacing w:val="11"/>
          <w:w w:val="105"/>
        </w:rPr>
        <w:t>金有色安全生产监管职责的部门</w:t>
      </w:r>
      <w:r>
        <w:rPr>
          <w:rFonts w:hint="eastAsia" w:ascii="MS UI Gothic" w:eastAsia="MS UI Gothic"/>
          <w:spacing w:val="20"/>
          <w:w w:val="105"/>
        </w:rPr>
        <w:t xml:space="preserve">) </w:t>
      </w:r>
      <w:r>
        <w:rPr>
          <w:spacing w:val="9"/>
          <w:w w:val="105"/>
        </w:rPr>
        <w:t>根据</w:t>
      </w:r>
    </w:p>
    <w:p>
      <w:pPr>
        <w:spacing w:after="0" w:line="244" w:lineRule="exact"/>
        <w:jc w:val="left"/>
        <w:sectPr>
          <w:type w:val="continuous"/>
          <w:pgSz w:w="10500" w:h="14750"/>
          <w:pgMar w:top="1400" w:right="980" w:bottom="280" w:left="980" w:header="720" w:footer="720" w:gutter="0"/>
          <w:cols w:equalWidth="0" w:num="2">
            <w:col w:w="4210" w:space="40"/>
            <w:col w:w="4290"/>
          </w:cols>
        </w:sectPr>
      </w:pPr>
    </w:p>
    <w:p>
      <w:pPr>
        <w:pStyle w:val="6"/>
        <w:spacing w:before="74"/>
        <w:ind w:left="440" w:firstLine="0"/>
        <w:jc w:val="left"/>
        <w:rPr>
          <w:rFonts w:hint="eastAsia" w:ascii="MS UI Gothic" w:eastAsia="MS UI Gothic"/>
        </w:rPr>
      </w:pPr>
      <w:r>
        <w:t>康</w:t>
      </w:r>
      <w:r>
        <w:rPr>
          <w:rFonts w:hint="eastAsia" w:ascii="MS UI Gothic" w:eastAsia="MS UI Gothic"/>
          <w:w w:val="80"/>
        </w:rPr>
        <w:t xml:space="preserve">ꎬ </w:t>
      </w:r>
      <w:r>
        <w:t>下同</w:t>
      </w:r>
      <w:r>
        <w:rPr>
          <w:rFonts w:hint="eastAsia" w:ascii="MS UI Gothic" w:eastAsia="MS UI Gothic"/>
          <w:w w:val="150"/>
        </w:rPr>
        <w:t xml:space="preserve">) </w:t>
      </w:r>
      <w:r>
        <w:t>和监督管理</w:t>
      </w:r>
      <w:r>
        <w:rPr>
          <w:rFonts w:hint="eastAsia" w:ascii="MS UI Gothic" w:eastAsia="MS UI Gothic"/>
          <w:w w:val="80"/>
        </w:rPr>
        <w:t xml:space="preserve">ꎬ </w:t>
      </w:r>
      <w:r>
        <w:t>适用本规定</w:t>
      </w:r>
      <w:r>
        <w:rPr>
          <w:rFonts w:hint="eastAsia" w:ascii="MS UI Gothic" w:eastAsia="MS UI Gothic"/>
          <w:w w:val="80"/>
        </w:rPr>
        <w:t>ꎮ</w:t>
      </w:r>
    </w:p>
    <w:p>
      <w:pPr>
        <w:pStyle w:val="6"/>
        <w:spacing w:before="66" w:line="302" w:lineRule="auto"/>
        <w:ind w:left="440"/>
        <w:jc w:val="left"/>
        <w:rPr>
          <w:rFonts w:hint="eastAsia" w:ascii="MS UI Gothic" w:eastAsia="MS UI Gothic"/>
        </w:rPr>
      </w:pPr>
      <w:r>
        <w:t>机械铸造企业中金属冶炼活动的安全</w:t>
      </w:r>
      <w:r>
        <w:rPr>
          <w:w w:val="105"/>
        </w:rPr>
        <w:t>生产和监督管理参照本规定执行</w:t>
      </w:r>
      <w:r>
        <w:rPr>
          <w:rFonts w:hint="eastAsia" w:ascii="MS UI Gothic" w:eastAsia="MS UI Gothic"/>
          <w:w w:val="80"/>
        </w:rPr>
        <w:t>ꎮ</w:t>
      </w:r>
    </w:p>
    <w:p>
      <w:pPr>
        <w:pStyle w:val="6"/>
        <w:spacing w:line="300" w:lineRule="auto"/>
        <w:ind w:left="440"/>
        <w:rPr>
          <w:rFonts w:hint="eastAsia" w:ascii="MS UI Gothic" w:eastAsia="MS UI Gothic"/>
        </w:rPr>
      </w:pPr>
      <w:r>
        <w:t>第三条 本规定所称冶金企业</w:t>
      </w:r>
      <w:r>
        <w:rPr>
          <w:rFonts w:hint="eastAsia" w:ascii="MS UI Gothic" w:eastAsia="MS UI Gothic"/>
          <w:w w:val="80"/>
        </w:rPr>
        <w:t xml:space="preserve">ꎬ </w:t>
      </w:r>
      <w:r>
        <w:t>是指从事黑色金属冶炼及压延加工业等生产活动的企业</w:t>
      </w:r>
      <w:r>
        <w:rPr>
          <w:rFonts w:hint="eastAsia" w:ascii="MS UI Gothic" w:eastAsia="MS UI Gothic"/>
          <w:w w:val="80"/>
        </w:rPr>
        <w:t>ꎮ</w:t>
      </w:r>
    </w:p>
    <w:p>
      <w:pPr>
        <w:pStyle w:val="6"/>
        <w:spacing w:before="2" w:line="300" w:lineRule="auto"/>
        <w:ind w:left="440"/>
        <w:rPr>
          <w:rFonts w:hint="eastAsia" w:ascii="MS UI Gothic" w:eastAsia="MS UI Gothic"/>
        </w:rPr>
      </w:pPr>
      <w:r>
        <w:t>本规定所称有色金属企业</w:t>
      </w:r>
      <w:r>
        <w:rPr>
          <w:rFonts w:hint="eastAsia" w:ascii="MS UI Gothic" w:eastAsia="MS UI Gothic"/>
          <w:w w:val="80"/>
        </w:rPr>
        <w:t xml:space="preserve">ꎬ </w:t>
      </w:r>
      <w:r>
        <w:t>是指从事有色金属冶炼及压延加工业等生产活动的企业</w:t>
      </w:r>
      <w:r>
        <w:rPr>
          <w:rFonts w:hint="eastAsia" w:ascii="MS UI Gothic" w:eastAsia="MS UI Gothic"/>
          <w:w w:val="80"/>
        </w:rPr>
        <w:t>ꎮ</w:t>
      </w:r>
    </w:p>
    <w:p>
      <w:pPr>
        <w:pStyle w:val="6"/>
        <w:spacing w:before="4" w:line="300" w:lineRule="auto"/>
        <w:ind w:left="440"/>
        <w:rPr>
          <w:rFonts w:hint="eastAsia" w:ascii="MS UI Gothic" w:eastAsia="MS UI Gothic"/>
        </w:rPr>
      </w:pPr>
      <w:r>
        <w:t>本规定所称金属冶炼</w:t>
      </w:r>
      <w:r>
        <w:rPr>
          <w:rFonts w:hint="eastAsia" w:ascii="MS UI Gothic" w:eastAsia="MS UI Gothic"/>
          <w:w w:val="80"/>
        </w:rPr>
        <w:t xml:space="preserve">ꎬ </w:t>
      </w:r>
      <w:r>
        <w:t xml:space="preserve">是指冶金企业和有色金属企业从事达到国家规定规模 </w:t>
      </w:r>
      <w:r>
        <w:rPr>
          <w:rFonts w:hint="eastAsia" w:ascii="MS UI Gothic" w:eastAsia="MS UI Gothic"/>
          <w:w w:val="150"/>
        </w:rPr>
        <w:t xml:space="preserve">( </w:t>
      </w:r>
      <w:r>
        <w:rPr>
          <w:w w:val="105"/>
        </w:rPr>
        <w:t>体量</w:t>
      </w:r>
      <w:r>
        <w:rPr>
          <w:rFonts w:hint="eastAsia" w:ascii="MS UI Gothic" w:eastAsia="MS UI Gothic"/>
          <w:w w:val="150"/>
        </w:rPr>
        <w:t xml:space="preserve">) </w:t>
      </w:r>
      <w:r>
        <w:rPr>
          <w:w w:val="105"/>
        </w:rPr>
        <w:t xml:space="preserve">的高温熔融金属及熔渣 </w:t>
      </w:r>
      <w:r>
        <w:rPr>
          <w:rFonts w:hint="eastAsia" w:ascii="MS UI Gothic" w:eastAsia="MS UI Gothic"/>
          <w:w w:val="150"/>
        </w:rPr>
        <w:t xml:space="preserve">( </w:t>
      </w:r>
      <w:r>
        <w:rPr>
          <w:w w:val="105"/>
        </w:rPr>
        <w:t>以下统称高温熔融金属</w:t>
      </w:r>
      <w:r>
        <w:rPr>
          <w:rFonts w:hint="eastAsia" w:ascii="MS UI Gothic" w:eastAsia="MS UI Gothic"/>
          <w:w w:val="150"/>
        </w:rPr>
        <w:t xml:space="preserve">) </w:t>
      </w:r>
      <w:r>
        <w:rPr>
          <w:w w:val="105"/>
        </w:rPr>
        <w:t>的生产活动</w:t>
      </w:r>
      <w:r>
        <w:rPr>
          <w:rFonts w:hint="eastAsia" w:ascii="MS UI Gothic" w:eastAsia="MS UI Gothic"/>
          <w:w w:val="80"/>
        </w:rPr>
        <w:t>ꎮ</w:t>
      </w:r>
    </w:p>
    <w:p>
      <w:pPr>
        <w:pStyle w:val="6"/>
        <w:spacing w:before="3" w:line="302" w:lineRule="auto"/>
        <w:ind w:left="440"/>
      </w:pPr>
      <w:r>
        <w:rPr>
          <w:w w:val="105"/>
        </w:rPr>
        <w:t>黑色金属冶炼及压延加工业</w:t>
      </w:r>
      <w:r>
        <w:rPr>
          <w:rFonts w:hint="eastAsia" w:ascii="MS UI Gothic" w:hAnsi="MS UI Gothic" w:eastAsia="MS UI Gothic"/>
          <w:w w:val="80"/>
        </w:rPr>
        <w:t xml:space="preserve">、 </w:t>
      </w:r>
      <w:r>
        <w:rPr>
          <w:w w:val="105"/>
        </w:rPr>
        <w:t>有色金</w:t>
      </w:r>
      <w:r>
        <w:t>属冶炼及压延加工业的具体目录</w:t>
      </w:r>
      <w:r>
        <w:rPr>
          <w:rFonts w:hint="eastAsia" w:ascii="MS UI Gothic" w:hAnsi="MS UI Gothic" w:eastAsia="MS UI Gothic"/>
          <w:w w:val="80"/>
        </w:rPr>
        <w:t xml:space="preserve">ꎬ </w:t>
      </w:r>
      <w:r>
        <w:t>由国家</w:t>
      </w:r>
      <w:r>
        <w:rPr>
          <w:w w:val="105"/>
        </w:rPr>
        <w:t xml:space="preserve">安全生产监督管理总局参照 </w:t>
      </w:r>
      <w:r>
        <w:rPr>
          <w:rFonts w:hint="eastAsia" w:ascii="MS UI Gothic" w:hAnsi="MS UI Gothic" w:eastAsia="MS UI Gothic"/>
          <w:w w:val="80"/>
        </w:rPr>
        <w:t xml:space="preserve">« </w:t>
      </w:r>
      <w:r>
        <w:rPr>
          <w:w w:val="105"/>
        </w:rPr>
        <w:t>国民经济</w:t>
      </w:r>
    </w:p>
    <w:p>
      <w:pPr>
        <w:pStyle w:val="6"/>
        <w:spacing w:before="76" w:line="300" w:lineRule="auto"/>
        <w:ind w:left="383" w:right="126" w:firstLine="0"/>
        <w:rPr>
          <w:rFonts w:hint="eastAsia" w:ascii="MS UI Gothic" w:eastAsia="MS UI Gothic"/>
        </w:rPr>
      </w:pPr>
      <w:r>
        <w:br w:type="column"/>
      </w:r>
      <w:r>
        <w:t>本级人民政府规定的职责</w:t>
      </w:r>
      <w:r>
        <w:rPr>
          <w:rFonts w:hint="eastAsia" w:ascii="MS UI Gothic" w:eastAsia="MS UI Gothic"/>
          <w:w w:val="80"/>
        </w:rPr>
        <w:t xml:space="preserve">ꎬ </w:t>
      </w:r>
      <w:r>
        <w:t>按照属地监管</w:t>
      </w:r>
      <w:r>
        <w:rPr>
          <w:rFonts w:hint="eastAsia" w:ascii="MS UI Gothic" w:eastAsia="MS UI Gothic"/>
          <w:w w:val="80"/>
        </w:rPr>
        <w:t xml:space="preserve">、 </w:t>
      </w:r>
      <w:r>
        <w:t>分级负责的原则</w:t>
      </w:r>
      <w:r>
        <w:rPr>
          <w:rFonts w:hint="eastAsia" w:ascii="MS UI Gothic" w:eastAsia="MS UI Gothic"/>
          <w:w w:val="80"/>
        </w:rPr>
        <w:t xml:space="preserve">ꎬ </w:t>
      </w:r>
      <w:r>
        <w:t>对本行政区域内的冶金企业和有色金属企业的安全生产工作实施监督管理</w:t>
      </w:r>
      <w:r>
        <w:rPr>
          <w:rFonts w:hint="eastAsia" w:ascii="MS UI Gothic" w:eastAsia="MS UI Gothic"/>
          <w:w w:val="80"/>
        </w:rPr>
        <w:t>ꎮ</w:t>
      </w:r>
    </w:p>
    <w:p>
      <w:pPr>
        <w:pStyle w:val="6"/>
        <w:tabs>
          <w:tab w:val="left" w:pos="1745"/>
        </w:tabs>
        <w:spacing w:before="170"/>
        <w:ind w:left="907" w:firstLine="0"/>
        <w:jc w:val="left"/>
      </w:pPr>
      <w:r>
        <w:rPr>
          <w:spacing w:val="3"/>
          <w:w w:val="105"/>
        </w:rPr>
        <w:t>第二</w:t>
      </w:r>
      <w:r>
        <w:rPr>
          <w:w w:val="105"/>
        </w:rPr>
        <w:t>章</w:t>
      </w:r>
      <w:r>
        <w:rPr>
          <w:w w:val="105"/>
        </w:rPr>
        <w:tab/>
      </w:r>
      <w:r>
        <w:rPr>
          <w:spacing w:val="3"/>
          <w:w w:val="105"/>
        </w:rPr>
        <w:t>企业的安全生产保</w:t>
      </w:r>
      <w:r>
        <w:rPr>
          <w:w w:val="105"/>
        </w:rPr>
        <w:t>障</w:t>
      </w:r>
    </w:p>
    <w:p>
      <w:pPr>
        <w:pStyle w:val="6"/>
        <w:spacing w:before="216" w:line="304" w:lineRule="auto"/>
        <w:ind w:left="383" w:right="126"/>
        <w:rPr>
          <w:rFonts w:hint="eastAsia" w:ascii="MS UI Gothic" w:eastAsia="MS UI Gothic"/>
        </w:rPr>
      </w:pPr>
      <w:r>
        <w:rPr>
          <w:w w:val="105"/>
        </w:rPr>
        <w:t>第六条 企业应当遵守有关安全生产法律</w:t>
      </w:r>
      <w:r>
        <w:rPr>
          <w:rFonts w:hint="eastAsia" w:ascii="MS UI Gothic" w:eastAsia="MS UI Gothic"/>
          <w:w w:val="80"/>
        </w:rPr>
        <w:t xml:space="preserve">、 </w:t>
      </w:r>
      <w:r>
        <w:rPr>
          <w:w w:val="105"/>
        </w:rPr>
        <w:t>行政法规</w:t>
      </w:r>
      <w:r>
        <w:rPr>
          <w:rFonts w:hint="eastAsia" w:ascii="MS UI Gothic" w:eastAsia="MS UI Gothic"/>
          <w:w w:val="80"/>
        </w:rPr>
        <w:t xml:space="preserve">、 </w:t>
      </w:r>
      <w:r>
        <w:rPr>
          <w:w w:val="105"/>
        </w:rPr>
        <w:t>规章和国家标准或者行业标准的规定</w:t>
      </w:r>
      <w:r>
        <w:rPr>
          <w:rFonts w:hint="eastAsia" w:ascii="MS UI Gothic" w:eastAsia="MS UI Gothic"/>
          <w:w w:val="80"/>
        </w:rPr>
        <w:t>ꎮ</w:t>
      </w:r>
    </w:p>
    <w:p>
      <w:pPr>
        <w:pStyle w:val="6"/>
        <w:spacing w:line="300" w:lineRule="auto"/>
        <w:ind w:left="383" w:right="126"/>
        <w:rPr>
          <w:rFonts w:hint="eastAsia" w:ascii="MS UI Gothic" w:eastAsia="MS UI Gothic"/>
        </w:rPr>
      </w:pPr>
      <w:r>
        <w:t>企业应当建立安全风险管控和事故隐患排查治理双重预防机制</w:t>
      </w:r>
      <w:r>
        <w:rPr>
          <w:rFonts w:hint="eastAsia" w:ascii="MS UI Gothic" w:eastAsia="MS UI Gothic"/>
          <w:w w:val="80"/>
        </w:rPr>
        <w:t xml:space="preserve">ꎬ </w:t>
      </w:r>
      <w:r>
        <w:t>落实从主要负责人到每一名从业人员的安全风险管控和</w:t>
      </w:r>
      <w:r>
        <w:rPr>
          <w:w w:val="105"/>
        </w:rPr>
        <w:t>事故隐患排查治理责任制</w:t>
      </w:r>
      <w:r>
        <w:rPr>
          <w:rFonts w:hint="eastAsia" w:ascii="MS UI Gothic" w:eastAsia="MS UI Gothic"/>
          <w:w w:val="80"/>
        </w:rPr>
        <w:t>ꎮ</w:t>
      </w:r>
    </w:p>
    <w:p>
      <w:pPr>
        <w:pStyle w:val="6"/>
        <w:spacing w:line="300" w:lineRule="auto"/>
        <w:ind w:left="383" w:right="126"/>
      </w:pPr>
      <w:r>
        <w:rPr>
          <w:w w:val="105"/>
        </w:rPr>
        <w:t>第七条 企业应当按照规定开展安全</w:t>
      </w:r>
      <w:r>
        <w:t>生产标准化建设工作</w:t>
      </w:r>
      <w:r>
        <w:rPr>
          <w:rFonts w:hint="eastAsia" w:ascii="MS UI Gothic" w:eastAsia="MS UI Gothic"/>
          <w:w w:val="80"/>
        </w:rPr>
        <w:t xml:space="preserve">ꎬ </w:t>
      </w:r>
      <w:r>
        <w:t>推进安全健康管理</w:t>
      </w:r>
      <w:r>
        <w:rPr>
          <w:w w:val="105"/>
        </w:rPr>
        <w:t>系统化</w:t>
      </w:r>
      <w:r>
        <w:rPr>
          <w:rFonts w:hint="eastAsia" w:ascii="MS UI Gothic" w:eastAsia="MS UI Gothic"/>
          <w:w w:val="80"/>
        </w:rPr>
        <w:t xml:space="preserve">、 </w:t>
      </w:r>
      <w:r>
        <w:rPr>
          <w:w w:val="105"/>
        </w:rPr>
        <w:t>岗位操作行为规范化</w:t>
      </w:r>
      <w:r>
        <w:rPr>
          <w:rFonts w:hint="eastAsia" w:ascii="MS UI Gothic" w:eastAsia="MS UI Gothic"/>
          <w:w w:val="80"/>
        </w:rPr>
        <w:t xml:space="preserve">、 </w:t>
      </w:r>
      <w:r>
        <w:rPr>
          <w:w w:val="105"/>
        </w:rPr>
        <w:t>设备设施</w:t>
      </w:r>
    </w:p>
    <w:p>
      <w:pPr>
        <w:spacing w:after="0" w:line="300" w:lineRule="auto"/>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１７４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56" o:spid="_x0000_s1556" o:spt="203" style="height:2.15pt;width:398.25pt;" coordsize="7965,43">
            <o:lock v:ext="edit"/>
            <v:line id="_x0000_s1557" o:spid="_x0000_s1557" o:spt="20" style="position:absolute;left:0;top:39;height:0;width:7965;" stroked="t" coordsize="21600,21600">
              <v:path arrowok="t"/>
              <v:fill focussize="0,0"/>
              <v:stroke weight="0.388031496062992pt" color="#231F20"/>
              <v:imagedata o:title=""/>
              <o:lock v:ext="edit"/>
            </v:line>
            <v:line id="_x0000_s1558" o:spid="_x0000_s155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本质安全化和作业环境器具定置化</w:t>
      </w:r>
      <w:r>
        <w:rPr>
          <w:rFonts w:hint="eastAsia" w:ascii="MS UI Gothic" w:eastAsia="MS UI Gothic"/>
          <w:w w:val="80"/>
        </w:rPr>
        <w:t xml:space="preserve">ꎬ </w:t>
      </w:r>
      <w:r>
        <w:t>并持续改进</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第八条 企业应当建立健全全员安全</w:t>
      </w:r>
      <w:r>
        <w:rPr>
          <w:spacing w:val="7"/>
          <w:w w:val="105"/>
        </w:rPr>
        <w:t>生产责任制</w:t>
      </w:r>
      <w:r>
        <w:rPr>
          <w:rFonts w:hint="eastAsia" w:ascii="MS UI Gothic" w:eastAsia="MS UI Gothic"/>
          <w:spacing w:val="10"/>
          <w:w w:val="80"/>
        </w:rPr>
        <w:t xml:space="preserve">ꎬ </w:t>
      </w:r>
      <w:r>
        <w:rPr>
          <w:spacing w:val="7"/>
          <w:w w:val="105"/>
        </w:rPr>
        <w:t xml:space="preserve">主要负责人 </w:t>
      </w:r>
      <w:r>
        <w:rPr>
          <w:rFonts w:hint="eastAsia" w:ascii="MS UI Gothic" w:eastAsia="MS UI Gothic"/>
          <w:spacing w:val="-36"/>
          <w:w w:val="150"/>
        </w:rPr>
        <w:t xml:space="preserve">( </w:t>
      </w:r>
      <w:r>
        <w:rPr>
          <w:spacing w:val="16"/>
          <w:w w:val="105"/>
        </w:rPr>
        <w:t>包括法定代</w:t>
      </w:r>
      <w:r>
        <w:rPr>
          <w:spacing w:val="10"/>
          <w:w w:val="105"/>
        </w:rPr>
        <w:t>表人和实际控制人</w:t>
      </w:r>
      <w:r>
        <w:rPr>
          <w:rFonts w:hint="eastAsia" w:ascii="MS UI Gothic" w:eastAsia="MS UI Gothic"/>
          <w:spacing w:val="10"/>
          <w:w w:val="80"/>
        </w:rPr>
        <w:t xml:space="preserve">ꎬ </w:t>
      </w:r>
      <w:r>
        <w:rPr>
          <w:spacing w:val="18"/>
          <w:w w:val="105"/>
        </w:rPr>
        <w:t>下同</w:t>
      </w:r>
      <w:r>
        <w:rPr>
          <w:rFonts w:hint="eastAsia" w:ascii="MS UI Gothic" w:eastAsia="MS UI Gothic"/>
          <w:spacing w:val="-6"/>
          <w:w w:val="150"/>
        </w:rPr>
        <w:t xml:space="preserve">) </w:t>
      </w:r>
      <w:r>
        <w:rPr>
          <w:spacing w:val="16"/>
          <w:w w:val="105"/>
        </w:rPr>
        <w:t>是本企业安</w:t>
      </w:r>
      <w:r>
        <w:rPr>
          <w:spacing w:val="3"/>
        </w:rPr>
        <w:t>全生产的第一责任人</w:t>
      </w:r>
      <w:r>
        <w:rPr>
          <w:rFonts w:hint="eastAsia" w:ascii="MS UI Gothic" w:eastAsia="MS UI Gothic"/>
          <w:spacing w:val="21"/>
          <w:w w:val="80"/>
        </w:rPr>
        <w:t xml:space="preserve">ꎬ </w:t>
      </w:r>
      <w:r>
        <w:rPr>
          <w:spacing w:val="2"/>
        </w:rPr>
        <w:t>对本企业的安全生</w:t>
      </w:r>
      <w:r>
        <w:rPr>
          <w:spacing w:val="3"/>
        </w:rPr>
        <w:t>产工作全面负责</w:t>
      </w:r>
      <w:r>
        <w:rPr>
          <w:rFonts w:hint="eastAsia" w:ascii="MS UI Gothic" w:eastAsia="MS UI Gothic"/>
          <w:spacing w:val="21"/>
          <w:w w:val="80"/>
        </w:rPr>
        <w:t xml:space="preserve">ꎻ </w:t>
      </w:r>
      <w:r>
        <w:rPr>
          <w:spacing w:val="2"/>
        </w:rPr>
        <w:t>其他负责人对分管范围</w:t>
      </w:r>
      <w:r>
        <w:rPr>
          <w:spacing w:val="3"/>
        </w:rPr>
        <w:t>内的安全生产工作负责</w:t>
      </w:r>
      <w:r>
        <w:rPr>
          <w:rFonts w:hint="eastAsia" w:ascii="MS UI Gothic" w:eastAsia="MS UI Gothic"/>
          <w:spacing w:val="21"/>
          <w:w w:val="80"/>
        </w:rPr>
        <w:t xml:space="preserve">ꎻ </w:t>
      </w:r>
      <w:r>
        <w:rPr>
          <w:spacing w:val="2"/>
        </w:rPr>
        <w:t>各职能部门负责</w:t>
      </w:r>
      <w:r>
        <w:rPr>
          <w:spacing w:val="3"/>
          <w:w w:val="105"/>
        </w:rPr>
        <w:t>人对职责范围内的安全生产工作负责</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第九条 企业主要负责人应当每年向</w:t>
      </w:r>
      <w:r>
        <w:t>股东会或者职工代表大会报告本企业安全生产状况</w:t>
      </w:r>
      <w:r>
        <w:rPr>
          <w:rFonts w:hint="eastAsia" w:ascii="MS UI Gothic" w:eastAsia="MS UI Gothic"/>
          <w:w w:val="80"/>
        </w:rPr>
        <w:t xml:space="preserve">ꎬ </w:t>
      </w:r>
      <w:r>
        <w:t>接受股东和从业人员对安全生</w:t>
      </w:r>
      <w:r>
        <w:rPr>
          <w:w w:val="105"/>
        </w:rPr>
        <w:t>产工作的监督</w:t>
      </w:r>
      <w:r>
        <w:rPr>
          <w:rFonts w:hint="eastAsia" w:ascii="MS UI Gothic" w:eastAsia="MS UI Gothic"/>
          <w:w w:val="80"/>
        </w:rPr>
        <w:t>ꎮ</w:t>
      </w:r>
    </w:p>
    <w:p>
      <w:pPr>
        <w:pStyle w:val="6"/>
        <w:spacing w:line="295" w:lineRule="auto"/>
        <w:ind w:right="38"/>
        <w:rPr>
          <w:rFonts w:hint="eastAsia" w:ascii="MS UI Gothic" w:eastAsia="MS UI Gothic"/>
        </w:rPr>
      </w:pPr>
      <w:r>
        <w:rPr>
          <w:spacing w:val="3"/>
        </w:rPr>
        <w:t>第十条 企业存在金属冶炼工艺</w:t>
      </w:r>
      <w:r>
        <w:rPr>
          <w:rFonts w:hint="eastAsia" w:ascii="MS UI Gothic" w:eastAsia="MS UI Gothic"/>
          <w:spacing w:val="8"/>
          <w:w w:val="80"/>
        </w:rPr>
        <w:t xml:space="preserve">ꎬ </w:t>
      </w:r>
      <w:r>
        <w:t>从</w:t>
      </w:r>
      <w:r>
        <w:rPr>
          <w:spacing w:val="3"/>
        </w:rPr>
        <w:t>业人员在一百人以上的</w:t>
      </w:r>
      <w:r>
        <w:rPr>
          <w:rFonts w:hint="eastAsia" w:ascii="MS UI Gothic" w:eastAsia="MS UI Gothic"/>
          <w:spacing w:val="21"/>
          <w:w w:val="80"/>
        </w:rPr>
        <w:t xml:space="preserve">ꎬ </w:t>
      </w:r>
      <w:r>
        <w:rPr>
          <w:spacing w:val="2"/>
        </w:rPr>
        <w:t>应当设置安全生产管理机构或者配备不低于从业人员千分</w:t>
      </w:r>
      <w:r>
        <w:rPr>
          <w:spacing w:val="3"/>
        </w:rPr>
        <w:t>之三的专职安全生产管理人员</w:t>
      </w:r>
      <w:r>
        <w:rPr>
          <w:rFonts w:hint="eastAsia" w:ascii="MS UI Gothic" w:eastAsia="MS UI Gothic"/>
          <w:spacing w:val="21"/>
          <w:w w:val="80"/>
        </w:rPr>
        <w:t xml:space="preserve">ꎬ </w:t>
      </w:r>
      <w:r>
        <w:rPr>
          <w:spacing w:val="2"/>
        </w:rPr>
        <w:t>但最低不</w:t>
      </w:r>
      <w:r>
        <w:rPr>
          <w:spacing w:val="3"/>
        </w:rPr>
        <w:t>少于三人</w:t>
      </w:r>
      <w:r>
        <w:rPr>
          <w:rFonts w:hint="eastAsia" w:ascii="MS UI Gothic" w:eastAsia="MS UI Gothic"/>
          <w:spacing w:val="23"/>
          <w:w w:val="80"/>
        </w:rPr>
        <w:t xml:space="preserve">ꎻ </w:t>
      </w:r>
      <w:r>
        <w:rPr>
          <w:spacing w:val="3"/>
        </w:rPr>
        <w:t>从业人员在一百人以下的</w:t>
      </w:r>
      <w:r>
        <w:rPr>
          <w:rFonts w:hint="eastAsia" w:ascii="MS UI Gothic" w:eastAsia="MS UI Gothic"/>
          <w:spacing w:val="23"/>
          <w:w w:val="80"/>
        </w:rPr>
        <w:t xml:space="preserve">ꎬ </w:t>
      </w:r>
      <w:r>
        <w:t>应</w:t>
      </w:r>
      <w:r>
        <w:rPr>
          <w:spacing w:val="2"/>
        </w:rPr>
        <w:t>当设置安全生产管理机构或者配备专职安</w:t>
      </w:r>
      <w:r>
        <w:rPr>
          <w:spacing w:val="3"/>
        </w:rPr>
        <w:t>全生产管理人员</w:t>
      </w:r>
      <w:r>
        <w:rPr>
          <w:rFonts w:hint="eastAsia" w:ascii="MS UI Gothic" w:eastAsia="MS UI Gothic"/>
          <w:w w:val="80"/>
        </w:rPr>
        <w:t>ꎮ</w:t>
      </w:r>
    </w:p>
    <w:p>
      <w:pPr>
        <w:pStyle w:val="6"/>
        <w:spacing w:line="295" w:lineRule="auto"/>
        <w:ind w:right="38"/>
        <w:rPr>
          <w:rFonts w:hint="eastAsia" w:ascii="MS UI Gothic" w:eastAsia="MS UI Gothic"/>
        </w:rPr>
      </w:pPr>
      <w:r>
        <w:rPr>
          <w:spacing w:val="6"/>
          <w:w w:val="105"/>
        </w:rPr>
        <w:t>第十一条 企业主要负责人</w:t>
      </w:r>
      <w:r>
        <w:rPr>
          <w:rFonts w:hint="eastAsia" w:ascii="MS UI Gothic" w:eastAsia="MS UI Gothic"/>
          <w:spacing w:val="18"/>
          <w:w w:val="80"/>
        </w:rPr>
        <w:t xml:space="preserve">、 </w:t>
      </w:r>
      <w:r>
        <w:rPr>
          <w:spacing w:val="2"/>
          <w:w w:val="105"/>
        </w:rPr>
        <w:t>安全生</w:t>
      </w:r>
      <w:r>
        <w:rPr>
          <w:spacing w:val="11"/>
        </w:rPr>
        <w:t>产管理人员应当接受安全生产教育和培</w:t>
      </w:r>
      <w:r>
        <w:rPr>
          <w:spacing w:val="3"/>
        </w:rPr>
        <w:t>训</w:t>
      </w:r>
      <w:r>
        <w:rPr>
          <w:rFonts w:hint="eastAsia" w:ascii="MS UI Gothic" w:eastAsia="MS UI Gothic"/>
          <w:spacing w:val="21"/>
          <w:w w:val="80"/>
        </w:rPr>
        <w:t xml:space="preserve">ꎬ </w:t>
      </w:r>
      <w:r>
        <w:rPr>
          <w:spacing w:val="2"/>
        </w:rPr>
        <w:t>具备与本企业生产经营活动相适应的</w:t>
      </w:r>
      <w:r>
        <w:rPr>
          <w:spacing w:val="3"/>
        </w:rPr>
        <w:t>安全生产知识和管理能力</w:t>
      </w:r>
      <w:r>
        <w:rPr>
          <w:rFonts w:hint="eastAsia" w:ascii="MS UI Gothic" w:eastAsia="MS UI Gothic"/>
          <w:spacing w:val="23"/>
          <w:w w:val="80"/>
        </w:rPr>
        <w:t xml:space="preserve">ꎮ </w:t>
      </w:r>
      <w:r>
        <w:rPr>
          <w:spacing w:val="3"/>
        </w:rPr>
        <w:t>其中</w:t>
      </w:r>
      <w:r>
        <w:rPr>
          <w:rFonts w:hint="eastAsia" w:ascii="MS UI Gothic" w:eastAsia="MS UI Gothic"/>
          <w:spacing w:val="23"/>
          <w:w w:val="80"/>
        </w:rPr>
        <w:t xml:space="preserve">ꎬ </w:t>
      </w:r>
      <w:r>
        <w:rPr>
          <w:spacing w:val="2"/>
        </w:rPr>
        <w:t>存在金</w:t>
      </w:r>
      <w:r>
        <w:rPr>
          <w:spacing w:val="3"/>
          <w:w w:val="105"/>
        </w:rPr>
        <w:t>属冶炼工艺的企业的主要负责人</w:t>
      </w:r>
      <w:r>
        <w:rPr>
          <w:rFonts w:hint="eastAsia" w:ascii="MS UI Gothic" w:eastAsia="MS UI Gothic"/>
          <w:spacing w:val="-4"/>
          <w:w w:val="80"/>
        </w:rPr>
        <w:t xml:space="preserve">、 </w:t>
      </w:r>
      <w:r>
        <w:rPr>
          <w:spacing w:val="1"/>
          <w:w w:val="105"/>
        </w:rPr>
        <w:t>安全生</w:t>
      </w:r>
      <w:r>
        <w:rPr>
          <w:spacing w:val="3"/>
        </w:rPr>
        <w:t>产管理人员自任职之日起六个月内</w:t>
      </w:r>
      <w:r>
        <w:rPr>
          <w:rFonts w:hint="eastAsia" w:ascii="MS UI Gothic" w:eastAsia="MS UI Gothic"/>
          <w:spacing w:val="21"/>
          <w:w w:val="80"/>
        </w:rPr>
        <w:t xml:space="preserve">ꎬ </w:t>
      </w:r>
      <w:r>
        <w:rPr>
          <w:spacing w:val="1"/>
        </w:rPr>
        <w:t>必须</w:t>
      </w:r>
      <w:r>
        <w:rPr>
          <w:spacing w:val="2"/>
        </w:rPr>
        <w:t>接受负有冶金有色安全生产监管职责的部</w:t>
      </w:r>
      <w:r>
        <w:rPr>
          <w:spacing w:val="11"/>
        </w:rPr>
        <w:t>门对其进行安全生产知识和管理能力考</w:t>
      </w:r>
      <w:r>
        <w:rPr>
          <w:spacing w:val="3"/>
          <w:w w:val="105"/>
        </w:rPr>
        <w:t>核</w:t>
      </w:r>
      <w:r>
        <w:rPr>
          <w:rFonts w:hint="eastAsia" w:ascii="MS UI Gothic" w:eastAsia="MS UI Gothic"/>
          <w:w w:val="80"/>
        </w:rPr>
        <w:t xml:space="preserve">ꎬ </w:t>
      </w:r>
      <w:r>
        <w:rPr>
          <w:spacing w:val="3"/>
          <w:w w:val="105"/>
        </w:rPr>
        <w:t>并考核合格</w:t>
      </w:r>
      <w:r>
        <w:rPr>
          <w:rFonts w:hint="eastAsia" w:ascii="MS UI Gothic" w:eastAsia="MS UI Gothic"/>
          <w:w w:val="80"/>
        </w:rPr>
        <w:t>ꎮ</w:t>
      </w:r>
    </w:p>
    <w:p>
      <w:pPr>
        <w:pStyle w:val="6"/>
        <w:spacing w:line="295" w:lineRule="auto"/>
        <w:ind w:right="38"/>
        <w:rPr>
          <w:rFonts w:hint="eastAsia" w:ascii="MS UI Gothic" w:eastAsia="MS UI Gothic"/>
        </w:rPr>
      </w:pPr>
      <w:r>
        <w:t>企业应当按照国家有关规定对从业人员进行安全生产教育和培训</w:t>
      </w:r>
      <w:r>
        <w:rPr>
          <w:rFonts w:hint="eastAsia" w:ascii="MS UI Gothic" w:eastAsia="MS UI Gothic"/>
          <w:w w:val="80"/>
        </w:rPr>
        <w:t xml:space="preserve">ꎬ </w:t>
      </w:r>
      <w:r>
        <w:t>保证从业人员具备必要的安全生产知识</w:t>
      </w:r>
      <w:r>
        <w:rPr>
          <w:rFonts w:hint="eastAsia" w:ascii="MS UI Gothic" w:eastAsia="MS UI Gothic"/>
          <w:w w:val="80"/>
        </w:rPr>
        <w:t xml:space="preserve">ꎬ </w:t>
      </w:r>
      <w:r>
        <w:t>了解有关安全生产法律法规</w:t>
      </w:r>
      <w:r>
        <w:rPr>
          <w:rFonts w:hint="eastAsia" w:ascii="MS UI Gothic" w:eastAsia="MS UI Gothic"/>
          <w:w w:val="80"/>
        </w:rPr>
        <w:t xml:space="preserve">ꎬ </w:t>
      </w:r>
      <w:r>
        <w:t>熟悉本企业规章制度和安全技术操作规程</w:t>
      </w:r>
      <w:r>
        <w:rPr>
          <w:rFonts w:hint="eastAsia" w:ascii="MS UI Gothic" w:eastAsia="MS UI Gothic"/>
          <w:w w:val="80"/>
        </w:rPr>
        <w:t xml:space="preserve">ꎬ </w:t>
      </w:r>
      <w:r>
        <w:t>掌握本岗位安全操作技能</w:t>
      </w:r>
      <w:r>
        <w:rPr>
          <w:rFonts w:hint="eastAsia" w:ascii="MS UI Gothic" w:eastAsia="MS UI Gothic"/>
          <w:w w:val="80"/>
        </w:rPr>
        <w:t xml:space="preserve">ꎬ </w:t>
      </w:r>
      <w:r>
        <w:t>并建立培训档案</w:t>
      </w:r>
      <w:r>
        <w:rPr>
          <w:rFonts w:hint="eastAsia" w:ascii="MS UI Gothic" w:eastAsia="MS UI Gothic"/>
          <w:w w:val="80"/>
        </w:rPr>
        <w:t xml:space="preserve">ꎬ </w:t>
      </w:r>
      <w:r>
        <w:t>记录培训</w:t>
      </w:r>
      <w:r>
        <w:rPr>
          <w:rFonts w:hint="eastAsia" w:ascii="MS UI Gothic" w:eastAsia="MS UI Gothic"/>
          <w:w w:val="80"/>
        </w:rPr>
        <w:t xml:space="preserve">、 </w:t>
      </w:r>
      <w:r>
        <w:t>考核等情况</w:t>
      </w:r>
      <w:r>
        <w:rPr>
          <w:rFonts w:hint="eastAsia" w:ascii="MS UI Gothic" w:eastAsia="MS UI Gothic"/>
          <w:w w:val="80"/>
        </w:rPr>
        <w:t xml:space="preserve">ꎮ </w:t>
      </w:r>
      <w:r>
        <w:t>未经安全生产教育培训合格的从业人员</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line="250" w:lineRule="exact"/>
        <w:ind w:left="543" w:firstLine="0"/>
        <w:jc w:val="left"/>
      </w:pPr>
      <w:r>
        <w:rPr>
          <w:spacing w:val="14"/>
        </w:rPr>
        <w:t>企业应当对新上岗从业人员进行厂</w:t>
      </w:r>
    </w:p>
    <w:p>
      <w:pPr>
        <w:pStyle w:val="6"/>
        <w:spacing w:before="35"/>
        <w:ind w:firstLine="0"/>
      </w:pPr>
      <w:r>
        <w:rPr>
          <w:rFonts w:hint="eastAsia" w:ascii="MS UI Gothic" w:eastAsia="MS UI Gothic"/>
          <w:spacing w:val="-26"/>
          <w:w w:val="110"/>
        </w:rPr>
        <w:t xml:space="preserve">( </w:t>
      </w:r>
      <w:r>
        <w:rPr>
          <w:spacing w:val="3"/>
          <w:w w:val="110"/>
        </w:rPr>
        <w:t>公司</w:t>
      </w:r>
      <w:r>
        <w:rPr>
          <w:rFonts w:hint="eastAsia" w:ascii="MS UI Gothic" w:eastAsia="MS UI Gothic"/>
          <w:spacing w:val="21"/>
          <w:w w:val="110"/>
        </w:rPr>
        <w:t>)</w:t>
      </w:r>
      <w:r>
        <w:rPr>
          <w:rFonts w:hint="eastAsia" w:ascii="MS UI Gothic" w:eastAsia="MS UI Gothic"/>
          <w:spacing w:val="7"/>
        </w:rPr>
        <w:t xml:space="preserve">、 </w:t>
      </w:r>
      <w:r>
        <w:rPr>
          <w:spacing w:val="-10"/>
          <w:w w:val="110"/>
        </w:rPr>
        <w:t xml:space="preserve">车间 </w:t>
      </w:r>
      <w:r>
        <w:rPr>
          <w:rFonts w:hint="eastAsia" w:ascii="MS UI Gothic" w:eastAsia="MS UI Gothic"/>
          <w:spacing w:val="-26"/>
          <w:w w:val="110"/>
        </w:rPr>
        <w:t xml:space="preserve">( </w:t>
      </w:r>
      <w:r>
        <w:rPr>
          <w:spacing w:val="3"/>
          <w:w w:val="110"/>
        </w:rPr>
        <w:t>职能部门</w:t>
      </w:r>
      <w:r>
        <w:rPr>
          <w:rFonts w:hint="eastAsia" w:ascii="MS UI Gothic" w:eastAsia="MS UI Gothic"/>
          <w:spacing w:val="21"/>
          <w:w w:val="110"/>
        </w:rPr>
        <w:t>)</w:t>
      </w:r>
      <w:r>
        <w:rPr>
          <w:rFonts w:hint="eastAsia" w:ascii="MS UI Gothic" w:eastAsia="MS UI Gothic"/>
          <w:spacing w:val="9"/>
        </w:rPr>
        <w:t xml:space="preserve">、 </w:t>
      </w:r>
      <w:r>
        <w:rPr>
          <w:spacing w:val="7"/>
          <w:w w:val="110"/>
        </w:rPr>
        <w:t>班组三级安</w:t>
      </w:r>
    </w:p>
    <w:p>
      <w:pPr>
        <w:pStyle w:val="6"/>
        <w:spacing w:before="123" w:line="295" w:lineRule="auto"/>
        <w:ind w:right="442" w:firstLine="0"/>
        <w:rPr>
          <w:rFonts w:hint="eastAsia" w:ascii="MS UI Gothic" w:eastAsia="MS UI Gothic"/>
        </w:rPr>
      </w:pPr>
      <w:r>
        <w:br w:type="column"/>
      </w:r>
      <w:r>
        <w:rPr>
          <w:w w:val="105"/>
        </w:rPr>
        <w:t>全生产教育和培训</w:t>
      </w:r>
      <w:r>
        <w:rPr>
          <w:rFonts w:hint="eastAsia" w:ascii="MS UI Gothic" w:eastAsia="MS UI Gothic"/>
          <w:w w:val="80"/>
        </w:rPr>
        <w:t xml:space="preserve">ꎻ </w:t>
      </w:r>
      <w:r>
        <w:rPr>
          <w:w w:val="105"/>
        </w:rPr>
        <w:t>对调整工作岗位</w:t>
      </w:r>
      <w:r>
        <w:rPr>
          <w:rFonts w:hint="eastAsia" w:ascii="MS UI Gothic" w:eastAsia="MS UI Gothic"/>
          <w:w w:val="80"/>
        </w:rPr>
        <w:t xml:space="preserve">、 </w:t>
      </w:r>
      <w:r>
        <w:rPr>
          <w:w w:val="105"/>
        </w:rPr>
        <w:t>离</w:t>
      </w:r>
      <w:r>
        <w:t>岗半年以上重新上岗的从业人员</w:t>
      </w:r>
      <w:r>
        <w:rPr>
          <w:rFonts w:hint="eastAsia" w:ascii="MS UI Gothic" w:eastAsia="MS UI Gothic"/>
          <w:w w:val="80"/>
        </w:rPr>
        <w:t xml:space="preserve">ꎬ </w:t>
      </w:r>
      <w:r>
        <w:t>应当经</w:t>
      </w:r>
      <w:r>
        <w:rPr>
          <w:w w:val="105"/>
        </w:rPr>
        <w:t xml:space="preserve">车间 </w:t>
      </w:r>
      <w:r>
        <w:rPr>
          <w:rFonts w:hint="eastAsia" w:ascii="MS UI Gothic" w:eastAsia="MS UI Gothic"/>
          <w:w w:val="150"/>
        </w:rPr>
        <w:t xml:space="preserve">( </w:t>
      </w:r>
      <w:r>
        <w:rPr>
          <w:w w:val="105"/>
        </w:rPr>
        <w:t>职能部门</w:t>
      </w:r>
      <w:r>
        <w:rPr>
          <w:rFonts w:hint="eastAsia" w:ascii="MS UI Gothic" w:eastAsia="MS UI Gothic"/>
          <w:w w:val="150"/>
        </w:rPr>
        <w:t>)</w:t>
      </w:r>
      <w:r>
        <w:rPr>
          <w:rFonts w:hint="eastAsia" w:ascii="MS UI Gothic" w:eastAsia="MS UI Gothic"/>
          <w:w w:val="80"/>
        </w:rPr>
        <w:t xml:space="preserve">、 </w:t>
      </w:r>
      <w:r>
        <w:rPr>
          <w:w w:val="105"/>
        </w:rPr>
        <w:t>班组安全生产教育和培训合格后</w:t>
      </w:r>
      <w:r>
        <w:rPr>
          <w:rFonts w:hint="eastAsia" w:ascii="MS UI Gothic" w:eastAsia="MS UI Gothic"/>
          <w:w w:val="80"/>
        </w:rPr>
        <w:t xml:space="preserve">ꎬ </w:t>
      </w:r>
      <w:r>
        <w:rPr>
          <w:w w:val="105"/>
        </w:rPr>
        <w:t>方可上岗作业</w:t>
      </w:r>
      <w:r>
        <w:rPr>
          <w:rFonts w:hint="eastAsia" w:ascii="MS UI Gothic" w:eastAsia="MS UI Gothic"/>
          <w:w w:val="80"/>
        </w:rPr>
        <w:t>ꎮ</w:t>
      </w:r>
    </w:p>
    <w:p>
      <w:pPr>
        <w:pStyle w:val="6"/>
        <w:spacing w:line="295" w:lineRule="auto"/>
        <w:ind w:right="442"/>
        <w:rPr>
          <w:rFonts w:hint="eastAsia" w:ascii="MS UI Gothic" w:eastAsia="MS UI Gothic"/>
        </w:rPr>
      </w:pPr>
      <w:r>
        <w:t>新工艺</w:t>
      </w:r>
      <w:r>
        <w:rPr>
          <w:rFonts w:hint="eastAsia" w:ascii="MS UI Gothic" w:eastAsia="MS UI Gothic"/>
          <w:w w:val="80"/>
        </w:rPr>
        <w:t xml:space="preserve">、 </w:t>
      </w:r>
      <w:r>
        <w:t>新技术</w:t>
      </w:r>
      <w:r>
        <w:rPr>
          <w:rFonts w:hint="eastAsia" w:ascii="MS UI Gothic" w:eastAsia="MS UI Gothic"/>
          <w:w w:val="80"/>
        </w:rPr>
        <w:t xml:space="preserve">、 </w:t>
      </w:r>
      <w:r>
        <w:t>新材料</w:t>
      </w:r>
      <w:r>
        <w:rPr>
          <w:rFonts w:hint="eastAsia" w:ascii="MS UI Gothic" w:eastAsia="MS UI Gothic"/>
          <w:w w:val="80"/>
        </w:rPr>
        <w:t xml:space="preserve">、 </w:t>
      </w:r>
      <w:r>
        <w:t>新设备投入使用前</w:t>
      </w:r>
      <w:r>
        <w:rPr>
          <w:rFonts w:hint="eastAsia" w:ascii="MS UI Gothic" w:eastAsia="MS UI Gothic"/>
          <w:w w:val="80"/>
        </w:rPr>
        <w:t xml:space="preserve">ꎬ </w:t>
      </w:r>
      <w:r>
        <w:t>企业应当对有关操作岗位人员进行专门的安全生产教育和培训</w:t>
      </w:r>
      <w:r>
        <w:rPr>
          <w:rFonts w:hint="eastAsia" w:ascii="MS UI Gothic" w:eastAsia="MS UI Gothic"/>
          <w:w w:val="80"/>
        </w:rPr>
        <w:t>ꎮ</w:t>
      </w:r>
    </w:p>
    <w:p>
      <w:pPr>
        <w:pStyle w:val="6"/>
        <w:spacing w:line="295" w:lineRule="auto"/>
        <w:ind w:right="440"/>
        <w:rPr>
          <w:rFonts w:hint="eastAsia" w:ascii="MS UI Gothic" w:hAnsi="MS UI Gothic" w:eastAsia="MS UI Gothic"/>
        </w:rPr>
      </w:pPr>
      <w:r>
        <w:t>第十二条  企业从事煤气生产</w:t>
      </w:r>
      <w:r>
        <w:rPr>
          <w:rFonts w:hint="eastAsia" w:ascii="MS UI Gothic" w:hAnsi="MS UI Gothic" w:eastAsia="MS UI Gothic"/>
          <w:w w:val="80"/>
        </w:rPr>
        <w:t xml:space="preserve">、  </w:t>
      </w:r>
      <w:r>
        <w:t>储存</w:t>
      </w:r>
      <w:r>
        <w:rPr>
          <w:rFonts w:hint="eastAsia" w:ascii="MS UI Gothic" w:hAnsi="MS UI Gothic" w:eastAsia="MS UI Gothic"/>
          <w:w w:val="80"/>
        </w:rPr>
        <w:t xml:space="preserve">、 </w:t>
      </w:r>
      <w:r>
        <w:t>输送</w:t>
      </w:r>
      <w:r>
        <w:rPr>
          <w:rFonts w:hint="eastAsia" w:ascii="MS UI Gothic" w:hAnsi="MS UI Gothic" w:eastAsia="MS UI Gothic"/>
          <w:w w:val="80"/>
        </w:rPr>
        <w:t xml:space="preserve">、 </w:t>
      </w:r>
      <w:r>
        <w:t>使用</w:t>
      </w:r>
      <w:r>
        <w:rPr>
          <w:rFonts w:hint="eastAsia" w:ascii="MS UI Gothic" w:hAnsi="MS UI Gothic" w:eastAsia="MS UI Gothic"/>
          <w:w w:val="80"/>
        </w:rPr>
        <w:t xml:space="preserve">、 </w:t>
      </w:r>
      <w:r>
        <w:t>维护检修作业的特种作业人员必须依法经专门的安全技术培训</w:t>
      </w:r>
      <w:r>
        <w:rPr>
          <w:rFonts w:hint="eastAsia" w:ascii="MS UI Gothic" w:hAnsi="MS UI Gothic" w:eastAsia="MS UI Gothic"/>
          <w:w w:val="80"/>
        </w:rPr>
        <w:t>ꎬ</w:t>
      </w:r>
      <w:r>
        <w:t>并经考核合格</w:t>
      </w:r>
      <w:r>
        <w:rPr>
          <w:rFonts w:hint="eastAsia" w:ascii="MS UI Gothic" w:hAnsi="MS UI Gothic" w:eastAsia="MS UI Gothic"/>
          <w:w w:val="80"/>
        </w:rPr>
        <w:t xml:space="preserve">ꎬ </w:t>
      </w:r>
      <w:r>
        <w:t xml:space="preserve">取得 </w:t>
      </w:r>
      <w:r>
        <w:rPr>
          <w:rFonts w:hint="eastAsia" w:ascii="MS UI Gothic" w:hAnsi="MS UI Gothic" w:eastAsia="MS UI Gothic"/>
          <w:w w:val="80"/>
        </w:rPr>
        <w:t xml:space="preserve">« </w:t>
      </w:r>
      <w:r>
        <w:t>中华人民共和国特种作业操作证</w:t>
      </w:r>
      <w:r>
        <w:rPr>
          <w:rFonts w:hint="eastAsia" w:ascii="MS UI Gothic" w:hAnsi="MS UI Gothic" w:eastAsia="MS UI Gothic"/>
          <w:w w:val="80"/>
        </w:rPr>
        <w:t xml:space="preserve">» </w:t>
      </w:r>
      <w:r>
        <w:t>后</w:t>
      </w:r>
      <w:r>
        <w:rPr>
          <w:rFonts w:hint="eastAsia" w:ascii="MS UI Gothic" w:hAnsi="MS UI Gothic" w:eastAsia="MS UI Gothic"/>
          <w:w w:val="80"/>
        </w:rPr>
        <w:t xml:space="preserve">ꎬ </w:t>
      </w:r>
      <w:r>
        <w:t>方可上岗作业</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spacing w:val="9"/>
          <w:w w:val="105"/>
        </w:rPr>
        <w:t>第十三条 企业新建</w:t>
      </w:r>
      <w:r>
        <w:rPr>
          <w:rFonts w:hint="eastAsia" w:ascii="MS UI Gothic" w:eastAsia="MS UI Gothic"/>
          <w:spacing w:val="21"/>
          <w:w w:val="80"/>
        </w:rPr>
        <w:t xml:space="preserve">、 </w:t>
      </w:r>
      <w:r>
        <w:rPr>
          <w:spacing w:val="3"/>
          <w:w w:val="105"/>
        </w:rPr>
        <w:t>改建</w:t>
      </w:r>
      <w:r>
        <w:rPr>
          <w:rFonts w:hint="eastAsia" w:ascii="MS UI Gothic" w:eastAsia="MS UI Gothic"/>
          <w:spacing w:val="21"/>
          <w:w w:val="80"/>
        </w:rPr>
        <w:t xml:space="preserve">、 </w:t>
      </w:r>
      <w:r>
        <w:rPr>
          <w:spacing w:val="2"/>
          <w:w w:val="105"/>
        </w:rPr>
        <w:t>扩建工</w:t>
      </w:r>
      <w:r>
        <w:rPr>
          <w:spacing w:val="-3"/>
          <w:w w:val="105"/>
        </w:rPr>
        <w:t xml:space="preserve">程项目 </w:t>
      </w:r>
      <w:r>
        <w:rPr>
          <w:rFonts w:hint="eastAsia" w:ascii="MS UI Gothic" w:eastAsia="MS UI Gothic"/>
          <w:spacing w:val="-35"/>
          <w:w w:val="150"/>
        </w:rPr>
        <w:t xml:space="preserve">( </w:t>
      </w:r>
      <w:r>
        <w:rPr>
          <w:spacing w:val="16"/>
          <w:w w:val="105"/>
        </w:rPr>
        <w:t>以下统称建设项目</w:t>
      </w:r>
      <w:r>
        <w:rPr>
          <w:rFonts w:hint="eastAsia" w:ascii="MS UI Gothic" w:eastAsia="MS UI Gothic"/>
          <w:spacing w:val="12"/>
          <w:w w:val="150"/>
        </w:rPr>
        <w:t xml:space="preserve">) </w:t>
      </w:r>
      <w:r>
        <w:rPr>
          <w:spacing w:val="14"/>
          <w:w w:val="105"/>
        </w:rPr>
        <w:t>的安全设</w:t>
      </w:r>
      <w:r>
        <w:rPr>
          <w:spacing w:val="2"/>
        </w:rPr>
        <w:t>施和职业病防护设施应当严格执行国家有</w:t>
      </w:r>
      <w:r>
        <w:rPr>
          <w:spacing w:val="3"/>
          <w:w w:val="105"/>
        </w:rPr>
        <w:t>关安全生产</w:t>
      </w:r>
      <w:r>
        <w:rPr>
          <w:rFonts w:hint="eastAsia" w:ascii="MS UI Gothic" w:eastAsia="MS UI Gothic"/>
          <w:spacing w:val="11"/>
          <w:w w:val="80"/>
        </w:rPr>
        <w:t xml:space="preserve">、 </w:t>
      </w:r>
      <w:r>
        <w:rPr>
          <w:spacing w:val="3"/>
          <w:w w:val="105"/>
        </w:rPr>
        <w:t>职业病防治法律</w:t>
      </w:r>
      <w:r>
        <w:rPr>
          <w:rFonts w:hint="eastAsia" w:ascii="MS UI Gothic" w:eastAsia="MS UI Gothic"/>
          <w:spacing w:val="12"/>
          <w:w w:val="80"/>
        </w:rPr>
        <w:t xml:space="preserve">、 </w:t>
      </w:r>
      <w:r>
        <w:rPr>
          <w:spacing w:val="2"/>
          <w:w w:val="105"/>
        </w:rPr>
        <w:t>行政法规</w:t>
      </w:r>
      <w:r>
        <w:rPr>
          <w:spacing w:val="3"/>
        </w:rPr>
        <w:t>和国家标准或者行业标准的规定</w:t>
      </w:r>
      <w:r>
        <w:rPr>
          <w:rFonts w:hint="eastAsia" w:ascii="MS UI Gothic" w:eastAsia="MS UI Gothic"/>
          <w:spacing w:val="20"/>
          <w:w w:val="80"/>
        </w:rPr>
        <w:t xml:space="preserve">ꎬ </w:t>
      </w:r>
      <w:r>
        <w:rPr>
          <w:spacing w:val="1"/>
        </w:rPr>
        <w:t>并与主</w:t>
      </w:r>
      <w:r>
        <w:rPr>
          <w:spacing w:val="3"/>
          <w:w w:val="105"/>
        </w:rPr>
        <w:t>体工程同时设计</w:t>
      </w:r>
      <w:r>
        <w:rPr>
          <w:rFonts w:hint="eastAsia" w:ascii="MS UI Gothic" w:eastAsia="MS UI Gothic"/>
          <w:spacing w:val="11"/>
          <w:w w:val="80"/>
        </w:rPr>
        <w:t xml:space="preserve">、 </w:t>
      </w:r>
      <w:r>
        <w:rPr>
          <w:spacing w:val="3"/>
          <w:w w:val="105"/>
        </w:rPr>
        <w:t>同时施工</w:t>
      </w:r>
      <w:r>
        <w:rPr>
          <w:rFonts w:hint="eastAsia" w:ascii="MS UI Gothic" w:eastAsia="MS UI Gothic"/>
          <w:spacing w:val="12"/>
          <w:w w:val="80"/>
        </w:rPr>
        <w:t xml:space="preserve">、 </w:t>
      </w:r>
      <w:r>
        <w:rPr>
          <w:spacing w:val="2"/>
          <w:w w:val="105"/>
        </w:rPr>
        <w:t>同时投入生</w:t>
      </w:r>
      <w:r>
        <w:rPr>
          <w:spacing w:val="3"/>
        </w:rPr>
        <w:t>产和使用</w:t>
      </w:r>
      <w:r>
        <w:rPr>
          <w:rFonts w:hint="eastAsia" w:ascii="MS UI Gothic" w:eastAsia="MS UI Gothic"/>
          <w:spacing w:val="20"/>
          <w:w w:val="80"/>
        </w:rPr>
        <w:t xml:space="preserve">ꎮ </w:t>
      </w:r>
      <w:r>
        <w:rPr>
          <w:spacing w:val="2"/>
        </w:rPr>
        <w:t>安全设施和职业病防护设施的</w:t>
      </w:r>
      <w:r>
        <w:rPr>
          <w:spacing w:val="3"/>
          <w:w w:val="105"/>
        </w:rPr>
        <w:t>投资应当纳入建设项目概算</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第十四条 金属冶炼建设项目在可行</w:t>
      </w:r>
      <w:r>
        <w:rPr>
          <w:spacing w:val="3"/>
        </w:rPr>
        <w:t>性研究阶段</w:t>
      </w:r>
      <w:r>
        <w:rPr>
          <w:rFonts w:hint="eastAsia" w:ascii="MS UI Gothic" w:eastAsia="MS UI Gothic"/>
          <w:spacing w:val="20"/>
          <w:w w:val="80"/>
        </w:rPr>
        <w:t xml:space="preserve">ꎬ </w:t>
      </w:r>
      <w:r>
        <w:rPr>
          <w:spacing w:val="2"/>
        </w:rPr>
        <w:t>建设单位应当依法进行安全</w:t>
      </w:r>
      <w:r>
        <w:rPr>
          <w:spacing w:val="3"/>
        </w:rPr>
        <w:t>评价</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建设项目在初步设计阶段</w:t>
      </w:r>
      <w:r>
        <w:rPr>
          <w:rFonts w:hint="eastAsia" w:ascii="MS UI Gothic" w:eastAsia="MS UI Gothic"/>
          <w:spacing w:val="15"/>
          <w:w w:val="80"/>
        </w:rPr>
        <w:t xml:space="preserve">ꎬ </w:t>
      </w:r>
      <w:r>
        <w:rPr>
          <w:spacing w:val="2"/>
        </w:rPr>
        <w:t>建设单位应当委托具备国家规定资质的设计单位对</w:t>
      </w:r>
      <w:r>
        <w:rPr>
          <w:spacing w:val="12"/>
        </w:rPr>
        <w:t>其安全设施进行设计</w:t>
      </w:r>
      <w:r>
        <w:rPr>
          <w:rFonts w:hint="eastAsia" w:ascii="MS UI Gothic" w:eastAsia="MS UI Gothic"/>
          <w:spacing w:val="23"/>
          <w:w w:val="80"/>
        </w:rPr>
        <w:t xml:space="preserve">ꎬ </w:t>
      </w:r>
      <w:r>
        <w:rPr>
          <w:spacing w:val="16"/>
        </w:rPr>
        <w:t>并编制安全设施</w:t>
      </w:r>
      <w:r>
        <w:rPr>
          <w:spacing w:val="3"/>
        </w:rPr>
        <w:t>设计</w:t>
      </w:r>
      <w:r>
        <w:rPr>
          <w:rFonts w:hint="eastAsia" w:ascii="MS UI Gothic" w:eastAsia="MS UI Gothic"/>
          <w:w w:val="80"/>
        </w:rPr>
        <w:t>ꎮ</w:t>
      </w:r>
    </w:p>
    <w:p>
      <w:pPr>
        <w:pStyle w:val="6"/>
        <w:spacing w:line="295" w:lineRule="auto"/>
        <w:ind w:right="440"/>
        <w:rPr>
          <w:rFonts w:hint="eastAsia" w:ascii="MS UI Gothic" w:eastAsia="MS UI Gothic"/>
        </w:rPr>
      </w:pPr>
      <w:r>
        <w:t>建设项目竣工投入生产或者使用前</w:t>
      </w:r>
      <w:r>
        <w:rPr>
          <w:rFonts w:hint="eastAsia" w:ascii="MS UI Gothic" w:eastAsia="MS UI Gothic"/>
          <w:w w:val="80"/>
        </w:rPr>
        <w:t>ꎬ</w:t>
      </w:r>
      <w:r>
        <w:t>建设单位应当按照有关规定进行安全设施竣工验收</w:t>
      </w:r>
      <w:r>
        <w:rPr>
          <w:rFonts w:hint="eastAsia" w:ascii="MS UI Gothic" w:eastAsia="MS UI Gothic"/>
          <w:w w:val="80"/>
        </w:rPr>
        <w:t>ꎮ</w:t>
      </w:r>
    </w:p>
    <w:p>
      <w:pPr>
        <w:pStyle w:val="6"/>
        <w:spacing w:line="295" w:lineRule="auto"/>
        <w:ind w:right="442"/>
        <w:rPr>
          <w:rFonts w:hint="eastAsia" w:ascii="MS UI Gothic" w:eastAsia="MS UI Gothic"/>
        </w:rPr>
      </w:pPr>
      <w:r>
        <w:rPr>
          <w:w w:val="105"/>
        </w:rPr>
        <w:t xml:space="preserve">第十五条 国家安全生产监督管理总局负责实施国务院审批 </w:t>
      </w:r>
      <w:r>
        <w:rPr>
          <w:rFonts w:hint="eastAsia" w:ascii="MS UI Gothic" w:eastAsia="MS UI Gothic"/>
          <w:w w:val="150"/>
        </w:rPr>
        <w:t xml:space="preserve">( </w:t>
      </w:r>
      <w:r>
        <w:rPr>
          <w:w w:val="105"/>
        </w:rPr>
        <w:t>核准</w:t>
      </w:r>
      <w:r>
        <w:rPr>
          <w:rFonts w:hint="eastAsia" w:ascii="MS UI Gothic" w:eastAsia="MS UI Gothic"/>
          <w:w w:val="80"/>
        </w:rPr>
        <w:t xml:space="preserve">、 </w:t>
      </w:r>
      <w:r>
        <w:rPr>
          <w:w w:val="105"/>
        </w:rPr>
        <w:t>备案</w:t>
      </w:r>
      <w:r>
        <w:rPr>
          <w:rFonts w:hint="eastAsia" w:ascii="MS UI Gothic" w:eastAsia="MS UI Gothic"/>
          <w:w w:val="150"/>
        </w:rPr>
        <w:t xml:space="preserve">) </w:t>
      </w:r>
      <w:r>
        <w:t>的金属冶炼建设项目的安全设施设计</w:t>
      </w:r>
      <w:r>
        <w:rPr>
          <w:w w:val="105"/>
        </w:rPr>
        <w:t>审查</w:t>
      </w:r>
      <w:r>
        <w:rPr>
          <w:rFonts w:hint="eastAsia" w:ascii="MS UI Gothic" w:eastAsia="MS UI Gothic"/>
          <w:w w:val="80"/>
        </w:rPr>
        <w:t>ꎮ</w:t>
      </w:r>
    </w:p>
    <w:p>
      <w:pPr>
        <w:pStyle w:val="6"/>
        <w:spacing w:line="295" w:lineRule="auto"/>
        <w:ind w:right="442"/>
      </w:pPr>
      <w:r>
        <w:rPr>
          <w:w w:val="105"/>
        </w:rPr>
        <w:t>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直辖市人民政府负有冶</w:t>
      </w:r>
      <w:r>
        <w:t>金有色安全生产监管职责的部门对本行政区域内金属冶炼建设项目实施指导和监督管理</w:t>
      </w:r>
      <w:r>
        <w:rPr>
          <w:rFonts w:hint="eastAsia" w:ascii="MS UI Gothic" w:eastAsia="MS UI Gothic"/>
          <w:w w:val="80"/>
        </w:rPr>
        <w:t xml:space="preserve">ꎬ </w:t>
      </w:r>
      <w:r>
        <w:t>确定并公布本行政区域内有关部门对金属冶炼建设项目安全设施设计审查的</w:t>
      </w:r>
    </w:p>
    <w:p>
      <w:pPr>
        <w:spacing w:after="0" w:line="295" w:lineRule="auto"/>
        <w:sectPr>
          <w:type w:val="continuous"/>
          <w:pgSz w:w="10500" w:h="14750"/>
          <w:pgMar w:top="1400" w:right="980" w:bottom="280" w:left="980" w:header="720" w:footer="720" w:gutter="0"/>
          <w:cols w:equalWidth="0" w:num="2">
            <w:col w:w="3934" w:space="258"/>
            <w:col w:w="4348"/>
          </w:cols>
        </w:sectPr>
      </w:pPr>
    </w:p>
    <w:p>
      <w:pPr>
        <w:pStyle w:val="6"/>
        <w:spacing w:before="8"/>
        <w:ind w:left="0" w:firstLine="0"/>
        <w:jc w:val="left"/>
        <w:rPr>
          <w:sz w:val="55"/>
        </w:rPr>
      </w:pPr>
    </w:p>
    <w:p>
      <w:pPr>
        <w:pStyle w:val="6"/>
        <w:ind w:left="440" w:firstLine="0"/>
        <w:jc w:val="left"/>
        <w:rPr>
          <w:rFonts w:hint="eastAsia" w:ascii="MS UI Gothic" w:eastAsia="MS UI Gothic"/>
        </w:rPr>
      </w:pPr>
      <w:r>
        <w:pict>
          <v:shape id="_x0000_s1559" o:spid="_x0000_s1559" style="position:absolute;left:0pt;margin-left:0pt;margin-top:664.5pt;height:1.75pt;width:398.25pt;mso-position-horizontal-relative:page;z-index:251871232;mso-width-relative:page;mso-height-relative:page;" filled="f" stroked="t" coordorigin="0,13290" coordsize="7965,35" path="m1419,-196l9384,-196m1419,-231l9384,-231e">
            <v:path arrowok="t"/>
            <v:fill on="f" focussize="0,0"/>
            <v:stroke weight="0.388031496062992pt" color="#231F20"/>
            <v:imagedata o:title=""/>
            <o:lock v:ext="edit"/>
          </v:shape>
        </w:pict>
      </w:r>
      <w:r>
        <w:rPr>
          <w:w w:val="95"/>
        </w:rPr>
        <w:t>管辖权限</w:t>
      </w:r>
      <w:r>
        <w:rPr>
          <w:rFonts w:hint="eastAsia" w:ascii="MS UI Gothic" w:eastAsia="MS UI Gothic"/>
          <w:w w:val="80"/>
        </w:rPr>
        <w:t>ꎮ</w:t>
      </w:r>
    </w:p>
    <w:p>
      <w:pPr>
        <w:spacing w:before="192"/>
        <w:ind w:left="440" w:right="0" w:firstLine="0"/>
        <w:jc w:val="left"/>
        <w:rPr>
          <w:sz w:val="17"/>
        </w:rPr>
      </w:pPr>
      <w:r>
        <w:br w:type="column"/>
      </w:r>
      <w:r>
        <w:rPr>
          <w:spacing w:val="3"/>
          <w:sz w:val="17"/>
        </w:rPr>
        <w:t>四</w:t>
      </w:r>
      <w:r>
        <w:rPr>
          <w:rFonts w:hint="eastAsia" w:ascii="Microsoft Yi Baiti" w:eastAsia="Microsoft Yi Baiti"/>
          <w:spacing w:val="9"/>
          <w:sz w:val="17"/>
        </w:rPr>
        <w:t xml:space="preserve">、 </w:t>
      </w:r>
      <w:r>
        <w:rPr>
          <w:spacing w:val="-18"/>
          <w:sz w:val="17"/>
        </w:rPr>
        <w:t>安 全 生 产 法</w:t>
      </w:r>
    </w:p>
    <w:p>
      <w:pPr>
        <w:pStyle w:val="6"/>
        <w:spacing w:before="8"/>
        <w:ind w:left="0" w:firstLine="0"/>
        <w:jc w:val="left"/>
        <w:rPr>
          <w:sz w:val="23"/>
        </w:rPr>
      </w:pPr>
    </w:p>
    <w:p>
      <w:pPr>
        <w:pStyle w:val="6"/>
        <w:ind w:left="0" w:right="38" w:firstLine="0"/>
        <w:jc w:val="right"/>
        <w:rPr>
          <w:rFonts w:hint="eastAsia" w:ascii="MS UI Gothic" w:eastAsia="MS UI Gothic"/>
        </w:rPr>
      </w:pPr>
      <w:r>
        <w:rPr>
          <w:spacing w:val="3"/>
          <w:w w:val="85"/>
        </w:rPr>
        <w:t>义务</w:t>
      </w:r>
      <w:r>
        <w:rPr>
          <w:rFonts w:hint="eastAsia" w:ascii="MS UI Gothic" w:eastAsia="MS UI Gothic"/>
          <w:w w:val="80"/>
        </w:rPr>
        <w:t>ꎮ</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１７５</w:t>
      </w:r>
    </w:p>
    <w:p>
      <w:pPr>
        <w:spacing w:after="0"/>
        <w:jc w:val="left"/>
        <w:rPr>
          <w:rFonts w:hint="eastAsia" w:ascii="MS UI Gothic" w:eastAsia="MS UI Gothic"/>
        </w:rPr>
        <w:sectPr>
          <w:pgSz w:w="10500" w:h="14750"/>
          <w:pgMar w:top="960" w:right="980" w:bottom="280" w:left="980" w:header="720" w:footer="720" w:gutter="0"/>
          <w:cols w:equalWidth="0" w:num="3">
            <w:col w:w="1423" w:space="1840"/>
            <w:col w:w="1933" w:space="1876"/>
            <w:col w:w="1468"/>
          </w:cols>
        </w:sectPr>
      </w:pPr>
    </w:p>
    <w:p>
      <w:pPr>
        <w:pStyle w:val="6"/>
        <w:spacing w:before="58" w:line="295" w:lineRule="auto"/>
        <w:ind w:left="440" w:right="1"/>
        <w:rPr>
          <w:rFonts w:hint="eastAsia" w:ascii="MS UI Gothic" w:eastAsia="MS UI Gothic"/>
        </w:rPr>
      </w:pPr>
      <w:r>
        <w:t>第十六条 企业应当对本企业存在的各类危险因素进行辨识</w:t>
      </w:r>
      <w:r>
        <w:rPr>
          <w:rFonts w:hint="eastAsia" w:ascii="MS UI Gothic" w:eastAsia="MS UI Gothic"/>
          <w:w w:val="80"/>
        </w:rPr>
        <w:t xml:space="preserve">ꎬ </w:t>
      </w:r>
      <w:r>
        <w:t>在有较大危险因素的场所和设施</w:t>
      </w:r>
      <w:r>
        <w:rPr>
          <w:rFonts w:hint="eastAsia" w:ascii="MS UI Gothic" w:eastAsia="MS UI Gothic"/>
          <w:w w:val="80"/>
        </w:rPr>
        <w:t xml:space="preserve">、 </w:t>
      </w:r>
      <w:r>
        <w:t>设备上</w:t>
      </w:r>
      <w:r>
        <w:rPr>
          <w:rFonts w:hint="eastAsia" w:ascii="MS UI Gothic" w:eastAsia="MS UI Gothic"/>
          <w:w w:val="80"/>
        </w:rPr>
        <w:t xml:space="preserve">ꎬ </w:t>
      </w:r>
      <w:r>
        <w:t>按照有关国家标准</w:t>
      </w:r>
      <w:r>
        <w:rPr>
          <w:rFonts w:hint="eastAsia" w:ascii="MS UI Gothic" w:eastAsia="MS UI Gothic"/>
          <w:w w:val="80"/>
        </w:rPr>
        <w:t xml:space="preserve">、 </w:t>
      </w:r>
      <w:r>
        <w:t>行业标准的要求设置安全警示标志</w:t>
      </w:r>
      <w:r>
        <w:rPr>
          <w:rFonts w:hint="eastAsia" w:ascii="MS UI Gothic" w:eastAsia="MS UI Gothic"/>
          <w:w w:val="80"/>
        </w:rPr>
        <w:t xml:space="preserve">ꎬ </w:t>
      </w:r>
      <w:r>
        <w:t>并定期进行检查维护</w:t>
      </w:r>
      <w:r>
        <w:rPr>
          <w:rFonts w:hint="eastAsia" w:ascii="MS UI Gothic" w:eastAsia="MS UI Gothic"/>
          <w:w w:val="80"/>
        </w:rPr>
        <w:t>ꎮ</w:t>
      </w:r>
    </w:p>
    <w:p>
      <w:pPr>
        <w:pStyle w:val="6"/>
        <w:spacing w:line="295" w:lineRule="auto"/>
        <w:ind w:left="440"/>
        <w:rPr>
          <w:rFonts w:hint="eastAsia" w:ascii="MS UI Gothic" w:eastAsia="MS UI Gothic"/>
        </w:rPr>
      </w:pPr>
      <w:r>
        <w:t>对于辨识出的重大危险源</w:t>
      </w:r>
      <w:r>
        <w:rPr>
          <w:rFonts w:hint="eastAsia" w:ascii="MS UI Gothic" w:eastAsia="MS UI Gothic"/>
          <w:w w:val="80"/>
        </w:rPr>
        <w:t xml:space="preserve">ꎬ </w:t>
      </w:r>
      <w:r>
        <w:t>企业应当登记建档</w:t>
      </w:r>
      <w:r>
        <w:rPr>
          <w:rFonts w:hint="eastAsia" w:ascii="MS UI Gothic" w:eastAsia="MS UI Gothic"/>
        </w:rPr>
        <w:t xml:space="preserve">、 </w:t>
      </w:r>
      <w:r>
        <w:t>监测监控</w:t>
      </w:r>
      <w:r>
        <w:rPr>
          <w:rFonts w:hint="eastAsia" w:ascii="MS UI Gothic" w:eastAsia="MS UI Gothic"/>
          <w:w w:val="80"/>
        </w:rPr>
        <w:t xml:space="preserve">ꎬ </w:t>
      </w:r>
      <w:r>
        <w:t>定期检测</w:t>
      </w:r>
      <w:r>
        <w:rPr>
          <w:rFonts w:hint="eastAsia" w:ascii="MS UI Gothic" w:eastAsia="MS UI Gothic"/>
        </w:rPr>
        <w:t xml:space="preserve">、 </w:t>
      </w:r>
      <w:r>
        <w:t>评估</w:t>
      </w:r>
      <w:r>
        <w:rPr>
          <w:rFonts w:hint="eastAsia" w:ascii="MS UI Gothic" w:eastAsia="MS UI Gothic"/>
          <w:w w:val="80"/>
        </w:rPr>
        <w:t>ꎬ</w:t>
      </w:r>
      <w:r>
        <w:t>制定应急预案并定期开展应急演练</w:t>
      </w:r>
      <w:r>
        <w:rPr>
          <w:rFonts w:hint="eastAsia" w:ascii="MS UI Gothic" w:eastAsia="MS UI Gothic"/>
          <w:w w:val="80"/>
        </w:rPr>
        <w:t>ꎮ</w:t>
      </w:r>
    </w:p>
    <w:p>
      <w:pPr>
        <w:pStyle w:val="6"/>
        <w:spacing w:line="295" w:lineRule="auto"/>
        <w:ind w:left="440" w:right="1"/>
        <w:rPr>
          <w:rFonts w:hint="eastAsia" w:ascii="MS UI Gothic" w:eastAsia="MS UI Gothic"/>
        </w:rPr>
      </w:pPr>
      <w:r>
        <w:t>企业应当将重大危险源及有关安全措</w:t>
      </w:r>
      <w:r>
        <w:rPr>
          <w:w w:val="105"/>
        </w:rPr>
        <w:t>施</w:t>
      </w:r>
      <w:r>
        <w:rPr>
          <w:rFonts w:hint="eastAsia" w:ascii="MS UI Gothic" w:eastAsia="MS UI Gothic"/>
          <w:w w:val="80"/>
        </w:rPr>
        <w:t xml:space="preserve">、 </w:t>
      </w:r>
      <w:r>
        <w:rPr>
          <w:w w:val="105"/>
        </w:rPr>
        <w:t>应急预案报有关地方人民政府负有冶金有色安全生产监管职责的部门备案</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第十七条 企业应当建立应急救援组</w:t>
      </w:r>
      <w:r>
        <w:rPr>
          <w:spacing w:val="3"/>
        </w:rPr>
        <w:t>织</w:t>
      </w:r>
      <w:r>
        <w:rPr>
          <w:rFonts w:hint="eastAsia" w:ascii="MS UI Gothic" w:eastAsia="MS UI Gothic"/>
          <w:spacing w:val="23"/>
          <w:w w:val="80"/>
        </w:rPr>
        <w:t xml:space="preserve">ꎮ </w:t>
      </w:r>
      <w:r>
        <w:rPr>
          <w:spacing w:val="3"/>
        </w:rPr>
        <w:t>生产规模较小的</w:t>
      </w:r>
      <w:r>
        <w:rPr>
          <w:rFonts w:hint="eastAsia" w:ascii="MS UI Gothic" w:eastAsia="MS UI Gothic"/>
          <w:spacing w:val="23"/>
          <w:w w:val="80"/>
        </w:rPr>
        <w:t xml:space="preserve">ꎬ </w:t>
      </w:r>
      <w:r>
        <w:rPr>
          <w:spacing w:val="2"/>
        </w:rPr>
        <w:t>可以不建立应急救</w:t>
      </w:r>
      <w:r>
        <w:rPr>
          <w:spacing w:val="5"/>
        </w:rPr>
        <w:t>援组织</w:t>
      </w:r>
      <w:r>
        <w:rPr>
          <w:rFonts w:hint="eastAsia" w:ascii="MS UI Gothic" w:eastAsia="MS UI Gothic"/>
          <w:spacing w:val="24"/>
          <w:w w:val="80"/>
        </w:rPr>
        <w:t xml:space="preserve">ꎬ </w:t>
      </w:r>
      <w:r>
        <w:rPr>
          <w:spacing w:val="16"/>
        </w:rPr>
        <w:t>但应当指定兼职的应急救援人</w:t>
      </w:r>
      <w:r>
        <w:rPr>
          <w:spacing w:val="3"/>
        </w:rPr>
        <w:t>员</w:t>
      </w:r>
      <w:r>
        <w:rPr>
          <w:rFonts w:hint="eastAsia" w:ascii="MS UI Gothic" w:eastAsia="MS UI Gothic"/>
          <w:spacing w:val="21"/>
          <w:w w:val="80"/>
        </w:rPr>
        <w:t xml:space="preserve">ꎬ </w:t>
      </w:r>
      <w:r>
        <w:rPr>
          <w:spacing w:val="2"/>
        </w:rPr>
        <w:t>并且可以与邻近的应急救援队伍签订</w:t>
      </w:r>
      <w:r>
        <w:rPr>
          <w:spacing w:val="3"/>
        </w:rPr>
        <w:t>应急救援协议</w:t>
      </w:r>
      <w:r>
        <w:rPr>
          <w:rFonts w:hint="eastAsia" w:ascii="MS UI Gothic" w:eastAsia="MS UI Gothic"/>
          <w:w w:val="80"/>
        </w:rPr>
        <w:t>ꎮ</w:t>
      </w:r>
    </w:p>
    <w:p>
      <w:pPr>
        <w:pStyle w:val="6"/>
        <w:spacing w:line="295" w:lineRule="auto"/>
        <w:ind w:left="440"/>
        <w:rPr>
          <w:rFonts w:hint="eastAsia" w:ascii="MS UI Gothic" w:eastAsia="MS UI Gothic"/>
        </w:rPr>
      </w:pPr>
      <w:r>
        <w:rPr>
          <w:spacing w:val="6"/>
        </w:rPr>
        <w:t>企业应当配备必要的应急救援器材</w:t>
      </w:r>
      <w:r>
        <w:rPr>
          <w:rFonts w:hint="eastAsia" w:ascii="MS UI Gothic" w:eastAsia="MS UI Gothic"/>
          <w:w w:val="80"/>
        </w:rPr>
        <w:t>、</w:t>
      </w:r>
      <w:r>
        <w:rPr>
          <w:spacing w:val="3"/>
        </w:rPr>
        <w:t>设备和物资</w:t>
      </w:r>
      <w:r>
        <w:rPr>
          <w:rFonts w:hint="eastAsia" w:ascii="MS UI Gothic" w:eastAsia="MS UI Gothic"/>
          <w:spacing w:val="23"/>
          <w:w w:val="80"/>
        </w:rPr>
        <w:t xml:space="preserve">ꎬ </w:t>
      </w:r>
      <w:r>
        <w:rPr>
          <w:spacing w:val="13"/>
        </w:rPr>
        <w:t>并进行经常性维护</w:t>
      </w:r>
      <w:r>
        <w:rPr>
          <w:rFonts w:hint="eastAsia" w:ascii="MS UI Gothic" w:eastAsia="MS UI Gothic"/>
          <w:w w:val="80"/>
        </w:rPr>
        <w:t xml:space="preserve">、 </w:t>
      </w:r>
      <w:r>
        <w:rPr>
          <w:spacing w:val="9"/>
        </w:rPr>
        <w:t>保养</w:t>
      </w:r>
      <w:r>
        <w:rPr>
          <w:rFonts w:hint="eastAsia" w:ascii="MS UI Gothic" w:eastAsia="MS UI Gothic"/>
          <w:w w:val="80"/>
        </w:rPr>
        <w:t>ꎬ</w:t>
      </w:r>
      <w:r>
        <w:rPr>
          <w:spacing w:val="3"/>
        </w:rPr>
        <w:t>保证正常运转</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第十八条 企业应当采取有效措施预</w:t>
      </w:r>
      <w:r>
        <w:rPr>
          <w:spacing w:val="3"/>
          <w:w w:val="105"/>
        </w:rPr>
        <w:t>防</w:t>
      </w:r>
      <w:r>
        <w:rPr>
          <w:rFonts w:hint="eastAsia" w:ascii="MS UI Gothic" w:eastAsia="MS UI Gothic"/>
          <w:spacing w:val="-2"/>
          <w:w w:val="80"/>
        </w:rPr>
        <w:t xml:space="preserve">、 </w:t>
      </w:r>
      <w:r>
        <w:rPr>
          <w:spacing w:val="3"/>
          <w:w w:val="105"/>
        </w:rPr>
        <w:t>控制和消除职业病危害</w:t>
      </w:r>
      <w:r>
        <w:rPr>
          <w:rFonts w:hint="eastAsia" w:ascii="MS UI Gothic" w:eastAsia="MS UI Gothic"/>
          <w:spacing w:val="-2"/>
          <w:w w:val="80"/>
        </w:rPr>
        <w:t xml:space="preserve">ꎬ </w:t>
      </w:r>
      <w:r>
        <w:rPr>
          <w:spacing w:val="2"/>
          <w:w w:val="105"/>
        </w:rPr>
        <w:t>保证工作场</w:t>
      </w:r>
      <w:r>
        <w:rPr>
          <w:spacing w:val="3"/>
          <w:w w:val="105"/>
        </w:rPr>
        <w:t>所的职业卫生条件符合法律</w:t>
      </w:r>
      <w:r>
        <w:rPr>
          <w:rFonts w:hint="eastAsia" w:ascii="MS UI Gothic" w:eastAsia="MS UI Gothic"/>
          <w:spacing w:val="-5"/>
          <w:w w:val="80"/>
        </w:rPr>
        <w:t xml:space="preserve">、 </w:t>
      </w:r>
      <w:r>
        <w:rPr>
          <w:spacing w:val="2"/>
          <w:w w:val="105"/>
        </w:rPr>
        <w:t>行政法规和</w:t>
      </w:r>
      <w:r>
        <w:rPr>
          <w:spacing w:val="3"/>
          <w:w w:val="105"/>
        </w:rPr>
        <w:t>国家标准或者行业标准的规定</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rPr>
        <w:t>企业应当定期对工作场所存在的职业</w:t>
      </w:r>
      <w:r>
        <w:rPr>
          <w:spacing w:val="3"/>
        </w:rPr>
        <w:t>病危害因素进行检测</w:t>
      </w:r>
      <w:r>
        <w:rPr>
          <w:rFonts w:hint="eastAsia" w:ascii="MS UI Gothic" w:eastAsia="MS UI Gothic"/>
          <w:spacing w:val="11"/>
          <w:w w:val="80"/>
        </w:rPr>
        <w:t xml:space="preserve">、 </w:t>
      </w:r>
      <w:r>
        <w:rPr>
          <w:spacing w:val="3"/>
        </w:rPr>
        <w:t>评价</w:t>
      </w:r>
      <w:r>
        <w:rPr>
          <w:rFonts w:hint="eastAsia" w:ascii="MS UI Gothic" w:eastAsia="MS UI Gothic"/>
          <w:spacing w:val="11"/>
          <w:w w:val="80"/>
        </w:rPr>
        <w:t xml:space="preserve">ꎬ </w:t>
      </w:r>
      <w:r>
        <w:rPr>
          <w:spacing w:val="2"/>
        </w:rPr>
        <w:t>检测结果应</w:t>
      </w:r>
      <w:r>
        <w:rPr>
          <w:spacing w:val="3"/>
        </w:rPr>
        <w:t>当在本企业醒目位置进行公布</w:t>
      </w:r>
      <w:r>
        <w:rPr>
          <w:rFonts w:hint="eastAsia" w:ascii="MS UI Gothic" w:eastAsia="MS UI Gothic"/>
          <w:w w:val="80"/>
        </w:rPr>
        <w:t>ꎮ</w:t>
      </w:r>
    </w:p>
    <w:p>
      <w:pPr>
        <w:pStyle w:val="6"/>
        <w:spacing w:line="295" w:lineRule="auto"/>
        <w:ind w:left="440" w:right="1"/>
        <w:rPr>
          <w:rFonts w:hint="eastAsia" w:ascii="MS UI Gothic" w:eastAsia="MS UI Gothic"/>
        </w:rPr>
      </w:pPr>
      <w:r>
        <w:t>第十九条 企业应当按照有关规定加强职业健康监护工作</w:t>
      </w:r>
      <w:r>
        <w:rPr>
          <w:rFonts w:hint="eastAsia" w:ascii="MS UI Gothic" w:eastAsia="MS UI Gothic"/>
          <w:w w:val="80"/>
        </w:rPr>
        <w:t xml:space="preserve">ꎬ </w:t>
      </w:r>
      <w:r>
        <w:t>对接触职业病危害的从业人员</w:t>
      </w:r>
      <w:r>
        <w:rPr>
          <w:rFonts w:hint="eastAsia" w:ascii="MS UI Gothic" w:eastAsia="MS UI Gothic"/>
          <w:w w:val="80"/>
        </w:rPr>
        <w:t xml:space="preserve">ꎬ </w:t>
      </w:r>
      <w:r>
        <w:t>应当在上岗前</w:t>
      </w:r>
      <w:r>
        <w:rPr>
          <w:rFonts w:hint="eastAsia" w:ascii="MS UI Gothic" w:eastAsia="MS UI Gothic"/>
          <w:w w:val="80"/>
        </w:rPr>
        <w:t xml:space="preserve">、 </w:t>
      </w:r>
      <w:r>
        <w:t>在岗期间和离岗时组织职业健康检查</w:t>
      </w:r>
      <w:r>
        <w:rPr>
          <w:rFonts w:hint="eastAsia" w:ascii="MS UI Gothic" w:eastAsia="MS UI Gothic"/>
          <w:w w:val="80"/>
        </w:rPr>
        <w:t xml:space="preserve">ꎬ </w:t>
      </w:r>
      <w:r>
        <w:t>将检查结果书面告知从业人员</w:t>
      </w:r>
      <w:r>
        <w:rPr>
          <w:rFonts w:hint="eastAsia" w:ascii="MS UI Gothic" w:eastAsia="MS UI Gothic"/>
          <w:w w:val="80"/>
        </w:rPr>
        <w:t xml:space="preserve">ꎬ </w:t>
      </w:r>
      <w:r>
        <w:t>并为其建立职业健康监护档案</w:t>
      </w:r>
      <w:r>
        <w:rPr>
          <w:rFonts w:hint="eastAsia" w:ascii="MS UI Gothic" w:eastAsia="MS UI Gothic"/>
          <w:w w:val="80"/>
        </w:rPr>
        <w:t>ꎮ</w:t>
      </w:r>
    </w:p>
    <w:p>
      <w:pPr>
        <w:pStyle w:val="6"/>
        <w:spacing w:line="295" w:lineRule="auto"/>
        <w:ind w:left="440" w:right="1"/>
      </w:pPr>
      <w:r>
        <w:rPr>
          <w:w w:val="105"/>
        </w:rPr>
        <w:t>第二十条 企业应当加强对施工</w:t>
      </w:r>
      <w:r>
        <w:rPr>
          <w:rFonts w:hint="eastAsia" w:ascii="MS UI Gothic" w:eastAsia="MS UI Gothic"/>
          <w:w w:val="80"/>
        </w:rPr>
        <w:t xml:space="preserve">、 </w:t>
      </w:r>
      <w:r>
        <w:rPr>
          <w:w w:val="105"/>
        </w:rPr>
        <w:t>检修等重点工程和生产经营项目</w:t>
      </w:r>
      <w:r>
        <w:rPr>
          <w:rFonts w:hint="eastAsia" w:ascii="MS UI Gothic" w:eastAsia="MS UI Gothic"/>
          <w:w w:val="80"/>
        </w:rPr>
        <w:t xml:space="preserve">、 </w:t>
      </w:r>
      <w:r>
        <w:rPr>
          <w:w w:val="105"/>
        </w:rPr>
        <w:t>场所的承包单位的安全管理</w:t>
      </w:r>
      <w:r>
        <w:rPr>
          <w:rFonts w:hint="eastAsia" w:ascii="MS UI Gothic" w:eastAsia="MS UI Gothic"/>
          <w:w w:val="80"/>
        </w:rPr>
        <w:t xml:space="preserve">ꎬ </w:t>
      </w:r>
      <w:r>
        <w:rPr>
          <w:w w:val="105"/>
        </w:rPr>
        <w:t>不得将有关工程</w:t>
      </w:r>
      <w:r>
        <w:rPr>
          <w:rFonts w:hint="eastAsia" w:ascii="MS UI Gothic" w:eastAsia="MS UI Gothic"/>
          <w:w w:val="80"/>
        </w:rPr>
        <w:t xml:space="preserve">、 </w:t>
      </w:r>
      <w:r>
        <w:rPr>
          <w:w w:val="105"/>
        </w:rPr>
        <w:t>项目</w:t>
      </w:r>
      <w:r>
        <w:rPr>
          <w:rFonts w:hint="eastAsia" w:ascii="MS UI Gothic" w:eastAsia="MS UI Gothic"/>
          <w:w w:val="80"/>
        </w:rPr>
        <w:t xml:space="preserve">、 </w:t>
      </w:r>
      <w:r>
        <w:rPr>
          <w:w w:val="105"/>
        </w:rPr>
        <w:t>场所发包给不具备安全生产条件或者</w:t>
      </w:r>
      <w:r>
        <w:t>相应资质的单位</w:t>
      </w:r>
      <w:r>
        <w:rPr>
          <w:rFonts w:hint="eastAsia" w:ascii="MS UI Gothic" w:eastAsia="MS UI Gothic"/>
          <w:w w:val="80"/>
        </w:rPr>
        <w:t xml:space="preserve">ꎮ </w:t>
      </w:r>
      <w:r>
        <w:t>企业和承包单位的承包协议应当明确约定双方的安全生产责任和</w:t>
      </w:r>
    </w:p>
    <w:p>
      <w:pPr>
        <w:pStyle w:val="6"/>
        <w:spacing w:before="58" w:line="295" w:lineRule="auto"/>
        <w:ind w:left="381" w:right="126"/>
        <w:rPr>
          <w:rFonts w:hint="eastAsia" w:ascii="MS UI Gothic" w:eastAsia="MS UI Gothic"/>
        </w:rPr>
      </w:pPr>
      <w:r>
        <w:br w:type="column"/>
      </w:r>
      <w:r>
        <w:t>企业应当对承包单位的安全生产进行统一协调</w:t>
      </w:r>
      <w:r>
        <w:rPr>
          <w:rFonts w:hint="eastAsia" w:ascii="MS UI Gothic" w:eastAsia="MS UI Gothic"/>
          <w:w w:val="80"/>
        </w:rPr>
        <w:t xml:space="preserve">、 </w:t>
      </w:r>
      <w:r>
        <w:t>管理</w:t>
      </w:r>
      <w:r>
        <w:rPr>
          <w:rFonts w:hint="eastAsia" w:ascii="MS UI Gothic" w:eastAsia="MS UI Gothic"/>
          <w:w w:val="80"/>
        </w:rPr>
        <w:t xml:space="preserve">ꎬ </w:t>
      </w:r>
      <w:r>
        <w:t>对从事检修工程的承包单位检修方案中的安全措施和应急处置措施进行审核</w:t>
      </w:r>
      <w:r>
        <w:rPr>
          <w:rFonts w:hint="eastAsia" w:ascii="MS UI Gothic" w:eastAsia="MS UI Gothic"/>
          <w:w w:val="80"/>
        </w:rPr>
        <w:t xml:space="preserve">ꎬ </w:t>
      </w:r>
      <w:r>
        <w:t>监督承包单位落实</w:t>
      </w:r>
      <w:r>
        <w:rPr>
          <w:rFonts w:hint="eastAsia" w:ascii="MS UI Gothic" w:eastAsia="MS UI Gothic"/>
          <w:w w:val="80"/>
        </w:rPr>
        <w:t>ꎮ</w:t>
      </w:r>
    </w:p>
    <w:p>
      <w:pPr>
        <w:pStyle w:val="6"/>
        <w:spacing w:line="295" w:lineRule="auto"/>
        <w:ind w:left="381" w:right="126"/>
        <w:rPr>
          <w:rFonts w:hint="eastAsia" w:ascii="MS UI Gothic" w:eastAsia="MS UI Gothic"/>
        </w:rPr>
      </w:pPr>
      <w:r>
        <w:t>企业应当对承包检修作业现场进行安全交底</w:t>
      </w:r>
      <w:r>
        <w:rPr>
          <w:rFonts w:hint="eastAsia" w:ascii="MS UI Gothic" w:eastAsia="MS UI Gothic"/>
          <w:w w:val="80"/>
        </w:rPr>
        <w:t xml:space="preserve">ꎬ </w:t>
      </w:r>
      <w:r>
        <w:t>并安排专人负责安全检查和协调</w:t>
      </w:r>
      <w:r>
        <w:rPr>
          <w:rFonts w:hint="eastAsia" w:ascii="MS UI Gothic" w:eastAsia="MS UI Gothic"/>
          <w:w w:val="80"/>
        </w:rPr>
        <w:t>ꎮ</w:t>
      </w:r>
    </w:p>
    <w:p>
      <w:pPr>
        <w:pStyle w:val="6"/>
        <w:spacing w:line="295" w:lineRule="auto"/>
        <w:ind w:left="381" w:right="126"/>
        <w:rPr>
          <w:rFonts w:hint="eastAsia" w:ascii="MS UI Gothic" w:eastAsia="MS UI Gothic"/>
        </w:rPr>
      </w:pPr>
      <w:r>
        <w:t>第二十一条 企业应当从合法的劳务公司录用劳务人员</w:t>
      </w:r>
      <w:r>
        <w:rPr>
          <w:rFonts w:hint="eastAsia" w:ascii="MS UI Gothic" w:eastAsia="MS UI Gothic"/>
          <w:w w:val="80"/>
        </w:rPr>
        <w:t xml:space="preserve">ꎬ </w:t>
      </w:r>
      <w:r>
        <w:t>并与劳务公司签订合同</w:t>
      </w:r>
      <w:r>
        <w:rPr>
          <w:rFonts w:hint="eastAsia" w:ascii="MS UI Gothic" w:eastAsia="MS UI Gothic"/>
          <w:w w:val="80"/>
        </w:rPr>
        <w:t xml:space="preserve">ꎬ </w:t>
      </w:r>
      <w:r>
        <w:t>对劳务人员进行统一的安全生产教育和培训</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第二十二条 企业的正常生产活动与</w:t>
      </w:r>
      <w:r>
        <w:t>其他单位的建设施工或者检修活动同时在本企业同一作业区域内进行的</w:t>
      </w:r>
      <w:r>
        <w:rPr>
          <w:rFonts w:hint="eastAsia" w:ascii="MS UI Gothic" w:eastAsia="MS UI Gothic"/>
          <w:w w:val="80"/>
        </w:rPr>
        <w:t xml:space="preserve">ꎬ </w:t>
      </w:r>
      <w:r>
        <w:t>企业应当指定专职安全生产管理人员负责作业现场的安全检查工作</w:t>
      </w:r>
      <w:r>
        <w:rPr>
          <w:rFonts w:hint="eastAsia" w:ascii="MS UI Gothic" w:eastAsia="MS UI Gothic"/>
          <w:w w:val="80"/>
        </w:rPr>
        <w:t xml:space="preserve">ꎬ </w:t>
      </w:r>
      <w:r>
        <w:t>对有关作业活动进行统</w:t>
      </w:r>
      <w:r>
        <w:rPr>
          <w:w w:val="105"/>
        </w:rPr>
        <w:t>一协调</w:t>
      </w:r>
      <w:r>
        <w:rPr>
          <w:rFonts w:hint="eastAsia" w:ascii="MS UI Gothic" w:eastAsia="MS UI Gothic"/>
          <w:w w:val="80"/>
        </w:rPr>
        <w:t xml:space="preserve">、 </w:t>
      </w:r>
      <w:r>
        <w:rPr>
          <w:w w:val="105"/>
        </w:rPr>
        <w:t>管理</w:t>
      </w:r>
      <w:r>
        <w:rPr>
          <w:rFonts w:hint="eastAsia" w:ascii="MS UI Gothic" w:eastAsia="MS UI Gothic"/>
          <w:w w:val="80"/>
        </w:rPr>
        <w:t>ꎮ</w:t>
      </w:r>
    </w:p>
    <w:p>
      <w:pPr>
        <w:pStyle w:val="6"/>
        <w:spacing w:line="295" w:lineRule="auto"/>
        <w:ind w:left="381" w:right="126"/>
        <w:rPr>
          <w:rFonts w:hint="eastAsia" w:ascii="MS UI Gothic" w:eastAsia="MS UI Gothic"/>
        </w:rPr>
      </w:pPr>
      <w:r>
        <w:t>第二十三条 企业应当建立健全设备设施安全管理制度</w:t>
      </w:r>
      <w:r>
        <w:rPr>
          <w:rFonts w:hint="eastAsia" w:ascii="MS UI Gothic" w:eastAsia="MS UI Gothic"/>
          <w:w w:val="80"/>
        </w:rPr>
        <w:t xml:space="preserve">ꎬ </w:t>
      </w:r>
      <w:r>
        <w:t>加强设备设施的检查</w:t>
      </w:r>
      <w:r>
        <w:rPr>
          <w:rFonts w:hint="eastAsia" w:ascii="MS UI Gothic" w:eastAsia="MS UI Gothic"/>
          <w:w w:val="80"/>
        </w:rPr>
        <w:t xml:space="preserve">、 </w:t>
      </w:r>
      <w:r>
        <w:t>维护</w:t>
      </w:r>
      <w:r>
        <w:rPr>
          <w:rFonts w:hint="eastAsia" w:ascii="MS UI Gothic" w:eastAsia="MS UI Gothic"/>
          <w:w w:val="80"/>
        </w:rPr>
        <w:t xml:space="preserve">、 </w:t>
      </w:r>
      <w:r>
        <w:t>保养和检修</w:t>
      </w:r>
      <w:r>
        <w:rPr>
          <w:rFonts w:hint="eastAsia" w:ascii="MS UI Gothic" w:eastAsia="MS UI Gothic"/>
          <w:w w:val="80"/>
        </w:rPr>
        <w:t xml:space="preserve">ꎬ </w:t>
      </w:r>
      <w:r>
        <w:t>确保设备设施安全运行</w:t>
      </w:r>
      <w:r>
        <w:rPr>
          <w:rFonts w:hint="eastAsia" w:ascii="MS UI Gothic" w:eastAsia="MS UI Gothic"/>
          <w:w w:val="80"/>
        </w:rPr>
        <w:t>ꎮ</w:t>
      </w:r>
    </w:p>
    <w:p>
      <w:pPr>
        <w:pStyle w:val="6"/>
        <w:spacing w:line="295" w:lineRule="auto"/>
        <w:ind w:left="381" w:right="126"/>
        <w:rPr>
          <w:rFonts w:hint="eastAsia" w:ascii="MS UI Gothic" w:eastAsia="MS UI Gothic"/>
        </w:rPr>
      </w:pPr>
      <w:r>
        <w:t>对重要岗位的电气</w:t>
      </w:r>
      <w:r>
        <w:rPr>
          <w:rFonts w:hint="eastAsia" w:ascii="MS UI Gothic" w:eastAsia="MS UI Gothic"/>
          <w:w w:val="80"/>
        </w:rPr>
        <w:t xml:space="preserve">、 </w:t>
      </w:r>
      <w:r>
        <w:t>机械等设备</w:t>
      </w:r>
      <w:r>
        <w:rPr>
          <w:rFonts w:hint="eastAsia" w:ascii="MS UI Gothic" w:eastAsia="MS UI Gothic"/>
          <w:w w:val="80"/>
        </w:rPr>
        <w:t xml:space="preserve">ꎬ </w:t>
      </w:r>
      <w:r>
        <w:t>企业应当实行操作牌制度</w:t>
      </w:r>
      <w:r>
        <w:rPr>
          <w:rFonts w:hint="eastAsia" w:ascii="MS UI Gothic" w:eastAsia="MS UI Gothic"/>
          <w:w w:val="80"/>
        </w:rPr>
        <w:t>ꎮ</w:t>
      </w:r>
    </w:p>
    <w:p>
      <w:pPr>
        <w:pStyle w:val="6"/>
        <w:spacing w:line="295" w:lineRule="auto"/>
        <w:ind w:left="381" w:right="126"/>
        <w:rPr>
          <w:rFonts w:hint="eastAsia" w:ascii="MS UI Gothic" w:eastAsia="MS UI Gothic"/>
        </w:rPr>
      </w:pPr>
      <w:r>
        <w:t>第二十四条 企业不得使用不符合国家标准或者行业标准的技术</w:t>
      </w:r>
      <w:r>
        <w:rPr>
          <w:rFonts w:hint="eastAsia" w:ascii="MS UI Gothic" w:eastAsia="MS UI Gothic"/>
          <w:w w:val="80"/>
        </w:rPr>
        <w:t xml:space="preserve">、 </w:t>
      </w:r>
      <w:r>
        <w:t>工艺和设备</w:t>
      </w:r>
      <w:r>
        <w:rPr>
          <w:rFonts w:hint="eastAsia" w:ascii="MS UI Gothic" w:eastAsia="MS UI Gothic"/>
          <w:w w:val="80"/>
        </w:rPr>
        <w:t xml:space="preserve">ꎻ </w:t>
      </w:r>
      <w:r>
        <w:t>对现有工艺</w:t>
      </w:r>
      <w:r>
        <w:rPr>
          <w:rFonts w:hint="eastAsia" w:ascii="MS UI Gothic" w:eastAsia="MS UI Gothic"/>
          <w:w w:val="80"/>
        </w:rPr>
        <w:t xml:space="preserve">、 </w:t>
      </w:r>
      <w:r>
        <w:t>设备进行更新或者改造的</w:t>
      </w:r>
      <w:r>
        <w:rPr>
          <w:rFonts w:hint="eastAsia" w:ascii="MS UI Gothic" w:eastAsia="MS UI Gothic"/>
          <w:w w:val="80"/>
        </w:rPr>
        <w:t xml:space="preserve">ꎬ </w:t>
      </w:r>
      <w:r>
        <w:t>不得降低其安全技术性能</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 xml:space="preserve">第二十五条 企业的建 </w:t>
      </w:r>
      <w:r>
        <w:rPr>
          <w:rFonts w:hint="eastAsia" w:ascii="MS UI Gothic" w:eastAsia="MS UI Gothic"/>
          <w:w w:val="150"/>
        </w:rPr>
        <w:t xml:space="preserve">( </w:t>
      </w:r>
      <w:r>
        <w:rPr>
          <w:w w:val="105"/>
        </w:rPr>
        <w:t>构</w:t>
      </w:r>
      <w:r>
        <w:rPr>
          <w:rFonts w:hint="eastAsia" w:ascii="MS UI Gothic" w:eastAsia="MS UI Gothic"/>
          <w:w w:val="150"/>
        </w:rPr>
        <w:t xml:space="preserve">) </w:t>
      </w:r>
      <w:r>
        <w:rPr>
          <w:w w:val="105"/>
        </w:rPr>
        <w:t>筑物</w:t>
      </w:r>
      <w:r>
        <w:t>应当按照国家标准或者行业标准规定</w:t>
      </w:r>
      <w:r>
        <w:rPr>
          <w:rFonts w:hint="eastAsia" w:ascii="MS UI Gothic" w:eastAsia="MS UI Gothic"/>
          <w:w w:val="80"/>
        </w:rPr>
        <w:t xml:space="preserve">ꎬ </w:t>
      </w:r>
      <w:r>
        <w:t>采</w:t>
      </w:r>
      <w:r>
        <w:rPr>
          <w:w w:val="105"/>
        </w:rPr>
        <w:t>取防火</w:t>
      </w:r>
      <w:r>
        <w:rPr>
          <w:rFonts w:hint="eastAsia" w:ascii="MS UI Gothic" w:eastAsia="MS UI Gothic"/>
          <w:w w:val="80"/>
        </w:rPr>
        <w:t xml:space="preserve">、 </w:t>
      </w:r>
      <w:r>
        <w:rPr>
          <w:w w:val="105"/>
        </w:rPr>
        <w:t>防爆</w:t>
      </w:r>
      <w:r>
        <w:rPr>
          <w:rFonts w:hint="eastAsia" w:ascii="MS UI Gothic" w:eastAsia="MS UI Gothic"/>
          <w:w w:val="80"/>
        </w:rPr>
        <w:t xml:space="preserve">、 </w:t>
      </w:r>
      <w:r>
        <w:rPr>
          <w:w w:val="105"/>
        </w:rPr>
        <w:t>防雷</w:t>
      </w:r>
      <w:r>
        <w:rPr>
          <w:rFonts w:hint="eastAsia" w:ascii="MS UI Gothic" w:eastAsia="MS UI Gothic"/>
          <w:w w:val="80"/>
        </w:rPr>
        <w:t xml:space="preserve">、 </w:t>
      </w:r>
      <w:r>
        <w:rPr>
          <w:w w:val="105"/>
        </w:rPr>
        <w:t>防震</w:t>
      </w:r>
      <w:r>
        <w:rPr>
          <w:rFonts w:hint="eastAsia" w:ascii="MS UI Gothic" w:eastAsia="MS UI Gothic"/>
          <w:w w:val="80"/>
        </w:rPr>
        <w:t xml:space="preserve">、 </w:t>
      </w:r>
      <w:r>
        <w:rPr>
          <w:w w:val="105"/>
        </w:rPr>
        <w:t>防腐蚀</w:t>
      </w:r>
      <w:r>
        <w:rPr>
          <w:rFonts w:hint="eastAsia" w:ascii="MS UI Gothic" w:eastAsia="MS UI Gothic"/>
          <w:w w:val="80"/>
        </w:rPr>
        <w:t xml:space="preserve">、 </w:t>
      </w:r>
      <w:r>
        <w:rPr>
          <w:w w:val="105"/>
        </w:rPr>
        <w:t>隔热等防护措施</w:t>
      </w:r>
      <w:r>
        <w:rPr>
          <w:rFonts w:hint="eastAsia" w:ascii="MS UI Gothic" w:eastAsia="MS UI Gothic"/>
          <w:w w:val="80"/>
        </w:rPr>
        <w:t xml:space="preserve">ꎬ </w:t>
      </w:r>
      <w:r>
        <w:rPr>
          <w:w w:val="105"/>
        </w:rPr>
        <w:t>对承受重荷载</w:t>
      </w:r>
      <w:r>
        <w:rPr>
          <w:rFonts w:hint="eastAsia" w:ascii="MS UI Gothic" w:eastAsia="MS UI Gothic"/>
          <w:w w:val="80"/>
        </w:rPr>
        <w:t xml:space="preserve">、 </w:t>
      </w:r>
      <w:r>
        <w:rPr>
          <w:w w:val="105"/>
        </w:rPr>
        <w:t>荷载发生变化或者受高温熔融金属喷溅</w:t>
      </w:r>
      <w:r>
        <w:rPr>
          <w:rFonts w:hint="eastAsia" w:ascii="MS UI Gothic" w:eastAsia="MS UI Gothic"/>
          <w:w w:val="80"/>
        </w:rPr>
        <w:t xml:space="preserve">、 </w:t>
      </w:r>
      <w:r>
        <w:rPr>
          <w:w w:val="105"/>
        </w:rPr>
        <w:t xml:space="preserve">酸碱腐蚀等危害的建 </w:t>
      </w:r>
      <w:r>
        <w:rPr>
          <w:rFonts w:hint="eastAsia" w:ascii="MS UI Gothic" w:eastAsia="MS UI Gothic"/>
          <w:w w:val="150"/>
        </w:rPr>
        <w:t xml:space="preserve">( </w:t>
      </w:r>
      <w:r>
        <w:rPr>
          <w:w w:val="105"/>
        </w:rPr>
        <w:t>构</w:t>
      </w:r>
      <w:r>
        <w:rPr>
          <w:rFonts w:hint="eastAsia" w:ascii="MS UI Gothic" w:eastAsia="MS UI Gothic"/>
          <w:w w:val="150"/>
        </w:rPr>
        <w:t xml:space="preserve">) </w:t>
      </w:r>
      <w:r>
        <w:rPr>
          <w:w w:val="105"/>
        </w:rPr>
        <w:t>筑物</w:t>
      </w:r>
      <w:r>
        <w:rPr>
          <w:rFonts w:hint="eastAsia" w:ascii="MS UI Gothic" w:eastAsia="MS UI Gothic"/>
          <w:w w:val="80"/>
        </w:rPr>
        <w:t xml:space="preserve">ꎬ </w:t>
      </w:r>
      <w:r>
        <w:rPr>
          <w:w w:val="105"/>
        </w:rPr>
        <w:t>应当定期对建</w:t>
      </w:r>
      <w:r>
        <w:rPr>
          <w:rFonts w:hint="eastAsia" w:ascii="MS UI Gothic" w:eastAsia="MS UI Gothic"/>
          <w:w w:val="150"/>
        </w:rPr>
        <w:t xml:space="preserve">( </w:t>
      </w:r>
      <w:r>
        <w:rPr>
          <w:w w:val="105"/>
        </w:rPr>
        <w:t>构</w:t>
      </w:r>
      <w:r>
        <w:rPr>
          <w:rFonts w:hint="eastAsia" w:ascii="MS UI Gothic" w:eastAsia="MS UI Gothic"/>
          <w:w w:val="150"/>
        </w:rPr>
        <w:t xml:space="preserve">) </w:t>
      </w:r>
      <w:r>
        <w:rPr>
          <w:w w:val="105"/>
        </w:rPr>
        <w:t>筑物结构进行安全检查</w:t>
      </w:r>
      <w:r>
        <w:rPr>
          <w:rFonts w:hint="eastAsia" w:ascii="MS UI Gothic" w:eastAsia="MS UI Gothic"/>
          <w:w w:val="80"/>
        </w:rPr>
        <w:t>ꎮ</w:t>
      </w:r>
    </w:p>
    <w:p>
      <w:pPr>
        <w:pStyle w:val="6"/>
        <w:spacing w:line="295" w:lineRule="auto"/>
        <w:ind w:left="381" w:right="126"/>
      </w:pPr>
      <w:r>
        <w:rPr>
          <w:w w:val="105"/>
        </w:rPr>
        <w:t>第二十六条 企业对起重设备进行改</w:t>
      </w:r>
      <w:r>
        <w:t>造并增加荷重的</w:t>
      </w:r>
      <w:r>
        <w:rPr>
          <w:rFonts w:hint="eastAsia" w:ascii="MS UI Gothic" w:eastAsia="MS UI Gothic"/>
          <w:w w:val="80"/>
        </w:rPr>
        <w:t xml:space="preserve">ꎬ </w:t>
      </w:r>
      <w:r>
        <w:t>应当同时对承重厂房结构进行荷载核定</w:t>
      </w:r>
      <w:r>
        <w:rPr>
          <w:rFonts w:hint="eastAsia" w:ascii="MS UI Gothic" w:eastAsia="MS UI Gothic"/>
          <w:w w:val="80"/>
        </w:rPr>
        <w:t xml:space="preserve">ꎬ </w:t>
      </w:r>
      <w:r>
        <w:t>并对承重结构采取必要的加固措施</w:t>
      </w:r>
      <w:r>
        <w:rPr>
          <w:rFonts w:hint="eastAsia" w:ascii="MS UI Gothic" w:eastAsia="MS UI Gothic"/>
          <w:w w:val="80"/>
        </w:rPr>
        <w:t xml:space="preserve">ꎬ </w:t>
      </w:r>
      <w:r>
        <w:t>确保承重结构具有足够的承</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560" o:spid="_x0000_s1560" style="position:absolute;left:0pt;margin-left:0pt;margin-top:700.1pt;height:1.75pt;width:398.25pt;mso-position-horizontal-relative:page;z-index:25187225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１７６</w:t>
      </w:r>
    </w:p>
    <w:p>
      <w:pPr>
        <w:pStyle w:val="6"/>
        <w:spacing w:before="297" w:line="240" w:lineRule="exact"/>
        <w:ind w:firstLine="0"/>
        <w:jc w:val="left"/>
        <w:rPr>
          <w:rFonts w:hint="eastAsia" w:ascii="MS UI Gothic" w:eastAsia="MS UI Gothic"/>
        </w:rPr>
      </w:pPr>
      <w:r>
        <w:t>重能力</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pPr>
      <w:r>
        <w:rPr>
          <w:w w:val="110"/>
        </w:rPr>
        <w:t xml:space="preserve">的企业应当建立煤气防护站 </w:t>
      </w:r>
      <w:r>
        <w:rPr>
          <w:rFonts w:hint="eastAsia" w:ascii="MS UI Gothic" w:eastAsia="MS UI Gothic"/>
          <w:spacing w:val="-38"/>
          <w:w w:val="150"/>
        </w:rPr>
        <w:t xml:space="preserve">( </w:t>
      </w:r>
      <w:r>
        <w:rPr>
          <w:spacing w:val="7"/>
          <w:w w:val="110"/>
        </w:rPr>
        <w:t>组</w:t>
      </w:r>
      <w:r>
        <w:rPr>
          <w:rFonts w:hint="eastAsia" w:ascii="MS UI Gothic" w:eastAsia="MS UI Gothic"/>
          <w:spacing w:val="-39"/>
          <w:w w:val="150"/>
        </w:rPr>
        <w:t xml:space="preserve">) </w:t>
      </w:r>
      <w:r>
        <w:rPr>
          <w:rFonts w:hint="eastAsia" w:ascii="MS UI Gothic" w:eastAsia="MS UI Gothic"/>
          <w:spacing w:val="13"/>
          <w:w w:val="80"/>
        </w:rPr>
        <w:t xml:space="preserve">ꎬ </w:t>
      </w:r>
      <w:r>
        <w:rPr>
          <w:spacing w:val="5"/>
          <w:w w:val="110"/>
        </w:rPr>
        <w:t>配备</w:t>
      </w:r>
    </w:p>
    <w:p>
      <w:pPr>
        <w:spacing w:after="0" w:line="240" w:lineRule="exact"/>
        <w:jc w:val="left"/>
        <w:sectPr>
          <w:pgSz w:w="10500" w:h="14750"/>
          <w:pgMar w:top="960" w:right="980" w:bottom="280" w:left="980" w:header="720" w:footer="720" w:gutter="0"/>
          <w:cols w:equalWidth="0" w:num="2">
            <w:col w:w="1050" w:space="1251"/>
            <w:col w:w="6239"/>
          </w:cols>
        </w:sectPr>
      </w:pPr>
    </w:p>
    <w:p>
      <w:pPr>
        <w:pStyle w:val="6"/>
        <w:spacing w:before="74" w:line="295" w:lineRule="auto"/>
        <w:ind w:right="38"/>
        <w:rPr>
          <w:rFonts w:hint="eastAsia" w:ascii="MS UI Gothic" w:eastAsia="MS UI Gothic"/>
        </w:rPr>
      </w:pPr>
      <w:r>
        <w:rPr>
          <w:spacing w:val="13"/>
          <w:w w:val="105"/>
        </w:rPr>
        <w:t>第二十七条 企业的操作室</w:t>
      </w:r>
      <w:r>
        <w:rPr>
          <w:rFonts w:hint="eastAsia" w:ascii="MS UI Gothic" w:eastAsia="MS UI Gothic"/>
          <w:spacing w:val="1"/>
          <w:w w:val="80"/>
        </w:rPr>
        <w:t xml:space="preserve">、 </w:t>
      </w:r>
      <w:r>
        <w:rPr>
          <w:spacing w:val="11"/>
          <w:w w:val="105"/>
        </w:rPr>
        <w:t>会议</w:t>
      </w:r>
      <w:r>
        <w:rPr>
          <w:spacing w:val="3"/>
          <w:w w:val="105"/>
        </w:rPr>
        <w:t>室</w:t>
      </w:r>
      <w:r>
        <w:rPr>
          <w:rFonts w:hint="eastAsia" w:ascii="MS UI Gothic" w:eastAsia="MS UI Gothic"/>
          <w:spacing w:val="16"/>
          <w:w w:val="80"/>
        </w:rPr>
        <w:t xml:space="preserve">、 </w:t>
      </w:r>
      <w:r>
        <w:rPr>
          <w:spacing w:val="3"/>
          <w:w w:val="105"/>
        </w:rPr>
        <w:t>活动室</w:t>
      </w:r>
      <w:r>
        <w:rPr>
          <w:rFonts w:hint="eastAsia" w:ascii="MS UI Gothic" w:eastAsia="MS UI Gothic"/>
          <w:spacing w:val="17"/>
          <w:w w:val="80"/>
        </w:rPr>
        <w:t xml:space="preserve">、 </w:t>
      </w:r>
      <w:r>
        <w:rPr>
          <w:spacing w:val="3"/>
          <w:w w:val="105"/>
        </w:rPr>
        <w:t>休息室</w:t>
      </w:r>
      <w:r>
        <w:rPr>
          <w:rFonts w:hint="eastAsia" w:ascii="MS UI Gothic" w:eastAsia="MS UI Gothic"/>
          <w:spacing w:val="17"/>
          <w:w w:val="80"/>
        </w:rPr>
        <w:t xml:space="preserve">、 </w:t>
      </w:r>
      <w:r>
        <w:rPr>
          <w:spacing w:val="2"/>
          <w:w w:val="105"/>
        </w:rPr>
        <w:t>更衣室等场所不得</w:t>
      </w:r>
      <w:r>
        <w:rPr>
          <w:spacing w:val="4"/>
        </w:rPr>
        <w:t>设置在高温熔融金属吊运的影响范围内</w:t>
      </w:r>
      <w:r>
        <w:rPr>
          <w:rFonts w:hint="eastAsia" w:ascii="MS UI Gothic" w:eastAsia="MS UI Gothic"/>
          <w:w w:val="80"/>
        </w:rPr>
        <w:t>ꎮ</w:t>
      </w:r>
      <w:r>
        <w:rPr>
          <w:spacing w:val="17"/>
          <w:w w:val="105"/>
        </w:rPr>
        <w:t>进行高温熔融金属吊运时</w:t>
      </w:r>
      <w:r>
        <w:rPr>
          <w:rFonts w:hint="eastAsia" w:ascii="MS UI Gothic" w:eastAsia="MS UI Gothic"/>
          <w:spacing w:val="18"/>
          <w:w w:val="80"/>
        </w:rPr>
        <w:t xml:space="preserve">ꎬ </w:t>
      </w:r>
      <w:r>
        <w:rPr>
          <w:spacing w:val="2"/>
          <w:w w:val="105"/>
        </w:rPr>
        <w:t xml:space="preserve">吊罐 </w:t>
      </w:r>
      <w:r>
        <w:rPr>
          <w:rFonts w:hint="eastAsia" w:ascii="MS UI Gothic" w:eastAsia="MS UI Gothic"/>
          <w:spacing w:val="-33"/>
          <w:w w:val="150"/>
        </w:rPr>
        <w:t xml:space="preserve">( </w:t>
      </w:r>
      <w:r>
        <w:rPr>
          <w:spacing w:val="19"/>
          <w:w w:val="105"/>
        </w:rPr>
        <w:t>包</w:t>
      </w:r>
      <w:r>
        <w:rPr>
          <w:rFonts w:hint="eastAsia" w:ascii="MS UI Gothic" w:eastAsia="MS UI Gothic"/>
          <w:w w:val="150"/>
        </w:rPr>
        <w:t xml:space="preserve">) </w:t>
      </w:r>
      <w:r>
        <w:rPr>
          <w:spacing w:val="3"/>
          <w:w w:val="105"/>
        </w:rPr>
        <w:t>与大型槽体</w:t>
      </w:r>
      <w:r>
        <w:rPr>
          <w:rFonts w:hint="eastAsia" w:ascii="MS UI Gothic" w:eastAsia="MS UI Gothic"/>
          <w:spacing w:val="16"/>
          <w:w w:val="80"/>
        </w:rPr>
        <w:t xml:space="preserve">、 </w:t>
      </w:r>
      <w:r>
        <w:rPr>
          <w:spacing w:val="3"/>
          <w:w w:val="105"/>
        </w:rPr>
        <w:t>高压设备</w:t>
      </w:r>
      <w:r>
        <w:rPr>
          <w:rFonts w:hint="eastAsia" w:ascii="MS UI Gothic" w:eastAsia="MS UI Gothic"/>
          <w:spacing w:val="17"/>
          <w:w w:val="80"/>
        </w:rPr>
        <w:t xml:space="preserve">、 </w:t>
      </w:r>
      <w:r>
        <w:rPr>
          <w:spacing w:val="3"/>
          <w:w w:val="105"/>
        </w:rPr>
        <w:t>高压管路</w:t>
      </w:r>
      <w:r>
        <w:rPr>
          <w:rFonts w:hint="eastAsia" w:ascii="MS UI Gothic" w:eastAsia="MS UI Gothic"/>
          <w:spacing w:val="17"/>
          <w:w w:val="80"/>
        </w:rPr>
        <w:t xml:space="preserve">、 </w:t>
      </w:r>
      <w:r>
        <w:rPr>
          <w:spacing w:val="1"/>
          <w:w w:val="105"/>
        </w:rPr>
        <w:t>压力</w:t>
      </w:r>
      <w:r>
        <w:rPr>
          <w:spacing w:val="2"/>
        </w:rPr>
        <w:t>容器的安全距离应当符合有关国家标准或</w:t>
      </w:r>
      <w:r>
        <w:rPr>
          <w:spacing w:val="12"/>
        </w:rPr>
        <w:t>者行业标准的规定</w:t>
      </w:r>
      <w:r>
        <w:rPr>
          <w:rFonts w:hint="eastAsia" w:ascii="MS UI Gothic" w:eastAsia="MS UI Gothic"/>
          <w:w w:val="80"/>
        </w:rPr>
        <w:t xml:space="preserve">ꎬ </w:t>
      </w:r>
      <w:r>
        <w:rPr>
          <w:spacing w:val="16"/>
        </w:rPr>
        <w:t>并采取有效的防护</w:t>
      </w:r>
      <w:r>
        <w:rPr>
          <w:spacing w:val="3"/>
          <w:w w:val="105"/>
        </w:rPr>
        <w:t>措施</w:t>
      </w:r>
      <w:r>
        <w:rPr>
          <w:rFonts w:hint="eastAsia" w:ascii="MS UI Gothic" w:eastAsia="MS UI Gothic"/>
          <w:w w:val="80"/>
        </w:rPr>
        <w:t>ꎮ</w:t>
      </w:r>
    </w:p>
    <w:p>
      <w:pPr>
        <w:pStyle w:val="6"/>
        <w:spacing w:line="295" w:lineRule="auto"/>
        <w:ind w:right="39"/>
        <w:rPr>
          <w:rFonts w:hint="eastAsia" w:ascii="MS UI Gothic" w:eastAsia="MS UI Gothic"/>
        </w:rPr>
      </w:pPr>
      <w:r>
        <w:t>第二十八条 企业在进行高温熔融金属冶炼</w:t>
      </w:r>
      <w:r>
        <w:rPr>
          <w:rFonts w:hint="eastAsia" w:ascii="MS UI Gothic" w:eastAsia="MS UI Gothic"/>
          <w:w w:val="80"/>
        </w:rPr>
        <w:t xml:space="preserve">、 </w:t>
      </w:r>
      <w:r>
        <w:t>保温</w:t>
      </w:r>
      <w:r>
        <w:rPr>
          <w:rFonts w:hint="eastAsia" w:ascii="MS UI Gothic" w:eastAsia="MS UI Gothic"/>
          <w:w w:val="80"/>
        </w:rPr>
        <w:t xml:space="preserve">、 </w:t>
      </w:r>
      <w:r>
        <w:t>运输</w:t>
      </w:r>
      <w:r>
        <w:rPr>
          <w:rFonts w:hint="eastAsia" w:ascii="MS UI Gothic" w:eastAsia="MS UI Gothic"/>
          <w:w w:val="80"/>
        </w:rPr>
        <w:t xml:space="preserve">、 </w:t>
      </w:r>
      <w:r>
        <w:t>吊运过程中</w:t>
      </w:r>
      <w:r>
        <w:rPr>
          <w:rFonts w:hint="eastAsia" w:ascii="MS UI Gothic" w:eastAsia="MS UI Gothic"/>
          <w:w w:val="80"/>
        </w:rPr>
        <w:t xml:space="preserve">ꎬ  </w:t>
      </w:r>
      <w:r>
        <w:t>应当采取防止泄漏</w:t>
      </w:r>
      <w:r>
        <w:rPr>
          <w:rFonts w:hint="eastAsia" w:ascii="MS UI Gothic" w:eastAsia="MS UI Gothic"/>
          <w:w w:val="80"/>
        </w:rPr>
        <w:t xml:space="preserve">、 </w:t>
      </w:r>
      <w:r>
        <w:t>喷溅</w:t>
      </w:r>
      <w:r>
        <w:rPr>
          <w:rFonts w:hint="eastAsia" w:ascii="MS UI Gothic" w:eastAsia="MS UI Gothic"/>
          <w:w w:val="80"/>
        </w:rPr>
        <w:t xml:space="preserve">、 </w:t>
      </w:r>
      <w:r>
        <w:t>爆炸伤人的安全措施</w:t>
      </w:r>
      <w:r>
        <w:rPr>
          <w:rFonts w:hint="eastAsia" w:ascii="MS UI Gothic" w:eastAsia="MS UI Gothic"/>
          <w:w w:val="80"/>
        </w:rPr>
        <w:t xml:space="preserve">ꎬ </w:t>
      </w:r>
      <w:r>
        <w:t>其影响区域不得有非生产性积水</w:t>
      </w:r>
      <w:r>
        <w:rPr>
          <w:rFonts w:hint="eastAsia" w:ascii="MS UI Gothic" w:eastAsia="MS UI Gothic"/>
          <w:w w:val="80"/>
        </w:rPr>
        <w:t>ꎮ</w:t>
      </w:r>
    </w:p>
    <w:p>
      <w:pPr>
        <w:pStyle w:val="6"/>
        <w:spacing w:line="295" w:lineRule="auto"/>
        <w:ind w:right="38"/>
        <w:rPr>
          <w:rFonts w:hint="eastAsia" w:ascii="MS UI Gothic" w:eastAsia="MS UI Gothic"/>
        </w:rPr>
      </w:pPr>
      <w:r>
        <w:t>高温熔融金属运输专用路线应当避开煤气</w:t>
      </w:r>
      <w:r>
        <w:rPr>
          <w:rFonts w:hint="eastAsia" w:ascii="MS UI Gothic" w:eastAsia="MS UI Gothic"/>
          <w:w w:val="80"/>
        </w:rPr>
        <w:t xml:space="preserve">、 </w:t>
      </w:r>
      <w:r>
        <w:t>氧气</w:t>
      </w:r>
      <w:r>
        <w:rPr>
          <w:rFonts w:hint="eastAsia" w:ascii="MS UI Gothic" w:eastAsia="MS UI Gothic"/>
          <w:w w:val="80"/>
        </w:rPr>
        <w:t xml:space="preserve">、 </w:t>
      </w:r>
      <w:r>
        <w:t>氢气</w:t>
      </w:r>
      <w:r>
        <w:rPr>
          <w:rFonts w:hint="eastAsia" w:ascii="MS UI Gothic" w:eastAsia="MS UI Gothic"/>
          <w:w w:val="80"/>
        </w:rPr>
        <w:t xml:space="preserve">、 </w:t>
      </w:r>
      <w:r>
        <w:t>天然气</w:t>
      </w:r>
      <w:r>
        <w:rPr>
          <w:rFonts w:hint="eastAsia" w:ascii="MS UI Gothic" w:eastAsia="MS UI Gothic"/>
          <w:w w:val="80"/>
        </w:rPr>
        <w:t xml:space="preserve">、  </w:t>
      </w:r>
      <w:r>
        <w:t>水管等管道及电缆</w:t>
      </w:r>
      <w:r>
        <w:rPr>
          <w:rFonts w:hint="eastAsia" w:ascii="MS UI Gothic" w:eastAsia="MS UI Gothic"/>
          <w:w w:val="80"/>
        </w:rPr>
        <w:t xml:space="preserve">ꎻ </w:t>
      </w:r>
      <w:r>
        <w:t>确需通过的</w:t>
      </w:r>
      <w:r>
        <w:rPr>
          <w:rFonts w:hint="eastAsia" w:ascii="MS UI Gothic" w:eastAsia="MS UI Gothic"/>
          <w:w w:val="80"/>
        </w:rPr>
        <w:t xml:space="preserve">ꎬ </w:t>
      </w:r>
      <w:r>
        <w:t>运输车辆与管道</w:t>
      </w:r>
      <w:r>
        <w:rPr>
          <w:rFonts w:hint="eastAsia" w:ascii="MS UI Gothic" w:eastAsia="MS UI Gothic"/>
          <w:w w:val="80"/>
        </w:rPr>
        <w:t>、</w:t>
      </w:r>
      <w:r>
        <w:t>电缆之间应当保持足够的安全距离</w:t>
      </w:r>
      <w:r>
        <w:rPr>
          <w:rFonts w:hint="eastAsia" w:ascii="MS UI Gothic" w:eastAsia="MS UI Gothic"/>
          <w:w w:val="80"/>
        </w:rPr>
        <w:t xml:space="preserve">ꎬ </w:t>
      </w:r>
      <w:r>
        <w:t>并采取有效的隔热措施</w:t>
      </w:r>
      <w:r>
        <w:rPr>
          <w:rFonts w:hint="eastAsia" w:ascii="MS UI Gothic" w:eastAsia="MS UI Gothic"/>
          <w:w w:val="80"/>
        </w:rPr>
        <w:t>ꎮ</w:t>
      </w:r>
    </w:p>
    <w:p>
      <w:pPr>
        <w:pStyle w:val="6"/>
        <w:spacing w:line="295" w:lineRule="auto"/>
        <w:ind w:right="39"/>
        <w:rPr>
          <w:rFonts w:hint="eastAsia" w:ascii="MS UI Gothic" w:eastAsia="MS UI Gothic"/>
        </w:rPr>
      </w:pPr>
      <w:r>
        <w:t>严禁运输高温熔融金属的车辆在管道或者电缆下方</w:t>
      </w:r>
      <w:r>
        <w:rPr>
          <w:rFonts w:hint="eastAsia" w:ascii="MS UI Gothic" w:eastAsia="MS UI Gothic"/>
          <w:w w:val="80"/>
        </w:rPr>
        <w:t xml:space="preserve">ꎬ </w:t>
      </w:r>
      <w:r>
        <w:t>以及有易燃易爆物质的区域停留</w:t>
      </w:r>
      <w:r>
        <w:rPr>
          <w:rFonts w:hint="eastAsia" w:ascii="MS UI Gothic" w:eastAsia="MS UI Gothic"/>
          <w:w w:val="80"/>
        </w:rPr>
        <w:t>ꎮ</w:t>
      </w:r>
    </w:p>
    <w:p>
      <w:pPr>
        <w:pStyle w:val="6"/>
        <w:spacing w:line="295" w:lineRule="auto"/>
        <w:ind w:right="39"/>
        <w:rPr>
          <w:rFonts w:hint="eastAsia" w:ascii="MS UI Gothic" w:eastAsia="MS UI Gothic"/>
        </w:rPr>
      </w:pPr>
      <w:r>
        <w:t>第二十九条 企业对电炉</w:t>
      </w:r>
      <w:r>
        <w:rPr>
          <w:rFonts w:hint="eastAsia" w:ascii="MS UI Gothic" w:eastAsia="MS UI Gothic"/>
          <w:w w:val="80"/>
        </w:rPr>
        <w:t xml:space="preserve">、 </w:t>
      </w:r>
      <w:r>
        <w:t>电解车间应当采取防雨措施和有效的排水设施</w:t>
      </w:r>
      <w:r>
        <w:rPr>
          <w:rFonts w:hint="eastAsia" w:ascii="MS UI Gothic" w:eastAsia="MS UI Gothic"/>
          <w:w w:val="80"/>
        </w:rPr>
        <w:t xml:space="preserve">ꎬ </w:t>
      </w:r>
      <w:r>
        <w:t>防止雨水进入槽下地坪</w:t>
      </w:r>
      <w:r>
        <w:rPr>
          <w:rFonts w:hint="eastAsia" w:ascii="MS UI Gothic" w:eastAsia="MS UI Gothic"/>
          <w:w w:val="80"/>
        </w:rPr>
        <w:t xml:space="preserve">ꎬ </w:t>
      </w:r>
      <w:r>
        <w:t>确保电炉</w:t>
      </w:r>
      <w:r>
        <w:rPr>
          <w:rFonts w:hint="eastAsia" w:ascii="MS UI Gothic" w:eastAsia="MS UI Gothic"/>
          <w:w w:val="80"/>
        </w:rPr>
        <w:t xml:space="preserve">、 </w:t>
      </w:r>
      <w:r>
        <w:t>电解槽下没有积水</w:t>
      </w:r>
      <w:r>
        <w:rPr>
          <w:rFonts w:hint="eastAsia" w:ascii="MS UI Gothic" w:eastAsia="MS UI Gothic"/>
          <w:w w:val="80"/>
        </w:rPr>
        <w:t>ꎮ</w:t>
      </w:r>
    </w:p>
    <w:p>
      <w:pPr>
        <w:pStyle w:val="6"/>
        <w:spacing w:line="295" w:lineRule="auto"/>
        <w:ind w:right="38"/>
        <w:rPr>
          <w:rFonts w:hint="eastAsia" w:ascii="MS UI Gothic" w:eastAsia="MS UI Gothic"/>
        </w:rPr>
      </w:pPr>
      <w:r>
        <w:t>企业对电炉</w:t>
      </w:r>
      <w:r>
        <w:rPr>
          <w:rFonts w:hint="eastAsia" w:ascii="MS UI Gothic" w:eastAsia="MS UI Gothic"/>
          <w:w w:val="80"/>
        </w:rPr>
        <w:t xml:space="preserve">、 </w:t>
      </w:r>
      <w:r>
        <w:t>铸造熔炼炉</w:t>
      </w:r>
      <w:r>
        <w:rPr>
          <w:rFonts w:hint="eastAsia" w:ascii="MS UI Gothic" w:eastAsia="MS UI Gothic"/>
          <w:w w:val="80"/>
        </w:rPr>
        <w:t xml:space="preserve">、 </w:t>
      </w:r>
      <w:r>
        <w:t>保温炉</w:t>
      </w:r>
      <w:r>
        <w:rPr>
          <w:rFonts w:hint="eastAsia" w:ascii="MS UI Gothic" w:eastAsia="MS UI Gothic"/>
          <w:w w:val="80"/>
        </w:rPr>
        <w:t>、</w:t>
      </w:r>
      <w:r>
        <w:t>倾翻炉</w:t>
      </w:r>
      <w:r>
        <w:rPr>
          <w:rFonts w:hint="eastAsia" w:ascii="MS UI Gothic" w:eastAsia="MS UI Gothic"/>
          <w:w w:val="80"/>
        </w:rPr>
        <w:t xml:space="preserve">、 </w:t>
      </w:r>
      <w:r>
        <w:t>铸机</w:t>
      </w:r>
      <w:r>
        <w:rPr>
          <w:rFonts w:hint="eastAsia" w:ascii="MS UI Gothic" w:eastAsia="MS UI Gothic"/>
          <w:w w:val="80"/>
        </w:rPr>
        <w:t xml:space="preserve">、 </w:t>
      </w:r>
      <w:r>
        <w:t>流液槽</w:t>
      </w:r>
      <w:r>
        <w:rPr>
          <w:rFonts w:hint="eastAsia" w:ascii="MS UI Gothic" w:eastAsia="MS UI Gothic"/>
          <w:w w:val="80"/>
        </w:rPr>
        <w:t xml:space="preserve">、 </w:t>
      </w:r>
      <w:r>
        <w:t>熔盐电解槽等设备</w:t>
      </w:r>
      <w:r>
        <w:rPr>
          <w:rFonts w:hint="eastAsia" w:ascii="MS UI Gothic" w:eastAsia="MS UI Gothic"/>
          <w:w w:val="80"/>
        </w:rPr>
        <w:t xml:space="preserve">ꎬ </w:t>
      </w:r>
      <w:r>
        <w:t>应当设置熔融金属紧急排放和储存的设施</w:t>
      </w:r>
      <w:r>
        <w:rPr>
          <w:rFonts w:hint="eastAsia" w:ascii="MS UI Gothic" w:eastAsia="MS UI Gothic"/>
          <w:w w:val="80"/>
        </w:rPr>
        <w:t xml:space="preserve">ꎬ </w:t>
      </w:r>
      <w:r>
        <w:t>并在设备周围设置拦挡围堰</w:t>
      </w:r>
      <w:r>
        <w:rPr>
          <w:rFonts w:hint="eastAsia" w:ascii="MS UI Gothic" w:eastAsia="MS UI Gothic"/>
          <w:w w:val="80"/>
        </w:rPr>
        <w:t xml:space="preserve">ꎬ </w:t>
      </w:r>
      <w:r>
        <w:t>防止熔融金属外流</w:t>
      </w:r>
      <w:r>
        <w:rPr>
          <w:rFonts w:hint="eastAsia" w:ascii="MS UI Gothic" w:eastAsia="MS UI Gothic"/>
          <w:w w:val="80"/>
        </w:rPr>
        <w:t>ꎮ</w:t>
      </w:r>
    </w:p>
    <w:p>
      <w:pPr>
        <w:pStyle w:val="6"/>
        <w:spacing w:line="295" w:lineRule="auto"/>
        <w:ind w:right="39"/>
      </w:pPr>
      <w:r>
        <w:rPr>
          <w:spacing w:val="4"/>
        </w:rPr>
        <w:t>第三十条 吊运高温熔融金属的起重</w:t>
      </w:r>
      <w:r>
        <w:rPr>
          <w:spacing w:val="3"/>
        </w:rPr>
        <w:t>机</w:t>
      </w:r>
      <w:r>
        <w:rPr>
          <w:rFonts w:hint="eastAsia" w:ascii="MS UI Gothic" w:hAnsi="MS UI Gothic" w:eastAsia="MS UI Gothic"/>
          <w:spacing w:val="21"/>
          <w:w w:val="90"/>
        </w:rPr>
        <w:t xml:space="preserve">ꎬ </w:t>
      </w:r>
      <w:r>
        <w:rPr>
          <w:spacing w:val="6"/>
        </w:rPr>
        <w:t xml:space="preserve">应当满足 </w:t>
      </w:r>
      <w:r>
        <w:rPr>
          <w:rFonts w:hint="eastAsia" w:ascii="MS UI Gothic" w:hAnsi="MS UI Gothic" w:eastAsia="MS UI Gothic"/>
          <w:spacing w:val="-17"/>
        </w:rPr>
        <w:t xml:space="preserve">« </w:t>
      </w:r>
      <w:r>
        <w:rPr>
          <w:spacing w:val="18"/>
        </w:rPr>
        <w:t>起重机械安全技术监察</w:t>
      </w:r>
      <w:r>
        <w:rPr>
          <w:spacing w:val="3"/>
          <w:w w:val="102"/>
        </w:rPr>
        <w:t>规程</w:t>
      </w:r>
      <w:r>
        <w:rPr>
          <w:rFonts w:hint="eastAsia" w:ascii="MS UI Gothic" w:hAnsi="MS UI Gothic" w:eastAsia="MS UI Gothic"/>
          <w:spacing w:val="-67"/>
          <w:w w:val="153"/>
        </w:rPr>
        <w:t>———</w:t>
      </w:r>
      <w:r>
        <w:rPr>
          <w:spacing w:val="13"/>
          <w:w w:val="102"/>
        </w:rPr>
        <w:t>桥式起重机</w:t>
      </w:r>
      <w:r>
        <w:rPr>
          <w:rFonts w:hint="eastAsia" w:ascii="MS UI Gothic" w:hAnsi="MS UI Gothic" w:eastAsia="MS UI Gothic"/>
          <w:w w:val="76"/>
        </w:rPr>
        <w:t>»</w:t>
      </w:r>
      <w:r>
        <w:rPr>
          <w:rFonts w:hint="eastAsia" w:ascii="MS UI Gothic" w:hAnsi="MS UI Gothic" w:eastAsia="MS UI Gothic"/>
          <w:spacing w:val="1"/>
        </w:rPr>
        <w:t xml:space="preserve">    </w:t>
      </w:r>
      <w:r>
        <w:rPr>
          <w:rFonts w:hint="eastAsia" w:ascii="MS UI Gothic" w:hAnsi="MS UI Gothic" w:eastAsia="MS UI Gothic"/>
          <w:w w:val="168"/>
        </w:rPr>
        <w:t>(</w:t>
      </w:r>
      <w:r>
        <w:rPr>
          <w:rFonts w:hint="eastAsia" w:ascii="MS UI Gothic" w:hAnsi="MS UI Gothic" w:eastAsia="MS UI Gothic"/>
          <w:spacing w:val="-32"/>
        </w:rPr>
        <w:t xml:space="preserve"> </w:t>
      </w:r>
      <w:r>
        <w:rPr>
          <w:rFonts w:hint="eastAsia" w:ascii="MS UI Gothic" w:hAnsi="MS UI Gothic" w:eastAsia="MS UI Gothic"/>
          <w:spacing w:val="-2"/>
          <w:w w:val="92"/>
        </w:rPr>
        <w:t>Ｔ</w:t>
      </w:r>
      <w:r>
        <w:rPr>
          <w:rFonts w:hint="eastAsia" w:ascii="MS UI Gothic" w:hAnsi="MS UI Gothic" w:eastAsia="MS UI Gothic"/>
          <w:w w:val="69"/>
        </w:rPr>
        <w:t>Ｓ</w:t>
      </w:r>
      <w:r>
        <w:rPr>
          <w:rFonts w:hint="eastAsia" w:ascii="MS UI Gothic" w:hAnsi="MS UI Gothic" w:eastAsia="MS UI Gothic"/>
          <w:w w:val="88"/>
        </w:rPr>
        <w:t>Ｇ</w:t>
      </w:r>
      <w:r>
        <w:rPr>
          <w:rFonts w:hint="eastAsia" w:ascii="MS UI Gothic" w:hAnsi="MS UI Gothic" w:eastAsia="MS UI Gothic"/>
          <w:spacing w:val="28"/>
        </w:rPr>
        <w:t xml:space="preserve"> </w:t>
      </w:r>
      <w:r>
        <w:rPr>
          <w:rFonts w:hint="eastAsia" w:ascii="MS UI Gothic" w:hAnsi="MS UI Gothic" w:eastAsia="MS UI Gothic"/>
          <w:spacing w:val="-2"/>
          <w:w w:val="85"/>
        </w:rPr>
        <w:t>Ｑ</w:t>
      </w:r>
      <w:r>
        <w:rPr>
          <w:rFonts w:hint="eastAsia" w:ascii="MS UI Gothic" w:hAnsi="MS UI Gothic" w:eastAsia="MS UI Gothic"/>
          <w:spacing w:val="5"/>
          <w:w w:val="75"/>
        </w:rPr>
        <w:t>００２</w:t>
      </w:r>
      <w:r>
        <w:rPr>
          <w:rFonts w:hint="eastAsia" w:ascii="MS UI Gothic" w:hAnsi="MS UI Gothic" w:eastAsia="MS UI Gothic"/>
          <w:w w:val="168"/>
        </w:rPr>
        <w:t>)</w:t>
      </w:r>
      <w:r>
        <w:rPr>
          <w:rFonts w:hint="eastAsia" w:ascii="MS UI Gothic" w:hAnsi="MS UI Gothic" w:eastAsia="MS UI Gothic"/>
          <w:spacing w:val="6"/>
        </w:rPr>
        <w:t xml:space="preserve">  </w:t>
      </w:r>
      <w:r>
        <w:rPr>
          <w:w w:val="102"/>
        </w:rPr>
        <w:t>和</w:t>
      </w:r>
    </w:p>
    <w:p>
      <w:pPr>
        <w:pStyle w:val="6"/>
        <w:spacing w:line="254" w:lineRule="exact"/>
        <w:ind w:firstLine="0"/>
        <w:jc w:val="left"/>
        <w:rPr>
          <w:rFonts w:hint="eastAsia" w:ascii="MS UI Gothic" w:hAnsi="MS UI Gothic" w:eastAsia="MS UI Gothic"/>
        </w:rPr>
      </w:pPr>
      <w:r>
        <w:rPr>
          <w:rFonts w:hint="eastAsia" w:ascii="MS UI Gothic" w:hAnsi="MS UI Gothic" w:eastAsia="MS UI Gothic"/>
          <w:w w:val="76"/>
        </w:rPr>
        <w:t>«</w:t>
      </w:r>
      <w:r>
        <w:rPr>
          <w:rFonts w:hint="eastAsia" w:ascii="MS UI Gothic" w:hAnsi="MS UI Gothic" w:eastAsia="MS UI Gothic"/>
          <w:spacing w:val="-40"/>
        </w:rPr>
        <w:t xml:space="preserve"> </w:t>
      </w:r>
      <w:r>
        <w:rPr>
          <w:spacing w:val="4"/>
          <w:w w:val="102"/>
        </w:rPr>
        <w:t>起重机械定期检验规则</w:t>
      </w:r>
      <w:r>
        <w:rPr>
          <w:rFonts w:hint="eastAsia" w:ascii="MS UI Gothic" w:hAnsi="MS UI Gothic" w:eastAsia="MS UI Gothic"/>
          <w:w w:val="76"/>
        </w:rPr>
        <w:t>»</w:t>
      </w:r>
      <w:r>
        <w:rPr>
          <w:rFonts w:hint="eastAsia" w:ascii="MS UI Gothic" w:hAnsi="MS UI Gothic" w:eastAsia="MS UI Gothic"/>
          <w:spacing w:val="-3"/>
        </w:rPr>
        <w:t xml:space="preserve">   </w:t>
      </w:r>
      <w:r>
        <w:rPr>
          <w:rFonts w:hint="eastAsia" w:ascii="MS UI Gothic" w:hAnsi="MS UI Gothic" w:eastAsia="MS UI Gothic"/>
          <w:w w:val="168"/>
        </w:rPr>
        <w:t>(</w:t>
      </w:r>
      <w:r>
        <w:rPr>
          <w:rFonts w:hint="eastAsia" w:ascii="MS UI Gothic" w:hAnsi="MS UI Gothic" w:eastAsia="MS UI Gothic"/>
          <w:spacing w:val="-34"/>
        </w:rPr>
        <w:t xml:space="preserve"> </w:t>
      </w:r>
      <w:r>
        <w:rPr>
          <w:rFonts w:hint="eastAsia" w:ascii="MS UI Gothic" w:hAnsi="MS UI Gothic" w:eastAsia="MS UI Gothic"/>
          <w:spacing w:val="-2"/>
          <w:w w:val="92"/>
        </w:rPr>
        <w:t>Ｔ</w:t>
      </w:r>
      <w:r>
        <w:rPr>
          <w:rFonts w:hint="eastAsia" w:ascii="MS UI Gothic" w:hAnsi="MS UI Gothic" w:eastAsia="MS UI Gothic"/>
          <w:w w:val="69"/>
        </w:rPr>
        <w:t>Ｓ</w:t>
      </w:r>
      <w:r>
        <w:rPr>
          <w:rFonts w:hint="eastAsia" w:ascii="MS UI Gothic" w:hAnsi="MS UI Gothic" w:eastAsia="MS UI Gothic"/>
          <w:spacing w:val="-2"/>
          <w:w w:val="88"/>
        </w:rPr>
        <w:t>Ｇ</w:t>
      </w:r>
      <w:r>
        <w:rPr>
          <w:rFonts w:hint="eastAsia" w:ascii="MS UI Gothic" w:hAnsi="MS UI Gothic" w:eastAsia="MS UI Gothic"/>
          <w:w w:val="85"/>
        </w:rPr>
        <w:t>Ｑ</w:t>
      </w:r>
      <w:r>
        <w:rPr>
          <w:rFonts w:hint="eastAsia" w:ascii="MS UI Gothic" w:hAnsi="MS UI Gothic" w:eastAsia="MS UI Gothic"/>
          <w:spacing w:val="15"/>
        </w:rPr>
        <w:t xml:space="preserve"> </w:t>
      </w:r>
      <w:r>
        <w:rPr>
          <w:rFonts w:hint="eastAsia" w:ascii="MS UI Gothic" w:hAnsi="MS UI Gothic" w:eastAsia="MS UI Gothic"/>
          <w:spacing w:val="2"/>
          <w:w w:val="75"/>
        </w:rPr>
        <w:t>７０１５</w:t>
      </w:r>
      <w:r>
        <w:rPr>
          <w:rFonts w:hint="eastAsia" w:ascii="MS UI Gothic" w:hAnsi="MS UI Gothic" w:eastAsia="MS UI Gothic"/>
          <w:w w:val="168"/>
        </w:rPr>
        <w:t>)</w:t>
      </w:r>
    </w:p>
    <w:p>
      <w:pPr>
        <w:pStyle w:val="6"/>
        <w:spacing w:before="35"/>
        <w:ind w:firstLine="0"/>
        <w:jc w:val="left"/>
        <w:rPr>
          <w:rFonts w:hint="eastAsia" w:ascii="MS UI Gothic" w:eastAsia="MS UI Gothic"/>
        </w:rPr>
      </w:pPr>
      <w:r>
        <w:t>的要求</w:t>
      </w:r>
      <w:r>
        <w:rPr>
          <w:rFonts w:hint="eastAsia" w:ascii="MS UI Gothic" w:eastAsia="MS UI Gothic"/>
          <w:w w:val="80"/>
        </w:rPr>
        <w:t>ꎮ</w:t>
      </w:r>
    </w:p>
    <w:p>
      <w:pPr>
        <w:pStyle w:val="6"/>
        <w:spacing w:before="59" w:line="295" w:lineRule="auto"/>
        <w:ind w:right="39"/>
        <w:rPr>
          <w:rFonts w:hint="eastAsia" w:ascii="MS UI Gothic" w:eastAsia="MS UI Gothic"/>
        </w:rPr>
      </w:pPr>
      <w:r>
        <w:rPr>
          <w:w w:val="105"/>
        </w:rPr>
        <w:t>企业应当定期对吊运</w:t>
      </w:r>
      <w:r>
        <w:rPr>
          <w:rFonts w:hint="eastAsia" w:ascii="MS UI Gothic" w:eastAsia="MS UI Gothic"/>
          <w:w w:val="80"/>
        </w:rPr>
        <w:t xml:space="preserve">、 </w:t>
      </w:r>
      <w:r>
        <w:rPr>
          <w:w w:val="105"/>
        </w:rPr>
        <w:t>盛装熔融金属的吊具</w:t>
      </w:r>
      <w:r>
        <w:rPr>
          <w:rFonts w:hint="eastAsia" w:ascii="MS UI Gothic" w:eastAsia="MS UI Gothic"/>
          <w:w w:val="80"/>
        </w:rPr>
        <w:t xml:space="preserve">、 </w:t>
      </w:r>
      <w:r>
        <w:rPr>
          <w:w w:val="105"/>
        </w:rPr>
        <w:t xml:space="preserve">罐体 </w:t>
      </w:r>
      <w:r>
        <w:rPr>
          <w:rFonts w:hint="eastAsia" w:ascii="MS UI Gothic" w:eastAsia="MS UI Gothic"/>
          <w:w w:val="150"/>
        </w:rPr>
        <w:t xml:space="preserve">( </w:t>
      </w:r>
      <w:r>
        <w:rPr>
          <w:w w:val="105"/>
        </w:rPr>
        <w:t>本体</w:t>
      </w:r>
      <w:r>
        <w:rPr>
          <w:rFonts w:hint="eastAsia" w:ascii="MS UI Gothic" w:eastAsia="MS UI Gothic"/>
          <w:w w:val="80"/>
        </w:rPr>
        <w:t xml:space="preserve">、 </w:t>
      </w:r>
      <w:r>
        <w:rPr>
          <w:w w:val="105"/>
        </w:rPr>
        <w:t>耳轴</w:t>
      </w:r>
      <w:r>
        <w:rPr>
          <w:rFonts w:hint="eastAsia" w:ascii="MS UI Gothic" w:eastAsia="MS UI Gothic"/>
          <w:w w:val="150"/>
        </w:rPr>
        <w:t xml:space="preserve">) </w:t>
      </w:r>
      <w:r>
        <w:rPr>
          <w:w w:val="105"/>
        </w:rPr>
        <w:t>进行安全检查和探伤检测</w:t>
      </w:r>
      <w:r>
        <w:rPr>
          <w:rFonts w:hint="eastAsia" w:ascii="MS UI Gothic" w:eastAsia="MS UI Gothic"/>
          <w:w w:val="80"/>
        </w:rPr>
        <w:t>ꎮ</w:t>
      </w:r>
    </w:p>
    <w:p>
      <w:pPr>
        <w:pStyle w:val="6"/>
        <w:spacing w:line="254" w:lineRule="exact"/>
        <w:ind w:left="543" w:firstLine="0"/>
      </w:pPr>
      <w:r>
        <w:t>第三十一条 生产</w:t>
      </w:r>
      <w:r>
        <w:rPr>
          <w:rFonts w:hint="eastAsia" w:ascii="MS UI Gothic" w:eastAsia="MS UI Gothic"/>
        </w:rPr>
        <w:t xml:space="preserve">、 </w:t>
      </w:r>
      <w:r>
        <w:t>储存</w:t>
      </w:r>
      <w:r>
        <w:rPr>
          <w:rFonts w:hint="eastAsia" w:ascii="MS UI Gothic" w:eastAsia="MS UI Gothic"/>
        </w:rPr>
        <w:t xml:space="preserve">、 </w:t>
      </w:r>
      <w:r>
        <w:t>使用煤气</w:t>
      </w:r>
    </w:p>
    <w:p>
      <w:pPr>
        <w:pStyle w:val="6"/>
        <w:spacing w:before="74" w:line="295" w:lineRule="auto"/>
        <w:ind w:right="442" w:firstLine="0"/>
        <w:rPr>
          <w:rFonts w:hint="eastAsia" w:ascii="MS UI Gothic" w:eastAsia="MS UI Gothic"/>
        </w:rPr>
      </w:pPr>
      <w:r>
        <w:br w:type="column"/>
      </w:r>
      <w:r>
        <w:t>必要的煤气防护人员</w:t>
      </w:r>
      <w:r>
        <w:rPr>
          <w:rFonts w:hint="eastAsia" w:ascii="MS UI Gothic" w:eastAsia="MS UI Gothic"/>
          <w:w w:val="80"/>
        </w:rPr>
        <w:t xml:space="preserve">、 </w:t>
      </w:r>
      <w:r>
        <w:t>煤气检测报警装置及防护设施</w:t>
      </w:r>
      <w:r>
        <w:rPr>
          <w:rFonts w:hint="eastAsia" w:ascii="MS UI Gothic" w:eastAsia="MS UI Gothic"/>
          <w:w w:val="80"/>
        </w:rPr>
        <w:t xml:space="preserve">ꎬ </w:t>
      </w:r>
      <w:r>
        <w:t>并且每年至少组织一次煤气事故应急演练</w:t>
      </w:r>
      <w:r>
        <w:rPr>
          <w:rFonts w:hint="eastAsia" w:ascii="MS UI Gothic" w:eastAsia="MS UI Gothic"/>
          <w:w w:val="80"/>
        </w:rPr>
        <w:t>ꎮ</w:t>
      </w:r>
    </w:p>
    <w:p>
      <w:pPr>
        <w:pStyle w:val="6"/>
        <w:spacing w:line="295" w:lineRule="auto"/>
        <w:ind w:right="442"/>
        <w:rPr>
          <w:rFonts w:hint="eastAsia" w:ascii="MS UI Gothic" w:hAnsi="MS UI Gothic" w:eastAsia="MS UI Gothic"/>
        </w:rPr>
      </w:pPr>
      <w:r>
        <w:t>第三十二条 生产</w:t>
      </w:r>
      <w:r>
        <w:rPr>
          <w:rFonts w:hint="eastAsia" w:ascii="MS UI Gothic" w:hAnsi="MS UI Gothic" w:eastAsia="MS UI Gothic"/>
        </w:rPr>
        <w:t xml:space="preserve">、 </w:t>
      </w:r>
      <w:r>
        <w:t>储存</w:t>
      </w:r>
      <w:r>
        <w:rPr>
          <w:rFonts w:hint="eastAsia" w:ascii="MS UI Gothic" w:hAnsi="MS UI Gothic" w:eastAsia="MS UI Gothic"/>
        </w:rPr>
        <w:t xml:space="preserve">、 </w:t>
      </w:r>
      <w:r>
        <w:t xml:space="preserve">使用煤气的企业应当严格执行 </w:t>
      </w:r>
      <w:r>
        <w:rPr>
          <w:rFonts w:hint="eastAsia" w:ascii="MS UI Gothic" w:hAnsi="MS UI Gothic" w:eastAsia="MS UI Gothic"/>
        </w:rPr>
        <w:t xml:space="preserve">« </w:t>
      </w:r>
      <w:r>
        <w:t>工业企业煤气安</w:t>
      </w:r>
      <w:r>
        <w:rPr>
          <w:w w:val="102"/>
        </w:rPr>
        <w:t>全规程</w:t>
      </w:r>
      <w:r>
        <w:rPr>
          <w:rFonts w:hint="eastAsia" w:ascii="MS UI Gothic" w:hAnsi="MS UI Gothic" w:eastAsia="MS UI Gothic"/>
          <w:w w:val="76"/>
        </w:rPr>
        <w:t>»</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88"/>
        </w:rPr>
        <w:t>Ｇ</w:t>
      </w:r>
      <w:r>
        <w:rPr>
          <w:rFonts w:hint="eastAsia" w:ascii="MS UI Gothic" w:hAnsi="MS UI Gothic" w:eastAsia="MS UI Gothic"/>
          <w:w w:val="80"/>
        </w:rPr>
        <w:t>Ｂ</w:t>
      </w:r>
      <w:r>
        <w:rPr>
          <w:rFonts w:hint="eastAsia" w:ascii="MS UI Gothic" w:hAnsi="MS UI Gothic" w:eastAsia="MS UI Gothic"/>
        </w:rPr>
        <w:t xml:space="preserve"> </w:t>
      </w:r>
      <w:r>
        <w:rPr>
          <w:rFonts w:hint="eastAsia" w:ascii="MS UI Gothic" w:hAnsi="MS UI Gothic" w:eastAsia="MS UI Gothic"/>
          <w:w w:val="75"/>
        </w:rPr>
        <w:t>６２２２</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51"/>
        </w:rPr>
        <w:t>ꎬ</w:t>
      </w:r>
      <w:r>
        <w:rPr>
          <w:rFonts w:hint="eastAsia" w:ascii="MS UI Gothic" w:hAnsi="MS UI Gothic" w:eastAsia="MS UI Gothic"/>
        </w:rPr>
        <w:t xml:space="preserve">  </w:t>
      </w:r>
      <w:r>
        <w:rPr>
          <w:w w:val="102"/>
        </w:rPr>
        <w:t>在可能发生煤气泄</w:t>
      </w:r>
      <w:r>
        <w:t>漏</w:t>
      </w:r>
      <w:r>
        <w:rPr>
          <w:rFonts w:hint="eastAsia" w:ascii="MS UI Gothic" w:hAnsi="MS UI Gothic" w:eastAsia="MS UI Gothic"/>
        </w:rPr>
        <w:t xml:space="preserve">、 </w:t>
      </w:r>
      <w:r>
        <w:t>聚集的场所</w:t>
      </w:r>
      <w:r>
        <w:rPr>
          <w:rFonts w:hint="eastAsia" w:ascii="MS UI Gothic" w:hAnsi="MS UI Gothic" w:eastAsia="MS UI Gothic"/>
          <w:w w:val="90"/>
        </w:rPr>
        <w:t xml:space="preserve">ꎬ </w:t>
      </w:r>
      <w:r>
        <w:t>设置固定式煤气检测报警仪和安全警示标志</w:t>
      </w:r>
      <w:r>
        <w:rPr>
          <w:rFonts w:hint="eastAsia" w:ascii="MS UI Gothic" w:hAnsi="MS UI Gothic" w:eastAsia="MS UI Gothic"/>
          <w:w w:val="90"/>
        </w:rPr>
        <w:t>ꎮ</w:t>
      </w:r>
    </w:p>
    <w:p>
      <w:pPr>
        <w:pStyle w:val="6"/>
        <w:spacing w:line="295" w:lineRule="auto"/>
        <w:ind w:right="442"/>
        <w:rPr>
          <w:rFonts w:hint="eastAsia" w:ascii="MS UI Gothic" w:eastAsia="MS UI Gothic"/>
        </w:rPr>
      </w:pPr>
      <w:r>
        <w:t>进入煤气区域作业的人员</w:t>
      </w:r>
      <w:r>
        <w:rPr>
          <w:rFonts w:hint="eastAsia" w:ascii="MS UI Gothic" w:eastAsia="MS UI Gothic"/>
          <w:w w:val="80"/>
        </w:rPr>
        <w:t xml:space="preserve">ꎬ </w:t>
      </w:r>
      <w:r>
        <w:t>应当携带便携式一氧化碳检测报警仪</w:t>
      </w:r>
      <w:r>
        <w:rPr>
          <w:rFonts w:hint="eastAsia" w:ascii="MS UI Gothic" w:eastAsia="MS UI Gothic"/>
          <w:w w:val="80"/>
        </w:rPr>
        <w:t xml:space="preserve">ꎬ </w:t>
      </w:r>
      <w:r>
        <w:t>配备空气呼吸器</w:t>
      </w:r>
      <w:r>
        <w:rPr>
          <w:rFonts w:hint="eastAsia" w:ascii="MS UI Gothic" w:eastAsia="MS UI Gothic"/>
          <w:w w:val="80"/>
        </w:rPr>
        <w:t xml:space="preserve">ꎬ </w:t>
      </w:r>
      <w:r>
        <w:t>并由企业安排专门人员进行安全管理</w:t>
      </w:r>
      <w:r>
        <w:rPr>
          <w:rFonts w:hint="eastAsia" w:ascii="MS UI Gothic" w:eastAsia="MS UI Gothic"/>
          <w:w w:val="80"/>
        </w:rPr>
        <w:t>ꎮ</w:t>
      </w:r>
    </w:p>
    <w:p>
      <w:pPr>
        <w:pStyle w:val="6"/>
        <w:spacing w:line="295" w:lineRule="auto"/>
        <w:ind w:right="442"/>
        <w:rPr>
          <w:rFonts w:hint="eastAsia" w:ascii="MS UI Gothic" w:eastAsia="MS UI Gothic"/>
        </w:rPr>
      </w:pPr>
      <w:r>
        <w:t>煤气柜区域应当设有隔离围栏</w:t>
      </w:r>
      <w:r>
        <w:rPr>
          <w:rFonts w:hint="eastAsia" w:ascii="MS UI Gothic" w:eastAsia="MS UI Gothic"/>
          <w:w w:val="80"/>
        </w:rPr>
        <w:t xml:space="preserve">ꎬ </w:t>
      </w:r>
      <w:r>
        <w:t>安装在线监控设备</w:t>
      </w:r>
      <w:r>
        <w:rPr>
          <w:rFonts w:hint="eastAsia" w:ascii="MS UI Gothic" w:eastAsia="MS UI Gothic"/>
          <w:w w:val="80"/>
        </w:rPr>
        <w:t xml:space="preserve">ꎬ </w:t>
      </w:r>
      <w:r>
        <w:t>并由企业安排专门人员值守</w:t>
      </w:r>
      <w:r>
        <w:rPr>
          <w:rFonts w:hint="eastAsia" w:ascii="MS UI Gothic" w:eastAsia="MS UI Gothic"/>
          <w:w w:val="80"/>
        </w:rPr>
        <w:t xml:space="preserve">ꎮ </w:t>
      </w:r>
      <w:r>
        <w:t>煤气柜区域严禁烟火</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第三十三条 企业对涉及煤气</w:t>
      </w:r>
      <w:r>
        <w:rPr>
          <w:rFonts w:hint="eastAsia" w:ascii="MS UI Gothic" w:eastAsia="MS UI Gothic"/>
          <w:w w:val="80"/>
        </w:rPr>
        <w:t xml:space="preserve">、 </w:t>
      </w:r>
      <w:r>
        <w:rPr>
          <w:w w:val="105"/>
        </w:rPr>
        <w:t>氧气</w:t>
      </w:r>
      <w:r>
        <w:rPr>
          <w:rFonts w:hint="eastAsia" w:ascii="MS UI Gothic" w:eastAsia="MS UI Gothic"/>
          <w:w w:val="80"/>
        </w:rPr>
        <w:t xml:space="preserve">、 </w:t>
      </w:r>
      <w:r>
        <w:rPr>
          <w:w w:val="105"/>
        </w:rPr>
        <w:t>氢气等易燃易爆危险化学品生产</w:t>
      </w:r>
      <w:r>
        <w:rPr>
          <w:rFonts w:hint="eastAsia" w:ascii="MS UI Gothic" w:eastAsia="MS UI Gothic"/>
          <w:w w:val="80"/>
        </w:rPr>
        <w:t xml:space="preserve">、 </w:t>
      </w:r>
      <w:r>
        <w:rPr>
          <w:w w:val="105"/>
        </w:rPr>
        <w:t>输送</w:t>
      </w:r>
      <w:r>
        <w:rPr>
          <w:rFonts w:hint="eastAsia" w:ascii="MS UI Gothic" w:eastAsia="MS UI Gothic"/>
          <w:w w:val="80"/>
        </w:rPr>
        <w:t xml:space="preserve">、 </w:t>
      </w:r>
      <w:r>
        <w:rPr>
          <w:w w:val="105"/>
        </w:rPr>
        <w:t>使用</w:t>
      </w:r>
      <w:r>
        <w:rPr>
          <w:rFonts w:hint="eastAsia" w:ascii="MS UI Gothic" w:eastAsia="MS UI Gothic"/>
          <w:w w:val="80"/>
        </w:rPr>
        <w:t xml:space="preserve">、 </w:t>
      </w:r>
      <w:r>
        <w:rPr>
          <w:w w:val="105"/>
        </w:rPr>
        <w:t>储存的设施以及油库</w:t>
      </w:r>
      <w:r>
        <w:rPr>
          <w:rFonts w:hint="eastAsia" w:ascii="MS UI Gothic" w:eastAsia="MS UI Gothic"/>
          <w:w w:val="80"/>
        </w:rPr>
        <w:t xml:space="preserve">、 </w:t>
      </w:r>
      <w:r>
        <w:rPr>
          <w:w w:val="105"/>
        </w:rPr>
        <w:t xml:space="preserve">电缆隧道 </w:t>
      </w:r>
      <w:r>
        <w:rPr>
          <w:rFonts w:hint="eastAsia" w:ascii="MS UI Gothic" w:eastAsia="MS UI Gothic"/>
          <w:w w:val="150"/>
        </w:rPr>
        <w:t xml:space="preserve">( </w:t>
      </w:r>
      <w:r>
        <w:rPr>
          <w:w w:val="105"/>
        </w:rPr>
        <w:t>沟</w:t>
      </w:r>
      <w:r>
        <w:rPr>
          <w:rFonts w:hint="eastAsia" w:ascii="MS UI Gothic" w:eastAsia="MS UI Gothic"/>
          <w:w w:val="150"/>
        </w:rPr>
        <w:t xml:space="preserve">) </w:t>
      </w:r>
      <w:r>
        <w:rPr>
          <w:w w:val="105"/>
        </w:rPr>
        <w:t>等重点防火部位</w:t>
      </w:r>
      <w:r>
        <w:rPr>
          <w:rFonts w:hint="eastAsia" w:ascii="MS UI Gothic" w:eastAsia="MS UI Gothic"/>
          <w:w w:val="80"/>
        </w:rPr>
        <w:t xml:space="preserve">ꎬ </w:t>
      </w:r>
      <w:r>
        <w:rPr>
          <w:w w:val="105"/>
        </w:rPr>
        <w:t>应当按照有关规定采取有效</w:t>
      </w:r>
      <w:r>
        <w:rPr>
          <w:rFonts w:hint="eastAsia" w:ascii="MS UI Gothic" w:eastAsia="MS UI Gothic"/>
          <w:w w:val="80"/>
        </w:rPr>
        <w:t xml:space="preserve">、 </w:t>
      </w:r>
      <w:r>
        <w:rPr>
          <w:w w:val="105"/>
        </w:rPr>
        <w:t>可靠的防火</w:t>
      </w:r>
      <w:r>
        <w:rPr>
          <w:rFonts w:hint="eastAsia" w:ascii="MS UI Gothic" w:eastAsia="MS UI Gothic"/>
          <w:w w:val="80"/>
        </w:rPr>
        <w:t xml:space="preserve">、 </w:t>
      </w:r>
      <w:r>
        <w:rPr>
          <w:w w:val="105"/>
        </w:rPr>
        <w:t>防爆和防泄漏措施</w:t>
      </w:r>
      <w:r>
        <w:rPr>
          <w:rFonts w:hint="eastAsia" w:ascii="MS UI Gothic" w:eastAsia="MS UI Gothic"/>
          <w:w w:val="80"/>
        </w:rPr>
        <w:t>ꎮ</w:t>
      </w:r>
    </w:p>
    <w:p>
      <w:pPr>
        <w:pStyle w:val="6"/>
        <w:spacing w:line="295" w:lineRule="auto"/>
        <w:ind w:right="442"/>
        <w:rPr>
          <w:rFonts w:hint="eastAsia" w:ascii="MS UI Gothic" w:hAnsi="MS UI Gothic" w:eastAsia="MS UI Gothic"/>
        </w:rPr>
      </w:pPr>
      <w:r>
        <w:t>企业对具有爆炸危险环境的场所</w:t>
      </w:r>
      <w:r>
        <w:rPr>
          <w:rFonts w:hint="eastAsia" w:ascii="MS UI Gothic" w:hAnsi="MS UI Gothic" w:eastAsia="MS UI Gothic"/>
          <w:w w:val="90"/>
        </w:rPr>
        <w:t xml:space="preserve">ꎬ </w:t>
      </w:r>
      <w:r>
        <w:t xml:space="preserve">应当按照 </w:t>
      </w:r>
      <w:r>
        <w:rPr>
          <w:rFonts w:hint="eastAsia" w:ascii="MS UI Gothic" w:hAnsi="MS UI Gothic" w:eastAsia="MS UI Gothic"/>
        </w:rPr>
        <w:t xml:space="preserve">« </w:t>
      </w:r>
      <w:r>
        <w:t>爆炸性气体环境用电气设备</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88"/>
        </w:rPr>
        <w:t>Ｇ</w:t>
      </w:r>
      <w:r>
        <w:rPr>
          <w:rFonts w:hint="eastAsia" w:ascii="MS UI Gothic" w:hAnsi="MS UI Gothic" w:eastAsia="MS UI Gothic"/>
          <w:w w:val="80"/>
        </w:rPr>
        <w:t>Ｂ</w:t>
      </w:r>
      <w:r>
        <w:rPr>
          <w:rFonts w:hint="eastAsia" w:ascii="MS UI Gothic" w:hAnsi="MS UI Gothic" w:eastAsia="MS UI Gothic"/>
        </w:rPr>
        <w:t xml:space="preserve"> </w:t>
      </w:r>
      <w:r>
        <w:rPr>
          <w:rFonts w:hint="eastAsia" w:ascii="MS UI Gothic" w:hAnsi="MS UI Gothic" w:eastAsia="MS UI Gothic"/>
          <w:w w:val="75"/>
        </w:rPr>
        <w:t>３８３６</w:t>
      </w:r>
      <w:r>
        <w:rPr>
          <w:rFonts w:hint="eastAsia" w:ascii="MS UI Gothic" w:hAnsi="MS UI Gothic" w:eastAsia="MS UI Gothic"/>
          <w:w w:val="168"/>
        </w:rPr>
        <w:t>)</w:t>
      </w:r>
      <w:r>
        <w:rPr>
          <w:rFonts w:hint="eastAsia" w:ascii="MS UI Gothic" w:hAnsi="MS UI Gothic" w:eastAsia="MS UI Gothic"/>
        </w:rPr>
        <w:t xml:space="preserve">  </w:t>
      </w:r>
      <w:r>
        <w:rPr>
          <w:w w:val="102"/>
        </w:rPr>
        <w:t>及</w:t>
      </w:r>
      <w:r>
        <w:t xml:space="preserve"> </w:t>
      </w:r>
      <w:r>
        <w:rPr>
          <w:rFonts w:hint="eastAsia" w:ascii="MS UI Gothic" w:hAnsi="MS UI Gothic" w:eastAsia="MS UI Gothic"/>
          <w:w w:val="76"/>
        </w:rPr>
        <w:t>«</w:t>
      </w:r>
      <w:r>
        <w:rPr>
          <w:rFonts w:hint="eastAsia" w:ascii="MS UI Gothic" w:hAnsi="MS UI Gothic" w:eastAsia="MS UI Gothic"/>
        </w:rPr>
        <w:t xml:space="preserve"> </w:t>
      </w:r>
      <w:r>
        <w:rPr>
          <w:w w:val="102"/>
        </w:rPr>
        <w:t>爆炸危险环境电力装置设计规范</w:t>
      </w:r>
      <w:r>
        <w:rPr>
          <w:rFonts w:hint="eastAsia" w:ascii="MS UI Gothic" w:hAnsi="MS UI Gothic" w:eastAsia="MS UI Gothic"/>
          <w:w w:val="76"/>
        </w:rPr>
        <w:t>»</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88"/>
        </w:rPr>
        <w:t>Ｇ</w:t>
      </w:r>
      <w:r>
        <w:rPr>
          <w:rFonts w:hint="eastAsia" w:ascii="MS UI Gothic" w:hAnsi="MS UI Gothic" w:eastAsia="MS UI Gothic"/>
          <w:w w:val="80"/>
        </w:rPr>
        <w:t>Ｂ</w:t>
      </w:r>
      <w:r>
        <w:rPr>
          <w:rFonts w:hint="eastAsia" w:ascii="MS UI Gothic" w:hAnsi="MS UI Gothic" w:eastAsia="MS UI Gothic"/>
        </w:rPr>
        <w:t xml:space="preserve"> </w:t>
      </w:r>
      <w:r>
        <w:rPr>
          <w:rFonts w:hint="eastAsia" w:ascii="MS UI Gothic" w:hAnsi="MS UI Gothic" w:eastAsia="MS UI Gothic"/>
          <w:w w:val="75"/>
        </w:rPr>
        <w:t>５００５８</w:t>
      </w:r>
      <w:r>
        <w:rPr>
          <w:rFonts w:hint="eastAsia" w:ascii="MS UI Gothic" w:hAnsi="MS UI Gothic" w:eastAsia="MS UI Gothic"/>
          <w:w w:val="168"/>
        </w:rPr>
        <w:t>)</w:t>
      </w:r>
      <w:r>
        <w:rPr>
          <w:rFonts w:hint="eastAsia" w:ascii="MS UI Gothic" w:hAnsi="MS UI Gothic" w:eastAsia="MS UI Gothic"/>
        </w:rPr>
        <w:t xml:space="preserve">  </w:t>
      </w:r>
      <w:r>
        <w:rPr>
          <w:w w:val="102"/>
        </w:rPr>
        <w:t>设置自动检测报</w:t>
      </w:r>
      <w:r>
        <w:t>警和防灭火装置</w:t>
      </w:r>
      <w:r>
        <w:rPr>
          <w:rFonts w:hint="eastAsia" w:ascii="MS UI Gothic" w:hAnsi="MS UI Gothic" w:eastAsia="MS UI Gothic"/>
          <w:w w:val="90"/>
        </w:rPr>
        <w:t>ꎮ</w:t>
      </w:r>
    </w:p>
    <w:p>
      <w:pPr>
        <w:pStyle w:val="6"/>
        <w:spacing w:line="295" w:lineRule="auto"/>
        <w:ind w:right="440"/>
        <w:rPr>
          <w:rFonts w:hint="eastAsia" w:ascii="MS UI Gothic" w:eastAsia="MS UI Gothic"/>
        </w:rPr>
      </w:pPr>
      <w:r>
        <w:rPr>
          <w:spacing w:val="26"/>
        </w:rPr>
        <w:t>第三十四条 企业对反应槽</w:t>
      </w:r>
      <w:r>
        <w:rPr>
          <w:rFonts w:hint="eastAsia" w:ascii="MS UI Gothic" w:eastAsia="MS UI Gothic"/>
          <w:spacing w:val="2"/>
        </w:rPr>
        <w:t xml:space="preserve">、 </w:t>
      </w:r>
      <w:r>
        <w:rPr>
          <w:spacing w:val="3"/>
        </w:rPr>
        <w:t>罐</w:t>
      </w:r>
      <w:r>
        <w:rPr>
          <w:rFonts w:hint="eastAsia" w:ascii="MS UI Gothic" w:eastAsia="MS UI Gothic"/>
        </w:rPr>
        <w:t>、</w:t>
      </w:r>
      <w:r>
        <w:rPr>
          <w:spacing w:val="3"/>
        </w:rPr>
        <w:t>池</w:t>
      </w:r>
      <w:r>
        <w:rPr>
          <w:rFonts w:hint="eastAsia" w:ascii="MS UI Gothic" w:eastAsia="MS UI Gothic"/>
          <w:spacing w:val="29"/>
        </w:rPr>
        <w:t xml:space="preserve">、 </w:t>
      </w:r>
      <w:r>
        <w:rPr>
          <w:spacing w:val="3"/>
        </w:rPr>
        <w:t>釜和储液罐</w:t>
      </w:r>
      <w:r>
        <w:rPr>
          <w:rFonts w:hint="eastAsia" w:ascii="MS UI Gothic" w:eastAsia="MS UI Gothic"/>
          <w:spacing w:val="29"/>
        </w:rPr>
        <w:t xml:space="preserve">、 </w:t>
      </w:r>
      <w:r>
        <w:rPr>
          <w:spacing w:val="2"/>
        </w:rPr>
        <w:t>酸洗槽应当采取防腐蚀</w:t>
      </w:r>
      <w:r>
        <w:rPr>
          <w:spacing w:val="3"/>
        </w:rPr>
        <w:t>措施</w:t>
      </w:r>
      <w:r>
        <w:rPr>
          <w:rFonts w:hint="eastAsia" w:ascii="MS UI Gothic" w:eastAsia="MS UI Gothic"/>
          <w:spacing w:val="22"/>
          <w:w w:val="80"/>
        </w:rPr>
        <w:t xml:space="preserve">ꎬ </w:t>
      </w:r>
      <w:r>
        <w:rPr>
          <w:spacing w:val="15"/>
        </w:rPr>
        <w:t>设置事故池</w:t>
      </w:r>
      <w:r>
        <w:rPr>
          <w:rFonts w:hint="eastAsia" w:ascii="MS UI Gothic" w:eastAsia="MS UI Gothic"/>
          <w:spacing w:val="3"/>
          <w:w w:val="80"/>
        </w:rPr>
        <w:t xml:space="preserve">ꎬ </w:t>
      </w:r>
      <w:r>
        <w:rPr>
          <w:spacing w:val="20"/>
        </w:rPr>
        <w:t>进行经常性安全检</w:t>
      </w:r>
      <w:r>
        <w:rPr>
          <w:spacing w:val="3"/>
        </w:rPr>
        <w:t>查</w:t>
      </w:r>
      <w:r>
        <w:rPr>
          <w:rFonts w:hint="eastAsia" w:ascii="MS UI Gothic" w:eastAsia="MS UI Gothic"/>
          <w:spacing w:val="11"/>
        </w:rPr>
        <w:t xml:space="preserve">、 </w:t>
      </w:r>
      <w:r>
        <w:rPr>
          <w:spacing w:val="3"/>
        </w:rPr>
        <w:t>维护</w:t>
      </w:r>
      <w:r>
        <w:rPr>
          <w:rFonts w:hint="eastAsia" w:ascii="MS UI Gothic" w:eastAsia="MS UI Gothic"/>
          <w:spacing w:val="11"/>
        </w:rPr>
        <w:t xml:space="preserve">、 </w:t>
      </w:r>
      <w:r>
        <w:rPr>
          <w:spacing w:val="3"/>
        </w:rPr>
        <w:t>保养</w:t>
      </w:r>
      <w:r>
        <w:rPr>
          <w:rFonts w:hint="eastAsia" w:ascii="MS UI Gothic" w:eastAsia="MS UI Gothic"/>
          <w:spacing w:val="18"/>
          <w:w w:val="80"/>
        </w:rPr>
        <w:t xml:space="preserve">ꎬ </w:t>
      </w:r>
      <w:r>
        <w:rPr>
          <w:spacing w:val="3"/>
        </w:rPr>
        <w:t>并定期检测</w:t>
      </w:r>
      <w:r>
        <w:rPr>
          <w:rFonts w:hint="eastAsia" w:ascii="MS UI Gothic" w:eastAsia="MS UI Gothic"/>
          <w:spacing w:val="17"/>
          <w:w w:val="80"/>
        </w:rPr>
        <w:t xml:space="preserve">ꎬ </w:t>
      </w:r>
      <w:r>
        <w:rPr>
          <w:spacing w:val="2"/>
        </w:rPr>
        <w:t>保证正常</w:t>
      </w:r>
      <w:r>
        <w:rPr>
          <w:spacing w:val="3"/>
        </w:rPr>
        <w:t>运转</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企业实施浸出</w:t>
      </w:r>
      <w:r>
        <w:rPr>
          <w:rFonts w:hint="eastAsia" w:ascii="MS UI Gothic" w:eastAsia="MS UI Gothic"/>
          <w:spacing w:val="8"/>
          <w:w w:val="80"/>
        </w:rPr>
        <w:t xml:space="preserve">、 </w:t>
      </w:r>
      <w:r>
        <w:rPr>
          <w:spacing w:val="3"/>
        </w:rPr>
        <w:t>萃取作业时</w:t>
      </w:r>
      <w:r>
        <w:rPr>
          <w:rFonts w:hint="eastAsia" w:ascii="MS UI Gothic" w:eastAsia="MS UI Gothic"/>
          <w:spacing w:val="8"/>
          <w:w w:val="80"/>
        </w:rPr>
        <w:t xml:space="preserve">ꎬ </w:t>
      </w:r>
      <w:r>
        <w:rPr>
          <w:spacing w:val="2"/>
        </w:rPr>
        <w:t>应当采</w:t>
      </w:r>
      <w:r>
        <w:rPr>
          <w:spacing w:val="3"/>
        </w:rPr>
        <w:t>取防火防爆</w:t>
      </w:r>
      <w:r>
        <w:rPr>
          <w:rFonts w:hint="eastAsia" w:ascii="MS UI Gothic" w:eastAsia="MS UI Gothic"/>
          <w:spacing w:val="16"/>
          <w:w w:val="80"/>
        </w:rPr>
        <w:t xml:space="preserve">、 </w:t>
      </w:r>
      <w:r>
        <w:rPr>
          <w:spacing w:val="2"/>
        </w:rPr>
        <w:t>防冒槽喷溅和防中毒等安全</w:t>
      </w:r>
      <w:r>
        <w:rPr>
          <w:spacing w:val="3"/>
        </w:rPr>
        <w:t>措施</w:t>
      </w:r>
      <w:r>
        <w:rPr>
          <w:rFonts w:hint="eastAsia" w:ascii="MS UI Gothic" w:eastAsia="MS UI Gothic"/>
          <w:w w:val="80"/>
        </w:rPr>
        <w:t>ꎮ</w:t>
      </w:r>
    </w:p>
    <w:p>
      <w:pPr>
        <w:pStyle w:val="6"/>
        <w:spacing w:line="295" w:lineRule="auto"/>
        <w:ind w:right="442"/>
      </w:pPr>
      <w:r>
        <w:t>第三十五条 企业从事产生酸雾危害的电解作业时</w:t>
      </w:r>
      <w:r>
        <w:rPr>
          <w:rFonts w:hint="eastAsia" w:ascii="MS UI Gothic" w:eastAsia="MS UI Gothic"/>
          <w:w w:val="80"/>
        </w:rPr>
        <w:t xml:space="preserve">ꎬ </w:t>
      </w:r>
      <w:r>
        <w:t>应当采取防止酸雾扩散及槽体</w:t>
      </w:r>
      <w:r>
        <w:rPr>
          <w:rFonts w:hint="eastAsia" w:ascii="MS UI Gothic" w:eastAsia="MS UI Gothic"/>
          <w:w w:val="80"/>
        </w:rPr>
        <w:t xml:space="preserve">、 </w:t>
      </w:r>
      <w:r>
        <w:t>厂房防腐措施</w:t>
      </w:r>
      <w:r>
        <w:rPr>
          <w:rFonts w:hint="eastAsia" w:ascii="MS UI Gothic" w:eastAsia="MS UI Gothic"/>
          <w:w w:val="80"/>
        </w:rPr>
        <w:t xml:space="preserve">ꎮ </w:t>
      </w:r>
      <w:r>
        <w:t>电解车间应当保持厂房通风良好</w:t>
      </w:r>
      <w:r>
        <w:rPr>
          <w:rFonts w:hint="eastAsia" w:ascii="MS UI Gothic" w:eastAsia="MS UI Gothic"/>
          <w:w w:val="80"/>
        </w:rPr>
        <w:t xml:space="preserve">ꎬ </w:t>
      </w:r>
      <w:r>
        <w:t>防止电解产生的氢气</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１７７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61" o:spid="_x0000_s1561" o:spt="203" style="height:2.15pt;width:398.25pt;" coordsize="7965,43">
            <o:lock v:ext="edit"/>
            <v:line id="_x0000_s1562" o:spid="_x0000_s1562" o:spt="20" style="position:absolute;left:0;top:39;height:0;width:7965;" stroked="t" coordsize="21600,21600">
              <v:path arrowok="t"/>
              <v:fill focussize="0,0"/>
              <v:stroke weight="0.388031496062992pt" color="#231F20"/>
              <v:imagedata o:title=""/>
              <o:lock v:ext="edit"/>
            </v:line>
            <v:line id="_x0000_s1563" o:spid="_x0000_s156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聚集</w:t>
      </w:r>
      <w:r>
        <w:rPr>
          <w:rFonts w:hint="eastAsia" w:ascii="MS UI Gothic" w:eastAsia="MS UI Gothic"/>
          <w:w w:val="80"/>
        </w:rPr>
        <w:t>ꎮ</w:t>
      </w:r>
    </w:p>
    <w:p>
      <w:pPr>
        <w:pStyle w:val="6"/>
        <w:spacing w:before="58" w:line="295" w:lineRule="auto"/>
        <w:ind w:left="440"/>
        <w:rPr>
          <w:rFonts w:hint="eastAsia" w:ascii="MS UI Gothic" w:eastAsia="MS UI Gothic"/>
        </w:rPr>
      </w:pPr>
      <w:r>
        <w:t>第三十六条 企业在使用酸</w:t>
      </w:r>
      <w:r>
        <w:rPr>
          <w:rFonts w:hint="eastAsia" w:ascii="MS UI Gothic" w:eastAsia="MS UI Gothic"/>
          <w:w w:val="80"/>
        </w:rPr>
        <w:t xml:space="preserve">、 </w:t>
      </w:r>
      <w:r>
        <w:t>碱的作业场所</w:t>
      </w:r>
      <w:r>
        <w:rPr>
          <w:rFonts w:hint="eastAsia" w:ascii="MS UI Gothic" w:eastAsia="MS UI Gothic"/>
          <w:w w:val="80"/>
        </w:rPr>
        <w:t xml:space="preserve">ꎬ </w:t>
      </w:r>
      <w:r>
        <w:t>应当采取防止人员灼伤的措施</w:t>
      </w:r>
      <w:r>
        <w:rPr>
          <w:rFonts w:hint="eastAsia" w:ascii="MS UI Gothic" w:eastAsia="MS UI Gothic"/>
          <w:w w:val="80"/>
        </w:rPr>
        <w:t>ꎬ</w:t>
      </w:r>
      <w:r>
        <w:t>并设置安全喷淋或者洗涤设施</w:t>
      </w:r>
      <w:r>
        <w:rPr>
          <w:rFonts w:hint="eastAsia" w:ascii="MS UI Gothic" w:eastAsia="MS UI Gothic"/>
          <w:w w:val="80"/>
        </w:rPr>
        <w:t>ꎮ</w:t>
      </w:r>
    </w:p>
    <w:p>
      <w:pPr>
        <w:pStyle w:val="6"/>
        <w:spacing w:line="295" w:lineRule="auto"/>
        <w:ind w:left="440"/>
        <w:rPr>
          <w:rFonts w:hint="eastAsia" w:ascii="MS UI Gothic" w:eastAsia="MS UI Gothic"/>
        </w:rPr>
      </w:pPr>
      <w:r>
        <w:t>采用剧毒物品的电镀</w:t>
      </w:r>
      <w:r>
        <w:rPr>
          <w:rFonts w:hint="eastAsia" w:ascii="MS UI Gothic" w:eastAsia="MS UI Gothic"/>
          <w:w w:val="80"/>
        </w:rPr>
        <w:t xml:space="preserve">、 </w:t>
      </w:r>
      <w:r>
        <w:t>钝化等作业</w:t>
      </w:r>
      <w:r>
        <w:rPr>
          <w:rFonts w:hint="eastAsia" w:ascii="MS UI Gothic" w:eastAsia="MS UI Gothic"/>
          <w:w w:val="80"/>
        </w:rPr>
        <w:t>ꎬ</w:t>
      </w:r>
      <w:r>
        <w:t>企业应当在电镀槽的下方设置事故池</w:t>
      </w:r>
      <w:r>
        <w:rPr>
          <w:rFonts w:hint="eastAsia" w:ascii="MS UI Gothic" w:eastAsia="MS UI Gothic"/>
          <w:w w:val="80"/>
        </w:rPr>
        <w:t xml:space="preserve">ꎬ </w:t>
      </w:r>
      <w:r>
        <w:t>并加强对剧毒物品的安全管理</w:t>
      </w:r>
      <w:r>
        <w:rPr>
          <w:rFonts w:hint="eastAsia" w:ascii="MS UI Gothic" w:eastAsia="MS UI Gothic"/>
          <w:w w:val="80"/>
        </w:rPr>
        <w:t>ꎮ</w:t>
      </w:r>
    </w:p>
    <w:p>
      <w:pPr>
        <w:pStyle w:val="6"/>
        <w:spacing w:line="295" w:lineRule="auto"/>
        <w:ind w:left="440" w:right="1"/>
        <w:rPr>
          <w:rFonts w:hint="eastAsia" w:ascii="MS UI Gothic" w:eastAsia="MS UI Gothic"/>
        </w:rPr>
      </w:pPr>
      <w:r>
        <w:t>第三十七条 企业对生产过程中存在二氧化硫</w:t>
      </w:r>
      <w:r>
        <w:rPr>
          <w:rFonts w:hint="eastAsia" w:ascii="MS UI Gothic" w:eastAsia="MS UI Gothic"/>
          <w:w w:val="80"/>
        </w:rPr>
        <w:t xml:space="preserve">、 </w:t>
      </w:r>
      <w:r>
        <w:t>氯气</w:t>
      </w:r>
      <w:r>
        <w:rPr>
          <w:rFonts w:hint="eastAsia" w:ascii="MS UI Gothic" w:eastAsia="MS UI Gothic"/>
          <w:w w:val="80"/>
        </w:rPr>
        <w:t xml:space="preserve">、 </w:t>
      </w:r>
      <w:r>
        <w:t>砷化氢</w:t>
      </w:r>
      <w:r>
        <w:rPr>
          <w:rFonts w:hint="eastAsia" w:ascii="MS UI Gothic" w:eastAsia="MS UI Gothic"/>
          <w:w w:val="80"/>
        </w:rPr>
        <w:t xml:space="preserve">、 </w:t>
      </w:r>
      <w:r>
        <w:t>氟化氢等有毒有害气体的工作场所</w:t>
      </w:r>
      <w:r>
        <w:rPr>
          <w:rFonts w:hint="eastAsia" w:ascii="MS UI Gothic" w:eastAsia="MS UI Gothic"/>
          <w:w w:val="80"/>
        </w:rPr>
        <w:t xml:space="preserve">ꎬ </w:t>
      </w:r>
      <w:r>
        <w:t>应当采取防止人员中毒的措施</w:t>
      </w:r>
      <w:r>
        <w:rPr>
          <w:rFonts w:hint="eastAsia" w:ascii="MS UI Gothic" w:eastAsia="MS UI Gothic"/>
          <w:w w:val="80"/>
        </w:rPr>
        <w:t>ꎮ</w:t>
      </w:r>
    </w:p>
    <w:p>
      <w:pPr>
        <w:pStyle w:val="6"/>
        <w:spacing w:line="295" w:lineRule="auto"/>
        <w:ind w:left="440" w:right="1"/>
        <w:rPr>
          <w:rFonts w:hint="eastAsia" w:ascii="MS UI Gothic" w:eastAsia="MS UI Gothic"/>
        </w:rPr>
      </w:pPr>
      <w:r>
        <w:t>企业对存在铅</w:t>
      </w:r>
      <w:r>
        <w:rPr>
          <w:rFonts w:hint="eastAsia" w:ascii="MS UI Gothic" w:eastAsia="MS UI Gothic"/>
        </w:rPr>
        <w:t xml:space="preserve">、 </w:t>
      </w:r>
      <w:r>
        <w:t>镉</w:t>
      </w:r>
      <w:r>
        <w:rPr>
          <w:rFonts w:hint="eastAsia" w:ascii="MS UI Gothic" w:eastAsia="MS UI Gothic"/>
        </w:rPr>
        <w:t xml:space="preserve">、 </w:t>
      </w:r>
      <w:r>
        <w:t>铬</w:t>
      </w:r>
      <w:r>
        <w:rPr>
          <w:rFonts w:hint="eastAsia" w:ascii="MS UI Gothic" w:eastAsia="MS UI Gothic"/>
        </w:rPr>
        <w:t xml:space="preserve">、 </w:t>
      </w:r>
      <w:r>
        <w:t>砷</w:t>
      </w:r>
      <w:r>
        <w:rPr>
          <w:rFonts w:hint="eastAsia" w:ascii="MS UI Gothic" w:eastAsia="MS UI Gothic"/>
        </w:rPr>
        <w:t xml:space="preserve">、 </w:t>
      </w:r>
      <w:r>
        <w:t>汞等重金属蒸气</w:t>
      </w:r>
      <w:r>
        <w:rPr>
          <w:rFonts w:hint="eastAsia" w:ascii="MS UI Gothic" w:eastAsia="MS UI Gothic"/>
        </w:rPr>
        <w:t xml:space="preserve">、 </w:t>
      </w:r>
      <w:r>
        <w:t>粉尘的作业场所</w:t>
      </w:r>
      <w:r>
        <w:rPr>
          <w:rFonts w:hint="eastAsia" w:ascii="MS UI Gothic" w:eastAsia="MS UI Gothic"/>
          <w:w w:val="80"/>
        </w:rPr>
        <w:t xml:space="preserve">ꎬ </w:t>
      </w:r>
      <w:r>
        <w:t>应当采取预防重金属中毒的措施</w:t>
      </w:r>
      <w:r>
        <w:rPr>
          <w:rFonts w:hint="eastAsia" w:ascii="MS UI Gothic" w:eastAsia="MS UI Gothic"/>
          <w:w w:val="80"/>
        </w:rPr>
        <w:t>ꎮ</w:t>
      </w:r>
    </w:p>
    <w:p>
      <w:pPr>
        <w:pStyle w:val="6"/>
        <w:spacing w:line="295" w:lineRule="auto"/>
        <w:ind w:left="440"/>
        <w:rPr>
          <w:rFonts w:hint="eastAsia" w:ascii="MS UI Gothic" w:eastAsia="MS UI Gothic"/>
        </w:rPr>
      </w:pPr>
      <w:r>
        <w:rPr>
          <w:spacing w:val="18"/>
          <w:w w:val="105"/>
        </w:rPr>
        <w:t>第三十八条 企业应当建立有限空</w:t>
      </w:r>
      <w:r>
        <w:rPr>
          <w:spacing w:val="3"/>
          <w:w w:val="105"/>
        </w:rPr>
        <w:t>间</w:t>
      </w:r>
      <w:r>
        <w:rPr>
          <w:rFonts w:hint="eastAsia" w:ascii="MS UI Gothic" w:eastAsia="MS UI Gothic"/>
          <w:spacing w:val="16"/>
          <w:w w:val="80"/>
        </w:rPr>
        <w:t xml:space="preserve">、 </w:t>
      </w:r>
      <w:r>
        <w:rPr>
          <w:spacing w:val="3"/>
          <w:w w:val="105"/>
        </w:rPr>
        <w:t>动火</w:t>
      </w:r>
      <w:r>
        <w:rPr>
          <w:rFonts w:hint="eastAsia" w:ascii="MS UI Gothic" w:eastAsia="MS UI Gothic"/>
          <w:spacing w:val="17"/>
          <w:w w:val="80"/>
        </w:rPr>
        <w:t xml:space="preserve">、 </w:t>
      </w:r>
      <w:r>
        <w:rPr>
          <w:spacing w:val="3"/>
          <w:w w:val="105"/>
        </w:rPr>
        <w:t>高处作业</w:t>
      </w:r>
      <w:r>
        <w:rPr>
          <w:rFonts w:hint="eastAsia" w:ascii="MS UI Gothic" w:eastAsia="MS UI Gothic"/>
          <w:spacing w:val="17"/>
          <w:w w:val="80"/>
        </w:rPr>
        <w:t xml:space="preserve">、 </w:t>
      </w:r>
      <w:r>
        <w:rPr>
          <w:spacing w:val="2"/>
          <w:w w:val="105"/>
        </w:rPr>
        <w:t>能源介质停送等较</w:t>
      </w:r>
      <w:r>
        <w:rPr>
          <w:spacing w:val="5"/>
        </w:rPr>
        <w:t>大危险作业和检修</w:t>
      </w:r>
      <w:r>
        <w:rPr>
          <w:rFonts w:hint="eastAsia" w:ascii="MS UI Gothic" w:eastAsia="MS UI Gothic"/>
          <w:spacing w:val="22"/>
          <w:w w:val="80"/>
        </w:rPr>
        <w:t xml:space="preserve">、 </w:t>
      </w:r>
      <w:r>
        <w:rPr>
          <w:spacing w:val="11"/>
        </w:rPr>
        <w:t>维修作业审批制度</w:t>
      </w:r>
      <w:r>
        <w:rPr>
          <w:rFonts w:hint="eastAsia" w:ascii="MS UI Gothic" w:eastAsia="MS UI Gothic"/>
          <w:w w:val="80"/>
        </w:rPr>
        <w:t>ꎬ</w:t>
      </w:r>
      <w:r>
        <w:rPr>
          <w:spacing w:val="7"/>
          <w:w w:val="105"/>
        </w:rPr>
        <w:t xml:space="preserve">实施工作票 </w:t>
      </w:r>
      <w:r>
        <w:rPr>
          <w:rFonts w:hint="eastAsia" w:ascii="MS UI Gothic" w:eastAsia="MS UI Gothic"/>
          <w:spacing w:val="-33"/>
          <w:w w:val="150"/>
        </w:rPr>
        <w:t xml:space="preserve">( </w:t>
      </w:r>
      <w:r>
        <w:rPr>
          <w:spacing w:val="23"/>
          <w:w w:val="105"/>
        </w:rPr>
        <w:t>作业票</w:t>
      </w:r>
      <w:r>
        <w:rPr>
          <w:rFonts w:hint="eastAsia" w:ascii="MS UI Gothic" w:eastAsia="MS UI Gothic"/>
          <w:spacing w:val="4"/>
          <w:w w:val="150"/>
        </w:rPr>
        <w:t xml:space="preserve">) </w:t>
      </w:r>
      <w:r>
        <w:rPr>
          <w:spacing w:val="23"/>
          <w:w w:val="105"/>
        </w:rPr>
        <w:t>和操作票管理</w:t>
      </w:r>
      <w:r>
        <w:rPr>
          <w:rFonts w:hint="eastAsia" w:ascii="MS UI Gothic" w:eastAsia="MS UI Gothic"/>
          <w:spacing w:val="-14"/>
          <w:w w:val="80"/>
        </w:rPr>
        <w:t>ꎬ</w:t>
      </w:r>
      <w:r>
        <w:rPr>
          <w:spacing w:val="3"/>
        </w:rPr>
        <w:t>严格履行内部审批手续</w:t>
      </w:r>
      <w:r>
        <w:rPr>
          <w:rFonts w:hint="eastAsia" w:ascii="MS UI Gothic" w:eastAsia="MS UI Gothic"/>
          <w:spacing w:val="21"/>
          <w:w w:val="80"/>
        </w:rPr>
        <w:t xml:space="preserve">ꎬ </w:t>
      </w:r>
      <w:r>
        <w:rPr>
          <w:spacing w:val="2"/>
        </w:rPr>
        <w:t>并安排专门人员</w:t>
      </w:r>
      <w:r>
        <w:rPr>
          <w:spacing w:val="3"/>
          <w:w w:val="105"/>
        </w:rPr>
        <w:t>进行现场安全管理</w:t>
      </w:r>
      <w:r>
        <w:rPr>
          <w:rFonts w:hint="eastAsia" w:ascii="MS UI Gothic" w:eastAsia="MS UI Gothic"/>
          <w:spacing w:val="14"/>
          <w:w w:val="80"/>
        </w:rPr>
        <w:t xml:space="preserve">ꎬ </w:t>
      </w:r>
      <w:r>
        <w:rPr>
          <w:spacing w:val="3"/>
          <w:w w:val="105"/>
        </w:rPr>
        <w:t>确保作业安全</w:t>
      </w:r>
      <w:r>
        <w:rPr>
          <w:rFonts w:hint="eastAsia" w:ascii="MS UI Gothic" w:eastAsia="MS UI Gothic"/>
          <w:w w:val="80"/>
        </w:rPr>
        <w:t>ꎮ</w:t>
      </w:r>
    </w:p>
    <w:p>
      <w:pPr>
        <w:pStyle w:val="6"/>
        <w:spacing w:line="295" w:lineRule="auto"/>
        <w:ind w:left="440" w:right="1"/>
        <w:rPr>
          <w:rFonts w:hint="eastAsia" w:ascii="MS UI Gothic" w:eastAsia="MS UI Gothic"/>
        </w:rPr>
      </w:pPr>
      <w:r>
        <w:t>第三十九条  企业在生产装置复产前</w:t>
      </w:r>
      <w:r>
        <w:rPr>
          <w:rFonts w:hint="eastAsia" w:ascii="MS UI Gothic" w:eastAsia="MS UI Gothic"/>
          <w:w w:val="80"/>
        </w:rPr>
        <w:t xml:space="preserve">ꎬ </w:t>
      </w:r>
      <w:r>
        <w:t>应当组织安全检查</w:t>
      </w:r>
      <w:r>
        <w:rPr>
          <w:rFonts w:hint="eastAsia" w:ascii="MS UI Gothic" w:eastAsia="MS UI Gothic"/>
          <w:w w:val="80"/>
        </w:rPr>
        <w:t xml:space="preserve">ꎬ </w:t>
      </w:r>
      <w:r>
        <w:t>进行安全条件确认</w:t>
      </w:r>
      <w:r>
        <w:rPr>
          <w:rFonts w:hint="eastAsia" w:ascii="MS UI Gothic" w:eastAsia="MS UI Gothic"/>
          <w:w w:val="80"/>
        </w:rPr>
        <w:t>ꎮ</w:t>
      </w:r>
    </w:p>
    <w:p>
      <w:pPr>
        <w:pStyle w:val="6"/>
        <w:tabs>
          <w:tab w:val="left" w:pos="2222"/>
        </w:tabs>
        <w:spacing w:before="140"/>
        <w:ind w:left="1384" w:firstLine="0"/>
        <w:jc w:val="left"/>
      </w:pPr>
      <w:r>
        <w:rPr>
          <w:spacing w:val="3"/>
          <w:w w:val="105"/>
        </w:rPr>
        <w:t>第三</w:t>
      </w:r>
      <w:r>
        <w:rPr>
          <w:w w:val="105"/>
        </w:rPr>
        <w:t>章</w:t>
      </w:r>
      <w:r>
        <w:rPr>
          <w:w w:val="105"/>
        </w:rPr>
        <w:tab/>
      </w:r>
      <w:r>
        <w:rPr>
          <w:w w:val="105"/>
        </w:rPr>
        <w:t>监</w:t>
      </w:r>
      <w:r>
        <w:rPr>
          <w:spacing w:val="-34"/>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left="440" w:right="1"/>
        <w:rPr>
          <w:rFonts w:hint="eastAsia" w:ascii="MS UI Gothic" w:eastAsia="MS UI Gothic"/>
        </w:rPr>
      </w:pPr>
      <w:r>
        <w:t>第四十条 负有冶金有色安全生产监管职责的部门应当依法加强对企业安全生产工作的监督检查</w:t>
      </w:r>
      <w:r>
        <w:rPr>
          <w:rFonts w:hint="eastAsia" w:ascii="MS UI Gothic" w:eastAsia="MS UI Gothic"/>
          <w:w w:val="80"/>
        </w:rPr>
        <w:t xml:space="preserve">ꎬ </w:t>
      </w:r>
      <w:r>
        <w:t>明确每个企业的安全生产监督管理主体</w:t>
      </w:r>
      <w:r>
        <w:rPr>
          <w:rFonts w:hint="eastAsia" w:ascii="MS UI Gothic" w:eastAsia="MS UI Gothic"/>
          <w:w w:val="80"/>
        </w:rPr>
        <w:t xml:space="preserve">ꎬ </w:t>
      </w:r>
      <w:r>
        <w:t>发现存在事故隐患的</w:t>
      </w:r>
      <w:r>
        <w:rPr>
          <w:rFonts w:hint="eastAsia" w:ascii="MS UI Gothic" w:eastAsia="MS UI Gothic"/>
          <w:w w:val="80"/>
        </w:rPr>
        <w:t xml:space="preserve">ꎬ </w:t>
      </w:r>
      <w:r>
        <w:t>应当及时处理</w:t>
      </w:r>
      <w:r>
        <w:rPr>
          <w:rFonts w:hint="eastAsia" w:ascii="MS UI Gothic" w:eastAsia="MS UI Gothic"/>
          <w:w w:val="80"/>
        </w:rPr>
        <w:t xml:space="preserve">ꎻ </w:t>
      </w:r>
      <w:r>
        <w:t>发现重大事故隐患的</w:t>
      </w:r>
      <w:r>
        <w:rPr>
          <w:rFonts w:hint="eastAsia" w:ascii="MS UI Gothic" w:eastAsia="MS UI Gothic"/>
          <w:w w:val="80"/>
        </w:rPr>
        <w:t xml:space="preserve">ꎬ </w:t>
      </w:r>
      <w:r>
        <w:t>实施挂牌督办</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第四十一条 负有冶金有色安全生产</w:t>
      </w:r>
      <w:r>
        <w:t>监管职责的部门应当将企业安全生产标准</w:t>
      </w:r>
      <w:r>
        <w:rPr>
          <w:w w:val="105"/>
        </w:rPr>
        <w:t>化建设</w:t>
      </w:r>
      <w:r>
        <w:rPr>
          <w:rFonts w:hint="eastAsia" w:ascii="MS UI Gothic" w:eastAsia="MS UI Gothic"/>
          <w:w w:val="80"/>
        </w:rPr>
        <w:t xml:space="preserve">、 </w:t>
      </w:r>
      <w:r>
        <w:rPr>
          <w:w w:val="105"/>
        </w:rPr>
        <w:t>安全生产风险管控和隐患排查治</w:t>
      </w:r>
      <w:r>
        <w:t>理双重预防机制的建立情况纳入安全生产年度监督检查计划</w:t>
      </w:r>
      <w:r>
        <w:rPr>
          <w:rFonts w:hint="eastAsia" w:ascii="MS UI Gothic" w:eastAsia="MS UI Gothic"/>
          <w:w w:val="80"/>
        </w:rPr>
        <w:t xml:space="preserve">ꎬ </w:t>
      </w:r>
      <w:r>
        <w:t>并按照计划检查督促</w:t>
      </w:r>
      <w:r>
        <w:rPr>
          <w:w w:val="105"/>
        </w:rPr>
        <w:t>企业开展工作</w:t>
      </w:r>
      <w:r>
        <w:rPr>
          <w:rFonts w:hint="eastAsia" w:ascii="MS UI Gothic" w:eastAsia="MS UI Gothic"/>
          <w:w w:val="80"/>
        </w:rPr>
        <w:t>ꎮ</w:t>
      </w:r>
    </w:p>
    <w:p>
      <w:pPr>
        <w:pStyle w:val="6"/>
        <w:tabs>
          <w:tab w:val="left" w:pos="2117"/>
        </w:tabs>
        <w:spacing w:line="251" w:lineRule="exact"/>
        <w:ind w:left="860" w:firstLine="0"/>
        <w:jc w:val="left"/>
      </w:pPr>
      <w:r>
        <w:rPr>
          <w:spacing w:val="3"/>
          <w:w w:val="105"/>
        </w:rPr>
        <w:t>第四十二</w:t>
      </w:r>
      <w:r>
        <w:rPr>
          <w:w w:val="105"/>
        </w:rPr>
        <w:t>条</w:t>
      </w:r>
      <w:r>
        <w:rPr>
          <w:w w:val="105"/>
        </w:rPr>
        <w:tab/>
      </w:r>
      <w:r>
        <w:rPr>
          <w:spacing w:val="3"/>
        </w:rPr>
        <w:t>负有冶金有色安全生</w:t>
      </w:r>
      <w:r>
        <w:t>产</w:t>
      </w:r>
    </w:p>
    <w:p>
      <w:pPr>
        <w:pStyle w:val="6"/>
        <w:spacing w:before="124" w:line="295" w:lineRule="auto"/>
        <w:ind w:left="381" w:right="126" w:firstLine="0"/>
        <w:rPr>
          <w:rFonts w:hint="eastAsia" w:ascii="MS UI Gothic" w:eastAsia="MS UI Gothic"/>
        </w:rPr>
      </w:pPr>
      <w:r>
        <w:br w:type="column"/>
      </w:r>
      <w:r>
        <w:t>监管职责的部门应当加强对监督检查人员的冶金和有色金属安全生产专业知识的培</w:t>
      </w:r>
      <w:r>
        <w:rPr>
          <w:w w:val="105"/>
        </w:rPr>
        <w:t>训</w:t>
      </w:r>
      <w:r>
        <w:rPr>
          <w:rFonts w:hint="eastAsia" w:ascii="MS UI Gothic" w:eastAsia="MS UI Gothic"/>
          <w:w w:val="80"/>
        </w:rPr>
        <w:t xml:space="preserve">ꎬ </w:t>
      </w:r>
      <w:r>
        <w:rPr>
          <w:w w:val="105"/>
        </w:rPr>
        <w:t>提高其行政执法能力</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第四十三条 负有冶金有色安全生产</w:t>
      </w:r>
      <w:r>
        <w:t>监管职责的部门应当为进入有限空间等特定作业场所进行监督检查的人员</w:t>
      </w:r>
      <w:r>
        <w:rPr>
          <w:rFonts w:hint="eastAsia" w:ascii="MS UI Gothic" w:eastAsia="MS UI Gothic"/>
          <w:w w:val="80"/>
        </w:rPr>
        <w:t xml:space="preserve">ꎬ </w:t>
      </w:r>
      <w:r>
        <w:t>配备必</w:t>
      </w:r>
      <w:r>
        <w:rPr>
          <w:w w:val="105"/>
        </w:rPr>
        <w:t>需的个体防护用品和监测检查仪器</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第四十四条 负有冶金有色安全生产</w:t>
      </w:r>
      <w:r>
        <w:t>监管职责的部门应当加强对本行政区域内企业应急预案的备案管理</w:t>
      </w:r>
      <w:r>
        <w:rPr>
          <w:rFonts w:hint="eastAsia" w:ascii="MS UI Gothic" w:eastAsia="MS UI Gothic"/>
          <w:w w:val="80"/>
        </w:rPr>
        <w:t xml:space="preserve">ꎬ </w:t>
      </w:r>
      <w:r>
        <w:t>并将重大事故应急救援纳入地方人民政府应急救援</w:t>
      </w:r>
      <w:r>
        <w:rPr>
          <w:w w:val="105"/>
        </w:rPr>
        <w:t>体系</w:t>
      </w:r>
      <w:r>
        <w:rPr>
          <w:rFonts w:hint="eastAsia" w:ascii="MS UI Gothic" w:eastAsia="MS UI Gothic"/>
          <w:w w:val="80"/>
        </w:rPr>
        <w:t>ꎮ</w:t>
      </w:r>
    </w:p>
    <w:p>
      <w:pPr>
        <w:pStyle w:val="6"/>
        <w:tabs>
          <w:tab w:val="left" w:pos="2162"/>
        </w:tabs>
        <w:spacing w:before="148"/>
        <w:ind w:left="1324" w:firstLine="0"/>
        <w:jc w:val="left"/>
      </w:pPr>
      <w:r>
        <w:rPr>
          <w:spacing w:val="3"/>
          <w:w w:val="105"/>
        </w:rPr>
        <w:t>第四</w:t>
      </w:r>
      <w:r>
        <w:rPr>
          <w:w w:val="105"/>
        </w:rPr>
        <w:t>章</w:t>
      </w:r>
      <w:r>
        <w:rPr>
          <w:w w:val="105"/>
        </w:rPr>
        <w:tab/>
      </w:r>
      <w:r>
        <w:rPr>
          <w:w w:val="105"/>
        </w:rPr>
        <w:t>法</w:t>
      </w:r>
      <w:r>
        <w:rPr>
          <w:spacing w:val="-38"/>
          <w:w w:val="105"/>
        </w:rPr>
        <w:t xml:space="preserve"> </w:t>
      </w:r>
      <w:r>
        <w:rPr>
          <w:w w:val="105"/>
        </w:rPr>
        <w:t>律</w:t>
      </w:r>
      <w:r>
        <w:rPr>
          <w:spacing w:val="-38"/>
          <w:w w:val="105"/>
        </w:rPr>
        <w:t xml:space="preserve"> </w:t>
      </w:r>
      <w:r>
        <w:rPr>
          <w:w w:val="105"/>
        </w:rPr>
        <w:t>责</w:t>
      </w:r>
      <w:r>
        <w:rPr>
          <w:spacing w:val="-38"/>
          <w:w w:val="105"/>
        </w:rPr>
        <w:t xml:space="preserve"> </w:t>
      </w:r>
      <w:r>
        <w:rPr>
          <w:w w:val="105"/>
        </w:rPr>
        <w:t>任</w:t>
      </w:r>
    </w:p>
    <w:p>
      <w:pPr>
        <w:pStyle w:val="6"/>
        <w:spacing w:before="215" w:line="295" w:lineRule="auto"/>
        <w:ind w:left="381" w:right="124"/>
        <w:rPr>
          <w:rFonts w:hint="eastAsia" w:ascii="MS UI Gothic" w:eastAsia="MS UI Gothic"/>
        </w:rPr>
      </w:pPr>
      <w:r>
        <w:rPr>
          <w:spacing w:val="4"/>
        </w:rPr>
        <w:t>第四十五条 监督检查人员在对企业进行监督检查时</w:t>
      </w:r>
      <w:r>
        <w:rPr>
          <w:rFonts w:hint="eastAsia" w:ascii="MS UI Gothic" w:eastAsia="MS UI Gothic"/>
          <w:spacing w:val="13"/>
          <w:w w:val="80"/>
        </w:rPr>
        <w:t xml:space="preserve">ꎬ </w:t>
      </w:r>
      <w:r>
        <w:rPr>
          <w:spacing w:val="12"/>
        </w:rPr>
        <w:t>滥用职权</w:t>
      </w:r>
      <w:r>
        <w:rPr>
          <w:rFonts w:hint="eastAsia" w:ascii="MS UI Gothic" w:eastAsia="MS UI Gothic"/>
          <w:spacing w:val="13"/>
          <w:w w:val="80"/>
        </w:rPr>
        <w:t xml:space="preserve">、 </w:t>
      </w:r>
      <w:r>
        <w:rPr>
          <w:spacing w:val="12"/>
        </w:rPr>
        <w:t>玩忽职守</w:t>
      </w:r>
      <w:r>
        <w:rPr>
          <w:rFonts w:hint="eastAsia" w:ascii="MS UI Gothic" w:eastAsia="MS UI Gothic"/>
          <w:w w:val="80"/>
        </w:rPr>
        <w:t>、</w:t>
      </w:r>
      <w:r>
        <w:rPr>
          <w:spacing w:val="3"/>
        </w:rPr>
        <w:t>徇私舞弊的</w:t>
      </w:r>
      <w:r>
        <w:rPr>
          <w:rFonts w:hint="eastAsia" w:ascii="MS UI Gothic" w:eastAsia="MS UI Gothic"/>
          <w:spacing w:val="23"/>
          <w:w w:val="80"/>
        </w:rPr>
        <w:t xml:space="preserve">ꎬ </w:t>
      </w:r>
      <w:r>
        <w:rPr>
          <w:spacing w:val="3"/>
        </w:rPr>
        <w:t>依照有关规定给予处分</w:t>
      </w:r>
      <w:r>
        <w:rPr>
          <w:rFonts w:hint="eastAsia" w:ascii="MS UI Gothic" w:eastAsia="MS UI Gothic"/>
          <w:spacing w:val="23"/>
          <w:w w:val="80"/>
        </w:rPr>
        <w:t xml:space="preserve">ꎻ </w:t>
      </w:r>
      <w:r>
        <w:t>构</w:t>
      </w:r>
      <w:r>
        <w:rPr>
          <w:spacing w:val="3"/>
        </w:rPr>
        <w:t>成犯罪的</w:t>
      </w:r>
      <w:r>
        <w:rPr>
          <w:rFonts w:hint="eastAsia" w:ascii="MS UI Gothic" w:eastAsia="MS UI Gothic"/>
          <w:spacing w:val="1"/>
          <w:w w:val="80"/>
        </w:rPr>
        <w:t xml:space="preserve">ꎬ </w:t>
      </w:r>
      <w:r>
        <w:rPr>
          <w:spacing w:val="3"/>
        </w:rP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第四十六条 企业违反本规定第二十四条至第三十七条的规定</w:t>
      </w:r>
      <w:r>
        <w:rPr>
          <w:rFonts w:hint="eastAsia" w:ascii="MS UI Gothic" w:eastAsia="MS UI Gothic"/>
          <w:w w:val="80"/>
        </w:rPr>
        <w:t xml:space="preserve">ꎬ </w:t>
      </w:r>
      <w:r>
        <w:t>构成生产安全事故隐患的</w:t>
      </w:r>
      <w:r>
        <w:rPr>
          <w:rFonts w:hint="eastAsia" w:ascii="MS UI Gothic" w:eastAsia="MS UI Gothic"/>
          <w:w w:val="80"/>
        </w:rPr>
        <w:t xml:space="preserve">ꎬ </w:t>
      </w:r>
      <w:r>
        <w:t>责令立即消除或者限期消除事故隐患</w:t>
      </w:r>
      <w:r>
        <w:rPr>
          <w:rFonts w:hint="eastAsia" w:ascii="MS UI Gothic" w:eastAsia="MS UI Gothic"/>
          <w:w w:val="80"/>
        </w:rPr>
        <w:t xml:space="preserve">ꎻ </w:t>
      </w:r>
      <w:r>
        <w:t>企业拒不执行的</w:t>
      </w:r>
      <w:r>
        <w:rPr>
          <w:rFonts w:hint="eastAsia" w:ascii="MS UI Gothic" w:eastAsia="MS UI Gothic"/>
          <w:w w:val="80"/>
        </w:rPr>
        <w:t xml:space="preserve">ꎬ </w:t>
      </w:r>
      <w:r>
        <w:t>责令停产停业整顿</w:t>
      </w:r>
      <w:r>
        <w:rPr>
          <w:rFonts w:hint="eastAsia" w:ascii="MS UI Gothic" w:eastAsia="MS UI Gothic"/>
          <w:w w:val="80"/>
        </w:rPr>
        <w:t xml:space="preserve">ꎬ </w:t>
      </w:r>
      <w:r>
        <w:t>并处十万元以上五十万元以下的罚款</w:t>
      </w:r>
      <w:r>
        <w:rPr>
          <w:rFonts w:hint="eastAsia" w:ascii="MS UI Gothic" w:eastAsia="MS UI Gothic"/>
          <w:w w:val="80"/>
        </w:rPr>
        <w:t xml:space="preserve">ꎬ </w:t>
      </w:r>
      <w:r>
        <w:t>对其直接负责的主管人员和其他直接责任人员处二万元以上五万元以下的罚款</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t>第四十七条 企业违反本规定的其他违法行为</w:t>
      </w:r>
      <w:r>
        <w:rPr>
          <w:rFonts w:hint="eastAsia" w:ascii="MS UI Gothic" w:hAnsi="MS UI Gothic" w:eastAsia="MS UI Gothic"/>
          <w:w w:val="80"/>
        </w:rPr>
        <w:t xml:space="preserve">ꎬ </w:t>
      </w:r>
      <w:r>
        <w:t xml:space="preserve">分别依照 </w:t>
      </w:r>
      <w:r>
        <w:rPr>
          <w:rFonts w:hint="eastAsia" w:ascii="MS UI Gothic" w:hAnsi="MS UI Gothic" w:eastAsia="MS UI Gothic"/>
          <w:w w:val="80"/>
        </w:rPr>
        <w:t xml:space="preserve">« </w:t>
      </w:r>
      <w:r>
        <w:t>中华人民共和国安全生产法</w:t>
      </w:r>
      <w:r>
        <w:rPr>
          <w:rFonts w:hint="eastAsia" w:ascii="MS UI Gothic" w:hAnsi="MS UI Gothic" w:eastAsia="MS UI Gothic"/>
          <w:w w:val="80"/>
        </w:rPr>
        <w:t xml:space="preserve">» « </w:t>
      </w:r>
      <w:r>
        <w:t>中华人民共和国职业病防治法</w:t>
      </w:r>
      <w:r>
        <w:rPr>
          <w:rFonts w:hint="eastAsia" w:ascii="MS UI Gothic" w:hAnsi="MS UI Gothic" w:eastAsia="MS UI Gothic"/>
          <w:w w:val="80"/>
        </w:rPr>
        <w:t xml:space="preserve">» </w:t>
      </w:r>
      <w:r>
        <w:t>等的规定追究法律责任</w:t>
      </w:r>
      <w:r>
        <w:rPr>
          <w:rFonts w:hint="eastAsia" w:ascii="MS UI Gothic" w:hAnsi="MS UI Gothic" w:eastAsia="MS UI Gothic"/>
          <w:w w:val="80"/>
        </w:rPr>
        <w:t>ꎮ</w:t>
      </w:r>
    </w:p>
    <w:p>
      <w:pPr>
        <w:pStyle w:val="6"/>
        <w:tabs>
          <w:tab w:val="left" w:pos="2267"/>
          <w:tab w:val="left" w:pos="2896"/>
        </w:tabs>
        <w:spacing w:before="144"/>
        <w:ind w:left="1429" w:firstLine="0"/>
        <w:jc w:val="left"/>
      </w:pPr>
      <w:r>
        <w:rPr>
          <w:spacing w:val="3"/>
          <w:w w:val="105"/>
        </w:rPr>
        <w:t>第五</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tabs>
          <w:tab w:val="left" w:pos="2088"/>
        </w:tabs>
        <w:spacing w:line="295" w:lineRule="auto"/>
        <w:ind w:left="375" w:right="126" w:firstLine="425"/>
        <w:jc w:val="right"/>
      </w:pPr>
      <w:r>
        <w:pict>
          <v:shape id="_x0000_s1564" o:spid="_x0000_s1564" o:spt="202" type="#_x0000_t202" style="position:absolute;left:0pt;margin-left:280.35pt;margin-top:12pt;height:24.35pt;width:5.15pt;mso-position-horizontal-relative:page;z-index:-275889152;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spacing w:val="3"/>
          <w:w w:val="95"/>
        </w:rPr>
        <w:t>第四十</w:t>
      </w:r>
      <w:r>
        <w:rPr>
          <w:spacing w:val="11"/>
          <w:w w:val="95"/>
        </w:rPr>
        <w:t>八</w:t>
      </w:r>
      <w:r>
        <w:rPr>
          <w:w w:val="95"/>
        </w:rPr>
        <w:t>条</w:t>
      </w:r>
      <w:r>
        <w:rPr>
          <w:w w:val="95"/>
        </w:rPr>
        <w:tab/>
      </w:r>
      <w:r>
        <w:rPr>
          <w:spacing w:val="13"/>
          <w:w w:val="95"/>
        </w:rPr>
        <w:t>本规定</w:t>
      </w:r>
      <w:r>
        <w:rPr>
          <w:w w:val="95"/>
        </w:rPr>
        <w:t>自</w:t>
      </w:r>
      <w:r>
        <w:rPr>
          <w:spacing w:val="-41"/>
          <w:w w:val="95"/>
        </w:rPr>
        <w:t xml:space="preserve"> </w:t>
      </w:r>
      <w:r>
        <w:rPr>
          <w:rFonts w:hint="eastAsia" w:ascii="MS UI Gothic" w:hAnsi="MS UI Gothic" w:eastAsia="MS UI Gothic"/>
          <w:w w:val="95"/>
        </w:rPr>
        <w:t>２０１８</w:t>
      </w:r>
      <w:r>
        <w:rPr>
          <w:rFonts w:hint="eastAsia" w:ascii="MS UI Gothic" w:hAnsi="MS UI Gothic" w:eastAsia="MS UI Gothic"/>
          <w:spacing w:val="2"/>
          <w:w w:val="95"/>
        </w:rPr>
        <w:t xml:space="preserve"> </w:t>
      </w:r>
      <w:r>
        <w:rPr>
          <w:w w:val="95"/>
        </w:rPr>
        <w:t>年</w:t>
      </w:r>
      <w:r>
        <w:rPr>
          <w:spacing w:val="-40"/>
          <w:w w:val="95"/>
        </w:rPr>
        <w:t xml:space="preserve"> </w:t>
      </w:r>
      <w:r>
        <w:rPr>
          <w:rFonts w:hint="eastAsia" w:ascii="MS UI Gothic" w:hAnsi="MS UI Gothic" w:eastAsia="MS UI Gothic"/>
          <w:w w:val="95"/>
        </w:rPr>
        <w:t>３</w:t>
      </w:r>
      <w:r>
        <w:rPr>
          <w:rFonts w:hint="eastAsia" w:ascii="MS UI Gothic" w:hAnsi="MS UI Gothic" w:eastAsia="MS UI Gothic"/>
          <w:spacing w:val="2"/>
          <w:w w:val="95"/>
        </w:rPr>
        <w:t xml:space="preserve"> </w:t>
      </w:r>
      <w:r>
        <w:rPr>
          <w:spacing w:val="-13"/>
          <w:w w:val="95"/>
        </w:rPr>
        <w:t>月</w:t>
      </w:r>
      <w:r>
        <w:rPr>
          <w:spacing w:val="3"/>
          <w:w w:val="95"/>
        </w:rPr>
        <w:t>日起施行</w:t>
      </w:r>
      <w:r>
        <w:rPr>
          <w:rFonts w:hint="eastAsia" w:ascii="MS UI Gothic" w:hAnsi="MS UI Gothic" w:eastAsia="MS UI Gothic"/>
          <w:w w:val="85"/>
        </w:rPr>
        <w:t>ꎮ</w:t>
      </w:r>
      <w:r>
        <w:rPr>
          <w:rFonts w:hint="eastAsia" w:ascii="MS UI Gothic" w:hAnsi="MS UI Gothic" w:eastAsia="MS UI Gothic"/>
          <w:spacing w:val="31"/>
          <w:w w:val="85"/>
        </w:rPr>
        <w:t xml:space="preserve"> </w:t>
      </w:r>
      <w:r>
        <w:rPr>
          <w:spacing w:val="3"/>
          <w:w w:val="95"/>
        </w:rPr>
        <w:t>国</w:t>
      </w:r>
      <w:r>
        <w:rPr>
          <w:spacing w:val="5"/>
          <w:w w:val="95"/>
        </w:rPr>
        <w:t>家</w:t>
      </w:r>
      <w:r>
        <w:rPr>
          <w:spacing w:val="9"/>
          <w:w w:val="95"/>
        </w:rPr>
        <w:t>安全生产监督管理总</w:t>
      </w:r>
      <w:r>
        <w:rPr>
          <w:w w:val="95"/>
        </w:rPr>
        <w:t>局</w:t>
      </w:r>
      <w:r>
        <w:rPr>
          <w:w w:val="102"/>
        </w:rPr>
        <w:t xml:space="preserve"> </w:t>
      </w:r>
      <w:r>
        <w:rPr>
          <w:rFonts w:hint="eastAsia" w:ascii="MS UI Gothic" w:hAnsi="MS UI Gothic" w:eastAsia="MS UI Gothic"/>
          <w:w w:val="95"/>
        </w:rPr>
        <w:t>２００９</w:t>
      </w:r>
      <w:r>
        <w:rPr>
          <w:rFonts w:hint="eastAsia" w:ascii="MS UI Gothic" w:hAnsi="MS UI Gothic" w:eastAsia="MS UI Gothic"/>
          <w:spacing w:val="2"/>
          <w:w w:val="95"/>
        </w:rPr>
        <w:t xml:space="preserve"> </w:t>
      </w:r>
      <w:r>
        <w:rPr>
          <w:w w:val="95"/>
        </w:rPr>
        <w:t>年</w:t>
      </w:r>
      <w:r>
        <w:rPr>
          <w:spacing w:val="-31"/>
          <w:w w:val="95"/>
        </w:rPr>
        <w:t xml:space="preserve"> </w:t>
      </w:r>
      <w:r>
        <w:rPr>
          <w:rFonts w:hint="eastAsia" w:ascii="MS UI Gothic" w:hAnsi="MS UI Gothic" w:eastAsia="MS UI Gothic"/>
          <w:w w:val="95"/>
        </w:rPr>
        <w:t>９</w:t>
      </w:r>
      <w:r>
        <w:rPr>
          <w:rFonts w:hint="eastAsia" w:ascii="MS UI Gothic" w:hAnsi="MS UI Gothic" w:eastAsia="MS UI Gothic"/>
          <w:spacing w:val="13"/>
          <w:w w:val="95"/>
        </w:rPr>
        <w:t xml:space="preserve"> </w:t>
      </w:r>
      <w:r>
        <w:rPr>
          <w:w w:val="95"/>
        </w:rPr>
        <w:t>月</w:t>
      </w:r>
      <w:r>
        <w:rPr>
          <w:spacing w:val="-31"/>
          <w:w w:val="95"/>
        </w:rPr>
        <w:t xml:space="preserve"> </w:t>
      </w:r>
      <w:r>
        <w:rPr>
          <w:rFonts w:hint="eastAsia" w:ascii="MS UI Gothic" w:hAnsi="MS UI Gothic" w:eastAsia="MS UI Gothic"/>
          <w:w w:val="95"/>
        </w:rPr>
        <w:t>８</w:t>
      </w:r>
      <w:r>
        <w:rPr>
          <w:rFonts w:hint="eastAsia" w:ascii="MS UI Gothic" w:hAnsi="MS UI Gothic" w:eastAsia="MS UI Gothic"/>
          <w:spacing w:val="14"/>
          <w:w w:val="95"/>
        </w:rPr>
        <w:t xml:space="preserve"> </w:t>
      </w:r>
      <w:r>
        <w:rPr>
          <w:spacing w:val="13"/>
          <w:w w:val="95"/>
        </w:rPr>
        <w:t>日公布</w:t>
      </w:r>
      <w:r>
        <w:rPr>
          <w:w w:val="95"/>
        </w:rPr>
        <w:t>的</w:t>
      </w:r>
      <w:r>
        <w:rPr>
          <w:spacing w:val="19"/>
          <w:w w:val="95"/>
        </w:rPr>
        <w:t xml:space="preserve"> </w:t>
      </w:r>
      <w:r>
        <w:rPr>
          <w:rFonts w:hint="eastAsia" w:ascii="MS UI Gothic" w:hAnsi="MS UI Gothic" w:eastAsia="MS UI Gothic"/>
          <w:w w:val="95"/>
        </w:rPr>
        <w:t>«</w:t>
      </w:r>
      <w:r>
        <w:rPr>
          <w:rFonts w:hint="eastAsia" w:ascii="MS UI Gothic" w:hAnsi="MS UI Gothic" w:eastAsia="MS UI Gothic"/>
          <w:spacing w:val="-31"/>
          <w:w w:val="95"/>
        </w:rPr>
        <w:t xml:space="preserve"> </w:t>
      </w:r>
      <w:r>
        <w:rPr>
          <w:spacing w:val="13"/>
          <w:w w:val="95"/>
        </w:rPr>
        <w:t>冶金企</w:t>
      </w:r>
      <w:r>
        <w:rPr>
          <w:spacing w:val="15"/>
          <w:w w:val="95"/>
        </w:rPr>
        <w:t>业安</w:t>
      </w:r>
      <w:r>
        <w:rPr>
          <w:w w:val="95"/>
        </w:rPr>
        <w:t>全</w:t>
      </w:r>
      <w:r>
        <w:rPr>
          <w:spacing w:val="3"/>
          <w:w w:val="95"/>
        </w:rPr>
        <w:t>生产监督管</w:t>
      </w:r>
      <w:r>
        <w:rPr>
          <w:spacing w:val="5"/>
          <w:w w:val="95"/>
        </w:rPr>
        <w:t>理</w:t>
      </w:r>
      <w:r>
        <w:rPr>
          <w:spacing w:val="7"/>
          <w:w w:val="95"/>
        </w:rPr>
        <w:t>规</w:t>
      </w:r>
      <w:r>
        <w:rPr>
          <w:spacing w:val="5"/>
          <w:w w:val="95"/>
        </w:rPr>
        <w:t>定</w:t>
      </w:r>
      <w:r>
        <w:rPr>
          <w:rFonts w:hint="eastAsia" w:ascii="MS UI Gothic" w:hAnsi="MS UI Gothic" w:eastAsia="MS UI Gothic"/>
          <w:w w:val="95"/>
        </w:rPr>
        <w:t>»</w:t>
      </w:r>
      <w:r>
        <w:rPr>
          <w:rFonts w:hint="eastAsia" w:ascii="MS UI Gothic" w:hAnsi="MS UI Gothic" w:eastAsia="MS UI Gothic"/>
          <w:spacing w:val="20"/>
          <w:w w:val="95"/>
        </w:rPr>
        <w:t xml:space="preserve"> </w:t>
      </w:r>
      <w:r>
        <w:rPr>
          <w:rFonts w:hint="eastAsia" w:ascii="MS UI Gothic" w:hAnsi="MS UI Gothic" w:eastAsia="MS UI Gothic"/>
          <w:w w:val="140"/>
        </w:rPr>
        <w:t>(</w:t>
      </w:r>
      <w:r>
        <w:rPr>
          <w:rFonts w:hint="eastAsia" w:ascii="MS UI Gothic" w:hAnsi="MS UI Gothic" w:eastAsia="MS UI Gothic"/>
          <w:spacing w:val="-30"/>
          <w:w w:val="140"/>
        </w:rPr>
        <w:t xml:space="preserve"> </w:t>
      </w:r>
      <w:r>
        <w:rPr>
          <w:spacing w:val="7"/>
          <w:w w:val="95"/>
        </w:rPr>
        <w:t>国家安全生产监</w:t>
      </w:r>
      <w:r>
        <w:rPr>
          <w:w w:val="95"/>
        </w:rPr>
        <w:t>督</w:t>
      </w:r>
    </w:p>
    <w:p>
      <w:pPr>
        <w:pStyle w:val="6"/>
        <w:spacing w:line="253" w:lineRule="exact"/>
        <w:ind w:left="381" w:firstLine="0"/>
        <w:rPr>
          <w:rFonts w:hint="eastAsia" w:ascii="MS UI Gothic" w:eastAsia="MS UI Gothic"/>
        </w:rPr>
      </w:pPr>
      <w:r>
        <w:t xml:space="preserve">管理总局令第 </w:t>
      </w:r>
      <w:r>
        <w:rPr>
          <w:rFonts w:hint="eastAsia" w:ascii="MS UI Gothic" w:eastAsia="MS UI Gothic"/>
          <w:w w:val="80"/>
        </w:rPr>
        <w:t xml:space="preserve">２６ </w:t>
      </w:r>
      <w:r>
        <w:t>号</w:t>
      </w:r>
      <w:r>
        <w:rPr>
          <w:rFonts w:hint="eastAsia" w:ascii="MS UI Gothic" w:eastAsia="MS UI Gothic"/>
          <w:w w:val="145"/>
        </w:rPr>
        <w:t xml:space="preserve">) </w:t>
      </w:r>
      <w:r>
        <w:t>同时废止</w:t>
      </w:r>
      <w:r>
        <w:rPr>
          <w:rFonts w:hint="eastAsia" w:ascii="MS UI Gothic" w:eastAsia="MS UI Gothic"/>
          <w:w w:val="80"/>
        </w:rPr>
        <w:t>ꎮ</w:t>
      </w:r>
    </w:p>
    <w:p>
      <w:pPr>
        <w:spacing w:after="0" w:line="253" w:lineRule="exac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１７８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65" o:spid="_x0000_s1565" o:spt="203" style="height:2.15pt;width:398.25pt;" coordsize="7965,43">
            <o:lock v:ext="edit"/>
            <v:line id="_x0000_s1566" o:spid="_x0000_s1566" o:spt="20" style="position:absolute;left:0;top:39;height:0;width:7965;" stroked="t" coordsize="21600,21600">
              <v:path arrowok="t"/>
              <v:fill focussize="0,0"/>
              <v:stroke weight="0.388031496062992pt" color="#231F20"/>
              <v:imagedata o:title=""/>
              <o:lock v:ext="edit"/>
            </v:line>
            <v:line id="_x0000_s1567" o:spid="_x0000_s1567"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icrosoft Yi Baiti"/>
        </w:rPr>
      </w:pPr>
    </w:p>
    <w:p>
      <w:pPr>
        <w:pStyle w:val="6"/>
        <w:spacing w:before="5"/>
        <w:ind w:left="0" w:firstLine="0"/>
        <w:jc w:val="left"/>
        <w:rPr>
          <w:rFonts w:ascii="Microsoft Yi Baiti"/>
        </w:rPr>
      </w:pPr>
    </w:p>
    <w:p>
      <w:pPr>
        <w:pStyle w:val="4"/>
        <w:spacing w:before="78" w:line="266" w:lineRule="auto"/>
        <w:ind w:left="2306" w:right="2331" w:hanging="295"/>
        <w:jc w:val="left"/>
        <w:rPr>
          <w:rFonts w:hint="eastAsia" w:ascii="Microsoft Yi Baiti" w:eastAsia="Microsoft Yi Baiti"/>
        </w:rPr>
      </w:pPr>
      <w:r>
        <w:t xml:space="preserve">工贸企业有限空间作业安全管理与监督暂行规定 </w:t>
      </w:r>
      <w:r>
        <w:rPr>
          <w:rFonts w:hint="eastAsia" w:ascii="Microsoft Yi Baiti" w:eastAsia="Microsoft Yi Baiti"/>
        </w:rPr>
        <w:t>(</w:t>
      </w:r>
      <w:r>
        <w:rPr>
          <w:rFonts w:hint="eastAsia" w:ascii="MS UI Gothic" w:eastAsia="MS UI Gothic"/>
        </w:rPr>
        <w:t xml:space="preserve">２０１５ </w:t>
      </w:r>
      <w:r>
        <w:t>年修正</w:t>
      </w:r>
      <w:r>
        <w:rPr>
          <w:rFonts w:hint="eastAsia" w:ascii="Microsoft Yi Baiti" w:eastAsia="Microsoft Yi Baiti"/>
        </w:rPr>
        <w:t>)</w:t>
      </w:r>
    </w:p>
    <w:p>
      <w:pPr>
        <w:pStyle w:val="6"/>
        <w:tabs>
          <w:tab w:val="left" w:pos="5554"/>
        </w:tabs>
        <w:spacing w:before="328"/>
        <w:ind w:left="543" w:firstLine="0"/>
        <w:jc w:val="left"/>
      </w:pPr>
      <w:r>
        <w:rPr>
          <w:rFonts w:hint="eastAsia" w:ascii="Microsoft Yi Baiti" w:eastAsia="Microsoft Yi Baiti"/>
          <w:spacing w:val="2"/>
        </w:rPr>
        <w:t>(</w:t>
      </w:r>
      <w:r>
        <w:rPr>
          <w:rFonts w:hint="eastAsia" w:ascii="MS UI Gothic" w:eastAsia="MS UI Gothic"/>
          <w:spacing w:val="2"/>
        </w:rPr>
        <w:t>２０１３</w:t>
      </w:r>
      <w:r>
        <w:rPr>
          <w:rFonts w:hint="eastAsia" w:ascii="MS UI Gothic" w:eastAsia="MS UI Gothic"/>
          <w:spacing w:val="-27"/>
        </w:rPr>
        <w:t xml:space="preserve"> </w:t>
      </w:r>
      <w:r>
        <w:t>年</w:t>
      </w:r>
      <w:r>
        <w:rPr>
          <w:spacing w:val="-70"/>
        </w:rPr>
        <w:t xml:space="preserve"> </w:t>
      </w:r>
      <w:r>
        <w:rPr>
          <w:rFonts w:hint="eastAsia" w:ascii="MS UI Gothic" w:eastAsia="MS UI Gothic"/>
        </w:rPr>
        <w:t>５</w:t>
      </w:r>
      <w:r>
        <w:rPr>
          <w:rFonts w:hint="eastAsia" w:ascii="MS UI Gothic" w:eastAsia="MS UI Gothic"/>
          <w:spacing w:val="-26"/>
        </w:rPr>
        <w:t xml:space="preserve"> </w:t>
      </w:r>
      <w:r>
        <w:t>月</w:t>
      </w:r>
      <w:r>
        <w:rPr>
          <w:spacing w:val="-70"/>
        </w:rPr>
        <w:t xml:space="preserve"> </w:t>
      </w:r>
      <w:r>
        <w:rPr>
          <w:rFonts w:hint="eastAsia" w:ascii="MS UI Gothic" w:eastAsia="MS UI Gothic"/>
        </w:rPr>
        <w:t>２０</w:t>
      </w:r>
      <w:r>
        <w:rPr>
          <w:rFonts w:hint="eastAsia" w:ascii="MS UI Gothic" w:eastAsia="MS UI Gothic"/>
          <w:spacing w:val="-26"/>
        </w:rPr>
        <w:t xml:space="preserve"> </w:t>
      </w:r>
      <w:r>
        <w:rPr>
          <w:spacing w:val="3"/>
        </w:rPr>
        <w:t>日国家安</w:t>
      </w:r>
      <w:r>
        <w:rPr>
          <w:spacing w:val="5"/>
        </w:rPr>
        <w:t>全监管总局令</w:t>
      </w:r>
      <w:r>
        <w:t>第</w:t>
      </w:r>
      <w:r>
        <w:rPr>
          <w:spacing w:val="-68"/>
        </w:rPr>
        <w:t xml:space="preserve"> </w:t>
      </w:r>
      <w:r>
        <w:rPr>
          <w:rFonts w:hint="eastAsia" w:ascii="MS UI Gothic" w:eastAsia="MS UI Gothic"/>
        </w:rPr>
        <w:t>５９</w:t>
      </w:r>
      <w:r>
        <w:rPr>
          <w:rFonts w:hint="eastAsia" w:ascii="MS UI Gothic" w:eastAsia="MS UI Gothic"/>
          <w:spacing w:val="-23"/>
        </w:rPr>
        <w:t xml:space="preserve"> </w:t>
      </w:r>
      <w:r>
        <w:rPr>
          <w:spacing w:val="5"/>
        </w:rPr>
        <w:t>号公</w:t>
      </w:r>
      <w:r>
        <w:t>布</w:t>
      </w:r>
      <w:r>
        <w:tab/>
      </w:r>
      <w:r>
        <w:rPr>
          <w:spacing w:val="5"/>
        </w:rPr>
        <w:t>根</w:t>
      </w:r>
      <w:r>
        <w:t>据</w:t>
      </w:r>
      <w:r>
        <w:rPr>
          <w:spacing w:val="-60"/>
        </w:rPr>
        <w:t xml:space="preserve"> </w:t>
      </w:r>
      <w:r>
        <w:rPr>
          <w:rFonts w:hint="eastAsia" w:ascii="MS UI Gothic" w:eastAsia="MS UI Gothic"/>
        </w:rPr>
        <w:t>２０１５</w:t>
      </w:r>
      <w:r>
        <w:rPr>
          <w:rFonts w:hint="eastAsia" w:ascii="MS UI Gothic" w:eastAsia="MS UI Gothic"/>
          <w:spacing w:val="-14"/>
        </w:rPr>
        <w:t xml:space="preserve"> </w:t>
      </w:r>
      <w:r>
        <w:t>年</w:t>
      </w:r>
      <w:r>
        <w:rPr>
          <w:spacing w:val="-59"/>
        </w:rPr>
        <w:t xml:space="preserve"> </w:t>
      </w:r>
      <w:r>
        <w:rPr>
          <w:rFonts w:hint="eastAsia" w:ascii="MS UI Gothic" w:eastAsia="MS UI Gothic"/>
        </w:rPr>
        <w:t>５</w:t>
      </w:r>
      <w:r>
        <w:rPr>
          <w:rFonts w:hint="eastAsia" w:ascii="MS UI Gothic" w:eastAsia="MS UI Gothic"/>
          <w:spacing w:val="-14"/>
        </w:rPr>
        <w:t xml:space="preserve"> </w:t>
      </w:r>
      <w:r>
        <w:t>月</w:t>
      </w:r>
      <w:r>
        <w:rPr>
          <w:spacing w:val="-60"/>
        </w:rPr>
        <w:t xml:space="preserve"> </w:t>
      </w:r>
      <w:r>
        <w:rPr>
          <w:rFonts w:hint="eastAsia" w:ascii="MS UI Gothic" w:eastAsia="MS UI Gothic"/>
        </w:rPr>
        <w:t>２９</w:t>
      </w:r>
      <w:r>
        <w:rPr>
          <w:rFonts w:hint="eastAsia" w:ascii="MS UI Gothic" w:eastAsia="MS UI Gothic"/>
          <w:spacing w:val="-14"/>
        </w:rPr>
        <w:t xml:space="preserve"> </w:t>
      </w:r>
      <w:r>
        <w:rPr>
          <w:spacing w:val="7"/>
        </w:rPr>
        <w:t>日国</w:t>
      </w:r>
      <w:r>
        <w:t>家</w:t>
      </w:r>
    </w:p>
    <w:p>
      <w:pPr>
        <w:pStyle w:val="6"/>
        <w:spacing w:before="58"/>
        <w:ind w:firstLine="0"/>
        <w:jc w:val="left"/>
        <w:rPr>
          <w:rFonts w:hint="eastAsia" w:ascii="Microsoft Yi Baiti" w:eastAsia="Microsoft Yi Baiti"/>
        </w:rPr>
      </w:pPr>
      <w:r>
        <w:t xml:space="preserve">安全监管总局令第 </w:t>
      </w:r>
      <w:r>
        <w:rPr>
          <w:rFonts w:hint="eastAsia" w:ascii="MS UI Gothic" w:eastAsia="MS UI Gothic"/>
        </w:rPr>
        <w:t xml:space="preserve">８０ </w:t>
      </w:r>
      <w:r>
        <w:t>号修正</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11"/>
        <w:ind w:left="0" w:firstLine="0"/>
        <w:jc w:val="left"/>
        <w:rPr>
          <w:sz w:val="16"/>
        </w:rPr>
      </w:pPr>
    </w:p>
    <w:p>
      <w:pPr>
        <w:pStyle w:val="6"/>
        <w:spacing w:line="302" w:lineRule="auto"/>
        <w:ind w:right="39"/>
      </w:pPr>
      <w:r>
        <w:rPr>
          <w:w w:val="105"/>
        </w:rPr>
        <w:t>第一条 为了加强对冶金</w:t>
      </w:r>
      <w:r>
        <w:rPr>
          <w:rFonts w:hint="eastAsia" w:ascii="MS UI Gothic" w:eastAsia="MS UI Gothic"/>
          <w:w w:val="80"/>
        </w:rPr>
        <w:t xml:space="preserve">、 </w:t>
      </w:r>
      <w:r>
        <w:rPr>
          <w:w w:val="105"/>
        </w:rPr>
        <w:t>有色</w:t>
      </w:r>
      <w:r>
        <w:rPr>
          <w:rFonts w:hint="eastAsia" w:ascii="MS UI Gothic" w:eastAsia="MS UI Gothic"/>
          <w:w w:val="80"/>
        </w:rPr>
        <w:t xml:space="preserve">、 </w:t>
      </w:r>
      <w:r>
        <w:rPr>
          <w:w w:val="105"/>
        </w:rPr>
        <w:t>建材</w:t>
      </w:r>
      <w:r>
        <w:rPr>
          <w:rFonts w:hint="eastAsia" w:ascii="MS UI Gothic" w:eastAsia="MS UI Gothic"/>
          <w:w w:val="80"/>
        </w:rPr>
        <w:t xml:space="preserve">、 </w:t>
      </w:r>
      <w:r>
        <w:rPr>
          <w:w w:val="105"/>
        </w:rPr>
        <w:t>机械</w:t>
      </w:r>
      <w:r>
        <w:rPr>
          <w:rFonts w:hint="eastAsia" w:ascii="MS UI Gothic" w:eastAsia="MS UI Gothic"/>
          <w:w w:val="80"/>
        </w:rPr>
        <w:t xml:space="preserve">、 </w:t>
      </w:r>
      <w:r>
        <w:rPr>
          <w:w w:val="105"/>
        </w:rPr>
        <w:t>轻工</w:t>
      </w:r>
      <w:r>
        <w:rPr>
          <w:rFonts w:hint="eastAsia" w:ascii="MS UI Gothic" w:eastAsia="MS UI Gothic"/>
          <w:w w:val="80"/>
        </w:rPr>
        <w:t xml:space="preserve">、 </w:t>
      </w:r>
      <w:r>
        <w:rPr>
          <w:w w:val="105"/>
        </w:rPr>
        <w:t>纺织</w:t>
      </w:r>
      <w:r>
        <w:rPr>
          <w:rFonts w:hint="eastAsia" w:ascii="MS UI Gothic" w:eastAsia="MS UI Gothic"/>
          <w:w w:val="80"/>
        </w:rPr>
        <w:t xml:space="preserve">、 </w:t>
      </w:r>
      <w:r>
        <w:rPr>
          <w:w w:val="105"/>
        </w:rPr>
        <w:t>烟草</w:t>
      </w:r>
      <w:r>
        <w:rPr>
          <w:rFonts w:hint="eastAsia" w:ascii="MS UI Gothic" w:eastAsia="MS UI Gothic"/>
          <w:w w:val="80"/>
        </w:rPr>
        <w:t xml:space="preserve">、 </w:t>
      </w:r>
      <w:r>
        <w:rPr>
          <w:w w:val="105"/>
        </w:rPr>
        <w:t>商贸企业</w:t>
      </w:r>
      <w:r>
        <w:rPr>
          <w:rFonts w:hint="eastAsia" w:ascii="MS UI Gothic" w:eastAsia="MS UI Gothic"/>
          <w:w w:val="150"/>
        </w:rPr>
        <w:t xml:space="preserve">( </w:t>
      </w:r>
      <w:r>
        <w:rPr>
          <w:w w:val="105"/>
        </w:rPr>
        <w:t>以下统称工贸企业</w:t>
      </w:r>
      <w:r>
        <w:rPr>
          <w:rFonts w:hint="eastAsia" w:ascii="MS UI Gothic" w:eastAsia="MS UI Gothic"/>
          <w:w w:val="150"/>
        </w:rPr>
        <w:t xml:space="preserve">) </w:t>
      </w:r>
      <w:r>
        <w:rPr>
          <w:w w:val="105"/>
        </w:rPr>
        <w:t>有限空间作业的安</w:t>
      </w:r>
      <w:r>
        <w:t>全管理与监督</w:t>
      </w:r>
      <w:r>
        <w:rPr>
          <w:rFonts w:hint="eastAsia" w:ascii="MS UI Gothic" w:eastAsia="MS UI Gothic"/>
          <w:w w:val="80"/>
        </w:rPr>
        <w:t xml:space="preserve">ꎬ </w:t>
      </w:r>
      <w:r>
        <w:t>预防和减少生产安全事故</w:t>
      </w:r>
      <w:r>
        <w:rPr>
          <w:rFonts w:hint="eastAsia" w:ascii="MS UI Gothic" w:eastAsia="MS UI Gothic"/>
          <w:w w:val="80"/>
        </w:rPr>
        <w:t xml:space="preserve">ꎬ </w:t>
      </w:r>
      <w:r>
        <w:t>保障作业人员的安全与健康</w:t>
      </w:r>
      <w:r>
        <w:rPr>
          <w:rFonts w:hint="eastAsia" w:ascii="MS UI Gothic" w:eastAsia="MS UI Gothic"/>
          <w:w w:val="80"/>
        </w:rPr>
        <w:t xml:space="preserve">ꎬ </w:t>
      </w:r>
      <w:r>
        <w:t>根据</w:t>
      </w:r>
    </w:p>
    <w:p>
      <w:pPr>
        <w:pStyle w:val="6"/>
        <w:spacing w:line="300" w:lineRule="auto"/>
        <w:ind w:right="38" w:firstLine="0"/>
        <w:rPr>
          <w:rFonts w:hint="eastAsia" w:ascii="MS UI Gothic" w:hAnsi="MS UI Gothic" w:eastAsia="MS UI Gothic"/>
        </w:rPr>
      </w:pPr>
      <w:r>
        <w:rPr>
          <w:rFonts w:hint="eastAsia" w:ascii="MS UI Gothic" w:hAnsi="MS UI Gothic" w:eastAsia="MS UI Gothic"/>
        </w:rPr>
        <w:t xml:space="preserve">« </w:t>
      </w:r>
      <w:r>
        <w:t>中华人民共和国安全生产法</w:t>
      </w:r>
      <w:r>
        <w:rPr>
          <w:rFonts w:hint="eastAsia" w:ascii="MS UI Gothic" w:hAnsi="MS UI Gothic" w:eastAsia="MS UI Gothic"/>
        </w:rPr>
        <w:t xml:space="preserve">» </w:t>
      </w:r>
      <w:r>
        <w:t>等法律</w:t>
      </w:r>
      <w:r>
        <w:rPr>
          <w:rFonts w:hint="eastAsia" w:ascii="MS UI Gothic" w:hAnsi="MS UI Gothic" w:eastAsia="MS UI Gothic"/>
        </w:rPr>
        <w:t>、</w:t>
      </w:r>
      <w:r>
        <w:t>行政法规</w:t>
      </w:r>
      <w:r>
        <w:rPr>
          <w:rFonts w:hint="eastAsia" w:ascii="MS UI Gothic" w:hAnsi="MS UI Gothic" w:eastAsia="MS UI Gothic"/>
          <w:w w:val="80"/>
        </w:rPr>
        <w:t xml:space="preserve">ꎬ </w:t>
      </w:r>
      <w:r>
        <w:t>制定本规定</w:t>
      </w:r>
      <w:r>
        <w:rPr>
          <w:rFonts w:hint="eastAsia" w:ascii="MS UI Gothic" w:hAnsi="MS UI Gothic" w:eastAsia="MS UI Gothic"/>
          <w:w w:val="80"/>
        </w:rPr>
        <w:t>ꎮ</w:t>
      </w:r>
    </w:p>
    <w:p>
      <w:pPr>
        <w:pStyle w:val="6"/>
        <w:spacing w:line="300" w:lineRule="auto"/>
        <w:ind w:right="39"/>
        <w:rPr>
          <w:rFonts w:hint="eastAsia" w:ascii="MS UI Gothic" w:eastAsia="MS UI Gothic"/>
        </w:rPr>
      </w:pPr>
      <w:r>
        <w:t>第二条 工贸企业有限空间作业的安全管理与监督</w:t>
      </w:r>
      <w:r>
        <w:rPr>
          <w:rFonts w:hint="eastAsia" w:ascii="MS UI Gothic" w:eastAsia="MS UI Gothic"/>
          <w:w w:val="80"/>
        </w:rPr>
        <w:t xml:space="preserve">ꎬ </w:t>
      </w:r>
      <w:r>
        <w:t>适用本规定</w:t>
      </w:r>
      <w:r>
        <w:rPr>
          <w:rFonts w:hint="eastAsia" w:ascii="MS UI Gothic" w:eastAsia="MS UI Gothic"/>
          <w:w w:val="80"/>
        </w:rPr>
        <w:t>ꎮ</w:t>
      </w:r>
    </w:p>
    <w:p>
      <w:pPr>
        <w:pStyle w:val="6"/>
        <w:spacing w:line="300" w:lineRule="auto"/>
        <w:ind w:right="39"/>
        <w:rPr>
          <w:rFonts w:hint="eastAsia" w:ascii="MS UI Gothic" w:eastAsia="MS UI Gothic"/>
        </w:rPr>
      </w:pPr>
      <w:r>
        <w:t>本规定所称有限空间</w:t>
      </w:r>
      <w:r>
        <w:rPr>
          <w:rFonts w:hint="eastAsia" w:ascii="MS UI Gothic" w:eastAsia="MS UI Gothic"/>
          <w:w w:val="80"/>
        </w:rPr>
        <w:t xml:space="preserve">ꎬ </w:t>
      </w:r>
      <w:r>
        <w:t>是指封闭或者部分封闭</w:t>
      </w:r>
      <w:r>
        <w:rPr>
          <w:rFonts w:hint="eastAsia" w:ascii="MS UI Gothic" w:eastAsia="MS UI Gothic"/>
          <w:w w:val="80"/>
        </w:rPr>
        <w:t xml:space="preserve">ꎬ </w:t>
      </w:r>
      <w:r>
        <w:t>与外界相对隔离</w:t>
      </w:r>
      <w:r>
        <w:rPr>
          <w:rFonts w:hint="eastAsia" w:ascii="MS UI Gothic" w:eastAsia="MS UI Gothic"/>
          <w:w w:val="80"/>
        </w:rPr>
        <w:t xml:space="preserve">ꎬ </w:t>
      </w:r>
      <w:r>
        <w:t>出入口较为狭窄</w:t>
      </w:r>
      <w:r>
        <w:rPr>
          <w:rFonts w:hint="eastAsia" w:ascii="MS UI Gothic" w:eastAsia="MS UI Gothic"/>
          <w:w w:val="80"/>
        </w:rPr>
        <w:t xml:space="preserve">ꎬ </w:t>
      </w:r>
      <w:r>
        <w:t>作业人员不能长时间在内工作</w:t>
      </w:r>
      <w:r>
        <w:rPr>
          <w:rFonts w:hint="eastAsia" w:ascii="MS UI Gothic" w:eastAsia="MS UI Gothic"/>
          <w:w w:val="80"/>
        </w:rPr>
        <w:t xml:space="preserve">ꎬ </w:t>
      </w:r>
      <w:r>
        <w:t>自然通风不良</w:t>
      </w:r>
      <w:r>
        <w:rPr>
          <w:rFonts w:hint="eastAsia" w:ascii="MS UI Gothic" w:eastAsia="MS UI Gothic"/>
          <w:w w:val="80"/>
        </w:rPr>
        <w:t xml:space="preserve">ꎬ </w:t>
      </w:r>
      <w:r>
        <w:t>易造成有毒有害</w:t>
      </w:r>
      <w:r>
        <w:rPr>
          <w:rFonts w:hint="eastAsia" w:ascii="MS UI Gothic" w:eastAsia="MS UI Gothic"/>
          <w:w w:val="80"/>
        </w:rPr>
        <w:t xml:space="preserve">、 </w:t>
      </w:r>
      <w:r>
        <w:t>易燃易爆物质积聚或者氧含量不足的空间</w:t>
      </w:r>
      <w:r>
        <w:rPr>
          <w:rFonts w:hint="eastAsia" w:ascii="MS UI Gothic" w:eastAsia="MS UI Gothic"/>
          <w:w w:val="80"/>
        </w:rPr>
        <w:t xml:space="preserve">ꎮ </w:t>
      </w:r>
      <w:r>
        <w:t>工贸企业有限空间的目录由国家安全生产监督管理总局确定</w:t>
      </w:r>
      <w:r>
        <w:rPr>
          <w:rFonts w:hint="eastAsia" w:ascii="MS UI Gothic" w:eastAsia="MS UI Gothic"/>
          <w:w w:val="80"/>
        </w:rPr>
        <w:t xml:space="preserve">、 </w:t>
      </w:r>
      <w:r>
        <w:t>调整并公布</w:t>
      </w:r>
      <w:r>
        <w:rPr>
          <w:rFonts w:hint="eastAsia" w:ascii="MS UI Gothic" w:eastAsia="MS UI Gothic"/>
          <w:w w:val="80"/>
        </w:rPr>
        <w:t>ꎮ</w:t>
      </w:r>
    </w:p>
    <w:p>
      <w:pPr>
        <w:pStyle w:val="6"/>
        <w:spacing w:line="300" w:lineRule="auto"/>
        <w:ind w:right="39"/>
        <w:rPr>
          <w:rFonts w:hint="eastAsia" w:ascii="MS UI Gothic" w:eastAsia="MS UI Gothic"/>
        </w:rPr>
      </w:pPr>
      <w:r>
        <w:rPr>
          <w:w w:val="105"/>
        </w:rPr>
        <w:t>第三条 工贸企业是本企业有限空间</w:t>
      </w:r>
      <w:r>
        <w:t>作业安全的责任主体</w:t>
      </w:r>
      <w:r>
        <w:rPr>
          <w:rFonts w:hint="eastAsia" w:ascii="MS UI Gothic" w:eastAsia="MS UI Gothic"/>
          <w:w w:val="80"/>
        </w:rPr>
        <w:t xml:space="preserve">ꎬ </w:t>
      </w:r>
      <w:r>
        <w:t>其主要负责人对本企业有限空间作业安全全面负责</w:t>
      </w:r>
      <w:r>
        <w:rPr>
          <w:rFonts w:hint="eastAsia" w:ascii="MS UI Gothic" w:eastAsia="MS UI Gothic"/>
          <w:w w:val="80"/>
        </w:rPr>
        <w:t xml:space="preserve">ꎬ </w:t>
      </w:r>
      <w:r>
        <w:t>相关负责人在各自职责范围内对本企业有限空间</w:t>
      </w:r>
      <w:r>
        <w:rPr>
          <w:w w:val="105"/>
        </w:rPr>
        <w:t>作业安全负责</w:t>
      </w:r>
      <w:r>
        <w:rPr>
          <w:rFonts w:hint="eastAsia" w:ascii="MS UI Gothic" w:eastAsia="MS UI Gothic"/>
          <w:w w:val="80"/>
        </w:rPr>
        <w:t>ꎮ</w:t>
      </w:r>
    </w:p>
    <w:p>
      <w:pPr>
        <w:pStyle w:val="6"/>
        <w:spacing w:line="300" w:lineRule="auto"/>
        <w:ind w:right="39"/>
        <w:rPr>
          <w:rFonts w:hint="eastAsia" w:ascii="MS UI Gothic" w:eastAsia="MS UI Gothic"/>
        </w:rPr>
      </w:pPr>
      <w:r>
        <w:rPr>
          <w:w w:val="105"/>
        </w:rPr>
        <w:t>第四条 国家安全生产监督管理总局</w:t>
      </w:r>
      <w:r>
        <w:t>对全国工贸企业有限空间作业安全实施监</w:t>
      </w:r>
      <w:r>
        <w:rPr>
          <w:w w:val="105"/>
        </w:rPr>
        <w:t>督管理</w:t>
      </w:r>
      <w:r>
        <w:rPr>
          <w:rFonts w:hint="eastAsia" w:ascii="MS UI Gothic" w:eastAsia="MS UI Gothic"/>
          <w:w w:val="80"/>
        </w:rPr>
        <w:t>ꎮ</w:t>
      </w:r>
    </w:p>
    <w:p>
      <w:pPr>
        <w:pStyle w:val="6"/>
        <w:spacing w:line="300" w:lineRule="auto"/>
        <w:ind w:right="39"/>
      </w:pPr>
      <w:r>
        <w:t>县级以上地方各级安全生产监督管理</w:t>
      </w:r>
      <w:r>
        <w:rPr>
          <w:w w:val="105"/>
        </w:rPr>
        <w:t>部门按照属地监管</w:t>
      </w:r>
      <w:r>
        <w:rPr>
          <w:rFonts w:hint="eastAsia" w:ascii="MS UI Gothic" w:eastAsia="MS UI Gothic"/>
          <w:w w:val="80"/>
        </w:rPr>
        <w:t xml:space="preserve">、 </w:t>
      </w:r>
      <w:r>
        <w:rPr>
          <w:w w:val="105"/>
        </w:rPr>
        <w:t>分级负责的原则</w:t>
      </w:r>
      <w:r>
        <w:rPr>
          <w:rFonts w:hint="eastAsia" w:ascii="MS UI Gothic" w:eastAsia="MS UI Gothic"/>
          <w:w w:val="80"/>
        </w:rPr>
        <w:t xml:space="preserve">ꎬ </w:t>
      </w:r>
      <w:r>
        <w:rPr>
          <w:w w:val="105"/>
        </w:rPr>
        <w:t>对</w:t>
      </w:r>
      <w:r>
        <w:t>本行政区域内工贸企业有限空间作业安全</w:t>
      </w:r>
      <w:r>
        <w:rPr>
          <w:w w:val="105"/>
        </w:rPr>
        <w:t>实施监督管理</w:t>
      </w:r>
      <w:r>
        <w:rPr>
          <w:rFonts w:hint="eastAsia" w:ascii="MS UI Gothic" w:eastAsia="MS UI Gothic"/>
          <w:w w:val="80"/>
        </w:rPr>
        <w:t xml:space="preserve">ꎮ </w:t>
      </w:r>
      <w:r>
        <w:rPr>
          <w:w w:val="105"/>
        </w:rPr>
        <w:t>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直辖市人民</w:t>
      </w:r>
      <w:r>
        <w:t>政府对工贸企业有限空间作业的安全生产</w:t>
      </w:r>
    </w:p>
    <w:p>
      <w:pPr>
        <w:pStyle w:val="6"/>
        <w:spacing w:before="175"/>
        <w:ind w:firstLine="0"/>
        <w:jc w:val="left"/>
        <w:rPr>
          <w:rFonts w:hint="eastAsia" w:ascii="MS UI Gothic" w:eastAsia="MS UI Gothic"/>
        </w:rPr>
      </w:pPr>
      <w:r>
        <w:br w:type="column"/>
      </w:r>
      <w:r>
        <w:t>监督管理职责另有规定的</w:t>
      </w:r>
      <w:r>
        <w:rPr>
          <w:rFonts w:hint="eastAsia" w:ascii="MS UI Gothic" w:eastAsia="MS UI Gothic"/>
          <w:w w:val="80"/>
        </w:rPr>
        <w:t xml:space="preserve">ꎬ </w:t>
      </w:r>
      <w:r>
        <w:t>依照其规定</w:t>
      </w:r>
      <w:r>
        <w:rPr>
          <w:rFonts w:hint="eastAsia" w:ascii="MS UI Gothic" w:eastAsia="MS UI Gothic"/>
          <w:w w:val="80"/>
        </w:rPr>
        <w:t>ꎮ</w:t>
      </w:r>
    </w:p>
    <w:p>
      <w:pPr>
        <w:pStyle w:val="6"/>
        <w:spacing w:before="227"/>
        <w:ind w:left="439" w:firstLine="0"/>
      </w:pPr>
      <w:r>
        <w:rPr>
          <w:spacing w:val="2"/>
          <w:w w:val="105"/>
        </w:rPr>
        <w:t>第二章 有限空间作业的安全保障</w:t>
      </w:r>
    </w:p>
    <w:p>
      <w:pPr>
        <w:pStyle w:val="6"/>
        <w:spacing w:before="215" w:line="307" w:lineRule="auto"/>
        <w:ind w:right="442"/>
        <w:rPr>
          <w:rFonts w:hint="eastAsia" w:ascii="MS UI Gothic" w:eastAsia="MS UI Gothic"/>
        </w:rPr>
      </w:pPr>
      <w:r>
        <w:rPr>
          <w:spacing w:val="2"/>
          <w:w w:val="105"/>
        </w:rPr>
        <w:t>第五条 存在有限空间作业的工贸企</w:t>
      </w:r>
      <w:r>
        <w:rPr>
          <w:spacing w:val="3"/>
          <w:w w:val="110"/>
        </w:rPr>
        <w:t>业应当建立下列安全生产制度和规程</w:t>
      </w:r>
      <w:r>
        <w:rPr>
          <w:rFonts w:hint="eastAsia" w:ascii="MS UI Gothic" w:eastAsia="MS UI Gothic"/>
          <w:w w:val="235"/>
        </w:rPr>
        <w:t>:</w:t>
      </w:r>
    </w:p>
    <w:p>
      <w:pPr>
        <w:pStyle w:val="6"/>
        <w:spacing w:line="300" w:lineRule="auto"/>
        <w:ind w:left="543" w:right="611" w:firstLine="0"/>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有限空间作业安全责任制度</w:t>
      </w:r>
      <w:r>
        <w:rPr>
          <w:rFonts w:hint="eastAsia" w:ascii="MS UI Gothic" w:eastAsia="MS UI Gothic"/>
          <w:w w:val="80"/>
        </w:rPr>
        <w:t>ꎻ</w:t>
      </w: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有限空间作业审批制度</w:t>
      </w:r>
      <w:r>
        <w:rPr>
          <w:rFonts w:hint="eastAsia" w:ascii="MS UI Gothic" w:eastAsia="MS UI Gothic"/>
          <w:w w:val="80"/>
        </w:rPr>
        <w:t>ꎻ</w:t>
      </w:r>
    </w:p>
    <w:p>
      <w:pPr>
        <w:pStyle w:val="6"/>
        <w:spacing w:line="300" w:lineRule="auto"/>
        <w:ind w:right="442"/>
        <w:rPr>
          <w:rFonts w:hint="eastAsia" w:ascii="MS UI Gothic" w:eastAsia="MS UI Gothic"/>
        </w:rPr>
      </w:pPr>
      <w:r>
        <w:rPr>
          <w:rFonts w:hint="eastAsia" w:ascii="MS UI Gothic" w:eastAsia="MS UI Gothic"/>
          <w:w w:val="120"/>
        </w:rPr>
        <w:t xml:space="preserve">( </w:t>
      </w:r>
      <w:r>
        <w:rPr>
          <w:w w:val="110"/>
        </w:rPr>
        <w:t>三</w:t>
      </w:r>
      <w:r>
        <w:rPr>
          <w:rFonts w:hint="eastAsia" w:ascii="MS UI Gothic" w:eastAsia="MS UI Gothic"/>
          <w:w w:val="120"/>
        </w:rPr>
        <w:t xml:space="preserve">) </w:t>
      </w:r>
      <w:r>
        <w:rPr>
          <w:w w:val="110"/>
        </w:rPr>
        <w:t>有限空间作业现场安全管理制度</w:t>
      </w:r>
      <w:r>
        <w:rPr>
          <w:rFonts w:hint="eastAsia" w:ascii="MS UI Gothic" w:eastAsia="MS UI Gothic"/>
          <w:w w:val="80"/>
        </w:rPr>
        <w:t>ꎻ</w:t>
      </w:r>
    </w:p>
    <w:p>
      <w:pPr>
        <w:pStyle w:val="6"/>
        <w:spacing w:line="300"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有限空间作业现场负责人</w:t>
      </w:r>
      <w:r>
        <w:rPr>
          <w:rFonts w:hint="eastAsia" w:ascii="MS UI Gothic" w:eastAsia="MS UI Gothic"/>
          <w:w w:val="80"/>
        </w:rPr>
        <w:t xml:space="preserve">、 </w:t>
      </w:r>
      <w:r>
        <w:rPr>
          <w:w w:val="105"/>
        </w:rPr>
        <w:t>监护人员</w:t>
      </w:r>
      <w:r>
        <w:rPr>
          <w:rFonts w:hint="eastAsia" w:ascii="MS UI Gothic" w:eastAsia="MS UI Gothic"/>
          <w:w w:val="80"/>
        </w:rPr>
        <w:t xml:space="preserve">、 </w:t>
      </w:r>
      <w:r>
        <w:rPr>
          <w:w w:val="105"/>
        </w:rPr>
        <w:t>作业人员</w:t>
      </w:r>
      <w:r>
        <w:rPr>
          <w:rFonts w:hint="eastAsia" w:ascii="MS UI Gothic" w:eastAsia="MS UI Gothic"/>
          <w:w w:val="80"/>
        </w:rPr>
        <w:t xml:space="preserve">、 </w:t>
      </w:r>
      <w:r>
        <w:rPr>
          <w:w w:val="105"/>
        </w:rPr>
        <w:t>应急救援人员安全培训教育制度</w:t>
      </w:r>
      <w:r>
        <w:rPr>
          <w:rFonts w:hint="eastAsia" w:ascii="MS UI Gothic" w:eastAsia="MS UI Gothic"/>
          <w:w w:val="80"/>
        </w:rPr>
        <w:t>ꎻ</w:t>
      </w:r>
    </w:p>
    <w:p>
      <w:pPr>
        <w:pStyle w:val="6"/>
        <w:spacing w:line="300" w:lineRule="auto"/>
        <w:ind w:left="543" w:right="611" w:firstLine="0"/>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有限空间作业应急管理制度</w:t>
      </w:r>
      <w:r>
        <w:rPr>
          <w:rFonts w:hint="eastAsia" w:ascii="MS UI Gothic" w:eastAsia="MS UI Gothic"/>
          <w:w w:val="80"/>
        </w:rPr>
        <w:t>ꎻ</w:t>
      </w: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有限空间作业安全操作规程</w:t>
      </w:r>
      <w:r>
        <w:rPr>
          <w:rFonts w:hint="eastAsia" w:ascii="MS UI Gothic" w:eastAsia="MS UI Gothic"/>
          <w:w w:val="80"/>
        </w:rPr>
        <w:t>ꎮ</w:t>
      </w:r>
    </w:p>
    <w:p>
      <w:pPr>
        <w:pStyle w:val="6"/>
        <w:spacing w:line="300" w:lineRule="auto"/>
        <w:ind w:right="442"/>
        <w:rPr>
          <w:rFonts w:hint="eastAsia" w:ascii="MS UI Gothic" w:eastAsia="MS UI Gothic"/>
        </w:rPr>
      </w:pPr>
      <w:r>
        <w:rPr>
          <w:w w:val="105"/>
        </w:rPr>
        <w:t>第六条 工贸企业应当对从事有限空间作业的现场负责人</w:t>
      </w:r>
      <w:r>
        <w:rPr>
          <w:rFonts w:hint="eastAsia" w:ascii="MS UI Gothic" w:eastAsia="MS UI Gothic"/>
          <w:w w:val="80"/>
        </w:rPr>
        <w:t xml:space="preserve">、 </w:t>
      </w:r>
      <w:r>
        <w:rPr>
          <w:w w:val="105"/>
        </w:rPr>
        <w:t>监护人员</w:t>
      </w:r>
      <w:r>
        <w:rPr>
          <w:rFonts w:hint="eastAsia" w:ascii="MS UI Gothic" w:eastAsia="MS UI Gothic"/>
          <w:w w:val="80"/>
        </w:rPr>
        <w:t xml:space="preserve">、 </w:t>
      </w:r>
      <w:r>
        <w:rPr>
          <w:w w:val="105"/>
        </w:rPr>
        <w:t>作业人员</w:t>
      </w:r>
      <w:r>
        <w:rPr>
          <w:rFonts w:hint="eastAsia" w:ascii="MS UI Gothic" w:eastAsia="MS UI Gothic"/>
          <w:w w:val="80"/>
        </w:rPr>
        <w:t xml:space="preserve">、 </w:t>
      </w:r>
      <w:r>
        <w:rPr>
          <w:w w:val="105"/>
        </w:rPr>
        <w:t>应急救援人员进行专项安全培训</w:t>
      </w:r>
      <w:r>
        <w:rPr>
          <w:rFonts w:hint="eastAsia" w:ascii="MS UI Gothic" w:eastAsia="MS UI Gothic"/>
          <w:w w:val="80"/>
        </w:rPr>
        <w:t xml:space="preserve">ꎮ </w:t>
      </w:r>
      <w:r>
        <w:rPr>
          <w:w w:val="105"/>
        </w:rPr>
        <w:t>专项安全培训应当包括下列内容</w:t>
      </w:r>
      <w:r>
        <w:rPr>
          <w:rFonts w:hint="eastAsia" w:ascii="MS UI Gothic" w:eastAsia="MS UI Gothic"/>
          <w:w w:val="235"/>
        </w:rPr>
        <w:t>:</w:t>
      </w:r>
    </w:p>
    <w:p>
      <w:pPr>
        <w:pStyle w:val="6"/>
        <w:spacing w:line="300"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有限空间作业的危险有害因素</w:t>
      </w:r>
      <w:r>
        <w:rPr>
          <w:w w:val="110"/>
        </w:rPr>
        <w:t>和安全防范措施</w:t>
      </w:r>
      <w:r>
        <w:rPr>
          <w:rFonts w:hint="eastAsia" w:ascii="MS UI Gothic" w:eastAsia="MS UI Gothic"/>
          <w:w w:val="80"/>
        </w:rPr>
        <w:t>ꎻ</w:t>
      </w:r>
    </w:p>
    <w:p>
      <w:pPr>
        <w:pStyle w:val="6"/>
        <w:spacing w:line="297" w:lineRule="auto"/>
        <w:ind w:right="442"/>
        <w:rPr>
          <w:rFonts w:hint="eastAsia" w:ascii="MS UI Gothic" w:eastAsia="MS UI Gothic"/>
        </w:rPr>
      </w:pPr>
      <w:r>
        <w:rPr>
          <w:rFonts w:hint="eastAsia" w:ascii="MS UI Gothic" w:eastAsia="MS UI Gothic"/>
          <w:spacing w:val="-36"/>
          <w:w w:val="130"/>
        </w:rPr>
        <w:t xml:space="preserve">( </w:t>
      </w:r>
      <w:r>
        <w:rPr>
          <w:spacing w:val="29"/>
          <w:w w:val="110"/>
        </w:rPr>
        <w:t>二</w:t>
      </w:r>
      <w:r>
        <w:rPr>
          <w:rFonts w:hint="eastAsia" w:ascii="MS UI Gothic" w:eastAsia="MS UI Gothic"/>
          <w:spacing w:val="-13"/>
          <w:w w:val="130"/>
        </w:rPr>
        <w:t xml:space="preserve">) </w:t>
      </w:r>
      <w:r>
        <w:rPr>
          <w:spacing w:val="41"/>
          <w:w w:val="110"/>
        </w:rPr>
        <w:t>有限空间作业的安全操作</w:t>
      </w:r>
      <w:r>
        <w:rPr>
          <w:spacing w:val="3"/>
          <w:w w:val="110"/>
        </w:rPr>
        <w:t>规程</w:t>
      </w:r>
      <w:r>
        <w:rPr>
          <w:rFonts w:hint="eastAsia" w:ascii="MS UI Gothic" w:eastAsia="MS UI Gothic"/>
          <w:w w:val="80"/>
        </w:rPr>
        <w:t>ꎻ</w:t>
      </w:r>
    </w:p>
    <w:p>
      <w:pPr>
        <w:pStyle w:val="6"/>
        <w:spacing w:line="300"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检测仪器</w:t>
      </w:r>
      <w:r>
        <w:rPr>
          <w:rFonts w:hint="eastAsia" w:ascii="MS UI Gothic" w:eastAsia="MS UI Gothic"/>
          <w:w w:val="80"/>
        </w:rPr>
        <w:t xml:space="preserve">、 </w:t>
      </w:r>
      <w:r>
        <w:rPr>
          <w:w w:val="105"/>
        </w:rPr>
        <w:t>劳动防护用品的正确使用</w:t>
      </w:r>
      <w:r>
        <w:rPr>
          <w:rFonts w:hint="eastAsia" w:ascii="MS UI Gothic" w:eastAsia="MS UI Gothic"/>
          <w:w w:val="80"/>
        </w:rPr>
        <w:t>ꎻ</w:t>
      </w:r>
    </w:p>
    <w:p>
      <w:pPr>
        <w:pStyle w:val="6"/>
        <w:spacing w:line="300" w:lineRule="auto"/>
        <w:ind w:left="543" w:right="442" w:firstLine="0"/>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紧急情况下的应急处置措施</w:t>
      </w:r>
      <w:r>
        <w:rPr>
          <w:rFonts w:hint="eastAsia" w:ascii="MS UI Gothic" w:eastAsia="MS UI Gothic"/>
          <w:w w:val="80"/>
        </w:rPr>
        <w:t>ꎮ</w:t>
      </w:r>
      <w:r>
        <w:t>安全培训应当有专门记录</w:t>
      </w:r>
      <w:r>
        <w:rPr>
          <w:rFonts w:hint="eastAsia" w:ascii="MS UI Gothic" w:eastAsia="MS UI Gothic"/>
          <w:w w:val="80"/>
        </w:rPr>
        <w:t xml:space="preserve">ꎬ </w:t>
      </w:r>
      <w:r>
        <w:t>并由参加</w:t>
      </w:r>
    </w:p>
    <w:p>
      <w:pPr>
        <w:pStyle w:val="6"/>
        <w:ind w:firstLine="0"/>
        <w:jc w:val="left"/>
        <w:rPr>
          <w:rFonts w:hint="eastAsia" w:ascii="MS UI Gothic" w:eastAsia="MS UI Gothic"/>
        </w:rPr>
      </w:pPr>
      <w:r>
        <w:t>培训的人员签字确认</w:t>
      </w:r>
      <w:r>
        <w:rPr>
          <w:rFonts w:hint="eastAsia" w:ascii="MS UI Gothic" w:eastAsia="MS UI Gothic"/>
          <w:w w:val="80"/>
        </w:rPr>
        <w:t>ꎮ</w:t>
      </w:r>
    </w:p>
    <w:p>
      <w:pPr>
        <w:pStyle w:val="6"/>
        <w:spacing w:before="56" w:line="300" w:lineRule="auto"/>
        <w:ind w:right="440"/>
        <w:rPr>
          <w:rFonts w:hint="eastAsia" w:ascii="MS UI Gothic" w:eastAsia="MS UI Gothic"/>
        </w:rPr>
      </w:pPr>
      <w:r>
        <w:t>第七条 工贸企业应当对本企业的有限空间进行辨识</w:t>
      </w:r>
      <w:r>
        <w:rPr>
          <w:rFonts w:hint="eastAsia" w:ascii="MS UI Gothic" w:eastAsia="MS UI Gothic"/>
          <w:w w:val="80"/>
        </w:rPr>
        <w:t xml:space="preserve">ꎬ </w:t>
      </w:r>
      <w:r>
        <w:t>确定有限空间的数量</w:t>
      </w:r>
      <w:r>
        <w:rPr>
          <w:rFonts w:hint="eastAsia" w:ascii="MS UI Gothic" w:eastAsia="MS UI Gothic"/>
          <w:w w:val="80"/>
        </w:rPr>
        <w:t>、</w:t>
      </w:r>
      <w:r>
        <w:t>位置以及危险有害因素等基本情况</w:t>
      </w:r>
      <w:r>
        <w:rPr>
          <w:rFonts w:hint="eastAsia" w:ascii="MS UI Gothic" w:eastAsia="MS UI Gothic"/>
          <w:w w:val="80"/>
        </w:rPr>
        <w:t xml:space="preserve">ꎬ </w:t>
      </w:r>
      <w:r>
        <w:t>建立有限空间管理台账</w:t>
      </w:r>
      <w:r>
        <w:rPr>
          <w:rFonts w:hint="eastAsia" w:ascii="MS UI Gothic" w:eastAsia="MS UI Gothic"/>
          <w:w w:val="80"/>
        </w:rPr>
        <w:t xml:space="preserve">ꎬ </w:t>
      </w:r>
      <w:r>
        <w:t>并及时更新</w:t>
      </w:r>
      <w:r>
        <w:rPr>
          <w:rFonts w:hint="eastAsia" w:ascii="MS UI Gothic" w:eastAsia="MS UI Gothic"/>
          <w:w w:val="80"/>
        </w:rPr>
        <w:t>ꎮ</w:t>
      </w:r>
    </w:p>
    <w:p>
      <w:pPr>
        <w:spacing w:after="0" w:line="300"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１７９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68" o:spid="_x0000_s1568" o:spt="203" style="height:2.15pt;width:398.25pt;" coordsize="7965,43">
            <o:lock v:ext="edit"/>
            <v:line id="_x0000_s1569" o:spid="_x0000_s1569" o:spt="20" style="position:absolute;left:0;top:39;height:0;width:7965;" stroked="t" coordsize="21600,21600">
              <v:path arrowok="t"/>
              <v:fill focussize="0,0"/>
              <v:stroke weight="0.388031496062992pt" color="#231F20"/>
              <v:imagedata o:title=""/>
              <o:lock v:ext="edit"/>
            </v:line>
            <v:line id="_x0000_s1570" o:spid="_x0000_s157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t>第八条 工贸企业实施有限空间作业前</w:t>
      </w:r>
      <w:r>
        <w:rPr>
          <w:rFonts w:hint="eastAsia" w:ascii="MS UI Gothic" w:eastAsia="MS UI Gothic"/>
          <w:w w:val="80"/>
        </w:rPr>
        <w:t xml:space="preserve">ꎬ </w:t>
      </w:r>
      <w:r>
        <w:t>应当对作业环境进行评估</w:t>
      </w:r>
      <w:r>
        <w:rPr>
          <w:rFonts w:hint="eastAsia" w:ascii="MS UI Gothic" w:eastAsia="MS UI Gothic"/>
          <w:w w:val="80"/>
        </w:rPr>
        <w:t xml:space="preserve">ꎬ </w:t>
      </w:r>
      <w:r>
        <w:t>分析存在的危险有害因素</w:t>
      </w:r>
      <w:r>
        <w:rPr>
          <w:rFonts w:hint="eastAsia" w:ascii="MS UI Gothic" w:eastAsia="MS UI Gothic"/>
          <w:w w:val="80"/>
        </w:rPr>
        <w:t xml:space="preserve">ꎬ </w:t>
      </w:r>
      <w:r>
        <w:t>提出消除</w:t>
      </w:r>
      <w:r>
        <w:rPr>
          <w:rFonts w:hint="eastAsia" w:ascii="MS UI Gothic" w:eastAsia="MS UI Gothic"/>
          <w:w w:val="80"/>
        </w:rPr>
        <w:t xml:space="preserve">、 </w:t>
      </w:r>
      <w:r>
        <w:t>控制危害的措施</w:t>
      </w:r>
      <w:r>
        <w:rPr>
          <w:rFonts w:hint="eastAsia" w:ascii="MS UI Gothic" w:eastAsia="MS UI Gothic"/>
          <w:w w:val="80"/>
        </w:rPr>
        <w:t xml:space="preserve">ꎬ </w:t>
      </w:r>
      <w:r>
        <w:t>制定有限空间作业方案</w:t>
      </w:r>
      <w:r>
        <w:rPr>
          <w:rFonts w:hint="eastAsia" w:ascii="MS UI Gothic" w:eastAsia="MS UI Gothic"/>
          <w:w w:val="80"/>
        </w:rPr>
        <w:t xml:space="preserve">ꎬ </w:t>
      </w:r>
      <w:r>
        <w:t>并经本企业安全生产管理人员审核</w:t>
      </w:r>
      <w:r>
        <w:rPr>
          <w:rFonts w:hint="eastAsia" w:ascii="MS UI Gothic" w:eastAsia="MS UI Gothic"/>
          <w:w w:val="80"/>
        </w:rPr>
        <w:t xml:space="preserve">ꎬ </w:t>
      </w:r>
      <w:r>
        <w:t>负责人批准</w:t>
      </w:r>
      <w:r>
        <w:rPr>
          <w:rFonts w:hint="eastAsia" w:ascii="MS UI Gothic" w:eastAsia="MS UI Gothic"/>
          <w:w w:val="80"/>
        </w:rPr>
        <w:t>ꎮ</w:t>
      </w:r>
    </w:p>
    <w:p>
      <w:pPr>
        <w:pStyle w:val="6"/>
        <w:spacing w:line="295" w:lineRule="auto"/>
        <w:ind w:left="440" w:right="1"/>
        <w:rPr>
          <w:rFonts w:hint="eastAsia" w:ascii="MS UI Gothic" w:eastAsia="MS UI Gothic"/>
        </w:rPr>
      </w:pPr>
      <w:r>
        <w:t>第九条 工贸企业应当按照有限空间作业方案</w:t>
      </w:r>
      <w:r>
        <w:rPr>
          <w:rFonts w:hint="eastAsia" w:ascii="MS UI Gothic" w:eastAsia="MS UI Gothic"/>
          <w:w w:val="80"/>
        </w:rPr>
        <w:t xml:space="preserve">ꎬ </w:t>
      </w:r>
      <w:r>
        <w:t>明确作业现场负责人</w:t>
      </w:r>
      <w:r>
        <w:rPr>
          <w:rFonts w:hint="eastAsia" w:ascii="MS UI Gothic" w:eastAsia="MS UI Gothic"/>
          <w:w w:val="80"/>
        </w:rPr>
        <w:t xml:space="preserve">、 </w:t>
      </w:r>
      <w:r>
        <w:t>监护人员</w:t>
      </w:r>
      <w:r>
        <w:rPr>
          <w:rFonts w:hint="eastAsia" w:ascii="MS UI Gothic" w:eastAsia="MS UI Gothic"/>
          <w:w w:val="80"/>
        </w:rPr>
        <w:t xml:space="preserve">、 </w:t>
      </w:r>
      <w:r>
        <w:t>作业人员及其安全职责</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第十条 工贸企业实施有限空间作业</w:t>
      </w:r>
      <w:r>
        <w:t>前</w:t>
      </w:r>
      <w:r>
        <w:rPr>
          <w:rFonts w:hint="eastAsia" w:ascii="MS UI Gothic" w:eastAsia="MS UI Gothic"/>
          <w:w w:val="80"/>
        </w:rPr>
        <w:t xml:space="preserve">ꎬ </w:t>
      </w:r>
      <w:r>
        <w:t>应当将有限空间作业方案和作业现场</w:t>
      </w:r>
      <w:r>
        <w:rPr>
          <w:w w:val="105"/>
        </w:rPr>
        <w:t>可能存在的危险有害因素</w:t>
      </w:r>
      <w:r>
        <w:rPr>
          <w:rFonts w:hint="eastAsia" w:ascii="MS UI Gothic" w:eastAsia="MS UI Gothic"/>
          <w:w w:val="80"/>
        </w:rPr>
        <w:t xml:space="preserve">、 </w:t>
      </w:r>
      <w:r>
        <w:rPr>
          <w:w w:val="105"/>
        </w:rPr>
        <w:t>防控措施告知</w:t>
      </w:r>
      <w:r>
        <w:t>作业人员</w:t>
      </w:r>
      <w:r>
        <w:rPr>
          <w:rFonts w:hint="eastAsia" w:ascii="MS UI Gothic" w:eastAsia="MS UI Gothic"/>
          <w:w w:val="80"/>
        </w:rPr>
        <w:t xml:space="preserve">ꎮ </w:t>
      </w:r>
      <w:r>
        <w:t>现场负责人应当监督作业人员</w:t>
      </w:r>
      <w:r>
        <w:rPr>
          <w:w w:val="105"/>
        </w:rPr>
        <w:t>按照方案进行作业准备</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第十一条 工贸企业应当采取可靠的</w:t>
      </w:r>
      <w:r>
        <w:rPr>
          <w:spacing w:val="-7"/>
          <w:w w:val="105"/>
        </w:rPr>
        <w:t xml:space="preserve">隔断 </w:t>
      </w:r>
      <w:r>
        <w:rPr>
          <w:rFonts w:hint="eastAsia" w:ascii="MS UI Gothic" w:eastAsia="MS UI Gothic"/>
          <w:spacing w:val="-38"/>
          <w:w w:val="150"/>
        </w:rPr>
        <w:t xml:space="preserve">( </w:t>
      </w:r>
      <w:r>
        <w:rPr>
          <w:spacing w:val="15"/>
          <w:w w:val="105"/>
        </w:rPr>
        <w:t>隔离</w:t>
      </w:r>
      <w:r>
        <w:rPr>
          <w:rFonts w:hint="eastAsia" w:ascii="MS UI Gothic" w:eastAsia="MS UI Gothic"/>
          <w:spacing w:val="6"/>
          <w:w w:val="150"/>
        </w:rPr>
        <w:t xml:space="preserve">) </w:t>
      </w:r>
      <w:r>
        <w:rPr>
          <w:spacing w:val="11"/>
          <w:w w:val="105"/>
        </w:rPr>
        <w:t>措施</w:t>
      </w:r>
      <w:r>
        <w:rPr>
          <w:rFonts w:hint="eastAsia" w:ascii="MS UI Gothic" w:eastAsia="MS UI Gothic"/>
          <w:spacing w:val="20"/>
          <w:w w:val="80"/>
        </w:rPr>
        <w:t xml:space="preserve">ꎬ </w:t>
      </w:r>
      <w:r>
        <w:rPr>
          <w:spacing w:val="16"/>
          <w:w w:val="105"/>
        </w:rPr>
        <w:t>将可能危及作业安</w:t>
      </w:r>
      <w:r>
        <w:rPr>
          <w:spacing w:val="3"/>
          <w:w w:val="105"/>
        </w:rPr>
        <w:t>全的设施设备</w:t>
      </w:r>
      <w:r>
        <w:rPr>
          <w:rFonts w:hint="eastAsia" w:ascii="MS UI Gothic" w:eastAsia="MS UI Gothic"/>
          <w:spacing w:val="-5"/>
          <w:w w:val="80"/>
        </w:rPr>
        <w:t xml:space="preserve">、 </w:t>
      </w:r>
      <w:r>
        <w:rPr>
          <w:spacing w:val="2"/>
          <w:w w:val="105"/>
        </w:rPr>
        <w:t>存在有毒有害物质的空间</w:t>
      </w:r>
      <w:r>
        <w:rPr>
          <w:spacing w:val="3"/>
          <w:w w:val="105"/>
        </w:rPr>
        <w:t>与作业地点隔开</w:t>
      </w:r>
      <w:r>
        <w:rPr>
          <w:rFonts w:hint="eastAsia" w:ascii="MS UI Gothic" w:eastAsia="MS UI Gothic"/>
          <w:w w:val="80"/>
        </w:rPr>
        <w:t>ꎮ</w:t>
      </w:r>
    </w:p>
    <w:p>
      <w:pPr>
        <w:pStyle w:val="6"/>
        <w:spacing w:line="295" w:lineRule="auto"/>
        <w:ind w:left="440"/>
        <w:rPr>
          <w:rFonts w:hint="eastAsia" w:ascii="MS UI Gothic" w:hAnsi="MS UI Gothic" w:eastAsia="MS UI Gothic"/>
        </w:rPr>
      </w:pPr>
      <w:r>
        <w:rPr>
          <w:spacing w:val="2"/>
          <w:w w:val="105"/>
        </w:rPr>
        <w:t>第十二条 有限空间作业应当严格遵</w:t>
      </w:r>
      <w:r>
        <w:rPr>
          <w:spacing w:val="-12"/>
          <w:w w:val="105"/>
        </w:rPr>
        <w:t xml:space="preserve">守 </w:t>
      </w:r>
      <w:r>
        <w:rPr>
          <w:rFonts w:hint="eastAsia" w:ascii="MS UI Gothic" w:hAnsi="MS UI Gothic" w:eastAsia="MS UI Gothic"/>
          <w:spacing w:val="-24"/>
          <w:w w:val="105"/>
        </w:rPr>
        <w:t xml:space="preserve">“ </w:t>
      </w:r>
      <w:r>
        <w:rPr>
          <w:spacing w:val="4"/>
          <w:w w:val="105"/>
        </w:rPr>
        <w:t>先通风</w:t>
      </w:r>
      <w:r>
        <w:rPr>
          <w:rFonts w:hint="eastAsia" w:ascii="MS UI Gothic" w:hAnsi="MS UI Gothic" w:eastAsia="MS UI Gothic"/>
          <w:spacing w:val="17"/>
          <w:w w:val="80"/>
        </w:rPr>
        <w:t xml:space="preserve">、 </w:t>
      </w:r>
      <w:r>
        <w:rPr>
          <w:spacing w:val="7"/>
          <w:w w:val="105"/>
        </w:rPr>
        <w:t>再检测</w:t>
      </w:r>
      <w:r>
        <w:rPr>
          <w:rFonts w:hint="eastAsia" w:ascii="MS UI Gothic" w:hAnsi="MS UI Gothic" w:eastAsia="MS UI Gothic"/>
          <w:spacing w:val="16"/>
          <w:w w:val="80"/>
        </w:rPr>
        <w:t xml:space="preserve">、 </w:t>
      </w:r>
      <w:r>
        <w:rPr>
          <w:spacing w:val="10"/>
          <w:w w:val="105"/>
        </w:rPr>
        <w:t>后作业</w:t>
      </w:r>
      <w:r>
        <w:rPr>
          <w:rFonts w:hint="eastAsia" w:ascii="MS UI Gothic" w:hAnsi="MS UI Gothic" w:eastAsia="MS UI Gothic"/>
          <w:spacing w:val="17"/>
          <w:w w:val="105"/>
        </w:rPr>
        <w:t xml:space="preserve">” </w:t>
      </w:r>
      <w:r>
        <w:rPr>
          <w:spacing w:val="8"/>
          <w:w w:val="105"/>
        </w:rPr>
        <w:t>的原则</w:t>
      </w:r>
      <w:r>
        <w:rPr>
          <w:rFonts w:hint="eastAsia" w:ascii="MS UI Gothic" w:hAnsi="MS UI Gothic" w:eastAsia="MS UI Gothic"/>
          <w:w w:val="80"/>
        </w:rPr>
        <w:t>ꎮ</w:t>
      </w:r>
      <w:r>
        <w:rPr>
          <w:spacing w:val="27"/>
          <w:w w:val="105"/>
        </w:rPr>
        <w:t>检测指标包括氧浓度</w:t>
      </w:r>
      <w:r>
        <w:rPr>
          <w:rFonts w:hint="eastAsia" w:ascii="MS UI Gothic" w:hAnsi="MS UI Gothic" w:eastAsia="MS UI Gothic"/>
          <w:spacing w:val="9"/>
          <w:w w:val="80"/>
        </w:rPr>
        <w:t xml:space="preserve">、 </w:t>
      </w:r>
      <w:r>
        <w:rPr>
          <w:spacing w:val="30"/>
          <w:w w:val="105"/>
        </w:rPr>
        <w:t>易燃易爆物质</w:t>
      </w:r>
      <w:r>
        <w:rPr>
          <w:rFonts w:hint="eastAsia" w:ascii="MS UI Gothic" w:hAnsi="MS UI Gothic" w:eastAsia="MS UI Gothic"/>
          <w:spacing w:val="-22"/>
          <w:w w:val="150"/>
        </w:rPr>
        <w:t xml:space="preserve">( </w:t>
      </w:r>
      <w:r>
        <w:rPr>
          <w:spacing w:val="3"/>
          <w:w w:val="105"/>
        </w:rPr>
        <w:t>可燃性气体</w:t>
      </w:r>
      <w:r>
        <w:rPr>
          <w:rFonts w:hint="eastAsia" w:ascii="MS UI Gothic" w:hAnsi="MS UI Gothic" w:eastAsia="MS UI Gothic"/>
          <w:w w:val="80"/>
        </w:rPr>
        <w:t xml:space="preserve">、 </w:t>
      </w:r>
      <w:r>
        <w:rPr>
          <w:spacing w:val="8"/>
          <w:w w:val="105"/>
        </w:rPr>
        <w:t>爆炸性粉尘</w:t>
      </w:r>
      <w:r>
        <w:rPr>
          <w:rFonts w:hint="eastAsia" w:ascii="MS UI Gothic" w:hAnsi="MS UI Gothic" w:eastAsia="MS UI Gothic"/>
          <w:spacing w:val="12"/>
          <w:w w:val="150"/>
        </w:rPr>
        <w:t xml:space="preserve">) </w:t>
      </w:r>
      <w:r>
        <w:rPr>
          <w:spacing w:val="7"/>
          <w:w w:val="105"/>
        </w:rPr>
        <w:t>浓度</w:t>
      </w:r>
      <w:r>
        <w:rPr>
          <w:rFonts w:hint="eastAsia" w:ascii="MS UI Gothic" w:hAnsi="MS UI Gothic" w:eastAsia="MS UI Gothic"/>
          <w:spacing w:val="1"/>
          <w:w w:val="80"/>
        </w:rPr>
        <w:t xml:space="preserve">、 </w:t>
      </w:r>
      <w:r>
        <w:rPr>
          <w:spacing w:val="5"/>
          <w:w w:val="105"/>
        </w:rPr>
        <w:t>有毒</w:t>
      </w:r>
      <w:r>
        <w:rPr>
          <w:spacing w:val="3"/>
        </w:rPr>
        <w:t>有害气体浓度</w:t>
      </w:r>
      <w:r>
        <w:rPr>
          <w:rFonts w:hint="eastAsia" w:ascii="MS UI Gothic" w:hAnsi="MS UI Gothic" w:eastAsia="MS UI Gothic"/>
          <w:spacing w:val="21"/>
          <w:w w:val="80"/>
        </w:rPr>
        <w:t xml:space="preserve">ꎮ </w:t>
      </w:r>
      <w:r>
        <w:rPr>
          <w:spacing w:val="2"/>
        </w:rPr>
        <w:t>检测应当符合相关国家标</w:t>
      </w:r>
      <w:r>
        <w:rPr>
          <w:spacing w:val="3"/>
          <w:w w:val="105"/>
        </w:rPr>
        <w:t>准或者行业标准的规定</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t>未经通风和检测合格</w:t>
      </w:r>
      <w:r>
        <w:rPr>
          <w:rFonts w:hint="eastAsia" w:ascii="MS UI Gothic" w:eastAsia="MS UI Gothic"/>
          <w:w w:val="85"/>
        </w:rPr>
        <w:t xml:space="preserve">ꎬ </w:t>
      </w:r>
      <w:r>
        <w:t>任何人员不得进入有限空间作业</w:t>
      </w:r>
      <w:r>
        <w:rPr>
          <w:rFonts w:hint="eastAsia" w:ascii="MS UI Gothic" w:eastAsia="MS UI Gothic"/>
          <w:w w:val="85"/>
        </w:rPr>
        <w:t xml:space="preserve">ꎮ </w:t>
      </w:r>
      <w:r>
        <w:t xml:space="preserve">检测的时间不得早于作业开始前 </w:t>
      </w:r>
      <w:r>
        <w:rPr>
          <w:rFonts w:hint="eastAsia" w:ascii="MS UI Gothic" w:eastAsia="MS UI Gothic"/>
          <w:w w:val="85"/>
        </w:rPr>
        <w:t xml:space="preserve">３０ </w:t>
      </w:r>
      <w:r>
        <w:t>分钟</w:t>
      </w:r>
      <w:r>
        <w:rPr>
          <w:rFonts w:hint="eastAsia" w:ascii="MS UI Gothic" w:eastAsia="MS UI Gothic"/>
          <w:w w:val="85"/>
        </w:rPr>
        <w:t>ꎮ</w:t>
      </w:r>
    </w:p>
    <w:p>
      <w:pPr>
        <w:pStyle w:val="6"/>
        <w:spacing w:line="295" w:lineRule="auto"/>
        <w:ind w:left="440" w:right="1"/>
        <w:rPr>
          <w:rFonts w:hint="eastAsia" w:ascii="MS UI Gothic" w:eastAsia="MS UI Gothic"/>
        </w:rPr>
      </w:pPr>
      <w:r>
        <w:t>第十三条 检测人员进行检测时</w:t>
      </w:r>
      <w:r>
        <w:rPr>
          <w:rFonts w:hint="eastAsia" w:ascii="MS UI Gothic" w:eastAsia="MS UI Gothic"/>
          <w:w w:val="80"/>
        </w:rPr>
        <w:t xml:space="preserve">ꎬ </w:t>
      </w:r>
      <w:r>
        <w:t>应当记录检测的时间</w:t>
      </w:r>
      <w:r>
        <w:rPr>
          <w:rFonts w:hint="eastAsia" w:ascii="MS UI Gothic" w:eastAsia="MS UI Gothic"/>
          <w:w w:val="80"/>
        </w:rPr>
        <w:t xml:space="preserve">、 </w:t>
      </w:r>
      <w:r>
        <w:t>地点</w:t>
      </w:r>
      <w:r>
        <w:rPr>
          <w:rFonts w:hint="eastAsia" w:ascii="MS UI Gothic" w:eastAsia="MS UI Gothic"/>
          <w:w w:val="80"/>
        </w:rPr>
        <w:t xml:space="preserve">、 </w:t>
      </w:r>
      <w:r>
        <w:t>气体种类</w:t>
      </w:r>
      <w:r>
        <w:rPr>
          <w:rFonts w:hint="eastAsia" w:ascii="MS UI Gothic" w:eastAsia="MS UI Gothic"/>
          <w:w w:val="80"/>
        </w:rPr>
        <w:t xml:space="preserve">、 </w:t>
      </w:r>
      <w:r>
        <w:t>浓度等信息</w:t>
      </w:r>
      <w:r>
        <w:rPr>
          <w:rFonts w:hint="eastAsia" w:ascii="MS UI Gothic" w:eastAsia="MS UI Gothic"/>
          <w:w w:val="80"/>
        </w:rPr>
        <w:t xml:space="preserve">ꎮ </w:t>
      </w:r>
      <w:r>
        <w:t>检测记录经检测人员签字后存档</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rPr>
        <w:t>检测人员应当采取相应的安全防护措</w:t>
      </w:r>
      <w:r>
        <w:rPr>
          <w:spacing w:val="3"/>
        </w:rPr>
        <w:t>施</w:t>
      </w:r>
      <w:r>
        <w:rPr>
          <w:rFonts w:hint="eastAsia" w:ascii="MS UI Gothic" w:eastAsia="MS UI Gothic"/>
          <w:spacing w:val="1"/>
          <w:w w:val="80"/>
        </w:rPr>
        <w:t xml:space="preserve">ꎬ </w:t>
      </w:r>
      <w:r>
        <w:rPr>
          <w:spacing w:val="3"/>
        </w:rPr>
        <w:t>防止中毒窒息等事故发生</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rPr>
          <w:spacing w:val="4"/>
        </w:rPr>
        <w:t>第十四条 有限空间内盛装或者残留</w:t>
      </w:r>
      <w:r>
        <w:rPr>
          <w:spacing w:val="3"/>
        </w:rPr>
        <w:t>的物料对作业存在危害时</w:t>
      </w:r>
      <w:r>
        <w:rPr>
          <w:rFonts w:hint="eastAsia" w:ascii="MS UI Gothic" w:hAnsi="MS UI Gothic" w:eastAsia="MS UI Gothic"/>
          <w:spacing w:val="14"/>
          <w:w w:val="85"/>
        </w:rPr>
        <w:t xml:space="preserve">ꎬ </w:t>
      </w:r>
      <w:r>
        <w:rPr>
          <w:spacing w:val="2"/>
        </w:rPr>
        <w:t>作业人员应当</w:t>
      </w:r>
      <w:r>
        <w:rPr>
          <w:spacing w:val="13"/>
        </w:rPr>
        <w:t>在作业前对物料进行清洗</w:t>
      </w:r>
      <w:r>
        <w:rPr>
          <w:rFonts w:hint="eastAsia" w:ascii="MS UI Gothic" w:hAnsi="MS UI Gothic" w:eastAsia="MS UI Gothic"/>
          <w:spacing w:val="23"/>
        </w:rPr>
        <w:t xml:space="preserve">、 </w:t>
      </w:r>
      <w:r>
        <w:rPr>
          <w:spacing w:val="13"/>
        </w:rPr>
        <w:t>清空或者置</w:t>
      </w:r>
      <w:r>
        <w:rPr>
          <w:spacing w:val="3"/>
        </w:rPr>
        <w:t>换</w:t>
      </w:r>
      <w:r>
        <w:rPr>
          <w:rFonts w:hint="eastAsia" w:ascii="MS UI Gothic" w:hAnsi="MS UI Gothic" w:eastAsia="MS UI Gothic"/>
          <w:spacing w:val="17"/>
          <w:w w:val="85"/>
        </w:rPr>
        <w:t xml:space="preserve">ꎮ </w:t>
      </w:r>
      <w:r>
        <w:rPr>
          <w:spacing w:val="3"/>
        </w:rPr>
        <w:t>经检测</w:t>
      </w:r>
      <w:r>
        <w:rPr>
          <w:rFonts w:hint="eastAsia" w:ascii="MS UI Gothic" w:hAnsi="MS UI Gothic" w:eastAsia="MS UI Gothic"/>
          <w:spacing w:val="17"/>
          <w:w w:val="85"/>
        </w:rPr>
        <w:t xml:space="preserve">ꎬ </w:t>
      </w:r>
      <w:r>
        <w:rPr>
          <w:spacing w:val="2"/>
        </w:rPr>
        <w:t>有限空间的危险有害因素符</w:t>
      </w:r>
      <w:r>
        <w:rPr>
          <w:spacing w:val="27"/>
        </w:rPr>
        <w:t xml:space="preserve">合 </w:t>
      </w:r>
      <w:r>
        <w:rPr>
          <w:rFonts w:hint="eastAsia" w:ascii="MS UI Gothic" w:hAnsi="MS UI Gothic" w:eastAsia="MS UI Gothic"/>
          <w:spacing w:val="-16"/>
        </w:rPr>
        <w:t xml:space="preserve">« </w:t>
      </w:r>
      <w:r>
        <w:rPr>
          <w:spacing w:val="13"/>
        </w:rPr>
        <w:t>工作场所有害因素职业接触限值第</w:t>
      </w:r>
      <w:r>
        <w:rPr>
          <w:spacing w:val="5"/>
          <w:w w:val="102"/>
        </w:rPr>
        <w:t>一部分化学有害因素</w:t>
      </w:r>
      <w:r>
        <w:rPr>
          <w:rFonts w:hint="eastAsia" w:ascii="MS UI Gothic" w:hAnsi="MS UI Gothic" w:eastAsia="MS UI Gothic"/>
          <w:w w:val="76"/>
        </w:rPr>
        <w:t>»</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spacing w:val="-34"/>
        </w:rPr>
        <w:t xml:space="preserve"> </w:t>
      </w:r>
      <w:r>
        <w:rPr>
          <w:rFonts w:hint="eastAsia" w:ascii="MS UI Gothic" w:hAnsi="MS UI Gothic" w:eastAsia="MS UI Gothic"/>
          <w:spacing w:val="-2"/>
          <w:w w:val="88"/>
        </w:rPr>
        <w:t>Ｇ</w:t>
      </w:r>
      <w:r>
        <w:rPr>
          <w:rFonts w:hint="eastAsia" w:ascii="MS UI Gothic" w:hAnsi="MS UI Gothic" w:eastAsia="MS UI Gothic"/>
          <w:w w:val="80"/>
        </w:rPr>
        <w:t>Ｂ</w:t>
      </w:r>
      <w:r>
        <w:rPr>
          <w:rFonts w:hint="eastAsia" w:ascii="MS UI Gothic" w:hAnsi="MS UI Gothic" w:eastAsia="MS UI Gothic"/>
          <w:w w:val="88"/>
        </w:rPr>
        <w:t>Ｚ</w:t>
      </w:r>
      <w:r>
        <w:rPr>
          <w:rFonts w:hint="eastAsia" w:ascii="MS UI Gothic" w:hAnsi="MS UI Gothic" w:eastAsia="MS UI Gothic"/>
          <w:spacing w:val="16"/>
        </w:rPr>
        <w:t xml:space="preserve"> </w:t>
      </w:r>
      <w:r>
        <w:rPr>
          <w:rFonts w:hint="eastAsia" w:ascii="MS UI Gothic" w:hAnsi="MS UI Gothic" w:eastAsia="MS UI Gothic"/>
          <w:w w:val="75"/>
        </w:rPr>
        <w:t>２</w:t>
      </w:r>
      <w:r>
        <w:rPr>
          <w:rFonts w:hint="eastAsia" w:ascii="MS UI Gothic" w:hAnsi="MS UI Gothic" w:eastAsia="MS UI Gothic"/>
          <w:spacing w:val="-10"/>
        </w:rPr>
        <w:t xml:space="preserve"> </w:t>
      </w:r>
      <w:r>
        <w:rPr>
          <w:rFonts w:hint="eastAsia" w:ascii="MS UI Gothic" w:hAnsi="MS UI Gothic" w:eastAsia="MS UI Gothic"/>
          <w:spacing w:val="11"/>
          <w:w w:val="75"/>
        </w:rPr>
        <w:t>１</w:t>
      </w:r>
      <w:r>
        <w:rPr>
          <w:rFonts w:hint="eastAsia" w:ascii="MS UI Gothic" w:hAnsi="MS UI Gothic" w:eastAsia="MS UI Gothic"/>
          <w:w w:val="168"/>
        </w:rPr>
        <w:t>)</w:t>
      </w:r>
      <w:r>
        <w:rPr>
          <w:rFonts w:hint="eastAsia" w:ascii="MS UI Gothic" w:hAnsi="MS UI Gothic" w:eastAsia="MS UI Gothic"/>
          <w:spacing w:val="5"/>
        </w:rPr>
        <w:t xml:space="preserve">  </w:t>
      </w:r>
      <w:r>
        <w:rPr>
          <w:spacing w:val="5"/>
          <w:w w:val="102"/>
        </w:rPr>
        <w:t>的要</w:t>
      </w:r>
      <w:r>
        <w:rPr>
          <w:spacing w:val="3"/>
        </w:rPr>
        <w:t>求后</w:t>
      </w:r>
      <w:r>
        <w:rPr>
          <w:rFonts w:hint="eastAsia" w:ascii="MS UI Gothic" w:hAnsi="MS UI Gothic" w:eastAsia="MS UI Gothic"/>
          <w:spacing w:val="23"/>
          <w:w w:val="85"/>
        </w:rPr>
        <w:t xml:space="preserve">ꎬ </w:t>
      </w:r>
      <w:r>
        <w:rPr>
          <w:spacing w:val="3"/>
        </w:rPr>
        <w:t>方可进入有限空间作业</w:t>
      </w:r>
      <w:r>
        <w:rPr>
          <w:rFonts w:hint="eastAsia" w:ascii="MS UI Gothic" w:hAnsi="MS UI Gothic" w:eastAsia="MS UI Gothic"/>
          <w:w w:val="85"/>
        </w:rPr>
        <w:t>ꎮ</w:t>
      </w:r>
    </w:p>
    <w:p>
      <w:pPr>
        <w:pStyle w:val="6"/>
        <w:spacing w:before="124" w:line="295" w:lineRule="auto"/>
        <w:ind w:left="381" w:right="124"/>
        <w:rPr>
          <w:rFonts w:hint="eastAsia" w:ascii="MS UI Gothic" w:eastAsia="MS UI Gothic"/>
        </w:rPr>
      </w:pPr>
      <w:r>
        <w:br w:type="column"/>
      </w:r>
      <w:r>
        <w:rPr>
          <w:spacing w:val="10"/>
        </w:rPr>
        <w:t>第十五条 在有限空间作业过程中</w:t>
      </w:r>
      <w:r>
        <w:rPr>
          <w:rFonts w:hint="eastAsia" w:ascii="MS UI Gothic" w:eastAsia="MS UI Gothic"/>
          <w:w w:val="80"/>
        </w:rPr>
        <w:t>ꎬ</w:t>
      </w:r>
      <w:r>
        <w:rPr>
          <w:spacing w:val="3"/>
        </w:rPr>
        <w:t>工贸企业应当采取通风措施</w:t>
      </w:r>
      <w:r>
        <w:rPr>
          <w:rFonts w:hint="eastAsia" w:ascii="MS UI Gothic" w:eastAsia="MS UI Gothic"/>
          <w:spacing w:val="19"/>
          <w:w w:val="80"/>
        </w:rPr>
        <w:t xml:space="preserve">ꎬ </w:t>
      </w:r>
      <w:r>
        <w:rPr>
          <w:spacing w:val="2"/>
        </w:rPr>
        <w:t>保持空气流</w:t>
      </w:r>
      <w:r>
        <w:rPr>
          <w:spacing w:val="3"/>
        </w:rPr>
        <w:t>通</w:t>
      </w:r>
      <w:r>
        <w:rPr>
          <w:rFonts w:hint="eastAsia" w:ascii="MS UI Gothic" w:eastAsia="MS UI Gothic"/>
          <w:spacing w:val="2"/>
          <w:w w:val="80"/>
        </w:rPr>
        <w:t xml:space="preserve">ꎬ </w:t>
      </w:r>
      <w:r>
        <w:rPr>
          <w:spacing w:val="3"/>
        </w:rPr>
        <w:t>禁止采用纯氧通风换气</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3"/>
        </w:rPr>
        <w:t>发现通风设备停止运转</w:t>
      </w:r>
      <w:r>
        <w:rPr>
          <w:rFonts w:hint="eastAsia" w:ascii="MS UI Gothic" w:eastAsia="MS UI Gothic"/>
          <w:spacing w:val="12"/>
          <w:w w:val="80"/>
        </w:rPr>
        <w:t xml:space="preserve">、 </w:t>
      </w:r>
      <w:r>
        <w:rPr>
          <w:spacing w:val="2"/>
        </w:rPr>
        <w:t>有限空间内氧含量浓度低于或者有毒有害气体浓度高</w:t>
      </w:r>
      <w:r>
        <w:rPr>
          <w:spacing w:val="4"/>
        </w:rPr>
        <w:t>于国家标准或者行业标准规定的限值时</w:t>
      </w:r>
      <w:r>
        <w:rPr>
          <w:rFonts w:hint="eastAsia" w:ascii="MS UI Gothic" w:eastAsia="MS UI Gothic"/>
          <w:w w:val="80"/>
        </w:rPr>
        <w:t>ꎬ</w:t>
      </w:r>
      <w:r>
        <w:rPr>
          <w:spacing w:val="3"/>
        </w:rPr>
        <w:t>工贸企业必须立即停止有限空间作业</w:t>
      </w:r>
      <w:r>
        <w:rPr>
          <w:rFonts w:hint="eastAsia" w:ascii="MS UI Gothic" w:eastAsia="MS UI Gothic"/>
          <w:spacing w:val="19"/>
          <w:w w:val="80"/>
        </w:rPr>
        <w:t xml:space="preserve">ꎬ </w:t>
      </w:r>
      <w:r>
        <w:t>清</w:t>
      </w:r>
      <w:r>
        <w:rPr>
          <w:spacing w:val="3"/>
        </w:rPr>
        <w:t>点作业人员</w:t>
      </w:r>
      <w:r>
        <w:rPr>
          <w:rFonts w:hint="eastAsia" w:ascii="MS UI Gothic" w:eastAsia="MS UI Gothic"/>
          <w:spacing w:val="2"/>
          <w:w w:val="80"/>
        </w:rPr>
        <w:t xml:space="preserve">ꎬ </w:t>
      </w:r>
      <w:r>
        <w:rPr>
          <w:spacing w:val="3"/>
        </w:rPr>
        <w:t>撤离作业现场</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第十六条 在有限空间作业过程中</w:t>
      </w:r>
      <w:r>
        <w:rPr>
          <w:rFonts w:hint="eastAsia" w:ascii="MS UI Gothic" w:eastAsia="MS UI Gothic"/>
          <w:w w:val="80"/>
        </w:rPr>
        <w:t>ꎬ</w:t>
      </w:r>
      <w:r>
        <w:t>工贸企业应当对作业场所中的危险有害因</w:t>
      </w:r>
      <w:r>
        <w:rPr>
          <w:w w:val="105"/>
        </w:rPr>
        <w:t>素进行定时检测或者连续监测</w:t>
      </w:r>
      <w:r>
        <w:rPr>
          <w:rFonts w:hint="eastAsia" w:ascii="MS UI Gothic" w:eastAsia="MS UI Gothic"/>
          <w:w w:val="80"/>
        </w:rPr>
        <w:t>ꎮ</w:t>
      </w:r>
    </w:p>
    <w:p>
      <w:pPr>
        <w:pStyle w:val="6"/>
        <w:spacing w:line="295" w:lineRule="auto"/>
        <w:ind w:left="381" w:right="124"/>
        <w:rPr>
          <w:rFonts w:hint="eastAsia" w:ascii="MS UI Gothic" w:eastAsia="MS UI Gothic"/>
        </w:rPr>
      </w:pPr>
      <w:r>
        <w:t xml:space="preserve">作业中断超过 </w:t>
      </w:r>
      <w:r>
        <w:rPr>
          <w:rFonts w:hint="eastAsia" w:ascii="MS UI Gothic" w:eastAsia="MS UI Gothic"/>
          <w:w w:val="85"/>
        </w:rPr>
        <w:t xml:space="preserve">３０ </w:t>
      </w:r>
      <w:r>
        <w:t>分钟</w:t>
      </w:r>
      <w:r>
        <w:rPr>
          <w:rFonts w:hint="eastAsia" w:ascii="MS UI Gothic" w:eastAsia="MS UI Gothic"/>
          <w:w w:val="85"/>
        </w:rPr>
        <w:t xml:space="preserve">ꎬ </w:t>
      </w:r>
      <w:r>
        <w:t>作业人员再次进入有限空间作业前</w:t>
      </w:r>
      <w:r>
        <w:rPr>
          <w:rFonts w:hint="eastAsia" w:ascii="MS UI Gothic" w:eastAsia="MS UI Gothic"/>
          <w:w w:val="85"/>
        </w:rPr>
        <w:t xml:space="preserve">ꎬ </w:t>
      </w:r>
      <w:r>
        <w:t>应当重新通风</w:t>
      </w:r>
      <w:r>
        <w:rPr>
          <w:rFonts w:hint="eastAsia" w:ascii="MS UI Gothic" w:eastAsia="MS UI Gothic"/>
          <w:w w:val="85"/>
        </w:rPr>
        <w:t>、</w:t>
      </w:r>
      <w:r>
        <w:t>检测合格后方可进入</w:t>
      </w:r>
      <w:r>
        <w:rPr>
          <w:rFonts w:hint="eastAsia" w:ascii="MS UI Gothic" w:eastAsia="MS UI Gothic"/>
          <w:w w:val="85"/>
        </w:rPr>
        <w:t>ꎮ</w:t>
      </w:r>
    </w:p>
    <w:p>
      <w:pPr>
        <w:pStyle w:val="6"/>
        <w:spacing w:line="295" w:lineRule="auto"/>
        <w:ind w:left="381" w:right="124"/>
        <w:rPr>
          <w:rFonts w:hint="eastAsia" w:ascii="MS UI Gothic" w:hAnsi="MS UI Gothic" w:eastAsia="MS UI Gothic"/>
        </w:rPr>
      </w:pPr>
      <w:r>
        <w:t xml:space="preserve">第十七条 有限空间作业场所的照明灯具电压应当符合 </w:t>
      </w:r>
      <w:r>
        <w:rPr>
          <w:rFonts w:hint="eastAsia" w:ascii="MS UI Gothic" w:hAnsi="MS UI Gothic" w:eastAsia="MS UI Gothic"/>
        </w:rPr>
        <w:t xml:space="preserve">« </w:t>
      </w:r>
      <w:r>
        <w:t>特低电压限值</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88"/>
        </w:rPr>
        <w:t>Ｇ</w:t>
      </w:r>
      <w:r>
        <w:rPr>
          <w:rFonts w:hint="eastAsia" w:ascii="MS UI Gothic" w:hAnsi="MS UI Gothic" w:eastAsia="MS UI Gothic"/>
          <w:w w:val="80"/>
        </w:rPr>
        <w:t>Ｂ</w:t>
      </w:r>
      <w:r>
        <w:rPr>
          <w:rFonts w:hint="eastAsia" w:ascii="MS UI Gothic" w:hAnsi="MS UI Gothic" w:eastAsia="MS UI Gothic"/>
        </w:rPr>
        <w:t xml:space="preserve"> </w:t>
      </w:r>
      <w:r>
        <w:rPr>
          <w:rFonts w:hint="eastAsia" w:ascii="MS UI Gothic" w:hAnsi="MS UI Gothic" w:eastAsia="MS UI Gothic"/>
          <w:w w:val="34"/>
        </w:rPr>
        <w:t>/</w:t>
      </w:r>
      <w:r>
        <w:rPr>
          <w:rFonts w:hint="eastAsia" w:ascii="MS UI Gothic" w:hAnsi="MS UI Gothic" w:eastAsia="MS UI Gothic"/>
        </w:rPr>
        <w:t xml:space="preserve"> </w:t>
      </w:r>
      <w:r>
        <w:rPr>
          <w:rFonts w:hint="eastAsia" w:ascii="MS UI Gothic" w:hAnsi="MS UI Gothic" w:eastAsia="MS UI Gothic"/>
          <w:w w:val="92"/>
        </w:rPr>
        <w:t>Ｔ</w:t>
      </w:r>
      <w:r>
        <w:rPr>
          <w:rFonts w:hint="eastAsia" w:ascii="MS UI Gothic" w:hAnsi="MS UI Gothic" w:eastAsia="MS UI Gothic"/>
        </w:rPr>
        <w:t xml:space="preserve"> </w:t>
      </w:r>
      <w:r>
        <w:rPr>
          <w:rFonts w:hint="eastAsia" w:ascii="MS UI Gothic" w:hAnsi="MS UI Gothic" w:eastAsia="MS UI Gothic"/>
          <w:w w:val="75"/>
        </w:rPr>
        <w:t>３８０５</w:t>
      </w:r>
      <w:r>
        <w:rPr>
          <w:rFonts w:hint="eastAsia" w:ascii="MS UI Gothic" w:hAnsi="MS UI Gothic" w:eastAsia="MS UI Gothic"/>
          <w:w w:val="168"/>
        </w:rPr>
        <w:t>)</w:t>
      </w:r>
      <w:r>
        <w:rPr>
          <w:rFonts w:hint="eastAsia" w:ascii="MS UI Gothic" w:hAnsi="MS UI Gothic" w:eastAsia="MS UI Gothic"/>
        </w:rPr>
        <w:t xml:space="preserve">  </w:t>
      </w:r>
      <w:r>
        <w:rPr>
          <w:w w:val="102"/>
        </w:rPr>
        <w:t>等国家标准或者行业标准</w:t>
      </w:r>
      <w:r>
        <w:t>的规定</w:t>
      </w:r>
      <w:r>
        <w:rPr>
          <w:rFonts w:hint="eastAsia" w:ascii="MS UI Gothic" w:hAnsi="MS UI Gothic" w:eastAsia="MS UI Gothic"/>
          <w:w w:val="65"/>
        </w:rPr>
        <w:t xml:space="preserve">ꎻ </w:t>
      </w:r>
      <w:r>
        <w:t>作业场所存在可燃性气体</w:t>
      </w:r>
      <w:r>
        <w:rPr>
          <w:rFonts w:hint="eastAsia" w:ascii="MS UI Gothic" w:hAnsi="MS UI Gothic" w:eastAsia="MS UI Gothic"/>
        </w:rPr>
        <w:t xml:space="preserve">、 </w:t>
      </w:r>
      <w:r>
        <w:t>粉尘的</w:t>
      </w:r>
      <w:r>
        <w:rPr>
          <w:rFonts w:hint="eastAsia" w:ascii="MS UI Gothic" w:hAnsi="MS UI Gothic" w:eastAsia="MS UI Gothic"/>
          <w:w w:val="65"/>
        </w:rPr>
        <w:t xml:space="preserve">ꎬ </w:t>
      </w:r>
      <w:r>
        <w:t xml:space="preserve">其电气设施设备及照明灯具的防爆安全要求应当符合 </w:t>
      </w:r>
      <w:r>
        <w:rPr>
          <w:rFonts w:hint="eastAsia" w:ascii="MS UI Gothic" w:hAnsi="MS UI Gothic" w:eastAsia="MS UI Gothic"/>
        </w:rPr>
        <w:t xml:space="preserve">« </w:t>
      </w:r>
      <w:r>
        <w:t>爆炸性环境第一部分</w:t>
      </w:r>
      <w:r>
        <w:rPr>
          <w:rFonts w:hint="eastAsia" w:ascii="MS UI Gothic" w:hAnsi="MS UI Gothic" w:eastAsia="MS UI Gothic"/>
          <w:w w:val="225"/>
        </w:rPr>
        <w:t xml:space="preserve">: </w:t>
      </w:r>
      <w:r>
        <w:rPr>
          <w:w w:val="102"/>
        </w:rPr>
        <w:t>设备通用要求</w:t>
      </w:r>
      <w:r>
        <w:rPr>
          <w:rFonts w:hint="eastAsia" w:ascii="MS UI Gothic" w:hAnsi="MS UI Gothic" w:eastAsia="MS UI Gothic"/>
          <w:w w:val="76"/>
        </w:rPr>
        <w:t>»</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88"/>
        </w:rPr>
        <w:t>Ｇ</w:t>
      </w:r>
      <w:r>
        <w:rPr>
          <w:rFonts w:hint="eastAsia" w:ascii="MS UI Gothic" w:hAnsi="MS UI Gothic" w:eastAsia="MS UI Gothic"/>
          <w:w w:val="80"/>
        </w:rPr>
        <w:t>Ｂ</w:t>
      </w:r>
      <w:r>
        <w:rPr>
          <w:rFonts w:hint="eastAsia" w:ascii="MS UI Gothic" w:hAnsi="MS UI Gothic" w:eastAsia="MS UI Gothic"/>
        </w:rPr>
        <w:t xml:space="preserve"> </w:t>
      </w:r>
      <w:r>
        <w:rPr>
          <w:rFonts w:hint="eastAsia" w:ascii="MS UI Gothic" w:hAnsi="MS UI Gothic" w:eastAsia="MS UI Gothic"/>
          <w:w w:val="75"/>
        </w:rPr>
        <w:t>３８３６</w:t>
      </w:r>
      <w:r>
        <w:rPr>
          <w:rFonts w:hint="eastAsia" w:ascii="MS UI Gothic" w:hAnsi="MS UI Gothic" w:eastAsia="MS UI Gothic"/>
        </w:rPr>
        <w:t xml:space="preserve"> </w:t>
      </w:r>
      <w:r>
        <w:rPr>
          <w:rFonts w:hint="eastAsia" w:ascii="MS UI Gothic" w:hAnsi="MS UI Gothic" w:eastAsia="MS UI Gothic"/>
          <w:w w:val="75"/>
        </w:rPr>
        <w:t>１</w:t>
      </w:r>
      <w:r>
        <w:rPr>
          <w:rFonts w:hint="eastAsia" w:ascii="MS UI Gothic" w:hAnsi="MS UI Gothic" w:eastAsia="MS UI Gothic"/>
          <w:w w:val="168"/>
        </w:rPr>
        <w:t>)</w:t>
      </w:r>
      <w:r>
        <w:rPr>
          <w:rFonts w:hint="eastAsia" w:ascii="MS UI Gothic" w:hAnsi="MS UI Gothic" w:eastAsia="MS UI Gothic"/>
        </w:rPr>
        <w:t xml:space="preserve">  </w:t>
      </w:r>
      <w:r>
        <w:rPr>
          <w:w w:val="102"/>
        </w:rPr>
        <w:t>等国家标</w:t>
      </w:r>
      <w:r>
        <w:t>准或者行业标准的规定</w:t>
      </w:r>
      <w:r>
        <w:rPr>
          <w:rFonts w:hint="eastAsia" w:ascii="MS UI Gothic" w:hAnsi="MS UI Gothic" w:eastAsia="MS UI Gothic"/>
          <w:w w:val="65"/>
        </w:rPr>
        <w:t>ꎮ</w:t>
      </w:r>
    </w:p>
    <w:p>
      <w:pPr>
        <w:pStyle w:val="6"/>
        <w:spacing w:line="295" w:lineRule="auto"/>
        <w:ind w:left="381" w:right="124"/>
        <w:rPr>
          <w:rFonts w:hint="eastAsia" w:ascii="MS UI Gothic" w:eastAsia="MS UI Gothic"/>
        </w:rPr>
      </w:pPr>
      <w:r>
        <w:rPr>
          <w:w w:val="105"/>
        </w:rPr>
        <w:t>第十八条 工贸企业应当根据有限空</w:t>
      </w:r>
      <w:r>
        <w:t>间存在危险有害因素的种类和危害程度</w:t>
      </w:r>
      <w:r>
        <w:rPr>
          <w:rFonts w:hint="eastAsia" w:ascii="MS UI Gothic" w:eastAsia="MS UI Gothic"/>
          <w:w w:val="80"/>
        </w:rPr>
        <w:t>ꎬ</w:t>
      </w:r>
      <w:r>
        <w:t>为作业人员提供符合国家标准或者行业标准规定的劳动防护用品</w:t>
      </w:r>
      <w:r>
        <w:rPr>
          <w:rFonts w:hint="eastAsia" w:ascii="MS UI Gothic" w:eastAsia="MS UI Gothic"/>
          <w:w w:val="80"/>
        </w:rPr>
        <w:t xml:space="preserve">ꎬ </w:t>
      </w:r>
      <w:r>
        <w:t>并教育监督作业</w:t>
      </w:r>
      <w:r>
        <w:rPr>
          <w:w w:val="105"/>
        </w:rPr>
        <w:t>人员正确佩戴与使用</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第十九条 工贸企业有限空间作业还</w:t>
      </w:r>
      <w:r>
        <w:rPr>
          <w:w w:val="110"/>
        </w:rPr>
        <w:t>应当符合下列要求</w:t>
      </w:r>
      <w:r>
        <w:rPr>
          <w:rFonts w:hint="eastAsia" w:ascii="MS UI Gothic" w:eastAsia="MS UI Gothic"/>
          <w:w w:val="235"/>
        </w:rPr>
        <w:t>:</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保持有限空间出入口畅通</w:t>
      </w:r>
      <w:r>
        <w:rPr>
          <w:rFonts w:hint="eastAsia" w:ascii="MS UI Gothic" w:eastAsia="MS UI Gothic"/>
          <w:w w:val="80"/>
        </w:rPr>
        <w:t>ꎻ</w:t>
      </w:r>
    </w:p>
    <w:p>
      <w:pPr>
        <w:pStyle w:val="6"/>
        <w:spacing w:before="37" w:line="295" w:lineRule="auto"/>
        <w:ind w:left="381" w:right="126"/>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设置明显的安全警示标志和警</w:t>
      </w:r>
      <w:r>
        <w:rPr>
          <w:w w:val="110"/>
        </w:rPr>
        <w:t>示说明</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spacing w:val="-37"/>
          <w:w w:val="135"/>
        </w:rPr>
        <w:t xml:space="preserve">( </w:t>
      </w:r>
      <w:r>
        <w:rPr>
          <w:spacing w:val="29"/>
          <w:w w:val="110"/>
        </w:rPr>
        <w:t>三</w:t>
      </w:r>
      <w:r>
        <w:rPr>
          <w:rFonts w:hint="eastAsia" w:ascii="MS UI Gothic" w:eastAsia="MS UI Gothic"/>
          <w:spacing w:val="-14"/>
          <w:w w:val="135"/>
        </w:rPr>
        <w:t xml:space="preserve">) </w:t>
      </w:r>
      <w:r>
        <w:rPr>
          <w:spacing w:val="40"/>
          <w:w w:val="110"/>
        </w:rPr>
        <w:t>作业前清点作业人员和工</w:t>
      </w:r>
      <w:r>
        <w:rPr>
          <w:spacing w:val="3"/>
          <w:w w:val="110"/>
        </w:rPr>
        <w:t>器具</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spacing w:val="-21"/>
          <w:w w:val="105"/>
        </w:rPr>
        <w:t xml:space="preserve">( </w:t>
      </w:r>
      <w:r>
        <w:rPr>
          <w:spacing w:val="3"/>
          <w:w w:val="105"/>
        </w:rPr>
        <w:t>四</w:t>
      </w:r>
      <w:r>
        <w:rPr>
          <w:rFonts w:hint="eastAsia" w:ascii="MS UI Gothic" w:eastAsia="MS UI Gothic"/>
          <w:spacing w:val="5"/>
          <w:w w:val="105"/>
        </w:rPr>
        <w:t xml:space="preserve">) </w:t>
      </w:r>
      <w:r>
        <w:rPr>
          <w:spacing w:val="5"/>
          <w:w w:val="105"/>
        </w:rPr>
        <w:t>作业人员与外部有可靠的通讯</w:t>
      </w:r>
      <w:r>
        <w:rPr>
          <w:spacing w:val="3"/>
          <w:w w:val="110"/>
        </w:rPr>
        <w:t>联络</w:t>
      </w:r>
      <w:r>
        <w:rPr>
          <w:rFonts w:hint="eastAsia" w:ascii="MS UI Gothic" w:eastAsia="MS UI Gothic"/>
          <w:w w:val="80"/>
        </w:rPr>
        <w:t>ꎻ</w:t>
      </w:r>
    </w:p>
    <w:p>
      <w:pPr>
        <w:pStyle w:val="6"/>
        <w:spacing w:line="295" w:lineRule="auto"/>
        <w:ind w:left="381" w:right="124"/>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监护人员不得离开作业现场</w:t>
      </w:r>
      <w:r>
        <w:rPr>
          <w:rFonts w:hint="eastAsia" w:ascii="MS UI Gothic" w:eastAsia="MS UI Gothic"/>
          <w:w w:val="80"/>
        </w:rPr>
        <w:t>ꎬ</w:t>
      </w:r>
      <w:r>
        <w:rPr>
          <w:w w:val="105"/>
        </w:rPr>
        <w:t>并与作业人员保持联系</w:t>
      </w:r>
      <w:r>
        <w:rPr>
          <w:rFonts w:hint="eastAsia" w:ascii="MS UI Gothic" w:eastAsia="MS UI Gothic"/>
          <w:w w:val="80"/>
        </w:rPr>
        <w:t>ꎻ</w:t>
      </w:r>
    </w:p>
    <w:p>
      <w:pPr>
        <w:pStyle w:val="6"/>
        <w:spacing w:line="255" w:lineRule="exact"/>
        <w:ind w:left="800" w:firstLine="0"/>
        <w:jc w:val="left"/>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存在交叉作业时</w:t>
      </w:r>
      <w:r>
        <w:rPr>
          <w:rFonts w:hint="eastAsia" w:ascii="MS UI Gothic" w:eastAsia="MS UI Gothic"/>
          <w:w w:val="80"/>
        </w:rPr>
        <w:t xml:space="preserve">ꎬ </w:t>
      </w:r>
      <w:r>
        <w:rPr>
          <w:w w:val="110"/>
        </w:rPr>
        <w:t>采取避免互</w:t>
      </w:r>
    </w:p>
    <w:p>
      <w:pPr>
        <w:spacing w:after="0" w:line="255"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571" o:spid="_x0000_s1571" style="position:absolute;left:0pt;margin-left:0pt;margin-top:700.1pt;height:1.75pt;width:398.25pt;mso-position-horizontal-relative:page;z-index:25187737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１８０</w:t>
      </w:r>
    </w:p>
    <w:p>
      <w:pPr>
        <w:pStyle w:val="6"/>
        <w:spacing w:before="297" w:line="240" w:lineRule="exact"/>
        <w:ind w:firstLine="0"/>
        <w:jc w:val="left"/>
        <w:rPr>
          <w:rFonts w:hint="eastAsia" w:ascii="MS UI Gothic" w:eastAsia="MS UI Gothic"/>
        </w:rPr>
      </w:pPr>
      <w:r>
        <w:t>相伤害的措施</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pPr>
      <w:r>
        <w:t>动防护用品配备</w:t>
      </w:r>
      <w:r>
        <w:rPr>
          <w:rFonts w:hint="eastAsia" w:ascii="MS UI Gothic" w:eastAsia="MS UI Gothic"/>
        </w:rPr>
        <w:t xml:space="preserve">、 </w:t>
      </w:r>
      <w:r>
        <w:t>应急救援演练</w:t>
      </w:r>
      <w:r>
        <w:rPr>
          <w:rFonts w:hint="eastAsia" w:ascii="MS UI Gothic" w:eastAsia="MS UI Gothic"/>
        </w:rPr>
        <w:t xml:space="preserve">、 </w:t>
      </w:r>
      <w:r>
        <w:t>专项安</w:t>
      </w:r>
    </w:p>
    <w:p>
      <w:pPr>
        <w:spacing w:after="0" w:line="240" w:lineRule="exact"/>
        <w:jc w:val="left"/>
        <w:sectPr>
          <w:pgSz w:w="10500" w:h="14750"/>
          <w:pgMar w:top="960" w:right="980" w:bottom="280" w:left="980" w:header="720" w:footer="720" w:gutter="0"/>
          <w:cols w:equalWidth="0" w:num="2">
            <w:col w:w="1526" w:space="776"/>
            <w:col w:w="6238"/>
          </w:cols>
        </w:sectPr>
      </w:pPr>
    </w:p>
    <w:p>
      <w:pPr>
        <w:pStyle w:val="6"/>
        <w:spacing w:before="74" w:line="295" w:lineRule="auto"/>
        <w:ind w:right="39"/>
        <w:rPr>
          <w:rFonts w:hint="eastAsia" w:ascii="MS UI Gothic" w:eastAsia="MS UI Gothic"/>
        </w:rPr>
      </w:pPr>
      <w:r>
        <w:t>第二十条 有限空间作业结束后</w:t>
      </w:r>
      <w:r>
        <w:rPr>
          <w:rFonts w:hint="eastAsia" w:ascii="MS UI Gothic" w:eastAsia="MS UI Gothic"/>
          <w:w w:val="80"/>
        </w:rPr>
        <w:t xml:space="preserve">ꎬ </w:t>
      </w:r>
      <w:r>
        <w:t>作业现场负责人</w:t>
      </w:r>
      <w:r>
        <w:rPr>
          <w:rFonts w:hint="eastAsia" w:ascii="MS UI Gothic" w:eastAsia="MS UI Gothic"/>
          <w:w w:val="80"/>
        </w:rPr>
        <w:t xml:space="preserve">、 </w:t>
      </w:r>
      <w:r>
        <w:t>监护人员应当对作业现场进行清理</w:t>
      </w:r>
      <w:r>
        <w:rPr>
          <w:rFonts w:hint="eastAsia" w:ascii="MS UI Gothic" w:eastAsia="MS UI Gothic"/>
          <w:w w:val="80"/>
        </w:rPr>
        <w:t xml:space="preserve">ꎬ </w:t>
      </w:r>
      <w:r>
        <w:t>撤离作业人员</w:t>
      </w:r>
      <w:r>
        <w:rPr>
          <w:rFonts w:hint="eastAsia" w:ascii="MS UI Gothic" w:eastAsia="MS UI Gothic"/>
          <w:w w:val="80"/>
        </w:rPr>
        <w:t>ꎮ</w:t>
      </w:r>
    </w:p>
    <w:p>
      <w:pPr>
        <w:pStyle w:val="6"/>
        <w:spacing w:line="295" w:lineRule="auto"/>
        <w:ind w:right="38"/>
        <w:rPr>
          <w:rFonts w:hint="eastAsia" w:ascii="MS UI Gothic" w:eastAsia="MS UI Gothic"/>
        </w:rPr>
      </w:pPr>
      <w:r>
        <w:t>第二十一条 工贸企业应当根据本企业有限空间作业的特点</w:t>
      </w:r>
      <w:r>
        <w:rPr>
          <w:rFonts w:hint="eastAsia" w:ascii="MS UI Gothic" w:eastAsia="MS UI Gothic"/>
          <w:w w:val="80"/>
        </w:rPr>
        <w:t xml:space="preserve">ꎬ </w:t>
      </w:r>
      <w:r>
        <w:t>制定应急预案</w:t>
      </w:r>
      <w:r>
        <w:rPr>
          <w:rFonts w:hint="eastAsia" w:ascii="MS UI Gothic" w:eastAsia="MS UI Gothic"/>
          <w:w w:val="80"/>
        </w:rPr>
        <w:t>ꎬ</w:t>
      </w:r>
      <w:r>
        <w:t>并配备相关的呼吸器</w:t>
      </w:r>
      <w:r>
        <w:rPr>
          <w:rFonts w:hint="eastAsia" w:ascii="MS UI Gothic" w:eastAsia="MS UI Gothic"/>
          <w:w w:val="80"/>
        </w:rPr>
        <w:t xml:space="preserve">、 </w:t>
      </w:r>
      <w:r>
        <w:t>防毒面罩</w:t>
      </w:r>
      <w:r>
        <w:rPr>
          <w:rFonts w:hint="eastAsia" w:ascii="MS UI Gothic" w:eastAsia="MS UI Gothic"/>
          <w:w w:val="80"/>
        </w:rPr>
        <w:t xml:space="preserve">、 </w:t>
      </w:r>
      <w:r>
        <w:t>通讯设备</w:t>
      </w:r>
      <w:r>
        <w:rPr>
          <w:rFonts w:hint="eastAsia" w:ascii="MS UI Gothic" w:eastAsia="MS UI Gothic"/>
          <w:w w:val="80"/>
        </w:rPr>
        <w:t xml:space="preserve">、 </w:t>
      </w:r>
      <w:r>
        <w:t>安全绳索等应急装备和器材</w:t>
      </w:r>
      <w:r>
        <w:rPr>
          <w:rFonts w:hint="eastAsia" w:ascii="MS UI Gothic" w:eastAsia="MS UI Gothic"/>
          <w:w w:val="80"/>
        </w:rPr>
        <w:t xml:space="preserve">ꎮ </w:t>
      </w:r>
      <w:r>
        <w:t>有限空间作业的现场负责人</w:t>
      </w:r>
      <w:r>
        <w:rPr>
          <w:rFonts w:hint="eastAsia" w:ascii="MS UI Gothic" w:eastAsia="MS UI Gothic"/>
          <w:w w:val="80"/>
        </w:rPr>
        <w:t xml:space="preserve">、 </w:t>
      </w:r>
      <w:r>
        <w:t>监护人员</w:t>
      </w:r>
      <w:r>
        <w:rPr>
          <w:rFonts w:hint="eastAsia" w:ascii="MS UI Gothic" w:eastAsia="MS UI Gothic"/>
          <w:w w:val="80"/>
        </w:rPr>
        <w:t xml:space="preserve">、 </w:t>
      </w:r>
      <w:r>
        <w:t>作业人员和应急救援人员应当掌握相关应急预案内容</w:t>
      </w:r>
      <w:r>
        <w:rPr>
          <w:rFonts w:hint="eastAsia" w:ascii="MS UI Gothic" w:eastAsia="MS UI Gothic"/>
          <w:w w:val="80"/>
        </w:rPr>
        <w:t xml:space="preserve">ꎬ </w:t>
      </w:r>
      <w:r>
        <w:t>定期进行演练</w:t>
      </w:r>
      <w:r>
        <w:rPr>
          <w:rFonts w:hint="eastAsia" w:ascii="MS UI Gothic" w:eastAsia="MS UI Gothic"/>
          <w:w w:val="80"/>
        </w:rPr>
        <w:t xml:space="preserve">ꎬ </w:t>
      </w:r>
      <w:r>
        <w:t>提高应急处置能力</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第二十二条 工贸企业将有限空间作</w:t>
      </w:r>
      <w:r>
        <w:t>业发包给其他单位实施的</w:t>
      </w:r>
      <w:r>
        <w:rPr>
          <w:rFonts w:hint="eastAsia" w:ascii="MS UI Gothic" w:eastAsia="MS UI Gothic"/>
          <w:w w:val="80"/>
        </w:rPr>
        <w:t xml:space="preserve">ꎬ </w:t>
      </w:r>
      <w:r>
        <w:t>应当发包给具备国家规定资质或者安全生产条件的承包方</w:t>
      </w:r>
      <w:r>
        <w:rPr>
          <w:rFonts w:hint="eastAsia" w:ascii="MS UI Gothic" w:eastAsia="MS UI Gothic"/>
          <w:w w:val="80"/>
        </w:rPr>
        <w:t xml:space="preserve">ꎬ </w:t>
      </w:r>
      <w:r>
        <w:t>并与承包方签订专门的安全生产管理协议或者在承包合同中明确各自的安全生产职责</w:t>
      </w:r>
      <w:r>
        <w:rPr>
          <w:rFonts w:hint="eastAsia" w:ascii="MS UI Gothic" w:eastAsia="MS UI Gothic"/>
          <w:w w:val="80"/>
        </w:rPr>
        <w:t xml:space="preserve">ꎮ </w:t>
      </w:r>
      <w:r>
        <w:t>工贸企业应当对承包单位的安全</w:t>
      </w:r>
      <w:r>
        <w:rPr>
          <w:w w:val="105"/>
        </w:rPr>
        <w:t>生产工作统一协调</w:t>
      </w:r>
      <w:r>
        <w:rPr>
          <w:rFonts w:hint="eastAsia" w:ascii="MS UI Gothic" w:eastAsia="MS UI Gothic"/>
          <w:w w:val="80"/>
        </w:rPr>
        <w:t xml:space="preserve">、 </w:t>
      </w:r>
      <w:r>
        <w:rPr>
          <w:w w:val="105"/>
        </w:rPr>
        <w:t>管理</w:t>
      </w:r>
      <w:r>
        <w:rPr>
          <w:rFonts w:hint="eastAsia" w:ascii="MS UI Gothic" w:eastAsia="MS UI Gothic"/>
          <w:w w:val="80"/>
        </w:rPr>
        <w:t xml:space="preserve">ꎬ </w:t>
      </w:r>
      <w:r>
        <w:rPr>
          <w:w w:val="105"/>
        </w:rPr>
        <w:t>定期进行安全</w:t>
      </w:r>
      <w:r>
        <w:t>检查</w:t>
      </w:r>
      <w:r>
        <w:rPr>
          <w:rFonts w:hint="eastAsia" w:ascii="MS UI Gothic" w:eastAsia="MS UI Gothic"/>
          <w:w w:val="80"/>
        </w:rPr>
        <w:t xml:space="preserve">ꎬ </w:t>
      </w:r>
      <w:r>
        <w:t>发现安全问题的</w:t>
      </w:r>
      <w:r>
        <w:rPr>
          <w:rFonts w:hint="eastAsia" w:ascii="MS UI Gothic" w:eastAsia="MS UI Gothic"/>
          <w:w w:val="80"/>
        </w:rPr>
        <w:t xml:space="preserve">ꎬ </w:t>
      </w:r>
      <w:r>
        <w:t>应当及时督促整改</w:t>
      </w:r>
      <w:r>
        <w:rPr>
          <w:rFonts w:hint="eastAsia" w:ascii="MS UI Gothic" w:eastAsia="MS UI Gothic"/>
          <w:w w:val="80"/>
        </w:rPr>
        <w:t xml:space="preserve">ꎮ </w:t>
      </w:r>
      <w:r>
        <w:t>工贸企业对其发包的有限空间作业安全承担主体责任</w:t>
      </w:r>
      <w:r>
        <w:rPr>
          <w:rFonts w:hint="eastAsia" w:ascii="MS UI Gothic" w:eastAsia="MS UI Gothic"/>
          <w:w w:val="80"/>
        </w:rPr>
        <w:t xml:space="preserve">ꎮ </w:t>
      </w:r>
      <w:r>
        <w:t>承包方对其承包的有限</w:t>
      </w:r>
      <w:r>
        <w:rPr>
          <w:w w:val="105"/>
        </w:rPr>
        <w:t>空间作业安全承担直接责任</w:t>
      </w:r>
      <w:r>
        <w:rPr>
          <w:rFonts w:hint="eastAsia" w:ascii="MS UI Gothic" w:eastAsia="MS UI Gothic"/>
          <w:w w:val="80"/>
        </w:rPr>
        <w:t>ꎮ</w:t>
      </w:r>
    </w:p>
    <w:p>
      <w:pPr>
        <w:pStyle w:val="6"/>
        <w:spacing w:line="295" w:lineRule="auto"/>
        <w:ind w:right="38"/>
        <w:rPr>
          <w:rFonts w:hint="eastAsia" w:ascii="MS UI Gothic" w:eastAsia="MS UI Gothic"/>
        </w:rPr>
      </w:pPr>
      <w:r>
        <w:t>第二十三条 有限空间作业中发生事故后</w:t>
      </w:r>
      <w:r>
        <w:rPr>
          <w:rFonts w:hint="eastAsia" w:ascii="MS UI Gothic" w:eastAsia="MS UI Gothic"/>
          <w:w w:val="80"/>
        </w:rPr>
        <w:t xml:space="preserve">ꎬ </w:t>
      </w:r>
      <w:r>
        <w:t>现场有关人员应当立即报警</w:t>
      </w:r>
      <w:r>
        <w:rPr>
          <w:rFonts w:hint="eastAsia" w:ascii="MS UI Gothic" w:eastAsia="MS UI Gothic"/>
          <w:w w:val="80"/>
        </w:rPr>
        <w:t xml:space="preserve">ꎬ </w:t>
      </w:r>
      <w:r>
        <w:t>禁止盲目施救</w:t>
      </w:r>
      <w:r>
        <w:rPr>
          <w:rFonts w:hint="eastAsia" w:ascii="MS UI Gothic" w:eastAsia="MS UI Gothic"/>
          <w:w w:val="80"/>
        </w:rPr>
        <w:t xml:space="preserve">ꎮ </w:t>
      </w:r>
      <w:r>
        <w:t>应急救援人员实施救援时</w:t>
      </w:r>
      <w:r>
        <w:rPr>
          <w:rFonts w:hint="eastAsia" w:ascii="MS UI Gothic" w:eastAsia="MS UI Gothic"/>
          <w:w w:val="80"/>
        </w:rPr>
        <w:t xml:space="preserve">ꎬ </w:t>
      </w:r>
      <w:r>
        <w:t>应当做好自身防护</w:t>
      </w:r>
      <w:r>
        <w:rPr>
          <w:rFonts w:hint="eastAsia" w:ascii="MS UI Gothic" w:eastAsia="MS UI Gothic"/>
          <w:w w:val="80"/>
        </w:rPr>
        <w:t xml:space="preserve">ꎬ </w:t>
      </w:r>
      <w:r>
        <w:t>佩戴必要的呼吸器具</w:t>
      </w:r>
      <w:r>
        <w:rPr>
          <w:rFonts w:hint="eastAsia" w:ascii="MS UI Gothic" w:eastAsia="MS UI Gothic"/>
          <w:w w:val="80"/>
        </w:rPr>
        <w:t>、</w:t>
      </w:r>
      <w:r>
        <w:t>救援器材</w:t>
      </w:r>
      <w:r>
        <w:rPr>
          <w:rFonts w:hint="eastAsia" w:ascii="MS UI Gothic" w:eastAsia="MS UI Gothic"/>
          <w:w w:val="80"/>
        </w:rPr>
        <w:t>ꎮ</w:t>
      </w:r>
    </w:p>
    <w:p>
      <w:pPr>
        <w:pStyle w:val="6"/>
        <w:tabs>
          <w:tab w:val="left" w:pos="1067"/>
        </w:tabs>
        <w:spacing w:before="136"/>
        <w:ind w:left="229" w:firstLine="0"/>
        <w:jc w:val="left"/>
      </w:pPr>
      <w:r>
        <w:rPr>
          <w:spacing w:val="3"/>
          <w:w w:val="105"/>
        </w:rPr>
        <w:t>第三</w:t>
      </w:r>
      <w:r>
        <w:rPr>
          <w:w w:val="105"/>
        </w:rPr>
        <w:t>章</w:t>
      </w:r>
      <w:r>
        <w:rPr>
          <w:w w:val="105"/>
        </w:rPr>
        <w:tab/>
      </w:r>
      <w:r>
        <w:rPr>
          <w:spacing w:val="3"/>
          <w:w w:val="105"/>
        </w:rPr>
        <w:t>有限空间作业的安全监督管</w:t>
      </w:r>
      <w:r>
        <w:rPr>
          <w:w w:val="105"/>
        </w:rPr>
        <w:t>理</w:t>
      </w:r>
    </w:p>
    <w:p>
      <w:pPr>
        <w:pStyle w:val="6"/>
        <w:spacing w:before="215" w:line="295" w:lineRule="auto"/>
        <w:ind w:right="39"/>
        <w:rPr>
          <w:rFonts w:hint="eastAsia" w:ascii="MS UI Gothic" w:eastAsia="MS UI Gothic"/>
        </w:rPr>
      </w:pPr>
      <w:r>
        <w:t>第二十四条 安全生产监督管理部门应当加强对工贸企业有限空间作业的监督检查</w:t>
      </w:r>
      <w:r>
        <w:rPr>
          <w:rFonts w:hint="eastAsia" w:ascii="MS UI Gothic" w:eastAsia="MS UI Gothic"/>
          <w:w w:val="80"/>
        </w:rPr>
        <w:t xml:space="preserve">ꎬ </w:t>
      </w:r>
      <w:r>
        <w:t>将检查纳入年度执法工作计划</w:t>
      </w:r>
      <w:r>
        <w:rPr>
          <w:rFonts w:hint="eastAsia" w:ascii="MS UI Gothic" w:eastAsia="MS UI Gothic"/>
          <w:w w:val="80"/>
        </w:rPr>
        <w:t xml:space="preserve">ꎮ </w:t>
      </w:r>
      <w:r>
        <w:t>对发现的事故隐患和违法行为</w:t>
      </w:r>
      <w:r>
        <w:rPr>
          <w:rFonts w:hint="eastAsia" w:ascii="MS UI Gothic" w:eastAsia="MS UI Gothic"/>
          <w:w w:val="80"/>
        </w:rPr>
        <w:t xml:space="preserve">ꎬ </w:t>
      </w:r>
      <w:r>
        <w:t>依法作出处理</w:t>
      </w:r>
      <w:r>
        <w:rPr>
          <w:rFonts w:hint="eastAsia" w:ascii="MS UI Gothic" w:eastAsia="MS UI Gothic"/>
          <w:w w:val="80"/>
        </w:rPr>
        <w:t>ꎮ</w:t>
      </w:r>
    </w:p>
    <w:p>
      <w:pPr>
        <w:pStyle w:val="6"/>
        <w:spacing w:line="295" w:lineRule="auto"/>
        <w:ind w:right="39"/>
      </w:pPr>
      <w:r>
        <w:rPr>
          <w:w w:val="105"/>
        </w:rPr>
        <w:t>第二十五条 安全生产监督管理部门</w:t>
      </w:r>
      <w:r>
        <w:t>对工贸企业有限空间作业实施监督检查时</w:t>
      </w:r>
      <w:r>
        <w:rPr>
          <w:rFonts w:hint="eastAsia" w:ascii="MS UI Gothic" w:eastAsia="MS UI Gothic"/>
          <w:w w:val="80"/>
        </w:rPr>
        <w:t xml:space="preserve">ꎬ </w:t>
      </w:r>
      <w:r>
        <w:t>应当重点抽查有限空间作业安全管理</w:t>
      </w:r>
      <w:r>
        <w:rPr>
          <w:w w:val="105"/>
        </w:rPr>
        <w:t>制度</w:t>
      </w:r>
      <w:r>
        <w:rPr>
          <w:rFonts w:hint="eastAsia" w:ascii="MS UI Gothic" w:eastAsia="MS UI Gothic"/>
          <w:w w:val="80"/>
        </w:rPr>
        <w:t xml:space="preserve">、 </w:t>
      </w:r>
      <w:r>
        <w:rPr>
          <w:w w:val="105"/>
        </w:rPr>
        <w:t>有限空间管理台账</w:t>
      </w:r>
      <w:r>
        <w:rPr>
          <w:rFonts w:hint="eastAsia" w:ascii="MS UI Gothic" w:eastAsia="MS UI Gothic"/>
          <w:w w:val="80"/>
        </w:rPr>
        <w:t xml:space="preserve">、 </w:t>
      </w:r>
      <w:r>
        <w:rPr>
          <w:w w:val="105"/>
        </w:rPr>
        <w:t>检测记录</w:t>
      </w:r>
      <w:r>
        <w:rPr>
          <w:rFonts w:hint="eastAsia" w:ascii="MS UI Gothic" w:eastAsia="MS UI Gothic"/>
          <w:w w:val="80"/>
        </w:rPr>
        <w:t xml:space="preserve">、 </w:t>
      </w:r>
      <w:r>
        <w:rPr>
          <w:w w:val="105"/>
        </w:rPr>
        <w:t>劳</w:t>
      </w:r>
    </w:p>
    <w:p>
      <w:pPr>
        <w:pStyle w:val="6"/>
        <w:spacing w:before="74"/>
        <w:ind w:firstLine="0"/>
        <w:jc w:val="left"/>
        <w:rPr>
          <w:rFonts w:hint="eastAsia" w:ascii="MS UI Gothic" w:eastAsia="MS UI Gothic"/>
        </w:rPr>
      </w:pPr>
      <w:r>
        <w:br w:type="column"/>
      </w:r>
      <w:r>
        <w:rPr>
          <w:spacing w:val="3"/>
          <w:w w:val="95"/>
        </w:rPr>
        <w:t>全培训等情况</w:t>
      </w:r>
      <w:r>
        <w:rPr>
          <w:rFonts w:hint="eastAsia" w:ascii="MS UI Gothic" w:eastAsia="MS UI Gothic"/>
          <w:w w:val="80"/>
        </w:rPr>
        <w:t>ꎮ</w:t>
      </w:r>
    </w:p>
    <w:p>
      <w:pPr>
        <w:pStyle w:val="6"/>
        <w:spacing w:before="58" w:line="295" w:lineRule="auto"/>
        <w:ind w:right="442"/>
        <w:rPr>
          <w:rFonts w:hint="eastAsia" w:ascii="MS UI Gothic" w:eastAsia="MS UI Gothic"/>
        </w:rPr>
      </w:pPr>
      <w:r>
        <w:rPr>
          <w:spacing w:val="2"/>
          <w:w w:val="105"/>
        </w:rPr>
        <w:t>第二十六条 安全生产监督管理部门</w:t>
      </w:r>
      <w:r>
        <w:rPr>
          <w:spacing w:val="2"/>
        </w:rPr>
        <w:t>应当加强对行政执法人员的有限空间作业</w:t>
      </w:r>
      <w:r>
        <w:rPr>
          <w:spacing w:val="3"/>
        </w:rPr>
        <w:t>安全知识培训</w:t>
      </w:r>
      <w:r>
        <w:rPr>
          <w:rFonts w:hint="eastAsia" w:ascii="MS UI Gothic" w:eastAsia="MS UI Gothic"/>
          <w:spacing w:val="20"/>
          <w:w w:val="80"/>
        </w:rPr>
        <w:t xml:space="preserve">ꎬ </w:t>
      </w:r>
      <w:r>
        <w:rPr>
          <w:spacing w:val="2"/>
        </w:rPr>
        <w:t>并为检查有限空间作业安全的行政执法人员配备必需的劳动防护用</w:t>
      </w:r>
      <w:r>
        <w:rPr>
          <w:spacing w:val="3"/>
          <w:w w:val="105"/>
        </w:rPr>
        <w:t>品</w:t>
      </w:r>
      <w:r>
        <w:rPr>
          <w:rFonts w:hint="eastAsia" w:ascii="MS UI Gothic" w:eastAsia="MS UI Gothic"/>
          <w:spacing w:val="2"/>
          <w:w w:val="80"/>
        </w:rPr>
        <w:t xml:space="preserve">、 </w:t>
      </w:r>
      <w:r>
        <w:rPr>
          <w:spacing w:val="3"/>
          <w:w w:val="105"/>
        </w:rPr>
        <w:t>检测仪器</w:t>
      </w:r>
      <w:r>
        <w:rPr>
          <w:rFonts w:hint="eastAsia" w:ascii="MS UI Gothic" w:eastAsia="MS UI Gothic"/>
          <w:w w:val="80"/>
        </w:rPr>
        <w:t>ꎮ</w:t>
      </w:r>
    </w:p>
    <w:p>
      <w:pPr>
        <w:pStyle w:val="6"/>
        <w:spacing w:line="295" w:lineRule="auto"/>
        <w:ind w:right="442"/>
        <w:rPr>
          <w:rFonts w:hint="eastAsia" w:ascii="MS UI Gothic" w:eastAsia="MS UI Gothic"/>
        </w:rPr>
      </w:pPr>
      <w:r>
        <w:t>第二十七条 安全生产监督管理部门及其行政执法人员发现有限空间作业存在重大事故隐患的</w:t>
      </w:r>
      <w:r>
        <w:rPr>
          <w:rFonts w:hint="eastAsia" w:ascii="MS UI Gothic" w:eastAsia="MS UI Gothic"/>
          <w:w w:val="80"/>
        </w:rPr>
        <w:t xml:space="preserve">ꎬ </w:t>
      </w:r>
      <w:r>
        <w:t>应当责令立即或者限期整改</w:t>
      </w:r>
      <w:r>
        <w:rPr>
          <w:rFonts w:hint="eastAsia" w:ascii="MS UI Gothic" w:eastAsia="MS UI Gothic"/>
          <w:w w:val="80"/>
        </w:rPr>
        <w:t xml:space="preserve">ꎻ </w:t>
      </w:r>
      <w:r>
        <w:t>重大事故隐患排除前或者排除过程中无法保证安全的</w:t>
      </w:r>
      <w:r>
        <w:rPr>
          <w:rFonts w:hint="eastAsia" w:ascii="MS UI Gothic" w:eastAsia="MS UI Gothic"/>
          <w:w w:val="80"/>
        </w:rPr>
        <w:t xml:space="preserve">ꎬ </w:t>
      </w:r>
      <w:r>
        <w:t>应当责令暂时停止作业</w:t>
      </w:r>
      <w:r>
        <w:rPr>
          <w:rFonts w:hint="eastAsia" w:ascii="MS UI Gothic" w:eastAsia="MS UI Gothic"/>
          <w:w w:val="80"/>
        </w:rPr>
        <w:t xml:space="preserve">ꎬ </w:t>
      </w:r>
      <w:r>
        <w:t>撤出作业人员</w:t>
      </w:r>
      <w:r>
        <w:rPr>
          <w:rFonts w:hint="eastAsia" w:ascii="MS UI Gothic" w:eastAsia="MS UI Gothic"/>
          <w:w w:val="80"/>
        </w:rPr>
        <w:t xml:space="preserve">ꎻ </w:t>
      </w:r>
      <w:r>
        <w:t>重大事故隐患排除后</w:t>
      </w:r>
      <w:r>
        <w:rPr>
          <w:rFonts w:hint="eastAsia" w:ascii="MS UI Gothic" w:eastAsia="MS UI Gothic"/>
          <w:w w:val="80"/>
        </w:rPr>
        <w:t xml:space="preserve">ꎬ </w:t>
      </w:r>
      <w:r>
        <w:t>经审查同意</w:t>
      </w:r>
      <w:r>
        <w:rPr>
          <w:rFonts w:hint="eastAsia" w:ascii="MS UI Gothic" w:eastAsia="MS UI Gothic"/>
          <w:w w:val="80"/>
        </w:rPr>
        <w:t xml:space="preserve">ꎬ </w:t>
      </w:r>
      <w:r>
        <w:t>方可恢复作业</w:t>
      </w:r>
      <w:r>
        <w:rPr>
          <w:rFonts w:hint="eastAsia" w:ascii="MS UI Gothic" w:eastAsia="MS UI Gothic"/>
          <w:w w:val="80"/>
        </w:rPr>
        <w:t>ꎮ</w:t>
      </w:r>
    </w:p>
    <w:p>
      <w:pPr>
        <w:pStyle w:val="6"/>
        <w:tabs>
          <w:tab w:val="left" w:pos="1906"/>
        </w:tabs>
        <w:spacing w:before="148"/>
        <w:ind w:left="1067" w:firstLine="0"/>
        <w:jc w:val="left"/>
      </w:pPr>
      <w:r>
        <w:rPr>
          <w:spacing w:val="3"/>
          <w:w w:val="105"/>
        </w:rPr>
        <w:t>第四</w:t>
      </w:r>
      <w:r>
        <w:rPr>
          <w:w w:val="105"/>
        </w:rPr>
        <w:t>章</w:t>
      </w:r>
      <w:r>
        <w:rPr>
          <w:w w:val="105"/>
        </w:rPr>
        <w:tab/>
      </w:r>
      <w:r>
        <w:rPr>
          <w:w w:val="105"/>
        </w:rPr>
        <w:t>法</w:t>
      </w:r>
      <w:r>
        <w:rPr>
          <w:spacing w:val="-33"/>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right="442"/>
        <w:rPr>
          <w:rFonts w:hint="eastAsia" w:ascii="MS UI Gothic" w:eastAsia="MS UI Gothic"/>
        </w:rPr>
      </w:pPr>
      <w:r>
        <w:t>第二十八条 工贸企业有下列行为之一的</w:t>
      </w:r>
      <w:r>
        <w:rPr>
          <w:rFonts w:hint="eastAsia" w:ascii="MS UI Gothic" w:eastAsia="MS UI Gothic"/>
          <w:w w:val="80"/>
        </w:rPr>
        <w:t xml:space="preserve">ꎬ </w:t>
      </w:r>
      <w:r>
        <w:t>由县级以上安全生产监督管理部门责令限期改正</w:t>
      </w:r>
      <w:r>
        <w:rPr>
          <w:rFonts w:hint="eastAsia" w:ascii="MS UI Gothic" w:eastAsia="MS UI Gothic"/>
          <w:w w:val="80"/>
        </w:rPr>
        <w:t xml:space="preserve">ꎬ </w:t>
      </w:r>
      <w:r>
        <w:t xml:space="preserve">可以处 </w:t>
      </w:r>
      <w:r>
        <w:rPr>
          <w:rFonts w:hint="eastAsia" w:ascii="MS UI Gothic" w:eastAsia="MS UI Gothic"/>
          <w:w w:val="80"/>
        </w:rPr>
        <w:t xml:space="preserve">５ </w:t>
      </w:r>
      <w:r>
        <w:t>万元以下的罚款</w:t>
      </w:r>
      <w:r>
        <w:rPr>
          <w:rFonts w:hint="eastAsia" w:ascii="MS UI Gothic" w:eastAsia="MS UI Gothic"/>
          <w:w w:val="80"/>
        </w:rPr>
        <w:t xml:space="preserve">ꎻ </w:t>
      </w:r>
      <w:r>
        <w:t>逾期未改正的</w:t>
      </w:r>
      <w:r>
        <w:rPr>
          <w:rFonts w:hint="eastAsia" w:ascii="MS UI Gothic" w:eastAsia="MS UI Gothic"/>
          <w:w w:val="80"/>
        </w:rPr>
        <w:t xml:space="preserve">ꎬ </w:t>
      </w:r>
      <w:r>
        <w:t xml:space="preserve">处 </w:t>
      </w:r>
      <w:r>
        <w:rPr>
          <w:rFonts w:hint="eastAsia" w:ascii="MS UI Gothic" w:eastAsia="MS UI Gothic"/>
          <w:w w:val="80"/>
        </w:rPr>
        <w:t xml:space="preserve">５ </w:t>
      </w:r>
      <w:r>
        <w:t xml:space="preserve">万元以上 </w:t>
      </w:r>
      <w:r>
        <w:rPr>
          <w:rFonts w:hint="eastAsia" w:ascii="MS UI Gothic" w:eastAsia="MS UI Gothic"/>
          <w:w w:val="80"/>
        </w:rPr>
        <w:t xml:space="preserve">２０ </w:t>
      </w:r>
      <w:r>
        <w:t>万元以下的罚款</w:t>
      </w:r>
      <w:r>
        <w:rPr>
          <w:rFonts w:hint="eastAsia" w:ascii="MS UI Gothic" w:eastAsia="MS UI Gothic"/>
          <w:w w:val="80"/>
        </w:rPr>
        <w:t xml:space="preserve">ꎬ </w:t>
      </w:r>
      <w:r>
        <w:t xml:space="preserve">其直接负责的主管人员和其他直接责任人员处 </w:t>
      </w:r>
      <w:r>
        <w:rPr>
          <w:rFonts w:hint="eastAsia" w:ascii="MS UI Gothic" w:eastAsia="MS UI Gothic"/>
          <w:w w:val="80"/>
        </w:rPr>
        <w:t xml:space="preserve">１ </w:t>
      </w:r>
      <w:r>
        <w:t xml:space="preserve">万元以上 </w:t>
      </w:r>
      <w:r>
        <w:rPr>
          <w:rFonts w:hint="eastAsia" w:ascii="MS UI Gothic" w:eastAsia="MS UI Gothic"/>
          <w:w w:val="80"/>
        </w:rPr>
        <w:t xml:space="preserve">２ </w:t>
      </w:r>
      <w:r>
        <w:t>万元以下的罚款</w:t>
      </w:r>
      <w:r>
        <w:rPr>
          <w:rFonts w:hint="eastAsia" w:ascii="MS UI Gothic" w:eastAsia="MS UI Gothic"/>
          <w:w w:val="80"/>
        </w:rPr>
        <w:t xml:space="preserve">ꎻ </w:t>
      </w:r>
      <w:r>
        <w:t>情节严重的</w:t>
      </w:r>
      <w:r>
        <w:rPr>
          <w:rFonts w:hint="eastAsia" w:ascii="MS UI Gothic" w:eastAsia="MS UI Gothic"/>
          <w:w w:val="80"/>
        </w:rPr>
        <w:t xml:space="preserve">ꎬ </w:t>
      </w:r>
      <w:r>
        <w:t>责令停产停业整顿</w:t>
      </w:r>
      <w:r>
        <w:rPr>
          <w:rFonts w:hint="eastAsia" w:ascii="MS UI Gothic" w:eastAsia="MS UI Gothic"/>
          <w:w w:val="230"/>
        </w:rPr>
        <w:t>:</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未在有限空间作业场所设置明</w:t>
      </w:r>
      <w:r>
        <w:rPr>
          <w:w w:val="110"/>
        </w:rPr>
        <w:t>显的安全警示标志的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未按照本规定为作业人员提供</w:t>
      </w:r>
      <w:r>
        <w:t>符合国家标准或者行业标准的劳动防护用</w:t>
      </w:r>
      <w:r>
        <w:rPr>
          <w:w w:val="105"/>
        </w:rPr>
        <w:t>品的</w:t>
      </w:r>
      <w:r>
        <w:rPr>
          <w:rFonts w:hint="eastAsia" w:ascii="MS UI Gothic" w:eastAsia="MS UI Gothic"/>
          <w:w w:val="80"/>
        </w:rPr>
        <w:t>ꎮ</w:t>
      </w:r>
    </w:p>
    <w:p>
      <w:pPr>
        <w:pStyle w:val="6"/>
        <w:spacing w:line="295" w:lineRule="auto"/>
        <w:ind w:right="440"/>
        <w:rPr>
          <w:rFonts w:hint="eastAsia" w:ascii="MS UI Gothic" w:eastAsia="MS UI Gothic"/>
        </w:rPr>
      </w:pPr>
      <w:r>
        <w:t>第二十九条 工贸企业有下列情形之一的</w:t>
      </w:r>
      <w:r>
        <w:rPr>
          <w:rFonts w:hint="eastAsia" w:ascii="MS UI Gothic" w:eastAsia="MS UI Gothic"/>
          <w:w w:val="80"/>
        </w:rPr>
        <w:t xml:space="preserve">ꎬ </w:t>
      </w:r>
      <w:r>
        <w:t>由县级以上安全生产监督管理部门责令限期改正</w:t>
      </w:r>
      <w:r>
        <w:rPr>
          <w:rFonts w:hint="eastAsia" w:ascii="MS UI Gothic" w:eastAsia="MS UI Gothic"/>
          <w:w w:val="80"/>
        </w:rPr>
        <w:t xml:space="preserve">ꎬ </w:t>
      </w:r>
      <w:r>
        <w:t xml:space="preserve">可以处 </w:t>
      </w:r>
      <w:r>
        <w:rPr>
          <w:rFonts w:hint="eastAsia" w:ascii="MS UI Gothic" w:eastAsia="MS UI Gothic"/>
          <w:w w:val="80"/>
        </w:rPr>
        <w:t xml:space="preserve">５ </w:t>
      </w:r>
      <w:r>
        <w:t>万元以下的罚款</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责令停产停业整顿</w:t>
      </w:r>
      <w:r>
        <w:rPr>
          <w:rFonts w:hint="eastAsia" w:ascii="MS UI Gothic" w:eastAsia="MS UI Gothic"/>
          <w:w w:val="80"/>
        </w:rPr>
        <w:t>ꎬ</w:t>
      </w:r>
      <w:r>
        <w:t xml:space="preserve">并处 </w:t>
      </w:r>
      <w:r>
        <w:rPr>
          <w:rFonts w:hint="eastAsia" w:ascii="MS UI Gothic" w:eastAsia="MS UI Gothic"/>
          <w:w w:val="80"/>
        </w:rPr>
        <w:t xml:space="preserve">５ </w:t>
      </w:r>
      <w:r>
        <w:t xml:space="preserve">万元以上 </w:t>
      </w:r>
      <w:r>
        <w:rPr>
          <w:rFonts w:hint="eastAsia" w:ascii="MS UI Gothic" w:eastAsia="MS UI Gothic"/>
          <w:w w:val="80"/>
        </w:rPr>
        <w:t xml:space="preserve">１０ </w:t>
      </w:r>
      <w:r>
        <w:t>万元以下的罚款</w:t>
      </w:r>
      <w:r>
        <w:rPr>
          <w:rFonts w:hint="eastAsia" w:ascii="MS UI Gothic" w:eastAsia="MS UI Gothic"/>
          <w:w w:val="80"/>
        </w:rPr>
        <w:t xml:space="preserve">ꎬ </w:t>
      </w:r>
      <w:r>
        <w:t xml:space="preserve">对其直接负责的主管人员和其他直接责任人员处 </w:t>
      </w:r>
      <w:r>
        <w:rPr>
          <w:rFonts w:hint="eastAsia" w:ascii="MS UI Gothic" w:eastAsia="MS UI Gothic"/>
          <w:w w:val="80"/>
        </w:rPr>
        <w:t xml:space="preserve">１ </w:t>
      </w:r>
      <w:r>
        <w:t xml:space="preserve">万元以上 </w:t>
      </w:r>
      <w:r>
        <w:rPr>
          <w:rFonts w:hint="eastAsia" w:ascii="MS UI Gothic" w:eastAsia="MS UI Gothic"/>
          <w:w w:val="80"/>
        </w:rPr>
        <w:t xml:space="preserve">２ </w:t>
      </w:r>
      <w:r>
        <w:t>万元以下的罚款</w:t>
      </w:r>
      <w:r>
        <w:rPr>
          <w:rFonts w:hint="eastAsia" w:ascii="MS UI Gothic" w:eastAsia="MS UI Gothic"/>
          <w:w w:val="230"/>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未按照本规定对有限空间的现场负责人</w:t>
      </w:r>
      <w:r>
        <w:rPr>
          <w:rFonts w:hint="eastAsia" w:ascii="MS UI Gothic" w:eastAsia="MS UI Gothic"/>
          <w:w w:val="80"/>
        </w:rPr>
        <w:t xml:space="preserve">、 </w:t>
      </w:r>
      <w:r>
        <w:rPr>
          <w:w w:val="105"/>
        </w:rPr>
        <w:t>监护人员</w:t>
      </w:r>
      <w:r>
        <w:rPr>
          <w:rFonts w:hint="eastAsia" w:ascii="MS UI Gothic" w:eastAsia="MS UI Gothic"/>
          <w:w w:val="80"/>
        </w:rPr>
        <w:t xml:space="preserve">、 </w:t>
      </w:r>
      <w:r>
        <w:rPr>
          <w:w w:val="105"/>
        </w:rPr>
        <w:t>作业人员和应急救援人员进行安全培训的</w:t>
      </w:r>
      <w:r>
        <w:rPr>
          <w:rFonts w:hint="eastAsia" w:ascii="MS UI Gothic" w:eastAsia="MS UI Gothic"/>
          <w:w w:val="80"/>
        </w:rPr>
        <w:t>ꎻ</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１８１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72" o:spid="_x0000_s1572" o:spt="203" style="height:2.15pt;width:398.25pt;" coordsize="7965,43">
            <o:lock v:ext="edit"/>
            <v:line id="_x0000_s1573" o:spid="_x0000_s1573" o:spt="20" style="position:absolute;left:0;top:39;height:0;width:7965;" stroked="t" coordsize="21600,21600">
              <v:path arrowok="t"/>
              <v:fill focussize="0,0"/>
              <v:stroke weight="0.388031496062992pt" color="#231F20"/>
              <v:imagedata o:title=""/>
              <o:lock v:ext="edit"/>
            </v:line>
            <v:line id="_x0000_s1574" o:spid="_x0000_s157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未按照本规定对有限空间作业制定应急预案</w:t>
      </w:r>
      <w:r>
        <w:rPr>
          <w:rFonts w:hint="eastAsia" w:ascii="MS UI Gothic" w:eastAsia="MS UI Gothic"/>
          <w:w w:val="80"/>
        </w:rPr>
        <w:t xml:space="preserve">ꎬ </w:t>
      </w:r>
      <w:r>
        <w:rPr>
          <w:w w:val="105"/>
        </w:rPr>
        <w:t>或者定期进行演练的</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第三十条 工贸企业有下列情形之一</w:t>
      </w:r>
      <w:r>
        <w:t>的</w:t>
      </w:r>
      <w:r>
        <w:rPr>
          <w:rFonts w:hint="eastAsia" w:ascii="MS UI Gothic" w:eastAsia="MS UI Gothic"/>
          <w:w w:val="80"/>
        </w:rPr>
        <w:t xml:space="preserve">ꎬ </w:t>
      </w:r>
      <w:r>
        <w:t>由县级以上安全生产监督管理部门责令限期改正</w:t>
      </w:r>
      <w:r>
        <w:rPr>
          <w:rFonts w:hint="eastAsia" w:ascii="MS UI Gothic" w:eastAsia="MS UI Gothic"/>
          <w:w w:val="80"/>
        </w:rPr>
        <w:t xml:space="preserve">ꎬ </w:t>
      </w:r>
      <w:r>
        <w:t xml:space="preserve">可以处 </w:t>
      </w:r>
      <w:r>
        <w:rPr>
          <w:rFonts w:hint="eastAsia" w:ascii="MS UI Gothic" w:eastAsia="MS UI Gothic"/>
          <w:w w:val="80"/>
        </w:rPr>
        <w:t xml:space="preserve">３ </w:t>
      </w:r>
      <w:r>
        <w:t>万元以下的罚款</w:t>
      </w:r>
      <w:r>
        <w:rPr>
          <w:rFonts w:hint="eastAsia" w:ascii="MS UI Gothic" w:eastAsia="MS UI Gothic"/>
          <w:w w:val="80"/>
        </w:rPr>
        <w:t>ꎬ</w:t>
      </w:r>
      <w:r>
        <w:t>对其直接负责的主管人员和其他直接责任</w:t>
      </w:r>
      <w:r>
        <w:rPr>
          <w:w w:val="105"/>
        </w:rPr>
        <w:t xml:space="preserve">人员处 </w:t>
      </w:r>
      <w:r>
        <w:rPr>
          <w:rFonts w:hint="eastAsia" w:ascii="MS UI Gothic" w:eastAsia="MS UI Gothic"/>
          <w:w w:val="80"/>
        </w:rPr>
        <w:t xml:space="preserve">１ </w:t>
      </w:r>
      <w:r>
        <w:rPr>
          <w:w w:val="105"/>
        </w:rPr>
        <w:t>万元以下的罚款</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未按照本规定对有限空间作业进行辨识</w:t>
      </w:r>
      <w:r>
        <w:rPr>
          <w:rFonts w:hint="eastAsia" w:ascii="MS UI Gothic" w:eastAsia="MS UI Gothic"/>
          <w:w w:val="80"/>
        </w:rPr>
        <w:t xml:space="preserve">、 </w:t>
      </w:r>
      <w:r>
        <w:rPr>
          <w:w w:val="105"/>
        </w:rPr>
        <w:t>提出防范措施</w:t>
      </w:r>
      <w:r>
        <w:rPr>
          <w:rFonts w:hint="eastAsia" w:ascii="MS UI Gothic" w:eastAsia="MS UI Gothic"/>
          <w:w w:val="80"/>
        </w:rPr>
        <w:t xml:space="preserve">、 </w:t>
      </w:r>
      <w:r>
        <w:rPr>
          <w:w w:val="105"/>
        </w:rPr>
        <w:t>建立有限空间管理台账的</w:t>
      </w:r>
      <w:r>
        <w:rPr>
          <w:rFonts w:hint="eastAsia" w:ascii="MS UI Gothic" w:eastAsia="MS UI Gothic"/>
          <w:w w:val="80"/>
        </w:rPr>
        <w:t>ꎻ</w:t>
      </w:r>
    </w:p>
    <w:p>
      <w:pPr>
        <w:pStyle w:val="6"/>
        <w:spacing w:before="124" w:line="295" w:lineRule="auto"/>
        <w:ind w:left="381" w:right="126"/>
        <w:rPr>
          <w:rFonts w:hint="eastAsia" w:ascii="MS UI Gothic" w:eastAsia="MS UI Gothic"/>
        </w:rPr>
      </w:pPr>
      <w:r>
        <w:br w:type="column"/>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未按照本规定对有限空间作业</w:t>
      </w:r>
      <w:r>
        <w:t>制定作业方案或者方案未经审批擅自作</w:t>
      </w:r>
      <w:r>
        <w:rPr>
          <w:w w:val="105"/>
        </w:rPr>
        <w:t>业的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有限空间作业未按照本规定进</w:t>
      </w:r>
      <w:r>
        <w:t>行危险有害因素检测或者监测</w:t>
      </w:r>
      <w:r>
        <w:rPr>
          <w:rFonts w:hint="eastAsia" w:ascii="MS UI Gothic" w:eastAsia="MS UI Gothic"/>
          <w:w w:val="80"/>
        </w:rPr>
        <w:t xml:space="preserve">ꎬ </w:t>
      </w:r>
      <w:r>
        <w:t>并实行专</w:t>
      </w:r>
      <w:r>
        <w:rPr>
          <w:w w:val="105"/>
        </w:rPr>
        <w:t>人监护作业的</w:t>
      </w:r>
      <w:r>
        <w:rPr>
          <w:rFonts w:hint="eastAsia" w:ascii="MS UI Gothic" w:eastAsia="MS UI Gothic"/>
          <w:w w:val="80"/>
        </w:rPr>
        <w:t>ꎮ</w:t>
      </w:r>
    </w:p>
    <w:p>
      <w:pPr>
        <w:pStyle w:val="6"/>
        <w:tabs>
          <w:tab w:val="left" w:pos="2267"/>
          <w:tab w:val="left" w:pos="2896"/>
        </w:tabs>
        <w:spacing w:before="152"/>
        <w:ind w:left="1429" w:firstLine="0"/>
        <w:jc w:val="left"/>
      </w:pPr>
      <w:r>
        <w:rPr>
          <w:spacing w:val="3"/>
          <w:w w:val="105"/>
        </w:rPr>
        <w:t>第五</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spacing w:line="295" w:lineRule="auto"/>
        <w:ind w:left="536" w:right="126" w:firstLine="263"/>
        <w:rPr>
          <w:rFonts w:hint="eastAsia" w:ascii="MS UI Gothic" w:eastAsia="MS UI Gothic"/>
        </w:rPr>
      </w:pPr>
      <w:r>
        <w:pict>
          <v:shape id="_x0000_s1575" o:spid="_x0000_s1575" o:spt="202" type="#_x0000_t202" style="position:absolute;left:0pt;margin-left:280.35pt;margin-top:12pt;height:24.35pt;width:5.15pt;mso-position-horizontal-relative:page;z-index:25187942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第三十一条 本规定自 </w:t>
      </w:r>
      <w:r>
        <w:rPr>
          <w:rFonts w:hint="eastAsia" w:ascii="MS UI Gothic" w:eastAsia="MS UI Gothic"/>
          <w:w w:val="95"/>
        </w:rPr>
        <w:t xml:space="preserve">２０１３ </w:t>
      </w:r>
      <w:r>
        <w:rPr>
          <w:w w:val="95"/>
        </w:rPr>
        <w:t xml:space="preserve">年 </w:t>
      </w:r>
      <w:r>
        <w:rPr>
          <w:rFonts w:hint="eastAsia" w:ascii="MS UI Gothic" w:eastAsia="MS UI Gothic"/>
          <w:w w:val="95"/>
        </w:rPr>
        <w:t xml:space="preserve">７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
        <w:ind w:left="0" w:firstLine="0"/>
        <w:jc w:val="left"/>
        <w:rPr>
          <w:rFonts w:ascii="MS UI Gothic"/>
          <w:sz w:val="17"/>
        </w:rPr>
      </w:pPr>
    </w:p>
    <w:p>
      <w:pPr>
        <w:pStyle w:val="4"/>
        <w:spacing w:before="74"/>
      </w:pPr>
      <w:r>
        <w:t>国家安全生产监督管理总局令</w:t>
      </w:r>
    </w:p>
    <w:p>
      <w:pPr>
        <w:pStyle w:val="6"/>
        <w:ind w:left="0" w:firstLine="0"/>
        <w:jc w:val="left"/>
        <w:rPr>
          <w:sz w:val="27"/>
        </w:rPr>
      </w:pPr>
    </w:p>
    <w:p>
      <w:pPr>
        <w:pStyle w:val="5"/>
        <w:spacing w:before="1"/>
        <w:ind w:left="312"/>
      </w:pPr>
      <w:r>
        <w:t xml:space="preserve">第 </w:t>
      </w:r>
      <w:r>
        <w:rPr>
          <w:rFonts w:hint="eastAsia" w:ascii="MS UI Gothic" w:eastAsia="MS UI Gothic"/>
        </w:rPr>
        <w:t xml:space="preserve">６３ </w:t>
      </w:r>
      <w:r>
        <w:t>号</w:t>
      </w:r>
    </w:p>
    <w:p>
      <w:pPr>
        <w:pStyle w:val="6"/>
        <w:spacing w:before="353" w:line="295" w:lineRule="auto"/>
        <w:ind w:left="440" w:right="124"/>
        <w:rPr>
          <w:rFonts w:hint="eastAsia" w:ascii="MS UI Gothic" w:hAnsi="MS UI Gothic" w:eastAsia="MS UI Gothic"/>
        </w:rPr>
      </w:pPr>
      <w:r>
        <w:rPr>
          <w:rFonts w:hint="eastAsia" w:ascii="MS UI Gothic" w:hAnsi="MS UI Gothic" w:eastAsia="MS UI Gothic"/>
          <w:w w:val="95"/>
        </w:rPr>
        <w:t xml:space="preserve">« </w:t>
      </w:r>
      <w:r>
        <w:rPr>
          <w:w w:val="95"/>
        </w:rPr>
        <w:t xml:space="preserve">国家安全监管总局关于修改  </w:t>
      </w:r>
      <w:r>
        <w:rPr>
          <w:rFonts w:hint="eastAsia" w:ascii="MS UI Gothic" w:hAnsi="MS UI Gothic" w:eastAsia="MS UI Gothic"/>
          <w:w w:val="95"/>
        </w:rPr>
        <w:t xml:space="preserve">‹ </w:t>
      </w:r>
      <w:r>
        <w:rPr>
          <w:w w:val="95"/>
        </w:rPr>
        <w:t>生产经营单位安全培训规定</w:t>
      </w:r>
      <w:r>
        <w:rPr>
          <w:rFonts w:hint="eastAsia" w:ascii="MS UI Gothic" w:hAnsi="MS UI Gothic" w:eastAsia="MS UI Gothic"/>
          <w:w w:val="95"/>
        </w:rPr>
        <w:t xml:space="preserve">›  </w:t>
      </w:r>
      <w:r>
        <w:rPr>
          <w:w w:val="95"/>
        </w:rPr>
        <w:t xml:space="preserve">等 </w:t>
      </w:r>
      <w:r>
        <w:rPr>
          <w:rFonts w:hint="eastAsia" w:ascii="MS UI Gothic" w:hAnsi="MS UI Gothic" w:eastAsia="MS UI Gothic"/>
          <w:w w:val="95"/>
        </w:rPr>
        <w:t xml:space="preserve">１１  </w:t>
      </w:r>
      <w:r>
        <w:rPr>
          <w:w w:val="95"/>
        </w:rPr>
        <w:t>件规章的决定</w:t>
      </w:r>
      <w:r>
        <w:rPr>
          <w:rFonts w:hint="eastAsia" w:ascii="MS UI Gothic" w:hAnsi="MS UI Gothic" w:eastAsia="MS UI Gothic"/>
          <w:w w:val="95"/>
        </w:rPr>
        <w:t xml:space="preserve">» </w:t>
      </w:r>
      <w:r>
        <w:rPr>
          <w:w w:val="95"/>
        </w:rPr>
        <w:t xml:space="preserve">已经 </w:t>
      </w:r>
      <w:r>
        <w:rPr>
          <w:rFonts w:hint="eastAsia" w:ascii="MS UI Gothic" w:hAnsi="MS UI Gothic" w:eastAsia="MS UI Gothic"/>
          <w:w w:val="95"/>
        </w:rPr>
        <w:t xml:space="preserve">２０１３ </w:t>
      </w:r>
      <w:r>
        <w:rPr>
          <w:w w:val="95"/>
        </w:rPr>
        <w:t xml:space="preserve">年 </w:t>
      </w:r>
      <w:r>
        <w:rPr>
          <w:rFonts w:hint="eastAsia" w:ascii="MS UI Gothic" w:hAnsi="MS UI Gothic" w:eastAsia="MS UI Gothic"/>
          <w:w w:val="95"/>
        </w:rPr>
        <w:t xml:space="preserve">８ </w:t>
      </w:r>
      <w:r>
        <w:rPr>
          <w:w w:val="95"/>
        </w:rPr>
        <w:t xml:space="preserve">月 </w:t>
      </w:r>
      <w:r>
        <w:rPr>
          <w:rFonts w:hint="eastAsia" w:ascii="MS UI Gothic" w:hAnsi="MS UI Gothic" w:eastAsia="MS UI Gothic"/>
          <w:w w:val="95"/>
        </w:rPr>
        <w:t xml:space="preserve">１９ </w:t>
      </w:r>
      <w:r>
        <w:rPr>
          <w:w w:val="95"/>
        </w:rPr>
        <w:t>日国家安全生产监督管理总局局长办公会议审议通过</w:t>
      </w:r>
      <w:r>
        <w:rPr>
          <w:rFonts w:hint="eastAsia" w:ascii="MS UI Gothic" w:hAnsi="MS UI Gothic" w:eastAsia="MS UI Gothic"/>
          <w:w w:val="90"/>
        </w:rPr>
        <w:t xml:space="preserve">ꎬ </w:t>
      </w:r>
      <w:r>
        <w:rPr>
          <w:w w:val="95"/>
        </w:rPr>
        <w:t>现予公布</w:t>
      </w:r>
      <w:r>
        <w:rPr>
          <w:rFonts w:hint="eastAsia" w:ascii="MS UI Gothic" w:hAnsi="MS UI Gothic" w:eastAsia="MS UI Gothic"/>
          <w:w w:val="90"/>
        </w:rPr>
        <w:t>ꎬ</w:t>
      </w:r>
      <w:r>
        <w:rPr>
          <w:w w:val="95"/>
        </w:rPr>
        <w:t>自公布之日起施行</w:t>
      </w:r>
      <w:r>
        <w:rPr>
          <w:rFonts w:hint="eastAsia" w:ascii="MS UI Gothic" w:hAnsi="MS UI Gothic" w:eastAsia="MS UI Gothic"/>
          <w:w w:val="90"/>
        </w:rPr>
        <w:t>ꎮ</w:t>
      </w:r>
    </w:p>
    <w:p>
      <w:pPr>
        <w:pStyle w:val="6"/>
        <w:spacing w:before="313"/>
        <w:ind w:left="6728" w:firstLine="0"/>
        <w:jc w:val="left"/>
      </w:pPr>
      <w:r>
        <w:rPr>
          <w:spacing w:val="2"/>
        </w:rPr>
        <w:t>国家安全监管总局</w:t>
      </w:r>
    </w:p>
    <w:p>
      <w:pPr>
        <w:pStyle w:val="6"/>
        <w:spacing w:before="58"/>
        <w:ind w:left="6789" w:firstLine="0"/>
        <w:jc w:val="left"/>
      </w:pPr>
      <w:r>
        <w:rPr>
          <w:rFonts w:hint="eastAsia" w:ascii="MS UI Gothic" w:eastAsia="MS UI Gothic"/>
          <w:spacing w:val="-7"/>
          <w:w w:val="95"/>
        </w:rPr>
        <w:t xml:space="preserve">２０１３ </w:t>
      </w:r>
      <w:r>
        <w:rPr>
          <w:spacing w:val="-36"/>
          <w:w w:val="95"/>
        </w:rPr>
        <w:t xml:space="preserve">年 </w:t>
      </w:r>
      <w:r>
        <w:rPr>
          <w:rFonts w:hint="eastAsia" w:ascii="MS UI Gothic" w:eastAsia="MS UI Gothic"/>
          <w:spacing w:val="-15"/>
          <w:w w:val="95"/>
        </w:rPr>
        <w:t xml:space="preserve">８ </w:t>
      </w:r>
      <w:r>
        <w:rPr>
          <w:spacing w:val="-36"/>
          <w:w w:val="95"/>
        </w:rPr>
        <w:t xml:space="preserve">月 </w:t>
      </w:r>
      <w:r>
        <w:rPr>
          <w:rFonts w:hint="eastAsia" w:ascii="MS UI Gothic" w:eastAsia="MS UI Gothic"/>
          <w:spacing w:val="-10"/>
          <w:w w:val="95"/>
        </w:rPr>
        <w:t xml:space="preserve">２９ </w:t>
      </w:r>
      <w:r>
        <w:rPr>
          <w:w w:val="95"/>
        </w:rPr>
        <w:t>日</w:t>
      </w:r>
    </w:p>
    <w:p>
      <w:pPr>
        <w:pStyle w:val="6"/>
        <w:spacing w:before="10"/>
        <w:ind w:left="0" w:firstLine="0"/>
        <w:jc w:val="left"/>
        <w:rPr>
          <w:sz w:val="12"/>
        </w:rPr>
      </w:pPr>
    </w:p>
    <w:p>
      <w:pPr>
        <w:pStyle w:val="4"/>
        <w:spacing w:before="195"/>
        <w:ind w:left="286"/>
        <w:rPr>
          <w:rFonts w:hint="eastAsia" w:ascii="Microsoft Yi Baiti" w:eastAsia="Microsoft Yi Baiti"/>
        </w:rPr>
      </w:pPr>
      <w:r>
        <w:t xml:space="preserve">海洋石油安全管理细则 </w:t>
      </w:r>
      <w:r>
        <w:rPr>
          <w:rFonts w:hint="eastAsia" w:ascii="Microsoft Yi Baiti" w:eastAsia="Microsoft Yi Baiti"/>
        </w:rPr>
        <w:t>(</w:t>
      </w:r>
      <w:r>
        <w:rPr>
          <w:rFonts w:hint="eastAsia" w:ascii="MS UI Gothic" w:eastAsia="MS UI Gothic"/>
        </w:rPr>
        <w:t xml:space="preserve">２０１３ </w:t>
      </w:r>
      <w:r>
        <w:t>年修正</w:t>
      </w:r>
      <w:r>
        <w:rPr>
          <w:rFonts w:hint="eastAsia" w:ascii="Microsoft Yi Baiti" w:eastAsia="Microsoft Yi Baiti"/>
        </w:rPr>
        <w:t>)</w:t>
      </w:r>
    </w:p>
    <w:p>
      <w:pPr>
        <w:pStyle w:val="6"/>
        <w:spacing w:before="4"/>
        <w:ind w:left="0" w:firstLine="0"/>
        <w:jc w:val="left"/>
        <w:rPr>
          <w:rFonts w:ascii="Microsoft Yi Baiti"/>
          <w:sz w:val="27"/>
        </w:rPr>
      </w:pPr>
    </w:p>
    <w:p>
      <w:pPr>
        <w:spacing w:after="0"/>
        <w:jc w:val="left"/>
        <w:rPr>
          <w:rFonts w:ascii="Microsoft Yi Baiti"/>
          <w:sz w:val="27"/>
        </w:rPr>
        <w:sectPr>
          <w:type w:val="continuous"/>
          <w:pgSz w:w="10500" w:h="14750"/>
          <w:pgMar w:top="1400" w:right="980" w:bottom="280" w:left="980" w:header="720" w:footer="720" w:gutter="0"/>
        </w:sectPr>
      </w:pPr>
    </w:p>
    <w:p>
      <w:pPr>
        <w:pStyle w:val="6"/>
        <w:spacing w:before="6"/>
        <w:ind w:left="0" w:firstLine="0"/>
        <w:jc w:val="left"/>
        <w:rPr>
          <w:rFonts w:ascii="Microsoft Yi Baiti"/>
          <w:sz w:val="23"/>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5" w:lineRule="auto"/>
        <w:ind w:left="440"/>
        <w:rPr>
          <w:rFonts w:hint="eastAsia" w:ascii="MS UI Gothic" w:eastAsia="MS UI Gothic"/>
        </w:rPr>
      </w:pPr>
      <w:r>
        <w:t>第一条  为了加强海洋石油安全管理</w:t>
      </w:r>
      <w:r>
        <w:rPr>
          <w:spacing w:val="-8"/>
        </w:rPr>
        <w:t>工作</w:t>
      </w:r>
      <w:r>
        <w:rPr>
          <w:rFonts w:hint="eastAsia" w:ascii="MS UI Gothic" w:eastAsia="MS UI Gothic"/>
          <w:spacing w:val="19"/>
          <w:w w:val="80"/>
        </w:rPr>
        <w:t xml:space="preserve">ꎬ </w:t>
      </w:r>
      <w:r>
        <w:rPr>
          <w:spacing w:val="-8"/>
        </w:rPr>
        <w:t>保障从业人员生命和财产安全</w:t>
      </w:r>
      <w:r>
        <w:rPr>
          <w:rFonts w:hint="eastAsia" w:ascii="MS UI Gothic" w:eastAsia="MS UI Gothic"/>
          <w:spacing w:val="21"/>
          <w:w w:val="80"/>
        </w:rPr>
        <w:t xml:space="preserve">ꎬ </w:t>
      </w:r>
      <w:r>
        <w:rPr>
          <w:spacing w:val="-10"/>
        </w:rPr>
        <w:t>防止</w:t>
      </w:r>
      <w:r>
        <w:rPr>
          <w:spacing w:val="-8"/>
        </w:rPr>
        <w:t>和减少海洋石油生产安全事故</w:t>
      </w:r>
      <w:r>
        <w:rPr>
          <w:rFonts w:hint="eastAsia" w:ascii="MS UI Gothic" w:eastAsia="MS UI Gothic"/>
          <w:spacing w:val="17"/>
          <w:w w:val="80"/>
        </w:rPr>
        <w:t xml:space="preserve">ꎬ </w:t>
      </w:r>
      <w:r>
        <w:rPr>
          <w:spacing w:val="-8"/>
        </w:rPr>
        <w:t>根据安全生产法等法律</w:t>
      </w:r>
      <w:r>
        <w:rPr>
          <w:rFonts w:hint="eastAsia" w:ascii="MS UI Gothic" w:eastAsia="MS UI Gothic"/>
          <w:spacing w:val="20"/>
          <w:w w:val="80"/>
        </w:rPr>
        <w:t xml:space="preserve">、 </w:t>
      </w:r>
      <w:r>
        <w:rPr>
          <w:spacing w:val="-8"/>
        </w:rPr>
        <w:t>法规和标准</w:t>
      </w:r>
      <w:r>
        <w:rPr>
          <w:rFonts w:hint="eastAsia" w:ascii="MS UI Gothic" w:eastAsia="MS UI Gothic"/>
          <w:spacing w:val="20"/>
          <w:w w:val="80"/>
        </w:rPr>
        <w:t xml:space="preserve">ꎬ </w:t>
      </w:r>
      <w:r>
        <w:rPr>
          <w:spacing w:val="-8"/>
        </w:rPr>
        <w:t>制定本细则</w:t>
      </w:r>
      <w:r>
        <w:rPr>
          <w:rFonts w:hint="eastAsia" w:ascii="MS UI Gothic" w:eastAsia="MS UI Gothic"/>
          <w:w w:val="80"/>
        </w:rPr>
        <w:t>ꎮ</w:t>
      </w:r>
    </w:p>
    <w:p>
      <w:pPr>
        <w:pStyle w:val="6"/>
        <w:spacing w:line="295" w:lineRule="auto"/>
        <w:ind w:left="440" w:right="7"/>
        <w:rPr>
          <w:rFonts w:hint="eastAsia" w:ascii="MS UI Gothic" w:eastAsia="MS UI Gothic"/>
        </w:rPr>
      </w:pPr>
      <w:r>
        <w:rPr>
          <w:w w:val="105"/>
        </w:rPr>
        <w:t>第二条 在中华人民共和国的内水</w:t>
      </w:r>
      <w:r>
        <w:rPr>
          <w:rFonts w:hint="eastAsia" w:ascii="MS UI Gothic" w:eastAsia="MS UI Gothic"/>
          <w:w w:val="80"/>
        </w:rPr>
        <w:t>、</w:t>
      </w:r>
      <w:r>
        <w:rPr>
          <w:w w:val="105"/>
        </w:rPr>
        <w:t>领海</w:t>
      </w:r>
      <w:r>
        <w:rPr>
          <w:rFonts w:hint="eastAsia" w:ascii="MS UI Gothic" w:eastAsia="MS UI Gothic"/>
          <w:w w:val="80"/>
        </w:rPr>
        <w:t xml:space="preserve">、 </w:t>
      </w:r>
      <w:r>
        <w:rPr>
          <w:w w:val="105"/>
        </w:rPr>
        <w:t>毗连区</w:t>
      </w:r>
      <w:r>
        <w:rPr>
          <w:rFonts w:hint="eastAsia" w:ascii="MS UI Gothic" w:eastAsia="MS UI Gothic"/>
          <w:w w:val="80"/>
        </w:rPr>
        <w:t xml:space="preserve">、 </w:t>
      </w:r>
      <w:r>
        <w:rPr>
          <w:w w:val="105"/>
        </w:rPr>
        <w:t>专属经济区</w:t>
      </w:r>
      <w:r>
        <w:rPr>
          <w:rFonts w:hint="eastAsia" w:ascii="MS UI Gothic" w:eastAsia="MS UI Gothic"/>
          <w:w w:val="80"/>
        </w:rPr>
        <w:t xml:space="preserve">、 </w:t>
      </w:r>
      <w:r>
        <w:rPr>
          <w:w w:val="105"/>
        </w:rPr>
        <w:t>大陆架</w:t>
      </w:r>
      <w:r>
        <w:rPr>
          <w:rFonts w:hint="eastAsia" w:ascii="MS UI Gothic" w:eastAsia="MS UI Gothic"/>
          <w:w w:val="80"/>
        </w:rPr>
        <w:t xml:space="preserve">ꎬ </w:t>
      </w:r>
      <w:r>
        <w:rPr>
          <w:w w:val="105"/>
        </w:rPr>
        <w:t>以</w:t>
      </w:r>
      <w:r>
        <w:t>及中华人民共和国管辖的其他海域内从事</w:t>
      </w:r>
      <w:r>
        <w:rPr>
          <w:w w:val="105"/>
        </w:rPr>
        <w:t xml:space="preserve">海洋石油 </w:t>
      </w:r>
      <w:r>
        <w:rPr>
          <w:rFonts w:hint="eastAsia" w:ascii="MS UI Gothic" w:eastAsia="MS UI Gothic"/>
          <w:w w:val="150"/>
        </w:rPr>
        <w:t xml:space="preserve">( </w:t>
      </w:r>
      <w:r>
        <w:rPr>
          <w:w w:val="105"/>
        </w:rPr>
        <w:t>含天然气</w:t>
      </w:r>
      <w:r>
        <w:rPr>
          <w:rFonts w:hint="eastAsia" w:ascii="MS UI Gothic" w:eastAsia="MS UI Gothic"/>
          <w:w w:val="80"/>
        </w:rPr>
        <w:t xml:space="preserve">ꎬ </w:t>
      </w:r>
      <w:r>
        <w:rPr>
          <w:w w:val="105"/>
        </w:rPr>
        <w:t>下同</w:t>
      </w:r>
      <w:r>
        <w:rPr>
          <w:rFonts w:hint="eastAsia" w:ascii="MS UI Gothic" w:eastAsia="MS UI Gothic"/>
          <w:w w:val="150"/>
        </w:rPr>
        <w:t xml:space="preserve">) </w:t>
      </w:r>
      <w:r>
        <w:rPr>
          <w:w w:val="105"/>
        </w:rPr>
        <w:t>开采活动</w:t>
      </w:r>
      <w:r>
        <w:t>的安全生产及其监督管理</w:t>
      </w:r>
      <w:r>
        <w:rPr>
          <w:rFonts w:hint="eastAsia" w:ascii="MS UI Gothic" w:eastAsia="MS UI Gothic"/>
          <w:w w:val="80"/>
        </w:rPr>
        <w:t xml:space="preserve">ꎬ </w:t>
      </w:r>
      <w:r>
        <w:t>适用本细则</w:t>
      </w:r>
      <w:r>
        <w:rPr>
          <w:rFonts w:hint="eastAsia" w:ascii="MS UI Gothic" w:eastAsia="MS UI Gothic"/>
          <w:w w:val="80"/>
        </w:rPr>
        <w:t>ꎮ</w:t>
      </w:r>
    </w:p>
    <w:p>
      <w:pPr>
        <w:pStyle w:val="6"/>
        <w:spacing w:line="295" w:lineRule="auto"/>
        <w:ind w:left="440" w:right="9"/>
        <w:rPr>
          <w:rFonts w:hint="eastAsia" w:ascii="MS UI Gothic" w:eastAsia="MS UI Gothic"/>
        </w:rPr>
      </w:pPr>
      <w:r>
        <w:rPr>
          <w:w w:val="105"/>
        </w:rPr>
        <w:t>第三条 海洋石油作业者和承包者是</w:t>
      </w:r>
      <w:r>
        <w:t>海洋石油安全生产的责任主体</w:t>
      </w:r>
      <w:r>
        <w:rPr>
          <w:rFonts w:hint="eastAsia" w:ascii="MS UI Gothic" w:eastAsia="MS UI Gothic"/>
          <w:w w:val="80"/>
        </w:rPr>
        <w:t xml:space="preserve">ꎬ </w:t>
      </w:r>
      <w:r>
        <w:t>对其安全</w:t>
      </w:r>
      <w:r>
        <w:rPr>
          <w:w w:val="105"/>
        </w:rPr>
        <w:t>生产工作负责</w:t>
      </w:r>
      <w:r>
        <w:rPr>
          <w:rFonts w:hint="eastAsia" w:ascii="MS UI Gothic" w:eastAsia="MS UI Gothic"/>
          <w:w w:val="80"/>
        </w:rPr>
        <w:t>ꎮ</w:t>
      </w:r>
    </w:p>
    <w:p>
      <w:pPr>
        <w:pStyle w:val="6"/>
        <w:spacing w:before="85" w:line="295" w:lineRule="auto"/>
        <w:ind w:left="371" w:right="118"/>
        <w:rPr>
          <w:rFonts w:hint="eastAsia" w:ascii="MS UI Gothic" w:eastAsia="MS UI Gothic"/>
        </w:rPr>
      </w:pPr>
      <w:r>
        <w:br w:type="column"/>
      </w:r>
      <w:r>
        <w:rPr>
          <w:spacing w:val="4"/>
          <w:w w:val="105"/>
        </w:rPr>
        <w:t>第四条 国家安全生产监督管理总局</w:t>
      </w:r>
      <w:r>
        <w:rPr>
          <w:spacing w:val="-3"/>
          <w:w w:val="105"/>
        </w:rPr>
        <w:t xml:space="preserve">海洋石油作业安全办公室 </w:t>
      </w:r>
      <w:r>
        <w:rPr>
          <w:rFonts w:hint="eastAsia" w:ascii="MS UI Gothic" w:eastAsia="MS UI Gothic"/>
          <w:spacing w:val="-40"/>
          <w:w w:val="150"/>
        </w:rPr>
        <w:t xml:space="preserve">( </w:t>
      </w:r>
      <w:r>
        <w:rPr>
          <w:spacing w:val="4"/>
          <w:w w:val="105"/>
        </w:rPr>
        <w:t>以下简称海油安办</w:t>
      </w:r>
      <w:r>
        <w:rPr>
          <w:rFonts w:hint="eastAsia" w:ascii="MS UI Gothic" w:eastAsia="MS UI Gothic"/>
          <w:spacing w:val="-13"/>
          <w:w w:val="150"/>
        </w:rPr>
        <w:t xml:space="preserve">) </w:t>
      </w:r>
      <w:r>
        <w:rPr>
          <w:w w:val="105"/>
        </w:rPr>
        <w:t>对全国海洋石油安全生产工作实施</w:t>
      </w:r>
      <w:r>
        <w:t>监督管理</w:t>
      </w:r>
      <w:r>
        <w:rPr>
          <w:rFonts w:hint="eastAsia" w:ascii="MS UI Gothic" w:eastAsia="MS UI Gothic"/>
          <w:spacing w:val="14"/>
          <w:w w:val="80"/>
        </w:rPr>
        <w:t xml:space="preserve">ꎻ </w:t>
      </w:r>
      <w:r>
        <w:rPr>
          <w:spacing w:val="4"/>
        </w:rPr>
        <w:t>海油安办驻中国海洋石油总公</w:t>
      </w:r>
      <w:r>
        <w:rPr>
          <w:spacing w:val="4"/>
          <w:w w:val="105"/>
        </w:rPr>
        <w:t>司</w:t>
      </w:r>
      <w:r>
        <w:rPr>
          <w:rFonts w:hint="eastAsia" w:ascii="MS UI Gothic" w:eastAsia="MS UI Gothic"/>
          <w:spacing w:val="9"/>
          <w:w w:val="80"/>
        </w:rPr>
        <w:t xml:space="preserve">、 </w:t>
      </w:r>
      <w:r>
        <w:rPr>
          <w:spacing w:val="1"/>
          <w:w w:val="105"/>
        </w:rPr>
        <w:t>中国石油化工集团公司</w:t>
      </w:r>
      <w:r>
        <w:rPr>
          <w:rFonts w:hint="eastAsia" w:ascii="MS UI Gothic" w:eastAsia="MS UI Gothic"/>
          <w:spacing w:val="9"/>
          <w:w w:val="80"/>
        </w:rPr>
        <w:t xml:space="preserve">、 </w:t>
      </w:r>
      <w:r>
        <w:rPr>
          <w:spacing w:val="5"/>
          <w:w w:val="105"/>
        </w:rPr>
        <w:t>中国石油天</w:t>
      </w:r>
      <w:r>
        <w:rPr>
          <w:spacing w:val="-4"/>
          <w:w w:val="105"/>
        </w:rPr>
        <w:t xml:space="preserve">然气集团公司分部 </w:t>
      </w:r>
      <w:r>
        <w:rPr>
          <w:rFonts w:hint="eastAsia" w:ascii="MS UI Gothic" w:eastAsia="MS UI Gothic"/>
          <w:spacing w:val="-40"/>
          <w:w w:val="150"/>
        </w:rPr>
        <w:t xml:space="preserve">( </w:t>
      </w:r>
      <w:r>
        <w:rPr>
          <w:spacing w:val="4"/>
          <w:w w:val="105"/>
        </w:rPr>
        <w:t>以下统称海油安办有关分部</w:t>
      </w:r>
      <w:r>
        <w:rPr>
          <w:rFonts w:hint="eastAsia" w:ascii="MS UI Gothic" w:eastAsia="MS UI Gothic"/>
          <w:spacing w:val="-10"/>
          <w:w w:val="150"/>
        </w:rPr>
        <w:t xml:space="preserve">) </w:t>
      </w:r>
      <w:r>
        <w:rPr>
          <w:spacing w:val="10"/>
          <w:w w:val="105"/>
        </w:rPr>
        <w:t>分别负责中国海洋石油总公司</w:t>
      </w:r>
      <w:r>
        <w:rPr>
          <w:rFonts w:hint="eastAsia" w:ascii="MS UI Gothic" w:eastAsia="MS UI Gothic"/>
          <w:w w:val="80"/>
        </w:rPr>
        <w:t>、</w:t>
      </w:r>
      <w:r>
        <w:rPr>
          <w:w w:val="105"/>
        </w:rPr>
        <w:t>中国石油化工集团公司</w:t>
      </w:r>
      <w:r>
        <w:rPr>
          <w:rFonts w:hint="eastAsia" w:ascii="MS UI Gothic" w:eastAsia="MS UI Gothic"/>
          <w:spacing w:val="-6"/>
          <w:w w:val="80"/>
        </w:rPr>
        <w:t xml:space="preserve">、 </w:t>
      </w:r>
      <w:r>
        <w:rPr>
          <w:spacing w:val="6"/>
          <w:w w:val="105"/>
        </w:rPr>
        <w:t>中国石油天然气</w:t>
      </w:r>
      <w:r>
        <w:rPr>
          <w:spacing w:val="-2"/>
        </w:rPr>
        <w:t>集团公司的海洋石油安全生产的监督管理</w:t>
      </w:r>
      <w:r>
        <w:rPr>
          <w:rFonts w:hint="eastAsia" w:ascii="MS UI Gothic" w:eastAsia="MS UI Gothic"/>
          <w:spacing w:val="-1"/>
          <w:w w:val="80"/>
        </w:rPr>
        <w:t>ꎮ</w:t>
      </w:r>
    </w:p>
    <w:p>
      <w:pPr>
        <w:pStyle w:val="6"/>
        <w:tabs>
          <w:tab w:val="left" w:pos="1081"/>
        </w:tabs>
        <w:spacing w:before="150"/>
        <w:ind w:left="242" w:firstLine="0"/>
        <w:jc w:val="center"/>
      </w:pPr>
      <w:r>
        <w:rPr>
          <w:spacing w:val="3"/>
          <w:w w:val="105"/>
        </w:rPr>
        <w:t>第二</w:t>
      </w:r>
      <w:r>
        <w:rPr>
          <w:w w:val="105"/>
        </w:rPr>
        <w:t>章</w:t>
      </w:r>
      <w:r>
        <w:rPr>
          <w:w w:val="105"/>
        </w:rPr>
        <w:tab/>
      </w:r>
      <w:r>
        <w:rPr>
          <w:spacing w:val="3"/>
          <w:w w:val="105"/>
        </w:rPr>
        <w:t>设施的备案管</w:t>
      </w:r>
      <w:r>
        <w:rPr>
          <w:w w:val="105"/>
        </w:rPr>
        <w:t>理</w:t>
      </w:r>
    </w:p>
    <w:p>
      <w:pPr>
        <w:pStyle w:val="6"/>
        <w:spacing w:before="1"/>
        <w:ind w:left="0" w:firstLine="0"/>
        <w:jc w:val="left"/>
        <w:rPr>
          <w:sz w:val="29"/>
        </w:rPr>
      </w:pPr>
    </w:p>
    <w:p>
      <w:pPr>
        <w:pStyle w:val="6"/>
        <w:tabs>
          <w:tab w:val="left" w:pos="1081"/>
        </w:tabs>
        <w:ind w:left="242" w:firstLine="0"/>
        <w:jc w:val="center"/>
      </w:pPr>
      <w:r>
        <w:rPr>
          <w:spacing w:val="3"/>
          <w:w w:val="105"/>
        </w:rPr>
        <w:t>第一</w:t>
      </w:r>
      <w:r>
        <w:rPr>
          <w:w w:val="105"/>
        </w:rPr>
        <w:t>节</w:t>
      </w:r>
      <w:r>
        <w:rPr>
          <w:w w:val="105"/>
        </w:rPr>
        <w:tab/>
      </w:r>
      <w:r>
        <w:rPr>
          <w:spacing w:val="3"/>
          <w:w w:val="105"/>
        </w:rPr>
        <w:t>生产设施的备案管</w:t>
      </w:r>
      <w:r>
        <w:rPr>
          <w:w w:val="105"/>
        </w:rPr>
        <w:t>理</w:t>
      </w:r>
    </w:p>
    <w:p>
      <w:pPr>
        <w:pStyle w:val="6"/>
        <w:spacing w:before="10"/>
        <w:ind w:left="0" w:firstLine="0"/>
        <w:jc w:val="left"/>
        <w:rPr>
          <w:sz w:val="16"/>
        </w:rPr>
      </w:pPr>
    </w:p>
    <w:p>
      <w:pPr>
        <w:pStyle w:val="6"/>
        <w:tabs>
          <w:tab w:val="left" w:pos="1628"/>
        </w:tabs>
        <w:ind w:left="790" w:firstLine="0"/>
        <w:jc w:val="left"/>
      </w:pPr>
      <w:r>
        <w:rPr>
          <w:spacing w:val="3"/>
          <w:w w:val="105"/>
        </w:rPr>
        <w:t>第五</w:t>
      </w:r>
      <w:r>
        <w:rPr>
          <w:w w:val="105"/>
        </w:rPr>
        <w:t>条</w:t>
      </w:r>
      <w:r>
        <w:rPr>
          <w:w w:val="105"/>
        </w:rPr>
        <w:tab/>
      </w:r>
      <w:r>
        <w:rPr>
          <w:spacing w:val="3"/>
          <w:w w:val="105"/>
        </w:rPr>
        <w:t>海洋石油生产设施应当进</w:t>
      </w:r>
      <w:r>
        <w:rPr>
          <w:w w:val="105"/>
        </w:rPr>
        <w:t>行</w:t>
      </w:r>
    </w:p>
    <w:p>
      <w:pPr>
        <w:spacing w:after="0"/>
        <w:jc w:val="left"/>
        <w:sectPr>
          <w:type w:val="continuous"/>
          <w:pgSz w:w="10500" w:h="14750"/>
          <w:pgMar w:top="1400" w:right="980" w:bottom="280" w:left="980" w:header="720" w:footer="720" w:gutter="0"/>
          <w:cols w:equalWidth="0" w:num="2">
            <w:col w:w="4222" w:space="40"/>
            <w:col w:w="427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１８２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76" o:spid="_x0000_s1576" o:spt="203" style="height:2.15pt;width:398.25pt;" coordsize="7965,43">
            <o:lock v:ext="edit"/>
            <v:line id="_x0000_s1577" o:spid="_x0000_s1577" o:spt="20" style="position:absolute;left:0;top:39;height:0;width:7965;" stroked="t" coordsize="21600,21600">
              <v:path arrowok="t"/>
              <v:fill focussize="0,0"/>
              <v:stroke weight="0.388031496062992pt" color="#231F20"/>
              <v:imagedata o:title=""/>
              <o:lock v:ext="edit"/>
            </v:line>
            <v:line id="_x0000_s1578" o:spid="_x0000_s157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试生产</w:t>
      </w:r>
      <w:r>
        <w:rPr>
          <w:rFonts w:hint="eastAsia" w:ascii="MS UI Gothic" w:eastAsia="MS UI Gothic"/>
          <w:w w:val="80"/>
        </w:rPr>
        <w:t xml:space="preserve">ꎮ </w:t>
      </w:r>
      <w:r>
        <w:t xml:space="preserve">作业者或者承包者应当在试生产前 </w:t>
      </w:r>
      <w:r>
        <w:rPr>
          <w:rFonts w:hint="eastAsia" w:ascii="MS UI Gothic" w:eastAsia="MS UI Gothic"/>
          <w:w w:val="80"/>
        </w:rPr>
        <w:t xml:space="preserve">４５ </w:t>
      </w:r>
      <w:r>
        <w:t>日报生产设施所在地的海油安办有关分部备案</w:t>
      </w:r>
      <w:r>
        <w:rPr>
          <w:rFonts w:hint="eastAsia" w:ascii="MS UI Gothic" w:eastAsia="MS UI Gothic"/>
          <w:w w:val="80"/>
        </w:rPr>
        <w:t xml:space="preserve">ꎬ </w:t>
      </w:r>
      <w:r>
        <w:t>并提交生产设施试生产备案</w:t>
      </w:r>
      <w:r>
        <w:rPr>
          <w:w w:val="105"/>
        </w:rPr>
        <w:t>申请书</w:t>
      </w:r>
      <w:r>
        <w:rPr>
          <w:rFonts w:hint="eastAsia" w:ascii="MS UI Gothic" w:eastAsia="MS UI Gothic"/>
          <w:w w:val="80"/>
        </w:rPr>
        <w:t xml:space="preserve">、 </w:t>
      </w:r>
      <w:r>
        <w:rPr>
          <w:w w:val="105"/>
        </w:rPr>
        <w:t xml:space="preserve">海底长输油 </w:t>
      </w:r>
      <w:r>
        <w:rPr>
          <w:rFonts w:hint="eastAsia" w:ascii="MS UI Gothic" w:eastAsia="MS UI Gothic"/>
          <w:w w:val="150"/>
        </w:rPr>
        <w:t xml:space="preserve">( </w:t>
      </w:r>
      <w:r>
        <w:rPr>
          <w:w w:val="105"/>
        </w:rPr>
        <w:t>气</w:t>
      </w:r>
      <w:r>
        <w:rPr>
          <w:rFonts w:hint="eastAsia" w:ascii="MS UI Gothic" w:eastAsia="MS UI Gothic"/>
          <w:w w:val="150"/>
        </w:rPr>
        <w:t xml:space="preserve">) </w:t>
      </w:r>
      <w:r>
        <w:rPr>
          <w:w w:val="105"/>
        </w:rPr>
        <w:t>管线投用备案申请书和下列资料</w:t>
      </w:r>
      <w:r>
        <w:rPr>
          <w:rFonts w:hint="eastAsia" w:ascii="MS UI Gothic" w:eastAsia="MS UI Gothic"/>
          <w:w w:val="230"/>
        </w:rPr>
        <w:t>:</w:t>
      </w:r>
    </w:p>
    <w:p>
      <w:pPr>
        <w:pStyle w:val="6"/>
        <w:spacing w:line="295" w:lineRule="auto"/>
        <w:ind w:right="38"/>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发证检验机构对生产设施的最</w:t>
      </w:r>
      <w:r>
        <w:rPr>
          <w:spacing w:val="-9"/>
          <w:w w:val="110"/>
        </w:rPr>
        <w:t xml:space="preserve">终检验证书 </w:t>
      </w:r>
      <w:r>
        <w:rPr>
          <w:rFonts w:hint="eastAsia" w:ascii="MS UI Gothic" w:eastAsia="MS UI Gothic"/>
          <w:spacing w:val="-41"/>
          <w:w w:val="150"/>
        </w:rPr>
        <w:t xml:space="preserve">( </w:t>
      </w:r>
      <w:r>
        <w:rPr>
          <w:spacing w:val="16"/>
          <w:w w:val="110"/>
        </w:rPr>
        <w:t>或者临时检验证书</w:t>
      </w:r>
      <w:r>
        <w:rPr>
          <w:rFonts w:hint="eastAsia" w:ascii="MS UI Gothic" w:eastAsia="MS UI Gothic"/>
          <w:spacing w:val="-23"/>
          <w:w w:val="150"/>
        </w:rPr>
        <w:t xml:space="preserve">) </w:t>
      </w:r>
      <w:r>
        <w:rPr>
          <w:spacing w:val="9"/>
          <w:w w:val="110"/>
        </w:rPr>
        <w:t>和检</w:t>
      </w:r>
      <w:r>
        <w:rPr>
          <w:spacing w:val="3"/>
          <w:w w:val="110"/>
        </w:rPr>
        <w:t>验报告</w:t>
      </w:r>
      <w:r>
        <w:rPr>
          <w:rFonts w:hint="eastAsia" w:ascii="MS UI Gothic" w:eastAsia="MS UI Gothic"/>
          <w:w w:val="80"/>
        </w:rPr>
        <w:t>ꎻ</w:t>
      </w:r>
    </w:p>
    <w:p>
      <w:pPr>
        <w:pStyle w:val="6"/>
        <w:spacing w:line="295" w:lineRule="auto"/>
        <w:ind w:left="543" w:right="835" w:firstLine="0"/>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试生产安全保障措施</w:t>
      </w:r>
      <w:r>
        <w:rPr>
          <w:rFonts w:hint="eastAsia" w:ascii="MS UI Gothic" w:eastAsia="MS UI Gothic"/>
          <w:w w:val="80"/>
        </w:rPr>
        <w:t>ꎻ</w:t>
      </w: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建设阶段资料登记表</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安全设施设计审查合格</w:t>
      </w:r>
      <w:r>
        <w:rPr>
          <w:rFonts w:hint="eastAsia" w:ascii="MS UI Gothic" w:eastAsia="MS UI Gothic"/>
          <w:w w:val="80"/>
        </w:rPr>
        <w:t xml:space="preserve">、  </w:t>
      </w:r>
      <w:r>
        <w:rPr>
          <w:w w:val="105"/>
        </w:rPr>
        <w:t>设计修改及审查合格的有关文件</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施工单位资质证明</w:t>
      </w:r>
      <w:r>
        <w:rPr>
          <w:rFonts w:hint="eastAsia" w:ascii="MS UI Gothic" w:eastAsia="MS UI Gothic"/>
          <w:w w:val="80"/>
        </w:rPr>
        <w:t>ꎻ</w:t>
      </w:r>
    </w:p>
    <w:p>
      <w:pPr>
        <w:pStyle w:val="6"/>
        <w:spacing w:before="50" w:line="295" w:lineRule="auto"/>
        <w:ind w:right="38"/>
        <w:jc w:val="left"/>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施工期间发生的生产安全事故及其他重大工程质量事故情况</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w w:val="115"/>
        </w:rPr>
        <w:t xml:space="preserve">( </w:t>
      </w:r>
      <w:r>
        <w:rPr>
          <w:w w:val="110"/>
        </w:rPr>
        <w:t>七</w:t>
      </w:r>
      <w:r>
        <w:rPr>
          <w:rFonts w:hint="eastAsia" w:ascii="MS UI Gothic" w:eastAsia="MS UI Gothic"/>
          <w:w w:val="115"/>
        </w:rPr>
        <w:t xml:space="preserve">) </w:t>
      </w:r>
      <w:r>
        <w:rPr>
          <w:w w:val="110"/>
        </w:rPr>
        <w:t>生产设施有关证书和文件登记表</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生产设施主要技术说明</w:t>
      </w:r>
      <w:r>
        <w:rPr>
          <w:rFonts w:hint="eastAsia" w:ascii="MS UI Gothic" w:eastAsia="MS UI Gothic"/>
          <w:w w:val="80"/>
        </w:rPr>
        <w:t xml:space="preserve">、  </w:t>
      </w:r>
      <w:r>
        <w:rPr>
          <w:w w:val="105"/>
        </w:rPr>
        <w:t>总体布置图和工艺流程图</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生产设施运营的主要负责人和安全生产管理人员安全资格证书</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生产设施所属设备的取证分类表及有关证书</w:t>
      </w:r>
      <w:r>
        <w:rPr>
          <w:rFonts w:hint="eastAsia" w:ascii="MS UI Gothic" w:eastAsia="MS UI Gothic"/>
          <w:w w:val="80"/>
        </w:rPr>
        <w:t xml:space="preserve">、 </w:t>
      </w:r>
      <w:r>
        <w:rPr>
          <w:w w:val="105"/>
        </w:rPr>
        <w:t>证件</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十一</w:t>
      </w:r>
      <w:r>
        <w:rPr>
          <w:rFonts w:hint="eastAsia" w:ascii="MS UI Gothic" w:eastAsia="MS UI Gothic"/>
          <w:w w:val="150"/>
        </w:rPr>
        <w:t xml:space="preserve">) </w:t>
      </w:r>
      <w:r>
        <w:rPr>
          <w:w w:val="110"/>
        </w:rPr>
        <w:t>生产设施运营安全手册</w:t>
      </w:r>
      <w:r>
        <w:rPr>
          <w:rFonts w:hint="eastAsia" w:ascii="MS UI Gothic" w:eastAsia="MS UI Gothic"/>
          <w:w w:val="80"/>
        </w:rPr>
        <w:t>ꎻ</w:t>
      </w:r>
    </w:p>
    <w:p>
      <w:pPr>
        <w:pStyle w:val="6"/>
        <w:spacing w:before="52" w:line="295" w:lineRule="auto"/>
        <w:ind w:right="38"/>
        <w:rPr>
          <w:rFonts w:hint="eastAsia" w:ascii="MS UI Gothic" w:eastAsia="MS UI Gothic"/>
        </w:rPr>
      </w:pPr>
      <w:r>
        <w:rPr>
          <w:rFonts w:hint="eastAsia" w:ascii="MS UI Gothic" w:eastAsia="MS UI Gothic"/>
          <w:spacing w:val="-36"/>
          <w:w w:val="130"/>
        </w:rPr>
        <w:t xml:space="preserve">( </w:t>
      </w:r>
      <w:r>
        <w:rPr>
          <w:spacing w:val="37"/>
          <w:w w:val="110"/>
        </w:rPr>
        <w:t>十二</w:t>
      </w:r>
      <w:r>
        <w:rPr>
          <w:rFonts w:hint="eastAsia" w:ascii="MS UI Gothic" w:eastAsia="MS UI Gothic"/>
          <w:spacing w:val="-13"/>
          <w:w w:val="130"/>
        </w:rPr>
        <w:t xml:space="preserve">) </w:t>
      </w:r>
      <w:r>
        <w:rPr>
          <w:spacing w:val="40"/>
          <w:w w:val="110"/>
        </w:rPr>
        <w:t>生产设施运营安全应急</w:t>
      </w:r>
      <w:r>
        <w:rPr>
          <w:spacing w:val="3"/>
          <w:w w:val="110"/>
        </w:rPr>
        <w:t>预案</w:t>
      </w:r>
      <w:r>
        <w:rPr>
          <w:rFonts w:hint="eastAsia" w:ascii="MS UI Gothic" w:eastAsia="MS UI Gothic"/>
          <w:w w:val="80"/>
        </w:rPr>
        <w:t>ꎮ</w:t>
      </w:r>
    </w:p>
    <w:p>
      <w:pPr>
        <w:pStyle w:val="6"/>
        <w:spacing w:line="295" w:lineRule="auto"/>
        <w:ind w:right="38"/>
        <w:rPr>
          <w:rFonts w:hint="eastAsia" w:ascii="MS UI Gothic" w:eastAsia="MS UI Gothic"/>
        </w:rPr>
      </w:pPr>
      <w:r>
        <w:rPr>
          <w:spacing w:val="3"/>
        </w:rPr>
        <w:t>生产设施是浮式生产储油装置的</w:t>
      </w:r>
      <w:r>
        <w:rPr>
          <w:rFonts w:hint="eastAsia" w:ascii="MS UI Gothic" w:eastAsia="MS UI Gothic"/>
          <w:spacing w:val="16"/>
          <w:w w:val="80"/>
        </w:rPr>
        <w:t xml:space="preserve">ꎬ </w:t>
      </w:r>
      <w:r>
        <w:t>除</w:t>
      </w:r>
      <w:r>
        <w:rPr>
          <w:spacing w:val="3"/>
        </w:rPr>
        <w:t>提交第一款规定的资料外</w:t>
      </w:r>
      <w:r>
        <w:rPr>
          <w:rFonts w:hint="eastAsia" w:ascii="MS UI Gothic" w:eastAsia="MS UI Gothic"/>
          <w:spacing w:val="21"/>
          <w:w w:val="80"/>
        </w:rPr>
        <w:t xml:space="preserve">ꎬ </w:t>
      </w:r>
      <w:r>
        <w:rPr>
          <w:spacing w:val="2"/>
        </w:rPr>
        <w:t>还应当提交快</w:t>
      </w:r>
      <w:r>
        <w:rPr>
          <w:spacing w:val="3"/>
        </w:rPr>
        <w:t>速解脱装置</w:t>
      </w:r>
      <w:r>
        <w:rPr>
          <w:rFonts w:hint="eastAsia" w:ascii="MS UI Gothic" w:eastAsia="MS UI Gothic"/>
          <w:spacing w:val="19"/>
          <w:w w:val="80"/>
        </w:rPr>
        <w:t xml:space="preserve">、 </w:t>
      </w:r>
      <w:r>
        <w:rPr>
          <w:spacing w:val="2"/>
        </w:rPr>
        <w:t>系缆张力和距离测量装置的</w:t>
      </w:r>
      <w:r>
        <w:rPr>
          <w:spacing w:val="3"/>
        </w:rPr>
        <w:t>检验证书</w:t>
      </w:r>
      <w:r>
        <w:rPr>
          <w:rFonts w:hint="eastAsia" w:ascii="MS UI Gothic" w:eastAsia="MS UI Gothic"/>
          <w:spacing w:val="23"/>
          <w:w w:val="80"/>
        </w:rPr>
        <w:t xml:space="preserve">、 </w:t>
      </w:r>
      <w:r>
        <w:rPr>
          <w:spacing w:val="3"/>
        </w:rPr>
        <w:t>出厂合格证书</w:t>
      </w:r>
      <w:r>
        <w:rPr>
          <w:rFonts w:hint="eastAsia" w:ascii="MS UI Gothic" w:eastAsia="MS UI Gothic"/>
          <w:spacing w:val="23"/>
          <w:w w:val="80"/>
        </w:rPr>
        <w:t xml:space="preserve">、 </w:t>
      </w:r>
      <w:r>
        <w:rPr>
          <w:spacing w:val="2"/>
        </w:rPr>
        <w:t>安装后的试验</w:t>
      </w:r>
      <w:r>
        <w:rPr>
          <w:spacing w:val="3"/>
        </w:rPr>
        <w:t>报告</w:t>
      </w:r>
      <w:r>
        <w:rPr>
          <w:rFonts w:hint="eastAsia" w:ascii="MS UI Gothic" w:eastAsia="MS UI Gothic"/>
          <w:w w:val="80"/>
        </w:rPr>
        <w:t>ꎮ</w:t>
      </w:r>
    </w:p>
    <w:p>
      <w:pPr>
        <w:pStyle w:val="6"/>
        <w:spacing w:line="295" w:lineRule="auto"/>
        <w:ind w:right="38"/>
        <w:rPr>
          <w:rFonts w:hint="eastAsia" w:ascii="MS UI Gothic" w:eastAsia="MS UI Gothic"/>
        </w:rPr>
      </w:pPr>
      <w:r>
        <w:rPr>
          <w:w w:val="105"/>
        </w:rPr>
        <w:t xml:space="preserve">生产设施是海底长输油 </w:t>
      </w:r>
      <w:r>
        <w:rPr>
          <w:rFonts w:hint="eastAsia" w:ascii="MS UI Gothic" w:eastAsia="MS UI Gothic"/>
          <w:w w:val="150"/>
        </w:rPr>
        <w:t xml:space="preserve">( </w:t>
      </w:r>
      <w:r>
        <w:rPr>
          <w:w w:val="105"/>
        </w:rPr>
        <w:t>气</w:t>
      </w:r>
      <w:r>
        <w:rPr>
          <w:rFonts w:hint="eastAsia" w:ascii="MS UI Gothic" w:eastAsia="MS UI Gothic"/>
          <w:w w:val="150"/>
        </w:rPr>
        <w:t xml:space="preserve">) </w:t>
      </w:r>
      <w:r>
        <w:rPr>
          <w:w w:val="105"/>
        </w:rPr>
        <w:t>管线</w:t>
      </w:r>
      <w:r>
        <w:t>的</w:t>
      </w:r>
      <w:r>
        <w:rPr>
          <w:rFonts w:hint="eastAsia" w:ascii="MS UI Gothic" w:eastAsia="MS UI Gothic"/>
          <w:w w:val="80"/>
        </w:rPr>
        <w:t xml:space="preserve">ꎬ </w:t>
      </w:r>
      <w:r>
        <w:t>除提交第一款规定的资料外</w:t>
      </w:r>
      <w:r>
        <w:rPr>
          <w:rFonts w:hint="eastAsia" w:ascii="MS UI Gothic" w:eastAsia="MS UI Gothic"/>
          <w:w w:val="80"/>
        </w:rPr>
        <w:t xml:space="preserve">ꎬ </w:t>
      </w:r>
      <w:r>
        <w:t>还应当</w:t>
      </w:r>
      <w:r>
        <w:rPr>
          <w:w w:val="105"/>
        </w:rPr>
        <w:t xml:space="preserve">提交海底长输油 </w:t>
      </w:r>
      <w:r>
        <w:rPr>
          <w:rFonts w:hint="eastAsia" w:ascii="MS UI Gothic" w:eastAsia="MS UI Gothic"/>
          <w:w w:val="150"/>
        </w:rPr>
        <w:t xml:space="preserve">( </w:t>
      </w:r>
      <w:r>
        <w:rPr>
          <w:w w:val="105"/>
        </w:rPr>
        <w:t>气</w:t>
      </w:r>
      <w:r>
        <w:rPr>
          <w:rFonts w:hint="eastAsia" w:ascii="MS UI Gothic" w:eastAsia="MS UI Gothic"/>
          <w:w w:val="150"/>
        </w:rPr>
        <w:t xml:space="preserve">) </w:t>
      </w:r>
      <w:r>
        <w:rPr>
          <w:w w:val="105"/>
        </w:rPr>
        <w:t>管线投用备案有关证书和文件登记表及有关证书</w:t>
      </w:r>
      <w:r>
        <w:rPr>
          <w:rFonts w:hint="eastAsia" w:ascii="MS UI Gothic" w:eastAsia="MS UI Gothic"/>
          <w:w w:val="80"/>
        </w:rPr>
        <w:t xml:space="preserve">、 </w:t>
      </w:r>
      <w:r>
        <w:rPr>
          <w:w w:val="105"/>
        </w:rPr>
        <w:t>文件</w:t>
      </w:r>
      <w:r>
        <w:rPr>
          <w:rFonts w:hint="eastAsia" w:ascii="MS UI Gothic" w:eastAsia="MS UI Gothic"/>
          <w:w w:val="80"/>
        </w:rPr>
        <w:t>ꎮ</w:t>
      </w:r>
    </w:p>
    <w:p>
      <w:pPr>
        <w:pStyle w:val="6"/>
        <w:spacing w:line="295" w:lineRule="auto"/>
        <w:ind w:right="38"/>
        <w:rPr>
          <w:rFonts w:hint="eastAsia" w:ascii="MS UI Gothic" w:eastAsia="MS UI Gothic"/>
        </w:rPr>
      </w:pPr>
      <w:r>
        <w:t>第六条 海油安办有关分部对作业者或者承包者提交的生产设施资料</w:t>
      </w:r>
      <w:r>
        <w:rPr>
          <w:rFonts w:hint="eastAsia" w:ascii="MS UI Gothic" w:eastAsia="MS UI Gothic"/>
          <w:w w:val="80"/>
        </w:rPr>
        <w:t xml:space="preserve">ꎬ </w:t>
      </w:r>
      <w:r>
        <w:t>应当进行严格审查</w:t>
      </w:r>
      <w:r>
        <w:rPr>
          <w:rFonts w:hint="eastAsia" w:ascii="MS UI Gothic" w:eastAsia="MS UI Gothic"/>
          <w:w w:val="80"/>
        </w:rPr>
        <w:t xml:space="preserve">ꎮ </w:t>
      </w:r>
      <w:r>
        <w:t>必要时</w:t>
      </w:r>
      <w:r>
        <w:rPr>
          <w:rFonts w:hint="eastAsia" w:ascii="MS UI Gothic" w:eastAsia="MS UI Gothic"/>
          <w:w w:val="80"/>
        </w:rPr>
        <w:t xml:space="preserve">ꎬ </w:t>
      </w:r>
      <w:r>
        <w:t>应当进行现场检查</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t>需要进行现场检查的</w:t>
      </w:r>
      <w:r>
        <w:rPr>
          <w:rFonts w:hint="eastAsia" w:ascii="MS UI Gothic" w:eastAsia="MS UI Gothic"/>
          <w:w w:val="80"/>
        </w:rPr>
        <w:t xml:space="preserve">ꎬ </w:t>
      </w:r>
      <w:r>
        <w:t xml:space="preserve">海油安办有关分部应当提前 </w:t>
      </w:r>
      <w:r>
        <w:rPr>
          <w:rFonts w:hint="eastAsia" w:ascii="MS UI Gothic" w:eastAsia="MS UI Gothic"/>
          <w:w w:val="80"/>
        </w:rPr>
        <w:t xml:space="preserve">１０ </w:t>
      </w:r>
      <w:r>
        <w:t>日与作业者或承包者商定现场检查的具体事宜</w:t>
      </w:r>
      <w:r>
        <w:rPr>
          <w:rFonts w:hint="eastAsia" w:ascii="MS UI Gothic" w:eastAsia="MS UI Gothic"/>
          <w:w w:val="80"/>
        </w:rPr>
        <w:t xml:space="preserve">ꎮ </w:t>
      </w:r>
      <w:r>
        <w:t>作业者或承包者应当配合海油安办有关分部进行现场检查</w:t>
      </w:r>
      <w:r>
        <w:rPr>
          <w:rFonts w:hint="eastAsia" w:ascii="MS UI Gothic" w:eastAsia="MS UI Gothic"/>
          <w:w w:val="80"/>
        </w:rPr>
        <w:t xml:space="preserve">ꎬ </w:t>
      </w:r>
      <w:r>
        <w:t>并提供以下资料</w:t>
      </w:r>
      <w:r>
        <w:rPr>
          <w:rFonts w:hint="eastAsia" w:ascii="MS UI Gothic" w:eastAsia="MS UI Gothic"/>
          <w:w w:val="230"/>
        </w:rPr>
        <w:t>:</w:t>
      </w:r>
    </w:p>
    <w:p>
      <w:pPr>
        <w:pStyle w:val="6"/>
        <w:spacing w:line="252"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人员安全培训证书登记表</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消防和救生设备实际布置图和</w:t>
      </w:r>
      <w:r>
        <w:rPr>
          <w:w w:val="110"/>
        </w:rPr>
        <w:t>应变部署表</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4"/>
          <w:w w:val="150"/>
        </w:rPr>
        <w:t xml:space="preserve">) </w:t>
      </w:r>
      <w:r>
        <w:rPr>
          <w:spacing w:val="7"/>
          <w:w w:val="105"/>
        </w:rPr>
        <w:t>安全管理文件</w:t>
      </w:r>
      <w:r>
        <w:rPr>
          <w:rFonts w:hint="eastAsia" w:ascii="MS UI Gothic" w:eastAsia="MS UI Gothic"/>
          <w:spacing w:val="20"/>
          <w:w w:val="80"/>
        </w:rPr>
        <w:t xml:space="preserve">ꎬ </w:t>
      </w:r>
      <w:r>
        <w:rPr>
          <w:spacing w:val="10"/>
          <w:w w:val="105"/>
        </w:rPr>
        <w:t>主要包括</w:t>
      </w:r>
      <w:r>
        <w:rPr>
          <w:rFonts w:hint="eastAsia" w:ascii="MS UI Gothic" w:eastAsia="MS UI Gothic"/>
          <w:spacing w:val="-27"/>
          <w:w w:val="235"/>
        </w:rPr>
        <w:t xml:space="preserve">: </w:t>
      </w:r>
      <w:r>
        <w:rPr>
          <w:w w:val="105"/>
        </w:rPr>
        <w:t>安</w:t>
      </w:r>
      <w:r>
        <w:rPr>
          <w:spacing w:val="3"/>
          <w:w w:val="105"/>
        </w:rPr>
        <w:t>全生产责任制</w:t>
      </w:r>
      <w:r>
        <w:rPr>
          <w:rFonts w:hint="eastAsia" w:ascii="MS UI Gothic" w:eastAsia="MS UI Gothic"/>
          <w:spacing w:val="11"/>
          <w:w w:val="80"/>
        </w:rPr>
        <w:t xml:space="preserve">、 </w:t>
      </w:r>
      <w:r>
        <w:rPr>
          <w:spacing w:val="3"/>
          <w:w w:val="105"/>
        </w:rPr>
        <w:t>安全操作规程</w:t>
      </w:r>
      <w:r>
        <w:rPr>
          <w:rFonts w:hint="eastAsia" w:ascii="MS UI Gothic" w:eastAsia="MS UI Gothic"/>
          <w:spacing w:val="12"/>
          <w:w w:val="80"/>
        </w:rPr>
        <w:t xml:space="preserve">、 </w:t>
      </w:r>
      <w:r>
        <w:rPr>
          <w:spacing w:val="2"/>
          <w:w w:val="105"/>
        </w:rPr>
        <w:t>工作许可</w:t>
      </w:r>
      <w:r>
        <w:rPr>
          <w:spacing w:val="3"/>
          <w:w w:val="105"/>
        </w:rPr>
        <w:t>制度</w:t>
      </w:r>
      <w:r>
        <w:rPr>
          <w:rFonts w:hint="eastAsia" w:ascii="MS UI Gothic" w:eastAsia="MS UI Gothic"/>
          <w:spacing w:val="13"/>
          <w:w w:val="80"/>
        </w:rPr>
        <w:t xml:space="preserve">、 </w:t>
      </w:r>
      <w:r>
        <w:rPr>
          <w:spacing w:val="16"/>
          <w:w w:val="105"/>
        </w:rPr>
        <w:t>安全检查制度</w:t>
      </w:r>
      <w:r>
        <w:rPr>
          <w:rFonts w:hint="eastAsia" w:ascii="MS UI Gothic" w:eastAsia="MS UI Gothic"/>
          <w:spacing w:val="17"/>
          <w:w w:val="80"/>
        </w:rPr>
        <w:t xml:space="preserve">、 </w:t>
      </w:r>
      <w:r>
        <w:rPr>
          <w:spacing w:val="19"/>
          <w:w w:val="105"/>
        </w:rPr>
        <w:t>船舶系泊装卸制</w:t>
      </w:r>
      <w:r>
        <w:rPr>
          <w:spacing w:val="3"/>
          <w:w w:val="105"/>
        </w:rPr>
        <w:t>度</w:t>
      </w:r>
      <w:r>
        <w:rPr>
          <w:rFonts w:hint="eastAsia" w:ascii="MS UI Gothic" w:eastAsia="MS UI Gothic"/>
          <w:spacing w:val="13"/>
          <w:w w:val="80"/>
        </w:rPr>
        <w:t xml:space="preserve">、 </w:t>
      </w:r>
      <w:r>
        <w:rPr>
          <w:spacing w:val="14"/>
          <w:w w:val="105"/>
        </w:rPr>
        <w:t>直升机管理制度</w:t>
      </w:r>
      <w:r>
        <w:rPr>
          <w:rFonts w:hint="eastAsia" w:ascii="MS UI Gothic" w:eastAsia="MS UI Gothic"/>
          <w:spacing w:val="17"/>
          <w:w w:val="80"/>
        </w:rPr>
        <w:t xml:space="preserve">、 </w:t>
      </w:r>
      <w:r>
        <w:rPr>
          <w:spacing w:val="19"/>
          <w:w w:val="105"/>
        </w:rPr>
        <w:t>危险物品管理制</w:t>
      </w:r>
      <w:r>
        <w:rPr>
          <w:spacing w:val="3"/>
          <w:w w:val="105"/>
        </w:rPr>
        <w:t>度</w:t>
      </w:r>
      <w:r>
        <w:rPr>
          <w:rFonts w:hint="eastAsia" w:ascii="MS UI Gothic" w:eastAsia="MS UI Gothic"/>
          <w:spacing w:val="3"/>
          <w:w w:val="80"/>
        </w:rPr>
        <w:t xml:space="preserve">、 </w:t>
      </w:r>
      <w:r>
        <w:rPr>
          <w:spacing w:val="31"/>
          <w:w w:val="105"/>
        </w:rPr>
        <w:t>无人驻守平台遥控检测程序和油</w:t>
      </w:r>
      <w:r>
        <w:rPr>
          <w:rFonts w:hint="eastAsia" w:ascii="MS UI Gothic" w:eastAsia="MS UI Gothic"/>
          <w:spacing w:val="-21"/>
          <w:w w:val="150"/>
        </w:rPr>
        <w:t xml:space="preserve">( </w:t>
      </w:r>
      <w:r>
        <w:rPr>
          <w:spacing w:val="3"/>
          <w:w w:val="105"/>
        </w:rPr>
        <w:t>气</w:t>
      </w:r>
      <w:r>
        <w:rPr>
          <w:rFonts w:hint="eastAsia" w:ascii="MS UI Gothic" w:eastAsia="MS UI Gothic"/>
          <w:spacing w:val="15"/>
          <w:w w:val="150"/>
        </w:rPr>
        <w:t xml:space="preserve">) </w:t>
      </w:r>
      <w:r>
        <w:rPr>
          <w:spacing w:val="3"/>
          <w:w w:val="105"/>
        </w:rPr>
        <w:t>外输管理制度等</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对于滩海陆岸</w:t>
      </w:r>
      <w:r>
        <w:rPr>
          <w:rFonts w:hint="eastAsia" w:ascii="MS UI Gothic" w:eastAsia="MS UI Gothic"/>
          <w:w w:val="80"/>
        </w:rPr>
        <w:t xml:space="preserve">ꎬ </w:t>
      </w:r>
      <w:r>
        <w:rPr>
          <w:w w:val="105"/>
        </w:rPr>
        <w:t>还应准备通海</w:t>
      </w:r>
      <w:r>
        <w:t>路及沿通海路安装的设施设备合格文件</w:t>
      </w:r>
      <w:r>
        <w:rPr>
          <w:rFonts w:hint="eastAsia" w:ascii="MS UI Gothic" w:eastAsia="MS UI Gothic"/>
          <w:w w:val="80"/>
        </w:rPr>
        <w:t>、</w:t>
      </w:r>
      <w:r>
        <w:t>发证检验机构检验证书和安装后的试验</w:t>
      </w:r>
      <w:r>
        <w:rPr>
          <w:w w:val="105"/>
        </w:rPr>
        <w:t>报告</w:t>
      </w:r>
      <w:r>
        <w:rPr>
          <w:rFonts w:hint="eastAsia" w:ascii="MS UI Gothic" w:eastAsia="MS UI Gothic"/>
          <w:w w:val="80"/>
        </w:rPr>
        <w:t>ꎮ</w:t>
      </w:r>
    </w:p>
    <w:p>
      <w:pPr>
        <w:pStyle w:val="6"/>
        <w:spacing w:line="295" w:lineRule="auto"/>
        <w:ind w:right="442"/>
        <w:rPr>
          <w:rFonts w:hint="eastAsia" w:ascii="MS UI Gothic" w:eastAsia="MS UI Gothic"/>
        </w:rPr>
      </w:pPr>
      <w:r>
        <w:t>经审查和现场检查符合规定的</w:t>
      </w:r>
      <w:r>
        <w:rPr>
          <w:rFonts w:hint="eastAsia" w:ascii="MS UI Gothic" w:eastAsia="MS UI Gothic"/>
          <w:w w:val="80"/>
        </w:rPr>
        <w:t xml:space="preserve">ꎬ </w:t>
      </w:r>
      <w:r>
        <w:t>海油安办有关分部向作业者或者承包者颁发生产设施试生产备案通知书</w:t>
      </w:r>
      <w:r>
        <w:rPr>
          <w:rFonts w:hint="eastAsia" w:ascii="MS UI Gothic" w:eastAsia="MS UI Gothic"/>
          <w:w w:val="80"/>
        </w:rPr>
        <w:t xml:space="preserve">ꎻ </w:t>
      </w:r>
      <w:r>
        <w:t>备案资料</w:t>
      </w:r>
      <w:r>
        <w:rPr>
          <w:rFonts w:hint="eastAsia" w:ascii="MS UI Gothic" w:eastAsia="MS UI Gothic"/>
          <w:w w:val="80"/>
        </w:rPr>
        <w:t xml:space="preserve">、 </w:t>
      </w:r>
      <w:r>
        <w:t>设施现场安全状况等不符合规定的</w:t>
      </w:r>
      <w:r>
        <w:rPr>
          <w:rFonts w:hint="eastAsia" w:ascii="MS UI Gothic" w:eastAsia="MS UI Gothic"/>
          <w:w w:val="80"/>
        </w:rPr>
        <w:t xml:space="preserve">ꎬ </w:t>
      </w:r>
      <w:r>
        <w:t>及时书面通知作业者或者承包者进行整改</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第七条 作业者或者承包者应当严格</w:t>
      </w:r>
      <w:r>
        <w:rPr>
          <w:spacing w:val="2"/>
        </w:rPr>
        <w:t>按照备案文件中所列试生产安全保障措施</w:t>
      </w:r>
      <w:r>
        <w:rPr>
          <w:spacing w:val="3"/>
        </w:rPr>
        <w:t>组织试生产</w:t>
      </w:r>
      <w:r>
        <w:rPr>
          <w:rFonts w:hint="eastAsia" w:ascii="MS UI Gothic" w:eastAsia="MS UI Gothic"/>
          <w:spacing w:val="13"/>
          <w:w w:val="85"/>
        </w:rPr>
        <w:t xml:space="preserve">ꎬ </w:t>
      </w:r>
      <w:r>
        <w:rPr>
          <w:spacing w:val="2"/>
        </w:rPr>
        <w:t>生产设施试生产期限不得超</w:t>
      </w:r>
      <w:r>
        <w:rPr>
          <w:spacing w:val="-30"/>
        </w:rPr>
        <w:t xml:space="preserve">过 </w:t>
      </w:r>
      <w:r>
        <w:rPr>
          <w:rFonts w:hint="eastAsia" w:ascii="MS UI Gothic" w:eastAsia="MS UI Gothic"/>
          <w:spacing w:val="-3"/>
          <w:w w:val="85"/>
        </w:rPr>
        <w:t xml:space="preserve">１２ </w:t>
      </w:r>
      <w:r>
        <w:rPr>
          <w:spacing w:val="8"/>
        </w:rPr>
        <w:t>个月</w:t>
      </w:r>
      <w:r>
        <w:rPr>
          <w:rFonts w:hint="eastAsia" w:ascii="MS UI Gothic" w:eastAsia="MS UI Gothic"/>
          <w:spacing w:val="17"/>
          <w:w w:val="85"/>
        </w:rPr>
        <w:t xml:space="preserve">ꎮ </w:t>
      </w:r>
      <w:r>
        <w:rPr>
          <w:spacing w:val="11"/>
        </w:rPr>
        <w:t>试生产正常后</w:t>
      </w:r>
      <w:r>
        <w:rPr>
          <w:rFonts w:hint="eastAsia" w:ascii="MS UI Gothic" w:eastAsia="MS UI Gothic"/>
          <w:spacing w:val="17"/>
          <w:w w:val="85"/>
        </w:rPr>
        <w:t xml:space="preserve">ꎬ </w:t>
      </w:r>
      <w:r>
        <w:rPr>
          <w:spacing w:val="10"/>
        </w:rPr>
        <w:t>作业者或者</w:t>
      </w:r>
      <w:r>
        <w:rPr>
          <w:spacing w:val="3"/>
        </w:rPr>
        <w:t>承包者应当组织安全竣工验收</w:t>
      </w:r>
      <w:r>
        <w:rPr>
          <w:rFonts w:hint="eastAsia" w:ascii="MS UI Gothic" w:eastAsia="MS UI Gothic"/>
          <w:w w:val="85"/>
        </w:rPr>
        <w:t>ꎮ</w:t>
      </w:r>
    </w:p>
    <w:p>
      <w:pPr>
        <w:pStyle w:val="6"/>
        <w:spacing w:line="295" w:lineRule="auto"/>
        <w:ind w:right="442"/>
        <w:rPr>
          <w:rFonts w:hint="eastAsia" w:ascii="MS UI Gothic" w:eastAsia="MS UI Gothic"/>
        </w:rPr>
      </w:pPr>
      <w:r>
        <w:rPr>
          <w:spacing w:val="2"/>
        </w:rPr>
        <w:t>经竣工验收合格并办理安全生产许可</w:t>
      </w:r>
      <w:r>
        <w:rPr>
          <w:spacing w:val="3"/>
        </w:rPr>
        <w:t>证后</w:t>
      </w:r>
      <w:r>
        <w:rPr>
          <w:rFonts w:hint="eastAsia" w:ascii="MS UI Gothic" w:eastAsia="MS UI Gothic"/>
          <w:spacing w:val="1"/>
          <w:w w:val="80"/>
        </w:rPr>
        <w:t xml:space="preserve">ꎬ </w:t>
      </w:r>
      <w:r>
        <w:rPr>
          <w:spacing w:val="3"/>
        </w:rPr>
        <w:t>方可正式投入生产使用</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第八条 生产设施有下列情形之一</w:t>
      </w:r>
      <w:r>
        <w:t>的</w:t>
      </w:r>
      <w:r>
        <w:rPr>
          <w:rFonts w:hint="eastAsia" w:ascii="MS UI Gothic" w:eastAsia="MS UI Gothic"/>
          <w:w w:val="80"/>
        </w:rPr>
        <w:t xml:space="preserve">ꎬ </w:t>
      </w:r>
      <w:r>
        <w:t>作业者或者承包者应当及时向海油安</w:t>
      </w:r>
      <w:r>
        <w:rPr>
          <w:w w:val="105"/>
        </w:rPr>
        <w:t>办有关分部报告</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更换或者拆卸井上和井下安全阀</w:t>
      </w:r>
      <w:r>
        <w:rPr>
          <w:rFonts w:hint="eastAsia" w:ascii="MS UI Gothic" w:eastAsia="MS UI Gothic"/>
          <w:w w:val="80"/>
        </w:rPr>
        <w:t xml:space="preserve">、 </w:t>
      </w:r>
      <w:r>
        <w:rPr>
          <w:w w:val="105"/>
        </w:rPr>
        <w:t>火灾及可燃和有毒有害气体探测与报警系统</w:t>
      </w:r>
      <w:r>
        <w:rPr>
          <w:rFonts w:hint="eastAsia" w:ascii="MS UI Gothic" w:eastAsia="MS UI Gothic"/>
          <w:w w:val="80"/>
        </w:rPr>
        <w:t xml:space="preserve">、 </w:t>
      </w:r>
      <w:r>
        <w:rPr>
          <w:w w:val="105"/>
        </w:rPr>
        <w:t>消防和救生设备等主要安全设施的</w:t>
      </w:r>
      <w:r>
        <w:rPr>
          <w:rFonts w:hint="eastAsia" w:ascii="MS UI Gothic" w:eastAsia="MS UI Gothic"/>
          <w:w w:val="80"/>
        </w:rPr>
        <w:t>ꎻ</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变动应急预案有关内容的</w:t>
      </w:r>
      <w:r>
        <w:rPr>
          <w:rFonts w:hint="eastAsia" w:ascii="MS UI Gothic" w:eastAsia="MS UI Gothic"/>
          <w:w w:val="80"/>
        </w:rPr>
        <w:t>ꎻ</w:t>
      </w:r>
    </w:p>
    <w:p>
      <w:pPr>
        <w:pStyle w:val="6"/>
        <w:spacing w:before="37"/>
        <w:ind w:left="543" w:firstLine="0"/>
      </w:pPr>
      <w:r>
        <w:rPr>
          <w:rFonts w:hint="eastAsia" w:ascii="MS UI Gothic" w:eastAsia="MS UI Gothic"/>
          <w:w w:val="145"/>
        </w:rPr>
        <w:t xml:space="preserve">( </w:t>
      </w:r>
      <w:r>
        <w:t>三</w:t>
      </w:r>
      <w:r>
        <w:rPr>
          <w:rFonts w:hint="eastAsia" w:ascii="MS UI Gothic" w:eastAsia="MS UI Gothic"/>
          <w:w w:val="145"/>
        </w:rPr>
        <w:t xml:space="preserve">) </w:t>
      </w:r>
      <w:r>
        <w:t xml:space="preserve">中断采油 </w:t>
      </w:r>
      <w:r>
        <w:rPr>
          <w:rFonts w:hint="eastAsia" w:ascii="MS UI Gothic" w:eastAsia="MS UI Gothic"/>
          <w:w w:val="145"/>
        </w:rPr>
        <w:t xml:space="preserve">( </w:t>
      </w:r>
      <w:r>
        <w:t>气</w:t>
      </w:r>
      <w:r>
        <w:rPr>
          <w:rFonts w:hint="eastAsia" w:ascii="MS UI Gothic" w:eastAsia="MS UI Gothic"/>
          <w:w w:val="145"/>
        </w:rPr>
        <w:t xml:space="preserve">) </w:t>
      </w:r>
      <w:r>
        <w:t xml:space="preserve">作业 </w:t>
      </w:r>
      <w:r>
        <w:rPr>
          <w:rFonts w:hint="eastAsia" w:ascii="MS UI Gothic" w:eastAsia="MS UI Gothic"/>
        </w:rPr>
        <w:t xml:space="preserve">１０ </w:t>
      </w:r>
      <w:r>
        <w:t>日以</w:t>
      </w:r>
    </w:p>
    <w:p>
      <w:pPr>
        <w:spacing w:after="0"/>
        <w:sectPr>
          <w:type w:val="continuous"/>
          <w:pgSz w:w="10500" w:h="14750"/>
          <w:pgMar w:top="1400" w:right="980" w:bottom="280" w:left="980" w:header="720" w:footer="720" w:gutter="0"/>
          <w:cols w:equalWidth="0" w:num="2">
            <w:col w:w="3934" w:space="258"/>
            <w:col w:w="4348"/>
          </w:cols>
        </w:sectPr>
      </w:pPr>
    </w:p>
    <w:p>
      <w:pPr>
        <w:spacing w:before="192"/>
        <w:ind w:left="0" w:right="53" w:firstLine="0"/>
        <w:jc w:val="right"/>
        <w:rPr>
          <w:sz w:val="17"/>
        </w:rPr>
      </w:pPr>
      <w:r>
        <w:rPr>
          <w:spacing w:val="3"/>
          <w:sz w:val="17"/>
        </w:rPr>
        <w:t>四</w:t>
      </w:r>
      <w:r>
        <w:rPr>
          <w:rFonts w:hint="eastAsia" w:ascii="Microsoft Yi Baiti" w:eastAsia="Microsoft Yi Baiti"/>
          <w:spacing w:val="9"/>
          <w:sz w:val="17"/>
        </w:rPr>
        <w:t xml:space="preserve">、 </w:t>
      </w:r>
      <w:r>
        <w:rPr>
          <w:spacing w:val="-18"/>
          <w:sz w:val="17"/>
        </w:rPr>
        <w:t>安 全 生 产 法</w:t>
      </w:r>
    </w:p>
    <w:p>
      <w:pPr>
        <w:pStyle w:val="6"/>
        <w:spacing w:before="8"/>
        <w:ind w:left="0" w:firstLine="0"/>
        <w:jc w:val="left"/>
        <w:rPr>
          <w:sz w:val="23"/>
        </w:rPr>
      </w:pPr>
    </w:p>
    <w:p>
      <w:pPr>
        <w:pStyle w:val="6"/>
        <w:tabs>
          <w:tab w:val="left" w:pos="4632"/>
        </w:tabs>
        <w:spacing w:line="240" w:lineRule="exact"/>
        <w:ind w:left="440" w:firstLine="0"/>
        <w:jc w:val="left"/>
        <w:rPr>
          <w:rFonts w:hint="eastAsia" w:ascii="MS UI Gothic" w:eastAsia="MS UI Gothic"/>
        </w:rPr>
      </w:pPr>
      <w:r>
        <w:pict>
          <v:shape id="_x0000_s1579" o:spid="_x0000_s1579" style="position:absolute;left:0pt;margin-left:0pt;margin-top:664.5pt;height:1.75pt;width:398.25pt;mso-position-horizontal-relative:page;z-index:251881472;mso-width-relative:page;mso-height-relative:page;" filled="f" stroked="t" coordorigin="0,13290" coordsize="7965,35" path="m1419,-196l9384,-196m1419,-231l9384,-231e">
            <v:path arrowok="t"/>
            <v:fill on="f" focussize="0,0"/>
            <v:stroke weight="0.388031496062992pt" color="#231F20"/>
            <v:imagedata o:title=""/>
            <o:lock v:ext="edit"/>
          </v:shape>
        </w:pict>
      </w:r>
      <w:r>
        <w:rPr>
          <w:spacing w:val="3"/>
          <w:w w:val="110"/>
        </w:rPr>
        <w:t>上或者终止采</w:t>
      </w:r>
      <w:r>
        <w:rPr>
          <w:w w:val="110"/>
        </w:rPr>
        <w:t>油</w:t>
      </w:r>
      <w:r>
        <w:rPr>
          <w:spacing w:val="-43"/>
          <w:w w:val="110"/>
        </w:rPr>
        <w:t xml:space="preserve"> </w:t>
      </w:r>
      <w:r>
        <w:rPr>
          <w:rFonts w:hint="eastAsia" w:ascii="MS UI Gothic" w:eastAsia="MS UI Gothic"/>
          <w:w w:val="110"/>
        </w:rPr>
        <w:t>(</w:t>
      </w:r>
      <w:r>
        <w:rPr>
          <w:rFonts w:hint="eastAsia" w:ascii="MS UI Gothic" w:eastAsia="MS UI Gothic"/>
          <w:spacing w:val="-54"/>
          <w:w w:val="110"/>
        </w:rPr>
        <w:t xml:space="preserve"> </w:t>
      </w:r>
      <w:r>
        <w:rPr>
          <w:spacing w:val="3"/>
          <w:w w:val="110"/>
        </w:rPr>
        <w:t>气</w:t>
      </w:r>
      <w:r>
        <w:rPr>
          <w:rFonts w:hint="eastAsia" w:ascii="MS UI Gothic" w:eastAsia="MS UI Gothic"/>
          <w:w w:val="110"/>
        </w:rPr>
        <w:t>)</w:t>
      </w:r>
      <w:r>
        <w:rPr>
          <w:rFonts w:hint="eastAsia" w:ascii="MS UI Gothic" w:eastAsia="MS UI Gothic"/>
          <w:spacing w:val="13"/>
          <w:w w:val="110"/>
        </w:rPr>
        <w:t xml:space="preserve"> </w:t>
      </w:r>
      <w:r>
        <w:rPr>
          <w:spacing w:val="3"/>
          <w:w w:val="110"/>
        </w:rPr>
        <w:t>作业的</w:t>
      </w:r>
      <w:r>
        <w:rPr>
          <w:rFonts w:hint="eastAsia" w:ascii="MS UI Gothic" w:eastAsia="MS UI Gothic"/>
          <w:w w:val="80"/>
        </w:rPr>
        <w:t>ꎻ</w:t>
      </w:r>
      <w:r>
        <w:rPr>
          <w:rFonts w:hint="eastAsia" w:ascii="MS UI Gothic" w:eastAsia="MS UI Gothic"/>
          <w:w w:val="80"/>
        </w:rPr>
        <w:tab/>
      </w:r>
      <w:r>
        <w:rPr>
          <w:spacing w:val="3"/>
          <w:w w:val="115"/>
        </w:rPr>
        <w:t>资料</w:t>
      </w:r>
      <w:r>
        <w:rPr>
          <w:rFonts w:hint="eastAsia" w:ascii="MS UI Gothic" w:eastAsia="MS UI Gothic"/>
          <w:w w:val="130"/>
        </w:rPr>
        <w:t>:</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１８３</w:t>
      </w:r>
    </w:p>
    <w:p>
      <w:pPr>
        <w:spacing w:after="0"/>
        <w:jc w:val="left"/>
        <w:rPr>
          <w:rFonts w:hint="eastAsia" w:ascii="MS UI Gothic" w:eastAsia="MS UI Gothic"/>
        </w:rPr>
        <w:sectPr>
          <w:pgSz w:w="10500" w:h="14750"/>
          <w:pgMar w:top="960" w:right="980" w:bottom="280" w:left="980" w:header="720" w:footer="720" w:gutter="0"/>
          <w:cols w:equalWidth="0" w:num="2">
            <w:col w:w="5195" w:space="1876"/>
            <w:col w:w="1469"/>
          </w:cols>
        </w:sectPr>
      </w:pPr>
    </w:p>
    <w:p>
      <w:pPr>
        <w:pStyle w:val="6"/>
        <w:spacing w:before="74" w:line="295" w:lineRule="auto"/>
        <w:ind w:left="440"/>
        <w:jc w:val="left"/>
        <w:rPr>
          <w:rFonts w:hint="eastAsia" w:ascii="MS UI Gothic" w:eastAsia="MS UI Gothic"/>
        </w:rPr>
      </w:pPr>
      <w:r>
        <w:rPr>
          <w:rFonts w:hint="eastAsia" w:ascii="MS UI Gothic" w:eastAsia="MS UI Gothic"/>
          <w:spacing w:val="-42"/>
          <w:w w:val="150"/>
        </w:rPr>
        <w:t xml:space="preserve">( </w:t>
      </w:r>
      <w:r>
        <w:rPr>
          <w:spacing w:val="3"/>
          <w:w w:val="115"/>
        </w:rPr>
        <w:t>四</w:t>
      </w:r>
      <w:r>
        <w:rPr>
          <w:rFonts w:hint="eastAsia" w:ascii="MS UI Gothic" w:eastAsia="MS UI Gothic"/>
          <w:spacing w:val="-19"/>
          <w:w w:val="150"/>
        </w:rPr>
        <w:t xml:space="preserve">) </w:t>
      </w:r>
      <w:r>
        <w:rPr>
          <w:spacing w:val="-7"/>
          <w:w w:val="115"/>
        </w:rPr>
        <w:t xml:space="preserve">改变海底长输油 </w:t>
      </w:r>
      <w:r>
        <w:rPr>
          <w:rFonts w:hint="eastAsia" w:ascii="MS UI Gothic" w:eastAsia="MS UI Gothic"/>
          <w:spacing w:val="-41"/>
          <w:w w:val="150"/>
        </w:rPr>
        <w:t xml:space="preserve">( </w:t>
      </w:r>
      <w:r>
        <w:rPr>
          <w:spacing w:val="7"/>
          <w:w w:val="115"/>
        </w:rPr>
        <w:t>气</w:t>
      </w:r>
      <w:r>
        <w:rPr>
          <w:rFonts w:hint="eastAsia" w:ascii="MS UI Gothic" w:eastAsia="MS UI Gothic"/>
          <w:spacing w:val="-19"/>
          <w:w w:val="150"/>
        </w:rPr>
        <w:t xml:space="preserve">) </w:t>
      </w:r>
      <w:r>
        <w:rPr>
          <w:spacing w:val="6"/>
          <w:w w:val="115"/>
        </w:rPr>
        <w:t>管线原</w:t>
      </w:r>
      <w:r>
        <w:rPr>
          <w:spacing w:val="3"/>
          <w:w w:val="115"/>
        </w:rPr>
        <w:t>设计用途的</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spacing w:val="-39"/>
          <w:w w:val="150"/>
        </w:rPr>
        <w:t xml:space="preserve">( </w:t>
      </w:r>
      <w:r>
        <w:rPr>
          <w:spacing w:val="3"/>
          <w:w w:val="110"/>
        </w:rPr>
        <w:t>五</w:t>
      </w:r>
      <w:r>
        <w:rPr>
          <w:rFonts w:hint="eastAsia" w:ascii="MS UI Gothic" w:eastAsia="MS UI Gothic"/>
          <w:spacing w:val="-2"/>
          <w:w w:val="150"/>
        </w:rPr>
        <w:t xml:space="preserve">) </w:t>
      </w:r>
      <w:r>
        <w:rPr>
          <w:spacing w:val="-3"/>
          <w:w w:val="110"/>
        </w:rPr>
        <w:t xml:space="preserve">超过海底长输油 </w:t>
      </w:r>
      <w:r>
        <w:rPr>
          <w:rFonts w:hint="eastAsia" w:ascii="MS UI Gothic" w:eastAsia="MS UI Gothic"/>
          <w:spacing w:val="-37"/>
          <w:w w:val="150"/>
        </w:rPr>
        <w:t xml:space="preserve">( </w:t>
      </w:r>
      <w:r>
        <w:rPr>
          <w:spacing w:val="7"/>
          <w:w w:val="110"/>
        </w:rPr>
        <w:t>气</w:t>
      </w:r>
      <w:r>
        <w:rPr>
          <w:rFonts w:hint="eastAsia" w:ascii="MS UI Gothic" w:eastAsia="MS UI Gothic"/>
          <w:w w:val="150"/>
        </w:rPr>
        <w:t xml:space="preserve">) </w:t>
      </w:r>
      <w:r>
        <w:rPr>
          <w:spacing w:val="6"/>
          <w:w w:val="110"/>
        </w:rPr>
        <w:t>管线设</w:t>
      </w:r>
      <w:r>
        <w:rPr>
          <w:spacing w:val="3"/>
          <w:w w:val="110"/>
        </w:rPr>
        <w:t>计允许最大输送量或者输送压力的</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spacing w:val="-39"/>
          <w:w w:val="150"/>
        </w:rPr>
        <w:t xml:space="preserve">( </w:t>
      </w:r>
      <w:r>
        <w:rPr>
          <w:spacing w:val="3"/>
          <w:w w:val="110"/>
        </w:rPr>
        <w:t>六</w:t>
      </w:r>
      <w:r>
        <w:rPr>
          <w:rFonts w:hint="eastAsia" w:ascii="MS UI Gothic" w:eastAsia="MS UI Gothic"/>
          <w:spacing w:val="-2"/>
          <w:w w:val="150"/>
        </w:rPr>
        <w:t xml:space="preserve">) </w:t>
      </w:r>
      <w:r>
        <w:rPr>
          <w:spacing w:val="-4"/>
          <w:w w:val="110"/>
        </w:rPr>
        <w:t xml:space="preserve">海底长输油 </w:t>
      </w:r>
      <w:r>
        <w:rPr>
          <w:rFonts w:hint="eastAsia" w:ascii="MS UI Gothic" w:eastAsia="MS UI Gothic"/>
          <w:spacing w:val="-39"/>
          <w:w w:val="150"/>
        </w:rPr>
        <w:t xml:space="preserve">( </w:t>
      </w:r>
      <w:r>
        <w:rPr>
          <w:spacing w:val="3"/>
          <w:w w:val="110"/>
        </w:rPr>
        <w:t>气</w:t>
      </w:r>
      <w:r>
        <w:rPr>
          <w:rFonts w:hint="eastAsia" w:ascii="MS UI Gothic" w:eastAsia="MS UI Gothic"/>
          <w:spacing w:val="-1"/>
          <w:w w:val="150"/>
        </w:rPr>
        <w:t xml:space="preserve">) </w:t>
      </w:r>
      <w:r>
        <w:rPr>
          <w:spacing w:val="7"/>
          <w:w w:val="110"/>
        </w:rPr>
        <w:t>管线发生严</w:t>
      </w:r>
      <w:r>
        <w:rPr>
          <w:spacing w:val="3"/>
          <w:w w:val="110"/>
        </w:rPr>
        <w:t>重的损伤</w:t>
      </w:r>
      <w:r>
        <w:rPr>
          <w:rFonts w:hint="eastAsia" w:ascii="MS UI Gothic" w:eastAsia="MS UI Gothic"/>
          <w:spacing w:val="15"/>
          <w:w w:val="80"/>
        </w:rPr>
        <w:t xml:space="preserve">、 </w:t>
      </w:r>
      <w:r>
        <w:rPr>
          <w:spacing w:val="3"/>
          <w:w w:val="110"/>
        </w:rPr>
        <w:t>断裂</w:t>
      </w:r>
      <w:r>
        <w:rPr>
          <w:rFonts w:hint="eastAsia" w:ascii="MS UI Gothic" w:eastAsia="MS UI Gothic"/>
          <w:spacing w:val="15"/>
          <w:w w:val="80"/>
        </w:rPr>
        <w:t xml:space="preserve">、 </w:t>
      </w:r>
      <w:r>
        <w:rPr>
          <w:spacing w:val="3"/>
          <w:w w:val="110"/>
        </w:rPr>
        <w:t>爆破等事故的</w:t>
      </w:r>
      <w:r>
        <w:rPr>
          <w:rFonts w:hint="eastAsia" w:ascii="MS UI Gothic" w:eastAsia="MS UI Gothic"/>
          <w:w w:val="80"/>
        </w:rPr>
        <w:t>ꎻ</w:t>
      </w:r>
    </w:p>
    <w:p>
      <w:pPr>
        <w:pStyle w:val="6"/>
        <w:spacing w:line="295" w:lineRule="auto"/>
        <w:ind w:left="440"/>
        <w:jc w:val="right"/>
      </w:pPr>
      <w:r>
        <w:rPr>
          <w:rFonts w:hint="eastAsia" w:ascii="MS UI Gothic" w:eastAsia="MS UI Gothic"/>
          <w:spacing w:val="-42"/>
          <w:w w:val="150"/>
        </w:rPr>
        <w:t xml:space="preserve">( </w:t>
      </w:r>
      <w:r>
        <w:rPr>
          <w:spacing w:val="3"/>
          <w:w w:val="115"/>
        </w:rPr>
        <w:t>七</w:t>
      </w:r>
      <w:r>
        <w:rPr>
          <w:rFonts w:hint="eastAsia" w:ascii="MS UI Gothic" w:eastAsia="MS UI Gothic"/>
          <w:spacing w:val="-21"/>
          <w:w w:val="150"/>
        </w:rPr>
        <w:t xml:space="preserve">) </w:t>
      </w:r>
      <w:r>
        <w:rPr>
          <w:spacing w:val="-11"/>
          <w:w w:val="115"/>
        </w:rPr>
        <w:t xml:space="preserve">海底长输油 </w:t>
      </w:r>
      <w:r>
        <w:rPr>
          <w:rFonts w:hint="eastAsia" w:ascii="MS UI Gothic" w:eastAsia="MS UI Gothic"/>
          <w:spacing w:val="-42"/>
          <w:w w:val="150"/>
        </w:rPr>
        <w:t xml:space="preserve">( </w:t>
      </w:r>
      <w:r>
        <w:rPr>
          <w:spacing w:val="3"/>
          <w:w w:val="115"/>
        </w:rPr>
        <w:t>气</w:t>
      </w:r>
      <w:r>
        <w:rPr>
          <w:rFonts w:hint="eastAsia" w:ascii="MS UI Gothic" w:eastAsia="MS UI Gothic"/>
          <w:spacing w:val="-20"/>
          <w:w w:val="150"/>
        </w:rPr>
        <w:t xml:space="preserve">) </w:t>
      </w:r>
      <w:r>
        <w:rPr>
          <w:spacing w:val="7"/>
          <w:w w:val="115"/>
        </w:rPr>
        <w:t>管线输送的</w:t>
      </w:r>
      <w:r>
        <w:rPr>
          <w:spacing w:val="-5"/>
          <w:w w:val="105"/>
        </w:rPr>
        <w:t xml:space="preserve">油 </w:t>
      </w:r>
      <w:r>
        <w:rPr>
          <w:rFonts w:hint="eastAsia" w:ascii="MS UI Gothic" w:eastAsia="MS UI Gothic"/>
          <w:spacing w:val="-24"/>
          <w:w w:val="105"/>
        </w:rPr>
        <w:t xml:space="preserve">( </w:t>
      </w:r>
      <w:r>
        <w:rPr>
          <w:spacing w:val="3"/>
          <w:w w:val="105"/>
        </w:rPr>
        <w:t>气</w:t>
      </w:r>
      <w:r>
        <w:rPr>
          <w:rFonts w:hint="eastAsia" w:ascii="MS UI Gothic" w:eastAsia="MS UI Gothic"/>
          <w:spacing w:val="20"/>
          <w:w w:val="105"/>
        </w:rPr>
        <w:t xml:space="preserve">) </w:t>
      </w:r>
      <w:r>
        <w:rPr>
          <w:spacing w:val="3"/>
          <w:w w:val="105"/>
        </w:rPr>
        <w:t>发生泄漏导致重大污染事故的</w:t>
      </w:r>
      <w:r>
        <w:rPr>
          <w:rFonts w:hint="eastAsia" w:ascii="MS UI Gothic" w:eastAsia="MS UI Gothic"/>
          <w:w w:val="80"/>
        </w:rPr>
        <w:t>ꎻ</w:t>
      </w:r>
      <w:r>
        <w:rPr>
          <w:rFonts w:hint="eastAsia" w:ascii="MS UI Gothic" w:eastAsia="MS UI Gothic"/>
          <w:w w:val="51"/>
        </w:rPr>
        <w:t xml:space="preserve"> </w:t>
      </w:r>
      <w:r>
        <w:rPr>
          <w:rFonts w:hint="eastAsia" w:ascii="MS UI Gothic" w:eastAsia="MS UI Gothic"/>
          <w:spacing w:val="-27"/>
          <w:w w:val="110"/>
        </w:rPr>
        <w:t xml:space="preserve">( </w:t>
      </w:r>
      <w:r>
        <w:rPr>
          <w:spacing w:val="3"/>
          <w:w w:val="110"/>
        </w:rPr>
        <w:t>八</w:t>
      </w:r>
      <w:r>
        <w:rPr>
          <w:rFonts w:hint="eastAsia" w:ascii="MS UI Gothic" w:eastAsia="MS UI Gothic"/>
          <w:spacing w:val="10"/>
          <w:w w:val="110"/>
        </w:rPr>
        <w:t xml:space="preserve">) </w:t>
      </w:r>
      <w:r>
        <w:rPr>
          <w:spacing w:val="24"/>
          <w:w w:val="110"/>
        </w:rPr>
        <w:t>位置失稳</w:t>
      </w:r>
      <w:r>
        <w:rPr>
          <w:rFonts w:hint="eastAsia" w:ascii="MS UI Gothic" w:eastAsia="MS UI Gothic"/>
          <w:spacing w:val="15"/>
          <w:w w:val="80"/>
        </w:rPr>
        <w:t xml:space="preserve">、 </w:t>
      </w:r>
      <w:r>
        <w:rPr>
          <w:spacing w:val="26"/>
          <w:w w:val="110"/>
        </w:rPr>
        <w:t>水平或者垂直移</w:t>
      </w:r>
    </w:p>
    <w:p>
      <w:pPr>
        <w:pStyle w:val="6"/>
        <w:spacing w:line="254" w:lineRule="exact"/>
        <w:ind w:left="440" w:firstLine="0"/>
        <w:jc w:val="left"/>
      </w:pPr>
      <w:r>
        <w:rPr>
          <w:spacing w:val="3"/>
        </w:rPr>
        <w:t>动</w:t>
      </w:r>
      <w:r>
        <w:rPr>
          <w:rFonts w:hint="eastAsia" w:ascii="MS UI Gothic" w:eastAsia="MS UI Gothic"/>
          <w:spacing w:val="21"/>
        </w:rPr>
        <w:t xml:space="preserve">、 </w:t>
      </w:r>
      <w:r>
        <w:rPr>
          <w:spacing w:val="3"/>
        </w:rPr>
        <w:t>悬空</w:t>
      </w:r>
      <w:r>
        <w:rPr>
          <w:rFonts w:hint="eastAsia" w:ascii="MS UI Gothic" w:eastAsia="MS UI Gothic"/>
          <w:spacing w:val="22"/>
        </w:rPr>
        <w:t xml:space="preserve">、 </w:t>
      </w:r>
      <w:r>
        <w:rPr>
          <w:spacing w:val="3"/>
        </w:rPr>
        <w:t>沉陷</w:t>
      </w:r>
      <w:r>
        <w:rPr>
          <w:rFonts w:hint="eastAsia" w:ascii="MS UI Gothic" w:eastAsia="MS UI Gothic"/>
          <w:spacing w:val="21"/>
        </w:rPr>
        <w:t xml:space="preserve">、 </w:t>
      </w:r>
      <w:r>
        <w:rPr>
          <w:spacing w:val="2"/>
        </w:rPr>
        <w:t>漂浮等超出海底长输油</w:t>
      </w:r>
    </w:p>
    <w:p>
      <w:pPr>
        <w:pStyle w:val="6"/>
        <w:spacing w:before="54" w:line="240" w:lineRule="exact"/>
        <w:ind w:left="440" w:firstLine="0"/>
        <w:jc w:val="left"/>
        <w:rPr>
          <w:rFonts w:hint="eastAsia" w:ascii="MS UI Gothic" w:eastAsia="MS UI Gothic"/>
        </w:rPr>
      </w:pPr>
      <w:r>
        <w:rPr>
          <w:rFonts w:hint="eastAsia" w:ascii="MS UI Gothic" w:eastAsia="MS UI Gothic"/>
          <w:w w:val="150"/>
        </w:rPr>
        <w:t xml:space="preserve">( </w:t>
      </w:r>
      <w:r>
        <w:rPr>
          <w:w w:val="110"/>
        </w:rPr>
        <w:t>气</w:t>
      </w:r>
      <w:r>
        <w:rPr>
          <w:rFonts w:hint="eastAsia" w:ascii="MS UI Gothic" w:eastAsia="MS UI Gothic"/>
          <w:w w:val="150"/>
        </w:rPr>
        <w:t xml:space="preserve">) </w:t>
      </w:r>
      <w:r>
        <w:rPr>
          <w:w w:val="110"/>
        </w:rPr>
        <w:t>管线设计允许偏差值的</w:t>
      </w:r>
      <w:r>
        <w:rPr>
          <w:rFonts w:hint="eastAsia" w:ascii="MS UI Gothic" w:eastAsia="MS UI Gothic"/>
          <w:w w:val="80"/>
        </w:rPr>
        <w:t>ꎻ</w:t>
      </w:r>
    </w:p>
    <w:p>
      <w:pPr>
        <w:pStyle w:val="6"/>
        <w:spacing w:before="74" w:line="295" w:lineRule="auto"/>
        <w:ind w:left="383" w:right="126"/>
        <w:rPr>
          <w:rFonts w:hint="eastAsia" w:ascii="MS UI Gothic" w:eastAsia="MS UI Gothic"/>
        </w:rPr>
      </w:pPr>
      <w:r>
        <w:br w:type="column"/>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 xml:space="preserve">钻 </w:t>
      </w:r>
      <w:r>
        <w:rPr>
          <w:rFonts w:hint="eastAsia" w:ascii="MS UI Gothic" w:eastAsia="MS UI Gothic"/>
          <w:w w:val="150"/>
        </w:rPr>
        <w:t xml:space="preserve">( </w:t>
      </w:r>
      <w:r>
        <w:rPr>
          <w:w w:val="105"/>
        </w:rPr>
        <w:t>修</w:t>
      </w:r>
      <w:r>
        <w:rPr>
          <w:rFonts w:hint="eastAsia" w:ascii="MS UI Gothic" w:eastAsia="MS UI Gothic"/>
          <w:w w:val="150"/>
        </w:rPr>
        <w:t xml:space="preserve">) </w:t>
      </w:r>
      <w:r>
        <w:rPr>
          <w:w w:val="105"/>
        </w:rPr>
        <w:t>井专用设备</w:t>
      </w:r>
      <w:r>
        <w:rPr>
          <w:rFonts w:hint="eastAsia" w:ascii="MS UI Gothic" w:eastAsia="MS UI Gothic"/>
          <w:w w:val="80"/>
        </w:rPr>
        <w:t xml:space="preserve">、 </w:t>
      </w:r>
      <w:r>
        <w:rPr>
          <w:w w:val="105"/>
        </w:rPr>
        <w:t>防喷器组</w:t>
      </w:r>
      <w:r>
        <w:rPr>
          <w:rFonts w:hint="eastAsia" w:ascii="MS UI Gothic" w:eastAsia="MS UI Gothic"/>
          <w:w w:val="80"/>
        </w:rPr>
        <w:t xml:space="preserve">、 </w:t>
      </w:r>
      <w:r>
        <w:rPr>
          <w:w w:val="105"/>
        </w:rPr>
        <w:t>防喷器控制系统</w:t>
      </w:r>
      <w:r>
        <w:rPr>
          <w:rFonts w:hint="eastAsia" w:ascii="MS UI Gothic" w:eastAsia="MS UI Gothic"/>
          <w:w w:val="80"/>
        </w:rPr>
        <w:t xml:space="preserve">、 </w:t>
      </w:r>
      <w:r>
        <w:rPr>
          <w:w w:val="105"/>
        </w:rPr>
        <w:t>阻流管汇及其控制盘</w:t>
      </w:r>
      <w:r>
        <w:rPr>
          <w:rFonts w:hint="eastAsia" w:ascii="MS UI Gothic" w:eastAsia="MS UI Gothic"/>
          <w:w w:val="80"/>
        </w:rPr>
        <w:t xml:space="preserve">、 </w:t>
      </w:r>
      <w:r>
        <w:rPr>
          <w:w w:val="105"/>
        </w:rPr>
        <w:t>压井管汇</w:t>
      </w:r>
      <w:r>
        <w:rPr>
          <w:rFonts w:hint="eastAsia" w:ascii="MS UI Gothic" w:eastAsia="MS UI Gothic"/>
          <w:w w:val="80"/>
        </w:rPr>
        <w:t xml:space="preserve">、 </w:t>
      </w:r>
      <w:r>
        <w:rPr>
          <w:w w:val="105"/>
        </w:rPr>
        <w:t>固井设备</w:t>
      </w:r>
      <w:r>
        <w:rPr>
          <w:rFonts w:hint="eastAsia" w:ascii="MS UI Gothic" w:eastAsia="MS UI Gothic"/>
          <w:w w:val="80"/>
        </w:rPr>
        <w:t xml:space="preserve">、 </w:t>
      </w:r>
      <w:r>
        <w:rPr>
          <w:w w:val="105"/>
        </w:rPr>
        <w:t>测试设备的发证检验机构证书</w:t>
      </w:r>
      <w:r>
        <w:rPr>
          <w:rFonts w:hint="eastAsia" w:ascii="MS UI Gothic" w:eastAsia="MS UI Gothic"/>
          <w:w w:val="80"/>
        </w:rPr>
        <w:t xml:space="preserve">、 </w:t>
      </w:r>
      <w:r>
        <w:rPr>
          <w:w w:val="105"/>
        </w:rPr>
        <w:t>出厂及修理后的合格证和安装后的试验报告</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设施主要负责人和安全管理人</w:t>
      </w:r>
      <w:r>
        <w:rPr>
          <w:w w:val="110"/>
        </w:rPr>
        <w:t>员的安全资格证书</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有自航能力的作业设施的船长</w:t>
      </w:r>
      <w:r>
        <w:rPr>
          <w:rFonts w:hint="eastAsia" w:ascii="MS UI Gothic" w:eastAsia="MS UI Gothic"/>
          <w:w w:val="80"/>
        </w:rPr>
        <w:t xml:space="preserve">、 </w:t>
      </w:r>
      <w:r>
        <w:rPr>
          <w:w w:val="105"/>
        </w:rPr>
        <w:t>轮机长的适任证书</w:t>
      </w:r>
      <w:r>
        <w:rPr>
          <w:rFonts w:hint="eastAsia" w:ascii="MS UI Gothic" w:eastAsia="MS UI Gothic"/>
          <w:w w:val="80"/>
        </w:rPr>
        <w:t>ꎮ</w:t>
      </w:r>
    </w:p>
    <w:p>
      <w:pPr>
        <w:pStyle w:val="6"/>
        <w:spacing w:line="255" w:lineRule="exact"/>
        <w:ind w:left="0" w:right="126" w:firstLine="0"/>
        <w:jc w:val="right"/>
      </w:pPr>
      <w:r>
        <w:rPr>
          <w:spacing w:val="3"/>
        </w:rPr>
        <w:t>对于自升式移动平台</w:t>
      </w:r>
      <w:r>
        <w:rPr>
          <w:rFonts w:hint="eastAsia" w:ascii="MS UI Gothic" w:eastAsia="MS UI Gothic"/>
          <w:spacing w:val="12"/>
          <w:w w:val="80"/>
        </w:rPr>
        <w:t xml:space="preserve">ꎬ  </w:t>
      </w:r>
      <w:r>
        <w:rPr>
          <w:spacing w:val="2"/>
        </w:rPr>
        <w:t>除提交第一款</w:t>
      </w:r>
    </w:p>
    <w:p>
      <w:pPr>
        <w:pStyle w:val="6"/>
        <w:spacing w:before="53" w:line="240" w:lineRule="exact"/>
        <w:ind w:left="0" w:right="124" w:firstLine="0"/>
        <w:jc w:val="right"/>
        <w:rPr>
          <w:rFonts w:hint="eastAsia" w:ascii="MS UI Gothic" w:eastAsia="MS UI Gothic"/>
        </w:rPr>
      </w:pPr>
      <w:r>
        <w:rPr>
          <w:spacing w:val="3"/>
        </w:rPr>
        <w:t>规定的资料外</w:t>
      </w:r>
      <w:r>
        <w:rPr>
          <w:rFonts w:hint="eastAsia" w:ascii="MS UI Gothic" w:eastAsia="MS UI Gothic"/>
          <w:spacing w:val="15"/>
          <w:w w:val="80"/>
        </w:rPr>
        <w:t xml:space="preserve">ꎬ  </w:t>
      </w:r>
      <w:r>
        <w:rPr>
          <w:spacing w:val="12"/>
        </w:rPr>
        <w:t>还应当提交稳性计算书</w:t>
      </w:r>
      <w:r>
        <w:rPr>
          <w:rFonts w:hint="eastAsia" w:ascii="MS UI Gothic" w:eastAsia="MS UI Gothic"/>
          <w:w w:val="80"/>
        </w:rPr>
        <w:t>、</w:t>
      </w:r>
    </w:p>
    <w:p>
      <w:pPr>
        <w:spacing w:after="0" w:line="240" w:lineRule="exact"/>
        <w:jc w:val="righ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74"/>
        <w:ind w:left="860" w:firstLine="0"/>
        <w:jc w:val="left"/>
      </w:pPr>
      <w:r>
        <w:rPr>
          <w:rFonts w:hint="eastAsia" w:ascii="MS UI Gothic" w:eastAsia="MS UI Gothic"/>
          <w:spacing w:val="-28"/>
          <w:w w:val="110"/>
        </w:rPr>
        <w:t xml:space="preserve">( </w:t>
      </w:r>
      <w:r>
        <w:rPr>
          <w:spacing w:val="29"/>
          <w:w w:val="110"/>
        </w:rPr>
        <w:t>九</w:t>
      </w:r>
      <w:r>
        <w:rPr>
          <w:rFonts w:hint="eastAsia" w:ascii="MS UI Gothic" w:eastAsia="MS UI Gothic"/>
          <w:spacing w:val="3"/>
          <w:w w:val="110"/>
        </w:rPr>
        <w:t xml:space="preserve">) </w:t>
      </w:r>
      <w:r>
        <w:rPr>
          <w:spacing w:val="40"/>
          <w:w w:val="110"/>
        </w:rPr>
        <w:t>介质堵塞造成海底长输油</w:t>
      </w:r>
    </w:p>
    <w:p>
      <w:pPr>
        <w:pStyle w:val="6"/>
        <w:spacing w:before="58"/>
        <w:ind w:left="440" w:firstLine="0"/>
        <w:jc w:val="left"/>
        <w:rPr>
          <w:rFonts w:hint="eastAsia" w:ascii="MS UI Gothic" w:eastAsia="MS UI Gothic"/>
        </w:rPr>
      </w:pPr>
      <w:r>
        <w:rPr>
          <w:rFonts w:hint="eastAsia" w:ascii="MS UI Gothic" w:eastAsia="MS UI Gothic"/>
          <w:w w:val="150"/>
        </w:rPr>
        <w:t xml:space="preserve">( </w:t>
      </w:r>
      <w:r>
        <w:rPr>
          <w:w w:val="115"/>
        </w:rPr>
        <w:t>气</w:t>
      </w:r>
      <w:r>
        <w:rPr>
          <w:rFonts w:hint="eastAsia" w:ascii="MS UI Gothic" w:eastAsia="MS UI Gothic"/>
          <w:w w:val="150"/>
        </w:rPr>
        <w:t xml:space="preserve">) </w:t>
      </w:r>
      <w:r>
        <w:rPr>
          <w:w w:val="115"/>
        </w:rPr>
        <w:t>管线停产的</w:t>
      </w:r>
      <w:r>
        <w:rPr>
          <w:rFonts w:hint="eastAsia" w:ascii="MS UI Gothic" w:eastAsia="MS UI Gothic"/>
          <w:w w:val="80"/>
        </w:rPr>
        <w:t>ꎻ</w:t>
      </w:r>
    </w:p>
    <w:p>
      <w:pPr>
        <w:pStyle w:val="6"/>
        <w:spacing w:before="58" w:line="240" w:lineRule="exact"/>
        <w:ind w:left="860" w:firstLine="0"/>
        <w:jc w:val="left"/>
      </w:pPr>
      <w:r>
        <w:rPr>
          <w:rFonts w:hint="eastAsia" w:ascii="MS UI Gothic" w:eastAsia="MS UI Gothic"/>
          <w:spacing w:val="-42"/>
          <w:w w:val="150"/>
        </w:rPr>
        <w:t xml:space="preserve">( </w:t>
      </w:r>
      <w:r>
        <w:rPr>
          <w:spacing w:val="3"/>
          <w:w w:val="115"/>
        </w:rPr>
        <w:t>十</w:t>
      </w:r>
      <w:r>
        <w:rPr>
          <w:rFonts w:hint="eastAsia" w:ascii="MS UI Gothic" w:eastAsia="MS UI Gothic"/>
          <w:spacing w:val="-20"/>
          <w:w w:val="150"/>
        </w:rPr>
        <w:t xml:space="preserve">) </w:t>
      </w:r>
      <w:r>
        <w:rPr>
          <w:spacing w:val="-11"/>
          <w:w w:val="115"/>
        </w:rPr>
        <w:t xml:space="preserve">海底长输油 </w:t>
      </w:r>
      <w:r>
        <w:rPr>
          <w:rFonts w:hint="eastAsia" w:ascii="MS UI Gothic" w:eastAsia="MS UI Gothic"/>
          <w:spacing w:val="-42"/>
          <w:w w:val="150"/>
        </w:rPr>
        <w:t xml:space="preserve">( </w:t>
      </w:r>
      <w:r>
        <w:rPr>
          <w:spacing w:val="3"/>
          <w:w w:val="115"/>
        </w:rPr>
        <w:t>气</w:t>
      </w:r>
      <w:r>
        <w:rPr>
          <w:rFonts w:hint="eastAsia" w:ascii="MS UI Gothic" w:eastAsia="MS UI Gothic"/>
          <w:spacing w:val="-19"/>
          <w:w w:val="150"/>
        </w:rPr>
        <w:t xml:space="preserve">) </w:t>
      </w:r>
      <w:r>
        <w:rPr>
          <w:spacing w:val="7"/>
          <w:w w:val="115"/>
        </w:rPr>
        <w:t>管线需进行</w:t>
      </w:r>
    </w:p>
    <w:p>
      <w:pPr>
        <w:pStyle w:val="6"/>
        <w:spacing w:before="20" w:line="310" w:lineRule="atLeast"/>
        <w:ind w:left="383" w:right="126" w:firstLine="0"/>
        <w:rPr>
          <w:rFonts w:hint="eastAsia" w:ascii="MS UI Gothic" w:eastAsia="MS UI Gothic"/>
        </w:rPr>
      </w:pPr>
      <w:r>
        <w:br w:type="column"/>
      </w:r>
      <w:r>
        <w:rPr>
          <w:w w:val="105"/>
        </w:rPr>
        <w:t>升降设备的发证检验机构的检验证书</w:t>
      </w:r>
      <w:r>
        <w:rPr>
          <w:rFonts w:hint="eastAsia" w:ascii="MS UI Gothic" w:eastAsia="MS UI Gothic"/>
          <w:w w:val="80"/>
        </w:rPr>
        <w:t xml:space="preserve">、 </w:t>
      </w:r>
      <w:r>
        <w:rPr>
          <w:w w:val="105"/>
        </w:rPr>
        <w:t>出</w:t>
      </w:r>
      <w:r>
        <w:t>厂及修理后的合格证和安装后的试验报告</w:t>
      </w:r>
      <w:r>
        <w:rPr>
          <w:w w:val="105"/>
        </w:rPr>
        <w:t>等资料</w:t>
      </w:r>
      <w:r>
        <w:rPr>
          <w:rFonts w:hint="eastAsia" w:ascii="MS UI Gothic" w:eastAsia="MS UI Gothic"/>
          <w:w w:val="80"/>
        </w:rPr>
        <w:t>ꎮ</w:t>
      </w:r>
    </w:p>
    <w:p>
      <w:pPr>
        <w:spacing w:after="0" w:line="310" w:lineRule="atLeas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67"/>
        <w:ind w:left="440" w:firstLine="0"/>
        <w:jc w:val="left"/>
        <w:rPr>
          <w:rFonts w:hint="eastAsia" w:ascii="MS UI Gothic" w:eastAsia="MS UI Gothic"/>
        </w:rPr>
      </w:pPr>
      <w:r>
        <w:t>大修和改造的</w:t>
      </w:r>
      <w:r>
        <w:rPr>
          <w:rFonts w:hint="eastAsia" w:ascii="MS UI Gothic" w:eastAsia="MS UI Gothic"/>
          <w:w w:val="80"/>
        </w:rPr>
        <w:t>ꎻ</w:t>
      </w:r>
    </w:p>
    <w:p>
      <w:pPr>
        <w:pStyle w:val="6"/>
        <w:spacing w:before="58" w:line="295" w:lineRule="auto"/>
        <w:ind w:left="440" w:right="1"/>
        <w:rPr>
          <w:rFonts w:hint="eastAsia" w:ascii="MS UI Gothic" w:eastAsia="MS UI Gothic"/>
        </w:rPr>
      </w:pPr>
      <w:r>
        <w:rPr>
          <w:rFonts w:hint="eastAsia" w:ascii="MS UI Gothic" w:eastAsia="MS UI Gothic"/>
          <w:spacing w:val="19"/>
          <w:w w:val="150"/>
        </w:rPr>
        <w:t>(</w:t>
      </w:r>
      <w:r>
        <w:rPr>
          <w:spacing w:val="3"/>
          <w:w w:val="110"/>
        </w:rPr>
        <w:t>十一</w:t>
      </w:r>
      <w:r>
        <w:rPr>
          <w:rFonts w:hint="eastAsia" w:ascii="MS UI Gothic" w:eastAsia="MS UI Gothic"/>
          <w:spacing w:val="-3"/>
          <w:w w:val="150"/>
        </w:rPr>
        <w:t xml:space="preserve">) </w:t>
      </w:r>
      <w:r>
        <w:rPr>
          <w:spacing w:val="-5"/>
          <w:w w:val="110"/>
        </w:rPr>
        <w:t xml:space="preserve">海底长输油 </w:t>
      </w:r>
      <w:r>
        <w:rPr>
          <w:rFonts w:hint="eastAsia" w:ascii="MS UI Gothic" w:eastAsia="MS UI Gothic"/>
          <w:spacing w:val="-38"/>
          <w:w w:val="150"/>
        </w:rPr>
        <w:t xml:space="preserve">( </w:t>
      </w:r>
      <w:r>
        <w:rPr>
          <w:spacing w:val="7"/>
          <w:w w:val="110"/>
        </w:rPr>
        <w:t>气</w:t>
      </w:r>
      <w:r>
        <w:rPr>
          <w:rFonts w:hint="eastAsia" w:ascii="MS UI Gothic" w:eastAsia="MS UI Gothic"/>
          <w:spacing w:val="-1"/>
          <w:w w:val="150"/>
        </w:rPr>
        <w:t xml:space="preserve">) </w:t>
      </w:r>
      <w:r>
        <w:rPr>
          <w:spacing w:val="6"/>
          <w:w w:val="110"/>
        </w:rPr>
        <w:t>管线安全</w:t>
      </w:r>
      <w:r>
        <w:rPr>
          <w:spacing w:val="-12"/>
          <w:w w:val="110"/>
        </w:rPr>
        <w:t xml:space="preserve">保护系统 </w:t>
      </w:r>
      <w:r>
        <w:rPr>
          <w:rFonts w:hint="eastAsia" w:ascii="MS UI Gothic" w:eastAsia="MS UI Gothic"/>
          <w:spacing w:val="-33"/>
          <w:w w:val="125"/>
        </w:rPr>
        <w:t xml:space="preserve">( </w:t>
      </w:r>
      <w:r>
        <w:rPr>
          <w:spacing w:val="16"/>
          <w:w w:val="110"/>
        </w:rPr>
        <w:t>如紧急放空装置</w:t>
      </w:r>
      <w:r>
        <w:rPr>
          <w:rFonts w:hint="eastAsia" w:ascii="MS UI Gothic" w:eastAsia="MS UI Gothic"/>
          <w:spacing w:val="-5"/>
          <w:w w:val="80"/>
        </w:rPr>
        <w:t xml:space="preserve">、 </w:t>
      </w:r>
      <w:r>
        <w:rPr>
          <w:spacing w:val="13"/>
          <w:w w:val="110"/>
        </w:rPr>
        <w:t>定点截断</w:t>
      </w:r>
      <w:r>
        <w:rPr>
          <w:spacing w:val="3"/>
          <w:w w:val="110"/>
        </w:rPr>
        <w:t>装置等</w:t>
      </w:r>
      <w:r>
        <w:rPr>
          <w:rFonts w:hint="eastAsia" w:ascii="MS UI Gothic" w:eastAsia="MS UI Gothic"/>
          <w:spacing w:val="10"/>
          <w:w w:val="150"/>
        </w:rPr>
        <w:t xml:space="preserve">) </w:t>
      </w:r>
      <w:r>
        <w:rPr>
          <w:spacing w:val="3"/>
          <w:w w:val="110"/>
        </w:rPr>
        <w:t>长时间失效的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15"/>
        </w:rPr>
        <w:t xml:space="preserve">( </w:t>
      </w:r>
      <w:r>
        <w:rPr>
          <w:w w:val="110"/>
        </w:rPr>
        <w:t>十二</w:t>
      </w:r>
      <w:r>
        <w:rPr>
          <w:rFonts w:hint="eastAsia" w:ascii="MS UI Gothic" w:eastAsia="MS UI Gothic"/>
          <w:w w:val="115"/>
        </w:rPr>
        <w:t xml:space="preserve">) </w:t>
      </w:r>
      <w:r>
        <w:rPr>
          <w:w w:val="110"/>
        </w:rPr>
        <w:t>其他对安全生产有重大影响的</w:t>
      </w:r>
      <w:r>
        <w:rPr>
          <w:rFonts w:hint="eastAsia" w:ascii="MS UI Gothic" w:eastAsia="MS UI Gothic"/>
          <w:w w:val="80"/>
        </w:rPr>
        <w:t>ꎮ</w:t>
      </w:r>
    </w:p>
    <w:p>
      <w:pPr>
        <w:pStyle w:val="6"/>
        <w:tabs>
          <w:tab w:val="left" w:pos="1803"/>
        </w:tabs>
        <w:spacing w:before="154"/>
        <w:ind w:left="964" w:firstLine="0"/>
        <w:jc w:val="left"/>
      </w:pPr>
      <w:r>
        <w:rPr>
          <w:spacing w:val="3"/>
          <w:w w:val="105"/>
        </w:rPr>
        <w:t>第二</w:t>
      </w:r>
      <w:r>
        <w:rPr>
          <w:w w:val="105"/>
        </w:rPr>
        <w:t>节</w:t>
      </w:r>
      <w:r>
        <w:rPr>
          <w:w w:val="105"/>
        </w:rPr>
        <w:tab/>
      </w:r>
      <w:r>
        <w:rPr>
          <w:spacing w:val="3"/>
          <w:w w:val="105"/>
        </w:rPr>
        <w:t>作业设施的备案管</w:t>
      </w:r>
      <w:r>
        <w:rPr>
          <w:w w:val="105"/>
        </w:rPr>
        <w:t>理</w:t>
      </w:r>
    </w:p>
    <w:p>
      <w:pPr>
        <w:pStyle w:val="6"/>
        <w:spacing w:before="10"/>
        <w:ind w:left="0" w:firstLine="0"/>
        <w:jc w:val="left"/>
        <w:rPr>
          <w:sz w:val="16"/>
        </w:rPr>
      </w:pPr>
    </w:p>
    <w:p>
      <w:pPr>
        <w:pStyle w:val="6"/>
        <w:spacing w:line="295" w:lineRule="auto"/>
        <w:ind w:left="440"/>
        <w:rPr>
          <w:rFonts w:hint="eastAsia" w:ascii="MS UI Gothic" w:eastAsia="MS UI Gothic"/>
        </w:rPr>
      </w:pPr>
      <w:r>
        <w:rPr>
          <w:spacing w:val="18"/>
          <w:w w:val="105"/>
        </w:rPr>
        <w:t>第九条 海洋石油作业设施从事物</w:t>
      </w:r>
      <w:r>
        <w:rPr>
          <w:spacing w:val="3"/>
          <w:w w:val="105"/>
        </w:rPr>
        <w:t>探</w:t>
      </w:r>
      <w:r>
        <w:rPr>
          <w:rFonts w:hint="eastAsia" w:ascii="MS UI Gothic" w:eastAsia="MS UI Gothic"/>
          <w:w w:val="80"/>
        </w:rPr>
        <w:t xml:space="preserve">、 </w:t>
      </w:r>
      <w:r>
        <w:rPr>
          <w:spacing w:val="-2"/>
          <w:w w:val="105"/>
        </w:rPr>
        <w:t xml:space="preserve">钻 </w:t>
      </w:r>
      <w:r>
        <w:rPr>
          <w:rFonts w:hint="eastAsia" w:ascii="MS UI Gothic" w:eastAsia="MS UI Gothic"/>
          <w:spacing w:val="-36"/>
          <w:w w:val="150"/>
        </w:rPr>
        <w:t xml:space="preserve">( </w:t>
      </w:r>
      <w:r>
        <w:rPr>
          <w:spacing w:val="17"/>
          <w:w w:val="105"/>
        </w:rPr>
        <w:t>修</w:t>
      </w:r>
      <w:r>
        <w:rPr>
          <w:rFonts w:hint="eastAsia" w:ascii="MS UI Gothic" w:eastAsia="MS UI Gothic"/>
          <w:spacing w:val="19"/>
          <w:w w:val="150"/>
        </w:rPr>
        <w:t xml:space="preserve">) </w:t>
      </w:r>
      <w:r>
        <w:rPr>
          <w:spacing w:val="3"/>
          <w:w w:val="105"/>
        </w:rPr>
        <w:t>井</w:t>
      </w:r>
      <w:r>
        <w:rPr>
          <w:rFonts w:hint="eastAsia" w:ascii="MS UI Gothic" w:eastAsia="MS UI Gothic"/>
          <w:spacing w:val="7"/>
          <w:w w:val="80"/>
        </w:rPr>
        <w:t xml:space="preserve">、 </w:t>
      </w:r>
      <w:r>
        <w:rPr>
          <w:spacing w:val="13"/>
          <w:w w:val="105"/>
        </w:rPr>
        <w:t>铺管</w:t>
      </w:r>
      <w:r>
        <w:rPr>
          <w:rFonts w:hint="eastAsia" w:ascii="MS UI Gothic" w:eastAsia="MS UI Gothic"/>
          <w:spacing w:val="7"/>
          <w:w w:val="80"/>
        </w:rPr>
        <w:t xml:space="preserve">、 </w:t>
      </w:r>
      <w:r>
        <w:rPr>
          <w:spacing w:val="19"/>
          <w:w w:val="105"/>
        </w:rPr>
        <w:t>起重和生活支</w:t>
      </w:r>
      <w:r>
        <w:rPr>
          <w:spacing w:val="4"/>
        </w:rPr>
        <w:t>持等活动应当向海油安办有关分部备案</w:t>
      </w:r>
      <w:r>
        <w:rPr>
          <w:rFonts w:hint="eastAsia" w:ascii="MS UI Gothic" w:eastAsia="MS UI Gothic"/>
          <w:w w:val="80"/>
        </w:rPr>
        <w:t>ꎮ</w:t>
      </w:r>
      <w:r>
        <w:rPr>
          <w:spacing w:val="-2"/>
          <w:w w:val="105"/>
        </w:rPr>
        <w:t xml:space="preserve">作业者或者承包者应当在作业前 </w:t>
      </w:r>
      <w:r>
        <w:rPr>
          <w:rFonts w:hint="eastAsia" w:ascii="MS UI Gothic" w:eastAsia="MS UI Gothic"/>
          <w:spacing w:val="-7"/>
          <w:w w:val="80"/>
        </w:rPr>
        <w:t xml:space="preserve">１５ </w:t>
      </w:r>
      <w:r>
        <w:rPr>
          <w:spacing w:val="6"/>
          <w:w w:val="105"/>
        </w:rPr>
        <w:t>日向</w:t>
      </w:r>
      <w:r>
        <w:rPr>
          <w:spacing w:val="2"/>
        </w:rPr>
        <w:t>海油安办有关分部提交作业设施备案申请</w:t>
      </w:r>
      <w:r>
        <w:rPr>
          <w:spacing w:val="3"/>
          <w:w w:val="105"/>
        </w:rPr>
        <w:t>书和下列资料</w:t>
      </w:r>
      <w:r>
        <w:rPr>
          <w:rFonts w:hint="eastAsia" w:ascii="MS UI Gothic" w:eastAsia="MS UI Gothic"/>
          <w:w w:val="230"/>
        </w:rPr>
        <w:t>:</w:t>
      </w:r>
    </w:p>
    <w:p>
      <w:pPr>
        <w:pStyle w:val="6"/>
        <w:spacing w:line="295" w:lineRule="auto"/>
        <w:ind w:left="440" w:right="1"/>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作业设施备案申请有关证书登</w:t>
      </w:r>
      <w:r>
        <w:rPr>
          <w:w w:val="110"/>
        </w:rPr>
        <w:t>记表</w:t>
      </w:r>
      <w:r>
        <w:rPr>
          <w:rFonts w:hint="eastAsia" w:ascii="MS UI Gothic" w:eastAsia="MS UI Gothic"/>
          <w:w w:val="80"/>
        </w:rPr>
        <w:t>ꎻ</w:t>
      </w:r>
    </w:p>
    <w:p>
      <w:pPr>
        <w:pStyle w:val="6"/>
        <w:spacing w:line="295" w:lineRule="auto"/>
        <w:ind w:left="440" w:right="1"/>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作业设施所属设备的取证分类</w:t>
      </w:r>
      <w:r>
        <w:rPr>
          <w:w w:val="110"/>
        </w:rPr>
        <w:t>表及有关证书</w:t>
      </w:r>
      <w:r>
        <w:rPr>
          <w:rFonts w:hint="eastAsia" w:ascii="MS UI Gothic" w:eastAsia="MS UI Gothic"/>
          <w:w w:val="80"/>
        </w:rPr>
        <w:t>ꎻ</w:t>
      </w:r>
    </w:p>
    <w:p>
      <w:pPr>
        <w:pStyle w:val="6"/>
        <w:spacing w:line="295" w:lineRule="auto"/>
        <w:ind w:left="860" w:right="1821" w:firstLine="0"/>
        <w:jc w:val="left"/>
        <w:rPr>
          <w:rFonts w:hint="eastAsia" w:ascii="MS UI Gothic" w:eastAsia="MS UI Gothic"/>
        </w:rPr>
      </w:pPr>
      <w:r>
        <w:rPr>
          <w:rFonts w:hint="eastAsia" w:ascii="MS UI Gothic" w:eastAsia="MS UI Gothic"/>
          <w:w w:val="110"/>
        </w:rPr>
        <w:t xml:space="preserve">( </w:t>
      </w:r>
      <w:r>
        <w:rPr>
          <w:w w:val="110"/>
        </w:rPr>
        <w:t>三</w:t>
      </w:r>
      <w:r>
        <w:rPr>
          <w:rFonts w:hint="eastAsia" w:ascii="MS UI Gothic" w:eastAsia="MS UI Gothic"/>
          <w:w w:val="110"/>
        </w:rPr>
        <w:t xml:space="preserve">) </w:t>
      </w:r>
      <w:r>
        <w:rPr>
          <w:w w:val="110"/>
        </w:rPr>
        <w:t>操船手册</w:t>
      </w:r>
      <w:r>
        <w:rPr>
          <w:rFonts w:hint="eastAsia" w:ascii="MS UI Gothic" w:eastAsia="MS UI Gothic"/>
          <w:w w:val="80"/>
        </w:rPr>
        <w:t>ꎻ</w:t>
      </w:r>
      <w:r>
        <w:rPr>
          <w:rFonts w:hint="eastAsia" w:ascii="MS UI Gothic" w:eastAsia="MS UI Gothic"/>
          <w:w w:val="110"/>
        </w:rPr>
        <w:t xml:space="preserve">( </w:t>
      </w:r>
      <w:r>
        <w:rPr>
          <w:w w:val="110"/>
        </w:rPr>
        <w:t>四</w:t>
      </w:r>
      <w:r>
        <w:rPr>
          <w:rFonts w:hint="eastAsia" w:ascii="MS UI Gothic" w:eastAsia="MS UI Gothic"/>
          <w:w w:val="110"/>
        </w:rPr>
        <w:t xml:space="preserve">) </w:t>
      </w:r>
      <w:r>
        <w:rPr>
          <w:w w:val="110"/>
        </w:rPr>
        <w:t>作业合同</w:t>
      </w:r>
      <w:r>
        <w:rPr>
          <w:rFonts w:hint="eastAsia" w:ascii="MS UI Gothic" w:eastAsia="MS UI Gothic"/>
          <w:w w:val="80"/>
        </w:rPr>
        <w:t>ꎻ</w:t>
      </w:r>
    </w:p>
    <w:p>
      <w:pPr>
        <w:pStyle w:val="6"/>
        <w:spacing w:line="295" w:lineRule="auto"/>
        <w:ind w:left="860" w:right="587" w:firstLine="0"/>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作业设施运营安全手册</w:t>
      </w:r>
      <w:r>
        <w:rPr>
          <w:rFonts w:hint="eastAsia" w:ascii="MS UI Gothic" w:eastAsia="MS UI Gothic"/>
          <w:w w:val="80"/>
        </w:rPr>
        <w:t>ꎻ</w:t>
      </w: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作业设施安全应急预案</w:t>
      </w:r>
      <w:r>
        <w:rPr>
          <w:rFonts w:hint="eastAsia" w:ascii="MS UI Gothic" w:eastAsia="MS UI Gothic"/>
          <w:w w:val="80"/>
        </w:rPr>
        <w:t>ꎮ</w:t>
      </w:r>
    </w:p>
    <w:p>
      <w:pPr>
        <w:pStyle w:val="6"/>
        <w:spacing w:line="295" w:lineRule="auto"/>
        <w:ind w:left="440" w:right="1"/>
        <w:jc w:val="left"/>
      </w:pPr>
      <w:r>
        <w:rPr>
          <w:w w:val="105"/>
        </w:rPr>
        <w:t xml:space="preserve">用作钻 </w:t>
      </w:r>
      <w:r>
        <w:rPr>
          <w:rFonts w:hint="eastAsia" w:ascii="MS UI Gothic" w:eastAsia="MS UI Gothic"/>
          <w:w w:val="150"/>
        </w:rPr>
        <w:t xml:space="preserve">( </w:t>
      </w:r>
      <w:r>
        <w:rPr>
          <w:w w:val="105"/>
        </w:rPr>
        <w:t>修</w:t>
      </w:r>
      <w:r>
        <w:rPr>
          <w:rFonts w:hint="eastAsia" w:ascii="MS UI Gothic" w:eastAsia="MS UI Gothic"/>
          <w:w w:val="150"/>
        </w:rPr>
        <w:t xml:space="preserve">) </w:t>
      </w:r>
      <w:r>
        <w:rPr>
          <w:w w:val="105"/>
        </w:rPr>
        <w:t>井的作业设施</w:t>
      </w:r>
      <w:r>
        <w:rPr>
          <w:rFonts w:hint="eastAsia" w:ascii="MS UI Gothic" w:eastAsia="MS UI Gothic"/>
          <w:w w:val="80"/>
        </w:rPr>
        <w:t xml:space="preserve">ꎬ </w:t>
      </w:r>
      <w:r>
        <w:rPr>
          <w:w w:val="105"/>
        </w:rPr>
        <w:t>除提</w:t>
      </w:r>
      <w:r>
        <w:t>交第一款规定的资料外</w:t>
      </w:r>
      <w:r>
        <w:rPr>
          <w:rFonts w:hint="eastAsia" w:ascii="MS UI Gothic" w:eastAsia="MS UI Gothic"/>
          <w:w w:val="80"/>
        </w:rPr>
        <w:t xml:space="preserve">ꎬ </w:t>
      </w:r>
      <w:r>
        <w:t>还应当提交下列</w:t>
      </w:r>
    </w:p>
    <w:p>
      <w:pPr>
        <w:pStyle w:val="6"/>
        <w:spacing w:before="67" w:line="295" w:lineRule="auto"/>
        <w:ind w:left="381" w:right="126"/>
        <w:rPr>
          <w:rFonts w:hint="eastAsia" w:ascii="MS UI Gothic" w:eastAsia="MS UI Gothic"/>
        </w:rPr>
      </w:pPr>
      <w:r>
        <w:br w:type="column"/>
      </w:r>
      <w:r>
        <w:t>对于物探船</w:t>
      </w:r>
      <w:r>
        <w:rPr>
          <w:rFonts w:hint="eastAsia" w:ascii="MS UI Gothic" w:eastAsia="MS UI Gothic"/>
          <w:w w:val="80"/>
        </w:rPr>
        <w:t xml:space="preserve">ꎬ </w:t>
      </w:r>
      <w:r>
        <w:t>除提交第一款规定的资</w:t>
      </w:r>
      <w:r>
        <w:rPr>
          <w:w w:val="105"/>
        </w:rPr>
        <w:t>料外</w:t>
      </w:r>
      <w:r>
        <w:rPr>
          <w:rFonts w:hint="eastAsia" w:ascii="MS UI Gothic" w:eastAsia="MS UI Gothic"/>
          <w:w w:val="80"/>
        </w:rPr>
        <w:t xml:space="preserve">ꎬ </w:t>
      </w:r>
      <w:r>
        <w:rPr>
          <w:w w:val="105"/>
        </w:rPr>
        <w:t>还应当提交下列资料</w:t>
      </w:r>
      <w:r>
        <w:rPr>
          <w:rFonts w:hint="eastAsia" w:ascii="MS UI Gothic" w:eastAsia="MS UI Gothic"/>
          <w:w w:val="235"/>
        </w:rPr>
        <w:t>:</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震源系统</w:t>
      </w:r>
      <w:r>
        <w:rPr>
          <w:rFonts w:hint="eastAsia" w:ascii="MS UI Gothic" w:eastAsia="MS UI Gothic"/>
          <w:w w:val="80"/>
        </w:rPr>
        <w:t xml:space="preserve">、 </w:t>
      </w:r>
      <w:r>
        <w:rPr>
          <w:w w:val="105"/>
        </w:rPr>
        <w:t>震源系统的主要压力容器和装置</w:t>
      </w:r>
      <w:r>
        <w:rPr>
          <w:rFonts w:hint="eastAsia" w:ascii="MS UI Gothic" w:eastAsia="MS UI Gothic"/>
          <w:w w:val="80"/>
        </w:rPr>
        <w:t xml:space="preserve">、 </w:t>
      </w:r>
      <w:r>
        <w:rPr>
          <w:w w:val="105"/>
        </w:rPr>
        <w:t>震源的拖曳钢缆和绞车</w:t>
      </w:r>
      <w:r>
        <w:rPr>
          <w:rFonts w:hint="eastAsia" w:ascii="MS UI Gothic" w:eastAsia="MS UI Gothic"/>
          <w:w w:val="80"/>
        </w:rPr>
        <w:t>、</w:t>
      </w:r>
      <w:r>
        <w:rPr>
          <w:w w:val="105"/>
        </w:rPr>
        <w:t>电缆绞车等设备的出厂合格证</w:t>
      </w:r>
      <w:r>
        <w:rPr>
          <w:rFonts w:hint="eastAsia" w:ascii="MS UI Gothic" w:eastAsia="MS UI Gothic"/>
          <w:w w:val="80"/>
        </w:rPr>
        <w:t xml:space="preserve">、 </w:t>
      </w:r>
      <w:r>
        <w:rPr>
          <w:w w:val="105"/>
        </w:rPr>
        <w:t>发证检验机构的检验证书和安装后的试验报告</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spacing w:val="-36"/>
          <w:w w:val="150"/>
        </w:rPr>
        <w:t xml:space="preserve">( </w:t>
      </w:r>
      <w:r>
        <w:rPr>
          <w:spacing w:val="17"/>
          <w:w w:val="105"/>
        </w:rPr>
        <w:t>二</w:t>
      </w:r>
      <w:r>
        <w:rPr>
          <w:rFonts w:hint="eastAsia" w:ascii="MS UI Gothic" w:eastAsia="MS UI Gothic"/>
          <w:spacing w:val="22"/>
          <w:w w:val="150"/>
        </w:rPr>
        <w:t xml:space="preserve">) </w:t>
      </w:r>
      <w:r>
        <w:rPr>
          <w:spacing w:val="21"/>
          <w:w w:val="105"/>
        </w:rPr>
        <w:t xml:space="preserve">震源危险品 </w:t>
      </w:r>
      <w:r>
        <w:rPr>
          <w:rFonts w:hint="eastAsia" w:ascii="MS UI Gothic" w:eastAsia="MS UI Gothic"/>
          <w:spacing w:val="-28"/>
          <w:w w:val="150"/>
        </w:rPr>
        <w:t xml:space="preserve">( </w:t>
      </w:r>
      <w:r>
        <w:rPr>
          <w:spacing w:val="22"/>
          <w:w w:val="105"/>
        </w:rPr>
        <w:t>包括炸药</w:t>
      </w:r>
      <w:r>
        <w:rPr>
          <w:rFonts w:hint="eastAsia" w:ascii="MS UI Gothic" w:eastAsia="MS UI Gothic"/>
          <w:spacing w:val="11"/>
          <w:w w:val="80"/>
        </w:rPr>
        <w:t xml:space="preserve">、 </w:t>
      </w:r>
      <w:r>
        <w:rPr>
          <w:spacing w:val="-11"/>
          <w:w w:val="105"/>
        </w:rPr>
        <w:t>雷</w:t>
      </w:r>
      <w:r>
        <w:rPr>
          <w:spacing w:val="3"/>
          <w:w w:val="105"/>
        </w:rPr>
        <w:t>管</w:t>
      </w:r>
      <w:r>
        <w:rPr>
          <w:rFonts w:hint="eastAsia" w:ascii="MS UI Gothic" w:eastAsia="MS UI Gothic"/>
          <w:spacing w:val="16"/>
          <w:w w:val="80"/>
        </w:rPr>
        <w:t xml:space="preserve">、 </w:t>
      </w:r>
      <w:r>
        <w:rPr>
          <w:spacing w:val="5"/>
          <w:w w:val="105"/>
        </w:rPr>
        <w:t>易燃易爆气体等</w:t>
      </w:r>
      <w:r>
        <w:rPr>
          <w:rFonts w:hint="eastAsia" w:ascii="MS UI Gothic" w:eastAsia="MS UI Gothic"/>
          <w:spacing w:val="5"/>
          <w:w w:val="150"/>
        </w:rPr>
        <w:t xml:space="preserve">) </w:t>
      </w:r>
      <w:r>
        <w:rPr>
          <w:spacing w:val="11"/>
          <w:w w:val="105"/>
        </w:rPr>
        <w:t>的实际储存数量</w:t>
      </w:r>
      <w:r>
        <w:rPr>
          <w:rFonts w:hint="eastAsia" w:ascii="MS UI Gothic" w:eastAsia="MS UI Gothic"/>
          <w:w w:val="80"/>
        </w:rPr>
        <w:t>、</w:t>
      </w:r>
      <w:r>
        <w:rPr>
          <w:spacing w:val="3"/>
          <w:w w:val="105"/>
        </w:rPr>
        <w:t>储存条件</w:t>
      </w:r>
      <w:r>
        <w:rPr>
          <w:rFonts w:hint="eastAsia" w:ascii="MS UI Gothic" w:eastAsia="MS UI Gothic"/>
          <w:spacing w:val="12"/>
          <w:w w:val="80"/>
        </w:rPr>
        <w:t xml:space="preserve">、 </w:t>
      </w:r>
      <w:r>
        <w:rPr>
          <w:spacing w:val="3"/>
          <w:w w:val="105"/>
        </w:rPr>
        <w:t>进出库管理办法和看管</w:t>
      </w:r>
      <w:r>
        <w:rPr>
          <w:rFonts w:hint="eastAsia" w:ascii="MS UI Gothic" w:eastAsia="MS UI Gothic"/>
          <w:spacing w:val="12"/>
          <w:w w:val="80"/>
        </w:rPr>
        <w:t xml:space="preserve">、 </w:t>
      </w:r>
      <w:r>
        <w:rPr>
          <w:spacing w:val="1"/>
          <w:w w:val="105"/>
        </w:rPr>
        <w:t>使用</w:t>
      </w:r>
      <w:r>
        <w:rPr>
          <w:spacing w:val="3"/>
          <w:w w:val="105"/>
        </w:rPr>
        <w:t>制度等资料</w:t>
      </w:r>
      <w:r>
        <w:rPr>
          <w:rFonts w:hint="eastAsia" w:ascii="MS UI Gothic" w:eastAsia="MS UI Gothic"/>
          <w:w w:val="80"/>
        </w:rPr>
        <w:t>ꎮ</w:t>
      </w:r>
    </w:p>
    <w:p>
      <w:pPr>
        <w:pStyle w:val="6"/>
        <w:spacing w:line="295" w:lineRule="auto"/>
        <w:ind w:left="381" w:right="126"/>
        <w:rPr>
          <w:rFonts w:hint="eastAsia" w:ascii="MS UI Gothic" w:eastAsia="MS UI Gothic"/>
        </w:rPr>
      </w:pPr>
      <w:r>
        <w:t>对于铺管船</w:t>
      </w:r>
      <w:r>
        <w:rPr>
          <w:rFonts w:hint="eastAsia" w:ascii="MS UI Gothic" w:eastAsia="MS UI Gothic"/>
          <w:w w:val="80"/>
        </w:rPr>
        <w:t xml:space="preserve">ꎬ </w:t>
      </w:r>
      <w:r>
        <w:t>除提交第一款规定的资</w:t>
      </w:r>
      <w:r>
        <w:rPr>
          <w:w w:val="105"/>
        </w:rPr>
        <w:t>料外</w:t>
      </w:r>
      <w:r>
        <w:rPr>
          <w:rFonts w:hint="eastAsia" w:ascii="MS UI Gothic" w:eastAsia="MS UI Gothic"/>
          <w:w w:val="80"/>
        </w:rPr>
        <w:t xml:space="preserve">ꎬ </w:t>
      </w:r>
      <w:r>
        <w:rPr>
          <w:w w:val="105"/>
        </w:rPr>
        <w:t>还应当提交下列资料</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张紧器及其控制系统</w:t>
      </w:r>
      <w:r>
        <w:rPr>
          <w:rFonts w:hint="eastAsia" w:ascii="MS UI Gothic" w:eastAsia="MS UI Gothic"/>
          <w:w w:val="80"/>
        </w:rPr>
        <w:t xml:space="preserve">、  </w:t>
      </w:r>
      <w:r>
        <w:rPr>
          <w:w w:val="105"/>
        </w:rPr>
        <w:t>管线收放绞车的出厂合格证</w:t>
      </w:r>
      <w:r>
        <w:rPr>
          <w:rFonts w:hint="eastAsia" w:ascii="MS UI Gothic" w:eastAsia="MS UI Gothic"/>
          <w:w w:val="80"/>
        </w:rPr>
        <w:t xml:space="preserve">、 </w:t>
      </w:r>
      <w:r>
        <w:rPr>
          <w:w w:val="105"/>
        </w:rPr>
        <w:t>发证检验机构检验证书和安装后的试验报告</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10"/>
        </w:rPr>
        <w:t>二</w:t>
      </w:r>
      <w:r>
        <w:rPr>
          <w:rFonts w:hint="eastAsia" w:ascii="MS UI Gothic" w:eastAsia="MS UI Gothic"/>
          <w:spacing w:val="1"/>
          <w:w w:val="150"/>
        </w:rPr>
        <w:t xml:space="preserve">) </w:t>
      </w:r>
      <w:r>
        <w:rPr>
          <w:spacing w:val="-7"/>
          <w:w w:val="110"/>
        </w:rPr>
        <w:t xml:space="preserve">船长 </w:t>
      </w:r>
      <w:r>
        <w:rPr>
          <w:rFonts w:hint="eastAsia" w:ascii="MS UI Gothic" w:eastAsia="MS UI Gothic"/>
          <w:spacing w:val="-34"/>
          <w:w w:val="150"/>
        </w:rPr>
        <w:t xml:space="preserve">( </w:t>
      </w:r>
      <w:r>
        <w:rPr>
          <w:spacing w:val="18"/>
          <w:w w:val="110"/>
        </w:rPr>
        <w:t>或者船舶负责人</w:t>
      </w:r>
      <w:r>
        <w:rPr>
          <w:rFonts w:hint="eastAsia" w:ascii="MS UI Gothic" w:eastAsia="MS UI Gothic"/>
          <w:spacing w:val="21"/>
          <w:w w:val="150"/>
        </w:rPr>
        <w:t>)</w:t>
      </w:r>
      <w:r>
        <w:rPr>
          <w:rFonts w:hint="eastAsia" w:ascii="MS UI Gothic" w:eastAsia="MS UI Gothic"/>
          <w:spacing w:val="18"/>
          <w:w w:val="80"/>
        </w:rPr>
        <w:t xml:space="preserve">、 </w:t>
      </w:r>
      <w:r>
        <w:rPr>
          <w:spacing w:val="-11"/>
          <w:w w:val="110"/>
        </w:rPr>
        <w:t>起</w:t>
      </w:r>
      <w:r>
        <w:rPr>
          <w:spacing w:val="3"/>
          <w:w w:val="105"/>
        </w:rPr>
        <w:t>重机械司机</w:t>
      </w:r>
      <w:r>
        <w:rPr>
          <w:rFonts w:hint="eastAsia" w:ascii="MS UI Gothic" w:eastAsia="MS UI Gothic"/>
          <w:spacing w:val="-2"/>
          <w:w w:val="80"/>
        </w:rPr>
        <w:t xml:space="preserve">、 </w:t>
      </w:r>
      <w:r>
        <w:rPr>
          <w:spacing w:val="2"/>
          <w:w w:val="105"/>
        </w:rPr>
        <w:t>起重指挥人员及起重工的资</w:t>
      </w:r>
      <w:r>
        <w:rPr>
          <w:spacing w:val="3"/>
          <w:w w:val="110"/>
        </w:rPr>
        <w:t>格证书</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对于起重船和生活支持船</w:t>
      </w:r>
      <w:r>
        <w:rPr>
          <w:rFonts w:hint="eastAsia" w:ascii="MS UI Gothic" w:eastAsia="MS UI Gothic"/>
          <w:spacing w:val="15"/>
          <w:w w:val="80"/>
        </w:rPr>
        <w:t xml:space="preserve">ꎬ </w:t>
      </w:r>
      <w:r>
        <w:rPr>
          <w:spacing w:val="2"/>
        </w:rPr>
        <w:t>除提交第</w:t>
      </w:r>
      <w:r>
        <w:rPr>
          <w:spacing w:val="26"/>
        </w:rPr>
        <w:t>一款规定的资料外</w:t>
      </w:r>
      <w:r>
        <w:rPr>
          <w:rFonts w:hint="eastAsia" w:ascii="MS UI Gothic" w:eastAsia="MS UI Gothic"/>
          <w:spacing w:val="1"/>
          <w:w w:val="80"/>
        </w:rPr>
        <w:t xml:space="preserve">ꎬ  </w:t>
      </w:r>
      <w:r>
        <w:rPr>
          <w:spacing w:val="30"/>
        </w:rPr>
        <w:t>还应当提交船长</w:t>
      </w:r>
      <w:r>
        <w:rPr>
          <w:rFonts w:hint="eastAsia" w:ascii="MS UI Gothic" w:eastAsia="MS UI Gothic"/>
          <w:spacing w:val="-22"/>
          <w:w w:val="150"/>
        </w:rPr>
        <w:t xml:space="preserve">( </w:t>
      </w:r>
      <w:r>
        <w:rPr>
          <w:spacing w:val="13"/>
          <w:w w:val="105"/>
        </w:rPr>
        <w:t>或者船舶负责人</w:t>
      </w:r>
      <w:r>
        <w:rPr>
          <w:rFonts w:hint="eastAsia" w:ascii="MS UI Gothic" w:eastAsia="MS UI Gothic"/>
          <w:spacing w:val="21"/>
          <w:w w:val="150"/>
        </w:rPr>
        <w:t>)</w:t>
      </w:r>
      <w:r>
        <w:rPr>
          <w:rFonts w:hint="eastAsia" w:ascii="MS UI Gothic" w:eastAsia="MS UI Gothic"/>
          <w:spacing w:val="24"/>
          <w:w w:val="80"/>
        </w:rPr>
        <w:t xml:space="preserve">、 </w:t>
      </w:r>
      <w:r>
        <w:rPr>
          <w:spacing w:val="16"/>
          <w:w w:val="105"/>
        </w:rPr>
        <w:t>起重机械司机</w:t>
      </w:r>
      <w:r>
        <w:rPr>
          <w:rFonts w:hint="eastAsia" w:ascii="MS UI Gothic" w:eastAsia="MS UI Gothic"/>
          <w:w w:val="80"/>
        </w:rPr>
        <w:t xml:space="preserve">、  </w:t>
      </w:r>
      <w:r>
        <w:rPr>
          <w:w w:val="105"/>
        </w:rPr>
        <w:t>起</w:t>
      </w:r>
      <w:r>
        <w:rPr>
          <w:spacing w:val="3"/>
        </w:rPr>
        <w:t>重指挥人员及起重工的资格证书等资料</w:t>
      </w:r>
      <w:r>
        <w:rPr>
          <w:rFonts w:hint="eastAsia" w:ascii="MS UI Gothic" w:eastAsia="MS UI Gothic"/>
          <w:w w:val="80"/>
        </w:rPr>
        <w:t>ꎮ</w:t>
      </w:r>
    </w:p>
    <w:p>
      <w:pPr>
        <w:pStyle w:val="6"/>
        <w:spacing w:line="295" w:lineRule="auto"/>
        <w:ind w:left="381" w:right="126"/>
      </w:pPr>
      <w:r>
        <w:rPr>
          <w:w w:val="105"/>
        </w:rPr>
        <w:t>第十条 海油安办有关分部对作业者</w:t>
      </w:r>
      <w:r>
        <w:t>或者承包者提交的作业设施资料</w:t>
      </w:r>
      <w:r>
        <w:rPr>
          <w:rFonts w:hint="eastAsia" w:ascii="MS UI Gothic" w:eastAsia="MS UI Gothic"/>
          <w:w w:val="80"/>
        </w:rPr>
        <w:t xml:space="preserve">ꎬ </w:t>
      </w:r>
      <w:r>
        <w:t>应当进</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１８４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80" o:spid="_x0000_s1580" o:spt="203" style="height:2.15pt;width:398.25pt;" coordsize="7965,43">
            <o:lock v:ext="edit"/>
            <v:line id="_x0000_s1581" o:spid="_x0000_s1581" o:spt="20" style="position:absolute;left:0;top:39;height:0;width:7965;" stroked="t" coordsize="21600,21600">
              <v:path arrowok="t"/>
              <v:fill focussize="0,0"/>
              <v:stroke weight="0.388031496062992pt" color="#231F20"/>
              <v:imagedata o:title=""/>
              <o:lock v:ext="edit"/>
            </v:line>
            <v:line id="_x0000_s1582" o:spid="_x0000_s158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rPr>
          <w:rFonts w:hint="eastAsia" w:ascii="MS UI Gothic" w:eastAsia="MS UI Gothic"/>
        </w:rPr>
      </w:pPr>
      <w:r>
        <w:t>行严格审查</w:t>
      </w:r>
      <w:r>
        <w:rPr>
          <w:rFonts w:hint="eastAsia" w:ascii="MS UI Gothic" w:eastAsia="MS UI Gothic"/>
          <w:w w:val="80"/>
        </w:rPr>
        <w:t xml:space="preserve">ꎮ </w:t>
      </w:r>
      <w:r>
        <w:t>必要时</w:t>
      </w:r>
      <w:r>
        <w:rPr>
          <w:rFonts w:hint="eastAsia" w:ascii="MS UI Gothic" w:eastAsia="MS UI Gothic"/>
          <w:w w:val="80"/>
        </w:rPr>
        <w:t xml:space="preserve">ꎬ </w:t>
      </w:r>
      <w:r>
        <w:t>进行现场检查</w:t>
      </w:r>
      <w:r>
        <w:rPr>
          <w:rFonts w:hint="eastAsia" w:ascii="MS UI Gothic" w:eastAsia="MS UI Gothic"/>
          <w:w w:val="80"/>
        </w:rPr>
        <w:t>ꎮ</w:t>
      </w:r>
    </w:p>
    <w:p>
      <w:pPr>
        <w:pStyle w:val="6"/>
        <w:spacing w:before="58" w:line="295" w:lineRule="auto"/>
        <w:ind w:right="39"/>
        <w:rPr>
          <w:rFonts w:hint="eastAsia" w:ascii="MS UI Gothic" w:eastAsia="MS UI Gothic"/>
        </w:rPr>
      </w:pPr>
      <w:r>
        <w:t>需要进行现场检查的</w:t>
      </w:r>
      <w:r>
        <w:rPr>
          <w:rFonts w:hint="eastAsia" w:ascii="MS UI Gothic" w:eastAsia="MS UI Gothic"/>
          <w:w w:val="80"/>
        </w:rPr>
        <w:t xml:space="preserve">ꎬ </w:t>
      </w:r>
      <w:r>
        <w:t xml:space="preserve">海油安办有关分部应当提前 </w:t>
      </w:r>
      <w:r>
        <w:rPr>
          <w:rFonts w:hint="eastAsia" w:ascii="MS UI Gothic" w:eastAsia="MS UI Gothic"/>
          <w:w w:val="80"/>
        </w:rPr>
        <w:t xml:space="preserve">１０ </w:t>
      </w:r>
      <w:r>
        <w:t>日与作业者或承包者商定现场检查的具体事宜</w:t>
      </w:r>
      <w:r>
        <w:rPr>
          <w:rFonts w:hint="eastAsia" w:ascii="MS UI Gothic" w:eastAsia="MS UI Gothic"/>
          <w:w w:val="80"/>
        </w:rPr>
        <w:t xml:space="preserve">ꎮ </w:t>
      </w:r>
      <w:r>
        <w:t>作业者或承包者应当配合海油安办有关分部进行现场检查</w:t>
      </w:r>
      <w:r>
        <w:rPr>
          <w:rFonts w:hint="eastAsia" w:ascii="MS UI Gothic" w:eastAsia="MS UI Gothic"/>
          <w:w w:val="80"/>
        </w:rPr>
        <w:t xml:space="preserve">ꎬ </w:t>
      </w:r>
      <w:r>
        <w:t>并提供以下资料</w:t>
      </w:r>
      <w:r>
        <w:rPr>
          <w:rFonts w:hint="eastAsia" w:ascii="MS UI Gothic" w:eastAsia="MS UI Gothic"/>
          <w:w w:val="230"/>
        </w:rPr>
        <w:t>:</w:t>
      </w:r>
    </w:p>
    <w:p>
      <w:pPr>
        <w:pStyle w:val="6"/>
        <w:spacing w:line="252"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人员安全培训证书登记表</w:t>
      </w:r>
      <w:r>
        <w:rPr>
          <w:rFonts w:hint="eastAsia" w:ascii="MS UI Gothic" w:eastAsia="MS UI Gothic"/>
          <w:w w:val="80"/>
        </w:rPr>
        <w:t>ꎻ</w:t>
      </w:r>
    </w:p>
    <w:p>
      <w:pPr>
        <w:pStyle w:val="6"/>
        <w:spacing w:before="58"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防火控制图</w:t>
      </w:r>
      <w:r>
        <w:rPr>
          <w:rFonts w:hint="eastAsia" w:ascii="MS UI Gothic" w:eastAsia="MS UI Gothic"/>
          <w:w w:val="80"/>
        </w:rPr>
        <w:t xml:space="preserve">、 </w:t>
      </w:r>
      <w:r>
        <w:rPr>
          <w:w w:val="105"/>
        </w:rPr>
        <w:t>消防</w:t>
      </w:r>
      <w:r>
        <w:rPr>
          <w:rFonts w:hint="eastAsia" w:ascii="MS UI Gothic" w:eastAsia="MS UI Gothic"/>
          <w:w w:val="80"/>
        </w:rPr>
        <w:t xml:space="preserve">、 </w:t>
      </w:r>
      <w:r>
        <w:rPr>
          <w:w w:val="105"/>
        </w:rPr>
        <w:t>救生设备实际布置图和应变部署表</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安全管理文件</w:t>
      </w:r>
      <w:r>
        <w:rPr>
          <w:rFonts w:hint="eastAsia" w:ascii="MS UI Gothic" w:eastAsia="MS UI Gothic"/>
          <w:w w:val="80"/>
        </w:rPr>
        <w:t xml:space="preserve">ꎬ </w:t>
      </w:r>
      <w:r>
        <w:rPr>
          <w:w w:val="105"/>
        </w:rPr>
        <w:t>主要包括</w:t>
      </w:r>
      <w:r>
        <w:rPr>
          <w:rFonts w:hint="eastAsia" w:ascii="MS UI Gothic" w:eastAsia="MS UI Gothic"/>
          <w:w w:val="235"/>
        </w:rPr>
        <w:t xml:space="preserve">: </w:t>
      </w:r>
      <w:r>
        <w:rPr>
          <w:w w:val="105"/>
        </w:rPr>
        <w:t>安全管理机构的设置</w:t>
      </w:r>
      <w:r>
        <w:rPr>
          <w:rFonts w:hint="eastAsia" w:ascii="MS UI Gothic" w:eastAsia="MS UI Gothic"/>
          <w:w w:val="80"/>
        </w:rPr>
        <w:t xml:space="preserve">、 </w:t>
      </w:r>
      <w:r>
        <w:rPr>
          <w:w w:val="105"/>
        </w:rPr>
        <w:t>安全生产责任制</w:t>
      </w:r>
      <w:r>
        <w:rPr>
          <w:rFonts w:hint="eastAsia" w:ascii="MS UI Gothic" w:eastAsia="MS UI Gothic"/>
          <w:w w:val="80"/>
        </w:rPr>
        <w:t xml:space="preserve">、 </w:t>
      </w:r>
      <w:r>
        <w:rPr>
          <w:w w:val="105"/>
        </w:rPr>
        <w:t>安全操作规程</w:t>
      </w:r>
      <w:r>
        <w:rPr>
          <w:rFonts w:hint="eastAsia" w:ascii="MS UI Gothic" w:eastAsia="MS UI Gothic"/>
          <w:w w:val="80"/>
        </w:rPr>
        <w:t xml:space="preserve">、 </w:t>
      </w:r>
      <w:r>
        <w:rPr>
          <w:w w:val="105"/>
        </w:rPr>
        <w:t>安全检查制度</w:t>
      </w:r>
      <w:r>
        <w:rPr>
          <w:rFonts w:hint="eastAsia" w:ascii="MS UI Gothic" w:eastAsia="MS UI Gothic"/>
          <w:w w:val="80"/>
        </w:rPr>
        <w:t xml:space="preserve">、 </w:t>
      </w:r>
      <w:r>
        <w:rPr>
          <w:w w:val="105"/>
        </w:rPr>
        <w:t>工作许可制度等</w:t>
      </w:r>
      <w:r>
        <w:rPr>
          <w:rFonts w:hint="eastAsia" w:ascii="MS UI Gothic" w:eastAsia="MS UI Gothic"/>
          <w:w w:val="80"/>
        </w:rPr>
        <w:t>ꎻ</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安全活动</w:t>
      </w:r>
      <w:r>
        <w:rPr>
          <w:rFonts w:hint="eastAsia" w:ascii="MS UI Gothic" w:eastAsia="MS UI Gothic"/>
          <w:w w:val="80"/>
        </w:rPr>
        <w:t xml:space="preserve">、 </w:t>
      </w:r>
      <w:r>
        <w:rPr>
          <w:w w:val="110"/>
        </w:rPr>
        <w:t>应急演习记录</w:t>
      </w:r>
      <w:r>
        <w:rPr>
          <w:rFonts w:hint="eastAsia" w:ascii="MS UI Gothic" w:eastAsia="MS UI Gothic"/>
          <w:w w:val="80"/>
        </w:rPr>
        <w:t>ꎮ</w:t>
      </w:r>
    </w:p>
    <w:p>
      <w:pPr>
        <w:pStyle w:val="6"/>
        <w:spacing w:before="57" w:line="295" w:lineRule="auto"/>
        <w:ind w:right="38"/>
        <w:rPr>
          <w:rFonts w:hint="eastAsia" w:ascii="MS UI Gothic" w:eastAsia="MS UI Gothic"/>
        </w:rPr>
      </w:pPr>
      <w:r>
        <w:t>经审查和现场检查符合规定的</w:t>
      </w:r>
      <w:r>
        <w:rPr>
          <w:rFonts w:hint="eastAsia" w:ascii="MS UI Gothic" w:eastAsia="MS UI Gothic"/>
          <w:w w:val="80"/>
        </w:rPr>
        <w:t xml:space="preserve">ꎬ </w:t>
      </w:r>
      <w:r>
        <w:t>海油安办有关分部向作业者或者承包者颁发海洋石油作业设施备案通知书</w:t>
      </w:r>
      <w:r>
        <w:rPr>
          <w:rFonts w:hint="eastAsia" w:ascii="MS UI Gothic" w:eastAsia="MS UI Gothic"/>
          <w:w w:val="80"/>
        </w:rPr>
        <w:t xml:space="preserve">ꎻ </w:t>
      </w:r>
      <w:r>
        <w:t>备案资料</w:t>
      </w:r>
      <w:r>
        <w:rPr>
          <w:rFonts w:hint="eastAsia" w:ascii="MS UI Gothic" w:eastAsia="MS UI Gothic"/>
          <w:w w:val="80"/>
        </w:rPr>
        <w:t>、</w:t>
      </w:r>
      <w:r>
        <w:t>设施现场安全状况等不符合规定的</w:t>
      </w:r>
      <w:r>
        <w:rPr>
          <w:rFonts w:hint="eastAsia" w:ascii="MS UI Gothic" w:eastAsia="MS UI Gothic"/>
          <w:w w:val="80"/>
        </w:rPr>
        <w:t xml:space="preserve">ꎬ </w:t>
      </w:r>
      <w:r>
        <w:t>及时书面通知作业者或者承包者进行整改</w:t>
      </w:r>
      <w:r>
        <w:rPr>
          <w:rFonts w:hint="eastAsia" w:ascii="MS UI Gothic" w:eastAsia="MS UI Gothic"/>
          <w:w w:val="80"/>
        </w:rPr>
        <w:t>ꎮ</w:t>
      </w:r>
    </w:p>
    <w:p>
      <w:pPr>
        <w:pStyle w:val="6"/>
        <w:spacing w:line="295" w:lineRule="auto"/>
        <w:ind w:right="38"/>
        <w:rPr>
          <w:rFonts w:hint="eastAsia" w:ascii="MS UI Gothic" w:eastAsia="MS UI Gothic"/>
        </w:rPr>
      </w:pPr>
      <w:r>
        <w:t>第十一条 通常情况下</w:t>
      </w:r>
      <w:r>
        <w:rPr>
          <w:rFonts w:hint="eastAsia" w:ascii="MS UI Gothic" w:eastAsia="MS UI Gothic"/>
          <w:w w:val="80"/>
        </w:rPr>
        <w:t xml:space="preserve">ꎬ </w:t>
      </w:r>
      <w:r>
        <w:t>海洋石油作业设施从事物探</w:t>
      </w:r>
      <w:r>
        <w:rPr>
          <w:rFonts w:hint="eastAsia" w:ascii="MS UI Gothic" w:eastAsia="MS UI Gothic"/>
          <w:w w:val="80"/>
        </w:rPr>
        <w:t xml:space="preserve">、 </w:t>
      </w:r>
      <w:r>
        <w:t xml:space="preserve">钻 </w:t>
      </w:r>
      <w:r>
        <w:rPr>
          <w:rFonts w:hint="eastAsia" w:ascii="MS UI Gothic" w:eastAsia="MS UI Gothic"/>
          <w:w w:val="145"/>
        </w:rPr>
        <w:t xml:space="preserve">( </w:t>
      </w:r>
      <w:r>
        <w:t>修</w:t>
      </w:r>
      <w:r>
        <w:rPr>
          <w:rFonts w:hint="eastAsia" w:ascii="MS UI Gothic" w:eastAsia="MS UI Gothic"/>
          <w:w w:val="145"/>
        </w:rPr>
        <w:t xml:space="preserve">) </w:t>
      </w:r>
      <w:r>
        <w:t>井</w:t>
      </w:r>
      <w:r>
        <w:rPr>
          <w:rFonts w:hint="eastAsia" w:ascii="MS UI Gothic" w:eastAsia="MS UI Gothic"/>
          <w:w w:val="80"/>
        </w:rPr>
        <w:t xml:space="preserve">、 </w:t>
      </w:r>
      <w:r>
        <w:t>铺管</w:t>
      </w:r>
      <w:r>
        <w:rPr>
          <w:rFonts w:hint="eastAsia" w:ascii="MS UI Gothic" w:eastAsia="MS UI Gothic"/>
          <w:w w:val="80"/>
        </w:rPr>
        <w:t>、</w:t>
      </w:r>
      <w:r>
        <w:t xml:space="preserve">起重和生活支持等活动期限不超过 </w:t>
      </w:r>
      <w:r>
        <w:rPr>
          <w:rFonts w:hint="eastAsia" w:ascii="MS UI Gothic" w:eastAsia="MS UI Gothic"/>
          <w:w w:val="80"/>
        </w:rPr>
        <w:t xml:space="preserve">１ </w:t>
      </w:r>
      <w:r>
        <w:t>年</w:t>
      </w:r>
      <w:r>
        <w:rPr>
          <w:rFonts w:hint="eastAsia" w:ascii="MS UI Gothic" w:eastAsia="MS UI Gothic"/>
          <w:w w:val="80"/>
        </w:rPr>
        <w:t>ꎮ</w:t>
      </w:r>
      <w:r>
        <w:t>确需延期时</w:t>
      </w:r>
      <w:r>
        <w:rPr>
          <w:rFonts w:hint="eastAsia" w:ascii="MS UI Gothic" w:eastAsia="MS UI Gothic"/>
          <w:w w:val="80"/>
        </w:rPr>
        <w:t xml:space="preserve">ꎬ </w:t>
      </w:r>
      <w:r>
        <w:t xml:space="preserve">作业者或者承包者应当于期满前 </w:t>
      </w:r>
      <w:r>
        <w:rPr>
          <w:rFonts w:hint="eastAsia" w:ascii="MS UI Gothic" w:eastAsia="MS UI Gothic"/>
          <w:w w:val="80"/>
        </w:rPr>
        <w:t xml:space="preserve">１５ </w:t>
      </w:r>
      <w:r>
        <w:t>日向海油安办有关分部提出延期申请</w:t>
      </w:r>
      <w:r>
        <w:rPr>
          <w:rFonts w:hint="eastAsia" w:ascii="MS UI Gothic" w:eastAsia="MS UI Gothic"/>
          <w:w w:val="80"/>
        </w:rPr>
        <w:t xml:space="preserve">ꎬ </w:t>
      </w:r>
      <w:r>
        <w:t xml:space="preserve">延期时间不得超过 </w:t>
      </w:r>
      <w:r>
        <w:rPr>
          <w:rFonts w:hint="eastAsia" w:ascii="MS UI Gothic" w:eastAsia="MS UI Gothic"/>
          <w:w w:val="80"/>
        </w:rPr>
        <w:t xml:space="preserve">３ </w:t>
      </w:r>
      <w:r>
        <w:t>个月</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第十二条 作业设施有下列情形之一</w:t>
      </w:r>
      <w:r>
        <w:t>的</w:t>
      </w:r>
      <w:r>
        <w:rPr>
          <w:rFonts w:hint="eastAsia" w:ascii="MS UI Gothic" w:eastAsia="MS UI Gothic"/>
          <w:w w:val="80"/>
        </w:rPr>
        <w:t xml:space="preserve">ꎬ </w:t>
      </w:r>
      <w:r>
        <w:t>作业者或者承包者应当及时向海油安</w:t>
      </w:r>
      <w:r>
        <w:rPr>
          <w:w w:val="105"/>
        </w:rPr>
        <w:t>办有关分部报告</w:t>
      </w:r>
      <w:r>
        <w:rPr>
          <w:rFonts w:hint="eastAsia" w:ascii="MS UI Gothic" w:eastAsia="MS UI Gothic"/>
          <w:w w:val="235"/>
        </w:rPr>
        <w:t>:</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改动井控系统的</w:t>
      </w:r>
      <w:r>
        <w:rPr>
          <w:rFonts w:hint="eastAsia" w:ascii="MS UI Gothic" w:eastAsia="MS UI Gothic"/>
          <w:w w:val="80"/>
        </w:rPr>
        <w:t>ꎻ</w:t>
      </w:r>
    </w:p>
    <w:p>
      <w:pPr>
        <w:pStyle w:val="6"/>
        <w:spacing w:before="49"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更换或者拆卸火灾及可燃和有毒有害气体探测与报警系统</w:t>
      </w:r>
      <w:r>
        <w:rPr>
          <w:rFonts w:hint="eastAsia" w:ascii="MS UI Gothic" w:eastAsia="MS UI Gothic"/>
          <w:w w:val="80"/>
        </w:rPr>
        <w:t xml:space="preserve">、 </w:t>
      </w:r>
      <w:r>
        <w:rPr>
          <w:w w:val="105"/>
        </w:rPr>
        <w:t>消防和救生设备等主要安全设施的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变更作业合同</w:t>
      </w:r>
      <w:r>
        <w:rPr>
          <w:rFonts w:hint="eastAsia" w:ascii="MS UI Gothic" w:eastAsia="MS UI Gothic"/>
          <w:w w:val="80"/>
        </w:rPr>
        <w:t xml:space="preserve">、  </w:t>
      </w:r>
      <w:r>
        <w:rPr>
          <w:w w:val="105"/>
        </w:rPr>
        <w:t>作业者或者作业海区的</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改变应急预案有关内容的</w:t>
      </w:r>
      <w:r>
        <w:rPr>
          <w:rFonts w:hint="eastAsia" w:ascii="MS UI Gothic" w:eastAsia="MS UI Gothic"/>
          <w:w w:val="80"/>
        </w:rPr>
        <w:t>ꎻ</w:t>
      </w:r>
    </w:p>
    <w:p>
      <w:pPr>
        <w:pStyle w:val="6"/>
        <w:spacing w:before="56" w:line="295" w:lineRule="auto"/>
        <w:ind w:right="39"/>
        <w:rPr>
          <w:rFonts w:hint="eastAsia" w:ascii="MS UI Gothic" w:eastAsia="MS UI Gothic"/>
        </w:rPr>
      </w:pPr>
      <w:r>
        <w:rPr>
          <w:rFonts w:hint="eastAsia" w:ascii="MS UI Gothic" w:eastAsia="MS UI Gothic"/>
          <w:w w:val="145"/>
        </w:rPr>
        <w:t xml:space="preserve">( </w:t>
      </w:r>
      <w:r>
        <w:rPr>
          <w:w w:val="105"/>
        </w:rPr>
        <w:t>五</w:t>
      </w:r>
      <w:r>
        <w:rPr>
          <w:rFonts w:hint="eastAsia" w:ascii="MS UI Gothic" w:eastAsia="MS UI Gothic"/>
          <w:w w:val="145"/>
        </w:rPr>
        <w:t xml:space="preserve">) </w:t>
      </w:r>
      <w:r>
        <w:rPr>
          <w:w w:val="105"/>
        </w:rPr>
        <w:t xml:space="preserve">中断作业 </w:t>
      </w:r>
      <w:r>
        <w:rPr>
          <w:rFonts w:hint="eastAsia" w:ascii="MS UI Gothic" w:eastAsia="MS UI Gothic"/>
          <w:w w:val="85"/>
        </w:rPr>
        <w:t xml:space="preserve">１０ </w:t>
      </w:r>
      <w:r>
        <w:rPr>
          <w:w w:val="105"/>
        </w:rPr>
        <w:t>日以上或者终止作业的</w:t>
      </w:r>
      <w:r>
        <w:rPr>
          <w:rFonts w:hint="eastAsia" w:ascii="MS UI Gothic" w:eastAsia="MS UI Gothic"/>
          <w:w w:val="85"/>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其他对作业安全生产有重大影</w:t>
      </w:r>
      <w:r>
        <w:rPr>
          <w:w w:val="110"/>
        </w:rPr>
        <w:t>响的</w:t>
      </w:r>
      <w:r>
        <w:rPr>
          <w:rFonts w:hint="eastAsia" w:ascii="MS UI Gothic" w:eastAsia="MS UI Gothic"/>
          <w:w w:val="80"/>
        </w:rPr>
        <w:t>ꎮ</w:t>
      </w:r>
    </w:p>
    <w:p>
      <w:pPr>
        <w:pStyle w:val="6"/>
        <w:spacing w:before="11"/>
        <w:ind w:left="0" w:firstLine="0"/>
        <w:jc w:val="left"/>
        <w:rPr>
          <w:rFonts w:ascii="MS UI Gothic"/>
          <w:sz w:val="21"/>
        </w:rPr>
      </w:pPr>
      <w:r>
        <w:br w:type="column"/>
      </w:r>
    </w:p>
    <w:p>
      <w:pPr>
        <w:pStyle w:val="6"/>
        <w:ind w:left="444" w:firstLine="0"/>
      </w:pPr>
      <w:r>
        <w:rPr>
          <w:w w:val="105"/>
        </w:rPr>
        <w:t>第三节 延长测试设施的备案管理</w:t>
      </w:r>
    </w:p>
    <w:p>
      <w:pPr>
        <w:pStyle w:val="6"/>
        <w:spacing w:before="10"/>
        <w:ind w:left="0" w:firstLine="0"/>
        <w:jc w:val="left"/>
        <w:rPr>
          <w:sz w:val="16"/>
        </w:rPr>
      </w:pPr>
    </w:p>
    <w:p>
      <w:pPr>
        <w:pStyle w:val="6"/>
        <w:spacing w:before="1" w:line="295" w:lineRule="auto"/>
        <w:ind w:right="442" w:firstLine="425"/>
        <w:rPr>
          <w:rFonts w:hint="eastAsia" w:ascii="MS UI Gothic" w:eastAsia="MS UI Gothic"/>
        </w:rPr>
      </w:pPr>
      <w:r>
        <w:rPr>
          <w:w w:val="110"/>
        </w:rPr>
        <w:t xml:space="preserve">第十三条 海上油田 </w:t>
      </w:r>
      <w:r>
        <w:rPr>
          <w:rFonts w:hint="eastAsia" w:ascii="MS UI Gothic" w:eastAsia="MS UI Gothic"/>
          <w:w w:val="150"/>
        </w:rPr>
        <w:t xml:space="preserve">( </w:t>
      </w:r>
      <w:r>
        <w:rPr>
          <w:w w:val="110"/>
        </w:rPr>
        <w:t>井</w:t>
      </w:r>
      <w:r>
        <w:rPr>
          <w:rFonts w:hint="eastAsia" w:ascii="MS UI Gothic" w:eastAsia="MS UI Gothic"/>
          <w:w w:val="150"/>
        </w:rPr>
        <w:t xml:space="preserve">) </w:t>
      </w:r>
      <w:r>
        <w:rPr>
          <w:w w:val="110"/>
        </w:rPr>
        <w:t>进行延</w:t>
      </w:r>
      <w:r>
        <w:t>长测试前</w:t>
      </w:r>
      <w:r>
        <w:rPr>
          <w:rFonts w:hint="eastAsia" w:ascii="MS UI Gothic" w:eastAsia="MS UI Gothic"/>
          <w:w w:val="80"/>
        </w:rPr>
        <w:t xml:space="preserve">ꎬ </w:t>
      </w:r>
      <w:r>
        <w:t>作业者或者承包者应当提前</w:t>
      </w:r>
      <w:r>
        <w:rPr>
          <w:rFonts w:hint="eastAsia" w:ascii="MS UI Gothic" w:eastAsia="MS UI Gothic"/>
          <w:w w:val="80"/>
        </w:rPr>
        <w:t xml:space="preserve">１５ </w:t>
      </w:r>
      <w:r>
        <w:t>日向海油安办有关分部提交延长测试</w:t>
      </w:r>
      <w:r>
        <w:rPr>
          <w:w w:val="110"/>
        </w:rPr>
        <w:t>设施的书面报告和下列资料</w:t>
      </w:r>
      <w:r>
        <w:rPr>
          <w:rFonts w:hint="eastAsia" w:ascii="MS UI Gothic" w:eastAsia="MS UI Gothic"/>
          <w:w w:val="230"/>
        </w:rPr>
        <w:t>:</w:t>
      </w:r>
    </w:p>
    <w:p>
      <w:pPr>
        <w:pStyle w:val="6"/>
        <w:spacing w:line="295" w:lineRule="auto"/>
        <w:ind w:left="130"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延长测试设施备案有关证书和</w:t>
      </w:r>
      <w:r>
        <w:rPr>
          <w:w w:val="110"/>
        </w:rPr>
        <w:t>文件登记表</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延长测试的工艺流程图</w:t>
      </w:r>
      <w:r>
        <w:rPr>
          <w:rFonts w:hint="eastAsia" w:ascii="MS UI Gothic" w:eastAsia="MS UI Gothic"/>
          <w:w w:val="80"/>
        </w:rPr>
        <w:t xml:space="preserve">、 </w:t>
      </w:r>
      <w:r>
        <w:rPr>
          <w:w w:val="105"/>
        </w:rPr>
        <w:t>总体布置图及技术说明</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增加的作业设施</w:t>
      </w:r>
      <w:r>
        <w:rPr>
          <w:rFonts w:hint="eastAsia" w:ascii="MS UI Gothic" w:eastAsia="MS UI Gothic"/>
          <w:w w:val="80"/>
        </w:rPr>
        <w:t xml:space="preserve">、 </w:t>
      </w:r>
      <w:r>
        <w:rPr>
          <w:w w:val="105"/>
        </w:rPr>
        <w:t>生产设施主</w:t>
      </w:r>
      <w:r>
        <w:t>要负责人和安全管理人员安全资格证书</w:t>
      </w:r>
      <w:r>
        <w:rPr>
          <w:rFonts w:hint="eastAsia" w:ascii="MS UI Gothic" w:eastAsia="MS UI Gothic"/>
          <w:w w:val="80"/>
        </w:rPr>
        <w:t>ꎻ</w:t>
      </w:r>
    </w:p>
    <w:p>
      <w:pPr>
        <w:pStyle w:val="6"/>
        <w:spacing w:line="255" w:lineRule="exact"/>
        <w:ind w:left="549"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延长测试作业应急预案</w:t>
      </w:r>
      <w:r>
        <w:rPr>
          <w:rFonts w:hint="eastAsia" w:ascii="MS UI Gothic" w:eastAsia="MS UI Gothic"/>
          <w:w w:val="80"/>
        </w:rPr>
        <w:t>ꎻ</w:t>
      </w:r>
    </w:p>
    <w:p>
      <w:pPr>
        <w:pStyle w:val="6"/>
        <w:spacing w:before="51" w:line="295" w:lineRule="auto"/>
        <w:ind w:left="130"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油轮或者浮式生产储油装置的系泊点</w:t>
      </w:r>
      <w:r>
        <w:rPr>
          <w:rFonts w:hint="eastAsia" w:ascii="MS UI Gothic" w:eastAsia="MS UI Gothic"/>
          <w:w w:val="80"/>
        </w:rPr>
        <w:t xml:space="preserve">、 </w:t>
      </w:r>
      <w:r>
        <w:rPr>
          <w:w w:val="105"/>
        </w:rPr>
        <w:t>锚</w:t>
      </w:r>
      <w:r>
        <w:rPr>
          <w:rFonts w:hint="eastAsia" w:ascii="MS UI Gothic" w:eastAsia="MS UI Gothic"/>
          <w:w w:val="80"/>
        </w:rPr>
        <w:t xml:space="preserve">、 </w:t>
      </w:r>
      <w:r>
        <w:rPr>
          <w:w w:val="105"/>
        </w:rPr>
        <w:t>锚链</w:t>
      </w:r>
      <w:r>
        <w:rPr>
          <w:rFonts w:hint="eastAsia" w:ascii="MS UI Gothic" w:eastAsia="MS UI Gothic"/>
          <w:w w:val="80"/>
        </w:rPr>
        <w:t xml:space="preserve">、 </w:t>
      </w:r>
      <w:r>
        <w:rPr>
          <w:w w:val="105"/>
        </w:rPr>
        <w:t>快速解脱装置</w:t>
      </w:r>
      <w:r>
        <w:rPr>
          <w:rFonts w:hint="eastAsia" w:ascii="MS UI Gothic" w:eastAsia="MS UI Gothic"/>
          <w:w w:val="80"/>
        </w:rPr>
        <w:t xml:space="preserve">、 </w:t>
      </w:r>
      <w:r>
        <w:rPr>
          <w:w w:val="105"/>
        </w:rPr>
        <w:t>系缆张力和距离测量装置的证书和资料</w:t>
      </w:r>
      <w:r>
        <w:rPr>
          <w:rFonts w:hint="eastAsia" w:ascii="MS UI Gothic" w:eastAsia="MS UI Gothic"/>
          <w:w w:val="80"/>
        </w:rPr>
        <w:t>ꎻ</w:t>
      </w:r>
    </w:p>
    <w:p>
      <w:pPr>
        <w:pStyle w:val="6"/>
        <w:spacing w:line="295" w:lineRule="auto"/>
        <w:ind w:left="130" w:right="440"/>
        <w:rPr>
          <w:rFonts w:hint="eastAsia" w:ascii="MS UI Gothic" w:eastAsia="MS UI Gothic"/>
        </w:rPr>
      </w:pPr>
      <w:r>
        <w:rPr>
          <w:rFonts w:hint="eastAsia" w:ascii="MS UI Gothic" w:eastAsia="MS UI Gothic"/>
          <w:spacing w:val="-38"/>
          <w:w w:val="150"/>
        </w:rPr>
        <w:t xml:space="preserve">( </w:t>
      </w:r>
      <w:r>
        <w:rPr>
          <w:spacing w:val="3"/>
          <w:w w:val="105"/>
        </w:rPr>
        <w:t>六</w:t>
      </w:r>
      <w:r>
        <w:rPr>
          <w:rFonts w:hint="eastAsia" w:ascii="MS UI Gothic" w:eastAsia="MS UI Gothic"/>
          <w:spacing w:val="3"/>
          <w:w w:val="150"/>
        </w:rPr>
        <w:t xml:space="preserve">) </w:t>
      </w:r>
      <w:r>
        <w:rPr>
          <w:spacing w:val="5"/>
          <w:w w:val="105"/>
        </w:rPr>
        <w:t>延长测试专用设备或者系统的</w:t>
      </w:r>
      <w:r>
        <w:rPr>
          <w:spacing w:val="3"/>
          <w:w w:val="105"/>
        </w:rPr>
        <w:t>出厂合格证</w:t>
      </w:r>
      <w:r>
        <w:rPr>
          <w:rFonts w:hint="eastAsia" w:ascii="MS UI Gothic" w:eastAsia="MS UI Gothic"/>
          <w:w w:val="80"/>
        </w:rPr>
        <w:t xml:space="preserve">、 </w:t>
      </w:r>
      <w:r>
        <w:rPr>
          <w:spacing w:val="11"/>
          <w:w w:val="105"/>
        </w:rPr>
        <w:t>发证检验机构的检验证书</w:t>
      </w:r>
      <w:r>
        <w:rPr>
          <w:rFonts w:hint="eastAsia" w:ascii="MS UI Gothic" w:eastAsia="MS UI Gothic"/>
          <w:w w:val="80"/>
        </w:rPr>
        <w:t>、</w:t>
      </w:r>
      <w:r>
        <w:rPr>
          <w:spacing w:val="3"/>
          <w:w w:val="105"/>
        </w:rPr>
        <w:t>安装后的试验报告</w:t>
      </w:r>
      <w:r>
        <w:rPr>
          <w:rFonts w:hint="eastAsia" w:ascii="MS UI Gothic" w:eastAsia="MS UI Gothic"/>
          <w:w w:val="80"/>
        </w:rPr>
        <w:t>ꎮ</w:t>
      </w:r>
    </w:p>
    <w:p>
      <w:pPr>
        <w:pStyle w:val="6"/>
        <w:spacing w:line="295" w:lineRule="auto"/>
        <w:ind w:left="130" w:right="440"/>
        <w:rPr>
          <w:rFonts w:hint="eastAsia" w:ascii="MS UI Gothic" w:eastAsia="MS UI Gothic"/>
        </w:rPr>
      </w:pPr>
      <w:r>
        <w:rPr>
          <w:spacing w:val="14"/>
        </w:rPr>
        <w:t>前款所称延长测试专用设备或者系</w:t>
      </w:r>
      <w:r>
        <w:rPr>
          <w:spacing w:val="3"/>
        </w:rPr>
        <w:t>统</w:t>
      </w:r>
      <w:r>
        <w:rPr>
          <w:rFonts w:hint="eastAsia" w:ascii="MS UI Gothic" w:eastAsia="MS UI Gothic"/>
          <w:spacing w:val="7"/>
          <w:w w:val="80"/>
        </w:rPr>
        <w:t xml:space="preserve">ꎬ </w:t>
      </w:r>
      <w:r>
        <w:rPr>
          <w:spacing w:val="3"/>
        </w:rPr>
        <w:t>包括油气加热器</w:t>
      </w:r>
      <w:r>
        <w:rPr>
          <w:rFonts w:hint="eastAsia" w:ascii="MS UI Gothic" w:eastAsia="MS UI Gothic"/>
          <w:spacing w:val="7"/>
          <w:w w:val="80"/>
        </w:rPr>
        <w:t xml:space="preserve">、 </w:t>
      </w:r>
      <w:r>
        <w:rPr>
          <w:spacing w:val="3"/>
        </w:rPr>
        <w:t>油气分离器</w:t>
      </w:r>
      <w:r>
        <w:rPr>
          <w:rFonts w:hint="eastAsia" w:ascii="MS UI Gothic" w:eastAsia="MS UI Gothic"/>
          <w:spacing w:val="7"/>
          <w:w w:val="80"/>
        </w:rPr>
        <w:t xml:space="preserve">、 </w:t>
      </w:r>
      <w:r>
        <w:rPr>
          <w:spacing w:val="1"/>
        </w:rPr>
        <w:t>原油</w:t>
      </w:r>
      <w:r>
        <w:rPr>
          <w:spacing w:val="3"/>
        </w:rPr>
        <w:t>外输泵</w:t>
      </w:r>
      <w:r>
        <w:rPr>
          <w:rFonts w:hint="eastAsia" w:ascii="MS UI Gothic" w:eastAsia="MS UI Gothic"/>
          <w:spacing w:val="14"/>
          <w:w w:val="80"/>
        </w:rPr>
        <w:t xml:space="preserve">、 </w:t>
      </w:r>
      <w:r>
        <w:rPr>
          <w:spacing w:val="9"/>
        </w:rPr>
        <w:t>天然气火炬分液包及凝析油泵</w:t>
      </w:r>
      <w:r>
        <w:rPr>
          <w:rFonts w:hint="eastAsia" w:ascii="MS UI Gothic" w:eastAsia="MS UI Gothic"/>
          <w:w w:val="80"/>
        </w:rPr>
        <w:t>、</w:t>
      </w:r>
      <w:r>
        <w:rPr>
          <w:spacing w:val="3"/>
        </w:rPr>
        <w:t>蒸汽锅炉</w:t>
      </w:r>
      <w:r>
        <w:rPr>
          <w:rFonts w:hint="eastAsia" w:ascii="MS UI Gothic" w:eastAsia="MS UI Gothic"/>
          <w:spacing w:val="15"/>
          <w:w w:val="80"/>
        </w:rPr>
        <w:t xml:space="preserve">、 </w:t>
      </w:r>
      <w:r>
        <w:rPr>
          <w:spacing w:val="3"/>
        </w:rPr>
        <w:t>换热器</w:t>
      </w:r>
      <w:r>
        <w:rPr>
          <w:rFonts w:hint="eastAsia" w:ascii="MS UI Gothic" w:eastAsia="MS UI Gothic"/>
          <w:spacing w:val="15"/>
          <w:w w:val="80"/>
        </w:rPr>
        <w:t xml:space="preserve">、 </w:t>
      </w:r>
      <w:r>
        <w:rPr>
          <w:spacing w:val="3"/>
        </w:rPr>
        <w:t>废油回收设备</w:t>
      </w:r>
      <w:r>
        <w:rPr>
          <w:rFonts w:hint="eastAsia" w:ascii="MS UI Gothic" w:eastAsia="MS UI Gothic"/>
          <w:spacing w:val="16"/>
          <w:w w:val="80"/>
        </w:rPr>
        <w:t xml:space="preserve">、 </w:t>
      </w:r>
      <w:r>
        <w:rPr>
          <w:spacing w:val="1"/>
        </w:rPr>
        <w:t>井口</w:t>
      </w:r>
      <w:r>
        <w:rPr>
          <w:spacing w:val="3"/>
        </w:rPr>
        <w:t>装置</w:t>
      </w:r>
      <w:r>
        <w:rPr>
          <w:rFonts w:hint="eastAsia" w:ascii="MS UI Gothic" w:eastAsia="MS UI Gothic"/>
          <w:spacing w:val="15"/>
          <w:w w:val="80"/>
        </w:rPr>
        <w:t xml:space="preserve">、 </w:t>
      </w:r>
      <w:r>
        <w:rPr>
          <w:spacing w:val="3"/>
        </w:rPr>
        <w:t>污油处理装置</w:t>
      </w:r>
      <w:r>
        <w:rPr>
          <w:rFonts w:hint="eastAsia" w:ascii="MS UI Gothic" w:eastAsia="MS UI Gothic"/>
          <w:spacing w:val="15"/>
          <w:w w:val="80"/>
        </w:rPr>
        <w:t xml:space="preserve">、 </w:t>
      </w:r>
      <w:r>
        <w:rPr>
          <w:spacing w:val="3"/>
        </w:rPr>
        <w:t>机械采油装置</w:t>
      </w:r>
      <w:r>
        <w:rPr>
          <w:rFonts w:hint="eastAsia" w:ascii="MS UI Gothic" w:eastAsia="MS UI Gothic"/>
          <w:spacing w:val="16"/>
          <w:w w:val="80"/>
        </w:rPr>
        <w:t xml:space="preserve">、 </w:t>
      </w:r>
      <w:r>
        <w:t>井</w:t>
      </w:r>
      <w:r>
        <w:rPr>
          <w:spacing w:val="12"/>
        </w:rPr>
        <w:t>上和井下防喷装置</w:t>
      </w:r>
      <w:r>
        <w:rPr>
          <w:rFonts w:hint="eastAsia" w:ascii="MS UI Gothic" w:eastAsia="MS UI Gothic"/>
          <w:spacing w:val="21"/>
          <w:w w:val="80"/>
        </w:rPr>
        <w:t xml:space="preserve">、 </w:t>
      </w:r>
      <w:r>
        <w:rPr>
          <w:spacing w:val="16"/>
        </w:rPr>
        <w:t>防硫化氢的井口装</w:t>
      </w:r>
      <w:r>
        <w:rPr>
          <w:spacing w:val="3"/>
        </w:rPr>
        <w:t>置</w:t>
      </w:r>
      <w:r>
        <w:rPr>
          <w:rFonts w:hint="eastAsia" w:ascii="MS UI Gothic" w:eastAsia="MS UI Gothic"/>
          <w:spacing w:val="15"/>
          <w:w w:val="80"/>
        </w:rPr>
        <w:t xml:space="preserve">、 </w:t>
      </w:r>
      <w:r>
        <w:rPr>
          <w:spacing w:val="3"/>
        </w:rPr>
        <w:t>检测设施及防护器具</w:t>
      </w:r>
      <w:r>
        <w:rPr>
          <w:rFonts w:hint="eastAsia" w:ascii="MS UI Gothic" w:eastAsia="MS UI Gothic"/>
          <w:spacing w:val="15"/>
          <w:w w:val="80"/>
        </w:rPr>
        <w:t xml:space="preserve">、 </w:t>
      </w:r>
      <w:r>
        <w:rPr>
          <w:spacing w:val="3"/>
        </w:rPr>
        <w:t>惰气系统</w:t>
      </w:r>
      <w:r>
        <w:rPr>
          <w:rFonts w:hint="eastAsia" w:ascii="MS UI Gothic" w:eastAsia="MS UI Gothic"/>
          <w:spacing w:val="16"/>
          <w:w w:val="80"/>
        </w:rPr>
        <w:t xml:space="preserve">、 </w:t>
      </w:r>
      <w:r>
        <w:t>柴</w:t>
      </w:r>
      <w:r>
        <w:rPr>
          <w:spacing w:val="3"/>
        </w:rPr>
        <w:t>油置换系统</w:t>
      </w:r>
      <w:r>
        <w:rPr>
          <w:rFonts w:hint="eastAsia" w:ascii="MS UI Gothic" w:eastAsia="MS UI Gothic"/>
          <w:spacing w:val="16"/>
          <w:w w:val="80"/>
        </w:rPr>
        <w:t xml:space="preserve">、 </w:t>
      </w:r>
      <w:r>
        <w:rPr>
          <w:spacing w:val="2"/>
        </w:rPr>
        <w:t>火灾及可燃和有毒有害气体</w:t>
      </w:r>
      <w:r>
        <w:rPr>
          <w:spacing w:val="3"/>
        </w:rPr>
        <w:t>探测与报警系统等</w:t>
      </w:r>
      <w:r>
        <w:rPr>
          <w:rFonts w:hint="eastAsia" w:ascii="MS UI Gothic" w:eastAsia="MS UI Gothic"/>
          <w:w w:val="80"/>
        </w:rPr>
        <w:t>ꎮ</w:t>
      </w:r>
    </w:p>
    <w:p>
      <w:pPr>
        <w:pStyle w:val="6"/>
        <w:spacing w:line="295" w:lineRule="auto"/>
        <w:ind w:left="130" w:right="440"/>
        <w:rPr>
          <w:rFonts w:hint="eastAsia" w:ascii="MS UI Gothic" w:eastAsia="MS UI Gothic"/>
        </w:rPr>
      </w:pPr>
      <w:r>
        <w:t>第十四条 海油安办有关分部对作业者或者承包者提交的延长测试设施资料</w:t>
      </w:r>
      <w:r>
        <w:rPr>
          <w:rFonts w:hint="eastAsia" w:ascii="MS UI Gothic" w:eastAsia="MS UI Gothic"/>
          <w:w w:val="80"/>
        </w:rPr>
        <w:t>ꎬ</w:t>
      </w:r>
      <w:r>
        <w:t>应当进行严格审查</w:t>
      </w:r>
      <w:r>
        <w:rPr>
          <w:rFonts w:hint="eastAsia" w:ascii="MS UI Gothic" w:eastAsia="MS UI Gothic"/>
          <w:w w:val="80"/>
        </w:rPr>
        <w:t xml:space="preserve">ꎮ </w:t>
      </w:r>
      <w:r>
        <w:t>必要时</w:t>
      </w:r>
      <w:r>
        <w:rPr>
          <w:rFonts w:hint="eastAsia" w:ascii="MS UI Gothic" w:eastAsia="MS UI Gothic"/>
          <w:w w:val="80"/>
        </w:rPr>
        <w:t xml:space="preserve">ꎬ </w:t>
      </w:r>
      <w:r>
        <w:t>可进行现场检查</w:t>
      </w:r>
      <w:r>
        <w:rPr>
          <w:rFonts w:hint="eastAsia" w:ascii="MS UI Gothic" w:eastAsia="MS UI Gothic"/>
          <w:w w:val="80"/>
        </w:rPr>
        <w:t>ꎮ</w:t>
      </w:r>
    </w:p>
    <w:p>
      <w:pPr>
        <w:pStyle w:val="6"/>
        <w:spacing w:line="295" w:lineRule="auto"/>
        <w:ind w:left="130" w:right="442"/>
        <w:rPr>
          <w:rFonts w:hint="eastAsia" w:ascii="MS UI Gothic" w:eastAsia="MS UI Gothic"/>
        </w:rPr>
      </w:pPr>
      <w:r>
        <w:t>需要进行现场检查的</w:t>
      </w:r>
      <w:r>
        <w:rPr>
          <w:rFonts w:hint="eastAsia" w:ascii="MS UI Gothic" w:eastAsia="MS UI Gothic"/>
          <w:w w:val="80"/>
        </w:rPr>
        <w:t xml:space="preserve">ꎬ </w:t>
      </w:r>
      <w:r>
        <w:t xml:space="preserve">海油安办有关分部应当提前 </w:t>
      </w:r>
      <w:r>
        <w:rPr>
          <w:rFonts w:hint="eastAsia" w:ascii="MS UI Gothic" w:eastAsia="MS UI Gothic"/>
          <w:w w:val="80"/>
        </w:rPr>
        <w:t xml:space="preserve">１０ </w:t>
      </w:r>
      <w:r>
        <w:t>日与作业者或承包者商定现场检查的具体事宜</w:t>
      </w:r>
      <w:r>
        <w:rPr>
          <w:rFonts w:hint="eastAsia" w:ascii="MS UI Gothic" w:eastAsia="MS UI Gothic"/>
          <w:w w:val="80"/>
        </w:rPr>
        <w:t xml:space="preserve">ꎮ </w:t>
      </w:r>
      <w:r>
        <w:t>作业者或承包者应当配合海油安办有关分部进行现场检查</w:t>
      </w:r>
      <w:r>
        <w:rPr>
          <w:rFonts w:hint="eastAsia" w:ascii="MS UI Gothic" w:eastAsia="MS UI Gothic"/>
          <w:w w:val="80"/>
        </w:rPr>
        <w:t xml:space="preserve">ꎬ </w:t>
      </w:r>
      <w:r>
        <w:t>并提供以下资料</w:t>
      </w:r>
      <w:r>
        <w:rPr>
          <w:rFonts w:hint="eastAsia" w:ascii="MS UI Gothic" w:eastAsia="MS UI Gothic"/>
          <w:w w:val="230"/>
        </w:rPr>
        <w:t>:</w:t>
      </w:r>
    </w:p>
    <w:p>
      <w:pPr>
        <w:pStyle w:val="6"/>
        <w:spacing w:line="295" w:lineRule="auto"/>
        <w:ind w:left="130" w:right="442"/>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原钻井装置增加的延长测试作</w:t>
      </w:r>
      <w:r>
        <w:t>业人员</w:t>
      </w:r>
      <w:r>
        <w:rPr>
          <w:rFonts w:hint="eastAsia" w:ascii="MS UI Gothic" w:eastAsia="MS UI Gothic"/>
        </w:rPr>
        <w:t xml:space="preserve">、 </w:t>
      </w:r>
      <w:r>
        <w:t>油轮或浮式储油装置人员的安全</w:t>
      </w:r>
    </w:p>
    <w:p>
      <w:pPr>
        <w:spacing w:after="0" w:line="295" w:lineRule="auto"/>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１８５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83" o:spid="_x0000_s1583" o:spt="203" style="height:2.15pt;width:398.25pt;" coordsize="7965,43">
            <o:lock v:ext="edit"/>
            <v:line id="_x0000_s1584" o:spid="_x0000_s1584" o:spt="20" style="position:absolute;left:0;top:39;height:0;width:7965;" stroked="t" coordsize="21600,21600">
              <v:path arrowok="t"/>
              <v:fill focussize="0,0"/>
              <v:stroke weight="0.388031496062992pt" color="#231F20"/>
              <v:imagedata o:title=""/>
              <o:lock v:ext="edit"/>
            </v:line>
            <v:line id="_x0000_s1585" o:spid="_x0000_s158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rPr>
          <w:spacing w:val="3"/>
          <w:w w:val="95"/>
        </w:rPr>
        <w:t>培训证书登记表</w:t>
      </w:r>
      <w:r>
        <w:rPr>
          <w:rFonts w:hint="eastAsia" w:ascii="MS UI Gothic" w:eastAsia="MS UI Gothic"/>
          <w:w w:val="80"/>
        </w:rPr>
        <w:t>ꎻ</w:t>
      </w:r>
    </w:p>
    <w:p>
      <w:pPr>
        <w:pStyle w:val="6"/>
        <w:spacing w:before="58" w:line="295" w:lineRule="auto"/>
        <w:ind w:left="440"/>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4"/>
          <w:w w:val="150"/>
        </w:rPr>
        <w:t xml:space="preserve">) </w:t>
      </w:r>
      <w:r>
        <w:rPr>
          <w:spacing w:val="5"/>
          <w:w w:val="105"/>
        </w:rPr>
        <w:t>原钻井装置新加装设备后</w:t>
      </w:r>
      <w:r>
        <w:rPr>
          <w:rFonts w:hint="eastAsia" w:ascii="MS UI Gothic" w:eastAsia="MS UI Gothic"/>
          <w:spacing w:val="13"/>
          <w:w w:val="80"/>
        </w:rPr>
        <w:t xml:space="preserve">ꎬ </w:t>
      </w:r>
      <w:r>
        <w:rPr>
          <w:w w:val="105"/>
        </w:rPr>
        <w:t>其</w:t>
      </w:r>
      <w:r>
        <w:rPr>
          <w:spacing w:val="3"/>
          <w:w w:val="105"/>
        </w:rPr>
        <w:t>消防和救生设备</w:t>
      </w:r>
      <w:r>
        <w:rPr>
          <w:rFonts w:hint="eastAsia" w:ascii="MS UI Gothic" w:eastAsia="MS UI Gothic"/>
          <w:spacing w:val="-5"/>
          <w:w w:val="80"/>
        </w:rPr>
        <w:t xml:space="preserve">、 </w:t>
      </w:r>
      <w:r>
        <w:rPr>
          <w:spacing w:val="2"/>
          <w:w w:val="105"/>
        </w:rPr>
        <w:t>火灾及可燃和有毒有害</w:t>
      </w:r>
      <w:r>
        <w:rPr>
          <w:spacing w:val="3"/>
          <w:w w:val="105"/>
        </w:rPr>
        <w:t>气体探测报警系统布置图</w:t>
      </w:r>
      <w:r>
        <w:rPr>
          <w:rFonts w:hint="eastAsia" w:ascii="MS UI Gothic" w:eastAsia="MS UI Gothic"/>
          <w:spacing w:val="-5"/>
          <w:w w:val="80"/>
        </w:rPr>
        <w:t xml:space="preserve">、 </w:t>
      </w:r>
      <w:r>
        <w:rPr>
          <w:spacing w:val="2"/>
          <w:w w:val="105"/>
        </w:rPr>
        <w:t>危险区域划分</w:t>
      </w:r>
      <w:r>
        <w:rPr>
          <w:spacing w:val="3"/>
          <w:w w:val="105"/>
        </w:rPr>
        <w:t>图和应变部署表</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安全管理文件</w:t>
      </w:r>
      <w:r>
        <w:rPr>
          <w:rFonts w:hint="eastAsia" w:ascii="MS UI Gothic" w:eastAsia="MS UI Gothic"/>
          <w:w w:val="80"/>
        </w:rPr>
        <w:t xml:space="preserve">ꎬ </w:t>
      </w:r>
      <w:r>
        <w:rPr>
          <w:w w:val="105"/>
        </w:rPr>
        <w:t>主要包括</w:t>
      </w:r>
      <w:r>
        <w:rPr>
          <w:rFonts w:hint="eastAsia" w:ascii="MS UI Gothic" w:eastAsia="MS UI Gothic"/>
          <w:w w:val="235"/>
        </w:rPr>
        <w:t xml:space="preserve">: </w:t>
      </w:r>
      <w:r>
        <w:rPr>
          <w:w w:val="105"/>
        </w:rPr>
        <w:t>安全管理机构的设置</w:t>
      </w:r>
      <w:r>
        <w:rPr>
          <w:rFonts w:hint="eastAsia" w:ascii="MS UI Gothic" w:eastAsia="MS UI Gothic"/>
          <w:w w:val="80"/>
        </w:rPr>
        <w:t xml:space="preserve">、 </w:t>
      </w:r>
      <w:r>
        <w:rPr>
          <w:w w:val="105"/>
        </w:rPr>
        <w:t>安全生产责任制</w:t>
      </w:r>
      <w:r>
        <w:rPr>
          <w:rFonts w:hint="eastAsia" w:ascii="MS UI Gothic" w:eastAsia="MS UI Gothic"/>
          <w:w w:val="80"/>
        </w:rPr>
        <w:t xml:space="preserve">、 </w:t>
      </w:r>
      <w:r>
        <w:rPr>
          <w:w w:val="105"/>
        </w:rPr>
        <w:t>安全操作规程</w:t>
      </w:r>
      <w:r>
        <w:rPr>
          <w:rFonts w:hint="eastAsia" w:ascii="MS UI Gothic" w:eastAsia="MS UI Gothic"/>
          <w:w w:val="80"/>
        </w:rPr>
        <w:t xml:space="preserve">、 </w:t>
      </w:r>
      <w:r>
        <w:rPr>
          <w:w w:val="105"/>
        </w:rPr>
        <w:t>安全检查制度</w:t>
      </w:r>
      <w:r>
        <w:rPr>
          <w:rFonts w:hint="eastAsia" w:ascii="MS UI Gothic" w:eastAsia="MS UI Gothic"/>
          <w:w w:val="80"/>
        </w:rPr>
        <w:t xml:space="preserve">、 </w:t>
      </w:r>
      <w:r>
        <w:rPr>
          <w:w w:val="105"/>
        </w:rPr>
        <w:t>工作许可制度</w:t>
      </w:r>
      <w:r>
        <w:rPr>
          <w:rFonts w:hint="eastAsia" w:ascii="MS UI Gothic" w:eastAsia="MS UI Gothic"/>
          <w:w w:val="80"/>
        </w:rPr>
        <w:t xml:space="preserve">、 </w:t>
      </w:r>
      <w:r>
        <w:rPr>
          <w:w w:val="105"/>
        </w:rPr>
        <w:t xml:space="preserve">船舶系泊装卸和油 </w:t>
      </w:r>
      <w:r>
        <w:rPr>
          <w:rFonts w:hint="eastAsia" w:ascii="MS UI Gothic" w:eastAsia="MS UI Gothic"/>
          <w:w w:val="150"/>
        </w:rPr>
        <w:t xml:space="preserve">( </w:t>
      </w:r>
      <w:r>
        <w:rPr>
          <w:w w:val="105"/>
        </w:rPr>
        <w:t>气</w:t>
      </w:r>
      <w:r>
        <w:rPr>
          <w:rFonts w:hint="eastAsia" w:ascii="MS UI Gothic" w:eastAsia="MS UI Gothic"/>
          <w:w w:val="150"/>
        </w:rPr>
        <w:t xml:space="preserve">) </w:t>
      </w:r>
      <w:r>
        <w:rPr>
          <w:w w:val="105"/>
        </w:rPr>
        <w:t>外输管理制度等</w:t>
      </w:r>
      <w:r>
        <w:rPr>
          <w:rFonts w:hint="eastAsia" w:ascii="MS UI Gothic" w:eastAsia="MS UI Gothic"/>
          <w:w w:val="80"/>
        </w:rPr>
        <w:t>ꎮ</w:t>
      </w:r>
    </w:p>
    <w:p>
      <w:pPr>
        <w:pStyle w:val="6"/>
        <w:spacing w:line="295" w:lineRule="auto"/>
        <w:ind w:left="440"/>
      </w:pPr>
      <w:r>
        <w:t>经审查和现场检查符合规定的</w:t>
      </w:r>
      <w:r>
        <w:rPr>
          <w:rFonts w:hint="eastAsia" w:ascii="MS UI Gothic" w:eastAsia="MS UI Gothic"/>
          <w:w w:val="80"/>
        </w:rPr>
        <w:t xml:space="preserve">ꎬ </w:t>
      </w:r>
      <w:r>
        <w:t>向作</w:t>
      </w:r>
      <w:r>
        <w:rPr>
          <w:w w:val="105"/>
        </w:rPr>
        <w:t xml:space="preserve">业者或者承包者颁发海上油田 </w:t>
      </w:r>
      <w:r>
        <w:rPr>
          <w:rFonts w:hint="eastAsia" w:ascii="MS UI Gothic" w:eastAsia="MS UI Gothic"/>
          <w:w w:val="150"/>
        </w:rPr>
        <w:t xml:space="preserve">( </w:t>
      </w:r>
      <w:r>
        <w:rPr>
          <w:w w:val="105"/>
        </w:rPr>
        <w:t>井</w:t>
      </w:r>
      <w:r>
        <w:rPr>
          <w:rFonts w:hint="eastAsia" w:ascii="MS UI Gothic" w:eastAsia="MS UI Gothic"/>
          <w:w w:val="150"/>
        </w:rPr>
        <w:t xml:space="preserve">) </w:t>
      </w:r>
      <w:r>
        <w:rPr>
          <w:w w:val="105"/>
        </w:rPr>
        <w:t>延长测试设施通知书</w:t>
      </w:r>
      <w:r>
        <w:rPr>
          <w:rFonts w:hint="eastAsia" w:ascii="MS UI Gothic" w:eastAsia="MS UI Gothic"/>
          <w:w w:val="80"/>
        </w:rPr>
        <w:t xml:space="preserve">ꎻ </w:t>
      </w:r>
      <w:r>
        <w:rPr>
          <w:w w:val="105"/>
        </w:rPr>
        <w:t>有关资料</w:t>
      </w:r>
      <w:r>
        <w:rPr>
          <w:rFonts w:hint="eastAsia" w:ascii="MS UI Gothic" w:eastAsia="MS UI Gothic"/>
          <w:w w:val="80"/>
        </w:rPr>
        <w:t xml:space="preserve">、 </w:t>
      </w:r>
      <w:r>
        <w:rPr>
          <w:w w:val="105"/>
        </w:rPr>
        <w:t>设施现场</w:t>
      </w:r>
      <w:r>
        <w:t>安全状况等不符合规定的</w:t>
      </w:r>
      <w:r>
        <w:rPr>
          <w:rFonts w:hint="eastAsia" w:ascii="MS UI Gothic" w:eastAsia="MS UI Gothic"/>
          <w:w w:val="80"/>
        </w:rPr>
        <w:t xml:space="preserve">ꎬ </w:t>
      </w:r>
      <w:r>
        <w:t>及时书面通知</w:t>
      </w:r>
    </w:p>
    <w:p>
      <w:pPr>
        <w:pStyle w:val="6"/>
        <w:spacing w:line="237" w:lineRule="exact"/>
        <w:ind w:left="440" w:firstLine="0"/>
        <w:jc w:val="left"/>
        <w:rPr>
          <w:rFonts w:hint="eastAsia" w:ascii="MS UI Gothic" w:eastAsia="MS UI Gothic"/>
        </w:rPr>
      </w:pPr>
      <w:r>
        <w:t>作业者或者承包者进行整改</w:t>
      </w:r>
      <w:r>
        <w:rPr>
          <w:rFonts w:hint="eastAsia" w:ascii="MS UI Gothic" w:eastAsia="MS UI Gothic"/>
          <w:w w:val="80"/>
        </w:rPr>
        <w:t>ꎮ</w:t>
      </w:r>
    </w:p>
    <w:p>
      <w:pPr>
        <w:pStyle w:val="6"/>
        <w:spacing w:before="124" w:line="295" w:lineRule="auto"/>
        <w:ind w:left="383" w:right="126" w:firstLine="0"/>
        <w:rPr>
          <w:rFonts w:hint="eastAsia" w:ascii="MS UI Gothic" w:eastAsia="MS UI Gothic"/>
        </w:rPr>
      </w:pPr>
      <w:r>
        <w:br w:type="column"/>
      </w:r>
      <w:r>
        <w:t>业标准的要求</w:t>
      </w:r>
      <w:r>
        <w:rPr>
          <w:rFonts w:hint="eastAsia" w:ascii="MS UI Gothic" w:eastAsia="MS UI Gothic"/>
          <w:w w:val="80"/>
        </w:rPr>
        <w:t xml:space="preserve">ꎬ </w:t>
      </w:r>
      <w:r>
        <w:t>并建立完善的安全管理体系</w:t>
      </w:r>
      <w:r>
        <w:rPr>
          <w:rFonts w:hint="eastAsia" w:ascii="MS UI Gothic" w:eastAsia="MS UI Gothic"/>
          <w:w w:val="80"/>
        </w:rPr>
        <w:t xml:space="preserve">ꎮ </w:t>
      </w:r>
      <w:r>
        <w:t>设施主要负责人对设施的安全管理全面负责</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第十八条 按照设施不同区域的危险</w:t>
      </w:r>
      <w:r>
        <w:rPr>
          <w:w w:val="110"/>
        </w:rPr>
        <w:t>性</w:t>
      </w:r>
      <w:r>
        <w:rPr>
          <w:rFonts w:hint="eastAsia" w:ascii="MS UI Gothic" w:eastAsia="MS UI Gothic"/>
          <w:w w:val="80"/>
        </w:rPr>
        <w:t xml:space="preserve">ꎬ </w:t>
      </w:r>
      <w:r>
        <w:rPr>
          <w:w w:val="110"/>
        </w:rPr>
        <w:t>划分三个等级的危险区</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rFonts w:hint="eastAsia" w:ascii="MS UI Gothic" w:eastAsia="MS UI Gothic"/>
          <w:w w:val="80"/>
        </w:rPr>
        <w:t xml:space="preserve">０ </w:t>
      </w:r>
      <w:r>
        <w:rPr>
          <w:w w:val="105"/>
        </w:rPr>
        <w:t>类危险区</w:t>
      </w:r>
      <w:r>
        <w:rPr>
          <w:rFonts w:hint="eastAsia" w:ascii="MS UI Gothic" w:eastAsia="MS UI Gothic"/>
          <w:w w:val="80"/>
        </w:rPr>
        <w:t xml:space="preserve">ꎬ </w:t>
      </w:r>
      <w:r>
        <w:rPr>
          <w:w w:val="105"/>
        </w:rPr>
        <w:t>是指在正常操作</w:t>
      </w:r>
      <w:r>
        <w:t>条件下</w:t>
      </w:r>
      <w:r>
        <w:rPr>
          <w:rFonts w:hint="eastAsia" w:ascii="MS UI Gothic" w:eastAsia="MS UI Gothic"/>
          <w:w w:val="80"/>
        </w:rPr>
        <w:t xml:space="preserve">ꎬ </w:t>
      </w:r>
      <w:r>
        <w:t>连续出现达到引燃或者爆炸浓度</w:t>
      </w:r>
      <w:r>
        <w:rPr>
          <w:w w:val="105"/>
        </w:rPr>
        <w:t>的可燃性气体或者蒸气的区域</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rFonts w:hint="eastAsia" w:ascii="MS UI Gothic" w:eastAsia="MS UI Gothic"/>
          <w:w w:val="80"/>
        </w:rPr>
        <w:t xml:space="preserve">１ </w:t>
      </w:r>
      <w:r>
        <w:rPr>
          <w:w w:val="105"/>
        </w:rPr>
        <w:t>类危险区</w:t>
      </w:r>
      <w:r>
        <w:rPr>
          <w:rFonts w:hint="eastAsia" w:ascii="MS UI Gothic" w:eastAsia="MS UI Gothic"/>
          <w:w w:val="80"/>
        </w:rPr>
        <w:t xml:space="preserve">ꎬ </w:t>
      </w:r>
      <w:r>
        <w:rPr>
          <w:w w:val="105"/>
        </w:rPr>
        <w:t>是指在正常操作</w:t>
      </w:r>
      <w:r>
        <w:t>条件下</w:t>
      </w:r>
      <w:r>
        <w:rPr>
          <w:rFonts w:hint="eastAsia" w:ascii="MS UI Gothic" w:eastAsia="MS UI Gothic"/>
          <w:w w:val="80"/>
        </w:rPr>
        <w:t xml:space="preserve">ꎬ </w:t>
      </w:r>
      <w:r>
        <w:t>断续地或者周期性地出现达到引燃或者爆炸浓度的可燃性气体或者蒸气的</w:t>
      </w:r>
      <w:r>
        <w:rPr>
          <w:w w:val="105"/>
        </w:rPr>
        <w:t>区域</w:t>
      </w:r>
      <w:r>
        <w:rPr>
          <w:rFonts w:hint="eastAsia" w:ascii="MS UI Gothic" w:eastAsia="MS UI Gothic"/>
          <w:w w:val="80"/>
        </w:rPr>
        <w:t>ꎻ</w:t>
      </w:r>
    </w:p>
    <w:p>
      <w:pPr>
        <w:pStyle w:val="6"/>
        <w:spacing w:line="295" w:lineRule="auto"/>
        <w:ind w:left="383" w:right="126"/>
      </w:pPr>
      <w:r>
        <w:rPr>
          <w:rFonts w:hint="eastAsia" w:ascii="MS UI Gothic" w:eastAsia="MS UI Gothic"/>
          <w:spacing w:val="-39"/>
          <w:w w:val="150"/>
        </w:rPr>
        <w:t xml:space="preserve">( </w:t>
      </w:r>
      <w:r>
        <w:rPr>
          <w:spacing w:val="3"/>
          <w:w w:val="105"/>
        </w:rPr>
        <w:t>三</w:t>
      </w:r>
      <w:r>
        <w:rPr>
          <w:rFonts w:hint="eastAsia" w:ascii="MS UI Gothic" w:eastAsia="MS UI Gothic"/>
          <w:spacing w:val="-1"/>
          <w:w w:val="150"/>
        </w:rPr>
        <w:t xml:space="preserve">) </w:t>
      </w:r>
      <w:r>
        <w:rPr>
          <w:rFonts w:hint="eastAsia" w:ascii="MS UI Gothic" w:eastAsia="MS UI Gothic"/>
          <w:spacing w:val="1"/>
          <w:w w:val="80"/>
        </w:rPr>
        <w:t xml:space="preserve">２ </w:t>
      </w:r>
      <w:r>
        <w:rPr>
          <w:spacing w:val="10"/>
          <w:w w:val="105"/>
        </w:rPr>
        <w:t>类危险区</w:t>
      </w:r>
      <w:r>
        <w:rPr>
          <w:rFonts w:hint="eastAsia" w:ascii="MS UI Gothic" w:eastAsia="MS UI Gothic"/>
          <w:spacing w:val="16"/>
          <w:w w:val="80"/>
        </w:rPr>
        <w:t xml:space="preserve">ꎬ </w:t>
      </w:r>
      <w:r>
        <w:rPr>
          <w:spacing w:val="12"/>
          <w:w w:val="105"/>
        </w:rPr>
        <w:t>是指在正常操作</w:t>
      </w:r>
      <w:r>
        <w:rPr>
          <w:spacing w:val="3"/>
        </w:rPr>
        <w:t>条件下</w:t>
      </w:r>
      <w:r>
        <w:rPr>
          <w:rFonts w:hint="eastAsia" w:ascii="MS UI Gothic" w:eastAsia="MS UI Gothic"/>
          <w:spacing w:val="15"/>
          <w:w w:val="80"/>
        </w:rPr>
        <w:t xml:space="preserve">ꎬ  </w:t>
      </w:r>
      <w:r>
        <w:rPr>
          <w:spacing w:val="2"/>
        </w:rPr>
        <w:t>不可能出现达到引燃或者爆炸浓</w:t>
      </w:r>
    </w:p>
    <w:p>
      <w:pPr>
        <w:pStyle w:val="6"/>
        <w:spacing w:line="238" w:lineRule="exact"/>
        <w:ind w:left="383" w:firstLine="0"/>
      </w:pPr>
      <w:r>
        <w:rPr>
          <w:spacing w:val="3"/>
        </w:rPr>
        <w:t>度的可燃性气体或者蒸气</w:t>
      </w:r>
      <w:r>
        <w:rPr>
          <w:rFonts w:hint="eastAsia" w:ascii="MS UI Gothic" w:eastAsia="MS UI Gothic"/>
          <w:spacing w:val="15"/>
          <w:w w:val="80"/>
        </w:rPr>
        <w:t xml:space="preserve">ꎻ  </w:t>
      </w:r>
      <w:r>
        <w:rPr>
          <w:spacing w:val="2"/>
        </w:rPr>
        <w:t>但在不正常操</w:t>
      </w:r>
    </w:p>
    <w:p>
      <w:pPr>
        <w:spacing w:after="0" w:line="238" w:lineRule="exact"/>
        <w:sectPr>
          <w:type w:val="continuous"/>
          <w:pgSz w:w="10500" w:h="14750"/>
          <w:pgMar w:top="1400" w:right="980" w:bottom="280" w:left="980" w:header="720" w:footer="720" w:gutter="0"/>
          <w:cols w:equalWidth="0" w:num="2">
            <w:col w:w="4210" w:space="40"/>
            <w:col w:w="4290"/>
          </w:cols>
        </w:sectPr>
      </w:pPr>
    </w:p>
    <w:p>
      <w:pPr>
        <w:pStyle w:val="6"/>
        <w:tabs>
          <w:tab w:val="left" w:pos="1117"/>
        </w:tabs>
        <w:spacing w:before="65"/>
        <w:ind w:left="0" w:firstLine="0"/>
        <w:jc w:val="right"/>
      </w:pPr>
      <w:r>
        <w:rPr>
          <w:spacing w:val="3"/>
        </w:rPr>
        <w:t>第</w:t>
      </w:r>
      <w:r>
        <w:rPr>
          <w:spacing w:val="13"/>
        </w:rPr>
        <w:t>十</w:t>
      </w:r>
      <w:r>
        <w:rPr>
          <w:spacing w:val="21"/>
        </w:rPr>
        <w:t>五</w:t>
      </w:r>
      <w:r>
        <w:t>条</w:t>
      </w:r>
      <w:r>
        <w:tab/>
      </w:r>
      <w:r>
        <w:rPr>
          <w:spacing w:val="21"/>
        </w:rPr>
        <w:t>通常情况</w:t>
      </w:r>
      <w:r>
        <w:rPr>
          <w:spacing w:val="3"/>
        </w:rPr>
        <w:t>下</w:t>
      </w:r>
      <w:r>
        <w:rPr>
          <w:rFonts w:hint="eastAsia" w:ascii="MS UI Gothic" w:eastAsia="MS UI Gothic"/>
          <w:w w:val="80"/>
        </w:rPr>
        <w:t xml:space="preserve">ꎬ </w:t>
      </w:r>
      <w:r>
        <w:rPr>
          <w:rFonts w:hint="eastAsia" w:ascii="MS UI Gothic" w:eastAsia="MS UI Gothic"/>
          <w:spacing w:val="14"/>
          <w:w w:val="80"/>
        </w:rPr>
        <w:t xml:space="preserve"> </w:t>
      </w:r>
      <w:r>
        <w:rPr>
          <w:spacing w:val="23"/>
        </w:rPr>
        <w:t>海上油</w:t>
      </w:r>
      <w:r>
        <w:t>田</w:t>
      </w:r>
    </w:p>
    <w:p>
      <w:pPr>
        <w:pStyle w:val="6"/>
        <w:spacing w:before="58" w:line="240" w:lineRule="exact"/>
        <w:ind w:left="0" w:firstLine="0"/>
        <w:jc w:val="right"/>
      </w:pPr>
      <w:r>
        <w:rPr>
          <w:rFonts w:hint="eastAsia" w:ascii="MS UI Gothic" w:eastAsia="MS UI Gothic"/>
          <w:spacing w:val="-42"/>
          <w:w w:val="150"/>
        </w:rPr>
        <w:t xml:space="preserve">( </w:t>
      </w:r>
      <w:r>
        <w:rPr>
          <w:spacing w:val="3"/>
          <w:w w:val="110"/>
        </w:rPr>
        <w:t>井</w:t>
      </w:r>
      <w:r>
        <w:rPr>
          <w:rFonts w:hint="eastAsia" w:ascii="MS UI Gothic" w:eastAsia="MS UI Gothic"/>
          <w:spacing w:val="-22"/>
          <w:w w:val="150"/>
        </w:rPr>
        <w:t xml:space="preserve">) </w:t>
      </w:r>
      <w:r>
        <w:rPr>
          <w:spacing w:val="-4"/>
          <w:w w:val="110"/>
        </w:rPr>
        <w:t xml:space="preserve">延长测试作业期限不超过 </w:t>
      </w:r>
      <w:r>
        <w:rPr>
          <w:rFonts w:hint="eastAsia" w:ascii="MS UI Gothic" w:eastAsia="MS UI Gothic"/>
          <w:spacing w:val="-12"/>
          <w:w w:val="80"/>
        </w:rPr>
        <w:t xml:space="preserve">１ </w:t>
      </w:r>
      <w:r>
        <w:rPr>
          <w:spacing w:val="3"/>
          <w:w w:val="110"/>
        </w:rPr>
        <w:t>年</w:t>
      </w:r>
      <w:r>
        <w:rPr>
          <w:rFonts w:hint="eastAsia" w:ascii="MS UI Gothic" w:eastAsia="MS UI Gothic"/>
          <w:spacing w:val="-4"/>
          <w:w w:val="80"/>
        </w:rPr>
        <w:t xml:space="preserve">ꎮ </w:t>
      </w:r>
      <w:r>
        <w:rPr>
          <w:w w:val="110"/>
        </w:rPr>
        <w:t>确</w:t>
      </w:r>
    </w:p>
    <w:p>
      <w:pPr>
        <w:pStyle w:val="6"/>
        <w:spacing w:before="11" w:line="310" w:lineRule="atLeast"/>
        <w:ind w:left="383" w:right="126" w:firstLine="0"/>
        <w:jc w:val="left"/>
        <w:rPr>
          <w:rFonts w:hint="eastAsia" w:ascii="MS UI Gothic" w:eastAsia="MS UI Gothic"/>
        </w:rPr>
      </w:pPr>
      <w:r>
        <w:br w:type="column"/>
      </w:r>
      <w:r>
        <w:t>作条件下</w:t>
      </w:r>
      <w:r>
        <w:rPr>
          <w:rFonts w:hint="eastAsia" w:ascii="MS UI Gothic" w:eastAsia="MS UI Gothic"/>
          <w:w w:val="80"/>
        </w:rPr>
        <w:t xml:space="preserve">ꎬ </w:t>
      </w:r>
      <w:r>
        <w:t>有可能出现达到引燃或者爆炸浓度的可燃性气体或者蒸气的区域</w:t>
      </w:r>
      <w:r>
        <w:rPr>
          <w:rFonts w:hint="eastAsia" w:ascii="MS UI Gothic" w:eastAsia="MS UI Gothic"/>
          <w:w w:val="80"/>
        </w:rPr>
        <w:t>ꎮ</w:t>
      </w:r>
    </w:p>
    <w:p>
      <w:pPr>
        <w:spacing w:after="0" w:line="310" w:lineRule="atLeast"/>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63"/>
        <w:ind w:left="440" w:firstLine="0"/>
        <w:jc w:val="left"/>
      </w:pPr>
      <w:r>
        <w:rPr>
          <w:spacing w:val="8"/>
        </w:rPr>
        <w:t>需延期时</w:t>
      </w:r>
      <w:r>
        <w:rPr>
          <w:rFonts w:hint="eastAsia" w:ascii="MS UI Gothic" w:eastAsia="MS UI Gothic"/>
          <w:spacing w:val="1"/>
          <w:w w:val="80"/>
        </w:rPr>
        <w:t xml:space="preserve">ꎬ   </w:t>
      </w:r>
      <w:r>
        <w:rPr>
          <w:spacing w:val="17"/>
        </w:rPr>
        <w:t>作业者或者承包者应当提前</w:t>
      </w:r>
    </w:p>
    <w:p>
      <w:pPr>
        <w:pStyle w:val="6"/>
        <w:spacing w:before="58"/>
        <w:ind w:left="435" w:firstLine="0"/>
        <w:jc w:val="left"/>
        <w:rPr>
          <w:rFonts w:hint="eastAsia" w:ascii="MS UI Gothic" w:eastAsia="MS UI Gothic"/>
        </w:rPr>
      </w:pPr>
      <w:r>
        <w:rPr>
          <w:rFonts w:hint="eastAsia" w:ascii="MS UI Gothic" w:eastAsia="MS UI Gothic"/>
          <w:w w:val="85"/>
        </w:rPr>
        <w:t xml:space="preserve">１５ </w:t>
      </w:r>
      <w:r>
        <w:rPr>
          <w:spacing w:val="3"/>
        </w:rPr>
        <w:t>日向海油安办有关分部提出延期申请</w:t>
      </w:r>
      <w:r>
        <w:rPr>
          <w:rFonts w:hint="eastAsia" w:ascii="MS UI Gothic" w:eastAsia="MS UI Gothic"/>
          <w:w w:val="85"/>
        </w:rPr>
        <w:t>ꎬ</w:t>
      </w:r>
    </w:p>
    <w:p>
      <w:pPr>
        <w:pStyle w:val="6"/>
        <w:spacing w:before="58"/>
        <w:ind w:left="440" w:firstLine="0"/>
        <w:jc w:val="left"/>
        <w:rPr>
          <w:rFonts w:hint="eastAsia" w:ascii="MS UI Gothic" w:eastAsia="MS UI Gothic"/>
        </w:rPr>
      </w:pPr>
      <w:r>
        <w:t xml:space="preserve">延期时间不得超过 </w:t>
      </w:r>
      <w:r>
        <w:rPr>
          <w:rFonts w:hint="eastAsia" w:ascii="MS UI Gothic" w:eastAsia="MS UI Gothic"/>
        </w:rPr>
        <w:t xml:space="preserve">６ </w:t>
      </w:r>
      <w:r>
        <w:t>个月</w:t>
      </w:r>
      <w:r>
        <w:rPr>
          <w:rFonts w:hint="eastAsia" w:ascii="MS UI Gothic" w:eastAsia="MS UI Gothic"/>
          <w:w w:val="80"/>
        </w:rPr>
        <w:t>ꎮ</w:t>
      </w:r>
    </w:p>
    <w:p>
      <w:pPr>
        <w:pStyle w:val="6"/>
        <w:spacing w:before="58" w:line="295" w:lineRule="auto"/>
        <w:ind w:left="440" w:right="1"/>
        <w:rPr>
          <w:rFonts w:hint="eastAsia" w:ascii="MS UI Gothic" w:eastAsia="MS UI Gothic"/>
        </w:rPr>
      </w:pPr>
      <w:r>
        <w:rPr>
          <w:w w:val="110"/>
        </w:rPr>
        <w:t xml:space="preserve">第十六条 海上油田 </w:t>
      </w:r>
      <w:r>
        <w:rPr>
          <w:rFonts w:hint="eastAsia" w:ascii="MS UI Gothic" w:eastAsia="MS UI Gothic"/>
          <w:w w:val="150"/>
        </w:rPr>
        <w:t xml:space="preserve">( </w:t>
      </w:r>
      <w:r>
        <w:rPr>
          <w:w w:val="110"/>
        </w:rPr>
        <w:t>井</w:t>
      </w:r>
      <w:r>
        <w:rPr>
          <w:rFonts w:hint="eastAsia" w:ascii="MS UI Gothic" w:eastAsia="MS UI Gothic"/>
          <w:w w:val="150"/>
        </w:rPr>
        <w:t xml:space="preserve">) </w:t>
      </w:r>
      <w:r>
        <w:rPr>
          <w:w w:val="110"/>
        </w:rPr>
        <w:t>延长测</w:t>
      </w:r>
      <w:r>
        <w:t>试设施有下列情形之一的</w:t>
      </w:r>
      <w:r>
        <w:rPr>
          <w:rFonts w:hint="eastAsia" w:ascii="MS UI Gothic" w:eastAsia="MS UI Gothic"/>
          <w:w w:val="80"/>
        </w:rPr>
        <w:t xml:space="preserve">ꎬ </w:t>
      </w:r>
      <w:r>
        <w:t>作业者或者承</w:t>
      </w:r>
      <w:r>
        <w:rPr>
          <w:w w:val="105"/>
        </w:rPr>
        <w:t>包者应当及时向海油安办有关分部报告</w:t>
      </w:r>
      <w:r>
        <w:rPr>
          <w:rFonts w:hint="eastAsia" w:ascii="MS UI Gothic" w:eastAsia="MS UI Gothic"/>
          <w:w w:val="10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改动组成延长测试设施的主要结构</w:t>
      </w:r>
      <w:r>
        <w:rPr>
          <w:rFonts w:hint="eastAsia" w:ascii="MS UI Gothic" w:eastAsia="MS UI Gothic"/>
          <w:w w:val="80"/>
        </w:rPr>
        <w:t xml:space="preserve">、 </w:t>
      </w:r>
      <w:r>
        <w:rPr>
          <w:w w:val="105"/>
        </w:rPr>
        <w:t>设备和井控系统的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更换火灾及可燃和有毒有害气体探测与报警系统</w:t>
      </w:r>
      <w:r>
        <w:rPr>
          <w:rFonts w:hint="eastAsia" w:ascii="MS UI Gothic" w:eastAsia="MS UI Gothic"/>
          <w:w w:val="80"/>
        </w:rPr>
        <w:t xml:space="preserve">、 </w:t>
      </w:r>
      <w:r>
        <w:rPr>
          <w:w w:val="105"/>
        </w:rPr>
        <w:t>消防和救生设备等主要安全设施的</w:t>
      </w:r>
      <w:r>
        <w:rPr>
          <w:rFonts w:hint="eastAsia" w:ascii="MS UI Gothic" w:eastAsia="MS UI Gothic"/>
          <w:w w:val="80"/>
        </w:rPr>
        <w:t>ꎻ</w:t>
      </w:r>
    </w:p>
    <w:p>
      <w:pPr>
        <w:pStyle w:val="6"/>
        <w:spacing w:line="254"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改变应急预案有关内容的</w:t>
      </w:r>
      <w:r>
        <w:rPr>
          <w:rFonts w:hint="eastAsia" w:ascii="MS UI Gothic" w:eastAsia="MS UI Gothic"/>
          <w:w w:val="80"/>
        </w:rPr>
        <w:t>ꎻ</w:t>
      </w:r>
    </w:p>
    <w:p>
      <w:pPr>
        <w:pStyle w:val="6"/>
        <w:spacing w:before="54" w:line="295" w:lineRule="auto"/>
        <w:ind w:left="440" w:right="1"/>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其他对生产作业安全有重大影</w:t>
      </w:r>
      <w:r>
        <w:rPr>
          <w:w w:val="110"/>
        </w:rPr>
        <w:t>响的</w:t>
      </w:r>
      <w:r>
        <w:rPr>
          <w:rFonts w:hint="eastAsia" w:ascii="MS UI Gothic" w:eastAsia="MS UI Gothic"/>
          <w:w w:val="80"/>
        </w:rPr>
        <w:t>ꎮ</w:t>
      </w:r>
    </w:p>
    <w:p>
      <w:pPr>
        <w:pStyle w:val="6"/>
        <w:tabs>
          <w:tab w:val="left" w:pos="1277"/>
        </w:tabs>
        <w:spacing w:before="156"/>
        <w:ind w:left="439" w:firstLine="0"/>
        <w:jc w:val="center"/>
      </w:pPr>
      <w:r>
        <w:rPr>
          <w:spacing w:val="3"/>
          <w:w w:val="105"/>
        </w:rPr>
        <w:t>第三</w:t>
      </w:r>
      <w:r>
        <w:rPr>
          <w:w w:val="105"/>
        </w:rPr>
        <w:t>章</w:t>
      </w:r>
      <w:r>
        <w:rPr>
          <w:w w:val="105"/>
        </w:rPr>
        <w:tab/>
      </w:r>
      <w:r>
        <w:rPr>
          <w:spacing w:val="3"/>
          <w:w w:val="105"/>
        </w:rPr>
        <w:t>生产作业的安全管</w:t>
      </w:r>
      <w:r>
        <w:rPr>
          <w:w w:val="105"/>
        </w:rPr>
        <w:t>理</w:t>
      </w:r>
    </w:p>
    <w:p>
      <w:pPr>
        <w:pStyle w:val="6"/>
        <w:spacing w:before="1"/>
        <w:ind w:left="0" w:firstLine="0"/>
        <w:jc w:val="left"/>
        <w:rPr>
          <w:sz w:val="29"/>
        </w:rPr>
      </w:pPr>
    </w:p>
    <w:p>
      <w:pPr>
        <w:pStyle w:val="6"/>
        <w:tabs>
          <w:tab w:val="left" w:pos="1277"/>
        </w:tabs>
        <w:ind w:left="439" w:firstLine="0"/>
        <w:jc w:val="center"/>
      </w:pPr>
      <w:r>
        <w:rPr>
          <w:spacing w:val="3"/>
          <w:w w:val="105"/>
        </w:rPr>
        <w:t>第一</w:t>
      </w:r>
      <w:r>
        <w:rPr>
          <w:w w:val="105"/>
        </w:rPr>
        <w:t>节</w:t>
      </w:r>
      <w:r>
        <w:rPr>
          <w:w w:val="105"/>
        </w:rPr>
        <w:tab/>
      </w:r>
      <w:r>
        <w:rPr>
          <w:w w:val="105"/>
        </w:rPr>
        <w:t>基</w:t>
      </w:r>
      <w:r>
        <w:rPr>
          <w:spacing w:val="-34"/>
          <w:w w:val="105"/>
        </w:rPr>
        <w:t xml:space="preserve"> </w:t>
      </w:r>
      <w:r>
        <w:rPr>
          <w:w w:val="105"/>
        </w:rPr>
        <w:t>本</w:t>
      </w:r>
      <w:r>
        <w:rPr>
          <w:spacing w:val="-33"/>
          <w:w w:val="105"/>
        </w:rPr>
        <w:t xml:space="preserve"> </w:t>
      </w:r>
      <w:r>
        <w:rPr>
          <w:w w:val="105"/>
        </w:rPr>
        <w:t>要</w:t>
      </w:r>
      <w:r>
        <w:rPr>
          <w:spacing w:val="-33"/>
          <w:w w:val="105"/>
        </w:rPr>
        <w:t xml:space="preserve"> </w:t>
      </w:r>
      <w:r>
        <w:rPr>
          <w:w w:val="105"/>
        </w:rPr>
        <w:t>求</w:t>
      </w:r>
    </w:p>
    <w:p>
      <w:pPr>
        <w:pStyle w:val="6"/>
        <w:spacing w:before="10"/>
        <w:ind w:left="0" w:firstLine="0"/>
        <w:jc w:val="left"/>
        <w:rPr>
          <w:sz w:val="16"/>
        </w:rPr>
      </w:pPr>
    </w:p>
    <w:p>
      <w:pPr>
        <w:pStyle w:val="6"/>
        <w:spacing w:line="295" w:lineRule="auto"/>
        <w:ind w:left="440"/>
      </w:pPr>
      <w:r>
        <w:rPr>
          <w:w w:val="105"/>
        </w:rPr>
        <w:t>第十七条 在海洋石油生产作业中</w:t>
      </w:r>
      <w:r>
        <w:rPr>
          <w:rFonts w:hint="eastAsia" w:ascii="MS UI Gothic" w:eastAsia="MS UI Gothic"/>
          <w:w w:val="80"/>
        </w:rPr>
        <w:t>ꎬ</w:t>
      </w:r>
      <w:r>
        <w:t>作业者和承包者应当确保海洋石油生产</w:t>
      </w:r>
      <w:r>
        <w:rPr>
          <w:rFonts w:hint="eastAsia" w:ascii="MS UI Gothic" w:eastAsia="MS UI Gothic"/>
          <w:w w:val="80"/>
        </w:rPr>
        <w:t>、</w:t>
      </w:r>
      <w:r>
        <w:rPr>
          <w:w w:val="105"/>
        </w:rPr>
        <w:t xml:space="preserve">作业设施 </w:t>
      </w:r>
      <w:r>
        <w:rPr>
          <w:rFonts w:hint="eastAsia" w:ascii="MS UI Gothic" w:eastAsia="MS UI Gothic"/>
          <w:w w:val="150"/>
        </w:rPr>
        <w:t xml:space="preserve">( </w:t>
      </w:r>
      <w:r>
        <w:rPr>
          <w:w w:val="105"/>
        </w:rPr>
        <w:t>以下简称设施</w:t>
      </w:r>
      <w:r>
        <w:rPr>
          <w:rFonts w:hint="eastAsia" w:ascii="MS UI Gothic" w:eastAsia="MS UI Gothic"/>
          <w:w w:val="150"/>
        </w:rPr>
        <w:t xml:space="preserve">) </w:t>
      </w:r>
      <w:r>
        <w:rPr>
          <w:w w:val="105"/>
        </w:rPr>
        <w:t>安全条件符合法律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规章和相关国家标准</w:t>
      </w:r>
      <w:r>
        <w:rPr>
          <w:rFonts w:hint="eastAsia" w:ascii="MS UI Gothic" w:eastAsia="MS UI Gothic"/>
          <w:w w:val="80"/>
        </w:rPr>
        <w:t xml:space="preserve">、 </w:t>
      </w:r>
      <w:r>
        <w:rPr>
          <w:w w:val="105"/>
        </w:rPr>
        <w:t>行</w:t>
      </w:r>
    </w:p>
    <w:p>
      <w:pPr>
        <w:pStyle w:val="6"/>
        <w:spacing w:before="63" w:line="295" w:lineRule="auto"/>
        <w:ind w:left="381" w:right="126"/>
        <w:rPr>
          <w:rFonts w:hint="eastAsia" w:ascii="MS UI Gothic" w:hAnsi="MS UI Gothic" w:eastAsia="MS UI Gothic"/>
        </w:rPr>
      </w:pPr>
      <w:r>
        <w:br w:type="column"/>
      </w:r>
      <w:r>
        <w:t>设施的作业者或者承包者应当将危险区等级准确地标注在设施操作手册的附图</w:t>
      </w:r>
      <w:r>
        <w:rPr>
          <w:w w:val="105"/>
        </w:rPr>
        <w:t>上</w:t>
      </w:r>
      <w:r>
        <w:rPr>
          <w:rFonts w:hint="eastAsia" w:ascii="MS UI Gothic" w:hAnsi="MS UI Gothic" w:eastAsia="MS UI Gothic"/>
          <w:w w:val="80"/>
        </w:rPr>
        <w:t xml:space="preserve">ꎮ </w:t>
      </w:r>
      <w:r>
        <w:rPr>
          <w:w w:val="105"/>
        </w:rPr>
        <w:t>对于通往危险区的通道口</w:t>
      </w:r>
      <w:r>
        <w:rPr>
          <w:rFonts w:hint="eastAsia" w:ascii="MS UI Gothic" w:hAnsi="MS UI Gothic" w:eastAsia="MS UI Gothic"/>
          <w:w w:val="80"/>
        </w:rPr>
        <w:t xml:space="preserve">、 </w:t>
      </w:r>
      <w:r>
        <w:rPr>
          <w:w w:val="105"/>
        </w:rPr>
        <w:t>门或者舱</w:t>
      </w:r>
      <w:r>
        <w:t>口</w:t>
      </w:r>
      <w:r>
        <w:rPr>
          <w:rFonts w:hint="eastAsia" w:ascii="MS UI Gothic" w:hAnsi="MS UI Gothic" w:eastAsia="MS UI Gothic"/>
          <w:w w:val="80"/>
        </w:rPr>
        <w:t xml:space="preserve">ꎬ </w:t>
      </w:r>
      <w:r>
        <w:t>应当在其外部标注清晰可见的中英文</w:t>
      </w:r>
      <w:r>
        <w:rPr>
          <w:rFonts w:hint="eastAsia" w:ascii="MS UI Gothic" w:hAnsi="MS UI Gothic" w:eastAsia="MS UI Gothic"/>
          <w:w w:val="105"/>
        </w:rPr>
        <w:t xml:space="preserve">“ </w:t>
      </w:r>
      <w:r>
        <w:rPr>
          <w:w w:val="105"/>
        </w:rPr>
        <w:t>危险区域</w:t>
      </w:r>
      <w:r>
        <w:rPr>
          <w:rFonts w:hint="eastAsia" w:ascii="MS UI Gothic" w:hAnsi="MS UI Gothic" w:eastAsia="MS UI Gothic"/>
          <w:w w:val="105"/>
        </w:rPr>
        <w:t>”</w:t>
      </w:r>
      <w:r>
        <w:rPr>
          <w:rFonts w:hint="eastAsia" w:ascii="MS UI Gothic" w:hAnsi="MS UI Gothic" w:eastAsia="MS UI Gothic"/>
          <w:w w:val="80"/>
        </w:rPr>
        <w:t xml:space="preserve">、 </w:t>
      </w:r>
      <w:r>
        <w:rPr>
          <w:rFonts w:hint="eastAsia" w:ascii="MS UI Gothic" w:hAnsi="MS UI Gothic" w:eastAsia="MS UI Gothic"/>
          <w:w w:val="105"/>
        </w:rPr>
        <w:t xml:space="preserve">“ </w:t>
      </w:r>
      <w:r>
        <w:rPr>
          <w:w w:val="105"/>
        </w:rPr>
        <w:t>禁止烟火</w:t>
      </w:r>
      <w:r>
        <w:rPr>
          <w:rFonts w:hint="eastAsia" w:ascii="MS UI Gothic" w:hAnsi="MS UI Gothic" w:eastAsia="MS UI Gothic"/>
          <w:w w:val="105"/>
        </w:rPr>
        <w:t xml:space="preserve">” </w:t>
      </w:r>
      <w:r>
        <w:rPr>
          <w:w w:val="105"/>
        </w:rPr>
        <w:t xml:space="preserve">和 </w:t>
      </w:r>
      <w:r>
        <w:rPr>
          <w:rFonts w:hint="eastAsia" w:ascii="MS UI Gothic" w:hAnsi="MS UI Gothic" w:eastAsia="MS UI Gothic"/>
          <w:w w:val="105"/>
        </w:rPr>
        <w:t xml:space="preserve">“ </w:t>
      </w:r>
      <w:r>
        <w:rPr>
          <w:w w:val="105"/>
        </w:rPr>
        <w:t>禁带火种</w:t>
      </w:r>
      <w:r>
        <w:rPr>
          <w:rFonts w:hint="eastAsia" w:ascii="MS UI Gothic" w:hAnsi="MS UI Gothic" w:eastAsia="MS UI Gothic"/>
          <w:w w:val="105"/>
        </w:rPr>
        <w:t xml:space="preserve">” </w:t>
      </w:r>
      <w:r>
        <w:rPr>
          <w:w w:val="105"/>
        </w:rPr>
        <w:t>等标志</w:t>
      </w:r>
      <w:r>
        <w:rPr>
          <w:rFonts w:hint="eastAsia" w:ascii="MS UI Gothic" w:hAnsi="MS UI Gothic" w:eastAsia="MS UI Gothic"/>
          <w:w w:val="80"/>
        </w:rPr>
        <w:t>ꎮ</w:t>
      </w:r>
    </w:p>
    <w:p>
      <w:pPr>
        <w:pStyle w:val="6"/>
        <w:spacing w:line="295" w:lineRule="auto"/>
        <w:ind w:left="381" w:right="126"/>
        <w:rPr>
          <w:rFonts w:hint="eastAsia" w:ascii="MS UI Gothic" w:eastAsia="MS UI Gothic"/>
        </w:rPr>
      </w:pPr>
      <w:r>
        <w:rPr>
          <w:w w:val="105"/>
        </w:rPr>
        <w:t>第十九条 设施的作业者或者承包者应当建立动火</w:t>
      </w:r>
      <w:r>
        <w:rPr>
          <w:rFonts w:hint="eastAsia" w:ascii="MS UI Gothic" w:eastAsia="MS UI Gothic"/>
          <w:w w:val="80"/>
        </w:rPr>
        <w:t xml:space="preserve">、 </w:t>
      </w:r>
      <w:r>
        <w:rPr>
          <w:w w:val="105"/>
        </w:rPr>
        <w:t>电工作业</w:t>
      </w:r>
      <w:r>
        <w:rPr>
          <w:rFonts w:hint="eastAsia" w:ascii="MS UI Gothic" w:eastAsia="MS UI Gothic"/>
          <w:w w:val="80"/>
        </w:rPr>
        <w:t xml:space="preserve">、 </w:t>
      </w:r>
      <w:r>
        <w:rPr>
          <w:w w:val="105"/>
        </w:rPr>
        <w:t>受限空间作业</w:t>
      </w:r>
      <w:r>
        <w:rPr>
          <w:rFonts w:hint="eastAsia" w:ascii="MS UI Gothic" w:eastAsia="MS UI Gothic"/>
          <w:w w:val="80"/>
        </w:rPr>
        <w:t xml:space="preserve">、 </w:t>
      </w:r>
      <w:r>
        <w:rPr>
          <w:w w:val="105"/>
        </w:rPr>
        <w:t xml:space="preserve">高空作业和舷 </w:t>
      </w:r>
      <w:r>
        <w:rPr>
          <w:rFonts w:hint="eastAsia" w:ascii="MS UI Gothic" w:eastAsia="MS UI Gothic"/>
          <w:w w:val="150"/>
        </w:rPr>
        <w:t xml:space="preserve">( </w:t>
      </w:r>
      <w:r>
        <w:rPr>
          <w:w w:val="105"/>
        </w:rPr>
        <w:t>岛</w:t>
      </w:r>
      <w:r>
        <w:rPr>
          <w:rFonts w:hint="eastAsia" w:ascii="MS UI Gothic" w:eastAsia="MS UI Gothic"/>
          <w:w w:val="150"/>
        </w:rPr>
        <w:t xml:space="preserve">) </w:t>
      </w:r>
      <w:r>
        <w:rPr>
          <w:w w:val="105"/>
        </w:rPr>
        <w:t>外作业等审批制度</w:t>
      </w:r>
      <w:r>
        <w:rPr>
          <w:rFonts w:hint="eastAsia" w:ascii="MS UI Gothic" w:eastAsia="MS UI Gothic"/>
          <w:w w:val="80"/>
        </w:rPr>
        <w:t>ꎮ</w:t>
      </w:r>
    </w:p>
    <w:p>
      <w:pPr>
        <w:pStyle w:val="6"/>
        <w:spacing w:line="295" w:lineRule="auto"/>
        <w:ind w:left="381" w:right="126"/>
        <w:rPr>
          <w:rFonts w:hint="eastAsia" w:ascii="MS UI Gothic" w:eastAsia="MS UI Gothic"/>
        </w:rPr>
      </w:pPr>
      <w:r>
        <w:t>从事前款规定的作业前</w:t>
      </w:r>
      <w:r>
        <w:rPr>
          <w:rFonts w:hint="eastAsia" w:ascii="MS UI Gothic" w:eastAsia="MS UI Gothic"/>
          <w:w w:val="80"/>
        </w:rPr>
        <w:t xml:space="preserve">ꎬ </w:t>
      </w:r>
      <w:r>
        <w:t>作业单位应当提出书面申请</w:t>
      </w:r>
      <w:r>
        <w:rPr>
          <w:rFonts w:hint="eastAsia" w:ascii="MS UI Gothic" w:eastAsia="MS UI Gothic"/>
          <w:w w:val="80"/>
        </w:rPr>
        <w:t xml:space="preserve">ꎬ </w:t>
      </w:r>
      <w:r>
        <w:t>说明作业的性质</w:t>
      </w:r>
      <w:r>
        <w:rPr>
          <w:rFonts w:hint="eastAsia" w:ascii="MS UI Gothic" w:eastAsia="MS UI Gothic"/>
          <w:w w:val="80"/>
        </w:rPr>
        <w:t xml:space="preserve">、 </w:t>
      </w:r>
      <w:r>
        <w:t>地点</w:t>
      </w:r>
      <w:r>
        <w:rPr>
          <w:rFonts w:hint="eastAsia" w:ascii="MS UI Gothic" w:eastAsia="MS UI Gothic"/>
          <w:w w:val="80"/>
        </w:rPr>
        <w:t xml:space="preserve">、 </w:t>
      </w:r>
      <w:r>
        <w:t>期限及采取的安全措施等</w:t>
      </w:r>
      <w:r>
        <w:rPr>
          <w:rFonts w:hint="eastAsia" w:ascii="MS UI Gothic" w:eastAsia="MS UI Gothic"/>
          <w:w w:val="80"/>
        </w:rPr>
        <w:t xml:space="preserve">ꎬ </w:t>
      </w:r>
      <w:r>
        <w:t>经设施负责人批准签发作业通知单后</w:t>
      </w:r>
      <w:r>
        <w:rPr>
          <w:rFonts w:hint="eastAsia" w:ascii="MS UI Gothic" w:eastAsia="MS UI Gothic"/>
          <w:w w:val="80"/>
        </w:rPr>
        <w:t xml:space="preserve">ꎬ </w:t>
      </w:r>
      <w:r>
        <w:t>方可进行作业</w:t>
      </w:r>
      <w:r>
        <w:rPr>
          <w:rFonts w:hint="eastAsia" w:ascii="MS UI Gothic" w:eastAsia="MS UI Gothic"/>
          <w:w w:val="80"/>
        </w:rPr>
        <w:t xml:space="preserve">ꎮ </w:t>
      </w:r>
      <w:r>
        <w:t>作业通知单应当包含作业内容</w:t>
      </w:r>
      <w:r>
        <w:rPr>
          <w:rFonts w:hint="eastAsia" w:ascii="MS UI Gothic" w:eastAsia="MS UI Gothic"/>
          <w:w w:val="80"/>
        </w:rPr>
        <w:t xml:space="preserve">、 </w:t>
      </w:r>
      <w:r>
        <w:t>有关检测报告</w:t>
      </w:r>
      <w:r>
        <w:rPr>
          <w:rFonts w:hint="eastAsia" w:ascii="MS UI Gothic" w:eastAsia="MS UI Gothic"/>
          <w:w w:val="80"/>
        </w:rPr>
        <w:t xml:space="preserve">、 </w:t>
      </w:r>
      <w:r>
        <w:t>作业要求</w:t>
      </w:r>
      <w:r>
        <w:rPr>
          <w:rFonts w:hint="eastAsia" w:ascii="MS UI Gothic" w:eastAsia="MS UI Gothic"/>
          <w:w w:val="80"/>
        </w:rPr>
        <w:t xml:space="preserve">、 </w:t>
      </w:r>
      <w:r>
        <w:t>安全程序</w:t>
      </w:r>
      <w:r>
        <w:rPr>
          <w:rFonts w:hint="eastAsia" w:ascii="MS UI Gothic" w:eastAsia="MS UI Gothic"/>
          <w:w w:val="80"/>
        </w:rPr>
        <w:t xml:space="preserve">、 </w:t>
      </w:r>
      <w:r>
        <w:t>个体防护用品</w:t>
      </w:r>
      <w:r>
        <w:rPr>
          <w:rFonts w:hint="eastAsia" w:ascii="MS UI Gothic" w:eastAsia="MS UI Gothic"/>
          <w:w w:val="80"/>
        </w:rPr>
        <w:t xml:space="preserve">、 </w:t>
      </w:r>
      <w:r>
        <w:t>安全设备和作业通知单有效期限等内容</w:t>
      </w:r>
      <w:r>
        <w:rPr>
          <w:rFonts w:hint="eastAsia" w:ascii="MS UI Gothic" w:eastAsia="MS UI Gothic"/>
          <w:w w:val="80"/>
        </w:rPr>
        <w:t>ꎮ</w:t>
      </w:r>
    </w:p>
    <w:p>
      <w:pPr>
        <w:pStyle w:val="6"/>
        <w:spacing w:line="295" w:lineRule="auto"/>
        <w:ind w:left="381" w:right="126"/>
        <w:rPr>
          <w:rFonts w:hint="eastAsia" w:ascii="MS UI Gothic" w:eastAsia="MS UI Gothic"/>
        </w:rPr>
      </w:pPr>
      <w:r>
        <w:t>作业单位接到作业通知单后</w:t>
      </w:r>
      <w:r>
        <w:rPr>
          <w:rFonts w:hint="eastAsia" w:ascii="MS UI Gothic" w:eastAsia="MS UI Gothic"/>
          <w:w w:val="80"/>
        </w:rPr>
        <w:t xml:space="preserve">ꎬ </w:t>
      </w:r>
      <w:r>
        <w:t>应当按通知单的要求采取有关措施</w:t>
      </w:r>
      <w:r>
        <w:rPr>
          <w:rFonts w:hint="eastAsia" w:ascii="MS UI Gothic" w:eastAsia="MS UI Gothic"/>
          <w:w w:val="80"/>
        </w:rPr>
        <w:t xml:space="preserve">ꎬ </w:t>
      </w:r>
      <w:r>
        <w:t>并制定详细的检查和作业程序</w:t>
      </w:r>
      <w:r>
        <w:rPr>
          <w:rFonts w:hint="eastAsia" w:ascii="MS UI Gothic" w:eastAsia="MS UI Gothic"/>
          <w:w w:val="80"/>
        </w:rPr>
        <w:t>ꎮ</w:t>
      </w:r>
    </w:p>
    <w:p>
      <w:pPr>
        <w:pStyle w:val="6"/>
        <w:spacing w:line="254" w:lineRule="exact"/>
        <w:ind w:left="800" w:firstLine="0"/>
      </w:pPr>
      <w:r>
        <w:t>作业期间</w:t>
      </w:r>
      <w:r>
        <w:rPr>
          <w:rFonts w:hint="eastAsia" w:ascii="MS UI Gothic" w:eastAsia="MS UI Gothic"/>
          <w:w w:val="80"/>
        </w:rPr>
        <w:t xml:space="preserve">ꎬ </w:t>
      </w:r>
      <w:r>
        <w:t>如果施工条件发生重大变</w:t>
      </w:r>
    </w:p>
    <w:p>
      <w:pPr>
        <w:spacing w:after="0" w:line="254" w:lineRule="exac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１８６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86" o:spid="_x0000_s1586" o:spt="203" style="height:2.15pt;width:398.25pt;" coordsize="7965,43">
            <o:lock v:ext="edit"/>
            <v:line id="_x0000_s1587" o:spid="_x0000_s1587" o:spt="20" style="position:absolute;left:0;top:39;height:0;width:7965;" stroked="t" coordsize="21600,21600">
              <v:path arrowok="t"/>
              <v:fill focussize="0,0"/>
              <v:stroke weight="0.388031496062992pt" color="#231F20"/>
              <v:imagedata o:title=""/>
              <o:lock v:ext="edit"/>
            </v:line>
            <v:line id="_x0000_s1588" o:spid="_x0000_s158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化的</w:t>
      </w:r>
      <w:r>
        <w:rPr>
          <w:rFonts w:hint="eastAsia" w:ascii="MS UI Gothic" w:eastAsia="MS UI Gothic"/>
          <w:w w:val="80"/>
        </w:rPr>
        <w:t xml:space="preserve">ꎬ </w:t>
      </w:r>
      <w:r>
        <w:t>应当暂停施工并立即报告设施负责人</w:t>
      </w:r>
      <w:r>
        <w:rPr>
          <w:rFonts w:hint="eastAsia" w:ascii="MS UI Gothic" w:eastAsia="MS UI Gothic"/>
          <w:w w:val="80"/>
        </w:rPr>
        <w:t xml:space="preserve">ꎬ </w:t>
      </w:r>
      <w:r>
        <w:t>得到准予施工的指令后方可继续施工</w:t>
      </w:r>
      <w:r>
        <w:rPr>
          <w:rFonts w:hint="eastAsia" w:ascii="MS UI Gothic" w:eastAsia="MS UI Gothic"/>
          <w:w w:val="80"/>
        </w:rPr>
        <w:t>ꎮ</w:t>
      </w:r>
    </w:p>
    <w:p>
      <w:pPr>
        <w:pStyle w:val="6"/>
        <w:spacing w:line="295" w:lineRule="auto"/>
        <w:ind w:right="38"/>
      </w:pPr>
      <w:r>
        <w:t>作业完成后</w:t>
      </w:r>
      <w:r>
        <w:rPr>
          <w:rFonts w:hint="eastAsia" w:ascii="MS UI Gothic" w:eastAsia="MS UI Gothic"/>
          <w:w w:val="80"/>
        </w:rPr>
        <w:t xml:space="preserve">ꎬ </w:t>
      </w:r>
      <w:r>
        <w:t>作业负责人应当在作业通知单上填写完成时间</w:t>
      </w:r>
      <w:r>
        <w:rPr>
          <w:rFonts w:hint="eastAsia" w:ascii="MS UI Gothic" w:eastAsia="MS UI Gothic"/>
          <w:w w:val="80"/>
        </w:rPr>
        <w:t xml:space="preserve">、 </w:t>
      </w:r>
      <w:r>
        <w:t>工作质量和安全情况</w:t>
      </w:r>
      <w:r>
        <w:rPr>
          <w:rFonts w:hint="eastAsia" w:ascii="MS UI Gothic" w:eastAsia="MS UI Gothic"/>
          <w:w w:val="80"/>
        </w:rPr>
        <w:t xml:space="preserve">ꎬ </w:t>
      </w:r>
      <w:r>
        <w:t>并交付设施负责人保存</w:t>
      </w:r>
      <w:r>
        <w:rPr>
          <w:rFonts w:hint="eastAsia" w:ascii="MS UI Gothic" w:eastAsia="MS UI Gothic"/>
          <w:w w:val="80"/>
        </w:rPr>
        <w:t xml:space="preserve">ꎮ </w:t>
      </w:r>
      <w:r>
        <w:t>作业通知</w:t>
      </w:r>
    </w:p>
    <w:p>
      <w:pPr>
        <w:pStyle w:val="6"/>
        <w:spacing w:line="238" w:lineRule="exact"/>
        <w:ind w:firstLine="0"/>
        <w:rPr>
          <w:rFonts w:hint="eastAsia" w:ascii="MS UI Gothic" w:eastAsia="MS UI Gothic"/>
        </w:rPr>
      </w:pPr>
      <w:r>
        <w:t xml:space="preserve">单的保存期限至少 </w:t>
      </w:r>
      <w:r>
        <w:rPr>
          <w:rFonts w:hint="eastAsia" w:ascii="MS UI Gothic" w:eastAsia="MS UI Gothic"/>
        </w:rPr>
        <w:t xml:space="preserve">１ </w:t>
      </w:r>
      <w:r>
        <w:t>年</w:t>
      </w:r>
      <w:r>
        <w:rPr>
          <w:rFonts w:hint="eastAsia" w:ascii="MS UI Gothic" w:eastAsia="MS UI Gothic"/>
          <w:w w:val="80"/>
        </w:rPr>
        <w:t>ꎮ</w:t>
      </w:r>
    </w:p>
    <w:p>
      <w:pPr>
        <w:pStyle w:val="6"/>
        <w:spacing w:before="123" w:line="295" w:lineRule="auto"/>
        <w:ind w:right="442" w:firstLine="0"/>
        <w:rPr>
          <w:rFonts w:hint="eastAsia" w:ascii="MS UI Gothic" w:eastAsia="MS UI Gothic"/>
        </w:rPr>
      </w:pPr>
      <w:r>
        <w:br w:type="column"/>
      </w:r>
      <w:r>
        <w:t>耐火救生艇</w:t>
      </w:r>
      <w:r>
        <w:rPr>
          <w:rFonts w:hint="eastAsia" w:ascii="MS UI Gothic" w:eastAsia="MS UI Gothic"/>
          <w:w w:val="80"/>
        </w:rPr>
        <w:t xml:space="preserve">ꎮ </w:t>
      </w:r>
      <w:r>
        <w:t>在设施建造</w:t>
      </w:r>
      <w:r>
        <w:rPr>
          <w:rFonts w:hint="eastAsia" w:ascii="MS UI Gothic" w:eastAsia="MS UI Gothic"/>
        </w:rPr>
        <w:t xml:space="preserve">、 </w:t>
      </w:r>
      <w:r>
        <w:t>安装或者停产检修期间</w:t>
      </w:r>
      <w:r>
        <w:rPr>
          <w:rFonts w:hint="eastAsia" w:ascii="MS UI Gothic" w:eastAsia="MS UI Gothic"/>
          <w:w w:val="80"/>
        </w:rPr>
        <w:t xml:space="preserve">ꎬ </w:t>
      </w:r>
      <w:r>
        <w:t>通过风险分析</w:t>
      </w:r>
      <w:r>
        <w:rPr>
          <w:rFonts w:hint="eastAsia" w:ascii="MS UI Gothic" w:eastAsia="MS UI Gothic"/>
          <w:w w:val="80"/>
        </w:rPr>
        <w:t xml:space="preserve">ꎬ </w:t>
      </w:r>
      <w:r>
        <w:t>可以用救生筏代替救生艇</w:t>
      </w:r>
      <w:r>
        <w:rPr>
          <w:rFonts w:hint="eastAsia" w:ascii="MS UI Gothic" w:eastAsia="MS UI Gothic"/>
          <w:w w:val="80"/>
        </w:rPr>
        <w:t>ꎻ</w:t>
      </w:r>
    </w:p>
    <w:p>
      <w:pPr>
        <w:pStyle w:val="6"/>
        <w:spacing w:line="295" w:lineRule="auto"/>
        <w:ind w:right="442"/>
      </w:pPr>
      <w:r>
        <w:rPr>
          <w:rFonts w:hint="eastAsia" w:ascii="MS UI Gothic" w:eastAsia="MS UI Gothic"/>
          <w:w w:val="145"/>
        </w:rPr>
        <w:t xml:space="preserve">( </w:t>
      </w:r>
      <w:r>
        <w:rPr>
          <w:w w:val="105"/>
        </w:rPr>
        <w:t>二</w:t>
      </w:r>
      <w:r>
        <w:rPr>
          <w:rFonts w:hint="eastAsia" w:ascii="MS UI Gothic" w:eastAsia="MS UI Gothic"/>
          <w:w w:val="145"/>
        </w:rPr>
        <w:t xml:space="preserve">) </w:t>
      </w:r>
      <w:r>
        <w:rPr>
          <w:w w:val="105"/>
        </w:rPr>
        <w:t>气胀式救生筏能够容纳设施上</w:t>
      </w:r>
      <w:r>
        <w:t>的总人数</w:t>
      </w:r>
      <w:r>
        <w:rPr>
          <w:rFonts w:hint="eastAsia" w:ascii="MS UI Gothic" w:eastAsia="MS UI Gothic"/>
          <w:w w:val="85"/>
        </w:rPr>
        <w:t xml:space="preserve">ꎬ </w:t>
      </w:r>
      <w:r>
        <w:t>其放置点应满足距水面高度的</w:t>
      </w:r>
      <w:r>
        <w:rPr>
          <w:w w:val="105"/>
        </w:rPr>
        <w:t>要求</w:t>
      </w:r>
      <w:r>
        <w:rPr>
          <w:rFonts w:hint="eastAsia" w:ascii="MS UI Gothic" w:eastAsia="MS UI Gothic"/>
          <w:w w:val="85"/>
        </w:rPr>
        <w:t xml:space="preserve">ꎮ </w:t>
      </w:r>
      <w:r>
        <w:rPr>
          <w:w w:val="105"/>
        </w:rPr>
        <w:t xml:space="preserve">无人驻守设施可以按定员 </w:t>
      </w:r>
      <w:r>
        <w:rPr>
          <w:rFonts w:hint="eastAsia" w:ascii="MS UI Gothic" w:eastAsia="MS UI Gothic"/>
          <w:w w:val="85"/>
        </w:rPr>
        <w:t xml:space="preserve">１２ </w:t>
      </w:r>
      <w:r>
        <w:rPr>
          <w:w w:val="105"/>
        </w:rPr>
        <w:t>人</w:t>
      </w:r>
    </w:p>
    <w:p>
      <w:pPr>
        <w:pStyle w:val="6"/>
        <w:spacing w:line="238" w:lineRule="exact"/>
        <w:ind w:firstLine="0"/>
        <w:jc w:val="left"/>
        <w:rPr>
          <w:rFonts w:hint="eastAsia" w:ascii="MS UI Gothic" w:eastAsia="MS UI Gothic"/>
        </w:rPr>
      </w:pPr>
      <w:r>
        <w:t>考虑</w:t>
      </w:r>
      <w:r>
        <w:rPr>
          <w:rFonts w:hint="eastAsia" w:ascii="MS UI Gothic" w:eastAsia="MS UI Gothic"/>
          <w:w w:val="80"/>
        </w:rPr>
        <w:t>ꎻ</w:t>
      </w:r>
    </w:p>
    <w:p>
      <w:pPr>
        <w:spacing w:after="0" w:line="238" w:lineRule="exact"/>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tabs>
          <w:tab w:val="left" w:pos="1644"/>
        </w:tabs>
        <w:spacing w:before="72"/>
        <w:ind w:left="543" w:firstLine="0"/>
        <w:jc w:val="left"/>
      </w:pPr>
      <w:r>
        <w:rPr>
          <w:spacing w:val="3"/>
          <w:w w:val="105"/>
        </w:rPr>
        <w:t>第二</w:t>
      </w:r>
      <w:r>
        <w:rPr>
          <w:spacing w:val="15"/>
          <w:w w:val="105"/>
        </w:rPr>
        <w:t>十</w:t>
      </w:r>
      <w:r>
        <w:rPr>
          <w:w w:val="105"/>
        </w:rPr>
        <w:t>条</w:t>
      </w:r>
      <w:r>
        <w:rPr>
          <w:w w:val="105"/>
        </w:rPr>
        <w:tab/>
      </w:r>
      <w:r>
        <w:rPr>
          <w:spacing w:val="21"/>
        </w:rPr>
        <w:t>设施上所有通往救生</w:t>
      </w:r>
      <w:r>
        <w:t>艇</w:t>
      </w:r>
    </w:p>
    <w:p>
      <w:pPr>
        <w:pStyle w:val="6"/>
        <w:spacing w:before="58" w:line="240" w:lineRule="exact"/>
        <w:ind w:firstLine="0"/>
        <w:jc w:val="left"/>
      </w:pPr>
      <w:r>
        <w:rPr>
          <w:rFonts w:hint="eastAsia" w:ascii="MS UI Gothic" w:eastAsia="MS UI Gothic"/>
          <w:spacing w:val="-23"/>
          <w:w w:val="105"/>
        </w:rPr>
        <w:t xml:space="preserve">( </w:t>
      </w:r>
      <w:r>
        <w:rPr>
          <w:spacing w:val="3"/>
          <w:w w:val="105"/>
        </w:rPr>
        <w:t>筏</w:t>
      </w:r>
      <w:r>
        <w:rPr>
          <w:rFonts w:hint="eastAsia" w:ascii="MS UI Gothic" w:eastAsia="MS UI Gothic"/>
          <w:spacing w:val="21"/>
          <w:w w:val="105"/>
        </w:rPr>
        <w:t>)</w:t>
      </w:r>
      <w:r>
        <w:rPr>
          <w:rFonts w:hint="eastAsia" w:ascii="MS UI Gothic" w:eastAsia="MS UI Gothic"/>
          <w:spacing w:val="17"/>
        </w:rPr>
        <w:t xml:space="preserve">、 </w:t>
      </w:r>
      <w:r>
        <w:rPr>
          <w:spacing w:val="13"/>
          <w:w w:val="105"/>
        </w:rPr>
        <w:t>直升机平台的应急撤离通道和通</w:t>
      </w:r>
    </w:p>
    <w:p>
      <w:pPr>
        <w:pStyle w:val="6"/>
        <w:spacing w:before="18" w:line="310" w:lineRule="atLeast"/>
        <w:ind w:right="442"/>
        <w:jc w:val="left"/>
      </w:pPr>
      <w:r>
        <w:br w:type="column"/>
      </w: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 xml:space="preserve">至少配备并合理分布 </w:t>
      </w:r>
      <w:r>
        <w:rPr>
          <w:rFonts w:hint="eastAsia" w:ascii="MS UI Gothic" w:eastAsia="MS UI Gothic"/>
          <w:w w:val="80"/>
        </w:rPr>
        <w:t xml:space="preserve">８ </w:t>
      </w:r>
      <w:r>
        <w:rPr>
          <w:w w:val="105"/>
        </w:rPr>
        <w:t>个救生圈</w:t>
      </w:r>
      <w:r>
        <w:rPr>
          <w:rFonts w:hint="eastAsia" w:ascii="MS UI Gothic" w:eastAsia="MS UI Gothic"/>
          <w:w w:val="80"/>
        </w:rPr>
        <w:t xml:space="preserve">ꎬ </w:t>
      </w:r>
      <w:r>
        <w:rPr>
          <w:w w:val="105"/>
        </w:rPr>
        <w:t xml:space="preserve">其中 </w:t>
      </w:r>
      <w:r>
        <w:rPr>
          <w:rFonts w:hint="eastAsia" w:ascii="MS UI Gothic" w:eastAsia="MS UI Gothic"/>
          <w:w w:val="80"/>
        </w:rPr>
        <w:t xml:space="preserve">２ </w:t>
      </w:r>
      <w:r>
        <w:rPr>
          <w:w w:val="105"/>
        </w:rPr>
        <w:t>个带自亮浮灯</w:t>
      </w:r>
      <w:r>
        <w:rPr>
          <w:rFonts w:hint="eastAsia" w:ascii="MS UI Gothic" w:eastAsia="MS UI Gothic"/>
          <w:w w:val="80"/>
        </w:rPr>
        <w:t xml:space="preserve">ꎬ ４ </w:t>
      </w:r>
      <w:r>
        <w:rPr>
          <w:w w:val="105"/>
        </w:rPr>
        <w:t>个带自亮浮</w:t>
      </w:r>
    </w:p>
    <w:p>
      <w:pPr>
        <w:spacing w:after="0" w:line="310" w:lineRule="atLeast"/>
        <w:jc w:val="left"/>
        <w:sectPr>
          <w:type w:val="continuous"/>
          <w:pgSz w:w="10500" w:h="14750"/>
          <w:pgMar w:top="1400" w:right="980" w:bottom="280" w:left="980" w:header="720" w:footer="720" w:gutter="0"/>
          <w:cols w:equalWidth="0" w:num="2">
            <w:col w:w="3934" w:space="258"/>
            <w:col w:w="4348"/>
          </w:cols>
        </w:sectPr>
      </w:pPr>
    </w:p>
    <w:p>
      <w:pPr>
        <w:pStyle w:val="6"/>
        <w:spacing w:before="63" w:line="295" w:lineRule="auto"/>
        <w:ind w:right="39" w:firstLine="0"/>
        <w:jc w:val="left"/>
        <w:rPr>
          <w:rFonts w:hint="eastAsia" w:ascii="MS UI Gothic" w:eastAsia="MS UI Gothic"/>
        </w:rPr>
      </w:pPr>
      <w:r>
        <w:t>往消防设备的通道应当设置明显标志</w:t>
      </w:r>
      <w:r>
        <w:rPr>
          <w:rFonts w:hint="eastAsia" w:ascii="MS UI Gothic" w:eastAsia="MS UI Gothic"/>
          <w:w w:val="80"/>
        </w:rPr>
        <w:t xml:space="preserve">ꎬ </w:t>
      </w:r>
      <w:r>
        <w:t>并保持畅通</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第二十一条 设施上的各种设备应当</w:t>
      </w:r>
      <w:r>
        <w:rPr>
          <w:w w:val="110"/>
        </w:rPr>
        <w:t>符合下列规定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符合国家有关法律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w:t>
      </w:r>
      <w:r>
        <w:rPr>
          <w:rFonts w:hint="eastAsia" w:ascii="MS UI Gothic" w:eastAsia="MS UI Gothic"/>
          <w:w w:val="80"/>
        </w:rPr>
        <w:t xml:space="preserve">、 </w:t>
      </w:r>
      <w:r>
        <w:rPr>
          <w:w w:val="105"/>
        </w:rPr>
        <w:t>标准的安全要求</w:t>
      </w:r>
      <w:r>
        <w:rPr>
          <w:rFonts w:hint="eastAsia" w:ascii="MS UI Gothic" w:eastAsia="MS UI Gothic"/>
          <w:w w:val="80"/>
        </w:rPr>
        <w:t xml:space="preserve">ꎬ </w:t>
      </w:r>
      <w:r>
        <w:rPr>
          <w:w w:val="105"/>
        </w:rPr>
        <w:t>有出厂合格证书或者检验合格证书</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对裸露且危及人身安全的运转</w:t>
      </w:r>
      <w:r>
        <w:t>部分要安装防护罩或者其他安全保护</w:t>
      </w:r>
      <w:r>
        <w:rPr>
          <w:w w:val="105"/>
        </w:rPr>
        <w:t>装置</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建立设备运转记录</w:t>
      </w:r>
      <w:r>
        <w:rPr>
          <w:rFonts w:hint="eastAsia" w:ascii="MS UI Gothic" w:eastAsia="MS UI Gothic"/>
          <w:w w:val="80"/>
        </w:rPr>
        <w:t xml:space="preserve">、  </w:t>
      </w:r>
      <w:r>
        <w:rPr>
          <w:w w:val="105"/>
        </w:rPr>
        <w:t>设备缺陷和故障记录报告制度</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制定设备安全操作规程和定期维护</w:t>
      </w:r>
      <w:r>
        <w:rPr>
          <w:rFonts w:hint="eastAsia" w:ascii="MS UI Gothic" w:eastAsia="MS UI Gothic"/>
          <w:w w:val="80"/>
        </w:rPr>
        <w:t xml:space="preserve">、 </w:t>
      </w:r>
      <w:r>
        <w:rPr>
          <w:w w:val="105"/>
        </w:rPr>
        <w:t>保养</w:t>
      </w:r>
      <w:r>
        <w:rPr>
          <w:rFonts w:hint="eastAsia" w:ascii="MS UI Gothic" w:eastAsia="MS UI Gothic"/>
          <w:w w:val="80"/>
        </w:rPr>
        <w:t xml:space="preserve">、 </w:t>
      </w:r>
      <w:r>
        <w:rPr>
          <w:w w:val="105"/>
        </w:rPr>
        <w:t>检验制度</w:t>
      </w:r>
      <w:r>
        <w:rPr>
          <w:rFonts w:hint="eastAsia" w:ascii="MS UI Gothic" w:eastAsia="MS UI Gothic"/>
          <w:w w:val="80"/>
        </w:rPr>
        <w:t xml:space="preserve">ꎬ </w:t>
      </w:r>
      <w:r>
        <w:rPr>
          <w:w w:val="105"/>
        </w:rPr>
        <w:t>制定设备的定人定岗管理制度</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t>五</w:t>
      </w:r>
      <w:r>
        <w:rPr>
          <w:rFonts w:hint="eastAsia" w:ascii="MS UI Gothic" w:eastAsia="MS UI Gothic"/>
          <w:w w:val="150"/>
        </w:rPr>
        <w:t xml:space="preserve">) </w:t>
      </w:r>
      <w:r>
        <w:t>增加</w:t>
      </w:r>
      <w:r>
        <w:rPr>
          <w:rFonts w:hint="eastAsia" w:ascii="MS UI Gothic" w:eastAsia="MS UI Gothic"/>
          <w:w w:val="80"/>
        </w:rPr>
        <w:t xml:space="preserve">、 </w:t>
      </w:r>
      <w:r>
        <w:t>拆除重要设备设施</w:t>
      </w:r>
      <w:r>
        <w:rPr>
          <w:rFonts w:hint="eastAsia" w:ascii="MS UI Gothic" w:eastAsia="MS UI Gothic"/>
          <w:w w:val="80"/>
        </w:rPr>
        <w:t xml:space="preserve">ꎬ </w:t>
      </w:r>
      <w:r>
        <w:t>或者改变其性能前</w:t>
      </w:r>
      <w:r>
        <w:rPr>
          <w:rFonts w:hint="eastAsia" w:ascii="MS UI Gothic" w:eastAsia="MS UI Gothic"/>
          <w:w w:val="80"/>
        </w:rPr>
        <w:t xml:space="preserve">ꎬ </w:t>
      </w:r>
      <w:r>
        <w:t>进行风险分析</w:t>
      </w:r>
      <w:r>
        <w:rPr>
          <w:rFonts w:hint="eastAsia" w:ascii="MS UI Gothic" w:eastAsia="MS UI Gothic"/>
          <w:w w:val="80"/>
        </w:rPr>
        <w:t xml:space="preserve">ꎮ </w:t>
      </w:r>
      <w:r>
        <w:t>属于改建</w:t>
      </w:r>
      <w:r>
        <w:rPr>
          <w:rFonts w:hint="eastAsia" w:ascii="MS UI Gothic" w:eastAsia="MS UI Gothic"/>
          <w:w w:val="80"/>
        </w:rPr>
        <w:t xml:space="preserve">、 </w:t>
      </w:r>
      <w:r>
        <w:t>扩建项目的</w:t>
      </w:r>
      <w:r>
        <w:rPr>
          <w:rFonts w:hint="eastAsia" w:ascii="MS UI Gothic" w:eastAsia="MS UI Gothic"/>
          <w:w w:val="80"/>
        </w:rPr>
        <w:t xml:space="preserve">ꎬ </w:t>
      </w:r>
      <w:r>
        <w:t>按照有关规定向政府有关部门办理审批手续</w:t>
      </w:r>
      <w:r>
        <w:rPr>
          <w:rFonts w:hint="eastAsia" w:ascii="MS UI Gothic" w:eastAsia="MS UI Gothic"/>
          <w:w w:val="80"/>
        </w:rPr>
        <w:t>ꎮ</w:t>
      </w:r>
    </w:p>
    <w:p>
      <w:pPr>
        <w:pStyle w:val="6"/>
        <w:spacing w:line="295" w:lineRule="auto"/>
        <w:ind w:right="39"/>
        <w:rPr>
          <w:rFonts w:hint="eastAsia" w:ascii="MS UI Gothic" w:hAnsi="MS UI Gothic" w:eastAsia="MS UI Gothic"/>
        </w:rPr>
      </w:pPr>
      <w:r>
        <w:t>第二十二条 设施配备的救生艇</w:t>
      </w:r>
      <w:r>
        <w:rPr>
          <w:rFonts w:hint="eastAsia" w:ascii="MS UI Gothic" w:hAnsi="MS UI Gothic" w:eastAsia="MS UI Gothic"/>
          <w:w w:val="80"/>
        </w:rPr>
        <w:t xml:space="preserve">、 </w:t>
      </w:r>
      <w:r>
        <w:t>救助艇</w:t>
      </w:r>
      <w:r>
        <w:rPr>
          <w:rFonts w:hint="eastAsia" w:ascii="MS UI Gothic" w:hAnsi="MS UI Gothic" w:eastAsia="MS UI Gothic"/>
          <w:w w:val="80"/>
        </w:rPr>
        <w:t xml:space="preserve">、 </w:t>
      </w:r>
      <w:r>
        <w:t>救生筏</w:t>
      </w:r>
      <w:r>
        <w:rPr>
          <w:rFonts w:hint="eastAsia" w:ascii="MS UI Gothic" w:hAnsi="MS UI Gothic" w:eastAsia="MS UI Gothic"/>
          <w:w w:val="80"/>
        </w:rPr>
        <w:t xml:space="preserve">、 </w:t>
      </w:r>
      <w:r>
        <w:t>救生圈</w:t>
      </w:r>
      <w:r>
        <w:rPr>
          <w:rFonts w:hint="eastAsia" w:ascii="MS UI Gothic" w:hAnsi="MS UI Gothic" w:eastAsia="MS UI Gothic"/>
          <w:w w:val="80"/>
        </w:rPr>
        <w:t xml:space="preserve">、 </w:t>
      </w:r>
      <w:r>
        <w:t>救生衣</w:t>
      </w:r>
      <w:r>
        <w:rPr>
          <w:rFonts w:hint="eastAsia" w:ascii="MS UI Gothic" w:hAnsi="MS UI Gothic" w:eastAsia="MS UI Gothic"/>
          <w:w w:val="80"/>
        </w:rPr>
        <w:t xml:space="preserve">、  </w:t>
      </w:r>
      <w:r>
        <w:t>保温救生服及属具等救生设备</w:t>
      </w:r>
      <w:r>
        <w:rPr>
          <w:rFonts w:hint="eastAsia" w:ascii="MS UI Gothic" w:hAnsi="MS UI Gothic" w:eastAsia="MS UI Gothic"/>
          <w:w w:val="80"/>
        </w:rPr>
        <w:t xml:space="preserve">ꎬ </w:t>
      </w:r>
      <w:r>
        <w:t xml:space="preserve">应当符合 </w:t>
      </w:r>
      <w:r>
        <w:rPr>
          <w:rFonts w:hint="eastAsia" w:ascii="MS UI Gothic" w:hAnsi="MS UI Gothic" w:eastAsia="MS UI Gothic"/>
          <w:w w:val="80"/>
        </w:rPr>
        <w:t xml:space="preserve">« </w:t>
      </w:r>
      <w:r>
        <w:t>国际海上人命安全公约</w:t>
      </w:r>
      <w:r>
        <w:rPr>
          <w:rFonts w:hint="eastAsia" w:ascii="MS UI Gothic" w:hAnsi="MS UI Gothic" w:eastAsia="MS UI Gothic"/>
          <w:w w:val="80"/>
        </w:rPr>
        <w:t xml:space="preserve">» </w:t>
      </w:r>
      <w:r>
        <w:t>的规定</w:t>
      </w:r>
      <w:r>
        <w:rPr>
          <w:rFonts w:hint="eastAsia" w:ascii="MS UI Gothic" w:hAnsi="MS UI Gothic" w:eastAsia="MS UI Gothic"/>
          <w:w w:val="80"/>
        </w:rPr>
        <w:t xml:space="preserve">ꎬ </w:t>
      </w:r>
      <w:r>
        <w:t>并经海油安办认可的发证检验机构检验合格</w:t>
      </w:r>
      <w:r>
        <w:rPr>
          <w:rFonts w:hint="eastAsia" w:ascii="MS UI Gothic" w:hAnsi="MS UI Gothic" w:eastAsia="MS UI Gothic"/>
          <w:w w:val="80"/>
        </w:rPr>
        <w:t>ꎮ</w:t>
      </w:r>
    </w:p>
    <w:p>
      <w:pPr>
        <w:pStyle w:val="6"/>
        <w:spacing w:line="295" w:lineRule="auto"/>
        <w:ind w:right="39"/>
        <w:jc w:val="left"/>
        <w:rPr>
          <w:rFonts w:hint="eastAsia" w:ascii="MS UI Gothic" w:eastAsia="MS UI Gothic"/>
        </w:rPr>
      </w:pPr>
      <w:r>
        <w:t>海上石油设施配备救生设备的数量应</w:t>
      </w:r>
      <w:r>
        <w:rPr>
          <w:w w:val="110"/>
        </w:rPr>
        <w:t>当满足下列要求</w:t>
      </w:r>
      <w:r>
        <w:rPr>
          <w:rFonts w:hint="eastAsia" w:ascii="MS UI Gothic" w:eastAsia="MS UI Gothic"/>
          <w:w w:val="235"/>
        </w:rPr>
        <w:t>:</w:t>
      </w:r>
    </w:p>
    <w:p>
      <w:pPr>
        <w:pStyle w:val="6"/>
        <w:spacing w:line="295" w:lineRule="auto"/>
        <w:ind w:right="38"/>
      </w:pPr>
      <w:r>
        <w:rPr>
          <w:rFonts w:hint="eastAsia" w:ascii="MS UI Gothic" w:eastAsia="MS UI Gothic"/>
          <w:w w:val="140"/>
        </w:rPr>
        <w:t xml:space="preserve">( </w:t>
      </w:r>
      <w:r>
        <w:rPr>
          <w:w w:val="105"/>
        </w:rPr>
        <w:t>一</w:t>
      </w:r>
      <w:r>
        <w:rPr>
          <w:rFonts w:hint="eastAsia" w:ascii="MS UI Gothic" w:eastAsia="MS UI Gothic"/>
          <w:w w:val="140"/>
        </w:rPr>
        <w:t xml:space="preserve">) </w:t>
      </w:r>
      <w:r>
        <w:rPr>
          <w:w w:val="105"/>
        </w:rPr>
        <w:t>配备的刚性全封闭机动耐火救</w:t>
      </w:r>
      <w:r>
        <w:t>生艇能够容纳自升式和固定式设施上的总</w:t>
      </w:r>
      <w:r>
        <w:rPr>
          <w:w w:val="95"/>
        </w:rPr>
        <w:t>人数</w:t>
      </w:r>
      <w:r>
        <w:rPr>
          <w:rFonts w:hint="eastAsia" w:ascii="MS UI Gothic" w:eastAsia="MS UI Gothic"/>
          <w:w w:val="90"/>
        </w:rPr>
        <w:t xml:space="preserve">ꎬ </w:t>
      </w:r>
      <w:r>
        <w:rPr>
          <w:w w:val="95"/>
        </w:rPr>
        <w:t xml:space="preserve">或者浮式设施上总人数的 </w:t>
      </w:r>
      <w:r>
        <w:rPr>
          <w:rFonts w:hint="eastAsia" w:ascii="MS UI Gothic" w:eastAsia="MS UI Gothic"/>
          <w:w w:val="90"/>
        </w:rPr>
        <w:t>２００</w:t>
      </w:r>
      <w:r>
        <w:rPr>
          <w:w w:val="90"/>
        </w:rPr>
        <w:t xml:space="preserve">％ </w:t>
      </w:r>
      <w:r>
        <w:rPr>
          <w:rFonts w:hint="eastAsia" w:ascii="MS UI Gothic" w:eastAsia="MS UI Gothic"/>
          <w:w w:val="90"/>
        </w:rPr>
        <w:t>ꎮ</w:t>
      </w:r>
      <w:r>
        <w:t>无人驻守设施可以不配备刚性全封闭机动</w:t>
      </w:r>
    </w:p>
    <w:p>
      <w:pPr>
        <w:pStyle w:val="6"/>
        <w:spacing w:before="63" w:line="295" w:lineRule="auto"/>
        <w:ind w:left="130" w:right="440" w:firstLine="0"/>
        <w:rPr>
          <w:rFonts w:hint="eastAsia" w:ascii="MS UI Gothic" w:eastAsia="MS UI Gothic"/>
        </w:rPr>
      </w:pPr>
      <w:r>
        <w:br w:type="column"/>
      </w:r>
      <w:r>
        <w:t>灯和自发烟雾信号</w:t>
      </w:r>
      <w:r>
        <w:rPr>
          <w:rFonts w:hint="eastAsia" w:ascii="MS UI Gothic" w:eastAsia="MS UI Gothic"/>
          <w:w w:val="85"/>
        </w:rPr>
        <w:t xml:space="preserve">ꎮ </w:t>
      </w:r>
      <w:r>
        <w:t xml:space="preserve">每个带自亮浮灯和自发烟雾信号的救生圈配备 </w:t>
      </w:r>
      <w:r>
        <w:rPr>
          <w:rFonts w:hint="eastAsia" w:ascii="MS UI Gothic" w:eastAsia="MS UI Gothic"/>
          <w:w w:val="85"/>
        </w:rPr>
        <w:t xml:space="preserve">１ </w:t>
      </w:r>
      <w:r>
        <w:t>根可浮救生索</w:t>
      </w:r>
      <w:r>
        <w:rPr>
          <w:rFonts w:hint="eastAsia" w:ascii="MS UI Gothic" w:eastAsia="MS UI Gothic"/>
          <w:w w:val="85"/>
        </w:rPr>
        <w:t xml:space="preserve">ꎬ </w:t>
      </w:r>
      <w:r>
        <w:t xml:space="preserve">可浮救生索的长度为从救生圈的存放位置至最低天文潮位水面高度的 </w:t>
      </w:r>
      <w:r>
        <w:rPr>
          <w:rFonts w:hint="eastAsia" w:ascii="MS UI Gothic" w:eastAsia="MS UI Gothic"/>
          <w:w w:val="85"/>
        </w:rPr>
        <w:t xml:space="preserve">１ ５ </w:t>
      </w:r>
      <w:r>
        <w:t>倍</w:t>
      </w:r>
      <w:r>
        <w:rPr>
          <w:rFonts w:hint="eastAsia" w:ascii="MS UI Gothic" w:eastAsia="MS UI Gothic"/>
          <w:w w:val="85"/>
        </w:rPr>
        <w:t>ꎬ</w:t>
      </w:r>
      <w:r>
        <w:t xml:space="preserve">并至少长 </w:t>
      </w:r>
      <w:r>
        <w:rPr>
          <w:rFonts w:hint="eastAsia" w:ascii="MS UI Gothic" w:eastAsia="MS UI Gothic"/>
          <w:w w:val="85"/>
        </w:rPr>
        <w:t xml:space="preserve">３０ </w:t>
      </w:r>
      <w:r>
        <w:t>米</w:t>
      </w:r>
      <w:r>
        <w:rPr>
          <w:rFonts w:hint="eastAsia" w:ascii="MS UI Gothic" w:eastAsia="MS UI Gothic"/>
          <w:w w:val="85"/>
        </w:rPr>
        <w:t>ꎮ</w:t>
      </w:r>
    </w:p>
    <w:p>
      <w:pPr>
        <w:pStyle w:val="6"/>
        <w:spacing w:line="295" w:lineRule="auto"/>
        <w:ind w:right="440" w:firstLine="425"/>
        <w:rPr>
          <w:rFonts w:hint="eastAsia" w:ascii="MS UI Gothic" w:eastAsia="MS UI Gothic"/>
        </w:rPr>
      </w:pPr>
      <w:r>
        <w:rPr>
          <w:rFonts w:hint="eastAsia" w:ascii="MS UI Gothic" w:eastAsia="MS UI Gothic"/>
          <w:spacing w:val="-35"/>
          <w:w w:val="145"/>
        </w:rPr>
        <w:t xml:space="preserve">( </w:t>
      </w:r>
      <w:r>
        <w:rPr>
          <w:spacing w:val="3"/>
        </w:rPr>
        <w:t>四</w:t>
      </w:r>
      <w:r>
        <w:rPr>
          <w:rFonts w:hint="eastAsia" w:ascii="MS UI Gothic" w:eastAsia="MS UI Gothic"/>
          <w:spacing w:val="11"/>
          <w:w w:val="145"/>
        </w:rPr>
        <w:t xml:space="preserve">) </w:t>
      </w:r>
      <w:r>
        <w:rPr>
          <w:spacing w:val="-2"/>
        </w:rPr>
        <w:t xml:space="preserve">救生衣按总人数的 </w:t>
      </w:r>
      <w:r>
        <w:rPr>
          <w:rFonts w:hint="eastAsia" w:ascii="MS UI Gothic" w:eastAsia="MS UI Gothic"/>
          <w:w w:val="85"/>
        </w:rPr>
        <w:t>２１０</w:t>
      </w:r>
      <w:r>
        <w:rPr>
          <w:spacing w:val="-23"/>
          <w:w w:val="85"/>
        </w:rPr>
        <w:t xml:space="preserve">％ </w:t>
      </w:r>
      <w:r>
        <w:rPr>
          <w:spacing w:val="6"/>
        </w:rPr>
        <w:t>配备</w:t>
      </w:r>
      <w:r>
        <w:rPr>
          <w:rFonts w:hint="eastAsia" w:ascii="MS UI Gothic" w:eastAsia="MS UI Gothic"/>
          <w:w w:val="85"/>
        </w:rPr>
        <w:t>ꎬ</w:t>
      </w:r>
      <w:r>
        <w:rPr>
          <w:spacing w:val="3"/>
        </w:rPr>
        <w:t>其中</w:t>
      </w:r>
      <w:r>
        <w:rPr>
          <w:rFonts w:hint="eastAsia" w:ascii="MS UI Gothic" w:eastAsia="MS UI Gothic"/>
          <w:spacing w:val="-22"/>
          <w:w w:val="225"/>
        </w:rPr>
        <w:t xml:space="preserve">: </w:t>
      </w:r>
      <w:r>
        <w:rPr>
          <w:spacing w:val="-3"/>
        </w:rPr>
        <w:t xml:space="preserve">住室内配备 </w:t>
      </w:r>
      <w:r>
        <w:rPr>
          <w:rFonts w:hint="eastAsia" w:ascii="MS UI Gothic" w:eastAsia="MS UI Gothic"/>
          <w:w w:val="85"/>
        </w:rPr>
        <w:t>１００</w:t>
      </w:r>
      <w:r>
        <w:rPr>
          <w:spacing w:val="-27"/>
          <w:w w:val="85"/>
        </w:rPr>
        <w:t xml:space="preserve">％ </w:t>
      </w:r>
      <w:r>
        <w:rPr>
          <w:rFonts w:hint="eastAsia" w:ascii="MS UI Gothic" w:eastAsia="MS UI Gothic"/>
          <w:spacing w:val="23"/>
          <w:w w:val="85"/>
        </w:rPr>
        <w:t xml:space="preserve">ꎬ </w:t>
      </w:r>
      <w:r>
        <w:rPr>
          <w:spacing w:val="10"/>
        </w:rPr>
        <w:t>救生艇站配备</w:t>
      </w:r>
      <w:r>
        <w:rPr>
          <w:rFonts w:hint="eastAsia" w:ascii="MS UI Gothic" w:eastAsia="MS UI Gothic"/>
          <w:spacing w:val="10"/>
          <w:w w:val="85"/>
        </w:rPr>
        <w:t>１００</w:t>
      </w:r>
      <w:r>
        <w:rPr>
          <w:spacing w:val="-28"/>
          <w:w w:val="85"/>
        </w:rPr>
        <w:t xml:space="preserve">％ </w:t>
      </w:r>
      <w:r>
        <w:rPr>
          <w:rFonts w:hint="eastAsia" w:ascii="MS UI Gothic" w:eastAsia="MS UI Gothic"/>
          <w:spacing w:val="3"/>
          <w:w w:val="85"/>
        </w:rPr>
        <w:t xml:space="preserve">ꎬ </w:t>
      </w:r>
      <w:r>
        <w:rPr>
          <w:spacing w:val="2"/>
        </w:rPr>
        <w:t xml:space="preserve">平台甲板工作区内配备 </w:t>
      </w:r>
      <w:r>
        <w:rPr>
          <w:rFonts w:hint="eastAsia" w:ascii="MS UI Gothic" w:eastAsia="MS UI Gothic"/>
          <w:w w:val="85"/>
        </w:rPr>
        <w:t>１０</w:t>
      </w:r>
      <w:r>
        <w:rPr>
          <w:spacing w:val="-33"/>
          <w:w w:val="85"/>
        </w:rPr>
        <w:t xml:space="preserve">％ </w:t>
      </w:r>
      <w:r>
        <w:rPr>
          <w:rFonts w:hint="eastAsia" w:ascii="MS UI Gothic" w:eastAsia="MS UI Gothic"/>
          <w:spacing w:val="6"/>
          <w:w w:val="85"/>
        </w:rPr>
        <w:t xml:space="preserve">ꎬ </w:t>
      </w:r>
      <w:r>
        <w:t>并</w:t>
      </w:r>
      <w:r>
        <w:rPr>
          <w:spacing w:val="3"/>
        </w:rPr>
        <w:t>可以配备一定数量的救生背心</w:t>
      </w:r>
      <w:r>
        <w:rPr>
          <w:rFonts w:hint="eastAsia" w:ascii="MS UI Gothic" w:eastAsia="MS UI Gothic"/>
          <w:spacing w:val="12"/>
          <w:w w:val="85"/>
        </w:rPr>
        <w:t xml:space="preserve">ꎮ </w:t>
      </w:r>
      <w:r>
        <w:rPr>
          <w:spacing w:val="2"/>
        </w:rPr>
        <w:t>在寒冷海</w:t>
      </w:r>
      <w:r>
        <w:rPr>
          <w:spacing w:val="3"/>
        </w:rPr>
        <w:t>区</w:t>
      </w:r>
      <w:r>
        <w:rPr>
          <w:rFonts w:hint="eastAsia" w:ascii="MS UI Gothic" w:eastAsia="MS UI Gothic"/>
          <w:spacing w:val="10"/>
          <w:w w:val="85"/>
        </w:rPr>
        <w:t xml:space="preserve">ꎬ </w:t>
      </w:r>
      <w:r>
        <w:rPr>
          <w:spacing w:val="6"/>
        </w:rPr>
        <w:t>每位工作人员配备一套保温救生服</w:t>
      </w:r>
      <w:r>
        <w:rPr>
          <w:rFonts w:hint="eastAsia" w:ascii="MS UI Gothic" w:eastAsia="MS UI Gothic"/>
          <w:w w:val="85"/>
        </w:rPr>
        <w:t>ꎮ</w:t>
      </w:r>
      <w:r>
        <w:rPr>
          <w:spacing w:val="12"/>
        </w:rPr>
        <w:t>对于无人驻守平台</w:t>
      </w:r>
      <w:r>
        <w:rPr>
          <w:rFonts w:hint="eastAsia" w:ascii="MS UI Gothic" w:eastAsia="MS UI Gothic"/>
          <w:spacing w:val="15"/>
          <w:w w:val="85"/>
        </w:rPr>
        <w:t xml:space="preserve">ꎬ </w:t>
      </w:r>
      <w:r>
        <w:rPr>
          <w:spacing w:val="16"/>
        </w:rPr>
        <w:t>在工作人员登平台</w:t>
      </w:r>
      <w:r>
        <w:rPr>
          <w:spacing w:val="3"/>
        </w:rPr>
        <w:t>时</w:t>
      </w:r>
      <w:r>
        <w:rPr>
          <w:rFonts w:hint="eastAsia" w:ascii="MS UI Gothic" w:eastAsia="MS UI Gothic"/>
          <w:spacing w:val="16"/>
          <w:w w:val="85"/>
        </w:rPr>
        <w:t xml:space="preserve">ꎬ </w:t>
      </w:r>
      <w:r>
        <w:rPr>
          <w:spacing w:val="3"/>
        </w:rPr>
        <w:t>根据作业海域水温情况</w:t>
      </w:r>
      <w:r>
        <w:rPr>
          <w:rFonts w:hint="eastAsia" w:ascii="MS UI Gothic" w:eastAsia="MS UI Gothic"/>
          <w:spacing w:val="18"/>
          <w:w w:val="85"/>
        </w:rPr>
        <w:t xml:space="preserve">ꎬ </w:t>
      </w:r>
      <w:r>
        <w:rPr>
          <w:spacing w:val="-6"/>
        </w:rPr>
        <w:t xml:space="preserve">每人携带 </w:t>
      </w:r>
      <w:r>
        <w:rPr>
          <w:rFonts w:hint="eastAsia" w:ascii="MS UI Gothic" w:eastAsia="MS UI Gothic"/>
          <w:w w:val="85"/>
        </w:rPr>
        <w:t xml:space="preserve">１ </w:t>
      </w:r>
      <w:r>
        <w:rPr>
          <w:spacing w:val="3"/>
        </w:rPr>
        <w:t>件救生衣或者保温救生服</w:t>
      </w:r>
      <w:r>
        <w:rPr>
          <w:rFonts w:hint="eastAsia" w:ascii="MS UI Gothic" w:eastAsia="MS UI Gothic"/>
          <w:w w:val="85"/>
        </w:rPr>
        <w:t>ꎮ</w:t>
      </w:r>
    </w:p>
    <w:p>
      <w:pPr>
        <w:pStyle w:val="6"/>
        <w:spacing w:line="295" w:lineRule="auto"/>
        <w:ind w:left="130" w:right="442"/>
        <w:jc w:val="left"/>
        <w:rPr>
          <w:rFonts w:hint="eastAsia" w:ascii="MS UI Gothic" w:eastAsia="MS UI Gothic"/>
        </w:rPr>
      </w:pPr>
      <w:r>
        <w:t>滩海陆岸石油设施配备救生设备的数</w:t>
      </w:r>
      <w:r>
        <w:rPr>
          <w:w w:val="110"/>
        </w:rPr>
        <w:t>量应当满足下列要求</w:t>
      </w:r>
      <w:r>
        <w:rPr>
          <w:rFonts w:hint="eastAsia" w:ascii="MS UI Gothic" w:eastAsia="MS UI Gothic"/>
          <w:w w:val="235"/>
        </w:rPr>
        <w:t>:</w:t>
      </w:r>
    </w:p>
    <w:p>
      <w:pPr>
        <w:pStyle w:val="6"/>
        <w:spacing w:line="295" w:lineRule="auto"/>
        <w:ind w:left="130" w:right="440"/>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 xml:space="preserve">至少配备 </w:t>
      </w:r>
      <w:r>
        <w:rPr>
          <w:rFonts w:hint="eastAsia" w:ascii="MS UI Gothic" w:eastAsia="MS UI Gothic"/>
          <w:w w:val="80"/>
        </w:rPr>
        <w:t xml:space="preserve">４ </w:t>
      </w:r>
      <w:r>
        <w:t>个救生圈</w:t>
      </w:r>
      <w:r>
        <w:rPr>
          <w:rFonts w:hint="eastAsia" w:ascii="MS UI Gothic" w:eastAsia="MS UI Gothic"/>
          <w:w w:val="80"/>
        </w:rPr>
        <w:t xml:space="preserve">ꎬ </w:t>
      </w:r>
      <w:r>
        <w:t xml:space="preserve">每只救生圈上都拴有至少 </w:t>
      </w:r>
      <w:r>
        <w:rPr>
          <w:rFonts w:hint="eastAsia" w:ascii="MS UI Gothic" w:eastAsia="MS UI Gothic"/>
          <w:w w:val="80"/>
        </w:rPr>
        <w:t xml:space="preserve">３０ </w:t>
      </w:r>
      <w:r>
        <w:t>米长的可浮救生索</w:t>
      </w:r>
      <w:r>
        <w:rPr>
          <w:rFonts w:hint="eastAsia" w:ascii="MS UI Gothic" w:eastAsia="MS UI Gothic"/>
          <w:w w:val="80"/>
        </w:rPr>
        <w:t>ꎬ</w:t>
      </w:r>
    </w:p>
    <w:p>
      <w:pPr>
        <w:pStyle w:val="6"/>
        <w:spacing w:line="295" w:lineRule="auto"/>
        <w:ind w:left="130" w:right="442" w:firstLine="0"/>
        <w:rPr>
          <w:rFonts w:hint="eastAsia" w:ascii="MS UI Gothic" w:eastAsia="MS UI Gothic"/>
        </w:rPr>
      </w:pPr>
      <w:r>
        <w:rPr>
          <w:spacing w:val="-19"/>
        </w:rPr>
        <w:t xml:space="preserve">其中 </w:t>
      </w:r>
      <w:r>
        <w:rPr>
          <w:rFonts w:hint="eastAsia" w:ascii="MS UI Gothic" w:eastAsia="MS UI Gothic"/>
          <w:spacing w:val="-5"/>
        </w:rPr>
        <w:t xml:space="preserve">２ </w:t>
      </w:r>
      <w:r>
        <w:rPr>
          <w:spacing w:val="3"/>
        </w:rPr>
        <w:t>个带自亮浮灯</w:t>
      </w:r>
      <w:r>
        <w:rPr>
          <w:rFonts w:hint="eastAsia" w:ascii="MS UI Gothic" w:eastAsia="MS UI Gothic"/>
          <w:spacing w:val="21"/>
          <w:w w:val="80"/>
        </w:rPr>
        <w:t xml:space="preserve">ꎬ </w:t>
      </w:r>
      <w:r>
        <w:rPr>
          <w:rFonts w:hint="eastAsia" w:ascii="MS UI Gothic" w:eastAsia="MS UI Gothic"/>
          <w:spacing w:val="-2"/>
        </w:rPr>
        <w:t xml:space="preserve">２ </w:t>
      </w:r>
      <w:r>
        <w:rPr>
          <w:spacing w:val="7"/>
        </w:rPr>
        <w:t>个带自发烟雾信</w:t>
      </w:r>
      <w:r>
        <w:rPr>
          <w:spacing w:val="3"/>
        </w:rPr>
        <w:t>号和自亮浮灯</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4"/>
          <w:w w:val="105"/>
        </w:rPr>
        <w:t xml:space="preserve">每人至少配备 </w:t>
      </w:r>
      <w:r>
        <w:rPr>
          <w:rFonts w:hint="eastAsia" w:ascii="MS UI Gothic" w:eastAsia="MS UI Gothic"/>
          <w:spacing w:val="1"/>
          <w:w w:val="80"/>
        </w:rPr>
        <w:t xml:space="preserve">１ </w:t>
      </w:r>
      <w:r>
        <w:rPr>
          <w:spacing w:val="9"/>
          <w:w w:val="105"/>
        </w:rPr>
        <w:t>件救生衣</w:t>
      </w:r>
      <w:r>
        <w:rPr>
          <w:rFonts w:hint="eastAsia" w:ascii="MS UI Gothic" w:eastAsia="MS UI Gothic"/>
          <w:spacing w:val="19"/>
          <w:w w:val="80"/>
        </w:rPr>
        <w:t xml:space="preserve">ꎬ </w:t>
      </w:r>
      <w:r>
        <w:rPr>
          <w:w w:val="105"/>
        </w:rPr>
        <w:t>在</w:t>
      </w:r>
      <w:r>
        <w:rPr>
          <w:spacing w:val="2"/>
        </w:rPr>
        <w:t>工作场所配备一定数量的工作救生衣或者</w:t>
      </w:r>
      <w:r>
        <w:rPr>
          <w:spacing w:val="3"/>
          <w:w w:val="105"/>
        </w:rPr>
        <w:t>救生背心</w:t>
      </w:r>
      <w:r>
        <w:rPr>
          <w:rFonts w:hint="eastAsia" w:ascii="MS UI Gothic" w:eastAsia="MS UI Gothic"/>
          <w:spacing w:val="-4"/>
          <w:w w:val="80"/>
        </w:rPr>
        <w:t xml:space="preserve">ꎮ </w:t>
      </w:r>
      <w:r>
        <w:rPr>
          <w:spacing w:val="5"/>
          <w:w w:val="105"/>
        </w:rPr>
        <w:t>在寒冷海区</w:t>
      </w:r>
      <w:r>
        <w:rPr>
          <w:rFonts w:hint="eastAsia" w:ascii="MS UI Gothic" w:eastAsia="MS UI Gothic"/>
          <w:spacing w:val="-3"/>
          <w:w w:val="80"/>
        </w:rPr>
        <w:t xml:space="preserve">ꎬ </w:t>
      </w:r>
      <w:r>
        <w:rPr>
          <w:spacing w:val="-6"/>
          <w:w w:val="105"/>
        </w:rPr>
        <w:t xml:space="preserve">每位人员配备 </w:t>
      </w:r>
      <w:r>
        <w:rPr>
          <w:rFonts w:hint="eastAsia" w:ascii="MS UI Gothic" w:eastAsia="MS UI Gothic"/>
          <w:w w:val="80"/>
        </w:rPr>
        <w:t xml:space="preserve">１ </w:t>
      </w:r>
      <w:r>
        <w:rPr>
          <w:spacing w:val="3"/>
          <w:w w:val="105"/>
        </w:rPr>
        <w:t>件保温救生服</w:t>
      </w:r>
      <w:r>
        <w:rPr>
          <w:rFonts w:hint="eastAsia" w:ascii="MS UI Gothic" w:eastAsia="MS UI Gothic"/>
          <w:w w:val="80"/>
        </w:rPr>
        <w:t>ꎮ</w:t>
      </w:r>
    </w:p>
    <w:p>
      <w:pPr>
        <w:pStyle w:val="6"/>
        <w:spacing w:line="295" w:lineRule="auto"/>
        <w:ind w:left="130" w:right="442"/>
        <w:rPr>
          <w:rFonts w:hint="eastAsia" w:ascii="MS UI Gothic" w:eastAsia="MS UI Gothic"/>
        </w:rPr>
      </w:pPr>
      <w:r>
        <w:t>所有救生设备都应当标注该设施的名称</w:t>
      </w:r>
      <w:r>
        <w:rPr>
          <w:rFonts w:hint="eastAsia" w:ascii="MS UI Gothic" w:eastAsia="MS UI Gothic"/>
          <w:w w:val="80"/>
        </w:rPr>
        <w:t xml:space="preserve">ꎬ </w:t>
      </w:r>
      <w:r>
        <w:t>按规定合理存放</w:t>
      </w:r>
      <w:r>
        <w:rPr>
          <w:rFonts w:hint="eastAsia" w:ascii="MS UI Gothic" w:eastAsia="MS UI Gothic"/>
          <w:w w:val="80"/>
        </w:rPr>
        <w:t xml:space="preserve">ꎬ </w:t>
      </w:r>
      <w:r>
        <w:t>并在设施的总布置图上标明存放位置</w:t>
      </w:r>
      <w:r>
        <w:rPr>
          <w:rFonts w:hint="eastAsia" w:ascii="MS UI Gothic" w:eastAsia="MS UI Gothic"/>
          <w:w w:val="80"/>
        </w:rPr>
        <w:t xml:space="preserve">ꎮ </w:t>
      </w:r>
      <w:r>
        <w:t>特殊施工作业情况下</w:t>
      </w:r>
      <w:r>
        <w:rPr>
          <w:rFonts w:hint="eastAsia" w:ascii="MS UI Gothic" w:eastAsia="MS UI Gothic"/>
          <w:w w:val="80"/>
        </w:rPr>
        <w:t xml:space="preserve">ꎬ </w:t>
      </w:r>
      <w:r>
        <w:t>配备的救生设备达不到要求时</w:t>
      </w:r>
      <w:r>
        <w:rPr>
          <w:rFonts w:hint="eastAsia" w:ascii="MS UI Gothic" w:eastAsia="MS UI Gothic"/>
          <w:w w:val="80"/>
        </w:rPr>
        <w:t xml:space="preserve">ꎬ </w:t>
      </w:r>
      <w:r>
        <w:t>应当制定相应的安全措施并报海油安办有关分部审查同意</w:t>
      </w:r>
      <w:r>
        <w:rPr>
          <w:rFonts w:hint="eastAsia" w:ascii="MS UI Gothic" w:eastAsia="MS UI Gothic"/>
          <w:w w:val="80"/>
        </w:rPr>
        <w:t>ꎮ</w:t>
      </w:r>
    </w:p>
    <w:p>
      <w:pPr>
        <w:pStyle w:val="6"/>
        <w:tabs>
          <w:tab w:val="left" w:pos="1807"/>
        </w:tabs>
        <w:spacing w:line="251" w:lineRule="exact"/>
        <w:ind w:left="549" w:firstLine="0"/>
        <w:jc w:val="left"/>
      </w:pPr>
      <w:r>
        <w:rPr>
          <w:spacing w:val="3"/>
          <w:w w:val="105"/>
        </w:rPr>
        <w:t>第二十三</w:t>
      </w:r>
      <w:r>
        <w:rPr>
          <w:w w:val="105"/>
        </w:rPr>
        <w:t>条</w:t>
      </w:r>
      <w:r>
        <w:rPr>
          <w:w w:val="105"/>
        </w:rPr>
        <w:tab/>
      </w:r>
      <w:r>
        <w:rPr>
          <w:spacing w:val="3"/>
          <w:w w:val="105"/>
        </w:rPr>
        <w:t>设施上的消防设备应</w:t>
      </w:r>
      <w:r>
        <w:rPr>
          <w:w w:val="105"/>
        </w:rPr>
        <w:t>当</w:t>
      </w:r>
    </w:p>
    <w:p>
      <w:pPr>
        <w:spacing w:after="0" w:line="251" w:lineRule="exact"/>
        <w:jc w:val="left"/>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１８７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89" o:spid="_x0000_s1589" o:spt="203" style="height:2.15pt;width:398.25pt;" coordsize="7965,43">
            <o:lock v:ext="edit"/>
            <v:line id="_x0000_s1590" o:spid="_x0000_s1590" o:spt="20" style="position:absolute;left:0;top:39;height:0;width:7965;" stroked="t" coordsize="21600,21600">
              <v:path arrowok="t"/>
              <v:fill focussize="0,0"/>
              <v:stroke weight="0.388031496062992pt" color="#231F20"/>
              <v:imagedata o:title=""/>
              <o:lock v:ext="edit"/>
            </v:line>
            <v:line id="_x0000_s1591" o:spid="_x0000_s159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rPr>
          <w:w w:val="115"/>
        </w:rPr>
        <w:t>符合下列规定</w:t>
      </w:r>
      <w:r>
        <w:rPr>
          <w:rFonts w:hint="eastAsia" w:ascii="MS UI Gothic" w:eastAsia="MS UI Gothic"/>
          <w:w w:val="235"/>
        </w:rPr>
        <w:t>:</w:t>
      </w:r>
    </w:p>
    <w:p>
      <w:pPr>
        <w:pStyle w:val="6"/>
        <w:spacing w:before="58"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根据国家有关规定</w:t>
      </w:r>
      <w:r>
        <w:rPr>
          <w:rFonts w:hint="eastAsia" w:ascii="MS UI Gothic" w:eastAsia="MS UI Gothic"/>
          <w:w w:val="80"/>
        </w:rPr>
        <w:t xml:space="preserve">ꎬ </w:t>
      </w:r>
      <w:r>
        <w:rPr>
          <w:w w:val="105"/>
        </w:rPr>
        <w:t>针对设施</w:t>
      </w:r>
      <w:r>
        <w:t>可能发生的火灾性质和危险程度</w:t>
      </w:r>
      <w:r>
        <w:rPr>
          <w:rFonts w:hint="eastAsia" w:ascii="MS UI Gothic" w:eastAsia="MS UI Gothic"/>
          <w:w w:val="80"/>
        </w:rPr>
        <w:t xml:space="preserve">ꎬ </w:t>
      </w:r>
      <w:r>
        <w:t>分别装</w:t>
      </w:r>
      <w:r>
        <w:rPr>
          <w:w w:val="105"/>
        </w:rPr>
        <w:t>设水消防系统</w:t>
      </w:r>
      <w:r>
        <w:rPr>
          <w:rFonts w:hint="eastAsia" w:ascii="MS UI Gothic" w:eastAsia="MS UI Gothic"/>
          <w:w w:val="80"/>
        </w:rPr>
        <w:t xml:space="preserve">、 </w:t>
      </w:r>
      <w:r>
        <w:rPr>
          <w:w w:val="105"/>
        </w:rPr>
        <w:t>泡沫灭火系统</w:t>
      </w:r>
      <w:r>
        <w:rPr>
          <w:rFonts w:hint="eastAsia" w:ascii="MS UI Gothic" w:eastAsia="MS UI Gothic"/>
          <w:w w:val="80"/>
        </w:rPr>
        <w:t xml:space="preserve">、 </w:t>
      </w:r>
      <w:r>
        <w:rPr>
          <w:w w:val="105"/>
        </w:rPr>
        <w:t>气体灭火</w:t>
      </w:r>
      <w:r>
        <w:t>系统和干粉灭火系统等固定灭火设备和装置</w:t>
      </w:r>
      <w:r>
        <w:rPr>
          <w:rFonts w:hint="eastAsia" w:ascii="MS UI Gothic" w:eastAsia="MS UI Gothic"/>
          <w:w w:val="80"/>
        </w:rPr>
        <w:t xml:space="preserve">ꎬ </w:t>
      </w:r>
      <w:r>
        <w:t>并经发证检验机构认可</w:t>
      </w:r>
      <w:r>
        <w:rPr>
          <w:rFonts w:hint="eastAsia" w:ascii="MS UI Gothic" w:eastAsia="MS UI Gothic"/>
          <w:w w:val="80"/>
        </w:rPr>
        <w:t xml:space="preserve">ꎮ </w:t>
      </w:r>
      <w:r>
        <w:t>无人驻守的简易平台</w:t>
      </w:r>
      <w:r>
        <w:rPr>
          <w:rFonts w:hint="eastAsia" w:ascii="MS UI Gothic" w:eastAsia="MS UI Gothic"/>
          <w:w w:val="80"/>
        </w:rPr>
        <w:t xml:space="preserve">ꎬ </w:t>
      </w:r>
      <w:r>
        <w:t>可以不设置水消防等灭火设备</w:t>
      </w:r>
      <w:r>
        <w:rPr>
          <w:w w:val="105"/>
        </w:rPr>
        <w:t>和装置</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设置自动和手动火灾</w:t>
      </w:r>
      <w:r>
        <w:rPr>
          <w:rFonts w:hint="eastAsia" w:ascii="MS UI Gothic" w:eastAsia="MS UI Gothic"/>
          <w:w w:val="80"/>
        </w:rPr>
        <w:t xml:space="preserve">、 </w:t>
      </w:r>
      <w:r>
        <w:rPr>
          <w:w w:val="105"/>
        </w:rPr>
        <w:t>可燃和</w:t>
      </w:r>
      <w:r>
        <w:t>有毒有害气体探测报警系统</w:t>
      </w:r>
      <w:r>
        <w:rPr>
          <w:rFonts w:hint="eastAsia" w:ascii="MS UI Gothic" w:eastAsia="MS UI Gothic"/>
          <w:w w:val="80"/>
        </w:rPr>
        <w:t xml:space="preserve">ꎬ </w:t>
      </w:r>
      <w:r>
        <w:t>总控制室内</w:t>
      </w:r>
      <w:r>
        <w:rPr>
          <w:w w:val="105"/>
        </w:rPr>
        <w:t>设总的报警和控制系统</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 xml:space="preserve">配备 </w:t>
      </w:r>
      <w:r>
        <w:rPr>
          <w:rFonts w:hint="eastAsia" w:ascii="MS UI Gothic" w:eastAsia="MS UI Gothic"/>
          <w:w w:val="80"/>
        </w:rPr>
        <w:t xml:space="preserve">４ </w:t>
      </w:r>
      <w:r>
        <w:t>套消防员装备</w:t>
      </w:r>
      <w:r>
        <w:rPr>
          <w:rFonts w:hint="eastAsia" w:ascii="MS UI Gothic" w:eastAsia="MS UI Gothic"/>
          <w:w w:val="80"/>
        </w:rPr>
        <w:t xml:space="preserve">ꎬ </w:t>
      </w:r>
      <w:r>
        <w:t>包括隔热防护服</w:t>
      </w:r>
      <w:r>
        <w:rPr>
          <w:rFonts w:hint="eastAsia" w:ascii="MS UI Gothic" w:eastAsia="MS UI Gothic"/>
          <w:w w:val="80"/>
        </w:rPr>
        <w:t xml:space="preserve">、 </w:t>
      </w:r>
      <w:r>
        <w:t>消防靴和手套</w:t>
      </w:r>
      <w:r>
        <w:rPr>
          <w:rFonts w:hint="eastAsia" w:ascii="MS UI Gothic" w:eastAsia="MS UI Gothic"/>
          <w:w w:val="80"/>
        </w:rPr>
        <w:t xml:space="preserve">、 </w:t>
      </w:r>
      <w:r>
        <w:t>头盔</w:t>
      </w:r>
      <w:r>
        <w:rPr>
          <w:rFonts w:hint="eastAsia" w:ascii="MS UI Gothic" w:eastAsia="MS UI Gothic"/>
          <w:w w:val="80"/>
        </w:rPr>
        <w:t xml:space="preserve">、 </w:t>
      </w:r>
      <w:r>
        <w:t>正压式空气呼吸器</w:t>
      </w:r>
      <w:r>
        <w:rPr>
          <w:rFonts w:hint="eastAsia" w:ascii="MS UI Gothic" w:eastAsia="MS UI Gothic"/>
          <w:w w:val="80"/>
        </w:rPr>
        <w:t xml:space="preserve">、 </w:t>
      </w:r>
      <w:r>
        <w:t xml:space="preserve">消防斧以及可以连续使用 </w:t>
      </w:r>
      <w:r>
        <w:rPr>
          <w:rFonts w:hint="eastAsia" w:ascii="MS UI Gothic" w:eastAsia="MS UI Gothic"/>
          <w:w w:val="80"/>
        </w:rPr>
        <w:t xml:space="preserve">３ </w:t>
      </w:r>
      <w:r>
        <w:t>个小时的手提式安全灯</w:t>
      </w:r>
      <w:r>
        <w:rPr>
          <w:rFonts w:hint="eastAsia" w:ascii="MS UI Gothic" w:eastAsia="MS UI Gothic"/>
          <w:w w:val="80"/>
        </w:rPr>
        <w:t xml:space="preserve">ꎮ </w:t>
      </w:r>
      <w:r>
        <w:t>根据平台性质和工作人数</w:t>
      </w:r>
      <w:r>
        <w:rPr>
          <w:rFonts w:hint="eastAsia" w:ascii="MS UI Gothic" w:eastAsia="MS UI Gothic"/>
          <w:w w:val="80"/>
        </w:rPr>
        <w:t xml:space="preserve">ꎬ </w:t>
      </w:r>
      <w:r>
        <w:t>经发证检验机构同意</w:t>
      </w:r>
      <w:r>
        <w:rPr>
          <w:rFonts w:hint="eastAsia" w:ascii="MS UI Gothic" w:eastAsia="MS UI Gothic"/>
          <w:w w:val="80"/>
        </w:rPr>
        <w:t xml:space="preserve">ꎬ </w:t>
      </w:r>
      <w:r>
        <w:t>可以适当减少配备数量</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2"/>
          <w:w w:val="150"/>
        </w:rPr>
        <w:t xml:space="preserve">) </w:t>
      </w:r>
      <w:r>
        <w:rPr>
          <w:spacing w:val="5"/>
          <w:w w:val="105"/>
        </w:rPr>
        <w:t>滩海陆岸石油设施现场管理单</w:t>
      </w:r>
      <w:r>
        <w:rPr>
          <w:spacing w:val="-13"/>
          <w:w w:val="105"/>
        </w:rPr>
        <w:t xml:space="preserve">位至少配备 </w:t>
      </w:r>
      <w:r>
        <w:rPr>
          <w:rFonts w:hint="eastAsia" w:ascii="MS UI Gothic" w:eastAsia="MS UI Gothic"/>
          <w:spacing w:val="-12"/>
          <w:w w:val="80"/>
        </w:rPr>
        <w:t xml:space="preserve">２ </w:t>
      </w:r>
      <w:r>
        <w:rPr>
          <w:spacing w:val="3"/>
          <w:w w:val="105"/>
        </w:rPr>
        <w:t>套消防员装备</w:t>
      </w:r>
      <w:r>
        <w:rPr>
          <w:rFonts w:hint="eastAsia" w:ascii="MS UI Gothic" w:eastAsia="MS UI Gothic"/>
          <w:spacing w:val="-2"/>
          <w:w w:val="80"/>
        </w:rPr>
        <w:t xml:space="preserve">ꎬ </w:t>
      </w:r>
      <w:r>
        <w:rPr>
          <w:spacing w:val="3"/>
          <w:w w:val="105"/>
        </w:rPr>
        <w:t>包括消防头盔</w:t>
      </w:r>
      <w:r>
        <w:rPr>
          <w:rFonts w:hint="eastAsia" w:ascii="MS UI Gothic" w:eastAsia="MS UI Gothic"/>
          <w:spacing w:val="21"/>
          <w:w w:val="80"/>
        </w:rPr>
        <w:t xml:space="preserve">、 </w:t>
      </w:r>
      <w:r>
        <w:rPr>
          <w:spacing w:val="17"/>
          <w:w w:val="105"/>
        </w:rPr>
        <w:t>防护服</w:t>
      </w:r>
      <w:r>
        <w:rPr>
          <w:rFonts w:hint="eastAsia" w:ascii="MS UI Gothic" w:eastAsia="MS UI Gothic"/>
          <w:spacing w:val="2"/>
          <w:w w:val="80"/>
        </w:rPr>
        <w:t xml:space="preserve">、 </w:t>
      </w:r>
      <w:r>
        <w:rPr>
          <w:spacing w:val="17"/>
          <w:w w:val="105"/>
        </w:rPr>
        <w:t>消防靴</w:t>
      </w:r>
      <w:r>
        <w:rPr>
          <w:rFonts w:hint="eastAsia" w:ascii="MS UI Gothic" w:eastAsia="MS UI Gothic"/>
          <w:spacing w:val="2"/>
          <w:w w:val="80"/>
        </w:rPr>
        <w:t xml:space="preserve">、 </w:t>
      </w:r>
      <w:r>
        <w:rPr>
          <w:spacing w:val="17"/>
          <w:w w:val="105"/>
        </w:rPr>
        <w:t>安全灯</w:t>
      </w:r>
      <w:r>
        <w:rPr>
          <w:rFonts w:hint="eastAsia" w:ascii="MS UI Gothic" w:eastAsia="MS UI Gothic"/>
          <w:spacing w:val="3"/>
          <w:w w:val="80"/>
        </w:rPr>
        <w:t xml:space="preserve">、 </w:t>
      </w:r>
      <w:r>
        <w:rPr>
          <w:spacing w:val="12"/>
          <w:w w:val="105"/>
        </w:rPr>
        <w:t>消防斧</w:t>
      </w:r>
      <w:r>
        <w:rPr>
          <w:spacing w:val="3"/>
          <w:w w:val="105"/>
        </w:rPr>
        <w:t>等</w:t>
      </w:r>
      <w:r>
        <w:rPr>
          <w:rFonts w:hint="eastAsia" w:ascii="MS UI Gothic" w:eastAsia="MS UI Gothic"/>
          <w:spacing w:val="-3"/>
          <w:w w:val="80"/>
        </w:rPr>
        <w:t xml:space="preserve">ꎬ </w:t>
      </w:r>
      <w:r>
        <w:rPr>
          <w:spacing w:val="-16"/>
          <w:w w:val="105"/>
        </w:rPr>
        <w:t xml:space="preserve">至少配备 </w:t>
      </w:r>
      <w:r>
        <w:rPr>
          <w:rFonts w:hint="eastAsia" w:ascii="MS UI Gothic" w:eastAsia="MS UI Gothic"/>
          <w:spacing w:val="-13"/>
          <w:w w:val="80"/>
        </w:rPr>
        <w:t xml:space="preserve">３ </w:t>
      </w:r>
      <w:r>
        <w:rPr>
          <w:spacing w:val="2"/>
          <w:w w:val="105"/>
        </w:rPr>
        <w:t>套带气瓶的正压式空气呼</w:t>
      </w:r>
      <w:r>
        <w:rPr>
          <w:spacing w:val="-4"/>
          <w:w w:val="105"/>
        </w:rPr>
        <w:t xml:space="preserve">吸器和可移动式消防泵 </w:t>
      </w:r>
      <w:r>
        <w:rPr>
          <w:rFonts w:hint="eastAsia" w:ascii="MS UI Gothic" w:eastAsia="MS UI Gothic"/>
          <w:spacing w:val="2"/>
          <w:w w:val="80"/>
        </w:rPr>
        <w:t xml:space="preserve">１ </w:t>
      </w:r>
      <w:r>
        <w:rPr>
          <w:spacing w:val="3"/>
          <w:w w:val="105"/>
        </w:rPr>
        <w:t>台</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所有的消防设备都存放在易于</w:t>
      </w:r>
      <w:r>
        <w:t>取用的位置</w:t>
      </w:r>
      <w:r>
        <w:rPr>
          <w:rFonts w:hint="eastAsia" w:ascii="MS UI Gothic" w:eastAsia="MS UI Gothic"/>
          <w:w w:val="80"/>
        </w:rPr>
        <w:t xml:space="preserve">ꎬ </w:t>
      </w:r>
      <w:r>
        <w:t>并定期检查</w:t>
      </w:r>
      <w:r>
        <w:rPr>
          <w:rFonts w:hint="eastAsia" w:ascii="MS UI Gothic" w:eastAsia="MS UI Gothic"/>
          <w:w w:val="80"/>
        </w:rPr>
        <w:t xml:space="preserve">ꎬ </w:t>
      </w:r>
      <w:r>
        <w:t>始终保持完好</w:t>
      </w:r>
      <w:r>
        <w:rPr>
          <w:w w:val="105"/>
        </w:rPr>
        <w:t>状态</w:t>
      </w:r>
      <w:r>
        <w:rPr>
          <w:rFonts w:hint="eastAsia" w:ascii="MS UI Gothic" w:eastAsia="MS UI Gothic"/>
          <w:w w:val="80"/>
        </w:rPr>
        <w:t xml:space="preserve">ꎮ </w:t>
      </w:r>
      <w:r>
        <w:rPr>
          <w:w w:val="105"/>
        </w:rPr>
        <w:t>检查应当有检查记录标签</w:t>
      </w:r>
      <w:r>
        <w:rPr>
          <w:rFonts w:hint="eastAsia" w:ascii="MS UI Gothic" w:eastAsia="MS UI Gothic"/>
          <w:w w:val="80"/>
        </w:rPr>
        <w:t>ꎮ</w:t>
      </w:r>
    </w:p>
    <w:p>
      <w:pPr>
        <w:pStyle w:val="6"/>
        <w:spacing w:line="295" w:lineRule="auto"/>
        <w:ind w:left="440"/>
        <w:rPr>
          <w:rFonts w:hint="eastAsia" w:ascii="MS UI Gothic" w:eastAsia="MS UI Gothic"/>
        </w:rPr>
      </w:pPr>
      <w:r>
        <w:t>第二十四条 在设施的危险区内进行测试</w:t>
      </w:r>
      <w:r>
        <w:rPr>
          <w:rFonts w:hint="eastAsia" w:ascii="MS UI Gothic" w:eastAsia="MS UI Gothic"/>
          <w:w w:val="80"/>
        </w:rPr>
        <w:t xml:space="preserve">、 </w:t>
      </w:r>
      <w:r>
        <w:t>测井</w:t>
      </w:r>
      <w:r>
        <w:rPr>
          <w:rFonts w:hint="eastAsia" w:ascii="MS UI Gothic" w:eastAsia="MS UI Gothic"/>
          <w:w w:val="80"/>
        </w:rPr>
        <w:t xml:space="preserve">、 </w:t>
      </w:r>
      <w:r>
        <w:t>修井等作业的设备应当采用防爆型</w:t>
      </w:r>
      <w:r>
        <w:rPr>
          <w:rFonts w:hint="eastAsia" w:ascii="MS UI Gothic" w:eastAsia="MS UI Gothic"/>
          <w:w w:val="80"/>
        </w:rPr>
        <w:t xml:space="preserve">ꎬ </w:t>
      </w:r>
      <w:r>
        <w:t>室内有非防爆电气的活动房应当采用正压防爆型</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第二十五条 起重作业应当符合下列</w:t>
      </w:r>
      <w:r>
        <w:rPr>
          <w:w w:val="115"/>
        </w:rPr>
        <w:t>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操作人员持有特种作业人员资</w:t>
      </w:r>
      <w:r>
        <w:t>格证书</w:t>
      </w:r>
      <w:r>
        <w:rPr>
          <w:rFonts w:hint="eastAsia" w:ascii="MS UI Gothic" w:eastAsia="MS UI Gothic"/>
          <w:w w:val="80"/>
        </w:rPr>
        <w:t xml:space="preserve">ꎬ </w:t>
      </w:r>
      <w:r>
        <w:t>熟悉起重设备的操作规程</w:t>
      </w:r>
      <w:r>
        <w:rPr>
          <w:rFonts w:hint="eastAsia" w:ascii="MS UI Gothic" w:eastAsia="MS UI Gothic"/>
          <w:w w:val="80"/>
        </w:rPr>
        <w:t xml:space="preserve">ꎬ </w:t>
      </w:r>
      <w:r>
        <w:t>并按</w:t>
      </w:r>
      <w:r>
        <w:rPr>
          <w:w w:val="105"/>
        </w:rPr>
        <w:t>规程操作</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起重设备明确标识安全起重负</w:t>
      </w:r>
      <w:r>
        <w:t>荷</w:t>
      </w:r>
      <w:r>
        <w:rPr>
          <w:rFonts w:hint="eastAsia" w:ascii="MS UI Gothic" w:eastAsia="MS UI Gothic"/>
          <w:w w:val="80"/>
        </w:rPr>
        <w:t xml:space="preserve">ꎻ </w:t>
      </w:r>
      <w:r>
        <w:t>若为活动吊臂</w:t>
      </w:r>
      <w:r>
        <w:rPr>
          <w:rFonts w:hint="eastAsia" w:ascii="MS UI Gothic" w:eastAsia="MS UI Gothic"/>
          <w:w w:val="80"/>
        </w:rPr>
        <w:t xml:space="preserve">ꎬ </w:t>
      </w:r>
      <w:r>
        <w:t>标识吊臂在不同角度</w:t>
      </w:r>
      <w:r>
        <w:rPr>
          <w:w w:val="105"/>
        </w:rPr>
        <w:t>时的安全起重负荷</w:t>
      </w:r>
      <w:r>
        <w:rPr>
          <w:rFonts w:hint="eastAsia" w:ascii="MS UI Gothic" w:eastAsia="MS UI Gothic"/>
          <w:w w:val="80"/>
        </w:rPr>
        <w:t>ꎻ</w:t>
      </w:r>
    </w:p>
    <w:p>
      <w:pPr>
        <w:pStyle w:val="6"/>
        <w:spacing w:line="295" w:lineRule="auto"/>
        <w:ind w:left="440"/>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按规定对起重设备进行维护保养</w:t>
      </w:r>
      <w:r>
        <w:rPr>
          <w:rFonts w:hint="eastAsia" w:ascii="MS UI Gothic" w:eastAsia="MS UI Gothic"/>
          <w:w w:val="80"/>
        </w:rPr>
        <w:t xml:space="preserve">ꎬ </w:t>
      </w:r>
      <w:r>
        <w:rPr>
          <w:w w:val="105"/>
        </w:rPr>
        <w:t>保证刹车</w:t>
      </w:r>
      <w:r>
        <w:rPr>
          <w:rFonts w:hint="eastAsia" w:ascii="MS UI Gothic" w:eastAsia="MS UI Gothic"/>
          <w:w w:val="80"/>
        </w:rPr>
        <w:t xml:space="preserve">、 </w:t>
      </w:r>
      <w:r>
        <w:rPr>
          <w:w w:val="105"/>
        </w:rPr>
        <w:t>限位</w:t>
      </w:r>
      <w:r>
        <w:rPr>
          <w:rFonts w:hint="eastAsia" w:ascii="MS UI Gothic" w:eastAsia="MS UI Gothic"/>
          <w:w w:val="80"/>
        </w:rPr>
        <w:t xml:space="preserve">、 </w:t>
      </w:r>
      <w:r>
        <w:rPr>
          <w:w w:val="105"/>
        </w:rPr>
        <w:t>起重负荷指示</w:t>
      </w:r>
      <w:r>
        <w:rPr>
          <w:rFonts w:hint="eastAsia" w:ascii="MS UI Gothic" w:eastAsia="MS UI Gothic"/>
          <w:w w:val="80"/>
        </w:rPr>
        <w:t xml:space="preserve">、 </w:t>
      </w:r>
      <w:r>
        <w:rPr>
          <w:w w:val="105"/>
        </w:rPr>
        <w:t>报</w:t>
      </w:r>
    </w:p>
    <w:p>
      <w:pPr>
        <w:pStyle w:val="6"/>
        <w:spacing w:before="124"/>
        <w:ind w:left="383" w:firstLine="0"/>
        <w:rPr>
          <w:rFonts w:hint="eastAsia" w:ascii="MS UI Gothic" w:eastAsia="MS UI Gothic"/>
        </w:rPr>
      </w:pPr>
      <w:r>
        <w:br w:type="column"/>
      </w:r>
      <w:r>
        <w:rPr>
          <w:spacing w:val="3"/>
        </w:rPr>
        <w:t>警等装置齐全</w:t>
      </w:r>
      <w:r>
        <w:rPr>
          <w:rFonts w:hint="eastAsia" w:ascii="MS UI Gothic" w:eastAsia="MS UI Gothic"/>
          <w:spacing w:val="9"/>
        </w:rPr>
        <w:t xml:space="preserve">、 </w:t>
      </w:r>
      <w:r>
        <w:rPr>
          <w:spacing w:val="3"/>
        </w:rPr>
        <w:t>准确</w:t>
      </w:r>
      <w:r>
        <w:rPr>
          <w:rFonts w:hint="eastAsia" w:ascii="MS UI Gothic" w:eastAsia="MS UI Gothic"/>
          <w:spacing w:val="9"/>
        </w:rPr>
        <w:t xml:space="preserve">、 </w:t>
      </w:r>
      <w:r>
        <w:rPr>
          <w:spacing w:val="3"/>
        </w:rPr>
        <w:t>灵活</w:t>
      </w:r>
      <w:r>
        <w:rPr>
          <w:rFonts w:hint="eastAsia" w:ascii="MS UI Gothic" w:eastAsia="MS UI Gothic"/>
          <w:spacing w:val="9"/>
        </w:rPr>
        <w:t xml:space="preserve">、 </w:t>
      </w:r>
      <w:r>
        <w:rPr>
          <w:spacing w:val="3"/>
        </w:rPr>
        <w:t>可靠</w:t>
      </w:r>
      <w:r>
        <w:rPr>
          <w:rFonts w:hint="eastAsia" w:ascii="MS UI Gothic" w:eastAsia="MS UI Gothic"/>
          <w:w w:val="80"/>
        </w:rPr>
        <w:t>ꎻ</w:t>
      </w:r>
    </w:p>
    <w:p>
      <w:pPr>
        <w:pStyle w:val="6"/>
        <w:spacing w:before="58" w:line="295" w:lineRule="auto"/>
        <w:ind w:left="383" w:right="126"/>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3"/>
          <w:w w:val="150"/>
        </w:rPr>
        <w:t xml:space="preserve">) </w:t>
      </w:r>
      <w:r>
        <w:rPr>
          <w:spacing w:val="5"/>
          <w:w w:val="105"/>
        </w:rPr>
        <w:t>起重机及吊物附件按规定定期</w:t>
      </w:r>
      <w:r>
        <w:rPr>
          <w:spacing w:val="3"/>
          <w:w w:val="105"/>
        </w:rPr>
        <w:t>检验</w:t>
      </w:r>
      <w:r>
        <w:rPr>
          <w:rFonts w:hint="eastAsia" w:ascii="MS UI Gothic" w:eastAsia="MS UI Gothic"/>
          <w:spacing w:val="14"/>
          <w:w w:val="80"/>
        </w:rPr>
        <w:t xml:space="preserve">ꎬ </w:t>
      </w:r>
      <w:r>
        <w:rPr>
          <w:spacing w:val="3"/>
          <w:w w:val="105"/>
        </w:rPr>
        <w:t>并记录在起重设备检验簿上</w:t>
      </w:r>
      <w:r>
        <w:rPr>
          <w:rFonts w:hint="eastAsia" w:ascii="MS UI Gothic" w:eastAsia="MS UI Gothic"/>
          <w:w w:val="80"/>
        </w:rPr>
        <w:t>ꎮ</w:t>
      </w:r>
    </w:p>
    <w:p>
      <w:pPr>
        <w:pStyle w:val="6"/>
        <w:spacing w:line="295" w:lineRule="auto"/>
        <w:ind w:left="383" w:right="126"/>
        <w:rPr>
          <w:rFonts w:hint="eastAsia" w:ascii="MS UI Gothic" w:eastAsia="MS UI Gothic"/>
        </w:rPr>
      </w:pPr>
      <w:r>
        <w:t>设施的载人吊篮作业</w:t>
      </w:r>
      <w:r>
        <w:rPr>
          <w:rFonts w:hint="eastAsia" w:ascii="MS UI Gothic" w:eastAsia="MS UI Gothic"/>
          <w:w w:val="80"/>
        </w:rPr>
        <w:t xml:space="preserve">ꎬ </w:t>
      </w:r>
      <w:r>
        <w:t>除符合第一款</w:t>
      </w:r>
      <w:r>
        <w:rPr>
          <w:w w:val="105"/>
        </w:rPr>
        <w:t>规定的要求外</w:t>
      </w:r>
      <w:r>
        <w:rPr>
          <w:rFonts w:hint="eastAsia" w:ascii="MS UI Gothic" w:eastAsia="MS UI Gothic"/>
          <w:w w:val="80"/>
        </w:rPr>
        <w:t xml:space="preserve">ꎬ </w:t>
      </w:r>
      <w:r>
        <w:rPr>
          <w:w w:val="105"/>
        </w:rPr>
        <w:t>还应当符合下列规定</w:t>
      </w:r>
      <w:r>
        <w:rPr>
          <w:rFonts w:hint="eastAsia" w:ascii="MS UI Gothic" w:eastAsia="MS UI Gothic"/>
          <w:w w:val="235"/>
        </w:rPr>
        <w:t>:</w:t>
      </w:r>
    </w:p>
    <w:p>
      <w:pPr>
        <w:pStyle w:val="6"/>
        <w:spacing w:line="255" w:lineRule="exact"/>
        <w:ind w:left="802"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限定乘员人数</w:t>
      </w:r>
      <w:r>
        <w:rPr>
          <w:rFonts w:hint="eastAsia" w:ascii="MS UI Gothic" w:eastAsia="MS UI Gothic"/>
          <w:w w:val="80"/>
        </w:rPr>
        <w:t>ꎻ</w:t>
      </w:r>
    </w:p>
    <w:p>
      <w:pPr>
        <w:pStyle w:val="6"/>
        <w:spacing w:before="57" w:line="295" w:lineRule="auto"/>
        <w:ind w:left="383" w:right="126"/>
        <w:rPr>
          <w:rFonts w:hint="eastAsia" w:ascii="MS UI Gothic" w:eastAsia="MS UI Gothic"/>
        </w:rPr>
      </w:pPr>
      <w:r>
        <w:rPr>
          <w:rFonts w:hint="eastAsia" w:ascii="MS UI Gothic" w:eastAsia="MS UI Gothic"/>
          <w:spacing w:val="-21"/>
          <w:w w:val="105"/>
        </w:rPr>
        <w:t xml:space="preserve">( </w:t>
      </w:r>
      <w:r>
        <w:rPr>
          <w:spacing w:val="3"/>
          <w:w w:val="105"/>
        </w:rPr>
        <w:t>二</w:t>
      </w:r>
      <w:r>
        <w:rPr>
          <w:rFonts w:hint="eastAsia" w:ascii="MS UI Gothic" w:eastAsia="MS UI Gothic"/>
          <w:spacing w:val="5"/>
          <w:w w:val="105"/>
        </w:rPr>
        <w:t xml:space="preserve">) </w:t>
      </w:r>
      <w:r>
        <w:rPr>
          <w:spacing w:val="5"/>
          <w:w w:val="105"/>
        </w:rPr>
        <w:t>乘员按规定穿救生背心或者救</w:t>
      </w:r>
      <w:r>
        <w:rPr>
          <w:spacing w:val="3"/>
          <w:w w:val="110"/>
        </w:rPr>
        <w:t>生衣</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spacing w:val="-34"/>
          <w:w w:val="120"/>
        </w:rPr>
        <w:t xml:space="preserve">( </w:t>
      </w:r>
      <w:r>
        <w:rPr>
          <w:spacing w:val="5"/>
          <w:w w:val="110"/>
        </w:rPr>
        <w:t>三</w:t>
      </w:r>
      <w:r>
        <w:rPr>
          <w:rFonts w:hint="eastAsia" w:ascii="MS UI Gothic" w:eastAsia="MS UI Gothic"/>
          <w:spacing w:val="-13"/>
          <w:w w:val="120"/>
        </w:rPr>
        <w:t xml:space="preserve">) </w:t>
      </w:r>
      <w:r>
        <w:rPr>
          <w:spacing w:val="23"/>
          <w:w w:val="110"/>
        </w:rPr>
        <w:t>只允许用于起吊人员及随身</w:t>
      </w:r>
      <w:r>
        <w:rPr>
          <w:spacing w:val="3"/>
          <w:w w:val="110"/>
        </w:rPr>
        <w:t>物品</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指定专人维护和检查</w:t>
      </w:r>
      <w:r>
        <w:rPr>
          <w:rFonts w:hint="eastAsia" w:ascii="MS UI Gothic" w:eastAsia="MS UI Gothic"/>
          <w:w w:val="80"/>
        </w:rPr>
        <w:t xml:space="preserve">ꎬ </w:t>
      </w:r>
      <w:r>
        <w:rPr>
          <w:w w:val="105"/>
        </w:rPr>
        <w:t>定期组织检验机构对其进行检验</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45"/>
        </w:rPr>
        <w:t xml:space="preserve">( </w:t>
      </w:r>
      <w:r>
        <w:t>五</w:t>
      </w:r>
      <w:r>
        <w:rPr>
          <w:rFonts w:hint="eastAsia" w:ascii="MS UI Gothic" w:eastAsia="MS UI Gothic"/>
          <w:w w:val="145"/>
        </w:rPr>
        <w:t xml:space="preserve">) </w:t>
      </w:r>
      <w:r>
        <w:t xml:space="preserve">当风速超过 </w:t>
      </w:r>
      <w:r>
        <w:rPr>
          <w:rFonts w:hint="eastAsia" w:ascii="MS UI Gothic" w:eastAsia="MS UI Gothic"/>
          <w:w w:val="80"/>
        </w:rPr>
        <w:t xml:space="preserve">１５ </w:t>
      </w:r>
      <w:r>
        <w:t>米</w:t>
      </w:r>
      <w:r>
        <w:rPr>
          <w:rFonts w:hint="eastAsia" w:ascii="MS UI Gothic" w:eastAsia="MS UI Gothic"/>
          <w:w w:val="70"/>
        </w:rPr>
        <w:t xml:space="preserve">/ </w:t>
      </w:r>
      <w:r>
        <w:t>秒或者影响吊篮安全起放时</w:t>
      </w:r>
      <w:r>
        <w:rPr>
          <w:rFonts w:hint="eastAsia" w:ascii="MS UI Gothic" w:eastAsia="MS UI Gothic"/>
          <w:w w:val="80"/>
        </w:rPr>
        <w:t xml:space="preserve">ꎬ </w:t>
      </w:r>
      <w:r>
        <w:t>立即停止使用</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起吊人员时</w:t>
      </w:r>
      <w:r>
        <w:rPr>
          <w:rFonts w:hint="eastAsia" w:ascii="MS UI Gothic" w:eastAsia="MS UI Gothic"/>
          <w:w w:val="80"/>
        </w:rPr>
        <w:t xml:space="preserve">ꎬ </w:t>
      </w:r>
      <w:r>
        <w:rPr>
          <w:w w:val="105"/>
        </w:rPr>
        <w:t>尽量将载人吊篮</w:t>
      </w:r>
      <w:r>
        <w:t>移至水面上方再升降</w:t>
      </w:r>
      <w:r>
        <w:rPr>
          <w:rFonts w:hint="eastAsia" w:ascii="MS UI Gothic" w:eastAsia="MS UI Gothic"/>
          <w:w w:val="80"/>
        </w:rPr>
        <w:t xml:space="preserve">ꎬ </w:t>
      </w:r>
      <w:r>
        <w:t>并尽可能减少回转</w:t>
      </w:r>
      <w:r>
        <w:rPr>
          <w:w w:val="105"/>
        </w:rPr>
        <w:t>角度</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3"/>
          <w:w w:val="115"/>
        </w:rPr>
        <w:t xml:space="preserve">第二十六条 高处及舷 </w:t>
      </w:r>
      <w:r>
        <w:rPr>
          <w:rFonts w:hint="eastAsia" w:ascii="MS UI Gothic" w:eastAsia="MS UI Gothic"/>
          <w:spacing w:val="-37"/>
          <w:w w:val="150"/>
        </w:rPr>
        <w:t xml:space="preserve">( </w:t>
      </w:r>
      <w:r>
        <w:rPr>
          <w:spacing w:val="15"/>
          <w:w w:val="115"/>
        </w:rPr>
        <w:t>岛</w:t>
      </w:r>
      <w:r>
        <w:rPr>
          <w:rFonts w:hint="eastAsia" w:ascii="MS UI Gothic" w:eastAsia="MS UI Gothic"/>
          <w:spacing w:val="-10"/>
          <w:w w:val="150"/>
        </w:rPr>
        <w:t xml:space="preserve">) </w:t>
      </w:r>
      <w:r>
        <w:rPr>
          <w:spacing w:val="4"/>
          <w:w w:val="115"/>
        </w:rPr>
        <w:t>外作</w:t>
      </w:r>
      <w:r>
        <w:rPr>
          <w:spacing w:val="3"/>
          <w:w w:val="115"/>
        </w:rPr>
        <w:t>业应当符合下列规定</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spacing w:val="19"/>
          <w:w w:val="150"/>
        </w:rPr>
        <w:t>(</w:t>
      </w:r>
      <w:r>
        <w:rPr>
          <w:spacing w:val="3"/>
          <w:w w:val="110"/>
        </w:rPr>
        <w:t>一</w:t>
      </w:r>
      <w:r>
        <w:rPr>
          <w:rFonts w:hint="eastAsia" w:ascii="MS UI Gothic" w:eastAsia="MS UI Gothic"/>
          <w:spacing w:val="-3"/>
          <w:w w:val="150"/>
        </w:rPr>
        <w:t xml:space="preserve">) </w:t>
      </w:r>
      <w:r>
        <w:rPr>
          <w:spacing w:val="-6"/>
          <w:w w:val="110"/>
        </w:rPr>
        <w:t xml:space="preserve">高处及舷 </w:t>
      </w:r>
      <w:r>
        <w:rPr>
          <w:rFonts w:hint="eastAsia" w:ascii="MS UI Gothic" w:eastAsia="MS UI Gothic"/>
          <w:spacing w:val="-39"/>
          <w:w w:val="150"/>
        </w:rPr>
        <w:t xml:space="preserve">( </w:t>
      </w:r>
      <w:r>
        <w:rPr>
          <w:spacing w:val="3"/>
          <w:w w:val="110"/>
        </w:rPr>
        <w:t>岛</w:t>
      </w:r>
      <w:r>
        <w:rPr>
          <w:rFonts w:hint="eastAsia" w:ascii="MS UI Gothic" w:eastAsia="MS UI Gothic"/>
          <w:spacing w:val="-3"/>
          <w:w w:val="150"/>
        </w:rPr>
        <w:t xml:space="preserve">) </w:t>
      </w:r>
      <w:r>
        <w:rPr>
          <w:spacing w:val="7"/>
          <w:w w:val="110"/>
        </w:rPr>
        <w:t>外作业人员佩</w:t>
      </w:r>
      <w:r>
        <w:rPr>
          <w:spacing w:val="10"/>
          <w:w w:val="110"/>
        </w:rPr>
        <w:t>戴安全帽和安全带</w:t>
      </w:r>
      <w:r>
        <w:rPr>
          <w:rFonts w:hint="eastAsia" w:ascii="MS UI Gothic" w:eastAsia="MS UI Gothic"/>
          <w:spacing w:val="2"/>
          <w:w w:val="80"/>
        </w:rPr>
        <w:t xml:space="preserve">ꎬ </w:t>
      </w:r>
      <w:r>
        <w:rPr>
          <w:spacing w:val="-28"/>
          <w:w w:val="110"/>
        </w:rPr>
        <w:t xml:space="preserve">舷 </w:t>
      </w:r>
      <w:r>
        <w:rPr>
          <w:rFonts w:hint="eastAsia" w:ascii="MS UI Gothic" w:eastAsia="MS UI Gothic"/>
          <w:spacing w:val="-39"/>
          <w:w w:val="150"/>
        </w:rPr>
        <w:t xml:space="preserve">( </w:t>
      </w:r>
      <w:r>
        <w:rPr>
          <w:spacing w:val="15"/>
          <w:w w:val="110"/>
        </w:rPr>
        <w:t>岛</w:t>
      </w:r>
      <w:r>
        <w:rPr>
          <w:rFonts w:hint="eastAsia" w:ascii="MS UI Gothic" w:eastAsia="MS UI Gothic"/>
          <w:spacing w:val="-15"/>
          <w:w w:val="150"/>
        </w:rPr>
        <w:t xml:space="preserve">) </w:t>
      </w:r>
      <w:r>
        <w:rPr>
          <w:spacing w:val="14"/>
          <w:w w:val="110"/>
        </w:rPr>
        <w:t>外作业人</w:t>
      </w:r>
      <w:r>
        <w:rPr>
          <w:spacing w:val="23"/>
        </w:rPr>
        <w:t>员穿救生衣</w:t>
      </w:r>
      <w:r>
        <w:rPr>
          <w:rFonts w:hint="eastAsia" w:ascii="MS UI Gothic" w:eastAsia="MS UI Gothic"/>
          <w:spacing w:val="1"/>
          <w:w w:val="80"/>
        </w:rPr>
        <w:t xml:space="preserve">ꎬ </w:t>
      </w:r>
      <w:r>
        <w:rPr>
          <w:spacing w:val="30"/>
        </w:rPr>
        <w:t>并采取其他必要的安全</w:t>
      </w:r>
      <w:r>
        <w:rPr>
          <w:spacing w:val="3"/>
          <w:w w:val="110"/>
        </w:rPr>
        <w:t>措施</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 xml:space="preserve">风速超过 </w:t>
      </w:r>
      <w:r>
        <w:rPr>
          <w:rFonts w:hint="eastAsia" w:ascii="MS UI Gothic" w:eastAsia="MS UI Gothic"/>
          <w:w w:val="80"/>
        </w:rPr>
        <w:t xml:space="preserve">１５ </w:t>
      </w:r>
      <w:r>
        <w:t>米</w:t>
      </w:r>
      <w:r>
        <w:rPr>
          <w:rFonts w:hint="eastAsia" w:ascii="MS UI Gothic" w:eastAsia="MS UI Gothic"/>
          <w:w w:val="70"/>
        </w:rPr>
        <w:t xml:space="preserve">/ </w:t>
      </w:r>
      <w:r>
        <w:t>秒等恶劣天气时</w:t>
      </w:r>
      <w:r>
        <w:rPr>
          <w:rFonts w:hint="eastAsia" w:ascii="MS UI Gothic" w:eastAsia="MS UI Gothic"/>
          <w:w w:val="80"/>
        </w:rPr>
        <w:t xml:space="preserve">ꎬ </w:t>
      </w:r>
      <w:r>
        <w:t>立即停止作业</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第二十七条 危险物品管理应当符合</w:t>
      </w:r>
      <w:r>
        <w:rPr>
          <w:w w:val="110"/>
        </w:rPr>
        <w:t>下列规定</w:t>
      </w:r>
      <w:r>
        <w:rPr>
          <w:rFonts w:hint="eastAsia" w:ascii="MS UI Gothic" w:eastAsia="MS UI Gothic"/>
          <w:w w:val="235"/>
        </w:rPr>
        <w:t>:</w:t>
      </w:r>
    </w:p>
    <w:p>
      <w:pPr>
        <w:pStyle w:val="6"/>
        <w:spacing w:line="295" w:lineRule="auto"/>
        <w:ind w:left="383" w:right="124"/>
        <w:rPr>
          <w:rFonts w:hint="eastAsia" w:ascii="MS UI Gothic" w:eastAsia="MS UI Gothic"/>
        </w:rPr>
      </w:pPr>
      <w:r>
        <w:rPr>
          <w:rFonts w:hint="eastAsia" w:ascii="MS UI Gothic" w:eastAsia="MS UI Gothic"/>
          <w:spacing w:val="-36"/>
          <w:w w:val="150"/>
        </w:rPr>
        <w:t xml:space="preserve">( </w:t>
      </w:r>
      <w:r>
        <w:rPr>
          <w:spacing w:val="3"/>
          <w:w w:val="105"/>
        </w:rPr>
        <w:t>一</w:t>
      </w:r>
      <w:r>
        <w:rPr>
          <w:rFonts w:hint="eastAsia" w:ascii="MS UI Gothic" w:eastAsia="MS UI Gothic"/>
          <w:spacing w:val="12"/>
          <w:w w:val="150"/>
        </w:rPr>
        <w:t xml:space="preserve">) </w:t>
      </w:r>
      <w:r>
        <w:rPr>
          <w:spacing w:val="2"/>
          <w:w w:val="105"/>
        </w:rPr>
        <w:t xml:space="preserve">设施上任何危险物品 </w:t>
      </w:r>
      <w:r>
        <w:rPr>
          <w:rFonts w:hint="eastAsia" w:ascii="MS UI Gothic" w:eastAsia="MS UI Gothic"/>
          <w:spacing w:val="-34"/>
          <w:w w:val="150"/>
        </w:rPr>
        <w:t xml:space="preserve">( </w:t>
      </w:r>
      <w:r>
        <w:rPr>
          <w:spacing w:val="6"/>
          <w:w w:val="105"/>
        </w:rPr>
        <w:t>包括爆</w:t>
      </w:r>
      <w:r>
        <w:rPr>
          <w:spacing w:val="3"/>
          <w:w w:val="105"/>
        </w:rPr>
        <w:t>炸品</w:t>
      </w:r>
      <w:r>
        <w:rPr>
          <w:rFonts w:hint="eastAsia" w:ascii="MS UI Gothic" w:eastAsia="MS UI Gothic"/>
          <w:spacing w:val="12"/>
          <w:w w:val="80"/>
        </w:rPr>
        <w:t xml:space="preserve">、 </w:t>
      </w:r>
      <w:r>
        <w:rPr>
          <w:spacing w:val="8"/>
          <w:w w:val="105"/>
        </w:rPr>
        <w:t>压缩气体和液化气体</w:t>
      </w:r>
      <w:r>
        <w:rPr>
          <w:rFonts w:hint="eastAsia" w:ascii="MS UI Gothic" w:eastAsia="MS UI Gothic"/>
          <w:spacing w:val="15"/>
          <w:w w:val="80"/>
        </w:rPr>
        <w:t xml:space="preserve">、 </w:t>
      </w:r>
      <w:r>
        <w:rPr>
          <w:spacing w:val="12"/>
          <w:w w:val="105"/>
        </w:rPr>
        <w:t>易燃液体</w:t>
      </w:r>
      <w:r>
        <w:rPr>
          <w:rFonts w:hint="eastAsia" w:ascii="MS UI Gothic" w:eastAsia="MS UI Gothic"/>
          <w:w w:val="80"/>
        </w:rPr>
        <w:t>、</w:t>
      </w:r>
      <w:r>
        <w:rPr>
          <w:spacing w:val="3"/>
          <w:w w:val="105"/>
        </w:rPr>
        <w:t>易燃固体</w:t>
      </w:r>
      <w:r>
        <w:rPr>
          <w:rFonts w:hint="eastAsia" w:ascii="MS UI Gothic" w:eastAsia="MS UI Gothic"/>
          <w:spacing w:val="12"/>
          <w:w w:val="80"/>
        </w:rPr>
        <w:t xml:space="preserve">、 </w:t>
      </w:r>
      <w:r>
        <w:rPr>
          <w:spacing w:val="3"/>
          <w:w w:val="105"/>
        </w:rPr>
        <w:t>自燃物品和遇湿易燃物品</w:t>
      </w:r>
      <w:r>
        <w:rPr>
          <w:rFonts w:hint="eastAsia" w:ascii="MS UI Gothic" w:eastAsia="MS UI Gothic"/>
          <w:spacing w:val="12"/>
          <w:w w:val="80"/>
        </w:rPr>
        <w:t xml:space="preserve">、 </w:t>
      </w:r>
      <w:r>
        <w:rPr>
          <w:w w:val="105"/>
        </w:rPr>
        <w:t>氧</w:t>
      </w:r>
      <w:r>
        <w:rPr>
          <w:spacing w:val="12"/>
          <w:w w:val="105"/>
        </w:rPr>
        <w:t>化剂和有机过氧化物</w:t>
      </w:r>
      <w:r>
        <w:rPr>
          <w:rFonts w:hint="eastAsia" w:ascii="MS UI Gothic" w:eastAsia="MS UI Gothic"/>
          <w:spacing w:val="3"/>
          <w:w w:val="80"/>
        </w:rPr>
        <w:t xml:space="preserve">、 </w:t>
      </w:r>
      <w:r>
        <w:rPr>
          <w:spacing w:val="16"/>
          <w:w w:val="105"/>
        </w:rPr>
        <w:t>有毒品和腐蚀品</w:t>
      </w:r>
      <w:r>
        <w:rPr>
          <w:spacing w:val="3"/>
          <w:w w:val="105"/>
        </w:rPr>
        <w:t>等</w:t>
      </w:r>
      <w:r>
        <w:rPr>
          <w:rFonts w:hint="eastAsia" w:ascii="MS UI Gothic" w:eastAsia="MS UI Gothic"/>
          <w:spacing w:val="-8"/>
          <w:w w:val="150"/>
        </w:rPr>
        <w:t xml:space="preserve">) </w:t>
      </w:r>
      <w:r>
        <w:rPr>
          <w:spacing w:val="14"/>
          <w:w w:val="105"/>
        </w:rPr>
        <w:t>必须存放在远离危险区和生活区的</w:t>
      </w:r>
      <w:r>
        <w:rPr>
          <w:spacing w:val="3"/>
        </w:rPr>
        <w:t>指定地点和容器内</w:t>
      </w:r>
      <w:r>
        <w:rPr>
          <w:rFonts w:hint="eastAsia" w:ascii="MS UI Gothic" w:eastAsia="MS UI Gothic"/>
          <w:spacing w:val="19"/>
          <w:w w:val="80"/>
        </w:rPr>
        <w:t xml:space="preserve">ꎬ </w:t>
      </w:r>
      <w:r>
        <w:rPr>
          <w:spacing w:val="2"/>
        </w:rPr>
        <w:t>并将存放地点标注在</w:t>
      </w:r>
      <w:r>
        <w:rPr>
          <w:spacing w:val="3"/>
        </w:rPr>
        <w:t>设施操作手册的附图上</w:t>
      </w:r>
      <w:r>
        <w:rPr>
          <w:rFonts w:hint="eastAsia" w:ascii="MS UI Gothic" w:eastAsia="MS UI Gothic"/>
          <w:spacing w:val="19"/>
          <w:w w:val="80"/>
        </w:rPr>
        <w:t xml:space="preserve">ꎻ </w:t>
      </w:r>
      <w:r>
        <w:rPr>
          <w:spacing w:val="2"/>
        </w:rPr>
        <w:t>个人不得私自存</w:t>
      </w:r>
      <w:r>
        <w:rPr>
          <w:spacing w:val="3"/>
          <w:w w:val="105"/>
        </w:rPr>
        <w:t>放危险物品</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spacing w:val="-38"/>
          <w:w w:val="150"/>
        </w:rPr>
        <w:t xml:space="preserve">( </w:t>
      </w:r>
      <w:r>
        <w:rPr>
          <w:spacing w:val="5"/>
          <w:w w:val="105"/>
        </w:rPr>
        <w:t>二</w:t>
      </w:r>
      <w:r>
        <w:rPr>
          <w:rFonts w:hint="eastAsia" w:ascii="MS UI Gothic" w:eastAsia="MS UI Gothic"/>
          <w:spacing w:val="12"/>
          <w:w w:val="150"/>
        </w:rPr>
        <w:t xml:space="preserve">) </w:t>
      </w:r>
      <w:r>
        <w:rPr>
          <w:spacing w:val="23"/>
          <w:w w:val="105"/>
        </w:rPr>
        <w:t>设有专人负责危险物品的管</w:t>
      </w:r>
      <w:r>
        <w:rPr>
          <w:spacing w:val="3"/>
          <w:w w:val="105"/>
        </w:rPr>
        <w:t>理</w:t>
      </w:r>
      <w:r>
        <w:rPr>
          <w:rFonts w:hint="eastAsia" w:ascii="MS UI Gothic" w:eastAsia="MS UI Gothic"/>
          <w:spacing w:val="-1"/>
          <w:w w:val="80"/>
        </w:rPr>
        <w:t xml:space="preserve">ꎬ </w:t>
      </w:r>
      <w:r>
        <w:rPr>
          <w:spacing w:val="3"/>
          <w:w w:val="105"/>
        </w:rPr>
        <w:t>并建立和保存危险物品入库</w:t>
      </w:r>
      <w:r>
        <w:rPr>
          <w:rFonts w:hint="eastAsia" w:ascii="MS UI Gothic" w:eastAsia="MS UI Gothic"/>
          <w:w w:val="80"/>
        </w:rPr>
        <w:t xml:space="preserve">、 </w:t>
      </w:r>
      <w:r>
        <w:rPr>
          <w:spacing w:val="2"/>
          <w:w w:val="105"/>
        </w:rPr>
        <w:t>消耗和</w:t>
      </w:r>
      <w:r>
        <w:rPr>
          <w:spacing w:val="3"/>
          <w:w w:val="105"/>
        </w:rPr>
        <w:t>使用的记录</w:t>
      </w:r>
      <w:r>
        <w:rPr>
          <w:rFonts w:hint="eastAsia" w:ascii="MS UI Gothic" w:eastAsia="MS UI Gothic"/>
          <w:w w:val="80"/>
        </w:rPr>
        <w:t>ꎻ</w:t>
      </w:r>
    </w:p>
    <w:p>
      <w:pPr>
        <w:pStyle w:val="6"/>
        <w:spacing w:line="254" w:lineRule="exact"/>
        <w:ind w:left="802" w:firstLine="0"/>
      </w:pPr>
      <w:r>
        <w:rPr>
          <w:rFonts w:hint="eastAsia" w:ascii="MS UI Gothic" w:eastAsia="MS UI Gothic"/>
          <w:w w:val="110"/>
        </w:rPr>
        <w:t xml:space="preserve">( </w:t>
      </w:r>
      <w:r>
        <w:rPr>
          <w:w w:val="110"/>
        </w:rPr>
        <w:t>三</w:t>
      </w:r>
      <w:r>
        <w:rPr>
          <w:rFonts w:hint="eastAsia" w:ascii="MS UI Gothic" w:eastAsia="MS UI Gothic"/>
          <w:w w:val="110"/>
        </w:rPr>
        <w:t xml:space="preserve">) </w:t>
      </w:r>
      <w:r>
        <w:rPr>
          <w:w w:val="110"/>
        </w:rPr>
        <w:t>在通往危险物品存放地点的通</w:t>
      </w:r>
    </w:p>
    <w:p>
      <w:pPr>
        <w:spacing w:after="0" w:line="254" w:lineRule="exact"/>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１８８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92" o:spid="_x0000_s1592" o:spt="203" style="height:2.15pt;width:398.25pt;" coordsize="7965,43">
            <o:lock v:ext="edit"/>
            <v:line id="_x0000_s1593" o:spid="_x0000_s1593" o:spt="20" style="position:absolute;left:0;top:39;height:0;width:7965;" stroked="t" coordsize="21600,21600">
              <v:path arrowok="t"/>
              <v:fill focussize="0,0"/>
              <v:stroke weight="0.388031496062992pt" color="#231F20"/>
              <v:imagedata o:title=""/>
              <o:lock v:ext="edit"/>
            </v:line>
            <v:line id="_x0000_s1594" o:spid="_x0000_s159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jc w:val="left"/>
        <w:rPr>
          <w:rFonts w:hint="eastAsia" w:ascii="MS UI Gothic" w:hAnsi="MS UI Gothic" w:eastAsia="MS UI Gothic"/>
        </w:rPr>
      </w:pPr>
      <w:r>
        <w:t>道口</w:t>
      </w:r>
      <w:r>
        <w:rPr>
          <w:rFonts w:hint="eastAsia" w:ascii="MS UI Gothic" w:hAnsi="MS UI Gothic" w:eastAsia="MS UI Gothic"/>
        </w:rPr>
        <w:t xml:space="preserve">、 </w:t>
      </w:r>
      <w:r>
        <w:t>舱口处</w:t>
      </w:r>
      <w:r>
        <w:rPr>
          <w:rFonts w:hint="eastAsia" w:ascii="MS UI Gothic" w:hAnsi="MS UI Gothic" w:eastAsia="MS UI Gothic"/>
          <w:w w:val="80"/>
        </w:rPr>
        <w:t xml:space="preserve">ꎬ </w:t>
      </w:r>
      <w:r>
        <w:t xml:space="preserve">设有醒目的中英文 </w:t>
      </w:r>
      <w:r>
        <w:rPr>
          <w:rFonts w:hint="eastAsia" w:ascii="MS UI Gothic" w:hAnsi="MS UI Gothic" w:eastAsia="MS UI Gothic"/>
        </w:rPr>
        <w:t xml:space="preserve">“ </w:t>
      </w:r>
      <w:r>
        <w:t>危险物品</w:t>
      </w:r>
      <w:r>
        <w:rPr>
          <w:rFonts w:hint="eastAsia" w:ascii="MS UI Gothic" w:hAnsi="MS UI Gothic" w:eastAsia="MS UI Gothic"/>
        </w:rPr>
        <w:t xml:space="preserve">” </w:t>
      </w:r>
      <w:r>
        <w:t>标识</w:t>
      </w:r>
      <w:r>
        <w:rPr>
          <w:rFonts w:hint="eastAsia" w:ascii="MS UI Gothic" w:hAnsi="MS UI Gothic" w:eastAsia="MS UI Gothic"/>
          <w:w w:val="80"/>
        </w:rPr>
        <w:t>ꎮ</w:t>
      </w:r>
    </w:p>
    <w:p>
      <w:pPr>
        <w:pStyle w:val="6"/>
        <w:spacing w:line="295" w:lineRule="auto"/>
        <w:ind w:right="39"/>
        <w:rPr>
          <w:rFonts w:hint="eastAsia" w:ascii="MS UI Gothic" w:eastAsia="MS UI Gothic"/>
        </w:rPr>
      </w:pPr>
      <w:r>
        <w:rPr>
          <w:w w:val="105"/>
        </w:rPr>
        <w:t>第二十八条 直升机起降管理应当符</w:t>
      </w:r>
      <w:r>
        <w:rPr>
          <w:w w:val="110"/>
        </w:rPr>
        <w:t>合下列规定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指定直升机起降联络负责人</w:t>
      </w:r>
      <w:r>
        <w:rPr>
          <w:rFonts w:hint="eastAsia" w:ascii="MS UI Gothic" w:eastAsia="MS UI Gothic"/>
          <w:w w:val="80"/>
        </w:rPr>
        <w:t>ꎬ</w:t>
      </w:r>
      <w:r>
        <w:rPr>
          <w:w w:val="105"/>
        </w:rPr>
        <w:t>负责指挥和配合直升机起降工作</w:t>
      </w:r>
      <w:r>
        <w:rPr>
          <w:rFonts w:hint="eastAsia" w:ascii="MS UI Gothic" w:eastAsia="MS UI Gothic"/>
          <w:w w:val="80"/>
        </w:rPr>
        <w:t>ꎻ</w:t>
      </w:r>
    </w:p>
    <w:p>
      <w:pPr>
        <w:pStyle w:val="6"/>
        <w:spacing w:line="295" w:lineRule="auto"/>
        <w:ind w:right="39"/>
        <w:rPr>
          <w:rFonts w:hint="eastAsia" w:ascii="MS UI Gothic" w:hAnsi="MS UI Gothic" w:eastAsia="MS UI Gothic"/>
        </w:rPr>
      </w:pPr>
      <w:r>
        <w:rPr>
          <w:rFonts w:hint="eastAsia" w:ascii="MS UI Gothic" w:hAnsi="MS UI Gothic" w:eastAsia="MS UI Gothic"/>
          <w:w w:val="150"/>
        </w:rPr>
        <w:t xml:space="preserve">( </w:t>
      </w:r>
      <w:r>
        <w:rPr>
          <w:w w:val="105"/>
        </w:rPr>
        <w:t>二</w:t>
      </w:r>
      <w:r>
        <w:rPr>
          <w:rFonts w:hint="eastAsia" w:ascii="MS UI Gothic" w:hAnsi="MS UI Gothic" w:eastAsia="MS UI Gothic"/>
          <w:w w:val="150"/>
        </w:rPr>
        <w:t xml:space="preserve">) </w:t>
      </w:r>
      <w:r>
        <w:rPr>
          <w:w w:val="105"/>
        </w:rPr>
        <w:t>配备与直升机起降有关的应急设备和工具</w:t>
      </w:r>
      <w:r>
        <w:rPr>
          <w:rFonts w:hint="eastAsia" w:ascii="MS UI Gothic" w:hAnsi="MS UI Gothic" w:eastAsia="MS UI Gothic"/>
          <w:w w:val="80"/>
        </w:rPr>
        <w:t xml:space="preserve">ꎬ </w:t>
      </w:r>
      <w:r>
        <w:rPr>
          <w:w w:val="105"/>
        </w:rPr>
        <w:t xml:space="preserve">并注明中英文 </w:t>
      </w:r>
      <w:r>
        <w:rPr>
          <w:rFonts w:hint="eastAsia" w:ascii="MS UI Gothic" w:hAnsi="MS UI Gothic" w:eastAsia="MS UI Gothic"/>
          <w:w w:val="105"/>
        </w:rPr>
        <w:t xml:space="preserve">“ </w:t>
      </w:r>
      <w:r>
        <w:rPr>
          <w:w w:val="105"/>
        </w:rPr>
        <w:t>直升机应急工具</w:t>
      </w:r>
      <w:r>
        <w:rPr>
          <w:rFonts w:hint="eastAsia" w:ascii="MS UI Gothic" w:hAnsi="MS UI Gothic" w:eastAsia="MS UI Gothic"/>
          <w:w w:val="105"/>
        </w:rPr>
        <w:t xml:space="preserve">” </w:t>
      </w:r>
      <w:r>
        <w:rPr>
          <w:w w:val="105"/>
        </w:rPr>
        <w:t>字样</w:t>
      </w:r>
      <w:r>
        <w:rPr>
          <w:rFonts w:hint="eastAsia" w:ascii="MS UI Gothic" w:hAns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设施与机场的往返距离所需油</w:t>
      </w:r>
      <w:r>
        <w:t>量超过直升机自身储存油量的</w:t>
      </w:r>
      <w:r>
        <w:rPr>
          <w:rFonts w:hint="eastAsia" w:ascii="MS UI Gothic" w:eastAsia="MS UI Gothic"/>
          <w:w w:val="80"/>
        </w:rPr>
        <w:t xml:space="preserve">ꎬ </w:t>
      </w:r>
      <w:r>
        <w:t>按有关规定配备安全有效的直升机加油用储油罐</w:t>
      </w:r>
      <w:r>
        <w:rPr>
          <w:rFonts w:hint="eastAsia" w:ascii="MS UI Gothic" w:eastAsia="MS UI Gothic"/>
          <w:w w:val="80"/>
        </w:rPr>
        <w:t>、</w:t>
      </w:r>
      <w:r>
        <w:rPr>
          <w:w w:val="105"/>
        </w:rPr>
        <w:t>燃油质量检验设备和加油设备</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直升机与设施建立联络后</w:t>
      </w:r>
      <w:r>
        <w:rPr>
          <w:rFonts w:hint="eastAsia" w:ascii="MS UI Gothic" w:eastAsia="MS UI Gothic"/>
          <w:w w:val="80"/>
        </w:rPr>
        <w:t xml:space="preserve">ꎬ </w:t>
      </w:r>
      <w:r>
        <w:rPr>
          <w:w w:val="105"/>
        </w:rPr>
        <w:t>经</w:t>
      </w:r>
      <w:r>
        <w:t>设施主要负责人准许</w:t>
      </w:r>
      <w:r>
        <w:rPr>
          <w:rFonts w:hint="eastAsia" w:ascii="MS UI Gothic" w:eastAsia="MS UI Gothic"/>
          <w:w w:val="80"/>
        </w:rPr>
        <w:t xml:space="preserve">ꎬ </w:t>
      </w:r>
      <w:r>
        <w:t>方可起飞或者降落</w:t>
      </w:r>
      <w:r>
        <w:rPr>
          <w:rFonts w:hint="eastAsia" w:ascii="MS UI Gothic" w:eastAsia="MS UI Gothic"/>
          <w:w w:val="150"/>
        </w:rPr>
        <w:t xml:space="preserve">( </w:t>
      </w:r>
      <w:r>
        <w:rPr>
          <w:w w:val="105"/>
        </w:rPr>
        <w:t>紧急情况除外</w:t>
      </w:r>
      <w:r>
        <w:rPr>
          <w:rFonts w:hint="eastAsia" w:ascii="MS UI Gothic" w:eastAsia="MS UI Gothic"/>
          <w:w w:val="150"/>
        </w:rPr>
        <w:t xml:space="preserve">) </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直升机机长或者机组人员提出</w:t>
      </w:r>
      <w:r>
        <w:t>降落要求的</w:t>
      </w:r>
      <w:r>
        <w:rPr>
          <w:rFonts w:hint="eastAsia" w:ascii="MS UI Gothic" w:eastAsia="MS UI Gothic"/>
          <w:w w:val="80"/>
        </w:rPr>
        <w:t xml:space="preserve">ꎬ </w:t>
      </w:r>
      <w:r>
        <w:t>起降联络负责人立即向直升</w:t>
      </w:r>
      <w:r>
        <w:rPr>
          <w:w w:val="105"/>
        </w:rPr>
        <w:t>机提供风速</w:t>
      </w:r>
      <w:r>
        <w:rPr>
          <w:rFonts w:hint="eastAsia" w:ascii="MS UI Gothic" w:eastAsia="MS UI Gothic"/>
          <w:w w:val="80"/>
        </w:rPr>
        <w:t xml:space="preserve">、 </w:t>
      </w:r>
      <w:r>
        <w:rPr>
          <w:w w:val="105"/>
        </w:rPr>
        <w:t>风向</w:t>
      </w:r>
      <w:r>
        <w:rPr>
          <w:rFonts w:hint="eastAsia" w:ascii="MS UI Gothic" w:eastAsia="MS UI Gothic"/>
          <w:w w:val="80"/>
        </w:rPr>
        <w:t xml:space="preserve">、 </w:t>
      </w:r>
      <w:r>
        <w:rPr>
          <w:w w:val="105"/>
        </w:rPr>
        <w:t>能见度</w:t>
      </w:r>
      <w:r>
        <w:rPr>
          <w:rFonts w:hint="eastAsia" w:ascii="MS UI Gothic" w:eastAsia="MS UI Gothic"/>
          <w:w w:val="80"/>
        </w:rPr>
        <w:t xml:space="preserve">、 </w:t>
      </w:r>
      <w:r>
        <w:rPr>
          <w:w w:val="105"/>
        </w:rPr>
        <w:t>海况等数据和资料</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无线电报务员一直保持监听来</w:t>
      </w:r>
      <w:r>
        <w:t>自直升机的无线电信号</w:t>
      </w:r>
      <w:r>
        <w:rPr>
          <w:rFonts w:hint="eastAsia" w:ascii="MS UI Gothic" w:eastAsia="MS UI Gothic"/>
          <w:w w:val="80"/>
        </w:rPr>
        <w:t xml:space="preserve">ꎬ </w:t>
      </w:r>
      <w:r>
        <w:t>直至其降落</w:t>
      </w:r>
      <w:r>
        <w:rPr>
          <w:w w:val="105"/>
        </w:rPr>
        <w:t>为止</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机组人员开启舱门后</w:t>
      </w:r>
      <w:r>
        <w:rPr>
          <w:rFonts w:hint="eastAsia" w:ascii="MS UI Gothic" w:eastAsia="MS UI Gothic"/>
          <w:w w:val="80"/>
        </w:rPr>
        <w:t xml:space="preserve">ꎬ </w:t>
      </w:r>
      <w:r>
        <w:rPr>
          <w:w w:val="105"/>
        </w:rPr>
        <w:t>起降联</w:t>
      </w:r>
      <w:r>
        <w:t>络负责人方可指挥乘机人员上下直升机</w:t>
      </w:r>
      <w:r>
        <w:rPr>
          <w:rFonts w:hint="eastAsia" w:ascii="MS UI Gothic" w:eastAsia="MS UI Gothic"/>
          <w:w w:val="80"/>
        </w:rPr>
        <w:t>、</w:t>
      </w:r>
      <w:r>
        <w:rPr>
          <w:w w:val="105"/>
        </w:rPr>
        <w:t>装卸物品或者进行加油作业</w:t>
      </w:r>
      <w:r>
        <w:rPr>
          <w:rFonts w:hint="eastAsia" w:ascii="MS UI Gothic" w:eastAsia="MS UI Gothic"/>
          <w:w w:val="80"/>
        </w:rPr>
        <w:t>ꎮ</w:t>
      </w:r>
    </w:p>
    <w:p>
      <w:pPr>
        <w:pStyle w:val="6"/>
        <w:spacing w:line="295" w:lineRule="auto"/>
        <w:ind w:right="39"/>
        <w:rPr>
          <w:rFonts w:hint="eastAsia" w:ascii="MS UI Gothic" w:eastAsia="MS UI Gothic"/>
        </w:rPr>
      </w:pPr>
      <w:r>
        <w:t>直升机起飞或者降落前</w:t>
      </w:r>
      <w:r>
        <w:rPr>
          <w:rFonts w:hint="eastAsia" w:ascii="MS UI Gothic" w:eastAsia="MS UI Gothic"/>
          <w:w w:val="80"/>
        </w:rPr>
        <w:t xml:space="preserve">ꎬ </w:t>
      </w:r>
      <w:r>
        <w:t>起降联络负</w:t>
      </w:r>
      <w:r>
        <w:rPr>
          <w:w w:val="110"/>
        </w:rPr>
        <w:t>责人应当组织做好下列准备工作</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清除直升机甲板的障碍物和易</w:t>
      </w:r>
      <w:r>
        <w:rPr>
          <w:w w:val="110"/>
        </w:rPr>
        <w:t>燃物</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检查直升机甲板安全设施是否处于完好状态</w:t>
      </w:r>
      <w:r>
        <w:rPr>
          <w:rFonts w:hint="eastAsia" w:ascii="MS UI Gothic" w:eastAsia="MS UI Gothic"/>
          <w:w w:val="80"/>
        </w:rPr>
        <w:t xml:space="preserve">ꎬ </w:t>
      </w:r>
      <w:r>
        <w:rPr>
          <w:w w:val="105"/>
        </w:rPr>
        <w:t>包括灯光</w:t>
      </w:r>
      <w:r>
        <w:rPr>
          <w:rFonts w:hint="eastAsia" w:ascii="MS UI Gothic" w:eastAsia="MS UI Gothic"/>
          <w:w w:val="80"/>
        </w:rPr>
        <w:t xml:space="preserve">、 </w:t>
      </w:r>
      <w:r>
        <w:rPr>
          <w:w w:val="105"/>
        </w:rPr>
        <w:t>防滑网</w:t>
      </w:r>
      <w:r>
        <w:rPr>
          <w:rFonts w:hint="eastAsia" w:ascii="MS UI Gothic" w:eastAsia="MS UI Gothic"/>
          <w:w w:val="80"/>
        </w:rPr>
        <w:t xml:space="preserve">、 </w:t>
      </w:r>
      <w:r>
        <w:rPr>
          <w:w w:val="105"/>
        </w:rPr>
        <w:t>消防设备和应急工具等</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45"/>
        </w:rPr>
        <w:t xml:space="preserve">( </w:t>
      </w:r>
      <w:r>
        <w:rPr>
          <w:w w:val="105"/>
        </w:rPr>
        <w:t>三</w:t>
      </w:r>
      <w:r>
        <w:rPr>
          <w:rFonts w:hint="eastAsia" w:ascii="MS UI Gothic" w:eastAsia="MS UI Gothic"/>
          <w:w w:val="145"/>
        </w:rPr>
        <w:t xml:space="preserve">) </w:t>
      </w:r>
      <w:r>
        <w:rPr>
          <w:w w:val="105"/>
        </w:rPr>
        <w:t xml:space="preserve">停止靠近直升机甲板的吊装作业和甲板 </w:t>
      </w:r>
      <w:r>
        <w:rPr>
          <w:rFonts w:hint="eastAsia" w:ascii="MS UI Gothic" w:eastAsia="MS UI Gothic"/>
          <w:w w:val="85"/>
        </w:rPr>
        <w:t xml:space="preserve">１５ </w:t>
      </w:r>
      <w:r>
        <w:rPr>
          <w:w w:val="105"/>
        </w:rPr>
        <w:t>米范围内的明火作业</w:t>
      </w:r>
      <w:r>
        <w:rPr>
          <w:rFonts w:hint="eastAsia" w:ascii="MS UI Gothic" w:eastAsia="MS UI Gothic"/>
          <w:w w:val="85"/>
        </w:rPr>
        <w:t>ꎻ</w:t>
      </w:r>
    </w:p>
    <w:p>
      <w:pPr>
        <w:pStyle w:val="6"/>
        <w:spacing w:line="295" w:lineRule="auto"/>
        <w:ind w:right="39"/>
        <w:rPr>
          <w:rFonts w:hint="eastAsia" w:ascii="MS UI Gothic" w:eastAsia="MS UI Gothic"/>
        </w:rPr>
      </w:pPr>
      <w:r>
        <w:rPr>
          <w:rFonts w:hint="eastAsia" w:ascii="MS UI Gothic" w:eastAsia="MS UI Gothic"/>
          <w:spacing w:val="-34"/>
          <w:w w:val="125"/>
        </w:rPr>
        <w:t xml:space="preserve">( </w:t>
      </w:r>
      <w:r>
        <w:rPr>
          <w:spacing w:val="29"/>
          <w:w w:val="110"/>
        </w:rPr>
        <w:t>四</w:t>
      </w:r>
      <w:r>
        <w:rPr>
          <w:rFonts w:hint="eastAsia" w:ascii="MS UI Gothic" w:eastAsia="MS UI Gothic"/>
          <w:spacing w:val="-11"/>
          <w:w w:val="125"/>
        </w:rPr>
        <w:t xml:space="preserve">) </w:t>
      </w:r>
      <w:r>
        <w:rPr>
          <w:spacing w:val="41"/>
          <w:w w:val="110"/>
        </w:rPr>
        <w:t>禁止无关人员靠近直升机</w:t>
      </w:r>
      <w:r>
        <w:rPr>
          <w:spacing w:val="3"/>
          <w:w w:val="110"/>
        </w:rPr>
        <w:t>甲板</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守护船在设施附近起锚待命</w:t>
      </w:r>
      <w:r>
        <w:rPr>
          <w:rFonts w:hint="eastAsia" w:ascii="MS UI Gothic" w:eastAsia="MS UI Gothic"/>
          <w:w w:val="80"/>
        </w:rPr>
        <w:t>ꎬ</w:t>
      </w:r>
      <w:r>
        <w:rPr>
          <w:w w:val="105"/>
        </w:rPr>
        <w:t>消防人员做好准备</w:t>
      </w:r>
      <w:r>
        <w:rPr>
          <w:rFonts w:hint="eastAsia" w:ascii="MS UI Gothic" w:eastAsia="MS UI Gothic"/>
          <w:w w:val="80"/>
        </w:rPr>
        <w:t>ꎻ</w:t>
      </w:r>
    </w:p>
    <w:p>
      <w:pPr>
        <w:pStyle w:val="6"/>
        <w:spacing w:before="123" w:line="295" w:lineRule="auto"/>
        <w:ind w:left="130" w:right="442"/>
        <w:rPr>
          <w:rFonts w:hint="eastAsia" w:ascii="MS UI Gothic" w:eastAsia="MS UI Gothic"/>
        </w:rPr>
      </w:pPr>
      <w:r>
        <w:br w:type="column"/>
      </w: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排放天然气</w:t>
      </w:r>
      <w:r>
        <w:rPr>
          <w:rFonts w:hint="eastAsia" w:ascii="MS UI Gothic" w:eastAsia="MS UI Gothic"/>
          <w:w w:val="80"/>
        </w:rPr>
        <w:t xml:space="preserve">、 </w:t>
      </w:r>
      <w:r>
        <w:rPr>
          <w:w w:val="105"/>
        </w:rPr>
        <w:t>射孔或者试油作</w:t>
      </w:r>
      <w:r>
        <w:t>业时</w:t>
      </w:r>
      <w:r>
        <w:rPr>
          <w:rFonts w:hint="eastAsia" w:ascii="MS UI Gothic" w:eastAsia="MS UI Gothic"/>
          <w:w w:val="80"/>
        </w:rPr>
        <w:t xml:space="preserve">ꎬ </w:t>
      </w:r>
      <w:r>
        <w:t>若未采取可靠的安全措施</w:t>
      </w:r>
      <w:r>
        <w:rPr>
          <w:rFonts w:hint="eastAsia" w:ascii="MS UI Gothic" w:eastAsia="MS UI Gothic"/>
          <w:w w:val="80"/>
        </w:rPr>
        <w:t xml:space="preserve">ꎬ </w:t>
      </w:r>
      <w:r>
        <w:t>禁止直</w:t>
      </w:r>
      <w:r>
        <w:rPr>
          <w:w w:val="105"/>
        </w:rPr>
        <w:t>升机靠近设施</w:t>
      </w:r>
      <w:r>
        <w:rPr>
          <w:rFonts w:hint="eastAsia" w:ascii="MS UI Gothic" w:eastAsia="MS UI Gothic"/>
          <w:w w:val="80"/>
        </w:rPr>
        <w:t>ꎮ</w:t>
      </w:r>
    </w:p>
    <w:p>
      <w:pPr>
        <w:pStyle w:val="6"/>
        <w:tabs>
          <w:tab w:val="left" w:pos="1807"/>
        </w:tabs>
        <w:spacing w:line="295" w:lineRule="auto"/>
        <w:ind w:left="130" w:right="442"/>
        <w:jc w:val="left"/>
        <w:rPr>
          <w:rFonts w:hint="eastAsia" w:ascii="MS UI Gothic" w:eastAsia="MS UI Gothic"/>
        </w:rPr>
      </w:pPr>
      <w:r>
        <w:rPr>
          <w:spacing w:val="3"/>
          <w:w w:val="110"/>
        </w:rPr>
        <w:t>第二十九</w:t>
      </w:r>
      <w:r>
        <w:rPr>
          <w:w w:val="110"/>
        </w:rPr>
        <w:t>条</w:t>
      </w:r>
      <w:r>
        <w:rPr>
          <w:w w:val="110"/>
        </w:rPr>
        <w:tab/>
      </w:r>
      <w:r>
        <w:rPr>
          <w:spacing w:val="3"/>
        </w:rPr>
        <w:t>劳动防护应当符合下</w:t>
      </w:r>
      <w:r>
        <w:t>列</w:t>
      </w:r>
      <w:r>
        <w:rPr>
          <w:spacing w:val="3"/>
          <w:w w:val="115"/>
        </w:rPr>
        <w:t>规定</w:t>
      </w:r>
      <w:r>
        <w:rPr>
          <w:rFonts w:hint="eastAsia" w:ascii="MS UI Gothic" w:eastAsia="MS UI Gothic"/>
          <w:w w:val="235"/>
        </w:rPr>
        <w:t>:</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设施上所有工作人员配备符合相关安全标准的劳动防护用品</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设施上的工作场所按照国家有</w:t>
      </w:r>
      <w:r>
        <w:t>关规定和设计要求配备劳动防护设备</w:t>
      </w:r>
      <w:r>
        <w:rPr>
          <w:rFonts w:hint="eastAsia" w:ascii="MS UI Gothic" w:eastAsia="MS UI Gothic"/>
          <w:w w:val="80"/>
        </w:rPr>
        <w:t xml:space="preserve">ꎬ </w:t>
      </w:r>
      <w:r>
        <w:t>并</w:t>
      </w:r>
      <w:r>
        <w:rPr>
          <w:w w:val="105"/>
        </w:rPr>
        <w:t>定期进行检测</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4"/>
          <w:w w:val="150"/>
        </w:rPr>
        <w:t xml:space="preserve">) </w:t>
      </w:r>
      <w:r>
        <w:rPr>
          <w:spacing w:val="5"/>
          <w:w w:val="105"/>
        </w:rPr>
        <w:t>按照国家有关职业病防治的规</w:t>
      </w:r>
      <w:r>
        <w:rPr>
          <w:spacing w:val="3"/>
        </w:rPr>
        <w:t>定</w:t>
      </w:r>
      <w:r>
        <w:rPr>
          <w:rFonts w:hint="eastAsia" w:ascii="MS UI Gothic" w:eastAsia="MS UI Gothic"/>
          <w:spacing w:val="20"/>
          <w:w w:val="80"/>
        </w:rPr>
        <w:t xml:space="preserve">ꎬ </w:t>
      </w:r>
      <w:r>
        <w:rPr>
          <w:spacing w:val="2"/>
        </w:rPr>
        <w:t>定期对从事有毒有害作业的人员进行</w:t>
      </w:r>
      <w:r>
        <w:rPr>
          <w:spacing w:val="11"/>
        </w:rPr>
        <w:t>职业健康体检</w:t>
      </w:r>
      <w:r>
        <w:rPr>
          <w:rFonts w:hint="eastAsia" w:ascii="MS UI Gothic" w:eastAsia="MS UI Gothic"/>
          <w:spacing w:val="23"/>
          <w:w w:val="80"/>
        </w:rPr>
        <w:t xml:space="preserve">ꎬ </w:t>
      </w:r>
      <w:r>
        <w:rPr>
          <w:spacing w:val="17"/>
        </w:rPr>
        <w:t>对职业病患者进行康复</w:t>
      </w:r>
      <w:r>
        <w:rPr>
          <w:spacing w:val="3"/>
          <w:w w:val="105"/>
        </w:rPr>
        <w:t>治疗</w:t>
      </w:r>
      <w:r>
        <w:rPr>
          <w:rFonts w:hint="eastAsia" w:ascii="MS UI Gothic" w:eastAsia="MS UI Gothic"/>
          <w:w w:val="80"/>
        </w:rPr>
        <w:t>ꎮ</w:t>
      </w:r>
    </w:p>
    <w:p>
      <w:pPr>
        <w:pStyle w:val="6"/>
        <w:tabs>
          <w:tab w:val="left" w:pos="1752"/>
        </w:tabs>
        <w:spacing w:line="295" w:lineRule="auto"/>
        <w:ind w:left="130" w:right="442"/>
        <w:jc w:val="left"/>
        <w:rPr>
          <w:rFonts w:hint="eastAsia" w:ascii="MS UI Gothic" w:eastAsia="MS UI Gothic"/>
        </w:rPr>
      </w:pPr>
      <w:r>
        <w:rPr>
          <w:spacing w:val="15"/>
          <w:w w:val="110"/>
        </w:rPr>
        <w:t>第</w:t>
      </w:r>
      <w:r>
        <w:rPr>
          <w:spacing w:val="34"/>
          <w:w w:val="110"/>
        </w:rPr>
        <w:t>三十</w:t>
      </w:r>
      <w:r>
        <w:rPr>
          <w:w w:val="110"/>
        </w:rPr>
        <w:t>条</w:t>
      </w:r>
      <w:r>
        <w:rPr>
          <w:w w:val="110"/>
        </w:rPr>
        <w:tab/>
      </w:r>
      <w:r>
        <w:rPr>
          <w:spacing w:val="36"/>
        </w:rPr>
        <w:t>医务室应当符合下</w:t>
      </w:r>
      <w:r>
        <w:t>列</w:t>
      </w:r>
      <w:r>
        <w:rPr>
          <w:spacing w:val="3"/>
          <w:w w:val="115"/>
        </w:rPr>
        <w:t>规定</w:t>
      </w:r>
      <w:r>
        <w:rPr>
          <w:rFonts w:hint="eastAsia" w:ascii="MS UI Gothic" w:eastAsia="MS UI Gothic"/>
          <w:w w:val="235"/>
        </w:rPr>
        <w:t>:</w:t>
      </w:r>
    </w:p>
    <w:p>
      <w:pPr>
        <w:pStyle w:val="6"/>
        <w:spacing w:line="295" w:lineRule="auto"/>
        <w:ind w:right="442" w:firstLine="425"/>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在有人驻守的设施上</w:t>
      </w:r>
      <w:r>
        <w:rPr>
          <w:rFonts w:hint="eastAsia" w:ascii="MS UI Gothic" w:eastAsia="MS UI Gothic"/>
          <w:w w:val="80"/>
        </w:rPr>
        <w:t xml:space="preserve">ꎬ </w:t>
      </w:r>
      <w:r>
        <w:t>配备具有基础医疗抢救条件的医务室</w:t>
      </w:r>
      <w:r>
        <w:rPr>
          <w:rFonts w:hint="eastAsia" w:ascii="MS UI Gothic" w:eastAsia="MS UI Gothic"/>
          <w:w w:val="80"/>
        </w:rPr>
        <w:t xml:space="preserve">ꎮ </w:t>
      </w:r>
      <w:r>
        <w:t xml:space="preserve">作业人员超过 </w:t>
      </w:r>
      <w:r>
        <w:rPr>
          <w:rFonts w:hint="eastAsia" w:ascii="MS UI Gothic" w:eastAsia="MS UI Gothic"/>
          <w:w w:val="80"/>
        </w:rPr>
        <w:t xml:space="preserve">１５ </w:t>
      </w:r>
      <w:r>
        <w:t>人的</w:t>
      </w:r>
      <w:r>
        <w:rPr>
          <w:rFonts w:hint="eastAsia" w:ascii="MS UI Gothic" w:eastAsia="MS UI Gothic"/>
          <w:w w:val="80"/>
        </w:rPr>
        <w:t xml:space="preserve">ꎬ </w:t>
      </w:r>
      <w:r>
        <w:t>配备专职医务人员</w:t>
      </w:r>
      <w:r>
        <w:rPr>
          <w:rFonts w:hint="eastAsia" w:ascii="MS UI Gothic" w:eastAsia="MS UI Gothic"/>
          <w:w w:val="80"/>
        </w:rPr>
        <w:t xml:space="preserve">ꎻ </w:t>
      </w:r>
      <w:r>
        <w:t>低于</w:t>
      </w:r>
      <w:r>
        <w:rPr>
          <w:rFonts w:hint="eastAsia" w:ascii="MS UI Gothic" w:eastAsia="MS UI Gothic"/>
          <w:w w:val="80"/>
        </w:rPr>
        <w:t xml:space="preserve">１５ </w:t>
      </w:r>
      <w:r>
        <w:t>人的</w:t>
      </w:r>
      <w:r>
        <w:rPr>
          <w:rFonts w:hint="eastAsia" w:ascii="MS UI Gothic" w:eastAsia="MS UI Gothic"/>
          <w:w w:val="80"/>
        </w:rPr>
        <w:t xml:space="preserve">ꎬ </w:t>
      </w:r>
      <w:r>
        <w:t>可以配备兼职医务人员</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按照国家有关规定配备常用药品</w:t>
      </w:r>
      <w:r>
        <w:rPr>
          <w:rFonts w:hint="eastAsia" w:ascii="MS UI Gothic" w:eastAsia="MS UI Gothic"/>
          <w:w w:val="80"/>
        </w:rPr>
        <w:t xml:space="preserve">、 </w:t>
      </w:r>
      <w:r>
        <w:rPr>
          <w:w w:val="105"/>
        </w:rPr>
        <w:t>急救药品和氧气</w:t>
      </w:r>
      <w:r>
        <w:rPr>
          <w:rFonts w:hint="eastAsia" w:ascii="MS UI Gothic" w:eastAsia="MS UI Gothic"/>
          <w:w w:val="80"/>
        </w:rPr>
        <w:t xml:space="preserve">、 </w:t>
      </w:r>
      <w:r>
        <w:rPr>
          <w:w w:val="105"/>
        </w:rPr>
        <w:t>医疗器械</w:t>
      </w:r>
      <w:r>
        <w:rPr>
          <w:rFonts w:hint="eastAsia" w:ascii="MS UI Gothic" w:eastAsia="MS UI Gothic"/>
          <w:w w:val="80"/>
        </w:rPr>
        <w:t xml:space="preserve">、 </w:t>
      </w:r>
      <w:r>
        <w:rPr>
          <w:w w:val="105"/>
        </w:rPr>
        <w:t>病床等</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按照国家有关规定</w:t>
      </w:r>
      <w:r>
        <w:rPr>
          <w:rFonts w:hint="eastAsia" w:ascii="MS UI Gothic" w:eastAsia="MS UI Gothic"/>
          <w:w w:val="80"/>
        </w:rPr>
        <w:t xml:space="preserve">ꎬ </w:t>
      </w:r>
      <w:r>
        <w:rPr>
          <w:w w:val="105"/>
        </w:rPr>
        <w:t>制定有关疫情病情的报告</w:t>
      </w:r>
      <w:r>
        <w:rPr>
          <w:rFonts w:hint="eastAsia" w:ascii="MS UI Gothic" w:eastAsia="MS UI Gothic"/>
          <w:w w:val="80"/>
        </w:rPr>
        <w:t xml:space="preserve">、 </w:t>
      </w:r>
      <w:r>
        <w:rPr>
          <w:w w:val="105"/>
        </w:rPr>
        <w:t>处理和卫生检验制度</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按照国家有关规定</w:t>
      </w:r>
      <w:r>
        <w:rPr>
          <w:rFonts w:hint="eastAsia" w:ascii="MS UI Gothic" w:eastAsia="MS UI Gothic"/>
          <w:w w:val="80"/>
        </w:rPr>
        <w:t xml:space="preserve">ꎬ </w:t>
      </w:r>
      <w:r>
        <w:rPr>
          <w:w w:val="105"/>
        </w:rPr>
        <w:t>制定应急抢救程序</w:t>
      </w:r>
      <w:r>
        <w:rPr>
          <w:rFonts w:hint="eastAsia" w:ascii="MS UI Gothic" w:eastAsia="MS UI Gothic"/>
          <w:w w:val="80"/>
        </w:rPr>
        <w:t>ꎮ</w:t>
      </w:r>
    </w:p>
    <w:p>
      <w:pPr>
        <w:pStyle w:val="6"/>
        <w:tabs>
          <w:tab w:val="left" w:pos="1807"/>
        </w:tabs>
        <w:spacing w:line="295" w:lineRule="auto"/>
        <w:ind w:left="130" w:right="442"/>
        <w:jc w:val="left"/>
        <w:rPr>
          <w:rFonts w:hint="eastAsia" w:ascii="MS UI Gothic" w:eastAsia="MS UI Gothic"/>
        </w:rPr>
      </w:pPr>
      <w:r>
        <w:rPr>
          <w:spacing w:val="3"/>
          <w:w w:val="110"/>
        </w:rPr>
        <w:t>第三十一</w:t>
      </w:r>
      <w:r>
        <w:rPr>
          <w:w w:val="110"/>
        </w:rPr>
        <w:t>条</w:t>
      </w:r>
      <w:r>
        <w:rPr>
          <w:w w:val="110"/>
        </w:rPr>
        <w:tab/>
      </w:r>
      <w:r>
        <w:rPr>
          <w:spacing w:val="3"/>
        </w:rPr>
        <w:t>滩海陆岸应急避难房</w:t>
      </w:r>
      <w:r>
        <w:t>应</w:t>
      </w:r>
      <w:r>
        <w:rPr>
          <w:spacing w:val="3"/>
          <w:w w:val="110"/>
        </w:rPr>
        <w:t>当符合下列规定</w:t>
      </w:r>
      <w:r>
        <w:rPr>
          <w:rFonts w:hint="eastAsia" w:ascii="MS UI Gothic" w:eastAsia="MS UI Gothic"/>
          <w:w w:val="235"/>
        </w:rPr>
        <w:t>:</w:t>
      </w:r>
    </w:p>
    <w:p>
      <w:pPr>
        <w:pStyle w:val="6"/>
        <w:spacing w:line="255" w:lineRule="exact"/>
        <w:ind w:left="549"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能够容纳全部生产作业人员</w:t>
      </w:r>
      <w:r>
        <w:rPr>
          <w:rFonts w:hint="eastAsia" w:ascii="MS UI Gothic" w:eastAsia="MS UI Gothic"/>
          <w:w w:val="80"/>
        </w:rPr>
        <w:t>ꎻ</w:t>
      </w:r>
    </w:p>
    <w:p>
      <w:pPr>
        <w:pStyle w:val="6"/>
        <w:spacing w:before="37" w:line="295" w:lineRule="auto"/>
        <w:ind w:left="130"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结构强度比滩海陆岸井台高一</w:t>
      </w:r>
      <w:r>
        <w:rPr>
          <w:w w:val="110"/>
        </w:rPr>
        <w:t>个安全等级</w:t>
      </w:r>
      <w:r>
        <w:rPr>
          <w:rFonts w:hint="eastAsia" w:ascii="MS UI Gothic" w:eastAsia="MS UI Gothic"/>
          <w:w w:val="80"/>
        </w:rPr>
        <w:t>ꎻ</w:t>
      </w:r>
    </w:p>
    <w:p>
      <w:pPr>
        <w:pStyle w:val="6"/>
        <w:spacing w:line="255" w:lineRule="exact"/>
        <w:ind w:left="549"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 xml:space="preserve">地面高出挡浪墙 </w:t>
      </w:r>
      <w:r>
        <w:rPr>
          <w:rFonts w:hint="eastAsia" w:ascii="MS UI Gothic" w:eastAsia="MS UI Gothic"/>
          <w:w w:val="80"/>
        </w:rPr>
        <w:t xml:space="preserve">１ </w:t>
      </w:r>
      <w:r>
        <w:rPr>
          <w:w w:val="110"/>
        </w:rPr>
        <w:t>米</w:t>
      </w:r>
      <w:r>
        <w:rPr>
          <w:rFonts w:hint="eastAsia" w:ascii="MS UI Gothic" w:eastAsia="MS UI Gothic"/>
          <w:w w:val="80"/>
        </w:rPr>
        <w:t>ꎻ</w:t>
      </w:r>
    </w:p>
    <w:p>
      <w:pPr>
        <w:pStyle w:val="6"/>
        <w:spacing w:before="58" w:line="295" w:lineRule="auto"/>
        <w:ind w:left="130"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采用基础稳定</w:t>
      </w:r>
      <w:r>
        <w:rPr>
          <w:rFonts w:hint="eastAsia" w:ascii="MS UI Gothic" w:eastAsia="MS UI Gothic"/>
          <w:w w:val="80"/>
        </w:rPr>
        <w:t xml:space="preserve">、 </w:t>
      </w:r>
      <w:r>
        <w:rPr>
          <w:w w:val="105"/>
        </w:rPr>
        <w:t>结构可靠的固</w:t>
      </w:r>
      <w:r>
        <w:t>定式钢筋混凝土结构</w:t>
      </w:r>
      <w:r>
        <w:rPr>
          <w:rFonts w:hint="eastAsia" w:ascii="MS UI Gothic" w:eastAsia="MS UI Gothic"/>
          <w:w w:val="80"/>
        </w:rPr>
        <w:t xml:space="preserve">ꎬ </w:t>
      </w:r>
      <w:r>
        <w:t>或者采用可移动式</w:t>
      </w:r>
      <w:r>
        <w:rPr>
          <w:w w:val="105"/>
        </w:rPr>
        <w:t>钢结构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 xml:space="preserve">配备可以供避难人员 </w:t>
      </w:r>
      <w:r>
        <w:rPr>
          <w:rFonts w:hint="eastAsia" w:ascii="MS UI Gothic" w:eastAsia="MS UI Gothic"/>
          <w:w w:val="80"/>
        </w:rPr>
        <w:t xml:space="preserve">５ </w:t>
      </w:r>
      <w:r>
        <w:rPr>
          <w:w w:val="105"/>
        </w:rPr>
        <w:t>日所需的救生食品和饮用水</w:t>
      </w:r>
      <w:r>
        <w:rPr>
          <w:rFonts w:hint="eastAsia" w:ascii="MS UI Gothic" w:eastAsia="MS UI Gothic"/>
          <w:w w:val="80"/>
        </w:rPr>
        <w:t>ꎻ</w:t>
      </w:r>
    </w:p>
    <w:p>
      <w:pPr>
        <w:pStyle w:val="6"/>
        <w:spacing w:line="255" w:lineRule="exact"/>
        <w:ind w:left="549" w:firstLine="0"/>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配备急救箱</w:t>
      </w:r>
      <w:r>
        <w:rPr>
          <w:rFonts w:hint="eastAsia" w:ascii="MS UI Gothic" w:eastAsia="MS UI Gothic"/>
          <w:w w:val="80"/>
        </w:rPr>
        <w:t xml:space="preserve">ꎬ </w:t>
      </w:r>
      <w:r>
        <w:rPr>
          <w:w w:val="110"/>
        </w:rPr>
        <w:t xml:space="preserve">至少装有 </w:t>
      </w:r>
      <w:r>
        <w:rPr>
          <w:rFonts w:hint="eastAsia" w:ascii="MS UI Gothic" w:eastAsia="MS UI Gothic"/>
          <w:w w:val="80"/>
        </w:rPr>
        <w:t xml:space="preserve">２ </w:t>
      </w:r>
      <w:r>
        <w:rPr>
          <w:w w:val="110"/>
        </w:rPr>
        <w:t>套救</w:t>
      </w:r>
    </w:p>
    <w:p>
      <w:pPr>
        <w:spacing w:after="0" w:line="255" w:lineRule="exact"/>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１８９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595" o:spid="_x0000_s1595" o:spt="203" style="height:2.15pt;width:398.25pt;" coordsize="7965,43">
            <o:lock v:ext="edit"/>
            <v:line id="_x0000_s1596" o:spid="_x0000_s1596" o:spt="20" style="position:absolute;left:0;top:39;height:0;width:7965;" stroked="t" coordsize="21600,21600">
              <v:path arrowok="t"/>
              <v:fill focussize="0,0"/>
              <v:stroke weight="0.388031496062992pt" color="#231F20"/>
              <v:imagedata o:title=""/>
              <o:lock v:ext="edit"/>
            </v:line>
            <v:line id="_x0000_s1597" o:spid="_x0000_s159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生衣</w:t>
      </w:r>
      <w:r>
        <w:rPr>
          <w:rFonts w:hint="eastAsia" w:ascii="MS UI Gothic" w:eastAsia="MS UI Gothic"/>
          <w:w w:val="80"/>
        </w:rPr>
        <w:t xml:space="preserve">、 </w:t>
      </w:r>
      <w:r>
        <w:t>防水手电及配套电池</w:t>
      </w:r>
      <w:r>
        <w:rPr>
          <w:rFonts w:hint="eastAsia" w:ascii="MS UI Gothic" w:eastAsia="MS UI Gothic"/>
          <w:w w:val="80"/>
        </w:rPr>
        <w:t xml:space="preserve">、 </w:t>
      </w:r>
      <w:r>
        <w:t>简单的医疗包扎用品和常用药品</w:t>
      </w:r>
      <w:r>
        <w:rPr>
          <w:rFonts w:hint="eastAsia" w:ascii="MS UI Gothic" w:eastAsia="MS UI Gothic"/>
          <w:w w:val="80"/>
        </w:rPr>
        <w:t>ꎻ</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配备应急通讯装置</w:t>
      </w:r>
      <w:r>
        <w:rPr>
          <w:rFonts w:hint="eastAsia" w:ascii="MS UI Gothic" w:eastAsia="MS UI Gothic"/>
          <w:w w:val="80"/>
        </w:rPr>
        <w:t>ꎮ</w:t>
      </w:r>
    </w:p>
    <w:p>
      <w:pPr>
        <w:pStyle w:val="6"/>
        <w:spacing w:before="58" w:line="295" w:lineRule="auto"/>
        <w:ind w:left="440" w:right="1"/>
        <w:rPr>
          <w:rFonts w:hint="eastAsia" w:ascii="MS UI Gothic" w:eastAsia="MS UI Gothic"/>
        </w:rPr>
      </w:pPr>
      <w:r>
        <w:rPr>
          <w:w w:val="105"/>
        </w:rPr>
        <w:t>第三十二条 滩海陆岸值班车应当符</w:t>
      </w:r>
      <w:r>
        <w:rPr>
          <w:w w:val="110"/>
        </w:rPr>
        <w:t>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接受滩海陆岸石油设施作业负责人的指挥</w:t>
      </w:r>
      <w:r>
        <w:rPr>
          <w:rFonts w:hint="eastAsia" w:ascii="MS UI Gothic" w:eastAsia="MS UI Gothic"/>
          <w:w w:val="80"/>
        </w:rPr>
        <w:t xml:space="preserve">ꎬ </w:t>
      </w:r>
      <w:r>
        <w:rPr>
          <w:w w:val="105"/>
        </w:rPr>
        <w:t>不得擅自进入或者离开</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配备的通讯工具保证随时与滩海陆岸石油设施和陆岸基地通话</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40"/>
        </w:rPr>
        <w:t xml:space="preserve">( </w:t>
      </w:r>
      <w:r>
        <w:rPr>
          <w:w w:val="105"/>
        </w:rPr>
        <w:t>三</w:t>
      </w:r>
      <w:r>
        <w:rPr>
          <w:rFonts w:hint="eastAsia" w:ascii="MS UI Gothic" w:eastAsia="MS UI Gothic"/>
          <w:w w:val="140"/>
        </w:rPr>
        <w:t xml:space="preserve">) </w:t>
      </w:r>
      <w:r>
        <w:rPr>
          <w:w w:val="105"/>
        </w:rPr>
        <w:t>能够容纳所服务的滩海陆岸石</w:t>
      </w:r>
      <w:r>
        <w:t>油设施的全部人员</w:t>
      </w:r>
      <w:r>
        <w:rPr>
          <w:rFonts w:hint="eastAsia" w:ascii="MS UI Gothic" w:eastAsia="MS UI Gothic"/>
          <w:w w:val="90"/>
        </w:rPr>
        <w:t xml:space="preserve">ꎬ </w:t>
      </w:r>
      <w:r>
        <w:t xml:space="preserve">并配备 </w:t>
      </w:r>
      <w:r>
        <w:rPr>
          <w:rFonts w:hint="eastAsia" w:ascii="MS UI Gothic" w:eastAsia="MS UI Gothic"/>
          <w:w w:val="90"/>
        </w:rPr>
        <w:t>１００</w:t>
      </w:r>
      <w:r>
        <w:rPr>
          <w:w w:val="90"/>
        </w:rPr>
        <w:t xml:space="preserve">％ </w:t>
      </w:r>
      <w:r>
        <w:t>的救</w:t>
      </w:r>
      <w:r>
        <w:rPr>
          <w:w w:val="105"/>
        </w:rPr>
        <w:t>生衣</w:t>
      </w:r>
      <w:r>
        <w:rPr>
          <w:rFonts w:hint="eastAsia" w:ascii="MS UI Gothic" w:eastAsia="MS UI Gothic"/>
          <w:w w:val="9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具有在应急救助和人员撤离等</w:t>
      </w:r>
      <w:r>
        <w:rPr>
          <w:w w:val="110"/>
        </w:rPr>
        <w:t>复杂情况下作业的能力</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参加滩海陆岸石油设施上的营</w:t>
      </w:r>
      <w:r>
        <w:rPr>
          <w:w w:val="110"/>
        </w:rPr>
        <w:t>救演习</w:t>
      </w:r>
      <w:r>
        <w:rPr>
          <w:rFonts w:hint="eastAsia" w:ascii="MS UI Gothic" w:eastAsia="MS UI Gothic"/>
          <w:w w:val="80"/>
        </w:rPr>
        <w:t>ꎮ</w:t>
      </w:r>
    </w:p>
    <w:p>
      <w:pPr>
        <w:pStyle w:val="6"/>
        <w:tabs>
          <w:tab w:val="left" w:pos="2222"/>
        </w:tabs>
        <w:spacing w:before="147"/>
        <w:ind w:left="1384" w:firstLine="0"/>
        <w:jc w:val="left"/>
      </w:pPr>
      <w:r>
        <w:rPr>
          <w:spacing w:val="3"/>
          <w:w w:val="105"/>
        </w:rPr>
        <w:t>第二</w:t>
      </w:r>
      <w:r>
        <w:rPr>
          <w:w w:val="105"/>
        </w:rPr>
        <w:t>节</w:t>
      </w:r>
      <w:r>
        <w:rPr>
          <w:w w:val="105"/>
        </w:rPr>
        <w:tab/>
      </w:r>
      <w:r>
        <w:rPr>
          <w:spacing w:val="3"/>
          <w:w w:val="105"/>
        </w:rPr>
        <w:t>守护船管</w:t>
      </w:r>
      <w:r>
        <w:rPr>
          <w:w w:val="105"/>
        </w:rPr>
        <w:t>理</w:t>
      </w:r>
    </w:p>
    <w:p>
      <w:pPr>
        <w:pStyle w:val="6"/>
        <w:spacing w:before="10"/>
        <w:ind w:left="0" w:firstLine="0"/>
        <w:jc w:val="left"/>
        <w:rPr>
          <w:sz w:val="16"/>
        </w:rPr>
      </w:pPr>
    </w:p>
    <w:p>
      <w:pPr>
        <w:pStyle w:val="6"/>
        <w:spacing w:line="295" w:lineRule="auto"/>
        <w:ind w:left="440" w:right="1"/>
        <w:rPr>
          <w:rFonts w:hint="eastAsia" w:ascii="MS UI Gothic" w:eastAsia="MS UI Gothic"/>
        </w:rPr>
      </w:pPr>
      <w:r>
        <w:rPr>
          <w:w w:val="105"/>
        </w:rPr>
        <w:t xml:space="preserve">第三十三条 承担设施守护任务的船舶 </w:t>
      </w:r>
      <w:r>
        <w:rPr>
          <w:rFonts w:hint="eastAsia" w:ascii="MS UI Gothic" w:eastAsia="MS UI Gothic"/>
          <w:w w:val="150"/>
        </w:rPr>
        <w:t xml:space="preserve">( </w:t>
      </w:r>
      <w:r>
        <w:rPr>
          <w:w w:val="105"/>
        </w:rPr>
        <w:t>以下简称守护船</w:t>
      </w:r>
      <w:r>
        <w:rPr>
          <w:rFonts w:hint="eastAsia" w:ascii="MS UI Gothic" w:eastAsia="MS UI Gothic"/>
          <w:w w:val="150"/>
        </w:rPr>
        <w:t xml:space="preserve">) </w:t>
      </w:r>
      <w:r>
        <w:rPr>
          <w:w w:val="105"/>
        </w:rPr>
        <w:t>在开始承担守护</w:t>
      </w:r>
      <w:r>
        <w:t>作业前</w:t>
      </w:r>
      <w:r>
        <w:rPr>
          <w:rFonts w:hint="eastAsia" w:ascii="MS UI Gothic" w:eastAsia="MS UI Gothic"/>
          <w:w w:val="80"/>
        </w:rPr>
        <w:t xml:space="preserve">ꎬ </w:t>
      </w:r>
      <w:r>
        <w:t>其所属单位应当向海油安办有关分部提交守护船登记表和守护船有关证书登记表</w:t>
      </w:r>
      <w:r>
        <w:rPr>
          <w:rFonts w:hint="eastAsia" w:ascii="MS UI Gothic" w:eastAsia="MS UI Gothic"/>
          <w:w w:val="80"/>
        </w:rPr>
        <w:t xml:space="preserve">ꎬ </w:t>
      </w:r>
      <w:r>
        <w:t>办理守护船登记手续</w:t>
      </w:r>
      <w:r>
        <w:rPr>
          <w:rFonts w:hint="eastAsia" w:ascii="MS UI Gothic" w:eastAsia="MS UI Gothic"/>
          <w:w w:val="80"/>
        </w:rPr>
        <w:t xml:space="preserve">ꎮ </w:t>
      </w:r>
      <w:r>
        <w:t>经海油安办有关分部审查合格后</w:t>
      </w:r>
      <w:r>
        <w:rPr>
          <w:rFonts w:hint="eastAsia" w:ascii="MS UI Gothic" w:eastAsia="MS UI Gothic"/>
          <w:w w:val="80"/>
        </w:rPr>
        <w:t xml:space="preserve">ꎬ </w:t>
      </w:r>
      <w:r>
        <w:t>予以登记</w:t>
      </w:r>
      <w:r>
        <w:rPr>
          <w:rFonts w:hint="eastAsia" w:ascii="MS UI Gothic" w:eastAsia="MS UI Gothic"/>
          <w:w w:val="80"/>
        </w:rPr>
        <w:t xml:space="preserve">ꎬ </w:t>
      </w:r>
      <w:r>
        <w:t>并签发守护船登记证明</w:t>
      </w:r>
      <w:r>
        <w:rPr>
          <w:rFonts w:hint="eastAsia" w:ascii="MS UI Gothic" w:eastAsia="MS UI Gothic"/>
          <w:w w:val="80"/>
        </w:rPr>
        <w:t xml:space="preserve">ꎮ </w:t>
      </w:r>
      <w:r>
        <w:t>守护船登记后</w:t>
      </w:r>
      <w:r>
        <w:rPr>
          <w:rFonts w:hint="eastAsia" w:ascii="MS UI Gothic" w:eastAsia="MS UI Gothic"/>
          <w:w w:val="80"/>
        </w:rPr>
        <w:t xml:space="preserve">ꎬ </w:t>
      </w:r>
      <w:r>
        <w:t>其原申报条件发生变化或者终止承担守护任务的</w:t>
      </w:r>
      <w:r>
        <w:rPr>
          <w:rFonts w:hint="eastAsia" w:ascii="MS UI Gothic" w:eastAsia="MS UI Gothic"/>
          <w:w w:val="80"/>
        </w:rPr>
        <w:t xml:space="preserve">ꎬ </w:t>
      </w:r>
      <w:r>
        <w:t>应当向原负责守护船登记的海油安办</w:t>
      </w:r>
      <w:r>
        <w:rPr>
          <w:w w:val="105"/>
        </w:rPr>
        <w:t>有关分部报告</w:t>
      </w:r>
      <w:r>
        <w:rPr>
          <w:rFonts w:hint="eastAsia" w:ascii="MS UI Gothic" w:eastAsia="MS UI Gothic"/>
          <w:w w:val="80"/>
        </w:rPr>
        <w:t>ꎮ</w:t>
      </w:r>
    </w:p>
    <w:p>
      <w:pPr>
        <w:pStyle w:val="6"/>
        <w:spacing w:line="295" w:lineRule="auto"/>
        <w:ind w:left="440"/>
        <w:rPr>
          <w:rFonts w:hint="eastAsia" w:ascii="MS UI Gothic" w:eastAsia="MS UI Gothic"/>
        </w:rPr>
      </w:pPr>
      <w:r>
        <w:t xml:space="preserve">第三十四条 守护船应当在距离所守护设施 </w:t>
      </w:r>
      <w:r>
        <w:rPr>
          <w:rFonts w:hint="eastAsia" w:ascii="MS UI Gothic" w:eastAsia="MS UI Gothic"/>
          <w:w w:val="80"/>
        </w:rPr>
        <w:t xml:space="preserve">５ </w:t>
      </w:r>
      <w:r>
        <w:t>海里之内的海区执行守护任务</w:t>
      </w:r>
      <w:r>
        <w:rPr>
          <w:rFonts w:hint="eastAsia" w:ascii="MS UI Gothic" w:eastAsia="MS UI Gothic"/>
          <w:w w:val="80"/>
        </w:rPr>
        <w:t>ꎬ</w:t>
      </w:r>
      <w:r>
        <w:t>不得擅自离开</w:t>
      </w:r>
      <w:r>
        <w:rPr>
          <w:rFonts w:hint="eastAsia" w:ascii="MS UI Gothic" w:eastAsia="MS UI Gothic"/>
          <w:w w:val="80"/>
        </w:rPr>
        <w:t xml:space="preserve">ꎮ </w:t>
      </w:r>
      <w:r>
        <w:t>在守护船的守护能力范围内</w:t>
      </w:r>
      <w:r>
        <w:rPr>
          <w:rFonts w:hint="eastAsia" w:ascii="MS UI Gothic" w:eastAsia="MS UI Gothic"/>
          <w:w w:val="80"/>
        </w:rPr>
        <w:t xml:space="preserve">ꎬ </w:t>
      </w:r>
      <w:r>
        <w:t>多座被守护设施可以共用一条守护船</w:t>
      </w:r>
      <w:r>
        <w:rPr>
          <w:rFonts w:hint="eastAsia" w:ascii="MS UI Gothic" w:eastAsia="MS UI Gothic"/>
          <w:w w:val="80"/>
        </w:rPr>
        <w:t>ꎮ</w:t>
      </w:r>
    </w:p>
    <w:p>
      <w:pPr>
        <w:pStyle w:val="6"/>
        <w:spacing w:line="295" w:lineRule="auto"/>
        <w:ind w:left="440" w:right="1"/>
        <w:rPr>
          <w:rFonts w:hint="eastAsia" w:ascii="MS UI Gothic" w:eastAsia="MS UI Gothic"/>
        </w:rPr>
      </w:pPr>
      <w:r>
        <w:t>第三十五条 守护船应当服从被守护设施负责人的指挥</w:t>
      </w:r>
      <w:r>
        <w:rPr>
          <w:rFonts w:hint="eastAsia" w:ascii="MS UI Gothic" w:eastAsia="MS UI Gothic"/>
          <w:w w:val="80"/>
        </w:rPr>
        <w:t xml:space="preserve">ꎬ </w:t>
      </w:r>
      <w:r>
        <w:t>能够接纳所守护设施全部人员</w:t>
      </w:r>
      <w:r>
        <w:rPr>
          <w:rFonts w:hint="eastAsia" w:ascii="MS UI Gothic" w:eastAsia="MS UI Gothic"/>
          <w:w w:val="80"/>
        </w:rPr>
        <w:t xml:space="preserve">ꎬ </w:t>
      </w:r>
      <w:r>
        <w:t xml:space="preserve">并配备可以供守护设施全部人员 </w:t>
      </w:r>
      <w:r>
        <w:rPr>
          <w:rFonts w:hint="eastAsia" w:ascii="MS UI Gothic" w:eastAsia="MS UI Gothic"/>
          <w:w w:val="80"/>
        </w:rPr>
        <w:t xml:space="preserve">１ </w:t>
      </w:r>
      <w:r>
        <w:t>日所需的救生食品和饮用水</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第三十六条 守护船应当符合下列</w:t>
      </w:r>
      <w:r>
        <w:rPr>
          <w:w w:val="115"/>
        </w:rPr>
        <w:t>规定</w:t>
      </w:r>
      <w:r>
        <w:rPr>
          <w:rFonts w:hint="eastAsia" w:ascii="MS UI Gothic" w:eastAsia="MS UI Gothic"/>
          <w:w w:val="235"/>
        </w:rPr>
        <w:t>:</w:t>
      </w:r>
    </w:p>
    <w:p>
      <w:pPr>
        <w:pStyle w:val="6"/>
        <w:spacing w:before="124"/>
        <w:ind w:left="800" w:firstLine="0"/>
        <w:rPr>
          <w:rFonts w:hint="eastAsia" w:ascii="MS UI Gothic" w:eastAsia="MS UI Gothic"/>
        </w:rPr>
      </w:pPr>
      <w:r>
        <w:br w:type="column"/>
      </w: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船舶证书齐全</w:t>
      </w:r>
      <w:r>
        <w:rPr>
          <w:rFonts w:hint="eastAsia" w:ascii="MS UI Gothic" w:eastAsia="MS UI Gothic"/>
          <w:w w:val="80"/>
        </w:rPr>
        <w:t xml:space="preserve">、 </w:t>
      </w:r>
      <w:r>
        <w:rPr>
          <w:w w:val="110"/>
        </w:rPr>
        <w:t>有效</w:t>
      </w:r>
      <w:r>
        <w:rPr>
          <w:rFonts w:hint="eastAsia" w:ascii="MS UI Gothic" w:eastAsia="MS UI Gothic"/>
          <w:w w:val="80"/>
        </w:rPr>
        <w:t>ꎻ</w:t>
      </w:r>
    </w:p>
    <w:p>
      <w:pPr>
        <w:pStyle w:val="6"/>
        <w:spacing w:before="58"/>
        <w:ind w:left="80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具备守护海区的适航能力</w:t>
      </w:r>
      <w:r>
        <w:rPr>
          <w:rFonts w:hint="eastAsia" w:ascii="MS UI Gothic" w:eastAsia="MS UI Gothic"/>
          <w:w w:val="80"/>
        </w:rPr>
        <w:t>ꎻ</w:t>
      </w:r>
    </w:p>
    <w:p>
      <w:pPr>
        <w:pStyle w:val="6"/>
        <w:spacing w:before="58" w:line="295" w:lineRule="auto"/>
        <w:ind w:left="375" w:right="126" w:firstLine="425"/>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在船舶的两舷设有营救区</w:t>
      </w:r>
      <w:r>
        <w:rPr>
          <w:rFonts w:hint="eastAsia" w:ascii="MS UI Gothic" w:eastAsia="MS UI Gothic"/>
          <w:w w:val="80"/>
        </w:rPr>
        <w:t xml:space="preserve">ꎬ </w:t>
      </w:r>
      <w:r>
        <w:t>并尽可能远离推进器</w:t>
      </w:r>
      <w:r>
        <w:rPr>
          <w:rFonts w:hint="eastAsia" w:ascii="MS UI Gothic" w:eastAsia="MS UI Gothic"/>
          <w:w w:val="80"/>
        </w:rPr>
        <w:t xml:space="preserve">ꎬ </w:t>
      </w:r>
      <w:r>
        <w:t>营救区应当有醒目标志</w:t>
      </w:r>
      <w:r>
        <w:rPr>
          <w:rFonts w:hint="eastAsia" w:ascii="MS UI Gothic" w:eastAsia="MS UI Gothic"/>
          <w:w w:val="80"/>
        </w:rPr>
        <w:t xml:space="preserve">ꎮ </w:t>
      </w:r>
      <w:r>
        <w:t>营救区长度不小于载货甲板长度的</w:t>
      </w:r>
      <w:r>
        <w:rPr>
          <w:rFonts w:hint="eastAsia" w:ascii="MS UI Gothic" w:eastAsia="MS UI Gothic"/>
          <w:w w:val="80"/>
        </w:rPr>
        <w:t xml:space="preserve">１ </w:t>
      </w:r>
      <w:r>
        <w:rPr>
          <w:rFonts w:hint="eastAsia" w:ascii="MS UI Gothic" w:eastAsia="MS UI Gothic"/>
          <w:w w:val="65"/>
        </w:rPr>
        <w:t xml:space="preserve">/ </w:t>
      </w:r>
      <w:r>
        <w:rPr>
          <w:rFonts w:hint="eastAsia" w:ascii="MS UI Gothic" w:eastAsia="MS UI Gothic"/>
          <w:w w:val="80"/>
        </w:rPr>
        <w:t xml:space="preserve">３ꎬ </w:t>
      </w:r>
      <w:r>
        <w:t xml:space="preserve">宽度不小于 </w:t>
      </w:r>
      <w:r>
        <w:rPr>
          <w:rFonts w:hint="eastAsia" w:ascii="MS UI Gothic" w:eastAsia="MS UI Gothic"/>
          <w:w w:val="80"/>
        </w:rPr>
        <w:t xml:space="preserve">３ </w:t>
      </w:r>
      <w:r>
        <w:t>米</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9"/>
          <w:w w:val="150"/>
        </w:rPr>
        <w:t xml:space="preserve">( </w:t>
      </w:r>
      <w:r>
        <w:rPr>
          <w:spacing w:val="3"/>
          <w:w w:val="105"/>
        </w:rPr>
        <w:t>四</w:t>
      </w:r>
      <w:r>
        <w:rPr>
          <w:rFonts w:hint="eastAsia" w:ascii="MS UI Gothic" w:eastAsia="MS UI Gothic"/>
          <w:spacing w:val="-3"/>
          <w:w w:val="150"/>
        </w:rPr>
        <w:t xml:space="preserve">) </w:t>
      </w:r>
      <w:r>
        <w:rPr>
          <w:spacing w:val="5"/>
          <w:w w:val="105"/>
        </w:rPr>
        <w:t>甲板上设有露天空间</w:t>
      </w:r>
      <w:r>
        <w:rPr>
          <w:rFonts w:hint="eastAsia" w:ascii="MS UI Gothic" w:eastAsia="MS UI Gothic"/>
          <w:spacing w:val="13"/>
          <w:w w:val="80"/>
        </w:rPr>
        <w:t xml:space="preserve">ꎬ </w:t>
      </w:r>
      <w:r>
        <w:rPr>
          <w:spacing w:val="7"/>
          <w:w w:val="105"/>
        </w:rPr>
        <w:t>便于直</w:t>
      </w:r>
      <w:r>
        <w:rPr>
          <w:spacing w:val="25"/>
          <w:w w:val="105"/>
        </w:rPr>
        <w:t>升机绞车提升</w:t>
      </w:r>
      <w:r>
        <w:rPr>
          <w:rFonts w:hint="eastAsia" w:ascii="MS UI Gothic" w:eastAsia="MS UI Gothic"/>
          <w:spacing w:val="10"/>
          <w:w w:val="80"/>
        </w:rPr>
        <w:t xml:space="preserve">、 </w:t>
      </w:r>
      <w:r>
        <w:rPr>
          <w:spacing w:val="30"/>
          <w:w w:val="105"/>
        </w:rPr>
        <w:t>平台吊篮下放等营救</w:t>
      </w:r>
      <w:r>
        <w:rPr>
          <w:spacing w:val="3"/>
          <w:w w:val="105"/>
        </w:rPr>
        <w:t>操作</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五</w:t>
      </w:r>
      <w:r>
        <w:rPr>
          <w:rFonts w:hint="eastAsia" w:ascii="MS UI Gothic" w:eastAsia="MS UI Gothic"/>
          <w:spacing w:val="3"/>
          <w:w w:val="150"/>
        </w:rPr>
        <w:t xml:space="preserve">) </w:t>
      </w:r>
      <w:r>
        <w:rPr>
          <w:spacing w:val="5"/>
          <w:w w:val="105"/>
        </w:rPr>
        <w:t>营救区及甲板露天空间处于守</w:t>
      </w:r>
      <w:r>
        <w:rPr>
          <w:spacing w:val="26"/>
        </w:rPr>
        <w:t>护船船长视野之内</w:t>
      </w:r>
      <w:r>
        <w:rPr>
          <w:rFonts w:hint="eastAsia" w:ascii="MS UI Gothic" w:eastAsia="MS UI Gothic"/>
          <w:spacing w:val="1"/>
          <w:w w:val="80"/>
        </w:rPr>
        <w:t xml:space="preserve">ꎬ </w:t>
      </w:r>
      <w:r>
        <w:rPr>
          <w:spacing w:val="30"/>
        </w:rPr>
        <w:t>便于指挥操作和</w:t>
      </w:r>
      <w:r>
        <w:rPr>
          <w:spacing w:val="3"/>
          <w:w w:val="105"/>
        </w:rPr>
        <w:t>营救</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第三十七条 守护船应当配备能够满</w:t>
      </w:r>
      <w:r>
        <w:rPr>
          <w:spacing w:val="2"/>
        </w:rPr>
        <w:t>足应急救助和撤离人员需要的下列设备和</w:t>
      </w:r>
      <w:r>
        <w:rPr>
          <w:spacing w:val="3"/>
          <w:w w:val="110"/>
        </w:rPr>
        <w:t>器具</w:t>
      </w:r>
      <w:r>
        <w:rPr>
          <w:rFonts w:hint="eastAsia" w:ascii="MS UI Gothic" w:eastAsia="MS UI Gothic"/>
          <w:w w:val="235"/>
        </w:rPr>
        <w:t>:</w:t>
      </w:r>
    </w:p>
    <w:p>
      <w:pPr>
        <w:pStyle w:val="6"/>
        <w:spacing w:line="254" w:lineRule="exact"/>
        <w:ind w:left="800" w:firstLine="0"/>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rFonts w:hint="eastAsia" w:ascii="MS UI Gothic" w:eastAsia="MS UI Gothic"/>
          <w:w w:val="80"/>
        </w:rPr>
        <w:t xml:space="preserve">１ </w:t>
      </w:r>
      <w:r>
        <w:rPr>
          <w:w w:val="105"/>
        </w:rPr>
        <w:t xml:space="preserve">副吊装担架和 </w:t>
      </w:r>
      <w:r>
        <w:rPr>
          <w:rFonts w:hint="eastAsia" w:ascii="MS UI Gothic" w:eastAsia="MS UI Gothic"/>
          <w:w w:val="80"/>
        </w:rPr>
        <w:t xml:space="preserve">１ </w:t>
      </w:r>
      <w:r>
        <w:rPr>
          <w:w w:val="105"/>
        </w:rPr>
        <w:t>副铲式担架</w:t>
      </w:r>
      <w:r>
        <w:rPr>
          <w:rFonts w:hint="eastAsia" w:ascii="MS UI Gothic" w:eastAsia="MS UI Gothic"/>
          <w:w w:val="80"/>
        </w:rPr>
        <w:t>ꎻ</w:t>
      </w:r>
    </w:p>
    <w:p>
      <w:pPr>
        <w:pStyle w:val="6"/>
        <w:spacing w:before="50" w:line="295" w:lineRule="auto"/>
        <w:ind w:left="800" w:right="1188" w:firstLine="0"/>
        <w:jc w:val="left"/>
        <w:rPr>
          <w:rFonts w:hint="eastAsia" w:ascii="MS UI Gothic" w:eastAsia="MS UI Gothic"/>
        </w:rPr>
      </w:pPr>
      <w:r>
        <w:rPr>
          <w:rFonts w:hint="eastAsia" w:ascii="MS UI Gothic" w:eastAsia="MS UI Gothic"/>
          <w:spacing w:val="-40"/>
          <w:w w:val="140"/>
        </w:rPr>
        <w:t xml:space="preserve">( </w:t>
      </w:r>
      <w:r>
        <w:rPr>
          <w:spacing w:val="3"/>
          <w:w w:val="110"/>
        </w:rPr>
        <w:t>二</w:t>
      </w:r>
      <w:r>
        <w:rPr>
          <w:rFonts w:hint="eastAsia" w:ascii="MS UI Gothic" w:eastAsia="MS UI Gothic"/>
          <w:spacing w:val="-22"/>
          <w:w w:val="140"/>
        </w:rPr>
        <w:t xml:space="preserve">) </w:t>
      </w:r>
      <w:r>
        <w:rPr>
          <w:rFonts w:hint="eastAsia" w:ascii="MS UI Gothic" w:eastAsia="MS UI Gothic"/>
          <w:spacing w:val="-15"/>
          <w:w w:val="80"/>
        </w:rPr>
        <w:t xml:space="preserve">２ </w:t>
      </w:r>
      <w:r>
        <w:rPr>
          <w:spacing w:val="3"/>
          <w:w w:val="110"/>
        </w:rPr>
        <w:t>副救助用长柄钩</w:t>
      </w:r>
      <w:r>
        <w:rPr>
          <w:rFonts w:hint="eastAsia" w:ascii="MS UI Gothic" w:eastAsia="MS UI Gothic"/>
          <w:w w:val="80"/>
        </w:rPr>
        <w:t>ꎻ</w:t>
      </w:r>
      <w:r>
        <w:rPr>
          <w:rFonts w:hint="eastAsia" w:ascii="MS UI Gothic" w:eastAsia="MS UI Gothic"/>
          <w:spacing w:val="-39"/>
          <w:w w:val="150"/>
        </w:rPr>
        <w:t xml:space="preserve">( </w:t>
      </w:r>
      <w:r>
        <w:rPr>
          <w:spacing w:val="3"/>
          <w:w w:val="110"/>
        </w:rPr>
        <w:t>三</w:t>
      </w:r>
      <w:r>
        <w:rPr>
          <w:rFonts w:hint="eastAsia" w:ascii="MS UI Gothic" w:eastAsia="MS UI Gothic"/>
          <w:spacing w:val="-3"/>
          <w:w w:val="150"/>
        </w:rPr>
        <w:t xml:space="preserve">) </w:t>
      </w:r>
      <w:r>
        <w:rPr>
          <w:spacing w:val="-25"/>
          <w:w w:val="110"/>
        </w:rPr>
        <w:t xml:space="preserve">至少 </w:t>
      </w:r>
      <w:r>
        <w:rPr>
          <w:rFonts w:hint="eastAsia" w:ascii="MS UI Gothic" w:eastAsia="MS UI Gothic"/>
          <w:spacing w:val="-5"/>
          <w:w w:val="80"/>
        </w:rPr>
        <w:t xml:space="preserve">１ </w:t>
      </w:r>
      <w:r>
        <w:rPr>
          <w:spacing w:val="3"/>
          <w:w w:val="110"/>
        </w:rPr>
        <w:t>套抛绳器</w:t>
      </w:r>
      <w:r>
        <w:rPr>
          <w:rFonts w:hint="eastAsia" w:ascii="MS UI Gothic" w:eastAsia="MS UI Gothic"/>
          <w:w w:val="80"/>
        </w:rPr>
        <w:t>ꎻ</w:t>
      </w:r>
    </w:p>
    <w:p>
      <w:pPr>
        <w:pStyle w:val="6"/>
        <w:spacing w:line="295" w:lineRule="auto"/>
        <w:ind w:left="381" w:right="126"/>
        <w:jc w:val="right"/>
      </w:pPr>
      <w:r>
        <w:rPr>
          <w:rFonts w:hint="eastAsia" w:ascii="MS UI Gothic" w:eastAsia="MS UI Gothic"/>
          <w:w w:val="145"/>
        </w:rPr>
        <w:t xml:space="preserve">( </w:t>
      </w:r>
      <w:r>
        <w:rPr>
          <w:w w:val="105"/>
        </w:rPr>
        <w:t>四</w:t>
      </w:r>
      <w:r>
        <w:rPr>
          <w:rFonts w:hint="eastAsia" w:ascii="MS UI Gothic" w:eastAsia="MS UI Gothic"/>
          <w:w w:val="145"/>
        </w:rPr>
        <w:t xml:space="preserve">) </w:t>
      </w:r>
      <w:r>
        <w:rPr>
          <w:rFonts w:hint="eastAsia" w:ascii="MS UI Gothic" w:eastAsia="MS UI Gothic"/>
          <w:w w:val="85"/>
        </w:rPr>
        <w:t xml:space="preserve">４ </w:t>
      </w:r>
      <w:r>
        <w:rPr>
          <w:w w:val="105"/>
        </w:rPr>
        <w:t>只带自亮浮灯</w:t>
      </w:r>
      <w:r>
        <w:rPr>
          <w:rFonts w:hint="eastAsia" w:ascii="MS UI Gothic" w:eastAsia="MS UI Gothic"/>
          <w:w w:val="85"/>
        </w:rPr>
        <w:t xml:space="preserve">、 </w:t>
      </w:r>
      <w:r>
        <w:rPr>
          <w:w w:val="105"/>
        </w:rPr>
        <w:t>逆向反光带</w:t>
      </w:r>
      <w:r>
        <w:t>和绳子的救生圈</w:t>
      </w:r>
      <w:r>
        <w:rPr>
          <w:rFonts w:hint="eastAsia" w:ascii="MS UI Gothic" w:eastAsia="MS UI Gothic"/>
          <w:w w:val="85"/>
        </w:rPr>
        <w:t xml:space="preserve">ꎬ </w:t>
      </w:r>
      <w:r>
        <w:t xml:space="preserve">绳子长度不少于 </w:t>
      </w:r>
      <w:r>
        <w:rPr>
          <w:rFonts w:hint="eastAsia" w:ascii="MS UI Gothic" w:eastAsia="MS UI Gothic"/>
          <w:w w:val="85"/>
        </w:rPr>
        <w:t xml:space="preserve">３０ </w:t>
      </w:r>
      <w:r>
        <w:t>米</w:t>
      </w:r>
      <w:r>
        <w:rPr>
          <w:rFonts w:hint="eastAsia" w:ascii="MS UI Gothic" w:eastAsia="MS UI Gothic"/>
          <w:w w:val="85"/>
        </w:rPr>
        <w:t>ꎻ</w:t>
      </w:r>
      <w:r>
        <w:rPr>
          <w:rFonts w:hint="eastAsia" w:ascii="MS UI Gothic" w:eastAsia="MS UI Gothic"/>
          <w:w w:val="51"/>
        </w:rPr>
        <w:t xml:space="preserve"> </w:t>
      </w:r>
      <w:r>
        <w:rPr>
          <w:rFonts w:hint="eastAsia" w:ascii="MS UI Gothic" w:eastAsia="MS UI Gothic"/>
          <w:w w:val="145"/>
        </w:rPr>
        <w:t xml:space="preserve">( </w:t>
      </w:r>
      <w:r>
        <w:rPr>
          <w:w w:val="105"/>
        </w:rPr>
        <w:t>五</w:t>
      </w:r>
      <w:r>
        <w:rPr>
          <w:rFonts w:hint="eastAsia" w:ascii="MS UI Gothic" w:eastAsia="MS UI Gothic"/>
          <w:w w:val="145"/>
        </w:rPr>
        <w:t xml:space="preserve">) </w:t>
      </w:r>
      <w:r>
        <w:rPr>
          <w:w w:val="105"/>
        </w:rPr>
        <w:t>用于简易包扎和急救的医疗</w:t>
      </w:r>
    </w:p>
    <w:p>
      <w:pPr>
        <w:pStyle w:val="6"/>
        <w:spacing w:line="254" w:lineRule="exact"/>
        <w:ind w:left="381" w:firstLine="0"/>
        <w:jc w:val="left"/>
        <w:rPr>
          <w:rFonts w:hint="eastAsia" w:ascii="MS UI Gothic" w:eastAsia="MS UI Gothic"/>
        </w:rPr>
      </w:pPr>
      <w:r>
        <w:rPr>
          <w:spacing w:val="3"/>
          <w:w w:val="85"/>
        </w:rPr>
        <w:t>用品</w:t>
      </w:r>
      <w:r>
        <w:rPr>
          <w:rFonts w:hint="eastAsia" w:ascii="MS UI Gothic" w:eastAsia="MS UI Gothic"/>
          <w:w w:val="80"/>
        </w:rPr>
        <w:t>ꎻ</w:t>
      </w:r>
    </w:p>
    <w:p>
      <w:pPr>
        <w:pStyle w:val="6"/>
        <w:spacing w:before="57" w:line="295" w:lineRule="auto"/>
        <w:ind w:left="381" w:right="126"/>
        <w:jc w:val="left"/>
        <w:rPr>
          <w:rFonts w:hint="eastAsia" w:ascii="MS UI Gothic" w:eastAsia="MS UI Gothic"/>
        </w:rPr>
      </w:pPr>
      <w:r>
        <w:rPr>
          <w:rFonts w:hint="eastAsia" w:ascii="MS UI Gothic" w:eastAsia="MS UI Gothic"/>
          <w:spacing w:val="-34"/>
          <w:w w:val="120"/>
        </w:rPr>
        <w:t xml:space="preserve">( </w:t>
      </w:r>
      <w:r>
        <w:rPr>
          <w:spacing w:val="5"/>
          <w:w w:val="110"/>
        </w:rPr>
        <w:t>六</w:t>
      </w:r>
      <w:r>
        <w:rPr>
          <w:rFonts w:hint="eastAsia" w:ascii="MS UI Gothic" w:eastAsia="MS UI Gothic"/>
          <w:spacing w:val="-13"/>
          <w:w w:val="120"/>
        </w:rPr>
        <w:t xml:space="preserve">) </w:t>
      </w:r>
      <w:r>
        <w:rPr>
          <w:spacing w:val="23"/>
          <w:w w:val="110"/>
        </w:rPr>
        <w:t>营救区舷侧的落水人员攀登</w:t>
      </w:r>
      <w:r>
        <w:rPr>
          <w:spacing w:val="3"/>
          <w:w w:val="110"/>
        </w:rPr>
        <w:t>用网</w:t>
      </w:r>
      <w:r>
        <w:rPr>
          <w:rFonts w:hint="eastAsia" w:ascii="MS UI Gothic" w:eastAsia="MS UI Gothic"/>
          <w:w w:val="80"/>
        </w:rPr>
        <w:t>ꎻ</w:t>
      </w:r>
    </w:p>
    <w:p>
      <w:pPr>
        <w:pStyle w:val="6"/>
        <w:spacing w:line="295" w:lineRule="auto"/>
        <w:ind w:left="381" w:right="126"/>
        <w:jc w:val="left"/>
        <w:rPr>
          <w:rFonts w:hint="eastAsia" w:ascii="MS UI Gothic" w:hAnsi="MS UI Gothic" w:eastAsia="MS UI Gothic"/>
        </w:rPr>
      </w:pPr>
      <w:r>
        <w:rPr>
          <w:rFonts w:hint="eastAsia" w:ascii="MS UI Gothic" w:hAnsi="MS UI Gothic" w:eastAsia="MS UI Gothic"/>
          <w:w w:val="150"/>
        </w:rPr>
        <w:t xml:space="preserve">( </w:t>
      </w:r>
      <w:r>
        <w:rPr>
          <w:w w:val="105"/>
        </w:rPr>
        <w:t>七</w:t>
      </w:r>
      <w:r>
        <w:rPr>
          <w:rFonts w:hint="eastAsia" w:ascii="MS UI Gothic" w:hAnsi="MS UI Gothic" w:eastAsia="MS UI Gothic"/>
          <w:w w:val="150"/>
        </w:rPr>
        <w:t xml:space="preserve">) </w:t>
      </w:r>
      <w:r>
        <w:rPr>
          <w:rFonts w:hint="eastAsia" w:ascii="MS UI Gothic" w:hAnsi="MS UI Gothic" w:eastAsia="MS UI Gothic"/>
          <w:w w:val="80"/>
        </w:rPr>
        <w:t xml:space="preserve">１ </w:t>
      </w:r>
      <w:r>
        <w:rPr>
          <w:w w:val="105"/>
        </w:rPr>
        <w:t xml:space="preserve">艘符合 </w:t>
      </w:r>
      <w:r>
        <w:rPr>
          <w:rFonts w:hint="eastAsia" w:ascii="MS UI Gothic" w:hAnsi="MS UI Gothic" w:eastAsia="MS UI Gothic"/>
          <w:w w:val="80"/>
        </w:rPr>
        <w:t xml:space="preserve">« </w:t>
      </w:r>
      <w:r>
        <w:rPr>
          <w:w w:val="105"/>
        </w:rPr>
        <w:t>国际海上人命安全公约</w:t>
      </w:r>
      <w:r>
        <w:rPr>
          <w:rFonts w:hint="eastAsia" w:ascii="MS UI Gothic" w:hAnsi="MS UI Gothic" w:eastAsia="MS UI Gothic"/>
          <w:w w:val="80"/>
        </w:rPr>
        <w:t xml:space="preserve">» </w:t>
      </w:r>
      <w:r>
        <w:rPr>
          <w:w w:val="105"/>
        </w:rPr>
        <w:t>要求的救助艇</w:t>
      </w:r>
      <w:r>
        <w:rPr>
          <w:rFonts w:hint="eastAsia" w:ascii="MS UI Gothic" w:hAns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 xml:space="preserve">至少 </w:t>
      </w:r>
      <w:r>
        <w:rPr>
          <w:rFonts w:hint="eastAsia" w:ascii="MS UI Gothic" w:eastAsia="MS UI Gothic"/>
          <w:w w:val="80"/>
        </w:rPr>
        <w:t xml:space="preserve">２ </w:t>
      </w:r>
      <w:r>
        <w:rPr>
          <w:w w:val="105"/>
        </w:rPr>
        <w:t>只探照灯</w:t>
      </w:r>
      <w:r>
        <w:rPr>
          <w:rFonts w:hint="eastAsia" w:ascii="MS UI Gothic" w:eastAsia="MS UI Gothic"/>
          <w:w w:val="80"/>
        </w:rPr>
        <w:t xml:space="preserve">ꎬ </w:t>
      </w:r>
      <w:r>
        <w:rPr>
          <w:w w:val="105"/>
        </w:rPr>
        <w:t>可以提供营救作业区及周围海区照明</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至少配备两种通讯工具</w:t>
      </w:r>
      <w:r>
        <w:rPr>
          <w:rFonts w:hint="eastAsia" w:ascii="MS UI Gothic" w:eastAsia="MS UI Gothic"/>
          <w:w w:val="80"/>
        </w:rPr>
        <w:t xml:space="preserve">ꎬ </w:t>
      </w:r>
      <w:r>
        <w:rPr>
          <w:w w:val="105"/>
        </w:rPr>
        <w:t>保证</w:t>
      </w:r>
      <w:r>
        <w:t>守护船与被守护设施和陆岸基地随时</w:t>
      </w:r>
      <w:r>
        <w:rPr>
          <w:w w:val="105"/>
        </w:rPr>
        <w:t>通话</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第三十八条 守护船船员应当符合下</w:t>
      </w:r>
      <w:r>
        <w:rPr>
          <w:w w:val="115"/>
        </w:rPr>
        <w:t>列条件</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5"/>
          <w:w w:val="105"/>
        </w:rPr>
        <w:t xml:space="preserve">) </w:t>
      </w:r>
      <w:r>
        <w:rPr>
          <w:spacing w:val="5"/>
          <w:w w:val="105"/>
        </w:rPr>
        <w:t>具有船员服务簿和适任证书等</w:t>
      </w:r>
      <w:r>
        <w:rPr>
          <w:spacing w:val="3"/>
          <w:w w:val="110"/>
        </w:rPr>
        <w:t>有效证件</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14"/>
          <w:w w:val="105"/>
        </w:rPr>
        <w:t xml:space="preserve">至少有 </w:t>
      </w:r>
      <w:r>
        <w:rPr>
          <w:rFonts w:hint="eastAsia" w:ascii="MS UI Gothic" w:eastAsia="MS UI Gothic"/>
          <w:spacing w:val="4"/>
          <w:w w:val="80"/>
        </w:rPr>
        <w:t xml:space="preserve">３ </w:t>
      </w:r>
      <w:r>
        <w:rPr>
          <w:spacing w:val="8"/>
          <w:w w:val="105"/>
        </w:rPr>
        <w:t>名船员从事落水人员</w:t>
      </w:r>
      <w:r>
        <w:rPr>
          <w:spacing w:val="3"/>
          <w:w w:val="105"/>
        </w:rPr>
        <w:t>营救工作</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spacing w:val="-40"/>
          <w:w w:val="150"/>
        </w:rPr>
        <w:t xml:space="preserve">( </w:t>
      </w:r>
      <w:r>
        <w:rPr>
          <w:spacing w:val="15"/>
          <w:w w:val="110"/>
        </w:rPr>
        <w:t>三</w:t>
      </w:r>
      <w:r>
        <w:rPr>
          <w:rFonts w:hint="eastAsia" w:ascii="MS UI Gothic" w:eastAsia="MS UI Gothic"/>
          <w:spacing w:val="-7"/>
          <w:w w:val="150"/>
        </w:rPr>
        <w:t xml:space="preserve">) </w:t>
      </w:r>
      <w:r>
        <w:rPr>
          <w:spacing w:val="-5"/>
          <w:w w:val="110"/>
        </w:rPr>
        <w:t xml:space="preserve">至少有 </w:t>
      </w:r>
      <w:r>
        <w:rPr>
          <w:rFonts w:hint="eastAsia" w:ascii="MS UI Gothic" w:eastAsia="MS UI Gothic"/>
          <w:spacing w:val="-1"/>
          <w:w w:val="80"/>
        </w:rPr>
        <w:t xml:space="preserve">２ </w:t>
      </w:r>
      <w:r>
        <w:rPr>
          <w:spacing w:val="20"/>
          <w:w w:val="110"/>
        </w:rPr>
        <w:t>名船员可以操纵救</w:t>
      </w:r>
      <w:r>
        <w:rPr>
          <w:spacing w:val="3"/>
          <w:w w:val="110"/>
        </w:rPr>
        <w:t>助艇</w:t>
      </w:r>
      <w:r>
        <w:rPr>
          <w:rFonts w:hint="eastAsia" w:ascii="MS UI Gothic" w:eastAsia="MS UI Gothic"/>
          <w:w w:val="80"/>
        </w:rPr>
        <w:t>ꎻ</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１９０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598" o:spid="_x0000_s1598" o:spt="203" style="height:2.15pt;width:398.25pt;" coordsize="7965,43">
            <o:lock v:ext="edit"/>
            <v:line id="_x0000_s1599" o:spid="_x0000_s1599" o:spt="20" style="position:absolute;left:0;top:39;height:0;width:7965;" stroked="t" coordsize="21600,21600">
              <v:path arrowok="t"/>
              <v:fill focussize="0,0"/>
              <v:stroke weight="0.388031496062992pt" color="#231F20"/>
              <v:imagedata o:title=""/>
              <o:lock v:ext="edit"/>
            </v:line>
            <v:line id="_x0000_s1600" o:spid="_x0000_s160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spacing w:val="-37"/>
          <w:w w:val="150"/>
        </w:rPr>
        <w:t xml:space="preserve">( </w:t>
      </w:r>
      <w:r>
        <w:rPr>
          <w:spacing w:val="3"/>
          <w:w w:val="105"/>
        </w:rPr>
        <w:t>四</w:t>
      </w:r>
      <w:r>
        <w:rPr>
          <w:rFonts w:hint="eastAsia" w:ascii="MS UI Gothic" w:eastAsia="MS UI Gothic"/>
          <w:spacing w:val="8"/>
          <w:w w:val="150"/>
        </w:rPr>
        <w:t xml:space="preserve">) </w:t>
      </w:r>
      <w:r>
        <w:rPr>
          <w:spacing w:val="-14"/>
          <w:w w:val="105"/>
        </w:rPr>
        <w:t xml:space="preserve">至少有 </w:t>
      </w:r>
      <w:r>
        <w:rPr>
          <w:rFonts w:hint="eastAsia" w:ascii="MS UI Gothic" w:eastAsia="MS UI Gothic"/>
          <w:spacing w:val="4"/>
          <w:w w:val="80"/>
        </w:rPr>
        <w:t xml:space="preserve">２ </w:t>
      </w:r>
      <w:r>
        <w:rPr>
          <w:spacing w:val="8"/>
          <w:w w:val="105"/>
        </w:rPr>
        <w:t>名船员经过医疗急救</w:t>
      </w:r>
      <w:r>
        <w:rPr>
          <w:spacing w:val="3"/>
          <w:w w:val="105"/>
        </w:rPr>
        <w:t>培训</w:t>
      </w:r>
      <w:r>
        <w:rPr>
          <w:rFonts w:hint="eastAsia" w:ascii="MS UI Gothic" w:eastAsia="MS UI Gothic"/>
          <w:spacing w:val="-2"/>
          <w:w w:val="80"/>
        </w:rPr>
        <w:t xml:space="preserve">ꎬ </w:t>
      </w:r>
      <w:r>
        <w:rPr>
          <w:spacing w:val="3"/>
          <w:w w:val="105"/>
        </w:rPr>
        <w:t>能够承担急救处置</w:t>
      </w:r>
      <w:r>
        <w:rPr>
          <w:rFonts w:hint="eastAsia" w:ascii="MS UI Gothic" w:eastAsia="MS UI Gothic"/>
          <w:spacing w:val="-1"/>
          <w:w w:val="80"/>
        </w:rPr>
        <w:t xml:space="preserve">、 </w:t>
      </w:r>
      <w:r>
        <w:rPr>
          <w:spacing w:val="2"/>
          <w:w w:val="105"/>
        </w:rPr>
        <w:t>包扎和人工呼</w:t>
      </w:r>
      <w:r>
        <w:rPr>
          <w:spacing w:val="3"/>
          <w:w w:val="105"/>
        </w:rPr>
        <w:t>吸等工作</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定期参加营救演习</w:t>
      </w:r>
      <w:r>
        <w:rPr>
          <w:rFonts w:hint="eastAsia" w:ascii="MS UI Gothic" w:eastAsia="MS UI Gothic"/>
          <w:w w:val="80"/>
        </w:rPr>
        <w:t>ꎮ</w:t>
      </w:r>
    </w:p>
    <w:p>
      <w:pPr>
        <w:pStyle w:val="6"/>
        <w:spacing w:before="58" w:line="295" w:lineRule="auto"/>
        <w:ind w:right="38"/>
        <w:rPr>
          <w:rFonts w:hint="eastAsia" w:ascii="MS UI Gothic" w:eastAsia="MS UI Gothic"/>
        </w:rPr>
      </w:pPr>
      <w:r>
        <w:t xml:space="preserve">第三十九条 守护船的登记证明有效期为 </w:t>
      </w:r>
      <w:r>
        <w:rPr>
          <w:rFonts w:hint="eastAsia" w:ascii="MS UI Gothic" w:eastAsia="MS UI Gothic"/>
          <w:w w:val="85"/>
        </w:rPr>
        <w:t xml:space="preserve">３ </w:t>
      </w:r>
      <w:r>
        <w:t>年</w:t>
      </w:r>
      <w:r>
        <w:rPr>
          <w:rFonts w:hint="eastAsia" w:ascii="MS UI Gothic" w:eastAsia="MS UI Gothic"/>
          <w:w w:val="85"/>
        </w:rPr>
        <w:t xml:space="preserve">ꎬ </w:t>
      </w:r>
      <w:r>
        <w:t xml:space="preserve">有效期满前 </w:t>
      </w:r>
      <w:r>
        <w:rPr>
          <w:rFonts w:hint="eastAsia" w:ascii="MS UI Gothic" w:eastAsia="MS UI Gothic"/>
          <w:w w:val="85"/>
        </w:rPr>
        <w:t xml:space="preserve">１５ </w:t>
      </w:r>
      <w:r>
        <w:t>日内应当重新办理登记手续</w:t>
      </w:r>
      <w:r>
        <w:rPr>
          <w:rFonts w:hint="eastAsia" w:ascii="MS UI Gothic" w:eastAsia="MS UI Gothic"/>
          <w:w w:val="85"/>
        </w:rPr>
        <w:t>ꎮ</w:t>
      </w:r>
    </w:p>
    <w:p>
      <w:pPr>
        <w:pStyle w:val="6"/>
        <w:tabs>
          <w:tab w:val="left" w:pos="1696"/>
        </w:tabs>
        <w:spacing w:before="155"/>
        <w:ind w:left="858" w:firstLine="0"/>
        <w:jc w:val="left"/>
      </w:pPr>
      <w:r>
        <w:rPr>
          <w:spacing w:val="3"/>
          <w:w w:val="105"/>
        </w:rPr>
        <w:t>第三</w:t>
      </w:r>
      <w:r>
        <w:rPr>
          <w:w w:val="105"/>
        </w:rPr>
        <w:t>节</w:t>
      </w:r>
      <w:r>
        <w:rPr>
          <w:w w:val="105"/>
        </w:rPr>
        <w:tab/>
      </w:r>
      <w:r>
        <w:rPr>
          <w:spacing w:val="3"/>
          <w:w w:val="105"/>
        </w:rPr>
        <w:t>租用直升机管</w:t>
      </w:r>
      <w:r>
        <w:rPr>
          <w:w w:val="105"/>
        </w:rPr>
        <w:t>理</w:t>
      </w:r>
    </w:p>
    <w:p>
      <w:pPr>
        <w:pStyle w:val="6"/>
        <w:spacing w:before="10"/>
        <w:ind w:left="0" w:firstLine="0"/>
        <w:jc w:val="left"/>
        <w:rPr>
          <w:sz w:val="16"/>
        </w:rPr>
      </w:pPr>
    </w:p>
    <w:p>
      <w:pPr>
        <w:pStyle w:val="6"/>
        <w:spacing w:line="295" w:lineRule="auto"/>
        <w:ind w:right="38"/>
        <w:rPr>
          <w:rFonts w:hint="eastAsia" w:ascii="MS UI Gothic" w:eastAsia="MS UI Gothic"/>
        </w:rPr>
      </w:pPr>
      <w:r>
        <w:rPr>
          <w:w w:val="105"/>
        </w:rPr>
        <w:t>第四十条 作业者或者承包者应当对</w:t>
      </w:r>
      <w:r>
        <w:t>提供直升机的公司进行安全条件审查和</w:t>
      </w:r>
      <w:r>
        <w:rPr>
          <w:w w:val="105"/>
        </w:rPr>
        <w:t>监督</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第四十一条 直升机公司应当符合下</w:t>
      </w:r>
      <w:r>
        <w:rPr>
          <w:w w:val="115"/>
        </w:rPr>
        <w:t>列条件</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直升机持有中国民用航空局颁</w:t>
      </w:r>
      <w:r>
        <w:t>发的飞机适航证</w:t>
      </w:r>
      <w:r>
        <w:rPr>
          <w:rFonts w:hint="eastAsia" w:ascii="MS UI Gothic" w:eastAsia="MS UI Gothic"/>
          <w:w w:val="80"/>
        </w:rPr>
        <w:t xml:space="preserve">ꎬ </w:t>
      </w:r>
      <w:r>
        <w:t>并具备有效的飞机登记</w:t>
      </w:r>
      <w:r>
        <w:rPr>
          <w:w w:val="105"/>
        </w:rPr>
        <w:t>证和无线电台执照</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具有符合安全飞行条件的直升</w:t>
      </w:r>
      <w:r>
        <w:t>机</w:t>
      </w:r>
      <w:r>
        <w:rPr>
          <w:rFonts w:hint="eastAsia" w:ascii="MS UI Gothic" w:eastAsia="MS UI Gothic"/>
          <w:w w:val="80"/>
        </w:rPr>
        <w:t xml:space="preserve">ꎬ </w:t>
      </w:r>
      <w:r>
        <w:t>并达到该机型最低设备放行清单的</w:t>
      </w:r>
      <w:r>
        <w:rPr>
          <w:w w:val="105"/>
        </w:rPr>
        <w:t>标准</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具有符合安全飞行条件的驾驶员</w:t>
      </w:r>
      <w:r>
        <w:rPr>
          <w:rFonts w:hint="eastAsia" w:ascii="MS UI Gothic" w:eastAsia="MS UI Gothic"/>
          <w:w w:val="80"/>
        </w:rPr>
        <w:t xml:space="preserve">、 </w:t>
      </w:r>
      <w:r>
        <w:rPr>
          <w:w w:val="105"/>
        </w:rPr>
        <w:t>机务维护人员和技术检查人员</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对直升机驾驶员进行夜航和救生训练</w:t>
      </w:r>
      <w:r>
        <w:rPr>
          <w:rFonts w:hint="eastAsia" w:ascii="MS UI Gothic" w:eastAsia="MS UI Gothic"/>
          <w:w w:val="80"/>
        </w:rPr>
        <w:t xml:space="preserve">ꎬ </w:t>
      </w:r>
      <w:r>
        <w:rPr>
          <w:w w:val="105"/>
        </w:rPr>
        <w:t>保证完成规定的训练小时数</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需要应急救援时</w:t>
      </w:r>
      <w:r>
        <w:rPr>
          <w:rFonts w:hint="eastAsia" w:ascii="MS UI Gothic" w:eastAsia="MS UI Gothic"/>
          <w:w w:val="80"/>
        </w:rPr>
        <w:t xml:space="preserve">ꎬ </w:t>
      </w:r>
      <w:r>
        <w:rPr>
          <w:w w:val="105"/>
        </w:rPr>
        <w:t>备有可以调用的直升机</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完善和落实飞行安全的各种规</w:t>
      </w:r>
      <w:r>
        <w:t>章制度</w:t>
      </w:r>
      <w:r>
        <w:rPr>
          <w:rFonts w:hint="eastAsia" w:ascii="MS UI Gothic" w:eastAsia="MS UI Gothic"/>
          <w:w w:val="80"/>
        </w:rPr>
        <w:t xml:space="preserve">ꎬ </w:t>
      </w:r>
      <w:r>
        <w:t>杜绝超气象条件和不按规定的航</w:t>
      </w:r>
      <w:r>
        <w:rPr>
          <w:w w:val="105"/>
        </w:rPr>
        <w:t>线和高度飞行</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第四十二条 直升机应当配备下列应</w:t>
      </w:r>
      <w:r>
        <w:rPr>
          <w:w w:val="110"/>
        </w:rPr>
        <w:t>急救助设备</w:t>
      </w:r>
      <w:r>
        <w:rPr>
          <w:rFonts w:hint="eastAsia" w:ascii="MS UI Gothic" w:eastAsia="MS UI Gothic"/>
          <w:w w:val="235"/>
        </w:rPr>
        <w:t>:</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直升机应急浮筒</w:t>
      </w:r>
      <w:r>
        <w:rPr>
          <w:rFonts w:hint="eastAsia" w:ascii="MS UI Gothic" w:eastAsia="MS UI Gothic"/>
          <w:w w:val="80"/>
        </w:rPr>
        <w:t>ꎻ</w:t>
      </w:r>
    </w:p>
    <w:p>
      <w:pPr>
        <w:pStyle w:val="6"/>
        <w:spacing w:before="43" w:line="295" w:lineRule="auto"/>
        <w:ind w:right="38"/>
        <w:rPr>
          <w:rFonts w:hint="eastAsia" w:ascii="MS UI Gothic" w:hAnsi="MS UI Gothic" w:eastAsia="MS UI Gothic"/>
        </w:rPr>
      </w:pPr>
      <w:r>
        <w:rPr>
          <w:rFonts w:hint="eastAsia" w:ascii="MS UI Gothic" w:hAnsi="MS UI Gothic" w:eastAsia="MS UI Gothic"/>
          <w:spacing w:val="-36"/>
          <w:w w:val="145"/>
        </w:rPr>
        <w:t xml:space="preserve">( </w:t>
      </w:r>
      <w:r>
        <w:rPr>
          <w:spacing w:val="3"/>
          <w:w w:val="105"/>
        </w:rPr>
        <w:t>二</w:t>
      </w:r>
      <w:r>
        <w:rPr>
          <w:rFonts w:hint="eastAsia" w:ascii="MS UI Gothic" w:hAnsi="MS UI Gothic" w:eastAsia="MS UI Gothic"/>
          <w:spacing w:val="6"/>
          <w:w w:val="145"/>
        </w:rPr>
        <w:t xml:space="preserve">) </w:t>
      </w:r>
      <w:r>
        <w:rPr>
          <w:spacing w:val="5"/>
          <w:w w:val="105"/>
        </w:rPr>
        <w:t>携带可以供机上所有人员使用</w:t>
      </w:r>
      <w:r>
        <w:rPr>
          <w:spacing w:val="-3"/>
          <w:w w:val="105"/>
        </w:rPr>
        <w:t xml:space="preserve">的海上救生衣 </w:t>
      </w:r>
      <w:r>
        <w:rPr>
          <w:rFonts w:hint="eastAsia" w:ascii="MS UI Gothic" w:hAnsi="MS UI Gothic" w:eastAsia="MS UI Gothic"/>
          <w:spacing w:val="-36"/>
          <w:w w:val="145"/>
        </w:rPr>
        <w:t xml:space="preserve">( </w:t>
      </w:r>
      <w:r>
        <w:rPr>
          <w:spacing w:val="-5"/>
          <w:w w:val="105"/>
        </w:rPr>
        <w:t xml:space="preserve">在水温低于 </w:t>
      </w:r>
      <w:r>
        <w:rPr>
          <w:rFonts w:hint="eastAsia" w:ascii="MS UI Gothic" w:hAnsi="MS UI Gothic" w:eastAsia="MS UI Gothic"/>
          <w:spacing w:val="1"/>
          <w:w w:val="85"/>
        </w:rPr>
        <w:t xml:space="preserve">１０ </w:t>
      </w:r>
      <w:r>
        <w:rPr>
          <w:rFonts w:hint="eastAsia" w:ascii="MS UI Gothic" w:hAnsi="MS UI Gothic" w:eastAsia="MS UI Gothic"/>
          <w:spacing w:val="-19"/>
          <w:w w:val="105"/>
        </w:rPr>
        <w:t xml:space="preserve">℃ </w:t>
      </w:r>
      <w:r>
        <w:rPr>
          <w:spacing w:val="7"/>
          <w:w w:val="105"/>
        </w:rPr>
        <w:t>的海域</w:t>
      </w:r>
      <w:r>
        <w:rPr>
          <w:spacing w:val="20"/>
          <w:w w:val="105"/>
        </w:rPr>
        <w:t>应当配备保温救生服</w:t>
      </w:r>
      <w:r>
        <w:rPr>
          <w:rFonts w:hint="eastAsia" w:ascii="MS UI Gothic" w:hAnsi="MS UI Gothic" w:eastAsia="MS UI Gothic"/>
          <w:spacing w:val="21"/>
          <w:w w:val="145"/>
        </w:rPr>
        <w:t>)</w:t>
      </w:r>
      <w:r>
        <w:rPr>
          <w:rFonts w:hint="eastAsia" w:ascii="MS UI Gothic" w:hAnsi="MS UI Gothic" w:eastAsia="MS UI Gothic"/>
          <w:spacing w:val="8"/>
          <w:w w:val="85"/>
        </w:rPr>
        <w:t xml:space="preserve">、 </w:t>
      </w:r>
      <w:r>
        <w:rPr>
          <w:spacing w:val="18"/>
          <w:w w:val="105"/>
        </w:rPr>
        <w:t>救生筏及救生</w:t>
      </w:r>
      <w:r>
        <w:rPr>
          <w:spacing w:val="3"/>
        </w:rPr>
        <w:t>包</w:t>
      </w:r>
      <w:r>
        <w:rPr>
          <w:rFonts w:hint="eastAsia" w:ascii="MS UI Gothic" w:hAnsi="MS UI Gothic" w:eastAsia="MS UI Gothic"/>
          <w:spacing w:val="11"/>
          <w:w w:val="85"/>
        </w:rPr>
        <w:t xml:space="preserve">ꎬ </w:t>
      </w:r>
      <w:r>
        <w:rPr>
          <w:spacing w:val="31"/>
        </w:rPr>
        <w:t>并备有可以供直升机使用的救生</w:t>
      </w:r>
      <w:r>
        <w:rPr>
          <w:spacing w:val="3"/>
          <w:w w:val="105"/>
        </w:rPr>
        <w:t>绞车</w:t>
      </w:r>
      <w:r>
        <w:rPr>
          <w:rFonts w:hint="eastAsia" w:ascii="MS UI Gothic" w:hAnsi="MS UI Gothic" w:eastAsia="MS UI Gothic"/>
          <w:w w:val="85"/>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直升机两侧有能够投弃的舱门或者具备足够的紧急逃生舱口</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w w:val="105"/>
        </w:rPr>
        <w:t>第四十三条 在额定载荷条件下</w:t>
      </w:r>
      <w:r>
        <w:rPr>
          <w:rFonts w:hint="eastAsia" w:ascii="MS UI Gothic" w:eastAsia="MS UI Gothic"/>
          <w:w w:val="80"/>
        </w:rPr>
        <w:t xml:space="preserve">ꎬ </w:t>
      </w:r>
      <w:r>
        <w:rPr>
          <w:w w:val="105"/>
        </w:rPr>
        <w:t>直</w:t>
      </w:r>
      <w:r>
        <w:t>升机应当具有航行于飞行基地与海上石油</w:t>
      </w:r>
      <w:r>
        <w:rPr>
          <w:w w:val="105"/>
        </w:rPr>
        <w:t>设施之间的适航能力和夜航能力</w:t>
      </w:r>
      <w:r>
        <w:rPr>
          <w:rFonts w:hint="eastAsia" w:ascii="MS UI Gothic" w:eastAsia="MS UI Gothic"/>
          <w:w w:val="80"/>
        </w:rPr>
        <w:t>ꎮ</w:t>
      </w:r>
    </w:p>
    <w:p>
      <w:pPr>
        <w:pStyle w:val="6"/>
        <w:spacing w:line="295" w:lineRule="auto"/>
        <w:ind w:right="442"/>
        <w:rPr>
          <w:rFonts w:hint="eastAsia" w:ascii="MS UI Gothic" w:eastAsia="MS UI Gothic"/>
        </w:rPr>
      </w:pPr>
      <w:r>
        <w:t>第四十四条 飞行作业前</w:t>
      </w:r>
      <w:r>
        <w:rPr>
          <w:rFonts w:hint="eastAsia" w:ascii="MS UI Gothic" w:eastAsia="MS UI Gothic"/>
          <w:w w:val="80"/>
        </w:rPr>
        <w:t xml:space="preserve">ꎬ </w:t>
      </w:r>
      <w:r>
        <w:t>直升机所属公司应当制定安全应急程序</w:t>
      </w:r>
      <w:r>
        <w:rPr>
          <w:rFonts w:hint="eastAsia" w:ascii="MS UI Gothic" w:eastAsia="MS UI Gothic"/>
          <w:w w:val="80"/>
        </w:rPr>
        <w:t xml:space="preserve">ꎬ </w:t>
      </w:r>
      <w:r>
        <w:t>并与作业者或者承包者编制的应急预案相协调</w:t>
      </w:r>
      <w:r>
        <w:rPr>
          <w:rFonts w:hint="eastAsia" w:ascii="MS UI Gothic" w:eastAsia="MS UI Gothic"/>
          <w:w w:val="80"/>
        </w:rPr>
        <w:t>ꎮ</w:t>
      </w:r>
    </w:p>
    <w:p>
      <w:pPr>
        <w:pStyle w:val="6"/>
        <w:spacing w:line="295" w:lineRule="auto"/>
        <w:ind w:right="442"/>
        <w:rPr>
          <w:rFonts w:hint="eastAsia" w:ascii="MS UI Gothic" w:eastAsia="MS UI Gothic"/>
        </w:rPr>
      </w:pPr>
      <w:r>
        <w:t xml:space="preserve">第四十五条 直升机在飞行作业中必须配有 </w:t>
      </w:r>
      <w:r>
        <w:rPr>
          <w:rFonts w:hint="eastAsia" w:ascii="MS UI Gothic" w:eastAsia="MS UI Gothic"/>
          <w:w w:val="80"/>
        </w:rPr>
        <w:t xml:space="preserve">２ </w:t>
      </w:r>
      <w:r>
        <w:t>名驾驶员</w:t>
      </w:r>
      <w:r>
        <w:rPr>
          <w:rFonts w:hint="eastAsia" w:ascii="MS UI Gothic" w:eastAsia="MS UI Gothic"/>
          <w:w w:val="80"/>
        </w:rPr>
        <w:t xml:space="preserve">ꎬ </w:t>
      </w:r>
      <w:r>
        <w:t xml:space="preserve">并指定其中 </w:t>
      </w:r>
      <w:r>
        <w:rPr>
          <w:rFonts w:hint="eastAsia" w:ascii="MS UI Gothic" w:eastAsia="MS UI Gothic"/>
          <w:w w:val="80"/>
        </w:rPr>
        <w:t xml:space="preserve">１ </w:t>
      </w:r>
      <w:r>
        <w:t>人为责任机长</w:t>
      </w:r>
      <w:r>
        <w:rPr>
          <w:rFonts w:hint="eastAsia" w:ascii="MS UI Gothic" w:eastAsia="MS UI Gothic"/>
          <w:w w:val="80"/>
        </w:rPr>
        <w:t xml:space="preserve">ꎻ </w:t>
      </w:r>
      <w:r>
        <w:t>由中外籍驾驶员合作驾驶的直升机</w:t>
      </w:r>
      <w:r>
        <w:rPr>
          <w:rFonts w:hint="eastAsia" w:ascii="MS UI Gothic" w:eastAsia="MS UI Gothic"/>
          <w:w w:val="80"/>
        </w:rPr>
        <w:t xml:space="preserve">ꎬ ２ </w:t>
      </w:r>
      <w:r>
        <w:t>名驾驶员应当有相应的语言技能水平</w:t>
      </w:r>
      <w:r>
        <w:rPr>
          <w:rFonts w:hint="eastAsia" w:ascii="MS UI Gothic" w:eastAsia="MS UI Gothic"/>
          <w:w w:val="80"/>
        </w:rPr>
        <w:t xml:space="preserve">ꎬ </w:t>
      </w:r>
      <w:r>
        <w:t>能够直接交流对话</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第四十六条 作业者或者承包者及直</w:t>
      </w:r>
      <w:r>
        <w:rPr>
          <w:spacing w:val="8"/>
          <w:w w:val="105"/>
        </w:rPr>
        <w:t xml:space="preserve">升机所属公司必须确保飞行基地 </w:t>
      </w:r>
      <w:r>
        <w:rPr>
          <w:rFonts w:hint="eastAsia" w:ascii="MS UI Gothic" w:eastAsia="MS UI Gothic"/>
          <w:spacing w:val="-36"/>
          <w:w w:val="150"/>
        </w:rPr>
        <w:t xml:space="preserve">( </w:t>
      </w:r>
      <w:r>
        <w:rPr>
          <w:spacing w:val="9"/>
          <w:w w:val="105"/>
        </w:rPr>
        <w:t>或者</w:t>
      </w:r>
      <w:r>
        <w:rPr>
          <w:spacing w:val="10"/>
          <w:w w:val="105"/>
        </w:rPr>
        <w:t>备用机场</w:t>
      </w:r>
      <w:r>
        <w:rPr>
          <w:rFonts w:hint="eastAsia" w:ascii="MS UI Gothic" w:eastAsia="MS UI Gothic"/>
          <w:spacing w:val="-4"/>
          <w:w w:val="150"/>
        </w:rPr>
        <w:t xml:space="preserve">) </w:t>
      </w:r>
      <w:r>
        <w:rPr>
          <w:spacing w:val="15"/>
          <w:w w:val="105"/>
        </w:rPr>
        <w:t>和海上石油设施上的直升机</w:t>
      </w:r>
      <w:r>
        <w:rPr>
          <w:spacing w:val="3"/>
          <w:w w:val="105"/>
        </w:rPr>
        <w:t>起降设备处于安全和适用状态</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第四十七条 作业者或者承包者及直</w:t>
      </w:r>
      <w:r>
        <w:rPr>
          <w:spacing w:val="3"/>
        </w:rPr>
        <w:t>升机所属公司</w:t>
      </w:r>
      <w:r>
        <w:rPr>
          <w:rFonts w:hint="eastAsia" w:ascii="MS UI Gothic" w:eastAsia="MS UI Gothic"/>
          <w:spacing w:val="20"/>
          <w:w w:val="80"/>
        </w:rPr>
        <w:t xml:space="preserve">ꎬ </w:t>
      </w:r>
      <w:r>
        <w:rPr>
          <w:spacing w:val="2"/>
        </w:rPr>
        <w:t>应当通过协商制订飞行条</w:t>
      </w:r>
      <w:r>
        <w:rPr>
          <w:spacing w:val="3"/>
        </w:rPr>
        <w:t>件与应急飞行</w:t>
      </w:r>
      <w:r>
        <w:rPr>
          <w:rFonts w:hint="eastAsia" w:ascii="MS UI Gothic" w:eastAsia="MS UI Gothic"/>
          <w:spacing w:val="22"/>
          <w:w w:val="80"/>
        </w:rPr>
        <w:t xml:space="preserve">、 </w:t>
      </w:r>
      <w:r>
        <w:rPr>
          <w:spacing w:val="3"/>
        </w:rPr>
        <w:t>乘机安全</w:t>
      </w:r>
      <w:r>
        <w:rPr>
          <w:rFonts w:hint="eastAsia" w:ascii="MS UI Gothic" w:eastAsia="MS UI Gothic"/>
          <w:spacing w:val="23"/>
          <w:w w:val="80"/>
        </w:rPr>
        <w:t xml:space="preserve">、 </w:t>
      </w:r>
      <w:r>
        <w:rPr>
          <w:spacing w:val="2"/>
        </w:rPr>
        <w:t>载物安全和飞</w:t>
      </w:r>
      <w:r>
        <w:rPr>
          <w:spacing w:val="3"/>
        </w:rPr>
        <w:t>行故障</w:t>
      </w:r>
      <w:r>
        <w:rPr>
          <w:rFonts w:hint="eastAsia" w:ascii="MS UI Gothic" w:eastAsia="MS UI Gothic"/>
          <w:spacing w:val="4"/>
          <w:w w:val="80"/>
        </w:rPr>
        <w:t xml:space="preserve">、 </w:t>
      </w:r>
      <w:r>
        <w:rPr>
          <w:spacing w:val="3"/>
        </w:rPr>
        <w:t>飞行事故报告等制度</w:t>
      </w:r>
      <w:r>
        <w:rPr>
          <w:rFonts w:hint="eastAsia" w:ascii="MS UI Gothic" w:eastAsia="MS UI Gothic"/>
          <w:w w:val="80"/>
        </w:rPr>
        <w:t>ꎮ</w:t>
      </w:r>
    </w:p>
    <w:p>
      <w:pPr>
        <w:pStyle w:val="6"/>
        <w:tabs>
          <w:tab w:val="left" w:pos="1906"/>
        </w:tabs>
        <w:spacing w:before="142"/>
        <w:ind w:left="1067" w:firstLine="0"/>
        <w:jc w:val="left"/>
      </w:pPr>
      <w:r>
        <w:rPr>
          <w:spacing w:val="3"/>
          <w:w w:val="105"/>
        </w:rPr>
        <w:t>第四</w:t>
      </w:r>
      <w:r>
        <w:rPr>
          <w:w w:val="105"/>
        </w:rPr>
        <w:t>节</w:t>
      </w:r>
      <w:r>
        <w:rPr>
          <w:w w:val="105"/>
        </w:rPr>
        <w:tab/>
      </w:r>
      <w:r>
        <w:rPr>
          <w:w w:val="105"/>
        </w:rPr>
        <w:t>电</w:t>
      </w:r>
      <w:r>
        <w:rPr>
          <w:spacing w:val="-38"/>
          <w:w w:val="105"/>
        </w:rPr>
        <w:t xml:space="preserve"> </w:t>
      </w:r>
      <w:r>
        <w:rPr>
          <w:w w:val="105"/>
        </w:rPr>
        <w:t>气</w:t>
      </w:r>
      <w:r>
        <w:rPr>
          <w:spacing w:val="-38"/>
          <w:w w:val="105"/>
        </w:rPr>
        <w:t xml:space="preserve"> </w:t>
      </w:r>
      <w:r>
        <w:rPr>
          <w:w w:val="105"/>
        </w:rPr>
        <w:t>管</w:t>
      </w:r>
      <w:r>
        <w:rPr>
          <w:spacing w:val="-38"/>
          <w:w w:val="105"/>
        </w:rPr>
        <w:t xml:space="preserve"> </w:t>
      </w:r>
      <w:r>
        <w:rPr>
          <w:w w:val="105"/>
        </w:rPr>
        <w:t>理</w:t>
      </w:r>
    </w:p>
    <w:p>
      <w:pPr>
        <w:pStyle w:val="6"/>
        <w:spacing w:before="10"/>
        <w:ind w:left="0" w:firstLine="0"/>
        <w:jc w:val="left"/>
        <w:rPr>
          <w:sz w:val="16"/>
        </w:rPr>
      </w:pPr>
    </w:p>
    <w:p>
      <w:pPr>
        <w:pStyle w:val="6"/>
        <w:spacing w:before="1" w:line="295" w:lineRule="auto"/>
        <w:ind w:right="442"/>
        <w:rPr>
          <w:rFonts w:hint="eastAsia" w:ascii="MS UI Gothic" w:eastAsia="MS UI Gothic"/>
        </w:rPr>
      </w:pPr>
      <w:r>
        <w:rPr>
          <w:spacing w:val="4"/>
        </w:rPr>
        <w:t>第四十八条 设施应当制定电气设备</w:t>
      </w:r>
      <w:r>
        <w:rPr>
          <w:spacing w:val="3"/>
        </w:rPr>
        <w:t>检修前后的安全检查</w:t>
      </w:r>
      <w:r>
        <w:rPr>
          <w:rFonts w:hint="eastAsia" w:ascii="MS UI Gothic" w:eastAsia="MS UI Gothic"/>
          <w:spacing w:val="22"/>
          <w:w w:val="80"/>
        </w:rPr>
        <w:t xml:space="preserve">、 </w:t>
      </w:r>
      <w:r>
        <w:rPr>
          <w:spacing w:val="3"/>
        </w:rPr>
        <w:t>日常运行检查</w:t>
      </w:r>
      <w:r>
        <w:rPr>
          <w:rFonts w:hint="eastAsia" w:ascii="MS UI Gothic" w:eastAsia="MS UI Gothic"/>
          <w:spacing w:val="23"/>
          <w:w w:val="80"/>
        </w:rPr>
        <w:t xml:space="preserve">、 </w:t>
      </w:r>
      <w:r>
        <w:t>安</w:t>
      </w:r>
      <w:r>
        <w:rPr>
          <w:spacing w:val="3"/>
        </w:rPr>
        <w:t>全技术检查</w:t>
      </w:r>
      <w:r>
        <w:rPr>
          <w:rFonts w:hint="eastAsia" w:ascii="MS UI Gothic" w:eastAsia="MS UI Gothic"/>
          <w:spacing w:val="11"/>
          <w:w w:val="80"/>
        </w:rPr>
        <w:t xml:space="preserve">、 </w:t>
      </w:r>
      <w:r>
        <w:rPr>
          <w:spacing w:val="3"/>
        </w:rPr>
        <w:t>定期安全检查等制度</w:t>
      </w:r>
      <w:r>
        <w:rPr>
          <w:rFonts w:hint="eastAsia" w:ascii="MS UI Gothic" w:eastAsia="MS UI Gothic"/>
          <w:spacing w:val="11"/>
          <w:w w:val="80"/>
        </w:rPr>
        <w:t xml:space="preserve">ꎬ </w:t>
      </w:r>
      <w:r>
        <w:rPr>
          <w:spacing w:val="1"/>
        </w:rPr>
        <w:t>建立</w:t>
      </w:r>
      <w:r>
        <w:rPr>
          <w:spacing w:val="3"/>
        </w:rPr>
        <w:t>健全电气设备的维修操作</w:t>
      </w:r>
      <w:r>
        <w:rPr>
          <w:rFonts w:hint="eastAsia" w:ascii="MS UI Gothic" w:eastAsia="MS UI Gothic"/>
          <w:spacing w:val="16"/>
          <w:w w:val="80"/>
        </w:rPr>
        <w:t xml:space="preserve">、 </w:t>
      </w:r>
      <w:r>
        <w:rPr>
          <w:spacing w:val="2"/>
        </w:rPr>
        <w:t>电焊操作和手</w:t>
      </w:r>
      <w:r>
        <w:rPr>
          <w:spacing w:val="27"/>
        </w:rPr>
        <w:t>持电动工具操作等安全规程</w:t>
      </w:r>
      <w:r>
        <w:rPr>
          <w:rFonts w:hint="eastAsia" w:ascii="MS UI Gothic" w:eastAsia="MS UI Gothic"/>
          <w:spacing w:val="2"/>
          <w:w w:val="80"/>
        </w:rPr>
        <w:t xml:space="preserve">ꎬ </w:t>
      </w:r>
      <w:r>
        <w:rPr>
          <w:spacing w:val="24"/>
        </w:rPr>
        <w:t>并严格</w:t>
      </w:r>
      <w:r>
        <w:rPr>
          <w:spacing w:val="3"/>
        </w:rPr>
        <w:t>执行</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第四十九条 电气管理应当符合下列</w:t>
      </w:r>
      <w:r>
        <w:rPr>
          <w:spacing w:val="3"/>
          <w:w w:val="115"/>
        </w:rPr>
        <w:t>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按照国家规定配备和使用电工安全用具</w:t>
      </w:r>
      <w:r>
        <w:rPr>
          <w:rFonts w:hint="eastAsia" w:ascii="MS UI Gothic" w:eastAsia="MS UI Gothic"/>
          <w:w w:val="80"/>
        </w:rPr>
        <w:t xml:space="preserve">ꎬ </w:t>
      </w:r>
      <w:r>
        <w:rPr>
          <w:w w:val="105"/>
        </w:rPr>
        <w:t>并按规定定期检查和校验</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遇停电</w:t>
      </w:r>
      <w:r>
        <w:rPr>
          <w:rFonts w:hint="eastAsia" w:ascii="MS UI Gothic" w:eastAsia="MS UI Gothic"/>
          <w:w w:val="80"/>
        </w:rPr>
        <w:t xml:space="preserve">、 </w:t>
      </w:r>
      <w:r>
        <w:rPr>
          <w:w w:val="105"/>
        </w:rPr>
        <w:t>送电</w:t>
      </w:r>
      <w:r>
        <w:rPr>
          <w:rFonts w:hint="eastAsia" w:ascii="MS UI Gothic" w:eastAsia="MS UI Gothic"/>
          <w:w w:val="80"/>
        </w:rPr>
        <w:t xml:space="preserve">、 </w:t>
      </w:r>
      <w:r>
        <w:rPr>
          <w:w w:val="105"/>
        </w:rPr>
        <w:t>倒闸</w:t>
      </w:r>
      <w:r>
        <w:rPr>
          <w:rFonts w:hint="eastAsia" w:ascii="MS UI Gothic" w:eastAsia="MS UI Gothic"/>
          <w:w w:val="80"/>
        </w:rPr>
        <w:t xml:space="preserve">、 </w:t>
      </w:r>
      <w:r>
        <w:rPr>
          <w:w w:val="105"/>
        </w:rPr>
        <w:t>带电作</w:t>
      </w:r>
      <w:r>
        <w:t>业和临时用电等情况</w:t>
      </w:r>
      <w:r>
        <w:rPr>
          <w:rFonts w:hint="eastAsia" w:ascii="MS UI Gothic" w:eastAsia="MS UI Gothic"/>
          <w:w w:val="80"/>
        </w:rPr>
        <w:t xml:space="preserve">ꎬ </w:t>
      </w:r>
      <w:r>
        <w:t>按照有关作业许可制度进行审批</w:t>
      </w:r>
      <w:r>
        <w:rPr>
          <w:rFonts w:hint="eastAsia" w:ascii="MS UI Gothic" w:eastAsia="MS UI Gothic"/>
          <w:w w:val="80"/>
        </w:rPr>
        <w:t xml:space="preserve">ꎮ </w:t>
      </w:r>
      <w:r>
        <w:t>临时用电作业结束后</w:t>
      </w:r>
      <w:r>
        <w:rPr>
          <w:rFonts w:hint="eastAsia" w:ascii="MS UI Gothic" w:eastAsia="MS UI Gothic"/>
          <w:w w:val="80"/>
        </w:rPr>
        <w:t xml:space="preserve">ꎬ </w:t>
      </w:r>
      <w:r>
        <w:t>立</w:t>
      </w:r>
      <w:r>
        <w:rPr>
          <w:w w:val="105"/>
        </w:rPr>
        <w:t>即拆除增加的电气设备和线路</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按照国家标准规定的颜色和图形</w:t>
      </w:r>
      <w:r>
        <w:rPr>
          <w:rFonts w:hint="eastAsia" w:ascii="MS UI Gothic" w:eastAsia="MS UI Gothic"/>
          <w:w w:val="80"/>
        </w:rPr>
        <w:t xml:space="preserve">ꎬ </w:t>
      </w:r>
      <w:r>
        <w:rPr>
          <w:w w:val="105"/>
        </w:rPr>
        <w:t>对电气设备和线路作出明显</w:t>
      </w:r>
      <w:r>
        <w:rPr>
          <w:rFonts w:hint="eastAsia" w:ascii="MS UI Gothic" w:eastAsia="MS UI Gothic"/>
          <w:w w:val="80"/>
        </w:rPr>
        <w:t xml:space="preserve">、 </w:t>
      </w:r>
      <w:r>
        <w:rPr>
          <w:w w:val="105"/>
        </w:rPr>
        <w:t>准确的标识</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电气设备作业期间</w:t>
      </w:r>
      <w:r>
        <w:rPr>
          <w:rFonts w:hint="eastAsia" w:ascii="MS UI Gothic" w:eastAsia="MS UI Gothic"/>
          <w:w w:val="80"/>
        </w:rPr>
        <w:t xml:space="preserve">ꎬ </w:t>
      </w:r>
      <w:r>
        <w:rPr>
          <w:w w:val="110"/>
        </w:rPr>
        <w:t xml:space="preserve">至少有 </w:t>
      </w:r>
      <w:r>
        <w:rPr>
          <w:rFonts w:hint="eastAsia" w:ascii="MS UI Gothic" w:eastAsia="MS UI Gothic"/>
          <w:w w:val="80"/>
        </w:rPr>
        <w:t>１</w:t>
      </w:r>
    </w:p>
    <w:p>
      <w:pPr>
        <w:spacing w:after="0" w:line="254" w:lineRule="exac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5"/>
        <w:ind w:left="0" w:firstLine="0"/>
        <w:jc w:val="left"/>
        <w:rPr>
          <w:sz w:val="19"/>
        </w:rPr>
      </w:pPr>
    </w:p>
    <w:p>
      <w:pPr>
        <w:pStyle w:val="6"/>
        <w:spacing w:before="1" w:line="310" w:lineRule="atLeast"/>
        <w:ind w:left="440" w:right="927" w:firstLine="0"/>
        <w:jc w:val="left"/>
        <w:rPr>
          <w:rFonts w:hint="eastAsia" w:ascii="MS UI Gothic" w:eastAsia="MS UI Gothic"/>
        </w:rPr>
      </w:pPr>
      <w:r>
        <w:t>名电气作业经验丰富的监护人进行实时</w:t>
      </w:r>
      <w:r>
        <w:rPr>
          <w:w w:val="105"/>
        </w:rPr>
        <w:t>监护</w:t>
      </w:r>
      <w:r>
        <w:rPr>
          <w:rFonts w:hint="eastAsia" w:ascii="MS UI Gothic" w:eastAsia="MS UI Gothic"/>
          <w:w w:val="80"/>
        </w:rPr>
        <w:t>ꎻ</w:t>
      </w:r>
    </w:p>
    <w:p>
      <w:pPr>
        <w:pStyle w:val="6"/>
        <w:ind w:left="0" w:firstLine="0"/>
        <w:jc w:val="left"/>
        <w:rPr>
          <w:rFonts w:ascii="MS UI Gothic"/>
          <w:sz w:val="22"/>
        </w:rPr>
      </w:pPr>
      <w:r>
        <w:br w:type="column"/>
      </w:r>
    </w:p>
    <w:p>
      <w:pPr>
        <w:pStyle w:val="6"/>
        <w:ind w:left="0" w:firstLine="0"/>
        <w:jc w:val="left"/>
        <w:rPr>
          <w:rFonts w:ascii="MS UI Gothic"/>
          <w:sz w:val="22"/>
        </w:rPr>
      </w:pPr>
    </w:p>
    <w:p>
      <w:pPr>
        <w:pStyle w:val="6"/>
        <w:spacing w:before="11"/>
        <w:ind w:left="0" w:firstLine="0"/>
        <w:jc w:val="left"/>
        <w:rPr>
          <w:rFonts w:ascii="MS UI Gothic"/>
          <w:sz w:val="23"/>
        </w:rPr>
      </w:pPr>
    </w:p>
    <w:p>
      <w:pPr>
        <w:pStyle w:val="6"/>
        <w:tabs>
          <w:tab w:val="left" w:pos="1234"/>
        </w:tabs>
        <w:ind w:left="396" w:firstLine="0"/>
        <w:jc w:val="left"/>
      </w:pPr>
      <w:r>
        <w:pict>
          <v:shape id="_x0000_s1601" o:spid="_x0000_s1601" style="position:absolute;left:0pt;margin-left:0pt;margin-top:656.65pt;height:1.75pt;width:398.25pt;mso-position-horizontal-relative:page;z-index:251889664;mso-width-relative:page;mso-height-relative:page;" filled="f" stroked="t" coordorigin="0,13133" coordsize="7965,35" path="m1419,-353l9384,-353m1419,-388l9384,-388e">
            <v:path arrowok="t"/>
            <v:fill on="f" focussize="0,0"/>
            <v:stroke weight="0.388031496062992pt" color="#231F20"/>
            <v:imagedata o:title=""/>
            <o:lock v:ext="edit"/>
          </v:shape>
        </w:pict>
      </w:r>
      <w:r>
        <w:rPr>
          <w:spacing w:val="3"/>
          <w:w w:val="105"/>
        </w:rPr>
        <w:t>第五</w:t>
      </w:r>
      <w:r>
        <w:rPr>
          <w:w w:val="105"/>
        </w:rPr>
        <w:t>节</w:t>
      </w:r>
      <w:r>
        <w:rPr>
          <w:w w:val="105"/>
        </w:rPr>
        <w:tab/>
      </w:r>
      <w:r>
        <w:rPr>
          <w:w w:val="105"/>
        </w:rPr>
        <w:t>井</w:t>
      </w:r>
      <w:r>
        <w:rPr>
          <w:spacing w:val="-38"/>
          <w:w w:val="105"/>
        </w:rPr>
        <w:t xml:space="preserve"> </w:t>
      </w:r>
      <w:r>
        <w:rPr>
          <w:w w:val="105"/>
        </w:rPr>
        <w:t>控</w:t>
      </w:r>
      <w:r>
        <w:rPr>
          <w:spacing w:val="-37"/>
          <w:w w:val="105"/>
        </w:rPr>
        <w:t xml:space="preserve"> </w:t>
      </w:r>
      <w:r>
        <w:rPr>
          <w:w w:val="105"/>
        </w:rPr>
        <w:t>管</w:t>
      </w:r>
      <w:r>
        <w:rPr>
          <w:spacing w:val="-37"/>
          <w:w w:val="105"/>
        </w:rPr>
        <w:t xml:space="preserve"> </w:t>
      </w:r>
      <w:r>
        <w:rPr>
          <w:spacing w:val="-17"/>
          <w:w w:val="105"/>
        </w:rPr>
        <w:t>理</w:t>
      </w:r>
    </w:p>
    <w:p>
      <w:pPr>
        <w:pStyle w:val="6"/>
        <w:spacing w:before="159"/>
        <w:ind w:left="14" w:firstLine="0"/>
        <w:jc w:val="left"/>
        <w:rPr>
          <w:rFonts w:hint="eastAsia" w:ascii="MS UI Gothic" w:eastAsia="MS UI Gothic"/>
        </w:rPr>
      </w:pPr>
      <w:r>
        <w:br w:type="column"/>
      </w:r>
      <w:r>
        <w:rPr>
          <w:rFonts w:hint="eastAsia" w:ascii="MS UI Gothic" w:eastAsia="MS UI Gothic"/>
          <w:spacing w:val="1"/>
          <w:w w:val="75"/>
        </w:rPr>
        <w:t>１９１</w:t>
      </w:r>
    </w:p>
    <w:p>
      <w:pPr>
        <w:spacing w:after="0"/>
        <w:jc w:val="left"/>
        <w:rPr>
          <w:rFonts w:hint="eastAsia" w:ascii="MS UI Gothic" w:eastAsia="MS UI Gothic"/>
        </w:rPr>
        <w:sectPr>
          <w:pgSz w:w="10500" w:h="14750"/>
          <w:pgMar w:top="960" w:right="980" w:bottom="280" w:left="980" w:header="720" w:footer="720" w:gutter="0"/>
          <w:cols w:equalWidth="0" w:num="3">
            <w:col w:w="5140" w:space="40"/>
            <w:col w:w="2280" w:space="39"/>
            <w:col w:w="1041"/>
          </w:cols>
        </w:sectPr>
      </w:pPr>
    </w:p>
    <w:p>
      <w:pPr>
        <w:pStyle w:val="6"/>
        <w:spacing w:before="62"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 xml:space="preserve">电气设备按照铭牌上规定的额定参数 </w:t>
      </w:r>
      <w:r>
        <w:rPr>
          <w:rFonts w:hint="eastAsia" w:ascii="MS UI Gothic" w:eastAsia="MS UI Gothic"/>
          <w:w w:val="150"/>
        </w:rPr>
        <w:t xml:space="preserve">( </w:t>
      </w:r>
      <w:r>
        <w:rPr>
          <w:w w:val="105"/>
        </w:rPr>
        <w:t>电压</w:t>
      </w:r>
      <w:r>
        <w:rPr>
          <w:rFonts w:hint="eastAsia" w:ascii="MS UI Gothic" w:eastAsia="MS UI Gothic"/>
          <w:w w:val="80"/>
        </w:rPr>
        <w:t xml:space="preserve">、 </w:t>
      </w:r>
      <w:r>
        <w:rPr>
          <w:w w:val="105"/>
        </w:rPr>
        <w:t>电流</w:t>
      </w:r>
      <w:r>
        <w:rPr>
          <w:rFonts w:hint="eastAsia" w:ascii="MS UI Gothic" w:eastAsia="MS UI Gothic"/>
          <w:w w:val="80"/>
        </w:rPr>
        <w:t xml:space="preserve">、 </w:t>
      </w:r>
      <w:r>
        <w:rPr>
          <w:w w:val="105"/>
        </w:rPr>
        <w:t>功率</w:t>
      </w:r>
      <w:r>
        <w:rPr>
          <w:rFonts w:hint="eastAsia" w:ascii="MS UI Gothic" w:eastAsia="MS UI Gothic"/>
          <w:w w:val="80"/>
        </w:rPr>
        <w:t xml:space="preserve">、 </w:t>
      </w:r>
      <w:r>
        <w:rPr>
          <w:w w:val="105"/>
        </w:rPr>
        <w:t>频率等</w:t>
      </w:r>
      <w:r>
        <w:rPr>
          <w:rFonts w:hint="eastAsia" w:ascii="MS UI Gothic" w:eastAsia="MS UI Gothic"/>
          <w:w w:val="150"/>
        </w:rPr>
        <w:t xml:space="preserve">) </w:t>
      </w:r>
      <w:r>
        <w:rPr>
          <w:w w:val="105"/>
        </w:rPr>
        <w:t>运行</w:t>
      </w:r>
      <w:r>
        <w:rPr>
          <w:rFonts w:hint="eastAsia" w:ascii="MS UI Gothic" w:eastAsia="MS UI Gothic"/>
          <w:w w:val="80"/>
        </w:rPr>
        <w:t xml:space="preserve">ꎬ </w:t>
      </w:r>
      <w:r>
        <w:rPr>
          <w:w w:val="105"/>
        </w:rPr>
        <w:t>安装必要的过载</w:t>
      </w:r>
      <w:r>
        <w:rPr>
          <w:rFonts w:hint="eastAsia" w:ascii="MS UI Gothic" w:eastAsia="MS UI Gothic"/>
          <w:w w:val="80"/>
        </w:rPr>
        <w:t xml:space="preserve">、 </w:t>
      </w:r>
      <w:r>
        <w:rPr>
          <w:w w:val="105"/>
        </w:rPr>
        <w:t>短路和漏电保护装置并定期校验</w:t>
      </w:r>
      <w:r>
        <w:rPr>
          <w:rFonts w:hint="eastAsia" w:ascii="MS UI Gothic" w:eastAsia="MS UI Gothic"/>
          <w:w w:val="80"/>
        </w:rPr>
        <w:t xml:space="preserve">ꎮ </w:t>
      </w:r>
      <w:r>
        <w:rPr>
          <w:w w:val="105"/>
        </w:rPr>
        <w:t xml:space="preserve">金属外壳 </w:t>
      </w:r>
      <w:r>
        <w:rPr>
          <w:rFonts w:hint="eastAsia" w:ascii="MS UI Gothic" w:eastAsia="MS UI Gothic"/>
          <w:w w:val="150"/>
        </w:rPr>
        <w:t xml:space="preserve">( </w:t>
      </w:r>
      <w:r>
        <w:rPr>
          <w:w w:val="105"/>
        </w:rPr>
        <w:t>安全电压除外</w:t>
      </w:r>
      <w:r>
        <w:rPr>
          <w:rFonts w:hint="eastAsia" w:ascii="MS UI Gothic" w:eastAsia="MS UI Gothic"/>
          <w:w w:val="150"/>
        </w:rPr>
        <w:t xml:space="preserve">) </w:t>
      </w:r>
      <w:r>
        <w:rPr>
          <w:w w:val="105"/>
        </w:rPr>
        <w:t>有可靠的接地装置</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在触电危险性较大的场所</w:t>
      </w:r>
      <w:r>
        <w:rPr>
          <w:rFonts w:hint="eastAsia" w:ascii="MS UI Gothic" w:eastAsia="MS UI Gothic"/>
          <w:w w:val="80"/>
        </w:rPr>
        <w:t xml:space="preserve">ꎬ </w:t>
      </w:r>
      <w:r>
        <w:rPr>
          <w:w w:val="105"/>
        </w:rPr>
        <w:t>手提灯</w:t>
      </w:r>
      <w:r>
        <w:rPr>
          <w:rFonts w:hint="eastAsia" w:ascii="MS UI Gothic" w:eastAsia="MS UI Gothic"/>
          <w:w w:val="80"/>
        </w:rPr>
        <w:t xml:space="preserve">、 </w:t>
      </w:r>
      <w:r>
        <w:rPr>
          <w:w w:val="105"/>
        </w:rPr>
        <w:t>便携式电气设备</w:t>
      </w:r>
      <w:r>
        <w:rPr>
          <w:rFonts w:hint="eastAsia" w:ascii="MS UI Gothic" w:eastAsia="MS UI Gothic"/>
          <w:w w:val="80"/>
        </w:rPr>
        <w:t xml:space="preserve">、 </w:t>
      </w:r>
      <w:r>
        <w:rPr>
          <w:w w:val="105"/>
        </w:rPr>
        <w:t>电动工具等设备</w:t>
      </w:r>
      <w:r>
        <w:t>工具按照国家标准的规定使用安全电压</w:t>
      </w:r>
      <w:r>
        <w:rPr>
          <w:rFonts w:hint="eastAsia" w:ascii="MS UI Gothic" w:eastAsia="MS UI Gothic"/>
          <w:w w:val="80"/>
        </w:rPr>
        <w:t>ꎮ</w:t>
      </w:r>
      <w:r>
        <w:t>确实无法使用安全电压的</w:t>
      </w:r>
      <w:r>
        <w:rPr>
          <w:rFonts w:hint="eastAsia" w:ascii="MS UI Gothic" w:eastAsia="MS UI Gothic"/>
          <w:w w:val="80"/>
        </w:rPr>
        <w:t xml:space="preserve">ꎬ </w:t>
      </w:r>
      <w:r>
        <w:t>经设施负责人</w:t>
      </w:r>
      <w:r>
        <w:rPr>
          <w:w w:val="105"/>
        </w:rPr>
        <w:t>批准</w:t>
      </w:r>
      <w:r>
        <w:rPr>
          <w:rFonts w:hint="eastAsia" w:ascii="MS UI Gothic" w:eastAsia="MS UI Gothic"/>
          <w:w w:val="80"/>
        </w:rPr>
        <w:t xml:space="preserve">ꎬ </w:t>
      </w:r>
      <w:r>
        <w:rPr>
          <w:w w:val="105"/>
        </w:rPr>
        <w:t>并采用有效的防触电措施</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安装在不同等级危险区域的电</w:t>
      </w:r>
      <w:r>
        <w:t>气设备符合该等级的防爆类型</w:t>
      </w:r>
      <w:r>
        <w:rPr>
          <w:rFonts w:hint="eastAsia" w:ascii="MS UI Gothic" w:eastAsia="MS UI Gothic"/>
          <w:w w:val="80"/>
        </w:rPr>
        <w:t xml:space="preserve">ꎮ </w:t>
      </w:r>
      <w:r>
        <w:t>防爆电气设备上的部件不得任意拆除</w:t>
      </w:r>
      <w:r>
        <w:rPr>
          <w:rFonts w:hint="eastAsia" w:ascii="MS UI Gothic" w:eastAsia="MS UI Gothic"/>
          <w:w w:val="80"/>
        </w:rPr>
        <w:t xml:space="preserve">ꎬ </w:t>
      </w:r>
      <w:r>
        <w:t>必须保持电</w:t>
      </w:r>
      <w:r>
        <w:rPr>
          <w:w w:val="105"/>
        </w:rPr>
        <w:t>气设备的防爆性能</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定期对电气设备和线路的绝缘电阻</w:t>
      </w:r>
      <w:r>
        <w:rPr>
          <w:rFonts w:hint="eastAsia" w:ascii="MS UI Gothic" w:eastAsia="MS UI Gothic"/>
          <w:w w:val="80"/>
        </w:rPr>
        <w:t xml:space="preserve">、 </w:t>
      </w:r>
      <w:r>
        <w:rPr>
          <w:w w:val="105"/>
        </w:rPr>
        <w:t>耐压强度</w:t>
      </w:r>
      <w:r>
        <w:rPr>
          <w:rFonts w:hint="eastAsia" w:ascii="MS UI Gothic" w:eastAsia="MS UI Gothic"/>
          <w:w w:val="80"/>
        </w:rPr>
        <w:t xml:space="preserve">、 </w:t>
      </w:r>
      <w:r>
        <w:rPr>
          <w:w w:val="105"/>
        </w:rPr>
        <w:t>泄漏电流等绝缘性能进</w:t>
      </w:r>
      <w:r>
        <w:t>行测定</w:t>
      </w:r>
      <w:r>
        <w:rPr>
          <w:rFonts w:hint="eastAsia" w:ascii="MS UI Gothic" w:eastAsia="MS UI Gothic"/>
          <w:w w:val="80"/>
        </w:rPr>
        <w:t xml:space="preserve">ꎮ </w:t>
      </w:r>
      <w:r>
        <w:t>长期停用的电气设备</w:t>
      </w:r>
      <w:r>
        <w:rPr>
          <w:rFonts w:hint="eastAsia" w:ascii="MS UI Gothic" w:eastAsia="MS UI Gothic"/>
          <w:w w:val="80"/>
        </w:rPr>
        <w:t xml:space="preserve">ꎬ </w:t>
      </w:r>
      <w:r>
        <w:t>在重新使用前应当进行检查</w:t>
      </w:r>
      <w:r>
        <w:rPr>
          <w:rFonts w:hint="eastAsia" w:ascii="MS UI Gothic" w:eastAsia="MS UI Gothic"/>
          <w:w w:val="80"/>
        </w:rPr>
        <w:t xml:space="preserve">ꎬ </w:t>
      </w:r>
      <w:r>
        <w:t>确认具备安全运行条</w:t>
      </w:r>
      <w:r>
        <w:rPr>
          <w:w w:val="105"/>
        </w:rPr>
        <w:t>件后方可使用</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在带电体与人体</w:t>
      </w:r>
      <w:r>
        <w:rPr>
          <w:rFonts w:hint="eastAsia" w:ascii="MS UI Gothic" w:eastAsia="MS UI Gothic"/>
          <w:w w:val="80"/>
        </w:rPr>
        <w:t xml:space="preserve">、 </w:t>
      </w:r>
      <w:r>
        <w:rPr>
          <w:w w:val="105"/>
        </w:rPr>
        <w:t>带电体与地面</w:t>
      </w:r>
      <w:r>
        <w:rPr>
          <w:rFonts w:hint="eastAsia" w:ascii="MS UI Gothic" w:eastAsia="MS UI Gothic"/>
          <w:w w:val="80"/>
        </w:rPr>
        <w:t xml:space="preserve">、 </w:t>
      </w:r>
      <w:r>
        <w:rPr>
          <w:w w:val="105"/>
        </w:rPr>
        <w:t>带电体与带电体</w:t>
      </w:r>
      <w:r>
        <w:rPr>
          <w:rFonts w:hint="eastAsia" w:ascii="MS UI Gothic" w:eastAsia="MS UI Gothic"/>
          <w:w w:val="80"/>
        </w:rPr>
        <w:t xml:space="preserve">、 </w:t>
      </w:r>
      <w:r>
        <w:rPr>
          <w:w w:val="105"/>
        </w:rPr>
        <w:t>带电体与其他设备</w:t>
      </w:r>
      <w:r>
        <w:t>之间</w:t>
      </w:r>
      <w:r>
        <w:rPr>
          <w:rFonts w:hint="eastAsia" w:ascii="MS UI Gothic" w:eastAsia="MS UI Gothic"/>
          <w:w w:val="80"/>
        </w:rPr>
        <w:t xml:space="preserve">ꎬ </w:t>
      </w:r>
      <w:r>
        <w:t>按照有关规范和标准的要求保持良</w:t>
      </w:r>
      <w:r>
        <w:rPr>
          <w:w w:val="105"/>
        </w:rPr>
        <w:t>好的绝缘性能和足够的安全距离</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十</w:t>
      </w:r>
      <w:r>
        <w:rPr>
          <w:rFonts w:hint="eastAsia" w:ascii="MS UI Gothic" w:eastAsia="MS UI Gothic"/>
          <w:w w:val="105"/>
        </w:rPr>
        <w:t xml:space="preserve">) </w:t>
      </w:r>
      <w:r>
        <w:rPr>
          <w:w w:val="105"/>
        </w:rPr>
        <w:t>对生产和作业设施采取有效的</w:t>
      </w:r>
      <w:r>
        <w:rPr>
          <w:w w:val="110"/>
        </w:rPr>
        <w:t>防静电和防雷措施</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第五十条 设施必须配备必要的应急</w:t>
      </w:r>
      <w:r>
        <w:rPr>
          <w:w w:val="110"/>
        </w:rPr>
        <w:t>电源</w:t>
      </w:r>
      <w:r>
        <w:rPr>
          <w:rFonts w:hint="eastAsia" w:ascii="MS UI Gothic" w:eastAsia="MS UI Gothic"/>
          <w:w w:val="80"/>
        </w:rPr>
        <w:t xml:space="preserve">ꎮ </w:t>
      </w:r>
      <w:r>
        <w:rPr>
          <w:w w:val="110"/>
        </w:rPr>
        <w:t>应急电源应当符合下列规定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spacing w:val="-37"/>
          <w:w w:val="150"/>
        </w:rPr>
        <w:t xml:space="preserve">( </w:t>
      </w:r>
      <w:r>
        <w:rPr>
          <w:spacing w:val="9"/>
          <w:w w:val="105"/>
        </w:rPr>
        <w:t>一</w:t>
      </w:r>
      <w:r>
        <w:rPr>
          <w:rFonts w:hint="eastAsia" w:ascii="MS UI Gothic" w:eastAsia="MS UI Gothic"/>
          <w:spacing w:val="17"/>
          <w:w w:val="150"/>
        </w:rPr>
        <w:t xml:space="preserve">) </w:t>
      </w:r>
      <w:r>
        <w:rPr>
          <w:spacing w:val="18"/>
          <w:w w:val="105"/>
        </w:rPr>
        <w:t>能够满足通讯</w:t>
      </w:r>
      <w:r>
        <w:rPr>
          <w:rFonts w:hint="eastAsia" w:ascii="MS UI Gothic" w:eastAsia="MS UI Gothic"/>
          <w:spacing w:val="6"/>
          <w:w w:val="80"/>
        </w:rPr>
        <w:t xml:space="preserve">、 </w:t>
      </w:r>
      <w:r>
        <w:rPr>
          <w:spacing w:val="13"/>
          <w:w w:val="105"/>
        </w:rPr>
        <w:t>信号</w:t>
      </w:r>
      <w:r>
        <w:rPr>
          <w:rFonts w:hint="eastAsia" w:ascii="MS UI Gothic" w:eastAsia="MS UI Gothic"/>
          <w:spacing w:val="6"/>
          <w:w w:val="80"/>
        </w:rPr>
        <w:t xml:space="preserve">、 </w:t>
      </w:r>
      <w:r>
        <w:rPr>
          <w:spacing w:val="13"/>
          <w:w w:val="105"/>
        </w:rPr>
        <w:t>照明</w:t>
      </w:r>
      <w:r>
        <w:rPr>
          <w:rFonts w:hint="eastAsia" w:ascii="MS UI Gothic" w:eastAsia="MS UI Gothic"/>
          <w:spacing w:val="-12"/>
          <w:w w:val="80"/>
        </w:rPr>
        <w:t>、</w:t>
      </w:r>
      <w:r>
        <w:rPr>
          <w:spacing w:val="14"/>
          <w:w w:val="105"/>
        </w:rPr>
        <w:t xml:space="preserve">基本生存条件 </w:t>
      </w:r>
      <w:r>
        <w:rPr>
          <w:rFonts w:hint="eastAsia" w:ascii="MS UI Gothic" w:eastAsia="MS UI Gothic"/>
          <w:spacing w:val="-30"/>
          <w:w w:val="150"/>
        </w:rPr>
        <w:t xml:space="preserve">( </w:t>
      </w:r>
      <w:r>
        <w:rPr>
          <w:spacing w:val="23"/>
          <w:w w:val="105"/>
        </w:rPr>
        <w:t>包括生活区</w:t>
      </w:r>
      <w:r>
        <w:rPr>
          <w:rFonts w:hint="eastAsia" w:ascii="MS UI Gothic" w:eastAsia="MS UI Gothic"/>
          <w:spacing w:val="2"/>
          <w:w w:val="80"/>
        </w:rPr>
        <w:t xml:space="preserve">、 </w:t>
      </w:r>
      <w:r>
        <w:rPr>
          <w:spacing w:val="20"/>
          <w:w w:val="105"/>
        </w:rPr>
        <w:t>救生艇</w:t>
      </w:r>
      <w:r>
        <w:rPr>
          <w:rFonts w:hint="eastAsia" w:ascii="MS UI Gothic" w:eastAsia="MS UI Gothic"/>
          <w:spacing w:val="-14"/>
          <w:w w:val="80"/>
        </w:rPr>
        <w:t>、</w:t>
      </w:r>
      <w:r>
        <w:rPr>
          <w:spacing w:val="4"/>
          <w:w w:val="105"/>
        </w:rPr>
        <w:t>撤离通道</w:t>
      </w:r>
      <w:r>
        <w:rPr>
          <w:rFonts w:hint="eastAsia" w:ascii="MS UI Gothic" w:eastAsia="MS UI Gothic"/>
          <w:spacing w:val="21"/>
          <w:w w:val="80"/>
        </w:rPr>
        <w:t xml:space="preserve">、 </w:t>
      </w:r>
      <w:r>
        <w:rPr>
          <w:spacing w:val="18"/>
          <w:w w:val="105"/>
        </w:rPr>
        <w:t>直升机甲板等</w:t>
      </w:r>
      <w:r>
        <w:rPr>
          <w:rFonts w:hint="eastAsia" w:ascii="MS UI Gothic" w:eastAsia="MS UI Gothic"/>
          <w:spacing w:val="8"/>
          <w:w w:val="150"/>
        </w:rPr>
        <w:t xml:space="preserve">) </w:t>
      </w:r>
      <w:r>
        <w:rPr>
          <w:spacing w:val="16"/>
          <w:w w:val="105"/>
        </w:rPr>
        <w:t>和其他动力</w:t>
      </w:r>
      <w:r>
        <w:rPr>
          <w:rFonts w:hint="eastAsia" w:ascii="MS UI Gothic" w:eastAsia="MS UI Gothic"/>
          <w:spacing w:val="-30"/>
          <w:w w:val="150"/>
        </w:rPr>
        <w:t xml:space="preserve">( </w:t>
      </w:r>
      <w:r>
        <w:rPr>
          <w:spacing w:val="3"/>
          <w:w w:val="105"/>
        </w:rPr>
        <w:t>包括消防系统</w:t>
      </w:r>
      <w:r>
        <w:rPr>
          <w:rFonts w:hint="eastAsia" w:ascii="MS UI Gothic" w:eastAsia="MS UI Gothic"/>
          <w:spacing w:val="19"/>
          <w:w w:val="80"/>
        </w:rPr>
        <w:t xml:space="preserve">、 </w:t>
      </w:r>
      <w:r>
        <w:rPr>
          <w:spacing w:val="10"/>
          <w:w w:val="105"/>
        </w:rPr>
        <w:t>井控系统</w:t>
      </w:r>
      <w:r>
        <w:rPr>
          <w:rFonts w:hint="eastAsia" w:ascii="MS UI Gothic" w:eastAsia="MS UI Gothic"/>
          <w:spacing w:val="18"/>
          <w:w w:val="80"/>
        </w:rPr>
        <w:t xml:space="preserve">、 </w:t>
      </w:r>
      <w:r>
        <w:rPr>
          <w:spacing w:val="10"/>
          <w:w w:val="105"/>
        </w:rPr>
        <w:t>火灾及可燃</w:t>
      </w:r>
      <w:r>
        <w:rPr>
          <w:spacing w:val="3"/>
          <w:w w:val="105"/>
        </w:rPr>
        <w:t>和有毒有害气体检测报警系统</w:t>
      </w:r>
      <w:r>
        <w:rPr>
          <w:rFonts w:hint="eastAsia" w:ascii="MS UI Gothic" w:eastAsia="MS UI Gothic"/>
          <w:spacing w:val="-4"/>
          <w:w w:val="80"/>
        </w:rPr>
        <w:t xml:space="preserve">、 </w:t>
      </w:r>
      <w:r>
        <w:rPr>
          <w:spacing w:val="2"/>
          <w:w w:val="105"/>
        </w:rPr>
        <w:t>应急关断</w:t>
      </w:r>
      <w:r>
        <w:rPr>
          <w:spacing w:val="3"/>
          <w:w w:val="105"/>
        </w:rPr>
        <w:t>系统等</w:t>
      </w:r>
      <w:r>
        <w:rPr>
          <w:rFonts w:hint="eastAsia" w:ascii="MS UI Gothic" w:eastAsia="MS UI Gothic"/>
          <w:spacing w:val="14"/>
          <w:w w:val="150"/>
        </w:rPr>
        <w:t xml:space="preserve">) </w:t>
      </w:r>
      <w:r>
        <w:rPr>
          <w:spacing w:val="3"/>
          <w:w w:val="105"/>
        </w:rPr>
        <w:t>的电源要求</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45"/>
        </w:rPr>
        <w:t xml:space="preserve">( </w:t>
      </w:r>
      <w:r>
        <w:rPr>
          <w:w w:val="105"/>
        </w:rPr>
        <w:t>二</w:t>
      </w:r>
      <w:r>
        <w:rPr>
          <w:rFonts w:hint="eastAsia" w:ascii="MS UI Gothic" w:eastAsia="MS UI Gothic"/>
          <w:w w:val="145"/>
        </w:rPr>
        <w:t xml:space="preserve">) </w:t>
      </w:r>
      <w:r>
        <w:rPr>
          <w:w w:val="105"/>
        </w:rPr>
        <w:t>在主电源失电后</w:t>
      </w:r>
      <w:r>
        <w:rPr>
          <w:rFonts w:hint="eastAsia" w:ascii="MS UI Gothic" w:eastAsia="MS UI Gothic"/>
          <w:w w:val="80"/>
        </w:rPr>
        <w:t xml:space="preserve">ꎬ </w:t>
      </w:r>
      <w:r>
        <w:rPr>
          <w:w w:val="105"/>
        </w:rPr>
        <w:t xml:space="preserve">应急电源能够在 </w:t>
      </w:r>
      <w:r>
        <w:rPr>
          <w:rFonts w:hint="eastAsia" w:ascii="MS UI Gothic" w:eastAsia="MS UI Gothic"/>
          <w:w w:val="80"/>
        </w:rPr>
        <w:t xml:space="preserve">４５ </w:t>
      </w:r>
      <w:r>
        <w:rPr>
          <w:w w:val="105"/>
        </w:rPr>
        <w:t>秒内自动安全启动供电</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0"/>
          <w:w w:val="110"/>
        </w:rPr>
        <w:t>应急电源远离危险区和主</w:t>
      </w:r>
      <w:r>
        <w:rPr>
          <w:spacing w:val="3"/>
          <w:w w:val="110"/>
        </w:rPr>
        <w:t>电源</w:t>
      </w:r>
      <w:r>
        <w:rPr>
          <w:rFonts w:hint="eastAsia" w:ascii="MS UI Gothic" w:eastAsia="MS UI Gothic"/>
          <w:w w:val="80"/>
        </w:rPr>
        <w:t>ꎮ</w:t>
      </w:r>
    </w:p>
    <w:p>
      <w:pPr>
        <w:pStyle w:val="6"/>
        <w:spacing w:before="62" w:line="295" w:lineRule="auto"/>
        <w:ind w:left="381" w:right="126"/>
        <w:rPr>
          <w:rFonts w:hint="eastAsia" w:ascii="MS UI Gothic" w:eastAsia="MS UI Gothic"/>
        </w:rPr>
      </w:pPr>
      <w:r>
        <w:br w:type="column"/>
      </w:r>
      <w:r>
        <w:rPr>
          <w:w w:val="105"/>
        </w:rPr>
        <w:t xml:space="preserve">第五十一条 作业者或者承包者应当制定油 </w:t>
      </w:r>
      <w:r>
        <w:rPr>
          <w:rFonts w:hint="eastAsia" w:ascii="MS UI Gothic" w:eastAsia="MS UI Gothic"/>
          <w:w w:val="150"/>
        </w:rPr>
        <w:t xml:space="preserve">( </w:t>
      </w:r>
      <w:r>
        <w:rPr>
          <w:w w:val="105"/>
        </w:rPr>
        <w:t>气</w:t>
      </w:r>
      <w:r>
        <w:rPr>
          <w:rFonts w:hint="eastAsia" w:ascii="MS UI Gothic" w:eastAsia="MS UI Gothic"/>
          <w:w w:val="150"/>
        </w:rPr>
        <w:t xml:space="preserve">) </w:t>
      </w:r>
      <w:r>
        <w:rPr>
          <w:w w:val="105"/>
        </w:rPr>
        <w:t>井井控安全措施和防井喷应急预案</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第五十二条 钻井作业应当符合下列</w:t>
      </w:r>
      <w:r>
        <w:rPr>
          <w:w w:val="115"/>
        </w:rPr>
        <w:t>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钻井装置在新井位就位前</w:t>
      </w:r>
      <w:r>
        <w:rPr>
          <w:rFonts w:hint="eastAsia" w:ascii="MS UI Gothic" w:eastAsia="MS UI Gothic"/>
          <w:w w:val="80"/>
        </w:rPr>
        <w:t xml:space="preserve">ꎬ </w:t>
      </w:r>
      <w:r>
        <w:rPr>
          <w:w w:val="105"/>
        </w:rPr>
        <w:t>作</w:t>
      </w:r>
      <w:r>
        <w:t>业者和承包者应收集和分析相应的地质资料</w:t>
      </w:r>
      <w:r>
        <w:rPr>
          <w:rFonts w:hint="eastAsia" w:ascii="MS UI Gothic" w:eastAsia="MS UI Gothic"/>
          <w:w w:val="80"/>
        </w:rPr>
        <w:t xml:space="preserve">ꎮ </w:t>
      </w:r>
      <w:r>
        <w:t>如有浅层气存在</w:t>
      </w:r>
      <w:r>
        <w:rPr>
          <w:rFonts w:hint="eastAsia" w:ascii="MS UI Gothic" w:eastAsia="MS UI Gothic"/>
          <w:w w:val="80"/>
        </w:rPr>
        <w:t xml:space="preserve">ꎬ </w:t>
      </w:r>
      <w:r>
        <w:t>安装分流系统等</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钻井作业期间</w:t>
      </w:r>
      <w:r>
        <w:rPr>
          <w:rFonts w:hint="eastAsia" w:ascii="MS UI Gothic" w:eastAsia="MS UI Gothic"/>
          <w:w w:val="80"/>
        </w:rPr>
        <w:t xml:space="preserve">ꎬ </w:t>
      </w:r>
      <w:r>
        <w:rPr>
          <w:w w:val="105"/>
        </w:rPr>
        <w:t>在钻台上备有与钻杆相匹配的内防喷装置</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下套管时</w:t>
      </w:r>
      <w:r>
        <w:rPr>
          <w:rFonts w:hint="eastAsia" w:ascii="MS UI Gothic" w:eastAsia="MS UI Gothic"/>
          <w:w w:val="80"/>
        </w:rPr>
        <w:t xml:space="preserve">ꎬ </w:t>
      </w:r>
      <w:r>
        <w:rPr>
          <w:w w:val="105"/>
        </w:rPr>
        <w:t>防喷器尺寸与所下</w:t>
      </w:r>
      <w:r>
        <w:t>套管尺寸相匹配</w:t>
      </w:r>
      <w:r>
        <w:rPr>
          <w:rFonts w:hint="eastAsia" w:ascii="MS UI Gothic" w:eastAsia="MS UI Gothic"/>
          <w:w w:val="80"/>
        </w:rPr>
        <w:t xml:space="preserve">ꎬ </w:t>
      </w:r>
      <w:r>
        <w:t>并备有与所下套管丝扣</w:t>
      </w:r>
      <w:r>
        <w:rPr>
          <w:w w:val="105"/>
        </w:rPr>
        <w:t>相匹配的循环接头</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防喷器所用的橡胶密封件应当</w:t>
      </w:r>
      <w:r>
        <w:t>按厂商的技术要求进行维护和储存</w:t>
      </w:r>
      <w:r>
        <w:rPr>
          <w:rFonts w:hint="eastAsia" w:ascii="MS UI Gothic" w:eastAsia="MS UI Gothic"/>
          <w:w w:val="80"/>
        </w:rPr>
        <w:t xml:space="preserve">ꎬ </w:t>
      </w:r>
      <w:r>
        <w:t>不得将失效和技术条件不符的密封件安装到防</w:t>
      </w:r>
      <w:r>
        <w:rPr>
          <w:w w:val="105"/>
        </w:rPr>
        <w:t>喷器中</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水龙头下部安装方钻杆上旋</w:t>
      </w:r>
      <w:r>
        <w:t>塞</w:t>
      </w:r>
      <w:r>
        <w:rPr>
          <w:rFonts w:hint="eastAsia" w:ascii="MS UI Gothic" w:eastAsia="MS UI Gothic"/>
          <w:w w:val="80"/>
        </w:rPr>
        <w:t xml:space="preserve">ꎬ </w:t>
      </w:r>
      <w:r>
        <w:t>方钻杆下部安装下旋塞</w:t>
      </w:r>
      <w:r>
        <w:rPr>
          <w:rFonts w:hint="eastAsia" w:ascii="MS UI Gothic" w:eastAsia="MS UI Gothic"/>
          <w:w w:val="80"/>
        </w:rPr>
        <w:t xml:space="preserve">ꎬ </w:t>
      </w:r>
      <w:r>
        <w:t>并配备开关旋塞的扳手</w:t>
      </w:r>
      <w:r>
        <w:rPr>
          <w:rFonts w:hint="eastAsia" w:ascii="MS UI Gothic" w:eastAsia="MS UI Gothic"/>
          <w:w w:val="80"/>
        </w:rPr>
        <w:t xml:space="preserve">ꎮ </w:t>
      </w:r>
      <w:r>
        <w:t>顶部驱动装置下部安装手动</w:t>
      </w:r>
      <w:r>
        <w:rPr>
          <w:w w:val="105"/>
        </w:rPr>
        <w:t xml:space="preserve">和自动内防喷器 </w:t>
      </w:r>
      <w:r>
        <w:rPr>
          <w:rFonts w:hint="eastAsia" w:ascii="MS UI Gothic" w:eastAsia="MS UI Gothic"/>
          <w:w w:val="150"/>
        </w:rPr>
        <w:t xml:space="preserve">( </w:t>
      </w:r>
      <w:r>
        <w:rPr>
          <w:w w:val="105"/>
        </w:rPr>
        <w:t>考克</w:t>
      </w:r>
      <w:r>
        <w:rPr>
          <w:rFonts w:hint="eastAsia" w:ascii="MS UI Gothic" w:eastAsia="MS UI Gothic"/>
          <w:w w:val="150"/>
        </w:rPr>
        <w:t xml:space="preserve">) </w:t>
      </w:r>
      <w:r>
        <w:rPr>
          <w:w w:val="105"/>
        </w:rPr>
        <w:t>并配备开关防喷器的扳手</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40"/>
        </w:rPr>
        <w:t xml:space="preserve">( </w:t>
      </w:r>
      <w:r>
        <w:t>六</w:t>
      </w:r>
      <w:r>
        <w:rPr>
          <w:rFonts w:hint="eastAsia" w:ascii="MS UI Gothic" w:eastAsia="MS UI Gothic"/>
          <w:w w:val="140"/>
        </w:rPr>
        <w:t xml:space="preserve">) </w:t>
      </w:r>
      <w:r>
        <w:t>防喷器组由环形防喷器和闸板防喷器组成</w:t>
      </w:r>
      <w:r>
        <w:rPr>
          <w:rFonts w:hint="eastAsia" w:ascii="MS UI Gothic" w:eastAsia="MS UI Gothic"/>
          <w:w w:val="85"/>
        </w:rPr>
        <w:t xml:space="preserve">ꎬ </w:t>
      </w:r>
      <w:r>
        <w:t>闸板防喷器的闸板关闭尺寸与所使用钻杆或者管柱的尺寸相符</w:t>
      </w:r>
      <w:r>
        <w:rPr>
          <w:rFonts w:hint="eastAsia" w:ascii="MS UI Gothic" w:eastAsia="MS UI Gothic"/>
          <w:w w:val="85"/>
        </w:rPr>
        <w:t xml:space="preserve">ꎮ </w:t>
      </w:r>
      <w:r>
        <w:t>防喷器的额定工作压力</w:t>
      </w:r>
      <w:r>
        <w:rPr>
          <w:rFonts w:hint="eastAsia" w:ascii="MS UI Gothic" w:eastAsia="MS UI Gothic"/>
          <w:w w:val="85"/>
        </w:rPr>
        <w:t xml:space="preserve">ꎬ </w:t>
      </w:r>
      <w:r>
        <w:t>不得低于钻井设计压力</w:t>
      </w:r>
      <w:r>
        <w:rPr>
          <w:rFonts w:hint="eastAsia" w:ascii="MS UI Gothic" w:eastAsia="MS UI Gothic"/>
          <w:w w:val="85"/>
        </w:rPr>
        <w:t xml:space="preserve">ꎬ </w:t>
      </w:r>
      <w:r>
        <w:t xml:space="preserve">用于探井的不得低于 </w:t>
      </w:r>
      <w:r>
        <w:rPr>
          <w:rFonts w:hint="eastAsia" w:ascii="MS UI Gothic" w:eastAsia="MS UI Gothic"/>
        </w:rPr>
        <w:t>７０ ＭＰａ</w:t>
      </w:r>
      <w:r>
        <w:rPr>
          <w:rFonts w:hint="eastAsia" w:ascii="MS UI Gothic" w:eastAsia="MS UI Gothic"/>
          <w:w w:val="85"/>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防喷器及相应设备的安装</w:t>
      </w:r>
      <w:r>
        <w:rPr>
          <w:rFonts w:hint="eastAsia" w:ascii="MS UI Gothic" w:eastAsia="MS UI Gothic"/>
          <w:w w:val="80"/>
        </w:rPr>
        <w:t xml:space="preserve">、  </w:t>
      </w:r>
      <w:r>
        <w:rPr>
          <w:w w:val="105"/>
        </w:rPr>
        <w:t>维护和试验</w:t>
      </w:r>
      <w:r>
        <w:rPr>
          <w:rFonts w:hint="eastAsia" w:ascii="MS UI Gothic" w:eastAsia="MS UI Gothic"/>
          <w:w w:val="80"/>
        </w:rPr>
        <w:t xml:space="preserve">ꎬ </w:t>
      </w:r>
      <w:r>
        <w:rPr>
          <w:w w:val="105"/>
        </w:rPr>
        <w:t>满足井控要求</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经常对防喷系统进行安全检</w:t>
      </w:r>
      <w:r>
        <w:t>查</w:t>
      </w:r>
      <w:r>
        <w:rPr>
          <w:rFonts w:hint="eastAsia" w:ascii="MS UI Gothic" w:eastAsia="MS UI Gothic"/>
          <w:w w:val="80"/>
        </w:rPr>
        <w:t xml:space="preserve">ꎮ </w:t>
      </w:r>
      <w:r>
        <w:t>检查时</w:t>
      </w:r>
      <w:r>
        <w:rPr>
          <w:rFonts w:hint="eastAsia" w:ascii="MS UI Gothic" w:eastAsia="MS UI Gothic"/>
          <w:w w:val="80"/>
        </w:rPr>
        <w:t xml:space="preserve">ꎬ </w:t>
      </w:r>
      <w:r>
        <w:t>优先使用防喷系统安全检</w:t>
      </w:r>
      <w:r>
        <w:rPr>
          <w:w w:val="105"/>
        </w:rPr>
        <w:t>查表</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第五十三条 防喷器组控制系统的安</w:t>
      </w:r>
      <w:r>
        <w:rPr>
          <w:w w:val="110"/>
        </w:rPr>
        <w:t>装应当符合下列规定</w:t>
      </w:r>
      <w:r>
        <w:rPr>
          <w:rFonts w:hint="eastAsia" w:ascii="MS UI Gothic" w:eastAsia="MS UI Gothic"/>
          <w:w w:val="235"/>
        </w:rPr>
        <w:t>:</w:t>
      </w:r>
    </w:p>
    <w:p>
      <w:pPr>
        <w:pStyle w:val="6"/>
        <w:spacing w:line="295" w:lineRule="auto"/>
        <w:ind w:left="381" w:right="126"/>
      </w:pPr>
      <w:r>
        <w:rPr>
          <w:rFonts w:hint="eastAsia" w:ascii="MS UI Gothic" w:eastAsia="MS UI Gothic"/>
          <w:w w:val="140"/>
        </w:rPr>
        <w:t xml:space="preserve">( </w:t>
      </w:r>
      <w:r>
        <w:rPr>
          <w:w w:val="105"/>
        </w:rPr>
        <w:t>一</w:t>
      </w:r>
      <w:r>
        <w:rPr>
          <w:rFonts w:hint="eastAsia" w:ascii="MS UI Gothic" w:eastAsia="MS UI Gothic"/>
          <w:w w:val="140"/>
        </w:rPr>
        <w:t xml:space="preserve">) </w:t>
      </w:r>
      <w:r>
        <w:rPr>
          <w:rFonts w:hint="eastAsia" w:ascii="MS UI Gothic" w:eastAsia="MS UI Gothic"/>
          <w:w w:val="85"/>
        </w:rPr>
        <w:t xml:space="preserve">１ </w:t>
      </w:r>
      <w:r>
        <w:rPr>
          <w:w w:val="105"/>
        </w:rPr>
        <w:t xml:space="preserve">套液压控制系统的储能器液体压力保持 </w:t>
      </w:r>
      <w:r>
        <w:rPr>
          <w:rFonts w:hint="eastAsia" w:ascii="MS UI Gothic" w:eastAsia="MS UI Gothic"/>
          <w:w w:val="85"/>
        </w:rPr>
        <w:t xml:space="preserve">２１ ＭＰａꎬ </w:t>
      </w:r>
      <w:r>
        <w:rPr>
          <w:w w:val="105"/>
        </w:rPr>
        <w:t>储能器压力液体积</w:t>
      </w:r>
      <w:r>
        <w:t>为关闭全部防喷器并打开液动闸阀所需液</w:t>
      </w:r>
    </w:p>
    <w:p>
      <w:pPr>
        <w:spacing w:after="0" w:line="295" w:lineRule="auto"/>
        <w:sectPr>
          <w:type w:val="continuous"/>
          <w:pgSz w:w="10500" w:h="14750"/>
          <w:pgMar w:top="1400" w:right="980" w:bottom="280" w:left="980" w:header="720" w:footer="720" w:gutter="0"/>
          <w:cols w:equalWidth="0" w:num="2">
            <w:col w:w="4212" w:space="40"/>
            <w:col w:w="4288"/>
          </w:cols>
        </w:sectPr>
      </w:pPr>
    </w:p>
    <w:p>
      <w:pPr>
        <w:tabs>
          <w:tab w:val="left" w:pos="2426"/>
        </w:tabs>
        <w:spacing w:before="162"/>
        <w:ind w:left="280" w:right="0" w:firstLine="0"/>
        <w:jc w:val="left"/>
        <w:rPr>
          <w:rFonts w:hint="eastAsia" w:ascii="Microsoft Yi Baiti" w:eastAsia="Microsoft Yi Baiti"/>
          <w:sz w:val="17"/>
        </w:rPr>
      </w:pPr>
      <w:r>
        <w:pict>
          <v:group id="_x0000_s1602" o:spid="_x0000_s1602" o:spt="203" style="position:absolute;left:0pt;margin-left:55.1pt;margin-top:23.85pt;height:2.15pt;width:398.25pt;mso-position-horizontal-relative:page;mso-wrap-distance-bottom:0pt;mso-wrap-distance-top:0pt;z-index:-251425792;mso-width-relative:page;mso-height-relative:page;" coordorigin="1103,477" coordsize="7965,43">
            <o:lock v:ext="edit"/>
            <v:line id="_x0000_s1603" o:spid="_x0000_s1603" o:spt="20" style="position:absolute;left:1103;top:516;height:0;width:7964;" stroked="t" coordsize="21600,21600">
              <v:path arrowok="t"/>
              <v:fill focussize="0,0"/>
              <v:stroke weight="0.388031496062992pt" color="#231F20"/>
              <v:imagedata o:title=""/>
              <o:lock v:ext="edit"/>
            </v:line>
            <v:line id="_x0000_s1604" o:spid="_x0000_s1604"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１９２</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316"/>
        </w:tabs>
        <w:spacing w:before="163" w:line="240" w:lineRule="exact"/>
        <w:ind w:firstLine="0"/>
        <w:jc w:val="left"/>
        <w:rPr>
          <w:rFonts w:hint="eastAsia" w:ascii="MS UI Gothic" w:eastAsia="MS UI Gothic"/>
        </w:rPr>
      </w:pPr>
      <w:r>
        <w:rPr>
          <w:spacing w:val="3"/>
        </w:rPr>
        <w:t>体体积</w:t>
      </w:r>
      <w:r>
        <w:t>的</w:t>
      </w:r>
      <w:r>
        <w:rPr>
          <w:spacing w:val="-69"/>
        </w:rPr>
        <w:t xml:space="preserve"> </w:t>
      </w:r>
      <w:r>
        <w:rPr>
          <w:rFonts w:hint="eastAsia" w:ascii="MS UI Gothic" w:eastAsia="MS UI Gothic"/>
        </w:rPr>
        <w:t>１</w:t>
      </w:r>
      <w:r>
        <w:rPr>
          <w:rFonts w:hint="eastAsia" w:ascii="MS UI Gothic" w:eastAsia="MS UI Gothic"/>
          <w:spacing w:val="-28"/>
        </w:rPr>
        <w:t xml:space="preserve"> </w:t>
      </w:r>
      <w:r>
        <w:rPr>
          <w:rFonts w:hint="eastAsia" w:ascii="MS UI Gothic" w:eastAsia="MS UI Gothic"/>
        </w:rPr>
        <w:t>５</w:t>
      </w:r>
      <w:r>
        <w:rPr>
          <w:rFonts w:hint="eastAsia" w:ascii="MS UI Gothic" w:eastAsia="MS UI Gothic"/>
          <w:spacing w:val="-24"/>
        </w:rPr>
        <w:t xml:space="preserve"> </w:t>
      </w:r>
      <w:r>
        <w:rPr>
          <w:spacing w:val="3"/>
        </w:rPr>
        <w:t>倍以上</w:t>
      </w:r>
      <w:r>
        <w:rPr>
          <w:rFonts w:hint="eastAsia" w:ascii="MS UI Gothic" w:eastAsia="MS UI Gothic"/>
          <w:w w:val="85"/>
        </w:rPr>
        <w:t>ꎻ</w:t>
      </w:r>
      <w:r>
        <w:rPr>
          <w:rFonts w:hint="eastAsia" w:ascii="MS UI Gothic" w:eastAsia="MS UI Gothic"/>
          <w:w w:val="85"/>
        </w:rPr>
        <w:tab/>
      </w:r>
      <w:r>
        <w:rPr>
          <w:spacing w:val="3"/>
        </w:rPr>
        <w:t>套管上可以只安</w:t>
      </w:r>
      <w:r>
        <w:t>装</w:t>
      </w:r>
      <w:r>
        <w:rPr>
          <w:spacing w:val="-51"/>
        </w:rPr>
        <w:t xml:space="preserve"> </w:t>
      </w:r>
      <w:r>
        <w:rPr>
          <w:rFonts w:hint="eastAsia" w:ascii="MS UI Gothic" w:eastAsia="MS UI Gothic"/>
        </w:rPr>
        <w:t>１</w:t>
      </w:r>
      <w:r>
        <w:rPr>
          <w:rFonts w:hint="eastAsia" w:ascii="MS UI Gothic" w:eastAsia="MS UI Gothic"/>
          <w:spacing w:val="-4"/>
        </w:rPr>
        <w:t xml:space="preserve"> </w:t>
      </w:r>
      <w:r>
        <w:rPr>
          <w:spacing w:val="3"/>
        </w:rPr>
        <w:t>个环形防喷器</w:t>
      </w:r>
      <w:r>
        <w:rPr>
          <w:rFonts w:hint="eastAsia" w:ascii="MS UI Gothic" w:eastAsia="MS UI Gothic"/>
          <w:w w:val="85"/>
        </w:rPr>
        <w:t>ꎻ</w:t>
      </w:r>
    </w:p>
    <w:p>
      <w:pPr>
        <w:spacing w:after="0" w:line="240" w:lineRule="exact"/>
        <w:jc w:val="left"/>
        <w:rPr>
          <w:rFonts w:hint="eastAsia" w:ascii="MS UI Gothic" w:eastAsia="MS UI Gothic"/>
        </w:rPr>
        <w:sectPr>
          <w:pgSz w:w="10500" w:h="14750"/>
          <w:pgMar w:top="960" w:right="980" w:bottom="280" w:left="980" w:header="720" w:footer="720" w:gutter="0"/>
        </w:sectPr>
      </w:pPr>
    </w:p>
    <w:p>
      <w:pPr>
        <w:pStyle w:val="6"/>
        <w:spacing w:before="74" w:line="295" w:lineRule="auto"/>
        <w:ind w:right="39"/>
        <w:rPr>
          <w:rFonts w:hint="eastAsia" w:ascii="MS UI Gothic" w:eastAsia="MS UI Gothic"/>
        </w:rPr>
      </w:pPr>
      <w:r>
        <w:rPr>
          <w:rFonts w:hint="eastAsia" w:ascii="MS UI Gothic" w:eastAsia="MS UI Gothic"/>
          <w:spacing w:val="-38"/>
          <w:w w:val="150"/>
        </w:rPr>
        <w:t xml:space="preserve">( </w:t>
      </w:r>
      <w:r>
        <w:rPr>
          <w:spacing w:val="3"/>
          <w:w w:val="110"/>
        </w:rPr>
        <w:t>二</w:t>
      </w:r>
      <w:r>
        <w:rPr>
          <w:rFonts w:hint="eastAsia" w:ascii="MS UI Gothic" w:eastAsia="MS UI Gothic"/>
          <w:spacing w:val="1"/>
          <w:w w:val="150"/>
        </w:rPr>
        <w:t xml:space="preserve">) </w:t>
      </w:r>
      <w:r>
        <w:rPr>
          <w:spacing w:val="-4"/>
          <w:w w:val="110"/>
        </w:rPr>
        <w:t xml:space="preserve">除钻台安装 </w:t>
      </w:r>
      <w:r>
        <w:rPr>
          <w:rFonts w:hint="eastAsia" w:ascii="MS UI Gothic" w:eastAsia="MS UI Gothic"/>
          <w:spacing w:val="2"/>
          <w:w w:val="80"/>
        </w:rPr>
        <w:t xml:space="preserve">１ </w:t>
      </w:r>
      <w:r>
        <w:rPr>
          <w:spacing w:val="5"/>
          <w:w w:val="110"/>
        </w:rPr>
        <w:t xml:space="preserve">台控制盘 </w:t>
      </w:r>
      <w:r>
        <w:rPr>
          <w:rFonts w:hint="eastAsia" w:ascii="MS UI Gothic" w:eastAsia="MS UI Gothic"/>
          <w:spacing w:val="-34"/>
          <w:w w:val="150"/>
        </w:rPr>
        <w:t xml:space="preserve">( </w:t>
      </w:r>
      <w:r>
        <w:rPr>
          <w:spacing w:val="13"/>
          <w:w w:val="110"/>
        </w:rPr>
        <w:t>台</w:t>
      </w:r>
      <w:r>
        <w:rPr>
          <w:rFonts w:hint="eastAsia" w:ascii="MS UI Gothic" w:eastAsia="MS UI Gothic"/>
          <w:w w:val="150"/>
        </w:rPr>
        <w:t xml:space="preserve">) </w:t>
      </w:r>
      <w:r>
        <w:rPr>
          <w:spacing w:val="3"/>
          <w:w w:val="110"/>
        </w:rPr>
        <w:t>外</w:t>
      </w:r>
      <w:r>
        <w:rPr>
          <w:rFonts w:hint="eastAsia" w:ascii="MS UI Gothic" w:eastAsia="MS UI Gothic"/>
          <w:spacing w:val="5"/>
          <w:w w:val="80"/>
        </w:rPr>
        <w:t xml:space="preserve">ꎬ </w:t>
      </w:r>
      <w:r>
        <w:rPr>
          <w:spacing w:val="-41"/>
          <w:w w:val="110"/>
        </w:rPr>
        <w:t xml:space="preserve">另 </w:t>
      </w:r>
      <w:r>
        <w:rPr>
          <w:rFonts w:hint="eastAsia" w:ascii="MS UI Gothic" w:eastAsia="MS UI Gothic"/>
          <w:spacing w:val="-6"/>
          <w:w w:val="80"/>
        </w:rPr>
        <w:t xml:space="preserve">１ </w:t>
      </w:r>
      <w:r>
        <w:rPr>
          <w:spacing w:val="6"/>
          <w:w w:val="110"/>
        </w:rPr>
        <w:t xml:space="preserve">台辅助控制盘 </w:t>
      </w:r>
      <w:r>
        <w:rPr>
          <w:rFonts w:hint="eastAsia" w:ascii="MS UI Gothic" w:eastAsia="MS UI Gothic"/>
          <w:spacing w:val="-37"/>
          <w:w w:val="150"/>
        </w:rPr>
        <w:t xml:space="preserve">( </w:t>
      </w:r>
      <w:r>
        <w:rPr>
          <w:spacing w:val="13"/>
          <w:w w:val="110"/>
        </w:rPr>
        <w:t>台</w:t>
      </w:r>
      <w:r>
        <w:rPr>
          <w:rFonts w:hint="eastAsia" w:ascii="MS UI Gothic" w:eastAsia="MS UI Gothic"/>
          <w:spacing w:val="-8"/>
          <w:w w:val="150"/>
        </w:rPr>
        <w:t xml:space="preserve">) </w:t>
      </w:r>
      <w:r>
        <w:rPr>
          <w:spacing w:val="14"/>
          <w:w w:val="110"/>
        </w:rPr>
        <w:t>安装在远</w:t>
      </w:r>
      <w:r>
        <w:rPr>
          <w:spacing w:val="3"/>
          <w:w w:val="110"/>
        </w:rPr>
        <w:t>离钻台</w:t>
      </w:r>
      <w:r>
        <w:rPr>
          <w:rFonts w:hint="eastAsia" w:ascii="MS UI Gothic" w:eastAsia="MS UI Gothic"/>
          <w:spacing w:val="21"/>
          <w:w w:val="80"/>
        </w:rPr>
        <w:t xml:space="preserve">、 </w:t>
      </w:r>
      <w:r>
        <w:rPr>
          <w:spacing w:val="3"/>
          <w:w w:val="110"/>
        </w:rPr>
        <w:t>便于操作的位置</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防喷器组配备与其额定工作压</w:t>
      </w:r>
      <w:r>
        <w:rPr>
          <w:spacing w:val="12"/>
          <w:w w:val="105"/>
        </w:rPr>
        <w:t>力相一致的防喷管汇</w:t>
      </w:r>
      <w:r>
        <w:rPr>
          <w:rFonts w:hint="eastAsia" w:ascii="MS UI Gothic" w:eastAsia="MS UI Gothic"/>
          <w:w w:val="80"/>
        </w:rPr>
        <w:t xml:space="preserve">、 </w:t>
      </w:r>
      <w:r>
        <w:rPr>
          <w:spacing w:val="16"/>
          <w:w w:val="105"/>
        </w:rPr>
        <w:t>节流管汇和压井</w:t>
      </w:r>
      <w:r>
        <w:rPr>
          <w:spacing w:val="3"/>
          <w:w w:val="105"/>
        </w:rPr>
        <w:t>管汇</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29"/>
          <w:w w:val="150"/>
        </w:rPr>
        <w:t xml:space="preserve">( </w:t>
      </w:r>
      <w:r>
        <w:rPr>
          <w:spacing w:val="3"/>
        </w:rPr>
        <w:t>四</w:t>
      </w:r>
      <w:r>
        <w:rPr>
          <w:rFonts w:hint="eastAsia" w:ascii="MS UI Gothic" w:eastAsia="MS UI Gothic"/>
          <w:spacing w:val="12"/>
          <w:w w:val="150"/>
        </w:rPr>
        <w:t xml:space="preserve">) </w:t>
      </w:r>
      <w:r>
        <w:rPr>
          <w:spacing w:val="5"/>
        </w:rPr>
        <w:t>压井管汇和节流管汇的防喷管</w:t>
      </w:r>
      <w:r>
        <w:rPr>
          <w:spacing w:val="4"/>
        </w:rPr>
        <w:t>线上</w:t>
      </w:r>
      <w:r>
        <w:rPr>
          <w:rFonts w:hint="eastAsia" w:ascii="MS UI Gothic" w:eastAsia="MS UI Gothic"/>
          <w:spacing w:val="23"/>
          <w:w w:val="80"/>
        </w:rPr>
        <w:t xml:space="preserve">ꎬ </w:t>
      </w:r>
      <w:r>
        <w:rPr>
          <w:spacing w:val="-10"/>
        </w:rPr>
        <w:t xml:space="preserve">分别安装 </w:t>
      </w:r>
      <w:r>
        <w:rPr>
          <w:rFonts w:hint="eastAsia" w:ascii="MS UI Gothic" w:eastAsia="MS UI Gothic"/>
          <w:spacing w:val="1"/>
          <w:w w:val="80"/>
        </w:rPr>
        <w:t xml:space="preserve">２ </w:t>
      </w:r>
      <w:r>
        <w:rPr>
          <w:spacing w:val="3"/>
        </w:rPr>
        <w:t>个控制阀</w:t>
      </w:r>
      <w:r>
        <w:rPr>
          <w:rFonts w:hint="eastAsia" w:ascii="MS UI Gothic" w:eastAsia="MS UI Gothic"/>
          <w:spacing w:val="23"/>
          <w:w w:val="80"/>
        </w:rPr>
        <w:t xml:space="preserve">ꎮ </w:t>
      </w:r>
      <w:r>
        <w:rPr>
          <w:spacing w:val="3"/>
        </w:rPr>
        <w:t>其中一个为手动</w:t>
      </w:r>
      <w:r>
        <w:rPr>
          <w:rFonts w:hint="eastAsia" w:ascii="MS UI Gothic" w:eastAsia="MS UI Gothic"/>
          <w:spacing w:val="23"/>
          <w:w w:val="80"/>
        </w:rPr>
        <w:t xml:space="preserve">ꎬ </w:t>
      </w:r>
      <w:r>
        <w:rPr>
          <w:spacing w:val="3"/>
        </w:rPr>
        <w:t>处于常开位置</w:t>
      </w:r>
      <w:r>
        <w:rPr>
          <w:rFonts w:hint="eastAsia" w:ascii="MS UI Gothic" w:eastAsia="MS UI Gothic"/>
          <w:spacing w:val="23"/>
          <w:w w:val="80"/>
        </w:rPr>
        <w:t xml:space="preserve">ꎻ </w:t>
      </w:r>
      <w:r>
        <w:rPr>
          <w:spacing w:val="2"/>
        </w:rPr>
        <w:t>另一个必须是远程</w:t>
      </w:r>
      <w:r>
        <w:rPr>
          <w:spacing w:val="3"/>
        </w:rPr>
        <w:t>控制</w:t>
      </w:r>
      <w:r>
        <w:rPr>
          <w:rFonts w:hint="eastAsia" w:ascii="MS UI Gothic" w:eastAsia="MS UI Gothic"/>
          <w:w w:val="80"/>
        </w:rPr>
        <w:t>ꎻ</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安装自动灌井液系统</w:t>
      </w:r>
      <w:r>
        <w:rPr>
          <w:rFonts w:hint="eastAsia" w:ascii="MS UI Gothic" w:eastAsia="MS UI Gothic"/>
          <w:w w:val="80"/>
        </w:rPr>
        <w:t>ꎮ</w:t>
      </w:r>
    </w:p>
    <w:p>
      <w:pPr>
        <w:pStyle w:val="6"/>
        <w:spacing w:before="53" w:line="295" w:lineRule="auto"/>
        <w:ind w:right="39"/>
        <w:rPr>
          <w:rFonts w:hint="eastAsia" w:ascii="MS UI Gothic" w:eastAsia="MS UI Gothic"/>
        </w:rPr>
      </w:pPr>
      <w:r>
        <w:rPr>
          <w:w w:val="105"/>
        </w:rPr>
        <w:t>第五十四条 水下防喷器组应当符合</w:t>
      </w:r>
      <w:r>
        <w:rPr>
          <w:w w:val="110"/>
        </w:rPr>
        <w:t>下列规定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若有浅层气或者地质情况不清时</w:t>
      </w:r>
      <w:r>
        <w:rPr>
          <w:rFonts w:hint="eastAsia" w:ascii="MS UI Gothic" w:eastAsia="MS UI Gothic"/>
          <w:w w:val="80"/>
        </w:rPr>
        <w:t xml:space="preserve">ꎬ </w:t>
      </w:r>
      <w:r>
        <w:rPr>
          <w:w w:val="105"/>
        </w:rPr>
        <w:t>导管上安装分流系统</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6"/>
          <w:w w:val="150"/>
        </w:rPr>
        <w:t xml:space="preserve">( </w:t>
      </w:r>
      <w:r>
        <w:rPr>
          <w:spacing w:val="3"/>
          <w:w w:val="105"/>
        </w:rPr>
        <w:t>二</w:t>
      </w:r>
      <w:r>
        <w:rPr>
          <w:rFonts w:hint="eastAsia" w:ascii="MS UI Gothic" w:eastAsia="MS UI Gothic"/>
          <w:spacing w:val="16"/>
          <w:w w:val="150"/>
        </w:rPr>
        <w:t xml:space="preserve">) </w:t>
      </w:r>
      <w:r>
        <w:rPr>
          <w:spacing w:val="2"/>
          <w:w w:val="105"/>
        </w:rPr>
        <w:t xml:space="preserve">在表层套管和中间 </w:t>
      </w:r>
      <w:r>
        <w:rPr>
          <w:rFonts w:hint="eastAsia" w:ascii="MS UI Gothic" w:eastAsia="MS UI Gothic"/>
          <w:spacing w:val="-34"/>
          <w:w w:val="150"/>
        </w:rPr>
        <w:t xml:space="preserve">( </w:t>
      </w:r>
      <w:r>
        <w:rPr>
          <w:spacing w:val="8"/>
          <w:w w:val="105"/>
        </w:rPr>
        <w:t>技术</w:t>
      </w:r>
      <w:r>
        <w:rPr>
          <w:rFonts w:hint="eastAsia" w:ascii="MS UI Gothic" w:eastAsia="MS UI Gothic"/>
          <w:spacing w:val="18"/>
          <w:w w:val="150"/>
        </w:rPr>
        <w:t xml:space="preserve">) </w:t>
      </w:r>
      <w:r>
        <w:rPr>
          <w:w w:val="105"/>
        </w:rPr>
        <w:t>套</w:t>
      </w:r>
      <w:r>
        <w:rPr>
          <w:spacing w:val="-12"/>
          <w:w w:val="105"/>
        </w:rPr>
        <w:t xml:space="preserve">管上安装 </w:t>
      </w:r>
      <w:r>
        <w:rPr>
          <w:rFonts w:hint="eastAsia" w:ascii="MS UI Gothic" w:eastAsia="MS UI Gothic"/>
          <w:spacing w:val="-2"/>
          <w:w w:val="80"/>
        </w:rPr>
        <w:t xml:space="preserve">１ </w:t>
      </w:r>
      <w:r>
        <w:rPr>
          <w:spacing w:val="-13"/>
          <w:w w:val="105"/>
        </w:rPr>
        <w:t xml:space="preserve">个或者 </w:t>
      </w:r>
      <w:r>
        <w:rPr>
          <w:rFonts w:hint="eastAsia" w:ascii="MS UI Gothic" w:eastAsia="MS UI Gothic"/>
          <w:spacing w:val="2"/>
          <w:w w:val="80"/>
        </w:rPr>
        <w:t xml:space="preserve">２ </w:t>
      </w:r>
      <w:r>
        <w:rPr>
          <w:spacing w:val="8"/>
          <w:w w:val="105"/>
        </w:rPr>
        <w:t>个环形防喷器</w:t>
      </w:r>
      <w:r>
        <w:rPr>
          <w:rFonts w:hint="eastAsia" w:ascii="MS UI Gothic" w:eastAsia="MS UI Gothic"/>
          <w:spacing w:val="10"/>
          <w:w w:val="80"/>
        </w:rPr>
        <w:t xml:space="preserve">、 ２ </w:t>
      </w:r>
      <w:r>
        <w:rPr>
          <w:w w:val="105"/>
        </w:rPr>
        <w:t>个</w:t>
      </w:r>
      <w:r>
        <w:rPr>
          <w:spacing w:val="1"/>
          <w:w w:val="105"/>
        </w:rPr>
        <w:t>双闸板防喷器</w:t>
      </w:r>
      <w:r>
        <w:rPr>
          <w:rFonts w:hint="eastAsia" w:ascii="MS UI Gothic" w:eastAsia="MS UI Gothic"/>
          <w:spacing w:val="-2"/>
          <w:w w:val="80"/>
        </w:rPr>
        <w:t xml:space="preserve">ꎬ </w:t>
      </w:r>
      <w:r>
        <w:rPr>
          <w:spacing w:val="-28"/>
          <w:w w:val="105"/>
        </w:rPr>
        <w:t xml:space="preserve">其中 </w:t>
      </w:r>
      <w:r>
        <w:rPr>
          <w:rFonts w:hint="eastAsia" w:ascii="MS UI Gothic" w:eastAsia="MS UI Gothic"/>
          <w:spacing w:val="-12"/>
          <w:w w:val="80"/>
        </w:rPr>
        <w:t xml:space="preserve">１ </w:t>
      </w:r>
      <w:r>
        <w:rPr>
          <w:spacing w:val="2"/>
          <w:w w:val="105"/>
        </w:rPr>
        <w:t>副闸板为全封剪切</w:t>
      </w:r>
      <w:r>
        <w:rPr>
          <w:spacing w:val="3"/>
          <w:w w:val="105"/>
        </w:rPr>
        <w:t>闸板防喷器</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 xml:space="preserve">安装 </w:t>
      </w:r>
      <w:r>
        <w:rPr>
          <w:rFonts w:hint="eastAsia" w:ascii="MS UI Gothic" w:eastAsia="MS UI Gothic"/>
          <w:w w:val="80"/>
        </w:rPr>
        <w:t xml:space="preserve">１ </w:t>
      </w:r>
      <w:r>
        <w:t>组水下储能器</w:t>
      </w:r>
      <w:r>
        <w:rPr>
          <w:rFonts w:hint="eastAsia" w:ascii="MS UI Gothic" w:eastAsia="MS UI Gothic"/>
          <w:w w:val="80"/>
        </w:rPr>
        <w:t xml:space="preserve">ꎬ </w:t>
      </w:r>
      <w:r>
        <w:t>便于就近迅速提供液压能</w:t>
      </w:r>
      <w:r>
        <w:rPr>
          <w:rFonts w:hint="eastAsia" w:ascii="MS UI Gothic" w:eastAsia="MS UI Gothic"/>
          <w:w w:val="80"/>
        </w:rPr>
        <w:t xml:space="preserve">ꎬ </w:t>
      </w:r>
      <w:r>
        <w:t>以尽快开关各防喷器及其闸门</w:t>
      </w:r>
      <w:r>
        <w:rPr>
          <w:rFonts w:hint="eastAsia" w:ascii="MS UI Gothic" w:eastAsia="MS UI Gothic"/>
          <w:w w:val="80"/>
        </w:rPr>
        <w:t xml:space="preserve">ꎮ </w:t>
      </w:r>
      <w:r>
        <w:t>同时</w:t>
      </w:r>
      <w:r>
        <w:rPr>
          <w:rFonts w:hint="eastAsia" w:ascii="MS UI Gothic" w:eastAsia="MS UI Gothic"/>
          <w:w w:val="80"/>
        </w:rPr>
        <w:t xml:space="preserve">ꎬ </w:t>
      </w:r>
      <w:r>
        <w:t>采用互为备用的双控制盒系统</w:t>
      </w:r>
      <w:r>
        <w:rPr>
          <w:rFonts w:hint="eastAsia" w:ascii="MS UI Gothic" w:eastAsia="MS UI Gothic"/>
          <w:w w:val="80"/>
        </w:rPr>
        <w:t xml:space="preserve">ꎬ </w:t>
      </w:r>
      <w:r>
        <w:t>当一个控制盒系统正在使用时</w:t>
      </w:r>
      <w:r>
        <w:rPr>
          <w:rFonts w:hint="eastAsia" w:ascii="MS UI Gothic" w:eastAsia="MS UI Gothic"/>
          <w:w w:val="80"/>
        </w:rPr>
        <w:t>ꎬ</w:t>
      </w:r>
      <w:r>
        <w:t>另一个控制盒系统保持良好的工作状态作为备用</w:t>
      </w:r>
      <w:r>
        <w:rPr>
          <w:rFonts w:hint="eastAsia" w:ascii="MS UI Gothic" w:eastAsia="MS UI Gothic"/>
          <w:w w:val="80"/>
        </w:rPr>
        <w:t>ꎻ</w:t>
      </w:r>
    </w:p>
    <w:p>
      <w:pPr>
        <w:pStyle w:val="6"/>
        <w:spacing w:line="295" w:lineRule="auto"/>
        <w:ind w:left="118" w:right="38" w:firstLine="425"/>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如需修理或者更换防喷器组</w:t>
      </w:r>
      <w:r>
        <w:rPr>
          <w:rFonts w:hint="eastAsia" w:ascii="MS UI Gothic" w:eastAsia="MS UI Gothic"/>
          <w:w w:val="80"/>
        </w:rPr>
        <w:t>ꎬ</w:t>
      </w:r>
      <w:r>
        <w:t>必须保证井眼安全</w:t>
      </w:r>
      <w:r>
        <w:rPr>
          <w:rFonts w:hint="eastAsia" w:ascii="MS UI Gothic" w:eastAsia="MS UI Gothic"/>
          <w:w w:val="80"/>
        </w:rPr>
        <w:t xml:space="preserve">ꎬ </w:t>
      </w:r>
      <w:r>
        <w:t>尽量在下完套管固井后或者未钻穿水泥塞前进行</w:t>
      </w:r>
      <w:r>
        <w:rPr>
          <w:rFonts w:hint="eastAsia" w:ascii="MS UI Gothic" w:eastAsia="MS UI Gothic"/>
          <w:w w:val="80"/>
        </w:rPr>
        <w:t xml:space="preserve">ꎮ </w:t>
      </w:r>
      <w:r>
        <w:t>必要时</w:t>
      </w:r>
      <w:r>
        <w:rPr>
          <w:rFonts w:hint="eastAsia" w:ascii="MS UI Gothic" w:eastAsia="MS UI Gothic"/>
          <w:w w:val="80"/>
        </w:rPr>
        <w:t xml:space="preserve">ꎬ </w:t>
      </w:r>
      <w:r>
        <w:t>打</w:t>
      </w:r>
      <w:r>
        <w:rPr>
          <w:rFonts w:hint="eastAsia" w:ascii="MS UI Gothic" w:eastAsia="MS UI Gothic"/>
          <w:w w:val="80"/>
        </w:rPr>
        <w:t xml:space="preserve">１ </w:t>
      </w:r>
      <w:r>
        <w:t>个水泥塞或者下桥塞后再进行修理或者</w:t>
      </w:r>
      <w:r>
        <w:rPr>
          <w:w w:val="105"/>
        </w:rPr>
        <w:t>更换</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使用复合式钻柱的</w:t>
      </w:r>
      <w:r>
        <w:rPr>
          <w:rFonts w:hint="eastAsia" w:ascii="MS UI Gothic" w:eastAsia="MS UI Gothic"/>
          <w:w w:val="80"/>
        </w:rPr>
        <w:t xml:space="preserve">ꎬ </w:t>
      </w:r>
      <w:r>
        <w:rPr>
          <w:w w:val="105"/>
        </w:rPr>
        <w:t>装有可变闸板</w:t>
      </w:r>
      <w:r>
        <w:rPr>
          <w:rFonts w:hint="eastAsia" w:ascii="MS UI Gothic" w:eastAsia="MS UI Gothic"/>
          <w:w w:val="80"/>
        </w:rPr>
        <w:t xml:space="preserve">ꎬ </w:t>
      </w:r>
      <w:r>
        <w:rPr>
          <w:w w:val="105"/>
        </w:rPr>
        <w:t>以适应不同的钻具尺寸</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第五十五条 水上防喷器组应当符合</w:t>
      </w:r>
      <w:r>
        <w:rPr>
          <w:w w:val="110"/>
        </w:rPr>
        <w:t>下列基本规定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若有浅层气或者地质情况不清</w:t>
      </w:r>
      <w:r>
        <w:rPr>
          <w:w w:val="110"/>
        </w:rPr>
        <w:t>时</w:t>
      </w:r>
      <w:r>
        <w:rPr>
          <w:rFonts w:hint="eastAsia" w:ascii="MS UI Gothic" w:eastAsia="MS UI Gothic"/>
          <w:w w:val="80"/>
        </w:rPr>
        <w:t xml:space="preserve">ꎬ </w:t>
      </w:r>
      <w:r>
        <w:rPr>
          <w:w w:val="110"/>
        </w:rPr>
        <w:t xml:space="preserve">隔水 </w:t>
      </w:r>
      <w:r>
        <w:rPr>
          <w:rFonts w:hint="eastAsia" w:ascii="MS UI Gothic" w:eastAsia="MS UI Gothic"/>
          <w:w w:val="150"/>
        </w:rPr>
        <w:t xml:space="preserve">( </w:t>
      </w:r>
      <w:r>
        <w:rPr>
          <w:w w:val="110"/>
        </w:rPr>
        <w:t>导</w:t>
      </w:r>
      <w:r>
        <w:rPr>
          <w:rFonts w:hint="eastAsia" w:ascii="MS UI Gothic" w:eastAsia="MS UI Gothic"/>
          <w:w w:val="150"/>
        </w:rPr>
        <w:t xml:space="preserve">) </w:t>
      </w:r>
      <w:r>
        <w:rPr>
          <w:w w:val="110"/>
        </w:rPr>
        <w:t>管上安装分流系统</w:t>
      </w:r>
      <w:r>
        <w:rPr>
          <w:rFonts w:hint="eastAsia" w:ascii="MS UI Gothic" w:eastAsia="MS UI Gothic"/>
          <w:w w:val="80"/>
        </w:rPr>
        <w:t>ꎻ</w:t>
      </w:r>
    </w:p>
    <w:p>
      <w:pPr>
        <w:pStyle w:val="6"/>
        <w:spacing w:line="295" w:lineRule="auto"/>
        <w:ind w:right="39"/>
      </w:pPr>
      <w:r>
        <w:rPr>
          <w:rFonts w:hint="eastAsia" w:ascii="MS UI Gothic" w:hAnsi="MS UI Gothic" w:eastAsia="MS UI Gothic"/>
          <w:spacing w:val="-29"/>
          <w:w w:val="140"/>
        </w:rPr>
        <w:t xml:space="preserve">( </w:t>
      </w:r>
      <w:r>
        <w:rPr>
          <w:spacing w:val="3"/>
        </w:rPr>
        <w:t>二</w:t>
      </w:r>
      <w:r>
        <w:rPr>
          <w:rFonts w:hint="eastAsia" w:ascii="MS UI Gothic" w:hAnsi="MS UI Gothic" w:eastAsia="MS UI Gothic"/>
          <w:spacing w:val="41"/>
          <w:w w:val="140"/>
        </w:rPr>
        <w:t xml:space="preserve">) </w:t>
      </w:r>
      <w:r>
        <w:t xml:space="preserve">表层套管上安装 </w:t>
      </w:r>
      <w:r>
        <w:rPr>
          <w:rFonts w:hint="eastAsia" w:ascii="MS UI Gothic" w:hAnsi="MS UI Gothic" w:eastAsia="MS UI Gothic"/>
          <w:spacing w:val="18"/>
          <w:w w:val="85"/>
        </w:rPr>
        <w:t xml:space="preserve">１ </w:t>
      </w:r>
      <w:r>
        <w:rPr>
          <w:spacing w:val="8"/>
        </w:rPr>
        <w:t>个环形防喷</w:t>
      </w:r>
      <w:r>
        <w:rPr>
          <w:spacing w:val="3"/>
          <w:w w:val="102"/>
        </w:rPr>
        <w:t>器</w:t>
      </w:r>
      <w:r>
        <w:rPr>
          <w:rFonts w:hint="eastAsia" w:ascii="MS UI Gothic" w:hAnsi="MS UI Gothic" w:eastAsia="MS UI Gothic"/>
          <w:w w:val="51"/>
        </w:rPr>
        <w:t>ꎬ</w:t>
      </w:r>
      <w:r>
        <w:rPr>
          <w:rFonts w:hint="eastAsia" w:ascii="MS UI Gothic" w:hAnsi="MS UI Gothic" w:eastAsia="MS UI Gothic"/>
          <w:spacing w:val="-11"/>
        </w:rPr>
        <w:t xml:space="preserve">  </w:t>
      </w:r>
      <w:r>
        <w:rPr>
          <w:rFonts w:hint="eastAsia" w:ascii="MS UI Gothic" w:hAnsi="MS UI Gothic" w:eastAsia="MS UI Gothic"/>
          <w:w w:val="75"/>
        </w:rPr>
        <w:t>１</w:t>
      </w:r>
      <w:r>
        <w:rPr>
          <w:rFonts w:hint="eastAsia" w:ascii="MS UI Gothic" w:hAnsi="MS UI Gothic" w:eastAsia="MS UI Gothic"/>
          <w:spacing w:val="-3"/>
        </w:rPr>
        <w:t xml:space="preserve"> </w:t>
      </w:r>
      <w:r>
        <w:rPr>
          <w:spacing w:val="3"/>
          <w:w w:val="102"/>
        </w:rPr>
        <w:t>个双闸板防喷器</w:t>
      </w:r>
      <w:r>
        <w:rPr>
          <w:rFonts w:hint="eastAsia" w:ascii="MS UI Gothic" w:hAnsi="MS UI Gothic" w:eastAsia="MS UI Gothic"/>
          <w:w w:val="51"/>
        </w:rPr>
        <w:t>ꎻ</w:t>
      </w:r>
      <w:r>
        <w:rPr>
          <w:rFonts w:hint="eastAsia" w:ascii="MS UI Gothic" w:hAnsi="MS UI Gothic" w:eastAsia="MS UI Gothic"/>
          <w:spacing w:val="-8"/>
        </w:rPr>
        <w:t xml:space="preserve">  </w:t>
      </w:r>
      <w:r>
        <w:rPr>
          <w:spacing w:val="1"/>
          <w:w w:val="102"/>
        </w:rPr>
        <w:t>大于</w:t>
      </w:r>
      <w:r>
        <w:rPr>
          <w:spacing w:val="-58"/>
        </w:rPr>
        <w:t xml:space="preserve"> </w:t>
      </w:r>
      <w:r>
        <w:rPr>
          <w:rFonts w:hint="eastAsia" w:ascii="MS UI Gothic" w:hAnsi="MS UI Gothic" w:eastAsia="MS UI Gothic"/>
          <w:spacing w:val="2"/>
          <w:w w:val="75"/>
        </w:rPr>
        <w:t>１３</w:t>
      </w:r>
      <w:r>
        <w:rPr>
          <w:rFonts w:hint="eastAsia" w:ascii="MS UI Gothic" w:hAnsi="MS UI Gothic" w:eastAsia="MS UI Gothic"/>
          <w:spacing w:val="-5"/>
          <w:w w:val="34"/>
        </w:rPr>
        <w:t>″</w:t>
      </w:r>
      <w:r>
        <w:rPr>
          <w:rFonts w:hint="eastAsia" w:ascii="MS UI Gothic" w:hAnsi="MS UI Gothic" w:eastAsia="MS UI Gothic"/>
          <w:w w:val="75"/>
        </w:rPr>
        <w:t>３</w:t>
      </w:r>
      <w:r>
        <w:rPr>
          <w:rFonts w:hint="eastAsia" w:ascii="MS UI Gothic" w:hAnsi="MS UI Gothic" w:eastAsia="MS UI Gothic"/>
          <w:spacing w:val="-30"/>
        </w:rPr>
        <w:t xml:space="preserve"> </w:t>
      </w:r>
      <w:r>
        <w:rPr>
          <w:rFonts w:hint="eastAsia" w:ascii="MS UI Gothic" w:hAnsi="MS UI Gothic" w:eastAsia="MS UI Gothic"/>
          <w:w w:val="34"/>
        </w:rPr>
        <w:t>/</w:t>
      </w:r>
      <w:r>
        <w:rPr>
          <w:rFonts w:hint="eastAsia" w:ascii="MS UI Gothic" w:hAnsi="MS UI Gothic" w:eastAsia="MS UI Gothic"/>
          <w:spacing w:val="-22"/>
        </w:rPr>
        <w:t xml:space="preserve"> </w:t>
      </w:r>
      <w:r>
        <w:rPr>
          <w:rFonts w:hint="eastAsia" w:ascii="MS UI Gothic" w:hAnsi="MS UI Gothic" w:eastAsia="MS UI Gothic"/>
          <w:w w:val="75"/>
        </w:rPr>
        <w:t>８</w:t>
      </w:r>
      <w:r>
        <w:rPr>
          <w:rFonts w:hint="eastAsia" w:ascii="MS UI Gothic" w:hAnsi="MS UI Gothic" w:eastAsia="MS UI Gothic"/>
          <w:spacing w:val="-3"/>
        </w:rPr>
        <w:t xml:space="preserve"> </w:t>
      </w:r>
      <w:r>
        <w:rPr>
          <w:spacing w:val="1"/>
          <w:w w:val="102"/>
        </w:rPr>
        <w:t>表层</w:t>
      </w:r>
    </w:p>
    <w:p>
      <w:pPr>
        <w:pStyle w:val="6"/>
        <w:spacing w:before="74" w:line="295" w:lineRule="auto"/>
        <w:ind w:left="118" w:right="442" w:firstLine="425"/>
        <w:rPr>
          <w:rFonts w:hint="eastAsia" w:ascii="MS UI Gothic" w:eastAsia="MS UI Gothic"/>
        </w:rPr>
      </w:pPr>
      <w:r>
        <w:br w:type="column"/>
      </w:r>
      <w:r>
        <w:rPr>
          <w:rFonts w:hint="eastAsia" w:ascii="MS UI Gothic" w:eastAsia="MS UI Gothic"/>
          <w:spacing w:val="-38"/>
          <w:w w:val="150"/>
        </w:rPr>
        <w:t xml:space="preserve">( </w:t>
      </w:r>
      <w:r>
        <w:rPr>
          <w:spacing w:val="3"/>
          <w:w w:val="110"/>
        </w:rPr>
        <w:t>三</w:t>
      </w:r>
      <w:r>
        <w:rPr>
          <w:rFonts w:hint="eastAsia" w:ascii="MS UI Gothic" w:eastAsia="MS UI Gothic"/>
          <w:spacing w:val="4"/>
          <w:w w:val="150"/>
        </w:rPr>
        <w:t xml:space="preserve">) </w:t>
      </w:r>
      <w:r>
        <w:rPr>
          <w:spacing w:val="-8"/>
          <w:w w:val="110"/>
        </w:rPr>
        <w:t xml:space="preserve">中间 </w:t>
      </w:r>
      <w:r>
        <w:rPr>
          <w:rFonts w:hint="eastAsia" w:ascii="MS UI Gothic" w:eastAsia="MS UI Gothic"/>
          <w:spacing w:val="-38"/>
          <w:w w:val="150"/>
        </w:rPr>
        <w:t xml:space="preserve">( </w:t>
      </w:r>
      <w:r>
        <w:rPr>
          <w:spacing w:val="5"/>
          <w:w w:val="110"/>
        </w:rPr>
        <w:t>技术</w:t>
      </w:r>
      <w:r>
        <w:rPr>
          <w:rFonts w:hint="eastAsia" w:ascii="MS UI Gothic" w:eastAsia="MS UI Gothic"/>
          <w:spacing w:val="4"/>
          <w:w w:val="150"/>
        </w:rPr>
        <w:t xml:space="preserve">) </w:t>
      </w:r>
      <w:r>
        <w:rPr>
          <w:spacing w:val="-8"/>
          <w:w w:val="110"/>
        </w:rPr>
        <w:t xml:space="preserve">套管上安装 </w:t>
      </w:r>
      <w:r>
        <w:rPr>
          <w:rFonts w:hint="eastAsia" w:ascii="MS UI Gothic" w:eastAsia="MS UI Gothic"/>
          <w:w w:val="80"/>
        </w:rPr>
        <w:t xml:space="preserve">１ </w:t>
      </w:r>
      <w:r>
        <w:rPr>
          <w:w w:val="110"/>
        </w:rPr>
        <w:t>个</w:t>
      </w:r>
      <w:r>
        <w:rPr>
          <w:spacing w:val="1"/>
          <w:w w:val="110"/>
        </w:rPr>
        <w:t>环形</w:t>
      </w:r>
      <w:r>
        <w:rPr>
          <w:rFonts w:hint="eastAsia" w:ascii="MS UI Gothic" w:eastAsia="MS UI Gothic"/>
          <w:spacing w:val="2"/>
          <w:w w:val="80"/>
        </w:rPr>
        <w:t xml:space="preserve">、 １ </w:t>
      </w:r>
      <w:r>
        <w:rPr>
          <w:spacing w:val="-6"/>
          <w:w w:val="110"/>
        </w:rPr>
        <w:t xml:space="preserve">个双闸板 </w:t>
      </w:r>
      <w:r>
        <w:rPr>
          <w:rFonts w:hint="eastAsia" w:ascii="MS UI Gothic" w:eastAsia="MS UI Gothic"/>
          <w:spacing w:val="-39"/>
          <w:w w:val="150"/>
        </w:rPr>
        <w:t xml:space="preserve">( </w:t>
      </w:r>
      <w:r>
        <w:rPr>
          <w:spacing w:val="-25"/>
          <w:w w:val="110"/>
        </w:rPr>
        <w:t xml:space="preserve">或者 </w:t>
      </w:r>
      <w:r>
        <w:rPr>
          <w:rFonts w:hint="eastAsia" w:ascii="MS UI Gothic" w:eastAsia="MS UI Gothic"/>
          <w:spacing w:val="-5"/>
          <w:w w:val="80"/>
        </w:rPr>
        <w:t xml:space="preserve">２ </w:t>
      </w:r>
      <w:r>
        <w:rPr>
          <w:spacing w:val="7"/>
          <w:w w:val="110"/>
        </w:rPr>
        <w:t>个单闸板</w:t>
      </w:r>
      <w:r>
        <w:rPr>
          <w:rFonts w:hint="eastAsia" w:ascii="MS UI Gothic" w:eastAsia="MS UI Gothic"/>
          <w:spacing w:val="-2"/>
          <w:w w:val="150"/>
        </w:rPr>
        <w:t xml:space="preserve">) </w:t>
      </w:r>
      <w:r>
        <w:rPr>
          <w:w w:val="110"/>
        </w:rPr>
        <w:t>和</w:t>
      </w:r>
      <w:r>
        <w:rPr>
          <w:rFonts w:hint="eastAsia" w:ascii="MS UI Gothic" w:eastAsia="MS UI Gothic"/>
          <w:spacing w:val="-1"/>
          <w:w w:val="80"/>
        </w:rPr>
        <w:t xml:space="preserve">１ </w:t>
      </w:r>
      <w:r>
        <w:rPr>
          <w:spacing w:val="3"/>
          <w:w w:val="110"/>
        </w:rPr>
        <w:t>个剪切全封闭闸板防喷器</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使用复合式钻柱的</w:t>
      </w:r>
      <w:r>
        <w:rPr>
          <w:rFonts w:hint="eastAsia" w:ascii="MS UI Gothic" w:eastAsia="MS UI Gothic"/>
          <w:w w:val="80"/>
        </w:rPr>
        <w:t xml:space="preserve">ꎬ </w:t>
      </w:r>
      <w:r>
        <w:rPr>
          <w:w w:val="105"/>
        </w:rPr>
        <w:t>装有可变闸板</w:t>
      </w:r>
      <w:r>
        <w:rPr>
          <w:rFonts w:hint="eastAsia" w:ascii="MS UI Gothic" w:eastAsia="MS UI Gothic"/>
          <w:w w:val="80"/>
        </w:rPr>
        <w:t xml:space="preserve">ꎬ </w:t>
      </w:r>
      <w:r>
        <w:rPr>
          <w:w w:val="105"/>
        </w:rPr>
        <w:t>以适应不同的钻具尽寸</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第五十六条 水上防喷器组的开关活</w:t>
      </w:r>
      <w:r>
        <w:rPr>
          <w:w w:val="110"/>
        </w:rPr>
        <w:t>动</w:t>
      </w:r>
      <w:r>
        <w:rPr>
          <w:rFonts w:hint="eastAsia" w:ascii="MS UI Gothic" w:eastAsia="MS UI Gothic"/>
          <w:w w:val="80"/>
        </w:rPr>
        <w:t xml:space="preserve">ꎬ </w:t>
      </w:r>
      <w:r>
        <w:rPr>
          <w:w w:val="110"/>
        </w:rPr>
        <w:t>应当符合下列规定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一</w:t>
      </w:r>
      <w:r>
        <w:rPr>
          <w:rFonts w:hint="eastAsia" w:ascii="MS UI Gothic" w:eastAsia="MS UI Gothic"/>
          <w:spacing w:val="-13"/>
          <w:w w:val="130"/>
        </w:rPr>
        <w:t xml:space="preserve">) </w:t>
      </w:r>
      <w:r>
        <w:rPr>
          <w:spacing w:val="41"/>
          <w:w w:val="110"/>
        </w:rPr>
        <w:t>闸板防喷器定期进行开关</w:t>
      </w:r>
      <w:r>
        <w:rPr>
          <w:spacing w:val="3"/>
          <w:w w:val="110"/>
        </w:rPr>
        <w:t>活动</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全封闸板防喷器每次起钻后进</w:t>
      </w:r>
      <w:r>
        <w:t>行开关活动</w:t>
      </w:r>
      <w:r>
        <w:rPr>
          <w:rFonts w:hint="eastAsia" w:ascii="MS UI Gothic" w:eastAsia="MS UI Gothic"/>
          <w:w w:val="80"/>
        </w:rPr>
        <w:t xml:space="preserve">ꎮ </w:t>
      </w:r>
      <w:r>
        <w:t>若每日多次起钻</w:t>
      </w:r>
      <w:r>
        <w:rPr>
          <w:rFonts w:hint="eastAsia" w:ascii="MS UI Gothic" w:eastAsia="MS UI Gothic"/>
          <w:w w:val="80"/>
        </w:rPr>
        <w:t xml:space="preserve">ꎬ </w:t>
      </w:r>
      <w:r>
        <w:t>只开关活</w:t>
      </w:r>
      <w:r>
        <w:rPr>
          <w:w w:val="105"/>
        </w:rPr>
        <w:t>动一次即可</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每起下钻一次</w:t>
      </w:r>
      <w:r>
        <w:rPr>
          <w:rFonts w:hint="eastAsia" w:ascii="MS UI Gothic" w:eastAsia="MS UI Gothic"/>
          <w:w w:val="80"/>
        </w:rPr>
        <w:t xml:space="preserve">ꎬ ２ </w:t>
      </w:r>
      <w:r>
        <w:rPr>
          <w:w w:val="105"/>
        </w:rPr>
        <w:t xml:space="preserve">个防喷器控制盘 </w:t>
      </w:r>
      <w:r>
        <w:rPr>
          <w:rFonts w:hint="eastAsia" w:ascii="MS UI Gothic" w:eastAsia="MS UI Gothic"/>
          <w:w w:val="150"/>
        </w:rPr>
        <w:t xml:space="preserve">( </w:t>
      </w:r>
      <w:r>
        <w:rPr>
          <w:w w:val="105"/>
        </w:rPr>
        <w:t>台</w:t>
      </w:r>
      <w:r>
        <w:rPr>
          <w:rFonts w:hint="eastAsia" w:ascii="MS UI Gothic" w:eastAsia="MS UI Gothic"/>
          <w:w w:val="150"/>
        </w:rPr>
        <w:t xml:space="preserve">) </w:t>
      </w:r>
      <w:r>
        <w:rPr>
          <w:w w:val="105"/>
        </w:rPr>
        <w:t>交换动作一次</w:t>
      </w:r>
      <w:r>
        <w:rPr>
          <w:rFonts w:hint="eastAsia" w:ascii="MS UI Gothic" w:eastAsia="MS UI Gothic"/>
          <w:w w:val="80"/>
        </w:rPr>
        <w:t xml:space="preserve">ꎮ </w:t>
      </w:r>
      <w:r>
        <w:rPr>
          <w:w w:val="105"/>
        </w:rPr>
        <w:t>如果控制盘</w:t>
      </w:r>
      <w:r>
        <w:rPr>
          <w:rFonts w:hint="eastAsia" w:ascii="MS UI Gothic" w:eastAsia="MS UI Gothic"/>
          <w:w w:val="150"/>
        </w:rPr>
        <w:t xml:space="preserve">( </w:t>
      </w:r>
      <w:r>
        <w:rPr>
          <w:w w:val="105"/>
        </w:rPr>
        <w:t>台</w:t>
      </w:r>
      <w:r>
        <w:rPr>
          <w:rFonts w:hint="eastAsia" w:ascii="MS UI Gothic" w:eastAsia="MS UI Gothic"/>
          <w:w w:val="150"/>
        </w:rPr>
        <w:t xml:space="preserve">) </w:t>
      </w:r>
      <w:r>
        <w:rPr>
          <w:w w:val="105"/>
        </w:rPr>
        <w:t>失去动作功能</w:t>
      </w:r>
      <w:r>
        <w:rPr>
          <w:rFonts w:hint="eastAsia" w:ascii="MS UI Gothic" w:eastAsia="MS UI Gothic"/>
          <w:w w:val="80"/>
        </w:rPr>
        <w:t xml:space="preserve">ꎬ </w:t>
      </w:r>
      <w:r>
        <w:rPr>
          <w:w w:val="105"/>
        </w:rPr>
        <w:t>在恢复功能后</w:t>
      </w:r>
      <w:r>
        <w:rPr>
          <w:rFonts w:hint="eastAsia" w:ascii="MS UI Gothic" w:eastAsia="MS UI Gothic"/>
          <w:w w:val="80"/>
        </w:rPr>
        <w:t xml:space="preserve">ꎬ </w:t>
      </w:r>
      <w:r>
        <w:rPr>
          <w:w w:val="105"/>
        </w:rPr>
        <w:t>才能进行钻井作业</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节流管汇的阀门</w:t>
      </w:r>
      <w:r>
        <w:rPr>
          <w:rFonts w:hint="eastAsia" w:ascii="MS UI Gothic" w:eastAsia="MS UI Gothic"/>
          <w:w w:val="80"/>
        </w:rPr>
        <w:t xml:space="preserve">、 </w:t>
      </w:r>
      <w:r>
        <w:rPr>
          <w:w w:val="105"/>
        </w:rPr>
        <w:t>方钻杆旋塞</w:t>
      </w:r>
      <w:r>
        <w:t>和钻杆内防喷装置</w:t>
      </w:r>
      <w:r>
        <w:rPr>
          <w:rFonts w:hint="eastAsia" w:ascii="MS UI Gothic" w:eastAsia="MS UI Gothic"/>
          <w:w w:val="80"/>
        </w:rPr>
        <w:t xml:space="preserve">ꎬ </w:t>
      </w:r>
      <w:r>
        <w:t>每周开关活动一次</w:t>
      </w:r>
      <w:r>
        <w:rPr>
          <w:rFonts w:hint="eastAsia" w:ascii="MS UI Gothic" w:eastAsia="MS UI Gothic"/>
          <w:w w:val="80"/>
        </w:rPr>
        <w:t>ꎮ</w:t>
      </w:r>
    </w:p>
    <w:p>
      <w:pPr>
        <w:pStyle w:val="6"/>
        <w:spacing w:line="295" w:lineRule="auto"/>
        <w:ind w:right="442"/>
        <w:rPr>
          <w:rFonts w:hint="eastAsia" w:ascii="MS UI Gothic" w:eastAsia="MS UI Gothic"/>
        </w:rPr>
      </w:pPr>
      <w:r>
        <w:t>水下防喷器的开关活动</w:t>
      </w:r>
      <w:r>
        <w:rPr>
          <w:rFonts w:hint="eastAsia" w:ascii="MS UI Gothic" w:eastAsia="MS UI Gothic"/>
          <w:w w:val="80"/>
        </w:rPr>
        <w:t xml:space="preserve">ꎬ </w:t>
      </w:r>
      <w:r>
        <w:t xml:space="preserve">除了闸板防喷器 </w:t>
      </w:r>
      <w:r>
        <w:rPr>
          <w:rFonts w:hint="eastAsia" w:ascii="MS UI Gothic" w:eastAsia="MS UI Gothic"/>
          <w:w w:val="80"/>
        </w:rPr>
        <w:t xml:space="preserve">１ </w:t>
      </w:r>
      <w:r>
        <w:t>日进行开关活动一次外</w:t>
      </w:r>
      <w:r>
        <w:rPr>
          <w:rFonts w:hint="eastAsia" w:ascii="MS UI Gothic" w:eastAsia="MS UI Gothic"/>
          <w:w w:val="80"/>
        </w:rPr>
        <w:t xml:space="preserve">ꎬ </w:t>
      </w:r>
      <w:r>
        <w:t>其他开关活动次数与水上防喷器组开关活动次数相同</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第五十七条 防喷器系统的试压</w:t>
      </w:r>
      <w:r>
        <w:rPr>
          <w:rFonts w:hint="eastAsia" w:ascii="MS UI Gothic" w:eastAsia="MS UI Gothic"/>
          <w:w w:val="80"/>
        </w:rPr>
        <w:t xml:space="preserve">ꎬ </w:t>
      </w:r>
      <w:r>
        <w:rPr>
          <w:w w:val="105"/>
        </w:rPr>
        <w:t>应</w:t>
      </w:r>
      <w:r>
        <w:rPr>
          <w:w w:val="110"/>
        </w:rPr>
        <w:t>当符合下列规定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26"/>
          <w:w w:val="140"/>
        </w:rPr>
        <w:t xml:space="preserve">( </w:t>
      </w:r>
      <w:r>
        <w:rPr>
          <w:spacing w:val="3"/>
        </w:rPr>
        <w:t>一</w:t>
      </w:r>
      <w:r>
        <w:rPr>
          <w:rFonts w:hint="eastAsia" w:ascii="MS UI Gothic" w:eastAsia="MS UI Gothic"/>
          <w:spacing w:val="20"/>
          <w:w w:val="140"/>
        </w:rPr>
        <w:t xml:space="preserve">) </w:t>
      </w:r>
      <w:r>
        <w:rPr>
          <w:spacing w:val="5"/>
        </w:rPr>
        <w:t>所有的防喷器及管汇在进行高</w:t>
      </w:r>
      <w:r>
        <w:rPr>
          <w:spacing w:val="3"/>
        </w:rPr>
        <w:t>压试验之前</w:t>
      </w:r>
      <w:r>
        <w:rPr>
          <w:rFonts w:hint="eastAsia" w:ascii="MS UI Gothic" w:eastAsia="MS UI Gothic"/>
          <w:w w:val="85"/>
        </w:rPr>
        <w:t xml:space="preserve">ꎬ </w:t>
      </w:r>
      <w:r>
        <w:rPr>
          <w:spacing w:val="-24"/>
        </w:rPr>
        <w:t xml:space="preserve">进行 </w:t>
      </w:r>
      <w:r>
        <w:rPr>
          <w:rFonts w:hint="eastAsia" w:ascii="MS UI Gothic" w:eastAsia="MS UI Gothic"/>
        </w:rPr>
        <w:t>２</w:t>
      </w:r>
      <w:r>
        <w:rPr>
          <w:rFonts w:hint="eastAsia" w:ascii="MS UI Gothic" w:eastAsia="MS UI Gothic"/>
          <w:spacing w:val="-12"/>
        </w:rPr>
        <w:t xml:space="preserve"> １ ＭＰ</w:t>
      </w:r>
      <w:r>
        <w:rPr>
          <w:rFonts w:hint="eastAsia" w:ascii="MS UI Gothic" w:eastAsia="MS UI Gothic"/>
          <w:spacing w:val="2"/>
        </w:rPr>
        <w:t xml:space="preserve">ａ </w:t>
      </w:r>
      <w:r>
        <w:rPr>
          <w:spacing w:val="3"/>
        </w:rPr>
        <w:t>的低压试验</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防喷器安装前或者更换主要配件后</w:t>
      </w:r>
      <w:r>
        <w:rPr>
          <w:rFonts w:hint="eastAsia" w:ascii="MS UI Gothic" w:eastAsia="MS UI Gothic"/>
          <w:w w:val="80"/>
        </w:rPr>
        <w:t xml:space="preserve">ꎬ </w:t>
      </w:r>
      <w:r>
        <w:rPr>
          <w:w w:val="105"/>
        </w:rPr>
        <w:t>进行整体压力试验</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45"/>
        </w:rPr>
        <w:t xml:space="preserve">( </w:t>
      </w:r>
      <w:r>
        <w:rPr>
          <w:w w:val="105"/>
        </w:rPr>
        <w:t>三</w:t>
      </w:r>
      <w:r>
        <w:rPr>
          <w:rFonts w:hint="eastAsia" w:ascii="MS UI Gothic" w:eastAsia="MS UI Gothic"/>
          <w:w w:val="145"/>
        </w:rPr>
        <w:t xml:space="preserve">) </w:t>
      </w:r>
      <w:r>
        <w:rPr>
          <w:w w:val="105"/>
        </w:rPr>
        <w:t xml:space="preserve">按照井控车间 </w:t>
      </w:r>
      <w:r>
        <w:rPr>
          <w:rFonts w:hint="eastAsia" w:ascii="MS UI Gothic" w:eastAsia="MS UI Gothic"/>
          <w:w w:val="145"/>
        </w:rPr>
        <w:t xml:space="preserve">( </w:t>
      </w:r>
      <w:r>
        <w:rPr>
          <w:w w:val="105"/>
        </w:rPr>
        <w:t>基地</w:t>
      </w:r>
      <w:r>
        <w:rPr>
          <w:rFonts w:hint="eastAsia" w:ascii="MS UI Gothic" w:eastAsia="MS UI Gothic"/>
          <w:w w:val="145"/>
        </w:rPr>
        <w:t xml:space="preserve">) </w:t>
      </w:r>
      <w:r>
        <w:rPr>
          <w:w w:val="105"/>
        </w:rPr>
        <w:t>组装</w:t>
      </w:r>
      <w:r>
        <w:rPr>
          <w:rFonts w:hint="eastAsia" w:ascii="MS UI Gothic" w:eastAsia="MS UI Gothic"/>
          <w:w w:val="85"/>
        </w:rPr>
        <w:t>、</w:t>
      </w:r>
      <w:r>
        <w:rPr>
          <w:w w:val="105"/>
        </w:rPr>
        <w:t>现场安装</w:t>
      </w:r>
      <w:r>
        <w:rPr>
          <w:rFonts w:hint="eastAsia" w:ascii="MS UI Gothic" w:eastAsia="MS UI Gothic"/>
          <w:w w:val="85"/>
        </w:rPr>
        <w:t xml:space="preserve">、 </w:t>
      </w:r>
      <w:r>
        <w:rPr>
          <w:w w:val="105"/>
        </w:rPr>
        <w:t>钻开油气层前及更换井控装置</w:t>
      </w:r>
      <w:r>
        <w:t>部件的次序进行防喷器试压</w:t>
      </w:r>
      <w:r>
        <w:rPr>
          <w:rFonts w:hint="eastAsia" w:ascii="MS UI Gothic" w:eastAsia="MS UI Gothic"/>
          <w:w w:val="85"/>
        </w:rPr>
        <w:t xml:space="preserve">ꎮ </w:t>
      </w:r>
      <w:r>
        <w:t>试压的间隔</w:t>
      </w:r>
      <w:r>
        <w:rPr>
          <w:w w:val="105"/>
        </w:rPr>
        <w:t xml:space="preserve">不超过 </w:t>
      </w:r>
      <w:r>
        <w:rPr>
          <w:rFonts w:hint="eastAsia" w:ascii="MS UI Gothic" w:eastAsia="MS UI Gothic"/>
          <w:w w:val="85"/>
        </w:rPr>
        <w:t xml:space="preserve">１４ </w:t>
      </w:r>
      <w:r>
        <w:rPr>
          <w:w w:val="105"/>
        </w:rPr>
        <w:t>日</w:t>
      </w:r>
      <w:r>
        <w:rPr>
          <w:rFonts w:hint="eastAsia" w:ascii="MS UI Gothic" w:eastAsia="MS UI Gothic"/>
          <w:w w:val="85"/>
        </w:rPr>
        <w:t>ꎻ</w:t>
      </w:r>
    </w:p>
    <w:p>
      <w:pPr>
        <w:pStyle w:val="6"/>
        <w:spacing w:line="295" w:lineRule="auto"/>
        <w:ind w:left="118" w:right="440" w:firstLine="425"/>
      </w:pPr>
      <w:r>
        <w:rPr>
          <w:rFonts w:hint="eastAsia" w:ascii="MS UI Gothic" w:eastAsia="MS UI Gothic"/>
          <w:spacing w:val="-31"/>
          <w:w w:val="140"/>
        </w:rPr>
        <w:t xml:space="preserve">( </w:t>
      </w:r>
      <w:r>
        <w:rPr>
          <w:spacing w:val="3"/>
        </w:rPr>
        <w:t>四</w:t>
      </w:r>
      <w:r>
        <w:rPr>
          <w:rFonts w:hint="eastAsia" w:ascii="MS UI Gothic" w:eastAsia="MS UI Gothic"/>
          <w:spacing w:val="32"/>
          <w:w w:val="140"/>
        </w:rPr>
        <w:t xml:space="preserve">) </w:t>
      </w:r>
      <w:r>
        <w:rPr>
          <w:spacing w:val="5"/>
        </w:rPr>
        <w:t>对于水上防喷器组</w:t>
      </w:r>
      <w:r>
        <w:rPr>
          <w:rFonts w:hint="eastAsia" w:ascii="MS UI Gothic" w:eastAsia="MS UI Gothic"/>
          <w:spacing w:val="14"/>
          <w:w w:val="85"/>
        </w:rPr>
        <w:t xml:space="preserve">ꎬ </w:t>
      </w:r>
      <w:r>
        <w:rPr>
          <w:spacing w:val="11"/>
        </w:rPr>
        <w:t>防喷器</w:t>
      </w:r>
      <w:r>
        <w:rPr>
          <w:w w:val="95"/>
        </w:rPr>
        <w:t>组</w:t>
      </w:r>
      <w:r>
        <w:rPr>
          <w:spacing w:val="7"/>
        </w:rPr>
        <w:t>在井控车</w:t>
      </w:r>
      <w:r>
        <w:rPr>
          <w:spacing w:val="21"/>
          <w:w w:val="95"/>
        </w:rPr>
        <w:t xml:space="preserve">间 </w:t>
      </w:r>
      <w:r>
        <w:rPr>
          <w:rFonts w:hint="eastAsia" w:ascii="MS UI Gothic" w:eastAsia="MS UI Gothic"/>
          <w:spacing w:val="-24"/>
          <w:w w:val="140"/>
        </w:rPr>
        <w:t xml:space="preserve">( </w:t>
      </w:r>
      <w:r>
        <w:rPr>
          <w:spacing w:val="17"/>
        </w:rPr>
        <w:t>基地</w:t>
      </w:r>
      <w:r>
        <w:rPr>
          <w:rFonts w:hint="eastAsia" w:ascii="MS UI Gothic" w:eastAsia="MS UI Gothic"/>
          <w:spacing w:val="36"/>
          <w:w w:val="140"/>
        </w:rPr>
        <w:t xml:space="preserve">) </w:t>
      </w:r>
      <w:r>
        <w:rPr>
          <w:spacing w:val="13"/>
        </w:rPr>
        <w:t>组装后</w:t>
      </w:r>
      <w:r>
        <w:rPr>
          <w:rFonts w:hint="eastAsia" w:ascii="MS UI Gothic" w:eastAsia="MS UI Gothic"/>
          <w:spacing w:val="16"/>
          <w:w w:val="85"/>
        </w:rPr>
        <w:t xml:space="preserve">ꎬ </w:t>
      </w:r>
      <w:r>
        <w:rPr>
          <w:spacing w:val="19"/>
        </w:rPr>
        <w:t>按额定</w:t>
      </w:r>
      <w:r>
        <w:rPr>
          <w:w w:val="95"/>
        </w:rPr>
        <w:t>工</w:t>
      </w:r>
      <w:r>
        <w:rPr>
          <w:spacing w:val="3"/>
        </w:rPr>
        <w:t>作压力进行试验</w:t>
      </w:r>
      <w:r>
        <w:rPr>
          <w:rFonts w:hint="eastAsia" w:ascii="MS UI Gothic" w:eastAsia="MS UI Gothic"/>
          <w:spacing w:val="20"/>
          <w:w w:val="85"/>
        </w:rPr>
        <w:t xml:space="preserve">ꎮ </w:t>
      </w:r>
      <w:r>
        <w:rPr>
          <w:spacing w:val="3"/>
        </w:rPr>
        <w:t>现场安装后</w:t>
      </w:r>
      <w:r>
        <w:rPr>
          <w:rFonts w:hint="eastAsia" w:ascii="MS UI Gothic" w:eastAsia="MS UI Gothic"/>
          <w:spacing w:val="20"/>
          <w:w w:val="85"/>
        </w:rPr>
        <w:t xml:space="preserve">ꎬ </w:t>
      </w:r>
      <w:r>
        <w:rPr>
          <w:spacing w:val="3"/>
        </w:rPr>
        <w:t>试验压</w:t>
      </w:r>
      <w:r>
        <w:rPr>
          <w:w w:val="95"/>
        </w:rPr>
        <w:t>力</w:t>
      </w:r>
      <w:r>
        <w:rPr>
          <w:spacing w:val="5"/>
        </w:rPr>
        <w:t>在不超过套管抗内压强</w:t>
      </w:r>
      <w:r>
        <w:rPr>
          <w:spacing w:val="-32"/>
          <w:w w:val="95"/>
        </w:rPr>
        <w:t xml:space="preserve">度 </w:t>
      </w:r>
      <w:r>
        <w:rPr>
          <w:rFonts w:hint="eastAsia" w:ascii="MS UI Gothic" w:eastAsia="MS UI Gothic"/>
          <w:w w:val="95"/>
        </w:rPr>
        <w:t>８０</w:t>
      </w:r>
      <w:r>
        <w:rPr>
          <w:spacing w:val="-35"/>
          <w:w w:val="95"/>
        </w:rPr>
        <w:t xml:space="preserve">％ </w:t>
      </w:r>
      <w:r>
        <w:rPr>
          <w:spacing w:val="9"/>
        </w:rPr>
        <w:t>的前提下</w:t>
      </w:r>
      <w:r>
        <w:rPr>
          <w:rFonts w:hint="eastAsia" w:ascii="MS UI Gothic" w:eastAsia="MS UI Gothic"/>
          <w:w w:val="85"/>
        </w:rPr>
        <w:t>ꎬ</w:t>
      </w:r>
      <w:r>
        <w:rPr>
          <w:spacing w:val="3"/>
        </w:rPr>
        <w:t>环形防喷器的试验压力为额定工作压力</w:t>
      </w:r>
      <w:r>
        <w:rPr>
          <w:w w:val="95"/>
        </w:rPr>
        <w:t>的</w:t>
      </w:r>
      <w:r>
        <w:rPr>
          <w:rFonts w:hint="eastAsia" w:ascii="MS UI Gothic" w:eastAsia="MS UI Gothic"/>
          <w:w w:val="95"/>
        </w:rPr>
        <w:t>７０</w:t>
      </w:r>
      <w:r>
        <w:rPr>
          <w:spacing w:val="-37"/>
          <w:w w:val="95"/>
        </w:rPr>
        <w:t xml:space="preserve">％ </w:t>
      </w:r>
      <w:r>
        <w:rPr>
          <w:rFonts w:hint="eastAsia" w:ascii="MS UI Gothic" w:eastAsia="MS UI Gothic"/>
          <w:spacing w:val="7"/>
          <w:w w:val="85"/>
        </w:rPr>
        <w:t xml:space="preserve">ꎬ </w:t>
      </w:r>
      <w:r>
        <w:rPr>
          <w:spacing w:val="3"/>
        </w:rPr>
        <w:t>闸板防喷器和相应控制设备的试</w:t>
      </w:r>
      <w:r>
        <w:rPr>
          <w:w w:val="95"/>
        </w:rPr>
        <w:t>验</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１９３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05" o:spid="_x0000_s1605" o:spt="203" style="height:2.15pt;width:398.25pt;" coordsize="7965,43">
            <o:lock v:ext="edit"/>
            <v:line id="_x0000_s1606" o:spid="_x0000_s1606" o:spt="20" style="position:absolute;left:0;top:39;height:0;width:7965;" stroked="t" coordsize="21600,21600">
              <v:path arrowok="t"/>
              <v:fill focussize="0,0"/>
              <v:stroke weight="0.388031496062992pt" color="#231F20"/>
              <v:imagedata o:title=""/>
              <o:lock v:ext="edit"/>
            </v:line>
            <v:line id="_x0000_s1607" o:spid="_x0000_s160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压力为额定工作压力</w:t>
      </w:r>
      <w:r>
        <w:rPr>
          <w:rFonts w:hint="eastAsia" w:ascii="MS UI Gothic" w:eastAsia="MS UI Gothic"/>
          <w:w w:val="80"/>
        </w:rPr>
        <w:t>ꎻ</w:t>
      </w:r>
    </w:p>
    <w:p>
      <w:pPr>
        <w:pStyle w:val="6"/>
        <w:spacing w:before="58" w:line="295" w:lineRule="auto"/>
        <w:ind w:left="440" w:right="1"/>
        <w:rPr>
          <w:rFonts w:hint="eastAsia" w:ascii="MS UI Gothic" w:eastAsia="MS UI Gothic"/>
        </w:rPr>
      </w:pPr>
      <w:r>
        <w:rPr>
          <w:rFonts w:hint="eastAsia" w:ascii="MS UI Gothic" w:eastAsia="MS UI Gothic"/>
          <w:spacing w:val="-31"/>
          <w:w w:val="140"/>
        </w:rPr>
        <w:t xml:space="preserve">( </w:t>
      </w:r>
      <w:r>
        <w:rPr>
          <w:spacing w:val="3"/>
        </w:rPr>
        <w:t>五</w:t>
      </w:r>
      <w:r>
        <w:rPr>
          <w:rFonts w:hint="eastAsia" w:ascii="MS UI Gothic" w:eastAsia="MS UI Gothic"/>
          <w:spacing w:val="32"/>
          <w:w w:val="140"/>
        </w:rPr>
        <w:t xml:space="preserve">) </w:t>
      </w:r>
      <w:r>
        <w:rPr>
          <w:spacing w:val="5"/>
        </w:rPr>
        <w:t>对于水下防喷器组</w:t>
      </w:r>
      <w:r>
        <w:rPr>
          <w:rFonts w:hint="eastAsia" w:ascii="MS UI Gothic" w:eastAsia="MS UI Gothic"/>
          <w:spacing w:val="15"/>
          <w:w w:val="85"/>
        </w:rPr>
        <w:t xml:space="preserve">ꎬ </w:t>
      </w:r>
      <w:r>
        <w:rPr>
          <w:spacing w:val="11"/>
        </w:rPr>
        <w:t>水下防</w:t>
      </w:r>
      <w:r>
        <w:rPr>
          <w:w w:val="95"/>
        </w:rPr>
        <w:t>喷</w:t>
      </w:r>
      <w:r>
        <w:rPr>
          <w:spacing w:val="3"/>
        </w:rPr>
        <w:t>器和所有有关井控设备的试验压力为其</w:t>
      </w:r>
      <w:r>
        <w:rPr>
          <w:w w:val="95"/>
        </w:rPr>
        <w:t>额</w:t>
      </w:r>
      <w:r>
        <w:rPr>
          <w:spacing w:val="11"/>
        </w:rPr>
        <w:t>定工作压力</w:t>
      </w:r>
      <w:r>
        <w:rPr>
          <w:spacing w:val="-22"/>
          <w:w w:val="95"/>
        </w:rPr>
        <w:t xml:space="preserve">的 </w:t>
      </w:r>
      <w:r>
        <w:rPr>
          <w:rFonts w:hint="eastAsia" w:ascii="MS UI Gothic" w:eastAsia="MS UI Gothic"/>
          <w:w w:val="95"/>
        </w:rPr>
        <w:t>７０</w:t>
      </w:r>
      <w:r>
        <w:rPr>
          <w:spacing w:val="-34"/>
          <w:w w:val="95"/>
        </w:rPr>
        <w:t xml:space="preserve">％ </w:t>
      </w:r>
      <w:r>
        <w:rPr>
          <w:rFonts w:hint="eastAsia" w:ascii="MS UI Gothic" w:eastAsia="MS UI Gothic"/>
          <w:spacing w:val="18"/>
          <w:w w:val="85"/>
        </w:rPr>
        <w:t xml:space="preserve">ꎮ </w:t>
      </w:r>
      <w:r>
        <w:rPr>
          <w:spacing w:val="19"/>
        </w:rPr>
        <w:t>防喷器组在现场</w:t>
      </w:r>
      <w:r>
        <w:rPr>
          <w:w w:val="95"/>
        </w:rPr>
        <w:t>安</w:t>
      </w:r>
      <w:r>
        <w:rPr>
          <w:spacing w:val="3"/>
        </w:rPr>
        <w:t>装完成后</w:t>
      </w:r>
      <w:r>
        <w:rPr>
          <w:rFonts w:hint="eastAsia" w:ascii="MS UI Gothic" w:eastAsia="MS UI Gothic"/>
          <w:spacing w:val="18"/>
          <w:w w:val="85"/>
        </w:rPr>
        <w:t xml:space="preserve">ꎬ </w:t>
      </w:r>
      <w:r>
        <w:rPr>
          <w:spacing w:val="3"/>
        </w:rPr>
        <w:t>控制设备和防喷器闸板按照</w:t>
      </w:r>
      <w:r>
        <w:rPr>
          <w:w w:val="95"/>
        </w:rPr>
        <w:t>水</w:t>
      </w:r>
      <w:r>
        <w:rPr>
          <w:spacing w:val="3"/>
        </w:rPr>
        <w:t>上防喷器组试压的规定进行</w:t>
      </w:r>
      <w:r>
        <w:rPr>
          <w:rFonts w:hint="eastAsia" w:ascii="MS UI Gothic" w:eastAsia="MS UI Gothic"/>
          <w:w w:val="85"/>
        </w:rPr>
        <w:t>ꎮ</w:t>
      </w:r>
    </w:p>
    <w:p>
      <w:pPr>
        <w:pStyle w:val="6"/>
        <w:spacing w:line="295" w:lineRule="auto"/>
        <w:ind w:left="440" w:right="1"/>
        <w:rPr>
          <w:rFonts w:hint="eastAsia" w:ascii="MS UI Gothic" w:eastAsia="MS UI Gothic"/>
        </w:rPr>
      </w:pPr>
      <w:r>
        <w:rPr>
          <w:w w:val="105"/>
        </w:rPr>
        <w:t>第五十八条 防喷器系统的检查与维</w:t>
      </w:r>
      <w:r>
        <w:rPr>
          <w:w w:val="110"/>
        </w:rPr>
        <w:t>护</w:t>
      </w:r>
      <w:r>
        <w:rPr>
          <w:rFonts w:hint="eastAsia" w:ascii="MS UI Gothic" w:eastAsia="MS UI Gothic"/>
          <w:w w:val="80"/>
        </w:rPr>
        <w:t xml:space="preserve">ꎬ </w:t>
      </w:r>
      <w:r>
        <w:rPr>
          <w:w w:val="110"/>
        </w:rPr>
        <w:t>应当符合下列规定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整套防喷器系统</w:t>
      </w:r>
      <w:r>
        <w:rPr>
          <w:rFonts w:hint="eastAsia" w:ascii="MS UI Gothic" w:eastAsia="MS UI Gothic"/>
          <w:w w:val="80"/>
        </w:rPr>
        <w:t xml:space="preserve">、 </w:t>
      </w:r>
      <w:r>
        <w:rPr>
          <w:w w:val="110"/>
        </w:rPr>
        <w:t xml:space="preserve">隔水 </w:t>
      </w:r>
      <w:r>
        <w:rPr>
          <w:rFonts w:hint="eastAsia" w:ascii="MS UI Gothic" w:eastAsia="MS UI Gothic"/>
          <w:w w:val="150"/>
        </w:rPr>
        <w:t xml:space="preserve">( </w:t>
      </w:r>
      <w:r>
        <w:rPr>
          <w:w w:val="110"/>
        </w:rPr>
        <w:t>导</w:t>
      </w:r>
      <w:r>
        <w:rPr>
          <w:rFonts w:hint="eastAsia" w:ascii="MS UI Gothic" w:eastAsia="MS UI Gothic"/>
          <w:w w:val="150"/>
        </w:rPr>
        <w:t xml:space="preserve">) </w:t>
      </w:r>
      <w:r>
        <w:t>管和配套设备</w:t>
      </w:r>
      <w:r>
        <w:rPr>
          <w:rFonts w:hint="eastAsia" w:ascii="MS UI Gothic" w:eastAsia="MS UI Gothic"/>
          <w:w w:val="80"/>
        </w:rPr>
        <w:t xml:space="preserve">ꎬ </w:t>
      </w:r>
      <w:r>
        <w:t>按照制造厂商推荐的程序</w:t>
      </w:r>
      <w:r>
        <w:rPr>
          <w:w w:val="110"/>
        </w:rPr>
        <w:t>进行检查和维护</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在海况及气候条件允许的情况下</w:t>
      </w:r>
      <w:r>
        <w:rPr>
          <w:rFonts w:hint="eastAsia" w:ascii="MS UI Gothic" w:eastAsia="MS UI Gothic"/>
          <w:w w:val="80"/>
        </w:rPr>
        <w:t xml:space="preserve">ꎬ </w:t>
      </w:r>
      <w:r>
        <w:rPr>
          <w:w w:val="105"/>
        </w:rPr>
        <w:t xml:space="preserve">防喷器系统和隔水 </w:t>
      </w:r>
      <w:r>
        <w:rPr>
          <w:rFonts w:hint="eastAsia" w:ascii="MS UI Gothic" w:eastAsia="MS UI Gothic"/>
          <w:w w:val="150"/>
        </w:rPr>
        <w:t xml:space="preserve">( </w:t>
      </w:r>
      <w:r>
        <w:rPr>
          <w:w w:val="105"/>
        </w:rPr>
        <w:t>导</w:t>
      </w:r>
      <w:r>
        <w:rPr>
          <w:rFonts w:hint="eastAsia" w:ascii="MS UI Gothic" w:eastAsia="MS UI Gothic"/>
          <w:w w:val="150"/>
        </w:rPr>
        <w:t xml:space="preserve">) </w:t>
      </w:r>
      <w:r>
        <w:rPr>
          <w:w w:val="105"/>
        </w:rPr>
        <w:t>管至少每</w:t>
      </w:r>
      <w:r>
        <w:t>日外观检查一次</w:t>
      </w:r>
      <w:r>
        <w:rPr>
          <w:rFonts w:hint="eastAsia" w:ascii="MS UI Gothic" w:eastAsia="MS UI Gothic"/>
          <w:w w:val="80"/>
        </w:rPr>
        <w:t xml:space="preserve">ꎬ </w:t>
      </w:r>
      <w:r>
        <w:t>水下设备的检查可以通</w:t>
      </w:r>
      <w:r>
        <w:rPr>
          <w:w w:val="105"/>
        </w:rPr>
        <w:t>过水下电视等工具完成</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第五十九条 井液池液面和气体检测</w:t>
      </w:r>
      <w:r>
        <w:rPr>
          <w:spacing w:val="3"/>
        </w:rPr>
        <w:t>装置应当具备声光报警功能</w:t>
      </w:r>
      <w:r>
        <w:rPr>
          <w:rFonts w:hint="eastAsia" w:ascii="MS UI Gothic" w:eastAsia="MS UI Gothic"/>
          <w:spacing w:val="21"/>
          <w:w w:val="80"/>
        </w:rPr>
        <w:t xml:space="preserve">ꎬ </w:t>
      </w:r>
      <w:r>
        <w:rPr>
          <w:spacing w:val="2"/>
        </w:rPr>
        <w:t>其报警仪安</w:t>
      </w:r>
      <w:r>
        <w:rPr>
          <w:spacing w:val="3"/>
        </w:rPr>
        <w:t>装在钻台和综合录井室内</w:t>
      </w:r>
      <w:r>
        <w:rPr>
          <w:rFonts w:hint="eastAsia" w:ascii="MS UI Gothic" w:eastAsia="MS UI Gothic"/>
          <w:spacing w:val="21"/>
          <w:w w:val="80"/>
        </w:rPr>
        <w:t xml:space="preserve">ꎻ </w:t>
      </w:r>
      <w:r>
        <w:rPr>
          <w:spacing w:val="2"/>
        </w:rPr>
        <w:t>应当配备井液</w:t>
      </w:r>
      <w:r>
        <w:rPr>
          <w:spacing w:val="25"/>
        </w:rPr>
        <w:t>性能试验仪器</w:t>
      </w:r>
      <w:r>
        <w:rPr>
          <w:rFonts w:hint="eastAsia" w:ascii="MS UI Gothic" w:eastAsia="MS UI Gothic"/>
          <w:spacing w:val="2"/>
          <w:w w:val="80"/>
        </w:rPr>
        <w:t xml:space="preserve">ꎮ </w:t>
      </w:r>
      <w:r>
        <w:rPr>
          <w:spacing w:val="30"/>
        </w:rPr>
        <w:t>井液量应当符合下列</w:t>
      </w:r>
      <w:r>
        <w:rPr>
          <w:spacing w:val="3"/>
          <w:w w:val="105"/>
        </w:rPr>
        <w:t>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4"/>
          <w:w w:val="150"/>
        </w:rPr>
        <w:t xml:space="preserve">) </w:t>
      </w:r>
      <w:r>
        <w:rPr>
          <w:spacing w:val="4"/>
          <w:w w:val="105"/>
        </w:rPr>
        <w:t>开钻前</w:t>
      </w:r>
      <w:r>
        <w:rPr>
          <w:rFonts w:hint="eastAsia" w:ascii="MS UI Gothic" w:eastAsia="MS UI Gothic"/>
          <w:spacing w:val="12"/>
          <w:w w:val="80"/>
        </w:rPr>
        <w:t xml:space="preserve">ꎬ </w:t>
      </w:r>
      <w:r>
        <w:rPr>
          <w:spacing w:val="8"/>
          <w:w w:val="105"/>
        </w:rPr>
        <w:t>计算井液材料最小需</w:t>
      </w:r>
      <w:r>
        <w:rPr>
          <w:spacing w:val="10"/>
        </w:rPr>
        <w:t>要量</w:t>
      </w:r>
      <w:r>
        <w:rPr>
          <w:rFonts w:hint="eastAsia" w:ascii="MS UI Gothic" w:eastAsia="MS UI Gothic"/>
          <w:spacing w:val="2"/>
          <w:w w:val="80"/>
        </w:rPr>
        <w:t xml:space="preserve">ꎬ </w:t>
      </w:r>
      <w:r>
        <w:rPr>
          <w:spacing w:val="31"/>
        </w:rPr>
        <w:t>落实紧急情况补充井液的储备</w:t>
      </w:r>
      <w:r>
        <w:rPr>
          <w:spacing w:val="3"/>
          <w:w w:val="105"/>
        </w:rPr>
        <w:t>计划</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6"/>
          <w:w w:val="150"/>
        </w:rPr>
        <w:t xml:space="preserve">( </w:t>
      </w:r>
      <w:r>
        <w:rPr>
          <w:spacing w:val="3"/>
          <w:w w:val="105"/>
        </w:rPr>
        <w:t>二</w:t>
      </w:r>
      <w:r>
        <w:rPr>
          <w:rFonts w:hint="eastAsia" w:ascii="MS UI Gothic" w:eastAsia="MS UI Gothic"/>
          <w:spacing w:val="12"/>
          <w:w w:val="150"/>
        </w:rPr>
        <w:t xml:space="preserve">) </w:t>
      </w:r>
      <w:r>
        <w:rPr>
          <w:spacing w:val="2"/>
          <w:w w:val="105"/>
        </w:rPr>
        <w:t xml:space="preserve">记录并保存井液材料 </w:t>
      </w:r>
      <w:r>
        <w:rPr>
          <w:rFonts w:hint="eastAsia" w:ascii="MS UI Gothic" w:eastAsia="MS UI Gothic"/>
          <w:spacing w:val="-33"/>
          <w:w w:val="150"/>
        </w:rPr>
        <w:t xml:space="preserve">( </w:t>
      </w:r>
      <w:r>
        <w:rPr>
          <w:spacing w:val="6"/>
          <w:w w:val="105"/>
        </w:rPr>
        <w:t>包括加</w:t>
      </w:r>
      <w:r>
        <w:rPr>
          <w:spacing w:val="3"/>
          <w:w w:val="105"/>
        </w:rPr>
        <w:t>重材料</w:t>
      </w:r>
      <w:r>
        <w:rPr>
          <w:rFonts w:hint="eastAsia" w:ascii="MS UI Gothic" w:eastAsia="MS UI Gothic"/>
          <w:spacing w:val="-7"/>
          <w:w w:val="150"/>
        </w:rPr>
        <w:t xml:space="preserve">) </w:t>
      </w:r>
      <w:r>
        <w:rPr>
          <w:spacing w:val="16"/>
          <w:w w:val="105"/>
        </w:rPr>
        <w:t>的每日储存量</w:t>
      </w:r>
      <w:r>
        <w:rPr>
          <w:rFonts w:hint="eastAsia" w:ascii="MS UI Gothic" w:eastAsia="MS UI Gothic"/>
          <w:spacing w:val="10"/>
          <w:w w:val="80"/>
        </w:rPr>
        <w:t xml:space="preserve">ꎮ </w:t>
      </w:r>
      <w:r>
        <w:rPr>
          <w:spacing w:val="17"/>
          <w:w w:val="105"/>
        </w:rPr>
        <w:t>若储存量达不</w:t>
      </w:r>
      <w:r>
        <w:rPr>
          <w:spacing w:val="3"/>
        </w:rPr>
        <w:t>到所规定的最小数量时</w:t>
      </w:r>
      <w:r>
        <w:rPr>
          <w:rFonts w:hint="eastAsia" w:ascii="MS UI Gothic" w:eastAsia="MS UI Gothic"/>
          <w:spacing w:val="23"/>
          <w:w w:val="80"/>
        </w:rPr>
        <w:t xml:space="preserve">ꎬ </w:t>
      </w:r>
      <w:r>
        <w:rPr>
          <w:spacing w:val="3"/>
        </w:rPr>
        <w:t>停止钻井作业</w:t>
      </w:r>
      <w:r>
        <w:rPr>
          <w:rFonts w:hint="eastAsia" w:ascii="MS UI Gothic" w:eastAsia="MS UI Gothic"/>
          <w:w w:val="80"/>
        </w:rPr>
        <w:t>ꎻ</w:t>
      </w:r>
    </w:p>
    <w:p>
      <w:pPr>
        <w:pStyle w:val="6"/>
        <w:spacing w:line="290" w:lineRule="auto"/>
        <w:ind w:left="440" w:right="1"/>
        <w:rPr>
          <w:rFonts w:hint="eastAsia" w:ascii="MS UI Gothic" w:eastAsia="MS UI Gothic"/>
        </w:rPr>
      </w:pPr>
      <w:r>
        <w:rPr>
          <w:rFonts w:hint="eastAsia" w:ascii="MS UI Gothic" w:eastAsia="MS UI Gothic"/>
          <w:spacing w:val="-30"/>
          <w:w w:val="140"/>
        </w:rPr>
        <w:t xml:space="preserve">( </w:t>
      </w:r>
      <w:r>
        <w:rPr>
          <w:spacing w:val="3"/>
        </w:rPr>
        <w:t>三</w:t>
      </w:r>
      <w:r>
        <w:rPr>
          <w:rFonts w:hint="eastAsia" w:ascii="MS UI Gothic" w:eastAsia="MS UI Gothic"/>
          <w:spacing w:val="35"/>
          <w:w w:val="140"/>
        </w:rPr>
        <w:t xml:space="preserve">) </w:t>
      </w:r>
      <w:r>
        <w:rPr>
          <w:spacing w:val="4"/>
        </w:rPr>
        <w:t>作业时</w:t>
      </w:r>
      <w:r>
        <w:rPr>
          <w:rFonts w:hint="eastAsia" w:ascii="MS UI Gothic" w:eastAsia="MS UI Gothic"/>
          <w:spacing w:val="22"/>
          <w:w w:val="75"/>
        </w:rPr>
        <w:t xml:space="preserve">ꎬ </w:t>
      </w:r>
      <w:r>
        <w:rPr>
          <w:spacing w:val="8"/>
        </w:rPr>
        <w:t>当返出井液密度比进</w:t>
      </w:r>
      <w:r>
        <w:rPr>
          <w:spacing w:val="-1"/>
        </w:rPr>
        <w:t xml:space="preserve">口井液密度小 </w:t>
      </w:r>
      <w:r>
        <w:rPr>
          <w:rFonts w:hint="eastAsia" w:ascii="MS UI Gothic" w:eastAsia="MS UI Gothic"/>
        </w:rPr>
        <w:t>０</w:t>
      </w:r>
      <w:r>
        <w:rPr>
          <w:rFonts w:hint="eastAsia" w:ascii="MS UI Gothic" w:eastAsia="MS UI Gothic"/>
          <w:spacing w:val="-13"/>
        </w:rPr>
        <w:t xml:space="preserve"> ０２ </w:t>
      </w:r>
      <w:r>
        <w:rPr>
          <w:rFonts w:hint="eastAsia" w:ascii="MS UI Gothic" w:eastAsia="MS UI Gothic"/>
        </w:rPr>
        <w:t>ｇ</w:t>
      </w:r>
      <w:r>
        <w:rPr>
          <w:rFonts w:hint="eastAsia" w:ascii="MS UI Gothic" w:eastAsia="MS UI Gothic"/>
          <w:spacing w:val="-45"/>
        </w:rPr>
        <w:t xml:space="preserve"> </w:t>
      </w:r>
      <w:r>
        <w:rPr>
          <w:rFonts w:hint="eastAsia" w:ascii="MS UI Gothic" w:eastAsia="MS UI Gothic"/>
          <w:w w:val="75"/>
        </w:rPr>
        <w:t>/</w:t>
      </w:r>
      <w:r>
        <w:rPr>
          <w:rFonts w:hint="eastAsia" w:ascii="MS UI Gothic" w:eastAsia="MS UI Gothic"/>
          <w:spacing w:val="-23"/>
          <w:w w:val="75"/>
        </w:rPr>
        <w:t xml:space="preserve"> </w:t>
      </w:r>
      <w:r>
        <w:rPr>
          <w:rFonts w:hint="eastAsia" w:ascii="MS UI Gothic" w:eastAsia="MS UI Gothic"/>
        </w:rPr>
        <w:t>ｃｍ</w:t>
      </w:r>
      <w:r>
        <w:rPr>
          <w:rFonts w:hint="eastAsia" w:ascii="MS UI Gothic" w:eastAsia="MS UI Gothic"/>
          <w:spacing w:val="4"/>
          <w:position w:val="9"/>
          <w:sz w:val="12"/>
        </w:rPr>
        <w:t xml:space="preserve">３ </w:t>
      </w:r>
      <w:r>
        <w:rPr>
          <w:spacing w:val="3"/>
        </w:rPr>
        <w:t>时</w:t>
      </w:r>
      <w:r>
        <w:rPr>
          <w:rFonts w:hint="eastAsia" w:ascii="MS UI Gothic" w:eastAsia="MS UI Gothic"/>
          <w:spacing w:val="6"/>
          <w:w w:val="75"/>
        </w:rPr>
        <w:t xml:space="preserve">ꎬ </w:t>
      </w:r>
      <w:r>
        <w:rPr>
          <w:spacing w:val="12"/>
        </w:rPr>
        <w:t>将环形空</w:t>
      </w:r>
      <w:r>
        <w:rPr>
          <w:spacing w:val="3"/>
        </w:rPr>
        <w:t>间井液循环到地面</w:t>
      </w:r>
      <w:r>
        <w:rPr>
          <w:rFonts w:hint="eastAsia" w:ascii="MS UI Gothic" w:eastAsia="MS UI Gothic"/>
          <w:spacing w:val="5"/>
          <w:w w:val="75"/>
        </w:rPr>
        <w:t xml:space="preserve">ꎬ </w:t>
      </w:r>
      <w:r>
        <w:rPr>
          <w:spacing w:val="2"/>
        </w:rPr>
        <w:t>并对井液性能进行气</w:t>
      </w:r>
      <w:r>
        <w:rPr>
          <w:spacing w:val="3"/>
        </w:rPr>
        <w:t>体或者液体侵入的检查和处理</w:t>
      </w:r>
      <w:r>
        <w:rPr>
          <w:rFonts w:hint="eastAsia" w:ascii="MS UI Gothic" w:eastAsia="MS UI Gothic"/>
          <w:w w:val="75"/>
        </w:rPr>
        <w:t>ꎻ</w:t>
      </w:r>
    </w:p>
    <w:p>
      <w:pPr>
        <w:pStyle w:val="6"/>
        <w:spacing w:line="295" w:lineRule="auto"/>
        <w:ind w:left="440" w:right="1"/>
        <w:rPr>
          <w:rFonts w:hint="eastAsia" w:ascii="MS UI Gothic" w:eastAsia="MS UI Gothic"/>
        </w:rPr>
      </w:pPr>
      <w:r>
        <w:rPr>
          <w:rFonts w:hint="eastAsia" w:ascii="MS UI Gothic" w:eastAsia="MS UI Gothic"/>
          <w:spacing w:val="-40"/>
          <w:w w:val="150"/>
        </w:rPr>
        <w:t xml:space="preserve">( </w:t>
      </w:r>
      <w:r>
        <w:rPr>
          <w:spacing w:val="3"/>
          <w:w w:val="105"/>
        </w:rPr>
        <w:t>四</w:t>
      </w:r>
      <w:r>
        <w:rPr>
          <w:rFonts w:hint="eastAsia" w:ascii="MS UI Gothic" w:eastAsia="MS UI Gothic"/>
          <w:spacing w:val="-7"/>
          <w:w w:val="150"/>
        </w:rPr>
        <w:t xml:space="preserve">) </w:t>
      </w:r>
      <w:r>
        <w:rPr>
          <w:spacing w:val="3"/>
          <w:w w:val="105"/>
        </w:rPr>
        <w:t>起钻时</w:t>
      </w:r>
      <w:r>
        <w:rPr>
          <w:rFonts w:hint="eastAsia" w:ascii="MS UI Gothic" w:eastAsia="MS UI Gothic"/>
          <w:spacing w:val="9"/>
          <w:w w:val="80"/>
        </w:rPr>
        <w:t xml:space="preserve">ꎬ </w:t>
      </w:r>
      <w:r>
        <w:rPr>
          <w:spacing w:val="11"/>
          <w:w w:val="105"/>
        </w:rPr>
        <w:t>向井内灌注井液</w:t>
      </w:r>
      <w:r>
        <w:rPr>
          <w:rFonts w:hint="eastAsia" w:ascii="MS UI Gothic" w:eastAsia="MS UI Gothic"/>
          <w:spacing w:val="10"/>
          <w:w w:val="80"/>
        </w:rPr>
        <w:t xml:space="preserve">ꎮ </w:t>
      </w:r>
      <w:r>
        <w:rPr>
          <w:w w:val="105"/>
        </w:rPr>
        <w:t>当</w:t>
      </w:r>
      <w:r>
        <w:rPr>
          <w:spacing w:val="-4"/>
          <w:w w:val="105"/>
        </w:rPr>
        <w:t xml:space="preserve">井内静止液面下降或者每起出 </w:t>
      </w:r>
      <w:r>
        <w:rPr>
          <w:rFonts w:hint="eastAsia" w:ascii="MS UI Gothic" w:eastAsia="MS UI Gothic"/>
          <w:spacing w:val="-6"/>
          <w:w w:val="80"/>
        </w:rPr>
        <w:t xml:space="preserve">３ </w:t>
      </w:r>
      <w:r>
        <w:rPr>
          <w:spacing w:val="-37"/>
          <w:w w:val="105"/>
        </w:rPr>
        <w:t xml:space="preserve">至 </w:t>
      </w:r>
      <w:r>
        <w:rPr>
          <w:rFonts w:hint="eastAsia" w:ascii="MS UI Gothic" w:eastAsia="MS UI Gothic"/>
          <w:spacing w:val="-6"/>
          <w:w w:val="80"/>
        </w:rPr>
        <w:t xml:space="preserve">５ </w:t>
      </w:r>
      <w:r>
        <w:rPr>
          <w:spacing w:val="3"/>
          <w:w w:val="105"/>
        </w:rPr>
        <w:t>柱钻具之后应当灌满井液</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从井内起出钻杆测试工具前</w:t>
      </w:r>
      <w:r>
        <w:rPr>
          <w:rFonts w:hint="eastAsia" w:ascii="MS UI Gothic" w:eastAsia="MS UI Gothic"/>
          <w:w w:val="80"/>
        </w:rPr>
        <w:t>ꎬ</w:t>
      </w:r>
      <w:r>
        <w:rPr>
          <w:w w:val="105"/>
        </w:rPr>
        <w:t>井液应当进行循环或者反循环</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第六十条 完井</w:t>
      </w:r>
      <w:r>
        <w:rPr>
          <w:rFonts w:hint="eastAsia" w:ascii="MS UI Gothic" w:eastAsia="MS UI Gothic"/>
        </w:rPr>
        <w:t xml:space="preserve">、 </w:t>
      </w:r>
      <w:r>
        <w:rPr>
          <w:w w:val="105"/>
        </w:rPr>
        <w:t>试油和修井作业应</w:t>
      </w:r>
      <w:r>
        <w:rPr>
          <w:w w:val="110"/>
        </w:rPr>
        <w:t>当符合下列规定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配备与作业相适应的防喷器及</w:t>
      </w:r>
      <w:r>
        <w:rPr>
          <w:w w:val="110"/>
        </w:rPr>
        <w:t>其控制系统</w:t>
      </w:r>
      <w:r>
        <w:rPr>
          <w:rFonts w:hint="eastAsia" w:ascii="MS UI Gothic" w:eastAsia="MS UI Gothic"/>
          <w:w w:val="80"/>
        </w:rPr>
        <w:t>ꎻ</w:t>
      </w:r>
    </w:p>
    <w:p>
      <w:pPr>
        <w:pStyle w:val="6"/>
        <w:spacing w:before="124" w:line="295" w:lineRule="auto"/>
        <w:ind w:left="381" w:right="126"/>
        <w:jc w:val="left"/>
        <w:rPr>
          <w:rFonts w:hint="eastAsia" w:ascii="MS UI Gothic" w:eastAsia="MS UI Gothic"/>
        </w:rPr>
      </w:pPr>
      <w:r>
        <w:br w:type="column"/>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按计划储备井液材料</w:t>
      </w:r>
      <w:r>
        <w:rPr>
          <w:rFonts w:hint="eastAsia" w:ascii="MS UI Gothic" w:eastAsia="MS UI Gothic"/>
          <w:w w:val="80"/>
        </w:rPr>
        <w:t xml:space="preserve">ꎬ </w:t>
      </w:r>
      <w:r>
        <w:rPr>
          <w:w w:val="105"/>
        </w:rPr>
        <w:t>其性能符合作业要求</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井控要求参照钻井作业有关规</w:t>
      </w:r>
      <w:r>
        <w:rPr>
          <w:w w:val="110"/>
        </w:rPr>
        <w:t>定执行</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 xml:space="preserve">滩海陆岸井控装置至少配备 </w:t>
      </w:r>
      <w:r>
        <w:rPr>
          <w:rFonts w:hint="eastAsia" w:ascii="MS UI Gothic" w:eastAsia="MS UI Gothic"/>
        </w:rPr>
        <w:t>１</w:t>
      </w:r>
    </w:p>
    <w:p>
      <w:pPr>
        <w:pStyle w:val="6"/>
        <w:spacing w:before="57"/>
        <w:ind w:left="381" w:firstLine="0"/>
        <w:jc w:val="left"/>
        <w:rPr>
          <w:rFonts w:hint="eastAsia" w:ascii="MS UI Gothic" w:eastAsia="MS UI Gothic"/>
        </w:rPr>
      </w:pPr>
      <w:r>
        <w:t>套控制系统</w:t>
      </w:r>
      <w:r>
        <w:rPr>
          <w:rFonts w:hint="eastAsia" w:ascii="MS UI Gothic" w:eastAsia="MS UI Gothic"/>
          <w:w w:val="80"/>
        </w:rPr>
        <w:t>ꎮ</w:t>
      </w:r>
    </w:p>
    <w:p>
      <w:pPr>
        <w:pStyle w:val="6"/>
        <w:spacing w:before="58" w:line="295" w:lineRule="auto"/>
        <w:ind w:left="381" w:right="126"/>
        <w:rPr>
          <w:rFonts w:hint="eastAsia" w:ascii="MS UI Gothic" w:eastAsia="MS UI Gothic"/>
        </w:rPr>
      </w:pPr>
      <w:r>
        <w:t>第六十一条 气井</w:t>
      </w:r>
      <w:r>
        <w:rPr>
          <w:rFonts w:hint="eastAsia" w:ascii="MS UI Gothic" w:eastAsia="MS UI Gothic"/>
          <w:w w:val="80"/>
        </w:rPr>
        <w:t xml:space="preserve">、 </w:t>
      </w:r>
      <w:r>
        <w:t>自喷井</w:t>
      </w:r>
      <w:r>
        <w:rPr>
          <w:rFonts w:hint="eastAsia" w:ascii="MS UI Gothic" w:eastAsia="MS UI Gothic"/>
          <w:w w:val="80"/>
        </w:rPr>
        <w:t xml:space="preserve">、  </w:t>
      </w:r>
      <w:r>
        <w:t>自溢井应当安装井下封隔器</w:t>
      </w:r>
      <w:r>
        <w:rPr>
          <w:rFonts w:hint="eastAsia" w:ascii="MS UI Gothic" w:eastAsia="MS UI Gothic"/>
          <w:w w:val="80"/>
        </w:rPr>
        <w:t xml:space="preserve">ꎻ </w:t>
      </w:r>
      <w:r>
        <w:t xml:space="preserve">在海床面 </w:t>
      </w:r>
      <w:r>
        <w:rPr>
          <w:rFonts w:hint="eastAsia" w:ascii="MS UI Gothic" w:eastAsia="MS UI Gothic"/>
          <w:w w:val="80"/>
        </w:rPr>
        <w:t xml:space="preserve">３０ </w:t>
      </w:r>
      <w:r>
        <w:t>米以下</w:t>
      </w:r>
      <w:r>
        <w:rPr>
          <w:rFonts w:hint="eastAsia" w:ascii="MS UI Gothic" w:eastAsia="MS UI Gothic"/>
          <w:w w:val="80"/>
        </w:rPr>
        <w:t xml:space="preserve">ꎬ </w:t>
      </w:r>
      <w:r>
        <w:t>应当安装井下安全阀</w:t>
      </w:r>
      <w:r>
        <w:rPr>
          <w:rFonts w:hint="eastAsia" w:ascii="MS UI Gothic" w:eastAsia="MS UI Gothic"/>
          <w:w w:val="80"/>
        </w:rPr>
        <w:t xml:space="preserve">ꎬ </w:t>
      </w:r>
      <w:r>
        <w:t>并符合下列规定</w:t>
      </w:r>
      <w:r>
        <w:rPr>
          <w:rFonts w:hint="eastAsia" w:ascii="MS UI Gothic" w:eastAsia="MS UI Gothic"/>
          <w:w w:val="230"/>
        </w:rPr>
        <w:t>:</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定期进行水上控制的井下安全</w:t>
      </w:r>
      <w:r>
        <w:t>阀现场试验</w:t>
      </w:r>
      <w:r>
        <w:rPr>
          <w:rFonts w:hint="eastAsia" w:ascii="MS UI Gothic" w:eastAsia="MS UI Gothic"/>
          <w:w w:val="80"/>
        </w:rPr>
        <w:t xml:space="preserve">ꎬ </w:t>
      </w:r>
      <w:r>
        <w:t xml:space="preserve">试验间隔不得超过 </w:t>
      </w:r>
      <w:r>
        <w:rPr>
          <w:rFonts w:hint="eastAsia" w:ascii="MS UI Gothic" w:eastAsia="MS UI Gothic"/>
          <w:w w:val="80"/>
        </w:rPr>
        <w:t xml:space="preserve">６ </w:t>
      </w:r>
      <w:r>
        <w:t>个月</w:t>
      </w:r>
      <w:r>
        <w:rPr>
          <w:rFonts w:hint="eastAsia" w:ascii="MS UI Gothic" w:eastAsia="MS UI Gothic"/>
          <w:w w:val="80"/>
        </w:rPr>
        <w:t>ꎮ</w:t>
      </w:r>
      <w:r>
        <w:t>新安装或者重新安装的也应当进行试验</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海床完井的单井</w:t>
      </w:r>
      <w:r>
        <w:rPr>
          <w:rFonts w:hint="eastAsia" w:ascii="MS UI Gothic" w:eastAsia="MS UI Gothic"/>
          <w:w w:val="80"/>
        </w:rPr>
        <w:t xml:space="preserve">、  </w:t>
      </w:r>
      <w:r>
        <w:rPr>
          <w:w w:val="105"/>
        </w:rPr>
        <w:t>卫星井或者</w:t>
      </w:r>
      <w:r>
        <w:t>多井基盘上</w:t>
      </w:r>
      <w:r>
        <w:rPr>
          <w:rFonts w:hint="eastAsia" w:ascii="MS UI Gothic" w:eastAsia="MS UI Gothic"/>
          <w:w w:val="80"/>
        </w:rPr>
        <w:t xml:space="preserve">ꎬ </w:t>
      </w:r>
      <w:r>
        <w:t>每口井安装水下控制的井下</w:t>
      </w:r>
      <w:r>
        <w:rPr>
          <w:w w:val="105"/>
        </w:rPr>
        <w:t>安全阀</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20"/>
        </w:rPr>
        <w:t xml:space="preserve">( </w:t>
      </w:r>
      <w:r>
        <w:rPr>
          <w:w w:val="110"/>
        </w:rPr>
        <w:t>三</w:t>
      </w:r>
      <w:r>
        <w:rPr>
          <w:rFonts w:hint="eastAsia" w:ascii="MS UI Gothic" w:eastAsia="MS UI Gothic"/>
          <w:w w:val="120"/>
        </w:rPr>
        <w:t xml:space="preserve">) </w:t>
      </w:r>
      <w:r>
        <w:rPr>
          <w:w w:val="110"/>
        </w:rPr>
        <w:t>地面安全阀保持良好的工作状态</w:t>
      </w:r>
      <w:r>
        <w:rPr>
          <w:rFonts w:hint="eastAsia" w:ascii="MS UI Gothic" w:eastAsia="MS UI Gothic"/>
          <w:w w:val="80"/>
        </w:rPr>
        <w:t>ꎻ</w:t>
      </w:r>
    </w:p>
    <w:p>
      <w:pPr>
        <w:pStyle w:val="6"/>
        <w:spacing w:line="295" w:lineRule="auto"/>
        <w:ind w:left="800" w:right="126" w:firstLine="0"/>
        <w:jc w:val="left"/>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配备适用的井口测压防喷盒</w:t>
      </w:r>
      <w:r>
        <w:rPr>
          <w:rFonts w:hint="eastAsia" w:ascii="MS UI Gothic" w:eastAsia="MS UI Gothic"/>
          <w:w w:val="80"/>
        </w:rPr>
        <w:t>ꎮ</w:t>
      </w:r>
      <w:r>
        <w:t>紧急关闭系统应当保持良好的工作状</w:t>
      </w:r>
    </w:p>
    <w:p>
      <w:pPr>
        <w:pStyle w:val="6"/>
        <w:spacing w:line="295" w:lineRule="auto"/>
        <w:ind w:left="381" w:right="126" w:firstLine="0"/>
        <w:rPr>
          <w:rFonts w:hint="eastAsia" w:ascii="MS UI Gothic" w:eastAsia="MS UI Gothic"/>
        </w:rPr>
      </w:pPr>
      <w:r>
        <w:t>态</w:t>
      </w:r>
      <w:r>
        <w:rPr>
          <w:rFonts w:hint="eastAsia" w:ascii="MS UI Gothic" w:eastAsia="MS UI Gothic"/>
          <w:w w:val="80"/>
        </w:rPr>
        <w:t xml:space="preserve">ꎮ </w:t>
      </w:r>
      <w:r>
        <w:t>作业者应当妥善保存各种水下安全装置的安装和调试记录等资料</w:t>
      </w:r>
      <w:r>
        <w:rPr>
          <w:rFonts w:hint="eastAsia" w:ascii="MS UI Gothic" w:eastAsia="MS UI Gothic"/>
          <w:w w:val="80"/>
        </w:rPr>
        <w:t>ꎮ</w:t>
      </w:r>
    </w:p>
    <w:p>
      <w:pPr>
        <w:pStyle w:val="6"/>
        <w:spacing w:line="295" w:lineRule="auto"/>
        <w:ind w:left="381" w:right="126"/>
        <w:rPr>
          <w:rFonts w:hint="eastAsia" w:ascii="MS UI Gothic" w:eastAsia="MS UI Gothic"/>
        </w:rPr>
      </w:pPr>
      <w:r>
        <w:t>第六十二条 进行电缆射孔</w:t>
      </w:r>
      <w:r>
        <w:rPr>
          <w:rFonts w:hint="eastAsia" w:ascii="MS UI Gothic" w:eastAsia="MS UI Gothic"/>
          <w:w w:val="80"/>
        </w:rPr>
        <w:t xml:space="preserve">、 </w:t>
      </w:r>
      <w:r>
        <w:t>生产测井</w:t>
      </w:r>
      <w:r>
        <w:rPr>
          <w:rFonts w:hint="eastAsia" w:ascii="MS UI Gothic" w:eastAsia="MS UI Gothic"/>
          <w:w w:val="80"/>
        </w:rPr>
        <w:t xml:space="preserve">、 </w:t>
      </w:r>
      <w:r>
        <w:t>钢丝作业时</w:t>
      </w:r>
      <w:r>
        <w:rPr>
          <w:rFonts w:hint="eastAsia" w:ascii="MS UI Gothic" w:eastAsia="MS UI Gothic"/>
          <w:w w:val="80"/>
        </w:rPr>
        <w:t xml:space="preserve">ꎬ </w:t>
      </w:r>
      <w:r>
        <w:t>在工具下井前</w:t>
      </w:r>
      <w:r>
        <w:rPr>
          <w:rFonts w:hint="eastAsia" w:ascii="MS UI Gothic" w:eastAsia="MS UI Gothic"/>
          <w:w w:val="80"/>
        </w:rPr>
        <w:t xml:space="preserve">ꎬ </w:t>
      </w:r>
      <w:r>
        <w:t>应当对防喷管汇进行压力试验</w:t>
      </w:r>
      <w:r>
        <w:rPr>
          <w:rFonts w:hint="eastAsia" w:ascii="MS UI Gothic" w:eastAsia="MS UI Gothic"/>
          <w:w w:val="80"/>
        </w:rPr>
        <w:t>ꎮ</w:t>
      </w:r>
    </w:p>
    <w:p>
      <w:pPr>
        <w:pStyle w:val="6"/>
        <w:spacing w:line="295" w:lineRule="auto"/>
        <w:ind w:left="381" w:right="126"/>
        <w:rPr>
          <w:rFonts w:hint="eastAsia" w:ascii="MS UI Gothic" w:eastAsia="MS UI Gothic"/>
        </w:rPr>
      </w:pPr>
      <w:r>
        <w:rPr>
          <w:w w:val="95"/>
        </w:rPr>
        <w:t xml:space="preserve">第六十三条  钻开油气层前 </w:t>
      </w:r>
      <w:r>
        <w:rPr>
          <w:rFonts w:hint="eastAsia" w:ascii="MS UI Gothic" w:eastAsia="MS UI Gothic"/>
          <w:w w:val="95"/>
        </w:rPr>
        <w:t xml:space="preserve">１００ </w:t>
      </w:r>
      <w:r>
        <w:rPr>
          <w:w w:val="95"/>
        </w:rPr>
        <w:t>米时</w:t>
      </w:r>
      <w:r>
        <w:rPr>
          <w:rFonts w:hint="eastAsia" w:ascii="MS UI Gothic" w:eastAsia="MS UI Gothic"/>
          <w:w w:val="90"/>
        </w:rPr>
        <w:t xml:space="preserve">ꎬ  </w:t>
      </w:r>
      <w:r>
        <w:rPr>
          <w:w w:val="95"/>
        </w:rPr>
        <w:t>应当通过钻井循环通道和节流管汇做一次低泵冲泵压试验</w:t>
      </w:r>
      <w:r>
        <w:rPr>
          <w:rFonts w:hint="eastAsia" w:ascii="MS UI Gothic" w:eastAsia="MS UI Gothic"/>
          <w:w w:val="90"/>
        </w:rPr>
        <w:t>ꎮ</w:t>
      </w:r>
    </w:p>
    <w:p>
      <w:pPr>
        <w:pStyle w:val="6"/>
        <w:spacing w:line="295" w:lineRule="auto"/>
        <w:ind w:left="381" w:right="126"/>
        <w:rPr>
          <w:rFonts w:hint="eastAsia" w:ascii="MS UI Gothic" w:eastAsia="MS UI Gothic"/>
        </w:rPr>
      </w:pPr>
      <w:r>
        <w:t>第六十四条 放喷管线应当使用专用管线</w:t>
      </w:r>
      <w:r>
        <w:rPr>
          <w:rFonts w:hint="eastAsia" w:ascii="MS UI Gothic" w:eastAsia="MS UI Gothic"/>
          <w:w w:val="80"/>
        </w:rPr>
        <w:t>ꎮ</w:t>
      </w:r>
    </w:p>
    <w:p>
      <w:pPr>
        <w:pStyle w:val="6"/>
        <w:spacing w:line="295" w:lineRule="auto"/>
        <w:ind w:left="381" w:right="126"/>
        <w:rPr>
          <w:rFonts w:hint="eastAsia" w:ascii="MS UI Gothic" w:eastAsia="MS UI Gothic"/>
        </w:rPr>
      </w:pPr>
      <w:r>
        <w:t>在寒冷季节</w:t>
      </w:r>
      <w:r>
        <w:rPr>
          <w:rFonts w:hint="eastAsia" w:ascii="MS UI Gothic" w:eastAsia="MS UI Gothic"/>
          <w:w w:val="80"/>
        </w:rPr>
        <w:t xml:space="preserve">ꎬ </w:t>
      </w:r>
      <w:r>
        <w:t>应当对井控装备</w:t>
      </w:r>
      <w:r>
        <w:rPr>
          <w:rFonts w:hint="eastAsia" w:ascii="MS UI Gothic" w:eastAsia="MS UI Gothic"/>
          <w:w w:val="80"/>
        </w:rPr>
        <w:t xml:space="preserve">、 </w:t>
      </w:r>
      <w:r>
        <w:t>防喷管汇</w:t>
      </w:r>
      <w:r>
        <w:rPr>
          <w:rFonts w:hint="eastAsia" w:ascii="MS UI Gothic" w:eastAsia="MS UI Gothic"/>
          <w:w w:val="80"/>
        </w:rPr>
        <w:t xml:space="preserve">、 </w:t>
      </w:r>
      <w:r>
        <w:t>节流管汇</w:t>
      </w:r>
      <w:r>
        <w:rPr>
          <w:rFonts w:hint="eastAsia" w:ascii="MS UI Gothic" w:eastAsia="MS UI Gothic"/>
          <w:w w:val="80"/>
        </w:rPr>
        <w:t xml:space="preserve">、 </w:t>
      </w:r>
      <w:r>
        <w:t>压力管汇和仪表等进行防冻保温</w:t>
      </w:r>
      <w:r>
        <w:rPr>
          <w:rFonts w:hint="eastAsia" w:ascii="MS UI Gothic" w:eastAsia="MS UI Gothic"/>
          <w:w w:val="80"/>
        </w:rPr>
        <w:t>ꎮ</w:t>
      </w:r>
    </w:p>
    <w:p>
      <w:pPr>
        <w:pStyle w:val="6"/>
        <w:tabs>
          <w:tab w:val="left" w:pos="1953"/>
        </w:tabs>
        <w:spacing w:before="135"/>
        <w:ind w:left="1114" w:firstLine="0"/>
        <w:jc w:val="left"/>
      </w:pPr>
      <w:r>
        <w:rPr>
          <w:spacing w:val="3"/>
          <w:w w:val="105"/>
        </w:rPr>
        <w:t>第六</w:t>
      </w:r>
      <w:r>
        <w:rPr>
          <w:w w:val="105"/>
        </w:rPr>
        <w:t>节</w:t>
      </w:r>
      <w:r>
        <w:rPr>
          <w:w w:val="105"/>
        </w:rPr>
        <w:tab/>
      </w:r>
      <w:r>
        <w:rPr>
          <w:spacing w:val="3"/>
          <w:w w:val="105"/>
        </w:rPr>
        <w:t>硫化氢防护管</w:t>
      </w:r>
      <w:r>
        <w:rPr>
          <w:w w:val="105"/>
        </w:rPr>
        <w:t>理</w:t>
      </w:r>
    </w:p>
    <w:p>
      <w:pPr>
        <w:pStyle w:val="6"/>
        <w:spacing w:before="11"/>
        <w:ind w:left="0" w:firstLine="0"/>
        <w:jc w:val="left"/>
        <w:rPr>
          <w:sz w:val="16"/>
        </w:rPr>
      </w:pPr>
    </w:p>
    <w:p>
      <w:pPr>
        <w:pStyle w:val="6"/>
        <w:spacing w:line="295" w:lineRule="auto"/>
        <w:ind w:left="381" w:right="126"/>
        <w:rPr>
          <w:rFonts w:hint="eastAsia" w:ascii="MS UI Gothic" w:eastAsia="MS UI Gothic"/>
        </w:rPr>
      </w:pPr>
      <w:r>
        <w:t>第六十五条 钻遇未知含硫化氢地层时</w:t>
      </w:r>
      <w:r>
        <w:rPr>
          <w:rFonts w:hint="eastAsia" w:ascii="MS UI Gothic" w:eastAsia="MS UI Gothic"/>
          <w:w w:val="80"/>
        </w:rPr>
        <w:t xml:space="preserve">ꎬ </w:t>
      </w:r>
      <w:r>
        <w:t>应当提前采取防范措施</w:t>
      </w:r>
      <w:r>
        <w:rPr>
          <w:rFonts w:hint="eastAsia" w:ascii="MS UI Gothic" w:eastAsia="MS UI Gothic"/>
          <w:w w:val="80"/>
        </w:rPr>
        <w:t xml:space="preserve">ꎻ </w:t>
      </w:r>
      <w:r>
        <w:t>钻遇已知含硫化氢地层时</w:t>
      </w:r>
      <w:r>
        <w:rPr>
          <w:rFonts w:hint="eastAsia" w:ascii="MS UI Gothic" w:eastAsia="MS UI Gothic"/>
          <w:w w:val="80"/>
        </w:rPr>
        <w:t xml:space="preserve">ꎬ </w:t>
      </w:r>
      <w:r>
        <w:t>应当实施检测和控制</w:t>
      </w:r>
      <w:r>
        <w:rPr>
          <w:rFonts w:hint="eastAsia" w:ascii="MS UI Gothic" w:eastAsia="MS UI Gothic"/>
          <w:w w:val="80"/>
        </w:rPr>
        <w:t>ꎮ</w:t>
      </w:r>
    </w:p>
    <w:p>
      <w:pPr>
        <w:pStyle w:val="6"/>
        <w:spacing w:line="254" w:lineRule="exact"/>
        <w:ind w:left="800" w:firstLine="0"/>
        <w:jc w:val="left"/>
      </w:pPr>
      <w:r>
        <w:t>硫化氢探测</w:t>
      </w:r>
      <w:r>
        <w:rPr>
          <w:rFonts w:hint="eastAsia" w:ascii="MS UI Gothic" w:eastAsia="MS UI Gothic"/>
        </w:rPr>
        <w:t xml:space="preserve">、 </w:t>
      </w:r>
      <w:r>
        <w:t>报警系统应当符合下列</w:t>
      </w:r>
    </w:p>
    <w:p>
      <w:pPr>
        <w:spacing w:after="0" w:line="254"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608" o:spid="_x0000_s1608" style="position:absolute;left:0pt;margin-left:0pt;margin-top:700.1pt;height:1.75pt;width:398.25pt;mso-position-horizontal-relative:page;z-index:25189273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１９４</w:t>
      </w:r>
    </w:p>
    <w:p>
      <w:pPr>
        <w:pStyle w:val="6"/>
        <w:spacing w:before="297" w:line="240" w:lineRule="exact"/>
        <w:ind w:firstLine="0"/>
        <w:jc w:val="left"/>
        <w:rPr>
          <w:rFonts w:hint="eastAsia" w:ascii="MS UI Gothic" w:eastAsia="MS UI Gothic"/>
        </w:rPr>
      </w:pPr>
      <w:r>
        <w:rPr>
          <w:w w:val="115"/>
        </w:rPr>
        <w:t>规定</w:t>
      </w:r>
      <w:r>
        <w:rPr>
          <w:rFonts w:hint="eastAsia" w:ascii="MS UI Gothic" w:eastAsia="MS UI Gothic"/>
          <w:w w:val="235"/>
        </w:rPr>
        <w:t>:</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rPr>
          <w:rFonts w:hint="eastAsia" w:ascii="MS UI Gothic" w:eastAsia="MS UI Gothic"/>
        </w:rPr>
      </w:pPr>
      <w:r>
        <w:t>字样的红牌</w:t>
      </w:r>
      <w:r>
        <w:rPr>
          <w:rFonts w:hint="eastAsia" w:ascii="MS UI Gothic" w:eastAsia="MS UI Gothic"/>
          <w:w w:val="80"/>
        </w:rPr>
        <w:t>ꎮ</w:t>
      </w:r>
    </w:p>
    <w:p>
      <w:pPr>
        <w:spacing w:after="0" w:line="240" w:lineRule="exact"/>
        <w:jc w:val="left"/>
        <w:rPr>
          <w:rFonts w:hint="eastAsia" w:ascii="MS UI Gothic" w:eastAsia="MS UI Gothic"/>
        </w:rPr>
        <w:sectPr>
          <w:pgSz w:w="10500" w:h="14750"/>
          <w:pgMar w:top="960" w:right="980" w:bottom="280" w:left="980" w:header="720" w:footer="720" w:gutter="0"/>
          <w:cols w:equalWidth="0" w:num="2">
            <w:col w:w="1050" w:space="1251"/>
            <w:col w:w="6239"/>
          </w:cols>
        </w:sectPr>
      </w:pPr>
    </w:p>
    <w:p>
      <w:pPr>
        <w:pStyle w:val="6"/>
        <w:spacing w:before="74" w:line="292" w:lineRule="auto"/>
        <w:ind w:left="118" w:right="38" w:firstLine="425"/>
        <w:rPr>
          <w:rFonts w:hint="eastAsia" w:ascii="MS UI Gothic" w:eastAsia="MS UI Gothic"/>
        </w:rPr>
      </w:pPr>
      <w:r>
        <w:rPr>
          <w:rFonts w:hint="eastAsia" w:ascii="MS UI Gothic" w:eastAsia="MS UI Gothic"/>
          <w:spacing w:val="-25"/>
          <w:w w:val="140"/>
        </w:rPr>
        <w:t xml:space="preserve">( </w:t>
      </w:r>
      <w:r>
        <w:rPr>
          <w:spacing w:val="3"/>
        </w:rPr>
        <w:t>一</w:t>
      </w:r>
      <w:r>
        <w:rPr>
          <w:rFonts w:hint="eastAsia" w:ascii="MS UI Gothic" w:eastAsia="MS UI Gothic"/>
          <w:spacing w:val="23"/>
          <w:w w:val="140"/>
        </w:rPr>
        <w:t xml:space="preserve">) </w:t>
      </w:r>
      <w:r>
        <w:rPr>
          <w:spacing w:val="5"/>
        </w:rPr>
        <w:t>钻井装置上安装硫化氢报警系</w:t>
      </w:r>
      <w:r>
        <w:rPr>
          <w:spacing w:val="3"/>
        </w:rPr>
        <w:t>统</w:t>
      </w:r>
      <w:r>
        <w:rPr>
          <w:rFonts w:hint="eastAsia" w:ascii="MS UI Gothic" w:eastAsia="MS UI Gothic"/>
          <w:spacing w:val="11"/>
          <w:w w:val="90"/>
        </w:rPr>
        <w:t xml:space="preserve">ꎮ </w:t>
      </w:r>
      <w:r>
        <w:rPr>
          <w:spacing w:val="-18"/>
        </w:rPr>
        <w:t>当 空 气 中 硫 化 氢 的 浓 度 超 过</w:t>
      </w:r>
      <w:r>
        <w:rPr>
          <w:rFonts w:hint="eastAsia" w:ascii="MS UI Gothic" w:eastAsia="MS UI Gothic"/>
          <w:spacing w:val="-18"/>
          <w:w w:val="75"/>
        </w:rPr>
        <w:t>１５</w:t>
      </w:r>
      <w:r>
        <w:rPr>
          <w:rFonts w:hint="eastAsia" w:ascii="MS UI Gothic" w:eastAsia="MS UI Gothic"/>
          <w:spacing w:val="14"/>
        </w:rPr>
        <w:t xml:space="preserve"> </w:t>
      </w:r>
      <w:r>
        <w:rPr>
          <w:rFonts w:hint="eastAsia" w:ascii="MS UI Gothic" w:eastAsia="MS UI Gothic"/>
          <w:spacing w:val="-1"/>
          <w:w w:val="79"/>
        </w:rPr>
        <w:t>ｍ</w:t>
      </w:r>
      <w:r>
        <w:rPr>
          <w:rFonts w:hint="eastAsia" w:ascii="MS UI Gothic" w:eastAsia="MS UI Gothic"/>
          <w:w w:val="78"/>
        </w:rPr>
        <w:t>ｇ</w:t>
      </w:r>
      <w:r>
        <w:rPr>
          <w:rFonts w:hint="eastAsia" w:ascii="MS UI Gothic" w:eastAsia="MS UI Gothic"/>
        </w:rPr>
        <w:t xml:space="preserve"> </w:t>
      </w:r>
      <w:r>
        <w:rPr>
          <w:rFonts w:hint="eastAsia" w:ascii="MS UI Gothic" w:eastAsia="MS UI Gothic"/>
          <w:w w:val="34"/>
        </w:rPr>
        <w:t>/</w:t>
      </w:r>
      <w:r>
        <w:rPr>
          <w:rFonts w:hint="eastAsia" w:ascii="MS UI Gothic" w:eastAsia="MS UI Gothic"/>
        </w:rPr>
        <w:t xml:space="preserve"> </w:t>
      </w:r>
      <w:r>
        <w:rPr>
          <w:rFonts w:hint="eastAsia" w:ascii="MS UI Gothic" w:eastAsia="MS UI Gothic"/>
          <w:spacing w:val="6"/>
          <w:w w:val="79"/>
        </w:rPr>
        <w:t>ｍ</w:t>
      </w:r>
      <w:r>
        <w:rPr>
          <w:rFonts w:hint="eastAsia" w:ascii="MS UI Gothic" w:eastAsia="MS UI Gothic"/>
          <w:w w:val="72"/>
          <w:position w:val="9"/>
          <w:sz w:val="12"/>
        </w:rPr>
        <w:t>３</w:t>
      </w:r>
      <w:r>
        <w:rPr>
          <w:rFonts w:hint="eastAsia" w:ascii="MS UI Gothic" w:eastAsia="MS UI Gothic"/>
          <w:spacing w:val="8"/>
          <w:position w:val="9"/>
          <w:sz w:val="12"/>
        </w:rPr>
        <w:t xml:space="preserve">  </w:t>
      </w:r>
      <w:r>
        <w:rPr>
          <w:rFonts w:hint="eastAsia" w:ascii="MS UI Gothic" w:eastAsia="MS UI Gothic"/>
          <w:w w:val="168"/>
        </w:rPr>
        <w:t>(</w:t>
      </w:r>
      <w:r>
        <w:rPr>
          <w:rFonts w:hint="eastAsia" w:ascii="MS UI Gothic" w:eastAsia="MS UI Gothic"/>
        </w:rPr>
        <w:t xml:space="preserve"> </w:t>
      </w:r>
      <w:r>
        <w:rPr>
          <w:rFonts w:hint="eastAsia" w:ascii="MS UI Gothic" w:eastAsia="MS UI Gothic"/>
          <w:w w:val="75"/>
        </w:rPr>
        <w:t>１０</w:t>
      </w:r>
      <w:r>
        <w:rPr>
          <w:rFonts w:hint="eastAsia" w:ascii="MS UI Gothic" w:eastAsia="MS UI Gothic"/>
          <w:spacing w:val="-11"/>
        </w:rPr>
        <w:t xml:space="preserve">  </w:t>
      </w:r>
      <w:r>
        <w:rPr>
          <w:rFonts w:hint="eastAsia" w:ascii="MS UI Gothic" w:eastAsia="MS UI Gothic"/>
          <w:w w:val="84"/>
        </w:rPr>
        <w:t>ｐ</w:t>
      </w:r>
      <w:r>
        <w:rPr>
          <w:rFonts w:hint="eastAsia" w:ascii="MS UI Gothic" w:eastAsia="MS UI Gothic"/>
          <w:spacing w:val="-1"/>
          <w:w w:val="84"/>
        </w:rPr>
        <w:t>ｐ</w:t>
      </w:r>
      <w:r>
        <w:rPr>
          <w:rFonts w:hint="eastAsia" w:ascii="MS UI Gothic" w:eastAsia="MS UI Gothic"/>
          <w:spacing w:val="16"/>
          <w:w w:val="79"/>
        </w:rPr>
        <w:t>ｍ</w:t>
      </w:r>
      <w:r>
        <w:rPr>
          <w:rFonts w:hint="eastAsia" w:ascii="MS UI Gothic" w:eastAsia="MS UI Gothic"/>
          <w:w w:val="168"/>
        </w:rPr>
        <w:t>)</w:t>
      </w:r>
      <w:r>
        <w:rPr>
          <w:rFonts w:hint="eastAsia" w:ascii="MS UI Gothic" w:eastAsia="MS UI Gothic"/>
          <w:spacing w:val="7"/>
        </w:rPr>
        <w:t xml:space="preserve">  </w:t>
      </w:r>
      <w:r>
        <w:rPr>
          <w:spacing w:val="3"/>
          <w:w w:val="102"/>
        </w:rPr>
        <w:t>时</w:t>
      </w:r>
      <w:r>
        <w:rPr>
          <w:rFonts w:hint="eastAsia" w:ascii="MS UI Gothic" w:eastAsia="MS UI Gothic"/>
          <w:w w:val="51"/>
        </w:rPr>
        <w:t>ꎬ</w:t>
      </w:r>
      <w:r>
        <w:rPr>
          <w:rFonts w:hint="eastAsia" w:ascii="MS UI Gothic" w:eastAsia="MS UI Gothic"/>
          <w:spacing w:val="-2"/>
        </w:rPr>
        <w:t xml:space="preserve">  </w:t>
      </w:r>
      <w:r>
        <w:rPr>
          <w:spacing w:val="20"/>
          <w:w w:val="102"/>
        </w:rPr>
        <w:t>系统即能以声</w:t>
      </w:r>
      <w:r>
        <w:rPr>
          <w:spacing w:val="3"/>
        </w:rPr>
        <w:t>光报警方式工作</w:t>
      </w:r>
      <w:r>
        <w:rPr>
          <w:rFonts w:hint="eastAsia" w:ascii="MS UI Gothic" w:eastAsia="MS UI Gothic"/>
          <w:spacing w:val="6"/>
          <w:w w:val="90"/>
        </w:rPr>
        <w:t xml:space="preserve">ꎻ </w:t>
      </w:r>
      <w:r>
        <w:rPr>
          <w:spacing w:val="2"/>
        </w:rPr>
        <w:t>固定式探头至少应当安</w:t>
      </w:r>
      <w:r>
        <w:rPr>
          <w:spacing w:val="3"/>
        </w:rPr>
        <w:t>装在喇叭口</w:t>
      </w:r>
      <w:r>
        <w:rPr>
          <w:rFonts w:hint="eastAsia" w:ascii="MS UI Gothic" w:eastAsia="MS UI Gothic"/>
          <w:spacing w:val="17"/>
        </w:rPr>
        <w:t xml:space="preserve">、 </w:t>
      </w:r>
      <w:r>
        <w:rPr>
          <w:spacing w:val="3"/>
        </w:rPr>
        <w:t>钻台</w:t>
      </w:r>
      <w:r>
        <w:rPr>
          <w:rFonts w:hint="eastAsia" w:ascii="MS UI Gothic" w:eastAsia="MS UI Gothic"/>
          <w:spacing w:val="18"/>
        </w:rPr>
        <w:t xml:space="preserve">、 </w:t>
      </w:r>
      <w:r>
        <w:rPr>
          <w:spacing w:val="3"/>
        </w:rPr>
        <w:t>振动筛</w:t>
      </w:r>
      <w:r>
        <w:rPr>
          <w:rFonts w:hint="eastAsia" w:ascii="MS UI Gothic" w:eastAsia="MS UI Gothic"/>
          <w:spacing w:val="17"/>
        </w:rPr>
        <w:t xml:space="preserve">、 </w:t>
      </w:r>
      <w:r>
        <w:rPr>
          <w:spacing w:val="3"/>
        </w:rPr>
        <w:t>井液池</w:t>
      </w:r>
      <w:r>
        <w:rPr>
          <w:rFonts w:hint="eastAsia" w:ascii="MS UI Gothic" w:eastAsia="MS UI Gothic"/>
          <w:spacing w:val="18"/>
        </w:rPr>
        <w:t xml:space="preserve">、 </w:t>
      </w:r>
      <w:r>
        <w:t>生</w:t>
      </w:r>
      <w:r>
        <w:rPr>
          <w:spacing w:val="3"/>
        </w:rPr>
        <w:t>活区</w:t>
      </w:r>
      <w:r>
        <w:rPr>
          <w:rFonts w:hint="eastAsia" w:ascii="MS UI Gothic" w:eastAsia="MS UI Gothic"/>
          <w:spacing w:val="20"/>
        </w:rPr>
        <w:t xml:space="preserve">、 </w:t>
      </w:r>
      <w:r>
        <w:rPr>
          <w:spacing w:val="3"/>
        </w:rPr>
        <w:t>发电及配电房进风口等位置</w:t>
      </w:r>
      <w:r>
        <w:rPr>
          <w:rFonts w:hint="eastAsia" w:ascii="MS UI Gothic" w:eastAsia="MS UI Gothic"/>
          <w:w w:val="90"/>
        </w:rPr>
        <w:t>ꎻ</w:t>
      </w:r>
    </w:p>
    <w:p>
      <w:pPr>
        <w:pStyle w:val="6"/>
        <w:spacing w:line="290" w:lineRule="auto"/>
        <w:ind w:left="118" w:right="38" w:firstLine="425"/>
      </w:pPr>
      <w:r>
        <w:rPr>
          <w:rFonts w:hint="eastAsia" w:ascii="MS UI Gothic" w:eastAsia="MS UI Gothic"/>
          <w:spacing w:val="-38"/>
          <w:w w:val="140"/>
        </w:rPr>
        <w:t xml:space="preserve">( </w:t>
      </w:r>
      <w:r>
        <w:rPr>
          <w:spacing w:val="3"/>
        </w:rPr>
        <w:t>二</w:t>
      </w:r>
      <w:r>
        <w:rPr>
          <w:rFonts w:hint="eastAsia" w:ascii="MS UI Gothic" w:eastAsia="MS UI Gothic"/>
          <w:spacing w:val="-11"/>
          <w:w w:val="140"/>
        </w:rPr>
        <w:t xml:space="preserve">) </w:t>
      </w:r>
      <w:r>
        <w:rPr>
          <w:spacing w:val="4"/>
        </w:rPr>
        <w:t>至少配备探测范围</w:t>
      </w:r>
      <w:r>
        <w:rPr>
          <w:rFonts w:hint="eastAsia" w:ascii="MS UI Gothic" w:eastAsia="MS UI Gothic"/>
          <w:spacing w:val="-25"/>
        </w:rPr>
        <w:t xml:space="preserve">０ </w:t>
      </w:r>
      <w:r>
        <w:rPr>
          <w:rFonts w:hint="eastAsia" w:ascii="MS UI Gothic" w:eastAsia="MS UI Gothic"/>
          <w:w w:val="140"/>
        </w:rPr>
        <w:t>~</w:t>
      </w:r>
      <w:r>
        <w:rPr>
          <w:rFonts w:hint="eastAsia" w:ascii="MS UI Gothic" w:eastAsia="MS UI Gothic"/>
          <w:spacing w:val="-75"/>
          <w:w w:val="140"/>
        </w:rPr>
        <w:t xml:space="preserve"> </w:t>
      </w:r>
      <w:r>
        <w:rPr>
          <w:rFonts w:hint="eastAsia" w:ascii="MS UI Gothic" w:eastAsia="MS UI Gothic"/>
          <w:spacing w:val="-11"/>
        </w:rPr>
        <w:t xml:space="preserve">３０ </w:t>
      </w:r>
      <w:r>
        <w:rPr>
          <w:rFonts w:hint="eastAsia" w:ascii="MS UI Gothic" w:eastAsia="MS UI Gothic"/>
          <w:spacing w:val="-3"/>
        </w:rPr>
        <w:t>ｍｇ</w:t>
      </w:r>
      <w:r>
        <w:rPr>
          <w:rFonts w:hint="eastAsia" w:ascii="MS UI Gothic" w:eastAsia="MS UI Gothic"/>
          <w:spacing w:val="-46"/>
        </w:rPr>
        <w:t xml:space="preserve"> </w:t>
      </w:r>
      <w:r>
        <w:rPr>
          <w:rFonts w:hint="eastAsia" w:ascii="MS UI Gothic" w:eastAsia="MS UI Gothic"/>
          <w:w w:val="75"/>
        </w:rPr>
        <w:t>/</w:t>
      </w:r>
      <w:r>
        <w:rPr>
          <w:rFonts w:hint="eastAsia" w:ascii="MS UI Gothic" w:eastAsia="MS UI Gothic"/>
          <w:spacing w:val="-23"/>
          <w:w w:val="75"/>
        </w:rPr>
        <w:t xml:space="preserve"> </w:t>
      </w:r>
      <w:r>
        <w:rPr>
          <w:rFonts w:hint="eastAsia" w:ascii="MS UI Gothic" w:eastAsia="MS UI Gothic"/>
        </w:rPr>
        <w:t>ｍ</w:t>
      </w:r>
      <w:r>
        <w:rPr>
          <w:rFonts w:hint="eastAsia" w:ascii="MS UI Gothic" w:eastAsia="MS UI Gothic"/>
          <w:position w:val="9"/>
          <w:sz w:val="12"/>
        </w:rPr>
        <w:t xml:space="preserve">３ </w:t>
      </w:r>
      <w:r>
        <w:rPr>
          <w:rFonts w:hint="eastAsia" w:ascii="MS UI Gothic" w:eastAsia="MS UI Gothic"/>
          <w:spacing w:val="-35"/>
          <w:w w:val="140"/>
        </w:rPr>
        <w:t xml:space="preserve">( </w:t>
      </w:r>
      <w:r>
        <w:rPr>
          <w:rFonts w:hint="eastAsia" w:ascii="MS UI Gothic" w:eastAsia="MS UI Gothic"/>
          <w:spacing w:val="-6"/>
        </w:rPr>
        <w:t xml:space="preserve">０ </w:t>
      </w:r>
      <w:r>
        <w:rPr>
          <w:rFonts w:hint="eastAsia" w:ascii="MS UI Gothic" w:eastAsia="MS UI Gothic"/>
          <w:w w:val="140"/>
        </w:rPr>
        <w:t>~</w:t>
      </w:r>
      <w:r>
        <w:rPr>
          <w:rFonts w:hint="eastAsia" w:ascii="MS UI Gothic" w:eastAsia="MS UI Gothic"/>
          <w:spacing w:val="-35"/>
          <w:w w:val="140"/>
        </w:rPr>
        <w:t xml:space="preserve"> </w:t>
      </w:r>
      <w:r>
        <w:rPr>
          <w:rFonts w:hint="eastAsia" w:ascii="MS UI Gothic" w:eastAsia="MS UI Gothic"/>
          <w:spacing w:val="6"/>
        </w:rPr>
        <w:t xml:space="preserve">２０ </w:t>
      </w:r>
      <w:r>
        <w:rPr>
          <w:rFonts w:hint="eastAsia" w:ascii="MS UI Gothic" w:eastAsia="MS UI Gothic"/>
        </w:rPr>
        <w:t>ｐｐｍ</w:t>
      </w:r>
      <w:r>
        <w:rPr>
          <w:rFonts w:hint="eastAsia" w:ascii="MS UI Gothic" w:eastAsia="MS UI Gothic"/>
          <w:spacing w:val="-42"/>
        </w:rPr>
        <w:t xml:space="preserve"> </w:t>
      </w:r>
      <w:r>
        <w:rPr>
          <w:rFonts w:hint="eastAsia" w:ascii="MS UI Gothic" w:eastAsia="MS UI Gothic"/>
          <w:spacing w:val="5"/>
          <w:w w:val="140"/>
        </w:rPr>
        <w:t xml:space="preserve">) </w:t>
      </w:r>
      <w:r>
        <w:rPr>
          <w:spacing w:val="-18"/>
        </w:rPr>
        <w:t xml:space="preserve">和 </w:t>
      </w:r>
      <w:r>
        <w:rPr>
          <w:rFonts w:hint="eastAsia" w:ascii="MS UI Gothic" w:eastAsia="MS UI Gothic"/>
          <w:spacing w:val="-6"/>
        </w:rPr>
        <w:t xml:space="preserve">０ </w:t>
      </w:r>
      <w:r>
        <w:rPr>
          <w:rFonts w:hint="eastAsia" w:ascii="MS UI Gothic" w:eastAsia="MS UI Gothic"/>
          <w:w w:val="140"/>
        </w:rPr>
        <w:t>~</w:t>
      </w:r>
      <w:r>
        <w:rPr>
          <w:rFonts w:hint="eastAsia" w:ascii="MS UI Gothic" w:eastAsia="MS UI Gothic"/>
          <w:spacing w:val="-34"/>
          <w:w w:val="140"/>
        </w:rPr>
        <w:t xml:space="preserve"> </w:t>
      </w:r>
      <w:r>
        <w:rPr>
          <w:rFonts w:hint="eastAsia" w:ascii="MS UI Gothic" w:eastAsia="MS UI Gothic"/>
          <w:spacing w:val="5"/>
        </w:rPr>
        <w:t xml:space="preserve">１５０ </w:t>
      </w:r>
      <w:r>
        <w:rPr>
          <w:rFonts w:hint="eastAsia" w:ascii="MS UI Gothic" w:eastAsia="MS UI Gothic"/>
        </w:rPr>
        <w:t>ｍｇ</w:t>
      </w:r>
      <w:r>
        <w:rPr>
          <w:rFonts w:hint="eastAsia" w:ascii="MS UI Gothic" w:eastAsia="MS UI Gothic"/>
          <w:spacing w:val="-41"/>
        </w:rPr>
        <w:t xml:space="preserve"> </w:t>
      </w:r>
      <w:r>
        <w:rPr>
          <w:rFonts w:hint="eastAsia" w:ascii="MS UI Gothic" w:eastAsia="MS UI Gothic"/>
          <w:w w:val="75"/>
        </w:rPr>
        <w:t>/</w:t>
      </w:r>
      <w:r>
        <w:rPr>
          <w:rFonts w:hint="eastAsia" w:ascii="MS UI Gothic" w:eastAsia="MS UI Gothic"/>
          <w:spacing w:val="-18"/>
          <w:w w:val="75"/>
        </w:rPr>
        <w:t xml:space="preserve"> </w:t>
      </w:r>
      <w:r>
        <w:rPr>
          <w:rFonts w:hint="eastAsia" w:ascii="MS UI Gothic" w:eastAsia="MS UI Gothic"/>
          <w:spacing w:val="3"/>
        </w:rPr>
        <w:t>ｍ</w:t>
      </w:r>
      <w:r>
        <w:rPr>
          <w:rFonts w:hint="eastAsia" w:ascii="MS UI Gothic" w:eastAsia="MS UI Gothic"/>
          <w:spacing w:val="6"/>
          <w:position w:val="9"/>
          <w:sz w:val="12"/>
        </w:rPr>
        <w:t xml:space="preserve">３ </w:t>
      </w:r>
      <w:r>
        <w:rPr>
          <w:rFonts w:hint="eastAsia" w:ascii="MS UI Gothic" w:eastAsia="MS UI Gothic"/>
          <w:spacing w:val="-30"/>
          <w:w w:val="140"/>
        </w:rPr>
        <w:t xml:space="preserve">( </w:t>
      </w:r>
      <w:r>
        <w:rPr>
          <w:rFonts w:hint="eastAsia" w:ascii="MS UI Gothic" w:eastAsia="MS UI Gothic"/>
          <w:spacing w:val="-5"/>
        </w:rPr>
        <w:t xml:space="preserve">０ </w:t>
      </w:r>
      <w:r>
        <w:rPr>
          <w:rFonts w:hint="eastAsia" w:ascii="MS UI Gothic" w:eastAsia="MS UI Gothic"/>
          <w:w w:val="140"/>
        </w:rPr>
        <w:t xml:space="preserve">~ </w:t>
      </w:r>
      <w:r>
        <w:rPr>
          <w:rFonts w:hint="eastAsia" w:ascii="MS UI Gothic" w:eastAsia="MS UI Gothic"/>
          <w:w w:val="75"/>
        </w:rPr>
        <w:t>１００</w:t>
      </w:r>
      <w:r>
        <w:rPr>
          <w:rFonts w:hint="eastAsia" w:ascii="MS UI Gothic" w:eastAsia="MS UI Gothic"/>
          <w:spacing w:val="14"/>
        </w:rPr>
        <w:t xml:space="preserve"> </w:t>
      </w:r>
      <w:r>
        <w:rPr>
          <w:rFonts w:hint="eastAsia" w:ascii="MS UI Gothic" w:eastAsia="MS UI Gothic"/>
          <w:w w:val="84"/>
        </w:rPr>
        <w:t>ｐｐ</w:t>
      </w:r>
      <w:r>
        <w:rPr>
          <w:rFonts w:hint="eastAsia" w:ascii="MS UI Gothic" w:eastAsia="MS UI Gothic"/>
          <w:spacing w:val="4"/>
          <w:w w:val="79"/>
        </w:rPr>
        <w:t>ｍ</w:t>
      </w:r>
      <w:r>
        <w:rPr>
          <w:rFonts w:hint="eastAsia" w:ascii="MS UI Gothic" w:eastAsia="MS UI Gothic"/>
          <w:w w:val="168"/>
        </w:rPr>
        <w:t>)</w:t>
      </w:r>
      <w:r>
        <w:rPr>
          <w:rFonts w:hint="eastAsia" w:ascii="MS UI Gothic" w:eastAsia="MS UI Gothic"/>
          <w:spacing w:val="13"/>
        </w:rPr>
        <w:t xml:space="preserve">  </w:t>
      </w:r>
      <w:r>
        <w:rPr>
          <w:spacing w:val="40"/>
          <w:w w:val="102"/>
        </w:rPr>
        <w:t>的便携式硫</w:t>
      </w:r>
      <w:r>
        <w:rPr>
          <w:spacing w:val="-48"/>
        </w:rPr>
        <w:t xml:space="preserve"> </w:t>
      </w:r>
      <w:r>
        <w:rPr>
          <w:w w:val="102"/>
        </w:rPr>
        <w:t>化</w:t>
      </w:r>
      <w:r>
        <w:rPr>
          <w:spacing w:val="-48"/>
        </w:rPr>
        <w:t xml:space="preserve"> </w:t>
      </w:r>
      <w:r>
        <w:rPr>
          <w:w w:val="102"/>
        </w:rPr>
        <w:t>氢</w:t>
      </w:r>
      <w:r>
        <w:rPr>
          <w:spacing w:val="-48"/>
        </w:rPr>
        <w:t xml:space="preserve"> </w:t>
      </w:r>
      <w:r>
        <w:rPr>
          <w:w w:val="102"/>
        </w:rPr>
        <w:t>探</w:t>
      </w:r>
      <w:r>
        <w:rPr>
          <w:spacing w:val="-48"/>
        </w:rPr>
        <w:t xml:space="preserve"> </w:t>
      </w:r>
      <w:r>
        <w:rPr>
          <w:w w:val="102"/>
        </w:rPr>
        <w:t>测</w:t>
      </w:r>
      <w:r>
        <w:rPr>
          <w:spacing w:val="-48"/>
        </w:rPr>
        <w:t xml:space="preserve"> </w:t>
      </w:r>
      <w:r>
        <w:rPr>
          <w:w w:val="102"/>
        </w:rPr>
        <w:t>器</w:t>
      </w:r>
      <w:r>
        <w:rPr>
          <w:spacing w:val="-48"/>
        </w:rPr>
        <w:t xml:space="preserve"> </w:t>
      </w:r>
      <w:r>
        <w:rPr>
          <w:spacing w:val="-11"/>
          <w:w w:val="102"/>
        </w:rPr>
        <w:t>各</w:t>
      </w:r>
    </w:p>
    <w:p>
      <w:pPr>
        <w:pStyle w:val="6"/>
        <w:ind w:left="118" w:firstLine="0"/>
        <w:rPr>
          <w:rFonts w:hint="eastAsia" w:ascii="MS UI Gothic" w:eastAsia="MS UI Gothic"/>
        </w:rPr>
      </w:pPr>
      <w:r>
        <w:rPr>
          <w:rFonts w:hint="eastAsia" w:ascii="MS UI Gothic" w:eastAsia="MS UI Gothic"/>
          <w:w w:val="95"/>
        </w:rPr>
        <w:t xml:space="preserve">１ </w:t>
      </w:r>
      <w:r>
        <w:rPr>
          <w:w w:val="95"/>
        </w:rPr>
        <w:t>套</w:t>
      </w:r>
      <w:r>
        <w:rPr>
          <w:rFonts w:hint="eastAsia" w:ascii="MS UI Gothic" w:eastAsia="MS UI Gothic"/>
          <w:w w:val="80"/>
        </w:rPr>
        <w:t>ꎻ</w:t>
      </w:r>
    </w:p>
    <w:p>
      <w:pPr>
        <w:pStyle w:val="6"/>
        <w:spacing w:before="52"/>
        <w:ind w:left="0" w:right="38" w:firstLine="0"/>
        <w:jc w:val="right"/>
      </w:pPr>
      <w:r>
        <w:rPr>
          <w:rFonts w:hint="eastAsia" w:ascii="MS UI Gothic" w:eastAsia="MS UI Gothic"/>
          <w:spacing w:val="-37"/>
          <w:w w:val="150"/>
        </w:rPr>
        <w:t xml:space="preserve">( </w:t>
      </w:r>
      <w:r>
        <w:rPr>
          <w:spacing w:val="42"/>
          <w:w w:val="115"/>
        </w:rPr>
        <w:t>三</w:t>
      </w:r>
      <w:r>
        <w:rPr>
          <w:rFonts w:hint="eastAsia" w:ascii="MS UI Gothic" w:eastAsia="MS UI Gothic"/>
          <w:spacing w:val="13"/>
          <w:w w:val="150"/>
        </w:rPr>
        <w:t xml:space="preserve">) </w:t>
      </w:r>
      <w:r>
        <w:rPr>
          <w:spacing w:val="-36"/>
          <w:w w:val="115"/>
        </w:rPr>
        <w:t>探 测 器 件 的 灵 敏 度 达 到</w:t>
      </w:r>
    </w:p>
    <w:p>
      <w:pPr>
        <w:pStyle w:val="6"/>
        <w:spacing w:before="48"/>
        <w:ind w:left="118" w:firstLine="0"/>
        <w:rPr>
          <w:rFonts w:hint="eastAsia" w:ascii="MS UI Gothic" w:eastAsia="MS UI Gothic"/>
        </w:rPr>
      </w:pPr>
      <w:r>
        <w:rPr>
          <w:rFonts w:hint="eastAsia" w:ascii="MS UI Gothic" w:eastAsia="MS UI Gothic"/>
          <w:w w:val="75"/>
        </w:rPr>
        <w:t>７</w:t>
      </w:r>
      <w:r>
        <w:rPr>
          <w:rFonts w:hint="eastAsia" w:ascii="MS UI Gothic" w:eastAsia="MS UI Gothic"/>
          <w:spacing w:val="-10"/>
        </w:rPr>
        <w:t xml:space="preserve"> </w:t>
      </w:r>
      <w:r>
        <w:rPr>
          <w:rFonts w:hint="eastAsia" w:ascii="MS UI Gothic" w:eastAsia="MS UI Gothic"/>
          <w:w w:val="75"/>
        </w:rPr>
        <w:t>５</w:t>
      </w:r>
      <w:r>
        <w:rPr>
          <w:rFonts w:hint="eastAsia" w:ascii="MS UI Gothic" w:eastAsia="MS UI Gothic"/>
          <w:spacing w:val="14"/>
        </w:rPr>
        <w:t xml:space="preserve"> </w:t>
      </w:r>
      <w:r>
        <w:rPr>
          <w:rFonts w:hint="eastAsia" w:ascii="MS UI Gothic" w:eastAsia="MS UI Gothic"/>
          <w:spacing w:val="-1"/>
          <w:w w:val="79"/>
        </w:rPr>
        <w:t>ｍ</w:t>
      </w:r>
      <w:r>
        <w:rPr>
          <w:rFonts w:hint="eastAsia" w:ascii="MS UI Gothic" w:eastAsia="MS UI Gothic"/>
          <w:w w:val="78"/>
        </w:rPr>
        <w:t>ｇ</w:t>
      </w:r>
      <w:r>
        <w:rPr>
          <w:rFonts w:hint="eastAsia" w:ascii="MS UI Gothic" w:eastAsia="MS UI Gothic"/>
          <w:spacing w:val="-30"/>
        </w:rPr>
        <w:t xml:space="preserve"> </w:t>
      </w:r>
      <w:r>
        <w:rPr>
          <w:rFonts w:hint="eastAsia" w:ascii="MS UI Gothic" w:eastAsia="MS UI Gothic"/>
          <w:w w:val="34"/>
        </w:rPr>
        <w:t>/</w:t>
      </w:r>
      <w:r>
        <w:rPr>
          <w:rFonts w:hint="eastAsia" w:ascii="MS UI Gothic" w:eastAsia="MS UI Gothic"/>
          <w:spacing w:val="-16"/>
        </w:rPr>
        <w:t xml:space="preserve"> </w:t>
      </w:r>
      <w:r>
        <w:rPr>
          <w:rFonts w:hint="eastAsia" w:ascii="MS UI Gothic" w:eastAsia="MS UI Gothic"/>
          <w:spacing w:val="6"/>
          <w:w w:val="79"/>
        </w:rPr>
        <w:t>ｍ</w:t>
      </w:r>
      <w:r>
        <w:rPr>
          <w:rFonts w:hint="eastAsia" w:ascii="MS UI Gothic" w:eastAsia="MS UI Gothic"/>
          <w:w w:val="72"/>
          <w:position w:val="9"/>
          <w:sz w:val="12"/>
        </w:rPr>
        <w:t>３</w:t>
      </w:r>
      <w:r>
        <w:rPr>
          <w:rFonts w:hint="eastAsia" w:ascii="MS UI Gothic" w:eastAsia="MS UI Gothic"/>
          <w:spacing w:val="7"/>
          <w:position w:val="9"/>
          <w:sz w:val="12"/>
        </w:rPr>
        <w:t xml:space="preserve">  </w:t>
      </w:r>
      <w:r>
        <w:rPr>
          <w:rFonts w:hint="eastAsia" w:ascii="MS UI Gothic" w:eastAsia="MS UI Gothic"/>
          <w:spacing w:val="15"/>
          <w:w w:val="168"/>
        </w:rPr>
        <w:t>(</w:t>
      </w:r>
      <w:r>
        <w:rPr>
          <w:rFonts w:hint="eastAsia" w:ascii="MS UI Gothic" w:eastAsia="MS UI Gothic"/>
          <w:w w:val="75"/>
        </w:rPr>
        <w:t>５</w:t>
      </w:r>
      <w:r>
        <w:rPr>
          <w:rFonts w:hint="eastAsia" w:ascii="MS UI Gothic" w:eastAsia="MS UI Gothic"/>
          <w:spacing w:val="14"/>
        </w:rPr>
        <w:t xml:space="preserve"> </w:t>
      </w:r>
      <w:r>
        <w:rPr>
          <w:rFonts w:hint="eastAsia" w:ascii="MS UI Gothic" w:eastAsia="MS UI Gothic"/>
          <w:w w:val="84"/>
        </w:rPr>
        <w:t>ｐｐ</w:t>
      </w:r>
      <w:r>
        <w:rPr>
          <w:rFonts w:hint="eastAsia" w:ascii="MS UI Gothic" w:eastAsia="MS UI Gothic"/>
          <w:spacing w:val="4"/>
          <w:w w:val="79"/>
        </w:rPr>
        <w:t>ｍ</w:t>
      </w:r>
      <w:r>
        <w:rPr>
          <w:rFonts w:hint="eastAsia" w:ascii="MS UI Gothic" w:eastAsia="MS UI Gothic"/>
          <w:w w:val="168"/>
        </w:rPr>
        <w:t>)</w:t>
      </w:r>
      <w:r>
        <w:rPr>
          <w:rFonts w:hint="eastAsia" w:ascii="MS UI Gothic" w:eastAsia="MS UI Gothic"/>
          <w:spacing w:val="-40"/>
        </w:rPr>
        <w:t xml:space="preserve"> </w:t>
      </w:r>
      <w:r>
        <w:rPr>
          <w:rFonts w:hint="eastAsia" w:ascii="MS UI Gothic" w:eastAsia="MS UI Gothic"/>
          <w:w w:val="51"/>
        </w:rPr>
        <w:t>ꎻ</w:t>
      </w:r>
    </w:p>
    <w:p>
      <w:pPr>
        <w:pStyle w:val="6"/>
        <w:spacing w:before="58" w:line="295" w:lineRule="auto"/>
        <w:ind w:right="38"/>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储备足够数量的硫化氢检测样品</w:t>
      </w:r>
      <w:r>
        <w:rPr>
          <w:rFonts w:hint="eastAsia" w:ascii="MS UI Gothic" w:eastAsia="MS UI Gothic"/>
          <w:w w:val="80"/>
        </w:rPr>
        <w:t xml:space="preserve">ꎬ </w:t>
      </w:r>
      <w:r>
        <w:rPr>
          <w:w w:val="105"/>
        </w:rPr>
        <w:t>以便随时检测探头</w:t>
      </w:r>
      <w:r>
        <w:rPr>
          <w:rFonts w:hint="eastAsia" w:ascii="MS UI Gothic" w:eastAsia="MS UI Gothic"/>
          <w:w w:val="80"/>
        </w:rPr>
        <w:t>ꎮ</w:t>
      </w:r>
    </w:p>
    <w:p>
      <w:pPr>
        <w:pStyle w:val="6"/>
        <w:spacing w:line="255" w:lineRule="exact"/>
        <w:ind w:left="543" w:firstLine="0"/>
        <w:jc w:val="left"/>
        <w:rPr>
          <w:rFonts w:hint="eastAsia" w:ascii="MS UI Gothic" w:eastAsia="MS UI Gothic"/>
        </w:rPr>
      </w:pPr>
      <w:r>
        <w:rPr>
          <w:w w:val="110"/>
        </w:rPr>
        <w:t>人员保护器具应当符合下列规定</w:t>
      </w:r>
      <w:r>
        <w:rPr>
          <w:rFonts w:hint="eastAsia" w:ascii="MS UI Gothic" w:eastAsia="MS UI Gothic"/>
          <w:w w:val="110"/>
        </w:rPr>
        <w:t>:</w:t>
      </w:r>
    </w:p>
    <w:p>
      <w:pPr>
        <w:pStyle w:val="6"/>
        <w:spacing w:before="58"/>
        <w:ind w:left="0" w:right="38" w:firstLine="0"/>
        <w:jc w:val="right"/>
      </w:pPr>
      <w:r>
        <w:rPr>
          <w:rFonts w:hint="eastAsia" w:ascii="MS UI Gothic" w:eastAsia="MS UI Gothic"/>
          <w:spacing w:val="-31"/>
          <w:w w:val="110"/>
        </w:rPr>
        <w:t xml:space="preserve">( </w:t>
      </w:r>
      <w:r>
        <w:rPr>
          <w:spacing w:val="3"/>
          <w:w w:val="110"/>
        </w:rPr>
        <w:t>一</w:t>
      </w:r>
      <w:r>
        <w:rPr>
          <w:rFonts w:hint="eastAsia" w:ascii="MS UI Gothic" w:eastAsia="MS UI Gothic"/>
          <w:spacing w:val="-13"/>
          <w:w w:val="110"/>
        </w:rPr>
        <w:t xml:space="preserve">) </w:t>
      </w:r>
      <w:r>
        <w:rPr>
          <w:spacing w:val="5"/>
          <w:w w:val="110"/>
        </w:rPr>
        <w:t>通常情况下</w:t>
      </w:r>
      <w:r>
        <w:rPr>
          <w:rFonts w:hint="eastAsia" w:ascii="MS UI Gothic" w:eastAsia="MS UI Gothic"/>
          <w:spacing w:val="-6"/>
          <w:w w:val="80"/>
        </w:rPr>
        <w:t xml:space="preserve">ꎬ </w:t>
      </w:r>
      <w:r>
        <w:rPr>
          <w:spacing w:val="9"/>
          <w:w w:val="110"/>
        </w:rPr>
        <w:t>钻井装置上配备</w:t>
      </w:r>
    </w:p>
    <w:p>
      <w:pPr>
        <w:pStyle w:val="6"/>
        <w:spacing w:before="59"/>
        <w:ind w:left="0" w:right="38" w:firstLine="0"/>
        <w:jc w:val="right"/>
      </w:pPr>
      <w:r>
        <w:rPr>
          <w:rFonts w:hint="eastAsia" w:ascii="MS UI Gothic" w:eastAsia="MS UI Gothic"/>
          <w:spacing w:val="-11"/>
          <w:w w:val="85"/>
        </w:rPr>
        <w:t xml:space="preserve">１５ </w:t>
      </w:r>
      <w:r>
        <w:rPr>
          <w:rFonts w:hint="eastAsia" w:ascii="MS UI Gothic" w:eastAsia="MS UI Gothic"/>
          <w:w w:val="115"/>
        </w:rPr>
        <w:t>~</w:t>
      </w:r>
      <w:r>
        <w:rPr>
          <w:rFonts w:hint="eastAsia" w:ascii="MS UI Gothic" w:eastAsia="MS UI Gothic"/>
          <w:spacing w:val="-42"/>
          <w:w w:val="115"/>
        </w:rPr>
        <w:t xml:space="preserve"> </w:t>
      </w:r>
      <w:r>
        <w:rPr>
          <w:rFonts w:hint="eastAsia" w:ascii="MS UI Gothic" w:eastAsia="MS UI Gothic"/>
          <w:spacing w:val="1"/>
          <w:w w:val="85"/>
        </w:rPr>
        <w:t xml:space="preserve">２０ </w:t>
      </w:r>
      <w:r>
        <w:rPr>
          <w:spacing w:val="17"/>
        </w:rPr>
        <w:t>套正压式空气呼吸器</w:t>
      </w:r>
      <w:r>
        <w:rPr>
          <w:rFonts w:hint="eastAsia" w:ascii="MS UI Gothic" w:eastAsia="MS UI Gothic"/>
          <w:spacing w:val="17"/>
          <w:w w:val="85"/>
        </w:rPr>
        <w:t xml:space="preserve">ꎮ </w:t>
      </w:r>
      <w:r>
        <w:rPr>
          <w:spacing w:val="12"/>
        </w:rPr>
        <w:t>其中</w:t>
      </w:r>
      <w:r>
        <w:rPr>
          <w:rFonts w:hint="eastAsia" w:ascii="MS UI Gothic" w:eastAsia="MS UI Gothic"/>
          <w:spacing w:val="17"/>
          <w:w w:val="85"/>
        </w:rPr>
        <w:t xml:space="preserve">ꎬ </w:t>
      </w:r>
      <w:r>
        <w:t>生</w:t>
      </w:r>
    </w:p>
    <w:p>
      <w:pPr>
        <w:pStyle w:val="6"/>
        <w:spacing w:before="58" w:line="295" w:lineRule="auto"/>
        <w:ind w:right="38" w:firstLine="0"/>
        <w:rPr>
          <w:rFonts w:hint="eastAsia" w:ascii="MS UI Gothic" w:eastAsia="MS UI Gothic"/>
        </w:rPr>
      </w:pPr>
      <w:r>
        <w:rPr>
          <w:spacing w:val="-17"/>
        </w:rPr>
        <w:t xml:space="preserve">活区 </w:t>
      </w:r>
      <w:r>
        <w:rPr>
          <w:rFonts w:hint="eastAsia" w:ascii="MS UI Gothic" w:eastAsia="MS UI Gothic"/>
          <w:spacing w:val="-8"/>
          <w:w w:val="80"/>
        </w:rPr>
        <w:t xml:space="preserve">６ </w:t>
      </w:r>
      <w:r>
        <w:rPr>
          <w:rFonts w:hint="eastAsia" w:ascii="MS UI Gothic" w:eastAsia="MS UI Gothic"/>
          <w:w w:val="120"/>
        </w:rPr>
        <w:t xml:space="preserve">~ </w:t>
      </w:r>
      <w:r>
        <w:rPr>
          <w:rFonts w:hint="eastAsia" w:ascii="MS UI Gothic" w:eastAsia="MS UI Gothic"/>
          <w:spacing w:val="5"/>
          <w:w w:val="80"/>
        </w:rPr>
        <w:t xml:space="preserve">９ </w:t>
      </w:r>
      <w:r>
        <w:rPr>
          <w:spacing w:val="3"/>
        </w:rPr>
        <w:t>套</w:t>
      </w:r>
      <w:r>
        <w:rPr>
          <w:rFonts w:hint="eastAsia" w:ascii="MS UI Gothic" w:eastAsia="MS UI Gothic"/>
          <w:spacing w:val="2"/>
          <w:w w:val="80"/>
        </w:rPr>
        <w:t xml:space="preserve">ꎬ </w:t>
      </w:r>
      <w:r>
        <w:rPr>
          <w:spacing w:val="-8"/>
        </w:rPr>
        <w:t xml:space="preserve">钻台上 </w:t>
      </w:r>
      <w:r>
        <w:rPr>
          <w:rFonts w:hint="eastAsia" w:ascii="MS UI Gothic" w:eastAsia="MS UI Gothic"/>
          <w:spacing w:val="-9"/>
          <w:w w:val="80"/>
        </w:rPr>
        <w:t xml:space="preserve">５ </w:t>
      </w:r>
      <w:r>
        <w:rPr>
          <w:rFonts w:hint="eastAsia" w:ascii="MS UI Gothic" w:eastAsia="MS UI Gothic"/>
          <w:w w:val="120"/>
        </w:rPr>
        <w:t xml:space="preserve">~ </w:t>
      </w:r>
      <w:r>
        <w:rPr>
          <w:rFonts w:hint="eastAsia" w:ascii="MS UI Gothic" w:eastAsia="MS UI Gothic"/>
          <w:spacing w:val="5"/>
          <w:w w:val="80"/>
        </w:rPr>
        <w:t xml:space="preserve">６ </w:t>
      </w:r>
      <w:r>
        <w:rPr>
          <w:spacing w:val="3"/>
        </w:rPr>
        <w:t>套</w:t>
      </w:r>
      <w:r>
        <w:rPr>
          <w:rFonts w:hint="eastAsia" w:ascii="MS UI Gothic" w:eastAsia="MS UI Gothic"/>
          <w:spacing w:val="2"/>
          <w:w w:val="80"/>
        </w:rPr>
        <w:t xml:space="preserve">ꎬ </w:t>
      </w:r>
      <w:r>
        <w:rPr>
          <w:spacing w:val="6"/>
        </w:rPr>
        <w:t>井液池附</w:t>
      </w:r>
      <w:r>
        <w:rPr>
          <w:spacing w:val="4"/>
        </w:rPr>
        <w:t xml:space="preserve">近 </w:t>
      </w:r>
      <w:r>
        <w:rPr>
          <w:rFonts w:hint="eastAsia" w:ascii="MS UI Gothic" w:eastAsia="MS UI Gothic"/>
          <w:spacing w:val="-36"/>
          <w:w w:val="150"/>
        </w:rPr>
        <w:t xml:space="preserve">( </w:t>
      </w:r>
      <w:r>
        <w:rPr>
          <w:spacing w:val="9"/>
        </w:rPr>
        <w:t>泥浆舱</w:t>
      </w:r>
      <w:r>
        <w:rPr>
          <w:rFonts w:hint="eastAsia" w:ascii="MS UI Gothic" w:eastAsia="MS UI Gothic"/>
          <w:spacing w:val="16"/>
          <w:w w:val="150"/>
        </w:rPr>
        <w:t xml:space="preserve">) </w:t>
      </w:r>
      <w:r>
        <w:rPr>
          <w:rFonts w:hint="eastAsia" w:ascii="MS UI Gothic" w:eastAsia="MS UI Gothic"/>
          <w:spacing w:val="11"/>
          <w:w w:val="80"/>
        </w:rPr>
        <w:t xml:space="preserve">２ </w:t>
      </w:r>
      <w:r>
        <w:rPr>
          <w:spacing w:val="3"/>
        </w:rPr>
        <w:t>套</w:t>
      </w:r>
      <w:r>
        <w:rPr>
          <w:rFonts w:hint="eastAsia" w:ascii="MS UI Gothic" w:eastAsia="MS UI Gothic"/>
          <w:spacing w:val="6"/>
          <w:w w:val="80"/>
        </w:rPr>
        <w:t xml:space="preserve">ꎬ </w:t>
      </w:r>
      <w:r>
        <w:t xml:space="preserve">录井房 </w:t>
      </w:r>
      <w:r>
        <w:rPr>
          <w:rFonts w:hint="eastAsia" w:ascii="MS UI Gothic" w:eastAsia="MS UI Gothic"/>
          <w:spacing w:val="-4"/>
          <w:w w:val="80"/>
        </w:rPr>
        <w:t xml:space="preserve">２ </w:t>
      </w:r>
      <w:r>
        <w:rPr>
          <w:rFonts w:hint="eastAsia" w:ascii="MS UI Gothic" w:eastAsia="MS UI Gothic"/>
          <w:w w:val="120"/>
        </w:rPr>
        <w:t xml:space="preserve">~ </w:t>
      </w:r>
      <w:r>
        <w:rPr>
          <w:rFonts w:hint="eastAsia" w:ascii="MS UI Gothic" w:eastAsia="MS UI Gothic"/>
          <w:spacing w:val="11"/>
          <w:w w:val="80"/>
        </w:rPr>
        <w:t xml:space="preserve">３ </w:t>
      </w:r>
      <w:r>
        <w:rPr>
          <w:spacing w:val="3"/>
        </w:rPr>
        <w:t>套</w:t>
      </w:r>
      <w:r>
        <w:rPr>
          <w:rFonts w:hint="eastAsia" w:ascii="MS UI Gothic" w:eastAsia="MS UI Gothic"/>
          <w:spacing w:val="6"/>
          <w:w w:val="80"/>
        </w:rPr>
        <w:t xml:space="preserve">ꎮ </w:t>
      </w:r>
      <w:r>
        <w:t>钻</w:t>
      </w:r>
      <w:r>
        <w:rPr>
          <w:spacing w:val="3"/>
        </w:rPr>
        <w:t>进已知含硫化氢地层前</w:t>
      </w:r>
      <w:r>
        <w:rPr>
          <w:rFonts w:hint="eastAsia" w:ascii="MS UI Gothic" w:eastAsia="MS UI Gothic"/>
          <w:spacing w:val="21"/>
          <w:w w:val="80"/>
        </w:rPr>
        <w:t xml:space="preserve">ꎬ </w:t>
      </w:r>
      <w:r>
        <w:rPr>
          <w:spacing w:val="2"/>
        </w:rPr>
        <w:t>或者临时钻遇含</w:t>
      </w:r>
      <w:r>
        <w:rPr>
          <w:spacing w:val="3"/>
        </w:rPr>
        <w:t>硫化氢地层时</w:t>
      </w:r>
      <w:r>
        <w:rPr>
          <w:rFonts w:hint="eastAsia" w:ascii="MS UI Gothic" w:eastAsia="MS UI Gothic"/>
          <w:spacing w:val="21"/>
          <w:w w:val="80"/>
        </w:rPr>
        <w:t xml:space="preserve">ꎬ </w:t>
      </w:r>
      <w:r>
        <w:rPr>
          <w:spacing w:val="2"/>
        </w:rPr>
        <w:t>钻井装置上配备供全员使</w:t>
      </w:r>
      <w:r>
        <w:rPr>
          <w:spacing w:val="3"/>
        </w:rPr>
        <w:t>用的正压式空气呼吸器</w:t>
      </w:r>
      <w:r>
        <w:rPr>
          <w:rFonts w:hint="eastAsia" w:ascii="MS UI Gothic" w:eastAsia="MS UI Gothic"/>
          <w:spacing w:val="21"/>
          <w:w w:val="80"/>
        </w:rPr>
        <w:t xml:space="preserve">ꎬ </w:t>
      </w:r>
      <w:r>
        <w:rPr>
          <w:spacing w:val="2"/>
        </w:rPr>
        <w:t>并配备足够的备</w:t>
      </w:r>
      <w:r>
        <w:rPr>
          <w:spacing w:val="3"/>
        </w:rPr>
        <w:t>用气瓶</w:t>
      </w:r>
      <w:r>
        <w:rPr>
          <w:rFonts w:hint="eastAsia" w:ascii="MS UI Gothic" w:eastAsia="MS UI Gothic"/>
          <w:w w:val="80"/>
        </w:rPr>
        <w:t>ꎻ</w:t>
      </w:r>
    </w:p>
    <w:p>
      <w:pPr>
        <w:pStyle w:val="6"/>
        <w:spacing w:line="295" w:lineRule="auto"/>
        <w:ind w:right="1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 xml:space="preserve">钻井装置上配备 </w:t>
      </w:r>
      <w:r>
        <w:rPr>
          <w:rFonts w:hint="eastAsia" w:ascii="MS UI Gothic" w:eastAsia="MS UI Gothic"/>
          <w:w w:val="80"/>
        </w:rPr>
        <w:t xml:space="preserve">１ </w:t>
      </w:r>
      <w:r>
        <w:rPr>
          <w:w w:val="105"/>
        </w:rPr>
        <w:t>台呼吸器空气压缩机</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医务室配备处理硫化氢中毒的</w:t>
      </w:r>
      <w:r>
        <w:rPr>
          <w:spacing w:val="3"/>
          <w:w w:val="105"/>
        </w:rPr>
        <w:t>医疗用品</w:t>
      </w:r>
      <w:r>
        <w:rPr>
          <w:rFonts w:hint="eastAsia" w:ascii="MS UI Gothic" w:eastAsia="MS UI Gothic"/>
          <w:spacing w:val="21"/>
          <w:w w:val="80"/>
        </w:rPr>
        <w:t xml:space="preserve">、 </w:t>
      </w:r>
      <w:r>
        <w:rPr>
          <w:spacing w:val="3"/>
          <w:w w:val="105"/>
        </w:rPr>
        <w:t>心肺复苏器和氧气瓶</w:t>
      </w:r>
      <w:r>
        <w:rPr>
          <w:rFonts w:hint="eastAsia" w:ascii="MS UI Gothic" w:eastAsia="MS UI Gothic"/>
          <w:w w:val="80"/>
        </w:rPr>
        <w:t>ꎮ</w:t>
      </w:r>
    </w:p>
    <w:p>
      <w:pPr>
        <w:pStyle w:val="6"/>
        <w:spacing w:line="255" w:lineRule="exact"/>
        <w:ind w:left="543" w:firstLine="0"/>
        <w:jc w:val="left"/>
        <w:rPr>
          <w:rFonts w:hint="eastAsia" w:ascii="MS UI Gothic" w:eastAsia="MS UI Gothic"/>
        </w:rPr>
      </w:pPr>
      <w:r>
        <w:rPr>
          <w:spacing w:val="3"/>
          <w:w w:val="105"/>
        </w:rPr>
        <w:t>标志信号应当符合下列规定</w:t>
      </w:r>
      <w:r>
        <w:rPr>
          <w:rFonts w:hint="eastAsia" w:ascii="MS UI Gothic" w:eastAsia="MS UI Gothic"/>
          <w:w w:val="105"/>
        </w:rPr>
        <w:t>:</w:t>
      </w:r>
    </w:p>
    <w:p>
      <w:pPr>
        <w:pStyle w:val="6"/>
        <w:spacing w:before="52"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在人员易于看见的位置</w:t>
      </w:r>
      <w:r>
        <w:rPr>
          <w:rFonts w:hint="eastAsia" w:ascii="MS UI Gothic" w:eastAsia="MS UI Gothic"/>
          <w:w w:val="80"/>
        </w:rPr>
        <w:t xml:space="preserve">ꎬ </w:t>
      </w:r>
      <w:r>
        <w:rPr>
          <w:w w:val="105"/>
        </w:rPr>
        <w:t>安装风向标</w:t>
      </w:r>
      <w:r>
        <w:rPr>
          <w:rFonts w:hint="eastAsia" w:ascii="MS UI Gothic" w:eastAsia="MS UI Gothic"/>
          <w:w w:val="80"/>
        </w:rPr>
        <w:t xml:space="preserve">、 </w:t>
      </w:r>
      <w:r>
        <w:rPr>
          <w:w w:val="105"/>
        </w:rPr>
        <w:t>风速仪</w:t>
      </w:r>
      <w:r>
        <w:rPr>
          <w:rFonts w:hint="eastAsia" w:ascii="MS UI Gothic" w:eastAsia="MS UI Gothic"/>
          <w:w w:val="80"/>
        </w:rPr>
        <w:t>ꎻ</w:t>
      </w:r>
    </w:p>
    <w:p>
      <w:pPr>
        <w:pStyle w:val="6"/>
        <w:spacing w:line="290" w:lineRule="auto"/>
        <w:ind w:left="118" w:right="38" w:firstLine="425"/>
        <w:rPr>
          <w:rFonts w:hint="eastAsia" w:ascii="MS UI Gothic" w:eastAsia="MS UI Gothic"/>
        </w:rPr>
      </w:pPr>
      <w:r>
        <w:rPr>
          <w:rFonts w:hint="eastAsia" w:ascii="MS UI Gothic" w:eastAsia="MS UI Gothic"/>
          <w:w w:val="140"/>
        </w:rPr>
        <w:t xml:space="preserve">( </w:t>
      </w:r>
      <w:r>
        <w:t>二</w:t>
      </w:r>
      <w:r>
        <w:rPr>
          <w:rFonts w:hint="eastAsia" w:ascii="MS UI Gothic" w:eastAsia="MS UI Gothic"/>
          <w:w w:val="140"/>
        </w:rPr>
        <w:t xml:space="preserve">) </w:t>
      </w:r>
      <w:r>
        <w:t>当空气中含硫化氢浓度小于</w:t>
      </w:r>
      <w:r>
        <w:rPr>
          <w:rFonts w:hint="eastAsia" w:ascii="MS UI Gothic" w:eastAsia="MS UI Gothic"/>
          <w:w w:val="75"/>
        </w:rPr>
        <w:t>１５</w:t>
      </w:r>
      <w:r>
        <w:rPr>
          <w:rFonts w:hint="eastAsia" w:ascii="MS UI Gothic" w:eastAsia="MS UI Gothic"/>
        </w:rPr>
        <w:t xml:space="preserve"> </w:t>
      </w:r>
      <w:r>
        <w:rPr>
          <w:rFonts w:hint="eastAsia" w:ascii="MS UI Gothic" w:eastAsia="MS UI Gothic"/>
          <w:w w:val="79"/>
        </w:rPr>
        <w:t>ｍ</w:t>
      </w:r>
      <w:r>
        <w:rPr>
          <w:rFonts w:hint="eastAsia" w:ascii="MS UI Gothic" w:eastAsia="MS UI Gothic"/>
          <w:w w:val="78"/>
        </w:rPr>
        <w:t>ｇ</w:t>
      </w:r>
      <w:r>
        <w:rPr>
          <w:rFonts w:hint="eastAsia" w:ascii="MS UI Gothic" w:eastAsia="MS UI Gothic"/>
        </w:rPr>
        <w:t xml:space="preserve"> </w:t>
      </w:r>
      <w:r>
        <w:rPr>
          <w:rFonts w:hint="eastAsia" w:ascii="MS UI Gothic" w:eastAsia="MS UI Gothic"/>
          <w:w w:val="34"/>
        </w:rPr>
        <w:t>/</w:t>
      </w:r>
      <w:r>
        <w:rPr>
          <w:rFonts w:hint="eastAsia" w:ascii="MS UI Gothic" w:eastAsia="MS UI Gothic"/>
        </w:rPr>
        <w:t xml:space="preserve"> </w:t>
      </w:r>
      <w:r>
        <w:rPr>
          <w:rFonts w:hint="eastAsia" w:ascii="MS UI Gothic" w:eastAsia="MS UI Gothic"/>
          <w:w w:val="79"/>
        </w:rPr>
        <w:t>ｍ</w:t>
      </w:r>
      <w:r>
        <w:rPr>
          <w:rFonts w:hint="eastAsia" w:ascii="MS UI Gothic" w:eastAsia="MS UI Gothic"/>
          <w:w w:val="72"/>
          <w:position w:val="9"/>
          <w:sz w:val="12"/>
        </w:rPr>
        <w:t>３</w:t>
      </w:r>
      <w:r>
        <w:rPr>
          <w:rFonts w:hint="eastAsia" w:ascii="MS UI Gothic" w:eastAsia="MS UI Gothic"/>
          <w:position w:val="9"/>
          <w:sz w:val="12"/>
        </w:rPr>
        <w:t xml:space="preserve">   </w:t>
      </w:r>
      <w:r>
        <w:rPr>
          <w:rFonts w:hint="eastAsia" w:ascii="MS UI Gothic" w:eastAsia="MS UI Gothic"/>
          <w:w w:val="168"/>
        </w:rPr>
        <w:t>(</w:t>
      </w:r>
      <w:r>
        <w:rPr>
          <w:rFonts w:hint="eastAsia" w:ascii="MS UI Gothic" w:eastAsia="MS UI Gothic"/>
          <w:w w:val="75"/>
        </w:rPr>
        <w:t>１０</w:t>
      </w:r>
      <w:r>
        <w:rPr>
          <w:rFonts w:hint="eastAsia" w:ascii="MS UI Gothic" w:eastAsia="MS UI Gothic"/>
        </w:rPr>
        <w:t xml:space="preserve"> </w:t>
      </w:r>
      <w:r>
        <w:rPr>
          <w:rFonts w:hint="eastAsia" w:ascii="MS UI Gothic" w:eastAsia="MS UI Gothic"/>
          <w:w w:val="84"/>
        </w:rPr>
        <w:t>ｐｐ</w:t>
      </w:r>
      <w:r>
        <w:rPr>
          <w:rFonts w:hint="eastAsia" w:ascii="MS UI Gothic" w:eastAsia="MS UI Gothic"/>
          <w:w w:val="79"/>
        </w:rPr>
        <w:t>ｍ</w:t>
      </w:r>
      <w:r>
        <w:rPr>
          <w:rFonts w:hint="eastAsia" w:ascii="MS UI Gothic" w:eastAsia="MS UI Gothic"/>
          <w:w w:val="168"/>
        </w:rPr>
        <w:t>)</w:t>
      </w:r>
      <w:r>
        <w:rPr>
          <w:rFonts w:hint="eastAsia" w:ascii="MS UI Gothic" w:eastAsia="MS UI Gothic"/>
        </w:rPr>
        <w:t xml:space="preserve">  </w:t>
      </w:r>
      <w:r>
        <w:rPr>
          <w:w w:val="102"/>
        </w:rPr>
        <w:t>时</w:t>
      </w:r>
      <w:r>
        <w:rPr>
          <w:rFonts w:hint="eastAsia" w:ascii="MS UI Gothic" w:eastAsia="MS UI Gothic"/>
          <w:w w:val="51"/>
        </w:rPr>
        <w:t>ꎬ</w:t>
      </w:r>
      <w:r>
        <w:rPr>
          <w:rFonts w:hint="eastAsia" w:ascii="MS UI Gothic" w:eastAsia="MS UI Gothic"/>
        </w:rPr>
        <w:t xml:space="preserve">  </w:t>
      </w:r>
      <w:r>
        <w:rPr>
          <w:w w:val="102"/>
        </w:rPr>
        <w:t>挂标有硫化氢</w:t>
      </w:r>
      <w:r>
        <w:t>字样的绿牌</w:t>
      </w:r>
      <w:r>
        <w:rPr>
          <w:rFonts w:hint="eastAsia" w:ascii="MS UI Gothic" w:eastAsia="MS UI Gothic"/>
          <w:w w:val="90"/>
        </w:rPr>
        <w:t>ꎻ</w:t>
      </w:r>
    </w:p>
    <w:p>
      <w:pPr>
        <w:pStyle w:val="6"/>
        <w:spacing w:before="1" w:line="290" w:lineRule="auto"/>
        <w:ind w:left="118" w:right="38" w:firstLine="425"/>
        <w:rPr>
          <w:rFonts w:hint="eastAsia" w:ascii="MS UI Gothic" w:eastAsia="MS UI Gothic"/>
        </w:rPr>
      </w:pPr>
      <w:r>
        <w:rPr>
          <w:rFonts w:hint="eastAsia" w:ascii="MS UI Gothic" w:eastAsia="MS UI Gothic"/>
          <w:spacing w:val="-26"/>
          <w:w w:val="140"/>
        </w:rPr>
        <w:t xml:space="preserve">( </w:t>
      </w:r>
      <w:r>
        <w:rPr>
          <w:spacing w:val="5"/>
        </w:rPr>
        <w:t>三</w:t>
      </w:r>
      <w:r>
        <w:rPr>
          <w:rFonts w:hint="eastAsia" w:ascii="MS UI Gothic" w:eastAsia="MS UI Gothic"/>
          <w:spacing w:val="26"/>
          <w:w w:val="140"/>
        </w:rPr>
        <w:t xml:space="preserve">) </w:t>
      </w:r>
      <w:r>
        <w:rPr>
          <w:spacing w:val="23"/>
        </w:rPr>
        <w:t>当空气中含硫化氢浓度处于</w:t>
      </w:r>
      <w:r>
        <w:rPr>
          <w:rFonts w:hint="eastAsia" w:ascii="MS UI Gothic" w:eastAsia="MS UI Gothic"/>
          <w:w w:val="75"/>
        </w:rPr>
        <w:t>１５</w:t>
      </w:r>
      <w:r>
        <w:rPr>
          <w:rFonts w:hint="eastAsia" w:ascii="MS UI Gothic" w:eastAsia="MS UI Gothic"/>
          <w:spacing w:val="-34"/>
        </w:rPr>
        <w:t xml:space="preserve"> </w:t>
      </w:r>
      <w:r>
        <w:rPr>
          <w:rFonts w:hint="eastAsia" w:ascii="MS UI Gothic" w:eastAsia="MS UI Gothic"/>
          <w:w w:val="136"/>
        </w:rPr>
        <w:t>~</w:t>
      </w:r>
      <w:r>
        <w:rPr>
          <w:rFonts w:hint="eastAsia" w:ascii="MS UI Gothic" w:eastAsia="MS UI Gothic"/>
          <w:spacing w:val="-35"/>
        </w:rPr>
        <w:t xml:space="preserve"> </w:t>
      </w:r>
      <w:r>
        <w:rPr>
          <w:rFonts w:hint="eastAsia" w:ascii="MS UI Gothic" w:eastAsia="MS UI Gothic"/>
          <w:w w:val="75"/>
        </w:rPr>
        <w:t>３０</w:t>
      </w:r>
      <w:r>
        <w:rPr>
          <w:rFonts w:hint="eastAsia" w:ascii="MS UI Gothic" w:eastAsia="MS UI Gothic"/>
          <w:spacing w:val="14"/>
        </w:rPr>
        <w:t xml:space="preserve"> </w:t>
      </w:r>
      <w:r>
        <w:rPr>
          <w:rFonts w:hint="eastAsia" w:ascii="MS UI Gothic" w:eastAsia="MS UI Gothic"/>
          <w:spacing w:val="-1"/>
          <w:w w:val="79"/>
        </w:rPr>
        <w:t>ｍ</w:t>
      </w:r>
      <w:r>
        <w:rPr>
          <w:rFonts w:hint="eastAsia" w:ascii="MS UI Gothic" w:eastAsia="MS UI Gothic"/>
          <w:w w:val="78"/>
        </w:rPr>
        <w:t>ｇ</w:t>
      </w:r>
      <w:r>
        <w:rPr>
          <w:rFonts w:hint="eastAsia" w:ascii="MS UI Gothic" w:eastAsia="MS UI Gothic"/>
          <w:spacing w:val="-30"/>
        </w:rPr>
        <w:t xml:space="preserve"> </w:t>
      </w:r>
      <w:r>
        <w:rPr>
          <w:rFonts w:hint="eastAsia" w:ascii="MS UI Gothic" w:eastAsia="MS UI Gothic"/>
          <w:w w:val="34"/>
        </w:rPr>
        <w:t>/</w:t>
      </w:r>
      <w:r>
        <w:rPr>
          <w:rFonts w:hint="eastAsia" w:ascii="MS UI Gothic" w:eastAsia="MS UI Gothic"/>
          <w:spacing w:val="-16"/>
        </w:rPr>
        <w:t xml:space="preserve"> </w:t>
      </w:r>
      <w:r>
        <w:rPr>
          <w:rFonts w:hint="eastAsia" w:ascii="MS UI Gothic" w:eastAsia="MS UI Gothic"/>
          <w:spacing w:val="6"/>
          <w:w w:val="79"/>
        </w:rPr>
        <w:t>ｍ</w:t>
      </w:r>
      <w:r>
        <w:rPr>
          <w:rFonts w:hint="eastAsia" w:ascii="MS UI Gothic" w:eastAsia="MS UI Gothic"/>
          <w:w w:val="72"/>
          <w:position w:val="9"/>
          <w:sz w:val="12"/>
        </w:rPr>
        <w:t>３</w:t>
      </w:r>
      <w:r>
        <w:rPr>
          <w:rFonts w:hint="eastAsia" w:ascii="MS UI Gothic" w:eastAsia="MS UI Gothic"/>
          <w:spacing w:val="-1"/>
          <w:position w:val="9"/>
          <w:sz w:val="12"/>
        </w:rPr>
        <w:t xml:space="preserve">   </w:t>
      </w:r>
      <w:r>
        <w:rPr>
          <w:rFonts w:hint="eastAsia" w:ascii="MS UI Gothic" w:eastAsia="MS UI Gothic"/>
          <w:spacing w:val="15"/>
          <w:w w:val="168"/>
        </w:rPr>
        <w:t>(</w:t>
      </w:r>
      <w:r>
        <w:rPr>
          <w:rFonts w:hint="eastAsia" w:ascii="MS UI Gothic" w:eastAsia="MS UI Gothic"/>
          <w:w w:val="75"/>
        </w:rPr>
        <w:t>１０</w:t>
      </w:r>
      <w:r>
        <w:rPr>
          <w:rFonts w:hint="eastAsia" w:ascii="MS UI Gothic" w:eastAsia="MS UI Gothic"/>
          <w:spacing w:val="-34"/>
        </w:rPr>
        <w:t xml:space="preserve"> </w:t>
      </w:r>
      <w:r>
        <w:rPr>
          <w:rFonts w:hint="eastAsia" w:ascii="MS UI Gothic" w:eastAsia="MS UI Gothic"/>
          <w:w w:val="136"/>
        </w:rPr>
        <w:t>~</w:t>
      </w:r>
      <w:r>
        <w:rPr>
          <w:rFonts w:hint="eastAsia" w:ascii="MS UI Gothic" w:eastAsia="MS UI Gothic"/>
          <w:spacing w:val="-27"/>
        </w:rPr>
        <w:t xml:space="preserve"> </w:t>
      </w:r>
      <w:r>
        <w:rPr>
          <w:rFonts w:hint="eastAsia" w:ascii="MS UI Gothic" w:eastAsia="MS UI Gothic"/>
          <w:w w:val="75"/>
        </w:rPr>
        <w:t>２０</w:t>
      </w:r>
      <w:r>
        <w:rPr>
          <w:rFonts w:hint="eastAsia" w:ascii="MS UI Gothic" w:eastAsia="MS UI Gothic"/>
          <w:spacing w:val="22"/>
        </w:rPr>
        <w:t xml:space="preserve"> </w:t>
      </w:r>
      <w:r>
        <w:rPr>
          <w:rFonts w:hint="eastAsia" w:ascii="MS UI Gothic" w:eastAsia="MS UI Gothic"/>
          <w:w w:val="84"/>
        </w:rPr>
        <w:t>ｐｐ</w:t>
      </w:r>
      <w:r>
        <w:rPr>
          <w:rFonts w:hint="eastAsia" w:ascii="MS UI Gothic" w:eastAsia="MS UI Gothic"/>
          <w:spacing w:val="10"/>
          <w:w w:val="79"/>
        </w:rPr>
        <w:t>ｍ</w:t>
      </w:r>
      <w:r>
        <w:rPr>
          <w:rFonts w:hint="eastAsia" w:ascii="MS UI Gothic" w:eastAsia="MS UI Gothic"/>
          <w:w w:val="168"/>
        </w:rPr>
        <w:t>)</w:t>
      </w:r>
      <w:r>
        <w:rPr>
          <w:rFonts w:hint="eastAsia" w:ascii="MS UI Gothic" w:eastAsia="MS UI Gothic"/>
          <w:spacing w:val="5"/>
        </w:rPr>
        <w:t xml:space="preserve">  </w:t>
      </w:r>
      <w:r>
        <w:rPr>
          <w:spacing w:val="3"/>
          <w:w w:val="102"/>
        </w:rPr>
        <w:t>时</w:t>
      </w:r>
      <w:r>
        <w:rPr>
          <w:rFonts w:hint="eastAsia" w:ascii="MS UI Gothic" w:eastAsia="MS UI Gothic"/>
          <w:w w:val="51"/>
        </w:rPr>
        <w:t>ꎬ</w:t>
      </w:r>
      <w:r>
        <w:rPr>
          <w:rFonts w:hint="eastAsia" w:ascii="MS UI Gothic" w:eastAsia="MS UI Gothic"/>
          <w:spacing w:val="-5"/>
        </w:rPr>
        <w:t xml:space="preserve">  </w:t>
      </w:r>
      <w:r>
        <w:rPr>
          <w:spacing w:val="6"/>
          <w:w w:val="102"/>
        </w:rPr>
        <w:t>挂标有</w:t>
      </w:r>
      <w:r>
        <w:rPr>
          <w:spacing w:val="3"/>
        </w:rPr>
        <w:t>硫化氢字样的黄牌</w:t>
      </w:r>
      <w:r>
        <w:rPr>
          <w:rFonts w:hint="eastAsia" w:ascii="MS UI Gothic" w:eastAsia="MS UI Gothic"/>
          <w:w w:val="90"/>
        </w:rPr>
        <w:t>ꎻ</w:t>
      </w:r>
    </w:p>
    <w:p>
      <w:pPr>
        <w:pStyle w:val="6"/>
        <w:spacing w:before="3"/>
        <w:ind w:left="543" w:firstLine="0"/>
      </w:pPr>
      <w:r>
        <w:rPr>
          <w:rFonts w:hint="eastAsia" w:ascii="MS UI Gothic" w:eastAsia="MS UI Gothic"/>
          <w:spacing w:val="-21"/>
          <w:w w:val="105"/>
        </w:rPr>
        <w:t xml:space="preserve">( </w:t>
      </w:r>
      <w:r>
        <w:rPr>
          <w:spacing w:val="5"/>
          <w:w w:val="105"/>
        </w:rPr>
        <w:t>四</w:t>
      </w:r>
      <w:r>
        <w:rPr>
          <w:rFonts w:hint="eastAsia" w:ascii="MS UI Gothic" w:eastAsia="MS UI Gothic"/>
          <w:spacing w:val="10"/>
          <w:w w:val="105"/>
        </w:rPr>
        <w:t xml:space="preserve">)  </w:t>
      </w:r>
      <w:r>
        <w:rPr>
          <w:spacing w:val="24"/>
          <w:w w:val="105"/>
        </w:rPr>
        <w:t>当空气中含硫化氢浓度大于</w:t>
      </w:r>
    </w:p>
    <w:p>
      <w:pPr>
        <w:pStyle w:val="6"/>
        <w:spacing w:before="48"/>
        <w:ind w:left="118" w:firstLine="0"/>
      </w:pPr>
      <w:r>
        <w:rPr>
          <w:rFonts w:hint="eastAsia" w:ascii="MS UI Gothic" w:eastAsia="MS UI Gothic"/>
          <w:w w:val="75"/>
        </w:rPr>
        <w:t>３０</w:t>
      </w:r>
      <w:r>
        <w:rPr>
          <w:rFonts w:hint="eastAsia" w:ascii="MS UI Gothic" w:eastAsia="MS UI Gothic"/>
          <w:spacing w:val="14"/>
        </w:rPr>
        <w:t xml:space="preserve"> </w:t>
      </w:r>
      <w:r>
        <w:rPr>
          <w:rFonts w:hint="eastAsia" w:ascii="MS UI Gothic" w:eastAsia="MS UI Gothic"/>
          <w:spacing w:val="-1"/>
          <w:w w:val="79"/>
        </w:rPr>
        <w:t>ｍ</w:t>
      </w:r>
      <w:r>
        <w:rPr>
          <w:rFonts w:hint="eastAsia" w:ascii="MS UI Gothic" w:eastAsia="MS UI Gothic"/>
          <w:w w:val="78"/>
        </w:rPr>
        <w:t>ｇ</w:t>
      </w:r>
      <w:r>
        <w:rPr>
          <w:rFonts w:hint="eastAsia" w:ascii="MS UI Gothic" w:eastAsia="MS UI Gothic"/>
          <w:spacing w:val="-30"/>
        </w:rPr>
        <w:t xml:space="preserve"> </w:t>
      </w:r>
      <w:r>
        <w:rPr>
          <w:rFonts w:hint="eastAsia" w:ascii="MS UI Gothic" w:eastAsia="MS UI Gothic"/>
          <w:w w:val="34"/>
        </w:rPr>
        <w:t>/</w:t>
      </w:r>
      <w:r>
        <w:rPr>
          <w:rFonts w:hint="eastAsia" w:ascii="MS UI Gothic" w:eastAsia="MS UI Gothic"/>
          <w:spacing w:val="-16"/>
        </w:rPr>
        <w:t xml:space="preserve"> </w:t>
      </w:r>
      <w:r>
        <w:rPr>
          <w:rFonts w:hint="eastAsia" w:ascii="MS UI Gothic" w:eastAsia="MS UI Gothic"/>
          <w:spacing w:val="6"/>
          <w:w w:val="79"/>
        </w:rPr>
        <w:t>ｍ</w:t>
      </w:r>
      <w:r>
        <w:rPr>
          <w:rFonts w:hint="eastAsia" w:ascii="MS UI Gothic" w:eastAsia="MS UI Gothic"/>
          <w:w w:val="72"/>
          <w:position w:val="9"/>
          <w:sz w:val="12"/>
        </w:rPr>
        <w:t>３</w:t>
      </w:r>
      <w:r>
        <w:rPr>
          <w:rFonts w:hint="eastAsia" w:ascii="MS UI Gothic" w:eastAsia="MS UI Gothic"/>
          <w:spacing w:val="4"/>
          <w:position w:val="9"/>
          <w:sz w:val="12"/>
        </w:rPr>
        <w:t xml:space="preserve">   </w:t>
      </w:r>
      <w:r>
        <w:rPr>
          <w:rFonts w:hint="eastAsia" w:ascii="MS UI Gothic" w:eastAsia="MS UI Gothic"/>
          <w:spacing w:val="15"/>
          <w:w w:val="168"/>
        </w:rPr>
        <w:t>(</w:t>
      </w:r>
      <w:r>
        <w:rPr>
          <w:rFonts w:hint="eastAsia" w:ascii="MS UI Gothic" w:eastAsia="MS UI Gothic"/>
          <w:spacing w:val="-1"/>
          <w:w w:val="75"/>
        </w:rPr>
        <w:t>２０</w:t>
      </w:r>
      <w:r>
        <w:rPr>
          <w:rFonts w:hint="eastAsia" w:ascii="MS UI Gothic" w:eastAsia="MS UI Gothic"/>
          <w:spacing w:val="28"/>
        </w:rPr>
        <w:t xml:space="preserve"> </w:t>
      </w:r>
      <w:r>
        <w:rPr>
          <w:rFonts w:hint="eastAsia" w:ascii="MS UI Gothic" w:eastAsia="MS UI Gothic"/>
          <w:w w:val="84"/>
        </w:rPr>
        <w:t>ｐｐ</w:t>
      </w:r>
      <w:r>
        <w:rPr>
          <w:rFonts w:hint="eastAsia" w:ascii="MS UI Gothic" w:eastAsia="MS UI Gothic"/>
          <w:spacing w:val="16"/>
          <w:w w:val="79"/>
        </w:rPr>
        <w:t>ｍ</w:t>
      </w:r>
      <w:r>
        <w:rPr>
          <w:rFonts w:hint="eastAsia" w:ascii="MS UI Gothic" w:eastAsia="MS UI Gothic"/>
          <w:w w:val="168"/>
        </w:rPr>
        <w:t>)</w:t>
      </w:r>
      <w:r>
        <w:rPr>
          <w:rFonts w:hint="eastAsia" w:ascii="MS UI Gothic" w:eastAsia="MS UI Gothic"/>
          <w:spacing w:val="7"/>
        </w:rPr>
        <w:t xml:space="preserve">  </w:t>
      </w:r>
      <w:r>
        <w:rPr>
          <w:spacing w:val="3"/>
          <w:w w:val="102"/>
        </w:rPr>
        <w:t>时</w:t>
      </w:r>
      <w:r>
        <w:rPr>
          <w:rFonts w:hint="eastAsia" w:ascii="MS UI Gothic" w:eastAsia="MS UI Gothic"/>
          <w:w w:val="51"/>
        </w:rPr>
        <w:t>ꎬ</w:t>
      </w:r>
      <w:r>
        <w:rPr>
          <w:rFonts w:hint="eastAsia" w:ascii="MS UI Gothic" w:eastAsia="MS UI Gothic"/>
          <w:spacing w:val="-2"/>
        </w:rPr>
        <w:t xml:space="preserve">  </w:t>
      </w:r>
      <w:r>
        <w:rPr>
          <w:spacing w:val="19"/>
          <w:w w:val="102"/>
        </w:rPr>
        <w:t>挂标有硫化氢</w:t>
      </w:r>
    </w:p>
    <w:p>
      <w:pPr>
        <w:pStyle w:val="6"/>
        <w:spacing w:before="74" w:line="295" w:lineRule="auto"/>
        <w:ind w:right="442"/>
        <w:rPr>
          <w:rFonts w:hint="eastAsia" w:ascii="MS UI Gothic" w:eastAsia="MS UI Gothic"/>
        </w:rPr>
      </w:pPr>
      <w:r>
        <w:br w:type="column"/>
      </w:r>
      <w:r>
        <w:rPr>
          <w:w w:val="105"/>
        </w:rPr>
        <w:t>第六十六条 在可能含有硫化氢地层</w:t>
      </w:r>
      <w:r>
        <w:t>进行钻井作业时</w:t>
      </w:r>
      <w:r>
        <w:rPr>
          <w:rFonts w:hint="eastAsia" w:ascii="MS UI Gothic" w:eastAsia="MS UI Gothic"/>
          <w:w w:val="80"/>
        </w:rPr>
        <w:t xml:space="preserve">ꎬ </w:t>
      </w:r>
      <w:r>
        <w:t>应当采取下列硫化氢防</w:t>
      </w:r>
      <w:r>
        <w:rPr>
          <w:w w:val="110"/>
        </w:rPr>
        <w:t>护措施</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在可能含有硫化氢地区的钻井</w:t>
      </w:r>
      <w:r>
        <w:t>设计中</w:t>
      </w:r>
      <w:r>
        <w:rPr>
          <w:rFonts w:hint="eastAsia" w:ascii="MS UI Gothic" w:eastAsia="MS UI Gothic"/>
          <w:w w:val="80"/>
        </w:rPr>
        <w:t xml:space="preserve">ꎬ </w:t>
      </w:r>
      <w:r>
        <w:t>标明含硫化氢地层及其深度</w:t>
      </w:r>
      <w:r>
        <w:rPr>
          <w:rFonts w:hint="eastAsia" w:ascii="MS UI Gothic" w:eastAsia="MS UI Gothic"/>
          <w:w w:val="80"/>
        </w:rPr>
        <w:t xml:space="preserve">ꎬ </w:t>
      </w:r>
      <w:r>
        <w:t>估算硫化氢的可能含量</w:t>
      </w:r>
      <w:r>
        <w:rPr>
          <w:rFonts w:hint="eastAsia" w:ascii="MS UI Gothic" w:eastAsia="MS UI Gothic"/>
          <w:w w:val="80"/>
        </w:rPr>
        <w:t xml:space="preserve">ꎬ </w:t>
      </w:r>
      <w:r>
        <w:t>以提醒有关作业人员注意</w:t>
      </w:r>
      <w:r>
        <w:rPr>
          <w:rFonts w:hint="eastAsia" w:ascii="MS UI Gothic" w:eastAsia="MS UI Gothic"/>
          <w:w w:val="80"/>
        </w:rPr>
        <w:t xml:space="preserve">ꎬ </w:t>
      </w:r>
      <w:r>
        <w:t>并制定必要的安全和应急措施</w:t>
      </w:r>
      <w:r>
        <w:rPr>
          <w:rFonts w:hint="eastAsia" w:ascii="MS UI Gothic" w:eastAsia="MS UI Gothic"/>
          <w:w w:val="80"/>
        </w:rPr>
        <w:t>ꎻ</w:t>
      </w:r>
    </w:p>
    <w:p>
      <w:pPr>
        <w:pStyle w:val="6"/>
        <w:spacing w:line="292" w:lineRule="auto"/>
        <w:ind w:left="118" w:right="442" w:firstLine="425"/>
        <w:rPr>
          <w:rFonts w:hint="eastAsia" w:ascii="MS UI Gothic" w:eastAsia="MS UI Gothic"/>
        </w:rPr>
      </w:pPr>
      <w:r>
        <w:rPr>
          <w:rFonts w:hint="eastAsia" w:ascii="MS UI Gothic" w:eastAsia="MS UI Gothic"/>
          <w:spacing w:val="-26"/>
          <w:w w:val="140"/>
        </w:rPr>
        <w:t xml:space="preserve">( </w:t>
      </w:r>
      <w:r>
        <w:rPr>
          <w:spacing w:val="29"/>
        </w:rPr>
        <w:t>二</w:t>
      </w:r>
      <w:r>
        <w:rPr>
          <w:rFonts w:hint="eastAsia" w:ascii="MS UI Gothic" w:eastAsia="MS UI Gothic"/>
          <w:spacing w:val="30"/>
          <w:w w:val="140"/>
        </w:rPr>
        <w:t xml:space="preserve">) </w:t>
      </w:r>
      <w:r>
        <w:rPr>
          <w:spacing w:val="41"/>
        </w:rPr>
        <w:t>当空气中硫化氢浓度达到</w:t>
      </w:r>
      <w:r>
        <w:rPr>
          <w:rFonts w:hint="eastAsia" w:ascii="MS UI Gothic" w:eastAsia="MS UI Gothic"/>
          <w:spacing w:val="-1"/>
          <w:w w:val="75"/>
        </w:rPr>
        <w:t>１５</w:t>
      </w:r>
      <w:r>
        <w:rPr>
          <w:rFonts w:hint="eastAsia" w:ascii="MS UI Gothic" w:eastAsia="MS UI Gothic"/>
          <w:spacing w:val="14"/>
        </w:rPr>
        <w:t xml:space="preserve"> </w:t>
      </w:r>
      <w:r>
        <w:rPr>
          <w:rFonts w:hint="eastAsia" w:ascii="MS UI Gothic" w:eastAsia="MS UI Gothic"/>
          <w:spacing w:val="-1"/>
          <w:w w:val="79"/>
        </w:rPr>
        <w:t>ｍ</w:t>
      </w:r>
      <w:r>
        <w:rPr>
          <w:rFonts w:hint="eastAsia" w:ascii="MS UI Gothic" w:eastAsia="MS UI Gothic"/>
          <w:w w:val="78"/>
        </w:rPr>
        <w:t>ｇ</w:t>
      </w:r>
      <w:r>
        <w:rPr>
          <w:rFonts w:hint="eastAsia" w:ascii="MS UI Gothic" w:eastAsia="MS UI Gothic"/>
          <w:spacing w:val="-30"/>
        </w:rPr>
        <w:t xml:space="preserve"> </w:t>
      </w:r>
      <w:r>
        <w:rPr>
          <w:rFonts w:hint="eastAsia" w:ascii="MS UI Gothic" w:eastAsia="MS UI Gothic"/>
          <w:w w:val="34"/>
        </w:rPr>
        <w:t>/</w:t>
      </w:r>
      <w:r>
        <w:rPr>
          <w:rFonts w:hint="eastAsia" w:ascii="MS UI Gothic" w:eastAsia="MS UI Gothic"/>
          <w:spacing w:val="-16"/>
        </w:rPr>
        <w:t xml:space="preserve"> </w:t>
      </w:r>
      <w:r>
        <w:rPr>
          <w:rFonts w:hint="eastAsia" w:ascii="MS UI Gothic" w:eastAsia="MS UI Gothic"/>
          <w:spacing w:val="6"/>
          <w:w w:val="79"/>
        </w:rPr>
        <w:t>ｍ</w:t>
      </w:r>
      <w:r>
        <w:rPr>
          <w:rFonts w:hint="eastAsia" w:ascii="MS UI Gothic" w:eastAsia="MS UI Gothic"/>
          <w:w w:val="72"/>
          <w:position w:val="9"/>
          <w:sz w:val="12"/>
        </w:rPr>
        <w:t>３</w:t>
      </w:r>
      <w:r>
        <w:rPr>
          <w:rFonts w:hint="eastAsia" w:ascii="MS UI Gothic" w:eastAsia="MS UI Gothic"/>
          <w:spacing w:val="4"/>
          <w:position w:val="9"/>
          <w:sz w:val="12"/>
        </w:rPr>
        <w:t xml:space="preserve">   </w:t>
      </w:r>
      <w:r>
        <w:rPr>
          <w:rFonts w:hint="eastAsia" w:ascii="MS UI Gothic" w:eastAsia="MS UI Gothic"/>
          <w:spacing w:val="15"/>
          <w:w w:val="168"/>
        </w:rPr>
        <w:t>(</w:t>
      </w:r>
      <w:r>
        <w:rPr>
          <w:rFonts w:hint="eastAsia" w:ascii="MS UI Gothic" w:eastAsia="MS UI Gothic"/>
          <w:w w:val="75"/>
        </w:rPr>
        <w:t>１０</w:t>
      </w:r>
      <w:r>
        <w:rPr>
          <w:rFonts w:hint="eastAsia" w:ascii="MS UI Gothic" w:eastAsia="MS UI Gothic"/>
          <w:spacing w:val="28"/>
        </w:rPr>
        <w:t xml:space="preserve"> </w:t>
      </w:r>
      <w:r>
        <w:rPr>
          <w:rFonts w:hint="eastAsia" w:ascii="MS UI Gothic" w:eastAsia="MS UI Gothic"/>
          <w:spacing w:val="-1"/>
          <w:w w:val="84"/>
        </w:rPr>
        <w:t>ｐ</w:t>
      </w:r>
      <w:r>
        <w:rPr>
          <w:rFonts w:hint="eastAsia" w:ascii="MS UI Gothic" w:eastAsia="MS UI Gothic"/>
          <w:w w:val="84"/>
        </w:rPr>
        <w:t>ｐ</w:t>
      </w:r>
      <w:r>
        <w:rPr>
          <w:rFonts w:hint="eastAsia" w:ascii="MS UI Gothic" w:eastAsia="MS UI Gothic"/>
          <w:spacing w:val="16"/>
          <w:w w:val="79"/>
        </w:rPr>
        <w:t>ｍ</w:t>
      </w:r>
      <w:r>
        <w:rPr>
          <w:rFonts w:hint="eastAsia" w:ascii="MS UI Gothic" w:eastAsia="MS UI Gothic"/>
          <w:w w:val="168"/>
        </w:rPr>
        <w:t>)</w:t>
      </w:r>
      <w:r>
        <w:rPr>
          <w:rFonts w:hint="eastAsia" w:ascii="MS UI Gothic" w:eastAsia="MS UI Gothic"/>
          <w:spacing w:val="7"/>
        </w:rPr>
        <w:t xml:space="preserve">  </w:t>
      </w:r>
      <w:r>
        <w:rPr>
          <w:spacing w:val="3"/>
          <w:w w:val="102"/>
        </w:rPr>
        <w:t>时</w:t>
      </w:r>
      <w:r>
        <w:rPr>
          <w:rFonts w:hint="eastAsia" w:ascii="MS UI Gothic" w:eastAsia="MS UI Gothic"/>
          <w:w w:val="51"/>
        </w:rPr>
        <w:t>ꎬ</w:t>
      </w:r>
      <w:r>
        <w:rPr>
          <w:rFonts w:hint="eastAsia" w:ascii="MS UI Gothic" w:eastAsia="MS UI Gothic"/>
          <w:spacing w:val="-2"/>
        </w:rPr>
        <w:t xml:space="preserve">  </w:t>
      </w:r>
      <w:r>
        <w:rPr>
          <w:spacing w:val="19"/>
          <w:w w:val="102"/>
        </w:rPr>
        <w:t>及时通知所有</w:t>
      </w:r>
      <w:r>
        <w:rPr>
          <w:spacing w:val="3"/>
        </w:rPr>
        <w:t>平台人员注意</w:t>
      </w:r>
      <w:r>
        <w:rPr>
          <w:rFonts w:hint="eastAsia" w:ascii="MS UI Gothic" w:eastAsia="MS UI Gothic"/>
          <w:spacing w:val="12"/>
          <w:w w:val="85"/>
        </w:rPr>
        <w:t xml:space="preserve">ꎬ </w:t>
      </w:r>
      <w:r>
        <w:rPr>
          <w:spacing w:val="2"/>
        </w:rPr>
        <w:t>加密观察和测量硫化氢浓</w:t>
      </w:r>
      <w:r>
        <w:rPr>
          <w:spacing w:val="8"/>
        </w:rPr>
        <w:t>度的次数</w:t>
      </w:r>
      <w:r>
        <w:rPr>
          <w:rFonts w:hint="eastAsia" w:ascii="MS UI Gothic" w:eastAsia="MS UI Gothic"/>
          <w:spacing w:val="16"/>
          <w:w w:val="85"/>
        </w:rPr>
        <w:t xml:space="preserve">ꎬ </w:t>
      </w:r>
      <w:r>
        <w:rPr>
          <w:spacing w:val="17"/>
        </w:rPr>
        <w:t>检查并准备好正压式空气呼</w:t>
      </w:r>
      <w:r>
        <w:rPr>
          <w:spacing w:val="3"/>
        </w:rPr>
        <w:t>吸器</w:t>
      </w:r>
      <w:r>
        <w:rPr>
          <w:rFonts w:hint="eastAsia" w:ascii="MS UI Gothic" w:eastAsia="MS UI Gothic"/>
          <w:w w:val="85"/>
        </w:rPr>
        <w:t>ꎻ</w:t>
      </w:r>
    </w:p>
    <w:p>
      <w:pPr>
        <w:pStyle w:val="6"/>
        <w:spacing w:line="292" w:lineRule="auto"/>
        <w:ind w:left="118" w:right="442" w:firstLine="425"/>
        <w:rPr>
          <w:rFonts w:hint="eastAsia" w:ascii="MS UI Gothic" w:eastAsia="MS UI Gothic"/>
        </w:rPr>
      </w:pPr>
      <w:r>
        <w:rPr>
          <w:rFonts w:hint="eastAsia" w:ascii="MS UI Gothic" w:eastAsia="MS UI Gothic"/>
          <w:spacing w:val="-26"/>
          <w:w w:val="140"/>
        </w:rPr>
        <w:t xml:space="preserve">( </w:t>
      </w:r>
      <w:r>
        <w:rPr>
          <w:spacing w:val="29"/>
        </w:rPr>
        <w:t>三</w:t>
      </w:r>
      <w:r>
        <w:rPr>
          <w:rFonts w:hint="eastAsia" w:ascii="MS UI Gothic" w:eastAsia="MS UI Gothic"/>
          <w:spacing w:val="30"/>
          <w:w w:val="140"/>
        </w:rPr>
        <w:t xml:space="preserve">) </w:t>
      </w:r>
      <w:r>
        <w:rPr>
          <w:spacing w:val="41"/>
        </w:rPr>
        <w:t>当空气中硫化氢浓度达到</w:t>
      </w:r>
      <w:r>
        <w:rPr>
          <w:rFonts w:hint="eastAsia" w:ascii="MS UI Gothic" w:eastAsia="MS UI Gothic"/>
          <w:spacing w:val="-1"/>
          <w:w w:val="75"/>
        </w:rPr>
        <w:t>３０</w:t>
      </w:r>
      <w:r>
        <w:rPr>
          <w:rFonts w:hint="eastAsia" w:ascii="MS UI Gothic" w:eastAsia="MS UI Gothic"/>
          <w:spacing w:val="14"/>
        </w:rPr>
        <w:t xml:space="preserve"> </w:t>
      </w:r>
      <w:r>
        <w:rPr>
          <w:rFonts w:hint="eastAsia" w:ascii="MS UI Gothic" w:eastAsia="MS UI Gothic"/>
          <w:spacing w:val="-1"/>
          <w:w w:val="79"/>
        </w:rPr>
        <w:t>ｍ</w:t>
      </w:r>
      <w:r>
        <w:rPr>
          <w:rFonts w:hint="eastAsia" w:ascii="MS UI Gothic" w:eastAsia="MS UI Gothic"/>
          <w:w w:val="78"/>
        </w:rPr>
        <w:t>ｇ</w:t>
      </w:r>
      <w:r>
        <w:rPr>
          <w:rFonts w:hint="eastAsia" w:ascii="MS UI Gothic" w:eastAsia="MS UI Gothic"/>
          <w:spacing w:val="-30"/>
        </w:rPr>
        <w:t xml:space="preserve"> </w:t>
      </w:r>
      <w:r>
        <w:rPr>
          <w:rFonts w:hint="eastAsia" w:ascii="MS UI Gothic" w:eastAsia="MS UI Gothic"/>
          <w:w w:val="34"/>
        </w:rPr>
        <w:t>/</w:t>
      </w:r>
      <w:r>
        <w:rPr>
          <w:rFonts w:hint="eastAsia" w:ascii="MS UI Gothic" w:eastAsia="MS UI Gothic"/>
          <w:spacing w:val="-16"/>
        </w:rPr>
        <w:t xml:space="preserve"> </w:t>
      </w:r>
      <w:r>
        <w:rPr>
          <w:rFonts w:hint="eastAsia" w:ascii="MS UI Gothic" w:eastAsia="MS UI Gothic"/>
          <w:spacing w:val="6"/>
          <w:w w:val="79"/>
        </w:rPr>
        <w:t>ｍ</w:t>
      </w:r>
      <w:r>
        <w:rPr>
          <w:rFonts w:hint="eastAsia" w:ascii="MS UI Gothic" w:eastAsia="MS UI Gothic"/>
          <w:w w:val="72"/>
          <w:position w:val="9"/>
          <w:sz w:val="12"/>
        </w:rPr>
        <w:t>３</w:t>
      </w:r>
      <w:r>
        <w:rPr>
          <w:rFonts w:hint="eastAsia" w:ascii="MS UI Gothic" w:eastAsia="MS UI Gothic"/>
          <w:spacing w:val="4"/>
          <w:position w:val="9"/>
          <w:sz w:val="12"/>
        </w:rPr>
        <w:t xml:space="preserve">   </w:t>
      </w:r>
      <w:r>
        <w:rPr>
          <w:rFonts w:hint="eastAsia" w:ascii="MS UI Gothic" w:eastAsia="MS UI Gothic"/>
          <w:spacing w:val="15"/>
          <w:w w:val="168"/>
        </w:rPr>
        <w:t>(</w:t>
      </w:r>
      <w:r>
        <w:rPr>
          <w:rFonts w:hint="eastAsia" w:ascii="MS UI Gothic" w:eastAsia="MS UI Gothic"/>
          <w:w w:val="75"/>
        </w:rPr>
        <w:t>２０</w:t>
      </w:r>
      <w:r>
        <w:rPr>
          <w:rFonts w:hint="eastAsia" w:ascii="MS UI Gothic" w:eastAsia="MS UI Gothic"/>
          <w:spacing w:val="28"/>
        </w:rPr>
        <w:t xml:space="preserve"> </w:t>
      </w:r>
      <w:r>
        <w:rPr>
          <w:rFonts w:hint="eastAsia" w:ascii="MS UI Gothic" w:eastAsia="MS UI Gothic"/>
          <w:spacing w:val="-1"/>
          <w:w w:val="84"/>
        </w:rPr>
        <w:t>ｐ</w:t>
      </w:r>
      <w:r>
        <w:rPr>
          <w:rFonts w:hint="eastAsia" w:ascii="MS UI Gothic" w:eastAsia="MS UI Gothic"/>
          <w:w w:val="84"/>
        </w:rPr>
        <w:t>ｐ</w:t>
      </w:r>
      <w:r>
        <w:rPr>
          <w:rFonts w:hint="eastAsia" w:ascii="MS UI Gothic" w:eastAsia="MS UI Gothic"/>
          <w:spacing w:val="16"/>
          <w:w w:val="79"/>
        </w:rPr>
        <w:t>ｍ</w:t>
      </w:r>
      <w:r>
        <w:rPr>
          <w:rFonts w:hint="eastAsia" w:ascii="MS UI Gothic" w:eastAsia="MS UI Gothic"/>
          <w:w w:val="168"/>
        </w:rPr>
        <w:t>)</w:t>
      </w:r>
      <w:r>
        <w:rPr>
          <w:rFonts w:hint="eastAsia" w:ascii="MS UI Gothic" w:eastAsia="MS UI Gothic"/>
          <w:spacing w:val="7"/>
        </w:rPr>
        <w:t xml:space="preserve">  </w:t>
      </w:r>
      <w:r>
        <w:rPr>
          <w:spacing w:val="3"/>
          <w:w w:val="102"/>
        </w:rPr>
        <w:t>时</w:t>
      </w:r>
      <w:r>
        <w:rPr>
          <w:rFonts w:hint="eastAsia" w:ascii="MS UI Gothic" w:eastAsia="MS UI Gothic"/>
          <w:w w:val="51"/>
        </w:rPr>
        <w:t>ꎬ</w:t>
      </w:r>
      <w:r>
        <w:rPr>
          <w:rFonts w:hint="eastAsia" w:ascii="MS UI Gothic" w:eastAsia="MS UI Gothic"/>
          <w:spacing w:val="-2"/>
        </w:rPr>
        <w:t xml:space="preserve">  </w:t>
      </w:r>
      <w:r>
        <w:rPr>
          <w:spacing w:val="19"/>
          <w:w w:val="102"/>
        </w:rPr>
        <w:t>在岗人员迅速</w:t>
      </w:r>
      <w:r>
        <w:rPr>
          <w:spacing w:val="3"/>
        </w:rPr>
        <w:t>取用正压式空气呼吸器</w:t>
      </w:r>
      <w:r>
        <w:rPr>
          <w:rFonts w:hint="eastAsia" w:ascii="MS UI Gothic" w:eastAsia="MS UI Gothic"/>
          <w:spacing w:val="5"/>
          <w:w w:val="90"/>
        </w:rPr>
        <w:t xml:space="preserve">ꎬ </w:t>
      </w:r>
      <w:r>
        <w:rPr>
          <w:spacing w:val="2"/>
        </w:rPr>
        <w:t>其他人员到达安</w:t>
      </w:r>
      <w:r>
        <w:rPr>
          <w:spacing w:val="3"/>
        </w:rPr>
        <w:t>全区</w:t>
      </w:r>
      <w:r>
        <w:rPr>
          <w:rFonts w:hint="eastAsia" w:ascii="MS UI Gothic" w:eastAsia="MS UI Gothic"/>
          <w:spacing w:val="5"/>
          <w:w w:val="90"/>
        </w:rPr>
        <w:t xml:space="preserve">ꎮ </w:t>
      </w:r>
      <w:r>
        <w:rPr>
          <w:spacing w:val="2"/>
        </w:rPr>
        <w:t>通知守护船在平台上风向海域起锚</w:t>
      </w:r>
      <w:r>
        <w:rPr>
          <w:spacing w:val="3"/>
        </w:rPr>
        <w:t>待命</w:t>
      </w:r>
      <w:r>
        <w:rPr>
          <w:rFonts w:hint="eastAsia" w:ascii="MS UI Gothic" w:eastAsia="MS UI Gothic"/>
          <w:w w:val="90"/>
        </w:rPr>
        <w:t>ꎻ</w:t>
      </w:r>
    </w:p>
    <w:p>
      <w:pPr>
        <w:pStyle w:val="6"/>
        <w:spacing w:line="290" w:lineRule="auto"/>
        <w:ind w:left="118" w:right="442" w:firstLine="425"/>
        <w:rPr>
          <w:rFonts w:hint="eastAsia" w:ascii="MS UI Gothic" w:eastAsia="MS UI Gothic"/>
        </w:rPr>
      </w:pPr>
      <w:r>
        <w:rPr>
          <w:rFonts w:hint="eastAsia" w:ascii="MS UI Gothic" w:eastAsia="MS UI Gothic"/>
          <w:w w:val="140"/>
        </w:rPr>
        <w:t xml:space="preserve">( </w:t>
      </w:r>
      <w:r>
        <w:t>四</w:t>
      </w:r>
      <w:r>
        <w:rPr>
          <w:rFonts w:hint="eastAsia" w:ascii="MS UI Gothic" w:eastAsia="MS UI Gothic"/>
          <w:w w:val="140"/>
        </w:rPr>
        <w:t xml:space="preserve">) </w:t>
      </w:r>
      <w:r>
        <w:t>当空气中含硫化氢浓度达到</w:t>
      </w:r>
      <w:r>
        <w:rPr>
          <w:rFonts w:hint="eastAsia" w:ascii="MS UI Gothic" w:eastAsia="MS UI Gothic"/>
          <w:w w:val="75"/>
        </w:rPr>
        <w:t>１５０</w:t>
      </w:r>
      <w:r>
        <w:rPr>
          <w:rFonts w:hint="eastAsia" w:ascii="MS UI Gothic" w:eastAsia="MS UI Gothic"/>
        </w:rPr>
        <w:t xml:space="preserve"> </w:t>
      </w:r>
      <w:r>
        <w:rPr>
          <w:rFonts w:hint="eastAsia" w:ascii="MS UI Gothic" w:eastAsia="MS UI Gothic"/>
          <w:w w:val="79"/>
        </w:rPr>
        <w:t>ｍ</w:t>
      </w:r>
      <w:r>
        <w:rPr>
          <w:rFonts w:hint="eastAsia" w:ascii="MS UI Gothic" w:eastAsia="MS UI Gothic"/>
          <w:w w:val="78"/>
        </w:rPr>
        <w:t>ｇ</w:t>
      </w:r>
      <w:r>
        <w:rPr>
          <w:rFonts w:hint="eastAsia" w:ascii="MS UI Gothic" w:eastAsia="MS UI Gothic"/>
        </w:rPr>
        <w:t xml:space="preserve"> </w:t>
      </w:r>
      <w:r>
        <w:rPr>
          <w:rFonts w:hint="eastAsia" w:ascii="MS UI Gothic" w:eastAsia="MS UI Gothic"/>
          <w:w w:val="34"/>
        </w:rPr>
        <w:t>/</w:t>
      </w:r>
      <w:r>
        <w:rPr>
          <w:rFonts w:hint="eastAsia" w:ascii="MS UI Gothic" w:eastAsia="MS UI Gothic"/>
        </w:rPr>
        <w:t xml:space="preserve"> </w:t>
      </w:r>
      <w:r>
        <w:rPr>
          <w:rFonts w:hint="eastAsia" w:ascii="MS UI Gothic" w:eastAsia="MS UI Gothic"/>
          <w:w w:val="79"/>
        </w:rPr>
        <w:t>ｍ</w:t>
      </w:r>
      <w:r>
        <w:rPr>
          <w:rFonts w:hint="eastAsia" w:ascii="MS UI Gothic" w:eastAsia="MS UI Gothic"/>
          <w:w w:val="72"/>
          <w:position w:val="9"/>
          <w:sz w:val="12"/>
        </w:rPr>
        <w:t>３</w:t>
      </w:r>
      <w:r>
        <w:rPr>
          <w:rFonts w:hint="eastAsia" w:ascii="MS UI Gothic" w:eastAsia="MS UI Gothic"/>
          <w:position w:val="9"/>
          <w:sz w:val="12"/>
        </w:rPr>
        <w:t xml:space="preserve">   </w:t>
      </w:r>
      <w:r>
        <w:rPr>
          <w:rFonts w:hint="eastAsia" w:ascii="MS UI Gothic" w:eastAsia="MS UI Gothic"/>
          <w:w w:val="168"/>
        </w:rPr>
        <w:t>(</w:t>
      </w:r>
      <w:r>
        <w:rPr>
          <w:rFonts w:hint="eastAsia" w:ascii="MS UI Gothic" w:eastAsia="MS UI Gothic"/>
        </w:rPr>
        <w:t xml:space="preserve"> </w:t>
      </w:r>
      <w:r>
        <w:rPr>
          <w:rFonts w:hint="eastAsia" w:ascii="MS UI Gothic" w:eastAsia="MS UI Gothic"/>
          <w:w w:val="75"/>
        </w:rPr>
        <w:t>１００</w:t>
      </w:r>
      <w:r>
        <w:rPr>
          <w:rFonts w:hint="eastAsia" w:ascii="MS UI Gothic" w:eastAsia="MS UI Gothic"/>
        </w:rPr>
        <w:t xml:space="preserve">  </w:t>
      </w:r>
      <w:r>
        <w:rPr>
          <w:rFonts w:hint="eastAsia" w:ascii="MS UI Gothic" w:eastAsia="MS UI Gothic"/>
          <w:w w:val="84"/>
        </w:rPr>
        <w:t>ｐｐ</w:t>
      </w:r>
      <w:r>
        <w:rPr>
          <w:rFonts w:hint="eastAsia" w:ascii="MS UI Gothic" w:eastAsia="MS UI Gothic"/>
          <w:w w:val="79"/>
        </w:rPr>
        <w:t>ｍ</w:t>
      </w:r>
      <w:r>
        <w:rPr>
          <w:rFonts w:hint="eastAsia" w:ascii="MS UI Gothic" w:eastAsia="MS UI Gothic"/>
          <w:w w:val="168"/>
        </w:rPr>
        <w:t>)</w:t>
      </w:r>
      <w:r>
        <w:rPr>
          <w:rFonts w:hint="eastAsia" w:ascii="MS UI Gothic" w:eastAsia="MS UI Gothic"/>
        </w:rPr>
        <w:t xml:space="preserve">  </w:t>
      </w:r>
      <w:r>
        <w:rPr>
          <w:w w:val="102"/>
        </w:rPr>
        <w:t>时</w:t>
      </w:r>
      <w:r>
        <w:rPr>
          <w:rFonts w:hint="eastAsia" w:ascii="MS UI Gothic" w:eastAsia="MS UI Gothic"/>
          <w:w w:val="51"/>
        </w:rPr>
        <w:t>ꎬ</w:t>
      </w:r>
      <w:r>
        <w:rPr>
          <w:rFonts w:hint="eastAsia" w:ascii="MS UI Gothic" w:eastAsia="MS UI Gothic"/>
        </w:rPr>
        <w:t xml:space="preserve">  </w:t>
      </w:r>
      <w:r>
        <w:rPr>
          <w:w w:val="102"/>
        </w:rPr>
        <w:t>组织所有人</w:t>
      </w:r>
      <w:r>
        <w:t>员撤离平台</w:t>
      </w:r>
      <w:r>
        <w:rPr>
          <w:rFonts w:hint="eastAsia" w:ascii="MS UI Gothic" w:eastAsia="MS UI Gothic"/>
          <w:w w:val="90"/>
        </w:rPr>
        <w:t>ꎻ</w:t>
      </w:r>
    </w:p>
    <w:p>
      <w:pPr>
        <w:pStyle w:val="6"/>
        <w:spacing w:line="295" w:lineRule="auto"/>
        <w:ind w:right="440"/>
        <w:rPr>
          <w:rFonts w:hint="eastAsia" w:ascii="MS UI Gothic" w:eastAsia="MS UI Gothic"/>
        </w:rPr>
      </w:pPr>
      <w:r>
        <w:rPr>
          <w:rFonts w:hint="eastAsia" w:ascii="MS UI Gothic" w:eastAsia="MS UI Gothic"/>
          <w:spacing w:val="-28"/>
          <w:w w:val="145"/>
        </w:rPr>
        <w:t xml:space="preserve">( </w:t>
      </w:r>
      <w:r>
        <w:rPr>
          <w:spacing w:val="3"/>
        </w:rPr>
        <w:t>五</w:t>
      </w:r>
      <w:r>
        <w:rPr>
          <w:rFonts w:hint="eastAsia" w:ascii="MS UI Gothic" w:eastAsia="MS UI Gothic"/>
          <w:spacing w:val="14"/>
          <w:w w:val="145"/>
        </w:rPr>
        <w:t xml:space="preserve">) </w:t>
      </w:r>
      <w:r>
        <w:rPr>
          <w:spacing w:val="5"/>
        </w:rPr>
        <w:t>使用适合于钻遇含硫化氢地层</w:t>
      </w:r>
      <w:r>
        <w:rPr>
          <w:spacing w:val="3"/>
        </w:rPr>
        <w:t>的井液</w:t>
      </w:r>
      <w:r>
        <w:rPr>
          <w:rFonts w:hint="eastAsia" w:ascii="MS UI Gothic" w:eastAsia="MS UI Gothic"/>
          <w:spacing w:val="14"/>
          <w:w w:val="80"/>
        </w:rPr>
        <w:t xml:space="preserve">ꎬ </w:t>
      </w:r>
      <w:r>
        <w:rPr>
          <w:spacing w:val="-9"/>
        </w:rPr>
        <w:t xml:space="preserve">钻井液的 </w:t>
      </w:r>
      <w:r>
        <w:rPr>
          <w:rFonts w:hint="eastAsia" w:ascii="MS UI Gothic" w:eastAsia="MS UI Gothic"/>
          <w:w w:val="95"/>
        </w:rPr>
        <w:t>ｐ</w:t>
      </w:r>
      <w:r>
        <w:rPr>
          <w:rFonts w:hint="eastAsia" w:ascii="MS UI Gothic" w:eastAsia="MS UI Gothic"/>
          <w:spacing w:val="-6"/>
          <w:w w:val="95"/>
        </w:rPr>
        <w:t xml:space="preserve">Ｈ </w:t>
      </w:r>
      <w:r>
        <w:rPr>
          <w:spacing w:val="-7"/>
        </w:rPr>
        <w:t xml:space="preserve">值保持在 </w:t>
      </w:r>
      <w:r>
        <w:rPr>
          <w:rFonts w:hint="eastAsia" w:ascii="MS UI Gothic" w:eastAsia="MS UI Gothic"/>
          <w:spacing w:val="-4"/>
          <w:w w:val="95"/>
        </w:rPr>
        <w:t xml:space="preserve">１０ </w:t>
      </w:r>
      <w:r>
        <w:rPr>
          <w:spacing w:val="7"/>
        </w:rPr>
        <w:t>以上</w:t>
      </w:r>
      <w:r>
        <w:rPr>
          <w:rFonts w:hint="eastAsia" w:ascii="MS UI Gothic" w:eastAsia="MS UI Gothic"/>
          <w:w w:val="80"/>
        </w:rPr>
        <w:t>ꎮ</w:t>
      </w:r>
      <w:r>
        <w:rPr>
          <w:spacing w:val="5"/>
        </w:rPr>
        <w:t>净化剂</w:t>
      </w:r>
      <w:r>
        <w:rPr>
          <w:rFonts w:hint="eastAsia" w:ascii="MS UI Gothic" w:eastAsia="MS UI Gothic"/>
          <w:spacing w:val="28"/>
          <w:w w:val="95"/>
        </w:rPr>
        <w:t xml:space="preserve">、 </w:t>
      </w:r>
      <w:r>
        <w:rPr>
          <w:spacing w:val="17"/>
        </w:rPr>
        <w:t>添加剂和防腐剂等有适当的储</w:t>
      </w:r>
      <w:r>
        <w:rPr>
          <w:spacing w:val="3"/>
        </w:rPr>
        <w:t>备</w:t>
      </w:r>
      <w:r>
        <w:rPr>
          <w:rFonts w:hint="eastAsia" w:ascii="MS UI Gothic" w:eastAsia="MS UI Gothic"/>
          <w:spacing w:val="18"/>
          <w:w w:val="80"/>
        </w:rPr>
        <w:t xml:space="preserve">ꎮ </w:t>
      </w:r>
      <w:r>
        <w:rPr>
          <w:spacing w:val="14"/>
        </w:rPr>
        <w:t>钻井液中脱出的硫化氢气体集中排</w:t>
      </w:r>
      <w:r>
        <w:rPr>
          <w:spacing w:val="3"/>
        </w:rPr>
        <w:t>放</w:t>
      </w:r>
      <w:r>
        <w:rPr>
          <w:rFonts w:hint="eastAsia" w:ascii="MS UI Gothic" w:eastAsia="MS UI Gothic"/>
          <w:spacing w:val="21"/>
          <w:w w:val="80"/>
        </w:rPr>
        <w:t xml:space="preserve">ꎬ </w:t>
      </w:r>
      <w:r>
        <w:rPr>
          <w:spacing w:val="3"/>
        </w:rPr>
        <w:t>有条件情况下</w:t>
      </w:r>
      <w:r>
        <w:rPr>
          <w:rFonts w:hint="eastAsia" w:ascii="MS UI Gothic" w:eastAsia="MS UI Gothic"/>
          <w:spacing w:val="22"/>
          <w:w w:val="80"/>
        </w:rPr>
        <w:t xml:space="preserve">ꎬ </w:t>
      </w:r>
      <w:r>
        <w:rPr>
          <w:spacing w:val="3"/>
        </w:rPr>
        <w:t>可以点火燃烧</w:t>
      </w:r>
      <w:r>
        <w:rPr>
          <w:rFonts w:hint="eastAsia" w:ascii="MS UI Gothic" w:eastAsia="MS UI Gothic"/>
          <w:w w:val="80"/>
        </w:rPr>
        <w:t>ꎻ</w:t>
      </w:r>
    </w:p>
    <w:p>
      <w:pPr>
        <w:pStyle w:val="6"/>
        <w:spacing w:line="292" w:lineRule="auto"/>
        <w:ind w:left="118" w:right="440" w:firstLine="425"/>
        <w:rPr>
          <w:rFonts w:hint="eastAsia" w:ascii="MS UI Gothic" w:eastAsia="MS UI Gothic"/>
        </w:rPr>
      </w:pPr>
      <w:r>
        <w:rPr>
          <w:rFonts w:hint="eastAsia" w:ascii="MS UI Gothic" w:eastAsia="MS UI Gothic"/>
          <w:w w:val="140"/>
        </w:rPr>
        <w:t xml:space="preserve">( </w:t>
      </w:r>
      <w:r>
        <w:t>六</w:t>
      </w:r>
      <w:r>
        <w:rPr>
          <w:rFonts w:hint="eastAsia" w:ascii="MS UI Gothic" w:eastAsia="MS UI Gothic"/>
          <w:w w:val="140"/>
        </w:rPr>
        <w:t xml:space="preserve">) </w:t>
      </w:r>
      <w:r>
        <w:t>钻遇含硫化氢地层</w:t>
      </w:r>
      <w:r>
        <w:rPr>
          <w:rFonts w:hint="eastAsia" w:ascii="MS UI Gothic" w:eastAsia="MS UI Gothic"/>
          <w:w w:val="85"/>
        </w:rPr>
        <w:t xml:space="preserve">ꎬ </w:t>
      </w:r>
      <w:r>
        <w:t>起钻时使用钻杆刮泥器</w:t>
      </w:r>
      <w:r>
        <w:rPr>
          <w:rFonts w:hint="eastAsia" w:ascii="MS UI Gothic" w:eastAsia="MS UI Gothic"/>
          <w:w w:val="85"/>
        </w:rPr>
        <w:t xml:space="preserve">ꎮ </w:t>
      </w:r>
      <w:r>
        <w:t>若将湿钻杆放在甲板上</w:t>
      </w:r>
      <w:r>
        <w:rPr>
          <w:rFonts w:hint="eastAsia" w:ascii="MS UI Gothic" w:eastAsia="MS UI Gothic"/>
          <w:w w:val="85"/>
        </w:rPr>
        <w:t>ꎬ</w:t>
      </w:r>
      <w:r>
        <w:t>必要时</w:t>
      </w:r>
      <w:r>
        <w:rPr>
          <w:rFonts w:hint="eastAsia" w:ascii="MS UI Gothic" w:eastAsia="MS UI Gothic"/>
          <w:w w:val="85"/>
        </w:rPr>
        <w:t xml:space="preserve">ꎬ </w:t>
      </w:r>
      <w:r>
        <w:t>作业人员佩戴正压式空气呼吸器</w:t>
      </w:r>
      <w:r>
        <w:rPr>
          <w:rFonts w:hint="eastAsia" w:ascii="MS UI Gothic" w:eastAsia="MS UI Gothic"/>
          <w:w w:val="85"/>
        </w:rPr>
        <w:t xml:space="preserve">ꎮ </w:t>
      </w:r>
      <w:r>
        <w:t>钻进中发现空气中含硫化氢浓度达到</w:t>
      </w:r>
      <w:r>
        <w:rPr>
          <w:rFonts w:hint="eastAsia" w:ascii="MS UI Gothic" w:eastAsia="MS UI Gothic"/>
          <w:w w:val="75"/>
        </w:rPr>
        <w:t>３０</w:t>
      </w:r>
      <w:r>
        <w:rPr>
          <w:rFonts w:hint="eastAsia" w:ascii="MS UI Gothic" w:eastAsia="MS UI Gothic"/>
        </w:rPr>
        <w:t xml:space="preserve"> </w:t>
      </w:r>
      <w:r>
        <w:rPr>
          <w:rFonts w:hint="eastAsia" w:ascii="MS UI Gothic" w:eastAsia="MS UI Gothic"/>
          <w:w w:val="79"/>
        </w:rPr>
        <w:t>ｍ</w:t>
      </w:r>
      <w:r>
        <w:rPr>
          <w:rFonts w:hint="eastAsia" w:ascii="MS UI Gothic" w:eastAsia="MS UI Gothic"/>
          <w:w w:val="78"/>
        </w:rPr>
        <w:t>ｇ</w:t>
      </w:r>
      <w:r>
        <w:rPr>
          <w:rFonts w:hint="eastAsia" w:ascii="MS UI Gothic" w:eastAsia="MS UI Gothic"/>
        </w:rPr>
        <w:t xml:space="preserve"> </w:t>
      </w:r>
      <w:r>
        <w:rPr>
          <w:rFonts w:hint="eastAsia" w:ascii="MS UI Gothic" w:eastAsia="MS UI Gothic"/>
          <w:w w:val="34"/>
        </w:rPr>
        <w:t>/</w:t>
      </w:r>
      <w:r>
        <w:rPr>
          <w:rFonts w:hint="eastAsia" w:ascii="MS UI Gothic" w:eastAsia="MS UI Gothic"/>
        </w:rPr>
        <w:t xml:space="preserve"> </w:t>
      </w:r>
      <w:r>
        <w:rPr>
          <w:rFonts w:hint="eastAsia" w:ascii="MS UI Gothic" w:eastAsia="MS UI Gothic"/>
          <w:w w:val="79"/>
        </w:rPr>
        <w:t>ｍ</w:t>
      </w:r>
      <w:r>
        <w:rPr>
          <w:rFonts w:hint="eastAsia" w:ascii="MS UI Gothic" w:eastAsia="MS UI Gothic"/>
          <w:w w:val="72"/>
          <w:position w:val="9"/>
          <w:sz w:val="12"/>
        </w:rPr>
        <w:t>３</w:t>
      </w:r>
      <w:r>
        <w:rPr>
          <w:rFonts w:hint="eastAsia" w:ascii="MS UI Gothic" w:eastAsia="MS UI Gothic"/>
          <w:position w:val="9"/>
          <w:sz w:val="12"/>
        </w:rPr>
        <w:t xml:space="preserve">   </w:t>
      </w:r>
      <w:r>
        <w:rPr>
          <w:rFonts w:hint="eastAsia" w:ascii="MS UI Gothic" w:eastAsia="MS UI Gothic"/>
          <w:w w:val="168"/>
        </w:rPr>
        <w:t>(</w:t>
      </w:r>
      <w:r>
        <w:rPr>
          <w:rFonts w:hint="eastAsia" w:ascii="MS UI Gothic" w:eastAsia="MS UI Gothic"/>
        </w:rPr>
        <w:t xml:space="preserve"> </w:t>
      </w:r>
      <w:r>
        <w:rPr>
          <w:rFonts w:hint="eastAsia" w:ascii="MS UI Gothic" w:eastAsia="MS UI Gothic"/>
          <w:w w:val="75"/>
        </w:rPr>
        <w:t>２０</w:t>
      </w:r>
      <w:r>
        <w:rPr>
          <w:rFonts w:hint="eastAsia" w:ascii="MS UI Gothic" w:eastAsia="MS UI Gothic"/>
        </w:rPr>
        <w:t xml:space="preserve">  </w:t>
      </w:r>
      <w:r>
        <w:rPr>
          <w:rFonts w:hint="eastAsia" w:ascii="MS UI Gothic" w:eastAsia="MS UI Gothic"/>
          <w:w w:val="84"/>
        </w:rPr>
        <w:t>ｐｐ</w:t>
      </w:r>
      <w:r>
        <w:rPr>
          <w:rFonts w:hint="eastAsia" w:ascii="MS UI Gothic" w:eastAsia="MS UI Gothic"/>
          <w:w w:val="79"/>
        </w:rPr>
        <w:t>ｍ</w:t>
      </w:r>
      <w:r>
        <w:rPr>
          <w:rFonts w:hint="eastAsia" w:ascii="MS UI Gothic" w:eastAsia="MS UI Gothic"/>
          <w:w w:val="168"/>
        </w:rPr>
        <w:t>)</w:t>
      </w:r>
      <w:r>
        <w:rPr>
          <w:rFonts w:hint="eastAsia" w:ascii="MS UI Gothic" w:eastAsia="MS UI Gothic"/>
        </w:rPr>
        <w:t xml:space="preserve">  </w:t>
      </w:r>
      <w:r>
        <w:rPr>
          <w:w w:val="102"/>
        </w:rPr>
        <w:t>时</w:t>
      </w:r>
      <w:r>
        <w:rPr>
          <w:rFonts w:hint="eastAsia" w:ascii="MS UI Gothic" w:eastAsia="MS UI Gothic"/>
          <w:w w:val="51"/>
        </w:rPr>
        <w:t>ꎬ</w:t>
      </w:r>
      <w:r>
        <w:rPr>
          <w:rFonts w:hint="eastAsia" w:ascii="MS UI Gothic" w:eastAsia="MS UI Gothic"/>
        </w:rPr>
        <w:t xml:space="preserve">  </w:t>
      </w:r>
      <w:r>
        <w:rPr>
          <w:w w:val="102"/>
        </w:rPr>
        <w:t>立即暂时停止</w:t>
      </w:r>
      <w:r>
        <w:t>钻进</w:t>
      </w:r>
      <w:r>
        <w:rPr>
          <w:rFonts w:hint="eastAsia" w:ascii="MS UI Gothic" w:eastAsia="MS UI Gothic"/>
          <w:w w:val="85"/>
        </w:rPr>
        <w:t xml:space="preserve">ꎬ </w:t>
      </w:r>
      <w:r>
        <w:t>并循环井液</w:t>
      </w:r>
      <w:r>
        <w:rPr>
          <w:rFonts w:hint="eastAsia" w:ascii="MS UI Gothic" w:eastAsia="MS UI Gothic"/>
          <w:w w:val="85"/>
        </w:rPr>
        <w:t>ꎻ</w:t>
      </w:r>
    </w:p>
    <w:p>
      <w:pPr>
        <w:pStyle w:val="6"/>
        <w:spacing w:line="292" w:lineRule="auto"/>
        <w:ind w:right="442"/>
        <w:rPr>
          <w:rFonts w:hint="eastAsia" w:ascii="MS UI Gothic" w:eastAsia="MS UI Gothic"/>
        </w:rPr>
      </w:pPr>
      <w:r>
        <w:rPr>
          <w:rFonts w:hint="eastAsia" w:ascii="MS UI Gothic" w:eastAsia="MS UI Gothic"/>
          <w:w w:val="145"/>
        </w:rPr>
        <w:t xml:space="preserve">( </w:t>
      </w:r>
      <w:r>
        <w:t>七</w:t>
      </w:r>
      <w:r>
        <w:rPr>
          <w:rFonts w:hint="eastAsia" w:ascii="MS UI Gothic" w:eastAsia="MS UI Gothic"/>
          <w:w w:val="145"/>
        </w:rPr>
        <w:t xml:space="preserve">) </w:t>
      </w:r>
      <w:r>
        <w:t>在含硫化氢地层取芯</w:t>
      </w:r>
      <w:r>
        <w:rPr>
          <w:rFonts w:hint="eastAsia" w:ascii="MS UI Gothic" w:eastAsia="MS UI Gothic"/>
          <w:w w:val="80"/>
        </w:rPr>
        <w:t xml:space="preserve">ꎬ </w:t>
      </w:r>
      <w:r>
        <w:t xml:space="preserve">当取芯筒起出地面之前 </w:t>
      </w:r>
      <w:r>
        <w:rPr>
          <w:rFonts w:hint="eastAsia" w:ascii="MS UI Gothic" w:eastAsia="MS UI Gothic"/>
          <w:w w:val="80"/>
        </w:rPr>
        <w:t xml:space="preserve">１０ </w:t>
      </w:r>
      <w:r>
        <w:rPr>
          <w:rFonts w:hint="eastAsia" w:ascii="MS UI Gothic" w:eastAsia="MS UI Gothic"/>
          <w:w w:val="80"/>
          <w:position w:val="1"/>
        </w:rPr>
        <w:t xml:space="preserve">－ </w:t>
      </w:r>
      <w:r>
        <w:rPr>
          <w:rFonts w:hint="eastAsia" w:ascii="MS UI Gothic" w:eastAsia="MS UI Gothic"/>
          <w:w w:val="80"/>
        </w:rPr>
        <w:t xml:space="preserve">２０ </w:t>
      </w:r>
      <w:r>
        <w:t>个立柱</w:t>
      </w:r>
      <w:r>
        <w:rPr>
          <w:rFonts w:hint="eastAsia" w:ascii="MS UI Gothic" w:eastAsia="MS UI Gothic"/>
          <w:w w:val="80"/>
        </w:rPr>
        <w:t xml:space="preserve">ꎬ </w:t>
      </w:r>
      <w:r>
        <w:t>以及从岩芯筒取出岩芯时</w:t>
      </w:r>
      <w:r>
        <w:rPr>
          <w:rFonts w:hint="eastAsia" w:ascii="MS UI Gothic" w:eastAsia="MS UI Gothic"/>
          <w:w w:val="80"/>
        </w:rPr>
        <w:t xml:space="preserve">ꎬ </w:t>
      </w:r>
      <w:r>
        <w:t>操作人员戴好正压式空气呼吸器</w:t>
      </w:r>
      <w:r>
        <w:rPr>
          <w:rFonts w:hint="eastAsia" w:ascii="MS UI Gothic" w:eastAsia="MS UI Gothic"/>
          <w:w w:val="80"/>
        </w:rPr>
        <w:t xml:space="preserve">ꎮ </w:t>
      </w:r>
      <w:r>
        <w:t>运送含硫化氢岩芯时</w:t>
      </w:r>
      <w:r>
        <w:rPr>
          <w:rFonts w:hint="eastAsia" w:ascii="MS UI Gothic" w:eastAsia="MS UI Gothic"/>
          <w:w w:val="80"/>
        </w:rPr>
        <w:t xml:space="preserve">ꎬ </w:t>
      </w:r>
      <w:r>
        <w:t>采取相应包装措施密封岩芯</w:t>
      </w:r>
      <w:r>
        <w:rPr>
          <w:rFonts w:hint="eastAsia" w:ascii="MS UI Gothic" w:eastAsia="MS UI Gothic"/>
          <w:w w:val="80"/>
        </w:rPr>
        <w:t xml:space="preserve">ꎬ </w:t>
      </w:r>
      <w:r>
        <w:t>并标明岩芯含硫化氢字样</w:t>
      </w:r>
      <w:r>
        <w:rPr>
          <w:rFonts w:hint="eastAsia" w:ascii="MS UI Gothic" w:eastAsia="MS UI Gothic"/>
          <w:w w:val="80"/>
        </w:rPr>
        <w:t xml:space="preserve">ꎮ </w:t>
      </w:r>
      <w:r>
        <w:t>在井液录井中若发现有硫化氢显示时</w:t>
      </w:r>
      <w:r>
        <w:rPr>
          <w:rFonts w:hint="eastAsia" w:ascii="MS UI Gothic" w:eastAsia="MS UI Gothic"/>
          <w:w w:val="80"/>
        </w:rPr>
        <w:t xml:space="preserve">ꎬ </w:t>
      </w:r>
      <w:r>
        <w:t>及时向钻井监督报告</w:t>
      </w:r>
      <w:r>
        <w:rPr>
          <w:rFonts w:hint="eastAsia" w:ascii="MS UI Gothic" w:eastAsia="MS UI Gothic"/>
          <w:w w:val="80"/>
        </w:rPr>
        <w:t>ꎻ</w:t>
      </w:r>
    </w:p>
    <w:p>
      <w:pPr>
        <w:spacing w:after="0" w:line="292"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１９５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09" o:spid="_x0000_s1609" o:spt="203" style="height:2.15pt;width:398.25pt;" coordsize="7965,43">
            <o:lock v:ext="edit"/>
            <v:line id="_x0000_s1610" o:spid="_x0000_s1610" o:spt="20" style="position:absolute;left:0;top:39;height:0;width:7965;" stroked="t" coordsize="21600,21600">
              <v:path arrowok="t"/>
              <v:fill focussize="0,0"/>
              <v:stroke weight="0.388031496062992pt" color="#231F20"/>
              <v:imagedata o:title=""/>
              <o:lock v:ext="edit"/>
            </v:line>
            <v:line id="_x0000_s1611" o:spid="_x0000_s161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在预计含硫化氢地层进行中途</w:t>
      </w:r>
      <w:r>
        <w:t>测试时</w:t>
      </w:r>
      <w:r>
        <w:rPr>
          <w:rFonts w:hint="eastAsia" w:ascii="MS UI Gothic" w:eastAsia="MS UI Gothic"/>
          <w:w w:val="80"/>
        </w:rPr>
        <w:t xml:space="preserve">ꎬ </w:t>
      </w:r>
      <w:r>
        <w:t>测试时间尽量安排在白天</w:t>
      </w:r>
      <w:r>
        <w:rPr>
          <w:rFonts w:hint="eastAsia" w:ascii="MS UI Gothic" w:eastAsia="MS UI Gothic"/>
          <w:w w:val="80"/>
        </w:rPr>
        <w:t xml:space="preserve">ꎬ </w:t>
      </w:r>
      <w:r>
        <w:t>测试器具附近尽量减少操作人员</w:t>
      </w:r>
      <w:r>
        <w:rPr>
          <w:rFonts w:hint="eastAsia" w:ascii="MS UI Gothic" w:eastAsia="MS UI Gothic"/>
          <w:w w:val="80"/>
        </w:rPr>
        <w:t xml:space="preserve">ꎮ </w:t>
      </w:r>
      <w:r>
        <w:t>严禁采用常规的中途测试工具对深部含硫化氢的地层</w:t>
      </w:r>
      <w:r>
        <w:rPr>
          <w:w w:val="105"/>
        </w:rPr>
        <w:t>进行测试</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钻穿含硫化氢地层后</w:t>
      </w:r>
      <w:r>
        <w:rPr>
          <w:rFonts w:hint="eastAsia" w:ascii="MS UI Gothic" w:eastAsia="MS UI Gothic"/>
          <w:w w:val="80"/>
        </w:rPr>
        <w:t xml:space="preserve">ꎬ </w:t>
      </w:r>
      <w:r>
        <w:rPr>
          <w:w w:val="105"/>
        </w:rPr>
        <w:t>增加工作区的监测频率</w:t>
      </w:r>
      <w:r>
        <w:rPr>
          <w:rFonts w:hint="eastAsia" w:ascii="MS UI Gothic" w:eastAsia="MS UI Gothic"/>
          <w:w w:val="80"/>
        </w:rPr>
        <w:t xml:space="preserve">ꎬ </w:t>
      </w:r>
      <w:r>
        <w:rPr>
          <w:w w:val="105"/>
        </w:rPr>
        <w:t>加强硫化氢监测</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对于在含硫化氢地层进行试</w:t>
      </w:r>
      <w:r>
        <w:t>油</w:t>
      </w:r>
      <w:r>
        <w:rPr>
          <w:rFonts w:hint="eastAsia" w:ascii="MS UI Gothic" w:eastAsia="MS UI Gothic"/>
          <w:w w:val="80"/>
        </w:rPr>
        <w:t xml:space="preserve">ꎬ </w:t>
      </w:r>
      <w:r>
        <w:t>试油前召开安全会议</w:t>
      </w:r>
      <w:r>
        <w:rPr>
          <w:rFonts w:hint="eastAsia" w:ascii="MS UI Gothic" w:eastAsia="MS UI Gothic"/>
          <w:w w:val="80"/>
        </w:rPr>
        <w:t xml:space="preserve">ꎬ </w:t>
      </w:r>
      <w:r>
        <w:t>落实人员防护器具和人员急救程序及应急措施</w:t>
      </w:r>
      <w:r>
        <w:rPr>
          <w:rFonts w:hint="eastAsia" w:ascii="MS UI Gothic" w:eastAsia="MS UI Gothic"/>
          <w:w w:val="80"/>
        </w:rPr>
        <w:t xml:space="preserve">ꎮ </w:t>
      </w:r>
      <w:r>
        <w:t>在试油</w:t>
      </w:r>
      <w:r>
        <w:rPr>
          <w:w w:val="105"/>
        </w:rPr>
        <w:t>设备附近</w:t>
      </w:r>
      <w:r>
        <w:rPr>
          <w:rFonts w:hint="eastAsia" w:ascii="MS UI Gothic" w:eastAsia="MS UI Gothic"/>
          <w:w w:val="80"/>
        </w:rPr>
        <w:t xml:space="preserve">ꎬ </w:t>
      </w:r>
      <w:r>
        <w:rPr>
          <w:w w:val="105"/>
        </w:rPr>
        <w:t>人员减少到最低限度</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第六十七条 在可能含有硫化氢地层进行钻进作业时</w:t>
      </w:r>
      <w:r>
        <w:rPr>
          <w:rFonts w:hint="eastAsia" w:ascii="MS UI Gothic" w:eastAsia="MS UI Gothic"/>
          <w:w w:val="80"/>
        </w:rPr>
        <w:t xml:space="preserve">ꎬ </w:t>
      </w:r>
      <w:r>
        <w:rPr>
          <w:w w:val="105"/>
        </w:rPr>
        <w:t>其钻井设备</w:t>
      </w:r>
      <w:r>
        <w:rPr>
          <w:rFonts w:hint="eastAsia" w:ascii="MS UI Gothic" w:eastAsia="MS UI Gothic"/>
          <w:w w:val="80"/>
        </w:rPr>
        <w:t xml:space="preserve">、 </w:t>
      </w:r>
      <w:r>
        <w:rPr>
          <w:w w:val="105"/>
        </w:rPr>
        <w:t>器具应当符合下列规定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钻井设备具备抗硫应力开裂的</w:t>
      </w:r>
      <w:r>
        <w:rPr>
          <w:spacing w:val="3"/>
          <w:w w:val="110"/>
        </w:rPr>
        <w:t>性能</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2"/>
          <w:w w:val="150"/>
        </w:rPr>
        <w:t xml:space="preserve">) </w:t>
      </w:r>
      <w:r>
        <w:rPr>
          <w:spacing w:val="5"/>
          <w:w w:val="105"/>
        </w:rPr>
        <w:t>管材具有在硫化氢环境中使用</w:t>
      </w:r>
      <w:r>
        <w:rPr>
          <w:spacing w:val="18"/>
        </w:rPr>
        <w:t>的性能</w:t>
      </w:r>
      <w:r>
        <w:rPr>
          <w:rFonts w:hint="eastAsia" w:ascii="MS UI Gothic" w:eastAsia="MS UI Gothic"/>
          <w:spacing w:val="2"/>
          <w:w w:val="80"/>
        </w:rPr>
        <w:t xml:space="preserve">ꎬ </w:t>
      </w:r>
      <w:r>
        <w:rPr>
          <w:spacing w:val="31"/>
        </w:rPr>
        <w:t>并按照国家有关标准的要求</w:t>
      </w:r>
      <w:r>
        <w:rPr>
          <w:spacing w:val="3"/>
          <w:w w:val="105"/>
        </w:rPr>
        <w:t>使用</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对所使用作业设备</w:t>
      </w:r>
      <w:r>
        <w:rPr>
          <w:rFonts w:hint="eastAsia" w:ascii="MS UI Gothic" w:eastAsia="MS UI Gothic"/>
          <w:w w:val="80"/>
        </w:rPr>
        <w:t xml:space="preserve">、 </w:t>
      </w:r>
      <w:r>
        <w:rPr>
          <w:w w:val="105"/>
        </w:rPr>
        <w:t>管材</w:t>
      </w:r>
      <w:r>
        <w:rPr>
          <w:rFonts w:hint="eastAsia" w:ascii="MS UI Gothic" w:eastAsia="MS UI Gothic"/>
          <w:w w:val="80"/>
        </w:rPr>
        <w:t xml:space="preserve">、 </w:t>
      </w:r>
      <w:r>
        <w:rPr>
          <w:w w:val="105"/>
        </w:rPr>
        <w:t>生</w:t>
      </w:r>
      <w:r>
        <w:t>产流程及附件等</w:t>
      </w:r>
      <w:r>
        <w:rPr>
          <w:rFonts w:hint="eastAsia" w:ascii="MS UI Gothic" w:eastAsia="MS UI Gothic"/>
          <w:w w:val="80"/>
        </w:rPr>
        <w:t xml:space="preserve">ꎬ </w:t>
      </w:r>
      <w:r>
        <w:t>定期进行安全检查和检</w:t>
      </w:r>
      <w:r>
        <w:rPr>
          <w:w w:val="105"/>
        </w:rPr>
        <w:t>测检验</w:t>
      </w:r>
      <w:r>
        <w:rPr>
          <w:rFonts w:hint="eastAsia" w:ascii="MS UI Gothic" w:eastAsia="MS UI Gothic"/>
          <w:w w:val="80"/>
        </w:rPr>
        <w:t>ꎮ</w:t>
      </w:r>
    </w:p>
    <w:p>
      <w:pPr>
        <w:pStyle w:val="6"/>
        <w:spacing w:line="295" w:lineRule="auto"/>
        <w:ind w:left="440"/>
        <w:rPr>
          <w:rFonts w:hint="eastAsia" w:ascii="MS UI Gothic" w:eastAsia="MS UI Gothic"/>
        </w:rPr>
      </w:pPr>
      <w:r>
        <w:t>第六十八条 完井和修井作业的硫化氢防护</w:t>
      </w:r>
      <w:r>
        <w:rPr>
          <w:rFonts w:hint="eastAsia" w:ascii="MS UI Gothic" w:eastAsia="MS UI Gothic"/>
          <w:w w:val="80"/>
        </w:rPr>
        <w:t xml:space="preserve">ꎬ </w:t>
      </w:r>
      <w:r>
        <w:t>参照钻井作业的有关要求执行</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第六十九条 在可能含有硫化氢地层</w:t>
      </w:r>
      <w:r>
        <w:t>进行生产作业时</w:t>
      </w:r>
      <w:r>
        <w:rPr>
          <w:rFonts w:hint="eastAsia" w:ascii="MS UI Gothic" w:eastAsia="MS UI Gothic"/>
          <w:w w:val="80"/>
        </w:rPr>
        <w:t xml:space="preserve">ꎬ </w:t>
      </w:r>
      <w:r>
        <w:t>应当采取下列硫化氢防</w:t>
      </w:r>
      <w:r>
        <w:rPr>
          <w:w w:val="110"/>
        </w:rPr>
        <w:t>护措施</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8"/>
          <w:w w:val="150"/>
        </w:rPr>
        <w:t xml:space="preserve">) </w:t>
      </w:r>
      <w:r>
        <w:rPr>
          <w:spacing w:val="-4"/>
          <w:w w:val="105"/>
        </w:rPr>
        <w:t xml:space="preserve">生产设施上配备 </w:t>
      </w:r>
      <w:r>
        <w:rPr>
          <w:rFonts w:hint="eastAsia" w:ascii="MS UI Gothic" w:eastAsia="MS UI Gothic"/>
          <w:spacing w:val="4"/>
          <w:w w:val="80"/>
        </w:rPr>
        <w:t xml:space="preserve">６ </w:t>
      </w:r>
      <w:r>
        <w:rPr>
          <w:spacing w:val="8"/>
          <w:w w:val="105"/>
        </w:rPr>
        <w:t>套正压式空</w:t>
      </w:r>
      <w:r>
        <w:rPr>
          <w:spacing w:val="3"/>
        </w:rPr>
        <w:t>气呼吸器</w:t>
      </w:r>
      <w:r>
        <w:rPr>
          <w:rFonts w:hint="eastAsia" w:ascii="MS UI Gothic" w:eastAsia="MS UI Gothic"/>
          <w:spacing w:val="21"/>
          <w:w w:val="80"/>
        </w:rPr>
        <w:t xml:space="preserve">ꎮ </w:t>
      </w:r>
      <w:r>
        <w:rPr>
          <w:spacing w:val="2"/>
        </w:rPr>
        <w:t>在已知存在含硫油气生产设施</w:t>
      </w:r>
      <w:r>
        <w:rPr>
          <w:spacing w:val="3"/>
        </w:rPr>
        <w:t>上</w:t>
      </w:r>
      <w:r>
        <w:rPr>
          <w:rFonts w:hint="eastAsia" w:ascii="MS UI Gothic" w:eastAsia="MS UI Gothic"/>
          <w:spacing w:val="23"/>
          <w:w w:val="80"/>
        </w:rPr>
        <w:t xml:space="preserve">ꎬ </w:t>
      </w:r>
      <w:r>
        <w:rPr>
          <w:spacing w:val="3"/>
        </w:rPr>
        <w:t>全员配备正压式空气呼吸器</w:t>
      </w:r>
      <w:r>
        <w:rPr>
          <w:rFonts w:hint="eastAsia" w:ascii="MS UI Gothic" w:eastAsia="MS UI Gothic"/>
          <w:spacing w:val="23"/>
          <w:w w:val="80"/>
        </w:rPr>
        <w:t xml:space="preserve">ꎬ </w:t>
      </w:r>
      <w:r>
        <w:rPr>
          <w:spacing w:val="2"/>
        </w:rPr>
        <w:t>并配备</w:t>
      </w:r>
      <w:r>
        <w:rPr>
          <w:spacing w:val="-7"/>
          <w:w w:val="105"/>
        </w:rPr>
        <w:t xml:space="preserve">一定数量的备用气瓶及 </w:t>
      </w:r>
      <w:r>
        <w:rPr>
          <w:rFonts w:hint="eastAsia" w:ascii="MS UI Gothic" w:eastAsia="MS UI Gothic"/>
          <w:spacing w:val="-14"/>
          <w:w w:val="80"/>
        </w:rPr>
        <w:t xml:space="preserve">１ </w:t>
      </w:r>
      <w:r>
        <w:rPr>
          <w:spacing w:val="2"/>
          <w:w w:val="105"/>
        </w:rPr>
        <w:t>台呼吸器空气压</w:t>
      </w:r>
      <w:r>
        <w:rPr>
          <w:spacing w:val="3"/>
          <w:w w:val="105"/>
        </w:rPr>
        <w:t>缩机</w:t>
      </w:r>
      <w:r>
        <w:rPr>
          <w:rFonts w:hint="eastAsia" w:ascii="MS UI Gothic" w:eastAsia="MS UI Gothic"/>
          <w:w w:val="80"/>
        </w:rPr>
        <w:t>ꎻ</w:t>
      </w:r>
    </w:p>
    <w:p>
      <w:pPr>
        <w:pStyle w:val="6"/>
        <w:spacing w:line="252" w:lineRule="exact"/>
        <w:ind w:left="860" w:firstLine="0"/>
      </w:pPr>
      <w:r>
        <w:rPr>
          <w:rFonts w:hint="eastAsia" w:ascii="MS UI Gothic" w:eastAsia="MS UI Gothic"/>
          <w:spacing w:val="-41"/>
          <w:w w:val="150"/>
        </w:rPr>
        <w:t xml:space="preserve">( </w:t>
      </w:r>
      <w:r>
        <w:rPr>
          <w:spacing w:val="3"/>
          <w:w w:val="110"/>
        </w:rPr>
        <w:t>二</w:t>
      </w:r>
      <w:r>
        <w:rPr>
          <w:rFonts w:hint="eastAsia" w:ascii="MS UI Gothic" w:eastAsia="MS UI Gothic"/>
          <w:spacing w:val="-16"/>
          <w:w w:val="150"/>
        </w:rPr>
        <w:t xml:space="preserve">) </w:t>
      </w:r>
      <w:r>
        <w:rPr>
          <w:spacing w:val="-8"/>
          <w:w w:val="110"/>
        </w:rPr>
        <w:t xml:space="preserve">生产设施上配备 </w:t>
      </w:r>
      <w:r>
        <w:rPr>
          <w:rFonts w:hint="eastAsia" w:ascii="MS UI Gothic" w:eastAsia="MS UI Gothic"/>
          <w:spacing w:val="-15"/>
        </w:rPr>
        <w:t xml:space="preserve">２ </w:t>
      </w:r>
      <w:r>
        <w:rPr>
          <w:spacing w:val="-41"/>
          <w:w w:val="110"/>
        </w:rPr>
        <w:t xml:space="preserve">至 </w:t>
      </w:r>
      <w:r>
        <w:rPr>
          <w:rFonts w:hint="eastAsia" w:ascii="MS UI Gothic" w:eastAsia="MS UI Gothic"/>
          <w:spacing w:val="-14"/>
        </w:rPr>
        <w:t xml:space="preserve">３ </w:t>
      </w:r>
      <w:r>
        <w:rPr>
          <w:spacing w:val="7"/>
          <w:w w:val="110"/>
        </w:rPr>
        <w:t>套便携</w:t>
      </w:r>
    </w:p>
    <w:p>
      <w:pPr>
        <w:pStyle w:val="6"/>
        <w:spacing w:before="37" w:line="295" w:lineRule="auto"/>
        <w:ind w:left="440" w:firstLine="0"/>
        <w:rPr>
          <w:rFonts w:hint="eastAsia" w:ascii="MS UI Gothic" w:eastAsia="MS UI Gothic"/>
        </w:rPr>
      </w:pPr>
      <w:r>
        <w:t>式硫化氢探测仪</w:t>
      </w:r>
      <w:r>
        <w:rPr>
          <w:rFonts w:hint="eastAsia" w:ascii="MS UI Gothic" w:eastAsia="MS UI Gothic"/>
          <w:w w:val="80"/>
        </w:rPr>
        <w:t xml:space="preserve">、 １ </w:t>
      </w:r>
      <w:r>
        <w:t xml:space="preserve">套便携式比色指示管探测仪和 </w:t>
      </w:r>
      <w:r>
        <w:rPr>
          <w:rFonts w:hint="eastAsia" w:ascii="MS UI Gothic" w:eastAsia="MS UI Gothic"/>
          <w:w w:val="80"/>
        </w:rPr>
        <w:t xml:space="preserve">１ </w:t>
      </w:r>
      <w:r>
        <w:t>套便携式二氧化硫探测仪</w:t>
      </w:r>
      <w:r>
        <w:rPr>
          <w:rFonts w:hint="eastAsia" w:ascii="MS UI Gothic" w:eastAsia="MS UI Gothic"/>
          <w:w w:val="80"/>
        </w:rPr>
        <w:t xml:space="preserve">ꎮ </w:t>
      </w:r>
      <w:r>
        <w:t>在已知存在硫化氢的生产装置上</w:t>
      </w:r>
      <w:r>
        <w:rPr>
          <w:rFonts w:hint="eastAsia" w:ascii="MS UI Gothic" w:eastAsia="MS UI Gothic"/>
          <w:w w:val="80"/>
        </w:rPr>
        <w:t xml:space="preserve">ꎬ </w:t>
      </w:r>
      <w:r>
        <w:t>安装硫化氢报警装置</w:t>
      </w:r>
      <w:r>
        <w:rPr>
          <w:rFonts w:hint="eastAsia" w:ascii="MS UI Gothic" w:eastAsia="MS UI Gothic"/>
          <w:w w:val="80"/>
        </w:rPr>
        <w:t>ꎻ</w:t>
      </w:r>
    </w:p>
    <w:p>
      <w:pPr>
        <w:pStyle w:val="6"/>
        <w:spacing w:line="253" w:lineRule="exact"/>
        <w:ind w:left="860" w:firstLine="0"/>
        <w:rPr>
          <w:rFonts w:hint="eastAsia" w:ascii="MS UI Gothic" w:eastAsia="MS UI Gothic"/>
          <w:sz w:val="12"/>
        </w:rPr>
      </w:pPr>
      <w:r>
        <w:rPr>
          <w:rFonts w:hint="eastAsia" w:ascii="MS UI Gothic" w:eastAsia="MS UI Gothic"/>
          <w:spacing w:val="19"/>
          <w:w w:val="145"/>
        </w:rPr>
        <w:t>(</w:t>
      </w:r>
      <w:r>
        <w:rPr>
          <w:spacing w:val="3"/>
        </w:rPr>
        <w:t>三</w:t>
      </w:r>
      <w:r>
        <w:rPr>
          <w:rFonts w:hint="eastAsia" w:ascii="MS UI Gothic" w:eastAsia="MS UI Gothic"/>
          <w:spacing w:val="-1"/>
          <w:w w:val="145"/>
        </w:rPr>
        <w:t xml:space="preserve">) </w:t>
      </w:r>
      <w:r>
        <w:rPr>
          <w:spacing w:val="-5"/>
        </w:rPr>
        <w:t xml:space="preserve">当空气中硫化氢达到 </w:t>
      </w:r>
      <w:r>
        <w:rPr>
          <w:rFonts w:hint="eastAsia" w:ascii="MS UI Gothic" w:eastAsia="MS UI Gothic"/>
          <w:spacing w:val="-1"/>
          <w:w w:val="95"/>
        </w:rPr>
        <w:t xml:space="preserve">１５ </w:t>
      </w:r>
      <w:r>
        <w:rPr>
          <w:rFonts w:hint="eastAsia" w:ascii="MS UI Gothic" w:eastAsia="MS UI Gothic"/>
          <w:w w:val="95"/>
        </w:rPr>
        <w:t>ｍｇ</w:t>
      </w:r>
      <w:r>
        <w:rPr>
          <w:rFonts w:hint="eastAsia" w:ascii="MS UI Gothic" w:eastAsia="MS UI Gothic"/>
          <w:spacing w:val="-36"/>
          <w:w w:val="95"/>
        </w:rPr>
        <w:t xml:space="preserve"> </w:t>
      </w:r>
      <w:r>
        <w:rPr>
          <w:rFonts w:hint="eastAsia" w:ascii="MS UI Gothic" w:eastAsia="MS UI Gothic"/>
          <w:w w:val="70"/>
        </w:rPr>
        <w:t>/</w:t>
      </w:r>
      <w:r>
        <w:rPr>
          <w:rFonts w:hint="eastAsia" w:ascii="MS UI Gothic" w:eastAsia="MS UI Gothic"/>
          <w:spacing w:val="-12"/>
          <w:w w:val="70"/>
        </w:rPr>
        <w:t xml:space="preserve"> </w:t>
      </w:r>
      <w:r>
        <w:rPr>
          <w:rFonts w:hint="eastAsia" w:ascii="MS UI Gothic" w:eastAsia="MS UI Gothic"/>
          <w:spacing w:val="3"/>
          <w:w w:val="95"/>
        </w:rPr>
        <w:t>ｍ</w:t>
      </w:r>
      <w:r>
        <w:rPr>
          <w:rFonts w:hint="eastAsia" w:ascii="MS UI Gothic" w:eastAsia="MS UI Gothic"/>
          <w:spacing w:val="3"/>
          <w:w w:val="95"/>
          <w:position w:val="9"/>
          <w:sz w:val="12"/>
        </w:rPr>
        <w:t>３</w:t>
      </w:r>
    </w:p>
    <w:p>
      <w:pPr>
        <w:pStyle w:val="6"/>
        <w:spacing w:before="48"/>
        <w:ind w:left="440" w:firstLine="0"/>
        <w:rPr>
          <w:rFonts w:hint="eastAsia" w:ascii="MS UI Gothic" w:eastAsia="MS UI Gothic"/>
          <w:sz w:val="12"/>
        </w:rPr>
      </w:pPr>
      <w:r>
        <w:rPr>
          <w:rFonts w:hint="eastAsia" w:ascii="MS UI Gothic" w:eastAsia="MS UI Gothic"/>
          <w:spacing w:val="15"/>
          <w:w w:val="168"/>
        </w:rPr>
        <w:t>(</w:t>
      </w:r>
      <w:r>
        <w:rPr>
          <w:rFonts w:hint="eastAsia" w:ascii="MS UI Gothic" w:eastAsia="MS UI Gothic"/>
          <w:w w:val="75"/>
        </w:rPr>
        <w:t>１０</w:t>
      </w:r>
      <w:r>
        <w:rPr>
          <w:rFonts w:hint="eastAsia" w:ascii="MS UI Gothic" w:eastAsia="MS UI Gothic"/>
          <w:spacing w:val="14"/>
        </w:rPr>
        <w:t xml:space="preserve"> </w:t>
      </w:r>
      <w:r>
        <w:rPr>
          <w:rFonts w:hint="eastAsia" w:ascii="MS UI Gothic" w:eastAsia="MS UI Gothic"/>
          <w:w w:val="84"/>
        </w:rPr>
        <w:t>ｐｐ</w:t>
      </w:r>
      <w:r>
        <w:rPr>
          <w:rFonts w:hint="eastAsia" w:ascii="MS UI Gothic" w:eastAsia="MS UI Gothic"/>
          <w:spacing w:val="8"/>
          <w:w w:val="79"/>
        </w:rPr>
        <w:t>ｍ</w:t>
      </w:r>
      <w:r>
        <w:rPr>
          <w:rFonts w:hint="eastAsia" w:ascii="MS UI Gothic" w:eastAsia="MS UI Gothic"/>
          <w:w w:val="168"/>
        </w:rPr>
        <w:t>)</w:t>
      </w:r>
      <w:r>
        <w:rPr>
          <w:rFonts w:hint="eastAsia" w:ascii="MS UI Gothic" w:eastAsia="MS UI Gothic"/>
          <w:spacing w:val="5"/>
        </w:rPr>
        <w:t xml:space="preserve">  </w:t>
      </w:r>
      <w:r>
        <w:rPr>
          <w:spacing w:val="11"/>
          <w:w w:val="102"/>
        </w:rPr>
        <w:t>或者二氧化硫达到</w:t>
      </w:r>
      <w:r>
        <w:rPr>
          <w:spacing w:val="-36"/>
        </w:rPr>
        <w:t xml:space="preserve"> </w:t>
      </w:r>
      <w:r>
        <w:rPr>
          <w:rFonts w:hint="eastAsia" w:ascii="MS UI Gothic" w:eastAsia="MS UI Gothic"/>
          <w:w w:val="75"/>
        </w:rPr>
        <w:t>５</w:t>
      </w:r>
      <w:r>
        <w:rPr>
          <w:rFonts w:hint="eastAsia" w:ascii="MS UI Gothic" w:eastAsia="MS UI Gothic"/>
          <w:spacing w:val="-10"/>
        </w:rPr>
        <w:t xml:space="preserve"> </w:t>
      </w:r>
      <w:r>
        <w:rPr>
          <w:rFonts w:hint="eastAsia" w:ascii="MS UI Gothic" w:eastAsia="MS UI Gothic"/>
          <w:w w:val="75"/>
        </w:rPr>
        <w:t>４</w:t>
      </w:r>
      <w:r>
        <w:rPr>
          <w:rFonts w:hint="eastAsia" w:ascii="MS UI Gothic" w:eastAsia="MS UI Gothic"/>
          <w:spacing w:val="28"/>
        </w:rPr>
        <w:t xml:space="preserve"> </w:t>
      </w:r>
      <w:r>
        <w:rPr>
          <w:rFonts w:hint="eastAsia" w:ascii="MS UI Gothic" w:eastAsia="MS UI Gothic"/>
          <w:spacing w:val="-1"/>
          <w:w w:val="79"/>
        </w:rPr>
        <w:t>ｍ</w:t>
      </w:r>
      <w:r>
        <w:rPr>
          <w:rFonts w:hint="eastAsia" w:ascii="MS UI Gothic" w:eastAsia="MS UI Gothic"/>
          <w:w w:val="78"/>
        </w:rPr>
        <w:t>ｇ</w:t>
      </w:r>
      <w:r>
        <w:rPr>
          <w:rFonts w:hint="eastAsia" w:ascii="MS UI Gothic" w:eastAsia="MS UI Gothic"/>
          <w:spacing w:val="-30"/>
        </w:rPr>
        <w:t xml:space="preserve"> </w:t>
      </w:r>
      <w:r>
        <w:rPr>
          <w:rFonts w:hint="eastAsia" w:ascii="MS UI Gothic" w:eastAsia="MS UI Gothic"/>
          <w:w w:val="34"/>
        </w:rPr>
        <w:t>/</w:t>
      </w:r>
      <w:r>
        <w:rPr>
          <w:rFonts w:hint="eastAsia" w:ascii="MS UI Gothic" w:eastAsia="MS UI Gothic"/>
          <w:spacing w:val="-16"/>
        </w:rPr>
        <w:t xml:space="preserve"> </w:t>
      </w:r>
      <w:r>
        <w:rPr>
          <w:rFonts w:hint="eastAsia" w:ascii="MS UI Gothic" w:eastAsia="MS UI Gothic"/>
          <w:spacing w:val="0"/>
          <w:w w:val="79"/>
        </w:rPr>
        <w:t>ｍ</w:t>
      </w:r>
      <w:r>
        <w:rPr>
          <w:rFonts w:hint="eastAsia" w:ascii="MS UI Gothic" w:eastAsia="MS UI Gothic"/>
          <w:spacing w:val="-6"/>
          <w:w w:val="72"/>
          <w:position w:val="9"/>
          <w:sz w:val="12"/>
        </w:rPr>
        <w:t>３</w:t>
      </w:r>
    </w:p>
    <w:p>
      <w:pPr>
        <w:pStyle w:val="6"/>
        <w:spacing w:before="124" w:line="295" w:lineRule="auto"/>
        <w:ind w:left="382" w:right="126" w:firstLine="0"/>
        <w:rPr>
          <w:rFonts w:hint="eastAsia" w:ascii="MS UI Gothic" w:eastAsia="MS UI Gothic"/>
        </w:rPr>
      </w:pPr>
      <w:r>
        <w:br w:type="column"/>
      </w:r>
      <w:r>
        <w:rPr>
          <w:rFonts w:hint="eastAsia" w:ascii="MS UI Gothic" w:eastAsia="MS UI Gothic"/>
          <w:w w:val="168"/>
        </w:rPr>
        <w:t>(</w:t>
      </w:r>
      <w:r>
        <w:rPr>
          <w:rFonts w:hint="eastAsia" w:ascii="MS UI Gothic" w:eastAsia="MS UI Gothic"/>
          <w:w w:val="75"/>
        </w:rPr>
        <w:t>２</w:t>
      </w:r>
      <w:r>
        <w:rPr>
          <w:rFonts w:hint="eastAsia" w:ascii="MS UI Gothic" w:eastAsia="MS UI Gothic"/>
        </w:rPr>
        <w:t xml:space="preserve"> </w:t>
      </w:r>
      <w:r>
        <w:rPr>
          <w:rFonts w:hint="eastAsia" w:ascii="MS UI Gothic" w:eastAsia="MS UI Gothic"/>
          <w:w w:val="84"/>
        </w:rPr>
        <w:t>ｐｐ</w:t>
      </w:r>
      <w:r>
        <w:rPr>
          <w:rFonts w:hint="eastAsia" w:ascii="MS UI Gothic" w:eastAsia="MS UI Gothic"/>
          <w:w w:val="79"/>
        </w:rPr>
        <w:t>ｍ</w:t>
      </w:r>
      <w:r>
        <w:rPr>
          <w:rFonts w:hint="eastAsia" w:ascii="MS UI Gothic" w:eastAsia="MS UI Gothic"/>
          <w:w w:val="168"/>
        </w:rPr>
        <w:t>)</w:t>
      </w:r>
      <w:r>
        <w:rPr>
          <w:rFonts w:hint="eastAsia" w:ascii="MS UI Gothic" w:eastAsia="MS UI Gothic"/>
        </w:rPr>
        <w:t xml:space="preserve">  </w:t>
      </w:r>
      <w:r>
        <w:rPr>
          <w:w w:val="102"/>
        </w:rPr>
        <w:t>时</w:t>
      </w:r>
      <w:r>
        <w:rPr>
          <w:rFonts w:hint="eastAsia" w:ascii="MS UI Gothic" w:eastAsia="MS UI Gothic"/>
          <w:w w:val="51"/>
        </w:rPr>
        <w:t>ꎬ</w:t>
      </w:r>
      <w:r>
        <w:rPr>
          <w:rFonts w:hint="eastAsia" w:ascii="MS UI Gothic" w:eastAsia="MS UI Gothic"/>
        </w:rPr>
        <w:t xml:space="preserve">  </w:t>
      </w:r>
      <w:r>
        <w:rPr>
          <w:w w:val="102"/>
        </w:rPr>
        <w:t>作业人员佩戴正压式空气</w:t>
      </w:r>
      <w:r>
        <w:t>呼吸器</w:t>
      </w:r>
      <w:r>
        <w:rPr>
          <w:rFonts w:hint="eastAsia" w:ascii="MS UI Gothic" w:eastAsia="MS UI Gothic"/>
          <w:w w:val="90"/>
        </w:rPr>
        <w:t>ꎻ</w:t>
      </w:r>
    </w:p>
    <w:p>
      <w:pPr>
        <w:pStyle w:val="6"/>
        <w:spacing w:line="295" w:lineRule="auto"/>
        <w:ind w:left="382"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装置上配有用于处理硫化氢中毒的医疗用品</w:t>
      </w:r>
      <w:r>
        <w:rPr>
          <w:rFonts w:hint="eastAsia" w:ascii="MS UI Gothic" w:eastAsia="MS UI Gothic"/>
          <w:w w:val="80"/>
        </w:rPr>
        <w:t xml:space="preserve">、 </w:t>
      </w:r>
      <w:r>
        <w:rPr>
          <w:w w:val="105"/>
        </w:rPr>
        <w:t>心肺复苏器和氧气瓶</w:t>
      </w:r>
      <w:r>
        <w:rPr>
          <w:rFonts w:hint="eastAsia" w:ascii="MS UI Gothic" w:eastAsia="MS UI Gothic"/>
          <w:w w:val="80"/>
        </w:rPr>
        <w:t>ꎻ</w:t>
      </w:r>
    </w:p>
    <w:p>
      <w:pPr>
        <w:pStyle w:val="6"/>
        <w:spacing w:line="295" w:lineRule="auto"/>
        <w:ind w:left="382"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在油气井投产前</w:t>
      </w:r>
      <w:r>
        <w:rPr>
          <w:rFonts w:hint="eastAsia" w:ascii="MS UI Gothic" w:eastAsia="MS UI Gothic"/>
          <w:w w:val="80"/>
        </w:rPr>
        <w:t xml:space="preserve">ꎬ </w:t>
      </w:r>
      <w:r>
        <w:rPr>
          <w:w w:val="105"/>
        </w:rPr>
        <w:t>采取有效措施</w:t>
      </w:r>
      <w:r>
        <w:rPr>
          <w:rFonts w:hint="eastAsia" w:ascii="MS UI Gothic" w:eastAsia="MS UI Gothic"/>
          <w:w w:val="80"/>
        </w:rPr>
        <w:t xml:space="preserve">ꎬ </w:t>
      </w:r>
      <w:r>
        <w:rPr>
          <w:w w:val="105"/>
        </w:rPr>
        <w:t>加强对硫化氢</w:t>
      </w:r>
      <w:r>
        <w:rPr>
          <w:rFonts w:hint="eastAsia" w:ascii="MS UI Gothic" w:eastAsia="MS UI Gothic"/>
          <w:w w:val="80"/>
        </w:rPr>
        <w:t xml:space="preserve">、 </w:t>
      </w:r>
      <w:r>
        <w:rPr>
          <w:w w:val="105"/>
        </w:rPr>
        <w:t>二氧化硫和二氧化碳的防护</w:t>
      </w:r>
      <w:r>
        <w:rPr>
          <w:rFonts w:hint="eastAsia" w:ascii="MS UI Gothic" w:eastAsia="MS UI Gothic"/>
          <w:w w:val="80"/>
        </w:rPr>
        <w:t>ꎻ</w:t>
      </w:r>
    </w:p>
    <w:p>
      <w:pPr>
        <w:pStyle w:val="6"/>
        <w:spacing w:line="295" w:lineRule="auto"/>
        <w:ind w:left="382"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用于油气生产的设备</w:t>
      </w:r>
      <w:r>
        <w:rPr>
          <w:rFonts w:hint="eastAsia" w:ascii="MS UI Gothic" w:eastAsia="MS UI Gothic"/>
          <w:w w:val="80"/>
        </w:rPr>
        <w:t xml:space="preserve">、  </w:t>
      </w:r>
      <w:r>
        <w:rPr>
          <w:w w:val="105"/>
        </w:rPr>
        <w:t>设施和管道等具有抗硫化氢腐蚀的性能</w:t>
      </w:r>
      <w:r>
        <w:rPr>
          <w:rFonts w:hint="eastAsia" w:ascii="MS UI Gothic" w:eastAsia="MS UI Gothic"/>
          <w:w w:val="80"/>
        </w:rPr>
        <w:t>ꎮ</w:t>
      </w:r>
    </w:p>
    <w:p>
      <w:pPr>
        <w:pStyle w:val="6"/>
        <w:tabs>
          <w:tab w:val="left" w:pos="2163"/>
        </w:tabs>
        <w:spacing w:before="150"/>
        <w:ind w:left="1325" w:firstLine="0"/>
        <w:jc w:val="left"/>
      </w:pPr>
      <w:r>
        <w:rPr>
          <w:spacing w:val="3"/>
          <w:w w:val="105"/>
        </w:rPr>
        <w:t>第七</w:t>
      </w:r>
      <w:r>
        <w:rPr>
          <w:w w:val="105"/>
        </w:rPr>
        <w:t>节</w:t>
      </w:r>
      <w:r>
        <w:rPr>
          <w:w w:val="105"/>
        </w:rPr>
        <w:tab/>
      </w:r>
      <w:r>
        <w:rPr>
          <w:w w:val="105"/>
        </w:rPr>
        <w:t>系</w:t>
      </w:r>
      <w:r>
        <w:rPr>
          <w:spacing w:val="-33"/>
          <w:w w:val="105"/>
        </w:rPr>
        <w:t xml:space="preserve"> </w:t>
      </w:r>
      <w:r>
        <w:rPr>
          <w:w w:val="105"/>
        </w:rPr>
        <w:t>物</w:t>
      </w:r>
      <w:r>
        <w:rPr>
          <w:spacing w:val="-33"/>
          <w:w w:val="105"/>
        </w:rPr>
        <w:t xml:space="preserve"> </w:t>
      </w:r>
      <w:r>
        <w:rPr>
          <w:w w:val="105"/>
        </w:rPr>
        <w:t>管</w:t>
      </w:r>
      <w:r>
        <w:rPr>
          <w:spacing w:val="-33"/>
          <w:w w:val="105"/>
        </w:rPr>
        <w:t xml:space="preserve"> </w:t>
      </w:r>
      <w:r>
        <w:rPr>
          <w:w w:val="105"/>
        </w:rPr>
        <w:t>理</w:t>
      </w:r>
    </w:p>
    <w:p>
      <w:pPr>
        <w:pStyle w:val="6"/>
        <w:spacing w:before="10"/>
        <w:ind w:left="0" w:firstLine="0"/>
        <w:jc w:val="left"/>
        <w:rPr>
          <w:sz w:val="16"/>
        </w:rPr>
      </w:pPr>
    </w:p>
    <w:p>
      <w:pPr>
        <w:pStyle w:val="6"/>
        <w:spacing w:line="295" w:lineRule="auto"/>
        <w:ind w:left="382" w:right="126"/>
        <w:rPr>
          <w:rFonts w:hint="eastAsia" w:ascii="MS UI Gothic" w:eastAsia="MS UI Gothic"/>
        </w:rPr>
      </w:pPr>
      <w:r>
        <w:rPr>
          <w:w w:val="105"/>
        </w:rPr>
        <w:t>第七十条 作业者和承包者应当加强</w:t>
      </w:r>
      <w:r>
        <w:t>系泊和起重作业过程中系物器具和被系器</w:t>
      </w:r>
      <w:r>
        <w:rPr>
          <w:w w:val="105"/>
        </w:rPr>
        <w:t>具的安全管理</w:t>
      </w:r>
      <w:r>
        <w:rPr>
          <w:rFonts w:hint="eastAsia" w:ascii="MS UI Gothic" w:eastAsia="MS UI Gothic"/>
          <w:w w:val="80"/>
        </w:rPr>
        <w:t>ꎮ</w:t>
      </w:r>
    </w:p>
    <w:p>
      <w:pPr>
        <w:pStyle w:val="6"/>
        <w:spacing w:line="295" w:lineRule="auto"/>
        <w:ind w:left="382" w:right="124"/>
        <w:rPr>
          <w:rFonts w:hint="eastAsia" w:ascii="MS UI Gothic" w:eastAsia="MS UI Gothic"/>
        </w:rPr>
      </w:pPr>
      <w:r>
        <w:t>第七十一条 作业者和承包者应当制定系物器具和被系器具的安全管理责任制</w:t>
      </w:r>
      <w:r>
        <w:rPr>
          <w:rFonts w:hint="eastAsia" w:ascii="MS UI Gothic" w:eastAsia="MS UI Gothic"/>
          <w:w w:val="80"/>
        </w:rPr>
        <w:t xml:space="preserve">ꎬ </w:t>
      </w:r>
      <w:r>
        <w:t>明确各岗位和各工种责任制</w:t>
      </w:r>
      <w:r>
        <w:rPr>
          <w:rFonts w:hint="eastAsia" w:ascii="MS UI Gothic" w:eastAsia="MS UI Gothic"/>
          <w:w w:val="80"/>
        </w:rPr>
        <w:t xml:space="preserve">ꎻ </w:t>
      </w:r>
      <w:r>
        <w:t>应当制定系物器具和被系器具的使用管理规定</w:t>
      </w:r>
      <w:r>
        <w:rPr>
          <w:rFonts w:hint="eastAsia" w:ascii="MS UI Gothic" w:eastAsia="MS UI Gothic"/>
          <w:w w:val="80"/>
        </w:rPr>
        <w:t>ꎬ</w:t>
      </w:r>
      <w:r>
        <w:t>对系物器具和被系器具进行经常性维护</w:t>
      </w:r>
      <w:r>
        <w:rPr>
          <w:rFonts w:hint="eastAsia" w:ascii="MS UI Gothic" w:eastAsia="MS UI Gothic"/>
          <w:w w:val="80"/>
        </w:rPr>
        <w:t>、</w:t>
      </w:r>
      <w:r>
        <w:t>保养</w:t>
      </w:r>
      <w:r>
        <w:rPr>
          <w:rFonts w:hint="eastAsia" w:ascii="MS UI Gothic" w:eastAsia="MS UI Gothic"/>
          <w:w w:val="80"/>
        </w:rPr>
        <w:t xml:space="preserve">ꎬ </w:t>
      </w:r>
      <w:r>
        <w:t>保证正常使用</w:t>
      </w:r>
      <w:r>
        <w:rPr>
          <w:rFonts w:hint="eastAsia" w:ascii="MS UI Gothic" w:eastAsia="MS UI Gothic"/>
          <w:w w:val="80"/>
        </w:rPr>
        <w:t xml:space="preserve">ꎮ </w:t>
      </w:r>
      <w:r>
        <w:t>维护</w:t>
      </w:r>
      <w:r>
        <w:rPr>
          <w:rFonts w:hint="eastAsia" w:ascii="MS UI Gothic" w:eastAsia="MS UI Gothic"/>
          <w:w w:val="80"/>
        </w:rPr>
        <w:t xml:space="preserve">、 </w:t>
      </w:r>
      <w:r>
        <w:t>保养应当作好记录</w:t>
      </w:r>
      <w:r>
        <w:rPr>
          <w:rFonts w:hint="eastAsia" w:ascii="MS UI Gothic" w:eastAsia="MS UI Gothic"/>
          <w:w w:val="80"/>
        </w:rPr>
        <w:t xml:space="preserve">ꎬ </w:t>
      </w:r>
      <w:r>
        <w:t>并由有关人员签字</w:t>
      </w:r>
      <w:r>
        <w:rPr>
          <w:rFonts w:hint="eastAsia" w:ascii="MS UI Gothic" w:eastAsia="MS UI Gothic"/>
          <w:w w:val="80"/>
        </w:rPr>
        <w:t>ꎮ</w:t>
      </w:r>
    </w:p>
    <w:p>
      <w:pPr>
        <w:pStyle w:val="6"/>
        <w:spacing w:line="295" w:lineRule="auto"/>
        <w:ind w:left="382" w:right="124"/>
        <w:rPr>
          <w:rFonts w:hint="eastAsia" w:ascii="MS UI Gothic" w:eastAsia="MS UI Gothic"/>
        </w:rPr>
      </w:pPr>
      <w:r>
        <w:t>第七十二条 系物器具应当按照有关规定由海油安办认可的检验机构对其定期进行检验</w:t>
      </w:r>
      <w:r>
        <w:rPr>
          <w:rFonts w:hint="eastAsia" w:ascii="MS UI Gothic" w:eastAsia="MS UI Gothic"/>
          <w:w w:val="80"/>
        </w:rPr>
        <w:t xml:space="preserve">ꎬ </w:t>
      </w:r>
      <w:r>
        <w:t>并作出标记</w:t>
      </w:r>
      <w:r>
        <w:rPr>
          <w:rFonts w:hint="eastAsia" w:ascii="MS UI Gothic" w:eastAsia="MS UI Gothic"/>
          <w:w w:val="80"/>
        </w:rPr>
        <w:t xml:space="preserve">ꎮ </w:t>
      </w:r>
      <w:r>
        <w:t>作业者和承包者为满足特殊需要</w:t>
      </w:r>
      <w:r>
        <w:rPr>
          <w:rFonts w:hint="eastAsia" w:ascii="MS UI Gothic" w:eastAsia="MS UI Gothic"/>
          <w:w w:val="80"/>
        </w:rPr>
        <w:t xml:space="preserve">ꎬ </w:t>
      </w:r>
      <w:r>
        <w:t>自行加工制造系物器具和被系器具的</w:t>
      </w:r>
      <w:r>
        <w:rPr>
          <w:rFonts w:hint="eastAsia" w:ascii="MS UI Gothic" w:eastAsia="MS UI Gothic"/>
          <w:w w:val="80"/>
        </w:rPr>
        <w:t xml:space="preserve">ꎬ </w:t>
      </w:r>
      <w:r>
        <w:t>系物器具和被系器具必须经海油安办认可的检验机构检验合格后</w:t>
      </w:r>
      <w:r>
        <w:rPr>
          <w:rFonts w:hint="eastAsia" w:ascii="MS UI Gothic" w:eastAsia="MS UI Gothic"/>
          <w:w w:val="80"/>
        </w:rPr>
        <w:t>ꎬ</w:t>
      </w:r>
      <w:r>
        <w:t>方可投入使用</w:t>
      </w:r>
      <w:r>
        <w:rPr>
          <w:rFonts w:hint="eastAsia" w:ascii="MS UI Gothic" w:eastAsia="MS UI Gothic"/>
          <w:w w:val="80"/>
        </w:rPr>
        <w:t>ꎮ</w:t>
      </w:r>
    </w:p>
    <w:p>
      <w:pPr>
        <w:pStyle w:val="6"/>
        <w:spacing w:line="295" w:lineRule="auto"/>
        <w:ind w:left="382" w:right="126"/>
        <w:rPr>
          <w:rFonts w:hint="eastAsia" w:ascii="MS UI Gothic" w:eastAsia="MS UI Gothic"/>
        </w:rPr>
      </w:pPr>
      <w:r>
        <w:rPr>
          <w:w w:val="105"/>
        </w:rPr>
        <w:t>第七十三条 箱件的使用</w:t>
      </w:r>
      <w:r>
        <w:rPr>
          <w:rFonts w:hint="eastAsia" w:ascii="MS UI Gothic" w:eastAsia="MS UI Gothic"/>
          <w:w w:val="80"/>
        </w:rPr>
        <w:t xml:space="preserve">ꎬ </w:t>
      </w:r>
      <w:r>
        <w:rPr>
          <w:w w:val="105"/>
        </w:rPr>
        <w:t>除了符合</w:t>
      </w:r>
      <w:r>
        <w:t>本细则第七十一条和第七十二条规定要求</w:t>
      </w:r>
      <w:r>
        <w:rPr>
          <w:w w:val="105"/>
        </w:rPr>
        <w:t>外</w:t>
      </w:r>
      <w:r>
        <w:rPr>
          <w:rFonts w:hint="eastAsia" w:ascii="MS UI Gothic" w:eastAsia="MS UI Gothic"/>
          <w:w w:val="80"/>
        </w:rPr>
        <w:t xml:space="preserve">ꎬ </w:t>
      </w:r>
      <w:r>
        <w:rPr>
          <w:w w:val="105"/>
        </w:rPr>
        <w:t>还应当满足下列要求</w:t>
      </w:r>
      <w:r>
        <w:rPr>
          <w:rFonts w:hint="eastAsia" w:ascii="MS UI Gothic" w:eastAsia="MS UI Gothic"/>
          <w:w w:val="235"/>
        </w:rPr>
        <w:t>:</w:t>
      </w:r>
    </w:p>
    <w:p>
      <w:pPr>
        <w:pStyle w:val="6"/>
        <w:spacing w:line="295" w:lineRule="auto"/>
        <w:ind w:left="382"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箱外有明显的尺寸</w:t>
      </w:r>
      <w:r>
        <w:rPr>
          <w:rFonts w:hint="eastAsia" w:ascii="MS UI Gothic" w:eastAsia="MS UI Gothic"/>
          <w:w w:val="80"/>
        </w:rPr>
        <w:t xml:space="preserve">、  </w:t>
      </w:r>
      <w:r>
        <w:rPr>
          <w:w w:val="105"/>
        </w:rPr>
        <w:t>自重和额定安全载重标记</w:t>
      </w:r>
      <w:r>
        <w:rPr>
          <w:rFonts w:hint="eastAsia" w:ascii="MS UI Gothic" w:eastAsia="MS UI Gothic"/>
          <w:w w:val="80"/>
        </w:rPr>
        <w:t>ꎻ</w:t>
      </w:r>
    </w:p>
    <w:p>
      <w:pPr>
        <w:pStyle w:val="6"/>
        <w:spacing w:line="295" w:lineRule="auto"/>
        <w:ind w:left="382" w:right="126"/>
        <w:rPr>
          <w:rFonts w:hint="eastAsia" w:ascii="MS UI Gothic" w:eastAsia="MS UI Gothic"/>
        </w:rPr>
      </w:pPr>
      <w:r>
        <w:rPr>
          <w:rFonts w:hint="eastAsia" w:ascii="MS UI Gothic" w:eastAsia="MS UI Gothic"/>
          <w:w w:val="120"/>
        </w:rPr>
        <w:t xml:space="preserve">( </w:t>
      </w:r>
      <w:r>
        <w:rPr>
          <w:w w:val="110"/>
        </w:rPr>
        <w:t>二</w:t>
      </w:r>
      <w:r>
        <w:rPr>
          <w:rFonts w:hint="eastAsia" w:ascii="MS UI Gothic" w:eastAsia="MS UI Gothic"/>
          <w:w w:val="120"/>
        </w:rPr>
        <w:t xml:space="preserve">) </w:t>
      </w:r>
      <w:r>
        <w:rPr>
          <w:w w:val="110"/>
        </w:rPr>
        <w:t>定期对其主要受力部位进行检验</w:t>
      </w:r>
      <w:r>
        <w:rPr>
          <w:rFonts w:hint="eastAsia" w:ascii="MS UI Gothic" w:eastAsia="MS UI Gothic"/>
          <w:w w:val="80"/>
        </w:rPr>
        <w:t>ꎮ</w:t>
      </w:r>
    </w:p>
    <w:p>
      <w:pPr>
        <w:pStyle w:val="6"/>
        <w:spacing w:line="295" w:lineRule="auto"/>
        <w:ind w:left="382" w:right="126"/>
        <w:rPr>
          <w:rFonts w:hint="eastAsia" w:ascii="MS UI Gothic" w:eastAsia="MS UI Gothic"/>
        </w:rPr>
      </w:pPr>
      <w:r>
        <w:rPr>
          <w:w w:val="105"/>
        </w:rPr>
        <w:t>第七十四条 吊网的使用</w:t>
      </w:r>
      <w:r>
        <w:rPr>
          <w:rFonts w:hint="eastAsia" w:ascii="MS UI Gothic" w:eastAsia="MS UI Gothic"/>
          <w:w w:val="80"/>
        </w:rPr>
        <w:t xml:space="preserve">ꎬ </w:t>
      </w:r>
      <w:r>
        <w:rPr>
          <w:w w:val="105"/>
        </w:rPr>
        <w:t>除了符合</w:t>
      </w:r>
      <w:r>
        <w:t>第七十一条和第七十二条规定外</w:t>
      </w:r>
      <w:r>
        <w:rPr>
          <w:rFonts w:hint="eastAsia" w:ascii="MS UI Gothic" w:eastAsia="MS UI Gothic"/>
          <w:w w:val="80"/>
        </w:rPr>
        <w:t xml:space="preserve">ꎬ </w:t>
      </w:r>
      <w:r>
        <w:t>还应当</w:t>
      </w:r>
      <w:r>
        <w:rPr>
          <w:w w:val="105"/>
        </w:rPr>
        <w:t>符合下列要求</w:t>
      </w:r>
      <w:r>
        <w:rPr>
          <w:rFonts w:hint="eastAsia" w:ascii="MS UI Gothic" w:eastAsia="MS UI Gothic"/>
          <w:w w:val="235"/>
        </w:rPr>
        <w:t>:</w:t>
      </w:r>
    </w:p>
    <w:p>
      <w:pPr>
        <w:pStyle w:val="6"/>
        <w:spacing w:line="254" w:lineRule="exact"/>
        <w:ind w:left="801"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标有安全工作负荷标记</w:t>
      </w:r>
      <w:r>
        <w:rPr>
          <w:rFonts w:hint="eastAsia" w:ascii="MS UI Gothic" w:eastAsia="MS UI Gothic"/>
          <w:w w:val="80"/>
        </w:rPr>
        <w:t>ꎻ</w:t>
      </w:r>
    </w:p>
    <w:p>
      <w:pPr>
        <w:spacing w:after="0" w:line="254" w:lineRule="exact"/>
        <w:rPr>
          <w:rFonts w:hint="eastAsia" w:ascii="MS UI Gothic" w:eastAsia="MS UI Gothic"/>
        </w:rPr>
        <w:sectPr>
          <w:type w:val="continuous"/>
          <w:pgSz w:w="10500" w:h="14750"/>
          <w:pgMar w:top="1400" w:right="980" w:bottom="280" w:left="980" w:header="720" w:footer="720" w:gutter="0"/>
          <w:cols w:equalWidth="0" w:num="2">
            <w:col w:w="4211" w:space="40"/>
            <w:col w:w="4289"/>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１９６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12" o:spid="_x0000_s1612" o:spt="203" style="height:2.15pt;width:398.25pt;" coordsize="7965,43">
            <o:lock v:ext="edit"/>
            <v:line id="_x0000_s1613" o:spid="_x0000_s1613" o:spt="20" style="position:absolute;left:0;top:39;height:0;width:7965;" stroked="t" coordsize="21600,21600">
              <v:path arrowok="t"/>
              <v:fill focussize="0,0"/>
              <v:stroke weight="0.388031496062992pt" color="#231F20"/>
              <v:imagedata o:title=""/>
              <o:lock v:ext="edit"/>
            </v:line>
            <v:line id="_x0000_s1614" o:spid="_x0000_s161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非金属网不得超过其使用范围</w:t>
      </w:r>
      <w:r>
        <w:rPr>
          <w:w w:val="110"/>
        </w:rPr>
        <w:t>和环境</w:t>
      </w:r>
      <w:r>
        <w:rPr>
          <w:rFonts w:hint="eastAsia" w:ascii="MS UI Gothic" w:eastAsia="MS UI Gothic"/>
          <w:w w:val="80"/>
        </w:rPr>
        <w:t>ꎮ</w:t>
      </w:r>
    </w:p>
    <w:p>
      <w:pPr>
        <w:pStyle w:val="6"/>
        <w:spacing w:line="295" w:lineRule="auto"/>
        <w:ind w:right="38"/>
        <w:rPr>
          <w:rFonts w:hint="eastAsia" w:ascii="MS UI Gothic" w:eastAsia="MS UI Gothic"/>
        </w:rPr>
      </w:pPr>
      <w:r>
        <w:t>第七十五条 乘人吊篮必须专用</w:t>
      </w:r>
      <w:r>
        <w:rPr>
          <w:rFonts w:hint="eastAsia" w:ascii="MS UI Gothic" w:eastAsia="MS UI Gothic"/>
          <w:w w:val="80"/>
        </w:rPr>
        <w:t xml:space="preserve">ꎬ </w:t>
      </w:r>
      <w:r>
        <w:t>并标有额定载重和限乘人数的标记</w:t>
      </w:r>
      <w:r>
        <w:rPr>
          <w:rFonts w:hint="eastAsia" w:ascii="MS UI Gothic" w:eastAsia="MS UI Gothic"/>
          <w:w w:val="80"/>
        </w:rPr>
        <w:t xml:space="preserve">ꎻ </w:t>
      </w:r>
      <w:r>
        <w:t>应当按产品说明书的规定定期进行技术检验</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第七十六条 系物器具和被系器具有</w:t>
      </w:r>
      <w:r>
        <w:rPr>
          <w:w w:val="110"/>
        </w:rPr>
        <w:t>下列情形之一的</w:t>
      </w:r>
      <w:r>
        <w:rPr>
          <w:rFonts w:hint="eastAsia" w:ascii="MS UI Gothic" w:eastAsia="MS UI Gothic"/>
          <w:w w:val="80"/>
        </w:rPr>
        <w:t xml:space="preserve">ꎬ </w:t>
      </w:r>
      <w:r>
        <w:rPr>
          <w:w w:val="110"/>
        </w:rPr>
        <w:t>应当停止使用</w:t>
      </w:r>
      <w:r>
        <w:rPr>
          <w:rFonts w:hint="eastAsia" w:ascii="MS UI Gothic" w:eastAsia="MS UI Gothic"/>
          <w:w w:val="235"/>
        </w:rPr>
        <w:t>:</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已达到报废标准而未报废</w:t>
      </w:r>
      <w:r>
        <w:rPr>
          <w:rFonts w:hint="eastAsia" w:ascii="MS UI Gothic" w:eastAsia="MS UI Gothic"/>
          <w:w w:val="80"/>
        </w:rPr>
        <w:t xml:space="preserve">ꎬ </w:t>
      </w:r>
      <w:r>
        <w:rPr>
          <w:w w:val="105"/>
        </w:rPr>
        <w:t>或者已经报废的</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未标明检验日期的</w:t>
      </w:r>
      <w:r>
        <w:rPr>
          <w:rFonts w:hint="eastAsia" w:ascii="MS UI Gothic" w:eastAsia="MS UI Gothic"/>
          <w:w w:val="80"/>
        </w:rPr>
        <w:t>ꎻ</w:t>
      </w:r>
    </w:p>
    <w:p>
      <w:pPr>
        <w:pStyle w:val="6"/>
        <w:spacing w:before="53"/>
        <w:ind w:left="543" w:firstLine="0"/>
        <w:jc w:val="left"/>
        <w:rPr>
          <w:rFonts w:hint="eastAsia" w:ascii="MS UI Gothic" w:eastAsia="MS UI Gothic"/>
        </w:rPr>
      </w:pPr>
      <w:r>
        <w:rPr>
          <w:rFonts w:hint="eastAsia" w:ascii="MS UI Gothic" w:eastAsia="MS UI Gothic"/>
          <w:spacing w:val="-24"/>
          <w:w w:val="105"/>
        </w:rPr>
        <w:t xml:space="preserve">( </w:t>
      </w:r>
      <w:r>
        <w:rPr>
          <w:spacing w:val="3"/>
          <w:w w:val="105"/>
        </w:rPr>
        <w:t>三</w:t>
      </w:r>
      <w:r>
        <w:rPr>
          <w:rFonts w:hint="eastAsia" w:ascii="MS UI Gothic" w:eastAsia="MS UI Gothic"/>
          <w:spacing w:val="21"/>
          <w:w w:val="105"/>
        </w:rPr>
        <w:t xml:space="preserve">) </w:t>
      </w:r>
      <w:r>
        <w:rPr>
          <w:spacing w:val="3"/>
          <w:w w:val="105"/>
        </w:rPr>
        <w:t>超过规定检验期限的</w:t>
      </w:r>
      <w:r>
        <w:rPr>
          <w:rFonts w:hint="eastAsia" w:ascii="MS UI Gothic" w:eastAsia="MS UI Gothic"/>
          <w:w w:val="80"/>
        </w:rPr>
        <w:t>ꎮ</w:t>
      </w:r>
    </w:p>
    <w:p>
      <w:pPr>
        <w:pStyle w:val="6"/>
        <w:tabs>
          <w:tab w:val="left" w:pos="1801"/>
        </w:tabs>
        <w:spacing w:before="215"/>
        <w:ind w:left="963" w:firstLine="0"/>
        <w:jc w:val="left"/>
      </w:pPr>
      <w:r>
        <w:rPr>
          <w:spacing w:val="3"/>
          <w:w w:val="105"/>
        </w:rPr>
        <w:t>第八</w:t>
      </w:r>
      <w:r>
        <w:rPr>
          <w:w w:val="105"/>
        </w:rPr>
        <w:t>节</w:t>
      </w:r>
      <w:r>
        <w:rPr>
          <w:w w:val="105"/>
        </w:rPr>
        <w:tab/>
      </w:r>
      <w:r>
        <w:rPr>
          <w:spacing w:val="3"/>
        </w:rPr>
        <w:t>危险物品管</w:t>
      </w:r>
      <w:r>
        <w:t>理</w:t>
      </w:r>
    </w:p>
    <w:p>
      <w:pPr>
        <w:pStyle w:val="6"/>
        <w:spacing w:before="10"/>
        <w:ind w:left="0" w:firstLine="0"/>
        <w:jc w:val="left"/>
        <w:rPr>
          <w:sz w:val="16"/>
        </w:rPr>
      </w:pPr>
    </w:p>
    <w:p>
      <w:pPr>
        <w:pStyle w:val="6"/>
        <w:spacing w:line="295" w:lineRule="auto"/>
        <w:ind w:right="38"/>
        <w:rPr>
          <w:rFonts w:hint="eastAsia" w:ascii="MS UI Gothic" w:eastAsia="MS UI Gothic"/>
        </w:rPr>
      </w:pPr>
      <w:r>
        <w:rPr>
          <w:w w:val="110"/>
        </w:rPr>
        <w:t>第七十七条 作业者</w:t>
      </w:r>
      <w:r>
        <w:rPr>
          <w:rFonts w:hint="eastAsia" w:ascii="MS UI Gothic" w:eastAsia="MS UI Gothic"/>
          <w:w w:val="80"/>
        </w:rPr>
        <w:t xml:space="preserve">、 </w:t>
      </w:r>
      <w:r>
        <w:rPr>
          <w:w w:val="110"/>
        </w:rPr>
        <w:t>承包者应当建立放射性</w:t>
      </w:r>
      <w:r>
        <w:rPr>
          <w:rFonts w:hint="eastAsia" w:ascii="MS UI Gothic" w:eastAsia="MS UI Gothic"/>
          <w:w w:val="80"/>
        </w:rPr>
        <w:t xml:space="preserve">、 </w:t>
      </w:r>
      <w:r>
        <w:rPr>
          <w:w w:val="110"/>
        </w:rPr>
        <w:t xml:space="preserve">爆炸性物品 </w:t>
      </w:r>
      <w:r>
        <w:rPr>
          <w:rFonts w:hint="eastAsia" w:ascii="MS UI Gothic" w:eastAsia="MS UI Gothic"/>
          <w:w w:val="115"/>
        </w:rPr>
        <w:t xml:space="preserve">( </w:t>
      </w:r>
      <w:r>
        <w:rPr>
          <w:w w:val="110"/>
        </w:rPr>
        <w:t>以下简称危险</w:t>
      </w:r>
      <w:r>
        <w:rPr>
          <w:w w:val="105"/>
        </w:rPr>
        <w:t>物品</w:t>
      </w:r>
      <w:r>
        <w:rPr>
          <w:rFonts w:hint="eastAsia" w:ascii="MS UI Gothic" w:eastAsia="MS UI Gothic"/>
          <w:w w:val="105"/>
        </w:rPr>
        <w:t xml:space="preserve">) </w:t>
      </w:r>
      <w:r>
        <w:rPr>
          <w:w w:val="105"/>
        </w:rPr>
        <w:t>的领取和归还制度</w:t>
      </w:r>
      <w:r>
        <w:rPr>
          <w:rFonts w:hint="eastAsia" w:ascii="MS UI Gothic" w:eastAsia="MS UI Gothic"/>
          <w:w w:val="80"/>
        </w:rPr>
        <w:t xml:space="preserve">ꎮ </w:t>
      </w:r>
      <w:r>
        <w:rPr>
          <w:w w:val="105"/>
        </w:rPr>
        <w:t>危险物品的</w:t>
      </w:r>
      <w:r>
        <w:rPr>
          <w:w w:val="110"/>
        </w:rPr>
        <w:t>领取和归还应当遵守下列规定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领取人持有领取单领取相应的</w:t>
      </w:r>
      <w:r>
        <w:t>危险物品</w:t>
      </w:r>
      <w:r>
        <w:rPr>
          <w:rFonts w:hint="eastAsia" w:ascii="MS UI Gothic" w:eastAsia="MS UI Gothic"/>
          <w:w w:val="80"/>
        </w:rPr>
        <w:t xml:space="preserve">ꎮ </w:t>
      </w:r>
      <w:r>
        <w:t>领取单详细记载危险物品的种</w:t>
      </w:r>
      <w:r>
        <w:rPr>
          <w:w w:val="105"/>
        </w:rPr>
        <w:t>类和数量</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领取和归还危险物品时</w:t>
      </w:r>
      <w:r>
        <w:rPr>
          <w:rFonts w:hint="eastAsia" w:ascii="MS UI Gothic" w:eastAsia="MS UI Gothic"/>
          <w:w w:val="80"/>
        </w:rPr>
        <w:t xml:space="preserve">ꎬ </w:t>
      </w:r>
      <w:r>
        <w:rPr>
          <w:w w:val="105"/>
        </w:rPr>
        <w:t>使用</w:t>
      </w:r>
      <w:r>
        <w:t>专用的工具</w:t>
      </w:r>
      <w:r>
        <w:rPr>
          <w:rFonts w:hint="eastAsia" w:ascii="MS UI Gothic" w:eastAsia="MS UI Gothic"/>
          <w:w w:val="80"/>
        </w:rPr>
        <w:t xml:space="preserve">ꎮ </w:t>
      </w:r>
      <w:r>
        <w:t>放射性源盛装在罐内</w:t>
      </w:r>
      <w:r>
        <w:rPr>
          <w:rFonts w:hint="eastAsia" w:ascii="MS UI Gothic" w:eastAsia="MS UI Gothic"/>
          <w:w w:val="80"/>
        </w:rPr>
        <w:t xml:space="preserve">ꎬ </w:t>
      </w:r>
      <w:r>
        <w:t>爆炸</w:t>
      </w:r>
      <w:r>
        <w:rPr>
          <w:w w:val="105"/>
        </w:rPr>
        <w:t>性物品存放在箱内</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出入库的放射性源罐</w:t>
      </w:r>
      <w:r>
        <w:rPr>
          <w:rFonts w:hint="eastAsia" w:ascii="MS UI Gothic" w:eastAsia="MS UI Gothic"/>
          <w:w w:val="80"/>
        </w:rPr>
        <w:t xml:space="preserve">ꎬ </w:t>
      </w:r>
      <w:r>
        <w:rPr>
          <w:w w:val="105"/>
        </w:rPr>
        <w:t>配有浮标或者其他示位器具</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危险物品出入库有记录</w:t>
      </w:r>
      <w:r>
        <w:rPr>
          <w:rFonts w:hint="eastAsia" w:ascii="MS UI Gothic" w:eastAsia="MS UI Gothic"/>
          <w:w w:val="80"/>
        </w:rPr>
        <w:t xml:space="preserve">ꎬ </w:t>
      </w:r>
      <w:r>
        <w:rPr>
          <w:w w:val="105"/>
        </w:rPr>
        <w:t>领取人和库管员在出入库单上签字</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7"/>
          <w:w w:val="150"/>
        </w:rPr>
        <w:t xml:space="preserve">( </w:t>
      </w:r>
      <w:r>
        <w:rPr>
          <w:spacing w:val="23"/>
          <w:w w:val="105"/>
        </w:rPr>
        <w:t>五</w:t>
      </w:r>
      <w:r>
        <w:rPr>
          <w:rFonts w:hint="eastAsia" w:ascii="MS UI Gothic" w:eastAsia="MS UI Gothic"/>
          <w:spacing w:val="24"/>
          <w:w w:val="150"/>
        </w:rPr>
        <w:t xml:space="preserve">) </w:t>
      </w:r>
      <w:r>
        <w:rPr>
          <w:spacing w:val="-29"/>
          <w:w w:val="105"/>
        </w:rPr>
        <w:t>未 用 完 的 危 险 物 品</w:t>
      </w:r>
      <w:r>
        <w:rPr>
          <w:rFonts w:hint="eastAsia" w:ascii="MS UI Gothic" w:eastAsia="MS UI Gothic"/>
          <w:spacing w:val="12"/>
          <w:w w:val="80"/>
        </w:rPr>
        <w:t xml:space="preserve">ꎬ </w:t>
      </w:r>
      <w:r>
        <w:rPr>
          <w:spacing w:val="-24"/>
          <w:w w:val="105"/>
        </w:rPr>
        <w:t>及 时</w:t>
      </w:r>
      <w:r>
        <w:rPr>
          <w:spacing w:val="3"/>
          <w:w w:val="105"/>
        </w:rPr>
        <w:t>归还</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第七十八条 危险物品的运输</w:t>
      </w:r>
      <w:r>
        <w:rPr>
          <w:rFonts w:hint="eastAsia" w:ascii="MS UI Gothic" w:eastAsia="MS UI Gothic"/>
          <w:w w:val="80"/>
        </w:rPr>
        <w:t xml:space="preserve">ꎬ </w:t>
      </w:r>
      <w:r>
        <w:rPr>
          <w:w w:val="105"/>
        </w:rPr>
        <w:t>应当</w:t>
      </w:r>
      <w:r>
        <w:rPr>
          <w:w w:val="110"/>
        </w:rPr>
        <w:t>符合下列规定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符合国家有关法律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w:t>
      </w:r>
      <w:r>
        <w:rPr>
          <w:rFonts w:hint="eastAsia" w:ascii="MS UI Gothic" w:eastAsia="MS UI Gothic"/>
          <w:w w:val="80"/>
        </w:rPr>
        <w:t xml:space="preserve">、 </w:t>
      </w:r>
      <w:r>
        <w:rPr>
          <w:w w:val="105"/>
        </w:rPr>
        <w:t>标准的要求</w:t>
      </w:r>
      <w:r>
        <w:rPr>
          <w:rFonts w:hint="eastAsia" w:ascii="MS UI Gothic" w:eastAsia="MS UI Gothic"/>
          <w:w w:val="80"/>
        </w:rPr>
        <w:t xml:space="preserve">ꎬ </w:t>
      </w:r>
      <w:r>
        <w:rPr>
          <w:w w:val="105"/>
        </w:rPr>
        <w:t>并有专人押运</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6"/>
          <w:w w:val="130"/>
        </w:rPr>
        <w:t xml:space="preserve">( </w:t>
      </w:r>
      <w:r>
        <w:rPr>
          <w:spacing w:val="29"/>
          <w:w w:val="110"/>
        </w:rPr>
        <w:t>二</w:t>
      </w:r>
      <w:r>
        <w:rPr>
          <w:rFonts w:hint="eastAsia" w:ascii="MS UI Gothic" w:eastAsia="MS UI Gothic"/>
          <w:spacing w:val="-13"/>
          <w:w w:val="130"/>
        </w:rPr>
        <w:t xml:space="preserve">) </w:t>
      </w:r>
      <w:r>
        <w:rPr>
          <w:spacing w:val="40"/>
          <w:w w:val="110"/>
        </w:rPr>
        <w:t>有可靠的安全措施和应急</w:t>
      </w:r>
      <w:r>
        <w:rPr>
          <w:spacing w:val="3"/>
          <w:w w:val="110"/>
        </w:rPr>
        <w:t>措施</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符合有关运输手续</w:t>
      </w:r>
      <w:r>
        <w:rPr>
          <w:rFonts w:hint="eastAsia" w:ascii="MS UI Gothic" w:eastAsia="MS UI Gothic"/>
          <w:w w:val="80"/>
        </w:rPr>
        <w:t xml:space="preserve">ꎬ </w:t>
      </w:r>
      <w:r>
        <w:rPr>
          <w:w w:val="105"/>
        </w:rPr>
        <w:t>有明显的危险物品运输标识</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第七十九条 危险物品的使用</w:t>
      </w:r>
      <w:r>
        <w:rPr>
          <w:rFonts w:hint="eastAsia" w:ascii="MS UI Gothic" w:eastAsia="MS UI Gothic"/>
          <w:w w:val="80"/>
        </w:rPr>
        <w:t xml:space="preserve">ꎬ </w:t>
      </w:r>
      <w:r>
        <w:rPr>
          <w:w w:val="105"/>
        </w:rPr>
        <w:t>应当</w:t>
      </w:r>
      <w:r>
        <w:rPr>
          <w:w w:val="110"/>
        </w:rPr>
        <w:t>符合下列规定</w:t>
      </w:r>
      <w:r>
        <w:rPr>
          <w:rFonts w:hint="eastAsia" w:ascii="MS UI Gothic" w:eastAsia="MS UI Gothic"/>
          <w:w w:val="235"/>
        </w:rPr>
        <w:t>:</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t>一</w:t>
      </w:r>
      <w:r>
        <w:rPr>
          <w:rFonts w:hint="eastAsia" w:ascii="MS UI Gothic" w:eastAsia="MS UI Gothic"/>
          <w:w w:val="150"/>
        </w:rPr>
        <w:t xml:space="preserve">) </w:t>
      </w:r>
      <w:r>
        <w:t>作业前</w:t>
      </w:r>
      <w:r>
        <w:rPr>
          <w:rFonts w:hint="eastAsia" w:ascii="MS UI Gothic" w:eastAsia="MS UI Gothic"/>
          <w:w w:val="80"/>
        </w:rPr>
        <w:t xml:space="preserve">ꎬ </w:t>
      </w:r>
      <w:r>
        <w:t>按照有关规定申请使用许可证</w:t>
      </w:r>
      <w:r>
        <w:rPr>
          <w:rFonts w:hint="eastAsia" w:ascii="MS UI Gothic" w:eastAsia="MS UI Gothic"/>
          <w:w w:val="80"/>
        </w:rPr>
        <w:t xml:space="preserve">ꎮ </w:t>
      </w:r>
      <w:r>
        <w:t>取得使用许可证后</w:t>
      </w:r>
      <w:r>
        <w:rPr>
          <w:rFonts w:hint="eastAsia" w:ascii="MS UI Gothic" w:eastAsia="MS UI Gothic"/>
          <w:w w:val="80"/>
        </w:rPr>
        <w:t xml:space="preserve">ꎬ </w:t>
      </w:r>
      <w:r>
        <w:t>方可使用危险物品</w:t>
      </w:r>
      <w:r>
        <w:rPr>
          <w:rFonts w:hint="eastAsia" w:ascii="MS UI Gothic" w:eastAsia="MS UI Gothic"/>
          <w:w w:val="80"/>
        </w:rPr>
        <w:t xml:space="preserve">ꎮ </w:t>
      </w:r>
      <w:r>
        <w:t>使用有详细记录</w:t>
      </w:r>
      <w:r>
        <w:rPr>
          <w:rFonts w:hint="eastAsia" w:ascii="MS UI Gothic" w:eastAsia="MS UI Gothic"/>
          <w:w w:val="80"/>
        </w:rPr>
        <w:t xml:space="preserve">ꎮ </w:t>
      </w:r>
      <w:r>
        <w:t>使用后</w:t>
      </w:r>
      <w:r>
        <w:rPr>
          <w:rFonts w:hint="eastAsia" w:ascii="MS UI Gothic" w:eastAsia="MS UI Gothic"/>
          <w:w w:val="80"/>
        </w:rPr>
        <w:t xml:space="preserve">ꎬ </w:t>
      </w:r>
      <w:r>
        <w:t>及时将未使用完的危险物品回收入库</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作业时</w:t>
      </w:r>
      <w:r>
        <w:rPr>
          <w:rFonts w:hint="eastAsia" w:ascii="MS UI Gothic" w:eastAsia="MS UI Gothic"/>
          <w:w w:val="80"/>
        </w:rPr>
        <w:t xml:space="preserve">ꎬ </w:t>
      </w:r>
      <w:r>
        <w:rPr>
          <w:w w:val="105"/>
        </w:rPr>
        <w:t>制定安全可靠的作业</w:t>
      </w:r>
      <w:r>
        <w:t>规程</w:t>
      </w:r>
      <w:r>
        <w:rPr>
          <w:rFonts w:hint="eastAsia" w:ascii="MS UI Gothic" w:eastAsia="MS UI Gothic"/>
          <w:w w:val="80"/>
        </w:rPr>
        <w:t xml:space="preserve">ꎮ </w:t>
      </w:r>
      <w:r>
        <w:t>有关作业人员熟悉并遵守作业</w:t>
      </w:r>
      <w:r>
        <w:rPr>
          <w:w w:val="105"/>
        </w:rPr>
        <w:t>规程</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现场设有明显</w:t>
      </w:r>
      <w:r>
        <w:rPr>
          <w:rFonts w:hint="eastAsia" w:ascii="MS UI Gothic" w:eastAsia="MS UI Gothic"/>
          <w:w w:val="80"/>
        </w:rPr>
        <w:t xml:space="preserve">、 </w:t>
      </w:r>
      <w:r>
        <w:rPr>
          <w:w w:val="105"/>
        </w:rPr>
        <w:t>清晰的危险标识</w:t>
      </w:r>
      <w:r>
        <w:rPr>
          <w:rFonts w:hint="eastAsia" w:ascii="MS UI Gothic" w:eastAsia="MS UI Gothic"/>
          <w:w w:val="80"/>
        </w:rPr>
        <w:t xml:space="preserve">ꎬ </w:t>
      </w:r>
      <w:r>
        <w:rPr>
          <w:w w:val="105"/>
        </w:rPr>
        <w:t>以防止非作业人员进入作业区</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 xml:space="preserve">现场至少配备 </w:t>
      </w:r>
      <w:r>
        <w:rPr>
          <w:rFonts w:hint="eastAsia" w:ascii="MS UI Gothic" w:eastAsia="MS UI Gothic"/>
          <w:w w:val="80"/>
        </w:rPr>
        <w:t xml:space="preserve">１ </w:t>
      </w:r>
      <w:r>
        <w:rPr>
          <w:w w:val="105"/>
        </w:rPr>
        <w:t>台便携式放射性强度测量仪</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按照国家有关标准的要求</w:t>
      </w:r>
      <w:r>
        <w:rPr>
          <w:rFonts w:hint="eastAsia" w:ascii="MS UI Gothic" w:eastAsia="MS UI Gothic"/>
          <w:w w:val="80"/>
        </w:rPr>
        <w:t xml:space="preserve">ꎬ </w:t>
      </w:r>
      <w:r>
        <w:rPr>
          <w:w w:val="105"/>
        </w:rPr>
        <w:t>对放射源与载源设备的性能进行检验</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第八十条 危险物品的存放</w:t>
      </w:r>
      <w:r>
        <w:rPr>
          <w:rFonts w:hint="eastAsia" w:ascii="MS UI Gothic" w:eastAsia="MS UI Gothic"/>
          <w:w w:val="80"/>
        </w:rPr>
        <w:t xml:space="preserve">ꎬ </w:t>
      </w:r>
      <w:r>
        <w:rPr>
          <w:w w:val="105"/>
        </w:rPr>
        <w:t>应当符</w:t>
      </w:r>
      <w:r>
        <w:rPr>
          <w:w w:val="110"/>
        </w:rPr>
        <w:t>合下列规定</w:t>
      </w:r>
      <w:r>
        <w:rPr>
          <w:rFonts w:hint="eastAsia" w:ascii="MS UI Gothic" w:eastAsia="MS UI Gothic"/>
          <w:w w:val="235"/>
        </w:rPr>
        <w:t>:</w:t>
      </w:r>
    </w:p>
    <w:p>
      <w:pPr>
        <w:pStyle w:val="6"/>
        <w:spacing w:line="295" w:lineRule="auto"/>
        <w:ind w:right="442"/>
        <w:rPr>
          <w:rFonts w:hint="eastAsia" w:ascii="MS UI Gothic" w:hAnsi="MS UI Gothic" w:eastAsia="MS UI Gothic"/>
        </w:rPr>
      </w:pPr>
      <w:r>
        <w:rPr>
          <w:rFonts w:hint="eastAsia" w:ascii="MS UI Gothic" w:hAnsi="MS UI Gothic" w:eastAsia="MS UI Gothic"/>
          <w:w w:val="150"/>
        </w:rPr>
        <w:t xml:space="preserve">( </w:t>
      </w:r>
      <w:r>
        <w:rPr>
          <w:w w:val="105"/>
        </w:rPr>
        <w:t>一</w:t>
      </w:r>
      <w:r>
        <w:rPr>
          <w:rFonts w:hint="eastAsia" w:ascii="MS UI Gothic" w:hAnsi="MS UI Gothic" w:eastAsia="MS UI Gothic"/>
          <w:w w:val="150"/>
        </w:rPr>
        <w:t xml:space="preserve">) </w:t>
      </w:r>
      <w:r>
        <w:rPr>
          <w:w w:val="105"/>
        </w:rPr>
        <w:t>存放场所远离生活区</w:t>
      </w:r>
      <w:r>
        <w:rPr>
          <w:rFonts w:hint="eastAsia" w:ascii="MS UI Gothic" w:hAnsi="MS UI Gothic" w:eastAsia="MS UI Gothic"/>
          <w:w w:val="80"/>
        </w:rPr>
        <w:t xml:space="preserve">、 </w:t>
      </w:r>
      <w:r>
        <w:rPr>
          <w:w w:val="105"/>
        </w:rPr>
        <w:t>人员密集区及危险区</w:t>
      </w:r>
      <w:r>
        <w:rPr>
          <w:rFonts w:hint="eastAsia" w:ascii="MS UI Gothic" w:hAnsi="MS UI Gothic" w:eastAsia="MS UI Gothic"/>
          <w:w w:val="80"/>
        </w:rPr>
        <w:t xml:space="preserve">ꎬ </w:t>
      </w:r>
      <w:r>
        <w:rPr>
          <w:w w:val="105"/>
        </w:rPr>
        <w:t xml:space="preserve">并标有明显的 </w:t>
      </w:r>
      <w:r>
        <w:rPr>
          <w:rFonts w:hint="eastAsia" w:ascii="MS UI Gothic" w:hAnsi="MS UI Gothic" w:eastAsia="MS UI Gothic"/>
          <w:w w:val="105"/>
        </w:rPr>
        <w:t xml:space="preserve">“ </w:t>
      </w:r>
      <w:r>
        <w:rPr>
          <w:w w:val="105"/>
        </w:rPr>
        <w:t>危险品</w:t>
      </w:r>
      <w:r>
        <w:rPr>
          <w:rFonts w:hint="eastAsia" w:ascii="MS UI Gothic" w:hAnsi="MS UI Gothic" w:eastAsia="MS UI Gothic"/>
          <w:w w:val="105"/>
        </w:rPr>
        <w:t xml:space="preserve">” </w:t>
      </w:r>
      <w:r>
        <w:rPr>
          <w:w w:val="105"/>
        </w:rPr>
        <w:t>标识</w:t>
      </w:r>
      <w:r>
        <w:rPr>
          <w:rFonts w:hint="eastAsia" w:ascii="MS UI Gothic" w:hAns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采取有效的防火安全措施</w:t>
      </w:r>
      <w:r>
        <w:rPr>
          <w:rFonts w:hint="eastAsia" w:ascii="MS UI Gothic" w:eastAsia="MS UI Gothic"/>
          <w:w w:val="80"/>
        </w:rPr>
        <w:t>ꎻ</w:t>
      </w:r>
    </w:p>
    <w:p>
      <w:pPr>
        <w:pStyle w:val="6"/>
        <w:spacing w:before="46"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不得将爆炸性物品中的炸药与</w:t>
      </w:r>
      <w:r>
        <w:t>雷管或者放射性物品存放在同一储存</w:t>
      </w:r>
      <w:r>
        <w:rPr>
          <w:w w:val="105"/>
        </w:rPr>
        <w:t>室内</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第八十一条 对失效的或者外壳泄漏</w:t>
      </w:r>
      <w:r>
        <w:rPr>
          <w:spacing w:val="2"/>
          <w:w w:val="102"/>
        </w:rPr>
        <w:t>试验不合格</w:t>
      </w:r>
      <w:r>
        <w:rPr>
          <w:spacing w:val="8"/>
        </w:rPr>
        <w:t xml:space="preserve"> </w:t>
      </w:r>
      <w:r>
        <w:rPr>
          <w:rFonts w:hint="eastAsia" w:ascii="MS UI Gothic" w:eastAsia="MS UI Gothic"/>
          <w:w w:val="168"/>
        </w:rPr>
        <w:t>(</w:t>
      </w:r>
      <w:r>
        <w:rPr>
          <w:rFonts w:hint="eastAsia" w:ascii="MS UI Gothic" w:eastAsia="MS UI Gothic"/>
          <w:spacing w:val="-40"/>
        </w:rPr>
        <w:t xml:space="preserve"> </w:t>
      </w:r>
      <w:r>
        <w:rPr>
          <w:spacing w:val="1"/>
          <w:w w:val="102"/>
        </w:rPr>
        <w:t>超过</w:t>
      </w:r>
      <w:r>
        <w:rPr>
          <w:spacing w:val="-56"/>
        </w:rPr>
        <w:t xml:space="preserve"> </w:t>
      </w:r>
      <w:r>
        <w:rPr>
          <w:rFonts w:hint="eastAsia" w:ascii="MS UI Gothic" w:eastAsia="MS UI Gothic"/>
          <w:spacing w:val="1"/>
          <w:w w:val="75"/>
        </w:rPr>
        <w:t>１８５</w:t>
      </w:r>
      <w:r>
        <w:rPr>
          <w:rFonts w:hint="eastAsia" w:ascii="MS UI Gothic" w:eastAsia="MS UI Gothic"/>
          <w:w w:val="80"/>
        </w:rPr>
        <w:t>Ｂ</w:t>
      </w:r>
      <w:r>
        <w:rPr>
          <w:rFonts w:hint="eastAsia" w:ascii="MS UI Gothic" w:eastAsia="MS UI Gothic"/>
          <w:spacing w:val="5"/>
          <w:w w:val="85"/>
        </w:rPr>
        <w:t>ｑ</w:t>
      </w:r>
      <w:r>
        <w:rPr>
          <w:rFonts w:hint="eastAsia" w:ascii="MS UI Gothic" w:eastAsia="MS UI Gothic"/>
          <w:w w:val="168"/>
        </w:rPr>
        <w:t>)</w:t>
      </w:r>
      <w:r>
        <w:rPr>
          <w:rFonts w:hint="eastAsia" w:ascii="MS UI Gothic" w:eastAsia="MS UI Gothic"/>
          <w:spacing w:val="2"/>
        </w:rPr>
        <w:t xml:space="preserve">  </w:t>
      </w:r>
      <w:r>
        <w:rPr>
          <w:spacing w:val="3"/>
          <w:w w:val="102"/>
        </w:rPr>
        <w:t>的放射源</w:t>
      </w:r>
      <w:r>
        <w:rPr>
          <w:rFonts w:hint="eastAsia" w:ascii="MS UI Gothic" w:eastAsia="MS UI Gothic"/>
          <w:w w:val="51"/>
        </w:rPr>
        <w:t>ꎬ</w:t>
      </w:r>
      <w:r>
        <w:rPr>
          <w:rFonts w:hint="eastAsia" w:ascii="MS UI Gothic" w:eastAsia="MS UI Gothic"/>
          <w:spacing w:val="-8"/>
        </w:rPr>
        <w:t xml:space="preserve">  </w:t>
      </w:r>
      <w:r>
        <w:rPr>
          <w:w w:val="102"/>
        </w:rPr>
        <w:t>应</w:t>
      </w:r>
      <w:r>
        <w:rPr>
          <w:spacing w:val="3"/>
        </w:rPr>
        <w:t>当采取安全的方式妥善处置</w:t>
      </w:r>
      <w:r>
        <w:rPr>
          <w:rFonts w:hint="eastAsia" w:ascii="MS UI Gothic" w:eastAsia="MS UI Gothic"/>
          <w:w w:val="90"/>
        </w:rPr>
        <w:t>ꎮ</w:t>
      </w:r>
    </w:p>
    <w:p>
      <w:pPr>
        <w:pStyle w:val="6"/>
        <w:spacing w:line="295" w:lineRule="auto"/>
        <w:ind w:right="442"/>
        <w:rPr>
          <w:rFonts w:hint="eastAsia" w:ascii="MS UI Gothic" w:eastAsia="MS UI Gothic"/>
        </w:rPr>
      </w:pPr>
      <w:r>
        <w:rPr>
          <w:w w:val="105"/>
        </w:rPr>
        <w:t>第八十二条 作业人员使用放射性物</w:t>
      </w:r>
      <w:r>
        <w:rPr>
          <w:w w:val="110"/>
        </w:rPr>
        <w:t>品的</w:t>
      </w:r>
      <w:r>
        <w:rPr>
          <w:rFonts w:hint="eastAsia" w:ascii="MS UI Gothic" w:eastAsia="MS UI Gothic"/>
          <w:w w:val="80"/>
        </w:rPr>
        <w:t xml:space="preserve">ꎬ </w:t>
      </w:r>
      <w:r>
        <w:rPr>
          <w:w w:val="110"/>
        </w:rPr>
        <w:t>应当采取下列防护措施</w:t>
      </w:r>
      <w:r>
        <w:rPr>
          <w:rFonts w:hint="eastAsia" w:ascii="MS UI Gothic" w:eastAsia="MS UI Gothic"/>
          <w:w w:val="235"/>
        </w:rPr>
        <w:t>:</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配有个人辐照剂量检测用具</w:t>
      </w:r>
      <w:r>
        <w:rPr>
          <w:rFonts w:hint="eastAsia" w:ascii="MS UI Gothic" w:eastAsia="MS UI Gothic"/>
          <w:w w:val="80"/>
        </w:rPr>
        <w:t>ꎬ</w:t>
      </w:r>
      <w:r>
        <w:rPr>
          <w:w w:val="105"/>
        </w:rPr>
        <w:t>并建立辐照剂量档案</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每年至少进行一次体检</w:t>
      </w:r>
      <w:r>
        <w:rPr>
          <w:rFonts w:hint="eastAsia" w:ascii="MS UI Gothic" w:eastAsia="MS UI Gothic"/>
          <w:w w:val="80"/>
        </w:rPr>
        <w:t xml:space="preserve">ꎬ </w:t>
      </w:r>
      <w:r>
        <w:rPr>
          <w:w w:val="105"/>
        </w:rPr>
        <w:t>体检结果存档</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发现作业人员受到放射性伤害</w:t>
      </w:r>
      <w:r>
        <w:t>的</w:t>
      </w:r>
      <w:r>
        <w:rPr>
          <w:rFonts w:hint="eastAsia" w:ascii="MS UI Gothic" w:eastAsia="MS UI Gothic"/>
          <w:w w:val="80"/>
        </w:rPr>
        <w:t xml:space="preserve">ꎬ </w:t>
      </w:r>
      <w:r>
        <w:t>立即调离其工作岗位</w:t>
      </w:r>
      <w:r>
        <w:rPr>
          <w:rFonts w:hint="eastAsia" w:ascii="MS UI Gothic" w:eastAsia="MS UI Gothic"/>
          <w:w w:val="80"/>
        </w:rPr>
        <w:t xml:space="preserve">ꎬ </w:t>
      </w:r>
      <w:r>
        <w:t>并按照有关规</w:t>
      </w:r>
      <w:r>
        <w:rPr>
          <w:w w:val="105"/>
        </w:rPr>
        <w:t>定进行治疗和康复</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作业人员调动工作的</w:t>
      </w:r>
      <w:r>
        <w:rPr>
          <w:rFonts w:hint="eastAsia" w:ascii="MS UI Gothic" w:eastAsia="MS UI Gothic"/>
          <w:w w:val="80"/>
        </w:rPr>
        <w:t xml:space="preserve">ꎬ </w:t>
      </w:r>
      <w:r>
        <w:rPr>
          <w:w w:val="105"/>
        </w:rPr>
        <w:t>其辐照</w:t>
      </w:r>
      <w:r>
        <w:t>剂量档案和体检档案随工作岗位一起</w:t>
      </w:r>
      <w:r>
        <w:rPr>
          <w:w w:val="105"/>
        </w:rPr>
        <w:t>调动</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１９７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15" o:spid="_x0000_s1615" o:spt="203" style="height:2.15pt;width:398.25pt;" coordsize="7965,43">
            <o:lock v:ext="edit"/>
            <v:line id="_x0000_s1616" o:spid="_x0000_s1616" o:spt="20" style="position:absolute;left:0;top:39;height:0;width:7965;" stroked="t" coordsize="21600,21600">
              <v:path arrowok="t"/>
              <v:fill focussize="0,0"/>
              <v:stroke weight="0.388031496062992pt" color="#231F20"/>
              <v:imagedata o:title=""/>
              <o:lock v:ext="edit"/>
            </v:line>
            <v:line id="_x0000_s1617" o:spid="_x0000_s161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
        <w:ind w:left="0" w:firstLine="0"/>
        <w:jc w:val="left"/>
        <w:rPr>
          <w:rFonts w:ascii="MS UI Gothic"/>
          <w:sz w:val="21"/>
        </w:rPr>
      </w:pPr>
    </w:p>
    <w:p>
      <w:pPr>
        <w:pStyle w:val="6"/>
        <w:tabs>
          <w:tab w:val="left" w:pos="2222"/>
        </w:tabs>
        <w:ind w:left="1384" w:firstLine="0"/>
        <w:jc w:val="left"/>
      </w:pPr>
      <w:r>
        <w:rPr>
          <w:spacing w:val="3"/>
          <w:w w:val="105"/>
        </w:rPr>
        <w:t>第九</w:t>
      </w:r>
      <w:r>
        <w:rPr>
          <w:w w:val="105"/>
        </w:rPr>
        <w:t>节</w:t>
      </w:r>
      <w:r>
        <w:rPr>
          <w:w w:val="105"/>
        </w:rPr>
        <w:tab/>
      </w:r>
      <w:r>
        <w:rPr>
          <w:w w:val="105"/>
        </w:rPr>
        <w:t>弃</w:t>
      </w:r>
      <w:r>
        <w:rPr>
          <w:spacing w:val="-34"/>
          <w:w w:val="105"/>
        </w:rPr>
        <w:t xml:space="preserve"> </w:t>
      </w:r>
      <w:r>
        <w:rPr>
          <w:w w:val="105"/>
        </w:rPr>
        <w:t>井</w:t>
      </w:r>
      <w:r>
        <w:rPr>
          <w:spacing w:val="-33"/>
          <w:w w:val="105"/>
        </w:rPr>
        <w:t xml:space="preserve"> </w:t>
      </w:r>
      <w:r>
        <w:rPr>
          <w:w w:val="105"/>
        </w:rPr>
        <w:t>管</w:t>
      </w:r>
      <w:r>
        <w:rPr>
          <w:spacing w:val="-33"/>
          <w:w w:val="105"/>
        </w:rPr>
        <w:t xml:space="preserve"> </w:t>
      </w:r>
      <w:r>
        <w:rPr>
          <w:w w:val="105"/>
        </w:rPr>
        <w:t>理</w:t>
      </w:r>
    </w:p>
    <w:p>
      <w:pPr>
        <w:pStyle w:val="6"/>
        <w:spacing w:before="10"/>
        <w:ind w:left="0" w:firstLine="0"/>
        <w:jc w:val="left"/>
        <w:rPr>
          <w:sz w:val="16"/>
        </w:rPr>
      </w:pPr>
    </w:p>
    <w:p>
      <w:pPr>
        <w:pStyle w:val="6"/>
        <w:spacing w:line="295" w:lineRule="auto"/>
        <w:ind w:left="440"/>
        <w:rPr>
          <w:rFonts w:hint="eastAsia" w:ascii="MS UI Gothic" w:eastAsia="MS UI Gothic"/>
        </w:rPr>
      </w:pPr>
      <w:r>
        <w:rPr>
          <w:w w:val="105"/>
        </w:rPr>
        <w:t>第八十三条 作业者或者承包者在进</w:t>
      </w:r>
      <w:r>
        <w:t xml:space="preserve">行弃井作业或者清除井口遗留物 </w:t>
      </w:r>
      <w:r>
        <w:rPr>
          <w:rFonts w:hint="eastAsia" w:ascii="MS UI Gothic" w:eastAsia="MS UI Gothic"/>
          <w:w w:val="80"/>
        </w:rPr>
        <w:t xml:space="preserve">３０ </w:t>
      </w:r>
      <w:r>
        <w:t>日前</w:t>
      </w:r>
      <w:r>
        <w:rPr>
          <w:rFonts w:hint="eastAsia" w:ascii="MS UI Gothic" w:eastAsia="MS UI Gothic"/>
          <w:w w:val="80"/>
        </w:rPr>
        <w:t>ꎬ</w:t>
      </w:r>
      <w:r>
        <w:rPr>
          <w:w w:val="105"/>
        </w:rPr>
        <w:t>应当向海油安办有关分部报送下列材料</w:t>
      </w:r>
      <w:r>
        <w:rPr>
          <w:rFonts w:hint="eastAsia" w:ascii="MS UI Gothic" w:eastAsia="MS UI Gothic"/>
          <w:w w:val="230"/>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弃井作业或者清除井口遗留物</w:t>
      </w:r>
      <w:r>
        <w:rPr>
          <w:w w:val="110"/>
        </w:rPr>
        <w:t>安全风险评价报告</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弃井或者清除井口遗留物施工方案</w:t>
      </w:r>
      <w:r>
        <w:rPr>
          <w:rFonts w:hint="eastAsia" w:ascii="MS UI Gothic" w:eastAsia="MS UI Gothic"/>
          <w:w w:val="80"/>
        </w:rPr>
        <w:t xml:space="preserve">、 </w:t>
      </w:r>
      <w:r>
        <w:rPr>
          <w:w w:val="105"/>
        </w:rPr>
        <w:t>作业程序</w:t>
      </w:r>
      <w:r>
        <w:rPr>
          <w:rFonts w:hint="eastAsia" w:ascii="MS UI Gothic" w:eastAsia="MS UI Gothic"/>
          <w:w w:val="80"/>
        </w:rPr>
        <w:t xml:space="preserve">、 </w:t>
      </w:r>
      <w:r>
        <w:rPr>
          <w:w w:val="105"/>
        </w:rPr>
        <w:t>时间安排</w:t>
      </w:r>
      <w:r>
        <w:rPr>
          <w:rFonts w:hint="eastAsia" w:ascii="MS UI Gothic" w:eastAsia="MS UI Gothic"/>
          <w:w w:val="80"/>
        </w:rPr>
        <w:t xml:space="preserve">、 </w:t>
      </w:r>
      <w:r>
        <w:rPr>
          <w:w w:val="105"/>
        </w:rPr>
        <w:t>井液性能等</w:t>
      </w:r>
      <w:r>
        <w:rPr>
          <w:rFonts w:hint="eastAsia" w:ascii="MS UI Gothic" w:eastAsia="MS UI Gothic"/>
          <w:w w:val="80"/>
        </w:rPr>
        <w:t>ꎮ</w:t>
      </w:r>
    </w:p>
    <w:p>
      <w:pPr>
        <w:pStyle w:val="6"/>
        <w:spacing w:line="295" w:lineRule="auto"/>
        <w:ind w:left="440" w:right="1"/>
        <w:rPr>
          <w:rFonts w:hint="eastAsia" w:ascii="MS UI Gothic" w:eastAsia="MS UI Gothic"/>
        </w:rPr>
      </w:pPr>
      <w:r>
        <w:t>海油安办有关分部应当对作业者或者承包者报送的材料进行审核</w:t>
      </w:r>
      <w:r>
        <w:rPr>
          <w:rFonts w:hint="eastAsia" w:ascii="MS UI Gothic" w:eastAsia="MS UI Gothic"/>
          <w:w w:val="80"/>
        </w:rPr>
        <w:t xml:space="preserve">ꎻ </w:t>
      </w:r>
      <w:r>
        <w:t>材料内容不符合技术要求的</w:t>
      </w:r>
      <w:r>
        <w:rPr>
          <w:rFonts w:hint="eastAsia" w:ascii="MS UI Gothic" w:eastAsia="MS UI Gothic"/>
          <w:w w:val="80"/>
        </w:rPr>
        <w:t xml:space="preserve">ꎬ </w:t>
      </w:r>
      <w:r>
        <w:t>通知作业者或者承包者进行完善</w:t>
      </w:r>
      <w:r>
        <w:rPr>
          <w:rFonts w:hint="eastAsia" w:ascii="MS UI Gothic" w:eastAsia="MS UI Gothic"/>
          <w:w w:val="80"/>
        </w:rPr>
        <w:t>ꎮ</w:t>
      </w:r>
    </w:p>
    <w:p>
      <w:pPr>
        <w:pStyle w:val="6"/>
        <w:spacing w:line="295" w:lineRule="auto"/>
        <w:ind w:left="440" w:right="1"/>
        <w:rPr>
          <w:rFonts w:hint="eastAsia" w:ascii="MS UI Gothic" w:eastAsia="MS UI Gothic"/>
        </w:rPr>
      </w:pPr>
      <w:r>
        <w:t>第八十四条 弃井作业或者清除井口遗留物施工作业期间</w:t>
      </w:r>
      <w:r>
        <w:rPr>
          <w:rFonts w:hint="eastAsia" w:ascii="MS UI Gothic" w:eastAsia="MS UI Gothic"/>
          <w:w w:val="80"/>
        </w:rPr>
        <w:t xml:space="preserve">ꎬ </w:t>
      </w:r>
      <w:r>
        <w:t>海油安办有关分部认为必要时</w:t>
      </w:r>
      <w:r>
        <w:rPr>
          <w:rFonts w:hint="eastAsia" w:ascii="MS UI Gothic" w:eastAsia="MS UI Gothic"/>
          <w:w w:val="80"/>
        </w:rPr>
        <w:t xml:space="preserve">ꎬ </w:t>
      </w:r>
      <w:r>
        <w:t>进行现场监督</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w w:val="105"/>
        </w:rPr>
        <w:t xml:space="preserve">施工作业完成后 </w:t>
      </w:r>
      <w:r>
        <w:rPr>
          <w:rFonts w:hint="eastAsia" w:ascii="MS UI Gothic" w:eastAsia="MS UI Gothic"/>
          <w:spacing w:val="-5"/>
          <w:w w:val="80"/>
        </w:rPr>
        <w:t xml:space="preserve">１５ </w:t>
      </w:r>
      <w:r>
        <w:rPr>
          <w:spacing w:val="8"/>
          <w:w w:val="105"/>
        </w:rPr>
        <w:t>日内</w:t>
      </w:r>
      <w:r>
        <w:rPr>
          <w:rFonts w:hint="eastAsia" w:ascii="MS UI Gothic" w:eastAsia="MS UI Gothic"/>
          <w:spacing w:val="5"/>
          <w:w w:val="80"/>
        </w:rPr>
        <w:t xml:space="preserve">ꎬ </w:t>
      </w:r>
      <w:r>
        <w:rPr>
          <w:spacing w:val="11"/>
          <w:w w:val="105"/>
        </w:rPr>
        <w:t>作业者或</w:t>
      </w:r>
      <w:r>
        <w:rPr>
          <w:spacing w:val="2"/>
        </w:rPr>
        <w:t>者承包者应当向海油安办有关分部提交下</w:t>
      </w:r>
      <w:r>
        <w:rPr>
          <w:spacing w:val="3"/>
          <w:w w:val="105"/>
        </w:rPr>
        <w:t>列资料</w:t>
      </w:r>
      <w:r>
        <w:rPr>
          <w:rFonts w:hint="eastAsia" w:ascii="MS UI Gothic" w:eastAsia="MS UI Gothic"/>
          <w:w w:val="230"/>
        </w:rPr>
        <w:t>:</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弃井或者清除井口遗留物作业</w:t>
      </w:r>
      <w:r>
        <w:rPr>
          <w:spacing w:val="3"/>
          <w:w w:val="110"/>
        </w:rPr>
        <w:t>完工图</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弃井作业最终报告表</w:t>
      </w:r>
      <w:r>
        <w:rPr>
          <w:rFonts w:hint="eastAsia" w:ascii="MS UI Gothic" w:eastAsia="MS UI Gothic"/>
          <w:w w:val="80"/>
        </w:rPr>
        <w:t>ꎮ</w:t>
      </w:r>
    </w:p>
    <w:p>
      <w:pPr>
        <w:pStyle w:val="6"/>
        <w:spacing w:before="44" w:line="295" w:lineRule="auto"/>
        <w:ind w:left="440" w:right="1"/>
        <w:rPr>
          <w:rFonts w:hint="eastAsia" w:ascii="MS UI Gothic" w:eastAsia="MS UI Gothic"/>
        </w:rPr>
      </w:pPr>
      <w:r>
        <w:rPr>
          <w:w w:val="105"/>
        </w:rPr>
        <w:t>第八十五条 对于永久性弃井的</w:t>
      </w:r>
      <w:r>
        <w:rPr>
          <w:rFonts w:hint="eastAsia" w:ascii="MS UI Gothic" w:eastAsia="MS UI Gothic"/>
          <w:w w:val="80"/>
        </w:rPr>
        <w:t xml:space="preserve">ꎬ </w:t>
      </w:r>
      <w:r>
        <w:rPr>
          <w:w w:val="105"/>
        </w:rPr>
        <w:t>应</w:t>
      </w:r>
      <w:r>
        <w:rPr>
          <w:w w:val="110"/>
        </w:rPr>
        <w:t>当符合下列要求</w:t>
      </w:r>
      <w:r>
        <w:rPr>
          <w:rFonts w:hint="eastAsia" w:ascii="MS UI Gothic" w:eastAsia="MS UI Gothic"/>
          <w:w w:val="235"/>
        </w:rPr>
        <w:t>:</w:t>
      </w:r>
    </w:p>
    <w:p>
      <w:pPr>
        <w:pStyle w:val="6"/>
        <w:spacing w:line="295" w:lineRule="auto"/>
        <w:ind w:left="435" w:firstLine="425"/>
      </w:pPr>
      <w:r>
        <w:rPr>
          <w:rFonts w:hint="eastAsia" w:ascii="MS UI Gothic" w:eastAsia="MS UI Gothic"/>
          <w:w w:val="145"/>
        </w:rPr>
        <w:t xml:space="preserve">( </w:t>
      </w:r>
      <w:r>
        <w:t>一</w:t>
      </w:r>
      <w:r>
        <w:rPr>
          <w:rFonts w:hint="eastAsia" w:ascii="MS UI Gothic" w:eastAsia="MS UI Gothic"/>
          <w:w w:val="145"/>
        </w:rPr>
        <w:t xml:space="preserve">) </w:t>
      </w:r>
      <w:r>
        <w:t>在裸露井眼井段</w:t>
      </w:r>
      <w:r>
        <w:rPr>
          <w:rFonts w:hint="eastAsia" w:ascii="MS UI Gothic" w:eastAsia="MS UI Gothic"/>
          <w:w w:val="80"/>
        </w:rPr>
        <w:t xml:space="preserve">ꎬ </w:t>
      </w:r>
      <w:r>
        <w:t>对油</w:t>
      </w:r>
      <w:r>
        <w:rPr>
          <w:rFonts w:hint="eastAsia" w:ascii="MS UI Gothic" w:eastAsia="MS UI Gothic"/>
          <w:w w:val="80"/>
        </w:rPr>
        <w:t xml:space="preserve">、 </w:t>
      </w:r>
      <w:r>
        <w:t>气</w:t>
      </w:r>
      <w:r>
        <w:rPr>
          <w:rFonts w:hint="eastAsia" w:ascii="MS UI Gothic" w:eastAsia="MS UI Gothic"/>
          <w:w w:val="80"/>
        </w:rPr>
        <w:t>、</w:t>
      </w:r>
      <w:r>
        <w:t>水等渗透层进行全封</w:t>
      </w:r>
      <w:r>
        <w:rPr>
          <w:rFonts w:hint="eastAsia" w:ascii="MS UI Gothic" w:eastAsia="MS UI Gothic"/>
          <w:w w:val="80"/>
        </w:rPr>
        <w:t xml:space="preserve">ꎬ </w:t>
      </w:r>
      <w:r>
        <w:t>在其上部打至少</w:t>
      </w:r>
      <w:r>
        <w:rPr>
          <w:rFonts w:hint="eastAsia" w:ascii="MS UI Gothic" w:eastAsia="MS UI Gothic"/>
          <w:w w:val="80"/>
        </w:rPr>
        <w:t xml:space="preserve">５０ </w:t>
      </w:r>
      <w:r>
        <w:t>米水泥塞</w:t>
      </w:r>
      <w:r>
        <w:rPr>
          <w:rFonts w:hint="eastAsia" w:ascii="MS UI Gothic" w:eastAsia="MS UI Gothic"/>
          <w:w w:val="80"/>
        </w:rPr>
        <w:t xml:space="preserve">ꎬ </w:t>
      </w:r>
      <w:r>
        <w:t>以封隔油</w:t>
      </w:r>
      <w:r>
        <w:rPr>
          <w:rFonts w:hint="eastAsia" w:ascii="MS UI Gothic" w:eastAsia="MS UI Gothic"/>
          <w:w w:val="80"/>
        </w:rPr>
        <w:t xml:space="preserve">、 </w:t>
      </w:r>
      <w:r>
        <w:t>气</w:t>
      </w:r>
      <w:r>
        <w:rPr>
          <w:rFonts w:hint="eastAsia" w:ascii="MS UI Gothic" w:eastAsia="MS UI Gothic"/>
          <w:w w:val="80"/>
        </w:rPr>
        <w:t xml:space="preserve">、 </w:t>
      </w:r>
      <w:r>
        <w:t>水等渗透层</w:t>
      </w:r>
      <w:r>
        <w:rPr>
          <w:rFonts w:hint="eastAsia" w:ascii="MS UI Gothic" w:eastAsia="MS UI Gothic"/>
          <w:w w:val="80"/>
        </w:rPr>
        <w:t xml:space="preserve">ꎬ </w:t>
      </w:r>
      <w:r>
        <w:t>防止互窜或者流出海底</w:t>
      </w:r>
      <w:r>
        <w:rPr>
          <w:rFonts w:hint="eastAsia" w:ascii="MS UI Gothic" w:eastAsia="MS UI Gothic"/>
          <w:w w:val="80"/>
        </w:rPr>
        <w:t xml:space="preserve">ꎮ </w:t>
      </w:r>
      <w:r>
        <w:t>裸眼井段无油</w:t>
      </w:r>
      <w:r>
        <w:rPr>
          <w:rFonts w:hint="eastAsia" w:ascii="MS UI Gothic" w:eastAsia="MS UI Gothic"/>
          <w:w w:val="80"/>
        </w:rPr>
        <w:t xml:space="preserve">、 </w:t>
      </w:r>
      <w:r>
        <w:t>气</w:t>
      </w:r>
      <w:r>
        <w:rPr>
          <w:rFonts w:hint="eastAsia" w:ascii="MS UI Gothic" w:eastAsia="MS UI Gothic"/>
          <w:w w:val="80"/>
        </w:rPr>
        <w:t xml:space="preserve">、 </w:t>
      </w:r>
      <w:r>
        <w:t>水时</w:t>
      </w:r>
      <w:r>
        <w:rPr>
          <w:rFonts w:hint="eastAsia" w:ascii="MS UI Gothic" w:eastAsia="MS UI Gothic"/>
          <w:w w:val="80"/>
        </w:rPr>
        <w:t xml:space="preserve">ꎬ </w:t>
      </w:r>
      <w:r>
        <w:t>在最后一层套管的套管鞋</w:t>
      </w:r>
    </w:p>
    <w:p>
      <w:pPr>
        <w:pStyle w:val="6"/>
        <w:spacing w:line="236" w:lineRule="exact"/>
        <w:ind w:left="440" w:firstLine="0"/>
        <w:rPr>
          <w:rFonts w:hint="eastAsia" w:ascii="MS UI Gothic" w:eastAsia="MS UI Gothic"/>
        </w:rPr>
      </w:pPr>
      <w:r>
        <w:t xml:space="preserve">以下和以上各打至少 </w:t>
      </w:r>
      <w:r>
        <w:rPr>
          <w:rFonts w:hint="eastAsia" w:ascii="MS UI Gothic" w:eastAsia="MS UI Gothic"/>
          <w:w w:val="85"/>
        </w:rPr>
        <w:t xml:space="preserve">３０ </w:t>
      </w:r>
      <w:r>
        <w:t>米水泥塞</w:t>
      </w:r>
      <w:r>
        <w:rPr>
          <w:rFonts w:hint="eastAsia" w:ascii="MS UI Gothic" w:eastAsia="MS UI Gothic"/>
          <w:w w:val="85"/>
        </w:rPr>
        <w:t>ꎻ</w:t>
      </w:r>
    </w:p>
    <w:p>
      <w:pPr>
        <w:pStyle w:val="6"/>
        <w:spacing w:before="124"/>
        <w:ind w:left="375" w:firstLine="0"/>
        <w:rPr>
          <w:rFonts w:hint="eastAsia" w:ascii="MS UI Gothic" w:eastAsia="MS UI Gothic"/>
        </w:rPr>
      </w:pPr>
      <w:r>
        <w:br w:type="column"/>
      </w:r>
      <w:r>
        <w:rPr>
          <w:rFonts w:hint="eastAsia" w:ascii="MS UI Gothic" w:eastAsia="MS UI Gothic"/>
          <w:w w:val="85"/>
        </w:rPr>
        <w:t xml:space="preserve">４５ </w:t>
      </w:r>
      <w:r>
        <w:t>米</w:t>
      </w:r>
      <w:r>
        <w:rPr>
          <w:rFonts w:hint="eastAsia" w:ascii="MS UI Gothic" w:eastAsia="MS UI Gothic"/>
          <w:w w:val="85"/>
        </w:rPr>
        <w:t xml:space="preserve">ꎬ </w:t>
      </w:r>
      <w:r>
        <w:t xml:space="preserve">且水泥塞顶面位于海底泥面下 </w:t>
      </w:r>
      <w:r>
        <w:rPr>
          <w:rFonts w:hint="eastAsia" w:ascii="MS UI Gothic" w:eastAsia="MS UI Gothic"/>
          <w:w w:val="85"/>
        </w:rPr>
        <w:t>４</w:t>
      </w:r>
    </w:p>
    <w:p>
      <w:pPr>
        <w:pStyle w:val="6"/>
        <w:spacing w:before="58"/>
        <w:ind w:left="381" w:firstLine="0"/>
        <w:rPr>
          <w:rFonts w:hint="eastAsia" w:ascii="MS UI Gothic" w:eastAsia="MS UI Gothic"/>
        </w:rPr>
      </w:pPr>
      <w:r>
        <w:t xml:space="preserve">米至 </w:t>
      </w:r>
      <w:r>
        <w:rPr>
          <w:rFonts w:hint="eastAsia" w:ascii="MS UI Gothic" w:eastAsia="MS UI Gothic"/>
          <w:w w:val="85"/>
        </w:rPr>
        <w:t xml:space="preserve">３０ </w:t>
      </w:r>
      <w:r>
        <w:t>米之间</w:t>
      </w:r>
      <w:r>
        <w:rPr>
          <w:rFonts w:hint="eastAsia" w:ascii="MS UI Gothic" w:eastAsia="MS UI Gothic"/>
          <w:w w:val="85"/>
        </w:rPr>
        <w:t>ꎮ</w:t>
      </w:r>
    </w:p>
    <w:p>
      <w:pPr>
        <w:pStyle w:val="6"/>
        <w:spacing w:before="58" w:line="295" w:lineRule="auto"/>
        <w:ind w:left="381" w:right="126"/>
        <w:rPr>
          <w:rFonts w:hint="eastAsia" w:ascii="MS UI Gothic" w:eastAsia="MS UI Gothic"/>
        </w:rPr>
      </w:pPr>
      <w:r>
        <w:t>对于临时弃井的</w:t>
      </w:r>
      <w:r>
        <w:rPr>
          <w:rFonts w:hint="eastAsia" w:ascii="MS UI Gothic" w:eastAsia="MS UI Gothic"/>
          <w:w w:val="80"/>
        </w:rPr>
        <w:t xml:space="preserve">ꎬ </w:t>
      </w:r>
      <w:r>
        <w:t>应当符合下列</w:t>
      </w:r>
      <w:r>
        <w:rPr>
          <w:w w:val="110"/>
        </w:rPr>
        <w:t>要求</w:t>
      </w:r>
      <w:r>
        <w:rPr>
          <w:rFonts w:hint="eastAsia" w:ascii="MS UI Gothic" w:eastAsia="MS UI Gothic"/>
          <w:w w:val="235"/>
        </w:rPr>
        <w:t>:</w:t>
      </w:r>
    </w:p>
    <w:p>
      <w:pPr>
        <w:pStyle w:val="6"/>
        <w:spacing w:line="295" w:lineRule="auto"/>
        <w:ind w:left="639" w:right="126" w:firstLine="161"/>
        <w:rPr>
          <w:rFonts w:hint="eastAsia" w:ascii="MS UI Gothic" w:eastAsia="MS UI Gothic"/>
        </w:rPr>
      </w:pPr>
      <w:r>
        <w:pict>
          <v:shape id="_x0000_s1618" o:spid="_x0000_s1618" o:spt="202" type="#_x0000_t202" style="position:absolute;left:0pt;margin-left:280.35pt;margin-top:12pt;height:24.35pt;width:10.3pt;mso-position-horizontal-relative:page;z-index:-27586662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５０</w:t>
                  </w:r>
                </w:p>
              </w:txbxContent>
            </v:textbox>
          </v:shape>
        </w:pict>
      </w: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在最深层套管柱的底部至少打</w:t>
      </w:r>
      <w:r>
        <w:rPr>
          <w:w w:val="110"/>
        </w:rPr>
        <w:t>米水泥塞</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45"/>
        </w:rPr>
        <w:t xml:space="preserve">( </w:t>
      </w:r>
      <w:r>
        <w:rPr>
          <w:w w:val="105"/>
        </w:rPr>
        <w:t>二</w:t>
      </w:r>
      <w:r>
        <w:rPr>
          <w:rFonts w:hint="eastAsia" w:ascii="MS UI Gothic" w:eastAsia="MS UI Gothic"/>
          <w:w w:val="145"/>
        </w:rPr>
        <w:t xml:space="preserve">) </w:t>
      </w:r>
      <w:r>
        <w:rPr>
          <w:w w:val="105"/>
        </w:rPr>
        <w:t xml:space="preserve">在海底泥面以下 </w:t>
      </w:r>
      <w:r>
        <w:rPr>
          <w:rFonts w:hint="eastAsia" w:ascii="MS UI Gothic" w:eastAsia="MS UI Gothic"/>
          <w:w w:val="85"/>
        </w:rPr>
        <w:t xml:space="preserve">４ </w:t>
      </w:r>
      <w:r>
        <w:rPr>
          <w:w w:val="105"/>
        </w:rPr>
        <w:t xml:space="preserve">米的套管柱内至少打 </w:t>
      </w:r>
      <w:r>
        <w:rPr>
          <w:rFonts w:hint="eastAsia" w:ascii="MS UI Gothic" w:eastAsia="MS UI Gothic"/>
          <w:w w:val="85"/>
        </w:rPr>
        <w:t xml:space="preserve">３０ </w:t>
      </w:r>
      <w:r>
        <w:rPr>
          <w:w w:val="105"/>
        </w:rPr>
        <w:t>米水泥塞</w:t>
      </w:r>
      <w:r>
        <w:rPr>
          <w:rFonts w:hint="eastAsia" w:ascii="MS UI Gothic" w:eastAsia="MS UI Gothic"/>
          <w:w w:val="85"/>
        </w:rPr>
        <w:t>ꎮ</w:t>
      </w:r>
    </w:p>
    <w:p>
      <w:pPr>
        <w:pStyle w:val="6"/>
        <w:spacing w:line="295" w:lineRule="auto"/>
        <w:ind w:left="381" w:right="126"/>
        <w:rPr>
          <w:rFonts w:hint="eastAsia" w:ascii="MS UI Gothic" w:eastAsia="MS UI Gothic"/>
        </w:rPr>
      </w:pPr>
      <w:r>
        <w:t>第八十六条 永久弃井时</w:t>
      </w:r>
      <w:r>
        <w:rPr>
          <w:rFonts w:hint="eastAsia" w:ascii="MS UI Gothic" w:eastAsia="MS UI Gothic"/>
          <w:w w:val="80"/>
        </w:rPr>
        <w:t xml:space="preserve">ꎬ </w:t>
      </w:r>
      <w:r>
        <w:t>所有套管</w:t>
      </w:r>
      <w:r>
        <w:rPr>
          <w:rFonts w:hint="eastAsia" w:ascii="MS UI Gothic" w:eastAsia="MS UI Gothic"/>
          <w:w w:val="80"/>
        </w:rPr>
        <w:t xml:space="preserve">、 </w:t>
      </w:r>
      <w:r>
        <w:t>井口装置或者桩应当按照国家有关规定实施清除作业</w:t>
      </w:r>
      <w:r>
        <w:rPr>
          <w:rFonts w:hint="eastAsia" w:ascii="MS UI Gothic" w:eastAsia="MS UI Gothic"/>
          <w:w w:val="80"/>
        </w:rPr>
        <w:t xml:space="preserve">ꎮ </w:t>
      </w:r>
      <w:r>
        <w:t>对保留在海底的水下井口装置或者井口帽</w:t>
      </w:r>
      <w:r>
        <w:rPr>
          <w:rFonts w:hint="eastAsia" w:ascii="MS UI Gothic" w:eastAsia="MS UI Gothic"/>
          <w:w w:val="80"/>
        </w:rPr>
        <w:t xml:space="preserve">ꎬ </w:t>
      </w:r>
      <w:r>
        <w:t>应当按照国家有关规定向海油安办有关分部进行报告</w:t>
      </w:r>
      <w:r>
        <w:rPr>
          <w:rFonts w:hint="eastAsia" w:ascii="MS UI Gothic" w:eastAsia="MS UI Gothic"/>
          <w:w w:val="80"/>
        </w:rPr>
        <w:t>ꎮ</w:t>
      </w:r>
    </w:p>
    <w:p>
      <w:pPr>
        <w:pStyle w:val="6"/>
        <w:tabs>
          <w:tab w:val="left" w:pos="2162"/>
        </w:tabs>
        <w:spacing w:before="149"/>
        <w:ind w:left="1324" w:firstLine="0"/>
        <w:jc w:val="left"/>
      </w:pPr>
      <w:r>
        <w:rPr>
          <w:spacing w:val="3"/>
          <w:w w:val="105"/>
        </w:rPr>
        <w:t>第四</w:t>
      </w:r>
      <w:r>
        <w:rPr>
          <w:w w:val="105"/>
        </w:rPr>
        <w:t>章</w:t>
      </w:r>
      <w:r>
        <w:rPr>
          <w:w w:val="105"/>
        </w:rPr>
        <w:tab/>
      </w:r>
      <w:r>
        <w:rPr>
          <w:w w:val="105"/>
        </w:rPr>
        <w:t>安</w:t>
      </w:r>
      <w:r>
        <w:rPr>
          <w:spacing w:val="-33"/>
          <w:w w:val="105"/>
        </w:rPr>
        <w:t xml:space="preserve"> </w:t>
      </w:r>
      <w:r>
        <w:rPr>
          <w:w w:val="105"/>
        </w:rPr>
        <w:t>全</w:t>
      </w:r>
      <w:r>
        <w:rPr>
          <w:spacing w:val="-33"/>
          <w:w w:val="105"/>
        </w:rPr>
        <w:t xml:space="preserve"> </w:t>
      </w:r>
      <w:r>
        <w:rPr>
          <w:w w:val="105"/>
        </w:rPr>
        <w:t>培</w:t>
      </w:r>
      <w:r>
        <w:rPr>
          <w:spacing w:val="-33"/>
          <w:w w:val="105"/>
        </w:rPr>
        <w:t xml:space="preserve"> </w:t>
      </w:r>
      <w:r>
        <w:rPr>
          <w:w w:val="105"/>
        </w:rPr>
        <w:t>训</w:t>
      </w:r>
    </w:p>
    <w:p>
      <w:pPr>
        <w:pStyle w:val="6"/>
        <w:spacing w:before="215" w:line="295" w:lineRule="auto"/>
        <w:ind w:left="381" w:right="126"/>
        <w:rPr>
          <w:rFonts w:hint="eastAsia" w:ascii="MS UI Gothic" w:eastAsia="MS UI Gothic"/>
        </w:rPr>
      </w:pPr>
      <w:r>
        <w:rPr>
          <w:w w:val="105"/>
        </w:rPr>
        <w:t>第八十七条 作业者和承包者的主要</w:t>
      </w:r>
      <w:r>
        <w:t>负责人和安全生产管理人员应当具备相应的安全生产知识和管理能力</w:t>
      </w:r>
      <w:r>
        <w:rPr>
          <w:rFonts w:hint="eastAsia" w:ascii="MS UI Gothic" w:eastAsia="MS UI Gothic"/>
          <w:w w:val="80"/>
        </w:rPr>
        <w:t xml:space="preserve">ꎬ </w:t>
      </w:r>
      <w:r>
        <w:t>经海油安办</w:t>
      </w:r>
      <w:r>
        <w:rPr>
          <w:w w:val="105"/>
        </w:rPr>
        <w:t>考核合格</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第八十八条 作业者和承包者应当组</w:t>
      </w:r>
      <w:r>
        <w:t>织对海上石油作业人员进行安全生产培训</w:t>
      </w:r>
      <w:r>
        <w:rPr>
          <w:rFonts w:hint="eastAsia" w:ascii="MS UI Gothic" w:eastAsia="MS UI Gothic"/>
          <w:w w:val="80"/>
        </w:rPr>
        <w:t xml:space="preserve">ꎮ </w:t>
      </w:r>
      <w:r>
        <w:t>未经培训并取得培训合格证书的作业</w:t>
      </w:r>
      <w:r>
        <w:rPr>
          <w:w w:val="105"/>
        </w:rPr>
        <w:t>人员</w:t>
      </w:r>
      <w:r>
        <w:rPr>
          <w:rFonts w:hint="eastAsia" w:ascii="MS UI Gothic" w:eastAsia="MS UI Gothic"/>
          <w:w w:val="80"/>
        </w:rPr>
        <w:t xml:space="preserve">ꎬ </w:t>
      </w:r>
      <w:r>
        <w:rPr>
          <w:w w:val="105"/>
        </w:rPr>
        <w:t>不得上岗作业</w:t>
      </w:r>
      <w:r>
        <w:rPr>
          <w:rFonts w:hint="eastAsia" w:ascii="MS UI Gothic" w:eastAsia="MS UI Gothic"/>
          <w:w w:val="80"/>
        </w:rPr>
        <w:t>ꎮ</w:t>
      </w:r>
    </w:p>
    <w:p>
      <w:pPr>
        <w:pStyle w:val="6"/>
        <w:spacing w:line="295" w:lineRule="auto"/>
        <w:ind w:left="381" w:right="126"/>
        <w:rPr>
          <w:rFonts w:hint="eastAsia" w:ascii="MS UI Gothic" w:eastAsia="MS UI Gothic"/>
        </w:rPr>
      </w:pPr>
      <w:r>
        <w:t>作业者和承包者应当建立海上石油作业人员的培训档案</w:t>
      </w:r>
      <w:r>
        <w:rPr>
          <w:rFonts w:hint="eastAsia" w:ascii="MS UI Gothic" w:eastAsia="MS UI Gothic"/>
          <w:w w:val="80"/>
        </w:rPr>
        <w:t xml:space="preserve">ꎬ </w:t>
      </w:r>
      <w:r>
        <w:t>加强对出海作业人员</w:t>
      </w:r>
      <w:r>
        <w:rPr>
          <w:rFonts w:hint="eastAsia" w:ascii="MS UI Gothic" w:eastAsia="MS UI Gothic"/>
          <w:w w:val="150"/>
        </w:rPr>
        <w:t xml:space="preserve">( </w:t>
      </w:r>
      <w:r>
        <w:rPr>
          <w:w w:val="105"/>
        </w:rPr>
        <w:t>包括在境外培训的人员</w:t>
      </w:r>
      <w:r>
        <w:rPr>
          <w:rFonts w:hint="eastAsia" w:ascii="MS UI Gothic" w:eastAsia="MS UI Gothic"/>
          <w:w w:val="150"/>
        </w:rPr>
        <w:t xml:space="preserve">) </w:t>
      </w:r>
      <w:r>
        <w:rPr>
          <w:w w:val="105"/>
        </w:rPr>
        <w:t>的培训证书的</w:t>
      </w:r>
      <w:r>
        <w:t>审查</w:t>
      </w:r>
      <w:r>
        <w:rPr>
          <w:rFonts w:hint="eastAsia" w:ascii="MS UI Gothic" w:eastAsia="MS UI Gothic"/>
          <w:w w:val="80"/>
        </w:rPr>
        <w:t xml:space="preserve">ꎮ </w:t>
      </w:r>
      <w:r>
        <w:t>未取得培训合格证书的</w:t>
      </w:r>
      <w:r>
        <w:rPr>
          <w:rFonts w:hint="eastAsia" w:ascii="MS UI Gothic" w:eastAsia="MS UI Gothic"/>
          <w:w w:val="80"/>
        </w:rPr>
        <w:t xml:space="preserve">ꎬ </w:t>
      </w:r>
      <w:r>
        <w:t>一律不得</w:t>
      </w:r>
      <w:r>
        <w:rPr>
          <w:w w:val="105"/>
        </w:rPr>
        <w:t>出海作业</w:t>
      </w:r>
      <w:r>
        <w:rPr>
          <w:rFonts w:hint="eastAsia" w:ascii="MS UI Gothic" w:eastAsia="MS UI Gothic"/>
          <w:w w:val="80"/>
        </w:rPr>
        <w:t>ꎮ</w:t>
      </w:r>
    </w:p>
    <w:p>
      <w:pPr>
        <w:pStyle w:val="6"/>
        <w:spacing w:line="252" w:lineRule="exact"/>
        <w:ind w:left="381"/>
      </w:pPr>
      <w:r>
        <w:rPr>
          <w:w w:val="105"/>
        </w:rPr>
        <w:t>第八十九条 出海人员必须接受</w:t>
      </w:r>
    </w:p>
    <w:p>
      <w:pPr>
        <w:pStyle w:val="6"/>
        <w:spacing w:line="310" w:lineRule="atLeast"/>
        <w:ind w:left="381" w:right="124" w:firstLine="0"/>
        <w:rPr>
          <w:rFonts w:hint="eastAsia" w:ascii="MS UI Gothic" w:hAnsi="MS UI Gothic" w:eastAsia="MS UI Gothic"/>
        </w:rPr>
      </w:pPr>
      <w:r>
        <w:rPr>
          <w:rFonts w:hint="eastAsia" w:ascii="MS UI Gothic" w:hAnsi="MS UI Gothic" w:eastAsia="MS UI Gothic"/>
        </w:rPr>
        <w:t xml:space="preserve">“ </w:t>
      </w:r>
      <w:r>
        <w:t>海上石油作业安全救生</w:t>
      </w:r>
      <w:r>
        <w:rPr>
          <w:rFonts w:hint="eastAsia" w:ascii="MS UI Gothic" w:hAnsi="MS UI Gothic" w:eastAsia="MS UI Gothic"/>
        </w:rPr>
        <w:t xml:space="preserve">” </w:t>
      </w:r>
      <w:r>
        <w:t>的专门培训</w:t>
      </w:r>
      <w:r>
        <w:rPr>
          <w:rFonts w:hint="eastAsia" w:ascii="MS UI Gothic" w:hAnsi="MS UI Gothic" w:eastAsia="MS UI Gothic"/>
          <w:w w:val="80"/>
        </w:rPr>
        <w:t>ꎬ</w:t>
      </w:r>
      <w:r>
        <w:t>并取得培训合格证书</w:t>
      </w:r>
      <w:r>
        <w:rPr>
          <w:rFonts w:hint="eastAsia" w:ascii="MS UI Gothic" w:hAnsi="MS UI Gothic" w:eastAsia="MS UI Gothic"/>
          <w:w w:val="80"/>
        </w:rPr>
        <w:t>ꎮ</w:t>
      </w:r>
    </w:p>
    <w:p>
      <w:pPr>
        <w:spacing w:after="0" w:line="310" w:lineRule="atLeast"/>
        <w:rPr>
          <w:rFonts w:hint="eastAsia" w:ascii="MS UI Gothic" w:hAns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61"/>
        <w:ind w:left="860" w:firstLine="0"/>
        <w:jc w:val="left"/>
      </w:pPr>
      <w:r>
        <w:rPr>
          <w:rFonts w:hint="eastAsia" w:ascii="MS UI Gothic" w:eastAsia="MS UI Gothic"/>
          <w:w w:val="115"/>
        </w:rPr>
        <w:t xml:space="preserve">( </w:t>
      </w:r>
      <w:r>
        <w:rPr>
          <w:w w:val="110"/>
        </w:rPr>
        <w:t>二</w:t>
      </w:r>
      <w:r>
        <w:rPr>
          <w:rFonts w:hint="eastAsia" w:ascii="MS UI Gothic" w:eastAsia="MS UI Gothic"/>
          <w:w w:val="115"/>
        </w:rPr>
        <w:t xml:space="preserve">) </w:t>
      </w:r>
      <w:r>
        <w:rPr>
          <w:w w:val="110"/>
        </w:rPr>
        <w:t>已下尾管的</w:t>
      </w:r>
      <w:r>
        <w:rPr>
          <w:rFonts w:hint="eastAsia" w:ascii="MS UI Gothic" w:eastAsia="MS UI Gothic"/>
          <w:w w:val="80"/>
        </w:rPr>
        <w:t xml:space="preserve">ꎬ </w:t>
      </w:r>
      <w:r>
        <w:rPr>
          <w:w w:val="110"/>
        </w:rPr>
        <w:t>在尾管顶部上下</w:t>
      </w:r>
    </w:p>
    <w:p>
      <w:pPr>
        <w:pStyle w:val="6"/>
        <w:spacing w:before="58"/>
        <w:ind w:left="435" w:firstLine="0"/>
        <w:jc w:val="left"/>
        <w:rPr>
          <w:rFonts w:hint="eastAsia" w:ascii="MS UI Gothic" w:eastAsia="MS UI Gothic"/>
        </w:rPr>
      </w:pPr>
      <w:r>
        <w:rPr>
          <w:rFonts w:hint="eastAsia" w:ascii="MS UI Gothic" w:eastAsia="MS UI Gothic"/>
          <w:w w:val="85"/>
        </w:rPr>
        <w:t xml:space="preserve">３０ </w:t>
      </w:r>
      <w:r>
        <w:t xml:space="preserve">米的井段各打至少 </w:t>
      </w:r>
      <w:r>
        <w:rPr>
          <w:rFonts w:hint="eastAsia" w:ascii="MS UI Gothic" w:eastAsia="MS UI Gothic"/>
          <w:w w:val="85"/>
        </w:rPr>
        <w:t xml:space="preserve">３０ </w:t>
      </w:r>
      <w:r>
        <w:t>米水泥塞</w:t>
      </w:r>
      <w:r>
        <w:rPr>
          <w:rFonts w:hint="eastAsia" w:ascii="MS UI Gothic" w:eastAsia="MS UI Gothic"/>
          <w:w w:val="85"/>
        </w:rPr>
        <w:t>ꎻ</w:t>
      </w:r>
    </w:p>
    <w:p>
      <w:pPr>
        <w:pStyle w:val="6"/>
        <w:spacing w:before="58" w:line="240" w:lineRule="exact"/>
        <w:ind w:left="860" w:firstLine="0"/>
        <w:jc w:val="left"/>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已在套管或者尾管内进行了射</w:t>
      </w:r>
    </w:p>
    <w:p>
      <w:pPr>
        <w:pStyle w:val="6"/>
        <w:spacing w:before="61" w:line="295" w:lineRule="auto"/>
        <w:ind w:left="383" w:right="126"/>
        <w:jc w:val="left"/>
        <w:rPr>
          <w:rFonts w:hint="eastAsia" w:ascii="MS UI Gothic" w:eastAsia="MS UI Gothic"/>
        </w:rPr>
      </w:pPr>
      <w:r>
        <w:br w:type="column"/>
      </w:r>
      <w:r>
        <w:t>安全培训的内容和时间应当符合下列</w:t>
      </w:r>
      <w:r>
        <w:rPr>
          <w:w w:val="115"/>
        </w:rPr>
        <w:t>要求</w:t>
      </w:r>
      <w:r>
        <w:rPr>
          <w:rFonts w:hint="eastAsia" w:ascii="MS UI Gothic" w:eastAsia="MS UI Gothic"/>
          <w:w w:val="235"/>
        </w:rPr>
        <w:t>:</w:t>
      </w:r>
    </w:p>
    <w:p>
      <w:pPr>
        <w:pStyle w:val="6"/>
        <w:spacing w:line="238" w:lineRule="exact"/>
        <w:ind w:left="802" w:firstLine="0"/>
        <w:jc w:val="left"/>
      </w:pPr>
      <w:r>
        <w:rPr>
          <w:rFonts w:hint="eastAsia" w:ascii="MS UI Gothic" w:hAnsi="MS UI Gothic" w:eastAsia="MS UI Gothic"/>
          <w:spacing w:val="-38"/>
          <w:w w:val="135"/>
        </w:rPr>
        <w:t xml:space="preserve">( </w:t>
      </w:r>
      <w:r>
        <w:rPr>
          <w:spacing w:val="3"/>
          <w:w w:val="115"/>
        </w:rPr>
        <w:t>一</w:t>
      </w:r>
      <w:r>
        <w:rPr>
          <w:rFonts w:hint="eastAsia" w:ascii="MS UI Gothic" w:hAnsi="MS UI Gothic" w:eastAsia="MS UI Gothic"/>
          <w:spacing w:val="-20"/>
          <w:w w:val="135"/>
        </w:rPr>
        <w:t xml:space="preserve">) </w:t>
      </w:r>
      <w:r>
        <w:rPr>
          <w:spacing w:val="-6"/>
          <w:w w:val="115"/>
        </w:rPr>
        <w:t xml:space="preserve">长期出海人员接受 </w:t>
      </w:r>
      <w:r>
        <w:rPr>
          <w:rFonts w:hint="eastAsia" w:ascii="MS UI Gothic" w:hAnsi="MS UI Gothic" w:eastAsia="MS UI Gothic"/>
          <w:spacing w:val="-30"/>
          <w:w w:val="115"/>
        </w:rPr>
        <w:t xml:space="preserve">“ </w:t>
      </w:r>
      <w:r>
        <w:rPr>
          <w:spacing w:val="6"/>
          <w:w w:val="115"/>
        </w:rPr>
        <w:t>海上石油</w:t>
      </w:r>
    </w:p>
    <w:p>
      <w:pPr>
        <w:spacing w:after="0" w:line="238" w:lineRule="exact"/>
        <w:jc w:val="left"/>
        <w:sectPr>
          <w:type w:val="continuous"/>
          <w:pgSz w:w="10500" w:h="14750"/>
          <w:pgMar w:top="1400" w:right="980" w:bottom="280" w:left="980" w:header="720" w:footer="720" w:gutter="0"/>
          <w:cols w:equalWidth="0" w:num="2">
            <w:col w:w="4210" w:space="40"/>
            <w:col w:w="4290"/>
          </w:cols>
        </w:sectPr>
      </w:pPr>
    </w:p>
    <w:p>
      <w:pPr>
        <w:pStyle w:val="6"/>
        <w:spacing w:before="74" w:line="295" w:lineRule="auto"/>
        <w:ind w:left="440" w:firstLine="0"/>
        <w:jc w:val="left"/>
        <w:rPr>
          <w:rFonts w:hint="eastAsia" w:ascii="MS UI Gothic" w:eastAsia="MS UI Gothic"/>
        </w:rPr>
      </w:pPr>
      <w:r>
        <w:t>孔试油作业的</w:t>
      </w:r>
      <w:r>
        <w:rPr>
          <w:rFonts w:hint="eastAsia" w:ascii="MS UI Gothic" w:eastAsia="MS UI Gothic"/>
          <w:w w:val="85"/>
        </w:rPr>
        <w:t xml:space="preserve">ꎬ </w:t>
      </w:r>
      <w:r>
        <w:t>对射孔层进行全封</w:t>
      </w:r>
      <w:r>
        <w:rPr>
          <w:rFonts w:hint="eastAsia" w:ascii="MS UI Gothic" w:eastAsia="MS UI Gothic"/>
          <w:w w:val="85"/>
        </w:rPr>
        <w:t xml:space="preserve">ꎬ </w:t>
      </w:r>
      <w:r>
        <w:t xml:space="preserve">在其上部打至少 </w:t>
      </w:r>
      <w:r>
        <w:rPr>
          <w:rFonts w:hint="eastAsia" w:ascii="MS UI Gothic" w:eastAsia="MS UI Gothic"/>
          <w:w w:val="85"/>
        </w:rPr>
        <w:t xml:space="preserve">５０ </w:t>
      </w:r>
      <w:r>
        <w:t>米的水泥塞</w:t>
      </w:r>
      <w:r>
        <w:rPr>
          <w:rFonts w:hint="eastAsia" w:ascii="MS UI Gothic" w:eastAsia="MS UI Gothic"/>
          <w:w w:val="85"/>
        </w:rPr>
        <w:t>ꎻ</w:t>
      </w:r>
    </w:p>
    <w:p>
      <w:pPr>
        <w:pStyle w:val="6"/>
        <w:spacing w:line="295" w:lineRule="auto"/>
        <w:ind w:left="440"/>
        <w:jc w:val="left"/>
        <w:rPr>
          <w:rFonts w:hint="eastAsia" w:ascii="MS UI Gothic" w:eastAsia="MS UI Gothic"/>
        </w:rPr>
      </w:pPr>
      <w:r>
        <w:rPr>
          <w:rFonts w:hint="eastAsia" w:ascii="MS UI Gothic" w:eastAsia="MS UI Gothic"/>
          <w:w w:val="145"/>
        </w:rPr>
        <w:t xml:space="preserve">( </w:t>
      </w:r>
      <w:r>
        <w:rPr>
          <w:w w:val="105"/>
        </w:rPr>
        <w:t>四</w:t>
      </w:r>
      <w:r>
        <w:rPr>
          <w:rFonts w:hint="eastAsia" w:ascii="MS UI Gothic" w:eastAsia="MS UI Gothic"/>
          <w:w w:val="145"/>
        </w:rPr>
        <w:t xml:space="preserve">) </w:t>
      </w:r>
      <w:r>
        <w:rPr>
          <w:w w:val="105"/>
        </w:rPr>
        <w:t>已切割的每层套管内</w:t>
      </w:r>
      <w:r>
        <w:rPr>
          <w:rFonts w:hint="eastAsia" w:ascii="MS UI Gothic" w:eastAsia="MS UI Gothic"/>
          <w:w w:val="80"/>
        </w:rPr>
        <w:t xml:space="preserve">ꎬ </w:t>
      </w:r>
      <w:r>
        <w:rPr>
          <w:w w:val="105"/>
        </w:rPr>
        <w:t xml:space="preserve">保证切割处上下各有至少 </w:t>
      </w:r>
      <w:r>
        <w:rPr>
          <w:rFonts w:hint="eastAsia" w:ascii="MS UI Gothic" w:eastAsia="MS UI Gothic"/>
          <w:w w:val="80"/>
        </w:rPr>
        <w:t xml:space="preserve">２０ </w:t>
      </w:r>
      <w:r>
        <w:rPr>
          <w:w w:val="105"/>
        </w:rPr>
        <w:t>米的水泥塞</w:t>
      </w:r>
      <w:r>
        <w:rPr>
          <w:rFonts w:hint="eastAsia" w:ascii="MS UI Gothic" w:eastAsia="MS UI Gothic"/>
          <w:w w:val="80"/>
        </w:rPr>
        <w:t>ꎻ</w:t>
      </w:r>
    </w:p>
    <w:p>
      <w:pPr>
        <w:pStyle w:val="6"/>
        <w:spacing w:line="255" w:lineRule="exact"/>
        <w:ind w:left="860" w:firstLine="0"/>
        <w:jc w:val="left"/>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表层套管内水泥塞长度至少有</w:t>
      </w:r>
    </w:p>
    <w:p>
      <w:pPr>
        <w:pStyle w:val="6"/>
        <w:spacing w:before="74" w:line="295" w:lineRule="auto"/>
        <w:ind w:left="383" w:right="126" w:firstLine="0"/>
        <w:rPr>
          <w:rFonts w:hint="eastAsia" w:ascii="MS UI Gothic" w:hAnsi="MS UI Gothic" w:eastAsia="MS UI Gothic"/>
        </w:rPr>
      </w:pPr>
      <w:r>
        <w:br w:type="column"/>
      </w:r>
      <w:r>
        <w:t>作业安全救生</w:t>
      </w:r>
      <w:r>
        <w:rPr>
          <w:rFonts w:hint="eastAsia" w:ascii="MS UI Gothic" w:hAnsi="MS UI Gothic" w:eastAsia="MS UI Gothic"/>
          <w:w w:val="95"/>
        </w:rPr>
        <w:t xml:space="preserve">” </w:t>
      </w:r>
      <w:r>
        <w:t>全部内容的培训</w:t>
      </w:r>
      <w:r>
        <w:rPr>
          <w:rFonts w:hint="eastAsia" w:ascii="MS UI Gothic" w:hAnsi="MS UI Gothic" w:eastAsia="MS UI Gothic"/>
          <w:w w:val="85"/>
        </w:rPr>
        <w:t xml:space="preserve">ꎬ </w:t>
      </w:r>
      <w:r>
        <w:t xml:space="preserve">培训时间不少于 </w:t>
      </w:r>
      <w:r>
        <w:rPr>
          <w:rFonts w:hint="eastAsia" w:ascii="MS UI Gothic" w:hAnsi="MS UI Gothic" w:eastAsia="MS UI Gothic"/>
          <w:w w:val="95"/>
        </w:rPr>
        <w:t xml:space="preserve">４０ </w:t>
      </w:r>
      <w:r>
        <w:t>课时</w:t>
      </w:r>
      <w:r>
        <w:rPr>
          <w:rFonts w:hint="eastAsia" w:ascii="MS UI Gothic" w:hAnsi="MS UI Gothic" w:eastAsia="MS UI Gothic"/>
          <w:w w:val="85"/>
        </w:rPr>
        <w:t xml:space="preserve">ꎮ </w:t>
      </w:r>
      <w:r>
        <w:t xml:space="preserve">每 </w:t>
      </w:r>
      <w:r>
        <w:rPr>
          <w:rFonts w:hint="eastAsia" w:ascii="MS UI Gothic" w:hAnsi="MS UI Gothic" w:eastAsia="MS UI Gothic"/>
          <w:w w:val="95"/>
        </w:rPr>
        <w:t xml:space="preserve">５ </w:t>
      </w:r>
      <w:r>
        <w:t>年进行一次再培训</w:t>
      </w:r>
      <w:r>
        <w:rPr>
          <w:rFonts w:hint="eastAsia" w:ascii="MS UI Gothic" w:hAnsi="MS UI Gothic" w:eastAsia="MS UI Gothic"/>
          <w:w w:val="85"/>
        </w:rPr>
        <w:t>ꎻ</w:t>
      </w:r>
    </w:p>
    <w:p>
      <w:pPr>
        <w:pStyle w:val="6"/>
        <w:spacing w:line="295" w:lineRule="auto"/>
        <w:ind w:left="383" w:right="126"/>
      </w:pPr>
      <w:r>
        <w:rPr>
          <w:rFonts w:hint="eastAsia" w:ascii="MS UI Gothic" w:hAnsi="MS UI Gothic" w:eastAsia="MS UI Gothic"/>
          <w:spacing w:val="-37"/>
          <w:w w:val="150"/>
        </w:rPr>
        <w:t xml:space="preserve">( </w:t>
      </w:r>
      <w:r>
        <w:rPr>
          <w:spacing w:val="3"/>
          <w:w w:val="105"/>
        </w:rPr>
        <w:t>二</w:t>
      </w:r>
      <w:r>
        <w:rPr>
          <w:rFonts w:hint="eastAsia" w:ascii="MS UI Gothic" w:hAnsi="MS UI Gothic" w:eastAsia="MS UI Gothic"/>
          <w:spacing w:val="10"/>
          <w:w w:val="150"/>
        </w:rPr>
        <w:t xml:space="preserve">) </w:t>
      </w:r>
      <w:r>
        <w:rPr>
          <w:spacing w:val="2"/>
          <w:w w:val="105"/>
        </w:rPr>
        <w:t xml:space="preserve">短期出海人员接受 </w:t>
      </w:r>
      <w:r>
        <w:rPr>
          <w:rFonts w:hint="eastAsia" w:ascii="MS UI Gothic" w:hAnsi="MS UI Gothic" w:eastAsia="MS UI Gothic"/>
          <w:spacing w:val="-20"/>
          <w:w w:val="105"/>
        </w:rPr>
        <w:t xml:space="preserve">“ </w:t>
      </w:r>
      <w:r>
        <w:rPr>
          <w:spacing w:val="6"/>
          <w:w w:val="105"/>
        </w:rPr>
        <w:t>海上石油</w:t>
      </w:r>
      <w:r>
        <w:rPr>
          <w:spacing w:val="10"/>
          <w:w w:val="105"/>
        </w:rPr>
        <w:t>作业安全救生</w:t>
      </w:r>
      <w:r>
        <w:rPr>
          <w:rFonts w:hint="eastAsia" w:ascii="MS UI Gothic" w:hAnsi="MS UI Gothic" w:eastAsia="MS UI Gothic"/>
          <w:spacing w:val="5"/>
          <w:w w:val="105"/>
        </w:rPr>
        <w:t xml:space="preserve">” </w:t>
      </w:r>
      <w:r>
        <w:rPr>
          <w:spacing w:val="18"/>
          <w:w w:val="105"/>
        </w:rPr>
        <w:t>综合内容的培训</w:t>
      </w:r>
      <w:r>
        <w:rPr>
          <w:rFonts w:hint="eastAsia" w:ascii="MS UI Gothic" w:hAnsi="MS UI Gothic" w:eastAsia="MS UI Gothic"/>
          <w:spacing w:val="7"/>
          <w:w w:val="80"/>
        </w:rPr>
        <w:t xml:space="preserve">ꎬ </w:t>
      </w:r>
      <w:r>
        <w:rPr>
          <w:spacing w:val="10"/>
          <w:w w:val="105"/>
        </w:rPr>
        <w:t>培训</w:t>
      </w:r>
    </w:p>
    <w:p>
      <w:pPr>
        <w:spacing w:after="0" w:line="295" w:lineRule="auto"/>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１９８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19" o:spid="_x0000_s1619" o:spt="203" style="height:2.15pt;width:398.25pt;" coordsize="7965,43">
            <o:lock v:ext="edit"/>
            <v:line id="_x0000_s1620" o:spid="_x0000_s1620" o:spt="20" style="position:absolute;left:0;top:39;height:0;width:7965;" stroked="t" coordsize="21600,21600">
              <v:path arrowok="t"/>
              <v:fill focussize="0,0"/>
              <v:stroke weight="0.388031496062992pt" color="#231F20"/>
              <v:imagedata o:title=""/>
              <o:lock v:ext="edit"/>
            </v:line>
            <v:line id="_x0000_s1621" o:spid="_x0000_s162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spacing w:val="-8"/>
        </w:rPr>
        <w:t xml:space="preserve">时间不少于 </w:t>
      </w:r>
      <w:r>
        <w:rPr>
          <w:rFonts w:hint="eastAsia" w:ascii="MS UI Gothic" w:eastAsia="MS UI Gothic"/>
          <w:spacing w:val="4"/>
          <w:w w:val="85"/>
        </w:rPr>
        <w:t xml:space="preserve">２４ </w:t>
      </w:r>
      <w:r>
        <w:rPr>
          <w:spacing w:val="8"/>
        </w:rPr>
        <w:t>课时</w:t>
      </w:r>
      <w:r>
        <w:rPr>
          <w:rFonts w:hint="eastAsia" w:ascii="MS UI Gothic" w:eastAsia="MS UI Gothic"/>
          <w:spacing w:val="1"/>
          <w:w w:val="85"/>
        </w:rPr>
        <w:t xml:space="preserve">ꎮ </w:t>
      </w:r>
      <w:r>
        <w:rPr>
          <w:spacing w:val="-22"/>
        </w:rPr>
        <w:t xml:space="preserve">每 </w:t>
      </w:r>
      <w:r>
        <w:rPr>
          <w:rFonts w:hint="eastAsia" w:ascii="MS UI Gothic" w:eastAsia="MS UI Gothic"/>
          <w:spacing w:val="6"/>
          <w:w w:val="85"/>
        </w:rPr>
        <w:t xml:space="preserve">３ </w:t>
      </w:r>
      <w:r>
        <w:rPr>
          <w:spacing w:val="10"/>
        </w:rPr>
        <w:t>年进行一次再</w:t>
      </w:r>
      <w:r>
        <w:rPr>
          <w:spacing w:val="3"/>
        </w:rPr>
        <w:t>培训</w:t>
      </w:r>
      <w:r>
        <w:rPr>
          <w:rFonts w:hint="eastAsia" w:ascii="MS UI Gothic" w:eastAsia="MS UI Gothic"/>
          <w:w w:val="85"/>
        </w:rPr>
        <w:t>ꎻ</w:t>
      </w:r>
    </w:p>
    <w:p>
      <w:pPr>
        <w:pStyle w:val="6"/>
        <w:spacing w:line="295" w:lineRule="auto"/>
        <w:ind w:right="39"/>
        <w:rPr>
          <w:rFonts w:hint="eastAsia" w:ascii="MS UI Gothic" w:hAnsi="MS UI Gothic" w:eastAsia="MS UI Gothic"/>
        </w:rPr>
      </w:pPr>
      <w:r>
        <w:rPr>
          <w:rFonts w:hint="eastAsia" w:ascii="MS UI Gothic" w:hAnsi="MS UI Gothic" w:eastAsia="MS UI Gothic"/>
          <w:spacing w:val="-37"/>
          <w:w w:val="150"/>
        </w:rPr>
        <w:t xml:space="preserve">( </w:t>
      </w:r>
      <w:r>
        <w:rPr>
          <w:spacing w:val="3"/>
          <w:w w:val="105"/>
        </w:rPr>
        <w:t>三</w:t>
      </w:r>
      <w:r>
        <w:rPr>
          <w:rFonts w:hint="eastAsia" w:ascii="MS UI Gothic" w:hAnsi="MS UI Gothic" w:eastAsia="MS UI Gothic"/>
          <w:spacing w:val="10"/>
          <w:w w:val="150"/>
        </w:rPr>
        <w:t xml:space="preserve">) </w:t>
      </w:r>
      <w:r>
        <w:rPr>
          <w:spacing w:val="2"/>
          <w:w w:val="105"/>
        </w:rPr>
        <w:t xml:space="preserve">临时出海人员接受 </w:t>
      </w:r>
      <w:r>
        <w:rPr>
          <w:rFonts w:hint="eastAsia" w:ascii="MS UI Gothic" w:hAnsi="MS UI Gothic" w:eastAsia="MS UI Gothic"/>
          <w:spacing w:val="-20"/>
          <w:w w:val="105"/>
        </w:rPr>
        <w:t xml:space="preserve">“ </w:t>
      </w:r>
      <w:r>
        <w:rPr>
          <w:spacing w:val="6"/>
          <w:w w:val="105"/>
        </w:rPr>
        <w:t>海上石油</w:t>
      </w:r>
      <w:r>
        <w:rPr>
          <w:spacing w:val="10"/>
          <w:w w:val="105"/>
        </w:rPr>
        <w:t>作业安全救生</w:t>
      </w:r>
      <w:r>
        <w:rPr>
          <w:rFonts w:hint="eastAsia" w:ascii="MS UI Gothic" w:hAnsi="MS UI Gothic" w:eastAsia="MS UI Gothic"/>
          <w:spacing w:val="4"/>
          <w:w w:val="105"/>
        </w:rPr>
        <w:t xml:space="preserve">” </w:t>
      </w:r>
      <w:r>
        <w:rPr>
          <w:spacing w:val="18"/>
          <w:w w:val="105"/>
        </w:rPr>
        <w:t>电化教学的培训</w:t>
      </w:r>
      <w:r>
        <w:rPr>
          <w:rFonts w:hint="eastAsia" w:ascii="MS UI Gothic" w:hAnsi="MS UI Gothic" w:eastAsia="MS UI Gothic"/>
          <w:spacing w:val="7"/>
          <w:w w:val="80"/>
        </w:rPr>
        <w:t xml:space="preserve">ꎬ </w:t>
      </w:r>
      <w:r>
        <w:rPr>
          <w:spacing w:val="10"/>
          <w:w w:val="105"/>
        </w:rPr>
        <w:t>培训</w:t>
      </w:r>
      <w:r>
        <w:rPr>
          <w:spacing w:val="-3"/>
          <w:w w:val="105"/>
        </w:rPr>
        <w:t xml:space="preserve">时间不少于 </w:t>
      </w:r>
      <w:r>
        <w:rPr>
          <w:rFonts w:hint="eastAsia" w:ascii="MS UI Gothic" w:hAnsi="MS UI Gothic" w:eastAsia="MS UI Gothic"/>
          <w:spacing w:val="2"/>
          <w:w w:val="80"/>
        </w:rPr>
        <w:t xml:space="preserve">４ </w:t>
      </w:r>
      <w:r>
        <w:rPr>
          <w:spacing w:val="10"/>
          <w:w w:val="105"/>
        </w:rPr>
        <w:t>课时</w:t>
      </w:r>
      <w:r>
        <w:rPr>
          <w:rFonts w:hint="eastAsia" w:ascii="MS UI Gothic" w:hAnsi="MS UI Gothic" w:eastAsia="MS UI Gothic"/>
          <w:spacing w:val="15"/>
          <w:w w:val="80"/>
        </w:rPr>
        <w:t xml:space="preserve">ꎮ </w:t>
      </w:r>
      <w:r>
        <w:rPr>
          <w:spacing w:val="-29"/>
          <w:w w:val="105"/>
        </w:rPr>
        <w:t xml:space="preserve">每 </w:t>
      </w:r>
      <w:r>
        <w:rPr>
          <w:rFonts w:hint="eastAsia" w:ascii="MS UI Gothic" w:hAnsi="MS UI Gothic" w:eastAsia="MS UI Gothic"/>
          <w:spacing w:val="2"/>
          <w:w w:val="80"/>
        </w:rPr>
        <w:t xml:space="preserve">１ </w:t>
      </w:r>
      <w:r>
        <w:rPr>
          <w:spacing w:val="15"/>
          <w:w w:val="105"/>
        </w:rPr>
        <w:t>年进行一次再</w:t>
      </w:r>
      <w:r>
        <w:rPr>
          <w:spacing w:val="3"/>
          <w:w w:val="105"/>
        </w:rPr>
        <w:t>培训</w:t>
      </w:r>
      <w:r>
        <w:rPr>
          <w:rFonts w:hint="eastAsia" w:ascii="MS UI Gothic" w:hAns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3"/>
          <w:w w:val="150"/>
        </w:rPr>
        <w:t xml:space="preserve">) </w:t>
      </w:r>
      <w:r>
        <w:rPr>
          <w:spacing w:val="5"/>
          <w:w w:val="105"/>
        </w:rPr>
        <w:t>不在设施上留宿的临时出海人</w:t>
      </w:r>
      <w:r>
        <w:rPr>
          <w:spacing w:val="2"/>
        </w:rPr>
        <w:t>员可以只接受作业者或者承包者现场安全</w:t>
      </w:r>
      <w:r>
        <w:rPr>
          <w:spacing w:val="3"/>
          <w:w w:val="105"/>
        </w:rPr>
        <w:t>教育</w:t>
      </w:r>
      <w:r>
        <w:rPr>
          <w:rFonts w:hint="eastAsia" w:ascii="MS UI Gothic" w:eastAsia="MS UI Gothic"/>
          <w:w w:val="80"/>
        </w:rPr>
        <w:t>ꎻ</w:t>
      </w:r>
    </w:p>
    <w:p>
      <w:pPr>
        <w:pStyle w:val="6"/>
        <w:spacing w:line="295" w:lineRule="auto"/>
        <w:ind w:right="39"/>
        <w:jc w:val="right"/>
      </w:pPr>
      <w:r>
        <w:rPr>
          <w:rFonts w:hint="eastAsia" w:ascii="MS UI Gothic" w:hAnsi="MS UI Gothic" w:eastAsia="MS UI Gothic"/>
          <w:spacing w:val="-38"/>
          <w:w w:val="150"/>
        </w:rPr>
        <w:t xml:space="preserve">( </w:t>
      </w:r>
      <w:r>
        <w:rPr>
          <w:spacing w:val="3"/>
          <w:w w:val="105"/>
        </w:rPr>
        <w:t>五</w:t>
      </w:r>
      <w:r>
        <w:rPr>
          <w:rFonts w:hint="eastAsia" w:ascii="MS UI Gothic" w:hAnsi="MS UI Gothic" w:eastAsia="MS UI Gothic"/>
          <w:spacing w:val="1"/>
          <w:w w:val="150"/>
        </w:rPr>
        <w:t xml:space="preserve">) </w:t>
      </w:r>
      <w:r>
        <w:rPr>
          <w:spacing w:val="5"/>
          <w:w w:val="105"/>
        </w:rPr>
        <w:t>没有直升机平台或者已明确不</w:t>
      </w:r>
      <w:r>
        <w:rPr>
          <w:spacing w:val="3"/>
        </w:rPr>
        <w:t>使用直升机倒班的海上设施人员</w:t>
      </w:r>
      <w:r>
        <w:rPr>
          <w:rFonts w:hint="eastAsia" w:ascii="MS UI Gothic" w:hAnsi="MS UI Gothic" w:eastAsia="MS UI Gothic"/>
          <w:spacing w:val="24"/>
          <w:w w:val="80"/>
        </w:rPr>
        <w:t xml:space="preserve">ꎬ </w:t>
      </w:r>
      <w:r>
        <w:rPr>
          <w:spacing w:val="1"/>
        </w:rPr>
        <w:t>可以免</w:t>
      </w:r>
      <w:r>
        <w:rPr>
          <w:spacing w:val="-25"/>
          <w:w w:val="105"/>
        </w:rPr>
        <w:t xml:space="preserve">除 </w:t>
      </w:r>
      <w:r>
        <w:rPr>
          <w:rFonts w:hint="eastAsia" w:ascii="MS UI Gothic" w:hAnsi="MS UI Gothic" w:eastAsia="MS UI Gothic"/>
          <w:spacing w:val="-27"/>
          <w:w w:val="105"/>
        </w:rPr>
        <w:t xml:space="preserve">“ </w:t>
      </w:r>
      <w:r>
        <w:rPr>
          <w:spacing w:val="3"/>
          <w:w w:val="105"/>
        </w:rPr>
        <w:t>直升机遇险水下逃生</w:t>
      </w:r>
      <w:r>
        <w:rPr>
          <w:rFonts w:hint="eastAsia" w:ascii="MS UI Gothic" w:hAnsi="MS UI Gothic" w:eastAsia="MS UI Gothic"/>
          <w:w w:val="105"/>
        </w:rPr>
        <w:t xml:space="preserve">” </w:t>
      </w:r>
      <w:r>
        <w:rPr>
          <w:spacing w:val="3"/>
          <w:w w:val="105"/>
        </w:rPr>
        <w:t>内容的培训</w:t>
      </w:r>
      <w:r>
        <w:rPr>
          <w:rFonts w:hint="eastAsia" w:ascii="MS UI Gothic" w:hAnsi="MS UI Gothic" w:eastAsia="MS UI Gothic"/>
          <w:w w:val="80"/>
        </w:rPr>
        <w:t>ꎻ</w:t>
      </w:r>
      <w:r>
        <w:rPr>
          <w:rFonts w:hint="eastAsia" w:ascii="MS UI Gothic" w:hAnsi="MS UI Gothic" w:eastAsia="MS UI Gothic"/>
          <w:w w:val="51"/>
        </w:rPr>
        <w:t xml:space="preserve"> </w:t>
      </w:r>
      <w:r>
        <w:rPr>
          <w:rFonts w:hint="eastAsia" w:ascii="MS UI Gothic" w:hAnsi="MS UI Gothic" w:eastAsia="MS UI Gothic"/>
          <w:spacing w:val="-38"/>
          <w:w w:val="150"/>
        </w:rPr>
        <w:t xml:space="preserve">( </w:t>
      </w:r>
      <w:r>
        <w:rPr>
          <w:spacing w:val="3"/>
          <w:w w:val="105"/>
        </w:rPr>
        <w:t>六</w:t>
      </w:r>
      <w:r>
        <w:rPr>
          <w:rFonts w:hint="eastAsia" w:ascii="MS UI Gothic" w:hAnsi="MS UI Gothic" w:eastAsia="MS UI Gothic"/>
          <w:spacing w:val="1"/>
          <w:w w:val="150"/>
        </w:rPr>
        <w:t xml:space="preserve">) </w:t>
      </w:r>
      <w:r>
        <w:rPr>
          <w:spacing w:val="5"/>
          <w:w w:val="105"/>
        </w:rPr>
        <w:t>没有配备救生艇筏的海上设施</w:t>
      </w:r>
    </w:p>
    <w:p>
      <w:pPr>
        <w:pStyle w:val="6"/>
        <w:spacing w:line="295" w:lineRule="auto"/>
        <w:ind w:right="57" w:firstLine="0"/>
        <w:rPr>
          <w:rFonts w:hint="eastAsia" w:ascii="MS UI Gothic" w:hAnsi="MS UI Gothic" w:eastAsia="MS UI Gothic"/>
        </w:rPr>
      </w:pPr>
      <w:r>
        <w:t>作业人员</w:t>
      </w:r>
      <w:r>
        <w:rPr>
          <w:rFonts w:hint="eastAsia" w:ascii="MS UI Gothic" w:hAnsi="MS UI Gothic" w:eastAsia="MS UI Gothic"/>
          <w:w w:val="80"/>
        </w:rPr>
        <w:t xml:space="preserve">ꎬ </w:t>
      </w:r>
      <w:r>
        <w:t xml:space="preserve">可以免除 </w:t>
      </w:r>
      <w:r>
        <w:rPr>
          <w:rFonts w:hint="eastAsia" w:ascii="MS UI Gothic" w:hAnsi="MS UI Gothic" w:eastAsia="MS UI Gothic"/>
        </w:rPr>
        <w:t xml:space="preserve">“ </w:t>
      </w:r>
      <w:r>
        <w:t>救生艇筏操纵</w:t>
      </w:r>
      <w:r>
        <w:rPr>
          <w:rFonts w:hint="eastAsia" w:ascii="MS UI Gothic" w:hAnsi="MS UI Gothic" w:eastAsia="MS UI Gothic"/>
        </w:rPr>
        <w:t xml:space="preserve">” </w:t>
      </w:r>
      <w:r>
        <w:t>的培训</w:t>
      </w:r>
      <w:r>
        <w:rPr>
          <w:rFonts w:hint="eastAsia" w:ascii="MS UI Gothic" w:hAnsi="MS UI Gothic" w:eastAsia="MS UI Gothic"/>
          <w:w w:val="80"/>
        </w:rPr>
        <w:t>ꎮ</w:t>
      </w:r>
    </w:p>
    <w:p>
      <w:pPr>
        <w:pStyle w:val="6"/>
        <w:spacing w:line="295" w:lineRule="auto"/>
        <w:ind w:right="38"/>
        <w:rPr>
          <w:rFonts w:hint="eastAsia" w:ascii="MS UI Gothic" w:hAnsi="MS UI Gothic" w:eastAsia="MS UI Gothic"/>
        </w:rPr>
      </w:pPr>
      <w:r>
        <w:t xml:space="preserve">第九十条 海上油气生产设施兼职消防队员应当接受 </w:t>
      </w:r>
      <w:r>
        <w:rPr>
          <w:rFonts w:hint="eastAsia" w:ascii="MS UI Gothic" w:hAnsi="MS UI Gothic" w:eastAsia="MS UI Gothic"/>
        </w:rPr>
        <w:t xml:space="preserve">“ </w:t>
      </w:r>
      <w:r>
        <w:t>油气消防</w:t>
      </w:r>
      <w:r>
        <w:rPr>
          <w:rFonts w:hint="eastAsia" w:ascii="MS UI Gothic" w:hAnsi="MS UI Gothic" w:eastAsia="MS UI Gothic"/>
        </w:rPr>
        <w:t xml:space="preserve">” </w:t>
      </w:r>
      <w:r>
        <w:t>的培训</w:t>
      </w:r>
      <w:r>
        <w:rPr>
          <w:rFonts w:hint="eastAsia" w:ascii="MS UI Gothic" w:hAnsi="MS UI Gothic" w:eastAsia="MS UI Gothic"/>
          <w:w w:val="85"/>
        </w:rPr>
        <w:t>ꎬ</w:t>
      </w:r>
      <w:r>
        <w:t xml:space="preserve">培训时间不少于 </w:t>
      </w:r>
      <w:r>
        <w:rPr>
          <w:rFonts w:hint="eastAsia" w:ascii="MS UI Gothic" w:hAnsi="MS UI Gothic" w:eastAsia="MS UI Gothic"/>
          <w:w w:val="85"/>
        </w:rPr>
        <w:t xml:space="preserve">２４ </w:t>
      </w:r>
      <w:r>
        <w:t>课时</w:t>
      </w:r>
      <w:r>
        <w:rPr>
          <w:rFonts w:hint="eastAsia" w:ascii="MS UI Gothic" w:hAnsi="MS UI Gothic" w:eastAsia="MS UI Gothic"/>
          <w:w w:val="85"/>
        </w:rPr>
        <w:t xml:space="preserve">ꎮ </w:t>
      </w:r>
      <w:r>
        <w:t xml:space="preserve">每 </w:t>
      </w:r>
      <w:r>
        <w:rPr>
          <w:rFonts w:hint="eastAsia" w:ascii="MS UI Gothic" w:hAnsi="MS UI Gothic" w:eastAsia="MS UI Gothic"/>
        </w:rPr>
        <w:t xml:space="preserve">４ </w:t>
      </w:r>
      <w:r>
        <w:t>年应当进行一次再培训</w:t>
      </w:r>
      <w:r>
        <w:rPr>
          <w:rFonts w:hint="eastAsia" w:ascii="MS UI Gothic" w:hAnsi="MS UI Gothic" w:eastAsia="MS UI Gothic"/>
          <w:w w:val="85"/>
        </w:rPr>
        <w:t>ꎮ</w:t>
      </w:r>
    </w:p>
    <w:p>
      <w:pPr>
        <w:pStyle w:val="6"/>
        <w:spacing w:line="295" w:lineRule="auto"/>
        <w:ind w:right="38"/>
        <w:rPr>
          <w:rFonts w:hint="eastAsia" w:ascii="MS UI Gothic" w:hAnsi="MS UI Gothic" w:eastAsia="MS UI Gothic"/>
        </w:rPr>
      </w:pPr>
      <w:r>
        <w:t>第九十一条 从事钻井</w:t>
      </w:r>
      <w:r>
        <w:rPr>
          <w:rFonts w:hint="eastAsia" w:ascii="MS UI Gothic" w:hAnsi="MS UI Gothic" w:eastAsia="MS UI Gothic"/>
        </w:rPr>
        <w:t xml:space="preserve">、 </w:t>
      </w:r>
      <w:r>
        <w:t>完井</w:t>
      </w:r>
      <w:r>
        <w:rPr>
          <w:rFonts w:hint="eastAsia" w:ascii="MS UI Gothic" w:hAnsi="MS UI Gothic" w:eastAsia="MS UI Gothic"/>
        </w:rPr>
        <w:t xml:space="preserve">、 </w:t>
      </w:r>
      <w:r>
        <w:t>修井</w:t>
      </w:r>
      <w:r>
        <w:rPr>
          <w:rFonts w:hint="eastAsia" w:ascii="MS UI Gothic" w:hAnsi="MS UI Gothic" w:eastAsia="MS UI Gothic"/>
        </w:rPr>
        <w:t xml:space="preserve">、 </w:t>
      </w:r>
      <w:r>
        <w:t>测试作业的监督</w:t>
      </w:r>
      <w:r>
        <w:rPr>
          <w:rFonts w:hint="eastAsia" w:ascii="MS UI Gothic" w:hAnsi="MS UI Gothic" w:eastAsia="MS UI Gothic"/>
        </w:rPr>
        <w:t xml:space="preserve">、 </w:t>
      </w:r>
      <w:r>
        <w:t>经理</w:t>
      </w:r>
      <w:r>
        <w:rPr>
          <w:rFonts w:hint="eastAsia" w:ascii="MS UI Gothic" w:hAnsi="MS UI Gothic" w:eastAsia="MS UI Gothic"/>
        </w:rPr>
        <w:t xml:space="preserve">、 </w:t>
      </w:r>
      <w:r>
        <w:t>高级队长</w:t>
      </w:r>
      <w:r>
        <w:rPr>
          <w:rFonts w:hint="eastAsia" w:ascii="MS UI Gothic" w:hAnsi="MS UI Gothic" w:eastAsia="MS UI Gothic"/>
        </w:rPr>
        <w:t>、</w:t>
      </w:r>
      <w:r>
        <w:t>领班</w:t>
      </w:r>
      <w:r>
        <w:rPr>
          <w:rFonts w:hint="eastAsia" w:ascii="MS UI Gothic" w:hAnsi="MS UI Gothic" w:eastAsia="MS UI Gothic"/>
          <w:w w:val="85"/>
        </w:rPr>
        <w:t xml:space="preserve">ꎬ </w:t>
      </w:r>
      <w:r>
        <w:t>以及司钻</w:t>
      </w:r>
      <w:r>
        <w:rPr>
          <w:rFonts w:hint="eastAsia" w:ascii="MS UI Gothic" w:hAnsi="MS UI Gothic" w:eastAsia="MS UI Gothic"/>
        </w:rPr>
        <w:t xml:space="preserve">、 </w:t>
      </w:r>
      <w:r>
        <w:t>副司钻和井架工</w:t>
      </w:r>
      <w:r>
        <w:rPr>
          <w:rFonts w:hint="eastAsia" w:ascii="MS UI Gothic" w:hAnsi="MS UI Gothic" w:eastAsia="MS UI Gothic"/>
        </w:rPr>
        <w:t xml:space="preserve">、 </w:t>
      </w:r>
      <w:r>
        <w:t xml:space="preserve">安全监督等人员应当接受 </w:t>
      </w:r>
      <w:r>
        <w:rPr>
          <w:rFonts w:hint="eastAsia" w:ascii="MS UI Gothic" w:hAnsi="MS UI Gothic" w:eastAsia="MS UI Gothic"/>
        </w:rPr>
        <w:t xml:space="preserve">“ </w:t>
      </w:r>
      <w:r>
        <w:t>井控技术</w:t>
      </w:r>
      <w:r>
        <w:rPr>
          <w:rFonts w:hint="eastAsia" w:ascii="MS UI Gothic" w:hAnsi="MS UI Gothic" w:eastAsia="MS UI Gothic"/>
        </w:rPr>
        <w:t xml:space="preserve">” </w:t>
      </w:r>
      <w:r>
        <w:t>的培训</w:t>
      </w:r>
      <w:r>
        <w:rPr>
          <w:rFonts w:hint="eastAsia" w:ascii="MS UI Gothic" w:hAnsi="MS UI Gothic" w:eastAsia="MS UI Gothic"/>
          <w:w w:val="85"/>
        </w:rPr>
        <w:t xml:space="preserve">ꎬ </w:t>
      </w:r>
      <w:r>
        <w:t xml:space="preserve">培训时间不少于 </w:t>
      </w:r>
      <w:r>
        <w:rPr>
          <w:rFonts w:hint="eastAsia" w:ascii="MS UI Gothic" w:hAnsi="MS UI Gothic" w:eastAsia="MS UI Gothic"/>
          <w:w w:val="85"/>
        </w:rPr>
        <w:t xml:space="preserve">５６ </w:t>
      </w:r>
      <w:r>
        <w:t>课时</w:t>
      </w:r>
      <w:r>
        <w:rPr>
          <w:rFonts w:hint="eastAsia" w:ascii="MS UI Gothic" w:hAnsi="MS UI Gothic" w:eastAsia="MS UI Gothic"/>
          <w:w w:val="85"/>
        </w:rPr>
        <w:t xml:space="preserve">ꎬ </w:t>
      </w:r>
      <w:r>
        <w:t>并取得培训合格证书</w:t>
      </w:r>
      <w:r>
        <w:rPr>
          <w:rFonts w:hint="eastAsia" w:ascii="MS UI Gothic" w:hAnsi="MS UI Gothic" w:eastAsia="MS UI Gothic"/>
          <w:w w:val="85"/>
        </w:rPr>
        <w:t xml:space="preserve">ꎮ </w:t>
      </w:r>
      <w:r>
        <w:t xml:space="preserve">每 </w:t>
      </w:r>
      <w:r>
        <w:rPr>
          <w:rFonts w:hint="eastAsia" w:ascii="MS UI Gothic" w:hAnsi="MS UI Gothic" w:eastAsia="MS UI Gothic"/>
        </w:rPr>
        <w:t xml:space="preserve">４ </w:t>
      </w:r>
      <w:r>
        <w:t>年应当进行一次再培训</w:t>
      </w:r>
      <w:r>
        <w:rPr>
          <w:rFonts w:hint="eastAsia" w:ascii="MS UI Gothic" w:hAnsi="MS UI Gothic" w:eastAsia="MS UI Gothic"/>
          <w:w w:val="85"/>
        </w:rPr>
        <w:t>ꎮ</w:t>
      </w:r>
    </w:p>
    <w:p>
      <w:pPr>
        <w:pStyle w:val="6"/>
        <w:spacing w:line="295" w:lineRule="auto"/>
        <w:ind w:left="118" w:right="38" w:firstLine="425"/>
        <w:rPr>
          <w:rFonts w:hint="eastAsia" w:ascii="MS UI Gothic" w:hAnsi="MS UI Gothic" w:eastAsia="MS UI Gothic"/>
        </w:rPr>
      </w:pPr>
      <w:r>
        <w:rPr>
          <w:spacing w:val="10"/>
        </w:rPr>
        <w:t xml:space="preserve">第九十二条  稳性压载人员 </w:t>
      </w:r>
      <w:r>
        <w:rPr>
          <w:rFonts w:hint="eastAsia" w:ascii="MS UI Gothic" w:hAnsi="MS UI Gothic" w:eastAsia="MS UI Gothic"/>
          <w:spacing w:val="-25"/>
          <w:w w:val="145"/>
        </w:rPr>
        <w:t xml:space="preserve">( </w:t>
      </w:r>
      <w:r>
        <w:rPr>
          <w:spacing w:val="9"/>
        </w:rPr>
        <w:t>含钻</w:t>
      </w:r>
      <w:r>
        <w:rPr>
          <w:spacing w:val="3"/>
        </w:rPr>
        <w:t>井平台</w:t>
      </w:r>
      <w:r>
        <w:rPr>
          <w:rFonts w:hint="eastAsia" w:ascii="MS UI Gothic" w:hAnsi="MS UI Gothic" w:eastAsia="MS UI Gothic"/>
          <w:spacing w:val="13"/>
          <w:w w:val="95"/>
        </w:rPr>
        <w:t xml:space="preserve">、 </w:t>
      </w:r>
      <w:r>
        <w:rPr>
          <w:spacing w:val="9"/>
        </w:rPr>
        <w:t>浮式生产储油装置的稳性压载</w:t>
      </w:r>
      <w:r>
        <w:rPr>
          <w:rFonts w:hint="eastAsia" w:ascii="MS UI Gothic" w:hAnsi="MS UI Gothic" w:eastAsia="MS UI Gothic"/>
          <w:w w:val="95"/>
        </w:rPr>
        <w:t>、</w:t>
      </w:r>
      <w:r>
        <w:rPr>
          <w:spacing w:val="10"/>
        </w:rPr>
        <w:t>平台升降的技术人员</w:t>
      </w:r>
      <w:r>
        <w:rPr>
          <w:rFonts w:hint="eastAsia" w:ascii="MS UI Gothic" w:hAnsi="MS UI Gothic" w:eastAsia="MS UI Gothic"/>
          <w:spacing w:val="3"/>
          <w:w w:val="145"/>
        </w:rPr>
        <w:t xml:space="preserve">) </w:t>
      </w:r>
      <w:r>
        <w:rPr>
          <w:spacing w:val="23"/>
        </w:rPr>
        <w:t xml:space="preserve">应当接受 </w:t>
      </w:r>
      <w:r>
        <w:rPr>
          <w:rFonts w:hint="eastAsia" w:ascii="MS UI Gothic" w:hAnsi="MS UI Gothic" w:eastAsia="MS UI Gothic"/>
          <w:spacing w:val="-8"/>
          <w:w w:val="95"/>
        </w:rPr>
        <w:t xml:space="preserve">“ </w:t>
      </w:r>
      <w:r>
        <w:rPr>
          <w:spacing w:val="9"/>
        </w:rPr>
        <w:t>稳性与压载技术</w:t>
      </w:r>
      <w:r>
        <w:rPr>
          <w:rFonts w:hint="eastAsia" w:ascii="MS UI Gothic" w:hAnsi="MS UI Gothic" w:eastAsia="MS UI Gothic"/>
          <w:spacing w:val="18"/>
          <w:w w:val="95"/>
        </w:rPr>
        <w:t xml:space="preserve">” </w:t>
      </w:r>
      <w:r>
        <w:rPr>
          <w:spacing w:val="14"/>
        </w:rPr>
        <w:t>的培训</w:t>
      </w:r>
      <w:r>
        <w:rPr>
          <w:rFonts w:hint="eastAsia" w:ascii="MS UI Gothic" w:hAnsi="MS UI Gothic" w:eastAsia="MS UI Gothic"/>
          <w:spacing w:val="18"/>
          <w:w w:val="80"/>
        </w:rPr>
        <w:t xml:space="preserve">ꎬ </w:t>
      </w:r>
      <w:r>
        <w:rPr>
          <w:spacing w:val="18"/>
        </w:rPr>
        <w:t>培训时间不少于</w:t>
      </w:r>
      <w:r>
        <w:rPr>
          <w:rFonts w:hint="eastAsia" w:ascii="MS UI Gothic" w:hAnsi="MS UI Gothic" w:eastAsia="MS UI Gothic"/>
          <w:spacing w:val="9"/>
          <w:w w:val="95"/>
        </w:rPr>
        <w:t xml:space="preserve">３６ </w:t>
      </w:r>
      <w:r>
        <w:rPr>
          <w:spacing w:val="9"/>
        </w:rPr>
        <w:t>课时</w:t>
      </w:r>
      <w:r>
        <w:rPr>
          <w:rFonts w:hint="eastAsia" w:ascii="MS UI Gothic" w:hAnsi="MS UI Gothic" w:eastAsia="MS UI Gothic"/>
          <w:spacing w:val="17"/>
          <w:w w:val="80"/>
        </w:rPr>
        <w:t xml:space="preserve">ꎬ </w:t>
      </w:r>
      <w:r>
        <w:rPr>
          <w:spacing w:val="13"/>
        </w:rPr>
        <w:t>并取得培训合格证书</w:t>
      </w:r>
      <w:r>
        <w:rPr>
          <w:rFonts w:hint="eastAsia" w:ascii="MS UI Gothic" w:hAnsi="MS UI Gothic" w:eastAsia="MS UI Gothic"/>
          <w:spacing w:val="17"/>
          <w:w w:val="80"/>
        </w:rPr>
        <w:t xml:space="preserve">ꎮ </w:t>
      </w:r>
      <w:r>
        <w:rPr>
          <w:spacing w:val="-26"/>
        </w:rPr>
        <w:t xml:space="preserve">每 </w:t>
      </w:r>
      <w:r>
        <w:rPr>
          <w:rFonts w:hint="eastAsia" w:ascii="MS UI Gothic" w:hAnsi="MS UI Gothic" w:eastAsia="MS UI Gothic"/>
          <w:spacing w:val="-3"/>
          <w:w w:val="95"/>
        </w:rPr>
        <w:t xml:space="preserve">４ </w:t>
      </w:r>
      <w:r>
        <w:t>年</w:t>
      </w:r>
      <w:r>
        <w:rPr>
          <w:spacing w:val="3"/>
        </w:rPr>
        <w:t>应当进行一次再培训</w:t>
      </w:r>
      <w:r>
        <w:rPr>
          <w:rFonts w:hint="eastAsia" w:ascii="MS UI Gothic" w:hAnsi="MS UI Gothic" w:eastAsia="MS UI Gothic"/>
          <w:w w:val="80"/>
        </w:rPr>
        <w:t>ꎮ</w:t>
      </w:r>
    </w:p>
    <w:p>
      <w:pPr>
        <w:pStyle w:val="6"/>
        <w:spacing w:line="295" w:lineRule="auto"/>
        <w:ind w:right="39"/>
        <w:rPr>
          <w:rFonts w:hint="eastAsia" w:ascii="MS UI Gothic" w:hAnsi="MS UI Gothic" w:eastAsia="MS UI Gothic"/>
        </w:rPr>
      </w:pPr>
      <w:r>
        <w:t>第九十三条 在作业过程中已经出现或者可能出现硫化氢的场所从事钻井</w:t>
      </w:r>
      <w:r>
        <w:rPr>
          <w:rFonts w:hint="eastAsia" w:ascii="MS UI Gothic" w:hAnsi="MS UI Gothic" w:eastAsia="MS UI Gothic"/>
        </w:rPr>
        <w:t xml:space="preserve">、 </w:t>
      </w:r>
      <w:r>
        <w:t>完井</w:t>
      </w:r>
      <w:r>
        <w:rPr>
          <w:rFonts w:hint="eastAsia" w:ascii="MS UI Gothic" w:hAnsi="MS UI Gothic" w:eastAsia="MS UI Gothic"/>
        </w:rPr>
        <w:t xml:space="preserve">、 </w:t>
      </w:r>
      <w:r>
        <w:t>修井</w:t>
      </w:r>
      <w:r>
        <w:rPr>
          <w:rFonts w:hint="eastAsia" w:ascii="MS UI Gothic" w:hAnsi="MS UI Gothic" w:eastAsia="MS UI Gothic"/>
        </w:rPr>
        <w:t xml:space="preserve">、 </w:t>
      </w:r>
      <w:r>
        <w:t>测试</w:t>
      </w:r>
      <w:r>
        <w:rPr>
          <w:rFonts w:hint="eastAsia" w:ascii="MS UI Gothic" w:hAnsi="MS UI Gothic" w:eastAsia="MS UI Gothic"/>
        </w:rPr>
        <w:t xml:space="preserve">、 </w:t>
      </w:r>
      <w:r>
        <w:t>采油及储运作业的人员</w:t>
      </w:r>
      <w:r>
        <w:rPr>
          <w:rFonts w:hint="eastAsia" w:ascii="MS UI Gothic" w:hAnsi="MS UI Gothic" w:eastAsia="MS UI Gothic"/>
          <w:w w:val="85"/>
        </w:rPr>
        <w:t xml:space="preserve">ꎬ </w:t>
      </w:r>
      <w:r>
        <w:t xml:space="preserve">应当进行 </w:t>
      </w:r>
      <w:r>
        <w:rPr>
          <w:rFonts w:hint="eastAsia" w:ascii="MS UI Gothic" w:hAnsi="MS UI Gothic" w:eastAsia="MS UI Gothic"/>
        </w:rPr>
        <w:t xml:space="preserve">“ </w:t>
      </w:r>
      <w:r>
        <w:t>防硫化氢技术</w:t>
      </w:r>
      <w:r>
        <w:rPr>
          <w:rFonts w:hint="eastAsia" w:ascii="MS UI Gothic" w:hAnsi="MS UI Gothic" w:eastAsia="MS UI Gothic"/>
        </w:rPr>
        <w:t xml:space="preserve">” </w:t>
      </w:r>
      <w:r>
        <w:t>的专门培训</w:t>
      </w:r>
      <w:r>
        <w:rPr>
          <w:rFonts w:hint="eastAsia" w:ascii="MS UI Gothic" w:hAnsi="MS UI Gothic" w:eastAsia="MS UI Gothic"/>
          <w:w w:val="85"/>
        </w:rPr>
        <w:t xml:space="preserve">ꎬ </w:t>
      </w:r>
      <w:r>
        <w:t xml:space="preserve">培训时间不少于 </w:t>
      </w:r>
      <w:r>
        <w:rPr>
          <w:rFonts w:hint="eastAsia" w:ascii="MS UI Gothic" w:hAnsi="MS UI Gothic" w:eastAsia="MS UI Gothic"/>
          <w:w w:val="85"/>
        </w:rPr>
        <w:t xml:space="preserve">１６ </w:t>
      </w:r>
      <w:r>
        <w:t>课时</w:t>
      </w:r>
      <w:r>
        <w:rPr>
          <w:rFonts w:hint="eastAsia" w:ascii="MS UI Gothic" w:hAnsi="MS UI Gothic" w:eastAsia="MS UI Gothic"/>
          <w:w w:val="85"/>
        </w:rPr>
        <w:t xml:space="preserve">ꎬ </w:t>
      </w:r>
      <w:r>
        <w:t>并取得培训合格证书</w:t>
      </w:r>
      <w:r>
        <w:rPr>
          <w:rFonts w:hint="eastAsia" w:ascii="MS UI Gothic" w:hAnsi="MS UI Gothic" w:eastAsia="MS UI Gothic"/>
          <w:w w:val="85"/>
        </w:rPr>
        <w:t xml:space="preserve">ꎮ </w:t>
      </w:r>
      <w:r>
        <w:t xml:space="preserve">每 </w:t>
      </w:r>
      <w:r>
        <w:rPr>
          <w:rFonts w:hint="eastAsia" w:ascii="MS UI Gothic" w:hAnsi="MS UI Gothic" w:eastAsia="MS UI Gothic"/>
        </w:rPr>
        <w:t xml:space="preserve">４ </w:t>
      </w:r>
      <w:r>
        <w:t>年应当进行一次再培训</w:t>
      </w:r>
      <w:r>
        <w:rPr>
          <w:rFonts w:hint="eastAsia" w:ascii="MS UI Gothic" w:hAnsi="MS UI Gothic" w:eastAsia="MS UI Gothic"/>
          <w:w w:val="85"/>
        </w:rPr>
        <w:t>ꎮ</w:t>
      </w:r>
    </w:p>
    <w:p>
      <w:pPr>
        <w:pStyle w:val="6"/>
        <w:spacing w:before="123" w:line="295" w:lineRule="auto"/>
        <w:ind w:left="118" w:right="440"/>
        <w:rPr>
          <w:rFonts w:hint="eastAsia" w:ascii="MS UI Gothic" w:eastAsia="MS UI Gothic"/>
        </w:rPr>
      </w:pPr>
      <w:r>
        <w:br w:type="column"/>
      </w:r>
      <w:r>
        <w:rPr>
          <w:w w:val="105"/>
        </w:rPr>
        <w:t>第九十四条 无线电技术操作人员应</w:t>
      </w:r>
      <w:r>
        <w:t>当按政府有关主管部门的要求进行培训</w:t>
      </w:r>
      <w:r>
        <w:rPr>
          <w:rFonts w:hint="eastAsia" w:ascii="MS UI Gothic" w:eastAsia="MS UI Gothic"/>
          <w:w w:val="80"/>
        </w:rPr>
        <w:t>ꎬ</w:t>
      </w:r>
      <w:r>
        <w:rPr>
          <w:w w:val="105"/>
        </w:rPr>
        <w:t>取得相应的资格证书</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第九十五条 属于特种作业人员范围</w:t>
      </w:r>
      <w:r>
        <w:t>的特种作业人员应当按照有关法律法规的要求进行专门培训</w:t>
      </w:r>
      <w:r>
        <w:rPr>
          <w:rFonts w:hint="eastAsia" w:ascii="MS UI Gothic" w:eastAsia="MS UI Gothic"/>
          <w:w w:val="80"/>
        </w:rPr>
        <w:t xml:space="preserve">ꎬ </w:t>
      </w:r>
      <w:r>
        <w:t>取得特种作业操作资</w:t>
      </w:r>
      <w:r>
        <w:rPr>
          <w:w w:val="105"/>
        </w:rPr>
        <w:t>格证书</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第九十六条 外方人员在国外合法注</w:t>
      </w:r>
      <w:r>
        <w:t>册和政府认可的培训机构取得的证书和证件</w:t>
      </w:r>
      <w:r>
        <w:rPr>
          <w:rFonts w:hint="eastAsia" w:ascii="MS UI Gothic" w:eastAsia="MS UI Gothic"/>
          <w:w w:val="80"/>
        </w:rPr>
        <w:t xml:space="preserve">ꎬ </w:t>
      </w:r>
      <w:r>
        <w:t>经中方作业者或者承包者确认后在中</w:t>
      </w:r>
      <w:r>
        <w:rPr>
          <w:w w:val="105"/>
        </w:rPr>
        <w:t>国继续有效</w:t>
      </w:r>
      <w:r>
        <w:rPr>
          <w:rFonts w:hint="eastAsia" w:ascii="MS UI Gothic" w:eastAsia="MS UI Gothic"/>
          <w:w w:val="80"/>
        </w:rPr>
        <w:t>ꎮ</w:t>
      </w:r>
    </w:p>
    <w:p>
      <w:pPr>
        <w:pStyle w:val="6"/>
        <w:tabs>
          <w:tab w:val="left" w:pos="1900"/>
        </w:tabs>
        <w:spacing w:before="149"/>
        <w:ind w:left="1062" w:firstLine="0"/>
        <w:jc w:val="left"/>
      </w:pPr>
      <w:r>
        <w:rPr>
          <w:spacing w:val="3"/>
          <w:w w:val="105"/>
        </w:rPr>
        <w:t>第五</w:t>
      </w:r>
      <w:r>
        <w:rPr>
          <w:w w:val="105"/>
        </w:rPr>
        <w:t>章</w:t>
      </w:r>
      <w:r>
        <w:rPr>
          <w:w w:val="105"/>
        </w:rPr>
        <w:tab/>
      </w:r>
      <w:r>
        <w:rPr>
          <w:w w:val="105"/>
        </w:rPr>
        <w:t>应</w:t>
      </w:r>
      <w:r>
        <w:rPr>
          <w:spacing w:val="-33"/>
          <w:w w:val="105"/>
        </w:rPr>
        <w:t xml:space="preserve"> </w:t>
      </w:r>
      <w:r>
        <w:rPr>
          <w:w w:val="105"/>
        </w:rPr>
        <w:t>急</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left="118" w:right="440"/>
        <w:rPr>
          <w:rFonts w:hint="eastAsia" w:ascii="MS UI Gothic" w:eastAsia="MS UI Gothic"/>
        </w:rPr>
      </w:pPr>
      <w:r>
        <w:t>第九十七条 作业者和承包者应当按照有关法律</w:t>
      </w:r>
      <w:r>
        <w:rPr>
          <w:rFonts w:hint="eastAsia" w:ascii="MS UI Gothic" w:eastAsia="MS UI Gothic"/>
          <w:w w:val="80"/>
        </w:rPr>
        <w:t xml:space="preserve">、 </w:t>
      </w:r>
      <w:r>
        <w:t>法规</w:t>
      </w:r>
      <w:r>
        <w:rPr>
          <w:rFonts w:hint="eastAsia" w:ascii="MS UI Gothic" w:eastAsia="MS UI Gothic"/>
          <w:w w:val="80"/>
        </w:rPr>
        <w:t xml:space="preserve">、 </w:t>
      </w:r>
      <w:r>
        <w:t>规章和标准的要求</w:t>
      </w:r>
      <w:r>
        <w:rPr>
          <w:rFonts w:hint="eastAsia" w:ascii="MS UI Gothic" w:eastAsia="MS UI Gothic"/>
          <w:w w:val="80"/>
        </w:rPr>
        <w:t>ꎬ</w:t>
      </w:r>
      <w:r>
        <w:t>结合生产实际编制应急预案</w:t>
      </w:r>
      <w:r>
        <w:rPr>
          <w:rFonts w:hint="eastAsia" w:ascii="MS UI Gothic" w:eastAsia="MS UI Gothic"/>
          <w:w w:val="80"/>
        </w:rPr>
        <w:t xml:space="preserve">ꎬ </w:t>
      </w:r>
      <w:r>
        <w:t>并报海油安办有关分部备案</w:t>
      </w:r>
      <w:r>
        <w:rPr>
          <w:rFonts w:hint="eastAsia" w:ascii="MS UI Gothic" w:eastAsia="MS UI Gothic"/>
          <w:w w:val="80"/>
        </w:rPr>
        <w:t>ꎮ</w:t>
      </w:r>
    </w:p>
    <w:p>
      <w:pPr>
        <w:pStyle w:val="6"/>
        <w:spacing w:line="295" w:lineRule="auto"/>
        <w:ind w:left="118" w:right="442"/>
        <w:rPr>
          <w:rFonts w:hint="eastAsia" w:ascii="MS UI Gothic" w:eastAsia="MS UI Gothic"/>
        </w:rPr>
      </w:pPr>
      <w:r>
        <w:t>作业者和承包者应当根据海洋石油作业的变化</w:t>
      </w:r>
      <w:r>
        <w:rPr>
          <w:rFonts w:hint="eastAsia" w:ascii="MS UI Gothic" w:eastAsia="MS UI Gothic"/>
          <w:w w:val="80"/>
        </w:rPr>
        <w:t xml:space="preserve">ꎬ </w:t>
      </w:r>
      <w:r>
        <w:t>及时对应急预案进行修改</w:t>
      </w:r>
      <w:r>
        <w:rPr>
          <w:rFonts w:hint="eastAsia" w:ascii="MS UI Gothic" w:eastAsia="MS UI Gothic"/>
          <w:w w:val="80"/>
        </w:rPr>
        <w:t xml:space="preserve">、 </w:t>
      </w:r>
      <w:r>
        <w:t>补充和完善</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第九十八条 根据海洋石油作业的特</w:t>
      </w:r>
      <w:r>
        <w:t>点</w:t>
      </w:r>
      <w:r>
        <w:rPr>
          <w:rFonts w:hint="eastAsia" w:ascii="MS UI Gothic" w:eastAsia="MS UI Gothic"/>
          <w:w w:val="80"/>
        </w:rPr>
        <w:t xml:space="preserve">ꎬ </w:t>
      </w:r>
      <w:r>
        <w:t>作业者和承包者编制的应急预案应当</w:t>
      </w:r>
      <w:r>
        <w:rPr>
          <w:w w:val="105"/>
        </w:rPr>
        <w:t>包括下列内容</w:t>
      </w:r>
      <w:r>
        <w:rPr>
          <w:rFonts w:hint="eastAsia" w:ascii="MS UI Gothic" w:eastAsia="MS UI Gothic"/>
          <w:w w:val="235"/>
        </w:rPr>
        <w:t>:</w:t>
      </w:r>
    </w:p>
    <w:p>
      <w:pPr>
        <w:pStyle w:val="6"/>
        <w:spacing w:line="295" w:lineRule="auto"/>
        <w:ind w:left="118" w:righ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作业者和承包者的基本情况</w:t>
      </w:r>
      <w:r>
        <w:rPr>
          <w:rFonts w:hint="eastAsia" w:ascii="MS UI Gothic" w:eastAsia="MS UI Gothic"/>
          <w:w w:val="80"/>
        </w:rPr>
        <w:t>、</w:t>
      </w:r>
      <w:r>
        <w:rPr>
          <w:w w:val="105"/>
        </w:rPr>
        <w:t>危险特性</w:t>
      </w:r>
      <w:r>
        <w:rPr>
          <w:rFonts w:hint="eastAsia" w:ascii="MS UI Gothic" w:eastAsia="MS UI Gothic"/>
          <w:w w:val="80"/>
        </w:rPr>
        <w:t xml:space="preserve">、 </w:t>
      </w:r>
      <w:r>
        <w:rPr>
          <w:w w:val="105"/>
        </w:rPr>
        <w:t>可以利用的应急救援设备</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应急组织机构</w:t>
      </w:r>
      <w:r>
        <w:rPr>
          <w:rFonts w:hint="eastAsia" w:ascii="MS UI Gothic" w:eastAsia="MS UI Gothic"/>
          <w:w w:val="80"/>
        </w:rPr>
        <w:t xml:space="preserve">、 </w:t>
      </w:r>
      <w:r>
        <w:rPr>
          <w:w w:val="105"/>
        </w:rPr>
        <w:t>职责划分</w:t>
      </w:r>
      <w:r>
        <w:rPr>
          <w:rFonts w:hint="eastAsia" w:ascii="MS UI Gothic" w:eastAsia="MS UI Gothic"/>
          <w:w w:val="80"/>
        </w:rPr>
        <w:t xml:space="preserve">、 </w:t>
      </w:r>
      <w:r>
        <w:rPr>
          <w:w w:val="105"/>
        </w:rPr>
        <w:t>通讯联络</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应急预案启动</w:t>
      </w:r>
      <w:r>
        <w:rPr>
          <w:rFonts w:hint="eastAsia" w:ascii="MS UI Gothic" w:eastAsia="MS UI Gothic"/>
          <w:w w:val="80"/>
        </w:rPr>
        <w:t xml:space="preserve">、 </w:t>
      </w:r>
      <w:r>
        <w:rPr>
          <w:w w:val="105"/>
        </w:rPr>
        <w:t>应急响应</w:t>
      </w:r>
      <w:r>
        <w:rPr>
          <w:rFonts w:hint="eastAsia" w:ascii="MS UI Gothic" w:eastAsia="MS UI Gothic"/>
          <w:w w:val="80"/>
        </w:rPr>
        <w:t xml:space="preserve">、 </w:t>
      </w:r>
      <w:r>
        <w:rPr>
          <w:w w:val="105"/>
        </w:rPr>
        <w:t>信息处理</w:t>
      </w:r>
      <w:r>
        <w:rPr>
          <w:rFonts w:hint="eastAsia" w:ascii="MS UI Gothic" w:eastAsia="MS UI Gothic"/>
          <w:w w:val="80"/>
        </w:rPr>
        <w:t xml:space="preserve">、 </w:t>
      </w:r>
      <w:r>
        <w:rPr>
          <w:w w:val="105"/>
        </w:rPr>
        <w:t>应急状态中止</w:t>
      </w:r>
      <w:r>
        <w:rPr>
          <w:rFonts w:hint="eastAsia" w:ascii="MS UI Gothic" w:eastAsia="MS UI Gothic"/>
          <w:w w:val="80"/>
        </w:rPr>
        <w:t xml:space="preserve">、 </w:t>
      </w:r>
      <w:r>
        <w:rPr>
          <w:w w:val="105"/>
        </w:rPr>
        <w:t>后续恢复等处置程序</w:t>
      </w:r>
      <w:r>
        <w:rPr>
          <w:rFonts w:hint="eastAsia" w:ascii="MS UI Gothic" w:eastAsia="MS UI Gothic"/>
          <w:w w:val="80"/>
        </w:rPr>
        <w:t>ꎻ</w:t>
      </w:r>
    </w:p>
    <w:p>
      <w:pPr>
        <w:pStyle w:val="6"/>
        <w:spacing w:line="254" w:lineRule="exact"/>
        <w:ind w:left="538"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应急演习与训练</w:t>
      </w:r>
      <w:r>
        <w:rPr>
          <w:rFonts w:hint="eastAsia" w:ascii="MS UI Gothic" w:eastAsia="MS UI Gothic"/>
          <w:w w:val="80"/>
        </w:rPr>
        <w:t>ꎮ</w:t>
      </w:r>
    </w:p>
    <w:p>
      <w:pPr>
        <w:pStyle w:val="6"/>
        <w:spacing w:before="47" w:line="295" w:lineRule="auto"/>
        <w:ind w:left="118" w:right="442"/>
        <w:rPr>
          <w:rFonts w:hint="eastAsia" w:ascii="MS UI Gothic" w:eastAsia="MS UI Gothic"/>
        </w:rPr>
      </w:pPr>
      <w:r>
        <w:t>第九十九条 应急预案的应急范围包括井喷失控</w:t>
      </w:r>
      <w:r>
        <w:rPr>
          <w:rFonts w:hint="eastAsia" w:ascii="MS UI Gothic" w:eastAsia="MS UI Gothic"/>
          <w:w w:val="80"/>
        </w:rPr>
        <w:t xml:space="preserve">、 </w:t>
      </w:r>
      <w:r>
        <w:t>火灾与爆炸</w:t>
      </w:r>
      <w:r>
        <w:rPr>
          <w:rFonts w:hint="eastAsia" w:ascii="MS UI Gothic" w:eastAsia="MS UI Gothic"/>
          <w:w w:val="80"/>
        </w:rPr>
        <w:t xml:space="preserve">、 </w:t>
      </w:r>
      <w:r>
        <w:t>平台遇险</w:t>
      </w:r>
      <w:r>
        <w:rPr>
          <w:rFonts w:hint="eastAsia" w:ascii="MS UI Gothic" w:eastAsia="MS UI Gothic"/>
          <w:w w:val="80"/>
        </w:rPr>
        <w:t xml:space="preserve">、 </w:t>
      </w:r>
      <w:r>
        <w:t>直升机失事</w:t>
      </w:r>
      <w:r>
        <w:rPr>
          <w:rFonts w:hint="eastAsia" w:ascii="MS UI Gothic" w:eastAsia="MS UI Gothic"/>
          <w:w w:val="80"/>
        </w:rPr>
        <w:t xml:space="preserve">、 </w:t>
      </w:r>
      <w:r>
        <w:t>船舶海损</w:t>
      </w:r>
      <w:r>
        <w:rPr>
          <w:rFonts w:hint="eastAsia" w:ascii="MS UI Gothic" w:eastAsia="MS UI Gothic"/>
          <w:w w:val="80"/>
        </w:rPr>
        <w:t xml:space="preserve">、 </w:t>
      </w:r>
      <w:r>
        <w:t xml:space="preserve">油 </w:t>
      </w:r>
      <w:r>
        <w:rPr>
          <w:rFonts w:hint="eastAsia" w:ascii="MS UI Gothic" w:eastAsia="MS UI Gothic"/>
          <w:w w:val="150"/>
        </w:rPr>
        <w:t xml:space="preserve">( </w:t>
      </w:r>
      <w:r>
        <w:t>气</w:t>
      </w:r>
      <w:r>
        <w:rPr>
          <w:rFonts w:hint="eastAsia" w:ascii="MS UI Gothic" w:eastAsia="MS UI Gothic"/>
          <w:w w:val="150"/>
        </w:rPr>
        <w:t xml:space="preserve">) </w:t>
      </w:r>
      <w:r>
        <w:t>生产设施与管线破损和泄漏</w:t>
      </w:r>
      <w:r>
        <w:rPr>
          <w:rFonts w:hint="eastAsia" w:ascii="MS UI Gothic" w:eastAsia="MS UI Gothic"/>
          <w:w w:val="80"/>
        </w:rPr>
        <w:t xml:space="preserve">、 </w:t>
      </w:r>
      <w:r>
        <w:t>有毒有害物品泄漏</w:t>
      </w:r>
      <w:r>
        <w:rPr>
          <w:rFonts w:hint="eastAsia" w:ascii="MS UI Gothic" w:eastAsia="MS UI Gothic"/>
          <w:w w:val="80"/>
        </w:rPr>
        <w:t xml:space="preserve">、 </w:t>
      </w:r>
      <w:r>
        <w:t>放射性物品遗散</w:t>
      </w:r>
      <w:r>
        <w:rPr>
          <w:rFonts w:hint="eastAsia" w:ascii="MS UI Gothic" w:eastAsia="MS UI Gothic"/>
          <w:w w:val="80"/>
        </w:rPr>
        <w:t xml:space="preserve">、 </w:t>
      </w:r>
      <w:r>
        <w:t>潜水作业事故</w:t>
      </w:r>
      <w:r>
        <w:rPr>
          <w:rFonts w:hint="eastAsia" w:ascii="MS UI Gothic" w:eastAsia="MS UI Gothic"/>
          <w:w w:val="80"/>
        </w:rPr>
        <w:t xml:space="preserve">ꎻ </w:t>
      </w:r>
      <w:r>
        <w:t>人员重伤</w:t>
      </w:r>
      <w:r>
        <w:rPr>
          <w:rFonts w:hint="eastAsia" w:ascii="MS UI Gothic" w:eastAsia="MS UI Gothic"/>
          <w:w w:val="80"/>
        </w:rPr>
        <w:t xml:space="preserve">、 </w:t>
      </w:r>
      <w:r>
        <w:t>死亡</w:t>
      </w:r>
      <w:r>
        <w:rPr>
          <w:rFonts w:hint="eastAsia" w:ascii="MS UI Gothic" w:eastAsia="MS UI Gothic"/>
          <w:w w:val="80"/>
        </w:rPr>
        <w:t xml:space="preserve">、 </w:t>
      </w:r>
      <w:r>
        <w:t>失踪及暴发性传染病</w:t>
      </w:r>
      <w:r>
        <w:rPr>
          <w:rFonts w:hint="eastAsia" w:ascii="MS UI Gothic" w:eastAsia="MS UI Gothic"/>
          <w:w w:val="80"/>
        </w:rPr>
        <w:t xml:space="preserve">、 </w:t>
      </w:r>
      <w:r>
        <w:t>中毒</w:t>
      </w:r>
      <w:r>
        <w:rPr>
          <w:rFonts w:hint="eastAsia" w:ascii="MS UI Gothic" w:eastAsia="MS UI Gothic"/>
          <w:w w:val="80"/>
        </w:rPr>
        <w:t xml:space="preserve">ꎻ </w:t>
      </w:r>
      <w:r>
        <w:t>溢油事故</w:t>
      </w:r>
      <w:r>
        <w:rPr>
          <w:rFonts w:hint="eastAsia" w:ascii="MS UI Gothic" w:eastAsia="MS UI Gothic"/>
          <w:w w:val="80"/>
        </w:rPr>
        <w:t xml:space="preserve">、 </w:t>
      </w:r>
      <w:r>
        <w:t>自然灾害以及其他紧急情况</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１９９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22" o:spid="_x0000_s1622" o:spt="203" style="height:2.15pt;width:398.25pt;" coordsize="7965,43">
            <o:lock v:ext="edit"/>
            <v:line id="_x0000_s1623" o:spid="_x0000_s1623" o:spt="20" style="position:absolute;left:0;top:39;height:0;width:7965;" stroked="t" coordsize="21600,21600">
              <v:path arrowok="t"/>
              <v:fill focussize="0,0"/>
              <v:stroke weight="0.388031496062992pt" color="#231F20"/>
              <v:imagedata o:title=""/>
              <o:lock v:ext="edit"/>
            </v:line>
            <v:line id="_x0000_s1624" o:spid="_x0000_s162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6"/>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85" w:line="295" w:lineRule="auto"/>
        <w:ind w:left="440" w:right="1"/>
        <w:rPr>
          <w:rFonts w:hint="eastAsia" w:ascii="MS UI Gothic" w:eastAsia="MS UI Gothic"/>
        </w:rPr>
      </w:pPr>
      <w:r>
        <w:t>第一百条 除作业者和承包者编制的公司一级应急预案外</w:t>
      </w:r>
      <w:r>
        <w:rPr>
          <w:rFonts w:hint="eastAsia" w:ascii="MS UI Gothic" w:eastAsia="MS UI Gothic"/>
          <w:w w:val="80"/>
        </w:rPr>
        <w:t xml:space="preserve">ꎬ </w:t>
      </w:r>
      <w:r>
        <w:t>针对每个生产和作业设施应当结合工作实际</w:t>
      </w:r>
      <w:r>
        <w:rPr>
          <w:rFonts w:hint="eastAsia" w:ascii="MS UI Gothic" w:eastAsia="MS UI Gothic"/>
          <w:w w:val="80"/>
        </w:rPr>
        <w:t xml:space="preserve">ꎬ </w:t>
      </w:r>
      <w:r>
        <w:t>编制应急预案</w:t>
      </w:r>
      <w:r>
        <w:rPr>
          <w:rFonts w:hint="eastAsia" w:ascii="MS UI Gothic" w:eastAsia="MS UI Gothic"/>
          <w:w w:val="80"/>
        </w:rPr>
        <w:t xml:space="preserve">ꎮ </w:t>
      </w:r>
      <w:r>
        <w:t>应急预案包括主件和附件两个部分内容</w:t>
      </w:r>
      <w:r>
        <w:rPr>
          <w:rFonts w:hint="eastAsia" w:ascii="MS UI Gothic" w:eastAsia="MS UI Gothic"/>
          <w:w w:val="80"/>
        </w:rPr>
        <w:t>ꎮ</w:t>
      </w:r>
    </w:p>
    <w:p>
      <w:pPr>
        <w:pStyle w:val="6"/>
        <w:spacing w:line="252" w:lineRule="exact"/>
        <w:ind w:left="860" w:firstLine="0"/>
        <w:jc w:val="left"/>
        <w:rPr>
          <w:rFonts w:hint="eastAsia" w:ascii="MS UI Gothic" w:eastAsia="MS UI Gothic"/>
        </w:rPr>
      </w:pPr>
      <w:r>
        <w:rPr>
          <w:w w:val="110"/>
        </w:rPr>
        <w:t>主件部分应当包括下列主要内容</w:t>
      </w:r>
      <w:r>
        <w:rPr>
          <w:rFonts w:hint="eastAsia" w:ascii="MS UI Gothic" w:eastAsia="MS UI Gothic"/>
          <w:w w:val="110"/>
        </w:rPr>
        <w:t>:</w:t>
      </w:r>
    </w:p>
    <w:p>
      <w:pPr>
        <w:pStyle w:val="6"/>
        <w:spacing w:before="58"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生产或者作业设施名称</w:t>
      </w:r>
      <w:r>
        <w:rPr>
          <w:rFonts w:hint="eastAsia" w:ascii="MS UI Gothic" w:eastAsia="MS UI Gothic"/>
          <w:w w:val="80"/>
        </w:rPr>
        <w:t xml:space="preserve">、 </w:t>
      </w:r>
      <w:r>
        <w:rPr>
          <w:w w:val="105"/>
        </w:rPr>
        <w:t>作业海区</w:t>
      </w:r>
      <w:r>
        <w:rPr>
          <w:rFonts w:hint="eastAsia" w:ascii="MS UI Gothic" w:eastAsia="MS UI Gothic"/>
          <w:w w:val="80"/>
        </w:rPr>
        <w:t xml:space="preserve">、 </w:t>
      </w:r>
      <w:r>
        <w:rPr>
          <w:w w:val="105"/>
        </w:rPr>
        <w:t>编写者和编写日期</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生产或者作业设施的应急组织机构</w:t>
      </w:r>
      <w:r>
        <w:rPr>
          <w:rFonts w:hint="eastAsia" w:ascii="MS UI Gothic" w:eastAsia="MS UI Gothic"/>
          <w:w w:val="80"/>
        </w:rPr>
        <w:t xml:space="preserve">、 </w:t>
      </w:r>
      <w:r>
        <w:rPr>
          <w:w w:val="105"/>
        </w:rPr>
        <w:t>指挥系统</w:t>
      </w:r>
      <w:r>
        <w:rPr>
          <w:rFonts w:hint="eastAsia" w:ascii="MS UI Gothic" w:eastAsia="MS UI Gothic"/>
          <w:w w:val="80"/>
        </w:rPr>
        <w:t xml:space="preserve">、 </w:t>
      </w:r>
      <w:r>
        <w:rPr>
          <w:w w:val="105"/>
        </w:rPr>
        <w:t>医疗机构及各级应急岗位人员职责</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处置各类突发性事故或者险情</w:t>
      </w:r>
      <w:r>
        <w:rPr>
          <w:w w:val="110"/>
        </w:rPr>
        <w:t>的措施和联络报告程序</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生产或者作业设施上所具有的通讯设备类型</w:t>
      </w:r>
      <w:r>
        <w:rPr>
          <w:rFonts w:hint="eastAsia" w:ascii="MS UI Gothic" w:eastAsia="MS UI Gothic"/>
          <w:w w:val="80"/>
        </w:rPr>
        <w:t xml:space="preserve">、 </w:t>
      </w:r>
      <w:r>
        <w:rPr>
          <w:w w:val="105"/>
        </w:rPr>
        <w:t>能力以及应急通讯频率</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应急组织</w:t>
      </w:r>
      <w:r>
        <w:rPr>
          <w:rFonts w:hint="eastAsia" w:ascii="MS UI Gothic" w:eastAsia="MS UI Gothic"/>
          <w:w w:val="80"/>
        </w:rPr>
        <w:t xml:space="preserve">、 </w:t>
      </w:r>
      <w:r>
        <w:rPr>
          <w:w w:val="105"/>
        </w:rPr>
        <w:t>上级主管部门和有</w:t>
      </w:r>
      <w:r>
        <w:t>关部门的负责人通讯录</w:t>
      </w:r>
      <w:r>
        <w:rPr>
          <w:rFonts w:hint="eastAsia" w:ascii="MS UI Gothic" w:eastAsia="MS UI Gothic"/>
          <w:w w:val="80"/>
        </w:rPr>
        <w:t xml:space="preserve">ꎬ </w:t>
      </w:r>
      <w:r>
        <w:t>包括通讯地址</w:t>
      </w:r>
      <w:r>
        <w:rPr>
          <w:rFonts w:hint="eastAsia" w:ascii="MS UI Gothic" w:eastAsia="MS UI Gothic"/>
          <w:w w:val="80"/>
        </w:rPr>
        <w:t>、</w:t>
      </w:r>
      <w:r>
        <w:rPr>
          <w:w w:val="105"/>
        </w:rPr>
        <w:t>电话和传真等</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与有关部门联络的应急工作联</w:t>
      </w:r>
      <w:r>
        <w:rPr>
          <w:w w:val="110"/>
        </w:rPr>
        <w:t>系程序图或者网络图</w:t>
      </w:r>
      <w:r>
        <w:rPr>
          <w:rFonts w:hint="eastAsia" w:ascii="MS UI Gothic" w:eastAsia="MS UI Gothic"/>
          <w:w w:val="80"/>
        </w:rPr>
        <w:t>ꎻ</w:t>
      </w:r>
    </w:p>
    <w:p>
      <w:pPr>
        <w:pStyle w:val="6"/>
        <w:spacing w:line="295" w:lineRule="auto"/>
        <w:ind w:left="860" w:right="168" w:firstLine="0"/>
        <w:jc w:val="left"/>
        <w:rPr>
          <w:rFonts w:hint="eastAsia" w:ascii="MS UI Gothic" w:eastAsia="MS UI Gothic"/>
        </w:rPr>
      </w:pPr>
      <w:r>
        <w:rPr>
          <w:rFonts w:hint="eastAsia" w:ascii="MS UI Gothic" w:eastAsia="MS UI Gothic"/>
          <w:spacing w:val="-35"/>
          <w:w w:val="125"/>
        </w:rPr>
        <w:t xml:space="preserve">( </w:t>
      </w:r>
      <w:r>
        <w:rPr>
          <w:spacing w:val="3"/>
          <w:w w:val="110"/>
        </w:rPr>
        <w:t>七</w:t>
      </w:r>
      <w:r>
        <w:rPr>
          <w:rFonts w:hint="eastAsia" w:ascii="MS UI Gothic" w:eastAsia="MS UI Gothic"/>
          <w:spacing w:val="-17"/>
          <w:w w:val="125"/>
        </w:rPr>
        <w:t xml:space="preserve">) </w:t>
      </w:r>
      <w:r>
        <w:rPr>
          <w:spacing w:val="3"/>
          <w:w w:val="110"/>
        </w:rPr>
        <w:t>应急训练内容</w:t>
      </w:r>
      <w:r>
        <w:rPr>
          <w:rFonts w:hint="eastAsia" w:ascii="MS UI Gothic" w:eastAsia="MS UI Gothic"/>
          <w:spacing w:val="-7"/>
          <w:w w:val="80"/>
        </w:rPr>
        <w:t xml:space="preserve">、 </w:t>
      </w:r>
      <w:r>
        <w:rPr>
          <w:spacing w:val="3"/>
          <w:w w:val="110"/>
        </w:rPr>
        <w:t>频次和要求</w:t>
      </w:r>
      <w:r>
        <w:rPr>
          <w:rFonts w:hint="eastAsia" w:ascii="MS UI Gothic" w:eastAsia="MS UI Gothic"/>
          <w:w w:val="80"/>
        </w:rPr>
        <w:t>ꎻ</w:t>
      </w:r>
      <w:r>
        <w:rPr>
          <w:rFonts w:hint="eastAsia" w:ascii="MS UI Gothic" w:eastAsia="MS UI Gothic"/>
          <w:spacing w:val="-38"/>
          <w:w w:val="150"/>
        </w:rPr>
        <w:t xml:space="preserve">( </w:t>
      </w:r>
      <w:r>
        <w:rPr>
          <w:spacing w:val="3"/>
          <w:w w:val="110"/>
        </w:rPr>
        <w:t>八</w:t>
      </w:r>
      <w:r>
        <w:rPr>
          <w:rFonts w:hint="eastAsia" w:ascii="MS UI Gothic" w:eastAsia="MS UI Gothic"/>
          <w:spacing w:val="3"/>
          <w:w w:val="150"/>
        </w:rPr>
        <w:t xml:space="preserve">) </w:t>
      </w:r>
      <w:r>
        <w:rPr>
          <w:spacing w:val="3"/>
          <w:w w:val="110"/>
        </w:rPr>
        <w:t>其他需要明确的内容</w:t>
      </w:r>
      <w:r>
        <w:rPr>
          <w:rFonts w:hint="eastAsia" w:ascii="MS UI Gothic" w:eastAsia="MS UI Gothic"/>
          <w:w w:val="80"/>
        </w:rPr>
        <w:t>ꎮ</w:t>
      </w:r>
    </w:p>
    <w:p>
      <w:pPr>
        <w:pStyle w:val="6"/>
        <w:spacing w:line="255" w:lineRule="exact"/>
        <w:ind w:left="860" w:firstLine="0"/>
        <w:jc w:val="left"/>
        <w:rPr>
          <w:rFonts w:hint="eastAsia" w:ascii="MS UI Gothic" w:eastAsia="MS UI Gothic"/>
        </w:rPr>
      </w:pPr>
      <w:r>
        <w:rPr>
          <w:w w:val="110"/>
        </w:rPr>
        <w:t>附件部分应当包括下列主要内容</w:t>
      </w:r>
      <w:r>
        <w:rPr>
          <w:rFonts w:hint="eastAsia" w:ascii="MS UI Gothic" w:eastAsia="MS UI Gothic"/>
          <w:w w:val="110"/>
        </w:rPr>
        <w:t>:</w:t>
      </w:r>
    </w:p>
    <w:p>
      <w:pPr>
        <w:pStyle w:val="6"/>
        <w:spacing w:before="47"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生产或者作业设施的主要基础</w:t>
      </w:r>
      <w:r>
        <w:rPr>
          <w:w w:val="110"/>
        </w:rPr>
        <w:t>数据</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生产或者作业设施所处自然环</w:t>
      </w:r>
      <w:r>
        <w:rPr>
          <w:spacing w:val="3"/>
          <w:w w:val="105"/>
        </w:rPr>
        <w:t>境的描述</w:t>
      </w:r>
      <w:r>
        <w:rPr>
          <w:rFonts w:hint="eastAsia" w:ascii="MS UI Gothic" w:eastAsia="MS UI Gothic"/>
          <w:spacing w:val="-7"/>
          <w:w w:val="80"/>
        </w:rPr>
        <w:t xml:space="preserve">ꎬ </w:t>
      </w:r>
      <w:r>
        <w:rPr>
          <w:spacing w:val="5"/>
          <w:w w:val="105"/>
        </w:rPr>
        <w:t>包括</w:t>
      </w:r>
      <w:r>
        <w:rPr>
          <w:rFonts w:hint="eastAsia" w:ascii="MS UI Gothic" w:eastAsia="MS UI Gothic"/>
          <w:spacing w:val="-41"/>
          <w:w w:val="195"/>
        </w:rPr>
        <w:t xml:space="preserve">: </w:t>
      </w:r>
      <w:r>
        <w:rPr>
          <w:spacing w:val="13"/>
          <w:w w:val="105"/>
        </w:rPr>
        <w:t>作业海区的气象资料</w:t>
      </w:r>
      <w:r>
        <w:rPr>
          <w:rFonts w:hint="eastAsia" w:ascii="MS UI Gothic" w:eastAsia="MS UI Gothic"/>
          <w:w w:val="80"/>
        </w:rPr>
        <w:t>ꎬ</w:t>
      </w:r>
      <w:r>
        <w:rPr>
          <w:spacing w:val="-1"/>
          <w:w w:val="105"/>
        </w:rPr>
        <w:t xml:space="preserve">可能出现的灾害性天气 </w:t>
      </w:r>
      <w:r>
        <w:rPr>
          <w:rFonts w:hint="eastAsia" w:ascii="MS UI Gothic" w:eastAsia="MS UI Gothic"/>
          <w:spacing w:val="-38"/>
          <w:w w:val="150"/>
        </w:rPr>
        <w:t xml:space="preserve">( </w:t>
      </w:r>
      <w:r>
        <w:rPr>
          <w:spacing w:val="9"/>
          <w:w w:val="105"/>
        </w:rPr>
        <w:t>如台风等</w:t>
      </w:r>
      <w:r>
        <w:rPr>
          <w:rFonts w:hint="eastAsia" w:ascii="MS UI Gothic" w:eastAsia="MS UI Gothic"/>
          <w:spacing w:val="-39"/>
          <w:w w:val="150"/>
        </w:rPr>
        <w:t xml:space="preserve">) </w:t>
      </w:r>
      <w:r>
        <w:rPr>
          <w:rFonts w:hint="eastAsia" w:ascii="MS UI Gothic" w:eastAsia="MS UI Gothic"/>
          <w:spacing w:val="12"/>
          <w:w w:val="80"/>
        </w:rPr>
        <w:t xml:space="preserve">ꎻ </w:t>
      </w:r>
      <w:r>
        <w:rPr>
          <w:w w:val="105"/>
        </w:rPr>
        <w:t>作</w:t>
      </w:r>
      <w:r>
        <w:rPr>
          <w:spacing w:val="3"/>
          <w:w w:val="105"/>
        </w:rPr>
        <w:t>业海区的海洋水文资料</w:t>
      </w:r>
      <w:r>
        <w:rPr>
          <w:rFonts w:hint="eastAsia" w:ascii="MS UI Gothic" w:eastAsia="MS UI Gothic"/>
          <w:spacing w:val="8"/>
          <w:w w:val="80"/>
        </w:rPr>
        <w:t xml:space="preserve">ꎬ </w:t>
      </w:r>
      <w:r>
        <w:rPr>
          <w:spacing w:val="3"/>
          <w:w w:val="105"/>
        </w:rPr>
        <w:t>水深</w:t>
      </w:r>
      <w:r>
        <w:rPr>
          <w:rFonts w:hint="eastAsia" w:ascii="MS UI Gothic" w:eastAsia="MS UI Gothic"/>
          <w:spacing w:val="8"/>
          <w:w w:val="80"/>
        </w:rPr>
        <w:t xml:space="preserve">、 </w:t>
      </w:r>
      <w:r>
        <w:rPr>
          <w:spacing w:val="3"/>
          <w:w w:val="105"/>
        </w:rPr>
        <w:t>水温</w:t>
      </w:r>
      <w:r>
        <w:rPr>
          <w:rFonts w:hint="eastAsia" w:ascii="MS UI Gothic" w:eastAsia="MS UI Gothic"/>
          <w:spacing w:val="8"/>
          <w:w w:val="80"/>
        </w:rPr>
        <w:t xml:space="preserve">、 </w:t>
      </w:r>
      <w:r>
        <w:rPr>
          <w:w w:val="105"/>
        </w:rPr>
        <w:t>海</w:t>
      </w:r>
      <w:r>
        <w:rPr>
          <w:spacing w:val="3"/>
          <w:w w:val="105"/>
        </w:rPr>
        <w:t>流的速度和方向</w:t>
      </w:r>
      <w:r>
        <w:rPr>
          <w:rFonts w:hint="eastAsia" w:ascii="MS UI Gothic" w:eastAsia="MS UI Gothic"/>
          <w:spacing w:val="-2"/>
          <w:w w:val="80"/>
        </w:rPr>
        <w:t xml:space="preserve">、 </w:t>
      </w:r>
      <w:r>
        <w:rPr>
          <w:spacing w:val="3"/>
          <w:w w:val="105"/>
        </w:rPr>
        <w:t>浪高等</w:t>
      </w:r>
      <w:r>
        <w:rPr>
          <w:rFonts w:hint="eastAsia" w:ascii="MS UI Gothic" w:eastAsia="MS UI Gothic"/>
          <w:spacing w:val="-1"/>
          <w:w w:val="80"/>
        </w:rPr>
        <w:t xml:space="preserve">ꎻ </w:t>
      </w:r>
      <w:r>
        <w:rPr>
          <w:spacing w:val="2"/>
          <w:w w:val="105"/>
        </w:rPr>
        <w:t>生产或者作业</w:t>
      </w:r>
      <w:r>
        <w:rPr>
          <w:spacing w:val="3"/>
          <w:w w:val="105"/>
        </w:rPr>
        <w:t>设施与陆岸基地</w:t>
      </w:r>
      <w:r>
        <w:rPr>
          <w:rFonts w:hint="eastAsia" w:ascii="MS UI Gothic" w:eastAsia="MS UI Gothic"/>
          <w:spacing w:val="-4"/>
          <w:w w:val="80"/>
        </w:rPr>
        <w:t xml:space="preserve">、 </w:t>
      </w:r>
      <w:r>
        <w:rPr>
          <w:spacing w:val="2"/>
          <w:w w:val="105"/>
        </w:rPr>
        <w:t>附近港口码头及海区其</w:t>
      </w:r>
      <w:r>
        <w:rPr>
          <w:spacing w:val="3"/>
          <w:w w:val="105"/>
        </w:rPr>
        <w:t>他设施的位置简图</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4"/>
          <w:w w:val="150"/>
        </w:rPr>
        <w:t xml:space="preserve">) </w:t>
      </w:r>
      <w:r>
        <w:rPr>
          <w:spacing w:val="5"/>
          <w:w w:val="105"/>
        </w:rPr>
        <w:t>各种应急搜救设备及材料</w:t>
      </w:r>
      <w:r>
        <w:rPr>
          <w:rFonts w:hint="eastAsia" w:ascii="MS UI Gothic" w:eastAsia="MS UI Gothic"/>
          <w:spacing w:val="13"/>
          <w:w w:val="80"/>
        </w:rPr>
        <w:t xml:space="preserve">ꎬ </w:t>
      </w:r>
      <w:r>
        <w:rPr>
          <w:w w:val="105"/>
        </w:rPr>
        <w:t>包</w:t>
      </w:r>
      <w:r>
        <w:rPr>
          <w:spacing w:val="3"/>
          <w:w w:val="105"/>
        </w:rPr>
        <w:t>括应急设备及应急材料的名称</w:t>
      </w:r>
      <w:r>
        <w:rPr>
          <w:rFonts w:hint="eastAsia" w:ascii="MS UI Gothic" w:eastAsia="MS UI Gothic"/>
          <w:spacing w:val="11"/>
          <w:w w:val="80"/>
        </w:rPr>
        <w:t xml:space="preserve">、 </w:t>
      </w:r>
      <w:r>
        <w:rPr>
          <w:spacing w:val="3"/>
          <w:w w:val="105"/>
        </w:rPr>
        <w:t>类型</w:t>
      </w:r>
      <w:r>
        <w:rPr>
          <w:rFonts w:hint="eastAsia" w:ascii="MS UI Gothic" w:eastAsia="MS UI Gothic"/>
          <w:spacing w:val="11"/>
          <w:w w:val="80"/>
        </w:rPr>
        <w:t xml:space="preserve">、 </w:t>
      </w:r>
      <w:r>
        <w:rPr>
          <w:w w:val="105"/>
        </w:rPr>
        <w:t>数</w:t>
      </w:r>
      <w:r>
        <w:rPr>
          <w:spacing w:val="3"/>
          <w:w w:val="105"/>
        </w:rPr>
        <w:t>量</w:t>
      </w:r>
      <w:r>
        <w:rPr>
          <w:rFonts w:hint="eastAsia" w:ascii="MS UI Gothic" w:eastAsia="MS UI Gothic"/>
          <w:spacing w:val="24"/>
          <w:w w:val="80"/>
        </w:rPr>
        <w:t xml:space="preserve">、 </w:t>
      </w:r>
      <w:r>
        <w:rPr>
          <w:spacing w:val="3"/>
          <w:w w:val="105"/>
        </w:rPr>
        <w:t>性能和存放地点等情况</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2"/>
          <w:w w:val="150"/>
        </w:rPr>
        <w:t xml:space="preserve">) </w:t>
      </w:r>
      <w:r>
        <w:rPr>
          <w:spacing w:val="5"/>
          <w:w w:val="105"/>
        </w:rPr>
        <w:t>生产或者作业设施配备的气象</w:t>
      </w:r>
      <w:r>
        <w:rPr>
          <w:spacing w:val="3"/>
          <w:w w:val="105"/>
        </w:rPr>
        <w:t>海况测定装置的规格和型号</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其他有关资料</w:t>
      </w:r>
      <w:r>
        <w:rPr>
          <w:rFonts w:hint="eastAsia" w:ascii="MS UI Gothic" w:eastAsia="MS UI Gothic"/>
          <w:w w:val="80"/>
        </w:rPr>
        <w:t>ꎮ</w:t>
      </w:r>
    </w:p>
    <w:p>
      <w:pPr>
        <w:pStyle w:val="6"/>
        <w:spacing w:before="48"/>
        <w:ind w:left="860" w:firstLine="0"/>
      </w:pPr>
      <w:r>
        <w:rPr>
          <w:w w:val="105"/>
        </w:rPr>
        <w:t>第一百零一条 作业者和承包者应当</w:t>
      </w:r>
    </w:p>
    <w:p>
      <w:pPr>
        <w:pStyle w:val="6"/>
        <w:spacing w:before="85" w:line="295" w:lineRule="auto"/>
        <w:ind w:left="381" w:right="126" w:firstLine="0"/>
        <w:rPr>
          <w:rFonts w:hint="eastAsia" w:ascii="MS UI Gothic" w:eastAsia="MS UI Gothic"/>
        </w:rPr>
      </w:pPr>
      <w:r>
        <w:br w:type="column"/>
      </w:r>
      <w:r>
        <w:t>组织生产和作业设施的相关人员定期开展应急预案的演练</w:t>
      </w:r>
      <w:r>
        <w:rPr>
          <w:rFonts w:hint="eastAsia" w:ascii="MS UI Gothic" w:eastAsia="MS UI Gothic"/>
          <w:w w:val="80"/>
        </w:rPr>
        <w:t xml:space="preserve">ꎬ </w:t>
      </w:r>
      <w:r>
        <w:t>演练期限不超过下列时</w:t>
      </w:r>
      <w:r>
        <w:rPr>
          <w:w w:val="105"/>
        </w:rPr>
        <w:t>间间隔的要求</w:t>
      </w:r>
      <w:r>
        <w:rPr>
          <w:rFonts w:hint="eastAsia" w:ascii="MS UI Gothic" w:eastAsia="MS UI Gothic"/>
          <w:w w:val="235"/>
        </w:rPr>
        <w:t>:</w:t>
      </w:r>
    </w:p>
    <w:p>
      <w:pPr>
        <w:pStyle w:val="6"/>
        <w:spacing w:line="254" w:lineRule="exact"/>
        <w:ind w:left="800" w:firstLine="0"/>
        <w:rPr>
          <w:rFonts w:hint="eastAsia" w:ascii="MS UI Gothic" w:eastAsia="MS UI Gothic"/>
        </w:rPr>
      </w:pPr>
      <w:r>
        <w:rPr>
          <w:rFonts w:hint="eastAsia" w:ascii="MS UI Gothic" w:eastAsia="MS UI Gothic"/>
          <w:spacing w:val="-27"/>
          <w:w w:val="110"/>
        </w:rPr>
        <w:t xml:space="preserve">( </w:t>
      </w:r>
      <w:r>
        <w:rPr>
          <w:spacing w:val="3"/>
          <w:w w:val="110"/>
        </w:rPr>
        <w:t>一</w:t>
      </w:r>
      <w:r>
        <w:rPr>
          <w:rFonts w:hint="eastAsia" w:ascii="MS UI Gothic" w:eastAsia="MS UI Gothic"/>
          <w:spacing w:val="8"/>
          <w:w w:val="110"/>
        </w:rPr>
        <w:t xml:space="preserve">) </w:t>
      </w:r>
      <w:r>
        <w:rPr>
          <w:spacing w:val="3"/>
          <w:w w:val="110"/>
        </w:rPr>
        <w:t>消防演习</w:t>
      </w:r>
      <w:r>
        <w:rPr>
          <w:rFonts w:hint="eastAsia" w:ascii="MS UI Gothic" w:eastAsia="MS UI Gothic"/>
          <w:spacing w:val="2"/>
          <w:w w:val="110"/>
        </w:rPr>
        <w:t xml:space="preserve">: </w:t>
      </w:r>
      <w:r>
        <w:rPr>
          <w:spacing w:val="3"/>
          <w:w w:val="110"/>
        </w:rPr>
        <w:t>每倒班期一次</w:t>
      </w:r>
      <w:r>
        <w:rPr>
          <w:rFonts w:hint="eastAsia" w:ascii="MS UI Gothic" w:eastAsia="MS UI Gothic"/>
          <w:w w:val="80"/>
        </w:rPr>
        <w:t>ꎮ</w:t>
      </w:r>
    </w:p>
    <w:p>
      <w:pPr>
        <w:pStyle w:val="6"/>
        <w:spacing w:before="58" w:line="295" w:lineRule="auto"/>
        <w:ind w:left="800" w:right="295" w:firstLine="0"/>
        <w:rPr>
          <w:rFonts w:hint="eastAsia" w:ascii="MS UI Gothic" w:eastAsia="MS UI Gothic"/>
        </w:rPr>
      </w:pPr>
      <w:r>
        <w:rPr>
          <w:rFonts w:hint="eastAsia" w:ascii="MS UI Gothic" w:eastAsia="MS UI Gothic"/>
          <w:spacing w:val="-27"/>
          <w:w w:val="110"/>
        </w:rPr>
        <w:t xml:space="preserve">( </w:t>
      </w:r>
      <w:r>
        <w:rPr>
          <w:spacing w:val="3"/>
          <w:w w:val="110"/>
        </w:rPr>
        <w:t>二</w:t>
      </w:r>
      <w:r>
        <w:rPr>
          <w:rFonts w:hint="eastAsia" w:ascii="MS UI Gothic" w:eastAsia="MS UI Gothic"/>
          <w:spacing w:val="7"/>
          <w:w w:val="110"/>
        </w:rPr>
        <w:t xml:space="preserve">) </w:t>
      </w:r>
      <w:r>
        <w:rPr>
          <w:spacing w:val="3"/>
          <w:w w:val="110"/>
        </w:rPr>
        <w:t>弃平台演习</w:t>
      </w:r>
      <w:r>
        <w:rPr>
          <w:rFonts w:hint="eastAsia" w:ascii="MS UI Gothic" w:eastAsia="MS UI Gothic"/>
          <w:w w:val="110"/>
        </w:rPr>
        <w:t xml:space="preserve">: </w:t>
      </w:r>
      <w:r>
        <w:rPr>
          <w:spacing w:val="3"/>
          <w:w w:val="110"/>
        </w:rPr>
        <w:t>每倒班期一次</w:t>
      </w:r>
      <w:r>
        <w:rPr>
          <w:rFonts w:hint="eastAsia" w:ascii="MS UI Gothic" w:eastAsia="MS UI Gothic"/>
          <w:w w:val="80"/>
        </w:rPr>
        <w:t>ꎮ</w:t>
      </w:r>
      <w:r>
        <w:rPr>
          <w:rFonts w:hint="eastAsia" w:ascii="MS UI Gothic" w:eastAsia="MS UI Gothic"/>
          <w:spacing w:val="-42"/>
          <w:w w:val="150"/>
        </w:rPr>
        <w:t xml:space="preserve">( </w:t>
      </w:r>
      <w:r>
        <w:rPr>
          <w:spacing w:val="3"/>
          <w:w w:val="115"/>
        </w:rPr>
        <w:t>三</w:t>
      </w:r>
      <w:r>
        <w:rPr>
          <w:rFonts w:hint="eastAsia" w:ascii="MS UI Gothic" w:eastAsia="MS UI Gothic"/>
          <w:spacing w:val="-21"/>
          <w:w w:val="150"/>
        </w:rPr>
        <w:t xml:space="preserve">) </w:t>
      </w:r>
      <w:r>
        <w:rPr>
          <w:spacing w:val="3"/>
          <w:w w:val="115"/>
        </w:rPr>
        <w:t>井控演习</w:t>
      </w:r>
      <w:r>
        <w:rPr>
          <w:rFonts w:hint="eastAsia" w:ascii="MS UI Gothic" w:eastAsia="MS UI Gothic"/>
          <w:spacing w:val="-51"/>
          <w:w w:val="235"/>
        </w:rPr>
        <w:t xml:space="preserve">: </w:t>
      </w:r>
      <w:r>
        <w:rPr>
          <w:spacing w:val="3"/>
          <w:w w:val="115"/>
        </w:rPr>
        <w:t>每倒班期一次</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8"/>
          <w:w w:val="135"/>
        </w:rPr>
        <w:t xml:space="preserve">( </w:t>
      </w:r>
      <w:r>
        <w:rPr>
          <w:spacing w:val="3"/>
          <w:w w:val="115"/>
        </w:rPr>
        <w:t>四</w:t>
      </w:r>
      <w:r>
        <w:rPr>
          <w:rFonts w:hint="eastAsia" w:ascii="MS UI Gothic" w:eastAsia="MS UI Gothic"/>
          <w:spacing w:val="-17"/>
          <w:w w:val="135"/>
        </w:rPr>
        <w:t xml:space="preserve">) </w:t>
      </w:r>
      <w:r>
        <w:rPr>
          <w:spacing w:val="27"/>
          <w:w w:val="115"/>
        </w:rPr>
        <w:t>人员落水救助演习</w:t>
      </w:r>
      <w:r>
        <w:rPr>
          <w:rFonts w:hint="eastAsia" w:ascii="MS UI Gothic" w:eastAsia="MS UI Gothic"/>
          <w:spacing w:val="-19"/>
          <w:w w:val="135"/>
        </w:rPr>
        <w:t xml:space="preserve">: </w:t>
      </w:r>
      <w:r>
        <w:rPr>
          <w:spacing w:val="16"/>
          <w:w w:val="115"/>
        </w:rPr>
        <w:t>每季度</w:t>
      </w:r>
      <w:r>
        <w:rPr>
          <w:spacing w:val="3"/>
          <w:w w:val="115"/>
        </w:rPr>
        <w:t>一次</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spacing w:val="-37"/>
          <w:w w:val="150"/>
        </w:rPr>
        <w:t xml:space="preserve">( </w:t>
      </w:r>
      <w:r>
        <w:rPr>
          <w:spacing w:val="3"/>
          <w:w w:val="105"/>
        </w:rPr>
        <w:t>五</w:t>
      </w:r>
      <w:r>
        <w:rPr>
          <w:rFonts w:hint="eastAsia" w:ascii="MS UI Gothic" w:eastAsia="MS UI Gothic"/>
          <w:spacing w:val="11"/>
          <w:w w:val="150"/>
        </w:rPr>
        <w:t xml:space="preserve">) </w:t>
      </w:r>
      <w:r>
        <w:rPr>
          <w:spacing w:val="5"/>
          <w:w w:val="105"/>
        </w:rPr>
        <w:t>硫化氢演习</w:t>
      </w:r>
      <w:r>
        <w:rPr>
          <w:rFonts w:hint="eastAsia" w:ascii="MS UI Gothic" w:eastAsia="MS UI Gothic"/>
          <w:spacing w:val="-22"/>
          <w:w w:val="235"/>
        </w:rPr>
        <w:t xml:space="preserve">: </w:t>
      </w:r>
      <w:r>
        <w:rPr>
          <w:spacing w:val="9"/>
          <w:w w:val="105"/>
        </w:rPr>
        <w:t>钻遇含硫化氢地</w:t>
      </w:r>
      <w:r>
        <w:rPr>
          <w:spacing w:val="2"/>
        </w:rPr>
        <w:t>层前和对含硫化氢油气井进行试油或者修</w:t>
      </w:r>
      <w:r>
        <w:rPr>
          <w:spacing w:val="3"/>
        </w:rPr>
        <w:t>井作业前</w:t>
      </w:r>
      <w:r>
        <w:rPr>
          <w:rFonts w:hint="eastAsia" w:ascii="MS UI Gothic" w:eastAsia="MS UI Gothic"/>
          <w:spacing w:val="20"/>
          <w:w w:val="80"/>
        </w:rPr>
        <w:t xml:space="preserve">ꎬ </w:t>
      </w:r>
      <w:r>
        <w:rPr>
          <w:spacing w:val="10"/>
        </w:rPr>
        <w:t>必须组织一次防硫化氢演习</w:t>
      </w:r>
      <w:r>
        <w:rPr>
          <w:rFonts w:hint="eastAsia" w:ascii="MS UI Gothic" w:eastAsia="MS UI Gothic"/>
          <w:w w:val="80"/>
        </w:rPr>
        <w:t>ꎻ</w:t>
      </w:r>
      <w:r>
        <w:rPr>
          <w:spacing w:val="3"/>
          <w:w w:val="105"/>
        </w:rPr>
        <w:t>对含硫化氢油气井进行正常钻井</w:t>
      </w:r>
      <w:r>
        <w:rPr>
          <w:rFonts w:hint="eastAsia" w:ascii="MS UI Gothic" w:eastAsia="MS UI Gothic"/>
          <w:spacing w:val="-2"/>
          <w:w w:val="80"/>
        </w:rPr>
        <w:t xml:space="preserve">、 </w:t>
      </w:r>
      <w:r>
        <w:rPr>
          <w:spacing w:val="2"/>
          <w:w w:val="105"/>
        </w:rPr>
        <w:t>试油或者修井作业</w:t>
      </w:r>
      <w:r>
        <w:rPr>
          <w:rFonts w:hint="eastAsia" w:ascii="MS UI Gothic" w:eastAsia="MS UI Gothic"/>
          <w:w w:val="80"/>
        </w:rPr>
        <w:t xml:space="preserve">ꎬ </w:t>
      </w:r>
      <w:r>
        <w:rPr>
          <w:spacing w:val="-27"/>
          <w:w w:val="105"/>
        </w:rPr>
        <w:t xml:space="preserve">每隔 </w:t>
      </w:r>
      <w:r>
        <w:rPr>
          <w:rFonts w:hint="eastAsia" w:ascii="MS UI Gothic" w:eastAsia="MS UI Gothic"/>
          <w:spacing w:val="-11"/>
          <w:w w:val="80"/>
        </w:rPr>
        <w:t xml:space="preserve">７ </w:t>
      </w:r>
      <w:r>
        <w:rPr>
          <w:spacing w:val="3"/>
          <w:w w:val="105"/>
        </w:rPr>
        <w:t>日组织一次演习</w:t>
      </w:r>
      <w:r>
        <w:rPr>
          <w:rFonts w:hint="eastAsia" w:ascii="MS UI Gothic" w:eastAsia="MS UI Gothic"/>
          <w:spacing w:val="2"/>
          <w:w w:val="80"/>
        </w:rPr>
        <w:t xml:space="preserve">ꎻ </w:t>
      </w:r>
      <w:r>
        <w:rPr>
          <w:w w:val="105"/>
        </w:rPr>
        <w:t>含</w:t>
      </w:r>
      <w:r>
        <w:rPr>
          <w:spacing w:val="3"/>
        </w:rPr>
        <w:t>硫化氢油气井正常生产时</w:t>
      </w:r>
      <w:r>
        <w:rPr>
          <w:rFonts w:hint="eastAsia" w:ascii="MS UI Gothic" w:eastAsia="MS UI Gothic"/>
          <w:spacing w:val="19"/>
          <w:w w:val="80"/>
        </w:rPr>
        <w:t xml:space="preserve">ꎬ </w:t>
      </w:r>
      <w:r>
        <w:rPr>
          <w:spacing w:val="2"/>
        </w:rPr>
        <w:t>每倒班期组织</w:t>
      </w:r>
      <w:r>
        <w:rPr>
          <w:spacing w:val="6"/>
        </w:rPr>
        <w:t>一次演习</w:t>
      </w:r>
      <w:r>
        <w:rPr>
          <w:rFonts w:hint="eastAsia" w:ascii="MS UI Gothic" w:eastAsia="MS UI Gothic"/>
          <w:spacing w:val="2"/>
          <w:w w:val="80"/>
        </w:rPr>
        <w:t xml:space="preserve">ꎮ </w:t>
      </w:r>
      <w:r>
        <w:rPr>
          <w:spacing w:val="19"/>
        </w:rPr>
        <w:t>不含硫化氢的</w:t>
      </w:r>
      <w:r>
        <w:rPr>
          <w:rFonts w:hint="eastAsia" w:ascii="MS UI Gothic" w:eastAsia="MS UI Gothic"/>
          <w:spacing w:val="3"/>
          <w:w w:val="80"/>
        </w:rPr>
        <w:t xml:space="preserve">ꎬ </w:t>
      </w:r>
      <w:r>
        <w:rPr>
          <w:spacing w:val="18"/>
        </w:rPr>
        <w:t>每半年组织</w:t>
      </w:r>
      <w:r>
        <w:rPr>
          <w:spacing w:val="3"/>
          <w:w w:val="105"/>
        </w:rPr>
        <w:t>一次</w:t>
      </w:r>
      <w:r>
        <w:rPr>
          <w:rFonts w:hint="eastAsia" w:ascii="MS UI Gothic" w:eastAsia="MS UI Gothic"/>
          <w:w w:val="80"/>
        </w:rPr>
        <w:t>ꎮ</w:t>
      </w:r>
    </w:p>
    <w:p>
      <w:pPr>
        <w:pStyle w:val="6"/>
        <w:spacing w:line="295" w:lineRule="auto"/>
        <w:ind w:left="381" w:right="126"/>
        <w:rPr>
          <w:rFonts w:hint="eastAsia" w:ascii="MS UI Gothic" w:eastAsia="MS UI Gothic"/>
        </w:rPr>
      </w:pPr>
      <w:r>
        <w:t xml:space="preserve">各类应急演练的记录文件应当至少保存 </w:t>
      </w:r>
      <w:r>
        <w:rPr>
          <w:rFonts w:hint="eastAsia" w:ascii="MS UI Gothic" w:eastAsia="MS UI Gothic"/>
          <w:w w:val="80"/>
        </w:rPr>
        <w:t xml:space="preserve">１ </w:t>
      </w:r>
      <w:r>
        <w:t>年</w:t>
      </w:r>
      <w:r>
        <w:rPr>
          <w:rFonts w:hint="eastAsia" w:ascii="MS UI Gothic" w:eastAsia="MS UI Gothic"/>
          <w:w w:val="80"/>
        </w:rPr>
        <w:t>ꎮ</w:t>
      </w:r>
    </w:p>
    <w:p>
      <w:pPr>
        <w:pStyle w:val="6"/>
        <w:spacing w:line="295" w:lineRule="auto"/>
        <w:ind w:left="381" w:right="126"/>
        <w:rPr>
          <w:rFonts w:hint="eastAsia" w:ascii="MS UI Gothic" w:eastAsia="MS UI Gothic"/>
        </w:rPr>
      </w:pPr>
      <w:r>
        <w:t>第一百零二条 事故发生后</w:t>
      </w:r>
      <w:r>
        <w:rPr>
          <w:rFonts w:hint="eastAsia" w:ascii="MS UI Gothic" w:eastAsia="MS UI Gothic"/>
          <w:w w:val="80"/>
        </w:rPr>
        <w:t xml:space="preserve">ꎬ </w:t>
      </w:r>
      <w:r>
        <w:t>作业现场有关人员应当及时向所属作业者和承包者报告</w:t>
      </w:r>
      <w:r>
        <w:rPr>
          <w:rFonts w:hint="eastAsia" w:ascii="MS UI Gothic" w:eastAsia="MS UI Gothic"/>
          <w:w w:val="80"/>
        </w:rPr>
        <w:t xml:space="preserve">ꎻ </w:t>
      </w:r>
      <w:r>
        <w:t>接到报告后</w:t>
      </w:r>
      <w:r>
        <w:rPr>
          <w:rFonts w:hint="eastAsia" w:ascii="MS UI Gothic" w:eastAsia="MS UI Gothic"/>
          <w:w w:val="80"/>
        </w:rPr>
        <w:t xml:space="preserve">ꎬ </w:t>
      </w:r>
      <w:r>
        <w:t>应当立即启动相应的应急预案</w:t>
      </w:r>
      <w:r>
        <w:rPr>
          <w:rFonts w:hint="eastAsia" w:ascii="MS UI Gothic" w:eastAsia="MS UI Gothic"/>
          <w:w w:val="80"/>
        </w:rPr>
        <w:t xml:space="preserve">ꎬ </w:t>
      </w:r>
      <w:r>
        <w:t>组织开展救援活动</w:t>
      </w:r>
      <w:r>
        <w:rPr>
          <w:rFonts w:hint="eastAsia" w:ascii="MS UI Gothic" w:eastAsia="MS UI Gothic"/>
          <w:w w:val="80"/>
        </w:rPr>
        <w:t xml:space="preserve">ꎬ </w:t>
      </w:r>
      <w:r>
        <w:t>防止事故扩大</w:t>
      </w:r>
      <w:r>
        <w:rPr>
          <w:rFonts w:hint="eastAsia" w:ascii="MS UI Gothic" w:eastAsia="MS UI Gothic"/>
          <w:w w:val="80"/>
        </w:rPr>
        <w:t xml:space="preserve">ꎬ </w:t>
      </w:r>
      <w:r>
        <w:t>减少人员伤亡和财产损失</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第一百零三条 针对海洋石油作业过</w:t>
      </w:r>
      <w:r>
        <w:t>程中发生事故的特点</w:t>
      </w:r>
      <w:r>
        <w:rPr>
          <w:rFonts w:hint="eastAsia" w:ascii="MS UI Gothic" w:eastAsia="MS UI Gothic"/>
          <w:w w:val="80"/>
        </w:rPr>
        <w:t xml:space="preserve">ꎬ </w:t>
      </w:r>
      <w:r>
        <w:t>在实施应急救援过程中</w:t>
      </w:r>
      <w:r>
        <w:rPr>
          <w:rFonts w:hint="eastAsia" w:ascii="MS UI Gothic" w:eastAsia="MS UI Gothic"/>
          <w:w w:val="80"/>
        </w:rPr>
        <w:t xml:space="preserve">ꎬ </w:t>
      </w:r>
      <w:r>
        <w:t>作业者和承包者应当做好下列</w:t>
      </w:r>
      <w:r>
        <w:rPr>
          <w:w w:val="105"/>
        </w:rPr>
        <w:t>工作</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立即组织现场疏散</w:t>
      </w:r>
      <w:r>
        <w:rPr>
          <w:rFonts w:hint="eastAsia" w:ascii="MS UI Gothic" w:eastAsia="MS UI Gothic"/>
          <w:w w:val="80"/>
        </w:rPr>
        <w:t xml:space="preserve">ꎬ </w:t>
      </w:r>
      <w:r>
        <w:rPr>
          <w:w w:val="105"/>
        </w:rPr>
        <w:t>保护作业人员安全</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立即调集作业现场的应急力量</w:t>
      </w:r>
      <w:r>
        <w:t>进行救援</w:t>
      </w:r>
      <w:r>
        <w:rPr>
          <w:rFonts w:hint="eastAsia" w:ascii="MS UI Gothic" w:eastAsia="MS UI Gothic"/>
          <w:w w:val="80"/>
        </w:rPr>
        <w:t xml:space="preserve">ꎬ </w:t>
      </w:r>
      <w:r>
        <w:t>同时向有关方面发出求助信</w:t>
      </w:r>
      <w:r>
        <w:rPr>
          <w:w w:val="105"/>
        </w:rPr>
        <w:t>息</w:t>
      </w:r>
      <w:r>
        <w:rPr>
          <w:rFonts w:hint="eastAsia" w:ascii="MS UI Gothic" w:eastAsia="MS UI Gothic"/>
          <w:w w:val="80"/>
        </w:rPr>
        <w:t xml:space="preserve">ꎬ </w:t>
      </w:r>
      <w:r>
        <w:rPr>
          <w:w w:val="105"/>
        </w:rPr>
        <w:t>动员有关力量</w:t>
      </w:r>
      <w:r>
        <w:rPr>
          <w:rFonts w:hint="eastAsia" w:ascii="MS UI Gothic" w:eastAsia="MS UI Gothic"/>
          <w:w w:val="80"/>
        </w:rPr>
        <w:t xml:space="preserve">ꎬ </w:t>
      </w:r>
      <w:r>
        <w:rPr>
          <w:w w:val="105"/>
        </w:rPr>
        <w:t>保证应急队伍</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器材</w:t>
      </w:r>
      <w:r>
        <w:rPr>
          <w:rFonts w:hint="eastAsia" w:ascii="MS UI Gothic" w:eastAsia="MS UI Gothic"/>
          <w:w w:val="80"/>
        </w:rPr>
        <w:t xml:space="preserve">、 </w:t>
      </w:r>
      <w:r>
        <w:rPr>
          <w:w w:val="105"/>
        </w:rPr>
        <w:t>物资及必要的后勤支持</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35"/>
        </w:rPr>
        <w:t xml:space="preserve">( </w:t>
      </w:r>
      <w:r>
        <w:rPr>
          <w:spacing w:val="29"/>
          <w:w w:val="110"/>
        </w:rPr>
        <w:t>三</w:t>
      </w:r>
      <w:r>
        <w:rPr>
          <w:rFonts w:hint="eastAsia" w:ascii="MS UI Gothic" w:eastAsia="MS UI Gothic"/>
          <w:spacing w:val="-14"/>
          <w:w w:val="135"/>
        </w:rPr>
        <w:t xml:space="preserve">) </w:t>
      </w:r>
      <w:r>
        <w:rPr>
          <w:spacing w:val="40"/>
          <w:w w:val="110"/>
        </w:rPr>
        <w:t>制订现场救援方案并组织</w:t>
      </w:r>
      <w:r>
        <w:rPr>
          <w:spacing w:val="3"/>
          <w:w w:val="110"/>
        </w:rPr>
        <w:t>实施</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确定警戒及防控区域</w:t>
      </w:r>
      <w:r>
        <w:rPr>
          <w:rFonts w:hint="eastAsia" w:ascii="MS UI Gothic" w:eastAsia="MS UI Gothic"/>
          <w:w w:val="80"/>
        </w:rPr>
        <w:t xml:space="preserve">ꎬ </w:t>
      </w:r>
      <w:r>
        <w:rPr>
          <w:w w:val="105"/>
        </w:rPr>
        <w:t>实行区域管制</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采取相应的保护措施</w:t>
      </w:r>
      <w:r>
        <w:rPr>
          <w:rFonts w:hint="eastAsia" w:ascii="MS UI Gothic" w:eastAsia="MS UI Gothic"/>
          <w:w w:val="80"/>
        </w:rPr>
        <w:t xml:space="preserve">ꎬ </w:t>
      </w:r>
      <w:r>
        <w:rPr>
          <w:w w:val="105"/>
        </w:rPr>
        <w:t>防止事故扩大和引发次生灾害</w:t>
      </w:r>
      <w:r>
        <w:rPr>
          <w:rFonts w:hint="eastAsia" w:ascii="MS UI Gothic" w:eastAsia="MS UI Gothic"/>
          <w:w w:val="80"/>
        </w:rPr>
        <w:t>ꎻ</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２００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25" o:spid="_x0000_s1625" o:spt="203" style="height:2.15pt;width:398.25pt;" coordsize="7965,43">
            <o:lock v:ext="edit"/>
            <v:line id="_x0000_s1626" o:spid="_x0000_s1626" o:spt="20" style="position:absolute;left:0;top:39;height:0;width:7965;" stroked="t" coordsize="21600,21600">
              <v:path arrowok="t"/>
              <v:fill focussize="0,0"/>
              <v:stroke weight="0.388031496062992pt" color="#231F20"/>
              <v:imagedata o:title=""/>
              <o:lock v:ext="edit"/>
            </v:line>
            <v:line id="_x0000_s1627" o:spid="_x0000_s162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jc w:val="left"/>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迅速组织医疗救援力量</w:t>
      </w:r>
      <w:r>
        <w:rPr>
          <w:rFonts w:hint="eastAsia" w:ascii="MS UI Gothic" w:eastAsia="MS UI Gothic"/>
          <w:w w:val="80"/>
        </w:rPr>
        <w:t xml:space="preserve">ꎬ </w:t>
      </w:r>
      <w:r>
        <w:rPr>
          <w:w w:val="105"/>
        </w:rPr>
        <w:t>抢救受伤人员</w:t>
      </w:r>
      <w:r>
        <w:rPr>
          <w:rFonts w:hint="eastAsia" w:ascii="MS UI Gothic" w:eastAsia="MS UI Gothic"/>
          <w:w w:val="80"/>
        </w:rPr>
        <w:t>ꎻ</w:t>
      </w:r>
    </w:p>
    <w:p>
      <w:pPr>
        <w:pStyle w:val="6"/>
        <w:spacing w:line="295" w:lineRule="auto"/>
        <w:ind w:right="39"/>
        <w:jc w:val="left"/>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尽力防止出现石油大面积泄漏</w:t>
      </w:r>
      <w:r>
        <w:rPr>
          <w:w w:val="110"/>
        </w:rPr>
        <w:t>和扩散</w:t>
      </w:r>
      <w:r>
        <w:rPr>
          <w:rFonts w:hint="eastAsia" w:ascii="MS UI Gothic" w:eastAsia="MS UI Gothic"/>
          <w:w w:val="80"/>
        </w:rPr>
        <w:t>ꎮ</w:t>
      </w:r>
    </w:p>
    <w:p>
      <w:pPr>
        <w:pStyle w:val="6"/>
        <w:tabs>
          <w:tab w:val="left" w:pos="1487"/>
        </w:tabs>
        <w:spacing w:before="154"/>
        <w:ind w:left="648" w:firstLine="0"/>
        <w:jc w:val="left"/>
      </w:pPr>
      <w:r>
        <w:rPr>
          <w:spacing w:val="3"/>
          <w:w w:val="105"/>
        </w:rPr>
        <w:t>第六</w:t>
      </w:r>
      <w:r>
        <w:rPr>
          <w:w w:val="105"/>
        </w:rPr>
        <w:t>章</w:t>
      </w:r>
      <w:r>
        <w:rPr>
          <w:w w:val="105"/>
        </w:rPr>
        <w:tab/>
      </w:r>
      <w:r>
        <w:rPr>
          <w:spacing w:val="3"/>
          <w:w w:val="105"/>
        </w:rPr>
        <w:t>事故报告和调查处</w:t>
      </w:r>
      <w:r>
        <w:rPr>
          <w:w w:val="105"/>
        </w:rPr>
        <w:t>理</w:t>
      </w:r>
    </w:p>
    <w:p>
      <w:pPr>
        <w:pStyle w:val="6"/>
        <w:spacing w:before="215" w:line="295" w:lineRule="auto"/>
        <w:ind w:right="39"/>
        <w:rPr>
          <w:rFonts w:hint="eastAsia" w:ascii="MS UI Gothic" w:eastAsia="MS UI Gothic"/>
        </w:rPr>
      </w:pPr>
      <w:r>
        <w:rPr>
          <w:w w:val="105"/>
        </w:rPr>
        <w:t>第一百零四条 在海上石油天然气勘探</w:t>
      </w:r>
      <w:r>
        <w:rPr>
          <w:rFonts w:hint="eastAsia" w:ascii="MS UI Gothic" w:eastAsia="MS UI Gothic"/>
          <w:w w:val="80"/>
        </w:rPr>
        <w:t xml:space="preserve">、 </w:t>
      </w:r>
      <w:r>
        <w:rPr>
          <w:w w:val="105"/>
        </w:rPr>
        <w:t>开发</w:t>
      </w:r>
      <w:r>
        <w:rPr>
          <w:rFonts w:hint="eastAsia" w:ascii="MS UI Gothic" w:eastAsia="MS UI Gothic"/>
          <w:w w:val="80"/>
        </w:rPr>
        <w:t xml:space="preserve">、 </w:t>
      </w:r>
      <w:r>
        <w:rPr>
          <w:w w:val="105"/>
        </w:rPr>
        <w:t>生产</w:t>
      </w:r>
      <w:r>
        <w:rPr>
          <w:rFonts w:hint="eastAsia" w:ascii="MS UI Gothic" w:eastAsia="MS UI Gothic"/>
          <w:w w:val="80"/>
        </w:rPr>
        <w:t xml:space="preserve">、 </w:t>
      </w:r>
      <w:r>
        <w:rPr>
          <w:w w:val="105"/>
        </w:rPr>
        <w:t>储运及油田废弃等作业</w:t>
      </w:r>
      <w:r>
        <w:t>中</w:t>
      </w:r>
      <w:r>
        <w:rPr>
          <w:rFonts w:hint="eastAsia" w:ascii="MS UI Gothic" w:eastAsia="MS UI Gothic"/>
          <w:w w:val="80"/>
        </w:rPr>
        <w:t xml:space="preserve">ꎬ </w:t>
      </w:r>
      <w:r>
        <w:t>发生下列生产安全事故</w:t>
      </w:r>
      <w:r>
        <w:rPr>
          <w:rFonts w:hint="eastAsia" w:ascii="MS UI Gothic" w:eastAsia="MS UI Gothic"/>
          <w:w w:val="80"/>
        </w:rPr>
        <w:t xml:space="preserve">ꎬ </w:t>
      </w:r>
      <w:r>
        <w:t>作业现场有关人员应当立即向所属作业者和承包者报告</w:t>
      </w:r>
      <w:r>
        <w:rPr>
          <w:rFonts w:hint="eastAsia" w:ascii="MS UI Gothic" w:eastAsia="MS UI Gothic"/>
          <w:w w:val="80"/>
        </w:rPr>
        <w:t xml:space="preserve">ꎻ </w:t>
      </w:r>
      <w:r>
        <w:t>作业者和承包者接到报告后</w:t>
      </w:r>
      <w:r>
        <w:rPr>
          <w:rFonts w:hint="eastAsia" w:ascii="MS UI Gothic" w:eastAsia="MS UI Gothic"/>
          <w:w w:val="80"/>
        </w:rPr>
        <w:t xml:space="preserve">ꎬ </w:t>
      </w:r>
      <w:r>
        <w:t>应当立即按规定向海油安办有关分部的地区监督</w:t>
      </w:r>
      <w:r>
        <w:rPr>
          <w:w w:val="105"/>
        </w:rPr>
        <w:t>处</w:t>
      </w:r>
      <w:r>
        <w:rPr>
          <w:rFonts w:hint="eastAsia" w:ascii="MS UI Gothic" w:eastAsia="MS UI Gothic"/>
          <w:w w:val="80"/>
        </w:rPr>
        <w:t xml:space="preserve">、 </w:t>
      </w:r>
      <w:r>
        <w:rPr>
          <w:w w:val="105"/>
        </w:rPr>
        <w:t>当地政府和海事部门报告</w:t>
      </w:r>
      <w:r>
        <w:rPr>
          <w:rFonts w:hint="eastAsia" w:ascii="MS UI Gothic" w:eastAsia="MS UI Gothic"/>
          <w:w w:val="235"/>
        </w:rPr>
        <w:t>:</w:t>
      </w:r>
    </w:p>
    <w:p>
      <w:pPr>
        <w:pStyle w:val="6"/>
        <w:spacing w:line="251" w:lineRule="exact"/>
        <w:ind w:left="543" w:firstLine="0"/>
        <w:jc w:val="left"/>
        <w:rPr>
          <w:rFonts w:hint="eastAsia" w:ascii="MS UI Gothic" w:eastAsia="MS UI Gothic"/>
        </w:rPr>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井喷失控</w:t>
      </w:r>
      <w:r>
        <w:rPr>
          <w:rFonts w:hint="eastAsia" w:ascii="MS UI Gothic" w:eastAsia="MS UI Gothic"/>
          <w:w w:val="80"/>
        </w:rPr>
        <w:t>ꎻ</w:t>
      </w:r>
    </w:p>
    <w:p>
      <w:pPr>
        <w:pStyle w:val="6"/>
        <w:spacing w:before="59"/>
        <w:ind w:left="543" w:firstLine="0"/>
        <w:jc w:val="left"/>
        <w:rPr>
          <w:rFonts w:hint="eastAsia" w:ascii="MS UI Gothic" w:eastAsia="MS UI Gothic"/>
        </w:rPr>
      </w:pPr>
      <w:r>
        <w:rPr>
          <w:rFonts w:hint="eastAsia" w:ascii="MS UI Gothic" w:eastAsia="MS UI Gothic"/>
          <w:w w:val="150"/>
        </w:rPr>
        <w:t xml:space="preserve">( </w:t>
      </w:r>
      <w:r>
        <w:rPr>
          <w:w w:val="115"/>
        </w:rPr>
        <w:t>二</w:t>
      </w:r>
      <w:r>
        <w:rPr>
          <w:rFonts w:hint="eastAsia" w:ascii="MS UI Gothic" w:eastAsia="MS UI Gothic"/>
          <w:w w:val="150"/>
        </w:rPr>
        <w:t xml:space="preserve">) </w:t>
      </w:r>
      <w:r>
        <w:rPr>
          <w:w w:val="115"/>
        </w:rPr>
        <w:t>火灾与爆炸</w:t>
      </w:r>
      <w:r>
        <w:rPr>
          <w:rFonts w:hint="eastAsia" w:ascii="MS UI Gothic" w:eastAsia="MS UI Gothic"/>
          <w:w w:val="80"/>
        </w:rPr>
        <w:t>ꎻ</w:t>
      </w:r>
    </w:p>
    <w:p>
      <w:pPr>
        <w:pStyle w:val="6"/>
        <w:spacing w:before="58" w:line="295" w:lineRule="auto"/>
        <w:ind w:right="39"/>
        <w:jc w:val="left"/>
        <w:rPr>
          <w:rFonts w:hint="eastAsia" w:ascii="MS UI Gothic" w:eastAsia="MS UI Gothic"/>
        </w:rPr>
      </w:pPr>
      <w:r>
        <w:rPr>
          <w:rFonts w:hint="eastAsia" w:ascii="MS UI Gothic" w:eastAsia="MS UI Gothic"/>
          <w:spacing w:val="-40"/>
          <w:w w:val="150"/>
        </w:rPr>
        <w:t xml:space="preserve">( </w:t>
      </w:r>
      <w:r>
        <w:rPr>
          <w:spacing w:val="15"/>
          <w:w w:val="110"/>
        </w:rPr>
        <w:t>三</w:t>
      </w:r>
      <w:r>
        <w:rPr>
          <w:rFonts w:hint="eastAsia" w:ascii="MS UI Gothic" w:eastAsia="MS UI Gothic"/>
          <w:spacing w:val="-5"/>
          <w:w w:val="150"/>
        </w:rPr>
        <w:t xml:space="preserve">) </w:t>
      </w:r>
      <w:r>
        <w:rPr>
          <w:spacing w:val="6"/>
          <w:w w:val="110"/>
        </w:rPr>
        <w:t xml:space="preserve">平台遇险 </w:t>
      </w:r>
      <w:r>
        <w:rPr>
          <w:rFonts w:hint="eastAsia" w:ascii="MS UI Gothic" w:eastAsia="MS UI Gothic"/>
          <w:spacing w:val="-36"/>
          <w:w w:val="150"/>
        </w:rPr>
        <w:t xml:space="preserve">( </w:t>
      </w:r>
      <w:r>
        <w:rPr>
          <w:spacing w:val="21"/>
          <w:w w:val="110"/>
        </w:rPr>
        <w:t>包括平台失控漂</w:t>
      </w:r>
      <w:r>
        <w:rPr>
          <w:spacing w:val="3"/>
          <w:w w:val="110"/>
        </w:rPr>
        <w:t>移</w:t>
      </w:r>
      <w:r>
        <w:rPr>
          <w:rFonts w:hint="eastAsia" w:ascii="MS UI Gothic" w:eastAsia="MS UI Gothic"/>
          <w:spacing w:val="14"/>
          <w:w w:val="80"/>
        </w:rPr>
        <w:t xml:space="preserve">、 </w:t>
      </w:r>
      <w:r>
        <w:rPr>
          <w:spacing w:val="3"/>
          <w:w w:val="110"/>
        </w:rPr>
        <w:t>拖航遇险</w:t>
      </w:r>
      <w:r>
        <w:rPr>
          <w:rFonts w:hint="eastAsia" w:ascii="MS UI Gothic" w:eastAsia="MS UI Gothic"/>
          <w:spacing w:val="14"/>
          <w:w w:val="80"/>
        </w:rPr>
        <w:t xml:space="preserve">、 </w:t>
      </w:r>
      <w:r>
        <w:rPr>
          <w:spacing w:val="3"/>
          <w:w w:val="110"/>
        </w:rPr>
        <w:t>被碰撞或者翻沉</w:t>
      </w:r>
      <w:r>
        <w:rPr>
          <w:rFonts w:hint="eastAsia" w:ascii="MS UI Gothic" w:eastAsia="MS UI Gothic"/>
          <w:spacing w:val="-38"/>
          <w:w w:val="150"/>
        </w:rPr>
        <w:t xml:space="preserve">) </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spacing w:val="-28"/>
          <w:w w:val="110"/>
        </w:rPr>
        <w:t xml:space="preserve">( </w:t>
      </w:r>
      <w:r>
        <w:rPr>
          <w:spacing w:val="3"/>
          <w:w w:val="110"/>
        </w:rPr>
        <w:t>四</w:t>
      </w:r>
      <w:r>
        <w:rPr>
          <w:rFonts w:hint="eastAsia" w:ascii="MS UI Gothic" w:eastAsia="MS UI Gothic"/>
          <w:spacing w:val="5"/>
          <w:w w:val="110"/>
        </w:rPr>
        <w:t xml:space="preserve">) </w:t>
      </w:r>
      <w:r>
        <w:rPr>
          <w:spacing w:val="3"/>
          <w:w w:val="110"/>
        </w:rPr>
        <w:t>飞机事故</w:t>
      </w:r>
      <w:r>
        <w:rPr>
          <w:rFonts w:hint="eastAsia" w:ascii="MS UI Gothic" w:eastAsia="MS UI Gothic"/>
          <w:w w:val="80"/>
        </w:rPr>
        <w:t>ꎻ</w:t>
      </w:r>
    </w:p>
    <w:p>
      <w:pPr>
        <w:pStyle w:val="6"/>
        <w:spacing w:before="4" w:line="310" w:lineRule="atLeast"/>
        <w:ind w:right="38"/>
        <w:jc w:val="left"/>
        <w:rPr>
          <w:rFonts w:hint="eastAsia" w:ascii="MS UI Gothic" w:eastAsia="MS UI Gothic"/>
        </w:rPr>
      </w:pPr>
      <w:r>
        <w:rPr>
          <w:rFonts w:hint="eastAsia" w:ascii="MS UI Gothic" w:eastAsia="MS UI Gothic"/>
          <w:spacing w:val="-39"/>
          <w:w w:val="150"/>
        </w:rPr>
        <w:t xml:space="preserve">( </w:t>
      </w:r>
      <w:r>
        <w:rPr>
          <w:spacing w:val="7"/>
          <w:w w:val="110"/>
        </w:rPr>
        <w:t>五</w:t>
      </w:r>
      <w:r>
        <w:rPr>
          <w:rFonts w:hint="eastAsia" w:ascii="MS UI Gothic" w:eastAsia="MS UI Gothic"/>
          <w:spacing w:val="1"/>
          <w:w w:val="150"/>
        </w:rPr>
        <w:t xml:space="preserve">) </w:t>
      </w:r>
      <w:r>
        <w:rPr>
          <w:spacing w:val="5"/>
          <w:w w:val="110"/>
        </w:rPr>
        <w:t xml:space="preserve">船舶海损 </w:t>
      </w:r>
      <w:r>
        <w:rPr>
          <w:rFonts w:hint="eastAsia" w:ascii="MS UI Gothic" w:eastAsia="MS UI Gothic"/>
          <w:spacing w:val="-35"/>
          <w:w w:val="150"/>
        </w:rPr>
        <w:t xml:space="preserve">( </w:t>
      </w:r>
      <w:r>
        <w:rPr>
          <w:spacing w:val="15"/>
          <w:w w:val="110"/>
        </w:rPr>
        <w:t>包括碰撞</w:t>
      </w:r>
      <w:r>
        <w:rPr>
          <w:rFonts w:hint="eastAsia" w:ascii="MS UI Gothic" w:eastAsia="MS UI Gothic"/>
          <w:spacing w:val="16"/>
          <w:w w:val="80"/>
        </w:rPr>
        <w:t xml:space="preserve">、 </w:t>
      </w:r>
      <w:r>
        <w:rPr>
          <w:spacing w:val="11"/>
          <w:w w:val="110"/>
        </w:rPr>
        <w:t>搁浅</w:t>
      </w:r>
      <w:r>
        <w:rPr>
          <w:rFonts w:hint="eastAsia" w:ascii="MS UI Gothic" w:eastAsia="MS UI Gothic"/>
          <w:w w:val="80"/>
        </w:rPr>
        <w:t>、</w:t>
      </w:r>
      <w:r>
        <w:rPr>
          <w:spacing w:val="3"/>
          <w:w w:val="110"/>
        </w:rPr>
        <w:t>触礁</w:t>
      </w:r>
      <w:r>
        <w:rPr>
          <w:rFonts w:hint="eastAsia" w:ascii="MS UI Gothic" w:eastAsia="MS UI Gothic"/>
          <w:w w:val="80"/>
        </w:rPr>
        <w:t xml:space="preserve">、 </w:t>
      </w:r>
      <w:r>
        <w:rPr>
          <w:spacing w:val="3"/>
          <w:w w:val="110"/>
        </w:rPr>
        <w:t>翻沉</w:t>
      </w:r>
      <w:r>
        <w:rPr>
          <w:rFonts w:hint="eastAsia" w:ascii="MS UI Gothic" w:eastAsia="MS UI Gothic"/>
          <w:w w:val="80"/>
        </w:rPr>
        <w:t xml:space="preserve">、 </w:t>
      </w:r>
      <w:r>
        <w:rPr>
          <w:spacing w:val="3"/>
          <w:w w:val="110"/>
        </w:rPr>
        <w:t>断损</w:t>
      </w:r>
      <w:r>
        <w:rPr>
          <w:rFonts w:hint="eastAsia" w:ascii="MS UI Gothic" w:eastAsia="MS UI Gothic"/>
          <w:spacing w:val="-36"/>
          <w:w w:val="150"/>
        </w:rPr>
        <w:t xml:space="preserve">) </w:t>
      </w:r>
      <w:r>
        <w:rPr>
          <w:rFonts w:hint="eastAsia" w:ascii="MS UI Gothic" w:eastAsia="MS UI Gothic"/>
          <w:w w:val="80"/>
        </w:rPr>
        <w:t>ꎻ</w:t>
      </w:r>
    </w:p>
    <w:p>
      <w:pPr>
        <w:pStyle w:val="6"/>
        <w:spacing w:before="123"/>
        <w:ind w:firstLine="0"/>
        <w:jc w:val="left"/>
        <w:rPr>
          <w:rFonts w:hint="eastAsia" w:ascii="MS UI Gothic" w:eastAsia="MS UI Gothic"/>
        </w:rPr>
      </w:pPr>
      <w:r>
        <w:br w:type="column"/>
      </w:r>
      <w:r>
        <w:t>府主管部门</w:t>
      </w:r>
      <w:r>
        <w:rPr>
          <w:rFonts w:hint="eastAsia" w:ascii="MS UI Gothic" w:eastAsia="MS UI Gothic"/>
          <w:w w:val="80"/>
        </w:rPr>
        <w:t>ꎮ</w:t>
      </w:r>
    </w:p>
    <w:p>
      <w:pPr>
        <w:pStyle w:val="6"/>
        <w:spacing w:before="58" w:line="295" w:lineRule="auto"/>
        <w:ind w:right="442"/>
        <w:rPr>
          <w:rFonts w:hint="eastAsia" w:ascii="MS UI Gothic" w:eastAsia="MS UI Gothic"/>
        </w:rPr>
      </w:pPr>
      <w:r>
        <w:rPr>
          <w:w w:val="105"/>
        </w:rPr>
        <w:t>第一百零六条 海洋石油的生产安全</w:t>
      </w:r>
      <w:r>
        <w:rPr>
          <w:w w:val="110"/>
        </w:rPr>
        <w:t>事故按照下列规定进行调查</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没有人员伤亡的一般事故</w:t>
      </w:r>
      <w:r>
        <w:rPr>
          <w:rFonts w:hint="eastAsia" w:ascii="MS UI Gothic" w:eastAsia="MS UI Gothic"/>
          <w:w w:val="80"/>
        </w:rPr>
        <w:t xml:space="preserve">ꎬ </w:t>
      </w:r>
      <w:r>
        <w:rPr>
          <w:w w:val="105"/>
        </w:rPr>
        <w:t>海</w:t>
      </w:r>
      <w:r>
        <w:t>油安办有关分部可以委托作业者和承包者</w:t>
      </w:r>
      <w:r>
        <w:rPr>
          <w:w w:val="105"/>
        </w:rPr>
        <w:t>组织生产</w:t>
      </w:r>
      <w:r>
        <w:rPr>
          <w:rFonts w:hint="eastAsia" w:ascii="MS UI Gothic" w:eastAsia="MS UI Gothic"/>
          <w:w w:val="80"/>
        </w:rPr>
        <w:t xml:space="preserve">、 </w:t>
      </w:r>
      <w:r>
        <w:rPr>
          <w:w w:val="105"/>
        </w:rPr>
        <w:t>技术</w:t>
      </w:r>
      <w:r>
        <w:rPr>
          <w:rFonts w:hint="eastAsia" w:ascii="MS UI Gothic" w:eastAsia="MS UI Gothic"/>
          <w:w w:val="80"/>
        </w:rPr>
        <w:t xml:space="preserve">、 </w:t>
      </w:r>
      <w:r>
        <w:rPr>
          <w:w w:val="105"/>
        </w:rPr>
        <w:t>安全等有关人员及工会成员组成事故调查组进行调查</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造成人员伤亡的一般事故</w:t>
      </w:r>
      <w:r>
        <w:rPr>
          <w:rFonts w:hint="eastAsia" w:ascii="MS UI Gothic" w:eastAsia="MS UI Gothic"/>
          <w:w w:val="80"/>
        </w:rPr>
        <w:t xml:space="preserve">ꎬ </w:t>
      </w:r>
      <w:r>
        <w:rPr>
          <w:w w:val="105"/>
        </w:rPr>
        <w:t>由</w:t>
      </w:r>
      <w:r>
        <w:t>海油安办有关分部牵头组织有关部门及工会成立事故调查组进行调查</w:t>
      </w:r>
      <w:r>
        <w:rPr>
          <w:rFonts w:hint="eastAsia" w:ascii="MS UI Gothic" w:eastAsia="MS UI Gothic"/>
          <w:w w:val="80"/>
        </w:rPr>
        <w:t xml:space="preserve">ꎬ </w:t>
      </w:r>
      <w:r>
        <w:t>并邀请人民</w:t>
      </w:r>
      <w:r>
        <w:rPr>
          <w:w w:val="105"/>
        </w:rPr>
        <w:t>检察院派人参加</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造成较大事故</w:t>
      </w:r>
      <w:r>
        <w:rPr>
          <w:rFonts w:hint="eastAsia" w:ascii="MS UI Gothic" w:eastAsia="MS UI Gothic"/>
          <w:w w:val="80"/>
        </w:rPr>
        <w:t xml:space="preserve">ꎬ </w:t>
      </w:r>
      <w:r>
        <w:rPr>
          <w:w w:val="105"/>
        </w:rPr>
        <w:t>由海油安办牵</w:t>
      </w:r>
      <w:r>
        <w:t>头组织有关部门成立事故调查组进行调</w:t>
      </w:r>
      <w:r>
        <w:rPr>
          <w:w w:val="105"/>
        </w:rPr>
        <w:t>查</w:t>
      </w:r>
      <w:r>
        <w:rPr>
          <w:rFonts w:hint="eastAsia" w:ascii="MS UI Gothic" w:eastAsia="MS UI Gothic"/>
          <w:w w:val="80"/>
        </w:rPr>
        <w:t xml:space="preserve">ꎬ </w:t>
      </w:r>
      <w:r>
        <w:rPr>
          <w:w w:val="105"/>
        </w:rPr>
        <w:t>并邀请人民检察院派人参加</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重大事故</w:t>
      </w:r>
      <w:r>
        <w:rPr>
          <w:rFonts w:hint="eastAsia" w:ascii="MS UI Gothic" w:eastAsia="MS UI Gothic"/>
          <w:w w:val="80"/>
        </w:rPr>
        <w:t xml:space="preserve">ꎬ </w:t>
      </w:r>
      <w:r>
        <w:rPr>
          <w:w w:val="105"/>
        </w:rPr>
        <w:t>由国家安全生产监</w:t>
      </w:r>
      <w:r>
        <w:t>督管理总局牵头组织有关部门成立事故调查组进行调查</w:t>
      </w:r>
      <w:r>
        <w:rPr>
          <w:rFonts w:hint="eastAsia" w:ascii="MS UI Gothic" w:eastAsia="MS UI Gothic"/>
          <w:w w:val="80"/>
        </w:rPr>
        <w:t xml:space="preserve">ꎬ </w:t>
      </w:r>
      <w:r>
        <w:t>并邀请人民检察院派人</w:t>
      </w:r>
      <w:r>
        <w:rPr>
          <w:w w:val="105"/>
        </w:rPr>
        <w:t>参加</w:t>
      </w:r>
      <w:r>
        <w:rPr>
          <w:rFonts w:hint="eastAsia" w:ascii="MS UI Gothic" w:eastAsia="MS UI Gothic"/>
          <w:w w:val="80"/>
        </w:rPr>
        <w:t>ꎻ</w:t>
      </w:r>
    </w:p>
    <w:p>
      <w:pPr>
        <w:pStyle w:val="6"/>
        <w:spacing w:line="253" w:lineRule="exact"/>
        <w:ind w:left="543" w:firstLine="0"/>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特别重大事故</w:t>
      </w:r>
      <w:r>
        <w:rPr>
          <w:rFonts w:hint="eastAsia" w:ascii="MS UI Gothic" w:eastAsia="MS UI Gothic"/>
          <w:w w:val="80"/>
        </w:rPr>
        <w:t xml:space="preserve">ꎬ </w:t>
      </w:r>
      <w:r>
        <w:rPr>
          <w:w w:val="110"/>
        </w:rPr>
        <w:t>按照国务院有</w:t>
      </w:r>
    </w:p>
    <w:p>
      <w:pPr>
        <w:pStyle w:val="6"/>
        <w:spacing w:before="48" w:line="240" w:lineRule="exact"/>
        <w:ind w:firstLine="0"/>
        <w:jc w:val="left"/>
        <w:rPr>
          <w:rFonts w:hint="eastAsia" w:ascii="MS UI Gothic" w:eastAsia="MS UI Gothic"/>
        </w:rPr>
      </w:pPr>
      <w:r>
        <w:t>关规定执行</w:t>
      </w:r>
      <w:r>
        <w:rPr>
          <w:rFonts w:hint="eastAsia" w:ascii="MS UI Gothic" w:eastAsia="MS UI Gothic"/>
          <w:w w:val="80"/>
        </w:rPr>
        <w:t>ꎮ</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63" w:line="295" w:lineRule="auto"/>
        <w:ind w:right="38"/>
        <w:rPr>
          <w:rFonts w:hint="eastAsia" w:ascii="MS UI Gothic" w:eastAsia="MS UI Gothic"/>
        </w:rPr>
      </w:pPr>
      <w:r>
        <w:rPr>
          <w:rFonts w:hint="eastAsia" w:ascii="MS UI Gothic" w:eastAsia="MS UI Gothic"/>
          <w:spacing w:val="19"/>
          <w:w w:val="150"/>
        </w:rPr>
        <w:t>(</w:t>
      </w:r>
      <w:r>
        <w:rPr>
          <w:spacing w:val="3"/>
          <w:w w:val="110"/>
        </w:rPr>
        <w:t>六</w:t>
      </w:r>
      <w:r>
        <w:rPr>
          <w:rFonts w:hint="eastAsia" w:ascii="MS UI Gothic" w:eastAsia="MS UI Gothic"/>
          <w:spacing w:val="-3"/>
          <w:w w:val="150"/>
        </w:rPr>
        <w:t xml:space="preserve">) </w:t>
      </w:r>
      <w:r>
        <w:rPr>
          <w:spacing w:val="-19"/>
          <w:w w:val="110"/>
        </w:rPr>
        <w:t xml:space="preserve">油 </w:t>
      </w:r>
      <w:r>
        <w:rPr>
          <w:rFonts w:hint="eastAsia" w:ascii="MS UI Gothic" w:eastAsia="MS UI Gothic"/>
          <w:spacing w:val="-39"/>
          <w:w w:val="150"/>
        </w:rPr>
        <w:t xml:space="preserve">( </w:t>
      </w:r>
      <w:r>
        <w:rPr>
          <w:spacing w:val="3"/>
          <w:w w:val="110"/>
        </w:rPr>
        <w:t>气</w:t>
      </w:r>
      <w:r>
        <w:rPr>
          <w:rFonts w:hint="eastAsia" w:ascii="MS UI Gothic" w:eastAsia="MS UI Gothic"/>
          <w:spacing w:val="-3"/>
          <w:w w:val="150"/>
        </w:rPr>
        <w:t xml:space="preserve">) </w:t>
      </w:r>
      <w:r>
        <w:rPr>
          <w:spacing w:val="4"/>
          <w:w w:val="110"/>
        </w:rPr>
        <w:t xml:space="preserve">生产设施与管线破损 </w:t>
      </w:r>
      <w:r>
        <w:rPr>
          <w:rFonts w:hint="eastAsia" w:ascii="MS UI Gothic" w:eastAsia="MS UI Gothic"/>
          <w:spacing w:val="-21"/>
          <w:w w:val="105"/>
        </w:rPr>
        <w:t xml:space="preserve">( </w:t>
      </w:r>
      <w:r>
        <w:rPr>
          <w:spacing w:val="3"/>
          <w:w w:val="105"/>
        </w:rPr>
        <w:t>包括单点系泊</w:t>
      </w:r>
      <w:r>
        <w:rPr>
          <w:rFonts w:hint="eastAsia" w:ascii="MS UI Gothic" w:eastAsia="MS UI Gothic"/>
          <w:w w:val="80"/>
        </w:rPr>
        <w:t xml:space="preserve">、 </w:t>
      </w:r>
      <w:r>
        <w:rPr>
          <w:spacing w:val="10"/>
          <w:w w:val="105"/>
        </w:rPr>
        <w:t>电气管线</w:t>
      </w:r>
      <w:r>
        <w:rPr>
          <w:rFonts w:hint="eastAsia" w:ascii="MS UI Gothic" w:eastAsia="MS UI Gothic"/>
          <w:w w:val="80"/>
        </w:rPr>
        <w:t xml:space="preserve">、 </w:t>
      </w:r>
      <w:r>
        <w:rPr>
          <w:spacing w:val="10"/>
          <w:w w:val="105"/>
        </w:rPr>
        <w:t>海底油气管</w:t>
      </w:r>
      <w:r>
        <w:rPr>
          <w:spacing w:val="3"/>
          <w:w w:val="110"/>
        </w:rPr>
        <w:t>线等的破损</w:t>
      </w:r>
      <w:r>
        <w:rPr>
          <w:rFonts w:hint="eastAsia" w:ascii="MS UI Gothic" w:eastAsia="MS UI Gothic"/>
          <w:spacing w:val="22"/>
          <w:w w:val="80"/>
        </w:rPr>
        <w:t xml:space="preserve">、 </w:t>
      </w:r>
      <w:r>
        <w:rPr>
          <w:spacing w:val="3"/>
          <w:w w:val="110"/>
        </w:rPr>
        <w:t>泄漏</w:t>
      </w:r>
      <w:r>
        <w:rPr>
          <w:rFonts w:hint="eastAsia" w:ascii="MS UI Gothic" w:eastAsia="MS UI Gothic"/>
          <w:spacing w:val="22"/>
          <w:w w:val="80"/>
        </w:rPr>
        <w:t xml:space="preserve">、 </w:t>
      </w:r>
      <w:r>
        <w:rPr>
          <w:spacing w:val="3"/>
          <w:w w:val="110"/>
        </w:rPr>
        <w:t>断裂</w:t>
      </w:r>
      <w:r>
        <w:rPr>
          <w:rFonts w:hint="eastAsia" w:ascii="MS UI Gothic" w:eastAsia="MS UI Gothic"/>
          <w:spacing w:val="-37"/>
          <w:w w:val="150"/>
        </w:rPr>
        <w:t xml:space="preserve">) </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有毒有害物品和气体泄漏或者</w:t>
      </w:r>
      <w:r>
        <w:rPr>
          <w:w w:val="110"/>
        </w:rPr>
        <w:t>遗散</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5"/>
        </w:rPr>
        <w:t>八</w:t>
      </w:r>
      <w:r>
        <w:rPr>
          <w:rFonts w:hint="eastAsia" w:ascii="MS UI Gothic" w:eastAsia="MS UI Gothic"/>
          <w:w w:val="150"/>
        </w:rPr>
        <w:t xml:space="preserve">) </w:t>
      </w:r>
      <w:r>
        <w:rPr>
          <w:w w:val="115"/>
        </w:rPr>
        <w:t>急性中毒</w:t>
      </w:r>
      <w:r>
        <w:rPr>
          <w:rFonts w:hint="eastAsia" w:ascii="MS UI Gothic" w:eastAsia="MS UI Gothic"/>
          <w:w w:val="80"/>
        </w:rPr>
        <w:t>ꎻ</w:t>
      </w:r>
    </w:p>
    <w:p>
      <w:pPr>
        <w:pStyle w:val="6"/>
        <w:spacing w:before="55" w:line="240" w:lineRule="exact"/>
        <w:ind w:left="543" w:firstLine="0"/>
        <w:rPr>
          <w:rFonts w:hint="eastAsia" w:ascii="MS UI Gothic" w:eastAsia="MS UI Gothic"/>
        </w:rPr>
      </w:pPr>
      <w:r>
        <w:rPr>
          <w:rFonts w:hint="eastAsia" w:ascii="MS UI Gothic" w:eastAsia="MS UI Gothic"/>
          <w:w w:val="150"/>
        </w:rPr>
        <w:t xml:space="preserve">( </w:t>
      </w:r>
      <w:r>
        <w:rPr>
          <w:w w:val="110"/>
        </w:rPr>
        <w:t>九</w:t>
      </w:r>
      <w:r>
        <w:rPr>
          <w:rFonts w:hint="eastAsia" w:ascii="MS UI Gothic" w:eastAsia="MS UI Gothic"/>
          <w:w w:val="150"/>
        </w:rPr>
        <w:t xml:space="preserve">) </w:t>
      </w:r>
      <w:r>
        <w:rPr>
          <w:w w:val="110"/>
        </w:rPr>
        <w:t>潜水作业事故</w:t>
      </w:r>
      <w:r>
        <w:rPr>
          <w:rFonts w:hint="eastAsia" w:ascii="MS UI Gothic" w:eastAsia="MS UI Gothic"/>
          <w:w w:val="80"/>
        </w:rPr>
        <w:t>ꎻ</w:t>
      </w:r>
    </w:p>
    <w:p>
      <w:pPr>
        <w:pStyle w:val="6"/>
        <w:spacing w:before="63" w:line="295" w:lineRule="auto"/>
        <w:ind w:right="442"/>
        <w:rPr>
          <w:rFonts w:hint="eastAsia" w:ascii="MS UI Gothic" w:eastAsia="MS UI Gothic"/>
        </w:rPr>
      </w:pPr>
      <w:r>
        <w:br w:type="column"/>
      </w:r>
      <w:r>
        <w:t>飞机失事</w:t>
      </w:r>
      <w:r>
        <w:rPr>
          <w:rFonts w:hint="eastAsia" w:ascii="MS UI Gothic" w:eastAsia="MS UI Gothic"/>
          <w:w w:val="80"/>
        </w:rPr>
        <w:t xml:space="preserve">、 </w:t>
      </w:r>
      <w:r>
        <w:t>船舶海损</w:t>
      </w:r>
      <w:r>
        <w:rPr>
          <w:rFonts w:hint="eastAsia" w:ascii="MS UI Gothic" w:eastAsia="MS UI Gothic"/>
          <w:w w:val="80"/>
        </w:rPr>
        <w:t xml:space="preserve">、 </w:t>
      </w:r>
      <w:r>
        <w:t>放射性物品遗散和大型溢油等海洋石油生产安全事故依法由民航</w:t>
      </w:r>
      <w:r>
        <w:rPr>
          <w:rFonts w:hint="eastAsia" w:ascii="MS UI Gothic" w:eastAsia="MS UI Gothic"/>
          <w:w w:val="80"/>
        </w:rPr>
        <w:t xml:space="preserve">、 </w:t>
      </w:r>
      <w:r>
        <w:t>海事</w:t>
      </w:r>
      <w:r>
        <w:rPr>
          <w:rFonts w:hint="eastAsia" w:ascii="MS UI Gothic" w:eastAsia="MS UI Gothic"/>
          <w:w w:val="80"/>
        </w:rPr>
        <w:t xml:space="preserve">、 </w:t>
      </w:r>
      <w:r>
        <w:t>环保等有关部门组织调查处理</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第一百零七条 海洋石油的生产安全</w:t>
      </w:r>
      <w:r>
        <w:rPr>
          <w:w w:val="110"/>
        </w:rPr>
        <w:t>事故调查报告按照下列规定批复</w:t>
      </w:r>
      <w:r>
        <w:rPr>
          <w:rFonts w:hint="eastAsia" w:ascii="MS UI Gothic" w:eastAsia="MS UI Gothic"/>
          <w:w w:val="235"/>
        </w:rPr>
        <w:t>:</w:t>
      </w:r>
    </w:p>
    <w:p>
      <w:pPr>
        <w:pStyle w:val="6"/>
        <w:spacing w:line="238" w:lineRule="exact"/>
        <w:ind w:left="543" w:firstLine="0"/>
        <w:jc w:val="left"/>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一般事故的调查报告</w:t>
      </w:r>
      <w:r>
        <w:rPr>
          <w:rFonts w:hint="eastAsia" w:ascii="MS UI Gothic" w:eastAsia="MS UI Gothic"/>
          <w:w w:val="80"/>
        </w:rPr>
        <w:t xml:space="preserve">ꎬ </w:t>
      </w:r>
      <w:r>
        <w:rPr>
          <w:w w:val="110"/>
        </w:rPr>
        <w:t>在征得</w:t>
      </w:r>
    </w:p>
    <w:p>
      <w:pPr>
        <w:spacing w:after="0" w:line="238" w:lineRule="exact"/>
        <w:jc w:val="left"/>
        <w:sectPr>
          <w:type w:val="continuous"/>
          <w:pgSz w:w="10500" w:h="14750"/>
          <w:pgMar w:top="1400" w:right="980" w:bottom="280" w:left="980" w:header="720" w:footer="720" w:gutter="0"/>
          <w:cols w:equalWidth="0" w:num="2">
            <w:col w:w="3934" w:space="258"/>
            <w:col w:w="4348"/>
          </w:cols>
        </w:sectPr>
      </w:pPr>
    </w:p>
    <w:p>
      <w:pPr>
        <w:pStyle w:val="6"/>
        <w:spacing w:before="385"/>
        <w:ind w:left="118" w:firstLine="0"/>
        <w:jc w:val="left"/>
        <w:rPr>
          <w:rFonts w:hint="eastAsia" w:ascii="MS UI Gothic" w:eastAsia="MS UI Gothic"/>
        </w:rPr>
      </w:pPr>
      <w:r>
        <w:rPr>
          <w:rFonts w:hint="eastAsia" w:ascii="MS UI Gothic" w:eastAsia="MS UI Gothic"/>
          <w:w w:val="75"/>
        </w:rPr>
        <w:t>１００</w:t>
      </w:r>
    </w:p>
    <w:p>
      <w:pPr>
        <w:pStyle w:val="6"/>
        <w:spacing w:before="71" w:line="295" w:lineRule="auto"/>
        <w:ind w:left="18" w:right="38" w:firstLine="58"/>
        <w:jc w:val="left"/>
        <w:rPr>
          <w:rFonts w:hint="eastAsia" w:ascii="MS UI Gothic" w:eastAsia="MS UI Gothic"/>
        </w:rPr>
      </w:pPr>
      <w:r>
        <w:br w:type="column"/>
      </w:r>
      <w:r>
        <w:rPr>
          <w:rFonts w:hint="eastAsia" w:ascii="MS UI Gothic" w:eastAsia="MS UI Gothic"/>
          <w:spacing w:val="-36"/>
          <w:w w:val="130"/>
        </w:rPr>
        <w:t xml:space="preserve">( </w:t>
      </w:r>
      <w:r>
        <w:rPr>
          <w:spacing w:val="15"/>
          <w:w w:val="115"/>
        </w:rPr>
        <w:t>十</w:t>
      </w:r>
      <w:r>
        <w:rPr>
          <w:rFonts w:hint="eastAsia" w:ascii="MS UI Gothic" w:eastAsia="MS UI Gothic"/>
          <w:spacing w:val="-15"/>
          <w:w w:val="130"/>
        </w:rPr>
        <w:t xml:space="preserve">) </w:t>
      </w:r>
      <w:r>
        <w:rPr>
          <w:spacing w:val="6"/>
          <w:w w:val="115"/>
        </w:rPr>
        <w:t xml:space="preserve">大型溢油事故 </w:t>
      </w:r>
      <w:r>
        <w:rPr>
          <w:rFonts w:hint="eastAsia" w:ascii="MS UI Gothic" w:eastAsia="MS UI Gothic"/>
          <w:spacing w:val="-33"/>
          <w:w w:val="130"/>
        </w:rPr>
        <w:t xml:space="preserve">( </w:t>
      </w:r>
      <w:r>
        <w:rPr>
          <w:spacing w:val="19"/>
          <w:w w:val="115"/>
        </w:rPr>
        <w:t>溢油量大于</w:t>
      </w:r>
      <w:r>
        <w:rPr>
          <w:spacing w:val="3"/>
          <w:w w:val="115"/>
        </w:rPr>
        <w:t>吨</w:t>
      </w:r>
      <w:r>
        <w:rPr>
          <w:rFonts w:hint="eastAsia" w:ascii="MS UI Gothic" w:eastAsia="MS UI Gothic"/>
          <w:spacing w:val="-36"/>
          <w:w w:val="150"/>
        </w:rPr>
        <w:t xml:space="preserve">) </w:t>
      </w:r>
      <w:r>
        <w:rPr>
          <w:rFonts w:hint="eastAsia" w:ascii="MS UI Gothic" w:eastAsia="MS UI Gothic"/>
          <w:w w:val="80"/>
        </w:rPr>
        <w:t>ꎻ</w:t>
      </w:r>
    </w:p>
    <w:p>
      <w:pPr>
        <w:pStyle w:val="6"/>
        <w:spacing w:line="238" w:lineRule="exact"/>
        <w:ind w:left="76" w:firstLine="0"/>
        <w:jc w:val="left"/>
      </w:pPr>
      <w:r>
        <w:rPr>
          <w:rFonts w:hint="eastAsia" w:ascii="MS UI Gothic" w:eastAsia="MS UI Gothic"/>
          <w:w w:val="110"/>
        </w:rPr>
        <w:t xml:space="preserve">( </w:t>
      </w:r>
      <w:r>
        <w:rPr>
          <w:w w:val="110"/>
        </w:rPr>
        <w:t>十一</w:t>
      </w:r>
      <w:r>
        <w:rPr>
          <w:rFonts w:hint="eastAsia" w:ascii="MS UI Gothic" w:eastAsia="MS UI Gothic"/>
          <w:w w:val="110"/>
        </w:rPr>
        <w:t xml:space="preserve">) </w:t>
      </w:r>
      <w:r>
        <w:rPr>
          <w:w w:val="110"/>
        </w:rPr>
        <w:t>其他造成人员伤亡或者直接</w:t>
      </w:r>
    </w:p>
    <w:p>
      <w:pPr>
        <w:pStyle w:val="6"/>
        <w:spacing w:before="71" w:line="295" w:lineRule="auto"/>
        <w:ind w:left="118" w:right="442" w:firstLine="0"/>
        <w:jc w:val="left"/>
        <w:rPr>
          <w:rFonts w:hint="eastAsia" w:ascii="MS UI Gothic" w:eastAsia="MS UI Gothic"/>
        </w:rPr>
      </w:pPr>
      <w:r>
        <w:br w:type="column"/>
      </w:r>
      <w:r>
        <w:t>海油安办同意后</w:t>
      </w:r>
      <w:r>
        <w:rPr>
          <w:rFonts w:hint="eastAsia" w:ascii="MS UI Gothic" w:eastAsia="MS UI Gothic"/>
          <w:w w:val="80"/>
        </w:rPr>
        <w:t xml:space="preserve">ꎬ </w:t>
      </w:r>
      <w:r>
        <w:t>由海油安办有关分部批复</w:t>
      </w:r>
      <w:r>
        <w:rPr>
          <w:rFonts w:hint="eastAsia" w:ascii="MS UI Gothic" w:eastAsia="MS UI Gothic"/>
          <w:w w:val="80"/>
        </w:rPr>
        <w:t>ꎻ</w:t>
      </w:r>
    </w:p>
    <w:p>
      <w:pPr>
        <w:pStyle w:val="6"/>
        <w:spacing w:line="238" w:lineRule="exact"/>
        <w:ind w:left="538" w:firstLine="0"/>
        <w:jc w:val="left"/>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较大</w:t>
      </w:r>
      <w:r>
        <w:rPr>
          <w:rFonts w:hint="eastAsia" w:ascii="MS UI Gothic" w:eastAsia="MS UI Gothic"/>
        </w:rPr>
        <w:t xml:space="preserve">、 </w:t>
      </w:r>
      <w:r>
        <w:rPr>
          <w:w w:val="110"/>
        </w:rPr>
        <w:t>重大事故的调查报告由</w:t>
      </w:r>
    </w:p>
    <w:p>
      <w:pPr>
        <w:spacing w:after="0" w:line="238" w:lineRule="exact"/>
        <w:jc w:val="left"/>
        <w:sectPr>
          <w:type w:val="continuous"/>
          <w:pgSz w:w="10500" w:h="14750"/>
          <w:pgMar w:top="1400" w:right="980" w:bottom="280" w:left="980" w:header="720" w:footer="720" w:gutter="0"/>
          <w:cols w:equalWidth="0" w:num="3">
            <w:col w:w="428" w:space="40"/>
            <w:col w:w="3467" w:space="263"/>
            <w:col w:w="4342"/>
          </w:cols>
        </w:sectPr>
      </w:pPr>
    </w:p>
    <w:p>
      <w:pPr>
        <w:pStyle w:val="6"/>
        <w:spacing w:before="74"/>
        <w:ind w:firstLine="0"/>
        <w:jc w:val="left"/>
        <w:rPr>
          <w:rFonts w:hint="eastAsia" w:ascii="MS UI Gothic" w:eastAsia="MS UI Gothic"/>
        </w:rPr>
      </w:pPr>
      <w:r>
        <w:t>经济损失的事故</w:t>
      </w:r>
      <w:r>
        <w:rPr>
          <w:rFonts w:hint="eastAsia" w:ascii="MS UI Gothic" w:eastAsia="MS UI Gothic"/>
          <w:w w:val="80"/>
        </w:rPr>
        <w:t>ꎮ</w:t>
      </w:r>
    </w:p>
    <w:p>
      <w:pPr>
        <w:pStyle w:val="6"/>
        <w:spacing w:before="58" w:line="295" w:lineRule="auto"/>
        <w:ind w:right="38"/>
        <w:rPr>
          <w:rFonts w:hint="eastAsia" w:ascii="MS UI Gothic" w:eastAsia="MS UI Gothic"/>
        </w:rPr>
      </w:pPr>
      <w:r>
        <w:t>第一百零五条 海油安办有关分部的地区监督处接到事故报告后</w:t>
      </w:r>
      <w:r>
        <w:rPr>
          <w:rFonts w:hint="eastAsia" w:ascii="MS UI Gothic" w:eastAsia="MS UI Gothic"/>
          <w:w w:val="80"/>
        </w:rPr>
        <w:t xml:space="preserve">ꎬ </w:t>
      </w:r>
      <w:r>
        <w:t>应当立即上报海油安办有关分部</w:t>
      </w:r>
      <w:r>
        <w:rPr>
          <w:rFonts w:hint="eastAsia" w:ascii="MS UI Gothic" w:eastAsia="MS UI Gothic"/>
          <w:w w:val="80"/>
        </w:rPr>
        <w:t xml:space="preserve">ꎮ </w:t>
      </w:r>
      <w:r>
        <w:t>海油安办有关分部接到较大事故及以上的事故报告后</w:t>
      </w:r>
      <w:r>
        <w:rPr>
          <w:rFonts w:hint="eastAsia" w:ascii="MS UI Gothic" w:eastAsia="MS UI Gothic"/>
          <w:w w:val="80"/>
        </w:rPr>
        <w:t xml:space="preserve">ꎬ </w:t>
      </w:r>
      <w:r>
        <w:t xml:space="preserve">应当在 </w:t>
      </w:r>
      <w:r>
        <w:rPr>
          <w:rFonts w:hint="eastAsia" w:ascii="MS UI Gothic" w:eastAsia="MS UI Gothic"/>
          <w:w w:val="80"/>
        </w:rPr>
        <w:t xml:space="preserve">１ </w:t>
      </w:r>
      <w:r>
        <w:t>小时内上报国家安全生产监督管理总局</w:t>
      </w:r>
      <w:r>
        <w:rPr>
          <w:rFonts w:hint="eastAsia" w:ascii="MS UI Gothic" w:eastAsia="MS UI Gothic"/>
          <w:w w:val="80"/>
        </w:rPr>
        <w:t>ꎮ</w:t>
      </w:r>
    </w:p>
    <w:p>
      <w:pPr>
        <w:pStyle w:val="6"/>
        <w:spacing w:line="295" w:lineRule="auto"/>
        <w:ind w:right="38"/>
      </w:pPr>
      <w:r>
        <w:t>飞机事故</w:t>
      </w:r>
      <w:r>
        <w:rPr>
          <w:rFonts w:hint="eastAsia" w:ascii="MS UI Gothic" w:eastAsia="MS UI Gothic"/>
          <w:w w:val="80"/>
        </w:rPr>
        <w:t xml:space="preserve">、 </w:t>
      </w:r>
      <w:r>
        <w:t>船舶海损</w:t>
      </w:r>
      <w:r>
        <w:rPr>
          <w:rFonts w:hint="eastAsia" w:ascii="MS UI Gothic" w:eastAsia="MS UI Gothic"/>
          <w:w w:val="80"/>
        </w:rPr>
        <w:t xml:space="preserve">、 </w:t>
      </w:r>
      <w:r>
        <w:t>大型溢油除报告海油安办外</w:t>
      </w:r>
      <w:r>
        <w:rPr>
          <w:rFonts w:hint="eastAsia" w:ascii="MS UI Gothic" w:eastAsia="MS UI Gothic"/>
          <w:w w:val="80"/>
        </w:rPr>
        <w:t xml:space="preserve">ꎬ </w:t>
      </w:r>
      <w:r>
        <w:t>还应当按规定报告有关政</w:t>
      </w:r>
    </w:p>
    <w:p>
      <w:pPr>
        <w:pStyle w:val="6"/>
        <w:spacing w:before="74"/>
        <w:ind w:firstLine="0"/>
        <w:jc w:val="left"/>
        <w:rPr>
          <w:rFonts w:hint="eastAsia" w:ascii="MS UI Gothic" w:eastAsia="MS UI Gothic"/>
        </w:rPr>
      </w:pPr>
      <w:r>
        <w:br w:type="column"/>
      </w:r>
      <w:r>
        <w:t>国家安全生产监督管理总局批复</w:t>
      </w:r>
      <w:r>
        <w:rPr>
          <w:rFonts w:hint="eastAsia" w:ascii="MS UI Gothic" w:eastAsia="MS UI Gothic"/>
          <w:w w:val="80"/>
        </w:rPr>
        <w:t>ꎻ</w:t>
      </w:r>
    </w:p>
    <w:p>
      <w:pPr>
        <w:pStyle w:val="6"/>
        <w:spacing w:before="58" w:line="295" w:lineRule="auto"/>
        <w:ind w:right="442"/>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特别重大事故调查报告的批复</w:t>
      </w:r>
      <w:r>
        <w:rPr>
          <w:w w:val="110"/>
        </w:rPr>
        <w:t>按照国务院有关规定执行</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第一百零八条 作业者和承包者应当</w:t>
      </w:r>
      <w:r>
        <w:t>按照事故调查报告的批复</w:t>
      </w:r>
      <w:r>
        <w:rPr>
          <w:rFonts w:hint="eastAsia" w:ascii="MS UI Gothic" w:eastAsia="MS UI Gothic"/>
          <w:w w:val="80"/>
        </w:rPr>
        <w:t xml:space="preserve">ꎬ </w:t>
      </w:r>
      <w:r>
        <w:t>对负有责任的</w:t>
      </w:r>
      <w:r>
        <w:rPr>
          <w:w w:val="105"/>
        </w:rPr>
        <w:t>人员进行处理</w:t>
      </w:r>
      <w:r>
        <w:rPr>
          <w:rFonts w:hint="eastAsia" w:ascii="MS UI Gothic" w:eastAsia="MS UI Gothic"/>
          <w:w w:val="80"/>
        </w:rPr>
        <w:t>ꎮ</w:t>
      </w:r>
    </w:p>
    <w:p>
      <w:pPr>
        <w:pStyle w:val="6"/>
        <w:spacing w:line="295" w:lineRule="auto"/>
        <w:ind w:right="442"/>
        <w:rPr>
          <w:rFonts w:hint="eastAsia" w:ascii="MS UI Gothic" w:eastAsia="MS UI Gothic"/>
        </w:rPr>
      </w:pPr>
      <w:r>
        <w:t>事故发生单位应当认真吸取事故教训</w:t>
      </w:r>
      <w:r>
        <w:rPr>
          <w:rFonts w:hint="eastAsia" w:ascii="MS UI Gothic" w:eastAsia="MS UI Gothic"/>
          <w:w w:val="80"/>
        </w:rPr>
        <w:t xml:space="preserve">ꎬ </w:t>
      </w:r>
      <w:r>
        <w:t>落实防范和整改措施</w:t>
      </w:r>
      <w:r>
        <w:rPr>
          <w:rFonts w:hint="eastAsia" w:ascii="MS UI Gothic" w:eastAsia="MS UI Gothic"/>
          <w:w w:val="80"/>
        </w:rPr>
        <w:t xml:space="preserve">ꎬ </w:t>
      </w:r>
      <w:r>
        <w:t>防止事故再次发生</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２０１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28" o:spid="_x0000_s1628" o:spt="203" style="height:2.15pt;width:398.25pt;" coordsize="7965,43">
            <o:lock v:ext="edit"/>
            <v:line id="_x0000_s1629" o:spid="_x0000_s1629" o:spt="20" style="position:absolute;left:0;top:39;height:0;width:7965;" stroked="t" coordsize="21600,21600">
              <v:path arrowok="t"/>
              <v:fill focussize="0,0"/>
              <v:stroke weight="0.388031496062992pt" color="#231F20"/>
              <v:imagedata o:title=""/>
              <o:lock v:ext="edit"/>
            </v:line>
            <v:line id="_x0000_s1630" o:spid="_x0000_s16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
        <w:ind w:left="0" w:firstLine="0"/>
        <w:jc w:val="left"/>
        <w:rPr>
          <w:rFonts w:ascii="MS UI Gothic"/>
          <w:sz w:val="21"/>
        </w:rPr>
      </w:pPr>
    </w:p>
    <w:p>
      <w:pPr>
        <w:pStyle w:val="6"/>
        <w:tabs>
          <w:tab w:val="left" w:pos="2222"/>
        </w:tabs>
        <w:ind w:left="1384" w:firstLine="0"/>
        <w:jc w:val="left"/>
      </w:pPr>
      <w:r>
        <w:rPr>
          <w:spacing w:val="3"/>
          <w:w w:val="105"/>
        </w:rPr>
        <w:t>第七</w:t>
      </w:r>
      <w:r>
        <w:rPr>
          <w:w w:val="105"/>
        </w:rPr>
        <w:t>章</w:t>
      </w:r>
      <w:r>
        <w:rPr>
          <w:w w:val="105"/>
        </w:rPr>
        <w:tab/>
      </w:r>
      <w:r>
        <w:rPr>
          <w:w w:val="105"/>
        </w:rPr>
        <w:t>监</w:t>
      </w:r>
      <w:r>
        <w:rPr>
          <w:spacing w:val="-34"/>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left="440"/>
        <w:rPr>
          <w:rFonts w:hint="eastAsia" w:ascii="MS UI Gothic" w:eastAsia="MS UI Gothic"/>
        </w:rPr>
      </w:pPr>
      <w:r>
        <w:rPr>
          <w:w w:val="105"/>
        </w:rPr>
        <w:t>第一百零九条 海油安办及其有关分部应当按照法律</w:t>
      </w:r>
      <w:r>
        <w:rPr>
          <w:rFonts w:hint="eastAsia" w:ascii="MS UI Gothic" w:eastAsia="MS UI Gothic"/>
          <w:w w:val="80"/>
        </w:rPr>
        <w:t xml:space="preserve">、 </w:t>
      </w:r>
      <w:r>
        <w:rPr>
          <w:w w:val="105"/>
        </w:rPr>
        <w:t>行政法规</w:t>
      </w:r>
      <w:r>
        <w:rPr>
          <w:rFonts w:hint="eastAsia" w:ascii="MS UI Gothic" w:eastAsia="MS UI Gothic"/>
          <w:w w:val="80"/>
        </w:rPr>
        <w:t xml:space="preserve">、 </w:t>
      </w:r>
      <w:r>
        <w:rPr>
          <w:w w:val="105"/>
        </w:rPr>
        <w:t>规章和标准</w:t>
      </w:r>
      <w:r>
        <w:t>的规定</w:t>
      </w:r>
      <w:r>
        <w:rPr>
          <w:rFonts w:hint="eastAsia" w:ascii="MS UI Gothic" w:eastAsia="MS UI Gothic"/>
          <w:w w:val="80"/>
        </w:rPr>
        <w:t xml:space="preserve">ꎬ </w:t>
      </w:r>
      <w:r>
        <w:t>依法对海洋石油生产经营单位的</w:t>
      </w:r>
      <w:r>
        <w:rPr>
          <w:w w:val="105"/>
        </w:rPr>
        <w:t>安全生产实施监督检查</w:t>
      </w:r>
      <w:r>
        <w:rPr>
          <w:rFonts w:hint="eastAsia" w:ascii="MS UI Gothic" w:eastAsia="MS UI Gothic"/>
          <w:w w:val="80"/>
        </w:rPr>
        <w:t>ꎮ</w:t>
      </w:r>
    </w:p>
    <w:p>
      <w:pPr>
        <w:pStyle w:val="6"/>
        <w:spacing w:line="295" w:lineRule="auto"/>
        <w:ind w:left="440"/>
        <w:rPr>
          <w:rFonts w:hint="eastAsia" w:ascii="MS UI Gothic" w:eastAsia="MS UI Gothic"/>
        </w:rPr>
      </w:pPr>
      <w:r>
        <w:t>第一百一十条 海油安办有关分部应当建立生产设施</w:t>
      </w:r>
      <w:r>
        <w:rPr>
          <w:rFonts w:hint="eastAsia" w:ascii="MS UI Gothic" w:eastAsia="MS UI Gothic"/>
          <w:w w:val="85"/>
        </w:rPr>
        <w:t xml:space="preserve">、 </w:t>
      </w:r>
      <w:r>
        <w:t>作业设施的备案档案管理制度</w:t>
      </w:r>
      <w:r>
        <w:rPr>
          <w:rFonts w:hint="eastAsia" w:ascii="MS UI Gothic" w:eastAsia="MS UI Gothic"/>
          <w:w w:val="85"/>
        </w:rPr>
        <w:t xml:space="preserve">ꎬ </w:t>
      </w:r>
      <w:r>
        <w:t xml:space="preserve">并于每年 </w:t>
      </w:r>
      <w:r>
        <w:rPr>
          <w:rFonts w:hint="eastAsia" w:ascii="MS UI Gothic" w:eastAsia="MS UI Gothic"/>
          <w:w w:val="85"/>
        </w:rPr>
        <w:t xml:space="preserve">１ </w:t>
      </w:r>
      <w:r>
        <w:t xml:space="preserve">月 </w:t>
      </w:r>
      <w:r>
        <w:rPr>
          <w:rFonts w:hint="eastAsia" w:ascii="MS UI Gothic" w:eastAsia="MS UI Gothic"/>
          <w:w w:val="85"/>
        </w:rPr>
        <w:t xml:space="preserve">３１ </w:t>
      </w:r>
      <w:r>
        <w:t>日前将上一年度的备案情况报海油安办</w:t>
      </w:r>
      <w:r>
        <w:rPr>
          <w:rFonts w:hint="eastAsia" w:ascii="MS UI Gothic" w:eastAsia="MS UI Gothic"/>
          <w:w w:val="85"/>
        </w:rPr>
        <w:t xml:space="preserve">ꎮ </w:t>
      </w:r>
      <w:r>
        <w:t xml:space="preserve">备案档案应当至少保存 </w:t>
      </w:r>
      <w:r>
        <w:rPr>
          <w:rFonts w:hint="eastAsia" w:ascii="MS UI Gothic" w:eastAsia="MS UI Gothic"/>
          <w:w w:val="85"/>
        </w:rPr>
        <w:t xml:space="preserve">３ </w:t>
      </w:r>
      <w:r>
        <w:t>年</w:t>
      </w:r>
      <w:r>
        <w:rPr>
          <w:rFonts w:hint="eastAsia" w:ascii="MS UI Gothic" w:eastAsia="MS UI Gothic"/>
          <w:w w:val="85"/>
        </w:rPr>
        <w:t>ꎮ</w:t>
      </w:r>
    </w:p>
    <w:p>
      <w:pPr>
        <w:pStyle w:val="6"/>
        <w:spacing w:line="295" w:lineRule="auto"/>
        <w:ind w:left="440"/>
        <w:rPr>
          <w:rFonts w:hint="eastAsia" w:ascii="MS UI Gothic" w:eastAsia="MS UI Gothic"/>
        </w:rPr>
      </w:pPr>
      <w:r>
        <w:rPr>
          <w:w w:val="105"/>
        </w:rPr>
        <w:t>第一百一十一条 海油安办有关分部应当对安全培训机构</w:t>
      </w:r>
      <w:r>
        <w:rPr>
          <w:rFonts w:hint="eastAsia" w:ascii="MS UI Gothic" w:eastAsia="MS UI Gothic"/>
          <w:w w:val="80"/>
        </w:rPr>
        <w:t xml:space="preserve">、 </w:t>
      </w:r>
      <w:r>
        <w:rPr>
          <w:w w:val="105"/>
        </w:rPr>
        <w:t>作业者和承包者安全教育培训情况进行监督检查</w:t>
      </w:r>
      <w:r>
        <w:rPr>
          <w:rFonts w:hint="eastAsia" w:ascii="MS UI Gothic" w:eastAsia="MS UI Gothic"/>
          <w:w w:val="80"/>
        </w:rPr>
        <w:t>ꎮ</w:t>
      </w:r>
    </w:p>
    <w:p>
      <w:pPr>
        <w:pStyle w:val="6"/>
        <w:spacing w:line="295" w:lineRule="auto"/>
        <w:ind w:left="440"/>
        <w:rPr>
          <w:rFonts w:hint="eastAsia" w:ascii="MS UI Gothic" w:eastAsia="MS UI Gothic"/>
        </w:rPr>
      </w:pPr>
      <w:r>
        <w:t>第一百一十二条 海油安办及其有关分部应当按照生产安全事故的批复</w:t>
      </w:r>
      <w:r>
        <w:rPr>
          <w:rFonts w:hint="eastAsia" w:ascii="MS UI Gothic" w:eastAsia="MS UI Gothic"/>
          <w:w w:val="80"/>
        </w:rPr>
        <w:t xml:space="preserve">ꎬ </w:t>
      </w:r>
      <w:r>
        <w:t>依照有关法律</w:t>
      </w:r>
      <w:r>
        <w:rPr>
          <w:rFonts w:hint="eastAsia" w:ascii="MS UI Gothic" w:eastAsia="MS UI Gothic"/>
          <w:w w:val="80"/>
        </w:rPr>
        <w:t xml:space="preserve">、 </w:t>
      </w:r>
      <w:r>
        <w:t>行政法规和规章的规定</w:t>
      </w:r>
      <w:r>
        <w:rPr>
          <w:rFonts w:hint="eastAsia" w:ascii="MS UI Gothic" w:eastAsia="MS UI Gothic"/>
          <w:w w:val="80"/>
        </w:rPr>
        <w:t xml:space="preserve">ꎬ </w:t>
      </w:r>
      <w:r>
        <w:t>对事故发生单位和有关人员进行行政处罚</w:t>
      </w:r>
      <w:r>
        <w:rPr>
          <w:rFonts w:hint="eastAsia" w:ascii="MS UI Gothic" w:eastAsia="MS UI Gothic"/>
          <w:w w:val="80"/>
        </w:rPr>
        <w:t xml:space="preserve">ꎻ </w:t>
      </w:r>
      <w:r>
        <w:t>对负有事故责任的国家工作人员</w:t>
      </w:r>
      <w:r>
        <w:rPr>
          <w:rFonts w:hint="eastAsia" w:ascii="MS UI Gothic" w:eastAsia="MS UI Gothic"/>
          <w:w w:val="80"/>
        </w:rPr>
        <w:t xml:space="preserve">ꎬ </w:t>
      </w:r>
      <w:r>
        <w:t>按照干部管理权限交由有关单位和行政监察机关追究</w:t>
      </w:r>
      <w:r>
        <w:rPr>
          <w:rFonts w:hint="eastAsia" w:ascii="MS UI Gothic" w:eastAsia="MS UI Gothic"/>
          <w:w w:val="80"/>
        </w:rPr>
        <w:t>ꎮ</w:t>
      </w:r>
    </w:p>
    <w:p>
      <w:pPr>
        <w:pStyle w:val="6"/>
        <w:tabs>
          <w:tab w:val="left" w:pos="2327"/>
          <w:tab w:val="left" w:pos="2956"/>
        </w:tabs>
        <w:spacing w:before="143"/>
        <w:ind w:left="1488" w:firstLine="0"/>
        <w:jc w:val="left"/>
      </w:pPr>
      <w:r>
        <w:rPr>
          <w:spacing w:val="3"/>
          <w:w w:val="105"/>
        </w:rPr>
        <w:t>第八</w:t>
      </w:r>
      <w:r>
        <w:rPr>
          <w:w w:val="105"/>
        </w:rPr>
        <w:t>章</w:t>
      </w:r>
      <w:r>
        <w:rPr>
          <w:w w:val="105"/>
        </w:rPr>
        <w:tab/>
      </w:r>
      <w:r>
        <w:rPr>
          <w:w w:val="105"/>
        </w:rPr>
        <w:t>罚</w:t>
      </w:r>
      <w:r>
        <w:rPr>
          <w:w w:val="105"/>
        </w:rPr>
        <w:tab/>
      </w:r>
      <w:r>
        <w:rPr>
          <w:w w:val="105"/>
        </w:rPr>
        <w:t>则</w:t>
      </w:r>
    </w:p>
    <w:p>
      <w:pPr>
        <w:pStyle w:val="6"/>
        <w:spacing w:before="215" w:line="295" w:lineRule="auto"/>
        <w:ind w:left="440"/>
        <w:rPr>
          <w:rFonts w:hint="eastAsia" w:ascii="MS UI Gothic" w:eastAsia="MS UI Gothic"/>
        </w:rPr>
      </w:pPr>
      <w:r>
        <w:rPr>
          <w:spacing w:val="2"/>
          <w:w w:val="105"/>
        </w:rPr>
        <w:t>第一百一十三条 作业者和承包者有</w:t>
      </w:r>
      <w:r>
        <w:rPr>
          <w:spacing w:val="3"/>
          <w:w w:val="105"/>
        </w:rPr>
        <w:t>下列行为之一的</w:t>
      </w:r>
      <w:r>
        <w:rPr>
          <w:rFonts w:hint="eastAsia" w:ascii="MS UI Gothic" w:eastAsia="MS UI Gothic"/>
          <w:spacing w:val="-4"/>
          <w:w w:val="80"/>
        </w:rPr>
        <w:t xml:space="preserve">ꎬ </w:t>
      </w:r>
      <w:r>
        <w:rPr>
          <w:spacing w:val="7"/>
          <w:w w:val="105"/>
        </w:rPr>
        <w:t>给予警告</w:t>
      </w:r>
      <w:r>
        <w:rPr>
          <w:rFonts w:hint="eastAsia" w:ascii="MS UI Gothic" w:eastAsia="MS UI Gothic"/>
          <w:spacing w:val="-3"/>
          <w:w w:val="80"/>
        </w:rPr>
        <w:t xml:space="preserve">ꎬ </w:t>
      </w:r>
      <w:r>
        <w:rPr>
          <w:spacing w:val="-12"/>
          <w:w w:val="105"/>
        </w:rPr>
        <w:t xml:space="preserve">可以并处 </w:t>
      </w:r>
      <w:r>
        <w:rPr>
          <w:rFonts w:hint="eastAsia" w:ascii="MS UI Gothic" w:eastAsia="MS UI Gothic"/>
          <w:w w:val="80"/>
        </w:rPr>
        <w:t xml:space="preserve">３ </w:t>
      </w:r>
      <w:r>
        <w:rPr>
          <w:spacing w:val="3"/>
          <w:w w:val="105"/>
        </w:rPr>
        <w:t>万元以下的罚款</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9"/>
          <w:w w:val="150"/>
        </w:rPr>
        <w:t xml:space="preserve">) </w:t>
      </w:r>
      <w:r>
        <w:rPr>
          <w:spacing w:val="5"/>
          <w:w w:val="105"/>
        </w:rPr>
        <w:t>生产设施</w:t>
      </w:r>
      <w:r>
        <w:rPr>
          <w:rFonts w:hint="eastAsia" w:ascii="MS UI Gothic" w:eastAsia="MS UI Gothic"/>
          <w:spacing w:val="23"/>
          <w:w w:val="80"/>
        </w:rPr>
        <w:t xml:space="preserve">、 </w:t>
      </w:r>
      <w:r>
        <w:rPr>
          <w:spacing w:val="8"/>
          <w:w w:val="105"/>
        </w:rPr>
        <w:t>作业设施未按规定</w:t>
      </w:r>
      <w:r>
        <w:rPr>
          <w:spacing w:val="3"/>
          <w:w w:val="105"/>
        </w:rPr>
        <w:t>备案的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4"/>
          <w:w w:val="150"/>
        </w:rPr>
        <w:t xml:space="preserve">) </w:t>
      </w:r>
      <w:r>
        <w:rPr>
          <w:spacing w:val="5"/>
          <w:w w:val="105"/>
        </w:rPr>
        <w:t>未配备守护船</w:t>
      </w:r>
      <w:r>
        <w:rPr>
          <w:rFonts w:hint="eastAsia" w:ascii="MS UI Gothic" w:eastAsia="MS UI Gothic"/>
          <w:spacing w:val="13"/>
          <w:w w:val="80"/>
        </w:rPr>
        <w:t xml:space="preserve">ꎬ </w:t>
      </w:r>
      <w:r>
        <w:rPr>
          <w:spacing w:val="9"/>
          <w:w w:val="105"/>
        </w:rPr>
        <w:t>或者未按规定</w:t>
      </w:r>
      <w:r>
        <w:rPr>
          <w:spacing w:val="3"/>
          <w:w w:val="105"/>
        </w:rPr>
        <w:t>登记的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6"/>
          <w:w w:val="105"/>
        </w:rPr>
        <w:t xml:space="preserve">) </w:t>
      </w:r>
      <w:r>
        <w:rPr>
          <w:spacing w:val="5"/>
          <w:w w:val="105"/>
        </w:rPr>
        <w:t>海洋石油专业设备未按期进行</w:t>
      </w:r>
      <w:r>
        <w:rPr>
          <w:spacing w:val="3"/>
          <w:w w:val="110"/>
        </w:rPr>
        <w:t>检验的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拒绝</w:t>
      </w:r>
      <w:r>
        <w:rPr>
          <w:rFonts w:hint="eastAsia" w:ascii="MS UI Gothic" w:eastAsia="MS UI Gothic"/>
          <w:w w:val="80"/>
        </w:rPr>
        <w:t xml:space="preserve">、 </w:t>
      </w:r>
      <w:r>
        <w:rPr>
          <w:w w:val="105"/>
        </w:rPr>
        <w:t>阻碍海油安办及有关分部依法监督检查的</w:t>
      </w:r>
      <w:r>
        <w:rPr>
          <w:rFonts w:hint="eastAsia" w:ascii="MS UI Gothic" w:eastAsia="MS UI Gothic"/>
          <w:w w:val="80"/>
        </w:rPr>
        <w:t>ꎮ</w:t>
      </w:r>
    </w:p>
    <w:p>
      <w:pPr>
        <w:pStyle w:val="6"/>
        <w:spacing w:line="255" w:lineRule="exact"/>
        <w:ind w:left="440"/>
      </w:pPr>
      <w:r>
        <w:rPr>
          <w:w w:val="105"/>
        </w:rPr>
        <w:t>第一百一十四条 作业者和承包者有</w:t>
      </w:r>
    </w:p>
    <w:p>
      <w:pPr>
        <w:pStyle w:val="6"/>
        <w:spacing w:line="310" w:lineRule="atLeast"/>
        <w:ind w:left="440" w:firstLine="0"/>
        <w:jc w:val="left"/>
        <w:rPr>
          <w:rFonts w:hint="eastAsia" w:ascii="MS UI Gothic" w:eastAsia="MS UI Gothic"/>
        </w:rPr>
      </w:pPr>
      <w:r>
        <w:t>下列行为之一的</w:t>
      </w:r>
      <w:r>
        <w:rPr>
          <w:rFonts w:hint="eastAsia" w:ascii="MS UI Gothic" w:eastAsia="MS UI Gothic"/>
          <w:w w:val="80"/>
        </w:rPr>
        <w:t xml:space="preserve">ꎬ </w:t>
      </w:r>
      <w:r>
        <w:t>依法责令停产整顿</w:t>
      </w:r>
      <w:r>
        <w:rPr>
          <w:rFonts w:hint="eastAsia" w:ascii="MS UI Gothic" w:eastAsia="MS UI Gothic"/>
          <w:w w:val="80"/>
        </w:rPr>
        <w:t xml:space="preserve">ꎬ </w:t>
      </w:r>
      <w:r>
        <w:t>给</w:t>
      </w:r>
      <w:r>
        <w:rPr>
          <w:w w:val="105"/>
        </w:rPr>
        <w:t>予相应的行政处罚</w:t>
      </w:r>
      <w:r>
        <w:rPr>
          <w:rFonts w:hint="eastAsia" w:ascii="MS UI Gothic" w:eastAsia="MS UI Gothic"/>
          <w:w w:val="235"/>
        </w:rPr>
        <w:t>:</w:t>
      </w:r>
    </w:p>
    <w:p>
      <w:pPr>
        <w:pStyle w:val="6"/>
        <w:spacing w:before="124" w:line="295" w:lineRule="auto"/>
        <w:ind w:left="383" w:right="126"/>
        <w:rPr>
          <w:rFonts w:hint="eastAsia" w:ascii="MS UI Gothic" w:eastAsia="MS UI Gothic"/>
        </w:rPr>
      </w:pPr>
      <w:r>
        <w:br w:type="column"/>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对存在的重大事故隐患</w:t>
      </w:r>
      <w:r>
        <w:rPr>
          <w:rFonts w:hint="eastAsia" w:ascii="MS UI Gothic" w:eastAsia="MS UI Gothic"/>
          <w:w w:val="80"/>
        </w:rPr>
        <w:t xml:space="preserve">ꎬ </w:t>
      </w:r>
      <w:r>
        <w:rPr>
          <w:w w:val="105"/>
        </w:rPr>
        <w:t>不按期进行整改的</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第一百一十五条 海油安办及有关分</w:t>
      </w:r>
      <w:r>
        <w:t>部监督检查人员在海洋石油监督检查中滥</w:t>
      </w:r>
      <w:r>
        <w:rPr>
          <w:w w:val="105"/>
        </w:rPr>
        <w:t>用职权</w:t>
      </w:r>
      <w:r>
        <w:rPr>
          <w:rFonts w:hint="eastAsia" w:ascii="MS UI Gothic" w:eastAsia="MS UI Gothic"/>
          <w:w w:val="80"/>
        </w:rPr>
        <w:t xml:space="preserve">、 </w:t>
      </w:r>
      <w:r>
        <w:rPr>
          <w:w w:val="105"/>
        </w:rPr>
        <w:t>玩忽职守</w:t>
      </w:r>
      <w:r>
        <w:rPr>
          <w:rFonts w:hint="eastAsia" w:ascii="MS UI Gothic" w:eastAsia="MS UI Gothic"/>
          <w:w w:val="80"/>
        </w:rPr>
        <w:t xml:space="preserve">、 </w:t>
      </w:r>
      <w:r>
        <w:rPr>
          <w:w w:val="105"/>
        </w:rPr>
        <w:t>徇私舞弊的</w:t>
      </w:r>
      <w:r>
        <w:rPr>
          <w:rFonts w:hint="eastAsia" w:ascii="MS UI Gothic" w:eastAsia="MS UI Gothic"/>
          <w:w w:val="80"/>
        </w:rPr>
        <w:t xml:space="preserve">ꎬ </w:t>
      </w:r>
      <w:r>
        <w:rPr>
          <w:w w:val="105"/>
        </w:rPr>
        <w:t>依照有关规定给予行政处分</w:t>
      </w:r>
      <w:r>
        <w:rPr>
          <w:rFonts w:hint="eastAsia" w:ascii="MS UI Gothic" w:eastAsia="MS UI Gothic"/>
          <w:w w:val="80"/>
        </w:rPr>
        <w:t>ꎮ</w:t>
      </w:r>
    </w:p>
    <w:p>
      <w:pPr>
        <w:pStyle w:val="6"/>
        <w:tabs>
          <w:tab w:val="left" w:pos="2269"/>
          <w:tab w:val="left" w:pos="2898"/>
        </w:tabs>
        <w:spacing w:before="152"/>
        <w:ind w:left="1431" w:firstLine="0"/>
        <w:jc w:val="left"/>
      </w:pPr>
      <w:r>
        <w:rPr>
          <w:spacing w:val="3"/>
          <w:w w:val="105"/>
        </w:rPr>
        <w:t>第九</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spacing w:line="295" w:lineRule="auto"/>
        <w:ind w:left="383" w:right="126"/>
        <w:rPr>
          <w:rFonts w:hint="eastAsia" w:ascii="MS UI Gothic" w:eastAsia="MS UI Gothic"/>
        </w:rPr>
      </w:pPr>
      <w:r>
        <w:rPr>
          <w:w w:val="105"/>
        </w:rPr>
        <w:t>第一百一十六条 本细则中下列用语</w:t>
      </w:r>
      <w:r>
        <w:rPr>
          <w:w w:val="115"/>
        </w:rPr>
        <w:t>的含义</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海洋石油作业设施</w:t>
      </w:r>
      <w:r>
        <w:rPr>
          <w:rFonts w:hint="eastAsia" w:ascii="MS UI Gothic" w:eastAsia="MS UI Gothic"/>
          <w:w w:val="80"/>
        </w:rPr>
        <w:t xml:space="preserve">ꎬ </w:t>
      </w:r>
      <w:r>
        <w:rPr>
          <w:w w:val="105"/>
        </w:rPr>
        <w:t xml:space="preserve">是指用于海洋石油作业的海上移动式钻井船 </w:t>
      </w:r>
      <w:r>
        <w:rPr>
          <w:rFonts w:hint="eastAsia" w:ascii="MS UI Gothic" w:eastAsia="MS UI Gothic"/>
          <w:w w:val="150"/>
        </w:rPr>
        <w:t xml:space="preserve">( </w:t>
      </w:r>
      <w:r>
        <w:rPr>
          <w:w w:val="105"/>
        </w:rPr>
        <w:t>平台</w:t>
      </w:r>
      <w:r>
        <w:rPr>
          <w:rFonts w:hint="eastAsia" w:ascii="MS UI Gothic" w:eastAsia="MS UI Gothic"/>
          <w:w w:val="150"/>
        </w:rPr>
        <w:t>)</w:t>
      </w:r>
      <w:r>
        <w:rPr>
          <w:rFonts w:hint="eastAsia" w:ascii="MS UI Gothic" w:eastAsia="MS UI Gothic"/>
          <w:w w:val="80"/>
        </w:rPr>
        <w:t xml:space="preserve">、 </w:t>
      </w:r>
      <w:r>
        <w:rPr>
          <w:w w:val="105"/>
        </w:rPr>
        <w:t>物探船</w:t>
      </w:r>
      <w:r>
        <w:rPr>
          <w:rFonts w:hint="eastAsia" w:ascii="MS UI Gothic" w:eastAsia="MS UI Gothic"/>
          <w:w w:val="80"/>
        </w:rPr>
        <w:t xml:space="preserve">、 </w:t>
      </w:r>
      <w:r>
        <w:rPr>
          <w:w w:val="105"/>
        </w:rPr>
        <w:t>铺管船</w:t>
      </w:r>
      <w:r>
        <w:rPr>
          <w:rFonts w:hint="eastAsia" w:ascii="MS UI Gothic" w:eastAsia="MS UI Gothic"/>
          <w:w w:val="80"/>
        </w:rPr>
        <w:t xml:space="preserve">、 </w:t>
      </w:r>
      <w:r>
        <w:rPr>
          <w:w w:val="105"/>
        </w:rPr>
        <w:t>起重船</w:t>
      </w:r>
      <w:r>
        <w:rPr>
          <w:rFonts w:hint="eastAsia" w:ascii="MS UI Gothic" w:eastAsia="MS UI Gothic"/>
          <w:w w:val="80"/>
        </w:rPr>
        <w:t xml:space="preserve">、  </w:t>
      </w:r>
      <w:r>
        <w:rPr>
          <w:w w:val="105"/>
        </w:rPr>
        <w:t>固井船</w:t>
      </w:r>
      <w:r>
        <w:rPr>
          <w:rFonts w:hint="eastAsia" w:ascii="MS UI Gothic" w:eastAsia="MS UI Gothic"/>
          <w:w w:val="80"/>
        </w:rPr>
        <w:t xml:space="preserve">、 </w:t>
      </w:r>
      <w:r>
        <w:rPr>
          <w:w w:val="105"/>
        </w:rPr>
        <w:t>酸化压裂船等设施</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40"/>
        </w:rPr>
        <w:t xml:space="preserve">( </w:t>
      </w:r>
      <w:r>
        <w:t>二</w:t>
      </w:r>
      <w:r>
        <w:rPr>
          <w:rFonts w:hint="eastAsia" w:ascii="MS UI Gothic" w:eastAsia="MS UI Gothic"/>
          <w:w w:val="140"/>
        </w:rPr>
        <w:t xml:space="preserve">) </w:t>
      </w:r>
      <w:r>
        <w:t>海洋石油生产设施</w:t>
      </w:r>
      <w:r>
        <w:rPr>
          <w:rFonts w:hint="eastAsia" w:ascii="MS UI Gothic" w:eastAsia="MS UI Gothic"/>
          <w:w w:val="90"/>
        </w:rPr>
        <w:t xml:space="preserve">ꎬ </w:t>
      </w:r>
      <w:r>
        <w:t>是指以开采海洋石油为目的的海上固定平台</w:t>
      </w:r>
      <w:r>
        <w:rPr>
          <w:rFonts w:hint="eastAsia" w:ascii="MS UI Gothic" w:eastAsia="MS UI Gothic"/>
        </w:rPr>
        <w:t xml:space="preserve">、 </w:t>
      </w:r>
      <w:r>
        <w:t>单点</w:t>
      </w:r>
      <w:r>
        <w:rPr>
          <w:w w:val="102"/>
        </w:rPr>
        <w:t>系泊</w:t>
      </w:r>
      <w:r>
        <w:rPr>
          <w:rFonts w:hint="eastAsia" w:ascii="MS UI Gothic" w:eastAsia="MS UI Gothic"/>
          <w:w w:val="77"/>
        </w:rPr>
        <w:t>、</w:t>
      </w:r>
      <w:r>
        <w:rPr>
          <w:rFonts w:hint="eastAsia" w:ascii="MS UI Gothic" w:eastAsia="MS UI Gothic"/>
        </w:rPr>
        <w:t xml:space="preserve">  </w:t>
      </w:r>
      <w:r>
        <w:rPr>
          <w:w w:val="102"/>
        </w:rPr>
        <w:t>浮式生产储油装置</w:t>
      </w:r>
      <w:r>
        <w:t xml:space="preserve"> </w:t>
      </w:r>
      <w:r>
        <w:rPr>
          <w:rFonts w:hint="eastAsia" w:ascii="MS UI Gothic" w:eastAsia="MS UI Gothic"/>
          <w:w w:val="168"/>
        </w:rPr>
        <w:t>(</w:t>
      </w:r>
      <w:r>
        <w:rPr>
          <w:rFonts w:hint="eastAsia" w:ascii="MS UI Gothic" w:eastAsia="MS UI Gothic"/>
        </w:rPr>
        <w:t xml:space="preserve"> </w:t>
      </w:r>
      <w:r>
        <w:rPr>
          <w:rFonts w:hint="eastAsia" w:ascii="MS UI Gothic" w:eastAsia="MS UI Gothic"/>
          <w:w w:val="90"/>
        </w:rPr>
        <w:t>Ｆ</w:t>
      </w:r>
      <w:r>
        <w:rPr>
          <w:rFonts w:hint="eastAsia" w:ascii="MS UI Gothic" w:eastAsia="MS UI Gothic"/>
          <w:w w:val="80"/>
        </w:rPr>
        <w:t>Ｐ</w:t>
      </w:r>
      <w:r>
        <w:rPr>
          <w:rFonts w:hint="eastAsia" w:ascii="MS UI Gothic" w:eastAsia="MS UI Gothic"/>
          <w:w w:val="69"/>
        </w:rPr>
        <w:t>Ｓ</w:t>
      </w:r>
      <w:r>
        <w:rPr>
          <w:rFonts w:hint="eastAsia" w:ascii="MS UI Gothic" w:eastAsia="MS UI Gothic"/>
          <w:w w:val="85"/>
        </w:rPr>
        <w:t>Ｏ</w:t>
      </w:r>
      <w:r>
        <w:rPr>
          <w:rFonts w:hint="eastAsia" w:ascii="MS UI Gothic" w:eastAsia="MS UI Gothic"/>
          <w:w w:val="168"/>
        </w:rPr>
        <w:t>)</w:t>
      </w:r>
      <w:r>
        <w:rPr>
          <w:rFonts w:hint="eastAsia" w:ascii="MS UI Gothic" w:eastAsia="MS UI Gothic"/>
          <w:w w:val="77"/>
        </w:rPr>
        <w:t>、</w:t>
      </w:r>
      <w:r>
        <w:rPr>
          <w:rFonts w:hint="eastAsia" w:ascii="MS UI Gothic" w:eastAsia="MS UI Gothic"/>
        </w:rPr>
        <w:t xml:space="preserve">  </w:t>
      </w:r>
      <w:r>
        <w:rPr>
          <w:w w:val="102"/>
        </w:rPr>
        <w:t>海底</w:t>
      </w:r>
      <w:r>
        <w:t>管线</w:t>
      </w:r>
      <w:r>
        <w:rPr>
          <w:rFonts w:hint="eastAsia" w:ascii="MS UI Gothic" w:eastAsia="MS UI Gothic"/>
        </w:rPr>
        <w:t xml:space="preserve">、 </w:t>
      </w:r>
      <w:r>
        <w:t>海上输油码头</w:t>
      </w:r>
      <w:r>
        <w:rPr>
          <w:rFonts w:hint="eastAsia" w:ascii="MS UI Gothic" w:eastAsia="MS UI Gothic"/>
        </w:rPr>
        <w:t xml:space="preserve">、 </w:t>
      </w:r>
      <w:r>
        <w:t>滩海陆岸</w:t>
      </w:r>
      <w:r>
        <w:rPr>
          <w:rFonts w:hint="eastAsia" w:ascii="MS UI Gothic" w:eastAsia="MS UI Gothic"/>
        </w:rPr>
        <w:t xml:space="preserve">、 </w:t>
      </w:r>
      <w:r>
        <w:t>人工岛和陆岸终端等海上和陆岸结构物</w:t>
      </w:r>
      <w:r>
        <w:rPr>
          <w:rFonts w:hint="eastAsia" w:ascii="MS UI Gothic" w:eastAsia="MS UI Gothic"/>
          <w:w w:val="90"/>
        </w:rPr>
        <w:t>ꎻ</w:t>
      </w:r>
    </w:p>
    <w:p>
      <w:pPr>
        <w:pStyle w:val="6"/>
        <w:spacing w:line="295" w:lineRule="auto"/>
        <w:ind w:left="383" w:right="126"/>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3"/>
          <w:w w:val="150"/>
        </w:rPr>
        <w:t xml:space="preserve">) </w:t>
      </w:r>
      <w:r>
        <w:rPr>
          <w:spacing w:val="5"/>
          <w:w w:val="105"/>
        </w:rPr>
        <w:t>滩海陆岸石油设施</w:t>
      </w:r>
      <w:r>
        <w:rPr>
          <w:rFonts w:hint="eastAsia" w:ascii="MS UI Gothic" w:eastAsia="MS UI Gothic"/>
          <w:spacing w:val="13"/>
          <w:w w:val="80"/>
        </w:rPr>
        <w:t xml:space="preserve">ꎬ </w:t>
      </w:r>
      <w:r>
        <w:rPr>
          <w:spacing w:val="8"/>
          <w:w w:val="105"/>
        </w:rPr>
        <w:t>是指最高</w:t>
      </w:r>
      <w:r>
        <w:rPr>
          <w:spacing w:val="3"/>
        </w:rPr>
        <w:t>天文潮位以下滩海区域内</w:t>
      </w:r>
      <w:r>
        <w:rPr>
          <w:rFonts w:hint="eastAsia" w:ascii="MS UI Gothic" w:eastAsia="MS UI Gothic"/>
          <w:spacing w:val="20"/>
          <w:w w:val="80"/>
        </w:rPr>
        <w:t xml:space="preserve">ꎬ </w:t>
      </w:r>
      <w:r>
        <w:rPr>
          <w:spacing w:val="2"/>
        </w:rPr>
        <w:t>采用筑路或者</w:t>
      </w:r>
      <w:r>
        <w:rPr>
          <w:spacing w:val="3"/>
        </w:rPr>
        <w:t>栈桥等方式与陆岸相连接</w:t>
      </w:r>
      <w:r>
        <w:rPr>
          <w:rFonts w:hint="eastAsia" w:ascii="MS UI Gothic" w:eastAsia="MS UI Gothic"/>
          <w:spacing w:val="20"/>
          <w:w w:val="80"/>
        </w:rPr>
        <w:t xml:space="preserve">ꎬ </w:t>
      </w:r>
      <w:r>
        <w:rPr>
          <w:spacing w:val="2"/>
        </w:rPr>
        <w:t>从事石油作业</w:t>
      </w:r>
      <w:r>
        <w:rPr>
          <w:spacing w:val="3"/>
          <w:w w:val="105"/>
        </w:rPr>
        <w:t>活动中修筑的滩海通井路</w:t>
      </w:r>
      <w:r>
        <w:rPr>
          <w:rFonts w:hint="eastAsia" w:ascii="MS UI Gothic" w:eastAsia="MS UI Gothic"/>
          <w:spacing w:val="-2"/>
          <w:w w:val="80"/>
        </w:rPr>
        <w:t xml:space="preserve">、 </w:t>
      </w:r>
      <w:r>
        <w:rPr>
          <w:spacing w:val="2"/>
          <w:w w:val="105"/>
        </w:rPr>
        <w:t>滩海井台及有</w:t>
      </w:r>
      <w:r>
        <w:rPr>
          <w:spacing w:val="3"/>
          <w:w w:val="105"/>
        </w:rPr>
        <w:t>关石油设施</w:t>
      </w:r>
      <w:r>
        <w:rPr>
          <w:rFonts w:hint="eastAsia" w:ascii="MS UI Gothic" w:eastAsia="MS UI Gothic"/>
          <w:w w:val="80"/>
        </w:rPr>
        <w:t>ꎻ</w:t>
      </w:r>
    </w:p>
    <w:p>
      <w:pPr>
        <w:pStyle w:val="6"/>
        <w:spacing w:line="295" w:lineRule="auto"/>
        <w:ind w:left="383" w:right="124"/>
        <w:rPr>
          <w:rFonts w:hint="eastAsia" w:ascii="MS UI Gothic" w:eastAsia="MS UI Gothic"/>
        </w:rPr>
      </w:pPr>
      <w:r>
        <w:rPr>
          <w:rFonts w:hint="eastAsia" w:ascii="MS UI Gothic" w:eastAsia="MS UI Gothic"/>
          <w:spacing w:val="-39"/>
          <w:w w:val="150"/>
        </w:rPr>
        <w:t xml:space="preserve">( </w:t>
      </w:r>
      <w:r>
        <w:rPr>
          <w:spacing w:val="3"/>
          <w:w w:val="105"/>
        </w:rPr>
        <w:t>四</w:t>
      </w:r>
      <w:r>
        <w:rPr>
          <w:rFonts w:hint="eastAsia" w:ascii="MS UI Gothic" w:eastAsia="MS UI Gothic"/>
          <w:spacing w:val="-3"/>
          <w:w w:val="150"/>
        </w:rPr>
        <w:t xml:space="preserve">) </w:t>
      </w:r>
      <w:r>
        <w:rPr>
          <w:spacing w:val="5"/>
          <w:w w:val="105"/>
        </w:rPr>
        <w:t>专业设备</w:t>
      </w:r>
      <w:r>
        <w:rPr>
          <w:rFonts w:hint="eastAsia" w:ascii="MS UI Gothic" w:eastAsia="MS UI Gothic"/>
          <w:spacing w:val="13"/>
          <w:w w:val="80"/>
        </w:rPr>
        <w:t xml:space="preserve">ꎬ </w:t>
      </w:r>
      <w:r>
        <w:rPr>
          <w:spacing w:val="8"/>
          <w:w w:val="105"/>
        </w:rPr>
        <w:t>是指海洋石油开采</w:t>
      </w:r>
      <w:r>
        <w:rPr>
          <w:spacing w:val="2"/>
        </w:rPr>
        <w:t>过程中使用的危险性较大或者对安全生产</w:t>
      </w:r>
      <w:r>
        <w:rPr>
          <w:spacing w:val="3"/>
          <w:w w:val="105"/>
        </w:rPr>
        <w:t>有较大影响的设备</w:t>
      </w:r>
      <w:r>
        <w:rPr>
          <w:rFonts w:hint="eastAsia" w:ascii="MS UI Gothic" w:eastAsia="MS UI Gothic"/>
          <w:w w:val="80"/>
        </w:rPr>
        <w:t xml:space="preserve">ꎬ </w:t>
      </w:r>
      <w:r>
        <w:rPr>
          <w:spacing w:val="3"/>
          <w:w w:val="105"/>
        </w:rPr>
        <w:t>包括海上结构</w:t>
      </w:r>
      <w:r>
        <w:rPr>
          <w:rFonts w:hint="eastAsia" w:ascii="MS UI Gothic" w:eastAsia="MS UI Gothic"/>
          <w:w w:val="80"/>
        </w:rPr>
        <w:t xml:space="preserve">、 </w:t>
      </w:r>
      <w:r>
        <w:rPr>
          <w:spacing w:val="1"/>
          <w:w w:val="105"/>
        </w:rPr>
        <w:t>采油</w:t>
      </w:r>
      <w:r>
        <w:rPr>
          <w:spacing w:val="3"/>
          <w:w w:val="105"/>
        </w:rPr>
        <w:t>设备</w:t>
      </w:r>
      <w:r>
        <w:rPr>
          <w:rFonts w:hint="eastAsia" w:ascii="MS UI Gothic" w:eastAsia="MS UI Gothic"/>
          <w:spacing w:val="12"/>
          <w:w w:val="80"/>
        </w:rPr>
        <w:t xml:space="preserve">、 </w:t>
      </w:r>
      <w:r>
        <w:rPr>
          <w:spacing w:val="3"/>
          <w:w w:val="105"/>
        </w:rPr>
        <w:t>海上锅炉和压力容器</w:t>
      </w:r>
      <w:r>
        <w:rPr>
          <w:rFonts w:hint="eastAsia" w:ascii="MS UI Gothic" w:eastAsia="MS UI Gothic"/>
          <w:spacing w:val="12"/>
          <w:w w:val="80"/>
        </w:rPr>
        <w:t xml:space="preserve">、 </w:t>
      </w:r>
      <w:r>
        <w:rPr>
          <w:spacing w:val="2"/>
          <w:w w:val="105"/>
        </w:rPr>
        <w:t>钻井和修井</w:t>
      </w:r>
      <w:r>
        <w:rPr>
          <w:spacing w:val="3"/>
          <w:w w:val="105"/>
        </w:rPr>
        <w:t>设备</w:t>
      </w:r>
      <w:r>
        <w:rPr>
          <w:rFonts w:hint="eastAsia" w:ascii="MS UI Gothic" w:eastAsia="MS UI Gothic"/>
          <w:spacing w:val="12"/>
          <w:w w:val="80"/>
        </w:rPr>
        <w:t xml:space="preserve">、 </w:t>
      </w:r>
      <w:r>
        <w:rPr>
          <w:spacing w:val="3"/>
          <w:w w:val="105"/>
        </w:rPr>
        <w:t>起重和升降设备</w:t>
      </w:r>
      <w:r>
        <w:rPr>
          <w:rFonts w:hint="eastAsia" w:ascii="MS UI Gothic" w:eastAsia="MS UI Gothic"/>
          <w:spacing w:val="12"/>
          <w:w w:val="80"/>
        </w:rPr>
        <w:t xml:space="preserve">、 </w:t>
      </w:r>
      <w:r>
        <w:rPr>
          <w:spacing w:val="2"/>
          <w:w w:val="105"/>
        </w:rPr>
        <w:t>火灾和可燃气体</w:t>
      </w:r>
      <w:r>
        <w:rPr>
          <w:spacing w:val="3"/>
          <w:w w:val="105"/>
        </w:rPr>
        <w:t>探测</w:t>
      </w:r>
      <w:r>
        <w:rPr>
          <w:rFonts w:hint="eastAsia" w:ascii="MS UI Gothic" w:eastAsia="MS UI Gothic"/>
          <w:spacing w:val="17"/>
          <w:w w:val="80"/>
        </w:rPr>
        <w:t xml:space="preserve">、 </w:t>
      </w:r>
      <w:r>
        <w:rPr>
          <w:spacing w:val="3"/>
          <w:w w:val="105"/>
        </w:rPr>
        <w:t>报警及控制系统</w:t>
      </w:r>
      <w:r>
        <w:rPr>
          <w:rFonts w:hint="eastAsia" w:ascii="MS UI Gothic" w:eastAsia="MS UI Gothic"/>
          <w:spacing w:val="17"/>
          <w:w w:val="80"/>
        </w:rPr>
        <w:t xml:space="preserve">、 </w:t>
      </w:r>
      <w:r>
        <w:rPr>
          <w:spacing w:val="3"/>
          <w:w w:val="105"/>
        </w:rPr>
        <w:t>安全阀</w:t>
      </w:r>
      <w:r>
        <w:rPr>
          <w:rFonts w:hint="eastAsia" w:ascii="MS UI Gothic" w:eastAsia="MS UI Gothic"/>
          <w:spacing w:val="17"/>
          <w:w w:val="80"/>
        </w:rPr>
        <w:t xml:space="preserve">、 </w:t>
      </w:r>
      <w:r>
        <w:rPr>
          <w:spacing w:val="2"/>
          <w:w w:val="105"/>
        </w:rPr>
        <w:t>救生设</w:t>
      </w:r>
      <w:r>
        <w:rPr>
          <w:spacing w:val="3"/>
          <w:w w:val="105"/>
        </w:rPr>
        <w:t>备</w:t>
      </w:r>
      <w:r>
        <w:rPr>
          <w:rFonts w:hint="eastAsia" w:ascii="MS UI Gothic" w:eastAsia="MS UI Gothic"/>
          <w:spacing w:val="11"/>
          <w:w w:val="80"/>
        </w:rPr>
        <w:t xml:space="preserve">、 </w:t>
      </w:r>
      <w:r>
        <w:rPr>
          <w:spacing w:val="3"/>
          <w:w w:val="105"/>
        </w:rPr>
        <w:t>消防器材</w:t>
      </w:r>
      <w:r>
        <w:rPr>
          <w:rFonts w:hint="eastAsia" w:ascii="MS UI Gothic" w:eastAsia="MS UI Gothic"/>
          <w:spacing w:val="12"/>
          <w:w w:val="80"/>
        </w:rPr>
        <w:t xml:space="preserve">、 </w:t>
      </w:r>
      <w:r>
        <w:rPr>
          <w:spacing w:val="13"/>
          <w:w w:val="105"/>
        </w:rPr>
        <w:t>钢丝绳等系物及被系物</w:t>
      </w:r>
      <w:r>
        <w:rPr>
          <w:rFonts w:hint="eastAsia" w:ascii="MS UI Gothic" w:eastAsia="MS UI Gothic"/>
          <w:w w:val="80"/>
        </w:rPr>
        <w:t>、</w:t>
      </w:r>
      <w:r>
        <w:rPr>
          <w:spacing w:val="3"/>
          <w:w w:val="105"/>
        </w:rPr>
        <w:t>电气仪表等</w:t>
      </w:r>
      <w:r>
        <w:rPr>
          <w:rFonts w:hint="eastAsia" w:ascii="MS UI Gothic" w:eastAsia="MS UI Gothic"/>
          <w:w w:val="80"/>
        </w:rPr>
        <w:t>ꎻ</w:t>
      </w:r>
    </w:p>
    <w:p>
      <w:pPr>
        <w:pStyle w:val="6"/>
        <w:spacing w:line="295" w:lineRule="auto"/>
        <w:ind w:left="383" w:right="126"/>
      </w:pPr>
      <w:r>
        <w:rPr>
          <w:rFonts w:hint="eastAsia" w:ascii="MS UI Gothic" w:eastAsia="MS UI Gothic"/>
          <w:spacing w:val="-39"/>
          <w:w w:val="150"/>
        </w:rPr>
        <w:t xml:space="preserve">( </w:t>
      </w:r>
      <w:r>
        <w:rPr>
          <w:spacing w:val="3"/>
          <w:w w:val="110"/>
        </w:rPr>
        <w:t>五</w:t>
      </w:r>
      <w:r>
        <w:rPr>
          <w:rFonts w:hint="eastAsia" w:ascii="MS UI Gothic" w:eastAsia="MS UI Gothic"/>
          <w:spacing w:val="-2"/>
          <w:w w:val="150"/>
        </w:rPr>
        <w:t xml:space="preserve">) </w:t>
      </w:r>
      <w:r>
        <w:rPr>
          <w:spacing w:val="-3"/>
          <w:w w:val="110"/>
        </w:rPr>
        <w:t xml:space="preserve">海底长输油 </w:t>
      </w:r>
      <w:r>
        <w:rPr>
          <w:rFonts w:hint="eastAsia" w:ascii="MS UI Gothic" w:eastAsia="MS UI Gothic"/>
          <w:spacing w:val="-38"/>
          <w:w w:val="150"/>
        </w:rPr>
        <w:t xml:space="preserve">( </w:t>
      </w:r>
      <w:r>
        <w:rPr>
          <w:spacing w:val="5"/>
          <w:w w:val="110"/>
        </w:rPr>
        <w:t>气</w:t>
      </w:r>
      <w:r>
        <w:rPr>
          <w:rFonts w:hint="eastAsia" w:ascii="MS UI Gothic" w:eastAsia="MS UI Gothic"/>
          <w:spacing w:val="-2"/>
          <w:w w:val="150"/>
        </w:rPr>
        <w:t xml:space="preserve">) </w:t>
      </w:r>
      <w:r>
        <w:rPr>
          <w:spacing w:val="5"/>
          <w:w w:val="110"/>
        </w:rPr>
        <w:t>管线</w:t>
      </w:r>
      <w:r>
        <w:rPr>
          <w:rFonts w:hint="eastAsia" w:ascii="MS UI Gothic" w:eastAsia="MS UI Gothic"/>
          <w:spacing w:val="12"/>
          <w:w w:val="80"/>
        </w:rPr>
        <w:t xml:space="preserve">ꎬ </w:t>
      </w:r>
      <w:r>
        <w:rPr>
          <w:spacing w:val="3"/>
          <w:w w:val="110"/>
        </w:rPr>
        <w:t>是指</w:t>
      </w:r>
      <w:r>
        <w:rPr>
          <w:spacing w:val="1"/>
          <w:w w:val="110"/>
        </w:rPr>
        <w:t xml:space="preserve">从一个海上油 </w:t>
      </w:r>
      <w:r>
        <w:rPr>
          <w:rFonts w:hint="eastAsia" w:ascii="MS UI Gothic" w:eastAsia="MS UI Gothic"/>
          <w:spacing w:val="-35"/>
          <w:w w:val="150"/>
        </w:rPr>
        <w:t xml:space="preserve">( </w:t>
      </w:r>
      <w:r>
        <w:rPr>
          <w:spacing w:val="11"/>
          <w:w w:val="110"/>
        </w:rPr>
        <w:t>气</w:t>
      </w:r>
      <w:r>
        <w:rPr>
          <w:rFonts w:hint="eastAsia" w:ascii="MS UI Gothic" w:eastAsia="MS UI Gothic"/>
          <w:spacing w:val="5"/>
          <w:w w:val="150"/>
        </w:rPr>
        <w:t xml:space="preserve">) </w:t>
      </w:r>
      <w:r>
        <w:rPr>
          <w:spacing w:val="4"/>
          <w:w w:val="110"/>
        </w:rPr>
        <w:t xml:space="preserve">田外输油 </w:t>
      </w:r>
      <w:r>
        <w:rPr>
          <w:rFonts w:hint="eastAsia" w:ascii="MS UI Gothic" w:eastAsia="MS UI Gothic"/>
          <w:spacing w:val="-34"/>
          <w:w w:val="150"/>
        </w:rPr>
        <w:t xml:space="preserve">( </w:t>
      </w:r>
      <w:r>
        <w:rPr>
          <w:spacing w:val="13"/>
          <w:w w:val="110"/>
        </w:rPr>
        <w:t>气</w:t>
      </w:r>
      <w:r>
        <w:rPr>
          <w:rFonts w:hint="eastAsia" w:ascii="MS UI Gothic" w:eastAsia="MS UI Gothic"/>
          <w:spacing w:val="6"/>
          <w:w w:val="150"/>
        </w:rPr>
        <w:t xml:space="preserve">) </w:t>
      </w:r>
      <w:r>
        <w:rPr>
          <w:w w:val="110"/>
        </w:rPr>
        <w:t>的</w:t>
      </w:r>
      <w:r>
        <w:rPr>
          <w:spacing w:val="2"/>
        </w:rPr>
        <w:t xml:space="preserve">计量点至陆岸终端计量点或者至海上输油  </w:t>
      </w:r>
      <w:r>
        <w:rPr>
          <w:rFonts w:hint="eastAsia" w:ascii="MS UI Gothic" w:eastAsia="MS UI Gothic"/>
          <w:spacing w:val="-29"/>
          <w:w w:val="110"/>
        </w:rPr>
        <w:t xml:space="preserve">( </w:t>
      </w:r>
      <w:r>
        <w:rPr>
          <w:spacing w:val="3"/>
          <w:w w:val="110"/>
        </w:rPr>
        <w:t>气</w:t>
      </w:r>
      <w:r>
        <w:rPr>
          <w:rFonts w:hint="eastAsia" w:ascii="MS UI Gothic" w:eastAsia="MS UI Gothic"/>
          <w:spacing w:val="-10"/>
          <w:w w:val="110"/>
        </w:rPr>
        <w:t xml:space="preserve">) </w:t>
      </w:r>
      <w:r>
        <w:rPr>
          <w:spacing w:val="22"/>
          <w:w w:val="110"/>
        </w:rPr>
        <w:t>终端计量点的长输管线</w:t>
      </w:r>
      <w:r>
        <w:rPr>
          <w:rFonts w:hint="eastAsia" w:ascii="MS UI Gothic" w:eastAsia="MS UI Gothic"/>
          <w:spacing w:val="-4"/>
          <w:w w:val="80"/>
        </w:rPr>
        <w:t xml:space="preserve">ꎬ </w:t>
      </w:r>
      <w:r>
        <w:rPr>
          <w:spacing w:val="14"/>
          <w:w w:val="110"/>
        </w:rPr>
        <w:t>包括管</w:t>
      </w:r>
    </w:p>
    <w:p>
      <w:pPr>
        <w:pStyle w:val="6"/>
        <w:spacing w:line="237" w:lineRule="exact"/>
        <w:ind w:left="383" w:firstLine="0"/>
      </w:pPr>
      <w:r>
        <w:rPr>
          <w:spacing w:val="3"/>
        </w:rPr>
        <w:t>段</w:t>
      </w:r>
      <w:r>
        <w:rPr>
          <w:rFonts w:hint="eastAsia" w:ascii="MS UI Gothic" w:eastAsia="MS UI Gothic"/>
          <w:spacing w:val="17"/>
        </w:rPr>
        <w:t xml:space="preserve">、 </w:t>
      </w:r>
      <w:r>
        <w:rPr>
          <w:spacing w:val="3"/>
        </w:rPr>
        <w:t>立管</w:t>
      </w:r>
      <w:r>
        <w:rPr>
          <w:rFonts w:hint="eastAsia" w:ascii="MS UI Gothic" w:eastAsia="MS UI Gothic"/>
          <w:spacing w:val="17"/>
        </w:rPr>
        <w:t xml:space="preserve">、 </w:t>
      </w:r>
      <w:r>
        <w:rPr>
          <w:spacing w:val="3"/>
        </w:rPr>
        <w:t>附件</w:t>
      </w:r>
      <w:r>
        <w:rPr>
          <w:rFonts w:hint="eastAsia" w:ascii="MS UI Gothic" w:eastAsia="MS UI Gothic"/>
          <w:spacing w:val="17"/>
        </w:rPr>
        <w:t xml:space="preserve">、 </w:t>
      </w:r>
      <w:r>
        <w:rPr>
          <w:spacing w:val="3"/>
        </w:rPr>
        <w:t>控制系统</w:t>
      </w:r>
      <w:r>
        <w:rPr>
          <w:rFonts w:hint="eastAsia" w:ascii="MS UI Gothic" w:eastAsia="MS UI Gothic"/>
          <w:spacing w:val="17"/>
        </w:rPr>
        <w:t xml:space="preserve">、 </w:t>
      </w:r>
      <w:r>
        <w:rPr>
          <w:spacing w:val="2"/>
        </w:rPr>
        <w:t>仪表及支撑</w:t>
      </w:r>
    </w:p>
    <w:p>
      <w:pPr>
        <w:spacing w:after="0" w:line="237" w:lineRule="exact"/>
        <w:sectPr>
          <w:type w:val="continuous"/>
          <w:pgSz w:w="10500" w:h="14750"/>
          <w:pgMar w:top="1400" w:right="980" w:bottom="280" w:left="980" w:header="720" w:footer="720" w:gutter="0"/>
          <w:cols w:equalWidth="0" w:num="2">
            <w:col w:w="4210" w:space="40"/>
            <w:col w:w="4290"/>
          </w:cols>
        </w:sectPr>
      </w:pPr>
    </w:p>
    <w:p>
      <w:pPr>
        <w:pStyle w:val="6"/>
        <w:spacing w:before="55"/>
        <w:ind w:left="860" w:firstLine="0"/>
        <w:jc w:val="left"/>
      </w:pPr>
      <w:r>
        <w:rPr>
          <w:rFonts w:hint="eastAsia" w:ascii="MS UI Gothic" w:eastAsia="MS UI Gothic"/>
          <w:spacing w:val="-41"/>
          <w:w w:val="150"/>
        </w:rPr>
        <w:t xml:space="preserve">( </w:t>
      </w:r>
      <w:r>
        <w:rPr>
          <w:spacing w:val="3"/>
          <w:w w:val="110"/>
        </w:rPr>
        <w:t>一</w:t>
      </w:r>
      <w:r>
        <w:rPr>
          <w:rFonts w:hint="eastAsia" w:ascii="MS UI Gothic" w:eastAsia="MS UI Gothic"/>
          <w:spacing w:val="-18"/>
          <w:w w:val="150"/>
        </w:rPr>
        <w:t xml:space="preserve">) </w:t>
      </w:r>
      <w:r>
        <w:rPr>
          <w:spacing w:val="6"/>
          <w:w w:val="110"/>
        </w:rPr>
        <w:t>未履行新建</w:t>
      </w:r>
      <w:r>
        <w:rPr>
          <w:rFonts w:hint="eastAsia" w:ascii="MS UI Gothic" w:eastAsia="MS UI Gothic"/>
          <w:spacing w:val="-5"/>
        </w:rPr>
        <w:t xml:space="preserve">、 </w:t>
      </w:r>
      <w:r>
        <w:rPr>
          <w:spacing w:val="8"/>
          <w:w w:val="110"/>
        </w:rPr>
        <w:t>改建</w:t>
      </w:r>
      <w:r>
        <w:rPr>
          <w:rFonts w:hint="eastAsia" w:ascii="MS UI Gothic" w:eastAsia="MS UI Gothic"/>
          <w:spacing w:val="-5"/>
        </w:rPr>
        <w:t xml:space="preserve">、 </w:t>
      </w:r>
      <w:r>
        <w:rPr>
          <w:spacing w:val="9"/>
          <w:w w:val="110"/>
        </w:rPr>
        <w:t>扩建项目</w:t>
      </w:r>
    </w:p>
    <w:p>
      <w:pPr>
        <w:pStyle w:val="6"/>
        <w:spacing w:before="58"/>
        <w:ind w:left="440" w:firstLine="0"/>
        <w:jc w:val="left"/>
        <w:rPr>
          <w:rFonts w:hint="eastAsia" w:ascii="MS UI Gothic" w:hAnsi="MS UI Gothic" w:eastAsia="MS UI Gothic"/>
        </w:rPr>
      </w:pPr>
      <w:r>
        <w:rPr>
          <w:rFonts w:hint="eastAsia" w:ascii="MS UI Gothic" w:hAnsi="MS UI Gothic" w:eastAsia="MS UI Gothic"/>
        </w:rPr>
        <w:t xml:space="preserve">“ </w:t>
      </w:r>
      <w:r>
        <w:t>三同时</w:t>
      </w:r>
      <w:r>
        <w:rPr>
          <w:rFonts w:hint="eastAsia" w:ascii="MS UI Gothic" w:hAnsi="MS UI Gothic" w:eastAsia="MS UI Gothic"/>
        </w:rPr>
        <w:t xml:space="preserve">” </w:t>
      </w:r>
      <w:r>
        <w:t>程序的</w:t>
      </w:r>
      <w:r>
        <w:rPr>
          <w:rFonts w:hint="eastAsia" w:ascii="MS UI Gothic" w:hAnsi="MS UI Gothic" w:eastAsia="MS UI Gothic"/>
          <w:w w:val="80"/>
        </w:rPr>
        <w:t>ꎻ</w:t>
      </w:r>
    </w:p>
    <w:p>
      <w:pPr>
        <w:pStyle w:val="6"/>
        <w:spacing w:before="55"/>
        <w:ind w:left="383" w:firstLine="0"/>
        <w:jc w:val="left"/>
        <w:rPr>
          <w:rFonts w:hint="eastAsia" w:ascii="MS UI Gothic" w:eastAsia="MS UI Gothic"/>
        </w:rPr>
      </w:pPr>
      <w:r>
        <w:br w:type="column"/>
      </w:r>
      <w:r>
        <w:t>件等互相连接的系统和中间泵站等</w:t>
      </w:r>
      <w:r>
        <w:rPr>
          <w:rFonts w:hint="eastAsia" w:ascii="MS UI Gothic" w:eastAsia="MS UI Gothic"/>
          <w:w w:val="80"/>
        </w:rPr>
        <w:t>ꎻ</w:t>
      </w:r>
    </w:p>
    <w:p>
      <w:pPr>
        <w:pStyle w:val="6"/>
        <w:spacing w:before="58"/>
        <w:ind w:left="802" w:firstLine="0"/>
        <w:jc w:val="left"/>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延长测试作业</w:t>
      </w:r>
      <w:r>
        <w:rPr>
          <w:rFonts w:hint="eastAsia" w:ascii="MS UI Gothic" w:eastAsia="MS UI Gothic"/>
          <w:w w:val="80"/>
        </w:rPr>
        <w:t xml:space="preserve">ꎬ </w:t>
      </w:r>
      <w:r>
        <w:rPr>
          <w:w w:val="110"/>
        </w:rPr>
        <w:t>是指在油层参</w:t>
      </w:r>
    </w:p>
    <w:p>
      <w:pPr>
        <w:spacing w:after="0"/>
        <w:jc w:val="left"/>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２０２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31" o:spid="_x0000_s1631" o:spt="203" style="height:2.15pt;width:398.25pt;" coordsize="7965,43">
            <o:lock v:ext="edit"/>
            <v:line id="_x0000_s1632" o:spid="_x0000_s1632" o:spt="20" style="position:absolute;left:0;top:39;height:0;width:7965;" stroked="t" coordsize="21600,21600">
              <v:path arrowok="t"/>
              <v:fill focussize="0,0"/>
              <v:stroke weight="0.388031496062992pt" color="#231F20"/>
              <v:imagedata o:title=""/>
              <o:lock v:ext="edit"/>
            </v:line>
            <v:line id="_x0000_s1633" o:spid="_x0000_s16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数或者早期地质油藏资料不能满足工程需要的情况下</w:t>
      </w:r>
      <w:r>
        <w:rPr>
          <w:rFonts w:hint="eastAsia" w:ascii="MS UI Gothic" w:eastAsia="MS UI Gothic"/>
          <w:w w:val="80"/>
        </w:rPr>
        <w:t xml:space="preserve">ꎬ </w:t>
      </w:r>
      <w:r>
        <w:t>为获取这些数据资料</w:t>
      </w:r>
      <w:r>
        <w:rPr>
          <w:rFonts w:hint="eastAsia" w:ascii="MS UI Gothic" w:eastAsia="MS UI Gothic"/>
          <w:w w:val="80"/>
        </w:rPr>
        <w:t xml:space="preserve">ꎬ </w:t>
      </w:r>
      <w:r>
        <w:t>在原钻井装置或者井口平台上实施</w:t>
      </w:r>
      <w:r>
        <w:rPr>
          <w:rFonts w:hint="eastAsia" w:ascii="MS UI Gothic" w:eastAsia="MS UI Gothic"/>
          <w:w w:val="80"/>
        </w:rPr>
        <w:t xml:space="preserve">ꎬ </w:t>
      </w:r>
      <w:r>
        <w:t>并有油轮或者浮式生产装置作为储油装置的测试作业</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40"/>
        </w:rPr>
        <w:t xml:space="preserve">( </w:t>
      </w:r>
      <w:r>
        <w:t>七</w:t>
      </w:r>
      <w:r>
        <w:rPr>
          <w:rFonts w:hint="eastAsia" w:ascii="MS UI Gothic" w:eastAsia="MS UI Gothic"/>
          <w:w w:val="140"/>
        </w:rPr>
        <w:t xml:space="preserve">) </w:t>
      </w:r>
      <w:r>
        <w:t>延长测试设施</w:t>
      </w:r>
      <w:r>
        <w:rPr>
          <w:rFonts w:hint="eastAsia" w:ascii="MS UI Gothic" w:eastAsia="MS UI Gothic"/>
          <w:w w:val="90"/>
        </w:rPr>
        <w:t xml:space="preserve">ꎬ </w:t>
      </w:r>
      <w:r>
        <w:t>是指延长测试作业时</w:t>
      </w:r>
      <w:r>
        <w:rPr>
          <w:rFonts w:hint="eastAsia" w:ascii="MS UI Gothic" w:eastAsia="MS UI Gothic"/>
          <w:w w:val="90"/>
        </w:rPr>
        <w:t xml:space="preserve">ꎬ </w:t>
      </w:r>
      <w:r>
        <w:t>在原钻井装置或井口平台上临时安装的配套工艺设备</w:t>
      </w:r>
      <w:r>
        <w:rPr>
          <w:rFonts w:hint="eastAsia" w:ascii="MS UI Gothic" w:eastAsia="MS UI Gothic"/>
        </w:rPr>
        <w:t xml:space="preserve">、 </w:t>
      </w:r>
      <w:r>
        <w:t>以及油轮或浮式生</w:t>
      </w:r>
      <w:r>
        <w:rPr>
          <w:w w:val="102"/>
        </w:rPr>
        <w:t>产储油装置</w:t>
      </w:r>
      <w:r>
        <w:t xml:space="preserve"> </w:t>
      </w:r>
      <w:r>
        <w:rPr>
          <w:rFonts w:hint="eastAsia" w:ascii="MS UI Gothic" w:eastAsia="MS UI Gothic"/>
          <w:w w:val="168"/>
        </w:rPr>
        <w:t>(</w:t>
      </w:r>
      <w:r>
        <w:rPr>
          <w:rFonts w:hint="eastAsia" w:ascii="MS UI Gothic" w:eastAsia="MS UI Gothic"/>
        </w:rPr>
        <w:t xml:space="preserve"> </w:t>
      </w:r>
      <w:r>
        <w:rPr>
          <w:rFonts w:hint="eastAsia" w:ascii="MS UI Gothic" w:eastAsia="MS UI Gothic"/>
          <w:w w:val="90"/>
        </w:rPr>
        <w:t>Ｆ</w:t>
      </w:r>
      <w:r>
        <w:rPr>
          <w:rFonts w:hint="eastAsia" w:ascii="MS UI Gothic" w:eastAsia="MS UI Gothic"/>
          <w:w w:val="80"/>
        </w:rPr>
        <w:t>Ｐ</w:t>
      </w:r>
      <w:r>
        <w:rPr>
          <w:rFonts w:hint="eastAsia" w:ascii="MS UI Gothic" w:eastAsia="MS UI Gothic"/>
          <w:w w:val="69"/>
        </w:rPr>
        <w:t>Ｓ</w:t>
      </w:r>
      <w:r>
        <w:rPr>
          <w:rFonts w:hint="eastAsia" w:ascii="MS UI Gothic" w:eastAsia="MS UI Gothic"/>
          <w:w w:val="85"/>
        </w:rPr>
        <w:t>Ｏ</w:t>
      </w:r>
      <w:r>
        <w:rPr>
          <w:rFonts w:hint="eastAsia" w:ascii="MS UI Gothic" w:eastAsia="MS UI Gothic"/>
          <w:w w:val="168"/>
        </w:rPr>
        <w:t>)</w:t>
      </w:r>
      <w:r>
        <w:rPr>
          <w:rFonts w:hint="eastAsia" w:ascii="MS UI Gothic" w:eastAsia="MS UI Gothic"/>
        </w:rPr>
        <w:t xml:space="preserve">  </w:t>
      </w:r>
      <w:r>
        <w:rPr>
          <w:w w:val="102"/>
        </w:rPr>
        <w:t>等设施的总称</w:t>
      </w:r>
      <w:r>
        <w:rPr>
          <w:rFonts w:hint="eastAsia" w:ascii="MS UI Gothic" w:eastAsia="MS UI Gothic"/>
          <w:w w:val="51"/>
        </w:rPr>
        <w:t>ꎮ</w:t>
      </w:r>
    </w:p>
    <w:p>
      <w:pPr>
        <w:pStyle w:val="6"/>
        <w:spacing w:line="295" w:lineRule="auto"/>
        <w:ind w:right="38"/>
        <w:rPr>
          <w:rFonts w:hint="eastAsia" w:ascii="MS UI Gothic" w:eastAsia="MS UI Gothic"/>
        </w:rPr>
      </w:pPr>
      <w:r>
        <w:rPr>
          <w:rFonts w:hint="eastAsia" w:ascii="MS UI Gothic" w:eastAsia="MS UI Gothic"/>
          <w:spacing w:val="-37"/>
          <w:w w:val="145"/>
        </w:rPr>
        <w:t xml:space="preserve">( </w:t>
      </w:r>
      <w:r>
        <w:rPr>
          <w:spacing w:val="3"/>
          <w:w w:val="105"/>
        </w:rPr>
        <w:t>八</w:t>
      </w:r>
      <w:r>
        <w:rPr>
          <w:rFonts w:hint="eastAsia" w:ascii="MS UI Gothic" w:eastAsia="MS UI Gothic"/>
          <w:spacing w:val="-1"/>
          <w:w w:val="145"/>
        </w:rPr>
        <w:t xml:space="preserve">) </w:t>
      </w:r>
      <w:r>
        <w:rPr>
          <w:spacing w:val="5"/>
          <w:w w:val="105"/>
        </w:rPr>
        <w:t>长期出海人员</w:t>
      </w:r>
      <w:r>
        <w:rPr>
          <w:rFonts w:hint="eastAsia" w:ascii="MS UI Gothic" w:eastAsia="MS UI Gothic"/>
          <w:spacing w:val="14"/>
          <w:w w:val="80"/>
        </w:rPr>
        <w:t xml:space="preserve">ꎬ </w:t>
      </w:r>
      <w:r>
        <w:rPr>
          <w:spacing w:val="9"/>
          <w:w w:val="105"/>
        </w:rPr>
        <w:t>是指每次在海</w:t>
      </w:r>
      <w:r>
        <w:rPr>
          <w:spacing w:val="-16"/>
          <w:w w:val="105"/>
        </w:rPr>
        <w:t xml:space="preserve">上作业 </w:t>
      </w:r>
      <w:r>
        <w:rPr>
          <w:rFonts w:hint="eastAsia" w:ascii="MS UI Gothic" w:eastAsia="MS UI Gothic"/>
          <w:spacing w:val="-1"/>
          <w:w w:val="80"/>
        </w:rPr>
        <w:t xml:space="preserve">１５ </w:t>
      </w:r>
      <w:r>
        <w:rPr>
          <w:spacing w:val="-1"/>
          <w:w w:val="105"/>
        </w:rPr>
        <w:t xml:space="preserve">日以上 </w:t>
      </w:r>
      <w:r>
        <w:rPr>
          <w:rFonts w:hint="eastAsia" w:ascii="MS UI Gothic" w:eastAsia="MS UI Gothic"/>
          <w:spacing w:val="-34"/>
          <w:w w:val="145"/>
        </w:rPr>
        <w:t xml:space="preserve">( </w:t>
      </w:r>
      <w:r>
        <w:rPr>
          <w:spacing w:val="-29"/>
          <w:w w:val="105"/>
        </w:rPr>
        <w:t xml:space="preserve">含 </w:t>
      </w:r>
      <w:r>
        <w:rPr>
          <w:rFonts w:hint="eastAsia" w:ascii="MS UI Gothic" w:eastAsia="MS UI Gothic"/>
          <w:spacing w:val="2"/>
          <w:w w:val="80"/>
        </w:rPr>
        <w:t xml:space="preserve">１５ </w:t>
      </w:r>
      <w:r>
        <w:rPr>
          <w:spacing w:val="9"/>
          <w:w w:val="105"/>
        </w:rPr>
        <w:t>日</w:t>
      </w:r>
      <w:r>
        <w:rPr>
          <w:rFonts w:hint="eastAsia" w:ascii="MS UI Gothic" w:eastAsia="MS UI Gothic"/>
          <w:spacing w:val="-36"/>
          <w:w w:val="145"/>
        </w:rPr>
        <w:t xml:space="preserve">) </w:t>
      </w:r>
      <w:r>
        <w:rPr>
          <w:rFonts w:hint="eastAsia" w:ascii="MS UI Gothic" w:eastAsia="MS UI Gothic"/>
          <w:spacing w:val="20"/>
          <w:w w:val="80"/>
        </w:rPr>
        <w:t xml:space="preserve">ꎬ </w:t>
      </w:r>
      <w:r>
        <w:rPr>
          <w:spacing w:val="8"/>
          <w:w w:val="105"/>
        </w:rPr>
        <w:t>或者年累</w:t>
      </w:r>
      <w:r>
        <w:rPr>
          <w:spacing w:val="-7"/>
          <w:w w:val="105"/>
        </w:rPr>
        <w:t xml:space="preserve">计在海上作业 </w:t>
      </w:r>
      <w:r>
        <w:rPr>
          <w:rFonts w:hint="eastAsia" w:ascii="MS UI Gothic" w:eastAsia="MS UI Gothic"/>
          <w:spacing w:val="1"/>
          <w:w w:val="80"/>
        </w:rPr>
        <w:t xml:space="preserve">３０ </w:t>
      </w:r>
      <w:r>
        <w:rPr>
          <w:spacing w:val="2"/>
          <w:w w:val="105"/>
        </w:rPr>
        <w:t xml:space="preserve">日以上 </w:t>
      </w:r>
      <w:r>
        <w:rPr>
          <w:rFonts w:hint="eastAsia" w:ascii="MS UI Gothic" w:eastAsia="MS UI Gothic"/>
          <w:spacing w:val="-34"/>
          <w:w w:val="145"/>
        </w:rPr>
        <w:t xml:space="preserve">( </w:t>
      </w:r>
      <w:r>
        <w:rPr>
          <w:spacing w:val="-29"/>
          <w:w w:val="105"/>
        </w:rPr>
        <w:t xml:space="preserve">含 </w:t>
      </w:r>
      <w:r>
        <w:rPr>
          <w:rFonts w:hint="eastAsia" w:ascii="MS UI Gothic" w:eastAsia="MS UI Gothic"/>
          <w:spacing w:val="1"/>
          <w:w w:val="80"/>
        </w:rPr>
        <w:t xml:space="preserve">３０ </w:t>
      </w:r>
      <w:r>
        <w:rPr>
          <w:spacing w:val="9"/>
          <w:w w:val="105"/>
        </w:rPr>
        <w:t>日</w:t>
      </w:r>
      <w:r>
        <w:rPr>
          <w:rFonts w:hint="eastAsia" w:ascii="MS UI Gothic" w:eastAsia="MS UI Gothic"/>
          <w:spacing w:val="-36"/>
          <w:w w:val="145"/>
        </w:rPr>
        <w:t xml:space="preserve">) </w:t>
      </w:r>
      <w:r>
        <w:rPr>
          <w:rFonts w:hint="eastAsia" w:ascii="MS UI Gothic" w:eastAsia="MS UI Gothic"/>
          <w:spacing w:val="20"/>
          <w:w w:val="80"/>
        </w:rPr>
        <w:t xml:space="preserve">ꎬ </w:t>
      </w:r>
      <w:r>
        <w:rPr>
          <w:w w:val="105"/>
        </w:rPr>
        <w:t>负</w:t>
      </w:r>
      <w:r>
        <w:rPr>
          <w:spacing w:val="3"/>
          <w:w w:val="105"/>
        </w:rPr>
        <w:t>责海上石油设施管理</w:t>
      </w:r>
      <w:r>
        <w:rPr>
          <w:rFonts w:hint="eastAsia" w:ascii="MS UI Gothic" w:eastAsia="MS UI Gothic"/>
          <w:spacing w:val="11"/>
          <w:w w:val="80"/>
        </w:rPr>
        <w:t xml:space="preserve">、 </w:t>
      </w:r>
      <w:r>
        <w:rPr>
          <w:spacing w:val="3"/>
          <w:w w:val="105"/>
        </w:rPr>
        <w:t>操作</w:t>
      </w:r>
      <w:r>
        <w:rPr>
          <w:rFonts w:hint="eastAsia" w:ascii="MS UI Gothic" w:eastAsia="MS UI Gothic"/>
          <w:spacing w:val="11"/>
          <w:w w:val="80"/>
        </w:rPr>
        <w:t xml:space="preserve">、 </w:t>
      </w:r>
      <w:r>
        <w:rPr>
          <w:spacing w:val="2"/>
          <w:w w:val="105"/>
        </w:rPr>
        <w:t>维修等作业</w:t>
      </w:r>
      <w:r>
        <w:rPr>
          <w:spacing w:val="3"/>
          <w:w w:val="105"/>
        </w:rPr>
        <w:t>的人员</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1"/>
          <w:w w:val="110"/>
        </w:rPr>
        <w:t xml:space="preserve">( </w:t>
      </w:r>
      <w:r>
        <w:rPr>
          <w:spacing w:val="3"/>
          <w:w w:val="110"/>
        </w:rPr>
        <w:t>九</w:t>
      </w:r>
      <w:r>
        <w:rPr>
          <w:rFonts w:hint="eastAsia" w:ascii="MS UI Gothic" w:eastAsia="MS UI Gothic"/>
          <w:spacing w:val="-12"/>
          <w:w w:val="110"/>
        </w:rPr>
        <w:t xml:space="preserve">) </w:t>
      </w:r>
      <w:r>
        <w:rPr>
          <w:spacing w:val="5"/>
          <w:w w:val="110"/>
        </w:rPr>
        <w:t>短期出海人员</w:t>
      </w:r>
      <w:r>
        <w:rPr>
          <w:rFonts w:hint="eastAsia" w:ascii="MS UI Gothic" w:eastAsia="MS UI Gothic"/>
          <w:spacing w:val="-8"/>
          <w:w w:val="85"/>
        </w:rPr>
        <w:t xml:space="preserve">ꎬ </w:t>
      </w:r>
      <w:r>
        <w:rPr>
          <w:spacing w:val="9"/>
          <w:w w:val="110"/>
        </w:rPr>
        <w:t>是指每次在海</w:t>
      </w:r>
      <w:r>
        <w:rPr>
          <w:spacing w:val="-23"/>
          <w:w w:val="115"/>
        </w:rPr>
        <w:t xml:space="preserve">上作业 </w:t>
      </w:r>
      <w:r>
        <w:rPr>
          <w:rFonts w:hint="eastAsia" w:ascii="MS UI Gothic" w:eastAsia="MS UI Gothic"/>
          <w:spacing w:val="-4"/>
          <w:w w:val="85"/>
        </w:rPr>
        <w:t xml:space="preserve">５ </w:t>
      </w:r>
      <w:r>
        <w:rPr>
          <w:rFonts w:hint="eastAsia" w:ascii="MS UI Gothic" w:eastAsia="MS UI Gothic"/>
          <w:w w:val="115"/>
        </w:rPr>
        <w:t>~</w:t>
      </w:r>
      <w:r>
        <w:rPr>
          <w:rFonts w:hint="eastAsia" w:ascii="MS UI Gothic" w:eastAsia="MS UI Gothic"/>
          <w:spacing w:val="-58"/>
          <w:w w:val="115"/>
        </w:rPr>
        <w:t xml:space="preserve"> </w:t>
      </w:r>
      <w:r>
        <w:rPr>
          <w:rFonts w:hint="eastAsia" w:ascii="MS UI Gothic" w:eastAsia="MS UI Gothic"/>
          <w:spacing w:val="-9"/>
          <w:w w:val="85"/>
        </w:rPr>
        <w:t xml:space="preserve">１５ </w:t>
      </w:r>
      <w:r>
        <w:rPr>
          <w:spacing w:val="-13"/>
          <w:w w:val="115"/>
        </w:rPr>
        <w:t xml:space="preserve">日以下 </w:t>
      </w:r>
      <w:r>
        <w:rPr>
          <w:rFonts w:hint="eastAsia" w:ascii="MS UI Gothic" w:eastAsia="MS UI Gothic"/>
          <w:spacing w:val="-38"/>
          <w:w w:val="145"/>
        </w:rPr>
        <w:t xml:space="preserve">( </w:t>
      </w:r>
      <w:r>
        <w:rPr>
          <w:spacing w:val="-45"/>
          <w:w w:val="115"/>
        </w:rPr>
        <w:t xml:space="preserve">含 </w:t>
      </w:r>
      <w:r>
        <w:rPr>
          <w:rFonts w:hint="eastAsia" w:ascii="MS UI Gothic" w:eastAsia="MS UI Gothic"/>
          <w:spacing w:val="-11"/>
          <w:w w:val="85"/>
        </w:rPr>
        <w:t xml:space="preserve">５ </w:t>
      </w:r>
      <w:r>
        <w:rPr>
          <w:spacing w:val="7"/>
          <w:w w:val="115"/>
        </w:rPr>
        <w:t>日</w:t>
      </w:r>
      <w:r>
        <w:rPr>
          <w:rFonts w:hint="eastAsia" w:ascii="MS UI Gothic" w:eastAsia="MS UI Gothic"/>
          <w:spacing w:val="-40"/>
          <w:w w:val="145"/>
        </w:rPr>
        <w:t xml:space="preserve">) </w:t>
      </w:r>
      <w:r>
        <w:rPr>
          <w:rFonts w:hint="eastAsia" w:ascii="MS UI Gothic" w:eastAsia="MS UI Gothic"/>
          <w:spacing w:val="-1"/>
          <w:w w:val="85"/>
        </w:rPr>
        <w:t xml:space="preserve">ꎬ </w:t>
      </w:r>
      <w:r>
        <w:rPr>
          <w:spacing w:val="6"/>
          <w:w w:val="115"/>
        </w:rPr>
        <w:t>或者年</w:t>
      </w:r>
      <w:r>
        <w:rPr>
          <w:spacing w:val="-10"/>
          <w:w w:val="115"/>
        </w:rPr>
        <w:t xml:space="preserve">累计出海时间在 </w:t>
      </w:r>
      <w:r>
        <w:rPr>
          <w:rFonts w:hint="eastAsia" w:ascii="MS UI Gothic" w:eastAsia="MS UI Gothic"/>
          <w:spacing w:val="-14"/>
          <w:w w:val="85"/>
        </w:rPr>
        <w:t xml:space="preserve">１０ </w:t>
      </w:r>
      <w:r>
        <w:rPr>
          <w:rFonts w:hint="eastAsia" w:ascii="MS UI Gothic" w:eastAsia="MS UI Gothic"/>
          <w:w w:val="115"/>
        </w:rPr>
        <w:t>~</w:t>
      </w:r>
      <w:r>
        <w:rPr>
          <w:rFonts w:hint="eastAsia" w:ascii="MS UI Gothic" w:eastAsia="MS UI Gothic"/>
          <w:spacing w:val="-58"/>
          <w:w w:val="115"/>
        </w:rPr>
        <w:t xml:space="preserve"> </w:t>
      </w:r>
      <w:r>
        <w:rPr>
          <w:rFonts w:hint="eastAsia" w:ascii="MS UI Gothic" w:eastAsia="MS UI Gothic"/>
          <w:spacing w:val="-9"/>
          <w:w w:val="85"/>
        </w:rPr>
        <w:t xml:space="preserve">３０ </w:t>
      </w:r>
      <w:r>
        <w:rPr>
          <w:spacing w:val="-34"/>
          <w:w w:val="115"/>
        </w:rPr>
        <w:t xml:space="preserve">日 </w:t>
      </w:r>
      <w:r>
        <w:rPr>
          <w:rFonts w:hint="eastAsia" w:ascii="MS UI Gothic" w:eastAsia="MS UI Gothic"/>
          <w:spacing w:val="-40"/>
          <w:w w:val="145"/>
        </w:rPr>
        <w:t xml:space="preserve">( </w:t>
      </w:r>
      <w:r>
        <w:rPr>
          <w:spacing w:val="-45"/>
          <w:w w:val="115"/>
        </w:rPr>
        <w:t xml:space="preserve">含 </w:t>
      </w:r>
      <w:r>
        <w:rPr>
          <w:rFonts w:hint="eastAsia" w:ascii="MS UI Gothic" w:eastAsia="MS UI Gothic"/>
          <w:spacing w:val="-8"/>
          <w:w w:val="85"/>
        </w:rPr>
        <w:t xml:space="preserve">１０ </w:t>
      </w:r>
      <w:r>
        <w:rPr>
          <w:spacing w:val="7"/>
          <w:w w:val="115"/>
        </w:rPr>
        <w:t>日</w:t>
      </w:r>
      <w:r>
        <w:rPr>
          <w:rFonts w:hint="eastAsia" w:ascii="MS UI Gothic" w:eastAsia="MS UI Gothic"/>
          <w:spacing w:val="-15"/>
          <w:w w:val="145"/>
        </w:rPr>
        <w:t xml:space="preserve">) </w:t>
      </w:r>
      <w:r>
        <w:rPr>
          <w:w w:val="115"/>
        </w:rPr>
        <w:t>的</w:t>
      </w:r>
      <w:r>
        <w:rPr>
          <w:spacing w:val="3"/>
          <w:w w:val="115"/>
        </w:rPr>
        <w:t>海上石油作业人员</w:t>
      </w:r>
      <w:r>
        <w:rPr>
          <w:rFonts w:hint="eastAsia" w:ascii="MS UI Gothic" w:eastAsia="MS UI Gothic"/>
          <w:w w:val="85"/>
        </w:rPr>
        <w:t>ꎻ</w:t>
      </w:r>
    </w:p>
    <w:p>
      <w:pPr>
        <w:pStyle w:val="6"/>
        <w:spacing w:line="295" w:lineRule="auto"/>
        <w:ind w:right="38"/>
        <w:rPr>
          <w:rFonts w:hint="eastAsia" w:ascii="MS UI Gothic" w:eastAsia="MS UI Gothic"/>
        </w:rPr>
      </w:pPr>
      <w:r>
        <w:rPr>
          <w:rFonts w:hint="eastAsia" w:ascii="MS UI Gothic" w:eastAsia="MS UI Gothic"/>
          <w:w w:val="145"/>
        </w:rPr>
        <w:t xml:space="preserve">( </w:t>
      </w:r>
      <w:r>
        <w:t>十</w:t>
      </w:r>
      <w:r>
        <w:rPr>
          <w:rFonts w:hint="eastAsia" w:ascii="MS UI Gothic" w:eastAsia="MS UI Gothic"/>
          <w:w w:val="145"/>
        </w:rPr>
        <w:t xml:space="preserve">) </w:t>
      </w:r>
      <w:r>
        <w:t>临时出海人员</w:t>
      </w:r>
      <w:r>
        <w:rPr>
          <w:rFonts w:hint="eastAsia" w:ascii="MS UI Gothic" w:eastAsia="MS UI Gothic"/>
          <w:w w:val="80"/>
        </w:rPr>
        <w:t xml:space="preserve">ꎬ </w:t>
      </w:r>
      <w:r>
        <w:t xml:space="preserve">是指每次出海在 </w:t>
      </w:r>
      <w:r>
        <w:rPr>
          <w:rFonts w:hint="eastAsia" w:ascii="MS UI Gothic" w:eastAsia="MS UI Gothic"/>
          <w:w w:val="80"/>
        </w:rPr>
        <w:t xml:space="preserve">５ </w:t>
      </w:r>
      <w:r>
        <w:t>日以下的人员</w:t>
      </w:r>
      <w:r>
        <w:rPr>
          <w:rFonts w:hint="eastAsia" w:ascii="MS UI Gothic" w:eastAsia="MS UI Gothic"/>
          <w:w w:val="80"/>
        </w:rPr>
        <w:t xml:space="preserve">ꎬ </w:t>
      </w:r>
      <w:r>
        <w:t xml:space="preserve">或者年累计 </w:t>
      </w:r>
      <w:r>
        <w:rPr>
          <w:rFonts w:hint="eastAsia" w:ascii="MS UI Gothic" w:eastAsia="MS UI Gothic"/>
          <w:w w:val="80"/>
        </w:rPr>
        <w:t xml:space="preserve">１０ </w:t>
      </w:r>
      <w:r>
        <w:t>日以下</w:t>
      </w:r>
      <w:r>
        <w:rPr>
          <w:rFonts w:hint="eastAsia" w:ascii="MS UI Gothic" w:eastAsia="MS UI Gothic"/>
          <w:w w:val="80"/>
        </w:rPr>
        <w:t>ꎻ</w:t>
      </w:r>
    </w:p>
    <w:p>
      <w:pPr>
        <w:pStyle w:val="6"/>
        <w:spacing w:line="254" w:lineRule="exact"/>
        <w:ind w:left="543" w:firstLine="0"/>
      </w:pPr>
      <w:r>
        <w:rPr>
          <w:rFonts w:hint="eastAsia" w:ascii="MS UI Gothic" w:eastAsia="MS UI Gothic"/>
          <w:w w:val="110"/>
        </w:rPr>
        <w:t xml:space="preserve">( </w:t>
      </w:r>
      <w:r>
        <w:rPr>
          <w:w w:val="110"/>
        </w:rPr>
        <w:t>十一</w:t>
      </w:r>
      <w:r>
        <w:rPr>
          <w:rFonts w:hint="eastAsia" w:ascii="MS UI Gothic" w:eastAsia="MS UI Gothic"/>
          <w:w w:val="110"/>
        </w:rPr>
        <w:t xml:space="preserve">) </w:t>
      </w:r>
      <w:r>
        <w:rPr>
          <w:w w:val="110"/>
        </w:rPr>
        <w:t>海上油气生产设施兼职消防</w:t>
      </w:r>
    </w:p>
    <w:p>
      <w:pPr>
        <w:pStyle w:val="6"/>
        <w:spacing w:before="123" w:line="295" w:lineRule="auto"/>
        <w:ind w:right="440" w:firstLine="0"/>
        <w:rPr>
          <w:rFonts w:hint="eastAsia" w:ascii="MS UI Gothic" w:eastAsia="MS UI Gothic"/>
        </w:rPr>
      </w:pPr>
      <w:r>
        <w:br w:type="column"/>
      </w:r>
      <w:r>
        <w:rPr>
          <w:spacing w:val="7"/>
          <w:w w:val="105"/>
        </w:rPr>
        <w:t>队员</w:t>
      </w:r>
      <w:r>
        <w:rPr>
          <w:rFonts w:hint="eastAsia" w:ascii="MS UI Gothic" w:eastAsia="MS UI Gothic"/>
          <w:spacing w:val="16"/>
          <w:w w:val="80"/>
        </w:rPr>
        <w:t xml:space="preserve">ꎬ </w:t>
      </w:r>
      <w:r>
        <w:rPr>
          <w:spacing w:val="14"/>
          <w:w w:val="105"/>
        </w:rPr>
        <w:t xml:space="preserve">是指海上油 </w:t>
      </w:r>
      <w:r>
        <w:rPr>
          <w:rFonts w:hint="eastAsia" w:ascii="MS UI Gothic" w:eastAsia="MS UI Gothic"/>
          <w:spacing w:val="-34"/>
          <w:w w:val="150"/>
        </w:rPr>
        <w:t xml:space="preserve">( </w:t>
      </w:r>
      <w:r>
        <w:rPr>
          <w:spacing w:val="19"/>
          <w:w w:val="105"/>
        </w:rPr>
        <w:t>气</w:t>
      </w:r>
      <w:r>
        <w:rPr>
          <w:rFonts w:hint="eastAsia" w:ascii="MS UI Gothic" w:eastAsia="MS UI Gothic"/>
          <w:spacing w:val="2"/>
          <w:w w:val="150"/>
        </w:rPr>
        <w:t xml:space="preserve">) </w:t>
      </w:r>
      <w:r>
        <w:rPr>
          <w:spacing w:val="22"/>
          <w:w w:val="105"/>
        </w:rPr>
        <w:t>生产设施上</w:t>
      </w:r>
      <w:r>
        <w:rPr>
          <w:rFonts w:hint="eastAsia" w:ascii="MS UI Gothic" w:eastAsia="MS UI Gothic"/>
          <w:spacing w:val="-11"/>
          <w:w w:val="80"/>
        </w:rPr>
        <w:t>ꎬ</w:t>
      </w:r>
      <w:r>
        <w:rPr>
          <w:spacing w:val="3"/>
          <w:w w:val="105"/>
        </w:rPr>
        <w:t>直接从事消防设备操作</w:t>
      </w:r>
      <w:r>
        <w:rPr>
          <w:rFonts w:hint="eastAsia" w:ascii="MS UI Gothic" w:eastAsia="MS UI Gothic"/>
          <w:spacing w:val="-2"/>
          <w:w w:val="80"/>
        </w:rPr>
        <w:t xml:space="preserve">、 </w:t>
      </w:r>
      <w:r>
        <w:rPr>
          <w:spacing w:val="2"/>
          <w:w w:val="105"/>
        </w:rPr>
        <w:t>现场灭火指挥的</w:t>
      </w:r>
      <w:r>
        <w:rPr>
          <w:spacing w:val="3"/>
          <w:w w:val="105"/>
        </w:rPr>
        <w:t>关键人员</w:t>
      </w:r>
      <w:r>
        <w:rPr>
          <w:rFonts w:hint="eastAsia" w:ascii="MS UI Gothic" w:eastAsia="MS UI Gothic"/>
          <w:w w:val="80"/>
        </w:rPr>
        <w:t>ꎻ</w:t>
      </w:r>
    </w:p>
    <w:p>
      <w:pPr>
        <w:pStyle w:val="6"/>
        <w:tabs>
          <w:tab w:val="left" w:pos="1428"/>
          <w:tab w:val="left" w:pos="2653"/>
        </w:tabs>
        <w:spacing w:line="295" w:lineRule="auto"/>
        <w:ind w:right="440"/>
        <w:jc w:val="right"/>
      </w:pPr>
      <w:r>
        <w:rPr>
          <w:rFonts w:hint="eastAsia" w:ascii="MS UI Gothic" w:hAnsi="MS UI Gothic" w:eastAsia="MS UI Gothic"/>
          <w:w w:val="150"/>
        </w:rPr>
        <w:t>(</w:t>
      </w:r>
      <w:r>
        <w:rPr>
          <w:rFonts w:hint="eastAsia" w:ascii="MS UI Gothic" w:hAnsi="MS UI Gothic" w:eastAsia="MS UI Gothic"/>
          <w:spacing w:val="-69"/>
          <w:w w:val="150"/>
        </w:rPr>
        <w:t xml:space="preserve"> </w:t>
      </w:r>
      <w:r>
        <w:rPr>
          <w:spacing w:val="3"/>
          <w:w w:val="105"/>
        </w:rPr>
        <w:t>十</w:t>
      </w:r>
      <w:r>
        <w:rPr>
          <w:spacing w:val="5"/>
          <w:w w:val="105"/>
        </w:rPr>
        <w:t>二</w:t>
      </w:r>
      <w:r>
        <w:rPr>
          <w:rFonts w:hint="eastAsia" w:ascii="MS UI Gothic" w:hAnsi="MS UI Gothic" w:eastAsia="MS UI Gothic"/>
          <w:w w:val="150"/>
        </w:rPr>
        <w:t>)</w:t>
      </w:r>
      <w:r>
        <w:rPr>
          <w:rFonts w:hint="eastAsia" w:ascii="MS UI Gothic" w:hAnsi="MS UI Gothic" w:eastAsia="MS UI Gothic"/>
          <w:w w:val="150"/>
        </w:rPr>
        <w:tab/>
      </w:r>
      <w:r>
        <w:rPr>
          <w:rFonts w:hint="eastAsia" w:ascii="MS UI Gothic" w:hAnsi="MS UI Gothic" w:eastAsia="MS UI Gothic"/>
        </w:rPr>
        <w:t>“</w:t>
      </w:r>
      <w:r>
        <w:rPr>
          <w:rFonts w:hint="eastAsia" w:ascii="MS UI Gothic" w:hAnsi="MS UI Gothic" w:eastAsia="MS UI Gothic"/>
          <w:spacing w:val="31"/>
        </w:rPr>
        <w:t xml:space="preserve"> </w:t>
      </w:r>
      <w:r>
        <w:rPr>
          <w:spacing w:val="15"/>
        </w:rPr>
        <w:t>海上石油作业安全</w:t>
      </w:r>
      <w:r>
        <w:rPr>
          <w:spacing w:val="17"/>
        </w:rPr>
        <w:t>救</w:t>
      </w:r>
      <w:r>
        <w:rPr>
          <w:spacing w:val="13"/>
        </w:rPr>
        <w:t>生</w:t>
      </w:r>
      <w:r>
        <w:rPr>
          <w:rFonts w:hint="eastAsia" w:ascii="MS UI Gothic" w:hAnsi="MS UI Gothic" w:eastAsia="MS UI Gothic"/>
        </w:rPr>
        <w:t>”</w:t>
      </w:r>
      <w:r>
        <w:rPr>
          <w:spacing w:val="3"/>
          <w:w w:val="105"/>
        </w:rPr>
        <w:t>培训</w:t>
      </w:r>
      <w:r>
        <w:rPr>
          <w:rFonts w:hint="eastAsia" w:ascii="MS UI Gothic" w:hAnsi="MS UI Gothic" w:eastAsia="MS UI Gothic"/>
          <w:w w:val="80"/>
        </w:rPr>
        <w:t>ꎬ</w:t>
      </w:r>
      <w:r>
        <w:rPr>
          <w:rFonts w:hint="eastAsia" w:ascii="MS UI Gothic" w:hAnsi="MS UI Gothic" w:eastAsia="MS UI Gothic"/>
          <w:spacing w:val="28"/>
          <w:w w:val="80"/>
        </w:rPr>
        <w:t xml:space="preserve"> </w:t>
      </w:r>
      <w:r>
        <w:rPr>
          <w:spacing w:val="3"/>
          <w:w w:val="105"/>
        </w:rPr>
        <w:t>是</w:t>
      </w:r>
      <w:r>
        <w:rPr>
          <w:w w:val="105"/>
        </w:rPr>
        <w:t>指</w:t>
      </w:r>
      <w:r>
        <w:rPr>
          <w:spacing w:val="-25"/>
          <w:w w:val="105"/>
        </w:rPr>
        <w:t xml:space="preserve"> </w:t>
      </w:r>
      <w:r>
        <w:rPr>
          <w:rFonts w:hint="eastAsia" w:ascii="MS UI Gothic" w:hAnsi="MS UI Gothic" w:eastAsia="MS UI Gothic"/>
          <w:w w:val="105"/>
        </w:rPr>
        <w:t>“</w:t>
      </w:r>
      <w:r>
        <w:rPr>
          <w:rFonts w:hint="eastAsia" w:ascii="MS UI Gothic" w:hAnsi="MS UI Gothic" w:eastAsia="MS UI Gothic"/>
          <w:spacing w:val="-45"/>
          <w:w w:val="105"/>
        </w:rPr>
        <w:t xml:space="preserve"> </w:t>
      </w:r>
      <w:r>
        <w:rPr>
          <w:spacing w:val="11"/>
          <w:w w:val="105"/>
        </w:rPr>
        <w:t>海上求</w:t>
      </w:r>
      <w:r>
        <w:rPr>
          <w:spacing w:val="9"/>
          <w:w w:val="105"/>
        </w:rPr>
        <w:t>生</w:t>
      </w:r>
      <w:r>
        <w:rPr>
          <w:rFonts w:hint="eastAsia" w:ascii="MS UI Gothic" w:hAnsi="MS UI Gothic" w:eastAsia="MS UI Gothic"/>
          <w:spacing w:val="21"/>
          <w:w w:val="105"/>
        </w:rPr>
        <w:t>”</w:t>
      </w:r>
      <w:r>
        <w:rPr>
          <w:rFonts w:hint="eastAsia" w:ascii="MS UI Gothic" w:hAnsi="MS UI Gothic" w:eastAsia="MS UI Gothic"/>
          <w:w w:val="80"/>
        </w:rPr>
        <w:t>、</w:t>
      </w:r>
      <w:r>
        <w:rPr>
          <w:rFonts w:hint="eastAsia" w:ascii="MS UI Gothic" w:hAnsi="MS UI Gothic" w:eastAsia="MS UI Gothic"/>
          <w:spacing w:val="32"/>
          <w:w w:val="80"/>
        </w:rPr>
        <w:t xml:space="preserve"> </w:t>
      </w:r>
      <w:r>
        <w:rPr>
          <w:rFonts w:hint="eastAsia" w:ascii="MS UI Gothic" w:hAnsi="MS UI Gothic" w:eastAsia="MS UI Gothic"/>
          <w:w w:val="105"/>
        </w:rPr>
        <w:t>“</w:t>
      </w:r>
      <w:r>
        <w:rPr>
          <w:rFonts w:hint="eastAsia" w:ascii="MS UI Gothic" w:hAnsi="MS UI Gothic" w:eastAsia="MS UI Gothic"/>
          <w:spacing w:val="-45"/>
          <w:w w:val="105"/>
        </w:rPr>
        <w:t xml:space="preserve"> </w:t>
      </w:r>
      <w:r>
        <w:rPr>
          <w:spacing w:val="11"/>
          <w:w w:val="105"/>
        </w:rPr>
        <w:t>海</w:t>
      </w:r>
      <w:r>
        <w:rPr>
          <w:spacing w:val="13"/>
          <w:w w:val="105"/>
        </w:rPr>
        <w:t>上平台</w:t>
      </w:r>
      <w:r>
        <w:rPr>
          <w:w w:val="105"/>
        </w:rPr>
        <w:t>消</w:t>
      </w:r>
      <w:r>
        <w:rPr>
          <w:spacing w:val="3"/>
          <w:w w:val="105"/>
        </w:rPr>
        <w:t>防</w:t>
      </w:r>
      <w:r>
        <w:rPr>
          <w:rFonts w:hint="eastAsia" w:ascii="MS UI Gothic" w:hAnsi="MS UI Gothic" w:eastAsia="MS UI Gothic"/>
          <w:spacing w:val="21"/>
          <w:w w:val="105"/>
        </w:rPr>
        <w:t>”</w:t>
      </w:r>
      <w:r>
        <w:rPr>
          <w:rFonts w:hint="eastAsia" w:ascii="MS UI Gothic" w:hAnsi="MS UI Gothic" w:eastAsia="MS UI Gothic"/>
          <w:w w:val="80"/>
        </w:rPr>
        <w:t xml:space="preserve">、  </w:t>
      </w:r>
      <w:r>
        <w:rPr>
          <w:rFonts w:hint="eastAsia" w:ascii="MS UI Gothic" w:hAnsi="MS UI Gothic" w:eastAsia="MS UI Gothic"/>
          <w:spacing w:val="25"/>
          <w:w w:val="80"/>
        </w:rPr>
        <w:t xml:space="preserve"> </w:t>
      </w:r>
      <w:r>
        <w:rPr>
          <w:rFonts w:hint="eastAsia" w:ascii="MS UI Gothic" w:hAnsi="MS UI Gothic" w:eastAsia="MS UI Gothic"/>
          <w:w w:val="105"/>
        </w:rPr>
        <w:t>“</w:t>
      </w:r>
      <w:r>
        <w:rPr>
          <w:rFonts w:hint="eastAsia" w:ascii="MS UI Gothic" w:hAnsi="MS UI Gothic" w:eastAsia="MS UI Gothic"/>
          <w:spacing w:val="-38"/>
          <w:w w:val="105"/>
        </w:rPr>
        <w:t xml:space="preserve"> </w:t>
      </w:r>
      <w:r>
        <w:rPr>
          <w:spacing w:val="15"/>
          <w:w w:val="105"/>
        </w:rPr>
        <w:t>救生艇筏操</w:t>
      </w:r>
      <w:r>
        <w:rPr>
          <w:spacing w:val="11"/>
          <w:w w:val="105"/>
        </w:rPr>
        <w:t>纵</w:t>
      </w:r>
      <w:r>
        <w:rPr>
          <w:rFonts w:hint="eastAsia" w:ascii="MS UI Gothic" w:hAnsi="MS UI Gothic" w:eastAsia="MS UI Gothic"/>
          <w:spacing w:val="21"/>
          <w:w w:val="105"/>
        </w:rPr>
        <w:t>”</w:t>
      </w:r>
      <w:r>
        <w:rPr>
          <w:rFonts w:hint="eastAsia" w:ascii="MS UI Gothic" w:hAnsi="MS UI Gothic" w:eastAsia="MS UI Gothic"/>
          <w:w w:val="80"/>
        </w:rPr>
        <w:t>、</w:t>
      </w:r>
      <w:r>
        <w:rPr>
          <w:rFonts w:hint="eastAsia" w:ascii="MS UI Gothic" w:hAnsi="MS UI Gothic" w:eastAsia="MS UI Gothic"/>
          <w:w w:val="80"/>
        </w:rPr>
        <w:tab/>
      </w:r>
      <w:r>
        <w:rPr>
          <w:rFonts w:hint="eastAsia" w:ascii="MS UI Gothic" w:hAnsi="MS UI Gothic" w:eastAsia="MS UI Gothic"/>
        </w:rPr>
        <w:t>“</w:t>
      </w:r>
      <w:r>
        <w:rPr>
          <w:rFonts w:hint="eastAsia" w:ascii="MS UI Gothic" w:hAnsi="MS UI Gothic" w:eastAsia="MS UI Gothic"/>
          <w:spacing w:val="-6"/>
        </w:rPr>
        <w:t xml:space="preserve"> </w:t>
      </w:r>
      <w:r>
        <w:rPr>
          <w:spacing w:val="15"/>
        </w:rPr>
        <w:t>海上急</w:t>
      </w:r>
      <w:r>
        <w:rPr>
          <w:spacing w:val="13"/>
        </w:rPr>
        <w:t>救</w:t>
      </w:r>
      <w:r>
        <w:rPr>
          <w:rFonts w:hint="eastAsia" w:ascii="MS UI Gothic" w:hAnsi="MS UI Gothic" w:eastAsia="MS UI Gothic"/>
          <w:spacing w:val="21"/>
        </w:rPr>
        <w:t>”</w:t>
      </w:r>
      <w:r>
        <w:rPr>
          <w:rFonts w:hint="eastAsia" w:ascii="MS UI Gothic" w:hAnsi="MS UI Gothic" w:eastAsia="MS UI Gothic"/>
          <w:spacing w:val="-15"/>
          <w:w w:val="80"/>
        </w:rPr>
        <w:t>、</w:t>
      </w:r>
      <w:r>
        <w:rPr>
          <w:rFonts w:hint="eastAsia" w:ascii="MS UI Gothic" w:hAnsi="MS UI Gothic" w:eastAsia="MS UI Gothic"/>
          <w:w w:val="77"/>
        </w:rPr>
        <w:t xml:space="preserve"> </w:t>
      </w:r>
      <w:r>
        <w:rPr>
          <w:rFonts w:hint="eastAsia" w:ascii="MS UI Gothic" w:hAnsi="MS UI Gothic" w:eastAsia="MS UI Gothic"/>
          <w:w w:val="105"/>
        </w:rPr>
        <w:t>“</w:t>
      </w:r>
      <w:r>
        <w:rPr>
          <w:rFonts w:hint="eastAsia" w:ascii="MS UI Gothic" w:hAnsi="MS UI Gothic" w:eastAsia="MS UI Gothic"/>
          <w:spacing w:val="-57"/>
          <w:w w:val="105"/>
        </w:rPr>
        <w:t xml:space="preserve"> </w:t>
      </w:r>
      <w:r>
        <w:rPr>
          <w:spacing w:val="3"/>
          <w:w w:val="105"/>
        </w:rPr>
        <w:t>直升机遇险水下逃生</w:t>
      </w:r>
      <w:r>
        <w:rPr>
          <w:rFonts w:hint="eastAsia" w:ascii="MS UI Gothic" w:hAnsi="MS UI Gothic" w:eastAsia="MS UI Gothic"/>
          <w:w w:val="105"/>
        </w:rPr>
        <w:t>”</w:t>
      </w:r>
      <w:r>
        <w:rPr>
          <w:rFonts w:hint="eastAsia" w:ascii="MS UI Gothic" w:hAnsi="MS UI Gothic" w:eastAsia="MS UI Gothic"/>
          <w:spacing w:val="-24"/>
          <w:w w:val="105"/>
        </w:rPr>
        <w:t xml:space="preserve"> </w:t>
      </w:r>
      <w:r>
        <w:rPr>
          <w:rFonts w:hint="eastAsia" w:ascii="MS UI Gothic" w:hAnsi="MS UI Gothic" w:eastAsia="MS UI Gothic"/>
          <w:w w:val="80"/>
        </w:rPr>
        <w:t>５</w:t>
      </w:r>
      <w:r>
        <w:rPr>
          <w:rFonts w:hint="eastAsia" w:ascii="MS UI Gothic" w:hAnsi="MS UI Gothic" w:eastAsia="MS UI Gothic"/>
          <w:spacing w:val="-30"/>
          <w:w w:val="80"/>
        </w:rPr>
        <w:t xml:space="preserve"> </w:t>
      </w:r>
      <w:r>
        <w:rPr>
          <w:spacing w:val="3"/>
          <w:w w:val="105"/>
        </w:rPr>
        <w:t>项内容的培训</w:t>
      </w:r>
      <w:r>
        <w:rPr>
          <w:rFonts w:hint="eastAsia" w:ascii="MS UI Gothic" w:hAnsi="MS UI Gothic" w:eastAsia="MS UI Gothic"/>
          <w:w w:val="80"/>
        </w:rPr>
        <w:t>ꎻ</w:t>
      </w:r>
      <w:r>
        <w:rPr>
          <w:rFonts w:hint="eastAsia" w:ascii="MS UI Gothic" w:hAnsi="MS UI Gothic" w:eastAsia="MS UI Gothic"/>
          <w:w w:val="51"/>
        </w:rPr>
        <w:t xml:space="preserve"> </w:t>
      </w:r>
      <w:r>
        <w:rPr>
          <w:rFonts w:hint="eastAsia" w:ascii="MS UI Gothic" w:hAnsi="MS UI Gothic" w:eastAsia="MS UI Gothic"/>
          <w:w w:val="150"/>
        </w:rPr>
        <w:t>(</w:t>
      </w:r>
      <w:r>
        <w:rPr>
          <w:rFonts w:hint="eastAsia" w:ascii="MS UI Gothic" w:hAnsi="MS UI Gothic" w:eastAsia="MS UI Gothic"/>
          <w:spacing w:val="-78"/>
          <w:w w:val="150"/>
        </w:rPr>
        <w:t xml:space="preserve"> </w:t>
      </w:r>
      <w:r>
        <w:rPr>
          <w:spacing w:val="3"/>
          <w:w w:val="105"/>
        </w:rPr>
        <w:t>十三</w:t>
      </w:r>
      <w:r>
        <w:rPr>
          <w:rFonts w:hint="eastAsia" w:ascii="MS UI Gothic" w:hAnsi="MS UI Gothic" w:eastAsia="MS UI Gothic"/>
          <w:w w:val="150"/>
        </w:rPr>
        <w:t>)</w:t>
      </w:r>
      <w:r>
        <w:rPr>
          <w:rFonts w:hint="eastAsia" w:ascii="MS UI Gothic" w:hAnsi="MS UI Gothic" w:eastAsia="MS UI Gothic"/>
          <w:spacing w:val="-10"/>
          <w:w w:val="150"/>
        </w:rPr>
        <w:t xml:space="preserve"> </w:t>
      </w:r>
      <w:r>
        <w:rPr>
          <w:spacing w:val="7"/>
          <w:w w:val="105"/>
        </w:rPr>
        <w:t>弃</w:t>
      </w:r>
      <w:r>
        <w:rPr>
          <w:spacing w:val="9"/>
          <w:w w:val="105"/>
        </w:rPr>
        <w:t>井作</w:t>
      </w:r>
      <w:r>
        <w:rPr>
          <w:spacing w:val="3"/>
          <w:w w:val="105"/>
        </w:rPr>
        <w:t>业</w:t>
      </w:r>
      <w:r>
        <w:rPr>
          <w:rFonts w:hint="eastAsia" w:ascii="MS UI Gothic" w:hAnsi="MS UI Gothic" w:eastAsia="MS UI Gothic"/>
          <w:w w:val="80"/>
        </w:rPr>
        <w:t>ꎬ</w:t>
      </w:r>
      <w:r>
        <w:rPr>
          <w:rFonts w:hint="eastAsia" w:ascii="MS UI Gothic" w:hAnsi="MS UI Gothic" w:eastAsia="MS UI Gothic"/>
          <w:spacing w:val="23"/>
          <w:w w:val="80"/>
        </w:rPr>
        <w:t xml:space="preserve"> </w:t>
      </w:r>
      <w:r>
        <w:rPr>
          <w:spacing w:val="11"/>
          <w:w w:val="105"/>
        </w:rPr>
        <w:t>是指为了防止</w:t>
      </w:r>
      <w:r>
        <w:rPr>
          <w:w w:val="105"/>
        </w:rPr>
        <w:t>海</w:t>
      </w:r>
    </w:p>
    <w:p>
      <w:pPr>
        <w:pStyle w:val="6"/>
        <w:spacing w:line="295" w:lineRule="auto"/>
        <w:ind w:right="440" w:firstLine="0"/>
        <w:rPr>
          <w:rFonts w:hint="eastAsia" w:ascii="MS UI Gothic" w:eastAsia="MS UI Gothic"/>
        </w:rPr>
      </w:pPr>
      <w:r>
        <w:t>洋污染</w:t>
      </w:r>
      <w:r>
        <w:rPr>
          <w:rFonts w:hint="eastAsia" w:ascii="MS UI Gothic" w:eastAsia="MS UI Gothic"/>
          <w:w w:val="80"/>
        </w:rPr>
        <w:t xml:space="preserve">、 </w:t>
      </w:r>
      <w:r>
        <w:t>保证油井和海上运输安全而对油井采取的防止溢油和碰撞的一系列措施</w:t>
      </w:r>
      <w:r>
        <w:rPr>
          <w:rFonts w:hint="eastAsia" w:ascii="MS UI Gothic" w:eastAsia="MS UI Gothic"/>
          <w:w w:val="80"/>
        </w:rPr>
        <w:t>ꎬ</w:t>
      </w:r>
      <w:r>
        <w:t>包括永久性弃井作业和临时弃井作业</w:t>
      </w:r>
      <w:r>
        <w:rPr>
          <w:rFonts w:hint="eastAsia" w:ascii="MS UI Gothic" w:eastAsia="MS UI Gothic"/>
          <w:w w:val="80"/>
        </w:rPr>
        <w:t xml:space="preserve">ꎮ </w:t>
      </w:r>
      <w:r>
        <w:t>永久性弃井</w:t>
      </w:r>
      <w:r>
        <w:rPr>
          <w:rFonts w:hint="eastAsia" w:ascii="MS UI Gothic" w:eastAsia="MS UI Gothic"/>
          <w:w w:val="80"/>
        </w:rPr>
        <w:t xml:space="preserve">ꎬ </w:t>
      </w:r>
      <w:r>
        <w:t>是指对废弃的井进行封堵井眼及回收井口装置的作业</w:t>
      </w:r>
      <w:r>
        <w:rPr>
          <w:rFonts w:hint="eastAsia" w:ascii="MS UI Gothic" w:eastAsia="MS UI Gothic"/>
          <w:w w:val="80"/>
        </w:rPr>
        <w:t xml:space="preserve">ꎻ </w:t>
      </w:r>
      <w:r>
        <w:t>临时弃井</w:t>
      </w:r>
      <w:r>
        <w:rPr>
          <w:rFonts w:hint="eastAsia" w:ascii="MS UI Gothic" w:eastAsia="MS UI Gothic"/>
          <w:w w:val="80"/>
        </w:rPr>
        <w:t xml:space="preserve">ꎬ </w:t>
      </w:r>
      <w:r>
        <w:t>是指对正在钻井</w:t>
      </w:r>
      <w:r>
        <w:rPr>
          <w:rFonts w:hint="eastAsia" w:ascii="MS UI Gothic" w:eastAsia="MS UI Gothic"/>
          <w:w w:val="80"/>
        </w:rPr>
        <w:t xml:space="preserve">ꎬ </w:t>
      </w:r>
      <w:r>
        <w:t>因故中止作业或者对已完成作业的井需保留井口而进行的封堵井眼</w:t>
      </w:r>
      <w:r>
        <w:rPr>
          <w:rFonts w:hint="eastAsia" w:ascii="MS UI Gothic" w:eastAsia="MS UI Gothic"/>
          <w:w w:val="80"/>
        </w:rPr>
        <w:t>ꎬ</w:t>
      </w:r>
      <w:r>
        <w:t>戴井口帽及设置井口信号标志的作业</w:t>
      </w:r>
      <w:r>
        <w:rPr>
          <w:rFonts w:hint="eastAsia" w:ascii="MS UI Gothic" w:eastAsia="MS UI Gothic"/>
          <w:w w:val="80"/>
        </w:rPr>
        <w:t>ꎮ</w:t>
      </w:r>
    </w:p>
    <w:p>
      <w:pPr>
        <w:pStyle w:val="6"/>
        <w:tabs>
          <w:tab w:val="left" w:pos="2220"/>
        </w:tabs>
        <w:spacing w:line="295" w:lineRule="auto"/>
        <w:ind w:right="442"/>
        <w:jc w:val="left"/>
        <w:rPr>
          <w:rFonts w:hint="eastAsia" w:ascii="MS UI Gothic" w:eastAsia="MS UI Gothic"/>
        </w:rPr>
      </w:pPr>
      <w:r>
        <w:rPr>
          <w:spacing w:val="3"/>
        </w:rPr>
        <w:t>第一百一十七</w:t>
      </w:r>
      <w:r>
        <w:t>条</w:t>
      </w:r>
      <w:r>
        <w:tab/>
      </w:r>
      <w:r>
        <w:rPr>
          <w:spacing w:val="3"/>
        </w:rPr>
        <w:t>本细则所规定的</w:t>
      </w:r>
      <w:r>
        <w:rPr>
          <w:spacing w:val="-11"/>
        </w:rPr>
        <w:t>有</w:t>
      </w:r>
      <w:r>
        <w:rPr>
          <w:spacing w:val="3"/>
        </w:rPr>
        <w:t>关文书格式</w:t>
      </w:r>
      <w:r>
        <w:rPr>
          <w:rFonts w:hint="eastAsia" w:ascii="MS UI Gothic" w:eastAsia="MS UI Gothic"/>
          <w:w w:val="80"/>
        </w:rPr>
        <w:t>ꎬ</w:t>
      </w:r>
      <w:r>
        <w:rPr>
          <w:rFonts w:hint="eastAsia" w:ascii="MS UI Gothic" w:eastAsia="MS UI Gothic"/>
          <w:spacing w:val="2"/>
          <w:w w:val="80"/>
        </w:rPr>
        <w:t xml:space="preserve"> </w:t>
      </w:r>
      <w:r>
        <w:rPr>
          <w:spacing w:val="3"/>
        </w:rPr>
        <w:t>由海油安办统一式样</w:t>
      </w:r>
      <w:r>
        <w:rPr>
          <w:rFonts w:hint="eastAsia" w:ascii="MS UI Gothic" w:eastAsia="MS UI Gothic"/>
          <w:w w:val="80"/>
        </w:rPr>
        <w:t>ꎮ</w:t>
      </w:r>
    </w:p>
    <w:p>
      <w:pPr>
        <w:pStyle w:val="6"/>
        <w:tabs>
          <w:tab w:val="left" w:pos="2220"/>
        </w:tabs>
        <w:spacing w:line="295" w:lineRule="auto"/>
        <w:ind w:right="442"/>
        <w:jc w:val="left"/>
        <w:rPr>
          <w:rFonts w:hint="eastAsia" w:ascii="MS UI Gothic" w:eastAsia="MS UI Gothic"/>
        </w:rPr>
      </w:pPr>
      <w:r>
        <w:rPr>
          <w:spacing w:val="3"/>
        </w:rPr>
        <w:t>第一百一十八</w:t>
      </w:r>
      <w:r>
        <w:t>条</w:t>
      </w:r>
      <w:r>
        <w:tab/>
      </w:r>
      <w:r>
        <w:rPr>
          <w:spacing w:val="3"/>
        </w:rPr>
        <w:t>从事内陆湖泊的</w:t>
      </w:r>
      <w:r>
        <w:rPr>
          <w:spacing w:val="-11"/>
        </w:rPr>
        <w:t>石</w:t>
      </w:r>
      <w:r>
        <w:rPr>
          <w:spacing w:val="3"/>
        </w:rPr>
        <w:t>油开采活动</w:t>
      </w:r>
      <w:r>
        <w:rPr>
          <w:rFonts w:hint="eastAsia" w:ascii="MS UI Gothic" w:eastAsia="MS UI Gothic"/>
          <w:w w:val="80"/>
        </w:rPr>
        <w:t>ꎬ</w:t>
      </w:r>
      <w:r>
        <w:rPr>
          <w:rFonts w:hint="eastAsia" w:ascii="MS UI Gothic" w:eastAsia="MS UI Gothic"/>
          <w:spacing w:val="46"/>
          <w:w w:val="80"/>
        </w:rPr>
        <w:t xml:space="preserve"> </w:t>
      </w:r>
      <w:r>
        <w:rPr>
          <w:spacing w:val="3"/>
        </w:rPr>
        <w:t>参照本细则有关规定执行</w:t>
      </w:r>
      <w:r>
        <w:rPr>
          <w:rFonts w:hint="eastAsia" w:ascii="MS UI Gothic" w:eastAsia="MS UI Gothic"/>
          <w:w w:val="80"/>
        </w:rPr>
        <w:t>ꎮ</w:t>
      </w:r>
    </w:p>
    <w:p>
      <w:pPr>
        <w:pStyle w:val="6"/>
        <w:tabs>
          <w:tab w:val="left" w:pos="2271"/>
        </w:tabs>
        <w:spacing w:line="295" w:lineRule="auto"/>
        <w:ind w:left="382" w:right="442" w:firstLine="161"/>
        <w:jc w:val="left"/>
        <w:rPr>
          <w:rFonts w:hint="eastAsia" w:ascii="MS UI Gothic" w:eastAsia="MS UI Gothic"/>
        </w:rPr>
      </w:pPr>
      <w:r>
        <w:pict>
          <v:shape id="_x0000_s1634" o:spid="_x0000_s1634" o:spt="202" type="#_x0000_t202" style="position:absolute;left:0pt;margin-left:264.5pt;margin-top:12pt;height:24.35pt;width:10.3pt;mso-position-horizontal-relative:page;z-index:25190297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１２</w:t>
                  </w:r>
                </w:p>
              </w:txbxContent>
            </v:textbox>
          </v:shape>
        </w:pict>
      </w:r>
      <w:r>
        <w:rPr>
          <w:spacing w:val="3"/>
          <w:w w:val="95"/>
        </w:rPr>
        <w:t>第一百</w:t>
      </w:r>
      <w:r>
        <w:rPr>
          <w:spacing w:val="9"/>
          <w:w w:val="95"/>
        </w:rPr>
        <w:t>一</w:t>
      </w:r>
      <w:r>
        <w:rPr>
          <w:spacing w:val="13"/>
          <w:w w:val="95"/>
        </w:rPr>
        <w:t>十九</w:t>
      </w:r>
      <w:r>
        <w:rPr>
          <w:w w:val="95"/>
        </w:rPr>
        <w:t>条</w:t>
      </w:r>
      <w:r>
        <w:rPr>
          <w:w w:val="95"/>
        </w:rPr>
        <w:tab/>
      </w:r>
      <w:r>
        <w:rPr>
          <w:spacing w:val="15"/>
          <w:w w:val="95"/>
        </w:rPr>
        <w:t>本细则</w:t>
      </w:r>
      <w:r>
        <w:rPr>
          <w:w w:val="95"/>
        </w:rPr>
        <w:t>自</w:t>
      </w:r>
      <w:r>
        <w:rPr>
          <w:spacing w:val="-43"/>
          <w:w w:val="95"/>
        </w:rPr>
        <w:t xml:space="preserve"> </w:t>
      </w:r>
      <w:r>
        <w:rPr>
          <w:rFonts w:hint="eastAsia" w:ascii="MS UI Gothic" w:eastAsia="MS UI Gothic"/>
          <w:w w:val="95"/>
        </w:rPr>
        <w:t>２００９</w:t>
      </w:r>
      <w:r>
        <w:rPr>
          <w:rFonts w:hint="eastAsia" w:ascii="MS UI Gothic" w:eastAsia="MS UI Gothic"/>
          <w:spacing w:val="1"/>
          <w:w w:val="95"/>
        </w:rPr>
        <w:t xml:space="preserve"> </w:t>
      </w:r>
      <w:r>
        <w:rPr>
          <w:spacing w:val="-15"/>
          <w:w w:val="95"/>
        </w:rPr>
        <w:t>年</w:t>
      </w:r>
      <w:r>
        <w:rPr>
          <w:w w:val="95"/>
        </w:rPr>
        <w:t>月</w:t>
      </w:r>
      <w:r>
        <w:rPr>
          <w:spacing w:val="-46"/>
          <w:w w:val="95"/>
        </w:rPr>
        <w:t xml:space="preserve"> </w:t>
      </w:r>
      <w:r>
        <w:rPr>
          <w:rFonts w:hint="eastAsia" w:ascii="MS UI Gothic" w:eastAsia="MS UI Gothic"/>
          <w:w w:val="95"/>
        </w:rPr>
        <w:t>１</w:t>
      </w:r>
      <w:r>
        <w:rPr>
          <w:rFonts w:hint="eastAsia" w:ascii="MS UI Gothic" w:eastAsia="MS UI Gothic"/>
          <w:spacing w:val="-1"/>
          <w:w w:val="95"/>
        </w:rPr>
        <w:t xml:space="preserve"> </w:t>
      </w:r>
      <w:r>
        <w:rPr>
          <w:spacing w:val="3"/>
          <w:w w:val="95"/>
        </w:rPr>
        <w:t>日起施行</w:t>
      </w:r>
      <w:r>
        <w:rPr>
          <w:rFonts w:hint="eastAsia" w:ascii="MS UI Gothic" w:eastAsia="MS UI Gothic"/>
          <w:w w:val="9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5"/>
        <w:ind w:left="0" w:firstLine="0"/>
        <w:jc w:val="left"/>
        <w:rPr>
          <w:rFonts w:ascii="MS UI Gothic"/>
          <w:sz w:val="16"/>
        </w:rPr>
      </w:pPr>
    </w:p>
    <w:p>
      <w:pPr>
        <w:pStyle w:val="4"/>
        <w:spacing w:before="73"/>
        <w:ind w:right="630"/>
      </w:pPr>
      <w:r>
        <w:t>中华人民共和国国家质量监督检验检疫总局令</w:t>
      </w:r>
    </w:p>
    <w:p>
      <w:pPr>
        <w:pStyle w:val="6"/>
        <w:spacing w:before="1"/>
        <w:ind w:left="0" w:firstLine="0"/>
        <w:jc w:val="left"/>
        <w:rPr>
          <w:sz w:val="27"/>
        </w:rPr>
      </w:pPr>
    </w:p>
    <w:p>
      <w:pPr>
        <w:pStyle w:val="5"/>
        <w:ind w:right="628"/>
      </w:pPr>
      <w:r>
        <w:t xml:space="preserve">第 </w:t>
      </w:r>
      <w:r>
        <w:rPr>
          <w:rFonts w:hint="eastAsia" w:ascii="MS UI Gothic" w:eastAsia="MS UI Gothic"/>
        </w:rPr>
        <w:t xml:space="preserve">４６ </w:t>
      </w:r>
      <w:r>
        <w:t>号</w:t>
      </w:r>
    </w:p>
    <w:p>
      <w:pPr>
        <w:pStyle w:val="6"/>
        <w:spacing w:before="354"/>
        <w:ind w:left="543" w:firstLine="0"/>
        <w:jc w:val="left"/>
      </w:pPr>
      <w:r>
        <w:rPr>
          <w:rFonts w:hint="eastAsia" w:ascii="MS UI Gothic" w:hAnsi="MS UI Gothic" w:eastAsia="MS UI Gothic"/>
        </w:rPr>
        <w:t xml:space="preserve">« </w:t>
      </w:r>
      <w:r>
        <w:t>气瓶安全监察规定</w:t>
      </w:r>
      <w:r>
        <w:rPr>
          <w:rFonts w:hint="eastAsia" w:ascii="MS UI Gothic" w:hAnsi="MS UI Gothic" w:eastAsia="MS UI Gothic"/>
        </w:rPr>
        <w:t xml:space="preserve">» </w:t>
      </w:r>
      <w:r>
        <w:t xml:space="preserve">已经 </w:t>
      </w:r>
      <w:r>
        <w:rPr>
          <w:rFonts w:hint="eastAsia" w:ascii="MS UI Gothic" w:hAnsi="MS UI Gothic" w:eastAsia="MS UI Gothic"/>
        </w:rPr>
        <w:t xml:space="preserve">２００３ </w:t>
      </w:r>
      <w:r>
        <w:t xml:space="preserve">年 </w:t>
      </w:r>
      <w:r>
        <w:rPr>
          <w:rFonts w:hint="eastAsia" w:ascii="MS UI Gothic" w:hAnsi="MS UI Gothic" w:eastAsia="MS UI Gothic"/>
        </w:rPr>
        <w:t xml:space="preserve">４ </w:t>
      </w:r>
      <w:r>
        <w:t xml:space="preserve">月 </w:t>
      </w:r>
      <w:r>
        <w:rPr>
          <w:rFonts w:hint="eastAsia" w:ascii="MS UI Gothic" w:hAnsi="MS UI Gothic" w:eastAsia="MS UI Gothic"/>
        </w:rPr>
        <w:t xml:space="preserve">３ </w:t>
      </w:r>
      <w:r>
        <w:t>日国家质量监督检验检疫总局局务会议审</w:t>
      </w:r>
    </w:p>
    <w:p>
      <w:pPr>
        <w:pStyle w:val="6"/>
        <w:spacing w:before="58"/>
        <w:ind w:firstLine="0"/>
        <w:jc w:val="left"/>
        <w:rPr>
          <w:rFonts w:hint="eastAsia" w:ascii="MS UI Gothic" w:eastAsia="MS UI Gothic"/>
        </w:rPr>
      </w:pPr>
      <w:r>
        <w:rPr>
          <w:w w:val="95"/>
        </w:rPr>
        <w:t>议通过</w:t>
      </w:r>
      <w:r>
        <w:rPr>
          <w:rFonts w:hint="eastAsia" w:ascii="MS UI Gothic" w:eastAsia="MS UI Gothic"/>
          <w:w w:val="90"/>
        </w:rPr>
        <w:t xml:space="preserve">ꎬ </w:t>
      </w:r>
      <w:r>
        <w:rPr>
          <w:w w:val="95"/>
        </w:rPr>
        <w:t>现予公布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２００３ </w:t>
      </w:r>
      <w:r>
        <w:rPr>
          <w:w w:val="95"/>
        </w:rPr>
        <w:t xml:space="preserve">年 </w:t>
      </w:r>
      <w:r>
        <w:rPr>
          <w:rFonts w:hint="eastAsia" w:ascii="MS UI Gothic" w:eastAsia="MS UI Gothic"/>
          <w:w w:val="95"/>
        </w:rPr>
        <w:t xml:space="preserve">６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spacing w:before="6"/>
        <w:ind w:left="0" w:firstLine="0"/>
        <w:jc w:val="left"/>
        <w:rPr>
          <w:rFonts w:ascii="MS UI Gothic"/>
          <w:sz w:val="15"/>
        </w:rPr>
      </w:pPr>
    </w:p>
    <w:p>
      <w:pPr>
        <w:pStyle w:val="6"/>
        <w:spacing w:before="174"/>
        <w:ind w:left="0" w:right="442" w:firstLine="0"/>
        <w:jc w:val="right"/>
      </w:pPr>
      <w:r>
        <w:t>二</w:t>
      </w:r>
      <w:r>
        <w:rPr>
          <w:rFonts w:hint="eastAsia" w:ascii="MS UI Gothic" w:hAnsi="MS UI Gothic" w:eastAsia="MS UI Gothic"/>
        </w:rPr>
        <w:t>○○</w:t>
      </w:r>
      <w:r>
        <w:t>三年四月二十四日</w:t>
      </w:r>
    </w:p>
    <w:p>
      <w:pPr>
        <w:pStyle w:val="4"/>
        <w:ind w:right="654"/>
        <w:rPr>
          <w:rFonts w:hint="eastAsia" w:ascii="Microsoft Yi Baiti" w:eastAsia="Microsoft Yi Baiti"/>
        </w:rPr>
      </w:pPr>
      <w:r>
        <w:t xml:space="preserve">气瓶安全监察规定 </w:t>
      </w:r>
      <w:r>
        <w:rPr>
          <w:rFonts w:hint="eastAsia" w:ascii="Microsoft Yi Baiti" w:eastAsia="Microsoft Yi Baiti"/>
        </w:rPr>
        <w:t>(</w:t>
      </w:r>
      <w:r>
        <w:rPr>
          <w:rFonts w:hint="eastAsia" w:ascii="MS UI Gothic" w:eastAsia="MS UI Gothic"/>
        </w:rPr>
        <w:t xml:space="preserve">２００３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11"/>
        <w:ind w:left="0" w:firstLine="0"/>
        <w:jc w:val="left"/>
        <w:rPr>
          <w:sz w:val="16"/>
        </w:rPr>
      </w:pPr>
    </w:p>
    <w:p>
      <w:pPr>
        <w:pStyle w:val="6"/>
        <w:tabs>
          <w:tab w:val="left" w:pos="1389"/>
        </w:tabs>
        <w:spacing w:line="295" w:lineRule="auto"/>
        <w:ind w:right="38"/>
        <w:jc w:val="left"/>
      </w:pPr>
      <w:r>
        <w:rPr>
          <w:spacing w:val="3"/>
        </w:rPr>
        <w:t>第一</w:t>
      </w:r>
      <w:r>
        <w:t>条</w:t>
      </w:r>
      <w:r>
        <w:tab/>
      </w:r>
      <w:r>
        <w:rPr>
          <w:spacing w:val="13"/>
        </w:rPr>
        <w:t>为加强气瓶安全监察工</w:t>
      </w:r>
      <w:r>
        <w:rPr>
          <w:spacing w:val="3"/>
        </w:rPr>
        <w:t>作</w:t>
      </w:r>
      <w:r>
        <w:rPr>
          <w:rFonts w:hint="eastAsia" w:ascii="MS UI Gothic" w:eastAsia="MS UI Gothic"/>
          <w:spacing w:val="-11"/>
          <w:w w:val="80"/>
        </w:rPr>
        <w:t>ꎬ</w:t>
      </w:r>
      <w:r>
        <w:rPr>
          <w:spacing w:val="3"/>
        </w:rPr>
        <w:t>保证气瓶安全使用</w:t>
      </w:r>
      <w:r>
        <w:rPr>
          <w:rFonts w:hint="eastAsia" w:ascii="MS UI Gothic" w:eastAsia="MS UI Gothic"/>
          <w:w w:val="80"/>
        </w:rPr>
        <w:t>ꎬ</w:t>
      </w:r>
      <w:r>
        <w:rPr>
          <w:rFonts w:hint="eastAsia" w:ascii="MS UI Gothic" w:eastAsia="MS UI Gothic"/>
          <w:spacing w:val="42"/>
          <w:w w:val="80"/>
        </w:rPr>
        <w:t xml:space="preserve"> </w:t>
      </w:r>
      <w:r>
        <w:rPr>
          <w:spacing w:val="3"/>
        </w:rPr>
        <w:t>保护人民生命和财</w:t>
      </w:r>
      <w:r>
        <w:t>产</w:t>
      </w:r>
    </w:p>
    <w:p>
      <w:pPr>
        <w:pStyle w:val="6"/>
        <w:spacing w:before="175" w:line="295" w:lineRule="auto"/>
        <w:ind w:right="442" w:firstLine="0"/>
        <w:rPr>
          <w:rFonts w:hint="eastAsia" w:ascii="MS UI Gothic" w:hAnsi="MS UI Gothic" w:eastAsia="MS UI Gothic"/>
        </w:rPr>
      </w:pPr>
      <w:r>
        <w:br w:type="column"/>
      </w:r>
      <w:r>
        <w:t>安全</w:t>
      </w:r>
      <w:r>
        <w:rPr>
          <w:rFonts w:hint="eastAsia" w:ascii="MS UI Gothic" w:hAnsi="MS UI Gothic" w:eastAsia="MS UI Gothic"/>
          <w:w w:val="80"/>
        </w:rPr>
        <w:t xml:space="preserve">ꎬ </w:t>
      </w:r>
      <w:r>
        <w:t xml:space="preserve">根据 </w:t>
      </w:r>
      <w:r>
        <w:rPr>
          <w:rFonts w:hint="eastAsia" w:ascii="MS UI Gothic" w:hAnsi="MS UI Gothic" w:eastAsia="MS UI Gothic"/>
        </w:rPr>
        <w:t xml:space="preserve">« </w:t>
      </w:r>
      <w:r>
        <w:t>特种设备安全监察条例</w:t>
      </w:r>
      <w:r>
        <w:rPr>
          <w:rFonts w:hint="eastAsia" w:ascii="MS UI Gothic" w:hAnsi="MS UI Gothic" w:eastAsia="MS UI Gothic"/>
        </w:rPr>
        <w:t xml:space="preserve">» </w:t>
      </w:r>
      <w:r>
        <w:t xml:space="preserve">和 </w:t>
      </w:r>
      <w:r>
        <w:rPr>
          <w:rFonts w:hint="eastAsia" w:ascii="MS UI Gothic" w:hAnsi="MS UI Gothic" w:eastAsia="MS UI Gothic"/>
        </w:rPr>
        <w:t xml:space="preserve">« </w:t>
      </w:r>
      <w:r>
        <w:t>危险化学品安全管理条例</w:t>
      </w:r>
      <w:r>
        <w:rPr>
          <w:rFonts w:hint="eastAsia" w:ascii="MS UI Gothic" w:hAnsi="MS UI Gothic" w:eastAsia="MS UI Gothic"/>
        </w:rPr>
        <w:t xml:space="preserve">» </w:t>
      </w:r>
      <w:r>
        <w:t>的有关要求</w:t>
      </w:r>
      <w:r>
        <w:rPr>
          <w:rFonts w:hint="eastAsia" w:ascii="MS UI Gothic" w:hAnsi="MS UI Gothic" w:eastAsia="MS UI Gothic"/>
          <w:w w:val="80"/>
        </w:rPr>
        <w:t xml:space="preserve">ꎬ </w:t>
      </w:r>
      <w:r>
        <w:t>制定本规定</w:t>
      </w:r>
      <w:r>
        <w:rPr>
          <w:rFonts w:hint="eastAsia" w:ascii="MS UI Gothic" w:hAnsi="MS UI Gothic" w:eastAsia="MS UI Gothic"/>
          <w:w w:val="80"/>
        </w:rPr>
        <w:t>ꎮ</w:t>
      </w:r>
    </w:p>
    <w:p>
      <w:pPr>
        <w:pStyle w:val="6"/>
        <w:tabs>
          <w:tab w:val="left" w:pos="1382"/>
        </w:tabs>
        <w:spacing w:line="254" w:lineRule="exact"/>
        <w:ind w:left="543" w:firstLine="0"/>
        <w:jc w:val="left"/>
      </w:pPr>
      <w:r>
        <w:rPr>
          <w:spacing w:val="3"/>
          <w:w w:val="105"/>
        </w:rPr>
        <w:t>第二</w:t>
      </w:r>
      <w:r>
        <w:rPr>
          <w:w w:val="105"/>
        </w:rPr>
        <w:t>条</w:t>
      </w:r>
      <w:r>
        <w:rPr>
          <w:w w:val="105"/>
        </w:rPr>
        <w:tab/>
      </w:r>
      <w:r>
        <w:rPr>
          <w:spacing w:val="3"/>
          <w:w w:val="105"/>
        </w:rPr>
        <w:t>本规定适用于正常环境温</w:t>
      </w:r>
      <w:r>
        <w:rPr>
          <w:w w:val="105"/>
        </w:rPr>
        <w:t>度</w:t>
      </w:r>
    </w:p>
    <w:p>
      <w:pPr>
        <w:spacing w:after="0" w:line="254"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２０３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35" o:spid="_x0000_s1635" o:spt="203" style="height:2.15pt;width:398.25pt;" coordsize="7965,43">
            <o:lock v:ext="edit"/>
            <v:line id="_x0000_s1636" o:spid="_x0000_s1636" o:spt="20" style="position:absolute;left:0;top:39;height:0;width:7965;" stroked="t" coordsize="21600,21600">
              <v:path arrowok="t"/>
              <v:fill focussize="0,0"/>
              <v:stroke weight="0.388031496062992pt" color="#231F20"/>
              <v:imagedata o:title=""/>
              <o:lock v:ext="edit"/>
            </v:line>
            <v:line id="_x0000_s1637" o:spid="_x0000_s163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14" w:line="295" w:lineRule="auto"/>
        <w:ind w:left="435" w:firstLine="5"/>
        <w:rPr>
          <w:rFonts w:hint="eastAsia" w:ascii="MS UI Gothic" w:hAnsi="MS UI Gothic" w:eastAsia="MS UI Gothic"/>
        </w:rPr>
      </w:pPr>
      <w:r>
        <w:rPr>
          <w:rFonts w:hint="eastAsia" w:ascii="MS UI Gothic" w:hAnsi="MS UI Gothic" w:eastAsia="MS UI Gothic"/>
          <w:spacing w:val="27"/>
          <w:w w:val="168"/>
        </w:rPr>
        <w:t>(</w:t>
      </w:r>
      <w:r>
        <w:rPr>
          <w:rFonts w:hint="eastAsia" w:ascii="MS UI Gothic" w:hAnsi="MS UI Gothic" w:eastAsia="MS UI Gothic"/>
          <w:spacing w:val="11"/>
          <w:w w:val="56"/>
          <w:position w:val="1"/>
        </w:rPr>
        <w:t>－</w:t>
      </w:r>
      <w:r>
        <w:rPr>
          <w:rFonts w:hint="eastAsia" w:ascii="MS UI Gothic" w:hAnsi="MS UI Gothic" w:eastAsia="MS UI Gothic"/>
          <w:spacing w:val="-1"/>
          <w:w w:val="75"/>
        </w:rPr>
        <w:t>４０</w:t>
      </w:r>
      <w:r>
        <w:rPr>
          <w:rFonts w:hint="eastAsia" w:ascii="MS UI Gothic" w:hAnsi="MS UI Gothic" w:eastAsia="MS UI Gothic"/>
          <w:spacing w:val="-30"/>
        </w:rPr>
        <w:t xml:space="preserve"> </w:t>
      </w:r>
      <w:r>
        <w:rPr>
          <w:rFonts w:hint="eastAsia" w:ascii="MS UI Gothic" w:hAnsi="MS UI Gothic" w:eastAsia="MS UI Gothic"/>
          <w:w w:val="136"/>
        </w:rPr>
        <w:t>~</w:t>
      </w:r>
      <w:r>
        <w:rPr>
          <w:rFonts w:hint="eastAsia" w:ascii="MS UI Gothic" w:hAnsi="MS UI Gothic" w:eastAsia="MS UI Gothic"/>
          <w:spacing w:val="-23"/>
        </w:rPr>
        <w:t xml:space="preserve"> </w:t>
      </w:r>
      <w:r>
        <w:rPr>
          <w:rFonts w:hint="eastAsia" w:ascii="MS UI Gothic" w:hAnsi="MS UI Gothic" w:eastAsia="MS UI Gothic"/>
          <w:spacing w:val="-1"/>
          <w:w w:val="75"/>
        </w:rPr>
        <w:t>６０</w:t>
      </w:r>
      <w:r>
        <w:rPr>
          <w:rFonts w:hint="eastAsia" w:ascii="MS UI Gothic" w:hAnsi="MS UI Gothic" w:eastAsia="MS UI Gothic"/>
          <w:spacing w:val="26"/>
        </w:rPr>
        <w:t xml:space="preserve"> </w:t>
      </w:r>
      <w:r>
        <w:rPr>
          <w:rFonts w:hint="eastAsia" w:ascii="MS UI Gothic" w:hAnsi="MS UI Gothic" w:eastAsia="MS UI Gothic"/>
          <w:w w:val="89"/>
        </w:rPr>
        <w:t>℃</w:t>
      </w:r>
      <w:r>
        <w:rPr>
          <w:rFonts w:hint="eastAsia" w:ascii="MS UI Gothic" w:hAnsi="MS UI Gothic" w:eastAsia="MS UI Gothic"/>
          <w:spacing w:val="-31"/>
        </w:rPr>
        <w:t xml:space="preserve"> </w:t>
      </w:r>
      <w:r>
        <w:rPr>
          <w:rFonts w:hint="eastAsia" w:ascii="MS UI Gothic" w:hAnsi="MS UI Gothic" w:eastAsia="MS UI Gothic"/>
          <w:w w:val="168"/>
        </w:rPr>
        <w:t>)</w:t>
      </w:r>
      <w:r>
        <w:rPr>
          <w:rFonts w:hint="eastAsia" w:ascii="MS UI Gothic" w:hAnsi="MS UI Gothic" w:eastAsia="MS UI Gothic"/>
          <w:spacing w:val="5"/>
        </w:rPr>
        <w:t xml:space="preserve">  </w:t>
      </w:r>
      <w:r>
        <w:rPr>
          <w:spacing w:val="10"/>
          <w:w w:val="102"/>
        </w:rPr>
        <w:t>下使用的</w:t>
      </w:r>
      <w:r>
        <w:rPr>
          <w:rFonts w:hint="eastAsia" w:ascii="MS UI Gothic" w:hAnsi="MS UI Gothic" w:eastAsia="MS UI Gothic"/>
          <w:w w:val="77"/>
        </w:rPr>
        <w:t>、</w:t>
      </w:r>
      <w:r>
        <w:rPr>
          <w:rFonts w:hint="eastAsia" w:ascii="MS UI Gothic" w:hAnsi="MS UI Gothic" w:eastAsia="MS UI Gothic"/>
          <w:spacing w:val="-5"/>
        </w:rPr>
        <w:t xml:space="preserve">  </w:t>
      </w:r>
      <w:r>
        <w:rPr>
          <w:spacing w:val="10"/>
          <w:w w:val="102"/>
        </w:rPr>
        <w:t>公称工作压力</w:t>
      </w:r>
      <w:r>
        <w:rPr>
          <w:spacing w:val="-9"/>
        </w:rPr>
        <w:t xml:space="preserve">大于或等于 </w:t>
      </w:r>
      <w:r>
        <w:rPr>
          <w:rFonts w:hint="eastAsia" w:ascii="MS UI Gothic" w:hAnsi="MS UI Gothic" w:eastAsia="MS UI Gothic"/>
        </w:rPr>
        <w:t>０</w:t>
      </w:r>
      <w:r>
        <w:rPr>
          <w:rFonts w:hint="eastAsia" w:ascii="MS UI Gothic" w:hAnsi="MS UI Gothic" w:eastAsia="MS UI Gothic"/>
          <w:spacing w:val="-3"/>
        </w:rPr>
        <w:t xml:space="preserve"> ２ ＭＰ</w:t>
      </w:r>
      <w:r>
        <w:rPr>
          <w:rFonts w:hint="eastAsia" w:ascii="MS UI Gothic" w:hAnsi="MS UI Gothic" w:eastAsia="MS UI Gothic"/>
          <w:spacing w:val="2"/>
        </w:rPr>
        <w:t>ａ</w:t>
      </w:r>
      <w:r>
        <w:rPr>
          <w:rFonts w:hint="eastAsia" w:ascii="MS UI Gothic" w:hAnsi="MS UI Gothic" w:eastAsia="MS UI Gothic"/>
          <w:spacing w:val="35"/>
        </w:rPr>
        <w:t xml:space="preserve"> </w:t>
      </w:r>
      <w:r>
        <w:rPr>
          <w:rFonts w:hint="eastAsia" w:ascii="MS UI Gothic" w:hAnsi="MS UI Gothic" w:eastAsia="MS UI Gothic"/>
          <w:spacing w:val="-35"/>
          <w:w w:val="145"/>
        </w:rPr>
        <w:t xml:space="preserve">( </w:t>
      </w:r>
      <w:r>
        <w:rPr>
          <w:spacing w:val="3"/>
        </w:rPr>
        <w:t>表压</w:t>
      </w:r>
      <w:r>
        <w:rPr>
          <w:rFonts w:hint="eastAsia" w:ascii="MS UI Gothic" w:hAnsi="MS UI Gothic" w:eastAsia="MS UI Gothic"/>
          <w:spacing w:val="10"/>
          <w:w w:val="145"/>
        </w:rPr>
        <w:t xml:space="preserve">) </w:t>
      </w:r>
      <w:r>
        <w:rPr>
          <w:spacing w:val="2"/>
        </w:rPr>
        <w:t>且压力与容</w:t>
      </w:r>
      <w:r>
        <w:rPr>
          <w:spacing w:val="3"/>
          <w:w w:val="102"/>
        </w:rPr>
        <w:t>积的乘积大于或等于</w:t>
      </w:r>
      <w:r>
        <w:rPr>
          <w:spacing w:val="-42"/>
        </w:rPr>
        <w:t xml:space="preserve"> </w:t>
      </w:r>
      <w:r>
        <w:rPr>
          <w:rFonts w:hint="eastAsia" w:ascii="MS UI Gothic" w:hAnsi="MS UI Gothic" w:eastAsia="MS UI Gothic"/>
          <w:w w:val="75"/>
        </w:rPr>
        <w:t>１</w:t>
      </w:r>
      <w:r>
        <w:rPr>
          <w:rFonts w:hint="eastAsia" w:ascii="MS UI Gothic" w:hAnsi="MS UI Gothic" w:eastAsia="MS UI Gothic"/>
          <w:spacing w:val="-10"/>
        </w:rPr>
        <w:t xml:space="preserve"> </w:t>
      </w:r>
      <w:r>
        <w:rPr>
          <w:rFonts w:hint="eastAsia" w:ascii="MS UI Gothic" w:hAnsi="MS UI Gothic" w:eastAsia="MS UI Gothic"/>
          <w:spacing w:val="5"/>
          <w:w w:val="75"/>
        </w:rPr>
        <w:t>０</w:t>
      </w:r>
      <w:r>
        <w:rPr>
          <w:rFonts w:hint="eastAsia" w:ascii="MS UI Gothic" w:hAnsi="MS UI Gothic" w:eastAsia="MS UI Gothic"/>
          <w:spacing w:val="-1"/>
          <w:w w:val="85"/>
        </w:rPr>
        <w:t>Ｍ</w:t>
      </w:r>
      <w:r>
        <w:rPr>
          <w:rFonts w:hint="eastAsia" w:ascii="MS UI Gothic" w:hAnsi="MS UI Gothic" w:eastAsia="MS UI Gothic"/>
          <w:spacing w:val="9"/>
          <w:w w:val="80"/>
        </w:rPr>
        <w:t>Ｐ</w:t>
      </w:r>
      <w:r>
        <w:rPr>
          <w:rFonts w:hint="eastAsia" w:ascii="MS UI Gothic" w:hAnsi="MS UI Gothic" w:eastAsia="MS UI Gothic"/>
          <w:w w:val="79"/>
        </w:rPr>
        <w:t>ａ</w:t>
      </w:r>
      <w:r>
        <w:rPr>
          <w:rFonts w:hint="eastAsia" w:ascii="MS UI Gothic" w:hAnsi="MS UI Gothic" w:eastAsia="MS UI Gothic"/>
          <w:spacing w:val="22"/>
        </w:rPr>
        <w:t xml:space="preserve"> </w:t>
      </w:r>
      <w:r>
        <w:rPr>
          <w:rFonts w:hint="eastAsia" w:ascii="MS UI Gothic" w:hAnsi="MS UI Gothic" w:eastAsia="MS UI Gothic"/>
          <w:w w:val="90"/>
        </w:rPr>
        <w:t>Ｌ</w:t>
      </w:r>
      <w:r>
        <w:rPr>
          <w:rFonts w:hint="eastAsia" w:ascii="MS UI Gothic" w:hAnsi="MS UI Gothic" w:eastAsia="MS UI Gothic"/>
          <w:spacing w:val="3"/>
        </w:rPr>
        <w:t xml:space="preserve"> </w:t>
      </w:r>
      <w:r>
        <w:rPr>
          <w:spacing w:val="7"/>
          <w:w w:val="102"/>
        </w:rPr>
        <w:t>的盛装</w:t>
      </w:r>
      <w:r>
        <w:rPr>
          <w:spacing w:val="3"/>
        </w:rPr>
        <w:t>气体</w:t>
      </w:r>
      <w:r>
        <w:rPr>
          <w:rFonts w:hint="eastAsia" w:ascii="MS UI Gothic" w:hAnsi="MS UI Gothic" w:eastAsia="MS UI Gothic"/>
          <w:spacing w:val="20"/>
        </w:rPr>
        <w:t xml:space="preserve">、 </w:t>
      </w:r>
      <w:r>
        <w:rPr>
          <w:spacing w:val="17"/>
        </w:rPr>
        <w:t>液化气体和标准沸点等于或低于</w:t>
      </w:r>
      <w:r>
        <w:rPr>
          <w:rFonts w:hint="eastAsia" w:ascii="MS UI Gothic" w:hAnsi="MS UI Gothic" w:eastAsia="MS UI Gothic"/>
          <w:spacing w:val="3"/>
        </w:rPr>
        <w:t xml:space="preserve">６０ ℃ </w:t>
      </w:r>
      <w:r>
        <w:rPr>
          <w:spacing w:val="10"/>
        </w:rPr>
        <w:t xml:space="preserve">的液体的气瓶 </w:t>
      </w:r>
      <w:r>
        <w:rPr>
          <w:rFonts w:hint="eastAsia" w:ascii="MS UI Gothic" w:hAnsi="MS UI Gothic" w:eastAsia="MS UI Gothic"/>
          <w:spacing w:val="-31"/>
          <w:w w:val="145"/>
        </w:rPr>
        <w:t xml:space="preserve">( </w:t>
      </w:r>
      <w:r>
        <w:rPr>
          <w:spacing w:val="10"/>
        </w:rPr>
        <w:t>不含仅在灭火时承</w:t>
      </w:r>
      <w:r>
        <w:rPr>
          <w:spacing w:val="5"/>
        </w:rPr>
        <w:t>受压力</w:t>
      </w:r>
      <w:r>
        <w:rPr>
          <w:rFonts w:hint="eastAsia" w:ascii="MS UI Gothic" w:hAnsi="MS UI Gothic" w:eastAsia="MS UI Gothic"/>
          <w:spacing w:val="24"/>
        </w:rPr>
        <w:t xml:space="preserve">、 </w:t>
      </w:r>
      <w:r>
        <w:rPr>
          <w:spacing w:val="17"/>
        </w:rPr>
        <w:t>储存时不承受压力的灭火用气</w:t>
      </w:r>
      <w:r>
        <w:rPr>
          <w:spacing w:val="3"/>
        </w:rPr>
        <w:t>瓶</w:t>
      </w:r>
      <w:r>
        <w:rPr>
          <w:rFonts w:hint="eastAsia" w:ascii="MS UI Gothic" w:hAnsi="MS UI Gothic" w:eastAsia="MS UI Gothic"/>
          <w:spacing w:val="-34"/>
          <w:w w:val="145"/>
        </w:rPr>
        <w:t xml:space="preserve">) </w:t>
      </w:r>
      <w:r>
        <w:rPr>
          <w:rFonts w:hint="eastAsia" w:ascii="MS UI Gothic" w:hAnsi="MS UI Gothic" w:eastAsia="MS UI Gothic"/>
          <w:w w:val="85"/>
        </w:rPr>
        <w:t>ꎮ</w:t>
      </w:r>
    </w:p>
    <w:p>
      <w:pPr>
        <w:pStyle w:val="6"/>
        <w:spacing w:line="295" w:lineRule="auto"/>
        <w:ind w:left="440"/>
        <w:rPr>
          <w:rFonts w:hint="eastAsia" w:ascii="MS UI Gothic" w:eastAsia="MS UI Gothic"/>
        </w:rPr>
      </w:pPr>
      <w:r>
        <w:t>军事装备</w:t>
      </w:r>
      <w:r>
        <w:rPr>
          <w:rFonts w:hint="eastAsia" w:ascii="MS UI Gothic" w:eastAsia="MS UI Gothic"/>
          <w:w w:val="80"/>
        </w:rPr>
        <w:t xml:space="preserve">、 </w:t>
      </w:r>
      <w:r>
        <w:t>核设施</w:t>
      </w:r>
      <w:r>
        <w:rPr>
          <w:rFonts w:hint="eastAsia" w:ascii="MS UI Gothic" w:eastAsia="MS UI Gothic"/>
          <w:w w:val="80"/>
        </w:rPr>
        <w:t xml:space="preserve">、 </w:t>
      </w:r>
      <w:r>
        <w:t>航空航天器</w:t>
      </w:r>
      <w:r>
        <w:rPr>
          <w:rFonts w:hint="eastAsia" w:ascii="MS UI Gothic" w:eastAsia="MS UI Gothic"/>
          <w:w w:val="80"/>
        </w:rPr>
        <w:t xml:space="preserve">、 </w:t>
      </w:r>
      <w:r>
        <w:t>铁路机车</w:t>
      </w:r>
      <w:r>
        <w:rPr>
          <w:rFonts w:hint="eastAsia" w:ascii="MS UI Gothic" w:eastAsia="MS UI Gothic"/>
          <w:w w:val="80"/>
        </w:rPr>
        <w:t xml:space="preserve">、 </w:t>
      </w:r>
      <w:r>
        <w:t>船舶和海上设施使用的气瓶不适用本规定</w:t>
      </w:r>
      <w:r>
        <w:rPr>
          <w:rFonts w:hint="eastAsia" w:ascii="MS UI Gothic" w:eastAsia="MS UI Gothic"/>
          <w:w w:val="80"/>
        </w:rPr>
        <w:t>ꎮ</w:t>
      </w:r>
    </w:p>
    <w:p>
      <w:pPr>
        <w:pStyle w:val="6"/>
        <w:spacing w:line="295" w:lineRule="auto"/>
        <w:ind w:left="440"/>
      </w:pPr>
      <w:r>
        <w:t>第三条 在中华人民共和国境内使用的气瓶</w:t>
      </w:r>
      <w:r>
        <w:rPr>
          <w:rFonts w:hint="eastAsia" w:ascii="MS UI Gothic" w:eastAsia="MS UI Gothic"/>
          <w:w w:val="80"/>
        </w:rPr>
        <w:t xml:space="preserve">ꎬ </w:t>
      </w:r>
      <w:r>
        <w:t>其设计</w:t>
      </w:r>
      <w:r>
        <w:rPr>
          <w:rFonts w:hint="eastAsia" w:ascii="MS UI Gothic" w:eastAsia="MS UI Gothic"/>
          <w:w w:val="80"/>
        </w:rPr>
        <w:t xml:space="preserve">、 </w:t>
      </w:r>
      <w:r>
        <w:t>制造</w:t>
      </w:r>
      <w:r>
        <w:rPr>
          <w:rFonts w:hint="eastAsia" w:ascii="MS UI Gothic" w:eastAsia="MS UI Gothic"/>
          <w:w w:val="80"/>
        </w:rPr>
        <w:t xml:space="preserve">、 </w:t>
      </w:r>
      <w:r>
        <w:t>充装</w:t>
      </w:r>
      <w:r>
        <w:rPr>
          <w:rFonts w:hint="eastAsia" w:ascii="MS UI Gothic" w:eastAsia="MS UI Gothic"/>
          <w:w w:val="80"/>
        </w:rPr>
        <w:t xml:space="preserve">、  </w:t>
      </w:r>
      <w:r>
        <w:t>运输</w:t>
      </w:r>
      <w:r>
        <w:rPr>
          <w:rFonts w:hint="eastAsia" w:ascii="MS UI Gothic" w:eastAsia="MS UI Gothic"/>
          <w:w w:val="80"/>
        </w:rPr>
        <w:t xml:space="preserve">、  </w:t>
      </w:r>
      <w:r>
        <w:t>储存</w:t>
      </w:r>
      <w:r>
        <w:rPr>
          <w:rFonts w:hint="eastAsia" w:ascii="MS UI Gothic" w:eastAsia="MS UI Gothic"/>
          <w:w w:val="80"/>
        </w:rPr>
        <w:t xml:space="preserve">、 </w:t>
      </w:r>
      <w:r>
        <w:t>销售</w:t>
      </w:r>
      <w:r>
        <w:rPr>
          <w:rFonts w:hint="eastAsia" w:ascii="MS UI Gothic" w:eastAsia="MS UI Gothic"/>
          <w:w w:val="80"/>
        </w:rPr>
        <w:t xml:space="preserve">、 </w:t>
      </w:r>
      <w:r>
        <w:t>使用和检验等各项活动</w:t>
      </w:r>
      <w:r>
        <w:rPr>
          <w:rFonts w:hint="eastAsia" w:ascii="MS UI Gothic" w:eastAsia="MS UI Gothic"/>
          <w:w w:val="80"/>
        </w:rPr>
        <w:t xml:space="preserve">ꎬ </w:t>
      </w:r>
      <w:r>
        <w:t>应当</w:t>
      </w:r>
    </w:p>
    <w:p>
      <w:pPr>
        <w:pStyle w:val="6"/>
        <w:spacing w:line="238" w:lineRule="exact"/>
        <w:ind w:left="440" w:firstLine="0"/>
        <w:jc w:val="left"/>
        <w:rPr>
          <w:rFonts w:hint="eastAsia" w:ascii="MS UI Gothic" w:eastAsia="MS UI Gothic"/>
        </w:rPr>
      </w:pPr>
      <w:r>
        <w:t>遵守本规定</w:t>
      </w:r>
      <w:r>
        <w:rPr>
          <w:rFonts w:hint="eastAsia" w:ascii="MS UI Gothic" w:eastAsia="MS UI Gothic"/>
          <w:w w:val="80"/>
        </w:rPr>
        <w:t>ꎮ</w:t>
      </w:r>
    </w:p>
    <w:p>
      <w:pPr>
        <w:pStyle w:val="6"/>
        <w:spacing w:before="124" w:line="295" w:lineRule="auto"/>
        <w:ind w:left="383" w:right="126" w:firstLine="0"/>
        <w:rPr>
          <w:rFonts w:hint="eastAsia" w:ascii="MS UI Gothic" w:eastAsia="MS UI Gothic"/>
        </w:rPr>
      </w:pPr>
      <w:r>
        <w:br w:type="column"/>
      </w:r>
      <w:r>
        <w:t>安全技术规范的规定</w:t>
      </w:r>
      <w:r>
        <w:rPr>
          <w:rFonts w:hint="eastAsia" w:ascii="MS UI Gothic" w:eastAsia="MS UI Gothic"/>
          <w:w w:val="80"/>
        </w:rPr>
        <w:t xml:space="preserve">ꎬ </w:t>
      </w:r>
      <w:r>
        <w:t>并满足相应国家标</w:t>
      </w:r>
      <w:r>
        <w:rPr>
          <w:w w:val="105"/>
        </w:rPr>
        <w:t xml:space="preserve">准 </w:t>
      </w:r>
      <w:r>
        <w:rPr>
          <w:rFonts w:hint="eastAsia" w:ascii="MS UI Gothic" w:eastAsia="MS UI Gothic"/>
          <w:w w:val="150"/>
        </w:rPr>
        <w:t xml:space="preserve">( </w:t>
      </w:r>
      <w:r>
        <w:rPr>
          <w:w w:val="105"/>
        </w:rPr>
        <w:t>行业标准</w:t>
      </w:r>
      <w:r>
        <w:rPr>
          <w:rFonts w:hint="eastAsia" w:ascii="MS UI Gothic" w:eastAsia="MS UI Gothic"/>
          <w:w w:val="150"/>
        </w:rPr>
        <w:t xml:space="preserve">) </w:t>
      </w:r>
      <w:r>
        <w:rPr>
          <w:w w:val="105"/>
        </w:rPr>
        <w:t>或企业标准的要求</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第八条 液化石油气气瓶上应当设计</w:t>
      </w:r>
      <w:r>
        <w:t>装配防止超装的液位限制装置</w:t>
      </w:r>
      <w:r>
        <w:rPr>
          <w:rFonts w:hint="eastAsia" w:ascii="MS UI Gothic" w:eastAsia="MS UI Gothic"/>
          <w:w w:val="80"/>
        </w:rPr>
        <w:t xml:space="preserve">ꎻ </w:t>
      </w:r>
      <w:r>
        <w:t>易燃气体气瓶和助燃气体气瓶的瓶口螺纹和阀门出气口应当设计成不同的左右螺纹的旋向和</w:t>
      </w:r>
      <w:r>
        <w:rPr>
          <w:w w:val="105"/>
        </w:rPr>
        <w:t>内外螺纹的结构</w:t>
      </w:r>
      <w:r>
        <w:rPr>
          <w:rFonts w:hint="eastAsia" w:ascii="MS UI Gothic" w:eastAsia="MS UI Gothic"/>
          <w:w w:val="80"/>
        </w:rPr>
        <w:t>ꎮ</w:t>
      </w:r>
    </w:p>
    <w:p>
      <w:pPr>
        <w:pStyle w:val="6"/>
        <w:spacing w:line="295" w:lineRule="auto"/>
        <w:ind w:left="383" w:right="124"/>
      </w:pPr>
      <w:r>
        <w:rPr>
          <w:w w:val="105"/>
        </w:rPr>
        <w:t xml:space="preserve">第九条 在我国境内使用的气瓶及其附件 </w:t>
      </w:r>
      <w:r>
        <w:rPr>
          <w:rFonts w:hint="eastAsia" w:ascii="MS UI Gothic" w:hAnsi="MS UI Gothic" w:eastAsia="MS UI Gothic"/>
          <w:w w:val="150"/>
        </w:rPr>
        <w:t xml:space="preserve">( </w:t>
      </w:r>
      <w:r>
        <w:rPr>
          <w:w w:val="105"/>
        </w:rPr>
        <w:t>包括气瓶瓶阀</w:t>
      </w:r>
      <w:r>
        <w:rPr>
          <w:rFonts w:hint="eastAsia" w:ascii="MS UI Gothic" w:hAnsi="MS UI Gothic" w:eastAsia="MS UI Gothic"/>
          <w:w w:val="80"/>
        </w:rPr>
        <w:t xml:space="preserve">、 </w:t>
      </w:r>
      <w:r>
        <w:rPr>
          <w:w w:val="105"/>
        </w:rPr>
        <w:t>减压阀</w:t>
      </w:r>
      <w:r>
        <w:rPr>
          <w:rFonts w:hint="eastAsia" w:ascii="MS UI Gothic" w:hAnsi="MS UI Gothic" w:eastAsia="MS UI Gothic"/>
          <w:w w:val="80"/>
        </w:rPr>
        <w:t xml:space="preserve">、 </w:t>
      </w:r>
      <w:r>
        <w:rPr>
          <w:w w:val="105"/>
        </w:rPr>
        <w:t>液位限制阀等</w:t>
      </w:r>
      <w:r>
        <w:rPr>
          <w:rFonts w:hint="eastAsia" w:ascii="MS UI Gothic" w:hAnsi="MS UI Gothic" w:eastAsia="MS UI Gothic"/>
          <w:w w:val="80"/>
        </w:rPr>
        <w:t xml:space="preserve">ꎬ </w:t>
      </w:r>
      <w:r>
        <w:rPr>
          <w:w w:val="105"/>
        </w:rPr>
        <w:t>下同</w:t>
      </w:r>
      <w:r>
        <w:rPr>
          <w:rFonts w:hint="eastAsia" w:ascii="MS UI Gothic" w:hAnsi="MS UI Gothic" w:eastAsia="MS UI Gothic"/>
          <w:w w:val="150"/>
        </w:rPr>
        <w:t xml:space="preserve">) </w:t>
      </w:r>
      <w:r>
        <w:rPr>
          <w:rFonts w:hint="eastAsia" w:ascii="MS UI Gothic" w:hAnsi="MS UI Gothic" w:eastAsia="MS UI Gothic"/>
          <w:w w:val="80"/>
        </w:rPr>
        <w:t xml:space="preserve">ꎬ </w:t>
      </w:r>
      <w:r>
        <w:rPr>
          <w:w w:val="105"/>
        </w:rPr>
        <w:t>其境内外制造企业应当</w:t>
      </w:r>
      <w:r>
        <w:t>取得国家质检总局颁发的制造许可证书</w:t>
      </w:r>
      <w:r>
        <w:rPr>
          <w:rFonts w:hint="eastAsia" w:ascii="MS UI Gothic" w:hAnsi="MS UI Gothic" w:eastAsia="MS UI Gothic"/>
          <w:w w:val="80"/>
        </w:rPr>
        <w:t>ꎬ</w:t>
      </w:r>
      <w:r>
        <w:t>方可从事制造活动</w:t>
      </w:r>
      <w:r>
        <w:rPr>
          <w:rFonts w:hint="eastAsia" w:ascii="MS UI Gothic" w:hAnsi="MS UI Gothic" w:eastAsia="MS UI Gothic"/>
          <w:w w:val="80"/>
        </w:rPr>
        <w:t xml:space="preserve">ꎮ </w:t>
      </w:r>
      <w:r>
        <w:t>气瓶及其附件的制造</w:t>
      </w:r>
      <w:r>
        <w:rPr>
          <w:w w:val="105"/>
        </w:rPr>
        <w:t xml:space="preserve">许可按照 </w:t>
      </w:r>
      <w:r>
        <w:rPr>
          <w:rFonts w:hint="eastAsia" w:ascii="MS UI Gothic" w:hAnsi="MS UI Gothic" w:eastAsia="MS UI Gothic"/>
          <w:w w:val="80"/>
        </w:rPr>
        <w:t xml:space="preserve">« </w:t>
      </w:r>
      <w:r>
        <w:rPr>
          <w:w w:val="105"/>
        </w:rPr>
        <w:t>锅炉压力容器制造监督管理</w:t>
      </w:r>
    </w:p>
    <w:p>
      <w:pPr>
        <w:pStyle w:val="6"/>
        <w:spacing w:line="235" w:lineRule="exact"/>
        <w:ind w:left="383" w:firstLine="0"/>
        <w:rPr>
          <w:rFonts w:hint="eastAsia" w:ascii="MS UI Gothic" w:hAnsi="MS UI Gothic" w:eastAsia="MS UI Gothic"/>
        </w:rPr>
      </w:pPr>
      <w:r>
        <w:t>办法</w:t>
      </w:r>
      <w:r>
        <w:rPr>
          <w:rFonts w:hint="eastAsia" w:ascii="MS UI Gothic" w:hAnsi="MS UI Gothic" w:eastAsia="MS UI Gothic"/>
        </w:rPr>
        <w:t xml:space="preserve">» </w:t>
      </w:r>
      <w:r>
        <w:t>的规定执行</w:t>
      </w:r>
      <w:r>
        <w:rPr>
          <w:rFonts w:hint="eastAsia" w:ascii="MS UI Gothic" w:hAnsi="MS UI Gothic" w:eastAsia="MS UI Gothic"/>
          <w:w w:val="80"/>
        </w:rPr>
        <w:t>ꎮ</w:t>
      </w:r>
    </w:p>
    <w:p>
      <w:pPr>
        <w:spacing w:after="0" w:line="235" w:lineRule="exact"/>
        <w:rPr>
          <w:rFonts w:hint="eastAsia" w:ascii="MS UI Gothic" w:hAnsi="MS UI Gothic" w:eastAsia="MS UI Gothic"/>
        </w:rPr>
        <w:sectPr>
          <w:type w:val="continuous"/>
          <w:pgSz w:w="10500" w:h="14750"/>
          <w:pgMar w:top="1400" w:right="980" w:bottom="280" w:left="980" w:header="720" w:footer="720" w:gutter="0"/>
          <w:cols w:equalWidth="0" w:num="2">
            <w:col w:w="4210" w:space="40"/>
            <w:col w:w="4290"/>
          </w:cols>
        </w:sectPr>
      </w:pPr>
    </w:p>
    <w:p>
      <w:pPr>
        <w:pStyle w:val="6"/>
        <w:tabs>
          <w:tab w:val="left" w:pos="1698"/>
        </w:tabs>
        <w:spacing w:before="66"/>
        <w:ind w:left="860" w:firstLine="0"/>
        <w:jc w:val="left"/>
      </w:pPr>
      <w:r>
        <w:rPr>
          <w:spacing w:val="3"/>
          <w:w w:val="105"/>
        </w:rPr>
        <w:t>第四</w:t>
      </w:r>
      <w:r>
        <w:rPr>
          <w:w w:val="105"/>
        </w:rPr>
        <w:t>条</w:t>
      </w:r>
      <w:r>
        <w:rPr>
          <w:w w:val="105"/>
        </w:rPr>
        <w:tab/>
      </w:r>
      <w:r>
        <w:rPr>
          <w:spacing w:val="3"/>
        </w:rPr>
        <w:t>国家质量监督检验检疫总</w:t>
      </w:r>
      <w:r>
        <w:t>局</w:t>
      </w:r>
    </w:p>
    <w:p>
      <w:pPr>
        <w:pStyle w:val="6"/>
        <w:spacing w:before="58" w:line="240" w:lineRule="exact"/>
        <w:ind w:left="440" w:firstLine="0"/>
        <w:jc w:val="left"/>
      </w:pPr>
      <w:r>
        <w:rPr>
          <w:rFonts w:hint="eastAsia" w:ascii="MS UI Gothic" w:eastAsia="MS UI Gothic"/>
          <w:spacing w:val="-21"/>
          <w:w w:val="105"/>
        </w:rPr>
        <w:t xml:space="preserve">( </w:t>
      </w:r>
      <w:r>
        <w:rPr>
          <w:spacing w:val="4"/>
          <w:w w:val="105"/>
        </w:rPr>
        <w:t>以下简称国家质检总局</w:t>
      </w:r>
      <w:r>
        <w:rPr>
          <w:rFonts w:hint="eastAsia" w:ascii="MS UI Gothic" w:eastAsia="MS UI Gothic"/>
          <w:spacing w:val="3"/>
          <w:w w:val="105"/>
        </w:rPr>
        <w:t xml:space="preserve">)  </w:t>
      </w:r>
      <w:r>
        <w:rPr>
          <w:spacing w:val="7"/>
          <w:w w:val="105"/>
        </w:rPr>
        <w:t>负责全国范围</w:t>
      </w:r>
    </w:p>
    <w:p>
      <w:pPr>
        <w:pStyle w:val="6"/>
        <w:spacing w:before="13" w:line="310" w:lineRule="atLeast"/>
        <w:ind w:left="383" w:right="126"/>
        <w:jc w:val="left"/>
      </w:pPr>
      <w:r>
        <w:br w:type="column"/>
      </w:r>
      <w:r>
        <w:t>从事气瓶焊接和无损检测的人员</w:t>
      </w:r>
      <w:r>
        <w:rPr>
          <w:rFonts w:hint="eastAsia" w:ascii="MS UI Gothic" w:eastAsia="MS UI Gothic"/>
          <w:w w:val="80"/>
        </w:rPr>
        <w:t xml:space="preserve">ꎬ </w:t>
      </w:r>
      <w:r>
        <w:t>应当经安全监察机构考核合格</w:t>
      </w:r>
      <w:r>
        <w:rPr>
          <w:rFonts w:hint="eastAsia" w:ascii="MS UI Gothic" w:eastAsia="MS UI Gothic"/>
          <w:w w:val="80"/>
        </w:rPr>
        <w:t xml:space="preserve">ꎬ </w:t>
      </w:r>
      <w:r>
        <w:t>并取得证书</w:t>
      </w:r>
    </w:p>
    <w:p>
      <w:pPr>
        <w:spacing w:after="0" w:line="310" w:lineRule="atLeast"/>
        <w:jc w:val="left"/>
        <w:sectPr>
          <w:type w:val="continuous"/>
          <w:pgSz w:w="10500" w:h="14750"/>
          <w:pgMar w:top="1400" w:right="980" w:bottom="280" w:left="980" w:header="720" w:footer="720" w:gutter="0"/>
          <w:cols w:equalWidth="0" w:num="2">
            <w:col w:w="4210" w:space="40"/>
            <w:col w:w="4290"/>
          </w:cols>
        </w:sectPr>
      </w:pPr>
    </w:p>
    <w:p>
      <w:pPr>
        <w:pStyle w:val="6"/>
        <w:spacing w:before="62" w:line="295" w:lineRule="auto"/>
        <w:ind w:left="440" w:right="1" w:firstLine="0"/>
        <w:rPr>
          <w:rFonts w:hint="eastAsia" w:ascii="MS UI Gothic" w:eastAsia="MS UI Gothic"/>
        </w:rPr>
      </w:pPr>
      <w:r>
        <w:t>内气瓶的安全监察工作</w:t>
      </w:r>
      <w:r>
        <w:rPr>
          <w:rFonts w:hint="eastAsia" w:ascii="MS UI Gothic" w:eastAsia="MS UI Gothic"/>
          <w:w w:val="80"/>
        </w:rPr>
        <w:t xml:space="preserve">ꎬ </w:t>
      </w:r>
      <w:r>
        <w:t>县以上地方质量</w:t>
      </w:r>
      <w:r>
        <w:rPr>
          <w:w w:val="105"/>
        </w:rPr>
        <w:t xml:space="preserve">技术监督行政部门 </w:t>
      </w:r>
      <w:r>
        <w:rPr>
          <w:rFonts w:hint="eastAsia" w:ascii="MS UI Gothic" w:eastAsia="MS UI Gothic"/>
          <w:w w:val="150"/>
        </w:rPr>
        <w:t xml:space="preserve">( </w:t>
      </w:r>
      <w:r>
        <w:rPr>
          <w:w w:val="105"/>
        </w:rPr>
        <w:t>以下简称质监部门</w:t>
      </w:r>
      <w:r>
        <w:rPr>
          <w:rFonts w:hint="eastAsia" w:ascii="MS UI Gothic" w:eastAsia="MS UI Gothic"/>
          <w:w w:val="150"/>
        </w:rPr>
        <w:t xml:space="preserve">) </w:t>
      </w:r>
      <w:r>
        <w:rPr>
          <w:w w:val="105"/>
        </w:rPr>
        <w:t>对本行政区域内的气瓶实施安全监察</w:t>
      </w:r>
      <w:r>
        <w:rPr>
          <w:rFonts w:hint="eastAsia" w:ascii="MS UI Gothic" w:eastAsia="MS UI Gothic"/>
          <w:w w:val="80"/>
        </w:rPr>
        <w:t>ꎮ</w:t>
      </w:r>
    </w:p>
    <w:p>
      <w:pPr>
        <w:pStyle w:val="6"/>
        <w:tabs>
          <w:tab w:val="left" w:pos="2012"/>
        </w:tabs>
        <w:spacing w:before="155"/>
        <w:ind w:left="1174" w:firstLine="0"/>
        <w:jc w:val="left"/>
      </w:pPr>
      <w:r>
        <w:rPr>
          <w:spacing w:val="3"/>
          <w:w w:val="105"/>
        </w:rPr>
        <w:t>第二</w:t>
      </w:r>
      <w:r>
        <w:rPr>
          <w:w w:val="105"/>
        </w:rPr>
        <w:t>章</w:t>
      </w:r>
      <w:r>
        <w:rPr>
          <w:w w:val="105"/>
        </w:rPr>
        <w:tab/>
      </w:r>
      <w:r>
        <w:rPr>
          <w:spacing w:val="3"/>
          <w:w w:val="105"/>
        </w:rPr>
        <w:t>气瓶设计与制</w:t>
      </w:r>
      <w:r>
        <w:rPr>
          <w:w w:val="105"/>
        </w:rPr>
        <w:t>造</w:t>
      </w:r>
    </w:p>
    <w:p>
      <w:pPr>
        <w:pStyle w:val="6"/>
        <w:spacing w:before="215" w:line="295" w:lineRule="auto"/>
        <w:ind w:left="440" w:right="1"/>
        <w:rPr>
          <w:rFonts w:hint="eastAsia" w:ascii="MS UI Gothic" w:eastAsia="MS UI Gothic"/>
        </w:rPr>
      </w:pPr>
      <w:r>
        <w:rPr>
          <w:w w:val="105"/>
        </w:rPr>
        <w:t>第五条 气瓶设计实行设计文件鉴定</w:t>
      </w:r>
      <w:r>
        <w:t>制度</w:t>
      </w:r>
      <w:r>
        <w:rPr>
          <w:rFonts w:hint="eastAsia" w:ascii="MS UI Gothic" w:eastAsia="MS UI Gothic"/>
          <w:w w:val="80"/>
        </w:rPr>
        <w:t xml:space="preserve">ꎮ </w:t>
      </w:r>
      <w:r>
        <w:t>气瓶设计文件应当经国家质检总局</w:t>
      </w:r>
      <w:r>
        <w:rPr>
          <w:w w:val="105"/>
        </w:rPr>
        <w:t xml:space="preserve">特种设备安全监察机构 </w:t>
      </w:r>
      <w:r>
        <w:rPr>
          <w:rFonts w:hint="eastAsia" w:ascii="MS UI Gothic" w:eastAsia="MS UI Gothic"/>
          <w:w w:val="150"/>
        </w:rPr>
        <w:t xml:space="preserve">( </w:t>
      </w:r>
      <w:r>
        <w:rPr>
          <w:w w:val="105"/>
        </w:rPr>
        <w:t>以下简称总局安全监察机构</w:t>
      </w:r>
      <w:r>
        <w:rPr>
          <w:rFonts w:hint="eastAsia" w:ascii="MS UI Gothic" w:eastAsia="MS UI Gothic"/>
          <w:w w:val="150"/>
        </w:rPr>
        <w:t xml:space="preserve">) </w:t>
      </w:r>
      <w:r>
        <w:rPr>
          <w:w w:val="105"/>
        </w:rPr>
        <w:t>核准的检验检测机构鉴定</w:t>
      </w:r>
      <w:r>
        <w:rPr>
          <w:rFonts w:hint="eastAsia" w:ascii="MS UI Gothic" w:eastAsia="MS UI Gothic"/>
          <w:w w:val="80"/>
        </w:rPr>
        <w:t xml:space="preserve">ꎬ </w:t>
      </w:r>
      <w:r>
        <w:rPr>
          <w:w w:val="105"/>
        </w:rPr>
        <w:t>方可用于制造</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第六条 气瓶制造单位申请设计文件</w:t>
      </w:r>
      <w:r>
        <w:t>鉴定时</w:t>
      </w:r>
      <w:r>
        <w:rPr>
          <w:rFonts w:hint="eastAsia" w:ascii="MS UI Gothic" w:eastAsia="MS UI Gothic"/>
          <w:w w:val="80"/>
        </w:rPr>
        <w:t xml:space="preserve">ꎬ </w:t>
      </w:r>
      <w:r>
        <w:t>应当提交齐全的设计文件和产品</w:t>
      </w:r>
      <w:r>
        <w:rPr>
          <w:w w:val="105"/>
        </w:rPr>
        <w:t>型式试验报告</w:t>
      </w:r>
      <w:r>
        <w:rPr>
          <w:rFonts w:hint="eastAsia" w:ascii="MS UI Gothic" w:eastAsia="MS UI Gothic"/>
          <w:w w:val="80"/>
        </w:rPr>
        <w:t xml:space="preserve">ꎮ </w:t>
      </w:r>
      <w:r>
        <w:rPr>
          <w:w w:val="105"/>
        </w:rPr>
        <w:t>气瓶设计文件应当包括</w:t>
      </w:r>
      <w:r>
        <w:rPr>
          <w:rFonts w:hint="eastAsia" w:ascii="MS UI Gothic" w:eastAsia="MS UI Gothic"/>
          <w:w w:val="235"/>
        </w:rPr>
        <w:t>:</w:t>
      </w:r>
    </w:p>
    <w:p>
      <w:pPr>
        <w:pStyle w:val="6"/>
        <w:spacing w:line="254" w:lineRule="exact"/>
        <w:ind w:left="860" w:firstLine="0"/>
        <w:jc w:val="left"/>
        <w:rPr>
          <w:rFonts w:hint="eastAsia" w:ascii="MS UI Gothic" w:eastAsia="MS UI Gothic"/>
        </w:rPr>
      </w:pPr>
      <w:r>
        <w:rPr>
          <w:rFonts w:hint="eastAsia" w:ascii="MS UI Gothic" w:eastAsia="MS UI Gothic"/>
          <w:spacing w:val="-29"/>
          <w:w w:val="110"/>
        </w:rPr>
        <w:t xml:space="preserve">( </w:t>
      </w:r>
      <w:r>
        <w:rPr>
          <w:spacing w:val="3"/>
          <w:w w:val="110"/>
        </w:rPr>
        <w:t>一</w:t>
      </w:r>
      <w:r>
        <w:rPr>
          <w:rFonts w:hint="eastAsia" w:ascii="MS UI Gothic" w:eastAsia="MS UI Gothic"/>
          <w:spacing w:val="-1"/>
          <w:w w:val="110"/>
        </w:rPr>
        <w:t xml:space="preserve">) </w:t>
      </w:r>
      <w:r>
        <w:rPr>
          <w:spacing w:val="3"/>
          <w:w w:val="110"/>
        </w:rPr>
        <w:t>设计任务书</w:t>
      </w:r>
      <w:r>
        <w:rPr>
          <w:rFonts w:hint="eastAsia" w:ascii="MS UI Gothic" w:eastAsia="MS UI Gothic"/>
          <w:w w:val="80"/>
        </w:rPr>
        <w:t>ꎻ</w:t>
      </w:r>
    </w:p>
    <w:p>
      <w:pPr>
        <w:pStyle w:val="6"/>
        <w:spacing w:before="54" w:line="295" w:lineRule="auto"/>
        <w:ind w:left="860" w:right="25" w:firstLine="0"/>
        <w:jc w:val="left"/>
        <w:rPr>
          <w:rFonts w:hint="eastAsia" w:ascii="MS UI Gothic" w:eastAsia="MS UI Gothic"/>
        </w:rPr>
      </w:pPr>
      <w:r>
        <w:rPr>
          <w:rFonts w:hint="eastAsia" w:ascii="MS UI Gothic" w:eastAsia="MS UI Gothic"/>
          <w:spacing w:val="-26"/>
          <w:w w:val="110"/>
        </w:rPr>
        <w:t xml:space="preserve">( </w:t>
      </w:r>
      <w:r>
        <w:rPr>
          <w:spacing w:val="3"/>
          <w:w w:val="110"/>
        </w:rPr>
        <w:t>二</w:t>
      </w:r>
      <w:r>
        <w:rPr>
          <w:rFonts w:hint="eastAsia" w:ascii="MS UI Gothic" w:eastAsia="MS UI Gothic"/>
          <w:spacing w:val="12"/>
          <w:w w:val="110"/>
        </w:rPr>
        <w:t xml:space="preserve">) </w:t>
      </w:r>
      <w:r>
        <w:rPr>
          <w:spacing w:val="-5"/>
          <w:w w:val="110"/>
        </w:rPr>
        <w:t xml:space="preserve">设计图样 </w:t>
      </w:r>
      <w:r>
        <w:rPr>
          <w:rFonts w:hint="eastAsia" w:ascii="MS UI Gothic" w:eastAsia="MS UI Gothic"/>
          <w:spacing w:val="-26"/>
          <w:w w:val="110"/>
        </w:rPr>
        <w:t xml:space="preserve">( </w:t>
      </w:r>
      <w:r>
        <w:rPr>
          <w:spacing w:val="3"/>
          <w:w w:val="110"/>
        </w:rPr>
        <w:t>含钢印印模图样</w:t>
      </w:r>
      <w:r>
        <w:rPr>
          <w:rFonts w:hint="eastAsia" w:ascii="MS UI Gothic" w:eastAsia="MS UI Gothic"/>
          <w:spacing w:val="-26"/>
          <w:w w:val="110"/>
        </w:rPr>
        <w:t xml:space="preserve">) </w:t>
      </w:r>
      <w:r>
        <w:rPr>
          <w:rFonts w:hint="eastAsia" w:ascii="MS UI Gothic" w:eastAsia="MS UI Gothic"/>
          <w:w w:val="80"/>
        </w:rPr>
        <w:t>ꎻ</w:t>
      </w:r>
      <w:r>
        <w:rPr>
          <w:rFonts w:hint="eastAsia" w:ascii="MS UI Gothic" w:eastAsia="MS UI Gothic"/>
          <w:spacing w:val="-37"/>
          <w:w w:val="150"/>
        </w:rPr>
        <w:t xml:space="preserve">( </w:t>
      </w:r>
      <w:r>
        <w:rPr>
          <w:spacing w:val="3"/>
          <w:w w:val="115"/>
        </w:rPr>
        <w:t>三</w:t>
      </w:r>
      <w:r>
        <w:rPr>
          <w:rFonts w:hint="eastAsia" w:ascii="MS UI Gothic" w:eastAsia="MS UI Gothic"/>
          <w:spacing w:val="11"/>
          <w:w w:val="150"/>
        </w:rPr>
        <w:t xml:space="preserve">) </w:t>
      </w:r>
      <w:r>
        <w:rPr>
          <w:spacing w:val="3"/>
          <w:w w:val="115"/>
        </w:rPr>
        <w:t>设计计算书</w:t>
      </w:r>
      <w:r>
        <w:rPr>
          <w:rFonts w:hint="eastAsia" w:ascii="MS UI Gothic" w:eastAsia="MS UI Gothic"/>
          <w:w w:val="80"/>
        </w:rPr>
        <w:t>ꎻ</w:t>
      </w:r>
    </w:p>
    <w:p>
      <w:pPr>
        <w:pStyle w:val="6"/>
        <w:spacing w:line="255" w:lineRule="exact"/>
        <w:ind w:left="860" w:firstLine="0"/>
        <w:jc w:val="left"/>
        <w:rPr>
          <w:rFonts w:hint="eastAsia" w:ascii="MS UI Gothic" w:eastAsia="MS UI Gothic"/>
        </w:rPr>
      </w:pPr>
      <w:r>
        <w:rPr>
          <w:rFonts w:hint="eastAsia" w:ascii="MS UI Gothic" w:eastAsia="MS UI Gothic"/>
          <w:spacing w:val="-29"/>
          <w:w w:val="110"/>
        </w:rPr>
        <w:t xml:space="preserve">( </w:t>
      </w:r>
      <w:r>
        <w:rPr>
          <w:spacing w:val="3"/>
          <w:w w:val="110"/>
        </w:rPr>
        <w:t>四</w:t>
      </w:r>
      <w:r>
        <w:rPr>
          <w:rFonts w:hint="eastAsia" w:ascii="MS UI Gothic" w:eastAsia="MS UI Gothic"/>
          <w:spacing w:val="-1"/>
          <w:w w:val="110"/>
        </w:rPr>
        <w:t xml:space="preserve">) </w:t>
      </w:r>
      <w:r>
        <w:rPr>
          <w:spacing w:val="3"/>
          <w:w w:val="110"/>
        </w:rPr>
        <w:t>设计说明书</w:t>
      </w:r>
      <w:r>
        <w:rPr>
          <w:rFonts w:hint="eastAsia" w:ascii="MS UI Gothic" w:eastAsia="MS UI Gothic"/>
          <w:w w:val="80"/>
        </w:rPr>
        <w:t>ꎻ</w:t>
      </w:r>
    </w:p>
    <w:p>
      <w:pPr>
        <w:pStyle w:val="6"/>
        <w:spacing w:before="59" w:line="295" w:lineRule="auto"/>
        <w:ind w:left="860" w:right="1216" w:firstLine="0"/>
        <w:jc w:val="left"/>
        <w:rPr>
          <w:rFonts w:hint="eastAsia" w:ascii="MS UI Gothic" w:eastAsia="MS UI Gothic"/>
        </w:rPr>
      </w:pPr>
      <w:r>
        <w:rPr>
          <w:rFonts w:hint="eastAsia" w:ascii="MS UI Gothic" w:eastAsia="MS UI Gothic"/>
          <w:spacing w:val="-30"/>
          <w:w w:val="110"/>
        </w:rPr>
        <w:t xml:space="preserve">( </w:t>
      </w:r>
      <w:r>
        <w:rPr>
          <w:spacing w:val="3"/>
          <w:w w:val="110"/>
        </w:rPr>
        <w:t>五</w:t>
      </w:r>
      <w:r>
        <w:rPr>
          <w:rFonts w:hint="eastAsia" w:ascii="MS UI Gothic" w:eastAsia="MS UI Gothic"/>
          <w:spacing w:val="-11"/>
          <w:w w:val="110"/>
        </w:rPr>
        <w:t xml:space="preserve">) </w:t>
      </w:r>
      <w:r>
        <w:rPr>
          <w:spacing w:val="3"/>
          <w:w w:val="110"/>
        </w:rPr>
        <w:t>标准化审查报告</w:t>
      </w:r>
      <w:r>
        <w:rPr>
          <w:rFonts w:hint="eastAsia" w:ascii="MS UI Gothic" w:eastAsia="MS UI Gothic"/>
          <w:w w:val="80"/>
        </w:rPr>
        <w:t>ꎻ</w:t>
      </w:r>
      <w:r>
        <w:rPr>
          <w:rFonts w:hint="eastAsia" w:ascii="MS UI Gothic" w:eastAsia="MS UI Gothic"/>
          <w:spacing w:val="-38"/>
          <w:w w:val="150"/>
        </w:rPr>
        <w:t xml:space="preserve">( </w:t>
      </w:r>
      <w:r>
        <w:rPr>
          <w:spacing w:val="3"/>
          <w:w w:val="110"/>
        </w:rPr>
        <w:t>六</w:t>
      </w:r>
      <w:r>
        <w:rPr>
          <w:rFonts w:hint="eastAsia" w:ascii="MS UI Gothic" w:eastAsia="MS UI Gothic"/>
          <w:spacing w:val="4"/>
          <w:w w:val="150"/>
        </w:rPr>
        <w:t xml:space="preserve">) </w:t>
      </w:r>
      <w:r>
        <w:rPr>
          <w:spacing w:val="3"/>
          <w:w w:val="110"/>
        </w:rPr>
        <w:t>使用说明书</w:t>
      </w:r>
      <w:r>
        <w:rPr>
          <w:rFonts w:hint="eastAsia" w:ascii="MS UI Gothic" w:eastAsia="MS UI Gothic"/>
          <w:w w:val="80"/>
        </w:rPr>
        <w:t>ꎮ</w:t>
      </w:r>
    </w:p>
    <w:p>
      <w:pPr>
        <w:pStyle w:val="6"/>
        <w:spacing w:line="295" w:lineRule="auto"/>
        <w:ind w:left="440"/>
        <w:rPr>
          <w:rFonts w:hint="eastAsia" w:ascii="MS UI Gothic" w:eastAsia="MS UI Gothic"/>
        </w:rPr>
      </w:pPr>
      <w:r>
        <w:t>改变气瓶瓶体主体结构</w:t>
      </w:r>
      <w:r>
        <w:rPr>
          <w:rFonts w:hint="eastAsia" w:ascii="MS UI Gothic" w:eastAsia="MS UI Gothic"/>
          <w:w w:val="80"/>
        </w:rPr>
        <w:t xml:space="preserve">、 </w:t>
      </w:r>
      <w:r>
        <w:t>设计厚度</w:t>
      </w:r>
      <w:r>
        <w:rPr>
          <w:rFonts w:hint="eastAsia" w:ascii="MS UI Gothic" w:eastAsia="MS UI Gothic"/>
          <w:w w:val="80"/>
        </w:rPr>
        <w:t>、</w:t>
      </w:r>
      <w:r>
        <w:t>瓶体材料牌号时</w:t>
      </w:r>
      <w:r>
        <w:rPr>
          <w:rFonts w:hint="eastAsia" w:ascii="MS UI Gothic" w:eastAsia="MS UI Gothic"/>
          <w:w w:val="80"/>
        </w:rPr>
        <w:t xml:space="preserve">ꎬ </w:t>
      </w:r>
      <w:r>
        <w:t>气瓶制造单位应当重新申请设计文件鉴定</w:t>
      </w:r>
      <w:r>
        <w:rPr>
          <w:rFonts w:hint="eastAsia" w:ascii="MS UI Gothic" w:eastAsia="MS UI Gothic"/>
          <w:w w:val="80"/>
        </w:rPr>
        <w:t>ꎮ</w:t>
      </w:r>
    </w:p>
    <w:p>
      <w:pPr>
        <w:pStyle w:val="6"/>
        <w:tabs>
          <w:tab w:val="left" w:pos="1698"/>
        </w:tabs>
        <w:spacing w:line="254" w:lineRule="exact"/>
        <w:ind w:left="860" w:firstLine="0"/>
        <w:jc w:val="left"/>
      </w:pPr>
      <w:r>
        <w:rPr>
          <w:spacing w:val="3"/>
          <w:w w:val="105"/>
        </w:rPr>
        <w:t>第七</w:t>
      </w:r>
      <w:r>
        <w:rPr>
          <w:w w:val="105"/>
        </w:rPr>
        <w:t>条</w:t>
      </w:r>
      <w:r>
        <w:rPr>
          <w:w w:val="105"/>
        </w:rPr>
        <w:tab/>
      </w:r>
      <w:r>
        <w:rPr>
          <w:spacing w:val="3"/>
        </w:rPr>
        <w:t>气瓶设计文件应当符合有</w:t>
      </w:r>
      <w:r>
        <w:t>关</w:t>
      </w:r>
    </w:p>
    <w:p>
      <w:pPr>
        <w:pStyle w:val="6"/>
        <w:spacing w:before="62"/>
        <w:ind w:left="381" w:firstLine="0"/>
        <w:rPr>
          <w:rFonts w:hint="eastAsia" w:ascii="MS UI Gothic" w:eastAsia="MS UI Gothic"/>
        </w:rPr>
      </w:pPr>
      <w:r>
        <w:br w:type="column"/>
      </w:r>
      <w:r>
        <w:t>后</w:t>
      </w:r>
      <w:r>
        <w:rPr>
          <w:rFonts w:hint="eastAsia" w:ascii="MS UI Gothic" w:eastAsia="MS UI Gothic"/>
          <w:w w:val="80"/>
        </w:rPr>
        <w:t xml:space="preserve">ꎬ </w:t>
      </w:r>
      <w:r>
        <w:t>方可从事相应工作</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w w:val="105"/>
        </w:rPr>
        <w:t xml:space="preserve">第十条 在我国境内使用的气瓶应当按照我国安全技术规范和国家标准 </w:t>
      </w:r>
      <w:r>
        <w:rPr>
          <w:rFonts w:hint="eastAsia" w:ascii="MS UI Gothic" w:eastAsia="MS UI Gothic"/>
          <w:w w:val="150"/>
        </w:rPr>
        <w:t xml:space="preserve">( </w:t>
      </w:r>
      <w:r>
        <w:rPr>
          <w:w w:val="105"/>
        </w:rPr>
        <w:t>行业标准</w:t>
      </w:r>
      <w:r>
        <w:rPr>
          <w:rFonts w:hint="eastAsia" w:ascii="MS UI Gothic" w:eastAsia="MS UI Gothic"/>
          <w:w w:val="150"/>
        </w:rPr>
        <w:t xml:space="preserve">) </w:t>
      </w:r>
      <w:r>
        <w:rPr>
          <w:w w:val="105"/>
        </w:rPr>
        <w:t>生产</w:t>
      </w:r>
      <w:r>
        <w:rPr>
          <w:rFonts w:hint="eastAsia" w:ascii="MS UI Gothic" w:eastAsia="MS UI Gothic"/>
          <w:w w:val="80"/>
        </w:rPr>
        <w:t xml:space="preserve">ꎮ </w:t>
      </w:r>
      <w:r>
        <w:rPr>
          <w:w w:val="105"/>
        </w:rPr>
        <w:t xml:space="preserve">暂时没有国家标准 </w:t>
      </w:r>
      <w:r>
        <w:rPr>
          <w:rFonts w:hint="eastAsia" w:ascii="MS UI Gothic" w:eastAsia="MS UI Gothic"/>
          <w:w w:val="150"/>
        </w:rPr>
        <w:t xml:space="preserve">( </w:t>
      </w:r>
      <w:r>
        <w:rPr>
          <w:w w:val="105"/>
        </w:rPr>
        <w:t>行业标准</w:t>
      </w:r>
      <w:r>
        <w:rPr>
          <w:rFonts w:hint="eastAsia" w:ascii="MS UI Gothic" w:eastAsia="MS UI Gothic"/>
          <w:w w:val="150"/>
        </w:rPr>
        <w:t xml:space="preserve">) </w:t>
      </w:r>
      <w:r>
        <w:rPr>
          <w:w w:val="105"/>
        </w:rPr>
        <w:t>时</w:t>
      </w:r>
      <w:r>
        <w:rPr>
          <w:rFonts w:hint="eastAsia" w:ascii="MS UI Gothic" w:eastAsia="MS UI Gothic"/>
          <w:w w:val="80"/>
        </w:rPr>
        <w:t xml:space="preserve">ꎬ </w:t>
      </w:r>
      <w:r>
        <w:rPr>
          <w:w w:val="105"/>
        </w:rPr>
        <w:t>应当制定符合安全技术规范要求的企业标准</w:t>
      </w:r>
      <w:r>
        <w:rPr>
          <w:rFonts w:hint="eastAsia" w:ascii="MS UI Gothic" w:eastAsia="MS UI Gothic"/>
          <w:w w:val="80"/>
        </w:rPr>
        <w:t>ꎮ</w:t>
      </w:r>
    </w:p>
    <w:p>
      <w:pPr>
        <w:pStyle w:val="6"/>
        <w:spacing w:line="295" w:lineRule="auto"/>
        <w:ind w:left="381" w:right="126"/>
        <w:rPr>
          <w:rFonts w:hint="eastAsia" w:ascii="MS UI Gothic" w:eastAsia="MS UI Gothic"/>
        </w:rPr>
      </w:pPr>
      <w:r>
        <w:t>第十一条 在符合有关气瓶安全技术规范和国家标准的条件下</w:t>
      </w:r>
      <w:r>
        <w:rPr>
          <w:rFonts w:hint="eastAsia" w:ascii="MS UI Gothic" w:eastAsia="MS UI Gothic"/>
          <w:w w:val="80"/>
        </w:rPr>
        <w:t xml:space="preserve">ꎬ </w:t>
      </w:r>
      <w:r>
        <w:t>气瓶制造单位可按气瓶充装单位的要求</w:t>
      </w:r>
      <w:r>
        <w:rPr>
          <w:rFonts w:hint="eastAsia" w:ascii="MS UI Gothic" w:eastAsia="MS UI Gothic"/>
          <w:w w:val="80"/>
        </w:rPr>
        <w:t xml:space="preserve">ꎬ </w:t>
      </w:r>
      <w:r>
        <w:t>生产专用标识气瓶</w:t>
      </w:r>
      <w:r>
        <w:rPr>
          <w:rFonts w:hint="eastAsia" w:ascii="MS UI Gothic" w:eastAsia="MS UI Gothic"/>
          <w:w w:val="80"/>
        </w:rPr>
        <w:t>ꎮ</w:t>
      </w:r>
    </w:p>
    <w:p>
      <w:pPr>
        <w:pStyle w:val="6"/>
        <w:spacing w:line="295" w:lineRule="auto"/>
        <w:ind w:left="381" w:right="124"/>
        <w:rPr>
          <w:rFonts w:hint="eastAsia" w:ascii="MS UI Gothic" w:eastAsia="MS UI Gothic"/>
        </w:rPr>
      </w:pPr>
      <w:r>
        <w:t>第十二条 气瓶及附件正式投产前</w:t>
      </w:r>
      <w:r>
        <w:rPr>
          <w:rFonts w:hint="eastAsia" w:ascii="MS UI Gothic" w:eastAsia="MS UI Gothic"/>
          <w:w w:val="80"/>
        </w:rPr>
        <w:t>ꎬ</w:t>
      </w:r>
      <w:r>
        <w:t>应当按照安全技术规范及相关标准的要求进行型式试验</w:t>
      </w:r>
      <w:r>
        <w:rPr>
          <w:rFonts w:hint="eastAsia" w:ascii="MS UI Gothic" w:eastAsia="MS UI Gothic"/>
          <w:w w:val="80"/>
        </w:rPr>
        <w:t xml:space="preserve">ꎮ </w:t>
      </w:r>
      <w:r>
        <w:t xml:space="preserve">改变设计文件或者主要制造工艺或者停产时间超过 </w:t>
      </w:r>
      <w:r>
        <w:rPr>
          <w:rFonts w:hint="eastAsia" w:ascii="MS UI Gothic" w:eastAsia="MS UI Gothic"/>
          <w:w w:val="80"/>
        </w:rPr>
        <w:t xml:space="preserve">６  </w:t>
      </w:r>
      <w:r>
        <w:t>个月重新生产时</w:t>
      </w:r>
      <w:r>
        <w:rPr>
          <w:rFonts w:hint="eastAsia" w:ascii="MS UI Gothic" w:eastAsia="MS UI Gothic"/>
          <w:w w:val="80"/>
        </w:rPr>
        <w:t xml:space="preserve">ꎬ </w:t>
      </w:r>
      <w:r>
        <w:t>应当进行气瓶的型式试验</w:t>
      </w:r>
      <w:r>
        <w:rPr>
          <w:rFonts w:hint="eastAsia" w:ascii="MS UI Gothic" w:eastAsia="MS UI Gothic"/>
          <w:w w:val="80"/>
        </w:rPr>
        <w:t>ꎮ</w:t>
      </w:r>
    </w:p>
    <w:p>
      <w:pPr>
        <w:pStyle w:val="6"/>
        <w:spacing w:line="295" w:lineRule="auto"/>
        <w:ind w:left="381" w:right="126"/>
        <w:rPr>
          <w:rFonts w:hint="eastAsia" w:ascii="MS UI Gothic" w:eastAsia="MS UI Gothic"/>
        </w:rPr>
      </w:pPr>
      <w:r>
        <w:t>第十三条 研制</w:t>
      </w:r>
      <w:r>
        <w:rPr>
          <w:rFonts w:hint="eastAsia" w:ascii="MS UI Gothic" w:eastAsia="MS UI Gothic"/>
          <w:w w:val="80"/>
        </w:rPr>
        <w:t xml:space="preserve">、 </w:t>
      </w:r>
      <w:r>
        <w:t>开发气瓶及其附件新产品</w:t>
      </w:r>
      <w:r>
        <w:rPr>
          <w:rFonts w:hint="eastAsia" w:ascii="MS UI Gothic" w:eastAsia="MS UI Gothic"/>
          <w:w w:val="80"/>
        </w:rPr>
        <w:t xml:space="preserve">ꎬ </w:t>
      </w:r>
      <w:r>
        <w:t>应当进行型式试验和技术评定</w:t>
      </w:r>
      <w:r>
        <w:rPr>
          <w:rFonts w:hint="eastAsia" w:ascii="MS UI Gothic" w:eastAsia="MS UI Gothic"/>
          <w:w w:val="80"/>
        </w:rPr>
        <w:t>ꎮ</w:t>
      </w:r>
    </w:p>
    <w:p>
      <w:pPr>
        <w:pStyle w:val="6"/>
        <w:spacing w:line="295" w:lineRule="auto"/>
        <w:ind w:left="381" w:right="126"/>
      </w:pPr>
      <w:r>
        <w:rPr>
          <w:spacing w:val="2"/>
          <w:w w:val="105"/>
        </w:rPr>
        <w:t>第十四条 气瓶应当逐只进行监督检</w:t>
      </w:r>
      <w:r>
        <w:rPr>
          <w:spacing w:val="4"/>
          <w:w w:val="105"/>
        </w:rPr>
        <w:t xml:space="preserve">验后方可出厂 </w:t>
      </w:r>
      <w:r>
        <w:rPr>
          <w:rFonts w:hint="eastAsia" w:ascii="MS UI Gothic" w:eastAsia="MS UI Gothic"/>
          <w:spacing w:val="-36"/>
          <w:w w:val="150"/>
        </w:rPr>
        <w:t xml:space="preserve">( </w:t>
      </w:r>
      <w:r>
        <w:rPr>
          <w:spacing w:val="15"/>
          <w:w w:val="105"/>
        </w:rPr>
        <w:t>出口气瓶按合同或其他</w:t>
      </w:r>
      <w:r>
        <w:rPr>
          <w:spacing w:val="3"/>
          <w:w w:val="105"/>
        </w:rPr>
        <w:t>有关规定执行</w:t>
      </w:r>
      <w:r>
        <w:rPr>
          <w:rFonts w:hint="eastAsia" w:ascii="MS UI Gothic" w:eastAsia="MS UI Gothic"/>
          <w:spacing w:val="-42"/>
          <w:w w:val="150"/>
        </w:rPr>
        <w:t xml:space="preserve">) </w:t>
      </w:r>
      <w:r>
        <w:rPr>
          <w:rFonts w:hint="eastAsia" w:ascii="MS UI Gothic" w:eastAsia="MS UI Gothic"/>
          <w:spacing w:val="-3"/>
          <w:w w:val="80"/>
        </w:rPr>
        <w:t xml:space="preserve">ꎮ </w:t>
      </w:r>
      <w:r>
        <w:rPr>
          <w:spacing w:val="11"/>
          <w:w w:val="105"/>
        </w:rPr>
        <w:t>气瓶出厂时</w:t>
      </w:r>
      <w:r>
        <w:rPr>
          <w:rFonts w:hint="eastAsia" w:ascii="MS UI Gothic" w:eastAsia="MS UI Gothic"/>
          <w:spacing w:val="-4"/>
          <w:w w:val="80"/>
        </w:rPr>
        <w:t xml:space="preserve">ꎬ </w:t>
      </w:r>
      <w:r>
        <w:rPr>
          <w:spacing w:val="9"/>
          <w:w w:val="105"/>
        </w:rPr>
        <w:t>制造单位</w:t>
      </w:r>
      <w:r>
        <w:rPr>
          <w:spacing w:val="12"/>
          <w:w w:val="105"/>
        </w:rPr>
        <w:t>应当在产品的明显位置上</w:t>
      </w:r>
      <w:r>
        <w:rPr>
          <w:rFonts w:hint="eastAsia" w:ascii="MS UI Gothic" w:eastAsia="MS UI Gothic"/>
          <w:spacing w:val="12"/>
          <w:w w:val="80"/>
        </w:rPr>
        <w:t xml:space="preserve">ꎬ </w:t>
      </w:r>
      <w:r>
        <w:rPr>
          <w:spacing w:val="3"/>
          <w:w w:val="105"/>
        </w:rPr>
        <w:t xml:space="preserve">以钢印 </w:t>
      </w:r>
      <w:r>
        <w:rPr>
          <w:rFonts w:hint="eastAsia" w:ascii="MS UI Gothic" w:eastAsia="MS UI Gothic"/>
          <w:spacing w:val="-36"/>
          <w:w w:val="150"/>
        </w:rPr>
        <w:t xml:space="preserve">( </w:t>
      </w:r>
      <w:r>
        <w:rPr>
          <w:w w:val="105"/>
        </w:rPr>
        <w:t>或</w:t>
      </w:r>
      <w:r>
        <w:rPr>
          <w:spacing w:val="11"/>
          <w:w w:val="105"/>
        </w:rPr>
        <w:t>者其他固定形式</w:t>
      </w:r>
      <w:r>
        <w:rPr>
          <w:rFonts w:hint="eastAsia" w:ascii="MS UI Gothic" w:eastAsia="MS UI Gothic"/>
          <w:spacing w:val="-4"/>
          <w:w w:val="150"/>
        </w:rPr>
        <w:t xml:space="preserve">) </w:t>
      </w:r>
      <w:r>
        <w:rPr>
          <w:spacing w:val="15"/>
          <w:w w:val="105"/>
        </w:rPr>
        <w:t>注明制造单位的制造</w:t>
      </w:r>
      <w:r>
        <w:rPr>
          <w:spacing w:val="2"/>
        </w:rPr>
        <w:t>许可证编号和企业代号标志以及气瓶出厂</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２０４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38" o:spid="_x0000_s1638" o:spt="203" style="height:2.15pt;width:398.25pt;" coordsize="7965,43">
            <o:lock v:ext="edit"/>
            <v:line id="_x0000_s1639" o:spid="_x0000_s1639" o:spt="20" style="position:absolute;left:0;top:39;height:0;width:7965;" stroked="t" coordsize="21600,21600">
              <v:path arrowok="t"/>
              <v:fill focussize="0,0"/>
              <v:stroke weight="0.388031496062992pt" color="#231F20"/>
              <v:imagedata o:title=""/>
              <o:lock v:ext="edit"/>
            </v:line>
            <v:line id="_x0000_s1640" o:spid="_x0000_s164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编号</w:t>
      </w:r>
      <w:r>
        <w:rPr>
          <w:rFonts w:hint="eastAsia" w:ascii="MS UI Gothic" w:eastAsia="MS UI Gothic"/>
          <w:w w:val="80"/>
        </w:rPr>
        <w:t xml:space="preserve">ꎬ </w:t>
      </w:r>
      <w:r>
        <w:t>并向用户逐只出具铭牌式或者其他能固定于气瓶上的产品合格证</w:t>
      </w:r>
      <w:r>
        <w:rPr>
          <w:rFonts w:hint="eastAsia" w:ascii="MS UI Gothic" w:eastAsia="MS UI Gothic"/>
          <w:w w:val="80"/>
        </w:rPr>
        <w:t xml:space="preserve">ꎬ </w:t>
      </w:r>
      <w:r>
        <w:t>按批出具批量检验质量证明书</w:t>
      </w:r>
      <w:r>
        <w:rPr>
          <w:rFonts w:hint="eastAsia" w:ascii="MS UI Gothic" w:eastAsia="MS UI Gothic"/>
          <w:w w:val="80"/>
        </w:rPr>
        <w:t xml:space="preserve">ꎮ </w:t>
      </w:r>
      <w:r>
        <w:t>产品合格证和批量检验质量证明书的内容</w:t>
      </w:r>
      <w:r>
        <w:rPr>
          <w:rFonts w:hint="eastAsia" w:ascii="MS UI Gothic" w:eastAsia="MS UI Gothic"/>
          <w:w w:val="80"/>
        </w:rPr>
        <w:t xml:space="preserve">ꎬ </w:t>
      </w:r>
      <w:r>
        <w:t>应当符合相应的安全技术规范及产品标准的规定</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第十五条 气瓶及其附件制造单位必须对设计</w:t>
      </w:r>
      <w:r>
        <w:rPr>
          <w:rFonts w:hint="eastAsia" w:ascii="MS UI Gothic" w:eastAsia="MS UI Gothic"/>
          <w:w w:val="80"/>
        </w:rPr>
        <w:t xml:space="preserve">、 </w:t>
      </w:r>
      <w:r>
        <w:rPr>
          <w:w w:val="105"/>
        </w:rPr>
        <w:t>制造的气瓶及其附件的安全性</w:t>
      </w:r>
      <w:r>
        <w:t>能和产品质量负责</w:t>
      </w:r>
      <w:r>
        <w:rPr>
          <w:rFonts w:hint="eastAsia" w:ascii="MS UI Gothic" w:eastAsia="MS UI Gothic"/>
          <w:w w:val="80"/>
        </w:rPr>
        <w:t xml:space="preserve">ꎮ </w:t>
      </w:r>
      <w:r>
        <w:t>气瓶阀门制造单位应当保证气瓶阀门至少安全使用到气瓶的下</w:t>
      </w:r>
      <w:r>
        <w:rPr>
          <w:w w:val="105"/>
        </w:rPr>
        <w:t>一个检验周期</w:t>
      </w:r>
      <w:r>
        <w:rPr>
          <w:rFonts w:hint="eastAsia" w:ascii="MS UI Gothic" w:eastAsia="MS UI Gothic"/>
          <w:w w:val="80"/>
        </w:rPr>
        <w:t>ꎮ</w:t>
      </w:r>
    </w:p>
    <w:p>
      <w:pPr>
        <w:pStyle w:val="6"/>
        <w:tabs>
          <w:tab w:val="left" w:pos="1591"/>
        </w:tabs>
        <w:spacing w:before="149"/>
        <w:ind w:left="753" w:firstLine="0"/>
        <w:jc w:val="left"/>
      </w:pPr>
      <w:r>
        <w:rPr>
          <w:spacing w:val="3"/>
          <w:w w:val="105"/>
        </w:rPr>
        <w:t>第三</w:t>
      </w:r>
      <w:r>
        <w:rPr>
          <w:w w:val="105"/>
        </w:rPr>
        <w:t>章</w:t>
      </w:r>
      <w:r>
        <w:rPr>
          <w:w w:val="105"/>
        </w:rPr>
        <w:tab/>
      </w:r>
      <w:r>
        <w:rPr>
          <w:spacing w:val="3"/>
          <w:w w:val="105"/>
        </w:rPr>
        <w:t>气瓶制造监督检</w:t>
      </w:r>
      <w:r>
        <w:rPr>
          <w:w w:val="105"/>
        </w:rPr>
        <w:t>验</w:t>
      </w:r>
    </w:p>
    <w:p>
      <w:pPr>
        <w:pStyle w:val="6"/>
        <w:spacing w:before="216" w:line="295" w:lineRule="auto"/>
        <w:ind w:right="38"/>
        <w:rPr>
          <w:rFonts w:hint="eastAsia" w:ascii="MS UI Gothic" w:eastAsia="MS UI Gothic"/>
        </w:rPr>
      </w:pPr>
      <w:r>
        <w:rPr>
          <w:spacing w:val="2"/>
          <w:w w:val="105"/>
        </w:rPr>
        <w:t>第十六条 承担气瓶制造监督检验工</w:t>
      </w:r>
      <w:r>
        <w:rPr>
          <w:spacing w:val="-2"/>
          <w:w w:val="105"/>
        </w:rPr>
        <w:t xml:space="preserve">作的检验机构 </w:t>
      </w:r>
      <w:r>
        <w:rPr>
          <w:rFonts w:hint="eastAsia" w:ascii="MS UI Gothic" w:eastAsia="MS UI Gothic"/>
          <w:spacing w:val="-38"/>
          <w:w w:val="150"/>
        </w:rPr>
        <w:t xml:space="preserve">( </w:t>
      </w:r>
      <w:r>
        <w:rPr>
          <w:spacing w:val="9"/>
          <w:w w:val="105"/>
        </w:rPr>
        <w:t>以下简称监检机构</w:t>
      </w:r>
      <w:r>
        <w:rPr>
          <w:rFonts w:hint="eastAsia" w:ascii="MS UI Gothic" w:eastAsia="MS UI Gothic"/>
          <w:spacing w:val="-39"/>
          <w:w w:val="150"/>
        </w:rPr>
        <w:t xml:space="preserve">) </w:t>
      </w:r>
      <w:r>
        <w:rPr>
          <w:rFonts w:hint="eastAsia" w:ascii="MS UI Gothic" w:eastAsia="MS UI Gothic"/>
          <w:spacing w:val="12"/>
          <w:w w:val="80"/>
        </w:rPr>
        <w:t xml:space="preserve">ꎬ </w:t>
      </w:r>
      <w:r>
        <w:rPr>
          <w:w w:val="105"/>
        </w:rPr>
        <w:t>应</w:t>
      </w:r>
      <w:r>
        <w:rPr>
          <w:spacing w:val="3"/>
        </w:rPr>
        <w:t>当经国家质检总局核准</w:t>
      </w:r>
      <w:r>
        <w:rPr>
          <w:rFonts w:hint="eastAsia" w:ascii="MS UI Gothic" w:eastAsia="MS UI Gothic"/>
          <w:spacing w:val="21"/>
          <w:w w:val="80"/>
        </w:rPr>
        <w:t xml:space="preserve">ꎮ </w:t>
      </w:r>
      <w:r>
        <w:rPr>
          <w:spacing w:val="2"/>
        </w:rPr>
        <w:t>监检机构所监督</w:t>
      </w:r>
      <w:r>
        <w:rPr>
          <w:spacing w:val="3"/>
        </w:rPr>
        <w:t>检验的产品</w:t>
      </w:r>
      <w:r>
        <w:rPr>
          <w:rFonts w:hint="eastAsia" w:ascii="MS UI Gothic" w:eastAsia="MS UI Gothic"/>
          <w:spacing w:val="21"/>
          <w:w w:val="80"/>
        </w:rPr>
        <w:t xml:space="preserve">ꎬ </w:t>
      </w:r>
      <w:r>
        <w:rPr>
          <w:spacing w:val="2"/>
        </w:rPr>
        <w:t>应当符合受检单位所取得的</w:t>
      </w:r>
      <w:r>
        <w:rPr>
          <w:spacing w:val="3"/>
          <w:w w:val="105"/>
        </w:rPr>
        <w:t>制造许可证书所规定的品种范围</w:t>
      </w:r>
      <w:r>
        <w:rPr>
          <w:rFonts w:hint="eastAsia" w:ascii="MS UI Gothic" w:eastAsia="MS UI Gothic"/>
          <w:w w:val="80"/>
        </w:rPr>
        <w:t>ꎮ</w:t>
      </w:r>
    </w:p>
    <w:p>
      <w:pPr>
        <w:pStyle w:val="6"/>
        <w:spacing w:line="295" w:lineRule="auto"/>
        <w:ind w:right="38"/>
        <w:rPr>
          <w:rFonts w:hint="eastAsia" w:ascii="MS UI Gothic" w:eastAsia="MS UI Gothic"/>
        </w:rPr>
      </w:pPr>
      <w:r>
        <w:rPr>
          <w:w w:val="110"/>
        </w:rPr>
        <w:t>第十七条 监督检验的主要内容</w:t>
      </w:r>
      <w:r>
        <w:rPr>
          <w:w w:val="115"/>
        </w:rPr>
        <w:t>包括</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对气瓶制造过程中涉及安全的水压试验</w:t>
      </w:r>
      <w:r>
        <w:rPr>
          <w:rFonts w:hint="eastAsia" w:ascii="MS UI Gothic" w:eastAsia="MS UI Gothic"/>
          <w:w w:val="80"/>
        </w:rPr>
        <w:t xml:space="preserve">、 </w:t>
      </w:r>
      <w:r>
        <w:rPr>
          <w:w w:val="105"/>
        </w:rPr>
        <w:t>气瓶出厂编号和打监督检验钢印等重要项目进行逐只监督检验</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5"/>
          <w:w w:val="105"/>
        </w:rPr>
        <w:t>对气瓶材料的复验</w:t>
      </w:r>
      <w:r>
        <w:rPr>
          <w:rFonts w:hint="eastAsia" w:ascii="MS UI Gothic" w:eastAsia="MS UI Gothic"/>
          <w:w w:val="80"/>
        </w:rPr>
        <w:t xml:space="preserve">、  </w:t>
      </w:r>
      <w:r>
        <w:rPr>
          <w:spacing w:val="8"/>
          <w:w w:val="105"/>
        </w:rPr>
        <w:t>气瓶爆破</w:t>
      </w:r>
      <w:r>
        <w:rPr>
          <w:spacing w:val="2"/>
        </w:rPr>
        <w:t>试验和产品试样的力学性能和其他理化性</w:t>
      </w:r>
      <w:r>
        <w:rPr>
          <w:spacing w:val="3"/>
          <w:w w:val="105"/>
        </w:rPr>
        <w:t>能测试进行现场监督确认</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6"/>
          <w:w w:val="105"/>
        </w:rPr>
        <w:t xml:space="preserve">) </w:t>
      </w:r>
      <w:r>
        <w:rPr>
          <w:spacing w:val="5"/>
          <w:w w:val="105"/>
        </w:rPr>
        <w:t>对受检单位的气瓶制造质量管</w:t>
      </w:r>
      <w:r>
        <w:rPr>
          <w:spacing w:val="3"/>
          <w:w w:val="110"/>
        </w:rPr>
        <w:t>理体系运转情况进行监督</w:t>
      </w:r>
      <w:r>
        <w:rPr>
          <w:rFonts w:hint="eastAsia" w:ascii="MS UI Gothic" w:eastAsia="MS UI Gothic"/>
          <w:w w:val="80"/>
        </w:rPr>
        <w:t>ꎮ</w:t>
      </w:r>
    </w:p>
    <w:p>
      <w:pPr>
        <w:pStyle w:val="6"/>
        <w:spacing w:line="255" w:lineRule="exact"/>
        <w:ind w:left="543" w:firstLine="0"/>
        <w:jc w:val="left"/>
      </w:pPr>
      <w:r>
        <w:t>气瓶制造监督检验报告应当包括上述</w:t>
      </w:r>
    </w:p>
    <w:p>
      <w:pPr>
        <w:pStyle w:val="6"/>
        <w:spacing w:before="47"/>
        <w:ind w:left="118" w:firstLine="0"/>
        <w:rPr>
          <w:rFonts w:hint="eastAsia" w:ascii="MS UI Gothic" w:eastAsia="MS UI Gothic"/>
        </w:rPr>
      </w:pPr>
      <w:r>
        <w:rPr>
          <w:rFonts w:hint="eastAsia" w:ascii="MS UI Gothic" w:eastAsia="MS UI Gothic"/>
        </w:rPr>
        <w:t xml:space="preserve">３ </w:t>
      </w:r>
      <w:r>
        <w:t>项内容和结论</w:t>
      </w:r>
      <w:r>
        <w:rPr>
          <w:rFonts w:hint="eastAsia" w:ascii="MS UI Gothic" w:eastAsia="MS UI Gothic"/>
          <w:w w:val="80"/>
        </w:rPr>
        <w:t>ꎮ</w:t>
      </w:r>
    </w:p>
    <w:p>
      <w:pPr>
        <w:pStyle w:val="6"/>
        <w:spacing w:before="59" w:line="295" w:lineRule="auto"/>
        <w:ind w:right="38"/>
        <w:rPr>
          <w:rFonts w:hint="eastAsia" w:ascii="MS UI Gothic" w:eastAsia="MS UI Gothic"/>
        </w:rPr>
      </w:pPr>
      <w:r>
        <w:t>第十八条 监检机构应当加强对监督检验工作的管理</w:t>
      </w:r>
      <w:r>
        <w:rPr>
          <w:rFonts w:hint="eastAsia" w:ascii="MS UI Gothic" w:eastAsia="MS UI Gothic"/>
          <w:w w:val="80"/>
        </w:rPr>
        <w:t xml:space="preserve">ꎬ </w:t>
      </w:r>
      <w:r>
        <w:t>根据受检单位生产的实际情况</w:t>
      </w:r>
      <w:r>
        <w:rPr>
          <w:rFonts w:hint="eastAsia" w:ascii="MS UI Gothic" w:eastAsia="MS UI Gothic"/>
          <w:w w:val="80"/>
        </w:rPr>
        <w:t xml:space="preserve">ꎬ </w:t>
      </w:r>
      <w:r>
        <w:t>派出相应的监督检验人员</w:t>
      </w:r>
      <w:r>
        <w:rPr>
          <w:rFonts w:hint="eastAsia" w:ascii="MS UI Gothic" w:eastAsia="MS UI Gothic"/>
          <w:w w:val="80"/>
        </w:rPr>
        <w:t xml:space="preserve">ꎬ </w:t>
      </w:r>
      <w:r>
        <w:t>及时完成监督检验任务</w:t>
      </w:r>
      <w:r>
        <w:rPr>
          <w:rFonts w:hint="eastAsia" w:ascii="MS UI Gothic" w:eastAsia="MS UI Gothic"/>
          <w:w w:val="80"/>
        </w:rPr>
        <w:t xml:space="preserve">ꎻ </w:t>
      </w:r>
      <w:r>
        <w:t>应当对监督检验人员进行培训和定期考核</w:t>
      </w:r>
      <w:r>
        <w:rPr>
          <w:rFonts w:hint="eastAsia" w:ascii="MS UI Gothic" w:eastAsia="MS UI Gothic"/>
          <w:w w:val="80"/>
        </w:rPr>
        <w:t xml:space="preserve">ꎬ </w:t>
      </w:r>
      <w:r>
        <w:t>为检验人员配备必要的检验和检测工具</w:t>
      </w:r>
      <w:r>
        <w:rPr>
          <w:rFonts w:hint="eastAsia" w:ascii="MS UI Gothic" w:eastAsia="MS UI Gothic"/>
          <w:w w:val="80"/>
        </w:rPr>
        <w:t xml:space="preserve">ꎬ </w:t>
      </w:r>
      <w:r>
        <w:t>确保监督检验工作质量</w:t>
      </w:r>
      <w:r>
        <w:rPr>
          <w:rFonts w:hint="eastAsia" w:ascii="MS UI Gothic" w:eastAsia="MS UI Gothic"/>
          <w:w w:val="80"/>
        </w:rPr>
        <w:t xml:space="preserve">ꎮ </w:t>
      </w:r>
      <w:r>
        <w:t>监检机构应当对出具的监督检验报告负责</w:t>
      </w:r>
      <w:r>
        <w:rPr>
          <w:rFonts w:hint="eastAsia" w:ascii="MS UI Gothic" w:eastAsia="MS UI Gothic"/>
          <w:w w:val="80"/>
        </w:rPr>
        <w:t>ꎮ</w:t>
      </w:r>
    </w:p>
    <w:p>
      <w:pPr>
        <w:pStyle w:val="6"/>
        <w:spacing w:line="295" w:lineRule="auto"/>
        <w:ind w:right="38"/>
      </w:pPr>
      <w:r>
        <w:t>第十九条 监督检验人员应当认真履行职责</w:t>
      </w:r>
      <w:r>
        <w:rPr>
          <w:rFonts w:hint="eastAsia" w:ascii="MS UI Gothic" w:eastAsia="MS UI Gothic"/>
          <w:w w:val="80"/>
        </w:rPr>
        <w:t xml:space="preserve">ꎬ </w:t>
      </w:r>
      <w:r>
        <w:t>监督检验到位</w:t>
      </w:r>
      <w:r>
        <w:rPr>
          <w:rFonts w:hint="eastAsia" w:ascii="MS UI Gothic" w:eastAsia="MS UI Gothic"/>
          <w:w w:val="80"/>
        </w:rPr>
        <w:t xml:space="preserve">ꎮ </w:t>
      </w:r>
      <w:r>
        <w:t>应当根据有关安</w:t>
      </w:r>
    </w:p>
    <w:p>
      <w:pPr>
        <w:pStyle w:val="6"/>
        <w:spacing w:before="123" w:line="295" w:lineRule="auto"/>
        <w:ind w:left="118" w:right="440" w:firstLine="0"/>
        <w:rPr>
          <w:rFonts w:hint="eastAsia" w:ascii="MS UI Gothic" w:eastAsia="MS UI Gothic"/>
        </w:rPr>
      </w:pPr>
      <w:r>
        <w:br w:type="column"/>
      </w:r>
      <w:r>
        <w:rPr>
          <w:spacing w:val="4"/>
        </w:rPr>
        <w:t>全技术规范及标准的要求实施监督检验</w:t>
      </w:r>
      <w:r>
        <w:rPr>
          <w:rFonts w:hint="eastAsia" w:ascii="MS UI Gothic" w:eastAsia="MS UI Gothic"/>
          <w:w w:val="80"/>
        </w:rPr>
        <w:t>ꎬ</w:t>
      </w:r>
      <w:r>
        <w:rPr>
          <w:spacing w:val="3"/>
        </w:rPr>
        <w:t>认真做好监督检验记录</w:t>
      </w:r>
      <w:r>
        <w:rPr>
          <w:rFonts w:hint="eastAsia" w:ascii="MS UI Gothic" w:eastAsia="MS UI Gothic"/>
          <w:spacing w:val="19"/>
          <w:w w:val="80"/>
        </w:rPr>
        <w:t xml:space="preserve">ꎬ </w:t>
      </w:r>
      <w:r>
        <w:rPr>
          <w:spacing w:val="2"/>
        </w:rPr>
        <w:t>对受检单位提供</w:t>
      </w:r>
      <w:r>
        <w:rPr>
          <w:spacing w:val="27"/>
        </w:rPr>
        <w:t>的技术资料等应当妥善保管</w:t>
      </w:r>
      <w:r>
        <w:rPr>
          <w:rFonts w:hint="eastAsia" w:ascii="MS UI Gothic" w:eastAsia="MS UI Gothic"/>
          <w:spacing w:val="2"/>
          <w:w w:val="80"/>
        </w:rPr>
        <w:t xml:space="preserve">ꎬ </w:t>
      </w:r>
      <w:r>
        <w:rPr>
          <w:spacing w:val="24"/>
        </w:rPr>
        <w:t>并予以</w:t>
      </w:r>
      <w:r>
        <w:rPr>
          <w:spacing w:val="3"/>
        </w:rPr>
        <w:t>保密</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3"/>
        </w:rPr>
        <w:t>签发监督检验报告的检验人员</w:t>
      </w:r>
      <w:r>
        <w:rPr>
          <w:rFonts w:hint="eastAsia" w:ascii="MS UI Gothic" w:eastAsia="MS UI Gothic"/>
          <w:spacing w:val="15"/>
          <w:w w:val="80"/>
        </w:rPr>
        <w:t xml:space="preserve">ꎬ </w:t>
      </w:r>
      <w:r>
        <w:rPr>
          <w:spacing w:val="1"/>
        </w:rPr>
        <w:t>应当</w:t>
      </w:r>
      <w:r>
        <w:rPr>
          <w:spacing w:val="2"/>
        </w:rPr>
        <w:t>持有国家质检总局颁发的压力容器检验师</w:t>
      </w:r>
      <w:r>
        <w:rPr>
          <w:spacing w:val="3"/>
        </w:rPr>
        <w:t>证书</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2"/>
          <w:w w:val="105"/>
        </w:rPr>
        <w:t>第二十条 监督检验人员发现受检单</w:t>
      </w:r>
      <w:r>
        <w:rPr>
          <w:spacing w:val="2"/>
        </w:rPr>
        <w:t>位质量管理体系运转失控而影响产品质量</w:t>
      </w:r>
      <w:r>
        <w:rPr>
          <w:spacing w:val="3"/>
        </w:rPr>
        <w:t>时</w:t>
      </w:r>
      <w:r>
        <w:rPr>
          <w:rFonts w:hint="eastAsia" w:ascii="MS UI Gothic" w:eastAsia="MS UI Gothic"/>
          <w:spacing w:val="23"/>
          <w:w w:val="80"/>
        </w:rPr>
        <w:t xml:space="preserve">ꎬ </w:t>
      </w:r>
      <w:r>
        <w:rPr>
          <w:spacing w:val="3"/>
        </w:rPr>
        <w:t>应当及时书面通知受检单位改正</w:t>
      </w:r>
      <w:r>
        <w:rPr>
          <w:rFonts w:hint="eastAsia" w:ascii="MS UI Gothic" w:eastAsia="MS UI Gothic"/>
          <w:spacing w:val="23"/>
          <w:w w:val="80"/>
        </w:rPr>
        <w:t xml:space="preserve">ꎬ </w:t>
      </w:r>
      <w:r>
        <w:t>并</w:t>
      </w:r>
      <w:r>
        <w:rPr>
          <w:spacing w:val="3"/>
        </w:rPr>
        <w:t>报告受检单位制造许可证发证部门</w:t>
      </w:r>
      <w:r>
        <w:rPr>
          <w:rFonts w:hint="eastAsia" w:ascii="MS UI Gothic" w:eastAsia="MS UI Gothic"/>
          <w:spacing w:val="20"/>
          <w:w w:val="80"/>
        </w:rPr>
        <w:t xml:space="preserve">ꎮ </w:t>
      </w:r>
      <w:r>
        <w:rPr>
          <w:spacing w:val="1"/>
        </w:rPr>
        <w:t>监督</w:t>
      </w:r>
      <w:r>
        <w:rPr>
          <w:spacing w:val="2"/>
        </w:rPr>
        <w:t>检验人员在监督检验中发现零部件存在安</w:t>
      </w:r>
      <w:r>
        <w:rPr>
          <w:spacing w:val="3"/>
        </w:rPr>
        <w:t>全质量问题时</w:t>
      </w:r>
      <w:r>
        <w:rPr>
          <w:rFonts w:hint="eastAsia" w:ascii="MS UI Gothic" w:eastAsia="MS UI Gothic"/>
          <w:spacing w:val="20"/>
          <w:w w:val="80"/>
        </w:rPr>
        <w:t xml:space="preserve">ꎬ </w:t>
      </w:r>
      <w:r>
        <w:rPr>
          <w:spacing w:val="2"/>
        </w:rPr>
        <w:t>有权制止零部件流入下道</w:t>
      </w:r>
      <w:r>
        <w:rPr>
          <w:spacing w:val="3"/>
          <w:w w:val="105"/>
        </w:rPr>
        <w:t>工序</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3"/>
          <w:w w:val="105"/>
        </w:rPr>
        <w:t>第二十一条 在监督检验过程中</w:t>
      </w:r>
      <w:r>
        <w:rPr>
          <w:rFonts w:hint="eastAsia" w:ascii="MS UI Gothic" w:eastAsia="MS UI Gothic"/>
          <w:spacing w:val="10"/>
          <w:w w:val="80"/>
        </w:rPr>
        <w:t xml:space="preserve">ꎬ </w:t>
      </w:r>
      <w:r>
        <w:rPr>
          <w:w w:val="105"/>
        </w:rPr>
        <w:t>受</w:t>
      </w:r>
      <w:r>
        <w:rPr>
          <w:spacing w:val="3"/>
        </w:rPr>
        <w:t>检单位和监检机构发生争议时</w:t>
      </w:r>
      <w:r>
        <w:rPr>
          <w:rFonts w:hint="eastAsia" w:ascii="MS UI Gothic" w:eastAsia="MS UI Gothic"/>
          <w:spacing w:val="20"/>
          <w:w w:val="80"/>
        </w:rPr>
        <w:t xml:space="preserve">ꎬ </w:t>
      </w:r>
      <w:r>
        <w:rPr>
          <w:spacing w:val="2"/>
        </w:rPr>
        <w:t>可提请受</w:t>
      </w:r>
      <w:r>
        <w:rPr>
          <w:spacing w:val="6"/>
          <w:w w:val="105"/>
        </w:rPr>
        <w:t xml:space="preserve">检单位所在地的地 </w:t>
      </w:r>
      <w:r>
        <w:rPr>
          <w:rFonts w:hint="eastAsia" w:ascii="MS UI Gothic" w:eastAsia="MS UI Gothic"/>
          <w:spacing w:val="-33"/>
          <w:w w:val="150"/>
        </w:rPr>
        <w:t xml:space="preserve">( </w:t>
      </w:r>
      <w:r>
        <w:rPr>
          <w:spacing w:val="13"/>
          <w:w w:val="105"/>
        </w:rPr>
        <w:t>市</w:t>
      </w:r>
      <w:r>
        <w:rPr>
          <w:rFonts w:hint="eastAsia" w:ascii="MS UI Gothic" w:eastAsia="MS UI Gothic"/>
          <w:spacing w:val="12"/>
          <w:w w:val="150"/>
        </w:rPr>
        <w:t xml:space="preserve">) </w:t>
      </w:r>
      <w:r>
        <w:rPr>
          <w:spacing w:val="15"/>
          <w:w w:val="105"/>
        </w:rPr>
        <w:t>级质监部门处</w:t>
      </w:r>
      <w:r>
        <w:rPr>
          <w:spacing w:val="3"/>
        </w:rPr>
        <w:t>理</w:t>
      </w:r>
      <w:r>
        <w:rPr>
          <w:rFonts w:hint="eastAsia" w:ascii="MS UI Gothic" w:eastAsia="MS UI Gothic"/>
          <w:spacing w:val="21"/>
          <w:w w:val="80"/>
        </w:rPr>
        <w:t xml:space="preserve">ꎮ </w:t>
      </w:r>
      <w:r>
        <w:rPr>
          <w:spacing w:val="25"/>
        </w:rPr>
        <w:t>必要时</w:t>
      </w:r>
      <w:r>
        <w:rPr>
          <w:rFonts w:hint="eastAsia" w:ascii="MS UI Gothic" w:eastAsia="MS UI Gothic"/>
          <w:spacing w:val="6"/>
          <w:w w:val="80"/>
        </w:rPr>
        <w:t xml:space="preserve">ꎬ </w:t>
      </w:r>
      <w:r>
        <w:rPr>
          <w:spacing w:val="35"/>
        </w:rPr>
        <w:t>可提请上一级质监部门</w:t>
      </w:r>
      <w:r>
        <w:rPr>
          <w:spacing w:val="3"/>
          <w:w w:val="105"/>
        </w:rPr>
        <w:t>处理</w:t>
      </w:r>
      <w:r>
        <w:rPr>
          <w:rFonts w:hint="eastAsia" w:ascii="MS UI Gothic" w:eastAsia="MS UI Gothic"/>
          <w:w w:val="80"/>
        </w:rPr>
        <w:t>ꎮ</w:t>
      </w:r>
    </w:p>
    <w:p>
      <w:pPr>
        <w:pStyle w:val="6"/>
        <w:spacing w:line="295" w:lineRule="auto"/>
        <w:ind w:left="118" w:right="440"/>
        <w:rPr>
          <w:rFonts w:hint="eastAsia" w:ascii="MS UI Gothic" w:eastAsia="MS UI Gothic"/>
        </w:rPr>
      </w:pPr>
      <w:r>
        <w:rPr>
          <w:w w:val="105"/>
        </w:rPr>
        <w:t>第二十二条 监检机构所在地的地</w:t>
      </w:r>
      <w:r>
        <w:rPr>
          <w:rFonts w:hint="eastAsia" w:ascii="MS UI Gothic" w:eastAsia="MS UI Gothic"/>
          <w:w w:val="150"/>
        </w:rPr>
        <w:t xml:space="preserve">( </w:t>
      </w:r>
      <w:r>
        <w:rPr>
          <w:w w:val="105"/>
        </w:rPr>
        <w:t>市</w:t>
      </w:r>
      <w:r>
        <w:rPr>
          <w:rFonts w:hint="eastAsia" w:ascii="MS UI Gothic" w:eastAsia="MS UI Gothic"/>
          <w:w w:val="150"/>
        </w:rPr>
        <w:t xml:space="preserve">) </w:t>
      </w:r>
      <w:r>
        <w:rPr>
          <w:w w:val="105"/>
        </w:rPr>
        <w:t>级质监部门安全监察机构</w:t>
      </w:r>
      <w:r>
        <w:rPr>
          <w:rFonts w:hint="eastAsia" w:ascii="MS UI Gothic" w:eastAsia="MS UI Gothic"/>
          <w:w w:val="80"/>
        </w:rPr>
        <w:t xml:space="preserve">ꎬ </w:t>
      </w:r>
      <w:r>
        <w:rPr>
          <w:w w:val="105"/>
        </w:rPr>
        <w:t>应当每</w:t>
      </w:r>
      <w:r>
        <w:t>年对监检机构和受检单位进行监督检查</w:t>
      </w:r>
      <w:r>
        <w:rPr>
          <w:rFonts w:hint="eastAsia" w:ascii="MS UI Gothic" w:eastAsia="MS UI Gothic"/>
          <w:w w:val="80"/>
        </w:rPr>
        <w:t>ꎮ</w:t>
      </w:r>
      <w:r>
        <w:t>发现监检机构不能履行职责和受检单位逃避监督检验的问题</w:t>
      </w:r>
      <w:r>
        <w:rPr>
          <w:rFonts w:hint="eastAsia" w:ascii="MS UI Gothic" w:eastAsia="MS UI Gothic"/>
          <w:w w:val="80"/>
        </w:rPr>
        <w:t xml:space="preserve">ꎬ </w:t>
      </w:r>
      <w:r>
        <w:t>应当及时处理</w:t>
      </w:r>
      <w:r>
        <w:rPr>
          <w:rFonts w:hint="eastAsia" w:ascii="MS UI Gothic" w:eastAsia="MS UI Gothic"/>
          <w:w w:val="80"/>
        </w:rPr>
        <w:t xml:space="preserve">ꎬ </w:t>
      </w:r>
      <w:r>
        <w:t>并报告监检机构的核准部门和受检单位制造许</w:t>
      </w:r>
      <w:r>
        <w:rPr>
          <w:w w:val="105"/>
        </w:rPr>
        <w:t>可证发证部门</w:t>
      </w:r>
      <w:r>
        <w:rPr>
          <w:rFonts w:hint="eastAsia" w:ascii="MS UI Gothic" w:eastAsia="MS UI Gothic"/>
          <w:w w:val="80"/>
        </w:rPr>
        <w:t>ꎮ</w:t>
      </w:r>
    </w:p>
    <w:p>
      <w:pPr>
        <w:pStyle w:val="6"/>
        <w:tabs>
          <w:tab w:val="left" w:pos="1900"/>
        </w:tabs>
        <w:spacing w:before="137"/>
        <w:ind w:left="1062" w:firstLine="0"/>
        <w:jc w:val="left"/>
      </w:pPr>
      <w:r>
        <w:rPr>
          <w:spacing w:val="3"/>
          <w:w w:val="105"/>
        </w:rPr>
        <w:t>第四</w:t>
      </w:r>
      <w:r>
        <w:rPr>
          <w:w w:val="105"/>
        </w:rPr>
        <w:t>章</w:t>
      </w:r>
      <w:r>
        <w:rPr>
          <w:w w:val="105"/>
        </w:rPr>
        <w:tab/>
      </w:r>
      <w:r>
        <w:rPr>
          <w:w w:val="105"/>
        </w:rPr>
        <w:t>气</w:t>
      </w:r>
      <w:r>
        <w:rPr>
          <w:spacing w:val="-33"/>
          <w:w w:val="105"/>
        </w:rPr>
        <w:t xml:space="preserve"> </w:t>
      </w:r>
      <w:r>
        <w:rPr>
          <w:w w:val="105"/>
        </w:rPr>
        <w:t>瓶</w:t>
      </w:r>
      <w:r>
        <w:rPr>
          <w:spacing w:val="-33"/>
          <w:w w:val="105"/>
        </w:rPr>
        <w:t xml:space="preserve"> </w:t>
      </w:r>
      <w:r>
        <w:rPr>
          <w:w w:val="105"/>
        </w:rPr>
        <w:t>充</w:t>
      </w:r>
      <w:r>
        <w:rPr>
          <w:spacing w:val="-33"/>
          <w:w w:val="105"/>
        </w:rPr>
        <w:t xml:space="preserve"> </w:t>
      </w:r>
      <w:r>
        <w:rPr>
          <w:w w:val="105"/>
        </w:rPr>
        <w:t>装</w:t>
      </w:r>
    </w:p>
    <w:p>
      <w:pPr>
        <w:pStyle w:val="6"/>
        <w:spacing w:before="215" w:line="295" w:lineRule="auto"/>
        <w:ind w:left="118" w:right="440"/>
        <w:rPr>
          <w:rFonts w:hint="eastAsia" w:ascii="MS UI Gothic" w:hAnsi="MS UI Gothic" w:eastAsia="MS UI Gothic"/>
        </w:rPr>
      </w:pPr>
      <w:r>
        <w:t>第二十三条 气瓶充装单位应当向省级质监部门特种设备安全监察机构提出充装许可书面申请</w:t>
      </w:r>
      <w:r>
        <w:rPr>
          <w:rFonts w:hint="eastAsia" w:ascii="MS UI Gothic" w:hAnsi="MS UI Gothic" w:eastAsia="MS UI Gothic"/>
          <w:w w:val="80"/>
        </w:rPr>
        <w:t xml:space="preserve">ꎮ </w:t>
      </w:r>
      <w:r>
        <w:t>经审查</w:t>
      </w:r>
      <w:r>
        <w:rPr>
          <w:rFonts w:hint="eastAsia" w:ascii="MS UI Gothic" w:hAnsi="MS UI Gothic" w:eastAsia="MS UI Gothic"/>
          <w:w w:val="80"/>
        </w:rPr>
        <w:t xml:space="preserve">ꎬ </w:t>
      </w:r>
      <w:r>
        <w:t>确认符合条件者</w:t>
      </w:r>
      <w:r>
        <w:rPr>
          <w:rFonts w:hint="eastAsia" w:ascii="MS UI Gothic" w:hAnsi="MS UI Gothic" w:eastAsia="MS UI Gothic"/>
          <w:w w:val="80"/>
        </w:rPr>
        <w:t xml:space="preserve">ꎬ </w:t>
      </w:r>
      <w:r>
        <w:t xml:space="preserve">由省级质监部门颁发 </w:t>
      </w:r>
      <w:r>
        <w:rPr>
          <w:rFonts w:hint="eastAsia" w:ascii="MS UI Gothic" w:hAnsi="MS UI Gothic" w:eastAsia="MS UI Gothic"/>
          <w:w w:val="80"/>
        </w:rPr>
        <w:t xml:space="preserve">« </w:t>
      </w:r>
      <w:r>
        <w:t>气瓶充装许可证</w:t>
      </w:r>
      <w:r>
        <w:rPr>
          <w:rFonts w:hint="eastAsia" w:ascii="MS UI Gothic" w:hAnsi="MS UI Gothic" w:eastAsia="MS UI Gothic"/>
          <w:w w:val="80"/>
        </w:rPr>
        <w:t xml:space="preserve">» ꎮ </w:t>
      </w:r>
      <w:r>
        <w:t xml:space="preserve">未取得 </w:t>
      </w:r>
      <w:r>
        <w:rPr>
          <w:rFonts w:hint="eastAsia" w:ascii="MS UI Gothic" w:hAnsi="MS UI Gothic" w:eastAsia="MS UI Gothic"/>
          <w:w w:val="80"/>
        </w:rPr>
        <w:t xml:space="preserve">« </w:t>
      </w:r>
      <w:r>
        <w:t>气瓶充装许可证</w:t>
      </w:r>
      <w:r>
        <w:rPr>
          <w:rFonts w:hint="eastAsia" w:ascii="MS UI Gothic" w:hAnsi="MS UI Gothic" w:eastAsia="MS UI Gothic"/>
          <w:w w:val="80"/>
        </w:rPr>
        <w:t xml:space="preserve">» </w:t>
      </w:r>
      <w:r>
        <w:t>的</w:t>
      </w:r>
      <w:r>
        <w:rPr>
          <w:rFonts w:hint="eastAsia" w:ascii="MS UI Gothic" w:hAnsi="MS UI Gothic" w:eastAsia="MS UI Gothic"/>
          <w:w w:val="80"/>
        </w:rPr>
        <w:t>ꎬ</w:t>
      </w:r>
      <w:r>
        <w:t>不得从事气瓶充装工作</w:t>
      </w:r>
      <w:r>
        <w:rPr>
          <w:rFonts w:hint="eastAsia" w:ascii="MS UI Gothic" w:hAnsi="MS UI Gothic" w:eastAsia="MS UI Gothic"/>
          <w:w w:val="80"/>
        </w:rPr>
        <w:t>ꎮ</w:t>
      </w:r>
    </w:p>
    <w:p>
      <w:pPr>
        <w:pStyle w:val="6"/>
        <w:spacing w:line="295" w:lineRule="auto"/>
        <w:ind w:left="118" w:right="442"/>
      </w:pPr>
      <w:r>
        <w:t xml:space="preserve">第二十四条  </w:t>
      </w:r>
      <w:r>
        <w:rPr>
          <w:rFonts w:hint="eastAsia" w:ascii="MS UI Gothic" w:hAnsi="MS UI Gothic" w:eastAsia="MS UI Gothic"/>
          <w:w w:val="80"/>
        </w:rPr>
        <w:t xml:space="preserve">« </w:t>
      </w:r>
      <w:r>
        <w:t>气瓶充装许可证</w:t>
      </w:r>
      <w:r>
        <w:rPr>
          <w:rFonts w:hint="eastAsia" w:ascii="MS UI Gothic" w:hAnsi="MS UI Gothic" w:eastAsia="MS UI Gothic"/>
          <w:w w:val="80"/>
        </w:rPr>
        <w:t xml:space="preserve">» </w:t>
      </w:r>
      <w:r>
        <w:t xml:space="preserve">有效期为 </w:t>
      </w:r>
      <w:r>
        <w:rPr>
          <w:rFonts w:hint="eastAsia" w:ascii="MS UI Gothic" w:hAnsi="MS UI Gothic" w:eastAsia="MS UI Gothic"/>
          <w:w w:val="80"/>
        </w:rPr>
        <w:t xml:space="preserve">４ </w:t>
      </w:r>
      <w:r>
        <w:t>年</w:t>
      </w:r>
      <w:r>
        <w:rPr>
          <w:rFonts w:hint="eastAsia" w:ascii="MS UI Gothic" w:hAnsi="MS UI Gothic" w:eastAsia="MS UI Gothic"/>
          <w:w w:val="80"/>
        </w:rPr>
        <w:t xml:space="preserve">ꎬ </w:t>
      </w:r>
      <w:r>
        <w:t>有效期满前</w:t>
      </w:r>
      <w:r>
        <w:rPr>
          <w:rFonts w:hint="eastAsia" w:ascii="MS UI Gothic" w:hAnsi="MS UI Gothic" w:eastAsia="MS UI Gothic"/>
          <w:w w:val="80"/>
        </w:rPr>
        <w:t xml:space="preserve">ꎬ </w:t>
      </w:r>
      <w:r>
        <w:t xml:space="preserve">气瓶充装单位应当向原批准部门申请更换 </w:t>
      </w:r>
      <w:r>
        <w:rPr>
          <w:rFonts w:hint="eastAsia" w:ascii="MS UI Gothic" w:hAnsi="MS UI Gothic" w:eastAsia="MS UI Gothic"/>
          <w:w w:val="80"/>
        </w:rPr>
        <w:t xml:space="preserve">« </w:t>
      </w:r>
      <w:r>
        <w:t>气瓶充装许可证</w:t>
      </w:r>
      <w:r>
        <w:rPr>
          <w:rFonts w:hint="eastAsia" w:ascii="MS UI Gothic" w:hAnsi="MS UI Gothic" w:eastAsia="MS UI Gothic"/>
          <w:w w:val="80"/>
        </w:rPr>
        <w:t xml:space="preserve">» ꎮ </w:t>
      </w:r>
      <w:r>
        <w:t xml:space="preserve">未按规定提出申请或未获准更换 </w:t>
      </w:r>
      <w:r>
        <w:rPr>
          <w:rFonts w:hint="eastAsia" w:ascii="MS UI Gothic" w:hAnsi="MS UI Gothic" w:eastAsia="MS UI Gothic"/>
          <w:w w:val="80"/>
        </w:rPr>
        <w:t xml:space="preserve">« </w:t>
      </w:r>
      <w:r>
        <w:t>气瓶充装许可证</w:t>
      </w:r>
      <w:r>
        <w:rPr>
          <w:rFonts w:hint="eastAsia" w:ascii="MS UI Gothic" w:hAnsi="MS UI Gothic" w:eastAsia="MS UI Gothic"/>
          <w:w w:val="80"/>
        </w:rPr>
        <w:t xml:space="preserve">» </w:t>
      </w:r>
      <w:r>
        <w:t>的</w:t>
      </w:r>
      <w:r>
        <w:rPr>
          <w:rFonts w:hint="eastAsia" w:ascii="MS UI Gothic" w:hAnsi="MS UI Gothic" w:eastAsia="MS UI Gothic"/>
          <w:w w:val="80"/>
        </w:rPr>
        <w:t xml:space="preserve">ꎬ </w:t>
      </w:r>
      <w:r>
        <w:t>有效期满</w:t>
      </w:r>
    </w:p>
    <w:p>
      <w:pPr>
        <w:spacing w:after="0" w:line="295" w:lineRule="auto"/>
        <w:sectPr>
          <w:type w:val="continuous"/>
          <w:pgSz w:w="10500" w:h="14750"/>
          <w:pgMar w:top="1400" w:right="980" w:bottom="280" w:left="980" w:header="720" w:footer="720" w:gutter="0"/>
          <w:cols w:equalWidth="0" w:num="2">
            <w:col w:w="3934" w:space="264"/>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２０５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41" o:spid="_x0000_s1641" o:spt="203" style="height:2.15pt;width:398.25pt;" coordsize="7965,43">
            <o:lock v:ext="edit"/>
            <v:line id="_x0000_s1642" o:spid="_x0000_s1642" o:spt="20" style="position:absolute;left:0;top:39;height:0;width:7965;" stroked="t" coordsize="21600,21600">
              <v:path arrowok="t"/>
              <v:fill focussize="0,0"/>
              <v:stroke weight="0.388031496062992pt" color="#231F20"/>
              <v:imagedata o:title=""/>
              <o:lock v:ext="edit"/>
            </v:line>
            <v:line id="_x0000_s1643" o:spid="_x0000_s164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后不得继续从事气瓶充装工作</w:t>
      </w:r>
      <w:r>
        <w:rPr>
          <w:rFonts w:hint="eastAsia" w:ascii="MS UI Gothic" w:eastAsia="MS UI Gothic"/>
          <w:w w:val="80"/>
        </w:rPr>
        <w:t>ꎮ</w:t>
      </w:r>
    </w:p>
    <w:p>
      <w:pPr>
        <w:pStyle w:val="6"/>
        <w:spacing w:before="58" w:line="295" w:lineRule="auto"/>
        <w:ind w:left="440"/>
        <w:rPr>
          <w:rFonts w:hint="eastAsia" w:ascii="MS UI Gothic" w:eastAsia="MS UI Gothic"/>
        </w:rPr>
      </w:pPr>
      <w:r>
        <w:rPr>
          <w:w w:val="105"/>
        </w:rPr>
        <w:t>第二十五条 气瓶充装单位应当符合</w:t>
      </w:r>
      <w:r>
        <w:rPr>
          <w:w w:val="110"/>
        </w:rPr>
        <w:t>以下条件</w:t>
      </w:r>
      <w:r>
        <w:rPr>
          <w:rFonts w:hint="eastAsia" w:ascii="MS UI Gothic" w:eastAsia="MS UI Gothic"/>
          <w:w w:val="235"/>
        </w:rPr>
        <w:t>:</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具有营业执照</w:t>
      </w:r>
      <w:r>
        <w:rPr>
          <w:rFonts w:hint="eastAsia" w:ascii="MS UI Gothic" w:eastAsia="MS UI Gothic"/>
          <w:w w:val="80"/>
        </w:rPr>
        <w:t>ꎻ</w:t>
      </w:r>
    </w:p>
    <w:p>
      <w:pPr>
        <w:pStyle w:val="6"/>
        <w:spacing w:before="58"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有适应气瓶充装和安全管理需</w:t>
      </w:r>
      <w:r>
        <w:t>要的技术人员和特种设备作业人员</w:t>
      </w:r>
      <w:r>
        <w:rPr>
          <w:rFonts w:hint="eastAsia" w:ascii="MS UI Gothic" w:eastAsia="MS UI Gothic"/>
          <w:w w:val="80"/>
        </w:rPr>
        <w:t xml:space="preserve">ꎬ </w:t>
      </w:r>
      <w:r>
        <w:t>具有与充装的气体种类相适应的完好的充装设</w:t>
      </w:r>
      <w:r>
        <w:rPr>
          <w:w w:val="105"/>
        </w:rPr>
        <w:t>施</w:t>
      </w:r>
      <w:r>
        <w:rPr>
          <w:rFonts w:hint="eastAsia" w:ascii="MS UI Gothic" w:eastAsia="MS UI Gothic"/>
          <w:w w:val="80"/>
        </w:rPr>
        <w:t xml:space="preserve">、 </w:t>
      </w:r>
      <w:r>
        <w:rPr>
          <w:w w:val="105"/>
        </w:rPr>
        <w:t>工器具</w:t>
      </w:r>
      <w:r>
        <w:rPr>
          <w:rFonts w:hint="eastAsia" w:ascii="MS UI Gothic" w:eastAsia="MS UI Gothic"/>
          <w:w w:val="80"/>
        </w:rPr>
        <w:t xml:space="preserve">、 </w:t>
      </w:r>
      <w:r>
        <w:rPr>
          <w:w w:val="105"/>
        </w:rPr>
        <w:t>检测手段</w:t>
      </w:r>
      <w:r>
        <w:rPr>
          <w:rFonts w:hint="eastAsia" w:ascii="MS UI Gothic" w:eastAsia="MS UI Gothic"/>
          <w:w w:val="80"/>
        </w:rPr>
        <w:t xml:space="preserve">、 </w:t>
      </w:r>
      <w:r>
        <w:rPr>
          <w:w w:val="105"/>
        </w:rPr>
        <w:t>场地厂房</w:t>
      </w:r>
      <w:r>
        <w:rPr>
          <w:rFonts w:hint="eastAsia" w:ascii="MS UI Gothic" w:eastAsia="MS UI Gothic"/>
          <w:w w:val="80"/>
        </w:rPr>
        <w:t xml:space="preserve">ꎬ </w:t>
      </w:r>
      <w:r>
        <w:rPr>
          <w:w w:val="105"/>
        </w:rPr>
        <w:t>有符合要求的安全设施</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具有一定的气体储存能力和足</w:t>
      </w:r>
      <w:r>
        <w:rPr>
          <w:w w:val="110"/>
        </w:rPr>
        <w:t>够数量的自有产权气瓶</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符合相应气瓶充装站安全技术</w:t>
      </w:r>
      <w:r>
        <w:t>规范及国家标准的要求</w:t>
      </w:r>
      <w:r>
        <w:rPr>
          <w:rFonts w:hint="eastAsia" w:ascii="MS UI Gothic" w:eastAsia="MS UI Gothic"/>
          <w:w w:val="80"/>
        </w:rPr>
        <w:t xml:space="preserve">ꎬ </w:t>
      </w:r>
      <w:r>
        <w:t>建立健全的气瓶</w:t>
      </w:r>
      <w:r>
        <w:rPr>
          <w:w w:val="105"/>
        </w:rPr>
        <w:t>充装质量保证体系和安全管理制度</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第二十六条 气瓶充装单位应当履行</w:t>
      </w:r>
      <w:r>
        <w:rPr>
          <w:w w:val="110"/>
        </w:rPr>
        <w:t>以下义务</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向气体消费者提供气瓶</w:t>
      </w:r>
      <w:r>
        <w:rPr>
          <w:rFonts w:hint="eastAsia" w:ascii="MS UI Gothic" w:eastAsia="MS UI Gothic"/>
          <w:w w:val="80"/>
        </w:rPr>
        <w:t xml:space="preserve">ꎬ </w:t>
      </w:r>
      <w:r>
        <w:rPr>
          <w:w w:val="105"/>
        </w:rPr>
        <w:t>并对气瓶的安全全面负责</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负责气瓶的维护</w:t>
      </w:r>
      <w:r>
        <w:rPr>
          <w:rFonts w:hint="eastAsia" w:ascii="MS UI Gothic" w:eastAsia="MS UI Gothic"/>
          <w:w w:val="80"/>
        </w:rPr>
        <w:t xml:space="preserve">、 </w:t>
      </w:r>
      <w:r>
        <w:rPr>
          <w:w w:val="105"/>
        </w:rPr>
        <w:t>保养和颜色标志的涂敷工作</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按照安全技术规范及有关国家</w:t>
      </w:r>
      <w:r>
        <w:t>标准的规定</w:t>
      </w:r>
      <w:r>
        <w:rPr>
          <w:rFonts w:hint="eastAsia" w:ascii="MS UI Gothic" w:eastAsia="MS UI Gothic"/>
          <w:w w:val="80"/>
        </w:rPr>
        <w:t xml:space="preserve">ꎬ </w:t>
      </w:r>
      <w:r>
        <w:t>负责做好气瓶充装前的检查和充装记录</w:t>
      </w:r>
      <w:r>
        <w:rPr>
          <w:rFonts w:hint="eastAsia" w:ascii="MS UI Gothic" w:eastAsia="MS UI Gothic"/>
          <w:w w:val="80"/>
        </w:rPr>
        <w:t xml:space="preserve">ꎬ </w:t>
      </w:r>
      <w:r>
        <w:t>并对气瓶的充装安全负责</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负责对充装作业人员和充装前检查人员进行有关气体性质</w:t>
      </w:r>
      <w:r>
        <w:rPr>
          <w:rFonts w:hint="eastAsia" w:ascii="MS UI Gothic" w:eastAsia="MS UI Gothic"/>
          <w:w w:val="80"/>
        </w:rPr>
        <w:t xml:space="preserve">、 </w:t>
      </w:r>
      <w:r>
        <w:rPr>
          <w:w w:val="105"/>
        </w:rPr>
        <w:t>气瓶的基础知识</w:t>
      </w:r>
      <w:r>
        <w:rPr>
          <w:rFonts w:hint="eastAsia" w:ascii="MS UI Gothic" w:eastAsia="MS UI Gothic"/>
          <w:w w:val="80"/>
        </w:rPr>
        <w:t xml:space="preserve">、 </w:t>
      </w:r>
      <w:r>
        <w:rPr>
          <w:w w:val="105"/>
        </w:rPr>
        <w:t>潜在危险和应急处理措施等内容的培训</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负责向气瓶使用者宣传安全使</w:t>
      </w:r>
      <w:r>
        <w:t>用知识和危险性警示要求</w:t>
      </w:r>
      <w:r>
        <w:rPr>
          <w:rFonts w:hint="eastAsia" w:ascii="MS UI Gothic" w:eastAsia="MS UI Gothic"/>
          <w:w w:val="80"/>
        </w:rPr>
        <w:t xml:space="preserve">ꎬ </w:t>
      </w:r>
      <w:r>
        <w:t>并在所充装的气瓶上粘贴符合安全技术规范及国家标准</w:t>
      </w:r>
      <w:r>
        <w:rPr>
          <w:w w:val="105"/>
        </w:rPr>
        <w:t>规定的警示标签和充装标签</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2"/>
          <w:w w:val="115"/>
        </w:rPr>
        <w:t xml:space="preserve">( </w:t>
      </w:r>
      <w:r>
        <w:rPr>
          <w:spacing w:val="3"/>
          <w:w w:val="110"/>
        </w:rPr>
        <w:t>六</w:t>
      </w:r>
      <w:r>
        <w:rPr>
          <w:rFonts w:hint="eastAsia" w:ascii="MS UI Gothic" w:eastAsia="MS UI Gothic"/>
          <w:spacing w:val="-14"/>
          <w:w w:val="115"/>
        </w:rPr>
        <w:t xml:space="preserve">) </w:t>
      </w:r>
      <w:r>
        <w:rPr>
          <w:spacing w:val="5"/>
          <w:w w:val="110"/>
        </w:rPr>
        <w:t>负责气瓶的送检工作</w:t>
      </w:r>
      <w:r>
        <w:rPr>
          <w:rFonts w:hint="eastAsia" w:ascii="MS UI Gothic" w:eastAsia="MS UI Gothic"/>
          <w:spacing w:val="-5"/>
          <w:w w:val="80"/>
        </w:rPr>
        <w:t xml:space="preserve">ꎬ </w:t>
      </w:r>
      <w:r>
        <w:rPr>
          <w:spacing w:val="7"/>
          <w:w w:val="110"/>
        </w:rPr>
        <w:t>将不符</w:t>
      </w:r>
      <w:r>
        <w:rPr>
          <w:spacing w:val="3"/>
          <w:w w:val="110"/>
        </w:rPr>
        <w:t xml:space="preserve">合安全要求的气瓶送交地 </w:t>
      </w:r>
      <w:r>
        <w:rPr>
          <w:rFonts w:hint="eastAsia" w:ascii="MS UI Gothic" w:eastAsia="MS UI Gothic"/>
          <w:spacing w:val="-40"/>
          <w:w w:val="150"/>
        </w:rPr>
        <w:t xml:space="preserve">( </w:t>
      </w:r>
      <w:r>
        <w:rPr>
          <w:spacing w:val="13"/>
          <w:w w:val="110"/>
        </w:rPr>
        <w:t>市</w:t>
      </w:r>
      <w:r>
        <w:rPr>
          <w:rFonts w:hint="eastAsia" w:ascii="MS UI Gothic" w:eastAsia="MS UI Gothic"/>
          <w:spacing w:val="-21"/>
          <w:w w:val="150"/>
        </w:rPr>
        <w:t xml:space="preserve">) </w:t>
      </w:r>
      <w:r>
        <w:rPr>
          <w:spacing w:val="9"/>
          <w:w w:val="110"/>
        </w:rPr>
        <w:t>级或地</w:t>
      </w:r>
      <w:r>
        <w:rPr>
          <w:w w:val="110"/>
        </w:rPr>
        <w:t xml:space="preserve"> </w:t>
      </w:r>
      <w:r>
        <w:rPr>
          <w:rFonts w:hint="eastAsia" w:ascii="MS UI Gothic" w:eastAsia="MS UI Gothic"/>
          <w:spacing w:val="-21"/>
          <w:w w:val="105"/>
        </w:rPr>
        <w:t xml:space="preserve">( </w:t>
      </w:r>
      <w:r>
        <w:rPr>
          <w:spacing w:val="3"/>
          <w:w w:val="105"/>
        </w:rPr>
        <w:t>市</w:t>
      </w:r>
      <w:r>
        <w:rPr>
          <w:rFonts w:hint="eastAsia" w:ascii="MS UI Gothic" w:eastAsia="MS UI Gothic"/>
          <w:spacing w:val="2"/>
          <w:w w:val="105"/>
        </w:rPr>
        <w:t xml:space="preserve">) </w:t>
      </w:r>
      <w:r>
        <w:rPr>
          <w:spacing w:val="4"/>
          <w:w w:val="105"/>
        </w:rPr>
        <w:t>级以上质监部门指定的气瓶检验机</w:t>
      </w:r>
      <w:r>
        <w:rPr>
          <w:spacing w:val="3"/>
          <w:w w:val="110"/>
        </w:rPr>
        <w:t>构报废销毁</w:t>
      </w:r>
      <w:r>
        <w:rPr>
          <w:rFonts w:hint="eastAsia" w:ascii="MS UI Gothic" w:eastAsia="MS UI Gothic"/>
          <w:w w:val="80"/>
        </w:rPr>
        <w:t>ꎻ</w:t>
      </w:r>
    </w:p>
    <w:p>
      <w:pPr>
        <w:pStyle w:val="6"/>
        <w:spacing w:line="295" w:lineRule="auto"/>
        <w:ind w:left="860" w:firstLine="0"/>
      </w:pPr>
      <w:r>
        <w:rPr>
          <w:rFonts w:hint="eastAsia" w:ascii="MS UI Gothic" w:eastAsia="MS UI Gothic"/>
          <w:spacing w:val="-39"/>
          <w:w w:val="150"/>
        </w:rPr>
        <w:t xml:space="preserve">( </w:t>
      </w:r>
      <w:r>
        <w:rPr>
          <w:spacing w:val="3"/>
          <w:w w:val="105"/>
        </w:rPr>
        <w:t>七</w:t>
      </w:r>
      <w:r>
        <w:rPr>
          <w:rFonts w:hint="eastAsia" w:ascii="MS UI Gothic" w:eastAsia="MS UI Gothic"/>
          <w:w w:val="150"/>
        </w:rPr>
        <w:t xml:space="preserve">) </w:t>
      </w:r>
      <w:r>
        <w:rPr>
          <w:spacing w:val="3"/>
          <w:w w:val="105"/>
        </w:rPr>
        <w:t>配合气瓶安全事故调查工作</w:t>
      </w:r>
      <w:r>
        <w:rPr>
          <w:rFonts w:hint="eastAsia" w:ascii="MS UI Gothic" w:eastAsia="MS UI Gothic"/>
          <w:w w:val="80"/>
        </w:rPr>
        <w:t>ꎮ</w:t>
      </w:r>
      <w:r>
        <w:rPr>
          <w:spacing w:val="15"/>
          <w:w w:val="105"/>
        </w:rPr>
        <w:t>车用气瓶</w:t>
      </w:r>
      <w:r>
        <w:rPr>
          <w:rFonts w:hint="eastAsia" w:ascii="MS UI Gothic" w:eastAsia="MS UI Gothic"/>
          <w:spacing w:val="19"/>
          <w:w w:val="80"/>
        </w:rPr>
        <w:t xml:space="preserve">、 </w:t>
      </w:r>
      <w:r>
        <w:rPr>
          <w:spacing w:val="19"/>
          <w:w w:val="105"/>
        </w:rPr>
        <w:t>呼吸用气瓶</w:t>
      </w:r>
      <w:r>
        <w:rPr>
          <w:rFonts w:hint="eastAsia" w:ascii="MS UI Gothic" w:eastAsia="MS UI Gothic"/>
          <w:spacing w:val="19"/>
          <w:w w:val="80"/>
        </w:rPr>
        <w:t xml:space="preserve">、 </w:t>
      </w:r>
      <w:r>
        <w:rPr>
          <w:spacing w:val="13"/>
          <w:w w:val="105"/>
        </w:rPr>
        <w:t>灭火用气</w:t>
      </w:r>
    </w:p>
    <w:p>
      <w:pPr>
        <w:pStyle w:val="6"/>
        <w:spacing w:line="295" w:lineRule="auto"/>
        <w:ind w:left="440" w:firstLine="0"/>
      </w:pPr>
      <w:r>
        <w:rPr>
          <w:spacing w:val="3"/>
          <w:w w:val="105"/>
        </w:rPr>
        <w:t>瓶</w:t>
      </w:r>
      <w:r>
        <w:rPr>
          <w:rFonts w:hint="eastAsia" w:ascii="MS UI Gothic" w:eastAsia="MS UI Gothic"/>
          <w:spacing w:val="-5"/>
          <w:w w:val="80"/>
        </w:rPr>
        <w:t xml:space="preserve">、 </w:t>
      </w:r>
      <w:r>
        <w:rPr>
          <w:spacing w:val="2"/>
          <w:w w:val="105"/>
        </w:rPr>
        <w:t>非重复充装气瓶和其他经省级质监部</w:t>
      </w:r>
      <w:r>
        <w:rPr>
          <w:spacing w:val="3"/>
        </w:rPr>
        <w:t>门安全监察机构同意的气瓶充装单位</w:t>
      </w:r>
      <w:r>
        <w:rPr>
          <w:rFonts w:hint="eastAsia" w:ascii="MS UI Gothic" w:eastAsia="MS UI Gothic"/>
          <w:spacing w:val="15"/>
          <w:w w:val="80"/>
        </w:rPr>
        <w:t xml:space="preserve">ꎬ  </w:t>
      </w:r>
      <w:r>
        <w:t>应</w:t>
      </w:r>
    </w:p>
    <w:p>
      <w:pPr>
        <w:pStyle w:val="6"/>
        <w:spacing w:before="124" w:line="295" w:lineRule="auto"/>
        <w:ind w:left="383" w:right="144" w:firstLine="0"/>
        <w:jc w:val="left"/>
        <w:rPr>
          <w:rFonts w:hint="eastAsia" w:ascii="MS UI Gothic" w:eastAsia="MS UI Gothic"/>
        </w:rPr>
      </w:pPr>
      <w:r>
        <w:br w:type="column"/>
      </w:r>
      <w:r>
        <w:rPr>
          <w:spacing w:val="-5"/>
          <w:w w:val="115"/>
        </w:rPr>
        <w:t xml:space="preserve">当履行上述规定的第 </w:t>
      </w:r>
      <w:r>
        <w:rPr>
          <w:rFonts w:hint="eastAsia" w:ascii="MS UI Gothic" w:eastAsia="MS UI Gothic"/>
          <w:spacing w:val="-40"/>
          <w:w w:val="150"/>
        </w:rPr>
        <w:t xml:space="preserve">( </w:t>
      </w:r>
      <w:r>
        <w:rPr>
          <w:spacing w:val="7"/>
          <w:w w:val="115"/>
        </w:rPr>
        <w:t>三</w:t>
      </w:r>
      <w:r>
        <w:rPr>
          <w:rFonts w:hint="eastAsia" w:ascii="MS UI Gothic" w:eastAsia="MS UI Gothic"/>
          <w:spacing w:val="-14"/>
          <w:w w:val="150"/>
        </w:rPr>
        <w:t xml:space="preserve">) </w:t>
      </w:r>
      <w:r>
        <w:rPr>
          <w:spacing w:val="3"/>
          <w:w w:val="115"/>
        </w:rPr>
        <w:t>项</w:t>
      </w:r>
      <w:r>
        <w:rPr>
          <w:rFonts w:hint="eastAsia" w:ascii="MS UI Gothic" w:eastAsia="MS UI Gothic"/>
          <w:spacing w:val="2"/>
          <w:w w:val="80"/>
        </w:rPr>
        <w:t xml:space="preserve">、 </w:t>
      </w:r>
      <w:r>
        <w:rPr>
          <w:spacing w:val="-31"/>
          <w:w w:val="115"/>
        </w:rPr>
        <w:t xml:space="preserve">第 </w:t>
      </w:r>
      <w:r>
        <w:rPr>
          <w:rFonts w:hint="eastAsia" w:ascii="MS UI Gothic" w:eastAsia="MS UI Gothic"/>
          <w:spacing w:val="-40"/>
          <w:w w:val="150"/>
        </w:rPr>
        <w:t xml:space="preserve">( </w:t>
      </w:r>
      <w:r>
        <w:rPr>
          <w:spacing w:val="7"/>
          <w:w w:val="115"/>
        </w:rPr>
        <w:t>四</w:t>
      </w:r>
      <w:r>
        <w:rPr>
          <w:rFonts w:hint="eastAsia" w:ascii="MS UI Gothic" w:eastAsia="MS UI Gothic"/>
          <w:w w:val="150"/>
        </w:rPr>
        <w:t xml:space="preserve">) </w:t>
      </w:r>
      <w:r>
        <w:rPr>
          <w:spacing w:val="3"/>
          <w:w w:val="115"/>
        </w:rPr>
        <w:t>项</w:t>
      </w:r>
      <w:r>
        <w:rPr>
          <w:rFonts w:hint="eastAsia" w:ascii="MS UI Gothic" w:eastAsia="MS UI Gothic"/>
          <w:spacing w:val="17"/>
          <w:w w:val="80"/>
        </w:rPr>
        <w:t xml:space="preserve">、 </w:t>
      </w:r>
      <w:r>
        <w:rPr>
          <w:spacing w:val="-15"/>
          <w:w w:val="115"/>
        </w:rPr>
        <w:t xml:space="preserve">第 </w:t>
      </w:r>
      <w:r>
        <w:rPr>
          <w:rFonts w:hint="eastAsia" w:ascii="MS UI Gothic" w:eastAsia="MS UI Gothic"/>
          <w:spacing w:val="-37"/>
          <w:w w:val="150"/>
        </w:rPr>
        <w:t xml:space="preserve">( </w:t>
      </w:r>
      <w:r>
        <w:rPr>
          <w:spacing w:val="3"/>
          <w:w w:val="115"/>
        </w:rPr>
        <w:t>五</w:t>
      </w:r>
      <w:r>
        <w:rPr>
          <w:rFonts w:hint="eastAsia" w:ascii="MS UI Gothic" w:eastAsia="MS UI Gothic"/>
          <w:spacing w:val="4"/>
          <w:w w:val="150"/>
        </w:rPr>
        <w:t xml:space="preserve">) </w:t>
      </w:r>
      <w:r>
        <w:rPr>
          <w:spacing w:val="3"/>
          <w:w w:val="115"/>
        </w:rPr>
        <w:t>项</w:t>
      </w:r>
      <w:r>
        <w:rPr>
          <w:rFonts w:hint="eastAsia" w:ascii="MS UI Gothic" w:eastAsia="MS UI Gothic"/>
          <w:spacing w:val="17"/>
          <w:w w:val="80"/>
        </w:rPr>
        <w:t xml:space="preserve">、 </w:t>
      </w:r>
      <w:r>
        <w:rPr>
          <w:spacing w:val="-14"/>
          <w:w w:val="115"/>
        </w:rPr>
        <w:t xml:space="preserve">第 </w:t>
      </w:r>
      <w:r>
        <w:rPr>
          <w:rFonts w:hint="eastAsia" w:ascii="MS UI Gothic" w:eastAsia="MS UI Gothic"/>
          <w:spacing w:val="-38"/>
          <w:w w:val="150"/>
        </w:rPr>
        <w:t xml:space="preserve">( </w:t>
      </w:r>
      <w:r>
        <w:rPr>
          <w:spacing w:val="3"/>
          <w:w w:val="115"/>
        </w:rPr>
        <w:t>七</w:t>
      </w:r>
      <w:r>
        <w:rPr>
          <w:rFonts w:hint="eastAsia" w:ascii="MS UI Gothic" w:eastAsia="MS UI Gothic"/>
          <w:spacing w:val="4"/>
          <w:w w:val="150"/>
        </w:rPr>
        <w:t xml:space="preserve">) </w:t>
      </w:r>
      <w:r>
        <w:rPr>
          <w:spacing w:val="3"/>
          <w:w w:val="115"/>
        </w:rPr>
        <w:t>项义务</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第二十七条 充装单位应当采用计算</w:t>
      </w:r>
      <w:r>
        <w:t>机对所充装的自有产权气瓶进行建档登</w:t>
      </w:r>
      <w:r>
        <w:rPr>
          <w:w w:val="105"/>
        </w:rPr>
        <w:t>记</w:t>
      </w:r>
      <w:r>
        <w:rPr>
          <w:rFonts w:hint="eastAsia" w:ascii="MS UI Gothic" w:eastAsia="MS UI Gothic"/>
          <w:w w:val="80"/>
        </w:rPr>
        <w:t xml:space="preserve">ꎬ </w:t>
      </w:r>
      <w:r>
        <w:rPr>
          <w:w w:val="105"/>
        </w:rPr>
        <w:t>并负责涂敷充装站标志</w:t>
      </w:r>
      <w:r>
        <w:rPr>
          <w:rFonts w:hint="eastAsia" w:ascii="MS UI Gothic" w:eastAsia="MS UI Gothic"/>
          <w:w w:val="80"/>
        </w:rPr>
        <w:t xml:space="preserve">、 </w:t>
      </w:r>
      <w:r>
        <w:rPr>
          <w:w w:val="105"/>
        </w:rPr>
        <w:t>气瓶编号和</w:t>
      </w:r>
      <w:r>
        <w:t>打充装站标志钢印</w:t>
      </w:r>
      <w:r>
        <w:rPr>
          <w:rFonts w:hint="eastAsia" w:ascii="MS UI Gothic" w:eastAsia="MS UI Gothic"/>
          <w:w w:val="80"/>
        </w:rPr>
        <w:t xml:space="preserve">ꎮ </w:t>
      </w:r>
      <w:r>
        <w:t>充装站标志应经省级质监部门备案</w:t>
      </w:r>
      <w:r>
        <w:rPr>
          <w:rFonts w:hint="eastAsia" w:ascii="MS UI Gothic" w:eastAsia="MS UI Gothic"/>
          <w:w w:val="80"/>
        </w:rPr>
        <w:t xml:space="preserve">ꎮ </w:t>
      </w:r>
      <w:r>
        <w:t>鼓励采用条码等先进信息</w:t>
      </w:r>
      <w:r>
        <w:rPr>
          <w:w w:val="105"/>
        </w:rPr>
        <w:t>化手段对气瓶进行安全管理</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第二十八条 气瓶充装单位应当保持</w:t>
      </w:r>
      <w:r>
        <w:t>气瓶充装人员的相对稳定</w:t>
      </w:r>
      <w:r>
        <w:rPr>
          <w:rFonts w:hint="eastAsia" w:ascii="MS UI Gothic" w:eastAsia="MS UI Gothic"/>
          <w:w w:val="80"/>
        </w:rPr>
        <w:t xml:space="preserve">ꎮ </w:t>
      </w:r>
      <w:r>
        <w:t>充装单位负责</w:t>
      </w:r>
      <w:r>
        <w:rPr>
          <w:w w:val="105"/>
        </w:rPr>
        <w:t xml:space="preserve">人和气瓶充装人员应当经地 </w:t>
      </w:r>
      <w:r>
        <w:rPr>
          <w:rFonts w:hint="eastAsia" w:ascii="MS UI Gothic" w:eastAsia="MS UI Gothic"/>
          <w:w w:val="150"/>
        </w:rPr>
        <w:t xml:space="preserve">( </w:t>
      </w:r>
      <w:r>
        <w:rPr>
          <w:w w:val="105"/>
        </w:rPr>
        <w:t>市</w:t>
      </w:r>
      <w:r>
        <w:rPr>
          <w:rFonts w:hint="eastAsia" w:ascii="MS UI Gothic" w:eastAsia="MS UI Gothic"/>
          <w:w w:val="150"/>
        </w:rPr>
        <w:t xml:space="preserve">) </w:t>
      </w:r>
      <w:r>
        <w:rPr>
          <w:w w:val="105"/>
        </w:rPr>
        <w:t xml:space="preserve">级或者地 </w:t>
      </w:r>
      <w:r>
        <w:rPr>
          <w:rFonts w:hint="eastAsia" w:ascii="MS UI Gothic" w:eastAsia="MS UI Gothic"/>
          <w:w w:val="150"/>
        </w:rPr>
        <w:t xml:space="preserve">( </w:t>
      </w:r>
      <w:r>
        <w:rPr>
          <w:w w:val="105"/>
        </w:rPr>
        <w:t>市</w:t>
      </w:r>
      <w:r>
        <w:rPr>
          <w:rFonts w:hint="eastAsia" w:ascii="MS UI Gothic" w:eastAsia="MS UI Gothic"/>
          <w:w w:val="150"/>
        </w:rPr>
        <w:t xml:space="preserve">) </w:t>
      </w:r>
      <w:r>
        <w:rPr>
          <w:w w:val="105"/>
        </w:rPr>
        <w:t>级以上质监部门考核</w:t>
      </w:r>
      <w:r>
        <w:rPr>
          <w:rFonts w:hint="eastAsia" w:ascii="MS UI Gothic" w:eastAsia="MS UI Gothic"/>
          <w:w w:val="80"/>
        </w:rPr>
        <w:t xml:space="preserve">ꎬ </w:t>
      </w:r>
      <w:r>
        <w:rPr>
          <w:w w:val="105"/>
        </w:rPr>
        <w:t>取得特种设备作业人员证书</w:t>
      </w:r>
      <w:r>
        <w:rPr>
          <w:rFonts w:hint="eastAsia" w:ascii="MS UI Gothic" w:eastAsia="MS UI Gothic"/>
          <w:w w:val="80"/>
        </w:rPr>
        <w:t>ꎮ</w:t>
      </w:r>
    </w:p>
    <w:p>
      <w:pPr>
        <w:pStyle w:val="6"/>
        <w:spacing w:line="295" w:lineRule="auto"/>
        <w:ind w:left="383" w:right="124"/>
        <w:rPr>
          <w:rFonts w:hint="eastAsia" w:ascii="MS UI Gothic" w:eastAsia="MS UI Gothic"/>
        </w:rPr>
      </w:pPr>
      <w:r>
        <w:rPr>
          <w:w w:val="105"/>
        </w:rPr>
        <w:t xml:space="preserve">第二十九条 气瓶充装单位只能充装自有产权气瓶 </w:t>
      </w:r>
      <w:r>
        <w:rPr>
          <w:rFonts w:hint="eastAsia" w:ascii="MS UI Gothic" w:eastAsia="MS UI Gothic"/>
          <w:w w:val="150"/>
        </w:rPr>
        <w:t xml:space="preserve">( </w:t>
      </w:r>
      <w:r>
        <w:rPr>
          <w:w w:val="105"/>
        </w:rPr>
        <w:t>车用气瓶</w:t>
      </w:r>
      <w:r>
        <w:rPr>
          <w:rFonts w:hint="eastAsia" w:ascii="MS UI Gothic" w:eastAsia="MS UI Gothic"/>
          <w:w w:val="80"/>
        </w:rPr>
        <w:t xml:space="preserve">、 </w:t>
      </w:r>
      <w:r>
        <w:rPr>
          <w:w w:val="105"/>
        </w:rPr>
        <w:t>呼吸用气瓶</w:t>
      </w:r>
      <w:r>
        <w:rPr>
          <w:rFonts w:hint="eastAsia" w:ascii="MS UI Gothic" w:eastAsia="MS UI Gothic"/>
          <w:w w:val="80"/>
        </w:rPr>
        <w:t>、</w:t>
      </w:r>
      <w:r>
        <w:rPr>
          <w:w w:val="105"/>
        </w:rPr>
        <w:t>灭火用气瓶</w:t>
      </w:r>
      <w:r>
        <w:rPr>
          <w:rFonts w:hint="eastAsia" w:ascii="MS UI Gothic" w:eastAsia="MS UI Gothic"/>
          <w:w w:val="80"/>
        </w:rPr>
        <w:t xml:space="preserve">、 </w:t>
      </w:r>
      <w:r>
        <w:rPr>
          <w:w w:val="105"/>
        </w:rPr>
        <w:t>非重复充装气瓶和其他经省</w:t>
      </w:r>
      <w:r>
        <w:t>级质监部门安全监察机构同意的气瓶除</w:t>
      </w:r>
      <w:r>
        <w:rPr>
          <w:w w:val="105"/>
        </w:rPr>
        <w:t>外</w:t>
      </w:r>
      <w:r>
        <w:rPr>
          <w:rFonts w:hint="eastAsia" w:ascii="MS UI Gothic" w:eastAsia="MS UI Gothic"/>
          <w:w w:val="125"/>
        </w:rPr>
        <w:t xml:space="preserve">) </w:t>
      </w:r>
      <w:r>
        <w:rPr>
          <w:rFonts w:hint="eastAsia" w:ascii="MS UI Gothic" w:eastAsia="MS UI Gothic"/>
          <w:w w:val="80"/>
        </w:rPr>
        <w:t xml:space="preserve">ꎬ </w:t>
      </w:r>
      <w:r>
        <w:rPr>
          <w:w w:val="105"/>
        </w:rPr>
        <w:t>不得充装技术档案不在本充装单位的气瓶</w:t>
      </w:r>
      <w:r>
        <w:rPr>
          <w:rFonts w:hint="eastAsia" w:ascii="MS UI Gothic" w:eastAsia="MS UI Gothic"/>
          <w:w w:val="80"/>
        </w:rPr>
        <w:t>ꎮ</w:t>
      </w:r>
    </w:p>
    <w:p>
      <w:pPr>
        <w:pStyle w:val="6"/>
        <w:spacing w:line="295" w:lineRule="auto"/>
        <w:ind w:left="383" w:right="126"/>
        <w:rPr>
          <w:rFonts w:hint="eastAsia" w:ascii="MS UI Gothic" w:eastAsia="MS UI Gothic"/>
        </w:rPr>
      </w:pPr>
      <w:r>
        <w:t>第三十条 气瓶充装前和充装后</w:t>
      </w:r>
      <w:r>
        <w:rPr>
          <w:rFonts w:hint="eastAsia" w:ascii="MS UI Gothic" w:eastAsia="MS UI Gothic"/>
          <w:w w:val="80"/>
        </w:rPr>
        <w:t xml:space="preserve">ꎬ </w:t>
      </w:r>
      <w:r>
        <w:t>应当由充装单位持证作业人员逐只对气瓶进行检查</w:t>
      </w:r>
      <w:r>
        <w:rPr>
          <w:rFonts w:hint="eastAsia" w:ascii="MS UI Gothic" w:eastAsia="MS UI Gothic"/>
          <w:w w:val="80"/>
        </w:rPr>
        <w:t xml:space="preserve">ꎬ </w:t>
      </w:r>
      <w:r>
        <w:t>发现超装</w:t>
      </w:r>
      <w:r>
        <w:rPr>
          <w:rFonts w:hint="eastAsia" w:ascii="MS UI Gothic" w:eastAsia="MS UI Gothic"/>
          <w:w w:val="80"/>
        </w:rPr>
        <w:t xml:space="preserve">、 </w:t>
      </w:r>
      <w:r>
        <w:t>错装</w:t>
      </w:r>
      <w:r>
        <w:rPr>
          <w:rFonts w:hint="eastAsia" w:ascii="MS UI Gothic" w:eastAsia="MS UI Gothic"/>
          <w:w w:val="80"/>
        </w:rPr>
        <w:t xml:space="preserve">、 </w:t>
      </w:r>
      <w:r>
        <w:t>泄漏或其他异常现象的</w:t>
      </w:r>
      <w:r>
        <w:rPr>
          <w:rFonts w:hint="eastAsia" w:ascii="MS UI Gothic" w:eastAsia="MS UI Gothic"/>
          <w:w w:val="80"/>
        </w:rPr>
        <w:t xml:space="preserve">ꎬ </w:t>
      </w:r>
      <w:r>
        <w:t>要立即进行妥善处理</w:t>
      </w:r>
      <w:r>
        <w:rPr>
          <w:rFonts w:hint="eastAsia" w:ascii="MS UI Gothic" w:eastAsia="MS UI Gothic"/>
          <w:w w:val="80"/>
        </w:rPr>
        <w:t>ꎮ</w:t>
      </w:r>
    </w:p>
    <w:p>
      <w:pPr>
        <w:pStyle w:val="6"/>
        <w:spacing w:line="295" w:lineRule="auto"/>
        <w:ind w:left="383" w:right="126"/>
        <w:rPr>
          <w:rFonts w:hint="eastAsia" w:ascii="MS UI Gothic" w:eastAsia="MS UI Gothic"/>
        </w:rPr>
      </w:pPr>
      <w:r>
        <w:t>充装时</w:t>
      </w:r>
      <w:r>
        <w:rPr>
          <w:rFonts w:hint="eastAsia" w:ascii="MS UI Gothic" w:eastAsia="MS UI Gothic"/>
          <w:w w:val="80"/>
        </w:rPr>
        <w:t xml:space="preserve">ꎬ </w:t>
      </w:r>
      <w:r>
        <w:t>充装人员应按有关安全技术规范和国家标准规定进行充装</w:t>
      </w:r>
      <w:r>
        <w:rPr>
          <w:rFonts w:hint="eastAsia" w:ascii="MS UI Gothic" w:eastAsia="MS UI Gothic"/>
          <w:w w:val="80"/>
        </w:rPr>
        <w:t xml:space="preserve">ꎮ </w:t>
      </w:r>
      <w:r>
        <w:t>对未列入安全技术规范或国家标准的气体</w:t>
      </w:r>
      <w:r>
        <w:rPr>
          <w:rFonts w:hint="eastAsia" w:ascii="MS UI Gothic" w:eastAsia="MS UI Gothic"/>
          <w:w w:val="80"/>
        </w:rPr>
        <w:t xml:space="preserve">ꎬ </w:t>
      </w:r>
      <w:r>
        <w:t>应当制定企业充装标准</w:t>
      </w:r>
      <w:r>
        <w:rPr>
          <w:rFonts w:hint="eastAsia" w:ascii="MS UI Gothic" w:eastAsia="MS UI Gothic"/>
          <w:w w:val="80"/>
        </w:rPr>
        <w:t xml:space="preserve">ꎬ </w:t>
      </w:r>
      <w:r>
        <w:t>按标准规定的充装系数或充装压力进行充装</w:t>
      </w:r>
      <w:r>
        <w:rPr>
          <w:rFonts w:hint="eastAsia" w:ascii="MS UI Gothic" w:eastAsia="MS UI Gothic"/>
          <w:w w:val="80"/>
        </w:rPr>
        <w:t xml:space="preserve">ꎮ </w:t>
      </w:r>
      <w:r>
        <w:t>禁止对使用过的非重复充装气瓶再次进行充装</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第三十一条 气瓶充装单位应当保证</w:t>
      </w:r>
      <w:r>
        <w:t>充装的气体质量和充装量符合安全技术规</w:t>
      </w:r>
      <w:r>
        <w:rPr>
          <w:w w:val="105"/>
        </w:rPr>
        <w:t>范规定及相关标准的要求</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第三十二条 任何单位和个人不得改装气瓶或将报废气瓶翻新后使用</w:t>
      </w:r>
      <w:r>
        <w:rPr>
          <w:rFonts w:hint="eastAsia" w:ascii="MS UI Gothic" w:eastAsia="MS UI Gothic"/>
          <w:w w:val="80"/>
        </w:rPr>
        <w:t>ꎮ</w:t>
      </w:r>
    </w:p>
    <w:p>
      <w:pPr>
        <w:pStyle w:val="6"/>
        <w:spacing w:line="295" w:lineRule="auto"/>
        <w:ind w:left="383" w:right="126"/>
      </w:pPr>
      <w:r>
        <w:rPr>
          <w:w w:val="105"/>
        </w:rPr>
        <w:t xml:space="preserve">第三十三条 地 </w:t>
      </w:r>
      <w:r>
        <w:rPr>
          <w:rFonts w:hint="eastAsia" w:ascii="MS UI Gothic" w:eastAsia="MS UI Gothic"/>
          <w:w w:val="150"/>
        </w:rPr>
        <w:t xml:space="preserve">( </w:t>
      </w:r>
      <w:r>
        <w:rPr>
          <w:w w:val="105"/>
        </w:rPr>
        <w:t>市</w:t>
      </w:r>
      <w:r>
        <w:rPr>
          <w:rFonts w:hint="eastAsia" w:ascii="MS UI Gothic" w:eastAsia="MS UI Gothic"/>
          <w:w w:val="150"/>
        </w:rPr>
        <w:t xml:space="preserve">) </w:t>
      </w:r>
      <w:r>
        <w:rPr>
          <w:w w:val="105"/>
        </w:rPr>
        <w:t>级质监部门</w:t>
      </w:r>
      <w:r>
        <w:t>安全监察机构应当每年对辖区内的气瓶充装单位进行年度监督检查</w:t>
      </w:r>
      <w:r>
        <w:rPr>
          <w:rFonts w:hint="eastAsia" w:ascii="MS UI Gothic" w:eastAsia="MS UI Gothic"/>
          <w:w w:val="80"/>
        </w:rPr>
        <w:t xml:space="preserve">ꎮ </w:t>
      </w:r>
      <w:r>
        <w:t>年度监督检查</w:t>
      </w:r>
      <w:r>
        <w:rPr>
          <w:w w:val="105"/>
        </w:rPr>
        <w:t>的内容包括</w:t>
      </w:r>
      <w:r>
        <w:rPr>
          <w:rFonts w:hint="eastAsia" w:ascii="MS UI Gothic" w:eastAsia="MS UI Gothic"/>
          <w:w w:val="235"/>
        </w:rPr>
        <w:t xml:space="preserve">: </w:t>
      </w:r>
      <w:r>
        <w:rPr>
          <w:w w:val="105"/>
        </w:rPr>
        <w:t>自有产权气瓶的数量</w:t>
      </w:r>
      <w:r>
        <w:rPr>
          <w:rFonts w:hint="eastAsia" w:ascii="MS UI Gothic" w:eastAsia="MS UI Gothic"/>
          <w:w w:val="80"/>
        </w:rPr>
        <w:t xml:space="preserve">、 </w:t>
      </w:r>
      <w:r>
        <w:rPr>
          <w:w w:val="105"/>
        </w:rPr>
        <w:t>钢印标志和建档情况</w:t>
      </w:r>
      <w:r>
        <w:rPr>
          <w:rFonts w:hint="eastAsia" w:ascii="MS UI Gothic" w:eastAsia="MS UI Gothic"/>
          <w:w w:val="80"/>
        </w:rPr>
        <w:t xml:space="preserve">、 </w:t>
      </w:r>
      <w:r>
        <w:rPr>
          <w:w w:val="105"/>
        </w:rPr>
        <w:t>自有产权气瓶的充装和</w:t>
      </w:r>
    </w:p>
    <w:p>
      <w:pPr>
        <w:spacing w:after="0" w:line="295" w:lineRule="auto"/>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２０６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44" o:spid="_x0000_s1644" o:spt="203" style="height:2.15pt;width:398.25pt;" coordsize="7965,43">
            <o:lock v:ext="edit"/>
            <v:line id="_x0000_s1645" o:spid="_x0000_s1645" o:spt="20" style="position:absolute;left:0;top:39;height:0;width:7965;" stroked="t" coordsize="21600,21600">
              <v:path arrowok="t"/>
              <v:fill focussize="0,0"/>
              <v:stroke weight="0.388031496062992pt" color="#231F20"/>
              <v:imagedata o:title=""/>
              <o:lock v:ext="edit"/>
            </v:line>
            <v:line id="_x0000_s1646" o:spid="_x0000_s164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定期检验情况</w:t>
      </w:r>
      <w:r>
        <w:rPr>
          <w:rFonts w:hint="eastAsia" w:ascii="MS UI Gothic" w:eastAsia="MS UI Gothic"/>
          <w:w w:val="80"/>
        </w:rPr>
        <w:t xml:space="preserve">、 </w:t>
      </w:r>
      <w:r>
        <w:t>充装单位负责人和充装人员持证情况</w:t>
      </w:r>
      <w:r>
        <w:rPr>
          <w:rFonts w:hint="eastAsia" w:ascii="MS UI Gothic" w:eastAsia="MS UI Gothic"/>
          <w:w w:val="80"/>
        </w:rPr>
        <w:t xml:space="preserve">ꎮ </w:t>
      </w:r>
      <w:r>
        <w:t>气瓶充装单位应当按照要求每年报送上述材料</w:t>
      </w:r>
      <w:r>
        <w:rPr>
          <w:rFonts w:hint="eastAsia" w:ascii="MS UI Gothic" w:eastAsia="MS UI Gothic"/>
          <w:w w:val="80"/>
        </w:rPr>
        <w:t>ꎮ</w:t>
      </w:r>
    </w:p>
    <w:p>
      <w:pPr>
        <w:pStyle w:val="6"/>
        <w:spacing w:line="295" w:lineRule="auto"/>
        <w:ind w:right="39"/>
        <w:rPr>
          <w:rFonts w:hint="eastAsia" w:ascii="MS UI Gothic" w:eastAsia="MS UI Gothic"/>
        </w:rPr>
      </w:pPr>
      <w:r>
        <w:rPr>
          <w:w w:val="105"/>
        </w:rPr>
        <w:t xml:space="preserve">地 </w:t>
      </w:r>
      <w:r>
        <w:rPr>
          <w:rFonts w:hint="eastAsia" w:ascii="MS UI Gothic" w:eastAsia="MS UI Gothic"/>
          <w:w w:val="150"/>
        </w:rPr>
        <w:t xml:space="preserve">( </w:t>
      </w:r>
      <w:r>
        <w:rPr>
          <w:w w:val="105"/>
        </w:rPr>
        <w:t>市</w:t>
      </w:r>
      <w:r>
        <w:rPr>
          <w:rFonts w:hint="eastAsia" w:ascii="MS UI Gothic" w:eastAsia="MS UI Gothic"/>
          <w:w w:val="150"/>
        </w:rPr>
        <w:t xml:space="preserve">) </w:t>
      </w:r>
      <w:r>
        <w:rPr>
          <w:w w:val="105"/>
        </w:rPr>
        <w:t>级质监部门每年应当将年</w:t>
      </w:r>
      <w:r>
        <w:t>度监督检查的结果上报省级质监部门</w:t>
      </w:r>
      <w:r>
        <w:rPr>
          <w:rFonts w:hint="eastAsia" w:ascii="MS UI Gothic" w:eastAsia="MS UI Gothic"/>
          <w:w w:val="80"/>
        </w:rPr>
        <w:t xml:space="preserve">ꎮ </w:t>
      </w:r>
      <w:r>
        <w:t>对年度监督检查不合格应予吊销充装许可证的充装单位</w:t>
      </w:r>
      <w:r>
        <w:rPr>
          <w:rFonts w:hint="eastAsia" w:ascii="MS UI Gothic" w:eastAsia="MS UI Gothic"/>
          <w:w w:val="80"/>
        </w:rPr>
        <w:t xml:space="preserve">ꎬ </w:t>
      </w:r>
      <w:r>
        <w:t>报请省级质监部门吊销充装</w:t>
      </w:r>
      <w:r>
        <w:rPr>
          <w:w w:val="105"/>
        </w:rPr>
        <w:t>许可证书</w:t>
      </w:r>
      <w:r>
        <w:rPr>
          <w:rFonts w:hint="eastAsia" w:ascii="MS UI Gothic" w:eastAsia="MS UI Gothic"/>
          <w:w w:val="80"/>
        </w:rPr>
        <w:t>ꎮ</w:t>
      </w:r>
    </w:p>
    <w:p>
      <w:pPr>
        <w:pStyle w:val="6"/>
        <w:tabs>
          <w:tab w:val="left" w:pos="1801"/>
        </w:tabs>
        <w:spacing w:before="151"/>
        <w:ind w:left="963" w:firstLine="0"/>
        <w:jc w:val="left"/>
      </w:pPr>
      <w:r>
        <w:rPr>
          <w:spacing w:val="3"/>
          <w:w w:val="105"/>
        </w:rPr>
        <w:t>第五</w:t>
      </w:r>
      <w:r>
        <w:rPr>
          <w:w w:val="105"/>
        </w:rPr>
        <w:t>章</w:t>
      </w:r>
      <w:r>
        <w:rPr>
          <w:w w:val="105"/>
        </w:rPr>
        <w:tab/>
      </w:r>
      <w:r>
        <w:rPr>
          <w:spacing w:val="3"/>
          <w:w w:val="105"/>
        </w:rPr>
        <w:t>气瓶定期检</w:t>
      </w:r>
      <w:r>
        <w:rPr>
          <w:w w:val="105"/>
        </w:rPr>
        <w:t>验</w:t>
      </w:r>
    </w:p>
    <w:p>
      <w:pPr>
        <w:pStyle w:val="6"/>
        <w:spacing w:before="215" w:line="295" w:lineRule="auto"/>
        <w:ind w:right="38"/>
        <w:rPr>
          <w:rFonts w:hint="eastAsia" w:ascii="MS UI Gothic" w:eastAsia="MS UI Gothic"/>
        </w:rPr>
      </w:pPr>
      <w:r>
        <w:rPr>
          <w:w w:val="105"/>
        </w:rPr>
        <w:t>第三十四条 气瓶的定期检验周期</w:t>
      </w:r>
      <w:r>
        <w:rPr>
          <w:rFonts w:hint="eastAsia" w:ascii="MS UI Gothic" w:eastAsia="MS UI Gothic"/>
          <w:w w:val="80"/>
        </w:rPr>
        <w:t>、</w:t>
      </w:r>
      <w:r>
        <w:t>报废期限应当符合有关安全技术规范及标</w:t>
      </w:r>
      <w:r>
        <w:rPr>
          <w:w w:val="105"/>
        </w:rPr>
        <w:t>准的规</w:t>
      </w:r>
      <w:r>
        <w:rPr>
          <w:rFonts w:hint="eastAsia" w:ascii="MS UI Gothic" w:eastAsia="MS UI Gothic"/>
          <w:w w:val="80"/>
        </w:rPr>
        <w:t>ꎮ</w:t>
      </w:r>
    </w:p>
    <w:p>
      <w:pPr>
        <w:pStyle w:val="6"/>
        <w:spacing w:line="295" w:lineRule="auto"/>
        <w:ind w:right="39"/>
        <w:rPr>
          <w:rFonts w:hint="eastAsia" w:ascii="MS UI Gothic" w:eastAsia="MS UI Gothic"/>
        </w:rPr>
      </w:pPr>
      <w:r>
        <w:t>第三十五条 承担气瓶定期检验工作的检验机构</w:t>
      </w:r>
      <w:r>
        <w:rPr>
          <w:rFonts w:hint="eastAsia" w:ascii="MS UI Gothic" w:eastAsia="MS UI Gothic"/>
          <w:w w:val="80"/>
        </w:rPr>
        <w:t xml:space="preserve">ꎬ </w:t>
      </w:r>
      <w:r>
        <w:t>应当经总局安全监察机构核准</w:t>
      </w:r>
      <w:r>
        <w:rPr>
          <w:rFonts w:hint="eastAsia" w:ascii="MS UI Gothic" w:eastAsia="MS UI Gothic"/>
          <w:w w:val="80"/>
        </w:rPr>
        <w:t xml:space="preserve">ꎬ </w:t>
      </w:r>
      <w:r>
        <w:t>按照有关安全技术规范和国家标准的规定</w:t>
      </w:r>
      <w:r>
        <w:rPr>
          <w:rFonts w:hint="eastAsia" w:ascii="MS UI Gothic" w:eastAsia="MS UI Gothic"/>
          <w:w w:val="80"/>
        </w:rPr>
        <w:t xml:space="preserve">ꎬ </w:t>
      </w:r>
      <w:r>
        <w:t>从事气瓶的定期检验工作</w:t>
      </w:r>
      <w:r>
        <w:rPr>
          <w:rFonts w:hint="eastAsia" w:ascii="MS UI Gothic" w:eastAsia="MS UI Gothic"/>
          <w:w w:val="80"/>
        </w:rPr>
        <w:t>ꎮ</w:t>
      </w:r>
    </w:p>
    <w:p>
      <w:pPr>
        <w:pStyle w:val="6"/>
        <w:spacing w:line="295" w:lineRule="auto"/>
        <w:ind w:right="38"/>
        <w:rPr>
          <w:rFonts w:hint="eastAsia" w:ascii="MS UI Gothic" w:eastAsia="MS UI Gothic"/>
        </w:rPr>
      </w:pPr>
      <w:r>
        <w:t>从事气瓶定期检验工作的检验人员</w:t>
      </w:r>
      <w:r>
        <w:rPr>
          <w:rFonts w:hint="eastAsia" w:ascii="MS UI Gothic" w:eastAsia="MS UI Gothic"/>
          <w:w w:val="80"/>
        </w:rPr>
        <w:t>ꎬ</w:t>
      </w:r>
      <w:r>
        <w:t>应当经总局安全监察机构考核合格</w:t>
      </w:r>
      <w:r>
        <w:rPr>
          <w:rFonts w:hint="eastAsia" w:ascii="MS UI Gothic" w:eastAsia="MS UI Gothic"/>
          <w:w w:val="80"/>
        </w:rPr>
        <w:t xml:space="preserve">ꎬ </w:t>
      </w:r>
      <w:r>
        <w:t>取得气瓶检验人员证书后</w:t>
      </w:r>
      <w:r>
        <w:rPr>
          <w:rFonts w:hint="eastAsia" w:ascii="MS UI Gothic" w:eastAsia="MS UI Gothic"/>
          <w:w w:val="80"/>
        </w:rPr>
        <w:t xml:space="preserve">ꎬ </w:t>
      </w:r>
      <w:r>
        <w:t>方可从事气瓶检验工作</w:t>
      </w:r>
      <w:r>
        <w:rPr>
          <w:rFonts w:hint="eastAsia" w:ascii="MS UI Gothic" w:eastAsia="MS UI Gothic"/>
          <w:w w:val="80"/>
        </w:rPr>
        <w:t>ꎮ</w:t>
      </w:r>
    </w:p>
    <w:p>
      <w:pPr>
        <w:pStyle w:val="6"/>
        <w:spacing w:line="295" w:lineRule="auto"/>
        <w:ind w:right="39"/>
        <w:rPr>
          <w:rFonts w:hint="eastAsia" w:ascii="MS UI Gothic" w:eastAsia="MS UI Gothic"/>
        </w:rPr>
      </w:pPr>
      <w:r>
        <w:t xml:space="preserve">第三十六条 气瓶定期检验证书有效期为 </w:t>
      </w:r>
      <w:r>
        <w:rPr>
          <w:rFonts w:hint="eastAsia" w:ascii="MS UI Gothic" w:eastAsia="MS UI Gothic"/>
          <w:w w:val="80"/>
        </w:rPr>
        <w:t xml:space="preserve">４ </w:t>
      </w:r>
      <w:r>
        <w:t>年</w:t>
      </w:r>
      <w:r>
        <w:rPr>
          <w:rFonts w:hint="eastAsia" w:ascii="MS UI Gothic" w:eastAsia="MS UI Gothic"/>
          <w:w w:val="80"/>
        </w:rPr>
        <w:t xml:space="preserve">ꎮ </w:t>
      </w:r>
      <w:r>
        <w:t>有效期满前</w:t>
      </w:r>
      <w:r>
        <w:rPr>
          <w:rFonts w:hint="eastAsia" w:ascii="MS UI Gothic" w:eastAsia="MS UI Gothic"/>
          <w:w w:val="80"/>
        </w:rPr>
        <w:t xml:space="preserve">ꎬ </w:t>
      </w:r>
      <w:r>
        <w:t>检验机构应当向发证部门申请办理换证手续</w:t>
      </w:r>
      <w:r>
        <w:rPr>
          <w:rFonts w:hint="eastAsia" w:ascii="MS UI Gothic" w:eastAsia="MS UI Gothic"/>
          <w:w w:val="80"/>
        </w:rPr>
        <w:t xml:space="preserve">ꎬ </w:t>
      </w:r>
      <w:r>
        <w:t>有效期满前未提出申请的</w:t>
      </w:r>
      <w:r>
        <w:rPr>
          <w:rFonts w:hint="eastAsia" w:ascii="MS UI Gothic" w:eastAsia="MS UI Gothic"/>
          <w:w w:val="80"/>
        </w:rPr>
        <w:t xml:space="preserve">ꎬ </w:t>
      </w:r>
      <w:r>
        <w:t>期满后不得继续从事气瓶定期检验工作</w:t>
      </w:r>
      <w:r>
        <w:rPr>
          <w:rFonts w:hint="eastAsia" w:ascii="MS UI Gothic" w:eastAsia="MS UI Gothic"/>
          <w:w w:val="80"/>
        </w:rPr>
        <w:t>ꎮ</w:t>
      </w:r>
    </w:p>
    <w:p>
      <w:pPr>
        <w:pStyle w:val="6"/>
        <w:spacing w:line="295" w:lineRule="auto"/>
        <w:ind w:right="39"/>
        <w:rPr>
          <w:rFonts w:hint="eastAsia" w:ascii="MS UI Gothic" w:eastAsia="MS UI Gothic"/>
        </w:rPr>
      </w:pPr>
      <w:r>
        <w:t>第三十七条 气瓶检验机构应当有与所检气瓶种类</w:t>
      </w:r>
      <w:r>
        <w:rPr>
          <w:rFonts w:hint="eastAsia" w:ascii="MS UI Gothic" w:eastAsia="MS UI Gothic"/>
          <w:w w:val="80"/>
        </w:rPr>
        <w:t xml:space="preserve">、 </w:t>
      </w:r>
      <w:r>
        <w:t>数量相适应的场地</w:t>
      </w:r>
      <w:r>
        <w:rPr>
          <w:rFonts w:hint="eastAsia" w:ascii="MS UI Gothic" w:eastAsia="MS UI Gothic"/>
          <w:w w:val="80"/>
        </w:rPr>
        <w:t xml:space="preserve">、 </w:t>
      </w:r>
      <w:r>
        <w:t>余气回收与处理设施</w:t>
      </w:r>
      <w:r>
        <w:rPr>
          <w:rFonts w:hint="eastAsia" w:ascii="MS UI Gothic" w:eastAsia="MS UI Gothic"/>
          <w:w w:val="80"/>
        </w:rPr>
        <w:t xml:space="preserve">、 </w:t>
      </w:r>
      <w:r>
        <w:t>检验设备</w:t>
      </w:r>
      <w:r>
        <w:rPr>
          <w:rFonts w:hint="eastAsia" w:ascii="MS UI Gothic" w:eastAsia="MS UI Gothic"/>
          <w:w w:val="80"/>
        </w:rPr>
        <w:t xml:space="preserve">、 </w:t>
      </w:r>
      <w:r>
        <w:t>持证检验人员</w:t>
      </w:r>
      <w:r>
        <w:rPr>
          <w:rFonts w:hint="eastAsia" w:ascii="MS UI Gothic" w:eastAsia="MS UI Gothic"/>
          <w:w w:val="80"/>
        </w:rPr>
        <w:t xml:space="preserve">ꎬ </w:t>
      </w:r>
      <w:r>
        <w:t>并有一定的检验规模</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第三十八条 气瓶定期检验机构的主</w:t>
      </w:r>
      <w:r>
        <w:rPr>
          <w:w w:val="110"/>
        </w:rPr>
        <w:t>要职责是</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按照有关安全技术规范和气瓶</w:t>
      </w:r>
      <w:r>
        <w:t>定期检验标准对气瓶进行定期检验</w:t>
      </w:r>
      <w:r>
        <w:rPr>
          <w:rFonts w:hint="eastAsia" w:ascii="MS UI Gothic" w:eastAsia="MS UI Gothic"/>
          <w:w w:val="80"/>
        </w:rPr>
        <w:t xml:space="preserve">ꎬ </w:t>
      </w:r>
      <w:r>
        <w:t>出具</w:t>
      </w:r>
      <w:r>
        <w:rPr>
          <w:w w:val="105"/>
        </w:rPr>
        <w:t>检验报告</w:t>
      </w:r>
      <w:r>
        <w:rPr>
          <w:rFonts w:hint="eastAsia" w:ascii="MS UI Gothic" w:eastAsia="MS UI Gothic"/>
          <w:w w:val="80"/>
        </w:rPr>
        <w:t xml:space="preserve">ꎬ </w:t>
      </w:r>
      <w:r>
        <w:rPr>
          <w:w w:val="105"/>
        </w:rPr>
        <w:t>并对其正确性负责</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按气瓶颜色标志有关国家标准</w:t>
      </w:r>
      <w:r>
        <w:t>的规定</w:t>
      </w:r>
      <w:r>
        <w:rPr>
          <w:rFonts w:hint="eastAsia" w:ascii="MS UI Gothic" w:eastAsia="MS UI Gothic"/>
          <w:w w:val="80"/>
        </w:rPr>
        <w:t xml:space="preserve">ꎬ </w:t>
      </w:r>
      <w:r>
        <w:t>去除气瓶表面的漆色后重新涂敷</w:t>
      </w:r>
      <w:r>
        <w:rPr>
          <w:w w:val="105"/>
        </w:rPr>
        <w:t>气瓶颜色标志</w:t>
      </w:r>
      <w:r>
        <w:rPr>
          <w:rFonts w:hint="eastAsia" w:ascii="MS UI Gothic" w:eastAsia="MS UI Gothic"/>
          <w:w w:val="80"/>
        </w:rPr>
        <w:t xml:space="preserve">ꎬ </w:t>
      </w:r>
      <w:r>
        <w:rPr>
          <w:w w:val="105"/>
        </w:rPr>
        <w:t>打气瓶定期检验钢印</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对报废气瓶进行破坏性处理</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t>第三十九条 气瓶检验机构应当严格按照有关安全技术规范和检验标准规定的项目进行定期检验</w:t>
      </w:r>
      <w:r>
        <w:rPr>
          <w:rFonts w:hint="eastAsia" w:ascii="MS UI Gothic" w:eastAsia="MS UI Gothic"/>
          <w:w w:val="80"/>
        </w:rPr>
        <w:t xml:space="preserve">ꎮ </w:t>
      </w:r>
      <w:r>
        <w:t>检验气瓶前</w:t>
      </w:r>
      <w:r>
        <w:rPr>
          <w:rFonts w:hint="eastAsia" w:ascii="MS UI Gothic" w:eastAsia="MS UI Gothic"/>
          <w:w w:val="80"/>
        </w:rPr>
        <w:t xml:space="preserve">ꎬ </w:t>
      </w:r>
      <w:r>
        <w:t>检验人员必须对气瓶的介质处理进行确认</w:t>
      </w:r>
      <w:r>
        <w:rPr>
          <w:rFonts w:hint="eastAsia" w:ascii="MS UI Gothic" w:eastAsia="MS UI Gothic"/>
          <w:w w:val="80"/>
        </w:rPr>
        <w:t xml:space="preserve">ꎬ </w:t>
      </w:r>
      <w:r>
        <w:t>达到有关安全要求后</w:t>
      </w:r>
      <w:r>
        <w:rPr>
          <w:rFonts w:hint="eastAsia" w:ascii="MS UI Gothic" w:eastAsia="MS UI Gothic"/>
          <w:w w:val="80"/>
        </w:rPr>
        <w:t xml:space="preserve">ꎬ </w:t>
      </w:r>
      <w:r>
        <w:t>方可检验</w:t>
      </w:r>
      <w:r>
        <w:rPr>
          <w:rFonts w:hint="eastAsia" w:ascii="MS UI Gothic" w:eastAsia="MS UI Gothic"/>
          <w:w w:val="80"/>
        </w:rPr>
        <w:t xml:space="preserve">ꎮ </w:t>
      </w:r>
      <w:r>
        <w:t>检验人员应当认真做好检验记录</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第四十条 气瓶检验机构应当保证检</w:t>
      </w:r>
      <w:r>
        <w:t>验工作质量和检验安全</w:t>
      </w:r>
      <w:r>
        <w:rPr>
          <w:rFonts w:hint="eastAsia" w:ascii="MS UI Gothic" w:eastAsia="MS UI Gothic"/>
          <w:w w:val="80"/>
        </w:rPr>
        <w:t xml:space="preserve">ꎬ </w:t>
      </w:r>
      <w:r>
        <w:t>保证经检验合格的气瓶和经维修的气瓶阀门能够安全使用一个检验周期</w:t>
      </w:r>
      <w:r>
        <w:rPr>
          <w:rFonts w:hint="eastAsia" w:ascii="MS UI Gothic" w:eastAsia="MS UI Gothic"/>
          <w:w w:val="80"/>
        </w:rPr>
        <w:t xml:space="preserve">ꎬ </w:t>
      </w:r>
      <w:r>
        <w:t>不能安全使用一个检验周</w:t>
      </w:r>
      <w:r>
        <w:rPr>
          <w:w w:val="105"/>
        </w:rPr>
        <w:t>期的气瓶和阀门应予报废</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第四十一条 气瓶检验机构应当将检</w:t>
      </w:r>
      <w:r>
        <w:t>验不合格的报废气瓶予以破坏性处理</w:t>
      </w:r>
      <w:r>
        <w:rPr>
          <w:rFonts w:hint="eastAsia" w:ascii="MS UI Gothic" w:eastAsia="MS UI Gothic"/>
          <w:w w:val="80"/>
        </w:rPr>
        <w:t xml:space="preserve">ꎮ </w:t>
      </w:r>
      <w:r>
        <w:t>气瓶的破坏性处理必须采用压扁或将瓶体解体的方式进行</w:t>
      </w:r>
      <w:r>
        <w:rPr>
          <w:rFonts w:hint="eastAsia" w:ascii="MS UI Gothic" w:eastAsia="MS UI Gothic"/>
          <w:w w:val="80"/>
        </w:rPr>
        <w:t xml:space="preserve">ꎮ </w:t>
      </w:r>
      <w:r>
        <w:t>禁止将未作破坏性处理的</w:t>
      </w:r>
      <w:r>
        <w:rPr>
          <w:w w:val="105"/>
        </w:rPr>
        <w:t>报废气瓶交予他人</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第四十二条 气瓶检验机构应当按照</w:t>
      </w:r>
      <w:r>
        <w:t>省级质监部门安全监察机构的要求</w:t>
      </w:r>
      <w:r>
        <w:rPr>
          <w:rFonts w:hint="eastAsia" w:ascii="MS UI Gothic" w:eastAsia="MS UI Gothic"/>
          <w:w w:val="80"/>
        </w:rPr>
        <w:t xml:space="preserve">ꎬ </w:t>
      </w:r>
      <w:r>
        <w:t>报告</w:t>
      </w:r>
      <w:r>
        <w:rPr>
          <w:w w:val="105"/>
        </w:rPr>
        <w:t>当年检验的各种气瓶的数量</w:t>
      </w:r>
      <w:r>
        <w:rPr>
          <w:rFonts w:hint="eastAsia" w:ascii="MS UI Gothic" w:eastAsia="MS UI Gothic"/>
          <w:w w:val="80"/>
        </w:rPr>
        <w:t xml:space="preserve">、 </w:t>
      </w:r>
      <w:r>
        <w:rPr>
          <w:w w:val="105"/>
        </w:rPr>
        <w:t>各充装单位送检的气瓶数量</w:t>
      </w:r>
      <w:r>
        <w:rPr>
          <w:rFonts w:hint="eastAsia" w:ascii="MS UI Gothic" w:eastAsia="MS UI Gothic"/>
          <w:w w:val="80"/>
        </w:rPr>
        <w:t xml:space="preserve">、 </w:t>
      </w:r>
      <w:r>
        <w:rPr>
          <w:w w:val="105"/>
        </w:rPr>
        <w:t>检验工作情况和影响气瓶安全的倾向性问题</w:t>
      </w:r>
      <w:r>
        <w:rPr>
          <w:rFonts w:hint="eastAsia" w:ascii="MS UI Gothic" w:eastAsia="MS UI Gothic"/>
          <w:w w:val="80"/>
        </w:rPr>
        <w:t>ꎮ</w:t>
      </w:r>
    </w:p>
    <w:p>
      <w:pPr>
        <w:pStyle w:val="6"/>
        <w:tabs>
          <w:tab w:val="left" w:pos="1277"/>
        </w:tabs>
        <w:spacing w:before="141"/>
        <w:ind w:left="439" w:firstLine="0"/>
        <w:jc w:val="left"/>
      </w:pPr>
      <w:r>
        <w:rPr>
          <w:spacing w:val="3"/>
        </w:rPr>
        <w:t>第六</w:t>
      </w:r>
      <w:r>
        <w:t>章</w:t>
      </w:r>
      <w:r>
        <w:tab/>
      </w:r>
      <w:r>
        <w:rPr>
          <w:spacing w:val="3"/>
        </w:rPr>
        <w:t>运输</w:t>
      </w:r>
      <w:r>
        <w:rPr>
          <w:rFonts w:hint="eastAsia" w:ascii="Microsoft Yi Baiti" w:eastAsia="Microsoft Yi Baiti"/>
        </w:rPr>
        <w:t>、</w:t>
      </w:r>
      <w:r>
        <w:rPr>
          <w:rFonts w:hint="eastAsia" w:ascii="Microsoft Yi Baiti" w:eastAsia="Microsoft Yi Baiti"/>
          <w:spacing w:val="16"/>
        </w:rPr>
        <w:t xml:space="preserve"> </w:t>
      </w:r>
      <w:r>
        <w:rPr>
          <w:spacing w:val="3"/>
        </w:rPr>
        <w:t>储存</w:t>
      </w:r>
      <w:r>
        <w:rPr>
          <w:rFonts w:hint="eastAsia" w:ascii="Microsoft Yi Baiti" w:eastAsia="Microsoft Yi Baiti"/>
        </w:rPr>
        <w:t>、</w:t>
      </w:r>
      <w:r>
        <w:rPr>
          <w:rFonts w:hint="eastAsia" w:ascii="Microsoft Yi Baiti" w:eastAsia="Microsoft Yi Baiti"/>
          <w:spacing w:val="16"/>
        </w:rPr>
        <w:t xml:space="preserve"> </w:t>
      </w:r>
      <w:r>
        <w:rPr>
          <w:spacing w:val="3"/>
        </w:rPr>
        <w:t>销售和使</w:t>
      </w:r>
      <w:r>
        <w:t>用</w:t>
      </w:r>
    </w:p>
    <w:p>
      <w:pPr>
        <w:pStyle w:val="6"/>
        <w:spacing w:before="215" w:line="295" w:lineRule="auto"/>
        <w:ind w:right="442"/>
        <w:rPr>
          <w:rFonts w:hint="eastAsia" w:ascii="MS UI Gothic" w:eastAsia="MS UI Gothic"/>
        </w:rPr>
      </w:pPr>
      <w:r>
        <w:rPr>
          <w:spacing w:val="7"/>
        </w:rPr>
        <w:t>第四十三条 运输</w:t>
      </w:r>
      <w:r>
        <w:rPr>
          <w:rFonts w:hint="eastAsia" w:ascii="MS UI Gothic" w:eastAsia="MS UI Gothic"/>
          <w:spacing w:val="12"/>
          <w:w w:val="80"/>
        </w:rPr>
        <w:t xml:space="preserve">、 </w:t>
      </w:r>
      <w:r>
        <w:rPr>
          <w:spacing w:val="3"/>
        </w:rPr>
        <w:t>储存</w:t>
      </w:r>
      <w:r>
        <w:rPr>
          <w:rFonts w:hint="eastAsia" w:ascii="MS UI Gothic" w:eastAsia="MS UI Gothic"/>
          <w:spacing w:val="8"/>
          <w:w w:val="80"/>
        </w:rPr>
        <w:t xml:space="preserve">、  </w:t>
      </w:r>
      <w:r>
        <w:rPr>
          <w:spacing w:val="2"/>
        </w:rPr>
        <w:t>销售和使</w:t>
      </w:r>
      <w:r>
        <w:rPr>
          <w:spacing w:val="3"/>
        </w:rPr>
        <w:t>用气瓶的单位</w:t>
      </w:r>
      <w:r>
        <w:rPr>
          <w:rFonts w:hint="eastAsia" w:ascii="MS UI Gothic" w:eastAsia="MS UI Gothic"/>
          <w:spacing w:val="20"/>
          <w:w w:val="80"/>
        </w:rPr>
        <w:t xml:space="preserve">ꎬ </w:t>
      </w:r>
      <w:r>
        <w:rPr>
          <w:spacing w:val="2"/>
        </w:rPr>
        <w:t>应当制定相应的气瓶安全</w:t>
      </w:r>
      <w:r>
        <w:rPr>
          <w:spacing w:val="3"/>
        </w:rPr>
        <w:t>管理制度和事故应急处理措施</w:t>
      </w:r>
      <w:r>
        <w:rPr>
          <w:rFonts w:hint="eastAsia" w:ascii="MS UI Gothic" w:eastAsia="MS UI Gothic"/>
          <w:spacing w:val="20"/>
          <w:w w:val="80"/>
        </w:rPr>
        <w:t xml:space="preserve">ꎬ </w:t>
      </w:r>
      <w:r>
        <w:rPr>
          <w:spacing w:val="2"/>
        </w:rPr>
        <w:t>并有专人</w:t>
      </w:r>
      <w:r>
        <w:rPr>
          <w:spacing w:val="3"/>
        </w:rPr>
        <w:t>负责气瓶安全工作</w:t>
      </w:r>
      <w:r>
        <w:rPr>
          <w:rFonts w:hint="eastAsia" w:ascii="MS UI Gothic" w:eastAsia="MS UI Gothic"/>
          <w:spacing w:val="11"/>
          <w:w w:val="80"/>
        </w:rPr>
        <w:t xml:space="preserve">ꎬ </w:t>
      </w:r>
      <w:r>
        <w:rPr>
          <w:spacing w:val="3"/>
        </w:rPr>
        <w:t>定期对气瓶运输</w:t>
      </w:r>
      <w:r>
        <w:rPr>
          <w:rFonts w:hint="eastAsia" w:ascii="MS UI Gothic" w:eastAsia="MS UI Gothic"/>
          <w:spacing w:val="11"/>
          <w:w w:val="80"/>
        </w:rPr>
        <w:t xml:space="preserve">、 </w:t>
      </w:r>
      <w:r>
        <w:t>储</w:t>
      </w:r>
      <w:r>
        <w:rPr>
          <w:spacing w:val="3"/>
        </w:rPr>
        <w:t>存</w:t>
      </w:r>
      <w:r>
        <w:rPr>
          <w:rFonts w:hint="eastAsia" w:ascii="MS UI Gothic" w:eastAsia="MS UI Gothic"/>
          <w:spacing w:val="16"/>
          <w:w w:val="80"/>
        </w:rPr>
        <w:t xml:space="preserve">、 </w:t>
      </w:r>
      <w:r>
        <w:rPr>
          <w:spacing w:val="14"/>
        </w:rPr>
        <w:t>销售和使用人员进行气瓶安全技术</w:t>
      </w:r>
      <w:r>
        <w:rPr>
          <w:spacing w:val="3"/>
        </w:rPr>
        <w:t>教育</w:t>
      </w:r>
      <w:r>
        <w:rPr>
          <w:rFonts w:hint="eastAsia" w:ascii="MS UI Gothic" w:eastAsia="MS UI Gothic"/>
          <w:w w:val="80"/>
        </w:rPr>
        <w:t>ꎮ</w:t>
      </w:r>
    </w:p>
    <w:p>
      <w:pPr>
        <w:pStyle w:val="6"/>
        <w:spacing w:line="295" w:lineRule="auto"/>
        <w:ind w:right="440"/>
        <w:rPr>
          <w:rFonts w:hint="eastAsia" w:ascii="MS UI Gothic" w:eastAsia="MS UI Gothic"/>
        </w:rPr>
      </w:pPr>
      <w:r>
        <w:rPr>
          <w:spacing w:val="10"/>
        </w:rPr>
        <w:t>第四十四条 充气气瓶的运输单位</w:t>
      </w:r>
      <w:r>
        <w:rPr>
          <w:rFonts w:hint="eastAsia" w:ascii="MS UI Gothic" w:eastAsia="MS UI Gothic"/>
          <w:w w:val="80"/>
        </w:rPr>
        <w:t>ꎬ</w:t>
      </w:r>
      <w:r>
        <w:rPr>
          <w:spacing w:val="24"/>
        </w:rPr>
        <w:t>必须严格遵守国家危险品运输的有关</w:t>
      </w:r>
      <w:r>
        <w:rPr>
          <w:spacing w:val="3"/>
        </w:rPr>
        <w:t>规定</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运输和装卸气瓶时</w:t>
      </w:r>
      <w:r>
        <w:rPr>
          <w:rFonts w:hint="eastAsia" w:ascii="MS UI Gothic" w:eastAsia="MS UI Gothic"/>
          <w:spacing w:val="15"/>
          <w:w w:val="80"/>
        </w:rPr>
        <w:t xml:space="preserve">ꎬ </w:t>
      </w:r>
      <w:r>
        <w:rPr>
          <w:spacing w:val="2"/>
        </w:rPr>
        <w:t>必须配戴好气瓶</w:t>
      </w:r>
      <w:r>
        <w:rPr>
          <w:spacing w:val="-24"/>
          <w:w w:val="110"/>
        </w:rPr>
        <w:t xml:space="preserve">瓶帽 </w:t>
      </w:r>
      <w:r>
        <w:rPr>
          <w:rFonts w:hint="eastAsia" w:ascii="MS UI Gothic" w:eastAsia="MS UI Gothic"/>
          <w:spacing w:val="-41"/>
          <w:w w:val="145"/>
        </w:rPr>
        <w:t xml:space="preserve">( </w:t>
      </w:r>
      <w:r>
        <w:rPr>
          <w:spacing w:val="13"/>
          <w:w w:val="110"/>
        </w:rPr>
        <w:t>有防护罩的气瓶除外</w:t>
      </w:r>
      <w:r>
        <w:rPr>
          <w:rFonts w:hint="eastAsia" w:ascii="MS UI Gothic" w:eastAsia="MS UI Gothic"/>
          <w:spacing w:val="-21"/>
          <w:w w:val="145"/>
        </w:rPr>
        <w:t xml:space="preserve">) </w:t>
      </w:r>
      <w:r>
        <w:rPr>
          <w:spacing w:val="14"/>
          <w:w w:val="110"/>
        </w:rPr>
        <w:t>和防震圈</w:t>
      </w:r>
      <w:r>
        <w:rPr>
          <w:rFonts w:hint="eastAsia" w:ascii="MS UI Gothic" w:eastAsia="MS UI Gothic"/>
          <w:spacing w:val="-30"/>
          <w:w w:val="150"/>
        </w:rPr>
        <w:t xml:space="preserve">( </w:t>
      </w:r>
      <w:r>
        <w:rPr>
          <w:spacing w:val="3"/>
          <w:w w:val="110"/>
        </w:rPr>
        <w:t>集装气瓶除外</w:t>
      </w:r>
      <w:r>
        <w:rPr>
          <w:rFonts w:hint="eastAsia" w:ascii="MS UI Gothic" w:eastAsia="MS UI Gothic"/>
          <w:spacing w:val="-36"/>
          <w:w w:val="150"/>
        </w:rPr>
        <w:t xml:space="preserve">) </w:t>
      </w:r>
      <w:r>
        <w:rPr>
          <w:rFonts w:hint="eastAsia" w:ascii="MS UI Gothic" w:eastAsia="MS UI Gothic"/>
          <w:w w:val="80"/>
        </w:rPr>
        <w:t>ꎮ</w:t>
      </w:r>
    </w:p>
    <w:p>
      <w:pPr>
        <w:pStyle w:val="6"/>
        <w:spacing w:line="295" w:lineRule="auto"/>
        <w:ind w:right="442"/>
        <w:rPr>
          <w:rFonts w:hint="eastAsia" w:ascii="MS UI Gothic" w:hAnsi="MS UI Gothic" w:eastAsia="MS UI Gothic"/>
        </w:rPr>
      </w:pPr>
      <w:r>
        <w:t>第四十五条 储存充气气瓶的单位应当有专用仓库存放气瓶</w:t>
      </w:r>
      <w:r>
        <w:rPr>
          <w:rFonts w:hint="eastAsia" w:ascii="MS UI Gothic" w:hAnsi="MS UI Gothic" w:eastAsia="MS UI Gothic"/>
          <w:w w:val="80"/>
        </w:rPr>
        <w:t xml:space="preserve">ꎮ </w:t>
      </w:r>
      <w:r>
        <w:t xml:space="preserve">气瓶仓库应当符合 </w:t>
      </w:r>
      <w:r>
        <w:rPr>
          <w:rFonts w:hint="eastAsia" w:ascii="MS UI Gothic" w:hAnsi="MS UI Gothic" w:eastAsia="MS UI Gothic"/>
          <w:w w:val="80"/>
        </w:rPr>
        <w:t xml:space="preserve">« </w:t>
      </w:r>
      <w:r>
        <w:t>建筑设计防火规范</w:t>
      </w:r>
      <w:r>
        <w:rPr>
          <w:rFonts w:hint="eastAsia" w:ascii="MS UI Gothic" w:hAnsi="MS UI Gothic" w:eastAsia="MS UI Gothic"/>
          <w:w w:val="80"/>
        </w:rPr>
        <w:t xml:space="preserve">» </w:t>
      </w:r>
      <w:r>
        <w:t>的要求</w:t>
      </w:r>
      <w:r>
        <w:rPr>
          <w:rFonts w:hint="eastAsia" w:ascii="MS UI Gothic" w:hAnsi="MS UI Gothic" w:eastAsia="MS UI Gothic"/>
          <w:w w:val="80"/>
        </w:rPr>
        <w:t xml:space="preserve">ꎬ </w:t>
      </w:r>
      <w:r>
        <w:t>气瓶存放数量应符合有关安全规定</w:t>
      </w:r>
      <w:r>
        <w:rPr>
          <w:rFonts w:hint="eastAsia" w:ascii="MS UI Gothic" w:hAnsi="MS UI Gothic" w:eastAsia="MS UI Gothic"/>
          <w:w w:val="8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２０７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47" o:spid="_x0000_s1647" o:spt="203" style="height:2.15pt;width:398.25pt;" coordsize="7965,43">
            <o:lock v:ext="edit"/>
            <v:line id="_x0000_s1648" o:spid="_x0000_s1648" o:spt="20" style="position:absolute;left:0;top:39;height:0;width:7965;" stroked="t" coordsize="21600,21600">
              <v:path arrowok="t"/>
              <v:fill focussize="0,0"/>
              <v:stroke weight="0.388031496062992pt" color="#231F20"/>
              <v:imagedata o:title=""/>
              <o:lock v:ext="edit"/>
            </v:line>
            <v:line id="_x0000_s1649" o:spid="_x0000_s164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rPr>
          <w:w w:val="105"/>
        </w:rPr>
        <w:t>第四十六条 气瓶或瓶装气体的销售</w:t>
      </w:r>
      <w:r>
        <w:t>单位应当销售具有制造许可证的企业制造的合格气瓶和取得气瓶充装许可的单位充</w:t>
      </w:r>
      <w:r>
        <w:rPr>
          <w:w w:val="105"/>
        </w:rPr>
        <w:t>装的瓶装气体</w:t>
      </w:r>
      <w:r>
        <w:rPr>
          <w:rFonts w:hint="eastAsia" w:ascii="MS UI Gothic" w:eastAsia="MS UI Gothic"/>
          <w:w w:val="80"/>
        </w:rPr>
        <w:t>ꎮ</w:t>
      </w:r>
    </w:p>
    <w:p>
      <w:pPr>
        <w:pStyle w:val="6"/>
        <w:spacing w:line="295" w:lineRule="auto"/>
        <w:ind w:left="440"/>
        <w:jc w:val="left"/>
        <w:rPr>
          <w:rFonts w:hint="eastAsia" w:ascii="MS UI Gothic" w:eastAsia="MS UI Gothic"/>
        </w:rPr>
      </w:pPr>
      <w:r>
        <w:t>鼓励气瓶制造单位将气瓶直接销售给</w:t>
      </w:r>
      <w:r>
        <w:rPr>
          <w:w w:val="105"/>
        </w:rPr>
        <w:t>取得气瓶充装许可的充装单位</w:t>
      </w:r>
      <w:r>
        <w:rPr>
          <w:rFonts w:hint="eastAsia" w:ascii="MS UI Gothic" w:eastAsia="MS UI Gothic"/>
          <w:w w:val="80"/>
        </w:rPr>
        <w:t>ꎮ</w:t>
      </w:r>
    </w:p>
    <w:p>
      <w:pPr>
        <w:pStyle w:val="6"/>
        <w:spacing w:line="295" w:lineRule="auto"/>
        <w:ind w:left="440"/>
        <w:rPr>
          <w:rFonts w:hint="eastAsia" w:ascii="MS UI Gothic" w:eastAsia="MS UI Gothic"/>
        </w:rPr>
      </w:pPr>
      <w:r>
        <w:t>气瓶充装单位应当购买具有制造许可证的企业制造的合格气瓶</w:t>
      </w:r>
      <w:r>
        <w:rPr>
          <w:rFonts w:hint="eastAsia" w:ascii="MS UI Gothic" w:eastAsia="MS UI Gothic"/>
          <w:w w:val="80"/>
        </w:rPr>
        <w:t xml:space="preserve">ꎬ </w:t>
      </w:r>
      <w:r>
        <w:t>气体使用者应当购买已取得气瓶充装许可的单位充装的</w:t>
      </w:r>
      <w:r>
        <w:rPr>
          <w:w w:val="105"/>
        </w:rPr>
        <w:t>瓶装气体</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第四十七条 气瓶使用者应当遵守下</w:t>
      </w:r>
      <w:r>
        <w:rPr>
          <w:spacing w:val="3"/>
          <w:w w:val="110"/>
        </w:rPr>
        <w:t>列安全规定</w:t>
      </w:r>
      <w:r>
        <w:rPr>
          <w:rFonts w:hint="eastAsia" w:ascii="MS UI Gothic" w:eastAsia="MS UI Gothic"/>
          <w:w w:val="235"/>
        </w:rPr>
        <w:t>:</w:t>
      </w:r>
    </w:p>
    <w:p>
      <w:pPr>
        <w:pStyle w:val="6"/>
        <w:spacing w:line="295" w:lineRule="auto"/>
        <w:ind w:left="440"/>
        <w:jc w:val="left"/>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严格按照有关安全使用规定正</w:t>
      </w:r>
      <w:r>
        <w:rPr>
          <w:spacing w:val="3"/>
          <w:w w:val="110"/>
        </w:rPr>
        <w:t>确使用气瓶</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不得对气瓶瓶体进行焊接和更改气瓶的钢印或者颜色标记</w:t>
      </w:r>
      <w:r>
        <w:rPr>
          <w:rFonts w:hint="eastAsia" w:ascii="MS UI Gothic" w:eastAsia="MS UI Gothic"/>
          <w:w w:val="80"/>
        </w:rPr>
        <w:t>ꎻ</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不得使用已报废的气瓶</w:t>
      </w:r>
      <w:r>
        <w:rPr>
          <w:rFonts w:hint="eastAsia" w:ascii="MS UI Gothic" w:eastAsia="MS UI Gothic"/>
          <w:w w:val="80"/>
        </w:rPr>
        <w:t>ꎻ</w:t>
      </w:r>
    </w:p>
    <w:p>
      <w:pPr>
        <w:pStyle w:val="6"/>
        <w:spacing w:before="47" w:line="295" w:lineRule="auto"/>
        <w:ind w:left="440"/>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不得将气瓶内的气体向其他气瓶倒装或直接由罐车对气瓶进行充装</w:t>
      </w:r>
      <w:r>
        <w:rPr>
          <w:rFonts w:hint="eastAsia" w:ascii="MS UI Gothic" w:eastAsia="MS UI Gothic"/>
          <w:w w:val="80"/>
        </w:rPr>
        <w:t>ꎻ</w:t>
      </w:r>
    </w:p>
    <w:p>
      <w:pPr>
        <w:pStyle w:val="6"/>
        <w:spacing w:line="255" w:lineRule="exact"/>
        <w:ind w:left="860" w:firstLine="0"/>
        <w:jc w:val="left"/>
        <w:rPr>
          <w:rFonts w:hint="eastAsia" w:ascii="MS UI Gothic" w:eastAsia="MS UI Gothic"/>
        </w:rPr>
      </w:pPr>
      <w:r>
        <w:rPr>
          <w:rFonts w:hint="eastAsia" w:ascii="MS UI Gothic" w:eastAsia="MS UI Gothic"/>
          <w:spacing w:val="-41"/>
          <w:w w:val="145"/>
        </w:rPr>
        <w:t xml:space="preserve">( </w:t>
      </w:r>
      <w:r>
        <w:rPr>
          <w:spacing w:val="3"/>
          <w:w w:val="110"/>
        </w:rPr>
        <w:t>五</w:t>
      </w:r>
      <w:r>
        <w:rPr>
          <w:rFonts w:hint="eastAsia" w:ascii="MS UI Gothic" w:eastAsia="MS UI Gothic"/>
          <w:spacing w:val="-22"/>
          <w:w w:val="145"/>
        </w:rPr>
        <w:t xml:space="preserve">) </w:t>
      </w:r>
      <w:r>
        <w:rPr>
          <w:spacing w:val="3"/>
          <w:w w:val="110"/>
        </w:rPr>
        <w:t>不得自行处理气瓶内的残液</w:t>
      </w:r>
      <w:r>
        <w:rPr>
          <w:rFonts w:hint="eastAsia" w:ascii="MS UI Gothic" w:eastAsia="MS UI Gothic"/>
          <w:w w:val="80"/>
        </w:rPr>
        <w:t>ꎮ</w:t>
      </w:r>
    </w:p>
    <w:p>
      <w:pPr>
        <w:pStyle w:val="6"/>
        <w:tabs>
          <w:tab w:val="left" w:pos="2327"/>
          <w:tab w:val="left" w:pos="2956"/>
        </w:tabs>
        <w:spacing w:before="215"/>
        <w:ind w:left="1488" w:firstLine="0"/>
        <w:jc w:val="left"/>
      </w:pPr>
      <w:r>
        <w:rPr>
          <w:spacing w:val="3"/>
          <w:w w:val="105"/>
        </w:rPr>
        <w:t>第七</w:t>
      </w:r>
      <w:r>
        <w:rPr>
          <w:w w:val="105"/>
        </w:rPr>
        <w:t>章</w:t>
      </w:r>
      <w:r>
        <w:rPr>
          <w:w w:val="105"/>
        </w:rPr>
        <w:tab/>
      </w:r>
      <w:r>
        <w:rPr>
          <w:w w:val="105"/>
        </w:rPr>
        <w:t>罚</w:t>
      </w:r>
      <w:r>
        <w:rPr>
          <w:w w:val="105"/>
        </w:rPr>
        <w:tab/>
      </w:r>
      <w:r>
        <w:rPr>
          <w:w w:val="105"/>
        </w:rPr>
        <w:t>则</w:t>
      </w:r>
    </w:p>
    <w:p>
      <w:pPr>
        <w:pStyle w:val="6"/>
        <w:spacing w:before="11"/>
        <w:ind w:left="0" w:firstLine="0"/>
        <w:jc w:val="left"/>
        <w:rPr>
          <w:sz w:val="16"/>
        </w:rPr>
      </w:pPr>
    </w:p>
    <w:p>
      <w:pPr>
        <w:pStyle w:val="6"/>
        <w:spacing w:line="295" w:lineRule="auto"/>
        <w:ind w:left="440"/>
        <w:rPr>
          <w:rFonts w:hint="eastAsia" w:ascii="MS UI Gothic" w:eastAsia="MS UI Gothic"/>
        </w:rPr>
      </w:pPr>
      <w:r>
        <w:rPr>
          <w:spacing w:val="4"/>
        </w:rPr>
        <w:t>第四十八条 气瓶充装单位有下列行</w:t>
      </w:r>
      <w:r>
        <w:rPr>
          <w:spacing w:val="3"/>
        </w:rPr>
        <w:t>为之一的</w:t>
      </w:r>
      <w:r>
        <w:rPr>
          <w:rFonts w:hint="eastAsia" w:ascii="MS UI Gothic" w:eastAsia="MS UI Gothic"/>
          <w:spacing w:val="16"/>
          <w:w w:val="80"/>
        </w:rPr>
        <w:t xml:space="preserve">ꎬ </w:t>
      </w:r>
      <w:r>
        <w:rPr>
          <w:spacing w:val="3"/>
        </w:rPr>
        <w:t>责令改正</w:t>
      </w:r>
      <w:r>
        <w:rPr>
          <w:rFonts w:hint="eastAsia" w:ascii="MS UI Gothic" w:eastAsia="MS UI Gothic"/>
          <w:spacing w:val="16"/>
          <w:w w:val="80"/>
        </w:rPr>
        <w:t xml:space="preserve">ꎬ </w:t>
      </w:r>
      <w:r>
        <w:rPr>
          <w:spacing w:val="-31"/>
        </w:rPr>
        <w:t xml:space="preserve">处 </w:t>
      </w:r>
      <w:r>
        <w:rPr>
          <w:rFonts w:hint="eastAsia" w:ascii="MS UI Gothic" w:eastAsia="MS UI Gothic"/>
          <w:spacing w:val="-8"/>
        </w:rPr>
        <w:t xml:space="preserve">１ </w:t>
      </w:r>
      <w:r>
        <w:rPr>
          <w:spacing w:val="-11"/>
        </w:rPr>
        <w:t xml:space="preserve">万元以上 </w:t>
      </w:r>
      <w:r>
        <w:rPr>
          <w:rFonts w:hint="eastAsia" w:ascii="MS UI Gothic" w:eastAsia="MS UI Gothic"/>
          <w:spacing w:val="-7"/>
        </w:rPr>
        <w:t xml:space="preserve">３ </w:t>
      </w:r>
      <w:r>
        <w:t>万</w:t>
      </w:r>
      <w:r>
        <w:rPr>
          <w:spacing w:val="3"/>
        </w:rPr>
        <w:t>元以下罚款</w:t>
      </w:r>
      <w:r>
        <w:rPr>
          <w:rFonts w:hint="eastAsia" w:ascii="MS UI Gothic" w:eastAsia="MS UI Gothic"/>
          <w:spacing w:val="14"/>
          <w:w w:val="80"/>
        </w:rPr>
        <w:t xml:space="preserve">ꎮ </w:t>
      </w:r>
      <w:r>
        <w:rPr>
          <w:spacing w:val="3"/>
        </w:rPr>
        <w:t>情节严重的</w:t>
      </w:r>
      <w:r>
        <w:rPr>
          <w:rFonts w:hint="eastAsia" w:ascii="MS UI Gothic" w:eastAsia="MS UI Gothic"/>
          <w:spacing w:val="15"/>
          <w:w w:val="80"/>
        </w:rPr>
        <w:t xml:space="preserve">ꎬ </w:t>
      </w:r>
      <w:r>
        <w:rPr>
          <w:spacing w:val="3"/>
        </w:rPr>
        <w:t>暂停充装</w:t>
      </w:r>
      <w:r>
        <w:rPr>
          <w:rFonts w:hint="eastAsia" w:ascii="MS UI Gothic" w:eastAsia="MS UI Gothic"/>
          <w:spacing w:val="15"/>
          <w:w w:val="80"/>
        </w:rPr>
        <w:t xml:space="preserve">ꎬ </w:t>
      </w:r>
      <w:r>
        <w:t>直</w:t>
      </w:r>
      <w:r>
        <w:rPr>
          <w:spacing w:val="3"/>
        </w:rPr>
        <w:t>至吊销其充装许可证</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spacing w:val="-36"/>
          <w:w w:val="150"/>
        </w:rPr>
        <w:t xml:space="preserve">( </w:t>
      </w:r>
      <w:r>
        <w:rPr>
          <w:spacing w:val="3"/>
          <w:w w:val="105"/>
        </w:rPr>
        <w:t>一</w:t>
      </w:r>
      <w:r>
        <w:rPr>
          <w:rFonts w:hint="eastAsia" w:ascii="MS UI Gothic" w:eastAsia="MS UI Gothic"/>
          <w:spacing w:val="12"/>
          <w:w w:val="150"/>
        </w:rPr>
        <w:t xml:space="preserve">) </w:t>
      </w:r>
      <w:r>
        <w:rPr>
          <w:spacing w:val="2"/>
          <w:w w:val="105"/>
        </w:rPr>
        <w:t xml:space="preserve">充装非自有产权气瓶 </w:t>
      </w:r>
      <w:r>
        <w:rPr>
          <w:rFonts w:hint="eastAsia" w:ascii="MS UI Gothic" w:eastAsia="MS UI Gothic"/>
          <w:spacing w:val="-33"/>
          <w:w w:val="150"/>
        </w:rPr>
        <w:t xml:space="preserve">( </w:t>
      </w:r>
      <w:r>
        <w:rPr>
          <w:spacing w:val="6"/>
          <w:w w:val="105"/>
        </w:rPr>
        <w:t>车用气</w:t>
      </w:r>
      <w:r>
        <w:rPr>
          <w:spacing w:val="3"/>
          <w:w w:val="105"/>
        </w:rPr>
        <w:t>瓶</w:t>
      </w:r>
      <w:r>
        <w:rPr>
          <w:rFonts w:hint="eastAsia" w:ascii="MS UI Gothic" w:eastAsia="MS UI Gothic"/>
          <w:spacing w:val="16"/>
          <w:w w:val="80"/>
        </w:rPr>
        <w:t xml:space="preserve">、 </w:t>
      </w:r>
      <w:r>
        <w:rPr>
          <w:spacing w:val="3"/>
          <w:w w:val="105"/>
        </w:rPr>
        <w:t>呼吸用气瓶</w:t>
      </w:r>
      <w:r>
        <w:rPr>
          <w:rFonts w:hint="eastAsia" w:ascii="MS UI Gothic" w:eastAsia="MS UI Gothic"/>
          <w:spacing w:val="17"/>
          <w:w w:val="80"/>
        </w:rPr>
        <w:t xml:space="preserve">、 </w:t>
      </w:r>
      <w:r>
        <w:rPr>
          <w:spacing w:val="3"/>
          <w:w w:val="105"/>
        </w:rPr>
        <w:t>灭火用气瓶</w:t>
      </w:r>
      <w:r>
        <w:rPr>
          <w:rFonts w:hint="eastAsia" w:ascii="MS UI Gothic" w:eastAsia="MS UI Gothic"/>
          <w:spacing w:val="16"/>
          <w:w w:val="80"/>
        </w:rPr>
        <w:t xml:space="preserve">、 </w:t>
      </w:r>
      <w:r>
        <w:rPr>
          <w:spacing w:val="2"/>
          <w:w w:val="105"/>
        </w:rPr>
        <w:t>非重复充</w:t>
      </w:r>
      <w:r>
        <w:rPr>
          <w:spacing w:val="2"/>
        </w:rPr>
        <w:t>装气瓶和其他经省级质监部门安全监察机</w:t>
      </w:r>
      <w:r>
        <w:rPr>
          <w:spacing w:val="3"/>
          <w:w w:val="105"/>
        </w:rPr>
        <w:t>构同意的气瓶除外</w:t>
      </w:r>
      <w:r>
        <w:rPr>
          <w:rFonts w:hint="eastAsia" w:ascii="MS UI Gothic" w:eastAsia="MS UI Gothic"/>
          <w:spacing w:val="-36"/>
          <w:w w:val="150"/>
        </w:rPr>
        <w:t xml:space="preserve">) </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对使用过的非重复充装气瓶再</w:t>
      </w:r>
      <w:r>
        <w:rPr>
          <w:w w:val="110"/>
        </w:rPr>
        <w:t>次进行充装</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充装前不认真检查气瓶钢印标</w:t>
      </w:r>
      <w:r>
        <w:t>志和颜色标志</w:t>
      </w:r>
      <w:r>
        <w:rPr>
          <w:rFonts w:hint="eastAsia" w:ascii="MS UI Gothic" w:eastAsia="MS UI Gothic"/>
          <w:w w:val="80"/>
        </w:rPr>
        <w:t xml:space="preserve">ꎬ </w:t>
      </w:r>
      <w:r>
        <w:t>未按规定进行瓶内余气检查或抽回气瓶内残液而充装气瓶</w:t>
      </w:r>
      <w:r>
        <w:rPr>
          <w:rFonts w:hint="eastAsia" w:ascii="MS UI Gothic" w:eastAsia="MS UI Gothic"/>
          <w:w w:val="80"/>
        </w:rPr>
        <w:t xml:space="preserve">ꎬ </w:t>
      </w:r>
      <w:r>
        <w:t>造成气</w:t>
      </w:r>
      <w:r>
        <w:rPr>
          <w:w w:val="105"/>
        </w:rPr>
        <w:t>瓶错装或超装的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对气瓶进行改装和对报废气瓶</w:t>
      </w:r>
      <w:r>
        <w:rPr>
          <w:w w:val="110"/>
        </w:rPr>
        <w:t>进行翻新的</w:t>
      </w:r>
      <w:r>
        <w:rPr>
          <w:rFonts w:hint="eastAsia" w:ascii="MS UI Gothic" w:eastAsia="MS UI Gothic"/>
          <w:w w:val="80"/>
        </w:rPr>
        <w:t>ꎻ</w:t>
      </w:r>
    </w:p>
    <w:p>
      <w:pPr>
        <w:pStyle w:val="6"/>
        <w:spacing w:line="255" w:lineRule="exact"/>
        <w:ind w:left="860" w:firstLine="0"/>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未按规定粘贴气瓶警示标签和</w:t>
      </w:r>
    </w:p>
    <w:p>
      <w:pPr>
        <w:pStyle w:val="6"/>
        <w:spacing w:before="124"/>
        <w:ind w:left="383" w:firstLine="0"/>
        <w:jc w:val="left"/>
        <w:rPr>
          <w:rFonts w:hint="eastAsia" w:ascii="MS UI Gothic" w:eastAsia="MS UI Gothic"/>
        </w:rPr>
      </w:pPr>
      <w:r>
        <w:br w:type="column"/>
      </w:r>
      <w:r>
        <w:t>气瓶充装标签的</w:t>
      </w:r>
      <w:r>
        <w:rPr>
          <w:rFonts w:hint="eastAsia" w:ascii="MS UI Gothic" w:eastAsia="MS UI Gothic"/>
          <w:w w:val="80"/>
        </w:rPr>
        <w:t>ꎻ</w:t>
      </w:r>
    </w:p>
    <w:p>
      <w:pPr>
        <w:pStyle w:val="6"/>
        <w:spacing w:before="58" w:line="295" w:lineRule="auto"/>
        <w:ind w:left="383" w:right="126"/>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负责人或者充装人员未取得特</w:t>
      </w:r>
      <w:r>
        <w:rPr>
          <w:w w:val="110"/>
        </w:rPr>
        <w:t>种设备作业人员证书的</w:t>
      </w:r>
      <w:r>
        <w:rPr>
          <w:rFonts w:hint="eastAsia" w:ascii="MS UI Gothic" w:eastAsia="MS UI Gothic"/>
          <w:w w:val="80"/>
        </w:rPr>
        <w:t>ꎮ</w:t>
      </w:r>
    </w:p>
    <w:p>
      <w:pPr>
        <w:pStyle w:val="6"/>
        <w:spacing w:line="295" w:lineRule="auto"/>
        <w:ind w:left="377" w:right="126" w:firstLine="425"/>
        <w:rPr>
          <w:rFonts w:hint="eastAsia" w:ascii="MS UI Gothic" w:eastAsia="MS UI Gothic"/>
        </w:rPr>
      </w:pPr>
      <w:r>
        <w:rPr>
          <w:w w:val="95"/>
        </w:rPr>
        <w:t>第四十九条   气瓶检验机构对定期检验不合格应予报废的气瓶</w:t>
      </w:r>
      <w:r>
        <w:rPr>
          <w:rFonts w:hint="eastAsia" w:ascii="MS UI Gothic" w:eastAsia="MS UI Gothic"/>
          <w:w w:val="90"/>
        </w:rPr>
        <w:t xml:space="preserve">ꎬ  </w:t>
      </w:r>
      <w:r>
        <w:rPr>
          <w:w w:val="95"/>
        </w:rPr>
        <w:t>未进行破坏性处理而直接退回气瓶送检单位或者转卖给  其他单位或个人的</w:t>
      </w:r>
      <w:r>
        <w:rPr>
          <w:rFonts w:hint="eastAsia" w:ascii="MS UI Gothic" w:eastAsia="MS UI Gothic"/>
          <w:w w:val="90"/>
        </w:rPr>
        <w:t xml:space="preserve">ꎬ </w:t>
      </w:r>
      <w:r>
        <w:rPr>
          <w:w w:val="95"/>
        </w:rPr>
        <w:t>责令改正</w:t>
      </w:r>
      <w:r>
        <w:rPr>
          <w:rFonts w:hint="eastAsia" w:ascii="MS UI Gothic" w:eastAsia="MS UI Gothic"/>
          <w:w w:val="90"/>
        </w:rPr>
        <w:t xml:space="preserve">ꎬ </w:t>
      </w:r>
      <w:r>
        <w:rPr>
          <w:w w:val="95"/>
        </w:rPr>
        <w:t>处以</w:t>
      </w:r>
      <w:r>
        <w:rPr>
          <w:rFonts w:hint="eastAsia" w:ascii="MS UI Gothic" w:eastAsia="MS UI Gothic"/>
          <w:w w:val="95"/>
        </w:rPr>
        <w:t xml:space="preserve">１０００ </w:t>
      </w:r>
      <w:r>
        <w:rPr>
          <w:w w:val="95"/>
        </w:rPr>
        <w:t xml:space="preserve">元以上 </w:t>
      </w:r>
      <w:r>
        <w:rPr>
          <w:rFonts w:hint="eastAsia" w:ascii="MS UI Gothic" w:eastAsia="MS UI Gothic"/>
          <w:w w:val="95"/>
        </w:rPr>
        <w:t xml:space="preserve">１ </w:t>
      </w:r>
      <w:r>
        <w:rPr>
          <w:w w:val="95"/>
        </w:rPr>
        <w:t>万元以下罚款</w:t>
      </w:r>
      <w:r>
        <w:rPr>
          <w:rFonts w:hint="eastAsia" w:ascii="MS UI Gothic" w:eastAsia="MS UI Gothic"/>
          <w:w w:val="90"/>
        </w:rPr>
        <w:t xml:space="preserve">ꎮ </w:t>
      </w:r>
      <w:r>
        <w:rPr>
          <w:w w:val="95"/>
        </w:rPr>
        <w:t>情节严重的</w:t>
      </w:r>
      <w:r>
        <w:rPr>
          <w:rFonts w:hint="eastAsia" w:ascii="MS UI Gothic" w:eastAsia="MS UI Gothic"/>
          <w:w w:val="90"/>
        </w:rPr>
        <w:t xml:space="preserve">ꎬ </w:t>
      </w:r>
      <w:r>
        <w:rPr>
          <w:w w:val="95"/>
        </w:rPr>
        <w:t>取消其检验资格</w:t>
      </w:r>
      <w:r>
        <w:rPr>
          <w:rFonts w:hint="eastAsia" w:ascii="MS UI Gothic" w:eastAsia="MS UI Gothic"/>
          <w:w w:val="90"/>
        </w:rPr>
        <w:t>ꎮ</w:t>
      </w:r>
    </w:p>
    <w:p>
      <w:pPr>
        <w:pStyle w:val="6"/>
        <w:spacing w:line="295" w:lineRule="auto"/>
        <w:ind w:left="383" w:right="126"/>
        <w:rPr>
          <w:rFonts w:hint="eastAsia" w:ascii="MS UI Gothic" w:eastAsia="MS UI Gothic"/>
        </w:rPr>
      </w:pPr>
      <w:r>
        <w:t>第五十条 气瓶或者瓶装气体销售单位或者个人有下列行为之一的</w:t>
      </w:r>
      <w:r>
        <w:rPr>
          <w:rFonts w:hint="eastAsia" w:ascii="MS UI Gothic" w:eastAsia="MS UI Gothic"/>
          <w:w w:val="80"/>
        </w:rPr>
        <w:t xml:space="preserve">ꎬ </w:t>
      </w:r>
      <w:r>
        <w:t>责令改正</w:t>
      </w:r>
      <w:r>
        <w:rPr>
          <w:rFonts w:hint="eastAsia" w:ascii="MS UI Gothic" w:eastAsia="MS UI Gothic"/>
          <w:w w:val="80"/>
        </w:rPr>
        <w:t xml:space="preserve">ꎬ </w:t>
      </w:r>
      <w:r>
        <w:t xml:space="preserve">处 </w:t>
      </w:r>
      <w:r>
        <w:rPr>
          <w:rFonts w:hint="eastAsia" w:ascii="MS UI Gothic" w:eastAsia="MS UI Gothic"/>
          <w:w w:val="80"/>
        </w:rPr>
        <w:t xml:space="preserve">１ </w:t>
      </w:r>
      <w:r>
        <w:t>万元以下罚款</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销售无制造许可证单位制造的</w:t>
      </w:r>
      <w:r>
        <w:t>气瓶或者销售未经许可的充装单位充装的</w:t>
      </w:r>
      <w:r>
        <w:rPr>
          <w:w w:val="105"/>
        </w:rPr>
        <w:t>瓶装气体</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收购</w:t>
      </w:r>
      <w:r>
        <w:rPr>
          <w:rFonts w:hint="eastAsia" w:ascii="MS UI Gothic" w:eastAsia="MS UI Gothic"/>
          <w:w w:val="80"/>
        </w:rPr>
        <w:t xml:space="preserve">、 </w:t>
      </w:r>
      <w:r>
        <w:rPr>
          <w:w w:val="105"/>
        </w:rPr>
        <w:t>销售未经破坏性处理的</w:t>
      </w:r>
      <w:r>
        <w:t>报废气瓶或者使用过的非重复充装气瓶以</w:t>
      </w:r>
      <w:r>
        <w:rPr>
          <w:w w:val="105"/>
        </w:rPr>
        <w:t>及其他不符合安全要求的气瓶</w:t>
      </w:r>
      <w:r>
        <w:rPr>
          <w:rFonts w:hint="eastAsia" w:ascii="MS UI Gothic" w:eastAsia="MS UI Gothic"/>
          <w:w w:val="80"/>
        </w:rPr>
        <w:t>ꎮ</w:t>
      </w:r>
    </w:p>
    <w:p>
      <w:pPr>
        <w:pStyle w:val="6"/>
        <w:spacing w:line="295" w:lineRule="auto"/>
        <w:ind w:left="383" w:right="126"/>
        <w:rPr>
          <w:rFonts w:hint="eastAsia" w:ascii="MS UI Gothic" w:eastAsia="MS UI Gothic"/>
        </w:rPr>
      </w:pPr>
      <w:r>
        <w:t>第五十一条 气瓶监检机构有下列行为之一的</w:t>
      </w:r>
      <w:r>
        <w:rPr>
          <w:rFonts w:hint="eastAsia" w:ascii="MS UI Gothic" w:eastAsia="MS UI Gothic"/>
          <w:w w:val="80"/>
        </w:rPr>
        <w:t xml:space="preserve">ꎬ </w:t>
      </w:r>
      <w:r>
        <w:t>责令改正</w:t>
      </w:r>
      <w:r>
        <w:rPr>
          <w:rFonts w:hint="eastAsia" w:ascii="MS UI Gothic" w:eastAsia="MS UI Gothic"/>
          <w:w w:val="80"/>
        </w:rPr>
        <w:t xml:space="preserve">ꎻ </w:t>
      </w:r>
      <w:r>
        <w:t>情节严重的</w:t>
      </w:r>
      <w:r>
        <w:rPr>
          <w:rFonts w:hint="eastAsia" w:ascii="MS UI Gothic" w:eastAsia="MS UI Gothic"/>
          <w:w w:val="80"/>
        </w:rPr>
        <w:t xml:space="preserve">ꎬ </w:t>
      </w:r>
      <w:r>
        <w:t>取消其监督检验资格</w:t>
      </w:r>
      <w:r>
        <w:rPr>
          <w:rFonts w:hint="eastAsia" w:ascii="MS UI Gothic" w:eastAsia="MS UI Gothic"/>
          <w:w w:val="80"/>
        </w:rPr>
        <w:t>ꎮ</w:t>
      </w:r>
    </w:p>
    <w:p>
      <w:pPr>
        <w:pStyle w:val="6"/>
        <w:spacing w:line="295" w:lineRule="auto"/>
        <w:ind w:left="383" w:right="124"/>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监督检验质量保证体系失控</w:t>
      </w:r>
      <w:r>
        <w:rPr>
          <w:rFonts w:hint="eastAsia" w:ascii="MS UI Gothic" w:eastAsia="MS UI Gothic"/>
          <w:w w:val="80"/>
        </w:rPr>
        <w:t>ꎬ</w:t>
      </w:r>
      <w:r>
        <w:rPr>
          <w:w w:val="105"/>
        </w:rPr>
        <w:t>未对气瓶实施逐只监检的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监检项目不全或者未监检而出</w:t>
      </w:r>
      <w:r>
        <w:rPr>
          <w:w w:val="110"/>
        </w:rPr>
        <w:t>具虚假监检报告的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经监检合格的气瓶出现严重安</w:t>
      </w:r>
      <w:r>
        <w:t>全质量问题</w:t>
      </w:r>
      <w:r>
        <w:rPr>
          <w:rFonts w:hint="eastAsia" w:ascii="MS UI Gothic" w:eastAsia="MS UI Gothic"/>
          <w:w w:val="80"/>
        </w:rPr>
        <w:t xml:space="preserve">ꎬ </w:t>
      </w:r>
      <w:r>
        <w:t>导致受检单位制造许可证被</w:t>
      </w:r>
      <w:r>
        <w:rPr>
          <w:w w:val="105"/>
        </w:rPr>
        <w:t>吊销的</w:t>
      </w:r>
      <w:r>
        <w:rPr>
          <w:rFonts w:hint="eastAsia" w:ascii="MS UI Gothic" w:eastAsia="MS UI Gothic"/>
          <w:w w:val="80"/>
        </w:rPr>
        <w:t>ꎮ</w:t>
      </w:r>
    </w:p>
    <w:p>
      <w:pPr>
        <w:pStyle w:val="6"/>
        <w:spacing w:line="295" w:lineRule="auto"/>
        <w:ind w:left="383" w:right="126"/>
        <w:rPr>
          <w:rFonts w:hint="eastAsia" w:ascii="MS UI Gothic" w:hAnsi="MS UI Gothic" w:eastAsia="MS UI Gothic"/>
        </w:rPr>
      </w:pPr>
      <w:r>
        <w:t>第五十二条 违反本规定的其他违法行为</w:t>
      </w:r>
      <w:r>
        <w:rPr>
          <w:rFonts w:hint="eastAsia" w:ascii="MS UI Gothic" w:hAnsi="MS UI Gothic" w:eastAsia="MS UI Gothic"/>
          <w:w w:val="80"/>
        </w:rPr>
        <w:t xml:space="preserve">ꎬ </w:t>
      </w:r>
      <w:r>
        <w:t xml:space="preserve">按照 </w:t>
      </w:r>
      <w:r>
        <w:rPr>
          <w:rFonts w:hint="eastAsia" w:ascii="MS UI Gothic" w:hAnsi="MS UI Gothic" w:eastAsia="MS UI Gothic"/>
          <w:w w:val="80"/>
        </w:rPr>
        <w:t xml:space="preserve">« </w:t>
      </w:r>
      <w:r>
        <w:t>特种设备安全监察条例</w:t>
      </w:r>
      <w:r>
        <w:rPr>
          <w:rFonts w:hint="eastAsia" w:ascii="MS UI Gothic" w:hAnsi="MS UI Gothic" w:eastAsia="MS UI Gothic"/>
          <w:w w:val="80"/>
        </w:rPr>
        <w:t xml:space="preserve">» </w:t>
      </w:r>
      <w:r>
        <w:t>的规定进行处罚</w:t>
      </w:r>
      <w:r>
        <w:rPr>
          <w:rFonts w:hint="eastAsia" w:ascii="MS UI Gothic" w:hAnsi="MS UI Gothic" w:eastAsia="MS UI Gothic"/>
          <w:w w:val="80"/>
        </w:rPr>
        <w:t>ꎮ</w:t>
      </w:r>
    </w:p>
    <w:p>
      <w:pPr>
        <w:pStyle w:val="6"/>
        <w:spacing w:line="295" w:lineRule="auto"/>
        <w:ind w:left="383" w:right="126"/>
        <w:rPr>
          <w:rFonts w:hint="eastAsia" w:ascii="MS UI Gothic" w:eastAsia="MS UI Gothic"/>
        </w:rPr>
      </w:pPr>
      <w:r>
        <w:t>第五十三条 行政相对人对行政处罚不服的</w:t>
      </w:r>
      <w:r>
        <w:rPr>
          <w:rFonts w:hint="eastAsia" w:ascii="MS UI Gothic" w:eastAsia="MS UI Gothic"/>
          <w:w w:val="80"/>
        </w:rPr>
        <w:t xml:space="preserve">ꎬ </w:t>
      </w:r>
      <w:r>
        <w:t>可以依法申请行政复议或者提起行政诉讼</w:t>
      </w:r>
      <w:r>
        <w:rPr>
          <w:rFonts w:hint="eastAsia" w:ascii="MS UI Gothic" w:eastAsia="MS UI Gothic"/>
          <w:w w:val="80"/>
        </w:rPr>
        <w:t>ꎮ</w:t>
      </w:r>
    </w:p>
    <w:p>
      <w:pPr>
        <w:pStyle w:val="6"/>
        <w:tabs>
          <w:tab w:val="left" w:pos="2269"/>
          <w:tab w:val="left" w:pos="2898"/>
        </w:tabs>
        <w:spacing w:before="131"/>
        <w:ind w:left="1431" w:firstLine="0"/>
        <w:jc w:val="left"/>
      </w:pPr>
      <w:r>
        <w:rPr>
          <w:spacing w:val="3"/>
          <w:w w:val="105"/>
        </w:rPr>
        <w:t>第八</w:t>
      </w:r>
      <w:r>
        <w:rPr>
          <w:w w:val="105"/>
        </w:rPr>
        <w:t>章</w:t>
      </w:r>
      <w:r>
        <w:rPr>
          <w:w w:val="105"/>
        </w:rPr>
        <w:tab/>
      </w:r>
      <w:r>
        <w:rPr>
          <w:w w:val="105"/>
        </w:rPr>
        <w:t>附</w:t>
      </w:r>
      <w:r>
        <w:rPr>
          <w:w w:val="105"/>
        </w:rPr>
        <w:tab/>
      </w:r>
      <w:r>
        <w:rPr>
          <w:w w:val="105"/>
        </w:rPr>
        <w:t>则</w:t>
      </w:r>
    </w:p>
    <w:p>
      <w:pPr>
        <w:pStyle w:val="6"/>
        <w:spacing w:before="215" w:line="295" w:lineRule="auto"/>
        <w:ind w:left="383" w:right="126"/>
      </w:pPr>
      <w:r>
        <w:rPr>
          <w:spacing w:val="3"/>
          <w:w w:val="105"/>
        </w:rPr>
        <w:t>第五十四条 气瓶发生事故时</w:t>
      </w:r>
      <w:r>
        <w:rPr>
          <w:rFonts w:hint="eastAsia" w:ascii="MS UI Gothic" w:eastAsia="MS UI Gothic"/>
          <w:spacing w:val="10"/>
          <w:w w:val="80"/>
        </w:rPr>
        <w:t xml:space="preserve">ꎬ </w:t>
      </w:r>
      <w:r>
        <w:rPr>
          <w:spacing w:val="1"/>
          <w:w w:val="105"/>
        </w:rPr>
        <w:t>发生</w:t>
      </w:r>
      <w:r>
        <w:rPr>
          <w:spacing w:val="24"/>
        </w:rPr>
        <w:t>事故的单位和安全监察机构应当按照</w:t>
      </w:r>
    </w:p>
    <w:p>
      <w:pPr>
        <w:pStyle w:val="6"/>
        <w:spacing w:line="255" w:lineRule="exact"/>
        <w:ind w:left="383" w:firstLine="0"/>
        <w:jc w:val="left"/>
      </w:pPr>
      <w:r>
        <w:rPr>
          <w:rFonts w:hint="eastAsia" w:ascii="MS UI Gothic" w:hAnsi="MS UI Gothic" w:eastAsia="MS UI Gothic"/>
          <w:spacing w:val="13"/>
        </w:rPr>
        <w:t xml:space="preserve">« </w:t>
      </w:r>
      <w:r>
        <w:rPr>
          <w:spacing w:val="4"/>
        </w:rPr>
        <w:t>锅炉压力容器压力管道特种设备事故处</w:t>
      </w:r>
    </w:p>
    <w:p>
      <w:pPr>
        <w:spacing w:after="0" w:line="255" w:lineRule="exact"/>
        <w:jc w:val="left"/>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２０８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50" o:spid="_x0000_s1650" o:spt="203" style="height:2.15pt;width:398.25pt;" coordsize="7965,43">
            <o:lock v:ext="edit"/>
            <v:line id="_x0000_s1651" o:spid="_x0000_s1651" o:spt="20" style="position:absolute;left:0;top:39;height:0;width:7965;" stroked="t" coordsize="21600,21600">
              <v:path arrowok="t"/>
              <v:fill focussize="0,0"/>
              <v:stroke weight="0.388031496062992pt" color="#231F20"/>
              <v:imagedata o:title=""/>
              <o:lock v:ext="edit"/>
            </v:line>
            <v:line id="_x0000_s1652" o:spid="_x0000_s165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jc w:val="left"/>
        <w:rPr>
          <w:rFonts w:hint="eastAsia" w:ascii="MS UI Gothic" w:hAnsi="MS UI Gothic" w:eastAsia="MS UI Gothic"/>
        </w:rPr>
      </w:pPr>
      <w:r>
        <w:t>理规定</w:t>
      </w:r>
      <w:r>
        <w:rPr>
          <w:rFonts w:hint="eastAsia" w:ascii="MS UI Gothic" w:hAnsi="MS UI Gothic" w:eastAsia="MS UI Gothic"/>
          <w:w w:val="80"/>
        </w:rPr>
        <w:t xml:space="preserve">» </w:t>
      </w:r>
      <w:r>
        <w:t>及时上报和进行事故调查处理</w:t>
      </w:r>
      <w:r>
        <w:rPr>
          <w:rFonts w:hint="eastAsia" w:ascii="MS UI Gothic" w:hAnsi="MS UI Gothic" w:eastAsia="MS UI Gothic"/>
          <w:w w:val="80"/>
        </w:rPr>
        <w:t>ꎮ</w:t>
      </w:r>
    </w:p>
    <w:p>
      <w:pPr>
        <w:pStyle w:val="6"/>
        <w:spacing w:before="58" w:line="295" w:lineRule="auto"/>
        <w:ind w:right="38"/>
        <w:rPr>
          <w:rFonts w:hint="eastAsia" w:ascii="MS UI Gothic" w:eastAsia="MS UI Gothic"/>
        </w:rPr>
      </w:pPr>
      <w:r>
        <w:t>第五十五条 各省级质监部门可以依据本规定</w:t>
      </w:r>
      <w:r>
        <w:rPr>
          <w:rFonts w:hint="eastAsia" w:ascii="MS UI Gothic" w:eastAsia="MS UI Gothic"/>
          <w:w w:val="80"/>
        </w:rPr>
        <w:t xml:space="preserve">ꎬ </w:t>
      </w:r>
      <w:r>
        <w:t>结合本地区实际情况</w:t>
      </w:r>
      <w:r>
        <w:rPr>
          <w:rFonts w:hint="eastAsia" w:ascii="MS UI Gothic" w:eastAsia="MS UI Gothic"/>
          <w:w w:val="80"/>
        </w:rPr>
        <w:t xml:space="preserve">ꎬ </w:t>
      </w:r>
      <w:r>
        <w:t>制定实施办法</w:t>
      </w:r>
      <w:r>
        <w:rPr>
          <w:rFonts w:hint="eastAsia" w:ascii="MS UI Gothic" w:eastAsia="MS UI Gothic"/>
          <w:w w:val="80"/>
        </w:rPr>
        <w:t>ꎮ</w:t>
      </w:r>
    </w:p>
    <w:p>
      <w:pPr>
        <w:pStyle w:val="6"/>
        <w:tabs>
          <w:tab w:val="left" w:pos="1801"/>
        </w:tabs>
        <w:spacing w:before="123" w:line="295" w:lineRule="auto"/>
        <w:ind w:right="442"/>
        <w:jc w:val="left"/>
        <w:rPr>
          <w:rFonts w:hint="eastAsia" w:ascii="MS UI Gothic" w:eastAsia="MS UI Gothic"/>
        </w:rPr>
      </w:pPr>
      <w:r>
        <w:br w:type="column"/>
      </w:r>
      <w:r>
        <w:rPr>
          <w:spacing w:val="3"/>
          <w:w w:val="105"/>
        </w:rPr>
        <w:t>第五十六</w:t>
      </w:r>
      <w:r>
        <w:rPr>
          <w:w w:val="105"/>
        </w:rPr>
        <w:t>条</w:t>
      </w:r>
      <w:r>
        <w:rPr>
          <w:w w:val="105"/>
        </w:rPr>
        <w:tab/>
      </w:r>
      <w:r>
        <w:rPr>
          <w:spacing w:val="3"/>
        </w:rPr>
        <w:t>本规定由国家质检总</w:t>
      </w:r>
      <w:r>
        <w:t>局</w:t>
      </w:r>
      <w:r>
        <w:rPr>
          <w:spacing w:val="3"/>
          <w:w w:val="105"/>
        </w:rPr>
        <w:t>负责解释</w:t>
      </w:r>
      <w:r>
        <w:rPr>
          <w:rFonts w:hint="eastAsia" w:ascii="MS UI Gothic" w:eastAsia="MS UI Gothic"/>
          <w:w w:val="80"/>
        </w:rPr>
        <w:t>ꎮ</w:t>
      </w:r>
    </w:p>
    <w:p>
      <w:pPr>
        <w:pStyle w:val="6"/>
        <w:tabs>
          <w:tab w:val="left" w:pos="1832"/>
        </w:tabs>
        <w:spacing w:line="295" w:lineRule="auto"/>
        <w:ind w:left="280" w:right="442" w:firstLine="263"/>
        <w:jc w:val="left"/>
        <w:rPr>
          <w:rFonts w:hint="eastAsia" w:ascii="MS UI Gothic" w:eastAsia="MS UI Gothic"/>
        </w:rPr>
      </w:pPr>
      <w:r>
        <w:pict>
          <v:shape id="_x0000_s1653" o:spid="_x0000_s1653" o:spt="202" type="#_x0000_t202" style="position:absolute;left:0pt;margin-left:264.5pt;margin-top:12pt;height:24.35pt;width:5.15pt;mso-position-horizontal-relative:page;z-index:25191014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spacing w:val="3"/>
          <w:w w:val="95"/>
        </w:rPr>
        <w:t>第五十</w:t>
      </w:r>
      <w:r>
        <w:rPr>
          <w:spacing w:val="11"/>
          <w:w w:val="95"/>
        </w:rPr>
        <w:t>七</w:t>
      </w:r>
      <w:r>
        <w:rPr>
          <w:w w:val="95"/>
        </w:rPr>
        <w:t>条</w:t>
      </w:r>
      <w:r>
        <w:rPr>
          <w:w w:val="95"/>
        </w:rPr>
        <w:tab/>
      </w:r>
      <w:r>
        <w:rPr>
          <w:spacing w:val="13"/>
          <w:w w:val="95"/>
        </w:rPr>
        <w:t>本规定</w:t>
      </w:r>
      <w:r>
        <w:rPr>
          <w:w w:val="95"/>
        </w:rPr>
        <w:t>自</w:t>
      </w:r>
      <w:r>
        <w:rPr>
          <w:spacing w:val="-40"/>
          <w:w w:val="95"/>
        </w:rPr>
        <w:t xml:space="preserve"> </w:t>
      </w:r>
      <w:r>
        <w:rPr>
          <w:rFonts w:hint="eastAsia" w:ascii="MS UI Gothic" w:eastAsia="MS UI Gothic"/>
          <w:w w:val="95"/>
        </w:rPr>
        <w:t>２００３</w:t>
      </w:r>
      <w:r>
        <w:rPr>
          <w:rFonts w:hint="eastAsia" w:ascii="MS UI Gothic" w:eastAsia="MS UI Gothic"/>
          <w:spacing w:val="4"/>
          <w:w w:val="95"/>
        </w:rPr>
        <w:t xml:space="preserve"> </w:t>
      </w:r>
      <w:r>
        <w:rPr>
          <w:w w:val="95"/>
        </w:rPr>
        <w:t>年</w:t>
      </w:r>
      <w:r>
        <w:rPr>
          <w:spacing w:val="-40"/>
          <w:w w:val="95"/>
        </w:rPr>
        <w:t xml:space="preserve"> </w:t>
      </w:r>
      <w:r>
        <w:rPr>
          <w:rFonts w:hint="eastAsia" w:ascii="MS UI Gothic" w:eastAsia="MS UI Gothic"/>
          <w:w w:val="95"/>
        </w:rPr>
        <w:t>６</w:t>
      </w:r>
      <w:r>
        <w:rPr>
          <w:rFonts w:hint="eastAsia" w:ascii="MS UI Gothic" w:eastAsia="MS UI Gothic"/>
          <w:spacing w:val="4"/>
          <w:w w:val="95"/>
        </w:rPr>
        <w:t xml:space="preserve"> </w:t>
      </w:r>
      <w:r>
        <w:rPr>
          <w:spacing w:val="-14"/>
          <w:w w:val="95"/>
        </w:rPr>
        <w:t>月</w:t>
      </w:r>
      <w:r>
        <w:rPr>
          <w:spacing w:val="3"/>
          <w:w w:val="95"/>
        </w:rPr>
        <w:t>日起施行</w:t>
      </w:r>
      <w:r>
        <w:rPr>
          <w:rFonts w:hint="eastAsia" w:ascii="MS UI Gothic" w:eastAsia="MS UI Gothic"/>
          <w:w w:val="9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ind w:left="0" w:firstLine="0"/>
        <w:jc w:val="left"/>
        <w:rPr>
          <w:rFonts w:ascii="MS UI Gothic"/>
          <w:sz w:val="8"/>
        </w:rPr>
      </w:pPr>
    </w:p>
    <w:p>
      <w:pPr>
        <w:pStyle w:val="4"/>
        <w:spacing w:before="195"/>
        <w:ind w:right="654"/>
        <w:rPr>
          <w:rFonts w:hint="eastAsia" w:ascii="Microsoft Yi Baiti" w:eastAsia="Microsoft Yi Baiti"/>
        </w:rPr>
      </w:pPr>
      <w:r>
        <w:t xml:space="preserve">中华人民共和国矿产资源法 </w:t>
      </w:r>
      <w:r>
        <w:rPr>
          <w:rFonts w:hint="eastAsia" w:ascii="Microsoft Yi Baiti" w:eastAsia="Microsoft Yi Baiti"/>
        </w:rPr>
        <w:t>(</w:t>
      </w:r>
      <w:r>
        <w:rPr>
          <w:rFonts w:hint="eastAsia" w:ascii="MS UI Gothic" w:eastAsia="MS UI Gothic"/>
        </w:rPr>
        <w:t xml:space="preserve">２００９ </w:t>
      </w:r>
      <w:r>
        <w:t>年修正</w:t>
      </w:r>
      <w:r>
        <w:rPr>
          <w:rFonts w:hint="eastAsia" w:ascii="Microsoft Yi Baiti" w:eastAsia="Microsoft Yi Baiti"/>
        </w:rPr>
        <w:t>)</w:t>
      </w:r>
    </w:p>
    <w:p>
      <w:pPr>
        <w:pStyle w:val="6"/>
        <w:spacing w:before="366" w:line="295" w:lineRule="auto"/>
        <w:ind w:left="588" w:right="442" w:hanging="45"/>
        <w:jc w:val="left"/>
      </w:pPr>
      <w:r>
        <w:pict>
          <v:shape id="_x0000_s1654" o:spid="_x0000_s1654" o:spt="202" type="#_x0000_t202" style="position:absolute;left:0pt;margin-left:54.9pt;margin-top:30.3pt;height:24.35pt;width:20.6pt;mso-position-horizontal-relative:page;z-index:-27585228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１９９６</w:t>
                  </w:r>
                </w:p>
              </w:txbxContent>
            </v:textbox>
          </v:shape>
        </w:pict>
      </w:r>
      <w:r>
        <w:rPr>
          <w:rFonts w:hint="eastAsia" w:ascii="Microsoft Yi Baiti" w:hAnsi="Microsoft Yi Baiti" w:eastAsia="Microsoft Yi Baiti"/>
          <w:spacing w:val="2"/>
        </w:rPr>
        <w:t>(</w:t>
      </w:r>
      <w:r>
        <w:rPr>
          <w:rFonts w:hint="eastAsia" w:ascii="MS UI Gothic" w:hAnsi="MS UI Gothic" w:eastAsia="MS UI Gothic"/>
          <w:spacing w:val="-1"/>
        </w:rPr>
        <w:t xml:space="preserve">１９８６ </w:t>
      </w:r>
      <w:r>
        <w:rPr>
          <w:spacing w:val="-29"/>
        </w:rPr>
        <w:t xml:space="preserve">年 </w:t>
      </w:r>
      <w:r>
        <w:rPr>
          <w:rFonts w:hint="eastAsia" w:ascii="MS UI Gothic" w:hAnsi="MS UI Gothic" w:eastAsia="MS UI Gothic"/>
          <w:spacing w:val="-7"/>
        </w:rPr>
        <w:t xml:space="preserve">３ </w:t>
      </w:r>
      <w:r>
        <w:rPr>
          <w:spacing w:val="-29"/>
        </w:rPr>
        <w:t xml:space="preserve">月 </w:t>
      </w:r>
      <w:r>
        <w:rPr>
          <w:rFonts w:hint="eastAsia" w:ascii="MS UI Gothic" w:hAnsi="MS UI Gothic" w:eastAsia="MS UI Gothic"/>
          <w:spacing w:val="-5"/>
        </w:rPr>
        <w:t xml:space="preserve">１９ </w:t>
      </w:r>
      <w:r>
        <w:rPr>
          <w:spacing w:val="7"/>
        </w:rPr>
        <w:t>日第六届全国人民代表大会常务委员会第十五次会议通过 根据</w:t>
      </w:r>
      <w:r>
        <w:rPr>
          <w:spacing w:val="-17"/>
        </w:rPr>
        <w:t xml:space="preserve">年 </w:t>
      </w:r>
      <w:r>
        <w:rPr>
          <w:rFonts w:hint="eastAsia" w:ascii="MS UI Gothic" w:hAnsi="MS UI Gothic" w:eastAsia="MS UI Gothic"/>
          <w:spacing w:val="4"/>
        </w:rPr>
        <w:t xml:space="preserve">８ </w:t>
      </w:r>
      <w:r>
        <w:rPr>
          <w:spacing w:val="-20"/>
        </w:rPr>
        <w:t xml:space="preserve">月 </w:t>
      </w:r>
      <w:r>
        <w:rPr>
          <w:rFonts w:hint="eastAsia" w:ascii="MS UI Gothic" w:hAnsi="MS UI Gothic" w:eastAsia="MS UI Gothic"/>
          <w:spacing w:val="2"/>
        </w:rPr>
        <w:t xml:space="preserve">２９ </w:t>
      </w:r>
      <w:r>
        <w:rPr>
          <w:spacing w:val="3"/>
        </w:rPr>
        <w:t xml:space="preserve">日第八届全国人民代表大会常务委员会第二十一次会议 </w:t>
      </w:r>
      <w:r>
        <w:rPr>
          <w:rFonts w:hint="eastAsia" w:ascii="Microsoft Yi Baiti" w:hAnsi="Microsoft Yi Baiti" w:eastAsia="Microsoft Yi Baiti"/>
          <w:spacing w:val="-34"/>
          <w:w w:val="110"/>
        </w:rPr>
        <w:t xml:space="preserve">« </w:t>
      </w:r>
      <w:r>
        <w:rPr>
          <w:spacing w:val="10"/>
        </w:rPr>
        <w:t xml:space="preserve">关于修改 </w:t>
      </w:r>
      <w:r>
        <w:rPr>
          <w:rFonts w:hint="eastAsia" w:ascii="Microsoft Yi Baiti" w:hAnsi="Microsoft Yi Baiti" w:eastAsia="Microsoft Yi Baiti"/>
          <w:spacing w:val="-69"/>
          <w:w w:val="190"/>
        </w:rPr>
        <w:t xml:space="preserve">‹ </w:t>
      </w:r>
      <w:r>
        <w:t>中</w:t>
      </w:r>
    </w:p>
    <w:p>
      <w:pPr>
        <w:pStyle w:val="6"/>
        <w:spacing w:line="295" w:lineRule="auto"/>
        <w:ind w:right="442" w:firstLine="0"/>
        <w:rPr>
          <w:rFonts w:hint="eastAsia" w:ascii="Microsoft Yi Baiti" w:hAnsi="Microsoft Yi Baiti" w:eastAsia="Microsoft Yi Baiti"/>
        </w:rPr>
      </w:pPr>
      <w:r>
        <w:rPr>
          <w:spacing w:val="3"/>
          <w:w w:val="105"/>
        </w:rPr>
        <w:t>华人民共和国矿产资源法</w:t>
      </w:r>
      <w:r>
        <w:rPr>
          <w:rFonts w:hint="eastAsia" w:ascii="Microsoft Yi Baiti" w:hAnsi="Microsoft Yi Baiti" w:eastAsia="Microsoft Yi Baiti"/>
          <w:spacing w:val="-5"/>
          <w:w w:val="105"/>
        </w:rPr>
        <w:t xml:space="preserve">› </w:t>
      </w:r>
      <w:r>
        <w:rPr>
          <w:spacing w:val="3"/>
          <w:w w:val="105"/>
        </w:rPr>
        <w:t>的决定</w:t>
      </w:r>
      <w:r>
        <w:rPr>
          <w:rFonts w:hint="eastAsia" w:ascii="Microsoft Yi Baiti" w:hAnsi="Microsoft Yi Baiti" w:eastAsia="Microsoft Yi Baiti"/>
          <w:spacing w:val="-4"/>
          <w:w w:val="105"/>
        </w:rPr>
        <w:t xml:space="preserve">» </w:t>
      </w:r>
      <w:r>
        <w:rPr>
          <w:spacing w:val="-18"/>
          <w:w w:val="105"/>
        </w:rPr>
        <w:t xml:space="preserve">修正 根据 </w:t>
      </w:r>
      <w:r>
        <w:rPr>
          <w:rFonts w:hint="eastAsia" w:ascii="MS UI Gothic" w:hAnsi="MS UI Gothic" w:eastAsia="MS UI Gothic"/>
          <w:spacing w:val="-3"/>
          <w:w w:val="95"/>
        </w:rPr>
        <w:t xml:space="preserve">２００９ </w:t>
      </w:r>
      <w:r>
        <w:rPr>
          <w:spacing w:val="-33"/>
          <w:w w:val="105"/>
        </w:rPr>
        <w:t xml:space="preserve">年 </w:t>
      </w:r>
      <w:r>
        <w:rPr>
          <w:rFonts w:hint="eastAsia" w:ascii="MS UI Gothic" w:hAnsi="MS UI Gothic" w:eastAsia="MS UI Gothic"/>
          <w:spacing w:val="-7"/>
          <w:w w:val="95"/>
        </w:rPr>
        <w:t xml:space="preserve">８ </w:t>
      </w:r>
      <w:r>
        <w:rPr>
          <w:spacing w:val="-33"/>
          <w:w w:val="105"/>
        </w:rPr>
        <w:t xml:space="preserve">月 </w:t>
      </w:r>
      <w:r>
        <w:rPr>
          <w:rFonts w:hint="eastAsia" w:ascii="MS UI Gothic" w:hAnsi="MS UI Gothic" w:eastAsia="MS UI Gothic"/>
          <w:spacing w:val="-5"/>
          <w:w w:val="95"/>
        </w:rPr>
        <w:t xml:space="preserve">２７ </w:t>
      </w:r>
      <w:r>
        <w:rPr>
          <w:spacing w:val="8"/>
          <w:w w:val="105"/>
        </w:rPr>
        <w:t>日第十一届全国人民代</w:t>
      </w:r>
      <w:r>
        <w:rPr>
          <w:spacing w:val="5"/>
        </w:rPr>
        <w:t xml:space="preserve">表大会常务委员会第十次会议通过的 </w:t>
      </w:r>
      <w:r>
        <w:rPr>
          <w:rFonts w:hint="eastAsia" w:ascii="Microsoft Yi Baiti" w:hAnsi="Microsoft Yi Baiti" w:eastAsia="Microsoft Yi Baiti"/>
          <w:spacing w:val="-13"/>
        </w:rPr>
        <w:t xml:space="preserve">« </w:t>
      </w:r>
      <w:r>
        <w:rPr>
          <w:spacing w:val="10"/>
        </w:rPr>
        <w:t>全国人民代表大会常务委员会关于修改部分法</w:t>
      </w:r>
      <w:r>
        <w:rPr>
          <w:spacing w:val="3"/>
          <w:w w:val="110"/>
        </w:rPr>
        <w:t>律的决定</w:t>
      </w:r>
      <w:r>
        <w:rPr>
          <w:rFonts w:hint="eastAsia" w:ascii="Microsoft Yi Baiti" w:hAnsi="Microsoft Yi Baiti" w:eastAsia="Microsoft Yi Baiti"/>
          <w:spacing w:val="13"/>
          <w:w w:val="110"/>
        </w:rPr>
        <w:t xml:space="preserve">» </w:t>
      </w:r>
      <w:r>
        <w:rPr>
          <w:spacing w:val="3"/>
          <w:w w:val="110"/>
        </w:rPr>
        <w:t>修正</w:t>
      </w:r>
      <w:r>
        <w:rPr>
          <w:rFonts w:hint="eastAsia" w:ascii="Microsoft Yi Baiti" w:hAnsi="Microsoft Yi Baiti" w:eastAsia="Microsoft Yi Baiti"/>
          <w:w w:val="110"/>
        </w:rPr>
        <w:t>)</w:t>
      </w:r>
    </w:p>
    <w:p>
      <w:pPr>
        <w:pStyle w:val="6"/>
        <w:spacing w:before="3"/>
        <w:ind w:left="0" w:firstLine="0"/>
        <w:jc w:val="left"/>
        <w:rPr>
          <w:rFonts w:ascii="Microsoft Yi Baiti"/>
          <w:sz w:val="13"/>
        </w:rPr>
      </w:pPr>
    </w:p>
    <w:p>
      <w:pPr>
        <w:spacing w:after="0"/>
        <w:jc w:val="left"/>
        <w:rPr>
          <w:rFonts w:ascii="Microsoft Yi Baiti"/>
          <w:sz w:val="13"/>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0" w:lineRule="auto"/>
        <w:ind w:right="38"/>
        <w:rPr>
          <w:rFonts w:hint="eastAsia" w:ascii="MS UI Gothic" w:eastAsia="MS UI Gothic"/>
        </w:rPr>
      </w:pPr>
      <w:r>
        <w:t>第一条 为了发展矿业</w:t>
      </w:r>
      <w:r>
        <w:rPr>
          <w:rFonts w:hint="eastAsia" w:ascii="MS UI Gothic" w:eastAsia="MS UI Gothic"/>
          <w:w w:val="80"/>
        </w:rPr>
        <w:t xml:space="preserve">ꎬ </w:t>
      </w:r>
      <w:r>
        <w:t>加强矿产资源的勘查</w:t>
      </w:r>
      <w:r>
        <w:rPr>
          <w:rFonts w:hint="eastAsia" w:ascii="MS UI Gothic" w:eastAsia="MS UI Gothic"/>
          <w:w w:val="80"/>
        </w:rPr>
        <w:t xml:space="preserve">、 </w:t>
      </w:r>
      <w:r>
        <w:t>开发利用和保护工作</w:t>
      </w:r>
      <w:r>
        <w:rPr>
          <w:rFonts w:hint="eastAsia" w:ascii="MS UI Gothic" w:eastAsia="MS UI Gothic"/>
          <w:w w:val="80"/>
        </w:rPr>
        <w:t xml:space="preserve">ꎬ </w:t>
      </w:r>
      <w:r>
        <w:t>保障社会主义现代化建设的当前和长远的需要</w:t>
      </w:r>
      <w:r>
        <w:rPr>
          <w:rFonts w:hint="eastAsia" w:ascii="MS UI Gothic" w:eastAsia="MS UI Gothic"/>
          <w:w w:val="80"/>
        </w:rPr>
        <w:t>ꎬ</w:t>
      </w:r>
      <w:r>
        <w:t>根据中华人民共和国宪法</w:t>
      </w:r>
      <w:r>
        <w:rPr>
          <w:rFonts w:hint="eastAsia" w:ascii="MS UI Gothic" w:eastAsia="MS UI Gothic"/>
          <w:w w:val="80"/>
        </w:rPr>
        <w:t xml:space="preserve">ꎬ </w:t>
      </w:r>
      <w:r>
        <w:t>特制定本法</w:t>
      </w:r>
      <w:r>
        <w:rPr>
          <w:rFonts w:hint="eastAsia" w:ascii="MS UI Gothic" w:eastAsia="MS UI Gothic"/>
          <w:w w:val="80"/>
        </w:rPr>
        <w:t>ꎮ</w:t>
      </w:r>
    </w:p>
    <w:p>
      <w:pPr>
        <w:pStyle w:val="6"/>
        <w:spacing w:before="4" w:line="292" w:lineRule="auto"/>
        <w:ind w:right="39"/>
        <w:rPr>
          <w:rFonts w:hint="eastAsia" w:ascii="MS UI Gothic" w:eastAsia="MS UI Gothic"/>
        </w:rPr>
      </w:pPr>
      <w:r>
        <w:t>第二条 在中华人民共和国领域及管辖海域勘查</w:t>
      </w:r>
      <w:r>
        <w:rPr>
          <w:rFonts w:hint="eastAsia" w:ascii="MS UI Gothic" w:eastAsia="MS UI Gothic"/>
          <w:w w:val="80"/>
        </w:rPr>
        <w:t xml:space="preserve">、 </w:t>
      </w:r>
      <w:r>
        <w:t>开采矿产资源</w:t>
      </w:r>
      <w:r>
        <w:rPr>
          <w:rFonts w:hint="eastAsia" w:ascii="MS UI Gothic" w:eastAsia="MS UI Gothic"/>
          <w:w w:val="80"/>
        </w:rPr>
        <w:t xml:space="preserve">ꎬ </w:t>
      </w:r>
      <w:r>
        <w:t>必须遵守本法</w:t>
      </w:r>
      <w:r>
        <w:rPr>
          <w:rFonts w:hint="eastAsia" w:ascii="MS UI Gothic" w:eastAsia="MS UI Gothic"/>
          <w:w w:val="80"/>
        </w:rPr>
        <w:t>ꎮ</w:t>
      </w:r>
    </w:p>
    <w:p>
      <w:pPr>
        <w:pStyle w:val="6"/>
        <w:spacing w:line="292" w:lineRule="auto"/>
        <w:ind w:right="39"/>
        <w:rPr>
          <w:rFonts w:hint="eastAsia" w:ascii="MS UI Gothic" w:eastAsia="MS UI Gothic"/>
        </w:rPr>
      </w:pPr>
      <w:r>
        <w:t>第三条 矿产资源属于国家所有</w:t>
      </w:r>
      <w:r>
        <w:rPr>
          <w:rFonts w:hint="eastAsia" w:ascii="MS UI Gothic" w:eastAsia="MS UI Gothic"/>
          <w:w w:val="80"/>
        </w:rPr>
        <w:t xml:space="preserve">ꎬ </w:t>
      </w:r>
      <w:r>
        <w:t>由国务院行使国家对矿产资源的所有权</w:t>
      </w:r>
      <w:r>
        <w:rPr>
          <w:rFonts w:hint="eastAsia" w:ascii="MS UI Gothic" w:eastAsia="MS UI Gothic"/>
          <w:w w:val="80"/>
        </w:rPr>
        <w:t xml:space="preserve">ꎮ </w:t>
      </w:r>
      <w:r>
        <w:t>地表或者地下的矿产资源的国家所有权</w:t>
      </w:r>
      <w:r>
        <w:rPr>
          <w:rFonts w:hint="eastAsia" w:ascii="MS UI Gothic" w:eastAsia="MS UI Gothic"/>
          <w:w w:val="80"/>
        </w:rPr>
        <w:t xml:space="preserve">ꎬ </w:t>
      </w:r>
      <w:r>
        <w:t>不因其所依附的土地的所有权或者使用权的不同而改变</w:t>
      </w:r>
      <w:r>
        <w:rPr>
          <w:rFonts w:hint="eastAsia" w:ascii="MS UI Gothic" w:eastAsia="MS UI Gothic"/>
          <w:w w:val="80"/>
        </w:rPr>
        <w:t>ꎮ</w:t>
      </w:r>
    </w:p>
    <w:p>
      <w:pPr>
        <w:pStyle w:val="6"/>
        <w:spacing w:line="292" w:lineRule="auto"/>
        <w:ind w:right="38"/>
        <w:rPr>
          <w:rFonts w:hint="eastAsia" w:ascii="MS UI Gothic" w:eastAsia="MS UI Gothic"/>
        </w:rPr>
      </w:pPr>
      <w:r>
        <w:t>国家保障矿产资源的合理开发利用</w:t>
      </w:r>
      <w:r>
        <w:rPr>
          <w:rFonts w:hint="eastAsia" w:ascii="MS UI Gothic" w:eastAsia="MS UI Gothic"/>
          <w:w w:val="80"/>
        </w:rPr>
        <w:t>ꎮ</w:t>
      </w:r>
      <w:r>
        <w:t>禁止任何组织或者个人用任何手段侵占或者破坏矿产资源</w:t>
      </w:r>
      <w:r>
        <w:rPr>
          <w:rFonts w:hint="eastAsia" w:ascii="MS UI Gothic" w:eastAsia="MS UI Gothic"/>
          <w:w w:val="80"/>
        </w:rPr>
        <w:t xml:space="preserve">ꎮ </w:t>
      </w:r>
      <w:r>
        <w:t>各级人民政府必须加强</w:t>
      </w:r>
      <w:r>
        <w:rPr>
          <w:w w:val="105"/>
        </w:rPr>
        <w:t>矿产资源的保护工作</w:t>
      </w:r>
      <w:r>
        <w:rPr>
          <w:rFonts w:hint="eastAsia" w:ascii="MS UI Gothic" w:eastAsia="MS UI Gothic"/>
          <w:w w:val="80"/>
        </w:rPr>
        <w:t>ꎮ</w:t>
      </w:r>
    </w:p>
    <w:p>
      <w:pPr>
        <w:pStyle w:val="6"/>
        <w:spacing w:line="292" w:lineRule="auto"/>
        <w:ind w:right="39"/>
        <w:rPr>
          <w:rFonts w:hint="eastAsia" w:ascii="MS UI Gothic" w:eastAsia="MS UI Gothic"/>
        </w:rPr>
      </w:pPr>
      <w:r>
        <w:t>勘查</w:t>
      </w:r>
      <w:r>
        <w:rPr>
          <w:rFonts w:hint="eastAsia" w:ascii="MS UI Gothic" w:eastAsia="MS UI Gothic"/>
          <w:w w:val="80"/>
        </w:rPr>
        <w:t xml:space="preserve">、 </w:t>
      </w:r>
      <w:r>
        <w:t>开采矿产资源</w:t>
      </w:r>
      <w:r>
        <w:rPr>
          <w:rFonts w:hint="eastAsia" w:ascii="MS UI Gothic" w:eastAsia="MS UI Gothic"/>
          <w:w w:val="80"/>
        </w:rPr>
        <w:t xml:space="preserve">ꎬ </w:t>
      </w:r>
      <w:r>
        <w:t>必须依法分别申请</w:t>
      </w:r>
      <w:r>
        <w:rPr>
          <w:rFonts w:hint="eastAsia" w:ascii="MS UI Gothic" w:eastAsia="MS UI Gothic"/>
          <w:w w:val="80"/>
        </w:rPr>
        <w:t xml:space="preserve">、 </w:t>
      </w:r>
      <w:r>
        <w:t>经批准取得探矿权</w:t>
      </w:r>
      <w:r>
        <w:rPr>
          <w:rFonts w:hint="eastAsia" w:ascii="MS UI Gothic" w:eastAsia="MS UI Gothic"/>
          <w:w w:val="80"/>
        </w:rPr>
        <w:t xml:space="preserve">、 </w:t>
      </w:r>
      <w:r>
        <w:t>采矿权</w:t>
      </w:r>
      <w:r>
        <w:rPr>
          <w:rFonts w:hint="eastAsia" w:ascii="MS UI Gothic" w:eastAsia="MS UI Gothic"/>
          <w:w w:val="80"/>
        </w:rPr>
        <w:t xml:space="preserve">ꎬ </w:t>
      </w:r>
      <w:r>
        <w:t>并办理登记</w:t>
      </w:r>
      <w:r>
        <w:rPr>
          <w:rFonts w:hint="eastAsia" w:ascii="MS UI Gothic" w:eastAsia="MS UI Gothic"/>
          <w:w w:val="80"/>
        </w:rPr>
        <w:t xml:space="preserve">ꎻ </w:t>
      </w:r>
      <w:r>
        <w:t>但是</w:t>
      </w:r>
      <w:r>
        <w:rPr>
          <w:rFonts w:hint="eastAsia" w:ascii="MS UI Gothic" w:eastAsia="MS UI Gothic"/>
          <w:w w:val="80"/>
        </w:rPr>
        <w:t xml:space="preserve">ꎬ </w:t>
      </w:r>
      <w:r>
        <w:t>已经依法申请取得采矿权的矿山企业在划定的矿区范围内为本企业的生产而进行的勘查除外</w:t>
      </w:r>
      <w:r>
        <w:rPr>
          <w:rFonts w:hint="eastAsia" w:ascii="MS UI Gothic" w:eastAsia="MS UI Gothic"/>
          <w:w w:val="80"/>
        </w:rPr>
        <w:t xml:space="preserve">ꎮ </w:t>
      </w:r>
      <w:r>
        <w:t>国家保护探矿权和采矿权不受侵犯</w:t>
      </w:r>
      <w:r>
        <w:rPr>
          <w:rFonts w:hint="eastAsia" w:ascii="MS UI Gothic" w:eastAsia="MS UI Gothic"/>
          <w:w w:val="80"/>
        </w:rPr>
        <w:t xml:space="preserve">ꎬ </w:t>
      </w:r>
      <w:r>
        <w:t>保障矿区和勘查作业区的生产秩序</w:t>
      </w:r>
      <w:r>
        <w:rPr>
          <w:rFonts w:hint="eastAsia" w:ascii="MS UI Gothic" w:eastAsia="MS UI Gothic"/>
          <w:w w:val="80"/>
        </w:rPr>
        <w:t xml:space="preserve">、 </w:t>
      </w:r>
      <w:r>
        <w:t>工作秩序不受影响和破坏</w:t>
      </w:r>
      <w:r>
        <w:rPr>
          <w:rFonts w:hint="eastAsia" w:ascii="MS UI Gothic" w:eastAsia="MS UI Gothic"/>
          <w:w w:val="80"/>
        </w:rPr>
        <w:t>ꎮ</w:t>
      </w:r>
    </w:p>
    <w:p>
      <w:pPr>
        <w:pStyle w:val="6"/>
        <w:spacing w:before="174" w:line="292" w:lineRule="auto"/>
        <w:ind w:right="442"/>
        <w:rPr>
          <w:rFonts w:hint="eastAsia" w:ascii="MS UI Gothic" w:eastAsia="MS UI Gothic"/>
        </w:rPr>
      </w:pPr>
      <w:r>
        <w:br w:type="column"/>
      </w:r>
      <w:r>
        <w:t>从事矿产资源勘查和开采的</w:t>
      </w:r>
      <w:r>
        <w:rPr>
          <w:rFonts w:hint="eastAsia" w:ascii="MS UI Gothic" w:eastAsia="MS UI Gothic"/>
          <w:w w:val="80"/>
        </w:rPr>
        <w:t xml:space="preserve">ꎬ </w:t>
      </w:r>
      <w:r>
        <w:t>必须符合规定的资质条件</w:t>
      </w:r>
      <w:r>
        <w:rPr>
          <w:rFonts w:hint="eastAsia" w:ascii="MS UI Gothic" w:eastAsia="MS UI Gothic"/>
          <w:w w:val="80"/>
        </w:rPr>
        <w:t>ꎮ</w:t>
      </w:r>
    </w:p>
    <w:p>
      <w:pPr>
        <w:pStyle w:val="6"/>
        <w:spacing w:line="290" w:lineRule="auto"/>
        <w:ind w:right="442"/>
        <w:rPr>
          <w:rFonts w:hint="eastAsia" w:ascii="MS UI Gothic" w:eastAsia="MS UI Gothic"/>
        </w:rPr>
      </w:pPr>
      <w:r>
        <w:rPr>
          <w:w w:val="105"/>
        </w:rPr>
        <w:t>第四条 国家保障依法设立的矿山企业开采矿产资源的合法权益</w:t>
      </w:r>
      <w:r>
        <w:rPr>
          <w:rFonts w:hint="eastAsia" w:ascii="MS UI Gothic" w:eastAsia="MS UI Gothic"/>
          <w:w w:val="80"/>
        </w:rPr>
        <w:t>ꎮ</w:t>
      </w:r>
    </w:p>
    <w:p>
      <w:pPr>
        <w:pStyle w:val="6"/>
        <w:spacing w:before="3" w:line="292" w:lineRule="auto"/>
        <w:ind w:right="442"/>
        <w:rPr>
          <w:rFonts w:hint="eastAsia" w:ascii="MS UI Gothic" w:eastAsia="MS UI Gothic"/>
        </w:rPr>
      </w:pPr>
      <w:r>
        <w:t>国有矿山企业是开采矿产资源的主体</w:t>
      </w:r>
      <w:r>
        <w:rPr>
          <w:rFonts w:hint="eastAsia" w:ascii="MS UI Gothic" w:eastAsia="MS UI Gothic"/>
          <w:w w:val="80"/>
        </w:rPr>
        <w:t xml:space="preserve">ꎮ </w:t>
      </w:r>
      <w:r>
        <w:t>国家保障国有矿业经济的巩固和发展</w:t>
      </w:r>
      <w:r>
        <w:rPr>
          <w:rFonts w:hint="eastAsia" w:ascii="MS UI Gothic" w:eastAsia="MS UI Gothic"/>
          <w:w w:val="80"/>
        </w:rPr>
        <w:t>ꎮ</w:t>
      </w:r>
    </w:p>
    <w:p>
      <w:pPr>
        <w:pStyle w:val="6"/>
        <w:spacing w:line="292" w:lineRule="auto"/>
        <w:ind w:right="442"/>
        <w:rPr>
          <w:rFonts w:hint="eastAsia" w:ascii="MS UI Gothic" w:eastAsia="MS UI Gothic"/>
        </w:rPr>
      </w:pPr>
      <w:r>
        <w:t>第五条 国家实行探矿权</w:t>
      </w:r>
      <w:r>
        <w:rPr>
          <w:rFonts w:hint="eastAsia" w:ascii="MS UI Gothic" w:eastAsia="MS UI Gothic"/>
          <w:w w:val="80"/>
        </w:rPr>
        <w:t xml:space="preserve">、 </w:t>
      </w:r>
      <w:r>
        <w:t>采矿权有偿取得的制度</w:t>
      </w:r>
      <w:r>
        <w:rPr>
          <w:rFonts w:hint="eastAsia" w:ascii="MS UI Gothic" w:eastAsia="MS UI Gothic"/>
          <w:w w:val="80"/>
        </w:rPr>
        <w:t xml:space="preserve">ꎻ </w:t>
      </w:r>
      <w:r>
        <w:t>但是</w:t>
      </w:r>
      <w:r>
        <w:rPr>
          <w:rFonts w:hint="eastAsia" w:ascii="MS UI Gothic" w:eastAsia="MS UI Gothic"/>
          <w:w w:val="80"/>
        </w:rPr>
        <w:t xml:space="preserve">ꎬ </w:t>
      </w:r>
      <w:r>
        <w:t>国家对探矿权</w:t>
      </w:r>
      <w:r>
        <w:rPr>
          <w:rFonts w:hint="eastAsia" w:ascii="MS UI Gothic" w:eastAsia="MS UI Gothic"/>
          <w:w w:val="80"/>
        </w:rPr>
        <w:t xml:space="preserve">、 </w:t>
      </w:r>
      <w:r>
        <w:t>采矿权有偿取得的费用</w:t>
      </w:r>
      <w:r>
        <w:rPr>
          <w:rFonts w:hint="eastAsia" w:ascii="MS UI Gothic" w:eastAsia="MS UI Gothic"/>
          <w:w w:val="80"/>
        </w:rPr>
        <w:t xml:space="preserve">ꎬ </w:t>
      </w:r>
      <w:r>
        <w:t>可以根据不同情况规定予以减缴</w:t>
      </w:r>
      <w:r>
        <w:rPr>
          <w:rFonts w:hint="eastAsia" w:ascii="MS UI Gothic" w:eastAsia="MS UI Gothic"/>
          <w:w w:val="80"/>
        </w:rPr>
        <w:t xml:space="preserve">、 </w:t>
      </w:r>
      <w:r>
        <w:t>免缴</w:t>
      </w:r>
      <w:r>
        <w:rPr>
          <w:rFonts w:hint="eastAsia" w:ascii="MS UI Gothic" w:eastAsia="MS UI Gothic"/>
          <w:w w:val="80"/>
        </w:rPr>
        <w:t xml:space="preserve">ꎮ </w:t>
      </w:r>
      <w:r>
        <w:t>具体办法和实施步骤由国务院规定</w:t>
      </w:r>
      <w:r>
        <w:rPr>
          <w:rFonts w:hint="eastAsia" w:ascii="MS UI Gothic" w:eastAsia="MS UI Gothic"/>
          <w:w w:val="80"/>
        </w:rPr>
        <w:t>ꎮ</w:t>
      </w:r>
    </w:p>
    <w:p>
      <w:pPr>
        <w:pStyle w:val="6"/>
        <w:spacing w:line="292" w:lineRule="auto"/>
        <w:ind w:right="442"/>
        <w:rPr>
          <w:rFonts w:hint="eastAsia" w:ascii="MS UI Gothic" w:eastAsia="MS UI Gothic"/>
        </w:rPr>
      </w:pPr>
      <w:r>
        <w:t>开采矿产资源</w:t>
      </w:r>
      <w:r>
        <w:rPr>
          <w:rFonts w:hint="eastAsia" w:ascii="MS UI Gothic" w:eastAsia="MS UI Gothic"/>
          <w:w w:val="80"/>
        </w:rPr>
        <w:t xml:space="preserve">ꎬ </w:t>
      </w:r>
      <w:r>
        <w:t>必须按照国家有关规定缴纳资源税和资源补偿费</w:t>
      </w:r>
      <w:r>
        <w:rPr>
          <w:rFonts w:hint="eastAsia" w:ascii="MS UI Gothic" w:eastAsia="MS UI Gothic"/>
          <w:w w:val="80"/>
        </w:rPr>
        <w:t>ꎮ</w:t>
      </w:r>
    </w:p>
    <w:p>
      <w:pPr>
        <w:pStyle w:val="6"/>
        <w:spacing w:line="290" w:lineRule="auto"/>
        <w:ind w:right="440"/>
        <w:rPr>
          <w:rFonts w:hint="eastAsia" w:ascii="MS UI Gothic" w:eastAsia="MS UI Gothic"/>
        </w:rPr>
      </w:pPr>
      <w:r>
        <w:rPr>
          <w:w w:val="105"/>
        </w:rPr>
        <w:t>第六条 除按下列规定可以转让外</w:t>
      </w:r>
      <w:r>
        <w:rPr>
          <w:rFonts w:hint="eastAsia" w:ascii="MS UI Gothic" w:eastAsia="MS UI Gothic"/>
          <w:w w:val="80"/>
        </w:rPr>
        <w:t>ꎬ</w:t>
      </w:r>
      <w:r>
        <w:rPr>
          <w:w w:val="110"/>
        </w:rPr>
        <w:t>探矿权</w:t>
      </w:r>
      <w:r>
        <w:rPr>
          <w:rFonts w:hint="eastAsia" w:ascii="MS UI Gothic" w:eastAsia="MS UI Gothic"/>
          <w:w w:val="80"/>
        </w:rPr>
        <w:t xml:space="preserve">、 </w:t>
      </w:r>
      <w:r>
        <w:rPr>
          <w:w w:val="110"/>
        </w:rPr>
        <w:t>采矿权不得转让</w:t>
      </w:r>
      <w:r>
        <w:rPr>
          <w:rFonts w:hint="eastAsia" w:ascii="MS UI Gothic" w:eastAsia="MS UI Gothic"/>
          <w:w w:val="235"/>
        </w:rPr>
        <w:t>:</w:t>
      </w:r>
    </w:p>
    <w:p>
      <w:pPr>
        <w:pStyle w:val="6"/>
        <w:spacing w:line="292"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探矿权人有权在划定的勘查作</w:t>
      </w:r>
      <w:r>
        <w:t>业区内进行规定的勘查作业</w:t>
      </w:r>
      <w:r>
        <w:rPr>
          <w:rFonts w:hint="eastAsia" w:ascii="MS UI Gothic" w:eastAsia="MS UI Gothic"/>
          <w:w w:val="80"/>
        </w:rPr>
        <w:t xml:space="preserve">ꎬ </w:t>
      </w:r>
      <w:r>
        <w:t>有权优先取得勘查作业区内矿产资源的采矿权</w:t>
      </w:r>
      <w:r>
        <w:rPr>
          <w:rFonts w:hint="eastAsia" w:ascii="MS UI Gothic" w:eastAsia="MS UI Gothic"/>
          <w:w w:val="80"/>
        </w:rPr>
        <w:t xml:space="preserve">ꎮ </w:t>
      </w:r>
      <w:r>
        <w:t>探矿权人在完成规定的最低勘查投入后</w:t>
      </w:r>
      <w:r>
        <w:rPr>
          <w:rFonts w:hint="eastAsia" w:ascii="MS UI Gothic" w:eastAsia="MS UI Gothic"/>
          <w:w w:val="80"/>
        </w:rPr>
        <w:t xml:space="preserve">ꎬ </w:t>
      </w:r>
      <w:r>
        <w:t>经依</w:t>
      </w:r>
      <w:r>
        <w:rPr>
          <w:w w:val="105"/>
        </w:rPr>
        <w:t>法批准</w:t>
      </w:r>
      <w:r>
        <w:rPr>
          <w:rFonts w:hint="eastAsia" w:ascii="MS UI Gothic" w:eastAsia="MS UI Gothic"/>
          <w:w w:val="80"/>
        </w:rPr>
        <w:t xml:space="preserve">ꎬ </w:t>
      </w:r>
      <w:r>
        <w:rPr>
          <w:w w:val="105"/>
        </w:rPr>
        <w:t>可以将探矿权转让他人</w:t>
      </w:r>
      <w:r>
        <w:rPr>
          <w:rFonts w:hint="eastAsia" w:ascii="MS UI Gothic" w:eastAsia="MS UI Gothic"/>
          <w:w w:val="80"/>
        </w:rPr>
        <w:t>ꎮ</w:t>
      </w:r>
    </w:p>
    <w:p>
      <w:pPr>
        <w:pStyle w:val="6"/>
        <w:spacing w:line="292" w:lineRule="auto"/>
        <w:ind w:right="442"/>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已取得采矿权的矿山企业</w:t>
      </w:r>
      <w:r>
        <w:rPr>
          <w:rFonts w:hint="eastAsia" w:ascii="MS UI Gothic" w:eastAsia="MS UI Gothic"/>
          <w:w w:val="80"/>
        </w:rPr>
        <w:t xml:space="preserve">ꎬ </w:t>
      </w:r>
      <w:r>
        <w:rPr>
          <w:w w:val="105"/>
        </w:rPr>
        <w:t>因企业合并</w:t>
      </w:r>
      <w:r>
        <w:rPr>
          <w:rFonts w:hint="eastAsia" w:ascii="MS UI Gothic" w:eastAsia="MS UI Gothic"/>
          <w:w w:val="80"/>
        </w:rPr>
        <w:t xml:space="preserve">、 </w:t>
      </w:r>
      <w:r>
        <w:rPr>
          <w:w w:val="105"/>
        </w:rPr>
        <w:t>分立</w:t>
      </w:r>
      <w:r>
        <w:rPr>
          <w:rFonts w:hint="eastAsia" w:ascii="MS UI Gothic" w:eastAsia="MS UI Gothic"/>
          <w:w w:val="80"/>
        </w:rPr>
        <w:t xml:space="preserve">ꎬ </w:t>
      </w:r>
      <w:r>
        <w:rPr>
          <w:w w:val="105"/>
        </w:rPr>
        <w:t>与他人合资</w:t>
      </w:r>
      <w:r>
        <w:rPr>
          <w:rFonts w:hint="eastAsia" w:ascii="MS UI Gothic" w:eastAsia="MS UI Gothic"/>
          <w:w w:val="80"/>
        </w:rPr>
        <w:t xml:space="preserve">、 </w:t>
      </w:r>
      <w:r>
        <w:rPr>
          <w:w w:val="105"/>
        </w:rPr>
        <w:t>合作经</w:t>
      </w:r>
      <w:r>
        <w:t>营</w:t>
      </w:r>
      <w:r>
        <w:rPr>
          <w:rFonts w:hint="eastAsia" w:ascii="MS UI Gothic" w:eastAsia="MS UI Gothic"/>
          <w:w w:val="80"/>
        </w:rPr>
        <w:t xml:space="preserve">ꎬ </w:t>
      </w:r>
      <w:r>
        <w:t>或者因企业资产出售以及有其他变更企业资产产权的情形而需要变更采矿权主体的</w:t>
      </w:r>
      <w:r>
        <w:rPr>
          <w:rFonts w:hint="eastAsia" w:ascii="MS UI Gothic" w:eastAsia="MS UI Gothic"/>
          <w:w w:val="80"/>
        </w:rPr>
        <w:t xml:space="preserve">ꎬ </w:t>
      </w:r>
      <w:r>
        <w:t>经依法批准可以将采矿权转让他人</w:t>
      </w:r>
    </w:p>
    <w:p>
      <w:pPr>
        <w:spacing w:after="0" w:line="292"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２０９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55" o:spid="_x0000_s1655" o:spt="203" style="height:2.15pt;width:398.25pt;" coordsize="7965,43">
            <o:lock v:ext="edit"/>
            <v:line id="_x0000_s1656" o:spid="_x0000_s1656" o:spt="20" style="position:absolute;left:0;top:39;height:0;width:7965;" stroked="t" coordsize="21600,21600">
              <v:path arrowok="t"/>
              <v:fill focussize="0,0"/>
              <v:stroke weight="0.388031496062992pt" color="#231F20"/>
              <v:imagedata o:title=""/>
              <o:lock v:ext="edit"/>
            </v:line>
            <v:line id="_x0000_s1657" o:spid="_x0000_s165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采矿</w:t>
      </w:r>
      <w:r>
        <w:rPr>
          <w:rFonts w:hint="eastAsia" w:ascii="MS UI Gothic" w:eastAsia="MS UI Gothic"/>
          <w:w w:val="80"/>
        </w:rPr>
        <w:t>ꎮ</w:t>
      </w:r>
    </w:p>
    <w:p>
      <w:pPr>
        <w:pStyle w:val="6"/>
        <w:spacing w:before="58" w:line="295" w:lineRule="auto"/>
        <w:ind w:left="440" w:right="1"/>
        <w:jc w:val="left"/>
        <w:rPr>
          <w:rFonts w:hint="eastAsia" w:ascii="MS UI Gothic" w:eastAsia="MS UI Gothic"/>
        </w:rPr>
      </w:pPr>
      <w:r>
        <w:t>前款规定的具体办法和实施步骤由国</w:t>
      </w:r>
      <w:r>
        <w:rPr>
          <w:w w:val="105"/>
        </w:rPr>
        <w:t>务院规定</w:t>
      </w:r>
      <w:r>
        <w:rPr>
          <w:rFonts w:hint="eastAsia" w:ascii="MS UI Gothic" w:eastAsia="MS UI Gothic"/>
          <w:w w:val="80"/>
        </w:rPr>
        <w:t>ꎮ</w:t>
      </w:r>
    </w:p>
    <w:p>
      <w:pPr>
        <w:pStyle w:val="6"/>
        <w:spacing w:line="255" w:lineRule="exact"/>
        <w:ind w:left="860" w:firstLine="0"/>
        <w:rPr>
          <w:rFonts w:hint="eastAsia" w:ascii="MS UI Gothic" w:eastAsia="MS UI Gothic"/>
        </w:rPr>
      </w:pPr>
      <w:r>
        <w:t>禁止将探矿权</w:t>
      </w:r>
      <w:r>
        <w:rPr>
          <w:rFonts w:hint="eastAsia" w:ascii="MS UI Gothic" w:eastAsia="MS UI Gothic"/>
        </w:rPr>
        <w:t xml:space="preserve">、 </w:t>
      </w:r>
      <w:r>
        <w:t>采矿权倒卖牟利</w:t>
      </w:r>
      <w:r>
        <w:rPr>
          <w:rFonts w:hint="eastAsia" w:ascii="MS UI Gothic" w:eastAsia="MS UI Gothic"/>
          <w:w w:val="80"/>
        </w:rPr>
        <w:t>ꎮ</w:t>
      </w:r>
    </w:p>
    <w:p>
      <w:pPr>
        <w:pStyle w:val="6"/>
        <w:spacing w:before="58" w:line="295" w:lineRule="auto"/>
        <w:ind w:left="440"/>
        <w:rPr>
          <w:rFonts w:hint="eastAsia" w:ascii="MS UI Gothic" w:eastAsia="MS UI Gothic"/>
        </w:rPr>
      </w:pPr>
      <w:r>
        <w:t>第七条 国家对矿产资源的勘查</w:t>
      </w:r>
      <w:r>
        <w:rPr>
          <w:rFonts w:hint="eastAsia" w:ascii="MS UI Gothic" w:eastAsia="MS UI Gothic"/>
          <w:w w:val="80"/>
        </w:rPr>
        <w:t xml:space="preserve">、 </w:t>
      </w:r>
      <w:r>
        <w:t>开发实行统一规划</w:t>
      </w:r>
      <w:r>
        <w:rPr>
          <w:rFonts w:hint="eastAsia" w:ascii="MS UI Gothic" w:eastAsia="MS UI Gothic"/>
          <w:w w:val="80"/>
        </w:rPr>
        <w:t xml:space="preserve">、 </w:t>
      </w:r>
      <w:r>
        <w:t>合理布局</w:t>
      </w:r>
      <w:r>
        <w:rPr>
          <w:rFonts w:hint="eastAsia" w:ascii="MS UI Gothic" w:eastAsia="MS UI Gothic"/>
          <w:w w:val="80"/>
        </w:rPr>
        <w:t xml:space="preserve">、  </w:t>
      </w:r>
      <w:r>
        <w:t>综合勘查</w:t>
      </w:r>
      <w:r>
        <w:rPr>
          <w:rFonts w:hint="eastAsia" w:ascii="MS UI Gothic" w:eastAsia="MS UI Gothic"/>
          <w:w w:val="80"/>
        </w:rPr>
        <w:t>、</w:t>
      </w:r>
      <w:r>
        <w:t>合理开采和综合利用的方针</w:t>
      </w:r>
      <w:r>
        <w:rPr>
          <w:rFonts w:hint="eastAsia" w:ascii="MS UI Gothic" w:eastAsia="MS UI Gothic"/>
          <w:w w:val="80"/>
        </w:rPr>
        <w:t>ꎮ</w:t>
      </w:r>
    </w:p>
    <w:p>
      <w:pPr>
        <w:pStyle w:val="6"/>
        <w:spacing w:line="295" w:lineRule="auto"/>
        <w:ind w:left="440" w:right="1"/>
        <w:rPr>
          <w:rFonts w:hint="eastAsia" w:ascii="MS UI Gothic" w:eastAsia="MS UI Gothic"/>
        </w:rPr>
      </w:pPr>
      <w:r>
        <w:t>第八条 国家鼓励矿产资源勘查</w:t>
      </w:r>
      <w:r>
        <w:rPr>
          <w:rFonts w:hint="eastAsia" w:ascii="MS UI Gothic" w:eastAsia="MS UI Gothic"/>
          <w:w w:val="80"/>
        </w:rPr>
        <w:t xml:space="preserve">、 </w:t>
      </w:r>
      <w:r>
        <w:t>开发的科学技术研究</w:t>
      </w:r>
      <w:r>
        <w:rPr>
          <w:rFonts w:hint="eastAsia" w:ascii="MS UI Gothic" w:eastAsia="MS UI Gothic"/>
          <w:w w:val="80"/>
        </w:rPr>
        <w:t xml:space="preserve">ꎬ </w:t>
      </w:r>
      <w:r>
        <w:t>推广先进技术</w:t>
      </w:r>
      <w:r>
        <w:rPr>
          <w:rFonts w:hint="eastAsia" w:ascii="MS UI Gothic" w:eastAsia="MS UI Gothic"/>
          <w:w w:val="80"/>
        </w:rPr>
        <w:t xml:space="preserve">ꎬ </w:t>
      </w:r>
      <w:r>
        <w:t>提高矿产资源勘查</w:t>
      </w:r>
      <w:r>
        <w:rPr>
          <w:rFonts w:hint="eastAsia" w:ascii="MS UI Gothic" w:eastAsia="MS UI Gothic"/>
          <w:w w:val="80"/>
        </w:rPr>
        <w:t xml:space="preserve">、 </w:t>
      </w:r>
      <w:r>
        <w:t>开发的科学技术水平</w:t>
      </w:r>
      <w:r>
        <w:rPr>
          <w:rFonts w:hint="eastAsia" w:ascii="MS UI Gothic" w:eastAsia="MS UI Gothic"/>
          <w:w w:val="80"/>
        </w:rPr>
        <w:t>ꎮ</w:t>
      </w:r>
    </w:p>
    <w:p>
      <w:pPr>
        <w:pStyle w:val="6"/>
        <w:spacing w:line="295" w:lineRule="auto"/>
        <w:ind w:left="440" w:right="1"/>
        <w:rPr>
          <w:rFonts w:hint="eastAsia" w:ascii="MS UI Gothic" w:eastAsia="MS UI Gothic"/>
        </w:rPr>
      </w:pPr>
      <w:r>
        <w:t>第九条 在勘查</w:t>
      </w:r>
      <w:r>
        <w:rPr>
          <w:rFonts w:hint="eastAsia" w:ascii="MS UI Gothic" w:eastAsia="MS UI Gothic"/>
          <w:w w:val="80"/>
        </w:rPr>
        <w:t xml:space="preserve">、 </w:t>
      </w:r>
      <w:r>
        <w:t>开发</w:t>
      </w:r>
      <w:r>
        <w:rPr>
          <w:rFonts w:hint="eastAsia" w:ascii="MS UI Gothic" w:eastAsia="MS UI Gothic"/>
          <w:w w:val="80"/>
        </w:rPr>
        <w:t xml:space="preserve">、  </w:t>
      </w:r>
      <w:r>
        <w:t>保护矿产资源和进行科学技术研究等方面成绩显著的单位和个人</w:t>
      </w:r>
      <w:r>
        <w:rPr>
          <w:rFonts w:hint="eastAsia" w:ascii="MS UI Gothic" w:eastAsia="MS UI Gothic"/>
          <w:w w:val="80"/>
        </w:rPr>
        <w:t xml:space="preserve">ꎬ </w:t>
      </w:r>
      <w:r>
        <w:t>由各级人民政府给予奖励</w:t>
      </w:r>
      <w:r>
        <w:rPr>
          <w:rFonts w:hint="eastAsia" w:ascii="MS UI Gothic" w:eastAsia="MS UI Gothic"/>
          <w:w w:val="80"/>
        </w:rPr>
        <w:t>ꎮ</w:t>
      </w:r>
    </w:p>
    <w:p>
      <w:pPr>
        <w:pStyle w:val="6"/>
        <w:spacing w:line="295" w:lineRule="auto"/>
        <w:ind w:left="440"/>
        <w:rPr>
          <w:rFonts w:hint="eastAsia" w:ascii="MS UI Gothic" w:eastAsia="MS UI Gothic"/>
        </w:rPr>
      </w:pPr>
      <w:r>
        <w:t>第十条 国家在民族自治地方开采矿产资源</w:t>
      </w:r>
      <w:r>
        <w:rPr>
          <w:rFonts w:hint="eastAsia" w:ascii="MS UI Gothic" w:eastAsia="MS UI Gothic"/>
          <w:w w:val="80"/>
        </w:rPr>
        <w:t xml:space="preserve">ꎬ </w:t>
      </w:r>
      <w:r>
        <w:t>应当照顾民族自治地方的利益</w:t>
      </w:r>
      <w:r>
        <w:rPr>
          <w:rFonts w:hint="eastAsia" w:ascii="MS UI Gothic" w:eastAsia="MS UI Gothic"/>
          <w:w w:val="80"/>
        </w:rPr>
        <w:t>ꎬ</w:t>
      </w:r>
      <w:r>
        <w:t>作出有利于民族自治地方经济建设的安排</w:t>
      </w:r>
      <w:r>
        <w:rPr>
          <w:rFonts w:hint="eastAsia" w:ascii="MS UI Gothic" w:eastAsia="MS UI Gothic"/>
          <w:w w:val="80"/>
        </w:rPr>
        <w:t xml:space="preserve">ꎬ </w:t>
      </w:r>
      <w:r>
        <w:t>照顾当地少数民族群众的生产和生活</w:t>
      </w:r>
      <w:r>
        <w:rPr>
          <w:rFonts w:hint="eastAsia" w:ascii="MS UI Gothic" w:eastAsia="MS UI Gothic"/>
          <w:w w:val="80"/>
        </w:rPr>
        <w:t>ꎮ</w:t>
      </w:r>
    </w:p>
    <w:p>
      <w:pPr>
        <w:pStyle w:val="6"/>
        <w:spacing w:line="295" w:lineRule="auto"/>
        <w:ind w:left="440" w:right="1"/>
        <w:rPr>
          <w:rFonts w:hint="eastAsia" w:ascii="MS UI Gothic" w:eastAsia="MS UI Gothic"/>
        </w:rPr>
      </w:pPr>
      <w:r>
        <w:t>民族自治地方的自治机关根据法律规定和国家的统一规划</w:t>
      </w:r>
      <w:r>
        <w:rPr>
          <w:rFonts w:hint="eastAsia" w:ascii="MS UI Gothic" w:eastAsia="MS UI Gothic"/>
          <w:w w:val="80"/>
        </w:rPr>
        <w:t xml:space="preserve">ꎬ </w:t>
      </w:r>
      <w:r>
        <w:t>对可以由本地方开发的矿产资源</w:t>
      </w:r>
      <w:r>
        <w:rPr>
          <w:rFonts w:hint="eastAsia" w:ascii="MS UI Gothic" w:eastAsia="MS UI Gothic"/>
          <w:w w:val="80"/>
        </w:rPr>
        <w:t xml:space="preserve">ꎬ </w:t>
      </w:r>
      <w:r>
        <w:t>优先合理开发利用</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第十一条 国务院地质矿产主管部门</w:t>
      </w:r>
      <w:r>
        <w:rPr>
          <w:spacing w:val="3"/>
          <w:w w:val="105"/>
        </w:rPr>
        <w:t>主管全国矿产资源勘查</w:t>
      </w:r>
      <w:r>
        <w:rPr>
          <w:rFonts w:hint="eastAsia" w:ascii="MS UI Gothic" w:eastAsia="MS UI Gothic"/>
          <w:spacing w:val="-5"/>
          <w:w w:val="80"/>
        </w:rPr>
        <w:t xml:space="preserve">、 </w:t>
      </w:r>
      <w:r>
        <w:rPr>
          <w:spacing w:val="2"/>
          <w:w w:val="105"/>
        </w:rPr>
        <w:t>开采的监督管理</w:t>
      </w:r>
      <w:r>
        <w:rPr>
          <w:spacing w:val="3"/>
        </w:rPr>
        <w:t>工作</w:t>
      </w:r>
      <w:r>
        <w:rPr>
          <w:rFonts w:hint="eastAsia" w:ascii="MS UI Gothic" w:eastAsia="MS UI Gothic"/>
          <w:spacing w:val="21"/>
          <w:w w:val="80"/>
        </w:rPr>
        <w:t xml:space="preserve">ꎮ </w:t>
      </w:r>
      <w:r>
        <w:rPr>
          <w:spacing w:val="2"/>
        </w:rPr>
        <w:t>国务院有关主管部门协助国务院地</w:t>
      </w:r>
      <w:r>
        <w:rPr>
          <w:spacing w:val="3"/>
          <w:w w:val="105"/>
        </w:rPr>
        <w:t>质矿产主管部门进行矿产资源勘查</w:t>
      </w:r>
      <w:r>
        <w:rPr>
          <w:rFonts w:hint="eastAsia" w:ascii="MS UI Gothic" w:eastAsia="MS UI Gothic"/>
          <w:spacing w:val="-5"/>
          <w:w w:val="80"/>
        </w:rPr>
        <w:t xml:space="preserve">、 </w:t>
      </w:r>
      <w:r>
        <w:rPr>
          <w:spacing w:val="1"/>
          <w:w w:val="105"/>
        </w:rPr>
        <w:t>开采</w:t>
      </w:r>
      <w:r>
        <w:rPr>
          <w:spacing w:val="3"/>
          <w:w w:val="105"/>
        </w:rPr>
        <w:t>的监督管理工作</w:t>
      </w:r>
      <w:r>
        <w:rPr>
          <w:rFonts w:hint="eastAsia" w:ascii="MS UI Gothic" w:eastAsia="MS UI Gothic"/>
          <w:w w:val="80"/>
        </w:rPr>
        <w:t>ꎮ</w:t>
      </w:r>
    </w:p>
    <w:p>
      <w:pPr>
        <w:pStyle w:val="6"/>
        <w:spacing w:line="295" w:lineRule="auto"/>
        <w:ind w:left="440"/>
        <w:rPr>
          <w:rFonts w:hint="eastAsia" w:ascii="MS UI Gothic" w:eastAsia="MS UI Gothic"/>
        </w:rPr>
      </w:pPr>
      <w:r>
        <w:rPr>
          <w:spacing w:val="3"/>
        </w:rPr>
        <w:t>省</w:t>
      </w:r>
      <w:r>
        <w:rPr>
          <w:rFonts w:hint="eastAsia" w:ascii="MS UI Gothic" w:eastAsia="MS UI Gothic"/>
          <w:spacing w:val="21"/>
          <w:w w:val="80"/>
        </w:rPr>
        <w:t xml:space="preserve">、 </w:t>
      </w:r>
      <w:r>
        <w:rPr>
          <w:spacing w:val="3"/>
        </w:rPr>
        <w:t>自治区</w:t>
      </w:r>
      <w:r>
        <w:rPr>
          <w:rFonts w:hint="eastAsia" w:ascii="MS UI Gothic" w:eastAsia="MS UI Gothic"/>
          <w:spacing w:val="21"/>
          <w:w w:val="80"/>
        </w:rPr>
        <w:t xml:space="preserve">、 </w:t>
      </w:r>
      <w:r>
        <w:rPr>
          <w:spacing w:val="2"/>
        </w:rPr>
        <w:t>直辖市人民政府地质矿产主管部门主管本行政区域内矿产资源勘</w:t>
      </w:r>
      <w:r>
        <w:rPr>
          <w:spacing w:val="3"/>
        </w:rPr>
        <w:t>查</w:t>
      </w:r>
      <w:r>
        <w:rPr>
          <w:rFonts w:hint="eastAsia" w:ascii="MS UI Gothic" w:eastAsia="MS UI Gothic"/>
          <w:spacing w:val="6"/>
          <w:w w:val="80"/>
        </w:rPr>
        <w:t xml:space="preserve">、 </w:t>
      </w:r>
      <w:r>
        <w:rPr>
          <w:spacing w:val="9"/>
        </w:rPr>
        <w:t>开采的监督管理工作</w:t>
      </w:r>
      <w:r>
        <w:rPr>
          <w:rFonts w:hint="eastAsia" w:ascii="MS UI Gothic" w:eastAsia="MS UI Gothic"/>
          <w:spacing w:val="9"/>
          <w:w w:val="80"/>
        </w:rPr>
        <w:t xml:space="preserve">ꎮ </w:t>
      </w:r>
      <w:r>
        <w:rPr>
          <w:spacing w:val="3"/>
        </w:rPr>
        <w:t>省</w:t>
      </w:r>
      <w:r>
        <w:rPr>
          <w:rFonts w:hint="eastAsia" w:ascii="MS UI Gothic" w:eastAsia="MS UI Gothic"/>
          <w:spacing w:val="9"/>
          <w:w w:val="80"/>
        </w:rPr>
        <w:t xml:space="preserve">、 </w:t>
      </w:r>
      <w:r>
        <w:rPr>
          <w:spacing w:val="11"/>
        </w:rPr>
        <w:t>自治区</w:t>
      </w:r>
      <w:r>
        <w:rPr>
          <w:rFonts w:hint="eastAsia" w:ascii="MS UI Gothic" w:eastAsia="MS UI Gothic"/>
          <w:w w:val="80"/>
        </w:rPr>
        <w:t>、</w:t>
      </w:r>
      <w:r>
        <w:rPr>
          <w:spacing w:val="2"/>
        </w:rPr>
        <w:t>直辖市人民政府有关主管部门协助同级地</w:t>
      </w:r>
      <w:r>
        <w:rPr>
          <w:spacing w:val="3"/>
        </w:rPr>
        <w:t>质矿产主管部门进行矿产资源勘查</w:t>
      </w:r>
      <w:r>
        <w:rPr>
          <w:rFonts w:hint="eastAsia" w:ascii="MS UI Gothic" w:eastAsia="MS UI Gothic"/>
          <w:spacing w:val="19"/>
          <w:w w:val="80"/>
        </w:rPr>
        <w:t xml:space="preserve">、 </w:t>
      </w:r>
      <w:r>
        <w:rPr>
          <w:spacing w:val="1"/>
        </w:rPr>
        <w:t>开采</w:t>
      </w:r>
      <w:r>
        <w:rPr>
          <w:spacing w:val="3"/>
        </w:rPr>
        <w:t>的监督管理工作</w:t>
      </w:r>
      <w:r>
        <w:rPr>
          <w:rFonts w:hint="eastAsia" w:ascii="MS UI Gothic" w:eastAsia="MS UI Gothic"/>
          <w:w w:val="80"/>
        </w:rPr>
        <w:t>ꎮ</w:t>
      </w:r>
    </w:p>
    <w:p>
      <w:pPr>
        <w:pStyle w:val="6"/>
        <w:tabs>
          <w:tab w:val="left" w:pos="2012"/>
        </w:tabs>
        <w:spacing w:before="135" w:line="295" w:lineRule="auto"/>
        <w:ind w:left="1488" w:right="733" w:hanging="315"/>
        <w:jc w:val="left"/>
      </w:pPr>
      <w:r>
        <w:rPr>
          <w:spacing w:val="3"/>
          <w:w w:val="105"/>
        </w:rPr>
        <w:t>第二</w:t>
      </w:r>
      <w:r>
        <w:rPr>
          <w:w w:val="105"/>
        </w:rPr>
        <w:t>章</w:t>
      </w:r>
      <w:r>
        <w:rPr>
          <w:w w:val="105"/>
        </w:rPr>
        <w:tab/>
      </w:r>
      <w:r>
        <w:rPr>
          <w:spacing w:val="3"/>
        </w:rPr>
        <w:t>矿产资源勘查</w:t>
      </w:r>
      <w:r>
        <w:rPr>
          <w:spacing w:val="-12"/>
        </w:rPr>
        <w:t>的</w:t>
      </w:r>
      <w:r>
        <w:rPr>
          <w:spacing w:val="3"/>
          <w:w w:val="105"/>
        </w:rPr>
        <w:t>登记和开采的审</w:t>
      </w:r>
      <w:r>
        <w:rPr>
          <w:w w:val="105"/>
        </w:rPr>
        <w:t>批</w:t>
      </w:r>
    </w:p>
    <w:p>
      <w:pPr>
        <w:pStyle w:val="6"/>
        <w:spacing w:before="156" w:line="295" w:lineRule="auto"/>
        <w:ind w:left="440"/>
        <w:rPr>
          <w:rFonts w:hint="eastAsia" w:ascii="MS UI Gothic" w:eastAsia="MS UI Gothic"/>
        </w:rPr>
      </w:pPr>
      <w:r>
        <w:t>第十二条 国家对矿产资源勘查实行统一的区块登记管理制度</w:t>
      </w:r>
      <w:r>
        <w:rPr>
          <w:rFonts w:hint="eastAsia" w:ascii="MS UI Gothic" w:eastAsia="MS UI Gothic"/>
          <w:w w:val="80"/>
        </w:rPr>
        <w:t xml:space="preserve">ꎮ </w:t>
      </w:r>
      <w:r>
        <w:t>矿产资源勘查登记工作</w:t>
      </w:r>
      <w:r>
        <w:rPr>
          <w:rFonts w:hint="eastAsia" w:ascii="MS UI Gothic" w:eastAsia="MS UI Gothic"/>
          <w:w w:val="80"/>
        </w:rPr>
        <w:t xml:space="preserve">ꎬ </w:t>
      </w:r>
      <w:r>
        <w:t>由国务院地质矿产主管部门负责</w:t>
      </w:r>
      <w:r>
        <w:rPr>
          <w:rFonts w:hint="eastAsia" w:ascii="MS UI Gothic" w:eastAsia="MS UI Gothic"/>
          <w:w w:val="80"/>
        </w:rPr>
        <w:t xml:space="preserve">ꎻ </w:t>
      </w:r>
      <w:r>
        <w:t>特定矿种的矿产资源勘查登记工作</w:t>
      </w:r>
      <w:r>
        <w:rPr>
          <w:rFonts w:hint="eastAsia" w:ascii="MS UI Gothic" w:eastAsia="MS UI Gothic"/>
          <w:w w:val="80"/>
        </w:rPr>
        <w:t>ꎬ</w:t>
      </w:r>
    </w:p>
    <w:p>
      <w:pPr>
        <w:pStyle w:val="6"/>
        <w:spacing w:before="124" w:line="295" w:lineRule="auto"/>
        <w:ind w:left="381" w:right="126" w:firstLine="0"/>
        <w:rPr>
          <w:rFonts w:hint="eastAsia" w:ascii="MS UI Gothic" w:eastAsia="MS UI Gothic"/>
        </w:rPr>
      </w:pPr>
      <w:r>
        <w:br w:type="column"/>
      </w:r>
      <w:r>
        <w:t>可以由国务院授权有关主管部门负责</w:t>
      </w:r>
      <w:r>
        <w:rPr>
          <w:rFonts w:hint="eastAsia" w:ascii="MS UI Gothic" w:eastAsia="MS UI Gothic"/>
          <w:w w:val="80"/>
        </w:rPr>
        <w:t xml:space="preserve">ꎮ </w:t>
      </w:r>
      <w:r>
        <w:t>矿产资源勘查区块登记管理办法由国务院制定</w:t>
      </w:r>
      <w:r>
        <w:rPr>
          <w:rFonts w:hint="eastAsia" w:ascii="MS UI Gothic" w:eastAsia="MS UI Gothic"/>
          <w:w w:val="80"/>
        </w:rPr>
        <w:t>ꎮ</w:t>
      </w:r>
    </w:p>
    <w:p>
      <w:pPr>
        <w:pStyle w:val="6"/>
        <w:spacing w:line="295" w:lineRule="auto"/>
        <w:ind w:left="381" w:right="126"/>
        <w:rPr>
          <w:rFonts w:hint="eastAsia" w:ascii="MS UI Gothic" w:eastAsia="MS UI Gothic"/>
        </w:rPr>
      </w:pPr>
      <w:r>
        <w:t>第十三条 国务院矿产储量审批机构或者省</w:t>
      </w:r>
      <w:r>
        <w:rPr>
          <w:rFonts w:hint="eastAsia" w:ascii="MS UI Gothic" w:eastAsia="MS UI Gothic"/>
          <w:w w:val="80"/>
        </w:rPr>
        <w:t xml:space="preserve">、 </w:t>
      </w:r>
      <w:r>
        <w:t>自治区</w:t>
      </w:r>
      <w:r>
        <w:rPr>
          <w:rFonts w:hint="eastAsia" w:ascii="MS UI Gothic" w:eastAsia="MS UI Gothic"/>
          <w:w w:val="80"/>
        </w:rPr>
        <w:t xml:space="preserve">、 </w:t>
      </w:r>
      <w:r>
        <w:t>直辖市矿产储量审批机构负责审查批准供矿山建设设计使用的勘探报告</w:t>
      </w:r>
      <w:r>
        <w:rPr>
          <w:rFonts w:hint="eastAsia" w:ascii="MS UI Gothic" w:eastAsia="MS UI Gothic"/>
          <w:w w:val="80"/>
        </w:rPr>
        <w:t xml:space="preserve">ꎬ </w:t>
      </w:r>
      <w:r>
        <w:t>并在规定的期限内批复报送单位</w:t>
      </w:r>
      <w:r>
        <w:rPr>
          <w:rFonts w:hint="eastAsia" w:ascii="MS UI Gothic" w:eastAsia="MS UI Gothic"/>
          <w:w w:val="80"/>
        </w:rPr>
        <w:t xml:space="preserve">ꎮ </w:t>
      </w:r>
      <w:r>
        <w:t>勘探报告未经批准</w:t>
      </w:r>
      <w:r>
        <w:rPr>
          <w:rFonts w:hint="eastAsia" w:ascii="MS UI Gothic" w:eastAsia="MS UI Gothic"/>
          <w:w w:val="80"/>
        </w:rPr>
        <w:t xml:space="preserve">ꎬ </w:t>
      </w:r>
      <w:r>
        <w:t>不得作为矿山建设设计的依据</w:t>
      </w:r>
      <w:r>
        <w:rPr>
          <w:rFonts w:hint="eastAsia" w:ascii="MS UI Gothic" w:eastAsia="MS UI Gothic"/>
          <w:w w:val="80"/>
        </w:rPr>
        <w:t>ꎮ</w:t>
      </w:r>
    </w:p>
    <w:p>
      <w:pPr>
        <w:pStyle w:val="6"/>
        <w:spacing w:line="295" w:lineRule="auto"/>
        <w:ind w:left="381" w:right="126"/>
        <w:rPr>
          <w:rFonts w:hint="eastAsia" w:ascii="MS UI Gothic" w:eastAsia="MS UI Gothic"/>
        </w:rPr>
      </w:pPr>
      <w:r>
        <w:t>第十四条 矿产资源勘查成果档案资料和各类矿产储量的统计资料</w:t>
      </w:r>
      <w:r>
        <w:rPr>
          <w:rFonts w:hint="eastAsia" w:ascii="MS UI Gothic" w:eastAsia="MS UI Gothic"/>
          <w:w w:val="80"/>
        </w:rPr>
        <w:t xml:space="preserve">ꎬ </w:t>
      </w:r>
      <w:r>
        <w:t>实行统一的管理制度</w:t>
      </w:r>
      <w:r>
        <w:rPr>
          <w:rFonts w:hint="eastAsia" w:ascii="MS UI Gothic" w:eastAsia="MS UI Gothic"/>
          <w:w w:val="80"/>
        </w:rPr>
        <w:t xml:space="preserve">ꎬ </w:t>
      </w:r>
      <w:r>
        <w:t>按照国务院规定汇交或者填报</w:t>
      </w:r>
      <w:r>
        <w:rPr>
          <w:rFonts w:hint="eastAsia" w:ascii="MS UI Gothic" w:eastAsia="MS UI Gothic"/>
          <w:w w:val="80"/>
        </w:rPr>
        <w:t>ꎮ</w:t>
      </w:r>
    </w:p>
    <w:p>
      <w:pPr>
        <w:pStyle w:val="6"/>
        <w:spacing w:line="295" w:lineRule="auto"/>
        <w:ind w:left="381" w:right="126"/>
        <w:rPr>
          <w:rFonts w:hint="eastAsia" w:ascii="MS UI Gothic" w:eastAsia="MS UI Gothic"/>
        </w:rPr>
      </w:pPr>
      <w:r>
        <w:t>第十五条 设立矿山企业</w:t>
      </w:r>
      <w:r>
        <w:rPr>
          <w:rFonts w:hint="eastAsia" w:ascii="MS UI Gothic" w:eastAsia="MS UI Gothic"/>
          <w:w w:val="80"/>
        </w:rPr>
        <w:t xml:space="preserve">ꎬ </w:t>
      </w:r>
      <w:r>
        <w:t>必须符合国家规定的资质条件</w:t>
      </w:r>
      <w:r>
        <w:rPr>
          <w:rFonts w:hint="eastAsia" w:ascii="MS UI Gothic" w:eastAsia="MS UI Gothic"/>
          <w:w w:val="80"/>
        </w:rPr>
        <w:t xml:space="preserve">ꎬ </w:t>
      </w:r>
      <w:r>
        <w:t>并依照法律和国家有关规定</w:t>
      </w:r>
      <w:r>
        <w:rPr>
          <w:rFonts w:hint="eastAsia" w:ascii="MS UI Gothic" w:eastAsia="MS UI Gothic"/>
          <w:w w:val="80"/>
        </w:rPr>
        <w:t xml:space="preserve">ꎬ </w:t>
      </w:r>
      <w:r>
        <w:t>由审批机关对其矿区范围</w:t>
      </w:r>
      <w:r>
        <w:rPr>
          <w:rFonts w:hint="eastAsia" w:ascii="MS UI Gothic" w:eastAsia="MS UI Gothic"/>
          <w:w w:val="80"/>
        </w:rPr>
        <w:t xml:space="preserve">、 </w:t>
      </w:r>
      <w:r>
        <w:t>矿山设计或者开采方案</w:t>
      </w:r>
      <w:r>
        <w:rPr>
          <w:rFonts w:hint="eastAsia" w:ascii="MS UI Gothic" w:eastAsia="MS UI Gothic"/>
          <w:w w:val="80"/>
        </w:rPr>
        <w:t xml:space="preserve">、 </w:t>
      </w:r>
      <w:r>
        <w:t>生产技术条件</w:t>
      </w:r>
      <w:r>
        <w:rPr>
          <w:rFonts w:hint="eastAsia" w:ascii="MS UI Gothic" w:eastAsia="MS UI Gothic"/>
          <w:w w:val="80"/>
        </w:rPr>
        <w:t xml:space="preserve">、 </w:t>
      </w:r>
      <w:r>
        <w:t>安全措施和环境保护措施等进行审查</w:t>
      </w:r>
      <w:r>
        <w:rPr>
          <w:rFonts w:hint="eastAsia" w:ascii="MS UI Gothic" w:eastAsia="MS UI Gothic"/>
          <w:w w:val="80"/>
        </w:rPr>
        <w:t xml:space="preserve">ꎻ </w:t>
      </w:r>
      <w:r>
        <w:t>审查合格的</w:t>
      </w:r>
      <w:r>
        <w:rPr>
          <w:rFonts w:hint="eastAsia" w:ascii="MS UI Gothic" w:eastAsia="MS UI Gothic"/>
          <w:w w:val="80"/>
        </w:rPr>
        <w:t xml:space="preserve">ꎬ </w:t>
      </w:r>
      <w:r>
        <w:t>方予批准</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第十六条 开采下列矿产资源的</w:t>
      </w:r>
      <w:r>
        <w:rPr>
          <w:rFonts w:hint="eastAsia" w:ascii="MS UI Gothic" w:eastAsia="MS UI Gothic"/>
          <w:w w:val="80"/>
        </w:rPr>
        <w:t xml:space="preserve">ꎬ </w:t>
      </w:r>
      <w:r>
        <w:rPr>
          <w:w w:val="105"/>
        </w:rPr>
        <w:t>由</w:t>
      </w:r>
      <w:r>
        <w:t>国务院地质矿产主管部门审批</w:t>
      </w:r>
      <w:r>
        <w:rPr>
          <w:rFonts w:hint="eastAsia" w:ascii="MS UI Gothic" w:eastAsia="MS UI Gothic"/>
          <w:w w:val="80"/>
        </w:rPr>
        <w:t xml:space="preserve">ꎬ </w:t>
      </w:r>
      <w:r>
        <w:t>并颁发采</w:t>
      </w:r>
      <w:r>
        <w:rPr>
          <w:w w:val="105"/>
        </w:rPr>
        <w:t>矿许可证</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国家规划矿区和对国民经济具有重要价值的矿区内的矿产资源</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前项规定区域以外可供开采的矿产储量规模在大型以上的矿产资源</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国家规定实行保护性开采的特</w:t>
      </w:r>
      <w:r>
        <w:rPr>
          <w:w w:val="110"/>
        </w:rPr>
        <w:t>定矿种</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领海及中国管辖的其他海域的</w:t>
      </w:r>
      <w:r>
        <w:rPr>
          <w:w w:val="110"/>
        </w:rPr>
        <w:t>矿产资源</w:t>
      </w:r>
      <w:r>
        <w:rPr>
          <w:rFonts w:hint="eastAsia" w:ascii="MS UI Gothic" w:eastAsia="MS UI Gothic"/>
          <w:w w:val="80"/>
        </w:rPr>
        <w:t>ꎻ</w:t>
      </w:r>
    </w:p>
    <w:p>
      <w:pPr>
        <w:pStyle w:val="6"/>
        <w:spacing w:line="295" w:lineRule="auto"/>
        <w:ind w:left="800" w:right="126" w:firstLine="0"/>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国务院规定的其他矿产资源</w:t>
      </w:r>
      <w:r>
        <w:rPr>
          <w:rFonts w:hint="eastAsia" w:ascii="MS UI Gothic" w:eastAsia="MS UI Gothic"/>
          <w:w w:val="80"/>
        </w:rPr>
        <w:t>ꎮ</w:t>
      </w:r>
      <w:r>
        <w:rPr>
          <w:w w:val="105"/>
        </w:rPr>
        <w:t>开采石油</w:t>
      </w:r>
      <w:r>
        <w:rPr>
          <w:rFonts w:hint="eastAsia" w:ascii="MS UI Gothic" w:eastAsia="MS UI Gothic"/>
          <w:w w:val="80"/>
        </w:rPr>
        <w:t xml:space="preserve">、 </w:t>
      </w:r>
      <w:r>
        <w:rPr>
          <w:w w:val="105"/>
        </w:rPr>
        <w:t>天然气</w:t>
      </w:r>
      <w:r>
        <w:rPr>
          <w:rFonts w:hint="eastAsia" w:ascii="MS UI Gothic" w:eastAsia="MS UI Gothic"/>
          <w:w w:val="80"/>
        </w:rPr>
        <w:t xml:space="preserve">、 </w:t>
      </w:r>
      <w:r>
        <w:rPr>
          <w:w w:val="105"/>
        </w:rPr>
        <w:t>放射性矿产等特</w:t>
      </w:r>
    </w:p>
    <w:p>
      <w:pPr>
        <w:pStyle w:val="6"/>
        <w:spacing w:line="295" w:lineRule="auto"/>
        <w:ind w:left="381" w:right="126" w:firstLine="0"/>
        <w:rPr>
          <w:rFonts w:hint="eastAsia" w:ascii="MS UI Gothic" w:eastAsia="MS UI Gothic"/>
        </w:rPr>
      </w:pPr>
      <w:r>
        <w:t>定矿种的</w:t>
      </w:r>
      <w:r>
        <w:rPr>
          <w:rFonts w:hint="eastAsia" w:ascii="MS UI Gothic" w:eastAsia="MS UI Gothic"/>
          <w:w w:val="80"/>
        </w:rPr>
        <w:t xml:space="preserve">ꎬ </w:t>
      </w:r>
      <w:r>
        <w:t>可以由国务院授权的有关主管部门审批</w:t>
      </w:r>
      <w:r>
        <w:rPr>
          <w:rFonts w:hint="eastAsia" w:ascii="MS UI Gothic" w:eastAsia="MS UI Gothic"/>
          <w:w w:val="80"/>
        </w:rPr>
        <w:t xml:space="preserve">ꎬ </w:t>
      </w:r>
      <w:r>
        <w:t>并颁发采矿许可证</w:t>
      </w:r>
      <w:r>
        <w:rPr>
          <w:rFonts w:hint="eastAsia" w:ascii="MS UI Gothic" w:eastAsia="MS UI Gothic"/>
          <w:w w:val="80"/>
        </w:rPr>
        <w:t>ꎮ</w:t>
      </w:r>
    </w:p>
    <w:p>
      <w:pPr>
        <w:pStyle w:val="6"/>
        <w:spacing w:line="295" w:lineRule="auto"/>
        <w:ind w:left="381" w:right="126"/>
        <w:rPr>
          <w:rFonts w:hint="eastAsia" w:ascii="MS UI Gothic" w:eastAsia="MS UI Gothic"/>
        </w:rPr>
      </w:pPr>
      <w:r>
        <w:t>开采第一款</w:t>
      </w:r>
      <w:r>
        <w:rPr>
          <w:rFonts w:hint="eastAsia" w:ascii="MS UI Gothic" w:eastAsia="MS UI Gothic"/>
          <w:w w:val="80"/>
        </w:rPr>
        <w:t xml:space="preserve">、 </w:t>
      </w:r>
      <w:r>
        <w:t>第二款规定以外的矿产资源</w:t>
      </w:r>
      <w:r>
        <w:rPr>
          <w:rFonts w:hint="eastAsia" w:ascii="MS UI Gothic" w:eastAsia="MS UI Gothic"/>
          <w:w w:val="80"/>
        </w:rPr>
        <w:t xml:space="preserve">ꎬ </w:t>
      </w:r>
      <w:r>
        <w:t>其可供开采的矿产的储量规模为中型的</w:t>
      </w:r>
      <w:r>
        <w:rPr>
          <w:rFonts w:hint="eastAsia" w:ascii="MS UI Gothic" w:eastAsia="MS UI Gothic"/>
          <w:w w:val="80"/>
        </w:rPr>
        <w:t xml:space="preserve">ꎬ </w:t>
      </w:r>
      <w:r>
        <w:t>由省</w:t>
      </w:r>
      <w:r>
        <w:rPr>
          <w:rFonts w:hint="eastAsia" w:ascii="MS UI Gothic" w:eastAsia="MS UI Gothic"/>
          <w:w w:val="80"/>
        </w:rPr>
        <w:t xml:space="preserve">、 </w:t>
      </w:r>
      <w:r>
        <w:t>自治区</w:t>
      </w:r>
      <w:r>
        <w:rPr>
          <w:rFonts w:hint="eastAsia" w:ascii="MS UI Gothic" w:eastAsia="MS UI Gothic"/>
          <w:w w:val="80"/>
        </w:rPr>
        <w:t xml:space="preserve">、 </w:t>
      </w:r>
      <w:r>
        <w:t>直辖市人民政府地质矿产主管部门审批和颁发采矿许可证</w:t>
      </w:r>
      <w:r>
        <w:rPr>
          <w:rFonts w:hint="eastAsia" w:ascii="MS UI Gothic" w:eastAsia="MS UI Gothic"/>
          <w:w w:val="80"/>
        </w:rPr>
        <w:t>ꎮ</w:t>
      </w:r>
    </w:p>
    <w:p>
      <w:pPr>
        <w:pStyle w:val="6"/>
        <w:spacing w:line="253" w:lineRule="exact"/>
        <w:ind w:left="800" w:firstLine="0"/>
      </w:pPr>
      <w:r>
        <w:t>开采第一款</w:t>
      </w:r>
      <w:r>
        <w:rPr>
          <w:rFonts w:hint="eastAsia" w:ascii="MS UI Gothic" w:eastAsia="MS UI Gothic"/>
        </w:rPr>
        <w:t xml:space="preserve">、 </w:t>
      </w:r>
      <w:r>
        <w:t>第二款和第三款规定以</w:t>
      </w:r>
    </w:p>
    <w:p>
      <w:pPr>
        <w:spacing w:after="0" w:line="253" w:lineRule="exac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２１０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58" o:spid="_x0000_s1658" o:spt="203" style="height:2.15pt;width:398.25pt;" coordsize="7965,43">
            <o:lock v:ext="edit"/>
            <v:line id="_x0000_s1659" o:spid="_x0000_s1659" o:spt="20" style="position:absolute;left:0;top:39;height:0;width:7965;" stroked="t" coordsize="21600,21600">
              <v:path arrowok="t"/>
              <v:fill focussize="0,0"/>
              <v:stroke weight="0.388031496062992pt" color="#231F20"/>
              <v:imagedata o:title=""/>
              <o:lock v:ext="edit"/>
            </v:line>
            <v:line id="_x0000_s1660" o:spid="_x0000_s166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外的矿产资源的管理办法</w:t>
      </w:r>
      <w:r>
        <w:rPr>
          <w:rFonts w:hint="eastAsia" w:ascii="MS UI Gothic" w:eastAsia="MS UI Gothic"/>
          <w:w w:val="80"/>
        </w:rPr>
        <w:t xml:space="preserve">ꎬ </w:t>
      </w:r>
      <w:r>
        <w:t>由省</w:t>
      </w:r>
      <w:r>
        <w:rPr>
          <w:rFonts w:hint="eastAsia" w:ascii="MS UI Gothic" w:eastAsia="MS UI Gothic"/>
          <w:w w:val="80"/>
        </w:rPr>
        <w:t xml:space="preserve">、 </w:t>
      </w:r>
      <w:r>
        <w:t>自治区</w:t>
      </w:r>
      <w:r>
        <w:rPr>
          <w:rFonts w:hint="eastAsia" w:ascii="MS UI Gothic" w:eastAsia="MS UI Gothic"/>
          <w:w w:val="80"/>
        </w:rPr>
        <w:t xml:space="preserve">、 </w:t>
      </w:r>
      <w:r>
        <w:t>直辖市人民代表大会常务委员会依法制定</w:t>
      </w:r>
      <w:r>
        <w:rPr>
          <w:rFonts w:hint="eastAsia" w:ascii="MS UI Gothic" w:eastAsia="MS UI Gothic"/>
          <w:w w:val="80"/>
        </w:rPr>
        <w:t>ꎮ</w:t>
      </w:r>
    </w:p>
    <w:p>
      <w:pPr>
        <w:pStyle w:val="6"/>
        <w:spacing w:line="295" w:lineRule="auto"/>
        <w:ind w:right="39"/>
        <w:rPr>
          <w:rFonts w:hint="eastAsia" w:ascii="MS UI Gothic" w:eastAsia="MS UI Gothic"/>
        </w:rPr>
      </w:pPr>
      <w:r>
        <w:t>依照第三款</w:t>
      </w:r>
      <w:r>
        <w:rPr>
          <w:rFonts w:hint="eastAsia" w:ascii="MS UI Gothic" w:eastAsia="MS UI Gothic"/>
          <w:w w:val="80"/>
        </w:rPr>
        <w:t xml:space="preserve">、 </w:t>
      </w:r>
      <w:r>
        <w:t>第四款的规定审批和颁发采矿许可证的</w:t>
      </w:r>
      <w:r>
        <w:rPr>
          <w:rFonts w:hint="eastAsia" w:ascii="MS UI Gothic" w:eastAsia="MS UI Gothic"/>
          <w:w w:val="80"/>
        </w:rPr>
        <w:t xml:space="preserve">ꎬ </w:t>
      </w:r>
      <w:r>
        <w:t>由省</w:t>
      </w:r>
      <w:r>
        <w:rPr>
          <w:rFonts w:hint="eastAsia" w:ascii="MS UI Gothic" w:eastAsia="MS UI Gothic"/>
          <w:w w:val="80"/>
        </w:rPr>
        <w:t xml:space="preserve">、 </w:t>
      </w:r>
      <w:r>
        <w:t>自治区</w:t>
      </w:r>
      <w:r>
        <w:rPr>
          <w:rFonts w:hint="eastAsia" w:ascii="MS UI Gothic" w:eastAsia="MS UI Gothic"/>
          <w:w w:val="80"/>
        </w:rPr>
        <w:t xml:space="preserve">、 </w:t>
      </w:r>
      <w:r>
        <w:t>直辖市人民政府地质矿产主管部门汇总向国务院地质矿产主管部门备案</w:t>
      </w:r>
      <w:r>
        <w:rPr>
          <w:rFonts w:hint="eastAsia" w:ascii="MS UI Gothic" w:eastAsia="MS UI Gothic"/>
          <w:w w:val="80"/>
        </w:rPr>
        <w:t>ꎮ</w:t>
      </w:r>
    </w:p>
    <w:p>
      <w:pPr>
        <w:pStyle w:val="6"/>
        <w:spacing w:line="295" w:lineRule="auto"/>
        <w:ind w:right="39"/>
        <w:rPr>
          <w:rFonts w:hint="eastAsia" w:ascii="MS UI Gothic" w:eastAsia="MS UI Gothic"/>
        </w:rPr>
      </w:pPr>
      <w:r>
        <w:t>矿产储量规模的大型</w:t>
      </w:r>
      <w:r>
        <w:rPr>
          <w:rFonts w:hint="eastAsia" w:ascii="MS UI Gothic" w:eastAsia="MS UI Gothic"/>
          <w:w w:val="80"/>
        </w:rPr>
        <w:t xml:space="preserve">、 </w:t>
      </w:r>
      <w:r>
        <w:t>中型的划分标准</w:t>
      </w:r>
      <w:r>
        <w:rPr>
          <w:rFonts w:hint="eastAsia" w:ascii="MS UI Gothic" w:eastAsia="MS UI Gothic"/>
          <w:w w:val="80"/>
        </w:rPr>
        <w:t xml:space="preserve">ꎬ </w:t>
      </w:r>
      <w:r>
        <w:t>由国务院矿产储量审批机构规定</w:t>
      </w:r>
      <w:r>
        <w:rPr>
          <w:rFonts w:hint="eastAsia" w:ascii="MS UI Gothic" w:eastAsia="MS UI Gothic"/>
          <w:w w:val="80"/>
        </w:rPr>
        <w:t>ꎮ</w:t>
      </w:r>
    </w:p>
    <w:p>
      <w:pPr>
        <w:pStyle w:val="6"/>
        <w:spacing w:line="295" w:lineRule="auto"/>
        <w:ind w:right="38"/>
        <w:rPr>
          <w:rFonts w:hint="eastAsia" w:ascii="MS UI Gothic" w:eastAsia="MS UI Gothic"/>
        </w:rPr>
      </w:pPr>
      <w:r>
        <w:t>第十七条 国家对国家规划矿区</w:t>
      </w:r>
      <w:r>
        <w:rPr>
          <w:rFonts w:hint="eastAsia" w:ascii="MS UI Gothic" w:eastAsia="MS UI Gothic"/>
          <w:w w:val="80"/>
        </w:rPr>
        <w:t xml:space="preserve">、 </w:t>
      </w:r>
      <w:r>
        <w:t>对国民经济具有重要价值的矿区和国家规定实行保护性开采的特定矿种</w:t>
      </w:r>
      <w:r>
        <w:rPr>
          <w:rFonts w:hint="eastAsia" w:ascii="MS UI Gothic" w:eastAsia="MS UI Gothic"/>
          <w:w w:val="80"/>
        </w:rPr>
        <w:t xml:space="preserve">ꎬ </w:t>
      </w:r>
      <w:r>
        <w:t>实行有计划的开采</w:t>
      </w:r>
      <w:r>
        <w:rPr>
          <w:rFonts w:hint="eastAsia" w:ascii="MS UI Gothic" w:eastAsia="MS UI Gothic"/>
          <w:w w:val="80"/>
        </w:rPr>
        <w:t xml:space="preserve">ꎻ </w:t>
      </w:r>
      <w:r>
        <w:t>未经国务院有关主管部门批准</w:t>
      </w:r>
      <w:r>
        <w:rPr>
          <w:rFonts w:hint="eastAsia" w:ascii="MS UI Gothic" w:eastAsia="MS UI Gothic"/>
          <w:w w:val="80"/>
        </w:rPr>
        <w:t>ꎬ</w:t>
      </w:r>
      <w:r>
        <w:t>任何单位和个人不得开采</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第十八条 国家规划矿区的范围</w:t>
      </w:r>
      <w:r>
        <w:rPr>
          <w:rFonts w:hint="eastAsia" w:ascii="MS UI Gothic" w:eastAsia="MS UI Gothic"/>
          <w:w w:val="80"/>
        </w:rPr>
        <w:t xml:space="preserve">、 </w:t>
      </w:r>
      <w:r>
        <w:rPr>
          <w:w w:val="105"/>
        </w:rPr>
        <w:t>对国民经济具有重要价值的矿区的范围</w:t>
      </w:r>
      <w:r>
        <w:rPr>
          <w:rFonts w:hint="eastAsia" w:ascii="MS UI Gothic" w:eastAsia="MS UI Gothic"/>
          <w:w w:val="80"/>
        </w:rPr>
        <w:t xml:space="preserve">、 </w:t>
      </w:r>
      <w:r>
        <w:rPr>
          <w:w w:val="105"/>
        </w:rPr>
        <w:t>矿</w:t>
      </w:r>
      <w:r>
        <w:t>山企业矿区的范围依法划定后</w:t>
      </w:r>
      <w:r>
        <w:rPr>
          <w:rFonts w:hint="eastAsia" w:ascii="MS UI Gothic" w:eastAsia="MS UI Gothic"/>
          <w:w w:val="80"/>
        </w:rPr>
        <w:t xml:space="preserve">ꎬ </w:t>
      </w:r>
      <w:r>
        <w:t>由划定矿区范围的主管机关通知有关县级人民政府</w:t>
      </w:r>
      <w:r>
        <w:rPr>
          <w:w w:val="105"/>
        </w:rPr>
        <w:t>予以公告</w:t>
      </w:r>
      <w:r>
        <w:rPr>
          <w:rFonts w:hint="eastAsia" w:ascii="MS UI Gothic" w:eastAsia="MS UI Gothic"/>
          <w:w w:val="80"/>
        </w:rPr>
        <w:t>ꎮ</w:t>
      </w:r>
    </w:p>
    <w:p>
      <w:pPr>
        <w:pStyle w:val="6"/>
        <w:spacing w:line="295" w:lineRule="auto"/>
        <w:ind w:right="39"/>
        <w:rPr>
          <w:rFonts w:hint="eastAsia" w:ascii="MS UI Gothic" w:eastAsia="MS UI Gothic"/>
        </w:rPr>
      </w:pPr>
      <w:r>
        <w:t>矿山企业变更矿区范围</w:t>
      </w:r>
      <w:r>
        <w:rPr>
          <w:rFonts w:hint="eastAsia" w:ascii="MS UI Gothic" w:eastAsia="MS UI Gothic"/>
          <w:w w:val="80"/>
        </w:rPr>
        <w:t xml:space="preserve">ꎬ </w:t>
      </w:r>
      <w:r>
        <w:t>必须报请原审批机关批准</w:t>
      </w:r>
      <w:r>
        <w:rPr>
          <w:rFonts w:hint="eastAsia" w:ascii="MS UI Gothic" w:eastAsia="MS UI Gothic"/>
          <w:w w:val="80"/>
        </w:rPr>
        <w:t xml:space="preserve">ꎬ </w:t>
      </w:r>
      <w:r>
        <w:t>并报请原颁发采矿许可证的机关重新核发采矿许可证</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第十九条 地方各级人民政府应当采</w:t>
      </w:r>
      <w:r>
        <w:t>取措施</w:t>
      </w:r>
      <w:r>
        <w:rPr>
          <w:rFonts w:hint="eastAsia" w:ascii="MS UI Gothic" w:eastAsia="MS UI Gothic"/>
          <w:w w:val="80"/>
        </w:rPr>
        <w:t xml:space="preserve">ꎬ </w:t>
      </w:r>
      <w:r>
        <w:t>维护本行政区域内的国有矿山企业和其他矿山企业矿区范围内的正常</w:t>
      </w:r>
      <w:r>
        <w:rPr>
          <w:w w:val="105"/>
        </w:rPr>
        <w:t>秩序</w:t>
      </w:r>
      <w:r>
        <w:rPr>
          <w:rFonts w:hint="eastAsia" w:ascii="MS UI Gothic" w:eastAsia="MS UI Gothic"/>
          <w:w w:val="80"/>
        </w:rPr>
        <w:t>ꎮ</w:t>
      </w:r>
    </w:p>
    <w:p>
      <w:pPr>
        <w:pStyle w:val="6"/>
        <w:spacing w:line="295" w:lineRule="auto"/>
        <w:ind w:right="39"/>
        <w:rPr>
          <w:rFonts w:hint="eastAsia" w:ascii="MS UI Gothic" w:eastAsia="MS UI Gothic"/>
        </w:rPr>
      </w:pPr>
      <w:r>
        <w:t>禁止任何单位和个人进入他人依法设立的国有矿山企业和其他矿山企业矿区范</w:t>
      </w:r>
      <w:r>
        <w:rPr>
          <w:w w:val="105"/>
        </w:rPr>
        <w:t>围内采矿</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第二十条 非经国务院授权的有关主</w:t>
      </w:r>
      <w:r>
        <w:t>管部门同意</w:t>
      </w:r>
      <w:r>
        <w:rPr>
          <w:rFonts w:hint="eastAsia" w:ascii="MS UI Gothic" w:eastAsia="MS UI Gothic"/>
          <w:w w:val="80"/>
        </w:rPr>
        <w:t xml:space="preserve">ꎬ </w:t>
      </w:r>
      <w:r>
        <w:t>不得在下列地区开采矿产</w:t>
      </w:r>
      <w:r>
        <w:rPr>
          <w:w w:val="110"/>
        </w:rPr>
        <w:t>资源</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港口</w:t>
      </w:r>
      <w:r>
        <w:rPr>
          <w:rFonts w:hint="eastAsia" w:ascii="MS UI Gothic" w:eastAsia="MS UI Gothic"/>
          <w:w w:val="80"/>
        </w:rPr>
        <w:t xml:space="preserve">、 </w:t>
      </w:r>
      <w:r>
        <w:rPr>
          <w:w w:val="105"/>
        </w:rPr>
        <w:t>机场</w:t>
      </w:r>
      <w:r>
        <w:rPr>
          <w:rFonts w:hint="eastAsia" w:ascii="MS UI Gothic" w:eastAsia="MS UI Gothic"/>
          <w:w w:val="80"/>
        </w:rPr>
        <w:t xml:space="preserve">、 </w:t>
      </w:r>
      <w:r>
        <w:rPr>
          <w:w w:val="105"/>
        </w:rPr>
        <w:t>国防工程设施圈定地区以内</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5"/>
          <w:w w:val="105"/>
        </w:rPr>
        <w:t>重要工业区</w:t>
      </w:r>
      <w:r>
        <w:rPr>
          <w:rFonts w:hint="eastAsia" w:ascii="MS UI Gothic" w:eastAsia="MS UI Gothic"/>
          <w:spacing w:val="23"/>
          <w:w w:val="80"/>
        </w:rPr>
        <w:t xml:space="preserve">、 </w:t>
      </w:r>
      <w:r>
        <w:rPr>
          <w:spacing w:val="9"/>
          <w:w w:val="105"/>
        </w:rPr>
        <w:t>大型水利工程设</w:t>
      </w:r>
      <w:r>
        <w:rPr>
          <w:spacing w:val="3"/>
          <w:w w:val="105"/>
        </w:rPr>
        <w:t>施</w:t>
      </w:r>
      <w:r>
        <w:rPr>
          <w:rFonts w:hint="eastAsia" w:ascii="MS UI Gothic" w:eastAsia="MS UI Gothic"/>
          <w:spacing w:val="1"/>
          <w:w w:val="80"/>
        </w:rPr>
        <w:t xml:space="preserve">、 </w:t>
      </w:r>
      <w:r>
        <w:rPr>
          <w:spacing w:val="31"/>
          <w:w w:val="105"/>
        </w:rPr>
        <w:t>城镇市政工程设施附近一定距离</w:t>
      </w:r>
      <w:r>
        <w:rPr>
          <w:spacing w:val="3"/>
          <w:w w:val="105"/>
        </w:rPr>
        <w:t>以内</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9"/>
          <w:w w:val="150"/>
        </w:rPr>
        <w:t xml:space="preserve">) </w:t>
      </w:r>
      <w:r>
        <w:rPr>
          <w:spacing w:val="3"/>
          <w:w w:val="105"/>
        </w:rPr>
        <w:t>铁路</w:t>
      </w:r>
      <w:r>
        <w:rPr>
          <w:rFonts w:hint="eastAsia" w:ascii="MS UI Gothic" w:eastAsia="MS UI Gothic"/>
          <w:spacing w:val="22"/>
          <w:w w:val="80"/>
        </w:rPr>
        <w:t xml:space="preserve">、 </w:t>
      </w:r>
      <w:r>
        <w:rPr>
          <w:spacing w:val="8"/>
          <w:w w:val="105"/>
        </w:rPr>
        <w:t>重要公路两侧一定距离</w:t>
      </w:r>
      <w:r>
        <w:rPr>
          <w:spacing w:val="3"/>
          <w:w w:val="105"/>
        </w:rPr>
        <w:t>以内</w:t>
      </w:r>
      <w:r>
        <w:rPr>
          <w:rFonts w:hint="eastAsia" w:ascii="MS UI Gothic" w:eastAsia="MS UI Gothic"/>
          <w:w w:val="80"/>
        </w:rPr>
        <w:t>ꎻ</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重要河流</w:t>
      </w:r>
      <w:r>
        <w:rPr>
          <w:rFonts w:hint="eastAsia" w:ascii="MS UI Gothic" w:eastAsia="MS UI Gothic"/>
          <w:w w:val="80"/>
        </w:rPr>
        <w:t xml:space="preserve">、 </w:t>
      </w:r>
      <w:r>
        <w:rPr>
          <w:w w:val="105"/>
        </w:rPr>
        <w:t>堤坝两侧一定距离以内</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国家划定的自然保护区</w:t>
      </w:r>
      <w:r>
        <w:rPr>
          <w:rFonts w:hint="eastAsia" w:ascii="MS UI Gothic" w:eastAsia="MS UI Gothic"/>
          <w:w w:val="80"/>
        </w:rPr>
        <w:t xml:space="preserve">、 </w:t>
      </w:r>
      <w:r>
        <w:rPr>
          <w:w w:val="105"/>
        </w:rPr>
        <w:t>重要</w:t>
      </w:r>
      <w:r>
        <w:t>风景区</w:t>
      </w:r>
      <w:r>
        <w:rPr>
          <w:rFonts w:hint="eastAsia" w:ascii="MS UI Gothic" w:eastAsia="MS UI Gothic"/>
          <w:w w:val="80"/>
        </w:rPr>
        <w:t xml:space="preserve">ꎬ </w:t>
      </w:r>
      <w:r>
        <w:t>国家重点保护的不能移动的历史</w:t>
      </w:r>
      <w:r>
        <w:rPr>
          <w:w w:val="105"/>
        </w:rPr>
        <w:t>文物和名胜古迹所在地</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国家规定不得开采矿产资源的</w:t>
      </w:r>
      <w:r>
        <w:rPr>
          <w:w w:val="110"/>
        </w:rPr>
        <w:t>其他地区</w:t>
      </w:r>
      <w:r>
        <w:rPr>
          <w:rFonts w:hint="eastAsia" w:ascii="MS UI Gothic" w:eastAsia="MS UI Gothic"/>
          <w:w w:val="80"/>
        </w:rPr>
        <w:t>ꎮ</w:t>
      </w:r>
    </w:p>
    <w:p>
      <w:pPr>
        <w:pStyle w:val="6"/>
        <w:spacing w:line="295" w:lineRule="auto"/>
        <w:ind w:right="442"/>
        <w:rPr>
          <w:rFonts w:hint="eastAsia" w:ascii="MS UI Gothic" w:eastAsia="MS UI Gothic"/>
        </w:rPr>
      </w:pPr>
      <w:r>
        <w:t>第二十一条 关闭矿山</w:t>
      </w:r>
      <w:r>
        <w:rPr>
          <w:rFonts w:hint="eastAsia" w:ascii="MS UI Gothic" w:eastAsia="MS UI Gothic"/>
          <w:w w:val="80"/>
        </w:rPr>
        <w:t xml:space="preserve">ꎬ </w:t>
      </w:r>
      <w:r>
        <w:t>必须提出矿山闭坑报告及有关采掘工程</w:t>
      </w:r>
      <w:r>
        <w:rPr>
          <w:rFonts w:hint="eastAsia" w:ascii="MS UI Gothic" w:eastAsia="MS UI Gothic"/>
          <w:w w:val="80"/>
        </w:rPr>
        <w:t xml:space="preserve">、 </w:t>
      </w:r>
      <w:r>
        <w:t>不安全隐患</w:t>
      </w:r>
      <w:r>
        <w:rPr>
          <w:rFonts w:hint="eastAsia" w:ascii="MS UI Gothic" w:eastAsia="MS UI Gothic"/>
          <w:w w:val="80"/>
        </w:rPr>
        <w:t xml:space="preserve">、 </w:t>
      </w:r>
      <w:r>
        <w:t>土地复垦利用</w:t>
      </w:r>
      <w:r>
        <w:rPr>
          <w:rFonts w:hint="eastAsia" w:ascii="MS UI Gothic" w:eastAsia="MS UI Gothic"/>
          <w:w w:val="80"/>
        </w:rPr>
        <w:t xml:space="preserve">、 </w:t>
      </w:r>
      <w:r>
        <w:t>环境保护的资料</w:t>
      </w:r>
      <w:r>
        <w:rPr>
          <w:rFonts w:hint="eastAsia" w:ascii="MS UI Gothic" w:eastAsia="MS UI Gothic"/>
          <w:w w:val="80"/>
        </w:rPr>
        <w:t xml:space="preserve">ꎬ </w:t>
      </w:r>
      <w:r>
        <w:t>并按照国家规定报请审查批准</w:t>
      </w:r>
      <w:r>
        <w:rPr>
          <w:rFonts w:hint="eastAsia" w:ascii="MS UI Gothic" w:eastAsia="MS UI Gothic"/>
          <w:w w:val="80"/>
        </w:rPr>
        <w:t>ꎮ</w:t>
      </w:r>
    </w:p>
    <w:p>
      <w:pPr>
        <w:pStyle w:val="6"/>
        <w:spacing w:line="295" w:lineRule="auto"/>
        <w:ind w:right="442"/>
        <w:rPr>
          <w:rFonts w:hint="eastAsia" w:ascii="MS UI Gothic" w:eastAsia="MS UI Gothic"/>
        </w:rPr>
      </w:pPr>
      <w:r>
        <w:t>第二十二条  勘查</w:t>
      </w:r>
      <w:r>
        <w:rPr>
          <w:rFonts w:hint="eastAsia" w:ascii="MS UI Gothic" w:eastAsia="MS UI Gothic"/>
          <w:w w:val="80"/>
        </w:rPr>
        <w:t xml:space="preserve">、  </w:t>
      </w:r>
      <w:r>
        <w:t>开采矿产资源时</w:t>
      </w:r>
      <w:r>
        <w:rPr>
          <w:rFonts w:hint="eastAsia" w:ascii="MS UI Gothic" w:eastAsia="MS UI Gothic"/>
          <w:w w:val="80"/>
        </w:rPr>
        <w:t xml:space="preserve">ꎬ </w:t>
      </w:r>
      <w:r>
        <w:t>发现具有重大科学文化价值的罕见地质现象以及文化古迹</w:t>
      </w:r>
      <w:r>
        <w:rPr>
          <w:rFonts w:hint="eastAsia" w:ascii="MS UI Gothic" w:eastAsia="MS UI Gothic"/>
          <w:w w:val="80"/>
        </w:rPr>
        <w:t xml:space="preserve">ꎬ </w:t>
      </w:r>
      <w:r>
        <w:t>应当加以保护并及时报告有关部门</w:t>
      </w:r>
      <w:r>
        <w:rPr>
          <w:rFonts w:hint="eastAsia" w:ascii="MS UI Gothic" w:eastAsia="MS UI Gothic"/>
          <w:w w:val="80"/>
        </w:rPr>
        <w:t>ꎮ</w:t>
      </w:r>
    </w:p>
    <w:p>
      <w:pPr>
        <w:pStyle w:val="6"/>
        <w:tabs>
          <w:tab w:val="left" w:pos="1696"/>
        </w:tabs>
        <w:spacing w:before="145"/>
        <w:ind w:left="858" w:firstLine="0"/>
        <w:jc w:val="left"/>
      </w:pPr>
      <w:r>
        <w:rPr>
          <w:spacing w:val="3"/>
          <w:w w:val="105"/>
        </w:rPr>
        <w:t>第三</w:t>
      </w:r>
      <w:r>
        <w:rPr>
          <w:w w:val="105"/>
        </w:rPr>
        <w:t>章</w:t>
      </w:r>
      <w:r>
        <w:rPr>
          <w:w w:val="105"/>
        </w:rPr>
        <w:tab/>
      </w:r>
      <w:r>
        <w:rPr>
          <w:spacing w:val="3"/>
          <w:w w:val="105"/>
        </w:rPr>
        <w:t>矿产资源的勘</w:t>
      </w:r>
      <w:r>
        <w:rPr>
          <w:w w:val="105"/>
        </w:rPr>
        <w:t>查</w:t>
      </w:r>
    </w:p>
    <w:p>
      <w:pPr>
        <w:pStyle w:val="6"/>
        <w:spacing w:before="11"/>
        <w:ind w:left="0" w:firstLine="0"/>
        <w:jc w:val="left"/>
        <w:rPr>
          <w:sz w:val="16"/>
        </w:rPr>
      </w:pPr>
    </w:p>
    <w:p>
      <w:pPr>
        <w:pStyle w:val="6"/>
        <w:spacing w:line="295" w:lineRule="auto"/>
        <w:ind w:right="442"/>
        <w:rPr>
          <w:rFonts w:hint="eastAsia" w:ascii="MS UI Gothic" w:eastAsia="MS UI Gothic"/>
        </w:rPr>
      </w:pPr>
      <w:r>
        <w:t>第二十三条 区域地质调查按照国家统一规划进行</w:t>
      </w:r>
      <w:r>
        <w:rPr>
          <w:rFonts w:hint="eastAsia" w:ascii="MS UI Gothic" w:eastAsia="MS UI Gothic"/>
          <w:w w:val="80"/>
        </w:rPr>
        <w:t xml:space="preserve">ꎮ </w:t>
      </w:r>
      <w:r>
        <w:t>区域地质调查的报告和图件按照国家规定验收</w:t>
      </w:r>
      <w:r>
        <w:rPr>
          <w:rFonts w:hint="eastAsia" w:ascii="MS UI Gothic" w:eastAsia="MS UI Gothic"/>
          <w:w w:val="80"/>
        </w:rPr>
        <w:t xml:space="preserve">ꎬ </w:t>
      </w:r>
      <w:r>
        <w:t>提供有关部门使用</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第二十四条 矿产资源普查在完成主</w:t>
      </w:r>
      <w:r>
        <w:t>要矿种普查任务的同时</w:t>
      </w:r>
      <w:r>
        <w:rPr>
          <w:rFonts w:hint="eastAsia" w:ascii="MS UI Gothic" w:eastAsia="MS UI Gothic"/>
          <w:w w:val="80"/>
        </w:rPr>
        <w:t xml:space="preserve">ꎬ </w:t>
      </w:r>
      <w:r>
        <w:t>应当对工作区内包括共生或者伴生矿产的成矿地质条件和</w:t>
      </w:r>
      <w:r>
        <w:rPr>
          <w:w w:val="105"/>
        </w:rPr>
        <w:t>矿床工业远景作出初步综合评价</w:t>
      </w:r>
      <w:r>
        <w:rPr>
          <w:rFonts w:hint="eastAsia" w:ascii="MS UI Gothic" w:eastAsia="MS UI Gothic"/>
          <w:w w:val="80"/>
        </w:rPr>
        <w:t>ꎮ</w:t>
      </w:r>
    </w:p>
    <w:p>
      <w:pPr>
        <w:pStyle w:val="6"/>
        <w:spacing w:line="295" w:lineRule="auto"/>
        <w:ind w:right="442"/>
        <w:rPr>
          <w:rFonts w:hint="eastAsia" w:ascii="MS UI Gothic" w:eastAsia="MS UI Gothic"/>
        </w:rPr>
      </w:pPr>
      <w:r>
        <w:t>第二十五条 矿床勘探必须对矿区内具有工业价值的共生和伴生矿产进行综合评价</w:t>
      </w:r>
      <w:r>
        <w:rPr>
          <w:rFonts w:hint="eastAsia" w:ascii="MS UI Gothic" w:eastAsia="MS UI Gothic"/>
          <w:w w:val="80"/>
        </w:rPr>
        <w:t xml:space="preserve">ꎬ </w:t>
      </w:r>
      <w:r>
        <w:t>并计算其储量</w:t>
      </w:r>
      <w:r>
        <w:rPr>
          <w:rFonts w:hint="eastAsia" w:ascii="MS UI Gothic" w:eastAsia="MS UI Gothic"/>
          <w:w w:val="80"/>
        </w:rPr>
        <w:t xml:space="preserve">ꎮ </w:t>
      </w:r>
      <w:r>
        <w:t>未作综合评价的勘探报告不予批准</w:t>
      </w:r>
      <w:r>
        <w:rPr>
          <w:rFonts w:hint="eastAsia" w:ascii="MS UI Gothic" w:eastAsia="MS UI Gothic"/>
          <w:w w:val="80"/>
        </w:rPr>
        <w:t xml:space="preserve">ꎮ </w:t>
      </w:r>
      <w:r>
        <w:t>但是</w:t>
      </w:r>
      <w:r>
        <w:rPr>
          <w:rFonts w:hint="eastAsia" w:ascii="MS UI Gothic" w:eastAsia="MS UI Gothic"/>
          <w:w w:val="80"/>
        </w:rPr>
        <w:t xml:space="preserve">ꎬ </w:t>
      </w:r>
      <w:r>
        <w:t>国务院计划部门另有规定的矿床勘探项目除外</w:t>
      </w:r>
      <w:r>
        <w:rPr>
          <w:rFonts w:hint="eastAsia" w:ascii="MS UI Gothic" w:eastAsia="MS UI Gothic"/>
          <w:w w:val="80"/>
        </w:rPr>
        <w:t>ꎮ</w:t>
      </w:r>
    </w:p>
    <w:p>
      <w:pPr>
        <w:pStyle w:val="6"/>
        <w:spacing w:line="295" w:lineRule="auto"/>
        <w:ind w:right="442"/>
        <w:rPr>
          <w:rFonts w:hint="eastAsia" w:ascii="MS UI Gothic" w:eastAsia="MS UI Gothic"/>
        </w:rPr>
      </w:pPr>
      <w:r>
        <w:t>第二十六条 普查</w:t>
      </w:r>
      <w:r>
        <w:rPr>
          <w:rFonts w:hint="eastAsia" w:ascii="MS UI Gothic" w:eastAsia="MS UI Gothic"/>
          <w:w w:val="80"/>
        </w:rPr>
        <w:t xml:space="preserve">、 </w:t>
      </w:r>
      <w:r>
        <w:t>勘探易损坏的特种非金属矿产</w:t>
      </w:r>
      <w:r>
        <w:rPr>
          <w:rFonts w:hint="eastAsia" w:ascii="MS UI Gothic" w:eastAsia="MS UI Gothic"/>
          <w:w w:val="80"/>
        </w:rPr>
        <w:t xml:space="preserve">、 </w:t>
      </w:r>
      <w:r>
        <w:t>流体矿产</w:t>
      </w:r>
      <w:r>
        <w:rPr>
          <w:rFonts w:hint="eastAsia" w:ascii="MS UI Gothic" w:eastAsia="MS UI Gothic"/>
          <w:w w:val="80"/>
        </w:rPr>
        <w:t xml:space="preserve">、 </w:t>
      </w:r>
      <w:r>
        <w:t>易燃易爆易溶矿产和含有放射性元素的矿产</w:t>
      </w:r>
      <w:r>
        <w:rPr>
          <w:rFonts w:hint="eastAsia" w:ascii="MS UI Gothic" w:eastAsia="MS UI Gothic"/>
          <w:w w:val="80"/>
        </w:rPr>
        <w:t xml:space="preserve">ꎬ </w:t>
      </w:r>
      <w:r>
        <w:t>必须采用省级以上人民政府有关主管部门规定的普查</w:t>
      </w:r>
      <w:r>
        <w:rPr>
          <w:rFonts w:hint="eastAsia" w:ascii="MS UI Gothic" w:eastAsia="MS UI Gothic"/>
          <w:w w:val="80"/>
        </w:rPr>
        <w:t xml:space="preserve">、 </w:t>
      </w:r>
      <w:r>
        <w:t>勘探方法</w:t>
      </w:r>
      <w:r>
        <w:rPr>
          <w:rFonts w:hint="eastAsia" w:ascii="MS UI Gothic" w:eastAsia="MS UI Gothic"/>
          <w:w w:val="80"/>
        </w:rPr>
        <w:t xml:space="preserve">ꎬ </w:t>
      </w:r>
      <w:r>
        <w:t>并有必要的技术装备和安全措施</w:t>
      </w:r>
      <w:r>
        <w:rPr>
          <w:rFonts w:hint="eastAsia" w:ascii="MS UI Gothic" w:eastAsia="MS UI Gothic"/>
          <w:w w:val="80"/>
        </w:rPr>
        <w:t>ꎮ</w:t>
      </w:r>
    </w:p>
    <w:p>
      <w:pPr>
        <w:pStyle w:val="6"/>
        <w:spacing w:line="295" w:lineRule="auto"/>
        <w:ind w:right="442"/>
      </w:pPr>
      <w:r>
        <w:t>第二十七条 矿产资源勘查的原始地质编录和图件</w:t>
      </w:r>
      <w:r>
        <w:rPr>
          <w:rFonts w:hint="eastAsia" w:ascii="MS UI Gothic" w:eastAsia="MS UI Gothic"/>
          <w:w w:val="80"/>
        </w:rPr>
        <w:t xml:space="preserve">ꎬ </w:t>
      </w:r>
      <w:r>
        <w:t>岩矿心</w:t>
      </w:r>
      <w:r>
        <w:rPr>
          <w:rFonts w:hint="eastAsia" w:ascii="MS UI Gothic" w:eastAsia="MS UI Gothic"/>
          <w:w w:val="80"/>
        </w:rPr>
        <w:t xml:space="preserve">、 </w:t>
      </w:r>
      <w:r>
        <w:t>测试样品和其他实物标本资料</w:t>
      </w:r>
      <w:r>
        <w:rPr>
          <w:rFonts w:hint="eastAsia" w:ascii="MS UI Gothic" w:eastAsia="MS UI Gothic"/>
          <w:w w:val="80"/>
        </w:rPr>
        <w:t xml:space="preserve">ꎬ </w:t>
      </w:r>
      <w:r>
        <w:t>各种勘查标志</w:t>
      </w:r>
      <w:r>
        <w:rPr>
          <w:rFonts w:hint="eastAsia" w:ascii="MS UI Gothic" w:eastAsia="MS UI Gothic"/>
          <w:w w:val="80"/>
        </w:rPr>
        <w:t xml:space="preserve">ꎬ </w:t>
      </w:r>
      <w:r>
        <w:t>应当按照</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２１１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61" o:spid="_x0000_s1661" o:spt="203" style="height:2.15pt;width:398.25pt;" coordsize="7965,43">
            <o:lock v:ext="edit"/>
            <v:line id="_x0000_s1662" o:spid="_x0000_s1662" o:spt="20" style="position:absolute;left:0;top:39;height:0;width:7965;" stroked="t" coordsize="21600,21600">
              <v:path arrowok="t"/>
              <v:fill focussize="0,0"/>
              <v:stroke weight="0.388031496062992pt" color="#231F20"/>
              <v:imagedata o:title=""/>
              <o:lock v:ext="edit"/>
            </v:line>
            <v:line id="_x0000_s1663" o:spid="_x0000_s166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有关规定保护和保存</w:t>
      </w:r>
      <w:r>
        <w:rPr>
          <w:rFonts w:hint="eastAsia" w:ascii="MS UI Gothic" w:eastAsia="MS UI Gothic"/>
          <w:w w:val="80"/>
        </w:rPr>
        <w:t>ꎮ</w:t>
      </w:r>
    </w:p>
    <w:p>
      <w:pPr>
        <w:pStyle w:val="6"/>
        <w:spacing w:before="58" w:line="295" w:lineRule="auto"/>
        <w:ind w:left="440" w:right="1"/>
        <w:rPr>
          <w:rFonts w:hint="eastAsia" w:ascii="MS UI Gothic" w:eastAsia="MS UI Gothic"/>
        </w:rPr>
      </w:pPr>
      <w:r>
        <w:t>第二十八条 矿床勘探报告及其他有价值的勘查资料</w:t>
      </w:r>
      <w:r>
        <w:rPr>
          <w:rFonts w:hint="eastAsia" w:ascii="MS UI Gothic" w:eastAsia="MS UI Gothic"/>
          <w:w w:val="80"/>
        </w:rPr>
        <w:t xml:space="preserve">ꎬ </w:t>
      </w:r>
      <w:r>
        <w:t>按照国务院规定实行有偿使用</w:t>
      </w:r>
      <w:r>
        <w:rPr>
          <w:rFonts w:hint="eastAsia" w:ascii="MS UI Gothic" w:eastAsia="MS UI Gothic"/>
          <w:w w:val="80"/>
        </w:rPr>
        <w:t>ꎮ</w:t>
      </w:r>
    </w:p>
    <w:p>
      <w:pPr>
        <w:pStyle w:val="6"/>
        <w:tabs>
          <w:tab w:val="left" w:pos="2012"/>
        </w:tabs>
        <w:spacing w:before="155"/>
        <w:ind w:left="1174" w:firstLine="0"/>
        <w:jc w:val="left"/>
      </w:pPr>
      <w:r>
        <w:rPr>
          <w:spacing w:val="3"/>
          <w:w w:val="105"/>
        </w:rPr>
        <w:t>第四</w:t>
      </w:r>
      <w:r>
        <w:rPr>
          <w:w w:val="105"/>
        </w:rPr>
        <w:t>章</w:t>
      </w:r>
      <w:r>
        <w:rPr>
          <w:w w:val="105"/>
        </w:rPr>
        <w:tab/>
      </w:r>
      <w:r>
        <w:rPr>
          <w:spacing w:val="3"/>
        </w:rPr>
        <w:t>矿产资源的开</w:t>
      </w:r>
      <w:r>
        <w:t>采</w:t>
      </w:r>
    </w:p>
    <w:p>
      <w:pPr>
        <w:pStyle w:val="6"/>
        <w:spacing w:before="215" w:line="295" w:lineRule="auto"/>
        <w:ind w:left="440" w:right="1"/>
        <w:rPr>
          <w:rFonts w:hint="eastAsia" w:ascii="MS UI Gothic" w:eastAsia="MS UI Gothic"/>
        </w:rPr>
      </w:pPr>
      <w:r>
        <w:rPr>
          <w:spacing w:val="3"/>
        </w:rPr>
        <w:t>第二十九条 开采矿产资源</w:t>
      </w:r>
      <w:r>
        <w:rPr>
          <w:rFonts w:hint="eastAsia" w:ascii="MS UI Gothic" w:eastAsia="MS UI Gothic"/>
          <w:spacing w:val="8"/>
          <w:w w:val="80"/>
        </w:rPr>
        <w:t xml:space="preserve">ꎬ </w:t>
      </w:r>
      <w:r>
        <w:rPr>
          <w:spacing w:val="2"/>
        </w:rPr>
        <w:t>必须采</w:t>
      </w:r>
      <w:r>
        <w:rPr>
          <w:spacing w:val="12"/>
        </w:rPr>
        <w:t>取合理的开采顺序</w:t>
      </w:r>
      <w:r>
        <w:rPr>
          <w:rFonts w:hint="eastAsia" w:ascii="MS UI Gothic" w:eastAsia="MS UI Gothic"/>
          <w:spacing w:val="22"/>
          <w:w w:val="80"/>
        </w:rPr>
        <w:t xml:space="preserve">、 </w:t>
      </w:r>
      <w:r>
        <w:rPr>
          <w:spacing w:val="15"/>
        </w:rPr>
        <w:t>开采方法和选矿工</w:t>
      </w:r>
      <w:r>
        <w:rPr>
          <w:spacing w:val="3"/>
        </w:rPr>
        <w:t>艺</w:t>
      </w:r>
      <w:r>
        <w:rPr>
          <w:rFonts w:hint="eastAsia" w:ascii="MS UI Gothic" w:eastAsia="MS UI Gothic"/>
          <w:spacing w:val="11"/>
          <w:w w:val="80"/>
        </w:rPr>
        <w:t xml:space="preserve">ꎮ </w:t>
      </w:r>
      <w:r>
        <w:rPr>
          <w:spacing w:val="3"/>
        </w:rPr>
        <w:t>矿山企业的开采回采率</w:t>
      </w:r>
      <w:r>
        <w:rPr>
          <w:rFonts w:hint="eastAsia" w:ascii="MS UI Gothic" w:eastAsia="MS UI Gothic"/>
          <w:spacing w:val="11"/>
          <w:w w:val="80"/>
        </w:rPr>
        <w:t xml:space="preserve">、 </w:t>
      </w:r>
      <w:r>
        <w:rPr>
          <w:spacing w:val="2"/>
        </w:rPr>
        <w:t>采矿贫化率</w:t>
      </w:r>
      <w:r>
        <w:rPr>
          <w:spacing w:val="3"/>
        </w:rPr>
        <w:t>和选矿回收率应当达到设计要求</w:t>
      </w:r>
      <w:r>
        <w:rPr>
          <w:rFonts w:hint="eastAsia" w:ascii="MS UI Gothic" w:eastAsia="MS UI Gothic"/>
          <w:w w:val="80"/>
        </w:rPr>
        <w:t>ꎮ</w:t>
      </w:r>
    </w:p>
    <w:p>
      <w:pPr>
        <w:pStyle w:val="6"/>
        <w:spacing w:line="295" w:lineRule="auto"/>
        <w:ind w:left="440"/>
        <w:rPr>
          <w:rFonts w:hint="eastAsia" w:ascii="MS UI Gothic" w:eastAsia="MS UI Gothic"/>
        </w:rPr>
      </w:pPr>
      <w:r>
        <w:t>第三十条 在开采主要矿产的同时</w:t>
      </w:r>
      <w:r>
        <w:rPr>
          <w:rFonts w:hint="eastAsia" w:ascii="MS UI Gothic" w:eastAsia="MS UI Gothic"/>
          <w:w w:val="80"/>
        </w:rPr>
        <w:t>ꎬ</w:t>
      </w:r>
      <w:r>
        <w:t>对具有工业价值的共生和伴生矿产应当统一规划</w:t>
      </w:r>
      <w:r>
        <w:rPr>
          <w:rFonts w:hint="eastAsia" w:ascii="MS UI Gothic" w:eastAsia="MS UI Gothic"/>
          <w:w w:val="80"/>
        </w:rPr>
        <w:t xml:space="preserve">ꎬ </w:t>
      </w:r>
      <w:r>
        <w:t>综合开采</w:t>
      </w:r>
      <w:r>
        <w:rPr>
          <w:rFonts w:hint="eastAsia" w:ascii="MS UI Gothic" w:eastAsia="MS UI Gothic"/>
          <w:w w:val="80"/>
        </w:rPr>
        <w:t xml:space="preserve">ꎬ </w:t>
      </w:r>
      <w:r>
        <w:t>综合利用</w:t>
      </w:r>
      <w:r>
        <w:rPr>
          <w:rFonts w:hint="eastAsia" w:ascii="MS UI Gothic" w:eastAsia="MS UI Gothic"/>
          <w:w w:val="80"/>
        </w:rPr>
        <w:t xml:space="preserve">ꎬ </w:t>
      </w:r>
      <w:r>
        <w:t>防止浪费</w:t>
      </w:r>
      <w:r>
        <w:rPr>
          <w:rFonts w:hint="eastAsia" w:ascii="MS UI Gothic" w:eastAsia="MS UI Gothic"/>
          <w:w w:val="80"/>
        </w:rPr>
        <w:t xml:space="preserve">ꎻ </w:t>
      </w:r>
      <w:r>
        <w:t>对暂时不能综合开采或者必须同时采出而暂时还不能综合利用的矿产以及含有有用组分的尾矿</w:t>
      </w:r>
      <w:r>
        <w:rPr>
          <w:rFonts w:hint="eastAsia" w:ascii="MS UI Gothic" w:eastAsia="MS UI Gothic"/>
          <w:w w:val="80"/>
        </w:rPr>
        <w:t xml:space="preserve">ꎬ </w:t>
      </w:r>
      <w:r>
        <w:t>应当采取有效的保护措施</w:t>
      </w:r>
      <w:r>
        <w:rPr>
          <w:rFonts w:hint="eastAsia" w:ascii="MS UI Gothic" w:eastAsia="MS UI Gothic"/>
          <w:w w:val="80"/>
        </w:rPr>
        <w:t xml:space="preserve">ꎬ </w:t>
      </w:r>
      <w:r>
        <w:t>防止损失破坏</w:t>
      </w:r>
      <w:r>
        <w:rPr>
          <w:rFonts w:hint="eastAsia" w:ascii="MS UI Gothic" w:eastAsia="MS UI Gothic"/>
          <w:w w:val="80"/>
        </w:rPr>
        <w:t>ꎮ</w:t>
      </w:r>
    </w:p>
    <w:p>
      <w:pPr>
        <w:pStyle w:val="6"/>
        <w:spacing w:line="295" w:lineRule="auto"/>
        <w:ind w:left="440" w:right="1"/>
        <w:rPr>
          <w:rFonts w:hint="eastAsia" w:ascii="MS UI Gothic" w:eastAsia="MS UI Gothic"/>
        </w:rPr>
      </w:pPr>
      <w:r>
        <w:t>第三十一条 开采矿产资源</w:t>
      </w:r>
      <w:r>
        <w:rPr>
          <w:rFonts w:hint="eastAsia" w:ascii="MS UI Gothic" w:eastAsia="MS UI Gothic"/>
          <w:w w:val="80"/>
        </w:rPr>
        <w:t xml:space="preserve">ꎬ </w:t>
      </w:r>
      <w:r>
        <w:t>必须遵守国家劳动安全卫生规定</w:t>
      </w:r>
      <w:r>
        <w:rPr>
          <w:rFonts w:hint="eastAsia" w:ascii="MS UI Gothic" w:eastAsia="MS UI Gothic"/>
          <w:w w:val="80"/>
        </w:rPr>
        <w:t xml:space="preserve">ꎬ </w:t>
      </w:r>
      <w:r>
        <w:t>具备保障安全生产的必要条件</w:t>
      </w:r>
      <w:r>
        <w:rPr>
          <w:rFonts w:hint="eastAsia" w:ascii="MS UI Gothic" w:eastAsia="MS UI Gothic"/>
          <w:w w:val="80"/>
        </w:rPr>
        <w:t>ꎮ</w:t>
      </w:r>
    </w:p>
    <w:p>
      <w:pPr>
        <w:pStyle w:val="6"/>
        <w:spacing w:line="295" w:lineRule="auto"/>
        <w:ind w:left="440" w:right="1"/>
        <w:rPr>
          <w:rFonts w:hint="eastAsia" w:ascii="MS UI Gothic" w:eastAsia="MS UI Gothic"/>
        </w:rPr>
      </w:pPr>
      <w:r>
        <w:t>第三十二条 开采矿产资源</w:t>
      </w:r>
      <w:r>
        <w:rPr>
          <w:rFonts w:hint="eastAsia" w:ascii="MS UI Gothic" w:eastAsia="MS UI Gothic"/>
          <w:w w:val="80"/>
        </w:rPr>
        <w:t xml:space="preserve">ꎬ </w:t>
      </w:r>
      <w:r>
        <w:t>必须遵守有关环境保护的法律规定</w:t>
      </w:r>
      <w:r>
        <w:rPr>
          <w:rFonts w:hint="eastAsia" w:ascii="MS UI Gothic" w:eastAsia="MS UI Gothic"/>
          <w:w w:val="80"/>
        </w:rPr>
        <w:t xml:space="preserve">ꎬ </w:t>
      </w:r>
      <w:r>
        <w:t>防止污染环境</w:t>
      </w:r>
      <w:r>
        <w:rPr>
          <w:rFonts w:hint="eastAsia" w:ascii="MS UI Gothic" w:eastAsia="MS UI Gothic"/>
          <w:w w:val="80"/>
        </w:rPr>
        <w:t>ꎮ</w:t>
      </w:r>
    </w:p>
    <w:p>
      <w:pPr>
        <w:pStyle w:val="6"/>
        <w:spacing w:line="295" w:lineRule="auto"/>
        <w:ind w:left="440" w:right="1"/>
        <w:rPr>
          <w:rFonts w:hint="eastAsia" w:ascii="MS UI Gothic" w:eastAsia="MS UI Gothic"/>
        </w:rPr>
      </w:pPr>
      <w:r>
        <w:t>开采矿产资源</w:t>
      </w:r>
      <w:r>
        <w:rPr>
          <w:rFonts w:hint="eastAsia" w:ascii="MS UI Gothic" w:eastAsia="MS UI Gothic"/>
          <w:w w:val="80"/>
        </w:rPr>
        <w:t xml:space="preserve">ꎬ </w:t>
      </w:r>
      <w:r>
        <w:t>应当节约用地</w:t>
      </w:r>
      <w:r>
        <w:rPr>
          <w:rFonts w:hint="eastAsia" w:ascii="MS UI Gothic" w:eastAsia="MS UI Gothic"/>
          <w:w w:val="80"/>
        </w:rPr>
        <w:t xml:space="preserve">ꎮ </w:t>
      </w:r>
      <w:r>
        <w:t>耕地</w:t>
      </w:r>
      <w:r>
        <w:rPr>
          <w:rFonts w:hint="eastAsia" w:ascii="MS UI Gothic" w:eastAsia="MS UI Gothic"/>
          <w:w w:val="80"/>
        </w:rPr>
        <w:t xml:space="preserve">、 </w:t>
      </w:r>
      <w:r>
        <w:t>草原</w:t>
      </w:r>
      <w:r>
        <w:rPr>
          <w:rFonts w:hint="eastAsia" w:ascii="MS UI Gothic" w:eastAsia="MS UI Gothic"/>
          <w:w w:val="80"/>
        </w:rPr>
        <w:t xml:space="preserve">、 </w:t>
      </w:r>
      <w:r>
        <w:t>林地因采矿受到破坏的</w:t>
      </w:r>
      <w:r>
        <w:rPr>
          <w:rFonts w:hint="eastAsia" w:ascii="MS UI Gothic" w:eastAsia="MS UI Gothic"/>
          <w:w w:val="80"/>
        </w:rPr>
        <w:t xml:space="preserve">ꎬ </w:t>
      </w:r>
      <w:r>
        <w:t>矿山企业应当因地制宜地采取复垦利用</w:t>
      </w:r>
      <w:r>
        <w:rPr>
          <w:rFonts w:hint="eastAsia" w:ascii="MS UI Gothic" w:eastAsia="MS UI Gothic"/>
          <w:w w:val="80"/>
        </w:rPr>
        <w:t xml:space="preserve">、 </w:t>
      </w:r>
      <w:r>
        <w:t>植树种草或者其他利用措施</w:t>
      </w:r>
      <w:r>
        <w:rPr>
          <w:rFonts w:hint="eastAsia" w:ascii="MS UI Gothic" w:eastAsia="MS UI Gothic"/>
          <w:w w:val="80"/>
        </w:rPr>
        <w:t>ꎮ</w:t>
      </w:r>
    </w:p>
    <w:p>
      <w:pPr>
        <w:pStyle w:val="6"/>
        <w:spacing w:line="295" w:lineRule="auto"/>
        <w:ind w:left="440" w:right="1"/>
        <w:rPr>
          <w:rFonts w:hint="eastAsia" w:ascii="MS UI Gothic" w:eastAsia="MS UI Gothic"/>
        </w:rPr>
      </w:pPr>
      <w:r>
        <w:t>开采矿产资源给他人生产</w:t>
      </w:r>
      <w:r>
        <w:rPr>
          <w:rFonts w:hint="eastAsia" w:ascii="MS UI Gothic" w:eastAsia="MS UI Gothic"/>
          <w:w w:val="80"/>
        </w:rPr>
        <w:t xml:space="preserve">、 </w:t>
      </w:r>
      <w:r>
        <w:t>生活造成损失的</w:t>
      </w:r>
      <w:r>
        <w:rPr>
          <w:rFonts w:hint="eastAsia" w:ascii="MS UI Gothic" w:eastAsia="MS UI Gothic"/>
          <w:w w:val="80"/>
        </w:rPr>
        <w:t xml:space="preserve">ꎬ </w:t>
      </w:r>
      <w:r>
        <w:t>应当负责赔偿</w:t>
      </w:r>
      <w:r>
        <w:rPr>
          <w:rFonts w:hint="eastAsia" w:ascii="MS UI Gothic" w:eastAsia="MS UI Gothic"/>
          <w:w w:val="80"/>
        </w:rPr>
        <w:t xml:space="preserve">ꎬ </w:t>
      </w:r>
      <w:r>
        <w:t>并采取必要的补救措施</w:t>
      </w:r>
      <w:r>
        <w:rPr>
          <w:rFonts w:hint="eastAsia" w:ascii="MS UI Gothic" w:eastAsia="MS UI Gothic"/>
          <w:w w:val="80"/>
        </w:rPr>
        <w:t>ꎮ</w:t>
      </w:r>
    </w:p>
    <w:p>
      <w:pPr>
        <w:pStyle w:val="6"/>
        <w:spacing w:line="295" w:lineRule="auto"/>
        <w:ind w:left="440" w:right="1"/>
        <w:rPr>
          <w:rFonts w:hint="eastAsia" w:ascii="MS UI Gothic" w:eastAsia="MS UI Gothic"/>
        </w:rPr>
      </w:pPr>
      <w:r>
        <w:t>第三十三条 在建设铁路</w:t>
      </w:r>
      <w:r>
        <w:rPr>
          <w:rFonts w:hint="eastAsia" w:ascii="MS UI Gothic" w:eastAsia="MS UI Gothic"/>
          <w:w w:val="80"/>
        </w:rPr>
        <w:t xml:space="preserve">、 </w:t>
      </w:r>
      <w:r>
        <w:t>工厂</w:t>
      </w:r>
      <w:r>
        <w:rPr>
          <w:rFonts w:hint="eastAsia" w:ascii="MS UI Gothic" w:eastAsia="MS UI Gothic"/>
          <w:w w:val="80"/>
        </w:rPr>
        <w:t xml:space="preserve">、  </w:t>
      </w:r>
      <w:r>
        <w:t>水库</w:t>
      </w:r>
      <w:r>
        <w:rPr>
          <w:rFonts w:hint="eastAsia" w:ascii="MS UI Gothic" w:eastAsia="MS UI Gothic"/>
          <w:w w:val="80"/>
        </w:rPr>
        <w:t xml:space="preserve">、 </w:t>
      </w:r>
      <w:r>
        <w:t>输油管道</w:t>
      </w:r>
      <w:r>
        <w:rPr>
          <w:rFonts w:hint="eastAsia" w:ascii="MS UI Gothic" w:eastAsia="MS UI Gothic"/>
          <w:w w:val="80"/>
        </w:rPr>
        <w:t xml:space="preserve">、 </w:t>
      </w:r>
      <w:r>
        <w:t>输电线路和各种大型建筑物或者建筑群之前</w:t>
      </w:r>
      <w:r>
        <w:rPr>
          <w:rFonts w:hint="eastAsia" w:ascii="MS UI Gothic" w:eastAsia="MS UI Gothic"/>
          <w:w w:val="80"/>
        </w:rPr>
        <w:t xml:space="preserve">ꎬ </w:t>
      </w:r>
      <w:r>
        <w:t>建设单位必须向所在省</w:t>
      </w:r>
      <w:r>
        <w:rPr>
          <w:rFonts w:hint="eastAsia" w:ascii="MS UI Gothic" w:eastAsia="MS UI Gothic"/>
          <w:w w:val="80"/>
        </w:rPr>
        <w:t xml:space="preserve">、 </w:t>
      </w:r>
      <w:r>
        <w:t>自治区</w:t>
      </w:r>
      <w:r>
        <w:rPr>
          <w:rFonts w:hint="eastAsia" w:ascii="MS UI Gothic" w:eastAsia="MS UI Gothic"/>
          <w:w w:val="80"/>
        </w:rPr>
        <w:t xml:space="preserve">、 </w:t>
      </w:r>
      <w:r>
        <w:t>直辖市地质矿产主管部门了解拟建工程所在地区的矿产资源分布和开采情况</w:t>
      </w:r>
      <w:r>
        <w:rPr>
          <w:rFonts w:hint="eastAsia" w:ascii="MS UI Gothic" w:eastAsia="MS UI Gothic"/>
          <w:w w:val="80"/>
        </w:rPr>
        <w:t xml:space="preserve">ꎮ </w:t>
      </w:r>
      <w:r>
        <w:t>非经国务院授权的部门批准</w:t>
      </w:r>
      <w:r>
        <w:rPr>
          <w:rFonts w:hint="eastAsia" w:ascii="MS UI Gothic" w:eastAsia="MS UI Gothic"/>
          <w:w w:val="80"/>
        </w:rPr>
        <w:t xml:space="preserve">ꎬ </w:t>
      </w:r>
      <w:r>
        <w:t>不得压覆重要矿床</w:t>
      </w:r>
      <w:r>
        <w:rPr>
          <w:rFonts w:hint="eastAsia" w:ascii="MS UI Gothic" w:eastAsia="MS UI Gothic"/>
          <w:w w:val="80"/>
        </w:rPr>
        <w:t>ꎮ</w:t>
      </w:r>
    </w:p>
    <w:p>
      <w:pPr>
        <w:pStyle w:val="6"/>
        <w:spacing w:line="295" w:lineRule="auto"/>
        <w:ind w:left="440" w:right="1"/>
      </w:pPr>
      <w:r>
        <w:rPr>
          <w:w w:val="105"/>
        </w:rPr>
        <w:t>第三十四条 国务院规定由指定的单</w:t>
      </w:r>
      <w:r>
        <w:t>位统一收购的矿产品</w:t>
      </w:r>
      <w:r>
        <w:rPr>
          <w:rFonts w:hint="eastAsia" w:ascii="MS UI Gothic" w:eastAsia="MS UI Gothic"/>
          <w:w w:val="80"/>
        </w:rPr>
        <w:t xml:space="preserve">ꎬ </w:t>
      </w:r>
      <w:r>
        <w:t>任何其他单位或者</w:t>
      </w:r>
    </w:p>
    <w:p>
      <w:pPr>
        <w:pStyle w:val="6"/>
        <w:spacing w:before="124" w:line="295" w:lineRule="auto"/>
        <w:ind w:left="381" w:right="126" w:firstLine="0"/>
        <w:jc w:val="left"/>
        <w:rPr>
          <w:rFonts w:hint="eastAsia" w:ascii="MS UI Gothic" w:eastAsia="MS UI Gothic"/>
        </w:rPr>
      </w:pPr>
      <w:r>
        <w:br w:type="column"/>
      </w:r>
      <w:r>
        <w:t>个人不得收购</w:t>
      </w:r>
      <w:r>
        <w:rPr>
          <w:rFonts w:hint="eastAsia" w:ascii="MS UI Gothic" w:eastAsia="MS UI Gothic"/>
          <w:w w:val="80"/>
        </w:rPr>
        <w:t xml:space="preserve">ꎻ </w:t>
      </w:r>
      <w:r>
        <w:t>开采者不得向非指定单位销售</w:t>
      </w:r>
      <w:r>
        <w:rPr>
          <w:rFonts w:hint="eastAsia" w:ascii="MS UI Gothic" w:eastAsia="MS UI Gothic"/>
          <w:w w:val="80"/>
        </w:rPr>
        <w:t>ꎮ</w:t>
      </w:r>
    </w:p>
    <w:p>
      <w:pPr>
        <w:pStyle w:val="6"/>
        <w:tabs>
          <w:tab w:val="left" w:pos="1533"/>
        </w:tabs>
        <w:spacing w:before="156"/>
        <w:ind w:left="695" w:firstLine="0"/>
        <w:jc w:val="left"/>
      </w:pPr>
      <w:r>
        <w:rPr>
          <w:spacing w:val="3"/>
          <w:w w:val="105"/>
        </w:rPr>
        <w:t>第五</w:t>
      </w:r>
      <w:r>
        <w:rPr>
          <w:w w:val="105"/>
        </w:rPr>
        <w:t>章</w:t>
      </w:r>
      <w:r>
        <w:rPr>
          <w:w w:val="105"/>
        </w:rPr>
        <w:tab/>
      </w:r>
      <w:r>
        <w:rPr>
          <w:spacing w:val="3"/>
          <w:w w:val="105"/>
        </w:rPr>
        <w:t>集体矿山企业和个体采</w:t>
      </w:r>
      <w:r>
        <w:rPr>
          <w:w w:val="105"/>
        </w:rPr>
        <w:t>矿</w:t>
      </w:r>
    </w:p>
    <w:p>
      <w:pPr>
        <w:pStyle w:val="6"/>
        <w:spacing w:before="215" w:line="295" w:lineRule="auto"/>
        <w:ind w:left="381" w:right="126"/>
        <w:rPr>
          <w:rFonts w:hint="eastAsia" w:ascii="MS UI Gothic" w:eastAsia="MS UI Gothic"/>
        </w:rPr>
      </w:pPr>
      <w:r>
        <w:rPr>
          <w:w w:val="105"/>
        </w:rPr>
        <w:t>第三十五条 国家对集体矿山企业和个体采矿实行积极扶持</w:t>
      </w:r>
      <w:r>
        <w:rPr>
          <w:rFonts w:hint="eastAsia" w:ascii="MS UI Gothic" w:eastAsia="MS UI Gothic"/>
          <w:w w:val="80"/>
        </w:rPr>
        <w:t xml:space="preserve">、 </w:t>
      </w:r>
      <w:r>
        <w:rPr>
          <w:w w:val="105"/>
        </w:rPr>
        <w:t>合理规划</w:t>
      </w:r>
      <w:r>
        <w:rPr>
          <w:rFonts w:hint="eastAsia" w:ascii="MS UI Gothic" w:eastAsia="MS UI Gothic"/>
          <w:w w:val="80"/>
        </w:rPr>
        <w:t xml:space="preserve">、 </w:t>
      </w:r>
      <w:r>
        <w:rPr>
          <w:w w:val="105"/>
        </w:rPr>
        <w:t>正确引导</w:t>
      </w:r>
      <w:r>
        <w:rPr>
          <w:rFonts w:hint="eastAsia" w:ascii="MS UI Gothic" w:eastAsia="MS UI Gothic"/>
          <w:w w:val="80"/>
        </w:rPr>
        <w:t xml:space="preserve">、 </w:t>
      </w:r>
      <w:r>
        <w:rPr>
          <w:w w:val="105"/>
        </w:rPr>
        <w:t>加强管理的方针</w:t>
      </w:r>
      <w:r>
        <w:rPr>
          <w:rFonts w:hint="eastAsia" w:ascii="MS UI Gothic" w:eastAsia="MS UI Gothic"/>
          <w:w w:val="80"/>
        </w:rPr>
        <w:t xml:space="preserve">ꎬ </w:t>
      </w:r>
      <w:r>
        <w:rPr>
          <w:w w:val="105"/>
        </w:rPr>
        <w:t>鼓励集体矿山企</w:t>
      </w:r>
      <w:r>
        <w:t>业开采国家指定范围内的矿产资源</w:t>
      </w:r>
      <w:r>
        <w:rPr>
          <w:rFonts w:hint="eastAsia" w:ascii="MS UI Gothic" w:eastAsia="MS UI Gothic"/>
          <w:w w:val="80"/>
        </w:rPr>
        <w:t xml:space="preserve">ꎬ </w:t>
      </w:r>
      <w:r>
        <w:t>允许个人采挖零星分散资源和只能用作普通建</w:t>
      </w:r>
      <w:r>
        <w:rPr>
          <w:w w:val="105"/>
        </w:rPr>
        <w:t>筑材料的砂</w:t>
      </w:r>
      <w:r>
        <w:rPr>
          <w:rFonts w:hint="eastAsia" w:ascii="MS UI Gothic" w:eastAsia="MS UI Gothic"/>
          <w:w w:val="80"/>
        </w:rPr>
        <w:t xml:space="preserve">、 </w:t>
      </w:r>
      <w:r>
        <w:rPr>
          <w:w w:val="105"/>
        </w:rPr>
        <w:t>石</w:t>
      </w:r>
      <w:r>
        <w:rPr>
          <w:rFonts w:hint="eastAsia" w:ascii="MS UI Gothic" w:eastAsia="MS UI Gothic"/>
          <w:w w:val="80"/>
        </w:rPr>
        <w:t xml:space="preserve">、 </w:t>
      </w:r>
      <w:r>
        <w:rPr>
          <w:w w:val="105"/>
        </w:rPr>
        <w:t>粘土以及为生活自用采挖少量矿产</w:t>
      </w:r>
      <w:r>
        <w:rPr>
          <w:rFonts w:hint="eastAsia" w:ascii="MS UI Gothic" w:eastAsia="MS UI Gothic"/>
          <w:w w:val="80"/>
        </w:rPr>
        <w:t>ꎮ</w:t>
      </w:r>
    </w:p>
    <w:p>
      <w:pPr>
        <w:pStyle w:val="6"/>
        <w:spacing w:line="295" w:lineRule="auto"/>
        <w:ind w:left="381" w:right="126"/>
        <w:rPr>
          <w:rFonts w:hint="eastAsia" w:ascii="MS UI Gothic" w:eastAsia="MS UI Gothic"/>
        </w:rPr>
      </w:pPr>
      <w:r>
        <w:t>矿产储量规模适宜由矿山企业开采的</w:t>
      </w:r>
      <w:r>
        <w:rPr>
          <w:w w:val="105"/>
        </w:rPr>
        <w:t>矿产资源</w:t>
      </w:r>
      <w:r>
        <w:rPr>
          <w:rFonts w:hint="eastAsia" w:ascii="MS UI Gothic" w:eastAsia="MS UI Gothic"/>
          <w:w w:val="80"/>
        </w:rPr>
        <w:t xml:space="preserve">、 </w:t>
      </w:r>
      <w:r>
        <w:rPr>
          <w:w w:val="105"/>
        </w:rPr>
        <w:t>国家规定实行保护性开采的特</w:t>
      </w:r>
      <w:r>
        <w:t>定矿种和国家规定禁止个人开采的其他矿</w:t>
      </w:r>
      <w:r>
        <w:rPr>
          <w:w w:val="105"/>
        </w:rPr>
        <w:t>产资源</w:t>
      </w:r>
      <w:r>
        <w:rPr>
          <w:rFonts w:hint="eastAsia" w:ascii="MS UI Gothic" w:eastAsia="MS UI Gothic"/>
          <w:w w:val="80"/>
        </w:rPr>
        <w:t xml:space="preserve">ꎬ </w:t>
      </w:r>
      <w:r>
        <w:rPr>
          <w:w w:val="105"/>
        </w:rPr>
        <w:t>个人不得开采</w:t>
      </w:r>
      <w:r>
        <w:rPr>
          <w:rFonts w:hint="eastAsia" w:ascii="MS UI Gothic" w:eastAsia="MS UI Gothic"/>
          <w:w w:val="80"/>
        </w:rPr>
        <w:t>ꎮ</w:t>
      </w:r>
    </w:p>
    <w:p>
      <w:pPr>
        <w:pStyle w:val="6"/>
        <w:spacing w:line="295" w:lineRule="auto"/>
        <w:ind w:left="381" w:right="126"/>
        <w:rPr>
          <w:rFonts w:hint="eastAsia" w:ascii="MS UI Gothic" w:eastAsia="MS UI Gothic"/>
        </w:rPr>
      </w:pPr>
      <w:r>
        <w:t>国家指导</w:t>
      </w:r>
      <w:r>
        <w:rPr>
          <w:rFonts w:hint="eastAsia" w:ascii="MS UI Gothic" w:eastAsia="MS UI Gothic"/>
          <w:w w:val="80"/>
        </w:rPr>
        <w:t xml:space="preserve">、 </w:t>
      </w:r>
      <w:r>
        <w:t>帮助集体矿山企业和个体采矿不断提高技术水平</w:t>
      </w:r>
      <w:r>
        <w:rPr>
          <w:rFonts w:hint="eastAsia" w:ascii="MS UI Gothic" w:eastAsia="MS UI Gothic"/>
          <w:w w:val="80"/>
        </w:rPr>
        <w:t xml:space="preserve">、 </w:t>
      </w:r>
      <w:r>
        <w:t>资源利用率和经济效益</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地质矿产主管部门</w:t>
      </w:r>
      <w:r>
        <w:rPr>
          <w:rFonts w:hint="eastAsia" w:ascii="MS UI Gothic" w:eastAsia="MS UI Gothic"/>
          <w:w w:val="80"/>
        </w:rPr>
        <w:t xml:space="preserve">、 </w:t>
      </w:r>
      <w:r>
        <w:rPr>
          <w:w w:val="105"/>
        </w:rPr>
        <w:t>地质工作单位和国有矿山企业应当按照积极支持</w:t>
      </w:r>
      <w:r>
        <w:rPr>
          <w:rFonts w:hint="eastAsia" w:ascii="MS UI Gothic" w:eastAsia="MS UI Gothic"/>
          <w:w w:val="80"/>
        </w:rPr>
        <w:t xml:space="preserve">、 </w:t>
      </w:r>
      <w:r>
        <w:rPr>
          <w:w w:val="105"/>
        </w:rPr>
        <w:t>有偿互</w:t>
      </w:r>
      <w:r>
        <w:t>惠的原则向集体矿山企业和个体采矿提供</w:t>
      </w:r>
      <w:r>
        <w:rPr>
          <w:w w:val="105"/>
        </w:rPr>
        <w:t>地质资料和技术服务</w:t>
      </w:r>
      <w:r>
        <w:rPr>
          <w:rFonts w:hint="eastAsia" w:ascii="MS UI Gothic" w:eastAsia="MS UI Gothic"/>
          <w:w w:val="80"/>
        </w:rPr>
        <w:t>ꎮ</w:t>
      </w:r>
    </w:p>
    <w:p>
      <w:pPr>
        <w:pStyle w:val="6"/>
        <w:spacing w:line="295" w:lineRule="auto"/>
        <w:ind w:left="381" w:right="126"/>
        <w:rPr>
          <w:rFonts w:hint="eastAsia" w:ascii="MS UI Gothic" w:eastAsia="MS UI Gothic"/>
        </w:rPr>
      </w:pPr>
      <w:r>
        <w:t>第三十六条 国务院和国务院有关主管部门批准开办的矿山企业矿区范围内已有的集体矿山企业</w:t>
      </w:r>
      <w:r>
        <w:rPr>
          <w:rFonts w:hint="eastAsia" w:ascii="MS UI Gothic" w:eastAsia="MS UI Gothic"/>
          <w:w w:val="80"/>
        </w:rPr>
        <w:t xml:space="preserve">ꎬ </w:t>
      </w:r>
      <w:r>
        <w:t>应当关闭或者到指定的其他地点开采</w:t>
      </w:r>
      <w:r>
        <w:rPr>
          <w:rFonts w:hint="eastAsia" w:ascii="MS UI Gothic" w:eastAsia="MS UI Gothic"/>
          <w:w w:val="80"/>
        </w:rPr>
        <w:t xml:space="preserve">ꎬ </w:t>
      </w:r>
      <w:r>
        <w:t>由矿山建设单位给予合理的补偿</w:t>
      </w:r>
      <w:r>
        <w:rPr>
          <w:rFonts w:hint="eastAsia" w:ascii="MS UI Gothic" w:eastAsia="MS UI Gothic"/>
          <w:w w:val="80"/>
        </w:rPr>
        <w:t xml:space="preserve">ꎬ </w:t>
      </w:r>
      <w:r>
        <w:t>并妥善安置群众生活</w:t>
      </w:r>
      <w:r>
        <w:rPr>
          <w:rFonts w:hint="eastAsia" w:ascii="MS UI Gothic" w:eastAsia="MS UI Gothic"/>
          <w:w w:val="80"/>
        </w:rPr>
        <w:t xml:space="preserve">ꎻ </w:t>
      </w:r>
      <w:r>
        <w:t>也可以按照该矿山企业的统筹安排</w:t>
      </w:r>
      <w:r>
        <w:rPr>
          <w:rFonts w:hint="eastAsia" w:ascii="MS UI Gothic" w:eastAsia="MS UI Gothic"/>
          <w:w w:val="80"/>
        </w:rPr>
        <w:t xml:space="preserve">ꎬ </w:t>
      </w:r>
      <w:r>
        <w:t>实行联合经营</w:t>
      </w:r>
      <w:r>
        <w:rPr>
          <w:rFonts w:hint="eastAsia" w:ascii="MS UI Gothic" w:eastAsia="MS UI Gothic"/>
          <w:w w:val="80"/>
        </w:rPr>
        <w:t>ꎮ</w:t>
      </w:r>
    </w:p>
    <w:p>
      <w:pPr>
        <w:pStyle w:val="6"/>
        <w:spacing w:line="295" w:lineRule="auto"/>
        <w:ind w:left="381" w:right="126"/>
        <w:rPr>
          <w:rFonts w:hint="eastAsia" w:ascii="MS UI Gothic" w:eastAsia="MS UI Gothic"/>
        </w:rPr>
      </w:pPr>
      <w:r>
        <w:t>第三十七条 集体矿山企业和个体采矿应当提高技术水平</w:t>
      </w:r>
      <w:r>
        <w:rPr>
          <w:rFonts w:hint="eastAsia" w:ascii="MS UI Gothic" w:eastAsia="MS UI Gothic"/>
          <w:w w:val="80"/>
        </w:rPr>
        <w:t xml:space="preserve">ꎬ </w:t>
      </w:r>
      <w:r>
        <w:t>提高矿产资源回收率</w:t>
      </w:r>
      <w:r>
        <w:rPr>
          <w:rFonts w:hint="eastAsia" w:ascii="MS UI Gothic" w:eastAsia="MS UI Gothic"/>
          <w:w w:val="80"/>
        </w:rPr>
        <w:t xml:space="preserve">ꎮ </w:t>
      </w:r>
      <w:r>
        <w:t>禁止乱挖滥采</w:t>
      </w:r>
      <w:r>
        <w:rPr>
          <w:rFonts w:hint="eastAsia" w:ascii="MS UI Gothic" w:eastAsia="MS UI Gothic"/>
          <w:w w:val="80"/>
        </w:rPr>
        <w:t xml:space="preserve">ꎬ </w:t>
      </w:r>
      <w:r>
        <w:t>破坏矿产资源</w:t>
      </w:r>
      <w:r>
        <w:rPr>
          <w:rFonts w:hint="eastAsia" w:ascii="MS UI Gothic" w:eastAsia="MS UI Gothic"/>
          <w:w w:val="80"/>
        </w:rPr>
        <w:t>ꎮ</w:t>
      </w:r>
    </w:p>
    <w:p>
      <w:pPr>
        <w:pStyle w:val="6"/>
        <w:spacing w:line="295" w:lineRule="auto"/>
        <w:ind w:left="381" w:right="126"/>
        <w:rPr>
          <w:rFonts w:hint="eastAsia" w:ascii="MS UI Gothic" w:eastAsia="MS UI Gothic"/>
        </w:rPr>
      </w:pPr>
      <w:r>
        <w:t>集体矿山企业必须测绘井上</w:t>
      </w:r>
      <w:r>
        <w:rPr>
          <w:rFonts w:hint="eastAsia" w:ascii="MS UI Gothic" w:eastAsia="MS UI Gothic"/>
          <w:w w:val="80"/>
        </w:rPr>
        <w:t xml:space="preserve">、 </w:t>
      </w:r>
      <w:r>
        <w:t>井下工程对照图</w:t>
      </w:r>
      <w:r>
        <w:rPr>
          <w:rFonts w:hint="eastAsia" w:ascii="MS UI Gothic" w:eastAsia="MS UI Gothic"/>
          <w:w w:val="80"/>
        </w:rPr>
        <w:t>ꎮ</w:t>
      </w:r>
    </w:p>
    <w:p>
      <w:pPr>
        <w:pStyle w:val="6"/>
        <w:spacing w:line="295" w:lineRule="auto"/>
        <w:ind w:left="381" w:right="126"/>
        <w:rPr>
          <w:rFonts w:hint="eastAsia" w:ascii="MS UI Gothic" w:eastAsia="MS UI Gothic"/>
        </w:rPr>
      </w:pPr>
      <w:r>
        <w:t>第三十八条 县级以上人民政府应当指导</w:t>
      </w:r>
      <w:r>
        <w:rPr>
          <w:rFonts w:hint="eastAsia" w:ascii="MS UI Gothic" w:eastAsia="MS UI Gothic"/>
          <w:w w:val="80"/>
        </w:rPr>
        <w:t xml:space="preserve">、 </w:t>
      </w:r>
      <w:r>
        <w:t>帮助集体矿山企业和个体采矿进行技术改造</w:t>
      </w:r>
      <w:r>
        <w:rPr>
          <w:rFonts w:hint="eastAsia" w:ascii="MS UI Gothic" w:eastAsia="MS UI Gothic"/>
          <w:w w:val="80"/>
        </w:rPr>
        <w:t xml:space="preserve">ꎬ </w:t>
      </w:r>
      <w:r>
        <w:t>改善经营管理</w:t>
      </w:r>
      <w:r>
        <w:rPr>
          <w:rFonts w:hint="eastAsia" w:ascii="MS UI Gothic" w:eastAsia="MS UI Gothic"/>
          <w:w w:val="80"/>
        </w:rPr>
        <w:t xml:space="preserve">ꎬ </w:t>
      </w:r>
      <w:r>
        <w:t>加强安全生产</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２１２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64" o:spid="_x0000_s1664" o:spt="203" style="height:2.15pt;width:398.25pt;" coordsize="7965,43">
            <o:lock v:ext="edit"/>
            <v:line id="_x0000_s1665" o:spid="_x0000_s1665" o:spt="20" style="position:absolute;left:0;top:39;height:0;width:7965;" stroked="t" coordsize="21600,21600">
              <v:path arrowok="t"/>
              <v:fill focussize="0,0"/>
              <v:stroke weight="0.388031496062992pt" color="#231F20"/>
              <v:imagedata o:title=""/>
              <o:lock v:ext="edit"/>
            </v:line>
            <v:line id="_x0000_s1666" o:spid="_x0000_s166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1906"/>
        </w:tabs>
        <w:ind w:left="1067" w:firstLine="0"/>
        <w:jc w:val="left"/>
      </w:pPr>
      <w:r>
        <w:rPr>
          <w:spacing w:val="3"/>
          <w:w w:val="105"/>
        </w:rPr>
        <w:t>第六</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right="38"/>
        <w:rPr>
          <w:rFonts w:hint="eastAsia" w:ascii="MS UI Gothic" w:eastAsia="MS UI Gothic"/>
        </w:rPr>
      </w:pPr>
      <w:r>
        <w:t>第三十九条 违反本法规定</w:t>
      </w:r>
      <w:r>
        <w:rPr>
          <w:rFonts w:hint="eastAsia" w:ascii="MS UI Gothic" w:eastAsia="MS UI Gothic"/>
          <w:w w:val="80"/>
        </w:rPr>
        <w:t xml:space="preserve">ꎬ </w:t>
      </w:r>
      <w:r>
        <w:t>未取得采矿许可证擅自采矿的</w:t>
      </w:r>
      <w:r>
        <w:rPr>
          <w:rFonts w:hint="eastAsia" w:ascii="MS UI Gothic" w:eastAsia="MS UI Gothic"/>
          <w:w w:val="80"/>
        </w:rPr>
        <w:t xml:space="preserve">ꎬ </w:t>
      </w:r>
      <w:r>
        <w:t>擅自进入国家规划矿区</w:t>
      </w:r>
      <w:r>
        <w:rPr>
          <w:rFonts w:hint="eastAsia" w:ascii="MS UI Gothic" w:eastAsia="MS UI Gothic"/>
          <w:w w:val="80"/>
        </w:rPr>
        <w:t xml:space="preserve">、 </w:t>
      </w:r>
      <w:r>
        <w:t>对国民经济具有重要价值的矿区范围采矿的</w:t>
      </w:r>
      <w:r>
        <w:rPr>
          <w:rFonts w:hint="eastAsia" w:ascii="MS UI Gothic" w:eastAsia="MS UI Gothic"/>
          <w:w w:val="80"/>
        </w:rPr>
        <w:t xml:space="preserve">ꎬ </w:t>
      </w:r>
      <w:r>
        <w:t>擅自开采国家规定实行保护性开采的特定矿种的</w:t>
      </w:r>
      <w:r>
        <w:rPr>
          <w:rFonts w:hint="eastAsia" w:ascii="MS UI Gothic" w:eastAsia="MS UI Gothic"/>
          <w:w w:val="80"/>
        </w:rPr>
        <w:t xml:space="preserve">ꎬ </w:t>
      </w:r>
      <w:r>
        <w:t>责令停止开采</w:t>
      </w:r>
      <w:r>
        <w:rPr>
          <w:rFonts w:hint="eastAsia" w:ascii="MS UI Gothic" w:eastAsia="MS UI Gothic"/>
          <w:w w:val="80"/>
        </w:rPr>
        <w:t xml:space="preserve">、 </w:t>
      </w:r>
      <w:r>
        <w:t>赔偿损失</w:t>
      </w:r>
      <w:r>
        <w:rPr>
          <w:rFonts w:hint="eastAsia" w:ascii="MS UI Gothic" w:eastAsia="MS UI Gothic"/>
          <w:w w:val="80"/>
        </w:rPr>
        <w:t xml:space="preserve">ꎬ </w:t>
      </w:r>
      <w:r>
        <w:t>没收采出的矿产品和违法所得</w:t>
      </w:r>
      <w:r>
        <w:rPr>
          <w:rFonts w:hint="eastAsia" w:ascii="MS UI Gothic" w:eastAsia="MS UI Gothic"/>
          <w:w w:val="80"/>
        </w:rPr>
        <w:t>ꎬ</w:t>
      </w:r>
      <w:r>
        <w:t>可以并处罚款</w:t>
      </w:r>
      <w:r>
        <w:rPr>
          <w:rFonts w:hint="eastAsia" w:ascii="MS UI Gothic" w:eastAsia="MS UI Gothic"/>
          <w:w w:val="80"/>
        </w:rPr>
        <w:t xml:space="preserve">ꎻ </w:t>
      </w:r>
      <w:r>
        <w:t>拒不停止开采</w:t>
      </w:r>
      <w:r>
        <w:rPr>
          <w:rFonts w:hint="eastAsia" w:ascii="MS UI Gothic" w:eastAsia="MS UI Gothic"/>
          <w:w w:val="80"/>
        </w:rPr>
        <w:t xml:space="preserve">ꎬ </w:t>
      </w:r>
      <w:r>
        <w:t>造成矿产资源破坏的</w:t>
      </w:r>
      <w:r>
        <w:rPr>
          <w:rFonts w:hint="eastAsia" w:ascii="MS UI Gothic" w:eastAsia="MS UI Gothic"/>
          <w:w w:val="80"/>
        </w:rPr>
        <w:t xml:space="preserve">ꎬ </w:t>
      </w:r>
      <w:r>
        <w:t>依照刑法第一百五十六条的规定对直接责任人员追究刑事责任</w:t>
      </w:r>
      <w:r>
        <w:rPr>
          <w:rFonts w:hint="eastAsia" w:ascii="MS UI Gothic" w:eastAsia="MS UI Gothic"/>
          <w:w w:val="80"/>
        </w:rPr>
        <w:t>ꎮ</w:t>
      </w:r>
    </w:p>
    <w:p>
      <w:pPr>
        <w:pStyle w:val="6"/>
        <w:spacing w:line="295" w:lineRule="auto"/>
        <w:ind w:right="39"/>
        <w:rPr>
          <w:rFonts w:hint="eastAsia" w:ascii="MS UI Gothic" w:eastAsia="MS UI Gothic"/>
        </w:rPr>
      </w:pPr>
      <w:r>
        <w:t>单位和个人进入他人依法设立的国有矿山企业和其他矿山企业矿区范围内采矿</w:t>
      </w:r>
      <w:r>
        <w:rPr>
          <w:w w:val="105"/>
        </w:rPr>
        <w:t>的</w:t>
      </w:r>
      <w:r>
        <w:rPr>
          <w:rFonts w:hint="eastAsia" w:ascii="MS UI Gothic" w:eastAsia="MS UI Gothic"/>
          <w:w w:val="80"/>
        </w:rPr>
        <w:t xml:space="preserve">ꎬ </w:t>
      </w:r>
      <w:r>
        <w:rPr>
          <w:w w:val="105"/>
        </w:rPr>
        <w:t>依照前款规定处罚</w:t>
      </w:r>
      <w:r>
        <w:rPr>
          <w:rFonts w:hint="eastAsia" w:ascii="MS UI Gothic" w:eastAsia="MS UI Gothic"/>
          <w:w w:val="80"/>
        </w:rPr>
        <w:t>ꎮ</w:t>
      </w:r>
    </w:p>
    <w:p>
      <w:pPr>
        <w:pStyle w:val="6"/>
        <w:spacing w:line="295" w:lineRule="auto"/>
        <w:ind w:right="38"/>
        <w:rPr>
          <w:rFonts w:hint="eastAsia" w:ascii="MS UI Gothic" w:eastAsia="MS UI Gothic"/>
        </w:rPr>
      </w:pPr>
      <w:r>
        <w:t>第四十条 超越批准的矿区范围采矿的</w:t>
      </w:r>
      <w:r>
        <w:rPr>
          <w:rFonts w:hint="eastAsia" w:ascii="MS UI Gothic" w:eastAsia="MS UI Gothic"/>
          <w:w w:val="80"/>
        </w:rPr>
        <w:t xml:space="preserve">ꎬ </w:t>
      </w:r>
      <w:r>
        <w:t>责令退回本矿区范围内开采</w:t>
      </w:r>
      <w:r>
        <w:rPr>
          <w:rFonts w:hint="eastAsia" w:ascii="MS UI Gothic" w:eastAsia="MS UI Gothic"/>
          <w:w w:val="80"/>
        </w:rPr>
        <w:t xml:space="preserve">、 </w:t>
      </w:r>
      <w:r>
        <w:t>赔偿损失</w:t>
      </w:r>
      <w:r>
        <w:rPr>
          <w:rFonts w:hint="eastAsia" w:ascii="MS UI Gothic" w:eastAsia="MS UI Gothic"/>
          <w:w w:val="80"/>
        </w:rPr>
        <w:t xml:space="preserve">ꎬ </w:t>
      </w:r>
      <w:r>
        <w:t>没收越界开采的矿产品和违法所得</w:t>
      </w:r>
      <w:r>
        <w:rPr>
          <w:rFonts w:hint="eastAsia" w:ascii="MS UI Gothic" w:eastAsia="MS UI Gothic"/>
          <w:w w:val="80"/>
        </w:rPr>
        <w:t>ꎬ</w:t>
      </w:r>
      <w:r>
        <w:t>可以并处罚款</w:t>
      </w:r>
      <w:r>
        <w:rPr>
          <w:rFonts w:hint="eastAsia" w:ascii="MS UI Gothic" w:eastAsia="MS UI Gothic"/>
          <w:w w:val="80"/>
        </w:rPr>
        <w:t xml:space="preserve">ꎻ </w:t>
      </w:r>
      <w:r>
        <w:t>拒不退回本矿区范围内开采</w:t>
      </w:r>
      <w:r>
        <w:rPr>
          <w:rFonts w:hint="eastAsia" w:ascii="MS UI Gothic" w:eastAsia="MS UI Gothic"/>
          <w:w w:val="80"/>
        </w:rPr>
        <w:t xml:space="preserve">ꎬ </w:t>
      </w:r>
      <w:r>
        <w:t>造成矿产资源破坏的</w:t>
      </w:r>
      <w:r>
        <w:rPr>
          <w:rFonts w:hint="eastAsia" w:ascii="MS UI Gothic" w:eastAsia="MS UI Gothic"/>
          <w:w w:val="80"/>
        </w:rPr>
        <w:t xml:space="preserve">ꎬ </w:t>
      </w:r>
      <w:r>
        <w:t>吊销采矿许可证</w:t>
      </w:r>
      <w:r>
        <w:rPr>
          <w:rFonts w:hint="eastAsia" w:ascii="MS UI Gothic" w:eastAsia="MS UI Gothic"/>
          <w:w w:val="80"/>
        </w:rPr>
        <w:t xml:space="preserve">ꎬ </w:t>
      </w:r>
      <w:r>
        <w:t>依照刑法第一百五十六条的规定对直接责任人员追究刑事责任</w:t>
      </w:r>
      <w:r>
        <w:rPr>
          <w:rFonts w:hint="eastAsia" w:ascii="MS UI Gothic" w:eastAsia="MS UI Gothic"/>
          <w:w w:val="80"/>
        </w:rPr>
        <w:t>ꎮ</w:t>
      </w:r>
    </w:p>
    <w:p>
      <w:pPr>
        <w:pStyle w:val="6"/>
        <w:spacing w:line="295" w:lineRule="auto"/>
        <w:ind w:right="39"/>
        <w:rPr>
          <w:rFonts w:hint="eastAsia" w:ascii="MS UI Gothic" w:eastAsia="MS UI Gothic"/>
        </w:rPr>
      </w:pPr>
      <w:r>
        <w:t>第四十一条 盗窃</w:t>
      </w:r>
      <w:r>
        <w:rPr>
          <w:rFonts w:hint="eastAsia" w:ascii="MS UI Gothic" w:eastAsia="MS UI Gothic"/>
          <w:w w:val="80"/>
        </w:rPr>
        <w:t xml:space="preserve">、 </w:t>
      </w:r>
      <w:r>
        <w:t>抢夺矿山企业和勘查单位的矿产品和其他财物的</w:t>
      </w:r>
      <w:r>
        <w:rPr>
          <w:rFonts w:hint="eastAsia" w:ascii="MS UI Gothic" w:eastAsia="MS UI Gothic"/>
          <w:w w:val="80"/>
        </w:rPr>
        <w:t xml:space="preserve">ꎬ </w:t>
      </w:r>
      <w:r>
        <w:t>破坏采矿</w:t>
      </w:r>
      <w:r>
        <w:rPr>
          <w:rFonts w:hint="eastAsia" w:ascii="MS UI Gothic" w:eastAsia="MS UI Gothic"/>
          <w:w w:val="80"/>
        </w:rPr>
        <w:t xml:space="preserve">、 </w:t>
      </w:r>
      <w:r>
        <w:t>勘查设施的</w:t>
      </w:r>
      <w:r>
        <w:rPr>
          <w:rFonts w:hint="eastAsia" w:ascii="MS UI Gothic" w:eastAsia="MS UI Gothic"/>
          <w:w w:val="80"/>
        </w:rPr>
        <w:t xml:space="preserve">ꎬ </w:t>
      </w:r>
      <w:r>
        <w:t>扰乱矿区和勘查作业区的生产秩序</w:t>
      </w:r>
      <w:r>
        <w:rPr>
          <w:rFonts w:hint="eastAsia" w:ascii="MS UI Gothic" w:eastAsia="MS UI Gothic"/>
          <w:w w:val="80"/>
        </w:rPr>
        <w:t xml:space="preserve">、 </w:t>
      </w:r>
      <w:r>
        <w:t>工作秩序的</w:t>
      </w:r>
      <w:r>
        <w:rPr>
          <w:rFonts w:hint="eastAsia" w:ascii="MS UI Gothic" w:eastAsia="MS UI Gothic"/>
          <w:w w:val="80"/>
        </w:rPr>
        <w:t xml:space="preserve">ꎬ </w:t>
      </w:r>
      <w:r>
        <w:t>分别依照刑法有关规定追究刑事责任</w:t>
      </w:r>
      <w:r>
        <w:rPr>
          <w:rFonts w:hint="eastAsia" w:ascii="MS UI Gothic" w:eastAsia="MS UI Gothic"/>
          <w:w w:val="80"/>
        </w:rPr>
        <w:t xml:space="preserve">ꎻ </w:t>
      </w:r>
      <w:r>
        <w:t>情节显著轻微的</w:t>
      </w:r>
      <w:r>
        <w:rPr>
          <w:rFonts w:hint="eastAsia" w:ascii="MS UI Gothic" w:eastAsia="MS UI Gothic"/>
          <w:w w:val="80"/>
        </w:rPr>
        <w:t xml:space="preserve">ꎬ </w:t>
      </w:r>
      <w:r>
        <w:t>依照治安管理处罚条例有关规定予以处罚</w:t>
      </w:r>
      <w:r>
        <w:rPr>
          <w:rFonts w:hint="eastAsia" w:ascii="MS UI Gothic" w:eastAsia="MS UI Gothic"/>
          <w:w w:val="80"/>
        </w:rPr>
        <w:t>ꎮ</w:t>
      </w:r>
    </w:p>
    <w:p>
      <w:pPr>
        <w:pStyle w:val="6"/>
        <w:spacing w:line="295" w:lineRule="auto"/>
        <w:ind w:right="39"/>
        <w:rPr>
          <w:rFonts w:hint="eastAsia" w:ascii="MS UI Gothic" w:eastAsia="MS UI Gothic"/>
        </w:rPr>
      </w:pPr>
      <w:r>
        <w:t>第四十二条 买卖</w:t>
      </w:r>
      <w:r>
        <w:rPr>
          <w:rFonts w:hint="eastAsia" w:ascii="MS UI Gothic" w:eastAsia="MS UI Gothic"/>
          <w:w w:val="80"/>
        </w:rPr>
        <w:t xml:space="preserve">、 </w:t>
      </w:r>
      <w:r>
        <w:t>出租或者以其他形式转让矿产资源的</w:t>
      </w:r>
      <w:r>
        <w:rPr>
          <w:rFonts w:hint="eastAsia" w:ascii="MS UI Gothic" w:eastAsia="MS UI Gothic"/>
          <w:w w:val="80"/>
        </w:rPr>
        <w:t xml:space="preserve">ꎬ </w:t>
      </w:r>
      <w:r>
        <w:t>没收违法所得</w:t>
      </w:r>
      <w:r>
        <w:rPr>
          <w:rFonts w:hint="eastAsia" w:ascii="MS UI Gothic" w:eastAsia="MS UI Gothic"/>
          <w:w w:val="80"/>
        </w:rPr>
        <w:t xml:space="preserve">ꎬ </w:t>
      </w:r>
      <w:r>
        <w:t>处以罚款</w:t>
      </w:r>
      <w:r>
        <w:rPr>
          <w:rFonts w:hint="eastAsia" w:ascii="MS UI Gothic" w:eastAsia="MS UI Gothic"/>
          <w:w w:val="80"/>
        </w:rPr>
        <w:t>ꎮ</w:t>
      </w:r>
    </w:p>
    <w:p>
      <w:pPr>
        <w:pStyle w:val="6"/>
        <w:spacing w:line="295" w:lineRule="auto"/>
        <w:ind w:right="39"/>
        <w:rPr>
          <w:rFonts w:hint="eastAsia" w:ascii="MS UI Gothic" w:eastAsia="MS UI Gothic"/>
        </w:rPr>
      </w:pPr>
      <w:r>
        <w:t>违反本法第六条的规定将探矿权</w:t>
      </w:r>
      <w:r>
        <w:rPr>
          <w:rFonts w:hint="eastAsia" w:ascii="MS UI Gothic" w:eastAsia="MS UI Gothic"/>
        </w:rPr>
        <w:t xml:space="preserve">、 </w:t>
      </w:r>
      <w:r>
        <w:t>采矿权倒卖牟利的</w:t>
      </w:r>
      <w:r>
        <w:rPr>
          <w:rFonts w:hint="eastAsia" w:ascii="MS UI Gothic" w:eastAsia="MS UI Gothic"/>
          <w:w w:val="80"/>
        </w:rPr>
        <w:t xml:space="preserve">ꎬ </w:t>
      </w:r>
      <w:r>
        <w:t>吊销勘查许可证</w:t>
      </w:r>
      <w:r>
        <w:rPr>
          <w:rFonts w:hint="eastAsia" w:ascii="MS UI Gothic" w:eastAsia="MS UI Gothic"/>
        </w:rPr>
        <w:t xml:space="preserve">、 </w:t>
      </w:r>
      <w:r>
        <w:t>采矿许可证</w:t>
      </w:r>
      <w:r>
        <w:rPr>
          <w:rFonts w:hint="eastAsia" w:ascii="MS UI Gothic" w:eastAsia="MS UI Gothic"/>
          <w:w w:val="80"/>
        </w:rPr>
        <w:t xml:space="preserve">ꎬ </w:t>
      </w:r>
      <w:r>
        <w:t>没收违法所得</w:t>
      </w:r>
      <w:r>
        <w:rPr>
          <w:rFonts w:hint="eastAsia" w:ascii="MS UI Gothic" w:eastAsia="MS UI Gothic"/>
          <w:w w:val="80"/>
        </w:rPr>
        <w:t xml:space="preserve">ꎬ </w:t>
      </w:r>
      <w:r>
        <w:t>处以罚款</w:t>
      </w:r>
      <w:r>
        <w:rPr>
          <w:rFonts w:hint="eastAsia" w:ascii="MS UI Gothic" w:eastAsia="MS UI Gothic"/>
          <w:w w:val="80"/>
        </w:rPr>
        <w:t>ꎮ</w:t>
      </w:r>
    </w:p>
    <w:p>
      <w:pPr>
        <w:pStyle w:val="6"/>
        <w:spacing w:line="295" w:lineRule="auto"/>
        <w:ind w:right="39"/>
        <w:rPr>
          <w:rFonts w:hint="eastAsia" w:ascii="MS UI Gothic" w:eastAsia="MS UI Gothic"/>
        </w:rPr>
      </w:pPr>
      <w:r>
        <w:t>第四十三条 违反本法规定收购和销售国家统一收购的矿产品的</w:t>
      </w:r>
      <w:r>
        <w:rPr>
          <w:rFonts w:hint="eastAsia" w:ascii="MS UI Gothic" w:eastAsia="MS UI Gothic"/>
          <w:w w:val="80"/>
        </w:rPr>
        <w:t xml:space="preserve">ꎬ </w:t>
      </w:r>
      <w:r>
        <w:t>没收矿产品和违法所得</w:t>
      </w:r>
      <w:r>
        <w:rPr>
          <w:rFonts w:hint="eastAsia" w:ascii="MS UI Gothic" w:eastAsia="MS UI Gothic"/>
          <w:w w:val="80"/>
        </w:rPr>
        <w:t xml:space="preserve">ꎬ </w:t>
      </w:r>
      <w:r>
        <w:t>可以并处罚款</w:t>
      </w:r>
      <w:r>
        <w:rPr>
          <w:rFonts w:hint="eastAsia" w:ascii="MS UI Gothic" w:eastAsia="MS UI Gothic"/>
          <w:w w:val="80"/>
        </w:rPr>
        <w:t xml:space="preserve">ꎻ </w:t>
      </w:r>
      <w:r>
        <w:t>情节严重的</w:t>
      </w:r>
      <w:r>
        <w:rPr>
          <w:rFonts w:hint="eastAsia" w:ascii="MS UI Gothic" w:eastAsia="MS UI Gothic"/>
          <w:w w:val="80"/>
        </w:rPr>
        <w:t xml:space="preserve">ꎬ </w:t>
      </w:r>
      <w:r>
        <w:t>依照刑法第一百一十七条</w:t>
      </w:r>
      <w:r>
        <w:rPr>
          <w:rFonts w:hint="eastAsia" w:ascii="MS UI Gothic" w:eastAsia="MS UI Gothic"/>
          <w:w w:val="80"/>
        </w:rPr>
        <w:t xml:space="preserve">、 </w:t>
      </w:r>
      <w:r>
        <w:t>第一百一十八条的规定</w:t>
      </w:r>
      <w:r>
        <w:rPr>
          <w:rFonts w:hint="eastAsia" w:ascii="MS UI Gothic" w:eastAsia="MS UI Gothic"/>
          <w:w w:val="80"/>
        </w:rPr>
        <w:t xml:space="preserve">ꎬ </w:t>
      </w:r>
      <w:r>
        <w:t>追究刑事责任</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spacing w:val="3"/>
        </w:rPr>
        <w:t>第四十四条 违反本法规定</w:t>
      </w:r>
      <w:r>
        <w:rPr>
          <w:rFonts w:hint="eastAsia" w:ascii="MS UI Gothic" w:eastAsia="MS UI Gothic"/>
          <w:spacing w:val="7"/>
          <w:w w:val="80"/>
        </w:rPr>
        <w:t xml:space="preserve">ꎬ </w:t>
      </w:r>
      <w:r>
        <w:rPr>
          <w:spacing w:val="2"/>
        </w:rPr>
        <w:t>采取破</w:t>
      </w:r>
      <w:r>
        <w:rPr>
          <w:spacing w:val="3"/>
        </w:rPr>
        <w:t>坏性的开采方法开采矿产资源的</w:t>
      </w:r>
      <w:r>
        <w:rPr>
          <w:rFonts w:hint="eastAsia" w:ascii="MS UI Gothic" w:eastAsia="MS UI Gothic"/>
          <w:spacing w:val="20"/>
          <w:w w:val="80"/>
        </w:rPr>
        <w:t xml:space="preserve">ꎬ </w:t>
      </w:r>
      <w:r>
        <w:rPr>
          <w:spacing w:val="1"/>
        </w:rPr>
        <w:t>处以罚</w:t>
      </w:r>
      <w:r>
        <w:rPr>
          <w:spacing w:val="3"/>
        </w:rPr>
        <w:t>款</w:t>
      </w:r>
      <w:r>
        <w:rPr>
          <w:rFonts w:hint="eastAsia" w:ascii="MS UI Gothic" w:eastAsia="MS UI Gothic"/>
          <w:spacing w:val="23"/>
          <w:w w:val="80"/>
        </w:rPr>
        <w:t xml:space="preserve">ꎬ </w:t>
      </w:r>
      <w:r>
        <w:rPr>
          <w:spacing w:val="3"/>
        </w:rPr>
        <w:t>可以吊销采矿许可证</w:t>
      </w:r>
      <w:r>
        <w:rPr>
          <w:rFonts w:hint="eastAsia" w:ascii="MS UI Gothic" w:eastAsia="MS UI Gothic"/>
          <w:spacing w:val="23"/>
          <w:w w:val="80"/>
        </w:rPr>
        <w:t xml:space="preserve">ꎻ </w:t>
      </w:r>
      <w:r>
        <w:rPr>
          <w:spacing w:val="2"/>
        </w:rPr>
        <w:t>造成矿产资源</w:t>
      </w:r>
      <w:r>
        <w:rPr>
          <w:spacing w:val="3"/>
        </w:rPr>
        <w:t>严重破坏的</w:t>
      </w:r>
      <w:r>
        <w:rPr>
          <w:rFonts w:hint="eastAsia" w:ascii="MS UI Gothic" w:eastAsia="MS UI Gothic"/>
          <w:spacing w:val="20"/>
          <w:w w:val="80"/>
        </w:rPr>
        <w:t xml:space="preserve">ꎬ </w:t>
      </w:r>
      <w:r>
        <w:rPr>
          <w:spacing w:val="2"/>
        </w:rPr>
        <w:t>依照刑法第一百五十六条的</w:t>
      </w:r>
      <w:r>
        <w:rPr>
          <w:spacing w:val="3"/>
        </w:rPr>
        <w:t>规定对直接责任人员追究刑事责任</w:t>
      </w:r>
      <w:r>
        <w:rPr>
          <w:rFonts w:hint="eastAsia" w:ascii="MS UI Gothic" w:eastAsia="MS UI Gothic"/>
          <w:w w:val="80"/>
        </w:rPr>
        <w:t>ꎮ</w:t>
      </w:r>
    </w:p>
    <w:p>
      <w:pPr>
        <w:pStyle w:val="6"/>
        <w:spacing w:line="295" w:lineRule="auto"/>
        <w:ind w:right="440"/>
        <w:rPr>
          <w:rFonts w:hint="eastAsia" w:ascii="MS UI Gothic" w:eastAsia="MS UI Gothic"/>
        </w:rPr>
      </w:pPr>
      <w:r>
        <w:rPr>
          <w:spacing w:val="3"/>
        </w:rPr>
        <w:t>第四十五条 本法第三十九条</w:t>
      </w:r>
      <w:r>
        <w:rPr>
          <w:rFonts w:hint="eastAsia" w:ascii="MS UI Gothic" w:eastAsia="MS UI Gothic"/>
          <w:spacing w:val="16"/>
          <w:w w:val="80"/>
        </w:rPr>
        <w:t xml:space="preserve">、 </w:t>
      </w:r>
      <w:r>
        <w:rPr>
          <w:spacing w:val="1"/>
        </w:rPr>
        <w:t>第四</w:t>
      </w:r>
      <w:r>
        <w:rPr>
          <w:spacing w:val="3"/>
        </w:rPr>
        <w:t>十条</w:t>
      </w:r>
      <w:r>
        <w:rPr>
          <w:rFonts w:hint="eastAsia" w:ascii="MS UI Gothic" w:eastAsia="MS UI Gothic"/>
          <w:spacing w:val="10"/>
          <w:w w:val="80"/>
        </w:rPr>
        <w:t xml:space="preserve">、 </w:t>
      </w:r>
      <w:r>
        <w:rPr>
          <w:spacing w:val="3"/>
        </w:rPr>
        <w:t>第四十二条规定的行政处罚</w:t>
      </w:r>
      <w:r>
        <w:rPr>
          <w:rFonts w:hint="eastAsia" w:ascii="MS UI Gothic" w:eastAsia="MS UI Gothic"/>
          <w:spacing w:val="11"/>
          <w:w w:val="80"/>
        </w:rPr>
        <w:t xml:space="preserve">ꎬ </w:t>
      </w:r>
      <w:r>
        <w:rPr>
          <w:spacing w:val="1"/>
        </w:rPr>
        <w:t>由县</w:t>
      </w:r>
      <w:r>
        <w:rPr>
          <w:spacing w:val="2"/>
        </w:rPr>
        <w:t>级以上人民政府负责地质矿产管理工作的部门按照国务院地质矿产主管部门规定的</w:t>
      </w:r>
      <w:r>
        <w:rPr>
          <w:spacing w:val="3"/>
        </w:rPr>
        <w:t>权限决定</w:t>
      </w:r>
      <w:r>
        <w:rPr>
          <w:rFonts w:hint="eastAsia" w:ascii="MS UI Gothic" w:eastAsia="MS UI Gothic"/>
          <w:spacing w:val="20"/>
          <w:w w:val="80"/>
        </w:rPr>
        <w:t xml:space="preserve">ꎮ </w:t>
      </w:r>
      <w:r>
        <w:rPr>
          <w:spacing w:val="10"/>
        </w:rPr>
        <w:t>第四十三条规定的行政处罚</w:t>
      </w:r>
      <w:r>
        <w:rPr>
          <w:rFonts w:hint="eastAsia" w:ascii="MS UI Gothic" w:eastAsia="MS UI Gothic"/>
          <w:w w:val="80"/>
        </w:rPr>
        <w:t>ꎬ</w:t>
      </w:r>
      <w:r>
        <w:rPr>
          <w:spacing w:val="2"/>
        </w:rPr>
        <w:t>由县级以上人民政府工商行政管理部门决</w:t>
      </w:r>
      <w:r>
        <w:rPr>
          <w:spacing w:val="3"/>
        </w:rPr>
        <w:t>定</w:t>
      </w:r>
      <w:r>
        <w:rPr>
          <w:rFonts w:hint="eastAsia" w:ascii="MS UI Gothic" w:eastAsia="MS UI Gothic"/>
          <w:spacing w:val="21"/>
          <w:w w:val="80"/>
        </w:rPr>
        <w:t xml:space="preserve">ꎮ </w:t>
      </w:r>
      <w:r>
        <w:rPr>
          <w:spacing w:val="7"/>
        </w:rPr>
        <w:t>第四十四条规定的行政处罚</w:t>
      </w:r>
      <w:r>
        <w:rPr>
          <w:rFonts w:hint="eastAsia" w:ascii="MS UI Gothic" w:eastAsia="MS UI Gothic"/>
          <w:w w:val="80"/>
        </w:rPr>
        <w:t xml:space="preserve">ꎬ </w:t>
      </w:r>
      <w:r>
        <w:rPr>
          <w:spacing w:val="9"/>
        </w:rPr>
        <w:t>由省</w:t>
      </w:r>
      <w:r>
        <w:rPr>
          <w:rFonts w:hint="eastAsia" w:ascii="MS UI Gothic" w:eastAsia="MS UI Gothic"/>
          <w:w w:val="80"/>
        </w:rPr>
        <w:t>、</w:t>
      </w:r>
      <w:r>
        <w:rPr>
          <w:spacing w:val="3"/>
        </w:rPr>
        <w:t>自治区</w:t>
      </w:r>
      <w:r>
        <w:rPr>
          <w:rFonts w:hint="eastAsia" w:ascii="MS UI Gothic" w:eastAsia="MS UI Gothic"/>
          <w:spacing w:val="16"/>
          <w:w w:val="80"/>
        </w:rPr>
        <w:t xml:space="preserve">、 </w:t>
      </w:r>
      <w:r>
        <w:rPr>
          <w:spacing w:val="2"/>
        </w:rPr>
        <w:t>直辖市人民政府地质矿产主管部</w:t>
      </w:r>
      <w:r>
        <w:rPr>
          <w:spacing w:val="3"/>
        </w:rPr>
        <w:t>门决定</w:t>
      </w:r>
      <w:r>
        <w:rPr>
          <w:rFonts w:hint="eastAsia" w:ascii="MS UI Gothic" w:eastAsia="MS UI Gothic"/>
          <w:spacing w:val="19"/>
          <w:w w:val="80"/>
        </w:rPr>
        <w:t xml:space="preserve">ꎮ </w:t>
      </w:r>
      <w:r>
        <w:rPr>
          <w:spacing w:val="2"/>
        </w:rPr>
        <w:t>给予吊销勘查许可证或者采矿许</w:t>
      </w:r>
      <w:r>
        <w:rPr>
          <w:spacing w:val="3"/>
        </w:rPr>
        <w:t>可证处罚的</w:t>
      </w:r>
      <w:r>
        <w:rPr>
          <w:rFonts w:hint="eastAsia" w:ascii="MS UI Gothic" w:eastAsia="MS UI Gothic"/>
          <w:spacing w:val="1"/>
          <w:w w:val="80"/>
        </w:rPr>
        <w:t xml:space="preserve">ꎬ </w:t>
      </w:r>
      <w:r>
        <w:rPr>
          <w:spacing w:val="3"/>
        </w:rPr>
        <w:t>须由原发证机关决定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依照第三十九条</w:t>
      </w:r>
      <w:r>
        <w:rPr>
          <w:rFonts w:hint="eastAsia" w:ascii="MS UI Gothic" w:eastAsia="MS UI Gothic"/>
          <w:w w:val="80"/>
        </w:rPr>
        <w:t xml:space="preserve">、 </w:t>
      </w:r>
      <w:r>
        <w:rPr>
          <w:w w:val="105"/>
        </w:rPr>
        <w:t>第四十条</w:t>
      </w:r>
      <w:r>
        <w:rPr>
          <w:rFonts w:hint="eastAsia" w:ascii="MS UI Gothic" w:eastAsia="MS UI Gothic"/>
          <w:w w:val="80"/>
        </w:rPr>
        <w:t xml:space="preserve">、 </w:t>
      </w:r>
      <w:r>
        <w:rPr>
          <w:w w:val="105"/>
        </w:rPr>
        <w:t>第四十二条</w:t>
      </w:r>
      <w:r>
        <w:rPr>
          <w:rFonts w:hint="eastAsia" w:ascii="MS UI Gothic" w:eastAsia="MS UI Gothic"/>
          <w:w w:val="80"/>
        </w:rPr>
        <w:t xml:space="preserve">、 </w:t>
      </w:r>
      <w:r>
        <w:rPr>
          <w:w w:val="105"/>
        </w:rPr>
        <w:t>第四十四条规定应当给予行政处罚</w:t>
      </w:r>
      <w:r>
        <w:t>而不给予行政处罚的</w:t>
      </w:r>
      <w:r>
        <w:rPr>
          <w:rFonts w:hint="eastAsia" w:ascii="MS UI Gothic" w:eastAsia="MS UI Gothic"/>
          <w:w w:val="80"/>
        </w:rPr>
        <w:t xml:space="preserve">ꎬ </w:t>
      </w:r>
      <w:r>
        <w:t>上级人民政府地质矿产主管部门有权责令改正或者直接给予</w:t>
      </w:r>
      <w:r>
        <w:rPr>
          <w:w w:val="105"/>
        </w:rPr>
        <w:t>行政处罚</w:t>
      </w:r>
      <w:r>
        <w:rPr>
          <w:rFonts w:hint="eastAsia" w:ascii="MS UI Gothic" w:eastAsia="MS UI Gothic"/>
          <w:w w:val="80"/>
        </w:rPr>
        <w:t>ꎮ</w:t>
      </w:r>
    </w:p>
    <w:p>
      <w:pPr>
        <w:pStyle w:val="6"/>
        <w:spacing w:line="295" w:lineRule="auto"/>
        <w:ind w:right="442"/>
        <w:rPr>
          <w:rFonts w:hint="eastAsia" w:ascii="MS UI Gothic" w:eastAsia="MS UI Gothic"/>
        </w:rPr>
      </w:pPr>
      <w:r>
        <w:t>第四十六条 当事人对行政处罚决定不服的</w:t>
      </w:r>
      <w:r>
        <w:rPr>
          <w:rFonts w:hint="eastAsia" w:ascii="MS UI Gothic" w:eastAsia="MS UI Gothic"/>
          <w:w w:val="80"/>
        </w:rPr>
        <w:t xml:space="preserve">ꎬ </w:t>
      </w:r>
      <w:r>
        <w:t>可以依法申请复议</w:t>
      </w:r>
      <w:r>
        <w:rPr>
          <w:rFonts w:hint="eastAsia" w:ascii="MS UI Gothic" w:eastAsia="MS UI Gothic"/>
          <w:w w:val="80"/>
        </w:rPr>
        <w:t xml:space="preserve">ꎬ </w:t>
      </w:r>
      <w:r>
        <w:t>也可以依法直接向人民法院起诉</w:t>
      </w:r>
      <w:r>
        <w:rPr>
          <w:rFonts w:hint="eastAsia" w:ascii="MS UI Gothic" w:eastAsia="MS UI Gothic"/>
          <w:w w:val="80"/>
        </w:rPr>
        <w:t>ꎮ</w:t>
      </w:r>
    </w:p>
    <w:p>
      <w:pPr>
        <w:pStyle w:val="6"/>
        <w:spacing w:line="295" w:lineRule="auto"/>
        <w:ind w:right="442"/>
        <w:rPr>
          <w:rFonts w:hint="eastAsia" w:ascii="MS UI Gothic" w:eastAsia="MS UI Gothic"/>
        </w:rPr>
      </w:pPr>
      <w:r>
        <w:t>当事人逾期不申请复议也不向人民法院起诉</w:t>
      </w:r>
      <w:r>
        <w:rPr>
          <w:rFonts w:hint="eastAsia" w:ascii="MS UI Gothic" w:eastAsia="MS UI Gothic"/>
          <w:w w:val="80"/>
        </w:rPr>
        <w:t xml:space="preserve">ꎬ </w:t>
      </w:r>
      <w:r>
        <w:t>又不履行处罚决定的</w:t>
      </w:r>
      <w:r>
        <w:rPr>
          <w:rFonts w:hint="eastAsia" w:ascii="MS UI Gothic" w:eastAsia="MS UI Gothic"/>
          <w:w w:val="80"/>
        </w:rPr>
        <w:t xml:space="preserve">ꎬ </w:t>
      </w:r>
      <w:r>
        <w:t>由作出处罚决定的机关申请人民法院强制执行</w:t>
      </w:r>
      <w:r>
        <w:rPr>
          <w:rFonts w:hint="eastAsia" w:ascii="MS UI Gothic" w:eastAsia="MS UI Gothic"/>
          <w:w w:val="80"/>
        </w:rPr>
        <w:t>ꎮ</w:t>
      </w:r>
    </w:p>
    <w:p>
      <w:pPr>
        <w:pStyle w:val="6"/>
        <w:spacing w:line="295" w:lineRule="auto"/>
        <w:ind w:right="442"/>
        <w:rPr>
          <w:rFonts w:hint="eastAsia" w:ascii="MS UI Gothic" w:eastAsia="MS UI Gothic"/>
        </w:rPr>
      </w:pPr>
      <w:r>
        <w:t>第四十七条 负责矿产资源勘查</w:t>
      </w:r>
      <w:r>
        <w:rPr>
          <w:rFonts w:hint="eastAsia" w:ascii="MS UI Gothic" w:eastAsia="MS UI Gothic"/>
          <w:w w:val="80"/>
        </w:rPr>
        <w:t xml:space="preserve">、 </w:t>
      </w:r>
      <w:r>
        <w:t>开采监督管理工作的国家工作人员和其他有关国家工作人员徇私舞弊</w:t>
      </w:r>
      <w:r>
        <w:rPr>
          <w:rFonts w:hint="eastAsia" w:ascii="MS UI Gothic" w:eastAsia="MS UI Gothic"/>
          <w:w w:val="80"/>
        </w:rPr>
        <w:t xml:space="preserve">、 </w:t>
      </w:r>
      <w:r>
        <w:t>滥用职权或者玩忽职守</w:t>
      </w:r>
      <w:r>
        <w:rPr>
          <w:rFonts w:hint="eastAsia" w:ascii="MS UI Gothic" w:eastAsia="MS UI Gothic"/>
          <w:w w:val="80"/>
        </w:rPr>
        <w:t xml:space="preserve">ꎬ </w:t>
      </w:r>
      <w:r>
        <w:t>违反本法规定批准勘查</w:t>
      </w:r>
      <w:r>
        <w:rPr>
          <w:rFonts w:hint="eastAsia" w:ascii="MS UI Gothic" w:eastAsia="MS UI Gothic"/>
          <w:w w:val="80"/>
        </w:rPr>
        <w:t xml:space="preserve">、 </w:t>
      </w:r>
      <w:r>
        <w:t>开采矿产资源和颁发勘查许可证</w:t>
      </w:r>
      <w:r>
        <w:rPr>
          <w:rFonts w:hint="eastAsia" w:ascii="MS UI Gothic" w:eastAsia="MS UI Gothic"/>
          <w:w w:val="80"/>
        </w:rPr>
        <w:t xml:space="preserve">、 </w:t>
      </w:r>
      <w:r>
        <w:t>采矿许可证</w:t>
      </w:r>
      <w:r>
        <w:rPr>
          <w:rFonts w:hint="eastAsia" w:ascii="MS UI Gothic" w:eastAsia="MS UI Gothic"/>
          <w:w w:val="80"/>
        </w:rPr>
        <w:t xml:space="preserve">ꎬ </w:t>
      </w:r>
      <w:r>
        <w:t>或者对违法采矿行为不依法予以制止</w:t>
      </w:r>
      <w:r>
        <w:rPr>
          <w:rFonts w:hint="eastAsia" w:ascii="MS UI Gothic" w:eastAsia="MS UI Gothic"/>
          <w:w w:val="80"/>
        </w:rPr>
        <w:t xml:space="preserve">、 </w:t>
      </w:r>
      <w:r>
        <w:t>处罚</w:t>
      </w:r>
      <w:r>
        <w:rPr>
          <w:rFonts w:hint="eastAsia" w:ascii="MS UI Gothic" w:eastAsia="MS UI Gothic"/>
          <w:w w:val="80"/>
        </w:rPr>
        <w:t xml:space="preserve">ꎬ </w:t>
      </w:r>
      <w:r>
        <w:t>构成犯罪的</w:t>
      </w:r>
      <w:r>
        <w:rPr>
          <w:rFonts w:hint="eastAsia" w:ascii="MS UI Gothic" w:eastAsia="MS UI Gothic"/>
          <w:w w:val="80"/>
        </w:rPr>
        <w:t xml:space="preserve">ꎬ </w:t>
      </w:r>
      <w:r>
        <w:t>依法追究刑事责任</w:t>
      </w:r>
      <w:r>
        <w:rPr>
          <w:rFonts w:hint="eastAsia" w:ascii="MS UI Gothic" w:eastAsia="MS UI Gothic"/>
          <w:w w:val="80"/>
        </w:rPr>
        <w:t xml:space="preserve">ꎻ </w:t>
      </w:r>
      <w:r>
        <w:t>不构成犯罪的</w:t>
      </w:r>
      <w:r>
        <w:rPr>
          <w:rFonts w:hint="eastAsia" w:ascii="MS UI Gothic" w:eastAsia="MS UI Gothic"/>
          <w:w w:val="80"/>
        </w:rPr>
        <w:t xml:space="preserve">ꎬ </w:t>
      </w:r>
      <w:r>
        <w:t>给予行政处分</w:t>
      </w:r>
      <w:r>
        <w:rPr>
          <w:rFonts w:hint="eastAsia" w:ascii="MS UI Gothic" w:eastAsia="MS UI Gothic"/>
          <w:w w:val="80"/>
        </w:rPr>
        <w:t xml:space="preserve">ꎮ </w:t>
      </w:r>
      <w:r>
        <w:t>违法颁发的勘查许可证</w:t>
      </w:r>
      <w:r>
        <w:rPr>
          <w:rFonts w:hint="eastAsia" w:ascii="MS UI Gothic" w:eastAsia="MS UI Gothic"/>
          <w:w w:val="80"/>
        </w:rPr>
        <w:t xml:space="preserve">、 </w:t>
      </w:r>
      <w:r>
        <w:t>采矿许可证</w:t>
      </w:r>
      <w:r>
        <w:rPr>
          <w:rFonts w:hint="eastAsia" w:ascii="MS UI Gothic" w:eastAsia="MS UI Gothic"/>
          <w:w w:val="80"/>
        </w:rPr>
        <w:t xml:space="preserve">ꎬ </w:t>
      </w:r>
      <w:r>
        <w:t>上级人民政府地质矿产主管部门有权予以撤销</w:t>
      </w:r>
      <w:r>
        <w:rPr>
          <w:rFonts w:hint="eastAsia" w:ascii="MS UI Gothic" w:eastAsia="MS UI Gothic"/>
          <w:w w:val="80"/>
        </w:rPr>
        <w:t>ꎮ</w:t>
      </w:r>
    </w:p>
    <w:p>
      <w:pPr>
        <w:pStyle w:val="6"/>
        <w:spacing w:line="295" w:lineRule="auto"/>
        <w:ind w:right="442"/>
      </w:pPr>
      <w:r>
        <w:rPr>
          <w:w w:val="105"/>
        </w:rPr>
        <w:t>第四十八条 以暴力</w:t>
      </w:r>
      <w:r>
        <w:rPr>
          <w:rFonts w:hint="eastAsia" w:ascii="MS UI Gothic" w:eastAsia="MS UI Gothic"/>
          <w:w w:val="80"/>
        </w:rPr>
        <w:t xml:space="preserve">、 </w:t>
      </w:r>
      <w:r>
        <w:rPr>
          <w:w w:val="105"/>
        </w:rPr>
        <w:t>威胁方法阻碍从事矿产资源勘查</w:t>
      </w:r>
      <w:r>
        <w:rPr>
          <w:rFonts w:hint="eastAsia" w:ascii="MS UI Gothic" w:eastAsia="MS UI Gothic"/>
          <w:w w:val="80"/>
        </w:rPr>
        <w:t xml:space="preserve">、 </w:t>
      </w:r>
      <w:r>
        <w:rPr>
          <w:w w:val="105"/>
        </w:rPr>
        <w:t>开采监督管理工作的</w:t>
      </w:r>
      <w:r>
        <w:t>国家工作人员依法执行职务的</w:t>
      </w:r>
      <w:r>
        <w:rPr>
          <w:rFonts w:hint="eastAsia" w:ascii="MS UI Gothic" w:eastAsia="MS UI Gothic"/>
          <w:w w:val="80"/>
        </w:rPr>
        <w:t xml:space="preserve">ꎬ </w:t>
      </w:r>
      <w:r>
        <w:t>依照刑法</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２１３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67" o:spid="_x0000_s1667" o:spt="203" style="height:2.15pt;width:398.25pt;" coordsize="7965,43">
            <o:lock v:ext="edit"/>
            <v:line id="_x0000_s1668" o:spid="_x0000_s1668" o:spt="20" style="position:absolute;left:0;top:39;height:0;width:7965;" stroked="t" coordsize="21600,21600">
              <v:path arrowok="t"/>
              <v:fill focussize="0,0"/>
              <v:stroke weight="0.388031496062992pt" color="#231F20"/>
              <v:imagedata o:title=""/>
              <o:lock v:ext="edit"/>
            </v:line>
            <v:line id="_x0000_s1669" o:spid="_x0000_s166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第一百五十七条的规定追究刑事责任</w:t>
      </w:r>
      <w:r>
        <w:rPr>
          <w:rFonts w:hint="eastAsia" w:ascii="MS UI Gothic" w:eastAsia="MS UI Gothic"/>
          <w:w w:val="80"/>
        </w:rPr>
        <w:t xml:space="preserve">ꎻ </w:t>
      </w:r>
      <w:r>
        <w:t>拒绝</w:t>
      </w:r>
      <w:r>
        <w:rPr>
          <w:rFonts w:hint="eastAsia" w:ascii="MS UI Gothic" w:eastAsia="MS UI Gothic"/>
          <w:w w:val="80"/>
        </w:rPr>
        <w:t xml:space="preserve">、 </w:t>
      </w:r>
      <w:r>
        <w:t>阻碍从事矿产资源勘查</w:t>
      </w:r>
      <w:r>
        <w:rPr>
          <w:rFonts w:hint="eastAsia" w:ascii="MS UI Gothic" w:eastAsia="MS UI Gothic"/>
          <w:w w:val="80"/>
        </w:rPr>
        <w:t xml:space="preserve">、 </w:t>
      </w:r>
      <w:r>
        <w:t>开采监督管理工作的国家工作人员依法执行职务未使用暴力</w:t>
      </w:r>
      <w:r>
        <w:rPr>
          <w:rFonts w:hint="eastAsia" w:ascii="MS UI Gothic" w:eastAsia="MS UI Gothic"/>
          <w:w w:val="80"/>
        </w:rPr>
        <w:t xml:space="preserve">、 </w:t>
      </w:r>
      <w:r>
        <w:t>威胁方法的</w:t>
      </w:r>
      <w:r>
        <w:rPr>
          <w:rFonts w:hint="eastAsia" w:ascii="MS UI Gothic" w:eastAsia="MS UI Gothic"/>
          <w:w w:val="80"/>
        </w:rPr>
        <w:t xml:space="preserve">ꎬ </w:t>
      </w:r>
      <w:r>
        <w:t>由公安机关依照治安管理处罚条例的规定处罚</w:t>
      </w:r>
      <w:r>
        <w:rPr>
          <w:rFonts w:hint="eastAsia" w:ascii="MS UI Gothic" w:eastAsia="MS UI Gothic"/>
          <w:w w:val="80"/>
        </w:rPr>
        <w:t>ꎮ</w:t>
      </w:r>
    </w:p>
    <w:p>
      <w:pPr>
        <w:pStyle w:val="6"/>
        <w:spacing w:line="295" w:lineRule="auto"/>
        <w:ind w:left="440"/>
        <w:rPr>
          <w:rFonts w:hint="eastAsia" w:ascii="MS UI Gothic" w:eastAsia="MS UI Gothic"/>
        </w:rPr>
      </w:pPr>
      <w:r>
        <w:t>第四十九条 矿山企业之间的矿区范围的争议</w:t>
      </w:r>
      <w:r>
        <w:rPr>
          <w:rFonts w:hint="eastAsia" w:ascii="MS UI Gothic" w:eastAsia="MS UI Gothic"/>
          <w:w w:val="80"/>
        </w:rPr>
        <w:t xml:space="preserve">ꎬ </w:t>
      </w:r>
      <w:r>
        <w:t>由当事人协商解决</w:t>
      </w:r>
      <w:r>
        <w:rPr>
          <w:rFonts w:hint="eastAsia" w:ascii="MS UI Gothic" w:eastAsia="MS UI Gothic"/>
          <w:w w:val="80"/>
        </w:rPr>
        <w:t xml:space="preserve">ꎬ </w:t>
      </w:r>
      <w:r>
        <w:t>协商不成的</w:t>
      </w:r>
      <w:r>
        <w:rPr>
          <w:rFonts w:hint="eastAsia" w:ascii="MS UI Gothic" w:eastAsia="MS UI Gothic"/>
          <w:w w:val="80"/>
        </w:rPr>
        <w:t xml:space="preserve">ꎬ </w:t>
      </w:r>
      <w:r>
        <w:t>由有关县级以上地方人民政府根据依法核定的矿区范围处理</w:t>
      </w:r>
      <w:r>
        <w:rPr>
          <w:rFonts w:hint="eastAsia" w:ascii="MS UI Gothic" w:eastAsia="MS UI Gothic"/>
          <w:w w:val="80"/>
        </w:rPr>
        <w:t xml:space="preserve">ꎻ </w:t>
      </w:r>
      <w:r>
        <w:t>跨省</w:t>
      </w:r>
      <w:r>
        <w:rPr>
          <w:rFonts w:hint="eastAsia" w:ascii="MS UI Gothic" w:eastAsia="MS UI Gothic"/>
          <w:w w:val="80"/>
        </w:rPr>
        <w:t xml:space="preserve">、 </w:t>
      </w:r>
      <w:r>
        <w:t>自治区</w:t>
      </w:r>
      <w:r>
        <w:rPr>
          <w:rFonts w:hint="eastAsia" w:ascii="MS UI Gothic" w:eastAsia="MS UI Gothic"/>
          <w:w w:val="80"/>
        </w:rPr>
        <w:t>、</w:t>
      </w:r>
      <w:r>
        <w:t>直辖市的矿区范围的争议</w:t>
      </w:r>
      <w:r>
        <w:rPr>
          <w:rFonts w:hint="eastAsia" w:ascii="MS UI Gothic" w:eastAsia="MS UI Gothic"/>
          <w:w w:val="80"/>
        </w:rPr>
        <w:t xml:space="preserve">ꎬ </w:t>
      </w:r>
      <w:r>
        <w:t>由有关省</w:t>
      </w:r>
      <w:r>
        <w:rPr>
          <w:rFonts w:hint="eastAsia" w:ascii="MS UI Gothic" w:eastAsia="MS UI Gothic"/>
          <w:w w:val="80"/>
        </w:rPr>
        <w:t xml:space="preserve">、 </w:t>
      </w:r>
      <w:r>
        <w:t>自治区</w:t>
      </w:r>
      <w:r>
        <w:rPr>
          <w:rFonts w:hint="eastAsia" w:ascii="MS UI Gothic" w:eastAsia="MS UI Gothic"/>
          <w:w w:val="80"/>
        </w:rPr>
        <w:t xml:space="preserve">、 </w:t>
      </w:r>
      <w:r>
        <w:t>直辖市人民政府协商解决</w:t>
      </w:r>
      <w:r>
        <w:rPr>
          <w:rFonts w:hint="eastAsia" w:ascii="MS UI Gothic" w:eastAsia="MS UI Gothic"/>
          <w:w w:val="80"/>
        </w:rPr>
        <w:t xml:space="preserve">ꎬ </w:t>
      </w:r>
      <w:r>
        <w:t>协商不成的</w:t>
      </w:r>
      <w:r>
        <w:rPr>
          <w:rFonts w:hint="eastAsia" w:ascii="MS UI Gothic" w:eastAsia="MS UI Gothic"/>
          <w:w w:val="80"/>
        </w:rPr>
        <w:t xml:space="preserve">ꎬ </w:t>
      </w:r>
      <w:r>
        <w:t>由国务院处理</w:t>
      </w:r>
      <w:r>
        <w:rPr>
          <w:rFonts w:hint="eastAsia" w:ascii="MS UI Gothic" w:eastAsia="MS UI Gothic"/>
          <w:w w:val="80"/>
        </w:rPr>
        <w:t>ꎮ</w:t>
      </w:r>
    </w:p>
    <w:p>
      <w:pPr>
        <w:pStyle w:val="6"/>
        <w:tabs>
          <w:tab w:val="left" w:pos="2327"/>
          <w:tab w:val="left" w:pos="2956"/>
        </w:tabs>
        <w:spacing w:before="148"/>
        <w:ind w:left="1488" w:firstLine="0"/>
        <w:jc w:val="left"/>
      </w:pPr>
      <w:r>
        <w:rPr>
          <w:spacing w:val="3"/>
          <w:w w:val="105"/>
        </w:rPr>
        <w:t>第七</w:t>
      </w:r>
      <w:r>
        <w:rPr>
          <w:w w:val="105"/>
        </w:rPr>
        <w:t>章</w:t>
      </w:r>
      <w:r>
        <w:rPr>
          <w:w w:val="105"/>
        </w:rPr>
        <w:tab/>
      </w:r>
      <w:r>
        <w:rPr>
          <w:w w:val="105"/>
        </w:rPr>
        <w:t>附</w:t>
      </w:r>
      <w:r>
        <w:rPr>
          <w:w w:val="105"/>
        </w:rPr>
        <w:tab/>
      </w:r>
      <w:r>
        <w:rPr>
          <w:w w:val="105"/>
        </w:rPr>
        <w:t>则</w:t>
      </w:r>
    </w:p>
    <w:p>
      <w:pPr>
        <w:pStyle w:val="6"/>
        <w:tabs>
          <w:tab w:val="left" w:pos="1908"/>
        </w:tabs>
        <w:spacing w:before="215"/>
        <w:ind w:left="860" w:firstLine="0"/>
        <w:jc w:val="left"/>
      </w:pPr>
      <w:r>
        <w:rPr>
          <w:spacing w:val="3"/>
        </w:rPr>
        <w:t>第五十</w:t>
      </w:r>
      <w:r>
        <w:t>条</w:t>
      </w:r>
      <w:r>
        <w:tab/>
      </w:r>
      <w:r>
        <w:rPr>
          <w:spacing w:val="3"/>
        </w:rPr>
        <w:t>外商投资勘查</w:t>
      </w:r>
      <w:r>
        <w:rPr>
          <w:rFonts w:hint="eastAsia" w:ascii="MS UI Gothic" w:eastAsia="MS UI Gothic"/>
        </w:rPr>
        <w:t>、</w:t>
      </w:r>
      <w:r>
        <w:rPr>
          <w:rFonts w:hint="eastAsia" w:ascii="MS UI Gothic" w:eastAsia="MS UI Gothic"/>
          <w:spacing w:val="8"/>
        </w:rPr>
        <w:t xml:space="preserve"> </w:t>
      </w:r>
      <w:r>
        <w:rPr>
          <w:spacing w:val="3"/>
        </w:rPr>
        <w:t>开采矿</w:t>
      </w:r>
      <w:r>
        <w:t>产</w:t>
      </w:r>
    </w:p>
    <w:p>
      <w:pPr>
        <w:pStyle w:val="6"/>
        <w:spacing w:before="124" w:line="295" w:lineRule="auto"/>
        <w:ind w:left="381" w:right="126" w:firstLine="0"/>
        <w:rPr>
          <w:rFonts w:hint="eastAsia" w:ascii="MS UI Gothic" w:eastAsia="MS UI Gothic"/>
        </w:rPr>
      </w:pPr>
      <w:r>
        <w:br w:type="column"/>
      </w:r>
      <w:r>
        <w:t>资源</w:t>
      </w:r>
      <w:r>
        <w:rPr>
          <w:rFonts w:hint="eastAsia" w:ascii="MS UI Gothic" w:eastAsia="MS UI Gothic"/>
          <w:w w:val="80"/>
        </w:rPr>
        <w:t xml:space="preserve">ꎬ </w:t>
      </w:r>
      <w:r>
        <w:t>法律</w:t>
      </w:r>
      <w:r>
        <w:rPr>
          <w:rFonts w:hint="eastAsia" w:ascii="MS UI Gothic" w:eastAsia="MS UI Gothic"/>
        </w:rPr>
        <w:t xml:space="preserve">、 </w:t>
      </w:r>
      <w:r>
        <w:t>行政法规另有规定的</w:t>
      </w:r>
      <w:r>
        <w:rPr>
          <w:rFonts w:hint="eastAsia" w:ascii="MS UI Gothic" w:eastAsia="MS UI Gothic"/>
          <w:w w:val="80"/>
        </w:rPr>
        <w:t xml:space="preserve">ꎬ </w:t>
      </w:r>
      <w:r>
        <w:t>从其规定</w:t>
      </w:r>
      <w:r>
        <w:rPr>
          <w:rFonts w:hint="eastAsia" w:ascii="MS UI Gothic" w:eastAsia="MS UI Gothic"/>
          <w:w w:val="80"/>
        </w:rPr>
        <w:t>ꎮ</w:t>
      </w:r>
    </w:p>
    <w:p>
      <w:pPr>
        <w:pStyle w:val="6"/>
        <w:spacing w:line="295" w:lineRule="auto"/>
        <w:ind w:left="381" w:right="126"/>
        <w:rPr>
          <w:rFonts w:hint="eastAsia" w:ascii="MS UI Gothic" w:eastAsia="MS UI Gothic"/>
        </w:rPr>
      </w:pPr>
      <w:r>
        <w:t>第五十一条 本法施行以前</w:t>
      </w:r>
      <w:r>
        <w:rPr>
          <w:rFonts w:hint="eastAsia" w:ascii="MS UI Gothic" w:eastAsia="MS UI Gothic"/>
          <w:w w:val="80"/>
        </w:rPr>
        <w:t xml:space="preserve">ꎬ </w:t>
      </w:r>
      <w:r>
        <w:t>未办理批准手续</w:t>
      </w:r>
      <w:r>
        <w:rPr>
          <w:rFonts w:hint="eastAsia" w:ascii="MS UI Gothic" w:eastAsia="MS UI Gothic"/>
          <w:w w:val="80"/>
        </w:rPr>
        <w:t xml:space="preserve">、 </w:t>
      </w:r>
      <w:r>
        <w:t>未划定矿区范围</w:t>
      </w:r>
      <w:r>
        <w:rPr>
          <w:rFonts w:hint="eastAsia" w:ascii="MS UI Gothic" w:eastAsia="MS UI Gothic"/>
          <w:w w:val="80"/>
        </w:rPr>
        <w:t xml:space="preserve">、 </w:t>
      </w:r>
      <w:r>
        <w:t>未取得采矿许可证开采矿产资源的</w:t>
      </w:r>
      <w:r>
        <w:rPr>
          <w:rFonts w:hint="eastAsia" w:ascii="MS UI Gothic" w:eastAsia="MS UI Gothic"/>
          <w:w w:val="80"/>
        </w:rPr>
        <w:t xml:space="preserve">ꎬ </w:t>
      </w:r>
      <w:r>
        <w:t>应当依照本法有关规定申请补办手续</w:t>
      </w:r>
      <w:r>
        <w:rPr>
          <w:rFonts w:hint="eastAsia" w:ascii="MS UI Gothic" w:eastAsia="MS UI Gothic"/>
          <w:w w:val="80"/>
        </w:rPr>
        <w:t>ꎮ</w:t>
      </w:r>
    </w:p>
    <w:p>
      <w:pPr>
        <w:pStyle w:val="6"/>
        <w:spacing w:line="295" w:lineRule="auto"/>
        <w:ind w:left="381" w:right="126"/>
        <w:rPr>
          <w:rFonts w:hint="eastAsia" w:ascii="MS UI Gothic" w:eastAsia="MS UI Gothic"/>
        </w:rPr>
      </w:pPr>
      <w:r>
        <w:t>第五十二条 本法实施细则由国务院制定</w:t>
      </w:r>
      <w:r>
        <w:rPr>
          <w:rFonts w:hint="eastAsia" w:ascii="MS UI Gothic" w:eastAsia="MS UI Gothic"/>
          <w:w w:val="80"/>
        </w:rPr>
        <w:t>ꎮ</w:t>
      </w:r>
    </w:p>
    <w:p>
      <w:pPr>
        <w:pStyle w:val="6"/>
        <w:tabs>
          <w:tab w:val="left" w:pos="2069"/>
        </w:tabs>
        <w:spacing w:line="255" w:lineRule="exact"/>
        <w:ind w:left="800" w:firstLine="0"/>
        <w:jc w:val="left"/>
        <w:rPr>
          <w:rFonts w:hint="eastAsia" w:ascii="MS UI Gothic" w:eastAsia="MS UI Gothic"/>
        </w:rPr>
      </w:pPr>
      <w:r>
        <w:rPr>
          <w:spacing w:val="3"/>
        </w:rPr>
        <w:t>第五十三</w:t>
      </w:r>
      <w:r>
        <w:t>条</w:t>
      </w:r>
      <w:r>
        <w:tab/>
      </w:r>
      <w:r>
        <w:rPr>
          <w:spacing w:val="11"/>
        </w:rPr>
        <w:t>本法</w:t>
      </w:r>
      <w:r>
        <w:t>自</w:t>
      </w:r>
      <w:r>
        <w:rPr>
          <w:spacing w:val="-70"/>
        </w:rPr>
        <w:t xml:space="preserve"> </w:t>
      </w:r>
      <w:r>
        <w:rPr>
          <w:rFonts w:hint="eastAsia" w:ascii="MS UI Gothic" w:eastAsia="MS UI Gothic"/>
        </w:rPr>
        <w:t>１９８６</w:t>
      </w:r>
      <w:r>
        <w:rPr>
          <w:rFonts w:hint="eastAsia" w:ascii="MS UI Gothic" w:eastAsia="MS UI Gothic"/>
          <w:spacing w:val="-25"/>
        </w:rPr>
        <w:t xml:space="preserve"> </w:t>
      </w:r>
      <w:r>
        <w:t>年</w:t>
      </w:r>
      <w:r>
        <w:rPr>
          <w:spacing w:val="-69"/>
        </w:rPr>
        <w:t xml:space="preserve"> </w:t>
      </w:r>
      <w:r>
        <w:rPr>
          <w:rFonts w:hint="eastAsia" w:ascii="MS UI Gothic" w:eastAsia="MS UI Gothic"/>
        </w:rPr>
        <w:t>１０</w:t>
      </w:r>
      <w:r>
        <w:rPr>
          <w:rFonts w:hint="eastAsia" w:ascii="MS UI Gothic" w:eastAsia="MS UI Gothic"/>
          <w:spacing w:val="-26"/>
        </w:rPr>
        <w:t xml:space="preserve"> </w:t>
      </w:r>
      <w:r>
        <w:t>月</w:t>
      </w:r>
      <w:r>
        <w:rPr>
          <w:spacing w:val="-69"/>
        </w:rPr>
        <w:t xml:space="preserve"> </w:t>
      </w:r>
      <w:r>
        <w:rPr>
          <w:rFonts w:hint="eastAsia" w:ascii="MS UI Gothic" w:eastAsia="MS UI Gothic"/>
        </w:rPr>
        <w:t>１</w:t>
      </w:r>
    </w:p>
    <w:p>
      <w:pPr>
        <w:pStyle w:val="6"/>
        <w:spacing w:before="53"/>
        <w:ind w:left="381" w:firstLine="0"/>
        <w:jc w:val="left"/>
        <w:rPr>
          <w:rFonts w:hint="eastAsia" w:ascii="MS UI Gothic" w:eastAsia="MS UI Gothic"/>
        </w:rPr>
      </w:pPr>
      <w:r>
        <w:t>日起施行</w:t>
      </w:r>
      <w:r>
        <w:rPr>
          <w:rFonts w:hint="eastAsia" w:ascii="MS UI Gothic" w:eastAsia="MS UI Gothic"/>
          <w:w w:val="80"/>
        </w:rPr>
        <w:t>ꎮ</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0"/>
        <w:ind w:left="0" w:firstLine="0"/>
        <w:jc w:val="left"/>
        <w:rPr>
          <w:rFonts w:ascii="MS UI Gothic"/>
          <w:sz w:val="12"/>
        </w:rPr>
      </w:pPr>
    </w:p>
    <w:p>
      <w:pPr>
        <w:pStyle w:val="4"/>
        <w:spacing w:before="195"/>
        <w:ind w:left="286"/>
        <w:rPr>
          <w:rFonts w:hint="eastAsia" w:ascii="Microsoft Yi Baiti" w:eastAsia="Microsoft Yi Baiti"/>
        </w:rPr>
      </w:pPr>
      <w:r>
        <w:t xml:space="preserve">中华人民共和国煤炭法 </w:t>
      </w:r>
      <w:r>
        <w:rPr>
          <w:rFonts w:hint="eastAsia" w:ascii="Microsoft Yi Baiti" w:eastAsia="Microsoft Yi Baiti"/>
        </w:rPr>
        <w:t>(</w:t>
      </w:r>
      <w:r>
        <w:rPr>
          <w:rFonts w:hint="eastAsia" w:ascii="MS UI Gothic" w:eastAsia="MS UI Gothic"/>
        </w:rPr>
        <w:t xml:space="preserve">２０１６ </w:t>
      </w:r>
      <w:r>
        <w:t>年修正</w:t>
      </w:r>
      <w:r>
        <w:rPr>
          <w:rFonts w:hint="eastAsia" w:ascii="Microsoft Yi Baiti" w:eastAsia="Microsoft Yi Baiti"/>
        </w:rPr>
        <w:t>)</w:t>
      </w:r>
    </w:p>
    <w:p>
      <w:pPr>
        <w:pStyle w:val="6"/>
        <w:spacing w:before="366" w:line="295" w:lineRule="auto"/>
        <w:ind w:left="904" w:right="126" w:hanging="45"/>
      </w:pPr>
      <w:r>
        <w:pict>
          <v:shape id="_x0000_s1670" o:spid="_x0000_s1670" o:spt="202" type="#_x0000_t202" style="position:absolute;left:0pt;margin-left:70.75pt;margin-top:30.3pt;height:24.35pt;width:20.6pt;mso-position-horizontal-relative:page;z-index:-27584614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２００９</w:t>
                  </w:r>
                </w:p>
              </w:txbxContent>
            </v:textbox>
          </v:shape>
        </w:pict>
      </w:r>
      <w:r>
        <w:rPr>
          <w:rFonts w:hint="eastAsia" w:ascii="Microsoft Yi Baiti" w:hAnsi="Microsoft Yi Baiti" w:eastAsia="Microsoft Yi Baiti"/>
        </w:rPr>
        <w:t>(</w:t>
      </w:r>
      <w:r>
        <w:rPr>
          <w:rFonts w:hint="eastAsia" w:ascii="MS UI Gothic" w:hAnsi="MS UI Gothic" w:eastAsia="MS UI Gothic"/>
        </w:rPr>
        <w:t xml:space="preserve">１９９６ </w:t>
      </w:r>
      <w:r>
        <w:t xml:space="preserve">年 </w:t>
      </w:r>
      <w:r>
        <w:rPr>
          <w:rFonts w:hint="eastAsia" w:ascii="MS UI Gothic" w:hAnsi="MS UI Gothic" w:eastAsia="MS UI Gothic"/>
        </w:rPr>
        <w:t xml:space="preserve">８ </w:t>
      </w:r>
      <w:r>
        <w:t xml:space="preserve">月 </w:t>
      </w:r>
      <w:r>
        <w:rPr>
          <w:rFonts w:hint="eastAsia" w:ascii="MS UI Gothic" w:hAnsi="MS UI Gothic" w:eastAsia="MS UI Gothic"/>
        </w:rPr>
        <w:t xml:space="preserve">２９ </w:t>
      </w:r>
      <w:r>
        <w:t xml:space="preserve">日第八届全国人民代表大会常务委员会第二十一次会议通过 根据年 </w:t>
      </w:r>
      <w:r>
        <w:rPr>
          <w:rFonts w:hint="eastAsia" w:ascii="MS UI Gothic" w:hAnsi="MS UI Gothic" w:eastAsia="MS UI Gothic"/>
        </w:rPr>
        <w:t xml:space="preserve">８ </w:t>
      </w:r>
      <w:r>
        <w:t xml:space="preserve">月 </w:t>
      </w:r>
      <w:r>
        <w:rPr>
          <w:rFonts w:hint="eastAsia" w:ascii="MS UI Gothic" w:hAnsi="MS UI Gothic" w:eastAsia="MS UI Gothic"/>
        </w:rPr>
        <w:t xml:space="preserve">２７ </w:t>
      </w:r>
      <w:r>
        <w:t xml:space="preserve">日第十一届全国人民代表大会常务委员会第十次会议 </w:t>
      </w:r>
      <w:r>
        <w:rPr>
          <w:rFonts w:hint="eastAsia" w:ascii="Microsoft Yi Baiti" w:hAnsi="Microsoft Yi Baiti" w:eastAsia="Microsoft Yi Baiti"/>
        </w:rPr>
        <w:t xml:space="preserve">« </w:t>
      </w:r>
      <w:r>
        <w:t>关于修改部分法</w:t>
      </w:r>
    </w:p>
    <w:p>
      <w:pPr>
        <w:pStyle w:val="6"/>
        <w:spacing w:line="295" w:lineRule="auto"/>
        <w:ind w:left="440" w:right="126" w:firstLine="0"/>
        <w:rPr>
          <w:rFonts w:hint="eastAsia" w:ascii="Microsoft Yi Baiti" w:hAnsi="Microsoft Yi Baiti" w:eastAsia="Microsoft Yi Baiti"/>
        </w:rPr>
      </w:pPr>
      <w:r>
        <w:rPr>
          <w:spacing w:val="3"/>
          <w:w w:val="105"/>
        </w:rPr>
        <w:t>律的决定</w:t>
      </w:r>
      <w:r>
        <w:rPr>
          <w:rFonts w:hint="eastAsia" w:ascii="Microsoft Yi Baiti" w:hAnsi="Microsoft Yi Baiti" w:eastAsia="Microsoft Yi Baiti"/>
          <w:spacing w:val="-14"/>
          <w:w w:val="105"/>
        </w:rPr>
        <w:t xml:space="preserve">» </w:t>
      </w:r>
      <w:r>
        <w:rPr>
          <w:spacing w:val="-13"/>
          <w:w w:val="105"/>
        </w:rPr>
        <w:t xml:space="preserve">第一次修正 根据 </w:t>
      </w:r>
      <w:r>
        <w:rPr>
          <w:rFonts w:hint="eastAsia" w:ascii="MS UI Gothic" w:hAnsi="MS UI Gothic" w:eastAsia="MS UI Gothic"/>
          <w:spacing w:val="-6"/>
          <w:w w:val="95"/>
        </w:rPr>
        <w:t xml:space="preserve">２０１１ </w:t>
      </w:r>
      <w:r>
        <w:rPr>
          <w:spacing w:val="-39"/>
          <w:w w:val="105"/>
        </w:rPr>
        <w:t xml:space="preserve">年 </w:t>
      </w:r>
      <w:r>
        <w:rPr>
          <w:rFonts w:hint="eastAsia" w:ascii="MS UI Gothic" w:hAnsi="MS UI Gothic" w:eastAsia="MS UI Gothic"/>
          <w:spacing w:val="-13"/>
          <w:w w:val="95"/>
        </w:rPr>
        <w:t xml:space="preserve">４ </w:t>
      </w:r>
      <w:r>
        <w:rPr>
          <w:spacing w:val="-39"/>
          <w:w w:val="105"/>
        </w:rPr>
        <w:t xml:space="preserve">月 </w:t>
      </w:r>
      <w:r>
        <w:rPr>
          <w:rFonts w:hint="eastAsia" w:ascii="MS UI Gothic" w:hAnsi="MS UI Gothic" w:eastAsia="MS UI Gothic"/>
          <w:spacing w:val="-9"/>
          <w:w w:val="95"/>
        </w:rPr>
        <w:t xml:space="preserve">２２ </w:t>
      </w:r>
      <w:r>
        <w:rPr>
          <w:spacing w:val="6"/>
          <w:w w:val="105"/>
        </w:rPr>
        <w:t>日第十一届全国人民代表大会常务委员会</w:t>
      </w:r>
      <w:r>
        <w:rPr>
          <w:spacing w:val="-9"/>
          <w:w w:val="110"/>
        </w:rPr>
        <w:t xml:space="preserve">第二十次会议 </w:t>
      </w:r>
      <w:r>
        <w:rPr>
          <w:rFonts w:hint="eastAsia" w:ascii="Microsoft Yi Baiti" w:hAnsi="Microsoft Yi Baiti" w:eastAsia="Microsoft Yi Baiti"/>
          <w:spacing w:val="-45"/>
          <w:w w:val="110"/>
        </w:rPr>
        <w:t xml:space="preserve">« </w:t>
      </w:r>
      <w:r>
        <w:rPr>
          <w:spacing w:val="-10"/>
          <w:w w:val="110"/>
        </w:rPr>
        <w:t xml:space="preserve">关于修改 </w:t>
      </w:r>
      <w:r>
        <w:rPr>
          <w:rFonts w:hint="eastAsia" w:ascii="Microsoft Yi Baiti" w:hAnsi="Microsoft Yi Baiti" w:eastAsia="Microsoft Yi Baiti"/>
          <w:spacing w:val="-77"/>
          <w:w w:val="185"/>
        </w:rPr>
        <w:t xml:space="preserve">‹ </w:t>
      </w:r>
      <w:r>
        <w:rPr>
          <w:spacing w:val="11"/>
          <w:w w:val="110"/>
        </w:rPr>
        <w:t>中华人民共和国煤炭法</w:t>
      </w:r>
      <w:r>
        <w:rPr>
          <w:rFonts w:hint="eastAsia" w:ascii="Microsoft Yi Baiti" w:hAnsi="Microsoft Yi Baiti" w:eastAsia="Microsoft Yi Baiti"/>
          <w:spacing w:val="-59"/>
          <w:w w:val="185"/>
        </w:rPr>
        <w:t xml:space="preserve">› </w:t>
      </w:r>
      <w:r>
        <w:rPr>
          <w:spacing w:val="12"/>
          <w:w w:val="110"/>
        </w:rPr>
        <w:t>的决定</w:t>
      </w:r>
      <w:r>
        <w:rPr>
          <w:rFonts w:hint="eastAsia" w:ascii="Microsoft Yi Baiti" w:hAnsi="Microsoft Yi Baiti" w:eastAsia="Microsoft Yi Baiti"/>
          <w:spacing w:val="-26"/>
          <w:w w:val="110"/>
        </w:rPr>
        <w:t xml:space="preserve">» </w:t>
      </w:r>
      <w:r>
        <w:rPr>
          <w:spacing w:val="-14"/>
          <w:w w:val="110"/>
        </w:rPr>
        <w:t xml:space="preserve">第二次修正 根据 </w:t>
      </w:r>
      <w:r>
        <w:rPr>
          <w:rFonts w:hint="eastAsia" w:ascii="MS UI Gothic" w:hAnsi="MS UI Gothic" w:eastAsia="MS UI Gothic"/>
          <w:w w:val="95"/>
        </w:rPr>
        <w:t xml:space="preserve">２０１３ </w:t>
      </w:r>
      <w:r>
        <w:rPr>
          <w:spacing w:val="-35"/>
          <w:w w:val="105"/>
        </w:rPr>
        <w:t xml:space="preserve">年 </w:t>
      </w:r>
      <w:r>
        <w:rPr>
          <w:rFonts w:hint="eastAsia" w:ascii="MS UI Gothic" w:hAnsi="MS UI Gothic" w:eastAsia="MS UI Gothic"/>
          <w:spacing w:val="-8"/>
          <w:w w:val="95"/>
        </w:rPr>
        <w:t xml:space="preserve">６ </w:t>
      </w:r>
      <w:r>
        <w:rPr>
          <w:spacing w:val="-35"/>
          <w:w w:val="105"/>
        </w:rPr>
        <w:t xml:space="preserve">月 </w:t>
      </w:r>
      <w:r>
        <w:rPr>
          <w:rFonts w:hint="eastAsia" w:ascii="MS UI Gothic" w:hAnsi="MS UI Gothic" w:eastAsia="MS UI Gothic"/>
          <w:spacing w:val="-6"/>
          <w:w w:val="95"/>
        </w:rPr>
        <w:t xml:space="preserve">２９ </w:t>
      </w:r>
      <w:r>
        <w:rPr>
          <w:w w:val="105"/>
        </w:rPr>
        <w:t xml:space="preserve">日第十二届全国人民代表大会常务委员会第三次会议 </w:t>
      </w:r>
      <w:r>
        <w:rPr>
          <w:rFonts w:hint="eastAsia" w:ascii="Microsoft Yi Baiti" w:hAnsi="Microsoft Yi Baiti" w:eastAsia="Microsoft Yi Baiti"/>
          <w:spacing w:val="-38"/>
          <w:w w:val="105"/>
        </w:rPr>
        <w:t xml:space="preserve">« </w:t>
      </w:r>
      <w:r>
        <w:rPr>
          <w:spacing w:val="-2"/>
          <w:w w:val="105"/>
        </w:rPr>
        <w:t xml:space="preserve">关于修改 </w:t>
      </w:r>
      <w:r>
        <w:rPr>
          <w:rFonts w:hint="eastAsia" w:ascii="Microsoft Yi Baiti" w:hAnsi="Microsoft Yi Baiti" w:eastAsia="Microsoft Yi Baiti"/>
          <w:spacing w:val="-38"/>
          <w:w w:val="105"/>
        </w:rPr>
        <w:t xml:space="preserve">‹ </w:t>
      </w:r>
      <w:r>
        <w:rPr>
          <w:spacing w:val="5"/>
          <w:w w:val="105"/>
        </w:rPr>
        <w:t>中华人民</w:t>
      </w:r>
      <w:r>
        <w:rPr>
          <w:spacing w:val="3"/>
          <w:w w:val="105"/>
        </w:rPr>
        <w:t>共和国文物保护法</w:t>
      </w:r>
      <w:r>
        <w:rPr>
          <w:rFonts w:hint="eastAsia" w:ascii="Microsoft Yi Baiti" w:hAnsi="Microsoft Yi Baiti" w:eastAsia="Microsoft Yi Baiti"/>
          <w:spacing w:val="-4"/>
          <w:w w:val="105"/>
        </w:rPr>
        <w:t xml:space="preserve">› </w:t>
      </w:r>
      <w:r>
        <w:rPr>
          <w:spacing w:val="3"/>
          <w:w w:val="105"/>
        </w:rPr>
        <w:t>等十二部法律的决定</w:t>
      </w:r>
      <w:r>
        <w:rPr>
          <w:rFonts w:hint="eastAsia" w:ascii="Microsoft Yi Baiti" w:hAnsi="Microsoft Yi Baiti" w:eastAsia="Microsoft Yi Baiti"/>
          <w:spacing w:val="-2"/>
          <w:w w:val="105"/>
        </w:rPr>
        <w:t xml:space="preserve">» </w:t>
      </w:r>
      <w:r>
        <w:rPr>
          <w:spacing w:val="-10"/>
          <w:w w:val="105"/>
        </w:rPr>
        <w:t xml:space="preserve">第三次修正 根据 </w:t>
      </w:r>
      <w:r>
        <w:rPr>
          <w:rFonts w:hint="eastAsia" w:ascii="MS UI Gothic" w:hAnsi="MS UI Gothic" w:eastAsia="MS UI Gothic"/>
          <w:spacing w:val="-3"/>
          <w:w w:val="95"/>
        </w:rPr>
        <w:t xml:space="preserve">２０１６ </w:t>
      </w:r>
      <w:r>
        <w:rPr>
          <w:spacing w:val="-33"/>
          <w:w w:val="105"/>
        </w:rPr>
        <w:t xml:space="preserve">年 </w:t>
      </w:r>
      <w:r>
        <w:rPr>
          <w:rFonts w:hint="eastAsia" w:ascii="MS UI Gothic" w:hAnsi="MS UI Gothic" w:eastAsia="MS UI Gothic"/>
          <w:spacing w:val="-5"/>
          <w:w w:val="95"/>
        </w:rPr>
        <w:t xml:space="preserve">１１ </w:t>
      </w:r>
      <w:r>
        <w:rPr>
          <w:spacing w:val="-33"/>
          <w:w w:val="105"/>
        </w:rPr>
        <w:t xml:space="preserve">月 </w:t>
      </w:r>
      <w:r>
        <w:rPr>
          <w:rFonts w:hint="eastAsia" w:ascii="MS UI Gothic" w:hAnsi="MS UI Gothic" w:eastAsia="MS UI Gothic"/>
          <w:spacing w:val="-7"/>
          <w:w w:val="95"/>
        </w:rPr>
        <w:t xml:space="preserve">７ </w:t>
      </w:r>
      <w:r>
        <w:rPr>
          <w:spacing w:val="6"/>
          <w:w w:val="105"/>
        </w:rPr>
        <w:t>日第十二</w:t>
      </w:r>
      <w:r>
        <w:rPr>
          <w:spacing w:val="1"/>
          <w:w w:val="105"/>
        </w:rPr>
        <w:t xml:space="preserve">届全国人民代表大会常务委员会第二十四次会议 </w:t>
      </w:r>
      <w:r>
        <w:rPr>
          <w:rFonts w:hint="eastAsia" w:ascii="Microsoft Yi Baiti" w:hAnsi="Microsoft Yi Baiti" w:eastAsia="Microsoft Yi Baiti"/>
          <w:spacing w:val="-36"/>
          <w:w w:val="105"/>
        </w:rPr>
        <w:t xml:space="preserve">« </w:t>
      </w:r>
      <w:r>
        <w:rPr>
          <w:spacing w:val="2"/>
          <w:w w:val="105"/>
        </w:rPr>
        <w:t xml:space="preserve">关于修改 </w:t>
      </w:r>
      <w:r>
        <w:rPr>
          <w:rFonts w:hint="eastAsia" w:ascii="Microsoft Yi Baiti" w:hAnsi="Microsoft Yi Baiti" w:eastAsia="Microsoft Yi Baiti"/>
          <w:spacing w:val="-36"/>
          <w:w w:val="105"/>
        </w:rPr>
        <w:t xml:space="preserve">‹ </w:t>
      </w:r>
      <w:r>
        <w:rPr>
          <w:spacing w:val="9"/>
          <w:w w:val="105"/>
        </w:rPr>
        <w:t>中华人民共和国对外贸</w:t>
      </w:r>
      <w:r>
        <w:rPr>
          <w:spacing w:val="3"/>
          <w:w w:val="110"/>
        </w:rPr>
        <w:t>易法</w:t>
      </w:r>
      <w:r>
        <w:rPr>
          <w:rFonts w:hint="eastAsia" w:ascii="Microsoft Yi Baiti" w:hAnsi="Microsoft Yi Baiti" w:eastAsia="Microsoft Yi Baiti"/>
          <w:spacing w:val="-24"/>
          <w:w w:val="190"/>
        </w:rPr>
        <w:t xml:space="preserve">› </w:t>
      </w:r>
      <w:r>
        <w:rPr>
          <w:spacing w:val="3"/>
          <w:w w:val="110"/>
        </w:rPr>
        <w:t>等十二部法律的决定</w:t>
      </w:r>
      <w:r>
        <w:rPr>
          <w:rFonts w:hint="eastAsia" w:ascii="Microsoft Yi Baiti" w:hAnsi="Microsoft Yi Baiti" w:eastAsia="Microsoft Yi Baiti"/>
          <w:spacing w:val="11"/>
          <w:w w:val="110"/>
        </w:rPr>
        <w:t xml:space="preserve">» </w:t>
      </w:r>
      <w:r>
        <w:rPr>
          <w:spacing w:val="3"/>
          <w:w w:val="110"/>
        </w:rPr>
        <w:t>第四次修正</w:t>
      </w:r>
      <w:r>
        <w:rPr>
          <w:rFonts w:hint="eastAsia" w:ascii="Microsoft Yi Baiti" w:hAnsi="Microsoft Yi Baiti" w:eastAsia="Microsoft Yi Baiti"/>
          <w:w w:val="110"/>
        </w:rPr>
        <w:t>)</w:t>
      </w:r>
    </w:p>
    <w:p>
      <w:pPr>
        <w:pStyle w:val="6"/>
        <w:spacing w:before="8"/>
        <w:ind w:left="0" w:firstLine="0"/>
        <w:jc w:val="left"/>
        <w:rPr>
          <w:rFonts w:ascii="Microsoft Yi Baiti"/>
          <w:sz w:val="21"/>
        </w:rPr>
      </w:pPr>
    </w:p>
    <w:p>
      <w:pPr>
        <w:spacing w:after="0"/>
        <w:jc w:val="left"/>
        <w:rPr>
          <w:rFonts w:ascii="Microsoft Yi Baiti"/>
          <w:sz w:val="21"/>
        </w:rPr>
        <w:sectPr>
          <w:type w:val="continuous"/>
          <w:pgSz w:w="10500" w:h="14750"/>
          <w:pgMar w:top="1400" w:right="980" w:bottom="280" w:left="980" w:header="720" w:footer="720" w:gutter="0"/>
        </w:sectPr>
      </w:pPr>
    </w:p>
    <w:p>
      <w:pPr>
        <w:pStyle w:val="6"/>
        <w:spacing w:before="6"/>
        <w:ind w:left="0" w:firstLine="0"/>
        <w:jc w:val="left"/>
        <w:rPr>
          <w:rFonts w:ascii="Microsoft Yi Baiti"/>
          <w:sz w:val="23"/>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85" w:lineRule="auto"/>
        <w:ind w:left="440"/>
        <w:rPr>
          <w:rFonts w:hint="eastAsia" w:ascii="MS UI Gothic" w:eastAsia="MS UI Gothic"/>
        </w:rPr>
      </w:pPr>
      <w:r>
        <w:t>第一条 为了合理开发利用和保护煤炭资源</w:t>
      </w:r>
      <w:r>
        <w:rPr>
          <w:rFonts w:hint="eastAsia" w:ascii="MS UI Gothic" w:eastAsia="MS UI Gothic"/>
          <w:w w:val="80"/>
        </w:rPr>
        <w:t xml:space="preserve">ꎬ </w:t>
      </w:r>
      <w:r>
        <w:t>规范煤炭生产</w:t>
      </w:r>
      <w:r>
        <w:rPr>
          <w:rFonts w:hint="eastAsia" w:ascii="MS UI Gothic" w:eastAsia="MS UI Gothic"/>
          <w:w w:val="80"/>
        </w:rPr>
        <w:t xml:space="preserve">、 </w:t>
      </w:r>
      <w:r>
        <w:t>经营活动</w:t>
      </w:r>
      <w:r>
        <w:rPr>
          <w:rFonts w:hint="eastAsia" w:ascii="MS UI Gothic" w:eastAsia="MS UI Gothic"/>
          <w:w w:val="80"/>
        </w:rPr>
        <w:t xml:space="preserve">ꎬ </w:t>
      </w:r>
      <w:r>
        <w:t>促进和保障煤炭行业的发展</w:t>
      </w:r>
      <w:r>
        <w:rPr>
          <w:rFonts w:hint="eastAsia" w:ascii="MS UI Gothic" w:eastAsia="MS UI Gothic"/>
          <w:w w:val="80"/>
        </w:rPr>
        <w:t xml:space="preserve">ꎬ </w:t>
      </w:r>
      <w:r>
        <w:t>制定本法</w:t>
      </w:r>
      <w:r>
        <w:rPr>
          <w:rFonts w:hint="eastAsia" w:ascii="MS UI Gothic" w:eastAsia="MS UI Gothic"/>
          <w:w w:val="80"/>
        </w:rPr>
        <w:t>ꎮ</w:t>
      </w:r>
    </w:p>
    <w:p>
      <w:pPr>
        <w:pStyle w:val="6"/>
        <w:spacing w:before="1" w:line="288" w:lineRule="auto"/>
        <w:ind w:left="440"/>
        <w:rPr>
          <w:rFonts w:hint="eastAsia" w:ascii="MS UI Gothic" w:eastAsia="MS UI Gothic"/>
        </w:rPr>
      </w:pPr>
      <w:r>
        <w:t>第二条 在中华人民共和国领域和中华人民共和国管辖的其他海域从事煤炭生产</w:t>
      </w:r>
      <w:r>
        <w:rPr>
          <w:rFonts w:hint="eastAsia" w:ascii="MS UI Gothic" w:eastAsia="MS UI Gothic"/>
          <w:w w:val="80"/>
        </w:rPr>
        <w:t xml:space="preserve">、 </w:t>
      </w:r>
      <w:r>
        <w:t>经营活动</w:t>
      </w:r>
      <w:r>
        <w:rPr>
          <w:rFonts w:hint="eastAsia" w:ascii="MS UI Gothic" w:eastAsia="MS UI Gothic"/>
          <w:w w:val="80"/>
        </w:rPr>
        <w:t xml:space="preserve">ꎬ </w:t>
      </w:r>
      <w:r>
        <w:t>适用本法</w:t>
      </w:r>
      <w:r>
        <w:rPr>
          <w:rFonts w:hint="eastAsia" w:ascii="MS UI Gothic" w:eastAsia="MS UI Gothic"/>
          <w:w w:val="80"/>
        </w:rPr>
        <w:t>ꎮ</w:t>
      </w:r>
    </w:p>
    <w:p>
      <w:pPr>
        <w:pStyle w:val="6"/>
        <w:spacing w:before="2" w:line="288" w:lineRule="auto"/>
        <w:ind w:left="440"/>
        <w:rPr>
          <w:rFonts w:hint="eastAsia" w:ascii="MS UI Gothic" w:eastAsia="MS UI Gothic"/>
        </w:rPr>
      </w:pPr>
      <w:r>
        <w:t>第三条 煤炭资源属于国家所有</w:t>
      </w:r>
      <w:r>
        <w:rPr>
          <w:rFonts w:hint="eastAsia" w:ascii="MS UI Gothic" w:eastAsia="MS UI Gothic"/>
          <w:w w:val="80"/>
        </w:rPr>
        <w:t xml:space="preserve">ꎮ </w:t>
      </w:r>
      <w:r>
        <w:t>地表或者地下的煤炭资源的国家所有权</w:t>
      </w:r>
      <w:r>
        <w:rPr>
          <w:rFonts w:hint="eastAsia" w:ascii="MS UI Gothic" w:eastAsia="MS UI Gothic"/>
          <w:w w:val="80"/>
        </w:rPr>
        <w:t xml:space="preserve">ꎬ </w:t>
      </w:r>
      <w:r>
        <w:t>不因其依附的土地的所有权或者使用权的不同而改变</w:t>
      </w:r>
      <w:r>
        <w:rPr>
          <w:rFonts w:hint="eastAsia" w:ascii="MS UI Gothic" w:eastAsia="MS UI Gothic"/>
          <w:w w:val="80"/>
        </w:rPr>
        <w:t>ꎮ</w:t>
      </w:r>
    </w:p>
    <w:p>
      <w:pPr>
        <w:pStyle w:val="6"/>
        <w:tabs>
          <w:tab w:val="left" w:pos="1640"/>
        </w:tabs>
        <w:spacing w:before="85" w:line="288" w:lineRule="auto"/>
        <w:ind w:left="383" w:right="126"/>
        <w:jc w:val="left"/>
        <w:rPr>
          <w:rFonts w:hint="eastAsia" w:ascii="MS UI Gothic" w:eastAsia="MS UI Gothic"/>
        </w:rPr>
      </w:pPr>
      <w:r>
        <w:br w:type="column"/>
      </w:r>
      <w:r>
        <w:rPr>
          <w:spacing w:val="3"/>
        </w:rPr>
        <w:t>第四</w:t>
      </w:r>
      <w:r>
        <w:t>条</w:t>
      </w:r>
      <w:r>
        <w:tab/>
      </w:r>
      <w:r>
        <w:rPr>
          <w:spacing w:val="3"/>
        </w:rPr>
        <w:t>国家对煤炭开发实行统一</w:t>
      </w:r>
      <w:r>
        <w:t>规</w:t>
      </w:r>
      <w:r>
        <w:rPr>
          <w:spacing w:val="3"/>
        </w:rPr>
        <w:t>划</w:t>
      </w:r>
      <w:r>
        <w:rPr>
          <w:rFonts w:hint="eastAsia" w:ascii="MS UI Gothic" w:eastAsia="MS UI Gothic"/>
          <w:w w:val="80"/>
        </w:rPr>
        <w:t>、</w:t>
      </w:r>
      <w:r>
        <w:rPr>
          <w:rFonts w:hint="eastAsia" w:ascii="MS UI Gothic" w:eastAsia="MS UI Gothic"/>
          <w:spacing w:val="8"/>
          <w:w w:val="80"/>
        </w:rPr>
        <w:t xml:space="preserve"> </w:t>
      </w:r>
      <w:r>
        <w:rPr>
          <w:spacing w:val="3"/>
        </w:rPr>
        <w:t>合理布局</w:t>
      </w:r>
      <w:r>
        <w:rPr>
          <w:rFonts w:hint="eastAsia" w:ascii="MS UI Gothic" w:eastAsia="MS UI Gothic"/>
          <w:w w:val="80"/>
        </w:rPr>
        <w:t>、</w:t>
      </w:r>
      <w:r>
        <w:rPr>
          <w:rFonts w:hint="eastAsia" w:ascii="MS UI Gothic" w:eastAsia="MS UI Gothic"/>
          <w:spacing w:val="9"/>
          <w:w w:val="80"/>
        </w:rPr>
        <w:t xml:space="preserve"> </w:t>
      </w:r>
      <w:r>
        <w:rPr>
          <w:spacing w:val="3"/>
        </w:rPr>
        <w:t>综合利用的方针</w:t>
      </w:r>
      <w:r>
        <w:rPr>
          <w:rFonts w:hint="eastAsia" w:ascii="MS UI Gothic" w:eastAsia="MS UI Gothic"/>
          <w:w w:val="80"/>
        </w:rPr>
        <w:t>ꎮ</w:t>
      </w:r>
    </w:p>
    <w:p>
      <w:pPr>
        <w:pStyle w:val="6"/>
        <w:spacing w:before="2" w:line="288" w:lineRule="auto"/>
        <w:ind w:left="383" w:right="126"/>
        <w:rPr>
          <w:rFonts w:hint="eastAsia" w:ascii="MS UI Gothic" w:eastAsia="MS UI Gothic"/>
        </w:rPr>
      </w:pPr>
      <w:r>
        <w:t>第五条 国家依法保护煤炭资源</w:t>
      </w:r>
      <w:r>
        <w:rPr>
          <w:rFonts w:hint="eastAsia" w:ascii="MS UI Gothic" w:eastAsia="MS UI Gothic"/>
          <w:w w:val="80"/>
        </w:rPr>
        <w:t xml:space="preserve">ꎬ </w:t>
      </w:r>
      <w:r>
        <w:t>禁止任何乱采</w:t>
      </w:r>
      <w:r>
        <w:rPr>
          <w:rFonts w:hint="eastAsia" w:ascii="MS UI Gothic" w:eastAsia="MS UI Gothic"/>
          <w:w w:val="80"/>
        </w:rPr>
        <w:t xml:space="preserve">、 </w:t>
      </w:r>
      <w:r>
        <w:t>滥挖破坏煤炭资源的行为</w:t>
      </w:r>
      <w:r>
        <w:rPr>
          <w:rFonts w:hint="eastAsia" w:ascii="MS UI Gothic" w:eastAsia="MS UI Gothic"/>
          <w:w w:val="80"/>
        </w:rPr>
        <w:t>ꎮ</w:t>
      </w:r>
    </w:p>
    <w:p>
      <w:pPr>
        <w:pStyle w:val="6"/>
        <w:tabs>
          <w:tab w:val="left" w:pos="1640"/>
        </w:tabs>
        <w:spacing w:before="2" w:line="288" w:lineRule="auto"/>
        <w:ind w:left="383" w:right="126"/>
        <w:jc w:val="left"/>
        <w:rPr>
          <w:rFonts w:hint="eastAsia" w:ascii="MS UI Gothic" w:eastAsia="MS UI Gothic"/>
        </w:rPr>
      </w:pPr>
      <w:r>
        <w:rPr>
          <w:spacing w:val="3"/>
          <w:w w:val="105"/>
        </w:rPr>
        <w:t>第六</w:t>
      </w:r>
      <w:r>
        <w:rPr>
          <w:w w:val="105"/>
        </w:rPr>
        <w:t>条</w:t>
      </w:r>
      <w:r>
        <w:rPr>
          <w:w w:val="105"/>
        </w:rPr>
        <w:tab/>
      </w:r>
      <w:r>
        <w:rPr>
          <w:spacing w:val="3"/>
        </w:rPr>
        <w:t>国家保护依法投资开发煤</w:t>
      </w:r>
      <w:r>
        <w:t>炭</w:t>
      </w:r>
      <w:r>
        <w:rPr>
          <w:spacing w:val="3"/>
          <w:w w:val="105"/>
        </w:rPr>
        <w:t>资源的投资者的合法权益</w:t>
      </w:r>
      <w:r>
        <w:rPr>
          <w:rFonts w:hint="eastAsia" w:ascii="MS UI Gothic" w:eastAsia="MS UI Gothic"/>
          <w:w w:val="80"/>
        </w:rPr>
        <w:t>ꎮ</w:t>
      </w:r>
    </w:p>
    <w:p>
      <w:pPr>
        <w:pStyle w:val="6"/>
        <w:ind w:left="802" w:firstLine="0"/>
        <w:jc w:val="left"/>
        <w:rPr>
          <w:rFonts w:hint="eastAsia" w:ascii="MS UI Gothic" w:eastAsia="MS UI Gothic"/>
        </w:rPr>
      </w:pPr>
      <w:r>
        <w:t>国家保障国有煤矿的健康发展</w:t>
      </w:r>
      <w:r>
        <w:rPr>
          <w:rFonts w:hint="eastAsia" w:ascii="MS UI Gothic" w:eastAsia="MS UI Gothic"/>
          <w:w w:val="80"/>
        </w:rPr>
        <w:t>ꎮ</w:t>
      </w:r>
    </w:p>
    <w:p>
      <w:pPr>
        <w:pStyle w:val="6"/>
        <w:spacing w:before="53" w:line="288" w:lineRule="auto"/>
        <w:ind w:left="383" w:right="126"/>
        <w:rPr>
          <w:rFonts w:hint="eastAsia" w:ascii="MS UI Gothic" w:eastAsia="MS UI Gothic"/>
        </w:rPr>
      </w:pPr>
      <w:r>
        <w:t>国家对乡镇煤矿采取扶持</w:t>
      </w:r>
      <w:r>
        <w:rPr>
          <w:rFonts w:hint="eastAsia" w:ascii="MS UI Gothic" w:eastAsia="MS UI Gothic"/>
          <w:w w:val="80"/>
        </w:rPr>
        <w:t xml:space="preserve">、 </w:t>
      </w:r>
      <w:r>
        <w:t>改造</w:t>
      </w:r>
      <w:r>
        <w:rPr>
          <w:rFonts w:hint="eastAsia" w:ascii="MS UI Gothic" w:eastAsia="MS UI Gothic"/>
          <w:w w:val="80"/>
        </w:rPr>
        <w:t xml:space="preserve">、 </w:t>
      </w:r>
      <w:r>
        <w:t>整顿</w:t>
      </w:r>
      <w:r>
        <w:rPr>
          <w:rFonts w:hint="eastAsia" w:ascii="MS UI Gothic" w:eastAsia="MS UI Gothic"/>
          <w:w w:val="80"/>
        </w:rPr>
        <w:t xml:space="preserve">、 </w:t>
      </w:r>
      <w:r>
        <w:t>联合</w:t>
      </w:r>
      <w:r>
        <w:rPr>
          <w:rFonts w:hint="eastAsia" w:ascii="MS UI Gothic" w:eastAsia="MS UI Gothic"/>
          <w:w w:val="80"/>
        </w:rPr>
        <w:t xml:space="preserve">、 </w:t>
      </w:r>
      <w:r>
        <w:t>提高的方针</w:t>
      </w:r>
      <w:r>
        <w:rPr>
          <w:rFonts w:hint="eastAsia" w:ascii="MS UI Gothic" w:eastAsia="MS UI Gothic"/>
          <w:w w:val="80"/>
        </w:rPr>
        <w:t xml:space="preserve">ꎬ </w:t>
      </w:r>
      <w:r>
        <w:t>实行正规合理开发和有序发展</w:t>
      </w:r>
      <w:r>
        <w:rPr>
          <w:rFonts w:hint="eastAsia" w:ascii="MS UI Gothic" w:eastAsia="MS UI Gothic"/>
          <w:w w:val="80"/>
        </w:rPr>
        <w:t>ꎮ</w:t>
      </w:r>
    </w:p>
    <w:p>
      <w:pPr>
        <w:pStyle w:val="6"/>
        <w:tabs>
          <w:tab w:val="left" w:pos="1675"/>
        </w:tabs>
        <w:spacing w:before="1" w:line="288" w:lineRule="auto"/>
        <w:ind w:left="383" w:right="126"/>
        <w:jc w:val="left"/>
      </w:pPr>
      <w:r>
        <w:rPr>
          <w:spacing w:val="3"/>
          <w:w w:val="105"/>
        </w:rPr>
        <w:t>第七</w:t>
      </w:r>
      <w:r>
        <w:rPr>
          <w:w w:val="105"/>
        </w:rPr>
        <w:t>条</w:t>
      </w:r>
      <w:r>
        <w:rPr>
          <w:w w:val="105"/>
        </w:rPr>
        <w:tab/>
      </w:r>
      <w:r>
        <w:rPr>
          <w:spacing w:val="21"/>
        </w:rPr>
        <w:t>煤矿企业必须坚持安全</w:t>
      </w:r>
      <w:r>
        <w:rPr>
          <w:spacing w:val="-14"/>
        </w:rPr>
        <w:t>第</w:t>
      </w:r>
      <w:r>
        <w:rPr>
          <w:spacing w:val="3"/>
          <w:w w:val="105"/>
        </w:rPr>
        <w:t>一</w:t>
      </w:r>
      <w:r>
        <w:rPr>
          <w:rFonts w:hint="eastAsia" w:ascii="MS UI Gothic" w:eastAsia="MS UI Gothic"/>
          <w:w w:val="80"/>
        </w:rPr>
        <w:t>、</w:t>
      </w:r>
      <w:r>
        <w:rPr>
          <w:rFonts w:hint="eastAsia" w:ascii="MS UI Gothic" w:eastAsia="MS UI Gothic"/>
          <w:spacing w:val="-1"/>
          <w:w w:val="80"/>
        </w:rPr>
        <w:t xml:space="preserve"> </w:t>
      </w:r>
      <w:r>
        <w:rPr>
          <w:spacing w:val="3"/>
          <w:w w:val="105"/>
        </w:rPr>
        <w:t>预防为主的安全生产方针</w:t>
      </w:r>
      <w:r>
        <w:rPr>
          <w:rFonts w:hint="eastAsia" w:ascii="MS UI Gothic" w:eastAsia="MS UI Gothic"/>
          <w:w w:val="80"/>
        </w:rPr>
        <w:t xml:space="preserve">ꎬ </w:t>
      </w:r>
      <w:r>
        <w:rPr>
          <w:spacing w:val="3"/>
          <w:w w:val="105"/>
        </w:rPr>
        <w:t>建立健</w:t>
      </w:r>
      <w:r>
        <w:rPr>
          <w:w w:val="105"/>
        </w:rPr>
        <w:t>全</w:t>
      </w:r>
    </w:p>
    <w:p>
      <w:pPr>
        <w:spacing w:after="0" w:line="288" w:lineRule="auto"/>
        <w:jc w:val="left"/>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２１４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71" o:spid="_x0000_s1671" o:spt="203" style="height:2.15pt;width:398.25pt;" coordsize="7965,43">
            <o:lock v:ext="edit"/>
            <v:line id="_x0000_s1672" o:spid="_x0000_s1672" o:spt="20" style="position:absolute;left:0;top:39;height:0;width:7965;" stroked="t" coordsize="21600,21600">
              <v:path arrowok="t"/>
              <v:fill focussize="0,0"/>
              <v:stroke weight="0.388031496062992pt" color="#231F20"/>
              <v:imagedata o:title=""/>
              <o:lock v:ext="edit"/>
            </v:line>
            <v:line id="_x0000_s1673" o:spid="_x0000_s167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jc w:val="left"/>
        <w:rPr>
          <w:rFonts w:hint="eastAsia" w:ascii="MS UI Gothic" w:eastAsia="MS UI Gothic"/>
        </w:rPr>
      </w:pPr>
      <w:r>
        <w:t>安全生产的责任制度和群防群治制度</w:t>
      </w:r>
      <w:r>
        <w:rPr>
          <w:rFonts w:hint="eastAsia" w:ascii="MS UI Gothic" w:eastAsia="MS UI Gothic"/>
          <w:w w:val="80"/>
        </w:rPr>
        <w:t>ꎮ</w:t>
      </w:r>
    </w:p>
    <w:p>
      <w:pPr>
        <w:pStyle w:val="6"/>
        <w:spacing w:before="58" w:line="295" w:lineRule="auto"/>
        <w:ind w:right="38"/>
        <w:rPr>
          <w:rFonts w:hint="eastAsia" w:ascii="MS UI Gothic" w:eastAsia="MS UI Gothic"/>
        </w:rPr>
      </w:pPr>
      <w:r>
        <w:rPr>
          <w:w w:val="105"/>
        </w:rPr>
        <w:t>第八条 各级人民政府及其有关部门</w:t>
      </w:r>
      <w:r>
        <w:t>和煤矿企业必须采取措施加强劳动保护</w:t>
      </w:r>
      <w:r>
        <w:rPr>
          <w:rFonts w:hint="eastAsia" w:ascii="MS UI Gothic" w:eastAsia="MS UI Gothic"/>
          <w:w w:val="80"/>
        </w:rPr>
        <w:t>ꎬ</w:t>
      </w:r>
      <w:r>
        <w:rPr>
          <w:w w:val="105"/>
        </w:rPr>
        <w:t>保障煤矿职工的安全和健康</w:t>
      </w:r>
      <w:r>
        <w:rPr>
          <w:rFonts w:hint="eastAsia" w:ascii="MS UI Gothic" w:eastAsia="MS UI Gothic"/>
          <w:w w:val="80"/>
        </w:rPr>
        <w:t>ꎮ</w:t>
      </w:r>
    </w:p>
    <w:p>
      <w:pPr>
        <w:pStyle w:val="6"/>
        <w:spacing w:line="295" w:lineRule="auto"/>
        <w:ind w:right="39"/>
        <w:jc w:val="left"/>
        <w:rPr>
          <w:rFonts w:hint="eastAsia" w:ascii="MS UI Gothic" w:eastAsia="MS UI Gothic"/>
        </w:rPr>
      </w:pPr>
      <w:r>
        <w:t>国家对煤矿井下作业的职工采取特殊</w:t>
      </w:r>
      <w:r>
        <w:rPr>
          <w:w w:val="105"/>
        </w:rPr>
        <w:t>保护措施</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第九条 国家鼓励和支持在开发利用</w:t>
      </w:r>
      <w:r>
        <w:t>煤炭资源过程中采用先进的科学技术和管</w:t>
      </w:r>
      <w:r>
        <w:rPr>
          <w:w w:val="105"/>
        </w:rPr>
        <w:t>理方法</w:t>
      </w:r>
      <w:r>
        <w:rPr>
          <w:rFonts w:hint="eastAsia" w:ascii="MS UI Gothic" w:eastAsia="MS UI Gothic"/>
          <w:w w:val="80"/>
        </w:rPr>
        <w:t>ꎮ</w:t>
      </w:r>
    </w:p>
    <w:p>
      <w:pPr>
        <w:pStyle w:val="6"/>
        <w:spacing w:line="295" w:lineRule="auto"/>
        <w:ind w:right="38"/>
        <w:jc w:val="left"/>
        <w:rPr>
          <w:rFonts w:hint="eastAsia" w:ascii="MS UI Gothic" w:eastAsia="MS UI Gothic"/>
        </w:rPr>
      </w:pPr>
      <w:r>
        <w:t>煤矿企业应当加强和改善经营管理</w:t>
      </w:r>
      <w:r>
        <w:rPr>
          <w:rFonts w:hint="eastAsia" w:ascii="MS UI Gothic" w:eastAsia="MS UI Gothic"/>
          <w:w w:val="80"/>
        </w:rPr>
        <w:t>ꎬ</w:t>
      </w:r>
      <w:r>
        <w:t>提高劳动生产率和经济效益</w:t>
      </w:r>
      <w:r>
        <w:rPr>
          <w:rFonts w:hint="eastAsia" w:ascii="MS UI Gothic" w:eastAsia="MS UI Gothic"/>
          <w:w w:val="80"/>
        </w:rPr>
        <w:t>ꎮ</w:t>
      </w:r>
    </w:p>
    <w:p>
      <w:pPr>
        <w:pStyle w:val="6"/>
        <w:spacing w:line="295" w:lineRule="auto"/>
        <w:ind w:right="39"/>
        <w:rPr>
          <w:rFonts w:hint="eastAsia" w:ascii="MS UI Gothic" w:eastAsia="MS UI Gothic"/>
        </w:rPr>
      </w:pPr>
      <w:r>
        <w:t>第十条 国家维护煤矿矿区的生产秩序</w:t>
      </w:r>
      <w:r>
        <w:rPr>
          <w:rFonts w:hint="eastAsia" w:ascii="MS UI Gothic" w:eastAsia="MS UI Gothic"/>
          <w:w w:val="80"/>
        </w:rPr>
        <w:t xml:space="preserve">、 </w:t>
      </w:r>
      <w:r>
        <w:t>工作秩序</w:t>
      </w:r>
      <w:r>
        <w:rPr>
          <w:rFonts w:hint="eastAsia" w:ascii="MS UI Gothic" w:eastAsia="MS UI Gothic"/>
          <w:w w:val="80"/>
        </w:rPr>
        <w:t xml:space="preserve">ꎬ </w:t>
      </w:r>
      <w:r>
        <w:t>保护煤矿企业设施</w:t>
      </w:r>
      <w:r>
        <w:rPr>
          <w:rFonts w:hint="eastAsia" w:ascii="MS UI Gothic" w:eastAsia="MS UI Gothic"/>
          <w:w w:val="80"/>
        </w:rPr>
        <w:t>ꎮ</w:t>
      </w:r>
    </w:p>
    <w:p>
      <w:pPr>
        <w:pStyle w:val="6"/>
        <w:spacing w:line="295" w:lineRule="auto"/>
        <w:ind w:right="39"/>
        <w:rPr>
          <w:rFonts w:hint="eastAsia" w:ascii="MS UI Gothic" w:eastAsia="MS UI Gothic"/>
        </w:rPr>
      </w:pPr>
      <w:r>
        <w:t>第十一条 开发利用煤炭资源</w:t>
      </w:r>
      <w:r>
        <w:rPr>
          <w:rFonts w:hint="eastAsia" w:ascii="MS UI Gothic" w:eastAsia="MS UI Gothic"/>
          <w:w w:val="80"/>
        </w:rPr>
        <w:t xml:space="preserve">ꎬ </w:t>
      </w:r>
      <w:r>
        <w:t>应当遵守有关环境保护的法律</w:t>
      </w:r>
      <w:r>
        <w:rPr>
          <w:rFonts w:hint="eastAsia" w:ascii="MS UI Gothic" w:eastAsia="MS UI Gothic"/>
          <w:w w:val="80"/>
        </w:rPr>
        <w:t xml:space="preserve">、 </w:t>
      </w:r>
      <w:r>
        <w:t>法规</w:t>
      </w:r>
      <w:r>
        <w:rPr>
          <w:rFonts w:hint="eastAsia" w:ascii="MS UI Gothic" w:eastAsia="MS UI Gothic"/>
          <w:w w:val="80"/>
        </w:rPr>
        <w:t xml:space="preserve">ꎬ </w:t>
      </w:r>
      <w:r>
        <w:t>防治污染和其他公害</w:t>
      </w:r>
      <w:r>
        <w:rPr>
          <w:rFonts w:hint="eastAsia" w:ascii="MS UI Gothic" w:eastAsia="MS UI Gothic"/>
          <w:w w:val="80"/>
        </w:rPr>
        <w:t xml:space="preserve">ꎬ </w:t>
      </w:r>
      <w:r>
        <w:t>保护生态环境</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第十二条 国务院煤炭管理部门依法</w:t>
      </w:r>
      <w:r>
        <w:t>负责全国煤炭行业的监督管理</w:t>
      </w:r>
      <w:r>
        <w:rPr>
          <w:rFonts w:hint="eastAsia" w:ascii="MS UI Gothic" w:eastAsia="MS UI Gothic"/>
          <w:w w:val="80"/>
        </w:rPr>
        <w:t xml:space="preserve">ꎮ </w:t>
      </w:r>
      <w:r>
        <w:t>国务院有关部门在各自的职责范围内负责煤炭行业</w:t>
      </w:r>
      <w:r>
        <w:rPr>
          <w:w w:val="105"/>
        </w:rPr>
        <w:t>的监督管理</w:t>
      </w:r>
      <w:r>
        <w:rPr>
          <w:rFonts w:hint="eastAsia" w:ascii="MS UI Gothic" w:eastAsia="MS UI Gothic"/>
          <w:w w:val="80"/>
        </w:rPr>
        <w:t>ꎮ</w:t>
      </w:r>
    </w:p>
    <w:p>
      <w:pPr>
        <w:pStyle w:val="6"/>
        <w:spacing w:line="295" w:lineRule="auto"/>
        <w:ind w:right="39"/>
        <w:rPr>
          <w:rFonts w:hint="eastAsia" w:ascii="MS UI Gothic" w:eastAsia="MS UI Gothic"/>
        </w:rPr>
      </w:pPr>
      <w:r>
        <w:t>县级以上地方人民政府煤炭管理部门和有关部门依法负责本行政区域内煤炭行</w:t>
      </w:r>
      <w:r>
        <w:rPr>
          <w:w w:val="105"/>
        </w:rPr>
        <w:t>业的监督管理</w:t>
      </w:r>
      <w:r>
        <w:rPr>
          <w:rFonts w:hint="eastAsia" w:ascii="MS UI Gothic" w:eastAsia="MS UI Gothic"/>
          <w:w w:val="80"/>
        </w:rPr>
        <w:t>ꎮ</w:t>
      </w:r>
    </w:p>
    <w:p>
      <w:pPr>
        <w:pStyle w:val="6"/>
        <w:spacing w:line="295" w:lineRule="auto"/>
        <w:ind w:right="39"/>
        <w:rPr>
          <w:rFonts w:hint="eastAsia" w:ascii="MS UI Gothic" w:eastAsia="MS UI Gothic"/>
        </w:rPr>
      </w:pPr>
      <w:r>
        <w:t>第十三条 煤炭矿务局是国有煤矿企业</w:t>
      </w:r>
      <w:r>
        <w:rPr>
          <w:rFonts w:hint="eastAsia" w:ascii="MS UI Gothic" w:eastAsia="MS UI Gothic"/>
          <w:w w:val="80"/>
        </w:rPr>
        <w:t xml:space="preserve">ꎬ </w:t>
      </w:r>
      <w:r>
        <w:t>具有独立法人资格</w:t>
      </w:r>
      <w:r>
        <w:rPr>
          <w:rFonts w:hint="eastAsia" w:ascii="MS UI Gothic" w:eastAsia="MS UI Gothic"/>
          <w:w w:val="80"/>
        </w:rPr>
        <w:t>ꎮ</w:t>
      </w:r>
    </w:p>
    <w:p>
      <w:pPr>
        <w:pStyle w:val="6"/>
        <w:spacing w:line="295" w:lineRule="auto"/>
        <w:ind w:right="39"/>
        <w:rPr>
          <w:rFonts w:hint="eastAsia" w:ascii="MS UI Gothic" w:eastAsia="MS UI Gothic"/>
        </w:rPr>
      </w:pPr>
      <w:r>
        <w:t>矿务局和其他具有独立法人资格的煤矿企业</w:t>
      </w:r>
      <w:r>
        <w:rPr>
          <w:rFonts w:hint="eastAsia" w:ascii="MS UI Gothic" w:eastAsia="MS UI Gothic"/>
          <w:w w:val="80"/>
        </w:rPr>
        <w:t xml:space="preserve">、 </w:t>
      </w:r>
      <w:r>
        <w:t>煤炭经营企业依法实行自主经营</w:t>
      </w:r>
      <w:r>
        <w:rPr>
          <w:rFonts w:hint="eastAsia" w:ascii="MS UI Gothic" w:eastAsia="MS UI Gothic"/>
          <w:w w:val="80"/>
        </w:rPr>
        <w:t xml:space="preserve">、 </w:t>
      </w:r>
      <w:r>
        <w:t>自负盈亏</w:t>
      </w:r>
      <w:r>
        <w:rPr>
          <w:rFonts w:hint="eastAsia" w:ascii="MS UI Gothic" w:eastAsia="MS UI Gothic"/>
          <w:w w:val="80"/>
        </w:rPr>
        <w:t xml:space="preserve">、 </w:t>
      </w:r>
      <w:r>
        <w:t>自我约束</w:t>
      </w:r>
      <w:r>
        <w:rPr>
          <w:rFonts w:hint="eastAsia" w:ascii="MS UI Gothic" w:eastAsia="MS UI Gothic"/>
          <w:w w:val="80"/>
        </w:rPr>
        <w:t xml:space="preserve">、 </w:t>
      </w:r>
      <w:r>
        <w:t>自我发展</w:t>
      </w:r>
      <w:r>
        <w:rPr>
          <w:rFonts w:hint="eastAsia" w:ascii="MS UI Gothic" w:eastAsia="MS UI Gothic"/>
          <w:w w:val="80"/>
        </w:rPr>
        <w:t>ꎮ</w:t>
      </w:r>
    </w:p>
    <w:p>
      <w:pPr>
        <w:pStyle w:val="6"/>
        <w:tabs>
          <w:tab w:val="left" w:pos="1067"/>
        </w:tabs>
        <w:spacing w:before="136"/>
        <w:ind w:left="229" w:firstLine="0"/>
        <w:jc w:val="left"/>
      </w:pPr>
      <w:r>
        <w:rPr>
          <w:spacing w:val="3"/>
          <w:w w:val="105"/>
        </w:rPr>
        <w:t>第二</w:t>
      </w:r>
      <w:r>
        <w:rPr>
          <w:w w:val="105"/>
        </w:rPr>
        <w:t>章</w:t>
      </w:r>
      <w:r>
        <w:rPr>
          <w:w w:val="105"/>
        </w:rPr>
        <w:tab/>
      </w:r>
      <w:r>
        <w:rPr>
          <w:spacing w:val="3"/>
          <w:w w:val="105"/>
        </w:rPr>
        <w:t>煤炭生产开发规划与煤矿建</w:t>
      </w:r>
      <w:r>
        <w:rPr>
          <w:w w:val="105"/>
        </w:rPr>
        <w:t>设</w:t>
      </w:r>
    </w:p>
    <w:p>
      <w:pPr>
        <w:pStyle w:val="6"/>
        <w:spacing w:before="215" w:line="295" w:lineRule="auto"/>
        <w:ind w:right="39"/>
        <w:rPr>
          <w:rFonts w:hint="eastAsia" w:ascii="MS UI Gothic" w:eastAsia="MS UI Gothic"/>
        </w:rPr>
      </w:pPr>
      <w:r>
        <w:rPr>
          <w:w w:val="105"/>
        </w:rPr>
        <w:t>第十四条 国务院煤炭管理部门根据</w:t>
      </w:r>
      <w:r>
        <w:t>全国矿产资源勘查规划编制全国煤炭资源</w:t>
      </w:r>
      <w:r>
        <w:rPr>
          <w:w w:val="105"/>
        </w:rPr>
        <w:t>勘查规划</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第十五条 国务院煤炭管理部门根据</w:t>
      </w:r>
      <w:r>
        <w:t>全国矿产资源规划规定的煤炭资源</w:t>
      </w:r>
      <w:r>
        <w:rPr>
          <w:rFonts w:hint="eastAsia" w:ascii="MS UI Gothic" w:eastAsia="MS UI Gothic"/>
          <w:w w:val="80"/>
        </w:rPr>
        <w:t xml:space="preserve">ꎬ </w:t>
      </w:r>
      <w:r>
        <w:t>组织</w:t>
      </w:r>
      <w:r>
        <w:rPr>
          <w:w w:val="105"/>
        </w:rPr>
        <w:t>编制和实施煤炭生产开发规划</w:t>
      </w:r>
      <w:r>
        <w:rPr>
          <w:rFonts w:hint="eastAsia" w:ascii="MS UI Gothic" w:eastAsia="MS UI Gothic"/>
          <w:w w:val="80"/>
        </w:rPr>
        <w:t>ꎮ</w:t>
      </w:r>
    </w:p>
    <w:p>
      <w:pPr>
        <w:pStyle w:val="6"/>
        <w:spacing w:line="295" w:lineRule="auto"/>
        <w:ind w:right="39"/>
      </w:pPr>
      <w:r>
        <w:rPr>
          <w:w w:val="105"/>
        </w:rPr>
        <w:t>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直辖市人民政府煤炭管</w:t>
      </w:r>
      <w:r>
        <w:t>理部门根据全国矿产资源规划规定的煤炭资源</w:t>
      </w:r>
      <w:r>
        <w:rPr>
          <w:rFonts w:hint="eastAsia" w:ascii="MS UI Gothic" w:eastAsia="MS UI Gothic"/>
          <w:w w:val="80"/>
        </w:rPr>
        <w:t xml:space="preserve">ꎬ </w:t>
      </w:r>
      <w:r>
        <w:t>组织编制和实施本地区煤炭生产开</w:t>
      </w:r>
    </w:p>
    <w:p>
      <w:pPr>
        <w:pStyle w:val="6"/>
        <w:spacing w:before="123"/>
        <w:ind w:firstLine="0"/>
        <w:jc w:val="left"/>
        <w:rPr>
          <w:rFonts w:hint="eastAsia" w:ascii="MS UI Gothic" w:eastAsia="MS UI Gothic"/>
        </w:rPr>
      </w:pPr>
      <w:r>
        <w:br w:type="column"/>
      </w:r>
      <w:r>
        <w:t>发规划</w:t>
      </w:r>
      <w:r>
        <w:rPr>
          <w:rFonts w:hint="eastAsia" w:ascii="MS UI Gothic" w:eastAsia="MS UI Gothic"/>
          <w:w w:val="80"/>
        </w:rPr>
        <w:t xml:space="preserve">ꎬ </w:t>
      </w:r>
      <w:r>
        <w:t>并报国务院煤炭管理部门备案</w:t>
      </w:r>
      <w:r>
        <w:rPr>
          <w:rFonts w:hint="eastAsia" w:ascii="MS UI Gothic" w:eastAsia="MS UI Gothic"/>
          <w:w w:val="80"/>
        </w:rPr>
        <w:t>ꎮ</w:t>
      </w:r>
    </w:p>
    <w:p>
      <w:pPr>
        <w:pStyle w:val="6"/>
        <w:spacing w:before="58" w:line="295" w:lineRule="auto"/>
        <w:ind w:right="442"/>
        <w:rPr>
          <w:rFonts w:hint="eastAsia" w:ascii="MS UI Gothic" w:eastAsia="MS UI Gothic"/>
        </w:rPr>
      </w:pPr>
      <w:r>
        <w:rPr>
          <w:w w:val="105"/>
        </w:rPr>
        <w:t>第十六条 煤炭生产开发规划应当根</w:t>
      </w:r>
      <w:r>
        <w:t>据国民经济和社会发展的需要制定</w:t>
      </w:r>
      <w:r>
        <w:rPr>
          <w:rFonts w:hint="eastAsia" w:ascii="MS UI Gothic" w:eastAsia="MS UI Gothic"/>
          <w:w w:val="80"/>
        </w:rPr>
        <w:t xml:space="preserve">ꎬ </w:t>
      </w:r>
      <w:r>
        <w:t>并纳</w:t>
      </w:r>
      <w:r>
        <w:rPr>
          <w:w w:val="105"/>
        </w:rPr>
        <w:t>入国民经济和社会发展计划</w:t>
      </w:r>
      <w:r>
        <w:rPr>
          <w:rFonts w:hint="eastAsia" w:ascii="MS UI Gothic" w:eastAsia="MS UI Gothic"/>
          <w:w w:val="80"/>
        </w:rPr>
        <w:t>ꎮ</w:t>
      </w:r>
    </w:p>
    <w:p>
      <w:pPr>
        <w:pStyle w:val="6"/>
        <w:spacing w:line="295" w:lineRule="auto"/>
        <w:ind w:right="442"/>
        <w:rPr>
          <w:rFonts w:hint="eastAsia" w:ascii="MS UI Gothic" w:eastAsia="MS UI Gothic"/>
        </w:rPr>
      </w:pPr>
      <w:r>
        <w:t>第十七条 国家制定优惠政策</w:t>
      </w:r>
      <w:r>
        <w:rPr>
          <w:rFonts w:hint="eastAsia" w:ascii="MS UI Gothic" w:eastAsia="MS UI Gothic"/>
          <w:w w:val="80"/>
        </w:rPr>
        <w:t xml:space="preserve">ꎬ </w:t>
      </w:r>
      <w:r>
        <w:t>支持煤炭工业发展</w:t>
      </w:r>
      <w:r>
        <w:rPr>
          <w:rFonts w:hint="eastAsia" w:ascii="MS UI Gothic" w:eastAsia="MS UI Gothic"/>
          <w:w w:val="80"/>
        </w:rPr>
        <w:t xml:space="preserve">ꎬ </w:t>
      </w:r>
      <w:r>
        <w:t>促进煤矿建设</w:t>
      </w:r>
      <w:r>
        <w:rPr>
          <w:rFonts w:hint="eastAsia" w:ascii="MS UI Gothic" w:eastAsia="MS UI Gothic"/>
          <w:w w:val="80"/>
        </w:rPr>
        <w:t>ꎮ</w:t>
      </w:r>
    </w:p>
    <w:p>
      <w:pPr>
        <w:pStyle w:val="6"/>
        <w:spacing w:line="295" w:lineRule="auto"/>
        <w:ind w:right="442"/>
        <w:jc w:val="left"/>
        <w:rPr>
          <w:rFonts w:hint="eastAsia" w:ascii="MS UI Gothic" w:eastAsia="MS UI Gothic"/>
        </w:rPr>
      </w:pPr>
      <w:r>
        <w:t>煤矿建设项目应当符合煤炭生产开发</w:t>
      </w:r>
      <w:r>
        <w:rPr>
          <w:w w:val="105"/>
        </w:rPr>
        <w:t>规划和煤炭产业政策</w:t>
      </w:r>
      <w:r>
        <w:rPr>
          <w:rFonts w:hint="eastAsia" w:ascii="MS UI Gothic" w:eastAsia="MS UI Gothic"/>
          <w:w w:val="80"/>
        </w:rPr>
        <w:t>ꎮ</w:t>
      </w:r>
    </w:p>
    <w:p>
      <w:pPr>
        <w:pStyle w:val="6"/>
        <w:spacing w:line="295" w:lineRule="auto"/>
        <w:ind w:right="442"/>
        <w:rPr>
          <w:rFonts w:hint="eastAsia" w:ascii="MS UI Gothic" w:eastAsia="MS UI Gothic"/>
        </w:rPr>
      </w:pPr>
      <w:r>
        <w:t>第十八条 煤矿建设使用土地</w:t>
      </w:r>
      <w:r>
        <w:rPr>
          <w:rFonts w:hint="eastAsia" w:ascii="MS UI Gothic" w:eastAsia="MS UI Gothic"/>
          <w:w w:val="80"/>
        </w:rPr>
        <w:t xml:space="preserve">ꎬ </w:t>
      </w:r>
      <w:r>
        <w:t>应当依照有关法律</w:t>
      </w:r>
      <w:r>
        <w:rPr>
          <w:rFonts w:hint="eastAsia" w:ascii="MS UI Gothic" w:eastAsia="MS UI Gothic"/>
          <w:w w:val="80"/>
        </w:rPr>
        <w:t xml:space="preserve">、 </w:t>
      </w:r>
      <w:r>
        <w:t>行政法规的规定办理</w:t>
      </w:r>
      <w:r>
        <w:rPr>
          <w:rFonts w:hint="eastAsia" w:ascii="MS UI Gothic" w:eastAsia="MS UI Gothic"/>
          <w:w w:val="80"/>
        </w:rPr>
        <w:t xml:space="preserve">ꎮ </w:t>
      </w:r>
      <w:r>
        <w:t>征收土地的</w:t>
      </w:r>
      <w:r>
        <w:rPr>
          <w:rFonts w:hint="eastAsia" w:ascii="MS UI Gothic" w:eastAsia="MS UI Gothic"/>
          <w:w w:val="80"/>
        </w:rPr>
        <w:t xml:space="preserve">ꎬ </w:t>
      </w:r>
      <w:r>
        <w:t>应当依法支付土地补偿费和安置补偿费</w:t>
      </w:r>
      <w:r>
        <w:rPr>
          <w:rFonts w:hint="eastAsia" w:ascii="MS UI Gothic" w:eastAsia="MS UI Gothic"/>
          <w:w w:val="80"/>
        </w:rPr>
        <w:t xml:space="preserve">ꎬ </w:t>
      </w:r>
      <w:r>
        <w:t>做好迁移居民的安置工作</w:t>
      </w:r>
      <w:r>
        <w:rPr>
          <w:rFonts w:hint="eastAsia" w:ascii="MS UI Gothic" w:eastAsia="MS UI Gothic"/>
          <w:w w:val="80"/>
        </w:rPr>
        <w:t>ꎮ</w:t>
      </w:r>
    </w:p>
    <w:p>
      <w:pPr>
        <w:pStyle w:val="6"/>
        <w:spacing w:line="295" w:lineRule="auto"/>
        <w:ind w:right="442"/>
        <w:rPr>
          <w:rFonts w:hint="eastAsia" w:ascii="MS UI Gothic" w:eastAsia="MS UI Gothic"/>
        </w:rPr>
      </w:pPr>
      <w:r>
        <w:t>煤矿建设应当贯彻保护耕地</w:t>
      </w:r>
      <w:r>
        <w:rPr>
          <w:rFonts w:hint="eastAsia" w:ascii="MS UI Gothic" w:eastAsia="MS UI Gothic"/>
          <w:w w:val="80"/>
        </w:rPr>
        <w:t xml:space="preserve">、 </w:t>
      </w:r>
      <w:r>
        <w:t>合理利用土地的原则</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地方人民政府对煤矿建设依法使用土</w:t>
      </w:r>
      <w:r>
        <w:rPr>
          <w:spacing w:val="3"/>
        </w:rPr>
        <w:t>地和迁移居民</w:t>
      </w:r>
      <w:r>
        <w:rPr>
          <w:rFonts w:hint="eastAsia" w:ascii="MS UI Gothic" w:eastAsia="MS UI Gothic"/>
          <w:w w:val="80"/>
        </w:rPr>
        <w:t xml:space="preserve">ꎬ </w:t>
      </w:r>
      <w:r>
        <w:rPr>
          <w:spacing w:val="3"/>
        </w:rPr>
        <w:t>应当给予支持和协助</w:t>
      </w:r>
      <w:r>
        <w:rPr>
          <w:rFonts w:hint="eastAsia" w:ascii="MS UI Gothic" w:eastAsia="MS UI Gothic"/>
          <w:w w:val="80"/>
        </w:rPr>
        <w:t>ꎮ</w:t>
      </w:r>
    </w:p>
    <w:p>
      <w:pPr>
        <w:pStyle w:val="6"/>
        <w:spacing w:line="295" w:lineRule="auto"/>
        <w:ind w:right="440"/>
        <w:rPr>
          <w:rFonts w:hint="eastAsia" w:ascii="MS UI Gothic" w:eastAsia="MS UI Gothic"/>
        </w:rPr>
      </w:pPr>
      <w:r>
        <w:rPr>
          <w:spacing w:val="4"/>
        </w:rPr>
        <w:t>第十九条 煤矿建设应当坚持煤炭开</w:t>
      </w:r>
      <w:r>
        <w:rPr>
          <w:spacing w:val="3"/>
        </w:rPr>
        <w:t>发与环境治理同步进行</w:t>
      </w:r>
      <w:r>
        <w:rPr>
          <w:rFonts w:hint="eastAsia" w:ascii="MS UI Gothic" w:eastAsia="MS UI Gothic"/>
          <w:spacing w:val="19"/>
          <w:w w:val="80"/>
        </w:rPr>
        <w:t xml:space="preserve">ꎮ </w:t>
      </w:r>
      <w:r>
        <w:rPr>
          <w:spacing w:val="2"/>
        </w:rPr>
        <w:t>煤矿建设项目的</w:t>
      </w:r>
      <w:r>
        <w:rPr>
          <w:spacing w:val="4"/>
        </w:rPr>
        <w:t>环境保护设施必须与主体工程同时设计</w:t>
      </w:r>
      <w:r>
        <w:rPr>
          <w:rFonts w:hint="eastAsia" w:ascii="MS UI Gothic" w:eastAsia="MS UI Gothic"/>
          <w:w w:val="80"/>
        </w:rPr>
        <w:t>、</w:t>
      </w:r>
      <w:r>
        <w:rPr>
          <w:spacing w:val="3"/>
        </w:rPr>
        <w:t>同时施工</w:t>
      </w:r>
      <w:r>
        <w:rPr>
          <w:rFonts w:hint="eastAsia" w:ascii="MS UI Gothic" w:eastAsia="MS UI Gothic"/>
          <w:spacing w:val="5"/>
          <w:w w:val="80"/>
        </w:rPr>
        <w:t xml:space="preserve">、 </w:t>
      </w:r>
      <w:r>
        <w:rPr>
          <w:spacing w:val="3"/>
        </w:rPr>
        <w:t>同时验收</w:t>
      </w:r>
      <w:r>
        <w:rPr>
          <w:rFonts w:hint="eastAsia" w:ascii="MS UI Gothic" w:eastAsia="MS UI Gothic"/>
          <w:spacing w:val="5"/>
          <w:w w:val="80"/>
        </w:rPr>
        <w:t xml:space="preserve">、 </w:t>
      </w:r>
      <w:r>
        <w:rPr>
          <w:spacing w:val="3"/>
        </w:rPr>
        <w:t>同时投入使用</w:t>
      </w:r>
      <w:r>
        <w:rPr>
          <w:rFonts w:hint="eastAsia" w:ascii="MS UI Gothic" w:eastAsia="MS UI Gothic"/>
          <w:w w:val="80"/>
        </w:rPr>
        <w:t>ꎮ</w:t>
      </w:r>
    </w:p>
    <w:p>
      <w:pPr>
        <w:pStyle w:val="6"/>
        <w:tabs>
          <w:tab w:val="left" w:pos="1487"/>
        </w:tabs>
        <w:spacing w:before="142"/>
        <w:ind w:left="648" w:firstLine="0"/>
        <w:jc w:val="left"/>
      </w:pPr>
      <w:r>
        <w:rPr>
          <w:spacing w:val="3"/>
          <w:w w:val="105"/>
        </w:rPr>
        <w:t>第三</w:t>
      </w:r>
      <w:r>
        <w:rPr>
          <w:w w:val="105"/>
        </w:rPr>
        <w:t>章</w:t>
      </w:r>
      <w:r>
        <w:rPr>
          <w:w w:val="105"/>
        </w:rPr>
        <w:tab/>
      </w:r>
      <w:r>
        <w:rPr>
          <w:spacing w:val="3"/>
          <w:w w:val="105"/>
        </w:rPr>
        <w:t>煤炭生产与煤矿安</w:t>
      </w:r>
      <w:r>
        <w:rPr>
          <w:w w:val="105"/>
        </w:rPr>
        <w:t>全</w:t>
      </w:r>
    </w:p>
    <w:p>
      <w:pPr>
        <w:pStyle w:val="6"/>
        <w:spacing w:before="216" w:line="295" w:lineRule="auto"/>
        <w:ind w:right="442"/>
        <w:rPr>
          <w:rFonts w:hint="eastAsia" w:ascii="MS UI Gothic" w:eastAsia="MS UI Gothic"/>
        </w:rPr>
      </w:pPr>
      <w:r>
        <w:t>第二十条 煤矿投入生产前</w:t>
      </w:r>
      <w:r>
        <w:rPr>
          <w:rFonts w:hint="eastAsia" w:ascii="MS UI Gothic" w:eastAsia="MS UI Gothic"/>
          <w:w w:val="80"/>
        </w:rPr>
        <w:t xml:space="preserve">ꎬ </w:t>
      </w:r>
      <w:r>
        <w:t>煤矿企业应当依照有关安全生产的法律</w:t>
      </w:r>
      <w:r>
        <w:rPr>
          <w:rFonts w:hint="eastAsia" w:ascii="MS UI Gothic" w:eastAsia="MS UI Gothic"/>
          <w:w w:val="80"/>
        </w:rPr>
        <w:t xml:space="preserve">、 </w:t>
      </w:r>
      <w:r>
        <w:t>行政法规的规定取得安全生产许可证</w:t>
      </w:r>
      <w:r>
        <w:rPr>
          <w:rFonts w:hint="eastAsia" w:ascii="MS UI Gothic" w:eastAsia="MS UI Gothic"/>
          <w:w w:val="80"/>
        </w:rPr>
        <w:t xml:space="preserve">ꎮ </w:t>
      </w:r>
      <w:r>
        <w:t>未取得安全生产许可证的</w:t>
      </w:r>
      <w:r>
        <w:rPr>
          <w:rFonts w:hint="eastAsia" w:ascii="MS UI Gothic" w:eastAsia="MS UI Gothic"/>
          <w:w w:val="80"/>
        </w:rPr>
        <w:t xml:space="preserve">ꎬ </w:t>
      </w:r>
      <w:r>
        <w:t>不得从事煤炭生产</w:t>
      </w:r>
      <w:r>
        <w:rPr>
          <w:rFonts w:hint="eastAsia" w:ascii="MS UI Gothic" w:eastAsia="MS UI Gothic"/>
          <w:w w:val="80"/>
        </w:rPr>
        <w:t>ꎮ</w:t>
      </w:r>
    </w:p>
    <w:p>
      <w:pPr>
        <w:pStyle w:val="6"/>
        <w:spacing w:line="295" w:lineRule="auto"/>
        <w:ind w:right="442"/>
        <w:rPr>
          <w:rFonts w:hint="eastAsia" w:ascii="MS UI Gothic" w:eastAsia="MS UI Gothic"/>
        </w:rPr>
      </w:pPr>
      <w:r>
        <w:t>第二十一条 对国民经济具有重要价值的特殊煤种或者稀缺煤种</w:t>
      </w:r>
      <w:r>
        <w:rPr>
          <w:rFonts w:hint="eastAsia" w:ascii="MS UI Gothic" w:eastAsia="MS UI Gothic"/>
          <w:w w:val="80"/>
        </w:rPr>
        <w:t xml:space="preserve">ꎬ </w:t>
      </w:r>
      <w:r>
        <w:t>国家实行保护性开采</w:t>
      </w:r>
      <w:r>
        <w:rPr>
          <w:rFonts w:hint="eastAsia" w:ascii="MS UI Gothic" w:eastAsia="MS UI Gothic"/>
          <w:w w:val="80"/>
        </w:rPr>
        <w:t>ꎮ</w:t>
      </w:r>
    </w:p>
    <w:p>
      <w:pPr>
        <w:pStyle w:val="6"/>
        <w:spacing w:line="295" w:lineRule="auto"/>
        <w:ind w:right="442"/>
        <w:rPr>
          <w:rFonts w:hint="eastAsia" w:ascii="MS UI Gothic" w:eastAsia="MS UI Gothic"/>
        </w:rPr>
      </w:pPr>
      <w:r>
        <w:t>第二十二条 开采煤炭资源必须符合煤矿开采规程</w:t>
      </w:r>
      <w:r>
        <w:rPr>
          <w:rFonts w:hint="eastAsia" w:ascii="MS UI Gothic" w:eastAsia="MS UI Gothic"/>
          <w:w w:val="80"/>
        </w:rPr>
        <w:t xml:space="preserve">ꎬ </w:t>
      </w:r>
      <w:r>
        <w:t>遵守合理的开采顺序</w:t>
      </w:r>
      <w:r>
        <w:rPr>
          <w:rFonts w:hint="eastAsia" w:ascii="MS UI Gothic" w:eastAsia="MS UI Gothic"/>
          <w:w w:val="80"/>
        </w:rPr>
        <w:t xml:space="preserve">ꎬ </w:t>
      </w:r>
      <w:r>
        <w:t>达到规定的煤炭资源回采率</w:t>
      </w:r>
      <w:r>
        <w:rPr>
          <w:rFonts w:hint="eastAsia" w:ascii="MS UI Gothic" w:eastAsia="MS UI Gothic"/>
          <w:w w:val="80"/>
        </w:rPr>
        <w:t>ꎮ</w:t>
      </w:r>
    </w:p>
    <w:p>
      <w:pPr>
        <w:pStyle w:val="6"/>
        <w:spacing w:line="295" w:lineRule="auto"/>
        <w:ind w:right="442"/>
        <w:jc w:val="left"/>
        <w:rPr>
          <w:rFonts w:hint="eastAsia" w:ascii="MS UI Gothic" w:eastAsia="MS UI Gothic"/>
        </w:rPr>
      </w:pPr>
      <w:r>
        <w:t>煤炭资源回采率由国务院煤炭管理部</w:t>
      </w:r>
      <w:r>
        <w:rPr>
          <w:w w:val="105"/>
        </w:rPr>
        <w:t>门根据不同的资源和开采条件确定</w:t>
      </w:r>
      <w:r>
        <w:rPr>
          <w:rFonts w:hint="eastAsia" w:ascii="MS UI Gothic" w:eastAsia="MS UI Gothic"/>
          <w:w w:val="80"/>
        </w:rPr>
        <w:t>ꎮ</w:t>
      </w:r>
    </w:p>
    <w:p>
      <w:pPr>
        <w:pStyle w:val="6"/>
        <w:spacing w:line="295" w:lineRule="auto"/>
        <w:ind w:right="442"/>
        <w:jc w:val="left"/>
        <w:rPr>
          <w:rFonts w:hint="eastAsia" w:ascii="MS UI Gothic" w:eastAsia="MS UI Gothic"/>
        </w:rPr>
      </w:pPr>
      <w:r>
        <w:t>国家鼓励煤矿企业进行复采或者开采</w:t>
      </w:r>
      <w:r>
        <w:rPr>
          <w:w w:val="105"/>
        </w:rPr>
        <w:t>边角残煤和极薄煤</w:t>
      </w:r>
      <w:r>
        <w:rPr>
          <w:rFonts w:hint="eastAsia" w:ascii="MS UI Gothic" w:eastAsia="MS UI Gothic"/>
          <w:w w:val="80"/>
        </w:rPr>
        <w:t>ꎮ</w:t>
      </w:r>
    </w:p>
    <w:p>
      <w:pPr>
        <w:pStyle w:val="6"/>
        <w:spacing w:line="295" w:lineRule="auto"/>
        <w:ind w:right="442"/>
      </w:pPr>
      <w:r>
        <w:rPr>
          <w:w w:val="105"/>
        </w:rPr>
        <w:t>第二十三条 煤矿企业应当加强煤炭</w:t>
      </w:r>
      <w:r>
        <w:t>产品质量的监督检查和管理</w:t>
      </w:r>
      <w:r>
        <w:rPr>
          <w:rFonts w:hint="eastAsia" w:ascii="MS UI Gothic" w:eastAsia="MS UI Gothic"/>
          <w:w w:val="80"/>
        </w:rPr>
        <w:t xml:space="preserve">ꎮ </w:t>
      </w:r>
      <w:r>
        <w:t>煤炭产品质量应当按照国家标准或者行业标准分等</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２１５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74" o:spid="_x0000_s1674" o:spt="203" style="height:2.15pt;width:398.25pt;" coordsize="7965,43">
            <o:lock v:ext="edit"/>
            <v:line id="_x0000_s1675" o:spid="_x0000_s1675" o:spt="20" style="position:absolute;left:0;top:39;height:0;width:7965;" stroked="t" coordsize="21600,21600">
              <v:path arrowok="t"/>
              <v:fill focussize="0,0"/>
              <v:stroke weight="0.388031496062992pt" color="#231F20"/>
              <v:imagedata o:title=""/>
              <o:lock v:ext="edit"/>
            </v:line>
            <v:line id="_x0000_s1676" o:spid="_x0000_s167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论级</w:t>
      </w:r>
      <w:r>
        <w:rPr>
          <w:rFonts w:hint="eastAsia" w:ascii="MS UI Gothic" w:eastAsia="MS UI Gothic"/>
          <w:w w:val="80"/>
        </w:rPr>
        <w:t>ꎮ</w:t>
      </w:r>
    </w:p>
    <w:p>
      <w:pPr>
        <w:pStyle w:val="6"/>
        <w:spacing w:before="58" w:line="295" w:lineRule="auto"/>
        <w:ind w:left="440" w:right="1"/>
        <w:rPr>
          <w:rFonts w:hint="eastAsia" w:ascii="MS UI Gothic" w:eastAsia="MS UI Gothic"/>
        </w:rPr>
      </w:pPr>
      <w:r>
        <w:t>第二十四条 煤炭生产应当依法在批准的开采范围内进行</w:t>
      </w:r>
      <w:r>
        <w:rPr>
          <w:rFonts w:hint="eastAsia" w:ascii="MS UI Gothic" w:eastAsia="MS UI Gothic"/>
          <w:w w:val="80"/>
        </w:rPr>
        <w:t xml:space="preserve">ꎬ </w:t>
      </w:r>
      <w:r>
        <w:t>不得超越批准的开采范围越界</w:t>
      </w:r>
      <w:r>
        <w:rPr>
          <w:rFonts w:hint="eastAsia" w:ascii="MS UI Gothic" w:eastAsia="MS UI Gothic"/>
          <w:w w:val="80"/>
        </w:rPr>
        <w:t xml:space="preserve">、 </w:t>
      </w:r>
      <w:r>
        <w:t>越层开采</w:t>
      </w:r>
      <w:r>
        <w:rPr>
          <w:rFonts w:hint="eastAsia" w:ascii="MS UI Gothic" w:eastAsia="MS UI Gothic"/>
          <w:w w:val="80"/>
        </w:rPr>
        <w:t>ꎮ</w:t>
      </w:r>
    </w:p>
    <w:p>
      <w:pPr>
        <w:pStyle w:val="6"/>
        <w:spacing w:line="295" w:lineRule="auto"/>
        <w:ind w:left="440" w:right="1"/>
        <w:rPr>
          <w:rFonts w:hint="eastAsia" w:ascii="MS UI Gothic" w:eastAsia="MS UI Gothic"/>
        </w:rPr>
      </w:pPr>
      <w:r>
        <w:t>采矿作业不得擅自开采保安煤柱</w:t>
      </w:r>
      <w:r>
        <w:rPr>
          <w:rFonts w:hint="eastAsia" w:ascii="MS UI Gothic" w:eastAsia="MS UI Gothic"/>
          <w:w w:val="80"/>
        </w:rPr>
        <w:t xml:space="preserve">ꎬ </w:t>
      </w:r>
      <w:r>
        <w:t>不得采用可能危及相邻煤矿生产安全的决水</w:t>
      </w:r>
      <w:r>
        <w:rPr>
          <w:rFonts w:hint="eastAsia" w:ascii="MS UI Gothic" w:eastAsia="MS UI Gothic"/>
          <w:w w:val="80"/>
        </w:rPr>
        <w:t xml:space="preserve">、 </w:t>
      </w:r>
      <w:r>
        <w:t>爆破</w:t>
      </w:r>
      <w:r>
        <w:rPr>
          <w:rFonts w:hint="eastAsia" w:ascii="MS UI Gothic" w:eastAsia="MS UI Gothic"/>
          <w:w w:val="80"/>
        </w:rPr>
        <w:t xml:space="preserve">、 </w:t>
      </w:r>
      <w:r>
        <w:t>贯通巷道等危险方法</w:t>
      </w:r>
      <w:r>
        <w:rPr>
          <w:rFonts w:hint="eastAsia" w:ascii="MS UI Gothic" w:eastAsia="MS UI Gothic"/>
          <w:w w:val="80"/>
        </w:rPr>
        <w:t>ꎮ</w:t>
      </w:r>
    </w:p>
    <w:p>
      <w:pPr>
        <w:pStyle w:val="6"/>
        <w:spacing w:line="295" w:lineRule="auto"/>
        <w:ind w:left="440" w:right="1"/>
        <w:rPr>
          <w:rFonts w:hint="eastAsia" w:ascii="MS UI Gothic" w:eastAsia="MS UI Gothic"/>
        </w:rPr>
      </w:pPr>
      <w:r>
        <w:t>第二十五条 因开采煤炭压占土地或者造成地表土地塌陷</w:t>
      </w:r>
      <w:r>
        <w:rPr>
          <w:rFonts w:hint="eastAsia" w:ascii="MS UI Gothic" w:eastAsia="MS UI Gothic"/>
          <w:w w:val="80"/>
        </w:rPr>
        <w:t xml:space="preserve">、 </w:t>
      </w:r>
      <w:r>
        <w:t>挖损</w:t>
      </w:r>
      <w:r>
        <w:rPr>
          <w:rFonts w:hint="eastAsia" w:ascii="MS UI Gothic" w:eastAsia="MS UI Gothic"/>
          <w:w w:val="80"/>
        </w:rPr>
        <w:t xml:space="preserve">ꎬ </w:t>
      </w:r>
      <w:r>
        <w:t>由采矿者负责进行复垦</w:t>
      </w:r>
      <w:r>
        <w:rPr>
          <w:rFonts w:hint="eastAsia" w:ascii="MS UI Gothic" w:eastAsia="MS UI Gothic"/>
          <w:w w:val="80"/>
        </w:rPr>
        <w:t xml:space="preserve">ꎬ </w:t>
      </w:r>
      <w:r>
        <w:t>恢复到可供利用的状态</w:t>
      </w:r>
      <w:r>
        <w:rPr>
          <w:rFonts w:hint="eastAsia" w:ascii="MS UI Gothic" w:eastAsia="MS UI Gothic"/>
          <w:w w:val="80"/>
        </w:rPr>
        <w:t xml:space="preserve">ꎻ </w:t>
      </w:r>
      <w:r>
        <w:t>造成他人损失的</w:t>
      </w:r>
      <w:r>
        <w:rPr>
          <w:rFonts w:hint="eastAsia" w:ascii="MS UI Gothic" w:eastAsia="MS UI Gothic"/>
          <w:w w:val="80"/>
        </w:rPr>
        <w:t xml:space="preserve">ꎬ </w:t>
      </w:r>
      <w:r>
        <w:t>应当依法给予补偿</w:t>
      </w:r>
      <w:r>
        <w:rPr>
          <w:rFonts w:hint="eastAsia" w:ascii="MS UI Gothic" w:eastAsia="MS UI Gothic"/>
          <w:w w:val="80"/>
        </w:rPr>
        <w:t>ꎮ</w:t>
      </w:r>
    </w:p>
    <w:p>
      <w:pPr>
        <w:pStyle w:val="6"/>
        <w:spacing w:line="295" w:lineRule="auto"/>
        <w:ind w:left="440"/>
        <w:rPr>
          <w:rFonts w:hint="eastAsia" w:ascii="MS UI Gothic" w:eastAsia="MS UI Gothic"/>
        </w:rPr>
      </w:pPr>
      <w:r>
        <w:t>第二十六条 关闭煤矿和报废矿井</w:t>
      </w:r>
      <w:r>
        <w:rPr>
          <w:rFonts w:hint="eastAsia" w:ascii="MS UI Gothic" w:eastAsia="MS UI Gothic"/>
          <w:w w:val="80"/>
        </w:rPr>
        <w:t>ꎬ</w:t>
      </w:r>
      <w:r>
        <w:t>应当依照有关法律</w:t>
      </w:r>
      <w:r>
        <w:rPr>
          <w:rFonts w:hint="eastAsia" w:ascii="MS UI Gothic" w:eastAsia="MS UI Gothic"/>
          <w:w w:val="80"/>
        </w:rPr>
        <w:t xml:space="preserve">、 </w:t>
      </w:r>
      <w:r>
        <w:t>法规和国务院煤炭管理部门的规定办理</w:t>
      </w:r>
      <w:r>
        <w:rPr>
          <w:rFonts w:hint="eastAsia" w:ascii="MS UI Gothic" w:eastAsia="MS UI Gothic"/>
          <w:w w:val="80"/>
        </w:rPr>
        <w:t>ꎮ</w:t>
      </w:r>
    </w:p>
    <w:p>
      <w:pPr>
        <w:pStyle w:val="6"/>
        <w:tabs>
          <w:tab w:val="left" w:pos="2117"/>
        </w:tabs>
        <w:spacing w:line="295" w:lineRule="auto"/>
        <w:ind w:left="440" w:right="1"/>
        <w:jc w:val="left"/>
        <w:rPr>
          <w:rFonts w:hint="eastAsia" w:ascii="MS UI Gothic" w:eastAsia="MS UI Gothic"/>
        </w:rPr>
      </w:pPr>
      <w:r>
        <w:rPr>
          <w:spacing w:val="3"/>
          <w:w w:val="105"/>
        </w:rPr>
        <w:t>第二十七</w:t>
      </w:r>
      <w:r>
        <w:rPr>
          <w:w w:val="105"/>
        </w:rPr>
        <w:t>条</w:t>
      </w:r>
      <w:r>
        <w:rPr>
          <w:w w:val="105"/>
        </w:rPr>
        <w:tab/>
      </w:r>
      <w:r>
        <w:rPr>
          <w:spacing w:val="3"/>
        </w:rPr>
        <w:t>国家建立煤矿企业积</w:t>
      </w:r>
      <w:r>
        <w:rPr>
          <w:spacing w:val="-11"/>
        </w:rPr>
        <w:t>累</w:t>
      </w:r>
      <w:r>
        <w:rPr>
          <w:spacing w:val="3"/>
          <w:w w:val="105"/>
        </w:rPr>
        <w:t>煤矿衰老期转产资金的制度</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spacing w:val="13"/>
        </w:rPr>
        <w:t>国家鼓励和扶持煤矿企业发展多种</w:t>
      </w:r>
      <w:r>
        <w:rPr>
          <w:spacing w:val="3"/>
        </w:rPr>
        <w:t>经营</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第二十八条 国家提倡和支持煤矿企</w:t>
      </w:r>
      <w:r>
        <w:rPr>
          <w:spacing w:val="3"/>
        </w:rPr>
        <w:t>业和其他企业发展煤电联产</w:t>
      </w:r>
      <w:r>
        <w:rPr>
          <w:rFonts w:hint="eastAsia" w:ascii="MS UI Gothic" w:eastAsia="MS UI Gothic"/>
          <w:spacing w:val="23"/>
          <w:w w:val="80"/>
        </w:rPr>
        <w:t xml:space="preserve">、 </w:t>
      </w:r>
      <w:r>
        <w:rPr>
          <w:spacing w:val="3"/>
        </w:rPr>
        <w:t>炼焦</w:t>
      </w:r>
      <w:r>
        <w:rPr>
          <w:rFonts w:hint="eastAsia" w:ascii="MS UI Gothic" w:eastAsia="MS UI Gothic"/>
          <w:spacing w:val="24"/>
          <w:w w:val="80"/>
        </w:rPr>
        <w:t xml:space="preserve">、 </w:t>
      </w:r>
      <w:r>
        <w:rPr>
          <w:spacing w:val="1"/>
        </w:rPr>
        <w:t>煤化</w:t>
      </w:r>
      <w:r>
        <w:rPr>
          <w:spacing w:val="3"/>
        </w:rPr>
        <w:t>工</w:t>
      </w:r>
      <w:r>
        <w:rPr>
          <w:rFonts w:hint="eastAsia" w:ascii="MS UI Gothic" w:eastAsia="MS UI Gothic"/>
          <w:spacing w:val="9"/>
          <w:w w:val="80"/>
        </w:rPr>
        <w:t xml:space="preserve">、 </w:t>
      </w:r>
      <w:r>
        <w:rPr>
          <w:spacing w:val="9"/>
        </w:rPr>
        <w:t>煤建材等</w:t>
      </w:r>
      <w:r>
        <w:rPr>
          <w:rFonts w:hint="eastAsia" w:ascii="MS UI Gothic" w:eastAsia="MS UI Gothic"/>
          <w:spacing w:val="16"/>
          <w:w w:val="80"/>
        </w:rPr>
        <w:t xml:space="preserve">ꎬ </w:t>
      </w:r>
      <w:r>
        <w:rPr>
          <w:spacing w:val="19"/>
        </w:rPr>
        <w:t>进行煤炭的深加工和精</w:t>
      </w:r>
      <w:r>
        <w:rPr>
          <w:spacing w:val="3"/>
        </w:rPr>
        <w:t>加工</w:t>
      </w:r>
      <w:r>
        <w:rPr>
          <w:rFonts w:hint="eastAsia" w:ascii="MS UI Gothic" w:eastAsia="MS UI Gothic"/>
          <w:w w:val="80"/>
        </w:rPr>
        <w:t>ꎮ</w:t>
      </w:r>
    </w:p>
    <w:p>
      <w:pPr>
        <w:pStyle w:val="6"/>
        <w:spacing w:line="295" w:lineRule="auto"/>
        <w:ind w:left="440" w:right="1"/>
        <w:rPr>
          <w:rFonts w:hint="eastAsia" w:ascii="MS UI Gothic" w:eastAsia="MS UI Gothic"/>
        </w:rPr>
      </w:pPr>
      <w:r>
        <w:t>国家鼓励煤矿企业发展煤炭洗选加工</w:t>
      </w:r>
      <w:r>
        <w:rPr>
          <w:rFonts w:hint="eastAsia" w:ascii="MS UI Gothic" w:eastAsia="MS UI Gothic"/>
          <w:w w:val="80"/>
        </w:rPr>
        <w:t xml:space="preserve">ꎬ </w:t>
      </w:r>
      <w:r>
        <w:t>综合开发利用煤层气</w:t>
      </w:r>
      <w:r>
        <w:rPr>
          <w:rFonts w:hint="eastAsia" w:ascii="MS UI Gothic" w:eastAsia="MS UI Gothic"/>
          <w:w w:val="80"/>
        </w:rPr>
        <w:t xml:space="preserve">、 </w:t>
      </w:r>
      <w:r>
        <w:t>煤矸石</w:t>
      </w:r>
      <w:r>
        <w:rPr>
          <w:rFonts w:hint="eastAsia" w:ascii="MS UI Gothic" w:eastAsia="MS UI Gothic"/>
          <w:w w:val="80"/>
        </w:rPr>
        <w:t xml:space="preserve">、 </w:t>
      </w:r>
      <w:r>
        <w:t>煤泥</w:t>
      </w:r>
      <w:r>
        <w:rPr>
          <w:rFonts w:hint="eastAsia" w:ascii="MS UI Gothic" w:eastAsia="MS UI Gothic"/>
          <w:w w:val="80"/>
        </w:rPr>
        <w:t xml:space="preserve">、 </w:t>
      </w:r>
      <w:r>
        <w:t>石煤和泥炭</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第二十九条 国家发展和推广洁净煤</w:t>
      </w:r>
      <w:r>
        <w:rPr>
          <w:spacing w:val="3"/>
        </w:rPr>
        <w:t>技术</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3"/>
        </w:rPr>
        <w:t>国家采取措施取缔土法炼焦</w:t>
      </w:r>
      <w:r>
        <w:rPr>
          <w:rFonts w:hint="eastAsia" w:ascii="MS UI Gothic" w:eastAsia="MS UI Gothic"/>
          <w:spacing w:val="16"/>
          <w:w w:val="80"/>
        </w:rPr>
        <w:t xml:space="preserve">ꎮ </w:t>
      </w:r>
      <w:r>
        <w:rPr>
          <w:spacing w:val="2"/>
        </w:rPr>
        <w:t>禁止新</w:t>
      </w:r>
      <w:r>
        <w:rPr>
          <w:spacing w:val="12"/>
        </w:rPr>
        <w:t>建土法炼焦窑炉</w:t>
      </w:r>
      <w:r>
        <w:rPr>
          <w:rFonts w:hint="eastAsia" w:ascii="MS UI Gothic" w:eastAsia="MS UI Gothic"/>
          <w:spacing w:val="24"/>
          <w:w w:val="80"/>
        </w:rPr>
        <w:t xml:space="preserve">ꎻ </w:t>
      </w:r>
      <w:r>
        <w:rPr>
          <w:spacing w:val="15"/>
        </w:rPr>
        <w:t>现有的土法炼焦限期</w:t>
      </w:r>
      <w:r>
        <w:rPr>
          <w:spacing w:val="3"/>
        </w:rPr>
        <w:t>改造</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第三十条 县级以上各级人民政府及</w:t>
      </w:r>
      <w:r>
        <w:t>其煤炭管理部门和其他有关部门</w:t>
      </w:r>
      <w:r>
        <w:rPr>
          <w:rFonts w:hint="eastAsia" w:ascii="MS UI Gothic" w:eastAsia="MS UI Gothic"/>
          <w:w w:val="80"/>
        </w:rPr>
        <w:t xml:space="preserve">ꎬ </w:t>
      </w:r>
      <w:r>
        <w:t>应当加</w:t>
      </w:r>
      <w:r>
        <w:rPr>
          <w:w w:val="105"/>
        </w:rPr>
        <w:t>强对煤矿安全生产工作的监督管理</w:t>
      </w:r>
      <w:r>
        <w:rPr>
          <w:rFonts w:hint="eastAsia" w:ascii="MS UI Gothic" w:eastAsia="MS UI Gothic"/>
          <w:w w:val="80"/>
        </w:rPr>
        <w:t>ꎮ</w:t>
      </w:r>
    </w:p>
    <w:p>
      <w:pPr>
        <w:pStyle w:val="6"/>
        <w:spacing w:line="295" w:lineRule="auto"/>
        <w:ind w:left="440" w:right="1"/>
        <w:rPr>
          <w:rFonts w:hint="eastAsia" w:ascii="MS UI Gothic" w:eastAsia="MS UI Gothic"/>
        </w:rPr>
      </w:pPr>
      <w:r>
        <w:t>第三十一条 煤矿企业的安全生产管理</w:t>
      </w:r>
      <w:r>
        <w:rPr>
          <w:rFonts w:hint="eastAsia" w:ascii="MS UI Gothic" w:eastAsia="MS UI Gothic"/>
          <w:w w:val="80"/>
        </w:rPr>
        <w:t xml:space="preserve">ꎬ </w:t>
      </w:r>
      <w:r>
        <w:t>实行矿务局长</w:t>
      </w:r>
      <w:r>
        <w:rPr>
          <w:rFonts w:hint="eastAsia" w:ascii="MS UI Gothic" w:eastAsia="MS UI Gothic"/>
          <w:w w:val="80"/>
        </w:rPr>
        <w:t xml:space="preserve">、 </w:t>
      </w:r>
      <w:r>
        <w:t>矿长负责制</w:t>
      </w:r>
      <w:r>
        <w:rPr>
          <w:rFonts w:hint="eastAsia" w:ascii="MS UI Gothic" w:eastAsia="MS UI Gothic"/>
          <w:w w:val="80"/>
        </w:rPr>
        <w:t>ꎮ</w:t>
      </w:r>
    </w:p>
    <w:p>
      <w:pPr>
        <w:pStyle w:val="6"/>
        <w:spacing w:line="295" w:lineRule="auto"/>
        <w:ind w:left="440"/>
        <w:rPr>
          <w:rFonts w:hint="eastAsia" w:ascii="MS UI Gothic" w:eastAsia="MS UI Gothic"/>
        </w:rPr>
      </w:pPr>
      <w:r>
        <w:t>第三十二条 矿务局长</w:t>
      </w:r>
      <w:r>
        <w:rPr>
          <w:rFonts w:hint="eastAsia" w:ascii="MS UI Gothic" w:eastAsia="MS UI Gothic"/>
          <w:w w:val="80"/>
        </w:rPr>
        <w:t xml:space="preserve">、 </w:t>
      </w:r>
      <w:r>
        <w:t>矿长及煤矿企业的其他主要负责人必须遵守有关矿山安全的法律</w:t>
      </w:r>
      <w:r>
        <w:rPr>
          <w:rFonts w:hint="eastAsia" w:ascii="MS UI Gothic" w:eastAsia="MS UI Gothic"/>
          <w:w w:val="80"/>
        </w:rPr>
        <w:t xml:space="preserve">、 </w:t>
      </w:r>
      <w:r>
        <w:t>法规和煤炭行业安全规章</w:t>
      </w:r>
      <w:r>
        <w:rPr>
          <w:rFonts w:hint="eastAsia" w:ascii="MS UI Gothic" w:eastAsia="MS UI Gothic"/>
          <w:w w:val="80"/>
        </w:rPr>
        <w:t>、</w:t>
      </w:r>
      <w:r>
        <w:t>规程</w:t>
      </w:r>
      <w:r>
        <w:rPr>
          <w:rFonts w:hint="eastAsia" w:ascii="MS UI Gothic" w:eastAsia="MS UI Gothic"/>
          <w:w w:val="80"/>
        </w:rPr>
        <w:t xml:space="preserve">ꎬ </w:t>
      </w:r>
      <w:r>
        <w:t>加强对煤矿安全生产工作的管理</w:t>
      </w:r>
      <w:r>
        <w:rPr>
          <w:rFonts w:hint="eastAsia" w:ascii="MS UI Gothic" w:eastAsia="MS UI Gothic"/>
          <w:w w:val="80"/>
        </w:rPr>
        <w:t>ꎬ</w:t>
      </w:r>
    </w:p>
    <w:p>
      <w:pPr>
        <w:pStyle w:val="6"/>
        <w:spacing w:before="124" w:line="295" w:lineRule="auto"/>
        <w:ind w:left="381" w:right="124" w:firstLine="0"/>
        <w:jc w:val="left"/>
        <w:rPr>
          <w:rFonts w:hint="eastAsia" w:ascii="MS UI Gothic" w:eastAsia="MS UI Gothic"/>
        </w:rPr>
      </w:pPr>
      <w:r>
        <w:br w:type="column"/>
      </w:r>
      <w:r>
        <w:t>执行安全生产责任制度</w:t>
      </w:r>
      <w:r>
        <w:rPr>
          <w:rFonts w:hint="eastAsia" w:ascii="MS UI Gothic" w:eastAsia="MS UI Gothic"/>
          <w:w w:val="80"/>
        </w:rPr>
        <w:t xml:space="preserve">ꎬ </w:t>
      </w:r>
      <w:r>
        <w:t>采取有效措施</w:t>
      </w:r>
      <w:r>
        <w:rPr>
          <w:rFonts w:hint="eastAsia" w:ascii="MS UI Gothic" w:eastAsia="MS UI Gothic"/>
          <w:w w:val="80"/>
        </w:rPr>
        <w:t>ꎬ</w:t>
      </w:r>
      <w:r>
        <w:t>防止伤亡和其他安全生产事故的发生</w:t>
      </w:r>
      <w:r>
        <w:rPr>
          <w:rFonts w:hint="eastAsia" w:ascii="MS UI Gothic" w:eastAsia="MS UI Gothic"/>
          <w:w w:val="80"/>
        </w:rPr>
        <w:t>ꎮ</w:t>
      </w:r>
    </w:p>
    <w:p>
      <w:pPr>
        <w:pStyle w:val="6"/>
        <w:spacing w:line="295" w:lineRule="auto"/>
        <w:ind w:left="381" w:right="126"/>
        <w:rPr>
          <w:rFonts w:hint="eastAsia" w:ascii="MS UI Gothic" w:eastAsia="MS UI Gothic"/>
        </w:rPr>
      </w:pPr>
      <w:r>
        <w:t>第三十三条 煤矿企业应当对职工进行安全生产教育</w:t>
      </w:r>
      <w:r>
        <w:rPr>
          <w:rFonts w:hint="eastAsia" w:ascii="MS UI Gothic" w:eastAsia="MS UI Gothic"/>
          <w:w w:val="80"/>
        </w:rPr>
        <w:t xml:space="preserve">、 </w:t>
      </w:r>
      <w:r>
        <w:t>培训</w:t>
      </w:r>
      <w:r>
        <w:rPr>
          <w:rFonts w:hint="eastAsia" w:ascii="MS UI Gothic" w:eastAsia="MS UI Gothic"/>
          <w:w w:val="80"/>
        </w:rPr>
        <w:t xml:space="preserve">ꎻ </w:t>
      </w:r>
      <w:r>
        <w:t>未经安全生产教育</w:t>
      </w:r>
      <w:r>
        <w:rPr>
          <w:rFonts w:hint="eastAsia" w:ascii="MS UI Gothic" w:eastAsia="MS UI Gothic"/>
          <w:w w:val="80"/>
        </w:rPr>
        <w:t xml:space="preserve">、 </w:t>
      </w:r>
      <w:r>
        <w:t>培训的</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line="295" w:lineRule="auto"/>
        <w:ind w:left="381" w:right="126"/>
        <w:rPr>
          <w:rFonts w:hint="eastAsia" w:ascii="MS UI Gothic" w:eastAsia="MS UI Gothic"/>
        </w:rPr>
      </w:pPr>
      <w:r>
        <w:t>煤矿企业职工必须遵守有关安全生产的法律</w:t>
      </w:r>
      <w:r>
        <w:rPr>
          <w:rFonts w:hint="eastAsia" w:ascii="MS UI Gothic" w:eastAsia="MS UI Gothic"/>
          <w:w w:val="80"/>
        </w:rPr>
        <w:t xml:space="preserve">、 </w:t>
      </w:r>
      <w:r>
        <w:t>法规</w:t>
      </w:r>
      <w:r>
        <w:rPr>
          <w:rFonts w:hint="eastAsia" w:ascii="MS UI Gothic" w:eastAsia="MS UI Gothic"/>
          <w:w w:val="80"/>
        </w:rPr>
        <w:t xml:space="preserve">、 </w:t>
      </w:r>
      <w:r>
        <w:t>煤炭行业规章</w:t>
      </w:r>
      <w:r>
        <w:rPr>
          <w:rFonts w:hint="eastAsia" w:ascii="MS UI Gothic" w:eastAsia="MS UI Gothic"/>
          <w:w w:val="80"/>
        </w:rPr>
        <w:t xml:space="preserve">、 </w:t>
      </w:r>
      <w:r>
        <w:t>规程和企业规章制度</w:t>
      </w:r>
      <w:r>
        <w:rPr>
          <w:rFonts w:hint="eastAsia" w:ascii="MS UI Gothic" w:eastAsia="MS UI Gothic"/>
          <w:w w:val="80"/>
        </w:rPr>
        <w:t>ꎮ</w:t>
      </w:r>
    </w:p>
    <w:p>
      <w:pPr>
        <w:pStyle w:val="6"/>
        <w:spacing w:line="295" w:lineRule="auto"/>
        <w:ind w:left="381" w:right="126"/>
        <w:rPr>
          <w:rFonts w:hint="eastAsia" w:ascii="MS UI Gothic" w:eastAsia="MS UI Gothic"/>
        </w:rPr>
      </w:pPr>
      <w:r>
        <w:t>第三十四条 在煤矿井下作业中</w:t>
      </w:r>
      <w:r>
        <w:rPr>
          <w:rFonts w:hint="eastAsia" w:ascii="MS UI Gothic" w:eastAsia="MS UI Gothic"/>
          <w:w w:val="80"/>
        </w:rPr>
        <w:t xml:space="preserve">ꎬ </w:t>
      </w:r>
      <w:r>
        <w:t>出现危及职工生命安全并无法排除的紧急情况时</w:t>
      </w:r>
      <w:r>
        <w:rPr>
          <w:rFonts w:hint="eastAsia" w:ascii="MS UI Gothic" w:eastAsia="MS UI Gothic"/>
          <w:w w:val="80"/>
        </w:rPr>
        <w:t xml:space="preserve">ꎬ </w:t>
      </w:r>
      <w:r>
        <w:t>作业现场负责人或者安全管理人员应当立即组织职工撤离危险现场</w:t>
      </w:r>
      <w:r>
        <w:rPr>
          <w:rFonts w:hint="eastAsia" w:ascii="MS UI Gothic" w:eastAsia="MS UI Gothic"/>
          <w:w w:val="80"/>
        </w:rPr>
        <w:t xml:space="preserve">ꎬ </w:t>
      </w:r>
      <w:r>
        <w:t>并及时报告有关方面负责人</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第三十五条 煤矿企业工会发现企业</w:t>
      </w:r>
      <w:r>
        <w:rPr>
          <w:spacing w:val="3"/>
        </w:rPr>
        <w:t>行政方面违章指挥</w:t>
      </w:r>
      <w:r>
        <w:rPr>
          <w:rFonts w:hint="eastAsia" w:ascii="MS UI Gothic" w:eastAsia="MS UI Gothic"/>
          <w:spacing w:val="17"/>
          <w:w w:val="80"/>
        </w:rPr>
        <w:t xml:space="preserve">、 </w:t>
      </w:r>
      <w:r>
        <w:rPr>
          <w:spacing w:val="2"/>
        </w:rPr>
        <w:t>强令职工冒险作业或</w:t>
      </w:r>
      <w:r>
        <w:rPr>
          <w:spacing w:val="3"/>
        </w:rPr>
        <w:t>者生产过程中发现明显重大事故隐患</w:t>
      </w:r>
      <w:r>
        <w:rPr>
          <w:rFonts w:hint="eastAsia" w:ascii="MS UI Gothic" w:eastAsia="MS UI Gothic"/>
          <w:spacing w:val="20"/>
          <w:w w:val="80"/>
        </w:rPr>
        <w:t xml:space="preserve">ꎬ </w:t>
      </w:r>
      <w:r>
        <w:t>可</w:t>
      </w:r>
      <w:r>
        <w:rPr>
          <w:spacing w:val="3"/>
        </w:rPr>
        <w:t>能危及职工生命安全的情况</w:t>
      </w:r>
      <w:r>
        <w:rPr>
          <w:rFonts w:hint="eastAsia" w:ascii="MS UI Gothic" w:eastAsia="MS UI Gothic"/>
          <w:spacing w:val="20"/>
          <w:w w:val="80"/>
        </w:rPr>
        <w:t xml:space="preserve">ꎬ </w:t>
      </w:r>
      <w:r>
        <w:rPr>
          <w:spacing w:val="2"/>
        </w:rPr>
        <w:t>有权提出解</w:t>
      </w:r>
      <w:r>
        <w:rPr>
          <w:spacing w:val="3"/>
        </w:rPr>
        <w:t>决问题的建议</w:t>
      </w:r>
      <w:r>
        <w:rPr>
          <w:rFonts w:hint="eastAsia" w:ascii="MS UI Gothic" w:eastAsia="MS UI Gothic"/>
          <w:spacing w:val="20"/>
          <w:w w:val="80"/>
        </w:rPr>
        <w:t xml:space="preserve">ꎬ </w:t>
      </w:r>
      <w:r>
        <w:rPr>
          <w:spacing w:val="2"/>
        </w:rPr>
        <w:t>煤矿企业行政方面必须及</w:t>
      </w:r>
      <w:r>
        <w:rPr>
          <w:spacing w:val="3"/>
        </w:rPr>
        <w:t>时作出处理决定</w:t>
      </w:r>
      <w:r>
        <w:rPr>
          <w:rFonts w:hint="eastAsia" w:ascii="MS UI Gothic" w:eastAsia="MS UI Gothic"/>
          <w:spacing w:val="20"/>
          <w:w w:val="80"/>
        </w:rPr>
        <w:t xml:space="preserve">ꎮ </w:t>
      </w:r>
      <w:r>
        <w:rPr>
          <w:spacing w:val="2"/>
        </w:rPr>
        <w:t>企业行政方面拒不处理</w:t>
      </w:r>
      <w:r>
        <w:rPr>
          <w:spacing w:val="3"/>
        </w:rPr>
        <w:t>的</w:t>
      </w:r>
      <w:r>
        <w:rPr>
          <w:rFonts w:hint="eastAsia" w:ascii="MS UI Gothic" w:eastAsia="MS UI Gothic"/>
          <w:w w:val="80"/>
        </w:rPr>
        <w:t xml:space="preserve">ꎬ </w:t>
      </w:r>
      <w:r>
        <w:rPr>
          <w:spacing w:val="3"/>
        </w:rPr>
        <w:t>工会有权提出批评</w:t>
      </w:r>
      <w:r>
        <w:rPr>
          <w:rFonts w:hint="eastAsia" w:ascii="MS UI Gothic" w:eastAsia="MS UI Gothic"/>
          <w:w w:val="80"/>
        </w:rPr>
        <w:t xml:space="preserve">、 </w:t>
      </w:r>
      <w:r>
        <w:rPr>
          <w:spacing w:val="3"/>
        </w:rPr>
        <w:t>检举和控告</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第三十六条 煤矿企业必须为职工提</w:t>
      </w:r>
      <w:r>
        <w:rPr>
          <w:spacing w:val="3"/>
          <w:w w:val="105"/>
        </w:rPr>
        <w:t>供保障安全生产所需的劳动保护用品</w:t>
      </w:r>
      <w:r>
        <w:rPr>
          <w:rFonts w:hint="eastAsia" w:ascii="MS UI Gothic" w:eastAsia="MS UI Gothic"/>
          <w:w w:val="80"/>
        </w:rPr>
        <w:t>ꎮ</w:t>
      </w:r>
    </w:p>
    <w:p>
      <w:pPr>
        <w:pStyle w:val="6"/>
        <w:spacing w:line="295" w:lineRule="auto"/>
        <w:ind w:left="381" w:right="126"/>
        <w:rPr>
          <w:rFonts w:hint="eastAsia" w:ascii="MS UI Gothic" w:eastAsia="MS UI Gothic"/>
        </w:rPr>
      </w:pPr>
      <w:r>
        <w:t>第三十七条 煤矿企业应当依法为职工参加工伤保险缴纳工伤保险费</w:t>
      </w:r>
      <w:r>
        <w:rPr>
          <w:rFonts w:hint="eastAsia" w:ascii="MS UI Gothic" w:eastAsia="MS UI Gothic"/>
          <w:w w:val="80"/>
        </w:rPr>
        <w:t xml:space="preserve">ꎮ </w:t>
      </w:r>
      <w:r>
        <w:t>鼓励企业为井下作业职工办理意外伤害保险</w:t>
      </w:r>
      <w:r>
        <w:rPr>
          <w:rFonts w:hint="eastAsia" w:ascii="MS UI Gothic" w:eastAsia="MS UI Gothic"/>
          <w:w w:val="80"/>
        </w:rPr>
        <w:t xml:space="preserve">ꎬ </w:t>
      </w:r>
      <w:r>
        <w:t>支付保险费</w:t>
      </w:r>
      <w:r>
        <w:rPr>
          <w:rFonts w:hint="eastAsia" w:ascii="MS UI Gothic" w:eastAsia="MS UI Gothic"/>
          <w:w w:val="80"/>
        </w:rPr>
        <w:t>ꎮ</w:t>
      </w:r>
    </w:p>
    <w:p>
      <w:pPr>
        <w:pStyle w:val="6"/>
        <w:spacing w:line="295" w:lineRule="auto"/>
        <w:ind w:left="381" w:right="124"/>
        <w:rPr>
          <w:rFonts w:hint="eastAsia" w:ascii="MS UI Gothic" w:eastAsia="MS UI Gothic"/>
        </w:rPr>
      </w:pPr>
      <w:r>
        <w:t>第三十八条  煤矿企业使用的设备</w:t>
      </w:r>
      <w:r>
        <w:rPr>
          <w:rFonts w:hint="eastAsia" w:ascii="MS UI Gothic" w:eastAsia="MS UI Gothic"/>
          <w:w w:val="80"/>
        </w:rPr>
        <w:t>、</w:t>
      </w:r>
      <w:r>
        <w:t>器材</w:t>
      </w:r>
      <w:r>
        <w:rPr>
          <w:rFonts w:hint="eastAsia" w:ascii="MS UI Gothic" w:eastAsia="MS UI Gothic"/>
          <w:w w:val="80"/>
        </w:rPr>
        <w:t xml:space="preserve">、 </w:t>
      </w:r>
      <w:r>
        <w:t>火工产品和安全仪器</w:t>
      </w:r>
      <w:r>
        <w:rPr>
          <w:rFonts w:hint="eastAsia" w:ascii="MS UI Gothic" w:eastAsia="MS UI Gothic"/>
          <w:w w:val="80"/>
        </w:rPr>
        <w:t xml:space="preserve">ꎬ </w:t>
      </w:r>
      <w:r>
        <w:t>必须符合国家标准或者行业标准</w:t>
      </w:r>
      <w:r>
        <w:rPr>
          <w:rFonts w:hint="eastAsia" w:ascii="MS UI Gothic" w:eastAsia="MS UI Gothic"/>
          <w:w w:val="80"/>
        </w:rPr>
        <w:t>ꎮ</w:t>
      </w:r>
    </w:p>
    <w:p>
      <w:pPr>
        <w:pStyle w:val="6"/>
        <w:tabs>
          <w:tab w:val="left" w:pos="2162"/>
        </w:tabs>
        <w:spacing w:before="134"/>
        <w:ind w:left="1324" w:firstLine="0"/>
        <w:jc w:val="left"/>
      </w:pPr>
      <w:r>
        <w:rPr>
          <w:spacing w:val="3"/>
          <w:w w:val="105"/>
        </w:rPr>
        <w:t>第四</w:t>
      </w:r>
      <w:r>
        <w:rPr>
          <w:w w:val="105"/>
        </w:rPr>
        <w:t>章</w:t>
      </w:r>
      <w:r>
        <w:rPr>
          <w:w w:val="105"/>
        </w:rPr>
        <w:tab/>
      </w:r>
      <w:r>
        <w:rPr>
          <w:w w:val="105"/>
        </w:rPr>
        <w:t>煤</w:t>
      </w:r>
      <w:r>
        <w:rPr>
          <w:spacing w:val="-33"/>
          <w:w w:val="105"/>
        </w:rPr>
        <w:t xml:space="preserve"> </w:t>
      </w:r>
      <w:r>
        <w:rPr>
          <w:w w:val="105"/>
        </w:rPr>
        <w:t>炭</w:t>
      </w:r>
      <w:r>
        <w:rPr>
          <w:spacing w:val="-33"/>
          <w:w w:val="105"/>
        </w:rPr>
        <w:t xml:space="preserve"> </w:t>
      </w:r>
      <w:r>
        <w:rPr>
          <w:w w:val="105"/>
        </w:rPr>
        <w:t>经</w:t>
      </w:r>
      <w:r>
        <w:rPr>
          <w:spacing w:val="-33"/>
          <w:w w:val="105"/>
        </w:rPr>
        <w:t xml:space="preserve"> </w:t>
      </w:r>
      <w:r>
        <w:rPr>
          <w:w w:val="105"/>
        </w:rPr>
        <w:t>营</w:t>
      </w:r>
    </w:p>
    <w:p>
      <w:pPr>
        <w:pStyle w:val="6"/>
        <w:spacing w:before="215" w:line="295" w:lineRule="auto"/>
        <w:ind w:left="381" w:right="124"/>
        <w:rPr>
          <w:rFonts w:hint="eastAsia" w:ascii="MS UI Gothic" w:eastAsia="MS UI Gothic"/>
        </w:rPr>
      </w:pPr>
      <w:r>
        <w:t>第三十九条 煤炭经营企业从事煤炭经营</w:t>
      </w:r>
      <w:r>
        <w:rPr>
          <w:rFonts w:hint="eastAsia" w:ascii="MS UI Gothic" w:eastAsia="MS UI Gothic"/>
          <w:w w:val="80"/>
        </w:rPr>
        <w:t xml:space="preserve">ꎬ </w:t>
      </w:r>
      <w:r>
        <w:t>应当遵守有关法律</w:t>
      </w:r>
      <w:r>
        <w:rPr>
          <w:rFonts w:hint="eastAsia" w:ascii="MS UI Gothic" w:eastAsia="MS UI Gothic"/>
        </w:rPr>
        <w:t xml:space="preserve">、 </w:t>
      </w:r>
      <w:r>
        <w:t>法规的规定</w:t>
      </w:r>
      <w:r>
        <w:rPr>
          <w:rFonts w:hint="eastAsia" w:ascii="MS UI Gothic" w:eastAsia="MS UI Gothic"/>
          <w:w w:val="80"/>
        </w:rPr>
        <w:t>ꎬ</w:t>
      </w:r>
      <w:r>
        <w:t>改善服务</w:t>
      </w:r>
      <w:r>
        <w:rPr>
          <w:rFonts w:hint="eastAsia" w:ascii="MS UI Gothic" w:eastAsia="MS UI Gothic"/>
          <w:w w:val="80"/>
        </w:rPr>
        <w:t xml:space="preserve">ꎬ </w:t>
      </w:r>
      <w:r>
        <w:t>保障供应</w:t>
      </w:r>
      <w:r>
        <w:rPr>
          <w:rFonts w:hint="eastAsia" w:ascii="MS UI Gothic" w:eastAsia="MS UI Gothic"/>
          <w:w w:val="80"/>
        </w:rPr>
        <w:t xml:space="preserve">ꎮ </w:t>
      </w:r>
      <w:r>
        <w:t>禁止一切非法经营活动</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第四十条 煤炭经营应当减少中间环</w:t>
      </w:r>
      <w:r>
        <w:t>节和取消不合理的中间环节</w:t>
      </w:r>
      <w:r>
        <w:rPr>
          <w:rFonts w:hint="eastAsia" w:ascii="MS UI Gothic" w:eastAsia="MS UI Gothic"/>
          <w:w w:val="80"/>
        </w:rPr>
        <w:t xml:space="preserve">ꎬ </w:t>
      </w:r>
      <w:r>
        <w:t>提倡有条件</w:t>
      </w:r>
      <w:r>
        <w:rPr>
          <w:w w:val="105"/>
        </w:rPr>
        <w:t>的煤矿企业直销</w:t>
      </w:r>
      <w:r>
        <w:rPr>
          <w:rFonts w:hint="eastAsia" w:ascii="MS UI Gothic" w:eastAsia="MS UI Gothic"/>
          <w:w w:val="80"/>
        </w:rPr>
        <w:t>ꎮ</w:t>
      </w:r>
    </w:p>
    <w:p>
      <w:pPr>
        <w:pStyle w:val="6"/>
        <w:spacing w:line="254" w:lineRule="exact"/>
        <w:ind w:left="800" w:firstLine="0"/>
        <w:jc w:val="left"/>
      </w:pPr>
      <w:r>
        <w:rPr>
          <w:w w:val="105"/>
        </w:rPr>
        <w:t>煤炭用户和煤炭销区的煤炭经营企业</w:t>
      </w:r>
    </w:p>
    <w:p>
      <w:pPr>
        <w:spacing w:after="0" w:line="254"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２１６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77" o:spid="_x0000_s1677" o:spt="203" style="height:2.15pt;width:398.25pt;" coordsize="7965,43">
            <o:lock v:ext="edit"/>
            <v:line id="_x0000_s1678" o:spid="_x0000_s1678" o:spt="20" style="position:absolute;left:0;top:39;height:0;width:7965;" stroked="t" coordsize="21600,21600">
              <v:path arrowok="t"/>
              <v:fill focussize="0,0"/>
              <v:stroke weight="0.388031496062992pt" color="#231F20"/>
              <v:imagedata o:title=""/>
              <o:lock v:ext="edit"/>
            </v:line>
            <v:line id="_x0000_s1679" o:spid="_x0000_s167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有权直接从煤矿企业购进煤炭</w:t>
      </w:r>
      <w:r>
        <w:rPr>
          <w:rFonts w:hint="eastAsia" w:ascii="MS UI Gothic" w:eastAsia="MS UI Gothic"/>
          <w:w w:val="80"/>
        </w:rPr>
        <w:t xml:space="preserve">ꎮ </w:t>
      </w:r>
      <w:r>
        <w:t>在煤炭产区可以组成煤炭销售</w:t>
      </w:r>
      <w:r>
        <w:rPr>
          <w:rFonts w:hint="eastAsia" w:ascii="MS UI Gothic" w:eastAsia="MS UI Gothic"/>
          <w:w w:val="80"/>
        </w:rPr>
        <w:t xml:space="preserve">、 </w:t>
      </w:r>
      <w:r>
        <w:t>运输服务机构</w:t>
      </w:r>
      <w:r>
        <w:rPr>
          <w:rFonts w:hint="eastAsia" w:ascii="MS UI Gothic" w:eastAsia="MS UI Gothic"/>
          <w:w w:val="80"/>
        </w:rPr>
        <w:t xml:space="preserve">ꎬ </w:t>
      </w:r>
      <w:r>
        <w:t>为中小煤矿办理经销</w:t>
      </w:r>
      <w:r>
        <w:rPr>
          <w:rFonts w:hint="eastAsia" w:ascii="MS UI Gothic" w:eastAsia="MS UI Gothic"/>
          <w:w w:val="80"/>
        </w:rPr>
        <w:t xml:space="preserve">、 </w:t>
      </w:r>
      <w:r>
        <w:t>运输业务</w:t>
      </w:r>
      <w:r>
        <w:rPr>
          <w:rFonts w:hint="eastAsia" w:ascii="MS UI Gothic" w:eastAsia="MS UI Gothic"/>
          <w:w w:val="80"/>
        </w:rPr>
        <w:t>ꎮ</w:t>
      </w:r>
    </w:p>
    <w:p>
      <w:pPr>
        <w:pStyle w:val="6"/>
        <w:spacing w:line="295" w:lineRule="auto"/>
        <w:ind w:right="39"/>
        <w:jc w:val="left"/>
        <w:rPr>
          <w:rFonts w:hint="eastAsia" w:ascii="MS UI Gothic" w:eastAsia="MS UI Gothic"/>
        </w:rPr>
      </w:pPr>
      <w:r>
        <w:t>禁止行政机关违反国家规定擅自设立</w:t>
      </w:r>
      <w:r>
        <w:rPr>
          <w:w w:val="105"/>
        </w:rPr>
        <w:t>煤炭供应的中间环节和额外加收费用</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第四十一条 从事煤炭运输的车站</w:t>
      </w:r>
      <w:r>
        <w:rPr>
          <w:rFonts w:hint="eastAsia" w:ascii="MS UI Gothic" w:eastAsia="MS UI Gothic"/>
          <w:w w:val="80"/>
        </w:rPr>
        <w:t>、</w:t>
      </w:r>
      <w:r>
        <w:t>港口及其他运输企业不得利用其掌握的运</w:t>
      </w:r>
      <w:r>
        <w:rPr>
          <w:w w:val="105"/>
        </w:rPr>
        <w:t>力作为参与煤炭经营</w:t>
      </w:r>
      <w:r>
        <w:rPr>
          <w:rFonts w:hint="eastAsia" w:ascii="MS UI Gothic" w:eastAsia="MS UI Gothic"/>
          <w:w w:val="80"/>
        </w:rPr>
        <w:t xml:space="preserve">、 </w:t>
      </w:r>
      <w:r>
        <w:rPr>
          <w:w w:val="105"/>
        </w:rPr>
        <w:t>谋取不正当利益的手段</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第四十二条 国务院物价行政主管部</w:t>
      </w:r>
      <w:r>
        <w:t>门会同国务院煤炭管理部门和有关部门对</w:t>
      </w:r>
      <w:r>
        <w:rPr>
          <w:w w:val="105"/>
        </w:rPr>
        <w:t>煤炭的销售价格进行监督管理</w:t>
      </w:r>
      <w:r>
        <w:rPr>
          <w:rFonts w:hint="eastAsia" w:ascii="MS UI Gothic" w:eastAsia="MS UI Gothic"/>
          <w:w w:val="80"/>
        </w:rPr>
        <w:t>ꎮ</w:t>
      </w:r>
    </w:p>
    <w:p>
      <w:pPr>
        <w:pStyle w:val="6"/>
        <w:spacing w:line="295" w:lineRule="auto"/>
        <w:ind w:right="39"/>
        <w:rPr>
          <w:rFonts w:hint="eastAsia" w:ascii="MS UI Gothic" w:eastAsia="MS UI Gothic"/>
        </w:rPr>
      </w:pPr>
      <w:r>
        <w:t>第四十三条 煤矿企业和煤炭经营企业供应用户的煤炭质量应当符合国家标准或者行业标准</w:t>
      </w:r>
      <w:r>
        <w:rPr>
          <w:rFonts w:hint="eastAsia" w:ascii="MS UI Gothic" w:eastAsia="MS UI Gothic"/>
          <w:w w:val="80"/>
        </w:rPr>
        <w:t xml:space="preserve">ꎬ </w:t>
      </w:r>
      <w:r>
        <w:t>质级相符</w:t>
      </w:r>
      <w:r>
        <w:rPr>
          <w:rFonts w:hint="eastAsia" w:ascii="MS UI Gothic" w:eastAsia="MS UI Gothic"/>
          <w:w w:val="80"/>
        </w:rPr>
        <w:t xml:space="preserve">ꎬ </w:t>
      </w:r>
      <w:r>
        <w:t>质价相符</w:t>
      </w:r>
      <w:r>
        <w:rPr>
          <w:rFonts w:hint="eastAsia" w:ascii="MS UI Gothic" w:eastAsia="MS UI Gothic"/>
          <w:w w:val="80"/>
        </w:rPr>
        <w:t xml:space="preserve">ꎮ </w:t>
      </w:r>
      <w:r>
        <w:t>用户对煤炭质量有特殊要求的</w:t>
      </w:r>
      <w:r>
        <w:rPr>
          <w:rFonts w:hint="eastAsia" w:ascii="MS UI Gothic" w:eastAsia="MS UI Gothic"/>
          <w:w w:val="80"/>
        </w:rPr>
        <w:t xml:space="preserve">ꎬ </w:t>
      </w:r>
      <w:r>
        <w:t>由供需双方在煤炭购销合同中约定</w:t>
      </w:r>
      <w:r>
        <w:rPr>
          <w:rFonts w:hint="eastAsia" w:ascii="MS UI Gothic" w:eastAsia="MS UI Gothic"/>
          <w:w w:val="80"/>
        </w:rPr>
        <w:t>ꎮ</w:t>
      </w:r>
    </w:p>
    <w:p>
      <w:pPr>
        <w:pStyle w:val="6"/>
        <w:spacing w:line="295" w:lineRule="auto"/>
        <w:ind w:right="39"/>
        <w:rPr>
          <w:rFonts w:hint="eastAsia" w:ascii="MS UI Gothic" w:eastAsia="MS UI Gothic"/>
        </w:rPr>
      </w:pPr>
      <w:r>
        <w:t>煤矿企业和煤炭经营企业不得在煤炭中掺杂</w:t>
      </w:r>
      <w:r>
        <w:rPr>
          <w:rFonts w:hint="eastAsia" w:ascii="MS UI Gothic" w:eastAsia="MS UI Gothic"/>
          <w:w w:val="80"/>
        </w:rPr>
        <w:t xml:space="preserve">、 </w:t>
      </w:r>
      <w:r>
        <w:t>掺假</w:t>
      </w:r>
      <w:r>
        <w:rPr>
          <w:rFonts w:hint="eastAsia" w:ascii="MS UI Gothic" w:eastAsia="MS UI Gothic"/>
          <w:w w:val="80"/>
        </w:rPr>
        <w:t xml:space="preserve">ꎬ </w:t>
      </w:r>
      <w:r>
        <w:t>以次充好</w:t>
      </w:r>
      <w:r>
        <w:rPr>
          <w:rFonts w:hint="eastAsia" w:ascii="MS UI Gothic" w:eastAsia="MS UI Gothic"/>
          <w:w w:val="80"/>
        </w:rPr>
        <w:t>ꎮ</w:t>
      </w:r>
    </w:p>
    <w:p>
      <w:pPr>
        <w:pStyle w:val="6"/>
        <w:spacing w:line="295" w:lineRule="auto"/>
        <w:ind w:right="39"/>
        <w:rPr>
          <w:rFonts w:hint="eastAsia" w:ascii="MS UI Gothic" w:eastAsia="MS UI Gothic"/>
        </w:rPr>
      </w:pPr>
      <w:r>
        <w:t>第四十四条 煤矿企业和煤炭经营企业供应用户的煤炭质量不符合国家标准或者行业标准</w:t>
      </w:r>
      <w:r>
        <w:rPr>
          <w:rFonts w:hint="eastAsia" w:ascii="MS UI Gothic" w:eastAsia="MS UI Gothic"/>
          <w:w w:val="80"/>
        </w:rPr>
        <w:t xml:space="preserve">ꎬ </w:t>
      </w:r>
      <w:r>
        <w:t>或者不符合合同约定</w:t>
      </w:r>
      <w:r>
        <w:rPr>
          <w:rFonts w:hint="eastAsia" w:ascii="MS UI Gothic" w:eastAsia="MS UI Gothic"/>
          <w:w w:val="80"/>
        </w:rPr>
        <w:t xml:space="preserve">ꎬ </w:t>
      </w:r>
      <w:r>
        <w:t>或者质级不符</w:t>
      </w:r>
      <w:r>
        <w:rPr>
          <w:rFonts w:hint="eastAsia" w:ascii="MS UI Gothic" w:eastAsia="MS UI Gothic"/>
          <w:w w:val="80"/>
        </w:rPr>
        <w:t xml:space="preserve">、 </w:t>
      </w:r>
      <w:r>
        <w:t>质价不符</w:t>
      </w:r>
      <w:r>
        <w:rPr>
          <w:rFonts w:hint="eastAsia" w:ascii="MS UI Gothic" w:eastAsia="MS UI Gothic"/>
          <w:w w:val="80"/>
        </w:rPr>
        <w:t xml:space="preserve">ꎬ </w:t>
      </w:r>
      <w:r>
        <w:t>给用户造成损失的</w:t>
      </w:r>
      <w:r>
        <w:rPr>
          <w:rFonts w:hint="eastAsia" w:ascii="MS UI Gothic" w:eastAsia="MS UI Gothic"/>
          <w:w w:val="80"/>
        </w:rPr>
        <w:t xml:space="preserve">ꎬ </w:t>
      </w:r>
      <w:r>
        <w:t>应当依法给予赔偿</w:t>
      </w:r>
      <w:r>
        <w:rPr>
          <w:rFonts w:hint="eastAsia" w:ascii="MS UI Gothic" w:eastAsia="MS UI Gothic"/>
          <w:w w:val="80"/>
        </w:rPr>
        <w:t>ꎮ</w:t>
      </w:r>
    </w:p>
    <w:p>
      <w:pPr>
        <w:pStyle w:val="6"/>
        <w:spacing w:line="295" w:lineRule="auto"/>
        <w:ind w:right="38"/>
        <w:rPr>
          <w:rFonts w:hint="eastAsia" w:ascii="MS UI Gothic" w:eastAsia="MS UI Gothic"/>
        </w:rPr>
      </w:pPr>
      <w:r>
        <w:t>第四十五条 煤矿企业</w:t>
      </w:r>
      <w:r>
        <w:rPr>
          <w:rFonts w:hint="eastAsia" w:ascii="MS UI Gothic" w:eastAsia="MS UI Gothic"/>
          <w:w w:val="80"/>
        </w:rPr>
        <w:t xml:space="preserve">、 </w:t>
      </w:r>
      <w:r>
        <w:t>煤炭经营企业</w:t>
      </w:r>
      <w:r>
        <w:rPr>
          <w:rFonts w:hint="eastAsia" w:ascii="MS UI Gothic" w:eastAsia="MS UI Gothic"/>
          <w:w w:val="80"/>
        </w:rPr>
        <w:t xml:space="preserve">、 </w:t>
      </w:r>
      <w:r>
        <w:t>运输企业和煤炭用户应当依照法律</w:t>
      </w:r>
      <w:r>
        <w:rPr>
          <w:rFonts w:hint="eastAsia" w:ascii="MS UI Gothic" w:eastAsia="MS UI Gothic"/>
          <w:w w:val="80"/>
        </w:rPr>
        <w:t>、</w:t>
      </w:r>
      <w:r>
        <w:t>国务院有关规定或者合同约定供应</w:t>
      </w:r>
      <w:r>
        <w:rPr>
          <w:rFonts w:hint="eastAsia" w:ascii="MS UI Gothic" w:eastAsia="MS UI Gothic"/>
          <w:w w:val="80"/>
        </w:rPr>
        <w:t xml:space="preserve">、 </w:t>
      </w:r>
      <w:r>
        <w:t>运输和接卸煤炭</w:t>
      </w:r>
      <w:r>
        <w:rPr>
          <w:rFonts w:hint="eastAsia" w:ascii="MS UI Gothic" w:eastAsia="MS UI Gothic"/>
          <w:w w:val="80"/>
        </w:rPr>
        <w:t>ꎮ</w:t>
      </w:r>
    </w:p>
    <w:p>
      <w:pPr>
        <w:pStyle w:val="6"/>
        <w:spacing w:line="295" w:lineRule="auto"/>
        <w:ind w:right="39"/>
        <w:rPr>
          <w:rFonts w:hint="eastAsia" w:ascii="MS UI Gothic" w:eastAsia="MS UI Gothic"/>
        </w:rPr>
      </w:pPr>
      <w:r>
        <w:t>运输企业应当将承运的不同质量的煤炭分装</w:t>
      </w:r>
      <w:r>
        <w:rPr>
          <w:rFonts w:hint="eastAsia" w:ascii="MS UI Gothic" w:eastAsia="MS UI Gothic"/>
          <w:w w:val="80"/>
        </w:rPr>
        <w:t xml:space="preserve">、 </w:t>
      </w:r>
      <w:r>
        <w:t>分堆</w:t>
      </w:r>
      <w:r>
        <w:rPr>
          <w:rFonts w:hint="eastAsia" w:ascii="MS UI Gothic" w:eastAsia="MS UI Gothic"/>
          <w:w w:val="80"/>
        </w:rPr>
        <w:t>ꎮ</w:t>
      </w:r>
    </w:p>
    <w:p>
      <w:pPr>
        <w:pStyle w:val="6"/>
        <w:spacing w:line="295" w:lineRule="auto"/>
        <w:ind w:right="39"/>
        <w:rPr>
          <w:rFonts w:hint="eastAsia" w:ascii="MS UI Gothic" w:eastAsia="MS UI Gothic"/>
        </w:rPr>
      </w:pPr>
      <w:r>
        <w:t>第四十六条 煤炭的进出口依照国务院的规定</w:t>
      </w:r>
      <w:r>
        <w:rPr>
          <w:rFonts w:hint="eastAsia" w:ascii="MS UI Gothic" w:eastAsia="MS UI Gothic"/>
          <w:w w:val="80"/>
        </w:rPr>
        <w:t xml:space="preserve">ꎬ </w:t>
      </w:r>
      <w:r>
        <w:t>实行统一管理</w:t>
      </w:r>
      <w:r>
        <w:rPr>
          <w:rFonts w:hint="eastAsia" w:ascii="MS UI Gothic" w:eastAsia="MS UI Gothic"/>
          <w:w w:val="80"/>
        </w:rPr>
        <w:t>ꎮ</w:t>
      </w:r>
    </w:p>
    <w:p>
      <w:pPr>
        <w:pStyle w:val="6"/>
        <w:spacing w:line="295" w:lineRule="auto"/>
        <w:ind w:right="39"/>
        <w:rPr>
          <w:rFonts w:hint="eastAsia" w:ascii="MS UI Gothic" w:eastAsia="MS UI Gothic"/>
        </w:rPr>
      </w:pPr>
      <w:r>
        <w:t>具备条件的大型煤矿企业经国务院对外经济贸易主管部门依法许可</w:t>
      </w:r>
      <w:r>
        <w:rPr>
          <w:rFonts w:hint="eastAsia" w:ascii="MS UI Gothic" w:eastAsia="MS UI Gothic"/>
          <w:w w:val="80"/>
        </w:rPr>
        <w:t xml:space="preserve">ꎬ </w:t>
      </w:r>
      <w:r>
        <w:t>有权从事</w:t>
      </w:r>
      <w:r>
        <w:rPr>
          <w:w w:val="105"/>
        </w:rPr>
        <w:t>煤炭出口经营</w:t>
      </w:r>
      <w:r>
        <w:rPr>
          <w:rFonts w:hint="eastAsia" w:ascii="MS UI Gothic" w:eastAsia="MS UI Gothic"/>
          <w:w w:val="80"/>
        </w:rPr>
        <w:t>ꎮ</w:t>
      </w:r>
    </w:p>
    <w:p>
      <w:pPr>
        <w:pStyle w:val="6"/>
        <w:spacing w:line="295" w:lineRule="auto"/>
        <w:ind w:right="39"/>
        <w:rPr>
          <w:rFonts w:hint="eastAsia" w:ascii="MS UI Gothic" w:eastAsia="MS UI Gothic"/>
        </w:rPr>
      </w:pPr>
      <w:r>
        <w:t>第四十七条 煤炭经营管理办法</w:t>
      </w:r>
      <w:r>
        <w:rPr>
          <w:rFonts w:hint="eastAsia" w:ascii="MS UI Gothic" w:eastAsia="MS UI Gothic"/>
          <w:w w:val="80"/>
        </w:rPr>
        <w:t xml:space="preserve">ꎬ </w:t>
      </w:r>
      <w:r>
        <w:t>由国务院依照本法制定</w:t>
      </w:r>
      <w:r>
        <w:rPr>
          <w:rFonts w:hint="eastAsia" w:ascii="MS UI Gothic" w:eastAsia="MS UI Gothic"/>
          <w:w w:val="80"/>
        </w:rPr>
        <w:t>ꎮ</w:t>
      </w:r>
    </w:p>
    <w:p>
      <w:pPr>
        <w:pStyle w:val="6"/>
        <w:spacing w:before="11"/>
        <w:ind w:left="0" w:firstLine="0"/>
        <w:jc w:val="left"/>
        <w:rPr>
          <w:rFonts w:ascii="MS UI Gothic"/>
          <w:sz w:val="21"/>
        </w:rPr>
      </w:pPr>
      <w:r>
        <w:br w:type="column"/>
      </w:r>
    </w:p>
    <w:p>
      <w:pPr>
        <w:pStyle w:val="6"/>
        <w:tabs>
          <w:tab w:val="left" w:pos="1801"/>
        </w:tabs>
        <w:ind w:left="963" w:firstLine="0"/>
        <w:jc w:val="left"/>
      </w:pPr>
      <w:r>
        <w:rPr>
          <w:spacing w:val="3"/>
          <w:w w:val="105"/>
        </w:rPr>
        <w:t>第五</w:t>
      </w:r>
      <w:r>
        <w:rPr>
          <w:w w:val="105"/>
        </w:rPr>
        <w:t>章</w:t>
      </w:r>
      <w:r>
        <w:rPr>
          <w:w w:val="105"/>
        </w:rPr>
        <w:tab/>
      </w:r>
      <w:r>
        <w:rPr>
          <w:spacing w:val="3"/>
          <w:w w:val="105"/>
        </w:rPr>
        <w:t>煤矿矿区保</w:t>
      </w:r>
      <w:r>
        <w:rPr>
          <w:w w:val="105"/>
        </w:rPr>
        <w:t>护</w:t>
      </w:r>
    </w:p>
    <w:p>
      <w:pPr>
        <w:pStyle w:val="6"/>
        <w:spacing w:before="216" w:line="295" w:lineRule="auto"/>
        <w:ind w:right="442"/>
        <w:rPr>
          <w:rFonts w:hint="eastAsia" w:ascii="MS UI Gothic" w:eastAsia="MS UI Gothic"/>
        </w:rPr>
      </w:pPr>
      <w:r>
        <w:t>第四十八条 任何单位或者个人不得危害煤矿矿区的电力</w:t>
      </w:r>
      <w:r>
        <w:rPr>
          <w:rFonts w:hint="eastAsia" w:ascii="MS UI Gothic" w:eastAsia="MS UI Gothic"/>
          <w:w w:val="80"/>
        </w:rPr>
        <w:t xml:space="preserve">、 </w:t>
      </w:r>
      <w:r>
        <w:t>通讯</w:t>
      </w:r>
      <w:r>
        <w:rPr>
          <w:rFonts w:hint="eastAsia" w:ascii="MS UI Gothic" w:eastAsia="MS UI Gothic"/>
          <w:w w:val="80"/>
        </w:rPr>
        <w:t xml:space="preserve">、 </w:t>
      </w:r>
      <w:r>
        <w:t>水源</w:t>
      </w:r>
      <w:r>
        <w:rPr>
          <w:rFonts w:hint="eastAsia" w:ascii="MS UI Gothic" w:eastAsia="MS UI Gothic"/>
          <w:w w:val="80"/>
        </w:rPr>
        <w:t xml:space="preserve">、 </w:t>
      </w:r>
      <w:r>
        <w:t>交通及其他生产设施</w:t>
      </w:r>
      <w:r>
        <w:rPr>
          <w:rFonts w:hint="eastAsia" w:ascii="MS UI Gothic" w:eastAsia="MS UI Gothic"/>
          <w:w w:val="80"/>
        </w:rPr>
        <w:t>ꎮ</w:t>
      </w:r>
    </w:p>
    <w:p>
      <w:pPr>
        <w:pStyle w:val="6"/>
        <w:spacing w:line="295" w:lineRule="auto"/>
        <w:ind w:right="442"/>
        <w:jc w:val="left"/>
        <w:rPr>
          <w:rFonts w:hint="eastAsia" w:ascii="MS UI Gothic" w:eastAsia="MS UI Gothic"/>
        </w:rPr>
      </w:pPr>
      <w:r>
        <w:t>禁止任何单位和个人扰乱煤矿矿区的</w:t>
      </w:r>
      <w:r>
        <w:rPr>
          <w:w w:val="105"/>
        </w:rPr>
        <w:t>生产秩序和工作秩序</w:t>
      </w:r>
      <w:r>
        <w:rPr>
          <w:rFonts w:hint="eastAsia" w:ascii="MS UI Gothic" w:eastAsia="MS UI Gothic"/>
          <w:w w:val="80"/>
        </w:rPr>
        <w:t>ꎮ</w:t>
      </w:r>
    </w:p>
    <w:p>
      <w:pPr>
        <w:pStyle w:val="6"/>
        <w:spacing w:line="295" w:lineRule="auto"/>
        <w:ind w:right="440"/>
        <w:rPr>
          <w:rFonts w:hint="eastAsia" w:ascii="MS UI Gothic" w:eastAsia="MS UI Gothic"/>
        </w:rPr>
      </w:pPr>
      <w:r>
        <w:t>第四十九条 对盗窃或者破坏煤矿矿区设施</w:t>
      </w:r>
      <w:r>
        <w:rPr>
          <w:rFonts w:hint="eastAsia" w:ascii="MS UI Gothic" w:eastAsia="MS UI Gothic"/>
          <w:w w:val="80"/>
        </w:rPr>
        <w:t xml:space="preserve">、 </w:t>
      </w:r>
      <w:r>
        <w:t>器材及其他危及煤矿矿区安全的行为</w:t>
      </w:r>
      <w:r>
        <w:rPr>
          <w:rFonts w:hint="eastAsia" w:ascii="MS UI Gothic" w:eastAsia="MS UI Gothic"/>
          <w:w w:val="80"/>
        </w:rPr>
        <w:t xml:space="preserve">ꎬ </w:t>
      </w:r>
      <w:r>
        <w:t>一切单位和个人都有权检举</w:t>
      </w:r>
      <w:r>
        <w:rPr>
          <w:rFonts w:hint="eastAsia" w:ascii="MS UI Gothic" w:eastAsia="MS UI Gothic"/>
          <w:w w:val="80"/>
        </w:rPr>
        <w:t>、</w:t>
      </w:r>
      <w:r>
        <w:t>控告</w:t>
      </w:r>
      <w:r>
        <w:rPr>
          <w:rFonts w:hint="eastAsia" w:ascii="MS UI Gothic" w:eastAsia="MS UI Gothic"/>
          <w:w w:val="80"/>
        </w:rPr>
        <w:t>ꎮ</w:t>
      </w:r>
    </w:p>
    <w:p>
      <w:pPr>
        <w:pStyle w:val="6"/>
        <w:spacing w:line="295" w:lineRule="auto"/>
        <w:ind w:right="440"/>
        <w:rPr>
          <w:rFonts w:hint="eastAsia" w:ascii="MS UI Gothic" w:eastAsia="MS UI Gothic"/>
        </w:rPr>
      </w:pPr>
      <w:r>
        <w:t>第五十条 未经煤矿企业同意</w:t>
      </w:r>
      <w:r>
        <w:rPr>
          <w:rFonts w:hint="eastAsia" w:ascii="MS UI Gothic" w:eastAsia="MS UI Gothic"/>
          <w:w w:val="80"/>
        </w:rPr>
        <w:t xml:space="preserve">ꎬ </w:t>
      </w:r>
      <w:r>
        <w:t>任何单位或者个人不得在煤矿企业依法取得土地使用权的有效期间内在该土地上种植</w:t>
      </w:r>
      <w:r>
        <w:rPr>
          <w:rFonts w:hint="eastAsia" w:ascii="MS UI Gothic" w:eastAsia="MS UI Gothic"/>
          <w:w w:val="80"/>
        </w:rPr>
        <w:t>、</w:t>
      </w:r>
      <w:r>
        <w:t>养殖</w:t>
      </w:r>
      <w:r>
        <w:rPr>
          <w:rFonts w:hint="eastAsia" w:ascii="MS UI Gothic" w:eastAsia="MS UI Gothic"/>
          <w:w w:val="80"/>
        </w:rPr>
        <w:t xml:space="preserve">、 </w:t>
      </w:r>
      <w:r>
        <w:t>取土或者修建建筑物</w:t>
      </w:r>
      <w:r>
        <w:rPr>
          <w:rFonts w:hint="eastAsia" w:ascii="MS UI Gothic" w:eastAsia="MS UI Gothic"/>
          <w:w w:val="80"/>
        </w:rPr>
        <w:t xml:space="preserve">、 </w:t>
      </w:r>
      <w:r>
        <w:t>构筑物</w:t>
      </w:r>
      <w:r>
        <w:rPr>
          <w:rFonts w:hint="eastAsia" w:ascii="MS UI Gothic" w:eastAsia="MS UI Gothic"/>
          <w:w w:val="80"/>
        </w:rPr>
        <w:t>ꎮ</w:t>
      </w:r>
    </w:p>
    <w:p>
      <w:pPr>
        <w:pStyle w:val="6"/>
        <w:spacing w:line="295" w:lineRule="auto"/>
        <w:ind w:right="442"/>
        <w:rPr>
          <w:rFonts w:hint="eastAsia" w:ascii="MS UI Gothic" w:eastAsia="MS UI Gothic"/>
        </w:rPr>
      </w:pPr>
      <w:r>
        <w:t>第五十一条 未经煤矿企业同意</w:t>
      </w:r>
      <w:r>
        <w:rPr>
          <w:rFonts w:hint="eastAsia" w:ascii="MS UI Gothic" w:eastAsia="MS UI Gothic"/>
          <w:w w:val="80"/>
        </w:rPr>
        <w:t xml:space="preserve">ꎬ </w:t>
      </w:r>
      <w:r>
        <w:t>任何单位或者个人不得占用煤矿企业的铁路专用线</w:t>
      </w:r>
      <w:r>
        <w:rPr>
          <w:rFonts w:hint="eastAsia" w:ascii="MS UI Gothic" w:eastAsia="MS UI Gothic"/>
          <w:w w:val="80"/>
        </w:rPr>
        <w:t xml:space="preserve">、 </w:t>
      </w:r>
      <w:r>
        <w:t>专用道路</w:t>
      </w:r>
      <w:r>
        <w:rPr>
          <w:rFonts w:hint="eastAsia" w:ascii="MS UI Gothic" w:eastAsia="MS UI Gothic"/>
          <w:w w:val="80"/>
        </w:rPr>
        <w:t xml:space="preserve">、 </w:t>
      </w:r>
      <w:r>
        <w:t>专用航道</w:t>
      </w:r>
      <w:r>
        <w:rPr>
          <w:rFonts w:hint="eastAsia" w:ascii="MS UI Gothic" w:eastAsia="MS UI Gothic"/>
          <w:w w:val="80"/>
        </w:rPr>
        <w:t xml:space="preserve">、 </w:t>
      </w:r>
      <w:r>
        <w:t>专用码头</w:t>
      </w:r>
      <w:r>
        <w:rPr>
          <w:rFonts w:hint="eastAsia" w:ascii="MS UI Gothic" w:eastAsia="MS UI Gothic"/>
          <w:w w:val="80"/>
        </w:rPr>
        <w:t xml:space="preserve">、 </w:t>
      </w:r>
      <w:r>
        <w:t>电力专用线</w:t>
      </w:r>
      <w:r>
        <w:rPr>
          <w:rFonts w:hint="eastAsia" w:ascii="MS UI Gothic" w:eastAsia="MS UI Gothic"/>
          <w:w w:val="80"/>
        </w:rPr>
        <w:t xml:space="preserve">、 </w:t>
      </w:r>
      <w:r>
        <w:t>专用供水管路</w:t>
      </w:r>
      <w:r>
        <w:rPr>
          <w:rFonts w:hint="eastAsia" w:ascii="MS UI Gothic" w:eastAsia="MS UI Gothic"/>
          <w:w w:val="80"/>
        </w:rPr>
        <w:t>ꎮ</w:t>
      </w:r>
    </w:p>
    <w:p>
      <w:pPr>
        <w:pStyle w:val="6"/>
        <w:spacing w:line="295" w:lineRule="auto"/>
        <w:ind w:right="442"/>
        <w:rPr>
          <w:rFonts w:hint="eastAsia" w:ascii="MS UI Gothic" w:eastAsia="MS UI Gothic"/>
        </w:rPr>
      </w:pPr>
      <w:r>
        <w:t>第五十二条 任何单位或者个人需要在煤矿采区范围内进行可能危及煤矿安全的作业时</w:t>
      </w:r>
      <w:r>
        <w:rPr>
          <w:rFonts w:hint="eastAsia" w:ascii="MS UI Gothic" w:eastAsia="MS UI Gothic"/>
          <w:w w:val="80"/>
        </w:rPr>
        <w:t xml:space="preserve">ꎬ </w:t>
      </w:r>
      <w:r>
        <w:t>应当经煤矿企业同意</w:t>
      </w:r>
      <w:r>
        <w:rPr>
          <w:rFonts w:hint="eastAsia" w:ascii="MS UI Gothic" w:eastAsia="MS UI Gothic"/>
          <w:w w:val="80"/>
        </w:rPr>
        <w:t xml:space="preserve">ꎬ </w:t>
      </w:r>
      <w:r>
        <w:t>报煤炭管理部门批准</w:t>
      </w:r>
      <w:r>
        <w:rPr>
          <w:rFonts w:hint="eastAsia" w:ascii="MS UI Gothic" w:eastAsia="MS UI Gothic"/>
          <w:w w:val="80"/>
        </w:rPr>
        <w:t xml:space="preserve">ꎬ </w:t>
      </w:r>
      <w:r>
        <w:t>并采取安全措施后</w:t>
      </w:r>
      <w:r>
        <w:rPr>
          <w:rFonts w:hint="eastAsia" w:ascii="MS UI Gothic" w:eastAsia="MS UI Gothic"/>
          <w:w w:val="80"/>
        </w:rPr>
        <w:t xml:space="preserve">ꎬ </w:t>
      </w:r>
      <w:r>
        <w:t>方可进行作业</w:t>
      </w:r>
      <w:r>
        <w:rPr>
          <w:rFonts w:hint="eastAsia" w:ascii="MS UI Gothic" w:eastAsia="MS UI Gothic"/>
          <w:w w:val="80"/>
        </w:rPr>
        <w:t>ꎮ</w:t>
      </w:r>
    </w:p>
    <w:p>
      <w:pPr>
        <w:pStyle w:val="6"/>
        <w:spacing w:line="295" w:lineRule="auto"/>
        <w:ind w:right="442"/>
        <w:rPr>
          <w:rFonts w:hint="eastAsia" w:ascii="MS UI Gothic" w:eastAsia="MS UI Gothic"/>
        </w:rPr>
      </w:pPr>
      <w:r>
        <w:t>在煤矿矿区范围内需要建设公用工程或者其他工程的</w:t>
      </w:r>
      <w:r>
        <w:rPr>
          <w:rFonts w:hint="eastAsia" w:ascii="MS UI Gothic" w:eastAsia="MS UI Gothic"/>
          <w:w w:val="80"/>
        </w:rPr>
        <w:t xml:space="preserve">ꎬ </w:t>
      </w:r>
      <w:r>
        <w:t>有关单位应当事先与煤矿企业协商并达成协议后</w:t>
      </w:r>
      <w:r>
        <w:rPr>
          <w:rFonts w:hint="eastAsia" w:ascii="MS UI Gothic" w:eastAsia="MS UI Gothic"/>
          <w:w w:val="80"/>
        </w:rPr>
        <w:t xml:space="preserve">ꎬ </w:t>
      </w:r>
      <w:r>
        <w:t>方可施工</w:t>
      </w:r>
      <w:r>
        <w:rPr>
          <w:rFonts w:hint="eastAsia" w:ascii="MS UI Gothic" w:eastAsia="MS UI Gothic"/>
          <w:w w:val="80"/>
        </w:rPr>
        <w:t>ꎮ</w:t>
      </w:r>
    </w:p>
    <w:p>
      <w:pPr>
        <w:pStyle w:val="6"/>
        <w:tabs>
          <w:tab w:val="left" w:pos="1906"/>
        </w:tabs>
        <w:spacing w:before="137"/>
        <w:ind w:left="1067" w:firstLine="0"/>
        <w:jc w:val="left"/>
      </w:pPr>
      <w:r>
        <w:rPr>
          <w:spacing w:val="3"/>
          <w:w w:val="105"/>
        </w:rPr>
        <w:t>第六</w:t>
      </w:r>
      <w:r>
        <w:rPr>
          <w:w w:val="105"/>
        </w:rPr>
        <w:t>章</w:t>
      </w:r>
      <w:r>
        <w:rPr>
          <w:w w:val="105"/>
        </w:rPr>
        <w:tab/>
      </w:r>
      <w:r>
        <w:rPr>
          <w:w w:val="105"/>
        </w:rPr>
        <w:t>监</w:t>
      </w:r>
      <w:r>
        <w:rPr>
          <w:spacing w:val="-33"/>
          <w:w w:val="105"/>
        </w:rPr>
        <w:t xml:space="preserve"> </w:t>
      </w:r>
      <w:r>
        <w:rPr>
          <w:w w:val="105"/>
        </w:rPr>
        <w:t>督</w:t>
      </w:r>
      <w:r>
        <w:rPr>
          <w:spacing w:val="-33"/>
          <w:w w:val="105"/>
        </w:rPr>
        <w:t xml:space="preserve"> </w:t>
      </w:r>
      <w:r>
        <w:rPr>
          <w:w w:val="105"/>
        </w:rPr>
        <w:t>检</w:t>
      </w:r>
      <w:r>
        <w:rPr>
          <w:spacing w:val="-33"/>
          <w:w w:val="105"/>
        </w:rPr>
        <w:t xml:space="preserve"> </w:t>
      </w:r>
      <w:r>
        <w:rPr>
          <w:w w:val="105"/>
        </w:rPr>
        <w:t>查</w:t>
      </w:r>
    </w:p>
    <w:p>
      <w:pPr>
        <w:pStyle w:val="6"/>
        <w:spacing w:before="215" w:line="295" w:lineRule="auto"/>
        <w:ind w:right="442"/>
        <w:rPr>
          <w:rFonts w:hint="eastAsia" w:ascii="MS UI Gothic" w:eastAsia="MS UI Gothic"/>
        </w:rPr>
      </w:pPr>
      <w:r>
        <w:rPr>
          <w:w w:val="105"/>
        </w:rPr>
        <w:t>第五十三条 煤炭管理部门和有关部</w:t>
      </w:r>
      <w:r>
        <w:t>门依法对煤矿企业和煤炭经营企业执行煤</w:t>
      </w:r>
      <w:r>
        <w:rPr>
          <w:w w:val="105"/>
        </w:rPr>
        <w:t>炭法律</w:t>
      </w:r>
      <w:r>
        <w:rPr>
          <w:rFonts w:hint="eastAsia" w:ascii="MS UI Gothic" w:eastAsia="MS UI Gothic"/>
          <w:w w:val="80"/>
        </w:rPr>
        <w:t xml:space="preserve">、 </w:t>
      </w:r>
      <w:r>
        <w:rPr>
          <w:w w:val="105"/>
        </w:rPr>
        <w:t>法规的情况进行监督检查</w:t>
      </w:r>
      <w:r>
        <w:rPr>
          <w:rFonts w:hint="eastAsia" w:ascii="MS UI Gothic" w:eastAsia="MS UI Gothic"/>
          <w:w w:val="80"/>
        </w:rPr>
        <w:t>ꎮ</w:t>
      </w:r>
    </w:p>
    <w:p>
      <w:pPr>
        <w:pStyle w:val="6"/>
        <w:spacing w:line="295" w:lineRule="auto"/>
        <w:ind w:right="440"/>
        <w:rPr>
          <w:rFonts w:hint="eastAsia" w:ascii="MS UI Gothic" w:eastAsia="MS UI Gothic"/>
        </w:rPr>
      </w:pPr>
      <w:r>
        <w:t>第五十四条 煤炭管理部门和有关部门的监督检查人员应当熟悉煤炭法律</w:t>
      </w:r>
      <w:r>
        <w:rPr>
          <w:rFonts w:hint="eastAsia" w:ascii="MS UI Gothic" w:eastAsia="MS UI Gothic"/>
          <w:w w:val="80"/>
        </w:rPr>
        <w:t xml:space="preserve">、 </w:t>
      </w:r>
      <w:r>
        <w:t>法规</w:t>
      </w:r>
      <w:r>
        <w:rPr>
          <w:rFonts w:hint="eastAsia" w:ascii="MS UI Gothic" w:eastAsia="MS UI Gothic"/>
          <w:w w:val="80"/>
        </w:rPr>
        <w:t xml:space="preserve">ꎬ </w:t>
      </w:r>
      <w:r>
        <w:t>掌握有关煤炭专业技术</w:t>
      </w:r>
      <w:r>
        <w:rPr>
          <w:rFonts w:hint="eastAsia" w:ascii="MS UI Gothic" w:eastAsia="MS UI Gothic"/>
          <w:w w:val="80"/>
        </w:rPr>
        <w:t xml:space="preserve">ꎬ </w:t>
      </w:r>
      <w:r>
        <w:t>公正廉洁</w:t>
      </w:r>
      <w:r>
        <w:rPr>
          <w:rFonts w:hint="eastAsia" w:ascii="MS UI Gothic" w:eastAsia="MS UI Gothic"/>
          <w:w w:val="80"/>
        </w:rPr>
        <w:t>ꎬ</w:t>
      </w:r>
      <w:r>
        <w:t>秉公执法</w:t>
      </w:r>
      <w:r>
        <w:rPr>
          <w:rFonts w:hint="eastAsia" w:ascii="MS UI Gothic" w:eastAsia="MS UI Gothic"/>
          <w:w w:val="80"/>
        </w:rPr>
        <w:t>ꎮ</w:t>
      </w:r>
    </w:p>
    <w:p>
      <w:pPr>
        <w:pStyle w:val="6"/>
        <w:spacing w:line="295" w:lineRule="auto"/>
        <w:ind w:right="442"/>
      </w:pPr>
      <w:r>
        <w:rPr>
          <w:w w:val="105"/>
        </w:rPr>
        <w:t>第五十五条 煤炭管理部门和有关部</w:t>
      </w:r>
      <w:r>
        <w:t>门的监督检查人员进行监督检查时</w:t>
      </w:r>
      <w:r>
        <w:rPr>
          <w:rFonts w:hint="eastAsia" w:ascii="MS UI Gothic" w:eastAsia="MS UI Gothic"/>
          <w:w w:val="80"/>
        </w:rPr>
        <w:t xml:space="preserve">ꎬ </w:t>
      </w:r>
      <w:r>
        <w:t>有权</w:t>
      </w:r>
      <w:r>
        <w:rPr>
          <w:w w:val="105"/>
        </w:rPr>
        <w:t>向煤矿企业</w:t>
      </w:r>
      <w:r>
        <w:rPr>
          <w:rFonts w:hint="eastAsia" w:ascii="MS UI Gothic" w:eastAsia="MS UI Gothic"/>
          <w:w w:val="80"/>
        </w:rPr>
        <w:t xml:space="preserve">、 </w:t>
      </w:r>
      <w:r>
        <w:rPr>
          <w:w w:val="105"/>
        </w:rPr>
        <w:t>煤炭经营企业或者用户了解</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２１７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80" o:spid="_x0000_s1680" o:spt="203" style="height:2.15pt;width:398.25pt;" coordsize="7965,43">
            <o:lock v:ext="edit"/>
            <v:line id="_x0000_s1681" o:spid="_x0000_s1681" o:spt="20" style="position:absolute;left:0;top:39;height:0;width:7965;" stroked="t" coordsize="21600,21600">
              <v:path arrowok="t"/>
              <v:fill focussize="0,0"/>
              <v:stroke weight="0.388031496062992pt" color="#231F20"/>
              <v:imagedata o:title=""/>
              <o:lock v:ext="edit"/>
            </v:line>
            <v:line id="_x0000_s1682" o:spid="_x0000_s168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jc w:val="left"/>
        <w:rPr>
          <w:rFonts w:hint="eastAsia" w:ascii="MS UI Gothic" w:eastAsia="MS UI Gothic"/>
        </w:rPr>
      </w:pPr>
      <w:r>
        <w:t>有关执行煤炭法律</w:t>
      </w:r>
      <w:r>
        <w:rPr>
          <w:rFonts w:hint="eastAsia" w:ascii="MS UI Gothic" w:eastAsia="MS UI Gothic"/>
        </w:rPr>
        <w:t xml:space="preserve">、 </w:t>
      </w:r>
      <w:r>
        <w:t>法规的情况</w:t>
      </w:r>
      <w:r>
        <w:rPr>
          <w:rFonts w:hint="eastAsia" w:ascii="MS UI Gothic" w:eastAsia="MS UI Gothic"/>
          <w:w w:val="80"/>
        </w:rPr>
        <w:t xml:space="preserve">ꎬ </w:t>
      </w:r>
      <w:r>
        <w:t>查阅有关资料</w:t>
      </w:r>
      <w:r>
        <w:rPr>
          <w:rFonts w:hint="eastAsia" w:ascii="MS UI Gothic" w:eastAsia="MS UI Gothic"/>
          <w:w w:val="80"/>
        </w:rPr>
        <w:t xml:space="preserve">ꎬ </w:t>
      </w:r>
      <w:r>
        <w:t>并有权进入现场进行检查</w:t>
      </w:r>
      <w:r>
        <w:rPr>
          <w:rFonts w:hint="eastAsia" w:ascii="MS UI Gothic" w:eastAsia="MS UI Gothic"/>
          <w:w w:val="80"/>
        </w:rPr>
        <w:t>ꎮ</w:t>
      </w:r>
    </w:p>
    <w:p>
      <w:pPr>
        <w:pStyle w:val="6"/>
        <w:spacing w:line="295" w:lineRule="auto"/>
        <w:ind w:left="440"/>
        <w:rPr>
          <w:rFonts w:hint="eastAsia" w:ascii="MS UI Gothic" w:eastAsia="MS UI Gothic"/>
        </w:rPr>
      </w:pPr>
      <w:r>
        <w:rPr>
          <w:w w:val="105"/>
        </w:rPr>
        <w:t>煤矿企业</w:t>
      </w:r>
      <w:r>
        <w:rPr>
          <w:rFonts w:hint="eastAsia" w:ascii="MS UI Gothic" w:eastAsia="MS UI Gothic"/>
          <w:w w:val="80"/>
        </w:rPr>
        <w:t xml:space="preserve">、 </w:t>
      </w:r>
      <w:r>
        <w:rPr>
          <w:w w:val="105"/>
        </w:rPr>
        <w:t>煤炭经营企业和用户对依</w:t>
      </w:r>
      <w:r>
        <w:t>法执行监督检查任务的煤炭管理部门和有</w:t>
      </w:r>
      <w:r>
        <w:rPr>
          <w:w w:val="105"/>
        </w:rPr>
        <w:t>关部门的监督检查人员应当提供方便</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第五十六条 煤炭管理部门和有关部</w:t>
      </w:r>
      <w:r>
        <w:t>门的监督检查人员对煤矿企业和煤炭经营</w:t>
      </w:r>
      <w:r>
        <w:rPr>
          <w:w w:val="105"/>
        </w:rPr>
        <w:t>企业违反煤炭法律</w:t>
      </w:r>
      <w:r>
        <w:rPr>
          <w:rFonts w:hint="eastAsia" w:ascii="MS UI Gothic" w:eastAsia="MS UI Gothic"/>
          <w:w w:val="80"/>
        </w:rPr>
        <w:t xml:space="preserve">、 </w:t>
      </w:r>
      <w:r>
        <w:rPr>
          <w:w w:val="105"/>
        </w:rPr>
        <w:t>法规的行为</w:t>
      </w:r>
      <w:r>
        <w:rPr>
          <w:rFonts w:hint="eastAsia" w:ascii="MS UI Gothic" w:eastAsia="MS UI Gothic"/>
          <w:w w:val="80"/>
        </w:rPr>
        <w:t xml:space="preserve">ꎬ </w:t>
      </w:r>
      <w:r>
        <w:rPr>
          <w:w w:val="105"/>
        </w:rPr>
        <w:t>有权要求其依法改正</w:t>
      </w:r>
      <w:r>
        <w:rPr>
          <w:rFonts w:hint="eastAsia" w:ascii="MS UI Gothic" w:eastAsia="MS UI Gothic"/>
          <w:w w:val="80"/>
        </w:rPr>
        <w:t>ꎮ</w:t>
      </w:r>
    </w:p>
    <w:p>
      <w:pPr>
        <w:pStyle w:val="6"/>
        <w:spacing w:line="295" w:lineRule="auto"/>
        <w:ind w:left="440"/>
        <w:rPr>
          <w:rFonts w:hint="eastAsia" w:ascii="MS UI Gothic" w:eastAsia="MS UI Gothic"/>
        </w:rPr>
      </w:pPr>
      <w:r>
        <w:t>煤炭管理部门和有关部门的监督检查人员进行监督检查时</w:t>
      </w:r>
      <w:r>
        <w:rPr>
          <w:rFonts w:hint="eastAsia" w:ascii="MS UI Gothic" w:eastAsia="MS UI Gothic"/>
          <w:w w:val="80"/>
        </w:rPr>
        <w:t xml:space="preserve">ꎬ </w:t>
      </w:r>
      <w:r>
        <w:t>应当出示证件</w:t>
      </w:r>
      <w:r>
        <w:rPr>
          <w:rFonts w:hint="eastAsia" w:ascii="MS UI Gothic" w:eastAsia="MS UI Gothic"/>
          <w:w w:val="80"/>
        </w:rPr>
        <w:t>ꎮ</w:t>
      </w:r>
    </w:p>
    <w:p>
      <w:pPr>
        <w:pStyle w:val="6"/>
        <w:tabs>
          <w:tab w:val="left" w:pos="2222"/>
        </w:tabs>
        <w:spacing w:before="148"/>
        <w:ind w:left="1384" w:firstLine="0"/>
        <w:jc w:val="left"/>
      </w:pPr>
      <w:r>
        <w:rPr>
          <w:spacing w:val="3"/>
          <w:w w:val="105"/>
        </w:rPr>
        <w:t>第七</w:t>
      </w:r>
      <w:r>
        <w:rPr>
          <w:w w:val="105"/>
        </w:rPr>
        <w:t>章</w:t>
      </w:r>
      <w:r>
        <w:rPr>
          <w:w w:val="105"/>
        </w:rPr>
        <w:tab/>
      </w:r>
      <w:r>
        <w:rPr>
          <w:w w:val="105"/>
        </w:rPr>
        <w:t>法</w:t>
      </w:r>
      <w:r>
        <w:rPr>
          <w:spacing w:val="-38"/>
          <w:w w:val="105"/>
        </w:rPr>
        <w:t xml:space="preserve"> </w:t>
      </w:r>
      <w:r>
        <w:rPr>
          <w:w w:val="105"/>
        </w:rPr>
        <w:t>律</w:t>
      </w:r>
      <w:r>
        <w:rPr>
          <w:spacing w:val="-38"/>
          <w:w w:val="105"/>
        </w:rPr>
        <w:t xml:space="preserve"> </w:t>
      </w:r>
      <w:r>
        <w:rPr>
          <w:w w:val="105"/>
        </w:rPr>
        <w:t>责</w:t>
      </w:r>
      <w:r>
        <w:rPr>
          <w:spacing w:val="-38"/>
          <w:w w:val="105"/>
        </w:rPr>
        <w:t xml:space="preserve"> </w:t>
      </w:r>
      <w:r>
        <w:rPr>
          <w:w w:val="105"/>
        </w:rPr>
        <w:t>任</w:t>
      </w:r>
    </w:p>
    <w:p>
      <w:pPr>
        <w:pStyle w:val="6"/>
        <w:spacing w:before="11"/>
        <w:ind w:left="0" w:firstLine="0"/>
        <w:jc w:val="left"/>
        <w:rPr>
          <w:sz w:val="16"/>
        </w:rPr>
      </w:pPr>
    </w:p>
    <w:p>
      <w:pPr>
        <w:pStyle w:val="6"/>
        <w:spacing w:line="295" w:lineRule="auto"/>
        <w:ind w:left="440"/>
        <w:rPr>
          <w:rFonts w:hint="eastAsia" w:ascii="MS UI Gothic" w:eastAsia="MS UI Gothic"/>
        </w:rPr>
      </w:pPr>
      <w:r>
        <w:rPr>
          <w:spacing w:val="4"/>
        </w:rPr>
        <w:t>第五十七条 违反本法第二十二条的</w:t>
      </w:r>
      <w:r>
        <w:rPr>
          <w:spacing w:val="3"/>
        </w:rPr>
        <w:t>规定</w:t>
      </w:r>
      <w:r>
        <w:rPr>
          <w:rFonts w:hint="eastAsia" w:ascii="MS UI Gothic" w:eastAsia="MS UI Gothic"/>
          <w:spacing w:val="21"/>
          <w:w w:val="80"/>
        </w:rPr>
        <w:t xml:space="preserve">ꎬ </w:t>
      </w:r>
      <w:r>
        <w:rPr>
          <w:spacing w:val="2"/>
        </w:rPr>
        <w:t>开采煤炭资源未达到国务院煤炭管</w:t>
      </w:r>
      <w:r>
        <w:rPr>
          <w:spacing w:val="3"/>
        </w:rPr>
        <w:t>理部门规定的煤炭资源回采率的</w:t>
      </w:r>
      <w:r>
        <w:rPr>
          <w:rFonts w:hint="eastAsia" w:ascii="MS UI Gothic" w:eastAsia="MS UI Gothic"/>
          <w:spacing w:val="21"/>
          <w:w w:val="80"/>
        </w:rPr>
        <w:t xml:space="preserve">ꎬ </w:t>
      </w:r>
      <w:r>
        <w:rPr>
          <w:spacing w:val="2"/>
        </w:rPr>
        <w:t>由煤炭</w:t>
      </w:r>
      <w:r>
        <w:rPr>
          <w:spacing w:val="3"/>
        </w:rPr>
        <w:t>管理部门责令限期改正</w:t>
      </w:r>
      <w:r>
        <w:rPr>
          <w:rFonts w:hint="eastAsia" w:ascii="MS UI Gothic" w:eastAsia="MS UI Gothic"/>
          <w:spacing w:val="21"/>
          <w:w w:val="80"/>
        </w:rPr>
        <w:t xml:space="preserve">ꎻ </w:t>
      </w:r>
      <w:r>
        <w:rPr>
          <w:spacing w:val="2"/>
        </w:rPr>
        <w:t>逾期仍达不到规</w:t>
      </w:r>
      <w:r>
        <w:rPr>
          <w:spacing w:val="3"/>
        </w:rPr>
        <w:t>定的回采率的</w:t>
      </w:r>
      <w:r>
        <w:rPr>
          <w:rFonts w:hint="eastAsia" w:ascii="MS UI Gothic" w:eastAsia="MS UI Gothic"/>
          <w:spacing w:val="1"/>
          <w:w w:val="80"/>
        </w:rPr>
        <w:t xml:space="preserve">ꎬ </w:t>
      </w:r>
      <w:r>
        <w:rPr>
          <w:spacing w:val="3"/>
        </w:rPr>
        <w:t>责令停止生产</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第五十八条 违反本法第二十四条的</w:t>
      </w:r>
      <w:r>
        <w:rPr>
          <w:spacing w:val="3"/>
        </w:rPr>
        <w:t>规定</w:t>
      </w:r>
      <w:r>
        <w:rPr>
          <w:rFonts w:hint="eastAsia" w:ascii="MS UI Gothic" w:eastAsia="MS UI Gothic"/>
          <w:spacing w:val="21"/>
          <w:w w:val="80"/>
        </w:rPr>
        <w:t xml:space="preserve">ꎬ </w:t>
      </w:r>
      <w:r>
        <w:rPr>
          <w:spacing w:val="2"/>
        </w:rPr>
        <w:t>擅自开采保安煤柱或者采用危及相邻煤矿生产安全的危险方法进行采矿作业</w:t>
      </w:r>
      <w:r>
        <w:rPr>
          <w:spacing w:val="3"/>
        </w:rPr>
        <w:t>的</w:t>
      </w:r>
      <w:r>
        <w:rPr>
          <w:rFonts w:hint="eastAsia" w:ascii="MS UI Gothic" w:eastAsia="MS UI Gothic"/>
          <w:spacing w:val="21"/>
          <w:w w:val="80"/>
        </w:rPr>
        <w:t xml:space="preserve">ꎬ </w:t>
      </w:r>
      <w:r>
        <w:rPr>
          <w:spacing w:val="2"/>
        </w:rPr>
        <w:t>由劳动行政主管部门会同煤炭管理部</w:t>
      </w:r>
      <w:r>
        <w:rPr>
          <w:spacing w:val="3"/>
        </w:rPr>
        <w:t>门责令停止作业</w:t>
      </w:r>
      <w:r>
        <w:rPr>
          <w:rFonts w:hint="eastAsia" w:ascii="MS UI Gothic" w:eastAsia="MS UI Gothic"/>
          <w:spacing w:val="21"/>
          <w:w w:val="80"/>
        </w:rPr>
        <w:t xml:space="preserve">ꎻ </w:t>
      </w:r>
      <w:r>
        <w:rPr>
          <w:spacing w:val="2"/>
        </w:rPr>
        <w:t>由煤炭管理部门没收违</w:t>
      </w:r>
      <w:r>
        <w:rPr>
          <w:spacing w:val="3"/>
        </w:rPr>
        <w:t>法所得</w:t>
      </w:r>
      <w:r>
        <w:rPr>
          <w:rFonts w:hint="eastAsia" w:ascii="MS UI Gothic" w:eastAsia="MS UI Gothic"/>
          <w:spacing w:val="21"/>
          <w:w w:val="80"/>
        </w:rPr>
        <w:t xml:space="preserve">ꎬ </w:t>
      </w:r>
      <w:r>
        <w:rPr>
          <w:spacing w:val="2"/>
        </w:rPr>
        <w:t>并处违法所得一倍以上五倍以下</w:t>
      </w:r>
      <w:r>
        <w:rPr>
          <w:spacing w:val="3"/>
        </w:rPr>
        <w:t>的罚款</w:t>
      </w:r>
      <w:r>
        <w:rPr>
          <w:rFonts w:hint="eastAsia" w:ascii="MS UI Gothic" w:eastAsia="MS UI Gothic"/>
          <w:spacing w:val="23"/>
          <w:w w:val="80"/>
        </w:rPr>
        <w:t xml:space="preserve">ꎻ </w:t>
      </w:r>
      <w:r>
        <w:rPr>
          <w:spacing w:val="3"/>
        </w:rPr>
        <w:t>构成犯罪的</w:t>
      </w:r>
      <w:r>
        <w:rPr>
          <w:rFonts w:hint="eastAsia" w:ascii="MS UI Gothic" w:eastAsia="MS UI Gothic"/>
          <w:spacing w:val="23"/>
          <w:w w:val="80"/>
        </w:rPr>
        <w:t xml:space="preserve">ꎬ </w:t>
      </w:r>
      <w:r>
        <w:rPr>
          <w:spacing w:val="2"/>
        </w:rPr>
        <w:t>由司法机关依法追</w:t>
      </w:r>
      <w:r>
        <w:rPr>
          <w:spacing w:val="3"/>
        </w:rPr>
        <w:t>究刑事责任</w:t>
      </w:r>
      <w:r>
        <w:rPr>
          <w:rFonts w:hint="eastAsia" w:ascii="MS UI Gothic" w:eastAsia="MS UI Gothic"/>
          <w:spacing w:val="23"/>
          <w:w w:val="80"/>
        </w:rPr>
        <w:t xml:space="preserve">ꎻ </w:t>
      </w:r>
      <w:r>
        <w:rPr>
          <w:spacing w:val="3"/>
        </w:rPr>
        <w:t>造成损失的</w:t>
      </w:r>
      <w:r>
        <w:rPr>
          <w:rFonts w:hint="eastAsia" w:ascii="MS UI Gothic" w:eastAsia="MS UI Gothic"/>
          <w:spacing w:val="23"/>
          <w:w w:val="80"/>
        </w:rPr>
        <w:t xml:space="preserve">ꎬ </w:t>
      </w:r>
      <w:r>
        <w:rPr>
          <w:spacing w:val="2"/>
        </w:rPr>
        <w:t>依法承担赔偿</w:t>
      </w:r>
      <w:r>
        <w:rPr>
          <w:spacing w:val="3"/>
        </w:rPr>
        <w:t>责任</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第五十九条 违反本法第四十三条的</w:t>
      </w:r>
      <w:r>
        <w:rPr>
          <w:spacing w:val="3"/>
        </w:rPr>
        <w:t>规定</w:t>
      </w:r>
      <w:r>
        <w:rPr>
          <w:rFonts w:hint="eastAsia" w:ascii="MS UI Gothic" w:eastAsia="MS UI Gothic"/>
          <w:spacing w:val="23"/>
          <w:w w:val="80"/>
        </w:rPr>
        <w:t xml:space="preserve">ꎬ </w:t>
      </w:r>
      <w:r>
        <w:rPr>
          <w:spacing w:val="3"/>
        </w:rPr>
        <w:t>在煤炭产品中掺杂</w:t>
      </w:r>
      <w:r>
        <w:rPr>
          <w:rFonts w:hint="eastAsia" w:ascii="MS UI Gothic" w:eastAsia="MS UI Gothic"/>
          <w:spacing w:val="23"/>
          <w:w w:val="80"/>
        </w:rPr>
        <w:t xml:space="preserve">、 </w:t>
      </w:r>
      <w:r>
        <w:rPr>
          <w:spacing w:val="3"/>
        </w:rPr>
        <w:t>掺假</w:t>
      </w:r>
      <w:r>
        <w:rPr>
          <w:rFonts w:hint="eastAsia" w:ascii="MS UI Gothic" w:eastAsia="MS UI Gothic"/>
          <w:spacing w:val="23"/>
          <w:w w:val="80"/>
        </w:rPr>
        <w:t xml:space="preserve">ꎬ </w:t>
      </w:r>
      <w:r>
        <w:rPr>
          <w:spacing w:val="2"/>
        </w:rPr>
        <w:t>以次充</w:t>
      </w:r>
      <w:r>
        <w:rPr>
          <w:spacing w:val="3"/>
        </w:rPr>
        <w:t>好的</w:t>
      </w:r>
      <w:r>
        <w:rPr>
          <w:rFonts w:hint="eastAsia" w:ascii="MS UI Gothic" w:eastAsia="MS UI Gothic"/>
          <w:spacing w:val="14"/>
          <w:w w:val="80"/>
        </w:rPr>
        <w:t xml:space="preserve">ꎬ </w:t>
      </w:r>
      <w:r>
        <w:rPr>
          <w:spacing w:val="3"/>
        </w:rPr>
        <w:t>责令停止销售</w:t>
      </w:r>
      <w:r>
        <w:rPr>
          <w:rFonts w:hint="eastAsia" w:ascii="MS UI Gothic" w:eastAsia="MS UI Gothic"/>
          <w:spacing w:val="15"/>
          <w:w w:val="80"/>
        </w:rPr>
        <w:t xml:space="preserve">ꎬ </w:t>
      </w:r>
      <w:r>
        <w:rPr>
          <w:spacing w:val="3"/>
        </w:rPr>
        <w:t>没收违法所得</w:t>
      </w:r>
      <w:r>
        <w:rPr>
          <w:rFonts w:hint="eastAsia" w:ascii="MS UI Gothic" w:eastAsia="MS UI Gothic"/>
          <w:spacing w:val="15"/>
          <w:w w:val="80"/>
        </w:rPr>
        <w:t xml:space="preserve">ꎬ </w:t>
      </w:r>
      <w:r>
        <w:t>并</w:t>
      </w:r>
      <w:r>
        <w:rPr>
          <w:spacing w:val="3"/>
        </w:rPr>
        <w:t>处违法所得一倍以上五倍以下的罚款</w:t>
      </w:r>
      <w:r>
        <w:rPr>
          <w:rFonts w:hint="eastAsia" w:ascii="MS UI Gothic" w:eastAsia="MS UI Gothic"/>
          <w:spacing w:val="21"/>
          <w:w w:val="80"/>
        </w:rPr>
        <w:t xml:space="preserve">ꎻ </w:t>
      </w:r>
      <w:r>
        <w:t>构</w:t>
      </w:r>
      <w:r>
        <w:rPr>
          <w:spacing w:val="21"/>
        </w:rPr>
        <w:t>成犯罪的</w:t>
      </w:r>
      <w:r>
        <w:rPr>
          <w:rFonts w:hint="eastAsia" w:ascii="MS UI Gothic" w:eastAsia="MS UI Gothic"/>
          <w:spacing w:val="2"/>
          <w:w w:val="80"/>
        </w:rPr>
        <w:t xml:space="preserve">ꎬ </w:t>
      </w:r>
      <w:r>
        <w:rPr>
          <w:spacing w:val="30"/>
        </w:rPr>
        <w:t>由司法机关依法追究刑事</w:t>
      </w:r>
      <w:r>
        <w:rPr>
          <w:spacing w:val="3"/>
        </w:rPr>
        <w:t>责任</w:t>
      </w:r>
      <w:r>
        <w:rPr>
          <w:rFonts w:hint="eastAsia" w:ascii="MS UI Gothic" w:eastAsia="MS UI Gothic"/>
          <w:w w:val="80"/>
        </w:rPr>
        <w:t>ꎮ</w:t>
      </w:r>
    </w:p>
    <w:p>
      <w:pPr>
        <w:pStyle w:val="6"/>
        <w:spacing w:line="295" w:lineRule="auto"/>
        <w:ind w:left="440"/>
        <w:rPr>
          <w:rFonts w:hint="eastAsia" w:ascii="MS UI Gothic" w:eastAsia="MS UI Gothic"/>
        </w:rPr>
      </w:pPr>
      <w:r>
        <w:t>第六十条  违反本法第五十条的规定</w:t>
      </w:r>
      <w:r>
        <w:rPr>
          <w:rFonts w:hint="eastAsia" w:ascii="MS UI Gothic" w:eastAsia="MS UI Gothic"/>
          <w:w w:val="80"/>
        </w:rPr>
        <w:t xml:space="preserve">ꎬ </w:t>
      </w:r>
      <w:r>
        <w:t>未经煤矿企业同意</w:t>
      </w:r>
      <w:r>
        <w:rPr>
          <w:rFonts w:hint="eastAsia" w:ascii="MS UI Gothic" w:eastAsia="MS UI Gothic"/>
          <w:w w:val="80"/>
        </w:rPr>
        <w:t xml:space="preserve">ꎬ </w:t>
      </w:r>
      <w:r>
        <w:t>在煤矿企业依法取得土地使用权的有效期间内在该土地上修建建筑物</w:t>
      </w:r>
      <w:r>
        <w:rPr>
          <w:rFonts w:hint="eastAsia" w:ascii="MS UI Gothic" w:eastAsia="MS UI Gothic"/>
          <w:w w:val="80"/>
        </w:rPr>
        <w:t xml:space="preserve">、 </w:t>
      </w:r>
      <w:r>
        <w:t>构筑物的</w:t>
      </w:r>
      <w:r>
        <w:rPr>
          <w:rFonts w:hint="eastAsia" w:ascii="MS UI Gothic" w:eastAsia="MS UI Gothic"/>
          <w:w w:val="80"/>
        </w:rPr>
        <w:t xml:space="preserve">ꎬ </w:t>
      </w:r>
      <w:r>
        <w:t>由当地人民政府动员拆除</w:t>
      </w:r>
      <w:r>
        <w:rPr>
          <w:rFonts w:hint="eastAsia" w:ascii="MS UI Gothic" w:eastAsia="MS UI Gothic"/>
          <w:w w:val="80"/>
        </w:rPr>
        <w:t xml:space="preserve">ꎻ </w:t>
      </w:r>
      <w:r>
        <w:t>拒不拆除的</w:t>
      </w:r>
      <w:r>
        <w:rPr>
          <w:rFonts w:hint="eastAsia" w:ascii="MS UI Gothic" w:eastAsia="MS UI Gothic"/>
          <w:w w:val="80"/>
        </w:rPr>
        <w:t xml:space="preserve">ꎬ </w:t>
      </w:r>
      <w:r>
        <w:t>责令拆除</w:t>
      </w:r>
      <w:r>
        <w:rPr>
          <w:rFonts w:hint="eastAsia" w:ascii="MS UI Gothic" w:eastAsia="MS UI Gothic"/>
          <w:w w:val="80"/>
        </w:rPr>
        <w:t>ꎮ</w:t>
      </w:r>
    </w:p>
    <w:p>
      <w:pPr>
        <w:pStyle w:val="6"/>
        <w:tabs>
          <w:tab w:val="left" w:pos="2117"/>
        </w:tabs>
        <w:spacing w:line="252" w:lineRule="exact"/>
        <w:ind w:left="860" w:firstLine="0"/>
        <w:jc w:val="left"/>
      </w:pPr>
      <w:r>
        <w:rPr>
          <w:spacing w:val="3"/>
          <w:w w:val="105"/>
        </w:rPr>
        <w:t>第六十一</w:t>
      </w:r>
      <w:r>
        <w:rPr>
          <w:w w:val="105"/>
        </w:rPr>
        <w:t>条</w:t>
      </w:r>
      <w:r>
        <w:rPr>
          <w:w w:val="105"/>
        </w:rPr>
        <w:tab/>
      </w:r>
      <w:r>
        <w:rPr>
          <w:spacing w:val="3"/>
        </w:rPr>
        <w:t>违反本法第五十一条</w:t>
      </w:r>
      <w:r>
        <w:rPr>
          <w:spacing w:val="-12"/>
        </w:rPr>
        <w:t>的</w:t>
      </w:r>
    </w:p>
    <w:p>
      <w:pPr>
        <w:pStyle w:val="6"/>
        <w:spacing w:before="124" w:line="295" w:lineRule="auto"/>
        <w:ind w:left="383" w:right="124" w:firstLine="0"/>
        <w:rPr>
          <w:rFonts w:hint="eastAsia" w:ascii="MS UI Gothic" w:eastAsia="MS UI Gothic"/>
        </w:rPr>
      </w:pPr>
      <w:r>
        <w:br w:type="column"/>
      </w:r>
      <w:r>
        <w:t>规定</w:t>
      </w:r>
      <w:r>
        <w:rPr>
          <w:rFonts w:hint="eastAsia" w:ascii="MS UI Gothic" w:eastAsia="MS UI Gothic"/>
          <w:w w:val="80"/>
        </w:rPr>
        <w:t xml:space="preserve">ꎬ </w:t>
      </w:r>
      <w:r>
        <w:t>未经煤矿企业同意</w:t>
      </w:r>
      <w:r>
        <w:rPr>
          <w:rFonts w:hint="eastAsia" w:ascii="MS UI Gothic" w:eastAsia="MS UI Gothic"/>
          <w:w w:val="80"/>
        </w:rPr>
        <w:t xml:space="preserve">ꎬ </w:t>
      </w:r>
      <w:r>
        <w:t>占用煤矿企业的铁路专用线</w:t>
      </w:r>
      <w:r>
        <w:rPr>
          <w:rFonts w:hint="eastAsia" w:ascii="MS UI Gothic" w:eastAsia="MS UI Gothic"/>
        </w:rPr>
        <w:t xml:space="preserve">、 </w:t>
      </w:r>
      <w:r>
        <w:t>专用道路</w:t>
      </w:r>
      <w:r>
        <w:rPr>
          <w:rFonts w:hint="eastAsia" w:ascii="MS UI Gothic" w:eastAsia="MS UI Gothic"/>
        </w:rPr>
        <w:t xml:space="preserve">、 </w:t>
      </w:r>
      <w:r>
        <w:t>专用航道</w:t>
      </w:r>
      <w:r>
        <w:rPr>
          <w:rFonts w:hint="eastAsia" w:ascii="MS UI Gothic" w:eastAsia="MS UI Gothic"/>
        </w:rPr>
        <w:t xml:space="preserve">、 </w:t>
      </w:r>
      <w:r>
        <w:t>专用码头</w:t>
      </w:r>
      <w:r>
        <w:rPr>
          <w:rFonts w:hint="eastAsia" w:ascii="MS UI Gothic" w:eastAsia="MS UI Gothic"/>
        </w:rPr>
        <w:t xml:space="preserve">、 </w:t>
      </w:r>
      <w:r>
        <w:t>电力专用线</w:t>
      </w:r>
      <w:r>
        <w:rPr>
          <w:rFonts w:hint="eastAsia" w:ascii="MS UI Gothic" w:eastAsia="MS UI Gothic"/>
        </w:rPr>
        <w:t xml:space="preserve">、 </w:t>
      </w:r>
      <w:r>
        <w:t>专用供水管路的</w:t>
      </w:r>
      <w:r>
        <w:rPr>
          <w:rFonts w:hint="eastAsia" w:ascii="MS UI Gothic" w:eastAsia="MS UI Gothic"/>
          <w:w w:val="80"/>
        </w:rPr>
        <w:t>ꎬ</w:t>
      </w:r>
      <w:r>
        <w:t>由县级以上地方人民政府责令限期改正</w:t>
      </w:r>
      <w:r>
        <w:rPr>
          <w:rFonts w:hint="eastAsia" w:ascii="MS UI Gothic" w:eastAsia="MS UI Gothic"/>
          <w:w w:val="80"/>
        </w:rPr>
        <w:t>ꎻ</w:t>
      </w:r>
      <w:r>
        <w:t>逾期不改正的</w:t>
      </w:r>
      <w:r>
        <w:rPr>
          <w:rFonts w:hint="eastAsia" w:ascii="MS UI Gothic" w:eastAsia="MS UI Gothic"/>
          <w:w w:val="80"/>
        </w:rPr>
        <w:t xml:space="preserve">ꎬ </w:t>
      </w:r>
      <w:r>
        <w:t>强制清除</w:t>
      </w:r>
      <w:r>
        <w:rPr>
          <w:rFonts w:hint="eastAsia" w:ascii="MS UI Gothic" w:eastAsia="MS UI Gothic"/>
          <w:w w:val="80"/>
        </w:rPr>
        <w:t xml:space="preserve">ꎬ </w:t>
      </w:r>
      <w:r>
        <w:t>可以并处五万元以下的罚款</w:t>
      </w:r>
      <w:r>
        <w:rPr>
          <w:rFonts w:hint="eastAsia" w:ascii="MS UI Gothic" w:eastAsia="MS UI Gothic"/>
          <w:w w:val="80"/>
        </w:rPr>
        <w:t xml:space="preserve">ꎻ </w:t>
      </w:r>
      <w:r>
        <w:t>造成损失的</w:t>
      </w:r>
      <w:r>
        <w:rPr>
          <w:rFonts w:hint="eastAsia" w:ascii="MS UI Gothic" w:eastAsia="MS UI Gothic"/>
          <w:w w:val="80"/>
        </w:rPr>
        <w:t xml:space="preserve">ꎬ </w:t>
      </w:r>
      <w:r>
        <w:t>依法承担赔偿责任</w:t>
      </w:r>
      <w:r>
        <w:rPr>
          <w:rFonts w:hint="eastAsia" w:ascii="MS UI Gothic" w:eastAsia="MS UI Gothic"/>
          <w:w w:val="80"/>
        </w:rPr>
        <w:t>ꎮ</w:t>
      </w:r>
    </w:p>
    <w:p>
      <w:pPr>
        <w:pStyle w:val="6"/>
        <w:spacing w:line="295" w:lineRule="auto"/>
        <w:ind w:left="383" w:right="126"/>
        <w:rPr>
          <w:rFonts w:hint="eastAsia" w:ascii="MS UI Gothic" w:eastAsia="MS UI Gothic"/>
        </w:rPr>
      </w:pPr>
      <w:r>
        <w:t>第六十二条 违反本法第五十二条的规定</w:t>
      </w:r>
      <w:r>
        <w:rPr>
          <w:rFonts w:hint="eastAsia" w:ascii="MS UI Gothic" w:eastAsia="MS UI Gothic"/>
          <w:w w:val="80"/>
        </w:rPr>
        <w:t xml:space="preserve">ꎬ </w:t>
      </w:r>
      <w:r>
        <w:t>未经批准或者未采取安全措施</w:t>
      </w:r>
      <w:r>
        <w:rPr>
          <w:rFonts w:hint="eastAsia" w:ascii="MS UI Gothic" w:eastAsia="MS UI Gothic"/>
          <w:w w:val="80"/>
        </w:rPr>
        <w:t xml:space="preserve">ꎬ </w:t>
      </w:r>
      <w:r>
        <w:t>在煤矿采区范围内进行危及煤矿安全作业的</w:t>
      </w:r>
      <w:r>
        <w:rPr>
          <w:rFonts w:hint="eastAsia" w:ascii="MS UI Gothic" w:eastAsia="MS UI Gothic"/>
          <w:w w:val="80"/>
        </w:rPr>
        <w:t xml:space="preserve">ꎬ </w:t>
      </w:r>
      <w:r>
        <w:t>由煤炭管理部门责令停止作业</w:t>
      </w:r>
      <w:r>
        <w:rPr>
          <w:rFonts w:hint="eastAsia" w:ascii="MS UI Gothic" w:eastAsia="MS UI Gothic"/>
          <w:w w:val="80"/>
        </w:rPr>
        <w:t xml:space="preserve">ꎬ </w:t>
      </w:r>
      <w:r>
        <w:t>可以并处五万元以下的罚款</w:t>
      </w:r>
      <w:r>
        <w:rPr>
          <w:rFonts w:hint="eastAsia" w:ascii="MS UI Gothic" w:eastAsia="MS UI Gothic"/>
          <w:w w:val="80"/>
        </w:rPr>
        <w:t xml:space="preserve">ꎻ </w:t>
      </w:r>
      <w:r>
        <w:t>造成损失的</w:t>
      </w:r>
      <w:r>
        <w:rPr>
          <w:rFonts w:hint="eastAsia" w:ascii="MS UI Gothic" w:eastAsia="MS UI Gothic"/>
          <w:w w:val="80"/>
        </w:rPr>
        <w:t xml:space="preserve">ꎬ </w:t>
      </w:r>
      <w:r>
        <w:t>依法承担赔偿责任</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第六十三条 有下列行为之一的</w:t>
      </w:r>
      <w:r>
        <w:rPr>
          <w:rFonts w:hint="eastAsia" w:ascii="MS UI Gothic" w:eastAsia="MS UI Gothic"/>
          <w:w w:val="80"/>
        </w:rPr>
        <w:t xml:space="preserve">ꎬ </w:t>
      </w:r>
      <w:r>
        <w:rPr>
          <w:w w:val="105"/>
        </w:rPr>
        <w:t>由</w:t>
      </w:r>
      <w:r>
        <w:t>公安机关依照治安管理处罚法的有关规定处罚</w:t>
      </w:r>
      <w:r>
        <w:rPr>
          <w:rFonts w:hint="eastAsia" w:ascii="MS UI Gothic" w:eastAsia="MS UI Gothic"/>
          <w:w w:val="80"/>
        </w:rPr>
        <w:t xml:space="preserve">ꎻ </w:t>
      </w:r>
      <w:r>
        <w:t>构成犯罪的</w:t>
      </w:r>
      <w:r>
        <w:rPr>
          <w:rFonts w:hint="eastAsia" w:ascii="MS UI Gothic" w:eastAsia="MS UI Gothic"/>
          <w:w w:val="80"/>
        </w:rPr>
        <w:t xml:space="preserve">ꎬ </w:t>
      </w:r>
      <w:r>
        <w:t>由司法机关依法追究</w:t>
      </w:r>
      <w:r>
        <w:rPr>
          <w:w w:val="105"/>
        </w:rPr>
        <w:t>刑事责任</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阻碍煤矿建设</w:t>
      </w:r>
      <w:r>
        <w:rPr>
          <w:rFonts w:hint="eastAsia" w:ascii="MS UI Gothic" w:eastAsia="MS UI Gothic"/>
          <w:w w:val="80"/>
        </w:rPr>
        <w:t xml:space="preserve">ꎬ </w:t>
      </w:r>
      <w:r>
        <w:rPr>
          <w:w w:val="105"/>
        </w:rPr>
        <w:t>致使煤矿建设不能正常进行的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故意损坏煤矿矿区的电力</w:t>
      </w:r>
      <w:r>
        <w:rPr>
          <w:rFonts w:hint="eastAsia" w:ascii="MS UI Gothic" w:eastAsia="MS UI Gothic"/>
          <w:w w:val="80"/>
        </w:rPr>
        <w:t xml:space="preserve">、  </w:t>
      </w:r>
      <w:r>
        <w:rPr>
          <w:w w:val="105"/>
        </w:rPr>
        <w:t>通讯</w:t>
      </w:r>
      <w:r>
        <w:rPr>
          <w:rFonts w:hint="eastAsia" w:ascii="MS UI Gothic" w:eastAsia="MS UI Gothic"/>
          <w:w w:val="80"/>
        </w:rPr>
        <w:t xml:space="preserve">、 </w:t>
      </w:r>
      <w:r>
        <w:rPr>
          <w:w w:val="105"/>
        </w:rPr>
        <w:t>水源</w:t>
      </w:r>
      <w:r>
        <w:rPr>
          <w:rFonts w:hint="eastAsia" w:ascii="MS UI Gothic" w:eastAsia="MS UI Gothic"/>
          <w:w w:val="80"/>
        </w:rPr>
        <w:t xml:space="preserve">、 </w:t>
      </w:r>
      <w:r>
        <w:rPr>
          <w:w w:val="105"/>
        </w:rPr>
        <w:t>交通及其他生产设施的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扰乱煤矿矿区秩序</w:t>
      </w:r>
      <w:r>
        <w:rPr>
          <w:rFonts w:hint="eastAsia" w:ascii="MS UI Gothic" w:eastAsia="MS UI Gothic"/>
          <w:w w:val="80"/>
        </w:rPr>
        <w:t xml:space="preserve">ꎬ </w:t>
      </w:r>
      <w:r>
        <w:rPr>
          <w:w w:val="105"/>
        </w:rPr>
        <w:t>致使生产</w:t>
      </w:r>
      <w:r>
        <w:rPr>
          <w:rFonts w:hint="eastAsia" w:ascii="MS UI Gothic" w:eastAsia="MS UI Gothic"/>
          <w:w w:val="80"/>
        </w:rPr>
        <w:t xml:space="preserve">、 </w:t>
      </w:r>
      <w:r>
        <w:rPr>
          <w:w w:val="105"/>
        </w:rPr>
        <w:t>工作不能正常进行的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拒绝</w:t>
      </w:r>
      <w:r>
        <w:rPr>
          <w:rFonts w:hint="eastAsia" w:ascii="MS UI Gothic" w:eastAsia="MS UI Gothic"/>
          <w:w w:val="80"/>
        </w:rPr>
        <w:t xml:space="preserve">、 </w:t>
      </w:r>
      <w:r>
        <w:rPr>
          <w:w w:val="105"/>
        </w:rPr>
        <w:t>阻碍监督检查人员依法执行职务的</w:t>
      </w:r>
      <w:r>
        <w:rPr>
          <w:rFonts w:hint="eastAsia" w:ascii="MS UI Gothic" w:eastAsia="MS UI Gothic"/>
          <w:w w:val="80"/>
        </w:rPr>
        <w:t>ꎮ</w:t>
      </w:r>
    </w:p>
    <w:p>
      <w:pPr>
        <w:pStyle w:val="6"/>
        <w:spacing w:line="295" w:lineRule="auto"/>
        <w:ind w:left="383" w:right="126"/>
        <w:rPr>
          <w:rFonts w:hint="eastAsia" w:ascii="MS UI Gothic" w:eastAsia="MS UI Gothic"/>
        </w:rPr>
      </w:pPr>
      <w:r>
        <w:t>第六十四条 煤矿企业的管理人员违章指挥</w:t>
      </w:r>
      <w:r>
        <w:rPr>
          <w:rFonts w:hint="eastAsia" w:ascii="MS UI Gothic" w:eastAsia="MS UI Gothic"/>
          <w:w w:val="80"/>
        </w:rPr>
        <w:t xml:space="preserve">、 </w:t>
      </w:r>
      <w:r>
        <w:t>强令职工冒险作业</w:t>
      </w:r>
      <w:r>
        <w:rPr>
          <w:rFonts w:hint="eastAsia" w:ascii="MS UI Gothic" w:eastAsia="MS UI Gothic"/>
          <w:w w:val="80"/>
        </w:rPr>
        <w:t xml:space="preserve">ꎬ </w:t>
      </w:r>
      <w:r>
        <w:t>发生重大伤亡事故的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left="383" w:right="126"/>
        <w:rPr>
          <w:rFonts w:hint="eastAsia" w:ascii="MS UI Gothic" w:eastAsia="MS UI Gothic"/>
        </w:rPr>
      </w:pPr>
      <w:r>
        <w:t>第六十五条 煤矿企业的管理人员对煤矿事故隐患不采取措施予以消除</w:t>
      </w:r>
      <w:r>
        <w:rPr>
          <w:rFonts w:hint="eastAsia" w:ascii="MS UI Gothic" w:eastAsia="MS UI Gothic"/>
          <w:w w:val="80"/>
        </w:rPr>
        <w:t xml:space="preserve">ꎬ </w:t>
      </w:r>
      <w:r>
        <w:t>发生重大伤亡事故的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left="383" w:right="126"/>
        <w:rPr>
          <w:rFonts w:hint="eastAsia" w:ascii="MS UI Gothic" w:eastAsia="MS UI Gothic"/>
        </w:rPr>
      </w:pPr>
      <w:r>
        <w:t>第六十六条 煤炭管理部门和有关部门的工作人员玩忽职守</w:t>
      </w:r>
      <w:r>
        <w:rPr>
          <w:rFonts w:hint="eastAsia" w:ascii="MS UI Gothic" w:eastAsia="MS UI Gothic"/>
          <w:w w:val="80"/>
        </w:rPr>
        <w:t xml:space="preserve">、 </w:t>
      </w:r>
      <w:r>
        <w:t>徇私舞弊</w:t>
      </w:r>
      <w:r>
        <w:rPr>
          <w:rFonts w:hint="eastAsia" w:ascii="MS UI Gothic" w:eastAsia="MS UI Gothic"/>
          <w:w w:val="80"/>
        </w:rPr>
        <w:t xml:space="preserve">、 </w:t>
      </w:r>
      <w:r>
        <w:t>滥用职权的</w:t>
      </w:r>
      <w:r>
        <w:rPr>
          <w:rFonts w:hint="eastAsia" w:ascii="MS UI Gothic" w:eastAsia="MS UI Gothic"/>
          <w:w w:val="80"/>
        </w:rPr>
        <w:t xml:space="preserve">ꎬ </w:t>
      </w:r>
      <w:r>
        <w:t>依法给予行政处分</w:t>
      </w:r>
      <w:r>
        <w:rPr>
          <w:rFonts w:hint="eastAsia" w:ascii="MS UI Gothic" w:eastAsia="MS UI Gothic"/>
          <w:w w:val="80"/>
        </w:rPr>
        <w:t xml:space="preserve">ꎻ </w:t>
      </w:r>
      <w:r>
        <w:t>构成犯罪的</w:t>
      </w:r>
      <w:r>
        <w:rPr>
          <w:rFonts w:hint="eastAsia" w:ascii="MS UI Gothic" w:eastAsia="MS UI Gothic"/>
          <w:w w:val="80"/>
        </w:rPr>
        <w:t xml:space="preserve">ꎬ </w:t>
      </w:r>
      <w:r>
        <w:t>由司法机关依法追究刑事责任</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２１８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83" o:spid="_x0000_s1683" o:spt="203" style="height:2.15pt;width:398.25pt;" coordsize="7965,43">
            <o:lock v:ext="edit"/>
            <v:line id="_x0000_s1684" o:spid="_x0000_s1684" o:spt="20" style="position:absolute;left:0;top:39;height:0;width:7965;" stroked="t" coordsize="21600,21600">
              <v:path arrowok="t"/>
              <v:fill focussize="0,0"/>
              <v:stroke weight="0.388031496062992pt" color="#231F20"/>
              <v:imagedata o:title=""/>
              <o:lock v:ext="edit"/>
            </v:line>
            <v:line id="_x0000_s1685" o:spid="_x0000_s168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2011"/>
          <w:tab w:val="left" w:pos="2639"/>
        </w:tabs>
        <w:ind w:left="1172" w:firstLine="0"/>
        <w:jc w:val="left"/>
      </w:pPr>
      <w:r>
        <w:rPr>
          <w:spacing w:val="3"/>
          <w:w w:val="105"/>
        </w:rPr>
        <w:t>第八</w:t>
      </w:r>
      <w:r>
        <w:rPr>
          <w:w w:val="105"/>
        </w:rPr>
        <w:t>章</w:t>
      </w:r>
      <w:r>
        <w:rPr>
          <w:w w:val="105"/>
        </w:rPr>
        <w:tab/>
      </w:r>
      <w:r>
        <w:rPr>
          <w:w w:val="105"/>
        </w:rPr>
        <w:t>附</w:t>
      </w:r>
      <w:r>
        <w:rPr>
          <w:w w:val="105"/>
        </w:rPr>
        <w:tab/>
      </w:r>
      <w:r>
        <w:rPr>
          <w:w w:val="105"/>
        </w:rPr>
        <w:t>则</w:t>
      </w:r>
    </w:p>
    <w:p>
      <w:pPr>
        <w:pStyle w:val="6"/>
        <w:tabs>
          <w:tab w:val="left" w:pos="1813"/>
        </w:tabs>
        <w:spacing w:before="215"/>
        <w:ind w:left="543" w:firstLine="0"/>
        <w:jc w:val="left"/>
        <w:rPr>
          <w:rFonts w:hint="eastAsia" w:ascii="MS UI Gothic" w:eastAsia="MS UI Gothic"/>
        </w:rPr>
      </w:pPr>
      <w:r>
        <w:rPr>
          <w:spacing w:val="3"/>
        </w:rPr>
        <w:t>第六十七</w:t>
      </w:r>
      <w:r>
        <w:t>条</w:t>
      </w:r>
      <w:r>
        <w:tab/>
      </w:r>
      <w:r>
        <w:rPr>
          <w:spacing w:val="11"/>
        </w:rPr>
        <w:t>本法</w:t>
      </w:r>
      <w:r>
        <w:t>自</w:t>
      </w:r>
      <w:r>
        <w:rPr>
          <w:spacing w:val="-80"/>
        </w:rPr>
        <w:t xml:space="preserve"> </w:t>
      </w:r>
      <w:r>
        <w:rPr>
          <w:rFonts w:hint="eastAsia" w:ascii="MS UI Gothic" w:eastAsia="MS UI Gothic"/>
        </w:rPr>
        <w:t>１９９６</w:t>
      </w:r>
      <w:r>
        <w:rPr>
          <w:rFonts w:hint="eastAsia" w:ascii="MS UI Gothic" w:eastAsia="MS UI Gothic"/>
          <w:spacing w:val="-37"/>
        </w:rPr>
        <w:t xml:space="preserve"> </w:t>
      </w:r>
      <w:r>
        <w:t>年</w:t>
      </w:r>
      <w:r>
        <w:rPr>
          <w:spacing w:val="-79"/>
        </w:rPr>
        <w:t xml:space="preserve"> </w:t>
      </w:r>
      <w:r>
        <w:rPr>
          <w:rFonts w:hint="eastAsia" w:ascii="MS UI Gothic" w:eastAsia="MS UI Gothic"/>
        </w:rPr>
        <w:t>１２</w:t>
      </w:r>
      <w:r>
        <w:rPr>
          <w:rFonts w:hint="eastAsia" w:ascii="MS UI Gothic" w:eastAsia="MS UI Gothic"/>
          <w:spacing w:val="-37"/>
        </w:rPr>
        <w:t xml:space="preserve"> </w:t>
      </w:r>
      <w:r>
        <w:t>月</w:t>
      </w:r>
      <w:r>
        <w:rPr>
          <w:spacing w:val="-80"/>
        </w:rPr>
        <w:t xml:space="preserve"> </w:t>
      </w:r>
      <w:r>
        <w:rPr>
          <w:rFonts w:hint="eastAsia" w:ascii="MS UI Gothic" w:eastAsia="MS UI Gothic"/>
          <w:spacing w:val="-17"/>
        </w:rPr>
        <w:t>１</w:t>
      </w:r>
    </w:p>
    <w:p>
      <w:pPr>
        <w:pStyle w:val="6"/>
        <w:spacing w:before="123"/>
        <w:ind w:left="385" w:firstLine="0"/>
        <w:jc w:val="left"/>
        <w:rPr>
          <w:rFonts w:hint="eastAsia" w:ascii="MS UI Gothic" w:eastAsia="MS UI Gothic"/>
        </w:rPr>
      </w:pPr>
      <w:r>
        <w:br w:type="column"/>
      </w:r>
      <w:r>
        <w:t>日起施行</w:t>
      </w:r>
      <w:r>
        <w:rPr>
          <w:rFonts w:hint="eastAsia" w:ascii="MS UI Gothic" w:eastAsia="MS UI Gothic"/>
          <w:w w:val="80"/>
        </w:rPr>
        <w:t>ꎮ</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3892" w:space="40"/>
            <w:col w:w="4608"/>
          </w:cols>
        </w:sectPr>
      </w:pPr>
    </w:p>
    <w:p>
      <w:pPr>
        <w:pStyle w:val="6"/>
        <w:spacing w:before="10"/>
        <w:ind w:left="0" w:firstLine="0"/>
        <w:jc w:val="left"/>
        <w:rPr>
          <w:rFonts w:ascii="MS UI Gothic"/>
          <w:sz w:val="12"/>
        </w:rPr>
      </w:pPr>
    </w:p>
    <w:p>
      <w:pPr>
        <w:pStyle w:val="4"/>
        <w:spacing w:before="196"/>
        <w:ind w:right="654"/>
        <w:rPr>
          <w:rFonts w:hint="eastAsia" w:ascii="Microsoft Yi Baiti" w:eastAsia="Microsoft Yi Baiti"/>
        </w:rPr>
      </w:pPr>
      <w:r>
        <w:t xml:space="preserve">煤矿安全监察条例 </w:t>
      </w:r>
      <w:r>
        <w:rPr>
          <w:rFonts w:hint="eastAsia" w:ascii="Microsoft Yi Baiti" w:eastAsia="Microsoft Yi Baiti"/>
        </w:rPr>
        <w:t>(</w:t>
      </w:r>
      <w:r>
        <w:rPr>
          <w:rFonts w:hint="eastAsia" w:ascii="MS UI Gothic" w:eastAsia="MS UI Gothic"/>
        </w:rPr>
        <w:t xml:space="preserve">２０１３ </w:t>
      </w:r>
      <w:r>
        <w:t>年修正</w:t>
      </w:r>
      <w:r>
        <w:rPr>
          <w:rFonts w:hint="eastAsia" w:ascii="Microsoft Yi Baiti" w:eastAsia="Microsoft Yi Baiti"/>
        </w:rPr>
        <w:t>)</w:t>
      </w:r>
    </w:p>
    <w:p>
      <w:pPr>
        <w:pStyle w:val="6"/>
        <w:spacing w:before="366"/>
        <w:ind w:left="543" w:firstLine="0"/>
        <w:jc w:val="left"/>
      </w:pPr>
      <w:r>
        <w:pict>
          <v:shape id="_x0000_s1686" o:spid="_x0000_s1686" o:spt="202" type="#_x0000_t202" style="position:absolute;left:0pt;margin-left:54.9pt;margin-top:30.3pt;height:24.35pt;width:20.6pt;mso-position-horizontal-relative:page;z-index:25192345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２０１３</w:t>
                  </w:r>
                </w:p>
              </w:txbxContent>
            </v:textbox>
          </v:shape>
        </w:pict>
      </w:r>
      <w:r>
        <w:rPr>
          <w:rFonts w:hint="eastAsia" w:ascii="Microsoft Yi Baiti" w:eastAsia="Microsoft Yi Baiti"/>
          <w:spacing w:val="-38"/>
        </w:rPr>
        <w:t xml:space="preserve">( </w:t>
      </w:r>
      <w:r>
        <w:rPr>
          <w:spacing w:val="-9"/>
        </w:rPr>
        <w:t xml:space="preserve">国务院令第 </w:t>
      </w:r>
      <w:r>
        <w:rPr>
          <w:rFonts w:hint="eastAsia" w:ascii="MS UI Gothic" w:eastAsia="MS UI Gothic"/>
          <w:spacing w:val="-5"/>
        </w:rPr>
        <w:t xml:space="preserve">２９６ </w:t>
      </w:r>
      <w:r>
        <w:rPr>
          <w:spacing w:val="-28"/>
        </w:rPr>
        <w:t xml:space="preserve">号 自 </w:t>
      </w:r>
      <w:r>
        <w:rPr>
          <w:rFonts w:hint="eastAsia" w:ascii="MS UI Gothic" w:eastAsia="MS UI Gothic"/>
          <w:spacing w:val="-4"/>
        </w:rPr>
        <w:t xml:space="preserve">２０００ </w:t>
      </w:r>
      <w:r>
        <w:rPr>
          <w:spacing w:val="-32"/>
        </w:rPr>
        <w:t xml:space="preserve">年 </w:t>
      </w:r>
      <w:r>
        <w:rPr>
          <w:rFonts w:hint="eastAsia" w:ascii="MS UI Gothic" w:eastAsia="MS UI Gothic"/>
          <w:spacing w:val="-7"/>
        </w:rPr>
        <w:t xml:space="preserve">１２ </w:t>
      </w:r>
      <w:r>
        <w:rPr>
          <w:spacing w:val="-32"/>
        </w:rPr>
        <w:t xml:space="preserve">月 </w:t>
      </w:r>
      <w:r>
        <w:rPr>
          <w:rFonts w:hint="eastAsia" w:ascii="MS UI Gothic" w:eastAsia="MS UI Gothic"/>
          <w:spacing w:val="-10"/>
        </w:rPr>
        <w:t xml:space="preserve">１ </w:t>
      </w:r>
      <w:r>
        <w:rPr>
          <w:spacing w:val="3"/>
        </w:rPr>
        <w:t>日起施行</w:t>
      </w:r>
      <w:r>
        <w:rPr>
          <w:rFonts w:hint="eastAsia" w:ascii="Microsoft Yi Baiti" w:eastAsia="Microsoft Yi Baiti"/>
          <w:spacing w:val="-6"/>
        </w:rPr>
        <w:t xml:space="preserve">ꎬ </w:t>
      </w:r>
      <w:r>
        <w:rPr>
          <w:spacing w:val="-3"/>
        </w:rPr>
        <w:t xml:space="preserve">根据国务院令第 </w:t>
      </w:r>
      <w:r>
        <w:rPr>
          <w:rFonts w:hint="eastAsia" w:ascii="MS UI Gothic" w:eastAsia="MS UI Gothic"/>
          <w:spacing w:val="-4"/>
        </w:rPr>
        <w:t xml:space="preserve">６３８ </w:t>
      </w:r>
      <w:r>
        <w:rPr>
          <w:spacing w:val="5"/>
        </w:rPr>
        <w:t>号修正</w:t>
      </w:r>
      <w:r>
        <w:rPr>
          <w:rFonts w:hint="eastAsia" w:ascii="Microsoft Yi Baiti" w:eastAsia="Microsoft Yi Baiti"/>
          <w:spacing w:val="-4"/>
        </w:rPr>
        <w:t xml:space="preserve">ꎬ </w:t>
      </w:r>
      <w:r>
        <w:t>自</w:t>
      </w:r>
    </w:p>
    <w:p>
      <w:pPr>
        <w:pStyle w:val="6"/>
        <w:spacing w:before="58"/>
        <w:ind w:left="588" w:firstLine="0"/>
        <w:jc w:val="left"/>
        <w:rPr>
          <w:rFonts w:hint="eastAsia" w:ascii="Microsoft Yi Baiti" w:eastAsia="Microsoft Yi Baiti"/>
        </w:rPr>
      </w:pPr>
      <w:r>
        <w:t xml:space="preserve">年 </w:t>
      </w:r>
      <w:r>
        <w:rPr>
          <w:rFonts w:hint="eastAsia" w:ascii="MS UI Gothic" w:eastAsia="MS UI Gothic"/>
        </w:rPr>
        <w:t xml:space="preserve">７ </w:t>
      </w:r>
      <w:r>
        <w:t xml:space="preserve">月 </w:t>
      </w:r>
      <w:r>
        <w:rPr>
          <w:rFonts w:hint="eastAsia" w:ascii="MS UI Gothic" w:eastAsia="MS UI Gothic"/>
        </w:rPr>
        <w:t xml:space="preserve">１８ </w:t>
      </w:r>
      <w:r>
        <w:t>日起施行</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2" w:lineRule="auto"/>
        <w:ind w:right="38"/>
        <w:rPr>
          <w:rFonts w:hint="eastAsia" w:ascii="MS UI Gothic" w:eastAsia="MS UI Gothic"/>
        </w:rPr>
      </w:pPr>
      <w:r>
        <w:t>第一条 为了保障煤矿安全</w:t>
      </w:r>
      <w:r>
        <w:rPr>
          <w:rFonts w:hint="eastAsia" w:ascii="MS UI Gothic" w:eastAsia="MS UI Gothic"/>
          <w:w w:val="80"/>
        </w:rPr>
        <w:t xml:space="preserve">ꎬ </w:t>
      </w:r>
      <w:r>
        <w:t>规范煤矿安全监察工作</w:t>
      </w:r>
      <w:r>
        <w:rPr>
          <w:rFonts w:hint="eastAsia" w:ascii="MS UI Gothic" w:eastAsia="MS UI Gothic"/>
          <w:w w:val="80"/>
        </w:rPr>
        <w:t xml:space="preserve">ꎬ </w:t>
      </w:r>
      <w:r>
        <w:t>保护煤矿职工人身安全和身体健康</w:t>
      </w:r>
      <w:r>
        <w:rPr>
          <w:rFonts w:hint="eastAsia" w:ascii="MS UI Gothic" w:eastAsia="MS UI Gothic"/>
          <w:w w:val="80"/>
        </w:rPr>
        <w:t xml:space="preserve">ꎬ </w:t>
      </w:r>
      <w:r>
        <w:t>根据煤炭法</w:t>
      </w:r>
      <w:r>
        <w:rPr>
          <w:rFonts w:hint="eastAsia" w:ascii="MS UI Gothic" w:eastAsia="MS UI Gothic"/>
          <w:w w:val="80"/>
        </w:rPr>
        <w:t xml:space="preserve">、 </w:t>
      </w:r>
      <w:r>
        <w:t>矿山安全法</w:t>
      </w:r>
      <w:r>
        <w:rPr>
          <w:rFonts w:hint="eastAsia" w:ascii="MS UI Gothic" w:eastAsia="MS UI Gothic"/>
          <w:w w:val="80"/>
        </w:rPr>
        <w:t>、</w:t>
      </w:r>
      <w:r>
        <w:t>第九届全国人民代表大会第一次会议通过的国务院机构改革方案和国务院关于煤矿安全监察体制的决定</w:t>
      </w:r>
      <w:r>
        <w:rPr>
          <w:rFonts w:hint="eastAsia" w:ascii="MS UI Gothic" w:eastAsia="MS UI Gothic"/>
          <w:w w:val="80"/>
        </w:rPr>
        <w:t xml:space="preserve">ꎬ </w:t>
      </w:r>
      <w:r>
        <w:t>制定本条例</w:t>
      </w:r>
      <w:r>
        <w:rPr>
          <w:rFonts w:hint="eastAsia" w:ascii="MS UI Gothic" w:eastAsia="MS UI Gothic"/>
          <w:w w:val="80"/>
        </w:rPr>
        <w:t>ꎮ</w:t>
      </w:r>
    </w:p>
    <w:p>
      <w:pPr>
        <w:pStyle w:val="6"/>
        <w:spacing w:line="292" w:lineRule="auto"/>
        <w:ind w:right="39"/>
        <w:rPr>
          <w:rFonts w:hint="eastAsia" w:ascii="MS UI Gothic" w:eastAsia="MS UI Gothic"/>
        </w:rPr>
      </w:pPr>
      <w:r>
        <w:rPr>
          <w:w w:val="105"/>
        </w:rPr>
        <w:t>第二条 国家对煤矿安全实行监察制</w:t>
      </w:r>
      <w:r>
        <w:t>度</w:t>
      </w:r>
      <w:r>
        <w:rPr>
          <w:rFonts w:hint="eastAsia" w:ascii="MS UI Gothic" w:eastAsia="MS UI Gothic"/>
          <w:w w:val="80"/>
        </w:rPr>
        <w:t xml:space="preserve">ꎮ </w:t>
      </w:r>
      <w:r>
        <w:t>国务院决定设立的煤矿安全监察机构按照国务院规定的职责</w:t>
      </w:r>
      <w:r>
        <w:rPr>
          <w:rFonts w:hint="eastAsia" w:ascii="MS UI Gothic" w:eastAsia="MS UI Gothic"/>
          <w:w w:val="80"/>
        </w:rPr>
        <w:t xml:space="preserve">ꎬ </w:t>
      </w:r>
      <w:r>
        <w:t>依照本条例的规</w:t>
      </w:r>
      <w:r>
        <w:rPr>
          <w:w w:val="105"/>
        </w:rPr>
        <w:t>定对煤矿实施安全监察</w:t>
      </w:r>
      <w:r>
        <w:rPr>
          <w:rFonts w:hint="eastAsia" w:ascii="MS UI Gothic" w:eastAsia="MS UI Gothic"/>
          <w:w w:val="80"/>
        </w:rPr>
        <w:t>ꎮ</w:t>
      </w:r>
    </w:p>
    <w:p>
      <w:pPr>
        <w:pStyle w:val="6"/>
        <w:spacing w:line="292" w:lineRule="auto"/>
        <w:ind w:right="39"/>
        <w:rPr>
          <w:rFonts w:hint="eastAsia" w:ascii="MS UI Gothic" w:eastAsia="MS UI Gothic"/>
        </w:rPr>
      </w:pPr>
      <w:r>
        <w:t>第三条 煤矿安全监察机构依法行使职权</w:t>
      </w:r>
      <w:r>
        <w:rPr>
          <w:rFonts w:hint="eastAsia" w:ascii="MS UI Gothic" w:eastAsia="MS UI Gothic"/>
          <w:w w:val="80"/>
        </w:rPr>
        <w:t xml:space="preserve">ꎬ </w:t>
      </w:r>
      <w:r>
        <w:t>不受任何组织和个人的非法干涉</w:t>
      </w:r>
      <w:r>
        <w:rPr>
          <w:rFonts w:hint="eastAsia" w:ascii="MS UI Gothic" w:eastAsia="MS UI Gothic"/>
          <w:w w:val="80"/>
        </w:rPr>
        <w:t>ꎮ</w:t>
      </w:r>
    </w:p>
    <w:p>
      <w:pPr>
        <w:pStyle w:val="6"/>
        <w:spacing w:line="292" w:lineRule="auto"/>
        <w:ind w:right="39"/>
        <w:rPr>
          <w:rFonts w:hint="eastAsia" w:ascii="MS UI Gothic" w:eastAsia="MS UI Gothic"/>
        </w:rPr>
      </w:pPr>
      <w:r>
        <w:t>煤矿及其有关人员必须接受并配合煤矿安全监察机构依法实施的安全监察</w:t>
      </w:r>
      <w:r>
        <w:rPr>
          <w:rFonts w:hint="eastAsia" w:ascii="MS UI Gothic" w:eastAsia="MS UI Gothic"/>
          <w:w w:val="80"/>
        </w:rPr>
        <w:t xml:space="preserve">ꎬ </w:t>
      </w:r>
      <w:r>
        <w:t>不得拒绝</w:t>
      </w:r>
      <w:r>
        <w:rPr>
          <w:rFonts w:hint="eastAsia" w:ascii="MS UI Gothic" w:eastAsia="MS UI Gothic"/>
          <w:w w:val="80"/>
        </w:rPr>
        <w:t xml:space="preserve">、 </w:t>
      </w:r>
      <w:r>
        <w:t>阻挠</w:t>
      </w:r>
      <w:r>
        <w:rPr>
          <w:rFonts w:hint="eastAsia" w:ascii="MS UI Gothic" w:eastAsia="MS UI Gothic"/>
          <w:w w:val="80"/>
        </w:rPr>
        <w:t>ꎮ</w:t>
      </w:r>
    </w:p>
    <w:p>
      <w:pPr>
        <w:pStyle w:val="6"/>
        <w:spacing w:line="292" w:lineRule="auto"/>
        <w:ind w:right="39"/>
        <w:rPr>
          <w:rFonts w:hint="eastAsia" w:ascii="MS UI Gothic" w:eastAsia="MS UI Gothic"/>
        </w:rPr>
      </w:pPr>
      <w:r>
        <w:rPr>
          <w:w w:val="105"/>
        </w:rPr>
        <w:t>第四条 地方各级人民政府应当加强</w:t>
      </w:r>
      <w:r>
        <w:t>煤矿安全管理工作</w:t>
      </w:r>
      <w:r>
        <w:rPr>
          <w:rFonts w:hint="eastAsia" w:ascii="MS UI Gothic" w:eastAsia="MS UI Gothic"/>
          <w:w w:val="80"/>
        </w:rPr>
        <w:t xml:space="preserve">ꎬ </w:t>
      </w:r>
      <w:r>
        <w:t>支持和协助煤矿安全</w:t>
      </w:r>
      <w:r>
        <w:rPr>
          <w:w w:val="105"/>
        </w:rPr>
        <w:t>监察机构依法对煤矿实施安全监察</w:t>
      </w:r>
      <w:r>
        <w:rPr>
          <w:rFonts w:hint="eastAsia" w:ascii="MS UI Gothic" w:eastAsia="MS UI Gothic"/>
          <w:w w:val="80"/>
        </w:rPr>
        <w:t>ꎮ</w:t>
      </w:r>
    </w:p>
    <w:p>
      <w:pPr>
        <w:pStyle w:val="6"/>
        <w:spacing w:line="292" w:lineRule="auto"/>
        <w:ind w:right="39"/>
        <w:rPr>
          <w:rFonts w:hint="eastAsia" w:ascii="MS UI Gothic" w:eastAsia="MS UI Gothic"/>
        </w:rPr>
      </w:pPr>
      <w:r>
        <w:t>煤矿安全监察机构应当及时向有关地方人民政府通报煤矿安全监察的有关情况</w:t>
      </w:r>
      <w:r>
        <w:rPr>
          <w:rFonts w:hint="eastAsia" w:ascii="MS UI Gothic" w:eastAsia="MS UI Gothic"/>
          <w:w w:val="80"/>
        </w:rPr>
        <w:t xml:space="preserve">ꎬ </w:t>
      </w:r>
      <w:r>
        <w:t>并可以提出加强和改善煤矿安全管理</w:t>
      </w:r>
      <w:r>
        <w:rPr>
          <w:w w:val="105"/>
        </w:rPr>
        <w:t>的建议</w:t>
      </w:r>
      <w:r>
        <w:rPr>
          <w:rFonts w:hint="eastAsia" w:ascii="MS UI Gothic" w:eastAsia="MS UI Gothic"/>
          <w:w w:val="80"/>
        </w:rPr>
        <w:t>ꎮ</w:t>
      </w:r>
    </w:p>
    <w:p>
      <w:pPr>
        <w:pStyle w:val="6"/>
        <w:spacing w:line="292" w:lineRule="auto"/>
        <w:ind w:right="39"/>
        <w:rPr>
          <w:rFonts w:hint="eastAsia" w:ascii="MS UI Gothic" w:eastAsia="MS UI Gothic"/>
        </w:rPr>
      </w:pPr>
      <w:r>
        <w:t>第五条 煤矿安全监察应当以预防为主</w:t>
      </w:r>
      <w:r>
        <w:rPr>
          <w:rFonts w:hint="eastAsia" w:ascii="MS UI Gothic" w:eastAsia="MS UI Gothic"/>
          <w:w w:val="80"/>
        </w:rPr>
        <w:t xml:space="preserve">ꎬ </w:t>
      </w:r>
      <w:r>
        <w:t>及时发现和消除事故隐患</w:t>
      </w:r>
      <w:r>
        <w:rPr>
          <w:rFonts w:hint="eastAsia" w:ascii="MS UI Gothic" w:eastAsia="MS UI Gothic"/>
          <w:w w:val="80"/>
        </w:rPr>
        <w:t xml:space="preserve">ꎬ </w:t>
      </w:r>
      <w:r>
        <w:t>有效纠正影响煤矿安全的违法行为</w:t>
      </w:r>
      <w:r>
        <w:rPr>
          <w:rFonts w:hint="eastAsia" w:ascii="MS UI Gothic" w:eastAsia="MS UI Gothic"/>
          <w:w w:val="80"/>
        </w:rPr>
        <w:t xml:space="preserve">ꎬ </w:t>
      </w:r>
      <w:r>
        <w:t>实行安全监察与促进安全管理相结合</w:t>
      </w:r>
      <w:r>
        <w:rPr>
          <w:rFonts w:hint="eastAsia" w:ascii="MS UI Gothic" w:eastAsia="MS UI Gothic"/>
          <w:w w:val="80"/>
        </w:rPr>
        <w:t xml:space="preserve">、 </w:t>
      </w:r>
      <w:r>
        <w:t>教育与惩处相结合</w:t>
      </w:r>
      <w:r>
        <w:rPr>
          <w:rFonts w:hint="eastAsia" w:ascii="MS UI Gothic" w:eastAsia="MS UI Gothic"/>
          <w:w w:val="80"/>
        </w:rPr>
        <w:t>ꎮ</w:t>
      </w:r>
    </w:p>
    <w:p>
      <w:pPr>
        <w:pStyle w:val="6"/>
        <w:tabs>
          <w:tab w:val="left" w:pos="1382"/>
        </w:tabs>
        <w:spacing w:line="253" w:lineRule="exact"/>
        <w:ind w:left="543" w:firstLine="0"/>
        <w:jc w:val="left"/>
      </w:pPr>
      <w:r>
        <w:rPr>
          <w:spacing w:val="3"/>
          <w:w w:val="105"/>
        </w:rPr>
        <w:t>第六</w:t>
      </w:r>
      <w:r>
        <w:rPr>
          <w:w w:val="105"/>
        </w:rPr>
        <w:t>条</w:t>
      </w:r>
      <w:r>
        <w:rPr>
          <w:w w:val="105"/>
        </w:rPr>
        <w:tab/>
      </w:r>
      <w:r>
        <w:rPr>
          <w:spacing w:val="3"/>
        </w:rPr>
        <w:t>煤矿安全监察应当依靠煤</w:t>
      </w:r>
      <w:r>
        <w:t>矿</w:t>
      </w:r>
    </w:p>
    <w:p>
      <w:pPr>
        <w:pStyle w:val="6"/>
        <w:spacing w:before="174"/>
        <w:ind w:firstLine="0"/>
        <w:jc w:val="left"/>
        <w:rPr>
          <w:rFonts w:hint="eastAsia" w:ascii="MS UI Gothic" w:eastAsia="MS UI Gothic"/>
        </w:rPr>
      </w:pPr>
      <w:r>
        <w:br w:type="column"/>
      </w:r>
      <w:r>
        <w:t>职工和工会组织</w:t>
      </w:r>
      <w:r>
        <w:rPr>
          <w:rFonts w:hint="eastAsia" w:ascii="MS UI Gothic" w:eastAsia="MS UI Gothic"/>
          <w:w w:val="80"/>
        </w:rPr>
        <w:t>ꎮ</w:t>
      </w:r>
    </w:p>
    <w:p>
      <w:pPr>
        <w:pStyle w:val="6"/>
        <w:spacing w:before="57" w:line="292" w:lineRule="auto"/>
        <w:ind w:right="442"/>
        <w:rPr>
          <w:rFonts w:hint="eastAsia" w:ascii="MS UI Gothic" w:eastAsia="MS UI Gothic"/>
        </w:rPr>
      </w:pPr>
      <w:r>
        <w:t>煤矿职工对事故隐患或者影响煤矿安全的违法行为有权向煤矿安全监察机构报告或者举报</w:t>
      </w:r>
      <w:r>
        <w:rPr>
          <w:rFonts w:hint="eastAsia" w:ascii="MS UI Gothic" w:eastAsia="MS UI Gothic"/>
          <w:w w:val="80"/>
        </w:rPr>
        <w:t xml:space="preserve">ꎮ </w:t>
      </w:r>
      <w:r>
        <w:t>煤矿安全监察机构对报告或</w:t>
      </w:r>
      <w:r>
        <w:rPr>
          <w:w w:val="105"/>
        </w:rPr>
        <w:t>者举报有功人员给予奖励</w:t>
      </w:r>
      <w:r>
        <w:rPr>
          <w:rFonts w:hint="eastAsia" w:ascii="MS UI Gothic" w:eastAsia="MS UI Gothic"/>
          <w:w w:val="80"/>
        </w:rPr>
        <w:t>ꎮ</w:t>
      </w:r>
    </w:p>
    <w:p>
      <w:pPr>
        <w:pStyle w:val="6"/>
        <w:spacing w:line="292" w:lineRule="auto"/>
        <w:ind w:right="440"/>
        <w:rPr>
          <w:rFonts w:hint="eastAsia" w:ascii="MS UI Gothic" w:eastAsia="MS UI Gothic"/>
        </w:rPr>
      </w:pPr>
      <w:r>
        <w:rPr>
          <w:w w:val="105"/>
        </w:rPr>
        <w:t>第七条 煤矿安全监察机构及其煤矿</w:t>
      </w:r>
      <w:r>
        <w:t>安全监察人员应当依法履行安全监察职责</w:t>
      </w:r>
      <w:r>
        <w:rPr>
          <w:rFonts w:hint="eastAsia" w:ascii="MS UI Gothic" w:eastAsia="MS UI Gothic"/>
          <w:w w:val="80"/>
        </w:rPr>
        <w:t xml:space="preserve">ꎮ </w:t>
      </w:r>
      <w:r>
        <w:t>任何单位和个人对煤矿安全监察机构及其煤矿安全监察人员的违法违纪行为</w:t>
      </w:r>
      <w:r>
        <w:rPr>
          <w:rFonts w:hint="eastAsia" w:ascii="MS UI Gothic" w:eastAsia="MS UI Gothic"/>
          <w:w w:val="80"/>
        </w:rPr>
        <w:t>ꎬ</w:t>
      </w:r>
      <w:r>
        <w:t>有权向上级煤矿安全监察机构或者有关机</w:t>
      </w:r>
      <w:r>
        <w:rPr>
          <w:w w:val="105"/>
        </w:rPr>
        <w:t>关检举和控告</w:t>
      </w:r>
      <w:r>
        <w:rPr>
          <w:rFonts w:hint="eastAsia" w:ascii="MS UI Gothic" w:eastAsia="MS UI Gothic"/>
          <w:w w:val="80"/>
        </w:rPr>
        <w:t>ꎮ</w:t>
      </w:r>
    </w:p>
    <w:p>
      <w:pPr>
        <w:pStyle w:val="6"/>
        <w:tabs>
          <w:tab w:val="left" w:pos="1172"/>
        </w:tabs>
        <w:spacing w:before="149"/>
        <w:ind w:left="334" w:firstLine="0"/>
        <w:jc w:val="left"/>
      </w:pPr>
      <w:r>
        <w:rPr>
          <w:spacing w:val="3"/>
          <w:w w:val="105"/>
        </w:rPr>
        <w:t>第二</w:t>
      </w:r>
      <w:r>
        <w:rPr>
          <w:w w:val="105"/>
        </w:rPr>
        <w:t>章</w:t>
      </w:r>
      <w:r>
        <w:rPr>
          <w:w w:val="105"/>
        </w:rPr>
        <w:tab/>
      </w:r>
      <w:r>
        <w:rPr>
          <w:spacing w:val="3"/>
          <w:w w:val="105"/>
        </w:rPr>
        <w:t>煤矿安全监察机构及其职</w:t>
      </w:r>
      <w:r>
        <w:rPr>
          <w:w w:val="105"/>
        </w:rPr>
        <w:t>责</w:t>
      </w:r>
    </w:p>
    <w:p>
      <w:pPr>
        <w:pStyle w:val="6"/>
        <w:spacing w:before="216" w:line="290" w:lineRule="auto"/>
        <w:ind w:right="440"/>
        <w:rPr>
          <w:rFonts w:hint="eastAsia" w:ascii="MS UI Gothic" w:eastAsia="MS UI Gothic"/>
        </w:rPr>
      </w:pPr>
      <w:r>
        <w:rPr>
          <w:w w:val="105"/>
        </w:rPr>
        <w:t>第八条 本条例所称煤矿安全监察机</w:t>
      </w:r>
      <w:r>
        <w:t>构</w:t>
      </w:r>
      <w:r>
        <w:rPr>
          <w:rFonts w:hint="eastAsia" w:ascii="MS UI Gothic" w:eastAsia="MS UI Gothic"/>
          <w:w w:val="80"/>
        </w:rPr>
        <w:t xml:space="preserve">ꎬ </w:t>
      </w:r>
      <w:r>
        <w:t>是指国家煤矿安全监察机构和在省</w:t>
      </w:r>
      <w:r>
        <w:rPr>
          <w:rFonts w:hint="eastAsia" w:ascii="MS UI Gothic" w:eastAsia="MS UI Gothic"/>
          <w:w w:val="80"/>
        </w:rPr>
        <w:t>、</w:t>
      </w:r>
      <w:r>
        <w:rPr>
          <w:w w:val="105"/>
        </w:rPr>
        <w:t>自治区</w:t>
      </w:r>
      <w:r>
        <w:rPr>
          <w:rFonts w:hint="eastAsia" w:ascii="MS UI Gothic" w:eastAsia="MS UI Gothic"/>
          <w:w w:val="80"/>
        </w:rPr>
        <w:t xml:space="preserve">、 </w:t>
      </w:r>
      <w:r>
        <w:rPr>
          <w:w w:val="105"/>
        </w:rPr>
        <w:t>直辖市设立的煤矿安全监察机构</w:t>
      </w:r>
      <w:r>
        <w:rPr>
          <w:rFonts w:hint="eastAsia" w:ascii="MS UI Gothic" w:eastAsia="MS UI Gothic"/>
          <w:w w:val="150"/>
        </w:rPr>
        <w:t xml:space="preserve">( </w:t>
      </w:r>
      <w:r>
        <w:rPr>
          <w:w w:val="105"/>
        </w:rPr>
        <w:t>以下简称地区煤矿安全监察机构</w:t>
      </w:r>
      <w:r>
        <w:rPr>
          <w:rFonts w:hint="eastAsia" w:ascii="MS UI Gothic" w:eastAsia="MS UI Gothic"/>
          <w:w w:val="150"/>
        </w:rPr>
        <w:t xml:space="preserve">) </w:t>
      </w:r>
      <w:r>
        <w:rPr>
          <w:w w:val="105"/>
        </w:rPr>
        <w:t>及其</w:t>
      </w:r>
      <w:r>
        <w:t>在大中型矿区设立的煤矿安全监察办</w:t>
      </w:r>
      <w:r>
        <w:rPr>
          <w:w w:val="105"/>
        </w:rPr>
        <w:t>事处</w:t>
      </w:r>
      <w:r>
        <w:rPr>
          <w:rFonts w:hint="eastAsia" w:ascii="MS UI Gothic" w:eastAsia="MS UI Gothic"/>
          <w:w w:val="80"/>
        </w:rPr>
        <w:t>ꎮ</w:t>
      </w:r>
    </w:p>
    <w:p>
      <w:pPr>
        <w:pStyle w:val="6"/>
        <w:spacing w:before="8" w:line="292" w:lineRule="auto"/>
        <w:ind w:right="442"/>
        <w:rPr>
          <w:rFonts w:hint="eastAsia" w:ascii="MS UI Gothic" w:eastAsia="MS UI Gothic"/>
        </w:rPr>
      </w:pPr>
      <w:r>
        <w:rPr>
          <w:w w:val="105"/>
        </w:rPr>
        <w:t>第九条 地区煤矿安全监察机构及其</w:t>
      </w:r>
      <w:r>
        <w:t>煤矿安全监察办事处负责对划定区域内的煤矿实施安全监察</w:t>
      </w:r>
      <w:r>
        <w:rPr>
          <w:rFonts w:hint="eastAsia" w:ascii="MS UI Gothic" w:eastAsia="MS UI Gothic"/>
          <w:w w:val="80"/>
        </w:rPr>
        <w:t xml:space="preserve">ꎻ </w:t>
      </w:r>
      <w:r>
        <w:t>煤矿安全监察办事处在国家煤矿安全监察机构规定的权限范围</w:t>
      </w:r>
      <w:r>
        <w:rPr>
          <w:w w:val="105"/>
        </w:rPr>
        <w:t>内</w:t>
      </w:r>
      <w:r>
        <w:rPr>
          <w:rFonts w:hint="eastAsia" w:ascii="MS UI Gothic" w:eastAsia="MS UI Gothic"/>
          <w:w w:val="80"/>
        </w:rPr>
        <w:t xml:space="preserve">ꎬ </w:t>
      </w:r>
      <w:r>
        <w:rPr>
          <w:w w:val="105"/>
        </w:rPr>
        <w:t>可以对违法行为实施行政处罚</w:t>
      </w:r>
      <w:r>
        <w:rPr>
          <w:rFonts w:hint="eastAsia" w:ascii="MS UI Gothic" w:eastAsia="MS UI Gothic"/>
          <w:w w:val="80"/>
        </w:rPr>
        <w:t>ꎮ</w:t>
      </w:r>
    </w:p>
    <w:p>
      <w:pPr>
        <w:pStyle w:val="6"/>
        <w:spacing w:line="292" w:lineRule="auto"/>
        <w:ind w:right="442"/>
        <w:rPr>
          <w:rFonts w:hint="eastAsia" w:ascii="MS UI Gothic" w:eastAsia="MS UI Gothic"/>
        </w:rPr>
      </w:pPr>
      <w:r>
        <w:t>第十条 煤矿安全监察机构设煤矿安全监察员</w:t>
      </w:r>
      <w:r>
        <w:rPr>
          <w:rFonts w:hint="eastAsia" w:ascii="MS UI Gothic" w:eastAsia="MS UI Gothic"/>
          <w:w w:val="80"/>
        </w:rPr>
        <w:t xml:space="preserve">ꎮ </w:t>
      </w:r>
      <w:r>
        <w:t>煤矿安全监察员应当公道</w:t>
      </w:r>
      <w:r>
        <w:rPr>
          <w:rFonts w:hint="eastAsia" w:ascii="MS UI Gothic" w:eastAsia="MS UI Gothic"/>
          <w:w w:val="80"/>
        </w:rPr>
        <w:t xml:space="preserve">、 </w:t>
      </w:r>
      <w:r>
        <w:t>正派</w:t>
      </w:r>
      <w:r>
        <w:rPr>
          <w:rFonts w:hint="eastAsia" w:ascii="MS UI Gothic" w:eastAsia="MS UI Gothic"/>
          <w:w w:val="80"/>
        </w:rPr>
        <w:t xml:space="preserve">ꎬ </w:t>
      </w:r>
      <w:r>
        <w:t>熟悉煤矿安全法律</w:t>
      </w:r>
      <w:r>
        <w:rPr>
          <w:rFonts w:hint="eastAsia" w:ascii="MS UI Gothic" w:eastAsia="MS UI Gothic"/>
          <w:w w:val="80"/>
        </w:rPr>
        <w:t xml:space="preserve">、 </w:t>
      </w:r>
      <w:r>
        <w:t>法规和规章</w:t>
      </w:r>
      <w:r>
        <w:rPr>
          <w:rFonts w:hint="eastAsia" w:ascii="MS UI Gothic" w:eastAsia="MS UI Gothic"/>
          <w:w w:val="80"/>
        </w:rPr>
        <w:t xml:space="preserve">ꎬ </w:t>
      </w:r>
      <w:r>
        <w:t>具有相应的专业知识和相关的工作经验</w:t>
      </w:r>
      <w:r>
        <w:rPr>
          <w:rFonts w:hint="eastAsia" w:ascii="MS UI Gothic" w:eastAsia="MS UI Gothic"/>
          <w:w w:val="80"/>
        </w:rPr>
        <w:t xml:space="preserve">ꎬ </w:t>
      </w:r>
      <w:r>
        <w:t>并经考试录用</w:t>
      </w:r>
      <w:r>
        <w:rPr>
          <w:rFonts w:hint="eastAsia" w:ascii="MS UI Gothic" w:eastAsia="MS UI Gothic"/>
          <w:w w:val="80"/>
        </w:rPr>
        <w:t>ꎮ</w:t>
      </w:r>
    </w:p>
    <w:p>
      <w:pPr>
        <w:pStyle w:val="6"/>
        <w:spacing w:line="253" w:lineRule="exact"/>
        <w:ind w:left="543" w:firstLine="0"/>
        <w:jc w:val="left"/>
      </w:pPr>
      <w:r>
        <w:rPr>
          <w:w w:val="105"/>
        </w:rPr>
        <w:t>煤矿安全监察员的具体管理办法由国</w:t>
      </w:r>
    </w:p>
    <w:p>
      <w:pPr>
        <w:spacing w:after="0" w:line="253"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２１９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87" o:spid="_x0000_s1687" o:spt="203" style="height:2.15pt;width:398.25pt;" coordsize="7965,43">
            <o:lock v:ext="edit"/>
            <v:line id="_x0000_s1688" o:spid="_x0000_s1688" o:spt="20" style="position:absolute;left:0;top:39;height:0;width:7965;" stroked="t" coordsize="21600,21600">
              <v:path arrowok="t"/>
              <v:fill focussize="0,0"/>
              <v:stroke weight="0.388031496062992pt" color="#231F20"/>
              <v:imagedata o:title=""/>
              <o:lock v:ext="edit"/>
            </v:line>
            <v:line id="_x0000_s1689" o:spid="_x0000_s168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rPr>
          <w:spacing w:val="10"/>
        </w:rPr>
        <w:t>家煤矿安全监察机构商国务院有关部门</w:t>
      </w:r>
      <w:r>
        <w:rPr>
          <w:spacing w:val="3"/>
          <w:w w:val="105"/>
        </w:rPr>
        <w:t>制定</w:t>
      </w:r>
      <w:r>
        <w:rPr>
          <w:rFonts w:hint="eastAsia" w:ascii="MS UI Gothic" w:eastAsia="MS UI Gothic"/>
          <w:w w:val="80"/>
        </w:rPr>
        <w:t>ꎮ</w:t>
      </w:r>
    </w:p>
    <w:p>
      <w:pPr>
        <w:pStyle w:val="6"/>
        <w:spacing w:line="295" w:lineRule="auto"/>
        <w:ind w:left="440"/>
        <w:rPr>
          <w:rFonts w:hint="eastAsia" w:ascii="MS UI Gothic" w:eastAsia="MS UI Gothic"/>
        </w:rPr>
      </w:pPr>
      <w:r>
        <w:rPr>
          <w:spacing w:val="3"/>
        </w:rPr>
        <w:t>第十一条  地区煤矿安全监察机构</w:t>
      </w:r>
      <w:r>
        <w:rPr>
          <w:rFonts w:hint="eastAsia" w:ascii="MS UI Gothic" w:eastAsia="MS UI Gothic"/>
          <w:w w:val="80"/>
        </w:rPr>
        <w:t>、</w:t>
      </w:r>
      <w:r>
        <w:rPr>
          <w:spacing w:val="2"/>
        </w:rPr>
        <w:t>煤矿安全监察办事处应当对煤矿实施经常</w:t>
      </w:r>
      <w:r>
        <w:rPr>
          <w:spacing w:val="3"/>
        </w:rPr>
        <w:t>性安全检查</w:t>
      </w:r>
      <w:r>
        <w:rPr>
          <w:rFonts w:hint="eastAsia" w:ascii="MS UI Gothic" w:eastAsia="MS UI Gothic"/>
          <w:spacing w:val="23"/>
          <w:w w:val="80"/>
        </w:rPr>
        <w:t xml:space="preserve">ꎻ </w:t>
      </w:r>
      <w:r>
        <w:rPr>
          <w:spacing w:val="3"/>
        </w:rPr>
        <w:t>对事故多发地区的煤矿</w:t>
      </w:r>
      <w:r>
        <w:rPr>
          <w:rFonts w:hint="eastAsia" w:ascii="MS UI Gothic" w:eastAsia="MS UI Gothic"/>
          <w:spacing w:val="23"/>
          <w:w w:val="80"/>
        </w:rPr>
        <w:t xml:space="preserve">ꎬ </w:t>
      </w:r>
      <w:r>
        <w:t>应</w:t>
      </w:r>
      <w:r>
        <w:rPr>
          <w:spacing w:val="3"/>
        </w:rPr>
        <w:t>当实施重点安全检查</w:t>
      </w:r>
      <w:r>
        <w:rPr>
          <w:rFonts w:hint="eastAsia" w:ascii="MS UI Gothic" w:eastAsia="MS UI Gothic"/>
          <w:spacing w:val="21"/>
          <w:w w:val="80"/>
        </w:rPr>
        <w:t xml:space="preserve">ꎮ </w:t>
      </w:r>
      <w:r>
        <w:rPr>
          <w:spacing w:val="2"/>
        </w:rPr>
        <w:t>国家煤矿安全监察</w:t>
      </w:r>
      <w:r>
        <w:rPr>
          <w:spacing w:val="3"/>
        </w:rPr>
        <w:t>机构根据煤矿安全工作的实际情况</w:t>
      </w:r>
      <w:r>
        <w:rPr>
          <w:rFonts w:hint="eastAsia" w:ascii="MS UI Gothic" w:eastAsia="MS UI Gothic"/>
          <w:spacing w:val="21"/>
          <w:w w:val="80"/>
        </w:rPr>
        <w:t xml:space="preserve">ꎬ </w:t>
      </w:r>
      <w:r>
        <w:rPr>
          <w:spacing w:val="1"/>
        </w:rPr>
        <w:t>组织</w:t>
      </w:r>
      <w:r>
        <w:rPr>
          <w:spacing w:val="2"/>
        </w:rPr>
        <w:t>对全国煤矿的全面安全检查或者重点安全</w:t>
      </w:r>
      <w:r>
        <w:rPr>
          <w:spacing w:val="3"/>
        </w:rPr>
        <w:t>抽查</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第十二条 地区煤矿安全监察机构</w:t>
      </w:r>
      <w:r>
        <w:rPr>
          <w:rFonts w:hint="eastAsia" w:ascii="MS UI Gothic" w:eastAsia="MS UI Gothic"/>
          <w:w w:val="80"/>
        </w:rPr>
        <w:t>、</w:t>
      </w:r>
      <w:r>
        <w:t>煤矿安全监察办事处应当对每个煤矿建立煤矿安全监察档案</w:t>
      </w:r>
      <w:r>
        <w:rPr>
          <w:rFonts w:hint="eastAsia" w:ascii="MS UI Gothic" w:eastAsia="MS UI Gothic"/>
          <w:w w:val="80"/>
        </w:rPr>
        <w:t xml:space="preserve">ꎮ </w:t>
      </w:r>
      <w:r>
        <w:t>煤矿安全监察人员对</w:t>
      </w:r>
      <w:r>
        <w:rPr>
          <w:w w:val="105"/>
        </w:rPr>
        <w:t>每次安全检查的内容</w:t>
      </w:r>
      <w:r>
        <w:rPr>
          <w:rFonts w:hint="eastAsia" w:ascii="MS UI Gothic" w:eastAsia="MS UI Gothic"/>
          <w:w w:val="80"/>
        </w:rPr>
        <w:t xml:space="preserve">、 </w:t>
      </w:r>
      <w:r>
        <w:rPr>
          <w:w w:val="105"/>
        </w:rPr>
        <w:t>发现的问题及其处</w:t>
      </w:r>
      <w:r>
        <w:t>理情况</w:t>
      </w:r>
      <w:r>
        <w:rPr>
          <w:rFonts w:hint="eastAsia" w:ascii="MS UI Gothic" w:eastAsia="MS UI Gothic"/>
          <w:w w:val="80"/>
        </w:rPr>
        <w:t xml:space="preserve">ꎬ </w:t>
      </w:r>
      <w:r>
        <w:t>应当作详细记录</w:t>
      </w:r>
      <w:r>
        <w:rPr>
          <w:rFonts w:hint="eastAsia" w:ascii="MS UI Gothic" w:eastAsia="MS UI Gothic"/>
          <w:w w:val="80"/>
        </w:rPr>
        <w:t xml:space="preserve">ꎬ </w:t>
      </w:r>
      <w:r>
        <w:t>并由参加检查</w:t>
      </w:r>
      <w:r>
        <w:rPr>
          <w:w w:val="105"/>
        </w:rPr>
        <w:t>的煤矿安全监察人员签名后归档</w:t>
      </w:r>
      <w:r>
        <w:rPr>
          <w:rFonts w:hint="eastAsia" w:ascii="MS UI Gothic" w:eastAsia="MS UI Gothic"/>
          <w:w w:val="80"/>
        </w:rPr>
        <w:t>ꎮ</w:t>
      </w:r>
    </w:p>
    <w:p>
      <w:pPr>
        <w:pStyle w:val="6"/>
        <w:spacing w:line="295" w:lineRule="auto"/>
        <w:ind w:left="440"/>
        <w:rPr>
          <w:rFonts w:hint="eastAsia" w:ascii="MS UI Gothic" w:eastAsia="MS UI Gothic"/>
        </w:rPr>
      </w:pPr>
      <w:r>
        <w:t>第十三条 地区煤矿安全监察机构</w:t>
      </w:r>
      <w:r>
        <w:rPr>
          <w:rFonts w:hint="eastAsia" w:ascii="MS UI Gothic" w:eastAsia="MS UI Gothic"/>
        </w:rPr>
        <w:t>、</w:t>
      </w:r>
      <w:r>
        <w:t xml:space="preserve">煤矿安全监察办事处应当每 </w:t>
      </w:r>
      <w:r>
        <w:rPr>
          <w:rFonts w:hint="eastAsia" w:ascii="MS UI Gothic" w:eastAsia="MS UI Gothic"/>
          <w:w w:val="85"/>
        </w:rPr>
        <w:t xml:space="preserve">１５ </w:t>
      </w:r>
      <w:r>
        <w:t>日分别向国家煤矿安全监察机构</w:t>
      </w:r>
      <w:r>
        <w:rPr>
          <w:rFonts w:hint="eastAsia" w:ascii="MS UI Gothic" w:eastAsia="MS UI Gothic"/>
        </w:rPr>
        <w:t xml:space="preserve">、 </w:t>
      </w:r>
      <w:r>
        <w:t>地区煤矿安全监察机构报告一次煤矿安全监察情况</w:t>
      </w:r>
      <w:r>
        <w:rPr>
          <w:rFonts w:hint="eastAsia" w:ascii="MS UI Gothic" w:eastAsia="MS UI Gothic"/>
          <w:w w:val="85"/>
        </w:rPr>
        <w:t xml:space="preserve">ꎻ </w:t>
      </w:r>
      <w:r>
        <w:t>有重大煤矿安全问题的</w:t>
      </w:r>
      <w:r>
        <w:rPr>
          <w:rFonts w:hint="eastAsia" w:ascii="MS UI Gothic" w:eastAsia="MS UI Gothic"/>
          <w:w w:val="85"/>
        </w:rPr>
        <w:t xml:space="preserve">ꎬ </w:t>
      </w:r>
      <w:r>
        <w:t>应当及时采取措施并随时报告</w:t>
      </w:r>
      <w:r>
        <w:rPr>
          <w:rFonts w:hint="eastAsia" w:ascii="MS UI Gothic" w:eastAsia="MS UI Gothic"/>
          <w:w w:val="85"/>
        </w:rPr>
        <w:t>ꎮ</w:t>
      </w:r>
    </w:p>
    <w:p>
      <w:pPr>
        <w:pStyle w:val="6"/>
        <w:spacing w:line="295" w:lineRule="auto"/>
        <w:ind w:left="440" w:right="1"/>
        <w:jc w:val="left"/>
        <w:rPr>
          <w:rFonts w:hint="eastAsia" w:ascii="MS UI Gothic" w:eastAsia="MS UI Gothic"/>
        </w:rPr>
      </w:pPr>
      <w:r>
        <w:t>国家煤矿安全监察机构应当定期公布</w:t>
      </w:r>
      <w:r>
        <w:rPr>
          <w:w w:val="105"/>
        </w:rPr>
        <w:t>煤矿安全监察情况</w:t>
      </w:r>
      <w:r>
        <w:rPr>
          <w:rFonts w:hint="eastAsia" w:ascii="MS UI Gothic" w:eastAsia="MS UI Gothic"/>
          <w:w w:val="80"/>
        </w:rPr>
        <w:t>ꎮ</w:t>
      </w:r>
    </w:p>
    <w:p>
      <w:pPr>
        <w:pStyle w:val="6"/>
        <w:spacing w:line="295" w:lineRule="auto"/>
        <w:ind w:left="440" w:right="1"/>
        <w:rPr>
          <w:rFonts w:hint="eastAsia" w:ascii="MS UI Gothic" w:eastAsia="MS UI Gothic"/>
        </w:rPr>
      </w:pPr>
      <w:r>
        <w:t>第十四条 煤矿安全监察人员履行安全监察职责</w:t>
      </w:r>
      <w:r>
        <w:rPr>
          <w:rFonts w:hint="eastAsia" w:ascii="MS UI Gothic" w:eastAsia="MS UI Gothic"/>
          <w:w w:val="80"/>
        </w:rPr>
        <w:t xml:space="preserve">ꎬ </w:t>
      </w:r>
      <w:r>
        <w:t>有权随时进入煤矿作业场所进行检查</w:t>
      </w:r>
      <w:r>
        <w:rPr>
          <w:rFonts w:hint="eastAsia" w:ascii="MS UI Gothic" w:eastAsia="MS UI Gothic"/>
          <w:w w:val="80"/>
        </w:rPr>
        <w:t xml:space="preserve">ꎬ </w:t>
      </w:r>
      <w:r>
        <w:t>调阅有关资料</w:t>
      </w:r>
      <w:r>
        <w:rPr>
          <w:rFonts w:hint="eastAsia" w:ascii="MS UI Gothic" w:eastAsia="MS UI Gothic"/>
          <w:w w:val="80"/>
        </w:rPr>
        <w:t xml:space="preserve">ꎬ </w:t>
      </w:r>
      <w:r>
        <w:t>参加煤矿安全生产会议</w:t>
      </w:r>
      <w:r>
        <w:rPr>
          <w:rFonts w:hint="eastAsia" w:ascii="MS UI Gothic" w:eastAsia="MS UI Gothic"/>
          <w:w w:val="80"/>
        </w:rPr>
        <w:t xml:space="preserve">ꎬ </w:t>
      </w:r>
      <w:r>
        <w:t>向有关单位或者人员了解情况</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第十五条 煤矿安全监察人员在检查</w:t>
      </w:r>
      <w:r>
        <w:t>中发现影响煤矿安全的违法行为</w:t>
      </w:r>
      <w:r>
        <w:rPr>
          <w:rFonts w:hint="eastAsia" w:ascii="MS UI Gothic" w:eastAsia="MS UI Gothic"/>
          <w:w w:val="80"/>
        </w:rPr>
        <w:t xml:space="preserve">ꎬ </w:t>
      </w:r>
      <w:r>
        <w:t>有权当场予以纠正或者要求限期改正</w:t>
      </w:r>
      <w:r>
        <w:rPr>
          <w:rFonts w:hint="eastAsia" w:ascii="MS UI Gothic" w:eastAsia="MS UI Gothic"/>
          <w:w w:val="80"/>
        </w:rPr>
        <w:t xml:space="preserve">ꎻ </w:t>
      </w:r>
      <w:r>
        <w:t>对依法应当给予行政处罚的行为</w:t>
      </w:r>
      <w:r>
        <w:rPr>
          <w:rFonts w:hint="eastAsia" w:ascii="MS UI Gothic" w:eastAsia="MS UI Gothic"/>
          <w:w w:val="80"/>
        </w:rPr>
        <w:t xml:space="preserve">ꎬ </w:t>
      </w:r>
      <w:r>
        <w:t>由煤矿安全监察机构依照行政处罚法和本条例规定的程序</w:t>
      </w:r>
      <w:r>
        <w:rPr>
          <w:w w:val="105"/>
        </w:rPr>
        <w:t>作出决定</w:t>
      </w:r>
      <w:r>
        <w:rPr>
          <w:rFonts w:hint="eastAsia" w:ascii="MS UI Gothic" w:eastAsia="MS UI Gothic"/>
          <w:w w:val="80"/>
        </w:rPr>
        <w:t>ꎮ</w:t>
      </w:r>
    </w:p>
    <w:p>
      <w:pPr>
        <w:pStyle w:val="6"/>
        <w:spacing w:line="295" w:lineRule="auto"/>
        <w:ind w:left="440" w:right="1"/>
      </w:pPr>
      <w:r>
        <w:t>第十六条 煤矿安全监察人员进行现场检查时</w:t>
      </w:r>
      <w:r>
        <w:rPr>
          <w:rFonts w:hint="eastAsia" w:ascii="MS UI Gothic" w:eastAsia="MS UI Gothic"/>
          <w:w w:val="80"/>
        </w:rPr>
        <w:t xml:space="preserve">ꎬ </w:t>
      </w:r>
      <w:r>
        <w:t>发现存在事故隐患的</w:t>
      </w:r>
      <w:r>
        <w:rPr>
          <w:rFonts w:hint="eastAsia" w:ascii="MS UI Gothic" w:eastAsia="MS UI Gothic"/>
          <w:w w:val="80"/>
        </w:rPr>
        <w:t xml:space="preserve">ꎬ </w:t>
      </w:r>
      <w:r>
        <w:t>有权要求煤矿立即消除或者限期解决</w:t>
      </w:r>
      <w:r>
        <w:rPr>
          <w:rFonts w:hint="eastAsia" w:ascii="MS UI Gothic" w:eastAsia="MS UI Gothic"/>
          <w:w w:val="80"/>
        </w:rPr>
        <w:t xml:space="preserve">ꎻ </w:t>
      </w:r>
      <w:r>
        <w:t>发现威胁职工生命安全的紧急情况时</w:t>
      </w:r>
      <w:r>
        <w:rPr>
          <w:rFonts w:hint="eastAsia" w:ascii="MS UI Gothic" w:eastAsia="MS UI Gothic"/>
          <w:w w:val="80"/>
        </w:rPr>
        <w:t xml:space="preserve">ꎬ </w:t>
      </w:r>
      <w:r>
        <w:t>有权要求立即停止作业</w:t>
      </w:r>
      <w:r>
        <w:rPr>
          <w:rFonts w:hint="eastAsia" w:ascii="MS UI Gothic" w:eastAsia="MS UI Gothic"/>
          <w:w w:val="80"/>
        </w:rPr>
        <w:t xml:space="preserve">ꎬ </w:t>
      </w:r>
      <w:r>
        <w:t>下达立即从危险区内撤出作</w:t>
      </w:r>
    </w:p>
    <w:p>
      <w:pPr>
        <w:pStyle w:val="6"/>
        <w:spacing w:before="124" w:line="295" w:lineRule="auto"/>
        <w:ind w:left="381" w:right="126" w:firstLine="0"/>
        <w:jc w:val="left"/>
        <w:rPr>
          <w:rFonts w:hint="eastAsia" w:ascii="MS UI Gothic" w:eastAsia="MS UI Gothic"/>
        </w:rPr>
      </w:pPr>
      <w:r>
        <w:br w:type="column"/>
      </w:r>
      <w:r>
        <w:t>业人员的命令</w:t>
      </w:r>
      <w:r>
        <w:rPr>
          <w:rFonts w:hint="eastAsia" w:ascii="MS UI Gothic" w:eastAsia="MS UI Gothic"/>
          <w:w w:val="80"/>
        </w:rPr>
        <w:t xml:space="preserve">ꎬ </w:t>
      </w:r>
      <w:r>
        <w:t>并立即将紧急情况和处理措施报告煤矿安全监察机构</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第十七条 煤矿安全监察机构在实施</w:t>
      </w:r>
      <w:r>
        <w:t>安全监察过程中</w:t>
      </w:r>
      <w:r>
        <w:rPr>
          <w:rFonts w:hint="eastAsia" w:ascii="MS UI Gothic" w:eastAsia="MS UI Gothic"/>
          <w:w w:val="80"/>
        </w:rPr>
        <w:t xml:space="preserve">ꎬ </w:t>
      </w:r>
      <w:r>
        <w:t>发现煤矿存在的安全问题涉及有关地方人民政府或其有关部门的</w:t>
      </w:r>
      <w:r>
        <w:rPr>
          <w:rFonts w:hint="eastAsia" w:ascii="MS UI Gothic" w:eastAsia="MS UI Gothic"/>
          <w:w w:val="80"/>
        </w:rPr>
        <w:t xml:space="preserve">ꎬ </w:t>
      </w:r>
      <w:r>
        <w:t>应当向有关地方人民政府或其有关部门提出建议</w:t>
      </w:r>
      <w:r>
        <w:rPr>
          <w:rFonts w:hint="eastAsia" w:ascii="MS UI Gothic" w:eastAsia="MS UI Gothic"/>
          <w:w w:val="80"/>
        </w:rPr>
        <w:t xml:space="preserve">ꎬ </w:t>
      </w:r>
      <w:r>
        <w:t>并向上级人民政府或其有关</w:t>
      </w:r>
      <w:r>
        <w:rPr>
          <w:w w:val="105"/>
        </w:rPr>
        <w:t>部门报告</w:t>
      </w:r>
      <w:r>
        <w:rPr>
          <w:rFonts w:hint="eastAsia" w:ascii="MS UI Gothic" w:eastAsia="MS UI Gothic"/>
          <w:w w:val="80"/>
        </w:rPr>
        <w:t>ꎮ</w:t>
      </w:r>
    </w:p>
    <w:p>
      <w:pPr>
        <w:pStyle w:val="6"/>
        <w:spacing w:line="295" w:lineRule="auto"/>
        <w:ind w:left="381" w:right="126"/>
        <w:rPr>
          <w:rFonts w:hint="eastAsia" w:ascii="MS UI Gothic" w:eastAsia="MS UI Gothic"/>
        </w:rPr>
      </w:pPr>
      <w:r>
        <w:t>第十八条 煤矿发生伤亡事故的</w:t>
      </w:r>
      <w:r>
        <w:rPr>
          <w:rFonts w:hint="eastAsia" w:ascii="MS UI Gothic" w:eastAsia="MS UI Gothic"/>
          <w:w w:val="80"/>
        </w:rPr>
        <w:t xml:space="preserve">ꎬ </w:t>
      </w:r>
      <w:r>
        <w:t>由煤矿安全监察机构负责组织调查处理</w:t>
      </w:r>
      <w:r>
        <w:rPr>
          <w:rFonts w:hint="eastAsia" w:ascii="MS UI Gothic" w:eastAsia="MS UI Gothic"/>
          <w:w w:val="80"/>
        </w:rPr>
        <w:t>ꎮ</w:t>
      </w:r>
    </w:p>
    <w:p>
      <w:pPr>
        <w:pStyle w:val="6"/>
        <w:spacing w:line="295" w:lineRule="auto"/>
        <w:ind w:left="381" w:right="126"/>
        <w:rPr>
          <w:rFonts w:hint="eastAsia" w:ascii="MS UI Gothic" w:eastAsia="MS UI Gothic"/>
        </w:rPr>
      </w:pPr>
      <w:r>
        <w:t>煤矿安全监察机构组织调查处理事故</w:t>
      </w:r>
      <w:r>
        <w:rPr>
          <w:rFonts w:hint="eastAsia" w:ascii="MS UI Gothic" w:eastAsia="MS UI Gothic"/>
          <w:w w:val="80"/>
        </w:rPr>
        <w:t xml:space="preserve">ꎬ </w:t>
      </w:r>
      <w:r>
        <w:t>应当依照国家规定的事故调查程序和</w:t>
      </w:r>
      <w:r>
        <w:rPr>
          <w:w w:val="105"/>
        </w:rPr>
        <w:t>处理办法进行</w:t>
      </w:r>
      <w:r>
        <w:rPr>
          <w:rFonts w:hint="eastAsia" w:ascii="MS UI Gothic" w:eastAsia="MS UI Gothic"/>
          <w:w w:val="80"/>
        </w:rPr>
        <w:t>ꎮ</w:t>
      </w:r>
    </w:p>
    <w:p>
      <w:pPr>
        <w:pStyle w:val="6"/>
        <w:spacing w:line="295" w:lineRule="auto"/>
        <w:ind w:left="381" w:right="126"/>
        <w:rPr>
          <w:rFonts w:hint="eastAsia" w:ascii="MS UI Gothic" w:eastAsia="MS UI Gothic"/>
        </w:rPr>
      </w:pPr>
      <w:r>
        <w:t>第十九条 煤矿安全监察机构及其煤矿安全监察人员不得接受煤矿的任何馈赠</w:t>
      </w:r>
      <w:r>
        <w:rPr>
          <w:rFonts w:hint="eastAsia" w:ascii="MS UI Gothic" w:eastAsia="MS UI Gothic"/>
          <w:w w:val="80"/>
        </w:rPr>
        <w:t xml:space="preserve">、 </w:t>
      </w:r>
      <w:r>
        <w:t>报酬</w:t>
      </w:r>
      <w:r>
        <w:rPr>
          <w:rFonts w:hint="eastAsia" w:ascii="MS UI Gothic" w:eastAsia="MS UI Gothic"/>
          <w:w w:val="80"/>
        </w:rPr>
        <w:t xml:space="preserve">、 </w:t>
      </w:r>
      <w:r>
        <w:t>福利待遇</w:t>
      </w:r>
      <w:r>
        <w:rPr>
          <w:rFonts w:hint="eastAsia" w:ascii="MS UI Gothic" w:eastAsia="MS UI Gothic"/>
          <w:w w:val="80"/>
        </w:rPr>
        <w:t xml:space="preserve">ꎬ </w:t>
      </w:r>
      <w:r>
        <w:t>不得在煤矿报销任何费用</w:t>
      </w:r>
      <w:r>
        <w:rPr>
          <w:rFonts w:hint="eastAsia" w:ascii="MS UI Gothic" w:eastAsia="MS UI Gothic"/>
          <w:w w:val="80"/>
        </w:rPr>
        <w:t xml:space="preserve">ꎬ </w:t>
      </w:r>
      <w:r>
        <w:t>不得参加煤矿安排</w:t>
      </w:r>
      <w:r>
        <w:rPr>
          <w:rFonts w:hint="eastAsia" w:ascii="MS UI Gothic" w:eastAsia="MS UI Gothic"/>
          <w:w w:val="80"/>
        </w:rPr>
        <w:t xml:space="preserve">、 </w:t>
      </w:r>
      <w:r>
        <w:t>组织或者支付费用的宴请</w:t>
      </w:r>
      <w:r>
        <w:rPr>
          <w:rFonts w:hint="eastAsia" w:ascii="MS UI Gothic" w:eastAsia="MS UI Gothic"/>
          <w:w w:val="80"/>
        </w:rPr>
        <w:t xml:space="preserve">、 </w:t>
      </w:r>
      <w:r>
        <w:t>娱乐</w:t>
      </w:r>
      <w:r>
        <w:rPr>
          <w:rFonts w:hint="eastAsia" w:ascii="MS UI Gothic" w:eastAsia="MS UI Gothic"/>
          <w:w w:val="80"/>
        </w:rPr>
        <w:t xml:space="preserve">、 </w:t>
      </w:r>
      <w:r>
        <w:t>旅游</w:t>
      </w:r>
      <w:r>
        <w:rPr>
          <w:rFonts w:hint="eastAsia" w:ascii="MS UI Gothic" w:eastAsia="MS UI Gothic"/>
          <w:w w:val="80"/>
        </w:rPr>
        <w:t xml:space="preserve">、 </w:t>
      </w:r>
      <w:r>
        <w:t>出访等活动</w:t>
      </w:r>
      <w:r>
        <w:rPr>
          <w:rFonts w:hint="eastAsia" w:ascii="MS UI Gothic" w:eastAsia="MS UI Gothic"/>
          <w:w w:val="80"/>
        </w:rPr>
        <w:t xml:space="preserve">ꎬ </w:t>
      </w:r>
      <w:r>
        <w:t>不得借煤矿安全监察工作在煤矿为自己</w:t>
      </w:r>
      <w:r>
        <w:rPr>
          <w:rFonts w:hint="eastAsia" w:ascii="MS UI Gothic" w:eastAsia="MS UI Gothic"/>
          <w:w w:val="80"/>
        </w:rPr>
        <w:t xml:space="preserve">、 </w:t>
      </w:r>
      <w:r>
        <w:t>亲友或者他人谋取利益</w:t>
      </w:r>
      <w:r>
        <w:rPr>
          <w:rFonts w:hint="eastAsia" w:ascii="MS UI Gothic" w:eastAsia="MS UI Gothic"/>
          <w:w w:val="80"/>
        </w:rPr>
        <w:t>ꎮ</w:t>
      </w:r>
    </w:p>
    <w:p>
      <w:pPr>
        <w:pStyle w:val="6"/>
        <w:tabs>
          <w:tab w:val="left" w:pos="1848"/>
        </w:tabs>
        <w:spacing w:before="141"/>
        <w:ind w:left="1009" w:firstLine="0"/>
        <w:jc w:val="left"/>
      </w:pPr>
      <w:r>
        <w:rPr>
          <w:spacing w:val="3"/>
          <w:w w:val="105"/>
        </w:rPr>
        <w:t>第三</w:t>
      </w:r>
      <w:r>
        <w:rPr>
          <w:w w:val="105"/>
        </w:rPr>
        <w:t>章</w:t>
      </w:r>
      <w:r>
        <w:rPr>
          <w:w w:val="105"/>
        </w:rPr>
        <w:tab/>
      </w:r>
      <w:r>
        <w:rPr>
          <w:spacing w:val="3"/>
          <w:w w:val="105"/>
        </w:rPr>
        <w:t>煤矿安全监察内</w:t>
      </w:r>
      <w:r>
        <w:rPr>
          <w:w w:val="105"/>
        </w:rPr>
        <w:t>容</w:t>
      </w:r>
    </w:p>
    <w:p>
      <w:pPr>
        <w:pStyle w:val="6"/>
        <w:spacing w:before="216" w:line="295" w:lineRule="auto"/>
        <w:ind w:left="381" w:right="126"/>
        <w:rPr>
          <w:rFonts w:hint="eastAsia" w:ascii="MS UI Gothic" w:eastAsia="MS UI Gothic"/>
        </w:rPr>
      </w:pPr>
      <w:r>
        <w:rPr>
          <w:w w:val="105"/>
        </w:rPr>
        <w:t>第二十条 煤矿安全监察机构对煤矿执行煤炭法</w:t>
      </w:r>
      <w:r>
        <w:rPr>
          <w:rFonts w:hint="eastAsia" w:ascii="MS UI Gothic" w:eastAsia="MS UI Gothic"/>
          <w:w w:val="80"/>
        </w:rPr>
        <w:t xml:space="preserve">、 </w:t>
      </w:r>
      <w:r>
        <w:rPr>
          <w:w w:val="105"/>
        </w:rPr>
        <w:t>矿山安全法和其他有关煤矿安全的法律</w:t>
      </w:r>
      <w:r>
        <w:rPr>
          <w:rFonts w:hint="eastAsia" w:ascii="MS UI Gothic" w:eastAsia="MS UI Gothic"/>
          <w:w w:val="80"/>
        </w:rPr>
        <w:t xml:space="preserve">、 </w:t>
      </w:r>
      <w:r>
        <w:rPr>
          <w:w w:val="105"/>
        </w:rPr>
        <w:t>法规以及国家安全标准</w:t>
      </w:r>
      <w:r>
        <w:rPr>
          <w:rFonts w:hint="eastAsia" w:ascii="MS UI Gothic" w:eastAsia="MS UI Gothic"/>
          <w:w w:val="80"/>
        </w:rPr>
        <w:t xml:space="preserve">、 </w:t>
      </w:r>
      <w:r>
        <w:rPr>
          <w:w w:val="105"/>
        </w:rPr>
        <w:t>行业安全标准</w:t>
      </w:r>
      <w:r>
        <w:rPr>
          <w:rFonts w:hint="eastAsia" w:ascii="MS UI Gothic" w:eastAsia="MS UI Gothic"/>
          <w:w w:val="80"/>
        </w:rPr>
        <w:t xml:space="preserve">、 </w:t>
      </w:r>
      <w:r>
        <w:rPr>
          <w:w w:val="105"/>
        </w:rPr>
        <w:t>煤矿安全规程和行业技术规范的情况实施监察</w:t>
      </w:r>
      <w:r>
        <w:rPr>
          <w:rFonts w:hint="eastAsia" w:ascii="MS UI Gothic" w:eastAsia="MS UI Gothic"/>
          <w:w w:val="80"/>
        </w:rPr>
        <w:t>ꎮ</w:t>
      </w:r>
    </w:p>
    <w:p>
      <w:pPr>
        <w:pStyle w:val="6"/>
        <w:spacing w:line="295" w:lineRule="auto"/>
        <w:ind w:left="381" w:right="126"/>
        <w:rPr>
          <w:rFonts w:hint="eastAsia" w:ascii="MS UI Gothic" w:eastAsia="MS UI Gothic"/>
        </w:rPr>
      </w:pPr>
      <w:r>
        <w:t>第二十一条 煤矿建设工程设计必须符合煤矿安全规程和行业技术规范的要求</w:t>
      </w:r>
      <w:r>
        <w:rPr>
          <w:rFonts w:hint="eastAsia" w:ascii="MS UI Gothic" w:eastAsia="MS UI Gothic"/>
          <w:w w:val="80"/>
        </w:rPr>
        <w:t xml:space="preserve">ꎮ </w:t>
      </w:r>
      <w:r>
        <w:t>煤矿建设工程安全设施设计必须经煤矿安全监察机构审查同意</w:t>
      </w:r>
      <w:r>
        <w:rPr>
          <w:rFonts w:hint="eastAsia" w:ascii="MS UI Gothic" w:eastAsia="MS UI Gothic"/>
          <w:w w:val="80"/>
        </w:rPr>
        <w:t xml:space="preserve">ꎻ </w:t>
      </w:r>
      <w:r>
        <w:t>未经审查同意的</w:t>
      </w:r>
      <w:r>
        <w:rPr>
          <w:rFonts w:hint="eastAsia" w:ascii="MS UI Gothic" w:eastAsia="MS UI Gothic"/>
          <w:w w:val="80"/>
        </w:rPr>
        <w:t xml:space="preserve">ꎬ </w:t>
      </w:r>
      <w:r>
        <w:t>不得施工</w:t>
      </w:r>
      <w:r>
        <w:rPr>
          <w:rFonts w:hint="eastAsia" w:ascii="MS UI Gothic" w:eastAsia="MS UI Gothic"/>
          <w:w w:val="80"/>
        </w:rPr>
        <w:t>ꎮ</w:t>
      </w:r>
    </w:p>
    <w:p>
      <w:pPr>
        <w:pStyle w:val="6"/>
        <w:spacing w:line="295" w:lineRule="auto"/>
        <w:ind w:left="381" w:right="126"/>
        <w:rPr>
          <w:rFonts w:hint="eastAsia" w:ascii="MS UI Gothic" w:eastAsia="MS UI Gothic"/>
        </w:rPr>
      </w:pPr>
      <w:r>
        <w:t>煤矿安全监察机构审查煤矿建设工程安全设施设计</w:t>
      </w:r>
      <w:r>
        <w:rPr>
          <w:rFonts w:hint="eastAsia" w:ascii="MS UI Gothic" w:eastAsia="MS UI Gothic"/>
          <w:w w:val="85"/>
        </w:rPr>
        <w:t xml:space="preserve">ꎬ </w:t>
      </w:r>
      <w:r>
        <w:t xml:space="preserve">应当自收到申请审查的设计资料之日起 </w:t>
      </w:r>
      <w:r>
        <w:rPr>
          <w:rFonts w:hint="eastAsia" w:ascii="MS UI Gothic" w:eastAsia="MS UI Gothic"/>
          <w:w w:val="85"/>
        </w:rPr>
        <w:t xml:space="preserve">３０ </w:t>
      </w:r>
      <w:r>
        <w:t>日内审查完毕</w:t>
      </w:r>
      <w:r>
        <w:rPr>
          <w:rFonts w:hint="eastAsia" w:ascii="MS UI Gothic" w:eastAsia="MS UI Gothic"/>
          <w:w w:val="85"/>
        </w:rPr>
        <w:t xml:space="preserve">ꎬ </w:t>
      </w:r>
      <w:r>
        <w:t>签署同意或者不同意的意见</w:t>
      </w:r>
      <w:r>
        <w:rPr>
          <w:rFonts w:hint="eastAsia" w:ascii="MS UI Gothic" w:eastAsia="MS UI Gothic"/>
          <w:w w:val="85"/>
        </w:rPr>
        <w:t xml:space="preserve">ꎬ </w:t>
      </w:r>
      <w:r>
        <w:t>并书面答复</w:t>
      </w:r>
      <w:r>
        <w:rPr>
          <w:rFonts w:hint="eastAsia" w:ascii="MS UI Gothic" w:eastAsia="MS UI Gothic"/>
          <w:w w:val="85"/>
        </w:rPr>
        <w:t>ꎮ</w:t>
      </w:r>
    </w:p>
    <w:p>
      <w:pPr>
        <w:pStyle w:val="6"/>
        <w:spacing w:line="295" w:lineRule="auto"/>
        <w:ind w:left="381" w:right="126"/>
      </w:pPr>
      <w:r>
        <w:rPr>
          <w:w w:val="105"/>
        </w:rPr>
        <w:t>第二十二条 煤矿建设工程竣工后或</w:t>
      </w:r>
      <w:r>
        <w:t>者投产前</w:t>
      </w:r>
      <w:r>
        <w:rPr>
          <w:rFonts w:hint="eastAsia" w:ascii="MS UI Gothic" w:eastAsia="MS UI Gothic"/>
          <w:w w:val="80"/>
        </w:rPr>
        <w:t xml:space="preserve">ꎬ </w:t>
      </w:r>
      <w:r>
        <w:t>应当经煤矿安全监察机构对其安全设施和条件进行验收</w:t>
      </w:r>
      <w:r>
        <w:rPr>
          <w:rFonts w:hint="eastAsia" w:ascii="MS UI Gothic" w:eastAsia="MS UI Gothic"/>
          <w:w w:val="80"/>
        </w:rPr>
        <w:t xml:space="preserve">ꎻ </w:t>
      </w:r>
      <w:r>
        <w:t>未经验收或者</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２２０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90" o:spid="_x0000_s1690" o:spt="203" style="height:2.15pt;width:398.25pt;" coordsize="7965,43">
            <o:lock v:ext="edit"/>
            <v:line id="_x0000_s1691" o:spid="_x0000_s1691" o:spt="20" style="position:absolute;left:0;top:39;height:0;width:7965;" stroked="t" coordsize="21600,21600">
              <v:path arrowok="t"/>
              <v:fill focussize="0,0"/>
              <v:stroke weight="0.388031496062992pt" color="#231F20"/>
              <v:imagedata o:title=""/>
              <o:lock v:ext="edit"/>
            </v:line>
            <v:line id="_x0000_s1692" o:spid="_x0000_s169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rPr>
          <w:rFonts w:hint="eastAsia" w:ascii="MS UI Gothic" w:eastAsia="MS UI Gothic"/>
        </w:rPr>
      </w:pPr>
      <w:r>
        <w:t>验收不合格的</w:t>
      </w:r>
      <w:r>
        <w:rPr>
          <w:rFonts w:hint="eastAsia" w:ascii="MS UI Gothic" w:eastAsia="MS UI Gothic"/>
          <w:w w:val="80"/>
        </w:rPr>
        <w:t xml:space="preserve">ꎬ </w:t>
      </w:r>
      <w:r>
        <w:t>不得投入生产</w:t>
      </w:r>
      <w:r>
        <w:rPr>
          <w:rFonts w:hint="eastAsia" w:ascii="MS UI Gothic" w:eastAsia="MS UI Gothic"/>
          <w:w w:val="80"/>
        </w:rPr>
        <w:t>ꎮ</w:t>
      </w:r>
    </w:p>
    <w:p>
      <w:pPr>
        <w:pStyle w:val="6"/>
        <w:spacing w:before="58" w:line="295" w:lineRule="auto"/>
        <w:ind w:right="39"/>
        <w:rPr>
          <w:rFonts w:hint="eastAsia" w:ascii="MS UI Gothic" w:eastAsia="MS UI Gothic"/>
        </w:rPr>
      </w:pPr>
      <w:r>
        <w:t>煤矿安全监察机构对煤矿建设工程安全设施和条件进行验收</w:t>
      </w:r>
      <w:r>
        <w:rPr>
          <w:rFonts w:hint="eastAsia" w:ascii="MS UI Gothic" w:eastAsia="MS UI Gothic"/>
          <w:w w:val="85"/>
        </w:rPr>
        <w:t xml:space="preserve">ꎬ </w:t>
      </w:r>
      <w:r>
        <w:t xml:space="preserve">应当自收到申请验收文件之日起 </w:t>
      </w:r>
      <w:r>
        <w:rPr>
          <w:rFonts w:hint="eastAsia" w:ascii="MS UI Gothic" w:eastAsia="MS UI Gothic"/>
          <w:w w:val="85"/>
        </w:rPr>
        <w:t xml:space="preserve">３０ </w:t>
      </w:r>
      <w:r>
        <w:t>日内验收完毕</w:t>
      </w:r>
      <w:r>
        <w:rPr>
          <w:rFonts w:hint="eastAsia" w:ascii="MS UI Gothic" w:eastAsia="MS UI Gothic"/>
          <w:w w:val="85"/>
        </w:rPr>
        <w:t xml:space="preserve">ꎬ </w:t>
      </w:r>
      <w:r>
        <w:t>签署合格或者不合格的意见</w:t>
      </w:r>
      <w:r>
        <w:rPr>
          <w:rFonts w:hint="eastAsia" w:ascii="MS UI Gothic" w:eastAsia="MS UI Gothic"/>
          <w:w w:val="85"/>
        </w:rPr>
        <w:t xml:space="preserve">ꎬ </w:t>
      </w:r>
      <w:r>
        <w:t>并书面答复</w:t>
      </w:r>
      <w:r>
        <w:rPr>
          <w:rFonts w:hint="eastAsia" w:ascii="MS UI Gothic" w:eastAsia="MS UI Gothic"/>
          <w:w w:val="85"/>
        </w:rPr>
        <w:t>ꎮ</w:t>
      </w:r>
    </w:p>
    <w:p>
      <w:pPr>
        <w:pStyle w:val="6"/>
        <w:spacing w:line="295" w:lineRule="auto"/>
        <w:ind w:right="39"/>
        <w:rPr>
          <w:rFonts w:hint="eastAsia" w:ascii="MS UI Gothic" w:eastAsia="MS UI Gothic"/>
        </w:rPr>
      </w:pPr>
      <w:r>
        <w:rPr>
          <w:w w:val="105"/>
        </w:rPr>
        <w:t>第二十三条 煤矿安全监察机构应当</w:t>
      </w:r>
      <w:r>
        <w:t>监督煤矿制定事故预防和应急计划</w:t>
      </w:r>
      <w:r>
        <w:rPr>
          <w:rFonts w:hint="eastAsia" w:ascii="MS UI Gothic" w:eastAsia="MS UI Gothic"/>
          <w:w w:val="80"/>
        </w:rPr>
        <w:t xml:space="preserve">ꎬ </w:t>
      </w:r>
      <w:r>
        <w:t>并检查煤矿制定的发现和消除事故隐患的措施</w:t>
      </w:r>
      <w:r>
        <w:rPr>
          <w:w w:val="105"/>
        </w:rPr>
        <w:t>及其落实情况</w:t>
      </w:r>
      <w:r>
        <w:rPr>
          <w:rFonts w:hint="eastAsia" w:ascii="MS UI Gothic" w:eastAsia="MS UI Gothic"/>
          <w:w w:val="80"/>
        </w:rPr>
        <w:t>ꎮ</w:t>
      </w:r>
    </w:p>
    <w:p>
      <w:pPr>
        <w:pStyle w:val="6"/>
        <w:spacing w:line="295" w:lineRule="auto"/>
        <w:ind w:right="39"/>
        <w:rPr>
          <w:rFonts w:hint="eastAsia" w:ascii="MS UI Gothic" w:eastAsia="MS UI Gothic"/>
        </w:rPr>
      </w:pPr>
      <w:r>
        <w:t>第二十四条 煤矿安全监察机构发现煤矿矿井通风</w:t>
      </w:r>
      <w:r>
        <w:rPr>
          <w:rFonts w:hint="eastAsia" w:ascii="MS UI Gothic" w:eastAsia="MS UI Gothic"/>
          <w:w w:val="80"/>
        </w:rPr>
        <w:t xml:space="preserve">、 </w:t>
      </w:r>
      <w:r>
        <w:t>防火</w:t>
      </w:r>
      <w:r>
        <w:rPr>
          <w:rFonts w:hint="eastAsia" w:ascii="MS UI Gothic" w:eastAsia="MS UI Gothic"/>
          <w:w w:val="80"/>
        </w:rPr>
        <w:t xml:space="preserve">、 </w:t>
      </w:r>
      <w:r>
        <w:t>防水</w:t>
      </w:r>
      <w:r>
        <w:rPr>
          <w:rFonts w:hint="eastAsia" w:ascii="MS UI Gothic" w:eastAsia="MS UI Gothic"/>
          <w:w w:val="80"/>
        </w:rPr>
        <w:t xml:space="preserve">、 </w:t>
      </w:r>
      <w:r>
        <w:t>防瓦斯</w:t>
      </w:r>
      <w:r>
        <w:rPr>
          <w:rFonts w:hint="eastAsia" w:ascii="MS UI Gothic" w:eastAsia="MS UI Gothic"/>
          <w:w w:val="80"/>
        </w:rPr>
        <w:t xml:space="preserve">、  </w:t>
      </w:r>
      <w:r>
        <w:t>防毒</w:t>
      </w:r>
      <w:r>
        <w:rPr>
          <w:rFonts w:hint="eastAsia" w:ascii="MS UI Gothic" w:eastAsia="MS UI Gothic"/>
          <w:w w:val="80"/>
        </w:rPr>
        <w:t xml:space="preserve">、 </w:t>
      </w:r>
      <w:r>
        <w:t>防尘等安全设施和条件不符合国家安全标准</w:t>
      </w:r>
      <w:r>
        <w:rPr>
          <w:rFonts w:hint="eastAsia" w:ascii="MS UI Gothic" w:eastAsia="MS UI Gothic"/>
          <w:w w:val="80"/>
        </w:rPr>
        <w:t xml:space="preserve">、 </w:t>
      </w:r>
      <w:r>
        <w:t>行业安全标准</w:t>
      </w:r>
      <w:r>
        <w:rPr>
          <w:rFonts w:hint="eastAsia" w:ascii="MS UI Gothic" w:eastAsia="MS UI Gothic"/>
          <w:w w:val="80"/>
        </w:rPr>
        <w:t xml:space="preserve">、 </w:t>
      </w:r>
      <w:r>
        <w:t>煤矿安全规程和行业技术规范要求的</w:t>
      </w:r>
      <w:r>
        <w:rPr>
          <w:rFonts w:hint="eastAsia" w:ascii="MS UI Gothic" w:eastAsia="MS UI Gothic"/>
          <w:w w:val="80"/>
        </w:rPr>
        <w:t xml:space="preserve">ꎬ </w:t>
      </w:r>
      <w:r>
        <w:t>应当责令立即停止作业或者责令限期达到要求</w:t>
      </w:r>
      <w:r>
        <w:rPr>
          <w:rFonts w:hint="eastAsia" w:ascii="MS UI Gothic" w:eastAsia="MS UI Gothic"/>
          <w:w w:val="80"/>
        </w:rPr>
        <w:t>ꎮ</w:t>
      </w:r>
    </w:p>
    <w:p>
      <w:pPr>
        <w:pStyle w:val="6"/>
        <w:spacing w:line="295" w:lineRule="auto"/>
        <w:ind w:right="39"/>
        <w:rPr>
          <w:rFonts w:hint="eastAsia" w:ascii="MS UI Gothic" w:eastAsia="MS UI Gothic"/>
        </w:rPr>
      </w:pPr>
      <w:r>
        <w:t>第二十五条 煤矿安全监察机构发现煤矿进行独眼井开采的</w:t>
      </w:r>
      <w:r>
        <w:rPr>
          <w:rFonts w:hint="eastAsia" w:ascii="MS UI Gothic" w:eastAsia="MS UI Gothic"/>
          <w:w w:val="80"/>
        </w:rPr>
        <w:t xml:space="preserve">ꎬ </w:t>
      </w:r>
      <w:r>
        <w:t>应当责令关闭</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第二十六条 煤矿安全监察机构发现</w:t>
      </w:r>
      <w:r>
        <w:t>煤矿作业场所有下列情形之一的</w:t>
      </w:r>
      <w:r>
        <w:rPr>
          <w:rFonts w:hint="eastAsia" w:ascii="MS UI Gothic" w:eastAsia="MS UI Gothic"/>
          <w:w w:val="80"/>
        </w:rPr>
        <w:t xml:space="preserve">ꎬ </w:t>
      </w:r>
      <w:r>
        <w:t>应当责令立即停止作业</w:t>
      </w:r>
      <w:r>
        <w:rPr>
          <w:rFonts w:hint="eastAsia" w:ascii="MS UI Gothic" w:eastAsia="MS UI Gothic"/>
          <w:w w:val="80"/>
        </w:rPr>
        <w:t xml:space="preserve">ꎬ </w:t>
      </w:r>
      <w:r>
        <w:t>限期改正</w:t>
      </w:r>
      <w:r>
        <w:rPr>
          <w:rFonts w:hint="eastAsia" w:ascii="MS UI Gothic" w:eastAsia="MS UI Gothic"/>
          <w:w w:val="80"/>
        </w:rPr>
        <w:t xml:space="preserve">ꎻ </w:t>
      </w:r>
      <w:r>
        <w:t>有关煤矿或其作业场所经复查合格的</w:t>
      </w:r>
      <w:r>
        <w:rPr>
          <w:rFonts w:hint="eastAsia" w:ascii="MS UI Gothic" w:eastAsia="MS UI Gothic"/>
          <w:w w:val="80"/>
        </w:rPr>
        <w:t xml:space="preserve">ꎬ </w:t>
      </w:r>
      <w:r>
        <w:t>方可恢复</w:t>
      </w:r>
      <w:r>
        <w:rPr>
          <w:w w:val="105"/>
        </w:rPr>
        <w:t>作业</w:t>
      </w:r>
      <w:r>
        <w:rPr>
          <w:rFonts w:hint="eastAsia" w:ascii="MS UI Gothic" w:eastAsia="MS UI Gothic"/>
          <w:w w:val="235"/>
        </w:rPr>
        <w:t>:</w:t>
      </w:r>
    </w:p>
    <w:p>
      <w:pPr>
        <w:pStyle w:val="6"/>
        <w:spacing w:line="295" w:lineRule="auto"/>
        <w:ind w:left="543" w:right="208" w:firstLine="0"/>
        <w:rPr>
          <w:rFonts w:hint="eastAsia" w:ascii="MS UI Gothic" w:eastAsia="MS UI Gothic"/>
        </w:rPr>
      </w:pPr>
      <w:r>
        <w:rPr>
          <w:rFonts w:hint="eastAsia" w:ascii="MS UI Gothic" w:eastAsia="MS UI Gothic"/>
          <w:spacing w:val="-24"/>
          <w:w w:val="105"/>
        </w:rPr>
        <w:t xml:space="preserve">( </w:t>
      </w:r>
      <w:r>
        <w:rPr>
          <w:spacing w:val="3"/>
          <w:w w:val="105"/>
        </w:rPr>
        <w:t>一</w:t>
      </w:r>
      <w:r>
        <w:rPr>
          <w:rFonts w:hint="eastAsia" w:ascii="MS UI Gothic" w:eastAsia="MS UI Gothic"/>
          <w:spacing w:val="17"/>
          <w:w w:val="105"/>
        </w:rPr>
        <w:t xml:space="preserve">) </w:t>
      </w:r>
      <w:r>
        <w:rPr>
          <w:spacing w:val="3"/>
          <w:w w:val="105"/>
        </w:rPr>
        <w:t>未使用专用防爆电器设备的</w:t>
      </w:r>
      <w:r>
        <w:rPr>
          <w:rFonts w:hint="eastAsia" w:ascii="MS UI Gothic" w:eastAsia="MS UI Gothic"/>
          <w:w w:val="80"/>
        </w:rPr>
        <w:t>ꎻ</w:t>
      </w:r>
      <w:r>
        <w:rPr>
          <w:rFonts w:hint="eastAsia" w:ascii="MS UI Gothic" w:eastAsia="MS UI Gothic"/>
          <w:spacing w:val="-38"/>
          <w:w w:val="150"/>
        </w:rPr>
        <w:t xml:space="preserve">( </w:t>
      </w:r>
      <w:r>
        <w:rPr>
          <w:spacing w:val="3"/>
          <w:w w:val="110"/>
        </w:rPr>
        <w:t>二</w:t>
      </w:r>
      <w:r>
        <w:rPr>
          <w:rFonts w:hint="eastAsia" w:ascii="MS UI Gothic" w:eastAsia="MS UI Gothic"/>
          <w:spacing w:val="3"/>
          <w:w w:val="150"/>
        </w:rPr>
        <w:t xml:space="preserve">) </w:t>
      </w:r>
      <w:r>
        <w:rPr>
          <w:spacing w:val="3"/>
          <w:w w:val="110"/>
        </w:rPr>
        <w:t>未使用专用放炮器的</w:t>
      </w:r>
      <w:r>
        <w:rPr>
          <w:rFonts w:hint="eastAsia" w:ascii="MS UI Gothic" w:eastAsia="MS UI Gothic"/>
          <w:w w:val="80"/>
        </w:rPr>
        <w:t>ꎻ</w:t>
      </w:r>
    </w:p>
    <w:p>
      <w:pPr>
        <w:pStyle w:val="6"/>
        <w:spacing w:line="295" w:lineRule="auto"/>
        <w:ind w:left="543" w:right="208" w:firstLine="0"/>
        <w:rPr>
          <w:rFonts w:hint="eastAsia" w:ascii="MS UI Gothic" w:eastAsia="MS UI Gothic"/>
        </w:rPr>
      </w:pPr>
      <w:r>
        <w:rPr>
          <w:rFonts w:hint="eastAsia" w:ascii="MS UI Gothic" w:eastAsia="MS UI Gothic"/>
          <w:spacing w:val="-24"/>
          <w:w w:val="105"/>
        </w:rPr>
        <w:t xml:space="preserve">( </w:t>
      </w:r>
      <w:r>
        <w:rPr>
          <w:spacing w:val="3"/>
          <w:w w:val="105"/>
        </w:rPr>
        <w:t>三</w:t>
      </w:r>
      <w:r>
        <w:rPr>
          <w:rFonts w:hint="eastAsia" w:ascii="MS UI Gothic" w:eastAsia="MS UI Gothic"/>
          <w:spacing w:val="17"/>
          <w:w w:val="105"/>
        </w:rPr>
        <w:t xml:space="preserve">) </w:t>
      </w:r>
      <w:r>
        <w:rPr>
          <w:spacing w:val="3"/>
          <w:w w:val="105"/>
        </w:rPr>
        <w:t>未使用人员专用升降容器的</w:t>
      </w:r>
      <w:r>
        <w:rPr>
          <w:rFonts w:hint="eastAsia" w:ascii="MS UI Gothic" w:eastAsia="MS UI Gothic"/>
          <w:w w:val="80"/>
        </w:rPr>
        <w:t>ꎻ</w:t>
      </w:r>
      <w:r>
        <w:rPr>
          <w:rFonts w:hint="eastAsia" w:ascii="MS UI Gothic" w:eastAsia="MS UI Gothic"/>
          <w:spacing w:val="-38"/>
          <w:w w:val="150"/>
        </w:rPr>
        <w:t xml:space="preserve">( </w:t>
      </w:r>
      <w:r>
        <w:rPr>
          <w:spacing w:val="3"/>
          <w:w w:val="110"/>
        </w:rPr>
        <w:t>四</w:t>
      </w:r>
      <w:r>
        <w:rPr>
          <w:rFonts w:hint="eastAsia" w:ascii="MS UI Gothic" w:eastAsia="MS UI Gothic"/>
          <w:spacing w:val="3"/>
          <w:w w:val="150"/>
        </w:rPr>
        <w:t xml:space="preserve">) </w:t>
      </w:r>
      <w:r>
        <w:rPr>
          <w:spacing w:val="3"/>
          <w:w w:val="110"/>
        </w:rPr>
        <w:t>使用明火明电照明的</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第二十七条 煤矿安全监察机构对煤</w:t>
      </w:r>
      <w:r>
        <w:t>矿安全技术措施专项费用的提取和使用情况进行监督</w:t>
      </w:r>
      <w:r>
        <w:rPr>
          <w:rFonts w:hint="eastAsia" w:ascii="MS UI Gothic" w:eastAsia="MS UI Gothic"/>
          <w:w w:val="80"/>
        </w:rPr>
        <w:t xml:space="preserve">ꎬ </w:t>
      </w:r>
      <w:r>
        <w:t>对未依法提取或者使用的</w:t>
      </w:r>
      <w:r>
        <w:rPr>
          <w:rFonts w:hint="eastAsia" w:ascii="MS UI Gothic" w:eastAsia="MS UI Gothic"/>
          <w:w w:val="80"/>
        </w:rPr>
        <w:t>ꎬ</w:t>
      </w:r>
      <w:r>
        <w:rPr>
          <w:w w:val="105"/>
        </w:rPr>
        <w:t>应当责令限期改正</w:t>
      </w:r>
      <w:r>
        <w:rPr>
          <w:rFonts w:hint="eastAsia" w:ascii="MS UI Gothic" w:eastAsia="MS UI Gothic"/>
          <w:w w:val="80"/>
        </w:rPr>
        <w:t>ꎮ</w:t>
      </w:r>
    </w:p>
    <w:p>
      <w:pPr>
        <w:pStyle w:val="6"/>
        <w:spacing w:line="295" w:lineRule="auto"/>
        <w:ind w:right="39"/>
        <w:rPr>
          <w:rFonts w:hint="eastAsia" w:ascii="MS UI Gothic" w:eastAsia="MS UI Gothic"/>
        </w:rPr>
      </w:pPr>
      <w:r>
        <w:t>第二十八条 煤矿安全监察机构发现煤矿矿井使用的设备</w:t>
      </w:r>
      <w:r>
        <w:rPr>
          <w:rFonts w:hint="eastAsia" w:ascii="MS UI Gothic" w:eastAsia="MS UI Gothic"/>
          <w:w w:val="80"/>
        </w:rPr>
        <w:t xml:space="preserve">、 </w:t>
      </w:r>
      <w:r>
        <w:t>器材</w:t>
      </w:r>
      <w:r>
        <w:rPr>
          <w:rFonts w:hint="eastAsia" w:ascii="MS UI Gothic" w:eastAsia="MS UI Gothic"/>
          <w:w w:val="80"/>
        </w:rPr>
        <w:t xml:space="preserve">、 </w:t>
      </w:r>
      <w:r>
        <w:t>仪器</w:t>
      </w:r>
      <w:r>
        <w:rPr>
          <w:rFonts w:hint="eastAsia" w:ascii="MS UI Gothic" w:eastAsia="MS UI Gothic"/>
          <w:w w:val="80"/>
        </w:rPr>
        <w:t xml:space="preserve">、 </w:t>
      </w:r>
      <w:r>
        <w:t>仪表</w:t>
      </w:r>
      <w:r>
        <w:rPr>
          <w:rFonts w:hint="eastAsia" w:ascii="MS UI Gothic" w:eastAsia="MS UI Gothic"/>
          <w:w w:val="80"/>
        </w:rPr>
        <w:t xml:space="preserve">、 </w:t>
      </w:r>
      <w:r>
        <w:t>防护用品不符合国家安全标准或者行业安全标准的</w:t>
      </w:r>
      <w:r>
        <w:rPr>
          <w:rFonts w:hint="eastAsia" w:ascii="MS UI Gothic" w:eastAsia="MS UI Gothic"/>
          <w:w w:val="80"/>
        </w:rPr>
        <w:t xml:space="preserve">ꎬ </w:t>
      </w:r>
      <w:r>
        <w:t>应当责令立即停止使用</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第二十九条 煤矿安全监察机构发现</w:t>
      </w:r>
      <w:r>
        <w:rPr>
          <w:spacing w:val="12"/>
        </w:rPr>
        <w:t>煤矿有下列情形之一的</w:t>
      </w:r>
      <w:r>
        <w:rPr>
          <w:rFonts w:hint="eastAsia" w:ascii="MS UI Gothic" w:eastAsia="MS UI Gothic"/>
          <w:w w:val="80"/>
        </w:rPr>
        <w:t xml:space="preserve">ꎬ </w:t>
      </w:r>
      <w:r>
        <w:rPr>
          <w:spacing w:val="15"/>
        </w:rPr>
        <w:t>应当责令限期</w:t>
      </w:r>
      <w:r>
        <w:rPr>
          <w:spacing w:val="3"/>
          <w:w w:val="110"/>
        </w:rPr>
        <w:t>改正</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spacing w:val="-34"/>
          <w:w w:val="125"/>
        </w:rPr>
        <w:t xml:space="preserve">( </w:t>
      </w:r>
      <w:r>
        <w:rPr>
          <w:spacing w:val="29"/>
          <w:w w:val="110"/>
        </w:rPr>
        <w:t>一</w:t>
      </w:r>
      <w:r>
        <w:rPr>
          <w:rFonts w:hint="eastAsia" w:ascii="MS UI Gothic" w:eastAsia="MS UI Gothic"/>
          <w:spacing w:val="-11"/>
          <w:w w:val="125"/>
        </w:rPr>
        <w:t xml:space="preserve">) </w:t>
      </w:r>
      <w:r>
        <w:rPr>
          <w:spacing w:val="41"/>
          <w:w w:val="110"/>
        </w:rPr>
        <w:t>未依法建立安全生产责任</w:t>
      </w:r>
      <w:r>
        <w:rPr>
          <w:spacing w:val="3"/>
          <w:w w:val="110"/>
        </w:rPr>
        <w:t>制的</w:t>
      </w:r>
      <w:r>
        <w:rPr>
          <w:rFonts w:hint="eastAsia" w:ascii="MS UI Gothic" w:eastAsia="MS UI Gothic"/>
          <w:w w:val="80"/>
        </w:rPr>
        <w:t>ꎻ</w:t>
      </w:r>
    </w:p>
    <w:p>
      <w:pPr>
        <w:pStyle w:val="6"/>
        <w:spacing w:before="123" w:line="295" w:lineRule="auto"/>
        <w:ind w:right="442"/>
        <w:rPr>
          <w:rFonts w:hint="eastAsia" w:ascii="MS UI Gothic" w:eastAsia="MS UI Gothic"/>
        </w:rPr>
      </w:pPr>
      <w:r>
        <w:br w:type="column"/>
      </w: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未设置安全生产机构或者配备</w:t>
      </w:r>
      <w:r>
        <w:rPr>
          <w:w w:val="110"/>
        </w:rPr>
        <w:t>安全生产人员的</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矿长不具备安全专业知识的</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特种作业人员未取得资格证书</w:t>
      </w:r>
      <w:r>
        <w:rPr>
          <w:w w:val="110"/>
        </w:rPr>
        <w:t>上岗作业的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分配职工上岗作业前</w:t>
      </w:r>
      <w:r>
        <w:rPr>
          <w:rFonts w:hint="eastAsia" w:ascii="MS UI Gothic" w:eastAsia="MS UI Gothic"/>
          <w:w w:val="80"/>
        </w:rPr>
        <w:t xml:space="preserve">ꎬ </w:t>
      </w:r>
      <w:r>
        <w:rPr>
          <w:w w:val="105"/>
        </w:rPr>
        <w:t>未进行安全教育</w:t>
      </w:r>
      <w:r>
        <w:rPr>
          <w:rFonts w:hint="eastAsia" w:ascii="MS UI Gothic" w:eastAsia="MS UI Gothic"/>
          <w:w w:val="80"/>
        </w:rPr>
        <w:t xml:space="preserve">、 </w:t>
      </w:r>
      <w:r>
        <w:rPr>
          <w:w w:val="105"/>
        </w:rPr>
        <w:t>培训的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未向职工发放保障安全生产所</w:t>
      </w:r>
      <w:r>
        <w:rPr>
          <w:w w:val="110"/>
        </w:rPr>
        <w:t>需的劳动防护用品的</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第三十条 煤矿安全监察人员发现煤矿作业场所的瓦斯</w:t>
      </w:r>
      <w:r>
        <w:rPr>
          <w:rFonts w:hint="eastAsia" w:ascii="MS UI Gothic" w:eastAsia="MS UI Gothic"/>
          <w:w w:val="80"/>
        </w:rPr>
        <w:t xml:space="preserve">、 </w:t>
      </w:r>
      <w:r>
        <w:rPr>
          <w:w w:val="105"/>
        </w:rPr>
        <w:t>粉尘或者其他有毒有</w:t>
      </w:r>
      <w:r>
        <w:t>害气体的浓度超过国家安全标准或者行业安全标准的</w:t>
      </w:r>
      <w:r>
        <w:rPr>
          <w:rFonts w:hint="eastAsia" w:ascii="MS UI Gothic" w:eastAsia="MS UI Gothic"/>
          <w:w w:val="80"/>
        </w:rPr>
        <w:t xml:space="preserve">ꎬ </w:t>
      </w:r>
      <w:r>
        <w:t>煤矿擅自开采保安煤柱的</w:t>
      </w:r>
      <w:r>
        <w:rPr>
          <w:rFonts w:hint="eastAsia" w:ascii="MS UI Gothic" w:eastAsia="MS UI Gothic"/>
          <w:w w:val="80"/>
        </w:rPr>
        <w:t>ꎬ</w:t>
      </w:r>
      <w:r>
        <w:t>或者采用危及相邻煤矿生产安全的决水</w:t>
      </w:r>
      <w:r>
        <w:rPr>
          <w:rFonts w:hint="eastAsia" w:ascii="MS UI Gothic" w:eastAsia="MS UI Gothic"/>
          <w:w w:val="80"/>
        </w:rPr>
        <w:t>、</w:t>
      </w:r>
      <w:r>
        <w:rPr>
          <w:w w:val="105"/>
        </w:rPr>
        <w:t>爆破</w:t>
      </w:r>
      <w:r>
        <w:rPr>
          <w:rFonts w:hint="eastAsia" w:ascii="MS UI Gothic" w:eastAsia="MS UI Gothic"/>
          <w:w w:val="80"/>
        </w:rPr>
        <w:t xml:space="preserve">、 </w:t>
      </w:r>
      <w:r>
        <w:rPr>
          <w:w w:val="105"/>
        </w:rPr>
        <w:t>贯通巷道等危险方法进行采矿作业</w:t>
      </w:r>
      <w:r>
        <w:t>的</w:t>
      </w:r>
      <w:r>
        <w:rPr>
          <w:rFonts w:hint="eastAsia" w:ascii="MS UI Gothic" w:eastAsia="MS UI Gothic"/>
          <w:w w:val="80"/>
        </w:rPr>
        <w:t xml:space="preserve">ꎬ </w:t>
      </w:r>
      <w:r>
        <w:t>应当责令立即停止作业</w:t>
      </w:r>
      <w:r>
        <w:rPr>
          <w:rFonts w:hint="eastAsia" w:ascii="MS UI Gothic" w:eastAsia="MS UI Gothic"/>
          <w:w w:val="80"/>
        </w:rPr>
        <w:t xml:space="preserve">ꎬ </w:t>
      </w:r>
      <w:r>
        <w:t>并将有关情</w:t>
      </w:r>
      <w:r>
        <w:rPr>
          <w:w w:val="105"/>
        </w:rPr>
        <w:t>况报告煤矿安全监察机构</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第三十一条 煤矿安全监察人员发现</w:t>
      </w:r>
      <w:r>
        <w:t>煤矿矿长或者其他主管人员违章指挥工人</w:t>
      </w:r>
      <w:r>
        <w:rPr>
          <w:w w:val="105"/>
        </w:rPr>
        <w:t>或者强令工人违章</w:t>
      </w:r>
      <w:r>
        <w:rPr>
          <w:rFonts w:hint="eastAsia" w:ascii="MS UI Gothic" w:eastAsia="MS UI Gothic"/>
          <w:w w:val="80"/>
        </w:rPr>
        <w:t xml:space="preserve">、 </w:t>
      </w:r>
      <w:r>
        <w:rPr>
          <w:w w:val="105"/>
        </w:rPr>
        <w:t>冒险作业</w:t>
      </w:r>
      <w:r>
        <w:rPr>
          <w:rFonts w:hint="eastAsia" w:ascii="MS UI Gothic" w:eastAsia="MS UI Gothic"/>
          <w:w w:val="80"/>
        </w:rPr>
        <w:t xml:space="preserve">ꎬ </w:t>
      </w:r>
      <w:r>
        <w:rPr>
          <w:w w:val="105"/>
        </w:rPr>
        <w:t>或者发现</w:t>
      </w:r>
      <w:r>
        <w:t>工人违章作业的</w:t>
      </w:r>
      <w:r>
        <w:rPr>
          <w:rFonts w:hint="eastAsia" w:ascii="MS UI Gothic" w:eastAsia="MS UI Gothic"/>
          <w:w w:val="80"/>
        </w:rPr>
        <w:t xml:space="preserve">ꎬ </w:t>
      </w:r>
      <w:r>
        <w:t>应当立即纠正或者责令</w:t>
      </w:r>
      <w:r>
        <w:rPr>
          <w:w w:val="105"/>
        </w:rPr>
        <w:t>立即停止作业</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第三十二条 煤矿安全监察机构及其</w:t>
      </w:r>
      <w:r>
        <w:rPr>
          <w:spacing w:val="3"/>
        </w:rPr>
        <w:t>煤矿安全监察人员履行安全监察职责</w:t>
      </w:r>
      <w:r>
        <w:rPr>
          <w:rFonts w:hint="eastAsia" w:ascii="MS UI Gothic" w:eastAsia="MS UI Gothic"/>
          <w:spacing w:val="20"/>
          <w:w w:val="80"/>
        </w:rPr>
        <w:t xml:space="preserve">ꎬ </w:t>
      </w:r>
      <w:r>
        <w:t>向</w:t>
      </w:r>
      <w:r>
        <w:rPr>
          <w:spacing w:val="3"/>
        </w:rPr>
        <w:t>煤矿有关人员了解情况时</w:t>
      </w:r>
      <w:r>
        <w:rPr>
          <w:rFonts w:hint="eastAsia" w:ascii="MS UI Gothic" w:eastAsia="MS UI Gothic"/>
          <w:spacing w:val="20"/>
          <w:w w:val="80"/>
        </w:rPr>
        <w:t xml:space="preserve">ꎬ </w:t>
      </w:r>
      <w:r>
        <w:rPr>
          <w:spacing w:val="2"/>
        </w:rPr>
        <w:t>有关人员应当</w:t>
      </w:r>
      <w:r>
        <w:rPr>
          <w:spacing w:val="3"/>
        </w:rPr>
        <w:t>如实反映情况</w:t>
      </w:r>
      <w:r>
        <w:rPr>
          <w:rFonts w:hint="eastAsia" w:ascii="MS UI Gothic" w:eastAsia="MS UI Gothic"/>
          <w:spacing w:val="23"/>
          <w:w w:val="80"/>
        </w:rPr>
        <w:t xml:space="preserve">ꎬ </w:t>
      </w:r>
      <w:r>
        <w:rPr>
          <w:spacing w:val="3"/>
        </w:rPr>
        <w:t>不得提供虚假情况</w:t>
      </w:r>
      <w:r>
        <w:rPr>
          <w:rFonts w:hint="eastAsia" w:ascii="MS UI Gothic" w:eastAsia="MS UI Gothic"/>
          <w:spacing w:val="23"/>
          <w:w w:val="80"/>
        </w:rPr>
        <w:t xml:space="preserve">ꎬ </w:t>
      </w:r>
      <w:r>
        <w:rPr>
          <w:spacing w:val="1"/>
        </w:rPr>
        <w:t>不得</w:t>
      </w:r>
      <w:r>
        <w:rPr>
          <w:spacing w:val="2"/>
        </w:rPr>
        <w:t>隐瞒本煤矿存在的事故隐患以及其他安全</w:t>
      </w:r>
      <w:r>
        <w:rPr>
          <w:spacing w:val="3"/>
        </w:rPr>
        <w:t>问题</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第三十三条 煤矿安全监察机构依照</w:t>
      </w:r>
      <w:r>
        <w:rPr>
          <w:spacing w:val="11"/>
        </w:rPr>
        <w:t>本条例的规定责令煤矿限期解决事故隐</w:t>
      </w:r>
      <w:r>
        <w:rPr>
          <w:spacing w:val="3"/>
          <w:w w:val="105"/>
        </w:rPr>
        <w:t>患</w:t>
      </w:r>
      <w:r>
        <w:rPr>
          <w:rFonts w:hint="eastAsia" w:ascii="MS UI Gothic" w:eastAsia="MS UI Gothic"/>
          <w:spacing w:val="-2"/>
          <w:w w:val="80"/>
        </w:rPr>
        <w:t xml:space="preserve">、 </w:t>
      </w:r>
      <w:r>
        <w:rPr>
          <w:spacing w:val="2"/>
          <w:w w:val="105"/>
        </w:rPr>
        <w:t>限期改正影响煤矿安全的违法行为或</w:t>
      </w:r>
      <w:r>
        <w:rPr>
          <w:spacing w:val="3"/>
        </w:rPr>
        <w:t>者限期使安全设施和条件达到要求的</w:t>
      </w:r>
      <w:r>
        <w:rPr>
          <w:rFonts w:hint="eastAsia" w:ascii="MS UI Gothic" w:eastAsia="MS UI Gothic"/>
          <w:spacing w:val="20"/>
          <w:w w:val="80"/>
        </w:rPr>
        <w:t xml:space="preserve">ꎬ </w:t>
      </w:r>
      <w:r>
        <w:t>应</w:t>
      </w:r>
      <w:r>
        <w:rPr>
          <w:spacing w:val="2"/>
        </w:rPr>
        <w:t>当在限期届满时及时对煤矿的执行情况进</w:t>
      </w:r>
      <w:r>
        <w:rPr>
          <w:spacing w:val="12"/>
        </w:rPr>
        <w:t>行复查并签署复查意见</w:t>
      </w:r>
      <w:r>
        <w:rPr>
          <w:rFonts w:hint="eastAsia" w:ascii="MS UI Gothic" w:eastAsia="MS UI Gothic"/>
          <w:spacing w:val="23"/>
          <w:w w:val="80"/>
        </w:rPr>
        <w:t xml:space="preserve">ꎻ </w:t>
      </w:r>
      <w:r>
        <w:rPr>
          <w:spacing w:val="15"/>
        </w:rPr>
        <w:t>经有关煤矿申</w:t>
      </w:r>
      <w:r>
        <w:rPr>
          <w:spacing w:val="3"/>
        </w:rPr>
        <w:t>请</w:t>
      </w:r>
      <w:r>
        <w:rPr>
          <w:rFonts w:hint="eastAsia" w:ascii="MS UI Gothic" w:eastAsia="MS UI Gothic"/>
          <w:spacing w:val="20"/>
          <w:w w:val="80"/>
        </w:rPr>
        <w:t xml:space="preserve">ꎬ </w:t>
      </w:r>
      <w:r>
        <w:rPr>
          <w:spacing w:val="2"/>
        </w:rPr>
        <w:t>也可以在限期内进行复查并签署复查</w:t>
      </w:r>
      <w:r>
        <w:rPr>
          <w:spacing w:val="3"/>
          <w:w w:val="105"/>
        </w:rPr>
        <w:t>意见</w:t>
      </w:r>
      <w:r>
        <w:rPr>
          <w:rFonts w:hint="eastAsia" w:ascii="MS UI Gothic" w:eastAsia="MS UI Gothic"/>
          <w:w w:val="80"/>
        </w:rPr>
        <w:t>ꎮ</w:t>
      </w:r>
    </w:p>
    <w:p>
      <w:pPr>
        <w:pStyle w:val="6"/>
        <w:spacing w:line="295" w:lineRule="auto"/>
        <w:ind w:right="442"/>
      </w:pPr>
      <w:r>
        <w:t>煤矿安全监察机构及其煤矿安全监察人员依照本条例的规定责令煤矿立即停止作业</w:t>
      </w:r>
      <w:r>
        <w:rPr>
          <w:rFonts w:hint="eastAsia" w:ascii="MS UI Gothic" w:eastAsia="MS UI Gothic"/>
          <w:w w:val="80"/>
        </w:rPr>
        <w:t xml:space="preserve">ꎬ </w:t>
      </w:r>
      <w:r>
        <w:t>责令立即停止使用不符合国家安全</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２２１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93" o:spid="_x0000_s1693" o:spt="203" style="height:2.15pt;width:398.25pt;" coordsize="7965,43">
            <o:lock v:ext="edit"/>
            <v:line id="_x0000_s1694" o:spid="_x0000_s1694" o:spt="20" style="position:absolute;left:0;top:39;height:0;width:7965;" stroked="t" coordsize="21600,21600">
              <v:path arrowok="t"/>
              <v:fill focussize="0,0"/>
              <v:stroke weight="0.388031496062992pt" color="#231F20"/>
              <v:imagedata o:title=""/>
              <o:lock v:ext="edit"/>
            </v:line>
            <v:line id="_x0000_s1695" o:spid="_x0000_s169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标准或者行业安全标准的设备</w:t>
      </w:r>
      <w:r>
        <w:rPr>
          <w:rFonts w:hint="eastAsia" w:ascii="MS UI Gothic" w:eastAsia="MS UI Gothic"/>
          <w:w w:val="80"/>
        </w:rPr>
        <w:t xml:space="preserve">、 </w:t>
      </w:r>
      <w:r>
        <w:t>器材</w:t>
      </w:r>
      <w:r>
        <w:rPr>
          <w:rFonts w:hint="eastAsia" w:ascii="MS UI Gothic" w:eastAsia="MS UI Gothic"/>
          <w:w w:val="80"/>
        </w:rPr>
        <w:t xml:space="preserve">、 </w:t>
      </w:r>
      <w:r>
        <w:t>仪器</w:t>
      </w:r>
      <w:r>
        <w:rPr>
          <w:rFonts w:hint="eastAsia" w:ascii="MS UI Gothic" w:eastAsia="MS UI Gothic"/>
          <w:w w:val="80"/>
        </w:rPr>
        <w:t xml:space="preserve">、 </w:t>
      </w:r>
      <w:r>
        <w:t>仪表</w:t>
      </w:r>
      <w:r>
        <w:rPr>
          <w:rFonts w:hint="eastAsia" w:ascii="MS UI Gothic" w:eastAsia="MS UI Gothic"/>
          <w:w w:val="80"/>
        </w:rPr>
        <w:t xml:space="preserve">、 </w:t>
      </w:r>
      <w:r>
        <w:t>防护用品</w:t>
      </w:r>
      <w:r>
        <w:rPr>
          <w:rFonts w:hint="eastAsia" w:ascii="MS UI Gothic" w:eastAsia="MS UI Gothic"/>
          <w:w w:val="80"/>
        </w:rPr>
        <w:t xml:space="preserve">ꎬ </w:t>
      </w:r>
      <w:r>
        <w:t>或者责令关闭矿井的</w:t>
      </w:r>
      <w:r>
        <w:rPr>
          <w:rFonts w:hint="eastAsia" w:ascii="MS UI Gothic" w:eastAsia="MS UI Gothic"/>
          <w:w w:val="80"/>
        </w:rPr>
        <w:t xml:space="preserve">ꎬ </w:t>
      </w:r>
      <w:r>
        <w:t>应当对煤矿的执行情况随时进行检查</w:t>
      </w:r>
      <w:r>
        <w:rPr>
          <w:rFonts w:hint="eastAsia" w:ascii="MS UI Gothic" w:eastAsia="MS UI Gothic"/>
          <w:w w:val="80"/>
        </w:rPr>
        <w:t>ꎮ</w:t>
      </w:r>
    </w:p>
    <w:p>
      <w:pPr>
        <w:pStyle w:val="6"/>
        <w:spacing w:line="295" w:lineRule="auto"/>
        <w:ind w:left="440" w:right="1"/>
        <w:rPr>
          <w:rFonts w:hint="eastAsia" w:ascii="MS UI Gothic" w:eastAsia="MS UI Gothic"/>
        </w:rPr>
      </w:pPr>
      <w:r>
        <w:t>第三十四条 煤矿安全监察机构及其煤矿安全监察人员履行安全监察职责</w:t>
      </w:r>
      <w:r>
        <w:rPr>
          <w:rFonts w:hint="eastAsia" w:ascii="MS UI Gothic" w:eastAsia="MS UI Gothic"/>
          <w:w w:val="80"/>
        </w:rPr>
        <w:t xml:space="preserve">ꎬ </w:t>
      </w:r>
      <w:r>
        <w:t>应当出示安全监察证件</w:t>
      </w:r>
      <w:r>
        <w:rPr>
          <w:rFonts w:hint="eastAsia" w:ascii="MS UI Gothic" w:eastAsia="MS UI Gothic"/>
          <w:w w:val="80"/>
        </w:rPr>
        <w:t xml:space="preserve">ꎮ </w:t>
      </w:r>
      <w:r>
        <w:t>发出安全监察指令</w:t>
      </w:r>
      <w:r>
        <w:rPr>
          <w:rFonts w:hint="eastAsia" w:ascii="MS UI Gothic" w:eastAsia="MS UI Gothic"/>
          <w:w w:val="80"/>
        </w:rPr>
        <w:t xml:space="preserve">ꎬ </w:t>
      </w:r>
      <w:r>
        <w:t>应当采用书面通知形式</w:t>
      </w:r>
      <w:r>
        <w:rPr>
          <w:rFonts w:hint="eastAsia" w:ascii="MS UI Gothic" w:eastAsia="MS UI Gothic"/>
          <w:w w:val="80"/>
        </w:rPr>
        <w:t xml:space="preserve">ꎻ </w:t>
      </w:r>
      <w:r>
        <w:t>紧急情况下需要采取紧急处置措施</w:t>
      </w:r>
      <w:r>
        <w:rPr>
          <w:rFonts w:hint="eastAsia" w:ascii="MS UI Gothic" w:eastAsia="MS UI Gothic"/>
          <w:w w:val="80"/>
        </w:rPr>
        <w:t xml:space="preserve">ꎬ </w:t>
      </w:r>
      <w:r>
        <w:t>来不及书面通知的</w:t>
      </w:r>
      <w:r>
        <w:rPr>
          <w:rFonts w:hint="eastAsia" w:ascii="MS UI Gothic" w:eastAsia="MS UI Gothic"/>
          <w:w w:val="80"/>
        </w:rPr>
        <w:t xml:space="preserve">ꎬ </w:t>
      </w:r>
      <w:r>
        <w:t>应当随后补充书面通知</w:t>
      </w:r>
      <w:r>
        <w:rPr>
          <w:rFonts w:hint="eastAsia" w:ascii="MS UI Gothic" w:eastAsia="MS UI Gothic"/>
          <w:w w:val="80"/>
        </w:rPr>
        <w:t>ꎮ</w:t>
      </w:r>
    </w:p>
    <w:p>
      <w:pPr>
        <w:pStyle w:val="6"/>
        <w:tabs>
          <w:tab w:val="left" w:pos="2327"/>
          <w:tab w:val="left" w:pos="2956"/>
        </w:tabs>
        <w:spacing w:before="149"/>
        <w:ind w:left="1488" w:firstLine="0"/>
        <w:jc w:val="left"/>
      </w:pPr>
      <w:r>
        <w:rPr>
          <w:spacing w:val="3"/>
          <w:w w:val="105"/>
        </w:rPr>
        <w:t>第四</w:t>
      </w:r>
      <w:r>
        <w:rPr>
          <w:w w:val="105"/>
        </w:rPr>
        <w:t>章</w:t>
      </w:r>
      <w:r>
        <w:rPr>
          <w:w w:val="105"/>
        </w:rPr>
        <w:tab/>
      </w:r>
      <w:r>
        <w:rPr>
          <w:w w:val="105"/>
        </w:rPr>
        <w:t>罚</w:t>
      </w:r>
      <w:r>
        <w:rPr>
          <w:w w:val="105"/>
        </w:rPr>
        <w:tab/>
      </w:r>
      <w:r>
        <w:rPr>
          <w:w w:val="105"/>
        </w:rPr>
        <w:t>则</w:t>
      </w:r>
    </w:p>
    <w:p>
      <w:pPr>
        <w:pStyle w:val="6"/>
        <w:spacing w:before="216" w:line="295" w:lineRule="auto"/>
        <w:ind w:left="440" w:right="1"/>
        <w:rPr>
          <w:rFonts w:hint="eastAsia" w:ascii="MS UI Gothic" w:eastAsia="MS UI Gothic"/>
        </w:rPr>
      </w:pPr>
      <w:r>
        <w:rPr>
          <w:spacing w:val="4"/>
        </w:rPr>
        <w:t>第三十五条 煤矿建设工程安全设施</w:t>
      </w:r>
      <w:r>
        <w:rPr>
          <w:spacing w:val="3"/>
        </w:rPr>
        <w:t>设计未经煤矿安全监察机构审查同意</w:t>
      </w:r>
      <w:r>
        <w:rPr>
          <w:rFonts w:hint="eastAsia" w:ascii="MS UI Gothic" w:eastAsia="MS UI Gothic"/>
          <w:spacing w:val="21"/>
          <w:w w:val="80"/>
        </w:rPr>
        <w:t xml:space="preserve">ꎬ </w:t>
      </w:r>
      <w:r>
        <w:t>擅</w:t>
      </w:r>
      <w:r>
        <w:rPr>
          <w:spacing w:val="3"/>
        </w:rPr>
        <w:t>自施工的</w:t>
      </w:r>
      <w:r>
        <w:rPr>
          <w:rFonts w:hint="eastAsia" w:ascii="MS UI Gothic" w:eastAsia="MS UI Gothic"/>
          <w:spacing w:val="21"/>
          <w:w w:val="80"/>
        </w:rPr>
        <w:t xml:space="preserve">ꎬ </w:t>
      </w:r>
      <w:r>
        <w:rPr>
          <w:spacing w:val="2"/>
        </w:rPr>
        <w:t>由煤矿安全监察机构责令停止</w:t>
      </w:r>
      <w:r>
        <w:rPr>
          <w:spacing w:val="3"/>
        </w:rPr>
        <w:t>施工</w:t>
      </w:r>
      <w:r>
        <w:rPr>
          <w:rFonts w:hint="eastAsia" w:ascii="MS UI Gothic" w:eastAsia="MS UI Gothic"/>
          <w:spacing w:val="23"/>
          <w:w w:val="80"/>
        </w:rPr>
        <w:t xml:space="preserve">ꎻ </w:t>
      </w:r>
      <w:r>
        <w:rPr>
          <w:spacing w:val="3"/>
        </w:rPr>
        <w:t>拒不执行的</w:t>
      </w:r>
      <w:r>
        <w:rPr>
          <w:rFonts w:hint="eastAsia" w:ascii="MS UI Gothic" w:eastAsia="MS UI Gothic"/>
          <w:spacing w:val="23"/>
          <w:w w:val="80"/>
        </w:rPr>
        <w:t xml:space="preserve">ꎬ </w:t>
      </w:r>
      <w:r>
        <w:rPr>
          <w:spacing w:val="2"/>
        </w:rPr>
        <w:t>由煤矿安全监察机构</w:t>
      </w:r>
      <w:r>
        <w:rPr>
          <w:spacing w:val="10"/>
        </w:rPr>
        <w:t>移送地质矿产主管部门依法吊销采矿许</w:t>
      </w:r>
      <w:r>
        <w:rPr>
          <w:spacing w:val="3"/>
        </w:rPr>
        <w:t>可证</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第三十六条 煤矿建设工程安全设施</w:t>
      </w:r>
      <w:r>
        <w:rPr>
          <w:spacing w:val="3"/>
        </w:rPr>
        <w:t>和条件未经验收或者验收不合格</w:t>
      </w:r>
      <w:r>
        <w:rPr>
          <w:rFonts w:hint="eastAsia" w:ascii="MS UI Gothic" w:eastAsia="MS UI Gothic"/>
          <w:spacing w:val="14"/>
          <w:w w:val="85"/>
        </w:rPr>
        <w:t xml:space="preserve">ꎬ </w:t>
      </w:r>
      <w:r>
        <w:rPr>
          <w:spacing w:val="1"/>
        </w:rPr>
        <w:t>擅自投</w:t>
      </w:r>
      <w:r>
        <w:rPr>
          <w:spacing w:val="3"/>
        </w:rPr>
        <w:t>入生产的</w:t>
      </w:r>
      <w:r>
        <w:rPr>
          <w:rFonts w:hint="eastAsia" w:ascii="MS UI Gothic" w:eastAsia="MS UI Gothic"/>
          <w:spacing w:val="14"/>
          <w:w w:val="85"/>
        </w:rPr>
        <w:t xml:space="preserve">ꎬ </w:t>
      </w:r>
      <w:r>
        <w:rPr>
          <w:spacing w:val="2"/>
        </w:rPr>
        <w:t>由煤矿安全监察机构责令停止生产</w:t>
      </w:r>
      <w:r>
        <w:rPr>
          <w:rFonts w:hint="eastAsia" w:ascii="MS UI Gothic" w:eastAsia="MS UI Gothic"/>
          <w:spacing w:val="9"/>
          <w:w w:val="85"/>
        </w:rPr>
        <w:t xml:space="preserve">ꎬ </w:t>
      </w:r>
      <w:r>
        <w:rPr>
          <w:spacing w:val="-34"/>
        </w:rPr>
        <w:t xml:space="preserve">处 </w:t>
      </w:r>
      <w:r>
        <w:rPr>
          <w:rFonts w:hint="eastAsia" w:ascii="MS UI Gothic" w:eastAsia="MS UI Gothic"/>
          <w:spacing w:val="-12"/>
        </w:rPr>
        <w:t xml:space="preserve">５ </w:t>
      </w:r>
      <w:r>
        <w:rPr>
          <w:spacing w:val="-12"/>
        </w:rPr>
        <w:t xml:space="preserve">万元以上 </w:t>
      </w:r>
      <w:r>
        <w:rPr>
          <w:rFonts w:hint="eastAsia" w:ascii="MS UI Gothic" w:eastAsia="MS UI Gothic"/>
          <w:spacing w:val="-5"/>
          <w:w w:val="85"/>
        </w:rPr>
        <w:t xml:space="preserve">１０ </w:t>
      </w:r>
      <w:r>
        <w:rPr>
          <w:spacing w:val="3"/>
        </w:rPr>
        <w:t>万元以下的罚款</w:t>
      </w:r>
      <w:r>
        <w:rPr>
          <w:rFonts w:hint="eastAsia" w:ascii="MS UI Gothic" w:eastAsia="MS UI Gothic"/>
          <w:w w:val="85"/>
        </w:rPr>
        <w:t>ꎻ</w:t>
      </w:r>
      <w:r>
        <w:rPr>
          <w:spacing w:val="3"/>
        </w:rPr>
        <w:t>拒不停止生产的</w:t>
      </w:r>
      <w:r>
        <w:rPr>
          <w:rFonts w:hint="eastAsia" w:ascii="MS UI Gothic" w:eastAsia="MS UI Gothic"/>
          <w:spacing w:val="14"/>
          <w:w w:val="85"/>
        </w:rPr>
        <w:t xml:space="preserve">ꎬ </w:t>
      </w:r>
      <w:r>
        <w:rPr>
          <w:spacing w:val="2"/>
        </w:rPr>
        <w:t>由煤矿安全监察机构移</w:t>
      </w:r>
      <w:r>
        <w:rPr>
          <w:spacing w:val="25"/>
        </w:rPr>
        <w:t>送地质矿产主管部门依法吊销采矿许</w:t>
      </w:r>
      <w:r>
        <w:rPr>
          <w:spacing w:val="3"/>
        </w:rPr>
        <w:t>可证</w:t>
      </w:r>
      <w:r>
        <w:rPr>
          <w:rFonts w:hint="eastAsia" w:ascii="MS UI Gothic" w:eastAsia="MS UI Gothic"/>
          <w:w w:val="85"/>
        </w:rPr>
        <w:t>ꎮ</w:t>
      </w:r>
    </w:p>
    <w:p>
      <w:pPr>
        <w:pStyle w:val="6"/>
        <w:spacing w:line="295" w:lineRule="auto"/>
        <w:ind w:left="440"/>
        <w:rPr>
          <w:rFonts w:hint="eastAsia" w:ascii="MS UI Gothic" w:eastAsia="MS UI Gothic"/>
        </w:rPr>
      </w:pPr>
      <w:r>
        <w:t>第三十七条 煤矿矿井通风</w:t>
      </w:r>
      <w:r>
        <w:rPr>
          <w:rFonts w:hint="eastAsia" w:ascii="MS UI Gothic" w:eastAsia="MS UI Gothic"/>
          <w:w w:val="80"/>
        </w:rPr>
        <w:t xml:space="preserve">、 </w:t>
      </w:r>
      <w:r>
        <w:t>防火</w:t>
      </w:r>
      <w:r>
        <w:rPr>
          <w:rFonts w:hint="eastAsia" w:ascii="MS UI Gothic" w:eastAsia="MS UI Gothic"/>
          <w:w w:val="80"/>
        </w:rPr>
        <w:t>、</w:t>
      </w:r>
      <w:r>
        <w:t>防水</w:t>
      </w:r>
      <w:r>
        <w:rPr>
          <w:rFonts w:hint="eastAsia" w:ascii="MS UI Gothic" w:eastAsia="MS UI Gothic"/>
          <w:w w:val="80"/>
        </w:rPr>
        <w:t xml:space="preserve">、 </w:t>
      </w:r>
      <w:r>
        <w:t>防瓦斯</w:t>
      </w:r>
      <w:r>
        <w:rPr>
          <w:rFonts w:hint="eastAsia" w:ascii="MS UI Gothic" w:eastAsia="MS UI Gothic"/>
          <w:w w:val="80"/>
        </w:rPr>
        <w:t xml:space="preserve">、 </w:t>
      </w:r>
      <w:r>
        <w:t>防毒</w:t>
      </w:r>
      <w:r>
        <w:rPr>
          <w:rFonts w:hint="eastAsia" w:ascii="MS UI Gothic" w:eastAsia="MS UI Gothic"/>
          <w:w w:val="80"/>
        </w:rPr>
        <w:t xml:space="preserve">、 </w:t>
      </w:r>
      <w:r>
        <w:t>防尘等安全设施和条件不符合国家安全标准</w:t>
      </w:r>
      <w:r>
        <w:rPr>
          <w:rFonts w:hint="eastAsia" w:ascii="MS UI Gothic" w:eastAsia="MS UI Gothic"/>
          <w:w w:val="80"/>
        </w:rPr>
        <w:t xml:space="preserve">、 </w:t>
      </w:r>
      <w:r>
        <w:t>行业安全标准</w:t>
      </w:r>
      <w:r>
        <w:rPr>
          <w:rFonts w:hint="eastAsia" w:ascii="MS UI Gothic" w:eastAsia="MS UI Gothic"/>
          <w:w w:val="80"/>
        </w:rPr>
        <w:t xml:space="preserve">、 </w:t>
      </w:r>
      <w:r>
        <w:t>煤矿安全规程和行业技术规范的要求</w:t>
      </w:r>
      <w:r>
        <w:rPr>
          <w:rFonts w:hint="eastAsia" w:ascii="MS UI Gothic" w:eastAsia="MS UI Gothic"/>
          <w:w w:val="80"/>
        </w:rPr>
        <w:t xml:space="preserve">ꎬ </w:t>
      </w:r>
      <w:r>
        <w:t>经煤矿安全监察机构责令限期达到要求</w:t>
      </w:r>
      <w:r>
        <w:rPr>
          <w:rFonts w:hint="eastAsia" w:ascii="MS UI Gothic" w:eastAsia="MS UI Gothic"/>
          <w:w w:val="80"/>
        </w:rPr>
        <w:t xml:space="preserve">ꎬ </w:t>
      </w:r>
      <w:r>
        <w:t>逾期仍达不到要求的</w:t>
      </w:r>
      <w:r>
        <w:rPr>
          <w:rFonts w:hint="eastAsia" w:ascii="MS UI Gothic" w:eastAsia="MS UI Gothic"/>
          <w:w w:val="80"/>
        </w:rPr>
        <w:t xml:space="preserve">ꎬ </w:t>
      </w:r>
      <w:r>
        <w:t>由煤矿安全监察机构责令停产整顿</w:t>
      </w:r>
      <w:r>
        <w:rPr>
          <w:rFonts w:hint="eastAsia" w:ascii="MS UI Gothic" w:eastAsia="MS UI Gothic"/>
          <w:w w:val="80"/>
        </w:rPr>
        <w:t xml:space="preserve">ꎻ </w:t>
      </w:r>
      <w:r>
        <w:t>经停产整顿仍不具备安全生产条件的</w:t>
      </w:r>
      <w:r>
        <w:rPr>
          <w:rFonts w:hint="eastAsia" w:ascii="MS UI Gothic" w:eastAsia="MS UI Gothic"/>
          <w:w w:val="80"/>
        </w:rPr>
        <w:t xml:space="preserve">ꎬ </w:t>
      </w:r>
      <w:r>
        <w:t>由煤矿安全监察机构决定吊销安全生产许可证</w:t>
      </w:r>
      <w:r>
        <w:rPr>
          <w:rFonts w:hint="eastAsia" w:ascii="MS UI Gothic" w:eastAsia="MS UI Gothic"/>
          <w:w w:val="80"/>
        </w:rPr>
        <w:t xml:space="preserve">ꎬ </w:t>
      </w:r>
      <w:r>
        <w:t>并移送地质矿产主管部门依法吊销采矿许可证</w:t>
      </w:r>
      <w:r>
        <w:rPr>
          <w:rFonts w:hint="eastAsia" w:ascii="MS UI Gothic" w:eastAsia="MS UI Gothic"/>
          <w:w w:val="80"/>
        </w:rPr>
        <w:t>ꎮ</w:t>
      </w:r>
    </w:p>
    <w:p>
      <w:pPr>
        <w:pStyle w:val="6"/>
        <w:spacing w:line="295" w:lineRule="auto"/>
        <w:ind w:left="440" w:right="1"/>
      </w:pPr>
      <w:r>
        <w:rPr>
          <w:w w:val="105"/>
        </w:rPr>
        <w:t>第三十八条 煤矿作业场所未使用专用防爆电器设备</w:t>
      </w:r>
      <w:r>
        <w:rPr>
          <w:rFonts w:hint="eastAsia" w:ascii="MS UI Gothic" w:eastAsia="MS UI Gothic"/>
          <w:w w:val="80"/>
        </w:rPr>
        <w:t xml:space="preserve">、 </w:t>
      </w:r>
      <w:r>
        <w:rPr>
          <w:w w:val="105"/>
        </w:rPr>
        <w:t>专用放炮器</w:t>
      </w:r>
      <w:r>
        <w:rPr>
          <w:rFonts w:hint="eastAsia" w:ascii="MS UI Gothic" w:eastAsia="MS UI Gothic"/>
          <w:w w:val="80"/>
        </w:rPr>
        <w:t xml:space="preserve">、 </w:t>
      </w:r>
      <w:r>
        <w:rPr>
          <w:w w:val="105"/>
        </w:rPr>
        <w:t>人员专用</w:t>
      </w:r>
      <w:r>
        <w:t>升降容器或者使用明火明电照明</w:t>
      </w:r>
      <w:r>
        <w:rPr>
          <w:rFonts w:hint="eastAsia" w:ascii="MS UI Gothic" w:eastAsia="MS UI Gothic"/>
          <w:w w:val="80"/>
        </w:rPr>
        <w:t xml:space="preserve">ꎬ </w:t>
      </w:r>
      <w:r>
        <w:t>经煤矿安全监察机构责令限期改正</w:t>
      </w:r>
      <w:r>
        <w:rPr>
          <w:rFonts w:hint="eastAsia" w:ascii="MS UI Gothic" w:eastAsia="MS UI Gothic"/>
          <w:w w:val="80"/>
        </w:rPr>
        <w:t xml:space="preserve">ꎬ </w:t>
      </w:r>
      <w:r>
        <w:t>逾期不改正</w:t>
      </w:r>
    </w:p>
    <w:p>
      <w:pPr>
        <w:pStyle w:val="6"/>
        <w:spacing w:before="124" w:line="295" w:lineRule="auto"/>
        <w:ind w:left="381" w:right="124" w:firstLine="0"/>
        <w:rPr>
          <w:rFonts w:hint="eastAsia" w:ascii="MS UI Gothic" w:eastAsia="MS UI Gothic"/>
        </w:rPr>
      </w:pPr>
      <w:r>
        <w:br w:type="column"/>
      </w:r>
      <w:r>
        <w:t>的</w:t>
      </w:r>
      <w:r>
        <w:rPr>
          <w:rFonts w:hint="eastAsia" w:ascii="MS UI Gothic" w:eastAsia="MS UI Gothic"/>
          <w:w w:val="80"/>
        </w:rPr>
        <w:t xml:space="preserve">ꎬ </w:t>
      </w:r>
      <w:r>
        <w:t>由煤矿安全监察机构责令停产整顿</w:t>
      </w:r>
      <w:r>
        <w:rPr>
          <w:rFonts w:hint="eastAsia" w:ascii="MS UI Gothic" w:eastAsia="MS UI Gothic"/>
          <w:w w:val="80"/>
        </w:rPr>
        <w:t>ꎬ</w:t>
      </w:r>
      <w:r>
        <w:t xml:space="preserve">可以处 </w:t>
      </w:r>
      <w:r>
        <w:rPr>
          <w:rFonts w:hint="eastAsia" w:ascii="MS UI Gothic" w:eastAsia="MS UI Gothic"/>
        </w:rPr>
        <w:t xml:space="preserve">３ </w:t>
      </w:r>
      <w:r>
        <w:t>万元以下的罚款</w:t>
      </w:r>
      <w:r>
        <w:rPr>
          <w:rFonts w:hint="eastAsia" w:ascii="MS UI Gothic" w:eastAsia="MS UI Gothic"/>
          <w:w w:val="80"/>
        </w:rPr>
        <w:t>ꎮ</w:t>
      </w:r>
    </w:p>
    <w:p>
      <w:pPr>
        <w:pStyle w:val="6"/>
        <w:spacing w:line="295" w:lineRule="auto"/>
        <w:ind w:left="381" w:right="126"/>
        <w:rPr>
          <w:rFonts w:hint="eastAsia" w:ascii="MS UI Gothic" w:eastAsia="MS UI Gothic"/>
        </w:rPr>
      </w:pPr>
      <w:r>
        <w:t>第三十九条 未依法提取或者使用煤矿安全技术措施专项费用</w:t>
      </w:r>
      <w:r>
        <w:rPr>
          <w:rFonts w:hint="eastAsia" w:ascii="MS UI Gothic" w:eastAsia="MS UI Gothic"/>
          <w:w w:val="80"/>
        </w:rPr>
        <w:t xml:space="preserve">ꎬ </w:t>
      </w:r>
      <w:r>
        <w:t>或者使用不符合国家安全标准或者行业安全标准的设备</w:t>
      </w:r>
      <w:r>
        <w:rPr>
          <w:rFonts w:hint="eastAsia" w:ascii="MS UI Gothic" w:eastAsia="MS UI Gothic"/>
          <w:w w:val="80"/>
        </w:rPr>
        <w:t xml:space="preserve">、 </w:t>
      </w:r>
      <w:r>
        <w:t>器材</w:t>
      </w:r>
      <w:r>
        <w:rPr>
          <w:rFonts w:hint="eastAsia" w:ascii="MS UI Gothic" w:eastAsia="MS UI Gothic"/>
          <w:w w:val="80"/>
        </w:rPr>
        <w:t xml:space="preserve">、 </w:t>
      </w:r>
      <w:r>
        <w:t>仪器</w:t>
      </w:r>
      <w:r>
        <w:rPr>
          <w:rFonts w:hint="eastAsia" w:ascii="MS UI Gothic" w:eastAsia="MS UI Gothic"/>
          <w:w w:val="80"/>
        </w:rPr>
        <w:t xml:space="preserve">、 </w:t>
      </w:r>
      <w:r>
        <w:t>仪表</w:t>
      </w:r>
      <w:r>
        <w:rPr>
          <w:rFonts w:hint="eastAsia" w:ascii="MS UI Gothic" w:eastAsia="MS UI Gothic"/>
          <w:w w:val="80"/>
        </w:rPr>
        <w:t xml:space="preserve">、  </w:t>
      </w:r>
      <w:r>
        <w:t>防护用品</w:t>
      </w:r>
      <w:r>
        <w:rPr>
          <w:rFonts w:hint="eastAsia" w:ascii="MS UI Gothic" w:eastAsia="MS UI Gothic"/>
          <w:w w:val="80"/>
        </w:rPr>
        <w:t xml:space="preserve">ꎬ  </w:t>
      </w:r>
      <w:r>
        <w:t>经煤矿安全监察机构责令限期改正或者责令立即停止使用</w:t>
      </w:r>
      <w:r>
        <w:rPr>
          <w:rFonts w:hint="eastAsia" w:ascii="MS UI Gothic" w:eastAsia="MS UI Gothic"/>
          <w:w w:val="80"/>
        </w:rPr>
        <w:t xml:space="preserve">ꎬ </w:t>
      </w:r>
      <w:r>
        <w:t>逾期不改正或者不立即停止使用的</w:t>
      </w:r>
      <w:r>
        <w:rPr>
          <w:rFonts w:hint="eastAsia" w:ascii="MS UI Gothic" w:eastAsia="MS UI Gothic"/>
          <w:w w:val="80"/>
        </w:rPr>
        <w:t xml:space="preserve">ꎬ </w:t>
      </w:r>
      <w:r>
        <w:t xml:space="preserve">由煤矿安全监察机构处 </w:t>
      </w:r>
      <w:r>
        <w:rPr>
          <w:rFonts w:hint="eastAsia" w:ascii="MS UI Gothic" w:eastAsia="MS UI Gothic"/>
          <w:w w:val="80"/>
        </w:rPr>
        <w:t xml:space="preserve">５ </w:t>
      </w:r>
      <w:r>
        <w:t>万元以下的罚款</w:t>
      </w:r>
      <w:r>
        <w:rPr>
          <w:rFonts w:hint="eastAsia" w:ascii="MS UI Gothic" w:eastAsia="MS UI Gothic"/>
          <w:w w:val="80"/>
        </w:rPr>
        <w:t xml:space="preserve">ꎻ </w:t>
      </w:r>
      <w:r>
        <w:t>情节严重的</w:t>
      </w:r>
      <w:r>
        <w:rPr>
          <w:rFonts w:hint="eastAsia" w:ascii="MS UI Gothic" w:eastAsia="MS UI Gothic"/>
          <w:w w:val="80"/>
        </w:rPr>
        <w:t xml:space="preserve">ꎬ </w:t>
      </w:r>
      <w:r>
        <w:t>由煤矿安全监察机构责令停产整顿</w:t>
      </w:r>
      <w:r>
        <w:rPr>
          <w:rFonts w:hint="eastAsia" w:ascii="MS UI Gothic" w:eastAsia="MS UI Gothic"/>
          <w:w w:val="80"/>
        </w:rPr>
        <w:t xml:space="preserve">ꎻ </w:t>
      </w:r>
      <w:r>
        <w:t>对直接负责的主管人员和其他直接责任人员</w:t>
      </w:r>
      <w:r>
        <w:rPr>
          <w:rFonts w:hint="eastAsia" w:ascii="MS UI Gothic" w:eastAsia="MS UI Gothic"/>
          <w:w w:val="80"/>
        </w:rPr>
        <w:t xml:space="preserve">ꎬ </w:t>
      </w:r>
      <w:r>
        <w:t>依法给予纪律处分</w:t>
      </w:r>
      <w:r>
        <w:rPr>
          <w:rFonts w:hint="eastAsia" w:ascii="MS UI Gothic" w:eastAsia="MS UI Gothic"/>
          <w:w w:val="80"/>
        </w:rPr>
        <w:t>ꎮ</w:t>
      </w:r>
    </w:p>
    <w:p>
      <w:pPr>
        <w:pStyle w:val="6"/>
        <w:spacing w:line="295" w:lineRule="auto"/>
        <w:ind w:left="381" w:right="124"/>
        <w:rPr>
          <w:rFonts w:hint="eastAsia" w:ascii="MS UI Gothic" w:eastAsia="MS UI Gothic"/>
        </w:rPr>
      </w:pPr>
      <w:r>
        <w:t>第四十条 煤矿矿长不具备安全专业知识</w:t>
      </w:r>
      <w:r>
        <w:rPr>
          <w:rFonts w:hint="eastAsia" w:ascii="MS UI Gothic" w:eastAsia="MS UI Gothic"/>
          <w:w w:val="80"/>
        </w:rPr>
        <w:t xml:space="preserve">ꎬ </w:t>
      </w:r>
      <w:r>
        <w:t>或者特种作业人员未取得操作资格证书上岗作业</w:t>
      </w:r>
      <w:r>
        <w:rPr>
          <w:rFonts w:hint="eastAsia" w:ascii="MS UI Gothic" w:eastAsia="MS UI Gothic"/>
          <w:w w:val="80"/>
        </w:rPr>
        <w:t xml:space="preserve">ꎬ </w:t>
      </w:r>
      <w:r>
        <w:t>经煤矿安全监察机构责令限期改正</w:t>
      </w:r>
      <w:r>
        <w:rPr>
          <w:rFonts w:hint="eastAsia" w:ascii="MS UI Gothic" w:eastAsia="MS UI Gothic"/>
          <w:w w:val="80"/>
        </w:rPr>
        <w:t xml:space="preserve">ꎬ </w:t>
      </w:r>
      <w:r>
        <w:t>逾期不改正的</w:t>
      </w:r>
      <w:r>
        <w:rPr>
          <w:rFonts w:hint="eastAsia" w:ascii="MS UI Gothic" w:eastAsia="MS UI Gothic"/>
          <w:w w:val="80"/>
        </w:rPr>
        <w:t xml:space="preserve">ꎬ </w:t>
      </w:r>
      <w:r>
        <w:t>责令停产整顿</w:t>
      </w:r>
      <w:r>
        <w:rPr>
          <w:rFonts w:hint="eastAsia" w:ascii="MS UI Gothic" w:eastAsia="MS UI Gothic"/>
          <w:w w:val="80"/>
        </w:rPr>
        <w:t xml:space="preserve">ꎻ </w:t>
      </w:r>
      <w:r>
        <w:t>调整配备合格人员并经复查合格后</w:t>
      </w:r>
      <w:r>
        <w:rPr>
          <w:rFonts w:hint="eastAsia" w:ascii="MS UI Gothic" w:eastAsia="MS UI Gothic"/>
          <w:w w:val="80"/>
        </w:rPr>
        <w:t>ꎬ</w:t>
      </w:r>
      <w:r>
        <w:t>方可恢复生产</w:t>
      </w:r>
      <w:r>
        <w:rPr>
          <w:rFonts w:hint="eastAsia" w:ascii="MS UI Gothic" w:eastAsia="MS UI Gothic"/>
          <w:w w:val="80"/>
        </w:rPr>
        <w:t>ꎮ</w:t>
      </w:r>
    </w:p>
    <w:p>
      <w:pPr>
        <w:pStyle w:val="6"/>
        <w:spacing w:line="295" w:lineRule="auto"/>
        <w:ind w:left="381" w:right="126"/>
        <w:rPr>
          <w:rFonts w:hint="eastAsia" w:ascii="MS UI Gothic" w:eastAsia="MS UI Gothic"/>
        </w:rPr>
      </w:pPr>
      <w:r>
        <w:t>第四十一条 分配职工上岗作业前未进行安全教育</w:t>
      </w:r>
      <w:r>
        <w:rPr>
          <w:rFonts w:hint="eastAsia" w:ascii="MS UI Gothic" w:eastAsia="MS UI Gothic"/>
          <w:w w:val="80"/>
        </w:rPr>
        <w:t xml:space="preserve">、 </w:t>
      </w:r>
      <w:r>
        <w:t>培训</w:t>
      </w:r>
      <w:r>
        <w:rPr>
          <w:rFonts w:hint="eastAsia" w:ascii="MS UI Gothic" w:eastAsia="MS UI Gothic"/>
          <w:w w:val="80"/>
        </w:rPr>
        <w:t xml:space="preserve">ꎬ </w:t>
      </w:r>
      <w:r>
        <w:t>经煤矿安全监察机构责令限期改正</w:t>
      </w:r>
      <w:r>
        <w:rPr>
          <w:rFonts w:hint="eastAsia" w:ascii="MS UI Gothic" w:eastAsia="MS UI Gothic"/>
          <w:w w:val="80"/>
        </w:rPr>
        <w:t xml:space="preserve">ꎬ </w:t>
      </w:r>
      <w:r>
        <w:t>逾期不改正的</w:t>
      </w:r>
      <w:r>
        <w:rPr>
          <w:rFonts w:hint="eastAsia" w:ascii="MS UI Gothic" w:eastAsia="MS UI Gothic"/>
          <w:w w:val="80"/>
        </w:rPr>
        <w:t xml:space="preserve">ꎬ </w:t>
      </w:r>
      <w:r>
        <w:t xml:space="preserve">由煤矿安全监察机构处 </w:t>
      </w:r>
      <w:r>
        <w:rPr>
          <w:rFonts w:hint="eastAsia" w:ascii="MS UI Gothic" w:eastAsia="MS UI Gothic"/>
          <w:w w:val="80"/>
        </w:rPr>
        <w:t xml:space="preserve">４ </w:t>
      </w:r>
      <w:r>
        <w:t>万元以下的罚款</w:t>
      </w:r>
      <w:r>
        <w:rPr>
          <w:rFonts w:hint="eastAsia" w:ascii="MS UI Gothic" w:eastAsia="MS UI Gothic"/>
          <w:w w:val="80"/>
        </w:rPr>
        <w:t xml:space="preserve">ꎻ </w:t>
      </w:r>
      <w:r>
        <w:t>情节严重的</w:t>
      </w:r>
      <w:r>
        <w:rPr>
          <w:rFonts w:hint="eastAsia" w:ascii="MS UI Gothic" w:eastAsia="MS UI Gothic"/>
          <w:w w:val="80"/>
        </w:rPr>
        <w:t xml:space="preserve">ꎬ </w:t>
      </w:r>
      <w:r>
        <w:t>由煤矿安全监察机构责令停产整顿</w:t>
      </w:r>
      <w:r>
        <w:rPr>
          <w:rFonts w:hint="eastAsia" w:ascii="MS UI Gothic" w:eastAsia="MS UI Gothic"/>
          <w:w w:val="80"/>
        </w:rPr>
        <w:t xml:space="preserve">ꎻ </w:t>
      </w:r>
      <w:r>
        <w:t>对直接负责的主管人员和其他直接责任人员</w:t>
      </w:r>
      <w:r>
        <w:rPr>
          <w:rFonts w:hint="eastAsia" w:ascii="MS UI Gothic" w:eastAsia="MS UI Gothic"/>
          <w:w w:val="80"/>
        </w:rPr>
        <w:t xml:space="preserve">ꎬ </w:t>
      </w:r>
      <w:r>
        <w:t>依法给予纪律处分</w:t>
      </w:r>
      <w:r>
        <w:rPr>
          <w:rFonts w:hint="eastAsia" w:ascii="MS UI Gothic" w:eastAsia="MS UI Gothic"/>
          <w:w w:val="80"/>
        </w:rPr>
        <w:t>ꎮ</w:t>
      </w:r>
    </w:p>
    <w:p>
      <w:pPr>
        <w:pStyle w:val="6"/>
        <w:spacing w:line="295" w:lineRule="auto"/>
        <w:ind w:left="381" w:right="124"/>
        <w:rPr>
          <w:rFonts w:hint="eastAsia" w:ascii="MS UI Gothic" w:eastAsia="MS UI Gothic"/>
        </w:rPr>
      </w:pPr>
      <w:r>
        <w:t>第四十二条 煤矿作业场所的瓦斯</w:t>
      </w:r>
      <w:r>
        <w:rPr>
          <w:rFonts w:hint="eastAsia" w:ascii="MS UI Gothic" w:eastAsia="MS UI Gothic"/>
        </w:rPr>
        <w:t>、</w:t>
      </w:r>
      <w:r>
        <w:t>粉尘或者其他有毒有害气体的浓度超过国家安全标准或者行业安全标准</w:t>
      </w:r>
      <w:r>
        <w:rPr>
          <w:rFonts w:hint="eastAsia" w:ascii="MS UI Gothic" w:eastAsia="MS UI Gothic"/>
          <w:w w:val="85"/>
        </w:rPr>
        <w:t xml:space="preserve">ꎬ </w:t>
      </w:r>
      <w:r>
        <w:t>经煤矿安全监察人员责令立即停止作业</w:t>
      </w:r>
      <w:r>
        <w:rPr>
          <w:rFonts w:hint="eastAsia" w:ascii="MS UI Gothic" w:eastAsia="MS UI Gothic"/>
          <w:w w:val="85"/>
        </w:rPr>
        <w:t xml:space="preserve">ꎬ </w:t>
      </w:r>
      <w:r>
        <w:t>拒不停止作业的</w:t>
      </w:r>
      <w:r>
        <w:rPr>
          <w:rFonts w:hint="eastAsia" w:ascii="MS UI Gothic" w:eastAsia="MS UI Gothic"/>
          <w:w w:val="85"/>
        </w:rPr>
        <w:t xml:space="preserve">ꎬ </w:t>
      </w:r>
      <w:r>
        <w:t>由煤矿安全监察机构责令停产整顿</w:t>
      </w:r>
      <w:r>
        <w:rPr>
          <w:rFonts w:hint="eastAsia" w:ascii="MS UI Gothic" w:eastAsia="MS UI Gothic"/>
          <w:w w:val="85"/>
        </w:rPr>
        <w:t xml:space="preserve">ꎬ </w:t>
      </w:r>
      <w:r>
        <w:t xml:space="preserve">可以处 </w:t>
      </w:r>
      <w:r>
        <w:rPr>
          <w:rFonts w:hint="eastAsia" w:ascii="MS UI Gothic" w:eastAsia="MS UI Gothic"/>
          <w:w w:val="85"/>
        </w:rPr>
        <w:t xml:space="preserve">１０ </w:t>
      </w:r>
      <w:r>
        <w:t>万元以下的罚款</w:t>
      </w:r>
      <w:r>
        <w:rPr>
          <w:rFonts w:hint="eastAsia" w:ascii="MS UI Gothic" w:eastAsia="MS UI Gothic"/>
          <w:w w:val="85"/>
        </w:rPr>
        <w:t>ꎮ</w:t>
      </w:r>
    </w:p>
    <w:p>
      <w:pPr>
        <w:pStyle w:val="6"/>
        <w:spacing w:line="295" w:lineRule="auto"/>
        <w:ind w:left="381" w:right="124"/>
      </w:pPr>
      <w:r>
        <w:t>第四十三条 擅自开采保安煤柱</w:t>
      </w:r>
      <w:r>
        <w:rPr>
          <w:rFonts w:hint="eastAsia" w:ascii="MS UI Gothic" w:eastAsia="MS UI Gothic"/>
          <w:w w:val="80"/>
        </w:rPr>
        <w:t xml:space="preserve">ꎬ </w:t>
      </w:r>
      <w:r>
        <w:t>或者采用危及相邻煤矿生产安全的决水</w:t>
      </w:r>
      <w:r>
        <w:rPr>
          <w:rFonts w:hint="eastAsia" w:ascii="MS UI Gothic" w:eastAsia="MS UI Gothic"/>
          <w:w w:val="80"/>
        </w:rPr>
        <w:t xml:space="preserve">、 </w:t>
      </w:r>
      <w:r>
        <w:t>爆破</w:t>
      </w:r>
      <w:r>
        <w:rPr>
          <w:rFonts w:hint="eastAsia" w:ascii="MS UI Gothic" w:eastAsia="MS UI Gothic"/>
          <w:w w:val="80"/>
        </w:rPr>
        <w:t xml:space="preserve">、 </w:t>
      </w:r>
      <w:r>
        <w:t>贯通巷道等危险方法进行采矿作业</w:t>
      </w:r>
      <w:r>
        <w:rPr>
          <w:rFonts w:hint="eastAsia" w:ascii="MS UI Gothic" w:eastAsia="MS UI Gothic"/>
          <w:w w:val="80"/>
        </w:rPr>
        <w:t>ꎬ</w:t>
      </w:r>
      <w:r>
        <w:t>经煤矿安全监察人员责令立即停止作业</w:t>
      </w:r>
      <w:r>
        <w:rPr>
          <w:rFonts w:hint="eastAsia" w:ascii="MS UI Gothic" w:eastAsia="MS UI Gothic"/>
          <w:w w:val="80"/>
        </w:rPr>
        <w:t>ꎬ</w:t>
      </w:r>
      <w:r>
        <w:t>拒不停止作业的</w:t>
      </w:r>
      <w:r>
        <w:rPr>
          <w:rFonts w:hint="eastAsia" w:ascii="MS UI Gothic" w:eastAsia="MS UI Gothic"/>
          <w:w w:val="80"/>
        </w:rPr>
        <w:t xml:space="preserve">ꎬ </w:t>
      </w:r>
      <w:r>
        <w:t>由煤矿安全监察机构决定吊销安全生产许可证</w:t>
      </w:r>
      <w:r>
        <w:rPr>
          <w:rFonts w:hint="eastAsia" w:ascii="MS UI Gothic" w:eastAsia="MS UI Gothic"/>
          <w:w w:val="80"/>
        </w:rPr>
        <w:t xml:space="preserve">ꎬ </w:t>
      </w:r>
      <w:r>
        <w:t>并移送地质矿产主管部门依法吊销采矿许可证</w:t>
      </w:r>
      <w:r>
        <w:rPr>
          <w:rFonts w:hint="eastAsia" w:ascii="MS UI Gothic" w:eastAsia="MS UI Gothic"/>
          <w:w w:val="80"/>
        </w:rPr>
        <w:t xml:space="preserve">ꎻ </w:t>
      </w:r>
      <w:r>
        <w:t>构成犯罪</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２２２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696" o:spid="_x0000_s1696" o:spt="203" style="height:2.15pt;width:398.25pt;" coordsize="7965,43">
            <o:lock v:ext="edit"/>
            <v:line id="_x0000_s1697" o:spid="_x0000_s1697" o:spt="20" style="position:absolute;left:0;top:39;height:0;width:7965;" stroked="t" coordsize="21600,21600">
              <v:path arrowok="t"/>
              <v:fill focussize="0,0"/>
              <v:stroke weight="0.388031496062992pt" color="#231F20"/>
              <v:imagedata o:title=""/>
              <o:lock v:ext="edit"/>
            </v:line>
            <v:line id="_x0000_s1698" o:spid="_x0000_s169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45" w:firstLine="0"/>
        <w:rPr>
          <w:rFonts w:hint="eastAsia" w:ascii="MS UI Gothic" w:eastAsia="MS UI Gothic"/>
        </w:rPr>
      </w:pPr>
      <w:r>
        <w:t>的</w:t>
      </w:r>
      <w:r>
        <w:rPr>
          <w:rFonts w:hint="eastAsia" w:ascii="MS UI Gothic" w:eastAsia="MS UI Gothic"/>
          <w:w w:val="80"/>
        </w:rPr>
        <w:t xml:space="preserve">ꎬ </w:t>
      </w:r>
      <w:r>
        <w:t>依法追究刑事责任</w:t>
      </w:r>
      <w:r>
        <w:rPr>
          <w:rFonts w:hint="eastAsia" w:ascii="MS UI Gothic" w:eastAsia="MS UI Gothic"/>
          <w:w w:val="80"/>
        </w:rPr>
        <w:t xml:space="preserve">ꎻ </w:t>
      </w:r>
      <w:r>
        <w:t>造成损失的</w:t>
      </w:r>
      <w:r>
        <w:rPr>
          <w:rFonts w:hint="eastAsia" w:ascii="MS UI Gothic" w:eastAsia="MS UI Gothic"/>
          <w:w w:val="80"/>
        </w:rPr>
        <w:t xml:space="preserve">ꎬ </w:t>
      </w:r>
      <w:r>
        <w:t>依法承担赔偿责任</w:t>
      </w:r>
      <w:r>
        <w:rPr>
          <w:rFonts w:hint="eastAsia" w:ascii="MS UI Gothic" w:eastAsia="MS UI Gothic"/>
          <w:w w:val="80"/>
        </w:rPr>
        <w:t>ꎮ</w:t>
      </w:r>
    </w:p>
    <w:p>
      <w:pPr>
        <w:pStyle w:val="6"/>
        <w:spacing w:line="295" w:lineRule="auto"/>
        <w:ind w:right="45"/>
        <w:rPr>
          <w:rFonts w:hint="eastAsia" w:ascii="MS UI Gothic" w:eastAsia="MS UI Gothic"/>
        </w:rPr>
      </w:pPr>
      <w:r>
        <w:rPr>
          <w:w w:val="105"/>
        </w:rPr>
        <w:t>第四十四条 煤矿矿长或者其他主管</w:t>
      </w:r>
      <w:r>
        <w:t>人员有下列行为之一的</w:t>
      </w:r>
      <w:r>
        <w:rPr>
          <w:rFonts w:hint="eastAsia" w:ascii="MS UI Gothic" w:eastAsia="MS UI Gothic"/>
          <w:w w:val="80"/>
        </w:rPr>
        <w:t xml:space="preserve">ꎬ </w:t>
      </w:r>
      <w:r>
        <w:t>由煤矿安全监察机构给予警告</w:t>
      </w:r>
      <w:r>
        <w:rPr>
          <w:rFonts w:hint="eastAsia" w:ascii="MS UI Gothic" w:eastAsia="MS UI Gothic"/>
          <w:w w:val="80"/>
        </w:rPr>
        <w:t xml:space="preserve">ꎻ </w:t>
      </w:r>
      <w:r>
        <w:t>造成严重后果</w:t>
      </w:r>
      <w:r>
        <w:rPr>
          <w:rFonts w:hint="eastAsia" w:ascii="MS UI Gothic" w:eastAsia="MS UI Gothic"/>
          <w:w w:val="80"/>
        </w:rPr>
        <w:t xml:space="preserve">ꎬ </w:t>
      </w:r>
      <w:r>
        <w:t>构成犯罪</w:t>
      </w:r>
      <w:r>
        <w:rPr>
          <w:w w:val="105"/>
        </w:rPr>
        <w:t>的</w:t>
      </w:r>
      <w:r>
        <w:rPr>
          <w:rFonts w:hint="eastAsia" w:ascii="MS UI Gothic" w:eastAsia="MS UI Gothic"/>
          <w:w w:val="80"/>
        </w:rPr>
        <w:t xml:space="preserve">ꎬ </w:t>
      </w:r>
      <w:r>
        <w:rPr>
          <w:w w:val="105"/>
        </w:rPr>
        <w:t>依法追究刑事责任</w:t>
      </w:r>
      <w:r>
        <w:rPr>
          <w:rFonts w:hint="eastAsia" w:ascii="MS UI Gothic" w:eastAsia="MS UI Gothic"/>
          <w:w w:val="235"/>
        </w:rPr>
        <w:t>:</w:t>
      </w:r>
    </w:p>
    <w:p>
      <w:pPr>
        <w:pStyle w:val="6"/>
        <w:spacing w:line="295" w:lineRule="auto"/>
        <w:ind w:right="45"/>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违章指挥工人或者强令工人违</w:t>
      </w:r>
      <w:r>
        <w:rPr>
          <w:spacing w:val="3"/>
          <w:w w:val="105"/>
        </w:rPr>
        <w:t>章</w:t>
      </w:r>
      <w:r>
        <w:rPr>
          <w:rFonts w:hint="eastAsia" w:ascii="MS UI Gothic" w:eastAsia="MS UI Gothic"/>
          <w:spacing w:val="2"/>
          <w:w w:val="80"/>
        </w:rPr>
        <w:t xml:space="preserve">、 </w:t>
      </w:r>
      <w:r>
        <w:rPr>
          <w:spacing w:val="3"/>
          <w:w w:val="105"/>
        </w:rPr>
        <w:t>冒险作业的</w:t>
      </w:r>
      <w:r>
        <w:rPr>
          <w:rFonts w:hint="eastAsia" w:ascii="MS UI Gothic" w:eastAsia="MS UI Gothic"/>
          <w:w w:val="80"/>
        </w:rPr>
        <w:t>ꎻ</w:t>
      </w:r>
    </w:p>
    <w:p>
      <w:pPr>
        <w:pStyle w:val="6"/>
        <w:spacing w:line="295" w:lineRule="auto"/>
        <w:ind w:right="45"/>
        <w:rPr>
          <w:rFonts w:hint="eastAsia" w:ascii="MS UI Gothic" w:eastAsia="MS UI Gothic"/>
        </w:rPr>
      </w:pPr>
      <w:r>
        <w:rPr>
          <w:rFonts w:hint="eastAsia" w:ascii="MS UI Gothic" w:eastAsia="MS UI Gothic"/>
          <w:spacing w:val="-38"/>
          <w:w w:val="150"/>
        </w:rPr>
        <w:t xml:space="preserve">( </w:t>
      </w:r>
      <w:r>
        <w:rPr>
          <w:spacing w:val="5"/>
          <w:w w:val="105"/>
        </w:rPr>
        <w:t>二</w:t>
      </w:r>
      <w:r>
        <w:rPr>
          <w:rFonts w:hint="eastAsia" w:ascii="MS UI Gothic" w:eastAsia="MS UI Gothic"/>
          <w:spacing w:val="11"/>
          <w:w w:val="150"/>
        </w:rPr>
        <w:t xml:space="preserve">) </w:t>
      </w:r>
      <w:r>
        <w:rPr>
          <w:spacing w:val="23"/>
          <w:w w:val="105"/>
        </w:rPr>
        <w:t>对工人屡次违章作业熟视无</w:t>
      </w:r>
      <w:r>
        <w:rPr>
          <w:spacing w:val="3"/>
          <w:w w:val="105"/>
        </w:rPr>
        <w:t>睹</w:t>
      </w:r>
      <w:r>
        <w:rPr>
          <w:rFonts w:hint="eastAsia" w:ascii="MS UI Gothic" w:eastAsia="MS UI Gothic"/>
          <w:w w:val="80"/>
        </w:rPr>
        <w:t xml:space="preserve">ꎬ </w:t>
      </w:r>
      <w:r>
        <w:rPr>
          <w:spacing w:val="3"/>
          <w:w w:val="105"/>
        </w:rPr>
        <w:t>不加制止的</w:t>
      </w:r>
      <w:r>
        <w:rPr>
          <w:rFonts w:hint="eastAsia" w:ascii="MS UI Gothic" w:eastAsia="MS UI Gothic"/>
          <w:w w:val="80"/>
        </w:rPr>
        <w:t>ꎻ</w:t>
      </w:r>
    </w:p>
    <w:p>
      <w:pPr>
        <w:pStyle w:val="6"/>
        <w:spacing w:line="295" w:lineRule="auto"/>
        <w:ind w:right="45"/>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对重大事故预兆或者已发现的事故隐患不及时采取措施的</w:t>
      </w:r>
      <w:r>
        <w:rPr>
          <w:rFonts w:hint="eastAsia" w:ascii="MS UI Gothic" w:eastAsia="MS UI Gothic"/>
          <w:w w:val="80"/>
        </w:rPr>
        <w:t>ꎻ</w:t>
      </w:r>
    </w:p>
    <w:p>
      <w:pPr>
        <w:pStyle w:val="6"/>
        <w:spacing w:line="295" w:lineRule="auto"/>
        <w:ind w:right="45"/>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拒不执行煤矿安全监察机构及</w:t>
      </w:r>
      <w:r>
        <w:t>其煤矿安全监察人员的安全监察指令的</w:t>
      </w:r>
      <w:r>
        <w:rPr>
          <w:rFonts w:hint="eastAsia" w:ascii="MS UI Gothic" w:eastAsia="MS UI Gothic"/>
          <w:w w:val="80"/>
        </w:rPr>
        <w:t>ꎮ</w:t>
      </w:r>
    </w:p>
    <w:p>
      <w:pPr>
        <w:pStyle w:val="6"/>
        <w:spacing w:line="295" w:lineRule="auto"/>
        <w:ind w:left="118" w:right="38" w:firstLine="425"/>
        <w:rPr>
          <w:rFonts w:hint="eastAsia" w:ascii="MS UI Gothic" w:eastAsia="MS UI Gothic"/>
        </w:rPr>
      </w:pPr>
      <w:r>
        <w:rPr>
          <w:spacing w:val="3"/>
        </w:rPr>
        <w:t>第四十五条 煤矿有关人员拒绝</w:t>
      </w:r>
      <w:r>
        <w:rPr>
          <w:rFonts w:hint="eastAsia" w:ascii="MS UI Gothic" w:eastAsia="MS UI Gothic"/>
          <w:spacing w:val="29"/>
        </w:rPr>
        <w:t xml:space="preserve">、 </w:t>
      </w:r>
      <w:r>
        <w:t>阻碍煤矿安全监察机构及其煤矿安全监察人员现场检查</w:t>
      </w:r>
      <w:r>
        <w:rPr>
          <w:rFonts w:hint="eastAsia" w:ascii="MS UI Gothic" w:eastAsia="MS UI Gothic"/>
          <w:spacing w:val="14"/>
          <w:w w:val="85"/>
        </w:rPr>
        <w:t xml:space="preserve">ꎬ </w:t>
      </w:r>
      <w:r>
        <w:rPr>
          <w:spacing w:val="5"/>
        </w:rPr>
        <w:t>或者提供虚假情况</w:t>
      </w:r>
      <w:r>
        <w:rPr>
          <w:rFonts w:hint="eastAsia" w:ascii="MS UI Gothic" w:eastAsia="MS UI Gothic"/>
          <w:spacing w:val="15"/>
          <w:w w:val="85"/>
        </w:rPr>
        <w:t xml:space="preserve">ꎬ </w:t>
      </w:r>
      <w:r>
        <w:rPr>
          <w:spacing w:val="4"/>
        </w:rPr>
        <w:t>或者隐</w:t>
      </w:r>
      <w:r>
        <w:rPr>
          <w:spacing w:val="7"/>
        </w:rPr>
        <w:t>瞒存在的事故隐患以及其他安全问题的</w:t>
      </w:r>
      <w:r>
        <w:rPr>
          <w:rFonts w:hint="eastAsia" w:ascii="MS UI Gothic" w:eastAsia="MS UI Gothic"/>
          <w:w w:val="85"/>
        </w:rPr>
        <w:t>ꎬ</w:t>
      </w:r>
      <w:r>
        <w:t>由煤矿安全监察机构给予警告</w:t>
      </w:r>
      <w:r>
        <w:rPr>
          <w:rFonts w:hint="eastAsia" w:ascii="MS UI Gothic" w:eastAsia="MS UI Gothic"/>
          <w:spacing w:val="10"/>
          <w:w w:val="85"/>
        </w:rPr>
        <w:t xml:space="preserve">ꎬ </w:t>
      </w:r>
      <w:r>
        <w:rPr>
          <w:spacing w:val="5"/>
        </w:rPr>
        <w:t>可以并处</w:t>
      </w:r>
      <w:r>
        <w:rPr>
          <w:rFonts w:hint="eastAsia" w:ascii="MS UI Gothic" w:eastAsia="MS UI Gothic"/>
          <w:spacing w:val="-7"/>
        </w:rPr>
        <w:t xml:space="preserve">５ </w:t>
      </w:r>
      <w:r>
        <w:rPr>
          <w:spacing w:val="-13"/>
        </w:rPr>
        <w:t xml:space="preserve">万元以上 </w:t>
      </w:r>
      <w:r>
        <w:rPr>
          <w:rFonts w:hint="eastAsia" w:ascii="MS UI Gothic" w:eastAsia="MS UI Gothic"/>
          <w:spacing w:val="-4"/>
          <w:w w:val="85"/>
        </w:rPr>
        <w:t xml:space="preserve">１０ </w:t>
      </w:r>
      <w:r>
        <w:rPr>
          <w:spacing w:val="2"/>
        </w:rPr>
        <w:t>万元以下的罚款</w:t>
      </w:r>
      <w:r>
        <w:rPr>
          <w:rFonts w:hint="eastAsia" w:ascii="MS UI Gothic" w:eastAsia="MS UI Gothic"/>
          <w:spacing w:val="16"/>
          <w:w w:val="85"/>
        </w:rPr>
        <w:t xml:space="preserve">ꎻ </w:t>
      </w:r>
      <w:r>
        <w:rPr>
          <w:spacing w:val="2"/>
        </w:rPr>
        <w:t>情节严重的</w:t>
      </w:r>
      <w:r>
        <w:rPr>
          <w:rFonts w:hint="eastAsia" w:ascii="MS UI Gothic" w:eastAsia="MS UI Gothic"/>
          <w:spacing w:val="5"/>
          <w:w w:val="85"/>
        </w:rPr>
        <w:t xml:space="preserve">ꎬ </w:t>
      </w:r>
      <w:r>
        <w:rPr>
          <w:spacing w:val="8"/>
        </w:rPr>
        <w:t>由煤矿安全监察机构责令停产整顿</w:t>
      </w:r>
      <w:r>
        <w:rPr>
          <w:rFonts w:hint="eastAsia" w:ascii="MS UI Gothic" w:eastAsia="MS UI Gothic"/>
          <w:w w:val="85"/>
        </w:rPr>
        <w:t>ꎻ</w:t>
      </w:r>
      <w:r>
        <w:t>对直接负责的主管人员和其他直接责任人员</w:t>
      </w:r>
      <w:r>
        <w:rPr>
          <w:rFonts w:hint="eastAsia" w:ascii="MS UI Gothic" w:eastAsia="MS UI Gothic"/>
          <w:spacing w:val="12"/>
          <w:w w:val="85"/>
        </w:rPr>
        <w:t xml:space="preserve">ꎬ </w:t>
      </w:r>
      <w:r>
        <w:t>依法给予撤职直至开除的纪律处分</w:t>
      </w:r>
      <w:r>
        <w:rPr>
          <w:rFonts w:hint="eastAsia" w:ascii="MS UI Gothic" w:eastAsia="MS UI Gothic"/>
          <w:w w:val="85"/>
        </w:rPr>
        <w:t>ꎮ</w:t>
      </w:r>
    </w:p>
    <w:p>
      <w:pPr>
        <w:pStyle w:val="6"/>
        <w:spacing w:line="295" w:lineRule="auto"/>
        <w:ind w:right="45"/>
      </w:pPr>
      <w:r>
        <w:t>第四十六条 煤矿发生事故</w:t>
      </w:r>
      <w:r>
        <w:rPr>
          <w:rFonts w:hint="eastAsia" w:ascii="MS UI Gothic" w:eastAsia="MS UI Gothic"/>
          <w:w w:val="85"/>
        </w:rPr>
        <w:t xml:space="preserve">ꎬ </w:t>
      </w:r>
      <w:r>
        <w:t>有下列情形之一的</w:t>
      </w:r>
      <w:r>
        <w:rPr>
          <w:rFonts w:hint="eastAsia" w:ascii="MS UI Gothic" w:eastAsia="MS UI Gothic"/>
          <w:w w:val="85"/>
        </w:rPr>
        <w:t xml:space="preserve">ꎬ </w:t>
      </w:r>
      <w:r>
        <w:t>由煤矿安全监察机构给予警告</w:t>
      </w:r>
      <w:r>
        <w:rPr>
          <w:rFonts w:hint="eastAsia" w:ascii="MS UI Gothic" w:eastAsia="MS UI Gothic"/>
          <w:w w:val="85"/>
        </w:rPr>
        <w:t xml:space="preserve">ꎬ </w:t>
      </w:r>
      <w:r>
        <w:t xml:space="preserve">可以并处 </w:t>
      </w:r>
      <w:r>
        <w:rPr>
          <w:rFonts w:hint="eastAsia" w:ascii="MS UI Gothic" w:eastAsia="MS UI Gothic"/>
          <w:w w:val="85"/>
        </w:rPr>
        <w:t xml:space="preserve">３ </w:t>
      </w:r>
      <w:r>
        <w:t xml:space="preserve">万元以上 </w:t>
      </w:r>
      <w:r>
        <w:rPr>
          <w:rFonts w:hint="eastAsia" w:ascii="MS UI Gothic" w:eastAsia="MS UI Gothic"/>
          <w:w w:val="85"/>
        </w:rPr>
        <w:t xml:space="preserve">１５ </w:t>
      </w:r>
      <w:r>
        <w:t>万元以下的罚款</w:t>
      </w:r>
      <w:r>
        <w:rPr>
          <w:rFonts w:hint="eastAsia" w:ascii="MS UI Gothic" w:eastAsia="MS UI Gothic"/>
          <w:w w:val="85"/>
        </w:rPr>
        <w:t xml:space="preserve">ꎻ </w:t>
      </w:r>
      <w:r>
        <w:t>情节严重的</w:t>
      </w:r>
      <w:r>
        <w:rPr>
          <w:rFonts w:hint="eastAsia" w:ascii="MS UI Gothic" w:eastAsia="MS UI Gothic"/>
          <w:w w:val="85"/>
        </w:rPr>
        <w:t xml:space="preserve">ꎬ </w:t>
      </w:r>
      <w:r>
        <w:t>由煤矿安全监察机构责令停产整顿</w:t>
      </w:r>
      <w:r>
        <w:rPr>
          <w:rFonts w:hint="eastAsia" w:ascii="MS UI Gothic" w:eastAsia="MS UI Gothic"/>
          <w:w w:val="85"/>
        </w:rPr>
        <w:t xml:space="preserve">ꎻ </w:t>
      </w:r>
      <w:r>
        <w:t>对直接负责的主管人员和其他直接责任人员</w:t>
      </w:r>
      <w:r>
        <w:rPr>
          <w:rFonts w:hint="eastAsia" w:ascii="MS UI Gothic" w:eastAsia="MS UI Gothic"/>
          <w:w w:val="85"/>
        </w:rPr>
        <w:t xml:space="preserve">ꎬ </w:t>
      </w:r>
      <w:r>
        <w:t>依法给予降级直至开</w:t>
      </w:r>
    </w:p>
    <w:p>
      <w:pPr>
        <w:pStyle w:val="6"/>
        <w:spacing w:before="123" w:line="295" w:lineRule="auto"/>
        <w:ind w:left="118" w:right="442" w:firstLine="0"/>
        <w:rPr>
          <w:rFonts w:hint="eastAsia" w:ascii="MS UI Gothic" w:eastAsia="MS UI Gothic"/>
        </w:rPr>
      </w:pPr>
      <w:r>
        <w:br w:type="column"/>
      </w:r>
      <w:r>
        <w:t>除的纪律处分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w:t>
      </w:r>
      <w:r>
        <w:rPr>
          <w:w w:val="105"/>
        </w:rPr>
        <w:t>事责任</w:t>
      </w:r>
      <w:r>
        <w:rPr>
          <w:rFonts w:hint="eastAsia" w:ascii="MS UI Gothic" w:eastAsia="MS UI Gothic"/>
          <w:w w:val="235"/>
        </w:rPr>
        <w:t>:</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不按照规定及时</w:t>
      </w:r>
      <w:r>
        <w:rPr>
          <w:rFonts w:hint="eastAsia" w:ascii="MS UI Gothic" w:eastAsia="MS UI Gothic"/>
          <w:w w:val="80"/>
        </w:rPr>
        <w:t xml:space="preserve">、 </w:t>
      </w:r>
      <w:r>
        <w:rPr>
          <w:w w:val="105"/>
        </w:rPr>
        <w:t>如实报告煤矿事故的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伪造</w:t>
      </w:r>
      <w:r>
        <w:rPr>
          <w:rFonts w:hint="eastAsia" w:ascii="MS UI Gothic" w:eastAsia="MS UI Gothic"/>
          <w:w w:val="80"/>
        </w:rPr>
        <w:t xml:space="preserve">、 </w:t>
      </w:r>
      <w:r>
        <w:rPr>
          <w:w w:val="110"/>
        </w:rPr>
        <w:t>故意破坏煤矿事故现场的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阻碍</w:t>
      </w:r>
      <w:r>
        <w:rPr>
          <w:rFonts w:hint="eastAsia" w:ascii="MS UI Gothic" w:eastAsia="MS UI Gothic"/>
          <w:w w:val="80"/>
        </w:rPr>
        <w:t xml:space="preserve">、 </w:t>
      </w:r>
      <w:r>
        <w:rPr>
          <w:w w:val="105"/>
        </w:rPr>
        <w:t>干涉煤矿事故调查工作</w:t>
      </w:r>
      <w:r>
        <w:rPr>
          <w:rFonts w:hint="eastAsia" w:ascii="MS UI Gothic" w:eastAsia="MS UI Gothic"/>
          <w:w w:val="80"/>
        </w:rPr>
        <w:t xml:space="preserve">ꎬ </w:t>
      </w:r>
      <w:r>
        <w:rPr>
          <w:w w:val="105"/>
        </w:rPr>
        <w:t>拒绝接受调查取证</w:t>
      </w:r>
      <w:r>
        <w:rPr>
          <w:rFonts w:hint="eastAsia" w:ascii="MS UI Gothic" w:eastAsia="MS UI Gothic"/>
          <w:w w:val="80"/>
        </w:rPr>
        <w:t xml:space="preserve">、 </w:t>
      </w:r>
      <w:r>
        <w:rPr>
          <w:w w:val="105"/>
        </w:rPr>
        <w:t>提供有关情况和资料的</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第四十七条 依照本条例规定被吊销</w:t>
      </w:r>
      <w:r>
        <w:t>采矿许可证的</w:t>
      </w:r>
      <w:r>
        <w:rPr>
          <w:rFonts w:hint="eastAsia" w:ascii="MS UI Gothic" w:eastAsia="MS UI Gothic"/>
          <w:w w:val="80"/>
        </w:rPr>
        <w:t xml:space="preserve">ꎬ </w:t>
      </w:r>
      <w:r>
        <w:t>由工商行政管理部门依法</w:t>
      </w:r>
      <w:r>
        <w:rPr>
          <w:w w:val="105"/>
        </w:rPr>
        <w:t>相应吊销营业执照</w:t>
      </w:r>
      <w:r>
        <w:rPr>
          <w:rFonts w:hint="eastAsia" w:ascii="MS UI Gothic" w:eastAsia="MS UI Gothic"/>
          <w:w w:val="80"/>
        </w:rPr>
        <w:t>ꎮ</w:t>
      </w:r>
    </w:p>
    <w:p>
      <w:pPr>
        <w:pStyle w:val="6"/>
        <w:spacing w:line="295" w:lineRule="auto"/>
        <w:ind w:left="118" w:right="440"/>
        <w:rPr>
          <w:rFonts w:hint="eastAsia" w:ascii="MS UI Gothic" w:eastAsia="MS UI Gothic"/>
        </w:rPr>
      </w:pPr>
      <w:r>
        <w:t>第四十八条 煤矿安全监察人员滥用职权</w:t>
      </w:r>
      <w:r>
        <w:rPr>
          <w:rFonts w:hint="eastAsia" w:ascii="MS UI Gothic" w:eastAsia="MS UI Gothic"/>
          <w:w w:val="80"/>
        </w:rPr>
        <w:t xml:space="preserve">、 </w:t>
      </w:r>
      <w:r>
        <w:t>玩忽职守</w:t>
      </w:r>
      <w:r>
        <w:rPr>
          <w:rFonts w:hint="eastAsia" w:ascii="MS UI Gothic" w:eastAsia="MS UI Gothic"/>
          <w:w w:val="80"/>
        </w:rPr>
        <w:t xml:space="preserve">、 </w:t>
      </w:r>
      <w:r>
        <w:t>徇私舞弊</w:t>
      </w:r>
      <w:r>
        <w:rPr>
          <w:rFonts w:hint="eastAsia" w:ascii="MS UI Gothic" w:eastAsia="MS UI Gothic"/>
          <w:w w:val="80"/>
        </w:rPr>
        <w:t xml:space="preserve">ꎬ </w:t>
      </w:r>
      <w:r>
        <w:t>应当发现而没有发现煤矿事故隐患或者影响煤矿安全的违法行为</w:t>
      </w:r>
      <w:r>
        <w:rPr>
          <w:rFonts w:hint="eastAsia" w:ascii="MS UI Gothic" w:eastAsia="MS UI Gothic"/>
          <w:w w:val="80"/>
        </w:rPr>
        <w:t xml:space="preserve">ꎬ </w:t>
      </w:r>
      <w:r>
        <w:t>或者发现事故隐患或者影响煤矿安全的违法行为不及时处理或者报告</w:t>
      </w:r>
      <w:r>
        <w:rPr>
          <w:rFonts w:hint="eastAsia" w:ascii="MS UI Gothic" w:eastAsia="MS UI Gothic"/>
          <w:w w:val="80"/>
        </w:rPr>
        <w:t xml:space="preserve">ꎬ </w:t>
      </w:r>
      <w:r>
        <w:t>或者有违反本条例第十九条规定行为之一</w:t>
      </w:r>
      <w:r>
        <w:rPr>
          <w:rFonts w:hint="eastAsia" w:ascii="MS UI Gothic" w:eastAsia="MS UI Gothic"/>
          <w:w w:val="80"/>
        </w:rPr>
        <w:t xml:space="preserve">ꎬ </w:t>
      </w:r>
      <w:r>
        <w:t>构成犯罪的</w:t>
      </w:r>
      <w:r>
        <w:rPr>
          <w:rFonts w:hint="eastAsia" w:ascii="MS UI Gothic" w:eastAsia="MS UI Gothic"/>
          <w:w w:val="80"/>
        </w:rPr>
        <w:t xml:space="preserve">ꎬ </w:t>
      </w:r>
      <w:r>
        <w:t>依法追究刑事责任</w:t>
      </w:r>
      <w:r>
        <w:rPr>
          <w:rFonts w:hint="eastAsia" w:ascii="MS UI Gothic" w:eastAsia="MS UI Gothic"/>
          <w:w w:val="80"/>
        </w:rPr>
        <w:t>ꎻ</w:t>
      </w:r>
      <w:r>
        <w:t>尚不构成犯罪的</w:t>
      </w:r>
      <w:r>
        <w:rPr>
          <w:rFonts w:hint="eastAsia" w:ascii="MS UI Gothic" w:eastAsia="MS UI Gothic"/>
          <w:w w:val="80"/>
        </w:rPr>
        <w:t xml:space="preserve">ꎬ </w:t>
      </w:r>
      <w:r>
        <w:t>依法给予行政处分</w:t>
      </w:r>
      <w:r>
        <w:rPr>
          <w:rFonts w:hint="eastAsia" w:ascii="MS UI Gothic" w:eastAsia="MS UI Gothic"/>
          <w:w w:val="80"/>
        </w:rPr>
        <w:t>ꎮ</w:t>
      </w:r>
    </w:p>
    <w:p>
      <w:pPr>
        <w:pStyle w:val="6"/>
        <w:tabs>
          <w:tab w:val="left" w:pos="2005"/>
          <w:tab w:val="left" w:pos="2633"/>
        </w:tabs>
        <w:spacing w:before="141"/>
        <w:ind w:left="1166" w:firstLine="0"/>
        <w:jc w:val="left"/>
      </w:pPr>
      <w:r>
        <w:rPr>
          <w:spacing w:val="3"/>
          <w:w w:val="105"/>
        </w:rPr>
        <w:t>第五</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spacing w:line="295" w:lineRule="auto"/>
        <w:ind w:left="118" w:right="442"/>
        <w:rPr>
          <w:rFonts w:hint="eastAsia" w:ascii="MS UI Gothic" w:eastAsia="MS UI Gothic"/>
        </w:rPr>
      </w:pPr>
      <w:r>
        <w:t>第四十九条 未设立地区煤矿安全监察机构的省</w:t>
      </w:r>
      <w:r>
        <w:rPr>
          <w:rFonts w:hint="eastAsia" w:ascii="MS UI Gothic" w:eastAsia="MS UI Gothic"/>
          <w:w w:val="80"/>
        </w:rPr>
        <w:t xml:space="preserve">、 </w:t>
      </w:r>
      <w:r>
        <w:t>自治区</w:t>
      </w:r>
      <w:r>
        <w:rPr>
          <w:rFonts w:hint="eastAsia" w:ascii="MS UI Gothic" w:eastAsia="MS UI Gothic"/>
          <w:w w:val="80"/>
        </w:rPr>
        <w:t xml:space="preserve">、 </w:t>
      </w:r>
      <w:r>
        <w:t>直辖市</w:t>
      </w:r>
      <w:r>
        <w:rPr>
          <w:rFonts w:hint="eastAsia" w:ascii="MS UI Gothic" w:eastAsia="MS UI Gothic"/>
          <w:w w:val="80"/>
        </w:rPr>
        <w:t xml:space="preserve">ꎬ </w:t>
      </w:r>
      <w:r>
        <w:t>省</w:t>
      </w:r>
      <w:r>
        <w:rPr>
          <w:rFonts w:hint="eastAsia" w:ascii="MS UI Gothic" w:eastAsia="MS UI Gothic"/>
          <w:w w:val="80"/>
        </w:rPr>
        <w:t xml:space="preserve">、  </w:t>
      </w:r>
      <w:r>
        <w:t>自治区</w:t>
      </w:r>
      <w:r>
        <w:rPr>
          <w:rFonts w:hint="eastAsia" w:ascii="MS UI Gothic" w:eastAsia="MS UI Gothic"/>
          <w:w w:val="80"/>
        </w:rPr>
        <w:t xml:space="preserve">、 </w:t>
      </w:r>
      <w:r>
        <w:t>直辖市人民政府可以指定有关部门依照本条例的规定对本行政区域内的煤矿实施安全监察</w:t>
      </w:r>
      <w:r>
        <w:rPr>
          <w:rFonts w:hint="eastAsia" w:ascii="MS UI Gothic" w:eastAsia="MS UI Gothic"/>
          <w:w w:val="80"/>
        </w:rPr>
        <w:t>ꎮ</w:t>
      </w:r>
    </w:p>
    <w:p>
      <w:pPr>
        <w:pStyle w:val="6"/>
        <w:tabs>
          <w:tab w:val="left" w:pos="1589"/>
        </w:tabs>
        <w:spacing w:line="252" w:lineRule="exact"/>
        <w:ind w:left="538" w:firstLine="0"/>
        <w:jc w:val="left"/>
        <w:rPr>
          <w:rFonts w:hint="eastAsia" w:ascii="MS UI Gothic" w:eastAsia="MS UI Gothic"/>
        </w:rPr>
      </w:pPr>
      <w:r>
        <w:rPr>
          <w:spacing w:val="3"/>
        </w:rPr>
        <w:t>第五十</w:t>
      </w:r>
      <w:r>
        <w:t>条</w:t>
      </w:r>
      <w:r>
        <w:tab/>
      </w:r>
      <w:r>
        <w:rPr>
          <w:spacing w:val="11"/>
        </w:rPr>
        <w:t>本条例</w:t>
      </w:r>
      <w:r>
        <w:t>自</w:t>
      </w:r>
      <w:r>
        <w:rPr>
          <w:spacing w:val="-58"/>
        </w:rPr>
        <w:t xml:space="preserve"> </w:t>
      </w:r>
      <w:r>
        <w:rPr>
          <w:rFonts w:hint="eastAsia" w:ascii="MS UI Gothic" w:eastAsia="MS UI Gothic"/>
        </w:rPr>
        <w:t>２０００</w:t>
      </w:r>
      <w:r>
        <w:rPr>
          <w:rFonts w:hint="eastAsia" w:ascii="MS UI Gothic" w:eastAsia="MS UI Gothic"/>
          <w:spacing w:val="-12"/>
        </w:rPr>
        <w:t xml:space="preserve"> </w:t>
      </w:r>
      <w:r>
        <w:t>年</w:t>
      </w:r>
      <w:r>
        <w:rPr>
          <w:spacing w:val="-58"/>
        </w:rPr>
        <w:t xml:space="preserve"> </w:t>
      </w:r>
      <w:r>
        <w:rPr>
          <w:rFonts w:hint="eastAsia" w:ascii="MS UI Gothic" w:eastAsia="MS UI Gothic"/>
        </w:rPr>
        <w:t>１２</w:t>
      </w:r>
      <w:r>
        <w:rPr>
          <w:rFonts w:hint="eastAsia" w:ascii="MS UI Gothic" w:eastAsia="MS UI Gothic"/>
          <w:spacing w:val="-12"/>
        </w:rPr>
        <w:t xml:space="preserve"> </w:t>
      </w:r>
      <w:r>
        <w:t>月</w:t>
      </w:r>
      <w:r>
        <w:rPr>
          <w:spacing w:val="-58"/>
        </w:rPr>
        <w:t xml:space="preserve"> </w:t>
      </w:r>
      <w:r>
        <w:rPr>
          <w:rFonts w:hint="eastAsia" w:ascii="MS UI Gothic" w:eastAsia="MS UI Gothic"/>
        </w:rPr>
        <w:t>１</w:t>
      </w:r>
    </w:p>
    <w:p>
      <w:pPr>
        <w:pStyle w:val="6"/>
        <w:spacing w:before="58"/>
        <w:ind w:left="118" w:firstLine="0"/>
        <w:jc w:val="left"/>
        <w:rPr>
          <w:rFonts w:hint="eastAsia" w:ascii="MS UI Gothic" w:eastAsia="MS UI Gothic"/>
        </w:rPr>
      </w:pPr>
      <w:r>
        <w:t>日起施行</w:t>
      </w:r>
      <w:r>
        <w:rPr>
          <w:rFonts w:hint="eastAsia" w:ascii="MS UI Gothic" w:eastAsia="MS UI Gothic"/>
          <w:w w:val="80"/>
        </w:rPr>
        <w:t>ꎮ</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3942" w:space="256"/>
            <w:col w:w="4342"/>
          </w:cols>
        </w:sectPr>
      </w:pPr>
    </w:p>
    <w:p>
      <w:pPr>
        <w:pStyle w:val="6"/>
        <w:spacing w:before="4"/>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ind w:left="0" w:firstLine="0"/>
        <w:jc w:val="left"/>
        <w:rPr>
          <w:rFonts w:ascii="MS UI Gothic"/>
          <w:sz w:val="48"/>
        </w:rPr>
      </w:pPr>
    </w:p>
    <w:p>
      <w:pPr>
        <w:pStyle w:val="6"/>
        <w:ind w:left="0" w:firstLine="0"/>
        <w:jc w:val="left"/>
        <w:rPr>
          <w:rFonts w:ascii="MS UI Gothic"/>
          <w:sz w:val="48"/>
        </w:rPr>
      </w:pPr>
    </w:p>
    <w:p>
      <w:pPr>
        <w:pStyle w:val="6"/>
        <w:ind w:left="0" w:firstLine="0"/>
        <w:jc w:val="left"/>
        <w:rPr>
          <w:rFonts w:ascii="MS UI Gothic"/>
          <w:sz w:val="37"/>
        </w:rPr>
      </w:pPr>
    </w:p>
    <w:p>
      <w:pPr>
        <w:pStyle w:val="6"/>
        <w:ind w:left="118" w:firstLine="0"/>
        <w:jc w:val="left"/>
        <w:rPr>
          <w:rFonts w:hint="eastAsia" w:ascii="MS UI Gothic" w:eastAsia="MS UI Gothic"/>
        </w:rPr>
      </w:pPr>
      <w:r>
        <w:rPr>
          <w:rFonts w:hint="eastAsia" w:ascii="MS UI Gothic" w:eastAsia="MS UI Gothic"/>
          <w:w w:val="75"/>
        </w:rPr>
        <w:t>１０４</w:t>
      </w:r>
    </w:p>
    <w:p>
      <w:pPr>
        <w:pStyle w:val="4"/>
        <w:spacing w:before="74"/>
        <w:ind w:left="2137" w:right="2924"/>
      </w:pPr>
      <w:r>
        <w:br w:type="column"/>
      </w:r>
      <w:r>
        <w:t>中华人民共和国国务院令</w:t>
      </w:r>
    </w:p>
    <w:p>
      <w:pPr>
        <w:pStyle w:val="6"/>
        <w:spacing w:before="10"/>
        <w:ind w:left="0" w:firstLine="0"/>
        <w:jc w:val="left"/>
        <w:rPr>
          <w:sz w:val="25"/>
        </w:rPr>
      </w:pPr>
    </w:p>
    <w:p>
      <w:pPr>
        <w:pStyle w:val="5"/>
        <w:spacing w:before="1"/>
        <w:ind w:left="2137" w:right="2924"/>
      </w:pPr>
      <w:r>
        <w:t xml:space="preserve">第 </w:t>
      </w:r>
      <w:r>
        <w:rPr>
          <w:rFonts w:hint="eastAsia" w:ascii="MS UI Gothic" w:eastAsia="MS UI Gothic"/>
        </w:rPr>
        <w:t xml:space="preserve">４４６ </w:t>
      </w:r>
      <w:r>
        <w:t>号</w:t>
      </w:r>
    </w:p>
    <w:p>
      <w:pPr>
        <w:pStyle w:val="6"/>
        <w:spacing w:before="353" w:line="285" w:lineRule="auto"/>
        <w:ind w:left="18" w:right="442" w:firstLine="58"/>
        <w:jc w:val="left"/>
        <w:rPr>
          <w:rFonts w:hint="eastAsia" w:ascii="MS UI Gothic" w:hAnsi="MS UI Gothic" w:eastAsia="MS UI Gothic"/>
        </w:rPr>
      </w:pPr>
      <w:r>
        <w:rPr>
          <w:rFonts w:hint="eastAsia" w:ascii="MS UI Gothic" w:hAnsi="MS UI Gothic" w:eastAsia="MS UI Gothic"/>
          <w:w w:val="95"/>
        </w:rPr>
        <w:t xml:space="preserve">« </w:t>
      </w:r>
      <w:r>
        <w:rPr>
          <w:w w:val="95"/>
        </w:rPr>
        <w:t>国务院关于预防煤矿生产安全事故的特别规定</w:t>
      </w:r>
      <w:r>
        <w:rPr>
          <w:rFonts w:hint="eastAsia" w:ascii="MS UI Gothic" w:hAnsi="MS UI Gothic" w:eastAsia="MS UI Gothic"/>
          <w:w w:val="95"/>
        </w:rPr>
        <w:t xml:space="preserve">» </w:t>
      </w:r>
      <w:r>
        <w:rPr>
          <w:w w:val="95"/>
        </w:rPr>
        <w:t xml:space="preserve">已经 </w:t>
      </w:r>
      <w:r>
        <w:rPr>
          <w:rFonts w:hint="eastAsia" w:ascii="MS UI Gothic" w:hAnsi="MS UI Gothic" w:eastAsia="MS UI Gothic"/>
          <w:w w:val="95"/>
        </w:rPr>
        <w:t xml:space="preserve">２００５ </w:t>
      </w:r>
      <w:r>
        <w:rPr>
          <w:w w:val="95"/>
        </w:rPr>
        <w:t xml:space="preserve">年 </w:t>
      </w:r>
      <w:r>
        <w:rPr>
          <w:rFonts w:hint="eastAsia" w:ascii="MS UI Gothic" w:hAnsi="MS UI Gothic" w:eastAsia="MS UI Gothic"/>
          <w:w w:val="95"/>
        </w:rPr>
        <w:t xml:space="preserve">８ </w:t>
      </w:r>
      <w:r>
        <w:rPr>
          <w:w w:val="95"/>
        </w:rPr>
        <w:t xml:space="preserve">月 </w:t>
      </w:r>
      <w:r>
        <w:rPr>
          <w:rFonts w:hint="eastAsia" w:ascii="MS UI Gothic" w:hAnsi="MS UI Gothic" w:eastAsia="MS UI Gothic"/>
          <w:w w:val="95"/>
        </w:rPr>
        <w:t xml:space="preserve">３１ </w:t>
      </w:r>
      <w:r>
        <w:rPr>
          <w:w w:val="95"/>
        </w:rPr>
        <w:t>日国务院第次常务会议通过</w:t>
      </w:r>
      <w:r>
        <w:rPr>
          <w:rFonts w:hint="eastAsia" w:ascii="MS UI Gothic" w:hAnsi="MS UI Gothic" w:eastAsia="MS UI Gothic"/>
          <w:w w:val="90"/>
        </w:rPr>
        <w:t xml:space="preserve">ꎬ </w:t>
      </w:r>
      <w:r>
        <w:rPr>
          <w:w w:val="95"/>
        </w:rPr>
        <w:t>现予公布</w:t>
      </w:r>
      <w:r>
        <w:rPr>
          <w:rFonts w:hint="eastAsia" w:ascii="MS UI Gothic" w:hAnsi="MS UI Gothic" w:eastAsia="MS UI Gothic"/>
          <w:w w:val="90"/>
        </w:rPr>
        <w:t xml:space="preserve">ꎬ </w:t>
      </w:r>
      <w:r>
        <w:rPr>
          <w:w w:val="95"/>
        </w:rPr>
        <w:t>自公布之日起施行</w:t>
      </w:r>
      <w:r>
        <w:rPr>
          <w:rFonts w:hint="eastAsia" w:ascii="MS UI Gothic" w:hAnsi="MS UI Gothic" w:eastAsia="MS UI Gothic"/>
          <w:w w:val="90"/>
        </w:rPr>
        <w:t>ꎮ</w:t>
      </w:r>
    </w:p>
    <w:p>
      <w:pPr>
        <w:pStyle w:val="6"/>
        <w:tabs>
          <w:tab w:val="left" w:pos="6992"/>
        </w:tabs>
        <w:spacing w:before="318" w:line="290" w:lineRule="auto"/>
        <w:ind w:left="5735" w:right="442" w:firstLine="628"/>
        <w:jc w:val="right"/>
      </w:pPr>
      <w:r>
        <w:rPr>
          <w:spacing w:val="3"/>
          <w:w w:val="105"/>
        </w:rPr>
        <w:t>总</w:t>
      </w:r>
      <w:r>
        <w:rPr>
          <w:w w:val="105"/>
        </w:rPr>
        <w:t>理</w:t>
      </w:r>
      <w:r>
        <w:rPr>
          <w:w w:val="105"/>
        </w:rPr>
        <w:tab/>
      </w:r>
      <w:r>
        <w:rPr>
          <w:spacing w:val="3"/>
        </w:rPr>
        <w:t>温家</w:t>
      </w:r>
      <w:r>
        <w:rPr>
          <w:spacing w:val="-15"/>
        </w:rPr>
        <w:t>宝</w:t>
      </w:r>
      <w:r>
        <w:rPr>
          <w:spacing w:val="3"/>
        </w:rPr>
        <w:t>二</w:t>
      </w:r>
      <w:r>
        <w:rPr>
          <w:rFonts w:hint="eastAsia" w:ascii="MS UI Gothic" w:hAnsi="MS UI Gothic" w:eastAsia="MS UI Gothic"/>
          <w:spacing w:val="3"/>
        </w:rPr>
        <w:t>○○</w:t>
      </w:r>
      <w:r>
        <w:rPr>
          <w:spacing w:val="3"/>
        </w:rPr>
        <w:t>五年九月三</w:t>
      </w:r>
      <w:r>
        <w:t>日</w:t>
      </w:r>
    </w:p>
    <w:p>
      <w:pPr>
        <w:spacing w:after="0" w:line="290" w:lineRule="auto"/>
        <w:jc w:val="right"/>
        <w:sectPr>
          <w:type w:val="continuous"/>
          <w:pgSz w:w="10500" w:h="14750"/>
          <w:pgMar w:top="1400" w:right="980" w:bottom="280" w:left="980" w:header="720" w:footer="720" w:gutter="0"/>
          <w:cols w:equalWidth="0" w:num="2">
            <w:col w:w="428" w:space="40"/>
            <w:col w:w="807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２２３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699" o:spid="_x0000_s1699" o:spt="203" style="height:2.15pt;width:398.25pt;" coordsize="7965,43">
            <o:lock v:ext="edit"/>
            <v:line id="_x0000_s1700" o:spid="_x0000_s1700" o:spt="20" style="position:absolute;left:0;top:39;height:0;width:7965;" stroked="t" coordsize="21600,21600">
              <v:path arrowok="t"/>
              <v:fill focussize="0,0"/>
              <v:stroke weight="0.388031496062992pt" color="#231F20"/>
              <v:imagedata o:title=""/>
              <o:lock v:ext="edit"/>
            </v:line>
            <v:line id="_x0000_s1701" o:spid="_x0000_s1701"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4"/>
        <w:spacing w:before="238" w:line="266" w:lineRule="auto"/>
        <w:ind w:left="2482" w:right="2122" w:firstLine="124"/>
        <w:jc w:val="left"/>
        <w:rPr>
          <w:rFonts w:hint="eastAsia" w:ascii="Microsoft Yi Baiti" w:eastAsia="Microsoft Yi Baiti"/>
        </w:rPr>
      </w:pPr>
      <w:r>
        <w:t xml:space="preserve">国务院关于预防煤矿生产安全事故的特别规定 </w:t>
      </w:r>
      <w:r>
        <w:rPr>
          <w:rFonts w:hint="eastAsia" w:ascii="Microsoft Yi Baiti" w:eastAsia="Microsoft Yi Baiti"/>
        </w:rPr>
        <w:t>(</w:t>
      </w:r>
      <w:r>
        <w:rPr>
          <w:rFonts w:hint="eastAsia" w:ascii="MS UI Gothic" w:eastAsia="MS UI Gothic"/>
        </w:rPr>
        <w:t xml:space="preserve">２０１３ </w:t>
      </w:r>
      <w:r>
        <w:t>年修订</w:t>
      </w:r>
      <w:r>
        <w:rPr>
          <w:rFonts w:hint="eastAsia" w:ascii="Microsoft Yi Baiti" w:eastAsia="Microsoft Yi Baiti"/>
        </w:rPr>
        <w:t>)</w:t>
      </w:r>
    </w:p>
    <w:p>
      <w:pPr>
        <w:pStyle w:val="6"/>
        <w:tabs>
          <w:tab w:val="left" w:pos="6294"/>
        </w:tabs>
        <w:spacing w:before="328"/>
        <w:ind w:left="860" w:firstLine="0"/>
        <w:jc w:val="left"/>
      </w:pPr>
      <w:r>
        <w:rPr>
          <w:rFonts w:hint="eastAsia" w:ascii="Microsoft Yi Baiti" w:eastAsia="Microsoft Yi Baiti"/>
          <w:spacing w:val="2"/>
        </w:rPr>
        <w:t>(</w:t>
      </w:r>
      <w:r>
        <w:rPr>
          <w:rFonts w:hint="eastAsia" w:ascii="MS UI Gothic" w:eastAsia="MS UI Gothic"/>
          <w:spacing w:val="2"/>
        </w:rPr>
        <w:t>２００５</w:t>
      </w:r>
      <w:r>
        <w:rPr>
          <w:rFonts w:hint="eastAsia" w:ascii="MS UI Gothic" w:eastAsia="MS UI Gothic"/>
          <w:spacing w:val="-25"/>
        </w:rPr>
        <w:t xml:space="preserve"> </w:t>
      </w:r>
      <w:r>
        <w:t>年</w:t>
      </w:r>
      <w:r>
        <w:rPr>
          <w:spacing w:val="-69"/>
        </w:rPr>
        <w:t xml:space="preserve"> </w:t>
      </w:r>
      <w:r>
        <w:rPr>
          <w:rFonts w:hint="eastAsia" w:ascii="MS UI Gothic" w:eastAsia="MS UI Gothic"/>
        </w:rPr>
        <w:t>９</w:t>
      </w:r>
      <w:r>
        <w:rPr>
          <w:rFonts w:hint="eastAsia" w:ascii="MS UI Gothic" w:eastAsia="MS UI Gothic"/>
          <w:spacing w:val="-25"/>
        </w:rPr>
        <w:t xml:space="preserve"> </w:t>
      </w:r>
      <w:r>
        <w:t>月</w:t>
      </w:r>
      <w:r>
        <w:rPr>
          <w:spacing w:val="-69"/>
        </w:rPr>
        <w:t xml:space="preserve"> </w:t>
      </w:r>
      <w:r>
        <w:rPr>
          <w:rFonts w:hint="eastAsia" w:ascii="MS UI Gothic" w:eastAsia="MS UI Gothic"/>
        </w:rPr>
        <w:t>３</w:t>
      </w:r>
      <w:r>
        <w:rPr>
          <w:rFonts w:hint="eastAsia" w:ascii="MS UI Gothic" w:eastAsia="MS UI Gothic"/>
          <w:spacing w:val="-25"/>
        </w:rPr>
        <w:t xml:space="preserve"> </w:t>
      </w:r>
      <w:r>
        <w:rPr>
          <w:spacing w:val="3"/>
        </w:rPr>
        <w:t>日中华人</w:t>
      </w:r>
      <w:r>
        <w:rPr>
          <w:spacing w:val="5"/>
        </w:rPr>
        <w:t>民共和国国务院令</w:t>
      </w:r>
      <w:r>
        <w:t>第</w:t>
      </w:r>
      <w:r>
        <w:rPr>
          <w:spacing w:val="-67"/>
        </w:rPr>
        <w:t xml:space="preserve"> </w:t>
      </w:r>
      <w:r>
        <w:rPr>
          <w:rFonts w:hint="eastAsia" w:ascii="MS UI Gothic" w:eastAsia="MS UI Gothic"/>
        </w:rPr>
        <w:t>４４６</w:t>
      </w:r>
      <w:r>
        <w:rPr>
          <w:rFonts w:hint="eastAsia" w:ascii="MS UI Gothic" w:eastAsia="MS UI Gothic"/>
          <w:spacing w:val="-22"/>
        </w:rPr>
        <w:t xml:space="preserve"> </w:t>
      </w:r>
      <w:r>
        <w:rPr>
          <w:spacing w:val="5"/>
        </w:rPr>
        <w:t>号公</w:t>
      </w:r>
      <w:r>
        <w:t>布</w:t>
      </w:r>
      <w:r>
        <w:tab/>
      </w:r>
      <w:r>
        <w:rPr>
          <w:spacing w:val="5"/>
        </w:rPr>
        <w:t>根</w:t>
      </w:r>
      <w:r>
        <w:t>据</w:t>
      </w:r>
      <w:r>
        <w:rPr>
          <w:spacing w:val="-69"/>
        </w:rPr>
        <w:t xml:space="preserve"> </w:t>
      </w:r>
      <w:r>
        <w:rPr>
          <w:rFonts w:hint="eastAsia" w:ascii="MS UI Gothic" w:eastAsia="MS UI Gothic"/>
        </w:rPr>
        <w:t>２０１３</w:t>
      </w:r>
      <w:r>
        <w:rPr>
          <w:rFonts w:hint="eastAsia" w:ascii="MS UI Gothic" w:eastAsia="MS UI Gothic"/>
          <w:spacing w:val="-26"/>
        </w:rPr>
        <w:t xml:space="preserve"> </w:t>
      </w:r>
      <w:r>
        <w:t>年</w:t>
      </w:r>
      <w:r>
        <w:rPr>
          <w:spacing w:val="-68"/>
        </w:rPr>
        <w:t xml:space="preserve"> </w:t>
      </w:r>
      <w:r>
        <w:rPr>
          <w:rFonts w:hint="eastAsia" w:ascii="MS UI Gothic" w:eastAsia="MS UI Gothic"/>
        </w:rPr>
        <w:t>７</w:t>
      </w:r>
      <w:r>
        <w:rPr>
          <w:rFonts w:hint="eastAsia" w:ascii="MS UI Gothic" w:eastAsia="MS UI Gothic"/>
          <w:spacing w:val="-26"/>
        </w:rPr>
        <w:t xml:space="preserve"> </w:t>
      </w:r>
      <w:r>
        <w:t>月</w:t>
      </w:r>
      <w:r>
        <w:rPr>
          <w:spacing w:val="-67"/>
        </w:rPr>
        <w:t xml:space="preserve"> </w:t>
      </w:r>
      <w:r>
        <w:rPr>
          <w:rFonts w:hint="eastAsia" w:ascii="MS UI Gothic" w:eastAsia="MS UI Gothic"/>
        </w:rPr>
        <w:t>１８</w:t>
      </w:r>
      <w:r>
        <w:rPr>
          <w:rFonts w:hint="eastAsia" w:ascii="MS UI Gothic" w:eastAsia="MS UI Gothic"/>
          <w:spacing w:val="-24"/>
        </w:rPr>
        <w:t xml:space="preserve"> </w:t>
      </w:r>
      <w:r>
        <w:t>日</w:t>
      </w:r>
    </w:p>
    <w:p>
      <w:pPr>
        <w:pStyle w:val="6"/>
        <w:spacing w:before="58"/>
        <w:ind w:left="440" w:firstLine="0"/>
        <w:jc w:val="left"/>
        <w:rPr>
          <w:rFonts w:hint="eastAsia" w:ascii="Microsoft Yi Baiti" w:hAnsi="Microsoft Yi Baiti" w:eastAsia="Microsoft Yi Baiti"/>
        </w:rPr>
      </w:pPr>
      <w:r>
        <w:rPr>
          <w:rFonts w:hint="eastAsia" w:ascii="Microsoft Yi Baiti" w:hAnsi="Microsoft Yi Baiti" w:eastAsia="Microsoft Yi Baiti"/>
          <w:w w:val="110"/>
        </w:rPr>
        <w:t xml:space="preserve">« </w:t>
      </w:r>
      <w:r>
        <w:rPr>
          <w:w w:val="110"/>
        </w:rPr>
        <w:t>国务院关于废止和修改部分行政法规的决定</w:t>
      </w:r>
      <w:r>
        <w:rPr>
          <w:rFonts w:hint="eastAsia" w:ascii="Microsoft Yi Baiti" w:hAnsi="Microsoft Yi Baiti" w:eastAsia="Microsoft Yi Baiti"/>
          <w:w w:val="110"/>
        </w:rPr>
        <w:t xml:space="preserve">» </w:t>
      </w:r>
      <w:r>
        <w:rPr>
          <w:w w:val="110"/>
        </w:rPr>
        <w:t>修订</w:t>
      </w:r>
      <w:r>
        <w:rPr>
          <w:rFonts w:hint="eastAsia" w:ascii="Microsoft Yi Baiti" w:hAnsi="Microsoft Yi Baiti" w:eastAsia="Microsoft Yi Baiti"/>
          <w:w w:val="110"/>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175" w:line="300" w:lineRule="auto"/>
        <w:ind w:left="440"/>
        <w:rPr>
          <w:rFonts w:hint="eastAsia" w:ascii="MS UI Gothic" w:eastAsia="MS UI Gothic"/>
        </w:rPr>
      </w:pPr>
      <w:r>
        <w:t>第一条 为了及时发现并排除煤矿安全生产隐患</w:t>
      </w:r>
      <w:r>
        <w:rPr>
          <w:rFonts w:hint="eastAsia" w:ascii="MS UI Gothic" w:eastAsia="MS UI Gothic"/>
          <w:w w:val="80"/>
        </w:rPr>
        <w:t xml:space="preserve">ꎬ </w:t>
      </w:r>
      <w:r>
        <w:t>落实煤矿安全生产责任</w:t>
      </w:r>
      <w:r>
        <w:rPr>
          <w:rFonts w:hint="eastAsia" w:ascii="MS UI Gothic" w:eastAsia="MS UI Gothic"/>
          <w:w w:val="80"/>
        </w:rPr>
        <w:t xml:space="preserve">ꎬ </w:t>
      </w:r>
      <w:r>
        <w:t>预防煤矿生产安全事故发生</w:t>
      </w:r>
      <w:r>
        <w:rPr>
          <w:rFonts w:hint="eastAsia" w:ascii="MS UI Gothic" w:eastAsia="MS UI Gothic"/>
          <w:w w:val="80"/>
        </w:rPr>
        <w:t xml:space="preserve">ꎬ </w:t>
      </w:r>
      <w:r>
        <w:t>保障职工的生命安全和煤矿安全生产</w:t>
      </w:r>
      <w:r>
        <w:rPr>
          <w:rFonts w:hint="eastAsia" w:ascii="MS UI Gothic" w:eastAsia="MS UI Gothic"/>
          <w:w w:val="80"/>
        </w:rPr>
        <w:t xml:space="preserve">ꎬ </w:t>
      </w:r>
      <w:r>
        <w:t>制定本规定</w:t>
      </w:r>
      <w:r>
        <w:rPr>
          <w:rFonts w:hint="eastAsia" w:ascii="MS UI Gothic" w:eastAsia="MS UI Gothic"/>
          <w:w w:val="80"/>
        </w:rPr>
        <w:t>ꎮ</w:t>
      </w:r>
    </w:p>
    <w:p>
      <w:pPr>
        <w:pStyle w:val="6"/>
        <w:spacing w:line="300" w:lineRule="auto"/>
        <w:ind w:left="440"/>
        <w:rPr>
          <w:rFonts w:hint="eastAsia" w:ascii="MS UI Gothic" w:eastAsia="MS UI Gothic"/>
        </w:rPr>
      </w:pPr>
      <w:r>
        <w:rPr>
          <w:spacing w:val="2"/>
          <w:w w:val="105"/>
        </w:rPr>
        <w:t>第二条 煤矿企业是预防煤矿生产安</w:t>
      </w:r>
      <w:r>
        <w:rPr>
          <w:spacing w:val="26"/>
        </w:rPr>
        <w:t>全事故的责任主体</w:t>
      </w:r>
      <w:r>
        <w:rPr>
          <w:rFonts w:hint="eastAsia" w:ascii="MS UI Gothic" w:eastAsia="MS UI Gothic"/>
          <w:spacing w:val="1"/>
          <w:w w:val="80"/>
        </w:rPr>
        <w:t xml:space="preserve">ꎮ  </w:t>
      </w:r>
      <w:r>
        <w:rPr>
          <w:spacing w:val="30"/>
        </w:rPr>
        <w:t xml:space="preserve">煤矿企业负责人 </w:t>
      </w:r>
      <w:r>
        <w:rPr>
          <w:rFonts w:hint="eastAsia" w:ascii="MS UI Gothic" w:eastAsia="MS UI Gothic"/>
          <w:spacing w:val="-26"/>
          <w:w w:val="145"/>
        </w:rPr>
        <w:t xml:space="preserve">( </w:t>
      </w:r>
      <w:r>
        <w:rPr>
          <w:spacing w:val="23"/>
          <w:w w:val="105"/>
        </w:rPr>
        <w:t>包括一些煤矿企业的实际控制人</w:t>
      </w:r>
      <w:r>
        <w:rPr>
          <w:rFonts w:hint="eastAsia" w:ascii="MS UI Gothic" w:eastAsia="MS UI Gothic"/>
          <w:spacing w:val="-3"/>
          <w:w w:val="80"/>
        </w:rPr>
        <w:t xml:space="preserve">ꎬ </w:t>
      </w:r>
      <w:r>
        <w:rPr>
          <w:spacing w:val="-15"/>
          <w:w w:val="105"/>
        </w:rPr>
        <w:t>下</w:t>
      </w:r>
      <w:r>
        <w:rPr>
          <w:spacing w:val="3"/>
          <w:w w:val="105"/>
        </w:rPr>
        <w:t>同</w:t>
      </w:r>
      <w:r>
        <w:rPr>
          <w:rFonts w:hint="eastAsia" w:ascii="MS UI Gothic" w:eastAsia="MS UI Gothic"/>
          <w:spacing w:val="-7"/>
          <w:w w:val="150"/>
        </w:rPr>
        <w:t xml:space="preserve">) </w:t>
      </w:r>
      <w:r>
        <w:rPr>
          <w:spacing w:val="29"/>
          <w:w w:val="105"/>
        </w:rPr>
        <w:t>对预防煤矿生产安全事故负主要</w:t>
      </w:r>
      <w:r>
        <w:rPr>
          <w:spacing w:val="3"/>
          <w:w w:val="105"/>
        </w:rPr>
        <w:t>责任</w:t>
      </w:r>
      <w:r>
        <w:rPr>
          <w:rFonts w:hint="eastAsia" w:ascii="MS UI Gothic" w:eastAsia="MS UI Gothic"/>
          <w:w w:val="80"/>
        </w:rPr>
        <w:t>ꎮ</w:t>
      </w:r>
    </w:p>
    <w:p>
      <w:pPr>
        <w:pStyle w:val="6"/>
        <w:spacing w:line="300" w:lineRule="auto"/>
        <w:ind w:left="440"/>
        <w:rPr>
          <w:rFonts w:hint="eastAsia" w:ascii="MS UI Gothic" w:eastAsia="MS UI Gothic"/>
        </w:rPr>
      </w:pPr>
      <w:r>
        <w:rPr>
          <w:w w:val="105"/>
        </w:rPr>
        <w:t>第三条 国务院有关部门和地方各级</w:t>
      </w:r>
      <w:r>
        <w:t>人民政府应当建立并落实预防煤矿生产安全事故的责任制</w:t>
      </w:r>
      <w:r>
        <w:rPr>
          <w:rFonts w:hint="eastAsia" w:ascii="MS UI Gothic" w:eastAsia="MS UI Gothic"/>
          <w:w w:val="80"/>
        </w:rPr>
        <w:t xml:space="preserve">ꎬ </w:t>
      </w:r>
      <w:r>
        <w:t>监督检查煤矿企业预防煤矿生产安全事故的情况</w:t>
      </w:r>
      <w:r>
        <w:rPr>
          <w:rFonts w:hint="eastAsia" w:ascii="MS UI Gothic" w:eastAsia="MS UI Gothic"/>
          <w:w w:val="80"/>
        </w:rPr>
        <w:t xml:space="preserve">ꎬ </w:t>
      </w:r>
      <w:r>
        <w:t>及时解决煤矿</w:t>
      </w:r>
      <w:r>
        <w:rPr>
          <w:w w:val="105"/>
        </w:rPr>
        <w:t>生产安全事故预防工作中的重大问题</w:t>
      </w:r>
      <w:r>
        <w:rPr>
          <w:rFonts w:hint="eastAsia" w:ascii="MS UI Gothic" w:eastAsia="MS UI Gothic"/>
          <w:w w:val="80"/>
        </w:rPr>
        <w:t>ꎮ</w:t>
      </w:r>
    </w:p>
    <w:p>
      <w:pPr>
        <w:pStyle w:val="6"/>
        <w:spacing w:line="300" w:lineRule="auto"/>
        <w:ind w:left="440"/>
        <w:rPr>
          <w:rFonts w:hint="eastAsia" w:ascii="MS UI Gothic" w:eastAsia="MS UI Gothic"/>
        </w:rPr>
      </w:pPr>
      <w:r>
        <w:rPr>
          <w:w w:val="105"/>
        </w:rPr>
        <w:t>第四条 县级以上地方人民政府负责煤矿安全生产监督管理的部门</w:t>
      </w:r>
      <w:r>
        <w:rPr>
          <w:rFonts w:hint="eastAsia" w:ascii="MS UI Gothic" w:eastAsia="MS UI Gothic"/>
          <w:w w:val="80"/>
        </w:rPr>
        <w:t xml:space="preserve">、 </w:t>
      </w:r>
      <w:r>
        <w:rPr>
          <w:w w:val="105"/>
        </w:rPr>
        <w:t>国家煤矿安全监察机构设在省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 xml:space="preserve">直辖市的煤矿安全监察机构 </w:t>
      </w:r>
      <w:r>
        <w:rPr>
          <w:rFonts w:hint="eastAsia" w:ascii="MS UI Gothic" w:eastAsia="MS UI Gothic"/>
          <w:w w:val="150"/>
        </w:rPr>
        <w:t xml:space="preserve">( </w:t>
      </w:r>
      <w:r>
        <w:rPr>
          <w:w w:val="105"/>
        </w:rPr>
        <w:t>以下简称煤矿安全监察机构</w:t>
      </w:r>
      <w:r>
        <w:rPr>
          <w:rFonts w:hint="eastAsia" w:ascii="MS UI Gothic" w:eastAsia="MS UI Gothic"/>
          <w:w w:val="115"/>
        </w:rPr>
        <w:t xml:space="preserve">) </w:t>
      </w:r>
      <w:r>
        <w:rPr>
          <w:rFonts w:hint="eastAsia" w:ascii="MS UI Gothic" w:eastAsia="MS UI Gothic"/>
          <w:w w:val="80"/>
        </w:rPr>
        <w:t xml:space="preserve">ꎬ </w:t>
      </w:r>
      <w:r>
        <w:rPr>
          <w:w w:val="105"/>
        </w:rPr>
        <w:t>对所辖区域的煤矿重大安全</w:t>
      </w:r>
      <w:r>
        <w:t>生产隐患和违法行为负有检查和依法查处</w:t>
      </w:r>
      <w:r>
        <w:rPr>
          <w:w w:val="105"/>
        </w:rPr>
        <w:t>的职责</w:t>
      </w:r>
      <w:r>
        <w:rPr>
          <w:rFonts w:hint="eastAsia" w:ascii="MS UI Gothic" w:eastAsia="MS UI Gothic"/>
          <w:w w:val="80"/>
        </w:rPr>
        <w:t>ꎮ</w:t>
      </w:r>
    </w:p>
    <w:p>
      <w:pPr>
        <w:pStyle w:val="6"/>
        <w:spacing w:line="300" w:lineRule="auto"/>
        <w:ind w:left="440"/>
        <w:rPr>
          <w:rFonts w:hint="eastAsia" w:ascii="MS UI Gothic" w:eastAsia="MS UI Gothic"/>
        </w:rPr>
      </w:pPr>
      <w:r>
        <w:t>县级以上地方人民政府负责煤矿安全生产监督管理的部门</w:t>
      </w:r>
      <w:r>
        <w:rPr>
          <w:rFonts w:hint="eastAsia" w:ascii="MS UI Gothic" w:eastAsia="MS UI Gothic"/>
          <w:w w:val="80"/>
        </w:rPr>
        <w:t xml:space="preserve">、 </w:t>
      </w:r>
      <w:r>
        <w:t>煤矿安全监察机构不依法履行职责</w:t>
      </w:r>
      <w:r>
        <w:rPr>
          <w:rFonts w:hint="eastAsia" w:ascii="MS UI Gothic" w:eastAsia="MS UI Gothic"/>
          <w:w w:val="80"/>
        </w:rPr>
        <w:t xml:space="preserve">ꎬ </w:t>
      </w:r>
      <w:r>
        <w:t>不及时查处所辖区域的煤矿重大安全生产隐患和违法行为的</w:t>
      </w:r>
      <w:r>
        <w:rPr>
          <w:rFonts w:hint="eastAsia" w:ascii="MS UI Gothic" w:eastAsia="MS UI Gothic"/>
          <w:w w:val="80"/>
        </w:rPr>
        <w:t xml:space="preserve">ꎬ </w:t>
      </w:r>
      <w:r>
        <w:t>对直接责任人和主要负责人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给予记过</w:t>
      </w:r>
      <w:r>
        <w:rPr>
          <w:rFonts w:hint="eastAsia" w:ascii="MS UI Gothic" w:eastAsia="MS UI Gothic"/>
          <w:w w:val="80"/>
        </w:rPr>
        <w:t xml:space="preserve">、 </w:t>
      </w:r>
      <w:r>
        <w:t>记大过</w:t>
      </w:r>
      <w:r>
        <w:rPr>
          <w:rFonts w:hint="eastAsia" w:ascii="MS UI Gothic" w:eastAsia="MS UI Gothic"/>
          <w:w w:val="80"/>
        </w:rPr>
        <w:t xml:space="preserve">、 </w:t>
      </w:r>
      <w:r>
        <w:t>降级</w:t>
      </w:r>
      <w:r>
        <w:rPr>
          <w:rFonts w:hint="eastAsia" w:ascii="MS UI Gothic" w:eastAsia="MS UI Gothic"/>
          <w:w w:val="80"/>
        </w:rPr>
        <w:t xml:space="preserve">、  </w:t>
      </w:r>
      <w:r>
        <w:t>撤职或者开除的行政处分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300" w:lineRule="auto"/>
        <w:ind w:left="440"/>
      </w:pPr>
      <w:r>
        <w:t>第五条  煤矿未依法取得采矿许可证</w:t>
      </w:r>
      <w:r>
        <w:rPr>
          <w:rFonts w:hint="eastAsia" w:ascii="MS UI Gothic" w:eastAsia="MS UI Gothic"/>
        </w:rPr>
        <w:t xml:space="preserve">、 </w:t>
      </w:r>
      <w:r>
        <w:t>安全生产许可证</w:t>
      </w:r>
      <w:r>
        <w:rPr>
          <w:rFonts w:hint="eastAsia" w:ascii="MS UI Gothic" w:eastAsia="MS UI Gothic"/>
        </w:rPr>
        <w:t xml:space="preserve">、 </w:t>
      </w:r>
      <w:r>
        <w:t>营业执照和矿长未</w:t>
      </w:r>
    </w:p>
    <w:p>
      <w:pPr>
        <w:pStyle w:val="6"/>
        <w:spacing w:before="175" w:line="300" w:lineRule="auto"/>
        <w:ind w:left="383" w:right="126" w:firstLine="0"/>
        <w:rPr>
          <w:rFonts w:hint="eastAsia" w:ascii="MS UI Gothic" w:eastAsia="MS UI Gothic"/>
        </w:rPr>
      </w:pPr>
      <w:r>
        <w:br w:type="column"/>
      </w:r>
      <w:r>
        <w:t>依法取得矿长资格证</w:t>
      </w:r>
      <w:r>
        <w:rPr>
          <w:rFonts w:hint="eastAsia" w:ascii="MS UI Gothic" w:eastAsia="MS UI Gothic"/>
        </w:rPr>
        <w:t xml:space="preserve">、 </w:t>
      </w:r>
      <w:r>
        <w:t>矿长安全资格证的</w:t>
      </w:r>
      <w:r>
        <w:rPr>
          <w:rFonts w:hint="eastAsia" w:ascii="MS UI Gothic" w:eastAsia="MS UI Gothic"/>
          <w:w w:val="80"/>
        </w:rPr>
        <w:t xml:space="preserve">ꎬ </w:t>
      </w:r>
      <w:r>
        <w:t>煤矿不得从事生产</w:t>
      </w:r>
      <w:r>
        <w:rPr>
          <w:rFonts w:hint="eastAsia" w:ascii="MS UI Gothic" w:eastAsia="MS UI Gothic"/>
          <w:w w:val="80"/>
        </w:rPr>
        <w:t xml:space="preserve">ꎮ </w:t>
      </w:r>
      <w:r>
        <w:t>擅自从事生产的</w:t>
      </w:r>
      <w:r>
        <w:rPr>
          <w:rFonts w:hint="eastAsia" w:ascii="MS UI Gothic" w:eastAsia="MS UI Gothic"/>
          <w:w w:val="80"/>
        </w:rPr>
        <w:t xml:space="preserve">ꎬ </w:t>
      </w:r>
      <w:r>
        <w:t>属非法煤矿</w:t>
      </w:r>
      <w:r>
        <w:rPr>
          <w:rFonts w:hint="eastAsia" w:ascii="MS UI Gothic" w:eastAsia="MS UI Gothic"/>
          <w:w w:val="80"/>
        </w:rPr>
        <w:t>ꎮ</w:t>
      </w:r>
    </w:p>
    <w:p>
      <w:pPr>
        <w:pStyle w:val="6"/>
        <w:spacing w:line="300" w:lineRule="auto"/>
        <w:ind w:left="377" w:right="124" w:firstLine="425"/>
        <w:rPr>
          <w:rFonts w:hint="eastAsia" w:ascii="MS UI Gothic" w:eastAsia="MS UI Gothic"/>
        </w:rPr>
      </w:pPr>
      <w:r>
        <w:t>负责颁发前款规定证照的部门</w:t>
      </w:r>
      <w:r>
        <w:rPr>
          <w:rFonts w:hint="eastAsia" w:ascii="MS UI Gothic" w:eastAsia="MS UI Gothic"/>
          <w:w w:val="80"/>
        </w:rPr>
        <w:t xml:space="preserve">ꎬ </w:t>
      </w:r>
      <w:r>
        <w:t>一经发现煤矿无证照或者证照不全从事生产的</w:t>
      </w:r>
      <w:r>
        <w:rPr>
          <w:rFonts w:hint="eastAsia" w:ascii="MS UI Gothic" w:eastAsia="MS UI Gothic"/>
          <w:w w:val="80"/>
        </w:rPr>
        <w:t xml:space="preserve">ꎬ </w:t>
      </w:r>
      <w:r>
        <w:t>应当责令该煤矿立即停止生产</w:t>
      </w:r>
      <w:r>
        <w:rPr>
          <w:rFonts w:hint="eastAsia" w:ascii="MS UI Gothic" w:eastAsia="MS UI Gothic"/>
          <w:w w:val="80"/>
        </w:rPr>
        <w:t xml:space="preserve">ꎬ </w:t>
      </w:r>
      <w:r>
        <w:t>没收违法所得和开采出的煤炭以及采掘设备</w:t>
      </w:r>
      <w:r>
        <w:rPr>
          <w:rFonts w:hint="eastAsia" w:ascii="MS UI Gothic" w:eastAsia="MS UI Gothic"/>
          <w:w w:val="80"/>
        </w:rPr>
        <w:t>ꎬ</w:t>
      </w:r>
      <w:r>
        <w:t xml:space="preserve">并处违法所得 </w:t>
      </w:r>
      <w:r>
        <w:rPr>
          <w:rFonts w:hint="eastAsia" w:ascii="MS UI Gothic" w:eastAsia="MS UI Gothic"/>
          <w:w w:val="80"/>
        </w:rPr>
        <w:t xml:space="preserve">１ </w:t>
      </w:r>
      <w:r>
        <w:t xml:space="preserve">倍以上 </w:t>
      </w:r>
      <w:r>
        <w:rPr>
          <w:rFonts w:hint="eastAsia" w:ascii="MS UI Gothic" w:eastAsia="MS UI Gothic"/>
          <w:w w:val="80"/>
        </w:rPr>
        <w:t xml:space="preserve">５ </w:t>
      </w:r>
      <w:r>
        <w:t>倍以下的罚款</w:t>
      </w:r>
      <w:r>
        <w:rPr>
          <w:rFonts w:hint="eastAsia" w:ascii="MS UI Gothic" w:eastAsia="MS UI Gothic"/>
          <w:w w:val="80"/>
        </w:rPr>
        <w:t>ꎻ</w:t>
      </w:r>
      <w:r>
        <w:t>构成犯罪的</w:t>
      </w:r>
      <w:r>
        <w:rPr>
          <w:rFonts w:hint="eastAsia" w:ascii="MS UI Gothic" w:eastAsia="MS UI Gothic"/>
          <w:w w:val="80"/>
        </w:rPr>
        <w:t xml:space="preserve">ꎬ </w:t>
      </w:r>
      <w:r>
        <w:t>依法追究刑事责任</w:t>
      </w:r>
      <w:r>
        <w:rPr>
          <w:rFonts w:hint="eastAsia" w:ascii="MS UI Gothic" w:eastAsia="MS UI Gothic"/>
          <w:w w:val="80"/>
        </w:rPr>
        <w:t xml:space="preserve">ꎻ </w:t>
      </w:r>
      <w:r>
        <w:t>同时于</w:t>
      </w:r>
      <w:r>
        <w:rPr>
          <w:rFonts w:hint="eastAsia" w:ascii="MS UI Gothic" w:eastAsia="MS UI Gothic"/>
          <w:w w:val="80"/>
        </w:rPr>
        <w:t xml:space="preserve">２ </w:t>
      </w:r>
      <w:r>
        <w:t>日内提请当地县级以上地方人民政府予以关闭</w:t>
      </w:r>
      <w:r>
        <w:rPr>
          <w:rFonts w:hint="eastAsia" w:ascii="MS UI Gothic" w:eastAsia="MS UI Gothic"/>
          <w:w w:val="80"/>
        </w:rPr>
        <w:t xml:space="preserve">ꎬ </w:t>
      </w:r>
      <w:r>
        <w:t>并可以向上一级地方人民政府报告</w:t>
      </w:r>
      <w:r>
        <w:rPr>
          <w:rFonts w:hint="eastAsia" w:ascii="MS UI Gothic" w:eastAsia="MS UI Gothic"/>
          <w:w w:val="80"/>
        </w:rPr>
        <w:t>ꎮ</w:t>
      </w:r>
    </w:p>
    <w:p>
      <w:pPr>
        <w:pStyle w:val="6"/>
        <w:spacing w:line="300" w:lineRule="auto"/>
        <w:ind w:left="383" w:right="126"/>
        <w:rPr>
          <w:rFonts w:hint="eastAsia" w:ascii="MS UI Gothic" w:eastAsia="MS UI Gothic"/>
        </w:rPr>
      </w:pPr>
      <w:r>
        <w:t>第六条 负责颁发采矿许可证</w:t>
      </w:r>
      <w:r>
        <w:rPr>
          <w:rFonts w:hint="eastAsia" w:ascii="MS UI Gothic" w:eastAsia="MS UI Gothic"/>
          <w:w w:val="80"/>
        </w:rPr>
        <w:t xml:space="preserve">、 </w:t>
      </w:r>
      <w:r>
        <w:t>安全生产许可证</w:t>
      </w:r>
      <w:r>
        <w:rPr>
          <w:rFonts w:hint="eastAsia" w:ascii="MS UI Gothic" w:eastAsia="MS UI Gothic"/>
          <w:w w:val="80"/>
        </w:rPr>
        <w:t xml:space="preserve">、 </w:t>
      </w:r>
      <w:r>
        <w:t>营业执照和矿长资格证</w:t>
      </w:r>
      <w:r>
        <w:rPr>
          <w:rFonts w:hint="eastAsia" w:ascii="MS UI Gothic" w:eastAsia="MS UI Gothic"/>
          <w:w w:val="80"/>
        </w:rPr>
        <w:t xml:space="preserve">、 </w:t>
      </w:r>
      <w:r>
        <w:t>矿长安全资格证的部门</w:t>
      </w:r>
      <w:r>
        <w:rPr>
          <w:rFonts w:hint="eastAsia" w:ascii="MS UI Gothic" w:eastAsia="MS UI Gothic"/>
          <w:w w:val="80"/>
        </w:rPr>
        <w:t xml:space="preserve">ꎬ </w:t>
      </w:r>
      <w:r>
        <w:t>向不符合法定条件的煤矿或者矿长颁发有关证照的</w:t>
      </w:r>
      <w:r>
        <w:rPr>
          <w:rFonts w:hint="eastAsia" w:ascii="MS UI Gothic" w:eastAsia="MS UI Gothic"/>
          <w:w w:val="80"/>
        </w:rPr>
        <w:t xml:space="preserve">ꎬ </w:t>
      </w:r>
      <w:r>
        <w:t>对直接责任人</w:t>
      </w:r>
      <w:r>
        <w:rPr>
          <w:rFonts w:hint="eastAsia" w:ascii="MS UI Gothic" w:eastAsia="MS UI Gothic"/>
          <w:w w:val="80"/>
        </w:rPr>
        <w:t xml:space="preserve">ꎬ </w:t>
      </w:r>
      <w:r>
        <w:t>根据情节轻重</w:t>
      </w:r>
      <w:r>
        <w:rPr>
          <w:rFonts w:hint="eastAsia" w:ascii="MS UI Gothic" w:eastAsia="MS UI Gothic"/>
          <w:w w:val="80"/>
        </w:rPr>
        <w:t xml:space="preserve">ꎬ </w:t>
      </w:r>
      <w:r>
        <w:t>给予降级</w:t>
      </w:r>
      <w:r>
        <w:rPr>
          <w:rFonts w:hint="eastAsia" w:ascii="MS UI Gothic" w:eastAsia="MS UI Gothic"/>
          <w:w w:val="80"/>
        </w:rPr>
        <w:t xml:space="preserve">、 </w:t>
      </w:r>
      <w:r>
        <w:t>撤职或者开除的行政处分</w:t>
      </w:r>
      <w:r>
        <w:rPr>
          <w:rFonts w:hint="eastAsia" w:ascii="MS UI Gothic" w:eastAsia="MS UI Gothic"/>
          <w:w w:val="80"/>
        </w:rPr>
        <w:t xml:space="preserve">ꎻ </w:t>
      </w:r>
      <w:r>
        <w:t>对主要负责人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给予记大过</w:t>
      </w:r>
      <w:r>
        <w:rPr>
          <w:rFonts w:hint="eastAsia" w:ascii="MS UI Gothic" w:eastAsia="MS UI Gothic"/>
          <w:w w:val="80"/>
        </w:rPr>
        <w:t xml:space="preserve">、 </w:t>
      </w:r>
      <w:r>
        <w:t>降级</w:t>
      </w:r>
      <w:r>
        <w:rPr>
          <w:rFonts w:hint="eastAsia" w:ascii="MS UI Gothic" w:eastAsia="MS UI Gothic"/>
          <w:w w:val="80"/>
        </w:rPr>
        <w:t xml:space="preserve">、 </w:t>
      </w:r>
      <w:r>
        <w:t>撤职或者开除的行政处分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300" w:lineRule="auto"/>
        <w:ind w:left="383" w:right="126"/>
        <w:rPr>
          <w:rFonts w:hint="eastAsia" w:ascii="MS UI Gothic" w:eastAsia="MS UI Gothic"/>
        </w:rPr>
      </w:pPr>
      <w:r>
        <w:t>前款规定颁发证照的部门</w:t>
      </w:r>
      <w:r>
        <w:rPr>
          <w:rFonts w:hint="eastAsia" w:ascii="MS UI Gothic" w:eastAsia="MS UI Gothic"/>
          <w:w w:val="80"/>
        </w:rPr>
        <w:t xml:space="preserve">ꎬ </w:t>
      </w:r>
      <w:r>
        <w:t>应当加强对取得证照煤矿的日常监督管理</w:t>
      </w:r>
      <w:r>
        <w:rPr>
          <w:rFonts w:hint="eastAsia" w:ascii="MS UI Gothic" w:eastAsia="MS UI Gothic"/>
          <w:w w:val="80"/>
        </w:rPr>
        <w:t xml:space="preserve">ꎬ </w:t>
      </w:r>
      <w:r>
        <w:t>促使煤矿持续符合取得证照应当具备的条件</w:t>
      </w:r>
      <w:r>
        <w:rPr>
          <w:rFonts w:hint="eastAsia" w:ascii="MS UI Gothic" w:eastAsia="MS UI Gothic"/>
          <w:w w:val="80"/>
        </w:rPr>
        <w:t xml:space="preserve">ꎮ </w:t>
      </w:r>
      <w:r>
        <w:t>不依法履行日常监督管理职责的</w:t>
      </w:r>
      <w:r>
        <w:rPr>
          <w:rFonts w:hint="eastAsia" w:ascii="MS UI Gothic" w:eastAsia="MS UI Gothic"/>
          <w:w w:val="80"/>
        </w:rPr>
        <w:t xml:space="preserve">ꎬ </w:t>
      </w:r>
      <w:r>
        <w:t>对主要负责人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给予记过</w:t>
      </w:r>
      <w:r>
        <w:rPr>
          <w:rFonts w:hint="eastAsia" w:ascii="MS UI Gothic" w:eastAsia="MS UI Gothic"/>
          <w:w w:val="80"/>
        </w:rPr>
        <w:t xml:space="preserve">、 </w:t>
      </w:r>
      <w:r>
        <w:t>记大过</w:t>
      </w:r>
      <w:r>
        <w:rPr>
          <w:rFonts w:hint="eastAsia" w:ascii="MS UI Gothic" w:eastAsia="MS UI Gothic"/>
          <w:w w:val="80"/>
        </w:rPr>
        <w:t xml:space="preserve">、 </w:t>
      </w:r>
      <w:r>
        <w:t>降级</w:t>
      </w:r>
      <w:r>
        <w:rPr>
          <w:rFonts w:hint="eastAsia" w:ascii="MS UI Gothic" w:eastAsia="MS UI Gothic"/>
          <w:w w:val="80"/>
        </w:rPr>
        <w:t xml:space="preserve">、 </w:t>
      </w:r>
      <w:r>
        <w:t>撤职或者开除的行政处分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300" w:lineRule="auto"/>
        <w:ind w:left="383" w:right="126"/>
      </w:pPr>
      <w:r>
        <w:rPr>
          <w:w w:val="105"/>
        </w:rPr>
        <w:t>第七条 在乡</w:t>
      </w:r>
      <w:r>
        <w:rPr>
          <w:rFonts w:hint="eastAsia" w:ascii="MS UI Gothic" w:eastAsia="MS UI Gothic"/>
          <w:w w:val="80"/>
        </w:rPr>
        <w:t xml:space="preserve">、 </w:t>
      </w:r>
      <w:r>
        <w:rPr>
          <w:w w:val="105"/>
        </w:rPr>
        <w:t>镇人民政府所辖区域</w:t>
      </w:r>
      <w:r>
        <w:t>内发现有非法煤矿并且没有采取有效制止</w:t>
      </w:r>
      <w:r>
        <w:rPr>
          <w:w w:val="105"/>
        </w:rPr>
        <w:t>措施的</w:t>
      </w:r>
      <w:r>
        <w:rPr>
          <w:rFonts w:hint="eastAsia" w:ascii="MS UI Gothic" w:eastAsia="MS UI Gothic"/>
          <w:w w:val="80"/>
        </w:rPr>
        <w:t xml:space="preserve">ꎬ </w:t>
      </w:r>
      <w:r>
        <w:rPr>
          <w:w w:val="105"/>
        </w:rPr>
        <w:t>对乡</w:t>
      </w:r>
      <w:r>
        <w:rPr>
          <w:rFonts w:hint="eastAsia" w:ascii="MS UI Gothic" w:eastAsia="MS UI Gothic"/>
          <w:w w:val="80"/>
        </w:rPr>
        <w:t xml:space="preserve">、 </w:t>
      </w:r>
      <w:r>
        <w:rPr>
          <w:w w:val="105"/>
        </w:rPr>
        <w:t>镇人民政府的主要负责人</w:t>
      </w:r>
    </w:p>
    <w:p>
      <w:pPr>
        <w:spacing w:after="0" w:line="300" w:lineRule="auto"/>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２２４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02" o:spid="_x0000_s1702" o:spt="203" style="height:2.15pt;width:398.25pt;" coordsize="7965,43">
            <o:lock v:ext="edit"/>
            <v:line id="_x0000_s1703" o:spid="_x0000_s1703" o:spt="20" style="position:absolute;left:0;top:39;height:0;width:7965;" stroked="t" coordsize="21600,21600">
              <v:path arrowok="t"/>
              <v:fill focussize="0,0"/>
              <v:stroke weight="0.388031496062992pt" color="#231F20"/>
              <v:imagedata o:title=""/>
              <o:lock v:ext="edit"/>
            </v:line>
            <v:line id="_x0000_s1704" o:spid="_x0000_s170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以及负有责任的相关负责人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给予降级</w:t>
      </w:r>
      <w:r>
        <w:rPr>
          <w:rFonts w:hint="eastAsia" w:ascii="MS UI Gothic" w:eastAsia="MS UI Gothic"/>
          <w:w w:val="80"/>
        </w:rPr>
        <w:t xml:space="preserve">、 </w:t>
      </w:r>
      <w:r>
        <w:t>撤职或者开除的行政处分</w:t>
      </w:r>
      <w:r>
        <w:rPr>
          <w:rFonts w:hint="eastAsia" w:ascii="MS UI Gothic" w:eastAsia="MS UI Gothic"/>
          <w:w w:val="80"/>
        </w:rPr>
        <w:t xml:space="preserve">ꎻ </w:t>
      </w:r>
      <w:r>
        <w:t xml:space="preserve">在县级人民政府所辖区域内 </w:t>
      </w:r>
      <w:r>
        <w:rPr>
          <w:rFonts w:hint="eastAsia" w:ascii="MS UI Gothic" w:eastAsia="MS UI Gothic"/>
          <w:w w:val="80"/>
        </w:rPr>
        <w:t xml:space="preserve">１ </w:t>
      </w:r>
      <w:r>
        <w:t xml:space="preserve">个月内发现有 </w:t>
      </w:r>
      <w:r>
        <w:rPr>
          <w:rFonts w:hint="eastAsia" w:ascii="MS UI Gothic" w:eastAsia="MS UI Gothic"/>
          <w:w w:val="80"/>
        </w:rPr>
        <w:t xml:space="preserve">２ </w:t>
      </w:r>
      <w:r>
        <w:t xml:space="preserve">处或者 </w:t>
      </w:r>
      <w:r>
        <w:rPr>
          <w:rFonts w:hint="eastAsia" w:ascii="MS UI Gothic" w:eastAsia="MS UI Gothic"/>
          <w:w w:val="80"/>
        </w:rPr>
        <w:t xml:space="preserve">２ </w:t>
      </w:r>
      <w:r>
        <w:t>处以上非法煤矿并且没有采取有效制止措施的</w:t>
      </w:r>
      <w:r>
        <w:rPr>
          <w:rFonts w:hint="eastAsia" w:ascii="MS UI Gothic" w:eastAsia="MS UI Gothic"/>
          <w:w w:val="80"/>
        </w:rPr>
        <w:t xml:space="preserve">ꎬ </w:t>
      </w:r>
      <w:r>
        <w:t>对县级人民政府的主要负责人以及负有责任的相关负责人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给予降级</w:t>
      </w:r>
      <w:r>
        <w:rPr>
          <w:rFonts w:hint="eastAsia" w:ascii="MS UI Gothic" w:eastAsia="MS UI Gothic"/>
          <w:w w:val="80"/>
        </w:rPr>
        <w:t xml:space="preserve">、 </w:t>
      </w:r>
      <w:r>
        <w:t>撤职或者开除的行政处分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38"/>
        <w:rPr>
          <w:rFonts w:hint="eastAsia" w:ascii="MS UI Gothic" w:eastAsia="MS UI Gothic"/>
        </w:rPr>
      </w:pPr>
      <w:r>
        <w:t>其他有关机关和部门对存在非法煤矿负有责任的</w:t>
      </w:r>
      <w:r>
        <w:rPr>
          <w:rFonts w:hint="eastAsia" w:ascii="MS UI Gothic" w:eastAsia="MS UI Gothic"/>
          <w:w w:val="80"/>
        </w:rPr>
        <w:t xml:space="preserve">ꎬ </w:t>
      </w:r>
      <w:r>
        <w:t>对主要负责人</w:t>
      </w:r>
      <w:r>
        <w:rPr>
          <w:rFonts w:hint="eastAsia" w:ascii="MS UI Gothic" w:eastAsia="MS UI Gothic"/>
          <w:w w:val="80"/>
        </w:rPr>
        <w:t xml:space="preserve">ꎬ </w:t>
      </w:r>
      <w:r>
        <w:t>属于行政机关工作人员的</w:t>
      </w:r>
      <w:r>
        <w:rPr>
          <w:rFonts w:hint="eastAsia" w:ascii="MS UI Gothic" w:eastAsia="MS UI Gothic"/>
          <w:w w:val="80"/>
        </w:rPr>
        <w:t xml:space="preserve">ꎬ </w:t>
      </w:r>
      <w:r>
        <w:t>根据情节轻重</w:t>
      </w:r>
      <w:r>
        <w:rPr>
          <w:rFonts w:hint="eastAsia" w:ascii="MS UI Gothic" w:eastAsia="MS UI Gothic"/>
          <w:w w:val="80"/>
        </w:rPr>
        <w:t xml:space="preserve">ꎬ </w:t>
      </w:r>
      <w:r>
        <w:t>给予记过</w:t>
      </w:r>
      <w:r>
        <w:rPr>
          <w:rFonts w:hint="eastAsia" w:ascii="MS UI Gothic" w:eastAsia="MS UI Gothic"/>
          <w:w w:val="80"/>
        </w:rPr>
        <w:t xml:space="preserve">、 </w:t>
      </w:r>
      <w:r>
        <w:t>记大过</w:t>
      </w:r>
      <w:r>
        <w:rPr>
          <w:rFonts w:hint="eastAsia" w:ascii="MS UI Gothic" w:eastAsia="MS UI Gothic"/>
          <w:w w:val="80"/>
        </w:rPr>
        <w:t xml:space="preserve">、 </w:t>
      </w:r>
      <w:r>
        <w:t>降级或者撤职的行政处分</w:t>
      </w:r>
      <w:r>
        <w:rPr>
          <w:rFonts w:hint="eastAsia" w:ascii="MS UI Gothic" w:eastAsia="MS UI Gothic"/>
          <w:w w:val="80"/>
        </w:rPr>
        <w:t>ꎻ</w:t>
      </w:r>
      <w:r>
        <w:t>不属于行政机关工作人员的</w:t>
      </w:r>
      <w:r>
        <w:rPr>
          <w:rFonts w:hint="eastAsia" w:ascii="MS UI Gothic" w:eastAsia="MS UI Gothic"/>
          <w:w w:val="80"/>
        </w:rPr>
        <w:t xml:space="preserve">ꎬ </w:t>
      </w:r>
      <w:r>
        <w:t>建议有关机关和部门给予相应的处分</w:t>
      </w:r>
      <w:r>
        <w:rPr>
          <w:rFonts w:hint="eastAsia" w:ascii="MS UI Gothic" w:eastAsia="MS UI Gothic"/>
          <w:w w:val="80"/>
        </w:rPr>
        <w:t>ꎮ</w:t>
      </w:r>
    </w:p>
    <w:p>
      <w:pPr>
        <w:pStyle w:val="6"/>
        <w:spacing w:line="295" w:lineRule="auto"/>
        <w:ind w:right="38"/>
        <w:rPr>
          <w:rFonts w:hint="eastAsia" w:ascii="MS UI Gothic" w:eastAsia="MS UI Gothic"/>
        </w:rPr>
      </w:pPr>
      <w:r>
        <w:t>第八条 煤矿的通风</w:t>
      </w:r>
      <w:r>
        <w:rPr>
          <w:rFonts w:hint="eastAsia" w:ascii="MS UI Gothic" w:eastAsia="MS UI Gothic"/>
          <w:w w:val="80"/>
        </w:rPr>
        <w:t xml:space="preserve">、 </w:t>
      </w:r>
      <w:r>
        <w:t>防瓦斯</w:t>
      </w:r>
      <w:r>
        <w:rPr>
          <w:rFonts w:hint="eastAsia" w:ascii="MS UI Gothic" w:eastAsia="MS UI Gothic"/>
          <w:w w:val="80"/>
        </w:rPr>
        <w:t xml:space="preserve">、  </w:t>
      </w:r>
      <w:r>
        <w:t>防水</w:t>
      </w:r>
      <w:r>
        <w:rPr>
          <w:rFonts w:hint="eastAsia" w:ascii="MS UI Gothic" w:eastAsia="MS UI Gothic"/>
          <w:w w:val="80"/>
        </w:rPr>
        <w:t xml:space="preserve">、 </w:t>
      </w:r>
      <w:r>
        <w:t>防火</w:t>
      </w:r>
      <w:r>
        <w:rPr>
          <w:rFonts w:hint="eastAsia" w:ascii="MS UI Gothic" w:eastAsia="MS UI Gothic"/>
          <w:w w:val="80"/>
        </w:rPr>
        <w:t xml:space="preserve">、 </w:t>
      </w:r>
      <w:r>
        <w:t>防煤尘</w:t>
      </w:r>
      <w:r>
        <w:rPr>
          <w:rFonts w:hint="eastAsia" w:ascii="MS UI Gothic" w:eastAsia="MS UI Gothic"/>
          <w:w w:val="80"/>
        </w:rPr>
        <w:t xml:space="preserve">、 </w:t>
      </w:r>
      <w:r>
        <w:t>防冒顶等安全设备</w:t>
      </w:r>
      <w:r>
        <w:rPr>
          <w:rFonts w:hint="eastAsia" w:ascii="MS UI Gothic" w:eastAsia="MS UI Gothic"/>
          <w:w w:val="80"/>
        </w:rPr>
        <w:t>、</w:t>
      </w:r>
      <w:r>
        <w:t>设施和条件应当符合国家标准</w:t>
      </w:r>
      <w:r>
        <w:rPr>
          <w:rFonts w:hint="eastAsia" w:ascii="MS UI Gothic" w:eastAsia="MS UI Gothic"/>
          <w:w w:val="80"/>
        </w:rPr>
        <w:t xml:space="preserve">、 </w:t>
      </w:r>
      <w:r>
        <w:t>行业标准</w:t>
      </w:r>
      <w:r>
        <w:rPr>
          <w:rFonts w:hint="eastAsia" w:ascii="MS UI Gothic" w:eastAsia="MS UI Gothic"/>
          <w:w w:val="80"/>
        </w:rPr>
        <w:t xml:space="preserve">ꎬ </w:t>
      </w:r>
      <w:r>
        <w:t>并有防范生产安全事故发生的措施和完善的应急处理预案</w:t>
      </w:r>
      <w:r>
        <w:rPr>
          <w:rFonts w:hint="eastAsia" w:ascii="MS UI Gothic" w:eastAsia="MS UI Gothic"/>
          <w:w w:val="80"/>
        </w:rPr>
        <w:t>ꎮ</w:t>
      </w:r>
    </w:p>
    <w:p>
      <w:pPr>
        <w:pStyle w:val="6"/>
        <w:spacing w:line="295" w:lineRule="auto"/>
        <w:ind w:right="39"/>
        <w:rPr>
          <w:rFonts w:hint="eastAsia" w:ascii="MS UI Gothic" w:eastAsia="MS UI Gothic"/>
        </w:rPr>
      </w:pPr>
      <w:r>
        <w:t>煤矿有下列重大安全生产隐患和行为</w:t>
      </w:r>
      <w:r>
        <w:rPr>
          <w:w w:val="105"/>
        </w:rPr>
        <w:t>的</w:t>
      </w:r>
      <w:r>
        <w:rPr>
          <w:rFonts w:hint="eastAsia" w:ascii="MS UI Gothic" w:eastAsia="MS UI Gothic"/>
          <w:w w:val="80"/>
        </w:rPr>
        <w:t xml:space="preserve">ꎬ </w:t>
      </w:r>
      <w:r>
        <w:rPr>
          <w:w w:val="105"/>
        </w:rPr>
        <w:t>应当立即停止生产</w:t>
      </w:r>
      <w:r>
        <w:rPr>
          <w:rFonts w:hint="eastAsia" w:ascii="MS UI Gothic" w:eastAsia="MS UI Gothic"/>
          <w:w w:val="80"/>
        </w:rPr>
        <w:t xml:space="preserve">ꎬ </w:t>
      </w:r>
      <w:r>
        <w:rPr>
          <w:w w:val="105"/>
        </w:rPr>
        <w:t>排除隐患</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超能力</w:t>
      </w:r>
      <w:r>
        <w:rPr>
          <w:rFonts w:hint="eastAsia" w:ascii="MS UI Gothic" w:eastAsia="MS UI Gothic"/>
          <w:w w:val="80"/>
        </w:rPr>
        <w:t xml:space="preserve">、 </w:t>
      </w:r>
      <w:r>
        <w:rPr>
          <w:w w:val="105"/>
        </w:rPr>
        <w:t>超强度或者超定员组织生产的</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瓦斯超限作业的</w:t>
      </w:r>
      <w:r>
        <w:rPr>
          <w:rFonts w:hint="eastAsia" w:ascii="MS UI Gothic" w:eastAsia="MS UI Gothic"/>
          <w:w w:val="80"/>
        </w:rPr>
        <w:t>ꎻ</w:t>
      </w:r>
    </w:p>
    <w:p>
      <w:pPr>
        <w:pStyle w:val="6"/>
        <w:spacing w:before="41"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煤与瓦斯突出矿井</w:t>
      </w:r>
      <w:r>
        <w:rPr>
          <w:rFonts w:hint="eastAsia" w:ascii="MS UI Gothic" w:eastAsia="MS UI Gothic"/>
          <w:w w:val="80"/>
        </w:rPr>
        <w:t xml:space="preserve">ꎬ </w:t>
      </w:r>
      <w:r>
        <w:rPr>
          <w:w w:val="105"/>
        </w:rPr>
        <w:t>未依照规定实施防突出措施的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高瓦斯矿井未建立瓦斯抽放系</w:t>
      </w:r>
      <w:r>
        <w:t>统和监控系统</w:t>
      </w:r>
      <w:r>
        <w:rPr>
          <w:rFonts w:hint="eastAsia" w:ascii="MS UI Gothic" w:eastAsia="MS UI Gothic"/>
          <w:w w:val="80"/>
        </w:rPr>
        <w:t xml:space="preserve">ꎬ </w:t>
      </w:r>
      <w:r>
        <w:t>或者瓦斯监控系统不能正</w:t>
      </w:r>
      <w:r>
        <w:rPr>
          <w:w w:val="105"/>
        </w:rPr>
        <w:t>常运行的</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通风系统不完善</w:t>
      </w:r>
      <w:r>
        <w:rPr>
          <w:rFonts w:hint="eastAsia" w:ascii="MS UI Gothic" w:eastAsia="MS UI Gothic"/>
          <w:w w:val="80"/>
        </w:rPr>
        <w:t xml:space="preserve">、 </w:t>
      </w:r>
      <w:r>
        <w:rPr>
          <w:w w:val="110"/>
        </w:rPr>
        <w:t>不可靠的</w:t>
      </w:r>
      <w:r>
        <w:rPr>
          <w:rFonts w:hint="eastAsia" w:ascii="MS UI Gothic" w:eastAsia="MS UI Gothic"/>
          <w:w w:val="80"/>
        </w:rPr>
        <w:t>ꎻ</w:t>
      </w:r>
    </w:p>
    <w:p>
      <w:pPr>
        <w:pStyle w:val="6"/>
        <w:spacing w:before="56"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有严重水患</w:t>
      </w:r>
      <w:r>
        <w:rPr>
          <w:rFonts w:hint="eastAsia" w:ascii="MS UI Gothic" w:eastAsia="MS UI Gothic"/>
          <w:w w:val="80"/>
        </w:rPr>
        <w:t xml:space="preserve">ꎬ </w:t>
      </w:r>
      <w:r>
        <w:rPr>
          <w:w w:val="105"/>
        </w:rPr>
        <w:t>未采取有效措施的</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超层越界开采的</w:t>
      </w:r>
      <w:r>
        <w:rPr>
          <w:rFonts w:hint="eastAsia" w:ascii="MS UI Gothic" w:eastAsia="MS UI Gothic"/>
          <w:w w:val="80"/>
        </w:rPr>
        <w:t>ꎻ</w:t>
      </w:r>
    </w:p>
    <w:p>
      <w:pPr>
        <w:pStyle w:val="6"/>
        <w:spacing w:before="58" w:line="295" w:lineRule="auto"/>
        <w:ind w:right="39"/>
        <w:jc w:val="left"/>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有冲击地压危险</w:t>
      </w:r>
      <w:r>
        <w:rPr>
          <w:rFonts w:hint="eastAsia" w:ascii="MS UI Gothic" w:eastAsia="MS UI Gothic"/>
          <w:w w:val="80"/>
        </w:rPr>
        <w:t xml:space="preserve">ꎬ </w:t>
      </w:r>
      <w:r>
        <w:rPr>
          <w:w w:val="105"/>
        </w:rPr>
        <w:t>未采取有效措施的</w:t>
      </w:r>
      <w:r>
        <w:rPr>
          <w:rFonts w:hint="eastAsia" w:ascii="MS UI Gothic" w:eastAsia="MS UI Gothic"/>
          <w:w w:val="80"/>
        </w:rPr>
        <w:t>ꎻ</w:t>
      </w:r>
    </w:p>
    <w:p>
      <w:pPr>
        <w:pStyle w:val="6"/>
        <w:spacing w:line="295" w:lineRule="auto"/>
        <w:ind w:right="39"/>
        <w:jc w:val="left"/>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自然发火严重</w:t>
      </w:r>
      <w:r>
        <w:rPr>
          <w:rFonts w:hint="eastAsia" w:ascii="MS UI Gothic" w:eastAsia="MS UI Gothic"/>
          <w:w w:val="80"/>
        </w:rPr>
        <w:t xml:space="preserve">ꎬ </w:t>
      </w:r>
      <w:r>
        <w:rPr>
          <w:w w:val="105"/>
        </w:rPr>
        <w:t>未采取有效措施的</w:t>
      </w:r>
      <w:r>
        <w:rPr>
          <w:rFonts w:hint="eastAsia" w:ascii="MS UI Gothic" w:eastAsia="MS UI Gothic"/>
          <w:w w:val="80"/>
        </w:rPr>
        <w:t>ꎻ</w:t>
      </w:r>
    </w:p>
    <w:p>
      <w:pPr>
        <w:pStyle w:val="6"/>
        <w:spacing w:line="255" w:lineRule="exact"/>
        <w:ind w:left="543" w:firstLine="0"/>
        <w:jc w:val="left"/>
      </w:pPr>
      <w:r>
        <w:rPr>
          <w:rFonts w:hint="eastAsia" w:ascii="MS UI Gothic" w:eastAsia="MS UI Gothic"/>
          <w:w w:val="110"/>
        </w:rPr>
        <w:t xml:space="preserve">( </w:t>
      </w:r>
      <w:r>
        <w:rPr>
          <w:w w:val="110"/>
        </w:rPr>
        <w:t>十</w:t>
      </w:r>
      <w:r>
        <w:rPr>
          <w:rFonts w:hint="eastAsia" w:ascii="MS UI Gothic" w:eastAsia="MS UI Gothic"/>
          <w:w w:val="110"/>
        </w:rPr>
        <w:t xml:space="preserve">) </w:t>
      </w:r>
      <w:r>
        <w:rPr>
          <w:w w:val="110"/>
        </w:rPr>
        <w:t>使用明令禁止使用或者淘汰的</w:t>
      </w:r>
    </w:p>
    <w:p>
      <w:pPr>
        <w:pStyle w:val="6"/>
        <w:spacing w:before="123"/>
        <w:ind w:firstLine="0"/>
        <w:rPr>
          <w:rFonts w:hint="eastAsia" w:ascii="MS UI Gothic" w:eastAsia="MS UI Gothic"/>
        </w:rPr>
      </w:pPr>
      <w:r>
        <w:br w:type="column"/>
      </w:r>
      <w:r>
        <w:t>设备</w:t>
      </w:r>
      <w:r>
        <w:rPr>
          <w:rFonts w:hint="eastAsia" w:ascii="MS UI Gothic" w:eastAsia="MS UI Gothic"/>
        </w:rPr>
        <w:t xml:space="preserve">、 </w:t>
      </w:r>
      <w:r>
        <w:t>工艺的</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 xml:space="preserve">年产 </w:t>
      </w:r>
      <w:r>
        <w:rPr>
          <w:rFonts w:hint="eastAsia" w:ascii="MS UI Gothic" w:eastAsia="MS UI Gothic"/>
          <w:w w:val="80"/>
        </w:rPr>
        <w:t xml:space="preserve">６ </w:t>
      </w:r>
      <w:r>
        <w:rPr>
          <w:w w:val="105"/>
        </w:rPr>
        <w:t>万吨以上的煤矿没有双回路供电系统的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十二</w:t>
      </w:r>
      <w:r>
        <w:rPr>
          <w:rFonts w:hint="eastAsia" w:ascii="MS UI Gothic" w:eastAsia="MS UI Gothic"/>
          <w:w w:val="150"/>
        </w:rPr>
        <w:t xml:space="preserve">) </w:t>
      </w:r>
      <w:r>
        <w:rPr>
          <w:w w:val="105"/>
        </w:rPr>
        <w:t>新建煤矿边建设边生产</w:t>
      </w:r>
      <w:r>
        <w:rPr>
          <w:rFonts w:hint="eastAsia" w:ascii="MS UI Gothic" w:eastAsia="MS UI Gothic"/>
          <w:w w:val="80"/>
        </w:rPr>
        <w:t xml:space="preserve">ꎬ </w:t>
      </w:r>
      <w:r>
        <w:rPr>
          <w:w w:val="105"/>
        </w:rPr>
        <w:t>煤</w:t>
      </w:r>
      <w:r>
        <w:t>矿改扩建期间</w:t>
      </w:r>
      <w:r>
        <w:rPr>
          <w:rFonts w:hint="eastAsia" w:ascii="MS UI Gothic" w:eastAsia="MS UI Gothic"/>
          <w:w w:val="80"/>
        </w:rPr>
        <w:t xml:space="preserve">ꎬ </w:t>
      </w:r>
      <w:r>
        <w:t>在改扩建的区域生产</w:t>
      </w:r>
      <w:r>
        <w:rPr>
          <w:rFonts w:hint="eastAsia" w:ascii="MS UI Gothic" w:eastAsia="MS UI Gothic"/>
          <w:w w:val="80"/>
        </w:rPr>
        <w:t xml:space="preserve">ꎬ </w:t>
      </w:r>
      <w:r>
        <w:t>或者在其他区域的生产超出安全设计规定的</w:t>
      </w:r>
      <w:r>
        <w:rPr>
          <w:w w:val="105"/>
        </w:rPr>
        <w:t>范围和规模的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十三</w:t>
      </w:r>
      <w:r>
        <w:rPr>
          <w:rFonts w:hint="eastAsia" w:ascii="MS UI Gothic" w:eastAsia="MS UI Gothic"/>
          <w:w w:val="150"/>
        </w:rPr>
        <w:t xml:space="preserve">) </w:t>
      </w:r>
      <w:r>
        <w:rPr>
          <w:w w:val="105"/>
        </w:rPr>
        <w:t>煤矿实行整体承包生产经营</w:t>
      </w:r>
      <w:r>
        <w:t>后</w:t>
      </w:r>
      <w:r>
        <w:rPr>
          <w:rFonts w:hint="eastAsia" w:ascii="MS UI Gothic" w:eastAsia="MS UI Gothic"/>
          <w:w w:val="80"/>
        </w:rPr>
        <w:t xml:space="preserve">ꎬ </w:t>
      </w:r>
      <w:r>
        <w:t>未重新取得安全生产许可证</w:t>
      </w:r>
      <w:r>
        <w:rPr>
          <w:rFonts w:hint="eastAsia" w:ascii="MS UI Gothic" w:eastAsia="MS UI Gothic"/>
          <w:w w:val="80"/>
        </w:rPr>
        <w:t xml:space="preserve">ꎬ </w:t>
      </w:r>
      <w:r>
        <w:t>从事生产的</w:t>
      </w:r>
      <w:r>
        <w:rPr>
          <w:rFonts w:hint="eastAsia" w:ascii="MS UI Gothic" w:eastAsia="MS UI Gothic"/>
          <w:w w:val="80"/>
        </w:rPr>
        <w:t xml:space="preserve">ꎬ </w:t>
      </w:r>
      <w:r>
        <w:t>或者承包方再次转包的</w:t>
      </w:r>
      <w:r>
        <w:rPr>
          <w:rFonts w:hint="eastAsia" w:ascii="MS UI Gothic" w:eastAsia="MS UI Gothic"/>
          <w:w w:val="80"/>
        </w:rPr>
        <w:t xml:space="preserve">ꎬ </w:t>
      </w:r>
      <w:r>
        <w:t>以及煤矿将井下采掘工作面和井巷维修作业进行劳</w:t>
      </w:r>
      <w:r>
        <w:rPr>
          <w:w w:val="105"/>
        </w:rPr>
        <w:t>务承包的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十四</w:t>
      </w:r>
      <w:r>
        <w:rPr>
          <w:rFonts w:hint="eastAsia" w:ascii="MS UI Gothic" w:eastAsia="MS UI Gothic"/>
          <w:w w:val="150"/>
        </w:rPr>
        <w:t xml:space="preserve">) </w:t>
      </w:r>
      <w:r>
        <w:rPr>
          <w:w w:val="105"/>
        </w:rPr>
        <w:t>煤矿改制期间</w:t>
      </w:r>
      <w:r>
        <w:rPr>
          <w:rFonts w:hint="eastAsia" w:ascii="MS UI Gothic" w:eastAsia="MS UI Gothic"/>
          <w:w w:val="80"/>
        </w:rPr>
        <w:t xml:space="preserve">ꎬ </w:t>
      </w:r>
      <w:r>
        <w:rPr>
          <w:w w:val="105"/>
        </w:rPr>
        <w:t>未明确安全</w:t>
      </w:r>
      <w:r>
        <w:t>生产责任人和安全管理机构的</w:t>
      </w:r>
      <w:r>
        <w:rPr>
          <w:rFonts w:hint="eastAsia" w:ascii="MS UI Gothic" w:eastAsia="MS UI Gothic"/>
          <w:w w:val="80"/>
        </w:rPr>
        <w:t xml:space="preserve">ꎬ </w:t>
      </w:r>
      <w:r>
        <w:t>或者在完成改制后</w:t>
      </w:r>
      <w:r>
        <w:rPr>
          <w:rFonts w:hint="eastAsia" w:ascii="MS UI Gothic" w:eastAsia="MS UI Gothic"/>
          <w:w w:val="80"/>
        </w:rPr>
        <w:t xml:space="preserve">ꎬ </w:t>
      </w:r>
      <w:r>
        <w:t>未重新取得或者变更采矿许可</w:t>
      </w:r>
      <w:r>
        <w:rPr>
          <w:w w:val="105"/>
        </w:rPr>
        <w:t>证</w:t>
      </w:r>
      <w:r>
        <w:rPr>
          <w:rFonts w:hint="eastAsia" w:ascii="MS UI Gothic" w:eastAsia="MS UI Gothic"/>
          <w:w w:val="80"/>
        </w:rPr>
        <w:t xml:space="preserve">、 </w:t>
      </w:r>
      <w:r>
        <w:rPr>
          <w:w w:val="105"/>
        </w:rPr>
        <w:t>安全生产许可证和营业执照的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6"/>
          <w:w w:val="130"/>
        </w:rPr>
        <w:t xml:space="preserve">( </w:t>
      </w:r>
      <w:r>
        <w:rPr>
          <w:spacing w:val="37"/>
          <w:w w:val="110"/>
        </w:rPr>
        <w:t>十五</w:t>
      </w:r>
      <w:r>
        <w:rPr>
          <w:rFonts w:hint="eastAsia" w:ascii="MS UI Gothic" w:eastAsia="MS UI Gothic"/>
          <w:spacing w:val="-13"/>
          <w:w w:val="130"/>
        </w:rPr>
        <w:t xml:space="preserve">) </w:t>
      </w:r>
      <w:r>
        <w:rPr>
          <w:spacing w:val="41"/>
          <w:w w:val="110"/>
        </w:rPr>
        <w:t>有其他重大安全生产隐</w:t>
      </w:r>
      <w:r>
        <w:rPr>
          <w:spacing w:val="3"/>
          <w:w w:val="110"/>
        </w:rPr>
        <w:t>患的</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第九条 煤矿企业应当建立健全安全生产隐患排查</w:t>
      </w:r>
      <w:r>
        <w:rPr>
          <w:rFonts w:hint="eastAsia" w:ascii="MS UI Gothic" w:eastAsia="MS UI Gothic"/>
          <w:w w:val="80"/>
        </w:rPr>
        <w:t xml:space="preserve">、 </w:t>
      </w:r>
      <w:r>
        <w:rPr>
          <w:w w:val="105"/>
        </w:rPr>
        <w:t>治理和报告制度</w:t>
      </w:r>
      <w:r>
        <w:rPr>
          <w:rFonts w:hint="eastAsia" w:ascii="MS UI Gothic" w:eastAsia="MS UI Gothic"/>
          <w:w w:val="80"/>
        </w:rPr>
        <w:t xml:space="preserve">ꎮ </w:t>
      </w:r>
      <w:r>
        <w:rPr>
          <w:w w:val="105"/>
        </w:rPr>
        <w:t>煤矿企</w:t>
      </w:r>
      <w:r>
        <w:t>业应当对本规定第八条第二款所列情形定期组织排查</w:t>
      </w:r>
      <w:r>
        <w:rPr>
          <w:rFonts w:hint="eastAsia" w:ascii="MS UI Gothic" w:eastAsia="MS UI Gothic"/>
          <w:w w:val="80"/>
        </w:rPr>
        <w:t xml:space="preserve">ꎬ </w:t>
      </w:r>
      <w:r>
        <w:t>并将排查情况每季度向县级以上地方人民政府负责煤矿安全生产监督</w:t>
      </w:r>
      <w:r>
        <w:rPr>
          <w:w w:val="105"/>
        </w:rPr>
        <w:t>管理的部门</w:t>
      </w:r>
      <w:r>
        <w:rPr>
          <w:rFonts w:hint="eastAsia" w:ascii="MS UI Gothic" w:eastAsia="MS UI Gothic"/>
          <w:w w:val="80"/>
        </w:rPr>
        <w:t xml:space="preserve">、 </w:t>
      </w:r>
      <w:r>
        <w:rPr>
          <w:w w:val="105"/>
        </w:rPr>
        <w:t>煤矿安全监察机构写出书面</w:t>
      </w:r>
      <w:r>
        <w:t>报告</w:t>
      </w:r>
      <w:r>
        <w:rPr>
          <w:rFonts w:hint="eastAsia" w:ascii="MS UI Gothic" w:eastAsia="MS UI Gothic"/>
          <w:w w:val="80"/>
        </w:rPr>
        <w:t xml:space="preserve">ꎮ </w:t>
      </w:r>
      <w:r>
        <w:t>报告应当经煤矿企业负责人签字</w:t>
      </w:r>
      <w:r>
        <w:rPr>
          <w:rFonts w:hint="eastAsia" w:ascii="MS UI Gothic" w:eastAsia="MS UI Gothic"/>
          <w:w w:val="80"/>
        </w:rPr>
        <w:t>ꎮ</w:t>
      </w:r>
    </w:p>
    <w:p>
      <w:pPr>
        <w:pStyle w:val="6"/>
        <w:spacing w:line="295" w:lineRule="auto"/>
        <w:ind w:right="442"/>
        <w:rPr>
          <w:rFonts w:hint="eastAsia" w:ascii="MS UI Gothic" w:eastAsia="MS UI Gothic"/>
        </w:rPr>
      </w:pPr>
      <w:r>
        <w:t>煤矿企业未依照前款规定排查和报告的</w:t>
      </w:r>
      <w:r>
        <w:rPr>
          <w:rFonts w:hint="eastAsia" w:ascii="MS UI Gothic" w:eastAsia="MS UI Gothic"/>
          <w:w w:val="85"/>
        </w:rPr>
        <w:t xml:space="preserve">ꎬ </w:t>
      </w:r>
      <w:r>
        <w:t>由县级以上地方人民政府负责煤矿安全生产监督管理的部门或者煤矿安全监察机构责令限期改正</w:t>
      </w:r>
      <w:r>
        <w:rPr>
          <w:rFonts w:hint="eastAsia" w:ascii="MS UI Gothic" w:eastAsia="MS UI Gothic"/>
          <w:w w:val="85"/>
        </w:rPr>
        <w:t xml:space="preserve">ꎻ </w:t>
      </w:r>
      <w:r>
        <w:t>逾期未改正的</w:t>
      </w:r>
      <w:r>
        <w:rPr>
          <w:rFonts w:hint="eastAsia" w:ascii="MS UI Gothic" w:eastAsia="MS UI Gothic"/>
          <w:w w:val="85"/>
        </w:rPr>
        <w:t xml:space="preserve">ꎬ </w:t>
      </w:r>
      <w:r>
        <w:t>责令停产整顿</w:t>
      </w:r>
      <w:r>
        <w:rPr>
          <w:rFonts w:hint="eastAsia" w:ascii="MS UI Gothic" w:eastAsia="MS UI Gothic"/>
          <w:w w:val="85"/>
        </w:rPr>
        <w:t xml:space="preserve">ꎬ </w:t>
      </w:r>
      <w:r>
        <w:t xml:space="preserve">并对煤矿企业负责人处 </w:t>
      </w:r>
      <w:r>
        <w:rPr>
          <w:rFonts w:hint="eastAsia" w:ascii="MS UI Gothic" w:eastAsia="MS UI Gothic"/>
          <w:w w:val="85"/>
        </w:rPr>
        <w:t xml:space="preserve">３ </w:t>
      </w:r>
      <w:r>
        <w:t xml:space="preserve">万元以上 </w:t>
      </w:r>
      <w:r>
        <w:rPr>
          <w:rFonts w:hint="eastAsia" w:ascii="MS UI Gothic" w:eastAsia="MS UI Gothic"/>
          <w:w w:val="85"/>
        </w:rPr>
        <w:t xml:space="preserve">１５ </w:t>
      </w:r>
      <w:r>
        <w:t>万元以下的罚款</w:t>
      </w:r>
      <w:r>
        <w:rPr>
          <w:rFonts w:hint="eastAsia" w:ascii="MS UI Gothic" w:eastAsia="MS UI Gothic"/>
          <w:w w:val="85"/>
        </w:rPr>
        <w:t>ꎮ</w:t>
      </w:r>
    </w:p>
    <w:p>
      <w:pPr>
        <w:pStyle w:val="6"/>
        <w:spacing w:line="295" w:lineRule="auto"/>
        <w:ind w:right="440"/>
        <w:rPr>
          <w:rFonts w:hint="eastAsia" w:ascii="MS UI Gothic" w:eastAsia="MS UI Gothic"/>
        </w:rPr>
      </w:pPr>
      <w:r>
        <w:rPr>
          <w:w w:val="95"/>
        </w:rPr>
        <w:t>第十条   煤矿有本规定第八条第二款所列情形之一</w:t>
      </w:r>
      <w:r>
        <w:rPr>
          <w:rFonts w:hint="eastAsia" w:ascii="MS UI Gothic" w:eastAsia="MS UI Gothic"/>
          <w:w w:val="90"/>
        </w:rPr>
        <w:t xml:space="preserve">ꎬ </w:t>
      </w:r>
      <w:r>
        <w:rPr>
          <w:w w:val="95"/>
        </w:rPr>
        <w:t>仍然进行生产的</w:t>
      </w:r>
      <w:r>
        <w:rPr>
          <w:rFonts w:hint="eastAsia" w:ascii="MS UI Gothic" w:eastAsia="MS UI Gothic"/>
          <w:w w:val="90"/>
        </w:rPr>
        <w:t xml:space="preserve">ꎬ </w:t>
      </w:r>
      <w:r>
        <w:rPr>
          <w:w w:val="95"/>
        </w:rPr>
        <w:t>由县级以上地方人民政府负责煤矿安全生产监督  管理的部门或者煤矿安全监察机构责令停  产整顿</w:t>
      </w:r>
      <w:r>
        <w:rPr>
          <w:rFonts w:hint="eastAsia" w:ascii="MS UI Gothic" w:eastAsia="MS UI Gothic"/>
          <w:w w:val="90"/>
        </w:rPr>
        <w:t xml:space="preserve">ꎬ </w:t>
      </w:r>
      <w:r>
        <w:rPr>
          <w:w w:val="95"/>
        </w:rPr>
        <w:t>提出整顿的内容</w:t>
      </w:r>
      <w:r>
        <w:rPr>
          <w:rFonts w:hint="eastAsia" w:ascii="MS UI Gothic" w:eastAsia="MS UI Gothic"/>
          <w:w w:val="95"/>
        </w:rPr>
        <w:t xml:space="preserve">、  </w:t>
      </w:r>
      <w:r>
        <w:rPr>
          <w:w w:val="95"/>
        </w:rPr>
        <w:t>时间等具体要求</w:t>
      </w:r>
      <w:r>
        <w:rPr>
          <w:rFonts w:hint="eastAsia" w:ascii="MS UI Gothic" w:eastAsia="MS UI Gothic"/>
          <w:w w:val="90"/>
        </w:rPr>
        <w:t xml:space="preserve">ꎬ </w:t>
      </w:r>
      <w:r>
        <w:rPr>
          <w:w w:val="95"/>
        </w:rPr>
        <w:t xml:space="preserve">处 </w:t>
      </w:r>
      <w:r>
        <w:rPr>
          <w:rFonts w:hint="eastAsia" w:ascii="MS UI Gothic" w:eastAsia="MS UI Gothic"/>
          <w:w w:val="95"/>
        </w:rPr>
        <w:t xml:space="preserve">５０ </w:t>
      </w:r>
      <w:r>
        <w:rPr>
          <w:w w:val="95"/>
        </w:rPr>
        <w:t xml:space="preserve">万元以上 </w:t>
      </w:r>
      <w:r>
        <w:rPr>
          <w:rFonts w:hint="eastAsia" w:ascii="MS UI Gothic" w:eastAsia="MS UI Gothic"/>
          <w:w w:val="95"/>
        </w:rPr>
        <w:t xml:space="preserve">２００ </w:t>
      </w:r>
      <w:r>
        <w:rPr>
          <w:w w:val="95"/>
        </w:rPr>
        <w:t>万元以下的罚款</w:t>
      </w:r>
      <w:r>
        <w:rPr>
          <w:rFonts w:hint="eastAsia" w:ascii="MS UI Gothic" w:eastAsia="MS UI Gothic"/>
          <w:w w:val="90"/>
        </w:rPr>
        <w:t>ꎻ</w:t>
      </w:r>
    </w:p>
    <w:p>
      <w:pPr>
        <w:pStyle w:val="6"/>
        <w:spacing w:line="295" w:lineRule="auto"/>
        <w:ind w:right="442" w:firstLine="0"/>
        <w:rPr>
          <w:rFonts w:hint="eastAsia" w:ascii="MS UI Gothic" w:eastAsia="MS UI Gothic"/>
        </w:rPr>
      </w:pPr>
      <w:r>
        <w:t xml:space="preserve">对煤矿企业负责人处 </w:t>
      </w:r>
      <w:r>
        <w:rPr>
          <w:rFonts w:hint="eastAsia" w:ascii="MS UI Gothic" w:eastAsia="MS UI Gothic"/>
          <w:w w:val="85"/>
        </w:rPr>
        <w:t xml:space="preserve">３ </w:t>
      </w:r>
      <w:r>
        <w:t xml:space="preserve">万元以上 </w:t>
      </w:r>
      <w:r>
        <w:rPr>
          <w:rFonts w:hint="eastAsia" w:ascii="MS UI Gothic" w:eastAsia="MS UI Gothic"/>
          <w:w w:val="85"/>
        </w:rPr>
        <w:t xml:space="preserve">１５ </w:t>
      </w:r>
      <w:r>
        <w:t>万元以下的罚款</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２２５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05" o:spid="_x0000_s1705" o:spt="203" style="height:2.15pt;width:398.25pt;" coordsize="7965,43">
            <o:lock v:ext="edit"/>
            <v:line id="_x0000_s1706" o:spid="_x0000_s1706" o:spt="20" style="position:absolute;left:0;top:39;height:0;width:7965;" stroked="t" coordsize="21600,21600">
              <v:path arrowok="t"/>
              <v:fill focussize="0,0"/>
              <v:stroke weight="0.388031496062992pt" color="#231F20"/>
              <v:imagedata o:title=""/>
              <o:lock v:ext="edit"/>
            </v:line>
            <v:line id="_x0000_s1707" o:spid="_x0000_s170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rPr>
          <w:spacing w:val="-23"/>
        </w:rPr>
        <w:t xml:space="preserve">对 </w:t>
      </w:r>
      <w:r>
        <w:rPr>
          <w:rFonts w:hint="eastAsia" w:ascii="MS UI Gothic" w:eastAsia="MS UI Gothic"/>
          <w:spacing w:val="9"/>
          <w:w w:val="80"/>
        </w:rPr>
        <w:t xml:space="preserve">３ </w:t>
      </w:r>
      <w:r>
        <w:rPr>
          <w:spacing w:val="-9"/>
        </w:rPr>
        <w:t xml:space="preserve">个月内 </w:t>
      </w:r>
      <w:r>
        <w:rPr>
          <w:rFonts w:hint="eastAsia" w:ascii="MS UI Gothic" w:eastAsia="MS UI Gothic"/>
          <w:spacing w:val="9"/>
          <w:w w:val="80"/>
        </w:rPr>
        <w:t xml:space="preserve">２ </w:t>
      </w:r>
      <w:r>
        <w:rPr>
          <w:spacing w:val="-9"/>
        </w:rPr>
        <w:t xml:space="preserve">次或者 </w:t>
      </w:r>
      <w:r>
        <w:rPr>
          <w:rFonts w:hint="eastAsia" w:ascii="MS UI Gothic" w:eastAsia="MS UI Gothic"/>
          <w:spacing w:val="9"/>
          <w:w w:val="80"/>
        </w:rPr>
        <w:t xml:space="preserve">２ </w:t>
      </w:r>
      <w:r>
        <w:rPr>
          <w:spacing w:val="3"/>
        </w:rPr>
        <w:t>次以上发现有</w:t>
      </w:r>
      <w:r>
        <w:rPr>
          <w:spacing w:val="12"/>
        </w:rPr>
        <w:t>重大安全生产隐患</w:t>
      </w:r>
      <w:r>
        <w:rPr>
          <w:rFonts w:hint="eastAsia" w:ascii="MS UI Gothic" w:eastAsia="MS UI Gothic"/>
          <w:w w:val="80"/>
        </w:rPr>
        <w:t xml:space="preserve">ꎬ </w:t>
      </w:r>
      <w:r>
        <w:rPr>
          <w:spacing w:val="16"/>
        </w:rPr>
        <w:t>仍然进行生产的煤</w:t>
      </w:r>
      <w:r>
        <w:rPr>
          <w:spacing w:val="3"/>
        </w:rPr>
        <w:t>矿</w:t>
      </w:r>
      <w:r>
        <w:rPr>
          <w:rFonts w:hint="eastAsia" w:ascii="MS UI Gothic" w:eastAsia="MS UI Gothic"/>
          <w:spacing w:val="21"/>
          <w:w w:val="80"/>
        </w:rPr>
        <w:t xml:space="preserve">ꎬ </w:t>
      </w:r>
      <w:r>
        <w:rPr>
          <w:spacing w:val="2"/>
        </w:rPr>
        <w:t>县级以上地方人民政府负责煤矿安全</w:t>
      </w:r>
      <w:r>
        <w:rPr>
          <w:spacing w:val="3"/>
        </w:rPr>
        <w:t>生产监督管理的部门</w:t>
      </w:r>
      <w:r>
        <w:rPr>
          <w:rFonts w:hint="eastAsia" w:ascii="MS UI Gothic" w:eastAsia="MS UI Gothic"/>
          <w:spacing w:val="19"/>
          <w:w w:val="80"/>
        </w:rPr>
        <w:t xml:space="preserve">、 </w:t>
      </w:r>
      <w:r>
        <w:rPr>
          <w:spacing w:val="2"/>
        </w:rPr>
        <w:t>煤矿安全监察机构</w:t>
      </w:r>
      <w:r>
        <w:rPr>
          <w:spacing w:val="4"/>
        </w:rPr>
        <w:t>应当提请有关地方人民政府关闭该煤矿</w:t>
      </w:r>
      <w:r>
        <w:rPr>
          <w:rFonts w:hint="eastAsia" w:ascii="MS UI Gothic" w:eastAsia="MS UI Gothic"/>
          <w:w w:val="80"/>
        </w:rPr>
        <w:t>ꎬ</w:t>
      </w:r>
      <w:r>
        <w:rPr>
          <w:spacing w:val="2"/>
        </w:rPr>
        <w:t>并由颁发证照的部门立即吊销矿长资格证</w:t>
      </w:r>
      <w:r>
        <w:rPr>
          <w:spacing w:val="3"/>
        </w:rPr>
        <w:t>和矿长安全资格证</w:t>
      </w:r>
      <w:r>
        <w:rPr>
          <w:rFonts w:hint="eastAsia" w:ascii="MS UI Gothic" w:eastAsia="MS UI Gothic"/>
          <w:spacing w:val="21"/>
          <w:w w:val="80"/>
        </w:rPr>
        <w:t xml:space="preserve">ꎬ </w:t>
      </w:r>
      <w:r>
        <w:rPr>
          <w:spacing w:val="2"/>
        </w:rPr>
        <w:t>该煤矿的法定代表人</w:t>
      </w:r>
      <w:r>
        <w:rPr>
          <w:spacing w:val="-3"/>
        </w:rPr>
        <w:t xml:space="preserve">和矿长 </w:t>
      </w:r>
      <w:r>
        <w:rPr>
          <w:rFonts w:hint="eastAsia" w:ascii="MS UI Gothic" w:eastAsia="MS UI Gothic"/>
          <w:spacing w:val="1"/>
          <w:w w:val="80"/>
        </w:rPr>
        <w:t xml:space="preserve">５ </w:t>
      </w:r>
      <w:r>
        <w:rPr>
          <w:spacing w:val="2"/>
        </w:rPr>
        <w:t>年内不得再担任任何煤矿的法定</w:t>
      </w:r>
      <w:r>
        <w:rPr>
          <w:spacing w:val="3"/>
        </w:rPr>
        <w:t>代表人或者矿长</w:t>
      </w:r>
      <w:r>
        <w:rPr>
          <w:rFonts w:hint="eastAsia" w:ascii="MS UI Gothic" w:eastAsia="MS UI Gothic"/>
          <w:w w:val="80"/>
        </w:rPr>
        <w:t>ꎮ</w:t>
      </w:r>
    </w:p>
    <w:p>
      <w:pPr>
        <w:pStyle w:val="6"/>
        <w:spacing w:line="295" w:lineRule="auto"/>
        <w:ind w:left="440" w:right="1"/>
        <w:rPr>
          <w:rFonts w:hint="eastAsia" w:ascii="MS UI Gothic" w:eastAsia="MS UI Gothic"/>
        </w:rPr>
      </w:pPr>
      <w:r>
        <w:t>第十一条  对被责令停产整顿的煤矿</w:t>
      </w:r>
      <w:r>
        <w:rPr>
          <w:rFonts w:hint="eastAsia" w:ascii="MS UI Gothic" w:eastAsia="MS UI Gothic"/>
          <w:w w:val="80"/>
        </w:rPr>
        <w:t xml:space="preserve">ꎬ </w:t>
      </w:r>
      <w:r>
        <w:t>颁发证照的部门应当暂扣采矿许可证</w:t>
      </w:r>
      <w:r>
        <w:rPr>
          <w:rFonts w:hint="eastAsia" w:ascii="MS UI Gothic" w:eastAsia="MS UI Gothic"/>
          <w:w w:val="80"/>
        </w:rPr>
        <w:t xml:space="preserve">、 </w:t>
      </w:r>
      <w:r>
        <w:t>安全生产许可证</w:t>
      </w:r>
      <w:r>
        <w:rPr>
          <w:rFonts w:hint="eastAsia" w:ascii="MS UI Gothic" w:eastAsia="MS UI Gothic"/>
          <w:w w:val="80"/>
        </w:rPr>
        <w:t xml:space="preserve">、 </w:t>
      </w:r>
      <w:r>
        <w:t>营业执照和矿长资格证</w:t>
      </w:r>
      <w:r>
        <w:rPr>
          <w:rFonts w:hint="eastAsia" w:ascii="MS UI Gothic" w:eastAsia="MS UI Gothic"/>
          <w:w w:val="80"/>
        </w:rPr>
        <w:t xml:space="preserve">、 </w:t>
      </w:r>
      <w:r>
        <w:t>矿长安全资格证</w:t>
      </w:r>
      <w:r>
        <w:rPr>
          <w:rFonts w:hint="eastAsia" w:ascii="MS UI Gothic" w:eastAsia="MS UI Gothic"/>
          <w:w w:val="80"/>
        </w:rPr>
        <w:t>ꎮ</w:t>
      </w:r>
    </w:p>
    <w:p>
      <w:pPr>
        <w:pStyle w:val="6"/>
        <w:spacing w:line="295" w:lineRule="auto"/>
        <w:ind w:left="440" w:right="1"/>
        <w:rPr>
          <w:rFonts w:hint="eastAsia" w:ascii="MS UI Gothic" w:eastAsia="MS UI Gothic"/>
        </w:rPr>
      </w:pPr>
      <w:r>
        <w:t>被责令停产整顿的煤矿应当制定整改方案</w:t>
      </w:r>
      <w:r>
        <w:rPr>
          <w:rFonts w:hint="eastAsia" w:ascii="MS UI Gothic" w:eastAsia="MS UI Gothic"/>
          <w:w w:val="85"/>
        </w:rPr>
        <w:t xml:space="preserve">ꎬ </w:t>
      </w:r>
      <w:r>
        <w:t>落实整改措施和安全技术规定</w:t>
      </w:r>
      <w:r>
        <w:rPr>
          <w:rFonts w:hint="eastAsia" w:ascii="MS UI Gothic" w:eastAsia="MS UI Gothic"/>
          <w:w w:val="85"/>
        </w:rPr>
        <w:t xml:space="preserve">ꎻ </w:t>
      </w:r>
      <w:r>
        <w:t>整改结束后要求恢复生产的</w:t>
      </w:r>
      <w:r>
        <w:rPr>
          <w:rFonts w:hint="eastAsia" w:ascii="MS UI Gothic" w:eastAsia="MS UI Gothic"/>
          <w:w w:val="85"/>
        </w:rPr>
        <w:t xml:space="preserve">ꎬ </w:t>
      </w:r>
      <w:r>
        <w:t xml:space="preserve">应当由县级以上地方人民政府负责煤矿安全生产监督管理的部门自收到恢复生产申请之日起 </w:t>
      </w:r>
      <w:r>
        <w:rPr>
          <w:rFonts w:hint="eastAsia" w:ascii="MS UI Gothic" w:eastAsia="MS UI Gothic"/>
          <w:w w:val="85"/>
        </w:rPr>
        <w:t xml:space="preserve">６０ </w:t>
      </w:r>
      <w:r>
        <w:t>日内组织验收完毕</w:t>
      </w:r>
      <w:r>
        <w:rPr>
          <w:rFonts w:hint="eastAsia" w:ascii="MS UI Gothic" w:eastAsia="MS UI Gothic"/>
          <w:w w:val="85"/>
        </w:rPr>
        <w:t xml:space="preserve">ꎻ </w:t>
      </w:r>
      <w:r>
        <w:t>验收合格的</w:t>
      </w:r>
      <w:r>
        <w:rPr>
          <w:rFonts w:hint="eastAsia" w:ascii="MS UI Gothic" w:eastAsia="MS UI Gothic"/>
          <w:w w:val="85"/>
        </w:rPr>
        <w:t xml:space="preserve">ꎬ </w:t>
      </w:r>
      <w:r>
        <w:t>经组织验收的地方人民政府负责煤矿安全生产监督管理的部门的主要负责人签字</w:t>
      </w:r>
      <w:r>
        <w:rPr>
          <w:rFonts w:hint="eastAsia" w:ascii="MS UI Gothic" w:eastAsia="MS UI Gothic"/>
          <w:w w:val="85"/>
        </w:rPr>
        <w:t xml:space="preserve">ꎬ </w:t>
      </w:r>
      <w:r>
        <w:t>并经有关煤矿安全监察机构审核同意</w:t>
      </w:r>
      <w:r>
        <w:rPr>
          <w:rFonts w:hint="eastAsia" w:ascii="MS UI Gothic" w:eastAsia="MS UI Gothic"/>
          <w:w w:val="85"/>
        </w:rPr>
        <w:t xml:space="preserve">ꎬ </w:t>
      </w:r>
      <w:r>
        <w:t>报请有关地方人民政府主要负责人签字批准</w:t>
      </w:r>
      <w:r>
        <w:rPr>
          <w:rFonts w:hint="eastAsia" w:ascii="MS UI Gothic" w:eastAsia="MS UI Gothic"/>
          <w:w w:val="85"/>
        </w:rPr>
        <w:t xml:space="preserve">ꎬ </w:t>
      </w:r>
      <w:r>
        <w:t>颁发证照的部门发还证照</w:t>
      </w:r>
      <w:r>
        <w:rPr>
          <w:rFonts w:hint="eastAsia" w:ascii="MS UI Gothic" w:eastAsia="MS UI Gothic"/>
          <w:w w:val="85"/>
        </w:rPr>
        <w:t xml:space="preserve">ꎬ </w:t>
      </w:r>
      <w:r>
        <w:t>煤矿方可恢复生产</w:t>
      </w:r>
      <w:r>
        <w:rPr>
          <w:rFonts w:hint="eastAsia" w:ascii="MS UI Gothic" w:eastAsia="MS UI Gothic"/>
          <w:w w:val="85"/>
        </w:rPr>
        <w:t xml:space="preserve">ꎻ </w:t>
      </w:r>
      <w:r>
        <w:t>验收不合格的</w:t>
      </w:r>
      <w:r>
        <w:rPr>
          <w:rFonts w:hint="eastAsia" w:ascii="MS UI Gothic" w:eastAsia="MS UI Gothic"/>
          <w:w w:val="85"/>
        </w:rPr>
        <w:t xml:space="preserve">ꎬ </w:t>
      </w:r>
      <w:r>
        <w:t>由有关地方人民政府予以关闭</w:t>
      </w:r>
      <w:r>
        <w:rPr>
          <w:rFonts w:hint="eastAsia" w:ascii="MS UI Gothic" w:eastAsia="MS UI Gothic"/>
          <w:w w:val="85"/>
        </w:rPr>
        <w:t>ꎮ</w:t>
      </w:r>
    </w:p>
    <w:p>
      <w:pPr>
        <w:pStyle w:val="6"/>
        <w:spacing w:line="295" w:lineRule="auto"/>
        <w:ind w:left="440" w:right="1"/>
        <w:rPr>
          <w:rFonts w:hint="eastAsia" w:ascii="MS UI Gothic" w:eastAsia="MS UI Gothic"/>
        </w:rPr>
      </w:pPr>
      <w:r>
        <w:t>被责令停产整顿的煤矿擅自从事生产的</w:t>
      </w:r>
      <w:r>
        <w:rPr>
          <w:rFonts w:hint="eastAsia" w:ascii="MS UI Gothic" w:eastAsia="MS UI Gothic"/>
          <w:w w:val="80"/>
        </w:rPr>
        <w:t xml:space="preserve">ꎬ </w:t>
      </w:r>
      <w:r>
        <w:t>县级以上地方人民政府负责煤矿安全生产监督管理的部门</w:t>
      </w:r>
      <w:r>
        <w:rPr>
          <w:rFonts w:hint="eastAsia" w:ascii="MS UI Gothic" w:eastAsia="MS UI Gothic"/>
          <w:w w:val="80"/>
        </w:rPr>
        <w:t xml:space="preserve">、 </w:t>
      </w:r>
      <w:r>
        <w:t>煤矿安全监察机构应当提请有关地方人民政府予以关闭</w:t>
      </w:r>
      <w:r>
        <w:rPr>
          <w:rFonts w:hint="eastAsia" w:ascii="MS UI Gothic" w:eastAsia="MS UI Gothic"/>
          <w:w w:val="80"/>
        </w:rPr>
        <w:t xml:space="preserve">ꎬ </w:t>
      </w:r>
      <w:r>
        <w:t>没收违法所得</w:t>
      </w:r>
      <w:r>
        <w:rPr>
          <w:rFonts w:hint="eastAsia" w:ascii="MS UI Gothic" w:eastAsia="MS UI Gothic"/>
          <w:w w:val="80"/>
        </w:rPr>
        <w:t xml:space="preserve">ꎬ </w:t>
      </w:r>
      <w:r>
        <w:t xml:space="preserve">并处违法所得 </w:t>
      </w:r>
      <w:r>
        <w:rPr>
          <w:rFonts w:hint="eastAsia" w:ascii="MS UI Gothic" w:eastAsia="MS UI Gothic"/>
          <w:w w:val="80"/>
        </w:rPr>
        <w:t xml:space="preserve">１ </w:t>
      </w:r>
      <w:r>
        <w:t xml:space="preserve">倍以上 </w:t>
      </w:r>
      <w:r>
        <w:rPr>
          <w:rFonts w:hint="eastAsia" w:ascii="MS UI Gothic" w:eastAsia="MS UI Gothic"/>
          <w:w w:val="80"/>
        </w:rPr>
        <w:t xml:space="preserve">５ </w:t>
      </w:r>
      <w:r>
        <w:t>倍以下的罚款</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440" w:right="1"/>
      </w:pPr>
      <w:r>
        <w:t>第十二条  对被责令停产整顿的煤矿</w:t>
      </w:r>
      <w:r>
        <w:rPr>
          <w:rFonts w:hint="eastAsia" w:ascii="MS UI Gothic" w:eastAsia="MS UI Gothic"/>
          <w:w w:val="80"/>
        </w:rPr>
        <w:t xml:space="preserve">ꎬ </w:t>
      </w:r>
      <w:r>
        <w:t>在停产整顿期间</w:t>
      </w:r>
      <w:r>
        <w:rPr>
          <w:rFonts w:hint="eastAsia" w:ascii="MS UI Gothic" w:eastAsia="MS UI Gothic"/>
          <w:w w:val="80"/>
        </w:rPr>
        <w:t xml:space="preserve">ꎬ </w:t>
      </w:r>
      <w:r>
        <w:t>由有关地方人民政府采取有效措施进行监督检查</w:t>
      </w:r>
      <w:r>
        <w:rPr>
          <w:rFonts w:hint="eastAsia" w:ascii="MS UI Gothic" w:eastAsia="MS UI Gothic"/>
          <w:w w:val="80"/>
        </w:rPr>
        <w:t xml:space="preserve">ꎮ </w:t>
      </w:r>
      <w:r>
        <w:t>因监督检查不力</w:t>
      </w:r>
      <w:r>
        <w:rPr>
          <w:rFonts w:hint="eastAsia" w:ascii="MS UI Gothic" w:eastAsia="MS UI Gothic"/>
          <w:w w:val="80"/>
        </w:rPr>
        <w:t xml:space="preserve">ꎬ </w:t>
      </w:r>
      <w:r>
        <w:t>煤矿在停产整顿期间继续生产的</w:t>
      </w:r>
      <w:r>
        <w:rPr>
          <w:rFonts w:hint="eastAsia" w:ascii="MS UI Gothic" w:eastAsia="MS UI Gothic"/>
          <w:w w:val="80"/>
        </w:rPr>
        <w:t xml:space="preserve">ꎬ </w:t>
      </w:r>
      <w:r>
        <w:t>对直接责任人</w:t>
      </w:r>
      <w:r>
        <w:rPr>
          <w:rFonts w:hint="eastAsia" w:ascii="MS UI Gothic" w:eastAsia="MS UI Gothic"/>
          <w:w w:val="80"/>
        </w:rPr>
        <w:t xml:space="preserve">ꎬ </w:t>
      </w:r>
      <w:r>
        <w:t>根据情节轻重</w:t>
      </w:r>
      <w:r>
        <w:rPr>
          <w:rFonts w:hint="eastAsia" w:ascii="MS UI Gothic" w:eastAsia="MS UI Gothic"/>
          <w:w w:val="80"/>
        </w:rPr>
        <w:t xml:space="preserve">ꎬ </w:t>
      </w:r>
      <w:r>
        <w:t>给予降级</w:t>
      </w:r>
      <w:r>
        <w:rPr>
          <w:rFonts w:hint="eastAsia" w:ascii="MS UI Gothic" w:eastAsia="MS UI Gothic"/>
          <w:w w:val="80"/>
        </w:rPr>
        <w:t xml:space="preserve">、 </w:t>
      </w:r>
      <w:r>
        <w:t>撤职或者开除的行政处分</w:t>
      </w:r>
      <w:r>
        <w:rPr>
          <w:rFonts w:hint="eastAsia" w:ascii="MS UI Gothic" w:eastAsia="MS UI Gothic"/>
          <w:w w:val="80"/>
        </w:rPr>
        <w:t xml:space="preserve">ꎻ </w:t>
      </w:r>
      <w:r>
        <w:t>对有关</w:t>
      </w:r>
    </w:p>
    <w:p>
      <w:pPr>
        <w:pStyle w:val="6"/>
        <w:spacing w:before="124" w:line="295" w:lineRule="auto"/>
        <w:ind w:left="381" w:right="126" w:firstLine="0"/>
        <w:rPr>
          <w:rFonts w:hint="eastAsia" w:ascii="MS UI Gothic" w:eastAsia="MS UI Gothic"/>
        </w:rPr>
      </w:pPr>
      <w:r>
        <w:br w:type="column"/>
      </w:r>
      <w:r>
        <w:t>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给予记大过</w:t>
      </w:r>
      <w:r>
        <w:rPr>
          <w:rFonts w:hint="eastAsia" w:ascii="MS UI Gothic" w:eastAsia="MS UI Gothic"/>
        </w:rPr>
        <w:t xml:space="preserve">、 </w:t>
      </w:r>
      <w:r>
        <w:t>降级</w:t>
      </w:r>
      <w:r>
        <w:rPr>
          <w:rFonts w:hint="eastAsia" w:ascii="MS UI Gothic" w:eastAsia="MS UI Gothic"/>
        </w:rPr>
        <w:t xml:space="preserve">、 </w:t>
      </w:r>
      <w:r>
        <w:t>撤职或者开除的行政处分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4"/>
        <w:rPr>
          <w:rFonts w:hint="eastAsia" w:ascii="MS UI Gothic" w:eastAsia="MS UI Gothic"/>
        </w:rPr>
      </w:pPr>
      <w:r>
        <w:t>第十三条 对提请关闭的煤矿</w:t>
      </w:r>
      <w:r>
        <w:rPr>
          <w:rFonts w:hint="eastAsia" w:ascii="MS UI Gothic" w:eastAsia="MS UI Gothic"/>
          <w:w w:val="80"/>
        </w:rPr>
        <w:t xml:space="preserve">ꎬ </w:t>
      </w:r>
      <w:r>
        <w:t>县级以上地方人民政府负责煤矿安全生产监督管理的部门或者煤矿安全监察机构应当责令立即停止生产</w:t>
      </w:r>
      <w:r>
        <w:rPr>
          <w:rFonts w:hint="eastAsia" w:ascii="MS UI Gothic" w:eastAsia="MS UI Gothic"/>
          <w:w w:val="80"/>
        </w:rPr>
        <w:t xml:space="preserve">ꎻ </w:t>
      </w:r>
      <w:r>
        <w:t xml:space="preserve">有关地方人民政府应当在 </w:t>
      </w:r>
      <w:r>
        <w:rPr>
          <w:rFonts w:hint="eastAsia" w:ascii="MS UI Gothic" w:eastAsia="MS UI Gothic"/>
          <w:w w:val="80"/>
        </w:rPr>
        <w:t xml:space="preserve">７ </w:t>
      </w:r>
      <w:r>
        <w:t>日内作出关闭或者不予关闭的决定</w:t>
      </w:r>
      <w:r>
        <w:rPr>
          <w:rFonts w:hint="eastAsia" w:ascii="MS UI Gothic" w:eastAsia="MS UI Gothic"/>
          <w:w w:val="80"/>
        </w:rPr>
        <w:t>ꎬ</w:t>
      </w:r>
      <w:r>
        <w:t>并由其主要负责人签字存档</w:t>
      </w:r>
      <w:r>
        <w:rPr>
          <w:rFonts w:hint="eastAsia" w:ascii="MS UI Gothic" w:eastAsia="MS UI Gothic"/>
          <w:w w:val="80"/>
        </w:rPr>
        <w:t xml:space="preserve">ꎮ </w:t>
      </w:r>
      <w:r>
        <w:t>对决定关闭的</w:t>
      </w:r>
      <w:r>
        <w:rPr>
          <w:rFonts w:hint="eastAsia" w:ascii="MS UI Gothic" w:eastAsia="MS UI Gothic"/>
          <w:w w:val="80"/>
        </w:rPr>
        <w:t xml:space="preserve">ꎬ </w:t>
      </w:r>
      <w:r>
        <w:t>有关地方人民政府应当立即组织实施</w:t>
      </w:r>
      <w:r>
        <w:rPr>
          <w:rFonts w:hint="eastAsia" w:ascii="MS UI Gothic" w:eastAsia="MS UI Gothic"/>
          <w:w w:val="80"/>
        </w:rPr>
        <w:t>ꎮ</w:t>
      </w:r>
    </w:p>
    <w:p>
      <w:pPr>
        <w:pStyle w:val="6"/>
        <w:spacing w:line="295" w:lineRule="auto"/>
        <w:ind w:left="800" w:right="858" w:firstLine="0"/>
        <w:jc w:val="left"/>
        <w:rPr>
          <w:rFonts w:hint="eastAsia" w:ascii="MS UI Gothic" w:eastAsia="MS UI Gothic"/>
        </w:rPr>
      </w:pPr>
      <w:r>
        <w:rPr>
          <w:w w:val="105"/>
        </w:rPr>
        <w:t>关闭煤矿应当达到下列要求</w:t>
      </w:r>
      <w:r>
        <w:rPr>
          <w:rFonts w:hint="eastAsia" w:ascii="MS UI Gothic" w:eastAsia="MS UI Gothic"/>
          <w:w w:val="105"/>
        </w:rPr>
        <w:t xml:space="preserve">:  </w:t>
      </w: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吊销相关证照</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停止供应并处理火工用品</w:t>
      </w:r>
      <w:r>
        <w:rPr>
          <w:rFonts w:hint="eastAsia" w:ascii="MS UI Gothic" w:eastAsia="MS UI Gothic"/>
          <w:w w:val="80"/>
        </w:rPr>
        <w:t>ꎻ</w:t>
      </w:r>
    </w:p>
    <w:p>
      <w:pPr>
        <w:pStyle w:val="6"/>
        <w:spacing w:before="49"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停止供电</w:t>
      </w:r>
      <w:r>
        <w:rPr>
          <w:rFonts w:hint="eastAsia" w:ascii="MS UI Gothic" w:eastAsia="MS UI Gothic"/>
          <w:w w:val="80"/>
        </w:rPr>
        <w:t xml:space="preserve">ꎬ </w:t>
      </w:r>
      <w:r>
        <w:rPr>
          <w:w w:val="105"/>
        </w:rPr>
        <w:t>拆除矿井生产设备</w:t>
      </w:r>
      <w:r>
        <w:rPr>
          <w:rFonts w:hint="eastAsia" w:ascii="MS UI Gothic" w:eastAsia="MS UI Gothic"/>
          <w:w w:val="80"/>
        </w:rPr>
        <w:t xml:space="preserve">、 </w:t>
      </w:r>
      <w:r>
        <w:rPr>
          <w:w w:val="105"/>
        </w:rPr>
        <w:t>供电</w:t>
      </w:r>
      <w:r>
        <w:rPr>
          <w:rFonts w:hint="eastAsia" w:ascii="MS UI Gothic" w:eastAsia="MS UI Gothic"/>
          <w:w w:val="80"/>
        </w:rPr>
        <w:t xml:space="preserve">、 </w:t>
      </w:r>
      <w:r>
        <w:rPr>
          <w:w w:val="105"/>
        </w:rPr>
        <w:t>通信线路</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封闭</w:t>
      </w:r>
      <w:r>
        <w:rPr>
          <w:rFonts w:hint="eastAsia" w:ascii="MS UI Gothic" w:eastAsia="MS UI Gothic"/>
          <w:w w:val="80"/>
        </w:rPr>
        <w:t xml:space="preserve">、 </w:t>
      </w:r>
      <w:r>
        <w:rPr>
          <w:w w:val="105"/>
        </w:rPr>
        <w:t>填实矿井井筒</w:t>
      </w:r>
      <w:r>
        <w:rPr>
          <w:rFonts w:hint="eastAsia" w:ascii="MS UI Gothic" w:eastAsia="MS UI Gothic"/>
          <w:w w:val="80"/>
        </w:rPr>
        <w:t xml:space="preserve">ꎬ </w:t>
      </w:r>
      <w:r>
        <w:rPr>
          <w:w w:val="105"/>
        </w:rPr>
        <w:t>平整井口场地</w:t>
      </w:r>
      <w:r>
        <w:rPr>
          <w:rFonts w:hint="eastAsia" w:ascii="MS UI Gothic" w:eastAsia="MS UI Gothic"/>
          <w:w w:val="80"/>
        </w:rPr>
        <w:t xml:space="preserve">ꎬ </w:t>
      </w:r>
      <w:r>
        <w:rPr>
          <w:w w:val="105"/>
        </w:rPr>
        <w:t>恢复地貌</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妥善遣散从业人员</w:t>
      </w:r>
      <w:r>
        <w:rPr>
          <w:rFonts w:hint="eastAsia" w:ascii="MS UI Gothic" w:eastAsia="MS UI Gothic"/>
          <w:w w:val="80"/>
        </w:rPr>
        <w:t>ꎮ</w:t>
      </w:r>
    </w:p>
    <w:p>
      <w:pPr>
        <w:pStyle w:val="6"/>
        <w:spacing w:before="57" w:line="295" w:lineRule="auto"/>
        <w:ind w:left="381" w:right="126"/>
        <w:rPr>
          <w:rFonts w:hint="eastAsia" w:ascii="MS UI Gothic" w:eastAsia="MS UI Gothic"/>
        </w:rPr>
      </w:pPr>
      <w:r>
        <w:t>关闭煤矿未达到前款规定要求的</w:t>
      </w:r>
      <w:r>
        <w:rPr>
          <w:rFonts w:hint="eastAsia" w:ascii="MS UI Gothic" w:eastAsia="MS UI Gothic"/>
          <w:w w:val="80"/>
        </w:rPr>
        <w:t xml:space="preserve">ꎬ </w:t>
      </w:r>
      <w:r>
        <w:t>对组织实施关闭的地方人民政府及其有关部门的负责人和直接责任人给予记过</w:t>
      </w:r>
      <w:r>
        <w:rPr>
          <w:rFonts w:hint="eastAsia" w:ascii="MS UI Gothic" w:eastAsia="MS UI Gothic"/>
          <w:w w:val="80"/>
        </w:rPr>
        <w:t xml:space="preserve">、 </w:t>
      </w:r>
      <w:r>
        <w:t>记大过</w:t>
      </w:r>
      <w:r>
        <w:rPr>
          <w:rFonts w:hint="eastAsia" w:ascii="MS UI Gothic" w:eastAsia="MS UI Gothic"/>
          <w:w w:val="80"/>
        </w:rPr>
        <w:t xml:space="preserve">、 </w:t>
      </w:r>
      <w:r>
        <w:t>降级</w:t>
      </w:r>
      <w:r>
        <w:rPr>
          <w:rFonts w:hint="eastAsia" w:ascii="MS UI Gothic" w:eastAsia="MS UI Gothic"/>
          <w:w w:val="80"/>
        </w:rPr>
        <w:t xml:space="preserve">、 </w:t>
      </w:r>
      <w:r>
        <w:t>撤职或者开除的行政处分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依照本条第一款规定决定关闭的煤矿</w:t>
      </w:r>
      <w:r>
        <w:rPr>
          <w:rFonts w:hint="eastAsia" w:ascii="MS UI Gothic" w:eastAsia="MS UI Gothic"/>
          <w:w w:val="80"/>
        </w:rPr>
        <w:t xml:space="preserve">ꎬ </w:t>
      </w:r>
      <w:r>
        <w:t>仍有开采价值的</w:t>
      </w:r>
      <w:r>
        <w:rPr>
          <w:rFonts w:hint="eastAsia" w:ascii="MS UI Gothic" w:eastAsia="MS UI Gothic"/>
          <w:w w:val="80"/>
        </w:rPr>
        <w:t xml:space="preserve">ꎬ </w:t>
      </w:r>
      <w:r>
        <w:t>经依法批准可以进行拍卖</w:t>
      </w:r>
      <w:r>
        <w:rPr>
          <w:rFonts w:hint="eastAsia" w:ascii="MS UI Gothic" w:eastAsia="MS UI Gothic"/>
          <w:w w:val="80"/>
        </w:rPr>
        <w:t>ꎮ</w:t>
      </w:r>
    </w:p>
    <w:p>
      <w:pPr>
        <w:pStyle w:val="6"/>
        <w:spacing w:line="295" w:lineRule="auto"/>
        <w:ind w:left="381" w:right="126"/>
        <w:rPr>
          <w:rFonts w:hint="eastAsia" w:ascii="MS UI Gothic" w:eastAsia="MS UI Gothic"/>
        </w:rPr>
      </w:pPr>
      <w:r>
        <w:t>关闭的煤矿擅自恢复生产的</w:t>
      </w:r>
      <w:r>
        <w:rPr>
          <w:rFonts w:hint="eastAsia" w:ascii="MS UI Gothic" w:eastAsia="MS UI Gothic"/>
          <w:w w:val="80"/>
        </w:rPr>
        <w:t xml:space="preserve">ꎬ </w:t>
      </w:r>
      <w:r>
        <w:t>依照本规定第五条第二款规定予以处罚</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第十四条 县级以上地方人民政府负</w:t>
      </w:r>
      <w:r>
        <w:t>责煤矿安全生产监督管理的部门或者煤矿安全监察机构</w:t>
      </w:r>
      <w:r>
        <w:rPr>
          <w:rFonts w:hint="eastAsia" w:ascii="MS UI Gothic" w:eastAsia="MS UI Gothic"/>
          <w:w w:val="80"/>
        </w:rPr>
        <w:t xml:space="preserve">ꎬ </w:t>
      </w:r>
      <w:r>
        <w:t>发现煤矿有本规定第八条第二款所列情形之一的</w:t>
      </w:r>
      <w:r>
        <w:rPr>
          <w:rFonts w:hint="eastAsia" w:ascii="MS UI Gothic" w:eastAsia="MS UI Gothic"/>
          <w:w w:val="80"/>
        </w:rPr>
        <w:t xml:space="preserve">ꎬ </w:t>
      </w:r>
      <w:r>
        <w:t>应当将情况报送</w:t>
      </w:r>
      <w:r>
        <w:rPr>
          <w:w w:val="105"/>
        </w:rPr>
        <w:t>有关地方人民政府</w:t>
      </w:r>
      <w:r>
        <w:rPr>
          <w:rFonts w:hint="eastAsia" w:ascii="MS UI Gothic" w:eastAsia="MS UI Gothic"/>
          <w:w w:val="80"/>
        </w:rPr>
        <w:t>ꎮ</w:t>
      </w:r>
    </w:p>
    <w:p>
      <w:pPr>
        <w:pStyle w:val="6"/>
        <w:spacing w:line="295" w:lineRule="auto"/>
        <w:ind w:left="381" w:right="126"/>
      </w:pPr>
      <w:r>
        <w:t>第十五条 煤矿存在瓦斯突出</w:t>
      </w:r>
      <w:r>
        <w:rPr>
          <w:rFonts w:hint="eastAsia" w:ascii="MS UI Gothic" w:eastAsia="MS UI Gothic"/>
          <w:w w:val="80"/>
        </w:rPr>
        <w:t xml:space="preserve">、 </w:t>
      </w:r>
      <w:r>
        <w:t>自然发火</w:t>
      </w:r>
      <w:r>
        <w:rPr>
          <w:rFonts w:hint="eastAsia" w:ascii="MS UI Gothic" w:eastAsia="MS UI Gothic"/>
          <w:w w:val="80"/>
        </w:rPr>
        <w:t xml:space="preserve">、 </w:t>
      </w:r>
      <w:r>
        <w:t>冲击地压</w:t>
      </w:r>
      <w:r>
        <w:rPr>
          <w:rFonts w:hint="eastAsia" w:ascii="MS UI Gothic" w:eastAsia="MS UI Gothic"/>
          <w:w w:val="80"/>
        </w:rPr>
        <w:t xml:space="preserve">、 </w:t>
      </w:r>
      <w:r>
        <w:t>水害威胁等重大安全生产隐患</w:t>
      </w:r>
      <w:r>
        <w:rPr>
          <w:rFonts w:hint="eastAsia" w:ascii="MS UI Gothic" w:eastAsia="MS UI Gothic"/>
          <w:w w:val="80"/>
        </w:rPr>
        <w:t xml:space="preserve">ꎬ </w:t>
      </w:r>
      <w:r>
        <w:t>该煤矿在现有技术条件下难以有效防治的</w:t>
      </w:r>
      <w:r>
        <w:rPr>
          <w:rFonts w:hint="eastAsia" w:ascii="MS UI Gothic" w:eastAsia="MS UI Gothic"/>
          <w:w w:val="80"/>
        </w:rPr>
        <w:t xml:space="preserve">ꎬ </w:t>
      </w:r>
      <w:r>
        <w:t>县级以上地方人民政府负责煤</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２２６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08" o:spid="_x0000_s1708" o:spt="203" style="height:2.15pt;width:398.25pt;" coordsize="7965,43">
            <o:lock v:ext="edit"/>
            <v:line id="_x0000_s1709" o:spid="_x0000_s1709" o:spt="20" style="position:absolute;left:0;top:39;height:0;width:7965;" stroked="t" coordsize="21600,21600">
              <v:path arrowok="t"/>
              <v:fill focussize="0,0"/>
              <v:stroke weight="0.388031496062992pt" color="#231F20"/>
              <v:imagedata o:title=""/>
              <o:lock v:ext="edit"/>
            </v:line>
            <v:line id="_x0000_s1710" o:spid="_x0000_s171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矿安全生产监督管理的部门</w:t>
      </w:r>
      <w:r>
        <w:rPr>
          <w:rFonts w:hint="eastAsia" w:ascii="MS UI Gothic" w:eastAsia="MS UI Gothic"/>
          <w:w w:val="80"/>
        </w:rPr>
        <w:t xml:space="preserve">、 </w:t>
      </w:r>
      <w:r>
        <w:t>煤矿安全监察机构应当责令其立即停止生产</w:t>
      </w:r>
      <w:r>
        <w:rPr>
          <w:rFonts w:hint="eastAsia" w:ascii="MS UI Gothic" w:eastAsia="MS UI Gothic"/>
          <w:w w:val="80"/>
        </w:rPr>
        <w:t xml:space="preserve">ꎬ </w:t>
      </w:r>
      <w:r>
        <w:t>并提请有关地方人民政府组织专家进行论证</w:t>
      </w:r>
      <w:r>
        <w:rPr>
          <w:rFonts w:hint="eastAsia" w:ascii="MS UI Gothic" w:eastAsia="MS UI Gothic"/>
          <w:w w:val="80"/>
        </w:rPr>
        <w:t xml:space="preserve">ꎮ </w:t>
      </w:r>
      <w:r>
        <w:t>专家论证应当客观</w:t>
      </w:r>
      <w:r>
        <w:rPr>
          <w:rFonts w:hint="eastAsia" w:ascii="MS UI Gothic" w:eastAsia="MS UI Gothic"/>
          <w:w w:val="80"/>
        </w:rPr>
        <w:t xml:space="preserve">、 </w:t>
      </w:r>
      <w:r>
        <w:t>公正</w:t>
      </w:r>
      <w:r>
        <w:rPr>
          <w:rFonts w:hint="eastAsia" w:ascii="MS UI Gothic" w:eastAsia="MS UI Gothic"/>
          <w:w w:val="80"/>
        </w:rPr>
        <w:t xml:space="preserve">、 </w:t>
      </w:r>
      <w:r>
        <w:t>科学</w:t>
      </w:r>
      <w:r>
        <w:rPr>
          <w:rFonts w:hint="eastAsia" w:ascii="MS UI Gothic" w:eastAsia="MS UI Gothic"/>
          <w:w w:val="80"/>
        </w:rPr>
        <w:t xml:space="preserve">ꎮ </w:t>
      </w:r>
      <w:r>
        <w:t>有关地方人民政府应当根据论证结论</w:t>
      </w:r>
      <w:r>
        <w:rPr>
          <w:rFonts w:hint="eastAsia" w:ascii="MS UI Gothic" w:eastAsia="MS UI Gothic"/>
          <w:w w:val="80"/>
        </w:rPr>
        <w:t xml:space="preserve">ꎬ </w:t>
      </w:r>
      <w:r>
        <w:t>作出是否关闭煤矿的决定</w:t>
      </w:r>
      <w:r>
        <w:rPr>
          <w:rFonts w:hint="eastAsia" w:ascii="MS UI Gothic" w:eastAsia="MS UI Gothic"/>
          <w:w w:val="80"/>
        </w:rPr>
        <w:t xml:space="preserve">ꎬ </w:t>
      </w:r>
      <w:r>
        <w:t>并组织实施</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第十六条 煤矿企业应当依照国家有</w:t>
      </w:r>
      <w:r>
        <w:t>关规定对井下作业人员进行安全生产教育和培训</w:t>
      </w:r>
      <w:r>
        <w:rPr>
          <w:rFonts w:hint="eastAsia" w:ascii="MS UI Gothic" w:eastAsia="MS UI Gothic"/>
          <w:w w:val="80"/>
        </w:rPr>
        <w:t xml:space="preserve">ꎬ </w:t>
      </w:r>
      <w:r>
        <w:t>保证井下作业人员具有必要的安全生产知识</w:t>
      </w:r>
      <w:r>
        <w:rPr>
          <w:rFonts w:hint="eastAsia" w:ascii="MS UI Gothic" w:eastAsia="MS UI Gothic"/>
          <w:w w:val="80"/>
        </w:rPr>
        <w:t xml:space="preserve">ꎬ </w:t>
      </w:r>
      <w:r>
        <w:t>熟悉有关安全生产规章制度和安全操作规程</w:t>
      </w:r>
      <w:r>
        <w:rPr>
          <w:rFonts w:hint="eastAsia" w:ascii="MS UI Gothic" w:eastAsia="MS UI Gothic"/>
          <w:w w:val="80"/>
        </w:rPr>
        <w:t xml:space="preserve">ꎬ </w:t>
      </w:r>
      <w:r>
        <w:t>掌握本岗位的安全操作技能</w:t>
      </w:r>
      <w:r>
        <w:rPr>
          <w:rFonts w:hint="eastAsia" w:ascii="MS UI Gothic" w:eastAsia="MS UI Gothic"/>
          <w:w w:val="80"/>
        </w:rPr>
        <w:t xml:space="preserve">ꎬ </w:t>
      </w:r>
      <w:r>
        <w:t>并建立培训档案</w:t>
      </w:r>
      <w:r>
        <w:rPr>
          <w:rFonts w:hint="eastAsia" w:ascii="MS UI Gothic" w:eastAsia="MS UI Gothic"/>
          <w:w w:val="80"/>
        </w:rPr>
        <w:t xml:space="preserve">ꎮ </w:t>
      </w:r>
      <w:r>
        <w:t>未进行安全生产教育和培训或者经教育和培训不合格的人</w:t>
      </w:r>
      <w:r>
        <w:rPr>
          <w:w w:val="105"/>
        </w:rPr>
        <w:t>员不得下井作业</w:t>
      </w:r>
      <w:r>
        <w:rPr>
          <w:rFonts w:hint="eastAsia" w:ascii="MS UI Gothic" w:eastAsia="MS UI Gothic"/>
          <w:w w:val="80"/>
        </w:rPr>
        <w:t>ꎮ</w:t>
      </w:r>
    </w:p>
    <w:p>
      <w:pPr>
        <w:pStyle w:val="6"/>
        <w:spacing w:line="295" w:lineRule="auto"/>
        <w:ind w:right="38"/>
        <w:rPr>
          <w:rFonts w:hint="eastAsia" w:ascii="MS UI Gothic" w:eastAsia="MS UI Gothic"/>
        </w:rPr>
      </w:pPr>
      <w:r>
        <w:t>县级以上地方人民政府负责煤矿安全生产监督管理的部门应当对煤矿井下作业人员的安全生产教育和培训情况进行监督检查</w:t>
      </w:r>
      <w:r>
        <w:rPr>
          <w:rFonts w:hint="eastAsia" w:ascii="MS UI Gothic" w:eastAsia="MS UI Gothic"/>
          <w:w w:val="85"/>
        </w:rPr>
        <w:t xml:space="preserve">ꎻ </w:t>
      </w:r>
      <w:r>
        <w:t>煤矿安全监察机构应当对煤矿特种作业人员持证上岗情况进行监督检查</w:t>
      </w:r>
      <w:r>
        <w:rPr>
          <w:rFonts w:hint="eastAsia" w:ascii="MS UI Gothic" w:eastAsia="MS UI Gothic"/>
          <w:w w:val="85"/>
        </w:rPr>
        <w:t xml:space="preserve">ꎮ </w:t>
      </w:r>
      <w:r>
        <w:t>发现煤矿企业未依照国家有关规定对井下作业人员进行安全生产教育和培训或者特种作业人员无证上岗的</w:t>
      </w:r>
      <w:r>
        <w:rPr>
          <w:rFonts w:hint="eastAsia" w:ascii="MS UI Gothic" w:eastAsia="MS UI Gothic"/>
          <w:w w:val="85"/>
        </w:rPr>
        <w:t xml:space="preserve">ꎬ </w:t>
      </w:r>
      <w:r>
        <w:t>应当责令限期改正</w:t>
      </w:r>
      <w:r>
        <w:rPr>
          <w:rFonts w:hint="eastAsia" w:ascii="MS UI Gothic" w:eastAsia="MS UI Gothic"/>
          <w:w w:val="85"/>
        </w:rPr>
        <w:t xml:space="preserve">ꎬ </w:t>
      </w:r>
      <w:r>
        <w:t xml:space="preserve">处 </w:t>
      </w:r>
      <w:r>
        <w:rPr>
          <w:rFonts w:hint="eastAsia" w:ascii="MS UI Gothic" w:eastAsia="MS UI Gothic"/>
          <w:w w:val="85"/>
        </w:rPr>
        <w:t xml:space="preserve">１０ </w:t>
      </w:r>
      <w:r>
        <w:t xml:space="preserve">万元以上 </w:t>
      </w:r>
      <w:r>
        <w:rPr>
          <w:rFonts w:hint="eastAsia" w:ascii="MS UI Gothic" w:eastAsia="MS UI Gothic"/>
          <w:w w:val="85"/>
        </w:rPr>
        <w:t xml:space="preserve">５０ </w:t>
      </w:r>
      <w:r>
        <w:t>万元以下的罚款</w:t>
      </w:r>
      <w:r>
        <w:rPr>
          <w:rFonts w:hint="eastAsia" w:ascii="MS UI Gothic" w:eastAsia="MS UI Gothic"/>
          <w:w w:val="85"/>
        </w:rPr>
        <w:t>ꎻ</w:t>
      </w:r>
      <w:r>
        <w:t>逾期未改正的</w:t>
      </w:r>
      <w:r>
        <w:rPr>
          <w:rFonts w:hint="eastAsia" w:ascii="MS UI Gothic" w:eastAsia="MS UI Gothic"/>
          <w:w w:val="85"/>
        </w:rPr>
        <w:t xml:space="preserve">ꎬ </w:t>
      </w:r>
      <w:r>
        <w:t>责令停产整顿</w:t>
      </w:r>
      <w:r>
        <w:rPr>
          <w:rFonts w:hint="eastAsia" w:ascii="MS UI Gothic" w:eastAsia="MS UI Gothic"/>
          <w:w w:val="85"/>
        </w:rPr>
        <w:t>ꎮ</w:t>
      </w:r>
    </w:p>
    <w:p>
      <w:pPr>
        <w:pStyle w:val="6"/>
        <w:spacing w:line="295" w:lineRule="auto"/>
        <w:ind w:right="39"/>
        <w:rPr>
          <w:rFonts w:hint="eastAsia" w:ascii="MS UI Gothic" w:eastAsia="MS UI Gothic"/>
        </w:rPr>
      </w:pPr>
      <w:r>
        <w:t>县级以上地方人民政府负责煤矿安全生产监督管理的部门</w:t>
      </w:r>
      <w:r>
        <w:rPr>
          <w:rFonts w:hint="eastAsia" w:ascii="MS UI Gothic" w:eastAsia="MS UI Gothic"/>
          <w:w w:val="80"/>
        </w:rPr>
        <w:t xml:space="preserve">、 </w:t>
      </w:r>
      <w:r>
        <w:t>煤矿安全监察机构未履行前款规定的监督检查职责的</w:t>
      </w:r>
      <w:r>
        <w:rPr>
          <w:rFonts w:hint="eastAsia" w:ascii="MS UI Gothic" w:eastAsia="MS UI Gothic"/>
          <w:w w:val="80"/>
        </w:rPr>
        <w:t xml:space="preserve">ꎬ </w:t>
      </w:r>
      <w:r>
        <w:t>对主要负责人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给予警告</w:t>
      </w:r>
      <w:r>
        <w:rPr>
          <w:rFonts w:hint="eastAsia" w:ascii="MS UI Gothic" w:eastAsia="MS UI Gothic"/>
          <w:w w:val="80"/>
        </w:rPr>
        <w:t xml:space="preserve">、 </w:t>
      </w:r>
      <w:r>
        <w:t>记过或者记大过的行政处分</w:t>
      </w:r>
      <w:r>
        <w:rPr>
          <w:rFonts w:hint="eastAsia" w:ascii="MS UI Gothic" w:eastAsia="MS UI Gothic"/>
          <w:w w:val="80"/>
        </w:rPr>
        <w:t>ꎮ</w:t>
      </w:r>
    </w:p>
    <w:p>
      <w:pPr>
        <w:pStyle w:val="6"/>
        <w:spacing w:line="295" w:lineRule="auto"/>
        <w:ind w:right="39"/>
      </w:pPr>
      <w:r>
        <w:rPr>
          <w:spacing w:val="2"/>
          <w:w w:val="105"/>
        </w:rPr>
        <w:t>第十七条 县级以上地方人民政府负</w:t>
      </w:r>
      <w:r>
        <w:rPr>
          <w:spacing w:val="3"/>
          <w:w w:val="105"/>
        </w:rPr>
        <w:t>责煤矿安全生产监督管理的部门</w:t>
      </w:r>
      <w:r>
        <w:rPr>
          <w:rFonts w:hint="eastAsia" w:ascii="MS UI Gothic" w:eastAsia="MS UI Gothic"/>
          <w:spacing w:val="-4"/>
          <w:w w:val="80"/>
        </w:rPr>
        <w:t xml:space="preserve">、 </w:t>
      </w:r>
      <w:r>
        <w:rPr>
          <w:spacing w:val="1"/>
          <w:w w:val="105"/>
        </w:rPr>
        <w:t>煤矿安</w:t>
      </w:r>
      <w:r>
        <w:rPr>
          <w:spacing w:val="2"/>
          <w:w w:val="105"/>
        </w:rPr>
        <w:t>全监察机构在监督检查中</w:t>
      </w:r>
      <w:r>
        <w:rPr>
          <w:rFonts w:hint="eastAsia" w:ascii="MS UI Gothic" w:eastAsia="MS UI Gothic"/>
          <w:spacing w:val="-1"/>
          <w:w w:val="80"/>
        </w:rPr>
        <w:t xml:space="preserve">ꎬ １ </w:t>
      </w:r>
      <w:r>
        <w:rPr>
          <w:spacing w:val="-14"/>
          <w:w w:val="105"/>
        </w:rPr>
        <w:t xml:space="preserve">个月内 </w:t>
      </w:r>
      <w:r>
        <w:rPr>
          <w:rFonts w:hint="eastAsia" w:ascii="MS UI Gothic" w:eastAsia="MS UI Gothic"/>
          <w:spacing w:val="-6"/>
          <w:w w:val="80"/>
        </w:rPr>
        <w:t xml:space="preserve">３ </w:t>
      </w:r>
      <w:r>
        <w:rPr>
          <w:w w:val="105"/>
        </w:rPr>
        <w:t>次</w:t>
      </w:r>
    </w:p>
    <w:p>
      <w:pPr>
        <w:pStyle w:val="6"/>
        <w:spacing w:line="295" w:lineRule="auto"/>
        <w:ind w:right="39" w:firstLine="0"/>
        <w:rPr>
          <w:rFonts w:hint="eastAsia" w:ascii="MS UI Gothic" w:eastAsia="MS UI Gothic"/>
        </w:rPr>
      </w:pPr>
      <w:r>
        <w:rPr>
          <w:spacing w:val="-29"/>
          <w:w w:val="105"/>
        </w:rPr>
        <w:t xml:space="preserve">或者 </w:t>
      </w:r>
      <w:r>
        <w:rPr>
          <w:rFonts w:hint="eastAsia" w:ascii="MS UI Gothic" w:eastAsia="MS UI Gothic"/>
          <w:spacing w:val="-13"/>
          <w:w w:val="80"/>
        </w:rPr>
        <w:t xml:space="preserve">３ </w:t>
      </w:r>
      <w:r>
        <w:rPr>
          <w:spacing w:val="2"/>
          <w:w w:val="105"/>
        </w:rPr>
        <w:t>次以上发现煤矿企业未依照国家有</w:t>
      </w:r>
      <w:r>
        <w:rPr>
          <w:spacing w:val="2"/>
        </w:rPr>
        <w:t>关规定对井下作业人员进行安全生产教育</w:t>
      </w:r>
      <w:r>
        <w:rPr>
          <w:spacing w:val="3"/>
        </w:rPr>
        <w:t>和培训或者特种作业人员无证上岗的</w:t>
      </w:r>
      <w:r>
        <w:rPr>
          <w:rFonts w:hint="eastAsia" w:ascii="MS UI Gothic" w:eastAsia="MS UI Gothic"/>
          <w:spacing w:val="21"/>
          <w:w w:val="80"/>
        </w:rPr>
        <w:t xml:space="preserve">ꎬ </w:t>
      </w:r>
      <w:r>
        <w:t>应</w:t>
      </w:r>
      <w:r>
        <w:rPr>
          <w:spacing w:val="11"/>
        </w:rPr>
        <w:t>当提请有关地方人民政府对该煤矿予以</w:t>
      </w:r>
      <w:r>
        <w:rPr>
          <w:spacing w:val="3"/>
          <w:w w:val="105"/>
        </w:rPr>
        <w:t>关闭</w:t>
      </w:r>
      <w:r>
        <w:rPr>
          <w:rFonts w:hint="eastAsia" w:ascii="MS UI Gothic" w:eastAsia="MS UI Gothic"/>
          <w:w w:val="80"/>
        </w:rPr>
        <w:t>ꎮ</w:t>
      </w:r>
    </w:p>
    <w:p>
      <w:pPr>
        <w:pStyle w:val="6"/>
        <w:spacing w:line="295" w:lineRule="auto"/>
        <w:ind w:right="39"/>
      </w:pPr>
      <w:r>
        <w:rPr>
          <w:w w:val="105"/>
        </w:rPr>
        <w:t>第十八条 煤矿拒不执行县级以上地</w:t>
      </w:r>
      <w:r>
        <w:t>方人民政府负责煤矿安全生产监督管理的</w:t>
      </w:r>
    </w:p>
    <w:p>
      <w:pPr>
        <w:pStyle w:val="6"/>
        <w:spacing w:before="123" w:line="295" w:lineRule="auto"/>
        <w:ind w:right="440" w:firstLine="0"/>
        <w:rPr>
          <w:rFonts w:hint="eastAsia" w:ascii="MS UI Gothic" w:eastAsia="MS UI Gothic"/>
        </w:rPr>
      </w:pPr>
      <w:r>
        <w:br w:type="column"/>
      </w:r>
      <w:r>
        <w:t>部门或者煤矿安全监察机构依法下达的执法指令的</w:t>
      </w:r>
      <w:r>
        <w:rPr>
          <w:rFonts w:hint="eastAsia" w:ascii="MS UI Gothic" w:eastAsia="MS UI Gothic"/>
          <w:w w:val="80"/>
        </w:rPr>
        <w:t xml:space="preserve">ꎬ </w:t>
      </w:r>
      <w:r>
        <w:t>由颁发证照的部门吊销矿长资格证和矿长安全资格证</w:t>
      </w:r>
      <w:r>
        <w:rPr>
          <w:rFonts w:hint="eastAsia" w:ascii="MS UI Gothic" w:eastAsia="MS UI Gothic"/>
          <w:w w:val="80"/>
        </w:rPr>
        <w:t xml:space="preserve">ꎻ </w:t>
      </w:r>
      <w:r>
        <w:t>构成违反治安管理行为的</w:t>
      </w:r>
      <w:r>
        <w:rPr>
          <w:rFonts w:hint="eastAsia" w:ascii="MS UI Gothic" w:eastAsia="MS UI Gothic"/>
          <w:w w:val="80"/>
        </w:rPr>
        <w:t xml:space="preserve">ꎬ </w:t>
      </w:r>
      <w:r>
        <w:t>由公安机关依照治安管理的法律</w:t>
      </w:r>
      <w:r>
        <w:rPr>
          <w:rFonts w:hint="eastAsia" w:ascii="MS UI Gothic" w:eastAsia="MS UI Gothic"/>
          <w:w w:val="80"/>
        </w:rPr>
        <w:t xml:space="preserve">、 </w:t>
      </w:r>
      <w:r>
        <w:t>行政法规的规定处罚</w:t>
      </w:r>
      <w:r>
        <w:rPr>
          <w:rFonts w:hint="eastAsia" w:ascii="MS UI Gothic" w:eastAsia="MS UI Gothic"/>
          <w:w w:val="80"/>
        </w:rPr>
        <w:t xml:space="preserve">ꎻ </w:t>
      </w:r>
      <w:r>
        <w:t>构成犯罪的</w:t>
      </w:r>
      <w:r>
        <w:rPr>
          <w:rFonts w:hint="eastAsia" w:ascii="MS UI Gothic" w:eastAsia="MS UI Gothic"/>
          <w:w w:val="80"/>
        </w:rPr>
        <w:t>ꎬ</w:t>
      </w:r>
      <w:r>
        <w:t>依法追究刑事责任</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第十九条 县级以上地方人民政府负责煤矿安全生产监督管理的部门</w:t>
      </w:r>
      <w:r>
        <w:rPr>
          <w:rFonts w:hint="eastAsia" w:ascii="MS UI Gothic" w:eastAsia="MS UI Gothic"/>
          <w:w w:val="80"/>
        </w:rPr>
        <w:t xml:space="preserve">、 </w:t>
      </w:r>
      <w:r>
        <w:rPr>
          <w:w w:val="105"/>
        </w:rPr>
        <w:t>煤矿安</w:t>
      </w:r>
      <w:r>
        <w:t>全监察机构对被责令停产整顿或者关闭的煤矿</w:t>
      </w:r>
      <w:r>
        <w:rPr>
          <w:rFonts w:hint="eastAsia" w:ascii="MS UI Gothic" w:eastAsia="MS UI Gothic"/>
          <w:w w:val="80"/>
        </w:rPr>
        <w:t xml:space="preserve">ꎬ </w:t>
      </w:r>
      <w:r>
        <w:t>应当自煤矿被责令停产整顿或者关</w:t>
      </w:r>
      <w:r>
        <w:rPr>
          <w:w w:val="105"/>
        </w:rPr>
        <w:t xml:space="preserve">闭之日起 </w:t>
      </w:r>
      <w:r>
        <w:rPr>
          <w:rFonts w:hint="eastAsia" w:ascii="MS UI Gothic" w:eastAsia="MS UI Gothic"/>
          <w:w w:val="80"/>
        </w:rPr>
        <w:t xml:space="preserve">３ </w:t>
      </w:r>
      <w:r>
        <w:rPr>
          <w:w w:val="105"/>
        </w:rPr>
        <w:t>日内在当地主要媒体公告</w:t>
      </w:r>
      <w:r>
        <w:rPr>
          <w:rFonts w:hint="eastAsia" w:ascii="MS UI Gothic" w:eastAsia="MS UI Gothic"/>
          <w:w w:val="80"/>
        </w:rPr>
        <w:t>ꎮ</w:t>
      </w:r>
    </w:p>
    <w:p>
      <w:pPr>
        <w:pStyle w:val="6"/>
        <w:spacing w:line="295" w:lineRule="auto"/>
        <w:ind w:right="442"/>
        <w:rPr>
          <w:rFonts w:hint="eastAsia" w:ascii="MS UI Gothic" w:eastAsia="MS UI Gothic"/>
        </w:rPr>
      </w:pPr>
      <w:r>
        <w:t>被责令停产整顿的煤矿经验收合格恢复生产的</w:t>
      </w:r>
      <w:r>
        <w:rPr>
          <w:rFonts w:hint="eastAsia" w:ascii="MS UI Gothic" w:eastAsia="MS UI Gothic"/>
          <w:w w:val="80"/>
        </w:rPr>
        <w:t xml:space="preserve">ꎬ </w:t>
      </w:r>
      <w:r>
        <w:t>县级以上地方人民政府负责煤</w:t>
      </w:r>
      <w:r>
        <w:rPr>
          <w:w w:val="105"/>
        </w:rPr>
        <w:t>矿安全生产监督管理的部门</w:t>
      </w:r>
      <w:r>
        <w:rPr>
          <w:rFonts w:hint="eastAsia" w:ascii="MS UI Gothic" w:eastAsia="MS UI Gothic"/>
          <w:w w:val="80"/>
        </w:rPr>
        <w:t xml:space="preserve">、 </w:t>
      </w:r>
      <w:r>
        <w:rPr>
          <w:w w:val="105"/>
        </w:rPr>
        <w:t>煤矿安全监</w:t>
      </w:r>
      <w:r>
        <w:t>察机构应当自煤矿验收合格恢复生产之日</w:t>
      </w:r>
      <w:r>
        <w:rPr>
          <w:w w:val="105"/>
        </w:rPr>
        <w:t xml:space="preserve">起 </w:t>
      </w:r>
      <w:r>
        <w:rPr>
          <w:rFonts w:hint="eastAsia" w:ascii="MS UI Gothic" w:eastAsia="MS UI Gothic"/>
          <w:w w:val="80"/>
        </w:rPr>
        <w:t xml:space="preserve">３ </w:t>
      </w:r>
      <w:r>
        <w:rPr>
          <w:w w:val="105"/>
        </w:rPr>
        <w:t>日内在同一媒体公告</w:t>
      </w:r>
      <w:r>
        <w:rPr>
          <w:rFonts w:hint="eastAsia" w:ascii="MS UI Gothic" w:eastAsia="MS UI Gothic"/>
          <w:w w:val="80"/>
        </w:rPr>
        <w:t>ꎮ</w:t>
      </w:r>
    </w:p>
    <w:p>
      <w:pPr>
        <w:pStyle w:val="6"/>
        <w:spacing w:line="295" w:lineRule="auto"/>
        <w:ind w:right="442"/>
        <w:rPr>
          <w:rFonts w:hint="eastAsia" w:ascii="MS UI Gothic" w:eastAsia="MS UI Gothic"/>
        </w:rPr>
      </w:pPr>
      <w:r>
        <w:t>县级以上地方人民政府负责煤矿安全生产监督管理的部门</w:t>
      </w:r>
      <w:r>
        <w:rPr>
          <w:rFonts w:hint="eastAsia" w:ascii="MS UI Gothic" w:eastAsia="MS UI Gothic"/>
          <w:w w:val="80"/>
        </w:rPr>
        <w:t xml:space="preserve">、 </w:t>
      </w:r>
      <w:r>
        <w:t>煤矿安全监察机构未依照本条第一款</w:t>
      </w:r>
      <w:r>
        <w:rPr>
          <w:rFonts w:hint="eastAsia" w:ascii="MS UI Gothic" w:eastAsia="MS UI Gothic"/>
          <w:w w:val="80"/>
        </w:rPr>
        <w:t xml:space="preserve">、 </w:t>
      </w:r>
      <w:r>
        <w:t>第二款规定进行公告的</w:t>
      </w:r>
      <w:r>
        <w:rPr>
          <w:rFonts w:hint="eastAsia" w:ascii="MS UI Gothic" w:eastAsia="MS UI Gothic"/>
          <w:w w:val="80"/>
        </w:rPr>
        <w:t xml:space="preserve">ꎬ </w:t>
      </w:r>
      <w:r>
        <w:t>对有关负责人</w:t>
      </w:r>
      <w:r>
        <w:rPr>
          <w:rFonts w:hint="eastAsia" w:ascii="MS UI Gothic" w:eastAsia="MS UI Gothic"/>
          <w:w w:val="80"/>
        </w:rPr>
        <w:t xml:space="preserve">ꎬ </w:t>
      </w:r>
      <w:r>
        <w:t>根据情节轻重</w:t>
      </w:r>
      <w:r>
        <w:rPr>
          <w:rFonts w:hint="eastAsia" w:ascii="MS UI Gothic" w:eastAsia="MS UI Gothic"/>
          <w:w w:val="80"/>
        </w:rPr>
        <w:t xml:space="preserve">ꎬ </w:t>
      </w:r>
      <w:r>
        <w:t>给予警告</w:t>
      </w:r>
      <w:r>
        <w:rPr>
          <w:rFonts w:hint="eastAsia" w:ascii="MS UI Gothic" w:eastAsia="MS UI Gothic"/>
          <w:w w:val="80"/>
        </w:rPr>
        <w:t xml:space="preserve">、 </w:t>
      </w:r>
      <w:r>
        <w:t>记过</w:t>
      </w:r>
      <w:r>
        <w:rPr>
          <w:rFonts w:hint="eastAsia" w:ascii="MS UI Gothic" w:eastAsia="MS UI Gothic"/>
          <w:w w:val="80"/>
        </w:rPr>
        <w:t xml:space="preserve">、  </w:t>
      </w:r>
      <w:r>
        <w:t>记大过或者降级的行政处分</w:t>
      </w:r>
      <w:r>
        <w:rPr>
          <w:rFonts w:hint="eastAsia" w:ascii="MS UI Gothic" w:eastAsia="MS UI Gothic"/>
          <w:w w:val="80"/>
        </w:rPr>
        <w:t>ꎮ</w:t>
      </w:r>
    </w:p>
    <w:p>
      <w:pPr>
        <w:pStyle w:val="6"/>
        <w:spacing w:line="251" w:lineRule="exact"/>
        <w:ind w:left="543" w:firstLine="0"/>
        <w:jc w:val="left"/>
        <w:rPr>
          <w:rFonts w:hint="eastAsia" w:ascii="MS UI Gothic" w:eastAsia="MS UI Gothic"/>
        </w:rPr>
      </w:pPr>
      <w:r>
        <w:t>公告所需费用由同级财政列支</w:t>
      </w:r>
      <w:r>
        <w:rPr>
          <w:rFonts w:hint="eastAsia" w:ascii="MS UI Gothic" w:eastAsia="MS UI Gothic"/>
          <w:w w:val="80"/>
        </w:rPr>
        <w:t>ꎮ</w:t>
      </w:r>
    </w:p>
    <w:p>
      <w:pPr>
        <w:pStyle w:val="6"/>
        <w:spacing w:before="46" w:line="295" w:lineRule="auto"/>
        <w:ind w:right="442"/>
        <w:rPr>
          <w:rFonts w:hint="eastAsia" w:ascii="MS UI Gothic" w:eastAsia="MS UI Gothic"/>
        </w:rPr>
      </w:pPr>
      <w:r>
        <w:rPr>
          <w:spacing w:val="2"/>
          <w:w w:val="105"/>
        </w:rPr>
        <w:t>第二十条 国家机关工作人员和国有</w:t>
      </w:r>
      <w:r>
        <w:rPr>
          <w:spacing w:val="2"/>
        </w:rPr>
        <w:t>企业负责人不得违反国家规定投资入股煤</w:t>
      </w:r>
      <w:r>
        <w:rPr>
          <w:spacing w:val="-17"/>
          <w:w w:val="105"/>
        </w:rPr>
        <w:t xml:space="preserve">矿 </w:t>
      </w:r>
      <w:r>
        <w:rPr>
          <w:rFonts w:hint="eastAsia" w:ascii="MS UI Gothic" w:eastAsia="MS UI Gothic"/>
          <w:spacing w:val="-39"/>
          <w:w w:val="150"/>
        </w:rPr>
        <w:t xml:space="preserve">( </w:t>
      </w:r>
      <w:r>
        <w:rPr>
          <w:spacing w:val="5"/>
          <w:w w:val="105"/>
        </w:rPr>
        <w:t>依法取得上市公司股票的除外</w:t>
      </w:r>
      <w:r>
        <w:rPr>
          <w:rFonts w:hint="eastAsia" w:ascii="MS UI Gothic" w:eastAsia="MS UI Gothic"/>
          <w:spacing w:val="-39"/>
          <w:w w:val="150"/>
        </w:rPr>
        <w:t xml:space="preserve">) </w:t>
      </w:r>
      <w:r>
        <w:rPr>
          <w:rFonts w:hint="eastAsia" w:ascii="MS UI Gothic" w:eastAsia="MS UI Gothic"/>
          <w:spacing w:val="12"/>
          <w:w w:val="80"/>
        </w:rPr>
        <w:t xml:space="preserve">ꎬ </w:t>
      </w:r>
      <w:r>
        <w:rPr>
          <w:w w:val="105"/>
        </w:rPr>
        <w:t>不</w:t>
      </w:r>
      <w:r>
        <w:rPr>
          <w:spacing w:val="3"/>
          <w:w w:val="105"/>
        </w:rPr>
        <w:t>得对煤矿的违法行为予以纵容</w:t>
      </w:r>
      <w:r>
        <w:rPr>
          <w:rFonts w:hint="eastAsia" w:ascii="MS UI Gothic" w:eastAsia="MS UI Gothic"/>
          <w:spacing w:val="13"/>
          <w:w w:val="80"/>
        </w:rPr>
        <w:t xml:space="preserve">、 </w:t>
      </w:r>
      <w:r>
        <w:rPr>
          <w:spacing w:val="3"/>
          <w:w w:val="105"/>
        </w:rPr>
        <w:t>包庇</w:t>
      </w:r>
      <w:r>
        <w:rPr>
          <w:rFonts w:hint="eastAsia" w:ascii="MS UI Gothic" w:eastAsia="MS UI Gothic"/>
          <w:w w:val="80"/>
        </w:rPr>
        <w:t>ꎮ</w:t>
      </w:r>
    </w:p>
    <w:p>
      <w:pPr>
        <w:pStyle w:val="6"/>
        <w:spacing w:line="295" w:lineRule="auto"/>
        <w:ind w:right="442"/>
        <w:rPr>
          <w:rFonts w:hint="eastAsia" w:ascii="MS UI Gothic" w:eastAsia="MS UI Gothic"/>
        </w:rPr>
      </w:pPr>
      <w:r>
        <w:t>国家行政机关工作人员和国有企业负责人违反前款规定的</w:t>
      </w:r>
      <w:r>
        <w:rPr>
          <w:rFonts w:hint="eastAsia" w:ascii="MS UI Gothic" w:eastAsia="MS UI Gothic"/>
          <w:w w:val="80"/>
        </w:rPr>
        <w:t xml:space="preserve">ꎬ </w:t>
      </w:r>
      <w:r>
        <w:t>根据情节轻重</w:t>
      </w:r>
      <w:r>
        <w:rPr>
          <w:rFonts w:hint="eastAsia" w:ascii="MS UI Gothic" w:eastAsia="MS UI Gothic"/>
          <w:w w:val="80"/>
        </w:rPr>
        <w:t xml:space="preserve">ꎬ </w:t>
      </w:r>
      <w:r>
        <w:t>给予降级</w:t>
      </w:r>
      <w:r>
        <w:rPr>
          <w:rFonts w:hint="eastAsia" w:ascii="MS UI Gothic" w:eastAsia="MS UI Gothic"/>
          <w:w w:val="80"/>
        </w:rPr>
        <w:t xml:space="preserve">、 </w:t>
      </w:r>
      <w:r>
        <w:t>撤职或者开除的处分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第二十一条 煤矿企业负责人和生产</w:t>
      </w:r>
      <w:r>
        <w:t>经营管理人员应当按照国家规定轮流带班</w:t>
      </w:r>
      <w:r>
        <w:rPr>
          <w:w w:val="105"/>
        </w:rPr>
        <w:t>下井</w:t>
      </w:r>
      <w:r>
        <w:rPr>
          <w:rFonts w:hint="eastAsia" w:ascii="MS UI Gothic" w:eastAsia="MS UI Gothic"/>
          <w:w w:val="80"/>
        </w:rPr>
        <w:t xml:space="preserve">ꎬ </w:t>
      </w:r>
      <w:r>
        <w:rPr>
          <w:w w:val="105"/>
        </w:rPr>
        <w:t>并建立下井登记档案</w:t>
      </w:r>
      <w:r>
        <w:rPr>
          <w:rFonts w:hint="eastAsia" w:ascii="MS UI Gothic" w:eastAsia="MS UI Gothic"/>
          <w:w w:val="80"/>
        </w:rPr>
        <w:t>ꎮ</w:t>
      </w:r>
    </w:p>
    <w:p>
      <w:pPr>
        <w:pStyle w:val="6"/>
        <w:spacing w:line="295" w:lineRule="auto"/>
        <w:ind w:right="442"/>
      </w:pPr>
      <w:r>
        <w:t>县级以上地方人民政府负责煤矿安全生产监督管理的部门或者煤矿安全监察机构发现煤矿企业在生产过程中</w:t>
      </w:r>
      <w:r>
        <w:rPr>
          <w:rFonts w:hint="eastAsia" w:ascii="MS UI Gothic" w:eastAsia="MS UI Gothic"/>
          <w:w w:val="80"/>
        </w:rPr>
        <w:t xml:space="preserve">ꎬ １ </w:t>
      </w:r>
      <w:r>
        <w:t>周内其负责人或者生产经营管理人员没有按照国家规定带班下井</w:t>
      </w:r>
      <w:r>
        <w:rPr>
          <w:rFonts w:hint="eastAsia" w:ascii="MS UI Gothic" w:eastAsia="MS UI Gothic"/>
          <w:w w:val="80"/>
        </w:rPr>
        <w:t xml:space="preserve">ꎬ </w:t>
      </w:r>
      <w:r>
        <w:t>或者下井登记档案虚假</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２２７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11" o:spid="_x0000_s1711" o:spt="203" style="height:2.15pt;width:398.25pt;" coordsize="7965,43">
            <o:lock v:ext="edit"/>
            <v:line id="_x0000_s1712" o:spid="_x0000_s1712" o:spt="20" style="position:absolute;left:0;top:39;height:0;width:7965;" stroked="t" coordsize="21600,21600">
              <v:path arrowok="t"/>
              <v:fill focussize="0,0"/>
              <v:stroke weight="0.388031496062992pt" color="#231F20"/>
              <v:imagedata o:title=""/>
              <o:lock v:ext="edit"/>
            </v:line>
            <v:line id="_x0000_s1713" o:spid="_x0000_s171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jc w:val="left"/>
        <w:rPr>
          <w:rFonts w:hint="eastAsia" w:ascii="MS UI Gothic" w:eastAsia="MS UI Gothic"/>
        </w:rPr>
      </w:pPr>
      <w:r>
        <w:t>的</w:t>
      </w:r>
      <w:r>
        <w:rPr>
          <w:rFonts w:hint="eastAsia" w:ascii="MS UI Gothic" w:eastAsia="MS UI Gothic"/>
          <w:w w:val="85"/>
        </w:rPr>
        <w:t xml:space="preserve">ꎬ </w:t>
      </w:r>
      <w:r>
        <w:t>责令改正</w:t>
      </w:r>
      <w:r>
        <w:rPr>
          <w:rFonts w:hint="eastAsia" w:ascii="MS UI Gothic" w:eastAsia="MS UI Gothic"/>
          <w:w w:val="85"/>
        </w:rPr>
        <w:t xml:space="preserve">ꎬ </w:t>
      </w:r>
      <w:r>
        <w:t xml:space="preserve">并对该煤矿企业处 </w:t>
      </w:r>
      <w:r>
        <w:rPr>
          <w:rFonts w:hint="eastAsia" w:ascii="MS UI Gothic" w:eastAsia="MS UI Gothic"/>
          <w:w w:val="85"/>
        </w:rPr>
        <w:t xml:space="preserve">３ </w:t>
      </w:r>
      <w:r>
        <w:t xml:space="preserve">万元以上 </w:t>
      </w:r>
      <w:r>
        <w:rPr>
          <w:rFonts w:hint="eastAsia" w:ascii="MS UI Gothic" w:eastAsia="MS UI Gothic"/>
          <w:w w:val="85"/>
        </w:rPr>
        <w:t xml:space="preserve">１５ </w:t>
      </w:r>
      <w:r>
        <w:t>万元以下的罚款</w:t>
      </w:r>
      <w:r>
        <w:rPr>
          <w:rFonts w:hint="eastAsia" w:ascii="MS UI Gothic" w:eastAsia="MS UI Gothic"/>
          <w:w w:val="85"/>
        </w:rPr>
        <w:t>ꎮ</w:t>
      </w:r>
    </w:p>
    <w:p>
      <w:pPr>
        <w:pStyle w:val="6"/>
        <w:spacing w:line="295" w:lineRule="auto"/>
        <w:ind w:left="440"/>
        <w:rPr>
          <w:rFonts w:hint="eastAsia" w:ascii="MS UI Gothic" w:eastAsia="MS UI Gothic"/>
        </w:rPr>
      </w:pPr>
      <w:r>
        <w:rPr>
          <w:w w:val="105"/>
        </w:rPr>
        <w:t>第二十二条 煤矿企业应当免费为每位职工发放煤矿职工安全手册</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煤矿职工安全手册应当载明职工的权</w:t>
      </w:r>
      <w:r>
        <w:rPr>
          <w:spacing w:val="3"/>
        </w:rPr>
        <w:t>利</w:t>
      </w:r>
      <w:r>
        <w:rPr>
          <w:rFonts w:hint="eastAsia" w:ascii="MS UI Gothic" w:eastAsia="MS UI Gothic"/>
          <w:spacing w:val="11"/>
          <w:w w:val="80"/>
        </w:rPr>
        <w:t xml:space="preserve">、 </w:t>
      </w:r>
      <w:r>
        <w:rPr>
          <w:spacing w:val="3"/>
        </w:rPr>
        <w:t>义务</w:t>
      </w:r>
      <w:r>
        <w:rPr>
          <w:rFonts w:hint="eastAsia" w:ascii="MS UI Gothic" w:eastAsia="MS UI Gothic"/>
          <w:spacing w:val="11"/>
          <w:w w:val="80"/>
        </w:rPr>
        <w:t xml:space="preserve">ꎬ </w:t>
      </w:r>
      <w:r>
        <w:rPr>
          <w:spacing w:val="2"/>
        </w:rPr>
        <w:t>煤矿重大安全生产隐患的情形</w:t>
      </w:r>
      <w:r>
        <w:rPr>
          <w:spacing w:val="3"/>
        </w:rPr>
        <w:t>和应急保护措施</w:t>
      </w:r>
      <w:r>
        <w:rPr>
          <w:rFonts w:hint="eastAsia" w:ascii="MS UI Gothic" w:eastAsia="MS UI Gothic"/>
          <w:spacing w:val="20"/>
          <w:w w:val="80"/>
        </w:rPr>
        <w:t xml:space="preserve">、 </w:t>
      </w:r>
      <w:r>
        <w:rPr>
          <w:spacing w:val="2"/>
        </w:rPr>
        <w:t>方法以及安全生产隐患</w:t>
      </w:r>
      <w:r>
        <w:rPr>
          <w:spacing w:val="3"/>
        </w:rPr>
        <w:t>和违法行为的举报电话</w:t>
      </w:r>
      <w:r>
        <w:rPr>
          <w:rFonts w:hint="eastAsia" w:ascii="MS UI Gothic" w:eastAsia="MS UI Gothic"/>
          <w:spacing w:val="5"/>
          <w:w w:val="80"/>
        </w:rPr>
        <w:t xml:space="preserve">、 </w:t>
      </w:r>
      <w:r>
        <w:rPr>
          <w:spacing w:val="3"/>
        </w:rPr>
        <w:t>受理部门</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煤矿企业没有为每位职工发放符合要</w:t>
      </w:r>
      <w:r>
        <w:rPr>
          <w:spacing w:val="3"/>
        </w:rPr>
        <w:t>求的职工安全手册的</w:t>
      </w:r>
      <w:r>
        <w:rPr>
          <w:rFonts w:hint="eastAsia" w:ascii="MS UI Gothic" w:eastAsia="MS UI Gothic"/>
          <w:spacing w:val="21"/>
          <w:w w:val="80"/>
        </w:rPr>
        <w:t xml:space="preserve">ꎬ </w:t>
      </w:r>
      <w:r>
        <w:rPr>
          <w:spacing w:val="2"/>
        </w:rPr>
        <w:t>由县级以上地方人民政府负责煤矿安全生产监督管理的部门</w:t>
      </w:r>
      <w:r>
        <w:rPr>
          <w:spacing w:val="3"/>
        </w:rPr>
        <w:t>或者煤矿安全监察机构责令限期改正</w:t>
      </w:r>
      <w:r>
        <w:rPr>
          <w:rFonts w:hint="eastAsia" w:ascii="MS UI Gothic" w:eastAsia="MS UI Gothic"/>
          <w:spacing w:val="21"/>
          <w:w w:val="80"/>
        </w:rPr>
        <w:t xml:space="preserve">ꎻ </w:t>
      </w:r>
      <w:r>
        <w:t>逾</w:t>
      </w:r>
      <w:r>
        <w:rPr>
          <w:spacing w:val="3"/>
        </w:rPr>
        <w:t>期未改正的</w:t>
      </w:r>
      <w:r>
        <w:rPr>
          <w:rFonts w:hint="eastAsia" w:ascii="MS UI Gothic" w:eastAsia="MS UI Gothic"/>
          <w:w w:val="80"/>
        </w:rPr>
        <w:t xml:space="preserve">ꎬ </w:t>
      </w:r>
      <w:r>
        <w:rPr>
          <w:spacing w:val="-27"/>
        </w:rPr>
        <w:t xml:space="preserve">处 </w:t>
      </w:r>
      <w:r>
        <w:rPr>
          <w:rFonts w:hint="eastAsia" w:ascii="MS UI Gothic" w:eastAsia="MS UI Gothic"/>
          <w:spacing w:val="3"/>
          <w:w w:val="80"/>
        </w:rPr>
        <w:t xml:space="preserve">５ </w:t>
      </w:r>
      <w:r>
        <w:rPr>
          <w:spacing w:val="3"/>
        </w:rPr>
        <w:t>万元以下的罚款</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第二十三条 任何单位和个人发现煤</w:t>
      </w:r>
      <w:r>
        <w:t>矿有本规定第五条第一款和第八条第二款所列情形之一的</w:t>
      </w:r>
      <w:r>
        <w:rPr>
          <w:rFonts w:hint="eastAsia" w:ascii="MS UI Gothic" w:eastAsia="MS UI Gothic"/>
          <w:w w:val="80"/>
        </w:rPr>
        <w:t xml:space="preserve">ꎬ </w:t>
      </w:r>
      <w:r>
        <w:t>都有权向县级以上地方人民政府负责煤矿安全生产监督管理的部</w:t>
      </w:r>
      <w:r>
        <w:rPr>
          <w:w w:val="105"/>
        </w:rPr>
        <w:t>门或者煤矿安全监察机构举报</w:t>
      </w:r>
      <w:r>
        <w:rPr>
          <w:rFonts w:hint="eastAsia" w:ascii="MS UI Gothic" w:eastAsia="MS UI Gothic"/>
          <w:w w:val="80"/>
        </w:rPr>
        <w:t>ꎮ</w:t>
      </w:r>
    </w:p>
    <w:p>
      <w:pPr>
        <w:pStyle w:val="6"/>
        <w:spacing w:line="295" w:lineRule="auto"/>
        <w:ind w:left="435" w:firstLine="425"/>
        <w:rPr>
          <w:rFonts w:hint="eastAsia" w:ascii="MS UI Gothic" w:eastAsia="MS UI Gothic"/>
        </w:rPr>
      </w:pPr>
      <w:r>
        <w:rPr>
          <w:w w:val="95"/>
        </w:rPr>
        <w:t>受理的举报经调查属实的</w:t>
      </w:r>
      <w:r>
        <w:rPr>
          <w:rFonts w:hint="eastAsia" w:ascii="MS UI Gothic" w:eastAsia="MS UI Gothic"/>
          <w:w w:val="90"/>
        </w:rPr>
        <w:t xml:space="preserve">ꎬ  </w:t>
      </w:r>
      <w:r>
        <w:rPr>
          <w:w w:val="95"/>
        </w:rPr>
        <w:t>受理举报的部门或者机构应当给予最先举报人</w:t>
      </w:r>
      <w:r>
        <w:rPr>
          <w:rFonts w:hint="eastAsia" w:ascii="MS UI Gothic" w:eastAsia="MS UI Gothic"/>
          <w:w w:val="95"/>
        </w:rPr>
        <w:t xml:space="preserve">１０００ </w:t>
      </w:r>
      <w:r>
        <w:rPr>
          <w:w w:val="95"/>
        </w:rPr>
        <w:t xml:space="preserve">元至 </w:t>
      </w:r>
      <w:r>
        <w:rPr>
          <w:rFonts w:hint="eastAsia" w:ascii="MS UI Gothic" w:eastAsia="MS UI Gothic"/>
          <w:w w:val="95"/>
        </w:rPr>
        <w:t xml:space="preserve">１ </w:t>
      </w:r>
      <w:r>
        <w:rPr>
          <w:w w:val="95"/>
        </w:rPr>
        <w:t>万元的奖励</w:t>
      </w:r>
      <w:r>
        <w:rPr>
          <w:rFonts w:hint="eastAsia" w:ascii="MS UI Gothic" w:eastAsia="MS UI Gothic"/>
          <w:w w:val="90"/>
        </w:rPr>
        <w:t xml:space="preserve">ꎬ </w:t>
      </w:r>
      <w:r>
        <w:rPr>
          <w:w w:val="95"/>
        </w:rPr>
        <w:t>所需费用由同级财政列支</w:t>
      </w:r>
      <w:r>
        <w:rPr>
          <w:rFonts w:hint="eastAsia" w:ascii="MS UI Gothic" w:eastAsia="MS UI Gothic"/>
          <w:w w:val="90"/>
        </w:rPr>
        <w:t>ꎮ</w:t>
      </w:r>
    </w:p>
    <w:p>
      <w:pPr>
        <w:pStyle w:val="6"/>
        <w:spacing w:line="295" w:lineRule="auto"/>
        <w:ind w:left="440"/>
        <w:jc w:val="left"/>
      </w:pPr>
      <w:r>
        <w:t>县级以上地方人民政府负责煤矿安全生产监督管理的部门或者煤矿安全监察机</w:t>
      </w:r>
    </w:p>
    <w:p>
      <w:pPr>
        <w:pStyle w:val="6"/>
        <w:ind w:left="0" w:firstLine="0"/>
        <w:jc w:val="left"/>
        <w:rPr>
          <w:sz w:val="22"/>
        </w:rPr>
      </w:pPr>
    </w:p>
    <w:p>
      <w:pPr>
        <w:pStyle w:val="4"/>
        <w:spacing w:before="0"/>
        <w:ind w:left="440"/>
        <w:jc w:val="left"/>
      </w:pPr>
      <w:r>
        <w:t>煤矿安全规章</w:t>
      </w:r>
    </w:p>
    <w:p>
      <w:pPr>
        <w:pStyle w:val="6"/>
        <w:spacing w:before="124" w:line="295" w:lineRule="auto"/>
        <w:ind w:left="383" w:right="126" w:firstLine="0"/>
        <w:rPr>
          <w:rFonts w:hint="eastAsia" w:ascii="MS UI Gothic" w:eastAsia="MS UI Gothic"/>
        </w:rPr>
      </w:pPr>
      <w:r>
        <w:br w:type="column"/>
      </w:r>
      <w:r>
        <w:t>构接到举报后</w:t>
      </w:r>
      <w:r>
        <w:rPr>
          <w:rFonts w:hint="eastAsia" w:ascii="MS UI Gothic" w:eastAsia="MS UI Gothic"/>
          <w:w w:val="80"/>
        </w:rPr>
        <w:t xml:space="preserve">ꎬ </w:t>
      </w:r>
      <w:r>
        <w:t>应当及时调查处理</w:t>
      </w:r>
      <w:r>
        <w:rPr>
          <w:rFonts w:hint="eastAsia" w:ascii="MS UI Gothic" w:eastAsia="MS UI Gothic"/>
          <w:w w:val="80"/>
        </w:rPr>
        <w:t xml:space="preserve">ꎻ </w:t>
      </w:r>
      <w:r>
        <w:t>不及时调查处理的</w:t>
      </w:r>
      <w:r>
        <w:rPr>
          <w:rFonts w:hint="eastAsia" w:ascii="MS UI Gothic" w:eastAsia="MS UI Gothic"/>
          <w:w w:val="80"/>
        </w:rPr>
        <w:t xml:space="preserve">ꎬ </w:t>
      </w:r>
      <w:r>
        <w:t>对有关责任人</w:t>
      </w:r>
      <w:r>
        <w:rPr>
          <w:rFonts w:hint="eastAsia" w:ascii="MS UI Gothic" w:eastAsia="MS UI Gothic"/>
          <w:w w:val="80"/>
        </w:rPr>
        <w:t xml:space="preserve">ꎬ </w:t>
      </w:r>
      <w:r>
        <w:t>根据情节轻重</w:t>
      </w:r>
      <w:r>
        <w:rPr>
          <w:rFonts w:hint="eastAsia" w:ascii="MS UI Gothic" w:eastAsia="MS UI Gothic"/>
          <w:w w:val="80"/>
        </w:rPr>
        <w:t xml:space="preserve">ꎬ </w:t>
      </w:r>
      <w:r>
        <w:t>给予警告</w:t>
      </w:r>
      <w:r>
        <w:rPr>
          <w:rFonts w:hint="eastAsia" w:ascii="MS UI Gothic" w:eastAsia="MS UI Gothic"/>
        </w:rPr>
        <w:t xml:space="preserve">、 </w:t>
      </w:r>
      <w:r>
        <w:t>记过</w:t>
      </w:r>
      <w:r>
        <w:rPr>
          <w:rFonts w:hint="eastAsia" w:ascii="MS UI Gothic" w:eastAsia="MS UI Gothic"/>
        </w:rPr>
        <w:t xml:space="preserve">、 </w:t>
      </w:r>
      <w:r>
        <w:t>记大过或者降级的行政处分</w:t>
      </w:r>
      <w:r>
        <w:rPr>
          <w:rFonts w:hint="eastAsia" w:ascii="MS UI Gothic" w:eastAsia="MS UI Gothic"/>
          <w:w w:val="80"/>
        </w:rPr>
        <w:t>ꎮ</w:t>
      </w:r>
    </w:p>
    <w:p>
      <w:pPr>
        <w:pStyle w:val="6"/>
        <w:spacing w:line="295" w:lineRule="auto"/>
        <w:ind w:left="383" w:right="126"/>
        <w:rPr>
          <w:rFonts w:hint="eastAsia" w:ascii="MS UI Gothic" w:eastAsia="MS UI Gothic"/>
        </w:rPr>
      </w:pPr>
      <w:r>
        <w:t>第二十四条 煤矿有违反本规定的违法行为</w:t>
      </w:r>
      <w:r>
        <w:rPr>
          <w:rFonts w:hint="eastAsia" w:ascii="MS UI Gothic" w:eastAsia="MS UI Gothic"/>
          <w:w w:val="80"/>
        </w:rPr>
        <w:t xml:space="preserve">ꎬ </w:t>
      </w:r>
      <w:r>
        <w:t>法律规定由有关部门查处的</w:t>
      </w:r>
      <w:r>
        <w:rPr>
          <w:rFonts w:hint="eastAsia" w:ascii="MS UI Gothic" w:eastAsia="MS UI Gothic"/>
          <w:w w:val="80"/>
        </w:rPr>
        <w:t xml:space="preserve">ꎬ </w:t>
      </w:r>
      <w:r>
        <w:t>有关部门应当依法进行查处</w:t>
      </w:r>
      <w:r>
        <w:rPr>
          <w:rFonts w:hint="eastAsia" w:ascii="MS UI Gothic" w:eastAsia="MS UI Gothic"/>
          <w:w w:val="80"/>
        </w:rPr>
        <w:t xml:space="preserve">ꎮ </w:t>
      </w:r>
      <w:r>
        <w:t>但是</w:t>
      </w:r>
      <w:r>
        <w:rPr>
          <w:rFonts w:hint="eastAsia" w:ascii="MS UI Gothic" w:eastAsia="MS UI Gothic"/>
          <w:w w:val="80"/>
        </w:rPr>
        <w:t xml:space="preserve">ꎬ </w:t>
      </w:r>
      <w:r>
        <w:t>对同一违法行为不得给予两次以上罚款的行政处罚</w:t>
      </w:r>
      <w:r>
        <w:rPr>
          <w:rFonts w:hint="eastAsia" w:ascii="MS UI Gothic" w:eastAsia="MS UI Gothic"/>
          <w:w w:val="80"/>
        </w:rPr>
        <w:t>ꎮ</w:t>
      </w:r>
    </w:p>
    <w:p>
      <w:pPr>
        <w:pStyle w:val="6"/>
        <w:spacing w:line="295" w:lineRule="auto"/>
        <w:ind w:left="383" w:right="126"/>
        <w:rPr>
          <w:rFonts w:hint="eastAsia" w:ascii="MS UI Gothic" w:eastAsia="MS UI Gothic"/>
        </w:rPr>
      </w:pPr>
      <w:r>
        <w:t>第二十五条  国家行政机关工作人员</w:t>
      </w:r>
      <w:r>
        <w:rPr>
          <w:rFonts w:hint="eastAsia" w:ascii="MS UI Gothic" w:eastAsia="MS UI Gothic"/>
          <w:w w:val="80"/>
        </w:rPr>
        <w:t xml:space="preserve">、 </w:t>
      </w:r>
      <w:r>
        <w:t>国有企业负责人有违反本规定的行为</w:t>
      </w:r>
      <w:r>
        <w:rPr>
          <w:rFonts w:hint="eastAsia" w:ascii="MS UI Gothic" w:eastAsia="MS UI Gothic"/>
          <w:w w:val="80"/>
        </w:rPr>
        <w:t xml:space="preserve">ꎬ </w:t>
      </w:r>
      <w:r>
        <w:t>依照本规定应当给予处分的</w:t>
      </w:r>
      <w:r>
        <w:rPr>
          <w:rFonts w:hint="eastAsia" w:ascii="MS UI Gothic" w:eastAsia="MS UI Gothic"/>
          <w:w w:val="80"/>
        </w:rPr>
        <w:t xml:space="preserve">ꎬ </w:t>
      </w:r>
      <w:r>
        <w:t>由监察机关或者任免机关依法作出处分决定</w:t>
      </w:r>
      <w:r>
        <w:rPr>
          <w:rFonts w:hint="eastAsia" w:ascii="MS UI Gothic" w:eastAsia="MS UI Gothic"/>
          <w:w w:val="80"/>
        </w:rPr>
        <w:t>ꎮ</w:t>
      </w:r>
    </w:p>
    <w:p>
      <w:pPr>
        <w:pStyle w:val="6"/>
        <w:spacing w:line="295" w:lineRule="auto"/>
        <w:ind w:left="383" w:right="126"/>
        <w:rPr>
          <w:rFonts w:hint="eastAsia" w:ascii="MS UI Gothic" w:eastAsia="MS UI Gothic"/>
        </w:rPr>
      </w:pPr>
      <w:r>
        <w:t>国家行政机关工作人员</w:t>
      </w:r>
      <w:r>
        <w:rPr>
          <w:rFonts w:hint="eastAsia" w:ascii="MS UI Gothic" w:eastAsia="MS UI Gothic"/>
          <w:w w:val="80"/>
        </w:rPr>
        <w:t xml:space="preserve">、 </w:t>
      </w:r>
      <w:r>
        <w:t>国有企业负责人对处分决定不服的</w:t>
      </w:r>
      <w:r>
        <w:rPr>
          <w:rFonts w:hint="eastAsia" w:ascii="MS UI Gothic" w:eastAsia="MS UI Gothic"/>
          <w:w w:val="80"/>
        </w:rPr>
        <w:t xml:space="preserve">ꎬ </w:t>
      </w:r>
      <w:r>
        <w:t>可以依法提出申诉</w:t>
      </w:r>
      <w:r>
        <w:rPr>
          <w:rFonts w:hint="eastAsia" w:ascii="MS UI Gothic" w:eastAsia="MS UI Gothic"/>
          <w:w w:val="80"/>
        </w:rPr>
        <w:t>ꎮ</w:t>
      </w:r>
    </w:p>
    <w:p>
      <w:pPr>
        <w:pStyle w:val="6"/>
        <w:spacing w:line="295" w:lineRule="auto"/>
        <w:ind w:left="383" w:right="126"/>
        <w:rPr>
          <w:rFonts w:hint="eastAsia" w:ascii="MS UI Gothic" w:eastAsia="MS UI Gothic"/>
        </w:rPr>
      </w:pPr>
      <w:r>
        <w:t>第二十六条 当事人对行政处罚决定不服的</w:t>
      </w:r>
      <w:r>
        <w:rPr>
          <w:rFonts w:hint="eastAsia" w:ascii="MS UI Gothic" w:eastAsia="MS UI Gothic"/>
          <w:w w:val="80"/>
        </w:rPr>
        <w:t xml:space="preserve">ꎬ </w:t>
      </w:r>
      <w:r>
        <w:t>可以依法申请行政复议</w:t>
      </w:r>
      <w:r>
        <w:rPr>
          <w:rFonts w:hint="eastAsia" w:ascii="MS UI Gothic" w:eastAsia="MS UI Gothic"/>
          <w:w w:val="80"/>
        </w:rPr>
        <w:t xml:space="preserve">ꎬ </w:t>
      </w:r>
      <w:r>
        <w:t>或者依法直接向人民法院提起行政诉讼</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8"/>
        </w:rPr>
        <w:t>第二十七条 省</w:t>
      </w:r>
      <w:r>
        <w:rPr>
          <w:rFonts w:hint="eastAsia" w:ascii="MS UI Gothic" w:eastAsia="MS UI Gothic"/>
          <w:spacing w:val="12"/>
          <w:w w:val="80"/>
        </w:rPr>
        <w:t xml:space="preserve">、 </w:t>
      </w:r>
      <w:r>
        <w:rPr>
          <w:spacing w:val="3"/>
        </w:rPr>
        <w:t>自治区</w:t>
      </w:r>
      <w:r>
        <w:rPr>
          <w:rFonts w:hint="eastAsia" w:ascii="MS UI Gothic" w:eastAsia="MS UI Gothic"/>
          <w:spacing w:val="8"/>
          <w:w w:val="80"/>
        </w:rPr>
        <w:t xml:space="preserve">、  </w:t>
      </w:r>
      <w:r>
        <w:rPr>
          <w:spacing w:val="2"/>
        </w:rPr>
        <w:t>直辖市人</w:t>
      </w:r>
      <w:r>
        <w:rPr>
          <w:spacing w:val="24"/>
        </w:rPr>
        <w:t>民政府可以依据本规定制定具体实施</w:t>
      </w:r>
      <w:r>
        <w:rPr>
          <w:spacing w:val="3"/>
        </w:rPr>
        <w:t>办法</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10"/>
        </w:rPr>
        <w:t>第二十八条  本规定自公布之日起</w:t>
      </w:r>
      <w:r>
        <w:rPr>
          <w:spacing w:val="3"/>
        </w:rPr>
        <w:t>施行</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4"/>
        <w:ind w:left="0" w:firstLine="0"/>
        <w:jc w:val="left"/>
        <w:rPr>
          <w:rFonts w:ascii="MS UI Gothic"/>
          <w:sz w:val="12"/>
        </w:rPr>
      </w:pPr>
    </w:p>
    <w:p>
      <w:pPr>
        <w:pStyle w:val="4"/>
        <w:spacing w:before="195"/>
        <w:ind w:left="286"/>
        <w:rPr>
          <w:rFonts w:hint="eastAsia" w:ascii="Microsoft Yi Baiti" w:eastAsia="Microsoft Yi Baiti"/>
        </w:rPr>
      </w:pPr>
      <w:r>
        <w:t xml:space="preserve">煤矿建设项目安全设施监察规定 </w:t>
      </w:r>
      <w:r>
        <w:rPr>
          <w:rFonts w:hint="eastAsia" w:ascii="Microsoft Yi Baiti" w:eastAsia="Microsoft Yi Baiti"/>
        </w:rPr>
        <w:t>(</w:t>
      </w:r>
      <w:r>
        <w:rPr>
          <w:rFonts w:hint="eastAsia" w:ascii="MS UI Gothic" w:eastAsia="MS UI Gothic"/>
        </w:rPr>
        <w:t xml:space="preserve">２０１５ </w:t>
      </w:r>
      <w:r>
        <w:t>年修正</w:t>
      </w:r>
      <w:r>
        <w:rPr>
          <w:rFonts w:hint="eastAsia" w:ascii="Microsoft Yi Baiti" w:eastAsia="Microsoft Yi Baiti"/>
        </w:rPr>
        <w:t>)</w:t>
      </w:r>
    </w:p>
    <w:p>
      <w:pPr>
        <w:pStyle w:val="6"/>
        <w:spacing w:before="366"/>
        <w:ind w:left="860" w:firstLine="0"/>
        <w:jc w:val="left"/>
        <w:rPr>
          <w:rFonts w:hint="eastAsia" w:ascii="MS UI Gothic" w:eastAsia="MS UI Gothic"/>
        </w:rPr>
      </w:pPr>
      <w:r>
        <w:rPr>
          <w:rFonts w:hint="eastAsia" w:ascii="Microsoft Yi Baiti" w:eastAsia="Microsoft Yi Baiti"/>
          <w:spacing w:val="-38"/>
        </w:rPr>
        <w:t xml:space="preserve">( </w:t>
      </w:r>
      <w:r>
        <w:rPr>
          <w:rFonts w:hint="eastAsia" w:ascii="MS UI Gothic" w:eastAsia="MS UI Gothic"/>
          <w:spacing w:val="-5"/>
        </w:rPr>
        <w:t xml:space="preserve">２００３ </w:t>
      </w:r>
      <w:r>
        <w:rPr>
          <w:spacing w:val="-37"/>
        </w:rPr>
        <w:t xml:space="preserve">年 </w:t>
      </w:r>
      <w:r>
        <w:rPr>
          <w:rFonts w:hint="eastAsia" w:ascii="MS UI Gothic" w:eastAsia="MS UI Gothic"/>
          <w:spacing w:val="-12"/>
        </w:rPr>
        <w:t xml:space="preserve">７ </w:t>
      </w:r>
      <w:r>
        <w:rPr>
          <w:spacing w:val="-37"/>
        </w:rPr>
        <w:t xml:space="preserve">月 </w:t>
      </w:r>
      <w:r>
        <w:rPr>
          <w:rFonts w:hint="eastAsia" w:ascii="MS UI Gothic" w:eastAsia="MS UI Gothic"/>
          <w:spacing w:val="-12"/>
        </w:rPr>
        <w:t xml:space="preserve">４ </w:t>
      </w:r>
      <w:r>
        <w:rPr>
          <w:spacing w:val="-3"/>
        </w:rPr>
        <w:t xml:space="preserve">日国家安全监管局国家煤矿安监局令第 </w:t>
      </w:r>
      <w:r>
        <w:rPr>
          <w:rFonts w:hint="eastAsia" w:ascii="MS UI Gothic" w:eastAsia="MS UI Gothic"/>
          <w:spacing w:val="-12"/>
        </w:rPr>
        <w:t xml:space="preserve">６ </w:t>
      </w:r>
      <w:r>
        <w:rPr>
          <w:spacing w:val="-19"/>
        </w:rPr>
        <w:t xml:space="preserve">号公布 根据 </w:t>
      </w:r>
      <w:r>
        <w:rPr>
          <w:rFonts w:hint="eastAsia" w:ascii="MS UI Gothic" w:eastAsia="MS UI Gothic"/>
          <w:spacing w:val="-5"/>
        </w:rPr>
        <w:t xml:space="preserve">２０１５ </w:t>
      </w:r>
      <w:r>
        <w:rPr>
          <w:spacing w:val="-37"/>
        </w:rPr>
        <w:t xml:space="preserve">年 </w:t>
      </w:r>
      <w:r>
        <w:rPr>
          <w:rFonts w:hint="eastAsia" w:ascii="MS UI Gothic" w:eastAsia="MS UI Gothic"/>
          <w:spacing w:val="-12"/>
        </w:rPr>
        <w:t xml:space="preserve">６ </w:t>
      </w:r>
      <w:r>
        <w:rPr>
          <w:spacing w:val="-37"/>
        </w:rPr>
        <w:t xml:space="preserve">月 </w:t>
      </w:r>
      <w:r>
        <w:rPr>
          <w:rFonts w:hint="eastAsia" w:ascii="MS UI Gothic" w:eastAsia="MS UI Gothic"/>
        </w:rPr>
        <w:t>８</w:t>
      </w:r>
    </w:p>
    <w:p>
      <w:pPr>
        <w:pStyle w:val="6"/>
        <w:spacing w:before="58"/>
        <w:ind w:left="440" w:firstLine="0"/>
        <w:jc w:val="left"/>
        <w:rPr>
          <w:rFonts w:hint="eastAsia" w:ascii="Microsoft Yi Baiti" w:eastAsia="Microsoft Yi Baiti"/>
        </w:rPr>
      </w:pPr>
      <w:r>
        <w:t xml:space="preserve">日国家安全监管总局令第 </w:t>
      </w:r>
      <w:r>
        <w:rPr>
          <w:rFonts w:hint="eastAsia" w:ascii="MS UI Gothic" w:eastAsia="MS UI Gothic"/>
        </w:rPr>
        <w:t xml:space="preserve">８１ </w:t>
      </w:r>
      <w:r>
        <w:t>号修正</w:t>
      </w:r>
      <w:r>
        <w:rPr>
          <w:rFonts w:hint="eastAsia" w:ascii="Microsoft Yi Baiti" w:eastAsia="Microsoft Yi Baiti"/>
        </w:rPr>
        <w:t>)</w:t>
      </w:r>
    </w:p>
    <w:p>
      <w:pPr>
        <w:pStyle w:val="6"/>
        <w:ind w:left="0" w:firstLine="0"/>
        <w:jc w:val="left"/>
        <w:rPr>
          <w:rFonts w:ascii="Microsoft Yi Baiti"/>
          <w:sz w:val="28"/>
        </w:rPr>
      </w:pPr>
    </w:p>
    <w:p>
      <w:pPr>
        <w:spacing w:after="0"/>
        <w:jc w:val="left"/>
        <w:rPr>
          <w:rFonts w:ascii="Microsoft Yi Baiti"/>
          <w:sz w:val="28"/>
        </w:rPr>
        <w:sectPr>
          <w:type w:val="continuous"/>
          <w:pgSz w:w="10500" w:h="14750"/>
          <w:pgMar w:top="1400" w:right="980" w:bottom="280" w:left="980" w:header="720" w:footer="720" w:gutter="0"/>
        </w:sectPr>
      </w:pPr>
    </w:p>
    <w:p>
      <w:pPr>
        <w:pStyle w:val="6"/>
        <w:spacing w:before="6"/>
        <w:ind w:left="0" w:firstLine="0"/>
        <w:jc w:val="left"/>
        <w:rPr>
          <w:rFonts w:ascii="Microsoft Yi Baiti"/>
          <w:sz w:val="23"/>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6" w:line="295" w:lineRule="auto"/>
        <w:ind w:left="440"/>
        <w:rPr>
          <w:rFonts w:hint="eastAsia" w:ascii="MS UI Gothic" w:eastAsia="MS UI Gothic"/>
        </w:rPr>
      </w:pPr>
      <w:r>
        <w:t>第一条 为了规范煤矿建设工程安全设施监察工作</w:t>
      </w:r>
      <w:r>
        <w:rPr>
          <w:rFonts w:hint="eastAsia" w:ascii="MS UI Gothic" w:eastAsia="MS UI Gothic"/>
          <w:w w:val="80"/>
        </w:rPr>
        <w:t xml:space="preserve">ꎬ </w:t>
      </w:r>
      <w:r>
        <w:t>保障煤矿安全生产</w:t>
      </w:r>
      <w:r>
        <w:rPr>
          <w:rFonts w:hint="eastAsia" w:ascii="MS UI Gothic" w:eastAsia="MS UI Gothic"/>
          <w:w w:val="80"/>
        </w:rPr>
        <w:t xml:space="preserve">ꎬ </w:t>
      </w:r>
      <w:r>
        <w:t>根据安全生产法</w:t>
      </w:r>
      <w:r>
        <w:rPr>
          <w:rFonts w:hint="eastAsia" w:ascii="MS UI Gothic" w:eastAsia="MS UI Gothic"/>
          <w:w w:val="80"/>
        </w:rPr>
        <w:t xml:space="preserve">、 </w:t>
      </w:r>
      <w:r>
        <w:t>煤矿安全监察条例以及有关法律</w:t>
      </w:r>
      <w:r>
        <w:rPr>
          <w:rFonts w:hint="eastAsia" w:ascii="MS UI Gothic" w:eastAsia="MS UI Gothic"/>
          <w:w w:val="80"/>
        </w:rPr>
        <w:t xml:space="preserve">、 </w:t>
      </w:r>
      <w:r>
        <w:t>行政法规的规定</w:t>
      </w:r>
      <w:r>
        <w:rPr>
          <w:rFonts w:hint="eastAsia" w:ascii="MS UI Gothic" w:eastAsia="MS UI Gothic"/>
          <w:w w:val="80"/>
        </w:rPr>
        <w:t xml:space="preserve">ꎬ </w:t>
      </w:r>
      <w:r>
        <w:t>制定本规定</w:t>
      </w:r>
      <w:r>
        <w:rPr>
          <w:rFonts w:hint="eastAsia" w:ascii="MS UI Gothic" w:eastAsia="MS UI Gothic"/>
          <w:w w:val="80"/>
        </w:rPr>
        <w:t>ꎮ</w:t>
      </w:r>
    </w:p>
    <w:p>
      <w:pPr>
        <w:pStyle w:val="6"/>
        <w:spacing w:before="85" w:line="295" w:lineRule="auto"/>
        <w:ind w:left="383" w:right="126"/>
        <w:rPr>
          <w:rFonts w:hint="eastAsia" w:ascii="MS UI Gothic" w:eastAsia="MS UI Gothic"/>
        </w:rPr>
      </w:pPr>
      <w:r>
        <w:br w:type="column"/>
      </w:r>
      <w:r>
        <w:rPr>
          <w:w w:val="105"/>
        </w:rPr>
        <w:t>第二条 煤矿安全监察机构对煤矿新建</w:t>
      </w:r>
      <w:r>
        <w:rPr>
          <w:rFonts w:hint="eastAsia" w:ascii="MS UI Gothic" w:eastAsia="MS UI Gothic"/>
          <w:w w:val="80"/>
        </w:rPr>
        <w:t xml:space="preserve">、 </w:t>
      </w:r>
      <w:r>
        <w:rPr>
          <w:w w:val="105"/>
        </w:rPr>
        <w:t xml:space="preserve">改建和扩建工程项目 </w:t>
      </w:r>
      <w:r>
        <w:rPr>
          <w:rFonts w:hint="eastAsia" w:ascii="MS UI Gothic" w:eastAsia="MS UI Gothic"/>
          <w:w w:val="150"/>
        </w:rPr>
        <w:t xml:space="preserve">( </w:t>
      </w:r>
      <w:r>
        <w:rPr>
          <w:w w:val="105"/>
        </w:rPr>
        <w:t>以下简称煤矿建设项目</w:t>
      </w:r>
      <w:r>
        <w:rPr>
          <w:rFonts w:hint="eastAsia" w:ascii="MS UI Gothic" w:eastAsia="MS UI Gothic"/>
          <w:w w:val="150"/>
        </w:rPr>
        <w:t xml:space="preserve">) </w:t>
      </w:r>
      <w:r>
        <w:rPr>
          <w:w w:val="105"/>
        </w:rPr>
        <w:t>的安全设施进行监察</w:t>
      </w:r>
      <w:r>
        <w:rPr>
          <w:rFonts w:hint="eastAsia" w:ascii="MS UI Gothic" w:eastAsia="MS UI Gothic"/>
          <w:w w:val="80"/>
        </w:rPr>
        <w:t xml:space="preserve">ꎬ </w:t>
      </w:r>
      <w:r>
        <w:rPr>
          <w:w w:val="105"/>
        </w:rPr>
        <w:t>适用本规定</w:t>
      </w:r>
      <w:r>
        <w:rPr>
          <w:rFonts w:hint="eastAsia" w:ascii="MS UI Gothic" w:eastAsia="MS UI Gothic"/>
          <w:w w:val="80"/>
        </w:rPr>
        <w:t>ꎮ</w:t>
      </w:r>
    </w:p>
    <w:p>
      <w:pPr>
        <w:pStyle w:val="6"/>
        <w:spacing w:line="295" w:lineRule="auto"/>
        <w:ind w:left="383" w:right="126"/>
      </w:pPr>
      <w:r>
        <w:rPr>
          <w:w w:val="105"/>
        </w:rPr>
        <w:t>第三条 煤矿建设项目应当进行安全</w:t>
      </w:r>
      <w:r>
        <w:t>评价</w:t>
      </w:r>
      <w:r>
        <w:rPr>
          <w:rFonts w:hint="eastAsia" w:ascii="MS UI Gothic" w:eastAsia="MS UI Gothic"/>
          <w:w w:val="80"/>
        </w:rPr>
        <w:t xml:space="preserve">ꎬ </w:t>
      </w:r>
      <w:r>
        <w:t>其初步设计应当按规定编制安全专</w:t>
      </w:r>
    </w:p>
    <w:p>
      <w:pPr>
        <w:spacing w:after="0" w:line="295" w:lineRule="auto"/>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２２８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14" o:spid="_x0000_s1714" o:spt="203" style="height:2.15pt;width:398.25pt;" coordsize="7965,43">
            <o:lock v:ext="edit"/>
            <v:line id="_x0000_s1715" o:spid="_x0000_s1715" o:spt="20" style="position:absolute;left:0;top:39;height:0;width:7965;" stroked="t" coordsize="21600,21600">
              <v:path arrowok="t"/>
              <v:fill focussize="0,0"/>
              <v:stroke weight="0.388031496062992pt" color="#231F20"/>
              <v:imagedata o:title=""/>
              <o:lock v:ext="edit"/>
            </v:line>
            <v:line id="_x0000_s1716" o:spid="_x0000_s171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jc w:val="left"/>
        <w:rPr>
          <w:rFonts w:hint="eastAsia" w:ascii="MS UI Gothic" w:eastAsia="MS UI Gothic"/>
        </w:rPr>
      </w:pPr>
      <w:r>
        <w:t>篇</w:t>
      </w:r>
      <w:r>
        <w:rPr>
          <w:rFonts w:hint="eastAsia" w:ascii="MS UI Gothic" w:eastAsia="MS UI Gothic"/>
          <w:w w:val="80"/>
        </w:rPr>
        <w:t xml:space="preserve">ꎮ </w:t>
      </w:r>
      <w:r>
        <w:t>安全专篇应当包括安全条件的论证</w:t>
      </w:r>
      <w:r>
        <w:rPr>
          <w:rFonts w:hint="eastAsia" w:ascii="MS UI Gothic" w:eastAsia="MS UI Gothic"/>
          <w:w w:val="80"/>
        </w:rPr>
        <w:t>、</w:t>
      </w:r>
      <w:r>
        <w:t>安全设施的设计等内容</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第四条 煤矿建设项目的安全设施的</w:t>
      </w:r>
      <w:r>
        <w:rPr>
          <w:spacing w:val="3"/>
          <w:w w:val="105"/>
        </w:rPr>
        <w:t>设计</w:t>
      </w:r>
      <w:r>
        <w:rPr>
          <w:rFonts w:hint="eastAsia" w:ascii="MS UI Gothic" w:eastAsia="MS UI Gothic"/>
          <w:spacing w:val="-3"/>
          <w:w w:val="80"/>
        </w:rPr>
        <w:t xml:space="preserve">、 </w:t>
      </w:r>
      <w:r>
        <w:rPr>
          <w:spacing w:val="17"/>
          <w:w w:val="105"/>
        </w:rPr>
        <w:t>施工应当符合工程建设强制性标</w:t>
      </w:r>
      <w:r>
        <w:rPr>
          <w:spacing w:val="3"/>
          <w:w w:val="105"/>
        </w:rPr>
        <w:t>准</w:t>
      </w:r>
      <w:r>
        <w:rPr>
          <w:rFonts w:hint="eastAsia" w:ascii="MS UI Gothic" w:eastAsia="MS UI Gothic"/>
          <w:spacing w:val="18"/>
          <w:w w:val="80"/>
        </w:rPr>
        <w:t xml:space="preserve">、 </w:t>
      </w:r>
      <w:r>
        <w:rPr>
          <w:spacing w:val="3"/>
          <w:w w:val="105"/>
        </w:rPr>
        <w:t>煤矿安全规程和行业技术规范</w:t>
      </w:r>
      <w:r>
        <w:rPr>
          <w:rFonts w:hint="eastAsia" w:ascii="MS UI Gothic" w:eastAsia="MS UI Gothic"/>
          <w:w w:val="80"/>
        </w:rPr>
        <w:t>ꎮ</w:t>
      </w:r>
    </w:p>
    <w:p>
      <w:pPr>
        <w:pStyle w:val="6"/>
        <w:spacing w:line="295" w:lineRule="auto"/>
        <w:ind w:right="39"/>
        <w:rPr>
          <w:rFonts w:hint="eastAsia" w:ascii="MS UI Gothic" w:eastAsia="MS UI Gothic"/>
        </w:rPr>
      </w:pPr>
      <w:r>
        <w:rPr>
          <w:spacing w:val="3"/>
          <w:w w:val="105"/>
        </w:rPr>
        <w:t>第五条 煤矿建设项目施工前</w:t>
      </w:r>
      <w:r>
        <w:rPr>
          <w:rFonts w:hint="eastAsia" w:ascii="MS UI Gothic" w:eastAsia="MS UI Gothic"/>
          <w:spacing w:val="10"/>
          <w:w w:val="80"/>
        </w:rPr>
        <w:t xml:space="preserve">ꎬ </w:t>
      </w:r>
      <w:r>
        <w:rPr>
          <w:spacing w:val="1"/>
          <w:w w:val="105"/>
        </w:rPr>
        <w:t>其安</w:t>
      </w:r>
      <w:r>
        <w:rPr>
          <w:spacing w:val="2"/>
        </w:rPr>
        <w:t>全设施设计应当经煤矿安全监察机构审查</w:t>
      </w:r>
      <w:r>
        <w:rPr>
          <w:spacing w:val="3"/>
        </w:rPr>
        <w:t>同意</w:t>
      </w:r>
      <w:r>
        <w:rPr>
          <w:rFonts w:hint="eastAsia" w:ascii="MS UI Gothic" w:eastAsia="MS UI Gothic"/>
          <w:spacing w:val="23"/>
          <w:w w:val="80"/>
        </w:rPr>
        <w:t xml:space="preserve">ꎻ </w:t>
      </w:r>
      <w:r>
        <w:rPr>
          <w:spacing w:val="3"/>
        </w:rPr>
        <w:t>竣工投入生产或使用前</w:t>
      </w:r>
      <w:r>
        <w:rPr>
          <w:rFonts w:hint="eastAsia" w:ascii="MS UI Gothic" w:eastAsia="MS UI Gothic"/>
          <w:spacing w:val="23"/>
          <w:w w:val="80"/>
        </w:rPr>
        <w:t xml:space="preserve">ꎬ </w:t>
      </w:r>
      <w:r>
        <w:rPr>
          <w:spacing w:val="2"/>
        </w:rPr>
        <w:t>其安全设施和安全条件应当经煤矿建设单位验收合</w:t>
      </w:r>
      <w:r>
        <w:rPr>
          <w:spacing w:val="3"/>
        </w:rPr>
        <w:t>格</w:t>
      </w:r>
      <w:r>
        <w:rPr>
          <w:rFonts w:hint="eastAsia" w:ascii="MS UI Gothic" w:eastAsia="MS UI Gothic"/>
          <w:spacing w:val="21"/>
          <w:w w:val="80"/>
        </w:rPr>
        <w:t xml:space="preserve">ꎮ </w:t>
      </w:r>
      <w:r>
        <w:rPr>
          <w:spacing w:val="2"/>
        </w:rPr>
        <w:t>煤矿安全监察机构应当加强对建设单</w:t>
      </w:r>
      <w:r>
        <w:rPr>
          <w:spacing w:val="3"/>
          <w:w w:val="105"/>
        </w:rPr>
        <w:t>位验收活动和验收结果的监督核查</w:t>
      </w:r>
      <w:r>
        <w:rPr>
          <w:rFonts w:hint="eastAsia" w:ascii="MS UI Gothic" w:eastAsia="MS UI Gothic"/>
          <w:w w:val="80"/>
        </w:rPr>
        <w:t>ꎮ</w:t>
      </w:r>
    </w:p>
    <w:p>
      <w:pPr>
        <w:pStyle w:val="6"/>
        <w:spacing w:line="251" w:lineRule="exact"/>
      </w:pPr>
      <w:r>
        <w:rPr>
          <w:w w:val="105"/>
        </w:rPr>
        <w:t>第六条 煤矿建设项目安全设施的设</w:t>
      </w:r>
    </w:p>
    <w:p>
      <w:pPr>
        <w:pStyle w:val="6"/>
        <w:spacing w:line="310" w:lineRule="atLeast"/>
        <w:ind w:right="39" w:firstLine="0"/>
        <w:jc w:val="left"/>
        <w:rPr>
          <w:rFonts w:hint="eastAsia" w:ascii="MS UI Gothic" w:eastAsia="MS UI Gothic"/>
        </w:rPr>
      </w:pPr>
      <w:r>
        <w:t>计审查</w:t>
      </w:r>
      <w:r>
        <w:rPr>
          <w:rFonts w:hint="eastAsia" w:ascii="MS UI Gothic" w:eastAsia="MS UI Gothic"/>
          <w:w w:val="80"/>
        </w:rPr>
        <w:t xml:space="preserve">ꎬ </w:t>
      </w:r>
      <w:r>
        <w:t>由煤矿安全监察机构按照设计或者新增的生产能力</w:t>
      </w:r>
      <w:r>
        <w:rPr>
          <w:rFonts w:hint="eastAsia" w:ascii="MS UI Gothic" w:eastAsia="MS UI Gothic"/>
          <w:w w:val="80"/>
        </w:rPr>
        <w:t xml:space="preserve">ꎬ </w:t>
      </w:r>
      <w:r>
        <w:t>实行分级负责</w:t>
      </w:r>
      <w:r>
        <w:rPr>
          <w:rFonts w:hint="eastAsia" w:ascii="MS UI Gothic" w:eastAsia="MS UI Gothic"/>
          <w:w w:val="80"/>
        </w:rPr>
        <w:t>ꎮ</w:t>
      </w:r>
    </w:p>
    <w:p>
      <w:pPr>
        <w:pStyle w:val="6"/>
        <w:spacing w:before="123" w:line="295" w:lineRule="auto"/>
        <w:ind w:right="442" w:firstLine="0"/>
        <w:jc w:val="left"/>
        <w:rPr>
          <w:rFonts w:hint="eastAsia" w:ascii="MS UI Gothic" w:eastAsia="MS UI Gothic"/>
        </w:rPr>
      </w:pPr>
      <w:r>
        <w:br w:type="column"/>
      </w:r>
      <w:r>
        <w:t>担</w:t>
      </w:r>
      <w:r>
        <w:rPr>
          <w:rFonts w:hint="eastAsia" w:ascii="MS UI Gothic" w:eastAsia="MS UI Gothic"/>
          <w:w w:val="80"/>
        </w:rPr>
        <w:t xml:space="preserve">ꎮ </w:t>
      </w:r>
      <w:r>
        <w:t>承担煤矿建设项目安全评价的安全中介机构对其作出的安全评价结果负责</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第十一条 煤矿企业应与承担煤矿建</w:t>
      </w:r>
      <w:r>
        <w:t>设项目安全评价的安全中介机构签订书面委托合同</w:t>
      </w:r>
      <w:r>
        <w:rPr>
          <w:rFonts w:hint="eastAsia" w:ascii="MS UI Gothic" w:eastAsia="MS UI Gothic"/>
          <w:w w:val="80"/>
        </w:rPr>
        <w:t xml:space="preserve">ꎬ </w:t>
      </w:r>
      <w:r>
        <w:t>明确双方各自的权利和义务</w:t>
      </w:r>
      <w:r>
        <w:rPr>
          <w:rFonts w:hint="eastAsia" w:ascii="MS UI Gothic" w:eastAsia="MS UI Gothic"/>
          <w:w w:val="80"/>
        </w:rPr>
        <w:t>ꎮ</w:t>
      </w:r>
    </w:p>
    <w:p>
      <w:pPr>
        <w:pStyle w:val="6"/>
        <w:spacing w:line="295" w:lineRule="auto"/>
        <w:ind w:right="442"/>
        <w:rPr>
          <w:rFonts w:hint="eastAsia" w:ascii="MS UI Gothic" w:eastAsia="MS UI Gothic"/>
        </w:rPr>
      </w:pPr>
      <w:r>
        <w:t>第十二条 承担煤矿建设项目安全评价的安全中介机构</w:t>
      </w:r>
      <w:r>
        <w:rPr>
          <w:rFonts w:hint="eastAsia" w:ascii="MS UI Gothic" w:eastAsia="MS UI Gothic"/>
          <w:w w:val="80"/>
        </w:rPr>
        <w:t xml:space="preserve">ꎬ </w:t>
      </w:r>
      <w:r>
        <w:t>应当按照规定的标准和程序进行评价</w:t>
      </w:r>
      <w:r>
        <w:rPr>
          <w:rFonts w:hint="eastAsia" w:ascii="MS UI Gothic" w:eastAsia="MS UI Gothic"/>
          <w:w w:val="80"/>
        </w:rPr>
        <w:t xml:space="preserve">ꎬ </w:t>
      </w:r>
      <w:r>
        <w:t>提出评价报告</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第十三条 煤矿建设项目安全预评价</w:t>
      </w:r>
      <w:r>
        <w:rPr>
          <w:w w:val="110"/>
        </w:rPr>
        <w:t>报告应当包括以下内容</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主要危险</w:t>
      </w:r>
      <w:r>
        <w:rPr>
          <w:rFonts w:hint="eastAsia" w:ascii="MS UI Gothic" w:eastAsia="MS UI Gothic"/>
          <w:w w:val="80"/>
        </w:rPr>
        <w:t xml:space="preserve">、 </w:t>
      </w:r>
      <w:r>
        <w:rPr>
          <w:w w:val="105"/>
        </w:rPr>
        <w:t>有害因素和危害程度以及对公共安全影响的定性</w:t>
      </w:r>
      <w:r>
        <w:rPr>
          <w:rFonts w:hint="eastAsia" w:ascii="MS UI Gothic" w:eastAsia="MS UI Gothic"/>
          <w:w w:val="80"/>
        </w:rPr>
        <w:t xml:space="preserve">、 </w:t>
      </w:r>
      <w:r>
        <w:rPr>
          <w:w w:val="105"/>
        </w:rPr>
        <w:t>定量评价</w:t>
      </w:r>
      <w:r>
        <w:rPr>
          <w:rFonts w:hint="eastAsia" w:ascii="MS UI Gothic" w:eastAsia="MS UI Gothic"/>
          <w:w w:val="80"/>
        </w:rPr>
        <w:t>ꎻ</w:t>
      </w:r>
    </w:p>
    <w:p>
      <w:pPr>
        <w:pStyle w:val="6"/>
        <w:spacing w:line="238" w:lineRule="exact"/>
        <w:ind w:left="543"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预防和控制的可能性评价</w:t>
      </w:r>
      <w:r>
        <w:rPr>
          <w:rFonts w:hint="eastAsia" w:ascii="MS UI Gothic" w:eastAsia="MS UI Gothic"/>
          <w:w w:val="80"/>
        </w:rPr>
        <w:t>ꎻ</w:t>
      </w:r>
    </w:p>
    <w:p>
      <w:pPr>
        <w:spacing w:after="0" w:line="238" w:lineRule="exac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377" w:line="240" w:lineRule="exact"/>
        <w:ind w:left="118" w:firstLine="0"/>
        <w:jc w:val="left"/>
        <w:rPr>
          <w:rFonts w:hint="eastAsia" w:ascii="MS UI Gothic" w:eastAsia="MS UI Gothic"/>
        </w:rPr>
      </w:pPr>
      <w:r>
        <w:rPr>
          <w:rFonts w:hint="eastAsia" w:ascii="MS UI Gothic" w:eastAsia="MS UI Gothic"/>
          <w:w w:val="75"/>
        </w:rPr>
        <w:t>３００</w:t>
      </w:r>
    </w:p>
    <w:p>
      <w:pPr>
        <w:pStyle w:val="6"/>
        <w:spacing w:before="9" w:line="310" w:lineRule="atLeast"/>
        <w:ind w:left="29" w:right="38" w:firstLine="46"/>
        <w:jc w:val="left"/>
      </w:pPr>
      <w:r>
        <w:br w:type="column"/>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设计或者新增的生产能力在</w:t>
      </w:r>
      <w:r>
        <w:t>万吨</w:t>
      </w:r>
      <w:r>
        <w:rPr>
          <w:rFonts w:hint="eastAsia" w:ascii="MS UI Gothic" w:eastAsia="MS UI Gothic"/>
          <w:w w:val="65"/>
        </w:rPr>
        <w:t xml:space="preserve">/ </w:t>
      </w:r>
      <w:r>
        <w:t>年及以上的井工煤矿建设项目</w:t>
      </w:r>
    </w:p>
    <w:p>
      <w:pPr>
        <w:pStyle w:val="6"/>
        <w:spacing w:before="9" w:line="310" w:lineRule="atLeast"/>
        <w:ind w:left="118" w:right="442"/>
        <w:jc w:val="left"/>
        <w:rPr>
          <w:rFonts w:hint="eastAsia" w:ascii="MS UI Gothic" w:eastAsia="MS UI Gothic"/>
        </w:rPr>
      </w:pPr>
      <w:r>
        <w:br w:type="column"/>
      </w: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建设项目可能造成职业危害的</w:t>
      </w:r>
      <w:r>
        <w:rPr>
          <w:w w:val="110"/>
        </w:rPr>
        <w:t>评价</w:t>
      </w:r>
      <w:r>
        <w:rPr>
          <w:rFonts w:hint="eastAsia" w:ascii="MS UI Gothic" w:eastAsia="MS UI Gothic"/>
          <w:w w:val="80"/>
        </w:rPr>
        <w:t>ꎻ</w:t>
      </w:r>
    </w:p>
    <w:p>
      <w:pPr>
        <w:spacing w:after="0" w:line="310" w:lineRule="atLeast"/>
        <w:jc w:val="left"/>
        <w:rPr>
          <w:rFonts w:hint="eastAsia" w:ascii="MS UI Gothic" w:eastAsia="MS UI Gothic"/>
        </w:rPr>
        <w:sectPr>
          <w:type w:val="continuous"/>
          <w:pgSz w:w="10500" w:h="14750"/>
          <w:pgMar w:top="1400" w:right="980" w:bottom="280" w:left="980" w:header="720" w:footer="720" w:gutter="0"/>
          <w:cols w:equalWidth="0" w:num="3">
            <w:col w:w="428" w:space="40"/>
            <w:col w:w="3467" w:space="263"/>
            <w:col w:w="4342"/>
          </w:cols>
        </w:sectPr>
      </w:pPr>
    </w:p>
    <w:p>
      <w:pPr>
        <w:pStyle w:val="6"/>
        <w:spacing w:before="9" w:line="310" w:lineRule="atLeast"/>
        <w:ind w:right="38" w:firstLine="0"/>
        <w:rPr>
          <w:rFonts w:hint="eastAsia" w:ascii="MS UI Gothic" w:eastAsia="MS UI Gothic"/>
        </w:rPr>
      </w:pPr>
      <w:r>
        <w:rPr>
          <w:w w:val="95"/>
        </w:rPr>
        <w:t xml:space="preserve">和 </w:t>
      </w:r>
      <w:r>
        <w:rPr>
          <w:rFonts w:hint="eastAsia" w:ascii="MS UI Gothic" w:eastAsia="MS UI Gothic"/>
          <w:w w:val="95"/>
        </w:rPr>
        <w:t xml:space="preserve">１０００ </w:t>
      </w:r>
      <w:r>
        <w:rPr>
          <w:w w:val="95"/>
        </w:rPr>
        <w:t>万吨</w:t>
      </w:r>
      <w:r>
        <w:rPr>
          <w:rFonts w:hint="eastAsia" w:ascii="MS UI Gothic" w:eastAsia="MS UI Gothic"/>
          <w:w w:val="75"/>
        </w:rPr>
        <w:t xml:space="preserve">/ </w:t>
      </w:r>
      <w:r>
        <w:rPr>
          <w:w w:val="95"/>
        </w:rPr>
        <w:t>年及以上的露天煤矿建设项目</w:t>
      </w:r>
      <w:r>
        <w:rPr>
          <w:rFonts w:hint="eastAsia" w:ascii="MS UI Gothic" w:eastAsia="MS UI Gothic"/>
          <w:w w:val="75"/>
        </w:rPr>
        <w:t xml:space="preserve">ꎬ  </w:t>
      </w:r>
      <w:r>
        <w:rPr>
          <w:w w:val="95"/>
        </w:rPr>
        <w:t>由国家煤矿安全监察局负责设计审查</w:t>
      </w:r>
      <w:r>
        <w:rPr>
          <w:rFonts w:hint="eastAsia" w:ascii="MS UI Gothic" w:eastAsia="MS UI Gothic"/>
          <w:w w:val="75"/>
        </w:rPr>
        <w:t>ꎮ</w:t>
      </w:r>
    </w:p>
    <w:p>
      <w:pPr>
        <w:pStyle w:val="6"/>
        <w:spacing w:before="63" w:line="295" w:lineRule="auto"/>
        <w:ind w:right="442"/>
        <w:jc w:val="left"/>
        <w:rPr>
          <w:rFonts w:hint="eastAsia" w:ascii="MS UI Gothic" w:eastAsia="MS UI Gothic"/>
        </w:rPr>
      </w:pPr>
      <w:r>
        <w:br w:type="column"/>
      </w: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安全对策措施</w:t>
      </w:r>
      <w:r>
        <w:rPr>
          <w:rFonts w:hint="eastAsia" w:ascii="MS UI Gothic" w:eastAsia="MS UI Gothic"/>
          <w:w w:val="80"/>
        </w:rPr>
        <w:t xml:space="preserve">、 </w:t>
      </w:r>
      <w:r>
        <w:rPr>
          <w:w w:val="105"/>
        </w:rPr>
        <w:t>安全设施设计原则</w:t>
      </w:r>
      <w:r>
        <w:rPr>
          <w:rFonts w:hint="eastAsia" w:ascii="MS UI Gothic" w:eastAsia="MS UI Gothic"/>
          <w:w w:val="80"/>
        </w:rPr>
        <w:t>ꎻ</w:t>
      </w:r>
    </w:p>
    <w:p>
      <w:pPr>
        <w:pStyle w:val="6"/>
        <w:spacing w:line="238" w:lineRule="exact"/>
        <w:ind w:left="543" w:firstLine="0"/>
        <w:jc w:val="left"/>
        <w:rPr>
          <w:rFonts w:hint="eastAsia" w:ascii="MS UI Gothic" w:eastAsia="MS UI Gothic"/>
        </w:rPr>
      </w:pPr>
      <w:r>
        <w:rPr>
          <w:rFonts w:hint="eastAsia" w:ascii="MS UI Gothic" w:eastAsia="MS UI Gothic"/>
          <w:w w:val="150"/>
        </w:rPr>
        <w:t xml:space="preserve">( </w:t>
      </w:r>
      <w:r>
        <w:rPr>
          <w:w w:val="115"/>
        </w:rPr>
        <w:t>五</w:t>
      </w:r>
      <w:r>
        <w:rPr>
          <w:rFonts w:hint="eastAsia" w:ascii="MS UI Gothic" w:eastAsia="MS UI Gothic"/>
          <w:w w:val="150"/>
        </w:rPr>
        <w:t xml:space="preserve">) </w:t>
      </w:r>
      <w:r>
        <w:rPr>
          <w:w w:val="115"/>
        </w:rPr>
        <w:t>预评价结论</w:t>
      </w:r>
      <w:r>
        <w:rPr>
          <w:rFonts w:hint="eastAsia" w:ascii="MS UI Gothic" w:eastAsia="MS UI Gothic"/>
          <w:w w:val="80"/>
        </w:rPr>
        <w:t>ꎻ</w:t>
      </w:r>
    </w:p>
    <w:p>
      <w:pPr>
        <w:spacing w:after="0" w:line="238" w:lineRule="exact"/>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381" w:line="240" w:lineRule="exact"/>
        <w:ind w:left="118" w:firstLine="0"/>
        <w:jc w:val="left"/>
        <w:rPr>
          <w:rFonts w:hint="eastAsia" w:ascii="MS UI Gothic" w:eastAsia="MS UI Gothic"/>
        </w:rPr>
      </w:pPr>
      <w:r>
        <w:rPr>
          <w:rFonts w:hint="eastAsia" w:ascii="MS UI Gothic" w:eastAsia="MS UI Gothic"/>
          <w:w w:val="75"/>
        </w:rPr>
        <w:t>３００</w:t>
      </w:r>
    </w:p>
    <w:p>
      <w:pPr>
        <w:pStyle w:val="6"/>
        <w:spacing w:before="13" w:line="310" w:lineRule="atLeast"/>
        <w:ind w:left="29" w:right="38" w:firstLine="46"/>
        <w:jc w:val="left"/>
      </w:pPr>
      <w:r>
        <w:br w:type="column"/>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设计或者新增的生产能力在</w:t>
      </w:r>
      <w:r>
        <w:t>万吨</w:t>
      </w:r>
      <w:r>
        <w:rPr>
          <w:rFonts w:hint="eastAsia" w:ascii="MS UI Gothic" w:eastAsia="MS UI Gothic"/>
          <w:w w:val="65"/>
        </w:rPr>
        <w:t xml:space="preserve">/ </w:t>
      </w:r>
      <w:r>
        <w:t>年以下的井工煤矿建设项目和</w:t>
      </w:r>
    </w:p>
    <w:p>
      <w:pPr>
        <w:pStyle w:val="6"/>
        <w:spacing w:before="67"/>
        <w:ind w:left="118" w:firstLine="0"/>
        <w:jc w:val="left"/>
        <w:rPr>
          <w:rFonts w:hint="eastAsia" w:ascii="MS UI Gothic" w:eastAsia="MS UI Gothic"/>
        </w:rPr>
      </w:pPr>
      <w:r>
        <w:br w:type="column"/>
      </w: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其他需要说明的事项</w:t>
      </w:r>
      <w:r>
        <w:rPr>
          <w:rFonts w:hint="eastAsia" w:ascii="MS UI Gothic" w:eastAsia="MS UI Gothic"/>
          <w:w w:val="80"/>
        </w:rPr>
        <w:t>ꎮ</w:t>
      </w:r>
    </w:p>
    <w:p>
      <w:pPr>
        <w:pStyle w:val="6"/>
        <w:tabs>
          <w:tab w:val="left" w:pos="1166"/>
        </w:tabs>
        <w:spacing w:before="58" w:line="240" w:lineRule="exact"/>
        <w:ind w:left="118" w:firstLine="0"/>
        <w:jc w:val="left"/>
      </w:pPr>
      <w:r>
        <w:rPr>
          <w:spacing w:val="3"/>
          <w:w w:val="105"/>
        </w:rPr>
        <w:t>第十四</w:t>
      </w:r>
      <w:r>
        <w:rPr>
          <w:w w:val="105"/>
        </w:rPr>
        <w:t>条</w:t>
      </w:r>
      <w:r>
        <w:rPr>
          <w:w w:val="105"/>
        </w:rPr>
        <w:tab/>
      </w:r>
      <w:r>
        <w:rPr>
          <w:spacing w:val="3"/>
          <w:w w:val="105"/>
        </w:rPr>
        <w:t>煤矿建设项目安全验收</w:t>
      </w:r>
      <w:r>
        <w:rPr>
          <w:w w:val="105"/>
        </w:rPr>
        <w:t>评</w:t>
      </w:r>
    </w:p>
    <w:p>
      <w:pPr>
        <w:spacing w:after="0" w:line="240" w:lineRule="exact"/>
        <w:jc w:val="left"/>
        <w:sectPr>
          <w:type w:val="continuous"/>
          <w:pgSz w:w="10500" w:h="14750"/>
          <w:pgMar w:top="1400" w:right="980" w:bottom="280" w:left="980" w:header="720" w:footer="720" w:gutter="0"/>
          <w:cols w:equalWidth="0" w:num="3">
            <w:col w:w="428" w:space="40"/>
            <w:col w:w="3467" w:space="682"/>
            <w:col w:w="3923"/>
          </w:cols>
        </w:sectPr>
      </w:pPr>
    </w:p>
    <w:p>
      <w:pPr>
        <w:pStyle w:val="6"/>
        <w:spacing w:before="63" w:line="295" w:lineRule="auto"/>
        <w:ind w:right="38" w:hanging="6"/>
        <w:jc w:val="left"/>
        <w:rPr>
          <w:rFonts w:hint="eastAsia" w:ascii="MS UI Gothic" w:eastAsia="MS UI Gothic"/>
        </w:rPr>
      </w:pPr>
      <w:r>
        <w:rPr>
          <w:rFonts w:hint="eastAsia" w:ascii="MS UI Gothic" w:eastAsia="MS UI Gothic"/>
          <w:w w:val="95"/>
        </w:rPr>
        <w:t xml:space="preserve">１０００ </w:t>
      </w:r>
      <w:r>
        <w:rPr>
          <w:w w:val="95"/>
        </w:rPr>
        <w:t>万吨</w:t>
      </w:r>
      <w:r>
        <w:rPr>
          <w:rFonts w:hint="eastAsia" w:ascii="MS UI Gothic" w:eastAsia="MS UI Gothic"/>
          <w:w w:val="75"/>
        </w:rPr>
        <w:t xml:space="preserve">/ </w:t>
      </w:r>
      <w:r>
        <w:rPr>
          <w:w w:val="95"/>
        </w:rPr>
        <w:t>年以下的露天煤矿建设项目</w:t>
      </w:r>
      <w:r>
        <w:rPr>
          <w:rFonts w:hint="eastAsia" w:ascii="MS UI Gothic" w:eastAsia="MS UI Gothic"/>
          <w:w w:val="75"/>
        </w:rPr>
        <w:t>ꎬ</w:t>
      </w:r>
      <w:r>
        <w:rPr>
          <w:w w:val="95"/>
        </w:rPr>
        <w:t>由省级煤矿安全监察局负责设计审查</w:t>
      </w:r>
      <w:r>
        <w:rPr>
          <w:rFonts w:hint="eastAsia" w:ascii="MS UI Gothic" w:eastAsia="MS UI Gothic"/>
          <w:w w:val="75"/>
        </w:rPr>
        <w:t>ꎮ</w:t>
      </w:r>
    </w:p>
    <w:p>
      <w:pPr>
        <w:pStyle w:val="6"/>
        <w:spacing w:line="295" w:lineRule="auto"/>
        <w:ind w:right="39"/>
        <w:rPr>
          <w:rFonts w:hint="eastAsia" w:ascii="MS UI Gothic" w:eastAsia="MS UI Gothic"/>
        </w:rPr>
      </w:pPr>
      <w:r>
        <w:rPr>
          <w:w w:val="105"/>
        </w:rPr>
        <w:t>第七条 未设立煤矿安全监察机构的省</w:t>
      </w:r>
      <w:r>
        <w:rPr>
          <w:rFonts w:hint="eastAsia" w:ascii="MS UI Gothic" w:eastAsia="MS UI Gothic"/>
          <w:w w:val="80"/>
        </w:rPr>
        <w:t xml:space="preserve">、 </w:t>
      </w:r>
      <w:r>
        <w:rPr>
          <w:w w:val="105"/>
        </w:rPr>
        <w:t>自治区</w:t>
      </w:r>
      <w:r>
        <w:rPr>
          <w:rFonts w:hint="eastAsia" w:ascii="MS UI Gothic" w:eastAsia="MS UI Gothic"/>
          <w:w w:val="80"/>
        </w:rPr>
        <w:t xml:space="preserve">ꎬ </w:t>
      </w:r>
      <w:r>
        <w:rPr>
          <w:w w:val="105"/>
        </w:rPr>
        <w:t>由省</w:t>
      </w:r>
      <w:r>
        <w:rPr>
          <w:rFonts w:hint="eastAsia" w:ascii="MS UI Gothic" w:eastAsia="MS UI Gothic"/>
          <w:w w:val="80"/>
        </w:rPr>
        <w:t xml:space="preserve">、 </w:t>
      </w:r>
      <w:r>
        <w:rPr>
          <w:w w:val="105"/>
        </w:rPr>
        <w:t>自治区人民政府指定</w:t>
      </w:r>
      <w:r>
        <w:t>的负责煤矿安全监察工作的部门负责本规</w:t>
      </w:r>
      <w:r>
        <w:rPr>
          <w:w w:val="105"/>
        </w:rPr>
        <w:t>定第六条第二项规定的设计审查</w:t>
      </w:r>
      <w:r>
        <w:rPr>
          <w:rFonts w:hint="eastAsia" w:ascii="MS UI Gothic" w:eastAsia="MS UI Gothic"/>
          <w:w w:val="80"/>
        </w:rPr>
        <w:t>ꎮ</w:t>
      </w:r>
    </w:p>
    <w:p>
      <w:pPr>
        <w:pStyle w:val="6"/>
        <w:spacing w:line="295" w:lineRule="auto"/>
        <w:ind w:right="39"/>
        <w:rPr>
          <w:rFonts w:hint="eastAsia" w:ascii="MS UI Gothic" w:eastAsia="MS UI Gothic"/>
        </w:rPr>
      </w:pPr>
      <w:r>
        <w:t>第八条 经省级煤矿安全监察局审查同意的项目</w:t>
      </w:r>
      <w:r>
        <w:rPr>
          <w:rFonts w:hint="eastAsia" w:ascii="MS UI Gothic" w:eastAsia="MS UI Gothic"/>
          <w:w w:val="80"/>
        </w:rPr>
        <w:t xml:space="preserve">ꎬ </w:t>
      </w:r>
      <w:r>
        <w:t>应及时报国家煤矿安全监察局备案</w:t>
      </w:r>
      <w:r>
        <w:rPr>
          <w:rFonts w:hint="eastAsia" w:ascii="MS UI Gothic" w:eastAsia="MS UI Gothic"/>
          <w:w w:val="80"/>
        </w:rPr>
        <w:t>ꎮ</w:t>
      </w:r>
    </w:p>
    <w:p>
      <w:pPr>
        <w:pStyle w:val="6"/>
        <w:tabs>
          <w:tab w:val="left" w:pos="1906"/>
        </w:tabs>
        <w:spacing w:before="150"/>
        <w:ind w:left="1067" w:firstLine="0"/>
        <w:jc w:val="left"/>
      </w:pPr>
      <w:r>
        <w:rPr>
          <w:spacing w:val="3"/>
          <w:w w:val="105"/>
        </w:rPr>
        <w:t>第二</w:t>
      </w:r>
      <w:r>
        <w:rPr>
          <w:w w:val="105"/>
        </w:rPr>
        <w:t>章</w:t>
      </w:r>
      <w:r>
        <w:rPr>
          <w:w w:val="105"/>
        </w:rPr>
        <w:tab/>
      </w:r>
      <w:r>
        <w:rPr>
          <w:w w:val="105"/>
        </w:rPr>
        <w:t>安</w:t>
      </w:r>
      <w:r>
        <w:rPr>
          <w:spacing w:val="-38"/>
          <w:w w:val="105"/>
        </w:rPr>
        <w:t xml:space="preserve"> </w:t>
      </w:r>
      <w:r>
        <w:rPr>
          <w:w w:val="105"/>
        </w:rPr>
        <w:t>全</w:t>
      </w:r>
      <w:r>
        <w:rPr>
          <w:spacing w:val="-38"/>
          <w:w w:val="105"/>
        </w:rPr>
        <w:t xml:space="preserve"> </w:t>
      </w:r>
      <w:r>
        <w:rPr>
          <w:w w:val="105"/>
        </w:rPr>
        <w:t>评</w:t>
      </w:r>
      <w:r>
        <w:rPr>
          <w:spacing w:val="-38"/>
          <w:w w:val="105"/>
        </w:rPr>
        <w:t xml:space="preserve"> </w:t>
      </w:r>
      <w:r>
        <w:rPr>
          <w:w w:val="105"/>
        </w:rPr>
        <w:t>价</w:t>
      </w:r>
    </w:p>
    <w:p>
      <w:pPr>
        <w:pStyle w:val="6"/>
        <w:spacing w:before="215" w:line="295" w:lineRule="auto"/>
        <w:ind w:right="39"/>
        <w:rPr>
          <w:rFonts w:hint="eastAsia" w:ascii="MS UI Gothic" w:eastAsia="MS UI Gothic"/>
        </w:rPr>
      </w:pPr>
      <w:r>
        <w:rPr>
          <w:spacing w:val="2"/>
          <w:w w:val="105"/>
        </w:rPr>
        <w:t>第九条 煤矿建设项目的安全评价包</w:t>
      </w:r>
      <w:r>
        <w:rPr>
          <w:spacing w:val="3"/>
          <w:w w:val="105"/>
        </w:rPr>
        <w:t>括安全预评价和安全验收评价</w:t>
      </w:r>
      <w:r>
        <w:rPr>
          <w:rFonts w:hint="eastAsia" w:ascii="MS UI Gothic" w:eastAsia="MS UI Gothic"/>
          <w:w w:val="80"/>
        </w:rPr>
        <w:t>ꎮ</w:t>
      </w:r>
    </w:p>
    <w:p>
      <w:pPr>
        <w:pStyle w:val="6"/>
        <w:spacing w:line="295" w:lineRule="auto"/>
        <w:ind w:right="39"/>
        <w:rPr>
          <w:rFonts w:hint="eastAsia" w:ascii="MS UI Gothic" w:eastAsia="MS UI Gothic"/>
        </w:rPr>
      </w:pPr>
      <w:r>
        <w:t>煤矿建设项目在可行性研究阶段</w:t>
      </w:r>
      <w:r>
        <w:rPr>
          <w:rFonts w:hint="eastAsia" w:ascii="MS UI Gothic" w:eastAsia="MS UI Gothic"/>
          <w:w w:val="80"/>
        </w:rPr>
        <w:t xml:space="preserve">ꎬ </w:t>
      </w:r>
      <w:r>
        <w:t>应当进行安全预评价</w:t>
      </w:r>
      <w:r>
        <w:rPr>
          <w:rFonts w:hint="eastAsia" w:ascii="MS UI Gothic" w:eastAsia="MS UI Gothic"/>
          <w:w w:val="80"/>
        </w:rPr>
        <w:t xml:space="preserve">ꎻ </w:t>
      </w:r>
      <w:r>
        <w:t>在投入生产或者使用前</w:t>
      </w:r>
      <w:r>
        <w:rPr>
          <w:rFonts w:hint="eastAsia" w:ascii="MS UI Gothic" w:eastAsia="MS UI Gothic"/>
          <w:w w:val="80"/>
        </w:rPr>
        <w:t xml:space="preserve">ꎬ </w:t>
      </w:r>
      <w:r>
        <w:t>应当进行安全验收评价</w:t>
      </w:r>
      <w:r>
        <w:rPr>
          <w:rFonts w:hint="eastAsia" w:ascii="MS UI Gothic" w:eastAsia="MS UI Gothic"/>
          <w:w w:val="80"/>
        </w:rPr>
        <w:t>ꎮ</w:t>
      </w:r>
    </w:p>
    <w:p>
      <w:pPr>
        <w:pStyle w:val="6"/>
        <w:spacing w:line="295" w:lineRule="auto"/>
        <w:ind w:right="39"/>
      </w:pPr>
      <w:r>
        <w:rPr>
          <w:w w:val="105"/>
        </w:rPr>
        <w:t>第十条 煤矿建设项目的安全评价应</w:t>
      </w:r>
      <w:r>
        <w:t>由具有国家规定资质的安全中介机构承</w:t>
      </w:r>
    </w:p>
    <w:p>
      <w:pPr>
        <w:pStyle w:val="6"/>
        <w:spacing w:before="63"/>
        <w:ind w:left="118" w:firstLine="0"/>
        <w:jc w:val="left"/>
        <w:rPr>
          <w:rFonts w:hint="eastAsia" w:ascii="MS UI Gothic" w:eastAsia="MS UI Gothic"/>
        </w:rPr>
      </w:pPr>
      <w:r>
        <w:br w:type="column"/>
      </w:r>
      <w:r>
        <w:rPr>
          <w:w w:val="115"/>
        </w:rPr>
        <w:t>价报告应当包括以下内容</w:t>
      </w:r>
      <w:r>
        <w:rPr>
          <w:rFonts w:hint="eastAsia" w:ascii="MS UI Gothic" w:eastAsia="MS UI Gothic"/>
          <w:w w:val="235"/>
        </w:rPr>
        <w:t>:</w:t>
      </w:r>
    </w:p>
    <w:p>
      <w:pPr>
        <w:pStyle w:val="6"/>
        <w:spacing w:before="58" w:line="295" w:lineRule="auto"/>
        <w:ind w:left="118" w:right="442"/>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安全设施符合法律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标准和规程规定以及设计文件的评价</w:t>
      </w:r>
      <w:r>
        <w:rPr>
          <w:rFonts w:hint="eastAsia" w:ascii="MS UI Gothic" w:eastAsia="MS UI Gothic"/>
          <w:w w:val="80"/>
        </w:rPr>
        <w:t>ꎻ</w:t>
      </w:r>
    </w:p>
    <w:p>
      <w:pPr>
        <w:pStyle w:val="6"/>
        <w:spacing w:line="295" w:lineRule="auto"/>
        <w:ind w:left="118" w:right="442"/>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安全设施在生产或使用中的有</w:t>
      </w:r>
      <w:r>
        <w:rPr>
          <w:w w:val="110"/>
        </w:rPr>
        <w:t>效性评价</w:t>
      </w:r>
      <w:r>
        <w:rPr>
          <w:rFonts w:hint="eastAsia" w:ascii="MS UI Gothic" w:eastAsia="MS UI Gothic"/>
          <w:w w:val="80"/>
        </w:rPr>
        <w:t>ꎻ</w:t>
      </w:r>
    </w:p>
    <w:p>
      <w:pPr>
        <w:pStyle w:val="6"/>
        <w:spacing w:line="295" w:lineRule="auto"/>
        <w:ind w:left="118" w:right="442"/>
        <w:jc w:val="left"/>
        <w:rPr>
          <w:rFonts w:hint="eastAsia" w:ascii="MS UI Gothic" w:eastAsia="MS UI Gothic"/>
        </w:rPr>
      </w:pPr>
      <w:r>
        <w:rPr>
          <w:rFonts w:hint="eastAsia" w:ascii="MS UI Gothic" w:eastAsia="MS UI Gothic"/>
          <w:w w:val="120"/>
        </w:rPr>
        <w:t xml:space="preserve">( </w:t>
      </w:r>
      <w:r>
        <w:rPr>
          <w:w w:val="110"/>
        </w:rPr>
        <w:t>三</w:t>
      </w:r>
      <w:r>
        <w:rPr>
          <w:rFonts w:hint="eastAsia" w:ascii="MS UI Gothic" w:eastAsia="MS UI Gothic"/>
          <w:w w:val="120"/>
        </w:rPr>
        <w:t xml:space="preserve">) </w:t>
      </w:r>
      <w:r>
        <w:rPr>
          <w:w w:val="110"/>
        </w:rPr>
        <w:t>职业危害防治措施的有效性评价</w:t>
      </w:r>
      <w:r>
        <w:rPr>
          <w:rFonts w:hint="eastAsia" w:ascii="MS UI Gothic" w:eastAsia="MS UI Gothic"/>
          <w:w w:val="80"/>
        </w:rPr>
        <w:t>ꎻ</w:t>
      </w:r>
    </w:p>
    <w:p>
      <w:pPr>
        <w:pStyle w:val="6"/>
        <w:spacing w:line="255" w:lineRule="exact"/>
        <w:ind w:left="538"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建设项目的整体安全性评价</w:t>
      </w:r>
      <w:r>
        <w:rPr>
          <w:rFonts w:hint="eastAsia" w:ascii="MS UI Gothic" w:eastAsia="MS UI Gothic"/>
          <w:w w:val="80"/>
        </w:rPr>
        <w:t>ꎻ</w:t>
      </w:r>
    </w:p>
    <w:p>
      <w:pPr>
        <w:pStyle w:val="6"/>
        <w:spacing w:before="55" w:line="295" w:lineRule="auto"/>
        <w:ind w:left="118" w:right="442"/>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存在的安全问题和解决问题的</w:t>
      </w:r>
      <w:r>
        <w:rPr>
          <w:w w:val="110"/>
        </w:rPr>
        <w:t>建议</w:t>
      </w:r>
      <w:r>
        <w:rPr>
          <w:rFonts w:hint="eastAsia" w:ascii="MS UI Gothic" w:eastAsia="MS UI Gothic"/>
          <w:w w:val="80"/>
        </w:rPr>
        <w:t>ꎻ</w:t>
      </w:r>
    </w:p>
    <w:p>
      <w:pPr>
        <w:pStyle w:val="6"/>
        <w:spacing w:line="255" w:lineRule="exact"/>
        <w:ind w:left="538"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验收评价结论</w:t>
      </w:r>
      <w:r>
        <w:rPr>
          <w:rFonts w:hint="eastAsia" w:ascii="MS UI Gothic" w:eastAsia="MS UI Gothic"/>
          <w:w w:val="80"/>
        </w:rPr>
        <w:t>ꎻ</w:t>
      </w:r>
    </w:p>
    <w:p>
      <w:pPr>
        <w:pStyle w:val="6"/>
        <w:spacing w:before="58" w:line="295" w:lineRule="auto"/>
        <w:ind w:left="118" w:right="440"/>
        <w:jc w:val="left"/>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有关试运转期间的技术资料</w:t>
      </w:r>
      <w:r>
        <w:rPr>
          <w:rFonts w:hint="eastAsia" w:ascii="MS UI Gothic" w:eastAsia="MS UI Gothic"/>
          <w:w w:val="80"/>
        </w:rPr>
        <w:t>、</w:t>
      </w:r>
      <w:r>
        <w:rPr>
          <w:w w:val="105"/>
        </w:rPr>
        <w:t>现场检测</w:t>
      </w:r>
      <w:r>
        <w:rPr>
          <w:rFonts w:hint="eastAsia" w:ascii="MS UI Gothic" w:eastAsia="MS UI Gothic"/>
          <w:w w:val="80"/>
        </w:rPr>
        <w:t xml:space="preserve">、 </w:t>
      </w:r>
      <w:r>
        <w:rPr>
          <w:w w:val="105"/>
        </w:rPr>
        <w:t>检验数据和统计分析资料</w:t>
      </w:r>
      <w:r>
        <w:rPr>
          <w:rFonts w:hint="eastAsia" w:ascii="MS UI Gothic" w:eastAsia="MS UI Gothic"/>
          <w:w w:val="80"/>
        </w:rPr>
        <w:t>ꎻ</w:t>
      </w:r>
    </w:p>
    <w:p>
      <w:pPr>
        <w:pStyle w:val="6"/>
        <w:spacing w:line="255" w:lineRule="exact"/>
        <w:ind w:left="538" w:firstLine="0"/>
        <w:jc w:val="left"/>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其他需要说明的事项</w:t>
      </w:r>
      <w:r>
        <w:rPr>
          <w:rFonts w:hint="eastAsia" w:ascii="MS UI Gothic" w:eastAsia="MS UI Gothic"/>
          <w:w w:val="80"/>
        </w:rPr>
        <w:t>ꎮ</w:t>
      </w:r>
    </w:p>
    <w:p>
      <w:pPr>
        <w:pStyle w:val="6"/>
        <w:tabs>
          <w:tab w:val="left" w:pos="1900"/>
        </w:tabs>
        <w:spacing w:before="215"/>
        <w:ind w:left="1062" w:firstLine="0"/>
        <w:jc w:val="left"/>
      </w:pPr>
      <w:r>
        <w:rPr>
          <w:spacing w:val="3"/>
          <w:w w:val="105"/>
        </w:rPr>
        <w:t>第三</w:t>
      </w:r>
      <w:r>
        <w:rPr>
          <w:w w:val="105"/>
        </w:rPr>
        <w:t>章</w:t>
      </w:r>
      <w:r>
        <w:rPr>
          <w:w w:val="105"/>
        </w:rPr>
        <w:tab/>
      </w:r>
      <w:r>
        <w:rPr>
          <w:w w:val="105"/>
        </w:rPr>
        <w:t>设</w:t>
      </w:r>
      <w:r>
        <w:rPr>
          <w:spacing w:val="-33"/>
          <w:w w:val="105"/>
        </w:rPr>
        <w:t xml:space="preserve"> </w:t>
      </w:r>
      <w:r>
        <w:rPr>
          <w:w w:val="105"/>
        </w:rPr>
        <w:t>计</w:t>
      </w:r>
      <w:r>
        <w:rPr>
          <w:spacing w:val="-33"/>
          <w:w w:val="105"/>
        </w:rPr>
        <w:t xml:space="preserve"> </w:t>
      </w:r>
      <w:r>
        <w:rPr>
          <w:w w:val="105"/>
        </w:rPr>
        <w:t>审</w:t>
      </w:r>
      <w:r>
        <w:rPr>
          <w:spacing w:val="-33"/>
          <w:w w:val="105"/>
        </w:rPr>
        <w:t xml:space="preserve"> </w:t>
      </w:r>
      <w:r>
        <w:rPr>
          <w:w w:val="105"/>
        </w:rPr>
        <w:t>查</w:t>
      </w:r>
    </w:p>
    <w:p>
      <w:pPr>
        <w:pStyle w:val="6"/>
        <w:spacing w:before="11"/>
        <w:ind w:left="0" w:firstLine="0"/>
        <w:jc w:val="left"/>
        <w:rPr>
          <w:sz w:val="16"/>
        </w:rPr>
      </w:pPr>
    </w:p>
    <w:p>
      <w:pPr>
        <w:pStyle w:val="6"/>
        <w:tabs>
          <w:tab w:val="left" w:pos="1585"/>
        </w:tabs>
        <w:spacing w:line="295" w:lineRule="auto"/>
        <w:ind w:left="118" w:right="442"/>
        <w:jc w:val="left"/>
      </w:pPr>
      <w:r>
        <w:rPr>
          <w:spacing w:val="3"/>
          <w:w w:val="105"/>
        </w:rPr>
        <w:t>第十五</w:t>
      </w:r>
      <w:r>
        <w:rPr>
          <w:w w:val="105"/>
        </w:rPr>
        <w:t>条</w:t>
      </w:r>
      <w:r>
        <w:rPr>
          <w:w w:val="105"/>
        </w:rPr>
        <w:tab/>
      </w:r>
      <w:r>
        <w:rPr>
          <w:spacing w:val="3"/>
        </w:rPr>
        <w:t>煤矿建设项目的安全设</w:t>
      </w:r>
      <w:r>
        <w:t>施</w:t>
      </w:r>
      <w:r>
        <w:rPr>
          <w:spacing w:val="3"/>
        </w:rPr>
        <w:t>设计应经煤矿安全监察机构审查同意</w:t>
      </w:r>
      <w:r>
        <w:rPr>
          <w:rFonts w:hint="eastAsia" w:ascii="MS UI Gothic" w:eastAsia="MS UI Gothic"/>
          <w:w w:val="80"/>
        </w:rPr>
        <w:t>ꎻ</w:t>
      </w:r>
      <w:r>
        <w:rPr>
          <w:rFonts w:hint="eastAsia" w:ascii="MS UI Gothic" w:eastAsia="MS UI Gothic"/>
          <w:spacing w:val="40"/>
          <w:w w:val="80"/>
        </w:rPr>
        <w:t xml:space="preserve"> </w:t>
      </w:r>
      <w:r>
        <w:t>未</w:t>
      </w:r>
    </w:p>
    <w:p>
      <w:pPr>
        <w:spacing w:after="0" w:line="295" w:lineRule="auto"/>
        <w:jc w:val="left"/>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２２９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17" o:spid="_x0000_s1717" o:spt="203" style="height:2.15pt;width:398.25pt;" coordsize="7965,43">
            <o:lock v:ext="edit"/>
            <v:line id="_x0000_s1718" o:spid="_x0000_s1718" o:spt="20" style="position:absolute;left:0;top:39;height:0;width:7965;" stroked="t" coordsize="21600,21600">
              <v:path arrowok="t"/>
              <v:fill focussize="0,0"/>
              <v:stroke weight="0.388031496062992pt" color="#231F20"/>
              <v:imagedata o:title=""/>
              <o:lock v:ext="edit"/>
            </v:line>
            <v:line id="_x0000_s1719" o:spid="_x0000_s171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经审查同意的</w:t>
      </w:r>
      <w:r>
        <w:rPr>
          <w:rFonts w:hint="eastAsia" w:ascii="MS UI Gothic" w:eastAsia="MS UI Gothic"/>
          <w:w w:val="80"/>
        </w:rPr>
        <w:t xml:space="preserve">ꎬ </w:t>
      </w:r>
      <w:r>
        <w:t>不得施工</w:t>
      </w:r>
      <w:r>
        <w:rPr>
          <w:rFonts w:hint="eastAsia" w:ascii="MS UI Gothic" w:eastAsia="MS UI Gothic"/>
          <w:w w:val="80"/>
        </w:rPr>
        <w:t>ꎮ</w:t>
      </w:r>
    </w:p>
    <w:p>
      <w:pPr>
        <w:pStyle w:val="6"/>
        <w:spacing w:before="58" w:line="295" w:lineRule="auto"/>
        <w:ind w:left="440" w:right="1"/>
        <w:rPr>
          <w:rFonts w:hint="eastAsia" w:ascii="MS UI Gothic" w:eastAsia="MS UI Gothic"/>
        </w:rPr>
      </w:pPr>
      <w:r>
        <w:t>第十六条 煤矿建设项目的安全设施设计</w:t>
      </w:r>
      <w:r>
        <w:rPr>
          <w:rFonts w:hint="eastAsia" w:ascii="MS UI Gothic" w:eastAsia="MS UI Gothic"/>
          <w:w w:val="80"/>
        </w:rPr>
        <w:t xml:space="preserve">ꎬ </w:t>
      </w:r>
      <w:r>
        <w:t>应由具有相应资质的设计单位承担</w:t>
      </w:r>
      <w:r>
        <w:rPr>
          <w:rFonts w:hint="eastAsia" w:ascii="MS UI Gothic" w:eastAsia="MS UI Gothic"/>
          <w:w w:val="80"/>
        </w:rPr>
        <w:t xml:space="preserve">ꎮ </w:t>
      </w:r>
      <w:r>
        <w:t>设计单位对安全设施设计负责</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第十七条 煤矿建设项目的安全设施</w:t>
      </w:r>
      <w:r>
        <w:rPr>
          <w:spacing w:val="8"/>
        </w:rPr>
        <w:t>设计应当包括煤矿水</w:t>
      </w:r>
      <w:r>
        <w:rPr>
          <w:rFonts w:hint="eastAsia" w:ascii="MS UI Gothic" w:eastAsia="MS UI Gothic"/>
          <w:spacing w:val="17"/>
          <w:w w:val="80"/>
        </w:rPr>
        <w:t xml:space="preserve">、 </w:t>
      </w:r>
      <w:r>
        <w:rPr>
          <w:spacing w:val="3"/>
        </w:rPr>
        <w:t>火</w:t>
      </w:r>
      <w:r>
        <w:rPr>
          <w:rFonts w:hint="eastAsia" w:ascii="MS UI Gothic" w:eastAsia="MS UI Gothic"/>
          <w:spacing w:val="18"/>
          <w:w w:val="80"/>
        </w:rPr>
        <w:t xml:space="preserve">、 </w:t>
      </w:r>
      <w:r>
        <w:rPr>
          <w:spacing w:val="8"/>
        </w:rPr>
        <w:t>瓦斯</w:t>
      </w:r>
      <w:r>
        <w:rPr>
          <w:rFonts w:hint="eastAsia" w:ascii="MS UI Gothic" w:eastAsia="MS UI Gothic"/>
          <w:spacing w:val="19"/>
          <w:w w:val="80"/>
        </w:rPr>
        <w:t xml:space="preserve">、 </w:t>
      </w:r>
      <w:r>
        <w:rPr>
          <w:spacing w:val="9"/>
        </w:rPr>
        <w:t>煤尘</w:t>
      </w:r>
      <w:r>
        <w:rPr>
          <w:rFonts w:hint="eastAsia" w:ascii="MS UI Gothic" w:eastAsia="MS UI Gothic"/>
          <w:w w:val="80"/>
        </w:rPr>
        <w:t>、</w:t>
      </w:r>
      <w:r>
        <w:rPr>
          <w:spacing w:val="3"/>
        </w:rPr>
        <w:t>顶板等主要灾害的防治措施</w:t>
      </w:r>
      <w:r>
        <w:rPr>
          <w:rFonts w:hint="eastAsia" w:ascii="MS UI Gothic" w:eastAsia="MS UI Gothic"/>
          <w:spacing w:val="21"/>
          <w:w w:val="80"/>
        </w:rPr>
        <w:t xml:space="preserve">ꎬ </w:t>
      </w:r>
      <w:r>
        <w:rPr>
          <w:spacing w:val="2"/>
        </w:rPr>
        <w:t>所确定的设</w:t>
      </w:r>
      <w:r>
        <w:rPr>
          <w:spacing w:val="3"/>
        </w:rPr>
        <w:t>施</w:t>
      </w:r>
      <w:r>
        <w:rPr>
          <w:rFonts w:hint="eastAsia" w:ascii="MS UI Gothic" w:eastAsia="MS UI Gothic"/>
          <w:spacing w:val="23"/>
          <w:w w:val="80"/>
        </w:rPr>
        <w:t xml:space="preserve">、 </w:t>
      </w:r>
      <w:r>
        <w:rPr>
          <w:spacing w:val="3"/>
        </w:rPr>
        <w:t>设备</w:t>
      </w:r>
      <w:r>
        <w:rPr>
          <w:rFonts w:hint="eastAsia" w:ascii="MS UI Gothic" w:eastAsia="MS UI Gothic"/>
          <w:spacing w:val="23"/>
          <w:w w:val="80"/>
        </w:rPr>
        <w:t xml:space="preserve">、 </w:t>
      </w:r>
      <w:r>
        <w:rPr>
          <w:spacing w:val="2"/>
        </w:rPr>
        <w:t>器材等应当符合国家标准和行</w:t>
      </w:r>
      <w:r>
        <w:rPr>
          <w:spacing w:val="3"/>
        </w:rPr>
        <w:t>业标准</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第十八条 煤矿建设项目的安全设施</w:t>
      </w:r>
      <w:r>
        <w:rPr>
          <w:spacing w:val="3"/>
        </w:rPr>
        <w:t>设计审查前</w:t>
      </w:r>
      <w:r>
        <w:rPr>
          <w:rFonts w:hint="eastAsia" w:ascii="MS UI Gothic" w:eastAsia="MS UI Gothic"/>
          <w:spacing w:val="21"/>
          <w:w w:val="80"/>
        </w:rPr>
        <w:t xml:space="preserve">ꎬ </w:t>
      </w:r>
      <w:r>
        <w:rPr>
          <w:spacing w:val="2"/>
        </w:rPr>
        <w:t>煤矿企业应当按照本规定第</w:t>
      </w:r>
      <w:r>
        <w:rPr>
          <w:spacing w:val="3"/>
        </w:rPr>
        <w:t>六条的规定</w:t>
      </w:r>
      <w:r>
        <w:rPr>
          <w:rFonts w:hint="eastAsia" w:ascii="MS UI Gothic" w:eastAsia="MS UI Gothic"/>
          <w:spacing w:val="21"/>
          <w:w w:val="80"/>
        </w:rPr>
        <w:t xml:space="preserve">ꎬ </w:t>
      </w:r>
      <w:r>
        <w:rPr>
          <w:spacing w:val="2"/>
        </w:rPr>
        <w:t>向煤矿安全监察机构提出书</w:t>
      </w:r>
      <w:r>
        <w:rPr>
          <w:spacing w:val="3"/>
        </w:rPr>
        <w:t>面申请</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第十九条 申请煤矿建设项目的安全</w:t>
      </w:r>
      <w:r>
        <w:rPr>
          <w:w w:val="110"/>
        </w:rPr>
        <w:t>设施设计审查</w:t>
      </w:r>
      <w:r>
        <w:rPr>
          <w:rFonts w:hint="eastAsia" w:ascii="MS UI Gothic" w:eastAsia="MS UI Gothic"/>
          <w:w w:val="80"/>
        </w:rPr>
        <w:t xml:space="preserve">ꎬ </w:t>
      </w:r>
      <w:r>
        <w:rPr>
          <w:w w:val="110"/>
        </w:rPr>
        <w:t>应当提交下列资料</w:t>
      </w:r>
      <w:r>
        <w:rPr>
          <w:rFonts w:hint="eastAsia" w:ascii="MS UI Gothic" w:eastAsia="MS UI Gothic"/>
          <w:w w:val="235"/>
        </w:rPr>
        <w:t>:</w:t>
      </w:r>
    </w:p>
    <w:p>
      <w:pPr>
        <w:pStyle w:val="6"/>
        <w:spacing w:line="295" w:lineRule="auto"/>
        <w:ind w:left="440" w:right="1"/>
        <w:jc w:val="left"/>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安全设施设计审查申请报告及</w:t>
      </w:r>
      <w:r>
        <w:rPr>
          <w:spacing w:val="3"/>
          <w:w w:val="110"/>
        </w:rPr>
        <w:t>申请表</w:t>
      </w:r>
      <w:r>
        <w:rPr>
          <w:rFonts w:hint="eastAsia" w:ascii="MS UI Gothic" w:eastAsia="MS UI Gothic"/>
          <w:w w:val="80"/>
        </w:rPr>
        <w:t>ꎻ</w:t>
      </w:r>
    </w:p>
    <w:p>
      <w:pPr>
        <w:pStyle w:val="6"/>
        <w:spacing w:line="295" w:lineRule="auto"/>
        <w:ind w:left="440" w:right="1"/>
        <w:jc w:val="left"/>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5"/>
          <w:w w:val="105"/>
        </w:rPr>
        <w:t>建设项目审批</w:t>
      </w:r>
      <w:r>
        <w:rPr>
          <w:rFonts w:hint="eastAsia" w:ascii="MS UI Gothic" w:eastAsia="MS UI Gothic"/>
          <w:spacing w:val="24"/>
          <w:w w:val="80"/>
        </w:rPr>
        <w:t xml:space="preserve">、 </w:t>
      </w:r>
      <w:r>
        <w:rPr>
          <w:spacing w:val="9"/>
          <w:w w:val="105"/>
        </w:rPr>
        <w:t>核准或者备案</w:t>
      </w:r>
      <w:r>
        <w:rPr>
          <w:spacing w:val="3"/>
          <w:w w:val="105"/>
        </w:rPr>
        <w:t>的文件</w:t>
      </w:r>
      <w:r>
        <w:rPr>
          <w:rFonts w:hint="eastAsia" w:ascii="MS UI Gothic" w:eastAsia="MS UI Gothic"/>
          <w:w w:val="80"/>
        </w:rPr>
        <w:t>ꎻ</w:t>
      </w:r>
    </w:p>
    <w:p>
      <w:pPr>
        <w:pStyle w:val="6"/>
        <w:spacing w:line="295" w:lineRule="auto"/>
        <w:ind w:left="440" w:right="1"/>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采矿许可证或者矿区范围批准</w:t>
      </w:r>
      <w:r>
        <w:rPr>
          <w:w w:val="110"/>
        </w:rPr>
        <w:t>文件</w:t>
      </w:r>
      <w:r>
        <w:rPr>
          <w:rFonts w:hint="eastAsia" w:ascii="MS UI Gothic" w:eastAsia="MS UI Gothic"/>
          <w:w w:val="80"/>
        </w:rPr>
        <w:t>ꎻ</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安全预评价报告书</w:t>
      </w:r>
      <w:r>
        <w:rPr>
          <w:rFonts w:hint="eastAsia" w:ascii="MS UI Gothic" w:eastAsia="MS UI Gothic"/>
          <w:w w:val="80"/>
        </w:rPr>
        <w:t>ꎻ</w:t>
      </w:r>
    </w:p>
    <w:p>
      <w:pPr>
        <w:pStyle w:val="6"/>
        <w:spacing w:before="44" w:line="295" w:lineRule="auto"/>
        <w:ind w:left="860" w:right="797" w:firstLine="0"/>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初步设计及安全专篇</w:t>
      </w:r>
      <w:r>
        <w:rPr>
          <w:rFonts w:hint="eastAsia" w:ascii="MS UI Gothic" w:eastAsia="MS UI Gothic"/>
          <w:w w:val="80"/>
        </w:rPr>
        <w:t>ꎻ</w:t>
      </w: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其他需要说明的材料</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第二十条 煤矿安全监察机构接到审</w:t>
      </w:r>
      <w:r>
        <w:t>查申请后</w:t>
      </w:r>
      <w:r>
        <w:rPr>
          <w:rFonts w:hint="eastAsia" w:ascii="MS UI Gothic" w:eastAsia="MS UI Gothic"/>
          <w:w w:val="80"/>
        </w:rPr>
        <w:t xml:space="preserve">ꎬ </w:t>
      </w:r>
      <w:r>
        <w:t>应当对上报资料进行审查</w:t>
      </w:r>
      <w:r>
        <w:rPr>
          <w:rFonts w:hint="eastAsia" w:ascii="MS UI Gothic" w:eastAsia="MS UI Gothic"/>
          <w:w w:val="80"/>
        </w:rPr>
        <w:t xml:space="preserve">ꎮ </w:t>
      </w:r>
      <w:r>
        <w:t>有</w:t>
      </w:r>
      <w:r>
        <w:rPr>
          <w:w w:val="105"/>
        </w:rPr>
        <w:t>下列情形之一的</w:t>
      </w:r>
      <w:r>
        <w:rPr>
          <w:rFonts w:hint="eastAsia" w:ascii="MS UI Gothic" w:eastAsia="MS UI Gothic"/>
          <w:w w:val="80"/>
        </w:rPr>
        <w:t xml:space="preserve">ꎬ </w:t>
      </w:r>
      <w:r>
        <w:rPr>
          <w:w w:val="105"/>
        </w:rPr>
        <w:t>为设计审查不合格</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安全设施设计未由具备相应资</w:t>
      </w:r>
      <w:r>
        <w:rPr>
          <w:w w:val="110"/>
        </w:rPr>
        <w:t>质的设计单位承担的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煤矿水</w:t>
      </w:r>
      <w:r>
        <w:rPr>
          <w:rFonts w:hint="eastAsia" w:ascii="MS UI Gothic" w:eastAsia="MS UI Gothic"/>
          <w:w w:val="80"/>
        </w:rPr>
        <w:t xml:space="preserve">、 </w:t>
      </w:r>
      <w:r>
        <w:rPr>
          <w:w w:val="105"/>
        </w:rPr>
        <w:t>火</w:t>
      </w:r>
      <w:r>
        <w:rPr>
          <w:rFonts w:hint="eastAsia" w:ascii="MS UI Gothic" w:eastAsia="MS UI Gothic"/>
          <w:w w:val="80"/>
        </w:rPr>
        <w:t xml:space="preserve">、 </w:t>
      </w:r>
      <w:r>
        <w:rPr>
          <w:w w:val="105"/>
        </w:rPr>
        <w:t>瓦斯</w:t>
      </w:r>
      <w:r>
        <w:rPr>
          <w:rFonts w:hint="eastAsia" w:ascii="MS UI Gothic" w:eastAsia="MS UI Gothic"/>
          <w:w w:val="80"/>
        </w:rPr>
        <w:t xml:space="preserve">、 </w:t>
      </w:r>
      <w:r>
        <w:rPr>
          <w:w w:val="105"/>
        </w:rPr>
        <w:t>煤尘</w:t>
      </w:r>
      <w:r>
        <w:rPr>
          <w:rFonts w:hint="eastAsia" w:ascii="MS UI Gothic" w:eastAsia="MS UI Gothic"/>
          <w:w w:val="80"/>
        </w:rPr>
        <w:t xml:space="preserve">、 </w:t>
      </w:r>
      <w:r>
        <w:rPr>
          <w:w w:val="105"/>
        </w:rPr>
        <w:t>顶板等主要灾害防治措施不符合规定的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安全设施设计不符合工程建设强制性标准</w:t>
      </w:r>
      <w:r>
        <w:rPr>
          <w:rFonts w:hint="eastAsia" w:ascii="MS UI Gothic" w:eastAsia="MS UI Gothic"/>
          <w:w w:val="80"/>
        </w:rPr>
        <w:t xml:space="preserve">、 </w:t>
      </w:r>
      <w:r>
        <w:rPr>
          <w:w w:val="105"/>
        </w:rPr>
        <w:t>煤矿安全规程和行业技术规范的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所确定的设施</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器材不符合国家标准和行业标准的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不符合国家煤矿安全监察局规</w:t>
      </w:r>
      <w:r>
        <w:rPr>
          <w:w w:val="110"/>
        </w:rPr>
        <w:t>定的其他条件的</w:t>
      </w:r>
      <w:r>
        <w:rPr>
          <w:rFonts w:hint="eastAsia" w:ascii="MS UI Gothic" w:eastAsia="MS UI Gothic"/>
          <w:w w:val="80"/>
        </w:rPr>
        <w:t>ꎮ</w:t>
      </w:r>
    </w:p>
    <w:p>
      <w:pPr>
        <w:pStyle w:val="6"/>
        <w:tabs>
          <w:tab w:val="left" w:pos="2117"/>
        </w:tabs>
        <w:spacing w:line="255" w:lineRule="exact"/>
        <w:ind w:left="860" w:firstLine="0"/>
        <w:jc w:val="left"/>
      </w:pPr>
      <w:r>
        <w:rPr>
          <w:spacing w:val="3"/>
          <w:w w:val="105"/>
        </w:rPr>
        <w:t>第二十一</w:t>
      </w:r>
      <w:r>
        <w:rPr>
          <w:w w:val="105"/>
        </w:rPr>
        <w:t>条</w:t>
      </w:r>
      <w:r>
        <w:rPr>
          <w:w w:val="105"/>
        </w:rPr>
        <w:tab/>
      </w:r>
      <w:r>
        <w:rPr>
          <w:spacing w:val="3"/>
        </w:rPr>
        <w:t>煤矿安全监察机构审</w:t>
      </w:r>
      <w:r>
        <w:t>查</w:t>
      </w:r>
    </w:p>
    <w:p>
      <w:pPr>
        <w:pStyle w:val="6"/>
        <w:spacing w:before="124" w:line="295" w:lineRule="auto"/>
        <w:ind w:left="381" w:right="126" w:firstLine="0"/>
        <w:rPr>
          <w:rFonts w:hint="eastAsia" w:ascii="MS UI Gothic" w:eastAsia="MS UI Gothic"/>
        </w:rPr>
      </w:pPr>
      <w:r>
        <w:br w:type="column"/>
      </w:r>
      <w:r>
        <w:t>煤矿建设项目的安全设施设计</w:t>
      </w:r>
      <w:r>
        <w:rPr>
          <w:rFonts w:hint="eastAsia" w:ascii="MS UI Gothic" w:eastAsia="MS UI Gothic"/>
          <w:w w:val="85"/>
        </w:rPr>
        <w:t xml:space="preserve">ꎬ </w:t>
      </w:r>
      <w:r>
        <w:t xml:space="preserve">应当自收到审查申请起 </w:t>
      </w:r>
      <w:r>
        <w:rPr>
          <w:rFonts w:hint="eastAsia" w:ascii="MS UI Gothic" w:eastAsia="MS UI Gothic"/>
          <w:w w:val="85"/>
        </w:rPr>
        <w:t xml:space="preserve">３０ </w:t>
      </w:r>
      <w:r>
        <w:t>日内审查完毕</w:t>
      </w:r>
      <w:r>
        <w:rPr>
          <w:rFonts w:hint="eastAsia" w:ascii="MS UI Gothic" w:eastAsia="MS UI Gothic"/>
          <w:w w:val="85"/>
        </w:rPr>
        <w:t xml:space="preserve">ꎮ </w:t>
      </w:r>
      <w:r>
        <w:t>经审查同意的</w:t>
      </w:r>
      <w:r>
        <w:rPr>
          <w:rFonts w:hint="eastAsia" w:ascii="MS UI Gothic" w:eastAsia="MS UI Gothic"/>
          <w:w w:val="85"/>
        </w:rPr>
        <w:t xml:space="preserve">ꎬ </w:t>
      </w:r>
      <w:r>
        <w:t>应当以文件形式批复</w:t>
      </w:r>
      <w:r>
        <w:rPr>
          <w:rFonts w:hint="eastAsia" w:ascii="MS UI Gothic" w:eastAsia="MS UI Gothic"/>
          <w:w w:val="85"/>
        </w:rPr>
        <w:t xml:space="preserve">ꎻ </w:t>
      </w:r>
      <w:r>
        <w:t>不同意的</w:t>
      </w:r>
      <w:r>
        <w:rPr>
          <w:rFonts w:hint="eastAsia" w:ascii="MS UI Gothic" w:eastAsia="MS UI Gothic"/>
          <w:w w:val="85"/>
        </w:rPr>
        <w:t xml:space="preserve">ꎬ </w:t>
      </w:r>
      <w:r>
        <w:t>应当提出审查意见</w:t>
      </w:r>
      <w:r>
        <w:rPr>
          <w:rFonts w:hint="eastAsia" w:ascii="MS UI Gothic" w:eastAsia="MS UI Gothic"/>
          <w:w w:val="85"/>
        </w:rPr>
        <w:t xml:space="preserve">ꎬ </w:t>
      </w:r>
      <w:r>
        <w:t>并以书面形式答复</w:t>
      </w:r>
      <w:r>
        <w:rPr>
          <w:rFonts w:hint="eastAsia" w:ascii="MS UI Gothic" w:eastAsia="MS UI Gothic"/>
          <w:w w:val="85"/>
        </w:rPr>
        <w:t>ꎮ</w:t>
      </w:r>
    </w:p>
    <w:p>
      <w:pPr>
        <w:pStyle w:val="6"/>
        <w:spacing w:line="295" w:lineRule="auto"/>
        <w:ind w:left="381" w:right="126"/>
        <w:rPr>
          <w:rFonts w:hint="eastAsia" w:ascii="MS UI Gothic" w:eastAsia="MS UI Gothic"/>
        </w:rPr>
      </w:pPr>
      <w:r>
        <w:rPr>
          <w:w w:val="105"/>
        </w:rPr>
        <w:t>第二十二条 煤矿企业对已批准的煤</w:t>
      </w:r>
      <w:r>
        <w:t>矿建设项目安全设施设计需作重大变更</w:t>
      </w:r>
      <w:r>
        <w:rPr>
          <w:w w:val="105"/>
        </w:rPr>
        <w:t>的</w:t>
      </w:r>
      <w:r>
        <w:rPr>
          <w:rFonts w:hint="eastAsia" w:ascii="MS UI Gothic" w:eastAsia="MS UI Gothic"/>
          <w:w w:val="80"/>
        </w:rPr>
        <w:t xml:space="preserve">ꎬ </w:t>
      </w:r>
      <w:r>
        <w:rPr>
          <w:w w:val="105"/>
        </w:rPr>
        <w:t>应经原审查机构审查同意</w:t>
      </w:r>
      <w:r>
        <w:rPr>
          <w:rFonts w:hint="eastAsia" w:ascii="MS UI Gothic" w:eastAsia="MS UI Gothic"/>
          <w:w w:val="80"/>
        </w:rPr>
        <w:t>ꎮ</w:t>
      </w:r>
    </w:p>
    <w:p>
      <w:pPr>
        <w:pStyle w:val="6"/>
        <w:tabs>
          <w:tab w:val="left" w:pos="1090"/>
        </w:tabs>
        <w:spacing w:before="151"/>
        <w:ind w:left="252" w:firstLine="0"/>
        <w:jc w:val="center"/>
      </w:pPr>
      <w:r>
        <w:rPr>
          <w:spacing w:val="3"/>
          <w:w w:val="105"/>
        </w:rPr>
        <w:t>第四</w:t>
      </w:r>
      <w:r>
        <w:rPr>
          <w:w w:val="105"/>
        </w:rPr>
        <w:t>章</w:t>
      </w:r>
      <w:r>
        <w:rPr>
          <w:w w:val="105"/>
        </w:rPr>
        <w:tab/>
      </w:r>
      <w:r>
        <w:rPr>
          <w:spacing w:val="3"/>
          <w:w w:val="105"/>
        </w:rPr>
        <w:t>施工和联合试运</w:t>
      </w:r>
      <w:r>
        <w:rPr>
          <w:w w:val="105"/>
        </w:rPr>
        <w:t>转</w:t>
      </w:r>
    </w:p>
    <w:p>
      <w:pPr>
        <w:pStyle w:val="6"/>
        <w:spacing w:before="215" w:line="295" w:lineRule="auto"/>
        <w:ind w:left="381" w:right="126"/>
        <w:rPr>
          <w:rFonts w:hint="eastAsia" w:ascii="MS UI Gothic" w:eastAsia="MS UI Gothic"/>
        </w:rPr>
      </w:pPr>
      <w:r>
        <w:rPr>
          <w:w w:val="105"/>
        </w:rPr>
        <w:t>第二十三条 煤矿建设项目的安全设施应由具有相应资质的施工单位承担</w:t>
      </w:r>
      <w:r>
        <w:rPr>
          <w:rFonts w:hint="eastAsia" w:ascii="MS UI Gothic" w:eastAsia="MS UI Gothic"/>
          <w:w w:val="80"/>
        </w:rPr>
        <w:t>ꎮ</w:t>
      </w:r>
    </w:p>
    <w:p>
      <w:pPr>
        <w:pStyle w:val="6"/>
        <w:spacing w:line="295" w:lineRule="auto"/>
        <w:ind w:left="381" w:right="126"/>
        <w:rPr>
          <w:rFonts w:hint="eastAsia" w:ascii="MS UI Gothic" w:eastAsia="MS UI Gothic"/>
        </w:rPr>
      </w:pPr>
      <w:r>
        <w:t>施工单位应当按照批准的安全设施设计施工</w:t>
      </w:r>
      <w:r>
        <w:rPr>
          <w:rFonts w:hint="eastAsia" w:ascii="MS UI Gothic" w:eastAsia="MS UI Gothic"/>
          <w:w w:val="80"/>
        </w:rPr>
        <w:t xml:space="preserve">ꎬ </w:t>
      </w:r>
      <w:r>
        <w:t>并对安全设施的工程质量负责</w:t>
      </w:r>
      <w:r>
        <w:rPr>
          <w:rFonts w:hint="eastAsia" w:ascii="MS UI Gothic" w:eastAsia="MS UI Gothic"/>
          <w:w w:val="80"/>
        </w:rPr>
        <w:t>ꎮ</w:t>
      </w:r>
    </w:p>
    <w:p>
      <w:pPr>
        <w:pStyle w:val="6"/>
        <w:spacing w:line="295" w:lineRule="auto"/>
        <w:ind w:left="381" w:right="124"/>
        <w:rPr>
          <w:rFonts w:hint="eastAsia" w:ascii="MS UI Gothic" w:eastAsia="MS UI Gothic"/>
        </w:rPr>
      </w:pPr>
      <w:r>
        <w:t>第二十四条 施工单位在施工期间</w:t>
      </w:r>
      <w:r>
        <w:rPr>
          <w:rFonts w:hint="eastAsia" w:ascii="MS UI Gothic" w:eastAsia="MS UI Gothic"/>
          <w:w w:val="80"/>
        </w:rPr>
        <w:t>ꎬ</w:t>
      </w:r>
      <w:r>
        <w:t>发现煤矿建设项目的安全设施设计不合理或者存在重大事故隐患时</w:t>
      </w:r>
      <w:r>
        <w:rPr>
          <w:rFonts w:hint="eastAsia" w:ascii="MS UI Gothic" w:eastAsia="MS UI Gothic"/>
          <w:w w:val="80"/>
        </w:rPr>
        <w:t xml:space="preserve">ꎬ </w:t>
      </w:r>
      <w:r>
        <w:t>应当立即停止施工</w:t>
      </w:r>
      <w:r>
        <w:rPr>
          <w:rFonts w:hint="eastAsia" w:ascii="MS UI Gothic" w:eastAsia="MS UI Gothic"/>
          <w:w w:val="80"/>
        </w:rPr>
        <w:t xml:space="preserve">ꎬ </w:t>
      </w:r>
      <w:r>
        <w:t>并报告煤矿企业</w:t>
      </w:r>
      <w:r>
        <w:rPr>
          <w:rFonts w:hint="eastAsia" w:ascii="MS UI Gothic" w:eastAsia="MS UI Gothic"/>
          <w:w w:val="80"/>
        </w:rPr>
        <w:t xml:space="preserve">ꎮ </w:t>
      </w:r>
      <w:r>
        <w:t>煤矿企业需对安全设施设计作重大变更的</w:t>
      </w:r>
      <w:r>
        <w:rPr>
          <w:rFonts w:hint="eastAsia" w:ascii="MS UI Gothic" w:eastAsia="MS UI Gothic"/>
          <w:w w:val="80"/>
        </w:rPr>
        <w:t xml:space="preserve">ꎬ </w:t>
      </w:r>
      <w:r>
        <w:t>应当按照本规定第二十二条的规定重新审查</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第二十五条 煤矿安全监察机构对煤</w:t>
      </w:r>
      <w:r>
        <w:t>矿建设工程安全设施的施工情况进行</w:t>
      </w:r>
      <w:r>
        <w:rPr>
          <w:w w:val="105"/>
        </w:rPr>
        <w:t>监察</w:t>
      </w:r>
      <w:r>
        <w:rPr>
          <w:rFonts w:hint="eastAsia" w:ascii="MS UI Gothic" w:eastAsia="MS UI Gothic"/>
          <w:w w:val="80"/>
        </w:rPr>
        <w:t>ꎮ</w:t>
      </w:r>
    </w:p>
    <w:p>
      <w:pPr>
        <w:pStyle w:val="6"/>
        <w:spacing w:line="295" w:lineRule="auto"/>
        <w:ind w:left="381" w:right="126"/>
        <w:rPr>
          <w:rFonts w:hint="eastAsia" w:ascii="MS UI Gothic" w:eastAsia="MS UI Gothic"/>
        </w:rPr>
      </w:pPr>
      <w:r>
        <w:t>第二十六条 煤矿建设项目在竣工完成后</w:t>
      </w:r>
      <w:r>
        <w:rPr>
          <w:rFonts w:hint="eastAsia" w:ascii="MS UI Gothic" w:eastAsia="MS UI Gothic"/>
          <w:w w:val="85"/>
        </w:rPr>
        <w:t xml:space="preserve">ꎬ </w:t>
      </w:r>
      <w:r>
        <w:t>应当在正式投入生产或使用前进行联合试运转</w:t>
      </w:r>
      <w:r>
        <w:rPr>
          <w:rFonts w:hint="eastAsia" w:ascii="MS UI Gothic" w:eastAsia="MS UI Gothic"/>
          <w:w w:val="85"/>
        </w:rPr>
        <w:t xml:space="preserve">ꎮ </w:t>
      </w:r>
      <w:r>
        <w:t xml:space="preserve">联合试运转的时间一般为 </w:t>
      </w:r>
      <w:r>
        <w:rPr>
          <w:rFonts w:hint="eastAsia" w:ascii="MS UI Gothic" w:eastAsia="MS UI Gothic"/>
          <w:w w:val="85"/>
        </w:rPr>
        <w:t xml:space="preserve">１ </w:t>
      </w:r>
      <w:r>
        <w:t xml:space="preserve">至 </w:t>
      </w:r>
      <w:r>
        <w:rPr>
          <w:rFonts w:hint="eastAsia" w:ascii="MS UI Gothic" w:eastAsia="MS UI Gothic"/>
          <w:w w:val="85"/>
        </w:rPr>
        <w:t xml:space="preserve">６ </w:t>
      </w:r>
      <w:r>
        <w:t>个月</w:t>
      </w:r>
      <w:r>
        <w:rPr>
          <w:rFonts w:hint="eastAsia" w:ascii="MS UI Gothic" w:eastAsia="MS UI Gothic"/>
          <w:w w:val="85"/>
        </w:rPr>
        <w:t xml:space="preserve">ꎬ </w:t>
      </w:r>
      <w:r>
        <w:t>有特殊情况需要延长的</w:t>
      </w:r>
      <w:r>
        <w:rPr>
          <w:rFonts w:hint="eastAsia" w:ascii="MS UI Gothic" w:eastAsia="MS UI Gothic"/>
          <w:w w:val="85"/>
        </w:rPr>
        <w:t xml:space="preserve">ꎬ </w:t>
      </w:r>
      <w:r>
        <w:t xml:space="preserve">总时长不得超过 </w:t>
      </w:r>
      <w:r>
        <w:rPr>
          <w:rFonts w:hint="eastAsia" w:ascii="MS UI Gothic" w:eastAsia="MS UI Gothic"/>
          <w:w w:val="85"/>
        </w:rPr>
        <w:t xml:space="preserve">１２ </w:t>
      </w:r>
      <w:r>
        <w:t>个月</w:t>
      </w:r>
      <w:r>
        <w:rPr>
          <w:rFonts w:hint="eastAsia" w:ascii="MS UI Gothic" w:eastAsia="MS UI Gothic"/>
          <w:w w:val="85"/>
        </w:rPr>
        <w:t>ꎮ</w:t>
      </w:r>
    </w:p>
    <w:p>
      <w:pPr>
        <w:pStyle w:val="6"/>
        <w:spacing w:line="295" w:lineRule="auto"/>
        <w:ind w:left="381" w:right="126"/>
        <w:rPr>
          <w:rFonts w:hint="eastAsia" w:ascii="MS UI Gothic" w:eastAsia="MS UI Gothic"/>
        </w:rPr>
      </w:pPr>
      <w:r>
        <w:t>煤矿建设项目联合试运转</w:t>
      </w:r>
      <w:r>
        <w:rPr>
          <w:rFonts w:hint="eastAsia" w:ascii="MS UI Gothic" w:eastAsia="MS UI Gothic"/>
          <w:w w:val="80"/>
        </w:rPr>
        <w:t xml:space="preserve">ꎬ </w:t>
      </w:r>
      <w:r>
        <w:t>应按规定经有关主管部门批准</w:t>
      </w:r>
      <w:r>
        <w:rPr>
          <w:rFonts w:hint="eastAsia" w:ascii="MS UI Gothic" w:eastAsia="MS UI Gothic"/>
          <w:w w:val="80"/>
        </w:rPr>
        <w:t>ꎮ</w:t>
      </w:r>
    </w:p>
    <w:p>
      <w:pPr>
        <w:pStyle w:val="6"/>
        <w:spacing w:line="295" w:lineRule="auto"/>
        <w:ind w:left="381" w:right="126"/>
        <w:rPr>
          <w:rFonts w:hint="eastAsia" w:ascii="MS UI Gothic" w:eastAsia="MS UI Gothic"/>
        </w:rPr>
      </w:pPr>
      <w:r>
        <w:t>第二十七条 煤矿建设项目联合试运转期间</w:t>
      </w:r>
      <w:r>
        <w:rPr>
          <w:rFonts w:hint="eastAsia" w:ascii="MS UI Gothic" w:eastAsia="MS UI Gothic"/>
          <w:w w:val="80"/>
        </w:rPr>
        <w:t xml:space="preserve">ꎬ </w:t>
      </w:r>
      <w:r>
        <w:t>煤矿企业应当制定可靠的安全措施</w:t>
      </w:r>
      <w:r>
        <w:rPr>
          <w:rFonts w:hint="eastAsia" w:ascii="MS UI Gothic" w:eastAsia="MS UI Gothic"/>
          <w:w w:val="80"/>
        </w:rPr>
        <w:t xml:space="preserve">ꎬ </w:t>
      </w:r>
      <w:r>
        <w:t>做好现场检测</w:t>
      </w:r>
      <w:r>
        <w:rPr>
          <w:rFonts w:hint="eastAsia" w:ascii="MS UI Gothic" w:eastAsia="MS UI Gothic"/>
          <w:w w:val="80"/>
        </w:rPr>
        <w:t xml:space="preserve">、 </w:t>
      </w:r>
      <w:r>
        <w:t>检验</w:t>
      </w:r>
      <w:r>
        <w:rPr>
          <w:rFonts w:hint="eastAsia" w:ascii="MS UI Gothic" w:eastAsia="MS UI Gothic"/>
          <w:w w:val="80"/>
        </w:rPr>
        <w:t xml:space="preserve">ꎬ </w:t>
      </w:r>
      <w:r>
        <w:t>收集有关数据</w:t>
      </w:r>
      <w:r>
        <w:rPr>
          <w:rFonts w:hint="eastAsia" w:ascii="MS UI Gothic" w:eastAsia="MS UI Gothic"/>
          <w:w w:val="80"/>
        </w:rPr>
        <w:t xml:space="preserve">ꎬ </w:t>
      </w:r>
      <w:r>
        <w:t>并编制联合试运转报告</w:t>
      </w:r>
      <w:r>
        <w:rPr>
          <w:rFonts w:hint="eastAsia" w:ascii="MS UI Gothic" w:eastAsia="MS UI Gothic"/>
          <w:w w:val="80"/>
        </w:rPr>
        <w:t>ꎮ</w:t>
      </w:r>
    </w:p>
    <w:p>
      <w:pPr>
        <w:pStyle w:val="6"/>
        <w:spacing w:line="295" w:lineRule="auto"/>
        <w:ind w:left="381" w:right="126"/>
        <w:rPr>
          <w:rFonts w:hint="eastAsia" w:ascii="MS UI Gothic" w:eastAsia="MS UI Gothic"/>
        </w:rPr>
      </w:pPr>
      <w:r>
        <w:t>第二十八条 煤矿建设项目联合试运转正常后</w:t>
      </w:r>
      <w:r>
        <w:rPr>
          <w:rFonts w:hint="eastAsia" w:ascii="MS UI Gothic" w:eastAsia="MS UI Gothic"/>
          <w:w w:val="80"/>
        </w:rPr>
        <w:t xml:space="preserve">ꎬ </w:t>
      </w:r>
      <w:r>
        <w:t>应当进行安全验收评价</w:t>
      </w:r>
      <w:r>
        <w:rPr>
          <w:rFonts w:hint="eastAsia" w:ascii="MS UI Gothic" w:eastAsia="MS UI Gothic"/>
          <w:w w:val="80"/>
        </w:rPr>
        <w:t>ꎮ</w:t>
      </w:r>
    </w:p>
    <w:p>
      <w:pPr>
        <w:pStyle w:val="6"/>
        <w:tabs>
          <w:tab w:val="left" w:pos="1090"/>
        </w:tabs>
        <w:spacing w:before="137"/>
        <w:ind w:left="252" w:firstLine="0"/>
        <w:jc w:val="center"/>
      </w:pPr>
      <w:r>
        <w:rPr>
          <w:spacing w:val="3"/>
          <w:w w:val="105"/>
        </w:rPr>
        <w:t>第五</w:t>
      </w:r>
      <w:r>
        <w:rPr>
          <w:w w:val="105"/>
        </w:rPr>
        <w:t>章</w:t>
      </w:r>
      <w:r>
        <w:rPr>
          <w:w w:val="105"/>
        </w:rPr>
        <w:tab/>
      </w:r>
      <w:r>
        <w:rPr>
          <w:w w:val="105"/>
        </w:rPr>
        <w:t>竣</w:t>
      </w:r>
      <w:r>
        <w:rPr>
          <w:spacing w:val="-33"/>
          <w:w w:val="105"/>
        </w:rPr>
        <w:t xml:space="preserve"> </w:t>
      </w:r>
      <w:r>
        <w:rPr>
          <w:w w:val="105"/>
        </w:rPr>
        <w:t>工</w:t>
      </w:r>
      <w:r>
        <w:rPr>
          <w:spacing w:val="-33"/>
          <w:w w:val="105"/>
        </w:rPr>
        <w:t xml:space="preserve"> </w:t>
      </w:r>
      <w:r>
        <w:rPr>
          <w:w w:val="105"/>
        </w:rPr>
        <w:t>验</w:t>
      </w:r>
      <w:r>
        <w:rPr>
          <w:spacing w:val="-33"/>
          <w:w w:val="105"/>
        </w:rPr>
        <w:t xml:space="preserve"> </w:t>
      </w:r>
      <w:r>
        <w:rPr>
          <w:w w:val="105"/>
        </w:rPr>
        <w:t>收</w:t>
      </w:r>
    </w:p>
    <w:p>
      <w:pPr>
        <w:pStyle w:val="6"/>
        <w:tabs>
          <w:tab w:val="left" w:pos="2057"/>
        </w:tabs>
        <w:spacing w:before="215"/>
        <w:ind w:left="800" w:firstLine="0"/>
        <w:jc w:val="left"/>
      </w:pPr>
      <w:r>
        <w:rPr>
          <w:spacing w:val="3"/>
          <w:w w:val="105"/>
        </w:rPr>
        <w:t>第二十九</w:t>
      </w:r>
      <w:r>
        <w:rPr>
          <w:w w:val="105"/>
        </w:rPr>
        <w:t>条</w:t>
      </w:r>
      <w:r>
        <w:rPr>
          <w:w w:val="105"/>
        </w:rPr>
        <w:tab/>
      </w:r>
      <w:r>
        <w:rPr>
          <w:spacing w:val="3"/>
          <w:w w:val="105"/>
        </w:rPr>
        <w:t>煤矿建设项目的安全</w:t>
      </w:r>
      <w:r>
        <w:rPr>
          <w:w w:val="105"/>
        </w:rPr>
        <w:t>设</w:t>
      </w:r>
    </w:p>
    <w:p>
      <w:pPr>
        <w:spacing w:after="0"/>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２３０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20" o:spid="_x0000_s1720" o:spt="203" style="height:2.15pt;width:398.25pt;" coordsize="7965,43">
            <o:lock v:ext="edit"/>
            <v:line id="_x0000_s1721" o:spid="_x0000_s1721" o:spt="20" style="position:absolute;left:0;top:39;height:0;width:7965;" stroked="t" coordsize="21600,21600">
              <v:path arrowok="t"/>
              <v:fill focussize="0,0"/>
              <v:stroke weight="0.388031496062992pt" color="#231F20"/>
              <v:imagedata o:title=""/>
              <o:lock v:ext="edit"/>
            </v:line>
            <v:line id="_x0000_s1722" o:spid="_x0000_s172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rPr>
          <w:spacing w:val="2"/>
        </w:rPr>
        <w:t>施和安全条件验收应当由煤矿建设单位负</w:t>
      </w:r>
      <w:r>
        <w:rPr>
          <w:spacing w:val="3"/>
        </w:rPr>
        <w:t>责组织</w:t>
      </w:r>
      <w:r>
        <w:rPr>
          <w:rFonts w:hint="eastAsia" w:ascii="MS UI Gothic" w:eastAsia="MS UI Gothic"/>
          <w:spacing w:val="23"/>
          <w:w w:val="80"/>
        </w:rPr>
        <w:t xml:space="preserve">ꎻ </w:t>
      </w:r>
      <w:r>
        <w:rPr>
          <w:spacing w:val="3"/>
        </w:rPr>
        <w:t>未经验收合格的</w:t>
      </w:r>
      <w:r>
        <w:rPr>
          <w:rFonts w:hint="eastAsia" w:ascii="MS UI Gothic" w:eastAsia="MS UI Gothic"/>
          <w:spacing w:val="23"/>
          <w:w w:val="80"/>
        </w:rPr>
        <w:t xml:space="preserve">ꎬ </w:t>
      </w:r>
      <w:r>
        <w:rPr>
          <w:spacing w:val="2"/>
        </w:rPr>
        <w:t>不得投入生产</w:t>
      </w:r>
      <w:r>
        <w:rPr>
          <w:spacing w:val="3"/>
        </w:rPr>
        <w:t>和使用</w:t>
      </w:r>
      <w:r>
        <w:rPr>
          <w:rFonts w:hint="eastAsia" w:ascii="MS UI Gothic" w:eastAsia="MS UI Gothic"/>
          <w:w w:val="80"/>
        </w:rPr>
        <w:t>ꎮ</w:t>
      </w:r>
    </w:p>
    <w:p>
      <w:pPr>
        <w:pStyle w:val="6"/>
        <w:spacing w:line="295" w:lineRule="auto"/>
        <w:ind w:right="38"/>
        <w:rPr>
          <w:rFonts w:hint="eastAsia" w:ascii="MS UI Gothic" w:eastAsia="MS UI Gothic"/>
        </w:rPr>
      </w:pPr>
      <w:r>
        <w:rPr>
          <w:spacing w:val="3"/>
        </w:rPr>
        <w:t>煤矿建设单位实行多级管理的</w:t>
      </w:r>
      <w:r>
        <w:rPr>
          <w:rFonts w:hint="eastAsia" w:ascii="MS UI Gothic" w:eastAsia="MS UI Gothic"/>
          <w:spacing w:val="16"/>
          <w:w w:val="80"/>
        </w:rPr>
        <w:t xml:space="preserve">ꎬ </w:t>
      </w:r>
      <w:r>
        <w:rPr>
          <w:spacing w:val="1"/>
        </w:rPr>
        <w:t>应当</w:t>
      </w:r>
      <w:r>
        <w:rPr>
          <w:spacing w:val="2"/>
        </w:rPr>
        <w:t>由具体负责建设项目施工建设单位的上一</w:t>
      </w:r>
      <w:r>
        <w:rPr>
          <w:spacing w:val="7"/>
          <w:w w:val="105"/>
        </w:rPr>
        <w:t xml:space="preserve">级具有法人资格的公司 </w:t>
      </w:r>
      <w:r>
        <w:rPr>
          <w:rFonts w:hint="eastAsia" w:ascii="MS UI Gothic" w:eastAsia="MS UI Gothic"/>
          <w:spacing w:val="-33"/>
          <w:w w:val="150"/>
        </w:rPr>
        <w:t xml:space="preserve">( </w:t>
      </w:r>
      <w:r>
        <w:rPr>
          <w:spacing w:val="16"/>
          <w:w w:val="105"/>
        </w:rPr>
        <w:t>单位</w:t>
      </w:r>
      <w:r>
        <w:rPr>
          <w:rFonts w:hint="eastAsia" w:ascii="MS UI Gothic" w:eastAsia="MS UI Gothic"/>
          <w:spacing w:val="12"/>
          <w:w w:val="150"/>
        </w:rPr>
        <w:t xml:space="preserve">) </w:t>
      </w:r>
      <w:r>
        <w:rPr>
          <w:spacing w:val="12"/>
          <w:w w:val="105"/>
        </w:rPr>
        <w:t>负责组</w:t>
      </w:r>
      <w:r>
        <w:rPr>
          <w:spacing w:val="3"/>
          <w:w w:val="105"/>
        </w:rPr>
        <w:t>织验收</w:t>
      </w:r>
      <w:r>
        <w:rPr>
          <w:rFonts w:hint="eastAsia" w:ascii="MS UI Gothic" w:eastAsia="MS UI Gothic"/>
          <w:w w:val="80"/>
        </w:rPr>
        <w:t>ꎮ</w:t>
      </w:r>
    </w:p>
    <w:p>
      <w:pPr>
        <w:pStyle w:val="6"/>
        <w:spacing w:line="295" w:lineRule="auto"/>
        <w:ind w:right="38"/>
        <w:rPr>
          <w:rFonts w:hint="eastAsia" w:ascii="MS UI Gothic" w:eastAsia="MS UI Gothic"/>
        </w:rPr>
      </w:pPr>
      <w:r>
        <w:rPr>
          <w:w w:val="105"/>
        </w:rPr>
        <w:t xml:space="preserve">第三十条 煤矿建设单位或者其上一级具有法人资格的公司 </w:t>
      </w:r>
      <w:r>
        <w:rPr>
          <w:rFonts w:hint="eastAsia" w:ascii="MS UI Gothic" w:eastAsia="MS UI Gothic"/>
          <w:w w:val="150"/>
        </w:rPr>
        <w:t xml:space="preserve">( </w:t>
      </w:r>
      <w:r>
        <w:rPr>
          <w:w w:val="105"/>
        </w:rPr>
        <w:t>单位</w:t>
      </w:r>
      <w:r>
        <w:rPr>
          <w:rFonts w:hint="eastAsia" w:ascii="MS UI Gothic" w:eastAsia="MS UI Gothic"/>
          <w:w w:val="150"/>
        </w:rPr>
        <w:t xml:space="preserve">) </w:t>
      </w:r>
      <w:r>
        <w:rPr>
          <w:w w:val="105"/>
        </w:rPr>
        <w:t>组织验</w:t>
      </w:r>
      <w:r>
        <w:t>收时</w:t>
      </w:r>
      <w:r>
        <w:rPr>
          <w:rFonts w:hint="eastAsia" w:ascii="MS UI Gothic" w:eastAsia="MS UI Gothic"/>
          <w:w w:val="80"/>
        </w:rPr>
        <w:t xml:space="preserve">ꎬ </w:t>
      </w:r>
      <w:r>
        <w:t>应当对有关资料进行审查并组织现场验收</w:t>
      </w:r>
      <w:r>
        <w:rPr>
          <w:rFonts w:hint="eastAsia" w:ascii="MS UI Gothic" w:eastAsia="MS UI Gothic"/>
          <w:w w:val="80"/>
        </w:rPr>
        <w:t xml:space="preserve">ꎮ </w:t>
      </w:r>
      <w:r>
        <w:t>有下列情形之一的</w:t>
      </w:r>
      <w:r>
        <w:rPr>
          <w:rFonts w:hint="eastAsia" w:ascii="MS UI Gothic" w:eastAsia="MS UI Gothic"/>
          <w:w w:val="80"/>
        </w:rPr>
        <w:t xml:space="preserve">ꎬ </w:t>
      </w:r>
      <w:r>
        <w:t>为验收不</w:t>
      </w:r>
      <w:r>
        <w:rPr>
          <w:w w:val="105"/>
        </w:rPr>
        <w:t>合格</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安全设施和安全条件不符合设计要求</w:t>
      </w:r>
      <w:r>
        <w:rPr>
          <w:rFonts w:hint="eastAsia" w:ascii="MS UI Gothic" w:eastAsia="MS UI Gothic"/>
          <w:w w:val="80"/>
        </w:rPr>
        <w:t xml:space="preserve">ꎬ </w:t>
      </w:r>
      <w:r>
        <w:rPr>
          <w:w w:val="105"/>
        </w:rPr>
        <w:t>或未通过工程质量认证的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安全设施和安全条件不能满足</w:t>
      </w:r>
      <w:r>
        <w:rPr>
          <w:w w:val="110"/>
        </w:rPr>
        <w:t>正常生产和使用的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未按规定建立安全生产管理机构和配备安全生产管理人员的</w:t>
      </w:r>
      <w:r>
        <w:rPr>
          <w:rFonts w:hint="eastAsia" w:ascii="MS UI Gothic" w:eastAsia="MS UI Gothic"/>
          <w:w w:val="80"/>
        </w:rPr>
        <w:t>ꎻ</w:t>
      </w:r>
    </w:p>
    <w:p>
      <w:pPr>
        <w:pStyle w:val="6"/>
        <w:spacing w:before="123" w:line="295" w:lineRule="auto"/>
        <w:ind w:right="442"/>
        <w:rPr>
          <w:rFonts w:hint="eastAsia" w:ascii="MS UI Gothic" w:eastAsia="MS UI Gothic"/>
        </w:rPr>
      </w:pPr>
      <w:r>
        <w:br w:type="column"/>
      </w: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矿长和特种作业人员不具备相</w:t>
      </w:r>
      <w:r>
        <w:rPr>
          <w:w w:val="110"/>
        </w:rPr>
        <w:t>应资格的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不符合国家煤矿安全监察局规</w:t>
      </w:r>
      <w:r>
        <w:rPr>
          <w:w w:val="110"/>
        </w:rPr>
        <w:t>定的其他条件的</w:t>
      </w:r>
      <w:r>
        <w:rPr>
          <w:rFonts w:hint="eastAsia" w:ascii="MS UI Gothic" w:eastAsia="MS UI Gothic"/>
          <w:w w:val="80"/>
        </w:rPr>
        <w:t>ꎮ</w:t>
      </w:r>
    </w:p>
    <w:p>
      <w:pPr>
        <w:pStyle w:val="6"/>
        <w:tabs>
          <w:tab w:val="left" w:pos="2011"/>
          <w:tab w:val="left" w:pos="2639"/>
        </w:tabs>
        <w:spacing w:before="154"/>
        <w:ind w:left="1172"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215" w:line="295" w:lineRule="auto"/>
        <w:ind w:right="442"/>
      </w:pPr>
      <w:r>
        <w:rPr>
          <w:w w:val="105"/>
        </w:rPr>
        <w:t>第三十一条 违反本规定的</w:t>
      </w:r>
      <w:r>
        <w:rPr>
          <w:rFonts w:hint="eastAsia" w:ascii="MS UI Gothic" w:eastAsia="MS UI Gothic"/>
          <w:w w:val="80"/>
        </w:rPr>
        <w:t xml:space="preserve">ꎬ </w:t>
      </w:r>
      <w:r>
        <w:rPr>
          <w:w w:val="105"/>
        </w:rPr>
        <w:t>由煤矿安全监察机构或者省</w:t>
      </w:r>
      <w:r>
        <w:rPr>
          <w:rFonts w:hint="eastAsia" w:ascii="MS UI Gothic" w:eastAsia="MS UI Gothic"/>
          <w:w w:val="80"/>
        </w:rPr>
        <w:t xml:space="preserve">、 </w:t>
      </w:r>
      <w:r>
        <w:rPr>
          <w:w w:val="105"/>
        </w:rPr>
        <w:t>自治区人民政府指</w:t>
      </w:r>
      <w:r>
        <w:t>定的负责煤矿安全监察工作的部门依照</w:t>
      </w:r>
    </w:p>
    <w:p>
      <w:pPr>
        <w:pStyle w:val="6"/>
        <w:spacing w:line="295" w:lineRule="auto"/>
        <w:ind w:right="442" w:firstLine="0"/>
        <w:rPr>
          <w:rFonts w:hint="eastAsia" w:ascii="MS UI Gothic" w:hAnsi="MS UI Gothic" w:eastAsia="MS UI Gothic"/>
        </w:rPr>
      </w:pPr>
      <w:r>
        <w:rPr>
          <w:rFonts w:hint="eastAsia" w:ascii="MS UI Gothic" w:hAnsi="MS UI Gothic" w:eastAsia="MS UI Gothic"/>
          <w:w w:val="80"/>
        </w:rPr>
        <w:t xml:space="preserve">« </w:t>
      </w:r>
      <w:r>
        <w:t>安全生产法</w:t>
      </w:r>
      <w:r>
        <w:rPr>
          <w:rFonts w:hint="eastAsia" w:ascii="MS UI Gothic" w:hAnsi="MS UI Gothic" w:eastAsia="MS UI Gothic"/>
          <w:w w:val="80"/>
        </w:rPr>
        <w:t xml:space="preserve">» </w:t>
      </w:r>
      <w:r>
        <w:t>及有关法律</w:t>
      </w:r>
      <w:r>
        <w:rPr>
          <w:rFonts w:hint="eastAsia" w:ascii="MS UI Gothic" w:hAnsi="MS UI Gothic" w:eastAsia="MS UI Gothic"/>
          <w:w w:val="80"/>
        </w:rPr>
        <w:t xml:space="preserve">、 </w:t>
      </w:r>
      <w:r>
        <w:t>行政法规的规定予以行政处罚</w:t>
      </w:r>
      <w:r>
        <w:rPr>
          <w:rFonts w:hint="eastAsia" w:ascii="MS UI Gothic" w:hAnsi="MS UI Gothic" w:eastAsia="MS UI Gothic"/>
          <w:w w:val="80"/>
        </w:rPr>
        <w:t xml:space="preserve">ꎻ </w:t>
      </w:r>
      <w:r>
        <w:t>构成犯罪的</w:t>
      </w:r>
      <w:r>
        <w:rPr>
          <w:rFonts w:hint="eastAsia" w:ascii="MS UI Gothic" w:hAnsi="MS UI Gothic" w:eastAsia="MS UI Gothic"/>
          <w:w w:val="80"/>
        </w:rPr>
        <w:t xml:space="preserve">ꎬ </w:t>
      </w:r>
      <w:r>
        <w:t>依照刑法有关规定追究刑事责任</w:t>
      </w:r>
      <w:r>
        <w:rPr>
          <w:rFonts w:hint="eastAsia" w:ascii="MS UI Gothic" w:hAnsi="MS UI Gothic" w:eastAsia="MS UI Gothic"/>
          <w:w w:val="80"/>
        </w:rPr>
        <w:t>ꎮ</w:t>
      </w:r>
    </w:p>
    <w:p>
      <w:pPr>
        <w:pStyle w:val="6"/>
        <w:spacing w:line="295" w:lineRule="auto"/>
        <w:ind w:right="442"/>
        <w:rPr>
          <w:rFonts w:hint="eastAsia" w:ascii="MS UI Gothic" w:eastAsia="MS UI Gothic"/>
        </w:rPr>
      </w:pPr>
      <w:r>
        <w:rPr>
          <w:w w:val="105"/>
        </w:rPr>
        <w:t>第三十二条 煤矿建设项目的安全设</w:t>
      </w:r>
      <w:r>
        <w:t>施设计审查申请表的样式</w:t>
      </w:r>
      <w:r>
        <w:rPr>
          <w:rFonts w:hint="eastAsia" w:ascii="MS UI Gothic" w:eastAsia="MS UI Gothic"/>
          <w:w w:val="80"/>
        </w:rPr>
        <w:t xml:space="preserve">ꎬ </w:t>
      </w:r>
      <w:r>
        <w:t>由国家煤矿安</w:t>
      </w:r>
      <w:r>
        <w:rPr>
          <w:w w:val="105"/>
        </w:rPr>
        <w:t>全监察局制定</w:t>
      </w:r>
      <w:r>
        <w:rPr>
          <w:rFonts w:hint="eastAsia" w:ascii="MS UI Gothic" w:eastAsia="MS UI Gothic"/>
          <w:w w:val="80"/>
        </w:rPr>
        <w:t>ꎮ</w:t>
      </w:r>
    </w:p>
    <w:p>
      <w:pPr>
        <w:pStyle w:val="6"/>
        <w:tabs>
          <w:tab w:val="left" w:pos="1832"/>
        </w:tabs>
        <w:spacing w:line="295" w:lineRule="auto"/>
        <w:ind w:left="382" w:right="442" w:firstLine="161"/>
        <w:jc w:val="right"/>
      </w:pPr>
      <w:r>
        <w:pict>
          <v:shape id="_x0000_s1723" o:spid="_x0000_s1723" o:spt="202" type="#_x0000_t202" style="position:absolute;left:0pt;margin-left:264.5pt;margin-top:12pt;height:24.35pt;width:10.3pt;mso-position-horizontal-relative:page;z-index:-27582668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１５</w:t>
                  </w:r>
                </w:p>
              </w:txbxContent>
            </v:textbox>
          </v:shape>
        </w:pict>
      </w:r>
      <w:r>
        <w:rPr>
          <w:spacing w:val="3"/>
          <w:w w:val="95"/>
        </w:rPr>
        <w:t>第三十</w:t>
      </w:r>
      <w:r>
        <w:rPr>
          <w:spacing w:val="11"/>
          <w:w w:val="95"/>
        </w:rPr>
        <w:t>三</w:t>
      </w:r>
      <w:r>
        <w:rPr>
          <w:w w:val="95"/>
        </w:rPr>
        <w:t>条</w:t>
      </w:r>
      <w:r>
        <w:rPr>
          <w:w w:val="95"/>
        </w:rPr>
        <w:tab/>
      </w:r>
      <w:r>
        <w:rPr>
          <w:spacing w:val="13"/>
          <w:w w:val="95"/>
        </w:rPr>
        <w:t>本规定</w:t>
      </w:r>
      <w:r>
        <w:rPr>
          <w:w w:val="95"/>
        </w:rPr>
        <w:t>自</w:t>
      </w:r>
      <w:r>
        <w:rPr>
          <w:spacing w:val="-41"/>
          <w:w w:val="95"/>
        </w:rPr>
        <w:t xml:space="preserve"> </w:t>
      </w:r>
      <w:r>
        <w:rPr>
          <w:rFonts w:hint="eastAsia" w:ascii="MS UI Gothic" w:hAnsi="MS UI Gothic" w:eastAsia="MS UI Gothic"/>
          <w:w w:val="95"/>
        </w:rPr>
        <w:t>２００３</w:t>
      </w:r>
      <w:r>
        <w:rPr>
          <w:rFonts w:hint="eastAsia" w:ascii="MS UI Gothic" w:hAnsi="MS UI Gothic" w:eastAsia="MS UI Gothic"/>
          <w:spacing w:val="3"/>
          <w:w w:val="95"/>
        </w:rPr>
        <w:t xml:space="preserve"> </w:t>
      </w:r>
      <w:r>
        <w:rPr>
          <w:w w:val="95"/>
        </w:rPr>
        <w:t>年</w:t>
      </w:r>
      <w:r>
        <w:rPr>
          <w:spacing w:val="-41"/>
          <w:w w:val="95"/>
        </w:rPr>
        <w:t xml:space="preserve"> </w:t>
      </w:r>
      <w:r>
        <w:rPr>
          <w:rFonts w:hint="eastAsia" w:ascii="MS UI Gothic" w:hAnsi="MS UI Gothic" w:eastAsia="MS UI Gothic"/>
          <w:w w:val="95"/>
        </w:rPr>
        <w:t>８</w:t>
      </w:r>
      <w:r>
        <w:rPr>
          <w:rFonts w:hint="eastAsia" w:ascii="MS UI Gothic" w:hAnsi="MS UI Gothic" w:eastAsia="MS UI Gothic"/>
          <w:spacing w:val="3"/>
          <w:w w:val="95"/>
        </w:rPr>
        <w:t xml:space="preserve"> </w:t>
      </w:r>
      <w:r>
        <w:rPr>
          <w:spacing w:val="-14"/>
          <w:w w:val="95"/>
        </w:rPr>
        <w:t>月</w:t>
      </w:r>
      <w:r>
        <w:rPr>
          <w:spacing w:val="3"/>
          <w:w w:val="95"/>
        </w:rPr>
        <w:t>日起施行</w:t>
      </w:r>
      <w:r>
        <w:rPr>
          <w:rFonts w:hint="eastAsia" w:ascii="MS UI Gothic" w:hAnsi="MS UI Gothic" w:eastAsia="MS UI Gothic"/>
          <w:w w:val="90"/>
        </w:rPr>
        <w:t>ꎮ</w:t>
      </w:r>
      <w:r>
        <w:rPr>
          <w:rFonts w:hint="eastAsia" w:ascii="MS UI Gothic" w:hAnsi="MS UI Gothic" w:eastAsia="MS UI Gothic"/>
          <w:spacing w:val="8"/>
          <w:w w:val="90"/>
        </w:rPr>
        <w:t xml:space="preserve"> </w:t>
      </w:r>
      <w:r>
        <w:rPr>
          <w:rFonts w:hint="eastAsia" w:ascii="MS UI Gothic" w:hAnsi="MS UI Gothic" w:eastAsia="MS UI Gothic"/>
          <w:w w:val="95"/>
        </w:rPr>
        <w:t>«</w:t>
      </w:r>
      <w:r>
        <w:rPr>
          <w:rFonts w:hint="eastAsia" w:ascii="MS UI Gothic" w:hAnsi="MS UI Gothic" w:eastAsia="MS UI Gothic"/>
          <w:spacing w:val="-12"/>
          <w:w w:val="95"/>
        </w:rPr>
        <w:t xml:space="preserve"> </w:t>
      </w:r>
      <w:r>
        <w:rPr>
          <w:spacing w:val="5"/>
          <w:w w:val="95"/>
        </w:rPr>
        <w:t>煤矿建设工程安</w:t>
      </w:r>
      <w:r>
        <w:rPr>
          <w:spacing w:val="7"/>
          <w:w w:val="95"/>
        </w:rPr>
        <w:t>全设施</w:t>
      </w:r>
      <w:r>
        <w:rPr>
          <w:w w:val="95"/>
        </w:rPr>
        <w:t>设</w:t>
      </w:r>
    </w:p>
    <w:p>
      <w:pPr>
        <w:pStyle w:val="6"/>
        <w:spacing w:line="255" w:lineRule="exact"/>
        <w:ind w:left="0" w:right="526" w:firstLine="0"/>
        <w:jc w:val="right"/>
        <w:rPr>
          <w:rFonts w:hint="eastAsia" w:ascii="MS UI Gothic" w:hAnsi="MS UI Gothic" w:eastAsia="MS UI Gothic"/>
        </w:rPr>
      </w:pPr>
      <w:r>
        <w:t>计审查与竣工验收暂行办法</w:t>
      </w:r>
      <w:r>
        <w:rPr>
          <w:rFonts w:hint="eastAsia" w:ascii="MS UI Gothic" w:hAnsi="MS UI Gothic" w:eastAsia="MS UI Gothic"/>
          <w:w w:val="80"/>
        </w:rPr>
        <w:t xml:space="preserve">» </w:t>
      </w:r>
      <w:r>
        <w:t>同时废止</w:t>
      </w:r>
      <w:r>
        <w:rPr>
          <w:rFonts w:hint="eastAsia" w:ascii="MS UI Gothic" w:hAnsi="MS UI Gothic" w:eastAsia="MS UI Gothic"/>
          <w:w w:val="80"/>
        </w:rPr>
        <w:t>ꎮ</w:t>
      </w:r>
    </w:p>
    <w:p>
      <w:pPr>
        <w:spacing w:after="0" w:line="255" w:lineRule="exact"/>
        <w:jc w:val="right"/>
        <w:rPr>
          <w:rFonts w:hint="eastAsia" w:ascii="MS UI Gothic" w:hAnsi="MS UI Gothic" w:eastAsia="MS UI Gothic"/>
        </w:rPr>
        <w:sectPr>
          <w:type w:val="continuous"/>
          <w:pgSz w:w="10500" w:h="14750"/>
          <w:pgMar w:top="1400" w:right="980" w:bottom="280" w:left="980" w:header="720" w:footer="720" w:gutter="0"/>
          <w:cols w:equalWidth="0" w:num="2">
            <w:col w:w="3934" w:space="258"/>
            <w:col w:w="4348"/>
          </w:cols>
        </w:sectPr>
      </w:pPr>
    </w:p>
    <w:p>
      <w:pPr>
        <w:pStyle w:val="4"/>
        <w:spacing w:before="287"/>
        <w:ind w:right="654"/>
        <w:rPr>
          <w:rFonts w:hint="eastAsia" w:ascii="Microsoft Yi Baiti" w:eastAsia="Microsoft Yi Baiti"/>
        </w:rPr>
      </w:pPr>
      <w:r>
        <w:t xml:space="preserve">煤矿企业安全生产许可证实施办法 </w:t>
      </w:r>
      <w:r>
        <w:rPr>
          <w:rFonts w:hint="eastAsia" w:ascii="Microsoft Yi Baiti" w:eastAsia="Microsoft Yi Baiti"/>
        </w:rPr>
        <w:t>(</w:t>
      </w:r>
      <w:r>
        <w:rPr>
          <w:rFonts w:hint="eastAsia" w:ascii="MS UI Gothic" w:eastAsia="MS UI Gothic"/>
        </w:rPr>
        <w:t xml:space="preserve">２０１５ </w:t>
      </w:r>
      <w:r>
        <w:t>年修正</w:t>
      </w:r>
      <w:r>
        <w:rPr>
          <w:rFonts w:hint="eastAsia" w:ascii="Microsoft Yi Baiti" w:eastAsia="Microsoft Yi Baiti"/>
        </w:rPr>
        <w:t>)</w:t>
      </w:r>
    </w:p>
    <w:p>
      <w:pPr>
        <w:pStyle w:val="6"/>
        <w:spacing w:before="366" w:line="295" w:lineRule="auto"/>
        <w:ind w:right="442"/>
        <w:rPr>
          <w:rFonts w:hint="eastAsia" w:ascii="Microsoft Yi Baiti" w:hAnsi="Microsoft Yi Baiti" w:eastAsia="Microsoft Yi Baiti"/>
        </w:rPr>
      </w:pPr>
      <w:r>
        <w:rPr>
          <w:rFonts w:hint="eastAsia" w:ascii="Microsoft Yi Baiti" w:hAnsi="Microsoft Yi Baiti" w:eastAsia="Microsoft Yi Baiti"/>
          <w:spacing w:val="-3"/>
        </w:rPr>
        <w:t xml:space="preserve">( </w:t>
      </w:r>
      <w:r>
        <w:rPr>
          <w:spacing w:val="1"/>
        </w:rPr>
        <w:t xml:space="preserve">修订后的 </w:t>
      </w:r>
      <w:r>
        <w:rPr>
          <w:rFonts w:hint="eastAsia" w:ascii="Microsoft Yi Baiti" w:hAnsi="Microsoft Yi Baiti" w:eastAsia="Microsoft Yi Baiti"/>
          <w:spacing w:val="-35"/>
        </w:rPr>
        <w:t xml:space="preserve">« </w:t>
      </w:r>
      <w:r>
        <w:rPr>
          <w:spacing w:val="3"/>
        </w:rPr>
        <w:t>煤矿企业安全生产许可证实施办法</w:t>
      </w:r>
      <w:r>
        <w:rPr>
          <w:rFonts w:hint="eastAsia" w:ascii="Microsoft Yi Baiti" w:hAnsi="Microsoft Yi Baiti" w:eastAsia="Microsoft Yi Baiti"/>
          <w:spacing w:val="15"/>
        </w:rPr>
        <w:t xml:space="preserve">» </w:t>
      </w:r>
      <w:r>
        <w:rPr>
          <w:spacing w:val="-14"/>
        </w:rPr>
        <w:t xml:space="preserve">已经 </w:t>
      </w:r>
      <w:r>
        <w:rPr>
          <w:rFonts w:hint="eastAsia" w:ascii="MS UI Gothic" w:hAnsi="MS UI Gothic" w:eastAsia="MS UI Gothic"/>
          <w:spacing w:val="-1"/>
        </w:rPr>
        <w:t xml:space="preserve">２０１５ </w:t>
      </w:r>
      <w:r>
        <w:rPr>
          <w:spacing w:val="-25"/>
        </w:rPr>
        <w:t xml:space="preserve">年 </w:t>
      </w:r>
      <w:r>
        <w:rPr>
          <w:rFonts w:hint="eastAsia" w:ascii="MS UI Gothic" w:hAnsi="MS UI Gothic" w:eastAsia="MS UI Gothic"/>
          <w:spacing w:val="-1"/>
        </w:rPr>
        <w:t xml:space="preserve">１２ </w:t>
      </w:r>
      <w:r>
        <w:rPr>
          <w:spacing w:val="-25"/>
        </w:rPr>
        <w:t xml:space="preserve">月 </w:t>
      </w:r>
      <w:r>
        <w:rPr>
          <w:rFonts w:hint="eastAsia" w:ascii="MS UI Gothic" w:hAnsi="MS UI Gothic" w:eastAsia="MS UI Gothic"/>
          <w:spacing w:val="-1"/>
        </w:rPr>
        <w:t xml:space="preserve">２２ </w:t>
      </w:r>
      <w:r>
        <w:rPr>
          <w:spacing w:val="6"/>
        </w:rPr>
        <w:t>日国家安</w:t>
      </w:r>
      <w:r>
        <w:rPr>
          <w:spacing w:val="3"/>
        </w:rPr>
        <w:t>全生产监督管理总局局长办公会议审议通过</w:t>
      </w:r>
      <w:r>
        <w:rPr>
          <w:rFonts w:hint="eastAsia" w:ascii="Microsoft Yi Baiti" w:hAnsi="Microsoft Yi Baiti" w:eastAsia="Microsoft Yi Baiti"/>
          <w:spacing w:val="1"/>
        </w:rPr>
        <w:t xml:space="preserve">ꎬ </w:t>
      </w:r>
      <w:r>
        <w:rPr>
          <w:spacing w:val="3"/>
        </w:rPr>
        <w:t>现予公布</w:t>
      </w:r>
      <w:r>
        <w:rPr>
          <w:rFonts w:hint="eastAsia" w:ascii="Microsoft Yi Baiti" w:hAnsi="Microsoft Yi Baiti" w:eastAsia="Microsoft Yi Baiti"/>
          <w:spacing w:val="3"/>
        </w:rPr>
        <w:t xml:space="preserve">ꎬ </w:t>
      </w:r>
      <w:r>
        <w:rPr>
          <w:spacing w:val="-27"/>
        </w:rPr>
        <w:t xml:space="preserve">自 </w:t>
      </w:r>
      <w:r>
        <w:rPr>
          <w:rFonts w:hint="eastAsia" w:ascii="MS UI Gothic" w:hAnsi="MS UI Gothic" w:eastAsia="MS UI Gothic"/>
          <w:spacing w:val="-2"/>
        </w:rPr>
        <w:t xml:space="preserve">２０１６ </w:t>
      </w:r>
      <w:r>
        <w:rPr>
          <w:spacing w:val="-27"/>
        </w:rPr>
        <w:t xml:space="preserve">年 </w:t>
      </w:r>
      <w:r>
        <w:rPr>
          <w:rFonts w:hint="eastAsia" w:ascii="MS UI Gothic" w:hAnsi="MS UI Gothic" w:eastAsia="MS UI Gothic"/>
          <w:spacing w:val="-4"/>
        </w:rPr>
        <w:t xml:space="preserve">４ </w:t>
      </w:r>
      <w:r>
        <w:rPr>
          <w:spacing w:val="-27"/>
        </w:rPr>
        <w:t xml:space="preserve">月 </w:t>
      </w:r>
      <w:r>
        <w:rPr>
          <w:rFonts w:hint="eastAsia" w:ascii="MS UI Gothic" w:hAnsi="MS UI Gothic" w:eastAsia="MS UI Gothic"/>
          <w:spacing w:val="-4"/>
        </w:rPr>
        <w:t xml:space="preserve">１ </w:t>
      </w:r>
      <w:r>
        <w:rPr>
          <w:spacing w:val="-3"/>
        </w:rPr>
        <w:t>日起施行 原</w:t>
      </w:r>
      <w:r>
        <w:rPr>
          <w:spacing w:val="1"/>
        </w:rPr>
        <w:t xml:space="preserve">国家安全生产监督管理局 </w:t>
      </w:r>
      <w:r>
        <w:rPr>
          <w:rFonts w:hint="eastAsia" w:ascii="Microsoft Yi Baiti" w:hAnsi="Microsoft Yi Baiti" w:eastAsia="Microsoft Yi Baiti"/>
          <w:spacing w:val="-35"/>
        </w:rPr>
        <w:t xml:space="preserve">( </w:t>
      </w:r>
      <w:r>
        <w:rPr>
          <w:spacing w:val="3"/>
        </w:rPr>
        <w:t>国家煤矿安全监察局</w:t>
      </w:r>
      <w:r>
        <w:rPr>
          <w:rFonts w:hint="eastAsia" w:ascii="Microsoft Yi Baiti" w:hAnsi="Microsoft Yi Baiti" w:eastAsia="Microsoft Yi Baiti"/>
          <w:spacing w:val="7"/>
        </w:rPr>
        <w:t xml:space="preserve">) </w:t>
      </w:r>
      <w:r>
        <w:rPr>
          <w:rFonts w:hint="eastAsia" w:ascii="MS UI Gothic" w:hAnsi="MS UI Gothic" w:eastAsia="MS UI Gothic"/>
          <w:spacing w:val="-3"/>
        </w:rPr>
        <w:t xml:space="preserve">２００４ </w:t>
      </w:r>
      <w:r>
        <w:rPr>
          <w:spacing w:val="-29"/>
        </w:rPr>
        <w:t xml:space="preserve">年 </w:t>
      </w:r>
      <w:r>
        <w:rPr>
          <w:rFonts w:hint="eastAsia" w:ascii="MS UI Gothic" w:hAnsi="MS UI Gothic" w:eastAsia="MS UI Gothic"/>
          <w:spacing w:val="-6"/>
        </w:rPr>
        <w:t xml:space="preserve">５ </w:t>
      </w:r>
      <w:r>
        <w:rPr>
          <w:spacing w:val="-29"/>
        </w:rPr>
        <w:t xml:space="preserve">月 </w:t>
      </w:r>
      <w:r>
        <w:rPr>
          <w:rFonts w:hint="eastAsia" w:ascii="MS UI Gothic" w:hAnsi="MS UI Gothic" w:eastAsia="MS UI Gothic"/>
          <w:spacing w:val="-4"/>
        </w:rPr>
        <w:t xml:space="preserve">１７ </w:t>
      </w:r>
      <w:r>
        <w:rPr>
          <w:spacing w:val="5"/>
        </w:rPr>
        <w:t>日公布</w:t>
      </w:r>
      <w:r>
        <w:rPr>
          <w:rFonts w:hint="eastAsia" w:ascii="Microsoft Yi Baiti" w:hAnsi="Microsoft Yi Baiti" w:eastAsia="Microsoft Yi Baiti"/>
          <w:spacing w:val="3"/>
        </w:rPr>
        <w:t xml:space="preserve">、 </w:t>
      </w:r>
      <w:r>
        <w:rPr>
          <w:spacing w:val="5"/>
        </w:rPr>
        <w:t>国家安全生</w:t>
      </w:r>
      <w:r>
        <w:rPr>
          <w:spacing w:val="-5"/>
        </w:rPr>
        <w:t xml:space="preserve">产监督管理总局 </w:t>
      </w:r>
      <w:r>
        <w:rPr>
          <w:rFonts w:hint="eastAsia" w:ascii="MS UI Gothic" w:hAnsi="MS UI Gothic" w:eastAsia="MS UI Gothic"/>
          <w:spacing w:val="-1"/>
        </w:rPr>
        <w:t xml:space="preserve">２０１５ </w:t>
      </w:r>
      <w:r>
        <w:rPr>
          <w:spacing w:val="-24"/>
        </w:rPr>
        <w:t xml:space="preserve">年 </w:t>
      </w:r>
      <w:r>
        <w:rPr>
          <w:rFonts w:hint="eastAsia" w:ascii="MS UI Gothic" w:hAnsi="MS UI Gothic" w:eastAsia="MS UI Gothic"/>
          <w:spacing w:val="-1"/>
        </w:rPr>
        <w:t xml:space="preserve">６ </w:t>
      </w:r>
      <w:r>
        <w:rPr>
          <w:spacing w:val="-24"/>
        </w:rPr>
        <w:t xml:space="preserve">月 </w:t>
      </w:r>
      <w:r>
        <w:rPr>
          <w:rFonts w:hint="eastAsia" w:ascii="MS UI Gothic" w:hAnsi="MS UI Gothic" w:eastAsia="MS UI Gothic"/>
          <w:spacing w:val="-1"/>
        </w:rPr>
        <w:t xml:space="preserve">８ </w:t>
      </w:r>
      <w:r>
        <w:rPr>
          <w:spacing w:val="4"/>
        </w:rPr>
        <w:t xml:space="preserve">日修改的 </w:t>
      </w:r>
      <w:r>
        <w:rPr>
          <w:rFonts w:hint="eastAsia" w:ascii="Microsoft Yi Baiti" w:hAnsi="Microsoft Yi Baiti" w:eastAsia="Microsoft Yi Baiti"/>
          <w:spacing w:val="-32"/>
        </w:rPr>
        <w:t xml:space="preserve">« </w:t>
      </w:r>
      <w:r>
        <w:rPr>
          <w:spacing w:val="7"/>
        </w:rPr>
        <w:t>煤矿企业安全生产许可证实施办法</w:t>
      </w:r>
      <w:r>
        <w:rPr>
          <w:rFonts w:hint="eastAsia" w:ascii="Microsoft Yi Baiti" w:hAnsi="Microsoft Yi Baiti" w:eastAsia="Microsoft Yi Baiti"/>
          <w:spacing w:val="23"/>
        </w:rPr>
        <w:t xml:space="preserve">» </w:t>
      </w:r>
      <w:r>
        <w:rPr>
          <w:spacing w:val="6"/>
        </w:rPr>
        <w:t>同时废</w:t>
      </w:r>
      <w:r>
        <w:rPr>
          <w:spacing w:val="3"/>
        </w:rPr>
        <w:t>止</w:t>
      </w:r>
      <w:r>
        <w:rPr>
          <w:rFonts w:hint="eastAsia" w:ascii="Microsoft Yi Baiti" w:hAnsi="Microsoft Yi Baiti" w:eastAsia="Microsoft Yi Baiti"/>
        </w:rPr>
        <w:t>)</w:t>
      </w:r>
    </w:p>
    <w:p>
      <w:pPr>
        <w:pStyle w:val="6"/>
        <w:spacing w:before="10"/>
        <w:ind w:left="0" w:firstLine="0"/>
        <w:jc w:val="left"/>
        <w:rPr>
          <w:rFonts w:ascii="Microsoft Yi Baiti"/>
          <w:sz w:val="21"/>
        </w:rPr>
      </w:pPr>
    </w:p>
    <w:p>
      <w:pPr>
        <w:spacing w:after="0"/>
        <w:jc w:val="left"/>
        <w:rPr>
          <w:rFonts w:ascii="Microsoft Yi Baiti"/>
          <w:sz w:val="21"/>
        </w:rPr>
        <w:sectPr>
          <w:type w:val="continuous"/>
          <w:pgSz w:w="10500" w:h="14750"/>
          <w:pgMar w:top="1400" w:right="980" w:bottom="280" w:left="980" w:header="720" w:footer="720" w:gutter="0"/>
        </w:sectPr>
      </w:pPr>
    </w:p>
    <w:p>
      <w:pPr>
        <w:pStyle w:val="6"/>
        <w:spacing w:before="5"/>
        <w:ind w:left="0" w:firstLine="0"/>
        <w:jc w:val="left"/>
        <w:rPr>
          <w:rFonts w:ascii="Microsoft Yi Baiti"/>
          <w:sz w:val="23"/>
        </w:rPr>
      </w:pPr>
    </w:p>
    <w:p>
      <w:pPr>
        <w:pStyle w:val="6"/>
        <w:tabs>
          <w:tab w:val="left" w:pos="2011"/>
          <w:tab w:val="left" w:pos="2639"/>
        </w:tabs>
        <w:spacing w:before="1"/>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85" w:lineRule="auto"/>
        <w:ind w:right="38"/>
        <w:rPr>
          <w:rFonts w:hint="eastAsia" w:ascii="MS UI Gothic" w:hAnsi="MS UI Gothic" w:eastAsia="MS UI Gothic"/>
        </w:rPr>
      </w:pPr>
      <w:r>
        <w:t>第一条 为了规范煤矿企业安全生产条件</w:t>
      </w:r>
      <w:r>
        <w:rPr>
          <w:rFonts w:hint="eastAsia" w:ascii="MS UI Gothic" w:hAnsi="MS UI Gothic" w:eastAsia="MS UI Gothic"/>
          <w:w w:val="80"/>
        </w:rPr>
        <w:t xml:space="preserve">ꎬ </w:t>
      </w:r>
      <w:r>
        <w:t>加强煤矿企业安全生产许可证的颁发管理工作</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安全生产许可证条例</w:t>
      </w:r>
      <w:r>
        <w:rPr>
          <w:rFonts w:hint="eastAsia" w:ascii="MS UI Gothic" w:hAnsi="MS UI Gothic" w:eastAsia="MS UI Gothic"/>
          <w:w w:val="80"/>
        </w:rPr>
        <w:t xml:space="preserve">» </w:t>
      </w:r>
      <w:r>
        <w:t>和有关法律</w:t>
      </w:r>
      <w:r>
        <w:rPr>
          <w:rFonts w:hint="eastAsia" w:ascii="MS UI Gothic" w:hAnsi="MS UI Gothic" w:eastAsia="MS UI Gothic"/>
          <w:w w:val="80"/>
        </w:rPr>
        <w:t xml:space="preserve">、 </w:t>
      </w:r>
      <w:r>
        <w:t>行政法规</w:t>
      </w:r>
      <w:r>
        <w:rPr>
          <w:rFonts w:hint="eastAsia" w:ascii="MS UI Gothic" w:hAnsi="MS UI Gothic" w:eastAsia="MS UI Gothic"/>
          <w:w w:val="80"/>
        </w:rPr>
        <w:t xml:space="preserve">ꎬ </w:t>
      </w:r>
      <w:r>
        <w:t>制定本实施办法</w:t>
      </w:r>
      <w:r>
        <w:rPr>
          <w:rFonts w:hint="eastAsia" w:ascii="MS UI Gothic" w:hAnsi="MS UI Gothic" w:eastAsia="MS UI Gothic"/>
          <w:w w:val="80"/>
        </w:rPr>
        <w:t>ꎮ</w:t>
      </w:r>
    </w:p>
    <w:p>
      <w:pPr>
        <w:pStyle w:val="6"/>
        <w:spacing w:before="7" w:line="288" w:lineRule="auto"/>
        <w:ind w:right="38"/>
        <w:rPr>
          <w:rFonts w:hint="eastAsia" w:ascii="MS UI Gothic" w:eastAsia="MS UI Gothic"/>
        </w:rPr>
      </w:pPr>
      <w:r>
        <w:t>第二条 煤矿企业必须依照本实施办法的规定取得安全生产许可证</w:t>
      </w:r>
      <w:r>
        <w:rPr>
          <w:rFonts w:hint="eastAsia" w:ascii="MS UI Gothic" w:eastAsia="MS UI Gothic"/>
          <w:w w:val="80"/>
        </w:rPr>
        <w:t xml:space="preserve">ꎮ </w:t>
      </w:r>
      <w:r>
        <w:t>未取得安全生产许可证的</w:t>
      </w:r>
      <w:r>
        <w:rPr>
          <w:rFonts w:hint="eastAsia" w:ascii="MS UI Gothic" w:eastAsia="MS UI Gothic"/>
          <w:w w:val="80"/>
        </w:rPr>
        <w:t xml:space="preserve">ꎬ </w:t>
      </w:r>
      <w:r>
        <w:t>不得从事生产活动</w:t>
      </w:r>
      <w:r>
        <w:rPr>
          <w:rFonts w:hint="eastAsia" w:ascii="MS UI Gothic" w:eastAsia="MS UI Gothic"/>
          <w:w w:val="80"/>
        </w:rPr>
        <w:t>ꎮ</w:t>
      </w:r>
    </w:p>
    <w:p>
      <w:pPr>
        <w:pStyle w:val="6"/>
        <w:spacing w:before="1" w:line="288" w:lineRule="auto"/>
        <w:ind w:right="38"/>
        <w:rPr>
          <w:rFonts w:hint="eastAsia" w:ascii="MS UI Gothic" w:eastAsia="MS UI Gothic"/>
        </w:rPr>
      </w:pPr>
      <w:r>
        <w:t>煤层气地面开采企业安全生产许可证的管理办法</w:t>
      </w:r>
      <w:r>
        <w:rPr>
          <w:rFonts w:hint="eastAsia" w:ascii="MS UI Gothic" w:eastAsia="MS UI Gothic"/>
          <w:w w:val="80"/>
        </w:rPr>
        <w:t xml:space="preserve">ꎬ </w:t>
      </w:r>
      <w:r>
        <w:t>另行制定</w:t>
      </w:r>
      <w:r>
        <w:rPr>
          <w:rFonts w:hint="eastAsia" w:ascii="MS UI Gothic" w:eastAsia="MS UI Gothic"/>
          <w:w w:val="80"/>
        </w:rPr>
        <w:t>ꎮ</w:t>
      </w:r>
    </w:p>
    <w:p>
      <w:pPr>
        <w:pStyle w:val="6"/>
        <w:spacing w:before="85" w:line="288" w:lineRule="auto"/>
        <w:ind w:right="440"/>
        <w:rPr>
          <w:rFonts w:hint="eastAsia" w:ascii="MS UI Gothic" w:eastAsia="MS UI Gothic"/>
        </w:rPr>
      </w:pPr>
      <w:r>
        <w:br w:type="column"/>
      </w:r>
      <w:r>
        <w:rPr>
          <w:w w:val="105"/>
        </w:rPr>
        <w:t>第三条 煤矿企业除本企业申请办理安全生产许可证外</w:t>
      </w:r>
      <w:r>
        <w:rPr>
          <w:rFonts w:hint="eastAsia" w:ascii="MS UI Gothic" w:eastAsia="MS UI Gothic"/>
          <w:w w:val="80"/>
        </w:rPr>
        <w:t xml:space="preserve">ꎬ </w:t>
      </w:r>
      <w:r>
        <w:rPr>
          <w:w w:val="105"/>
        </w:rPr>
        <w:t xml:space="preserve">其所属矿 </w:t>
      </w:r>
      <w:r>
        <w:rPr>
          <w:rFonts w:hint="eastAsia" w:ascii="MS UI Gothic" w:eastAsia="MS UI Gothic"/>
          <w:w w:val="150"/>
        </w:rPr>
        <w:t xml:space="preserve">( </w:t>
      </w:r>
      <w:r>
        <w:rPr>
          <w:w w:val="105"/>
        </w:rPr>
        <w:t>井</w:t>
      </w:r>
      <w:r>
        <w:rPr>
          <w:rFonts w:hint="eastAsia" w:ascii="MS UI Gothic" w:eastAsia="MS UI Gothic"/>
          <w:w w:val="80"/>
        </w:rPr>
        <w:t xml:space="preserve">、 </w:t>
      </w:r>
      <w:r>
        <w:rPr>
          <w:w w:val="105"/>
        </w:rPr>
        <w:t>露天坑</w:t>
      </w:r>
      <w:r>
        <w:rPr>
          <w:rFonts w:hint="eastAsia" w:ascii="MS UI Gothic" w:eastAsia="MS UI Gothic"/>
          <w:w w:val="125"/>
        </w:rPr>
        <w:t xml:space="preserve">) </w:t>
      </w:r>
      <w:r>
        <w:rPr>
          <w:w w:val="105"/>
        </w:rPr>
        <w:t>也应当申请办理安全生产许可证</w:t>
      </w:r>
      <w:r>
        <w:rPr>
          <w:rFonts w:hint="eastAsia" w:ascii="MS UI Gothic" w:eastAsia="MS UI Gothic"/>
          <w:w w:val="80"/>
        </w:rPr>
        <w:t>ꎬ</w:t>
      </w:r>
      <w:r>
        <w:rPr>
          <w:w w:val="105"/>
        </w:rPr>
        <w:t xml:space="preserve">一矿 </w:t>
      </w:r>
      <w:r>
        <w:rPr>
          <w:rFonts w:hint="eastAsia" w:ascii="MS UI Gothic" w:eastAsia="MS UI Gothic"/>
          <w:w w:val="150"/>
        </w:rPr>
        <w:t xml:space="preserve">( </w:t>
      </w:r>
      <w:r>
        <w:rPr>
          <w:w w:val="105"/>
        </w:rPr>
        <w:t>井</w:t>
      </w:r>
      <w:r>
        <w:rPr>
          <w:rFonts w:hint="eastAsia" w:ascii="MS UI Gothic" w:eastAsia="MS UI Gothic"/>
          <w:w w:val="80"/>
        </w:rPr>
        <w:t xml:space="preserve">、 </w:t>
      </w:r>
      <w:r>
        <w:rPr>
          <w:w w:val="105"/>
        </w:rPr>
        <w:t>露天坑</w:t>
      </w:r>
      <w:r>
        <w:rPr>
          <w:rFonts w:hint="eastAsia" w:ascii="MS UI Gothic" w:eastAsia="MS UI Gothic"/>
          <w:w w:val="150"/>
        </w:rPr>
        <w:t xml:space="preserve">) </w:t>
      </w:r>
      <w:r>
        <w:rPr>
          <w:w w:val="105"/>
        </w:rPr>
        <w:t>一证</w:t>
      </w:r>
      <w:r>
        <w:rPr>
          <w:rFonts w:hint="eastAsia" w:ascii="MS UI Gothic" w:eastAsia="MS UI Gothic"/>
          <w:w w:val="80"/>
        </w:rPr>
        <w:t>ꎮ</w:t>
      </w:r>
    </w:p>
    <w:p>
      <w:pPr>
        <w:pStyle w:val="6"/>
        <w:spacing w:before="4" w:line="288" w:lineRule="auto"/>
        <w:ind w:right="442"/>
        <w:rPr>
          <w:rFonts w:hint="eastAsia" w:ascii="MS UI Gothic" w:eastAsia="MS UI Gothic"/>
        </w:rPr>
      </w:pPr>
      <w:r>
        <w:t>煤矿企业实行多级管理的</w:t>
      </w:r>
      <w:r>
        <w:rPr>
          <w:rFonts w:hint="eastAsia" w:ascii="MS UI Gothic" w:eastAsia="MS UI Gothic"/>
          <w:w w:val="80"/>
        </w:rPr>
        <w:t xml:space="preserve">ꎬ </w:t>
      </w:r>
      <w:r>
        <w:t>其上级煤矿企业也应当申请办理安全生产许可证</w:t>
      </w:r>
      <w:r>
        <w:rPr>
          <w:rFonts w:hint="eastAsia" w:ascii="MS UI Gothic" w:eastAsia="MS UI Gothic"/>
          <w:w w:val="80"/>
        </w:rPr>
        <w:t>ꎮ</w:t>
      </w:r>
    </w:p>
    <w:p>
      <w:pPr>
        <w:pStyle w:val="6"/>
        <w:spacing w:line="288" w:lineRule="auto"/>
        <w:ind w:right="442"/>
        <w:rPr>
          <w:rFonts w:hint="eastAsia" w:ascii="MS UI Gothic" w:eastAsia="MS UI Gothic"/>
        </w:rPr>
      </w:pPr>
      <w:r>
        <w:t>第四条 安全生产许可证的颁发管理工作实行企业申请</w:t>
      </w:r>
      <w:r>
        <w:rPr>
          <w:rFonts w:hint="eastAsia" w:ascii="MS UI Gothic" w:eastAsia="MS UI Gothic"/>
          <w:w w:val="80"/>
        </w:rPr>
        <w:t xml:space="preserve">、 </w:t>
      </w:r>
      <w:r>
        <w:t>两级发证</w:t>
      </w:r>
      <w:r>
        <w:rPr>
          <w:rFonts w:hint="eastAsia" w:ascii="MS UI Gothic" w:eastAsia="MS UI Gothic"/>
          <w:w w:val="80"/>
        </w:rPr>
        <w:t xml:space="preserve">、 </w:t>
      </w:r>
      <w:r>
        <w:t>属地监管的原则</w:t>
      </w:r>
      <w:r>
        <w:rPr>
          <w:rFonts w:hint="eastAsia" w:ascii="MS UI Gothic" w:eastAsia="MS UI Gothic"/>
          <w:w w:val="80"/>
        </w:rPr>
        <w:t>ꎮ</w:t>
      </w:r>
    </w:p>
    <w:p>
      <w:pPr>
        <w:pStyle w:val="6"/>
        <w:spacing w:before="3" w:line="288" w:lineRule="auto"/>
        <w:ind w:right="440"/>
      </w:pPr>
      <w:r>
        <w:rPr>
          <w:w w:val="105"/>
        </w:rPr>
        <w:t>第五条 国家煤矿安全监察局指导</w:t>
      </w:r>
      <w:r>
        <w:rPr>
          <w:rFonts w:hint="eastAsia" w:ascii="MS UI Gothic" w:eastAsia="MS UI Gothic"/>
          <w:w w:val="80"/>
        </w:rPr>
        <w:t>、</w:t>
      </w:r>
      <w:r>
        <w:t>监督全国煤矿企业安全生产许可证的颁发管理工作</w:t>
      </w:r>
      <w:r>
        <w:rPr>
          <w:rFonts w:hint="eastAsia" w:ascii="MS UI Gothic" w:eastAsia="MS UI Gothic"/>
          <w:w w:val="80"/>
        </w:rPr>
        <w:t xml:space="preserve">ꎬ </w:t>
      </w:r>
      <w:r>
        <w:t>负责符合本办法第三条规定的</w:t>
      </w:r>
    </w:p>
    <w:p>
      <w:pPr>
        <w:spacing w:after="0" w:line="288" w:lineRule="auto"/>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２３１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24" o:spid="_x0000_s1724" o:spt="203" style="height:2.15pt;width:398.25pt;" coordsize="7965,43">
            <o:lock v:ext="edit"/>
            <v:line id="_x0000_s1725" o:spid="_x0000_s1725" o:spt="20" style="position:absolute;left:0;top:39;height:0;width:7965;" stroked="t" coordsize="21600,21600">
              <v:path arrowok="t"/>
              <v:fill focussize="0,0"/>
              <v:stroke weight="0.388031496062992pt" color="#231F20"/>
              <v:imagedata o:title=""/>
              <o:lock v:ext="edit"/>
            </v:line>
            <v:line id="_x0000_s1726" o:spid="_x0000_s172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center"/>
        <w:rPr>
          <w:rFonts w:hint="eastAsia" w:ascii="MS UI Gothic" w:eastAsia="MS UI Gothic"/>
        </w:rPr>
      </w:pPr>
      <w:r>
        <w:rPr>
          <w:w w:val="105"/>
        </w:rPr>
        <w:t xml:space="preserve">中央管理的煤矿企业总部 </w:t>
      </w:r>
      <w:r>
        <w:rPr>
          <w:rFonts w:hint="eastAsia" w:ascii="MS UI Gothic" w:eastAsia="MS UI Gothic"/>
          <w:w w:val="150"/>
        </w:rPr>
        <w:t xml:space="preserve">( </w:t>
      </w:r>
      <w:r>
        <w:rPr>
          <w:w w:val="105"/>
        </w:rPr>
        <w:t>总公司</w:t>
      </w:r>
      <w:r>
        <w:rPr>
          <w:rFonts w:hint="eastAsia" w:ascii="MS UI Gothic" w:eastAsia="MS UI Gothic"/>
          <w:w w:val="80"/>
        </w:rPr>
        <w:t xml:space="preserve">、 </w:t>
      </w:r>
      <w:r>
        <w:rPr>
          <w:w w:val="105"/>
        </w:rPr>
        <w:t>集团公司</w:t>
      </w:r>
      <w:r>
        <w:rPr>
          <w:rFonts w:hint="eastAsia" w:ascii="MS UI Gothic" w:eastAsia="MS UI Gothic"/>
          <w:w w:val="150"/>
        </w:rPr>
        <w:t xml:space="preserve">) </w:t>
      </w:r>
      <w:r>
        <w:rPr>
          <w:w w:val="105"/>
        </w:rPr>
        <w:t>安全生产许可证的颁发和管理</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省级煤矿安全监察局负责前款规定以外的其他煤矿企业安全生产许可证的颁发</w:t>
      </w:r>
      <w:r>
        <w:rPr>
          <w:spacing w:val="3"/>
        </w:rPr>
        <w:t>和管理</w:t>
      </w:r>
      <w:r>
        <w:rPr>
          <w:rFonts w:hint="eastAsia" w:ascii="MS UI Gothic" w:eastAsia="MS UI Gothic"/>
          <w:spacing w:val="18"/>
          <w:w w:val="80"/>
        </w:rPr>
        <w:t xml:space="preserve">ꎻ </w:t>
      </w:r>
      <w:r>
        <w:rPr>
          <w:spacing w:val="9"/>
        </w:rPr>
        <w:t>未设立煤矿安全监察机构的省</w:t>
      </w:r>
      <w:r>
        <w:rPr>
          <w:rFonts w:hint="eastAsia" w:ascii="MS UI Gothic" w:eastAsia="MS UI Gothic"/>
          <w:w w:val="80"/>
        </w:rPr>
        <w:t>、</w:t>
      </w:r>
      <w:r>
        <w:rPr>
          <w:spacing w:val="3"/>
          <w:w w:val="105"/>
        </w:rPr>
        <w:t>自治区</w:t>
      </w:r>
      <w:r>
        <w:rPr>
          <w:rFonts w:hint="eastAsia" w:ascii="MS UI Gothic" w:eastAsia="MS UI Gothic"/>
          <w:spacing w:val="-2"/>
          <w:w w:val="80"/>
        </w:rPr>
        <w:t xml:space="preserve">ꎬ </w:t>
      </w:r>
      <w:r>
        <w:rPr>
          <w:spacing w:val="3"/>
          <w:w w:val="105"/>
        </w:rPr>
        <w:t>由省</w:t>
      </w:r>
      <w:r>
        <w:rPr>
          <w:rFonts w:hint="eastAsia" w:ascii="MS UI Gothic" w:eastAsia="MS UI Gothic"/>
          <w:spacing w:val="-1"/>
          <w:w w:val="80"/>
        </w:rPr>
        <w:t xml:space="preserve">、 </w:t>
      </w:r>
      <w:r>
        <w:rPr>
          <w:spacing w:val="2"/>
          <w:w w:val="105"/>
        </w:rPr>
        <w:t>自治区人民政府指定的部</w:t>
      </w:r>
      <w:r>
        <w:rPr>
          <w:spacing w:val="-20"/>
          <w:w w:val="105"/>
        </w:rPr>
        <w:t xml:space="preserve">门 </w:t>
      </w:r>
      <w:r>
        <w:rPr>
          <w:rFonts w:hint="eastAsia" w:ascii="MS UI Gothic" w:eastAsia="MS UI Gothic"/>
          <w:spacing w:val="-40"/>
          <w:w w:val="150"/>
        </w:rPr>
        <w:t xml:space="preserve">( </w:t>
      </w:r>
      <w:r>
        <w:rPr>
          <w:spacing w:val="14"/>
          <w:w w:val="105"/>
        </w:rPr>
        <w:t>以下与省级煤矿安全监察局统称省</w:t>
      </w:r>
      <w:r>
        <w:rPr>
          <w:spacing w:val="11"/>
          <w:w w:val="105"/>
        </w:rPr>
        <w:t>级安全生产许可证颁发管理机关</w:t>
      </w:r>
      <w:r>
        <w:rPr>
          <w:rFonts w:hint="eastAsia" w:ascii="MS UI Gothic" w:eastAsia="MS UI Gothic"/>
          <w:spacing w:val="-5"/>
          <w:w w:val="150"/>
        </w:rPr>
        <w:t xml:space="preserve">) </w:t>
      </w:r>
      <w:r>
        <w:rPr>
          <w:spacing w:val="9"/>
          <w:w w:val="105"/>
        </w:rPr>
        <w:t>负责</w:t>
      </w:r>
      <w:r>
        <w:rPr>
          <w:spacing w:val="2"/>
        </w:rPr>
        <w:t>本行政区域内煤矿企业安全生产许可证的</w:t>
      </w:r>
      <w:r>
        <w:rPr>
          <w:spacing w:val="3"/>
          <w:w w:val="105"/>
        </w:rPr>
        <w:t>颁发和管理</w:t>
      </w:r>
      <w:r>
        <w:rPr>
          <w:rFonts w:hint="eastAsia" w:ascii="MS UI Gothic" w:eastAsia="MS UI Gothic"/>
          <w:w w:val="80"/>
        </w:rPr>
        <w:t>ꎮ</w:t>
      </w:r>
    </w:p>
    <w:p>
      <w:pPr>
        <w:pStyle w:val="6"/>
        <w:spacing w:line="295" w:lineRule="auto"/>
        <w:ind w:left="440" w:right="1"/>
        <w:rPr>
          <w:rFonts w:hint="eastAsia" w:ascii="MS UI Gothic" w:eastAsia="MS UI Gothic"/>
        </w:rPr>
      </w:pPr>
      <w:r>
        <w:t>国家煤矿安全监察局和省级安全生产许可证颁发管理机关统称安全生产许可证</w:t>
      </w:r>
      <w:r>
        <w:rPr>
          <w:w w:val="105"/>
        </w:rPr>
        <w:t>颁发管理机关</w:t>
      </w:r>
      <w:r>
        <w:rPr>
          <w:rFonts w:hint="eastAsia" w:ascii="MS UI Gothic" w:eastAsia="MS UI Gothic"/>
          <w:w w:val="80"/>
        </w:rPr>
        <w:t>ꎮ</w:t>
      </w:r>
    </w:p>
    <w:p>
      <w:pPr>
        <w:pStyle w:val="6"/>
        <w:tabs>
          <w:tab w:val="left" w:pos="1277"/>
        </w:tabs>
        <w:spacing w:before="147"/>
        <w:ind w:left="439" w:firstLine="0"/>
        <w:jc w:val="center"/>
      </w:pPr>
      <w:r>
        <w:rPr>
          <w:spacing w:val="3"/>
          <w:w w:val="105"/>
        </w:rPr>
        <w:t>第二</w:t>
      </w:r>
      <w:r>
        <w:rPr>
          <w:w w:val="105"/>
        </w:rPr>
        <w:t>章</w:t>
      </w:r>
      <w:r>
        <w:rPr>
          <w:w w:val="105"/>
        </w:rPr>
        <w:tab/>
      </w:r>
      <w:r>
        <w:rPr>
          <w:spacing w:val="3"/>
          <w:w w:val="105"/>
        </w:rPr>
        <w:t>安全生产条</w:t>
      </w:r>
      <w:r>
        <w:rPr>
          <w:w w:val="105"/>
        </w:rPr>
        <w:t>件</w:t>
      </w:r>
    </w:p>
    <w:p>
      <w:pPr>
        <w:pStyle w:val="6"/>
        <w:spacing w:before="215" w:line="295" w:lineRule="auto"/>
        <w:ind w:left="440" w:right="1"/>
        <w:rPr>
          <w:rFonts w:hint="eastAsia" w:ascii="MS UI Gothic" w:eastAsia="MS UI Gothic"/>
        </w:rPr>
      </w:pPr>
      <w:r>
        <w:rPr>
          <w:w w:val="105"/>
        </w:rPr>
        <w:t>第六条 煤矿企业取得安全生产许可</w:t>
      </w:r>
      <w:r>
        <w:rPr>
          <w:w w:val="110"/>
        </w:rPr>
        <w:t>证</w:t>
      </w:r>
      <w:r>
        <w:rPr>
          <w:rFonts w:hint="eastAsia" w:ascii="MS UI Gothic" w:eastAsia="MS UI Gothic"/>
          <w:w w:val="80"/>
        </w:rPr>
        <w:t xml:space="preserve">ꎬ </w:t>
      </w:r>
      <w:r>
        <w:rPr>
          <w:w w:val="110"/>
        </w:rPr>
        <w:t>应当具备下列安全生产条件</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11"/>
          <w:w w:val="150"/>
        </w:rPr>
        <w:t xml:space="preserve">) </w:t>
      </w:r>
      <w:r>
        <w:rPr>
          <w:spacing w:val="3"/>
          <w:w w:val="105"/>
        </w:rPr>
        <w:t>建立</w:t>
      </w:r>
      <w:r>
        <w:rPr>
          <w:rFonts w:hint="eastAsia" w:ascii="MS UI Gothic" w:eastAsia="MS UI Gothic"/>
          <w:spacing w:val="23"/>
          <w:w w:val="80"/>
        </w:rPr>
        <w:t xml:space="preserve">、 </w:t>
      </w:r>
      <w:r>
        <w:rPr>
          <w:spacing w:val="9"/>
          <w:w w:val="105"/>
        </w:rPr>
        <w:t>健全主要负责人</w:t>
      </w:r>
      <w:r>
        <w:rPr>
          <w:rFonts w:hint="eastAsia" w:ascii="MS UI Gothic" w:eastAsia="MS UI Gothic"/>
          <w:spacing w:val="2"/>
          <w:w w:val="80"/>
        </w:rPr>
        <w:t xml:space="preserve">、 </w:t>
      </w:r>
      <w:r>
        <w:rPr>
          <w:spacing w:val="6"/>
          <w:w w:val="105"/>
        </w:rPr>
        <w:t>分管</w:t>
      </w:r>
      <w:r>
        <w:rPr>
          <w:spacing w:val="3"/>
          <w:w w:val="105"/>
        </w:rPr>
        <w:t>负责人</w:t>
      </w:r>
      <w:r>
        <w:rPr>
          <w:rFonts w:hint="eastAsia" w:ascii="MS UI Gothic" w:eastAsia="MS UI Gothic"/>
          <w:spacing w:val="11"/>
          <w:w w:val="80"/>
        </w:rPr>
        <w:t xml:space="preserve">、 </w:t>
      </w:r>
      <w:r>
        <w:rPr>
          <w:spacing w:val="9"/>
          <w:w w:val="105"/>
        </w:rPr>
        <w:t>安全生产管理人员</w:t>
      </w:r>
      <w:r>
        <w:rPr>
          <w:rFonts w:hint="eastAsia" w:ascii="MS UI Gothic" w:eastAsia="MS UI Gothic"/>
          <w:spacing w:val="14"/>
          <w:w w:val="80"/>
        </w:rPr>
        <w:t xml:space="preserve">、 </w:t>
      </w:r>
      <w:r>
        <w:rPr>
          <w:spacing w:val="12"/>
          <w:w w:val="105"/>
        </w:rPr>
        <w:t>职能部门</w:t>
      </w:r>
      <w:r>
        <w:rPr>
          <w:rFonts w:hint="eastAsia" w:ascii="MS UI Gothic" w:eastAsia="MS UI Gothic"/>
          <w:w w:val="80"/>
        </w:rPr>
        <w:t>、</w:t>
      </w:r>
      <w:r>
        <w:rPr>
          <w:spacing w:val="12"/>
        </w:rPr>
        <w:t>岗位安全生产责任制</w:t>
      </w:r>
      <w:r>
        <w:rPr>
          <w:rFonts w:hint="eastAsia" w:ascii="MS UI Gothic" w:eastAsia="MS UI Gothic"/>
          <w:w w:val="80"/>
        </w:rPr>
        <w:t xml:space="preserve">ꎻ </w:t>
      </w:r>
      <w:r>
        <w:rPr>
          <w:spacing w:val="16"/>
        </w:rPr>
        <w:t>制定安全目标管</w:t>
      </w:r>
      <w:r>
        <w:rPr>
          <w:spacing w:val="3"/>
          <w:w w:val="105"/>
        </w:rPr>
        <w:t>理</w:t>
      </w:r>
      <w:r>
        <w:rPr>
          <w:rFonts w:hint="eastAsia" w:ascii="MS UI Gothic" w:eastAsia="MS UI Gothic"/>
          <w:spacing w:val="16"/>
          <w:w w:val="80"/>
        </w:rPr>
        <w:t xml:space="preserve">、 </w:t>
      </w:r>
      <w:r>
        <w:rPr>
          <w:spacing w:val="3"/>
          <w:w w:val="105"/>
        </w:rPr>
        <w:t>安全奖惩</w:t>
      </w:r>
      <w:r>
        <w:rPr>
          <w:rFonts w:hint="eastAsia" w:ascii="MS UI Gothic" w:eastAsia="MS UI Gothic"/>
          <w:spacing w:val="17"/>
          <w:w w:val="80"/>
        </w:rPr>
        <w:t xml:space="preserve">、 </w:t>
      </w:r>
      <w:r>
        <w:rPr>
          <w:spacing w:val="3"/>
          <w:w w:val="105"/>
        </w:rPr>
        <w:t>安全技术审批</w:t>
      </w:r>
      <w:r>
        <w:rPr>
          <w:rFonts w:hint="eastAsia" w:ascii="MS UI Gothic" w:eastAsia="MS UI Gothic"/>
          <w:spacing w:val="17"/>
          <w:w w:val="80"/>
        </w:rPr>
        <w:t xml:space="preserve">、 </w:t>
      </w:r>
      <w:r>
        <w:rPr>
          <w:spacing w:val="2"/>
          <w:w w:val="105"/>
        </w:rPr>
        <w:t>事故隐患</w:t>
      </w:r>
      <w:r>
        <w:rPr>
          <w:spacing w:val="3"/>
          <w:w w:val="105"/>
        </w:rPr>
        <w:t>排查治理</w:t>
      </w:r>
      <w:r>
        <w:rPr>
          <w:rFonts w:hint="eastAsia" w:ascii="MS UI Gothic" w:eastAsia="MS UI Gothic"/>
          <w:spacing w:val="16"/>
          <w:w w:val="80"/>
        </w:rPr>
        <w:t xml:space="preserve">、 </w:t>
      </w:r>
      <w:r>
        <w:rPr>
          <w:spacing w:val="3"/>
          <w:w w:val="105"/>
        </w:rPr>
        <w:t>安全检查</w:t>
      </w:r>
      <w:r>
        <w:rPr>
          <w:rFonts w:hint="eastAsia" w:ascii="MS UI Gothic" w:eastAsia="MS UI Gothic"/>
          <w:spacing w:val="17"/>
          <w:w w:val="80"/>
        </w:rPr>
        <w:t xml:space="preserve">、 </w:t>
      </w:r>
      <w:r>
        <w:rPr>
          <w:spacing w:val="3"/>
          <w:w w:val="105"/>
        </w:rPr>
        <w:t>安全办公会议</w:t>
      </w:r>
      <w:r>
        <w:rPr>
          <w:rFonts w:hint="eastAsia" w:ascii="MS UI Gothic" w:eastAsia="MS UI Gothic"/>
          <w:spacing w:val="17"/>
          <w:w w:val="80"/>
        </w:rPr>
        <w:t xml:space="preserve">、 </w:t>
      </w:r>
      <w:r>
        <w:rPr>
          <w:w w:val="105"/>
        </w:rPr>
        <w:t>地</w:t>
      </w:r>
      <w:r>
        <w:rPr>
          <w:spacing w:val="3"/>
          <w:w w:val="105"/>
        </w:rPr>
        <w:t>质灾害普查</w:t>
      </w:r>
      <w:r>
        <w:rPr>
          <w:rFonts w:hint="eastAsia" w:ascii="MS UI Gothic" w:eastAsia="MS UI Gothic"/>
          <w:spacing w:val="11"/>
          <w:w w:val="80"/>
        </w:rPr>
        <w:t xml:space="preserve">、 </w:t>
      </w:r>
      <w:r>
        <w:rPr>
          <w:spacing w:val="3"/>
          <w:w w:val="105"/>
        </w:rPr>
        <w:t>井下劳动组织定员</w:t>
      </w:r>
      <w:r>
        <w:rPr>
          <w:rFonts w:hint="eastAsia" w:ascii="MS UI Gothic" w:eastAsia="MS UI Gothic"/>
          <w:spacing w:val="11"/>
          <w:w w:val="80"/>
        </w:rPr>
        <w:t xml:space="preserve">、 </w:t>
      </w:r>
      <w:r>
        <w:rPr>
          <w:spacing w:val="1"/>
          <w:w w:val="105"/>
        </w:rPr>
        <w:t>矿领导</w:t>
      </w:r>
      <w:r>
        <w:rPr>
          <w:spacing w:val="3"/>
          <w:w w:val="105"/>
        </w:rPr>
        <w:t>带班下井</w:t>
      </w:r>
      <w:r>
        <w:rPr>
          <w:rFonts w:hint="eastAsia" w:ascii="MS UI Gothic" w:eastAsia="MS UI Gothic"/>
          <w:spacing w:val="-4"/>
          <w:w w:val="80"/>
        </w:rPr>
        <w:t xml:space="preserve">、 </w:t>
      </w:r>
      <w:r>
        <w:rPr>
          <w:spacing w:val="2"/>
          <w:w w:val="105"/>
        </w:rPr>
        <w:t>井工煤矿入井检身与出入井人</w:t>
      </w:r>
      <w:r>
        <w:rPr>
          <w:spacing w:val="2"/>
        </w:rPr>
        <w:t>员清点等安全生产规章制度和各工种操作</w:t>
      </w:r>
      <w:r>
        <w:rPr>
          <w:spacing w:val="3"/>
          <w:w w:val="105"/>
        </w:rPr>
        <w:t>规程</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41"/>
          <w:w w:val="150"/>
        </w:rPr>
        <w:t xml:space="preserve">( </w:t>
      </w:r>
      <w:r>
        <w:rPr>
          <w:spacing w:val="7"/>
          <w:w w:val="105"/>
        </w:rPr>
        <w:t>二</w:t>
      </w:r>
      <w:r>
        <w:rPr>
          <w:rFonts w:hint="eastAsia" w:ascii="MS UI Gothic" w:eastAsia="MS UI Gothic"/>
          <w:spacing w:val="-12"/>
          <w:w w:val="150"/>
        </w:rPr>
        <w:t xml:space="preserve">) </w:t>
      </w:r>
      <w:r>
        <w:rPr>
          <w:spacing w:val="15"/>
          <w:w w:val="105"/>
        </w:rPr>
        <w:t>安全投入满足安全生产要求</w:t>
      </w:r>
      <w:r>
        <w:rPr>
          <w:rFonts w:hint="eastAsia" w:ascii="MS UI Gothic" w:eastAsia="MS UI Gothic"/>
          <w:spacing w:val="-12"/>
          <w:w w:val="80"/>
        </w:rPr>
        <w:t>ꎬ</w:t>
      </w:r>
      <w:r>
        <w:rPr>
          <w:spacing w:val="2"/>
        </w:rPr>
        <w:t>并按照有关规定足额提取和使用安全生产</w:t>
      </w:r>
      <w:r>
        <w:rPr>
          <w:spacing w:val="3"/>
          <w:w w:val="105"/>
        </w:rPr>
        <w:t>费用</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设置安全生产管理机构</w:t>
      </w:r>
      <w:r>
        <w:rPr>
          <w:rFonts w:hint="eastAsia" w:ascii="MS UI Gothic" w:eastAsia="MS UI Gothic"/>
          <w:w w:val="80"/>
        </w:rPr>
        <w:t xml:space="preserve">ꎬ </w:t>
      </w:r>
      <w:r>
        <w:rPr>
          <w:w w:val="105"/>
        </w:rPr>
        <w:t>配备</w:t>
      </w:r>
      <w:r>
        <w:t>专职安全生产管理人员</w:t>
      </w:r>
      <w:r>
        <w:rPr>
          <w:rFonts w:hint="eastAsia" w:ascii="MS UI Gothic" w:eastAsia="MS UI Gothic"/>
          <w:w w:val="80"/>
        </w:rPr>
        <w:t xml:space="preserve">ꎻ </w:t>
      </w:r>
      <w:r>
        <w:t>煤与瓦斯突出矿</w:t>
      </w:r>
      <w:r>
        <w:rPr>
          <w:w w:val="105"/>
        </w:rPr>
        <w:t>井</w:t>
      </w:r>
      <w:r>
        <w:rPr>
          <w:rFonts w:hint="eastAsia" w:ascii="MS UI Gothic" w:eastAsia="MS UI Gothic"/>
          <w:w w:val="80"/>
        </w:rPr>
        <w:t xml:space="preserve">、 </w:t>
      </w:r>
      <w:r>
        <w:rPr>
          <w:w w:val="105"/>
        </w:rPr>
        <w:t>水文地质类型复杂矿井还应设置专门</w:t>
      </w:r>
      <w:r>
        <w:t>的防治煤与瓦斯突出管理机构和防治水管</w:t>
      </w:r>
      <w:r>
        <w:rPr>
          <w:w w:val="105"/>
        </w:rPr>
        <w:t>理机构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主要负责人和安全生产管理人</w:t>
      </w:r>
      <w:r>
        <w:t>员的安全生产知识和管理能力经考核</w:t>
      </w:r>
      <w:r>
        <w:rPr>
          <w:w w:val="105"/>
        </w:rPr>
        <w:t>合格</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参加工伤保险</w:t>
      </w:r>
      <w:r>
        <w:rPr>
          <w:rFonts w:hint="eastAsia" w:ascii="MS UI Gothic" w:eastAsia="MS UI Gothic"/>
          <w:w w:val="80"/>
        </w:rPr>
        <w:t xml:space="preserve">ꎬ </w:t>
      </w:r>
      <w:r>
        <w:rPr>
          <w:w w:val="105"/>
        </w:rPr>
        <w:t>为从业人员缴纳工伤保险费</w:t>
      </w:r>
      <w:r>
        <w:rPr>
          <w:rFonts w:hint="eastAsia" w:ascii="MS UI Gothic" w:eastAsia="MS UI Gothic"/>
          <w:w w:val="80"/>
        </w:rPr>
        <w:t>ꎻ</w:t>
      </w:r>
    </w:p>
    <w:p>
      <w:pPr>
        <w:pStyle w:val="6"/>
        <w:spacing w:before="124" w:line="295" w:lineRule="auto"/>
        <w:ind w:left="381" w:right="126"/>
        <w:rPr>
          <w:rFonts w:hint="eastAsia" w:ascii="MS UI Gothic" w:eastAsia="MS UI Gothic"/>
        </w:rPr>
      </w:pPr>
      <w:r>
        <w:br w:type="column"/>
      </w: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制定重大危险源检测</w:t>
      </w:r>
      <w:r>
        <w:rPr>
          <w:rFonts w:hint="eastAsia" w:ascii="MS UI Gothic" w:eastAsia="MS UI Gothic"/>
          <w:w w:val="80"/>
        </w:rPr>
        <w:t xml:space="preserve">、  </w:t>
      </w:r>
      <w:r>
        <w:rPr>
          <w:w w:val="105"/>
        </w:rPr>
        <w:t>评估和监控措施</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制定应急救援预案</w:t>
      </w:r>
      <w:r>
        <w:rPr>
          <w:rFonts w:hint="eastAsia" w:ascii="MS UI Gothic" w:eastAsia="MS UI Gothic"/>
          <w:w w:val="80"/>
        </w:rPr>
        <w:t xml:space="preserve">ꎬ </w:t>
      </w:r>
      <w:r>
        <w:rPr>
          <w:w w:val="105"/>
        </w:rPr>
        <w:t>并按照规</w:t>
      </w:r>
      <w:r>
        <w:t>定设立矿山救护队</w:t>
      </w:r>
      <w:r>
        <w:rPr>
          <w:rFonts w:hint="eastAsia" w:ascii="MS UI Gothic" w:eastAsia="MS UI Gothic"/>
          <w:w w:val="80"/>
        </w:rPr>
        <w:t xml:space="preserve">ꎬ </w:t>
      </w:r>
      <w:r>
        <w:t>配备救护装备</w:t>
      </w:r>
      <w:r>
        <w:rPr>
          <w:rFonts w:hint="eastAsia" w:ascii="MS UI Gothic" w:eastAsia="MS UI Gothic"/>
          <w:w w:val="80"/>
        </w:rPr>
        <w:t xml:space="preserve">ꎻ </w:t>
      </w:r>
      <w:r>
        <w:t>不具备单独设立矿山救护队条件的</w:t>
      </w:r>
      <w:r>
        <w:rPr>
          <w:rFonts w:hint="eastAsia" w:ascii="MS UI Gothic" w:eastAsia="MS UI Gothic"/>
          <w:w w:val="80"/>
        </w:rPr>
        <w:t xml:space="preserve">ꎬ </w:t>
      </w:r>
      <w:r>
        <w:t>与邻近的</w:t>
      </w:r>
      <w:r>
        <w:rPr>
          <w:w w:val="105"/>
        </w:rPr>
        <w:t>专业矿山救护队签订救护协议</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制定特种作业人员培训计划</w:t>
      </w:r>
      <w:r>
        <w:rPr>
          <w:rFonts w:hint="eastAsia" w:ascii="MS UI Gothic" w:eastAsia="MS UI Gothic"/>
          <w:w w:val="80"/>
        </w:rPr>
        <w:t>、</w:t>
      </w:r>
      <w:r>
        <w:rPr>
          <w:w w:val="105"/>
        </w:rPr>
        <w:t>从业人员培训计划</w:t>
      </w:r>
      <w:r>
        <w:rPr>
          <w:rFonts w:hint="eastAsia" w:ascii="MS UI Gothic" w:eastAsia="MS UI Gothic"/>
          <w:w w:val="80"/>
        </w:rPr>
        <w:t xml:space="preserve">、 </w:t>
      </w:r>
      <w:r>
        <w:rPr>
          <w:w w:val="105"/>
        </w:rPr>
        <w:t>职业危害防治计划</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10"/>
        </w:rPr>
        <w:t>九</w:t>
      </w:r>
      <w:r>
        <w:rPr>
          <w:rFonts w:hint="eastAsia" w:ascii="MS UI Gothic" w:eastAsia="MS UI Gothic"/>
          <w:w w:val="150"/>
        </w:rPr>
        <w:t xml:space="preserve">) </w:t>
      </w:r>
      <w:r>
        <w:rPr>
          <w:w w:val="110"/>
        </w:rPr>
        <w:t>法律</w:t>
      </w:r>
      <w:r>
        <w:rPr>
          <w:rFonts w:hint="eastAsia" w:ascii="MS UI Gothic" w:eastAsia="MS UI Gothic"/>
          <w:w w:val="80"/>
        </w:rPr>
        <w:t xml:space="preserve">、 </w:t>
      </w:r>
      <w:r>
        <w:rPr>
          <w:w w:val="110"/>
        </w:rPr>
        <w:t>行政法规规定的其他条件</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第七条 煤矿除符合本实施办法第六条规定的条件外</w:t>
      </w:r>
      <w:r>
        <w:rPr>
          <w:rFonts w:hint="eastAsia" w:ascii="MS UI Gothic" w:eastAsia="MS UI Gothic"/>
          <w:w w:val="80"/>
        </w:rPr>
        <w:t xml:space="preserve">ꎬ </w:t>
      </w:r>
      <w:r>
        <w:rPr>
          <w:w w:val="105"/>
        </w:rPr>
        <w:t>还必须符合下列条件</w:t>
      </w:r>
      <w:r>
        <w:rPr>
          <w:rFonts w:hint="eastAsia" w:ascii="MS UI Gothic" w:eastAsia="MS UI Gothic"/>
          <w:w w:val="10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特种作业人员经有关业务主管</w:t>
      </w:r>
      <w:r>
        <w:t>部门考核合格</w:t>
      </w:r>
      <w:r>
        <w:rPr>
          <w:rFonts w:hint="eastAsia" w:ascii="MS UI Gothic" w:eastAsia="MS UI Gothic"/>
          <w:w w:val="80"/>
        </w:rPr>
        <w:t xml:space="preserve">ꎬ </w:t>
      </w:r>
      <w:r>
        <w:t>取得特种作业操作资格</w:t>
      </w:r>
      <w:r>
        <w:rPr>
          <w:w w:val="105"/>
        </w:rPr>
        <w:t>证书</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从业人员进行安全生产教育培训</w:t>
      </w:r>
      <w:r>
        <w:rPr>
          <w:rFonts w:hint="eastAsia" w:ascii="MS UI Gothic" w:eastAsia="MS UI Gothic"/>
          <w:w w:val="80"/>
        </w:rPr>
        <w:t xml:space="preserve">ꎬ </w:t>
      </w:r>
      <w:r>
        <w:rPr>
          <w:w w:val="105"/>
        </w:rPr>
        <w:t>并经考试合格</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制定职业危害防治措施</w:t>
      </w:r>
      <w:r>
        <w:rPr>
          <w:rFonts w:hint="eastAsia" w:ascii="MS UI Gothic" w:eastAsia="MS UI Gothic"/>
          <w:w w:val="80"/>
        </w:rPr>
        <w:t xml:space="preserve">、  </w:t>
      </w:r>
      <w:r>
        <w:rPr>
          <w:w w:val="105"/>
        </w:rPr>
        <w:t>综合</w:t>
      </w:r>
      <w:r>
        <w:t>防尘措施</w:t>
      </w:r>
      <w:r>
        <w:rPr>
          <w:rFonts w:hint="eastAsia" w:ascii="MS UI Gothic" w:eastAsia="MS UI Gothic"/>
          <w:w w:val="80"/>
        </w:rPr>
        <w:t xml:space="preserve">ꎬ </w:t>
      </w:r>
      <w:r>
        <w:t>建立粉尘检测制度</w:t>
      </w:r>
      <w:r>
        <w:rPr>
          <w:rFonts w:hint="eastAsia" w:ascii="MS UI Gothic" w:eastAsia="MS UI Gothic"/>
          <w:w w:val="80"/>
        </w:rPr>
        <w:t xml:space="preserve">ꎬ </w:t>
      </w:r>
      <w:r>
        <w:t>为从业人员配备符合国家标准或者行业标准的劳动</w:t>
      </w:r>
      <w:r>
        <w:rPr>
          <w:w w:val="105"/>
        </w:rPr>
        <w:t>防护用品</w:t>
      </w:r>
      <w:r>
        <w:rPr>
          <w:rFonts w:hint="eastAsia" w:ascii="MS UI Gothic" w:eastAsia="MS UI Gothic"/>
          <w:w w:val="80"/>
        </w:rPr>
        <w:t>ꎻ</w:t>
      </w:r>
    </w:p>
    <w:p>
      <w:pPr>
        <w:pStyle w:val="6"/>
        <w:spacing w:line="253" w:lineRule="exact"/>
        <w:ind w:left="800"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依法进行安全评价</w:t>
      </w:r>
      <w:r>
        <w:rPr>
          <w:rFonts w:hint="eastAsia" w:ascii="MS UI Gothic" w:eastAsia="MS UI Gothic"/>
          <w:w w:val="80"/>
        </w:rPr>
        <w:t>ꎻ</w:t>
      </w:r>
    </w:p>
    <w:p>
      <w:pPr>
        <w:pStyle w:val="6"/>
        <w:spacing w:before="45" w:line="295" w:lineRule="auto"/>
        <w:ind w:left="381" w:right="126"/>
        <w:rPr>
          <w:rFonts w:hint="eastAsia" w:ascii="MS UI Gothic" w:eastAsia="MS UI Gothic"/>
        </w:rPr>
      </w:pPr>
      <w:r>
        <w:rPr>
          <w:rFonts w:hint="eastAsia" w:ascii="MS UI Gothic" w:eastAsia="MS UI Gothic"/>
          <w:spacing w:val="-37"/>
          <w:w w:val="135"/>
        </w:rPr>
        <w:t xml:space="preserve">( </w:t>
      </w:r>
      <w:r>
        <w:rPr>
          <w:spacing w:val="29"/>
          <w:w w:val="110"/>
        </w:rPr>
        <w:t>五</w:t>
      </w:r>
      <w:r>
        <w:rPr>
          <w:rFonts w:hint="eastAsia" w:ascii="MS UI Gothic" w:eastAsia="MS UI Gothic"/>
          <w:spacing w:val="-14"/>
          <w:w w:val="135"/>
        </w:rPr>
        <w:t xml:space="preserve">) </w:t>
      </w:r>
      <w:r>
        <w:rPr>
          <w:spacing w:val="40"/>
          <w:w w:val="110"/>
        </w:rPr>
        <w:t>制定矿井灾害预防和处理</w:t>
      </w:r>
      <w:r>
        <w:rPr>
          <w:spacing w:val="3"/>
          <w:w w:val="110"/>
        </w:rPr>
        <w:t>计划</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依法取得采矿许可证</w:t>
      </w:r>
      <w:r>
        <w:rPr>
          <w:rFonts w:hint="eastAsia" w:ascii="MS UI Gothic" w:eastAsia="MS UI Gothic"/>
          <w:w w:val="80"/>
        </w:rPr>
        <w:t xml:space="preserve">ꎬ </w:t>
      </w:r>
      <w:r>
        <w:rPr>
          <w:w w:val="105"/>
        </w:rPr>
        <w:t>并在有效期内</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第八条 井工煤矿除符合本实施办法第六条</w:t>
      </w:r>
      <w:r>
        <w:rPr>
          <w:rFonts w:hint="eastAsia" w:ascii="MS UI Gothic" w:eastAsia="MS UI Gothic"/>
          <w:w w:val="80"/>
        </w:rPr>
        <w:t xml:space="preserve">、 </w:t>
      </w:r>
      <w:r>
        <w:rPr>
          <w:w w:val="105"/>
        </w:rPr>
        <w:t>第七条规定的条件外</w:t>
      </w:r>
      <w:r>
        <w:rPr>
          <w:rFonts w:hint="eastAsia" w:ascii="MS UI Gothic" w:eastAsia="MS UI Gothic"/>
          <w:w w:val="80"/>
        </w:rPr>
        <w:t xml:space="preserve">ꎬ </w:t>
      </w:r>
      <w:r>
        <w:rPr>
          <w:w w:val="105"/>
        </w:rPr>
        <w:t>其安全设施</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工艺还必须符合下列条件</w:t>
      </w:r>
      <w:r>
        <w:rPr>
          <w:rFonts w:hint="eastAsia" w:ascii="MS UI Gothic" w:eastAsia="MS UI Gothic"/>
          <w:w w:val="235"/>
        </w:rPr>
        <w:t>:</w:t>
      </w:r>
    </w:p>
    <w:p>
      <w:pPr>
        <w:pStyle w:val="6"/>
        <w:spacing w:line="295" w:lineRule="auto"/>
        <w:ind w:left="381" w:right="124"/>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 xml:space="preserve">矿井至少有 </w:t>
      </w:r>
      <w:r>
        <w:rPr>
          <w:rFonts w:hint="eastAsia" w:ascii="MS UI Gothic" w:eastAsia="MS UI Gothic"/>
          <w:w w:val="80"/>
        </w:rPr>
        <w:t xml:space="preserve">２ </w:t>
      </w:r>
      <w:r>
        <w:t>个能行人的通达地面的安全出口</w:t>
      </w:r>
      <w:r>
        <w:rPr>
          <w:rFonts w:hint="eastAsia" w:ascii="MS UI Gothic" w:eastAsia="MS UI Gothic"/>
          <w:w w:val="80"/>
        </w:rPr>
        <w:t xml:space="preserve">ꎬ </w:t>
      </w:r>
      <w:r>
        <w:t xml:space="preserve">各个出口之间的距离不得小于 </w:t>
      </w:r>
      <w:r>
        <w:rPr>
          <w:rFonts w:hint="eastAsia" w:ascii="MS UI Gothic" w:eastAsia="MS UI Gothic"/>
          <w:w w:val="80"/>
        </w:rPr>
        <w:t xml:space="preserve">３０ </w:t>
      </w:r>
      <w:r>
        <w:t>米</w:t>
      </w:r>
      <w:r>
        <w:rPr>
          <w:rFonts w:hint="eastAsia" w:ascii="MS UI Gothic" w:eastAsia="MS UI Gothic"/>
          <w:w w:val="80"/>
        </w:rPr>
        <w:t xml:space="preserve">ꎻ </w:t>
      </w:r>
      <w:r>
        <w:t xml:space="preserve">井下每一个水平到上一个水平和各个采 </w:t>
      </w:r>
      <w:r>
        <w:rPr>
          <w:rFonts w:hint="eastAsia" w:ascii="MS UI Gothic" w:eastAsia="MS UI Gothic"/>
          <w:w w:val="145"/>
        </w:rPr>
        <w:t xml:space="preserve">( </w:t>
      </w:r>
      <w:r>
        <w:t>盘</w:t>
      </w:r>
      <w:r>
        <w:rPr>
          <w:rFonts w:hint="eastAsia" w:ascii="MS UI Gothic" w:eastAsia="MS UI Gothic"/>
          <w:w w:val="145"/>
        </w:rPr>
        <w:t xml:space="preserve">) </w:t>
      </w:r>
      <w:r>
        <w:t>区至少有两个便于行人的安全出口</w:t>
      </w:r>
      <w:r>
        <w:rPr>
          <w:rFonts w:hint="eastAsia" w:ascii="MS UI Gothic" w:eastAsia="MS UI Gothic"/>
          <w:w w:val="80"/>
        </w:rPr>
        <w:t xml:space="preserve">ꎬ </w:t>
      </w:r>
      <w:r>
        <w:t>并与通达地面的安全出口相连接</w:t>
      </w:r>
      <w:r>
        <w:rPr>
          <w:rFonts w:hint="eastAsia" w:ascii="MS UI Gothic" w:eastAsia="MS UI Gothic"/>
          <w:w w:val="80"/>
        </w:rPr>
        <w:t xml:space="preserve">ꎻ </w:t>
      </w:r>
      <w:r>
        <w:t>采煤工作面有两个畅通的安全出口</w:t>
      </w:r>
      <w:r>
        <w:rPr>
          <w:rFonts w:hint="eastAsia" w:ascii="MS UI Gothic" w:eastAsia="MS UI Gothic"/>
          <w:w w:val="80"/>
        </w:rPr>
        <w:t xml:space="preserve">ꎬ </w:t>
      </w:r>
      <w:r>
        <w:t>一个通到进风巷道</w:t>
      </w:r>
      <w:r>
        <w:rPr>
          <w:rFonts w:hint="eastAsia" w:ascii="MS UI Gothic" w:eastAsia="MS UI Gothic"/>
          <w:w w:val="80"/>
        </w:rPr>
        <w:t xml:space="preserve">ꎬ </w:t>
      </w:r>
      <w:r>
        <w:t>另一个通到回风巷道</w:t>
      </w:r>
      <w:r>
        <w:rPr>
          <w:rFonts w:hint="eastAsia" w:ascii="MS UI Gothic" w:eastAsia="MS UI Gothic"/>
          <w:w w:val="80"/>
        </w:rPr>
        <w:t xml:space="preserve">ꎮ </w:t>
      </w:r>
      <w:r>
        <w:t>在用巷道净断面满足行人</w:t>
      </w:r>
      <w:r>
        <w:rPr>
          <w:rFonts w:hint="eastAsia" w:ascii="MS UI Gothic" w:eastAsia="MS UI Gothic"/>
          <w:w w:val="80"/>
        </w:rPr>
        <w:t xml:space="preserve">、 </w:t>
      </w:r>
      <w:r>
        <w:t>运输</w:t>
      </w:r>
      <w:r>
        <w:rPr>
          <w:rFonts w:hint="eastAsia" w:ascii="MS UI Gothic" w:eastAsia="MS UI Gothic"/>
          <w:w w:val="80"/>
        </w:rPr>
        <w:t xml:space="preserve">、 </w:t>
      </w:r>
      <w:r>
        <w:t>通风和安全设施及设备安装</w:t>
      </w:r>
      <w:r>
        <w:rPr>
          <w:rFonts w:hint="eastAsia" w:ascii="MS UI Gothic" w:eastAsia="MS UI Gothic"/>
          <w:w w:val="80"/>
        </w:rPr>
        <w:t xml:space="preserve">、 </w:t>
      </w:r>
      <w:r>
        <w:t>检修</w:t>
      </w:r>
      <w:r>
        <w:rPr>
          <w:rFonts w:hint="eastAsia" w:ascii="MS UI Gothic" w:eastAsia="MS UI Gothic"/>
          <w:w w:val="80"/>
        </w:rPr>
        <w:t>、</w:t>
      </w:r>
      <w:r>
        <w:t>施工的需要</w:t>
      </w:r>
      <w:r>
        <w:rPr>
          <w:rFonts w:hint="eastAsia" w:ascii="MS UI Gothic" w:eastAsia="MS UI Gothic"/>
          <w:w w:val="80"/>
        </w:rPr>
        <w:t>ꎻ</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２３２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27" o:spid="_x0000_s1727" o:spt="203" style="height:2.15pt;width:398.25pt;" coordsize="7965,43">
            <o:lock v:ext="edit"/>
            <v:line id="_x0000_s1728" o:spid="_x0000_s1728" o:spt="20" style="position:absolute;left:0;top:39;height:0;width:7965;" stroked="t" coordsize="21600,21600">
              <v:path arrowok="t"/>
              <v:fill focussize="0,0"/>
              <v:stroke weight="0.388031496062992pt" color="#231F20"/>
              <v:imagedata o:title=""/>
              <o:lock v:ext="edit"/>
            </v:line>
            <v:line id="_x0000_s1729" o:spid="_x0000_s172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按规定进行瓦斯等级</w:t>
      </w:r>
      <w:r>
        <w:rPr>
          <w:rFonts w:hint="eastAsia" w:ascii="MS UI Gothic" w:eastAsia="MS UI Gothic"/>
          <w:w w:val="80"/>
        </w:rPr>
        <w:t xml:space="preserve">、  </w:t>
      </w:r>
      <w:r>
        <w:rPr>
          <w:w w:val="105"/>
        </w:rPr>
        <w:t>煤层自燃倾向性和煤尘爆炸危险性鉴定</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矿井有完善的独立通风系统</w:t>
      </w:r>
      <w:r>
        <w:rPr>
          <w:rFonts w:hint="eastAsia" w:ascii="MS UI Gothic" w:eastAsia="MS UI Gothic"/>
          <w:w w:val="80"/>
        </w:rPr>
        <w:t>ꎮ</w:t>
      </w:r>
      <w:r>
        <w:rPr>
          <w:w w:val="105"/>
        </w:rPr>
        <w:t>矿井</w:t>
      </w:r>
      <w:r>
        <w:rPr>
          <w:rFonts w:hint="eastAsia" w:ascii="MS UI Gothic" w:eastAsia="MS UI Gothic"/>
          <w:w w:val="80"/>
        </w:rPr>
        <w:t xml:space="preserve">、 </w:t>
      </w:r>
      <w:r>
        <w:rPr>
          <w:w w:val="105"/>
        </w:rPr>
        <w:t>采区和采掘工作面的供风能力满足</w:t>
      </w:r>
      <w:r>
        <w:t>安全生产要求</w:t>
      </w:r>
      <w:r>
        <w:rPr>
          <w:rFonts w:hint="eastAsia" w:ascii="MS UI Gothic" w:eastAsia="MS UI Gothic"/>
          <w:w w:val="80"/>
        </w:rPr>
        <w:t xml:space="preserve">ꎬ </w:t>
      </w:r>
      <w:r>
        <w:t>矿井使用安装在地面的矿用主要通风机进行通风</w:t>
      </w:r>
      <w:r>
        <w:rPr>
          <w:rFonts w:hint="eastAsia" w:ascii="MS UI Gothic" w:eastAsia="MS UI Gothic"/>
          <w:w w:val="80"/>
        </w:rPr>
        <w:t xml:space="preserve">ꎬ </w:t>
      </w:r>
      <w:r>
        <w:t>并有同等能力的备用主要通风机</w:t>
      </w:r>
      <w:r>
        <w:rPr>
          <w:rFonts w:hint="eastAsia" w:ascii="MS UI Gothic" w:eastAsia="MS UI Gothic"/>
          <w:w w:val="80"/>
        </w:rPr>
        <w:t xml:space="preserve">ꎬ </w:t>
      </w:r>
      <w:r>
        <w:t>主要通风机按规定进行性能检测</w:t>
      </w:r>
      <w:r>
        <w:rPr>
          <w:rFonts w:hint="eastAsia" w:ascii="MS UI Gothic" w:eastAsia="MS UI Gothic"/>
          <w:w w:val="80"/>
        </w:rPr>
        <w:t xml:space="preserve">ꎻ </w:t>
      </w:r>
      <w:r>
        <w:t>生产水平和采区实行分区通</w:t>
      </w:r>
      <w:r>
        <w:rPr>
          <w:w w:val="105"/>
        </w:rPr>
        <w:t>风</w:t>
      </w:r>
      <w:r>
        <w:rPr>
          <w:rFonts w:hint="eastAsia" w:ascii="MS UI Gothic" w:eastAsia="MS UI Gothic"/>
          <w:w w:val="80"/>
        </w:rPr>
        <w:t xml:space="preserve">ꎻ </w:t>
      </w:r>
      <w:r>
        <w:rPr>
          <w:w w:val="105"/>
        </w:rPr>
        <w:t>高瓦斯和煤与瓦斯突出矿井</w:t>
      </w:r>
      <w:r>
        <w:rPr>
          <w:rFonts w:hint="eastAsia" w:ascii="MS UI Gothic" w:eastAsia="MS UI Gothic"/>
          <w:w w:val="80"/>
        </w:rPr>
        <w:t xml:space="preserve">、 </w:t>
      </w:r>
      <w:r>
        <w:rPr>
          <w:w w:val="105"/>
        </w:rPr>
        <w:t>开采容易自燃煤层的矿井</w:t>
      </w:r>
      <w:r>
        <w:rPr>
          <w:rFonts w:hint="eastAsia" w:ascii="MS UI Gothic" w:eastAsia="MS UI Gothic"/>
          <w:w w:val="80"/>
        </w:rPr>
        <w:t xml:space="preserve">、 </w:t>
      </w:r>
      <w:r>
        <w:rPr>
          <w:w w:val="105"/>
        </w:rPr>
        <w:t>煤层群联合布置矿井</w:t>
      </w:r>
      <w:r>
        <w:t>的每个采区设置专用回风巷</w:t>
      </w:r>
      <w:r>
        <w:rPr>
          <w:rFonts w:hint="eastAsia" w:ascii="MS UI Gothic" w:eastAsia="MS UI Gothic"/>
          <w:w w:val="80"/>
        </w:rPr>
        <w:t xml:space="preserve">ꎬ </w:t>
      </w:r>
      <w:r>
        <w:t>掘进工作面使用专用局部通风机进行通风</w:t>
      </w:r>
      <w:r>
        <w:rPr>
          <w:rFonts w:hint="eastAsia" w:ascii="MS UI Gothic" w:eastAsia="MS UI Gothic"/>
          <w:w w:val="80"/>
        </w:rPr>
        <w:t xml:space="preserve">ꎬ </w:t>
      </w:r>
      <w:r>
        <w:t>矿井有反</w:t>
      </w:r>
      <w:r>
        <w:rPr>
          <w:w w:val="105"/>
        </w:rPr>
        <w:t>风设施</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四</w:t>
      </w:r>
      <w:r>
        <w:rPr>
          <w:rFonts w:hint="eastAsia" w:ascii="MS UI Gothic" w:eastAsia="MS UI Gothic"/>
          <w:spacing w:val="-4"/>
          <w:w w:val="150"/>
        </w:rPr>
        <w:t xml:space="preserve">) </w:t>
      </w:r>
      <w:r>
        <w:rPr>
          <w:spacing w:val="5"/>
          <w:w w:val="105"/>
        </w:rPr>
        <w:t>矿井有安全监控系统</w:t>
      </w:r>
      <w:r>
        <w:rPr>
          <w:rFonts w:hint="eastAsia" w:ascii="MS UI Gothic" w:eastAsia="MS UI Gothic"/>
          <w:spacing w:val="13"/>
          <w:w w:val="80"/>
        </w:rPr>
        <w:t xml:space="preserve">ꎬ </w:t>
      </w:r>
      <w:r>
        <w:rPr>
          <w:spacing w:val="7"/>
          <w:w w:val="105"/>
        </w:rPr>
        <w:t>传感器</w:t>
      </w:r>
      <w:r>
        <w:rPr>
          <w:spacing w:val="3"/>
          <w:w w:val="105"/>
        </w:rPr>
        <w:t>的设置</w:t>
      </w:r>
      <w:r>
        <w:rPr>
          <w:rFonts w:hint="eastAsia" w:ascii="MS UI Gothic" w:eastAsia="MS UI Gothic"/>
          <w:spacing w:val="-2"/>
          <w:w w:val="80"/>
        </w:rPr>
        <w:t xml:space="preserve">、 </w:t>
      </w:r>
      <w:r>
        <w:rPr>
          <w:spacing w:val="3"/>
          <w:w w:val="105"/>
        </w:rPr>
        <w:t>报警和断电符合规定</w:t>
      </w:r>
      <w:r>
        <w:rPr>
          <w:rFonts w:hint="eastAsia" w:ascii="MS UI Gothic" w:eastAsia="MS UI Gothic"/>
          <w:spacing w:val="-1"/>
          <w:w w:val="80"/>
        </w:rPr>
        <w:t xml:space="preserve">ꎬ </w:t>
      </w:r>
      <w:r>
        <w:rPr>
          <w:spacing w:val="2"/>
          <w:w w:val="105"/>
        </w:rPr>
        <w:t>有瓦斯检</w:t>
      </w:r>
      <w:r>
        <w:rPr>
          <w:spacing w:val="3"/>
          <w:w w:val="105"/>
        </w:rPr>
        <w:t>查制度和矿长</w:t>
      </w:r>
      <w:r>
        <w:rPr>
          <w:rFonts w:hint="eastAsia" w:ascii="MS UI Gothic" w:eastAsia="MS UI Gothic"/>
          <w:spacing w:val="-4"/>
          <w:w w:val="80"/>
        </w:rPr>
        <w:t xml:space="preserve">、 </w:t>
      </w:r>
      <w:r>
        <w:rPr>
          <w:spacing w:val="2"/>
          <w:w w:val="105"/>
        </w:rPr>
        <w:t>技术负责人瓦斯日报审查</w:t>
      </w:r>
      <w:r>
        <w:rPr>
          <w:spacing w:val="3"/>
        </w:rPr>
        <w:t>签字制度</w:t>
      </w:r>
      <w:r>
        <w:rPr>
          <w:rFonts w:hint="eastAsia" w:ascii="MS UI Gothic" w:eastAsia="MS UI Gothic"/>
          <w:spacing w:val="21"/>
          <w:w w:val="80"/>
        </w:rPr>
        <w:t xml:space="preserve">ꎬ </w:t>
      </w:r>
      <w:r>
        <w:rPr>
          <w:spacing w:val="2"/>
        </w:rPr>
        <w:t>配备足够的专职瓦斯检查员和</w:t>
      </w:r>
      <w:r>
        <w:rPr>
          <w:spacing w:val="11"/>
        </w:rPr>
        <w:t>瓦斯检测仪器</w:t>
      </w:r>
      <w:r>
        <w:rPr>
          <w:rFonts w:hint="eastAsia" w:ascii="MS UI Gothic" w:eastAsia="MS UI Gothic"/>
          <w:w w:val="80"/>
        </w:rPr>
        <w:t xml:space="preserve">ꎻ </w:t>
      </w:r>
      <w:r>
        <w:rPr>
          <w:spacing w:val="17"/>
        </w:rPr>
        <w:t>按规定建立瓦斯抽采系</w:t>
      </w:r>
      <w:r>
        <w:rPr>
          <w:spacing w:val="3"/>
        </w:rPr>
        <w:t>统</w:t>
      </w:r>
      <w:r>
        <w:rPr>
          <w:rFonts w:hint="eastAsia" w:ascii="MS UI Gothic" w:eastAsia="MS UI Gothic"/>
          <w:spacing w:val="21"/>
          <w:w w:val="80"/>
        </w:rPr>
        <w:t xml:space="preserve">ꎬ </w:t>
      </w:r>
      <w:r>
        <w:rPr>
          <w:spacing w:val="2"/>
        </w:rPr>
        <w:t>开采煤与瓦斯突出危险煤层的有预测</w:t>
      </w:r>
      <w:r>
        <w:rPr>
          <w:spacing w:val="3"/>
          <w:w w:val="105"/>
        </w:rPr>
        <w:t>预报</w:t>
      </w:r>
      <w:r>
        <w:rPr>
          <w:rFonts w:hint="eastAsia" w:ascii="MS UI Gothic" w:eastAsia="MS UI Gothic"/>
          <w:spacing w:val="11"/>
          <w:w w:val="80"/>
        </w:rPr>
        <w:t xml:space="preserve">、 </w:t>
      </w:r>
      <w:r>
        <w:rPr>
          <w:spacing w:val="3"/>
          <w:w w:val="105"/>
        </w:rPr>
        <w:t>防治措施</w:t>
      </w:r>
      <w:r>
        <w:rPr>
          <w:rFonts w:hint="eastAsia" w:ascii="MS UI Gothic" w:eastAsia="MS UI Gothic"/>
          <w:spacing w:val="11"/>
          <w:w w:val="80"/>
        </w:rPr>
        <w:t xml:space="preserve">、 </w:t>
      </w:r>
      <w:r>
        <w:rPr>
          <w:spacing w:val="2"/>
          <w:w w:val="105"/>
        </w:rPr>
        <w:t>效果检验和安全防护的</w:t>
      </w:r>
      <w:r>
        <w:rPr>
          <w:spacing w:val="3"/>
          <w:w w:val="105"/>
        </w:rPr>
        <w:t>综合防突措施</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五</w:t>
      </w:r>
      <w:r>
        <w:rPr>
          <w:rFonts w:hint="eastAsia" w:ascii="MS UI Gothic" w:eastAsia="MS UI Gothic"/>
          <w:spacing w:val="-4"/>
          <w:w w:val="150"/>
        </w:rPr>
        <w:t xml:space="preserve">) </w:t>
      </w:r>
      <w:r>
        <w:rPr>
          <w:spacing w:val="5"/>
          <w:w w:val="105"/>
        </w:rPr>
        <w:t>有防尘供水系统</w:t>
      </w:r>
      <w:r>
        <w:rPr>
          <w:rFonts w:hint="eastAsia" w:ascii="MS UI Gothic" w:eastAsia="MS UI Gothic"/>
          <w:spacing w:val="13"/>
          <w:w w:val="80"/>
        </w:rPr>
        <w:t xml:space="preserve">ꎬ </w:t>
      </w:r>
      <w:r>
        <w:rPr>
          <w:spacing w:val="8"/>
          <w:w w:val="105"/>
        </w:rPr>
        <w:t>有地面和井</w:t>
      </w:r>
      <w:r>
        <w:rPr>
          <w:spacing w:val="3"/>
        </w:rPr>
        <w:t>下排水系统</w:t>
      </w:r>
      <w:r>
        <w:rPr>
          <w:rFonts w:hint="eastAsia" w:ascii="MS UI Gothic" w:eastAsia="MS UI Gothic"/>
          <w:spacing w:val="21"/>
          <w:w w:val="80"/>
        </w:rPr>
        <w:t xml:space="preserve">ꎻ </w:t>
      </w:r>
      <w:r>
        <w:rPr>
          <w:spacing w:val="2"/>
        </w:rPr>
        <w:t>有水害威胁的矿井还应有专</w:t>
      </w:r>
      <w:r>
        <w:rPr>
          <w:spacing w:val="3"/>
          <w:w w:val="105"/>
        </w:rPr>
        <w:t>用探放水设备</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制定井上</w:t>
      </w:r>
      <w:r>
        <w:rPr>
          <w:rFonts w:hint="eastAsia" w:ascii="MS UI Gothic" w:eastAsia="MS UI Gothic"/>
          <w:w w:val="80"/>
        </w:rPr>
        <w:t xml:space="preserve">、 </w:t>
      </w:r>
      <w:r>
        <w:rPr>
          <w:w w:val="105"/>
        </w:rPr>
        <w:t>井下防火措施</w:t>
      </w:r>
      <w:r>
        <w:rPr>
          <w:rFonts w:hint="eastAsia" w:ascii="MS UI Gothic" w:eastAsia="MS UI Gothic"/>
          <w:w w:val="80"/>
        </w:rPr>
        <w:t xml:space="preserve">ꎻ </w:t>
      </w:r>
      <w:r>
        <w:rPr>
          <w:w w:val="105"/>
        </w:rPr>
        <w:t>有</w:t>
      </w:r>
      <w:r>
        <w:t>地面消防水池和井下消防管路系统</w:t>
      </w:r>
      <w:r>
        <w:rPr>
          <w:rFonts w:hint="eastAsia" w:ascii="MS UI Gothic" w:eastAsia="MS UI Gothic"/>
          <w:w w:val="80"/>
        </w:rPr>
        <w:t xml:space="preserve">ꎬ </w:t>
      </w:r>
      <w:r>
        <w:t>井</w:t>
      </w:r>
      <w:r>
        <w:rPr>
          <w:w w:val="105"/>
        </w:rPr>
        <w:t>上</w:t>
      </w:r>
      <w:r>
        <w:rPr>
          <w:rFonts w:hint="eastAsia" w:ascii="MS UI Gothic" w:eastAsia="MS UI Gothic"/>
          <w:w w:val="80"/>
        </w:rPr>
        <w:t xml:space="preserve">、 </w:t>
      </w:r>
      <w:r>
        <w:rPr>
          <w:w w:val="105"/>
        </w:rPr>
        <w:t>井下有消防材料库</w:t>
      </w:r>
      <w:r>
        <w:rPr>
          <w:rFonts w:hint="eastAsia" w:ascii="MS UI Gothic" w:eastAsia="MS UI Gothic"/>
          <w:w w:val="80"/>
        </w:rPr>
        <w:t xml:space="preserve">ꎻ </w:t>
      </w:r>
      <w:r>
        <w:rPr>
          <w:w w:val="105"/>
        </w:rPr>
        <w:t>开采容易自燃和</w:t>
      </w:r>
      <w:r>
        <w:t>自燃煤层的矿井还应有防灭火专项设计和</w:t>
      </w:r>
      <w:r>
        <w:rPr>
          <w:w w:val="105"/>
        </w:rPr>
        <w:t>综合预防煤层自然发火的措施</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t>七</w:t>
      </w:r>
      <w:r>
        <w:rPr>
          <w:rFonts w:hint="eastAsia" w:ascii="MS UI Gothic" w:eastAsia="MS UI Gothic"/>
          <w:w w:val="150"/>
        </w:rPr>
        <w:t xml:space="preserve">) </w:t>
      </w:r>
      <w:r>
        <w:t>矿井有两回路电源线路</w:t>
      </w:r>
      <w:r>
        <w:rPr>
          <w:rFonts w:hint="eastAsia" w:ascii="MS UI Gothic" w:eastAsia="MS UI Gothic"/>
          <w:w w:val="80"/>
        </w:rPr>
        <w:t xml:space="preserve">ꎻ </w:t>
      </w:r>
      <w:r>
        <w:t>严禁井下配电变压器中性点直接接地</w:t>
      </w:r>
      <w:r>
        <w:rPr>
          <w:rFonts w:hint="eastAsia" w:ascii="MS UI Gothic" w:eastAsia="MS UI Gothic"/>
          <w:w w:val="80"/>
        </w:rPr>
        <w:t xml:space="preserve">ꎻ </w:t>
      </w:r>
      <w:r>
        <w:t>井下电气设备的选型符合防爆要求</w:t>
      </w:r>
      <w:r>
        <w:rPr>
          <w:rFonts w:hint="eastAsia" w:ascii="MS UI Gothic" w:eastAsia="MS UI Gothic"/>
          <w:w w:val="80"/>
        </w:rPr>
        <w:t xml:space="preserve">ꎬ </w:t>
      </w:r>
      <w:r>
        <w:t>有短路</w:t>
      </w:r>
      <w:r>
        <w:rPr>
          <w:rFonts w:hint="eastAsia" w:ascii="MS UI Gothic" w:eastAsia="MS UI Gothic"/>
          <w:w w:val="80"/>
        </w:rPr>
        <w:t xml:space="preserve">、 </w:t>
      </w:r>
      <w:r>
        <w:t>过负荷</w:t>
      </w:r>
      <w:r>
        <w:rPr>
          <w:rFonts w:hint="eastAsia" w:ascii="MS UI Gothic" w:eastAsia="MS UI Gothic"/>
          <w:w w:val="80"/>
        </w:rPr>
        <w:t xml:space="preserve">、 </w:t>
      </w:r>
      <w:r>
        <w:t>接地</w:t>
      </w:r>
      <w:r>
        <w:rPr>
          <w:rFonts w:hint="eastAsia" w:ascii="MS UI Gothic" w:eastAsia="MS UI Gothic"/>
          <w:w w:val="80"/>
        </w:rPr>
        <w:t xml:space="preserve">、 </w:t>
      </w:r>
      <w:r>
        <w:t>漏电等保护</w:t>
      </w:r>
      <w:r>
        <w:rPr>
          <w:rFonts w:hint="eastAsia" w:ascii="MS UI Gothic" w:eastAsia="MS UI Gothic"/>
          <w:w w:val="80"/>
        </w:rPr>
        <w:t xml:space="preserve">ꎬ </w:t>
      </w:r>
      <w:r>
        <w:t>掘进工作面的局部通风机按规定采用专用变压器</w:t>
      </w:r>
      <w:r>
        <w:rPr>
          <w:rFonts w:hint="eastAsia" w:ascii="MS UI Gothic" w:eastAsia="MS UI Gothic"/>
          <w:w w:val="80"/>
        </w:rPr>
        <w:t xml:space="preserve">、 </w:t>
      </w:r>
      <w:r>
        <w:t>专用电缆</w:t>
      </w:r>
      <w:r>
        <w:rPr>
          <w:rFonts w:hint="eastAsia" w:ascii="MS UI Gothic" w:eastAsia="MS UI Gothic"/>
          <w:w w:val="80"/>
        </w:rPr>
        <w:t xml:space="preserve">、 </w:t>
      </w:r>
      <w:r>
        <w:t>专用开关</w:t>
      </w:r>
      <w:r>
        <w:rPr>
          <w:rFonts w:hint="eastAsia" w:ascii="MS UI Gothic" w:eastAsia="MS UI Gothic"/>
          <w:w w:val="80"/>
        </w:rPr>
        <w:t xml:space="preserve">ꎬ </w:t>
      </w:r>
      <w:r>
        <w:t>实现风电</w:t>
      </w:r>
      <w:r>
        <w:rPr>
          <w:rFonts w:hint="eastAsia" w:ascii="MS UI Gothic" w:eastAsia="MS UI Gothic"/>
          <w:w w:val="80"/>
        </w:rPr>
        <w:t xml:space="preserve">、 </w:t>
      </w:r>
      <w:r>
        <w:t>瓦斯电闭锁</w:t>
      </w:r>
      <w:r>
        <w:rPr>
          <w:rFonts w:hint="eastAsia" w:ascii="MS UI Gothic" w:eastAsia="MS UI Gothic"/>
          <w:w w:val="80"/>
        </w:rPr>
        <w:t>ꎻ</w:t>
      </w:r>
    </w:p>
    <w:p>
      <w:pPr>
        <w:pStyle w:val="6"/>
        <w:spacing w:line="295" w:lineRule="auto"/>
        <w:ind w:right="39"/>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运送人员的装置应当符合有关</w:t>
      </w:r>
      <w:r>
        <w:t>规定</w:t>
      </w:r>
      <w:r>
        <w:rPr>
          <w:rFonts w:hint="eastAsia" w:ascii="MS UI Gothic" w:eastAsia="MS UI Gothic"/>
          <w:w w:val="80"/>
        </w:rPr>
        <w:t xml:space="preserve">ꎮ </w:t>
      </w:r>
      <w:r>
        <w:t>使用检测合格的钢丝绳</w:t>
      </w:r>
      <w:r>
        <w:rPr>
          <w:rFonts w:hint="eastAsia" w:ascii="MS UI Gothic" w:eastAsia="MS UI Gothic"/>
          <w:w w:val="80"/>
        </w:rPr>
        <w:t xml:space="preserve">ꎻ </w:t>
      </w:r>
      <w:r>
        <w:t>带式输送机采用非金属聚合物制造的输送带的阻燃</w:t>
      </w:r>
    </w:p>
    <w:p>
      <w:pPr>
        <w:pStyle w:val="6"/>
        <w:spacing w:before="123" w:line="295" w:lineRule="auto"/>
        <w:ind w:right="442" w:firstLine="0"/>
        <w:rPr>
          <w:rFonts w:hint="eastAsia" w:ascii="MS UI Gothic" w:eastAsia="MS UI Gothic"/>
        </w:rPr>
      </w:pPr>
      <w:r>
        <w:br w:type="column"/>
      </w:r>
      <w:r>
        <w:t>性能和抗静电性能符合规定</w:t>
      </w:r>
      <w:r>
        <w:rPr>
          <w:rFonts w:hint="eastAsia" w:ascii="MS UI Gothic" w:eastAsia="MS UI Gothic"/>
          <w:w w:val="80"/>
        </w:rPr>
        <w:t xml:space="preserve">ꎬ </w:t>
      </w:r>
      <w:r>
        <w:t>设置安全保护装置</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有通信联络系统</w:t>
      </w:r>
      <w:r>
        <w:rPr>
          <w:rFonts w:hint="eastAsia" w:ascii="MS UI Gothic" w:eastAsia="MS UI Gothic"/>
          <w:w w:val="80"/>
        </w:rPr>
        <w:t xml:space="preserve">ꎬ </w:t>
      </w:r>
      <w:r>
        <w:rPr>
          <w:w w:val="105"/>
        </w:rPr>
        <w:t>按规定建立人员位置监测系统</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按矿井瓦斯等级选用相应的煤</w:t>
      </w:r>
      <w:r>
        <w:t>矿许用炸药和电雷管</w:t>
      </w:r>
      <w:r>
        <w:rPr>
          <w:rFonts w:hint="eastAsia" w:ascii="MS UI Gothic" w:eastAsia="MS UI Gothic"/>
          <w:w w:val="80"/>
        </w:rPr>
        <w:t xml:space="preserve">ꎬ </w:t>
      </w:r>
      <w:r>
        <w:t>爆破工作由专职爆</w:t>
      </w:r>
      <w:r>
        <w:rPr>
          <w:w w:val="105"/>
        </w:rPr>
        <w:t>破工担任</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不得使用国家有关危及生产</w:t>
      </w:r>
      <w:r>
        <w:t>安全淘汰目录规定的设备及生产工艺</w:t>
      </w:r>
      <w:r>
        <w:rPr>
          <w:rFonts w:hint="eastAsia" w:ascii="MS UI Gothic" w:eastAsia="MS UI Gothic"/>
          <w:w w:val="80"/>
        </w:rPr>
        <w:t xml:space="preserve">ꎻ </w:t>
      </w:r>
      <w:r>
        <w:t>使</w:t>
      </w:r>
      <w:r>
        <w:rPr>
          <w:w w:val="105"/>
        </w:rPr>
        <w:t>用的矿用产品应有安全标志</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十二</w:t>
      </w:r>
      <w:r>
        <w:rPr>
          <w:rFonts w:hint="eastAsia" w:ascii="MS UI Gothic" w:eastAsia="MS UI Gothic"/>
          <w:w w:val="150"/>
        </w:rPr>
        <w:t xml:space="preserve">) </w:t>
      </w:r>
      <w:r>
        <w:rPr>
          <w:w w:val="105"/>
        </w:rPr>
        <w:t>配备足够数量的自救器</w:t>
      </w:r>
      <w:r>
        <w:rPr>
          <w:rFonts w:hint="eastAsia" w:ascii="MS UI Gothic" w:eastAsia="MS UI Gothic"/>
          <w:w w:val="80"/>
        </w:rPr>
        <w:t xml:space="preserve">ꎬ </w:t>
      </w:r>
      <w:r>
        <w:rPr>
          <w:w w:val="105"/>
        </w:rPr>
        <w:t>自</w:t>
      </w:r>
      <w:r>
        <w:t>救器的选用型号应与矿井灾害类型相适</w:t>
      </w:r>
      <w:r>
        <w:rPr>
          <w:w w:val="105"/>
        </w:rPr>
        <w:t>应</w:t>
      </w:r>
      <w:r>
        <w:rPr>
          <w:rFonts w:hint="eastAsia" w:ascii="MS UI Gothic" w:eastAsia="MS UI Gothic"/>
          <w:w w:val="80"/>
        </w:rPr>
        <w:t xml:space="preserve">ꎬ </w:t>
      </w:r>
      <w:r>
        <w:rPr>
          <w:w w:val="105"/>
        </w:rPr>
        <w:t>按规定建立安全避险系统</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t>十三</w:t>
      </w:r>
      <w:r>
        <w:rPr>
          <w:rFonts w:hint="eastAsia" w:ascii="MS UI Gothic" w:eastAsia="MS UI Gothic"/>
          <w:w w:val="150"/>
        </w:rPr>
        <w:t xml:space="preserve">) </w:t>
      </w:r>
      <w:r>
        <w:t>有反映实际情况的图纸</w:t>
      </w:r>
      <w:r>
        <w:rPr>
          <w:rFonts w:hint="eastAsia" w:ascii="MS UI Gothic" w:eastAsia="MS UI Gothic"/>
          <w:w w:val="235"/>
        </w:rPr>
        <w:t xml:space="preserve">: </w:t>
      </w:r>
      <w:r>
        <w:t>矿井地质图和水文地质图</w:t>
      </w:r>
      <w:r>
        <w:rPr>
          <w:rFonts w:hint="eastAsia" w:ascii="MS UI Gothic" w:eastAsia="MS UI Gothic"/>
          <w:w w:val="80"/>
        </w:rPr>
        <w:t xml:space="preserve">ꎬ </w:t>
      </w:r>
      <w:r>
        <w:t>井上下对照图</w:t>
      </w:r>
      <w:r>
        <w:rPr>
          <w:rFonts w:hint="eastAsia" w:ascii="MS UI Gothic" w:eastAsia="MS UI Gothic"/>
          <w:w w:val="80"/>
        </w:rPr>
        <w:t>ꎬ</w:t>
      </w:r>
      <w:r>
        <w:t>巷道布置图</w:t>
      </w:r>
      <w:r>
        <w:rPr>
          <w:rFonts w:hint="eastAsia" w:ascii="MS UI Gothic" w:eastAsia="MS UI Gothic"/>
          <w:w w:val="80"/>
        </w:rPr>
        <w:t xml:space="preserve">ꎬ </w:t>
      </w:r>
      <w:r>
        <w:t>采掘工程平面图</w:t>
      </w:r>
      <w:r>
        <w:rPr>
          <w:rFonts w:hint="eastAsia" w:ascii="MS UI Gothic" w:eastAsia="MS UI Gothic"/>
          <w:w w:val="80"/>
        </w:rPr>
        <w:t xml:space="preserve">ꎬ </w:t>
      </w:r>
      <w:r>
        <w:t>通风系统图</w:t>
      </w:r>
      <w:r>
        <w:rPr>
          <w:rFonts w:hint="eastAsia" w:ascii="MS UI Gothic" w:eastAsia="MS UI Gothic"/>
          <w:w w:val="80"/>
        </w:rPr>
        <w:t xml:space="preserve">ꎬ </w:t>
      </w:r>
      <w:r>
        <w:t>井下运输系统图</w:t>
      </w:r>
      <w:r>
        <w:rPr>
          <w:rFonts w:hint="eastAsia" w:ascii="MS UI Gothic" w:eastAsia="MS UI Gothic"/>
          <w:w w:val="80"/>
        </w:rPr>
        <w:t xml:space="preserve">ꎬ </w:t>
      </w:r>
      <w:r>
        <w:t>安全监控系统布置图和断电控制图</w:t>
      </w:r>
      <w:r>
        <w:rPr>
          <w:rFonts w:hint="eastAsia" w:ascii="MS UI Gothic" w:eastAsia="MS UI Gothic"/>
          <w:w w:val="80"/>
        </w:rPr>
        <w:t xml:space="preserve">ꎬ </w:t>
      </w:r>
      <w:r>
        <w:t>人员位置监测系统图</w:t>
      </w:r>
      <w:r>
        <w:rPr>
          <w:rFonts w:hint="eastAsia" w:ascii="MS UI Gothic" w:eastAsia="MS UI Gothic"/>
          <w:w w:val="80"/>
        </w:rPr>
        <w:t>ꎬ</w:t>
      </w:r>
      <w:r>
        <w:t>压风</w:t>
      </w:r>
      <w:r>
        <w:rPr>
          <w:rFonts w:hint="eastAsia" w:ascii="MS UI Gothic" w:eastAsia="MS UI Gothic"/>
          <w:w w:val="80"/>
        </w:rPr>
        <w:t xml:space="preserve">、 </w:t>
      </w:r>
      <w:r>
        <w:t>排水</w:t>
      </w:r>
      <w:r>
        <w:rPr>
          <w:rFonts w:hint="eastAsia" w:ascii="MS UI Gothic" w:eastAsia="MS UI Gothic"/>
          <w:w w:val="80"/>
        </w:rPr>
        <w:t xml:space="preserve">、 </w:t>
      </w:r>
      <w:r>
        <w:t>防尘</w:t>
      </w:r>
      <w:r>
        <w:rPr>
          <w:rFonts w:hint="eastAsia" w:ascii="MS UI Gothic" w:eastAsia="MS UI Gothic"/>
          <w:w w:val="80"/>
        </w:rPr>
        <w:t xml:space="preserve">、 </w:t>
      </w:r>
      <w:r>
        <w:t>防火注浆</w:t>
      </w:r>
      <w:r>
        <w:rPr>
          <w:rFonts w:hint="eastAsia" w:ascii="MS UI Gothic" w:eastAsia="MS UI Gothic"/>
          <w:w w:val="80"/>
        </w:rPr>
        <w:t xml:space="preserve">、  </w:t>
      </w:r>
      <w:r>
        <w:t>抽采瓦斯等管路系统图</w:t>
      </w:r>
      <w:r>
        <w:rPr>
          <w:rFonts w:hint="eastAsia" w:ascii="MS UI Gothic" w:eastAsia="MS UI Gothic"/>
          <w:w w:val="80"/>
        </w:rPr>
        <w:t xml:space="preserve">ꎬ </w:t>
      </w:r>
      <w:r>
        <w:t>井下通信系统图</w:t>
      </w:r>
      <w:r>
        <w:rPr>
          <w:rFonts w:hint="eastAsia" w:ascii="MS UI Gothic" w:eastAsia="MS UI Gothic"/>
          <w:w w:val="80"/>
        </w:rPr>
        <w:t xml:space="preserve">ꎬ </w:t>
      </w:r>
      <w:r>
        <w:t>井上</w:t>
      </w:r>
      <w:r>
        <w:rPr>
          <w:rFonts w:hint="eastAsia" w:ascii="MS UI Gothic" w:eastAsia="MS UI Gothic"/>
          <w:w w:val="80"/>
        </w:rPr>
        <w:t>、</w:t>
      </w:r>
      <w:r>
        <w:t>下配电系统图和井下电气设备布置图</w:t>
      </w:r>
      <w:r>
        <w:rPr>
          <w:rFonts w:hint="eastAsia" w:ascii="MS UI Gothic" w:eastAsia="MS UI Gothic"/>
          <w:w w:val="80"/>
        </w:rPr>
        <w:t xml:space="preserve">ꎬ </w:t>
      </w:r>
      <w:r>
        <w:t>井下避灾路线图</w:t>
      </w:r>
      <w:r>
        <w:rPr>
          <w:rFonts w:hint="eastAsia" w:ascii="MS UI Gothic" w:eastAsia="MS UI Gothic"/>
          <w:w w:val="80"/>
        </w:rPr>
        <w:t xml:space="preserve">ꎮ </w:t>
      </w:r>
      <w:r>
        <w:t>采掘工作面有符合实际情况的作业规程</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第九条 露天煤矿除符合本实施办法第六条</w:t>
      </w:r>
      <w:r>
        <w:rPr>
          <w:rFonts w:hint="eastAsia" w:ascii="MS UI Gothic" w:eastAsia="MS UI Gothic"/>
          <w:w w:val="80"/>
        </w:rPr>
        <w:t xml:space="preserve">、 </w:t>
      </w:r>
      <w:r>
        <w:rPr>
          <w:w w:val="105"/>
        </w:rPr>
        <w:t>第七条规定的条件外</w:t>
      </w:r>
      <w:r>
        <w:rPr>
          <w:rFonts w:hint="eastAsia" w:ascii="MS UI Gothic" w:eastAsia="MS UI Gothic"/>
          <w:w w:val="80"/>
        </w:rPr>
        <w:t xml:space="preserve">ꎬ </w:t>
      </w:r>
      <w:r>
        <w:rPr>
          <w:w w:val="105"/>
        </w:rPr>
        <w:t>其安全设施</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工艺还必须符合下列条件</w:t>
      </w:r>
      <w:r>
        <w:rPr>
          <w:rFonts w:hint="eastAsia" w:ascii="MS UI Gothic" w:eastAsia="MS UI Gothic"/>
          <w:w w:val="235"/>
        </w:rPr>
        <w:t>:</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按规定设置栅栏</w:t>
      </w:r>
      <w:r>
        <w:rPr>
          <w:rFonts w:hint="eastAsia" w:ascii="MS UI Gothic" w:eastAsia="MS UI Gothic"/>
          <w:w w:val="80"/>
        </w:rPr>
        <w:t xml:space="preserve">、 </w:t>
      </w:r>
      <w:r>
        <w:rPr>
          <w:w w:val="105"/>
        </w:rPr>
        <w:t>安全挡墙</w:t>
      </w:r>
      <w:r>
        <w:rPr>
          <w:rFonts w:hint="eastAsia" w:ascii="MS UI Gothic" w:eastAsia="MS UI Gothic"/>
          <w:w w:val="80"/>
        </w:rPr>
        <w:t>、</w:t>
      </w:r>
      <w:r>
        <w:rPr>
          <w:w w:val="105"/>
        </w:rPr>
        <w:t>警示标志</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露天采场最终边坡的台阶坡面角和边坡角符合最终边坡设计要求</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配电线路</w:t>
      </w:r>
      <w:r>
        <w:rPr>
          <w:rFonts w:hint="eastAsia" w:ascii="MS UI Gothic" w:eastAsia="MS UI Gothic"/>
          <w:w w:val="80"/>
        </w:rPr>
        <w:t xml:space="preserve">、 </w:t>
      </w:r>
      <w:r>
        <w:rPr>
          <w:w w:val="105"/>
        </w:rPr>
        <w:t>电动机</w:t>
      </w:r>
      <w:r>
        <w:rPr>
          <w:rFonts w:hint="eastAsia" w:ascii="MS UI Gothic" w:eastAsia="MS UI Gothic"/>
          <w:w w:val="80"/>
        </w:rPr>
        <w:t xml:space="preserve">、 </w:t>
      </w:r>
      <w:r>
        <w:rPr>
          <w:w w:val="105"/>
        </w:rPr>
        <w:t>变压器的保护符合安全要求</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四</w:t>
      </w:r>
      <w:r>
        <w:rPr>
          <w:rFonts w:hint="eastAsia" w:ascii="MS UI Gothic" w:eastAsia="MS UI Gothic"/>
          <w:spacing w:val="9"/>
          <w:w w:val="150"/>
        </w:rPr>
        <w:t xml:space="preserve">) </w:t>
      </w:r>
      <w:r>
        <w:rPr>
          <w:spacing w:val="5"/>
          <w:w w:val="105"/>
        </w:rPr>
        <w:t>爆炸物品的领用</w:t>
      </w:r>
      <w:r>
        <w:rPr>
          <w:rFonts w:hint="eastAsia" w:ascii="MS UI Gothic" w:eastAsia="MS UI Gothic"/>
          <w:w w:val="80"/>
        </w:rPr>
        <w:t xml:space="preserve">、 </w:t>
      </w:r>
      <w:r>
        <w:rPr>
          <w:spacing w:val="8"/>
          <w:w w:val="105"/>
        </w:rPr>
        <w:t>保管和使用</w:t>
      </w:r>
      <w:r>
        <w:rPr>
          <w:spacing w:val="3"/>
          <w:w w:val="105"/>
        </w:rPr>
        <w:t>符合规定</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spacing w:val="-37"/>
          <w:w w:val="150"/>
        </w:rPr>
        <w:t xml:space="preserve">( </w:t>
      </w:r>
      <w:r>
        <w:rPr>
          <w:spacing w:val="3"/>
          <w:w w:val="105"/>
        </w:rPr>
        <w:t>五</w:t>
      </w:r>
      <w:r>
        <w:rPr>
          <w:rFonts w:hint="eastAsia" w:ascii="MS UI Gothic" w:eastAsia="MS UI Gothic"/>
          <w:spacing w:val="10"/>
          <w:w w:val="150"/>
        </w:rPr>
        <w:t xml:space="preserve">) </w:t>
      </w:r>
      <w:r>
        <w:rPr>
          <w:spacing w:val="17"/>
          <w:w w:val="105"/>
        </w:rPr>
        <w:t>有边坡工程</w:t>
      </w:r>
      <w:r>
        <w:rPr>
          <w:rFonts w:hint="eastAsia" w:ascii="MS UI Gothic" w:eastAsia="MS UI Gothic"/>
          <w:spacing w:val="3"/>
          <w:w w:val="80"/>
        </w:rPr>
        <w:t xml:space="preserve">、 </w:t>
      </w:r>
      <w:r>
        <w:rPr>
          <w:spacing w:val="18"/>
          <w:w w:val="105"/>
        </w:rPr>
        <w:t>地质勘探工程</w:t>
      </w:r>
      <w:r>
        <w:rPr>
          <w:rFonts w:hint="eastAsia" w:ascii="MS UI Gothic" w:eastAsia="MS UI Gothic"/>
          <w:w w:val="80"/>
        </w:rPr>
        <w:t>、</w:t>
      </w:r>
      <w:r>
        <w:rPr>
          <w:spacing w:val="3"/>
        </w:rPr>
        <w:t>岩土物理力学试验和稳定性分析</w:t>
      </w:r>
      <w:r>
        <w:rPr>
          <w:rFonts w:hint="eastAsia" w:ascii="MS UI Gothic" w:eastAsia="MS UI Gothic"/>
          <w:spacing w:val="19"/>
          <w:w w:val="80"/>
        </w:rPr>
        <w:t xml:space="preserve">ꎬ </w:t>
      </w:r>
      <w:r>
        <w:rPr>
          <w:spacing w:val="2"/>
        </w:rPr>
        <w:t>有边坡</w:t>
      </w:r>
      <w:r>
        <w:rPr>
          <w:spacing w:val="3"/>
          <w:w w:val="105"/>
        </w:rPr>
        <w:t>监测措施</w:t>
      </w:r>
      <w:r>
        <w:rPr>
          <w:rFonts w:hint="eastAsia" w:ascii="MS UI Gothic" w:eastAsia="MS UI Gothic"/>
          <w:w w:val="80"/>
        </w:rPr>
        <w:t>ꎻ</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有防排水设施和措施</w:t>
      </w:r>
      <w:r>
        <w:rPr>
          <w:rFonts w:hint="eastAsia" w:ascii="MS UI Gothic" w:eastAsia="MS UI Gothic"/>
          <w:w w:val="80"/>
        </w:rPr>
        <w:t>ꎻ</w:t>
      </w:r>
    </w:p>
    <w:p>
      <w:pPr>
        <w:pStyle w:val="6"/>
        <w:spacing w:before="31"/>
        <w:ind w:left="543" w:firstLine="0"/>
      </w:pPr>
      <w:r>
        <w:rPr>
          <w:rFonts w:hint="eastAsia" w:ascii="MS UI Gothic" w:eastAsia="MS UI Gothic"/>
          <w:w w:val="150"/>
        </w:rPr>
        <w:t xml:space="preserve">( </w:t>
      </w:r>
      <w:r>
        <w:rPr>
          <w:w w:val="115"/>
        </w:rPr>
        <w:t>七</w:t>
      </w:r>
      <w:r>
        <w:rPr>
          <w:rFonts w:hint="eastAsia" w:ascii="MS UI Gothic" w:eastAsia="MS UI Gothic"/>
          <w:w w:val="150"/>
        </w:rPr>
        <w:t xml:space="preserve">) </w:t>
      </w:r>
      <w:r>
        <w:rPr>
          <w:w w:val="115"/>
        </w:rPr>
        <w:t>地面和采场内的防灭火措施符</w:t>
      </w:r>
    </w:p>
    <w:p>
      <w:pPr>
        <w:spacing w:after="0"/>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２３３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30" o:spid="_x0000_s1730" o:spt="203" style="height:2.15pt;width:398.25pt;" coordsize="7965,43">
            <o:lock v:ext="edit"/>
            <v:line id="_x0000_s1731" o:spid="_x0000_s1731" o:spt="20" style="position:absolute;left:0;top:39;height:0;width:7965;" stroked="t" coordsize="21600,21600">
              <v:path arrowok="t"/>
              <v:fill focussize="0,0"/>
              <v:stroke weight="0.388031496062992pt" color="#231F20"/>
              <v:imagedata o:title=""/>
              <o:lock v:ext="edit"/>
            </v:line>
            <v:line id="_x0000_s1732" o:spid="_x0000_s173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合规定</w:t>
      </w:r>
      <w:r>
        <w:rPr>
          <w:rFonts w:hint="eastAsia" w:ascii="MS UI Gothic" w:eastAsia="MS UI Gothic"/>
          <w:w w:val="80"/>
        </w:rPr>
        <w:t xml:space="preserve">ꎻ </w:t>
      </w:r>
      <w:r>
        <w:t>开采有自然发火倾向的煤层或者开采范围内存在火区时</w:t>
      </w:r>
      <w:r>
        <w:rPr>
          <w:rFonts w:hint="eastAsia" w:ascii="MS UI Gothic" w:eastAsia="MS UI Gothic"/>
          <w:w w:val="80"/>
        </w:rPr>
        <w:t xml:space="preserve">ꎬ </w:t>
      </w:r>
      <w:r>
        <w:t>制定专门防灭火措施</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有反映实际情况的图纸</w:t>
      </w:r>
      <w:r>
        <w:rPr>
          <w:rFonts w:hint="eastAsia" w:ascii="MS UI Gothic" w:eastAsia="MS UI Gothic"/>
          <w:w w:val="235"/>
        </w:rPr>
        <w:t xml:space="preserve">: </w:t>
      </w:r>
      <w:r>
        <w:rPr>
          <w:w w:val="105"/>
        </w:rPr>
        <w:t>地形地质图</w:t>
      </w:r>
      <w:r>
        <w:rPr>
          <w:rFonts w:hint="eastAsia" w:ascii="MS UI Gothic" w:eastAsia="MS UI Gothic"/>
          <w:w w:val="80"/>
        </w:rPr>
        <w:t xml:space="preserve">ꎬ </w:t>
      </w:r>
      <w:r>
        <w:rPr>
          <w:w w:val="105"/>
        </w:rPr>
        <w:t>工程地质平面图</w:t>
      </w:r>
      <w:r>
        <w:rPr>
          <w:rFonts w:hint="eastAsia" w:ascii="MS UI Gothic" w:eastAsia="MS UI Gothic"/>
          <w:w w:val="80"/>
        </w:rPr>
        <w:t xml:space="preserve">、 </w:t>
      </w:r>
      <w:r>
        <w:rPr>
          <w:w w:val="105"/>
        </w:rPr>
        <w:t>断面图</w:t>
      </w:r>
      <w:r>
        <w:rPr>
          <w:rFonts w:hint="eastAsia" w:ascii="MS UI Gothic" w:eastAsia="MS UI Gothic"/>
          <w:w w:val="80"/>
        </w:rPr>
        <w:t xml:space="preserve">、 </w:t>
      </w:r>
      <w:r>
        <w:rPr>
          <w:w w:val="105"/>
        </w:rPr>
        <w:t>综合水文地质图</w:t>
      </w:r>
      <w:r>
        <w:rPr>
          <w:rFonts w:hint="eastAsia" w:ascii="MS UI Gothic" w:eastAsia="MS UI Gothic"/>
          <w:w w:val="80"/>
        </w:rPr>
        <w:t xml:space="preserve">ꎬ </w:t>
      </w:r>
      <w:r>
        <w:rPr>
          <w:w w:val="105"/>
        </w:rPr>
        <w:t>采剥</w:t>
      </w:r>
      <w:r>
        <w:rPr>
          <w:rFonts w:hint="eastAsia" w:ascii="MS UI Gothic" w:eastAsia="MS UI Gothic"/>
          <w:w w:val="80"/>
        </w:rPr>
        <w:t xml:space="preserve">、 </w:t>
      </w:r>
      <w:r>
        <w:rPr>
          <w:w w:val="105"/>
        </w:rPr>
        <w:t>排土工程平面图和运</w:t>
      </w:r>
      <w:r>
        <w:t>输系统图</w:t>
      </w:r>
      <w:r>
        <w:rPr>
          <w:rFonts w:hint="eastAsia" w:ascii="MS UI Gothic" w:eastAsia="MS UI Gothic"/>
          <w:w w:val="80"/>
        </w:rPr>
        <w:t xml:space="preserve">ꎬ </w:t>
      </w:r>
      <w:r>
        <w:t>供配电系统图</w:t>
      </w:r>
      <w:r>
        <w:rPr>
          <w:rFonts w:hint="eastAsia" w:ascii="MS UI Gothic" w:eastAsia="MS UI Gothic"/>
          <w:w w:val="80"/>
        </w:rPr>
        <w:t xml:space="preserve">ꎬ </w:t>
      </w:r>
      <w:r>
        <w:t>通信系统图</w:t>
      </w:r>
      <w:r>
        <w:rPr>
          <w:rFonts w:hint="eastAsia" w:ascii="MS UI Gothic" w:eastAsia="MS UI Gothic"/>
          <w:w w:val="80"/>
        </w:rPr>
        <w:t>ꎬ</w:t>
      </w:r>
      <w:r>
        <w:t>防排水系统图</w:t>
      </w:r>
      <w:r>
        <w:rPr>
          <w:rFonts w:hint="eastAsia" w:ascii="MS UI Gothic" w:eastAsia="MS UI Gothic"/>
          <w:w w:val="80"/>
        </w:rPr>
        <w:t xml:space="preserve">ꎬ </w:t>
      </w:r>
      <w:r>
        <w:t>边坡监测系统平面图</w:t>
      </w:r>
      <w:r>
        <w:rPr>
          <w:rFonts w:hint="eastAsia" w:ascii="MS UI Gothic" w:eastAsia="MS UI Gothic"/>
          <w:w w:val="80"/>
        </w:rPr>
        <w:t xml:space="preserve">ꎬ </w:t>
      </w:r>
      <w:r>
        <w:t>井</w:t>
      </w:r>
      <w:r>
        <w:rPr>
          <w:w w:val="105"/>
        </w:rPr>
        <w:t>工采空区与露天矿平面对照图</w:t>
      </w:r>
      <w:r>
        <w:rPr>
          <w:rFonts w:hint="eastAsia" w:ascii="MS UI Gothic" w:eastAsia="MS UI Gothic"/>
          <w:w w:val="80"/>
        </w:rPr>
        <w:t>ꎮ</w:t>
      </w:r>
    </w:p>
    <w:p>
      <w:pPr>
        <w:pStyle w:val="6"/>
        <w:spacing w:before="150"/>
        <w:ind w:left="545" w:firstLine="0"/>
      </w:pPr>
      <w:r>
        <w:rPr>
          <w:w w:val="105"/>
        </w:rPr>
        <w:t>第三章 安全生产许可证的申请和颁发</w:t>
      </w:r>
    </w:p>
    <w:p>
      <w:pPr>
        <w:pStyle w:val="6"/>
        <w:spacing w:before="215" w:line="295" w:lineRule="auto"/>
        <w:ind w:left="440" w:right="1"/>
        <w:rPr>
          <w:rFonts w:hint="eastAsia" w:ascii="MS UI Gothic" w:eastAsia="MS UI Gothic"/>
        </w:rPr>
      </w:pPr>
      <w:r>
        <w:rPr>
          <w:w w:val="105"/>
        </w:rPr>
        <w:t>第十条 煤矿企业依据本实施办法第</w:t>
      </w:r>
      <w:r>
        <w:t>五条的规定向安全生产许可证颁发管理机</w:t>
      </w:r>
      <w:r>
        <w:rPr>
          <w:w w:val="105"/>
        </w:rPr>
        <w:t>关申请领取安全生产许可证</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第十一条 申请领取安全生产许可证</w:t>
      </w:r>
      <w:r>
        <w:rPr>
          <w:w w:val="110"/>
        </w:rPr>
        <w:t>应当提供下列文件</w:t>
      </w:r>
      <w:r>
        <w:rPr>
          <w:rFonts w:hint="eastAsia" w:ascii="MS UI Gothic" w:eastAsia="MS UI Gothic"/>
        </w:rPr>
        <w:t xml:space="preserve">、 </w:t>
      </w:r>
      <w:r>
        <w:rPr>
          <w:w w:val="110"/>
        </w:rPr>
        <w:t>资料</w:t>
      </w:r>
      <w:r>
        <w:rPr>
          <w:rFonts w:hint="eastAsia" w:ascii="MS UI Gothic" w:eastAsia="MS UI Gothic"/>
          <w:w w:val="235"/>
        </w:rPr>
        <w:t>:</w:t>
      </w:r>
    </w:p>
    <w:p>
      <w:pPr>
        <w:pStyle w:val="6"/>
        <w:spacing w:line="255" w:lineRule="exact"/>
        <w:ind w:left="860" w:firstLine="0"/>
        <w:jc w:val="left"/>
        <w:rPr>
          <w:rFonts w:hint="eastAsia" w:ascii="MS UI Gothic" w:eastAsia="MS UI Gothic"/>
        </w:rPr>
      </w:pPr>
      <w:r>
        <w:rPr>
          <w:rFonts w:hint="eastAsia" w:ascii="MS UI Gothic" w:eastAsia="MS UI Gothic"/>
          <w:spacing w:val="-43"/>
          <w:w w:val="150"/>
        </w:rPr>
        <w:t xml:space="preserve">( </w:t>
      </w:r>
      <w:r>
        <w:rPr>
          <w:spacing w:val="3"/>
          <w:w w:val="115"/>
        </w:rPr>
        <w:t>一</w:t>
      </w:r>
      <w:r>
        <w:rPr>
          <w:rFonts w:hint="eastAsia" w:ascii="MS UI Gothic" w:eastAsia="MS UI Gothic"/>
          <w:spacing w:val="-25"/>
          <w:w w:val="150"/>
        </w:rPr>
        <w:t xml:space="preserve">) </w:t>
      </w:r>
      <w:r>
        <w:rPr>
          <w:spacing w:val="3"/>
          <w:w w:val="115"/>
        </w:rPr>
        <w:t>煤矿企业提供的文件</w:t>
      </w:r>
      <w:r>
        <w:rPr>
          <w:rFonts w:hint="eastAsia" w:ascii="MS UI Gothic" w:eastAsia="MS UI Gothic"/>
          <w:spacing w:val="-13"/>
        </w:rPr>
        <w:t xml:space="preserve">、 </w:t>
      </w:r>
      <w:r>
        <w:rPr>
          <w:spacing w:val="3"/>
          <w:w w:val="115"/>
        </w:rPr>
        <w:t>资料</w:t>
      </w:r>
      <w:r>
        <w:rPr>
          <w:rFonts w:hint="eastAsia" w:ascii="MS UI Gothic" w:eastAsia="MS UI Gothic"/>
          <w:w w:val="230"/>
        </w:rPr>
        <w:t>:</w:t>
      </w:r>
    </w:p>
    <w:p>
      <w:pPr>
        <w:pStyle w:val="6"/>
        <w:spacing w:before="56" w:line="240" w:lineRule="exact"/>
        <w:ind w:left="854" w:firstLine="0"/>
        <w:jc w:val="left"/>
        <w:rPr>
          <w:rFonts w:hint="eastAsia" w:ascii="MS UI Gothic" w:eastAsia="MS UI Gothic"/>
        </w:rPr>
      </w:pPr>
      <w:r>
        <w:rPr>
          <w:rFonts w:hint="eastAsia" w:ascii="MS UI Gothic" w:eastAsia="MS UI Gothic"/>
        </w:rPr>
        <w:t xml:space="preserve">１ </w:t>
      </w:r>
      <w:r>
        <w:t>安全生产许可证申请书</w:t>
      </w:r>
      <w:r>
        <w:rPr>
          <w:rFonts w:hint="eastAsia" w:ascii="MS UI Gothic" w:eastAsia="MS UI Gothic"/>
          <w:w w:val="85"/>
        </w:rPr>
        <w:t>ꎻ</w:t>
      </w:r>
    </w:p>
    <w:p>
      <w:pPr>
        <w:pStyle w:val="6"/>
        <w:spacing w:before="124"/>
        <w:ind w:left="794" w:firstLine="0"/>
        <w:rPr>
          <w:rFonts w:hint="eastAsia" w:ascii="MS UI Gothic" w:eastAsia="MS UI Gothic"/>
        </w:rPr>
      </w:pPr>
      <w:r>
        <w:br w:type="column"/>
      </w:r>
      <w:r>
        <w:rPr>
          <w:rFonts w:hint="eastAsia" w:ascii="MS UI Gothic" w:eastAsia="MS UI Gothic"/>
        </w:rPr>
        <w:t xml:space="preserve">１ </w:t>
      </w:r>
      <w:r>
        <w:t>安全生产许可证申请书</w:t>
      </w:r>
      <w:r>
        <w:rPr>
          <w:rFonts w:hint="eastAsia" w:ascii="MS UI Gothic" w:eastAsia="MS UI Gothic"/>
          <w:w w:val="85"/>
        </w:rPr>
        <w:t>ꎻ</w:t>
      </w:r>
    </w:p>
    <w:p>
      <w:pPr>
        <w:pStyle w:val="6"/>
        <w:spacing w:before="58"/>
        <w:ind w:left="794" w:firstLine="0"/>
        <w:rPr>
          <w:rFonts w:hint="eastAsia" w:ascii="MS UI Gothic" w:eastAsia="MS UI Gothic"/>
        </w:rPr>
      </w:pPr>
      <w:r>
        <w:rPr>
          <w:rFonts w:hint="eastAsia" w:ascii="MS UI Gothic" w:eastAsia="MS UI Gothic"/>
          <w:w w:val="85"/>
        </w:rPr>
        <w:t xml:space="preserve">２ </w:t>
      </w:r>
      <w:r>
        <w:rPr>
          <w:w w:val="110"/>
        </w:rPr>
        <w:t xml:space="preserve">采矿许可证 </w:t>
      </w:r>
      <w:r>
        <w:rPr>
          <w:rFonts w:hint="eastAsia" w:ascii="MS UI Gothic" w:eastAsia="MS UI Gothic"/>
          <w:w w:val="145"/>
        </w:rPr>
        <w:t xml:space="preserve">( </w:t>
      </w:r>
      <w:r>
        <w:rPr>
          <w:w w:val="110"/>
        </w:rPr>
        <w:t>复制件</w:t>
      </w:r>
      <w:r>
        <w:rPr>
          <w:rFonts w:hint="eastAsia" w:ascii="MS UI Gothic" w:eastAsia="MS UI Gothic"/>
          <w:w w:val="145"/>
        </w:rPr>
        <w:t xml:space="preserve">) </w:t>
      </w:r>
      <w:r>
        <w:rPr>
          <w:rFonts w:hint="eastAsia" w:ascii="MS UI Gothic" w:eastAsia="MS UI Gothic"/>
          <w:w w:val="85"/>
        </w:rPr>
        <w:t>ꎻ</w:t>
      </w:r>
    </w:p>
    <w:p>
      <w:pPr>
        <w:pStyle w:val="6"/>
        <w:spacing w:before="58" w:line="295" w:lineRule="auto"/>
        <w:ind w:left="381" w:right="126" w:firstLine="413"/>
        <w:rPr>
          <w:rFonts w:hint="eastAsia" w:ascii="MS UI Gothic" w:eastAsia="MS UI Gothic"/>
        </w:rPr>
      </w:pPr>
      <w:r>
        <w:rPr>
          <w:rFonts w:hint="eastAsia" w:ascii="MS UI Gothic" w:eastAsia="MS UI Gothic"/>
          <w:w w:val="80"/>
        </w:rPr>
        <w:t>３</w:t>
      </w:r>
      <w:r>
        <w:rPr>
          <w:rFonts w:hint="eastAsia" w:ascii="MS UI Gothic" w:eastAsia="MS UI Gothic"/>
          <w:spacing w:val="44"/>
          <w:w w:val="80"/>
        </w:rPr>
        <w:t xml:space="preserve"> </w:t>
      </w:r>
      <w:r>
        <w:rPr>
          <w:spacing w:val="14"/>
        </w:rPr>
        <w:t xml:space="preserve">主要负责人安全生产责任制 </w:t>
      </w:r>
      <w:r>
        <w:rPr>
          <w:rFonts w:hint="eastAsia" w:ascii="MS UI Gothic" w:eastAsia="MS UI Gothic"/>
          <w:spacing w:val="-24"/>
          <w:w w:val="145"/>
        </w:rPr>
        <w:t xml:space="preserve">( </w:t>
      </w:r>
      <w:r>
        <w:t>复</w:t>
      </w:r>
      <w:r>
        <w:rPr>
          <w:spacing w:val="3"/>
        </w:rPr>
        <w:t>制件</w:t>
      </w:r>
      <w:r>
        <w:rPr>
          <w:rFonts w:hint="eastAsia" w:ascii="MS UI Gothic" w:eastAsia="MS UI Gothic"/>
          <w:spacing w:val="-34"/>
          <w:w w:val="145"/>
        </w:rPr>
        <w:t xml:space="preserve">) </w:t>
      </w:r>
      <w:r>
        <w:rPr>
          <w:rFonts w:hint="eastAsia" w:ascii="MS UI Gothic" w:eastAsia="MS UI Gothic"/>
          <w:spacing w:val="7"/>
          <w:w w:val="80"/>
        </w:rPr>
        <w:t xml:space="preserve">ꎬ </w:t>
      </w:r>
      <w:r>
        <w:rPr>
          <w:spacing w:val="5"/>
        </w:rPr>
        <w:t>各分管负责人</w:t>
      </w:r>
      <w:r>
        <w:rPr>
          <w:rFonts w:hint="eastAsia" w:ascii="MS UI Gothic" w:eastAsia="MS UI Gothic"/>
          <w:spacing w:val="28"/>
        </w:rPr>
        <w:t xml:space="preserve">、 </w:t>
      </w:r>
      <w:r>
        <w:rPr>
          <w:spacing w:val="11"/>
        </w:rPr>
        <w:t>安全生产管理人</w:t>
      </w:r>
      <w:r>
        <w:rPr>
          <w:spacing w:val="2"/>
        </w:rPr>
        <w:t>员以及职能部门负责人安全生产责任制目</w:t>
      </w:r>
      <w:r>
        <w:rPr>
          <w:spacing w:val="3"/>
        </w:rPr>
        <w:t>录清单</w:t>
      </w:r>
      <w:r>
        <w:rPr>
          <w:rFonts w:hint="eastAsia" w:ascii="MS UI Gothic" w:eastAsia="MS UI Gothic"/>
          <w:w w:val="80"/>
        </w:rPr>
        <w:t>ꎻ</w:t>
      </w:r>
    </w:p>
    <w:p>
      <w:pPr>
        <w:pStyle w:val="6"/>
        <w:spacing w:line="295" w:lineRule="auto"/>
        <w:ind w:left="381" w:right="126" w:firstLine="413"/>
        <w:rPr>
          <w:rFonts w:hint="eastAsia" w:ascii="MS UI Gothic" w:eastAsia="MS UI Gothic"/>
        </w:rPr>
      </w:pPr>
      <w:r>
        <w:rPr>
          <w:rFonts w:hint="eastAsia" w:ascii="MS UI Gothic" w:eastAsia="MS UI Gothic"/>
        </w:rPr>
        <w:t>４</w:t>
      </w:r>
      <w:r>
        <w:rPr>
          <w:rFonts w:hint="eastAsia" w:ascii="MS UI Gothic" w:eastAsia="MS UI Gothic"/>
          <w:spacing w:val="15"/>
        </w:rPr>
        <w:t xml:space="preserve"> </w:t>
      </w:r>
      <w:r>
        <w:rPr>
          <w:spacing w:val="12"/>
        </w:rPr>
        <w:t>安全生产规章制度和操作规程目</w:t>
      </w:r>
      <w:r>
        <w:rPr>
          <w:spacing w:val="3"/>
        </w:rPr>
        <w:t>录清单</w:t>
      </w:r>
      <w:r>
        <w:rPr>
          <w:rFonts w:hint="eastAsia" w:ascii="MS UI Gothic" w:eastAsia="MS UI Gothic"/>
          <w:w w:val="85"/>
        </w:rPr>
        <w:t>ꎻ</w:t>
      </w:r>
    </w:p>
    <w:p>
      <w:pPr>
        <w:pStyle w:val="6"/>
        <w:spacing w:line="295" w:lineRule="auto"/>
        <w:ind w:left="381" w:right="126" w:firstLine="413"/>
        <w:rPr>
          <w:rFonts w:hint="eastAsia" w:ascii="MS UI Gothic" w:eastAsia="MS UI Gothic"/>
        </w:rPr>
      </w:pPr>
      <w:r>
        <w:rPr>
          <w:rFonts w:hint="eastAsia" w:ascii="MS UI Gothic" w:eastAsia="MS UI Gothic"/>
          <w:w w:val="85"/>
        </w:rPr>
        <w:t xml:space="preserve">５ </w:t>
      </w:r>
      <w:r>
        <w:rPr>
          <w:w w:val="105"/>
        </w:rPr>
        <w:t xml:space="preserve">设置安全生产管理机构和配备专职安全生产管理人员的文件 </w:t>
      </w:r>
      <w:r>
        <w:rPr>
          <w:rFonts w:hint="eastAsia" w:ascii="MS UI Gothic" w:eastAsia="MS UI Gothic"/>
          <w:w w:val="145"/>
        </w:rPr>
        <w:t xml:space="preserve">( </w:t>
      </w:r>
      <w:r>
        <w:rPr>
          <w:w w:val="105"/>
        </w:rPr>
        <w:t>复制件</w:t>
      </w:r>
      <w:r>
        <w:rPr>
          <w:rFonts w:hint="eastAsia" w:ascii="MS UI Gothic" w:eastAsia="MS UI Gothic"/>
          <w:w w:val="145"/>
        </w:rPr>
        <w:t xml:space="preserve">) </w:t>
      </w:r>
      <w:r>
        <w:rPr>
          <w:rFonts w:hint="eastAsia" w:ascii="MS UI Gothic" w:eastAsia="MS UI Gothic"/>
          <w:w w:val="85"/>
        </w:rPr>
        <w:t>ꎻ</w:t>
      </w:r>
    </w:p>
    <w:p>
      <w:pPr>
        <w:pStyle w:val="6"/>
        <w:spacing w:line="295" w:lineRule="auto"/>
        <w:ind w:left="381" w:right="126" w:firstLine="413"/>
        <w:rPr>
          <w:rFonts w:hint="eastAsia" w:ascii="MS UI Gothic" w:eastAsia="MS UI Gothic"/>
        </w:rPr>
      </w:pPr>
      <w:r>
        <w:rPr>
          <w:rFonts w:hint="eastAsia" w:ascii="MS UI Gothic" w:eastAsia="MS UI Gothic"/>
        </w:rPr>
        <w:t xml:space="preserve">６ </w:t>
      </w:r>
      <w:r>
        <w:t>矿长</w:t>
      </w:r>
      <w:r>
        <w:rPr>
          <w:rFonts w:hint="eastAsia" w:ascii="MS UI Gothic" w:eastAsia="MS UI Gothic"/>
        </w:rPr>
        <w:t xml:space="preserve">、 </w:t>
      </w:r>
      <w:r>
        <w:t>安全生产管理人员安全生产知识和管理能力考核合格的证明材料</w:t>
      </w:r>
      <w:r>
        <w:rPr>
          <w:rFonts w:hint="eastAsia" w:ascii="MS UI Gothic" w:eastAsia="MS UI Gothic"/>
          <w:w w:val="85"/>
        </w:rPr>
        <w:t>ꎻ</w:t>
      </w:r>
    </w:p>
    <w:p>
      <w:pPr>
        <w:pStyle w:val="6"/>
        <w:spacing w:line="295" w:lineRule="auto"/>
        <w:ind w:left="381" w:right="126" w:firstLine="413"/>
        <w:rPr>
          <w:rFonts w:hint="eastAsia" w:ascii="MS UI Gothic" w:eastAsia="MS UI Gothic"/>
        </w:rPr>
      </w:pPr>
      <w:r>
        <w:rPr>
          <w:rFonts w:hint="eastAsia" w:ascii="MS UI Gothic" w:eastAsia="MS UI Gothic"/>
        </w:rPr>
        <w:t xml:space="preserve">７ </w:t>
      </w:r>
      <w:r>
        <w:t>特种作业人员操作资格证书的证明材料</w:t>
      </w:r>
      <w:r>
        <w:rPr>
          <w:rFonts w:hint="eastAsia" w:ascii="MS UI Gothic" w:eastAsia="MS UI Gothic"/>
          <w:w w:val="85"/>
        </w:rPr>
        <w:t>ꎻ</w:t>
      </w:r>
    </w:p>
    <w:p>
      <w:pPr>
        <w:pStyle w:val="6"/>
        <w:spacing w:line="295" w:lineRule="auto"/>
        <w:ind w:left="381" w:right="126" w:firstLine="413"/>
        <w:rPr>
          <w:rFonts w:hint="eastAsia" w:ascii="MS UI Gothic" w:eastAsia="MS UI Gothic"/>
        </w:rPr>
      </w:pPr>
      <w:r>
        <w:rPr>
          <w:rFonts w:hint="eastAsia" w:ascii="MS UI Gothic" w:eastAsia="MS UI Gothic"/>
        </w:rPr>
        <w:t xml:space="preserve">８ </w:t>
      </w:r>
      <w:r>
        <w:t>从业人员安全生产教育培训计划和考试合格的证明材料</w:t>
      </w:r>
      <w:r>
        <w:rPr>
          <w:rFonts w:hint="eastAsia" w:ascii="MS UI Gothic" w:eastAsia="MS UI Gothic"/>
          <w:w w:val="85"/>
        </w:rPr>
        <w:t>ꎻ</w:t>
      </w:r>
    </w:p>
    <w:p>
      <w:pPr>
        <w:pStyle w:val="6"/>
        <w:spacing w:line="255" w:lineRule="exact"/>
        <w:ind w:left="794" w:firstLine="0"/>
      </w:pPr>
      <w:r>
        <w:rPr>
          <w:rFonts w:hint="eastAsia" w:ascii="MS UI Gothic" w:eastAsia="MS UI Gothic"/>
        </w:rPr>
        <w:t xml:space="preserve">９ </w:t>
      </w:r>
      <w:r>
        <w:t>为从业人员缴纳工伤保险费的有</w:t>
      </w:r>
    </w:p>
    <w:p>
      <w:pPr>
        <w:pStyle w:val="6"/>
        <w:spacing w:before="49" w:line="240" w:lineRule="exact"/>
        <w:ind w:left="381" w:firstLine="0"/>
        <w:jc w:val="left"/>
        <w:rPr>
          <w:rFonts w:hint="eastAsia" w:ascii="MS UI Gothic" w:eastAsia="MS UI Gothic"/>
        </w:rPr>
      </w:pPr>
      <w:r>
        <w:t>关证明材料</w:t>
      </w:r>
      <w:r>
        <w:rPr>
          <w:rFonts w:hint="eastAsia" w:ascii="MS UI Gothic" w:eastAsia="MS UI Gothic"/>
          <w:w w:val="80"/>
        </w:rPr>
        <w:t>ꎻ</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74"/>
        <w:ind w:left="0" w:firstLine="0"/>
        <w:jc w:val="right"/>
      </w:pPr>
      <w:r>
        <w:rPr>
          <w:rFonts w:hint="eastAsia" w:ascii="MS UI Gothic" w:eastAsia="MS UI Gothic"/>
        </w:rPr>
        <w:t>２</w:t>
      </w:r>
      <w:r>
        <w:rPr>
          <w:rFonts w:hint="eastAsia" w:ascii="MS UI Gothic" w:eastAsia="MS UI Gothic"/>
          <w:spacing w:val="10"/>
        </w:rPr>
        <w:t xml:space="preserve">  </w:t>
      </w:r>
      <w:r>
        <w:rPr>
          <w:spacing w:val="12"/>
        </w:rPr>
        <w:t>主要负责人安全生产责任制材料</w:t>
      </w:r>
    </w:p>
    <w:p>
      <w:pPr>
        <w:pStyle w:val="6"/>
        <w:spacing w:before="58" w:line="240" w:lineRule="exact"/>
        <w:ind w:left="0" w:firstLine="0"/>
        <w:jc w:val="right"/>
      </w:pPr>
      <w:r>
        <w:rPr>
          <w:rFonts w:hint="eastAsia" w:ascii="MS UI Gothic" w:eastAsia="MS UI Gothic"/>
          <w:spacing w:val="-24"/>
          <w:w w:val="105"/>
        </w:rPr>
        <w:t xml:space="preserve">( </w:t>
      </w:r>
      <w:r>
        <w:rPr>
          <w:spacing w:val="7"/>
          <w:w w:val="105"/>
        </w:rPr>
        <w:t>复制件</w:t>
      </w:r>
      <w:r>
        <w:rPr>
          <w:rFonts w:hint="eastAsia" w:ascii="MS UI Gothic" w:eastAsia="MS UI Gothic"/>
          <w:spacing w:val="-23"/>
          <w:w w:val="105"/>
        </w:rPr>
        <w:t xml:space="preserve">) </w:t>
      </w:r>
      <w:r>
        <w:rPr>
          <w:rFonts w:hint="eastAsia" w:ascii="MS UI Gothic" w:eastAsia="MS UI Gothic"/>
          <w:w w:val="80"/>
        </w:rPr>
        <w:t xml:space="preserve">ꎬ  </w:t>
      </w:r>
      <w:r>
        <w:rPr>
          <w:spacing w:val="16"/>
          <w:w w:val="105"/>
        </w:rPr>
        <w:t>各分管负责人</w:t>
      </w:r>
      <w:r>
        <w:rPr>
          <w:rFonts w:hint="eastAsia" w:ascii="MS UI Gothic" w:eastAsia="MS UI Gothic"/>
          <w:w w:val="80"/>
        </w:rPr>
        <w:t xml:space="preserve">、  </w:t>
      </w:r>
      <w:r>
        <w:rPr>
          <w:spacing w:val="15"/>
          <w:w w:val="105"/>
        </w:rPr>
        <w:t>安全生产管</w:t>
      </w:r>
    </w:p>
    <w:p>
      <w:pPr>
        <w:pStyle w:val="6"/>
        <w:spacing w:before="20" w:line="310" w:lineRule="atLeast"/>
        <w:ind w:left="383" w:right="126" w:firstLine="413"/>
        <w:jc w:val="left"/>
        <w:rPr>
          <w:rFonts w:hint="eastAsia" w:ascii="MS UI Gothic" w:eastAsia="MS UI Gothic"/>
        </w:rPr>
      </w:pPr>
      <w:r>
        <w:br w:type="column"/>
      </w:r>
      <w:r>
        <w:rPr>
          <w:rFonts w:hint="eastAsia" w:ascii="MS UI Gothic" w:eastAsia="MS UI Gothic"/>
        </w:rPr>
        <w:t xml:space="preserve">１０ </w:t>
      </w:r>
      <w:r>
        <w:t>具备资质的中介机构出具的安全评价报告</w:t>
      </w:r>
      <w:r>
        <w:rPr>
          <w:rFonts w:hint="eastAsia" w:ascii="MS UI Gothic" w:eastAsia="MS UI Gothic"/>
          <w:w w:val="90"/>
        </w:rPr>
        <w:t>ꎻ</w:t>
      </w:r>
    </w:p>
    <w:p>
      <w:pPr>
        <w:spacing w:after="0" w:line="310" w:lineRule="atLeast"/>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63" w:line="295" w:lineRule="auto"/>
        <w:ind w:left="440" w:firstLine="0"/>
        <w:jc w:val="left"/>
        <w:rPr>
          <w:rFonts w:hint="eastAsia" w:ascii="MS UI Gothic" w:eastAsia="MS UI Gothic"/>
        </w:rPr>
      </w:pPr>
      <w:r>
        <w:t>理人员以及职能部门负责人安全生产责任</w:t>
      </w:r>
      <w:r>
        <w:rPr>
          <w:w w:val="105"/>
        </w:rPr>
        <w:t>制目录清单</w:t>
      </w:r>
      <w:r>
        <w:rPr>
          <w:rFonts w:hint="eastAsia" w:ascii="MS UI Gothic" w:eastAsia="MS UI Gothic"/>
          <w:w w:val="80"/>
        </w:rPr>
        <w:t>ꎻ</w:t>
      </w:r>
    </w:p>
    <w:p>
      <w:pPr>
        <w:pStyle w:val="6"/>
        <w:spacing w:line="255" w:lineRule="exact"/>
        <w:ind w:left="854" w:firstLine="0"/>
        <w:jc w:val="left"/>
        <w:rPr>
          <w:rFonts w:hint="eastAsia" w:ascii="MS UI Gothic" w:eastAsia="MS UI Gothic"/>
        </w:rPr>
      </w:pPr>
      <w:r>
        <w:rPr>
          <w:rFonts w:hint="eastAsia" w:ascii="MS UI Gothic" w:eastAsia="MS UI Gothic"/>
        </w:rPr>
        <w:t xml:space="preserve">３ </w:t>
      </w:r>
      <w:r>
        <w:t>安全生产规章制度目录清单</w:t>
      </w:r>
      <w:r>
        <w:rPr>
          <w:rFonts w:hint="eastAsia" w:ascii="MS UI Gothic" w:eastAsia="MS UI Gothic"/>
          <w:w w:val="85"/>
        </w:rPr>
        <w:t>ꎻ</w:t>
      </w:r>
    </w:p>
    <w:p>
      <w:pPr>
        <w:pStyle w:val="6"/>
        <w:spacing w:before="58" w:line="295" w:lineRule="auto"/>
        <w:ind w:left="440" w:firstLine="413"/>
        <w:jc w:val="left"/>
        <w:rPr>
          <w:rFonts w:hint="eastAsia" w:ascii="MS UI Gothic" w:eastAsia="MS UI Gothic"/>
        </w:rPr>
      </w:pPr>
      <w:r>
        <w:rPr>
          <w:rFonts w:hint="eastAsia" w:ascii="MS UI Gothic" w:eastAsia="MS UI Gothic"/>
          <w:w w:val="85"/>
        </w:rPr>
        <w:t xml:space="preserve">４ </w:t>
      </w:r>
      <w:r>
        <w:t>设置安全生产管理机构</w:t>
      </w:r>
      <w:r>
        <w:rPr>
          <w:rFonts w:hint="eastAsia" w:ascii="MS UI Gothic" w:eastAsia="MS UI Gothic"/>
        </w:rPr>
        <w:t xml:space="preserve">、 </w:t>
      </w:r>
      <w:r>
        <w:t xml:space="preserve">配备专职安全生产管理人员的文件 </w:t>
      </w:r>
      <w:r>
        <w:rPr>
          <w:rFonts w:hint="eastAsia" w:ascii="MS UI Gothic" w:eastAsia="MS UI Gothic"/>
          <w:w w:val="145"/>
        </w:rPr>
        <w:t xml:space="preserve">( </w:t>
      </w:r>
      <w:r>
        <w:t>复制件</w:t>
      </w:r>
      <w:r>
        <w:rPr>
          <w:rFonts w:hint="eastAsia" w:ascii="MS UI Gothic" w:eastAsia="MS UI Gothic"/>
          <w:w w:val="145"/>
        </w:rPr>
        <w:t xml:space="preserve">) </w:t>
      </w:r>
      <w:r>
        <w:rPr>
          <w:rFonts w:hint="eastAsia" w:ascii="MS UI Gothic" w:eastAsia="MS UI Gothic"/>
          <w:w w:val="85"/>
        </w:rPr>
        <w:t>ꎻ</w:t>
      </w:r>
    </w:p>
    <w:p>
      <w:pPr>
        <w:pStyle w:val="6"/>
        <w:spacing w:line="295" w:lineRule="auto"/>
        <w:ind w:left="440" w:firstLine="413"/>
        <w:rPr>
          <w:rFonts w:hint="eastAsia" w:ascii="MS UI Gothic" w:eastAsia="MS UI Gothic"/>
        </w:rPr>
      </w:pPr>
      <w:r>
        <w:rPr>
          <w:rFonts w:hint="eastAsia" w:ascii="MS UI Gothic" w:eastAsia="MS UI Gothic"/>
        </w:rPr>
        <w:t xml:space="preserve">５ </w:t>
      </w:r>
      <w:r>
        <w:t>主要负责人</w:t>
      </w:r>
      <w:r>
        <w:rPr>
          <w:rFonts w:hint="eastAsia" w:ascii="MS UI Gothic" w:eastAsia="MS UI Gothic"/>
        </w:rPr>
        <w:t xml:space="preserve">、 </w:t>
      </w:r>
      <w:r>
        <w:t>安全生产管理人员安全生产知识和管理能力考核合格的证明材料</w:t>
      </w:r>
      <w:r>
        <w:rPr>
          <w:rFonts w:hint="eastAsia" w:ascii="MS UI Gothic" w:eastAsia="MS UI Gothic"/>
          <w:w w:val="85"/>
        </w:rPr>
        <w:t>ꎻ</w:t>
      </w:r>
    </w:p>
    <w:p>
      <w:pPr>
        <w:pStyle w:val="6"/>
        <w:spacing w:line="295" w:lineRule="auto"/>
        <w:ind w:left="440" w:firstLine="413"/>
        <w:jc w:val="left"/>
        <w:rPr>
          <w:rFonts w:hint="eastAsia" w:ascii="MS UI Gothic" w:eastAsia="MS UI Gothic"/>
        </w:rPr>
      </w:pPr>
      <w:r>
        <w:rPr>
          <w:rFonts w:hint="eastAsia" w:ascii="MS UI Gothic" w:eastAsia="MS UI Gothic"/>
        </w:rPr>
        <w:t xml:space="preserve">６ </w:t>
      </w:r>
      <w:r>
        <w:t>特种作业人员培训计划</w:t>
      </w:r>
      <w:r>
        <w:rPr>
          <w:rFonts w:hint="eastAsia" w:ascii="MS UI Gothic" w:eastAsia="MS UI Gothic"/>
          <w:w w:val="85"/>
        </w:rPr>
        <w:t xml:space="preserve">ꎬ </w:t>
      </w:r>
      <w:r>
        <w:t>从业人员安全生产教育培训计划</w:t>
      </w:r>
      <w:r>
        <w:rPr>
          <w:rFonts w:hint="eastAsia" w:ascii="MS UI Gothic" w:eastAsia="MS UI Gothic"/>
          <w:w w:val="85"/>
        </w:rPr>
        <w:t>ꎻ</w:t>
      </w:r>
    </w:p>
    <w:p>
      <w:pPr>
        <w:pStyle w:val="6"/>
        <w:spacing w:line="295" w:lineRule="auto"/>
        <w:ind w:left="440" w:firstLine="413"/>
        <w:jc w:val="left"/>
        <w:rPr>
          <w:rFonts w:hint="eastAsia" w:ascii="MS UI Gothic" w:eastAsia="MS UI Gothic"/>
        </w:rPr>
      </w:pPr>
      <w:r>
        <w:rPr>
          <w:rFonts w:hint="eastAsia" w:ascii="MS UI Gothic" w:eastAsia="MS UI Gothic"/>
        </w:rPr>
        <w:t xml:space="preserve">７ </w:t>
      </w:r>
      <w:r>
        <w:t>为从业人员缴纳工伤保险费的有关证明材料</w:t>
      </w:r>
      <w:r>
        <w:rPr>
          <w:rFonts w:hint="eastAsia" w:ascii="MS UI Gothic" w:eastAsia="MS UI Gothic"/>
          <w:w w:val="85"/>
        </w:rPr>
        <w:t>ꎻ</w:t>
      </w:r>
    </w:p>
    <w:p>
      <w:pPr>
        <w:pStyle w:val="6"/>
        <w:spacing w:line="295" w:lineRule="auto"/>
        <w:ind w:left="440" w:firstLine="413"/>
        <w:jc w:val="left"/>
        <w:rPr>
          <w:rFonts w:hint="eastAsia" w:ascii="MS UI Gothic" w:eastAsia="MS UI Gothic"/>
        </w:rPr>
      </w:pPr>
      <w:r>
        <w:rPr>
          <w:rFonts w:hint="eastAsia" w:ascii="MS UI Gothic" w:eastAsia="MS UI Gothic"/>
        </w:rPr>
        <w:t>８</w:t>
      </w:r>
      <w:r>
        <w:rPr>
          <w:rFonts w:hint="eastAsia" w:ascii="MS UI Gothic" w:eastAsia="MS UI Gothic"/>
          <w:spacing w:val="45"/>
        </w:rPr>
        <w:t xml:space="preserve"> </w:t>
      </w:r>
      <w:r>
        <w:rPr>
          <w:spacing w:val="33"/>
        </w:rPr>
        <w:t>重大危险源检测</w:t>
      </w:r>
      <w:r>
        <w:rPr>
          <w:rFonts w:hint="eastAsia" w:ascii="MS UI Gothic" w:eastAsia="MS UI Gothic"/>
          <w:spacing w:val="2"/>
        </w:rPr>
        <w:t xml:space="preserve">、 </w:t>
      </w:r>
      <w:r>
        <w:rPr>
          <w:spacing w:val="30"/>
        </w:rPr>
        <w:t>评估和监控</w:t>
      </w:r>
      <w:r>
        <w:rPr>
          <w:spacing w:val="3"/>
        </w:rPr>
        <w:t>措施</w:t>
      </w:r>
      <w:r>
        <w:rPr>
          <w:rFonts w:hint="eastAsia" w:ascii="MS UI Gothic" w:eastAsia="MS UI Gothic"/>
          <w:w w:val="85"/>
        </w:rPr>
        <w:t>ꎻ</w:t>
      </w:r>
    </w:p>
    <w:p>
      <w:pPr>
        <w:pStyle w:val="6"/>
        <w:spacing w:line="295" w:lineRule="auto"/>
        <w:ind w:left="440" w:firstLine="413"/>
        <w:rPr>
          <w:rFonts w:hint="eastAsia" w:ascii="MS UI Gothic" w:eastAsia="MS UI Gothic"/>
        </w:rPr>
      </w:pPr>
      <w:r>
        <w:rPr>
          <w:rFonts w:hint="eastAsia" w:ascii="MS UI Gothic" w:eastAsia="MS UI Gothic"/>
        </w:rPr>
        <w:t>９</w:t>
      </w:r>
      <w:r>
        <w:rPr>
          <w:rFonts w:hint="eastAsia" w:ascii="MS UI Gothic" w:eastAsia="MS UI Gothic"/>
          <w:spacing w:val="32"/>
        </w:rPr>
        <w:t xml:space="preserve"> </w:t>
      </w:r>
      <w:r>
        <w:rPr>
          <w:spacing w:val="13"/>
        </w:rPr>
        <w:t>事故应急救援预案</w:t>
      </w:r>
      <w:r>
        <w:rPr>
          <w:rFonts w:hint="eastAsia" w:ascii="MS UI Gothic" w:eastAsia="MS UI Gothic"/>
          <w:spacing w:val="23"/>
          <w:w w:val="85"/>
        </w:rPr>
        <w:t xml:space="preserve">ꎬ </w:t>
      </w:r>
      <w:r>
        <w:rPr>
          <w:spacing w:val="12"/>
        </w:rPr>
        <w:t>设立矿山救</w:t>
      </w:r>
      <w:r>
        <w:rPr>
          <w:spacing w:val="2"/>
        </w:rPr>
        <w:t>护队的文件或者与专业救护队签订的救护</w:t>
      </w:r>
      <w:r>
        <w:rPr>
          <w:spacing w:val="3"/>
        </w:rPr>
        <w:t>协议</w:t>
      </w:r>
      <w:r>
        <w:rPr>
          <w:rFonts w:hint="eastAsia" w:ascii="MS UI Gothic" w:eastAsia="MS UI Gothic"/>
          <w:w w:val="85"/>
        </w:rPr>
        <w:t>ꎮ</w:t>
      </w:r>
    </w:p>
    <w:p>
      <w:pPr>
        <w:pStyle w:val="6"/>
        <w:spacing w:line="295" w:lineRule="auto"/>
        <w:ind w:left="440"/>
        <w:jc w:val="left"/>
        <w:rPr>
          <w:rFonts w:hint="eastAsia" w:ascii="MS UI Gothic" w:eastAsia="MS UI Gothic"/>
        </w:rPr>
      </w:pPr>
      <w:r>
        <w:rPr>
          <w:rFonts w:hint="eastAsia" w:ascii="MS UI Gothic" w:eastAsia="MS UI Gothic"/>
          <w:spacing w:val="-39"/>
          <w:w w:val="150"/>
        </w:rPr>
        <w:t xml:space="preserve">( </w:t>
      </w:r>
      <w:r>
        <w:rPr>
          <w:spacing w:val="23"/>
          <w:w w:val="115"/>
        </w:rPr>
        <w:t>二</w:t>
      </w:r>
      <w:r>
        <w:rPr>
          <w:rFonts w:hint="eastAsia" w:ascii="MS UI Gothic" w:eastAsia="MS UI Gothic"/>
          <w:spacing w:val="4"/>
          <w:w w:val="150"/>
        </w:rPr>
        <w:t xml:space="preserve">) </w:t>
      </w:r>
      <w:r>
        <w:rPr>
          <w:spacing w:val="-41"/>
          <w:w w:val="115"/>
        </w:rPr>
        <w:t>煤 矿 提 供 的 文 件</w:t>
      </w:r>
      <w:r>
        <w:rPr>
          <w:rFonts w:hint="eastAsia" w:ascii="MS UI Gothic" w:eastAsia="MS UI Gothic"/>
          <w:spacing w:val="13"/>
        </w:rPr>
        <w:t xml:space="preserve">、 </w:t>
      </w:r>
      <w:r>
        <w:rPr>
          <w:spacing w:val="-36"/>
          <w:w w:val="115"/>
        </w:rPr>
        <w:t>资 料 和</w:t>
      </w:r>
      <w:r>
        <w:rPr>
          <w:spacing w:val="3"/>
          <w:w w:val="115"/>
        </w:rPr>
        <w:t>图纸</w:t>
      </w:r>
      <w:r>
        <w:rPr>
          <w:rFonts w:hint="eastAsia" w:ascii="MS UI Gothic" w:eastAsia="MS UI Gothic"/>
          <w:w w:val="235"/>
        </w:rPr>
        <w:t>:</w:t>
      </w:r>
    </w:p>
    <w:p>
      <w:pPr>
        <w:pStyle w:val="6"/>
        <w:spacing w:before="63" w:line="295" w:lineRule="auto"/>
        <w:ind w:left="383" w:right="126" w:firstLine="413"/>
        <w:rPr>
          <w:rFonts w:hint="eastAsia" w:ascii="MS UI Gothic" w:eastAsia="MS UI Gothic"/>
        </w:rPr>
      </w:pPr>
      <w:r>
        <w:br w:type="column"/>
      </w:r>
      <w:r>
        <w:rPr>
          <w:rFonts w:hint="eastAsia" w:ascii="MS UI Gothic" w:eastAsia="MS UI Gothic"/>
        </w:rPr>
        <w:t xml:space="preserve">１１ </w:t>
      </w:r>
      <w:r>
        <w:t>矿井瓦斯等级鉴定文件</w:t>
      </w:r>
      <w:r>
        <w:rPr>
          <w:rFonts w:hint="eastAsia" w:ascii="MS UI Gothic" w:eastAsia="MS UI Gothic"/>
          <w:w w:val="90"/>
        </w:rPr>
        <w:t xml:space="preserve">ꎻ </w:t>
      </w:r>
      <w:r>
        <w:t>高瓦斯</w:t>
      </w:r>
      <w:r>
        <w:rPr>
          <w:rFonts w:hint="eastAsia" w:ascii="MS UI Gothic" w:eastAsia="MS UI Gothic"/>
        </w:rPr>
        <w:t xml:space="preserve">、 </w:t>
      </w:r>
      <w:r>
        <w:t>煤与瓦斯突出矿井瓦斯参数测定报告</w:t>
      </w:r>
      <w:r>
        <w:rPr>
          <w:rFonts w:hint="eastAsia" w:ascii="MS UI Gothic" w:eastAsia="MS UI Gothic"/>
          <w:w w:val="90"/>
        </w:rPr>
        <w:t xml:space="preserve">ꎬ </w:t>
      </w:r>
      <w:r>
        <w:t>煤层自燃倾向性和煤尘爆炸危险性鉴定报告</w:t>
      </w:r>
      <w:r>
        <w:rPr>
          <w:rFonts w:hint="eastAsia" w:ascii="MS UI Gothic" w:eastAsia="MS UI Gothic"/>
          <w:w w:val="90"/>
        </w:rPr>
        <w:t>ꎻ</w:t>
      </w:r>
    </w:p>
    <w:p>
      <w:pPr>
        <w:pStyle w:val="6"/>
        <w:spacing w:line="253" w:lineRule="exact"/>
        <w:ind w:left="796" w:firstLine="0"/>
        <w:rPr>
          <w:rFonts w:hint="eastAsia" w:ascii="MS UI Gothic" w:eastAsia="MS UI Gothic"/>
        </w:rPr>
      </w:pPr>
      <w:r>
        <w:rPr>
          <w:rFonts w:hint="eastAsia" w:ascii="MS UI Gothic" w:eastAsia="MS UI Gothic"/>
        </w:rPr>
        <w:t xml:space="preserve">１２ </w:t>
      </w:r>
      <w:r>
        <w:t>矿井灾害预防和处理计划</w:t>
      </w:r>
      <w:r>
        <w:rPr>
          <w:rFonts w:hint="eastAsia" w:ascii="MS UI Gothic" w:eastAsia="MS UI Gothic"/>
          <w:w w:val="90"/>
        </w:rPr>
        <w:t>ꎻ</w:t>
      </w:r>
    </w:p>
    <w:p>
      <w:pPr>
        <w:pStyle w:val="6"/>
        <w:spacing w:before="58" w:line="295" w:lineRule="auto"/>
        <w:ind w:left="383" w:right="126" w:firstLine="413"/>
        <w:rPr>
          <w:rFonts w:hint="eastAsia" w:ascii="MS UI Gothic" w:eastAsia="MS UI Gothic"/>
        </w:rPr>
      </w:pPr>
      <w:r>
        <w:rPr>
          <w:rFonts w:hint="eastAsia" w:ascii="MS UI Gothic" w:eastAsia="MS UI Gothic"/>
        </w:rPr>
        <w:t xml:space="preserve">１３ </w:t>
      </w:r>
      <w:r>
        <w:t>井工煤矿采掘工程平面图</w:t>
      </w:r>
      <w:r>
        <w:rPr>
          <w:rFonts w:hint="eastAsia" w:ascii="MS UI Gothic" w:eastAsia="MS UI Gothic"/>
          <w:w w:val="90"/>
        </w:rPr>
        <w:t xml:space="preserve">ꎬ </w:t>
      </w:r>
      <w:r>
        <w:t>通风系统图</w:t>
      </w:r>
      <w:r>
        <w:rPr>
          <w:rFonts w:hint="eastAsia" w:ascii="MS UI Gothic" w:eastAsia="MS UI Gothic"/>
          <w:w w:val="90"/>
        </w:rPr>
        <w:t>ꎻ</w:t>
      </w:r>
    </w:p>
    <w:p>
      <w:pPr>
        <w:pStyle w:val="6"/>
        <w:spacing w:line="295" w:lineRule="auto"/>
        <w:ind w:left="383" w:right="126" w:firstLine="413"/>
        <w:rPr>
          <w:rFonts w:hint="eastAsia" w:ascii="MS UI Gothic" w:eastAsia="MS UI Gothic"/>
        </w:rPr>
      </w:pPr>
      <w:r>
        <w:rPr>
          <w:rFonts w:hint="eastAsia" w:ascii="MS UI Gothic" w:eastAsia="MS UI Gothic"/>
        </w:rPr>
        <w:t xml:space="preserve">１４ </w:t>
      </w:r>
      <w:r>
        <w:t>露天煤矿采剥工程平面图</w:t>
      </w:r>
      <w:r>
        <w:rPr>
          <w:rFonts w:hint="eastAsia" w:ascii="MS UI Gothic" w:eastAsia="MS UI Gothic"/>
          <w:w w:val="90"/>
        </w:rPr>
        <w:t xml:space="preserve">ꎬ </w:t>
      </w:r>
      <w:r>
        <w:t>边坡监测系统平面图</w:t>
      </w:r>
      <w:r>
        <w:rPr>
          <w:rFonts w:hint="eastAsia" w:ascii="MS UI Gothic" w:eastAsia="MS UI Gothic"/>
          <w:w w:val="90"/>
        </w:rPr>
        <w:t>ꎻ</w:t>
      </w:r>
    </w:p>
    <w:p>
      <w:pPr>
        <w:pStyle w:val="6"/>
        <w:spacing w:line="295" w:lineRule="auto"/>
        <w:ind w:left="383" w:right="126" w:firstLine="413"/>
        <w:rPr>
          <w:rFonts w:hint="eastAsia" w:ascii="MS UI Gothic" w:eastAsia="MS UI Gothic"/>
        </w:rPr>
      </w:pPr>
      <w:r>
        <w:rPr>
          <w:rFonts w:hint="eastAsia" w:ascii="MS UI Gothic" w:eastAsia="MS UI Gothic"/>
        </w:rPr>
        <w:t xml:space="preserve">１５ </w:t>
      </w:r>
      <w:r>
        <w:t>事故应急救援预案</w:t>
      </w:r>
      <w:r>
        <w:rPr>
          <w:rFonts w:hint="eastAsia" w:ascii="MS UI Gothic" w:eastAsia="MS UI Gothic"/>
          <w:w w:val="90"/>
        </w:rPr>
        <w:t xml:space="preserve">ꎬ </w:t>
      </w:r>
      <w:r>
        <w:t>设立矿山救护队的文件或者与专业矿山救护队签订的救护协议</w:t>
      </w:r>
      <w:r>
        <w:rPr>
          <w:rFonts w:hint="eastAsia" w:ascii="MS UI Gothic" w:eastAsia="MS UI Gothic"/>
          <w:w w:val="90"/>
        </w:rPr>
        <w:t>ꎻ</w:t>
      </w:r>
    </w:p>
    <w:p>
      <w:pPr>
        <w:pStyle w:val="6"/>
        <w:spacing w:line="295" w:lineRule="auto"/>
        <w:ind w:left="383" w:right="126" w:firstLine="413"/>
        <w:rPr>
          <w:rFonts w:hint="eastAsia" w:ascii="MS UI Gothic" w:eastAsia="MS UI Gothic"/>
        </w:rPr>
      </w:pPr>
      <w:r>
        <w:rPr>
          <w:rFonts w:hint="eastAsia" w:ascii="MS UI Gothic" w:eastAsia="MS UI Gothic"/>
        </w:rPr>
        <w:t xml:space="preserve">１６ </w:t>
      </w:r>
      <w:r>
        <w:t>井工煤矿主要通风机</w:t>
      </w:r>
      <w:r>
        <w:rPr>
          <w:rFonts w:hint="eastAsia" w:ascii="MS UI Gothic" w:eastAsia="MS UI Gothic"/>
        </w:rPr>
        <w:t xml:space="preserve">、 </w:t>
      </w:r>
      <w:r>
        <w:t>主提升机</w:t>
      </w:r>
      <w:r>
        <w:rPr>
          <w:rFonts w:hint="eastAsia" w:ascii="MS UI Gothic" w:eastAsia="MS UI Gothic"/>
        </w:rPr>
        <w:t xml:space="preserve">、 </w:t>
      </w:r>
      <w:r>
        <w:t>空压机</w:t>
      </w:r>
      <w:r>
        <w:rPr>
          <w:rFonts w:hint="eastAsia" w:ascii="MS UI Gothic" w:eastAsia="MS UI Gothic"/>
        </w:rPr>
        <w:t xml:space="preserve">、 </w:t>
      </w:r>
      <w:r>
        <w:t>主排水泵的检测检验合格报告</w:t>
      </w:r>
      <w:r>
        <w:rPr>
          <w:rFonts w:hint="eastAsia" w:ascii="MS UI Gothic" w:eastAsia="MS UI Gothic"/>
          <w:w w:val="90"/>
        </w:rPr>
        <w:t>ꎮ</w:t>
      </w:r>
    </w:p>
    <w:p>
      <w:pPr>
        <w:pStyle w:val="6"/>
        <w:spacing w:line="295" w:lineRule="auto"/>
        <w:ind w:left="383" w:right="126"/>
        <w:rPr>
          <w:rFonts w:hint="eastAsia" w:ascii="MS UI Gothic" w:eastAsia="MS UI Gothic"/>
        </w:rPr>
      </w:pPr>
      <w:r>
        <w:rPr>
          <w:w w:val="105"/>
        </w:rPr>
        <w:t>第十二条 安全生产许可证颁发管理机关对申请人提交的申请书及文件</w:t>
      </w:r>
      <w:r>
        <w:rPr>
          <w:rFonts w:hint="eastAsia" w:ascii="MS UI Gothic" w:eastAsia="MS UI Gothic"/>
          <w:w w:val="80"/>
        </w:rPr>
        <w:t xml:space="preserve">、 </w:t>
      </w:r>
      <w:r>
        <w:rPr>
          <w:w w:val="105"/>
        </w:rPr>
        <w:t>资料</w:t>
      </w:r>
      <w:r>
        <w:rPr>
          <w:rFonts w:hint="eastAsia" w:ascii="MS UI Gothic" w:eastAsia="MS UI Gothic"/>
          <w:w w:val="80"/>
        </w:rPr>
        <w:t xml:space="preserve">ꎬ </w:t>
      </w:r>
      <w:r>
        <w:rPr>
          <w:w w:val="105"/>
        </w:rPr>
        <w:t>应当按照下列规定处理</w:t>
      </w:r>
      <w:r>
        <w:rPr>
          <w:rFonts w:hint="eastAsia" w:ascii="MS UI Gothic" w:eastAsia="MS UI Gothic"/>
          <w:w w:val="235"/>
        </w:rPr>
        <w:t>:</w:t>
      </w:r>
    </w:p>
    <w:p>
      <w:pPr>
        <w:pStyle w:val="6"/>
        <w:spacing w:line="254" w:lineRule="exact"/>
        <w:ind w:left="802" w:firstLine="0"/>
      </w:pPr>
      <w:r>
        <w:rPr>
          <w:rFonts w:hint="eastAsia" w:ascii="MS UI Gothic" w:eastAsia="MS UI Gothic"/>
          <w:w w:val="110"/>
        </w:rPr>
        <w:t xml:space="preserve">( </w:t>
      </w:r>
      <w:r>
        <w:rPr>
          <w:w w:val="110"/>
        </w:rPr>
        <w:t>一</w:t>
      </w:r>
      <w:r>
        <w:rPr>
          <w:rFonts w:hint="eastAsia" w:ascii="MS UI Gothic" w:eastAsia="MS UI Gothic"/>
          <w:w w:val="110"/>
        </w:rPr>
        <w:t xml:space="preserve">) </w:t>
      </w:r>
      <w:r>
        <w:rPr>
          <w:w w:val="110"/>
        </w:rPr>
        <w:t>申请事项不属于本机关职权范</w:t>
      </w:r>
    </w:p>
    <w:p>
      <w:pPr>
        <w:spacing w:after="0" w:line="254" w:lineRule="exact"/>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２３４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33" o:spid="_x0000_s1733" o:spt="203" style="height:2.15pt;width:398.25pt;" coordsize="7965,43">
            <o:lock v:ext="edit"/>
            <v:line id="_x0000_s1734" o:spid="_x0000_s1734" o:spt="20" style="position:absolute;left:0;top:39;height:0;width:7965;" stroked="t" coordsize="21600,21600">
              <v:path arrowok="t"/>
              <v:fill focussize="0,0"/>
              <v:stroke weight="0.388031496062992pt" color="#231F20"/>
              <v:imagedata o:title=""/>
              <o:lock v:ext="edit"/>
            </v:line>
            <v:line id="_x0000_s1735" o:spid="_x0000_s173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围的</w:t>
      </w:r>
      <w:r>
        <w:rPr>
          <w:rFonts w:hint="eastAsia" w:ascii="MS UI Gothic" w:eastAsia="MS UI Gothic"/>
          <w:w w:val="80"/>
        </w:rPr>
        <w:t xml:space="preserve">ꎬ </w:t>
      </w:r>
      <w:r>
        <w:t>即时作出不予受理的决定</w:t>
      </w:r>
      <w:r>
        <w:rPr>
          <w:rFonts w:hint="eastAsia" w:ascii="MS UI Gothic" w:eastAsia="MS UI Gothic"/>
          <w:w w:val="80"/>
        </w:rPr>
        <w:t xml:space="preserve">ꎬ </w:t>
      </w:r>
      <w:r>
        <w:t>并告知申请人向有关行政机关申请</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申请材料存在可以当场更正的</w:t>
      </w:r>
      <w:r>
        <w:rPr>
          <w:spacing w:val="3"/>
        </w:rPr>
        <w:t>错误的</w:t>
      </w:r>
      <w:r>
        <w:rPr>
          <w:rFonts w:hint="eastAsia" w:ascii="MS UI Gothic" w:eastAsia="MS UI Gothic"/>
          <w:spacing w:val="18"/>
          <w:w w:val="80"/>
        </w:rPr>
        <w:t xml:space="preserve">ꎬ </w:t>
      </w:r>
      <w:r>
        <w:rPr>
          <w:spacing w:val="9"/>
        </w:rPr>
        <w:t>允许或者要求申请人当场更正</w:t>
      </w:r>
      <w:r>
        <w:rPr>
          <w:rFonts w:hint="eastAsia" w:ascii="MS UI Gothic" w:eastAsia="MS UI Gothic"/>
          <w:w w:val="80"/>
        </w:rPr>
        <w:t>ꎬ</w:t>
      </w:r>
      <w:r>
        <w:rPr>
          <w:spacing w:val="3"/>
        </w:rPr>
        <w:t>并即时出具受理的书面凭证</w:t>
      </w:r>
      <w:r>
        <w:rPr>
          <w:rFonts w:hint="eastAsia" w:ascii="MS UI Gothic" w:eastAsia="MS UI Gothic"/>
          <w:spacing w:val="21"/>
          <w:w w:val="80"/>
        </w:rPr>
        <w:t xml:space="preserve">ꎬ </w:t>
      </w:r>
      <w:r>
        <w:rPr>
          <w:spacing w:val="2"/>
        </w:rPr>
        <w:t>通过互联网</w:t>
      </w:r>
      <w:r>
        <w:rPr>
          <w:spacing w:val="5"/>
        </w:rPr>
        <w:t>申请的</w:t>
      </w:r>
      <w:r>
        <w:rPr>
          <w:rFonts w:hint="eastAsia" w:ascii="MS UI Gothic" w:eastAsia="MS UI Gothic"/>
          <w:w w:val="80"/>
        </w:rPr>
        <w:t xml:space="preserve">ꎬ </w:t>
      </w:r>
      <w:r>
        <w:rPr>
          <w:spacing w:val="17"/>
        </w:rPr>
        <w:t>符合要求后即时提供电子受理</w:t>
      </w:r>
      <w:r>
        <w:rPr>
          <w:spacing w:val="3"/>
          <w:w w:val="105"/>
        </w:rPr>
        <w:t>回执</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申请材料不齐全或者不符合要</w:t>
      </w:r>
      <w:r>
        <w:rPr>
          <w:spacing w:val="4"/>
          <w:w w:val="105"/>
        </w:rPr>
        <w:t>求的</w:t>
      </w:r>
      <w:r>
        <w:rPr>
          <w:rFonts w:hint="eastAsia" w:ascii="MS UI Gothic" w:eastAsia="MS UI Gothic"/>
          <w:spacing w:val="-2"/>
          <w:w w:val="80"/>
        </w:rPr>
        <w:t xml:space="preserve">ꎬ </w:t>
      </w:r>
      <w:r>
        <w:rPr>
          <w:spacing w:val="-9"/>
          <w:w w:val="105"/>
        </w:rPr>
        <w:t xml:space="preserve">应当当场或者在 </w:t>
      </w:r>
      <w:r>
        <w:rPr>
          <w:rFonts w:hint="eastAsia" w:ascii="MS UI Gothic" w:eastAsia="MS UI Gothic"/>
          <w:spacing w:val="-12"/>
          <w:w w:val="80"/>
        </w:rPr>
        <w:t xml:space="preserve">５ </w:t>
      </w:r>
      <w:r>
        <w:rPr>
          <w:spacing w:val="2"/>
          <w:w w:val="105"/>
        </w:rPr>
        <w:t>个工作日内一次</w:t>
      </w:r>
      <w:r>
        <w:rPr>
          <w:spacing w:val="3"/>
        </w:rPr>
        <w:t>告知申请人需要补正的全部内容</w:t>
      </w:r>
      <w:r>
        <w:rPr>
          <w:rFonts w:hint="eastAsia" w:ascii="MS UI Gothic" w:eastAsia="MS UI Gothic"/>
          <w:spacing w:val="21"/>
          <w:w w:val="80"/>
        </w:rPr>
        <w:t xml:space="preserve">ꎬ </w:t>
      </w:r>
      <w:r>
        <w:rPr>
          <w:spacing w:val="1"/>
        </w:rPr>
        <w:t>逾期不</w:t>
      </w:r>
      <w:r>
        <w:rPr>
          <w:spacing w:val="18"/>
        </w:rPr>
        <w:t>告知的</w:t>
      </w:r>
      <w:r>
        <w:rPr>
          <w:rFonts w:hint="eastAsia" w:ascii="MS UI Gothic" w:eastAsia="MS UI Gothic"/>
          <w:spacing w:val="2"/>
          <w:w w:val="80"/>
        </w:rPr>
        <w:t xml:space="preserve">ꎬ </w:t>
      </w:r>
      <w:r>
        <w:rPr>
          <w:spacing w:val="31"/>
        </w:rPr>
        <w:t>自收到申请材料之日起即为</w:t>
      </w:r>
      <w:r>
        <w:rPr>
          <w:spacing w:val="3"/>
          <w:w w:val="105"/>
        </w:rPr>
        <w:t>受理</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申请材料齐全</w:t>
      </w:r>
      <w:r>
        <w:rPr>
          <w:rFonts w:hint="eastAsia" w:ascii="MS UI Gothic" w:eastAsia="MS UI Gothic"/>
          <w:w w:val="80"/>
        </w:rPr>
        <w:t xml:space="preserve">、  </w:t>
      </w:r>
      <w:r>
        <w:rPr>
          <w:w w:val="105"/>
        </w:rPr>
        <w:t>符合要求或者</w:t>
      </w:r>
      <w:r>
        <w:t>按照要求全部补正的</w:t>
      </w:r>
      <w:r>
        <w:rPr>
          <w:rFonts w:hint="eastAsia" w:ascii="MS UI Gothic" w:eastAsia="MS UI Gothic"/>
          <w:w w:val="80"/>
        </w:rPr>
        <w:t xml:space="preserve">ꎬ </w:t>
      </w:r>
      <w:r>
        <w:t>自收到申请材料或</w:t>
      </w:r>
      <w:r>
        <w:rPr>
          <w:w w:val="105"/>
        </w:rPr>
        <w:t>者全部补正材料之日起为受理</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第十三条 煤矿企业应当对其向安全生产许可证颁发管理机关提交的文件</w:t>
      </w:r>
      <w:r>
        <w:rPr>
          <w:rFonts w:hint="eastAsia" w:ascii="MS UI Gothic" w:eastAsia="MS UI Gothic"/>
          <w:w w:val="80"/>
        </w:rPr>
        <w:t xml:space="preserve">、 </w:t>
      </w:r>
      <w:r>
        <w:rPr>
          <w:w w:val="105"/>
        </w:rPr>
        <w:t>资料和图纸的真实性负责</w:t>
      </w:r>
      <w:r>
        <w:rPr>
          <w:rFonts w:hint="eastAsia" w:ascii="MS UI Gothic" w:eastAsia="MS UI Gothic"/>
          <w:w w:val="80"/>
        </w:rPr>
        <w:t>ꎮ</w:t>
      </w:r>
    </w:p>
    <w:p>
      <w:pPr>
        <w:pStyle w:val="6"/>
        <w:spacing w:line="295" w:lineRule="auto"/>
        <w:ind w:right="39"/>
        <w:rPr>
          <w:rFonts w:hint="eastAsia" w:ascii="MS UI Gothic" w:eastAsia="MS UI Gothic"/>
        </w:rPr>
      </w:pPr>
      <w:r>
        <w:t>从事安全评价</w:t>
      </w:r>
      <w:r>
        <w:rPr>
          <w:rFonts w:hint="eastAsia" w:ascii="MS UI Gothic" w:eastAsia="MS UI Gothic"/>
          <w:w w:val="80"/>
        </w:rPr>
        <w:t xml:space="preserve">、 </w:t>
      </w:r>
      <w:r>
        <w:t>检测检验的机构应当对其出具的安全评价报告</w:t>
      </w:r>
      <w:r>
        <w:rPr>
          <w:rFonts w:hint="eastAsia" w:ascii="MS UI Gothic" w:eastAsia="MS UI Gothic"/>
          <w:w w:val="80"/>
        </w:rPr>
        <w:t xml:space="preserve">、 </w:t>
      </w:r>
      <w:r>
        <w:t>检测检验结果负责</w:t>
      </w:r>
      <w:r>
        <w:rPr>
          <w:rFonts w:hint="eastAsia" w:ascii="MS UI Gothic" w:eastAsia="MS UI Gothic"/>
          <w:w w:val="80"/>
        </w:rPr>
        <w:t>ꎮ</w:t>
      </w:r>
    </w:p>
    <w:p>
      <w:pPr>
        <w:pStyle w:val="6"/>
        <w:spacing w:line="295" w:lineRule="auto"/>
        <w:ind w:right="38"/>
        <w:rPr>
          <w:rFonts w:hint="eastAsia" w:ascii="MS UI Gothic" w:eastAsia="MS UI Gothic"/>
        </w:rPr>
      </w:pPr>
      <w:r>
        <w:t>第十四条 对已经受理的申请</w:t>
      </w:r>
      <w:r>
        <w:rPr>
          <w:rFonts w:hint="eastAsia" w:ascii="MS UI Gothic" w:eastAsia="MS UI Gothic"/>
          <w:w w:val="80"/>
        </w:rPr>
        <w:t xml:space="preserve">ꎬ </w:t>
      </w:r>
      <w:r>
        <w:t>安全生产许可证颁发管理机关应当指派有关人员对申请材料进行审查</w:t>
      </w:r>
      <w:r>
        <w:rPr>
          <w:rFonts w:hint="eastAsia" w:ascii="MS UI Gothic" w:eastAsia="MS UI Gothic"/>
          <w:w w:val="80"/>
        </w:rPr>
        <w:t xml:space="preserve">ꎻ </w:t>
      </w:r>
      <w:r>
        <w:t>对申请材料实质内容存在疑问</w:t>
      </w:r>
      <w:r>
        <w:rPr>
          <w:rFonts w:hint="eastAsia" w:ascii="MS UI Gothic" w:eastAsia="MS UI Gothic"/>
          <w:w w:val="80"/>
        </w:rPr>
        <w:t xml:space="preserve">ꎬ </w:t>
      </w:r>
      <w:r>
        <w:t>认为需要到现场核查的</w:t>
      </w:r>
      <w:r>
        <w:rPr>
          <w:rFonts w:hint="eastAsia" w:ascii="MS UI Gothic" w:eastAsia="MS UI Gothic"/>
          <w:w w:val="80"/>
        </w:rPr>
        <w:t>ꎬ</w:t>
      </w:r>
      <w:r>
        <w:t>应当到现场进行核查</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第十五条 负责审查的有关人员提出审查意见</w:t>
      </w:r>
      <w:r>
        <w:rPr>
          <w:rFonts w:hint="eastAsia" w:ascii="MS UI Gothic" w:eastAsia="MS UI Gothic"/>
          <w:w w:val="80"/>
        </w:rPr>
        <w:t>ꎮ</w:t>
      </w:r>
    </w:p>
    <w:p>
      <w:pPr>
        <w:pStyle w:val="6"/>
        <w:spacing w:line="295" w:lineRule="auto"/>
        <w:ind w:right="39"/>
        <w:rPr>
          <w:rFonts w:hint="eastAsia" w:ascii="MS UI Gothic" w:eastAsia="MS UI Gothic"/>
        </w:rPr>
      </w:pPr>
      <w:r>
        <w:t>安全生产许可证颁发管理机关应当对有关人员提出的审查意见进行讨论</w:t>
      </w:r>
      <w:r>
        <w:rPr>
          <w:rFonts w:hint="eastAsia" w:ascii="MS UI Gothic" w:eastAsia="MS UI Gothic"/>
          <w:w w:val="85"/>
        </w:rPr>
        <w:t xml:space="preserve">ꎬ </w:t>
      </w:r>
      <w:r>
        <w:t xml:space="preserve">并在受理申请之日起 </w:t>
      </w:r>
      <w:r>
        <w:rPr>
          <w:rFonts w:hint="eastAsia" w:ascii="MS UI Gothic" w:eastAsia="MS UI Gothic"/>
          <w:w w:val="85"/>
        </w:rPr>
        <w:t xml:space="preserve">４５ </w:t>
      </w:r>
      <w:r>
        <w:t>个工作日内作出颁发或者不予颁发安全生产许可证的决定</w:t>
      </w:r>
      <w:r>
        <w:rPr>
          <w:rFonts w:hint="eastAsia" w:ascii="MS UI Gothic" w:eastAsia="MS UI Gothic"/>
          <w:w w:val="85"/>
        </w:rPr>
        <w:t>ꎮ</w:t>
      </w:r>
    </w:p>
    <w:p>
      <w:pPr>
        <w:pStyle w:val="6"/>
        <w:spacing w:line="295" w:lineRule="auto"/>
        <w:ind w:right="39"/>
        <w:rPr>
          <w:rFonts w:hint="eastAsia" w:ascii="MS UI Gothic" w:eastAsia="MS UI Gothic"/>
        </w:rPr>
      </w:pPr>
      <w:r>
        <w:t>对决定颁发的</w:t>
      </w:r>
      <w:r>
        <w:rPr>
          <w:rFonts w:hint="eastAsia" w:ascii="MS UI Gothic" w:eastAsia="MS UI Gothic"/>
          <w:w w:val="85"/>
        </w:rPr>
        <w:t xml:space="preserve">ꎬ </w:t>
      </w:r>
      <w:r>
        <w:t xml:space="preserve">安全生产许可证颁发管理机关应当自决定之日起 </w:t>
      </w:r>
      <w:r>
        <w:rPr>
          <w:rFonts w:hint="eastAsia" w:ascii="MS UI Gothic" w:eastAsia="MS UI Gothic"/>
          <w:w w:val="85"/>
        </w:rPr>
        <w:t xml:space="preserve">１０ </w:t>
      </w:r>
      <w:r>
        <w:t>个工作日内送达或者通知申请人领取安全生产许可证</w:t>
      </w:r>
      <w:r>
        <w:rPr>
          <w:rFonts w:hint="eastAsia" w:ascii="MS UI Gothic" w:eastAsia="MS UI Gothic"/>
          <w:w w:val="85"/>
        </w:rPr>
        <w:t xml:space="preserve">ꎻ </w:t>
      </w:r>
      <w:r>
        <w:t>对不予颁发的</w:t>
      </w:r>
      <w:r>
        <w:rPr>
          <w:rFonts w:hint="eastAsia" w:ascii="MS UI Gothic" w:eastAsia="MS UI Gothic"/>
          <w:w w:val="85"/>
        </w:rPr>
        <w:t xml:space="preserve">ꎬ </w:t>
      </w:r>
      <w:r>
        <w:t xml:space="preserve">应当在 </w:t>
      </w:r>
      <w:r>
        <w:rPr>
          <w:rFonts w:hint="eastAsia" w:ascii="MS UI Gothic" w:eastAsia="MS UI Gothic"/>
          <w:w w:val="85"/>
        </w:rPr>
        <w:t xml:space="preserve">１０ </w:t>
      </w:r>
      <w:r>
        <w:t>个工作日内书面通知申请人并说明理由</w:t>
      </w:r>
      <w:r>
        <w:rPr>
          <w:rFonts w:hint="eastAsia" w:ascii="MS UI Gothic" w:eastAsia="MS UI Gothic"/>
          <w:w w:val="85"/>
        </w:rPr>
        <w:t>ꎮ</w:t>
      </w:r>
    </w:p>
    <w:p>
      <w:pPr>
        <w:pStyle w:val="6"/>
        <w:spacing w:line="295" w:lineRule="auto"/>
        <w:ind w:right="39"/>
      </w:pPr>
      <w:r>
        <w:rPr>
          <w:w w:val="105"/>
        </w:rPr>
        <w:t>第十六条 经审查符合本实施办法规</w:t>
      </w:r>
      <w:r>
        <w:t>定的</w:t>
      </w:r>
      <w:r>
        <w:rPr>
          <w:rFonts w:hint="eastAsia" w:ascii="MS UI Gothic" w:eastAsia="MS UI Gothic"/>
          <w:w w:val="80"/>
        </w:rPr>
        <w:t xml:space="preserve">ꎬ </w:t>
      </w:r>
      <w:r>
        <w:t>安全生产许可证颁发管理机关应当</w:t>
      </w:r>
    </w:p>
    <w:p>
      <w:pPr>
        <w:pStyle w:val="6"/>
        <w:spacing w:before="123" w:line="295" w:lineRule="auto"/>
        <w:ind w:right="442" w:firstLine="0"/>
        <w:jc w:val="left"/>
        <w:rPr>
          <w:rFonts w:hint="eastAsia" w:ascii="MS UI Gothic" w:eastAsia="MS UI Gothic"/>
        </w:rPr>
      </w:pPr>
      <w:r>
        <w:br w:type="column"/>
      </w:r>
      <w:r>
        <w:t>分别向煤矿企业及其所属煤矿颁发安全生</w:t>
      </w:r>
      <w:r>
        <w:rPr>
          <w:w w:val="105"/>
        </w:rPr>
        <w:t>产许可证</w:t>
      </w:r>
      <w:r>
        <w:rPr>
          <w:rFonts w:hint="eastAsia" w:ascii="MS UI Gothic" w:eastAsia="MS UI Gothic"/>
          <w:w w:val="80"/>
        </w:rPr>
        <w:t>ꎮ</w:t>
      </w:r>
    </w:p>
    <w:p>
      <w:pPr>
        <w:pStyle w:val="6"/>
        <w:spacing w:line="295" w:lineRule="auto"/>
        <w:ind w:right="442"/>
        <w:rPr>
          <w:rFonts w:hint="eastAsia" w:ascii="MS UI Gothic" w:eastAsia="MS UI Gothic"/>
        </w:rPr>
      </w:pPr>
      <w:r>
        <w:t xml:space="preserve">第十七条 安全生产许可证的有效期为 </w:t>
      </w:r>
      <w:r>
        <w:rPr>
          <w:rFonts w:hint="eastAsia" w:ascii="MS UI Gothic" w:eastAsia="MS UI Gothic"/>
          <w:w w:val="80"/>
        </w:rPr>
        <w:t xml:space="preserve">３ </w:t>
      </w:r>
      <w:r>
        <w:t>年</w:t>
      </w:r>
      <w:r>
        <w:rPr>
          <w:rFonts w:hint="eastAsia" w:ascii="MS UI Gothic" w:eastAsia="MS UI Gothic"/>
          <w:w w:val="80"/>
        </w:rPr>
        <w:t xml:space="preserve">ꎮ </w:t>
      </w:r>
      <w:r>
        <w:t>安全生产许可证有效期满需要延期的</w:t>
      </w:r>
      <w:r>
        <w:rPr>
          <w:rFonts w:hint="eastAsia" w:ascii="MS UI Gothic" w:eastAsia="MS UI Gothic"/>
          <w:w w:val="80"/>
        </w:rPr>
        <w:t xml:space="preserve">ꎬ </w:t>
      </w:r>
      <w:r>
        <w:t xml:space="preserve">煤矿企业应当于期满前 </w:t>
      </w:r>
      <w:r>
        <w:rPr>
          <w:rFonts w:hint="eastAsia" w:ascii="MS UI Gothic" w:eastAsia="MS UI Gothic"/>
          <w:w w:val="80"/>
        </w:rPr>
        <w:t xml:space="preserve">３ </w:t>
      </w:r>
      <w:r>
        <w:t>个月按照本实施办法第十条的规定</w:t>
      </w:r>
      <w:r>
        <w:rPr>
          <w:rFonts w:hint="eastAsia" w:ascii="MS UI Gothic" w:eastAsia="MS UI Gothic"/>
          <w:w w:val="80"/>
        </w:rPr>
        <w:t xml:space="preserve">ꎬ </w:t>
      </w:r>
      <w:r>
        <w:t>向原安全生产许可证颁发管理机关提出延期申请</w:t>
      </w:r>
      <w:r>
        <w:rPr>
          <w:rFonts w:hint="eastAsia" w:ascii="MS UI Gothic" w:eastAsia="MS UI Gothic"/>
          <w:w w:val="80"/>
        </w:rPr>
        <w:t xml:space="preserve">ꎬ </w:t>
      </w:r>
      <w:r>
        <w:t>并提交本实施办法第十一条规定的文件</w:t>
      </w:r>
      <w:r>
        <w:rPr>
          <w:rFonts w:hint="eastAsia" w:ascii="MS UI Gothic" w:eastAsia="MS UI Gothic"/>
          <w:w w:val="80"/>
        </w:rPr>
        <w:t xml:space="preserve">、 </w:t>
      </w:r>
      <w:r>
        <w:t>资料和安全生产许可证正本</w:t>
      </w:r>
      <w:r>
        <w:rPr>
          <w:rFonts w:hint="eastAsia" w:ascii="MS UI Gothic" w:eastAsia="MS UI Gothic"/>
          <w:w w:val="80"/>
        </w:rPr>
        <w:t xml:space="preserve">、 </w:t>
      </w:r>
      <w:r>
        <w:t>副本</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第十八条 对已经受理的延期申请</w:t>
      </w:r>
      <w:r>
        <w:rPr>
          <w:rFonts w:hint="eastAsia" w:ascii="MS UI Gothic" w:eastAsia="MS UI Gothic"/>
          <w:w w:val="80"/>
        </w:rPr>
        <w:t>ꎬ</w:t>
      </w:r>
      <w:r>
        <w:t>安全生产许可证颁发管理机关应当按照本实施办法的规定办理安全生产许可证延期</w:t>
      </w:r>
      <w:r>
        <w:rPr>
          <w:w w:val="105"/>
        </w:rPr>
        <w:t>手续</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第十九条 煤矿企业在安全生产许可</w:t>
      </w:r>
      <w:r>
        <w:t>证有效期内符合下列条件</w:t>
      </w:r>
      <w:r>
        <w:rPr>
          <w:rFonts w:hint="eastAsia" w:ascii="MS UI Gothic" w:eastAsia="MS UI Gothic"/>
          <w:w w:val="80"/>
        </w:rPr>
        <w:t xml:space="preserve">ꎬ </w:t>
      </w:r>
      <w:r>
        <w:t>在安全生产许可证有效期届满时</w:t>
      </w:r>
      <w:r>
        <w:rPr>
          <w:rFonts w:hint="eastAsia" w:ascii="MS UI Gothic" w:eastAsia="MS UI Gothic"/>
          <w:w w:val="80"/>
        </w:rPr>
        <w:t xml:space="preserve">ꎬ </w:t>
      </w:r>
      <w:r>
        <w:t>经原安全生产许可证颁发管理机关同意</w:t>
      </w:r>
      <w:r>
        <w:rPr>
          <w:rFonts w:hint="eastAsia" w:ascii="MS UI Gothic" w:eastAsia="MS UI Gothic"/>
          <w:w w:val="80"/>
        </w:rPr>
        <w:t xml:space="preserve">ꎬ </w:t>
      </w:r>
      <w:r>
        <w:t>不再审查</w:t>
      </w:r>
      <w:r>
        <w:rPr>
          <w:rFonts w:hint="eastAsia" w:ascii="MS UI Gothic" w:eastAsia="MS UI Gothic"/>
          <w:w w:val="80"/>
        </w:rPr>
        <w:t xml:space="preserve">ꎬ </w:t>
      </w:r>
      <w:r>
        <w:t>直接办理</w:t>
      </w:r>
      <w:r>
        <w:rPr>
          <w:w w:val="105"/>
        </w:rPr>
        <w:t>延期手续</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严格遵守有关安全生产的法律</w:t>
      </w:r>
      <w:r>
        <w:rPr>
          <w:w w:val="110"/>
        </w:rPr>
        <w:t>法规和本实施办法</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接受安全生产许可证颁发管理机关及煤矿安全监察机构的监督检查</w:t>
      </w:r>
      <w:r>
        <w:rPr>
          <w:rFonts w:hint="eastAsia" w:ascii="MS UI Gothic" w:eastAsia="MS UI Gothic"/>
          <w:w w:val="80"/>
        </w:rPr>
        <w:t>ꎻ</w:t>
      </w:r>
    </w:p>
    <w:p>
      <w:pPr>
        <w:pStyle w:val="6"/>
        <w:spacing w:line="295" w:lineRule="auto"/>
        <w:ind w:right="442"/>
        <w:rPr>
          <w:rFonts w:hint="eastAsia" w:ascii="MS UI Gothic" w:hAnsi="MS UI Gothic" w:eastAsia="MS UI Gothic"/>
        </w:rPr>
      </w:pPr>
      <w:r>
        <w:rPr>
          <w:rFonts w:hint="eastAsia" w:ascii="MS UI Gothic" w:hAnsi="MS UI Gothic" w:eastAsia="MS UI Gothic"/>
          <w:w w:val="150"/>
        </w:rPr>
        <w:t xml:space="preserve">( </w:t>
      </w:r>
      <w:r>
        <w:rPr>
          <w:w w:val="105"/>
        </w:rPr>
        <w:t>三</w:t>
      </w:r>
      <w:r>
        <w:rPr>
          <w:rFonts w:hint="eastAsia" w:ascii="MS UI Gothic" w:hAnsi="MS UI Gothic" w:eastAsia="MS UI Gothic"/>
          <w:w w:val="150"/>
        </w:rPr>
        <w:t xml:space="preserve">) </w:t>
      </w:r>
      <w:r>
        <w:rPr>
          <w:w w:val="105"/>
        </w:rPr>
        <w:t xml:space="preserve">未因存在严重违法行为纳入安全生产不良记录 </w:t>
      </w:r>
      <w:r>
        <w:rPr>
          <w:rFonts w:hint="eastAsia" w:ascii="MS UI Gothic" w:hAnsi="MS UI Gothic" w:eastAsia="MS UI Gothic"/>
          <w:w w:val="105"/>
        </w:rPr>
        <w:t xml:space="preserve">“ </w:t>
      </w:r>
      <w:r>
        <w:rPr>
          <w:w w:val="105"/>
        </w:rPr>
        <w:t>黑名单</w:t>
      </w:r>
      <w:r>
        <w:rPr>
          <w:rFonts w:hint="eastAsia" w:ascii="MS UI Gothic" w:hAnsi="MS UI Gothic" w:eastAsia="MS UI Gothic"/>
          <w:w w:val="105"/>
        </w:rPr>
        <w:t xml:space="preserve">” </w:t>
      </w:r>
      <w:r>
        <w:rPr>
          <w:w w:val="105"/>
        </w:rPr>
        <w:t>管理</w:t>
      </w:r>
      <w:r>
        <w:rPr>
          <w:rFonts w:hint="eastAsia" w:ascii="MS UI Gothic" w:hAns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未发生生产安全死亡事故</w:t>
      </w:r>
      <w:r>
        <w:rPr>
          <w:rFonts w:hint="eastAsia" w:ascii="MS UI Gothic" w:eastAsia="MS UI Gothic"/>
          <w:w w:val="80"/>
        </w:rPr>
        <w:t>ꎻ</w:t>
      </w:r>
    </w:p>
    <w:p>
      <w:pPr>
        <w:pStyle w:val="6"/>
        <w:spacing w:before="41" w:line="295" w:lineRule="auto"/>
        <w:ind w:right="442"/>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煤矿安全质量标准化等级达到</w:t>
      </w:r>
      <w:r>
        <w:rPr>
          <w:w w:val="110"/>
        </w:rPr>
        <w:t>二级及以上</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第二十条 煤矿企业在安全生产许可</w:t>
      </w:r>
      <w:r>
        <w:t>证有效期内有下列情形之一的</w:t>
      </w:r>
      <w:r>
        <w:rPr>
          <w:rFonts w:hint="eastAsia" w:ascii="MS UI Gothic" w:eastAsia="MS UI Gothic"/>
          <w:w w:val="80"/>
        </w:rPr>
        <w:t xml:space="preserve">ꎬ </w:t>
      </w:r>
      <w:r>
        <w:t>应当向原安全生产许可证颁发管理机关申请变更安</w:t>
      </w:r>
      <w:r>
        <w:rPr>
          <w:w w:val="105"/>
        </w:rPr>
        <w:t>全生产许可证</w:t>
      </w:r>
      <w:r>
        <w:rPr>
          <w:rFonts w:hint="eastAsia" w:ascii="MS UI Gothic" w:eastAsia="MS UI Gothic"/>
          <w:w w:val="235"/>
        </w:rPr>
        <w:t>:</w:t>
      </w:r>
    </w:p>
    <w:p>
      <w:pPr>
        <w:pStyle w:val="6"/>
        <w:spacing w:line="295" w:lineRule="auto"/>
        <w:ind w:left="543" w:right="1450" w:firstLine="0"/>
        <w:jc w:val="left"/>
        <w:rPr>
          <w:rFonts w:hint="eastAsia" w:ascii="MS UI Gothic" w:eastAsia="MS UI Gothic"/>
        </w:rPr>
      </w:pPr>
      <w:r>
        <w:rPr>
          <w:rFonts w:hint="eastAsia" w:ascii="MS UI Gothic" w:eastAsia="MS UI Gothic"/>
          <w:spacing w:val="-23"/>
          <w:w w:val="105"/>
        </w:rPr>
        <w:t xml:space="preserve">( </w:t>
      </w:r>
      <w:r>
        <w:rPr>
          <w:spacing w:val="3"/>
          <w:w w:val="105"/>
        </w:rPr>
        <w:t>一</w:t>
      </w:r>
      <w:r>
        <w:rPr>
          <w:rFonts w:hint="eastAsia" w:ascii="MS UI Gothic" w:eastAsia="MS UI Gothic"/>
          <w:spacing w:val="24"/>
          <w:w w:val="105"/>
        </w:rPr>
        <w:t xml:space="preserve">) </w:t>
      </w:r>
      <w:r>
        <w:rPr>
          <w:spacing w:val="3"/>
          <w:w w:val="105"/>
        </w:rPr>
        <w:t>变更主要负责人的</w:t>
      </w:r>
      <w:r>
        <w:rPr>
          <w:rFonts w:hint="eastAsia" w:ascii="MS UI Gothic" w:eastAsia="MS UI Gothic"/>
          <w:w w:val="80"/>
        </w:rPr>
        <w:t>ꎻ</w:t>
      </w:r>
      <w:r>
        <w:rPr>
          <w:rFonts w:hint="eastAsia" w:ascii="MS UI Gothic" w:eastAsia="MS UI Gothic"/>
          <w:spacing w:val="-40"/>
          <w:w w:val="150"/>
        </w:rPr>
        <w:t xml:space="preserve">( </w:t>
      </w:r>
      <w:r>
        <w:rPr>
          <w:spacing w:val="3"/>
          <w:w w:val="110"/>
        </w:rPr>
        <w:t>二</w:t>
      </w:r>
      <w:r>
        <w:rPr>
          <w:rFonts w:hint="eastAsia" w:ascii="MS UI Gothic" w:eastAsia="MS UI Gothic"/>
          <w:spacing w:val="-8"/>
          <w:w w:val="150"/>
        </w:rPr>
        <w:t xml:space="preserve">) </w:t>
      </w:r>
      <w:r>
        <w:rPr>
          <w:spacing w:val="3"/>
          <w:w w:val="110"/>
        </w:rPr>
        <w:t>变更隶属关系的</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spacing w:val="-23"/>
          <w:w w:val="105"/>
        </w:rPr>
        <w:t xml:space="preserve">( </w:t>
      </w:r>
      <w:r>
        <w:rPr>
          <w:spacing w:val="3"/>
          <w:w w:val="105"/>
        </w:rPr>
        <w:t>三</w:t>
      </w:r>
      <w:r>
        <w:rPr>
          <w:rFonts w:hint="eastAsia" w:ascii="MS UI Gothic" w:eastAsia="MS UI Gothic"/>
          <w:spacing w:val="25"/>
          <w:w w:val="105"/>
        </w:rPr>
        <w:t xml:space="preserve">) </w:t>
      </w:r>
      <w:r>
        <w:rPr>
          <w:spacing w:val="3"/>
          <w:w w:val="105"/>
        </w:rPr>
        <w:t>变更经济类型的</w:t>
      </w:r>
      <w:r>
        <w:rPr>
          <w:rFonts w:hint="eastAsia" w:ascii="MS UI Gothic" w:eastAsia="MS UI Gothic"/>
          <w:w w:val="80"/>
        </w:rPr>
        <w:t>ꎻ</w:t>
      </w:r>
    </w:p>
    <w:p>
      <w:pPr>
        <w:pStyle w:val="6"/>
        <w:spacing w:before="53"/>
        <w:ind w:left="543"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变更煤矿企业名称的</w:t>
      </w:r>
      <w:r>
        <w:rPr>
          <w:rFonts w:hint="eastAsia" w:ascii="MS UI Gothic" w:eastAsia="MS UI Gothic"/>
          <w:w w:val="80"/>
        </w:rPr>
        <w:t>ꎻ</w:t>
      </w:r>
    </w:p>
    <w:p>
      <w:pPr>
        <w:pStyle w:val="6"/>
        <w:spacing w:before="58" w:line="295" w:lineRule="auto"/>
        <w:ind w:right="442"/>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煤矿改建</w:t>
      </w:r>
      <w:r>
        <w:rPr>
          <w:rFonts w:hint="eastAsia" w:ascii="MS UI Gothic" w:eastAsia="MS UI Gothic"/>
          <w:w w:val="80"/>
        </w:rPr>
        <w:t xml:space="preserve">、 </w:t>
      </w:r>
      <w:r>
        <w:rPr>
          <w:w w:val="105"/>
        </w:rPr>
        <w:t>扩建工程经验收合格的</w:t>
      </w:r>
      <w:r>
        <w:rPr>
          <w:rFonts w:hint="eastAsia" w:ascii="MS UI Gothic" w:eastAsia="MS UI Gothic"/>
          <w:w w:val="80"/>
        </w:rPr>
        <w:t>ꎮ</w:t>
      </w:r>
    </w:p>
    <w:p>
      <w:pPr>
        <w:pStyle w:val="6"/>
        <w:spacing w:line="295" w:lineRule="auto"/>
        <w:ind w:right="442"/>
        <w:jc w:val="left"/>
      </w:pPr>
      <w:r>
        <w:t>变更本条第一款第一</w:t>
      </w:r>
      <w:r>
        <w:rPr>
          <w:rFonts w:hint="eastAsia" w:ascii="MS UI Gothic" w:eastAsia="MS UI Gothic"/>
          <w:w w:val="85"/>
        </w:rPr>
        <w:t xml:space="preserve">、 </w:t>
      </w:r>
      <w:r>
        <w:t>二</w:t>
      </w:r>
      <w:r>
        <w:rPr>
          <w:rFonts w:hint="eastAsia" w:ascii="MS UI Gothic" w:eastAsia="MS UI Gothic"/>
          <w:w w:val="85"/>
        </w:rPr>
        <w:t xml:space="preserve">、 </w:t>
      </w:r>
      <w:r>
        <w:t>三</w:t>
      </w:r>
      <w:r>
        <w:rPr>
          <w:rFonts w:hint="eastAsia" w:ascii="MS UI Gothic" w:eastAsia="MS UI Gothic"/>
          <w:w w:val="85"/>
        </w:rPr>
        <w:t xml:space="preserve">、 </w:t>
      </w:r>
      <w:r>
        <w:t>四项的</w:t>
      </w:r>
      <w:r>
        <w:rPr>
          <w:rFonts w:hint="eastAsia" w:ascii="MS UI Gothic" w:eastAsia="MS UI Gothic"/>
          <w:w w:val="85"/>
        </w:rPr>
        <w:t xml:space="preserve">ꎬ </w:t>
      </w:r>
      <w:r>
        <w:t xml:space="preserve">自工商营业执照变更之日起 </w:t>
      </w:r>
      <w:r>
        <w:rPr>
          <w:rFonts w:hint="eastAsia" w:ascii="MS UI Gothic" w:eastAsia="MS UI Gothic"/>
          <w:w w:val="85"/>
        </w:rPr>
        <w:t xml:space="preserve">１０ </w:t>
      </w:r>
      <w:r>
        <w:t>个工</w:t>
      </w:r>
    </w:p>
    <w:p>
      <w:pPr>
        <w:spacing w:after="0" w:line="295" w:lineRule="auto"/>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２３５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36" o:spid="_x0000_s1736" o:spt="203" style="height:2.15pt;width:398.25pt;" coordsize="7965,43">
            <o:lock v:ext="edit"/>
            <v:line id="_x0000_s1737" o:spid="_x0000_s1737" o:spt="20" style="position:absolute;left:0;top:39;height:0;width:7965;" stroked="t" coordsize="21600,21600">
              <v:path arrowok="t"/>
              <v:fill focussize="0,0"/>
              <v:stroke weight="0.388031496062992pt" color="#231F20"/>
              <v:imagedata o:title=""/>
              <o:lock v:ext="edit"/>
            </v:line>
            <v:line id="_x0000_s1738" o:spid="_x0000_s173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35" w:firstLine="5"/>
        <w:rPr>
          <w:rFonts w:hint="eastAsia" w:ascii="MS UI Gothic" w:eastAsia="MS UI Gothic"/>
        </w:rPr>
      </w:pPr>
      <w:r>
        <w:t>作日内提出申请</w:t>
      </w:r>
      <w:r>
        <w:rPr>
          <w:rFonts w:hint="eastAsia" w:ascii="MS UI Gothic" w:eastAsia="MS UI Gothic"/>
          <w:w w:val="85"/>
        </w:rPr>
        <w:t xml:space="preserve">ꎻ </w:t>
      </w:r>
      <w:r>
        <w:t>变更本条第一款第五项的</w:t>
      </w:r>
      <w:r>
        <w:rPr>
          <w:rFonts w:hint="eastAsia" w:ascii="MS UI Gothic" w:eastAsia="MS UI Gothic"/>
          <w:w w:val="85"/>
        </w:rPr>
        <w:t xml:space="preserve">ꎬ </w:t>
      </w:r>
      <w:r>
        <w:t>应当在改建</w:t>
      </w:r>
      <w:r>
        <w:rPr>
          <w:rFonts w:hint="eastAsia" w:ascii="MS UI Gothic" w:eastAsia="MS UI Gothic"/>
          <w:w w:val="85"/>
        </w:rPr>
        <w:t xml:space="preserve">、 </w:t>
      </w:r>
      <w:r>
        <w:t>扩建工程验收合格后</w:t>
      </w:r>
      <w:r>
        <w:rPr>
          <w:rFonts w:hint="eastAsia" w:ascii="MS UI Gothic" w:eastAsia="MS UI Gothic"/>
          <w:w w:val="85"/>
        </w:rPr>
        <w:t xml:space="preserve">１０ </w:t>
      </w:r>
      <w:r>
        <w:t>个工作日内提出申请</w:t>
      </w:r>
      <w:r>
        <w:rPr>
          <w:rFonts w:hint="eastAsia" w:ascii="MS UI Gothic" w:eastAsia="MS UI Gothic"/>
          <w:w w:val="85"/>
        </w:rPr>
        <w:t>ꎮ</w:t>
      </w:r>
    </w:p>
    <w:p>
      <w:pPr>
        <w:pStyle w:val="6"/>
        <w:spacing w:line="295" w:lineRule="auto"/>
        <w:ind w:left="440"/>
        <w:rPr>
          <w:rFonts w:hint="eastAsia" w:ascii="MS UI Gothic" w:eastAsia="MS UI Gothic"/>
        </w:rPr>
      </w:pPr>
      <w:r>
        <w:rPr>
          <w:spacing w:val="3"/>
        </w:rPr>
        <w:t>申请变更本条第一款第一项的</w:t>
      </w:r>
      <w:r>
        <w:rPr>
          <w:rFonts w:hint="eastAsia" w:ascii="MS UI Gothic" w:eastAsia="MS UI Gothic"/>
          <w:spacing w:val="16"/>
          <w:w w:val="80"/>
        </w:rPr>
        <w:t xml:space="preserve">ꎬ </w:t>
      </w:r>
      <w:r>
        <w:rPr>
          <w:spacing w:val="1"/>
        </w:rPr>
        <w:t>应提</w:t>
      </w:r>
      <w:r>
        <w:rPr>
          <w:spacing w:val="2"/>
        </w:rPr>
        <w:t>供变更后的工商营业执照副本和主要负责</w:t>
      </w:r>
      <w:r>
        <w:rPr>
          <w:spacing w:val="-4"/>
          <w:w w:val="105"/>
        </w:rPr>
        <w:t xml:space="preserve">人任命文件 </w:t>
      </w:r>
      <w:r>
        <w:rPr>
          <w:rFonts w:hint="eastAsia" w:ascii="MS UI Gothic" w:eastAsia="MS UI Gothic"/>
          <w:spacing w:val="-38"/>
          <w:w w:val="150"/>
        </w:rPr>
        <w:t xml:space="preserve">( </w:t>
      </w:r>
      <w:r>
        <w:rPr>
          <w:spacing w:val="8"/>
          <w:w w:val="105"/>
        </w:rPr>
        <w:t>或者聘书</w:t>
      </w:r>
      <w:r>
        <w:rPr>
          <w:rFonts w:hint="eastAsia" w:ascii="MS UI Gothic" w:eastAsia="MS UI Gothic"/>
          <w:spacing w:val="-39"/>
          <w:w w:val="150"/>
        </w:rPr>
        <w:t xml:space="preserve">) </w:t>
      </w:r>
      <w:r>
        <w:rPr>
          <w:rFonts w:hint="eastAsia" w:ascii="MS UI Gothic" w:eastAsia="MS UI Gothic"/>
          <w:spacing w:val="11"/>
          <w:w w:val="80"/>
        </w:rPr>
        <w:t xml:space="preserve">ꎻ </w:t>
      </w:r>
      <w:r>
        <w:rPr>
          <w:spacing w:val="7"/>
          <w:w w:val="105"/>
        </w:rPr>
        <w:t>申请变更本条</w:t>
      </w:r>
      <w:r>
        <w:rPr>
          <w:spacing w:val="3"/>
          <w:w w:val="105"/>
        </w:rPr>
        <w:t>第一款第二</w:t>
      </w:r>
      <w:r>
        <w:rPr>
          <w:rFonts w:hint="eastAsia" w:ascii="MS UI Gothic" w:eastAsia="MS UI Gothic"/>
          <w:spacing w:val="8"/>
          <w:w w:val="80"/>
        </w:rPr>
        <w:t xml:space="preserve">、 </w:t>
      </w:r>
      <w:r>
        <w:rPr>
          <w:spacing w:val="3"/>
          <w:w w:val="105"/>
        </w:rPr>
        <w:t>三</w:t>
      </w:r>
      <w:r>
        <w:rPr>
          <w:rFonts w:hint="eastAsia" w:ascii="MS UI Gothic" w:eastAsia="MS UI Gothic"/>
          <w:spacing w:val="8"/>
          <w:w w:val="80"/>
        </w:rPr>
        <w:t xml:space="preserve">、 </w:t>
      </w:r>
      <w:r>
        <w:rPr>
          <w:spacing w:val="3"/>
          <w:w w:val="105"/>
        </w:rPr>
        <w:t>四项的</w:t>
      </w:r>
      <w:r>
        <w:rPr>
          <w:rFonts w:hint="eastAsia" w:ascii="MS UI Gothic" w:eastAsia="MS UI Gothic"/>
          <w:spacing w:val="8"/>
          <w:w w:val="80"/>
        </w:rPr>
        <w:t xml:space="preserve">ꎬ </w:t>
      </w:r>
      <w:r>
        <w:rPr>
          <w:spacing w:val="2"/>
          <w:w w:val="105"/>
        </w:rPr>
        <w:t>应提供变更后</w:t>
      </w:r>
      <w:r>
        <w:rPr>
          <w:spacing w:val="3"/>
        </w:rPr>
        <w:t>的工商营业执照副本</w:t>
      </w:r>
      <w:r>
        <w:rPr>
          <w:rFonts w:hint="eastAsia" w:ascii="MS UI Gothic" w:eastAsia="MS UI Gothic"/>
          <w:spacing w:val="21"/>
          <w:w w:val="80"/>
        </w:rPr>
        <w:t xml:space="preserve">ꎻ </w:t>
      </w:r>
      <w:r>
        <w:rPr>
          <w:spacing w:val="2"/>
        </w:rPr>
        <w:t>申请变更本条第一</w:t>
      </w:r>
      <w:r>
        <w:rPr>
          <w:spacing w:val="3"/>
          <w:w w:val="105"/>
        </w:rPr>
        <w:t>款第五项的</w:t>
      </w:r>
      <w:r>
        <w:rPr>
          <w:rFonts w:hint="eastAsia" w:ascii="MS UI Gothic" w:eastAsia="MS UI Gothic"/>
          <w:spacing w:val="-2"/>
          <w:w w:val="80"/>
        </w:rPr>
        <w:t xml:space="preserve">ꎬ </w:t>
      </w:r>
      <w:r>
        <w:rPr>
          <w:spacing w:val="3"/>
          <w:w w:val="105"/>
        </w:rPr>
        <w:t>应提供改建</w:t>
      </w:r>
      <w:r>
        <w:rPr>
          <w:rFonts w:hint="eastAsia" w:ascii="MS UI Gothic" w:eastAsia="MS UI Gothic"/>
          <w:spacing w:val="-2"/>
          <w:w w:val="80"/>
        </w:rPr>
        <w:t xml:space="preserve">、 </w:t>
      </w:r>
      <w:r>
        <w:rPr>
          <w:spacing w:val="2"/>
          <w:w w:val="105"/>
        </w:rPr>
        <w:t>扩建工程安全</w:t>
      </w:r>
      <w:r>
        <w:rPr>
          <w:spacing w:val="3"/>
          <w:w w:val="105"/>
        </w:rPr>
        <w:t>设施及条件竣工验收合格的证明材料</w:t>
      </w:r>
      <w:r>
        <w:rPr>
          <w:rFonts w:hint="eastAsia" w:ascii="MS UI Gothic" w:eastAsia="MS UI Gothic"/>
          <w:w w:val="80"/>
        </w:rPr>
        <w:t>ꎮ</w:t>
      </w:r>
    </w:p>
    <w:p>
      <w:pPr>
        <w:pStyle w:val="6"/>
        <w:spacing w:line="295" w:lineRule="auto"/>
        <w:ind w:left="440"/>
        <w:rPr>
          <w:rFonts w:hint="eastAsia" w:ascii="MS UI Gothic" w:eastAsia="MS UI Gothic"/>
        </w:rPr>
      </w:pPr>
      <w:r>
        <w:t>第二十一条 对于本实施办法第二十条第一款第一</w:t>
      </w:r>
      <w:r>
        <w:rPr>
          <w:rFonts w:hint="eastAsia" w:ascii="MS UI Gothic" w:eastAsia="MS UI Gothic"/>
          <w:w w:val="80"/>
        </w:rPr>
        <w:t xml:space="preserve">、 </w:t>
      </w:r>
      <w:r>
        <w:t>二</w:t>
      </w:r>
      <w:r>
        <w:rPr>
          <w:rFonts w:hint="eastAsia" w:ascii="MS UI Gothic" w:eastAsia="MS UI Gothic"/>
          <w:w w:val="80"/>
        </w:rPr>
        <w:t xml:space="preserve">、 </w:t>
      </w:r>
      <w:r>
        <w:t>三</w:t>
      </w:r>
      <w:r>
        <w:rPr>
          <w:rFonts w:hint="eastAsia" w:ascii="MS UI Gothic" w:eastAsia="MS UI Gothic"/>
          <w:w w:val="80"/>
        </w:rPr>
        <w:t xml:space="preserve">、 </w:t>
      </w:r>
      <w:r>
        <w:t>四项的变更申请</w:t>
      </w:r>
      <w:r>
        <w:rPr>
          <w:rFonts w:hint="eastAsia" w:ascii="MS UI Gothic" w:eastAsia="MS UI Gothic"/>
          <w:w w:val="80"/>
        </w:rPr>
        <w:t xml:space="preserve">ꎬ </w:t>
      </w:r>
      <w:r>
        <w:t>安全生产许可证颁发管理机关在对申请人提交的相关文件</w:t>
      </w:r>
      <w:r>
        <w:rPr>
          <w:rFonts w:hint="eastAsia" w:ascii="MS UI Gothic" w:eastAsia="MS UI Gothic"/>
          <w:w w:val="80"/>
        </w:rPr>
        <w:t xml:space="preserve">、 </w:t>
      </w:r>
      <w:r>
        <w:t>资料审核后</w:t>
      </w:r>
      <w:r>
        <w:rPr>
          <w:rFonts w:hint="eastAsia" w:ascii="MS UI Gothic" w:eastAsia="MS UI Gothic"/>
          <w:w w:val="80"/>
        </w:rPr>
        <w:t xml:space="preserve">ꎬ </w:t>
      </w:r>
      <w:r>
        <w:t>即可办理安全生产许可证变更</w:t>
      </w:r>
      <w:r>
        <w:rPr>
          <w:rFonts w:hint="eastAsia" w:ascii="MS UI Gothic" w:eastAsia="MS UI Gothic"/>
          <w:w w:val="80"/>
        </w:rPr>
        <w:t>ꎮ</w:t>
      </w:r>
    </w:p>
    <w:p>
      <w:pPr>
        <w:pStyle w:val="6"/>
        <w:spacing w:line="295" w:lineRule="auto"/>
        <w:ind w:left="440"/>
        <w:rPr>
          <w:rFonts w:hint="eastAsia" w:ascii="MS UI Gothic" w:eastAsia="MS UI Gothic"/>
        </w:rPr>
      </w:pPr>
      <w:r>
        <w:t>对于本实施办法第二十条第一款第五项的变更申请</w:t>
      </w:r>
      <w:r>
        <w:rPr>
          <w:rFonts w:hint="eastAsia" w:ascii="MS UI Gothic" w:eastAsia="MS UI Gothic"/>
          <w:w w:val="80"/>
        </w:rPr>
        <w:t xml:space="preserve">ꎬ </w:t>
      </w:r>
      <w:r>
        <w:t>安全生产许可证颁发管理</w:t>
      </w:r>
      <w:r>
        <w:rPr>
          <w:w w:val="105"/>
        </w:rPr>
        <w:t>机关应当按照本实施办法第十四条</w:t>
      </w:r>
      <w:r>
        <w:rPr>
          <w:rFonts w:hint="eastAsia" w:ascii="MS UI Gothic" w:eastAsia="MS UI Gothic"/>
          <w:w w:val="80"/>
        </w:rPr>
        <w:t xml:space="preserve">、 </w:t>
      </w:r>
      <w:r>
        <w:rPr>
          <w:w w:val="105"/>
        </w:rPr>
        <w:t>第十五条的规定办理安全生产许可证变更</w:t>
      </w:r>
      <w:r>
        <w:rPr>
          <w:rFonts w:hint="eastAsia" w:ascii="MS UI Gothic" w:eastAsia="MS UI Gothic"/>
          <w:w w:val="80"/>
        </w:rPr>
        <w:t>ꎮ</w:t>
      </w:r>
    </w:p>
    <w:p>
      <w:pPr>
        <w:pStyle w:val="6"/>
        <w:spacing w:line="295" w:lineRule="auto"/>
        <w:ind w:left="440"/>
        <w:rPr>
          <w:rFonts w:hint="eastAsia" w:ascii="MS UI Gothic" w:eastAsia="MS UI Gothic"/>
        </w:rPr>
      </w:pPr>
      <w:r>
        <w:t>第二十二条 经安全生产许可证颁发管理机关审查同意延期</w:t>
      </w:r>
      <w:r>
        <w:rPr>
          <w:rFonts w:hint="eastAsia" w:ascii="MS UI Gothic" w:eastAsia="MS UI Gothic"/>
          <w:w w:val="80"/>
        </w:rPr>
        <w:t xml:space="preserve">、 </w:t>
      </w:r>
      <w:r>
        <w:t>变更安全生产许可证的</w:t>
      </w:r>
      <w:r>
        <w:rPr>
          <w:rFonts w:hint="eastAsia" w:ascii="MS UI Gothic" w:eastAsia="MS UI Gothic"/>
          <w:w w:val="80"/>
        </w:rPr>
        <w:t xml:space="preserve">ꎬ </w:t>
      </w:r>
      <w:r>
        <w:t>安全生产许可证颁发管理机关应当收回原安全生产许可证正本</w:t>
      </w:r>
      <w:r>
        <w:rPr>
          <w:rFonts w:hint="eastAsia" w:ascii="MS UI Gothic" w:eastAsia="MS UI Gothic"/>
          <w:w w:val="80"/>
        </w:rPr>
        <w:t xml:space="preserve">ꎬ </w:t>
      </w:r>
      <w:r>
        <w:t>换发新的安全生产许可证正本</w:t>
      </w:r>
      <w:r>
        <w:rPr>
          <w:rFonts w:hint="eastAsia" w:ascii="MS UI Gothic" w:eastAsia="MS UI Gothic"/>
          <w:w w:val="80"/>
        </w:rPr>
        <w:t xml:space="preserve">ꎻ </w:t>
      </w:r>
      <w:r>
        <w:t>在安全生产许可证副本上注明延期</w:t>
      </w:r>
      <w:r>
        <w:rPr>
          <w:rFonts w:hint="eastAsia" w:ascii="MS UI Gothic" w:eastAsia="MS UI Gothic"/>
          <w:w w:val="80"/>
        </w:rPr>
        <w:t xml:space="preserve">、 </w:t>
      </w:r>
      <w:r>
        <w:t>变更内容</w:t>
      </w:r>
      <w:r>
        <w:rPr>
          <w:rFonts w:hint="eastAsia" w:ascii="MS UI Gothic" w:eastAsia="MS UI Gothic"/>
          <w:w w:val="80"/>
        </w:rPr>
        <w:t xml:space="preserve">ꎬ </w:t>
      </w:r>
      <w:r>
        <w:t>并加盖公章</w:t>
      </w:r>
      <w:r>
        <w:rPr>
          <w:rFonts w:hint="eastAsia" w:ascii="MS UI Gothic" w:eastAsia="MS UI Gothic"/>
          <w:w w:val="80"/>
        </w:rPr>
        <w:t>ꎮ</w:t>
      </w:r>
    </w:p>
    <w:p>
      <w:pPr>
        <w:pStyle w:val="6"/>
        <w:spacing w:line="295" w:lineRule="auto"/>
        <w:ind w:left="440"/>
        <w:rPr>
          <w:rFonts w:hint="eastAsia" w:ascii="MS UI Gothic" w:eastAsia="MS UI Gothic"/>
        </w:rPr>
      </w:pPr>
      <w:r>
        <w:t>第二十三条 煤矿企业停办</w:t>
      </w:r>
      <w:r>
        <w:rPr>
          <w:rFonts w:hint="eastAsia" w:ascii="MS UI Gothic" w:eastAsia="MS UI Gothic"/>
        </w:rPr>
        <w:t xml:space="preserve">、 </w:t>
      </w:r>
      <w:r>
        <w:t>关闭的</w:t>
      </w:r>
      <w:r>
        <w:rPr>
          <w:rFonts w:hint="eastAsia" w:ascii="MS UI Gothic" w:eastAsia="MS UI Gothic"/>
          <w:w w:val="85"/>
        </w:rPr>
        <w:t xml:space="preserve">ꎬ </w:t>
      </w:r>
      <w:r>
        <w:t>应当自停办</w:t>
      </w:r>
      <w:r>
        <w:rPr>
          <w:rFonts w:hint="eastAsia" w:ascii="MS UI Gothic" w:eastAsia="MS UI Gothic"/>
        </w:rPr>
        <w:t xml:space="preserve">、 </w:t>
      </w:r>
      <w:r>
        <w:t xml:space="preserve">关闭决定之日起 </w:t>
      </w:r>
      <w:r>
        <w:rPr>
          <w:rFonts w:hint="eastAsia" w:ascii="MS UI Gothic" w:eastAsia="MS UI Gothic"/>
          <w:w w:val="85"/>
        </w:rPr>
        <w:t xml:space="preserve">１０ </w:t>
      </w:r>
      <w:r>
        <w:t>个工作日内向原安全生产许可证颁发管理机关申请注销安全生产许可证</w:t>
      </w:r>
      <w:r>
        <w:rPr>
          <w:rFonts w:hint="eastAsia" w:ascii="MS UI Gothic" w:eastAsia="MS UI Gothic"/>
          <w:w w:val="85"/>
        </w:rPr>
        <w:t xml:space="preserve">ꎬ </w:t>
      </w:r>
      <w:r>
        <w:t>并提供煤矿开采现状报告</w:t>
      </w:r>
      <w:r>
        <w:rPr>
          <w:rFonts w:hint="eastAsia" w:ascii="MS UI Gothic" w:eastAsia="MS UI Gothic"/>
        </w:rPr>
        <w:t xml:space="preserve">、 </w:t>
      </w:r>
      <w:r>
        <w:t>实测图纸和遗留事故隐患的报告及防治措施</w:t>
      </w:r>
      <w:r>
        <w:rPr>
          <w:rFonts w:hint="eastAsia" w:ascii="MS UI Gothic" w:eastAsia="MS UI Gothic"/>
          <w:w w:val="85"/>
        </w:rPr>
        <w:t>ꎮ</w:t>
      </w:r>
    </w:p>
    <w:p>
      <w:pPr>
        <w:pStyle w:val="6"/>
        <w:spacing w:line="295" w:lineRule="auto"/>
        <w:ind w:left="440"/>
        <w:rPr>
          <w:rFonts w:hint="eastAsia" w:ascii="MS UI Gothic" w:eastAsia="MS UI Gothic"/>
        </w:rPr>
      </w:pPr>
      <w:r>
        <w:t>第二十四条 安全生产许可证分为正本和副本</w:t>
      </w:r>
      <w:r>
        <w:rPr>
          <w:rFonts w:hint="eastAsia" w:ascii="MS UI Gothic" w:eastAsia="MS UI Gothic"/>
          <w:w w:val="80"/>
        </w:rPr>
        <w:t xml:space="preserve">ꎬ </w:t>
      </w:r>
      <w:r>
        <w:t>具有同等法律效力</w:t>
      </w:r>
      <w:r>
        <w:rPr>
          <w:rFonts w:hint="eastAsia" w:ascii="MS UI Gothic" w:eastAsia="MS UI Gothic"/>
          <w:w w:val="80"/>
        </w:rPr>
        <w:t xml:space="preserve">ꎬ </w:t>
      </w:r>
      <w:r>
        <w:t>正本为悬挂式</w:t>
      </w:r>
      <w:r>
        <w:rPr>
          <w:rFonts w:hint="eastAsia" w:ascii="MS UI Gothic" w:eastAsia="MS UI Gothic"/>
          <w:w w:val="80"/>
        </w:rPr>
        <w:t xml:space="preserve">ꎬ </w:t>
      </w:r>
      <w:r>
        <w:t>副本为折页式</w:t>
      </w:r>
      <w:r>
        <w:rPr>
          <w:rFonts w:hint="eastAsia" w:ascii="MS UI Gothic" w:eastAsia="MS UI Gothic"/>
          <w:w w:val="80"/>
        </w:rPr>
        <w:t>ꎮ</w:t>
      </w:r>
    </w:p>
    <w:p>
      <w:pPr>
        <w:pStyle w:val="6"/>
        <w:spacing w:line="295" w:lineRule="auto"/>
        <w:ind w:left="440"/>
      </w:pPr>
      <w:r>
        <w:t>安全生产许可证颁发管理机关应当在安全生产许可证正本</w:t>
      </w:r>
      <w:r>
        <w:rPr>
          <w:rFonts w:hint="eastAsia" w:ascii="MS UI Gothic" w:eastAsia="MS UI Gothic"/>
        </w:rPr>
        <w:t xml:space="preserve">、 </w:t>
      </w:r>
      <w:r>
        <w:t>副本上载明煤矿企业名称</w:t>
      </w:r>
      <w:r>
        <w:rPr>
          <w:rFonts w:hint="eastAsia" w:ascii="MS UI Gothic" w:eastAsia="MS UI Gothic"/>
        </w:rPr>
        <w:t xml:space="preserve">、 </w:t>
      </w:r>
      <w:r>
        <w:t>主要负责人</w:t>
      </w:r>
      <w:r>
        <w:rPr>
          <w:rFonts w:hint="eastAsia" w:ascii="MS UI Gothic" w:eastAsia="MS UI Gothic"/>
        </w:rPr>
        <w:t xml:space="preserve">、 </w:t>
      </w:r>
      <w:r>
        <w:t>注册地址</w:t>
      </w:r>
      <w:r>
        <w:rPr>
          <w:rFonts w:hint="eastAsia" w:ascii="MS UI Gothic" w:eastAsia="MS UI Gothic"/>
        </w:rPr>
        <w:t xml:space="preserve">、 </w:t>
      </w:r>
      <w:r>
        <w:t>隶属关系</w:t>
      </w:r>
      <w:r>
        <w:rPr>
          <w:rFonts w:hint="eastAsia" w:ascii="MS UI Gothic" w:eastAsia="MS UI Gothic"/>
        </w:rPr>
        <w:t xml:space="preserve">、 </w:t>
      </w:r>
      <w:r>
        <w:t>经济类型</w:t>
      </w:r>
      <w:r>
        <w:rPr>
          <w:rFonts w:hint="eastAsia" w:ascii="MS UI Gothic" w:eastAsia="MS UI Gothic"/>
        </w:rPr>
        <w:t xml:space="preserve">、 </w:t>
      </w:r>
      <w:r>
        <w:t>有效期</w:t>
      </w:r>
      <w:r>
        <w:rPr>
          <w:rFonts w:hint="eastAsia" w:ascii="MS UI Gothic" w:eastAsia="MS UI Gothic"/>
        </w:rPr>
        <w:t xml:space="preserve">、 </w:t>
      </w:r>
      <w:r>
        <w:t>发证机关</w:t>
      </w:r>
      <w:r>
        <w:rPr>
          <w:rFonts w:hint="eastAsia" w:ascii="MS UI Gothic" w:eastAsia="MS UI Gothic"/>
        </w:rPr>
        <w:t xml:space="preserve">、 </w:t>
      </w:r>
      <w:r>
        <w:t>发证</w:t>
      </w:r>
    </w:p>
    <w:p>
      <w:pPr>
        <w:pStyle w:val="6"/>
        <w:spacing w:before="124"/>
        <w:ind w:left="383" w:firstLine="0"/>
        <w:jc w:val="left"/>
        <w:rPr>
          <w:rFonts w:hint="eastAsia" w:ascii="MS UI Gothic" w:eastAsia="MS UI Gothic"/>
        </w:rPr>
      </w:pPr>
      <w:r>
        <w:br w:type="column"/>
      </w:r>
      <w:r>
        <w:t>日期等内容</w:t>
      </w:r>
      <w:r>
        <w:rPr>
          <w:rFonts w:hint="eastAsia" w:ascii="MS UI Gothic" w:eastAsia="MS UI Gothic"/>
          <w:w w:val="80"/>
        </w:rPr>
        <w:t>ꎮ</w:t>
      </w:r>
    </w:p>
    <w:p>
      <w:pPr>
        <w:pStyle w:val="6"/>
        <w:spacing w:before="58" w:line="295" w:lineRule="auto"/>
        <w:ind w:left="383" w:right="126"/>
        <w:jc w:val="left"/>
        <w:rPr>
          <w:rFonts w:hint="eastAsia" w:ascii="MS UI Gothic" w:eastAsia="MS UI Gothic"/>
        </w:rPr>
      </w:pPr>
      <w:r>
        <w:t>安全生产许可证正本</w:t>
      </w:r>
      <w:r>
        <w:rPr>
          <w:rFonts w:hint="eastAsia" w:ascii="MS UI Gothic" w:eastAsia="MS UI Gothic"/>
          <w:w w:val="80"/>
        </w:rPr>
        <w:t xml:space="preserve">、 </w:t>
      </w:r>
      <w:r>
        <w:t>副本的式样由国家煤矿安全监察局制定</w:t>
      </w:r>
      <w:r>
        <w:rPr>
          <w:rFonts w:hint="eastAsia" w:ascii="MS UI Gothic" w:eastAsia="MS UI Gothic"/>
          <w:w w:val="80"/>
        </w:rPr>
        <w:t>ꎮ</w:t>
      </w:r>
    </w:p>
    <w:p>
      <w:pPr>
        <w:pStyle w:val="6"/>
        <w:spacing w:line="295" w:lineRule="auto"/>
        <w:ind w:left="383" w:right="126"/>
        <w:jc w:val="left"/>
        <w:rPr>
          <w:rFonts w:hint="eastAsia" w:ascii="MS UI Gothic" w:eastAsia="MS UI Gothic"/>
        </w:rPr>
      </w:pPr>
      <w:r>
        <w:t>安全生产许可证相关的行政许可文书由国家煤矿安全监察局规定统一的格式</w:t>
      </w:r>
      <w:r>
        <w:rPr>
          <w:rFonts w:hint="eastAsia" w:ascii="MS UI Gothic" w:eastAsia="MS UI Gothic"/>
          <w:w w:val="80"/>
        </w:rPr>
        <w:t>ꎮ</w:t>
      </w:r>
    </w:p>
    <w:p>
      <w:pPr>
        <w:pStyle w:val="6"/>
        <w:tabs>
          <w:tab w:val="left" w:pos="1430"/>
        </w:tabs>
        <w:spacing w:before="154"/>
        <w:ind w:left="592" w:firstLine="0"/>
        <w:jc w:val="left"/>
      </w:pPr>
      <w:r>
        <w:rPr>
          <w:spacing w:val="3"/>
          <w:w w:val="105"/>
        </w:rPr>
        <w:t>第四</w:t>
      </w:r>
      <w:r>
        <w:rPr>
          <w:w w:val="105"/>
        </w:rPr>
        <w:t>章</w:t>
      </w:r>
      <w:r>
        <w:rPr>
          <w:w w:val="105"/>
        </w:rPr>
        <w:tab/>
      </w:r>
      <w:r>
        <w:rPr>
          <w:spacing w:val="3"/>
          <w:w w:val="105"/>
        </w:rPr>
        <w:t>安全生产许可证的监督管</w:t>
      </w:r>
      <w:r>
        <w:rPr>
          <w:w w:val="105"/>
        </w:rPr>
        <w:t>理</w:t>
      </w:r>
    </w:p>
    <w:p>
      <w:pPr>
        <w:pStyle w:val="6"/>
        <w:spacing w:before="215" w:line="295" w:lineRule="auto"/>
        <w:ind w:left="383" w:right="124"/>
        <w:rPr>
          <w:rFonts w:hint="eastAsia" w:ascii="MS UI Gothic" w:eastAsia="MS UI Gothic"/>
        </w:rPr>
      </w:pPr>
      <w:r>
        <w:t>第二十五条 煤矿企业取得安全生产许可证后</w:t>
      </w:r>
      <w:r>
        <w:rPr>
          <w:rFonts w:hint="eastAsia" w:ascii="MS UI Gothic" w:eastAsia="MS UI Gothic"/>
          <w:w w:val="80"/>
        </w:rPr>
        <w:t xml:space="preserve">ꎬ </w:t>
      </w:r>
      <w:r>
        <w:t>应当加强日常安全生产管理</w:t>
      </w:r>
      <w:r>
        <w:rPr>
          <w:rFonts w:hint="eastAsia" w:ascii="MS UI Gothic" w:eastAsia="MS UI Gothic"/>
          <w:w w:val="80"/>
        </w:rPr>
        <w:t>ꎬ</w:t>
      </w:r>
      <w:r>
        <w:t>不得降低安全生产条件</w:t>
      </w:r>
      <w:r>
        <w:rPr>
          <w:rFonts w:hint="eastAsia" w:ascii="MS UI Gothic" w:eastAsia="MS UI Gothic"/>
          <w:w w:val="80"/>
        </w:rPr>
        <w:t>ꎮ</w:t>
      </w:r>
    </w:p>
    <w:p>
      <w:pPr>
        <w:pStyle w:val="6"/>
        <w:spacing w:line="295" w:lineRule="auto"/>
        <w:ind w:left="383" w:right="126"/>
        <w:rPr>
          <w:rFonts w:hint="eastAsia" w:ascii="MS UI Gothic" w:eastAsia="MS UI Gothic"/>
        </w:rPr>
      </w:pPr>
      <w:r>
        <w:t>第二十六条 煤矿企业不得转让</w:t>
      </w:r>
      <w:r>
        <w:rPr>
          <w:rFonts w:hint="eastAsia" w:ascii="MS UI Gothic" w:eastAsia="MS UI Gothic"/>
          <w:w w:val="80"/>
        </w:rPr>
        <w:t xml:space="preserve">、 </w:t>
      </w:r>
      <w:r>
        <w:t>冒用</w:t>
      </w:r>
      <w:r>
        <w:rPr>
          <w:rFonts w:hint="eastAsia" w:ascii="MS UI Gothic" w:eastAsia="MS UI Gothic"/>
          <w:w w:val="80"/>
        </w:rPr>
        <w:t xml:space="preserve">、 </w:t>
      </w:r>
      <w:r>
        <w:t>买卖</w:t>
      </w:r>
      <w:r>
        <w:rPr>
          <w:rFonts w:hint="eastAsia" w:ascii="MS UI Gothic" w:eastAsia="MS UI Gothic"/>
          <w:w w:val="80"/>
        </w:rPr>
        <w:t xml:space="preserve">、 </w:t>
      </w:r>
      <w:r>
        <w:t>出租</w:t>
      </w:r>
      <w:r>
        <w:rPr>
          <w:rFonts w:hint="eastAsia" w:ascii="MS UI Gothic" w:eastAsia="MS UI Gothic"/>
          <w:w w:val="80"/>
        </w:rPr>
        <w:t xml:space="preserve">、 </w:t>
      </w:r>
      <w:r>
        <w:t>出借或者使用伪造的安全生产许可证</w:t>
      </w:r>
      <w:r>
        <w:rPr>
          <w:rFonts w:hint="eastAsia" w:ascii="MS UI Gothic" w:eastAsia="MS UI Gothic"/>
          <w:w w:val="80"/>
        </w:rPr>
        <w:t>ꎮ</w:t>
      </w:r>
    </w:p>
    <w:p>
      <w:pPr>
        <w:pStyle w:val="6"/>
        <w:spacing w:line="295" w:lineRule="auto"/>
        <w:ind w:left="383" w:right="126"/>
        <w:rPr>
          <w:rFonts w:hint="eastAsia" w:ascii="MS UI Gothic" w:eastAsia="MS UI Gothic"/>
        </w:rPr>
      </w:pPr>
      <w:r>
        <w:t>第二十七条 安全生产许可证颁发管理机关应当坚持公开</w:t>
      </w:r>
      <w:r>
        <w:rPr>
          <w:rFonts w:hint="eastAsia" w:ascii="MS UI Gothic" w:eastAsia="MS UI Gothic"/>
          <w:w w:val="80"/>
        </w:rPr>
        <w:t xml:space="preserve">、 </w:t>
      </w:r>
      <w:r>
        <w:t>公平</w:t>
      </w:r>
      <w:r>
        <w:rPr>
          <w:rFonts w:hint="eastAsia" w:ascii="MS UI Gothic" w:eastAsia="MS UI Gothic"/>
          <w:w w:val="80"/>
        </w:rPr>
        <w:t xml:space="preserve">、  </w:t>
      </w:r>
      <w:r>
        <w:t>公正的原则</w:t>
      </w:r>
      <w:r>
        <w:rPr>
          <w:rFonts w:hint="eastAsia" w:ascii="MS UI Gothic" w:eastAsia="MS UI Gothic"/>
          <w:w w:val="80"/>
        </w:rPr>
        <w:t xml:space="preserve">ꎬ </w:t>
      </w:r>
      <w:r>
        <w:t>严格依照本实施办法的规定审查</w:t>
      </w:r>
      <w:r>
        <w:rPr>
          <w:rFonts w:hint="eastAsia" w:ascii="MS UI Gothic" w:eastAsia="MS UI Gothic"/>
          <w:w w:val="80"/>
        </w:rPr>
        <w:t xml:space="preserve">、 </w:t>
      </w:r>
      <w:r>
        <w:t>颁发安全生产许可证</w:t>
      </w:r>
      <w:r>
        <w:rPr>
          <w:rFonts w:hint="eastAsia" w:ascii="MS UI Gothic" w:eastAsia="MS UI Gothic"/>
          <w:w w:val="80"/>
        </w:rPr>
        <w:t>ꎮ</w:t>
      </w:r>
    </w:p>
    <w:p>
      <w:pPr>
        <w:pStyle w:val="6"/>
        <w:spacing w:line="295" w:lineRule="auto"/>
        <w:ind w:left="383" w:right="126"/>
        <w:rPr>
          <w:rFonts w:hint="eastAsia" w:ascii="MS UI Gothic" w:eastAsia="MS UI Gothic"/>
        </w:rPr>
      </w:pPr>
      <w:r>
        <w:t>安全生产许可证颁发管理机关工作人员在安全生产许可证颁发</w:t>
      </w:r>
      <w:r>
        <w:rPr>
          <w:rFonts w:hint="eastAsia" w:ascii="MS UI Gothic" w:eastAsia="MS UI Gothic"/>
          <w:w w:val="80"/>
        </w:rPr>
        <w:t xml:space="preserve">、 </w:t>
      </w:r>
      <w:r>
        <w:t>管理和监督检查工作中</w:t>
      </w:r>
      <w:r>
        <w:rPr>
          <w:rFonts w:hint="eastAsia" w:ascii="MS UI Gothic" w:eastAsia="MS UI Gothic"/>
          <w:w w:val="80"/>
        </w:rPr>
        <w:t xml:space="preserve">ꎬ </w:t>
      </w:r>
      <w:r>
        <w:t>不得索取或者接受煤矿企业的财物</w:t>
      </w:r>
      <w:r>
        <w:rPr>
          <w:rFonts w:hint="eastAsia" w:ascii="MS UI Gothic" w:eastAsia="MS UI Gothic"/>
          <w:w w:val="80"/>
        </w:rPr>
        <w:t xml:space="preserve">ꎬ </w:t>
      </w:r>
      <w:r>
        <w:t>不得谋取其他利益</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第二十八条 安全生产许可证颁发管</w:t>
      </w:r>
      <w:r>
        <w:t>理机关发现有下列情形之一的</w:t>
      </w:r>
      <w:r>
        <w:rPr>
          <w:rFonts w:hint="eastAsia" w:ascii="MS UI Gothic" w:eastAsia="MS UI Gothic"/>
          <w:w w:val="80"/>
        </w:rPr>
        <w:t xml:space="preserve">ꎬ </w:t>
      </w:r>
      <w:r>
        <w:t>应当撤销</w:t>
      </w:r>
      <w:r>
        <w:rPr>
          <w:w w:val="105"/>
        </w:rPr>
        <w:t>已经颁发的安全生产许可证</w:t>
      </w:r>
      <w:r>
        <w:rPr>
          <w:rFonts w:hint="eastAsia" w:ascii="MS UI Gothic" w:eastAsia="MS UI Gothic"/>
          <w:w w:val="235"/>
        </w:rPr>
        <w:t>:</w:t>
      </w:r>
    </w:p>
    <w:p>
      <w:pPr>
        <w:pStyle w:val="6"/>
        <w:spacing w:line="295" w:lineRule="auto"/>
        <w:ind w:left="383" w:right="126"/>
        <w:jc w:val="left"/>
        <w:rPr>
          <w:rFonts w:hint="eastAsia" w:ascii="MS UI Gothic" w:eastAsia="MS UI Gothic"/>
        </w:rPr>
      </w:pPr>
      <w:r>
        <w:rPr>
          <w:rFonts w:hint="eastAsia" w:ascii="MS UI Gothic" w:eastAsia="MS UI Gothic"/>
          <w:w w:val="120"/>
        </w:rPr>
        <w:t xml:space="preserve">( </w:t>
      </w:r>
      <w:r>
        <w:rPr>
          <w:w w:val="110"/>
        </w:rPr>
        <w:t>一</w:t>
      </w:r>
      <w:r>
        <w:rPr>
          <w:rFonts w:hint="eastAsia" w:ascii="MS UI Gothic" w:eastAsia="MS UI Gothic"/>
          <w:w w:val="120"/>
        </w:rPr>
        <w:t xml:space="preserve">) </w:t>
      </w:r>
      <w:r>
        <w:rPr>
          <w:w w:val="110"/>
        </w:rPr>
        <w:t>超越职权颁发安全生产许可证的</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违反本实施办法规定的程序颁</w:t>
      </w:r>
      <w:r>
        <w:rPr>
          <w:w w:val="110"/>
        </w:rPr>
        <w:t>发安全生产许可证的</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不具备本实施办法规定的安全生产条件颁发安全生产许可证的</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以欺骗</w:t>
      </w:r>
      <w:r>
        <w:rPr>
          <w:rFonts w:hint="eastAsia" w:ascii="MS UI Gothic" w:eastAsia="MS UI Gothic"/>
          <w:w w:val="80"/>
        </w:rPr>
        <w:t xml:space="preserve">、 </w:t>
      </w:r>
      <w:r>
        <w:rPr>
          <w:w w:val="105"/>
        </w:rPr>
        <w:t>贿赂等不正当手段取得安全生产许可证的</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第二十九条 取得安全生产许可证的</w:t>
      </w:r>
      <w:r>
        <w:t>煤矿企业有下列情形之一的</w:t>
      </w:r>
      <w:r>
        <w:rPr>
          <w:rFonts w:hint="eastAsia" w:ascii="MS UI Gothic" w:eastAsia="MS UI Gothic"/>
          <w:w w:val="80"/>
        </w:rPr>
        <w:t xml:space="preserve">ꎬ </w:t>
      </w:r>
      <w:r>
        <w:t>安全生产许可证颁发管理机关应当注销其安全生产许</w:t>
      </w:r>
      <w:r>
        <w:rPr>
          <w:w w:val="105"/>
        </w:rPr>
        <w:t>可证</w:t>
      </w:r>
      <w:r>
        <w:rPr>
          <w:rFonts w:hint="eastAsia" w:ascii="MS UI Gothic" w:eastAsia="MS UI Gothic"/>
          <w:w w:val="235"/>
        </w:rPr>
        <w:t>:</w:t>
      </w:r>
    </w:p>
    <w:p>
      <w:pPr>
        <w:pStyle w:val="6"/>
        <w:spacing w:line="253" w:lineRule="exact"/>
        <w:ind w:left="802"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终止煤炭生产活动的</w:t>
      </w:r>
      <w:r>
        <w:rPr>
          <w:rFonts w:hint="eastAsia" w:ascii="MS UI Gothic" w:eastAsia="MS UI Gothic"/>
          <w:w w:val="80"/>
        </w:rPr>
        <w:t>ꎻ</w:t>
      </w:r>
    </w:p>
    <w:p>
      <w:pPr>
        <w:pStyle w:val="6"/>
        <w:spacing w:before="39" w:line="295" w:lineRule="auto"/>
        <w:ind w:left="383" w:right="126"/>
        <w:jc w:val="left"/>
        <w:rPr>
          <w:rFonts w:hint="eastAsia" w:ascii="MS UI Gothic" w:eastAsia="MS UI Gothic"/>
        </w:rPr>
      </w:pPr>
      <w:r>
        <w:rPr>
          <w:rFonts w:hint="eastAsia" w:ascii="MS UI Gothic" w:eastAsia="MS UI Gothic"/>
          <w:spacing w:val="-37"/>
          <w:w w:val="135"/>
        </w:rPr>
        <w:t xml:space="preserve">( </w:t>
      </w:r>
      <w:r>
        <w:rPr>
          <w:spacing w:val="29"/>
          <w:w w:val="110"/>
        </w:rPr>
        <w:t>二</w:t>
      </w:r>
      <w:r>
        <w:rPr>
          <w:rFonts w:hint="eastAsia" w:ascii="MS UI Gothic" w:eastAsia="MS UI Gothic"/>
          <w:spacing w:val="-14"/>
          <w:w w:val="135"/>
        </w:rPr>
        <w:t xml:space="preserve">) </w:t>
      </w:r>
      <w:r>
        <w:rPr>
          <w:spacing w:val="40"/>
          <w:w w:val="110"/>
        </w:rPr>
        <w:t>安全生产许可证被依法撤</w:t>
      </w:r>
      <w:r>
        <w:rPr>
          <w:spacing w:val="3"/>
          <w:w w:val="110"/>
        </w:rPr>
        <w:t>销的</w:t>
      </w:r>
      <w:r>
        <w:rPr>
          <w:rFonts w:hint="eastAsia" w:ascii="MS UI Gothic" w:eastAsia="MS UI Gothic"/>
          <w:w w:val="80"/>
        </w:rPr>
        <w:t>ꎻ</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２３６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39" o:spid="_x0000_s1739" o:spt="203" style="height:2.15pt;width:398.25pt;" coordsize="7965,43">
            <o:lock v:ext="edit"/>
            <v:line id="_x0000_s1740" o:spid="_x0000_s1740" o:spt="20" style="position:absolute;left:0;top:39;height:0;width:7965;" stroked="t" coordsize="21600,21600">
              <v:path arrowok="t"/>
              <v:fill focussize="0,0"/>
              <v:stroke weight="0.388031496062992pt" color="#231F20"/>
              <v:imagedata o:title=""/>
              <o:lock v:ext="edit"/>
            </v:line>
            <v:line id="_x0000_s1741" o:spid="_x0000_s174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rFonts w:hint="eastAsia" w:ascii="MS UI Gothic" w:eastAsia="MS UI Gothic"/>
          <w:spacing w:val="-34"/>
          <w:w w:val="125"/>
        </w:rPr>
        <w:t xml:space="preserve">( </w:t>
      </w:r>
      <w:r>
        <w:rPr>
          <w:spacing w:val="29"/>
          <w:w w:val="110"/>
        </w:rPr>
        <w:t>三</w:t>
      </w:r>
      <w:r>
        <w:rPr>
          <w:rFonts w:hint="eastAsia" w:ascii="MS UI Gothic" w:eastAsia="MS UI Gothic"/>
          <w:spacing w:val="-11"/>
          <w:w w:val="125"/>
        </w:rPr>
        <w:t xml:space="preserve">) </w:t>
      </w:r>
      <w:r>
        <w:rPr>
          <w:spacing w:val="41"/>
          <w:w w:val="110"/>
        </w:rPr>
        <w:t>安全生产许可证被依法吊</w:t>
      </w:r>
      <w:r>
        <w:rPr>
          <w:spacing w:val="3"/>
          <w:w w:val="110"/>
        </w:rPr>
        <w:t>销的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安全生产许可证有效期满未申</w:t>
      </w:r>
      <w:r>
        <w:rPr>
          <w:w w:val="110"/>
        </w:rPr>
        <w:t>请办理延期手续</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第三十条 煤矿企业隐瞒有关情况或</w:t>
      </w:r>
      <w:r>
        <w:t>者提供虚假材料申请安全生产许可证的</w:t>
      </w:r>
      <w:r>
        <w:rPr>
          <w:rFonts w:hint="eastAsia" w:ascii="MS UI Gothic" w:eastAsia="MS UI Gothic"/>
          <w:w w:val="80"/>
        </w:rPr>
        <w:t>ꎬ</w:t>
      </w:r>
      <w:r>
        <w:t>安全生产许可证颁发管理机关不予受理</w:t>
      </w:r>
      <w:r>
        <w:rPr>
          <w:rFonts w:hint="eastAsia" w:ascii="MS UI Gothic" w:eastAsia="MS UI Gothic"/>
          <w:w w:val="80"/>
        </w:rPr>
        <w:t>ꎬ</w:t>
      </w:r>
      <w:r>
        <w:t>且在一年内不得再次申请安全生产许</w:t>
      </w:r>
      <w:r>
        <w:rPr>
          <w:w w:val="105"/>
        </w:rPr>
        <w:t>可证</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第三十一条 安全生产许可证颁发管</w:t>
      </w:r>
      <w:r>
        <w:t>理机关应当每年向社会公布一次煤矿企业</w:t>
      </w:r>
      <w:r>
        <w:rPr>
          <w:w w:val="105"/>
        </w:rPr>
        <w:t>取得安全生产许可证的情况</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第三十二条 安全生产许可证颁发管</w:t>
      </w:r>
      <w:r>
        <w:t>理机关应当将煤矿企业安全生产许可证颁发管理情况通报煤矿企业所在地市级以上人民政府及其指定的负责煤矿安全监管工</w:t>
      </w:r>
      <w:r>
        <w:rPr>
          <w:w w:val="105"/>
        </w:rPr>
        <w:t>作的部门</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第三十三条 安全生产许可证颁发管理机关应当建立</w:t>
      </w:r>
      <w:r>
        <w:rPr>
          <w:rFonts w:hint="eastAsia" w:ascii="MS UI Gothic" w:eastAsia="MS UI Gothic"/>
          <w:w w:val="80"/>
        </w:rPr>
        <w:t xml:space="preserve">、 </w:t>
      </w:r>
      <w:r>
        <w:rPr>
          <w:w w:val="105"/>
        </w:rPr>
        <w:t>健全安全生产许可证档案管理制度</w:t>
      </w:r>
      <w:r>
        <w:rPr>
          <w:rFonts w:hint="eastAsia" w:ascii="MS UI Gothic" w:eastAsia="MS UI Gothic"/>
          <w:w w:val="80"/>
        </w:rPr>
        <w:t>ꎮ</w:t>
      </w:r>
    </w:p>
    <w:p>
      <w:pPr>
        <w:pStyle w:val="6"/>
        <w:spacing w:line="295" w:lineRule="auto"/>
        <w:ind w:right="39"/>
        <w:rPr>
          <w:rFonts w:hint="eastAsia" w:ascii="MS UI Gothic" w:eastAsia="MS UI Gothic"/>
        </w:rPr>
      </w:pPr>
      <w:r>
        <w:rPr>
          <w:spacing w:val="4"/>
        </w:rPr>
        <w:t>第三十四条 省级安全生产许可证颁</w:t>
      </w:r>
      <w:r>
        <w:rPr>
          <w:spacing w:val="1"/>
        </w:rPr>
        <w:t xml:space="preserve">发管理机关应当于每年 </w:t>
      </w:r>
      <w:r>
        <w:rPr>
          <w:rFonts w:hint="eastAsia" w:ascii="MS UI Gothic" w:eastAsia="MS UI Gothic"/>
          <w:spacing w:val="7"/>
        </w:rPr>
        <w:t xml:space="preserve">１ </w:t>
      </w:r>
      <w:r>
        <w:rPr>
          <w:spacing w:val="-17"/>
        </w:rPr>
        <w:t xml:space="preserve">月 </w:t>
      </w:r>
      <w:r>
        <w:rPr>
          <w:rFonts w:hint="eastAsia" w:ascii="MS UI Gothic" w:eastAsia="MS UI Gothic"/>
          <w:spacing w:val="8"/>
          <w:w w:val="85"/>
        </w:rPr>
        <w:t xml:space="preserve">１５ </w:t>
      </w:r>
      <w:r>
        <w:rPr>
          <w:spacing w:val="9"/>
        </w:rPr>
        <w:t>日前将所</w:t>
      </w:r>
      <w:r>
        <w:rPr>
          <w:spacing w:val="2"/>
        </w:rPr>
        <w:t>负责行政区域内上年度煤矿企业安全生产许可证颁发和管理情况报国家煤矿安全监</w:t>
      </w:r>
      <w:r>
        <w:rPr>
          <w:spacing w:val="3"/>
        </w:rPr>
        <w:t>察局</w:t>
      </w:r>
      <w:r>
        <w:rPr>
          <w:rFonts w:hint="eastAsia" w:ascii="MS UI Gothic" w:eastAsia="MS UI Gothic"/>
          <w:spacing w:val="13"/>
          <w:w w:val="85"/>
        </w:rPr>
        <w:t xml:space="preserve">ꎬ </w:t>
      </w:r>
      <w:r>
        <w:rPr>
          <w:spacing w:val="17"/>
        </w:rPr>
        <w:t>同时通报本级安全生产监督管理</w:t>
      </w:r>
      <w:r>
        <w:rPr>
          <w:spacing w:val="3"/>
        </w:rPr>
        <w:t>部门</w:t>
      </w:r>
      <w:r>
        <w:rPr>
          <w:rFonts w:hint="eastAsia" w:ascii="MS UI Gothic" w:eastAsia="MS UI Gothic"/>
          <w:w w:val="85"/>
        </w:rPr>
        <w:t>ꎮ</w:t>
      </w:r>
    </w:p>
    <w:p>
      <w:pPr>
        <w:pStyle w:val="6"/>
        <w:spacing w:line="295" w:lineRule="auto"/>
        <w:ind w:right="39"/>
        <w:rPr>
          <w:rFonts w:hint="eastAsia" w:ascii="MS UI Gothic" w:hAnsi="MS UI Gothic" w:eastAsia="MS UI Gothic"/>
        </w:rPr>
      </w:pPr>
      <w:r>
        <w:rPr>
          <w:spacing w:val="2"/>
          <w:w w:val="105"/>
        </w:rPr>
        <w:t>第三十五条 任何单位或者个人对违</w:t>
      </w:r>
      <w:r>
        <w:rPr>
          <w:spacing w:val="-12"/>
          <w:w w:val="105"/>
        </w:rPr>
        <w:t xml:space="preserve">反 </w:t>
      </w:r>
      <w:r>
        <w:rPr>
          <w:rFonts w:hint="eastAsia" w:ascii="MS UI Gothic" w:hAnsi="MS UI Gothic" w:eastAsia="MS UI Gothic"/>
          <w:spacing w:val="-17"/>
          <w:w w:val="80"/>
        </w:rPr>
        <w:t xml:space="preserve">« </w:t>
      </w:r>
      <w:r>
        <w:rPr>
          <w:spacing w:val="13"/>
          <w:w w:val="105"/>
        </w:rPr>
        <w:t>安全生产许可证条例</w:t>
      </w:r>
      <w:r>
        <w:rPr>
          <w:rFonts w:hint="eastAsia" w:ascii="MS UI Gothic" w:hAnsi="MS UI Gothic" w:eastAsia="MS UI Gothic"/>
          <w:spacing w:val="1"/>
          <w:w w:val="80"/>
        </w:rPr>
        <w:t xml:space="preserve">» </w:t>
      </w:r>
      <w:r>
        <w:rPr>
          <w:spacing w:val="15"/>
          <w:w w:val="105"/>
        </w:rPr>
        <w:t>和本实施办</w:t>
      </w:r>
      <w:r>
        <w:rPr>
          <w:spacing w:val="3"/>
        </w:rPr>
        <w:t>法规定的行为</w:t>
      </w:r>
      <w:r>
        <w:rPr>
          <w:rFonts w:hint="eastAsia" w:ascii="MS UI Gothic" w:hAnsi="MS UI Gothic" w:eastAsia="MS UI Gothic"/>
          <w:spacing w:val="21"/>
          <w:w w:val="80"/>
        </w:rPr>
        <w:t xml:space="preserve">ꎬ </w:t>
      </w:r>
      <w:r>
        <w:rPr>
          <w:spacing w:val="2"/>
        </w:rPr>
        <w:t>有权向安全生产许可证颁</w:t>
      </w:r>
      <w:r>
        <w:rPr>
          <w:spacing w:val="25"/>
        </w:rPr>
        <w:t>发管理机关或者监察机关等有关部门</w:t>
      </w:r>
      <w:r>
        <w:rPr>
          <w:spacing w:val="3"/>
          <w:w w:val="105"/>
        </w:rPr>
        <w:t>举报</w:t>
      </w:r>
      <w:r>
        <w:rPr>
          <w:rFonts w:hint="eastAsia" w:ascii="MS UI Gothic" w:hAnsi="MS UI Gothic" w:eastAsia="MS UI Gothic"/>
          <w:w w:val="80"/>
        </w:rPr>
        <w:t>ꎮ</w:t>
      </w:r>
    </w:p>
    <w:p>
      <w:pPr>
        <w:pStyle w:val="6"/>
        <w:tabs>
          <w:tab w:val="left" w:pos="2011"/>
          <w:tab w:val="left" w:pos="2639"/>
        </w:tabs>
        <w:spacing w:before="133"/>
        <w:ind w:left="1172" w:firstLine="0"/>
        <w:jc w:val="left"/>
      </w:pPr>
      <w:r>
        <w:rPr>
          <w:spacing w:val="3"/>
          <w:w w:val="105"/>
        </w:rPr>
        <w:t>第五</w:t>
      </w:r>
      <w:r>
        <w:rPr>
          <w:w w:val="105"/>
        </w:rPr>
        <w:t>章</w:t>
      </w:r>
      <w:r>
        <w:rPr>
          <w:w w:val="105"/>
        </w:rPr>
        <w:tab/>
      </w:r>
      <w:r>
        <w:rPr>
          <w:w w:val="105"/>
        </w:rPr>
        <w:t>罚</w:t>
      </w:r>
      <w:r>
        <w:rPr>
          <w:w w:val="105"/>
        </w:rPr>
        <w:tab/>
      </w:r>
      <w:r>
        <w:rPr>
          <w:w w:val="105"/>
        </w:rPr>
        <w:t>则</w:t>
      </w:r>
    </w:p>
    <w:p>
      <w:pPr>
        <w:pStyle w:val="6"/>
        <w:spacing w:before="215" w:line="295" w:lineRule="auto"/>
        <w:ind w:right="39"/>
        <w:rPr>
          <w:rFonts w:hint="eastAsia" w:ascii="MS UI Gothic" w:eastAsia="MS UI Gothic"/>
        </w:rPr>
      </w:pPr>
      <w:r>
        <w:rPr>
          <w:w w:val="105"/>
        </w:rPr>
        <w:t>第三十六条 安全生产许可证颁发管</w:t>
      </w:r>
      <w:r>
        <w:t>理机关工作人员有下列行为之一的</w:t>
      </w:r>
      <w:r>
        <w:rPr>
          <w:rFonts w:hint="eastAsia" w:ascii="MS UI Gothic" w:eastAsia="MS UI Gothic"/>
          <w:w w:val="80"/>
        </w:rPr>
        <w:t xml:space="preserve">ꎬ </w:t>
      </w:r>
      <w:r>
        <w:t>给予降级或者撤职的处分</w:t>
      </w:r>
      <w:r>
        <w:rPr>
          <w:rFonts w:hint="eastAsia" w:ascii="MS UI Gothic" w:eastAsia="MS UI Gothic"/>
          <w:w w:val="80"/>
        </w:rPr>
        <w:t xml:space="preserve">ꎻ </w:t>
      </w:r>
      <w:r>
        <w:t>构成犯罪的</w:t>
      </w:r>
      <w:r>
        <w:rPr>
          <w:rFonts w:hint="eastAsia" w:ascii="MS UI Gothic" w:eastAsia="MS UI Gothic"/>
          <w:w w:val="80"/>
        </w:rPr>
        <w:t xml:space="preserve">ꎬ </w:t>
      </w:r>
      <w:r>
        <w:t>依法</w:t>
      </w:r>
      <w:r>
        <w:rPr>
          <w:w w:val="105"/>
        </w:rPr>
        <w:t>追究刑事责任</w:t>
      </w:r>
      <w:r>
        <w:rPr>
          <w:rFonts w:hint="eastAsia" w:ascii="MS UI Gothic" w:eastAsia="MS UI Gothic"/>
          <w:w w:val="235"/>
        </w:rPr>
        <w:t>:</w:t>
      </w:r>
    </w:p>
    <w:p>
      <w:pPr>
        <w:pStyle w:val="6"/>
        <w:spacing w:line="295" w:lineRule="auto"/>
        <w:ind w:right="39"/>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向不符合本实施办法规定的安</w:t>
      </w:r>
      <w:r>
        <w:t>全生产条件的煤矿企业颁发安全生产许可</w:t>
      </w:r>
    </w:p>
    <w:p>
      <w:pPr>
        <w:spacing w:before="123"/>
        <w:ind w:left="124" w:right="0" w:firstLine="0"/>
        <w:jc w:val="left"/>
        <w:rPr>
          <w:rFonts w:hint="eastAsia" w:ascii="MS UI Gothic" w:eastAsia="MS UI Gothic"/>
          <w:sz w:val="20"/>
        </w:rPr>
      </w:pPr>
      <w:r>
        <w:br w:type="column"/>
      </w:r>
      <w:r>
        <w:rPr>
          <w:spacing w:val="3"/>
          <w:w w:val="85"/>
          <w:sz w:val="20"/>
        </w:rPr>
        <w:t>证的</w:t>
      </w:r>
      <w:r>
        <w:rPr>
          <w:rFonts w:hint="eastAsia" w:ascii="MS UI Gothic" w:eastAsia="MS UI Gothic"/>
          <w:w w:val="80"/>
          <w:sz w:val="20"/>
        </w:rPr>
        <w:t>ꎻ</w:t>
      </w:r>
    </w:p>
    <w:p>
      <w:pPr>
        <w:pStyle w:val="6"/>
        <w:spacing w:before="58"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4"/>
          <w:w w:val="150"/>
        </w:rPr>
        <w:t xml:space="preserve">) </w:t>
      </w:r>
      <w:r>
        <w:rPr>
          <w:spacing w:val="5"/>
          <w:w w:val="105"/>
        </w:rPr>
        <w:t>发现煤矿企业未依法取得安全</w:t>
      </w:r>
      <w:r>
        <w:rPr>
          <w:spacing w:val="11"/>
        </w:rPr>
        <w:t>生产许可证擅自从事生产活动不依法处</w:t>
      </w:r>
      <w:r>
        <w:rPr>
          <w:spacing w:val="3"/>
          <w:w w:val="105"/>
        </w:rPr>
        <w:t>理的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发现取得安全生产许可证的煤</w:t>
      </w:r>
      <w:r>
        <w:t>矿企业不再具备本实施办法规定的安全生</w:t>
      </w:r>
      <w:r>
        <w:rPr>
          <w:w w:val="105"/>
        </w:rPr>
        <w:t>产条件不依法处理的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接到对违反本实施办法规定行为的举报后</w:t>
      </w:r>
      <w:r>
        <w:rPr>
          <w:rFonts w:hint="eastAsia" w:ascii="MS UI Gothic" w:eastAsia="MS UI Gothic"/>
          <w:w w:val="80"/>
        </w:rPr>
        <w:t xml:space="preserve">ꎬ </w:t>
      </w:r>
      <w:r>
        <w:rPr>
          <w:w w:val="105"/>
        </w:rPr>
        <w:t>不依法处理的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在安全生产许可证颁发</w:t>
      </w:r>
      <w:r>
        <w:rPr>
          <w:rFonts w:hint="eastAsia" w:ascii="MS UI Gothic" w:eastAsia="MS UI Gothic"/>
          <w:w w:val="80"/>
        </w:rPr>
        <w:t xml:space="preserve">、 </w:t>
      </w:r>
      <w:r>
        <w:rPr>
          <w:w w:val="105"/>
        </w:rPr>
        <w:t>管理</w:t>
      </w:r>
      <w:r>
        <w:t>和监督检查工作中</w:t>
      </w:r>
      <w:r>
        <w:rPr>
          <w:rFonts w:hint="eastAsia" w:ascii="MS UI Gothic" w:eastAsia="MS UI Gothic"/>
          <w:w w:val="80"/>
        </w:rPr>
        <w:t xml:space="preserve">ꎬ </w:t>
      </w:r>
      <w:r>
        <w:t>索取或者接受煤矿企</w:t>
      </w:r>
      <w:r>
        <w:rPr>
          <w:w w:val="105"/>
        </w:rPr>
        <w:t>业的财物</w:t>
      </w:r>
      <w:r>
        <w:rPr>
          <w:rFonts w:hint="eastAsia" w:ascii="MS UI Gothic" w:eastAsia="MS UI Gothic"/>
          <w:w w:val="80"/>
        </w:rPr>
        <w:t xml:space="preserve">ꎬ </w:t>
      </w:r>
      <w:r>
        <w:rPr>
          <w:w w:val="105"/>
        </w:rPr>
        <w:t>或者谋取其他利益的</w:t>
      </w:r>
      <w:r>
        <w:rPr>
          <w:rFonts w:hint="eastAsia" w:ascii="MS UI Gothic" w:eastAsia="MS UI Gothic"/>
          <w:w w:val="80"/>
        </w:rPr>
        <w:t>ꎮ</w:t>
      </w:r>
    </w:p>
    <w:p>
      <w:pPr>
        <w:pStyle w:val="6"/>
        <w:spacing w:line="295" w:lineRule="auto"/>
        <w:ind w:right="440"/>
        <w:rPr>
          <w:rFonts w:hint="eastAsia" w:ascii="MS UI Gothic" w:eastAsia="MS UI Gothic"/>
        </w:rPr>
      </w:pPr>
      <w:r>
        <w:rPr>
          <w:spacing w:val="12"/>
        </w:rPr>
        <w:t>第三十七条 承担安全评价</w:t>
      </w:r>
      <w:r>
        <w:rPr>
          <w:rFonts w:hint="eastAsia" w:ascii="MS UI Gothic" w:eastAsia="MS UI Gothic"/>
          <w:spacing w:val="13"/>
          <w:w w:val="85"/>
        </w:rPr>
        <w:t xml:space="preserve">、 </w:t>
      </w:r>
      <w:r>
        <w:rPr>
          <w:spacing w:val="9"/>
        </w:rPr>
        <w:t>检测</w:t>
      </w:r>
      <w:r>
        <w:rPr>
          <w:rFonts w:hint="eastAsia" w:ascii="MS UI Gothic" w:eastAsia="MS UI Gothic"/>
          <w:w w:val="85"/>
        </w:rPr>
        <w:t>、</w:t>
      </w:r>
      <w:r>
        <w:rPr>
          <w:spacing w:val="3"/>
        </w:rPr>
        <w:t>检验工作的机构</w:t>
      </w:r>
      <w:r>
        <w:rPr>
          <w:rFonts w:hint="eastAsia" w:ascii="MS UI Gothic" w:eastAsia="MS UI Gothic"/>
          <w:spacing w:val="4"/>
          <w:w w:val="85"/>
        </w:rPr>
        <w:t xml:space="preserve">ꎬ </w:t>
      </w:r>
      <w:r>
        <w:rPr>
          <w:spacing w:val="3"/>
        </w:rPr>
        <w:t>出具虚假安全评价</w:t>
      </w:r>
      <w:r>
        <w:rPr>
          <w:rFonts w:hint="eastAsia" w:ascii="MS UI Gothic" w:eastAsia="MS UI Gothic"/>
          <w:spacing w:val="4"/>
          <w:w w:val="85"/>
        </w:rPr>
        <w:t xml:space="preserve">、 </w:t>
      </w:r>
      <w:r>
        <w:t>检</w:t>
      </w:r>
      <w:r>
        <w:rPr>
          <w:spacing w:val="3"/>
        </w:rPr>
        <w:t>测</w:t>
      </w:r>
      <w:r>
        <w:rPr>
          <w:rFonts w:hint="eastAsia" w:ascii="MS UI Gothic" w:eastAsia="MS UI Gothic"/>
          <w:spacing w:val="2"/>
          <w:w w:val="85"/>
        </w:rPr>
        <w:t xml:space="preserve">、 </w:t>
      </w:r>
      <w:r>
        <w:rPr>
          <w:spacing w:val="15"/>
        </w:rPr>
        <w:t>检验报告或者证明的</w:t>
      </w:r>
      <w:r>
        <w:rPr>
          <w:rFonts w:hint="eastAsia" w:ascii="MS UI Gothic" w:eastAsia="MS UI Gothic"/>
          <w:spacing w:val="9"/>
          <w:w w:val="85"/>
        </w:rPr>
        <w:t xml:space="preserve">ꎬ </w:t>
      </w:r>
      <w:r>
        <w:rPr>
          <w:spacing w:val="18"/>
        </w:rPr>
        <w:t>没收违法所</w:t>
      </w:r>
      <w:r>
        <w:rPr>
          <w:spacing w:val="3"/>
        </w:rPr>
        <w:t>得</w:t>
      </w:r>
      <w:r>
        <w:rPr>
          <w:rFonts w:hint="eastAsia" w:ascii="MS UI Gothic" w:eastAsia="MS UI Gothic"/>
          <w:spacing w:val="15"/>
          <w:w w:val="85"/>
        </w:rPr>
        <w:t xml:space="preserve">ꎻ </w:t>
      </w:r>
      <w:r>
        <w:rPr>
          <w:spacing w:val="-4"/>
        </w:rPr>
        <w:t xml:space="preserve">违法所得在 </w:t>
      </w:r>
      <w:r>
        <w:rPr>
          <w:rFonts w:hint="eastAsia" w:ascii="MS UI Gothic" w:eastAsia="MS UI Gothic"/>
          <w:spacing w:val="1"/>
          <w:w w:val="85"/>
        </w:rPr>
        <w:t xml:space="preserve">１０ </w:t>
      </w:r>
      <w:r>
        <w:rPr>
          <w:spacing w:val="11"/>
        </w:rPr>
        <w:t>万元以上的</w:t>
      </w:r>
      <w:r>
        <w:rPr>
          <w:rFonts w:hint="eastAsia" w:ascii="MS UI Gothic" w:eastAsia="MS UI Gothic"/>
          <w:spacing w:val="17"/>
          <w:w w:val="85"/>
        </w:rPr>
        <w:t xml:space="preserve">ꎬ </w:t>
      </w:r>
      <w:r>
        <w:rPr>
          <w:spacing w:val="8"/>
        </w:rPr>
        <w:t>并处违</w:t>
      </w:r>
      <w:r>
        <w:rPr>
          <w:spacing w:val="-13"/>
        </w:rPr>
        <w:t xml:space="preserve">法所得 </w:t>
      </w:r>
      <w:r>
        <w:rPr>
          <w:rFonts w:hint="eastAsia" w:ascii="MS UI Gothic" w:eastAsia="MS UI Gothic"/>
          <w:spacing w:val="2"/>
          <w:w w:val="85"/>
        </w:rPr>
        <w:t xml:space="preserve">２ </w:t>
      </w:r>
      <w:r>
        <w:rPr>
          <w:spacing w:val="-12"/>
        </w:rPr>
        <w:t xml:space="preserve">倍以上 </w:t>
      </w:r>
      <w:r>
        <w:rPr>
          <w:rFonts w:hint="eastAsia" w:ascii="MS UI Gothic" w:eastAsia="MS UI Gothic"/>
          <w:spacing w:val="2"/>
          <w:w w:val="85"/>
        </w:rPr>
        <w:t xml:space="preserve">５ </w:t>
      </w:r>
      <w:r>
        <w:rPr>
          <w:spacing w:val="3"/>
        </w:rPr>
        <w:t>倍以下的罚款</w:t>
      </w:r>
      <w:r>
        <w:rPr>
          <w:rFonts w:hint="eastAsia" w:ascii="MS UI Gothic" w:eastAsia="MS UI Gothic"/>
          <w:w w:val="85"/>
        </w:rPr>
        <w:t xml:space="preserve">ꎬ  </w:t>
      </w:r>
      <w:r>
        <w:rPr>
          <w:spacing w:val="3"/>
        </w:rPr>
        <w:t>没有违</w:t>
      </w:r>
      <w:r>
        <w:rPr>
          <w:spacing w:val="2"/>
        </w:rPr>
        <w:t xml:space="preserve">法所得或者违法所得不足 </w:t>
      </w:r>
      <w:r>
        <w:rPr>
          <w:rFonts w:hint="eastAsia" w:ascii="MS UI Gothic" w:eastAsia="MS UI Gothic"/>
          <w:spacing w:val="5"/>
          <w:w w:val="85"/>
        </w:rPr>
        <w:t xml:space="preserve">１０ </w:t>
      </w:r>
      <w:r>
        <w:rPr>
          <w:spacing w:val="9"/>
        </w:rPr>
        <w:t>万元的</w:t>
      </w:r>
      <w:r>
        <w:rPr>
          <w:rFonts w:hint="eastAsia" w:ascii="MS UI Gothic" w:eastAsia="MS UI Gothic"/>
          <w:spacing w:val="3"/>
          <w:w w:val="85"/>
        </w:rPr>
        <w:t xml:space="preserve">ꎬ </w:t>
      </w:r>
      <w:r>
        <w:t>单</w:t>
      </w:r>
      <w:r>
        <w:rPr>
          <w:spacing w:val="-6"/>
        </w:rPr>
        <w:t xml:space="preserve">处或者并处 </w:t>
      </w:r>
      <w:r>
        <w:rPr>
          <w:rFonts w:hint="eastAsia" w:ascii="MS UI Gothic" w:eastAsia="MS UI Gothic"/>
          <w:spacing w:val="4"/>
          <w:w w:val="85"/>
        </w:rPr>
        <w:t xml:space="preserve">１０ </w:t>
      </w:r>
      <w:r>
        <w:rPr>
          <w:spacing w:val="-7"/>
        </w:rPr>
        <w:t xml:space="preserve">万元以上 </w:t>
      </w:r>
      <w:r>
        <w:rPr>
          <w:rFonts w:hint="eastAsia" w:ascii="MS UI Gothic" w:eastAsia="MS UI Gothic"/>
          <w:spacing w:val="4"/>
          <w:w w:val="85"/>
        </w:rPr>
        <w:t xml:space="preserve">２０ </w:t>
      </w:r>
      <w:r>
        <w:rPr>
          <w:spacing w:val="3"/>
        </w:rPr>
        <w:t>万元以下的罚款</w:t>
      </w:r>
      <w:r>
        <w:rPr>
          <w:rFonts w:hint="eastAsia" w:ascii="MS UI Gothic" w:eastAsia="MS UI Gothic"/>
          <w:spacing w:val="12"/>
          <w:w w:val="85"/>
        </w:rPr>
        <w:t xml:space="preserve">ꎬ </w:t>
      </w:r>
      <w:r>
        <w:rPr>
          <w:spacing w:val="2"/>
        </w:rPr>
        <w:t>对其直接负责的主管人员和其他直接</w:t>
      </w:r>
      <w:r>
        <w:t xml:space="preserve">责任人员处 </w:t>
      </w:r>
      <w:r>
        <w:rPr>
          <w:rFonts w:hint="eastAsia" w:ascii="MS UI Gothic" w:eastAsia="MS UI Gothic"/>
          <w:spacing w:val="20"/>
          <w:w w:val="85"/>
        </w:rPr>
        <w:t xml:space="preserve">２ </w:t>
      </w:r>
      <w:r>
        <w:rPr>
          <w:spacing w:val="7"/>
        </w:rPr>
        <w:t xml:space="preserve">万元以上 </w:t>
      </w:r>
      <w:r>
        <w:rPr>
          <w:rFonts w:hint="eastAsia" w:ascii="MS UI Gothic" w:eastAsia="MS UI Gothic"/>
          <w:spacing w:val="19"/>
          <w:w w:val="85"/>
        </w:rPr>
        <w:t xml:space="preserve">５ </w:t>
      </w:r>
      <w:r>
        <w:rPr>
          <w:spacing w:val="15"/>
        </w:rPr>
        <w:t>万元以下的罚</w:t>
      </w:r>
      <w:r>
        <w:rPr>
          <w:spacing w:val="3"/>
        </w:rPr>
        <w:t>款</w:t>
      </w:r>
      <w:r>
        <w:rPr>
          <w:rFonts w:hint="eastAsia" w:ascii="MS UI Gothic" w:eastAsia="MS UI Gothic"/>
          <w:spacing w:val="17"/>
          <w:w w:val="85"/>
        </w:rPr>
        <w:t xml:space="preserve">ꎻ </w:t>
      </w:r>
      <w:r>
        <w:rPr>
          <w:spacing w:val="3"/>
        </w:rPr>
        <w:t>给他人造成损害的</w:t>
      </w:r>
      <w:r>
        <w:rPr>
          <w:rFonts w:hint="eastAsia" w:ascii="MS UI Gothic" w:eastAsia="MS UI Gothic"/>
          <w:spacing w:val="17"/>
          <w:w w:val="85"/>
        </w:rPr>
        <w:t xml:space="preserve">ꎬ </w:t>
      </w:r>
      <w:r>
        <w:rPr>
          <w:spacing w:val="2"/>
        </w:rPr>
        <w:t>与煤矿企业承担</w:t>
      </w:r>
      <w:r>
        <w:rPr>
          <w:spacing w:val="3"/>
        </w:rPr>
        <w:t>连带赔偿责任</w:t>
      </w:r>
      <w:r>
        <w:rPr>
          <w:rFonts w:hint="eastAsia" w:ascii="MS UI Gothic" w:eastAsia="MS UI Gothic"/>
          <w:spacing w:val="17"/>
          <w:w w:val="85"/>
        </w:rPr>
        <w:t xml:space="preserve">ꎻ </w:t>
      </w:r>
      <w:r>
        <w:rPr>
          <w:spacing w:val="3"/>
        </w:rPr>
        <w:t>构成犯罪的</w:t>
      </w:r>
      <w:r>
        <w:rPr>
          <w:rFonts w:hint="eastAsia" w:ascii="MS UI Gothic" w:eastAsia="MS UI Gothic"/>
          <w:spacing w:val="17"/>
          <w:w w:val="85"/>
        </w:rPr>
        <w:t xml:space="preserve">ꎬ </w:t>
      </w:r>
      <w:r>
        <w:rPr>
          <w:spacing w:val="2"/>
        </w:rPr>
        <w:t>依照刑法有</w:t>
      </w:r>
      <w:r>
        <w:rPr>
          <w:spacing w:val="3"/>
        </w:rPr>
        <w:t>关规定追究刑事责任</w:t>
      </w:r>
      <w:r>
        <w:rPr>
          <w:rFonts w:hint="eastAsia" w:ascii="MS UI Gothic" w:eastAsia="MS UI Gothic"/>
          <w:w w:val="85"/>
        </w:rPr>
        <w:t>ꎮ</w:t>
      </w:r>
    </w:p>
    <w:p>
      <w:pPr>
        <w:pStyle w:val="6"/>
        <w:spacing w:line="295" w:lineRule="auto"/>
        <w:ind w:right="442"/>
        <w:rPr>
          <w:rFonts w:hint="eastAsia" w:ascii="MS UI Gothic" w:eastAsia="MS UI Gothic"/>
        </w:rPr>
      </w:pPr>
      <w:r>
        <w:t>对有前款违法行为的机构</w:t>
      </w:r>
      <w:r>
        <w:rPr>
          <w:rFonts w:hint="eastAsia" w:ascii="MS UI Gothic" w:eastAsia="MS UI Gothic"/>
          <w:w w:val="80"/>
        </w:rPr>
        <w:t xml:space="preserve">ꎬ </w:t>
      </w:r>
      <w:r>
        <w:t>依法吊销其相应资质</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第三十八条 安全生产许可证颁发管</w:t>
      </w:r>
      <w:r>
        <w:t>理机关应当加强对取得安全生产许可证的煤矿企业的监督检查</w:t>
      </w:r>
      <w:r>
        <w:rPr>
          <w:rFonts w:hint="eastAsia" w:ascii="MS UI Gothic" w:eastAsia="MS UI Gothic"/>
          <w:w w:val="80"/>
        </w:rPr>
        <w:t xml:space="preserve">ꎬ </w:t>
      </w:r>
      <w:r>
        <w:t>发现其不再具备本实施办法规定的安全生产条件的</w:t>
      </w:r>
      <w:r>
        <w:rPr>
          <w:rFonts w:hint="eastAsia" w:ascii="MS UI Gothic" w:eastAsia="MS UI Gothic"/>
          <w:w w:val="80"/>
        </w:rPr>
        <w:t xml:space="preserve">ꎬ </w:t>
      </w:r>
      <w:r>
        <w:t>应当责令限期整改</w:t>
      </w:r>
      <w:r>
        <w:rPr>
          <w:rFonts w:hint="eastAsia" w:ascii="MS UI Gothic" w:eastAsia="MS UI Gothic"/>
          <w:w w:val="80"/>
        </w:rPr>
        <w:t xml:space="preserve">ꎬ </w:t>
      </w:r>
      <w:r>
        <w:t>依法暂扣安全生产许可证</w:t>
      </w:r>
      <w:r>
        <w:rPr>
          <w:rFonts w:hint="eastAsia" w:ascii="MS UI Gothic" w:eastAsia="MS UI Gothic"/>
          <w:w w:val="80"/>
        </w:rPr>
        <w:t>ꎻ</w:t>
      </w:r>
      <w:r>
        <w:t>经整改仍不具备本实施办法规定的安全生</w:t>
      </w:r>
      <w:r>
        <w:rPr>
          <w:w w:val="105"/>
        </w:rPr>
        <w:t>产条件的</w:t>
      </w:r>
      <w:r>
        <w:rPr>
          <w:rFonts w:hint="eastAsia" w:ascii="MS UI Gothic" w:eastAsia="MS UI Gothic"/>
          <w:w w:val="80"/>
        </w:rPr>
        <w:t xml:space="preserve">ꎬ </w:t>
      </w:r>
      <w:r>
        <w:rPr>
          <w:w w:val="105"/>
        </w:rPr>
        <w:t>依法吊销安全生产许可证</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第三十九条 取得安全生产许可证的</w:t>
      </w:r>
      <w:r>
        <w:rPr>
          <w:spacing w:val="3"/>
        </w:rPr>
        <w:t>煤矿企业</w:t>
      </w:r>
      <w:r>
        <w:rPr>
          <w:rFonts w:hint="eastAsia" w:ascii="MS UI Gothic" w:eastAsia="MS UI Gothic"/>
          <w:w w:val="85"/>
        </w:rPr>
        <w:t xml:space="preserve">ꎬ </w:t>
      </w:r>
      <w:r>
        <w:rPr>
          <w:spacing w:val="3"/>
        </w:rPr>
        <w:t>倒卖</w:t>
      </w:r>
      <w:r>
        <w:rPr>
          <w:rFonts w:hint="eastAsia" w:ascii="MS UI Gothic" w:eastAsia="MS UI Gothic"/>
          <w:spacing w:val="1"/>
          <w:w w:val="85"/>
        </w:rPr>
        <w:t xml:space="preserve">、 </w:t>
      </w:r>
      <w:r>
        <w:rPr>
          <w:spacing w:val="3"/>
        </w:rPr>
        <w:t>出租</w:t>
      </w:r>
      <w:r>
        <w:rPr>
          <w:rFonts w:hint="eastAsia" w:ascii="MS UI Gothic" w:eastAsia="MS UI Gothic"/>
          <w:spacing w:val="1"/>
          <w:w w:val="85"/>
        </w:rPr>
        <w:t xml:space="preserve">、 </w:t>
      </w:r>
      <w:r>
        <w:rPr>
          <w:spacing w:val="2"/>
        </w:rPr>
        <w:t>出借或者以其他</w:t>
      </w:r>
      <w:r>
        <w:rPr>
          <w:spacing w:val="3"/>
        </w:rPr>
        <w:t>形式非法转让安全生产许可证的</w:t>
      </w:r>
      <w:r>
        <w:rPr>
          <w:rFonts w:hint="eastAsia" w:ascii="MS UI Gothic" w:eastAsia="MS UI Gothic"/>
          <w:spacing w:val="13"/>
          <w:w w:val="85"/>
        </w:rPr>
        <w:t xml:space="preserve">ꎬ </w:t>
      </w:r>
      <w:r>
        <w:rPr>
          <w:spacing w:val="1"/>
        </w:rPr>
        <w:t>没收违</w:t>
      </w:r>
      <w:r>
        <w:rPr>
          <w:spacing w:val="3"/>
        </w:rPr>
        <w:t>法所得</w:t>
      </w:r>
      <w:r>
        <w:rPr>
          <w:rFonts w:hint="eastAsia" w:ascii="MS UI Gothic" w:eastAsia="MS UI Gothic"/>
          <w:spacing w:val="20"/>
          <w:w w:val="85"/>
        </w:rPr>
        <w:t xml:space="preserve">ꎬ </w:t>
      </w:r>
      <w:r>
        <w:rPr>
          <w:spacing w:val="-28"/>
        </w:rPr>
        <w:t xml:space="preserve">处 </w:t>
      </w:r>
      <w:r>
        <w:rPr>
          <w:rFonts w:hint="eastAsia" w:ascii="MS UI Gothic" w:eastAsia="MS UI Gothic"/>
          <w:w w:val="85"/>
        </w:rPr>
        <w:t xml:space="preserve">１０ </w:t>
      </w:r>
      <w:r>
        <w:rPr>
          <w:spacing w:val="-10"/>
        </w:rPr>
        <w:t xml:space="preserve">万元以上 </w:t>
      </w:r>
      <w:r>
        <w:rPr>
          <w:rFonts w:hint="eastAsia" w:ascii="MS UI Gothic" w:eastAsia="MS UI Gothic"/>
          <w:spacing w:val="-1"/>
          <w:w w:val="85"/>
        </w:rPr>
        <w:t xml:space="preserve">５０ </w:t>
      </w:r>
      <w:r>
        <w:rPr>
          <w:spacing w:val="3"/>
        </w:rPr>
        <w:t>万元以下的罚款</w:t>
      </w:r>
      <w:r>
        <w:rPr>
          <w:rFonts w:hint="eastAsia" w:ascii="MS UI Gothic" w:eastAsia="MS UI Gothic"/>
          <w:spacing w:val="16"/>
          <w:w w:val="85"/>
        </w:rPr>
        <w:t xml:space="preserve">ꎬ </w:t>
      </w:r>
      <w:r>
        <w:rPr>
          <w:spacing w:val="15"/>
        </w:rPr>
        <w:t>吊销其安全生产许可证</w:t>
      </w:r>
      <w:r>
        <w:rPr>
          <w:rFonts w:hint="eastAsia" w:ascii="MS UI Gothic" w:eastAsia="MS UI Gothic"/>
          <w:spacing w:val="21"/>
          <w:w w:val="85"/>
        </w:rPr>
        <w:t xml:space="preserve">ꎻ </w:t>
      </w:r>
      <w:r>
        <w:rPr>
          <w:spacing w:val="17"/>
        </w:rPr>
        <w:t>构成犯罪</w:t>
      </w:r>
      <w:r>
        <w:rPr>
          <w:spacing w:val="3"/>
        </w:rPr>
        <w:t>的</w:t>
      </w:r>
      <w:r>
        <w:rPr>
          <w:rFonts w:hint="eastAsia" w:ascii="MS UI Gothic" w:eastAsia="MS UI Gothic"/>
          <w:spacing w:val="24"/>
          <w:w w:val="85"/>
        </w:rPr>
        <w:t xml:space="preserve">ꎬ </w:t>
      </w:r>
      <w:r>
        <w:rPr>
          <w:spacing w:val="3"/>
        </w:rPr>
        <w:t>依法追究刑事责任</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２３７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42" o:spid="_x0000_s1742" o:spt="203" style="height:2.15pt;width:398.25pt;" coordsize="7965,43">
            <o:lock v:ext="edit"/>
            <v:line id="_x0000_s1743" o:spid="_x0000_s1743" o:spt="20" style="position:absolute;left:0;top:39;height:0;width:7965;" stroked="t" coordsize="21600,21600">
              <v:path arrowok="t"/>
              <v:fill focussize="0,0"/>
              <v:stroke weight="0.388031496062992pt" color="#231F20"/>
              <v:imagedata o:title=""/>
              <o:lock v:ext="edit"/>
            </v:line>
            <v:line id="_x0000_s1744" o:spid="_x0000_s174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t>第四十条 发现煤矿企业有下列行为之一的</w:t>
      </w:r>
      <w:r>
        <w:rPr>
          <w:rFonts w:hint="eastAsia" w:ascii="MS UI Gothic" w:eastAsia="MS UI Gothic"/>
          <w:w w:val="80"/>
        </w:rPr>
        <w:t xml:space="preserve">ꎬ </w:t>
      </w:r>
      <w:r>
        <w:t>责令停止生产</w:t>
      </w:r>
      <w:r>
        <w:rPr>
          <w:rFonts w:hint="eastAsia" w:ascii="MS UI Gothic" w:eastAsia="MS UI Gothic"/>
          <w:w w:val="80"/>
        </w:rPr>
        <w:t xml:space="preserve">ꎬ </w:t>
      </w:r>
      <w:r>
        <w:t>没收违法所得</w:t>
      </w:r>
      <w:r>
        <w:rPr>
          <w:rFonts w:hint="eastAsia" w:ascii="MS UI Gothic" w:eastAsia="MS UI Gothic"/>
          <w:w w:val="80"/>
        </w:rPr>
        <w:t>ꎬ</w:t>
      </w:r>
      <w:r>
        <w:t xml:space="preserve">并处 </w:t>
      </w:r>
      <w:r>
        <w:rPr>
          <w:rFonts w:hint="eastAsia" w:ascii="MS UI Gothic" w:eastAsia="MS UI Gothic"/>
          <w:w w:val="80"/>
        </w:rPr>
        <w:t xml:space="preserve">１０ </w:t>
      </w:r>
      <w:r>
        <w:t xml:space="preserve">万元以上 </w:t>
      </w:r>
      <w:r>
        <w:rPr>
          <w:rFonts w:hint="eastAsia" w:ascii="MS UI Gothic" w:eastAsia="MS UI Gothic"/>
          <w:w w:val="80"/>
        </w:rPr>
        <w:t xml:space="preserve">５０ </w:t>
      </w:r>
      <w:r>
        <w:t>万元以下的罚款</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230"/>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未取得安全生产许可证</w:t>
      </w:r>
      <w:r>
        <w:rPr>
          <w:rFonts w:hint="eastAsia" w:ascii="MS UI Gothic" w:eastAsia="MS UI Gothic"/>
          <w:w w:val="80"/>
        </w:rPr>
        <w:t xml:space="preserve">ꎬ </w:t>
      </w:r>
      <w:r>
        <w:rPr>
          <w:w w:val="105"/>
        </w:rPr>
        <w:t>擅自进行生产的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6"/>
          <w:w w:val="130"/>
        </w:rPr>
        <w:t xml:space="preserve">( </w:t>
      </w:r>
      <w:r>
        <w:rPr>
          <w:spacing w:val="29"/>
          <w:w w:val="110"/>
        </w:rPr>
        <w:t>二</w:t>
      </w:r>
      <w:r>
        <w:rPr>
          <w:rFonts w:hint="eastAsia" w:ascii="MS UI Gothic" w:eastAsia="MS UI Gothic"/>
          <w:spacing w:val="-13"/>
          <w:w w:val="130"/>
        </w:rPr>
        <w:t xml:space="preserve">) </w:t>
      </w:r>
      <w:r>
        <w:rPr>
          <w:spacing w:val="40"/>
          <w:w w:val="110"/>
        </w:rPr>
        <w:t>接受转让的安全生产许可</w:t>
      </w:r>
      <w:r>
        <w:rPr>
          <w:spacing w:val="3"/>
          <w:w w:val="110"/>
        </w:rPr>
        <w:t>证的</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冒用安全生产许可证的</w:t>
      </w:r>
      <w:r>
        <w:rPr>
          <w:rFonts w:hint="eastAsia" w:ascii="MS UI Gothic" w:eastAsia="MS UI Gothic"/>
          <w:w w:val="80"/>
        </w:rPr>
        <w:t>ꎻ</w:t>
      </w:r>
    </w:p>
    <w:p>
      <w:pPr>
        <w:pStyle w:val="6"/>
        <w:spacing w:before="53"/>
        <w:ind w:left="860" w:firstLine="0"/>
        <w:rPr>
          <w:rFonts w:hint="eastAsia" w:ascii="MS UI Gothic" w:eastAsia="MS UI Gothic"/>
        </w:rPr>
      </w:pPr>
      <w:r>
        <w:rPr>
          <w:rFonts w:hint="eastAsia" w:ascii="MS UI Gothic" w:eastAsia="MS UI Gothic"/>
          <w:spacing w:val="-43"/>
          <w:w w:val="150"/>
        </w:rPr>
        <w:t xml:space="preserve">( </w:t>
      </w:r>
      <w:r>
        <w:rPr>
          <w:spacing w:val="3"/>
          <w:w w:val="110"/>
        </w:rPr>
        <w:t>四</w:t>
      </w:r>
      <w:r>
        <w:rPr>
          <w:rFonts w:hint="eastAsia" w:ascii="MS UI Gothic" w:eastAsia="MS UI Gothic"/>
          <w:spacing w:val="-25"/>
          <w:w w:val="150"/>
        </w:rPr>
        <w:t xml:space="preserve">) </w:t>
      </w:r>
      <w:r>
        <w:rPr>
          <w:spacing w:val="3"/>
          <w:w w:val="110"/>
        </w:rPr>
        <w:t>使用伪造安全生产许可证的</w:t>
      </w:r>
      <w:r>
        <w:rPr>
          <w:rFonts w:hint="eastAsia" w:ascii="MS UI Gothic" w:eastAsia="MS UI Gothic"/>
          <w:w w:val="80"/>
        </w:rPr>
        <w:t>ꎮ</w:t>
      </w:r>
    </w:p>
    <w:p>
      <w:pPr>
        <w:pStyle w:val="6"/>
        <w:spacing w:before="59" w:line="295" w:lineRule="auto"/>
        <w:ind w:left="440"/>
        <w:rPr>
          <w:rFonts w:hint="eastAsia" w:ascii="MS UI Gothic" w:eastAsia="MS UI Gothic"/>
        </w:rPr>
      </w:pPr>
      <w:r>
        <w:t>第四十一条 在安全生产许可证有效期满未申请办理延期手续</w:t>
      </w:r>
      <w:r>
        <w:rPr>
          <w:rFonts w:hint="eastAsia" w:ascii="MS UI Gothic" w:eastAsia="MS UI Gothic"/>
          <w:w w:val="85"/>
        </w:rPr>
        <w:t xml:space="preserve">ꎬ </w:t>
      </w:r>
      <w:r>
        <w:t>继续进行生产的</w:t>
      </w:r>
      <w:r>
        <w:rPr>
          <w:rFonts w:hint="eastAsia" w:ascii="MS UI Gothic" w:eastAsia="MS UI Gothic"/>
          <w:w w:val="85"/>
        </w:rPr>
        <w:t xml:space="preserve">ꎬ </w:t>
      </w:r>
      <w:r>
        <w:t>责令停止生产</w:t>
      </w:r>
      <w:r>
        <w:rPr>
          <w:rFonts w:hint="eastAsia" w:ascii="MS UI Gothic" w:eastAsia="MS UI Gothic"/>
          <w:w w:val="85"/>
        </w:rPr>
        <w:t xml:space="preserve">ꎬ </w:t>
      </w:r>
      <w:r>
        <w:t>限期补办延期手续</w:t>
      </w:r>
      <w:r>
        <w:rPr>
          <w:rFonts w:hint="eastAsia" w:ascii="MS UI Gothic" w:eastAsia="MS UI Gothic"/>
          <w:w w:val="85"/>
        </w:rPr>
        <w:t>ꎬ</w:t>
      </w:r>
      <w:r>
        <w:t>没收违法所得</w:t>
      </w:r>
      <w:r>
        <w:rPr>
          <w:rFonts w:hint="eastAsia" w:ascii="MS UI Gothic" w:eastAsia="MS UI Gothic"/>
          <w:w w:val="85"/>
        </w:rPr>
        <w:t xml:space="preserve">ꎬ </w:t>
      </w:r>
      <w:r>
        <w:t xml:space="preserve">并处 </w:t>
      </w:r>
      <w:r>
        <w:rPr>
          <w:rFonts w:hint="eastAsia" w:ascii="MS UI Gothic" w:eastAsia="MS UI Gothic"/>
          <w:w w:val="85"/>
        </w:rPr>
        <w:t xml:space="preserve">５ </w:t>
      </w:r>
      <w:r>
        <w:t xml:space="preserve">万元以上 </w:t>
      </w:r>
      <w:r>
        <w:rPr>
          <w:rFonts w:hint="eastAsia" w:ascii="MS UI Gothic" w:eastAsia="MS UI Gothic"/>
          <w:w w:val="85"/>
        </w:rPr>
        <w:t xml:space="preserve">１０ </w:t>
      </w:r>
      <w:r>
        <w:t>万元以下的罚款</w:t>
      </w:r>
      <w:r>
        <w:rPr>
          <w:rFonts w:hint="eastAsia" w:ascii="MS UI Gothic" w:eastAsia="MS UI Gothic"/>
          <w:w w:val="85"/>
        </w:rPr>
        <w:t xml:space="preserve">ꎻ </w:t>
      </w:r>
      <w:r>
        <w:t>逾期仍不申请办理延期手续</w:t>
      </w:r>
      <w:r>
        <w:rPr>
          <w:rFonts w:hint="eastAsia" w:ascii="MS UI Gothic" w:eastAsia="MS UI Gothic"/>
          <w:w w:val="85"/>
        </w:rPr>
        <w:t xml:space="preserve">ꎬ </w:t>
      </w:r>
      <w:r>
        <w:t>依照本实施办法第二十九条</w:t>
      </w:r>
      <w:r>
        <w:rPr>
          <w:rFonts w:hint="eastAsia" w:ascii="MS UI Gothic" w:eastAsia="MS UI Gothic"/>
          <w:w w:val="85"/>
        </w:rPr>
        <w:t xml:space="preserve">、 </w:t>
      </w:r>
      <w:r>
        <w:t>第四十条的规定处理</w:t>
      </w:r>
      <w:r>
        <w:rPr>
          <w:rFonts w:hint="eastAsia" w:ascii="MS UI Gothic" w:eastAsia="MS UI Gothic"/>
          <w:w w:val="85"/>
        </w:rPr>
        <w:t>ꎮ</w:t>
      </w:r>
    </w:p>
    <w:p>
      <w:pPr>
        <w:pStyle w:val="6"/>
        <w:spacing w:line="295" w:lineRule="auto"/>
        <w:ind w:left="440" w:right="1"/>
      </w:pPr>
      <w:r>
        <w:t>第四十二条 在安全生产许可证有效期内</w:t>
      </w:r>
      <w:r>
        <w:rPr>
          <w:rFonts w:hint="eastAsia" w:ascii="MS UI Gothic" w:eastAsia="MS UI Gothic"/>
          <w:w w:val="80"/>
        </w:rPr>
        <w:t xml:space="preserve">ꎬ </w:t>
      </w:r>
      <w:r>
        <w:t>主要负责人</w:t>
      </w:r>
      <w:r>
        <w:rPr>
          <w:rFonts w:hint="eastAsia" w:ascii="MS UI Gothic" w:eastAsia="MS UI Gothic"/>
          <w:w w:val="80"/>
        </w:rPr>
        <w:t xml:space="preserve">、 </w:t>
      </w:r>
      <w:r>
        <w:t>隶属关系</w:t>
      </w:r>
      <w:r>
        <w:rPr>
          <w:rFonts w:hint="eastAsia" w:ascii="MS UI Gothic" w:eastAsia="MS UI Gothic"/>
          <w:w w:val="80"/>
        </w:rPr>
        <w:t xml:space="preserve">、 </w:t>
      </w:r>
      <w:r>
        <w:t>经济类型</w:t>
      </w:r>
      <w:r>
        <w:rPr>
          <w:rFonts w:hint="eastAsia" w:ascii="MS UI Gothic" w:eastAsia="MS UI Gothic"/>
          <w:w w:val="80"/>
        </w:rPr>
        <w:t xml:space="preserve">、 </w:t>
      </w:r>
      <w:r>
        <w:t>煤矿企业名称发生变化</w:t>
      </w:r>
      <w:r>
        <w:rPr>
          <w:rFonts w:hint="eastAsia" w:ascii="MS UI Gothic" w:eastAsia="MS UI Gothic"/>
          <w:w w:val="80"/>
        </w:rPr>
        <w:t xml:space="preserve">ꎬ </w:t>
      </w:r>
      <w:r>
        <w:t>未按本实施办法申请办理变更手续的</w:t>
      </w:r>
      <w:r>
        <w:rPr>
          <w:rFonts w:hint="eastAsia" w:ascii="MS UI Gothic" w:eastAsia="MS UI Gothic"/>
          <w:w w:val="80"/>
        </w:rPr>
        <w:t xml:space="preserve">ꎬ </w:t>
      </w:r>
      <w:r>
        <w:t>责令限期补办变更手续</w:t>
      </w:r>
      <w:r>
        <w:rPr>
          <w:rFonts w:hint="eastAsia" w:ascii="MS UI Gothic" w:eastAsia="MS UI Gothic"/>
          <w:w w:val="80"/>
        </w:rPr>
        <w:t xml:space="preserve">ꎬ </w:t>
      </w:r>
      <w:r>
        <w:t xml:space="preserve">并处 </w:t>
      </w:r>
      <w:r>
        <w:rPr>
          <w:rFonts w:hint="eastAsia" w:ascii="MS UI Gothic" w:eastAsia="MS UI Gothic"/>
          <w:w w:val="80"/>
        </w:rPr>
        <w:t xml:space="preserve">１ </w:t>
      </w:r>
      <w:r>
        <w:t xml:space="preserve">万元以上 </w:t>
      </w:r>
      <w:r>
        <w:rPr>
          <w:rFonts w:hint="eastAsia" w:ascii="MS UI Gothic" w:eastAsia="MS UI Gothic"/>
          <w:w w:val="80"/>
        </w:rPr>
        <w:t xml:space="preserve">３ </w:t>
      </w:r>
      <w:r>
        <w:t>万元以下</w:t>
      </w:r>
    </w:p>
    <w:p>
      <w:pPr>
        <w:spacing w:before="124"/>
        <w:ind w:left="381" w:right="0" w:firstLine="0"/>
        <w:jc w:val="left"/>
        <w:rPr>
          <w:rFonts w:hint="eastAsia" w:ascii="MS UI Gothic" w:eastAsia="MS UI Gothic"/>
          <w:sz w:val="20"/>
        </w:rPr>
      </w:pPr>
      <w:r>
        <w:br w:type="column"/>
      </w:r>
      <w:r>
        <w:rPr>
          <w:spacing w:val="3"/>
          <w:w w:val="85"/>
          <w:sz w:val="20"/>
        </w:rPr>
        <w:t>罚款</w:t>
      </w:r>
      <w:r>
        <w:rPr>
          <w:rFonts w:hint="eastAsia" w:ascii="MS UI Gothic" w:eastAsia="MS UI Gothic"/>
          <w:w w:val="80"/>
          <w:sz w:val="20"/>
        </w:rPr>
        <w:t>ꎮ</w:t>
      </w:r>
    </w:p>
    <w:p>
      <w:pPr>
        <w:pStyle w:val="6"/>
        <w:spacing w:before="58" w:line="295" w:lineRule="auto"/>
        <w:ind w:left="381" w:right="124"/>
        <w:rPr>
          <w:rFonts w:hint="eastAsia" w:ascii="MS UI Gothic" w:eastAsia="MS UI Gothic"/>
        </w:rPr>
      </w:pPr>
      <w:r>
        <w:rPr>
          <w:spacing w:val="3"/>
        </w:rPr>
        <w:t>改建</w:t>
      </w:r>
      <w:r>
        <w:rPr>
          <w:rFonts w:hint="eastAsia" w:ascii="MS UI Gothic" w:eastAsia="MS UI Gothic"/>
          <w:spacing w:val="8"/>
          <w:w w:val="80"/>
        </w:rPr>
        <w:t xml:space="preserve">、 </w:t>
      </w:r>
      <w:r>
        <w:rPr>
          <w:spacing w:val="3"/>
        </w:rPr>
        <w:t>扩建工程已经验收合格</w:t>
      </w:r>
      <w:r>
        <w:rPr>
          <w:rFonts w:hint="eastAsia" w:ascii="MS UI Gothic" w:eastAsia="MS UI Gothic"/>
          <w:spacing w:val="8"/>
          <w:w w:val="80"/>
        </w:rPr>
        <w:t xml:space="preserve">ꎬ </w:t>
      </w:r>
      <w:r>
        <w:rPr>
          <w:spacing w:val="1"/>
        </w:rPr>
        <w:t>未按</w:t>
      </w:r>
      <w:r>
        <w:rPr>
          <w:spacing w:val="2"/>
        </w:rPr>
        <w:t>本实施办法规定申请办理变更手续擅自投</w:t>
      </w:r>
      <w:r>
        <w:rPr>
          <w:spacing w:val="3"/>
        </w:rPr>
        <w:t>入生产的</w:t>
      </w:r>
      <w:r>
        <w:rPr>
          <w:rFonts w:hint="eastAsia" w:ascii="MS UI Gothic" w:eastAsia="MS UI Gothic"/>
          <w:spacing w:val="23"/>
          <w:w w:val="80"/>
        </w:rPr>
        <w:t xml:space="preserve">ꎬ </w:t>
      </w:r>
      <w:r>
        <w:rPr>
          <w:spacing w:val="3"/>
        </w:rPr>
        <w:t>责令停止生产</w:t>
      </w:r>
      <w:r>
        <w:rPr>
          <w:rFonts w:hint="eastAsia" w:ascii="MS UI Gothic" w:eastAsia="MS UI Gothic"/>
          <w:spacing w:val="23"/>
          <w:w w:val="80"/>
        </w:rPr>
        <w:t xml:space="preserve">ꎬ </w:t>
      </w:r>
      <w:r>
        <w:rPr>
          <w:spacing w:val="2"/>
        </w:rPr>
        <w:t>限期补办变更</w:t>
      </w:r>
      <w:r>
        <w:rPr>
          <w:spacing w:val="3"/>
        </w:rPr>
        <w:t>手续</w:t>
      </w:r>
      <w:r>
        <w:rPr>
          <w:rFonts w:hint="eastAsia" w:ascii="MS UI Gothic" w:eastAsia="MS UI Gothic"/>
          <w:spacing w:val="21"/>
          <w:w w:val="80"/>
        </w:rPr>
        <w:t xml:space="preserve">ꎬ </w:t>
      </w:r>
      <w:r>
        <w:rPr>
          <w:spacing w:val="-18"/>
        </w:rPr>
        <w:t xml:space="preserve">并处 </w:t>
      </w:r>
      <w:r>
        <w:rPr>
          <w:rFonts w:hint="eastAsia" w:ascii="MS UI Gothic" w:eastAsia="MS UI Gothic"/>
          <w:spacing w:val="4"/>
          <w:w w:val="80"/>
        </w:rPr>
        <w:t xml:space="preserve">１ </w:t>
      </w:r>
      <w:r>
        <w:rPr>
          <w:spacing w:val="-2"/>
        </w:rPr>
        <w:t xml:space="preserve">万元以上 </w:t>
      </w:r>
      <w:r>
        <w:rPr>
          <w:rFonts w:hint="eastAsia" w:ascii="MS UI Gothic" w:eastAsia="MS UI Gothic"/>
          <w:spacing w:val="6"/>
          <w:w w:val="80"/>
        </w:rPr>
        <w:t xml:space="preserve">３ </w:t>
      </w:r>
      <w:r>
        <w:rPr>
          <w:spacing w:val="11"/>
        </w:rPr>
        <w:t>万元以下罚款</w:t>
      </w:r>
      <w:r>
        <w:rPr>
          <w:rFonts w:hint="eastAsia" w:ascii="MS UI Gothic" w:eastAsia="MS UI Gothic"/>
          <w:w w:val="80"/>
        </w:rPr>
        <w:t>ꎻ</w:t>
      </w:r>
      <w:r>
        <w:rPr>
          <w:spacing w:val="12"/>
        </w:rPr>
        <w:t>逾期仍不办理变更手续</w:t>
      </w:r>
      <w:r>
        <w:rPr>
          <w:rFonts w:hint="eastAsia" w:ascii="MS UI Gothic" w:eastAsia="MS UI Gothic"/>
          <w:spacing w:val="23"/>
          <w:w w:val="80"/>
        </w:rPr>
        <w:t xml:space="preserve">ꎬ </w:t>
      </w:r>
      <w:r>
        <w:rPr>
          <w:spacing w:val="15"/>
        </w:rPr>
        <w:t>继续进行生产</w:t>
      </w:r>
      <w:r>
        <w:rPr>
          <w:spacing w:val="3"/>
        </w:rPr>
        <w:t>的</w:t>
      </w:r>
      <w:r>
        <w:rPr>
          <w:rFonts w:hint="eastAsia" w:ascii="MS UI Gothic" w:eastAsia="MS UI Gothic"/>
          <w:spacing w:val="17"/>
          <w:w w:val="80"/>
        </w:rPr>
        <w:t xml:space="preserve">ꎬ </w:t>
      </w:r>
      <w:r>
        <w:rPr>
          <w:spacing w:val="31"/>
        </w:rPr>
        <w:t>依照本实施办法第四十条的规定</w:t>
      </w:r>
      <w:r>
        <w:rPr>
          <w:spacing w:val="3"/>
        </w:rPr>
        <w:t>处罚</w:t>
      </w:r>
      <w:r>
        <w:rPr>
          <w:rFonts w:hint="eastAsia" w:ascii="MS UI Gothic" w:eastAsia="MS UI Gothic"/>
          <w:w w:val="80"/>
        </w:rPr>
        <w:t>ꎮ</w:t>
      </w:r>
    </w:p>
    <w:p>
      <w:pPr>
        <w:pStyle w:val="6"/>
        <w:tabs>
          <w:tab w:val="left" w:pos="2267"/>
          <w:tab w:val="left" w:pos="2896"/>
        </w:tabs>
        <w:spacing w:before="152"/>
        <w:ind w:left="1429"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215" w:line="295" w:lineRule="auto"/>
        <w:ind w:left="381" w:right="126"/>
        <w:rPr>
          <w:rFonts w:hint="eastAsia" w:ascii="MS UI Gothic" w:eastAsia="MS UI Gothic"/>
        </w:rPr>
      </w:pPr>
      <w:r>
        <w:rPr>
          <w:w w:val="105"/>
        </w:rPr>
        <w:t>第四十三条 本实施办法规定的行政</w:t>
      </w:r>
      <w:r>
        <w:t>处罚</w:t>
      </w:r>
      <w:r>
        <w:rPr>
          <w:rFonts w:hint="eastAsia" w:ascii="MS UI Gothic" w:eastAsia="MS UI Gothic"/>
          <w:w w:val="80"/>
        </w:rPr>
        <w:t xml:space="preserve">ꎬ </w:t>
      </w:r>
      <w:r>
        <w:t>由安全生产许可证颁发管理机关决定</w:t>
      </w:r>
      <w:r>
        <w:rPr>
          <w:rFonts w:hint="eastAsia" w:ascii="MS UI Gothic" w:eastAsia="MS UI Gothic"/>
          <w:w w:val="80"/>
        </w:rPr>
        <w:t xml:space="preserve">ꎮ </w:t>
      </w:r>
      <w:r>
        <w:t>除吊销安全生产许可证外</w:t>
      </w:r>
      <w:r>
        <w:rPr>
          <w:rFonts w:hint="eastAsia" w:ascii="MS UI Gothic" w:eastAsia="MS UI Gothic"/>
          <w:w w:val="80"/>
        </w:rPr>
        <w:t xml:space="preserve">ꎬ </w:t>
      </w:r>
      <w:r>
        <w:t>安全生产许可证颁发管理机关可以委托有关省级煤</w:t>
      </w:r>
      <w:r>
        <w:rPr>
          <w:w w:val="105"/>
        </w:rPr>
        <w:t>矿安全监察局</w:t>
      </w:r>
      <w:r>
        <w:rPr>
          <w:rFonts w:hint="eastAsia" w:ascii="MS UI Gothic" w:eastAsia="MS UI Gothic"/>
          <w:w w:val="80"/>
        </w:rPr>
        <w:t xml:space="preserve">、 </w:t>
      </w:r>
      <w:r>
        <w:rPr>
          <w:w w:val="105"/>
        </w:rPr>
        <w:t>煤矿安全监察分局实施行政处罚</w:t>
      </w:r>
      <w:r>
        <w:rPr>
          <w:rFonts w:hint="eastAsia" w:ascii="MS UI Gothic" w:eastAsia="MS UI Gothic"/>
          <w:w w:val="80"/>
        </w:rPr>
        <w:t>ꎮ</w:t>
      </w:r>
    </w:p>
    <w:p>
      <w:pPr>
        <w:pStyle w:val="6"/>
        <w:tabs>
          <w:tab w:val="left" w:pos="2086"/>
        </w:tabs>
        <w:spacing w:line="295" w:lineRule="auto"/>
        <w:ind w:left="381" w:right="126"/>
        <w:jc w:val="right"/>
      </w:pPr>
      <w:r>
        <w:pict>
          <v:shape id="_x0000_s1745" o:spid="_x0000_s1745" o:spt="202" type="#_x0000_t202" style="position:absolute;left:0pt;margin-left:280.35pt;margin-top:12pt;height:24.35pt;width:5.15pt;mso-position-horizontal-relative:page;z-index:-27581849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４</w:t>
                  </w:r>
                </w:p>
              </w:txbxContent>
            </v:textbox>
          </v:shape>
        </w:pict>
      </w:r>
      <w:r>
        <w:rPr>
          <w:spacing w:val="3"/>
          <w:w w:val="95"/>
        </w:rPr>
        <w:t>第四十</w:t>
      </w:r>
      <w:r>
        <w:rPr>
          <w:spacing w:val="9"/>
          <w:w w:val="95"/>
        </w:rPr>
        <w:t>四</w:t>
      </w:r>
      <w:r>
        <w:rPr>
          <w:w w:val="95"/>
        </w:rPr>
        <w:t>条</w:t>
      </w:r>
      <w:r>
        <w:rPr>
          <w:w w:val="95"/>
        </w:rPr>
        <w:tab/>
      </w:r>
      <w:r>
        <w:rPr>
          <w:spacing w:val="13"/>
          <w:w w:val="95"/>
        </w:rPr>
        <w:t>本</w:t>
      </w:r>
      <w:r>
        <w:rPr>
          <w:spacing w:val="15"/>
          <w:w w:val="95"/>
        </w:rPr>
        <w:t>实施办法</w:t>
      </w:r>
      <w:r>
        <w:rPr>
          <w:w w:val="95"/>
        </w:rPr>
        <w:t>自</w:t>
      </w:r>
      <w:r>
        <w:rPr>
          <w:spacing w:val="-30"/>
          <w:w w:val="95"/>
        </w:rPr>
        <w:t xml:space="preserve"> </w:t>
      </w:r>
      <w:r>
        <w:rPr>
          <w:rFonts w:hint="eastAsia" w:ascii="MS UI Gothic" w:hAnsi="MS UI Gothic" w:eastAsia="MS UI Gothic"/>
          <w:w w:val="95"/>
        </w:rPr>
        <w:t>２０１６</w:t>
      </w:r>
      <w:r>
        <w:rPr>
          <w:rFonts w:hint="eastAsia" w:ascii="MS UI Gothic" w:hAnsi="MS UI Gothic" w:eastAsia="MS UI Gothic"/>
          <w:spacing w:val="14"/>
          <w:w w:val="95"/>
        </w:rPr>
        <w:t xml:space="preserve"> </w:t>
      </w:r>
      <w:r>
        <w:rPr>
          <w:spacing w:val="-13"/>
          <w:w w:val="95"/>
        </w:rPr>
        <w:t>年</w:t>
      </w:r>
      <w:r>
        <w:rPr>
          <w:w w:val="95"/>
        </w:rPr>
        <w:t>月</w:t>
      </w:r>
      <w:r>
        <w:rPr>
          <w:spacing w:val="-13"/>
          <w:w w:val="95"/>
        </w:rPr>
        <w:t xml:space="preserve"> </w:t>
      </w:r>
      <w:r>
        <w:rPr>
          <w:rFonts w:hint="eastAsia" w:ascii="MS UI Gothic" w:hAnsi="MS UI Gothic" w:eastAsia="MS UI Gothic"/>
          <w:w w:val="95"/>
        </w:rPr>
        <w:t>１</w:t>
      </w:r>
      <w:r>
        <w:rPr>
          <w:rFonts w:hint="eastAsia" w:ascii="MS UI Gothic" w:hAnsi="MS UI Gothic" w:eastAsia="MS UI Gothic"/>
          <w:spacing w:val="37"/>
          <w:w w:val="95"/>
        </w:rPr>
        <w:t xml:space="preserve"> </w:t>
      </w:r>
      <w:r>
        <w:rPr>
          <w:spacing w:val="3"/>
          <w:w w:val="95"/>
        </w:rPr>
        <w:t>日起施行</w:t>
      </w:r>
      <w:r>
        <w:rPr>
          <w:rFonts w:hint="eastAsia" w:ascii="MS UI Gothic" w:hAnsi="MS UI Gothic" w:eastAsia="MS UI Gothic"/>
          <w:w w:val="85"/>
        </w:rPr>
        <w:t>ꎮ</w:t>
      </w:r>
      <w:r>
        <w:rPr>
          <w:rFonts w:hint="eastAsia" w:ascii="MS UI Gothic" w:hAnsi="MS UI Gothic" w:eastAsia="MS UI Gothic"/>
          <w:spacing w:val="29"/>
          <w:w w:val="85"/>
        </w:rPr>
        <w:t xml:space="preserve"> </w:t>
      </w:r>
      <w:r>
        <w:rPr>
          <w:spacing w:val="9"/>
          <w:w w:val="95"/>
        </w:rPr>
        <w:t>原国家安全生产监督</w:t>
      </w:r>
      <w:r>
        <w:rPr>
          <w:w w:val="95"/>
        </w:rPr>
        <w:t>管</w:t>
      </w:r>
      <w:r>
        <w:rPr>
          <w:spacing w:val="3"/>
          <w:w w:val="95"/>
        </w:rPr>
        <w:t>理</w:t>
      </w:r>
      <w:r>
        <w:rPr>
          <w:w w:val="95"/>
        </w:rPr>
        <w:t>局</w:t>
      </w:r>
      <w:r>
        <w:rPr>
          <w:spacing w:val="45"/>
          <w:w w:val="95"/>
        </w:rPr>
        <w:t xml:space="preserve"> </w:t>
      </w:r>
      <w:r>
        <w:rPr>
          <w:rFonts w:hint="eastAsia" w:ascii="MS UI Gothic" w:hAnsi="MS UI Gothic" w:eastAsia="MS UI Gothic"/>
          <w:w w:val="140"/>
        </w:rPr>
        <w:t>(</w:t>
      </w:r>
      <w:r>
        <w:rPr>
          <w:rFonts w:hint="eastAsia" w:ascii="MS UI Gothic" w:hAnsi="MS UI Gothic" w:eastAsia="MS UI Gothic"/>
          <w:spacing w:val="-50"/>
          <w:w w:val="140"/>
        </w:rPr>
        <w:t xml:space="preserve"> </w:t>
      </w:r>
      <w:r>
        <w:rPr>
          <w:spacing w:val="17"/>
          <w:w w:val="95"/>
        </w:rPr>
        <w:t>国家煤矿安全监察</w:t>
      </w:r>
      <w:r>
        <w:rPr>
          <w:spacing w:val="11"/>
          <w:w w:val="95"/>
        </w:rPr>
        <w:t>局</w:t>
      </w:r>
      <w:r>
        <w:rPr>
          <w:rFonts w:hint="eastAsia" w:ascii="MS UI Gothic" w:hAnsi="MS UI Gothic" w:eastAsia="MS UI Gothic"/>
          <w:w w:val="140"/>
        </w:rPr>
        <w:t>)</w:t>
      </w:r>
      <w:r>
        <w:rPr>
          <w:rFonts w:hint="eastAsia" w:ascii="MS UI Gothic" w:hAnsi="MS UI Gothic" w:eastAsia="MS UI Gothic"/>
          <w:spacing w:val="72"/>
          <w:w w:val="140"/>
        </w:rPr>
        <w:t xml:space="preserve"> </w:t>
      </w:r>
      <w:r>
        <w:rPr>
          <w:rFonts w:hint="eastAsia" w:ascii="MS UI Gothic" w:hAnsi="MS UI Gothic" w:eastAsia="MS UI Gothic"/>
          <w:w w:val="95"/>
        </w:rPr>
        <w:t>２００４</w:t>
      </w:r>
      <w:r>
        <w:rPr>
          <w:rFonts w:hint="eastAsia" w:ascii="MS UI Gothic" w:hAnsi="MS UI Gothic" w:eastAsia="MS UI Gothic"/>
          <w:spacing w:val="35"/>
          <w:w w:val="95"/>
        </w:rPr>
        <w:t xml:space="preserve"> </w:t>
      </w:r>
      <w:r>
        <w:rPr>
          <w:w w:val="95"/>
        </w:rPr>
        <w:t>年</w:t>
      </w:r>
      <w:r>
        <w:rPr>
          <w:spacing w:val="-12"/>
          <w:w w:val="95"/>
        </w:rPr>
        <w:t xml:space="preserve"> </w:t>
      </w:r>
      <w:r>
        <w:rPr>
          <w:rFonts w:hint="eastAsia" w:ascii="MS UI Gothic" w:hAnsi="MS UI Gothic" w:eastAsia="MS UI Gothic"/>
          <w:w w:val="95"/>
        </w:rPr>
        <w:t>５</w:t>
      </w:r>
      <w:r>
        <w:rPr>
          <w:w w:val="95"/>
        </w:rPr>
        <w:t>月</w:t>
      </w:r>
      <w:r>
        <w:rPr>
          <w:spacing w:val="-10"/>
          <w:w w:val="95"/>
        </w:rPr>
        <w:t xml:space="preserve"> </w:t>
      </w:r>
      <w:r>
        <w:rPr>
          <w:rFonts w:hint="eastAsia" w:ascii="MS UI Gothic" w:hAnsi="MS UI Gothic" w:eastAsia="MS UI Gothic"/>
          <w:w w:val="95"/>
        </w:rPr>
        <w:t>１７</w:t>
      </w:r>
      <w:r>
        <w:rPr>
          <w:rFonts w:hint="eastAsia" w:ascii="MS UI Gothic" w:hAnsi="MS UI Gothic" w:eastAsia="MS UI Gothic"/>
          <w:spacing w:val="42"/>
          <w:w w:val="95"/>
        </w:rPr>
        <w:t xml:space="preserve"> </w:t>
      </w:r>
      <w:r>
        <w:rPr>
          <w:spacing w:val="3"/>
          <w:w w:val="95"/>
        </w:rPr>
        <w:t>日</w:t>
      </w:r>
      <w:r>
        <w:rPr>
          <w:spacing w:val="7"/>
          <w:w w:val="95"/>
        </w:rPr>
        <w:t>公</w:t>
      </w:r>
      <w:r>
        <w:rPr>
          <w:spacing w:val="3"/>
          <w:w w:val="95"/>
        </w:rPr>
        <w:t>布</w:t>
      </w:r>
      <w:r>
        <w:rPr>
          <w:rFonts w:hint="eastAsia" w:ascii="MS UI Gothic" w:hAnsi="MS UI Gothic" w:eastAsia="MS UI Gothic"/>
          <w:w w:val="95"/>
        </w:rPr>
        <w:t>、</w:t>
      </w:r>
      <w:r>
        <w:rPr>
          <w:rFonts w:hint="eastAsia" w:ascii="MS UI Gothic" w:hAnsi="MS UI Gothic" w:eastAsia="MS UI Gothic"/>
          <w:spacing w:val="21"/>
          <w:w w:val="95"/>
        </w:rPr>
        <w:t xml:space="preserve"> </w:t>
      </w:r>
      <w:r>
        <w:rPr>
          <w:spacing w:val="13"/>
          <w:w w:val="95"/>
        </w:rPr>
        <w:t>国家安全生产监督管理</w:t>
      </w:r>
      <w:r>
        <w:rPr>
          <w:w w:val="95"/>
        </w:rPr>
        <w:t>总局</w:t>
      </w:r>
      <w:r>
        <w:rPr>
          <w:spacing w:val="-45"/>
          <w:w w:val="95"/>
        </w:rPr>
        <w:t xml:space="preserve"> </w:t>
      </w:r>
      <w:r>
        <w:rPr>
          <w:rFonts w:hint="eastAsia" w:ascii="MS UI Gothic" w:hAnsi="MS UI Gothic" w:eastAsia="MS UI Gothic"/>
          <w:w w:val="95"/>
        </w:rPr>
        <w:t xml:space="preserve">２０１５ </w:t>
      </w:r>
      <w:r>
        <w:rPr>
          <w:w w:val="95"/>
        </w:rPr>
        <w:t>年</w:t>
      </w:r>
      <w:r>
        <w:rPr>
          <w:spacing w:val="-45"/>
          <w:w w:val="95"/>
        </w:rPr>
        <w:t xml:space="preserve"> </w:t>
      </w:r>
      <w:r>
        <w:rPr>
          <w:rFonts w:hint="eastAsia" w:ascii="MS UI Gothic" w:hAnsi="MS UI Gothic" w:eastAsia="MS UI Gothic"/>
          <w:w w:val="95"/>
        </w:rPr>
        <w:t>６</w:t>
      </w:r>
      <w:r>
        <w:rPr>
          <w:rFonts w:hint="eastAsia" w:ascii="MS UI Gothic" w:hAnsi="MS UI Gothic" w:eastAsia="MS UI Gothic"/>
          <w:spacing w:val="7"/>
          <w:w w:val="95"/>
        </w:rPr>
        <w:t xml:space="preserve"> </w:t>
      </w:r>
      <w:r>
        <w:rPr>
          <w:w w:val="95"/>
        </w:rPr>
        <w:t>月</w:t>
      </w:r>
      <w:r>
        <w:rPr>
          <w:spacing w:val="-35"/>
          <w:w w:val="95"/>
        </w:rPr>
        <w:t xml:space="preserve"> </w:t>
      </w:r>
      <w:r>
        <w:rPr>
          <w:rFonts w:hint="eastAsia" w:ascii="MS UI Gothic" w:hAnsi="MS UI Gothic" w:eastAsia="MS UI Gothic"/>
          <w:w w:val="95"/>
        </w:rPr>
        <w:t>８</w:t>
      </w:r>
      <w:r>
        <w:rPr>
          <w:rFonts w:hint="eastAsia" w:ascii="MS UI Gothic" w:hAnsi="MS UI Gothic" w:eastAsia="MS UI Gothic"/>
          <w:spacing w:val="9"/>
          <w:w w:val="95"/>
        </w:rPr>
        <w:t xml:space="preserve"> </w:t>
      </w:r>
      <w:r>
        <w:rPr>
          <w:spacing w:val="11"/>
          <w:w w:val="95"/>
        </w:rPr>
        <w:t>日修改</w:t>
      </w:r>
      <w:r>
        <w:rPr>
          <w:w w:val="95"/>
        </w:rPr>
        <w:t>的</w:t>
      </w:r>
      <w:r>
        <w:rPr>
          <w:spacing w:val="18"/>
          <w:w w:val="95"/>
        </w:rPr>
        <w:t xml:space="preserve"> </w:t>
      </w:r>
      <w:r>
        <w:rPr>
          <w:rFonts w:hint="eastAsia" w:ascii="MS UI Gothic" w:hAnsi="MS UI Gothic" w:eastAsia="MS UI Gothic"/>
          <w:w w:val="95"/>
        </w:rPr>
        <w:t>«</w:t>
      </w:r>
      <w:r>
        <w:rPr>
          <w:rFonts w:hint="eastAsia" w:ascii="MS UI Gothic" w:hAnsi="MS UI Gothic" w:eastAsia="MS UI Gothic"/>
          <w:spacing w:val="-31"/>
          <w:w w:val="95"/>
        </w:rPr>
        <w:t xml:space="preserve"> </w:t>
      </w:r>
      <w:r>
        <w:rPr>
          <w:spacing w:val="13"/>
          <w:w w:val="95"/>
        </w:rPr>
        <w:t>煤矿企业</w:t>
      </w:r>
      <w:r>
        <w:rPr>
          <w:w w:val="95"/>
        </w:rPr>
        <w:t>安</w:t>
      </w:r>
    </w:p>
    <w:p>
      <w:pPr>
        <w:pStyle w:val="6"/>
        <w:spacing w:line="252" w:lineRule="exact"/>
        <w:ind w:left="381" w:firstLine="0"/>
        <w:jc w:val="left"/>
        <w:rPr>
          <w:rFonts w:hint="eastAsia" w:ascii="MS UI Gothic" w:hAnsi="MS UI Gothic" w:eastAsia="MS UI Gothic"/>
        </w:rPr>
      </w:pPr>
      <w:r>
        <w:t>全生产许可证实施办法</w:t>
      </w:r>
      <w:r>
        <w:rPr>
          <w:rFonts w:hint="eastAsia" w:ascii="MS UI Gothic" w:hAnsi="MS UI Gothic" w:eastAsia="MS UI Gothic"/>
          <w:w w:val="80"/>
        </w:rPr>
        <w:t xml:space="preserve">» </w:t>
      </w:r>
      <w:r>
        <w:t>同时废止</w:t>
      </w:r>
      <w:r>
        <w:rPr>
          <w:rFonts w:hint="eastAsia" w:ascii="MS UI Gothic" w:hAnsi="MS UI Gothic" w:eastAsia="MS UI Gothic"/>
          <w:w w:val="80"/>
        </w:rPr>
        <w:t>ꎮ</w:t>
      </w:r>
    </w:p>
    <w:p>
      <w:pPr>
        <w:spacing w:after="0" w:line="252" w:lineRule="exact"/>
        <w:jc w:val="left"/>
        <w:rPr>
          <w:rFonts w:hint="eastAsia" w:ascii="MS UI Gothic" w:hAns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2"/>
        <w:ind w:left="0" w:firstLine="0"/>
        <w:jc w:val="left"/>
        <w:rPr>
          <w:rFonts w:ascii="MS UI Gothic"/>
          <w:sz w:val="16"/>
        </w:rPr>
      </w:pPr>
    </w:p>
    <w:p>
      <w:pPr>
        <w:pStyle w:val="4"/>
        <w:spacing w:before="74"/>
      </w:pPr>
      <w:r>
        <w:t>国家安全生产监督管理总局令</w:t>
      </w:r>
    </w:p>
    <w:p>
      <w:pPr>
        <w:pStyle w:val="6"/>
        <w:ind w:left="0" w:firstLine="0"/>
        <w:jc w:val="left"/>
        <w:rPr>
          <w:sz w:val="27"/>
        </w:rPr>
      </w:pPr>
    </w:p>
    <w:p>
      <w:pPr>
        <w:pStyle w:val="5"/>
        <w:ind w:left="312"/>
      </w:pPr>
      <w:r>
        <w:t xml:space="preserve">第 </w:t>
      </w:r>
      <w:r>
        <w:rPr>
          <w:rFonts w:hint="eastAsia" w:ascii="MS UI Gothic" w:eastAsia="MS UI Gothic"/>
        </w:rPr>
        <w:t xml:space="preserve">８７ </w:t>
      </w:r>
      <w:r>
        <w:t>号</w:t>
      </w:r>
    </w:p>
    <w:p>
      <w:pPr>
        <w:pStyle w:val="6"/>
        <w:spacing w:before="354"/>
        <w:ind w:left="0" w:right="126" w:firstLine="0"/>
        <w:jc w:val="right"/>
      </w:pPr>
      <w:r>
        <w:rPr>
          <w:spacing w:val="-5"/>
        </w:rPr>
        <w:t xml:space="preserve">修订后的 </w:t>
      </w:r>
      <w:r>
        <w:rPr>
          <w:rFonts w:hint="eastAsia" w:ascii="MS UI Gothic" w:hAnsi="MS UI Gothic" w:eastAsia="MS UI Gothic"/>
          <w:spacing w:val="-23"/>
        </w:rPr>
        <w:t xml:space="preserve">« </w:t>
      </w:r>
      <w:r>
        <w:rPr>
          <w:spacing w:val="3"/>
        </w:rPr>
        <w:t>煤矿安全规程</w:t>
      </w:r>
      <w:r>
        <w:rPr>
          <w:rFonts w:hint="eastAsia" w:ascii="MS UI Gothic" w:hAnsi="MS UI Gothic" w:eastAsia="MS UI Gothic"/>
          <w:spacing w:val="15"/>
        </w:rPr>
        <w:t xml:space="preserve">» </w:t>
      </w:r>
      <w:r>
        <w:rPr>
          <w:spacing w:val="-21"/>
        </w:rPr>
        <w:t xml:space="preserve">已经 </w:t>
      </w:r>
      <w:r>
        <w:rPr>
          <w:rFonts w:hint="eastAsia" w:ascii="MS UI Gothic" w:hAnsi="MS UI Gothic" w:eastAsia="MS UI Gothic"/>
          <w:spacing w:val="-2"/>
        </w:rPr>
        <w:t xml:space="preserve">２０１５ </w:t>
      </w:r>
      <w:r>
        <w:rPr>
          <w:spacing w:val="-32"/>
        </w:rPr>
        <w:t xml:space="preserve">年 </w:t>
      </w:r>
      <w:r>
        <w:rPr>
          <w:rFonts w:hint="eastAsia" w:ascii="MS UI Gothic" w:hAnsi="MS UI Gothic" w:eastAsia="MS UI Gothic"/>
          <w:spacing w:val="-3"/>
        </w:rPr>
        <w:t xml:space="preserve">１２ </w:t>
      </w:r>
      <w:r>
        <w:rPr>
          <w:spacing w:val="-32"/>
        </w:rPr>
        <w:t xml:space="preserve">月 </w:t>
      </w:r>
      <w:r>
        <w:rPr>
          <w:rFonts w:hint="eastAsia" w:ascii="MS UI Gothic" w:hAnsi="MS UI Gothic" w:eastAsia="MS UI Gothic"/>
          <w:spacing w:val="-3"/>
        </w:rPr>
        <w:t xml:space="preserve">２２ </w:t>
      </w:r>
      <w:r>
        <w:rPr>
          <w:spacing w:val="2"/>
        </w:rPr>
        <w:t>日国家安全生产监督管理总局第</w:t>
      </w:r>
    </w:p>
    <w:p>
      <w:pPr>
        <w:pStyle w:val="6"/>
        <w:spacing w:before="58" w:line="240" w:lineRule="exact"/>
        <w:ind w:left="0" w:right="126" w:firstLine="0"/>
        <w:jc w:val="right"/>
      </w:pPr>
      <w:r>
        <w:rPr>
          <w:rFonts w:hint="eastAsia" w:ascii="MS UI Gothic" w:eastAsia="MS UI Gothic"/>
          <w:spacing w:val="4"/>
          <w:w w:val="95"/>
        </w:rPr>
        <w:t xml:space="preserve">１３ </w:t>
      </w:r>
      <w:r>
        <w:rPr>
          <w:spacing w:val="3"/>
          <w:w w:val="95"/>
        </w:rPr>
        <w:t>次局长办公会议审议通过</w:t>
      </w:r>
      <w:r>
        <w:rPr>
          <w:rFonts w:hint="eastAsia" w:ascii="MS UI Gothic" w:eastAsia="MS UI Gothic"/>
          <w:spacing w:val="23"/>
          <w:w w:val="90"/>
        </w:rPr>
        <w:t xml:space="preserve">ꎬ </w:t>
      </w:r>
      <w:r>
        <w:rPr>
          <w:spacing w:val="3"/>
          <w:w w:val="95"/>
        </w:rPr>
        <w:t>现予公布</w:t>
      </w:r>
      <w:r>
        <w:rPr>
          <w:rFonts w:hint="eastAsia" w:ascii="MS UI Gothic" w:eastAsia="MS UI Gothic"/>
          <w:spacing w:val="26"/>
          <w:w w:val="90"/>
        </w:rPr>
        <w:t xml:space="preserve">ꎬ </w:t>
      </w:r>
      <w:r>
        <w:rPr>
          <w:spacing w:val="-20"/>
          <w:w w:val="95"/>
        </w:rPr>
        <w:t xml:space="preserve">自 </w:t>
      </w:r>
      <w:r>
        <w:rPr>
          <w:rFonts w:hint="eastAsia" w:ascii="MS UI Gothic" w:eastAsia="MS UI Gothic"/>
          <w:spacing w:val="4"/>
          <w:w w:val="95"/>
        </w:rPr>
        <w:t xml:space="preserve">２０１６ </w:t>
      </w:r>
      <w:r>
        <w:rPr>
          <w:spacing w:val="-20"/>
          <w:w w:val="95"/>
        </w:rPr>
        <w:t xml:space="preserve">年 </w:t>
      </w:r>
      <w:r>
        <w:rPr>
          <w:rFonts w:hint="eastAsia" w:ascii="MS UI Gothic" w:eastAsia="MS UI Gothic"/>
          <w:spacing w:val="7"/>
          <w:w w:val="95"/>
        </w:rPr>
        <w:t xml:space="preserve">１０ </w:t>
      </w:r>
      <w:r>
        <w:rPr>
          <w:spacing w:val="-20"/>
          <w:w w:val="95"/>
        </w:rPr>
        <w:t xml:space="preserve">月 </w:t>
      </w:r>
      <w:r>
        <w:rPr>
          <w:rFonts w:hint="eastAsia" w:ascii="MS UI Gothic" w:eastAsia="MS UI Gothic"/>
          <w:spacing w:val="11"/>
          <w:w w:val="95"/>
        </w:rPr>
        <w:t xml:space="preserve">１ </w:t>
      </w:r>
      <w:r>
        <w:rPr>
          <w:spacing w:val="7"/>
          <w:w w:val="95"/>
        </w:rPr>
        <w:t>日起施行</w:t>
      </w:r>
      <w:r>
        <w:rPr>
          <w:rFonts w:hint="eastAsia" w:ascii="MS UI Gothic" w:eastAsia="MS UI Gothic"/>
          <w:spacing w:val="26"/>
          <w:w w:val="90"/>
        </w:rPr>
        <w:t xml:space="preserve">ꎮ </w:t>
      </w:r>
      <w:r>
        <w:rPr>
          <w:spacing w:val="7"/>
          <w:w w:val="95"/>
        </w:rPr>
        <w:t>原国家安全生</w:t>
      </w:r>
    </w:p>
    <w:p>
      <w:pPr>
        <w:pStyle w:val="6"/>
        <w:spacing w:before="75" w:line="295" w:lineRule="auto"/>
        <w:ind w:left="440" w:right="126" w:firstLine="0"/>
        <w:rPr>
          <w:rFonts w:hint="eastAsia" w:ascii="MS UI Gothic" w:hAnsi="MS UI Gothic" w:eastAsia="MS UI Gothic"/>
        </w:rPr>
      </w:pPr>
      <w:r>
        <w:rPr>
          <w:w w:val="95"/>
        </w:rPr>
        <w:t>产监督管理局</w:t>
      </w:r>
      <w:r>
        <w:rPr>
          <w:rFonts w:hint="eastAsia" w:ascii="MS UI Gothic" w:hAnsi="MS UI Gothic" w:eastAsia="MS UI Gothic"/>
          <w:w w:val="95"/>
        </w:rPr>
        <w:t xml:space="preserve">、 </w:t>
      </w:r>
      <w:r>
        <w:rPr>
          <w:w w:val="95"/>
        </w:rPr>
        <w:t xml:space="preserve">国家煤矿安全监察局 </w:t>
      </w:r>
      <w:r>
        <w:rPr>
          <w:rFonts w:hint="eastAsia" w:ascii="MS UI Gothic" w:hAnsi="MS UI Gothic" w:eastAsia="MS UI Gothic"/>
          <w:w w:val="95"/>
        </w:rPr>
        <w:t xml:space="preserve">２００４ </w:t>
      </w:r>
      <w:r>
        <w:rPr>
          <w:w w:val="95"/>
        </w:rPr>
        <w:t xml:space="preserve">年 </w:t>
      </w:r>
      <w:r>
        <w:rPr>
          <w:rFonts w:hint="eastAsia" w:ascii="MS UI Gothic" w:hAnsi="MS UI Gothic" w:eastAsia="MS UI Gothic"/>
          <w:w w:val="95"/>
        </w:rPr>
        <w:t xml:space="preserve">１１ </w:t>
      </w:r>
      <w:r>
        <w:rPr>
          <w:w w:val="95"/>
        </w:rPr>
        <w:t xml:space="preserve">月 </w:t>
      </w:r>
      <w:r>
        <w:rPr>
          <w:rFonts w:hint="eastAsia" w:ascii="MS UI Gothic" w:hAnsi="MS UI Gothic" w:eastAsia="MS UI Gothic"/>
          <w:w w:val="95"/>
        </w:rPr>
        <w:t xml:space="preserve">３ </w:t>
      </w:r>
      <w:r>
        <w:rPr>
          <w:w w:val="95"/>
        </w:rPr>
        <w:t xml:space="preserve">日公布的 </w:t>
      </w:r>
      <w:r>
        <w:rPr>
          <w:rFonts w:hint="eastAsia" w:ascii="MS UI Gothic" w:hAnsi="MS UI Gothic" w:eastAsia="MS UI Gothic"/>
          <w:w w:val="95"/>
        </w:rPr>
        <w:t xml:space="preserve">« </w:t>
      </w:r>
      <w:r>
        <w:rPr>
          <w:w w:val="95"/>
        </w:rPr>
        <w:t>煤矿安全规程</w:t>
      </w:r>
      <w:r>
        <w:rPr>
          <w:rFonts w:hint="eastAsia" w:ascii="MS UI Gothic" w:hAnsi="MS UI Gothic" w:eastAsia="MS UI Gothic"/>
          <w:w w:val="95"/>
        </w:rPr>
        <w:t xml:space="preserve">» </w:t>
      </w:r>
      <w:r>
        <w:rPr>
          <w:rFonts w:hint="eastAsia" w:ascii="MS UI Gothic" w:hAnsi="MS UI Gothic" w:eastAsia="MS UI Gothic"/>
          <w:w w:val="90"/>
        </w:rPr>
        <w:t xml:space="preserve">ꎬ </w:t>
      </w:r>
      <w:r>
        <w:rPr>
          <w:w w:val="95"/>
        </w:rPr>
        <w:t xml:space="preserve">国家安全生产监督管理总局 </w:t>
      </w:r>
      <w:r>
        <w:rPr>
          <w:rFonts w:hint="eastAsia" w:ascii="MS UI Gothic" w:hAnsi="MS UI Gothic" w:eastAsia="MS UI Gothic"/>
          <w:w w:val="95"/>
        </w:rPr>
        <w:t xml:space="preserve">２００６ </w:t>
      </w:r>
      <w:r>
        <w:rPr>
          <w:w w:val="95"/>
        </w:rPr>
        <w:t xml:space="preserve">年 </w:t>
      </w:r>
      <w:r>
        <w:rPr>
          <w:rFonts w:hint="eastAsia" w:ascii="MS UI Gothic" w:hAnsi="MS UI Gothic" w:eastAsia="MS UI Gothic"/>
          <w:w w:val="95"/>
        </w:rPr>
        <w:t xml:space="preserve">１０ </w:t>
      </w:r>
      <w:r>
        <w:rPr>
          <w:w w:val="95"/>
        </w:rPr>
        <w:t xml:space="preserve">月 </w:t>
      </w:r>
      <w:r>
        <w:rPr>
          <w:rFonts w:hint="eastAsia" w:ascii="MS UI Gothic" w:hAnsi="MS UI Gothic" w:eastAsia="MS UI Gothic"/>
          <w:w w:val="95"/>
        </w:rPr>
        <w:t xml:space="preserve">２５ </w:t>
      </w:r>
      <w:r>
        <w:rPr>
          <w:w w:val="95"/>
        </w:rPr>
        <w:t xml:space="preserve">日公布的 </w:t>
      </w:r>
      <w:r>
        <w:rPr>
          <w:rFonts w:hint="eastAsia" w:ascii="MS UI Gothic" w:hAnsi="MS UI Gothic" w:eastAsia="MS UI Gothic"/>
          <w:w w:val="95"/>
        </w:rPr>
        <w:t xml:space="preserve">« </w:t>
      </w:r>
      <w:r>
        <w:rPr>
          <w:w w:val="95"/>
        </w:rPr>
        <w:t xml:space="preserve">关于修改 </w:t>
      </w:r>
      <w:r>
        <w:rPr>
          <w:rFonts w:hint="eastAsia" w:ascii="MS UI Gothic" w:hAnsi="MS UI Gothic" w:eastAsia="MS UI Gothic"/>
          <w:w w:val="95"/>
        </w:rPr>
        <w:t xml:space="preserve">‹ </w:t>
      </w:r>
      <w:r>
        <w:rPr>
          <w:w w:val="95"/>
        </w:rPr>
        <w:t>煤矿安全规程</w:t>
      </w:r>
      <w:r>
        <w:rPr>
          <w:rFonts w:hint="eastAsia" w:ascii="MS UI Gothic" w:hAnsi="MS UI Gothic" w:eastAsia="MS UI Gothic"/>
          <w:w w:val="95"/>
        </w:rPr>
        <w:t xml:space="preserve">› </w:t>
      </w:r>
      <w:r>
        <w:rPr>
          <w:w w:val="95"/>
        </w:rPr>
        <w:t>第六十八条和第一百五十八条的决定</w:t>
      </w:r>
      <w:r>
        <w:rPr>
          <w:rFonts w:hint="eastAsia" w:ascii="MS UI Gothic" w:hAnsi="MS UI Gothic" w:eastAsia="MS UI Gothic"/>
          <w:w w:val="95"/>
        </w:rPr>
        <w:t xml:space="preserve">» </w:t>
      </w:r>
      <w:r>
        <w:rPr>
          <w:rFonts w:hint="eastAsia" w:ascii="MS UI Gothic" w:hAnsi="MS UI Gothic" w:eastAsia="MS UI Gothic"/>
          <w:w w:val="90"/>
        </w:rPr>
        <w:t xml:space="preserve">ꎬ </w:t>
      </w:r>
      <w:r>
        <w:rPr>
          <w:rFonts w:hint="eastAsia" w:ascii="MS UI Gothic" w:hAnsi="MS UI Gothic" w:eastAsia="MS UI Gothic"/>
          <w:w w:val="95"/>
        </w:rPr>
        <w:t xml:space="preserve">２００９ </w:t>
      </w:r>
      <w:r>
        <w:rPr>
          <w:w w:val="95"/>
        </w:rPr>
        <w:t xml:space="preserve">年 </w:t>
      </w:r>
      <w:r>
        <w:rPr>
          <w:rFonts w:hint="eastAsia" w:ascii="MS UI Gothic" w:hAnsi="MS UI Gothic" w:eastAsia="MS UI Gothic"/>
          <w:w w:val="95"/>
        </w:rPr>
        <w:t xml:space="preserve">４ </w:t>
      </w:r>
      <w:r>
        <w:rPr>
          <w:w w:val="95"/>
        </w:rPr>
        <w:t xml:space="preserve">月 </w:t>
      </w:r>
      <w:r>
        <w:rPr>
          <w:rFonts w:hint="eastAsia" w:ascii="MS UI Gothic" w:hAnsi="MS UI Gothic" w:eastAsia="MS UI Gothic"/>
          <w:w w:val="95"/>
        </w:rPr>
        <w:t xml:space="preserve">２２ </w:t>
      </w:r>
      <w:r>
        <w:rPr>
          <w:w w:val="95"/>
        </w:rPr>
        <w:t xml:space="preserve">日公布的 </w:t>
      </w:r>
      <w:r>
        <w:rPr>
          <w:rFonts w:hint="eastAsia" w:ascii="MS UI Gothic" w:hAnsi="MS UI Gothic" w:eastAsia="MS UI Gothic"/>
          <w:w w:val="95"/>
        </w:rPr>
        <w:t xml:space="preserve">« </w:t>
      </w:r>
      <w:r>
        <w:rPr>
          <w:w w:val="95"/>
        </w:rPr>
        <w:t xml:space="preserve">关于修改 </w:t>
      </w:r>
      <w:r>
        <w:rPr>
          <w:rFonts w:hint="eastAsia" w:ascii="MS UI Gothic" w:hAnsi="MS UI Gothic" w:eastAsia="MS UI Gothic"/>
          <w:w w:val="95"/>
        </w:rPr>
        <w:t xml:space="preserve">‹ </w:t>
      </w:r>
      <w:r>
        <w:rPr>
          <w:w w:val="95"/>
        </w:rPr>
        <w:t>煤矿安全规程</w:t>
      </w:r>
      <w:r>
        <w:rPr>
          <w:rFonts w:hint="eastAsia" w:ascii="MS UI Gothic" w:hAnsi="MS UI Gothic" w:eastAsia="MS UI Gothic"/>
          <w:w w:val="95"/>
        </w:rPr>
        <w:t xml:space="preserve">› </w:t>
      </w:r>
      <w:r>
        <w:rPr>
          <w:w w:val="95"/>
        </w:rPr>
        <w:t>第一百二十八条</w:t>
      </w:r>
      <w:r>
        <w:rPr>
          <w:rFonts w:hint="eastAsia" w:ascii="MS UI Gothic" w:hAnsi="MS UI Gothic" w:eastAsia="MS UI Gothic"/>
          <w:w w:val="95"/>
        </w:rPr>
        <w:t xml:space="preserve">、 </w:t>
      </w:r>
      <w:r>
        <w:rPr>
          <w:w w:val="95"/>
        </w:rPr>
        <w:t>第一百二十九条</w:t>
      </w:r>
      <w:r>
        <w:rPr>
          <w:rFonts w:hint="eastAsia" w:ascii="MS UI Gothic" w:hAnsi="MS UI Gothic" w:eastAsia="MS UI Gothic"/>
          <w:w w:val="95"/>
        </w:rPr>
        <w:t xml:space="preserve">、 </w:t>
      </w:r>
      <w:r>
        <w:rPr>
          <w:w w:val="95"/>
        </w:rPr>
        <w:t>第四百四十一条</w:t>
      </w:r>
      <w:r>
        <w:rPr>
          <w:rFonts w:hint="eastAsia" w:ascii="MS UI Gothic" w:hAnsi="MS UI Gothic" w:eastAsia="MS UI Gothic"/>
          <w:w w:val="95"/>
        </w:rPr>
        <w:t xml:space="preserve">、 </w:t>
      </w:r>
      <w:r>
        <w:rPr>
          <w:w w:val="95"/>
        </w:rPr>
        <w:t>第四百四十二条的决定</w:t>
      </w:r>
      <w:r>
        <w:rPr>
          <w:rFonts w:hint="eastAsia" w:ascii="MS UI Gothic" w:hAnsi="MS UI Gothic" w:eastAsia="MS UI Gothic"/>
          <w:w w:val="95"/>
        </w:rPr>
        <w:t xml:space="preserve">» </w:t>
      </w:r>
      <w:r>
        <w:rPr>
          <w:rFonts w:hint="eastAsia" w:ascii="MS UI Gothic" w:hAnsi="MS UI Gothic" w:eastAsia="MS UI Gothic"/>
          <w:w w:val="90"/>
        </w:rPr>
        <w:t xml:space="preserve">ꎬ  </w:t>
      </w:r>
      <w:r>
        <w:rPr>
          <w:rFonts w:hint="eastAsia" w:ascii="MS UI Gothic" w:hAnsi="MS UI Gothic" w:eastAsia="MS UI Gothic"/>
          <w:w w:val="95"/>
        </w:rPr>
        <w:t xml:space="preserve">２０１０ </w:t>
      </w:r>
      <w:r>
        <w:rPr>
          <w:w w:val="95"/>
        </w:rPr>
        <w:t xml:space="preserve">年 </w:t>
      </w:r>
      <w:r>
        <w:rPr>
          <w:rFonts w:hint="eastAsia" w:ascii="MS UI Gothic" w:hAnsi="MS UI Gothic" w:eastAsia="MS UI Gothic"/>
          <w:w w:val="95"/>
        </w:rPr>
        <w:t xml:space="preserve">１ </w:t>
      </w:r>
      <w:r>
        <w:rPr>
          <w:w w:val="95"/>
        </w:rPr>
        <w:t xml:space="preserve">月 </w:t>
      </w:r>
      <w:r>
        <w:rPr>
          <w:rFonts w:hint="eastAsia" w:ascii="MS UI Gothic" w:hAnsi="MS UI Gothic" w:eastAsia="MS UI Gothic"/>
          <w:w w:val="95"/>
        </w:rPr>
        <w:t xml:space="preserve">２１ </w:t>
      </w:r>
      <w:r>
        <w:rPr>
          <w:w w:val="95"/>
        </w:rPr>
        <w:t xml:space="preserve">日公布的 </w:t>
      </w:r>
      <w:r>
        <w:rPr>
          <w:rFonts w:hint="eastAsia" w:ascii="MS UI Gothic" w:hAnsi="MS UI Gothic" w:eastAsia="MS UI Gothic"/>
          <w:w w:val="95"/>
        </w:rPr>
        <w:t xml:space="preserve">« </w:t>
      </w:r>
      <w:r>
        <w:rPr>
          <w:w w:val="95"/>
        </w:rPr>
        <w:t xml:space="preserve">关于修改 </w:t>
      </w:r>
      <w:r>
        <w:rPr>
          <w:rFonts w:hint="eastAsia" w:ascii="MS UI Gothic" w:hAnsi="MS UI Gothic" w:eastAsia="MS UI Gothic"/>
          <w:w w:val="95"/>
        </w:rPr>
        <w:t xml:space="preserve">‹ </w:t>
      </w:r>
      <w:r>
        <w:rPr>
          <w:w w:val="95"/>
        </w:rPr>
        <w:t>煤矿安全规程</w:t>
      </w:r>
      <w:r>
        <w:rPr>
          <w:rFonts w:hint="eastAsia" w:ascii="MS UI Gothic" w:hAnsi="MS UI Gothic" w:eastAsia="MS UI Gothic"/>
          <w:w w:val="95"/>
        </w:rPr>
        <w:t xml:space="preserve">› </w:t>
      </w:r>
      <w:r>
        <w:rPr>
          <w:w w:val="95"/>
        </w:rPr>
        <w:t>部分条款的决定</w:t>
      </w:r>
      <w:r>
        <w:rPr>
          <w:rFonts w:hint="eastAsia" w:ascii="MS UI Gothic" w:hAnsi="MS UI Gothic" w:eastAsia="MS UI Gothic"/>
          <w:w w:val="95"/>
        </w:rPr>
        <w:t xml:space="preserve">» </w:t>
      </w:r>
      <w:r>
        <w:rPr>
          <w:rFonts w:hint="eastAsia" w:ascii="MS UI Gothic" w:hAnsi="MS UI Gothic" w:eastAsia="MS UI Gothic"/>
          <w:w w:val="90"/>
        </w:rPr>
        <w:t xml:space="preserve">ꎬ </w:t>
      </w:r>
      <w:r>
        <w:rPr>
          <w:rFonts w:hint="eastAsia" w:ascii="MS UI Gothic" w:hAnsi="MS UI Gothic" w:eastAsia="MS UI Gothic"/>
          <w:w w:val="95"/>
        </w:rPr>
        <w:t xml:space="preserve">２０１１ </w:t>
      </w:r>
      <w:r>
        <w:rPr>
          <w:w w:val="95"/>
        </w:rPr>
        <w:t xml:space="preserve">年 </w:t>
      </w:r>
      <w:r>
        <w:rPr>
          <w:rFonts w:hint="eastAsia" w:ascii="MS UI Gothic" w:hAnsi="MS UI Gothic" w:eastAsia="MS UI Gothic"/>
          <w:w w:val="95"/>
        </w:rPr>
        <w:t xml:space="preserve">１ </w:t>
      </w:r>
      <w:r>
        <w:rPr>
          <w:w w:val="95"/>
        </w:rPr>
        <w:t xml:space="preserve">月 </w:t>
      </w:r>
      <w:r>
        <w:rPr>
          <w:rFonts w:hint="eastAsia" w:ascii="MS UI Gothic" w:hAnsi="MS UI Gothic" w:eastAsia="MS UI Gothic"/>
          <w:w w:val="95"/>
        </w:rPr>
        <w:t xml:space="preserve">２５ </w:t>
      </w:r>
      <w:r>
        <w:rPr>
          <w:w w:val="95"/>
        </w:rPr>
        <w:t xml:space="preserve">日公布的 </w:t>
      </w:r>
      <w:r>
        <w:rPr>
          <w:rFonts w:hint="eastAsia" w:ascii="MS UI Gothic" w:hAnsi="MS UI Gothic" w:eastAsia="MS UI Gothic"/>
          <w:w w:val="95"/>
        </w:rPr>
        <w:t xml:space="preserve">« </w:t>
      </w:r>
      <w:r>
        <w:rPr>
          <w:w w:val="95"/>
        </w:rPr>
        <w:t xml:space="preserve">关于修改 </w:t>
      </w:r>
      <w:r>
        <w:rPr>
          <w:rFonts w:hint="eastAsia" w:ascii="MS UI Gothic" w:hAnsi="MS UI Gothic" w:eastAsia="MS UI Gothic"/>
          <w:w w:val="95"/>
        </w:rPr>
        <w:t xml:space="preserve">‹ </w:t>
      </w:r>
      <w:r>
        <w:rPr>
          <w:w w:val="95"/>
        </w:rPr>
        <w:t>煤矿安全规程</w:t>
      </w:r>
      <w:r>
        <w:rPr>
          <w:rFonts w:hint="eastAsia" w:ascii="MS UI Gothic" w:hAnsi="MS UI Gothic" w:eastAsia="MS UI Gothic"/>
          <w:w w:val="95"/>
        </w:rPr>
        <w:t xml:space="preserve">› </w:t>
      </w:r>
      <w:r>
        <w:rPr>
          <w:w w:val="95"/>
        </w:rPr>
        <w:t>第二编第六章防治水部分条款的决定</w:t>
      </w:r>
      <w:r>
        <w:rPr>
          <w:rFonts w:hint="eastAsia" w:ascii="MS UI Gothic" w:hAnsi="MS UI Gothic" w:eastAsia="MS UI Gothic"/>
          <w:w w:val="95"/>
        </w:rPr>
        <w:t xml:space="preserve">» </w:t>
      </w:r>
      <w:r>
        <w:rPr>
          <w:w w:val="95"/>
        </w:rPr>
        <w:t>同时废止</w:t>
      </w:r>
      <w:r>
        <w:rPr>
          <w:rFonts w:hint="eastAsia" w:ascii="MS UI Gothic" w:hAnsi="MS UI Gothic" w:eastAsia="MS UI Gothic"/>
          <w:w w:val="9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sectPr>
      </w:pPr>
    </w:p>
    <w:p>
      <w:pPr>
        <w:pStyle w:val="6"/>
        <w:spacing w:before="159"/>
        <w:ind w:left="280" w:firstLine="0"/>
        <w:jc w:val="left"/>
        <w:rPr>
          <w:rFonts w:hint="eastAsia" w:ascii="MS UI Gothic" w:eastAsia="MS UI Gothic"/>
        </w:rPr>
      </w:pPr>
      <w:r>
        <w:pict>
          <v:shape id="_x0000_s1746" o:spid="_x0000_s1746" style="position:absolute;left:0pt;margin-left:0pt;margin-top:700.1pt;height:1.75pt;width:398.25pt;mso-position-horizontal-relative:page;z-index:251945984;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２３８</w:t>
      </w:r>
    </w:p>
    <w:p>
      <w:pPr>
        <w:spacing w:before="192"/>
        <w:ind w:left="215" w:right="2695" w:firstLine="0"/>
        <w:jc w:val="center"/>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ind w:left="0" w:firstLine="0"/>
        <w:jc w:val="left"/>
        <w:rPr>
          <w:rFonts w:ascii="Microsoft Yi Baiti"/>
          <w:sz w:val="28"/>
        </w:rPr>
      </w:pPr>
    </w:p>
    <w:p>
      <w:pPr>
        <w:pStyle w:val="6"/>
        <w:spacing w:before="8"/>
        <w:ind w:left="0" w:firstLine="0"/>
        <w:jc w:val="left"/>
        <w:rPr>
          <w:rFonts w:ascii="Microsoft Yi Baiti"/>
          <w:sz w:val="30"/>
        </w:rPr>
      </w:pPr>
    </w:p>
    <w:p>
      <w:pPr>
        <w:pStyle w:val="4"/>
        <w:spacing w:before="0"/>
        <w:ind w:left="205" w:right="2695"/>
        <w:rPr>
          <w:rFonts w:hint="eastAsia" w:ascii="Microsoft Yi Baiti" w:eastAsia="Microsoft Yi Baiti"/>
        </w:rPr>
      </w:pPr>
      <w:r>
        <w:t xml:space="preserve">煤矿安全规程 </w:t>
      </w:r>
      <w:r>
        <w:rPr>
          <w:rFonts w:hint="eastAsia" w:ascii="Microsoft Yi Baiti" w:eastAsia="Microsoft Yi Baiti"/>
        </w:rPr>
        <w:t>(</w:t>
      </w:r>
      <w:r>
        <w:rPr>
          <w:rFonts w:hint="eastAsia" w:ascii="MS UI Gothic" w:eastAsia="MS UI Gothic"/>
        </w:rPr>
        <w:t xml:space="preserve">２０１６ </w:t>
      </w:r>
      <w:r>
        <w:t>版</w:t>
      </w:r>
      <w:r>
        <w:rPr>
          <w:rFonts w:hint="eastAsia" w:ascii="Microsoft Yi Baiti" w:eastAsia="Microsoft Yi Baiti"/>
        </w:rPr>
        <w:t>)</w:t>
      </w:r>
    </w:p>
    <w:p>
      <w:pPr>
        <w:spacing w:after="0"/>
        <w:rPr>
          <w:rFonts w:hint="eastAsia" w:ascii="Microsoft Yi Baiti" w:eastAsia="Microsoft Yi Baiti"/>
        </w:rPr>
        <w:sectPr>
          <w:pgSz w:w="10500" w:h="14750"/>
          <w:pgMar w:top="960" w:right="980" w:bottom="280" w:left="980" w:header="720" w:footer="720" w:gutter="0"/>
          <w:cols w:equalWidth="0" w:num="2">
            <w:col w:w="1050" w:space="1096"/>
            <w:col w:w="6394"/>
          </w:cols>
        </w:sectPr>
      </w:pP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编</w:t>
      </w:r>
      <w:r>
        <w:rPr>
          <w:w w:val="105"/>
        </w:rPr>
        <w:tab/>
      </w:r>
      <w:r>
        <w:rPr>
          <w:w w:val="105"/>
        </w:rPr>
        <w:t>总</w:t>
      </w:r>
      <w:r>
        <w:rPr>
          <w:w w:val="105"/>
        </w:rPr>
        <w:tab/>
      </w:r>
      <w:r>
        <w:rPr>
          <w:w w:val="105"/>
        </w:rPr>
        <w:t>则</w:t>
      </w:r>
    </w:p>
    <w:p>
      <w:pPr>
        <w:pStyle w:val="6"/>
        <w:spacing w:before="215" w:line="292" w:lineRule="auto"/>
        <w:ind w:right="38"/>
        <w:rPr>
          <w:rFonts w:hint="eastAsia" w:ascii="MS UI Gothic" w:hAnsi="MS UI Gothic" w:eastAsia="MS UI Gothic"/>
        </w:rPr>
      </w:pPr>
      <w:r>
        <w:t>第一条 为了保障煤矿安全生产和职工人身安全与健康</w:t>
      </w:r>
      <w:r>
        <w:rPr>
          <w:rFonts w:hint="eastAsia" w:ascii="MS UI Gothic" w:hAnsi="MS UI Gothic" w:eastAsia="MS UI Gothic"/>
          <w:w w:val="80"/>
        </w:rPr>
        <w:t xml:space="preserve">ꎬ </w:t>
      </w:r>
      <w:r>
        <w:t>防止煤矿事故与职业病危害</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煤炭法</w:t>
      </w:r>
      <w:r>
        <w:rPr>
          <w:rFonts w:hint="eastAsia" w:ascii="MS UI Gothic" w:hAnsi="MS UI Gothic" w:eastAsia="MS UI Gothic"/>
          <w:w w:val="80"/>
        </w:rPr>
        <w:t xml:space="preserve">» « </w:t>
      </w:r>
      <w:r>
        <w:t>矿山安全法</w:t>
      </w:r>
      <w:r>
        <w:rPr>
          <w:rFonts w:hint="eastAsia" w:ascii="MS UI Gothic" w:hAnsi="MS UI Gothic" w:eastAsia="MS UI Gothic"/>
          <w:w w:val="80"/>
        </w:rPr>
        <w:t>»</w:t>
      </w:r>
    </w:p>
    <w:p>
      <w:pPr>
        <w:pStyle w:val="6"/>
        <w:spacing w:line="292" w:lineRule="auto"/>
        <w:ind w:right="38" w:firstLine="0"/>
        <w:rPr>
          <w:rFonts w:hint="eastAsia" w:ascii="MS UI Gothic" w:hAnsi="MS UI Gothic" w:eastAsia="MS UI Gothic"/>
        </w:rPr>
      </w:pPr>
      <w:r>
        <w:rPr>
          <w:rFonts w:hint="eastAsia" w:ascii="MS UI Gothic" w:hAnsi="MS UI Gothic" w:eastAsia="MS UI Gothic"/>
          <w:spacing w:val="-23"/>
        </w:rPr>
        <w:t xml:space="preserve">« </w:t>
      </w:r>
      <w:r>
        <w:rPr>
          <w:spacing w:val="3"/>
        </w:rPr>
        <w:t>安全生产法</w:t>
      </w:r>
      <w:r>
        <w:rPr>
          <w:rFonts w:hint="eastAsia" w:ascii="MS UI Gothic" w:hAnsi="MS UI Gothic" w:eastAsia="MS UI Gothic"/>
          <w:spacing w:val="-3"/>
        </w:rPr>
        <w:t xml:space="preserve">» « </w:t>
      </w:r>
      <w:r>
        <w:rPr>
          <w:spacing w:val="3"/>
        </w:rPr>
        <w:t>职业病防治法</w:t>
      </w:r>
      <w:r>
        <w:rPr>
          <w:rFonts w:hint="eastAsia" w:ascii="MS UI Gothic" w:hAnsi="MS UI Gothic" w:eastAsia="MS UI Gothic"/>
          <w:spacing w:val="-3"/>
        </w:rPr>
        <w:t xml:space="preserve">» « </w:t>
      </w:r>
      <w:r>
        <w:rPr>
          <w:spacing w:val="4"/>
        </w:rPr>
        <w:t>煤矿安</w:t>
      </w:r>
      <w:r>
        <w:rPr>
          <w:spacing w:val="27"/>
        </w:rPr>
        <w:t>全监察条例</w:t>
      </w:r>
      <w:r>
        <w:rPr>
          <w:rFonts w:hint="eastAsia" w:ascii="MS UI Gothic" w:hAnsi="MS UI Gothic" w:eastAsia="MS UI Gothic"/>
          <w:spacing w:val="14"/>
        </w:rPr>
        <w:t xml:space="preserve">» </w:t>
      </w:r>
      <w:r>
        <w:rPr>
          <w:spacing w:val="16"/>
        </w:rPr>
        <w:t xml:space="preserve">和 </w:t>
      </w:r>
      <w:r>
        <w:rPr>
          <w:rFonts w:hint="eastAsia" w:ascii="MS UI Gothic" w:hAnsi="MS UI Gothic" w:eastAsia="MS UI Gothic"/>
          <w:spacing w:val="-11"/>
        </w:rPr>
        <w:t xml:space="preserve">« </w:t>
      </w:r>
      <w:r>
        <w:rPr>
          <w:spacing w:val="28"/>
        </w:rPr>
        <w:t>安全生产许可证条</w:t>
      </w:r>
      <w:r>
        <w:rPr>
          <w:spacing w:val="3"/>
        </w:rPr>
        <w:t>例</w:t>
      </w:r>
      <w:r>
        <w:rPr>
          <w:rFonts w:hint="eastAsia" w:ascii="MS UI Gothic" w:hAnsi="MS UI Gothic" w:eastAsia="MS UI Gothic"/>
          <w:spacing w:val="-21"/>
        </w:rPr>
        <w:t xml:space="preserve">» </w:t>
      </w:r>
      <w:r>
        <w:rPr>
          <w:rFonts w:hint="eastAsia" w:ascii="MS UI Gothic" w:hAnsi="MS UI Gothic" w:eastAsia="MS UI Gothic"/>
          <w:spacing w:val="2"/>
          <w:w w:val="80"/>
        </w:rPr>
        <w:t xml:space="preserve">ꎬ </w:t>
      </w:r>
      <w:r>
        <w:rPr>
          <w:spacing w:val="3"/>
        </w:rPr>
        <w:t>制定本规程</w:t>
      </w:r>
      <w:r>
        <w:rPr>
          <w:rFonts w:hint="eastAsia" w:ascii="MS UI Gothic" w:hAnsi="MS UI Gothic" w:eastAsia="MS UI Gothic"/>
          <w:w w:val="80"/>
        </w:rPr>
        <w:t>ꎮ</w:t>
      </w:r>
    </w:p>
    <w:p>
      <w:pPr>
        <w:pStyle w:val="6"/>
        <w:spacing w:line="292" w:lineRule="auto"/>
        <w:ind w:right="38"/>
        <w:rPr>
          <w:rFonts w:hint="eastAsia" w:ascii="MS UI Gothic" w:eastAsia="MS UI Gothic"/>
        </w:rPr>
      </w:pPr>
      <w:r>
        <w:t>第二条 在中华人民共和国领域内从事煤炭生产和煤矿建设活动</w:t>
      </w:r>
      <w:r>
        <w:rPr>
          <w:rFonts w:hint="eastAsia" w:ascii="MS UI Gothic" w:eastAsia="MS UI Gothic"/>
          <w:w w:val="80"/>
        </w:rPr>
        <w:t xml:space="preserve">ꎬ </w:t>
      </w:r>
      <w:r>
        <w:t>必须遵守本规程</w:t>
      </w:r>
      <w:r>
        <w:rPr>
          <w:rFonts w:hint="eastAsia" w:ascii="MS UI Gothic" w:eastAsia="MS UI Gothic"/>
          <w:w w:val="80"/>
        </w:rPr>
        <w:t>ꎮ</w:t>
      </w:r>
    </w:p>
    <w:p>
      <w:pPr>
        <w:pStyle w:val="6"/>
        <w:spacing w:line="292" w:lineRule="auto"/>
        <w:ind w:right="38"/>
        <w:rPr>
          <w:rFonts w:hint="eastAsia" w:ascii="MS UI Gothic" w:eastAsia="MS UI Gothic"/>
        </w:rPr>
      </w:pPr>
      <w:r>
        <w:t>第三条 煤炭生产实行安全生产许可证制度</w:t>
      </w:r>
      <w:r>
        <w:rPr>
          <w:rFonts w:hint="eastAsia" w:ascii="MS UI Gothic" w:eastAsia="MS UI Gothic"/>
          <w:w w:val="80"/>
        </w:rPr>
        <w:t xml:space="preserve">ꎮ </w:t>
      </w:r>
      <w:r>
        <w:t>未取得安全生产许可证的</w:t>
      </w:r>
      <w:r>
        <w:rPr>
          <w:rFonts w:hint="eastAsia" w:ascii="MS UI Gothic" w:eastAsia="MS UI Gothic"/>
          <w:w w:val="80"/>
        </w:rPr>
        <w:t xml:space="preserve">ꎬ </w:t>
      </w:r>
      <w:r>
        <w:t>不得从事煤炭生产活动</w:t>
      </w:r>
      <w:r>
        <w:rPr>
          <w:rFonts w:hint="eastAsia" w:ascii="MS UI Gothic" w:eastAsia="MS UI Gothic"/>
          <w:w w:val="80"/>
        </w:rPr>
        <w:t>ꎮ</w:t>
      </w:r>
    </w:p>
    <w:p>
      <w:pPr>
        <w:pStyle w:val="6"/>
        <w:spacing w:line="292" w:lineRule="auto"/>
        <w:ind w:right="38"/>
        <w:rPr>
          <w:rFonts w:hint="eastAsia" w:ascii="MS UI Gothic" w:eastAsia="MS UI Gothic"/>
        </w:rPr>
      </w:pPr>
      <w:r>
        <w:rPr>
          <w:w w:val="105"/>
        </w:rPr>
        <w:t xml:space="preserve">第四条 从事煤炭生产与煤矿建设的企业 </w:t>
      </w:r>
      <w:r>
        <w:rPr>
          <w:rFonts w:hint="eastAsia" w:ascii="MS UI Gothic" w:eastAsia="MS UI Gothic"/>
          <w:w w:val="150"/>
        </w:rPr>
        <w:t xml:space="preserve">( </w:t>
      </w:r>
      <w:r>
        <w:rPr>
          <w:w w:val="105"/>
        </w:rPr>
        <w:t>以下统称煤矿企业</w:t>
      </w:r>
      <w:r>
        <w:rPr>
          <w:rFonts w:hint="eastAsia" w:ascii="MS UI Gothic" w:eastAsia="MS UI Gothic"/>
          <w:w w:val="150"/>
        </w:rPr>
        <w:t xml:space="preserve">) </w:t>
      </w:r>
      <w:r>
        <w:rPr>
          <w:w w:val="105"/>
        </w:rPr>
        <w:t>必须遵守国家有关安全生产的法律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w:t>
      </w:r>
      <w:r>
        <w:rPr>
          <w:rFonts w:hint="eastAsia" w:ascii="MS UI Gothic" w:eastAsia="MS UI Gothic"/>
          <w:w w:val="80"/>
        </w:rPr>
        <w:t xml:space="preserve">、 </w:t>
      </w:r>
      <w:r>
        <w:rPr>
          <w:w w:val="105"/>
        </w:rPr>
        <w:t>规程</w:t>
      </w:r>
      <w:r>
        <w:rPr>
          <w:rFonts w:hint="eastAsia" w:ascii="MS UI Gothic" w:eastAsia="MS UI Gothic"/>
          <w:w w:val="80"/>
        </w:rPr>
        <w:t xml:space="preserve">、 </w:t>
      </w:r>
      <w:r>
        <w:rPr>
          <w:w w:val="105"/>
        </w:rPr>
        <w:t>标准和技术规范</w:t>
      </w:r>
      <w:r>
        <w:rPr>
          <w:rFonts w:hint="eastAsia" w:ascii="MS UI Gothic" w:eastAsia="MS UI Gothic"/>
          <w:w w:val="80"/>
        </w:rPr>
        <w:t>ꎮ</w:t>
      </w:r>
    </w:p>
    <w:p>
      <w:pPr>
        <w:pStyle w:val="6"/>
        <w:spacing w:line="292" w:lineRule="auto"/>
        <w:ind w:right="38"/>
        <w:rPr>
          <w:rFonts w:hint="eastAsia" w:ascii="MS UI Gothic" w:eastAsia="MS UI Gothic"/>
        </w:rPr>
      </w:pPr>
      <w:r>
        <w:t>煤矿企业必须加强安全生产管理</w:t>
      </w:r>
      <w:r>
        <w:rPr>
          <w:rFonts w:hint="eastAsia" w:ascii="MS UI Gothic" w:eastAsia="MS UI Gothic"/>
          <w:w w:val="80"/>
        </w:rPr>
        <w:t xml:space="preserve">ꎬ </w:t>
      </w:r>
      <w:r>
        <w:t>建立健全各级负责人</w:t>
      </w:r>
      <w:r>
        <w:rPr>
          <w:rFonts w:hint="eastAsia" w:ascii="MS UI Gothic" w:eastAsia="MS UI Gothic"/>
          <w:w w:val="80"/>
        </w:rPr>
        <w:t xml:space="preserve">、 </w:t>
      </w:r>
      <w:r>
        <w:t>各部门</w:t>
      </w:r>
      <w:r>
        <w:rPr>
          <w:rFonts w:hint="eastAsia" w:ascii="MS UI Gothic" w:eastAsia="MS UI Gothic"/>
          <w:w w:val="80"/>
        </w:rPr>
        <w:t xml:space="preserve">、 </w:t>
      </w:r>
      <w:r>
        <w:t>各岗位安全生产与职业病危害防治责任制</w:t>
      </w:r>
      <w:r>
        <w:rPr>
          <w:rFonts w:hint="eastAsia" w:ascii="MS UI Gothic" w:eastAsia="MS UI Gothic"/>
          <w:w w:val="80"/>
        </w:rPr>
        <w:t>ꎮ</w:t>
      </w:r>
    </w:p>
    <w:p>
      <w:pPr>
        <w:pStyle w:val="6"/>
        <w:spacing w:line="292" w:lineRule="auto"/>
        <w:ind w:right="38"/>
        <w:rPr>
          <w:rFonts w:hint="eastAsia" w:ascii="MS UI Gothic" w:eastAsia="MS UI Gothic"/>
        </w:rPr>
      </w:pPr>
      <w:r>
        <w:t>煤矿企业必须建立健全安全生产与职业病危害防治目标管理</w:t>
      </w:r>
      <w:r>
        <w:rPr>
          <w:rFonts w:hint="eastAsia" w:ascii="MS UI Gothic" w:eastAsia="MS UI Gothic"/>
          <w:w w:val="80"/>
        </w:rPr>
        <w:t xml:space="preserve">、 </w:t>
      </w:r>
      <w:r>
        <w:t>投入</w:t>
      </w:r>
      <w:r>
        <w:rPr>
          <w:rFonts w:hint="eastAsia" w:ascii="MS UI Gothic" w:eastAsia="MS UI Gothic"/>
          <w:w w:val="80"/>
        </w:rPr>
        <w:t xml:space="preserve">、 </w:t>
      </w:r>
      <w:r>
        <w:t>奖惩</w:t>
      </w:r>
      <w:r>
        <w:rPr>
          <w:rFonts w:hint="eastAsia" w:ascii="MS UI Gothic" w:eastAsia="MS UI Gothic"/>
          <w:w w:val="80"/>
        </w:rPr>
        <w:t xml:space="preserve">、 </w:t>
      </w:r>
      <w:r>
        <w:t>技术措施审批</w:t>
      </w:r>
      <w:r>
        <w:rPr>
          <w:rFonts w:hint="eastAsia" w:ascii="MS UI Gothic" w:eastAsia="MS UI Gothic"/>
          <w:w w:val="80"/>
        </w:rPr>
        <w:t xml:space="preserve">、 </w:t>
      </w:r>
      <w:r>
        <w:t>培训</w:t>
      </w:r>
      <w:r>
        <w:rPr>
          <w:rFonts w:hint="eastAsia" w:ascii="MS UI Gothic" w:eastAsia="MS UI Gothic"/>
          <w:w w:val="80"/>
        </w:rPr>
        <w:t xml:space="preserve">、 </w:t>
      </w:r>
      <w:r>
        <w:t>办公会议制度</w:t>
      </w:r>
      <w:r>
        <w:rPr>
          <w:rFonts w:hint="eastAsia" w:ascii="MS UI Gothic" w:eastAsia="MS UI Gothic"/>
          <w:w w:val="80"/>
        </w:rPr>
        <w:t xml:space="preserve">ꎬ </w:t>
      </w:r>
      <w:r>
        <w:t>安全检查制度</w:t>
      </w:r>
      <w:r>
        <w:rPr>
          <w:rFonts w:hint="eastAsia" w:ascii="MS UI Gothic" w:eastAsia="MS UI Gothic"/>
          <w:w w:val="80"/>
        </w:rPr>
        <w:t xml:space="preserve">ꎬ </w:t>
      </w:r>
      <w:r>
        <w:t>事故隐患排查</w:t>
      </w:r>
      <w:r>
        <w:rPr>
          <w:rFonts w:hint="eastAsia" w:ascii="MS UI Gothic" w:eastAsia="MS UI Gothic"/>
          <w:w w:val="80"/>
        </w:rPr>
        <w:t xml:space="preserve">、 </w:t>
      </w:r>
      <w:r>
        <w:t>治理</w:t>
      </w:r>
      <w:r>
        <w:rPr>
          <w:rFonts w:hint="eastAsia" w:ascii="MS UI Gothic" w:eastAsia="MS UI Gothic"/>
          <w:w w:val="80"/>
        </w:rPr>
        <w:t xml:space="preserve">、 </w:t>
      </w:r>
      <w:r>
        <w:t>报告制度</w:t>
      </w:r>
      <w:r>
        <w:rPr>
          <w:rFonts w:hint="eastAsia" w:ascii="MS UI Gothic" w:eastAsia="MS UI Gothic"/>
          <w:w w:val="80"/>
        </w:rPr>
        <w:t xml:space="preserve">ꎬ </w:t>
      </w:r>
      <w:r>
        <w:t>事故报告与责任追究制度等</w:t>
      </w:r>
      <w:r>
        <w:rPr>
          <w:rFonts w:hint="eastAsia" w:ascii="MS UI Gothic" w:eastAsia="MS UI Gothic"/>
          <w:w w:val="80"/>
        </w:rPr>
        <w:t>ꎮ</w:t>
      </w:r>
    </w:p>
    <w:p>
      <w:pPr>
        <w:pStyle w:val="6"/>
        <w:spacing w:line="292" w:lineRule="auto"/>
        <w:ind w:right="38"/>
        <w:rPr>
          <w:rFonts w:hint="eastAsia" w:ascii="MS UI Gothic" w:eastAsia="MS UI Gothic"/>
        </w:rPr>
      </w:pPr>
      <w:r>
        <w:t>煤矿企业必须建立各种设备</w:t>
      </w:r>
      <w:r>
        <w:rPr>
          <w:rFonts w:hint="eastAsia" w:ascii="MS UI Gothic" w:eastAsia="MS UI Gothic"/>
          <w:w w:val="80"/>
        </w:rPr>
        <w:t xml:space="preserve">、 </w:t>
      </w:r>
      <w:r>
        <w:t>设施检查维修制度</w:t>
      </w:r>
      <w:r>
        <w:rPr>
          <w:rFonts w:hint="eastAsia" w:ascii="MS UI Gothic" w:eastAsia="MS UI Gothic"/>
          <w:w w:val="80"/>
        </w:rPr>
        <w:t xml:space="preserve">ꎬ </w:t>
      </w:r>
      <w:r>
        <w:t>定期进行检查维修</w:t>
      </w:r>
      <w:r>
        <w:rPr>
          <w:rFonts w:hint="eastAsia" w:ascii="MS UI Gothic" w:eastAsia="MS UI Gothic"/>
          <w:w w:val="80"/>
        </w:rPr>
        <w:t xml:space="preserve">ꎬ </w:t>
      </w:r>
      <w:r>
        <w:t>并做好记录</w:t>
      </w:r>
      <w:r>
        <w:rPr>
          <w:rFonts w:hint="eastAsia" w:ascii="MS UI Gothic" w:eastAsia="MS UI Gothic"/>
          <w:w w:val="80"/>
        </w:rPr>
        <w:t>ꎮ</w:t>
      </w:r>
    </w:p>
    <w:p>
      <w:pPr>
        <w:pStyle w:val="6"/>
        <w:spacing w:line="292" w:lineRule="auto"/>
        <w:ind w:right="38"/>
        <w:jc w:val="left"/>
        <w:rPr>
          <w:rFonts w:hint="eastAsia" w:ascii="MS UI Gothic" w:eastAsia="MS UI Gothic"/>
        </w:rPr>
      </w:pPr>
      <w:r>
        <w:t>煤矿必须制定本单位的作业规程和操</w:t>
      </w:r>
      <w:r>
        <w:rPr>
          <w:w w:val="105"/>
        </w:rPr>
        <w:t>作规程</w:t>
      </w:r>
      <w:r>
        <w:rPr>
          <w:rFonts w:hint="eastAsia" w:ascii="MS UI Gothic" w:eastAsia="MS UI Gothic"/>
          <w:w w:val="80"/>
        </w:rPr>
        <w:t>ꎮ</w:t>
      </w:r>
    </w:p>
    <w:p>
      <w:pPr>
        <w:pStyle w:val="6"/>
        <w:spacing w:line="292" w:lineRule="auto"/>
        <w:ind w:right="38"/>
        <w:rPr>
          <w:rFonts w:hint="eastAsia" w:ascii="MS UI Gothic" w:eastAsia="MS UI Gothic"/>
        </w:rPr>
      </w:pPr>
      <w:r>
        <w:t>煤矿企业必须设置专门机构负责煤矿安全生产与职业病危害防治管理工作</w:t>
      </w:r>
      <w:r>
        <w:rPr>
          <w:rFonts w:hint="eastAsia" w:ascii="MS UI Gothic" w:eastAsia="MS UI Gothic"/>
          <w:w w:val="80"/>
        </w:rPr>
        <w:t xml:space="preserve">ꎬ </w:t>
      </w:r>
      <w:r>
        <w:t>配</w:t>
      </w:r>
      <w:r>
        <w:rPr>
          <w:w w:val="105"/>
        </w:rPr>
        <w:t>备满足工作需要的人员及装备</w:t>
      </w:r>
      <w:r>
        <w:rPr>
          <w:rFonts w:hint="eastAsia" w:ascii="MS UI Gothic" w:eastAsia="MS UI Gothic"/>
          <w:w w:val="80"/>
        </w:rPr>
        <w:t>ꎮ</w:t>
      </w:r>
    </w:p>
    <w:p>
      <w:pPr>
        <w:pStyle w:val="6"/>
        <w:spacing w:line="292" w:lineRule="auto"/>
        <w:ind w:right="38"/>
      </w:pPr>
      <w:r>
        <w:rPr>
          <w:w w:val="105"/>
        </w:rPr>
        <w:t>第六条 煤矿建设项目的安全设施和</w:t>
      </w:r>
      <w:r>
        <w:t>职业病危害防护设施</w:t>
      </w:r>
      <w:r>
        <w:rPr>
          <w:rFonts w:hint="eastAsia" w:ascii="MS UI Gothic" w:eastAsia="MS UI Gothic"/>
          <w:w w:val="80"/>
        </w:rPr>
        <w:t xml:space="preserve">ꎬ </w:t>
      </w:r>
      <w:r>
        <w:t>必须与主体工程同</w:t>
      </w:r>
    </w:p>
    <w:p>
      <w:pPr>
        <w:pStyle w:val="6"/>
        <w:spacing w:before="174"/>
        <w:ind w:firstLine="0"/>
        <w:jc w:val="left"/>
        <w:rPr>
          <w:rFonts w:hint="eastAsia" w:ascii="MS UI Gothic" w:eastAsia="MS UI Gothic"/>
        </w:rPr>
      </w:pPr>
      <w:r>
        <w:br w:type="column"/>
      </w:r>
      <w:r>
        <w:t>时设计</w:t>
      </w:r>
      <w:r>
        <w:rPr>
          <w:rFonts w:hint="eastAsia" w:ascii="MS UI Gothic" w:eastAsia="MS UI Gothic"/>
        </w:rPr>
        <w:t xml:space="preserve">、 </w:t>
      </w:r>
      <w:r>
        <w:t>同时施工</w:t>
      </w:r>
      <w:r>
        <w:rPr>
          <w:rFonts w:hint="eastAsia" w:ascii="MS UI Gothic" w:eastAsia="MS UI Gothic"/>
        </w:rPr>
        <w:t xml:space="preserve">、 </w:t>
      </w:r>
      <w:r>
        <w:t>同时投入使用</w:t>
      </w:r>
      <w:r>
        <w:rPr>
          <w:rFonts w:hint="eastAsia" w:ascii="MS UI Gothic" w:eastAsia="MS UI Gothic"/>
          <w:w w:val="80"/>
        </w:rPr>
        <w:t>ꎮ</w:t>
      </w:r>
    </w:p>
    <w:p>
      <w:pPr>
        <w:pStyle w:val="6"/>
        <w:spacing w:before="57" w:line="292" w:lineRule="auto"/>
        <w:ind w:right="440"/>
        <w:rPr>
          <w:rFonts w:hint="eastAsia" w:ascii="MS UI Gothic" w:eastAsia="MS UI Gothic"/>
        </w:rPr>
      </w:pPr>
      <w:r>
        <w:rPr>
          <w:w w:val="105"/>
        </w:rPr>
        <w:t>第七条 对作业场所和工作岗位存在</w:t>
      </w:r>
      <w:r>
        <w:t>的危险有害因素及防范措施事故应急措</w:t>
      </w:r>
      <w:r>
        <w:rPr>
          <w:w w:val="105"/>
        </w:rPr>
        <w:t>施</w:t>
      </w:r>
      <w:r>
        <w:rPr>
          <w:rFonts w:hint="eastAsia" w:ascii="MS UI Gothic" w:eastAsia="MS UI Gothic"/>
          <w:w w:val="80"/>
        </w:rPr>
        <w:t xml:space="preserve">、 </w:t>
      </w:r>
      <w:r>
        <w:rPr>
          <w:w w:val="105"/>
        </w:rPr>
        <w:t>职业病危害及其后果</w:t>
      </w:r>
      <w:r>
        <w:rPr>
          <w:rFonts w:hint="eastAsia" w:ascii="MS UI Gothic" w:eastAsia="MS UI Gothic"/>
          <w:w w:val="80"/>
        </w:rPr>
        <w:t xml:space="preserve">、 </w:t>
      </w:r>
      <w:r>
        <w:rPr>
          <w:w w:val="105"/>
        </w:rPr>
        <w:t>职业病危害防</w:t>
      </w:r>
      <w:r>
        <w:t>护措施等</w:t>
      </w:r>
      <w:r>
        <w:rPr>
          <w:rFonts w:hint="eastAsia" w:ascii="MS UI Gothic" w:eastAsia="MS UI Gothic"/>
          <w:w w:val="80"/>
        </w:rPr>
        <w:t xml:space="preserve">ꎬ </w:t>
      </w:r>
      <w:r>
        <w:t>煤矿企业应当履行告知义务</w:t>
      </w:r>
      <w:r>
        <w:rPr>
          <w:rFonts w:hint="eastAsia" w:ascii="MS UI Gothic" w:eastAsia="MS UI Gothic"/>
          <w:w w:val="80"/>
        </w:rPr>
        <w:t>ꎬ</w:t>
      </w:r>
      <w:r>
        <w:rPr>
          <w:w w:val="105"/>
        </w:rPr>
        <w:t>从业人员有权了解并提出建议</w:t>
      </w:r>
      <w:r>
        <w:rPr>
          <w:rFonts w:hint="eastAsia" w:ascii="MS UI Gothic" w:eastAsia="MS UI Gothic"/>
          <w:w w:val="80"/>
        </w:rPr>
        <w:t>ꎮ</w:t>
      </w:r>
    </w:p>
    <w:p>
      <w:pPr>
        <w:pStyle w:val="6"/>
        <w:spacing w:line="292" w:lineRule="auto"/>
        <w:ind w:right="442"/>
        <w:rPr>
          <w:rFonts w:hint="eastAsia" w:ascii="MS UI Gothic" w:eastAsia="MS UI Gothic"/>
        </w:rPr>
      </w:pPr>
      <w:r>
        <w:t>第八条 煤矿安全生产与职业病危害防治工作必须实行群众监 督</w:t>
      </w:r>
      <w:r>
        <w:rPr>
          <w:rFonts w:hint="eastAsia" w:ascii="MS UI Gothic" w:eastAsia="MS UI Gothic"/>
          <w:w w:val="80"/>
        </w:rPr>
        <w:t xml:space="preserve">ꎮ </w:t>
      </w:r>
      <w:r>
        <w:t>煤矿企业必须支持群众组织的监督活动</w:t>
      </w:r>
      <w:r>
        <w:rPr>
          <w:rFonts w:hint="eastAsia" w:ascii="MS UI Gothic" w:eastAsia="MS UI Gothic"/>
          <w:w w:val="80"/>
        </w:rPr>
        <w:t xml:space="preserve">ꎬ </w:t>
      </w:r>
      <w:r>
        <w:t>发挥群众的监督作用</w:t>
      </w:r>
      <w:r>
        <w:rPr>
          <w:rFonts w:hint="eastAsia" w:ascii="MS UI Gothic" w:eastAsia="MS UI Gothic"/>
          <w:w w:val="80"/>
        </w:rPr>
        <w:t>ꎮ</w:t>
      </w:r>
    </w:p>
    <w:p>
      <w:pPr>
        <w:pStyle w:val="6"/>
        <w:spacing w:line="292" w:lineRule="auto"/>
        <w:ind w:right="442"/>
        <w:rPr>
          <w:rFonts w:hint="eastAsia" w:ascii="MS UI Gothic" w:eastAsia="MS UI Gothic"/>
        </w:rPr>
      </w:pPr>
      <w:r>
        <w:t>从业人员有权制止违章作业</w:t>
      </w:r>
      <w:r>
        <w:rPr>
          <w:rFonts w:hint="eastAsia" w:ascii="MS UI Gothic" w:eastAsia="MS UI Gothic"/>
          <w:w w:val="80"/>
        </w:rPr>
        <w:t xml:space="preserve">ꎬ </w:t>
      </w:r>
      <w:r>
        <w:t>拒绝违章指挥</w:t>
      </w:r>
      <w:r>
        <w:rPr>
          <w:rFonts w:hint="eastAsia" w:ascii="MS UI Gothic" w:eastAsia="MS UI Gothic"/>
          <w:w w:val="80"/>
        </w:rPr>
        <w:t xml:space="preserve">ꎻ </w:t>
      </w:r>
      <w:r>
        <w:t>当工作地点出现险情时</w:t>
      </w:r>
      <w:r>
        <w:rPr>
          <w:rFonts w:hint="eastAsia" w:ascii="MS UI Gothic" w:eastAsia="MS UI Gothic"/>
          <w:w w:val="80"/>
        </w:rPr>
        <w:t xml:space="preserve">ꎬ </w:t>
      </w:r>
      <w:r>
        <w:t>有权立即停止作业</w:t>
      </w:r>
      <w:r>
        <w:rPr>
          <w:rFonts w:hint="eastAsia" w:ascii="MS UI Gothic" w:eastAsia="MS UI Gothic"/>
          <w:w w:val="80"/>
        </w:rPr>
        <w:t xml:space="preserve">ꎬ </w:t>
      </w:r>
      <w:r>
        <w:t>撤到安全地点</w:t>
      </w:r>
      <w:r>
        <w:rPr>
          <w:rFonts w:hint="eastAsia" w:ascii="MS UI Gothic" w:eastAsia="MS UI Gothic"/>
          <w:w w:val="80"/>
        </w:rPr>
        <w:t xml:space="preserve">ꎻ </w:t>
      </w:r>
      <w:r>
        <w:t>当险情没有得到处理不能保证人身安全时</w:t>
      </w:r>
      <w:r>
        <w:rPr>
          <w:rFonts w:hint="eastAsia" w:ascii="MS UI Gothic" w:eastAsia="MS UI Gothic"/>
          <w:w w:val="80"/>
        </w:rPr>
        <w:t xml:space="preserve">ꎬ </w:t>
      </w:r>
      <w:r>
        <w:t>有权拒绝作业</w:t>
      </w:r>
      <w:r>
        <w:rPr>
          <w:rFonts w:hint="eastAsia" w:ascii="MS UI Gothic" w:eastAsia="MS UI Gothic"/>
          <w:w w:val="80"/>
        </w:rPr>
        <w:t>ꎮ</w:t>
      </w:r>
    </w:p>
    <w:p>
      <w:pPr>
        <w:pStyle w:val="6"/>
        <w:spacing w:line="292" w:lineRule="auto"/>
        <w:ind w:right="442"/>
        <w:rPr>
          <w:rFonts w:hint="eastAsia" w:ascii="MS UI Gothic" w:eastAsia="MS UI Gothic"/>
        </w:rPr>
      </w:pPr>
      <w:r>
        <w:t>从业人员必须遵守煤矿安全生产规章制度</w:t>
      </w:r>
      <w:r>
        <w:rPr>
          <w:rFonts w:hint="eastAsia" w:ascii="MS UI Gothic" w:eastAsia="MS UI Gothic"/>
          <w:w w:val="80"/>
        </w:rPr>
        <w:t xml:space="preserve">、 </w:t>
      </w:r>
      <w:r>
        <w:t xml:space="preserve">作业规程和操作规程 </w:t>
      </w:r>
      <w:r>
        <w:rPr>
          <w:rFonts w:hint="eastAsia" w:ascii="MS UI Gothic" w:eastAsia="MS UI Gothic"/>
          <w:w w:val="80"/>
        </w:rPr>
        <w:t xml:space="preserve">ꎬ </w:t>
      </w:r>
      <w:r>
        <w:t>严禁违章指挥</w:t>
      </w:r>
      <w:r>
        <w:rPr>
          <w:rFonts w:hint="eastAsia" w:ascii="MS UI Gothic" w:eastAsia="MS UI Gothic"/>
          <w:w w:val="80"/>
        </w:rPr>
        <w:t xml:space="preserve">、 </w:t>
      </w:r>
      <w:r>
        <w:t>违章作业</w:t>
      </w:r>
      <w:r>
        <w:rPr>
          <w:rFonts w:hint="eastAsia" w:ascii="MS UI Gothic" w:eastAsia="MS UI Gothic"/>
          <w:w w:val="80"/>
        </w:rPr>
        <w:t>ꎮ</w:t>
      </w:r>
    </w:p>
    <w:p>
      <w:pPr>
        <w:pStyle w:val="6"/>
        <w:spacing w:line="292" w:lineRule="auto"/>
        <w:ind w:right="442"/>
        <w:rPr>
          <w:rFonts w:hint="eastAsia" w:ascii="MS UI Gothic" w:eastAsia="MS UI Gothic"/>
        </w:rPr>
      </w:pPr>
      <w:r>
        <w:t>第九条 煤矿企业必须对从业人员进行安全教育和培训</w:t>
      </w:r>
      <w:r>
        <w:rPr>
          <w:rFonts w:hint="eastAsia" w:ascii="MS UI Gothic" w:eastAsia="MS UI Gothic"/>
          <w:w w:val="80"/>
        </w:rPr>
        <w:t xml:space="preserve">ꎮ </w:t>
      </w:r>
      <w:r>
        <w:t>培训不合格的</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line="292" w:lineRule="auto"/>
        <w:ind w:right="442"/>
        <w:rPr>
          <w:rFonts w:hint="eastAsia" w:ascii="MS UI Gothic" w:eastAsia="MS UI Gothic"/>
        </w:rPr>
      </w:pPr>
      <w:r>
        <w:rPr>
          <w:spacing w:val="2"/>
        </w:rPr>
        <w:t>主要负责人和安全生产管理人员必须</w:t>
      </w:r>
      <w:r>
        <w:rPr>
          <w:spacing w:val="3"/>
        </w:rPr>
        <w:t>具备煤矿安全生产知识和管理能力</w:t>
      </w:r>
      <w:r>
        <w:rPr>
          <w:rFonts w:hint="eastAsia" w:ascii="MS UI Gothic" w:eastAsia="MS UI Gothic"/>
          <w:spacing w:val="20"/>
          <w:w w:val="80"/>
        </w:rPr>
        <w:t xml:space="preserve">ꎬ </w:t>
      </w:r>
      <w:r>
        <w:rPr>
          <w:spacing w:val="1"/>
        </w:rPr>
        <w:t>并经</w:t>
      </w:r>
      <w:r>
        <w:rPr>
          <w:spacing w:val="3"/>
        </w:rPr>
        <w:t>考核合格</w:t>
      </w:r>
      <w:r>
        <w:rPr>
          <w:rFonts w:hint="eastAsia" w:ascii="MS UI Gothic" w:eastAsia="MS UI Gothic"/>
          <w:spacing w:val="20"/>
          <w:w w:val="80"/>
        </w:rPr>
        <w:t xml:space="preserve">ꎮ </w:t>
      </w:r>
      <w:r>
        <w:rPr>
          <w:spacing w:val="2"/>
        </w:rPr>
        <w:t>特种作业人员必须按国家有关</w:t>
      </w:r>
      <w:r>
        <w:rPr>
          <w:spacing w:val="3"/>
        </w:rPr>
        <w:t>规定培训合格</w:t>
      </w:r>
      <w:r>
        <w:rPr>
          <w:rFonts w:hint="eastAsia" w:ascii="MS UI Gothic" w:eastAsia="MS UI Gothic"/>
          <w:spacing w:val="23"/>
          <w:w w:val="80"/>
        </w:rPr>
        <w:t xml:space="preserve">ꎬ </w:t>
      </w:r>
      <w:r>
        <w:rPr>
          <w:spacing w:val="3"/>
        </w:rPr>
        <w:t>取得资格证书</w:t>
      </w:r>
      <w:r>
        <w:rPr>
          <w:rFonts w:hint="eastAsia" w:ascii="MS UI Gothic" w:eastAsia="MS UI Gothic"/>
          <w:spacing w:val="23"/>
          <w:w w:val="80"/>
        </w:rPr>
        <w:t xml:space="preserve">ꎬ </w:t>
      </w:r>
      <w:r>
        <w:rPr>
          <w:spacing w:val="2"/>
        </w:rPr>
        <w:t>方可上岗</w:t>
      </w:r>
      <w:r>
        <w:rPr>
          <w:spacing w:val="3"/>
        </w:rPr>
        <w:t>作业</w:t>
      </w:r>
      <w:r>
        <w:rPr>
          <w:rFonts w:hint="eastAsia" w:ascii="MS UI Gothic" w:eastAsia="MS UI Gothic"/>
          <w:w w:val="80"/>
        </w:rPr>
        <w:t>ꎮ</w:t>
      </w:r>
    </w:p>
    <w:p>
      <w:pPr>
        <w:pStyle w:val="6"/>
        <w:spacing w:line="292" w:lineRule="auto"/>
        <w:ind w:right="442"/>
        <w:rPr>
          <w:rFonts w:hint="eastAsia" w:ascii="MS UI Gothic" w:eastAsia="MS UI Gothic"/>
        </w:rPr>
      </w:pPr>
      <w:r>
        <w:rPr>
          <w:spacing w:val="3"/>
        </w:rPr>
        <w:t>矿长必须具备安全专业知识</w:t>
      </w:r>
      <w:r>
        <w:rPr>
          <w:rFonts w:hint="eastAsia" w:ascii="MS UI Gothic" w:eastAsia="MS UI Gothic"/>
          <w:spacing w:val="15"/>
          <w:w w:val="80"/>
        </w:rPr>
        <w:t xml:space="preserve">ꎬ </w:t>
      </w:r>
      <w:r>
        <w:rPr>
          <w:spacing w:val="2"/>
        </w:rPr>
        <w:t>具有组</w:t>
      </w:r>
      <w:r>
        <w:rPr>
          <w:spacing w:val="3"/>
        </w:rPr>
        <w:t>织</w:t>
      </w:r>
      <w:r>
        <w:rPr>
          <w:rFonts w:hint="eastAsia" w:ascii="MS UI Gothic" w:eastAsia="MS UI Gothic"/>
          <w:spacing w:val="15"/>
          <w:w w:val="80"/>
        </w:rPr>
        <w:t xml:space="preserve">、 </w:t>
      </w:r>
      <w:r>
        <w:rPr>
          <w:spacing w:val="31"/>
        </w:rPr>
        <w:t>领导安全生产和处理煤矿事故的</w:t>
      </w:r>
      <w:r>
        <w:rPr>
          <w:spacing w:val="3"/>
        </w:rPr>
        <w:t>能力</w:t>
      </w:r>
      <w:r>
        <w:rPr>
          <w:rFonts w:hint="eastAsia" w:ascii="MS UI Gothic" w:eastAsia="MS UI Gothic"/>
          <w:w w:val="80"/>
        </w:rPr>
        <w:t>ꎮ</w:t>
      </w:r>
    </w:p>
    <w:p>
      <w:pPr>
        <w:pStyle w:val="6"/>
        <w:spacing w:line="292" w:lineRule="auto"/>
        <w:ind w:right="442"/>
        <w:rPr>
          <w:rFonts w:hint="eastAsia" w:ascii="MS UI Gothic" w:eastAsia="MS UI Gothic"/>
        </w:rPr>
      </w:pPr>
      <w:r>
        <w:t>第十条 煤矿使用的纳入安全标志管理的产品</w:t>
      </w:r>
      <w:r>
        <w:rPr>
          <w:rFonts w:hint="eastAsia" w:ascii="MS UI Gothic" w:eastAsia="MS UI Gothic"/>
          <w:w w:val="80"/>
        </w:rPr>
        <w:t xml:space="preserve">ꎬ </w:t>
      </w:r>
      <w:r>
        <w:t>必须取得煤矿矿用产品安全标志</w:t>
      </w:r>
      <w:r>
        <w:rPr>
          <w:rFonts w:hint="eastAsia" w:ascii="MS UI Gothic" w:eastAsia="MS UI Gothic"/>
          <w:w w:val="80"/>
        </w:rPr>
        <w:t xml:space="preserve">ꎮ </w:t>
      </w:r>
      <w:r>
        <w:t>未取得煤矿矿用产品安全标志的</w:t>
      </w:r>
      <w:r>
        <w:rPr>
          <w:rFonts w:hint="eastAsia" w:ascii="MS UI Gothic" w:eastAsia="MS UI Gothic"/>
          <w:w w:val="80"/>
        </w:rPr>
        <w:t xml:space="preserve">ꎬ </w:t>
      </w:r>
      <w:r>
        <w:t>不得使用</w:t>
      </w:r>
      <w:r>
        <w:rPr>
          <w:rFonts w:hint="eastAsia" w:ascii="MS UI Gothic" w:eastAsia="MS UI Gothic"/>
          <w:w w:val="80"/>
        </w:rPr>
        <w:t>ꎮ</w:t>
      </w:r>
    </w:p>
    <w:p>
      <w:pPr>
        <w:pStyle w:val="6"/>
        <w:spacing w:line="292" w:lineRule="auto"/>
        <w:ind w:right="440"/>
      </w:pPr>
      <w:r>
        <w:t>试验涉及安全生产的新技术</w:t>
      </w:r>
      <w:r>
        <w:rPr>
          <w:rFonts w:hint="eastAsia" w:ascii="MS UI Gothic" w:eastAsia="MS UI Gothic"/>
          <w:w w:val="80"/>
        </w:rPr>
        <w:t xml:space="preserve">、 </w:t>
      </w:r>
      <w:r>
        <w:t>新工艺必须经过论证并制定安全措施</w:t>
      </w:r>
      <w:r>
        <w:rPr>
          <w:rFonts w:hint="eastAsia" w:ascii="MS UI Gothic" w:eastAsia="MS UI Gothic"/>
          <w:w w:val="80"/>
        </w:rPr>
        <w:t xml:space="preserve">ꎻ </w:t>
      </w:r>
      <w:r>
        <w:t>新设备</w:t>
      </w:r>
      <w:r>
        <w:rPr>
          <w:rFonts w:hint="eastAsia" w:ascii="MS UI Gothic" w:eastAsia="MS UI Gothic"/>
          <w:w w:val="80"/>
        </w:rPr>
        <w:t>、</w:t>
      </w:r>
      <w:r>
        <w:t>新材料必须经过安全性能检验</w:t>
      </w:r>
      <w:r>
        <w:rPr>
          <w:rFonts w:hint="eastAsia" w:ascii="MS UI Gothic" w:eastAsia="MS UI Gothic"/>
          <w:w w:val="80"/>
        </w:rPr>
        <w:t xml:space="preserve">ꎬ </w:t>
      </w:r>
      <w:r>
        <w:t>取得产品</w:t>
      </w:r>
    </w:p>
    <w:p>
      <w:pPr>
        <w:spacing w:after="0" w:line="292" w:lineRule="auto"/>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２３９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47" o:spid="_x0000_s1747" o:spt="203" style="height:2.15pt;width:398.25pt;" coordsize="7965,43">
            <o:lock v:ext="edit"/>
            <v:line id="_x0000_s1748" o:spid="_x0000_s1748" o:spt="20" style="position:absolute;left:0;top:39;height:0;width:7965;" stroked="t" coordsize="21600,21600">
              <v:path arrowok="t"/>
              <v:fill focussize="0,0"/>
              <v:stroke weight="0.388031496062992pt" color="#231F20"/>
              <v:imagedata o:title=""/>
              <o:lock v:ext="edit"/>
            </v:line>
            <v:line id="_x0000_s1749" o:spid="_x0000_s174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工业性试验安全标志</w:t>
      </w:r>
      <w:r>
        <w:rPr>
          <w:rFonts w:hint="eastAsia" w:ascii="MS UI Gothic" w:eastAsia="MS UI Gothic"/>
          <w:w w:val="80"/>
        </w:rPr>
        <w:t>ꎮ</w:t>
      </w:r>
    </w:p>
    <w:p>
      <w:pPr>
        <w:pStyle w:val="6"/>
        <w:spacing w:before="58" w:line="295" w:lineRule="auto"/>
        <w:ind w:left="440" w:right="1"/>
        <w:rPr>
          <w:rFonts w:hint="eastAsia" w:ascii="MS UI Gothic" w:eastAsia="MS UI Gothic"/>
        </w:rPr>
      </w:pPr>
      <w:r>
        <w:t>严禁使用国家明令禁止使用或淘汰的危及生产安全和可能产生职业病危害的技</w:t>
      </w:r>
      <w:r>
        <w:rPr>
          <w:w w:val="105"/>
        </w:rPr>
        <w:t>术</w:t>
      </w:r>
      <w:r>
        <w:rPr>
          <w:rFonts w:hint="eastAsia" w:ascii="MS UI Gothic" w:eastAsia="MS UI Gothic"/>
          <w:w w:val="80"/>
        </w:rPr>
        <w:t xml:space="preserve">、 </w:t>
      </w:r>
      <w:r>
        <w:rPr>
          <w:w w:val="105"/>
        </w:rPr>
        <w:t>工艺</w:t>
      </w:r>
      <w:r>
        <w:rPr>
          <w:rFonts w:hint="eastAsia" w:ascii="MS UI Gothic" w:eastAsia="MS UI Gothic"/>
          <w:w w:val="80"/>
        </w:rPr>
        <w:t xml:space="preserve">、 </w:t>
      </w:r>
      <w:r>
        <w:rPr>
          <w:w w:val="105"/>
        </w:rPr>
        <w:t>材料和设备</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第十一条 煤矿企业在编制生产建设</w:t>
      </w:r>
      <w:r>
        <w:t>长远发展规划和年度生产建设计划时</w:t>
      </w:r>
      <w:r>
        <w:rPr>
          <w:rFonts w:hint="eastAsia" w:ascii="MS UI Gothic" w:eastAsia="MS UI Gothic"/>
          <w:w w:val="80"/>
        </w:rPr>
        <w:t xml:space="preserve">ꎬ </w:t>
      </w:r>
      <w:r>
        <w:t>必须编制安全技术与职业病危害防治发展规划和安全技术措施计划</w:t>
      </w:r>
      <w:r>
        <w:rPr>
          <w:rFonts w:hint="eastAsia" w:ascii="MS UI Gothic" w:eastAsia="MS UI Gothic"/>
          <w:w w:val="80"/>
        </w:rPr>
        <w:t xml:space="preserve">ꎮ </w:t>
      </w:r>
      <w:r>
        <w:t>安全技术措施与</w:t>
      </w:r>
      <w:r>
        <w:rPr>
          <w:w w:val="105"/>
        </w:rPr>
        <w:t>职业病危害防治所需费用</w:t>
      </w:r>
      <w:r>
        <w:rPr>
          <w:rFonts w:hint="eastAsia" w:ascii="MS UI Gothic" w:eastAsia="MS UI Gothic"/>
          <w:w w:val="80"/>
        </w:rPr>
        <w:t xml:space="preserve">、 </w:t>
      </w:r>
      <w:r>
        <w:rPr>
          <w:w w:val="105"/>
        </w:rPr>
        <w:t>材料和设备等必须列入企业财务</w:t>
      </w:r>
      <w:r>
        <w:rPr>
          <w:rFonts w:hint="eastAsia" w:ascii="MS UI Gothic" w:eastAsia="MS UI Gothic"/>
          <w:w w:val="80"/>
        </w:rPr>
        <w:t xml:space="preserve">、 </w:t>
      </w:r>
      <w:r>
        <w:rPr>
          <w:w w:val="105"/>
        </w:rPr>
        <w:t>供应计划</w:t>
      </w:r>
      <w:r>
        <w:rPr>
          <w:rFonts w:hint="eastAsia" w:ascii="MS UI Gothic" w:eastAsia="MS UI Gothic"/>
          <w:w w:val="80"/>
        </w:rPr>
        <w:t>ꎮ</w:t>
      </w:r>
    </w:p>
    <w:p>
      <w:pPr>
        <w:pStyle w:val="6"/>
        <w:spacing w:line="295" w:lineRule="auto"/>
        <w:ind w:left="440" w:right="1"/>
        <w:rPr>
          <w:rFonts w:hint="eastAsia" w:ascii="MS UI Gothic" w:eastAsia="MS UI Gothic"/>
        </w:rPr>
      </w:pPr>
      <w:r>
        <w:t>煤炭生产与煤矿建设的安全投入和职</w:t>
      </w:r>
      <w:r>
        <w:rPr>
          <w:w w:val="105"/>
        </w:rPr>
        <w:t>业病危害防治费用提取</w:t>
      </w:r>
      <w:r>
        <w:rPr>
          <w:rFonts w:hint="eastAsia" w:ascii="MS UI Gothic" w:eastAsia="MS UI Gothic"/>
          <w:w w:val="80"/>
        </w:rPr>
        <w:t xml:space="preserve">、 </w:t>
      </w:r>
      <w:r>
        <w:rPr>
          <w:w w:val="105"/>
        </w:rPr>
        <w:t>使用必须符合国家有关规定</w:t>
      </w:r>
      <w:r>
        <w:rPr>
          <w:rFonts w:hint="eastAsia" w:ascii="MS UI Gothic" w:eastAsia="MS UI Gothic"/>
          <w:w w:val="80"/>
        </w:rPr>
        <w:t>ꎮ</w:t>
      </w:r>
    </w:p>
    <w:p>
      <w:pPr>
        <w:pStyle w:val="6"/>
        <w:spacing w:line="295" w:lineRule="auto"/>
        <w:ind w:left="440" w:right="1"/>
        <w:rPr>
          <w:rFonts w:hint="eastAsia" w:ascii="MS UI Gothic" w:eastAsia="MS UI Gothic"/>
        </w:rPr>
      </w:pPr>
      <w:r>
        <w:t>第十二条 煤矿必须编制年度灾害预防和处理计划</w:t>
      </w:r>
      <w:r>
        <w:rPr>
          <w:rFonts w:hint="eastAsia" w:ascii="MS UI Gothic" w:eastAsia="MS UI Gothic"/>
          <w:w w:val="80"/>
        </w:rPr>
        <w:t xml:space="preserve">ꎬ </w:t>
      </w:r>
      <w:r>
        <w:t>并根据具体情况及时修改</w:t>
      </w:r>
      <w:r>
        <w:rPr>
          <w:rFonts w:hint="eastAsia" w:ascii="MS UI Gothic" w:eastAsia="MS UI Gothic"/>
          <w:w w:val="80"/>
        </w:rPr>
        <w:t xml:space="preserve">ꎮ </w:t>
      </w:r>
      <w:r>
        <w:t>灾害预防和处理计划由矿长负责组织实施</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 xml:space="preserve">第十三条 入井 </w:t>
      </w:r>
      <w:r>
        <w:rPr>
          <w:rFonts w:hint="eastAsia" w:ascii="MS UI Gothic" w:eastAsia="MS UI Gothic"/>
          <w:w w:val="150"/>
        </w:rPr>
        <w:t xml:space="preserve">( </w:t>
      </w:r>
      <w:r>
        <w:rPr>
          <w:w w:val="105"/>
        </w:rPr>
        <w:t>场</w:t>
      </w:r>
      <w:r>
        <w:rPr>
          <w:rFonts w:hint="eastAsia" w:ascii="MS UI Gothic" w:eastAsia="MS UI Gothic"/>
          <w:w w:val="150"/>
        </w:rPr>
        <w:t xml:space="preserve">) </w:t>
      </w:r>
      <w:r>
        <w:rPr>
          <w:w w:val="105"/>
        </w:rPr>
        <w:t>人员必须戴</w:t>
      </w:r>
      <w:r>
        <w:t>安全帽等个体防护用品</w:t>
      </w:r>
      <w:r>
        <w:rPr>
          <w:rFonts w:hint="eastAsia" w:ascii="MS UI Gothic" w:eastAsia="MS UI Gothic"/>
          <w:w w:val="80"/>
        </w:rPr>
        <w:t xml:space="preserve">ꎬ </w:t>
      </w:r>
      <w:r>
        <w:t>穿带有反光标识</w:t>
      </w:r>
      <w:r>
        <w:rPr>
          <w:w w:val="105"/>
        </w:rPr>
        <w:t>的工作服</w:t>
      </w:r>
      <w:r>
        <w:rPr>
          <w:rFonts w:hint="eastAsia" w:ascii="MS UI Gothic" w:eastAsia="MS UI Gothic"/>
          <w:w w:val="80"/>
        </w:rPr>
        <w:t xml:space="preserve">ꎮ </w:t>
      </w:r>
      <w:r>
        <w:rPr>
          <w:w w:val="105"/>
        </w:rPr>
        <w:t xml:space="preserve">入井 </w:t>
      </w:r>
      <w:r>
        <w:rPr>
          <w:rFonts w:hint="eastAsia" w:ascii="MS UI Gothic" w:eastAsia="MS UI Gothic"/>
          <w:w w:val="150"/>
        </w:rPr>
        <w:t xml:space="preserve">( </w:t>
      </w:r>
      <w:r>
        <w:rPr>
          <w:w w:val="105"/>
        </w:rPr>
        <w:t>场</w:t>
      </w:r>
      <w:r>
        <w:rPr>
          <w:rFonts w:hint="eastAsia" w:ascii="MS UI Gothic" w:eastAsia="MS UI Gothic"/>
          <w:w w:val="150"/>
        </w:rPr>
        <w:t xml:space="preserve">) </w:t>
      </w:r>
      <w:r>
        <w:rPr>
          <w:w w:val="105"/>
        </w:rPr>
        <w:t>前严禁饮酒</w:t>
      </w:r>
      <w:r>
        <w:rPr>
          <w:rFonts w:hint="eastAsia" w:ascii="MS UI Gothic" w:eastAsia="MS UI Gothic"/>
          <w:w w:val="80"/>
        </w:rPr>
        <w:t>ꎮ</w:t>
      </w:r>
    </w:p>
    <w:p>
      <w:pPr>
        <w:pStyle w:val="6"/>
        <w:spacing w:line="295" w:lineRule="auto"/>
        <w:ind w:left="440"/>
        <w:rPr>
          <w:rFonts w:hint="eastAsia" w:ascii="MS UI Gothic" w:eastAsia="MS UI Gothic"/>
        </w:rPr>
      </w:pPr>
      <w:r>
        <w:t>煤矿必须建立入井检身制度和出入井人员清点制度</w:t>
      </w:r>
      <w:r>
        <w:rPr>
          <w:rFonts w:hint="eastAsia" w:ascii="MS UI Gothic" w:eastAsia="MS UI Gothic"/>
          <w:w w:val="80"/>
        </w:rPr>
        <w:t xml:space="preserve">ꎬ </w:t>
      </w:r>
      <w:r>
        <w:t>必须掌握井下人员数量</w:t>
      </w:r>
      <w:r>
        <w:rPr>
          <w:rFonts w:hint="eastAsia" w:ascii="MS UI Gothic" w:eastAsia="MS UI Gothic"/>
          <w:w w:val="80"/>
        </w:rPr>
        <w:t>、</w:t>
      </w:r>
      <w:r>
        <w:t>位置等实时信息</w:t>
      </w:r>
      <w:r>
        <w:rPr>
          <w:rFonts w:hint="eastAsia" w:ascii="MS UI Gothic" w:eastAsia="MS UI Gothic"/>
          <w:w w:val="80"/>
        </w:rPr>
        <w:t>ꎮ</w:t>
      </w:r>
    </w:p>
    <w:p>
      <w:pPr>
        <w:pStyle w:val="6"/>
        <w:spacing w:line="295" w:lineRule="auto"/>
        <w:ind w:left="440" w:right="1"/>
        <w:rPr>
          <w:rFonts w:hint="eastAsia" w:ascii="MS UI Gothic" w:eastAsia="MS UI Gothic"/>
        </w:rPr>
      </w:pPr>
      <w:r>
        <w:t>入井人员必须随身携带自救器</w:t>
      </w:r>
      <w:r>
        <w:rPr>
          <w:rFonts w:hint="eastAsia" w:ascii="MS UI Gothic" w:eastAsia="MS UI Gothic"/>
          <w:w w:val="80"/>
        </w:rPr>
        <w:t xml:space="preserve">、 </w:t>
      </w:r>
      <w:r>
        <w:t>标识卡和矿灯</w:t>
      </w:r>
      <w:r>
        <w:rPr>
          <w:rFonts w:hint="eastAsia" w:ascii="MS UI Gothic" w:eastAsia="MS UI Gothic"/>
          <w:w w:val="80"/>
        </w:rPr>
        <w:t xml:space="preserve">ꎬ </w:t>
      </w:r>
      <w:r>
        <w:t>严禁携带烟草和点火物品</w:t>
      </w:r>
      <w:r>
        <w:rPr>
          <w:rFonts w:hint="eastAsia" w:ascii="MS UI Gothic" w:eastAsia="MS UI Gothic"/>
          <w:w w:val="80"/>
        </w:rPr>
        <w:t xml:space="preserve">ꎬ </w:t>
      </w:r>
      <w:r>
        <w:t>严禁穿化纤衣服</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第十四条 井工煤矿必须按规定填绘</w:t>
      </w:r>
      <w:r>
        <w:rPr>
          <w:w w:val="110"/>
        </w:rPr>
        <w:t>反映实际情况的下列图</w:t>
      </w:r>
      <w:r>
        <w:rPr>
          <w:rFonts w:hint="eastAsia" w:ascii="MS UI Gothic" w:eastAsia="MS UI Gothic"/>
          <w:w w:val="235"/>
        </w:rPr>
        <w:t>:</w:t>
      </w:r>
    </w:p>
    <w:p>
      <w:pPr>
        <w:pStyle w:val="6"/>
        <w:spacing w:line="295" w:lineRule="auto"/>
        <w:ind w:left="860" w:right="378" w:firstLine="0"/>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矿井地质图和水文地质图</w:t>
      </w:r>
      <w:r>
        <w:rPr>
          <w:rFonts w:hint="eastAsia" w:ascii="MS UI Gothic" w:eastAsia="MS UI Gothic"/>
          <w:w w:val="80"/>
        </w:rPr>
        <w:t>ꎮ</w:t>
      </w: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井上</w:t>
      </w:r>
      <w:r>
        <w:rPr>
          <w:rFonts w:hint="eastAsia" w:ascii="MS UI Gothic" w:eastAsia="MS UI Gothic"/>
          <w:w w:val="80"/>
        </w:rPr>
        <w:t xml:space="preserve">、 </w:t>
      </w:r>
      <w:r>
        <w:rPr>
          <w:w w:val="110"/>
        </w:rPr>
        <w:t>下对照图</w:t>
      </w:r>
      <w:r>
        <w:rPr>
          <w:rFonts w:hint="eastAsia" w:ascii="MS UI Gothic" w:eastAsia="MS UI Gothic"/>
          <w:w w:val="80"/>
        </w:rPr>
        <w:t>ꎮ</w:t>
      </w:r>
    </w:p>
    <w:p>
      <w:pPr>
        <w:pStyle w:val="6"/>
        <w:spacing w:line="255" w:lineRule="exact"/>
        <w:ind w:left="860" w:firstLine="0"/>
        <w:jc w:val="left"/>
        <w:rPr>
          <w:rFonts w:hint="eastAsia" w:ascii="MS UI Gothic" w:eastAsia="MS UI Gothic"/>
        </w:rPr>
      </w:pPr>
      <w:r>
        <w:rPr>
          <w:rFonts w:hint="eastAsia" w:ascii="MS UI Gothic" w:eastAsia="MS UI Gothic"/>
          <w:spacing w:val="-29"/>
          <w:w w:val="110"/>
        </w:rPr>
        <w:t xml:space="preserve">( </w:t>
      </w:r>
      <w:r>
        <w:rPr>
          <w:spacing w:val="3"/>
          <w:w w:val="110"/>
        </w:rPr>
        <w:t>三</w:t>
      </w:r>
      <w:r>
        <w:rPr>
          <w:rFonts w:hint="eastAsia" w:ascii="MS UI Gothic" w:eastAsia="MS UI Gothic"/>
          <w:spacing w:val="-1"/>
          <w:w w:val="110"/>
        </w:rPr>
        <w:t xml:space="preserve">) </w:t>
      </w:r>
      <w:r>
        <w:rPr>
          <w:spacing w:val="3"/>
          <w:w w:val="110"/>
        </w:rPr>
        <w:t>巷道布置图</w:t>
      </w:r>
      <w:r>
        <w:rPr>
          <w:rFonts w:hint="eastAsia" w:ascii="MS UI Gothic" w:eastAsia="MS UI Gothic"/>
          <w:w w:val="80"/>
        </w:rPr>
        <w:t>ꎮ</w:t>
      </w:r>
    </w:p>
    <w:p>
      <w:pPr>
        <w:pStyle w:val="6"/>
        <w:spacing w:before="37" w:line="295" w:lineRule="auto"/>
        <w:ind w:left="860" w:right="1216" w:firstLine="0"/>
        <w:jc w:val="left"/>
        <w:rPr>
          <w:rFonts w:hint="eastAsia" w:ascii="MS UI Gothic" w:eastAsia="MS UI Gothic"/>
        </w:rPr>
      </w:pPr>
      <w:r>
        <w:rPr>
          <w:rFonts w:hint="eastAsia" w:ascii="MS UI Gothic" w:eastAsia="MS UI Gothic"/>
          <w:spacing w:val="-30"/>
          <w:w w:val="110"/>
        </w:rPr>
        <w:t xml:space="preserve">( </w:t>
      </w:r>
      <w:r>
        <w:rPr>
          <w:spacing w:val="3"/>
          <w:w w:val="110"/>
        </w:rPr>
        <w:t>四</w:t>
      </w:r>
      <w:r>
        <w:rPr>
          <w:rFonts w:hint="eastAsia" w:ascii="MS UI Gothic" w:eastAsia="MS UI Gothic"/>
          <w:spacing w:val="-11"/>
          <w:w w:val="110"/>
        </w:rPr>
        <w:t xml:space="preserve">) </w:t>
      </w:r>
      <w:r>
        <w:rPr>
          <w:spacing w:val="3"/>
          <w:w w:val="110"/>
        </w:rPr>
        <w:t>采掘工程平面图</w:t>
      </w:r>
      <w:r>
        <w:rPr>
          <w:rFonts w:hint="eastAsia" w:ascii="MS UI Gothic" w:eastAsia="MS UI Gothic"/>
          <w:w w:val="80"/>
        </w:rPr>
        <w:t>ꎮ</w:t>
      </w:r>
      <w:r>
        <w:rPr>
          <w:rFonts w:hint="eastAsia" w:ascii="MS UI Gothic" w:eastAsia="MS UI Gothic"/>
          <w:spacing w:val="-38"/>
          <w:w w:val="150"/>
        </w:rPr>
        <w:t xml:space="preserve">( </w:t>
      </w:r>
      <w:r>
        <w:rPr>
          <w:spacing w:val="3"/>
          <w:w w:val="110"/>
        </w:rPr>
        <w:t>五</w:t>
      </w:r>
      <w:r>
        <w:rPr>
          <w:rFonts w:hint="eastAsia" w:ascii="MS UI Gothic" w:eastAsia="MS UI Gothic"/>
          <w:spacing w:val="4"/>
          <w:w w:val="150"/>
        </w:rPr>
        <w:t xml:space="preserve">) </w:t>
      </w:r>
      <w:r>
        <w:rPr>
          <w:spacing w:val="3"/>
          <w:w w:val="110"/>
        </w:rPr>
        <w:t>通风系统图</w:t>
      </w:r>
      <w:r>
        <w:rPr>
          <w:rFonts w:hint="eastAsia" w:ascii="MS UI Gothic" w:eastAsia="MS UI Gothic"/>
          <w:w w:val="80"/>
        </w:rPr>
        <w:t>ꎮ</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井下运输系统图</w:t>
      </w:r>
      <w:r>
        <w:rPr>
          <w:rFonts w:hint="eastAsia" w:ascii="MS UI Gothic" w:eastAsia="MS UI Gothic"/>
          <w:w w:val="80"/>
        </w:rPr>
        <w:t>ꎮ</w:t>
      </w:r>
    </w:p>
    <w:p>
      <w:pPr>
        <w:pStyle w:val="6"/>
        <w:spacing w:before="58" w:line="295" w:lineRule="auto"/>
        <w:ind w:left="440" w:right="1"/>
        <w:jc w:val="left"/>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安全监控布置图和断电控制图</w:t>
      </w:r>
      <w:r>
        <w:rPr>
          <w:rFonts w:hint="eastAsia" w:ascii="MS UI Gothic" w:eastAsia="MS UI Gothic"/>
          <w:w w:val="80"/>
        </w:rPr>
        <w:t xml:space="preserve">、 </w:t>
      </w:r>
      <w:r>
        <w:rPr>
          <w:w w:val="105"/>
        </w:rPr>
        <w:t>人员位置监测系统图</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rFonts w:hint="eastAsia" w:ascii="MS UI Gothic" w:eastAsia="MS UI Gothic"/>
          <w:spacing w:val="-36"/>
          <w:w w:val="150"/>
        </w:rPr>
        <w:t xml:space="preserve">( </w:t>
      </w:r>
      <w:r>
        <w:rPr>
          <w:spacing w:val="19"/>
          <w:w w:val="105"/>
        </w:rPr>
        <w:t>八</w:t>
      </w:r>
      <w:r>
        <w:rPr>
          <w:rFonts w:hint="eastAsia" w:ascii="MS UI Gothic" w:eastAsia="MS UI Gothic"/>
          <w:spacing w:val="24"/>
          <w:w w:val="150"/>
        </w:rPr>
        <w:t xml:space="preserve">) </w:t>
      </w:r>
      <w:r>
        <w:rPr>
          <w:spacing w:val="20"/>
          <w:w w:val="105"/>
        </w:rPr>
        <w:t>压风</w:t>
      </w:r>
      <w:r>
        <w:rPr>
          <w:rFonts w:hint="eastAsia" w:ascii="MS UI Gothic" w:eastAsia="MS UI Gothic"/>
          <w:spacing w:val="11"/>
          <w:w w:val="80"/>
        </w:rPr>
        <w:t xml:space="preserve">、 </w:t>
      </w:r>
      <w:r>
        <w:rPr>
          <w:spacing w:val="20"/>
          <w:w w:val="105"/>
        </w:rPr>
        <w:t>排水</w:t>
      </w:r>
      <w:r>
        <w:rPr>
          <w:rFonts w:hint="eastAsia" w:ascii="MS UI Gothic" w:eastAsia="MS UI Gothic"/>
          <w:spacing w:val="12"/>
          <w:w w:val="80"/>
        </w:rPr>
        <w:t xml:space="preserve">、 </w:t>
      </w:r>
      <w:r>
        <w:rPr>
          <w:spacing w:val="20"/>
          <w:w w:val="105"/>
        </w:rPr>
        <w:t>防尘</w:t>
      </w:r>
      <w:r>
        <w:rPr>
          <w:rFonts w:hint="eastAsia" w:ascii="MS UI Gothic" w:eastAsia="MS UI Gothic"/>
          <w:spacing w:val="11"/>
          <w:w w:val="80"/>
        </w:rPr>
        <w:t xml:space="preserve">、 </w:t>
      </w:r>
      <w:r>
        <w:rPr>
          <w:spacing w:val="25"/>
          <w:w w:val="105"/>
        </w:rPr>
        <w:t>防火注</w:t>
      </w:r>
      <w:r>
        <w:rPr>
          <w:spacing w:val="3"/>
          <w:w w:val="105"/>
        </w:rPr>
        <w:t>浆</w:t>
      </w:r>
      <w:r>
        <w:rPr>
          <w:rFonts w:hint="eastAsia" w:ascii="MS UI Gothic" w:eastAsia="MS UI Gothic"/>
          <w:spacing w:val="24"/>
          <w:w w:val="80"/>
        </w:rPr>
        <w:t xml:space="preserve">、 </w:t>
      </w:r>
      <w:r>
        <w:rPr>
          <w:spacing w:val="3"/>
          <w:w w:val="105"/>
        </w:rPr>
        <w:t>抽采瓦斯等管路系统图</w:t>
      </w:r>
      <w:r>
        <w:rPr>
          <w:rFonts w:hint="eastAsia" w:ascii="MS UI Gothic" w:eastAsia="MS UI Gothic"/>
          <w:w w:val="80"/>
        </w:rPr>
        <w:t>ꎮ</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九</w:t>
      </w:r>
      <w:r>
        <w:rPr>
          <w:rFonts w:hint="eastAsia" w:ascii="MS UI Gothic" w:eastAsia="MS UI Gothic"/>
          <w:w w:val="150"/>
        </w:rPr>
        <w:t xml:space="preserve">) </w:t>
      </w:r>
      <w:r>
        <w:rPr>
          <w:w w:val="110"/>
        </w:rPr>
        <w:t>井下通信系统图</w:t>
      </w:r>
      <w:r>
        <w:rPr>
          <w:rFonts w:hint="eastAsia" w:ascii="MS UI Gothic" w:eastAsia="MS UI Gothic"/>
          <w:w w:val="80"/>
        </w:rPr>
        <w:t>ꎮ</w:t>
      </w:r>
    </w:p>
    <w:p>
      <w:pPr>
        <w:pStyle w:val="6"/>
        <w:spacing w:before="124" w:line="295" w:lineRule="auto"/>
        <w:ind w:left="381" w:right="126"/>
        <w:jc w:val="left"/>
        <w:rPr>
          <w:rFonts w:hint="eastAsia" w:ascii="MS UI Gothic" w:eastAsia="MS UI Gothic"/>
        </w:rPr>
      </w:pPr>
      <w:r>
        <w:br w:type="column"/>
      </w: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井上</w:t>
      </w:r>
      <w:r>
        <w:rPr>
          <w:rFonts w:hint="eastAsia" w:ascii="MS UI Gothic" w:eastAsia="MS UI Gothic"/>
          <w:w w:val="80"/>
        </w:rPr>
        <w:t xml:space="preserve">、 </w:t>
      </w:r>
      <w:r>
        <w:rPr>
          <w:w w:val="105"/>
        </w:rPr>
        <w:t>下配电系统图和井下电气设备布置图</w:t>
      </w:r>
      <w:r>
        <w:rPr>
          <w:rFonts w:hint="eastAsia" w:ascii="MS UI Gothic" w:eastAsia="MS UI Gothic"/>
          <w:w w:val="80"/>
        </w:rPr>
        <w:t>ꎮ</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十一</w:t>
      </w:r>
      <w:r>
        <w:rPr>
          <w:rFonts w:hint="eastAsia" w:ascii="MS UI Gothic" w:eastAsia="MS UI Gothic"/>
          <w:w w:val="150"/>
        </w:rPr>
        <w:t xml:space="preserve">) </w:t>
      </w:r>
      <w:r>
        <w:rPr>
          <w:w w:val="110"/>
        </w:rPr>
        <w:t>井下避灾路线图</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w w:val="105"/>
        </w:rPr>
        <w:t>第十五条 露天煤矿必须按规定填绘</w:t>
      </w:r>
      <w:r>
        <w:rPr>
          <w:w w:val="110"/>
        </w:rPr>
        <w:t>反映实际情况的下列图纸</w:t>
      </w:r>
      <w:r>
        <w:rPr>
          <w:rFonts w:hint="eastAsia" w:ascii="MS UI Gothic" w:eastAsia="MS UI Gothic"/>
          <w:w w:val="235"/>
        </w:rPr>
        <w:t>:</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地形地质图</w:t>
      </w:r>
      <w:r>
        <w:rPr>
          <w:rFonts w:hint="eastAsia" w:ascii="MS UI Gothic" w:eastAsia="MS UI Gothic"/>
          <w:w w:val="80"/>
        </w:rPr>
        <w:t>ꎮ</w:t>
      </w:r>
    </w:p>
    <w:p>
      <w:pPr>
        <w:pStyle w:val="6"/>
        <w:spacing w:before="58" w:line="295" w:lineRule="auto"/>
        <w:ind w:left="800" w:right="505" w:firstLine="0"/>
        <w:jc w:val="left"/>
        <w:rPr>
          <w:rFonts w:hint="eastAsia" w:ascii="MS UI Gothic" w:eastAsia="MS UI Gothic"/>
        </w:rPr>
      </w:pPr>
      <w:r>
        <w:rPr>
          <w:rFonts w:hint="eastAsia" w:ascii="MS UI Gothic" w:eastAsia="MS UI Gothic"/>
          <w:spacing w:val="-40"/>
          <w:w w:val="140"/>
        </w:rPr>
        <w:t xml:space="preserve">( </w:t>
      </w:r>
      <w:r>
        <w:rPr>
          <w:spacing w:val="3"/>
          <w:w w:val="110"/>
        </w:rPr>
        <w:t>二</w:t>
      </w:r>
      <w:r>
        <w:rPr>
          <w:rFonts w:hint="eastAsia" w:ascii="MS UI Gothic" w:eastAsia="MS UI Gothic"/>
          <w:spacing w:val="-22"/>
          <w:w w:val="140"/>
        </w:rPr>
        <w:t xml:space="preserve">) </w:t>
      </w:r>
      <w:r>
        <w:rPr>
          <w:spacing w:val="3"/>
          <w:w w:val="110"/>
        </w:rPr>
        <w:t>工程地质平面图</w:t>
      </w:r>
      <w:r>
        <w:rPr>
          <w:rFonts w:hint="eastAsia" w:ascii="MS UI Gothic" w:eastAsia="MS UI Gothic"/>
          <w:spacing w:val="-6"/>
          <w:w w:val="80"/>
        </w:rPr>
        <w:t xml:space="preserve">、 </w:t>
      </w:r>
      <w:r>
        <w:rPr>
          <w:spacing w:val="3"/>
          <w:w w:val="110"/>
        </w:rPr>
        <w:t>断面图</w:t>
      </w:r>
      <w:r>
        <w:rPr>
          <w:rFonts w:hint="eastAsia" w:ascii="MS UI Gothic" w:eastAsia="MS UI Gothic"/>
          <w:w w:val="80"/>
        </w:rPr>
        <w:t>ꎮ</w:t>
      </w:r>
      <w:r>
        <w:rPr>
          <w:rFonts w:hint="eastAsia" w:ascii="MS UI Gothic" w:eastAsia="MS UI Gothic"/>
          <w:spacing w:val="-37"/>
          <w:w w:val="150"/>
        </w:rPr>
        <w:t xml:space="preserve">( </w:t>
      </w:r>
      <w:r>
        <w:rPr>
          <w:spacing w:val="3"/>
          <w:w w:val="110"/>
        </w:rPr>
        <w:t>三</w:t>
      </w:r>
      <w:r>
        <w:rPr>
          <w:rFonts w:hint="eastAsia" w:ascii="MS UI Gothic" w:eastAsia="MS UI Gothic"/>
          <w:spacing w:val="8"/>
          <w:w w:val="150"/>
        </w:rPr>
        <w:t xml:space="preserve">) </w:t>
      </w:r>
      <w:r>
        <w:rPr>
          <w:spacing w:val="3"/>
          <w:w w:val="110"/>
        </w:rPr>
        <w:t>综合水文地质图</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采剥</w:t>
      </w:r>
      <w:r>
        <w:rPr>
          <w:rFonts w:hint="eastAsia" w:ascii="MS UI Gothic" w:eastAsia="MS UI Gothic"/>
          <w:w w:val="80"/>
        </w:rPr>
        <w:t xml:space="preserve">、 </w:t>
      </w:r>
      <w:r>
        <w:rPr>
          <w:w w:val="105"/>
        </w:rPr>
        <w:t>排土工程平面图和运输系统图</w:t>
      </w:r>
      <w:r>
        <w:rPr>
          <w:rFonts w:hint="eastAsia" w:ascii="MS UI Gothic" w:eastAsia="MS UI Gothic"/>
          <w:w w:val="80"/>
        </w:rPr>
        <w:t>ꎮ</w:t>
      </w:r>
    </w:p>
    <w:p>
      <w:pPr>
        <w:pStyle w:val="6"/>
        <w:spacing w:line="295" w:lineRule="auto"/>
        <w:ind w:left="800" w:right="1553" w:firstLine="0"/>
        <w:jc w:val="left"/>
        <w:rPr>
          <w:rFonts w:hint="eastAsia" w:ascii="MS UI Gothic" w:eastAsia="MS UI Gothic"/>
        </w:rPr>
      </w:pPr>
      <w:r>
        <w:rPr>
          <w:rFonts w:hint="eastAsia" w:ascii="MS UI Gothic" w:eastAsia="MS UI Gothic"/>
          <w:spacing w:val="-38"/>
          <w:w w:val="135"/>
        </w:rPr>
        <w:t xml:space="preserve">( </w:t>
      </w:r>
      <w:r>
        <w:rPr>
          <w:spacing w:val="3"/>
          <w:w w:val="110"/>
        </w:rPr>
        <w:t>五</w:t>
      </w:r>
      <w:r>
        <w:rPr>
          <w:rFonts w:hint="eastAsia" w:ascii="MS UI Gothic" w:eastAsia="MS UI Gothic"/>
          <w:spacing w:val="-20"/>
          <w:w w:val="135"/>
        </w:rPr>
        <w:t xml:space="preserve">) </w:t>
      </w:r>
      <w:r>
        <w:rPr>
          <w:spacing w:val="3"/>
          <w:w w:val="110"/>
        </w:rPr>
        <w:t>供配电系统图</w:t>
      </w:r>
      <w:r>
        <w:rPr>
          <w:rFonts w:hint="eastAsia" w:ascii="MS UI Gothic" w:eastAsia="MS UI Gothic"/>
          <w:spacing w:val="-11"/>
          <w:w w:val="80"/>
        </w:rPr>
        <w:t>ꎮ</w:t>
      </w:r>
      <w:r>
        <w:rPr>
          <w:rFonts w:hint="eastAsia" w:ascii="MS UI Gothic" w:eastAsia="MS UI Gothic"/>
          <w:spacing w:val="-39"/>
          <w:w w:val="150"/>
        </w:rPr>
        <w:t xml:space="preserve">( </w:t>
      </w:r>
      <w:r>
        <w:rPr>
          <w:spacing w:val="3"/>
          <w:w w:val="110"/>
        </w:rPr>
        <w:t>六</w:t>
      </w:r>
      <w:r>
        <w:rPr>
          <w:rFonts w:hint="eastAsia" w:ascii="MS UI Gothic" w:eastAsia="MS UI Gothic"/>
          <w:spacing w:val="-3"/>
          <w:w w:val="150"/>
        </w:rPr>
        <w:t xml:space="preserve">) </w:t>
      </w:r>
      <w:r>
        <w:rPr>
          <w:spacing w:val="3"/>
          <w:w w:val="110"/>
        </w:rPr>
        <w:t>通信系统图</w:t>
      </w:r>
      <w:r>
        <w:rPr>
          <w:rFonts w:hint="eastAsia" w:ascii="MS UI Gothic" w:eastAsia="MS UI Gothic"/>
          <w:w w:val="80"/>
        </w:rPr>
        <w:t>ꎮ</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防排水系统图</w:t>
      </w:r>
      <w:r>
        <w:rPr>
          <w:rFonts w:hint="eastAsia" w:ascii="MS UI Gothic" w:eastAsia="MS UI Gothic"/>
          <w:w w:val="80"/>
        </w:rPr>
        <w:t>ꎮ</w:t>
      </w:r>
    </w:p>
    <w:p>
      <w:pPr>
        <w:pStyle w:val="6"/>
        <w:spacing w:before="55"/>
        <w:ind w:left="800" w:firstLine="0"/>
        <w:jc w:val="left"/>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边坡监测系统平面图</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rFonts w:hint="eastAsia" w:ascii="MS UI Gothic" w:eastAsia="MS UI Gothic"/>
          <w:w w:val="120"/>
        </w:rPr>
        <w:t xml:space="preserve">( </w:t>
      </w:r>
      <w:r>
        <w:rPr>
          <w:w w:val="110"/>
        </w:rPr>
        <w:t>九</w:t>
      </w:r>
      <w:r>
        <w:rPr>
          <w:rFonts w:hint="eastAsia" w:ascii="MS UI Gothic" w:eastAsia="MS UI Gothic"/>
          <w:w w:val="120"/>
        </w:rPr>
        <w:t xml:space="preserve">) </w:t>
      </w:r>
      <w:r>
        <w:rPr>
          <w:w w:val="110"/>
        </w:rPr>
        <w:t>井工采空区与露天矿平面对照图</w:t>
      </w:r>
      <w:r>
        <w:rPr>
          <w:rFonts w:hint="eastAsia" w:ascii="MS UI Gothic" w:eastAsia="MS UI Gothic"/>
          <w:w w:val="80"/>
        </w:rPr>
        <w:t>ꎮ</w:t>
      </w:r>
    </w:p>
    <w:p>
      <w:pPr>
        <w:pStyle w:val="6"/>
        <w:spacing w:line="295" w:lineRule="auto"/>
        <w:ind w:left="381" w:right="124"/>
        <w:rPr>
          <w:rFonts w:hint="eastAsia" w:ascii="MS UI Gothic" w:eastAsia="MS UI Gothic"/>
        </w:rPr>
      </w:pPr>
      <w:r>
        <w:t>第十六条 井工煤矿必须制定停工停产期间的安全技术措施</w:t>
      </w:r>
      <w:r>
        <w:rPr>
          <w:rFonts w:hint="eastAsia" w:ascii="MS UI Gothic" w:eastAsia="MS UI Gothic"/>
          <w:w w:val="85"/>
        </w:rPr>
        <w:t xml:space="preserve">ꎬ </w:t>
      </w:r>
      <w:r>
        <w:t>保证矿井供电</w:t>
      </w:r>
      <w:r>
        <w:rPr>
          <w:rFonts w:hint="eastAsia" w:ascii="MS UI Gothic" w:eastAsia="MS UI Gothic"/>
          <w:w w:val="85"/>
        </w:rPr>
        <w:t>、</w:t>
      </w:r>
      <w:r>
        <w:t>通风</w:t>
      </w:r>
      <w:r>
        <w:rPr>
          <w:rFonts w:hint="eastAsia" w:ascii="MS UI Gothic" w:eastAsia="MS UI Gothic"/>
          <w:w w:val="85"/>
        </w:rPr>
        <w:t xml:space="preserve">、 </w:t>
      </w:r>
      <w:r>
        <w:t>排水和安全监控系统正常运行</w:t>
      </w:r>
      <w:r>
        <w:rPr>
          <w:rFonts w:hint="eastAsia" w:ascii="MS UI Gothic" w:eastAsia="MS UI Gothic"/>
          <w:w w:val="85"/>
        </w:rPr>
        <w:t xml:space="preserve">ꎬ </w:t>
      </w:r>
      <w:r>
        <w:t xml:space="preserve">落实 </w:t>
      </w:r>
      <w:r>
        <w:rPr>
          <w:rFonts w:hint="eastAsia" w:ascii="MS UI Gothic" w:eastAsia="MS UI Gothic"/>
          <w:w w:val="85"/>
        </w:rPr>
        <w:t xml:space="preserve">２４ ｈ </w:t>
      </w:r>
      <w:r>
        <w:t>值班制度</w:t>
      </w:r>
      <w:r>
        <w:rPr>
          <w:rFonts w:hint="eastAsia" w:ascii="MS UI Gothic" w:eastAsia="MS UI Gothic"/>
          <w:w w:val="85"/>
        </w:rPr>
        <w:t xml:space="preserve">ꎮ </w:t>
      </w:r>
      <w:r>
        <w:t>复工复产前必须进行全面安全检查</w:t>
      </w:r>
      <w:r>
        <w:rPr>
          <w:rFonts w:hint="eastAsia" w:ascii="MS UI Gothic" w:eastAsia="MS UI Gothic"/>
          <w:w w:val="85"/>
        </w:rPr>
        <w:t>ꎮ</w:t>
      </w:r>
    </w:p>
    <w:p>
      <w:pPr>
        <w:pStyle w:val="6"/>
        <w:spacing w:line="295" w:lineRule="auto"/>
        <w:ind w:left="381" w:right="126"/>
        <w:rPr>
          <w:rFonts w:hint="eastAsia" w:ascii="MS UI Gothic" w:eastAsia="MS UI Gothic"/>
        </w:rPr>
      </w:pPr>
      <w:r>
        <w:t>第十七条 煤矿企业必须建立应急救援组织</w:t>
      </w:r>
      <w:r>
        <w:rPr>
          <w:rFonts w:hint="eastAsia" w:ascii="MS UI Gothic" w:eastAsia="MS UI Gothic"/>
          <w:w w:val="80"/>
        </w:rPr>
        <w:t xml:space="preserve">ꎬ </w:t>
      </w:r>
      <w:r>
        <w:t>健全规章制度</w:t>
      </w:r>
      <w:r>
        <w:rPr>
          <w:rFonts w:hint="eastAsia" w:ascii="MS UI Gothic" w:eastAsia="MS UI Gothic"/>
          <w:w w:val="80"/>
        </w:rPr>
        <w:t xml:space="preserve">ꎬ </w:t>
      </w:r>
      <w:r>
        <w:t>编制应急救援预案</w:t>
      </w:r>
      <w:r>
        <w:rPr>
          <w:rFonts w:hint="eastAsia" w:ascii="MS UI Gothic" w:eastAsia="MS UI Gothic"/>
          <w:w w:val="80"/>
        </w:rPr>
        <w:t xml:space="preserve">ꎬ </w:t>
      </w:r>
      <w:r>
        <w:t>储备应急救援物资</w:t>
      </w:r>
      <w:r>
        <w:rPr>
          <w:rFonts w:hint="eastAsia" w:ascii="MS UI Gothic" w:eastAsia="MS UI Gothic"/>
          <w:w w:val="80"/>
        </w:rPr>
        <w:t xml:space="preserve">、 </w:t>
      </w:r>
      <w:r>
        <w:t>装备并定期检查补充</w:t>
      </w:r>
      <w:r>
        <w:rPr>
          <w:rFonts w:hint="eastAsia" w:ascii="MS UI Gothic" w:eastAsia="MS UI Gothic"/>
          <w:w w:val="80"/>
        </w:rPr>
        <w:t>ꎮ</w:t>
      </w:r>
    </w:p>
    <w:p>
      <w:pPr>
        <w:pStyle w:val="6"/>
        <w:spacing w:line="295" w:lineRule="auto"/>
        <w:ind w:left="381" w:right="124"/>
        <w:rPr>
          <w:rFonts w:hint="eastAsia" w:ascii="MS UI Gothic" w:eastAsia="MS UI Gothic"/>
        </w:rPr>
      </w:pPr>
      <w:r>
        <w:t>煤矿必须建立矿井安全避险系统</w:t>
      </w:r>
      <w:r>
        <w:rPr>
          <w:rFonts w:hint="eastAsia" w:ascii="MS UI Gothic" w:eastAsia="MS UI Gothic"/>
          <w:w w:val="80"/>
        </w:rPr>
        <w:t xml:space="preserve">ꎬ </w:t>
      </w:r>
      <w:r>
        <w:t>对井下人员进行安全避险和应急救援培训</w:t>
      </w:r>
      <w:r>
        <w:rPr>
          <w:rFonts w:hint="eastAsia" w:ascii="MS UI Gothic" w:eastAsia="MS UI Gothic"/>
          <w:w w:val="80"/>
        </w:rPr>
        <w:t>ꎬ</w:t>
      </w:r>
      <w:r>
        <w:t xml:space="preserve">每年至少组织 </w:t>
      </w:r>
      <w:r>
        <w:rPr>
          <w:rFonts w:hint="eastAsia" w:ascii="MS UI Gothic" w:eastAsia="MS UI Gothic"/>
          <w:w w:val="80"/>
        </w:rPr>
        <w:t xml:space="preserve">１ </w:t>
      </w:r>
      <w:r>
        <w:t>次应急演练</w:t>
      </w:r>
      <w:r>
        <w:rPr>
          <w:rFonts w:hint="eastAsia" w:ascii="MS UI Gothic" w:eastAsia="MS UI Gothic"/>
          <w:w w:val="80"/>
        </w:rPr>
        <w:t>ꎮ</w:t>
      </w:r>
    </w:p>
    <w:p>
      <w:pPr>
        <w:pStyle w:val="6"/>
        <w:spacing w:line="295" w:lineRule="auto"/>
        <w:ind w:left="381" w:right="126"/>
        <w:rPr>
          <w:rFonts w:hint="eastAsia" w:ascii="MS UI Gothic" w:eastAsia="MS UI Gothic"/>
        </w:rPr>
      </w:pPr>
      <w:r>
        <w:t>第十八条 煤矿企业应当有创伤急救系统为其服务</w:t>
      </w:r>
      <w:r>
        <w:rPr>
          <w:rFonts w:hint="eastAsia" w:ascii="MS UI Gothic" w:eastAsia="MS UI Gothic"/>
          <w:w w:val="80"/>
        </w:rPr>
        <w:t xml:space="preserve">ꎮ </w:t>
      </w:r>
      <w:r>
        <w:t>创伤急救系统应当配备救护车辆</w:t>
      </w:r>
      <w:r>
        <w:rPr>
          <w:rFonts w:hint="eastAsia" w:ascii="MS UI Gothic" w:eastAsia="MS UI Gothic"/>
          <w:w w:val="80"/>
        </w:rPr>
        <w:t xml:space="preserve">、 </w:t>
      </w:r>
      <w:r>
        <w:t>急救器材</w:t>
      </w:r>
      <w:r>
        <w:rPr>
          <w:rFonts w:hint="eastAsia" w:ascii="MS UI Gothic" w:eastAsia="MS UI Gothic"/>
          <w:w w:val="80"/>
        </w:rPr>
        <w:t xml:space="preserve">、 </w:t>
      </w:r>
      <w:r>
        <w:t>急救装备和药品等</w:t>
      </w:r>
      <w:r>
        <w:rPr>
          <w:rFonts w:hint="eastAsia" w:ascii="MS UI Gothic" w:eastAsia="MS UI Gothic"/>
          <w:w w:val="80"/>
        </w:rPr>
        <w:t>ꎮ</w:t>
      </w:r>
    </w:p>
    <w:p>
      <w:pPr>
        <w:pStyle w:val="6"/>
        <w:spacing w:line="295" w:lineRule="auto"/>
        <w:ind w:left="381" w:right="126"/>
        <w:rPr>
          <w:rFonts w:hint="eastAsia" w:ascii="MS UI Gothic" w:eastAsia="MS UI Gothic"/>
        </w:rPr>
      </w:pPr>
      <w:r>
        <w:t>第十九条 煤矿发生事故后</w:t>
      </w:r>
      <w:r>
        <w:rPr>
          <w:rFonts w:hint="eastAsia" w:ascii="MS UI Gothic" w:eastAsia="MS UI Gothic"/>
          <w:w w:val="80"/>
        </w:rPr>
        <w:t xml:space="preserve">ꎬ </w:t>
      </w:r>
      <w:r>
        <w:t>煤矿企业主要负责人和技术负责人必须立即采取措施组织抢救</w:t>
      </w:r>
      <w:r>
        <w:rPr>
          <w:rFonts w:hint="eastAsia" w:ascii="MS UI Gothic" w:eastAsia="MS UI Gothic"/>
          <w:w w:val="80"/>
        </w:rPr>
        <w:t xml:space="preserve">ꎬ </w:t>
      </w:r>
      <w:r>
        <w:t>矿长负责抢救指挥</w:t>
      </w:r>
      <w:r>
        <w:rPr>
          <w:rFonts w:hint="eastAsia" w:ascii="MS UI Gothic" w:eastAsia="MS UI Gothic"/>
          <w:w w:val="80"/>
        </w:rPr>
        <w:t xml:space="preserve">ꎬ </w:t>
      </w:r>
      <w:r>
        <w:t>并按有关规定及时上报</w:t>
      </w:r>
      <w:r>
        <w:rPr>
          <w:rFonts w:hint="eastAsia" w:ascii="MS UI Gothic" w:eastAsia="MS UI Gothic"/>
          <w:w w:val="80"/>
        </w:rPr>
        <w:t>ꎮ</w:t>
      </w:r>
    </w:p>
    <w:p>
      <w:pPr>
        <w:pStyle w:val="6"/>
        <w:spacing w:line="295" w:lineRule="auto"/>
        <w:ind w:left="381" w:right="126"/>
      </w:pPr>
      <w:r>
        <w:t>第二十条 国家实行资质管理的</w:t>
      </w:r>
      <w:r>
        <w:rPr>
          <w:rFonts w:hint="eastAsia" w:ascii="MS UI Gothic" w:eastAsia="MS UI Gothic"/>
          <w:w w:val="80"/>
        </w:rPr>
        <w:t xml:space="preserve">ꎬ </w:t>
      </w:r>
      <w:r>
        <w:t>煤矿企业应当委托具有国家规定资质的机构为其提供鉴定</w:t>
      </w:r>
      <w:r>
        <w:rPr>
          <w:rFonts w:hint="eastAsia" w:ascii="MS UI Gothic" w:eastAsia="MS UI Gothic"/>
          <w:w w:val="80"/>
        </w:rPr>
        <w:t xml:space="preserve">、 </w:t>
      </w:r>
      <w:r>
        <w:t>检测</w:t>
      </w:r>
      <w:r>
        <w:rPr>
          <w:rFonts w:hint="eastAsia" w:ascii="MS UI Gothic" w:eastAsia="MS UI Gothic"/>
          <w:w w:val="80"/>
        </w:rPr>
        <w:t xml:space="preserve">、 </w:t>
      </w:r>
      <w:r>
        <w:t>检验等服务</w:t>
      </w:r>
      <w:r>
        <w:rPr>
          <w:rFonts w:hint="eastAsia" w:ascii="MS UI Gothic" w:eastAsia="MS UI Gothic"/>
          <w:w w:val="80"/>
        </w:rPr>
        <w:t xml:space="preserve">ꎬ </w:t>
      </w:r>
      <w:r>
        <w:t>鉴定</w:t>
      </w:r>
      <w:r>
        <w:rPr>
          <w:rFonts w:hint="eastAsia" w:ascii="MS UI Gothic" w:eastAsia="MS UI Gothic"/>
          <w:w w:val="80"/>
        </w:rPr>
        <w:t xml:space="preserve">、 </w:t>
      </w:r>
      <w:r>
        <w:t>检测</w:t>
      </w:r>
      <w:r>
        <w:rPr>
          <w:rFonts w:hint="eastAsia" w:ascii="MS UI Gothic" w:eastAsia="MS UI Gothic"/>
          <w:w w:val="80"/>
        </w:rPr>
        <w:t xml:space="preserve">、 </w:t>
      </w:r>
      <w:r>
        <w:t>检验机构对其作出的结果</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750" o:spid="_x0000_s1750" style="position:absolute;left:0pt;margin-left:0pt;margin-top:700.1pt;height:1.75pt;width:398.25pt;mso-position-horizontal-relative:page;z-index:251948032;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２４０</w:t>
      </w:r>
    </w:p>
    <w:p>
      <w:pPr>
        <w:pStyle w:val="6"/>
        <w:spacing w:before="297" w:line="240" w:lineRule="exact"/>
        <w:ind w:firstLine="0"/>
        <w:jc w:val="left"/>
        <w:rPr>
          <w:rFonts w:hint="eastAsia" w:ascii="MS UI Gothic" w:eastAsia="MS UI Gothic"/>
        </w:rPr>
      </w:pPr>
      <w:r>
        <w:t>负责</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pPr>
      <w:r>
        <w:rPr>
          <w:rFonts w:hint="eastAsia" w:ascii="MS UI Gothic" w:eastAsia="MS UI Gothic"/>
          <w:w w:val="150"/>
        </w:rPr>
        <w:t xml:space="preserve">( </w:t>
      </w:r>
      <w:r>
        <w:rPr>
          <w:w w:val="110"/>
        </w:rPr>
        <w:t>土</w:t>
      </w:r>
      <w:r>
        <w:rPr>
          <w:rFonts w:hint="eastAsia" w:ascii="MS UI Gothic" w:eastAsia="MS UI Gothic"/>
          <w:w w:val="150"/>
        </w:rPr>
        <w:t xml:space="preserve">) </w:t>
      </w:r>
      <w:r>
        <w:rPr>
          <w:w w:val="110"/>
        </w:rPr>
        <w:t>层特征</w:t>
      </w:r>
      <w:r>
        <w:rPr>
          <w:rFonts w:hint="eastAsia" w:ascii="MS UI Gothic" w:eastAsia="MS UI Gothic"/>
          <w:w w:val="80"/>
        </w:rPr>
        <w:t xml:space="preserve">ꎻ </w:t>
      </w:r>
      <w:r>
        <w:rPr>
          <w:w w:val="110"/>
        </w:rPr>
        <w:t>详细编录钻孔完整地质</w:t>
      </w:r>
    </w:p>
    <w:p>
      <w:pPr>
        <w:spacing w:after="0" w:line="240" w:lineRule="exact"/>
        <w:jc w:val="left"/>
        <w:sectPr>
          <w:pgSz w:w="10500" w:h="14750"/>
          <w:pgMar w:top="960" w:right="980" w:bottom="280" w:left="980" w:header="720" w:footer="720" w:gutter="0"/>
          <w:cols w:equalWidth="0" w:num="2">
            <w:col w:w="1050" w:space="1251"/>
            <w:col w:w="6239"/>
          </w:cols>
        </w:sectPr>
      </w:pPr>
    </w:p>
    <w:p>
      <w:pPr>
        <w:pStyle w:val="6"/>
        <w:spacing w:before="74" w:line="295" w:lineRule="auto"/>
        <w:ind w:right="39"/>
        <w:rPr>
          <w:rFonts w:hint="eastAsia" w:ascii="MS UI Gothic" w:eastAsia="MS UI Gothic"/>
        </w:rPr>
      </w:pPr>
      <w:r>
        <w:t>第二十一条 煤矿闭坑前</w:t>
      </w:r>
      <w:r>
        <w:rPr>
          <w:rFonts w:hint="eastAsia" w:ascii="MS UI Gothic" w:eastAsia="MS UI Gothic"/>
          <w:w w:val="80"/>
        </w:rPr>
        <w:t xml:space="preserve">ꎬ </w:t>
      </w:r>
      <w:r>
        <w:t>煤矿企业必须编制闭坑报告</w:t>
      </w:r>
      <w:r>
        <w:rPr>
          <w:rFonts w:hint="eastAsia" w:ascii="MS UI Gothic" w:eastAsia="MS UI Gothic"/>
          <w:w w:val="80"/>
        </w:rPr>
        <w:t xml:space="preserve">ꎬ </w:t>
      </w:r>
      <w:r>
        <w:t>并报省级煤炭行业管理部门批准</w:t>
      </w:r>
      <w:r>
        <w:rPr>
          <w:rFonts w:hint="eastAsia" w:ascii="MS UI Gothic" w:eastAsia="MS UI Gothic"/>
          <w:w w:val="80"/>
        </w:rPr>
        <w:t>ꎮ</w:t>
      </w:r>
    </w:p>
    <w:p>
      <w:pPr>
        <w:pStyle w:val="6"/>
        <w:spacing w:line="295" w:lineRule="auto"/>
        <w:ind w:right="38"/>
        <w:rPr>
          <w:rFonts w:hint="eastAsia" w:ascii="MS UI Gothic" w:eastAsia="MS UI Gothic"/>
        </w:rPr>
      </w:pPr>
      <w:r>
        <w:t>矿井闭坑报告必须有完善的各种地质资料</w:t>
      </w:r>
      <w:r>
        <w:rPr>
          <w:rFonts w:hint="eastAsia" w:ascii="MS UI Gothic" w:eastAsia="MS UI Gothic"/>
          <w:w w:val="80"/>
        </w:rPr>
        <w:t xml:space="preserve">ꎬ </w:t>
      </w:r>
      <w:r>
        <w:t>在相应图件上标注采空区</w:t>
      </w:r>
      <w:r>
        <w:rPr>
          <w:rFonts w:hint="eastAsia" w:ascii="MS UI Gothic" w:eastAsia="MS UI Gothic"/>
          <w:w w:val="80"/>
        </w:rPr>
        <w:t xml:space="preserve">、 </w:t>
      </w:r>
      <w:r>
        <w:t>煤柱</w:t>
      </w:r>
      <w:r>
        <w:rPr>
          <w:rFonts w:hint="eastAsia" w:ascii="MS UI Gothic" w:eastAsia="MS UI Gothic"/>
          <w:w w:val="80"/>
        </w:rPr>
        <w:t>、</w:t>
      </w:r>
      <w:r>
        <w:t>井筒</w:t>
      </w:r>
      <w:r>
        <w:rPr>
          <w:rFonts w:hint="eastAsia" w:ascii="MS UI Gothic" w:eastAsia="MS UI Gothic"/>
          <w:w w:val="80"/>
        </w:rPr>
        <w:t xml:space="preserve">、 </w:t>
      </w:r>
      <w:r>
        <w:t>巷道</w:t>
      </w:r>
      <w:r>
        <w:rPr>
          <w:rFonts w:hint="eastAsia" w:ascii="MS UI Gothic" w:eastAsia="MS UI Gothic"/>
          <w:w w:val="80"/>
        </w:rPr>
        <w:t xml:space="preserve">、 </w:t>
      </w:r>
      <w:r>
        <w:t>火区</w:t>
      </w:r>
      <w:r>
        <w:rPr>
          <w:rFonts w:hint="eastAsia" w:ascii="MS UI Gothic" w:eastAsia="MS UI Gothic"/>
          <w:w w:val="80"/>
        </w:rPr>
        <w:t xml:space="preserve">、 </w:t>
      </w:r>
      <w:r>
        <w:t>地面沉陷区等</w:t>
      </w:r>
      <w:r>
        <w:rPr>
          <w:rFonts w:hint="eastAsia" w:ascii="MS UI Gothic" w:eastAsia="MS UI Gothic"/>
          <w:w w:val="80"/>
        </w:rPr>
        <w:t xml:space="preserve">ꎬ  </w:t>
      </w:r>
      <w:r>
        <w:t>情况不清的应当予以说明</w:t>
      </w:r>
      <w:r>
        <w:rPr>
          <w:rFonts w:hint="eastAsia" w:ascii="MS UI Gothic" w:eastAsia="MS UI Gothic"/>
          <w:w w:val="80"/>
        </w:rPr>
        <w:t>ꎮ</w:t>
      </w:r>
    </w:p>
    <w:p>
      <w:pPr>
        <w:pStyle w:val="6"/>
        <w:tabs>
          <w:tab w:val="left" w:pos="1906"/>
        </w:tabs>
        <w:spacing w:before="152"/>
        <w:ind w:left="1067" w:firstLine="0"/>
        <w:jc w:val="left"/>
      </w:pPr>
      <w:r>
        <w:rPr>
          <w:spacing w:val="3"/>
          <w:w w:val="105"/>
        </w:rPr>
        <w:t>第二</w:t>
      </w:r>
      <w:r>
        <w:rPr>
          <w:w w:val="105"/>
        </w:rPr>
        <w:t>编</w:t>
      </w:r>
      <w:r>
        <w:rPr>
          <w:w w:val="105"/>
        </w:rPr>
        <w:tab/>
      </w:r>
      <w:r>
        <w:rPr>
          <w:w w:val="105"/>
        </w:rPr>
        <w:t>地</w:t>
      </w:r>
      <w:r>
        <w:rPr>
          <w:spacing w:val="-34"/>
          <w:w w:val="105"/>
        </w:rPr>
        <w:t xml:space="preserve"> </w:t>
      </w:r>
      <w:r>
        <w:rPr>
          <w:w w:val="105"/>
        </w:rPr>
        <w:t>质</w:t>
      </w:r>
      <w:r>
        <w:rPr>
          <w:spacing w:val="-33"/>
          <w:w w:val="105"/>
        </w:rPr>
        <w:t xml:space="preserve"> </w:t>
      </w:r>
      <w:r>
        <w:rPr>
          <w:w w:val="105"/>
        </w:rPr>
        <w:t>保</w:t>
      </w:r>
      <w:r>
        <w:rPr>
          <w:spacing w:val="-33"/>
          <w:w w:val="105"/>
        </w:rPr>
        <w:t xml:space="preserve"> </w:t>
      </w:r>
      <w:r>
        <w:rPr>
          <w:w w:val="105"/>
        </w:rPr>
        <w:t>障</w:t>
      </w:r>
    </w:p>
    <w:p>
      <w:pPr>
        <w:pStyle w:val="6"/>
        <w:spacing w:before="215" w:line="295" w:lineRule="auto"/>
        <w:ind w:right="39"/>
        <w:rPr>
          <w:rFonts w:hint="eastAsia" w:ascii="MS UI Gothic" w:eastAsia="MS UI Gothic"/>
        </w:rPr>
      </w:pPr>
      <w:r>
        <w:rPr>
          <w:spacing w:val="2"/>
          <w:w w:val="105"/>
        </w:rPr>
        <w:t>第二十二条 煤矿企业应当设立地质</w:t>
      </w:r>
      <w:r>
        <w:rPr>
          <w:spacing w:val="-7"/>
          <w:w w:val="105"/>
        </w:rPr>
        <w:t xml:space="preserve">测量 </w:t>
      </w:r>
      <w:r>
        <w:rPr>
          <w:rFonts w:hint="eastAsia" w:ascii="MS UI Gothic" w:eastAsia="MS UI Gothic"/>
          <w:spacing w:val="-38"/>
          <w:w w:val="150"/>
        </w:rPr>
        <w:t xml:space="preserve">( </w:t>
      </w:r>
      <w:r>
        <w:rPr>
          <w:spacing w:val="16"/>
          <w:w w:val="105"/>
        </w:rPr>
        <w:t>简称地测</w:t>
      </w:r>
      <w:r>
        <w:rPr>
          <w:rFonts w:hint="eastAsia" w:ascii="MS UI Gothic" w:eastAsia="MS UI Gothic"/>
          <w:spacing w:val="6"/>
          <w:w w:val="150"/>
        </w:rPr>
        <w:t xml:space="preserve">) </w:t>
      </w:r>
      <w:r>
        <w:rPr>
          <w:spacing w:val="11"/>
          <w:w w:val="105"/>
        </w:rPr>
        <w:t>部门</w:t>
      </w:r>
      <w:r>
        <w:rPr>
          <w:rFonts w:hint="eastAsia" w:ascii="MS UI Gothic" w:eastAsia="MS UI Gothic"/>
          <w:spacing w:val="20"/>
          <w:w w:val="80"/>
        </w:rPr>
        <w:t xml:space="preserve">ꎬ </w:t>
      </w:r>
      <w:r>
        <w:rPr>
          <w:spacing w:val="15"/>
          <w:w w:val="105"/>
        </w:rPr>
        <w:t>配备所需的相</w:t>
      </w:r>
      <w:r>
        <w:rPr>
          <w:spacing w:val="3"/>
        </w:rPr>
        <w:t>关专业技术人员和仪器设备</w:t>
      </w:r>
      <w:r>
        <w:rPr>
          <w:rFonts w:hint="eastAsia" w:ascii="MS UI Gothic" w:eastAsia="MS UI Gothic"/>
          <w:spacing w:val="21"/>
          <w:w w:val="80"/>
        </w:rPr>
        <w:t xml:space="preserve">ꎬ </w:t>
      </w:r>
      <w:r>
        <w:rPr>
          <w:spacing w:val="2"/>
        </w:rPr>
        <w:t>及时编绘反</w:t>
      </w:r>
      <w:r>
        <w:rPr>
          <w:spacing w:val="3"/>
        </w:rPr>
        <w:t>映煤矿实际的地质资料和图件</w:t>
      </w:r>
      <w:r>
        <w:rPr>
          <w:rFonts w:hint="eastAsia" w:ascii="MS UI Gothic" w:eastAsia="MS UI Gothic"/>
          <w:spacing w:val="21"/>
          <w:w w:val="80"/>
        </w:rPr>
        <w:t xml:space="preserve">ꎬ </w:t>
      </w:r>
      <w:r>
        <w:rPr>
          <w:spacing w:val="2"/>
        </w:rPr>
        <w:t>建立健全</w:t>
      </w:r>
      <w:r>
        <w:rPr>
          <w:spacing w:val="3"/>
          <w:w w:val="105"/>
        </w:rPr>
        <w:t>煤矿地测工作规章制度</w:t>
      </w:r>
      <w:r>
        <w:rPr>
          <w:rFonts w:hint="eastAsia" w:ascii="MS UI Gothic" w:eastAsia="MS UI Gothic"/>
          <w:w w:val="80"/>
        </w:rPr>
        <w:t>ꎮ</w:t>
      </w:r>
    </w:p>
    <w:p>
      <w:pPr>
        <w:pStyle w:val="6"/>
        <w:spacing w:line="295" w:lineRule="auto"/>
        <w:ind w:right="39"/>
        <w:rPr>
          <w:rFonts w:hint="eastAsia" w:ascii="MS UI Gothic" w:eastAsia="MS UI Gothic"/>
        </w:rPr>
      </w:pPr>
      <w:r>
        <w:rPr>
          <w:spacing w:val="4"/>
        </w:rPr>
        <w:t>第二十三条 当煤矿地质资料不能满</w:t>
      </w:r>
      <w:r>
        <w:rPr>
          <w:spacing w:val="3"/>
        </w:rPr>
        <w:t>足设计需要时</w:t>
      </w:r>
      <w:r>
        <w:rPr>
          <w:rFonts w:hint="eastAsia" w:ascii="MS UI Gothic" w:eastAsia="MS UI Gothic"/>
          <w:spacing w:val="23"/>
          <w:w w:val="80"/>
        </w:rPr>
        <w:t xml:space="preserve">ꎬ </w:t>
      </w:r>
      <w:r>
        <w:rPr>
          <w:spacing w:val="3"/>
        </w:rPr>
        <w:t>不得进行煤矿设计</w:t>
      </w:r>
      <w:r>
        <w:rPr>
          <w:rFonts w:hint="eastAsia" w:ascii="MS UI Gothic" w:eastAsia="MS UI Gothic"/>
          <w:spacing w:val="23"/>
          <w:w w:val="80"/>
        </w:rPr>
        <w:t xml:space="preserve">ꎬ </w:t>
      </w:r>
      <w:r>
        <w:rPr>
          <w:spacing w:val="1"/>
        </w:rPr>
        <w:t>矿井</w:t>
      </w:r>
      <w:r>
        <w:rPr>
          <w:spacing w:val="3"/>
        </w:rPr>
        <w:t>建设期间</w:t>
      </w:r>
      <w:r>
        <w:rPr>
          <w:rFonts w:hint="eastAsia" w:ascii="MS UI Gothic" w:eastAsia="MS UI Gothic"/>
          <w:spacing w:val="11"/>
          <w:w w:val="80"/>
        </w:rPr>
        <w:t xml:space="preserve">ꎬ </w:t>
      </w:r>
      <w:r>
        <w:rPr>
          <w:spacing w:val="3"/>
        </w:rPr>
        <w:t>因矿井地质</w:t>
      </w:r>
      <w:r>
        <w:rPr>
          <w:rFonts w:hint="eastAsia" w:ascii="MS UI Gothic" w:eastAsia="MS UI Gothic"/>
          <w:spacing w:val="11"/>
          <w:w w:val="80"/>
        </w:rPr>
        <w:t xml:space="preserve">、 </w:t>
      </w:r>
      <w:r>
        <w:rPr>
          <w:spacing w:val="2"/>
        </w:rPr>
        <w:t>水文地质等条件</w:t>
      </w:r>
      <w:r>
        <w:rPr>
          <w:spacing w:val="3"/>
        </w:rPr>
        <w:t>与原地质资料出入较大时</w:t>
      </w:r>
      <w:r>
        <w:rPr>
          <w:rFonts w:hint="eastAsia" w:ascii="MS UI Gothic" w:eastAsia="MS UI Gothic"/>
          <w:spacing w:val="21"/>
          <w:w w:val="80"/>
        </w:rPr>
        <w:t xml:space="preserve">ꎬ </w:t>
      </w:r>
      <w:r>
        <w:rPr>
          <w:spacing w:val="2"/>
        </w:rPr>
        <w:t>必须针对所存</w:t>
      </w:r>
      <w:r>
        <w:rPr>
          <w:spacing w:val="3"/>
        </w:rPr>
        <w:t>在的地质问题开展补充地质勘探工作</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第二十四条 当露天煤矿地质资料不</w:t>
      </w:r>
      <w:r>
        <w:rPr>
          <w:spacing w:val="3"/>
        </w:rPr>
        <w:t>能满足建设及生产需要时</w:t>
      </w:r>
      <w:r>
        <w:rPr>
          <w:rFonts w:hint="eastAsia" w:ascii="MS UI Gothic" w:eastAsia="MS UI Gothic"/>
          <w:spacing w:val="21"/>
          <w:w w:val="80"/>
        </w:rPr>
        <w:t xml:space="preserve">ꎬ </w:t>
      </w:r>
      <w:r>
        <w:rPr>
          <w:spacing w:val="2"/>
        </w:rPr>
        <w:t>必须针对所存</w:t>
      </w:r>
      <w:r>
        <w:rPr>
          <w:spacing w:val="3"/>
          <w:w w:val="105"/>
        </w:rPr>
        <w:t>在的地质问题开展补充地质勘探工作</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第二十五条 井筒设计前</w:t>
      </w:r>
      <w:r>
        <w:rPr>
          <w:rFonts w:hint="eastAsia" w:ascii="MS UI Gothic" w:eastAsia="MS UI Gothic"/>
          <w:w w:val="80"/>
        </w:rPr>
        <w:t xml:space="preserve">ꎬ </w:t>
      </w:r>
      <w:r>
        <w:rPr>
          <w:w w:val="105"/>
        </w:rPr>
        <w:t>必须按下</w:t>
      </w:r>
      <w:r>
        <w:rPr>
          <w:w w:val="110"/>
        </w:rPr>
        <w:t>列要求施工井筒检查孔</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 xml:space="preserve">立井井筒检查孔距井筒中心不得超过 </w:t>
      </w:r>
      <w:r>
        <w:rPr>
          <w:rFonts w:hint="eastAsia" w:ascii="MS UI Gothic" w:eastAsia="MS UI Gothic"/>
          <w:w w:val="80"/>
        </w:rPr>
        <w:t xml:space="preserve">２５ ｍꎬ </w:t>
      </w:r>
      <w:r>
        <w:t>且不得布置在井筒范围内</w:t>
      </w:r>
      <w:r>
        <w:rPr>
          <w:rFonts w:hint="eastAsia" w:ascii="MS UI Gothic" w:eastAsia="MS UI Gothic"/>
          <w:w w:val="80"/>
        </w:rPr>
        <w:t>ꎬ</w:t>
      </w:r>
      <w:r>
        <w:t xml:space="preserve">孔深应当不小于井筒设计深度以下 </w:t>
      </w:r>
      <w:r>
        <w:rPr>
          <w:rFonts w:hint="eastAsia" w:ascii="MS UI Gothic" w:eastAsia="MS UI Gothic"/>
          <w:w w:val="80"/>
        </w:rPr>
        <w:t>３０ ｍꎮ</w:t>
      </w:r>
      <w:r>
        <w:t>地质条件复杂时</w:t>
      </w:r>
      <w:r>
        <w:rPr>
          <w:rFonts w:hint="eastAsia" w:ascii="MS UI Gothic" w:eastAsia="MS UI Gothic"/>
          <w:w w:val="80"/>
        </w:rPr>
        <w:t xml:space="preserve">ꎬ </w:t>
      </w:r>
      <w:r>
        <w:t>应当增加检查孔数量</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 xml:space="preserve">斜井井筒检查孔距井筒纵向中心线不大于 </w:t>
      </w:r>
      <w:r>
        <w:rPr>
          <w:rFonts w:hint="eastAsia" w:ascii="MS UI Gothic" w:eastAsia="MS UI Gothic"/>
          <w:w w:val="80"/>
        </w:rPr>
        <w:t xml:space="preserve">２５ ｍꎬ </w:t>
      </w:r>
      <w:r>
        <w:t>且不得布置在井筒范围内</w:t>
      </w:r>
      <w:r>
        <w:rPr>
          <w:rFonts w:hint="eastAsia" w:ascii="MS UI Gothic" w:eastAsia="MS UI Gothic"/>
          <w:w w:val="80"/>
        </w:rPr>
        <w:t xml:space="preserve">ꎬ </w:t>
      </w:r>
      <w:r>
        <w:t xml:space="preserve">孔深应当不小于该孔所处斜井底板以下 </w:t>
      </w:r>
      <w:r>
        <w:rPr>
          <w:rFonts w:hint="eastAsia" w:ascii="MS UI Gothic" w:eastAsia="MS UI Gothic"/>
          <w:w w:val="80"/>
        </w:rPr>
        <w:t xml:space="preserve">３０ ｍꎮ </w:t>
      </w:r>
      <w:r>
        <w:t>检查孔的数量和布置应当满足设计和施工要求</w:t>
      </w:r>
      <w:r>
        <w:rPr>
          <w:rFonts w:hint="eastAsia" w:ascii="MS UI Gothic" w:eastAsia="MS UI Gothic"/>
          <w:w w:val="80"/>
        </w:rPr>
        <w:t>ꎮ</w:t>
      </w:r>
    </w:p>
    <w:p>
      <w:pPr>
        <w:pStyle w:val="6"/>
        <w:spacing w:line="295" w:lineRule="auto"/>
        <w:ind w:right="39"/>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井筒检查孔必须全孔取芯</w:t>
      </w:r>
      <w:r>
        <w:rPr>
          <w:rFonts w:hint="eastAsia" w:ascii="MS UI Gothic" w:eastAsia="MS UI Gothic"/>
          <w:w w:val="80"/>
        </w:rPr>
        <w:t xml:space="preserve">ꎬ </w:t>
      </w:r>
      <w:r>
        <w:rPr>
          <w:w w:val="105"/>
        </w:rPr>
        <w:t>全孔数字测井</w:t>
      </w:r>
      <w:r>
        <w:rPr>
          <w:rFonts w:hint="eastAsia" w:ascii="MS UI Gothic" w:eastAsia="MS UI Gothic"/>
          <w:w w:val="80"/>
        </w:rPr>
        <w:t xml:space="preserve">ꎻ </w:t>
      </w:r>
      <w:r>
        <w:rPr>
          <w:w w:val="105"/>
        </w:rPr>
        <w:t xml:space="preserve">必须分含水层 </w:t>
      </w:r>
      <w:r>
        <w:rPr>
          <w:rFonts w:hint="eastAsia" w:ascii="MS UI Gothic" w:eastAsia="MS UI Gothic"/>
          <w:w w:val="150"/>
        </w:rPr>
        <w:t xml:space="preserve">( </w:t>
      </w:r>
      <w:r>
        <w:rPr>
          <w:w w:val="105"/>
        </w:rPr>
        <w:t>组</w:t>
      </w:r>
      <w:r>
        <w:rPr>
          <w:rFonts w:hint="eastAsia" w:ascii="MS UI Gothic" w:eastAsia="MS UI Gothic"/>
          <w:w w:val="150"/>
        </w:rPr>
        <w:t xml:space="preserve">) </w:t>
      </w:r>
      <w:r>
        <w:rPr>
          <w:w w:val="105"/>
        </w:rPr>
        <w:t>进行抽水试验</w:t>
      </w:r>
      <w:r>
        <w:rPr>
          <w:rFonts w:hint="eastAsia" w:ascii="MS UI Gothic" w:eastAsia="MS UI Gothic"/>
          <w:w w:val="80"/>
        </w:rPr>
        <w:t xml:space="preserve">ꎬ </w:t>
      </w:r>
      <w:r>
        <w:rPr>
          <w:w w:val="105"/>
        </w:rPr>
        <w:t>分煤层采测煤层瓦斯</w:t>
      </w:r>
      <w:r>
        <w:rPr>
          <w:rFonts w:hint="eastAsia" w:ascii="MS UI Gothic" w:eastAsia="MS UI Gothic"/>
          <w:w w:val="80"/>
        </w:rPr>
        <w:t xml:space="preserve">、 </w:t>
      </w:r>
      <w:r>
        <w:rPr>
          <w:w w:val="105"/>
        </w:rPr>
        <w:t>煤层自燃</w:t>
      </w:r>
      <w:r>
        <w:rPr>
          <w:rFonts w:hint="eastAsia" w:ascii="MS UI Gothic" w:eastAsia="MS UI Gothic"/>
          <w:w w:val="80"/>
        </w:rPr>
        <w:t xml:space="preserve">、 </w:t>
      </w:r>
      <w:r>
        <w:rPr>
          <w:w w:val="105"/>
        </w:rPr>
        <w:t>煤尘爆炸性煤样</w:t>
      </w:r>
      <w:r>
        <w:rPr>
          <w:rFonts w:hint="eastAsia" w:ascii="MS UI Gothic" w:eastAsia="MS UI Gothic"/>
          <w:w w:val="80"/>
        </w:rPr>
        <w:t xml:space="preserve">ꎻ </w:t>
      </w:r>
      <w:r>
        <w:rPr>
          <w:w w:val="105"/>
        </w:rPr>
        <w:t>采测钻孔水文地质</w:t>
      </w:r>
      <w:r>
        <w:t>及工程地质参数</w:t>
      </w:r>
      <w:r>
        <w:rPr>
          <w:rFonts w:hint="eastAsia" w:ascii="MS UI Gothic" w:eastAsia="MS UI Gothic"/>
          <w:w w:val="80"/>
        </w:rPr>
        <w:t xml:space="preserve">ꎬ </w:t>
      </w:r>
      <w:r>
        <w:t>查明地质构造和岩</w:t>
      </w:r>
    </w:p>
    <w:p>
      <w:pPr>
        <w:spacing w:before="74"/>
        <w:ind w:left="124" w:right="0" w:firstLine="0"/>
        <w:jc w:val="left"/>
        <w:rPr>
          <w:rFonts w:hint="eastAsia" w:ascii="MS UI Gothic" w:eastAsia="MS UI Gothic"/>
          <w:sz w:val="20"/>
        </w:rPr>
      </w:pPr>
      <w:r>
        <w:br w:type="column"/>
      </w:r>
      <w:r>
        <w:rPr>
          <w:sz w:val="20"/>
        </w:rPr>
        <w:t>剖面</w:t>
      </w:r>
      <w:r>
        <w:rPr>
          <w:rFonts w:hint="eastAsia" w:ascii="MS UI Gothic" w:eastAsia="MS UI Gothic"/>
          <w:w w:val="80"/>
          <w:sz w:val="20"/>
        </w:rPr>
        <w:t>ꎮ</w:t>
      </w:r>
    </w:p>
    <w:p>
      <w:pPr>
        <w:pStyle w:val="6"/>
        <w:spacing w:before="58" w:line="295" w:lineRule="auto"/>
        <w:ind w:right="440"/>
        <w:rPr>
          <w:rFonts w:hint="eastAsia" w:ascii="MS UI Gothic" w:eastAsia="MS UI Gothic"/>
        </w:rPr>
      </w:pPr>
      <w:r>
        <w:t>第二十六条 新建矿井开工前必须复查井筒检查孔资料</w:t>
      </w:r>
      <w:r>
        <w:rPr>
          <w:rFonts w:hint="eastAsia" w:ascii="MS UI Gothic" w:eastAsia="MS UI Gothic"/>
          <w:w w:val="80"/>
        </w:rPr>
        <w:t xml:space="preserve">ꎻ </w:t>
      </w:r>
      <w:r>
        <w:t>调查核实钻孔位置及封孔质量</w:t>
      </w:r>
      <w:r>
        <w:rPr>
          <w:rFonts w:hint="eastAsia" w:ascii="MS UI Gothic" w:eastAsia="MS UI Gothic"/>
          <w:w w:val="80"/>
        </w:rPr>
        <w:t xml:space="preserve">、 </w:t>
      </w:r>
      <w:r>
        <w:t>采空区情况</w:t>
      </w:r>
      <w:r>
        <w:rPr>
          <w:rFonts w:hint="eastAsia" w:ascii="MS UI Gothic" w:eastAsia="MS UI Gothic"/>
          <w:w w:val="80"/>
        </w:rPr>
        <w:t xml:space="preserve">ꎮ </w:t>
      </w:r>
      <w:r>
        <w:t>调查邻近矿井生产情况和地质资料等</w:t>
      </w:r>
      <w:r>
        <w:rPr>
          <w:rFonts w:hint="eastAsia" w:ascii="MS UI Gothic" w:eastAsia="MS UI Gothic"/>
          <w:w w:val="80"/>
        </w:rPr>
        <w:t xml:space="preserve">ꎬ </w:t>
      </w:r>
      <w:r>
        <w:t>将相关资料标绘在采掘工程平面图上</w:t>
      </w:r>
      <w:r>
        <w:rPr>
          <w:rFonts w:hint="eastAsia" w:ascii="MS UI Gothic" w:eastAsia="MS UI Gothic"/>
          <w:w w:val="80"/>
        </w:rPr>
        <w:t xml:space="preserve">ꎻ </w:t>
      </w:r>
      <w:r>
        <w:t>编制主要井巷揭煤</w:t>
      </w:r>
      <w:r>
        <w:rPr>
          <w:rFonts w:hint="eastAsia" w:ascii="MS UI Gothic" w:eastAsia="MS UI Gothic"/>
          <w:w w:val="80"/>
        </w:rPr>
        <w:t>、</w:t>
      </w:r>
      <w:r>
        <w:t>过地质构造及含水层技术方案</w:t>
      </w:r>
      <w:r>
        <w:rPr>
          <w:rFonts w:hint="eastAsia" w:ascii="MS UI Gothic" w:eastAsia="MS UI Gothic"/>
          <w:w w:val="80"/>
        </w:rPr>
        <w:t xml:space="preserve">ꎻ </w:t>
      </w:r>
      <w:r>
        <w:t>编制主要井巷工程的预想地质图及其说明书</w:t>
      </w:r>
      <w:r>
        <w:rPr>
          <w:rFonts w:hint="eastAsia" w:ascii="MS UI Gothic" w:eastAsia="MS UI Gothic"/>
          <w:w w:val="80"/>
        </w:rPr>
        <w:t>ꎮ</w:t>
      </w:r>
    </w:p>
    <w:p>
      <w:pPr>
        <w:pStyle w:val="6"/>
        <w:spacing w:line="295" w:lineRule="auto"/>
        <w:ind w:right="442"/>
        <w:rPr>
          <w:rFonts w:hint="eastAsia" w:ascii="MS UI Gothic" w:eastAsia="MS UI Gothic"/>
        </w:rPr>
      </w:pPr>
      <w:r>
        <w:t>第二十七条 井筒施工期间应当验证井筒检查孔取得的各种地质资料</w:t>
      </w:r>
      <w:r>
        <w:rPr>
          <w:rFonts w:hint="eastAsia" w:ascii="MS UI Gothic" w:eastAsia="MS UI Gothic"/>
          <w:w w:val="80"/>
        </w:rPr>
        <w:t xml:space="preserve">ꎮ </w:t>
      </w:r>
      <w:r>
        <w:t>当发现影响施工的异常地质因素时</w:t>
      </w:r>
      <w:r>
        <w:rPr>
          <w:rFonts w:hint="eastAsia" w:ascii="MS UI Gothic" w:eastAsia="MS UI Gothic"/>
          <w:w w:val="80"/>
        </w:rPr>
        <w:t xml:space="preserve">ꎬ </w:t>
      </w:r>
      <w:r>
        <w:t>应当采取探测和预防措施</w:t>
      </w:r>
      <w:r>
        <w:rPr>
          <w:rFonts w:hint="eastAsia" w:ascii="MS UI Gothic" w:eastAsia="MS UI Gothic"/>
          <w:w w:val="80"/>
        </w:rPr>
        <w:t>ꎮ</w:t>
      </w:r>
    </w:p>
    <w:p>
      <w:pPr>
        <w:pStyle w:val="6"/>
        <w:spacing w:line="295" w:lineRule="auto"/>
        <w:ind w:right="440"/>
        <w:rPr>
          <w:rFonts w:hint="eastAsia" w:ascii="MS UI Gothic" w:eastAsia="MS UI Gothic"/>
        </w:rPr>
      </w:pPr>
      <w:r>
        <w:t>第二十八条 煤矿建设</w:t>
      </w:r>
      <w:r>
        <w:rPr>
          <w:rFonts w:hint="eastAsia" w:ascii="MS UI Gothic" w:eastAsia="MS UI Gothic"/>
        </w:rPr>
        <w:t xml:space="preserve">、 </w:t>
      </w:r>
      <w:r>
        <w:t>生产阶段</w:t>
      </w:r>
      <w:r>
        <w:rPr>
          <w:rFonts w:hint="eastAsia" w:ascii="MS UI Gothic" w:eastAsia="MS UI Gothic"/>
          <w:w w:val="80"/>
        </w:rPr>
        <w:t>ꎬ</w:t>
      </w:r>
      <w:r>
        <w:t>必须对揭露的煤层</w:t>
      </w:r>
      <w:r>
        <w:rPr>
          <w:rFonts w:hint="eastAsia" w:ascii="MS UI Gothic" w:eastAsia="MS UI Gothic"/>
        </w:rPr>
        <w:t xml:space="preserve">、 </w:t>
      </w:r>
      <w:r>
        <w:t>断层</w:t>
      </w:r>
      <w:r>
        <w:rPr>
          <w:rFonts w:hint="eastAsia" w:ascii="MS UI Gothic" w:eastAsia="MS UI Gothic"/>
        </w:rPr>
        <w:t xml:space="preserve">、 </w:t>
      </w:r>
      <w:r>
        <w:t>褶皱</w:t>
      </w:r>
      <w:r>
        <w:rPr>
          <w:rFonts w:hint="eastAsia" w:ascii="MS UI Gothic" w:eastAsia="MS UI Gothic"/>
        </w:rPr>
        <w:t xml:space="preserve">、 </w:t>
      </w:r>
      <w:r>
        <w:t>岩浆岩体</w:t>
      </w:r>
      <w:r>
        <w:rPr>
          <w:rFonts w:hint="eastAsia" w:ascii="MS UI Gothic" w:eastAsia="MS UI Gothic"/>
        </w:rPr>
        <w:t xml:space="preserve">、 </w:t>
      </w:r>
      <w:r>
        <w:t>陷落柱</w:t>
      </w:r>
      <w:r>
        <w:rPr>
          <w:rFonts w:hint="eastAsia" w:ascii="MS UI Gothic" w:eastAsia="MS UI Gothic"/>
        </w:rPr>
        <w:t xml:space="preserve">、 </w:t>
      </w:r>
      <w:r>
        <w:t>含水岩层</w:t>
      </w:r>
      <w:r>
        <w:rPr>
          <w:rFonts w:hint="eastAsia" w:ascii="MS UI Gothic" w:eastAsia="MS UI Gothic"/>
          <w:w w:val="80"/>
        </w:rPr>
        <w:t xml:space="preserve">ꎬ </w:t>
      </w:r>
      <w:r>
        <w:t>矿井涌水量及主要出水点等进行观测及描述</w:t>
      </w:r>
      <w:r>
        <w:rPr>
          <w:rFonts w:hint="eastAsia" w:ascii="MS UI Gothic" w:eastAsia="MS UI Gothic"/>
          <w:w w:val="80"/>
        </w:rPr>
        <w:t xml:space="preserve">ꎬ </w:t>
      </w:r>
      <w:r>
        <w:t>综合分析</w:t>
      </w:r>
      <w:r>
        <w:rPr>
          <w:rFonts w:hint="eastAsia" w:ascii="MS UI Gothic" w:eastAsia="MS UI Gothic"/>
          <w:w w:val="80"/>
        </w:rPr>
        <w:t>ꎬ</w:t>
      </w:r>
      <w:r>
        <w:t>实施地质预测</w:t>
      </w:r>
      <w:r>
        <w:rPr>
          <w:rFonts w:hint="eastAsia" w:ascii="MS UI Gothic" w:eastAsia="MS UI Gothic"/>
        </w:rPr>
        <w:t xml:space="preserve">、 </w:t>
      </w:r>
      <w:r>
        <w:t>预报</w:t>
      </w:r>
      <w:r>
        <w:rPr>
          <w:rFonts w:hint="eastAsia" w:ascii="MS UI Gothic" w:eastAsia="MS UI Gothic"/>
          <w:w w:val="80"/>
        </w:rPr>
        <w:t>ꎮ</w:t>
      </w:r>
    </w:p>
    <w:p>
      <w:pPr>
        <w:pStyle w:val="6"/>
        <w:spacing w:line="295" w:lineRule="auto"/>
        <w:ind w:right="442"/>
        <w:rPr>
          <w:rFonts w:hint="eastAsia" w:ascii="MS UI Gothic" w:eastAsia="MS UI Gothic"/>
        </w:rPr>
      </w:pPr>
      <w:r>
        <w:t>第二十九条 井巷揭煤前</w:t>
      </w:r>
      <w:r>
        <w:rPr>
          <w:rFonts w:hint="eastAsia" w:ascii="MS UI Gothic" w:eastAsia="MS UI Gothic"/>
          <w:w w:val="80"/>
        </w:rPr>
        <w:t xml:space="preserve">ꎬ </w:t>
      </w:r>
      <w:r>
        <w:t>应当探明煤层厚度</w:t>
      </w:r>
      <w:r>
        <w:rPr>
          <w:rFonts w:hint="eastAsia" w:ascii="MS UI Gothic" w:eastAsia="MS UI Gothic"/>
          <w:w w:val="80"/>
        </w:rPr>
        <w:t xml:space="preserve">、 </w:t>
      </w:r>
      <w:r>
        <w:t>地质构造</w:t>
      </w:r>
      <w:r>
        <w:rPr>
          <w:rFonts w:hint="eastAsia" w:ascii="MS UI Gothic" w:eastAsia="MS UI Gothic"/>
          <w:w w:val="80"/>
        </w:rPr>
        <w:t xml:space="preserve">、 </w:t>
      </w:r>
      <w:r>
        <w:t>瓦斯地质</w:t>
      </w:r>
      <w:r>
        <w:rPr>
          <w:rFonts w:hint="eastAsia" w:ascii="MS UI Gothic" w:eastAsia="MS UI Gothic"/>
          <w:w w:val="80"/>
        </w:rPr>
        <w:t xml:space="preserve">、 </w:t>
      </w:r>
      <w:r>
        <w:t>水文地质及顶底板等地质条件</w:t>
      </w:r>
      <w:r>
        <w:rPr>
          <w:rFonts w:hint="eastAsia" w:ascii="MS UI Gothic" w:eastAsia="MS UI Gothic"/>
          <w:w w:val="80"/>
        </w:rPr>
        <w:t xml:space="preserve">ꎬ </w:t>
      </w:r>
      <w:r>
        <w:t>编制揭煤地质说明书</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第三十条 基建矿井</w:t>
      </w:r>
      <w:r>
        <w:rPr>
          <w:rFonts w:hint="eastAsia" w:ascii="MS UI Gothic" w:eastAsia="MS UI Gothic"/>
          <w:w w:val="80"/>
        </w:rPr>
        <w:t xml:space="preserve">、 </w:t>
      </w:r>
      <w:r>
        <w:rPr>
          <w:w w:val="105"/>
        </w:rPr>
        <w:t>露天煤矿移交生产前</w:t>
      </w:r>
      <w:r>
        <w:rPr>
          <w:rFonts w:hint="eastAsia" w:ascii="MS UI Gothic" w:eastAsia="MS UI Gothic"/>
          <w:w w:val="80"/>
        </w:rPr>
        <w:t xml:space="preserve">ꎬ </w:t>
      </w:r>
      <w:r>
        <w:rPr>
          <w:w w:val="105"/>
        </w:rPr>
        <w:t xml:space="preserve">必须编制建井 </w:t>
      </w:r>
      <w:r>
        <w:rPr>
          <w:rFonts w:hint="eastAsia" w:ascii="MS UI Gothic" w:eastAsia="MS UI Gothic"/>
          <w:w w:val="150"/>
        </w:rPr>
        <w:t xml:space="preserve">( </w:t>
      </w:r>
      <w:r>
        <w:rPr>
          <w:w w:val="105"/>
        </w:rPr>
        <w:t>矿</w:t>
      </w:r>
      <w:r>
        <w:rPr>
          <w:rFonts w:hint="eastAsia" w:ascii="MS UI Gothic" w:eastAsia="MS UI Gothic"/>
          <w:w w:val="150"/>
        </w:rPr>
        <w:t xml:space="preserve">) </w:t>
      </w:r>
      <w:r>
        <w:rPr>
          <w:w w:val="105"/>
        </w:rPr>
        <w:t>地质报告</w:t>
      </w:r>
      <w:r>
        <w:rPr>
          <w:rFonts w:hint="eastAsia" w:ascii="MS UI Gothic" w:eastAsia="MS UI Gothic"/>
          <w:w w:val="80"/>
        </w:rPr>
        <w:t>ꎬ</w:t>
      </w:r>
      <w:r>
        <w:rPr>
          <w:w w:val="105"/>
        </w:rPr>
        <w:t>并由煤矿企业技术负责人组织审定</w:t>
      </w:r>
      <w:r>
        <w:rPr>
          <w:rFonts w:hint="eastAsia" w:ascii="MS UI Gothic" w:eastAsia="MS UI Gothic"/>
          <w:w w:val="80"/>
        </w:rPr>
        <w:t>ꎮ</w:t>
      </w:r>
    </w:p>
    <w:p>
      <w:pPr>
        <w:pStyle w:val="6"/>
        <w:spacing w:line="295" w:lineRule="auto"/>
        <w:ind w:right="440"/>
        <w:rPr>
          <w:rFonts w:hint="eastAsia" w:ascii="MS UI Gothic" w:eastAsia="MS UI Gothic"/>
        </w:rPr>
      </w:pPr>
      <w:r>
        <w:rPr>
          <w:spacing w:val="3"/>
          <w:w w:val="105"/>
        </w:rPr>
        <w:t>第三十一条 掘进和回采前</w:t>
      </w:r>
      <w:r>
        <w:rPr>
          <w:rFonts w:hint="eastAsia" w:ascii="MS UI Gothic" w:eastAsia="MS UI Gothic"/>
          <w:spacing w:val="11"/>
          <w:w w:val="80"/>
        </w:rPr>
        <w:t xml:space="preserve">ꎬ </w:t>
      </w:r>
      <w:r>
        <w:rPr>
          <w:spacing w:val="2"/>
          <w:w w:val="105"/>
        </w:rPr>
        <w:t>应当编</w:t>
      </w:r>
      <w:r>
        <w:rPr>
          <w:spacing w:val="10"/>
          <w:w w:val="105"/>
        </w:rPr>
        <w:t>制地质说明书</w:t>
      </w:r>
      <w:r>
        <w:rPr>
          <w:rFonts w:hint="eastAsia" w:ascii="MS UI Gothic" w:eastAsia="MS UI Gothic"/>
          <w:spacing w:val="6"/>
          <w:w w:val="80"/>
        </w:rPr>
        <w:t xml:space="preserve">ꎬ </w:t>
      </w:r>
      <w:r>
        <w:rPr>
          <w:spacing w:val="19"/>
          <w:w w:val="105"/>
        </w:rPr>
        <w:t>掌握地质构造</w:t>
      </w:r>
      <w:r>
        <w:rPr>
          <w:rFonts w:hint="eastAsia" w:ascii="MS UI Gothic" w:eastAsia="MS UI Gothic"/>
          <w:spacing w:val="6"/>
          <w:w w:val="80"/>
        </w:rPr>
        <w:t xml:space="preserve">、 </w:t>
      </w:r>
      <w:r>
        <w:rPr>
          <w:spacing w:val="15"/>
          <w:w w:val="105"/>
        </w:rPr>
        <w:t>岩浆岩</w:t>
      </w:r>
      <w:r>
        <w:rPr>
          <w:spacing w:val="3"/>
          <w:w w:val="105"/>
        </w:rPr>
        <w:t>体</w:t>
      </w:r>
      <w:r>
        <w:rPr>
          <w:rFonts w:hint="eastAsia" w:ascii="MS UI Gothic" w:eastAsia="MS UI Gothic"/>
          <w:spacing w:val="18"/>
          <w:w w:val="80"/>
        </w:rPr>
        <w:t xml:space="preserve">、 </w:t>
      </w:r>
      <w:r>
        <w:rPr>
          <w:spacing w:val="10"/>
          <w:w w:val="105"/>
        </w:rPr>
        <w:t>陷落柱</w:t>
      </w:r>
      <w:r>
        <w:rPr>
          <w:rFonts w:hint="eastAsia" w:ascii="MS UI Gothic" w:eastAsia="MS UI Gothic"/>
          <w:spacing w:val="23"/>
          <w:w w:val="80"/>
        </w:rPr>
        <w:t xml:space="preserve">、 </w:t>
      </w:r>
      <w:r>
        <w:rPr>
          <w:spacing w:val="20"/>
          <w:w w:val="105"/>
        </w:rPr>
        <w:t>煤层及其顶底板岩性</w:t>
      </w:r>
      <w:r>
        <w:rPr>
          <w:rFonts w:hint="eastAsia" w:ascii="MS UI Gothic" w:eastAsia="MS UI Gothic"/>
          <w:spacing w:val="24"/>
          <w:w w:val="80"/>
        </w:rPr>
        <w:t xml:space="preserve">、 </w:t>
      </w:r>
      <w:r>
        <w:rPr>
          <w:w w:val="105"/>
        </w:rPr>
        <w:t>煤</w:t>
      </w:r>
      <w:r>
        <w:rPr>
          <w:rFonts w:hint="eastAsia" w:ascii="MS UI Gothic" w:eastAsia="MS UI Gothic"/>
          <w:spacing w:val="-36"/>
          <w:w w:val="150"/>
        </w:rPr>
        <w:t xml:space="preserve">( </w:t>
      </w:r>
      <w:r>
        <w:rPr>
          <w:spacing w:val="3"/>
          <w:w w:val="105"/>
        </w:rPr>
        <w:t>岩</w:t>
      </w:r>
      <w:r>
        <w:rPr>
          <w:rFonts w:hint="eastAsia" w:ascii="MS UI Gothic" w:eastAsia="MS UI Gothic"/>
          <w:spacing w:val="17"/>
          <w:w w:val="150"/>
        </w:rPr>
        <w:t xml:space="preserve">) </w:t>
      </w:r>
      <w:r>
        <w:rPr>
          <w:spacing w:val="2"/>
          <w:w w:val="105"/>
        </w:rPr>
        <w:t xml:space="preserve">与瓦斯 </w:t>
      </w:r>
      <w:r>
        <w:rPr>
          <w:rFonts w:hint="eastAsia" w:ascii="MS UI Gothic" w:eastAsia="MS UI Gothic"/>
          <w:spacing w:val="-35"/>
          <w:w w:val="150"/>
        </w:rPr>
        <w:t xml:space="preserve">( </w:t>
      </w:r>
      <w:r>
        <w:rPr>
          <w:spacing w:val="3"/>
          <w:w w:val="105"/>
        </w:rPr>
        <w:t>二氧化碳</w:t>
      </w:r>
      <w:r>
        <w:rPr>
          <w:rFonts w:hint="eastAsia" w:ascii="MS UI Gothic" w:eastAsia="MS UI Gothic"/>
          <w:spacing w:val="17"/>
          <w:w w:val="150"/>
        </w:rPr>
        <w:t xml:space="preserve">) </w:t>
      </w:r>
      <w:r>
        <w:rPr>
          <w:spacing w:val="1"/>
          <w:w w:val="105"/>
        </w:rPr>
        <w:t xml:space="preserve">突出 </w:t>
      </w:r>
      <w:r>
        <w:rPr>
          <w:rFonts w:hint="eastAsia" w:ascii="MS UI Gothic" w:eastAsia="MS UI Gothic"/>
          <w:spacing w:val="-35"/>
          <w:w w:val="150"/>
        </w:rPr>
        <w:t xml:space="preserve">( </w:t>
      </w:r>
      <w:r>
        <w:rPr>
          <w:spacing w:val="4"/>
          <w:w w:val="105"/>
        </w:rPr>
        <w:t>以下简</w:t>
      </w:r>
      <w:r>
        <w:rPr>
          <w:spacing w:val="3"/>
          <w:w w:val="105"/>
        </w:rPr>
        <w:t>称突出</w:t>
      </w:r>
      <w:r>
        <w:rPr>
          <w:rFonts w:hint="eastAsia" w:ascii="MS UI Gothic" w:eastAsia="MS UI Gothic"/>
          <w:spacing w:val="2"/>
          <w:w w:val="150"/>
        </w:rPr>
        <w:t xml:space="preserve">) </w:t>
      </w:r>
      <w:r>
        <w:rPr>
          <w:spacing w:val="3"/>
          <w:w w:val="105"/>
        </w:rPr>
        <w:t>危险区</w:t>
      </w:r>
      <w:r>
        <w:rPr>
          <w:rFonts w:hint="eastAsia" w:ascii="MS UI Gothic" w:eastAsia="MS UI Gothic"/>
          <w:spacing w:val="19"/>
          <w:w w:val="80"/>
        </w:rPr>
        <w:t xml:space="preserve">、 </w:t>
      </w:r>
      <w:r>
        <w:rPr>
          <w:spacing w:val="11"/>
          <w:w w:val="105"/>
        </w:rPr>
        <w:t>受水威胁区技术边界</w:t>
      </w:r>
      <w:r>
        <w:rPr>
          <w:rFonts w:hint="eastAsia" w:ascii="MS UI Gothic" w:eastAsia="MS UI Gothic"/>
          <w:w w:val="80"/>
        </w:rPr>
        <w:t>、</w:t>
      </w:r>
      <w:r>
        <w:rPr>
          <w:spacing w:val="3"/>
          <w:w w:val="105"/>
        </w:rPr>
        <w:t>采空区</w:t>
      </w:r>
      <w:r>
        <w:rPr>
          <w:rFonts w:hint="eastAsia" w:ascii="MS UI Gothic" w:eastAsia="MS UI Gothic"/>
          <w:w w:val="80"/>
        </w:rPr>
        <w:t xml:space="preserve">、 </w:t>
      </w:r>
      <w:r>
        <w:rPr>
          <w:spacing w:val="3"/>
          <w:w w:val="105"/>
        </w:rPr>
        <w:t>地质钻孔等情况</w:t>
      </w:r>
      <w:r>
        <w:rPr>
          <w:rFonts w:hint="eastAsia" w:ascii="MS UI Gothic" w:eastAsia="MS UI Gothic"/>
          <w:w w:val="80"/>
        </w:rPr>
        <w:t>ꎮ</w:t>
      </w:r>
    </w:p>
    <w:p>
      <w:pPr>
        <w:pStyle w:val="6"/>
        <w:spacing w:line="295" w:lineRule="auto"/>
        <w:ind w:right="440"/>
        <w:rPr>
          <w:rFonts w:hint="eastAsia" w:ascii="MS UI Gothic" w:eastAsia="MS UI Gothic"/>
        </w:rPr>
      </w:pPr>
      <w:r>
        <w:t>第三十二条 煤矿必须结合实际情况开展隐蔽致灾地质因素普查或探测工作</w:t>
      </w:r>
      <w:r>
        <w:rPr>
          <w:rFonts w:hint="eastAsia" w:ascii="MS UI Gothic" w:eastAsia="MS UI Gothic"/>
          <w:w w:val="80"/>
        </w:rPr>
        <w:t>ꎬ</w:t>
      </w:r>
      <w:r>
        <w:t>并提出报告</w:t>
      </w:r>
      <w:r>
        <w:rPr>
          <w:rFonts w:hint="eastAsia" w:ascii="MS UI Gothic" w:eastAsia="MS UI Gothic"/>
          <w:w w:val="80"/>
        </w:rPr>
        <w:t xml:space="preserve">ꎬ </w:t>
      </w:r>
      <w:r>
        <w:t>由矿总工程师组织审定</w:t>
      </w:r>
      <w:r>
        <w:rPr>
          <w:rFonts w:hint="eastAsia" w:ascii="MS UI Gothic" w:eastAsia="MS UI Gothic"/>
          <w:w w:val="80"/>
        </w:rPr>
        <w:t>ꎮ</w:t>
      </w:r>
    </w:p>
    <w:p>
      <w:pPr>
        <w:pStyle w:val="6"/>
        <w:spacing w:line="295" w:lineRule="auto"/>
        <w:ind w:right="442"/>
        <w:rPr>
          <w:rFonts w:hint="eastAsia" w:ascii="MS UI Gothic" w:eastAsia="MS UI Gothic"/>
        </w:rPr>
      </w:pPr>
      <w:r>
        <w:t>井工开采形成的老空区威胁露天煤矿安全时</w:t>
      </w:r>
      <w:r>
        <w:rPr>
          <w:rFonts w:hint="eastAsia" w:ascii="MS UI Gothic" w:eastAsia="MS UI Gothic"/>
          <w:w w:val="80"/>
        </w:rPr>
        <w:t xml:space="preserve">ꎬ </w:t>
      </w:r>
      <w:r>
        <w:t>煤矿应当制定安全措施</w:t>
      </w:r>
      <w:r>
        <w:rPr>
          <w:rFonts w:hint="eastAsia" w:ascii="MS UI Gothic" w:eastAsia="MS UI Gothic"/>
          <w:w w:val="80"/>
        </w:rPr>
        <w:t>ꎮ</w:t>
      </w:r>
    </w:p>
    <w:p>
      <w:pPr>
        <w:pStyle w:val="6"/>
        <w:spacing w:line="295" w:lineRule="auto"/>
        <w:ind w:right="442"/>
      </w:pPr>
      <w:r>
        <w:t xml:space="preserve">第三十三条 生产矿井应当每 </w:t>
      </w:r>
      <w:r>
        <w:rPr>
          <w:rFonts w:hint="eastAsia" w:ascii="MS UI Gothic" w:eastAsia="MS UI Gothic"/>
          <w:w w:val="80"/>
        </w:rPr>
        <w:t xml:space="preserve">５ </w:t>
      </w:r>
      <w:r>
        <w:t>年修编矿井地质报告</w:t>
      </w:r>
      <w:r>
        <w:rPr>
          <w:rFonts w:hint="eastAsia" w:ascii="MS UI Gothic" w:eastAsia="MS UI Gothic"/>
          <w:w w:val="80"/>
        </w:rPr>
        <w:t xml:space="preserve">ꎬ </w:t>
      </w:r>
      <w:r>
        <w:t>地质条件变化影响地质类型划分时</w:t>
      </w:r>
      <w:r>
        <w:rPr>
          <w:rFonts w:hint="eastAsia" w:ascii="MS UI Gothic" w:eastAsia="MS UI Gothic"/>
          <w:w w:val="80"/>
        </w:rPr>
        <w:t xml:space="preserve">ꎬ </w:t>
      </w:r>
      <w:r>
        <w:t xml:space="preserve">应当在 </w:t>
      </w:r>
      <w:r>
        <w:rPr>
          <w:rFonts w:hint="eastAsia" w:ascii="MS UI Gothic" w:eastAsia="MS UI Gothic"/>
          <w:w w:val="80"/>
        </w:rPr>
        <w:t xml:space="preserve">１ </w:t>
      </w:r>
      <w:r>
        <w:t>年内重新进行地质</w:t>
      </w:r>
    </w:p>
    <w:p>
      <w:pPr>
        <w:spacing w:after="0" w:line="295" w:lineRule="auto"/>
        <w:sectPr>
          <w:type w:val="continuous"/>
          <w:pgSz w:w="10500" w:h="14750"/>
          <w:pgMar w:top="1400" w:right="980" w:bottom="280" w:left="980" w:header="720" w:footer="720" w:gutter="0"/>
          <w:cols w:equalWidth="0" w:num="2">
            <w:col w:w="3936" w:space="256"/>
            <w:col w:w="4348"/>
          </w:cols>
        </w:sectPr>
      </w:pPr>
    </w:p>
    <w:p>
      <w:pPr>
        <w:pStyle w:val="6"/>
        <w:spacing w:before="8"/>
        <w:ind w:left="0" w:firstLine="0"/>
        <w:jc w:val="left"/>
        <w:rPr>
          <w:sz w:val="55"/>
        </w:rPr>
      </w:pPr>
    </w:p>
    <w:p>
      <w:pPr>
        <w:pStyle w:val="6"/>
        <w:ind w:left="440" w:firstLine="0"/>
        <w:jc w:val="left"/>
        <w:rPr>
          <w:rFonts w:hint="eastAsia" w:ascii="MS UI Gothic" w:eastAsia="MS UI Gothic"/>
        </w:rPr>
      </w:pPr>
      <w:r>
        <w:rPr>
          <w:w w:val="95"/>
        </w:rPr>
        <w:t>类型划分</w:t>
      </w:r>
      <w:r>
        <w:rPr>
          <w:rFonts w:hint="eastAsia" w:ascii="MS UI Gothic" w:eastAsia="MS UI Gothic"/>
          <w:w w:val="80"/>
        </w:rPr>
        <w:t>ꎮ</w:t>
      </w:r>
    </w:p>
    <w:p>
      <w:pPr>
        <w:spacing w:before="192"/>
        <w:ind w:left="440" w:right="0" w:firstLine="0"/>
        <w:jc w:val="left"/>
        <w:rPr>
          <w:sz w:val="17"/>
        </w:rPr>
      </w:pPr>
      <w:r>
        <w:br w:type="column"/>
      </w:r>
      <w:r>
        <w:rPr>
          <w:spacing w:val="3"/>
          <w:sz w:val="17"/>
        </w:rPr>
        <w:t>四</w:t>
      </w:r>
      <w:r>
        <w:rPr>
          <w:rFonts w:hint="eastAsia" w:ascii="Microsoft Yi Baiti" w:eastAsia="Microsoft Yi Baiti"/>
          <w:spacing w:val="9"/>
          <w:sz w:val="17"/>
        </w:rPr>
        <w:t xml:space="preserve">、 </w:t>
      </w:r>
      <w:r>
        <w:rPr>
          <w:spacing w:val="-20"/>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２４１</w:t>
      </w:r>
    </w:p>
    <w:p>
      <w:pPr>
        <w:pStyle w:val="6"/>
        <w:spacing w:before="6"/>
        <w:ind w:left="0" w:firstLine="0"/>
        <w:jc w:val="left"/>
        <w:rPr>
          <w:rFonts w:ascii="MS UI Gothic"/>
          <w:sz w:val="35"/>
        </w:rPr>
      </w:pPr>
    </w:p>
    <w:p>
      <w:pPr>
        <w:pStyle w:val="6"/>
        <w:tabs>
          <w:tab w:val="left" w:pos="1025"/>
        </w:tabs>
        <w:ind w:left="187" w:firstLine="0"/>
        <w:jc w:val="left"/>
      </w:pPr>
      <w:r>
        <w:pict>
          <v:shape id="_x0000_s1751" o:spid="_x0000_s1751" style="position:absolute;left:0pt;margin-left:0pt;margin-top:656.65pt;height:1.75pt;width:398.25pt;mso-position-horizontal-relative:page;z-index:251949056;mso-width-relative:page;mso-height-relative:page;" filled="f" stroked="t" coordorigin="0,13133" coordsize="7965,35" path="m1419,-353l9384,-353m1419,-388l9384,-388e">
            <v:path arrowok="t"/>
            <v:fill on="f" focussize="0,0"/>
            <v:stroke weight="0.388031496062992pt" color="#231F20"/>
            <v:imagedata o:title=""/>
            <o:lock v:ext="edit"/>
          </v:shape>
        </w:pict>
      </w:r>
      <w:r>
        <w:rPr>
          <w:spacing w:val="3"/>
          <w:w w:val="105"/>
        </w:rPr>
        <w:t>第二</w:t>
      </w:r>
      <w:r>
        <w:rPr>
          <w:w w:val="105"/>
        </w:rPr>
        <w:t>节</w:t>
      </w:r>
      <w:r>
        <w:rPr>
          <w:w w:val="105"/>
        </w:rPr>
        <w:tab/>
      </w:r>
      <w:r>
        <w:rPr>
          <w:spacing w:val="3"/>
          <w:w w:val="105"/>
        </w:rPr>
        <w:t>井巷掘进与支</w:t>
      </w:r>
      <w:r>
        <w:rPr>
          <w:w w:val="105"/>
        </w:rPr>
        <w:t>护</w:t>
      </w:r>
    </w:p>
    <w:p>
      <w:pPr>
        <w:spacing w:after="0"/>
        <w:jc w:val="left"/>
        <w:sectPr>
          <w:pgSz w:w="10500" w:h="14750"/>
          <w:pgMar w:top="960" w:right="980" w:bottom="280" w:left="980" w:header="720" w:footer="720" w:gutter="0"/>
          <w:cols w:equalWidth="0" w:num="3">
            <w:col w:w="1423" w:space="1840"/>
            <w:col w:w="1878" w:space="39"/>
            <w:col w:w="3360"/>
          </w:cols>
        </w:sectPr>
      </w:pPr>
    </w:p>
    <w:p>
      <w:pPr>
        <w:pStyle w:val="6"/>
        <w:tabs>
          <w:tab w:val="left" w:pos="2222"/>
        </w:tabs>
        <w:spacing w:before="74"/>
        <w:ind w:left="1384" w:firstLine="0"/>
        <w:jc w:val="left"/>
      </w:pPr>
      <w:r>
        <w:rPr>
          <w:spacing w:val="3"/>
          <w:w w:val="105"/>
        </w:rPr>
        <w:t>第三</w:t>
      </w:r>
      <w:r>
        <w:rPr>
          <w:w w:val="105"/>
        </w:rPr>
        <w:t>编</w:t>
      </w:r>
      <w:r>
        <w:rPr>
          <w:w w:val="105"/>
        </w:rPr>
        <w:tab/>
      </w:r>
      <w:r>
        <w:rPr>
          <w:w w:val="105"/>
        </w:rPr>
        <w:t>井</w:t>
      </w:r>
      <w:r>
        <w:rPr>
          <w:spacing w:val="-38"/>
          <w:w w:val="105"/>
        </w:rPr>
        <w:t xml:space="preserve"> </w:t>
      </w:r>
      <w:r>
        <w:rPr>
          <w:w w:val="105"/>
        </w:rPr>
        <w:t>工</w:t>
      </w:r>
      <w:r>
        <w:rPr>
          <w:spacing w:val="-38"/>
          <w:w w:val="105"/>
        </w:rPr>
        <w:t xml:space="preserve"> </w:t>
      </w:r>
      <w:r>
        <w:rPr>
          <w:w w:val="105"/>
        </w:rPr>
        <w:t>煤</w:t>
      </w:r>
      <w:r>
        <w:rPr>
          <w:spacing w:val="-38"/>
          <w:w w:val="105"/>
        </w:rPr>
        <w:t xml:space="preserve"> </w:t>
      </w:r>
      <w:r>
        <w:rPr>
          <w:w w:val="105"/>
        </w:rPr>
        <w:t>矿</w:t>
      </w:r>
    </w:p>
    <w:p>
      <w:pPr>
        <w:pStyle w:val="6"/>
        <w:spacing w:before="8"/>
        <w:ind w:left="0" w:firstLine="0"/>
        <w:jc w:val="left"/>
        <w:rPr>
          <w:sz w:val="31"/>
        </w:rPr>
      </w:pPr>
    </w:p>
    <w:p>
      <w:pPr>
        <w:pStyle w:val="6"/>
        <w:tabs>
          <w:tab w:val="left" w:pos="2222"/>
        </w:tabs>
        <w:ind w:left="1384" w:firstLine="0"/>
        <w:jc w:val="left"/>
      </w:pPr>
      <w:r>
        <w:rPr>
          <w:spacing w:val="3"/>
          <w:w w:val="105"/>
        </w:rPr>
        <w:t>第一</w:t>
      </w:r>
      <w:r>
        <w:rPr>
          <w:w w:val="105"/>
        </w:rPr>
        <w:t>章</w:t>
      </w:r>
      <w:r>
        <w:rPr>
          <w:w w:val="105"/>
        </w:rPr>
        <w:tab/>
      </w:r>
      <w:r>
        <w:rPr>
          <w:w w:val="105"/>
        </w:rPr>
        <w:t>矿</w:t>
      </w:r>
      <w:r>
        <w:rPr>
          <w:spacing w:val="-38"/>
          <w:w w:val="105"/>
        </w:rPr>
        <w:t xml:space="preserve"> </w:t>
      </w:r>
      <w:r>
        <w:rPr>
          <w:w w:val="105"/>
        </w:rPr>
        <w:t>井</w:t>
      </w:r>
      <w:r>
        <w:rPr>
          <w:spacing w:val="-38"/>
          <w:w w:val="105"/>
        </w:rPr>
        <w:t xml:space="preserve"> </w:t>
      </w:r>
      <w:r>
        <w:rPr>
          <w:w w:val="105"/>
        </w:rPr>
        <w:t>建</w:t>
      </w:r>
      <w:r>
        <w:rPr>
          <w:spacing w:val="-38"/>
          <w:w w:val="105"/>
        </w:rPr>
        <w:t xml:space="preserve"> </w:t>
      </w:r>
      <w:r>
        <w:rPr>
          <w:w w:val="105"/>
        </w:rPr>
        <w:t>设</w:t>
      </w:r>
    </w:p>
    <w:p>
      <w:pPr>
        <w:pStyle w:val="6"/>
        <w:spacing w:before="8"/>
        <w:ind w:left="0" w:firstLine="0"/>
        <w:jc w:val="left"/>
        <w:rPr>
          <w:sz w:val="31"/>
        </w:rPr>
      </w:pPr>
    </w:p>
    <w:p>
      <w:pPr>
        <w:pStyle w:val="6"/>
        <w:tabs>
          <w:tab w:val="left" w:pos="2222"/>
        </w:tabs>
        <w:ind w:left="1384" w:firstLine="0"/>
        <w:jc w:val="left"/>
      </w:pPr>
      <w:r>
        <w:rPr>
          <w:spacing w:val="3"/>
          <w:w w:val="105"/>
        </w:rPr>
        <w:t>第一</w:t>
      </w:r>
      <w:r>
        <w:rPr>
          <w:w w:val="105"/>
        </w:rPr>
        <w:t>节</w:t>
      </w:r>
      <w:r>
        <w:rPr>
          <w:w w:val="105"/>
        </w:rPr>
        <w:tab/>
      </w:r>
      <w:r>
        <w:rPr>
          <w:w w:val="105"/>
        </w:rPr>
        <w:t>一</w:t>
      </w:r>
      <w:r>
        <w:rPr>
          <w:spacing w:val="-38"/>
          <w:w w:val="105"/>
        </w:rPr>
        <w:t xml:space="preserve"> </w:t>
      </w:r>
      <w:r>
        <w:rPr>
          <w:w w:val="105"/>
        </w:rPr>
        <w:t>般</w:t>
      </w:r>
      <w:r>
        <w:rPr>
          <w:spacing w:val="-38"/>
          <w:w w:val="105"/>
        </w:rPr>
        <w:t xml:space="preserve"> </w:t>
      </w:r>
      <w:r>
        <w:rPr>
          <w:w w:val="105"/>
        </w:rPr>
        <w:t>规</w:t>
      </w:r>
      <w:r>
        <w:rPr>
          <w:spacing w:val="-38"/>
          <w:w w:val="105"/>
        </w:rPr>
        <w:t xml:space="preserve"> </w:t>
      </w:r>
      <w:r>
        <w:rPr>
          <w:w w:val="105"/>
        </w:rPr>
        <w:t>定</w:t>
      </w:r>
    </w:p>
    <w:p>
      <w:pPr>
        <w:pStyle w:val="6"/>
        <w:spacing w:before="11"/>
        <w:ind w:left="0" w:firstLine="0"/>
        <w:jc w:val="left"/>
        <w:rPr>
          <w:sz w:val="16"/>
        </w:rPr>
      </w:pPr>
    </w:p>
    <w:p>
      <w:pPr>
        <w:pStyle w:val="6"/>
        <w:spacing w:line="302" w:lineRule="auto"/>
        <w:ind w:left="440"/>
        <w:rPr>
          <w:rFonts w:hint="eastAsia" w:ascii="MS UI Gothic" w:eastAsia="MS UI Gothic"/>
        </w:rPr>
      </w:pPr>
      <w:r>
        <w:t>第三十四条 煤矿建设单位和参与建设的勘察</w:t>
      </w:r>
      <w:r>
        <w:rPr>
          <w:rFonts w:hint="eastAsia" w:ascii="MS UI Gothic" w:eastAsia="MS UI Gothic"/>
          <w:w w:val="80"/>
        </w:rPr>
        <w:t xml:space="preserve">、 </w:t>
      </w:r>
      <w:r>
        <w:t>设计</w:t>
      </w:r>
      <w:r>
        <w:rPr>
          <w:rFonts w:hint="eastAsia" w:ascii="MS UI Gothic" w:eastAsia="MS UI Gothic"/>
          <w:w w:val="80"/>
        </w:rPr>
        <w:t xml:space="preserve">、 </w:t>
      </w:r>
      <w:r>
        <w:t>施工</w:t>
      </w:r>
      <w:r>
        <w:rPr>
          <w:rFonts w:hint="eastAsia" w:ascii="MS UI Gothic" w:eastAsia="MS UI Gothic"/>
          <w:w w:val="80"/>
        </w:rPr>
        <w:t xml:space="preserve">、 </w:t>
      </w:r>
      <w:r>
        <w:t>监理等单位必须具有与工程项目规模相适应的能力</w:t>
      </w:r>
      <w:r>
        <w:rPr>
          <w:rFonts w:hint="eastAsia" w:ascii="MS UI Gothic" w:eastAsia="MS UI Gothic"/>
          <w:w w:val="80"/>
        </w:rPr>
        <w:t xml:space="preserve">ꎮ </w:t>
      </w:r>
      <w:r>
        <w:t>国家实行资质管理的</w:t>
      </w:r>
      <w:r>
        <w:rPr>
          <w:rFonts w:hint="eastAsia" w:ascii="MS UI Gothic" w:eastAsia="MS UI Gothic"/>
          <w:w w:val="80"/>
        </w:rPr>
        <w:t xml:space="preserve">ꎬ </w:t>
      </w:r>
      <w:r>
        <w:t>应具备相应的资质</w:t>
      </w:r>
      <w:r>
        <w:rPr>
          <w:rFonts w:hint="eastAsia" w:ascii="MS UI Gothic" w:eastAsia="MS UI Gothic"/>
          <w:w w:val="80"/>
        </w:rPr>
        <w:t xml:space="preserve">ꎬ </w:t>
      </w:r>
      <w:r>
        <w:t>不得超资质承揽项目</w:t>
      </w:r>
      <w:r>
        <w:rPr>
          <w:rFonts w:hint="eastAsia" w:ascii="MS UI Gothic" w:eastAsia="MS UI Gothic"/>
          <w:w w:val="80"/>
        </w:rPr>
        <w:t>ꎮ</w:t>
      </w:r>
    </w:p>
    <w:p>
      <w:pPr>
        <w:pStyle w:val="6"/>
        <w:spacing w:before="4" w:line="300" w:lineRule="auto"/>
        <w:ind w:left="440"/>
        <w:rPr>
          <w:rFonts w:hint="eastAsia" w:ascii="MS UI Gothic" w:eastAsia="MS UI Gothic"/>
        </w:rPr>
      </w:pPr>
      <w:r>
        <w:rPr>
          <w:spacing w:val="2"/>
          <w:w w:val="95"/>
        </w:rPr>
        <w:t>第三十五条   有突出危险煤层的新建</w:t>
      </w:r>
      <w:r>
        <w:rPr>
          <w:spacing w:val="3"/>
          <w:w w:val="95"/>
        </w:rPr>
        <w:t>矿井必须先抽后建</w:t>
      </w:r>
      <w:r>
        <w:rPr>
          <w:rFonts w:hint="eastAsia" w:ascii="MS UI Gothic" w:eastAsia="MS UI Gothic"/>
          <w:spacing w:val="20"/>
          <w:w w:val="90"/>
        </w:rPr>
        <w:t xml:space="preserve">ꎮ </w:t>
      </w:r>
      <w:r>
        <w:rPr>
          <w:spacing w:val="3"/>
          <w:w w:val="95"/>
        </w:rPr>
        <w:t>矿井建设开工前</w:t>
      </w:r>
      <w:r>
        <w:rPr>
          <w:rFonts w:hint="eastAsia" w:ascii="MS UI Gothic" w:eastAsia="MS UI Gothic"/>
          <w:spacing w:val="20"/>
          <w:w w:val="90"/>
        </w:rPr>
        <w:t xml:space="preserve">ꎬ </w:t>
      </w:r>
      <w:r>
        <w:rPr>
          <w:w w:val="95"/>
        </w:rPr>
        <w:t>应</w:t>
      </w:r>
      <w:r>
        <w:rPr>
          <w:spacing w:val="2"/>
          <w:w w:val="95"/>
        </w:rPr>
        <w:t xml:space="preserve">当对首采区突出煤层进行地面钻井预抽瓦  </w:t>
      </w:r>
      <w:r>
        <w:rPr>
          <w:spacing w:val="3"/>
          <w:w w:val="95"/>
        </w:rPr>
        <w:t>斯</w:t>
      </w:r>
      <w:r>
        <w:rPr>
          <w:rFonts w:hint="eastAsia" w:ascii="MS UI Gothic" w:eastAsia="MS UI Gothic"/>
          <w:spacing w:val="21"/>
          <w:w w:val="90"/>
        </w:rPr>
        <w:t xml:space="preserve">ꎬ </w:t>
      </w:r>
      <w:r>
        <w:rPr>
          <w:spacing w:val="-4"/>
          <w:w w:val="95"/>
        </w:rPr>
        <w:t xml:space="preserve">且预抽率应当达到 </w:t>
      </w:r>
      <w:r>
        <w:rPr>
          <w:rFonts w:hint="eastAsia" w:ascii="MS UI Gothic" w:eastAsia="MS UI Gothic"/>
          <w:w w:val="95"/>
        </w:rPr>
        <w:t>３０</w:t>
      </w:r>
      <w:r>
        <w:rPr>
          <w:spacing w:val="-15"/>
          <w:w w:val="95"/>
        </w:rPr>
        <w:t>％ 以上</w:t>
      </w:r>
      <w:r>
        <w:rPr>
          <w:rFonts w:hint="eastAsia" w:ascii="MS UI Gothic" w:eastAsia="MS UI Gothic"/>
          <w:w w:val="90"/>
        </w:rPr>
        <w:t>ꎮ</w:t>
      </w:r>
    </w:p>
    <w:p>
      <w:pPr>
        <w:pStyle w:val="6"/>
        <w:spacing w:before="5" w:line="302" w:lineRule="auto"/>
        <w:ind w:left="440"/>
        <w:rPr>
          <w:rFonts w:hint="eastAsia" w:ascii="MS UI Gothic" w:eastAsia="MS UI Gothic"/>
        </w:rPr>
      </w:pPr>
      <w:r>
        <w:rPr>
          <w:w w:val="105"/>
        </w:rPr>
        <w:t>第三十六条 建设单位必须落实安全</w:t>
      </w:r>
      <w:r>
        <w:t>生产管理主体责任</w:t>
      </w:r>
      <w:r>
        <w:rPr>
          <w:rFonts w:hint="eastAsia" w:ascii="MS UI Gothic" w:eastAsia="MS UI Gothic"/>
          <w:w w:val="80"/>
        </w:rPr>
        <w:t xml:space="preserve">ꎬ </w:t>
      </w:r>
      <w:r>
        <w:t>履行安全生产与职业</w:t>
      </w:r>
      <w:r>
        <w:rPr>
          <w:w w:val="105"/>
        </w:rPr>
        <w:t>病危害防治管理职责</w:t>
      </w:r>
      <w:r>
        <w:rPr>
          <w:rFonts w:hint="eastAsia" w:ascii="MS UI Gothic" w:eastAsia="MS UI Gothic"/>
          <w:w w:val="80"/>
        </w:rPr>
        <w:t>ꎮ</w:t>
      </w:r>
    </w:p>
    <w:p>
      <w:pPr>
        <w:pStyle w:val="6"/>
        <w:spacing w:line="302" w:lineRule="auto"/>
        <w:ind w:left="440"/>
        <w:rPr>
          <w:rFonts w:hint="eastAsia" w:ascii="MS UI Gothic" w:eastAsia="MS UI Gothic"/>
        </w:rPr>
      </w:pPr>
      <w:r>
        <w:t>第三十七条 煤矿建设</w:t>
      </w:r>
      <w:r>
        <w:rPr>
          <w:rFonts w:hint="eastAsia" w:ascii="MS UI Gothic" w:eastAsia="MS UI Gothic"/>
          <w:w w:val="80"/>
        </w:rPr>
        <w:t xml:space="preserve">、 </w:t>
      </w:r>
      <w:r>
        <w:t>施工单位必须设置项目管理机构</w:t>
      </w:r>
      <w:r>
        <w:rPr>
          <w:rFonts w:hint="eastAsia" w:ascii="MS UI Gothic" w:eastAsia="MS UI Gothic"/>
          <w:w w:val="80"/>
        </w:rPr>
        <w:t xml:space="preserve">ꎬ </w:t>
      </w:r>
      <w:r>
        <w:t>配备满足工程需要的安全人员</w:t>
      </w:r>
      <w:r>
        <w:rPr>
          <w:rFonts w:hint="eastAsia" w:ascii="MS UI Gothic" w:eastAsia="MS UI Gothic"/>
          <w:w w:val="80"/>
        </w:rPr>
        <w:t xml:space="preserve">、 </w:t>
      </w:r>
      <w:r>
        <w:t>技术人员和特种作业人员</w:t>
      </w:r>
      <w:r>
        <w:rPr>
          <w:rFonts w:hint="eastAsia" w:ascii="MS UI Gothic" w:eastAsia="MS UI Gothic"/>
          <w:w w:val="80"/>
        </w:rPr>
        <w:t>ꎮ</w:t>
      </w:r>
    </w:p>
    <w:p>
      <w:pPr>
        <w:pStyle w:val="6"/>
        <w:spacing w:line="300" w:lineRule="auto"/>
        <w:ind w:left="440"/>
        <w:rPr>
          <w:rFonts w:hint="eastAsia" w:ascii="MS UI Gothic" w:eastAsia="MS UI Gothic"/>
        </w:rPr>
      </w:pPr>
      <w:r>
        <w:t>第三十八条 单项工程</w:t>
      </w:r>
      <w:r>
        <w:rPr>
          <w:rFonts w:hint="eastAsia" w:ascii="MS UI Gothic" w:eastAsia="MS UI Gothic"/>
          <w:w w:val="80"/>
        </w:rPr>
        <w:t xml:space="preserve">、 </w:t>
      </w:r>
      <w:r>
        <w:t>单位工程开工前</w:t>
      </w:r>
      <w:r>
        <w:rPr>
          <w:rFonts w:hint="eastAsia" w:ascii="MS UI Gothic" w:eastAsia="MS UI Gothic"/>
          <w:w w:val="80"/>
        </w:rPr>
        <w:t xml:space="preserve">ꎬ </w:t>
      </w:r>
      <w:r>
        <w:t>必须编制施工组织设计和作业规程</w:t>
      </w:r>
      <w:r>
        <w:rPr>
          <w:rFonts w:hint="eastAsia" w:ascii="MS UI Gothic" w:eastAsia="MS UI Gothic"/>
          <w:w w:val="80"/>
        </w:rPr>
        <w:t xml:space="preserve">ꎬ </w:t>
      </w:r>
      <w:r>
        <w:t>并组织相关人员学习</w:t>
      </w:r>
      <w:r>
        <w:rPr>
          <w:rFonts w:hint="eastAsia" w:ascii="MS UI Gothic" w:eastAsia="MS UI Gothic"/>
          <w:w w:val="80"/>
        </w:rPr>
        <w:t>ꎮ</w:t>
      </w:r>
    </w:p>
    <w:p>
      <w:pPr>
        <w:pStyle w:val="6"/>
        <w:spacing w:line="300" w:lineRule="auto"/>
        <w:ind w:left="440"/>
        <w:rPr>
          <w:rFonts w:hint="eastAsia" w:ascii="MS UI Gothic" w:eastAsia="MS UI Gothic"/>
        </w:rPr>
      </w:pPr>
      <w:r>
        <w:t>第三十九条 矿井建设期间必须按规定填绘反映实际情况的井巷工程进度交换图</w:t>
      </w:r>
      <w:r>
        <w:rPr>
          <w:rFonts w:hint="eastAsia" w:ascii="MS UI Gothic" w:eastAsia="MS UI Gothic"/>
          <w:w w:val="80"/>
        </w:rPr>
        <w:t xml:space="preserve">、 </w:t>
      </w:r>
      <w:r>
        <w:t>井巷工程地质实测素描图及通风</w:t>
      </w:r>
      <w:r>
        <w:rPr>
          <w:rFonts w:hint="eastAsia" w:ascii="MS UI Gothic" w:eastAsia="MS UI Gothic"/>
          <w:w w:val="80"/>
        </w:rPr>
        <w:t xml:space="preserve">、 </w:t>
      </w:r>
      <w:r>
        <w:t>供电</w:t>
      </w:r>
      <w:r>
        <w:rPr>
          <w:rFonts w:hint="eastAsia" w:ascii="MS UI Gothic" w:eastAsia="MS UI Gothic"/>
          <w:w w:val="80"/>
        </w:rPr>
        <w:t xml:space="preserve">、 </w:t>
      </w:r>
      <w:r>
        <w:t>运输</w:t>
      </w:r>
      <w:r>
        <w:rPr>
          <w:rFonts w:hint="eastAsia" w:ascii="MS UI Gothic" w:eastAsia="MS UI Gothic"/>
          <w:w w:val="80"/>
        </w:rPr>
        <w:t xml:space="preserve">、 </w:t>
      </w:r>
      <w:r>
        <w:t>通信</w:t>
      </w:r>
      <w:r>
        <w:rPr>
          <w:rFonts w:hint="eastAsia" w:ascii="MS UI Gothic" w:eastAsia="MS UI Gothic"/>
          <w:w w:val="80"/>
        </w:rPr>
        <w:t xml:space="preserve">、 </w:t>
      </w:r>
      <w:r>
        <w:t>监测</w:t>
      </w:r>
      <w:r>
        <w:rPr>
          <w:rFonts w:hint="eastAsia" w:ascii="MS UI Gothic" w:eastAsia="MS UI Gothic"/>
          <w:w w:val="80"/>
        </w:rPr>
        <w:t xml:space="preserve">、 </w:t>
      </w:r>
      <w:r>
        <w:t>管路等系统图</w:t>
      </w:r>
      <w:r>
        <w:rPr>
          <w:rFonts w:hint="eastAsia" w:ascii="MS UI Gothic" w:eastAsia="MS UI Gothic"/>
          <w:w w:val="80"/>
        </w:rPr>
        <w:t>ꎮ</w:t>
      </w:r>
    </w:p>
    <w:p>
      <w:pPr>
        <w:pStyle w:val="6"/>
        <w:spacing w:before="3" w:line="302" w:lineRule="auto"/>
        <w:ind w:left="440"/>
        <w:rPr>
          <w:rFonts w:hint="eastAsia" w:ascii="MS UI Gothic" w:eastAsia="MS UI Gothic"/>
        </w:rPr>
      </w:pPr>
      <w:r>
        <w:rPr>
          <w:w w:val="105"/>
        </w:rPr>
        <w:t>第四十条 矿井建设期间的安全出口</w:t>
      </w:r>
      <w:r>
        <w:rPr>
          <w:w w:val="110"/>
        </w:rPr>
        <w:t>应当符合下列要求</w:t>
      </w:r>
      <w:r>
        <w:rPr>
          <w:rFonts w:hint="eastAsia" w:ascii="MS UI Gothic" w:eastAsia="MS UI Gothic"/>
          <w:w w:val="235"/>
        </w:rPr>
        <w:t>:</w:t>
      </w:r>
    </w:p>
    <w:p>
      <w:pPr>
        <w:pStyle w:val="6"/>
        <w:spacing w:line="302" w:lineRule="auto"/>
        <w:ind w:left="440"/>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4"/>
          <w:w w:val="150"/>
        </w:rPr>
        <w:t xml:space="preserve">) </w:t>
      </w:r>
      <w:r>
        <w:rPr>
          <w:spacing w:val="5"/>
          <w:w w:val="105"/>
        </w:rPr>
        <w:t>开凿或者延深立井时</w:t>
      </w:r>
      <w:r>
        <w:rPr>
          <w:rFonts w:hint="eastAsia" w:ascii="MS UI Gothic" w:eastAsia="MS UI Gothic"/>
          <w:spacing w:val="13"/>
          <w:w w:val="80"/>
        </w:rPr>
        <w:t xml:space="preserve">ꎬ </w:t>
      </w:r>
      <w:r>
        <w:rPr>
          <w:spacing w:val="7"/>
          <w:w w:val="105"/>
        </w:rPr>
        <w:t>井筒内</w:t>
      </w:r>
      <w:r>
        <w:rPr>
          <w:spacing w:val="2"/>
        </w:rPr>
        <w:t>必须设有在提升设备发生故障时专供人员</w:t>
      </w:r>
      <w:r>
        <w:rPr>
          <w:spacing w:val="3"/>
        </w:rPr>
        <w:t>出井的安全设施和出口</w:t>
      </w:r>
      <w:r>
        <w:rPr>
          <w:rFonts w:hint="eastAsia" w:ascii="MS UI Gothic" w:eastAsia="MS UI Gothic"/>
          <w:spacing w:val="23"/>
          <w:w w:val="80"/>
        </w:rPr>
        <w:t xml:space="preserve">ꎻ </w:t>
      </w:r>
      <w:r>
        <w:rPr>
          <w:spacing w:val="3"/>
        </w:rPr>
        <w:t>井筒到底后</w:t>
      </w:r>
      <w:r>
        <w:rPr>
          <w:rFonts w:hint="eastAsia" w:ascii="MS UI Gothic" w:eastAsia="MS UI Gothic"/>
          <w:spacing w:val="23"/>
          <w:w w:val="80"/>
        </w:rPr>
        <w:t xml:space="preserve">ꎬ </w:t>
      </w:r>
      <w:r>
        <w:t>应</w:t>
      </w:r>
      <w:r>
        <w:rPr>
          <w:spacing w:val="1"/>
          <w:w w:val="105"/>
        </w:rPr>
        <w:t>当先短路贯通</w:t>
      </w:r>
      <w:r>
        <w:rPr>
          <w:rFonts w:hint="eastAsia" w:ascii="MS UI Gothic" w:eastAsia="MS UI Gothic"/>
          <w:spacing w:val="-2"/>
          <w:w w:val="80"/>
        </w:rPr>
        <w:t xml:space="preserve">ꎬ </w:t>
      </w:r>
      <w:r>
        <w:rPr>
          <w:spacing w:val="-16"/>
          <w:w w:val="105"/>
        </w:rPr>
        <w:t xml:space="preserve">形成至少 </w:t>
      </w:r>
      <w:r>
        <w:rPr>
          <w:rFonts w:hint="eastAsia" w:ascii="MS UI Gothic" w:eastAsia="MS UI Gothic"/>
          <w:spacing w:val="-12"/>
          <w:w w:val="80"/>
        </w:rPr>
        <w:t xml:space="preserve">２ </w:t>
      </w:r>
      <w:r>
        <w:rPr>
          <w:spacing w:val="2"/>
          <w:w w:val="105"/>
        </w:rPr>
        <w:t>个通达地面的</w:t>
      </w:r>
      <w:r>
        <w:rPr>
          <w:spacing w:val="3"/>
          <w:w w:val="105"/>
        </w:rPr>
        <w:t>安全出口</w:t>
      </w:r>
      <w:r>
        <w:rPr>
          <w:rFonts w:hint="eastAsia" w:ascii="MS UI Gothic" w:eastAsia="MS UI Gothic"/>
          <w:w w:val="80"/>
        </w:rPr>
        <w:t>ꎮ</w:t>
      </w:r>
    </w:p>
    <w:p>
      <w:pPr>
        <w:pStyle w:val="6"/>
        <w:spacing w:line="302"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相邻的两条斜井或者平硐施工时</w:t>
      </w:r>
      <w:r>
        <w:rPr>
          <w:rFonts w:hint="eastAsia" w:ascii="MS UI Gothic" w:eastAsia="MS UI Gothic"/>
          <w:w w:val="80"/>
        </w:rPr>
        <w:t xml:space="preserve">ꎬ </w:t>
      </w:r>
      <w:r>
        <w:rPr>
          <w:w w:val="105"/>
        </w:rPr>
        <w:t>应当及时按设计要求贯通联络巷</w:t>
      </w:r>
      <w:r>
        <w:rPr>
          <w:rFonts w:hint="eastAsia" w:ascii="MS UI Gothic" w:eastAsia="MS UI Gothic"/>
          <w:w w:val="80"/>
        </w:rPr>
        <w:t>ꎮ</w:t>
      </w:r>
    </w:p>
    <w:p>
      <w:pPr>
        <w:pStyle w:val="6"/>
        <w:spacing w:before="215" w:line="295" w:lineRule="auto"/>
        <w:ind w:left="383" w:right="126"/>
        <w:rPr>
          <w:rFonts w:hint="eastAsia" w:ascii="MS UI Gothic" w:eastAsia="MS UI Gothic"/>
        </w:rPr>
      </w:pPr>
      <w:r>
        <w:br w:type="column"/>
      </w:r>
      <w:r>
        <w:rPr>
          <w:w w:val="105"/>
        </w:rPr>
        <w:t>第四十一条 开凿平硐</w:t>
      </w:r>
      <w:r>
        <w:rPr>
          <w:rFonts w:hint="eastAsia" w:ascii="MS UI Gothic" w:eastAsia="MS UI Gothic"/>
          <w:w w:val="80"/>
        </w:rPr>
        <w:t xml:space="preserve">、 </w:t>
      </w:r>
      <w:r>
        <w:rPr>
          <w:w w:val="105"/>
        </w:rPr>
        <w:t>斜井和立井</w:t>
      </w:r>
      <w:r>
        <w:t>时</w:t>
      </w:r>
      <w:r>
        <w:rPr>
          <w:rFonts w:hint="eastAsia" w:ascii="MS UI Gothic" w:eastAsia="MS UI Gothic"/>
          <w:w w:val="80"/>
        </w:rPr>
        <w:t xml:space="preserve">ꎬ </w:t>
      </w:r>
      <w:r>
        <w:t>井口与坚硬岩层之间的井巷必须砌碹</w:t>
      </w:r>
      <w:r>
        <w:rPr>
          <w:w w:val="105"/>
        </w:rPr>
        <w:t xml:space="preserve">或者用混凝土砌 </w:t>
      </w:r>
      <w:r>
        <w:rPr>
          <w:rFonts w:hint="eastAsia" w:ascii="MS UI Gothic" w:eastAsia="MS UI Gothic"/>
          <w:w w:val="150"/>
        </w:rPr>
        <w:t xml:space="preserve">( </w:t>
      </w:r>
      <w:r>
        <w:rPr>
          <w:w w:val="105"/>
        </w:rPr>
        <w:t>浇</w:t>
      </w:r>
      <w:r>
        <w:rPr>
          <w:rFonts w:hint="eastAsia" w:ascii="MS UI Gothic" w:eastAsia="MS UI Gothic"/>
          <w:w w:val="150"/>
        </w:rPr>
        <w:t xml:space="preserve">) </w:t>
      </w:r>
      <w:r>
        <w:rPr>
          <w:w w:val="105"/>
        </w:rPr>
        <w:t>筑</w:t>
      </w:r>
      <w:r>
        <w:rPr>
          <w:rFonts w:hint="eastAsia" w:ascii="MS UI Gothic" w:eastAsia="MS UI Gothic"/>
          <w:w w:val="80"/>
        </w:rPr>
        <w:t xml:space="preserve">ꎬ </w:t>
      </w:r>
      <w:r>
        <w:rPr>
          <w:w w:val="105"/>
        </w:rPr>
        <w:t xml:space="preserve">并向坚硬岩层内至少延深 </w:t>
      </w:r>
      <w:r>
        <w:rPr>
          <w:rFonts w:hint="eastAsia" w:ascii="MS UI Gothic" w:eastAsia="MS UI Gothic"/>
          <w:w w:val="80"/>
        </w:rPr>
        <w:t>５ ｍꎮ</w:t>
      </w:r>
    </w:p>
    <w:p>
      <w:pPr>
        <w:pStyle w:val="6"/>
        <w:spacing w:line="295" w:lineRule="auto"/>
        <w:ind w:left="383" w:right="126"/>
        <w:rPr>
          <w:rFonts w:hint="eastAsia" w:ascii="MS UI Gothic" w:eastAsia="MS UI Gothic"/>
        </w:rPr>
      </w:pPr>
      <w:r>
        <w:t>在山坡下开凿斜井和平硐时</w:t>
      </w:r>
      <w:r>
        <w:rPr>
          <w:rFonts w:hint="eastAsia" w:ascii="MS UI Gothic" w:eastAsia="MS UI Gothic"/>
          <w:w w:val="80"/>
        </w:rPr>
        <w:t xml:space="preserve">ꎬ </w:t>
      </w:r>
      <w:r>
        <w:t>井口顶</w:t>
      </w:r>
      <w:r>
        <w:rPr>
          <w:rFonts w:hint="eastAsia" w:ascii="MS UI Gothic" w:eastAsia="MS UI Gothic"/>
          <w:w w:val="80"/>
        </w:rPr>
        <w:t xml:space="preserve">、 </w:t>
      </w:r>
      <w:r>
        <w:t>侧必须构筑挡墙和防洪水沟</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第四十二条 立井锁口施工时</w:t>
      </w:r>
      <w:r>
        <w:rPr>
          <w:rFonts w:hint="eastAsia" w:ascii="MS UI Gothic" w:eastAsia="MS UI Gothic"/>
          <w:w w:val="80"/>
        </w:rPr>
        <w:t xml:space="preserve">ꎬ </w:t>
      </w:r>
      <w:r>
        <w:rPr>
          <w:w w:val="105"/>
        </w:rPr>
        <w:t>应当</w:t>
      </w:r>
      <w:r>
        <w:rPr>
          <w:w w:val="110"/>
        </w:rPr>
        <w:t>遵守下列规定</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采用冻结法施工井筒时</w:t>
      </w:r>
      <w:r>
        <w:rPr>
          <w:rFonts w:hint="eastAsia" w:ascii="MS UI Gothic" w:eastAsia="MS UI Gothic"/>
          <w:w w:val="80"/>
        </w:rPr>
        <w:t xml:space="preserve">ꎬ </w:t>
      </w:r>
      <w:r>
        <w:rPr>
          <w:w w:val="105"/>
        </w:rPr>
        <w:t>应当在井筒具备试挖条件后施工</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风硐口</w:t>
      </w:r>
      <w:r>
        <w:rPr>
          <w:rFonts w:hint="eastAsia" w:ascii="MS UI Gothic" w:eastAsia="MS UI Gothic"/>
          <w:w w:val="80"/>
        </w:rPr>
        <w:t xml:space="preserve">、 </w:t>
      </w:r>
      <w:r>
        <w:rPr>
          <w:w w:val="105"/>
        </w:rPr>
        <w:t>安全出口与井筒连接</w:t>
      </w:r>
      <w:r>
        <w:t>处应当整体浇筑</w:t>
      </w:r>
      <w:r>
        <w:rPr>
          <w:rFonts w:hint="eastAsia" w:ascii="MS UI Gothic" w:eastAsia="MS UI Gothic"/>
          <w:w w:val="80"/>
        </w:rPr>
        <w:t xml:space="preserve">ꎬ </w:t>
      </w:r>
      <w:r>
        <w:t>并采取安全防护措施</w:t>
      </w:r>
      <w:r>
        <w:rPr>
          <w:rFonts w:hint="eastAsia" w:ascii="MS UI Gothic" w:eastAsia="MS UI Gothic"/>
          <w:w w:val="80"/>
        </w:rPr>
        <w:t>ꎮ</w:t>
      </w:r>
    </w:p>
    <w:p>
      <w:pPr>
        <w:pStyle w:val="6"/>
        <w:spacing w:line="295" w:lineRule="auto"/>
        <w:ind w:left="383" w:right="124"/>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拆除临时锁口进行永久锁口施</w:t>
      </w:r>
      <w:r>
        <w:t>工前</w:t>
      </w:r>
      <w:r>
        <w:rPr>
          <w:rFonts w:hint="eastAsia" w:ascii="MS UI Gothic" w:eastAsia="MS UI Gothic"/>
          <w:w w:val="80"/>
        </w:rPr>
        <w:t xml:space="preserve">ꎬ </w:t>
      </w:r>
      <w:r>
        <w:t>在永久锁口下方应当设置保护盘</w:t>
      </w:r>
      <w:r>
        <w:rPr>
          <w:rFonts w:hint="eastAsia" w:ascii="MS UI Gothic" w:eastAsia="MS UI Gothic"/>
          <w:w w:val="80"/>
        </w:rPr>
        <w:t>ꎬ</w:t>
      </w:r>
      <w:r>
        <w:rPr>
          <w:w w:val="105"/>
        </w:rPr>
        <w:t>并满足通风</w:t>
      </w:r>
      <w:r>
        <w:rPr>
          <w:rFonts w:hint="eastAsia" w:ascii="MS UI Gothic" w:eastAsia="MS UI Gothic"/>
          <w:w w:val="80"/>
        </w:rPr>
        <w:t xml:space="preserve">、 </w:t>
      </w:r>
      <w:r>
        <w:rPr>
          <w:w w:val="105"/>
        </w:rPr>
        <w:t>防坠和承载要求</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第四十三条 立井永久或者临时支护</w:t>
      </w:r>
      <w:r>
        <w:t>到井筒工作面的距离及防止片帮的措施必</w:t>
      </w:r>
      <w:r>
        <w:rPr>
          <w:w w:val="105"/>
        </w:rPr>
        <w:t>须根据岩性</w:t>
      </w:r>
      <w:r>
        <w:rPr>
          <w:rFonts w:hint="eastAsia" w:ascii="MS UI Gothic" w:eastAsia="MS UI Gothic"/>
          <w:w w:val="80"/>
        </w:rPr>
        <w:t xml:space="preserve">、 </w:t>
      </w:r>
      <w:r>
        <w:rPr>
          <w:w w:val="105"/>
        </w:rPr>
        <w:t>水文地质条件和施工工艺在作业规程中明确</w:t>
      </w:r>
      <w:r>
        <w:rPr>
          <w:rFonts w:hint="eastAsia" w:ascii="MS UI Gothic" w:eastAsia="MS UI Gothic"/>
          <w:w w:val="80"/>
        </w:rPr>
        <w:t>ꎮ</w:t>
      </w:r>
    </w:p>
    <w:p>
      <w:pPr>
        <w:pStyle w:val="6"/>
        <w:spacing w:line="295" w:lineRule="auto"/>
        <w:ind w:left="383" w:right="124"/>
        <w:rPr>
          <w:rFonts w:hint="eastAsia" w:ascii="MS UI Gothic" w:eastAsia="MS UI Gothic"/>
        </w:rPr>
      </w:pPr>
      <w:r>
        <w:t>第四十四条  立井井筒穿过冲积层</w:t>
      </w:r>
      <w:r>
        <w:rPr>
          <w:rFonts w:hint="eastAsia" w:ascii="MS UI Gothic" w:eastAsia="MS UI Gothic"/>
          <w:w w:val="80"/>
        </w:rPr>
        <w:t>、</w:t>
      </w:r>
      <w:r>
        <w:t>松软岩层或者煤层时</w:t>
      </w:r>
      <w:r>
        <w:rPr>
          <w:rFonts w:hint="eastAsia" w:ascii="MS UI Gothic" w:eastAsia="MS UI Gothic"/>
          <w:w w:val="80"/>
        </w:rPr>
        <w:t xml:space="preserve">ꎬ </w:t>
      </w:r>
      <w:r>
        <w:t>必须有专门措施</w:t>
      </w:r>
      <w:r>
        <w:rPr>
          <w:rFonts w:hint="eastAsia" w:ascii="MS UI Gothic" w:eastAsia="MS UI Gothic"/>
          <w:w w:val="80"/>
        </w:rPr>
        <w:t>ꎮ</w:t>
      </w:r>
      <w:r>
        <w:t>采用井圈或者其他临时支护时</w:t>
      </w:r>
      <w:r>
        <w:rPr>
          <w:rFonts w:hint="eastAsia" w:ascii="MS UI Gothic" w:eastAsia="MS UI Gothic"/>
          <w:w w:val="80"/>
        </w:rPr>
        <w:t xml:space="preserve">ꎬ </w:t>
      </w:r>
      <w:r>
        <w:t>临时支护必须安全可靠</w:t>
      </w:r>
      <w:r>
        <w:rPr>
          <w:rFonts w:hint="eastAsia" w:ascii="MS UI Gothic" w:eastAsia="MS UI Gothic"/>
          <w:w w:val="80"/>
        </w:rPr>
        <w:t xml:space="preserve">、 </w:t>
      </w:r>
      <w:r>
        <w:t>紧靠工作面</w:t>
      </w:r>
      <w:r>
        <w:rPr>
          <w:rFonts w:hint="eastAsia" w:ascii="MS UI Gothic" w:eastAsia="MS UI Gothic"/>
          <w:w w:val="80"/>
        </w:rPr>
        <w:t xml:space="preserve">ꎬ </w:t>
      </w:r>
      <w:r>
        <w:t>并及时进行永久支护</w:t>
      </w:r>
      <w:r>
        <w:rPr>
          <w:rFonts w:hint="eastAsia" w:ascii="MS UI Gothic" w:eastAsia="MS UI Gothic"/>
          <w:w w:val="80"/>
        </w:rPr>
        <w:t xml:space="preserve">ꎮ </w:t>
      </w:r>
      <w:r>
        <w:t>建立永久支护前</w:t>
      </w:r>
      <w:r>
        <w:rPr>
          <w:rFonts w:hint="eastAsia" w:ascii="MS UI Gothic" w:eastAsia="MS UI Gothic"/>
          <w:w w:val="80"/>
        </w:rPr>
        <w:t xml:space="preserve">ꎬ </w:t>
      </w:r>
      <w:r>
        <w:t>每班应当派专人观测地面沉降和井帮变化情况</w:t>
      </w:r>
      <w:r>
        <w:rPr>
          <w:rFonts w:hint="eastAsia" w:ascii="MS UI Gothic" w:eastAsia="MS UI Gothic"/>
          <w:w w:val="80"/>
        </w:rPr>
        <w:t xml:space="preserve">ꎻ </w:t>
      </w:r>
      <w:r>
        <w:t>发现危险预兆时</w:t>
      </w:r>
      <w:r>
        <w:rPr>
          <w:rFonts w:hint="eastAsia" w:ascii="MS UI Gothic" w:eastAsia="MS UI Gothic"/>
          <w:w w:val="80"/>
        </w:rPr>
        <w:t xml:space="preserve">ꎬ </w:t>
      </w:r>
      <w:r>
        <w:t>必须立即停止作业</w:t>
      </w:r>
      <w:r>
        <w:rPr>
          <w:rFonts w:hint="eastAsia" w:ascii="MS UI Gothic" w:eastAsia="MS UI Gothic"/>
          <w:w w:val="80"/>
        </w:rPr>
        <w:t xml:space="preserve">ꎬ </w:t>
      </w:r>
      <w:r>
        <w:t>撤出人员</w:t>
      </w:r>
      <w:r>
        <w:rPr>
          <w:rFonts w:hint="eastAsia" w:ascii="MS UI Gothic" w:eastAsia="MS UI Gothic"/>
          <w:w w:val="80"/>
        </w:rPr>
        <w:t xml:space="preserve">ꎬ </w:t>
      </w:r>
      <w:r>
        <w:t>进行处理</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2"/>
          <w:w w:val="105"/>
        </w:rPr>
        <w:t>第四十五条 采用冻结法开凿立井井</w:t>
      </w:r>
      <w:r>
        <w:rPr>
          <w:spacing w:val="3"/>
          <w:w w:val="110"/>
        </w:rPr>
        <w:t>筒时</w:t>
      </w:r>
      <w:r>
        <w:rPr>
          <w:rFonts w:hint="eastAsia" w:ascii="MS UI Gothic" w:eastAsia="MS UI Gothic"/>
          <w:spacing w:val="21"/>
          <w:w w:val="80"/>
        </w:rPr>
        <w:t xml:space="preserve">ꎬ </w:t>
      </w:r>
      <w:r>
        <w:rPr>
          <w:spacing w:val="3"/>
          <w:w w:val="110"/>
        </w:rPr>
        <w:t>应当遵守下列规定</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spacing w:val="-27"/>
          <w:w w:val="145"/>
        </w:rPr>
        <w:t xml:space="preserve">( </w:t>
      </w:r>
      <w:r>
        <w:rPr>
          <w:spacing w:val="3"/>
        </w:rPr>
        <w:t>一</w:t>
      </w:r>
      <w:r>
        <w:rPr>
          <w:rFonts w:hint="eastAsia" w:ascii="MS UI Gothic" w:eastAsia="MS UI Gothic"/>
          <w:spacing w:val="15"/>
          <w:w w:val="145"/>
        </w:rPr>
        <w:t xml:space="preserve">) </w:t>
      </w:r>
      <w:r>
        <w:rPr>
          <w:spacing w:val="5"/>
        </w:rPr>
        <w:t>冻结深度应当穿过风化带延深</w:t>
      </w:r>
      <w:r>
        <w:rPr>
          <w:spacing w:val="-3"/>
        </w:rPr>
        <w:t xml:space="preserve">至稳定的基岩 </w:t>
      </w:r>
      <w:r>
        <w:rPr>
          <w:rFonts w:hint="eastAsia" w:ascii="MS UI Gothic" w:eastAsia="MS UI Gothic"/>
          <w:spacing w:val="12"/>
          <w:w w:val="80"/>
        </w:rPr>
        <w:t xml:space="preserve">１０ </w:t>
      </w:r>
      <w:r>
        <w:rPr>
          <w:rFonts w:hint="eastAsia" w:ascii="MS UI Gothic" w:eastAsia="MS UI Gothic"/>
          <w:w w:val="80"/>
        </w:rPr>
        <w:t>ｍ</w:t>
      </w:r>
      <w:r>
        <w:rPr>
          <w:rFonts w:hint="eastAsia" w:ascii="MS UI Gothic" w:eastAsia="MS UI Gothic"/>
          <w:spacing w:val="19"/>
          <w:w w:val="80"/>
        </w:rPr>
        <w:t xml:space="preserve"> </w:t>
      </w:r>
      <w:r>
        <w:rPr>
          <w:spacing w:val="7"/>
        </w:rPr>
        <w:t>以上</w:t>
      </w:r>
      <w:r>
        <w:rPr>
          <w:rFonts w:hint="eastAsia" w:ascii="MS UI Gothic" w:eastAsia="MS UI Gothic"/>
          <w:spacing w:val="7"/>
          <w:w w:val="80"/>
        </w:rPr>
        <w:t xml:space="preserve">ꎮ </w:t>
      </w:r>
      <w:r>
        <w:rPr>
          <w:spacing w:val="10"/>
        </w:rPr>
        <w:t>基岩段涌水较</w:t>
      </w:r>
      <w:r>
        <w:rPr>
          <w:spacing w:val="3"/>
        </w:rPr>
        <w:t>大时</w:t>
      </w:r>
      <w:r>
        <w:rPr>
          <w:rFonts w:hint="eastAsia" w:ascii="MS UI Gothic" w:eastAsia="MS UI Gothic"/>
          <w:spacing w:val="2"/>
          <w:w w:val="80"/>
        </w:rPr>
        <w:t xml:space="preserve">ꎬ </w:t>
      </w:r>
      <w:r>
        <w:rPr>
          <w:spacing w:val="3"/>
        </w:rPr>
        <w:t>应当加深冻结深度</w:t>
      </w:r>
      <w:r>
        <w:rPr>
          <w:rFonts w:hint="eastAsia" w:ascii="MS UI Gothic" w:eastAsia="MS UI Gothic"/>
          <w:w w:val="80"/>
        </w:rPr>
        <w:t>ꎮ</w:t>
      </w:r>
    </w:p>
    <w:p>
      <w:pPr>
        <w:pStyle w:val="6"/>
        <w:spacing w:line="295" w:lineRule="auto"/>
        <w:ind w:left="383" w:right="124"/>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第一个冻结孔应当全孔取芯</w:t>
      </w:r>
      <w:r>
        <w:rPr>
          <w:rFonts w:hint="eastAsia" w:ascii="MS UI Gothic" w:eastAsia="MS UI Gothic"/>
          <w:w w:val="80"/>
        </w:rPr>
        <w:t>ꎬ</w:t>
      </w:r>
      <w:r>
        <w:rPr>
          <w:w w:val="105"/>
        </w:rPr>
        <w:t>以验证井筒检查孔资料的可靠性</w:t>
      </w:r>
      <w:r>
        <w:rPr>
          <w:rFonts w:hint="eastAsia" w:ascii="MS UI Gothic" w:eastAsia="MS UI Gothic"/>
          <w:w w:val="80"/>
        </w:rPr>
        <w:t>ꎮ</w:t>
      </w:r>
    </w:p>
    <w:p>
      <w:pPr>
        <w:pStyle w:val="6"/>
        <w:spacing w:line="295" w:lineRule="auto"/>
        <w:ind w:left="383" w:right="126"/>
      </w:pPr>
      <w:r>
        <w:rPr>
          <w:rFonts w:hint="eastAsia" w:ascii="MS UI Gothic" w:eastAsia="MS UI Gothic"/>
          <w:w w:val="145"/>
        </w:rPr>
        <w:t xml:space="preserve">( </w:t>
      </w:r>
      <w:r>
        <w:t>三</w:t>
      </w:r>
      <w:r>
        <w:rPr>
          <w:rFonts w:hint="eastAsia" w:ascii="MS UI Gothic" w:eastAsia="MS UI Gothic"/>
          <w:w w:val="145"/>
        </w:rPr>
        <w:t xml:space="preserve">) </w:t>
      </w:r>
      <w:r>
        <w:t>钻进冻结孔时</w:t>
      </w:r>
      <w:r>
        <w:rPr>
          <w:rFonts w:hint="eastAsia" w:ascii="MS UI Gothic" w:eastAsia="MS UI Gothic"/>
          <w:w w:val="80"/>
        </w:rPr>
        <w:t xml:space="preserve">ꎬ </w:t>
      </w:r>
      <w:r>
        <w:t>必须测定钻孔的方向和偏斜度</w:t>
      </w:r>
      <w:r>
        <w:rPr>
          <w:rFonts w:hint="eastAsia" w:ascii="MS UI Gothic" w:eastAsia="MS UI Gothic"/>
          <w:w w:val="80"/>
        </w:rPr>
        <w:t xml:space="preserve">ꎬ </w:t>
      </w:r>
      <w:r>
        <w:t xml:space="preserve">测斜的最大间隔不得超过 </w:t>
      </w:r>
      <w:r>
        <w:rPr>
          <w:rFonts w:hint="eastAsia" w:ascii="MS UI Gothic" w:eastAsia="MS UI Gothic"/>
          <w:w w:val="80"/>
        </w:rPr>
        <w:t xml:space="preserve">３０ ｍꎬ </w:t>
      </w:r>
      <w:r>
        <w:t>并绘制冻结孔实际偏斜平面位</w:t>
      </w:r>
    </w:p>
    <w:p>
      <w:pPr>
        <w:spacing w:after="0" w:line="295" w:lineRule="auto"/>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２４２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52" o:spid="_x0000_s1752" o:spt="203" style="height:2.15pt;width:398.25pt;" coordsize="7965,43">
            <o:lock v:ext="edit"/>
            <v:line id="_x0000_s1753" o:spid="_x0000_s1753" o:spt="20" style="position:absolute;left:0;top:39;height:0;width:7965;" stroked="t" coordsize="21600,21600">
              <v:path arrowok="t"/>
              <v:fill focussize="0,0"/>
              <v:stroke weight="0.388031496062992pt" color="#231F20"/>
              <v:imagedata o:title=""/>
              <o:lock v:ext="edit"/>
            </v:line>
            <v:line id="_x0000_s1754" o:spid="_x0000_s175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置图</w:t>
      </w:r>
      <w:r>
        <w:rPr>
          <w:rFonts w:hint="eastAsia" w:ascii="MS UI Gothic" w:eastAsia="MS UI Gothic"/>
          <w:w w:val="80"/>
        </w:rPr>
        <w:t xml:space="preserve">ꎮ </w:t>
      </w:r>
      <w:r>
        <w:t>偏斜度超过规定时</w:t>
      </w:r>
      <w:r>
        <w:rPr>
          <w:rFonts w:hint="eastAsia" w:ascii="MS UI Gothic" w:eastAsia="MS UI Gothic"/>
          <w:w w:val="80"/>
        </w:rPr>
        <w:t xml:space="preserve">ꎬ </w:t>
      </w:r>
      <w:r>
        <w:t>必须及时纠正</w:t>
      </w:r>
      <w:r>
        <w:rPr>
          <w:rFonts w:hint="eastAsia" w:ascii="MS UI Gothic" w:eastAsia="MS UI Gothic"/>
          <w:w w:val="80"/>
        </w:rPr>
        <w:t xml:space="preserve">ꎮ </w:t>
      </w:r>
      <w:r>
        <w:t>因钻孔偏斜影响冻结效果时</w:t>
      </w:r>
      <w:r>
        <w:rPr>
          <w:rFonts w:hint="eastAsia" w:ascii="MS UI Gothic" w:eastAsia="MS UI Gothic"/>
          <w:w w:val="80"/>
        </w:rPr>
        <w:t xml:space="preserve">ꎬ </w:t>
      </w:r>
      <w:r>
        <w:t>必须补孔</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水文观测孔应当打在井筒内</w:t>
      </w:r>
      <w:r>
        <w:rPr>
          <w:rFonts w:hint="eastAsia" w:ascii="MS UI Gothic" w:eastAsia="MS UI Gothic"/>
          <w:w w:val="80"/>
        </w:rPr>
        <w:t>ꎬ</w:t>
      </w:r>
      <w:r>
        <w:t>不得偏离井筒的净断面</w:t>
      </w:r>
      <w:r>
        <w:rPr>
          <w:rFonts w:hint="eastAsia" w:ascii="MS UI Gothic" w:eastAsia="MS UI Gothic"/>
          <w:w w:val="80"/>
        </w:rPr>
        <w:t xml:space="preserve">ꎬ </w:t>
      </w:r>
      <w:r>
        <w:t>其深度不得超过</w:t>
      </w:r>
      <w:r>
        <w:rPr>
          <w:w w:val="105"/>
        </w:rPr>
        <w:t>冻结段深度</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冻结管应当采用无缝钢管</w:t>
      </w:r>
      <w:r>
        <w:rPr>
          <w:rFonts w:hint="eastAsia" w:ascii="MS UI Gothic" w:eastAsia="MS UI Gothic"/>
          <w:w w:val="80"/>
        </w:rPr>
        <w:t xml:space="preserve">ꎬ </w:t>
      </w:r>
      <w:r>
        <w:rPr>
          <w:w w:val="105"/>
        </w:rPr>
        <w:t>并</w:t>
      </w:r>
      <w:r>
        <w:t>采用焊接或者螺纹连接</w:t>
      </w:r>
      <w:r>
        <w:rPr>
          <w:rFonts w:hint="eastAsia" w:ascii="MS UI Gothic" w:eastAsia="MS UI Gothic"/>
          <w:w w:val="80"/>
        </w:rPr>
        <w:t xml:space="preserve">ꎮ </w:t>
      </w:r>
      <w:r>
        <w:t>冻结管下入钻孔后应当进行试压</w:t>
      </w:r>
      <w:r>
        <w:rPr>
          <w:rFonts w:hint="eastAsia" w:ascii="MS UI Gothic" w:eastAsia="MS UI Gothic"/>
          <w:w w:val="80"/>
        </w:rPr>
        <w:t xml:space="preserve">ꎬ </w:t>
      </w:r>
      <w:r>
        <w:t>发现异常时</w:t>
      </w:r>
      <w:r>
        <w:rPr>
          <w:rFonts w:hint="eastAsia" w:ascii="MS UI Gothic" w:eastAsia="MS UI Gothic"/>
          <w:w w:val="80"/>
        </w:rPr>
        <w:t xml:space="preserve">ꎬ </w:t>
      </w:r>
      <w:r>
        <w:t>必须及时</w:t>
      </w:r>
      <w:r>
        <w:rPr>
          <w:w w:val="105"/>
        </w:rPr>
        <w:t>处理</w:t>
      </w:r>
      <w:r>
        <w:rPr>
          <w:rFonts w:hint="eastAsia" w:ascii="MS UI Gothic" w:eastAsia="MS UI Gothic"/>
          <w:w w:val="80"/>
        </w:rPr>
        <w:t>ꎮ</w:t>
      </w:r>
    </w:p>
    <w:p>
      <w:pPr>
        <w:pStyle w:val="6"/>
        <w:spacing w:line="295" w:lineRule="auto"/>
        <w:ind w:left="118" w:right="39" w:firstLine="425"/>
        <w:rPr>
          <w:rFonts w:hint="eastAsia" w:ascii="MS UI Gothic" w:eastAsia="MS UI Gothic"/>
        </w:rPr>
      </w:pPr>
      <w:r>
        <w:rPr>
          <w:rFonts w:hint="eastAsia" w:ascii="MS UI Gothic" w:eastAsia="MS UI Gothic"/>
          <w:spacing w:val="-34"/>
          <w:w w:val="150"/>
        </w:rPr>
        <w:t xml:space="preserve">( </w:t>
      </w:r>
      <w:r>
        <w:rPr>
          <w:spacing w:val="3"/>
        </w:rPr>
        <w:t>六</w:t>
      </w:r>
      <w:r>
        <w:rPr>
          <w:rFonts w:hint="eastAsia" w:ascii="MS UI Gothic" w:eastAsia="MS UI Gothic"/>
          <w:spacing w:val="26"/>
          <w:w w:val="150"/>
        </w:rPr>
        <w:t xml:space="preserve">) </w:t>
      </w:r>
      <w:r>
        <w:rPr>
          <w:spacing w:val="5"/>
        </w:rPr>
        <w:t>开始冻结后</w:t>
      </w:r>
      <w:r>
        <w:rPr>
          <w:rFonts w:hint="eastAsia" w:ascii="MS UI Gothic" w:eastAsia="MS UI Gothic"/>
          <w:spacing w:val="14"/>
          <w:w w:val="80"/>
        </w:rPr>
        <w:t xml:space="preserve">ꎬ </w:t>
      </w:r>
      <w:r>
        <w:rPr>
          <w:spacing w:val="9"/>
        </w:rPr>
        <w:t>必须经常观察水</w:t>
      </w:r>
      <w:r>
        <w:rPr>
          <w:spacing w:val="3"/>
        </w:rPr>
        <w:t>文观测孔的水位变化</w:t>
      </w:r>
      <w:r>
        <w:rPr>
          <w:rFonts w:hint="eastAsia" w:ascii="MS UI Gothic" w:eastAsia="MS UI Gothic"/>
          <w:spacing w:val="20"/>
          <w:w w:val="80"/>
        </w:rPr>
        <w:t xml:space="preserve">ꎮ </w:t>
      </w:r>
      <w:r>
        <w:rPr>
          <w:spacing w:val="2"/>
        </w:rPr>
        <w:t>有在水文观测孔冒</w:t>
      </w:r>
      <w:r>
        <w:rPr>
          <w:spacing w:val="-23"/>
        </w:rPr>
        <w:t xml:space="preserve">水 </w:t>
      </w:r>
      <w:r>
        <w:rPr>
          <w:rFonts w:hint="eastAsia" w:ascii="MS UI Gothic" w:eastAsia="MS UI Gothic"/>
          <w:spacing w:val="8"/>
          <w:w w:val="80"/>
        </w:rPr>
        <w:t xml:space="preserve">７ </w:t>
      </w:r>
      <w:r>
        <w:rPr>
          <w:spacing w:val="3"/>
        </w:rPr>
        <w:t>天且水量正常</w:t>
      </w:r>
      <w:r>
        <w:rPr>
          <w:rFonts w:hint="eastAsia" w:ascii="MS UI Gothic" w:eastAsia="MS UI Gothic"/>
          <w:spacing w:val="10"/>
          <w:w w:val="80"/>
        </w:rPr>
        <w:t xml:space="preserve">ꎬ </w:t>
      </w:r>
      <w:r>
        <w:rPr>
          <w:spacing w:val="2"/>
        </w:rPr>
        <w:t xml:space="preserve">或者提前冒水的水文观测孔水压曲线出现明显拐点且稳定上升 </w:t>
      </w:r>
      <w:r>
        <w:rPr>
          <w:rFonts w:hint="eastAsia" w:ascii="MS UI Gothic" w:eastAsia="MS UI Gothic"/>
          <w:spacing w:val="2"/>
          <w:w w:val="80"/>
        </w:rPr>
        <w:t xml:space="preserve">７ </w:t>
      </w:r>
      <w:r>
        <w:rPr>
          <w:spacing w:val="3"/>
        </w:rPr>
        <w:t>天</w:t>
      </w:r>
      <w:r>
        <w:rPr>
          <w:rFonts w:hint="eastAsia" w:ascii="MS UI Gothic" w:eastAsia="MS UI Gothic"/>
          <w:spacing w:val="22"/>
          <w:w w:val="80"/>
        </w:rPr>
        <w:t xml:space="preserve">ꎬ </w:t>
      </w:r>
      <w:r>
        <w:rPr>
          <w:spacing w:val="3"/>
        </w:rPr>
        <w:t>确定冻结壁已交圈后</w:t>
      </w:r>
      <w:r>
        <w:rPr>
          <w:rFonts w:hint="eastAsia" w:ascii="MS UI Gothic" w:eastAsia="MS UI Gothic"/>
          <w:w w:val="80"/>
        </w:rPr>
        <w:t xml:space="preserve">ꎮ </w:t>
      </w:r>
      <w:r>
        <w:rPr>
          <w:spacing w:val="7"/>
        </w:rPr>
        <w:t>才可以进行</w:t>
      </w:r>
      <w:r>
        <w:rPr>
          <w:spacing w:val="3"/>
        </w:rPr>
        <w:t>试挖</w:t>
      </w:r>
      <w:r>
        <w:rPr>
          <w:rFonts w:hint="eastAsia" w:ascii="MS UI Gothic" w:eastAsia="MS UI Gothic"/>
          <w:spacing w:val="23"/>
          <w:w w:val="80"/>
        </w:rPr>
        <w:t xml:space="preserve">ꎮ </w:t>
      </w:r>
      <w:r>
        <w:rPr>
          <w:spacing w:val="3"/>
        </w:rPr>
        <w:t>在冻结和开凿过程中</w:t>
      </w:r>
      <w:r>
        <w:rPr>
          <w:rFonts w:hint="eastAsia" w:ascii="MS UI Gothic" w:eastAsia="MS UI Gothic"/>
          <w:spacing w:val="23"/>
          <w:w w:val="80"/>
        </w:rPr>
        <w:t xml:space="preserve">ꎬ </w:t>
      </w:r>
      <w:r>
        <w:rPr>
          <w:spacing w:val="2"/>
        </w:rPr>
        <w:t>要定期检查</w:t>
      </w:r>
      <w:r>
        <w:rPr>
          <w:spacing w:val="3"/>
        </w:rPr>
        <w:t>盐水温度和流量</w:t>
      </w:r>
      <w:r>
        <w:rPr>
          <w:rFonts w:hint="eastAsia" w:ascii="MS UI Gothic" w:eastAsia="MS UI Gothic"/>
          <w:spacing w:val="11"/>
          <w:w w:val="80"/>
        </w:rPr>
        <w:t xml:space="preserve">、 </w:t>
      </w:r>
      <w:r>
        <w:rPr>
          <w:spacing w:val="3"/>
        </w:rPr>
        <w:t>井帮温度和位移</w:t>
      </w:r>
      <w:r>
        <w:rPr>
          <w:rFonts w:hint="eastAsia" w:ascii="MS UI Gothic" w:eastAsia="MS UI Gothic"/>
          <w:spacing w:val="11"/>
          <w:w w:val="80"/>
        </w:rPr>
        <w:t xml:space="preserve">ꎬ </w:t>
      </w:r>
      <w:r>
        <w:rPr>
          <w:spacing w:val="1"/>
        </w:rPr>
        <w:t>以及</w:t>
      </w:r>
      <w:r>
        <w:rPr>
          <w:spacing w:val="3"/>
        </w:rPr>
        <w:t>井帮和工作面盐水渗漏等情况</w:t>
      </w:r>
      <w:r>
        <w:rPr>
          <w:rFonts w:hint="eastAsia" w:ascii="MS UI Gothic" w:eastAsia="MS UI Gothic"/>
          <w:spacing w:val="20"/>
          <w:w w:val="80"/>
        </w:rPr>
        <w:t xml:space="preserve">ꎮ </w:t>
      </w:r>
      <w:r>
        <w:rPr>
          <w:spacing w:val="2"/>
        </w:rPr>
        <w:t>检查应当</w:t>
      </w:r>
      <w:r>
        <w:rPr>
          <w:spacing w:val="3"/>
        </w:rPr>
        <w:t>有详细记录</w:t>
      </w:r>
      <w:r>
        <w:rPr>
          <w:rFonts w:hint="eastAsia" w:ascii="MS UI Gothic" w:eastAsia="MS UI Gothic"/>
          <w:spacing w:val="15"/>
          <w:w w:val="80"/>
        </w:rPr>
        <w:t xml:space="preserve">ꎬ </w:t>
      </w:r>
      <w:r>
        <w:rPr>
          <w:spacing w:val="3"/>
        </w:rPr>
        <w:t>发现异常</w:t>
      </w:r>
      <w:r>
        <w:rPr>
          <w:rFonts w:hint="eastAsia" w:ascii="MS UI Gothic" w:eastAsia="MS UI Gothic"/>
          <w:spacing w:val="15"/>
          <w:w w:val="80"/>
        </w:rPr>
        <w:t xml:space="preserve">ꎬ </w:t>
      </w:r>
      <w:r>
        <w:rPr>
          <w:spacing w:val="3"/>
        </w:rPr>
        <w:t>必须及时处理</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开凿冻结段采用爆破作业时</w:t>
      </w:r>
      <w:r>
        <w:rPr>
          <w:rFonts w:hint="eastAsia" w:ascii="MS UI Gothic" w:eastAsia="MS UI Gothic"/>
          <w:w w:val="80"/>
        </w:rPr>
        <w:t>ꎬ</w:t>
      </w:r>
      <w:r>
        <w:t>必须使用抗冻炸药</w:t>
      </w:r>
      <w:r>
        <w:rPr>
          <w:rFonts w:hint="eastAsia" w:ascii="MS UI Gothic" w:eastAsia="MS UI Gothic"/>
          <w:w w:val="80"/>
        </w:rPr>
        <w:t xml:space="preserve">ꎬ </w:t>
      </w:r>
      <w:r>
        <w:t>并制定专项措施</w:t>
      </w:r>
      <w:r>
        <w:rPr>
          <w:rFonts w:hint="eastAsia" w:ascii="MS UI Gothic" w:eastAsia="MS UI Gothic"/>
          <w:w w:val="80"/>
        </w:rPr>
        <w:t xml:space="preserve">ꎮ </w:t>
      </w:r>
      <w:r>
        <w:t>爆</w:t>
      </w:r>
      <w:r>
        <w:rPr>
          <w:w w:val="105"/>
        </w:rPr>
        <w:t>破技术参数应当在作业规程中明确</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掘进施工过程中</w:t>
      </w:r>
      <w:r>
        <w:rPr>
          <w:rFonts w:hint="eastAsia" w:ascii="MS UI Gothic" w:eastAsia="MS UI Gothic"/>
          <w:w w:val="80"/>
        </w:rPr>
        <w:t xml:space="preserve">ꎬ </w:t>
      </w:r>
      <w:r>
        <w:rPr>
          <w:w w:val="105"/>
        </w:rPr>
        <w:t>必须有防止冻结壁变形和片帮</w:t>
      </w:r>
      <w:r>
        <w:rPr>
          <w:rFonts w:hint="eastAsia" w:ascii="MS UI Gothic" w:eastAsia="MS UI Gothic"/>
          <w:w w:val="80"/>
        </w:rPr>
        <w:t xml:space="preserve">、 </w:t>
      </w:r>
      <w:r>
        <w:rPr>
          <w:w w:val="105"/>
        </w:rPr>
        <w:t>断管等的安全措施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九</w:t>
      </w:r>
      <w:r>
        <w:rPr>
          <w:rFonts w:hint="eastAsia" w:ascii="MS UI Gothic" w:eastAsia="MS UI Gothic"/>
          <w:w w:val="105"/>
        </w:rPr>
        <w:t xml:space="preserve">) </w:t>
      </w:r>
      <w:r>
        <w:rPr>
          <w:w w:val="105"/>
        </w:rPr>
        <w:t>生根壁座应当设在含水较少的</w:t>
      </w:r>
      <w:r>
        <w:rPr>
          <w:w w:val="110"/>
        </w:rPr>
        <w:t>稳定坚硬岩层中</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40"/>
        </w:rPr>
        <w:t xml:space="preserve">( </w:t>
      </w:r>
      <w:r>
        <w:t>十</w:t>
      </w:r>
      <w:r>
        <w:rPr>
          <w:rFonts w:hint="eastAsia" w:ascii="MS UI Gothic" w:eastAsia="MS UI Gothic"/>
          <w:w w:val="140"/>
        </w:rPr>
        <w:t xml:space="preserve">) </w:t>
      </w:r>
      <w:r>
        <w:t xml:space="preserve">冻结深度小于 </w:t>
      </w:r>
      <w:r>
        <w:rPr>
          <w:rFonts w:hint="eastAsia" w:ascii="MS UI Gothic" w:eastAsia="MS UI Gothic"/>
          <w:w w:val="85"/>
        </w:rPr>
        <w:t xml:space="preserve">３００ ｍ </w:t>
      </w:r>
      <w:r>
        <w:t>时</w:t>
      </w:r>
      <w:r>
        <w:rPr>
          <w:rFonts w:hint="eastAsia" w:ascii="MS UI Gothic" w:eastAsia="MS UI Gothic"/>
          <w:w w:val="85"/>
        </w:rPr>
        <w:t xml:space="preserve">ꎬ </w:t>
      </w:r>
      <w:r>
        <w:t>在永久井壁施工全部完成后方可停止冻结</w:t>
      </w:r>
      <w:r>
        <w:rPr>
          <w:rFonts w:hint="eastAsia" w:ascii="MS UI Gothic" w:eastAsia="MS UI Gothic"/>
          <w:w w:val="85"/>
        </w:rPr>
        <w:t xml:space="preserve">ꎻ </w:t>
      </w:r>
      <w:r>
        <w:t xml:space="preserve">冻结深度大于 </w:t>
      </w:r>
      <w:r>
        <w:rPr>
          <w:rFonts w:hint="eastAsia" w:ascii="MS UI Gothic" w:eastAsia="MS UI Gothic"/>
          <w:w w:val="85"/>
        </w:rPr>
        <w:t xml:space="preserve">３００ ｍ </w:t>
      </w:r>
      <w:r>
        <w:t>时</w:t>
      </w:r>
      <w:r>
        <w:rPr>
          <w:rFonts w:hint="eastAsia" w:ascii="MS UI Gothic" w:eastAsia="MS UI Gothic"/>
          <w:w w:val="85"/>
        </w:rPr>
        <w:t xml:space="preserve">ꎬ </w:t>
      </w:r>
      <w:r>
        <w:t>停止冻结的时间由建设</w:t>
      </w:r>
      <w:r>
        <w:rPr>
          <w:rFonts w:hint="eastAsia" w:ascii="MS UI Gothic" w:eastAsia="MS UI Gothic"/>
          <w:w w:val="85"/>
        </w:rPr>
        <w:t xml:space="preserve">、 </w:t>
      </w:r>
      <w:r>
        <w:t>冻结</w:t>
      </w:r>
      <w:r>
        <w:rPr>
          <w:rFonts w:hint="eastAsia" w:ascii="MS UI Gothic" w:eastAsia="MS UI Gothic"/>
          <w:w w:val="85"/>
        </w:rPr>
        <w:t xml:space="preserve">、 </w:t>
      </w:r>
      <w:r>
        <w:t>掘砌和监理单位根据冻结温度场观测资料共同研究确定</w:t>
      </w:r>
      <w:r>
        <w:rPr>
          <w:rFonts w:hint="eastAsia" w:ascii="MS UI Gothic" w:eastAsia="MS UI Gothic"/>
          <w:w w:val="85"/>
        </w:rPr>
        <w:t>ꎮ</w:t>
      </w:r>
    </w:p>
    <w:p>
      <w:pPr>
        <w:pStyle w:val="6"/>
        <w:spacing w:line="295" w:lineRule="auto"/>
        <w:ind w:right="39"/>
        <w:rPr>
          <w:rFonts w:hint="eastAsia" w:ascii="MS UI Gothic" w:hAnsi="MS UI Gothic" w:eastAsia="MS UI Gothic"/>
        </w:rPr>
      </w:pPr>
      <w:r>
        <w:rPr>
          <w:rFonts w:hint="eastAsia" w:ascii="MS UI Gothic" w:hAnsi="MS UI Gothic" w:eastAsia="MS UI Gothic"/>
          <w:w w:val="150"/>
        </w:rPr>
        <w:t xml:space="preserve">( </w:t>
      </w:r>
      <w:r>
        <w:t>十一</w:t>
      </w:r>
      <w:r>
        <w:rPr>
          <w:rFonts w:hint="eastAsia" w:ascii="MS UI Gothic" w:hAnsi="MS UI Gothic" w:eastAsia="MS UI Gothic"/>
          <w:w w:val="150"/>
        </w:rPr>
        <w:t xml:space="preserve">) </w:t>
      </w:r>
      <w:r>
        <w:t>冻结井筒的井壁结构应当采用双层或者复合井壁</w:t>
      </w:r>
      <w:r>
        <w:rPr>
          <w:rFonts w:hint="eastAsia" w:ascii="MS UI Gothic" w:hAnsi="MS UI Gothic" w:eastAsia="MS UI Gothic"/>
          <w:w w:val="80"/>
        </w:rPr>
        <w:t xml:space="preserve">ꎬ </w:t>
      </w:r>
      <w:r>
        <w:t>井筒冻结段施工结束后应当及时进行壁间充填注浆</w:t>
      </w:r>
      <w:r>
        <w:rPr>
          <w:rFonts w:hint="eastAsia" w:ascii="MS UI Gothic" w:hAnsi="MS UI Gothic" w:eastAsia="MS UI Gothic"/>
          <w:w w:val="80"/>
        </w:rPr>
        <w:t xml:space="preserve">ꎮ </w:t>
      </w:r>
      <w:r>
        <w:t xml:space="preserve">注浆时壁间夹层混凝土温度应当不低于 </w:t>
      </w:r>
      <w:r>
        <w:rPr>
          <w:rFonts w:hint="eastAsia" w:ascii="MS UI Gothic" w:hAnsi="MS UI Gothic" w:eastAsia="MS UI Gothic"/>
          <w:w w:val="80"/>
        </w:rPr>
        <w:t xml:space="preserve">４ </w:t>
      </w:r>
      <w:r>
        <w:rPr>
          <w:rFonts w:hint="eastAsia" w:ascii="MS UI Gothic" w:hAnsi="MS UI Gothic" w:eastAsia="MS UI Gothic"/>
        </w:rPr>
        <w:t xml:space="preserve">℃ </w:t>
      </w:r>
      <w:r>
        <w:rPr>
          <w:rFonts w:hint="eastAsia" w:ascii="MS UI Gothic" w:hAnsi="MS UI Gothic" w:eastAsia="MS UI Gothic"/>
          <w:w w:val="80"/>
        </w:rPr>
        <w:t xml:space="preserve">ꎬ </w:t>
      </w:r>
      <w:r>
        <w:t>且冻结壁仍处于封闭状态</w:t>
      </w:r>
      <w:r>
        <w:rPr>
          <w:rFonts w:hint="eastAsia" w:ascii="MS UI Gothic" w:hAnsi="MS UI Gothic" w:eastAsia="MS UI Gothic"/>
          <w:w w:val="80"/>
        </w:rPr>
        <w:t xml:space="preserve">ꎬ </w:t>
      </w:r>
      <w:r>
        <w:t>并能承受外部水静压力</w:t>
      </w:r>
      <w:r>
        <w:rPr>
          <w:rFonts w:hint="eastAsia" w:ascii="MS UI Gothic" w:hAns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十二</w:t>
      </w:r>
      <w:r>
        <w:rPr>
          <w:rFonts w:hint="eastAsia" w:ascii="MS UI Gothic" w:eastAsia="MS UI Gothic"/>
          <w:w w:val="105"/>
        </w:rPr>
        <w:t xml:space="preserve">) </w:t>
      </w:r>
      <w:r>
        <w:rPr>
          <w:w w:val="105"/>
        </w:rPr>
        <w:t>在冲积层段井壁不应预留或</w:t>
      </w:r>
      <w:r>
        <w:rPr>
          <w:w w:val="110"/>
        </w:rPr>
        <w:t>者后凿梁窝</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十三</w:t>
      </w:r>
      <w:r>
        <w:rPr>
          <w:rFonts w:hint="eastAsia" w:ascii="MS UI Gothic" w:eastAsia="MS UI Gothic"/>
          <w:w w:val="150"/>
        </w:rPr>
        <w:t xml:space="preserve">) </w:t>
      </w:r>
      <w:r>
        <w:rPr>
          <w:w w:val="105"/>
        </w:rPr>
        <w:t>当冻结孔穿过布有井下巷道</w:t>
      </w:r>
      <w:r>
        <w:t>和硐室的岩层时</w:t>
      </w:r>
      <w:r>
        <w:rPr>
          <w:rFonts w:hint="eastAsia" w:ascii="MS UI Gothic" w:eastAsia="MS UI Gothic"/>
          <w:w w:val="80"/>
        </w:rPr>
        <w:t xml:space="preserve">ꎬ </w:t>
      </w:r>
      <w:r>
        <w:t>应当采用缓凝浆液充填</w:t>
      </w:r>
      <w:r>
        <w:rPr>
          <w:w w:val="105"/>
        </w:rPr>
        <w:t>冻结孔壁与冻结管之间的环形空间</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十四</w:t>
      </w:r>
      <w:r>
        <w:rPr>
          <w:rFonts w:hint="eastAsia" w:ascii="MS UI Gothic" w:eastAsia="MS UI Gothic"/>
          <w:w w:val="150"/>
        </w:rPr>
        <w:t xml:space="preserve">) </w:t>
      </w:r>
      <w:r>
        <w:rPr>
          <w:w w:val="105"/>
        </w:rPr>
        <w:t>冻结施工结束后</w:t>
      </w:r>
      <w:r>
        <w:rPr>
          <w:rFonts w:hint="eastAsia" w:ascii="MS UI Gothic" w:eastAsia="MS UI Gothic"/>
          <w:w w:val="80"/>
        </w:rPr>
        <w:t xml:space="preserve">ꎬ </w:t>
      </w:r>
      <w:r>
        <w:rPr>
          <w:w w:val="105"/>
        </w:rPr>
        <w:t>必须及时</w:t>
      </w:r>
      <w:r>
        <w:t>用水泥砂浆或者混凝土将冻结孔全孔充满</w:t>
      </w:r>
      <w:r>
        <w:rPr>
          <w:w w:val="105"/>
        </w:rPr>
        <w:t>填实</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第四十六条 采用竖孔冻结法开凿斜</w:t>
      </w:r>
      <w:r>
        <w:rPr>
          <w:spacing w:val="3"/>
          <w:w w:val="110"/>
        </w:rPr>
        <w:t>井井筒时</w:t>
      </w:r>
      <w:r>
        <w:rPr>
          <w:rFonts w:hint="eastAsia" w:ascii="MS UI Gothic" w:eastAsia="MS UI Gothic"/>
          <w:spacing w:val="17"/>
          <w:w w:val="80"/>
        </w:rPr>
        <w:t xml:space="preserve">ꎬ </w:t>
      </w:r>
      <w:r>
        <w:rPr>
          <w:spacing w:val="3"/>
          <w:w w:val="110"/>
        </w:rPr>
        <w:t>应当遵守下列规定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4"/>
          <w:w w:val="150"/>
        </w:rPr>
        <w:t xml:space="preserve">) </w:t>
      </w:r>
      <w:r>
        <w:rPr>
          <w:spacing w:val="5"/>
          <w:w w:val="105"/>
        </w:rPr>
        <w:t>沿斜长方向冻结终端位置应当</w:t>
      </w:r>
      <w:r>
        <w:rPr>
          <w:spacing w:val="2"/>
        </w:rPr>
        <w:t>保证斜井井筒顶板位于相对稳定的隔水地</w:t>
      </w:r>
      <w:r>
        <w:rPr>
          <w:spacing w:val="-39"/>
          <w:w w:val="105"/>
        </w:rPr>
        <w:t xml:space="preserve">层 </w:t>
      </w:r>
      <w:r>
        <w:rPr>
          <w:rFonts w:hint="eastAsia" w:ascii="MS UI Gothic" w:eastAsia="MS UI Gothic"/>
          <w:spacing w:val="-5"/>
          <w:w w:val="80"/>
        </w:rPr>
        <w:t xml:space="preserve">５ </w:t>
      </w:r>
      <w:r>
        <w:rPr>
          <w:rFonts w:hint="eastAsia" w:ascii="MS UI Gothic" w:eastAsia="MS UI Gothic"/>
          <w:w w:val="80"/>
        </w:rPr>
        <w:t>ｍ</w:t>
      </w:r>
      <w:r>
        <w:rPr>
          <w:rFonts w:hint="eastAsia" w:ascii="MS UI Gothic" w:eastAsia="MS UI Gothic"/>
          <w:spacing w:val="-16"/>
          <w:w w:val="80"/>
        </w:rPr>
        <w:t xml:space="preserve"> </w:t>
      </w:r>
      <w:r>
        <w:rPr>
          <w:spacing w:val="3"/>
          <w:w w:val="105"/>
        </w:rPr>
        <w:t>以上</w:t>
      </w:r>
      <w:r>
        <w:rPr>
          <w:rFonts w:hint="eastAsia" w:ascii="MS UI Gothic" w:eastAsia="MS UI Gothic"/>
          <w:spacing w:val="6"/>
          <w:w w:val="80"/>
        </w:rPr>
        <w:t xml:space="preserve">ꎬ </w:t>
      </w:r>
      <w:r>
        <w:rPr>
          <w:spacing w:val="2"/>
          <w:w w:val="105"/>
        </w:rPr>
        <w:t>每段竖孔冻结深度应当穿过</w:t>
      </w:r>
      <w:r>
        <w:rPr>
          <w:spacing w:val="-5"/>
          <w:w w:val="105"/>
        </w:rPr>
        <w:t xml:space="preserve">斜井冻结段井筒底板 </w:t>
      </w:r>
      <w:r>
        <w:rPr>
          <w:rFonts w:hint="eastAsia" w:ascii="MS UI Gothic" w:eastAsia="MS UI Gothic"/>
          <w:spacing w:val="9"/>
          <w:w w:val="80"/>
        </w:rPr>
        <w:t xml:space="preserve">５ </w:t>
      </w:r>
      <w:r>
        <w:rPr>
          <w:rFonts w:hint="eastAsia" w:ascii="MS UI Gothic" w:eastAsia="MS UI Gothic"/>
          <w:w w:val="80"/>
        </w:rPr>
        <w:t>ｍ</w:t>
      </w:r>
      <w:r>
        <w:rPr>
          <w:rFonts w:hint="eastAsia" w:ascii="MS UI Gothic" w:eastAsia="MS UI Gothic"/>
          <w:spacing w:val="3"/>
          <w:w w:val="80"/>
        </w:rPr>
        <w:t xml:space="preserve"> </w:t>
      </w:r>
      <w:r>
        <w:rPr>
          <w:spacing w:val="3"/>
          <w:w w:val="105"/>
        </w:rPr>
        <w:t>以上</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沿斜井井筒方向掘进的工作面</w:t>
      </w:r>
      <w:r>
        <w:rPr>
          <w:rFonts w:hint="eastAsia" w:ascii="MS UI Gothic" w:eastAsia="MS UI Gothic"/>
          <w:w w:val="80"/>
        </w:rPr>
        <w:t xml:space="preserve">ꎬ </w:t>
      </w:r>
      <w:r>
        <w:rPr>
          <w:w w:val="105"/>
        </w:rPr>
        <w:t xml:space="preserve">距离每段冻结终端不得小于 </w:t>
      </w:r>
      <w:r>
        <w:rPr>
          <w:rFonts w:hint="eastAsia" w:ascii="MS UI Gothic" w:eastAsia="MS UI Gothic"/>
          <w:w w:val="80"/>
        </w:rPr>
        <w:t>５ ｍꎮ</w:t>
      </w:r>
    </w:p>
    <w:p>
      <w:pPr>
        <w:pStyle w:val="6"/>
        <w:spacing w:line="295" w:lineRule="auto"/>
        <w:ind w:right="442"/>
        <w:rPr>
          <w:rFonts w:hint="eastAsia" w:ascii="MS UI Gothic" w:eastAsia="MS UI Gothic"/>
        </w:rPr>
      </w:pPr>
      <w:r>
        <w:rPr>
          <w:rFonts w:hint="eastAsia" w:ascii="MS UI Gothic" w:eastAsia="MS UI Gothic"/>
          <w:w w:val="168"/>
        </w:rPr>
        <w:t>(</w:t>
      </w:r>
      <w:r>
        <w:rPr>
          <w:rFonts w:hint="eastAsia" w:ascii="MS UI Gothic" w:eastAsia="MS UI Gothic"/>
          <w:w w:val="75"/>
        </w:rPr>
        <w:t>３</w:t>
      </w:r>
      <w:r>
        <w:rPr>
          <w:rFonts w:hint="eastAsia" w:ascii="MS UI Gothic" w:eastAsia="MS UI Gothic"/>
          <w:w w:val="168"/>
        </w:rPr>
        <w:t>)</w:t>
      </w:r>
      <w:r>
        <w:rPr>
          <w:rFonts w:hint="eastAsia" w:ascii="MS UI Gothic" w:eastAsia="MS UI Gothic"/>
        </w:rPr>
        <w:t xml:space="preserve">  </w:t>
      </w:r>
      <w:r>
        <w:rPr>
          <w:w w:val="102"/>
        </w:rPr>
        <w:t>冻结段初次支护及永久支护距</w:t>
      </w:r>
      <w:r>
        <w:t>掘进工作面的最大距离</w:t>
      </w:r>
      <w:r>
        <w:rPr>
          <w:rFonts w:hint="eastAsia" w:ascii="MS UI Gothic" w:eastAsia="MS UI Gothic"/>
        </w:rPr>
        <w:t xml:space="preserve">、 </w:t>
      </w:r>
      <w:r>
        <w:t>掘进到永久支护完成的间隔时间必须在施工组织设计中明确</w:t>
      </w:r>
      <w:r>
        <w:rPr>
          <w:rFonts w:hint="eastAsia" w:ascii="MS UI Gothic" w:eastAsia="MS UI Gothic"/>
          <w:w w:val="90"/>
        </w:rPr>
        <w:t xml:space="preserve">ꎬ </w:t>
      </w:r>
      <w:r>
        <w:t>并制定处理冻结管和解冻后防治水的专项措施永久支护完成后</w:t>
      </w:r>
      <w:r>
        <w:rPr>
          <w:rFonts w:hint="eastAsia" w:ascii="MS UI Gothic" w:eastAsia="MS UI Gothic"/>
          <w:w w:val="90"/>
        </w:rPr>
        <w:t xml:space="preserve">ꎬ </w:t>
      </w:r>
      <w:r>
        <w:t>方可停止该段井筒冻结</w:t>
      </w:r>
      <w:r>
        <w:rPr>
          <w:rFonts w:hint="eastAsia" w:ascii="MS UI Gothic" w:eastAsia="MS UI Gothic"/>
          <w:w w:val="90"/>
        </w:rPr>
        <w:t>ꎮ</w:t>
      </w:r>
    </w:p>
    <w:p>
      <w:pPr>
        <w:pStyle w:val="6"/>
        <w:spacing w:line="295" w:lineRule="auto"/>
        <w:ind w:left="118" w:right="442" w:firstLine="425"/>
        <w:rPr>
          <w:rFonts w:hint="eastAsia" w:ascii="MS UI Gothic" w:eastAsia="MS UI Gothic"/>
        </w:rPr>
      </w:pPr>
      <w:r>
        <w:rPr>
          <w:w w:val="95"/>
        </w:rPr>
        <w:t>第四十七条   冻结站必须采用不燃性材料建筑</w:t>
      </w:r>
      <w:r>
        <w:rPr>
          <w:rFonts w:hint="eastAsia" w:ascii="MS UI Gothic" w:eastAsia="MS UI Gothic"/>
          <w:w w:val="90"/>
        </w:rPr>
        <w:t xml:space="preserve">ꎬ </w:t>
      </w:r>
      <w:r>
        <w:rPr>
          <w:w w:val="95"/>
        </w:rPr>
        <w:t>并装设通风装置</w:t>
      </w:r>
      <w:r>
        <w:rPr>
          <w:rFonts w:hint="eastAsia" w:ascii="MS UI Gothic" w:eastAsia="MS UI Gothic"/>
          <w:w w:val="90"/>
        </w:rPr>
        <w:t xml:space="preserve">ꎮ </w:t>
      </w:r>
      <w:r>
        <w:rPr>
          <w:w w:val="95"/>
        </w:rPr>
        <w:t>定期测定站内空气中的氨气浓度</w:t>
      </w:r>
      <w:r>
        <w:rPr>
          <w:rFonts w:hint="eastAsia" w:ascii="MS UI Gothic" w:eastAsia="MS UI Gothic"/>
          <w:w w:val="90"/>
        </w:rPr>
        <w:t xml:space="preserve">ꎬ   </w:t>
      </w:r>
      <w:r>
        <w:rPr>
          <w:w w:val="95"/>
        </w:rPr>
        <w:t>氨气浓度不得大于</w:t>
      </w:r>
      <w:r>
        <w:rPr>
          <w:rFonts w:hint="eastAsia" w:ascii="MS UI Gothic" w:eastAsia="MS UI Gothic"/>
          <w:w w:val="95"/>
        </w:rPr>
        <w:t>０ ００４</w:t>
      </w:r>
      <w:r>
        <w:rPr>
          <w:w w:val="95"/>
        </w:rPr>
        <w:t xml:space="preserve">％ </w:t>
      </w:r>
      <w:r>
        <w:rPr>
          <w:rFonts w:hint="eastAsia" w:ascii="MS UI Gothic" w:eastAsia="MS UI Gothic"/>
          <w:w w:val="90"/>
        </w:rPr>
        <w:t xml:space="preserve">ꎮ </w:t>
      </w:r>
      <w:r>
        <w:rPr>
          <w:w w:val="95"/>
        </w:rPr>
        <w:t>站内严禁烟火</w:t>
      </w:r>
      <w:r>
        <w:rPr>
          <w:rFonts w:hint="eastAsia" w:ascii="MS UI Gothic" w:eastAsia="MS UI Gothic"/>
          <w:w w:val="90"/>
        </w:rPr>
        <w:t xml:space="preserve">ꎬ </w:t>
      </w:r>
      <w:r>
        <w:rPr>
          <w:w w:val="95"/>
        </w:rPr>
        <w:t>必须备有急救和消防器材</w:t>
      </w:r>
      <w:r>
        <w:rPr>
          <w:rFonts w:hint="eastAsia" w:ascii="MS UI Gothic" w:eastAsia="MS UI Gothic"/>
          <w:w w:val="90"/>
        </w:rPr>
        <w:t>ꎮ</w:t>
      </w:r>
    </w:p>
    <w:p>
      <w:pPr>
        <w:pStyle w:val="6"/>
        <w:spacing w:line="295" w:lineRule="auto"/>
        <w:ind w:right="442"/>
        <w:rPr>
          <w:rFonts w:hint="eastAsia" w:ascii="MS UI Gothic" w:eastAsia="MS UI Gothic"/>
        </w:rPr>
      </w:pPr>
      <w:r>
        <w:t>制冷剂容器必须经过试验</w:t>
      </w:r>
      <w:r>
        <w:rPr>
          <w:rFonts w:hint="eastAsia" w:ascii="MS UI Gothic" w:eastAsia="MS UI Gothic"/>
          <w:w w:val="80"/>
        </w:rPr>
        <w:t xml:space="preserve">ꎬ </w:t>
      </w:r>
      <w:r>
        <w:t>合格后方可使用</w:t>
      </w:r>
      <w:r>
        <w:rPr>
          <w:rFonts w:hint="eastAsia" w:ascii="MS UI Gothic" w:eastAsia="MS UI Gothic"/>
          <w:w w:val="80"/>
        </w:rPr>
        <w:t xml:space="preserve">ꎻ </w:t>
      </w:r>
      <w:r>
        <w:t>制冷剂在运输</w:t>
      </w:r>
      <w:r>
        <w:rPr>
          <w:rFonts w:hint="eastAsia" w:ascii="MS UI Gothic" w:eastAsia="MS UI Gothic"/>
        </w:rPr>
        <w:t xml:space="preserve">、 </w:t>
      </w:r>
      <w:r>
        <w:t>使用</w:t>
      </w:r>
      <w:r>
        <w:rPr>
          <w:rFonts w:hint="eastAsia" w:ascii="MS UI Gothic" w:eastAsia="MS UI Gothic"/>
        </w:rPr>
        <w:t xml:space="preserve">、 </w:t>
      </w:r>
      <w:r>
        <w:t>充注</w:t>
      </w:r>
      <w:r>
        <w:rPr>
          <w:rFonts w:hint="eastAsia" w:ascii="MS UI Gothic" w:eastAsia="MS UI Gothic"/>
        </w:rPr>
        <w:t xml:space="preserve">、 </w:t>
      </w:r>
      <w:r>
        <w:t>回收期间</w:t>
      </w:r>
      <w:r>
        <w:rPr>
          <w:rFonts w:hint="eastAsia" w:ascii="MS UI Gothic" w:eastAsia="MS UI Gothic"/>
          <w:w w:val="80"/>
        </w:rPr>
        <w:t xml:space="preserve">ꎬ </w:t>
      </w:r>
      <w:r>
        <w:t>应当有安全技术措施</w:t>
      </w:r>
      <w:r>
        <w:rPr>
          <w:rFonts w:hint="eastAsia" w:ascii="MS UI Gothic" w:eastAsia="MS UI Gothic"/>
          <w:w w:val="80"/>
        </w:rPr>
        <w:t>ꎮ</w:t>
      </w:r>
    </w:p>
    <w:p>
      <w:pPr>
        <w:pStyle w:val="6"/>
        <w:spacing w:line="295" w:lineRule="auto"/>
        <w:ind w:right="442"/>
        <w:rPr>
          <w:rFonts w:hint="eastAsia" w:ascii="MS UI Gothic" w:eastAsia="MS UI Gothic"/>
        </w:rPr>
      </w:pPr>
      <w:r>
        <w:t>第四十八条 冬季或者用冻结法开凿井筒时</w:t>
      </w:r>
      <w:r>
        <w:rPr>
          <w:rFonts w:hint="eastAsia" w:ascii="MS UI Gothic" w:eastAsia="MS UI Gothic"/>
          <w:w w:val="80"/>
        </w:rPr>
        <w:t xml:space="preserve">ꎬ </w:t>
      </w:r>
      <w:r>
        <w:t>必须有防冻</w:t>
      </w:r>
      <w:r>
        <w:rPr>
          <w:rFonts w:hint="eastAsia" w:ascii="MS UI Gothic" w:eastAsia="MS UI Gothic"/>
          <w:w w:val="80"/>
        </w:rPr>
        <w:t xml:space="preserve">、 </w:t>
      </w:r>
      <w:r>
        <w:t>清除冰凌的措施</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第四十九条 采用装配式金属模板砌</w:t>
      </w:r>
      <w:r>
        <w:rPr>
          <w:spacing w:val="3"/>
        </w:rPr>
        <w:t>筑内壁时</w:t>
      </w:r>
      <w:r>
        <w:rPr>
          <w:rFonts w:hint="eastAsia" w:ascii="MS UI Gothic" w:eastAsia="MS UI Gothic"/>
          <w:spacing w:val="6"/>
          <w:w w:val="90"/>
        </w:rPr>
        <w:t xml:space="preserve">ꎬ </w:t>
      </w:r>
      <w:r>
        <w:rPr>
          <w:spacing w:val="2"/>
        </w:rPr>
        <w:t>应当严格控制混凝土配合比和</w:t>
      </w:r>
      <w:r>
        <w:rPr>
          <w:spacing w:val="3"/>
        </w:rPr>
        <w:t>入模温度</w:t>
      </w:r>
      <w:r>
        <w:rPr>
          <w:rFonts w:hint="eastAsia" w:ascii="MS UI Gothic" w:eastAsia="MS UI Gothic"/>
          <w:spacing w:val="22"/>
          <w:w w:val="90"/>
        </w:rPr>
        <w:t xml:space="preserve">ꎮ </w:t>
      </w:r>
      <w:r>
        <w:rPr>
          <w:spacing w:val="3"/>
        </w:rPr>
        <w:t>混凝土配合比除满足强度</w:t>
      </w:r>
      <w:r>
        <w:rPr>
          <w:rFonts w:hint="eastAsia" w:ascii="MS UI Gothic" w:eastAsia="MS UI Gothic"/>
          <w:spacing w:val="19"/>
        </w:rPr>
        <w:t xml:space="preserve">、 </w:t>
      </w:r>
      <w:r>
        <w:t>坍</w:t>
      </w:r>
      <w:r>
        <w:rPr>
          <w:spacing w:val="3"/>
        </w:rPr>
        <w:t>落度</w:t>
      </w:r>
      <w:r>
        <w:rPr>
          <w:rFonts w:hint="eastAsia" w:ascii="MS UI Gothic" w:eastAsia="MS UI Gothic"/>
          <w:spacing w:val="28"/>
        </w:rPr>
        <w:t xml:space="preserve">、 </w:t>
      </w:r>
      <w:r>
        <w:rPr>
          <w:spacing w:val="13"/>
        </w:rPr>
        <w:t>初凝时间</w:t>
      </w:r>
      <w:r>
        <w:rPr>
          <w:rFonts w:hint="eastAsia" w:ascii="MS UI Gothic" w:eastAsia="MS UI Gothic"/>
          <w:spacing w:val="4"/>
        </w:rPr>
        <w:t xml:space="preserve">、 </w:t>
      </w:r>
      <w:r>
        <w:rPr>
          <w:spacing w:val="20"/>
        </w:rPr>
        <w:t>终凝时间等设计要求</w:t>
      </w:r>
      <w:r>
        <w:rPr>
          <w:spacing w:val="3"/>
        </w:rPr>
        <w:t>外</w:t>
      </w:r>
      <w:r>
        <w:rPr>
          <w:rFonts w:hint="eastAsia" w:ascii="MS UI Gothic" w:eastAsia="MS UI Gothic"/>
          <w:spacing w:val="11"/>
          <w:w w:val="90"/>
        </w:rPr>
        <w:t xml:space="preserve">ꎬ </w:t>
      </w:r>
      <w:r>
        <w:rPr>
          <w:spacing w:val="3"/>
        </w:rPr>
        <w:t>还应当采取措施减少水化热</w:t>
      </w:r>
      <w:r>
        <w:rPr>
          <w:rFonts w:hint="eastAsia" w:ascii="MS UI Gothic" w:eastAsia="MS UI Gothic"/>
          <w:spacing w:val="11"/>
          <w:w w:val="90"/>
        </w:rPr>
        <w:t xml:space="preserve">ꎮ </w:t>
      </w:r>
      <w:r>
        <w:rPr>
          <w:spacing w:val="2"/>
        </w:rPr>
        <w:t>脱模时</w:t>
      </w:r>
      <w:r>
        <w:rPr>
          <w:spacing w:val="-7"/>
        </w:rPr>
        <w:t xml:space="preserve">混凝土强度不小于 </w:t>
      </w:r>
      <w:r>
        <w:rPr>
          <w:rFonts w:hint="eastAsia" w:ascii="MS UI Gothic" w:eastAsia="MS UI Gothic"/>
        </w:rPr>
        <w:t>０</w:t>
      </w:r>
      <w:r>
        <w:rPr>
          <w:rFonts w:hint="eastAsia" w:ascii="MS UI Gothic" w:eastAsia="MS UI Gothic"/>
          <w:spacing w:val="-11"/>
        </w:rPr>
        <w:t xml:space="preserve"> ７ ＭＰ</w:t>
      </w:r>
      <w:r>
        <w:rPr>
          <w:rFonts w:hint="eastAsia" w:ascii="MS UI Gothic" w:eastAsia="MS UI Gothic"/>
          <w:spacing w:val="4"/>
        </w:rPr>
        <w:t>ａ</w:t>
      </w:r>
      <w:r>
        <w:rPr>
          <w:rFonts w:hint="eastAsia" w:ascii="MS UI Gothic" w:eastAsia="MS UI Gothic"/>
          <w:spacing w:val="-1"/>
          <w:w w:val="90"/>
        </w:rPr>
        <w:t xml:space="preserve">ꎬ </w:t>
      </w:r>
      <w:r>
        <w:rPr>
          <w:spacing w:val="4"/>
        </w:rPr>
        <w:t>且套壁施工</w:t>
      </w:r>
      <w:r>
        <w:rPr>
          <w:spacing w:val="-14"/>
        </w:rPr>
        <w:t xml:space="preserve">速度每 </w:t>
      </w:r>
      <w:r>
        <w:rPr>
          <w:rFonts w:hint="eastAsia" w:ascii="MS UI Gothic" w:eastAsia="MS UI Gothic"/>
          <w:spacing w:val="1"/>
        </w:rPr>
        <w:t xml:space="preserve">２４ </w:t>
      </w:r>
      <w:r>
        <w:rPr>
          <w:rFonts w:hint="eastAsia" w:ascii="MS UI Gothic" w:eastAsia="MS UI Gothic"/>
        </w:rPr>
        <w:t xml:space="preserve">ｈ </w:t>
      </w:r>
      <w:r>
        <w:rPr>
          <w:spacing w:val="-10"/>
        </w:rPr>
        <w:t xml:space="preserve">不得超过 </w:t>
      </w:r>
      <w:r>
        <w:rPr>
          <w:rFonts w:hint="eastAsia" w:ascii="MS UI Gothic" w:eastAsia="MS UI Gothic"/>
        </w:rPr>
        <w:t xml:space="preserve">１２ </w:t>
      </w:r>
      <w:r>
        <w:rPr>
          <w:rFonts w:hint="eastAsia" w:ascii="MS UI Gothic" w:eastAsia="MS UI Gothic"/>
          <w:spacing w:val="4"/>
        </w:rPr>
        <w:t>ｍ</w:t>
      </w:r>
      <w:r>
        <w:rPr>
          <w:rFonts w:hint="eastAsia" w:ascii="MS UI Gothic" w:eastAsia="MS UI Gothic"/>
          <w:w w:val="90"/>
        </w:rPr>
        <w:t>ꎮ</w:t>
      </w:r>
    </w:p>
    <w:p>
      <w:pPr>
        <w:pStyle w:val="6"/>
        <w:spacing w:line="295" w:lineRule="auto"/>
        <w:ind w:right="442"/>
        <w:rPr>
          <w:rFonts w:hint="eastAsia" w:ascii="MS UI Gothic" w:eastAsia="MS UI Gothic"/>
        </w:rPr>
      </w:pPr>
      <w:r>
        <w:rPr>
          <w:w w:val="105"/>
        </w:rPr>
        <w:t>第五十条 采用钻井法开凿立井井筒</w:t>
      </w:r>
      <w:r>
        <w:rPr>
          <w:w w:val="110"/>
        </w:rPr>
        <w:t>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２４３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55" o:spid="_x0000_s1755" o:spt="203" style="height:2.15pt;width:398.25pt;" coordsize="7965,43">
            <o:lock v:ext="edit"/>
            <v:line id="_x0000_s1756" o:spid="_x0000_s1756" o:spt="20" style="position:absolute;left:0;top:39;height:0;width:7965;" stroked="t" coordsize="21600,21600">
              <v:path arrowok="t"/>
              <v:fill focussize="0,0"/>
              <v:stroke weight="0.388031496062992pt" color="#231F20"/>
              <v:imagedata o:title=""/>
              <o:lock v:ext="edit"/>
            </v:line>
            <v:line id="_x0000_s1757" o:spid="_x0000_s175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钻井设计与施工的最终位置必</w:t>
      </w:r>
      <w:r>
        <w:t>须穿过冲积层</w:t>
      </w:r>
      <w:r>
        <w:rPr>
          <w:rFonts w:hint="eastAsia" w:ascii="MS UI Gothic" w:eastAsia="MS UI Gothic"/>
          <w:w w:val="80"/>
        </w:rPr>
        <w:t xml:space="preserve">ꎬ </w:t>
      </w:r>
      <w:r>
        <w:t>并进入不透水的稳定基岩</w:t>
      </w:r>
      <w:r>
        <w:rPr>
          <w:w w:val="105"/>
        </w:rPr>
        <w:t xml:space="preserve">中 </w:t>
      </w:r>
      <w:r>
        <w:rPr>
          <w:rFonts w:hint="eastAsia" w:ascii="MS UI Gothic" w:eastAsia="MS UI Gothic"/>
          <w:w w:val="80"/>
        </w:rPr>
        <w:t xml:space="preserve">５ ｍ </w:t>
      </w:r>
      <w:r>
        <w:rPr>
          <w:w w:val="105"/>
        </w:rPr>
        <w:t>以上</w:t>
      </w:r>
      <w:r>
        <w:rPr>
          <w:rFonts w:hint="eastAsia" w:ascii="MS UI Gothic" w:eastAsia="MS UI Gothic"/>
          <w:w w:val="80"/>
        </w:rPr>
        <w:t>ꎮ</w:t>
      </w:r>
    </w:p>
    <w:p>
      <w:pPr>
        <w:pStyle w:val="6"/>
        <w:spacing w:line="295" w:lineRule="auto"/>
        <w:ind w:left="836" w:right="1" w:firstLine="23"/>
      </w:pPr>
      <w:r>
        <w:pict>
          <v:shape id="_x0000_s1758" o:spid="_x0000_s1758" o:spt="202" type="#_x0000_t202" style="position:absolute;left:0pt;margin-left:70.75pt;margin-top:12pt;height:24.35pt;width:16.35pt;mso-position-horizontal-relative:page;z-index:-27581132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85"/>
                    </w:rPr>
                    <w:t xml:space="preserve">４ </w:t>
                  </w:r>
                  <w:r>
                    <w:rPr>
                      <w:rFonts w:hint="eastAsia" w:ascii="MS UI Gothic" w:eastAsia="MS UI Gothic"/>
                      <w:spacing w:val="-20"/>
                      <w:w w:val="85"/>
                    </w:rPr>
                    <w:t>ｍ</w:t>
                  </w:r>
                </w:p>
              </w:txbxContent>
            </v:textbox>
          </v:shape>
        </w:pict>
      </w:r>
      <w:r>
        <w:rPr>
          <w:rFonts w:hint="eastAsia" w:ascii="MS UI Gothic" w:eastAsia="MS UI Gothic"/>
          <w:spacing w:val="-38"/>
          <w:w w:val="150"/>
        </w:rPr>
        <w:t xml:space="preserve">( </w:t>
      </w:r>
      <w:r>
        <w:rPr>
          <w:spacing w:val="5"/>
          <w:w w:val="105"/>
        </w:rPr>
        <w:t>二</w:t>
      </w:r>
      <w:r>
        <w:rPr>
          <w:rFonts w:hint="eastAsia" w:ascii="MS UI Gothic" w:eastAsia="MS UI Gothic"/>
          <w:spacing w:val="11"/>
          <w:w w:val="150"/>
        </w:rPr>
        <w:t xml:space="preserve">) </w:t>
      </w:r>
      <w:r>
        <w:rPr>
          <w:spacing w:val="23"/>
          <w:w w:val="105"/>
        </w:rPr>
        <w:t>钻井临时锁口深度应当大于</w:t>
      </w:r>
      <w:r>
        <w:rPr>
          <w:spacing w:val="-7"/>
          <w:w w:val="105"/>
        </w:rPr>
        <w:t xml:space="preserve">且进入稳定地层中 </w:t>
      </w:r>
      <w:r>
        <w:rPr>
          <w:rFonts w:hint="eastAsia" w:ascii="MS UI Gothic" w:eastAsia="MS UI Gothic"/>
          <w:spacing w:val="-2"/>
          <w:w w:val="80"/>
        </w:rPr>
        <w:t xml:space="preserve">３ </w:t>
      </w:r>
      <w:r>
        <w:rPr>
          <w:rFonts w:hint="eastAsia" w:ascii="MS UI Gothic" w:eastAsia="MS UI Gothic"/>
          <w:w w:val="80"/>
        </w:rPr>
        <w:t xml:space="preserve">ｍ </w:t>
      </w:r>
      <w:r>
        <w:rPr>
          <w:spacing w:val="3"/>
          <w:w w:val="105"/>
        </w:rPr>
        <w:t>以上</w:t>
      </w:r>
      <w:r>
        <w:rPr>
          <w:rFonts w:hint="eastAsia" w:ascii="MS UI Gothic" w:eastAsia="MS UI Gothic"/>
          <w:spacing w:val="9"/>
          <w:w w:val="80"/>
        </w:rPr>
        <w:t xml:space="preserve">ꎬ </w:t>
      </w:r>
      <w:r>
        <w:rPr>
          <w:spacing w:val="4"/>
          <w:w w:val="105"/>
        </w:rPr>
        <w:t>遇特殊</w:t>
      </w:r>
    </w:p>
    <w:p>
      <w:pPr>
        <w:pStyle w:val="6"/>
        <w:spacing w:line="255" w:lineRule="exact"/>
        <w:ind w:left="440" w:firstLine="0"/>
        <w:jc w:val="left"/>
        <w:rPr>
          <w:rFonts w:hint="eastAsia" w:ascii="MS UI Gothic" w:eastAsia="MS UI Gothic"/>
        </w:rPr>
      </w:pPr>
      <w:r>
        <w:t>情况应当采取专门措施</w:t>
      </w:r>
      <w:r>
        <w:rPr>
          <w:rFonts w:hint="eastAsia" w:ascii="MS UI Gothic" w:eastAsia="MS UI Gothic"/>
          <w:w w:val="80"/>
        </w:rPr>
        <w:t>ꎮ</w:t>
      </w:r>
    </w:p>
    <w:p>
      <w:pPr>
        <w:pStyle w:val="6"/>
        <w:spacing w:before="56" w:line="295" w:lineRule="auto"/>
        <w:ind w:left="440" w:right="1"/>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钻井期间</w:t>
      </w:r>
      <w:r>
        <w:rPr>
          <w:rFonts w:hint="eastAsia" w:ascii="MS UI Gothic" w:eastAsia="MS UI Gothic"/>
          <w:w w:val="80"/>
        </w:rPr>
        <w:t xml:space="preserve">ꎬ </w:t>
      </w:r>
      <w:r>
        <w:t>必须封盖井口</w:t>
      </w:r>
      <w:r>
        <w:rPr>
          <w:rFonts w:hint="eastAsia" w:ascii="MS UI Gothic" w:eastAsia="MS UI Gothic"/>
          <w:w w:val="80"/>
        </w:rPr>
        <w:t xml:space="preserve">ꎬ </w:t>
      </w:r>
      <w:r>
        <w:t>并采取可靠的防坠措施</w:t>
      </w:r>
      <w:r>
        <w:rPr>
          <w:rFonts w:hint="eastAsia" w:ascii="MS UI Gothic" w:eastAsia="MS UI Gothic"/>
          <w:w w:val="80"/>
        </w:rPr>
        <w:t xml:space="preserve">ꎻ </w:t>
      </w:r>
      <w:r>
        <w:t xml:space="preserve">钻井泥浆浆面必须高于地下静止水位 </w:t>
      </w:r>
      <w:r>
        <w:rPr>
          <w:rFonts w:hint="eastAsia" w:ascii="MS UI Gothic" w:eastAsia="MS UI Gothic"/>
          <w:w w:val="80"/>
        </w:rPr>
        <w:t xml:space="preserve">５ ｍꎬ </w:t>
      </w:r>
      <w:r>
        <w:t xml:space="preserve">且不得低于临时锁口下端 </w:t>
      </w:r>
      <w:r>
        <w:rPr>
          <w:rFonts w:hint="eastAsia" w:ascii="MS UI Gothic" w:eastAsia="MS UI Gothic"/>
          <w:w w:val="80"/>
        </w:rPr>
        <w:t xml:space="preserve">１ ｍꎻ </w:t>
      </w:r>
      <w:r>
        <w:t>井口必须安装泥浆浆面高度报警装置</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泥浆沟槽</w:t>
      </w:r>
      <w:r>
        <w:rPr>
          <w:rFonts w:hint="eastAsia" w:ascii="MS UI Gothic" w:eastAsia="MS UI Gothic"/>
          <w:w w:val="80"/>
        </w:rPr>
        <w:t xml:space="preserve">、 </w:t>
      </w:r>
      <w:r>
        <w:rPr>
          <w:w w:val="105"/>
        </w:rPr>
        <w:t>泥浆沉淀池</w:t>
      </w:r>
      <w:r>
        <w:rPr>
          <w:rFonts w:hint="eastAsia" w:ascii="MS UI Gothic" w:eastAsia="MS UI Gothic"/>
          <w:w w:val="80"/>
        </w:rPr>
        <w:t xml:space="preserve">、 </w:t>
      </w:r>
      <w:r>
        <w:rPr>
          <w:w w:val="105"/>
        </w:rPr>
        <w:t>临时</w:t>
      </w:r>
      <w:r>
        <w:t>蓄浆池均应当设置防护设施</w:t>
      </w:r>
      <w:r>
        <w:rPr>
          <w:rFonts w:hint="eastAsia" w:ascii="MS UI Gothic" w:eastAsia="MS UI Gothic"/>
          <w:w w:val="80"/>
        </w:rPr>
        <w:t xml:space="preserve">ꎮ </w:t>
      </w:r>
      <w:r>
        <w:t>泥浆的排放</w:t>
      </w:r>
      <w:r>
        <w:rPr>
          <w:w w:val="105"/>
        </w:rPr>
        <w:t>和固化应当满足环保要求</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钻井时必须及时测定井筒的偏</w:t>
      </w:r>
      <w:r>
        <w:t>斜度</w:t>
      </w:r>
      <w:r>
        <w:rPr>
          <w:rFonts w:hint="eastAsia" w:ascii="MS UI Gothic" w:eastAsia="MS UI Gothic"/>
          <w:w w:val="80"/>
        </w:rPr>
        <w:t xml:space="preserve">ꎮ </w:t>
      </w:r>
      <w:r>
        <w:t>偏斜度超过规定时</w:t>
      </w:r>
      <w:r>
        <w:rPr>
          <w:rFonts w:hint="eastAsia" w:ascii="MS UI Gothic" w:eastAsia="MS UI Gothic"/>
          <w:w w:val="80"/>
        </w:rPr>
        <w:t xml:space="preserve">ꎬ </w:t>
      </w:r>
      <w:r>
        <w:t>必须及时纠正</w:t>
      </w:r>
      <w:r>
        <w:rPr>
          <w:rFonts w:hint="eastAsia" w:ascii="MS UI Gothic" w:eastAsia="MS UI Gothic"/>
          <w:w w:val="80"/>
        </w:rPr>
        <w:t xml:space="preserve">ꎮ </w:t>
      </w:r>
      <w:r>
        <w:t>井筒偏斜度及测点的间距必须在施工</w:t>
      </w:r>
      <w:r>
        <w:rPr>
          <w:w w:val="105"/>
        </w:rPr>
        <w:t xml:space="preserve">组织设计中明确 </w:t>
      </w:r>
      <w:r>
        <w:rPr>
          <w:rFonts w:hint="eastAsia" w:ascii="MS UI Gothic" w:eastAsia="MS UI Gothic"/>
          <w:w w:val="80"/>
        </w:rPr>
        <w:t xml:space="preserve">ꎮ </w:t>
      </w:r>
      <w:r>
        <w:rPr>
          <w:w w:val="105"/>
        </w:rPr>
        <w:t>钻井完毕后</w:t>
      </w:r>
      <w:r>
        <w:rPr>
          <w:rFonts w:hint="eastAsia" w:ascii="MS UI Gothic" w:eastAsia="MS UI Gothic"/>
          <w:w w:val="80"/>
        </w:rPr>
        <w:t xml:space="preserve">ꎬ </w:t>
      </w:r>
      <w:r>
        <w:rPr>
          <w:w w:val="105"/>
        </w:rPr>
        <w:t>必须绘</w:t>
      </w:r>
      <w:r>
        <w:t>制井筒的纵横剖面图</w:t>
      </w:r>
      <w:r>
        <w:rPr>
          <w:rFonts w:hint="eastAsia" w:ascii="MS UI Gothic" w:eastAsia="MS UI Gothic"/>
          <w:w w:val="80"/>
        </w:rPr>
        <w:t xml:space="preserve">ꎬ </w:t>
      </w:r>
      <w:r>
        <w:t>井筒中心线和截面</w:t>
      </w:r>
      <w:r>
        <w:rPr>
          <w:w w:val="105"/>
        </w:rPr>
        <w:t>必须符合设计</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spacing w:val="-27"/>
          <w:w w:val="145"/>
        </w:rPr>
        <w:t xml:space="preserve">( </w:t>
      </w:r>
      <w:r>
        <w:rPr>
          <w:spacing w:val="3"/>
        </w:rPr>
        <w:t>六</w:t>
      </w:r>
      <w:r>
        <w:rPr>
          <w:rFonts w:hint="eastAsia" w:ascii="MS UI Gothic" w:eastAsia="MS UI Gothic"/>
          <w:spacing w:val="17"/>
          <w:w w:val="145"/>
        </w:rPr>
        <w:t xml:space="preserve">) </w:t>
      </w:r>
      <w:r>
        <w:rPr>
          <w:spacing w:val="5"/>
        </w:rPr>
        <w:t>井壁下沉时井壁上沿应当高出</w:t>
      </w:r>
      <w:r>
        <w:rPr>
          <w:spacing w:val="-12"/>
        </w:rPr>
        <w:t xml:space="preserve">泥浆浆面 </w:t>
      </w:r>
      <w:r>
        <w:rPr>
          <w:rFonts w:hint="eastAsia" w:ascii="MS UI Gothic" w:eastAsia="MS UI Gothic"/>
        </w:rPr>
        <w:t>１</w:t>
      </w:r>
      <w:r>
        <w:rPr>
          <w:rFonts w:hint="eastAsia" w:ascii="MS UI Gothic" w:eastAsia="MS UI Gothic"/>
          <w:spacing w:val="-14"/>
        </w:rPr>
        <w:t xml:space="preserve"> ５ </w:t>
      </w:r>
      <w:r>
        <w:rPr>
          <w:rFonts w:hint="eastAsia" w:ascii="MS UI Gothic" w:eastAsia="MS UI Gothic"/>
        </w:rPr>
        <w:t>ｍ</w:t>
      </w:r>
      <w:r>
        <w:rPr>
          <w:rFonts w:hint="eastAsia" w:ascii="MS UI Gothic" w:eastAsia="MS UI Gothic"/>
          <w:spacing w:val="-21"/>
        </w:rPr>
        <w:t xml:space="preserve"> </w:t>
      </w:r>
      <w:r>
        <w:rPr>
          <w:spacing w:val="9"/>
        </w:rPr>
        <w:t>以上</w:t>
      </w:r>
      <w:r>
        <w:rPr>
          <w:rFonts w:hint="eastAsia" w:ascii="MS UI Gothic" w:eastAsia="MS UI Gothic"/>
          <w:w w:val="80"/>
        </w:rPr>
        <w:t xml:space="preserve">ꎮ </w:t>
      </w:r>
      <w:r>
        <w:rPr>
          <w:spacing w:val="13"/>
        </w:rPr>
        <w:t>井壁对接找正时</w:t>
      </w:r>
      <w:r>
        <w:rPr>
          <w:rFonts w:hint="eastAsia" w:ascii="MS UI Gothic" w:eastAsia="MS UI Gothic"/>
          <w:w w:val="80"/>
        </w:rPr>
        <w:t>ꎬ</w:t>
      </w:r>
      <w:r>
        <w:rPr>
          <w:spacing w:val="-3"/>
        </w:rPr>
        <w:t xml:space="preserve">内吊盘工作人员不得超过 </w:t>
      </w:r>
      <w:r>
        <w:rPr>
          <w:rFonts w:hint="eastAsia" w:ascii="MS UI Gothic" w:eastAsia="MS UI Gothic"/>
          <w:spacing w:val="-2"/>
        </w:rPr>
        <w:t xml:space="preserve">４ </w:t>
      </w:r>
      <w:r>
        <w:rPr>
          <w:spacing w:val="3"/>
        </w:rPr>
        <w:t>人</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七</w:t>
      </w:r>
      <w:r>
        <w:rPr>
          <w:rFonts w:hint="eastAsia" w:ascii="MS UI Gothic" w:eastAsia="MS UI Gothic"/>
          <w:spacing w:val="9"/>
          <w:w w:val="150"/>
        </w:rPr>
        <w:t xml:space="preserve">) </w:t>
      </w:r>
      <w:r>
        <w:rPr>
          <w:spacing w:val="5"/>
          <w:w w:val="105"/>
        </w:rPr>
        <w:t>下沉井壁</w:t>
      </w:r>
      <w:r>
        <w:rPr>
          <w:rFonts w:hint="eastAsia" w:ascii="MS UI Gothic" w:eastAsia="MS UI Gothic"/>
          <w:spacing w:val="23"/>
          <w:w w:val="80"/>
        </w:rPr>
        <w:t xml:space="preserve">、 </w:t>
      </w:r>
      <w:r>
        <w:rPr>
          <w:spacing w:val="8"/>
          <w:w w:val="105"/>
        </w:rPr>
        <w:t>壁后充填及充填质</w:t>
      </w:r>
      <w:r>
        <w:rPr>
          <w:spacing w:val="3"/>
          <w:w w:val="105"/>
        </w:rPr>
        <w:t>量检查</w:t>
      </w:r>
      <w:r>
        <w:rPr>
          <w:rFonts w:hint="eastAsia" w:ascii="MS UI Gothic" w:eastAsia="MS UI Gothic"/>
          <w:spacing w:val="-5"/>
          <w:w w:val="80"/>
        </w:rPr>
        <w:t xml:space="preserve">、 </w:t>
      </w:r>
      <w:r>
        <w:rPr>
          <w:spacing w:val="2"/>
          <w:w w:val="105"/>
        </w:rPr>
        <w:t>开凿沉井井壁的底部和开掘马头</w:t>
      </w:r>
      <w:r>
        <w:rPr>
          <w:spacing w:val="3"/>
          <w:w w:val="105"/>
        </w:rPr>
        <w:t>门时</w:t>
      </w:r>
      <w:r>
        <w:rPr>
          <w:rFonts w:hint="eastAsia" w:ascii="MS UI Gothic" w:eastAsia="MS UI Gothic"/>
          <w:spacing w:val="22"/>
          <w:w w:val="80"/>
        </w:rPr>
        <w:t xml:space="preserve">ꎬ </w:t>
      </w:r>
      <w:r>
        <w:rPr>
          <w:spacing w:val="3"/>
          <w:w w:val="105"/>
        </w:rPr>
        <w:t>必须制定专项措施</w:t>
      </w:r>
      <w:r>
        <w:rPr>
          <w:rFonts w:hint="eastAsia" w:ascii="MS UI Gothic" w:eastAsia="MS UI Gothic"/>
          <w:w w:val="80"/>
        </w:rPr>
        <w:t>ꎮ</w:t>
      </w:r>
    </w:p>
    <w:p>
      <w:pPr>
        <w:pStyle w:val="6"/>
        <w:spacing w:line="292" w:lineRule="auto"/>
        <w:ind w:left="440" w:right="1"/>
        <w:rPr>
          <w:rFonts w:hint="eastAsia" w:ascii="MS UI Gothic" w:eastAsia="MS UI Gothic"/>
        </w:rPr>
      </w:pPr>
      <w:r>
        <w:rPr>
          <w:spacing w:val="4"/>
        </w:rPr>
        <w:t>第五十一条 立井井筒穿过预测涌水</w:t>
      </w:r>
      <w:r>
        <w:rPr>
          <w:spacing w:val="-1"/>
        </w:rPr>
        <w:t xml:space="preserve">量大于 </w:t>
      </w:r>
      <w:r>
        <w:rPr>
          <w:rFonts w:hint="eastAsia" w:ascii="MS UI Gothic" w:eastAsia="MS UI Gothic"/>
          <w:spacing w:val="1"/>
          <w:w w:val="80"/>
        </w:rPr>
        <w:t xml:space="preserve">１０ </w:t>
      </w:r>
      <w:r>
        <w:rPr>
          <w:rFonts w:hint="eastAsia" w:ascii="MS UI Gothic" w:eastAsia="MS UI Gothic"/>
          <w:spacing w:val="3"/>
          <w:w w:val="80"/>
        </w:rPr>
        <w:t>ｍ</w:t>
      </w:r>
      <w:r>
        <w:rPr>
          <w:rFonts w:hint="eastAsia" w:ascii="MS UI Gothic" w:eastAsia="MS UI Gothic"/>
          <w:spacing w:val="10"/>
          <w:w w:val="80"/>
          <w:position w:val="9"/>
          <w:sz w:val="12"/>
        </w:rPr>
        <w:t xml:space="preserve">３ </w:t>
      </w:r>
      <w:r>
        <w:rPr>
          <w:rFonts w:hint="eastAsia" w:ascii="MS UI Gothic" w:eastAsia="MS UI Gothic"/>
          <w:w w:val="70"/>
        </w:rPr>
        <w:t>/</w:t>
      </w:r>
      <w:r>
        <w:rPr>
          <w:rFonts w:hint="eastAsia" w:ascii="MS UI Gothic" w:eastAsia="MS UI Gothic"/>
          <w:spacing w:val="5"/>
          <w:w w:val="70"/>
        </w:rPr>
        <w:t xml:space="preserve"> </w:t>
      </w:r>
      <w:r>
        <w:rPr>
          <w:rFonts w:hint="eastAsia" w:ascii="MS UI Gothic" w:eastAsia="MS UI Gothic"/>
          <w:w w:val="80"/>
        </w:rPr>
        <w:t>ｈ</w:t>
      </w:r>
      <w:r>
        <w:rPr>
          <w:rFonts w:hint="eastAsia" w:ascii="MS UI Gothic" w:eastAsia="MS UI Gothic"/>
          <w:spacing w:val="33"/>
          <w:w w:val="80"/>
        </w:rPr>
        <w:t xml:space="preserve"> </w:t>
      </w:r>
      <w:r>
        <w:rPr>
          <w:spacing w:val="16"/>
        </w:rPr>
        <w:t>的含水岩层或者破碎带</w:t>
      </w:r>
      <w:r>
        <w:rPr>
          <w:spacing w:val="3"/>
        </w:rPr>
        <w:t>时</w:t>
      </w:r>
      <w:r>
        <w:rPr>
          <w:rFonts w:hint="eastAsia" w:ascii="MS UI Gothic" w:eastAsia="MS UI Gothic"/>
          <w:spacing w:val="21"/>
          <w:w w:val="80"/>
        </w:rPr>
        <w:t xml:space="preserve">ꎬ </w:t>
      </w:r>
      <w:r>
        <w:rPr>
          <w:spacing w:val="2"/>
        </w:rPr>
        <w:t>应当采用地面或者工作面预注浆法进</w:t>
      </w:r>
      <w:r>
        <w:rPr>
          <w:spacing w:val="3"/>
        </w:rPr>
        <w:t>行堵水或者加固</w:t>
      </w:r>
      <w:r>
        <w:rPr>
          <w:rFonts w:hint="eastAsia" w:ascii="MS UI Gothic" w:eastAsia="MS UI Gothic"/>
          <w:spacing w:val="23"/>
          <w:w w:val="80"/>
        </w:rPr>
        <w:t xml:space="preserve">ꎮ </w:t>
      </w:r>
      <w:r>
        <w:rPr>
          <w:spacing w:val="3"/>
        </w:rPr>
        <w:t>注浆前</w:t>
      </w:r>
      <w:r>
        <w:rPr>
          <w:rFonts w:hint="eastAsia" w:ascii="MS UI Gothic" w:eastAsia="MS UI Gothic"/>
          <w:spacing w:val="23"/>
          <w:w w:val="80"/>
        </w:rPr>
        <w:t xml:space="preserve">ꎬ </w:t>
      </w:r>
      <w:r>
        <w:rPr>
          <w:spacing w:val="2"/>
        </w:rPr>
        <w:t>必须编制注浆</w:t>
      </w:r>
      <w:r>
        <w:rPr>
          <w:spacing w:val="3"/>
        </w:rPr>
        <w:t>工程设计和施工组织设计</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第五十二条 采用注浆法防治井壁漏</w:t>
      </w:r>
      <w:r>
        <w:t>水时</w:t>
      </w:r>
      <w:r>
        <w:rPr>
          <w:rFonts w:hint="eastAsia" w:ascii="MS UI Gothic" w:eastAsia="MS UI Gothic"/>
          <w:w w:val="80"/>
        </w:rPr>
        <w:t xml:space="preserve">ꎬ </w:t>
      </w:r>
      <w:r>
        <w:t>应当制定专项措施并遵守下列</w:t>
      </w:r>
      <w:r>
        <w:rPr>
          <w:w w:val="110"/>
        </w:rPr>
        <w:t>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最大注浆压力必须小于井壁承</w:t>
      </w:r>
      <w:r>
        <w:rPr>
          <w:w w:val="110"/>
        </w:rPr>
        <w:t>载强度</w:t>
      </w:r>
      <w:r>
        <w:rPr>
          <w:rFonts w:hint="eastAsia" w:ascii="MS UI Gothic" w:eastAsia="MS UI Gothic"/>
          <w:w w:val="80"/>
        </w:rPr>
        <w:t>ꎮ</w:t>
      </w:r>
    </w:p>
    <w:p>
      <w:pPr>
        <w:pStyle w:val="6"/>
        <w:spacing w:line="295" w:lineRule="auto"/>
        <w:ind w:left="440" w:right="1"/>
      </w:pPr>
      <w:r>
        <w:rPr>
          <w:rFonts w:hint="eastAsia" w:ascii="MS UI Gothic" w:eastAsia="MS UI Gothic"/>
          <w:w w:val="140"/>
        </w:rPr>
        <w:t xml:space="preserve">( </w:t>
      </w:r>
      <w:r>
        <w:t>二</w:t>
      </w:r>
      <w:r>
        <w:rPr>
          <w:rFonts w:hint="eastAsia" w:ascii="MS UI Gothic" w:eastAsia="MS UI Gothic"/>
          <w:w w:val="140"/>
        </w:rPr>
        <w:t xml:space="preserve">) </w:t>
      </w:r>
      <w:r>
        <w:t>位于流砂层的井筒段</w:t>
      </w:r>
      <w:r>
        <w:rPr>
          <w:rFonts w:hint="eastAsia" w:ascii="MS UI Gothic" w:eastAsia="MS UI Gothic"/>
          <w:w w:val="85"/>
        </w:rPr>
        <w:t xml:space="preserve">ꎬ </w:t>
      </w:r>
      <w:r>
        <w:t xml:space="preserve">注浆孔深度必须小于井壁厚度 </w:t>
      </w:r>
      <w:r>
        <w:rPr>
          <w:rFonts w:hint="eastAsia" w:ascii="MS UI Gothic" w:eastAsia="MS UI Gothic"/>
          <w:w w:val="85"/>
        </w:rPr>
        <w:t xml:space="preserve">２００ ｍｍꎮ </w:t>
      </w:r>
      <w:r>
        <w:t>井筒采用双层井壁支护时</w:t>
      </w:r>
      <w:r>
        <w:rPr>
          <w:rFonts w:hint="eastAsia" w:ascii="MS UI Gothic" w:eastAsia="MS UI Gothic"/>
          <w:w w:val="85"/>
        </w:rPr>
        <w:t xml:space="preserve">ꎬ </w:t>
      </w:r>
      <w:r>
        <w:t>注浆孔应当穿过内壁</w:t>
      </w:r>
    </w:p>
    <w:p>
      <w:pPr>
        <w:pStyle w:val="6"/>
        <w:spacing w:before="124" w:line="295" w:lineRule="auto"/>
        <w:ind w:left="381" w:right="126" w:firstLine="0"/>
        <w:rPr>
          <w:rFonts w:hint="eastAsia" w:ascii="MS UI Gothic" w:eastAsia="MS UI Gothic"/>
        </w:rPr>
      </w:pPr>
      <w:r>
        <w:br w:type="column"/>
      </w:r>
      <w:r>
        <w:rPr>
          <w:w w:val="95"/>
        </w:rPr>
        <w:t xml:space="preserve">进入外壁 </w:t>
      </w:r>
      <w:r>
        <w:rPr>
          <w:rFonts w:hint="eastAsia" w:ascii="MS UI Gothic" w:eastAsia="MS UI Gothic"/>
          <w:w w:val="95"/>
        </w:rPr>
        <w:t>１００ ｍｍ</w:t>
      </w:r>
      <w:r>
        <w:rPr>
          <w:rFonts w:hint="eastAsia" w:ascii="MS UI Gothic" w:eastAsia="MS UI Gothic"/>
          <w:w w:val="90"/>
        </w:rPr>
        <w:t xml:space="preserve">ꎮ </w:t>
      </w:r>
      <w:r>
        <w:rPr>
          <w:w w:val="95"/>
        </w:rPr>
        <w:t>当井壁破裂必须采用破壁注浆时</w:t>
      </w:r>
      <w:r>
        <w:rPr>
          <w:rFonts w:hint="eastAsia" w:ascii="MS UI Gothic" w:eastAsia="MS UI Gothic"/>
          <w:w w:val="90"/>
        </w:rPr>
        <w:t xml:space="preserve">ꎬ </w:t>
      </w:r>
      <w:r>
        <w:rPr>
          <w:w w:val="95"/>
        </w:rPr>
        <w:t>必须制定专门措施</w:t>
      </w:r>
      <w:r>
        <w:rPr>
          <w:rFonts w:hint="eastAsia" w:ascii="MS UI Gothic" w:eastAsia="MS UI Gothic"/>
          <w:w w:val="9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注浆管必须固结在井壁中</w:t>
      </w:r>
      <w:r>
        <w:rPr>
          <w:rFonts w:hint="eastAsia" w:ascii="MS UI Gothic" w:eastAsia="MS UI Gothic"/>
          <w:w w:val="80"/>
        </w:rPr>
        <w:t xml:space="preserve">ꎬ </w:t>
      </w:r>
      <w:r>
        <w:t>并装有阀门</w:t>
      </w:r>
      <w:r>
        <w:rPr>
          <w:rFonts w:hint="eastAsia" w:ascii="MS UI Gothic" w:eastAsia="MS UI Gothic"/>
          <w:w w:val="80"/>
        </w:rPr>
        <w:t xml:space="preserve">ꎮ </w:t>
      </w:r>
      <w:r>
        <w:t>钻孔可能发生涌砂时</w:t>
      </w:r>
      <w:r>
        <w:rPr>
          <w:rFonts w:hint="eastAsia" w:ascii="MS UI Gothic" w:eastAsia="MS UI Gothic"/>
          <w:w w:val="80"/>
        </w:rPr>
        <w:t xml:space="preserve">ꎬ </w:t>
      </w:r>
      <w:r>
        <w:t>应当采取套管法或者其他安全措施</w:t>
      </w:r>
      <w:r>
        <w:rPr>
          <w:rFonts w:hint="eastAsia" w:ascii="MS UI Gothic" w:eastAsia="MS UI Gothic"/>
          <w:w w:val="80"/>
        </w:rPr>
        <w:t xml:space="preserve">ꎮ </w:t>
      </w:r>
      <w:r>
        <w:t>采用套管法注浆时</w:t>
      </w:r>
      <w:r>
        <w:rPr>
          <w:rFonts w:hint="eastAsia" w:ascii="MS UI Gothic" w:eastAsia="MS UI Gothic"/>
          <w:w w:val="80"/>
        </w:rPr>
        <w:t xml:space="preserve">ꎬ </w:t>
      </w:r>
      <w:r>
        <w:t>必须对套管与孔壁的固结强度进行耐压试验</w:t>
      </w:r>
      <w:r>
        <w:rPr>
          <w:rFonts w:hint="eastAsia" w:ascii="MS UI Gothic" w:eastAsia="MS UI Gothic"/>
          <w:w w:val="80"/>
        </w:rPr>
        <w:t xml:space="preserve">ꎬ </w:t>
      </w:r>
      <w:r>
        <w:t>只有达到注浆终压后才可使用</w:t>
      </w:r>
      <w:r>
        <w:rPr>
          <w:rFonts w:hint="eastAsia" w:ascii="MS UI Gothic" w:eastAsia="MS UI Gothic"/>
          <w:w w:val="80"/>
        </w:rPr>
        <w:t>ꎮ</w:t>
      </w:r>
    </w:p>
    <w:p>
      <w:pPr>
        <w:pStyle w:val="6"/>
        <w:spacing w:line="295" w:lineRule="auto"/>
        <w:ind w:left="381" w:right="124"/>
        <w:rPr>
          <w:rFonts w:hint="eastAsia" w:ascii="MS UI Gothic" w:eastAsia="MS UI Gothic"/>
        </w:rPr>
      </w:pPr>
      <w:r>
        <w:t>第五十三条 开凿或者延深立井</w:t>
      </w:r>
      <w:r>
        <w:rPr>
          <w:rFonts w:hint="eastAsia" w:ascii="MS UI Gothic" w:eastAsia="MS UI Gothic"/>
          <w:w w:val="80"/>
        </w:rPr>
        <w:t xml:space="preserve">、 </w:t>
      </w:r>
      <w:r>
        <w:t>安装井筒装备的施工组织设计中</w:t>
      </w:r>
      <w:r>
        <w:rPr>
          <w:rFonts w:hint="eastAsia" w:ascii="MS UI Gothic" w:eastAsia="MS UI Gothic"/>
          <w:w w:val="80"/>
        </w:rPr>
        <w:t xml:space="preserve">ꎬ </w:t>
      </w:r>
      <w:r>
        <w:t>必须有天轮平台</w:t>
      </w:r>
      <w:r>
        <w:rPr>
          <w:rFonts w:hint="eastAsia" w:ascii="MS UI Gothic" w:eastAsia="MS UI Gothic"/>
          <w:w w:val="80"/>
        </w:rPr>
        <w:t xml:space="preserve">、 </w:t>
      </w:r>
      <w:r>
        <w:t>翻矸平台</w:t>
      </w:r>
      <w:r>
        <w:rPr>
          <w:rFonts w:hint="eastAsia" w:ascii="MS UI Gothic" w:eastAsia="MS UI Gothic"/>
          <w:w w:val="80"/>
        </w:rPr>
        <w:t xml:space="preserve">、 </w:t>
      </w:r>
      <w:r>
        <w:t>封口盘</w:t>
      </w:r>
      <w:r>
        <w:rPr>
          <w:rFonts w:hint="eastAsia" w:ascii="MS UI Gothic" w:eastAsia="MS UI Gothic"/>
          <w:w w:val="80"/>
        </w:rPr>
        <w:t xml:space="preserve">、 </w:t>
      </w:r>
      <w:r>
        <w:t>保护盘</w:t>
      </w:r>
      <w:r>
        <w:rPr>
          <w:rFonts w:hint="eastAsia" w:ascii="MS UI Gothic" w:eastAsia="MS UI Gothic"/>
          <w:w w:val="80"/>
        </w:rPr>
        <w:t xml:space="preserve">、  </w:t>
      </w:r>
      <w:r>
        <w:t>吊盘以及凿岩</w:t>
      </w:r>
      <w:r>
        <w:rPr>
          <w:rFonts w:hint="eastAsia" w:ascii="MS UI Gothic" w:eastAsia="MS UI Gothic"/>
          <w:w w:val="80"/>
        </w:rPr>
        <w:t xml:space="preserve">、 </w:t>
      </w:r>
      <w:r>
        <w:t>抓岩</w:t>
      </w:r>
      <w:r>
        <w:rPr>
          <w:rFonts w:hint="eastAsia" w:ascii="MS UI Gothic" w:eastAsia="MS UI Gothic"/>
          <w:w w:val="80"/>
        </w:rPr>
        <w:t xml:space="preserve">、 </w:t>
      </w:r>
      <w:r>
        <w:t>出矸等设备的设置</w:t>
      </w:r>
      <w:r>
        <w:rPr>
          <w:rFonts w:hint="eastAsia" w:ascii="MS UI Gothic" w:eastAsia="MS UI Gothic"/>
          <w:w w:val="80"/>
        </w:rPr>
        <w:t>、</w:t>
      </w:r>
      <w:r>
        <w:t>运行</w:t>
      </w:r>
      <w:r>
        <w:rPr>
          <w:rFonts w:hint="eastAsia" w:ascii="MS UI Gothic" w:eastAsia="MS UI Gothic"/>
          <w:w w:val="80"/>
        </w:rPr>
        <w:t xml:space="preserve">、 </w:t>
      </w:r>
      <w:r>
        <w:t>维修的安全技术措施</w:t>
      </w:r>
      <w:r>
        <w:rPr>
          <w:rFonts w:hint="eastAsia" w:ascii="MS UI Gothic" w:eastAsia="MS UI Gothic"/>
          <w:w w:val="80"/>
        </w:rPr>
        <w:t>ꎮ</w:t>
      </w:r>
    </w:p>
    <w:p>
      <w:pPr>
        <w:pStyle w:val="6"/>
        <w:spacing w:line="295" w:lineRule="auto"/>
        <w:ind w:left="381" w:right="126"/>
        <w:rPr>
          <w:rFonts w:hint="eastAsia" w:ascii="MS UI Gothic" w:eastAsia="MS UI Gothic"/>
        </w:rPr>
      </w:pPr>
      <w:r>
        <w:t>第五十四条 延深立井井筒时</w:t>
      </w:r>
      <w:r>
        <w:rPr>
          <w:rFonts w:hint="eastAsia" w:ascii="MS UI Gothic" w:eastAsia="MS UI Gothic"/>
          <w:w w:val="80"/>
        </w:rPr>
        <w:t xml:space="preserve">ꎬ </w:t>
      </w:r>
      <w:r>
        <w:t>必须用坚固的保险盘或者留保护岩柱与上部生产水平隔开</w:t>
      </w:r>
      <w:r>
        <w:rPr>
          <w:rFonts w:hint="eastAsia" w:ascii="MS UI Gothic" w:eastAsia="MS UI Gothic"/>
          <w:w w:val="80"/>
        </w:rPr>
        <w:t xml:space="preserve">ꎮ </w:t>
      </w:r>
      <w:r>
        <w:t>只有在井筒装备完毕</w:t>
      </w:r>
      <w:r>
        <w:rPr>
          <w:rFonts w:hint="eastAsia" w:ascii="MS UI Gothic" w:eastAsia="MS UI Gothic"/>
          <w:w w:val="80"/>
        </w:rPr>
        <w:t xml:space="preserve">、 </w:t>
      </w:r>
      <w:r>
        <w:t>井筒与井底车场连接处的开凿和支护完成</w:t>
      </w:r>
      <w:r>
        <w:rPr>
          <w:rFonts w:hint="eastAsia" w:ascii="MS UI Gothic" w:eastAsia="MS UI Gothic"/>
          <w:w w:val="80"/>
        </w:rPr>
        <w:t xml:space="preserve">ꎬ </w:t>
      </w:r>
      <w:r>
        <w:t>制定安全措施后</w:t>
      </w:r>
      <w:r>
        <w:rPr>
          <w:rFonts w:hint="eastAsia" w:ascii="MS UI Gothic" w:eastAsia="MS UI Gothic"/>
          <w:w w:val="80"/>
        </w:rPr>
        <w:t xml:space="preserve">ꎬ </w:t>
      </w:r>
      <w:r>
        <w:t>方可拆除保险盘或者掘凿保护岩柱</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11"/>
          <w:w w:val="95"/>
        </w:rPr>
        <w:t>第五十五条  向井下输送混凝土时</w:t>
      </w:r>
      <w:r>
        <w:rPr>
          <w:rFonts w:hint="eastAsia" w:ascii="MS UI Gothic" w:eastAsia="MS UI Gothic"/>
          <w:w w:val="90"/>
        </w:rPr>
        <w:t>ꎬ</w:t>
      </w:r>
      <w:r>
        <w:rPr>
          <w:spacing w:val="3"/>
          <w:w w:val="95"/>
        </w:rPr>
        <w:t>必须制定安全技术措施</w:t>
      </w:r>
      <w:r>
        <w:rPr>
          <w:rFonts w:hint="eastAsia" w:ascii="MS UI Gothic" w:eastAsia="MS UI Gothic"/>
          <w:spacing w:val="11"/>
          <w:w w:val="90"/>
        </w:rPr>
        <w:t xml:space="preserve">ꎮ  </w:t>
      </w:r>
      <w:r>
        <w:rPr>
          <w:spacing w:val="2"/>
          <w:w w:val="95"/>
        </w:rPr>
        <w:t>混凝土强度等级</w:t>
      </w:r>
      <w:r>
        <w:rPr>
          <w:spacing w:val="7"/>
          <w:w w:val="95"/>
        </w:rPr>
        <w:t>大</w:t>
      </w:r>
      <w:r>
        <w:rPr>
          <w:spacing w:val="44"/>
        </w:rPr>
        <w:t>于</w:t>
      </w:r>
      <w:r>
        <w:rPr>
          <w:rFonts w:hint="eastAsia" w:ascii="MS UI Gothic" w:eastAsia="MS UI Gothic"/>
          <w:spacing w:val="-4"/>
          <w:w w:val="95"/>
        </w:rPr>
        <w:t xml:space="preserve">Ｃ４０ </w:t>
      </w:r>
      <w:r>
        <w:rPr>
          <w:spacing w:val="-6"/>
          <w:w w:val="95"/>
        </w:rPr>
        <w:t xml:space="preserve">或者输送深度大于 </w:t>
      </w:r>
      <w:r>
        <w:rPr>
          <w:rFonts w:hint="eastAsia" w:ascii="MS UI Gothic" w:eastAsia="MS UI Gothic"/>
          <w:spacing w:val="-3"/>
          <w:w w:val="95"/>
        </w:rPr>
        <w:t xml:space="preserve">４００ </w:t>
      </w:r>
      <w:r>
        <w:rPr>
          <w:rFonts w:hint="eastAsia" w:ascii="MS UI Gothic" w:eastAsia="MS UI Gothic"/>
          <w:w w:val="95"/>
        </w:rPr>
        <w:t>ｍ</w:t>
      </w:r>
      <w:r>
        <w:rPr>
          <w:rFonts w:hint="eastAsia" w:ascii="MS UI Gothic" w:eastAsia="MS UI Gothic"/>
          <w:spacing w:val="-13"/>
          <w:w w:val="95"/>
        </w:rPr>
        <w:t xml:space="preserve"> </w:t>
      </w:r>
      <w:r>
        <w:rPr>
          <w:spacing w:val="3"/>
          <w:w w:val="95"/>
        </w:rPr>
        <w:t>时</w:t>
      </w:r>
      <w:r>
        <w:rPr>
          <w:rFonts w:hint="eastAsia" w:ascii="MS UI Gothic" w:eastAsia="MS UI Gothic"/>
          <w:spacing w:val="13"/>
          <w:w w:val="90"/>
        </w:rPr>
        <w:t xml:space="preserve">ꎬ </w:t>
      </w:r>
      <w:r>
        <w:rPr>
          <w:w w:val="95"/>
        </w:rPr>
        <w:t>严</w:t>
      </w:r>
      <w:r>
        <w:rPr>
          <w:spacing w:val="3"/>
          <w:w w:val="95"/>
        </w:rPr>
        <w:t>禁采用溜灰管输送</w:t>
      </w:r>
      <w:r>
        <w:rPr>
          <w:rFonts w:hint="eastAsia" w:ascii="MS UI Gothic" w:eastAsia="MS UI Gothic"/>
          <w:w w:val="90"/>
        </w:rPr>
        <w:t>ꎮ</w:t>
      </w:r>
    </w:p>
    <w:p>
      <w:pPr>
        <w:pStyle w:val="6"/>
        <w:spacing w:line="295" w:lineRule="auto"/>
        <w:ind w:left="381" w:right="124"/>
        <w:rPr>
          <w:rFonts w:hint="eastAsia" w:ascii="MS UI Gothic" w:eastAsia="MS UI Gothic"/>
        </w:rPr>
      </w:pPr>
      <w:r>
        <w:rPr>
          <w:spacing w:val="7"/>
          <w:w w:val="115"/>
        </w:rPr>
        <w:t xml:space="preserve">第五十六条 斜井 </w:t>
      </w:r>
      <w:r>
        <w:rPr>
          <w:rFonts w:hint="eastAsia" w:ascii="MS UI Gothic" w:eastAsia="MS UI Gothic"/>
          <w:spacing w:val="-36"/>
          <w:w w:val="150"/>
        </w:rPr>
        <w:t xml:space="preserve">( </w:t>
      </w:r>
      <w:r>
        <w:rPr>
          <w:spacing w:val="21"/>
          <w:w w:val="115"/>
        </w:rPr>
        <w:t>巷</w:t>
      </w:r>
      <w:r>
        <w:rPr>
          <w:rFonts w:hint="eastAsia" w:ascii="MS UI Gothic" w:eastAsia="MS UI Gothic"/>
          <w:spacing w:val="-9"/>
          <w:w w:val="150"/>
        </w:rPr>
        <w:t xml:space="preserve">) </w:t>
      </w:r>
      <w:r>
        <w:rPr>
          <w:spacing w:val="20"/>
          <w:w w:val="115"/>
        </w:rPr>
        <w:t>施工时</w:t>
      </w:r>
      <w:r>
        <w:rPr>
          <w:rFonts w:hint="eastAsia" w:ascii="MS UI Gothic" w:eastAsia="MS UI Gothic"/>
          <w:spacing w:val="-12"/>
          <w:w w:val="80"/>
        </w:rPr>
        <w:t>ꎬ</w:t>
      </w:r>
      <w:r>
        <w:rPr>
          <w:spacing w:val="3"/>
          <w:w w:val="115"/>
        </w:rPr>
        <w:t>应当遵守下列规定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明槽开挖必须制定防治水和边</w:t>
      </w:r>
      <w:r>
        <w:rPr>
          <w:w w:val="110"/>
        </w:rPr>
        <w:t>坡防护专项措施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由明槽进入暗硐或者由表土进</w:t>
      </w:r>
      <w:r>
        <w:t>入基岩采用钻爆法施工时</w:t>
      </w:r>
      <w:r>
        <w:rPr>
          <w:rFonts w:hint="eastAsia" w:ascii="MS UI Gothic" w:eastAsia="MS UI Gothic"/>
          <w:w w:val="80"/>
        </w:rPr>
        <w:t xml:space="preserve">ꎬ </w:t>
      </w:r>
      <w:r>
        <w:t>必须制定专项</w:t>
      </w:r>
      <w:r>
        <w:rPr>
          <w:w w:val="105"/>
        </w:rPr>
        <w:t>措施</w:t>
      </w:r>
      <w:r>
        <w:rPr>
          <w:rFonts w:hint="eastAsia" w:ascii="MS UI Gothic" w:eastAsia="MS UI Gothic"/>
          <w:w w:val="80"/>
        </w:rPr>
        <w:t>ꎮ</w:t>
      </w:r>
    </w:p>
    <w:p>
      <w:pPr>
        <w:pStyle w:val="6"/>
        <w:spacing w:line="295" w:lineRule="auto"/>
        <w:ind w:left="381" w:right="124"/>
        <w:rPr>
          <w:rFonts w:hint="eastAsia" w:ascii="MS UI Gothic" w:hAnsi="MS UI Gothic" w:eastAsia="MS UI Gothic"/>
        </w:rPr>
      </w:pPr>
      <w:r>
        <w:rPr>
          <w:rFonts w:hint="eastAsia" w:ascii="MS UI Gothic" w:hAnsi="MS UI Gothic" w:eastAsia="MS UI Gothic"/>
          <w:spacing w:val="-35"/>
          <w:w w:val="140"/>
        </w:rPr>
        <w:t xml:space="preserve">( </w:t>
      </w:r>
      <w:r>
        <w:rPr>
          <w:spacing w:val="3"/>
          <w:w w:val="105"/>
        </w:rPr>
        <w:t>三</w:t>
      </w:r>
      <w:r>
        <w:rPr>
          <w:rFonts w:hint="eastAsia" w:ascii="MS UI Gothic" w:hAnsi="MS UI Gothic" w:eastAsia="MS UI Gothic"/>
          <w:spacing w:val="7"/>
          <w:w w:val="140"/>
        </w:rPr>
        <w:t xml:space="preserve">) </w:t>
      </w:r>
      <w:r>
        <w:rPr>
          <w:spacing w:val="-8"/>
          <w:w w:val="105"/>
        </w:rPr>
        <w:t xml:space="preserve">施工 </w:t>
      </w:r>
      <w:r>
        <w:rPr>
          <w:rFonts w:hint="eastAsia" w:ascii="MS UI Gothic" w:hAnsi="MS UI Gothic" w:eastAsia="MS UI Gothic"/>
          <w:spacing w:val="-6"/>
          <w:w w:val="85"/>
        </w:rPr>
        <w:t xml:space="preserve">１５° </w:t>
      </w:r>
      <w:r>
        <w:rPr>
          <w:spacing w:val="11"/>
          <w:w w:val="105"/>
        </w:rPr>
        <w:t xml:space="preserve">以上斜井 </w:t>
      </w:r>
      <w:r>
        <w:rPr>
          <w:rFonts w:hint="eastAsia" w:ascii="MS UI Gothic" w:hAnsi="MS UI Gothic" w:eastAsia="MS UI Gothic"/>
          <w:spacing w:val="-30"/>
          <w:w w:val="140"/>
        </w:rPr>
        <w:t xml:space="preserve">( </w:t>
      </w:r>
      <w:r>
        <w:rPr>
          <w:spacing w:val="17"/>
          <w:w w:val="105"/>
        </w:rPr>
        <w:t>巷</w:t>
      </w:r>
      <w:r>
        <w:rPr>
          <w:rFonts w:hint="eastAsia" w:ascii="MS UI Gothic" w:hAnsi="MS UI Gothic" w:eastAsia="MS UI Gothic"/>
          <w:spacing w:val="10"/>
          <w:w w:val="140"/>
        </w:rPr>
        <w:t xml:space="preserve">) </w:t>
      </w:r>
      <w:r>
        <w:rPr>
          <w:spacing w:val="3"/>
          <w:w w:val="105"/>
        </w:rPr>
        <w:t>时</w:t>
      </w:r>
      <w:r>
        <w:rPr>
          <w:rFonts w:hint="eastAsia" w:ascii="MS UI Gothic" w:hAnsi="MS UI Gothic" w:eastAsia="MS UI Gothic"/>
          <w:spacing w:val="-11"/>
          <w:w w:val="85"/>
        </w:rPr>
        <w:t>ꎬ</w:t>
      </w:r>
      <w:r>
        <w:rPr>
          <w:spacing w:val="3"/>
          <w:w w:val="105"/>
        </w:rPr>
        <w:t>应当制定防止设备</w:t>
      </w:r>
      <w:r>
        <w:rPr>
          <w:rFonts w:hint="eastAsia" w:ascii="MS UI Gothic" w:hAnsi="MS UI Gothic" w:eastAsia="MS UI Gothic"/>
          <w:spacing w:val="7"/>
          <w:w w:val="85"/>
        </w:rPr>
        <w:t xml:space="preserve">、 </w:t>
      </w:r>
      <w:r>
        <w:rPr>
          <w:spacing w:val="3"/>
          <w:w w:val="105"/>
        </w:rPr>
        <w:t>轨道</w:t>
      </w:r>
      <w:r>
        <w:rPr>
          <w:rFonts w:hint="eastAsia" w:ascii="MS UI Gothic" w:hAnsi="MS UI Gothic" w:eastAsia="MS UI Gothic"/>
          <w:spacing w:val="7"/>
          <w:w w:val="85"/>
        </w:rPr>
        <w:t xml:space="preserve">、 </w:t>
      </w:r>
      <w:r>
        <w:rPr>
          <w:spacing w:val="2"/>
          <w:w w:val="105"/>
        </w:rPr>
        <w:t>管路等下滑的</w:t>
      </w:r>
      <w:r>
        <w:rPr>
          <w:spacing w:val="3"/>
          <w:w w:val="105"/>
        </w:rPr>
        <w:t>专项措施</w:t>
      </w:r>
      <w:r>
        <w:rPr>
          <w:rFonts w:hint="eastAsia" w:ascii="MS UI Gothic" w:hAnsi="MS UI Gothic" w:eastAsia="MS UI Gothic"/>
          <w:w w:val="85"/>
        </w:rPr>
        <w:t>ꎮ</w:t>
      </w:r>
    </w:p>
    <w:p>
      <w:pPr>
        <w:pStyle w:val="6"/>
        <w:spacing w:line="295" w:lineRule="auto"/>
        <w:ind w:left="381" w:right="124"/>
        <w:rPr>
          <w:rFonts w:hint="eastAsia" w:ascii="MS UI Gothic" w:hAnsi="MS UI Gothic" w:eastAsia="MS UI Gothic"/>
        </w:rPr>
      </w:pPr>
      <w:r>
        <w:rPr>
          <w:rFonts w:hint="eastAsia" w:ascii="MS UI Gothic" w:hAnsi="MS UI Gothic" w:eastAsia="MS UI Gothic"/>
          <w:w w:val="140"/>
        </w:rPr>
        <w:t xml:space="preserve">( </w:t>
      </w:r>
      <w:r>
        <w:t>四</w:t>
      </w:r>
      <w:r>
        <w:rPr>
          <w:rFonts w:hint="eastAsia" w:ascii="MS UI Gothic" w:hAnsi="MS UI Gothic" w:eastAsia="MS UI Gothic"/>
          <w:w w:val="140"/>
        </w:rPr>
        <w:t xml:space="preserve">) </w:t>
      </w:r>
      <w:r>
        <w:t xml:space="preserve">由下向上施工 </w:t>
      </w:r>
      <w:r>
        <w:rPr>
          <w:rFonts w:hint="eastAsia" w:ascii="MS UI Gothic" w:hAnsi="MS UI Gothic" w:eastAsia="MS UI Gothic"/>
          <w:w w:val="85"/>
        </w:rPr>
        <w:t xml:space="preserve">２５° </w:t>
      </w:r>
      <w:r>
        <w:t>以上的斜巷时</w:t>
      </w:r>
      <w:r>
        <w:rPr>
          <w:rFonts w:hint="eastAsia" w:ascii="MS UI Gothic" w:hAnsi="MS UI Gothic" w:eastAsia="MS UI Gothic"/>
          <w:w w:val="85"/>
        </w:rPr>
        <w:t xml:space="preserve">ꎬ </w:t>
      </w:r>
      <w:r>
        <w:t xml:space="preserve">必须将溜矸 </w:t>
      </w:r>
      <w:r>
        <w:rPr>
          <w:rFonts w:hint="eastAsia" w:ascii="MS UI Gothic" w:hAnsi="MS UI Gothic" w:eastAsia="MS UI Gothic"/>
          <w:w w:val="140"/>
        </w:rPr>
        <w:t xml:space="preserve">( </w:t>
      </w:r>
      <w:r>
        <w:t>煤</w:t>
      </w:r>
      <w:r>
        <w:rPr>
          <w:rFonts w:hint="eastAsia" w:ascii="MS UI Gothic" w:hAnsi="MS UI Gothic" w:eastAsia="MS UI Gothic"/>
          <w:w w:val="140"/>
        </w:rPr>
        <w:t xml:space="preserve">) </w:t>
      </w:r>
      <w:r>
        <w:t>道与人行道分开</w:t>
      </w:r>
      <w:r>
        <w:rPr>
          <w:rFonts w:hint="eastAsia" w:ascii="MS UI Gothic" w:hAnsi="MS UI Gothic" w:eastAsia="MS UI Gothic"/>
          <w:w w:val="85"/>
        </w:rPr>
        <w:t>ꎮ</w:t>
      </w:r>
      <w:r>
        <w:t>人行道应当设扶手</w:t>
      </w:r>
      <w:r>
        <w:rPr>
          <w:rFonts w:hint="eastAsia" w:ascii="MS UI Gothic" w:hAnsi="MS UI Gothic" w:eastAsia="MS UI Gothic"/>
          <w:w w:val="85"/>
        </w:rPr>
        <w:t xml:space="preserve">、 </w:t>
      </w:r>
      <w:r>
        <w:t>梯子和信号装置</w:t>
      </w:r>
      <w:r>
        <w:rPr>
          <w:rFonts w:hint="eastAsia" w:ascii="MS UI Gothic" w:hAnsi="MS UI Gothic" w:eastAsia="MS UI Gothic"/>
          <w:w w:val="85"/>
        </w:rPr>
        <w:t xml:space="preserve">ꎮ </w:t>
      </w:r>
      <w:r>
        <w:t>斜巷与上部巷道贯通时</w:t>
      </w:r>
      <w:r>
        <w:rPr>
          <w:rFonts w:hint="eastAsia" w:ascii="MS UI Gothic" w:hAnsi="MS UI Gothic" w:eastAsia="MS UI Gothic"/>
          <w:w w:val="85"/>
        </w:rPr>
        <w:t xml:space="preserve">ꎬ </w:t>
      </w:r>
      <w:r>
        <w:t>必须有专项措施</w:t>
      </w:r>
      <w:r>
        <w:rPr>
          <w:rFonts w:hint="eastAsia" w:ascii="MS UI Gothic" w:hAnsi="MS UI Gothic" w:eastAsia="MS UI Gothic"/>
          <w:w w:val="85"/>
        </w:rPr>
        <w:t>ꎮ</w:t>
      </w:r>
    </w:p>
    <w:p>
      <w:pPr>
        <w:pStyle w:val="6"/>
        <w:spacing w:line="295" w:lineRule="auto"/>
        <w:ind w:left="381" w:right="126"/>
      </w:pPr>
      <w:r>
        <w:rPr>
          <w:w w:val="105"/>
        </w:rPr>
        <w:t>第五十七条 采用反井钻机掘凿暗立井</w:t>
      </w:r>
      <w:r>
        <w:rPr>
          <w:rFonts w:hint="eastAsia" w:ascii="MS UI Gothic" w:eastAsia="MS UI Gothic"/>
          <w:w w:val="80"/>
        </w:rPr>
        <w:t xml:space="preserve">、 </w:t>
      </w:r>
      <w:r>
        <w:rPr>
          <w:w w:val="105"/>
        </w:rPr>
        <w:t>煤仓及溜煤眼时</w:t>
      </w:r>
      <w:r>
        <w:rPr>
          <w:rFonts w:hint="eastAsia" w:ascii="MS UI Gothic" w:eastAsia="MS UI Gothic"/>
          <w:w w:val="80"/>
        </w:rPr>
        <w:t xml:space="preserve">ꎬ </w:t>
      </w:r>
      <w:r>
        <w:rPr>
          <w:w w:val="105"/>
        </w:rPr>
        <w:t>应当遵守下列</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759" o:spid="_x0000_s1759" style="position:absolute;left:0pt;margin-left:0pt;margin-top:700.1pt;height:1.75pt;width:398.25pt;mso-position-horizontal-relative:page;z-index:251953152;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２４４</w:t>
      </w:r>
    </w:p>
    <w:p>
      <w:pPr>
        <w:pStyle w:val="6"/>
        <w:spacing w:before="297" w:line="240" w:lineRule="exact"/>
        <w:ind w:firstLine="0"/>
        <w:jc w:val="left"/>
        <w:rPr>
          <w:rFonts w:hint="eastAsia" w:ascii="MS UI Gothic" w:eastAsia="MS UI Gothic"/>
        </w:rPr>
      </w:pPr>
      <w:r>
        <w:rPr>
          <w:w w:val="115"/>
        </w:rPr>
        <w:t>规定</w:t>
      </w:r>
      <w:r>
        <w:rPr>
          <w:rFonts w:hint="eastAsia" w:ascii="MS UI Gothic" w:eastAsia="MS UI Gothic"/>
          <w:w w:val="235"/>
        </w:rPr>
        <w:t>:</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434"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抓岩机应当与吊盘可靠连接</w:t>
      </w:r>
      <w:r>
        <w:rPr>
          <w:rFonts w:hint="eastAsia" w:ascii="MS UI Gothic" w:eastAsia="MS UI Gothic"/>
          <w:w w:val="80"/>
        </w:rPr>
        <w:t>ꎬ</w:t>
      </w:r>
    </w:p>
    <w:p>
      <w:pPr>
        <w:spacing w:after="0" w:line="240" w:lineRule="exact"/>
        <w:jc w:val="left"/>
        <w:rPr>
          <w:rFonts w:hint="eastAsia" w:ascii="MS UI Gothic" w:eastAsia="MS UI Gothic"/>
        </w:rPr>
        <w:sectPr>
          <w:pgSz w:w="10500" w:h="14750"/>
          <w:pgMar w:top="960" w:right="980" w:bottom="280" w:left="980" w:header="720" w:footer="720" w:gutter="0"/>
          <w:cols w:equalWidth="0" w:num="2">
            <w:col w:w="1050" w:space="1251"/>
            <w:col w:w="6239"/>
          </w:cols>
        </w:sectPr>
      </w:pPr>
    </w:p>
    <w:p>
      <w:pPr>
        <w:pStyle w:val="6"/>
        <w:spacing w:before="74" w:line="295" w:lineRule="auto"/>
        <w:ind w:right="39"/>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扩孔作业时</w:t>
      </w:r>
      <w:r>
        <w:rPr>
          <w:rFonts w:hint="eastAsia" w:ascii="MS UI Gothic" w:eastAsia="MS UI Gothic"/>
          <w:w w:val="80"/>
        </w:rPr>
        <w:t xml:space="preserve">ꎬ </w:t>
      </w:r>
      <w:r>
        <w:t>严禁人员在下方停留</w:t>
      </w:r>
      <w:r>
        <w:rPr>
          <w:rFonts w:hint="eastAsia" w:ascii="MS UI Gothic" w:eastAsia="MS UI Gothic"/>
          <w:w w:val="80"/>
        </w:rPr>
        <w:t xml:space="preserve">、 </w:t>
      </w:r>
      <w:r>
        <w:t>通行</w:t>
      </w:r>
      <w:r>
        <w:rPr>
          <w:rFonts w:hint="eastAsia" w:ascii="MS UI Gothic" w:eastAsia="MS UI Gothic"/>
          <w:w w:val="80"/>
        </w:rPr>
        <w:t xml:space="preserve">、 </w:t>
      </w:r>
      <w:r>
        <w:t>观察或者出渣</w:t>
      </w:r>
      <w:r>
        <w:rPr>
          <w:rFonts w:hint="eastAsia" w:ascii="MS UI Gothic" w:eastAsia="MS UI Gothic"/>
          <w:w w:val="80"/>
        </w:rPr>
        <w:t xml:space="preserve">ꎮ </w:t>
      </w:r>
      <w:r>
        <w:t>出渣时</w:t>
      </w:r>
      <w:r>
        <w:rPr>
          <w:rFonts w:hint="eastAsia" w:ascii="MS UI Gothic" w:eastAsia="MS UI Gothic"/>
          <w:w w:val="80"/>
        </w:rPr>
        <w:t xml:space="preserve">ꎬ </w:t>
      </w:r>
      <w:r>
        <w:t>反井钻机应当停止扩孔作业</w:t>
      </w:r>
      <w:r>
        <w:rPr>
          <w:rFonts w:hint="eastAsia" w:ascii="MS UI Gothic" w:eastAsia="MS UI Gothic"/>
          <w:w w:val="80"/>
        </w:rPr>
        <w:t xml:space="preserve">ꎮ </w:t>
      </w:r>
      <w:r>
        <w:t>更换破岩滚刀时</w:t>
      </w:r>
      <w:r>
        <w:rPr>
          <w:rFonts w:hint="eastAsia" w:ascii="MS UI Gothic" w:eastAsia="MS UI Gothic"/>
          <w:w w:val="80"/>
        </w:rPr>
        <w:t xml:space="preserve">ꎬ </w:t>
      </w:r>
      <w:r>
        <w:t>必须采取保护措施</w:t>
      </w:r>
      <w:r>
        <w:rPr>
          <w:rFonts w:hint="eastAsia" w:ascii="MS UI Gothic" w:eastAsia="MS UI Gothic"/>
          <w:w w:val="80"/>
        </w:rPr>
        <w:t>ꎮ</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严禁干钻扩孔</w:t>
      </w:r>
      <w:r>
        <w:rPr>
          <w:rFonts w:hint="eastAsia" w:ascii="MS UI Gothic" w:eastAsia="MS UI Gothic"/>
          <w:w w:val="80"/>
        </w:rPr>
        <w:t>ꎮ</w:t>
      </w:r>
    </w:p>
    <w:p>
      <w:pPr>
        <w:pStyle w:val="6"/>
        <w:spacing w:before="58"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及时清理溜矸孔内的矸石</w:t>
      </w:r>
      <w:r>
        <w:rPr>
          <w:rFonts w:hint="eastAsia" w:ascii="MS UI Gothic" w:eastAsia="MS UI Gothic"/>
          <w:w w:val="80"/>
        </w:rPr>
        <w:t xml:space="preserve">ꎬ </w:t>
      </w:r>
      <w:r>
        <w:rPr>
          <w:w w:val="105"/>
        </w:rPr>
        <w:t>防</w:t>
      </w:r>
      <w:r>
        <w:t>止堵孔</w:t>
      </w:r>
      <w:r>
        <w:rPr>
          <w:rFonts w:hint="eastAsia" w:ascii="MS UI Gothic" w:eastAsia="MS UI Gothic"/>
          <w:w w:val="80"/>
        </w:rPr>
        <w:t xml:space="preserve">ꎮ </w:t>
      </w:r>
      <w:r>
        <w:t>必须制定处理堵孔的专项措施</w:t>
      </w:r>
      <w:r>
        <w:rPr>
          <w:rFonts w:hint="eastAsia" w:ascii="MS UI Gothic" w:eastAsia="MS UI Gothic"/>
          <w:w w:val="80"/>
        </w:rPr>
        <w:t>ꎮ</w:t>
      </w:r>
      <w:r>
        <w:rPr>
          <w:w w:val="105"/>
        </w:rPr>
        <w:t>严禁站在溜矸孔的矸石上作业</w:t>
      </w:r>
      <w:r>
        <w:rPr>
          <w:rFonts w:hint="eastAsia" w:ascii="MS UI Gothic" w:eastAsia="MS UI Gothic"/>
          <w:w w:val="80"/>
        </w:rPr>
        <w:t>ꎮ</w:t>
      </w:r>
    </w:p>
    <w:p>
      <w:pPr>
        <w:pStyle w:val="6"/>
        <w:spacing w:line="254" w:lineRule="exact"/>
        <w:ind w:left="543" w:firstLine="0"/>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扩孔完毕</w:t>
      </w:r>
      <w:r>
        <w:rPr>
          <w:rFonts w:hint="eastAsia" w:ascii="MS UI Gothic" w:eastAsia="MS UI Gothic"/>
          <w:w w:val="80"/>
        </w:rPr>
        <w:t xml:space="preserve">ꎬ </w:t>
      </w:r>
      <w:r>
        <w:rPr>
          <w:w w:val="110"/>
        </w:rPr>
        <w:t>必须在上</w:t>
      </w:r>
      <w:r>
        <w:rPr>
          <w:rFonts w:hint="eastAsia" w:ascii="MS UI Gothic" w:eastAsia="MS UI Gothic"/>
          <w:w w:val="80"/>
        </w:rPr>
        <w:t xml:space="preserve">、 </w:t>
      </w:r>
      <w:r>
        <w:rPr>
          <w:w w:val="110"/>
        </w:rPr>
        <w:t>下孔口</w:t>
      </w:r>
    </w:p>
    <w:p>
      <w:pPr>
        <w:pStyle w:val="6"/>
        <w:spacing w:before="59" w:line="240" w:lineRule="exact"/>
        <w:ind w:firstLine="0"/>
        <w:rPr>
          <w:rFonts w:hint="eastAsia" w:ascii="MS UI Gothic" w:eastAsia="MS UI Gothic"/>
        </w:rPr>
      </w:pPr>
      <w:r>
        <w:t>外围设置栅栏</w:t>
      </w:r>
      <w:r>
        <w:rPr>
          <w:rFonts w:hint="eastAsia" w:ascii="MS UI Gothic" w:eastAsia="MS UI Gothic"/>
          <w:w w:val="80"/>
        </w:rPr>
        <w:t xml:space="preserve">ꎬ </w:t>
      </w:r>
      <w:r>
        <w:t>防止人员进入</w:t>
      </w:r>
      <w:r>
        <w:rPr>
          <w:rFonts w:hint="eastAsia" w:ascii="MS UI Gothic" w:eastAsia="MS UI Gothic"/>
          <w:w w:val="80"/>
        </w:rPr>
        <w:t>ꎮ</w:t>
      </w:r>
    </w:p>
    <w:p>
      <w:pPr>
        <w:pStyle w:val="6"/>
        <w:spacing w:before="74"/>
        <w:ind w:firstLine="0"/>
        <w:jc w:val="left"/>
        <w:rPr>
          <w:rFonts w:hint="eastAsia" w:ascii="MS UI Gothic" w:eastAsia="MS UI Gothic"/>
        </w:rPr>
      </w:pPr>
      <w:r>
        <w:br w:type="column"/>
      </w:r>
      <w:r>
        <w:t>并设置专用保险绳</w:t>
      </w:r>
      <w:r>
        <w:rPr>
          <w:rFonts w:hint="eastAsia" w:ascii="MS UI Gothic" w:eastAsia="MS UI Gothic"/>
          <w:w w:val="80"/>
        </w:rPr>
        <w:t>ꎮ</w:t>
      </w:r>
    </w:p>
    <w:p>
      <w:pPr>
        <w:pStyle w:val="6"/>
        <w:spacing w:before="58" w:line="295" w:lineRule="auto"/>
        <w:ind w:right="442"/>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抓岩机连接件及钢丝绳</w:t>
      </w:r>
      <w:r>
        <w:rPr>
          <w:rFonts w:hint="eastAsia" w:ascii="MS UI Gothic" w:eastAsia="MS UI Gothic"/>
          <w:w w:val="80"/>
        </w:rPr>
        <w:t xml:space="preserve">ꎬ </w:t>
      </w:r>
      <w:r>
        <w:rPr>
          <w:w w:val="105"/>
        </w:rPr>
        <w:t xml:space="preserve">在使用期间必须由专人每班检查 </w:t>
      </w:r>
      <w:r>
        <w:rPr>
          <w:rFonts w:hint="eastAsia" w:ascii="MS UI Gothic" w:eastAsia="MS UI Gothic"/>
          <w:w w:val="80"/>
        </w:rPr>
        <w:t xml:space="preserve">１ </w:t>
      </w:r>
      <w:r>
        <w:rPr>
          <w:w w:val="105"/>
        </w:rPr>
        <w:t>次</w:t>
      </w:r>
      <w:r>
        <w:rPr>
          <w:rFonts w:hint="eastAsia" w:ascii="MS UI Gothic" w:eastAsia="MS UI Gothic"/>
          <w:w w:val="80"/>
        </w:rPr>
        <w:t>ꎮ</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抓矸完毕必须将抓斗收拢并锁</w:t>
      </w:r>
      <w:r>
        <w:rPr>
          <w:w w:val="110"/>
        </w:rPr>
        <w:t>挂于机身</w:t>
      </w:r>
      <w:r>
        <w:rPr>
          <w:rFonts w:hint="eastAsia" w:ascii="MS UI Gothic" w:eastAsia="MS UI Gothic"/>
          <w:w w:val="80"/>
        </w:rPr>
        <w:t>ꎮ</w:t>
      </w:r>
    </w:p>
    <w:p>
      <w:pPr>
        <w:pStyle w:val="6"/>
        <w:tabs>
          <w:tab w:val="left" w:pos="1801"/>
        </w:tabs>
        <w:spacing w:line="295" w:lineRule="auto"/>
        <w:ind w:right="442"/>
        <w:jc w:val="left"/>
        <w:rPr>
          <w:rFonts w:hint="eastAsia" w:ascii="MS UI Gothic" w:eastAsia="MS UI Gothic"/>
        </w:rPr>
      </w:pPr>
      <w:r>
        <w:rPr>
          <w:spacing w:val="3"/>
          <w:w w:val="110"/>
        </w:rPr>
        <w:t>第六十一</w:t>
      </w:r>
      <w:r>
        <w:rPr>
          <w:w w:val="110"/>
        </w:rPr>
        <w:t>条</w:t>
      </w:r>
      <w:r>
        <w:rPr>
          <w:w w:val="110"/>
        </w:rPr>
        <w:tab/>
      </w:r>
      <w:r>
        <w:rPr>
          <w:spacing w:val="3"/>
        </w:rPr>
        <w:t>使用耙装机时</w:t>
      </w:r>
      <w:r>
        <w:rPr>
          <w:rFonts w:hint="eastAsia" w:ascii="MS UI Gothic" w:eastAsia="MS UI Gothic"/>
          <w:w w:val="80"/>
        </w:rPr>
        <w:t>ꎬ</w:t>
      </w:r>
      <w:r>
        <w:rPr>
          <w:rFonts w:hint="eastAsia" w:ascii="MS UI Gothic" w:eastAsia="MS UI Gothic"/>
          <w:spacing w:val="3"/>
          <w:w w:val="80"/>
        </w:rPr>
        <w:t xml:space="preserve"> </w:t>
      </w:r>
      <w:r>
        <w:rPr>
          <w:spacing w:val="3"/>
        </w:rPr>
        <w:t>应当</w:t>
      </w:r>
      <w:r>
        <w:t>遵</w:t>
      </w:r>
      <w:r>
        <w:rPr>
          <w:spacing w:val="3"/>
          <w:w w:val="110"/>
        </w:rPr>
        <w:t>守下列规定</w:t>
      </w:r>
      <w:r>
        <w:rPr>
          <w:rFonts w:hint="eastAsia" w:ascii="MS UI Gothic" w:eastAsia="MS UI Gothic"/>
          <w:w w:val="235"/>
        </w:rPr>
        <w:t>:</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耙装机作业时必须有照明</w:t>
      </w:r>
      <w:r>
        <w:rPr>
          <w:rFonts w:hint="eastAsia" w:ascii="MS UI Gothic" w:eastAsia="MS UI Gothic"/>
          <w:w w:val="80"/>
        </w:rPr>
        <w:t>ꎮ</w:t>
      </w:r>
    </w:p>
    <w:p>
      <w:pPr>
        <w:pStyle w:val="6"/>
        <w:spacing w:before="2" w:line="310" w:lineRule="atLeast"/>
        <w:ind w:right="442"/>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耙装机绞车的刹车装置必须完好</w:t>
      </w:r>
      <w:r>
        <w:rPr>
          <w:rFonts w:hint="eastAsia" w:ascii="MS UI Gothic" w:eastAsia="MS UI Gothic"/>
          <w:w w:val="80"/>
        </w:rPr>
        <w:t xml:space="preserve">、 </w:t>
      </w:r>
      <w:r>
        <w:rPr>
          <w:w w:val="105"/>
        </w:rPr>
        <w:t>可靠</w:t>
      </w:r>
      <w:r>
        <w:rPr>
          <w:rFonts w:hint="eastAsia" w:ascii="MS UI Gothic" w:eastAsia="MS UI Gothic"/>
          <w:w w:val="80"/>
        </w:rPr>
        <w:t>ꎮ</w:t>
      </w:r>
    </w:p>
    <w:p>
      <w:pPr>
        <w:spacing w:after="0" w:line="310" w:lineRule="atLeast"/>
        <w:jc w:val="lef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tabs>
          <w:tab w:val="left" w:pos="2003"/>
        </w:tabs>
        <w:spacing w:before="62"/>
        <w:ind w:left="543" w:firstLine="0"/>
        <w:jc w:val="left"/>
      </w:pPr>
      <w:r>
        <w:rPr>
          <w:spacing w:val="21"/>
          <w:w w:val="110"/>
        </w:rPr>
        <w:t>第</w:t>
      </w:r>
      <w:r>
        <w:rPr>
          <w:spacing w:val="36"/>
          <w:w w:val="110"/>
        </w:rPr>
        <w:t>五十八</w:t>
      </w:r>
      <w:r>
        <w:rPr>
          <w:w w:val="110"/>
        </w:rPr>
        <w:t>条</w:t>
      </w:r>
      <w:r>
        <w:rPr>
          <w:w w:val="110"/>
        </w:rPr>
        <w:tab/>
      </w:r>
      <w:r>
        <w:rPr>
          <w:spacing w:val="36"/>
          <w:w w:val="115"/>
        </w:rPr>
        <w:t>施工</w:t>
      </w:r>
      <w:r>
        <w:rPr>
          <w:w w:val="115"/>
        </w:rPr>
        <w:t>岩</w:t>
      </w:r>
      <w:r>
        <w:rPr>
          <w:spacing w:val="-31"/>
          <w:w w:val="115"/>
        </w:rPr>
        <w:t xml:space="preserve"> </w:t>
      </w:r>
      <w:r>
        <w:rPr>
          <w:rFonts w:hint="eastAsia" w:ascii="MS UI Gothic" w:eastAsia="MS UI Gothic"/>
          <w:w w:val="150"/>
        </w:rPr>
        <w:t>(</w:t>
      </w:r>
      <w:r>
        <w:rPr>
          <w:rFonts w:hint="eastAsia" w:ascii="MS UI Gothic" w:eastAsia="MS UI Gothic"/>
          <w:spacing w:val="-66"/>
          <w:w w:val="150"/>
        </w:rPr>
        <w:t xml:space="preserve"> </w:t>
      </w:r>
      <w:r>
        <w:rPr>
          <w:spacing w:val="23"/>
          <w:w w:val="115"/>
        </w:rPr>
        <w:t>煤</w:t>
      </w:r>
      <w:r>
        <w:rPr>
          <w:rFonts w:hint="eastAsia" w:ascii="MS UI Gothic" w:eastAsia="MS UI Gothic"/>
          <w:w w:val="150"/>
        </w:rPr>
        <w:t>)</w:t>
      </w:r>
      <w:r>
        <w:rPr>
          <w:rFonts w:hint="eastAsia" w:ascii="MS UI Gothic" w:eastAsia="MS UI Gothic"/>
          <w:spacing w:val="4"/>
          <w:w w:val="150"/>
        </w:rPr>
        <w:t xml:space="preserve"> </w:t>
      </w:r>
      <w:r>
        <w:rPr>
          <w:spacing w:val="38"/>
          <w:w w:val="115"/>
        </w:rPr>
        <w:t>平</w:t>
      </w:r>
      <w:r>
        <w:rPr>
          <w:w w:val="115"/>
        </w:rPr>
        <w:t>巷</w:t>
      </w:r>
    </w:p>
    <w:p>
      <w:pPr>
        <w:pStyle w:val="6"/>
        <w:spacing w:before="58"/>
        <w:ind w:firstLine="0"/>
        <w:jc w:val="left"/>
        <w:rPr>
          <w:rFonts w:hint="eastAsia" w:ascii="MS UI Gothic" w:eastAsia="MS UI Gothic"/>
        </w:rPr>
      </w:pPr>
      <w:r>
        <w:rPr>
          <w:rFonts w:hint="eastAsia" w:ascii="MS UI Gothic" w:eastAsia="MS UI Gothic"/>
          <w:w w:val="150"/>
        </w:rPr>
        <w:t xml:space="preserve">( </w:t>
      </w:r>
      <w:r>
        <w:rPr>
          <w:w w:val="115"/>
        </w:rPr>
        <w:t>硐</w:t>
      </w:r>
      <w:r>
        <w:rPr>
          <w:rFonts w:hint="eastAsia" w:ascii="MS UI Gothic" w:eastAsia="MS UI Gothic"/>
          <w:w w:val="150"/>
        </w:rPr>
        <w:t xml:space="preserve">) </w:t>
      </w:r>
      <w:r>
        <w:rPr>
          <w:w w:val="115"/>
        </w:rPr>
        <w:t>时</w:t>
      </w:r>
      <w:r>
        <w:rPr>
          <w:rFonts w:hint="eastAsia" w:ascii="MS UI Gothic" w:eastAsia="MS UI Gothic"/>
          <w:w w:val="80"/>
        </w:rPr>
        <w:t xml:space="preserve">ꎬ </w:t>
      </w:r>
      <w:r>
        <w:rPr>
          <w:w w:val="115"/>
        </w:rPr>
        <w:t>应当遵守下列规定</w:t>
      </w:r>
      <w:r>
        <w:rPr>
          <w:rFonts w:hint="eastAsia" w:ascii="MS UI Gothic" w:eastAsia="MS UI Gothic"/>
          <w:w w:val="235"/>
        </w:rPr>
        <w:t>:</w:t>
      </w:r>
    </w:p>
    <w:p>
      <w:pPr>
        <w:pStyle w:val="6"/>
        <w:spacing w:before="58" w:line="240" w:lineRule="exact"/>
        <w:ind w:left="543" w:firstLine="0"/>
        <w:jc w:val="left"/>
      </w:pPr>
      <w:r>
        <w:rPr>
          <w:rFonts w:hint="eastAsia" w:ascii="MS UI Gothic" w:eastAsia="MS UI Gothic"/>
          <w:spacing w:val="-38"/>
          <w:w w:val="135"/>
        </w:rPr>
        <w:t xml:space="preserve">( </w:t>
      </w:r>
      <w:r>
        <w:rPr>
          <w:spacing w:val="3"/>
          <w:w w:val="110"/>
        </w:rPr>
        <w:t>一</w:t>
      </w:r>
      <w:r>
        <w:rPr>
          <w:rFonts w:hint="eastAsia" w:ascii="MS UI Gothic" w:eastAsia="MS UI Gothic"/>
          <w:spacing w:val="-20"/>
          <w:w w:val="135"/>
        </w:rPr>
        <w:t xml:space="preserve">) </w:t>
      </w:r>
      <w:r>
        <w:rPr>
          <w:spacing w:val="5"/>
          <w:w w:val="110"/>
        </w:rPr>
        <w:t>掘进工作面严禁空顶作业</w:t>
      </w:r>
      <w:r>
        <w:rPr>
          <w:rFonts w:hint="eastAsia" w:ascii="MS UI Gothic" w:eastAsia="MS UI Gothic"/>
          <w:spacing w:val="-5"/>
          <w:w w:val="80"/>
        </w:rPr>
        <w:t xml:space="preserve">ꎮ </w:t>
      </w:r>
      <w:r>
        <w:rPr>
          <w:w w:val="110"/>
        </w:rPr>
        <w:t>临</w:t>
      </w:r>
    </w:p>
    <w:p>
      <w:pPr>
        <w:pStyle w:val="6"/>
        <w:spacing w:before="8" w:line="310" w:lineRule="atLeast"/>
        <w:ind w:right="442"/>
      </w:pPr>
      <w:r>
        <w:br w:type="column"/>
      </w: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耙装机必须装有封闭式金属挡</w:t>
      </w:r>
      <w:r>
        <w:rPr>
          <w:spacing w:val="3"/>
        </w:rPr>
        <w:t>绳栏和防耙斗出槽的护栏</w:t>
      </w:r>
      <w:r>
        <w:rPr>
          <w:rFonts w:hint="eastAsia" w:ascii="MS UI Gothic" w:eastAsia="MS UI Gothic"/>
          <w:spacing w:val="3"/>
          <w:w w:val="80"/>
        </w:rPr>
        <w:t xml:space="preserve">ꎻ </w:t>
      </w:r>
      <w:r>
        <w:rPr>
          <w:spacing w:val="5"/>
        </w:rPr>
        <w:t>在巷道拐弯段</w:t>
      </w:r>
      <w:r>
        <w:rPr>
          <w:spacing w:val="-21"/>
          <w:w w:val="110"/>
        </w:rPr>
        <w:t xml:space="preserve">装岩 </w:t>
      </w:r>
      <w:r>
        <w:rPr>
          <w:rFonts w:hint="eastAsia" w:ascii="MS UI Gothic" w:eastAsia="MS UI Gothic"/>
          <w:spacing w:val="-41"/>
          <w:w w:val="150"/>
        </w:rPr>
        <w:t xml:space="preserve">( </w:t>
      </w:r>
      <w:r>
        <w:rPr>
          <w:spacing w:val="11"/>
          <w:w w:val="110"/>
        </w:rPr>
        <w:t>煤</w:t>
      </w:r>
      <w:r>
        <w:rPr>
          <w:rFonts w:hint="eastAsia" w:ascii="MS UI Gothic" w:eastAsia="MS UI Gothic"/>
          <w:spacing w:val="-17"/>
          <w:w w:val="150"/>
        </w:rPr>
        <w:t xml:space="preserve">) </w:t>
      </w:r>
      <w:r>
        <w:rPr>
          <w:spacing w:val="3"/>
          <w:w w:val="110"/>
        </w:rPr>
        <w:t>时</w:t>
      </w:r>
      <w:r>
        <w:rPr>
          <w:rFonts w:hint="eastAsia" w:ascii="MS UI Gothic" w:eastAsia="MS UI Gothic"/>
          <w:w w:val="80"/>
        </w:rPr>
        <w:t xml:space="preserve">ꎬ </w:t>
      </w:r>
      <w:r>
        <w:rPr>
          <w:spacing w:val="17"/>
          <w:w w:val="110"/>
        </w:rPr>
        <w:t>必须使用可靠的双向辅</w:t>
      </w:r>
    </w:p>
    <w:p>
      <w:pPr>
        <w:spacing w:after="0" w:line="310" w:lineRule="atLeast"/>
        <w:sectPr>
          <w:type w:val="continuous"/>
          <w:pgSz w:w="10500" w:h="14750"/>
          <w:pgMar w:top="1400" w:right="980" w:bottom="280" w:left="980" w:header="720" w:footer="720" w:gutter="0"/>
          <w:cols w:equalWidth="0" w:num="2">
            <w:col w:w="3934" w:space="258"/>
            <w:col w:w="4348"/>
          </w:cols>
        </w:sectPr>
      </w:pPr>
    </w:p>
    <w:p>
      <w:pPr>
        <w:pStyle w:val="6"/>
        <w:spacing w:before="67" w:line="295" w:lineRule="auto"/>
        <w:ind w:right="39" w:firstLine="0"/>
      </w:pPr>
      <w:r>
        <w:t>时和永久支护距掘进工作面的距离</w:t>
      </w:r>
      <w:r>
        <w:rPr>
          <w:rFonts w:hint="eastAsia" w:ascii="MS UI Gothic" w:eastAsia="MS UI Gothic"/>
          <w:w w:val="80"/>
        </w:rPr>
        <w:t xml:space="preserve">ꎬ </w:t>
      </w:r>
      <w:r>
        <w:t>必须</w:t>
      </w:r>
      <w:r>
        <w:rPr>
          <w:w w:val="105"/>
        </w:rPr>
        <w:t>根据地质</w:t>
      </w:r>
      <w:r>
        <w:rPr>
          <w:rFonts w:hint="eastAsia" w:ascii="MS UI Gothic" w:eastAsia="MS UI Gothic"/>
          <w:w w:val="80"/>
        </w:rPr>
        <w:t xml:space="preserve">、 </w:t>
      </w:r>
      <w:r>
        <w:rPr>
          <w:w w:val="105"/>
        </w:rPr>
        <w:t>水文地质条件和施工工艺在作业规程中明确 并制定防止冒顶</w:t>
      </w:r>
      <w:r>
        <w:rPr>
          <w:rFonts w:hint="eastAsia" w:ascii="MS UI Gothic" w:eastAsia="MS UI Gothic"/>
          <w:w w:val="80"/>
        </w:rPr>
        <w:t xml:space="preserve">、 </w:t>
      </w:r>
      <w:r>
        <w:rPr>
          <w:w w:val="105"/>
        </w:rPr>
        <w:t>片帮的安全措施</w:t>
      </w:r>
    </w:p>
    <w:p>
      <w:pPr>
        <w:pStyle w:val="6"/>
        <w:spacing w:line="295" w:lineRule="auto"/>
        <w:ind w:right="38"/>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 xml:space="preserve">距掘进工作面 </w:t>
      </w:r>
      <w:r>
        <w:rPr>
          <w:rFonts w:hint="eastAsia" w:ascii="MS UI Gothic" w:eastAsia="MS UI Gothic"/>
          <w:w w:val="80"/>
        </w:rPr>
        <w:t xml:space="preserve">１０ ｍ </w:t>
      </w:r>
      <w:r>
        <w:t>内的架棚支护</w:t>
      </w:r>
      <w:r>
        <w:rPr>
          <w:rFonts w:hint="eastAsia" w:ascii="MS UI Gothic" w:eastAsia="MS UI Gothic"/>
          <w:w w:val="80"/>
        </w:rPr>
        <w:t xml:space="preserve">ꎬ </w:t>
      </w:r>
      <w:r>
        <w:t>在爆破前必须加固</w:t>
      </w:r>
      <w:r>
        <w:rPr>
          <w:rFonts w:hint="eastAsia" w:ascii="MS UI Gothic" w:eastAsia="MS UI Gothic"/>
          <w:w w:val="80"/>
        </w:rPr>
        <w:t xml:space="preserve">ꎮ </w:t>
      </w:r>
      <w:r>
        <w:t>对爆破崩倒</w:t>
      </w:r>
      <w:r>
        <w:rPr>
          <w:rFonts w:hint="eastAsia" w:ascii="MS UI Gothic" w:eastAsia="MS UI Gothic"/>
          <w:w w:val="80"/>
        </w:rPr>
        <w:t>、</w:t>
      </w:r>
      <w:r>
        <w:t>崩坏的支架必须先行修复</w:t>
      </w:r>
      <w:r>
        <w:rPr>
          <w:rFonts w:hint="eastAsia" w:ascii="MS UI Gothic" w:eastAsia="MS UI Gothic"/>
          <w:w w:val="80"/>
        </w:rPr>
        <w:t xml:space="preserve">ꎬ </w:t>
      </w:r>
      <w:r>
        <w:t>之后方可进入工作面作业</w:t>
      </w:r>
      <w:r>
        <w:rPr>
          <w:rFonts w:hint="eastAsia" w:ascii="MS UI Gothic" w:eastAsia="MS UI Gothic"/>
          <w:w w:val="80"/>
        </w:rPr>
        <w:t xml:space="preserve">ꎮ </w:t>
      </w:r>
      <w:r>
        <w:t>修复支架时必须先检查顶</w:t>
      </w:r>
      <w:r>
        <w:rPr>
          <w:rFonts w:hint="eastAsia" w:ascii="MS UI Gothic" w:eastAsia="MS UI Gothic"/>
          <w:w w:val="80"/>
        </w:rPr>
        <w:t>、</w:t>
      </w:r>
      <w:r>
        <w:t>帮</w:t>
      </w:r>
      <w:r>
        <w:rPr>
          <w:rFonts w:hint="eastAsia" w:ascii="MS UI Gothic" w:eastAsia="MS UI Gothic"/>
          <w:w w:val="80"/>
        </w:rPr>
        <w:t xml:space="preserve">ꎬ </w:t>
      </w:r>
      <w:r>
        <w:t>并由外向里逐架进行</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10"/>
        </w:rPr>
        <w:t>三</w:t>
      </w:r>
      <w:r>
        <w:rPr>
          <w:rFonts w:hint="eastAsia" w:ascii="MS UI Gothic" w:eastAsia="MS UI Gothic"/>
          <w:spacing w:val="3"/>
          <w:w w:val="150"/>
        </w:rPr>
        <w:t xml:space="preserve">) </w:t>
      </w:r>
      <w:r>
        <w:rPr>
          <w:spacing w:val="-1"/>
          <w:w w:val="110"/>
        </w:rPr>
        <w:t xml:space="preserve">在松软的煤 </w:t>
      </w:r>
      <w:r>
        <w:rPr>
          <w:rFonts w:hint="eastAsia" w:ascii="MS UI Gothic" w:eastAsia="MS UI Gothic"/>
          <w:spacing w:val="-37"/>
          <w:w w:val="150"/>
        </w:rPr>
        <w:t xml:space="preserve">( </w:t>
      </w:r>
      <w:r>
        <w:rPr>
          <w:spacing w:val="5"/>
          <w:w w:val="110"/>
        </w:rPr>
        <w:t>岩</w:t>
      </w:r>
      <w:r>
        <w:rPr>
          <w:rFonts w:hint="eastAsia" w:ascii="MS UI Gothic" w:eastAsia="MS UI Gothic"/>
          <w:spacing w:val="4"/>
          <w:w w:val="150"/>
        </w:rPr>
        <w:t xml:space="preserve">) </w:t>
      </w:r>
      <w:r>
        <w:rPr>
          <w:spacing w:val="3"/>
          <w:w w:val="110"/>
        </w:rPr>
        <w:t>层</w:t>
      </w:r>
      <w:r>
        <w:rPr>
          <w:rFonts w:hint="eastAsia" w:ascii="MS UI Gothic" w:eastAsia="MS UI Gothic"/>
          <w:spacing w:val="18"/>
          <w:w w:val="80"/>
        </w:rPr>
        <w:t xml:space="preserve">、 </w:t>
      </w:r>
      <w:r>
        <w:rPr>
          <w:spacing w:val="4"/>
          <w:w w:val="110"/>
        </w:rPr>
        <w:t>流砂性</w:t>
      </w:r>
      <w:r>
        <w:rPr>
          <w:spacing w:val="3"/>
        </w:rPr>
        <w:t>地层或者破碎带中掘进巷道时</w:t>
      </w:r>
      <w:r>
        <w:rPr>
          <w:rFonts w:hint="eastAsia" w:ascii="MS UI Gothic" w:eastAsia="MS UI Gothic"/>
          <w:spacing w:val="21"/>
          <w:w w:val="80"/>
        </w:rPr>
        <w:t xml:space="preserve">ꎬ </w:t>
      </w:r>
      <w:r>
        <w:rPr>
          <w:spacing w:val="2"/>
        </w:rPr>
        <w:t>必须采取</w:t>
      </w:r>
      <w:r>
        <w:rPr>
          <w:spacing w:val="3"/>
          <w:w w:val="110"/>
        </w:rPr>
        <w:t>超前支护或者其他措施</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第五十九条 使用伞钻时</w:t>
      </w:r>
      <w:r>
        <w:rPr>
          <w:rFonts w:hint="eastAsia" w:ascii="MS UI Gothic" w:eastAsia="MS UI Gothic"/>
          <w:w w:val="80"/>
        </w:rPr>
        <w:t xml:space="preserve">ꎬ </w:t>
      </w:r>
      <w:r>
        <w:rPr>
          <w:w w:val="105"/>
        </w:rPr>
        <w:t>应当遵守</w:t>
      </w:r>
      <w:r>
        <w:rPr>
          <w:w w:val="110"/>
        </w:rPr>
        <w:t>下列规定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井口伞钻悬吊装置</w:t>
      </w:r>
      <w:r>
        <w:rPr>
          <w:rFonts w:hint="eastAsia" w:ascii="MS UI Gothic" w:eastAsia="MS UI Gothic"/>
          <w:w w:val="80"/>
        </w:rPr>
        <w:t xml:space="preserve">、  </w:t>
      </w:r>
      <w:r>
        <w:rPr>
          <w:w w:val="105"/>
        </w:rPr>
        <w:t>导轨梁等</w:t>
      </w:r>
      <w:r>
        <w:t>设施的强度及布置</w:t>
      </w:r>
      <w:r>
        <w:rPr>
          <w:rFonts w:hint="eastAsia" w:ascii="MS UI Gothic" w:eastAsia="MS UI Gothic"/>
          <w:w w:val="80"/>
        </w:rPr>
        <w:t xml:space="preserve">ꎬ </w:t>
      </w:r>
      <w:r>
        <w:t>必须在施工组织设计</w:t>
      </w:r>
      <w:r>
        <w:rPr>
          <w:w w:val="105"/>
        </w:rPr>
        <w:t>中验算和明确</w:t>
      </w:r>
      <w:r>
        <w:rPr>
          <w:rFonts w:hint="eastAsia" w:ascii="MS UI Gothic" w:eastAsia="MS UI Gothic"/>
          <w:w w:val="80"/>
        </w:rPr>
        <w:t>ꎮ</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伞钻摘挂钩必须由专人负责</w:t>
      </w:r>
      <w:r>
        <w:rPr>
          <w:rFonts w:hint="eastAsia" w:ascii="MS UI Gothic" w:eastAsia="MS UI Gothic"/>
          <w:w w:val="80"/>
        </w:rPr>
        <w:t>ꎮ</w:t>
      </w:r>
    </w:p>
    <w:p>
      <w:pPr>
        <w:pStyle w:val="6"/>
        <w:spacing w:before="47"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伞钻在井筒中运输时必须收拢</w:t>
      </w:r>
      <w:r>
        <w:t>绑扎</w:t>
      </w:r>
      <w:r>
        <w:rPr>
          <w:rFonts w:hint="eastAsia" w:ascii="MS UI Gothic" w:eastAsia="MS UI Gothic"/>
          <w:w w:val="80"/>
        </w:rPr>
        <w:t xml:space="preserve">ꎬ </w:t>
      </w:r>
      <w:r>
        <w:t>通过各施工盘口时必须减速并由专</w:t>
      </w:r>
      <w:r>
        <w:rPr>
          <w:w w:val="105"/>
        </w:rPr>
        <w:t>人监视</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伞钻支撑完成前不得脱开悬吊钢丝绳</w:t>
      </w:r>
      <w:r>
        <w:rPr>
          <w:rFonts w:hint="eastAsia" w:ascii="MS UI Gothic" w:eastAsia="MS UI Gothic"/>
          <w:w w:val="80"/>
        </w:rPr>
        <w:t xml:space="preserve">ꎬ </w:t>
      </w:r>
      <w:r>
        <w:rPr>
          <w:w w:val="105"/>
        </w:rPr>
        <w:t>使用期间必须设置保险绳</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第六十条 使用抓岩机时</w:t>
      </w:r>
      <w:r>
        <w:rPr>
          <w:rFonts w:hint="eastAsia" w:ascii="MS UI Gothic" w:eastAsia="MS UI Gothic"/>
          <w:w w:val="80"/>
        </w:rPr>
        <w:t xml:space="preserve">ꎬ </w:t>
      </w:r>
      <w:r>
        <w:rPr>
          <w:w w:val="105"/>
        </w:rPr>
        <w:t>应当遵守</w:t>
      </w:r>
      <w:r>
        <w:rPr>
          <w:w w:val="110"/>
        </w:rPr>
        <w:t>下列规定</w:t>
      </w:r>
      <w:r>
        <w:rPr>
          <w:rFonts w:hint="eastAsia" w:ascii="MS UI Gothic" w:eastAsia="MS UI Gothic"/>
          <w:w w:val="235"/>
        </w:rPr>
        <w:t>:</w:t>
      </w:r>
    </w:p>
    <w:p>
      <w:pPr>
        <w:pStyle w:val="6"/>
        <w:spacing w:before="67" w:line="295" w:lineRule="auto"/>
        <w:ind w:right="442" w:firstLine="0"/>
        <w:rPr>
          <w:rFonts w:hint="eastAsia" w:ascii="MS UI Gothic" w:eastAsia="MS UI Gothic"/>
        </w:rPr>
      </w:pPr>
      <w:r>
        <w:br w:type="column"/>
      </w:r>
      <w:r>
        <w:t>助导向轮</w:t>
      </w:r>
      <w:r>
        <w:rPr>
          <w:rFonts w:hint="eastAsia" w:ascii="MS UI Gothic" w:eastAsia="MS UI Gothic"/>
          <w:w w:val="80"/>
        </w:rPr>
        <w:t xml:space="preserve">ꎬ </w:t>
      </w:r>
      <w:r>
        <w:t>清理好机道</w:t>
      </w:r>
      <w:r>
        <w:rPr>
          <w:rFonts w:hint="eastAsia" w:ascii="MS UI Gothic" w:eastAsia="MS UI Gothic"/>
          <w:w w:val="80"/>
        </w:rPr>
        <w:t xml:space="preserve">ꎬ </w:t>
      </w:r>
      <w:r>
        <w:t>并有专人指挥和信号联系</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固定钢丝绳滑轮的锚桩及其孔</w:t>
      </w:r>
      <w:r>
        <w:t>深和牢固程度</w:t>
      </w:r>
      <w:r>
        <w:rPr>
          <w:rFonts w:hint="eastAsia" w:ascii="MS UI Gothic" w:eastAsia="MS UI Gothic"/>
          <w:w w:val="80"/>
        </w:rPr>
        <w:t xml:space="preserve">ꎬ </w:t>
      </w:r>
      <w:r>
        <w:t>必须根据岩性条件在作业</w:t>
      </w:r>
      <w:r>
        <w:rPr>
          <w:w w:val="105"/>
        </w:rPr>
        <w:t>规程中明确</w:t>
      </w:r>
      <w:r>
        <w:rPr>
          <w:rFonts w:hint="eastAsia" w:ascii="MS UI Gothic" w:eastAsia="MS UI Gothic"/>
          <w:w w:val="80"/>
        </w:rPr>
        <w:t>ꎮ</w:t>
      </w:r>
    </w:p>
    <w:p>
      <w:pPr>
        <w:pStyle w:val="6"/>
        <w:spacing w:line="295" w:lineRule="auto"/>
        <w:ind w:right="440"/>
        <w:rPr>
          <w:rFonts w:hint="eastAsia" w:ascii="MS UI Gothic" w:hAnsi="MS UI Gothic" w:eastAsia="MS UI Gothic"/>
        </w:rPr>
      </w:pPr>
      <w:r>
        <w:rPr>
          <w:rFonts w:hint="eastAsia" w:ascii="MS UI Gothic" w:hAnsi="MS UI Gothic" w:eastAsia="MS UI Gothic"/>
          <w:spacing w:val="-31"/>
          <w:w w:val="140"/>
        </w:rPr>
        <w:t xml:space="preserve">( </w:t>
      </w:r>
      <w:r>
        <w:rPr>
          <w:spacing w:val="3"/>
        </w:rPr>
        <w:t>五</w:t>
      </w:r>
      <w:r>
        <w:rPr>
          <w:rFonts w:hint="eastAsia" w:ascii="MS UI Gothic" w:hAnsi="MS UI Gothic" w:eastAsia="MS UI Gothic"/>
          <w:spacing w:val="28"/>
          <w:w w:val="140"/>
        </w:rPr>
        <w:t xml:space="preserve">) </w:t>
      </w:r>
      <w:r>
        <w:rPr>
          <w:spacing w:val="6"/>
        </w:rPr>
        <w:t xml:space="preserve">耙装机在装岩 </w:t>
      </w:r>
      <w:r>
        <w:rPr>
          <w:rFonts w:hint="eastAsia" w:ascii="MS UI Gothic" w:hAnsi="MS UI Gothic" w:eastAsia="MS UI Gothic"/>
          <w:spacing w:val="-30"/>
          <w:w w:val="140"/>
        </w:rPr>
        <w:t xml:space="preserve">( </w:t>
      </w:r>
      <w:r>
        <w:rPr>
          <w:spacing w:val="5"/>
        </w:rPr>
        <w:t>煤</w:t>
      </w:r>
      <w:r>
        <w:rPr>
          <w:rFonts w:hint="eastAsia" w:ascii="MS UI Gothic" w:hAnsi="MS UI Gothic" w:eastAsia="MS UI Gothic"/>
          <w:spacing w:val="29"/>
          <w:w w:val="140"/>
        </w:rPr>
        <w:t xml:space="preserve">) </w:t>
      </w:r>
      <w:r>
        <w:rPr>
          <w:spacing w:val="3"/>
        </w:rPr>
        <w:t>前</w:t>
      </w:r>
      <w:r>
        <w:rPr>
          <w:rFonts w:hint="eastAsia" w:ascii="MS UI Gothic" w:hAnsi="MS UI Gothic" w:eastAsia="MS UI Gothic"/>
          <w:spacing w:val="8"/>
          <w:w w:val="85"/>
        </w:rPr>
        <w:t xml:space="preserve">ꎬ </w:t>
      </w:r>
      <w:r>
        <w:rPr>
          <w:spacing w:val="3"/>
        </w:rPr>
        <w:t>必须</w:t>
      </w:r>
      <w:r>
        <w:rPr>
          <w:spacing w:val="5"/>
        </w:rPr>
        <w:t>将机身和尾轮固定牢靠</w:t>
      </w:r>
      <w:r>
        <w:rPr>
          <w:rFonts w:hint="eastAsia" w:ascii="MS UI Gothic" w:hAnsi="MS UI Gothic" w:eastAsia="MS UI Gothic"/>
          <w:spacing w:val="13"/>
          <w:w w:val="85"/>
        </w:rPr>
        <w:t xml:space="preserve">ꎮ </w:t>
      </w:r>
      <w:r>
        <w:rPr>
          <w:spacing w:val="11"/>
        </w:rPr>
        <w:t>耙装机运行时</w:t>
      </w:r>
      <w:r>
        <w:rPr>
          <w:rFonts w:hint="eastAsia" w:ascii="MS UI Gothic" w:hAnsi="MS UI Gothic" w:eastAsia="MS UI Gothic"/>
          <w:w w:val="85"/>
        </w:rPr>
        <w:t>ꎬ</w:t>
      </w:r>
      <w:r>
        <w:rPr>
          <w:spacing w:val="2"/>
        </w:rPr>
        <w:t>严禁在耙斗运行范围内进行其他工作和行</w:t>
      </w:r>
      <w:r>
        <w:rPr>
          <w:spacing w:val="3"/>
        </w:rPr>
        <w:t>人</w:t>
      </w:r>
      <w:r>
        <w:rPr>
          <w:rFonts w:hint="eastAsia" w:ascii="MS UI Gothic" w:hAnsi="MS UI Gothic" w:eastAsia="MS UI Gothic"/>
          <w:spacing w:val="17"/>
          <w:w w:val="85"/>
        </w:rPr>
        <w:t xml:space="preserve">ꎮ </w:t>
      </w:r>
      <w:r>
        <w:rPr>
          <w:spacing w:val="3"/>
        </w:rPr>
        <w:t>在倾斜井巷移动耙装机时</w:t>
      </w:r>
      <w:r>
        <w:rPr>
          <w:rFonts w:hint="eastAsia" w:ascii="MS UI Gothic" w:hAnsi="MS UI Gothic" w:eastAsia="MS UI Gothic"/>
          <w:spacing w:val="17"/>
          <w:w w:val="85"/>
        </w:rPr>
        <w:t xml:space="preserve">ꎬ </w:t>
      </w:r>
      <w:r>
        <w:rPr>
          <w:spacing w:val="2"/>
        </w:rPr>
        <w:t>下方不得</w:t>
      </w:r>
      <w:r>
        <w:rPr>
          <w:spacing w:val="3"/>
        </w:rPr>
        <w:t>有人</w:t>
      </w:r>
      <w:r>
        <w:rPr>
          <w:rFonts w:hint="eastAsia" w:ascii="MS UI Gothic" w:hAnsi="MS UI Gothic" w:eastAsia="MS UI Gothic"/>
          <w:w w:val="85"/>
        </w:rPr>
        <w:t xml:space="preserve">ꎮ </w:t>
      </w:r>
      <w:r>
        <w:rPr>
          <w:spacing w:val="-4"/>
        </w:rPr>
        <w:t xml:space="preserve">上山施工倾角大于 </w:t>
      </w:r>
      <w:r>
        <w:rPr>
          <w:rFonts w:hint="eastAsia" w:ascii="MS UI Gothic" w:hAnsi="MS UI Gothic" w:eastAsia="MS UI Gothic"/>
          <w:spacing w:val="-11"/>
          <w:w w:val="85"/>
        </w:rPr>
        <w:t xml:space="preserve">２０° </w:t>
      </w:r>
      <w:r>
        <w:rPr>
          <w:spacing w:val="3"/>
        </w:rPr>
        <w:t>时</w:t>
      </w:r>
      <w:r>
        <w:rPr>
          <w:rFonts w:hint="eastAsia" w:ascii="MS UI Gothic" w:hAnsi="MS UI Gothic" w:eastAsia="MS UI Gothic"/>
          <w:spacing w:val="2"/>
          <w:w w:val="85"/>
        </w:rPr>
        <w:t xml:space="preserve">ꎬ </w:t>
      </w:r>
      <w:r>
        <w:rPr>
          <w:spacing w:val="7"/>
        </w:rPr>
        <w:t>在司机</w:t>
      </w:r>
      <w:r>
        <w:rPr>
          <w:spacing w:val="3"/>
        </w:rPr>
        <w:t>前方必须设护身柱或者挡板</w:t>
      </w:r>
      <w:r>
        <w:rPr>
          <w:rFonts w:hint="eastAsia" w:ascii="MS UI Gothic" w:hAnsi="MS UI Gothic" w:eastAsia="MS UI Gothic"/>
          <w:spacing w:val="12"/>
          <w:w w:val="85"/>
        </w:rPr>
        <w:t xml:space="preserve">ꎬ </w:t>
      </w:r>
      <w:r>
        <w:rPr>
          <w:spacing w:val="2"/>
        </w:rPr>
        <w:t>并在耙装机</w:t>
      </w:r>
      <w:r>
        <w:rPr>
          <w:spacing w:val="3"/>
        </w:rPr>
        <w:t>前方增设固定装置</w:t>
      </w:r>
      <w:r>
        <w:rPr>
          <w:rFonts w:hint="eastAsia" w:ascii="MS UI Gothic" w:hAnsi="MS UI Gothic" w:eastAsia="MS UI Gothic"/>
          <w:spacing w:val="12"/>
          <w:w w:val="85"/>
        </w:rPr>
        <w:t xml:space="preserve">ꎮ </w:t>
      </w:r>
      <w:r>
        <w:rPr>
          <w:spacing w:val="2"/>
        </w:rPr>
        <w:t>倾斜井巷使用耙装机</w:t>
      </w:r>
      <w:r>
        <w:rPr>
          <w:spacing w:val="3"/>
        </w:rPr>
        <w:t>时</w:t>
      </w:r>
      <w:r>
        <w:rPr>
          <w:rFonts w:hint="eastAsia" w:ascii="MS UI Gothic" w:hAnsi="MS UI Gothic" w:eastAsia="MS UI Gothic"/>
          <w:spacing w:val="23"/>
          <w:w w:val="85"/>
        </w:rPr>
        <w:t xml:space="preserve">ꎬ </w:t>
      </w:r>
      <w:r>
        <w:rPr>
          <w:spacing w:val="3"/>
        </w:rPr>
        <w:t>必须有防止机身下滑的措施</w:t>
      </w:r>
      <w:r>
        <w:rPr>
          <w:rFonts w:hint="eastAsia" w:ascii="MS UI Gothic" w:hAnsi="MS UI Gothic" w:eastAsia="MS UI Gothic"/>
          <w:w w:val="85"/>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耙装机作业时</w:t>
      </w:r>
      <w:r>
        <w:rPr>
          <w:rFonts w:hint="eastAsia" w:ascii="MS UI Gothic" w:eastAsia="MS UI Gothic"/>
          <w:w w:val="80"/>
        </w:rPr>
        <w:t xml:space="preserve">ꎬ </w:t>
      </w:r>
      <w:r>
        <w:rPr>
          <w:w w:val="105"/>
        </w:rPr>
        <w:t>其与掘进工作</w:t>
      </w:r>
      <w:r>
        <w:t>面的最大和最小允许距离必须在作业规程</w:t>
      </w:r>
      <w:r>
        <w:rPr>
          <w:w w:val="105"/>
        </w:rPr>
        <w:t>中明确</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高瓦斯</w:t>
      </w:r>
      <w:r>
        <w:rPr>
          <w:rFonts w:hint="eastAsia" w:ascii="MS UI Gothic" w:eastAsia="MS UI Gothic"/>
          <w:w w:val="80"/>
        </w:rPr>
        <w:t xml:space="preserve">、 </w:t>
      </w:r>
      <w:r>
        <w:rPr>
          <w:w w:val="105"/>
        </w:rPr>
        <w:t>煤与瓦斯突出和有煤尘爆炸危险矿井的煤巷</w:t>
      </w:r>
      <w:r>
        <w:rPr>
          <w:rFonts w:hint="eastAsia" w:ascii="MS UI Gothic" w:eastAsia="MS UI Gothic"/>
          <w:w w:val="80"/>
        </w:rPr>
        <w:t xml:space="preserve">、 </w:t>
      </w:r>
      <w:r>
        <w:rPr>
          <w:w w:val="105"/>
        </w:rPr>
        <w:t>半煤岩巷掘进工</w:t>
      </w:r>
      <w:r>
        <w:t>作面和石门揭煤工作面</w:t>
      </w:r>
      <w:r>
        <w:rPr>
          <w:rFonts w:hint="eastAsia" w:ascii="MS UI Gothic" w:eastAsia="MS UI Gothic"/>
          <w:w w:val="80"/>
        </w:rPr>
        <w:t xml:space="preserve">ꎬ </w:t>
      </w:r>
      <w:r>
        <w:t>严禁使用钢丝绳</w:t>
      </w:r>
      <w:r>
        <w:rPr>
          <w:w w:val="105"/>
        </w:rPr>
        <w:t>牵引的耙装机</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第六十二条 使用挖掘机时</w:t>
      </w:r>
      <w:r>
        <w:rPr>
          <w:rFonts w:hint="eastAsia" w:ascii="MS UI Gothic" w:eastAsia="MS UI Gothic"/>
          <w:w w:val="80"/>
        </w:rPr>
        <w:t xml:space="preserve">ꎬ </w:t>
      </w:r>
      <w:r>
        <w:rPr>
          <w:w w:val="105"/>
        </w:rPr>
        <w:t>应当遵</w:t>
      </w:r>
      <w:r>
        <w:rPr>
          <w:w w:val="110"/>
        </w:rPr>
        <w:t>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严禁在作业范围内进行其他工</w:t>
      </w:r>
      <w:r>
        <w:rPr>
          <w:w w:val="110"/>
        </w:rPr>
        <w:t>作和行人</w:t>
      </w:r>
      <w:r>
        <w:rPr>
          <w:rFonts w:hint="eastAsia" w:ascii="MS UI Gothic" w:eastAsia="MS UI Gothic"/>
          <w:w w:val="80"/>
        </w:rPr>
        <w:t>ꎮ</w:t>
      </w:r>
    </w:p>
    <w:p>
      <w:pPr>
        <w:pStyle w:val="6"/>
        <w:spacing w:line="255" w:lineRule="exact"/>
        <w:ind w:left="543" w:firstLine="0"/>
      </w:pPr>
      <w:r>
        <w:rPr>
          <w:rFonts w:hint="eastAsia" w:ascii="MS UI Gothic" w:eastAsia="MS UI Gothic"/>
          <w:w w:val="150"/>
        </w:rPr>
        <w:t xml:space="preserve">( </w:t>
      </w:r>
      <w:r>
        <w:rPr>
          <w:w w:val="110"/>
        </w:rPr>
        <w:t>二</w:t>
      </w:r>
      <w:r>
        <w:rPr>
          <w:rFonts w:hint="eastAsia" w:ascii="MS UI Gothic" w:eastAsia="MS UI Gothic"/>
          <w:w w:val="150"/>
        </w:rPr>
        <w:t xml:space="preserve">) </w:t>
      </w:r>
      <w:r>
        <w:rPr>
          <w:rFonts w:hint="eastAsia" w:ascii="MS UI Gothic" w:eastAsia="MS UI Gothic"/>
        </w:rPr>
        <w:t xml:space="preserve">２ </w:t>
      </w:r>
      <w:r>
        <w:rPr>
          <w:w w:val="110"/>
        </w:rPr>
        <w:t>台以上挖掘机同时作业或者</w:t>
      </w:r>
    </w:p>
    <w:p>
      <w:pPr>
        <w:spacing w:after="0" w:line="255"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２４５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60" o:spid="_x0000_s1760" o:spt="203" style="height:2.15pt;width:398.25pt;" coordsize="7965,43">
            <o:lock v:ext="edit"/>
            <v:line id="_x0000_s1761" o:spid="_x0000_s1761" o:spt="20" style="position:absolute;left:0;top:39;height:0;width:7965;" stroked="t" coordsize="21600,21600">
              <v:path arrowok="t"/>
              <v:fill focussize="0,0"/>
              <v:stroke weight="0.388031496062992pt" color="#231F20"/>
              <v:imagedata o:title=""/>
              <o:lock v:ext="edit"/>
            </v:line>
            <v:line id="_x0000_s1762" o:spid="_x0000_s176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与抓岩机同时作业时应当明确各自的作业范围</w:t>
      </w:r>
      <w:r>
        <w:rPr>
          <w:rFonts w:hint="eastAsia" w:ascii="MS UI Gothic" w:eastAsia="MS UI Gothic"/>
          <w:w w:val="80"/>
        </w:rPr>
        <w:t xml:space="preserve">ꎬ </w:t>
      </w:r>
      <w:r>
        <w:t>并设专人指挥</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下坡运行时必须使用低速挡</w:t>
      </w:r>
      <w:r>
        <w:rPr>
          <w:rFonts w:hint="eastAsia" w:ascii="MS UI Gothic" w:eastAsia="MS UI Gothic"/>
          <w:w w:val="80"/>
        </w:rPr>
        <w:t>ꎬ</w:t>
      </w:r>
      <w:r>
        <w:t>严禁脱挡滑行</w:t>
      </w:r>
      <w:r>
        <w:rPr>
          <w:rFonts w:hint="eastAsia" w:ascii="MS UI Gothic" w:eastAsia="MS UI Gothic"/>
          <w:w w:val="80"/>
        </w:rPr>
        <w:t xml:space="preserve">ꎬ </w:t>
      </w:r>
      <w:r>
        <w:t>跨越轨道时必须有防滑</w:t>
      </w:r>
      <w:r>
        <w:rPr>
          <w:w w:val="105"/>
        </w:rPr>
        <w:t>措施</w:t>
      </w:r>
      <w:r>
        <w:rPr>
          <w:rFonts w:hint="eastAsia" w:ascii="MS UI Gothic" w:eastAsia="MS UI Gothic"/>
          <w:w w:val="80"/>
        </w:rPr>
        <w:t>ꎮ</w:t>
      </w:r>
    </w:p>
    <w:p>
      <w:pPr>
        <w:pStyle w:val="6"/>
        <w:spacing w:line="254" w:lineRule="exact"/>
        <w:ind w:left="860" w:firstLine="0"/>
      </w:pPr>
      <w:r>
        <w:rPr>
          <w:rFonts w:hint="eastAsia" w:ascii="MS UI Gothic" w:eastAsia="MS UI Gothic"/>
          <w:w w:val="110"/>
        </w:rPr>
        <w:t xml:space="preserve">( </w:t>
      </w:r>
      <w:r>
        <w:rPr>
          <w:w w:val="110"/>
        </w:rPr>
        <w:t>四</w:t>
      </w:r>
      <w:r>
        <w:rPr>
          <w:rFonts w:hint="eastAsia" w:ascii="MS UI Gothic" w:eastAsia="MS UI Gothic"/>
          <w:w w:val="110"/>
        </w:rPr>
        <w:t xml:space="preserve">) </w:t>
      </w:r>
      <w:r>
        <w:rPr>
          <w:w w:val="110"/>
        </w:rPr>
        <w:t>作业范围内必须有充足的照</w:t>
      </w:r>
    </w:p>
    <w:p>
      <w:pPr>
        <w:pStyle w:val="6"/>
        <w:spacing w:before="57"/>
        <w:ind w:left="440" w:firstLine="0"/>
        <w:jc w:val="left"/>
        <w:rPr>
          <w:rFonts w:hint="eastAsia" w:ascii="MS UI Gothic" w:eastAsia="MS UI Gothic"/>
        </w:rPr>
      </w:pPr>
      <w:r>
        <w:rPr>
          <w:w w:val="95"/>
        </w:rPr>
        <w:t xml:space="preserve">明 </w:t>
      </w:r>
      <w:r>
        <w:rPr>
          <w:rFonts w:hint="eastAsia" w:ascii="MS UI Gothic" w:eastAsia="MS UI Gothic"/>
          <w:w w:val="80"/>
        </w:rPr>
        <w:t>ꎮ</w:t>
      </w:r>
    </w:p>
    <w:p>
      <w:pPr>
        <w:pStyle w:val="6"/>
        <w:spacing w:before="58" w:line="295" w:lineRule="auto"/>
        <w:ind w:left="440" w:right="1"/>
        <w:rPr>
          <w:rFonts w:hint="eastAsia" w:ascii="MS UI Gothic" w:eastAsia="MS UI Gothic"/>
        </w:rPr>
      </w:pPr>
      <w:r>
        <w:rPr>
          <w:spacing w:val="5"/>
        </w:rPr>
        <w:t>第六十三条 使用凿岩台车</w:t>
      </w:r>
      <w:r>
        <w:rPr>
          <w:rFonts w:hint="eastAsia" w:ascii="MS UI Gothic" w:eastAsia="MS UI Gothic"/>
          <w:spacing w:val="16"/>
          <w:w w:val="80"/>
        </w:rPr>
        <w:t xml:space="preserve">、 </w:t>
      </w:r>
      <w:r>
        <w:rPr>
          <w:spacing w:val="2"/>
        </w:rPr>
        <w:t>模板台</w:t>
      </w:r>
      <w:r>
        <w:rPr>
          <w:spacing w:val="3"/>
        </w:rPr>
        <w:t>车时</w:t>
      </w:r>
      <w:r>
        <w:rPr>
          <w:rFonts w:hint="eastAsia" w:ascii="MS UI Gothic" w:eastAsia="MS UI Gothic"/>
          <w:spacing w:val="1"/>
          <w:w w:val="80"/>
        </w:rPr>
        <w:t xml:space="preserve">ꎬ </w:t>
      </w:r>
      <w:r>
        <w:rPr>
          <w:spacing w:val="3"/>
        </w:rPr>
        <w:t>必须制定专项安全技术措施</w:t>
      </w:r>
      <w:r>
        <w:rPr>
          <w:rFonts w:hint="eastAsia" w:ascii="MS UI Gothic" w:eastAsia="MS UI Gothic"/>
          <w:w w:val="80"/>
        </w:rPr>
        <w:t>ꎮ</w:t>
      </w:r>
    </w:p>
    <w:p>
      <w:pPr>
        <w:pStyle w:val="6"/>
        <w:spacing w:before="155"/>
        <w:ind w:left="930" w:firstLine="0"/>
      </w:pPr>
      <w:r>
        <w:rPr>
          <w:spacing w:val="2"/>
          <w:w w:val="105"/>
        </w:rPr>
        <w:t>第三节 井塔 井架及井筒装备</w:t>
      </w:r>
    </w:p>
    <w:p>
      <w:pPr>
        <w:pStyle w:val="6"/>
        <w:spacing w:before="10"/>
        <w:ind w:left="0" w:firstLine="0"/>
        <w:jc w:val="left"/>
        <w:rPr>
          <w:sz w:val="16"/>
        </w:rPr>
      </w:pPr>
    </w:p>
    <w:p>
      <w:pPr>
        <w:pStyle w:val="6"/>
        <w:spacing w:before="1" w:line="295" w:lineRule="auto"/>
        <w:ind w:left="440" w:right="1"/>
        <w:rPr>
          <w:rFonts w:hint="eastAsia" w:ascii="MS UI Gothic" w:eastAsia="MS UI Gothic"/>
        </w:rPr>
      </w:pPr>
      <w:r>
        <w:t>第六十四条 井塔施工时</w:t>
      </w:r>
      <w:r>
        <w:rPr>
          <w:rFonts w:hint="eastAsia" w:ascii="MS UI Gothic" w:eastAsia="MS UI Gothic"/>
          <w:w w:val="80"/>
        </w:rPr>
        <w:t xml:space="preserve">ꎬ </w:t>
      </w:r>
      <w:r>
        <w:t>井塔出入口必须搭设双层防护安全通道</w:t>
      </w:r>
      <w:r>
        <w:rPr>
          <w:rFonts w:hint="eastAsia" w:ascii="MS UI Gothic" w:eastAsia="MS UI Gothic"/>
          <w:w w:val="80"/>
        </w:rPr>
        <w:t xml:space="preserve">ꎬ </w:t>
      </w:r>
      <w:r>
        <w:t>非出入口和通道两侧必须密闭</w:t>
      </w:r>
      <w:r>
        <w:rPr>
          <w:rFonts w:hint="eastAsia" w:ascii="MS UI Gothic" w:eastAsia="MS UI Gothic"/>
          <w:w w:val="80"/>
        </w:rPr>
        <w:t xml:space="preserve">ꎬ </w:t>
      </w:r>
      <w:r>
        <w:t>并设置醒目的行走路线标识</w:t>
      </w:r>
      <w:r>
        <w:rPr>
          <w:rFonts w:hint="eastAsia" w:ascii="MS UI Gothic" w:eastAsia="MS UI Gothic"/>
          <w:w w:val="80"/>
        </w:rPr>
        <w:t xml:space="preserve">ꎮ </w:t>
      </w:r>
      <w:r>
        <w:t>采用冻结法施工的井筒</w:t>
      </w:r>
      <w:r>
        <w:rPr>
          <w:rFonts w:hint="eastAsia" w:ascii="MS UI Gothic" w:eastAsia="MS UI Gothic"/>
          <w:w w:val="80"/>
        </w:rPr>
        <w:t xml:space="preserve">ꎬ </w:t>
      </w:r>
      <w:r>
        <w:t>严禁在未完全融化的人工冻土地基中施工井塔桩基</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第六十五条 井架安装必须编制施工</w:t>
      </w:r>
      <w:r>
        <w:t>组织设计</w:t>
      </w:r>
      <w:r>
        <w:rPr>
          <w:rFonts w:hint="eastAsia" w:ascii="MS UI Gothic" w:eastAsia="MS UI Gothic"/>
          <w:w w:val="80"/>
        </w:rPr>
        <w:t xml:space="preserve">ꎮ </w:t>
      </w:r>
      <w:r>
        <w:t>遇恶劣气候时</w:t>
      </w:r>
      <w:r>
        <w:rPr>
          <w:rFonts w:hint="eastAsia" w:ascii="MS UI Gothic" w:eastAsia="MS UI Gothic"/>
          <w:w w:val="80"/>
        </w:rPr>
        <w:t xml:space="preserve">ꎬ </w:t>
      </w:r>
      <w:r>
        <w:t>不得进行吊装作业</w:t>
      </w:r>
      <w:r>
        <w:rPr>
          <w:rFonts w:hint="eastAsia" w:ascii="MS UI Gothic" w:eastAsia="MS UI Gothic"/>
          <w:w w:val="80"/>
        </w:rPr>
        <w:t xml:space="preserve">ꎮ </w:t>
      </w:r>
      <w:r>
        <w:t>采用扒杆起立井架时</w:t>
      </w:r>
      <w:r>
        <w:rPr>
          <w:rFonts w:hint="eastAsia" w:ascii="MS UI Gothic" w:eastAsia="MS UI Gothic"/>
          <w:w w:val="80"/>
        </w:rPr>
        <w:t xml:space="preserve">ꎬ </w:t>
      </w:r>
      <w:r>
        <w:t>应当遵守下</w:t>
      </w:r>
      <w:r>
        <w:rPr>
          <w:w w:val="105"/>
        </w:rPr>
        <w:t>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扒杆选型必须经过验算</w:t>
      </w:r>
      <w:r>
        <w:rPr>
          <w:rFonts w:hint="eastAsia" w:ascii="MS UI Gothic" w:eastAsia="MS UI Gothic"/>
          <w:w w:val="80"/>
        </w:rPr>
        <w:t xml:space="preserve">ꎬ </w:t>
      </w:r>
      <w:r>
        <w:rPr>
          <w:w w:val="105"/>
        </w:rPr>
        <w:t>其强度</w:t>
      </w:r>
      <w:r>
        <w:rPr>
          <w:rFonts w:hint="eastAsia" w:ascii="MS UI Gothic" w:eastAsia="MS UI Gothic"/>
          <w:w w:val="80"/>
        </w:rPr>
        <w:t xml:space="preserve">、 </w:t>
      </w:r>
      <w:r>
        <w:rPr>
          <w:w w:val="105"/>
        </w:rPr>
        <w:t>稳定性</w:t>
      </w:r>
      <w:r>
        <w:rPr>
          <w:rFonts w:hint="eastAsia" w:ascii="MS UI Gothic" w:eastAsia="MS UI Gothic"/>
          <w:w w:val="80"/>
        </w:rPr>
        <w:t xml:space="preserve">、 </w:t>
      </w:r>
      <w:r>
        <w:rPr>
          <w:w w:val="105"/>
        </w:rPr>
        <w:t>基础承载能力必须符合设计</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铰链及预埋件必须按设计要求</w:t>
      </w:r>
      <w:r>
        <w:t>制作和安装</w:t>
      </w:r>
      <w:r>
        <w:rPr>
          <w:rFonts w:hint="eastAsia" w:ascii="MS UI Gothic" w:eastAsia="MS UI Gothic"/>
          <w:w w:val="80"/>
        </w:rPr>
        <w:t xml:space="preserve">ꎬ </w:t>
      </w:r>
      <w:r>
        <w:t>销轴使用前应当进行无损探</w:t>
      </w:r>
      <w:r>
        <w:rPr>
          <w:w w:val="105"/>
        </w:rPr>
        <w:t>伤检测</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吊耳必须进行强度校核</w:t>
      </w:r>
      <w:r>
        <w:rPr>
          <w:rFonts w:hint="eastAsia" w:ascii="MS UI Gothic" w:eastAsia="MS UI Gothic"/>
          <w:w w:val="80"/>
        </w:rPr>
        <w:t xml:space="preserve">ꎬ </w:t>
      </w:r>
      <w:r>
        <w:rPr>
          <w:w w:val="105"/>
        </w:rPr>
        <w:t>且不得横向使用</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扒杆起立时应当有缆风绳控制偏摆</w:t>
      </w:r>
      <w:r>
        <w:rPr>
          <w:rFonts w:hint="eastAsia" w:ascii="MS UI Gothic" w:eastAsia="MS UI Gothic"/>
          <w:w w:val="80"/>
        </w:rPr>
        <w:t xml:space="preserve">ꎬ </w:t>
      </w:r>
      <w:r>
        <w:rPr>
          <w:w w:val="105"/>
        </w:rPr>
        <w:t>并使缆风绳始终保持一定张力</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第六十六条 立井井筒装备安装施工</w:t>
      </w:r>
      <w:r>
        <w:rPr>
          <w:w w:val="110"/>
        </w:rPr>
        <w:t>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井筒未贯通严禁井筒装备安装</w:t>
      </w:r>
      <w:r>
        <w:rPr>
          <w:spacing w:val="3"/>
          <w:w w:val="110"/>
        </w:rPr>
        <w:t>施工</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4"/>
          <w:w w:val="150"/>
        </w:rPr>
        <w:t xml:space="preserve">) </w:t>
      </w:r>
      <w:r>
        <w:rPr>
          <w:spacing w:val="5"/>
          <w:w w:val="105"/>
        </w:rPr>
        <w:t>突出矿井进行煤巷施工</w:t>
      </w:r>
      <w:r>
        <w:rPr>
          <w:rFonts w:hint="eastAsia" w:ascii="MS UI Gothic" w:eastAsia="MS UI Gothic"/>
          <w:spacing w:val="13"/>
          <w:w w:val="80"/>
        </w:rPr>
        <w:t xml:space="preserve">ꎬ </w:t>
      </w:r>
      <w:r>
        <w:rPr>
          <w:spacing w:val="5"/>
          <w:w w:val="105"/>
        </w:rPr>
        <w:t>且井</w:t>
      </w:r>
      <w:r>
        <w:rPr>
          <w:spacing w:val="12"/>
        </w:rPr>
        <w:t>筒处于回风状态时</w:t>
      </w:r>
      <w:r>
        <w:rPr>
          <w:rFonts w:hint="eastAsia" w:ascii="MS UI Gothic" w:eastAsia="MS UI Gothic"/>
          <w:spacing w:val="24"/>
          <w:w w:val="80"/>
        </w:rPr>
        <w:t xml:space="preserve">ꎬ </w:t>
      </w:r>
      <w:r>
        <w:rPr>
          <w:spacing w:val="15"/>
        </w:rPr>
        <w:t>严禁井筒装备安装</w:t>
      </w:r>
      <w:r>
        <w:rPr>
          <w:spacing w:val="3"/>
          <w:w w:val="105"/>
        </w:rPr>
        <w:t>施工</w:t>
      </w:r>
      <w:r>
        <w:rPr>
          <w:rFonts w:hint="eastAsia" w:ascii="MS UI Gothic" w:eastAsia="MS UI Gothic"/>
          <w:w w:val="80"/>
        </w:rPr>
        <w:t>ꎮ</w:t>
      </w:r>
    </w:p>
    <w:p>
      <w:pPr>
        <w:pStyle w:val="6"/>
        <w:spacing w:line="254" w:lineRule="exact"/>
        <w:ind w:left="860" w:firstLine="0"/>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封口盘预留通风口应当符合通</w:t>
      </w:r>
    </w:p>
    <w:p>
      <w:pPr>
        <w:pStyle w:val="6"/>
        <w:spacing w:before="124"/>
        <w:ind w:left="381" w:firstLine="0"/>
        <w:jc w:val="left"/>
        <w:rPr>
          <w:rFonts w:hint="eastAsia" w:ascii="MS UI Gothic" w:eastAsia="MS UI Gothic"/>
        </w:rPr>
      </w:pPr>
      <w:r>
        <w:br w:type="column"/>
      </w:r>
      <w:r>
        <w:t>风要求</w:t>
      </w:r>
      <w:r>
        <w:rPr>
          <w:rFonts w:hint="eastAsia" w:ascii="MS UI Gothic" w:eastAsia="MS UI Gothic"/>
          <w:w w:val="80"/>
        </w:rPr>
        <w:t>ꎮ</w:t>
      </w:r>
    </w:p>
    <w:p>
      <w:pPr>
        <w:pStyle w:val="6"/>
        <w:spacing w:before="58" w:line="295" w:lineRule="auto"/>
        <w:ind w:left="381" w:right="124"/>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吊盘</w:t>
      </w:r>
      <w:r>
        <w:rPr>
          <w:rFonts w:hint="eastAsia" w:ascii="MS UI Gothic" w:eastAsia="MS UI Gothic"/>
          <w:w w:val="80"/>
        </w:rPr>
        <w:t xml:space="preserve">、 </w:t>
      </w:r>
      <w:r>
        <w:rPr>
          <w:w w:val="105"/>
        </w:rPr>
        <w:t xml:space="preserve">吊桶 </w:t>
      </w:r>
      <w:r>
        <w:rPr>
          <w:rFonts w:hint="eastAsia" w:ascii="MS UI Gothic" w:eastAsia="MS UI Gothic"/>
          <w:w w:val="150"/>
        </w:rPr>
        <w:t xml:space="preserve">( </w:t>
      </w:r>
      <w:r>
        <w:rPr>
          <w:w w:val="105"/>
        </w:rPr>
        <w:t>罐</w:t>
      </w:r>
      <w:r>
        <w:rPr>
          <w:rFonts w:hint="eastAsia" w:ascii="MS UI Gothic" w:eastAsia="MS UI Gothic"/>
          <w:w w:val="150"/>
        </w:rPr>
        <w:t>)</w:t>
      </w:r>
      <w:r>
        <w:rPr>
          <w:rFonts w:hint="eastAsia" w:ascii="MS UI Gothic" w:eastAsia="MS UI Gothic"/>
          <w:w w:val="80"/>
        </w:rPr>
        <w:t xml:space="preserve">、 </w:t>
      </w:r>
      <w:r>
        <w:rPr>
          <w:w w:val="105"/>
        </w:rPr>
        <w:t>悬吊装置</w:t>
      </w:r>
      <w:r>
        <w:t>的销轴在使用前应当进行无损探伤检测</w:t>
      </w:r>
      <w:r>
        <w:rPr>
          <w:rFonts w:hint="eastAsia" w:ascii="MS UI Gothic" w:eastAsia="MS UI Gothic"/>
          <w:w w:val="80"/>
        </w:rPr>
        <w:t>ꎬ</w:t>
      </w:r>
      <w:r>
        <w:rPr>
          <w:w w:val="105"/>
        </w:rPr>
        <w:t>合格后方可使用</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吊盘上放置的设备</w:t>
      </w:r>
      <w:r>
        <w:rPr>
          <w:rFonts w:hint="eastAsia" w:ascii="MS UI Gothic" w:eastAsia="MS UI Gothic"/>
          <w:w w:val="80"/>
        </w:rPr>
        <w:t xml:space="preserve">、  </w:t>
      </w:r>
      <w:r>
        <w:rPr>
          <w:w w:val="105"/>
        </w:rPr>
        <w:t>材料及工具箱等必须固定牢靠</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在吊盘以外作业时</w:t>
      </w:r>
      <w:r>
        <w:rPr>
          <w:rFonts w:hint="eastAsia" w:ascii="MS UI Gothic" w:eastAsia="MS UI Gothic"/>
          <w:w w:val="80"/>
        </w:rPr>
        <w:t xml:space="preserve">ꎬ </w:t>
      </w:r>
      <w:r>
        <w:rPr>
          <w:w w:val="105"/>
        </w:rPr>
        <w:t>必须有牢靠的立足处</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45"/>
        </w:rPr>
        <w:t xml:space="preserve">( </w:t>
      </w:r>
      <w:r>
        <w:t>七</w:t>
      </w:r>
      <w:r>
        <w:rPr>
          <w:rFonts w:hint="eastAsia" w:ascii="MS UI Gothic" w:eastAsia="MS UI Gothic"/>
          <w:w w:val="145"/>
        </w:rPr>
        <w:t xml:space="preserve">) </w:t>
      </w:r>
      <w:r>
        <w:t>严禁吊盘和提升容器同时运行</w:t>
      </w:r>
      <w:r>
        <w:rPr>
          <w:rFonts w:hint="eastAsia" w:ascii="MS UI Gothic" w:eastAsia="MS UI Gothic"/>
          <w:w w:val="70"/>
        </w:rPr>
        <w:t xml:space="preserve">ꎬ </w:t>
      </w:r>
      <w:r>
        <w:t xml:space="preserve">提升容器或者钩头通过吊盘的速度不得大于 </w:t>
      </w:r>
      <w:r>
        <w:rPr>
          <w:rFonts w:hint="eastAsia" w:ascii="MS UI Gothic" w:eastAsia="MS UI Gothic"/>
        </w:rPr>
        <w:t xml:space="preserve">０ ２ ｍ </w:t>
      </w:r>
      <w:r>
        <w:rPr>
          <w:rFonts w:hint="eastAsia" w:ascii="MS UI Gothic" w:eastAsia="MS UI Gothic"/>
          <w:w w:val="70"/>
        </w:rPr>
        <w:t xml:space="preserve">/ </w:t>
      </w:r>
      <w:r>
        <w:rPr>
          <w:rFonts w:hint="eastAsia" w:ascii="MS UI Gothic" w:eastAsia="MS UI Gothic"/>
        </w:rPr>
        <w:t>ｓ</w:t>
      </w:r>
      <w:r>
        <w:rPr>
          <w:rFonts w:hint="eastAsia" w:ascii="MS UI Gothic" w:eastAsia="MS UI Gothic"/>
          <w:w w:val="70"/>
        </w:rPr>
        <w:t>ꎮ</w:t>
      </w:r>
    </w:p>
    <w:p>
      <w:pPr>
        <w:pStyle w:val="6"/>
        <w:spacing w:line="295" w:lineRule="auto"/>
        <w:ind w:left="381" w:right="126"/>
        <w:rPr>
          <w:rFonts w:hint="eastAsia" w:ascii="MS UI Gothic" w:eastAsia="MS UI Gothic"/>
        </w:rPr>
      </w:pPr>
      <w:r>
        <w:rPr>
          <w:w w:val="105"/>
        </w:rPr>
        <w:t>第六十七条 井塔施工与井筒装备安</w:t>
      </w:r>
      <w:r>
        <w:rPr>
          <w:w w:val="110"/>
        </w:rPr>
        <w:t>装平行作业时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在土建与安装平行作业时</w:t>
      </w:r>
      <w:r>
        <w:rPr>
          <w:rFonts w:hint="eastAsia" w:ascii="MS UI Gothic" w:eastAsia="MS UI Gothic"/>
          <w:w w:val="80"/>
        </w:rPr>
        <w:t xml:space="preserve">ꎬ </w:t>
      </w:r>
      <w:r>
        <w:rPr>
          <w:w w:val="105"/>
        </w:rPr>
        <w:t>必须编制专项措施</w:t>
      </w:r>
      <w:r>
        <w:rPr>
          <w:rFonts w:hint="eastAsia" w:ascii="MS UI Gothic" w:eastAsia="MS UI Gothic"/>
          <w:w w:val="80"/>
        </w:rPr>
        <w:t xml:space="preserve">ꎬ </w:t>
      </w:r>
      <w:r>
        <w:rPr>
          <w:w w:val="105"/>
        </w:rPr>
        <w:t>明确安全防护要求</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利用永久井塔凿井时</w:t>
      </w:r>
      <w:r>
        <w:rPr>
          <w:rFonts w:hint="eastAsia" w:ascii="MS UI Gothic" w:eastAsia="MS UI Gothic"/>
          <w:w w:val="80"/>
        </w:rPr>
        <w:t xml:space="preserve">ꎬ </w:t>
      </w:r>
      <w:r>
        <w:rPr>
          <w:w w:val="105"/>
        </w:rPr>
        <w:t>在临时</w:t>
      </w:r>
      <w:r>
        <w:t>天轮平台布置前必须对井塔承重结构进行</w:t>
      </w:r>
      <w:r>
        <w:rPr>
          <w:w w:val="105"/>
        </w:rPr>
        <w:t>验算</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临时天轮平台的上一层提升孔口和吊装孔口必须封闭牢固</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施工电梯和塔式起重机位置必须避开运行中的井筒装备</w:t>
      </w:r>
      <w:r>
        <w:rPr>
          <w:rFonts w:hint="eastAsia" w:ascii="MS UI Gothic" w:eastAsia="MS UI Gothic"/>
          <w:w w:val="80"/>
        </w:rPr>
        <w:t xml:space="preserve">、 </w:t>
      </w:r>
      <w:r>
        <w:rPr>
          <w:w w:val="105"/>
        </w:rPr>
        <w:t>材料运输路线和人员行走通道</w:t>
      </w:r>
      <w:r>
        <w:rPr>
          <w:rFonts w:hint="eastAsia" w:ascii="MS UI Gothic" w:eastAsia="MS UI Gothic"/>
          <w:w w:val="80"/>
        </w:rPr>
        <w:t>ꎮ</w:t>
      </w:r>
    </w:p>
    <w:p>
      <w:pPr>
        <w:pStyle w:val="6"/>
        <w:spacing w:line="295" w:lineRule="auto"/>
        <w:ind w:left="381" w:right="126"/>
        <w:rPr>
          <w:rFonts w:hint="eastAsia" w:ascii="MS UI Gothic" w:eastAsia="MS UI Gothic"/>
        </w:rPr>
      </w:pPr>
      <w:r>
        <w:t>第六十八条 安装井架或者井架上的设备时必须盖严井口</w:t>
      </w:r>
      <w:r>
        <w:rPr>
          <w:rFonts w:hint="eastAsia" w:ascii="MS UI Gothic" w:eastAsia="MS UI Gothic"/>
          <w:w w:val="80"/>
        </w:rPr>
        <w:t xml:space="preserve">ꎮ </w:t>
      </w:r>
      <w:r>
        <w:t>装备井筒与安装井架及井架上的设备平行作业时</w:t>
      </w:r>
      <w:r>
        <w:rPr>
          <w:rFonts w:hint="eastAsia" w:ascii="MS UI Gothic" w:eastAsia="MS UI Gothic"/>
          <w:w w:val="80"/>
        </w:rPr>
        <w:t xml:space="preserve">ꎬ </w:t>
      </w:r>
      <w:r>
        <w:t>井口掩盖装置必须坚固可靠</w:t>
      </w:r>
      <w:r>
        <w:rPr>
          <w:rFonts w:hint="eastAsia" w:ascii="MS UI Gothic" w:eastAsia="MS UI Gothic"/>
          <w:w w:val="80"/>
        </w:rPr>
        <w:t xml:space="preserve">ꎬ </w:t>
      </w:r>
      <w:r>
        <w:t>能承受井架上坠落物的冲击</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第六十九条 井下安装应当遵守下列</w:t>
      </w:r>
      <w:r>
        <w:rPr>
          <w:w w:val="115"/>
        </w:rPr>
        <w:t>规定</w:t>
      </w:r>
      <w:r>
        <w:rPr>
          <w:rFonts w:hint="eastAsia" w:ascii="MS UI Gothic" w:eastAsia="MS UI Gothic"/>
          <w:w w:val="235"/>
        </w:rPr>
        <w:t>:</w:t>
      </w:r>
    </w:p>
    <w:p>
      <w:pPr>
        <w:pStyle w:val="6"/>
        <w:spacing w:line="255" w:lineRule="exact"/>
        <w:ind w:left="800" w:firstLine="0"/>
      </w:pPr>
      <w:r>
        <w:rPr>
          <w:rFonts w:hint="eastAsia" w:ascii="MS UI Gothic" w:eastAsia="MS UI Gothic"/>
          <w:spacing w:val="-20"/>
          <w:w w:val="105"/>
        </w:rPr>
        <w:t xml:space="preserve">( </w:t>
      </w:r>
      <w:r>
        <w:rPr>
          <w:spacing w:val="3"/>
          <w:w w:val="105"/>
        </w:rPr>
        <w:t>一</w:t>
      </w:r>
      <w:r>
        <w:rPr>
          <w:rFonts w:hint="eastAsia" w:ascii="MS UI Gothic" w:eastAsia="MS UI Gothic"/>
          <w:spacing w:val="5"/>
          <w:w w:val="105"/>
        </w:rPr>
        <w:t xml:space="preserve">)  </w:t>
      </w:r>
      <w:r>
        <w:rPr>
          <w:spacing w:val="2"/>
          <w:w w:val="105"/>
        </w:rPr>
        <w:t>作业现场必须有充足的照明</w:t>
      </w:r>
    </w:p>
    <w:p>
      <w:pPr>
        <w:pStyle w:val="6"/>
        <w:spacing w:before="37"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5"/>
          <w:w w:val="105"/>
        </w:rPr>
        <w:t>大型设备</w:t>
      </w:r>
      <w:r>
        <w:rPr>
          <w:rFonts w:hint="eastAsia" w:ascii="MS UI Gothic" w:eastAsia="MS UI Gothic"/>
          <w:spacing w:val="23"/>
          <w:w w:val="80"/>
        </w:rPr>
        <w:t xml:space="preserve">、 </w:t>
      </w:r>
      <w:r>
        <w:rPr>
          <w:spacing w:val="8"/>
          <w:w w:val="105"/>
        </w:rPr>
        <w:t>构件下井前必须校</w:t>
      </w:r>
      <w:r>
        <w:rPr>
          <w:spacing w:val="3"/>
          <w:w w:val="105"/>
        </w:rPr>
        <w:t>验提升设备的能力</w:t>
      </w:r>
      <w:r>
        <w:rPr>
          <w:rFonts w:hint="eastAsia" w:ascii="MS UI Gothic" w:eastAsia="MS UI Gothic"/>
          <w:spacing w:val="7"/>
          <w:w w:val="80"/>
        </w:rPr>
        <w:t xml:space="preserve">ꎬ </w:t>
      </w:r>
      <w:r>
        <w:rPr>
          <w:spacing w:val="3"/>
          <w:w w:val="105"/>
        </w:rPr>
        <w:t>并制定专项措施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巷道内固定吊点必须符合吊装</w:t>
      </w:r>
      <w:r>
        <w:t>要求</w:t>
      </w:r>
      <w:r>
        <w:rPr>
          <w:rFonts w:hint="eastAsia" w:ascii="MS UI Gothic" w:eastAsia="MS UI Gothic"/>
          <w:w w:val="80"/>
        </w:rPr>
        <w:t xml:space="preserve">ꎬ </w:t>
      </w:r>
      <w:r>
        <w:t>吊装时应当有专人观察吊点附近顶</w:t>
      </w:r>
      <w:r>
        <w:rPr>
          <w:w w:val="105"/>
        </w:rPr>
        <w:t>板情况</w:t>
      </w:r>
      <w:r>
        <w:rPr>
          <w:rFonts w:hint="eastAsia" w:ascii="MS UI Gothic" w:eastAsia="MS UI Gothic"/>
          <w:w w:val="80"/>
        </w:rPr>
        <w:t xml:space="preserve">ꎬ </w:t>
      </w:r>
      <w:r>
        <w:rPr>
          <w:w w:val="105"/>
        </w:rPr>
        <w:t>严禁超载吊装</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在倾斜井巷提升运输时不得进</w:t>
      </w:r>
      <w:r>
        <w:rPr>
          <w:w w:val="110"/>
        </w:rPr>
        <w:t>行安装作业</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２４６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63" o:spid="_x0000_s1763" o:spt="203" style="height:2.15pt;width:398.25pt;" coordsize="7965,43">
            <o:lock v:ext="edit"/>
            <v:line id="_x0000_s1764" o:spid="_x0000_s1764" o:spt="20" style="position:absolute;left:0;top:39;height:0;width:7965;" stroked="t" coordsize="21600,21600">
              <v:path arrowok="t"/>
              <v:fill focussize="0,0"/>
              <v:stroke weight="0.388031496062992pt" color="#231F20"/>
              <v:imagedata o:title=""/>
              <o:lock v:ext="edit"/>
            </v:line>
            <v:line id="_x0000_s1765" o:spid="_x0000_s176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1277"/>
        </w:tabs>
        <w:ind w:left="439" w:firstLine="0"/>
        <w:jc w:val="left"/>
      </w:pPr>
      <w:r>
        <w:rPr>
          <w:spacing w:val="3"/>
          <w:w w:val="105"/>
        </w:rPr>
        <w:t>第四</w:t>
      </w:r>
      <w:r>
        <w:rPr>
          <w:w w:val="105"/>
        </w:rPr>
        <w:t>节</w:t>
      </w:r>
      <w:r>
        <w:rPr>
          <w:w w:val="105"/>
        </w:rPr>
        <w:tab/>
      </w:r>
      <w:r>
        <w:rPr>
          <w:spacing w:val="3"/>
          <w:w w:val="105"/>
        </w:rPr>
        <w:t>建井期间生产及辅助系</w:t>
      </w:r>
      <w:r>
        <w:rPr>
          <w:w w:val="105"/>
        </w:rPr>
        <w:t>统</w:t>
      </w:r>
    </w:p>
    <w:p>
      <w:pPr>
        <w:pStyle w:val="6"/>
        <w:spacing w:before="10"/>
        <w:ind w:left="0" w:firstLine="0"/>
        <w:jc w:val="left"/>
        <w:rPr>
          <w:sz w:val="16"/>
        </w:rPr>
      </w:pPr>
    </w:p>
    <w:p>
      <w:pPr>
        <w:pStyle w:val="6"/>
        <w:spacing w:line="295" w:lineRule="auto"/>
        <w:ind w:right="38"/>
        <w:rPr>
          <w:rFonts w:hint="eastAsia" w:ascii="MS UI Gothic" w:eastAsia="MS UI Gothic"/>
        </w:rPr>
      </w:pPr>
      <w:r>
        <w:t>第七十条 建井期间应当尽早形成永久的供电</w:t>
      </w:r>
      <w:r>
        <w:rPr>
          <w:rFonts w:hint="eastAsia" w:ascii="MS UI Gothic" w:eastAsia="MS UI Gothic"/>
          <w:w w:val="80"/>
        </w:rPr>
        <w:t xml:space="preserve">、 </w:t>
      </w:r>
      <w:r>
        <w:t>提升运输</w:t>
      </w:r>
      <w:r>
        <w:rPr>
          <w:rFonts w:hint="eastAsia" w:ascii="MS UI Gothic" w:eastAsia="MS UI Gothic"/>
          <w:w w:val="80"/>
        </w:rPr>
        <w:t xml:space="preserve">、 </w:t>
      </w:r>
      <w:r>
        <w:t>供排水</w:t>
      </w:r>
      <w:r>
        <w:rPr>
          <w:rFonts w:hint="eastAsia" w:ascii="MS UI Gothic" w:eastAsia="MS UI Gothic"/>
          <w:w w:val="80"/>
        </w:rPr>
        <w:t xml:space="preserve">、 </w:t>
      </w:r>
      <w:r>
        <w:t>通风等系统</w:t>
      </w:r>
      <w:r>
        <w:rPr>
          <w:rFonts w:hint="eastAsia" w:ascii="MS UI Gothic" w:eastAsia="MS UI Gothic"/>
          <w:w w:val="80"/>
        </w:rPr>
        <w:t xml:space="preserve">ꎮ </w:t>
      </w:r>
      <w:r>
        <w:t>未形成上述永久系统前</w:t>
      </w:r>
      <w:r>
        <w:rPr>
          <w:rFonts w:hint="eastAsia" w:ascii="MS UI Gothic" w:eastAsia="MS UI Gothic"/>
          <w:w w:val="80"/>
        </w:rPr>
        <w:t xml:space="preserve">ꎬ </w:t>
      </w:r>
      <w:r>
        <w:t>必须建设临时系统</w:t>
      </w:r>
      <w:r>
        <w:rPr>
          <w:rFonts w:hint="eastAsia" w:ascii="MS UI Gothic" w:eastAsia="MS UI Gothic"/>
          <w:w w:val="80"/>
        </w:rPr>
        <w:t>ꎮ</w:t>
      </w:r>
    </w:p>
    <w:p>
      <w:pPr>
        <w:pStyle w:val="6"/>
        <w:spacing w:line="295" w:lineRule="auto"/>
        <w:ind w:right="38"/>
        <w:rPr>
          <w:rFonts w:hint="eastAsia" w:ascii="MS UI Gothic" w:eastAsia="MS UI Gothic"/>
        </w:rPr>
      </w:pPr>
      <w:r>
        <w:t>矿井进入主要大巷施工前</w:t>
      </w:r>
      <w:r>
        <w:rPr>
          <w:rFonts w:hint="eastAsia" w:ascii="MS UI Gothic" w:eastAsia="MS UI Gothic"/>
          <w:w w:val="80"/>
        </w:rPr>
        <w:t xml:space="preserve">ꎬ </w:t>
      </w:r>
      <w:r>
        <w:t>必须安装安全监控</w:t>
      </w:r>
      <w:r>
        <w:rPr>
          <w:rFonts w:hint="eastAsia" w:ascii="MS UI Gothic" w:eastAsia="MS UI Gothic"/>
          <w:w w:val="80"/>
        </w:rPr>
        <w:t xml:space="preserve">、 </w:t>
      </w:r>
      <w:r>
        <w:t>人员位置监测</w:t>
      </w:r>
      <w:r>
        <w:rPr>
          <w:rFonts w:hint="eastAsia" w:ascii="MS UI Gothic" w:eastAsia="MS UI Gothic"/>
          <w:w w:val="80"/>
        </w:rPr>
        <w:t xml:space="preserve">、  </w:t>
      </w:r>
      <w:r>
        <w:t>通信联络系统</w:t>
      </w:r>
      <w:r>
        <w:rPr>
          <w:rFonts w:hint="eastAsia" w:ascii="MS UI Gothic" w:eastAsia="MS UI Gothic"/>
          <w:w w:val="80"/>
        </w:rPr>
        <w:t>ꎮ</w:t>
      </w:r>
    </w:p>
    <w:p>
      <w:pPr>
        <w:pStyle w:val="6"/>
        <w:spacing w:line="295" w:lineRule="auto"/>
        <w:ind w:right="38"/>
        <w:rPr>
          <w:rFonts w:hint="eastAsia" w:ascii="MS UI Gothic" w:eastAsia="MS UI Gothic"/>
        </w:rPr>
      </w:pPr>
      <w:r>
        <w:t>第七十一条 建井期间应当形成两回路供电</w:t>
      </w:r>
      <w:r>
        <w:rPr>
          <w:rFonts w:hint="eastAsia" w:ascii="MS UI Gothic" w:eastAsia="MS UI Gothic"/>
          <w:w w:val="80"/>
        </w:rPr>
        <w:t xml:space="preserve">ꎮ </w:t>
      </w:r>
      <w:r>
        <w:t>当任一回路停止供电时</w:t>
      </w:r>
      <w:r>
        <w:rPr>
          <w:rFonts w:hint="eastAsia" w:ascii="MS UI Gothic" w:eastAsia="MS UI Gothic"/>
          <w:w w:val="80"/>
        </w:rPr>
        <w:t xml:space="preserve">ꎬ </w:t>
      </w:r>
      <w:r>
        <w:t>另一回路应当能担负矿井全部用电负荷</w:t>
      </w:r>
      <w:r>
        <w:rPr>
          <w:rFonts w:hint="eastAsia" w:ascii="MS UI Gothic" w:eastAsia="MS UI Gothic"/>
          <w:w w:val="80"/>
        </w:rPr>
        <w:t xml:space="preserve">ꎮ </w:t>
      </w:r>
      <w:r>
        <w:t>暂不能形成两回路供电的</w:t>
      </w:r>
      <w:r>
        <w:rPr>
          <w:rFonts w:hint="eastAsia" w:ascii="MS UI Gothic" w:eastAsia="MS UI Gothic"/>
          <w:w w:val="80"/>
        </w:rPr>
        <w:t xml:space="preserve">ꎬ </w:t>
      </w:r>
      <w:r>
        <w:t>必须有备用电源</w:t>
      </w:r>
      <w:r>
        <w:rPr>
          <w:rFonts w:hint="eastAsia" w:ascii="MS UI Gothic" w:eastAsia="MS UI Gothic"/>
          <w:w w:val="80"/>
        </w:rPr>
        <w:t xml:space="preserve">ꎬ </w:t>
      </w:r>
      <w:r>
        <w:t>备用电源的容量应当满足通风</w:t>
      </w:r>
      <w:r>
        <w:rPr>
          <w:rFonts w:hint="eastAsia" w:ascii="MS UI Gothic" w:eastAsia="MS UI Gothic"/>
          <w:w w:val="80"/>
        </w:rPr>
        <w:t xml:space="preserve">、 </w:t>
      </w:r>
      <w:r>
        <w:t>排水和撤出人员的需要</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t>高瓦斯</w:t>
      </w:r>
      <w:r>
        <w:rPr>
          <w:rFonts w:hint="eastAsia" w:ascii="MS UI Gothic" w:eastAsia="MS UI Gothic"/>
          <w:w w:val="80"/>
        </w:rPr>
        <w:t xml:space="preserve">、 </w:t>
      </w:r>
      <w:r>
        <w:t>煤与瓦斯突出</w:t>
      </w:r>
      <w:r>
        <w:rPr>
          <w:rFonts w:hint="eastAsia" w:ascii="MS UI Gothic" w:eastAsia="MS UI Gothic"/>
          <w:w w:val="80"/>
        </w:rPr>
        <w:t xml:space="preserve">、 </w:t>
      </w:r>
      <w:r>
        <w:t>水文地质类型复杂和极复杂的矿井进入巷道和硐室施工前</w:t>
      </w:r>
      <w:r>
        <w:rPr>
          <w:rFonts w:hint="eastAsia" w:ascii="MS UI Gothic" w:eastAsia="MS UI Gothic"/>
          <w:w w:val="80"/>
        </w:rPr>
        <w:t xml:space="preserve">ꎬ </w:t>
      </w:r>
      <w:r>
        <w:t>其他矿井进入采区巷道施工前</w:t>
      </w:r>
      <w:r>
        <w:rPr>
          <w:rFonts w:hint="eastAsia" w:ascii="MS UI Gothic" w:eastAsia="MS UI Gothic"/>
          <w:w w:val="80"/>
        </w:rPr>
        <w:t xml:space="preserve">ꎬ </w:t>
      </w:r>
      <w:r>
        <w:t>必须形成两回路供电</w:t>
      </w:r>
      <w:r>
        <w:rPr>
          <w:rFonts w:hint="eastAsia" w:ascii="MS UI Gothic" w:eastAsia="MS UI Gothic"/>
          <w:w w:val="80"/>
        </w:rPr>
        <w:t>ꎮ</w:t>
      </w:r>
    </w:p>
    <w:p>
      <w:pPr>
        <w:pStyle w:val="6"/>
        <w:spacing w:line="295" w:lineRule="auto"/>
        <w:ind w:right="442"/>
        <w:rPr>
          <w:rFonts w:hint="eastAsia" w:ascii="MS UI Gothic" w:eastAsia="MS UI Gothic"/>
        </w:rPr>
      </w:pPr>
      <w:r>
        <w:t>第七十二条 悬挂吊盘</w:t>
      </w:r>
      <w:r>
        <w:rPr>
          <w:rFonts w:hint="eastAsia" w:ascii="MS UI Gothic" w:eastAsia="MS UI Gothic"/>
          <w:w w:val="80"/>
        </w:rPr>
        <w:t xml:space="preserve">、 </w:t>
      </w:r>
      <w:r>
        <w:t>模板</w:t>
      </w:r>
      <w:r>
        <w:rPr>
          <w:rFonts w:hint="eastAsia" w:ascii="MS UI Gothic" w:eastAsia="MS UI Gothic"/>
          <w:w w:val="80"/>
        </w:rPr>
        <w:t xml:space="preserve">、  </w:t>
      </w:r>
      <w:r>
        <w:t>抓岩机</w:t>
      </w:r>
      <w:r>
        <w:rPr>
          <w:rFonts w:hint="eastAsia" w:ascii="MS UI Gothic" w:eastAsia="MS UI Gothic"/>
          <w:w w:val="80"/>
        </w:rPr>
        <w:t xml:space="preserve">、 </w:t>
      </w:r>
      <w:r>
        <w:t>管路</w:t>
      </w:r>
      <w:r>
        <w:rPr>
          <w:rFonts w:hint="eastAsia" w:ascii="MS UI Gothic" w:eastAsia="MS UI Gothic"/>
          <w:w w:val="80"/>
        </w:rPr>
        <w:t xml:space="preserve">、 </w:t>
      </w:r>
      <w:r>
        <w:t>电缆和安全梯的凿井绞车</w:t>
      </w:r>
      <w:r>
        <w:rPr>
          <w:rFonts w:hint="eastAsia" w:ascii="MS UI Gothic" w:eastAsia="MS UI Gothic"/>
          <w:w w:val="80"/>
        </w:rPr>
        <w:t xml:space="preserve">ꎬ </w:t>
      </w:r>
      <w:r>
        <w:t>必须装设制动装置和防逆转装置</w:t>
      </w:r>
      <w:r>
        <w:rPr>
          <w:rFonts w:hint="eastAsia" w:ascii="MS UI Gothic" w:eastAsia="MS UI Gothic"/>
          <w:w w:val="80"/>
        </w:rPr>
        <w:t xml:space="preserve">ꎬ </w:t>
      </w:r>
      <w:r>
        <w:t>并设有电气闭锁</w:t>
      </w:r>
      <w:r>
        <w:rPr>
          <w:rFonts w:hint="eastAsia" w:ascii="MS UI Gothic" w:eastAsia="MS UI Gothic"/>
          <w:w w:val="80"/>
        </w:rPr>
        <w:t>ꎮ</w:t>
      </w:r>
    </w:p>
    <w:p>
      <w:pPr>
        <w:pStyle w:val="6"/>
        <w:spacing w:line="292" w:lineRule="auto"/>
        <w:ind w:right="440"/>
        <w:rPr>
          <w:rFonts w:hint="eastAsia" w:ascii="MS UI Gothic" w:eastAsia="MS UI Gothic"/>
        </w:rPr>
      </w:pPr>
      <w:r>
        <w:rPr>
          <w:spacing w:val="3"/>
          <w:w w:val="95"/>
        </w:rPr>
        <w:t>第七十三条  建井期间</w:t>
      </w:r>
      <w:r>
        <w:rPr>
          <w:rFonts w:hint="eastAsia" w:ascii="MS UI Gothic" w:eastAsia="MS UI Gothic"/>
          <w:spacing w:val="14"/>
          <w:w w:val="75"/>
        </w:rPr>
        <w:t xml:space="preserve">ꎬ  </w:t>
      </w:r>
      <w:r>
        <w:rPr>
          <w:rFonts w:hint="eastAsia" w:ascii="MS UI Gothic" w:eastAsia="MS UI Gothic"/>
          <w:spacing w:val="13"/>
          <w:w w:val="95"/>
        </w:rPr>
        <w:t xml:space="preserve">２ </w:t>
      </w:r>
      <w:r>
        <w:rPr>
          <w:spacing w:val="5"/>
          <w:w w:val="95"/>
        </w:rPr>
        <w:t>个提升容</w:t>
      </w:r>
      <w:r>
        <w:rPr>
          <w:spacing w:val="3"/>
          <w:w w:val="95"/>
        </w:rPr>
        <w:t>器的导向装置最突出部分之间的间隙</w:t>
      </w:r>
      <w:r>
        <w:rPr>
          <w:rFonts w:hint="eastAsia" w:ascii="MS UI Gothic" w:eastAsia="MS UI Gothic"/>
          <w:w w:val="75"/>
        </w:rPr>
        <w:t xml:space="preserve">ꎬ    </w:t>
      </w:r>
      <w:r>
        <w:rPr>
          <w:w w:val="95"/>
        </w:rPr>
        <w:t>不</w:t>
      </w:r>
      <w:r>
        <w:rPr>
          <w:spacing w:val="-6"/>
          <w:w w:val="95"/>
        </w:rPr>
        <w:t xml:space="preserve">得小于 </w:t>
      </w:r>
      <w:r>
        <w:rPr>
          <w:rFonts w:hint="eastAsia" w:ascii="MS UI Gothic" w:eastAsia="MS UI Gothic"/>
          <w:spacing w:val="5"/>
          <w:w w:val="95"/>
        </w:rPr>
        <w:t>０</w:t>
      </w:r>
      <w:r>
        <w:rPr>
          <w:rFonts w:hint="eastAsia" w:ascii="MS UI Gothic" w:eastAsia="MS UI Gothic"/>
          <w:spacing w:val="18"/>
          <w:w w:val="75"/>
        </w:rPr>
        <w:t xml:space="preserve">ꎮ </w:t>
      </w:r>
      <w:r>
        <w:rPr>
          <w:rFonts w:hint="eastAsia" w:ascii="MS UI Gothic" w:eastAsia="MS UI Gothic"/>
          <w:spacing w:val="-14"/>
          <w:w w:val="95"/>
        </w:rPr>
        <w:t xml:space="preserve">２ </w:t>
      </w:r>
      <w:r>
        <w:rPr>
          <w:rFonts w:hint="eastAsia" w:ascii="MS UI Gothic" w:eastAsia="MS UI Gothic"/>
          <w:spacing w:val="-10"/>
          <w:w w:val="75"/>
          <w:position w:val="1"/>
        </w:rPr>
        <w:t xml:space="preserve">＋ </w:t>
      </w:r>
      <w:r>
        <w:rPr>
          <w:rFonts w:hint="eastAsia" w:ascii="MS UI Gothic" w:eastAsia="MS UI Gothic"/>
          <w:spacing w:val="-19"/>
          <w:w w:val="95"/>
        </w:rPr>
        <w:t xml:space="preserve">Ｈ </w:t>
      </w:r>
      <w:r>
        <w:rPr>
          <w:rFonts w:hint="eastAsia" w:ascii="MS UI Gothic" w:eastAsia="MS UI Gothic"/>
          <w:w w:val="75"/>
        </w:rPr>
        <w:t>/</w:t>
      </w:r>
      <w:r>
        <w:rPr>
          <w:rFonts w:hint="eastAsia" w:ascii="MS UI Gothic" w:eastAsia="MS UI Gothic"/>
          <w:spacing w:val="-19"/>
          <w:w w:val="75"/>
        </w:rPr>
        <w:t xml:space="preserve"> </w:t>
      </w:r>
      <w:r>
        <w:rPr>
          <w:rFonts w:hint="eastAsia" w:ascii="MS UI Gothic" w:eastAsia="MS UI Gothic"/>
          <w:spacing w:val="6"/>
          <w:w w:val="95"/>
        </w:rPr>
        <w:t xml:space="preserve">３０００ </w:t>
      </w:r>
      <w:r>
        <w:rPr>
          <w:rFonts w:hint="eastAsia" w:ascii="MS UI Gothic" w:eastAsia="MS UI Gothic"/>
          <w:spacing w:val="-30"/>
          <w:w w:val="140"/>
        </w:rPr>
        <w:t xml:space="preserve">( </w:t>
      </w:r>
      <w:r>
        <w:rPr>
          <w:rFonts w:hint="eastAsia" w:ascii="MS UI Gothic" w:eastAsia="MS UI Gothic"/>
          <w:spacing w:val="2"/>
          <w:w w:val="95"/>
        </w:rPr>
        <w:t xml:space="preserve">Ｈ </w:t>
      </w:r>
      <w:r>
        <w:rPr>
          <w:spacing w:val="23"/>
          <w:w w:val="95"/>
        </w:rPr>
        <w:t>为提升高度</w:t>
      </w:r>
      <w:r>
        <w:rPr>
          <w:rFonts w:hint="eastAsia" w:ascii="MS UI Gothic" w:eastAsia="MS UI Gothic"/>
          <w:w w:val="75"/>
        </w:rPr>
        <w:t>ꎬ</w:t>
      </w:r>
      <w:r>
        <w:rPr>
          <w:spacing w:val="5"/>
          <w:w w:val="102"/>
        </w:rPr>
        <w:t>单位为</w:t>
      </w:r>
      <w:r>
        <w:rPr>
          <w:spacing w:val="-36"/>
        </w:rPr>
        <w:t xml:space="preserve"> </w:t>
      </w:r>
      <w:r>
        <w:rPr>
          <w:rFonts w:hint="eastAsia" w:ascii="MS UI Gothic" w:eastAsia="MS UI Gothic"/>
          <w:spacing w:val="8"/>
          <w:w w:val="79"/>
        </w:rPr>
        <w:t>ｍ</w:t>
      </w:r>
      <w:r>
        <w:rPr>
          <w:rFonts w:hint="eastAsia" w:ascii="MS UI Gothic" w:eastAsia="MS UI Gothic"/>
          <w:w w:val="168"/>
        </w:rPr>
        <w:t>)</w:t>
      </w:r>
      <w:r>
        <w:rPr>
          <w:rFonts w:hint="eastAsia" w:ascii="MS UI Gothic" w:eastAsia="MS UI Gothic"/>
          <w:spacing w:val="-40"/>
        </w:rPr>
        <w:t xml:space="preserve"> </w:t>
      </w:r>
      <w:r>
        <w:rPr>
          <w:rFonts w:hint="eastAsia" w:ascii="MS UI Gothic" w:eastAsia="MS UI Gothic"/>
          <w:w w:val="51"/>
        </w:rPr>
        <w:t>ꎻ</w:t>
      </w:r>
      <w:r>
        <w:rPr>
          <w:rFonts w:hint="eastAsia" w:ascii="MS UI Gothic" w:eastAsia="MS UI Gothic"/>
          <w:spacing w:val="-6"/>
        </w:rPr>
        <w:t xml:space="preserve">  </w:t>
      </w:r>
      <w:r>
        <w:rPr>
          <w:spacing w:val="7"/>
          <w:w w:val="102"/>
        </w:rPr>
        <w:t>井筒深度小于</w:t>
      </w:r>
      <w:r>
        <w:rPr>
          <w:spacing w:val="-42"/>
        </w:rPr>
        <w:t xml:space="preserve"> </w:t>
      </w:r>
      <w:r>
        <w:rPr>
          <w:rFonts w:hint="eastAsia" w:ascii="MS UI Gothic" w:eastAsia="MS UI Gothic"/>
          <w:w w:val="75"/>
        </w:rPr>
        <w:t>３００</w:t>
      </w:r>
      <w:r>
        <w:rPr>
          <w:rFonts w:hint="eastAsia" w:ascii="MS UI Gothic" w:eastAsia="MS UI Gothic"/>
          <w:spacing w:val="22"/>
        </w:rPr>
        <w:t xml:space="preserve"> </w:t>
      </w:r>
      <w:r>
        <w:rPr>
          <w:rFonts w:hint="eastAsia" w:ascii="MS UI Gothic" w:eastAsia="MS UI Gothic"/>
          <w:w w:val="79"/>
        </w:rPr>
        <w:t>ｍ</w:t>
      </w:r>
      <w:r>
        <w:rPr>
          <w:rFonts w:hint="eastAsia" w:ascii="MS UI Gothic" w:eastAsia="MS UI Gothic"/>
          <w:spacing w:val="4"/>
        </w:rPr>
        <w:t xml:space="preserve"> </w:t>
      </w:r>
      <w:r>
        <w:rPr>
          <w:spacing w:val="3"/>
          <w:w w:val="102"/>
        </w:rPr>
        <w:t>时</w:t>
      </w:r>
      <w:r>
        <w:rPr>
          <w:rFonts w:hint="eastAsia" w:ascii="MS UI Gothic" w:eastAsia="MS UI Gothic"/>
          <w:w w:val="51"/>
        </w:rPr>
        <w:t>ꎬ</w:t>
      </w:r>
      <w:r>
        <w:rPr>
          <w:rFonts w:hint="eastAsia" w:ascii="MS UI Gothic" w:eastAsia="MS UI Gothic"/>
          <w:spacing w:val="-6"/>
        </w:rPr>
        <w:t xml:space="preserve">  </w:t>
      </w:r>
      <w:r>
        <w:rPr>
          <w:w w:val="102"/>
        </w:rPr>
        <w:t>上</w:t>
      </w:r>
      <w:r>
        <w:rPr>
          <w:spacing w:val="-5"/>
          <w:w w:val="95"/>
        </w:rPr>
        <w:t xml:space="preserve">述间隙不得小于 </w:t>
      </w:r>
      <w:r>
        <w:rPr>
          <w:rFonts w:hint="eastAsia" w:ascii="MS UI Gothic" w:eastAsia="MS UI Gothic"/>
          <w:spacing w:val="3"/>
          <w:w w:val="95"/>
        </w:rPr>
        <w:t xml:space="preserve">３００ </w:t>
      </w:r>
      <w:r>
        <w:rPr>
          <w:rFonts w:hint="eastAsia" w:ascii="MS UI Gothic" w:eastAsia="MS UI Gothic"/>
          <w:w w:val="95"/>
        </w:rPr>
        <w:t>ｍｍ</w:t>
      </w:r>
      <w:r>
        <w:rPr>
          <w:rFonts w:hint="eastAsia" w:ascii="MS UI Gothic" w:eastAsia="MS UI Gothic"/>
          <w:w w:val="75"/>
        </w:rPr>
        <w:t>ꎮ</w:t>
      </w:r>
    </w:p>
    <w:p>
      <w:pPr>
        <w:pStyle w:val="6"/>
        <w:spacing w:line="295" w:lineRule="auto"/>
        <w:ind w:right="442"/>
        <w:rPr>
          <w:rFonts w:hint="eastAsia" w:ascii="MS UI Gothic" w:eastAsia="MS UI Gothic"/>
        </w:rPr>
      </w:pPr>
      <w:r>
        <w:t>立井凿井期间</w:t>
      </w:r>
      <w:r>
        <w:rPr>
          <w:rFonts w:hint="eastAsia" w:ascii="MS UI Gothic" w:eastAsia="MS UI Gothic"/>
          <w:w w:val="80"/>
        </w:rPr>
        <w:t xml:space="preserve">ꎬ </w:t>
      </w:r>
      <w:r>
        <w:t xml:space="preserve">井筒内各设施之间的间隙应当符合表 </w:t>
      </w:r>
      <w:r>
        <w:rPr>
          <w:rFonts w:hint="eastAsia" w:ascii="MS UI Gothic" w:eastAsia="MS UI Gothic"/>
          <w:w w:val="80"/>
        </w:rPr>
        <w:t xml:space="preserve">１ </w:t>
      </w:r>
      <w:r>
        <w:t>的要求</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2"/>
        <w:ind w:left="0" w:firstLine="0"/>
        <w:jc w:val="left"/>
        <w:rPr>
          <w:rFonts w:ascii="MS UI Gothic"/>
          <w:sz w:val="10"/>
        </w:rPr>
      </w:pPr>
    </w:p>
    <w:p>
      <w:pPr>
        <w:pStyle w:val="6"/>
        <w:spacing w:before="174"/>
        <w:ind w:left="310" w:right="631" w:firstLine="0"/>
        <w:jc w:val="center"/>
      </w:pPr>
      <w:r>
        <w:rPr>
          <w:spacing w:val="-28"/>
          <w:w w:val="95"/>
        </w:rPr>
        <w:t xml:space="preserve">表 </w:t>
      </w:r>
      <w:r>
        <w:rPr>
          <w:rFonts w:hint="eastAsia" w:ascii="MS UI Gothic" w:eastAsia="MS UI Gothic"/>
          <w:spacing w:val="23"/>
          <w:w w:val="95"/>
        </w:rPr>
        <w:t xml:space="preserve">１ </w:t>
      </w:r>
      <w:r>
        <w:rPr>
          <w:spacing w:val="2"/>
          <w:w w:val="95"/>
        </w:rPr>
        <w:t>立井凿井期间井筒内各设施之间的间隙</w:t>
      </w:r>
    </w:p>
    <w:p>
      <w:pPr>
        <w:pStyle w:val="6"/>
        <w:spacing w:before="1"/>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637"/>
        <w:gridCol w:w="5570"/>
        <w:gridCol w:w="1758"/>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637" w:type="dxa"/>
            <w:tcBorders>
              <w:bottom w:val="single" w:color="231F20" w:sz="4" w:space="0"/>
              <w:right w:val="single" w:color="231F20" w:sz="4" w:space="0"/>
            </w:tcBorders>
          </w:tcPr>
          <w:p>
            <w:pPr>
              <w:pStyle w:val="11"/>
              <w:spacing w:before="50"/>
              <w:ind w:left="138" w:right="129"/>
              <w:jc w:val="center"/>
              <w:rPr>
                <w:sz w:val="15"/>
              </w:rPr>
            </w:pPr>
            <w:r>
              <w:rPr>
                <w:w w:val="105"/>
                <w:sz w:val="15"/>
              </w:rPr>
              <w:t>序号</w:t>
            </w:r>
          </w:p>
        </w:tc>
        <w:tc>
          <w:tcPr>
            <w:tcW w:w="5570" w:type="dxa"/>
            <w:tcBorders>
              <w:left w:val="single" w:color="231F20" w:sz="4" w:space="0"/>
              <w:bottom w:val="single" w:color="231F20" w:sz="4" w:space="0"/>
              <w:right w:val="single" w:color="231F20" w:sz="4" w:space="0"/>
            </w:tcBorders>
          </w:tcPr>
          <w:p>
            <w:pPr>
              <w:pStyle w:val="11"/>
              <w:spacing w:before="50"/>
              <w:ind w:left="2058" w:right="2044"/>
              <w:jc w:val="center"/>
              <w:rPr>
                <w:sz w:val="15"/>
              </w:rPr>
            </w:pPr>
            <w:r>
              <w:rPr>
                <w:w w:val="105"/>
                <w:sz w:val="15"/>
              </w:rPr>
              <w:t>井  筒  内  设  施</w:t>
            </w:r>
          </w:p>
        </w:tc>
        <w:tc>
          <w:tcPr>
            <w:tcW w:w="1758" w:type="dxa"/>
            <w:tcBorders>
              <w:left w:val="single" w:color="231F20" w:sz="4" w:space="0"/>
              <w:bottom w:val="single" w:color="231F20" w:sz="4" w:space="0"/>
            </w:tcBorders>
          </w:tcPr>
          <w:p>
            <w:pPr>
              <w:pStyle w:val="11"/>
              <w:spacing w:before="50"/>
              <w:ind w:left="539" w:right="521"/>
              <w:jc w:val="center"/>
              <w:rPr>
                <w:rFonts w:hint="eastAsia" w:ascii="MS UI Gothic" w:eastAsia="MS UI Gothic"/>
                <w:sz w:val="15"/>
              </w:rPr>
            </w:pPr>
            <w:r>
              <w:rPr>
                <w:w w:val="95"/>
                <w:sz w:val="15"/>
              </w:rPr>
              <w:t>间隙</w:t>
            </w:r>
            <w:r>
              <w:rPr>
                <w:rFonts w:hint="eastAsia" w:ascii="MS UI Gothic" w:eastAsia="MS UI Gothic"/>
                <w:w w:val="75"/>
                <w:sz w:val="15"/>
              </w:rPr>
              <w:t xml:space="preserve">/ </w:t>
            </w:r>
            <w:r>
              <w:rPr>
                <w:rFonts w:hint="eastAsia" w:ascii="MS UI Gothic" w:eastAsia="MS UI Gothic"/>
                <w:w w:val="95"/>
                <w:sz w:val="15"/>
              </w:rPr>
              <w:t>ｍｍ</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37" w:type="dxa"/>
            <w:tcBorders>
              <w:top w:val="single" w:color="231F20" w:sz="4" w:space="0"/>
              <w:bottom w:val="single" w:color="231F20" w:sz="4" w:space="0"/>
              <w:right w:val="single" w:color="231F20" w:sz="4" w:space="0"/>
            </w:tcBorders>
          </w:tcPr>
          <w:p>
            <w:pPr>
              <w:pStyle w:val="11"/>
              <w:spacing w:before="55"/>
              <w:ind w:left="5"/>
              <w:jc w:val="center"/>
              <w:rPr>
                <w:rFonts w:hint="eastAsia" w:ascii="MS UI Gothic" w:eastAsia="MS UI Gothic"/>
                <w:sz w:val="15"/>
              </w:rPr>
            </w:pPr>
            <w:r>
              <w:rPr>
                <w:rFonts w:hint="eastAsia" w:ascii="MS UI Gothic" w:eastAsia="MS UI Gothic"/>
                <w:w w:val="75"/>
                <w:sz w:val="15"/>
              </w:rPr>
              <w:t>１</w:t>
            </w:r>
          </w:p>
        </w:tc>
        <w:tc>
          <w:tcPr>
            <w:tcW w:w="5570"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w w:val="105"/>
                <w:sz w:val="15"/>
              </w:rPr>
              <w:t>吊桶最突出部分与孔口之间</w:t>
            </w:r>
          </w:p>
        </w:tc>
        <w:tc>
          <w:tcPr>
            <w:tcW w:w="1758" w:type="dxa"/>
            <w:tcBorders>
              <w:top w:val="single" w:color="231F20" w:sz="4" w:space="0"/>
              <w:left w:val="single" w:color="231F20" w:sz="4" w:space="0"/>
              <w:bottom w:val="single" w:color="231F20" w:sz="4" w:space="0"/>
            </w:tcBorders>
          </w:tcPr>
          <w:p>
            <w:pPr>
              <w:pStyle w:val="11"/>
              <w:spacing w:before="55"/>
              <w:ind w:left="539" w:right="52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1"/>
                <w:w w:val="75"/>
                <w:sz w:val="15"/>
              </w:rPr>
              <w:t>５</w:t>
            </w:r>
            <w:r>
              <w:rPr>
                <w:rFonts w:hint="eastAsia" w:ascii="MS UI Gothic" w:hAnsi="MS UI Gothic" w:eastAsia="MS UI Gothic"/>
                <w:w w:val="75"/>
                <w:sz w:val="15"/>
              </w:rPr>
              <w:t>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37" w:type="dxa"/>
            <w:tcBorders>
              <w:top w:val="single" w:color="231F20" w:sz="4" w:space="0"/>
              <w:bottom w:val="single" w:color="231F20" w:sz="4" w:space="0"/>
              <w:right w:val="single" w:color="231F20" w:sz="4" w:space="0"/>
            </w:tcBorders>
          </w:tcPr>
          <w:p>
            <w:pPr>
              <w:pStyle w:val="11"/>
              <w:spacing w:before="55"/>
              <w:ind w:left="5"/>
              <w:jc w:val="center"/>
              <w:rPr>
                <w:rFonts w:hint="eastAsia" w:ascii="MS UI Gothic" w:eastAsia="MS UI Gothic"/>
                <w:sz w:val="15"/>
              </w:rPr>
            </w:pPr>
            <w:r>
              <w:rPr>
                <w:rFonts w:hint="eastAsia" w:ascii="MS UI Gothic" w:eastAsia="MS UI Gothic"/>
                <w:w w:val="75"/>
                <w:sz w:val="15"/>
              </w:rPr>
              <w:t>２</w:t>
            </w:r>
          </w:p>
        </w:tc>
        <w:tc>
          <w:tcPr>
            <w:tcW w:w="5570"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w w:val="105"/>
                <w:sz w:val="15"/>
              </w:rPr>
              <w:t>吊桶上滑架与孔口之间</w:t>
            </w:r>
          </w:p>
        </w:tc>
        <w:tc>
          <w:tcPr>
            <w:tcW w:w="1758" w:type="dxa"/>
            <w:tcBorders>
              <w:top w:val="single" w:color="231F20" w:sz="4" w:space="0"/>
              <w:left w:val="single" w:color="231F20" w:sz="4" w:space="0"/>
              <w:bottom w:val="single" w:color="231F20" w:sz="4" w:space="0"/>
            </w:tcBorders>
          </w:tcPr>
          <w:p>
            <w:pPr>
              <w:pStyle w:val="11"/>
              <w:spacing w:before="55"/>
              <w:ind w:left="539" w:right="52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1"/>
                <w:w w:val="75"/>
                <w:sz w:val="15"/>
              </w:rPr>
              <w:t>０</w:t>
            </w:r>
            <w:r>
              <w:rPr>
                <w:rFonts w:hint="eastAsia" w:ascii="MS UI Gothic" w:hAnsi="MS UI Gothic" w:eastAsia="MS UI Gothic"/>
                <w:w w:val="75"/>
                <w:sz w:val="15"/>
              </w:rPr>
              <w:t>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37" w:type="dxa"/>
            <w:tcBorders>
              <w:top w:val="single" w:color="231F20" w:sz="4" w:space="0"/>
              <w:bottom w:val="single" w:color="231F20" w:sz="4" w:space="0"/>
              <w:right w:val="single" w:color="231F20" w:sz="4" w:space="0"/>
            </w:tcBorders>
          </w:tcPr>
          <w:p>
            <w:pPr>
              <w:pStyle w:val="11"/>
              <w:spacing w:before="55"/>
              <w:ind w:left="5"/>
              <w:jc w:val="center"/>
              <w:rPr>
                <w:rFonts w:hint="eastAsia" w:ascii="MS UI Gothic" w:eastAsia="MS UI Gothic"/>
                <w:sz w:val="15"/>
              </w:rPr>
            </w:pPr>
            <w:r>
              <w:rPr>
                <w:rFonts w:hint="eastAsia" w:ascii="MS UI Gothic" w:eastAsia="MS UI Gothic"/>
                <w:w w:val="75"/>
                <w:sz w:val="15"/>
              </w:rPr>
              <w:t>３</w:t>
            </w:r>
          </w:p>
        </w:tc>
        <w:tc>
          <w:tcPr>
            <w:tcW w:w="5570"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w w:val="105"/>
                <w:sz w:val="15"/>
              </w:rPr>
              <w:t>抓岩机停止工作</w:t>
            </w:r>
            <w:r>
              <w:rPr>
                <w:rFonts w:hint="eastAsia" w:ascii="MS UI Gothic" w:eastAsia="MS UI Gothic"/>
                <w:w w:val="80"/>
                <w:sz w:val="15"/>
              </w:rPr>
              <w:t xml:space="preserve">ꎬ </w:t>
            </w:r>
            <w:r>
              <w:rPr>
                <w:w w:val="105"/>
                <w:sz w:val="15"/>
              </w:rPr>
              <w:t>抓斗悬吊时的最突出部分与运行的吊桶之间</w:t>
            </w:r>
          </w:p>
        </w:tc>
        <w:tc>
          <w:tcPr>
            <w:tcW w:w="1758" w:type="dxa"/>
            <w:tcBorders>
              <w:top w:val="single" w:color="231F20" w:sz="4" w:space="0"/>
              <w:left w:val="single" w:color="231F20" w:sz="4" w:space="0"/>
              <w:bottom w:val="single" w:color="231F20" w:sz="4" w:space="0"/>
            </w:tcBorders>
          </w:tcPr>
          <w:p>
            <w:pPr>
              <w:pStyle w:val="11"/>
              <w:spacing w:before="55"/>
              <w:ind w:left="539" w:right="52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２</w:t>
            </w:r>
            <w:r>
              <w:rPr>
                <w:rFonts w:hint="eastAsia" w:ascii="MS UI Gothic" w:hAnsi="MS UI Gothic" w:eastAsia="MS UI Gothic"/>
                <w:spacing w:val="-1"/>
                <w:w w:val="75"/>
                <w:sz w:val="15"/>
              </w:rPr>
              <w:t>０</w:t>
            </w:r>
            <w:r>
              <w:rPr>
                <w:rFonts w:hint="eastAsia" w:ascii="MS UI Gothic" w:hAnsi="MS UI Gothic" w:eastAsia="MS UI Gothic"/>
                <w:w w:val="75"/>
                <w:sz w:val="15"/>
              </w:rPr>
              <w:t>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37" w:type="dxa"/>
            <w:tcBorders>
              <w:top w:val="single" w:color="231F20" w:sz="4" w:space="0"/>
              <w:bottom w:val="single" w:color="231F20" w:sz="4" w:space="0"/>
              <w:right w:val="single" w:color="231F20" w:sz="4" w:space="0"/>
            </w:tcBorders>
          </w:tcPr>
          <w:p>
            <w:pPr>
              <w:pStyle w:val="11"/>
              <w:spacing w:before="55"/>
              <w:ind w:left="5"/>
              <w:jc w:val="center"/>
              <w:rPr>
                <w:rFonts w:hint="eastAsia" w:ascii="MS UI Gothic" w:eastAsia="MS UI Gothic"/>
                <w:sz w:val="15"/>
              </w:rPr>
            </w:pPr>
            <w:r>
              <w:rPr>
                <w:rFonts w:hint="eastAsia" w:ascii="MS UI Gothic" w:eastAsia="MS UI Gothic"/>
                <w:w w:val="75"/>
                <w:sz w:val="15"/>
              </w:rPr>
              <w:t>４</w:t>
            </w:r>
          </w:p>
        </w:tc>
        <w:tc>
          <w:tcPr>
            <w:tcW w:w="5570" w:type="dxa"/>
            <w:tcBorders>
              <w:top w:val="single" w:color="231F20" w:sz="4" w:space="0"/>
              <w:left w:val="single" w:color="231F20" w:sz="4" w:space="0"/>
              <w:bottom w:val="single" w:color="231F20" w:sz="4" w:space="0"/>
              <w:right w:val="single" w:color="231F20" w:sz="4" w:space="0"/>
            </w:tcBorders>
          </w:tcPr>
          <w:p>
            <w:pPr>
              <w:pStyle w:val="11"/>
              <w:spacing w:before="55"/>
              <w:ind w:left="268"/>
              <w:rPr>
                <w:rFonts w:hint="eastAsia" w:ascii="MS UI Gothic" w:eastAsia="MS UI Gothic"/>
                <w:sz w:val="15"/>
              </w:rPr>
            </w:pPr>
            <w:r>
              <w:rPr>
                <w:w w:val="110"/>
                <w:sz w:val="15"/>
              </w:rPr>
              <w:t>管</w:t>
            </w:r>
            <w:r>
              <w:rPr>
                <w:rFonts w:hint="eastAsia" w:ascii="MS UI Gothic" w:eastAsia="MS UI Gothic"/>
                <w:sz w:val="15"/>
              </w:rPr>
              <w:t xml:space="preserve">、 </w:t>
            </w:r>
            <w:r>
              <w:rPr>
                <w:w w:val="110"/>
                <w:sz w:val="15"/>
              </w:rPr>
              <w:t xml:space="preserve">线与永久井壁之间 </w:t>
            </w:r>
            <w:r>
              <w:rPr>
                <w:rFonts w:hint="eastAsia" w:ascii="MS UI Gothic" w:eastAsia="MS UI Gothic"/>
                <w:w w:val="150"/>
                <w:sz w:val="15"/>
              </w:rPr>
              <w:t xml:space="preserve">( </w:t>
            </w:r>
            <w:r>
              <w:rPr>
                <w:w w:val="110"/>
                <w:sz w:val="15"/>
              </w:rPr>
              <w:t>井壁固定管线除外</w:t>
            </w:r>
            <w:r>
              <w:rPr>
                <w:rFonts w:hint="eastAsia" w:ascii="MS UI Gothic" w:eastAsia="MS UI Gothic"/>
                <w:w w:val="150"/>
                <w:sz w:val="15"/>
              </w:rPr>
              <w:t>)</w:t>
            </w:r>
          </w:p>
        </w:tc>
        <w:tc>
          <w:tcPr>
            <w:tcW w:w="1758" w:type="dxa"/>
            <w:tcBorders>
              <w:top w:val="single" w:color="231F20" w:sz="4" w:space="0"/>
              <w:left w:val="single" w:color="231F20" w:sz="4" w:space="0"/>
              <w:bottom w:val="single" w:color="231F20" w:sz="4" w:space="0"/>
            </w:tcBorders>
          </w:tcPr>
          <w:p>
            <w:pPr>
              <w:pStyle w:val="11"/>
              <w:spacing w:before="55"/>
              <w:ind w:left="539" w:right="52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1"/>
                <w:w w:val="75"/>
                <w:sz w:val="15"/>
              </w:rPr>
              <w:t>５</w:t>
            </w:r>
            <w:r>
              <w:rPr>
                <w:rFonts w:hint="eastAsia" w:ascii="MS UI Gothic" w:hAnsi="MS UI Gothic" w:eastAsia="MS UI Gothic"/>
                <w:w w:val="75"/>
                <w:sz w:val="15"/>
              </w:rPr>
              <w:t>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37" w:hRule="atLeast"/>
        </w:trPr>
        <w:tc>
          <w:tcPr>
            <w:tcW w:w="637" w:type="dxa"/>
            <w:tcBorders>
              <w:top w:val="single" w:color="231F20" w:sz="4" w:space="0"/>
              <w:bottom w:val="nil"/>
              <w:right w:val="single" w:color="231F20" w:sz="4" w:space="0"/>
            </w:tcBorders>
          </w:tcPr>
          <w:p>
            <w:pPr>
              <w:pStyle w:val="11"/>
              <w:rPr>
                <w:rFonts w:ascii="Times New Roman"/>
                <w:sz w:val="18"/>
              </w:rPr>
            </w:pPr>
          </w:p>
        </w:tc>
        <w:tc>
          <w:tcPr>
            <w:tcW w:w="5570" w:type="dxa"/>
            <w:tcBorders>
              <w:top w:val="single" w:color="231F20" w:sz="4" w:space="0"/>
              <w:left w:val="single" w:color="231F20" w:sz="4" w:space="0"/>
              <w:bottom w:val="nil"/>
              <w:right w:val="single" w:color="231F20" w:sz="4" w:space="0"/>
            </w:tcBorders>
          </w:tcPr>
          <w:p>
            <w:pPr>
              <w:pStyle w:val="11"/>
              <w:spacing w:before="137" w:line="181" w:lineRule="exact"/>
              <w:ind w:left="268"/>
              <w:rPr>
                <w:sz w:val="15"/>
              </w:rPr>
            </w:pPr>
            <w:r>
              <w:rPr>
                <w:w w:val="105"/>
                <w:sz w:val="15"/>
              </w:rPr>
              <w:t>管线最突出部分与提升容器最突出部分之间</w:t>
            </w:r>
          </w:p>
        </w:tc>
        <w:tc>
          <w:tcPr>
            <w:tcW w:w="1758" w:type="dxa"/>
            <w:tcBorders>
              <w:top w:val="single" w:color="231F20" w:sz="4" w:space="0"/>
              <w:left w:val="single" w:color="231F20" w:sz="4" w:space="0"/>
              <w:bottom w:val="nil"/>
            </w:tcBorders>
          </w:tcPr>
          <w:p>
            <w:pPr>
              <w:pStyle w:val="11"/>
              <w:rPr>
                <w:rFonts w:ascii="Times New Roman"/>
                <w:sz w:val="1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585" w:hRule="atLeast"/>
        </w:trPr>
        <w:tc>
          <w:tcPr>
            <w:tcW w:w="637" w:type="dxa"/>
            <w:tcBorders>
              <w:top w:val="nil"/>
              <w:bottom w:val="nil"/>
              <w:right w:val="single" w:color="231F20" w:sz="4" w:space="0"/>
            </w:tcBorders>
          </w:tcPr>
          <w:p>
            <w:pPr>
              <w:pStyle w:val="11"/>
              <w:spacing w:before="195"/>
              <w:ind w:left="5"/>
              <w:jc w:val="center"/>
              <w:rPr>
                <w:rFonts w:hint="eastAsia" w:ascii="MS UI Gothic" w:eastAsia="MS UI Gothic"/>
                <w:sz w:val="15"/>
              </w:rPr>
            </w:pPr>
            <w:r>
              <w:rPr>
                <w:rFonts w:hint="eastAsia" w:ascii="MS UI Gothic" w:eastAsia="MS UI Gothic"/>
                <w:w w:val="75"/>
                <w:sz w:val="15"/>
              </w:rPr>
              <w:t>５</w:t>
            </w:r>
          </w:p>
        </w:tc>
        <w:tc>
          <w:tcPr>
            <w:tcW w:w="5570" w:type="dxa"/>
            <w:tcBorders>
              <w:top w:val="nil"/>
              <w:left w:val="single" w:color="231F20" w:sz="4" w:space="0"/>
              <w:bottom w:val="nil"/>
              <w:right w:val="single" w:color="231F20" w:sz="4" w:space="0"/>
            </w:tcBorders>
          </w:tcPr>
          <w:p>
            <w:pPr>
              <w:pStyle w:val="11"/>
              <w:spacing w:before="63"/>
              <w:ind w:left="268"/>
              <w:rPr>
                <w:rFonts w:hint="eastAsia" w:ascii="MS UI Gothic" w:eastAsia="MS UI Gothic"/>
                <w:sz w:val="15"/>
              </w:rPr>
            </w:pPr>
            <w:r>
              <w:rPr>
                <w:spacing w:val="-8"/>
                <w:w w:val="95"/>
                <w:sz w:val="15"/>
              </w:rPr>
              <w:t xml:space="preserve">井深小于 </w:t>
            </w:r>
            <w:r>
              <w:rPr>
                <w:rFonts w:hint="eastAsia" w:ascii="MS UI Gothic" w:eastAsia="MS UI Gothic"/>
                <w:spacing w:val="-2"/>
                <w:w w:val="95"/>
                <w:sz w:val="15"/>
              </w:rPr>
              <w:t xml:space="preserve">４００ </w:t>
            </w:r>
            <w:r>
              <w:rPr>
                <w:rFonts w:hint="eastAsia" w:ascii="MS UI Gothic" w:eastAsia="MS UI Gothic"/>
                <w:w w:val="95"/>
                <w:sz w:val="15"/>
              </w:rPr>
              <w:t>ｍ</w:t>
            </w:r>
          </w:p>
          <w:p>
            <w:pPr>
              <w:pStyle w:val="11"/>
              <w:spacing w:before="72"/>
              <w:ind w:left="268"/>
              <w:rPr>
                <w:rFonts w:hint="eastAsia" w:ascii="MS UI Gothic" w:eastAsia="MS UI Gothic"/>
                <w:sz w:val="15"/>
              </w:rPr>
            </w:pPr>
            <w:r>
              <w:rPr>
                <w:spacing w:val="-13"/>
                <w:w w:val="90"/>
                <w:sz w:val="15"/>
              </w:rPr>
              <w:t xml:space="preserve">井深 </w:t>
            </w:r>
            <w:r>
              <w:rPr>
                <w:rFonts w:hint="eastAsia" w:ascii="MS UI Gothic" w:eastAsia="MS UI Gothic"/>
                <w:spacing w:val="-7"/>
                <w:w w:val="90"/>
                <w:sz w:val="15"/>
              </w:rPr>
              <w:t xml:space="preserve">４００ </w:t>
            </w:r>
            <w:r>
              <w:rPr>
                <w:rFonts w:hint="eastAsia" w:ascii="MS UI Gothic" w:eastAsia="MS UI Gothic"/>
                <w:w w:val="90"/>
                <w:sz w:val="15"/>
              </w:rPr>
              <w:t>~</w:t>
            </w:r>
            <w:r>
              <w:rPr>
                <w:rFonts w:hint="eastAsia" w:ascii="MS UI Gothic" w:eastAsia="MS UI Gothic"/>
                <w:spacing w:val="-6"/>
                <w:w w:val="90"/>
                <w:sz w:val="15"/>
              </w:rPr>
              <w:t xml:space="preserve"> ５００ </w:t>
            </w:r>
            <w:r>
              <w:rPr>
                <w:rFonts w:hint="eastAsia" w:ascii="MS UI Gothic" w:eastAsia="MS UI Gothic"/>
                <w:w w:val="90"/>
                <w:sz w:val="15"/>
              </w:rPr>
              <w:t>ｍ</w:t>
            </w:r>
          </w:p>
        </w:tc>
        <w:tc>
          <w:tcPr>
            <w:tcW w:w="1758" w:type="dxa"/>
            <w:tcBorders>
              <w:top w:val="nil"/>
              <w:left w:val="single" w:color="231F20" w:sz="4" w:space="0"/>
              <w:bottom w:val="nil"/>
            </w:tcBorders>
          </w:tcPr>
          <w:p>
            <w:pPr>
              <w:pStyle w:val="11"/>
              <w:spacing w:before="63"/>
              <w:ind w:left="539" w:right="52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５</w:t>
            </w:r>
            <w:r>
              <w:rPr>
                <w:rFonts w:hint="eastAsia" w:ascii="MS UI Gothic" w:hAnsi="MS UI Gothic" w:eastAsia="MS UI Gothic"/>
                <w:spacing w:val="-1"/>
                <w:w w:val="75"/>
                <w:sz w:val="15"/>
              </w:rPr>
              <w:t>０</w:t>
            </w:r>
            <w:r>
              <w:rPr>
                <w:rFonts w:hint="eastAsia" w:ascii="MS UI Gothic" w:hAnsi="MS UI Gothic" w:eastAsia="MS UI Gothic"/>
                <w:w w:val="75"/>
                <w:sz w:val="15"/>
              </w:rPr>
              <w:t>０</w:t>
            </w:r>
          </w:p>
          <w:p>
            <w:pPr>
              <w:pStyle w:val="11"/>
              <w:spacing w:before="72"/>
              <w:ind w:left="539" w:right="52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６</w:t>
            </w:r>
            <w:r>
              <w:rPr>
                <w:rFonts w:hint="eastAsia" w:ascii="MS UI Gothic" w:hAnsi="MS UI Gothic" w:eastAsia="MS UI Gothic"/>
                <w:spacing w:val="-1"/>
                <w:w w:val="75"/>
                <w:sz w:val="15"/>
              </w:rPr>
              <w:t>０</w:t>
            </w:r>
            <w:r>
              <w:rPr>
                <w:rFonts w:hint="eastAsia" w:ascii="MS UI Gothic" w:hAnsi="MS UI Gothic" w:eastAsia="MS UI Gothic"/>
                <w:w w:val="75"/>
                <w:sz w:val="15"/>
              </w:rPr>
              <w:t>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39" w:hRule="atLeast"/>
        </w:trPr>
        <w:tc>
          <w:tcPr>
            <w:tcW w:w="637" w:type="dxa"/>
            <w:tcBorders>
              <w:top w:val="nil"/>
              <w:bottom w:val="single" w:color="231F20" w:sz="4" w:space="0"/>
              <w:right w:val="single" w:color="231F20" w:sz="4" w:space="0"/>
            </w:tcBorders>
          </w:tcPr>
          <w:p>
            <w:pPr>
              <w:pStyle w:val="11"/>
              <w:rPr>
                <w:rFonts w:ascii="Times New Roman"/>
                <w:sz w:val="18"/>
              </w:rPr>
            </w:pPr>
          </w:p>
        </w:tc>
        <w:tc>
          <w:tcPr>
            <w:tcW w:w="5570" w:type="dxa"/>
            <w:tcBorders>
              <w:top w:val="nil"/>
              <w:left w:val="single" w:color="231F20" w:sz="4" w:space="0"/>
              <w:bottom w:val="single" w:color="231F20" w:sz="4" w:space="0"/>
              <w:right w:val="single" w:color="231F20" w:sz="4" w:space="0"/>
            </w:tcBorders>
          </w:tcPr>
          <w:p>
            <w:pPr>
              <w:pStyle w:val="11"/>
              <w:spacing w:before="5"/>
              <w:ind w:left="268"/>
              <w:rPr>
                <w:rFonts w:hint="eastAsia" w:ascii="MS UI Gothic" w:eastAsia="MS UI Gothic"/>
                <w:sz w:val="15"/>
              </w:rPr>
            </w:pPr>
            <w:r>
              <w:rPr>
                <w:sz w:val="15"/>
              </w:rPr>
              <w:t xml:space="preserve">井深大于 </w:t>
            </w:r>
            <w:r>
              <w:rPr>
                <w:rFonts w:hint="eastAsia" w:ascii="MS UI Gothic" w:eastAsia="MS UI Gothic"/>
                <w:sz w:val="15"/>
              </w:rPr>
              <w:t>５００ ｍ</w:t>
            </w:r>
          </w:p>
        </w:tc>
        <w:tc>
          <w:tcPr>
            <w:tcW w:w="1758" w:type="dxa"/>
            <w:tcBorders>
              <w:top w:val="nil"/>
              <w:left w:val="single" w:color="231F20" w:sz="4" w:space="0"/>
              <w:bottom w:val="single" w:color="231F20" w:sz="4" w:space="0"/>
            </w:tcBorders>
          </w:tcPr>
          <w:p>
            <w:pPr>
              <w:pStyle w:val="11"/>
              <w:spacing w:before="5"/>
              <w:ind w:left="539" w:right="52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８</w:t>
            </w:r>
            <w:r>
              <w:rPr>
                <w:rFonts w:hint="eastAsia" w:ascii="MS UI Gothic" w:hAnsi="MS UI Gothic" w:eastAsia="MS UI Gothic"/>
                <w:spacing w:val="-1"/>
                <w:w w:val="75"/>
                <w:sz w:val="15"/>
              </w:rPr>
              <w:t>０</w:t>
            </w:r>
            <w:r>
              <w:rPr>
                <w:rFonts w:hint="eastAsia" w:ascii="MS UI Gothic" w:hAnsi="MS UI Gothic" w:eastAsia="MS UI Gothic"/>
                <w:w w:val="75"/>
                <w:sz w:val="15"/>
              </w:rPr>
              <w:t>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37" w:type="dxa"/>
            <w:tcBorders>
              <w:top w:val="single" w:color="231F20" w:sz="4" w:space="0"/>
              <w:bottom w:val="single" w:color="231F20" w:sz="4" w:space="0"/>
              <w:right w:val="single" w:color="231F20" w:sz="4" w:space="0"/>
            </w:tcBorders>
          </w:tcPr>
          <w:p>
            <w:pPr>
              <w:pStyle w:val="11"/>
              <w:spacing w:before="55"/>
              <w:ind w:left="5"/>
              <w:jc w:val="center"/>
              <w:rPr>
                <w:rFonts w:hint="eastAsia" w:ascii="MS UI Gothic" w:eastAsia="MS UI Gothic"/>
                <w:sz w:val="15"/>
              </w:rPr>
            </w:pPr>
            <w:r>
              <w:rPr>
                <w:rFonts w:hint="eastAsia" w:ascii="MS UI Gothic" w:eastAsia="MS UI Gothic"/>
                <w:w w:val="75"/>
                <w:sz w:val="15"/>
              </w:rPr>
              <w:t>６</w:t>
            </w:r>
          </w:p>
        </w:tc>
        <w:tc>
          <w:tcPr>
            <w:tcW w:w="5570"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w w:val="105"/>
                <w:sz w:val="15"/>
              </w:rPr>
              <w:t>管线卡子的最突出部分与其通过的各盘台孔口之间</w:t>
            </w:r>
          </w:p>
        </w:tc>
        <w:tc>
          <w:tcPr>
            <w:tcW w:w="1758" w:type="dxa"/>
            <w:tcBorders>
              <w:top w:val="single" w:color="231F20" w:sz="4" w:space="0"/>
              <w:left w:val="single" w:color="231F20" w:sz="4" w:space="0"/>
              <w:bottom w:val="single" w:color="231F20" w:sz="4" w:space="0"/>
            </w:tcBorders>
          </w:tcPr>
          <w:p>
            <w:pPr>
              <w:pStyle w:val="11"/>
              <w:spacing w:before="55"/>
              <w:ind w:left="539" w:right="52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1"/>
                <w:w w:val="75"/>
                <w:sz w:val="15"/>
              </w:rPr>
              <w:t>０</w:t>
            </w:r>
            <w:r>
              <w:rPr>
                <w:rFonts w:hint="eastAsia" w:ascii="MS UI Gothic" w:hAnsi="MS UI Gothic" w:eastAsia="MS UI Gothic"/>
                <w:w w:val="75"/>
                <w:sz w:val="15"/>
              </w:rPr>
              <w:t>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637" w:type="dxa"/>
            <w:tcBorders>
              <w:top w:val="single" w:color="231F20" w:sz="4" w:space="0"/>
              <w:right w:val="single" w:color="231F20" w:sz="4" w:space="0"/>
            </w:tcBorders>
          </w:tcPr>
          <w:p>
            <w:pPr>
              <w:pStyle w:val="11"/>
              <w:spacing w:before="55"/>
              <w:ind w:left="5"/>
              <w:jc w:val="center"/>
              <w:rPr>
                <w:rFonts w:hint="eastAsia" w:ascii="MS UI Gothic" w:eastAsia="MS UI Gothic"/>
                <w:sz w:val="15"/>
              </w:rPr>
            </w:pPr>
            <w:r>
              <w:rPr>
                <w:rFonts w:hint="eastAsia" w:ascii="MS UI Gothic" w:eastAsia="MS UI Gothic"/>
                <w:w w:val="75"/>
                <w:sz w:val="15"/>
              </w:rPr>
              <w:t>７</w:t>
            </w:r>
          </w:p>
        </w:tc>
        <w:tc>
          <w:tcPr>
            <w:tcW w:w="5570" w:type="dxa"/>
            <w:tcBorders>
              <w:top w:val="single" w:color="231F20" w:sz="4" w:space="0"/>
              <w:left w:val="single" w:color="231F20" w:sz="4" w:space="0"/>
              <w:right w:val="single" w:color="231F20" w:sz="4" w:space="0"/>
            </w:tcBorders>
          </w:tcPr>
          <w:p>
            <w:pPr>
              <w:pStyle w:val="11"/>
              <w:spacing w:before="55"/>
              <w:ind w:left="268"/>
              <w:rPr>
                <w:sz w:val="15"/>
              </w:rPr>
            </w:pPr>
            <w:r>
              <w:rPr>
                <w:w w:val="105"/>
                <w:sz w:val="15"/>
              </w:rPr>
              <w:t>吊盘与永久井壁之间</w:t>
            </w:r>
          </w:p>
        </w:tc>
        <w:tc>
          <w:tcPr>
            <w:tcW w:w="1758" w:type="dxa"/>
            <w:tcBorders>
              <w:top w:val="single" w:color="231F20" w:sz="4" w:space="0"/>
              <w:left w:val="single" w:color="231F20" w:sz="4" w:space="0"/>
            </w:tcBorders>
          </w:tcPr>
          <w:p>
            <w:pPr>
              <w:pStyle w:val="11"/>
              <w:spacing w:before="55"/>
              <w:ind w:left="539" w:right="52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1"/>
                <w:w w:val="75"/>
                <w:sz w:val="15"/>
              </w:rPr>
              <w:t>５</w:t>
            </w:r>
            <w:r>
              <w:rPr>
                <w:rFonts w:hint="eastAsia" w:ascii="MS UI Gothic" w:hAnsi="MS UI Gothic" w:eastAsia="MS UI Gothic"/>
                <w:w w:val="75"/>
                <w:sz w:val="15"/>
              </w:rPr>
              <w:t>０</w:t>
            </w:r>
          </w:p>
        </w:tc>
      </w:tr>
    </w:tbl>
    <w:p>
      <w:pPr>
        <w:pStyle w:val="6"/>
        <w:spacing w:before="2"/>
        <w:ind w:left="0" w:firstLine="0"/>
        <w:jc w:val="left"/>
        <w:rPr>
          <w:sz w:val="15"/>
        </w:rPr>
      </w:pPr>
    </w:p>
    <w:p>
      <w:pPr>
        <w:spacing w:after="0"/>
        <w:jc w:val="left"/>
        <w:rPr>
          <w:sz w:val="15"/>
        </w:rPr>
        <w:sectPr>
          <w:type w:val="continuous"/>
          <w:pgSz w:w="10500" w:h="14750"/>
          <w:pgMar w:top="1400" w:right="980" w:bottom="280" w:left="980" w:header="720" w:footer="720" w:gutter="0"/>
        </w:sectPr>
      </w:pPr>
    </w:p>
    <w:p>
      <w:pPr>
        <w:pStyle w:val="6"/>
        <w:tabs>
          <w:tab w:val="left" w:pos="1801"/>
        </w:tabs>
        <w:spacing w:before="85" w:line="290" w:lineRule="auto"/>
        <w:ind w:right="39"/>
        <w:jc w:val="left"/>
        <w:rPr>
          <w:rFonts w:hint="eastAsia" w:ascii="MS UI Gothic" w:eastAsia="MS UI Gothic"/>
        </w:rPr>
      </w:pPr>
      <w:r>
        <w:rPr>
          <w:spacing w:val="3"/>
          <w:w w:val="110"/>
        </w:rPr>
        <w:t>第七十四</w:t>
      </w:r>
      <w:r>
        <w:rPr>
          <w:w w:val="110"/>
        </w:rPr>
        <w:t>条</w:t>
      </w:r>
      <w:r>
        <w:rPr>
          <w:w w:val="110"/>
        </w:rPr>
        <w:tab/>
      </w:r>
      <w:r>
        <w:rPr>
          <w:spacing w:val="3"/>
        </w:rPr>
        <w:t>建井期间采用吊桶提</w:t>
      </w:r>
      <w:r>
        <w:t>升</w:t>
      </w:r>
      <w:r>
        <w:rPr>
          <w:spacing w:val="3"/>
          <w:w w:val="110"/>
        </w:rPr>
        <w:t>时</w:t>
      </w:r>
      <w:r>
        <w:rPr>
          <w:rFonts w:hint="eastAsia" w:ascii="MS UI Gothic" w:eastAsia="MS UI Gothic"/>
          <w:w w:val="80"/>
        </w:rPr>
        <w:t>ꎬ</w:t>
      </w:r>
      <w:r>
        <w:rPr>
          <w:rFonts w:hint="eastAsia" w:ascii="MS UI Gothic" w:eastAsia="MS UI Gothic"/>
          <w:spacing w:val="45"/>
          <w:w w:val="80"/>
        </w:rPr>
        <w:t xml:space="preserve"> </w:t>
      </w:r>
      <w:r>
        <w:rPr>
          <w:spacing w:val="3"/>
          <w:w w:val="110"/>
        </w:rPr>
        <w:t>应当遵守下列规定</w:t>
      </w:r>
      <w:r>
        <w:rPr>
          <w:rFonts w:hint="eastAsia" w:ascii="MS UI Gothic" w:eastAsia="MS UI Gothic"/>
          <w:w w:val="235"/>
        </w:rPr>
        <w:t>:</w:t>
      </w:r>
    </w:p>
    <w:p>
      <w:pPr>
        <w:pStyle w:val="6"/>
        <w:spacing w:before="1"/>
        <w:ind w:left="543"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采用阻旋转提升钢丝绳</w:t>
      </w:r>
      <w:r>
        <w:rPr>
          <w:rFonts w:hint="eastAsia" w:ascii="MS UI Gothic" w:eastAsia="MS UI Gothic"/>
          <w:w w:val="80"/>
        </w:rPr>
        <w:t>ꎮ</w:t>
      </w:r>
    </w:p>
    <w:p>
      <w:pPr>
        <w:pStyle w:val="6"/>
        <w:spacing w:before="53" w:line="290" w:lineRule="auto"/>
        <w:ind w:right="38"/>
        <w:jc w:val="left"/>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吊桶必须沿钢丝绳罐道升降</w:t>
      </w:r>
      <w:r>
        <w:rPr>
          <w:rFonts w:hint="eastAsia" w:ascii="MS UI Gothic" w:eastAsia="MS UI Gothic"/>
          <w:w w:val="80"/>
        </w:rPr>
        <w:t>ꎬ</w:t>
      </w:r>
      <w:r>
        <w:t xml:space="preserve">无罐道段吊桶升降距离不得超过 </w:t>
      </w:r>
      <w:r>
        <w:rPr>
          <w:rFonts w:hint="eastAsia" w:ascii="MS UI Gothic" w:eastAsia="MS UI Gothic"/>
          <w:w w:val="80"/>
        </w:rPr>
        <w:t>４０ ｍꎮ</w:t>
      </w:r>
    </w:p>
    <w:p>
      <w:pPr>
        <w:pStyle w:val="6"/>
        <w:spacing w:before="1" w:line="288" w:lineRule="auto"/>
        <w:ind w:right="39"/>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悬挂吊盘的钢丝绳兼作罐道绳时</w:t>
      </w:r>
      <w:r>
        <w:rPr>
          <w:rFonts w:hint="eastAsia" w:ascii="MS UI Gothic" w:eastAsia="MS UI Gothic"/>
          <w:w w:val="80"/>
        </w:rPr>
        <w:t xml:space="preserve">ꎬ </w:t>
      </w:r>
      <w:r>
        <w:rPr>
          <w:w w:val="105"/>
        </w:rPr>
        <w:t>必须制定专项措施</w:t>
      </w:r>
      <w:r>
        <w:rPr>
          <w:rFonts w:hint="eastAsia" w:ascii="MS UI Gothic" w:eastAsia="MS UI Gothic"/>
          <w:w w:val="80"/>
        </w:rPr>
        <w:t>ꎮ</w:t>
      </w:r>
    </w:p>
    <w:p>
      <w:pPr>
        <w:pStyle w:val="6"/>
        <w:spacing w:before="4" w:line="288" w:lineRule="auto"/>
        <w:ind w:left="543" w:right="208" w:firstLine="0"/>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吊桶上方必须装设保护伞帽</w:t>
      </w:r>
      <w:r>
        <w:rPr>
          <w:rFonts w:hint="eastAsia" w:ascii="MS UI Gothic" w:eastAsia="MS UI Gothic"/>
          <w:w w:val="80"/>
        </w:rPr>
        <w:t>ꎮ</w:t>
      </w: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吊桶翻矸时严禁打开井盖门</w:t>
      </w:r>
      <w:r>
        <w:rPr>
          <w:rFonts w:hint="eastAsia" w:ascii="MS UI Gothic" w:eastAsia="MS UI Gothic"/>
          <w:w w:val="80"/>
        </w:rPr>
        <w:t>ꎮ</w:t>
      </w:r>
    </w:p>
    <w:p>
      <w:pPr>
        <w:pStyle w:val="6"/>
        <w:spacing w:before="4"/>
        <w:ind w:left="543" w:firstLine="0"/>
        <w:jc w:val="left"/>
      </w:pPr>
      <w:r>
        <w:rPr>
          <w:rFonts w:hint="eastAsia" w:ascii="MS UI Gothic" w:eastAsia="MS UI Gothic"/>
          <w:spacing w:val="-40"/>
          <w:w w:val="140"/>
        </w:rPr>
        <w:t xml:space="preserve">( </w:t>
      </w:r>
      <w:r>
        <w:rPr>
          <w:spacing w:val="3"/>
          <w:w w:val="110"/>
        </w:rPr>
        <w:t>六</w:t>
      </w:r>
      <w:r>
        <w:rPr>
          <w:rFonts w:hint="eastAsia" w:ascii="MS UI Gothic" w:eastAsia="MS UI Gothic"/>
          <w:spacing w:val="-22"/>
          <w:w w:val="140"/>
        </w:rPr>
        <w:t xml:space="preserve">) </w:t>
      </w:r>
      <w:r>
        <w:rPr>
          <w:spacing w:val="5"/>
          <w:w w:val="110"/>
        </w:rPr>
        <w:t>在使用钢丝绳罐道时</w:t>
      </w:r>
      <w:r>
        <w:rPr>
          <w:rFonts w:hint="eastAsia" w:ascii="MS UI Gothic" w:eastAsia="MS UI Gothic"/>
          <w:spacing w:val="-6"/>
          <w:w w:val="80"/>
        </w:rPr>
        <w:t xml:space="preserve">ꎬ </w:t>
      </w:r>
      <w:r>
        <w:rPr>
          <w:spacing w:val="7"/>
          <w:w w:val="110"/>
        </w:rPr>
        <w:t>吊桶升</w:t>
      </w:r>
    </w:p>
    <w:p>
      <w:pPr>
        <w:pStyle w:val="6"/>
        <w:spacing w:before="85" w:line="295" w:lineRule="auto"/>
        <w:ind w:right="442" w:firstLine="0"/>
        <w:rPr>
          <w:rFonts w:hint="eastAsia" w:ascii="MS UI Gothic" w:eastAsia="MS UI Gothic"/>
        </w:rPr>
      </w:pPr>
      <w:r>
        <w:br w:type="column"/>
      </w:r>
      <w:r>
        <w:t>降人员的最大速度不得超过采用下式求得的值</w:t>
      </w:r>
      <w:r>
        <w:rPr>
          <w:rFonts w:hint="eastAsia" w:ascii="MS UI Gothic" w:eastAsia="MS UI Gothic"/>
          <w:w w:val="80"/>
        </w:rPr>
        <w:t xml:space="preserve">ꎬ </w:t>
      </w:r>
      <w:r>
        <w:t xml:space="preserve">且最大不超过 </w:t>
      </w:r>
      <w:r>
        <w:rPr>
          <w:rFonts w:hint="eastAsia" w:ascii="MS UI Gothic" w:eastAsia="MS UI Gothic"/>
        </w:rPr>
        <w:t xml:space="preserve">７ ｍ </w:t>
      </w:r>
      <w:r>
        <w:rPr>
          <w:rFonts w:hint="eastAsia" w:ascii="MS UI Gothic" w:eastAsia="MS UI Gothic"/>
          <w:w w:val="65"/>
        </w:rPr>
        <w:t xml:space="preserve">/ </w:t>
      </w:r>
      <w:r>
        <w:rPr>
          <w:rFonts w:hint="eastAsia" w:ascii="MS UI Gothic" w:eastAsia="MS UI Gothic"/>
          <w:w w:val="80"/>
        </w:rPr>
        <w:t xml:space="preserve">ｓꎻ </w:t>
      </w:r>
      <w:r>
        <w:t>无罐道绳段</w:t>
      </w:r>
      <w:r>
        <w:rPr>
          <w:rFonts w:hint="eastAsia" w:ascii="MS UI Gothic" w:eastAsia="MS UI Gothic"/>
          <w:w w:val="80"/>
        </w:rPr>
        <w:t xml:space="preserve">ꎬ </w:t>
      </w:r>
      <w:r>
        <w:t xml:space="preserve">不得超过 </w:t>
      </w:r>
      <w:r>
        <w:rPr>
          <w:rFonts w:hint="eastAsia" w:ascii="MS UI Gothic" w:eastAsia="MS UI Gothic"/>
        </w:rPr>
        <w:t xml:space="preserve">１ ｍ </w:t>
      </w:r>
      <w:r>
        <w:rPr>
          <w:rFonts w:hint="eastAsia" w:ascii="MS UI Gothic" w:eastAsia="MS UI Gothic"/>
          <w:w w:val="65"/>
        </w:rPr>
        <w:t xml:space="preserve">/ </w:t>
      </w:r>
      <w:r>
        <w:rPr>
          <w:rFonts w:hint="eastAsia" w:ascii="MS UI Gothic" w:eastAsia="MS UI Gothic"/>
          <w:w w:val="80"/>
        </w:rPr>
        <w:t>ｓꎮ</w:t>
      </w:r>
    </w:p>
    <w:p>
      <w:pPr>
        <w:pStyle w:val="6"/>
        <w:spacing w:before="40"/>
        <w:ind w:left="0" w:right="398" w:firstLine="0"/>
        <w:jc w:val="center"/>
      </w:pPr>
      <w:r>
        <w:pict>
          <v:shape id="_x0000_s1766" o:spid="_x0000_s1766" style="position:absolute;left:0pt;margin-left:370.05pt;margin-top:3.85pt;height:9.2pt;width:14.15pt;mso-position-horizontal-relative:page;z-index:-275807232;mso-width-relative:page;mso-height-relative:page;" filled="f" stroked="t" coordorigin="7401,77" coordsize="283,184" path="m7401,218l7417,197,7450,261,7523,77,7684,77e">
            <v:path arrowok="t"/>
            <v:fill on="f" focussize="0,0"/>
            <v:stroke weight="0.327007874015748pt" color="#231F20"/>
            <v:imagedata o:title=""/>
            <o:lock v:ext="edit"/>
          </v:shape>
        </w:pict>
      </w:r>
      <w:r>
        <w:rPr>
          <w:w w:val="70"/>
        </w:rPr>
        <w:t xml:space="preserve">ｖ </w:t>
      </w:r>
      <w:r>
        <w:rPr>
          <w:w w:val="75"/>
          <w:position w:val="1"/>
        </w:rPr>
        <w:t xml:space="preserve">＝ </w:t>
      </w:r>
      <w:r>
        <w:rPr>
          <w:rFonts w:hint="eastAsia" w:ascii="MS UI Gothic" w:eastAsia="MS UI Gothic"/>
          <w:w w:val="75"/>
        </w:rPr>
        <w:t xml:space="preserve">０ ２５   </w:t>
      </w:r>
      <w:r>
        <w:rPr>
          <w:w w:val="75"/>
        </w:rPr>
        <w:t>Ｈ</w:t>
      </w:r>
    </w:p>
    <w:p>
      <w:pPr>
        <w:pStyle w:val="6"/>
        <w:spacing w:before="59"/>
        <w:ind w:left="543" w:firstLine="0"/>
        <w:jc w:val="left"/>
        <w:rPr>
          <w:rFonts w:hint="eastAsia" w:ascii="MS UI Gothic" w:eastAsia="MS UI Gothic"/>
        </w:rPr>
      </w:pPr>
      <w:r>
        <w:rPr>
          <w:w w:val="115"/>
        </w:rPr>
        <w:t>式中</w:t>
      </w:r>
      <w:r>
        <w:rPr>
          <w:rFonts w:hint="eastAsia" w:ascii="MS UI Gothic" w:eastAsia="MS UI Gothic"/>
          <w:w w:val="235"/>
        </w:rPr>
        <w:t>:</w:t>
      </w:r>
    </w:p>
    <w:p>
      <w:pPr>
        <w:pStyle w:val="6"/>
        <w:spacing w:before="58"/>
        <w:ind w:left="543" w:firstLine="0"/>
        <w:jc w:val="left"/>
        <w:rPr>
          <w:rFonts w:hint="eastAsia" w:ascii="MS UI Gothic" w:hAnsi="MS UI Gothic" w:eastAsia="MS UI Gothic"/>
        </w:rPr>
      </w:pPr>
      <w:r>
        <w:rPr>
          <w:spacing w:val="3"/>
          <w:w w:val="39"/>
        </w:rPr>
        <w:t>ｖ</w:t>
      </w:r>
      <w:r>
        <w:rPr>
          <w:rFonts w:hint="eastAsia" w:ascii="MS UI Gothic" w:hAnsi="MS UI Gothic" w:eastAsia="MS UI Gothic"/>
          <w:spacing w:val="-67"/>
          <w:w w:val="153"/>
        </w:rPr>
        <w:t>———</w:t>
      </w:r>
      <w:r>
        <w:rPr>
          <w:spacing w:val="3"/>
          <w:w w:val="102"/>
        </w:rPr>
        <w:t>最大提升速度</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w w:val="79"/>
        </w:rPr>
        <w:t>ｍ</w:t>
      </w:r>
      <w:r>
        <w:rPr>
          <w:rFonts w:hint="eastAsia" w:ascii="MS UI Gothic" w:hAnsi="MS UI Gothic" w:eastAsia="MS UI Gothic"/>
          <w:spacing w:val="-31"/>
        </w:rPr>
        <w:t xml:space="preserve"> </w:t>
      </w:r>
      <w:r>
        <w:rPr>
          <w:rFonts w:hint="eastAsia" w:ascii="MS UI Gothic" w:hAnsi="MS UI Gothic" w:eastAsia="MS UI Gothic"/>
          <w:w w:val="34"/>
        </w:rPr>
        <w:t>/</w:t>
      </w:r>
      <w:r>
        <w:rPr>
          <w:rFonts w:hint="eastAsia" w:ascii="MS UI Gothic" w:hAnsi="MS UI Gothic" w:eastAsia="MS UI Gothic"/>
          <w:spacing w:val="-16"/>
        </w:rPr>
        <w:t xml:space="preserve"> </w:t>
      </w:r>
      <w:r>
        <w:rPr>
          <w:rFonts w:hint="eastAsia" w:ascii="MS UI Gothic" w:hAnsi="MS UI Gothic" w:eastAsia="MS UI Gothic"/>
          <w:spacing w:val="3"/>
          <w:w w:val="70"/>
        </w:rPr>
        <w:t>ｓ</w:t>
      </w:r>
      <w:r>
        <w:rPr>
          <w:rFonts w:hint="eastAsia" w:ascii="MS UI Gothic" w:hAnsi="MS UI Gothic" w:eastAsia="MS UI Gothic"/>
          <w:w w:val="51"/>
        </w:rPr>
        <w:t>ꎻ</w:t>
      </w:r>
    </w:p>
    <w:p>
      <w:pPr>
        <w:pStyle w:val="6"/>
        <w:spacing w:before="58"/>
        <w:ind w:left="485" w:firstLine="0"/>
        <w:jc w:val="left"/>
        <w:rPr>
          <w:rFonts w:hint="eastAsia" w:ascii="MS UI Gothic" w:hAnsi="MS UI Gothic" w:eastAsia="MS UI Gothic"/>
        </w:rPr>
      </w:pPr>
      <w:r>
        <w:rPr>
          <w:spacing w:val="4"/>
          <w:w w:val="68"/>
        </w:rPr>
        <w:t>Ｈ</w:t>
      </w:r>
      <w:r>
        <w:rPr>
          <w:rFonts w:hint="eastAsia" w:ascii="MS UI Gothic" w:hAnsi="MS UI Gothic" w:eastAsia="MS UI Gothic"/>
          <w:spacing w:val="-67"/>
          <w:w w:val="153"/>
        </w:rPr>
        <w:t>———</w:t>
      </w:r>
      <w:r>
        <w:rPr>
          <w:spacing w:val="3"/>
          <w:w w:val="102"/>
        </w:rPr>
        <w:t>提升高度</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spacing w:val="4"/>
          <w:w w:val="79"/>
        </w:rPr>
        <w:t>ｍ</w:t>
      </w:r>
      <w:r>
        <w:rPr>
          <w:rFonts w:hint="eastAsia" w:ascii="MS UI Gothic" w:hAnsi="MS UI Gothic" w:eastAsia="MS UI Gothic"/>
          <w:w w:val="51"/>
        </w:rPr>
        <w:t>ꎮ</w:t>
      </w:r>
    </w:p>
    <w:p>
      <w:pPr>
        <w:pStyle w:val="6"/>
        <w:spacing w:before="58" w:line="295" w:lineRule="auto"/>
        <w:ind w:right="442"/>
        <w:jc w:val="left"/>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在使用钢丝绳罐道时</w:t>
      </w:r>
      <w:r>
        <w:rPr>
          <w:rFonts w:hint="eastAsia" w:ascii="MS UI Gothic" w:eastAsia="MS UI Gothic"/>
          <w:w w:val="80"/>
        </w:rPr>
        <w:t xml:space="preserve">ꎬ </w:t>
      </w:r>
      <w:r>
        <w:rPr>
          <w:w w:val="105"/>
        </w:rPr>
        <w:t>吊桶升</w:t>
      </w:r>
      <w:r>
        <w:t>降物料时的最大速度不得超过采用下式求</w:t>
      </w:r>
    </w:p>
    <w:p>
      <w:pPr>
        <w:spacing w:after="0" w:line="295" w:lineRule="auto"/>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２４７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67" o:spid="_x0000_s1767" o:spt="203" style="height:2.15pt;width:398.25pt;" coordsize="7965,43">
            <o:lock v:ext="edit"/>
            <v:line id="_x0000_s1768" o:spid="_x0000_s1768" o:spt="20" style="position:absolute;left:0;top:39;height:0;width:7965;" stroked="t" coordsize="21600,21600">
              <v:path arrowok="t"/>
              <v:fill focussize="0,0"/>
              <v:stroke weight="0.388031496062992pt" color="#231F20"/>
              <v:imagedata o:title=""/>
              <o:lock v:ext="edit"/>
            </v:line>
            <v:line id="_x0000_s1769" o:spid="_x0000_s176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得的值</w:t>
      </w:r>
      <w:r>
        <w:rPr>
          <w:rFonts w:hint="eastAsia" w:ascii="MS UI Gothic" w:eastAsia="MS UI Gothic"/>
          <w:w w:val="80"/>
        </w:rPr>
        <w:t xml:space="preserve">ꎬ </w:t>
      </w:r>
      <w:r>
        <w:t xml:space="preserve">且最大不超过 </w:t>
      </w:r>
      <w:r>
        <w:rPr>
          <w:rFonts w:hint="eastAsia" w:ascii="MS UI Gothic" w:eastAsia="MS UI Gothic"/>
          <w:w w:val="80"/>
        </w:rPr>
        <w:t xml:space="preserve">８ </w:t>
      </w:r>
      <w:r>
        <w:rPr>
          <w:rFonts w:hint="eastAsia" w:ascii="MS UI Gothic" w:eastAsia="MS UI Gothic"/>
        </w:rPr>
        <w:t xml:space="preserve">ｍ </w:t>
      </w:r>
      <w:r>
        <w:rPr>
          <w:rFonts w:hint="eastAsia" w:ascii="MS UI Gothic" w:eastAsia="MS UI Gothic"/>
          <w:w w:val="65"/>
        </w:rPr>
        <w:t xml:space="preserve">/ </w:t>
      </w:r>
      <w:r>
        <w:rPr>
          <w:rFonts w:hint="eastAsia" w:ascii="MS UI Gothic" w:eastAsia="MS UI Gothic"/>
          <w:w w:val="80"/>
        </w:rPr>
        <w:t xml:space="preserve">ｓꎻ </w:t>
      </w:r>
      <w:r>
        <w:t>无罐道绳段</w:t>
      </w:r>
      <w:r>
        <w:rPr>
          <w:rFonts w:hint="eastAsia" w:ascii="MS UI Gothic" w:eastAsia="MS UI Gothic"/>
          <w:w w:val="80"/>
        </w:rPr>
        <w:t xml:space="preserve">ꎬ </w:t>
      </w:r>
      <w:r>
        <w:t xml:space="preserve">不得超过 </w:t>
      </w:r>
      <w:r>
        <w:rPr>
          <w:rFonts w:hint="eastAsia" w:ascii="MS UI Gothic" w:eastAsia="MS UI Gothic"/>
          <w:w w:val="80"/>
        </w:rPr>
        <w:t xml:space="preserve">２ </w:t>
      </w:r>
      <w:r>
        <w:rPr>
          <w:rFonts w:hint="eastAsia" w:ascii="MS UI Gothic" w:eastAsia="MS UI Gothic"/>
        </w:rPr>
        <w:t xml:space="preserve">ｍ </w:t>
      </w:r>
      <w:r>
        <w:rPr>
          <w:rFonts w:hint="eastAsia" w:ascii="MS UI Gothic" w:eastAsia="MS UI Gothic"/>
          <w:w w:val="65"/>
        </w:rPr>
        <w:t xml:space="preserve">/ </w:t>
      </w:r>
      <w:r>
        <w:rPr>
          <w:rFonts w:hint="eastAsia" w:ascii="MS UI Gothic" w:eastAsia="MS UI Gothic"/>
          <w:w w:val="80"/>
        </w:rPr>
        <w:t>ｓꎮ</w:t>
      </w:r>
    </w:p>
    <w:p>
      <w:pPr>
        <w:pStyle w:val="6"/>
        <w:spacing w:before="43"/>
        <w:ind w:left="356" w:firstLine="0"/>
        <w:jc w:val="center"/>
      </w:pPr>
      <w:r>
        <w:pict>
          <v:shape id="_x0000_s1770" o:spid="_x0000_s1770" style="position:absolute;left:0pt;margin-left:173.6pt;margin-top:4pt;height:9.2pt;width:14.15pt;mso-position-horizontal-relative:page;z-index:-275805184;mso-width-relative:page;mso-height-relative:page;" filled="f" stroked="t" coordorigin="3473,80" coordsize="283,184" path="m3473,221l3489,200,3522,264,3595,80,3756,80e">
            <v:path arrowok="t"/>
            <v:fill on="f" focussize="0,0"/>
            <v:stroke weight="0.327007874015748pt" color="#231F20"/>
            <v:imagedata o:title=""/>
            <o:lock v:ext="edit"/>
          </v:shape>
        </w:pict>
      </w:r>
      <w:r>
        <w:pict>
          <v:shape id="_x0000_s1771" o:spid="_x0000_s1771" o:spt="202" type="#_x0000_t202" style="position:absolute;left:0pt;margin-left:92pt;margin-top:14.75pt;height:24.35pt;width:5.15pt;mso-position-horizontal-relative:page;z-index:-27580416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rPr>
                  </w:pPr>
                  <w:r>
                    <w:rPr>
                      <w:rFonts w:ascii="MS UI Gothic"/>
                      <w:w w:val="168"/>
                    </w:rPr>
                    <w:t>(</w:t>
                  </w:r>
                </w:p>
              </w:txbxContent>
            </v:textbox>
          </v:shape>
        </w:pict>
      </w:r>
      <w:r>
        <w:rPr>
          <w:w w:val="70"/>
        </w:rPr>
        <w:t xml:space="preserve">ｖ </w:t>
      </w:r>
      <w:r>
        <w:rPr>
          <w:w w:val="80"/>
          <w:position w:val="1"/>
        </w:rPr>
        <w:t xml:space="preserve">＝ </w:t>
      </w:r>
      <w:r>
        <w:rPr>
          <w:rFonts w:hint="eastAsia" w:ascii="MS UI Gothic" w:eastAsia="MS UI Gothic"/>
          <w:w w:val="80"/>
        </w:rPr>
        <w:t xml:space="preserve">０ ４  </w:t>
      </w:r>
      <w:r>
        <w:rPr>
          <w:w w:val="80"/>
        </w:rPr>
        <w:t>Ｈ</w:t>
      </w:r>
    </w:p>
    <w:p>
      <w:pPr>
        <w:pStyle w:val="6"/>
        <w:spacing w:before="60" w:line="295" w:lineRule="auto"/>
        <w:ind w:left="440" w:right="1" w:firstLine="543"/>
        <w:rPr>
          <w:rFonts w:hint="eastAsia" w:ascii="MS UI Gothic" w:eastAsia="MS UI Gothic"/>
        </w:rPr>
      </w:pPr>
      <w:r>
        <w:rPr>
          <w:spacing w:val="3"/>
          <w:w w:val="105"/>
        </w:rPr>
        <w:t>八</w:t>
      </w:r>
      <w:r>
        <w:rPr>
          <w:rFonts w:hint="eastAsia" w:ascii="MS UI Gothic" w:eastAsia="MS UI Gothic"/>
          <w:spacing w:val="-5"/>
          <w:w w:val="150"/>
        </w:rPr>
        <w:t xml:space="preserve">) </w:t>
      </w:r>
      <w:r>
        <w:rPr>
          <w:spacing w:val="5"/>
          <w:w w:val="105"/>
        </w:rPr>
        <w:t>在过卷行程内可不安设缓冲装</w:t>
      </w:r>
      <w:r>
        <w:rPr>
          <w:spacing w:val="3"/>
          <w:w w:val="105"/>
        </w:rPr>
        <w:t>置</w:t>
      </w:r>
      <w:r>
        <w:rPr>
          <w:rFonts w:hint="eastAsia" w:ascii="MS UI Gothic" w:eastAsia="MS UI Gothic"/>
          <w:spacing w:val="-1"/>
          <w:w w:val="80"/>
        </w:rPr>
        <w:t xml:space="preserve">ꎬ </w:t>
      </w:r>
      <w:r>
        <w:rPr>
          <w:spacing w:val="-6"/>
          <w:w w:val="105"/>
        </w:rPr>
        <w:t xml:space="preserve">但过卷行程不得小于表 </w:t>
      </w:r>
      <w:r>
        <w:rPr>
          <w:rFonts w:hint="eastAsia" w:ascii="MS UI Gothic" w:eastAsia="MS UI Gothic"/>
          <w:spacing w:val="-11"/>
          <w:w w:val="80"/>
        </w:rPr>
        <w:t xml:space="preserve">２ </w:t>
      </w:r>
      <w:r>
        <w:rPr>
          <w:spacing w:val="3"/>
          <w:w w:val="105"/>
        </w:rPr>
        <w:t>确定的值</w:t>
      </w:r>
      <w:r>
        <w:rPr>
          <w:rFonts w:hint="eastAsia" w:ascii="MS UI Gothic" w:eastAsia="MS UI Gothic"/>
          <w:w w:val="80"/>
        </w:rPr>
        <w:t>ꎮ</w:t>
      </w:r>
    </w:p>
    <w:p>
      <w:pPr>
        <w:pStyle w:val="6"/>
        <w:spacing w:before="214"/>
        <w:ind w:left="437" w:firstLine="0"/>
        <w:jc w:val="center"/>
      </w:pPr>
      <w:r>
        <w:rPr>
          <w:w w:val="95"/>
        </w:rPr>
        <w:t xml:space="preserve">表 </w:t>
      </w:r>
      <w:r>
        <w:rPr>
          <w:rFonts w:hint="eastAsia" w:ascii="MS UI Gothic" w:eastAsia="MS UI Gothic"/>
          <w:w w:val="95"/>
        </w:rPr>
        <w:t xml:space="preserve">２ </w:t>
      </w:r>
      <w:r>
        <w:rPr>
          <w:w w:val="95"/>
        </w:rPr>
        <w:t>提升速度与过卷行程</w:t>
      </w:r>
    </w:p>
    <w:p>
      <w:pPr>
        <w:pStyle w:val="6"/>
        <w:spacing w:before="2"/>
        <w:ind w:left="0" w:firstLine="0"/>
        <w:jc w:val="left"/>
        <w:rPr>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591"/>
        <w:gridCol w:w="423"/>
        <w:gridCol w:w="425"/>
        <w:gridCol w:w="425"/>
        <w:gridCol w:w="423"/>
        <w:gridCol w:w="485"/>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591" w:type="dxa"/>
            <w:tcBorders>
              <w:bottom w:val="single" w:color="231F20" w:sz="4" w:space="0"/>
              <w:right w:val="single" w:color="231F20" w:sz="4" w:space="0"/>
            </w:tcBorders>
          </w:tcPr>
          <w:p>
            <w:pPr>
              <w:pStyle w:val="11"/>
              <w:spacing w:before="38"/>
              <w:ind w:left="50" w:right="52"/>
              <w:jc w:val="center"/>
              <w:rPr>
                <w:rFonts w:hint="eastAsia" w:ascii="MS UI Gothic" w:eastAsia="MS UI Gothic"/>
                <w:sz w:val="15"/>
              </w:rPr>
            </w:pPr>
            <w:r>
              <w:rPr>
                <w:spacing w:val="7"/>
                <w:w w:val="103"/>
                <w:sz w:val="15"/>
              </w:rPr>
              <w:t>提升速度</w:t>
            </w:r>
            <w:r>
              <w:rPr>
                <w:rFonts w:hint="eastAsia" w:ascii="MS UI Gothic" w:eastAsia="MS UI Gothic"/>
                <w:w w:val="34"/>
                <w:sz w:val="15"/>
              </w:rPr>
              <w:t>/</w:t>
            </w:r>
            <w:r>
              <w:rPr>
                <w:rFonts w:hint="eastAsia" w:ascii="MS UI Gothic" w:eastAsia="MS UI Gothic"/>
                <w:spacing w:val="11"/>
                <w:sz w:val="15"/>
              </w:rPr>
              <w:t xml:space="preserve">  </w:t>
            </w:r>
            <w:r>
              <w:rPr>
                <w:rFonts w:hint="eastAsia" w:ascii="MS UI Gothic" w:eastAsia="MS UI Gothic"/>
                <w:w w:val="169"/>
                <w:sz w:val="15"/>
              </w:rPr>
              <w:t>(</w:t>
            </w:r>
            <w:r>
              <w:rPr>
                <w:rFonts w:hint="eastAsia" w:ascii="MS UI Gothic" w:eastAsia="MS UI Gothic"/>
                <w:spacing w:val="-29"/>
                <w:sz w:val="15"/>
              </w:rPr>
              <w:t xml:space="preserve"> </w:t>
            </w:r>
            <w:r>
              <w:rPr>
                <w:rFonts w:hint="eastAsia" w:ascii="MS UI Gothic" w:eastAsia="MS UI Gothic"/>
                <w:spacing w:val="2"/>
                <w:w w:val="79"/>
                <w:sz w:val="15"/>
              </w:rPr>
              <w:t>ｍ</w:t>
            </w:r>
            <w:r>
              <w:rPr>
                <w:rFonts w:hint="eastAsia" w:ascii="MS UI Gothic" w:eastAsia="MS UI Gothic"/>
                <w:spacing w:val="7"/>
                <w:w w:val="70"/>
                <w:sz w:val="15"/>
              </w:rPr>
              <w:t>ｓ</w:t>
            </w:r>
            <w:r>
              <w:rPr>
                <w:rFonts w:hint="eastAsia" w:ascii="MS UI Gothic" w:eastAsia="MS UI Gothic"/>
                <w:spacing w:val="7"/>
                <w:w w:val="56"/>
                <w:position w:val="7"/>
                <w:sz w:val="10"/>
              </w:rPr>
              <w:t>－</w:t>
            </w:r>
            <w:r>
              <w:rPr>
                <w:rFonts w:hint="eastAsia" w:ascii="MS UI Gothic" w:eastAsia="MS UI Gothic"/>
                <w:w w:val="75"/>
                <w:position w:val="6"/>
                <w:sz w:val="10"/>
              </w:rPr>
              <w:t>１</w:t>
            </w:r>
            <w:r>
              <w:rPr>
                <w:rFonts w:hint="eastAsia" w:ascii="MS UI Gothic" w:eastAsia="MS UI Gothic"/>
                <w:spacing w:val="-13"/>
                <w:position w:val="6"/>
                <w:sz w:val="10"/>
              </w:rPr>
              <w:t xml:space="preserve"> </w:t>
            </w:r>
            <w:r>
              <w:rPr>
                <w:rFonts w:hint="eastAsia" w:ascii="MS UI Gothic" w:eastAsia="MS UI Gothic"/>
                <w:w w:val="169"/>
                <w:sz w:val="15"/>
              </w:rPr>
              <w:t>)</w:t>
            </w:r>
          </w:p>
        </w:tc>
        <w:tc>
          <w:tcPr>
            <w:tcW w:w="423" w:type="dxa"/>
            <w:tcBorders>
              <w:left w:val="single" w:color="231F20" w:sz="4" w:space="0"/>
              <w:bottom w:val="single" w:color="231F20" w:sz="4" w:space="0"/>
              <w:right w:val="single" w:color="231F20" w:sz="4" w:space="0"/>
            </w:tcBorders>
          </w:tcPr>
          <w:p>
            <w:pPr>
              <w:pStyle w:val="11"/>
              <w:spacing w:before="50"/>
              <w:ind w:left="12"/>
              <w:jc w:val="center"/>
              <w:rPr>
                <w:rFonts w:hint="eastAsia" w:ascii="MS UI Gothic" w:eastAsia="MS UI Gothic"/>
                <w:sz w:val="15"/>
              </w:rPr>
            </w:pPr>
            <w:r>
              <w:rPr>
                <w:rFonts w:hint="eastAsia" w:ascii="MS UI Gothic" w:eastAsia="MS UI Gothic"/>
                <w:w w:val="75"/>
                <w:sz w:val="15"/>
              </w:rPr>
              <w:t>４</w:t>
            </w:r>
          </w:p>
        </w:tc>
        <w:tc>
          <w:tcPr>
            <w:tcW w:w="425" w:type="dxa"/>
            <w:tcBorders>
              <w:left w:val="single" w:color="231F20" w:sz="4" w:space="0"/>
              <w:bottom w:val="single" w:color="231F20" w:sz="4" w:space="0"/>
              <w:right w:val="single" w:color="231F20" w:sz="4" w:space="0"/>
            </w:tcBorders>
          </w:tcPr>
          <w:p>
            <w:pPr>
              <w:pStyle w:val="11"/>
              <w:spacing w:before="50"/>
              <w:ind w:left="10"/>
              <w:jc w:val="center"/>
              <w:rPr>
                <w:rFonts w:hint="eastAsia" w:ascii="MS UI Gothic" w:eastAsia="MS UI Gothic"/>
                <w:sz w:val="15"/>
              </w:rPr>
            </w:pPr>
            <w:r>
              <w:rPr>
                <w:rFonts w:hint="eastAsia" w:ascii="MS UI Gothic" w:eastAsia="MS UI Gothic"/>
                <w:w w:val="75"/>
                <w:sz w:val="15"/>
              </w:rPr>
              <w:t>５</w:t>
            </w:r>
          </w:p>
        </w:tc>
        <w:tc>
          <w:tcPr>
            <w:tcW w:w="425" w:type="dxa"/>
            <w:tcBorders>
              <w:left w:val="single" w:color="231F20" w:sz="4" w:space="0"/>
              <w:bottom w:val="single" w:color="231F20" w:sz="4" w:space="0"/>
              <w:right w:val="single" w:color="231F20" w:sz="4" w:space="0"/>
            </w:tcBorders>
          </w:tcPr>
          <w:p>
            <w:pPr>
              <w:pStyle w:val="11"/>
              <w:spacing w:before="50"/>
              <w:ind w:left="10"/>
              <w:jc w:val="center"/>
              <w:rPr>
                <w:rFonts w:hint="eastAsia" w:ascii="MS UI Gothic" w:eastAsia="MS UI Gothic"/>
                <w:sz w:val="15"/>
              </w:rPr>
            </w:pPr>
            <w:r>
              <w:rPr>
                <w:rFonts w:hint="eastAsia" w:ascii="MS UI Gothic" w:eastAsia="MS UI Gothic"/>
                <w:w w:val="75"/>
                <w:sz w:val="15"/>
              </w:rPr>
              <w:t>６</w:t>
            </w:r>
          </w:p>
        </w:tc>
        <w:tc>
          <w:tcPr>
            <w:tcW w:w="423" w:type="dxa"/>
            <w:tcBorders>
              <w:left w:val="single" w:color="231F20" w:sz="4" w:space="0"/>
              <w:bottom w:val="single" w:color="231F20" w:sz="4" w:space="0"/>
              <w:right w:val="single" w:color="231F20" w:sz="4" w:space="0"/>
            </w:tcBorders>
          </w:tcPr>
          <w:p>
            <w:pPr>
              <w:pStyle w:val="11"/>
              <w:spacing w:before="50"/>
              <w:ind w:left="12"/>
              <w:jc w:val="center"/>
              <w:rPr>
                <w:rFonts w:hint="eastAsia" w:ascii="MS UI Gothic" w:eastAsia="MS UI Gothic"/>
                <w:sz w:val="15"/>
              </w:rPr>
            </w:pPr>
            <w:r>
              <w:rPr>
                <w:rFonts w:hint="eastAsia" w:ascii="MS UI Gothic" w:eastAsia="MS UI Gothic"/>
                <w:w w:val="75"/>
                <w:sz w:val="15"/>
              </w:rPr>
              <w:t>７</w:t>
            </w:r>
          </w:p>
        </w:tc>
        <w:tc>
          <w:tcPr>
            <w:tcW w:w="485" w:type="dxa"/>
            <w:tcBorders>
              <w:left w:val="single" w:color="231F20" w:sz="4" w:space="0"/>
              <w:bottom w:val="single" w:color="231F20" w:sz="4" w:space="0"/>
            </w:tcBorders>
          </w:tcPr>
          <w:p>
            <w:pPr>
              <w:pStyle w:val="11"/>
              <w:spacing w:before="50"/>
              <w:ind w:left="17"/>
              <w:jc w:val="center"/>
              <w:rPr>
                <w:rFonts w:hint="eastAsia" w:ascii="MS UI Gothic" w:eastAsia="MS UI Gothic"/>
                <w:sz w:val="15"/>
              </w:rPr>
            </w:pPr>
            <w:r>
              <w:rPr>
                <w:rFonts w:hint="eastAsia" w:ascii="MS UI Gothic" w:eastAsia="MS UI Gothic"/>
                <w:w w:val="75"/>
                <w:sz w:val="15"/>
              </w:rPr>
              <w:t>８</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591" w:type="dxa"/>
            <w:tcBorders>
              <w:top w:val="single" w:color="231F20" w:sz="4" w:space="0"/>
              <w:right w:val="single" w:color="231F20" w:sz="4" w:space="0"/>
            </w:tcBorders>
          </w:tcPr>
          <w:p>
            <w:pPr>
              <w:pStyle w:val="11"/>
              <w:spacing w:before="55"/>
              <w:ind w:left="50" w:right="38"/>
              <w:jc w:val="center"/>
              <w:rPr>
                <w:rFonts w:hint="eastAsia" w:ascii="MS UI Gothic" w:eastAsia="MS UI Gothic"/>
                <w:sz w:val="15"/>
              </w:rPr>
            </w:pPr>
            <w:r>
              <w:rPr>
                <w:sz w:val="15"/>
              </w:rPr>
              <w:t>过卷行程</w:t>
            </w:r>
            <w:r>
              <w:rPr>
                <w:rFonts w:hint="eastAsia" w:ascii="MS UI Gothic" w:eastAsia="MS UI Gothic"/>
                <w:w w:val="65"/>
                <w:sz w:val="15"/>
              </w:rPr>
              <w:t xml:space="preserve">/ </w:t>
            </w:r>
            <w:r>
              <w:rPr>
                <w:rFonts w:hint="eastAsia" w:ascii="MS UI Gothic" w:eastAsia="MS UI Gothic"/>
                <w:sz w:val="15"/>
              </w:rPr>
              <w:t>ｍ</w:t>
            </w:r>
          </w:p>
        </w:tc>
        <w:tc>
          <w:tcPr>
            <w:tcW w:w="423" w:type="dxa"/>
            <w:tcBorders>
              <w:top w:val="single" w:color="231F20" w:sz="4" w:space="0"/>
              <w:left w:val="single" w:color="231F20" w:sz="4" w:space="0"/>
              <w:right w:val="single" w:color="231F20" w:sz="4" w:space="0"/>
            </w:tcBorders>
          </w:tcPr>
          <w:p>
            <w:pPr>
              <w:pStyle w:val="11"/>
              <w:spacing w:before="55"/>
              <w:ind w:left="12"/>
              <w:jc w:val="center"/>
              <w:rPr>
                <w:rFonts w:hint="eastAsia" w:ascii="MS UI Gothic" w:eastAsia="MS UI Gothic"/>
                <w:sz w:val="15"/>
              </w:rPr>
            </w:pPr>
            <w:r>
              <w:rPr>
                <w:rFonts w:hint="eastAsia" w:ascii="MS UI Gothic" w:eastAsia="MS UI Gothic"/>
                <w:w w:val="90"/>
                <w:sz w:val="15"/>
              </w:rPr>
              <w:t>２ ３８</w:t>
            </w:r>
          </w:p>
        </w:tc>
        <w:tc>
          <w:tcPr>
            <w:tcW w:w="425" w:type="dxa"/>
            <w:tcBorders>
              <w:top w:val="single" w:color="231F20" w:sz="4" w:space="0"/>
              <w:left w:val="single" w:color="231F20" w:sz="4" w:space="0"/>
              <w:right w:val="single" w:color="231F20" w:sz="4" w:space="0"/>
            </w:tcBorders>
          </w:tcPr>
          <w:p>
            <w:pPr>
              <w:pStyle w:val="11"/>
              <w:spacing w:before="55"/>
              <w:ind w:left="12" w:right="2"/>
              <w:jc w:val="center"/>
              <w:rPr>
                <w:rFonts w:hint="eastAsia" w:ascii="MS UI Gothic" w:eastAsia="MS UI Gothic"/>
                <w:sz w:val="15"/>
              </w:rPr>
            </w:pPr>
            <w:r>
              <w:rPr>
                <w:rFonts w:hint="eastAsia" w:ascii="MS UI Gothic" w:eastAsia="MS UI Gothic"/>
                <w:w w:val="90"/>
                <w:sz w:val="15"/>
              </w:rPr>
              <w:t>２ ８１</w:t>
            </w:r>
          </w:p>
        </w:tc>
        <w:tc>
          <w:tcPr>
            <w:tcW w:w="425" w:type="dxa"/>
            <w:tcBorders>
              <w:top w:val="single" w:color="231F20" w:sz="4" w:space="0"/>
              <w:left w:val="single" w:color="231F20" w:sz="4" w:space="0"/>
              <w:right w:val="single" w:color="231F20" w:sz="4" w:space="0"/>
            </w:tcBorders>
          </w:tcPr>
          <w:p>
            <w:pPr>
              <w:pStyle w:val="11"/>
              <w:spacing w:before="55"/>
              <w:ind w:left="12" w:right="2"/>
              <w:jc w:val="center"/>
              <w:rPr>
                <w:rFonts w:hint="eastAsia" w:ascii="MS UI Gothic" w:eastAsia="MS UI Gothic"/>
                <w:sz w:val="15"/>
              </w:rPr>
            </w:pPr>
            <w:r>
              <w:rPr>
                <w:rFonts w:hint="eastAsia" w:ascii="MS UI Gothic" w:eastAsia="MS UI Gothic"/>
                <w:w w:val="90"/>
                <w:sz w:val="15"/>
              </w:rPr>
              <w:t>３ ２５</w:t>
            </w:r>
          </w:p>
        </w:tc>
        <w:tc>
          <w:tcPr>
            <w:tcW w:w="423" w:type="dxa"/>
            <w:tcBorders>
              <w:top w:val="single" w:color="231F20" w:sz="4" w:space="0"/>
              <w:left w:val="single" w:color="231F20" w:sz="4" w:space="0"/>
              <w:right w:val="single" w:color="231F20" w:sz="4" w:space="0"/>
            </w:tcBorders>
          </w:tcPr>
          <w:p>
            <w:pPr>
              <w:pStyle w:val="11"/>
              <w:spacing w:before="55"/>
              <w:ind w:left="12"/>
              <w:jc w:val="center"/>
              <w:rPr>
                <w:rFonts w:hint="eastAsia" w:ascii="MS UI Gothic" w:eastAsia="MS UI Gothic"/>
                <w:sz w:val="15"/>
              </w:rPr>
            </w:pPr>
            <w:r>
              <w:rPr>
                <w:rFonts w:hint="eastAsia" w:ascii="MS UI Gothic" w:eastAsia="MS UI Gothic"/>
                <w:w w:val="90"/>
                <w:sz w:val="15"/>
              </w:rPr>
              <w:t>３ ６９</w:t>
            </w:r>
          </w:p>
        </w:tc>
        <w:tc>
          <w:tcPr>
            <w:tcW w:w="485" w:type="dxa"/>
            <w:tcBorders>
              <w:top w:val="single" w:color="231F20" w:sz="4" w:space="0"/>
              <w:left w:val="single" w:color="231F20" w:sz="4" w:space="0"/>
            </w:tcBorders>
          </w:tcPr>
          <w:p>
            <w:pPr>
              <w:pStyle w:val="11"/>
              <w:spacing w:before="55"/>
              <w:ind w:left="43" w:right="26"/>
              <w:jc w:val="center"/>
              <w:rPr>
                <w:rFonts w:hint="eastAsia" w:ascii="MS UI Gothic" w:eastAsia="MS UI Gothic"/>
                <w:sz w:val="15"/>
              </w:rPr>
            </w:pPr>
            <w:r>
              <w:rPr>
                <w:rFonts w:hint="eastAsia" w:ascii="MS UI Gothic" w:eastAsia="MS UI Gothic"/>
                <w:w w:val="90"/>
                <w:sz w:val="15"/>
              </w:rPr>
              <w:t>４ １３</w:t>
            </w:r>
          </w:p>
        </w:tc>
      </w:tr>
    </w:tbl>
    <w:p>
      <w:pPr>
        <w:pStyle w:val="6"/>
        <w:spacing w:before="282" w:line="295" w:lineRule="auto"/>
        <w:ind w:left="440" w:right="1"/>
        <w:rPr>
          <w:rFonts w:hint="eastAsia" w:ascii="MS UI Gothic" w:eastAsia="MS UI Gothic"/>
        </w:rPr>
      </w:pPr>
      <w:r>
        <w:rPr>
          <w:rFonts w:hint="eastAsia" w:ascii="MS UI Gothic" w:eastAsia="MS UI Gothic"/>
          <w:w w:val="168"/>
        </w:rPr>
        <w:t>(</w:t>
      </w:r>
      <w:r>
        <w:rPr>
          <w:rFonts w:hint="eastAsia" w:ascii="MS UI Gothic" w:eastAsia="MS UI Gothic"/>
          <w:w w:val="75"/>
        </w:rPr>
        <w:t>９</w:t>
      </w:r>
      <w:r>
        <w:rPr>
          <w:rFonts w:hint="eastAsia" w:ascii="MS UI Gothic" w:eastAsia="MS UI Gothic"/>
          <w:w w:val="168"/>
        </w:rPr>
        <w:t>)</w:t>
      </w:r>
      <w:r>
        <w:rPr>
          <w:rFonts w:hint="eastAsia" w:ascii="MS UI Gothic" w:eastAsia="MS UI Gothic"/>
        </w:rPr>
        <w:t xml:space="preserve">  </w:t>
      </w:r>
      <w:r>
        <w:rPr>
          <w:w w:val="102"/>
        </w:rPr>
        <w:t>提升机松绳保护装置应当接入</w:t>
      </w:r>
      <w:r>
        <w:t>报警回路</w:t>
      </w:r>
      <w:r>
        <w:rPr>
          <w:rFonts w:hint="eastAsia" w:ascii="MS UI Gothic" w:eastAsia="MS UI Gothic"/>
          <w:w w:val="90"/>
        </w:rPr>
        <w:t>ꎮ</w:t>
      </w:r>
    </w:p>
    <w:p>
      <w:pPr>
        <w:pStyle w:val="6"/>
        <w:spacing w:line="295" w:lineRule="auto"/>
        <w:ind w:left="440" w:right="1"/>
        <w:rPr>
          <w:rFonts w:hint="eastAsia" w:ascii="MS UI Gothic" w:eastAsia="MS UI Gothic"/>
        </w:rPr>
      </w:pPr>
      <w:r>
        <w:rPr>
          <w:w w:val="105"/>
        </w:rPr>
        <w:t>第七十五条 立井凿井期间采用吊桶</w:t>
      </w:r>
      <w:r>
        <w:rPr>
          <w:w w:val="110"/>
        </w:rPr>
        <w:t>升降人员时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before="1"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乘坐人员必须挂牢安全绳</w:t>
      </w:r>
      <w:r>
        <w:rPr>
          <w:rFonts w:hint="eastAsia" w:ascii="MS UI Gothic" w:eastAsia="MS UI Gothic"/>
          <w:w w:val="80"/>
        </w:rPr>
        <w:t xml:space="preserve">ꎬ </w:t>
      </w:r>
      <w:r>
        <w:rPr>
          <w:w w:val="105"/>
        </w:rPr>
        <w:t>严禁身体任何部位超出吊桶边缘</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不得人</w:t>
      </w:r>
      <w:r>
        <w:rPr>
          <w:rFonts w:hint="eastAsia" w:ascii="MS UI Gothic" w:eastAsia="MS UI Gothic"/>
          <w:w w:val="80"/>
        </w:rPr>
        <w:t xml:space="preserve">、 </w:t>
      </w:r>
      <w:r>
        <w:rPr>
          <w:w w:val="105"/>
        </w:rPr>
        <w:t>物混装</w:t>
      </w:r>
      <w:r>
        <w:rPr>
          <w:rFonts w:hint="eastAsia" w:ascii="MS UI Gothic" w:eastAsia="MS UI Gothic"/>
          <w:w w:val="80"/>
        </w:rPr>
        <w:t xml:space="preserve">ꎮ </w:t>
      </w:r>
      <w:r>
        <w:rPr>
          <w:w w:val="105"/>
        </w:rPr>
        <w:t>运送爆炸物</w:t>
      </w:r>
      <w:r>
        <w:t>品时应当执行本规程第三百三十九条的</w:t>
      </w:r>
      <w:r>
        <w:rPr>
          <w:w w:val="105"/>
        </w:rPr>
        <w:t>规定</w:t>
      </w:r>
      <w:r>
        <w:rPr>
          <w:rFonts w:hint="eastAsia" w:ascii="MS UI Gothic" w:eastAsia="MS UI Gothic"/>
          <w:w w:val="80"/>
        </w:rPr>
        <w:t>ꎮ</w:t>
      </w:r>
    </w:p>
    <w:p>
      <w:pPr>
        <w:pStyle w:val="6"/>
        <w:spacing w:before="1" w:line="295" w:lineRule="auto"/>
        <w:ind w:left="440" w:right="1"/>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严禁用自动翻转式底卸式吊桶</w:t>
      </w:r>
      <w:r>
        <w:rPr>
          <w:w w:val="110"/>
        </w:rPr>
        <w:t>升降人员</w:t>
      </w:r>
    </w:p>
    <w:p>
      <w:pPr>
        <w:pStyle w:val="6"/>
        <w:spacing w:before="1"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吊桶提升到地面时</w:t>
      </w:r>
      <w:r>
        <w:rPr>
          <w:rFonts w:hint="eastAsia" w:ascii="MS UI Gothic" w:eastAsia="MS UI Gothic"/>
          <w:w w:val="80"/>
        </w:rPr>
        <w:t xml:space="preserve">ꎬ </w:t>
      </w:r>
      <w:r>
        <w:rPr>
          <w:w w:val="105"/>
        </w:rPr>
        <w:t>人员必须</w:t>
      </w:r>
      <w:r>
        <w:t>从井口平台进出吊桶</w:t>
      </w:r>
      <w:r>
        <w:rPr>
          <w:rFonts w:hint="eastAsia" w:ascii="MS UI Gothic" w:eastAsia="MS UI Gothic"/>
          <w:w w:val="80"/>
        </w:rPr>
        <w:t xml:space="preserve">ꎬ </w:t>
      </w:r>
      <w:r>
        <w:t>并只准在吊桶停稳</w:t>
      </w:r>
      <w:r>
        <w:rPr>
          <w:w w:val="105"/>
        </w:rPr>
        <w:t>和井盖门关闭后进出吊桶</w:t>
      </w:r>
      <w:r>
        <w:rPr>
          <w:rFonts w:hint="eastAsia" w:ascii="MS UI Gothic" w:eastAsia="MS UI Gothic"/>
          <w:w w:val="80"/>
        </w:rPr>
        <w:t>ꎮ</w:t>
      </w:r>
    </w:p>
    <w:p>
      <w:pPr>
        <w:pStyle w:val="6"/>
        <w:spacing w:line="256" w:lineRule="exact"/>
        <w:ind w:left="860" w:firstLine="0"/>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吊桶内人均有效面积不应小于</w:t>
      </w:r>
    </w:p>
    <w:p>
      <w:pPr>
        <w:pStyle w:val="6"/>
        <w:spacing w:before="50"/>
        <w:ind w:left="435" w:firstLine="0"/>
        <w:jc w:val="left"/>
        <w:rPr>
          <w:rFonts w:hint="eastAsia" w:ascii="MS UI Gothic" w:eastAsia="MS UI Gothic"/>
        </w:rPr>
      </w:pPr>
      <w:r>
        <w:rPr>
          <w:rFonts w:hint="eastAsia" w:ascii="MS UI Gothic" w:eastAsia="MS UI Gothic"/>
          <w:w w:val="85"/>
        </w:rPr>
        <w:t>０ ２ ｍ</w:t>
      </w:r>
      <w:r>
        <w:rPr>
          <w:rFonts w:hint="eastAsia" w:ascii="MS UI Gothic" w:eastAsia="MS UI Gothic"/>
          <w:w w:val="85"/>
          <w:position w:val="9"/>
          <w:sz w:val="12"/>
        </w:rPr>
        <w:t xml:space="preserve">２ </w:t>
      </w:r>
      <w:r>
        <w:rPr>
          <w:rFonts w:hint="eastAsia" w:ascii="MS UI Gothic" w:eastAsia="MS UI Gothic"/>
          <w:w w:val="85"/>
        </w:rPr>
        <w:t xml:space="preserve">ꎬ </w:t>
      </w:r>
      <w:r>
        <w:rPr>
          <w:w w:val="95"/>
        </w:rPr>
        <w:t>严禁超员</w:t>
      </w:r>
      <w:r>
        <w:rPr>
          <w:rFonts w:hint="eastAsia" w:ascii="MS UI Gothic" w:eastAsia="MS UI Gothic"/>
          <w:w w:val="85"/>
        </w:rPr>
        <w:t>ꎮ</w:t>
      </w:r>
    </w:p>
    <w:p>
      <w:pPr>
        <w:pStyle w:val="6"/>
        <w:spacing w:before="60" w:line="295" w:lineRule="auto"/>
        <w:ind w:left="440"/>
        <w:rPr>
          <w:rFonts w:hint="eastAsia" w:ascii="MS UI Gothic" w:eastAsia="MS UI Gothic"/>
        </w:rPr>
      </w:pPr>
      <w:r>
        <w:t>第七十六条 立井凿井期间</w:t>
      </w:r>
      <w:r>
        <w:rPr>
          <w:rFonts w:hint="eastAsia" w:ascii="MS UI Gothic" w:eastAsia="MS UI Gothic"/>
          <w:w w:val="80"/>
        </w:rPr>
        <w:t xml:space="preserve">ꎬ </w:t>
      </w:r>
      <w:r>
        <w:t>掘进工作面与吊盘</w:t>
      </w:r>
      <w:r>
        <w:rPr>
          <w:rFonts w:hint="eastAsia" w:ascii="MS UI Gothic" w:eastAsia="MS UI Gothic"/>
          <w:w w:val="80"/>
        </w:rPr>
        <w:t xml:space="preserve">、 </w:t>
      </w:r>
      <w:r>
        <w:t>吊盘与井口</w:t>
      </w:r>
      <w:r>
        <w:rPr>
          <w:rFonts w:hint="eastAsia" w:ascii="MS UI Gothic" w:eastAsia="MS UI Gothic"/>
          <w:w w:val="80"/>
        </w:rPr>
        <w:t xml:space="preserve">、  </w:t>
      </w:r>
      <w:r>
        <w:t>吊盘与辅助盘</w:t>
      </w:r>
      <w:r>
        <w:rPr>
          <w:rFonts w:hint="eastAsia" w:ascii="MS UI Gothic" w:eastAsia="MS UI Gothic"/>
          <w:w w:val="80"/>
        </w:rPr>
        <w:t xml:space="preserve">、 </w:t>
      </w:r>
      <w:r>
        <w:t>腰泵房与井口</w:t>
      </w:r>
      <w:r>
        <w:rPr>
          <w:rFonts w:hint="eastAsia" w:ascii="MS UI Gothic" w:eastAsia="MS UI Gothic"/>
          <w:w w:val="80"/>
        </w:rPr>
        <w:t xml:space="preserve">、 </w:t>
      </w:r>
      <w:r>
        <w:t>翻矸平台与绞车房</w:t>
      </w:r>
      <w:r>
        <w:rPr>
          <w:rFonts w:hint="eastAsia" w:ascii="MS UI Gothic" w:eastAsia="MS UI Gothic"/>
          <w:w w:val="80"/>
        </w:rPr>
        <w:t>、</w:t>
      </w:r>
      <w:r>
        <w:t>井口与提升机房必须设置独立信号装置</w:t>
      </w:r>
      <w:r>
        <w:rPr>
          <w:rFonts w:hint="eastAsia" w:ascii="MS UI Gothic" w:eastAsia="MS UI Gothic"/>
          <w:w w:val="80"/>
        </w:rPr>
        <w:t>ꎮ</w:t>
      </w:r>
      <w:r>
        <w:t>井口信号装置必须与绞车的控制回路闭锁</w:t>
      </w:r>
      <w:r>
        <w:rPr>
          <w:rFonts w:hint="eastAsia" w:ascii="MS UI Gothic" w:eastAsia="MS UI Gothic"/>
          <w:w w:val="80"/>
        </w:rPr>
        <w:t>ꎮ</w:t>
      </w:r>
    </w:p>
    <w:p>
      <w:pPr>
        <w:pStyle w:val="6"/>
        <w:spacing w:before="1" w:line="295" w:lineRule="auto"/>
        <w:ind w:left="440" w:right="1"/>
        <w:rPr>
          <w:rFonts w:hint="eastAsia" w:ascii="MS UI Gothic" w:eastAsia="MS UI Gothic"/>
        </w:rPr>
      </w:pPr>
      <w:r>
        <w:t>吊盘与井口</w:t>
      </w:r>
      <w:r>
        <w:rPr>
          <w:rFonts w:hint="eastAsia" w:ascii="MS UI Gothic" w:eastAsia="MS UI Gothic"/>
        </w:rPr>
        <w:t xml:space="preserve">、 </w:t>
      </w:r>
      <w:r>
        <w:t>腰泵房与井口</w:t>
      </w:r>
      <w:r>
        <w:rPr>
          <w:rFonts w:hint="eastAsia" w:ascii="MS UI Gothic" w:eastAsia="MS UI Gothic"/>
        </w:rPr>
        <w:t xml:space="preserve">、 </w:t>
      </w:r>
      <w:r>
        <w:t>井口与提升机房</w:t>
      </w:r>
      <w:r>
        <w:rPr>
          <w:rFonts w:hint="eastAsia" w:ascii="MS UI Gothic" w:eastAsia="MS UI Gothic"/>
          <w:w w:val="80"/>
        </w:rPr>
        <w:t xml:space="preserve">ꎬ </w:t>
      </w:r>
      <w:r>
        <w:t>必须装设直通电话</w:t>
      </w:r>
      <w:r>
        <w:rPr>
          <w:rFonts w:hint="eastAsia" w:ascii="MS UI Gothic" w:eastAsia="MS UI Gothic"/>
          <w:w w:val="80"/>
        </w:rPr>
        <w:t>ꎮ</w:t>
      </w:r>
    </w:p>
    <w:p>
      <w:pPr>
        <w:pStyle w:val="6"/>
        <w:spacing w:line="295" w:lineRule="auto"/>
        <w:ind w:left="440" w:right="1"/>
        <w:rPr>
          <w:rFonts w:hint="eastAsia" w:ascii="MS UI Gothic" w:eastAsia="MS UI Gothic"/>
        </w:rPr>
      </w:pPr>
      <w:r>
        <w:t>建井期间罐笼与箕斗混合提升</w:t>
      </w:r>
      <w:r>
        <w:rPr>
          <w:rFonts w:hint="eastAsia" w:ascii="MS UI Gothic" w:eastAsia="MS UI Gothic"/>
          <w:w w:val="80"/>
        </w:rPr>
        <w:t xml:space="preserve">ꎬ </w:t>
      </w:r>
      <w:r>
        <w:t>提人时应当设置信号闭锁</w:t>
      </w:r>
      <w:r>
        <w:rPr>
          <w:rFonts w:hint="eastAsia" w:ascii="MS UI Gothic" w:eastAsia="MS UI Gothic"/>
          <w:w w:val="80"/>
        </w:rPr>
        <w:t xml:space="preserve">ꎬ </w:t>
      </w:r>
      <w:r>
        <w:t>当罐笼提人时箕斗不得运行</w:t>
      </w:r>
      <w:r>
        <w:rPr>
          <w:rFonts w:hint="eastAsia" w:ascii="MS UI Gothic" w:eastAsia="MS UI Gothic"/>
          <w:w w:val="80"/>
        </w:rPr>
        <w:t>ꎮ</w:t>
      </w:r>
    </w:p>
    <w:p>
      <w:pPr>
        <w:pStyle w:val="6"/>
        <w:spacing w:before="2" w:line="295" w:lineRule="auto"/>
        <w:ind w:left="440" w:right="1"/>
        <w:rPr>
          <w:rFonts w:hint="eastAsia" w:ascii="MS UI Gothic" w:eastAsia="MS UI Gothic"/>
        </w:rPr>
      </w:pPr>
      <w:r>
        <w:t xml:space="preserve">装备 </w:t>
      </w:r>
      <w:r>
        <w:rPr>
          <w:rFonts w:hint="eastAsia" w:ascii="MS UI Gothic" w:eastAsia="MS UI Gothic"/>
        </w:rPr>
        <w:t xml:space="preserve">１ </w:t>
      </w:r>
      <w:r>
        <w:t>套提升系统的井筒</w:t>
      </w:r>
      <w:r>
        <w:rPr>
          <w:rFonts w:hint="eastAsia" w:ascii="MS UI Gothic" w:eastAsia="MS UI Gothic"/>
          <w:w w:val="80"/>
        </w:rPr>
        <w:t xml:space="preserve">ꎬ </w:t>
      </w:r>
      <w:r>
        <w:t>必须有备用通信</w:t>
      </w:r>
      <w:r>
        <w:rPr>
          <w:rFonts w:hint="eastAsia" w:ascii="MS UI Gothic" w:eastAsia="MS UI Gothic"/>
        </w:rPr>
        <w:t xml:space="preserve">、 </w:t>
      </w:r>
      <w:r>
        <w:t>信号装置</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rPr>
          <w:spacing w:val="3"/>
        </w:rPr>
        <w:t>第七十七条 立井凿井期间</w:t>
      </w:r>
      <w:r>
        <w:rPr>
          <w:rFonts w:hint="eastAsia" w:ascii="MS UI Gothic" w:eastAsia="MS UI Gothic"/>
          <w:spacing w:val="7"/>
          <w:w w:val="80"/>
        </w:rPr>
        <w:t xml:space="preserve">ꎬ </w:t>
      </w:r>
      <w:r>
        <w:rPr>
          <w:spacing w:val="2"/>
        </w:rPr>
        <w:t>提升钢</w:t>
      </w:r>
      <w:r>
        <w:rPr>
          <w:spacing w:val="3"/>
        </w:rPr>
        <w:t>丝绳与吊桶的连接</w:t>
      </w:r>
      <w:r>
        <w:rPr>
          <w:rFonts w:hint="eastAsia" w:ascii="MS UI Gothic" w:eastAsia="MS UI Gothic"/>
          <w:spacing w:val="20"/>
          <w:w w:val="80"/>
        </w:rPr>
        <w:t xml:space="preserve">ꎬ </w:t>
      </w:r>
      <w:r>
        <w:rPr>
          <w:spacing w:val="2"/>
        </w:rPr>
        <w:t>必须采用具有可靠保</w:t>
      </w:r>
      <w:r>
        <w:rPr>
          <w:spacing w:val="3"/>
        </w:rPr>
        <w:t>险和回转卸力装置的专用钩头</w:t>
      </w:r>
      <w:r>
        <w:rPr>
          <w:rFonts w:hint="eastAsia" w:ascii="MS UI Gothic" w:eastAsia="MS UI Gothic"/>
          <w:spacing w:val="20"/>
          <w:w w:val="80"/>
        </w:rPr>
        <w:t xml:space="preserve">ꎮ </w:t>
      </w:r>
      <w:r>
        <w:rPr>
          <w:spacing w:val="2"/>
        </w:rPr>
        <w:t>钩头主要</w:t>
      </w:r>
      <w:r>
        <w:rPr>
          <w:spacing w:val="22"/>
        </w:rPr>
        <w:t xml:space="preserve">受力部件每年应当进行 </w:t>
      </w:r>
      <w:r>
        <w:rPr>
          <w:rFonts w:hint="eastAsia" w:ascii="MS UI Gothic" w:eastAsia="MS UI Gothic"/>
          <w:spacing w:val="17"/>
          <w:w w:val="80"/>
        </w:rPr>
        <w:t xml:space="preserve">１ </w:t>
      </w:r>
      <w:r>
        <w:rPr>
          <w:spacing w:val="23"/>
        </w:rPr>
        <w:t>次无损探伤</w:t>
      </w:r>
      <w:r>
        <w:rPr>
          <w:spacing w:val="3"/>
        </w:rPr>
        <w:t>检测</w:t>
      </w:r>
      <w:r>
        <w:rPr>
          <w:rFonts w:hint="eastAsia" w:ascii="MS UI Gothic" w:eastAsia="MS UI Gothic"/>
          <w:w w:val="80"/>
        </w:rPr>
        <w:t>ꎮ</w:t>
      </w:r>
    </w:p>
    <w:p>
      <w:pPr>
        <w:pStyle w:val="6"/>
        <w:spacing w:line="295" w:lineRule="auto"/>
        <w:ind w:left="375" w:right="124" w:firstLine="425"/>
        <w:rPr>
          <w:rFonts w:hint="eastAsia" w:ascii="MS UI Gothic" w:eastAsia="MS UI Gothic"/>
        </w:rPr>
      </w:pPr>
      <w:r>
        <w:rPr>
          <w:spacing w:val="3"/>
        </w:rPr>
        <w:t>第七十八条 建井期间</w:t>
      </w:r>
      <w:r>
        <w:rPr>
          <w:rFonts w:hint="eastAsia" w:ascii="MS UI Gothic" w:eastAsia="MS UI Gothic"/>
          <w:spacing w:val="7"/>
          <w:w w:val="80"/>
        </w:rPr>
        <w:t xml:space="preserve">ꎬ </w:t>
      </w:r>
      <w:r>
        <w:rPr>
          <w:spacing w:val="2"/>
        </w:rPr>
        <w:t>井筒中悬挂</w:t>
      </w:r>
      <w:r>
        <w:rPr>
          <w:spacing w:val="3"/>
        </w:rPr>
        <w:t>吊盘</w:t>
      </w:r>
      <w:r>
        <w:rPr>
          <w:rFonts w:hint="eastAsia" w:ascii="MS UI Gothic" w:eastAsia="MS UI Gothic"/>
          <w:spacing w:val="17"/>
        </w:rPr>
        <w:t xml:space="preserve">、 </w:t>
      </w:r>
      <w:r>
        <w:rPr>
          <w:spacing w:val="3"/>
        </w:rPr>
        <w:t>模板</w:t>
      </w:r>
      <w:r>
        <w:rPr>
          <w:rFonts w:hint="eastAsia" w:ascii="MS UI Gothic" w:eastAsia="MS UI Gothic"/>
          <w:spacing w:val="18"/>
        </w:rPr>
        <w:t xml:space="preserve">、 </w:t>
      </w:r>
      <w:r>
        <w:rPr>
          <w:spacing w:val="3"/>
        </w:rPr>
        <w:t>抓岩机的钢丝绳</w:t>
      </w:r>
      <w:r>
        <w:rPr>
          <w:rFonts w:hint="eastAsia" w:ascii="MS UI Gothic" w:eastAsia="MS UI Gothic"/>
          <w:spacing w:val="23"/>
          <w:w w:val="80"/>
        </w:rPr>
        <w:t xml:space="preserve">ꎬ </w:t>
      </w:r>
      <w:r>
        <w:rPr>
          <w:spacing w:val="2"/>
        </w:rPr>
        <w:t>使用期限</w:t>
      </w:r>
      <w:r>
        <w:rPr>
          <w:spacing w:val="-12"/>
        </w:rPr>
        <w:t xml:space="preserve">一般为 </w:t>
      </w:r>
      <w:r>
        <w:rPr>
          <w:rFonts w:hint="eastAsia" w:ascii="MS UI Gothic" w:eastAsia="MS UI Gothic"/>
          <w:spacing w:val="-3"/>
        </w:rPr>
        <w:t xml:space="preserve">１ </w:t>
      </w:r>
      <w:r>
        <w:rPr>
          <w:spacing w:val="3"/>
        </w:rPr>
        <w:t>年</w:t>
      </w:r>
      <w:r>
        <w:rPr>
          <w:rFonts w:hint="eastAsia" w:ascii="MS UI Gothic" w:eastAsia="MS UI Gothic"/>
          <w:spacing w:val="19"/>
          <w:w w:val="80"/>
        </w:rPr>
        <w:t xml:space="preserve">ꎻ </w:t>
      </w:r>
      <w:r>
        <w:rPr>
          <w:spacing w:val="10"/>
        </w:rPr>
        <w:t>悬挂水管</w:t>
      </w:r>
      <w:r>
        <w:rPr>
          <w:rFonts w:hint="eastAsia" w:ascii="MS UI Gothic" w:eastAsia="MS UI Gothic"/>
          <w:spacing w:val="13"/>
        </w:rPr>
        <w:t xml:space="preserve">、 </w:t>
      </w:r>
      <w:r>
        <w:rPr>
          <w:spacing w:val="8"/>
        </w:rPr>
        <w:t>风管</w:t>
      </w:r>
      <w:r>
        <w:rPr>
          <w:rFonts w:hint="eastAsia" w:ascii="MS UI Gothic" w:eastAsia="MS UI Gothic"/>
          <w:spacing w:val="14"/>
        </w:rPr>
        <w:t xml:space="preserve">、 </w:t>
      </w:r>
      <w:r>
        <w:rPr>
          <w:spacing w:val="11"/>
        </w:rPr>
        <w:t>输料管</w:t>
      </w:r>
      <w:r>
        <w:rPr>
          <w:rFonts w:hint="eastAsia" w:ascii="MS UI Gothic" w:eastAsia="MS UI Gothic"/>
        </w:rPr>
        <w:t>、</w:t>
      </w:r>
      <w:r>
        <w:rPr>
          <w:spacing w:val="3"/>
        </w:rPr>
        <w:t>安全梯和电缆的钢丝绳</w:t>
      </w:r>
      <w:r>
        <w:rPr>
          <w:rFonts w:hint="eastAsia" w:ascii="MS UI Gothic" w:eastAsia="MS UI Gothic"/>
          <w:spacing w:val="19"/>
          <w:w w:val="80"/>
        </w:rPr>
        <w:t xml:space="preserve">ꎬ </w:t>
      </w:r>
      <w:r>
        <w:rPr>
          <w:spacing w:val="2"/>
        </w:rPr>
        <w:t>使用期限一般为</w:t>
      </w:r>
      <w:r>
        <w:rPr>
          <w:rFonts w:hint="eastAsia" w:ascii="MS UI Gothic" w:eastAsia="MS UI Gothic"/>
          <w:spacing w:val="-7"/>
        </w:rPr>
        <w:t xml:space="preserve">２ </w:t>
      </w:r>
      <w:r>
        <w:rPr>
          <w:spacing w:val="3"/>
        </w:rPr>
        <w:t>年</w:t>
      </w:r>
      <w:r>
        <w:rPr>
          <w:rFonts w:hint="eastAsia" w:ascii="MS UI Gothic" w:eastAsia="MS UI Gothic"/>
          <w:spacing w:val="17"/>
          <w:w w:val="80"/>
        </w:rPr>
        <w:t xml:space="preserve">ꎻ </w:t>
      </w:r>
      <w:r>
        <w:rPr>
          <w:spacing w:val="3"/>
        </w:rPr>
        <w:t>钢丝绳到期后经检测检验</w:t>
      </w:r>
      <w:r>
        <w:rPr>
          <w:rFonts w:hint="eastAsia" w:ascii="MS UI Gothic" w:eastAsia="MS UI Gothic"/>
          <w:spacing w:val="20"/>
          <w:w w:val="80"/>
        </w:rPr>
        <w:t xml:space="preserve">ꎬ </w:t>
      </w:r>
      <w:r>
        <w:rPr>
          <w:spacing w:val="6"/>
        </w:rPr>
        <w:t>不符合</w:t>
      </w:r>
      <w:r>
        <w:rPr>
          <w:spacing w:val="3"/>
        </w:rPr>
        <w:t>本规程第四百一十二条的规定</w:t>
      </w:r>
      <w:r>
        <w:rPr>
          <w:rFonts w:hint="eastAsia" w:ascii="MS UI Gothic" w:eastAsia="MS UI Gothic"/>
          <w:spacing w:val="19"/>
          <w:w w:val="80"/>
        </w:rPr>
        <w:t xml:space="preserve">ꎬ </w:t>
      </w:r>
      <w:r>
        <w:rPr>
          <w:spacing w:val="2"/>
        </w:rPr>
        <w:t>可以继续</w:t>
      </w:r>
      <w:r>
        <w:rPr>
          <w:spacing w:val="3"/>
        </w:rPr>
        <w:t>使用</w:t>
      </w:r>
      <w:r>
        <w:rPr>
          <w:rFonts w:hint="eastAsia" w:ascii="MS UI Gothic" w:eastAsia="MS UI Gothic"/>
          <w:w w:val="80"/>
        </w:rPr>
        <w:t>ꎮ</w:t>
      </w:r>
    </w:p>
    <w:p>
      <w:pPr>
        <w:pStyle w:val="6"/>
        <w:spacing w:line="295" w:lineRule="auto"/>
        <w:ind w:left="381" w:right="126"/>
        <w:rPr>
          <w:rFonts w:hint="eastAsia" w:ascii="MS UI Gothic" w:eastAsia="MS UI Gothic"/>
        </w:rPr>
      </w:pPr>
      <w:r>
        <w:t>煤矿企业应当根据建井工期</w:t>
      </w:r>
      <w:r>
        <w:rPr>
          <w:rFonts w:hint="eastAsia" w:ascii="MS UI Gothic" w:eastAsia="MS UI Gothic"/>
          <w:w w:val="80"/>
        </w:rPr>
        <w:t xml:space="preserve">、 </w:t>
      </w:r>
      <w:r>
        <w:t>在用钢丝绳的腐蚀程度等因素</w:t>
      </w:r>
      <w:r>
        <w:rPr>
          <w:rFonts w:hint="eastAsia" w:ascii="MS UI Gothic" w:eastAsia="MS UI Gothic"/>
          <w:w w:val="80"/>
        </w:rPr>
        <w:t xml:space="preserve">ꎬ </w:t>
      </w:r>
      <w:r>
        <w:t>确定是否需要储备检验合格的提升钢丝绳</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第七十九条 立井井筒临时改绞必须</w:t>
      </w:r>
      <w:r>
        <w:t>编制施工组织设计</w:t>
      </w:r>
      <w:r>
        <w:rPr>
          <w:rFonts w:hint="eastAsia" w:ascii="MS UI Gothic" w:eastAsia="MS UI Gothic"/>
          <w:w w:val="80"/>
        </w:rPr>
        <w:t xml:space="preserve">ꎮ </w:t>
      </w:r>
      <w:r>
        <w:t>井筒井底水窝深度必须满足过放距离的要求</w:t>
      </w:r>
      <w:r>
        <w:rPr>
          <w:rFonts w:hint="eastAsia" w:ascii="MS UI Gothic" w:eastAsia="MS UI Gothic"/>
          <w:w w:val="80"/>
        </w:rPr>
        <w:t xml:space="preserve">ꎮ </w:t>
      </w:r>
      <w:r>
        <w:t>提升容器过放距</w:t>
      </w:r>
      <w:r>
        <w:rPr>
          <w:w w:val="105"/>
        </w:rPr>
        <w:t>离内严禁积水积物</w:t>
      </w:r>
      <w:r>
        <w:rPr>
          <w:rFonts w:hint="eastAsia" w:ascii="MS UI Gothic" w:eastAsia="MS UI Gothic"/>
          <w:w w:val="80"/>
        </w:rPr>
        <w:t>ꎮ</w:t>
      </w:r>
    </w:p>
    <w:p>
      <w:pPr>
        <w:pStyle w:val="6"/>
        <w:spacing w:line="295" w:lineRule="auto"/>
        <w:ind w:left="381" w:right="126"/>
        <w:rPr>
          <w:rFonts w:hint="eastAsia" w:ascii="MS UI Gothic" w:eastAsia="MS UI Gothic"/>
        </w:rPr>
      </w:pPr>
      <w:r>
        <w:t xml:space="preserve">同一工业广场内布置 </w:t>
      </w:r>
      <w:r>
        <w:rPr>
          <w:rFonts w:hint="eastAsia" w:ascii="MS UI Gothic" w:eastAsia="MS UI Gothic"/>
          <w:w w:val="80"/>
        </w:rPr>
        <w:t xml:space="preserve">２ </w:t>
      </w:r>
      <w:r>
        <w:t>个及以上井筒时</w:t>
      </w:r>
      <w:r>
        <w:rPr>
          <w:rFonts w:hint="eastAsia" w:ascii="MS UI Gothic" w:eastAsia="MS UI Gothic"/>
          <w:w w:val="80"/>
        </w:rPr>
        <w:t xml:space="preserve">ꎬ </w:t>
      </w:r>
      <w:r>
        <w:t>未与另一井筒贯通的井筒不得进行临时改绞</w:t>
      </w:r>
      <w:r>
        <w:rPr>
          <w:rFonts w:hint="eastAsia" w:ascii="MS UI Gothic" w:eastAsia="MS UI Gothic"/>
          <w:w w:val="80"/>
        </w:rPr>
        <w:t xml:space="preserve">ꎮ </w:t>
      </w:r>
      <w:r>
        <w:t>单井筒确需临时改绞的</w:t>
      </w:r>
      <w:r>
        <w:rPr>
          <w:rFonts w:hint="eastAsia" w:ascii="MS UI Gothic" w:eastAsia="MS UI Gothic"/>
          <w:w w:val="80"/>
        </w:rPr>
        <w:t xml:space="preserve">ꎬ </w:t>
      </w:r>
      <w:r>
        <w:t>必须制定专项措施</w:t>
      </w:r>
      <w:r>
        <w:rPr>
          <w:rFonts w:hint="eastAsia" w:ascii="MS UI Gothic" w:eastAsia="MS UI Gothic"/>
          <w:w w:val="80"/>
        </w:rPr>
        <w:t>ꎮ</w:t>
      </w:r>
    </w:p>
    <w:p>
      <w:pPr>
        <w:pStyle w:val="6"/>
        <w:spacing w:line="295" w:lineRule="auto"/>
        <w:ind w:left="381" w:right="126"/>
        <w:rPr>
          <w:rFonts w:hint="eastAsia" w:ascii="MS UI Gothic" w:eastAsia="MS UI Gothic"/>
        </w:rPr>
      </w:pPr>
      <w:r>
        <w:t>第八十条 开凿或者延深斜井</w:t>
      </w:r>
      <w:r>
        <w:rPr>
          <w:rFonts w:hint="eastAsia" w:ascii="MS UI Gothic" w:eastAsia="MS UI Gothic"/>
          <w:w w:val="80"/>
        </w:rPr>
        <w:t xml:space="preserve">、 </w:t>
      </w:r>
      <w:r>
        <w:t>下山时</w:t>
      </w:r>
      <w:r>
        <w:rPr>
          <w:rFonts w:hint="eastAsia" w:ascii="MS UI Gothic" w:eastAsia="MS UI Gothic"/>
          <w:w w:val="80"/>
        </w:rPr>
        <w:t xml:space="preserve">ꎬ </w:t>
      </w:r>
      <w:r>
        <w:t>必须在斜井</w:t>
      </w:r>
      <w:r>
        <w:rPr>
          <w:rFonts w:hint="eastAsia" w:ascii="MS UI Gothic" w:eastAsia="MS UI Gothic"/>
          <w:w w:val="80"/>
        </w:rPr>
        <w:t xml:space="preserve">、 </w:t>
      </w:r>
      <w:r>
        <w:t>下山的上口设置防止跑车装置</w:t>
      </w:r>
      <w:r>
        <w:rPr>
          <w:rFonts w:hint="eastAsia" w:ascii="MS UI Gothic" w:eastAsia="MS UI Gothic"/>
          <w:w w:val="80"/>
        </w:rPr>
        <w:t xml:space="preserve">ꎬ </w:t>
      </w:r>
      <w:r>
        <w:t>在掘进工作面的上方设置跑车防护装置</w:t>
      </w:r>
      <w:r>
        <w:rPr>
          <w:rFonts w:hint="eastAsia" w:ascii="MS UI Gothic" w:eastAsia="MS UI Gothic"/>
          <w:w w:val="80"/>
        </w:rPr>
        <w:t xml:space="preserve">ꎬ </w:t>
      </w:r>
      <w:r>
        <w:t>跑车防护装置与掘进工作面的距离必须在施工组织设计或者作业规程中明确</w:t>
      </w:r>
      <w:r>
        <w:rPr>
          <w:rFonts w:hint="eastAsia" w:ascii="MS UI Gothic" w:eastAsia="MS UI Gothic"/>
          <w:w w:val="80"/>
        </w:rPr>
        <w:t>ꎮ</w:t>
      </w:r>
    </w:p>
    <w:p>
      <w:pPr>
        <w:pStyle w:val="6"/>
        <w:spacing w:line="295" w:lineRule="auto"/>
        <w:ind w:left="381" w:right="124"/>
        <w:rPr>
          <w:rFonts w:hint="eastAsia" w:ascii="MS UI Gothic" w:eastAsia="MS UI Gothic"/>
        </w:rPr>
      </w:pPr>
      <w:r>
        <w:t xml:space="preserve">斜井 </w:t>
      </w:r>
      <w:r>
        <w:rPr>
          <w:rFonts w:hint="eastAsia" w:ascii="MS UI Gothic" w:eastAsia="MS UI Gothic"/>
          <w:w w:val="145"/>
        </w:rPr>
        <w:t xml:space="preserve">( </w:t>
      </w:r>
      <w:r>
        <w:t>巷</w:t>
      </w:r>
      <w:r>
        <w:rPr>
          <w:rFonts w:hint="eastAsia" w:ascii="MS UI Gothic" w:eastAsia="MS UI Gothic"/>
          <w:w w:val="145"/>
        </w:rPr>
        <w:t xml:space="preserve">) </w:t>
      </w:r>
      <w:r>
        <w:t>施工期间兼作人行道时</w:t>
      </w:r>
      <w:r>
        <w:rPr>
          <w:rFonts w:hint="eastAsia" w:ascii="MS UI Gothic" w:eastAsia="MS UI Gothic"/>
          <w:w w:val="80"/>
        </w:rPr>
        <w:t>ꎬ</w:t>
      </w:r>
      <w:r>
        <w:t xml:space="preserve">必须每隔 </w:t>
      </w:r>
      <w:r>
        <w:rPr>
          <w:rFonts w:hint="eastAsia" w:ascii="MS UI Gothic" w:eastAsia="MS UI Gothic"/>
          <w:w w:val="80"/>
        </w:rPr>
        <w:t xml:space="preserve">４０ ｍ </w:t>
      </w:r>
      <w:r>
        <w:t>设置躲避硐</w:t>
      </w:r>
      <w:r>
        <w:rPr>
          <w:rFonts w:hint="eastAsia" w:ascii="MS UI Gothic" w:eastAsia="MS UI Gothic"/>
          <w:w w:val="80"/>
        </w:rPr>
        <w:t xml:space="preserve">ꎮ </w:t>
      </w:r>
      <w:r>
        <w:t>设有躲避硐的一侧必须有畅通的人行道</w:t>
      </w:r>
      <w:r>
        <w:rPr>
          <w:rFonts w:hint="eastAsia" w:ascii="MS UI Gothic" w:eastAsia="MS UI Gothic"/>
          <w:w w:val="80"/>
        </w:rPr>
        <w:t xml:space="preserve">ꎮ </w:t>
      </w:r>
      <w:r>
        <w:t>上下人员必须走人行道</w:t>
      </w:r>
      <w:r>
        <w:rPr>
          <w:rFonts w:hint="eastAsia" w:ascii="MS UI Gothic" w:eastAsia="MS UI Gothic"/>
          <w:w w:val="80"/>
        </w:rPr>
        <w:t xml:space="preserve">ꎮ </w:t>
      </w:r>
      <w:r>
        <w:t>人行道必须设红灯和语音提示装置</w:t>
      </w:r>
      <w:r>
        <w:rPr>
          <w:rFonts w:hint="eastAsia" w:ascii="MS UI Gothic" w:eastAsia="MS UI Gothic"/>
          <w:w w:val="80"/>
        </w:rPr>
        <w:t>ꎮ</w:t>
      </w:r>
    </w:p>
    <w:p>
      <w:pPr>
        <w:pStyle w:val="6"/>
        <w:spacing w:line="295" w:lineRule="auto"/>
        <w:ind w:left="381" w:right="126"/>
        <w:rPr>
          <w:rFonts w:hint="eastAsia" w:ascii="MS UI Gothic" w:eastAsia="MS UI Gothic"/>
        </w:rPr>
      </w:pPr>
      <w:r>
        <w:t>斜巷采用多级提升或者上山掘进提升时</w:t>
      </w:r>
      <w:r>
        <w:rPr>
          <w:rFonts w:hint="eastAsia" w:ascii="MS UI Gothic" w:eastAsia="MS UI Gothic"/>
          <w:w w:val="80"/>
        </w:rPr>
        <w:t xml:space="preserve">ꎬ </w:t>
      </w:r>
      <w:r>
        <w:t>在绞车上山方向必须设置挡车栏</w:t>
      </w:r>
      <w:r>
        <w:rPr>
          <w:rFonts w:hint="eastAsia" w:ascii="MS UI Gothic" w:eastAsia="MS UI Gothic"/>
          <w:w w:val="80"/>
        </w:rPr>
        <w:t>ꎮ</w:t>
      </w:r>
    </w:p>
    <w:p>
      <w:pPr>
        <w:pStyle w:val="6"/>
        <w:spacing w:line="295" w:lineRule="auto"/>
        <w:ind w:left="381" w:right="126"/>
      </w:pPr>
      <w:r>
        <w:t xml:space="preserve">第八十一条 在吊盘上或者在 </w:t>
      </w:r>
      <w:r>
        <w:rPr>
          <w:rFonts w:hint="eastAsia" w:ascii="MS UI Gothic" w:eastAsia="MS UI Gothic"/>
          <w:w w:val="80"/>
        </w:rPr>
        <w:t xml:space="preserve">２ ｍ </w:t>
      </w:r>
      <w:r>
        <w:t>以上高处作业时</w:t>
      </w:r>
      <w:r>
        <w:rPr>
          <w:rFonts w:hint="eastAsia" w:ascii="MS UI Gothic" w:eastAsia="MS UI Gothic"/>
          <w:w w:val="80"/>
        </w:rPr>
        <w:t xml:space="preserve">ꎬ </w:t>
      </w:r>
      <w:r>
        <w:t>工作人员必须佩带保险带</w:t>
      </w:r>
      <w:r>
        <w:rPr>
          <w:rFonts w:hint="eastAsia" w:ascii="MS UI Gothic" w:eastAsia="MS UI Gothic"/>
          <w:w w:val="80"/>
        </w:rPr>
        <w:t xml:space="preserve">ꎮ </w:t>
      </w:r>
      <w:r>
        <w:t>保险带必须拴在牢固的构件上</w:t>
      </w:r>
      <w:r>
        <w:rPr>
          <w:rFonts w:hint="eastAsia" w:ascii="MS UI Gothic" w:eastAsia="MS UI Gothic"/>
          <w:w w:val="80"/>
        </w:rPr>
        <w:t xml:space="preserve">ꎬ </w:t>
      </w:r>
      <w:r>
        <w:t>高挂</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２４８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72" o:spid="_x0000_s1772" o:spt="203" style="height:2.15pt;width:398.25pt;" coordsize="7965,43">
            <o:lock v:ext="edit"/>
            <v:line id="_x0000_s1773" o:spid="_x0000_s1773" o:spt="20" style="position:absolute;left:0;top:39;height:0;width:7965;" stroked="t" coordsize="21600,21600">
              <v:path arrowok="t"/>
              <v:fill focussize="0,0"/>
              <v:stroke weight="0.388031496062992pt" color="#231F20"/>
              <v:imagedata o:title=""/>
              <o:lock v:ext="edit"/>
            </v:line>
            <v:line id="_x0000_s1774" o:spid="_x0000_s177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rPr>
          <w:spacing w:val="3"/>
        </w:rPr>
        <w:t>低用</w:t>
      </w:r>
      <w:r>
        <w:rPr>
          <w:rFonts w:hint="eastAsia" w:ascii="MS UI Gothic" w:eastAsia="MS UI Gothic"/>
          <w:spacing w:val="18"/>
          <w:w w:val="80"/>
        </w:rPr>
        <w:t xml:space="preserve">ꎮ </w:t>
      </w:r>
      <w:r>
        <w:rPr>
          <w:spacing w:val="7"/>
        </w:rPr>
        <w:t>保险带应当定期按有关规定试验</w:t>
      </w:r>
      <w:r>
        <w:rPr>
          <w:rFonts w:hint="eastAsia" w:ascii="MS UI Gothic" w:eastAsia="MS UI Gothic"/>
          <w:w w:val="80"/>
        </w:rPr>
        <w:t>ꎮ</w:t>
      </w:r>
      <w:r>
        <w:rPr>
          <w:spacing w:val="3"/>
        </w:rPr>
        <w:t>每次使用前必须检查</w:t>
      </w:r>
      <w:r>
        <w:rPr>
          <w:rFonts w:hint="eastAsia" w:ascii="MS UI Gothic" w:eastAsia="MS UI Gothic"/>
          <w:spacing w:val="21"/>
          <w:w w:val="80"/>
        </w:rPr>
        <w:t xml:space="preserve">ꎬ </w:t>
      </w:r>
      <w:r>
        <w:rPr>
          <w:spacing w:val="2"/>
        </w:rPr>
        <w:t>发现损坏必须立即</w:t>
      </w:r>
      <w:r>
        <w:rPr>
          <w:spacing w:val="3"/>
        </w:rPr>
        <w:t>更换</w:t>
      </w:r>
      <w:r>
        <w:rPr>
          <w:rFonts w:hint="eastAsia" w:ascii="MS UI Gothic" w:eastAsia="MS UI Gothic"/>
          <w:w w:val="80"/>
        </w:rPr>
        <w:t>ꎮ</w:t>
      </w:r>
    </w:p>
    <w:p>
      <w:pPr>
        <w:pStyle w:val="6"/>
        <w:spacing w:line="295" w:lineRule="auto"/>
        <w:ind w:right="39"/>
        <w:rPr>
          <w:rFonts w:hint="eastAsia" w:ascii="MS UI Gothic" w:eastAsia="MS UI Gothic"/>
        </w:rPr>
      </w:pPr>
      <w:r>
        <w:rPr>
          <w:spacing w:val="3"/>
          <w:w w:val="105"/>
        </w:rPr>
        <w:t>第八十二条 井筒开凿到底后</w:t>
      </w:r>
      <w:r>
        <w:rPr>
          <w:rFonts w:hint="eastAsia" w:ascii="MS UI Gothic" w:eastAsia="MS UI Gothic"/>
          <w:spacing w:val="10"/>
          <w:w w:val="80"/>
        </w:rPr>
        <w:t xml:space="preserve">ꎬ </w:t>
      </w:r>
      <w:r>
        <w:rPr>
          <w:spacing w:val="1"/>
          <w:w w:val="105"/>
        </w:rPr>
        <w:t>应当</w:t>
      </w:r>
      <w:r>
        <w:rPr>
          <w:spacing w:val="3"/>
        </w:rPr>
        <w:t>先施工永久排水系统</w:t>
      </w:r>
      <w:r>
        <w:rPr>
          <w:rFonts w:hint="eastAsia" w:ascii="MS UI Gothic" w:eastAsia="MS UI Gothic"/>
          <w:spacing w:val="21"/>
          <w:w w:val="80"/>
        </w:rPr>
        <w:t xml:space="preserve">ꎬ </w:t>
      </w:r>
      <w:r>
        <w:rPr>
          <w:spacing w:val="2"/>
        </w:rPr>
        <w:t>并在进入采区施工</w:t>
      </w:r>
      <w:r>
        <w:rPr>
          <w:spacing w:val="3"/>
        </w:rPr>
        <w:t>前完成</w:t>
      </w:r>
      <w:r>
        <w:rPr>
          <w:rFonts w:hint="eastAsia" w:ascii="MS UI Gothic" w:eastAsia="MS UI Gothic"/>
          <w:spacing w:val="23"/>
          <w:w w:val="80"/>
        </w:rPr>
        <w:t xml:space="preserve">ꎮ </w:t>
      </w:r>
      <w:r>
        <w:rPr>
          <w:spacing w:val="3"/>
        </w:rPr>
        <w:t>永久排水系统完成前</w:t>
      </w:r>
      <w:r>
        <w:rPr>
          <w:rFonts w:hint="eastAsia" w:ascii="MS UI Gothic" w:eastAsia="MS UI Gothic"/>
          <w:spacing w:val="23"/>
          <w:w w:val="80"/>
        </w:rPr>
        <w:t xml:space="preserve">ꎬ </w:t>
      </w:r>
      <w:r>
        <w:rPr>
          <w:spacing w:val="2"/>
        </w:rPr>
        <w:t>在井底附</w:t>
      </w:r>
      <w:r>
        <w:rPr>
          <w:spacing w:val="13"/>
        </w:rPr>
        <w:t>近必须设置临时排水系统</w:t>
      </w:r>
      <w:r>
        <w:rPr>
          <w:rFonts w:hint="eastAsia" w:ascii="MS UI Gothic" w:eastAsia="MS UI Gothic"/>
          <w:w w:val="80"/>
        </w:rPr>
        <w:t xml:space="preserve">ꎬ </w:t>
      </w:r>
      <w:r>
        <w:rPr>
          <w:spacing w:val="16"/>
        </w:rPr>
        <w:t>并符合下列</w:t>
      </w:r>
      <w:r>
        <w:rPr>
          <w:spacing w:val="3"/>
          <w:w w:val="105"/>
        </w:rPr>
        <w:t>要求</w:t>
      </w:r>
      <w:r>
        <w:rPr>
          <w:rFonts w:hint="eastAsia" w:ascii="MS UI Gothic" w:eastAsia="MS UI Gothic"/>
          <w:w w:val="235"/>
        </w:rPr>
        <w:t>:</w:t>
      </w:r>
    </w:p>
    <w:p>
      <w:pPr>
        <w:pStyle w:val="6"/>
        <w:spacing w:line="252" w:lineRule="exact"/>
        <w:ind w:left="543" w:firstLine="0"/>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 xml:space="preserve">当预计涌水量不大于 </w:t>
      </w:r>
      <w:r>
        <w:rPr>
          <w:rFonts w:hint="eastAsia" w:ascii="MS UI Gothic" w:eastAsia="MS UI Gothic"/>
          <w:w w:val="95"/>
        </w:rPr>
        <w:t>５０ ｍ</w:t>
      </w:r>
      <w:r>
        <w:rPr>
          <w:rFonts w:hint="eastAsia" w:ascii="MS UI Gothic" w:eastAsia="MS UI Gothic"/>
          <w:w w:val="95"/>
          <w:position w:val="9"/>
          <w:sz w:val="12"/>
        </w:rPr>
        <w:t xml:space="preserve">３ </w:t>
      </w:r>
      <w:r>
        <w:rPr>
          <w:rFonts w:hint="eastAsia" w:ascii="MS UI Gothic" w:eastAsia="MS UI Gothic"/>
          <w:w w:val="70"/>
        </w:rPr>
        <w:t xml:space="preserve">/ </w:t>
      </w:r>
      <w:r>
        <w:rPr>
          <w:rFonts w:hint="eastAsia" w:ascii="MS UI Gothic" w:eastAsia="MS UI Gothic"/>
          <w:w w:val="95"/>
        </w:rPr>
        <w:t>ｈ</w:t>
      </w:r>
    </w:p>
    <w:p>
      <w:pPr>
        <w:pStyle w:val="6"/>
        <w:spacing w:before="56" w:line="290" w:lineRule="auto"/>
        <w:ind w:right="39" w:firstLine="0"/>
        <w:rPr>
          <w:rFonts w:hint="eastAsia" w:ascii="MS UI Gothic" w:eastAsia="MS UI Gothic"/>
        </w:rPr>
      </w:pPr>
      <w:r>
        <w:t>时</w:t>
      </w:r>
      <w:r>
        <w:rPr>
          <w:rFonts w:hint="eastAsia" w:ascii="MS UI Gothic" w:eastAsia="MS UI Gothic"/>
          <w:w w:val="70"/>
        </w:rPr>
        <w:t xml:space="preserve">ꎬ </w:t>
      </w:r>
      <w:r>
        <w:t xml:space="preserve">临时水仓容积应当大于 </w:t>
      </w:r>
      <w:r>
        <w:rPr>
          <w:rFonts w:hint="eastAsia" w:ascii="MS UI Gothic" w:eastAsia="MS UI Gothic"/>
          <w:w w:val="95"/>
        </w:rPr>
        <w:t xml:space="preserve">４ ｈ </w:t>
      </w:r>
      <w:r>
        <w:t>正常涌水量</w:t>
      </w:r>
      <w:r>
        <w:rPr>
          <w:rFonts w:hint="eastAsia" w:ascii="MS UI Gothic" w:eastAsia="MS UI Gothic"/>
          <w:w w:val="70"/>
        </w:rPr>
        <w:t xml:space="preserve">ꎻ </w:t>
      </w:r>
      <w:r>
        <w:t xml:space="preserve">当预计涌水量大于 </w:t>
      </w:r>
      <w:r>
        <w:rPr>
          <w:rFonts w:hint="eastAsia" w:ascii="MS UI Gothic" w:eastAsia="MS UI Gothic"/>
          <w:w w:val="95"/>
        </w:rPr>
        <w:t>５０ ｍ</w:t>
      </w:r>
      <w:r>
        <w:rPr>
          <w:rFonts w:hint="eastAsia" w:ascii="MS UI Gothic" w:eastAsia="MS UI Gothic"/>
          <w:w w:val="95"/>
          <w:position w:val="9"/>
          <w:sz w:val="12"/>
        </w:rPr>
        <w:t xml:space="preserve">３ </w:t>
      </w:r>
      <w:r>
        <w:rPr>
          <w:rFonts w:hint="eastAsia" w:ascii="MS UI Gothic" w:eastAsia="MS UI Gothic"/>
          <w:w w:val="70"/>
        </w:rPr>
        <w:t xml:space="preserve">/ </w:t>
      </w:r>
      <w:r>
        <w:rPr>
          <w:rFonts w:hint="eastAsia" w:ascii="MS UI Gothic" w:eastAsia="MS UI Gothic"/>
          <w:w w:val="95"/>
        </w:rPr>
        <w:t xml:space="preserve">ｈ </w:t>
      </w:r>
      <w:r>
        <w:t>时</w:t>
      </w:r>
      <w:r>
        <w:rPr>
          <w:rFonts w:hint="eastAsia" w:ascii="MS UI Gothic" w:eastAsia="MS UI Gothic"/>
          <w:w w:val="70"/>
        </w:rPr>
        <w:t xml:space="preserve">ꎬ </w:t>
      </w:r>
      <w:r>
        <w:t xml:space="preserve">临时水仓容积应当大于 </w:t>
      </w:r>
      <w:r>
        <w:rPr>
          <w:rFonts w:hint="eastAsia" w:ascii="MS UI Gothic" w:eastAsia="MS UI Gothic"/>
          <w:w w:val="95"/>
        </w:rPr>
        <w:t xml:space="preserve">８ ｈ </w:t>
      </w:r>
      <w:r>
        <w:t>正常涌水量</w:t>
      </w:r>
      <w:r>
        <w:rPr>
          <w:rFonts w:hint="eastAsia" w:ascii="MS UI Gothic" w:eastAsia="MS UI Gothic"/>
          <w:w w:val="70"/>
        </w:rPr>
        <w:t xml:space="preserve">ꎮ </w:t>
      </w:r>
      <w:r>
        <w:t>临时水仓应当定期清理</w:t>
      </w:r>
      <w:r>
        <w:rPr>
          <w:rFonts w:hint="eastAsia" w:ascii="MS UI Gothic" w:eastAsia="MS UI Gothic"/>
          <w:w w:val="70"/>
        </w:rPr>
        <w:t>ꎮ</w:t>
      </w:r>
    </w:p>
    <w:p>
      <w:pPr>
        <w:pStyle w:val="6"/>
        <w:spacing w:before="7" w:line="295" w:lineRule="auto"/>
        <w:ind w:right="39"/>
        <w:rPr>
          <w:rFonts w:hint="eastAsia" w:ascii="MS UI Gothic" w:eastAsia="MS UI Gothic"/>
        </w:rPr>
      </w:pPr>
      <w:r>
        <w:rPr>
          <w:rFonts w:hint="eastAsia" w:ascii="MS UI Gothic" w:eastAsia="MS UI Gothic"/>
          <w:w w:val="140"/>
        </w:rPr>
        <w:t xml:space="preserve">( </w:t>
      </w:r>
      <w:r>
        <w:t>二</w:t>
      </w:r>
      <w:r>
        <w:rPr>
          <w:rFonts w:hint="eastAsia" w:ascii="MS UI Gothic" w:eastAsia="MS UI Gothic"/>
          <w:w w:val="140"/>
        </w:rPr>
        <w:t xml:space="preserve">) </w:t>
      </w:r>
      <w:r>
        <w:t>井下工作水泵的排水能力应</w:t>
      </w:r>
      <w:r>
        <w:rPr>
          <w:w w:val="95"/>
        </w:rPr>
        <w:t>当</w:t>
      </w:r>
      <w:r>
        <w:t>能</w:t>
      </w:r>
      <w:r>
        <w:rPr>
          <w:w w:val="95"/>
        </w:rPr>
        <w:t xml:space="preserve">在 </w:t>
      </w:r>
      <w:r>
        <w:rPr>
          <w:rFonts w:hint="eastAsia" w:ascii="MS UI Gothic" w:eastAsia="MS UI Gothic"/>
          <w:w w:val="95"/>
        </w:rPr>
        <w:t xml:space="preserve">２０ ｈ </w:t>
      </w:r>
      <w:r>
        <w:t>内排</w:t>
      </w:r>
      <w:r>
        <w:rPr>
          <w:w w:val="95"/>
        </w:rPr>
        <w:t xml:space="preserve">出 </w:t>
      </w:r>
      <w:r>
        <w:rPr>
          <w:rFonts w:hint="eastAsia" w:ascii="MS UI Gothic" w:eastAsia="MS UI Gothic"/>
          <w:w w:val="95"/>
        </w:rPr>
        <w:t xml:space="preserve">２４ ｈ </w:t>
      </w:r>
      <w:r>
        <w:t>正常涌水量</w:t>
      </w:r>
      <w:r>
        <w:rPr>
          <w:rFonts w:hint="eastAsia" w:ascii="MS UI Gothic" w:eastAsia="MS UI Gothic"/>
          <w:w w:val="85"/>
        </w:rPr>
        <w:t xml:space="preserve">ꎬ </w:t>
      </w:r>
      <w:r>
        <w:t>井</w:t>
      </w:r>
      <w:r>
        <w:rPr>
          <w:w w:val="95"/>
        </w:rPr>
        <w:t>下</w:t>
      </w:r>
      <w:r>
        <w:t>备用水泵排水能力不小于工作水泵排水</w:t>
      </w:r>
      <w:r>
        <w:rPr>
          <w:w w:val="95"/>
        </w:rPr>
        <w:t>能</w:t>
      </w:r>
      <w:r>
        <w:t>力</w:t>
      </w:r>
      <w:r>
        <w:rPr>
          <w:w w:val="95"/>
        </w:rPr>
        <w:t xml:space="preserve">的 </w:t>
      </w:r>
      <w:r>
        <w:rPr>
          <w:rFonts w:hint="eastAsia" w:ascii="MS UI Gothic" w:eastAsia="MS UI Gothic"/>
          <w:w w:val="95"/>
        </w:rPr>
        <w:t>７０</w:t>
      </w:r>
      <w:r>
        <w:rPr>
          <w:w w:val="95"/>
        </w:rPr>
        <w:t xml:space="preserve">％ </w:t>
      </w:r>
      <w:r>
        <w:rPr>
          <w:rFonts w:hint="eastAsia" w:ascii="MS UI Gothic" w:eastAsia="MS UI Gothic"/>
          <w:w w:val="85"/>
        </w:rPr>
        <w:t>ꎮ</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临时排水管的型号应当与排水</w:t>
      </w:r>
      <w:r>
        <w:rPr>
          <w:w w:val="110"/>
        </w:rPr>
        <w:t>能力相匹配</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25"/>
          <w:w w:val="140"/>
        </w:rPr>
        <w:t xml:space="preserve">( </w:t>
      </w:r>
      <w:r>
        <w:rPr>
          <w:spacing w:val="3"/>
        </w:rPr>
        <w:t>四</w:t>
      </w:r>
      <w:r>
        <w:rPr>
          <w:rFonts w:hint="eastAsia" w:ascii="MS UI Gothic" w:eastAsia="MS UI Gothic"/>
          <w:spacing w:val="22"/>
          <w:w w:val="140"/>
        </w:rPr>
        <w:t xml:space="preserve">) </w:t>
      </w:r>
      <w:r>
        <w:rPr>
          <w:spacing w:val="5"/>
        </w:rPr>
        <w:t>临时水泵及配电设备基础应当</w:t>
      </w:r>
      <w:r>
        <w:t xml:space="preserve">比巷道底板至少高 </w:t>
      </w:r>
      <w:r>
        <w:rPr>
          <w:rFonts w:hint="eastAsia" w:ascii="MS UI Gothic" w:eastAsia="MS UI Gothic"/>
          <w:spacing w:val="5"/>
          <w:w w:val="85"/>
        </w:rPr>
        <w:t xml:space="preserve">３００ </w:t>
      </w:r>
      <w:r>
        <w:rPr>
          <w:rFonts w:hint="eastAsia" w:ascii="MS UI Gothic" w:eastAsia="MS UI Gothic"/>
          <w:w w:val="85"/>
        </w:rPr>
        <w:t>ｍｍ</w:t>
      </w:r>
      <w:r>
        <w:rPr>
          <w:rFonts w:hint="eastAsia" w:ascii="MS UI Gothic" w:eastAsia="MS UI Gothic"/>
          <w:spacing w:val="21"/>
          <w:w w:val="85"/>
        </w:rPr>
        <w:t xml:space="preserve">ꎬ </w:t>
      </w:r>
      <w:r>
        <w:rPr>
          <w:spacing w:val="10"/>
        </w:rPr>
        <w:t>泵房断面应</w:t>
      </w:r>
      <w:r>
        <w:rPr>
          <w:spacing w:val="3"/>
        </w:rPr>
        <w:t>当满足设备布置需要</w:t>
      </w:r>
      <w:r>
        <w:rPr>
          <w:rFonts w:hint="eastAsia" w:ascii="MS UI Gothic" w:eastAsia="MS UI Gothic"/>
          <w:w w:val="85"/>
        </w:rPr>
        <w:t>ꎮ</w:t>
      </w:r>
    </w:p>
    <w:p>
      <w:pPr>
        <w:pStyle w:val="6"/>
        <w:spacing w:line="295" w:lineRule="auto"/>
        <w:ind w:right="39"/>
        <w:rPr>
          <w:rFonts w:hint="eastAsia" w:ascii="MS UI Gothic" w:eastAsia="MS UI Gothic"/>
        </w:rPr>
      </w:pPr>
      <w:r>
        <w:rPr>
          <w:spacing w:val="2"/>
          <w:w w:val="105"/>
        </w:rPr>
        <w:t>第八十三条 立井凿井期间的局部通</w:t>
      </w:r>
      <w:r>
        <w:rPr>
          <w:spacing w:val="3"/>
          <w:w w:val="110"/>
        </w:rPr>
        <w:t>风应当遵守下列规定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 xml:space="preserve">局部通风机的安装位置距井口不得小于 </w:t>
      </w:r>
      <w:r>
        <w:rPr>
          <w:rFonts w:hint="eastAsia" w:ascii="MS UI Gothic" w:eastAsia="MS UI Gothic"/>
          <w:w w:val="80"/>
        </w:rPr>
        <w:t xml:space="preserve">２０ ｍꎬ </w:t>
      </w:r>
      <w:r>
        <w:t>且位于井口主导风向上风侧</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局部通风机的安装和使用必须满足本规程第一百六十四条的要求</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立井施工应当在井口预留专用</w:t>
      </w:r>
      <w:r>
        <w:t>回风口</w:t>
      </w:r>
      <w:r>
        <w:rPr>
          <w:rFonts w:hint="eastAsia" w:ascii="MS UI Gothic" w:eastAsia="MS UI Gothic"/>
          <w:w w:val="80"/>
        </w:rPr>
        <w:t xml:space="preserve">ꎬ </w:t>
      </w:r>
      <w:r>
        <w:t>以确保风流畅通</w:t>
      </w:r>
      <w:r>
        <w:rPr>
          <w:rFonts w:hint="eastAsia" w:ascii="MS UI Gothic" w:eastAsia="MS UI Gothic"/>
          <w:w w:val="80"/>
        </w:rPr>
        <w:t xml:space="preserve">ꎬ </w:t>
      </w:r>
      <w:r>
        <w:t>回风口的大小及安全防护措施应当在作业规程中明确</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第八十四条 巷道及硐室施工期间的</w:t>
      </w:r>
      <w:r>
        <w:rPr>
          <w:w w:val="110"/>
        </w:rPr>
        <w:t>通风应当遵守下列规定</w:t>
      </w:r>
      <w:r>
        <w:rPr>
          <w:rFonts w:hint="eastAsia" w:ascii="MS UI Gothic" w:eastAsia="MS UI Gothic"/>
          <w:w w:val="235"/>
        </w:rPr>
        <w:t>:</w:t>
      </w:r>
    </w:p>
    <w:p>
      <w:pPr>
        <w:pStyle w:val="6"/>
        <w:spacing w:line="295" w:lineRule="auto"/>
        <w:ind w:right="39"/>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主井</w:t>
      </w:r>
      <w:r>
        <w:rPr>
          <w:rFonts w:hint="eastAsia" w:ascii="MS UI Gothic" w:eastAsia="MS UI Gothic"/>
          <w:w w:val="80"/>
        </w:rPr>
        <w:t xml:space="preserve">、 </w:t>
      </w:r>
      <w:r>
        <w:rPr>
          <w:w w:val="105"/>
        </w:rPr>
        <w:t>副井和风井布置在同一</w:t>
      </w:r>
      <w:r>
        <w:t>个工业广场内</w:t>
      </w:r>
      <w:r>
        <w:rPr>
          <w:rFonts w:hint="eastAsia" w:ascii="MS UI Gothic" w:eastAsia="MS UI Gothic"/>
          <w:w w:val="80"/>
        </w:rPr>
        <w:t xml:space="preserve">ꎬ </w:t>
      </w:r>
      <w:r>
        <w:t>主井或者副井与风井贯通后</w:t>
      </w:r>
      <w:r>
        <w:rPr>
          <w:rFonts w:hint="eastAsia" w:ascii="MS UI Gothic" w:eastAsia="MS UI Gothic"/>
          <w:w w:val="80"/>
        </w:rPr>
        <w:t xml:space="preserve">ꎬ </w:t>
      </w:r>
      <w:r>
        <w:t>应当先安装主要通风机</w:t>
      </w:r>
      <w:r>
        <w:rPr>
          <w:rFonts w:hint="eastAsia" w:ascii="MS UI Gothic" w:eastAsia="MS UI Gothic"/>
          <w:w w:val="80"/>
        </w:rPr>
        <w:t xml:space="preserve">ꎬ </w:t>
      </w:r>
      <w:r>
        <w:t>实现全风压通风</w:t>
      </w:r>
      <w:r>
        <w:rPr>
          <w:rFonts w:hint="eastAsia" w:ascii="MS UI Gothic" w:eastAsia="MS UI Gothic"/>
          <w:w w:val="80"/>
        </w:rPr>
        <w:t xml:space="preserve">ꎮ </w:t>
      </w:r>
      <w:r>
        <w:t>不具备安装主要通风机条件的</w:t>
      </w:r>
      <w:r>
        <w:rPr>
          <w:rFonts w:hint="eastAsia" w:ascii="MS UI Gothic" w:eastAsia="MS UI Gothic"/>
          <w:w w:val="80"/>
        </w:rPr>
        <w:t xml:space="preserve">ꎬ </w:t>
      </w:r>
      <w:r>
        <w:t>必须安装临时通风机</w:t>
      </w:r>
      <w:r>
        <w:rPr>
          <w:rFonts w:hint="eastAsia" w:ascii="MS UI Gothic" w:eastAsia="MS UI Gothic"/>
          <w:w w:val="80"/>
        </w:rPr>
        <w:t xml:space="preserve">ꎬ </w:t>
      </w:r>
      <w:r>
        <w:t>但不得采用局部通风</w:t>
      </w:r>
    </w:p>
    <w:p>
      <w:pPr>
        <w:pStyle w:val="6"/>
        <w:spacing w:before="123"/>
        <w:ind w:left="130" w:firstLine="0"/>
        <w:jc w:val="left"/>
        <w:rPr>
          <w:rFonts w:hint="eastAsia" w:ascii="MS UI Gothic" w:eastAsia="MS UI Gothic"/>
        </w:rPr>
      </w:pPr>
      <w:r>
        <w:br w:type="column"/>
      </w:r>
      <w:r>
        <w:t>机或者局部通风机群代替临时通风机</w:t>
      </w:r>
      <w:r>
        <w:rPr>
          <w:rFonts w:hint="eastAsia" w:ascii="MS UI Gothic" w:eastAsia="MS UI Gothic"/>
          <w:w w:val="80"/>
        </w:rPr>
        <w:t>ꎮ</w:t>
      </w:r>
    </w:p>
    <w:p>
      <w:pPr>
        <w:pStyle w:val="6"/>
        <w:spacing w:before="58" w:line="295" w:lineRule="auto"/>
        <w:ind w:left="130" w:right="442"/>
        <w:rPr>
          <w:rFonts w:hint="eastAsia" w:ascii="MS UI Gothic" w:eastAsia="MS UI Gothic"/>
        </w:rPr>
      </w:pPr>
      <w:r>
        <w:t>主井</w:t>
      </w:r>
      <w:r>
        <w:rPr>
          <w:rFonts w:hint="eastAsia" w:ascii="MS UI Gothic" w:eastAsia="MS UI Gothic"/>
          <w:w w:val="80"/>
        </w:rPr>
        <w:t xml:space="preserve">、 </w:t>
      </w:r>
      <w:r>
        <w:t>副井和风井布置在不同的工业广场内</w:t>
      </w:r>
      <w:r>
        <w:rPr>
          <w:rFonts w:hint="eastAsia" w:ascii="MS UI Gothic" w:eastAsia="MS UI Gothic"/>
          <w:w w:val="80"/>
        </w:rPr>
        <w:t xml:space="preserve">ꎬ </w:t>
      </w:r>
      <w:r>
        <w:t>主井或者副井短期内不能与风井贯通的</w:t>
      </w:r>
      <w:r>
        <w:rPr>
          <w:rFonts w:hint="eastAsia" w:ascii="MS UI Gothic" w:eastAsia="MS UI Gothic"/>
          <w:w w:val="80"/>
        </w:rPr>
        <w:t xml:space="preserve">ꎬ </w:t>
      </w:r>
      <w:r>
        <w:t>主井与副井贯通后必须安装临时通风机实现全风压通风</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矿井临时通风机应当安装在地</w:t>
      </w:r>
      <w:r>
        <w:t>面</w:t>
      </w:r>
      <w:r>
        <w:rPr>
          <w:rFonts w:hint="eastAsia" w:ascii="MS UI Gothic" w:eastAsia="MS UI Gothic"/>
          <w:w w:val="80"/>
        </w:rPr>
        <w:t xml:space="preserve">ꎮ </w:t>
      </w:r>
      <w:r>
        <w:t>低瓦斯矿井临时通风机确需安装在井</w:t>
      </w:r>
      <w:r>
        <w:rPr>
          <w:w w:val="105"/>
        </w:rPr>
        <w:t>下时</w:t>
      </w:r>
      <w:r>
        <w:rPr>
          <w:rFonts w:hint="eastAsia" w:ascii="MS UI Gothic" w:eastAsia="MS UI Gothic"/>
          <w:w w:val="80"/>
        </w:rPr>
        <w:t xml:space="preserve">ꎬ </w:t>
      </w:r>
      <w:r>
        <w:rPr>
          <w:w w:val="105"/>
        </w:rPr>
        <w:t>必须制定专项措施</w:t>
      </w:r>
      <w:r>
        <w:rPr>
          <w:rFonts w:hint="eastAsia" w:ascii="MS UI Gothic" w:eastAsia="MS UI Gothic"/>
          <w:w w:val="80"/>
        </w:rPr>
        <w:t>ꎮ</w:t>
      </w:r>
    </w:p>
    <w:p>
      <w:pPr>
        <w:pStyle w:val="6"/>
        <w:spacing w:line="295" w:lineRule="auto"/>
        <w:ind w:left="130" w:right="440"/>
        <w:rPr>
          <w:rFonts w:hint="eastAsia" w:ascii="MS UI Gothic" w:eastAsia="MS UI Gothic"/>
        </w:rPr>
      </w:pPr>
      <w:r>
        <w:rPr>
          <w:rFonts w:hint="eastAsia" w:ascii="MS UI Gothic" w:eastAsia="MS UI Gothic"/>
          <w:w w:val="140"/>
        </w:rPr>
        <w:t xml:space="preserve">( </w:t>
      </w:r>
      <w:r>
        <w:t>三</w:t>
      </w:r>
      <w:r>
        <w:rPr>
          <w:rFonts w:hint="eastAsia" w:ascii="MS UI Gothic" w:eastAsia="MS UI Gothic"/>
          <w:w w:val="140"/>
        </w:rPr>
        <w:t xml:space="preserve">) </w:t>
      </w:r>
      <w:r>
        <w:t>矿井采用临时通风机通风时</w:t>
      </w:r>
      <w:r>
        <w:rPr>
          <w:rFonts w:hint="eastAsia" w:ascii="MS UI Gothic" w:eastAsia="MS UI Gothic"/>
          <w:w w:val="85"/>
        </w:rPr>
        <w:t>ꎬ</w:t>
      </w:r>
      <w:r>
        <w:t>必须设置备用通风机</w:t>
      </w:r>
      <w:r>
        <w:rPr>
          <w:rFonts w:hint="eastAsia" w:ascii="MS UI Gothic" w:eastAsia="MS UI Gothic"/>
          <w:w w:val="85"/>
        </w:rPr>
        <w:t xml:space="preserve">ꎬ </w:t>
      </w:r>
      <w:r>
        <w:t xml:space="preserve">备用通风机必须能在 </w:t>
      </w:r>
      <w:r>
        <w:rPr>
          <w:rFonts w:hint="eastAsia" w:ascii="MS UI Gothic" w:eastAsia="MS UI Gothic"/>
        </w:rPr>
        <w:t xml:space="preserve">１０ ｍｉｎ </w:t>
      </w:r>
      <w:r>
        <w:t>内启动</w:t>
      </w:r>
      <w:r>
        <w:rPr>
          <w:rFonts w:hint="eastAsia" w:ascii="MS UI Gothic" w:eastAsia="MS UI Gothic"/>
          <w:w w:val="85"/>
        </w:rPr>
        <w:t>ꎮ</w:t>
      </w:r>
    </w:p>
    <w:p>
      <w:pPr>
        <w:pStyle w:val="6"/>
        <w:spacing w:line="295" w:lineRule="auto"/>
        <w:ind w:left="130" w:right="442"/>
        <w:rPr>
          <w:rFonts w:hint="eastAsia" w:ascii="MS UI Gothic" w:eastAsia="MS UI Gothic"/>
        </w:rPr>
      </w:pPr>
      <w:r>
        <w:rPr>
          <w:w w:val="105"/>
        </w:rPr>
        <w:t>第八十五条 建井期间有下列情况之</w:t>
      </w:r>
      <w:r>
        <w:rPr>
          <w:w w:val="110"/>
        </w:rPr>
        <w:t>一的</w:t>
      </w:r>
      <w:r>
        <w:rPr>
          <w:rFonts w:hint="eastAsia" w:ascii="MS UI Gothic" w:eastAsia="MS UI Gothic"/>
          <w:w w:val="80"/>
        </w:rPr>
        <w:t xml:space="preserve">ꎬ </w:t>
      </w:r>
      <w:r>
        <w:rPr>
          <w:w w:val="110"/>
        </w:rPr>
        <w:t>必须建立瓦斯抽采系统</w:t>
      </w:r>
      <w:r>
        <w:rPr>
          <w:rFonts w:hint="eastAsia" w:ascii="MS UI Gothic" w:eastAsia="MS UI Gothic"/>
          <w:w w:val="235"/>
        </w:rPr>
        <w:t>:</w:t>
      </w:r>
    </w:p>
    <w:p>
      <w:pPr>
        <w:pStyle w:val="6"/>
        <w:spacing w:line="255" w:lineRule="exact"/>
        <w:ind w:left="549"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突出矿井在揭露突出煤层前</w:t>
      </w:r>
      <w:r>
        <w:rPr>
          <w:rFonts w:hint="eastAsia" w:ascii="MS UI Gothic" w:eastAsia="MS UI Gothic"/>
          <w:w w:val="80"/>
        </w:rPr>
        <w:t>ꎮ</w:t>
      </w:r>
    </w:p>
    <w:p>
      <w:pPr>
        <w:pStyle w:val="6"/>
        <w:spacing w:before="50" w:line="290" w:lineRule="auto"/>
        <w:ind w:left="130" w:right="442"/>
        <w:rPr>
          <w:rFonts w:hint="eastAsia" w:ascii="MS UI Gothic" w:eastAsia="MS UI Gothic"/>
        </w:rPr>
      </w:pPr>
      <w:r>
        <w:rPr>
          <w:rFonts w:hint="eastAsia" w:ascii="MS UI Gothic" w:eastAsia="MS UI Gothic"/>
          <w:w w:val="140"/>
        </w:rPr>
        <w:t xml:space="preserve">( </w:t>
      </w:r>
      <w:r>
        <w:t>二</w:t>
      </w:r>
      <w:r>
        <w:rPr>
          <w:rFonts w:hint="eastAsia" w:ascii="MS UI Gothic" w:eastAsia="MS UI Gothic"/>
          <w:w w:val="140"/>
        </w:rPr>
        <w:t xml:space="preserve">) </w:t>
      </w:r>
      <w:r>
        <w:t xml:space="preserve">任一掘进工作面瓦斯涌出量大于 </w:t>
      </w:r>
      <w:r>
        <w:rPr>
          <w:rFonts w:hint="eastAsia" w:ascii="MS UI Gothic" w:eastAsia="MS UI Gothic"/>
        </w:rPr>
        <w:t>３ ｍ</w:t>
      </w:r>
      <w:r>
        <w:rPr>
          <w:rFonts w:hint="eastAsia" w:ascii="MS UI Gothic" w:eastAsia="MS UI Gothic"/>
          <w:position w:val="9"/>
          <w:sz w:val="12"/>
        </w:rPr>
        <w:t xml:space="preserve">３ </w:t>
      </w:r>
      <w:r>
        <w:rPr>
          <w:rFonts w:hint="eastAsia" w:ascii="MS UI Gothic" w:eastAsia="MS UI Gothic"/>
          <w:w w:val="75"/>
        </w:rPr>
        <w:t xml:space="preserve">/ </w:t>
      </w:r>
      <w:r>
        <w:rPr>
          <w:rFonts w:hint="eastAsia" w:ascii="MS UI Gothic" w:eastAsia="MS UI Gothic"/>
        </w:rPr>
        <w:t>ｍｉｎ</w:t>
      </w:r>
      <w:r>
        <w:rPr>
          <w:rFonts w:hint="eastAsia" w:ascii="MS UI Gothic" w:eastAsia="MS UI Gothic"/>
          <w:w w:val="75"/>
        </w:rPr>
        <w:t xml:space="preserve">ꎬ </w:t>
      </w:r>
      <w:r>
        <w:t>用通风方法解决瓦斯问题不合理的</w:t>
      </w:r>
      <w:r>
        <w:rPr>
          <w:rFonts w:hint="eastAsia" w:ascii="MS UI Gothic" w:eastAsia="MS UI Gothic"/>
          <w:w w:val="75"/>
        </w:rPr>
        <w:t>ꎮ</w:t>
      </w:r>
    </w:p>
    <w:p>
      <w:pPr>
        <w:pStyle w:val="6"/>
        <w:tabs>
          <w:tab w:val="left" w:pos="2016"/>
          <w:tab w:val="left" w:pos="2645"/>
        </w:tabs>
        <w:spacing w:before="161"/>
        <w:ind w:left="1178" w:firstLine="0"/>
        <w:jc w:val="left"/>
      </w:pPr>
      <w:r>
        <w:rPr>
          <w:spacing w:val="3"/>
          <w:w w:val="105"/>
        </w:rPr>
        <w:t>第二</w:t>
      </w:r>
      <w:r>
        <w:rPr>
          <w:w w:val="105"/>
        </w:rPr>
        <w:t>章</w:t>
      </w:r>
      <w:r>
        <w:rPr>
          <w:w w:val="105"/>
        </w:rPr>
        <w:tab/>
      </w:r>
      <w:r>
        <w:rPr>
          <w:w w:val="105"/>
        </w:rPr>
        <w:t>开</w:t>
      </w:r>
      <w:r>
        <w:rPr>
          <w:w w:val="105"/>
        </w:rPr>
        <w:tab/>
      </w:r>
      <w:r>
        <w:rPr>
          <w:w w:val="105"/>
        </w:rPr>
        <w:t>采</w:t>
      </w:r>
    </w:p>
    <w:p>
      <w:pPr>
        <w:pStyle w:val="6"/>
        <w:ind w:left="0" w:firstLine="0"/>
        <w:jc w:val="left"/>
        <w:rPr>
          <w:sz w:val="29"/>
        </w:rPr>
      </w:pPr>
    </w:p>
    <w:p>
      <w:pPr>
        <w:pStyle w:val="6"/>
        <w:tabs>
          <w:tab w:val="left" w:pos="1912"/>
        </w:tabs>
        <w:spacing w:before="1"/>
        <w:ind w:left="1073" w:firstLine="0"/>
        <w:jc w:val="left"/>
      </w:pPr>
      <w:r>
        <w:rPr>
          <w:spacing w:val="3"/>
          <w:w w:val="105"/>
        </w:rPr>
        <w:t>第一</w:t>
      </w:r>
      <w:r>
        <w:rPr>
          <w:w w:val="105"/>
        </w:rPr>
        <w:t>节</w:t>
      </w:r>
      <w:r>
        <w:rPr>
          <w:w w:val="105"/>
        </w:rPr>
        <w:tab/>
      </w:r>
      <w:r>
        <w:rPr>
          <w:w w:val="105"/>
        </w:rPr>
        <w:t>一</w:t>
      </w:r>
      <w:r>
        <w:rPr>
          <w:spacing w:val="-33"/>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line="295" w:lineRule="auto"/>
        <w:ind w:right="440" w:firstLine="425"/>
        <w:rPr>
          <w:rFonts w:hint="eastAsia" w:ascii="MS UI Gothic" w:eastAsia="MS UI Gothic"/>
        </w:rPr>
      </w:pPr>
      <w:r>
        <w:rPr>
          <w:w w:val="95"/>
        </w:rPr>
        <w:t xml:space="preserve">第八十六条   新建非突出大中型矿井开采深度 </w:t>
      </w:r>
      <w:r>
        <w:rPr>
          <w:rFonts w:hint="eastAsia" w:ascii="MS UI Gothic" w:eastAsia="MS UI Gothic"/>
          <w:w w:val="140"/>
        </w:rPr>
        <w:t xml:space="preserve">( </w:t>
      </w:r>
      <w:r>
        <w:rPr>
          <w:w w:val="95"/>
        </w:rPr>
        <w:t>第一水平</w:t>
      </w:r>
      <w:r>
        <w:rPr>
          <w:rFonts w:hint="eastAsia" w:ascii="MS UI Gothic" w:eastAsia="MS UI Gothic"/>
          <w:w w:val="140"/>
        </w:rPr>
        <w:t xml:space="preserve">) </w:t>
      </w:r>
      <w:r>
        <w:rPr>
          <w:w w:val="95"/>
        </w:rPr>
        <w:t xml:space="preserve">不应超过 </w:t>
      </w:r>
      <w:r>
        <w:rPr>
          <w:rFonts w:hint="eastAsia" w:ascii="MS UI Gothic" w:eastAsia="MS UI Gothic"/>
          <w:w w:val="95"/>
        </w:rPr>
        <w:t>１０００ ｍ</w:t>
      </w:r>
      <w:r>
        <w:rPr>
          <w:rFonts w:hint="eastAsia" w:ascii="MS UI Gothic" w:eastAsia="MS UI Gothic"/>
          <w:w w:val="85"/>
        </w:rPr>
        <w:t>ꎬ</w:t>
      </w:r>
      <w:r>
        <w:rPr>
          <w:w w:val="95"/>
        </w:rPr>
        <w:t>改扩建大中型矿井开采深度不应超过</w:t>
      </w:r>
      <w:r>
        <w:rPr>
          <w:rFonts w:hint="eastAsia" w:ascii="MS UI Gothic" w:eastAsia="MS UI Gothic"/>
          <w:w w:val="95"/>
        </w:rPr>
        <w:t>１２００ ｍ</w:t>
      </w:r>
      <w:r>
        <w:rPr>
          <w:rFonts w:hint="eastAsia" w:ascii="MS UI Gothic" w:eastAsia="MS UI Gothic"/>
          <w:w w:val="85"/>
        </w:rPr>
        <w:t xml:space="preserve">ꎬ </w:t>
      </w:r>
      <w:r>
        <w:rPr>
          <w:w w:val="95"/>
        </w:rPr>
        <w:t>新建</w:t>
      </w:r>
      <w:r>
        <w:rPr>
          <w:rFonts w:hint="eastAsia" w:ascii="MS UI Gothic" w:eastAsia="MS UI Gothic"/>
          <w:w w:val="95"/>
        </w:rPr>
        <w:t xml:space="preserve">、 </w:t>
      </w:r>
      <w:r>
        <w:rPr>
          <w:w w:val="95"/>
        </w:rPr>
        <w:t xml:space="preserve">改扩建小型矿井开采深度不应超过 </w:t>
      </w:r>
      <w:r>
        <w:rPr>
          <w:rFonts w:hint="eastAsia" w:ascii="MS UI Gothic" w:eastAsia="MS UI Gothic"/>
          <w:w w:val="95"/>
        </w:rPr>
        <w:t>６００ ｍ</w:t>
      </w:r>
      <w:r>
        <w:rPr>
          <w:rFonts w:hint="eastAsia" w:ascii="MS UI Gothic" w:eastAsia="MS UI Gothic"/>
          <w:w w:val="85"/>
        </w:rPr>
        <w:t>ꎮ</w:t>
      </w:r>
    </w:p>
    <w:p>
      <w:pPr>
        <w:pStyle w:val="6"/>
        <w:spacing w:line="252" w:lineRule="exact"/>
        <w:ind w:left="549" w:firstLine="0"/>
        <w:rPr>
          <w:rFonts w:hint="eastAsia" w:ascii="MS UI Gothic" w:eastAsia="MS UI Gothic"/>
        </w:rPr>
      </w:pPr>
      <w:r>
        <w:t xml:space="preserve">矿井同时生产的水平不得超过 </w:t>
      </w:r>
      <w:r>
        <w:rPr>
          <w:rFonts w:hint="eastAsia" w:ascii="MS UI Gothic" w:eastAsia="MS UI Gothic"/>
          <w:w w:val="80"/>
        </w:rPr>
        <w:t xml:space="preserve">２ </w:t>
      </w:r>
      <w:r>
        <w:t>个</w:t>
      </w:r>
      <w:r>
        <w:rPr>
          <w:rFonts w:hint="eastAsia" w:ascii="MS UI Gothic" w:eastAsia="MS UI Gothic"/>
          <w:w w:val="80"/>
        </w:rPr>
        <w:t>ꎮ</w:t>
      </w:r>
    </w:p>
    <w:p>
      <w:pPr>
        <w:pStyle w:val="6"/>
        <w:spacing w:before="58" w:line="295" w:lineRule="auto"/>
        <w:ind w:left="130" w:right="442"/>
        <w:rPr>
          <w:rFonts w:hint="eastAsia" w:ascii="MS UI Gothic" w:eastAsia="MS UI Gothic"/>
        </w:rPr>
      </w:pPr>
      <w:r>
        <w:t xml:space="preserve">第八十七条 每个生产矿井必须至少有 </w:t>
      </w:r>
      <w:r>
        <w:rPr>
          <w:rFonts w:hint="eastAsia" w:ascii="MS UI Gothic" w:eastAsia="MS UI Gothic"/>
          <w:w w:val="85"/>
        </w:rPr>
        <w:t xml:space="preserve">２ </w:t>
      </w:r>
      <w:r>
        <w:t>个能行人的通达地面的安全出口</w:t>
      </w:r>
      <w:r>
        <w:rPr>
          <w:rFonts w:hint="eastAsia" w:ascii="MS UI Gothic" w:eastAsia="MS UI Gothic"/>
          <w:w w:val="85"/>
        </w:rPr>
        <w:t xml:space="preserve">ꎬ </w:t>
      </w:r>
      <w:r>
        <w:t xml:space="preserve">各出口间距不得小于 </w:t>
      </w:r>
      <w:r>
        <w:rPr>
          <w:rFonts w:hint="eastAsia" w:ascii="MS UI Gothic" w:eastAsia="MS UI Gothic"/>
          <w:w w:val="85"/>
        </w:rPr>
        <w:t>３０ ｍꎮ</w:t>
      </w:r>
    </w:p>
    <w:p>
      <w:pPr>
        <w:pStyle w:val="6"/>
        <w:spacing w:line="295" w:lineRule="auto"/>
        <w:ind w:left="130" w:right="442"/>
        <w:rPr>
          <w:rFonts w:hint="eastAsia" w:ascii="MS UI Gothic" w:eastAsia="MS UI Gothic"/>
        </w:rPr>
      </w:pPr>
      <w:r>
        <w:rPr>
          <w:spacing w:val="13"/>
        </w:rPr>
        <w:t>采用中央式通风的新建和改扩建矿</w:t>
      </w:r>
      <w:r>
        <w:rPr>
          <w:spacing w:val="3"/>
        </w:rPr>
        <w:t>井</w:t>
      </w:r>
      <w:r>
        <w:rPr>
          <w:rFonts w:hint="eastAsia" w:ascii="MS UI Gothic" w:eastAsia="MS UI Gothic"/>
          <w:spacing w:val="17"/>
          <w:w w:val="80"/>
        </w:rPr>
        <w:t xml:space="preserve">ꎬ </w:t>
      </w:r>
      <w:r>
        <w:rPr>
          <w:spacing w:val="31"/>
        </w:rPr>
        <w:t>设计中应当规定井田边界的安全</w:t>
      </w:r>
      <w:r>
        <w:rPr>
          <w:spacing w:val="3"/>
        </w:rPr>
        <w:t>出口</w:t>
      </w:r>
      <w:r>
        <w:rPr>
          <w:rFonts w:hint="eastAsia" w:ascii="MS UI Gothic" w:eastAsia="MS UI Gothic"/>
          <w:w w:val="80"/>
        </w:rPr>
        <w:t>ꎮ</w:t>
      </w:r>
    </w:p>
    <w:p>
      <w:pPr>
        <w:pStyle w:val="6"/>
        <w:spacing w:line="295" w:lineRule="auto"/>
        <w:ind w:left="130" w:right="442"/>
        <w:rPr>
          <w:rFonts w:hint="eastAsia" w:ascii="MS UI Gothic" w:eastAsia="MS UI Gothic"/>
        </w:rPr>
      </w:pPr>
      <w:r>
        <w:rPr>
          <w:spacing w:val="3"/>
        </w:rPr>
        <w:t>新建</w:t>
      </w:r>
      <w:r>
        <w:rPr>
          <w:rFonts w:hint="eastAsia" w:ascii="MS UI Gothic" w:eastAsia="MS UI Gothic"/>
          <w:spacing w:val="12"/>
          <w:w w:val="80"/>
        </w:rPr>
        <w:t xml:space="preserve">、 </w:t>
      </w:r>
      <w:r>
        <w:rPr>
          <w:spacing w:val="2"/>
        </w:rPr>
        <w:t>扩建矿井的回风井严禁兼作提</w:t>
      </w:r>
      <w:r>
        <w:rPr>
          <w:spacing w:val="11"/>
        </w:rPr>
        <w:t>升和行人通道</w:t>
      </w:r>
      <w:r>
        <w:rPr>
          <w:rFonts w:hint="eastAsia" w:ascii="MS UI Gothic" w:eastAsia="MS UI Gothic"/>
          <w:spacing w:val="23"/>
          <w:w w:val="80"/>
        </w:rPr>
        <w:t xml:space="preserve">ꎬ </w:t>
      </w:r>
      <w:r>
        <w:rPr>
          <w:spacing w:val="17"/>
        </w:rPr>
        <w:t>紧急情况下可作为安全</w:t>
      </w:r>
      <w:r>
        <w:rPr>
          <w:spacing w:val="3"/>
        </w:rPr>
        <w:t>出口</w:t>
      </w:r>
      <w:r>
        <w:rPr>
          <w:rFonts w:hint="eastAsia" w:ascii="MS UI Gothic" w:eastAsia="MS UI Gothic"/>
          <w:w w:val="80"/>
        </w:rPr>
        <w:t>ꎮ</w:t>
      </w:r>
    </w:p>
    <w:p>
      <w:pPr>
        <w:pStyle w:val="6"/>
        <w:spacing w:line="295" w:lineRule="auto"/>
        <w:ind w:left="130" w:right="442"/>
      </w:pPr>
      <w:r>
        <w:rPr>
          <w:spacing w:val="2"/>
          <w:w w:val="105"/>
        </w:rPr>
        <w:t>第八十八条 井下每一个水平到上一</w:t>
      </w:r>
      <w:r>
        <w:rPr>
          <w:w w:val="105"/>
        </w:rPr>
        <w:t xml:space="preserve">个水平和各个采 </w:t>
      </w:r>
      <w:r>
        <w:rPr>
          <w:rFonts w:hint="eastAsia" w:ascii="MS UI Gothic" w:eastAsia="MS UI Gothic"/>
          <w:spacing w:val="-37"/>
          <w:w w:val="150"/>
        </w:rPr>
        <w:t xml:space="preserve">( </w:t>
      </w:r>
      <w:r>
        <w:rPr>
          <w:spacing w:val="3"/>
          <w:w w:val="105"/>
        </w:rPr>
        <w:t>盘</w:t>
      </w:r>
      <w:r>
        <w:rPr>
          <w:rFonts w:hint="eastAsia" w:ascii="MS UI Gothic" w:eastAsia="MS UI Gothic"/>
          <w:spacing w:val="8"/>
          <w:w w:val="150"/>
        </w:rPr>
        <w:t xml:space="preserve">) </w:t>
      </w:r>
      <w:r>
        <w:rPr>
          <w:spacing w:val="-5"/>
          <w:w w:val="105"/>
        </w:rPr>
        <w:t xml:space="preserve">区都必须至少有 </w:t>
      </w:r>
      <w:r>
        <w:rPr>
          <w:rFonts w:hint="eastAsia" w:ascii="MS UI Gothic" w:eastAsia="MS UI Gothic"/>
          <w:w w:val="80"/>
        </w:rPr>
        <w:t xml:space="preserve">２ </w:t>
      </w:r>
      <w:r>
        <w:rPr>
          <w:spacing w:val="3"/>
        </w:rPr>
        <w:t>个便于行人的安全出口</w:t>
      </w:r>
      <w:r>
        <w:rPr>
          <w:rFonts w:hint="eastAsia" w:ascii="MS UI Gothic" w:eastAsia="MS UI Gothic"/>
          <w:spacing w:val="20"/>
          <w:w w:val="80"/>
        </w:rPr>
        <w:t xml:space="preserve">ꎬ </w:t>
      </w:r>
      <w:r>
        <w:rPr>
          <w:spacing w:val="2"/>
        </w:rPr>
        <w:t>并与通达地面的</w:t>
      </w:r>
    </w:p>
    <w:p>
      <w:pPr>
        <w:spacing w:after="0" w:line="295" w:lineRule="auto"/>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２４９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75" o:spid="_x0000_s1775" o:spt="203" style="height:2.15pt;width:398.25pt;" coordsize="7965,43">
            <o:lock v:ext="edit"/>
            <v:line id="_x0000_s1776" o:spid="_x0000_s1776" o:spt="20" style="position:absolute;left:0;top:39;height:0;width:7965;" stroked="t" coordsize="21600,21600">
              <v:path arrowok="t"/>
              <v:fill focussize="0,0"/>
              <v:stroke weight="0.388031496062992pt" color="#231F20"/>
              <v:imagedata o:title=""/>
              <o:lock v:ext="edit"/>
            </v:line>
            <v:line id="_x0000_s1777" o:spid="_x0000_s177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rPr>
          <w:spacing w:val="1"/>
          <w:w w:val="105"/>
        </w:rPr>
        <w:t>安全出口相连</w:t>
      </w:r>
      <w:r>
        <w:rPr>
          <w:rFonts w:hint="eastAsia" w:ascii="MS UI Gothic" w:eastAsia="MS UI Gothic"/>
          <w:spacing w:val="-2"/>
          <w:w w:val="80"/>
        </w:rPr>
        <w:t xml:space="preserve">ꎮ </w:t>
      </w:r>
      <w:r>
        <w:rPr>
          <w:spacing w:val="-20"/>
          <w:w w:val="105"/>
        </w:rPr>
        <w:t xml:space="preserve">未建成 </w:t>
      </w:r>
      <w:r>
        <w:rPr>
          <w:rFonts w:hint="eastAsia" w:ascii="MS UI Gothic" w:eastAsia="MS UI Gothic"/>
          <w:spacing w:val="-12"/>
          <w:w w:val="80"/>
        </w:rPr>
        <w:t xml:space="preserve">２ </w:t>
      </w:r>
      <w:r>
        <w:rPr>
          <w:spacing w:val="2"/>
          <w:w w:val="105"/>
        </w:rPr>
        <w:t>个安全出口的水</w:t>
      </w:r>
      <w:r>
        <w:rPr>
          <w:w w:val="105"/>
        </w:rPr>
        <w:t xml:space="preserve">平或者采 </w:t>
      </w:r>
      <w:r>
        <w:rPr>
          <w:rFonts w:hint="eastAsia" w:ascii="MS UI Gothic" w:eastAsia="MS UI Gothic"/>
          <w:spacing w:val="-36"/>
          <w:w w:val="150"/>
        </w:rPr>
        <w:t xml:space="preserve">( </w:t>
      </w:r>
      <w:r>
        <w:rPr>
          <w:spacing w:val="3"/>
          <w:w w:val="105"/>
        </w:rPr>
        <w:t>盘</w:t>
      </w:r>
      <w:r>
        <w:rPr>
          <w:rFonts w:hint="eastAsia" w:ascii="MS UI Gothic" w:eastAsia="MS UI Gothic"/>
          <w:spacing w:val="13"/>
          <w:w w:val="150"/>
        </w:rPr>
        <w:t xml:space="preserve">) </w:t>
      </w:r>
      <w:r>
        <w:rPr>
          <w:spacing w:val="3"/>
          <w:w w:val="105"/>
        </w:rPr>
        <w:t>区严禁回采</w:t>
      </w:r>
      <w:r>
        <w:rPr>
          <w:rFonts w:hint="eastAsia" w:ascii="MS UI Gothic" w:eastAsia="MS UI Gothic"/>
          <w:w w:val="80"/>
        </w:rPr>
        <w:t>ꎮ</w:t>
      </w:r>
    </w:p>
    <w:p>
      <w:pPr>
        <w:pStyle w:val="6"/>
        <w:spacing w:line="295" w:lineRule="auto"/>
        <w:ind w:left="440"/>
        <w:rPr>
          <w:rFonts w:hint="eastAsia" w:ascii="MS UI Gothic" w:eastAsia="MS UI Gothic"/>
        </w:rPr>
      </w:pPr>
      <w:r>
        <w:t>井巷交岔点</w:t>
      </w:r>
      <w:r>
        <w:rPr>
          <w:rFonts w:hint="eastAsia" w:ascii="MS UI Gothic" w:eastAsia="MS UI Gothic"/>
          <w:w w:val="80"/>
        </w:rPr>
        <w:t xml:space="preserve">ꎬ </w:t>
      </w:r>
      <w:r>
        <w:t>必须设置路标</w:t>
      </w:r>
      <w:r>
        <w:rPr>
          <w:rFonts w:hint="eastAsia" w:ascii="MS UI Gothic" w:eastAsia="MS UI Gothic"/>
          <w:w w:val="80"/>
        </w:rPr>
        <w:t xml:space="preserve">ꎬ </w:t>
      </w:r>
      <w:r>
        <w:t>标明所在地点</w:t>
      </w:r>
      <w:r>
        <w:rPr>
          <w:rFonts w:hint="eastAsia" w:ascii="MS UI Gothic" w:eastAsia="MS UI Gothic"/>
          <w:w w:val="80"/>
        </w:rPr>
        <w:t xml:space="preserve">ꎬ </w:t>
      </w:r>
      <w:r>
        <w:t>指明通往安全出口的方向</w:t>
      </w:r>
      <w:r>
        <w:rPr>
          <w:rFonts w:hint="eastAsia" w:ascii="MS UI Gothic" w:eastAsia="MS UI Gothic"/>
          <w:w w:val="80"/>
        </w:rPr>
        <w:t>ꎮ</w:t>
      </w:r>
    </w:p>
    <w:p>
      <w:pPr>
        <w:pStyle w:val="6"/>
        <w:spacing w:line="295" w:lineRule="auto"/>
        <w:ind w:left="440"/>
        <w:rPr>
          <w:rFonts w:hint="eastAsia" w:ascii="MS UI Gothic" w:hAnsi="MS UI Gothic" w:eastAsia="MS UI Gothic"/>
        </w:rPr>
      </w:pPr>
      <w:r>
        <w:rPr>
          <w:spacing w:val="-2"/>
        </w:rPr>
        <w:t xml:space="preserve">通达地面的安全出口和 </w:t>
      </w:r>
      <w:r>
        <w:rPr>
          <w:rFonts w:hint="eastAsia" w:ascii="MS UI Gothic" w:hAnsi="MS UI Gothic" w:eastAsia="MS UI Gothic"/>
          <w:spacing w:val="20"/>
          <w:w w:val="85"/>
        </w:rPr>
        <w:t xml:space="preserve">２ </w:t>
      </w:r>
      <w:r>
        <w:rPr>
          <w:spacing w:val="3"/>
        </w:rPr>
        <w:t>个水平之间的安全出口</w:t>
      </w:r>
      <w:r>
        <w:rPr>
          <w:rFonts w:hint="eastAsia" w:ascii="MS UI Gothic" w:hAnsi="MS UI Gothic" w:eastAsia="MS UI Gothic"/>
          <w:spacing w:val="-1"/>
          <w:w w:val="85"/>
        </w:rPr>
        <w:t xml:space="preserve">ꎬ </w:t>
      </w:r>
      <w:r>
        <w:rPr>
          <w:spacing w:val="-7"/>
        </w:rPr>
        <w:t xml:space="preserve">倾角不大于 </w:t>
      </w:r>
      <w:r>
        <w:rPr>
          <w:rFonts w:hint="eastAsia" w:ascii="MS UI Gothic" w:hAnsi="MS UI Gothic" w:eastAsia="MS UI Gothic"/>
          <w:spacing w:val="-11"/>
          <w:w w:val="85"/>
        </w:rPr>
        <w:t xml:space="preserve">４５° </w:t>
      </w:r>
      <w:r>
        <w:rPr>
          <w:spacing w:val="3"/>
        </w:rPr>
        <w:t>时</w:t>
      </w:r>
      <w:r>
        <w:rPr>
          <w:rFonts w:hint="eastAsia" w:ascii="MS UI Gothic" w:hAnsi="MS UI Gothic" w:eastAsia="MS UI Gothic"/>
          <w:w w:val="85"/>
        </w:rPr>
        <w:t xml:space="preserve">ꎬ </w:t>
      </w:r>
      <w:r>
        <w:rPr>
          <w:spacing w:val="7"/>
        </w:rPr>
        <w:t>必须设</w:t>
      </w:r>
      <w:r>
        <w:rPr>
          <w:spacing w:val="3"/>
        </w:rPr>
        <w:t>置人行道</w:t>
      </w:r>
      <w:r>
        <w:rPr>
          <w:rFonts w:hint="eastAsia" w:ascii="MS UI Gothic" w:hAnsi="MS UI Gothic" w:eastAsia="MS UI Gothic"/>
          <w:spacing w:val="14"/>
          <w:w w:val="85"/>
        </w:rPr>
        <w:t xml:space="preserve">ꎬ </w:t>
      </w:r>
      <w:r>
        <w:rPr>
          <w:spacing w:val="2"/>
        </w:rPr>
        <w:t>并根据倾角大小和实际需要设</w:t>
      </w:r>
      <w:r>
        <w:rPr>
          <w:spacing w:val="15"/>
        </w:rPr>
        <w:t>置扶手</w:t>
      </w:r>
      <w:r>
        <w:rPr>
          <w:rFonts w:hint="eastAsia" w:ascii="MS UI Gothic" w:hAnsi="MS UI Gothic" w:eastAsia="MS UI Gothic"/>
          <w:spacing w:val="13"/>
          <w:w w:val="85"/>
        </w:rPr>
        <w:t xml:space="preserve">、 </w:t>
      </w:r>
      <w:r>
        <w:rPr>
          <w:spacing w:val="23"/>
        </w:rPr>
        <w:t>台阶或者梯道</w:t>
      </w:r>
      <w:r>
        <w:rPr>
          <w:rFonts w:hint="eastAsia" w:ascii="MS UI Gothic" w:hAnsi="MS UI Gothic" w:eastAsia="MS UI Gothic"/>
          <w:spacing w:val="14"/>
          <w:w w:val="85"/>
        </w:rPr>
        <w:t xml:space="preserve">ꎮ </w:t>
      </w:r>
      <w:r>
        <w:rPr>
          <w:spacing w:val="6"/>
        </w:rPr>
        <w:t xml:space="preserve">倾角大于 </w:t>
      </w:r>
      <w:r>
        <w:rPr>
          <w:rFonts w:hint="eastAsia" w:ascii="MS UI Gothic" w:hAnsi="MS UI Gothic" w:eastAsia="MS UI Gothic"/>
          <w:w w:val="85"/>
        </w:rPr>
        <w:t xml:space="preserve">４５° </w:t>
      </w:r>
      <w:r>
        <w:rPr>
          <w:spacing w:val="3"/>
        </w:rPr>
        <w:t>时</w:t>
      </w:r>
      <w:r>
        <w:rPr>
          <w:rFonts w:hint="eastAsia" w:ascii="MS UI Gothic" w:hAnsi="MS UI Gothic" w:eastAsia="MS UI Gothic"/>
          <w:spacing w:val="17"/>
          <w:w w:val="85"/>
        </w:rPr>
        <w:t xml:space="preserve">ꎬ </w:t>
      </w:r>
      <w:r>
        <w:rPr>
          <w:spacing w:val="3"/>
        </w:rPr>
        <w:t>必须设置梯道间或者梯子间</w:t>
      </w:r>
      <w:r>
        <w:rPr>
          <w:rFonts w:hint="eastAsia" w:ascii="MS UI Gothic" w:hAnsi="MS UI Gothic" w:eastAsia="MS UI Gothic"/>
          <w:spacing w:val="17"/>
          <w:w w:val="85"/>
        </w:rPr>
        <w:t xml:space="preserve">ꎬ </w:t>
      </w:r>
      <w:r>
        <w:rPr>
          <w:spacing w:val="1"/>
        </w:rPr>
        <w:t>斜井梯</w:t>
      </w:r>
      <w:r>
        <w:rPr>
          <w:spacing w:val="3"/>
        </w:rPr>
        <w:t>道间必须分段错开设置</w:t>
      </w:r>
      <w:r>
        <w:rPr>
          <w:rFonts w:hint="eastAsia" w:ascii="MS UI Gothic" w:hAnsi="MS UI Gothic" w:eastAsia="MS UI Gothic"/>
          <w:spacing w:val="14"/>
          <w:w w:val="85"/>
        </w:rPr>
        <w:t xml:space="preserve">ꎬ </w:t>
      </w:r>
      <w:r>
        <w:rPr>
          <w:spacing w:val="2"/>
        </w:rPr>
        <w:t>每段斜长不得大</w:t>
      </w:r>
      <w:r>
        <w:rPr>
          <w:spacing w:val="-22"/>
        </w:rPr>
        <w:t xml:space="preserve">于 </w:t>
      </w:r>
      <w:r>
        <w:rPr>
          <w:rFonts w:hint="eastAsia" w:ascii="MS UI Gothic" w:hAnsi="MS UI Gothic" w:eastAsia="MS UI Gothic"/>
          <w:spacing w:val="10"/>
          <w:w w:val="85"/>
        </w:rPr>
        <w:t xml:space="preserve">１０ </w:t>
      </w:r>
      <w:r>
        <w:rPr>
          <w:rFonts w:hint="eastAsia" w:ascii="MS UI Gothic" w:hAnsi="MS UI Gothic" w:eastAsia="MS UI Gothic"/>
          <w:spacing w:val="4"/>
          <w:w w:val="85"/>
        </w:rPr>
        <w:t>ｍ</w:t>
      </w:r>
      <w:r>
        <w:rPr>
          <w:rFonts w:hint="eastAsia" w:ascii="MS UI Gothic" w:hAnsi="MS UI Gothic" w:eastAsia="MS UI Gothic"/>
          <w:spacing w:val="25"/>
          <w:w w:val="85"/>
        </w:rPr>
        <w:t xml:space="preserve">ꎻ </w:t>
      </w:r>
      <w:r>
        <w:rPr>
          <w:spacing w:val="11"/>
        </w:rPr>
        <w:t>立井梯子间中的梯子角度不得</w:t>
      </w:r>
      <w:r>
        <w:rPr>
          <w:spacing w:val="-23"/>
        </w:rPr>
        <w:t xml:space="preserve">大于 </w:t>
      </w:r>
      <w:r>
        <w:rPr>
          <w:rFonts w:hint="eastAsia" w:ascii="MS UI Gothic" w:hAnsi="MS UI Gothic" w:eastAsia="MS UI Gothic"/>
          <w:spacing w:val="4"/>
          <w:w w:val="85"/>
        </w:rPr>
        <w:t xml:space="preserve">８０°ꎬ </w:t>
      </w:r>
      <w:r>
        <w:rPr>
          <w:spacing w:val="-23"/>
        </w:rPr>
        <w:t xml:space="preserve">相邻 </w:t>
      </w:r>
      <w:r>
        <w:rPr>
          <w:rFonts w:hint="eastAsia" w:ascii="MS UI Gothic" w:hAnsi="MS UI Gothic" w:eastAsia="MS UI Gothic"/>
          <w:spacing w:val="-7"/>
          <w:w w:val="85"/>
        </w:rPr>
        <w:t xml:space="preserve">２ </w:t>
      </w:r>
      <w:r>
        <w:rPr>
          <w:spacing w:val="8"/>
        </w:rPr>
        <w:t>个平台的垂直距离不得</w:t>
      </w:r>
      <w:r>
        <w:rPr>
          <w:spacing w:val="-17"/>
        </w:rPr>
        <w:t xml:space="preserve">大于 </w:t>
      </w:r>
      <w:r>
        <w:rPr>
          <w:rFonts w:hint="eastAsia" w:ascii="MS UI Gothic" w:hAnsi="MS UI Gothic" w:eastAsia="MS UI Gothic"/>
          <w:spacing w:val="10"/>
          <w:w w:val="85"/>
        </w:rPr>
        <w:t xml:space="preserve">８ </w:t>
      </w:r>
      <w:r>
        <w:rPr>
          <w:rFonts w:hint="eastAsia" w:ascii="MS UI Gothic" w:hAnsi="MS UI Gothic" w:eastAsia="MS UI Gothic"/>
          <w:spacing w:val="4"/>
          <w:w w:val="85"/>
        </w:rPr>
        <w:t>ｍ</w:t>
      </w:r>
      <w:r>
        <w:rPr>
          <w:rFonts w:hint="eastAsia" w:ascii="MS UI Gothic" w:hAnsi="MS UI Gothic" w:eastAsia="MS UI Gothic"/>
          <w:w w:val="85"/>
        </w:rPr>
        <w:t>ꎮ</w:t>
      </w:r>
    </w:p>
    <w:p>
      <w:pPr>
        <w:pStyle w:val="6"/>
        <w:spacing w:line="295" w:lineRule="auto"/>
        <w:ind w:left="440"/>
        <w:rPr>
          <w:rFonts w:hint="eastAsia" w:ascii="MS UI Gothic" w:eastAsia="MS UI Gothic"/>
        </w:rPr>
      </w:pPr>
      <w:r>
        <w:t>安全出口应当经常清理</w:t>
      </w:r>
      <w:r>
        <w:rPr>
          <w:rFonts w:hint="eastAsia" w:ascii="MS UI Gothic" w:eastAsia="MS UI Gothic"/>
        </w:rPr>
        <w:t xml:space="preserve">、 </w:t>
      </w:r>
      <w:r>
        <w:t>维护</w:t>
      </w:r>
      <w:r>
        <w:rPr>
          <w:rFonts w:hint="eastAsia" w:ascii="MS UI Gothic" w:eastAsia="MS UI Gothic"/>
        </w:rPr>
        <w:t xml:space="preserve">、 </w:t>
      </w:r>
      <w:r>
        <w:t>保持畅通</w:t>
      </w:r>
      <w:r>
        <w:rPr>
          <w:rFonts w:hint="eastAsia" w:ascii="MS UI Gothic" w:eastAsia="MS UI Gothic"/>
          <w:w w:val="80"/>
        </w:rPr>
        <w:t>ꎮ</w:t>
      </w:r>
    </w:p>
    <w:p>
      <w:pPr>
        <w:pStyle w:val="6"/>
        <w:spacing w:line="295" w:lineRule="auto"/>
        <w:ind w:left="440"/>
        <w:rPr>
          <w:rFonts w:hint="eastAsia" w:ascii="MS UI Gothic" w:eastAsia="MS UI Gothic"/>
        </w:rPr>
      </w:pPr>
      <w:r>
        <w:t>第八十九条 主要绞车道不得兼作人行道</w:t>
      </w:r>
      <w:r>
        <w:rPr>
          <w:rFonts w:hint="eastAsia" w:ascii="MS UI Gothic" w:eastAsia="MS UI Gothic"/>
          <w:w w:val="80"/>
        </w:rPr>
        <w:t xml:space="preserve">ꎮ </w:t>
      </w:r>
      <w:r>
        <w:t>提升量不大</w:t>
      </w:r>
      <w:r>
        <w:rPr>
          <w:rFonts w:hint="eastAsia" w:ascii="MS UI Gothic" w:eastAsia="MS UI Gothic"/>
          <w:w w:val="80"/>
        </w:rPr>
        <w:t xml:space="preserve">ꎬ </w:t>
      </w:r>
      <w:r>
        <w:t>保证行车时不行人的</w:t>
      </w:r>
      <w:r>
        <w:rPr>
          <w:rFonts w:hint="eastAsia" w:ascii="MS UI Gothic" w:eastAsia="MS UI Gothic"/>
          <w:w w:val="80"/>
        </w:rPr>
        <w:t xml:space="preserve">ꎬ </w:t>
      </w:r>
      <w:r>
        <w:t>不受此限</w:t>
      </w:r>
      <w:r>
        <w:rPr>
          <w:rFonts w:hint="eastAsia" w:ascii="MS UI Gothic" w:eastAsia="MS UI Gothic"/>
          <w:w w:val="80"/>
        </w:rPr>
        <w:t>ꎮ</w:t>
      </w:r>
    </w:p>
    <w:p>
      <w:pPr>
        <w:pStyle w:val="6"/>
        <w:spacing w:before="124" w:line="295" w:lineRule="auto"/>
        <w:ind w:left="383" w:right="124"/>
        <w:rPr>
          <w:rFonts w:hint="eastAsia" w:ascii="MS UI Gothic" w:eastAsia="MS UI Gothic"/>
        </w:rPr>
      </w:pPr>
      <w:r>
        <w:br w:type="column"/>
      </w:r>
      <w:r>
        <w:rPr>
          <w:w w:val="105"/>
        </w:rPr>
        <w:t>第九十条 巷道净断面必须满足行人</w:t>
      </w:r>
      <w:r>
        <w:rPr>
          <w:rFonts w:hint="eastAsia" w:ascii="MS UI Gothic" w:eastAsia="MS UI Gothic"/>
          <w:w w:val="80"/>
        </w:rPr>
        <w:t xml:space="preserve">、 </w:t>
      </w:r>
      <w:r>
        <w:rPr>
          <w:w w:val="105"/>
        </w:rPr>
        <w:t>运输</w:t>
      </w:r>
      <w:r>
        <w:rPr>
          <w:rFonts w:hint="eastAsia" w:ascii="MS UI Gothic" w:eastAsia="MS UI Gothic"/>
          <w:w w:val="80"/>
        </w:rPr>
        <w:t xml:space="preserve">、 </w:t>
      </w:r>
      <w:r>
        <w:rPr>
          <w:w w:val="105"/>
        </w:rPr>
        <w:t>通风和安全设施及设备安装</w:t>
      </w:r>
      <w:r>
        <w:rPr>
          <w:rFonts w:hint="eastAsia" w:ascii="MS UI Gothic" w:eastAsia="MS UI Gothic"/>
          <w:w w:val="80"/>
        </w:rPr>
        <w:t>、</w:t>
      </w:r>
      <w:r>
        <w:rPr>
          <w:w w:val="105"/>
        </w:rPr>
        <w:t>检修</w:t>
      </w:r>
      <w:r>
        <w:rPr>
          <w:rFonts w:hint="eastAsia" w:ascii="MS UI Gothic" w:eastAsia="MS UI Gothic"/>
          <w:w w:val="80"/>
        </w:rPr>
        <w:t xml:space="preserve">、 </w:t>
      </w:r>
      <w:r>
        <w:rPr>
          <w:w w:val="105"/>
        </w:rPr>
        <w:t>施工的需要</w:t>
      </w:r>
      <w:r>
        <w:rPr>
          <w:rFonts w:hint="eastAsia" w:ascii="MS UI Gothic" w:eastAsia="MS UI Gothic"/>
          <w:w w:val="80"/>
        </w:rPr>
        <w:t xml:space="preserve">ꎬ </w:t>
      </w:r>
      <w:r>
        <w:rPr>
          <w:w w:val="105"/>
        </w:rPr>
        <w:t>并符合下列要求</w:t>
      </w:r>
      <w:r>
        <w:rPr>
          <w:rFonts w:hint="eastAsia" w:ascii="MS UI Gothic" w:eastAsia="MS UI Gothic"/>
          <w:w w:val="235"/>
        </w:rPr>
        <w:t>:</w:t>
      </w:r>
    </w:p>
    <w:p>
      <w:pPr>
        <w:pStyle w:val="6"/>
        <w:spacing w:line="295" w:lineRule="auto"/>
        <w:ind w:left="377" w:right="126" w:firstLine="425"/>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采用轨道机车运输的巷道净高</w:t>
      </w:r>
      <w:r>
        <w:rPr>
          <w:rFonts w:hint="eastAsia" w:ascii="MS UI Gothic" w:eastAsia="MS UI Gothic"/>
          <w:w w:val="80"/>
        </w:rPr>
        <w:t xml:space="preserve">ꎬ </w:t>
      </w:r>
      <w:r>
        <w:t xml:space="preserve">自轨面起不得低于 </w:t>
      </w:r>
      <w:r>
        <w:rPr>
          <w:rFonts w:hint="eastAsia" w:ascii="MS UI Gothic" w:eastAsia="MS UI Gothic"/>
        </w:rPr>
        <w:t>２ ｍ</w:t>
      </w:r>
      <w:r>
        <w:rPr>
          <w:rFonts w:hint="eastAsia" w:ascii="MS UI Gothic" w:eastAsia="MS UI Gothic"/>
          <w:w w:val="80"/>
        </w:rPr>
        <w:t xml:space="preserve">ꎮ </w:t>
      </w:r>
      <w:r>
        <w:t>架线电机车运输巷道的净高</w:t>
      </w:r>
      <w:r>
        <w:rPr>
          <w:rFonts w:hint="eastAsia" w:ascii="MS UI Gothic" w:eastAsia="MS UI Gothic"/>
          <w:w w:val="80"/>
        </w:rPr>
        <w:t xml:space="preserve">ꎬ </w:t>
      </w:r>
      <w:r>
        <w:t>在井底车场内</w:t>
      </w:r>
      <w:r>
        <w:rPr>
          <w:rFonts w:hint="eastAsia" w:ascii="MS UI Gothic" w:eastAsia="MS UI Gothic"/>
        </w:rPr>
        <w:t xml:space="preserve">、 </w:t>
      </w:r>
      <w:r>
        <w:t>从井底到乘车场</w:t>
      </w:r>
      <w:r>
        <w:rPr>
          <w:rFonts w:hint="eastAsia" w:ascii="MS UI Gothic" w:eastAsia="MS UI Gothic"/>
          <w:w w:val="80"/>
        </w:rPr>
        <w:t xml:space="preserve">ꎬ </w:t>
      </w:r>
      <w:r>
        <w:t xml:space="preserve">不小于 </w:t>
      </w:r>
      <w:r>
        <w:rPr>
          <w:rFonts w:hint="eastAsia" w:ascii="MS UI Gothic" w:eastAsia="MS UI Gothic"/>
        </w:rPr>
        <w:t>２ ４ ｍ</w:t>
      </w:r>
      <w:r>
        <w:rPr>
          <w:rFonts w:hint="eastAsia" w:ascii="MS UI Gothic" w:eastAsia="MS UI Gothic"/>
          <w:w w:val="80"/>
        </w:rPr>
        <w:t xml:space="preserve">ꎻ </w:t>
      </w:r>
      <w:r>
        <w:t>其他地点</w:t>
      </w:r>
      <w:r>
        <w:rPr>
          <w:rFonts w:hint="eastAsia" w:ascii="MS UI Gothic" w:eastAsia="MS UI Gothic"/>
          <w:w w:val="80"/>
        </w:rPr>
        <w:t xml:space="preserve">ꎬ </w:t>
      </w:r>
      <w:r>
        <w:t xml:space="preserve">行人的不小于 </w:t>
      </w:r>
      <w:r>
        <w:rPr>
          <w:rFonts w:hint="eastAsia" w:ascii="MS UI Gothic" w:eastAsia="MS UI Gothic"/>
        </w:rPr>
        <w:t>２ ２ ｍ</w:t>
      </w:r>
      <w:r>
        <w:rPr>
          <w:rFonts w:hint="eastAsia" w:ascii="MS UI Gothic" w:eastAsia="MS UI Gothic"/>
          <w:w w:val="80"/>
        </w:rPr>
        <w:t xml:space="preserve">ꎬ </w:t>
      </w:r>
      <w:r>
        <w:t>不行人的不小于</w:t>
      </w:r>
      <w:r>
        <w:rPr>
          <w:rFonts w:hint="eastAsia" w:ascii="MS UI Gothic" w:eastAsia="MS UI Gothic"/>
        </w:rPr>
        <w:t>２ １ ｍ</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 xml:space="preserve">采 </w:t>
      </w:r>
      <w:r>
        <w:rPr>
          <w:rFonts w:hint="eastAsia" w:ascii="MS UI Gothic" w:eastAsia="MS UI Gothic"/>
          <w:w w:val="145"/>
        </w:rPr>
        <w:t xml:space="preserve">( </w:t>
      </w:r>
      <w:r>
        <w:t>盘</w:t>
      </w:r>
      <w:r>
        <w:rPr>
          <w:rFonts w:hint="eastAsia" w:ascii="MS UI Gothic" w:eastAsia="MS UI Gothic"/>
          <w:w w:val="145"/>
        </w:rPr>
        <w:t xml:space="preserve">) </w:t>
      </w:r>
      <w:r>
        <w:t>区内的上山</w:t>
      </w:r>
      <w:r>
        <w:rPr>
          <w:rFonts w:hint="eastAsia" w:ascii="MS UI Gothic" w:eastAsia="MS UI Gothic"/>
        </w:rPr>
        <w:t xml:space="preserve">、 </w:t>
      </w:r>
      <w:r>
        <w:t xml:space="preserve">下山和平巷的净高不得低于 </w:t>
      </w:r>
      <w:r>
        <w:rPr>
          <w:rFonts w:hint="eastAsia" w:ascii="MS UI Gothic" w:eastAsia="MS UI Gothic"/>
        </w:rPr>
        <w:t>２ ｍ</w:t>
      </w:r>
      <w:r>
        <w:rPr>
          <w:rFonts w:hint="eastAsia" w:ascii="MS UI Gothic" w:eastAsia="MS UI Gothic"/>
          <w:w w:val="80"/>
        </w:rPr>
        <w:t xml:space="preserve">ꎬ </w:t>
      </w:r>
      <w:r>
        <w:t xml:space="preserve">薄煤层内的不得低于 </w:t>
      </w:r>
      <w:r>
        <w:rPr>
          <w:rFonts w:hint="eastAsia" w:ascii="MS UI Gothic" w:eastAsia="MS UI Gothic"/>
          <w:w w:val="80"/>
        </w:rPr>
        <w:t xml:space="preserve">１ </w:t>
      </w:r>
      <w:r>
        <w:rPr>
          <w:rFonts w:hint="eastAsia" w:ascii="MS UI Gothic" w:eastAsia="MS UI Gothic"/>
        </w:rPr>
        <w:t>８ ｍ</w:t>
      </w:r>
      <w:r>
        <w:rPr>
          <w:rFonts w:hint="eastAsia" w:ascii="MS UI Gothic" w:eastAsia="MS UI Gothic"/>
          <w:w w:val="80"/>
        </w:rPr>
        <w:t>ꎮ</w:t>
      </w:r>
    </w:p>
    <w:p>
      <w:pPr>
        <w:pStyle w:val="6"/>
        <w:spacing w:line="295" w:lineRule="auto"/>
        <w:ind w:left="383" w:right="124"/>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 xml:space="preserve">运输巷 </w:t>
      </w:r>
      <w:r>
        <w:rPr>
          <w:rFonts w:hint="eastAsia" w:ascii="MS UI Gothic" w:eastAsia="MS UI Gothic"/>
          <w:w w:val="150"/>
        </w:rPr>
        <w:t xml:space="preserve">( </w:t>
      </w:r>
      <w:r>
        <w:rPr>
          <w:w w:val="105"/>
        </w:rPr>
        <w:t>包括管</w:t>
      </w:r>
      <w:r>
        <w:rPr>
          <w:rFonts w:hint="eastAsia" w:ascii="MS UI Gothic" w:eastAsia="MS UI Gothic"/>
          <w:w w:val="80"/>
        </w:rPr>
        <w:t xml:space="preserve">、 </w:t>
      </w:r>
      <w:r>
        <w:rPr>
          <w:w w:val="105"/>
        </w:rPr>
        <w:t>线</w:t>
      </w:r>
      <w:r>
        <w:rPr>
          <w:rFonts w:hint="eastAsia" w:ascii="MS UI Gothic" w:eastAsia="MS UI Gothic"/>
          <w:w w:val="80"/>
        </w:rPr>
        <w:t xml:space="preserve">、 </w:t>
      </w:r>
      <w:r>
        <w:rPr>
          <w:w w:val="105"/>
        </w:rPr>
        <w:t>电缆</w:t>
      </w:r>
      <w:r>
        <w:rPr>
          <w:rFonts w:hint="eastAsia" w:ascii="MS UI Gothic" w:eastAsia="MS UI Gothic"/>
          <w:w w:val="150"/>
        </w:rPr>
        <w:t xml:space="preserve">) </w:t>
      </w:r>
      <w:r>
        <w:t>与运输设备最突出部分之间的最小间距</w:t>
      </w:r>
      <w:r>
        <w:rPr>
          <w:rFonts w:hint="eastAsia" w:ascii="MS UI Gothic" w:eastAsia="MS UI Gothic"/>
          <w:w w:val="80"/>
        </w:rPr>
        <w:t>ꎬ</w:t>
      </w:r>
      <w:r>
        <w:rPr>
          <w:w w:val="105"/>
        </w:rPr>
        <w:t xml:space="preserve">应当符合表 </w:t>
      </w:r>
      <w:r>
        <w:rPr>
          <w:rFonts w:hint="eastAsia" w:ascii="MS UI Gothic" w:eastAsia="MS UI Gothic"/>
          <w:w w:val="80"/>
        </w:rPr>
        <w:t xml:space="preserve">３ </w:t>
      </w:r>
      <w:r>
        <w:rPr>
          <w:w w:val="105"/>
        </w:rPr>
        <w:t>的要求</w:t>
      </w:r>
      <w:r>
        <w:rPr>
          <w:rFonts w:hint="eastAsia" w:ascii="MS UI Gothic" w:eastAsia="MS UI Gothic"/>
          <w:w w:val="80"/>
        </w:rPr>
        <w:t>ꎮ</w:t>
      </w:r>
    </w:p>
    <w:p>
      <w:pPr>
        <w:pStyle w:val="6"/>
        <w:spacing w:line="295" w:lineRule="auto"/>
        <w:ind w:left="383" w:right="126"/>
        <w:rPr>
          <w:rFonts w:hint="eastAsia" w:ascii="MS UI Gothic" w:eastAsia="MS UI Gothic"/>
        </w:rPr>
      </w:pPr>
      <w:r>
        <w:t>巷道净断面的设计</w:t>
      </w:r>
      <w:r>
        <w:rPr>
          <w:rFonts w:hint="eastAsia" w:ascii="MS UI Gothic" w:eastAsia="MS UI Gothic"/>
          <w:w w:val="80"/>
        </w:rPr>
        <w:t xml:space="preserve">ꎬ </w:t>
      </w:r>
      <w:r>
        <w:t>必须按支护最大允许变形后的断面计算</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0"/>
        <w:ind w:left="0" w:firstLine="0"/>
        <w:jc w:val="left"/>
        <w:rPr>
          <w:rFonts w:ascii="MS UI Gothic"/>
          <w:sz w:val="9"/>
        </w:rPr>
      </w:pPr>
    </w:p>
    <w:p>
      <w:pPr>
        <w:pStyle w:val="6"/>
        <w:spacing w:before="175"/>
        <w:ind w:left="312" w:firstLine="0"/>
        <w:jc w:val="center"/>
      </w:pPr>
      <w:r>
        <w:rPr>
          <w:w w:val="95"/>
        </w:rPr>
        <w:t xml:space="preserve">表 </w:t>
      </w:r>
      <w:r>
        <w:rPr>
          <w:rFonts w:hint="eastAsia" w:ascii="MS UI Gothic" w:eastAsia="MS UI Gothic"/>
          <w:w w:val="95"/>
        </w:rPr>
        <w:t xml:space="preserve">３ </w:t>
      </w:r>
      <w:r>
        <w:rPr>
          <w:w w:val="95"/>
        </w:rPr>
        <w:t>运输巷与运输设备最突出部分之间的最小间距</w:t>
      </w:r>
    </w:p>
    <w:p>
      <w:pPr>
        <w:pStyle w:val="6"/>
        <w:ind w:left="0" w:firstLine="0"/>
        <w:jc w:val="left"/>
        <w:rPr>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751"/>
        <w:gridCol w:w="717"/>
        <w:gridCol w:w="717"/>
        <w:gridCol w:w="478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751" w:type="dxa"/>
            <w:tcBorders>
              <w:bottom w:val="single" w:color="231F20" w:sz="4" w:space="0"/>
              <w:right w:val="single" w:color="231F20" w:sz="4" w:space="0"/>
            </w:tcBorders>
          </w:tcPr>
          <w:p>
            <w:pPr>
              <w:pStyle w:val="11"/>
              <w:spacing w:before="50"/>
              <w:ind w:left="222" w:right="213"/>
              <w:jc w:val="center"/>
              <w:rPr>
                <w:sz w:val="15"/>
              </w:rPr>
            </w:pPr>
            <w:r>
              <w:rPr>
                <w:w w:val="105"/>
                <w:sz w:val="15"/>
              </w:rPr>
              <w:t>巷道类型</w:t>
            </w:r>
          </w:p>
        </w:tc>
        <w:tc>
          <w:tcPr>
            <w:tcW w:w="717" w:type="dxa"/>
            <w:tcBorders>
              <w:left w:val="single" w:color="231F20" w:sz="4" w:space="0"/>
              <w:bottom w:val="single" w:color="231F20" w:sz="4" w:space="0"/>
              <w:right w:val="single" w:color="231F20" w:sz="4" w:space="0"/>
            </w:tcBorders>
          </w:tcPr>
          <w:p>
            <w:pPr>
              <w:pStyle w:val="11"/>
              <w:spacing w:before="50"/>
              <w:ind w:left="79" w:right="67"/>
              <w:jc w:val="center"/>
              <w:rPr>
                <w:rFonts w:hint="eastAsia" w:ascii="MS UI Gothic" w:eastAsia="MS UI Gothic"/>
                <w:sz w:val="15"/>
              </w:rPr>
            </w:pPr>
            <w:r>
              <w:rPr>
                <w:sz w:val="15"/>
              </w:rPr>
              <w:t>顶部</w:t>
            </w:r>
            <w:r>
              <w:rPr>
                <w:rFonts w:hint="eastAsia" w:ascii="MS UI Gothic" w:eastAsia="MS UI Gothic"/>
                <w:w w:val="65"/>
                <w:sz w:val="15"/>
              </w:rPr>
              <w:t xml:space="preserve">/ </w:t>
            </w:r>
            <w:r>
              <w:rPr>
                <w:rFonts w:hint="eastAsia" w:ascii="MS UI Gothic" w:eastAsia="MS UI Gothic"/>
                <w:sz w:val="15"/>
              </w:rPr>
              <w:t>ｍ</w:t>
            </w:r>
          </w:p>
        </w:tc>
        <w:tc>
          <w:tcPr>
            <w:tcW w:w="717" w:type="dxa"/>
            <w:tcBorders>
              <w:left w:val="single" w:color="231F20" w:sz="4" w:space="0"/>
              <w:bottom w:val="single" w:color="231F20" w:sz="4" w:space="0"/>
              <w:right w:val="single" w:color="231F20" w:sz="4" w:space="0"/>
            </w:tcBorders>
          </w:tcPr>
          <w:p>
            <w:pPr>
              <w:pStyle w:val="11"/>
              <w:spacing w:before="50"/>
              <w:ind w:left="78" w:right="67"/>
              <w:jc w:val="center"/>
              <w:rPr>
                <w:rFonts w:hint="eastAsia" w:ascii="MS UI Gothic" w:eastAsia="MS UI Gothic"/>
                <w:sz w:val="15"/>
              </w:rPr>
            </w:pPr>
            <w:r>
              <w:rPr>
                <w:sz w:val="15"/>
              </w:rPr>
              <w:t>两侧</w:t>
            </w:r>
            <w:r>
              <w:rPr>
                <w:rFonts w:hint="eastAsia" w:ascii="MS UI Gothic" w:eastAsia="MS UI Gothic"/>
                <w:w w:val="65"/>
                <w:sz w:val="15"/>
              </w:rPr>
              <w:t xml:space="preserve">/ </w:t>
            </w:r>
            <w:r>
              <w:rPr>
                <w:rFonts w:hint="eastAsia" w:ascii="MS UI Gothic" w:eastAsia="MS UI Gothic"/>
                <w:sz w:val="15"/>
              </w:rPr>
              <w:t>ｍ</w:t>
            </w:r>
          </w:p>
        </w:tc>
        <w:tc>
          <w:tcPr>
            <w:tcW w:w="4783" w:type="dxa"/>
            <w:tcBorders>
              <w:left w:val="single" w:color="231F20" w:sz="4" w:space="0"/>
              <w:bottom w:val="single" w:color="231F20" w:sz="4" w:space="0"/>
            </w:tcBorders>
          </w:tcPr>
          <w:p>
            <w:pPr>
              <w:pStyle w:val="11"/>
              <w:tabs>
                <w:tab w:val="left" w:pos="492"/>
              </w:tabs>
              <w:spacing w:before="50"/>
              <w:ind w:left="14"/>
              <w:jc w:val="center"/>
              <w:rPr>
                <w:sz w:val="15"/>
              </w:rPr>
            </w:pPr>
            <w:r>
              <w:rPr>
                <w:w w:val="105"/>
                <w:sz w:val="15"/>
              </w:rPr>
              <w:t>备</w:t>
            </w:r>
            <w:r>
              <w:rPr>
                <w:w w:val="105"/>
                <w:sz w:val="15"/>
              </w:rPr>
              <w:tab/>
            </w:r>
            <w:r>
              <w:rPr>
                <w:w w:val="105"/>
                <w:sz w:val="15"/>
              </w:rPr>
              <w:t>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751" w:type="dxa"/>
            <w:tcBorders>
              <w:top w:val="single" w:color="231F20" w:sz="4" w:space="0"/>
              <w:bottom w:val="single" w:color="231F20" w:sz="4" w:space="0"/>
              <w:right w:val="single" w:color="231F20" w:sz="4" w:space="0"/>
            </w:tcBorders>
          </w:tcPr>
          <w:p>
            <w:pPr>
              <w:pStyle w:val="11"/>
              <w:spacing w:before="55"/>
              <w:ind w:left="222" w:right="213"/>
              <w:jc w:val="center"/>
              <w:rPr>
                <w:sz w:val="15"/>
              </w:rPr>
            </w:pPr>
            <w:r>
              <w:rPr>
                <w:w w:val="105"/>
                <w:sz w:val="15"/>
              </w:rPr>
              <w:t>轨道机车运输巷道</w:t>
            </w:r>
          </w:p>
        </w:tc>
        <w:tc>
          <w:tcPr>
            <w:tcW w:w="71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8"/>
              </w:rPr>
            </w:pPr>
          </w:p>
        </w:tc>
        <w:tc>
          <w:tcPr>
            <w:tcW w:w="717" w:type="dxa"/>
            <w:tcBorders>
              <w:top w:val="single" w:color="231F20" w:sz="4" w:space="0"/>
              <w:left w:val="single" w:color="231F20" w:sz="4" w:space="0"/>
              <w:bottom w:val="single" w:color="231F20" w:sz="4" w:space="0"/>
              <w:right w:val="single" w:color="231F20" w:sz="4" w:space="0"/>
            </w:tcBorders>
          </w:tcPr>
          <w:p>
            <w:pPr>
              <w:pStyle w:val="11"/>
              <w:spacing w:before="55"/>
              <w:ind w:left="72" w:right="67"/>
              <w:jc w:val="center"/>
              <w:rPr>
                <w:rFonts w:hint="eastAsia" w:ascii="MS UI Gothic" w:eastAsia="MS UI Gothic"/>
                <w:sz w:val="15"/>
              </w:rPr>
            </w:pPr>
            <w:r>
              <w:rPr>
                <w:rFonts w:hint="eastAsia" w:ascii="MS UI Gothic" w:eastAsia="MS UI Gothic"/>
                <w:w w:val="90"/>
                <w:sz w:val="15"/>
              </w:rPr>
              <w:t>０ ３</w:t>
            </w:r>
          </w:p>
        </w:tc>
        <w:tc>
          <w:tcPr>
            <w:tcW w:w="4783" w:type="dxa"/>
            <w:tcBorders>
              <w:top w:val="single" w:color="231F20" w:sz="4" w:space="0"/>
              <w:left w:val="single" w:color="231F20" w:sz="4" w:space="0"/>
              <w:bottom w:val="single" w:color="231F20" w:sz="4" w:space="0"/>
            </w:tcBorders>
          </w:tcPr>
          <w:p>
            <w:pPr>
              <w:pStyle w:val="11"/>
              <w:spacing w:before="55"/>
              <w:ind w:left="266"/>
              <w:rPr>
                <w:rFonts w:hint="eastAsia" w:ascii="MS UI Gothic" w:eastAsia="MS UI Gothic"/>
                <w:sz w:val="15"/>
              </w:rPr>
            </w:pPr>
            <w:r>
              <w:rPr>
                <w:sz w:val="15"/>
              </w:rPr>
              <w:t xml:space="preserve">综合机械化采煤矿井 </w:t>
            </w:r>
            <w:r>
              <w:rPr>
                <w:rFonts w:hint="eastAsia" w:ascii="MS UI Gothic" w:eastAsia="MS UI Gothic"/>
                <w:sz w:val="15"/>
              </w:rPr>
              <w:t>０ ５ ｍ</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751" w:type="dxa"/>
            <w:tcBorders>
              <w:top w:val="single" w:color="231F20" w:sz="4" w:space="0"/>
              <w:bottom w:val="single" w:color="231F20" w:sz="4" w:space="0"/>
              <w:right w:val="single" w:color="231F20" w:sz="4" w:space="0"/>
            </w:tcBorders>
          </w:tcPr>
          <w:p>
            <w:pPr>
              <w:pStyle w:val="11"/>
              <w:spacing w:before="9"/>
              <w:rPr>
                <w:sz w:val="16"/>
              </w:rPr>
            </w:pPr>
          </w:p>
          <w:p>
            <w:pPr>
              <w:pStyle w:val="11"/>
              <w:ind w:left="222" w:right="213"/>
              <w:jc w:val="center"/>
              <w:rPr>
                <w:sz w:val="15"/>
              </w:rPr>
            </w:pPr>
            <w:r>
              <w:rPr>
                <w:w w:val="105"/>
                <w:sz w:val="15"/>
              </w:rPr>
              <w:t>输送机运输巷道</w:t>
            </w:r>
          </w:p>
        </w:tc>
        <w:tc>
          <w:tcPr>
            <w:tcW w:w="717" w:type="dxa"/>
            <w:tcBorders>
              <w:top w:val="single" w:color="231F20" w:sz="4" w:space="0"/>
              <w:left w:val="single" w:color="231F20" w:sz="4" w:space="0"/>
              <w:bottom w:val="single" w:color="231F20" w:sz="4" w:space="0"/>
              <w:right w:val="single" w:color="231F20" w:sz="4" w:space="0"/>
            </w:tcBorders>
          </w:tcPr>
          <w:p>
            <w:pPr>
              <w:pStyle w:val="11"/>
              <w:rPr>
                <w:rFonts w:ascii="Times New Roman"/>
                <w:sz w:val="18"/>
              </w:rPr>
            </w:pPr>
          </w:p>
        </w:tc>
        <w:tc>
          <w:tcPr>
            <w:tcW w:w="717" w:type="dxa"/>
            <w:tcBorders>
              <w:top w:val="single" w:color="231F20" w:sz="4" w:space="0"/>
              <w:left w:val="single" w:color="231F20" w:sz="4" w:space="0"/>
              <w:bottom w:val="single" w:color="231F20" w:sz="4" w:space="0"/>
              <w:right w:val="single" w:color="231F20" w:sz="4" w:space="0"/>
            </w:tcBorders>
          </w:tcPr>
          <w:p>
            <w:pPr>
              <w:pStyle w:val="11"/>
              <w:spacing w:before="214"/>
              <w:ind w:left="72" w:right="67"/>
              <w:jc w:val="center"/>
              <w:rPr>
                <w:rFonts w:hint="eastAsia" w:ascii="MS UI Gothic" w:eastAsia="MS UI Gothic"/>
                <w:sz w:val="15"/>
              </w:rPr>
            </w:pPr>
            <w:r>
              <w:rPr>
                <w:rFonts w:hint="eastAsia" w:ascii="MS UI Gothic" w:eastAsia="MS UI Gothic"/>
                <w:w w:val="90"/>
                <w:sz w:val="15"/>
              </w:rPr>
              <w:t>０ ５</w:t>
            </w:r>
          </w:p>
        </w:tc>
        <w:tc>
          <w:tcPr>
            <w:tcW w:w="4783" w:type="dxa"/>
            <w:tcBorders>
              <w:top w:val="single" w:color="231F20" w:sz="4" w:space="0"/>
              <w:left w:val="single" w:color="231F20" w:sz="4" w:space="0"/>
              <w:bottom w:val="single" w:color="231F20" w:sz="4" w:space="0"/>
            </w:tcBorders>
          </w:tcPr>
          <w:p>
            <w:pPr>
              <w:pStyle w:val="11"/>
              <w:spacing w:before="15" w:line="260" w:lineRule="atLeast"/>
              <w:ind w:left="107" w:right="90" w:firstLine="159"/>
              <w:rPr>
                <w:rFonts w:hint="eastAsia" w:ascii="MS UI Gothic" w:eastAsia="MS UI Gothic"/>
                <w:sz w:val="15"/>
              </w:rPr>
            </w:pPr>
            <w:r>
              <w:rPr>
                <w:sz w:val="15"/>
              </w:rPr>
              <w:t xml:space="preserve">输送机机头和机尾处与巷帮支护的距离应当满足设备检查和维 修的需要并不得小于 </w:t>
            </w:r>
            <w:r>
              <w:rPr>
                <w:rFonts w:hint="eastAsia" w:ascii="MS UI Gothic" w:eastAsia="MS UI Gothic"/>
                <w:sz w:val="15"/>
              </w:rPr>
              <w:t>０ ７ ｍ</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751" w:type="dxa"/>
            <w:tcBorders>
              <w:top w:val="single" w:color="231F20" w:sz="4" w:space="0"/>
              <w:bottom w:val="single" w:color="231F20" w:sz="4" w:space="0"/>
              <w:right w:val="single" w:color="231F20" w:sz="4" w:space="0"/>
            </w:tcBorders>
          </w:tcPr>
          <w:p>
            <w:pPr>
              <w:pStyle w:val="11"/>
              <w:spacing w:before="14" w:line="260" w:lineRule="atLeast"/>
              <w:ind w:left="556" w:right="306" w:hanging="239"/>
              <w:rPr>
                <w:sz w:val="15"/>
              </w:rPr>
            </w:pPr>
            <w:r>
              <w:rPr>
                <w:sz w:val="15"/>
              </w:rPr>
              <w:t>卡轨车</w:t>
            </w:r>
            <w:r>
              <w:rPr>
                <w:rFonts w:hint="eastAsia" w:ascii="MS UI Gothic" w:eastAsia="MS UI Gothic"/>
                <w:sz w:val="15"/>
              </w:rPr>
              <w:t xml:space="preserve">、 </w:t>
            </w:r>
            <w:r>
              <w:rPr>
                <w:sz w:val="15"/>
              </w:rPr>
              <w:t>齿轨车运输巷道</w:t>
            </w:r>
          </w:p>
        </w:tc>
        <w:tc>
          <w:tcPr>
            <w:tcW w:w="717" w:type="dxa"/>
            <w:tcBorders>
              <w:top w:val="single" w:color="231F20" w:sz="4" w:space="0"/>
              <w:left w:val="single" w:color="231F20" w:sz="4" w:space="0"/>
              <w:bottom w:val="single" w:color="231F20" w:sz="4" w:space="0"/>
              <w:right w:val="single" w:color="231F20" w:sz="4" w:space="0"/>
            </w:tcBorders>
          </w:tcPr>
          <w:p>
            <w:pPr>
              <w:pStyle w:val="11"/>
              <w:spacing w:before="214"/>
              <w:ind w:left="74" w:right="67"/>
              <w:jc w:val="center"/>
              <w:rPr>
                <w:rFonts w:hint="eastAsia" w:ascii="MS UI Gothic" w:eastAsia="MS UI Gothic"/>
                <w:sz w:val="15"/>
              </w:rPr>
            </w:pPr>
            <w:r>
              <w:rPr>
                <w:rFonts w:hint="eastAsia" w:ascii="MS UI Gothic" w:eastAsia="MS UI Gothic"/>
                <w:w w:val="90"/>
                <w:sz w:val="15"/>
              </w:rPr>
              <w:t>０ ３</w:t>
            </w:r>
          </w:p>
        </w:tc>
        <w:tc>
          <w:tcPr>
            <w:tcW w:w="717" w:type="dxa"/>
            <w:tcBorders>
              <w:top w:val="single" w:color="231F20" w:sz="4" w:space="0"/>
              <w:left w:val="single" w:color="231F20" w:sz="4" w:space="0"/>
              <w:bottom w:val="single" w:color="231F20" w:sz="4" w:space="0"/>
              <w:right w:val="single" w:color="231F20" w:sz="4" w:space="0"/>
            </w:tcBorders>
          </w:tcPr>
          <w:p>
            <w:pPr>
              <w:pStyle w:val="11"/>
              <w:spacing w:before="214"/>
              <w:ind w:left="72" w:right="67"/>
              <w:jc w:val="center"/>
              <w:rPr>
                <w:rFonts w:hint="eastAsia" w:ascii="MS UI Gothic" w:eastAsia="MS UI Gothic"/>
                <w:sz w:val="15"/>
              </w:rPr>
            </w:pPr>
            <w:r>
              <w:rPr>
                <w:rFonts w:hint="eastAsia" w:ascii="MS UI Gothic" w:eastAsia="MS UI Gothic"/>
                <w:w w:val="90"/>
                <w:sz w:val="15"/>
              </w:rPr>
              <w:t>０ ３</w:t>
            </w:r>
          </w:p>
        </w:tc>
        <w:tc>
          <w:tcPr>
            <w:tcW w:w="4783" w:type="dxa"/>
            <w:tcBorders>
              <w:top w:val="single" w:color="231F20" w:sz="4" w:space="0"/>
              <w:left w:val="single" w:color="231F20" w:sz="4" w:space="0"/>
              <w:bottom w:val="single" w:color="231F20" w:sz="4" w:space="0"/>
            </w:tcBorders>
          </w:tcPr>
          <w:p>
            <w:pPr>
              <w:pStyle w:val="11"/>
              <w:spacing w:before="14" w:line="260" w:lineRule="atLeast"/>
              <w:ind w:left="107" w:right="90" w:firstLine="159"/>
              <w:rPr>
                <w:rFonts w:hint="eastAsia" w:ascii="MS UI Gothic" w:eastAsia="MS UI Gothic"/>
                <w:sz w:val="15"/>
              </w:rPr>
            </w:pPr>
            <w:r>
              <w:rPr>
                <w:sz w:val="15"/>
              </w:rPr>
              <w:t xml:space="preserve">单轨运输巷道宽度应当大于 </w:t>
            </w:r>
            <w:r>
              <w:rPr>
                <w:rFonts w:hint="eastAsia" w:ascii="MS UI Gothic" w:eastAsia="MS UI Gothic"/>
                <w:sz w:val="15"/>
              </w:rPr>
              <w:t>２ ８ ｍ</w:t>
            </w:r>
            <w:r>
              <w:rPr>
                <w:rFonts w:hint="eastAsia" w:ascii="MS UI Gothic" w:eastAsia="MS UI Gothic"/>
                <w:w w:val="85"/>
                <w:sz w:val="15"/>
              </w:rPr>
              <w:t xml:space="preserve">ꎬ </w:t>
            </w:r>
            <w:r>
              <w:rPr>
                <w:sz w:val="15"/>
              </w:rPr>
              <w:t xml:space="preserve">双轨运车运输巷道宽度度应当大于 </w:t>
            </w:r>
            <w:r>
              <w:rPr>
                <w:rFonts w:hint="eastAsia" w:ascii="MS UI Gothic" w:eastAsia="MS UI Gothic"/>
                <w:sz w:val="15"/>
              </w:rPr>
              <w:t>４ ０ ｍ</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1751" w:type="dxa"/>
            <w:tcBorders>
              <w:top w:val="single" w:color="231F20" w:sz="4" w:space="0"/>
              <w:bottom w:val="single" w:color="231F20" w:sz="4" w:space="0"/>
              <w:right w:val="single" w:color="231F20" w:sz="4" w:space="0"/>
            </w:tcBorders>
          </w:tcPr>
          <w:p>
            <w:pPr>
              <w:pStyle w:val="11"/>
              <w:rPr>
                <w:sz w:val="18"/>
              </w:rPr>
            </w:pPr>
          </w:p>
          <w:p>
            <w:pPr>
              <w:pStyle w:val="11"/>
              <w:spacing w:before="143"/>
              <w:ind w:left="222" w:right="213"/>
              <w:jc w:val="center"/>
              <w:rPr>
                <w:sz w:val="15"/>
              </w:rPr>
            </w:pPr>
            <w:r>
              <w:rPr>
                <w:w w:val="105"/>
                <w:sz w:val="15"/>
              </w:rPr>
              <w:t>单轨吊车运输巷道</w:t>
            </w:r>
          </w:p>
        </w:tc>
        <w:tc>
          <w:tcPr>
            <w:tcW w:w="717" w:type="dxa"/>
            <w:tcBorders>
              <w:top w:val="single" w:color="231F20" w:sz="4" w:space="0"/>
              <w:left w:val="single" w:color="231F20" w:sz="4" w:space="0"/>
              <w:bottom w:val="single" w:color="231F20" w:sz="4" w:space="0"/>
              <w:right w:val="single" w:color="231F20" w:sz="4" w:space="0"/>
            </w:tcBorders>
          </w:tcPr>
          <w:p>
            <w:pPr>
              <w:pStyle w:val="11"/>
              <w:spacing w:before="2"/>
              <w:rPr>
                <w:sz w:val="29"/>
              </w:rPr>
            </w:pPr>
          </w:p>
          <w:p>
            <w:pPr>
              <w:pStyle w:val="11"/>
              <w:ind w:left="74" w:right="67"/>
              <w:jc w:val="center"/>
              <w:rPr>
                <w:rFonts w:hint="eastAsia" w:ascii="MS UI Gothic" w:eastAsia="MS UI Gothic"/>
                <w:sz w:val="15"/>
              </w:rPr>
            </w:pPr>
            <w:r>
              <w:rPr>
                <w:rFonts w:hint="eastAsia" w:ascii="MS UI Gothic" w:eastAsia="MS UI Gothic"/>
                <w:w w:val="90"/>
                <w:sz w:val="15"/>
              </w:rPr>
              <w:t>０ ５</w:t>
            </w:r>
          </w:p>
        </w:tc>
        <w:tc>
          <w:tcPr>
            <w:tcW w:w="717" w:type="dxa"/>
            <w:tcBorders>
              <w:top w:val="single" w:color="231F20" w:sz="4" w:space="0"/>
              <w:left w:val="single" w:color="231F20" w:sz="4" w:space="0"/>
              <w:bottom w:val="single" w:color="231F20" w:sz="4" w:space="0"/>
              <w:right w:val="single" w:color="231F20" w:sz="4" w:space="0"/>
            </w:tcBorders>
          </w:tcPr>
          <w:p>
            <w:pPr>
              <w:pStyle w:val="11"/>
              <w:spacing w:before="2"/>
              <w:rPr>
                <w:sz w:val="29"/>
              </w:rPr>
            </w:pPr>
          </w:p>
          <w:p>
            <w:pPr>
              <w:pStyle w:val="11"/>
              <w:ind w:left="72" w:right="67"/>
              <w:jc w:val="center"/>
              <w:rPr>
                <w:rFonts w:hint="eastAsia" w:ascii="MS UI Gothic" w:eastAsia="MS UI Gothic"/>
                <w:sz w:val="15"/>
              </w:rPr>
            </w:pPr>
            <w:r>
              <w:rPr>
                <w:rFonts w:hint="eastAsia" w:ascii="MS UI Gothic" w:eastAsia="MS UI Gothic"/>
                <w:w w:val="90"/>
                <w:sz w:val="15"/>
              </w:rPr>
              <w:t>０ ８５</w:t>
            </w:r>
          </w:p>
        </w:tc>
        <w:tc>
          <w:tcPr>
            <w:tcW w:w="4783" w:type="dxa"/>
            <w:tcBorders>
              <w:top w:val="single" w:color="231F20" w:sz="4" w:space="0"/>
              <w:left w:val="single" w:color="231F20" w:sz="4" w:space="0"/>
              <w:bottom w:val="single" w:color="231F20" w:sz="4" w:space="0"/>
            </w:tcBorders>
          </w:tcPr>
          <w:p>
            <w:pPr>
              <w:pStyle w:val="11"/>
              <w:spacing w:before="109" w:line="328" w:lineRule="auto"/>
              <w:ind w:left="107" w:right="90" w:firstLine="159"/>
              <w:jc w:val="both"/>
              <w:rPr>
                <w:rFonts w:hint="eastAsia" w:ascii="MS UI Gothic" w:eastAsia="MS UI Gothic"/>
                <w:sz w:val="15"/>
              </w:rPr>
            </w:pPr>
            <w:r>
              <w:rPr>
                <w:spacing w:val="3"/>
                <w:sz w:val="15"/>
              </w:rPr>
              <w:t>曲线巷道段应当在直线巷道允许安全间隙的基础上</w:t>
            </w:r>
            <w:r>
              <w:rPr>
                <w:rFonts w:hint="eastAsia" w:ascii="MS UI Gothic" w:eastAsia="MS UI Gothic"/>
                <w:w w:val="85"/>
                <w:sz w:val="15"/>
              </w:rPr>
              <w:t xml:space="preserve">ꎬ  </w:t>
            </w:r>
            <w:r>
              <w:rPr>
                <w:spacing w:val="8"/>
                <w:sz w:val="15"/>
              </w:rPr>
              <w:t>内侧加宽</w:t>
            </w:r>
            <w:r>
              <w:rPr>
                <w:spacing w:val="-12"/>
                <w:sz w:val="15"/>
              </w:rPr>
              <w:t xml:space="preserve">不小于 </w:t>
            </w:r>
            <w:r>
              <w:rPr>
                <w:rFonts w:hint="eastAsia" w:ascii="MS UI Gothic" w:eastAsia="MS UI Gothic"/>
                <w:sz w:val="15"/>
              </w:rPr>
              <w:t>０</w:t>
            </w:r>
            <w:r>
              <w:rPr>
                <w:rFonts w:hint="eastAsia" w:ascii="MS UI Gothic" w:eastAsia="MS UI Gothic"/>
                <w:spacing w:val="-10"/>
                <w:sz w:val="15"/>
              </w:rPr>
              <w:t xml:space="preserve"> １ </w:t>
            </w:r>
            <w:r>
              <w:rPr>
                <w:rFonts w:hint="eastAsia" w:ascii="MS UI Gothic" w:eastAsia="MS UI Gothic"/>
                <w:sz w:val="15"/>
              </w:rPr>
              <w:t>ｍ</w:t>
            </w:r>
            <w:r>
              <w:rPr>
                <w:rFonts w:hint="eastAsia" w:ascii="MS UI Gothic" w:eastAsia="MS UI Gothic"/>
                <w:spacing w:val="7"/>
                <w:w w:val="85"/>
                <w:sz w:val="15"/>
              </w:rPr>
              <w:t xml:space="preserve">ꎬ </w:t>
            </w:r>
            <w:r>
              <w:rPr>
                <w:spacing w:val="-5"/>
                <w:sz w:val="15"/>
              </w:rPr>
              <w:t xml:space="preserve">外侧加宽不小于 </w:t>
            </w:r>
            <w:r>
              <w:rPr>
                <w:rFonts w:hint="eastAsia" w:ascii="MS UI Gothic" w:eastAsia="MS UI Gothic"/>
                <w:sz w:val="15"/>
              </w:rPr>
              <w:t>０</w:t>
            </w:r>
            <w:r>
              <w:rPr>
                <w:rFonts w:hint="eastAsia" w:ascii="MS UI Gothic" w:eastAsia="MS UI Gothic"/>
                <w:spacing w:val="-11"/>
                <w:sz w:val="15"/>
              </w:rPr>
              <w:t xml:space="preserve"> ２ </w:t>
            </w:r>
            <w:r>
              <w:rPr>
                <w:rFonts w:hint="eastAsia" w:ascii="MS UI Gothic" w:eastAsia="MS UI Gothic"/>
                <w:sz w:val="15"/>
              </w:rPr>
              <w:t>ｍ</w:t>
            </w:r>
            <w:r>
              <w:rPr>
                <w:rFonts w:hint="eastAsia" w:ascii="MS UI Gothic" w:eastAsia="MS UI Gothic"/>
                <w:spacing w:val="7"/>
                <w:w w:val="85"/>
                <w:sz w:val="15"/>
              </w:rPr>
              <w:t xml:space="preserve">ꎮ </w:t>
            </w:r>
            <w:r>
              <w:rPr>
                <w:spacing w:val="4"/>
                <w:sz w:val="15"/>
              </w:rPr>
              <w:t>巷道内外侧加宽要从曲线</w:t>
            </w:r>
            <w:r>
              <w:rPr>
                <w:spacing w:val="3"/>
                <w:sz w:val="15"/>
              </w:rPr>
              <w:t>巷道段两侧直线段开始</w:t>
            </w:r>
            <w:r>
              <w:rPr>
                <w:rFonts w:hint="eastAsia" w:ascii="MS UI Gothic" w:eastAsia="MS UI Gothic"/>
                <w:w w:val="85"/>
                <w:sz w:val="15"/>
              </w:rPr>
              <w:t xml:space="preserve">ꎬ </w:t>
            </w:r>
            <w:r>
              <w:rPr>
                <w:spacing w:val="-2"/>
                <w:sz w:val="15"/>
              </w:rPr>
              <w:t xml:space="preserve">加宽段的长度不小于 </w:t>
            </w:r>
            <w:r>
              <w:rPr>
                <w:rFonts w:hint="eastAsia" w:ascii="MS UI Gothic" w:eastAsia="MS UI Gothic"/>
                <w:sz w:val="15"/>
              </w:rPr>
              <w:t>５ ０ ｍ</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263" w:hRule="atLeast"/>
        </w:trPr>
        <w:tc>
          <w:tcPr>
            <w:tcW w:w="1751" w:type="dxa"/>
            <w:tcBorders>
              <w:top w:val="single" w:color="231F20" w:sz="4" w:space="0"/>
              <w:bottom w:val="single" w:color="231F20" w:sz="4" w:space="0"/>
              <w:right w:val="single" w:color="231F20" w:sz="4" w:space="0"/>
            </w:tcBorders>
          </w:tcPr>
          <w:p>
            <w:pPr>
              <w:pStyle w:val="11"/>
              <w:rPr>
                <w:sz w:val="18"/>
              </w:rPr>
            </w:pPr>
          </w:p>
          <w:p>
            <w:pPr>
              <w:pStyle w:val="11"/>
              <w:spacing w:before="3"/>
              <w:rPr>
                <w:sz w:val="13"/>
              </w:rPr>
            </w:pPr>
          </w:p>
          <w:p>
            <w:pPr>
              <w:pStyle w:val="11"/>
              <w:spacing w:line="328" w:lineRule="auto"/>
              <w:ind w:left="556" w:right="465" w:hanging="80"/>
              <w:rPr>
                <w:sz w:val="15"/>
              </w:rPr>
            </w:pPr>
            <w:r>
              <w:rPr>
                <w:w w:val="105"/>
                <w:sz w:val="15"/>
              </w:rPr>
              <w:t>无轨胶轮车运输巷道</w:t>
            </w:r>
          </w:p>
        </w:tc>
        <w:tc>
          <w:tcPr>
            <w:tcW w:w="717" w:type="dxa"/>
            <w:tcBorders>
              <w:top w:val="single" w:color="231F20" w:sz="4" w:space="0"/>
              <w:left w:val="single" w:color="231F20" w:sz="4" w:space="0"/>
              <w:bottom w:val="single" w:color="231F20" w:sz="4" w:space="0"/>
              <w:right w:val="single" w:color="231F20" w:sz="4" w:space="0"/>
            </w:tcBorders>
          </w:tcPr>
          <w:p>
            <w:pPr>
              <w:pStyle w:val="11"/>
              <w:spacing w:before="7"/>
              <w:rPr>
                <w:sz w:val="41"/>
              </w:rPr>
            </w:pPr>
          </w:p>
          <w:p>
            <w:pPr>
              <w:pStyle w:val="11"/>
              <w:ind w:left="74" w:right="67"/>
              <w:jc w:val="center"/>
              <w:rPr>
                <w:rFonts w:hint="eastAsia" w:ascii="MS UI Gothic" w:eastAsia="MS UI Gothic"/>
                <w:sz w:val="15"/>
              </w:rPr>
            </w:pPr>
            <w:r>
              <w:rPr>
                <w:rFonts w:hint="eastAsia" w:ascii="MS UI Gothic" w:eastAsia="MS UI Gothic"/>
                <w:w w:val="90"/>
                <w:sz w:val="15"/>
              </w:rPr>
              <w:t>０ ５</w:t>
            </w:r>
          </w:p>
        </w:tc>
        <w:tc>
          <w:tcPr>
            <w:tcW w:w="717" w:type="dxa"/>
            <w:tcBorders>
              <w:top w:val="single" w:color="231F20" w:sz="4" w:space="0"/>
              <w:left w:val="single" w:color="231F20" w:sz="4" w:space="0"/>
              <w:bottom w:val="single" w:color="231F20" w:sz="4" w:space="0"/>
              <w:right w:val="single" w:color="231F20" w:sz="4" w:space="0"/>
            </w:tcBorders>
          </w:tcPr>
          <w:p>
            <w:pPr>
              <w:pStyle w:val="11"/>
              <w:spacing w:before="7"/>
              <w:rPr>
                <w:sz w:val="41"/>
              </w:rPr>
            </w:pPr>
          </w:p>
          <w:p>
            <w:pPr>
              <w:pStyle w:val="11"/>
              <w:ind w:left="72" w:right="67"/>
              <w:jc w:val="center"/>
              <w:rPr>
                <w:rFonts w:hint="eastAsia" w:ascii="MS UI Gothic" w:eastAsia="MS UI Gothic"/>
                <w:sz w:val="15"/>
              </w:rPr>
            </w:pPr>
            <w:r>
              <w:rPr>
                <w:rFonts w:hint="eastAsia" w:ascii="MS UI Gothic" w:eastAsia="MS UI Gothic"/>
                <w:w w:val="90"/>
                <w:sz w:val="15"/>
              </w:rPr>
              <w:t>０ ５</w:t>
            </w:r>
          </w:p>
        </w:tc>
        <w:tc>
          <w:tcPr>
            <w:tcW w:w="4783" w:type="dxa"/>
            <w:tcBorders>
              <w:top w:val="single" w:color="231F20" w:sz="4" w:space="0"/>
              <w:left w:val="single" w:color="231F20" w:sz="4" w:space="0"/>
              <w:bottom w:val="single" w:color="231F20" w:sz="4" w:space="0"/>
            </w:tcBorders>
          </w:tcPr>
          <w:p>
            <w:pPr>
              <w:pStyle w:val="11"/>
              <w:spacing w:before="137" w:line="328" w:lineRule="auto"/>
              <w:ind w:left="107" w:right="90" w:firstLine="159"/>
              <w:jc w:val="both"/>
              <w:rPr>
                <w:sz w:val="15"/>
              </w:rPr>
            </w:pPr>
            <w:r>
              <w:rPr>
                <w:sz w:val="15"/>
              </w:rPr>
              <w:t>曲线巷道段应当在直线巷道允许安全间隙的基础上</w:t>
            </w:r>
            <w:r>
              <w:rPr>
                <w:rFonts w:hint="eastAsia" w:ascii="MS UI Gothic" w:eastAsia="MS UI Gothic"/>
                <w:w w:val="80"/>
                <w:sz w:val="15"/>
              </w:rPr>
              <w:t xml:space="preserve">ꎬ </w:t>
            </w:r>
            <w:r>
              <w:rPr>
                <w:sz w:val="15"/>
              </w:rPr>
              <w:t>按无轨胶</w:t>
            </w:r>
            <w:r>
              <w:rPr>
                <w:w w:val="105"/>
                <w:sz w:val="15"/>
              </w:rPr>
              <w:t>轮车内</w:t>
            </w:r>
            <w:r>
              <w:rPr>
                <w:rFonts w:hint="eastAsia" w:ascii="MS UI Gothic" w:eastAsia="MS UI Gothic"/>
                <w:w w:val="80"/>
                <w:sz w:val="15"/>
              </w:rPr>
              <w:t xml:space="preserve">、 </w:t>
            </w:r>
            <w:r>
              <w:rPr>
                <w:w w:val="105"/>
                <w:sz w:val="15"/>
              </w:rPr>
              <w:t>外轮曲率半径计算需加大的巷道宽度</w:t>
            </w:r>
            <w:r>
              <w:rPr>
                <w:rFonts w:hint="eastAsia" w:ascii="MS UI Gothic" w:eastAsia="MS UI Gothic"/>
                <w:w w:val="80"/>
                <w:sz w:val="15"/>
              </w:rPr>
              <w:t xml:space="preserve">ꎮ </w:t>
            </w:r>
            <w:r>
              <w:rPr>
                <w:w w:val="105"/>
                <w:sz w:val="15"/>
              </w:rPr>
              <w:t>巷道内外侧加宽</w:t>
            </w:r>
            <w:r>
              <w:rPr>
                <w:sz w:val="15"/>
              </w:rPr>
              <w:t>要从曲线巷道两侧直线段开始</w:t>
            </w:r>
            <w:r>
              <w:rPr>
                <w:rFonts w:hint="eastAsia" w:ascii="MS UI Gothic" w:eastAsia="MS UI Gothic"/>
                <w:w w:val="80"/>
                <w:sz w:val="15"/>
              </w:rPr>
              <w:t xml:space="preserve">ꎬ </w:t>
            </w:r>
            <w:r>
              <w:rPr>
                <w:sz w:val="15"/>
              </w:rPr>
              <w:t>加宽段的长度应当满足安全运输</w:t>
            </w:r>
            <w:r>
              <w:rPr>
                <w:w w:val="105"/>
                <w:sz w:val="15"/>
              </w:rPr>
              <w:t>的要求</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1751" w:type="dxa"/>
            <w:tcBorders>
              <w:top w:val="single" w:color="231F20" w:sz="4" w:space="0"/>
              <w:right w:val="single" w:color="231F20" w:sz="4" w:space="0"/>
            </w:tcBorders>
          </w:tcPr>
          <w:p>
            <w:pPr>
              <w:pStyle w:val="11"/>
              <w:spacing w:before="15" w:line="260" w:lineRule="atLeast"/>
              <w:ind w:left="238" w:right="226" w:firstLine="79"/>
              <w:rPr>
                <w:sz w:val="15"/>
              </w:rPr>
            </w:pPr>
            <w:r>
              <w:rPr>
                <w:w w:val="105"/>
                <w:sz w:val="15"/>
              </w:rPr>
              <w:t>设置移动变电站</w:t>
            </w:r>
            <w:r>
              <w:rPr>
                <w:sz w:val="15"/>
              </w:rPr>
              <w:t>或者平板车的巷道</w:t>
            </w:r>
          </w:p>
        </w:tc>
        <w:tc>
          <w:tcPr>
            <w:tcW w:w="717" w:type="dxa"/>
            <w:tcBorders>
              <w:top w:val="single" w:color="231F20" w:sz="4" w:space="0"/>
              <w:left w:val="single" w:color="231F20" w:sz="4" w:space="0"/>
              <w:right w:val="single" w:color="231F20" w:sz="4" w:space="0"/>
            </w:tcBorders>
          </w:tcPr>
          <w:p>
            <w:pPr>
              <w:pStyle w:val="11"/>
              <w:rPr>
                <w:rFonts w:ascii="Times New Roman"/>
                <w:sz w:val="18"/>
              </w:rPr>
            </w:pPr>
          </w:p>
        </w:tc>
        <w:tc>
          <w:tcPr>
            <w:tcW w:w="717" w:type="dxa"/>
            <w:tcBorders>
              <w:top w:val="single" w:color="231F20" w:sz="4" w:space="0"/>
              <w:left w:val="single" w:color="231F20" w:sz="4" w:space="0"/>
              <w:right w:val="single" w:color="231F20" w:sz="4" w:space="0"/>
            </w:tcBorders>
          </w:tcPr>
          <w:p>
            <w:pPr>
              <w:pStyle w:val="11"/>
              <w:spacing w:before="214"/>
              <w:ind w:left="72" w:right="67"/>
              <w:jc w:val="center"/>
              <w:rPr>
                <w:rFonts w:hint="eastAsia" w:ascii="MS UI Gothic" w:eastAsia="MS UI Gothic"/>
                <w:sz w:val="15"/>
              </w:rPr>
            </w:pPr>
            <w:r>
              <w:rPr>
                <w:rFonts w:hint="eastAsia" w:ascii="MS UI Gothic" w:eastAsia="MS UI Gothic"/>
                <w:w w:val="90"/>
                <w:sz w:val="15"/>
              </w:rPr>
              <w:t>０ ３</w:t>
            </w:r>
          </w:p>
        </w:tc>
        <w:tc>
          <w:tcPr>
            <w:tcW w:w="4783" w:type="dxa"/>
            <w:tcBorders>
              <w:top w:val="single" w:color="231F20" w:sz="4" w:space="0"/>
              <w:left w:val="single" w:color="231F20" w:sz="4" w:space="0"/>
            </w:tcBorders>
          </w:tcPr>
          <w:p>
            <w:pPr>
              <w:pStyle w:val="11"/>
              <w:spacing w:before="9"/>
              <w:rPr>
                <w:sz w:val="16"/>
              </w:rPr>
            </w:pPr>
          </w:p>
          <w:p>
            <w:pPr>
              <w:pStyle w:val="11"/>
              <w:ind w:left="266"/>
              <w:rPr>
                <w:sz w:val="15"/>
              </w:rPr>
            </w:pPr>
            <w:r>
              <w:rPr>
                <w:w w:val="105"/>
                <w:sz w:val="15"/>
              </w:rPr>
              <w:t>移动变电站或者平板车上设备最突出部分与巷道侧间距</w:t>
            </w:r>
          </w:p>
        </w:tc>
      </w:tr>
    </w:tbl>
    <w:p>
      <w:pPr>
        <w:pStyle w:val="6"/>
        <w:spacing w:before="3"/>
        <w:ind w:left="0" w:firstLine="0"/>
        <w:jc w:val="left"/>
        <w:rPr>
          <w:sz w:val="8"/>
        </w:rPr>
      </w:pPr>
    </w:p>
    <w:p>
      <w:pPr>
        <w:spacing w:after="0"/>
        <w:jc w:val="left"/>
        <w:rPr>
          <w:sz w:val="8"/>
        </w:rPr>
        <w:sectPr>
          <w:type w:val="continuous"/>
          <w:pgSz w:w="10500" w:h="14750"/>
          <w:pgMar w:top="1400" w:right="980" w:bottom="280" w:left="980" w:header="720" w:footer="720" w:gutter="0"/>
        </w:sectPr>
      </w:pPr>
    </w:p>
    <w:p>
      <w:pPr>
        <w:pStyle w:val="6"/>
        <w:tabs>
          <w:tab w:val="left" w:pos="2117"/>
        </w:tabs>
        <w:spacing w:before="175" w:line="295" w:lineRule="auto"/>
        <w:ind w:left="440"/>
        <w:jc w:val="left"/>
        <w:rPr>
          <w:rFonts w:hint="eastAsia" w:ascii="MS UI Gothic" w:eastAsia="MS UI Gothic"/>
        </w:rPr>
      </w:pPr>
      <w:r>
        <w:rPr>
          <w:spacing w:val="3"/>
        </w:rPr>
        <w:t>第九十一</w:t>
      </w:r>
      <w:r>
        <w:t>条</w:t>
      </w:r>
      <w:r>
        <w:tab/>
      </w:r>
      <w:r>
        <w:rPr>
          <w:spacing w:val="3"/>
        </w:rPr>
        <w:t>新建矿井</w:t>
      </w:r>
      <w:r>
        <w:rPr>
          <w:rFonts w:hint="eastAsia" w:ascii="MS UI Gothic" w:eastAsia="MS UI Gothic"/>
        </w:rPr>
        <w:t>、</w:t>
      </w:r>
      <w:r>
        <w:rPr>
          <w:rFonts w:hint="eastAsia" w:ascii="MS UI Gothic" w:eastAsia="MS UI Gothic"/>
          <w:spacing w:val="2"/>
        </w:rPr>
        <w:t xml:space="preserve"> </w:t>
      </w:r>
      <w:r>
        <w:rPr>
          <w:spacing w:val="3"/>
        </w:rPr>
        <w:t>生产矿井</w:t>
      </w:r>
      <w:r>
        <w:rPr>
          <w:spacing w:val="-12"/>
        </w:rPr>
        <w:t>新</w:t>
      </w:r>
      <w:r>
        <w:t>掘</w:t>
      </w:r>
      <w:r>
        <w:rPr>
          <w:spacing w:val="3"/>
        </w:rPr>
        <w:t>运输巷的一侧</w:t>
      </w:r>
      <w:r>
        <w:rPr>
          <w:rFonts w:hint="eastAsia" w:ascii="MS UI Gothic" w:eastAsia="MS UI Gothic"/>
          <w:w w:val="85"/>
        </w:rPr>
        <w:t>ꎬ</w:t>
      </w:r>
      <w:r>
        <w:rPr>
          <w:rFonts w:hint="eastAsia" w:ascii="MS UI Gothic" w:eastAsia="MS UI Gothic"/>
          <w:spacing w:val="18"/>
          <w:w w:val="85"/>
        </w:rPr>
        <w:t xml:space="preserve"> </w:t>
      </w:r>
      <w:r>
        <w:rPr>
          <w:spacing w:val="9"/>
        </w:rPr>
        <w:t>从巷道道碴面</w:t>
      </w:r>
      <w:r>
        <w:t>起</w:t>
      </w:r>
      <w:r>
        <w:rPr>
          <w:spacing w:val="-62"/>
        </w:rPr>
        <w:t xml:space="preserve"> </w:t>
      </w:r>
      <w:r>
        <w:rPr>
          <w:rFonts w:hint="eastAsia" w:ascii="MS UI Gothic" w:eastAsia="MS UI Gothic"/>
        </w:rPr>
        <w:t>１</w:t>
      </w:r>
      <w:r>
        <w:rPr>
          <w:rFonts w:hint="eastAsia" w:ascii="MS UI Gothic" w:eastAsia="MS UI Gothic"/>
          <w:spacing w:val="-27"/>
        </w:rPr>
        <w:t xml:space="preserve"> </w:t>
      </w:r>
      <w:r>
        <w:rPr>
          <w:rFonts w:hint="eastAsia" w:ascii="MS UI Gothic" w:eastAsia="MS UI Gothic"/>
        </w:rPr>
        <w:t>６</w:t>
      </w:r>
      <w:r>
        <w:rPr>
          <w:rFonts w:hint="eastAsia" w:ascii="MS UI Gothic" w:eastAsia="MS UI Gothic"/>
          <w:spacing w:val="-7"/>
        </w:rPr>
        <w:t xml:space="preserve"> </w:t>
      </w:r>
      <w:r>
        <w:rPr>
          <w:rFonts w:hint="eastAsia" w:ascii="MS UI Gothic" w:eastAsia="MS UI Gothic"/>
        </w:rPr>
        <w:t>ｍ</w:t>
      </w:r>
    </w:p>
    <w:p>
      <w:pPr>
        <w:pStyle w:val="6"/>
        <w:spacing w:before="175" w:line="295" w:lineRule="auto"/>
        <w:ind w:left="383" w:right="126" w:firstLine="0"/>
        <w:jc w:val="left"/>
        <w:rPr>
          <w:rFonts w:hint="eastAsia" w:ascii="MS UI Gothic" w:eastAsia="MS UI Gothic"/>
        </w:rPr>
      </w:pPr>
      <w:r>
        <w:br w:type="column"/>
      </w:r>
      <w:r>
        <w:rPr>
          <w:spacing w:val="3"/>
        </w:rPr>
        <w:t>的高度内</w:t>
      </w:r>
      <w:r>
        <w:rPr>
          <w:rFonts w:hint="eastAsia" w:ascii="MS UI Gothic" w:eastAsia="MS UI Gothic"/>
          <w:spacing w:val="13"/>
          <w:w w:val="80"/>
        </w:rPr>
        <w:t xml:space="preserve">ꎬ </w:t>
      </w:r>
      <w:r>
        <w:rPr>
          <w:spacing w:val="8"/>
        </w:rPr>
        <w:t>必须留有宽</w:t>
      </w:r>
      <w:r>
        <w:rPr>
          <w:rFonts w:hint="eastAsia" w:ascii="MS UI Gothic" w:eastAsia="MS UI Gothic"/>
          <w:spacing w:val="13"/>
          <w:w w:val="80"/>
        </w:rPr>
        <w:t xml:space="preserve">ꎬ </w:t>
      </w:r>
      <w:r>
        <w:rPr>
          <w:rFonts w:hint="eastAsia" w:ascii="MS UI Gothic" w:eastAsia="MS UI Gothic"/>
        </w:rPr>
        <w:t>０</w:t>
      </w:r>
      <w:r>
        <w:rPr>
          <w:rFonts w:hint="eastAsia" w:ascii="MS UI Gothic" w:eastAsia="MS UI Gothic"/>
          <w:spacing w:val="-8"/>
        </w:rPr>
        <w:t xml:space="preserve"> ８ </w:t>
      </w:r>
      <w:r>
        <w:rPr>
          <w:rFonts w:hint="eastAsia" w:ascii="MS UI Gothic" w:eastAsia="MS UI Gothic"/>
        </w:rPr>
        <w:t xml:space="preserve">ｍ </w:t>
      </w:r>
      <w:r>
        <w:rPr>
          <w:rFonts w:hint="eastAsia" w:ascii="MS UI Gothic" w:eastAsia="MS UI Gothic"/>
          <w:spacing w:val="-35"/>
          <w:w w:val="145"/>
        </w:rPr>
        <w:t xml:space="preserve">( </w:t>
      </w:r>
      <w:r>
        <w:rPr>
          <w:spacing w:val="8"/>
        </w:rPr>
        <w:t>综合机</w:t>
      </w:r>
      <w:r>
        <w:rPr>
          <w:spacing w:val="14"/>
        </w:rPr>
        <w:t xml:space="preserve">械化采煤及无轨胶轮车运输的矿井为 </w:t>
      </w:r>
      <w:r>
        <w:rPr>
          <w:rFonts w:hint="eastAsia" w:ascii="MS UI Gothic" w:eastAsia="MS UI Gothic"/>
        </w:rPr>
        <w:t>１</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２５０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78" o:spid="_x0000_s1778" o:spt="203" style="height:2.15pt;width:398.25pt;" coordsize="7965,43">
            <o:lock v:ext="edit"/>
            <v:line id="_x0000_s1779" o:spid="_x0000_s1779" o:spt="20" style="position:absolute;left:0;top:39;height:0;width:7965;" stroked="t" coordsize="21600,21600">
              <v:path arrowok="t"/>
              <v:fill focussize="0,0"/>
              <v:stroke weight="0.388031496062992pt" color="#231F20"/>
              <v:imagedata o:title=""/>
              <o:lock v:ext="edit"/>
            </v:line>
            <v:line id="_x0000_s1780" o:spid="_x0000_s178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rFonts w:hint="eastAsia" w:ascii="MS UI Gothic" w:eastAsia="MS UI Gothic"/>
          <w:w w:val="79"/>
        </w:rPr>
        <w:t>ｍ</w:t>
      </w:r>
      <w:r>
        <w:rPr>
          <w:rFonts w:hint="eastAsia" w:ascii="MS UI Gothic" w:eastAsia="MS UI Gothic"/>
          <w:w w:val="168"/>
        </w:rPr>
        <w:t>)</w:t>
      </w:r>
      <w:r>
        <w:rPr>
          <w:rFonts w:hint="eastAsia" w:ascii="MS UI Gothic" w:eastAsia="MS UI Gothic"/>
        </w:rPr>
        <w:t xml:space="preserve">  </w:t>
      </w:r>
      <w:r>
        <w:rPr>
          <w:w w:val="102"/>
        </w:rPr>
        <w:t>以上的人行道</w:t>
      </w:r>
      <w:r>
        <w:rPr>
          <w:rFonts w:hint="eastAsia" w:ascii="MS UI Gothic" w:eastAsia="MS UI Gothic"/>
          <w:w w:val="51"/>
        </w:rPr>
        <w:t>ꎬ</w:t>
      </w:r>
      <w:r>
        <w:rPr>
          <w:rFonts w:hint="eastAsia" w:ascii="MS UI Gothic" w:eastAsia="MS UI Gothic"/>
        </w:rPr>
        <w:t xml:space="preserve">  </w:t>
      </w:r>
      <w:r>
        <w:rPr>
          <w:w w:val="102"/>
        </w:rPr>
        <w:t>管道吊挂高度不得低</w:t>
      </w:r>
      <w:r>
        <w:rPr>
          <w:w w:val="110"/>
        </w:rPr>
        <w:t xml:space="preserve">于 </w:t>
      </w:r>
      <w:r>
        <w:rPr>
          <w:rFonts w:hint="eastAsia" w:ascii="MS UI Gothic" w:eastAsia="MS UI Gothic"/>
          <w:w w:val="85"/>
        </w:rPr>
        <w:t>１ ８ ｍꎮ</w:t>
      </w:r>
    </w:p>
    <w:p>
      <w:pPr>
        <w:pStyle w:val="6"/>
        <w:spacing w:line="295" w:lineRule="auto"/>
        <w:ind w:right="38"/>
        <w:rPr>
          <w:rFonts w:hint="eastAsia" w:ascii="MS UI Gothic" w:eastAsia="MS UI Gothic"/>
        </w:rPr>
      </w:pPr>
      <w:r>
        <w:t>生产矿井已有巷道人行道的宽度不符合上述要求时</w:t>
      </w:r>
      <w:r>
        <w:rPr>
          <w:rFonts w:hint="eastAsia" w:ascii="MS UI Gothic" w:eastAsia="MS UI Gothic"/>
          <w:w w:val="85"/>
        </w:rPr>
        <w:t xml:space="preserve">ꎬ </w:t>
      </w:r>
      <w:r>
        <w:t>必须在巷道的一侧设置躲避硐</w:t>
      </w:r>
      <w:r>
        <w:rPr>
          <w:rFonts w:hint="eastAsia" w:ascii="MS UI Gothic" w:eastAsia="MS UI Gothic"/>
          <w:w w:val="85"/>
        </w:rPr>
        <w:t xml:space="preserve">ꎬ ２ </w:t>
      </w:r>
      <w:r>
        <w:t xml:space="preserve">个躲避硐的间距不得超过 </w:t>
      </w:r>
      <w:r>
        <w:rPr>
          <w:rFonts w:hint="eastAsia" w:ascii="MS UI Gothic" w:eastAsia="MS UI Gothic"/>
          <w:w w:val="85"/>
        </w:rPr>
        <w:t>４０ ｍꎮ</w:t>
      </w:r>
      <w:r>
        <w:t xml:space="preserve">躲避硐宽度不得小于 </w:t>
      </w:r>
      <w:r>
        <w:rPr>
          <w:rFonts w:hint="eastAsia" w:ascii="MS UI Gothic" w:eastAsia="MS UI Gothic"/>
          <w:w w:val="85"/>
        </w:rPr>
        <w:t xml:space="preserve">１ ２ ｍꎬ </w:t>
      </w:r>
      <w:r>
        <w:t xml:space="preserve">深度不得小于 </w:t>
      </w:r>
      <w:r>
        <w:rPr>
          <w:rFonts w:hint="eastAsia" w:ascii="MS UI Gothic" w:eastAsia="MS UI Gothic"/>
          <w:w w:val="85"/>
        </w:rPr>
        <w:t xml:space="preserve">０ ７ ｍꎬ </w:t>
      </w:r>
      <w:r>
        <w:t xml:space="preserve">高度不得小于 </w:t>
      </w:r>
      <w:r>
        <w:rPr>
          <w:rFonts w:hint="eastAsia" w:ascii="MS UI Gothic" w:eastAsia="MS UI Gothic"/>
          <w:w w:val="85"/>
        </w:rPr>
        <w:t xml:space="preserve">１ ８ ｍꎮ </w:t>
      </w:r>
      <w:r>
        <w:t>躲避硐内严禁堆积物料</w:t>
      </w:r>
      <w:r>
        <w:rPr>
          <w:rFonts w:hint="eastAsia" w:ascii="MS UI Gothic" w:eastAsia="MS UI Gothic"/>
          <w:w w:val="85"/>
        </w:rPr>
        <w:t>ꎮ</w:t>
      </w:r>
    </w:p>
    <w:p>
      <w:pPr>
        <w:pStyle w:val="6"/>
        <w:spacing w:line="295" w:lineRule="auto"/>
        <w:ind w:right="39"/>
        <w:rPr>
          <w:rFonts w:hint="eastAsia" w:ascii="MS UI Gothic" w:hAnsi="MS UI Gothic" w:eastAsia="MS UI Gothic"/>
        </w:rPr>
      </w:pPr>
      <w:r>
        <w:t xml:space="preserve">采用无轨胶轮车运输的矿井人行道宽度不足 </w:t>
      </w:r>
      <w:r>
        <w:rPr>
          <w:rFonts w:hint="eastAsia" w:ascii="MS UI Gothic" w:hAnsi="MS UI Gothic" w:eastAsia="MS UI Gothic"/>
          <w:w w:val="80"/>
        </w:rPr>
        <w:t xml:space="preserve">１ ｍ </w:t>
      </w:r>
      <w:r>
        <w:t>时</w:t>
      </w:r>
      <w:r>
        <w:rPr>
          <w:rFonts w:hint="eastAsia" w:ascii="MS UI Gothic" w:hAnsi="MS UI Gothic" w:eastAsia="MS UI Gothic"/>
          <w:w w:val="80"/>
        </w:rPr>
        <w:t xml:space="preserve">ꎬ </w:t>
      </w:r>
      <w:r>
        <w:t>必须制定专项安全技术措施</w:t>
      </w:r>
      <w:r>
        <w:rPr>
          <w:rFonts w:hint="eastAsia" w:ascii="MS UI Gothic" w:hAnsi="MS UI Gothic" w:eastAsia="MS UI Gothic"/>
          <w:w w:val="80"/>
        </w:rPr>
        <w:t xml:space="preserve">ꎬ </w:t>
      </w:r>
      <w:r>
        <w:t xml:space="preserve">严格执行 </w:t>
      </w:r>
      <w:r>
        <w:rPr>
          <w:rFonts w:hint="eastAsia" w:ascii="MS UI Gothic" w:hAnsi="MS UI Gothic" w:eastAsia="MS UI Gothic"/>
        </w:rPr>
        <w:t xml:space="preserve">“ </w:t>
      </w:r>
      <w:r>
        <w:t>行人不行车</w:t>
      </w:r>
      <w:r>
        <w:rPr>
          <w:rFonts w:hint="eastAsia" w:ascii="MS UI Gothic" w:hAnsi="MS UI Gothic" w:eastAsia="MS UI Gothic"/>
          <w:w w:val="80"/>
        </w:rPr>
        <w:t xml:space="preserve">ꎬ </w:t>
      </w:r>
      <w:r>
        <w:t>行车不行人</w:t>
      </w:r>
      <w:r>
        <w:rPr>
          <w:rFonts w:hint="eastAsia" w:ascii="MS UI Gothic" w:hAnsi="MS UI Gothic" w:eastAsia="MS UI Gothic"/>
        </w:rPr>
        <w:t xml:space="preserve">” </w:t>
      </w:r>
      <w:r>
        <w:t>的规定</w:t>
      </w:r>
      <w:r>
        <w:rPr>
          <w:rFonts w:hint="eastAsia" w:ascii="MS UI Gothic" w:hAnsi="MS UI Gothic" w:eastAsia="MS UI Gothic"/>
          <w:w w:val="80"/>
        </w:rPr>
        <w:t>ꎮ</w:t>
      </w:r>
    </w:p>
    <w:p>
      <w:pPr>
        <w:pStyle w:val="6"/>
        <w:spacing w:line="295" w:lineRule="auto"/>
        <w:ind w:right="39"/>
        <w:rPr>
          <w:rFonts w:hint="eastAsia" w:ascii="MS UI Gothic" w:eastAsia="MS UI Gothic"/>
        </w:rPr>
      </w:pPr>
      <w:r>
        <w:rPr>
          <w:spacing w:val="3"/>
        </w:rPr>
        <w:t>在人车停车地点的巷道上下人侧</w:t>
      </w:r>
      <w:r>
        <w:rPr>
          <w:rFonts w:hint="eastAsia" w:ascii="MS UI Gothic" w:eastAsia="MS UI Gothic"/>
          <w:spacing w:val="9"/>
          <w:w w:val="85"/>
        </w:rPr>
        <w:t xml:space="preserve">ꎬ </w:t>
      </w:r>
      <w:r>
        <w:t>从</w:t>
      </w:r>
      <w:r>
        <w:rPr>
          <w:spacing w:val="-8"/>
        </w:rPr>
        <w:t xml:space="preserve">巷道道碴面起 </w:t>
      </w:r>
      <w:r>
        <w:rPr>
          <w:rFonts w:hint="eastAsia" w:ascii="MS UI Gothic" w:eastAsia="MS UI Gothic"/>
        </w:rPr>
        <w:t>１</w:t>
      </w:r>
      <w:r>
        <w:rPr>
          <w:rFonts w:hint="eastAsia" w:ascii="MS UI Gothic" w:eastAsia="MS UI Gothic"/>
          <w:spacing w:val="-13"/>
        </w:rPr>
        <w:t xml:space="preserve"> ６ </w:t>
      </w:r>
      <w:r>
        <w:rPr>
          <w:rFonts w:hint="eastAsia" w:ascii="MS UI Gothic" w:eastAsia="MS UI Gothic"/>
        </w:rPr>
        <w:t>ｍ</w:t>
      </w:r>
      <w:r>
        <w:rPr>
          <w:rFonts w:hint="eastAsia" w:ascii="MS UI Gothic" w:eastAsia="MS UI Gothic"/>
          <w:spacing w:val="-21"/>
        </w:rPr>
        <w:t xml:space="preserve"> </w:t>
      </w:r>
      <w:r>
        <w:rPr>
          <w:spacing w:val="3"/>
        </w:rPr>
        <w:t>的高度内</w:t>
      </w:r>
      <w:r>
        <w:rPr>
          <w:rFonts w:hint="eastAsia" w:ascii="MS UI Gothic" w:eastAsia="MS UI Gothic"/>
          <w:spacing w:val="11"/>
          <w:w w:val="85"/>
        </w:rPr>
        <w:t xml:space="preserve">ꎬ </w:t>
      </w:r>
      <w:r>
        <w:rPr>
          <w:spacing w:val="2"/>
        </w:rPr>
        <w:t>必须留有</w:t>
      </w:r>
      <w:r>
        <w:rPr>
          <w:spacing w:val="-32"/>
        </w:rPr>
        <w:t xml:space="preserve">宽 </w:t>
      </w:r>
      <w:r>
        <w:rPr>
          <w:rFonts w:hint="eastAsia" w:ascii="MS UI Gothic" w:eastAsia="MS UI Gothic"/>
          <w:spacing w:val="-2"/>
        </w:rPr>
        <w:t xml:space="preserve">１ </w:t>
      </w:r>
      <w:r>
        <w:rPr>
          <w:rFonts w:hint="eastAsia" w:ascii="MS UI Gothic" w:eastAsia="MS UI Gothic"/>
        </w:rPr>
        <w:t>ｍ</w:t>
      </w:r>
      <w:r>
        <w:rPr>
          <w:rFonts w:hint="eastAsia" w:ascii="MS UI Gothic" w:eastAsia="MS UI Gothic"/>
          <w:spacing w:val="-15"/>
        </w:rPr>
        <w:t xml:space="preserve"> </w:t>
      </w:r>
      <w:r>
        <w:rPr>
          <w:spacing w:val="3"/>
        </w:rPr>
        <w:t>以上的人行道</w:t>
      </w:r>
      <w:r>
        <w:rPr>
          <w:rFonts w:hint="eastAsia" w:ascii="MS UI Gothic" w:eastAsia="MS UI Gothic"/>
          <w:spacing w:val="17"/>
          <w:w w:val="85"/>
        </w:rPr>
        <w:t xml:space="preserve">ꎬ </w:t>
      </w:r>
      <w:r>
        <w:rPr>
          <w:spacing w:val="2"/>
        </w:rPr>
        <w:t>管道吊挂高度不得</w:t>
      </w:r>
      <w:r>
        <w:rPr>
          <w:spacing w:val="-18"/>
        </w:rPr>
        <w:t xml:space="preserve">低于 </w:t>
      </w:r>
      <w:r>
        <w:rPr>
          <w:rFonts w:hint="eastAsia" w:ascii="MS UI Gothic" w:eastAsia="MS UI Gothic"/>
        </w:rPr>
        <w:t>１</w:t>
      </w:r>
      <w:r>
        <w:rPr>
          <w:rFonts w:hint="eastAsia" w:ascii="MS UI Gothic" w:eastAsia="MS UI Gothic"/>
          <w:spacing w:val="-2"/>
        </w:rPr>
        <w:t xml:space="preserve"> ８ </w:t>
      </w:r>
      <w:r>
        <w:rPr>
          <w:rFonts w:hint="eastAsia" w:ascii="MS UI Gothic" w:eastAsia="MS UI Gothic"/>
          <w:spacing w:val="4"/>
        </w:rPr>
        <w:t>ｍ</w:t>
      </w:r>
      <w:r>
        <w:rPr>
          <w:rFonts w:hint="eastAsia" w:ascii="MS UI Gothic" w:eastAsia="MS UI Gothic"/>
          <w:w w:val="85"/>
        </w:rPr>
        <w:t>ꎮ</w:t>
      </w:r>
    </w:p>
    <w:p>
      <w:pPr>
        <w:pStyle w:val="6"/>
        <w:spacing w:line="295" w:lineRule="auto"/>
        <w:ind w:right="39"/>
        <w:rPr>
          <w:rFonts w:hint="eastAsia" w:ascii="MS UI Gothic" w:eastAsia="MS UI Gothic"/>
        </w:rPr>
      </w:pPr>
      <w:r>
        <w:rPr>
          <w:w w:val="105"/>
        </w:rPr>
        <w:t>第九十二条 在双向运输巷中</w:t>
      </w:r>
      <w:r>
        <w:rPr>
          <w:rFonts w:hint="eastAsia" w:ascii="MS UI Gothic" w:eastAsia="MS UI Gothic"/>
          <w:w w:val="80"/>
        </w:rPr>
        <w:t xml:space="preserve">ꎬ </w:t>
      </w:r>
      <w:r>
        <w:rPr>
          <w:w w:val="105"/>
        </w:rPr>
        <w:t>两车</w:t>
      </w:r>
      <w:r>
        <w:t>最突出部分之间的距离必须符合下列</w:t>
      </w:r>
      <w:r>
        <w:rPr>
          <w:w w:val="110"/>
        </w:rPr>
        <w:t>要求</w:t>
      </w:r>
      <w:r>
        <w:rPr>
          <w:rFonts w:hint="eastAsia" w:ascii="MS UI Gothic" w:eastAsia="MS UI Gothic"/>
          <w:w w:val="235"/>
        </w:rPr>
        <w:t>:</w:t>
      </w:r>
    </w:p>
    <w:p>
      <w:pPr>
        <w:pStyle w:val="6"/>
        <w:spacing w:line="295" w:lineRule="auto"/>
        <w:ind w:left="118" w:right="38" w:firstLine="425"/>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采用轨道运输的巷道</w:t>
      </w:r>
      <w:r>
        <w:rPr>
          <w:rFonts w:hint="eastAsia" w:ascii="MS UI Gothic" w:eastAsia="MS UI Gothic"/>
          <w:w w:val="80"/>
        </w:rPr>
        <w:t xml:space="preserve">ꎬ </w:t>
      </w:r>
      <w:r>
        <w:t xml:space="preserve">对开时不得小于 </w:t>
      </w:r>
      <w:r>
        <w:rPr>
          <w:rFonts w:hint="eastAsia" w:ascii="MS UI Gothic" w:eastAsia="MS UI Gothic"/>
        </w:rPr>
        <w:t>０ ２ ｍ</w:t>
      </w:r>
      <w:r>
        <w:rPr>
          <w:rFonts w:hint="eastAsia" w:ascii="MS UI Gothic" w:eastAsia="MS UI Gothic"/>
          <w:w w:val="80"/>
        </w:rPr>
        <w:t xml:space="preserve">ꎬ </w:t>
      </w:r>
      <w:r>
        <w:t>采区装载点不得小于</w:t>
      </w:r>
      <w:r>
        <w:rPr>
          <w:rFonts w:hint="eastAsia" w:ascii="MS UI Gothic" w:eastAsia="MS UI Gothic"/>
          <w:w w:val="80"/>
        </w:rPr>
        <w:t>ꎬ</w:t>
      </w:r>
      <w:r>
        <w:rPr>
          <w:rFonts w:hint="eastAsia" w:ascii="MS UI Gothic" w:eastAsia="MS UI Gothic"/>
        </w:rPr>
        <w:t>０ ７ ｍ</w:t>
      </w:r>
      <w:r>
        <w:rPr>
          <w:rFonts w:hint="eastAsia" w:ascii="MS UI Gothic" w:eastAsia="MS UI Gothic"/>
          <w:w w:val="80"/>
        </w:rPr>
        <w:t xml:space="preserve">ꎬ </w:t>
      </w:r>
      <w:r>
        <w:t xml:space="preserve">矿车摘挂钩地点不得小于 </w:t>
      </w:r>
      <w:r>
        <w:rPr>
          <w:rFonts w:hint="eastAsia" w:ascii="MS UI Gothic" w:eastAsia="MS UI Gothic"/>
        </w:rPr>
        <w:t>１ ｍ</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采用单轨吊车运输的巷道</w:t>
      </w:r>
      <w:r>
        <w:rPr>
          <w:rFonts w:hint="eastAsia" w:ascii="MS UI Gothic" w:eastAsia="MS UI Gothic"/>
          <w:w w:val="80"/>
        </w:rPr>
        <w:t xml:space="preserve">ꎬ </w:t>
      </w:r>
      <w:r>
        <w:t xml:space="preserve">对开时不得小于 </w:t>
      </w:r>
      <w:r>
        <w:rPr>
          <w:rFonts w:hint="eastAsia" w:ascii="MS UI Gothic" w:eastAsia="MS UI Gothic"/>
        </w:rPr>
        <w:t>０ ８ ｍ</w:t>
      </w:r>
      <w:r>
        <w:rPr>
          <w:rFonts w:hint="eastAsia" w:ascii="MS UI Gothic" w:eastAsia="MS UI Gothic"/>
          <w:w w:val="80"/>
        </w:rPr>
        <w:t>ꎮ</w:t>
      </w:r>
    </w:p>
    <w:p>
      <w:pPr>
        <w:pStyle w:val="6"/>
        <w:spacing w:line="295" w:lineRule="auto"/>
        <w:ind w:left="538" w:right="39" w:firstLine="5"/>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采用无轨胶轮车运输的巷道</w:t>
      </w:r>
      <w:r>
        <w:rPr>
          <w:rFonts w:hint="eastAsia" w:ascii="MS UI Gothic" w:eastAsia="MS UI Gothic"/>
          <w:w w:val="230"/>
        </w:rPr>
        <w:t xml:space="preserve">: </w:t>
      </w:r>
      <w:r>
        <w:rPr>
          <w:rFonts w:hint="eastAsia" w:ascii="MS UI Gothic" w:eastAsia="MS UI Gothic"/>
          <w:w w:val="80"/>
        </w:rPr>
        <w:t xml:space="preserve">１ </w:t>
      </w:r>
      <w:r>
        <w:rPr>
          <w:w w:val="105"/>
        </w:rPr>
        <w:t>双车道行驶</w:t>
      </w:r>
      <w:r>
        <w:rPr>
          <w:rFonts w:hint="eastAsia" w:ascii="MS UI Gothic" w:eastAsia="MS UI Gothic"/>
          <w:w w:val="80"/>
        </w:rPr>
        <w:t xml:space="preserve">ꎬ </w:t>
      </w:r>
      <w:r>
        <w:rPr>
          <w:w w:val="105"/>
        </w:rPr>
        <w:t>会车时不得小于</w:t>
      </w:r>
    </w:p>
    <w:p>
      <w:pPr>
        <w:pStyle w:val="6"/>
        <w:spacing w:line="255" w:lineRule="exact"/>
        <w:ind w:left="118" w:firstLine="0"/>
        <w:rPr>
          <w:rFonts w:hint="eastAsia" w:ascii="MS UI Gothic" w:eastAsia="MS UI Gothic"/>
        </w:rPr>
      </w:pPr>
      <w:r>
        <w:rPr>
          <w:rFonts w:hint="eastAsia" w:ascii="MS UI Gothic" w:eastAsia="MS UI Gothic"/>
          <w:w w:val="85"/>
        </w:rPr>
        <w:t>０ ５ ｍꎮ</w:t>
      </w:r>
    </w:p>
    <w:p>
      <w:pPr>
        <w:pStyle w:val="6"/>
        <w:spacing w:before="39" w:line="295" w:lineRule="auto"/>
        <w:ind w:right="39" w:firstLine="413"/>
        <w:rPr>
          <w:rFonts w:hint="eastAsia" w:ascii="MS UI Gothic" w:eastAsia="MS UI Gothic"/>
        </w:rPr>
      </w:pPr>
      <w:r>
        <w:rPr>
          <w:rFonts w:hint="eastAsia" w:ascii="MS UI Gothic" w:eastAsia="MS UI Gothic"/>
        </w:rPr>
        <w:t xml:space="preserve">２ </w:t>
      </w:r>
      <w:r>
        <w:t>单车道应当根据运距</w:t>
      </w:r>
      <w:r>
        <w:rPr>
          <w:rFonts w:hint="eastAsia" w:ascii="MS UI Gothic" w:eastAsia="MS UI Gothic"/>
        </w:rPr>
        <w:t xml:space="preserve">、 </w:t>
      </w:r>
      <w:r>
        <w:t>运量</w:t>
      </w:r>
      <w:r>
        <w:rPr>
          <w:rFonts w:hint="eastAsia" w:ascii="MS UI Gothic" w:eastAsia="MS UI Gothic"/>
        </w:rPr>
        <w:t xml:space="preserve">、 </w:t>
      </w:r>
      <w:r>
        <w:t>运速及运输车辆特性</w:t>
      </w:r>
      <w:r>
        <w:rPr>
          <w:rFonts w:hint="eastAsia" w:ascii="MS UI Gothic" w:eastAsia="MS UI Gothic"/>
          <w:w w:val="85"/>
        </w:rPr>
        <w:t xml:space="preserve">ꎬ </w:t>
      </w:r>
      <w:r>
        <w:t>在巷道的合适位置设置机车绕行道或者错车硐室</w:t>
      </w:r>
      <w:r>
        <w:rPr>
          <w:rFonts w:hint="eastAsia" w:ascii="MS UI Gothic" w:eastAsia="MS UI Gothic"/>
          <w:w w:val="85"/>
        </w:rPr>
        <w:t xml:space="preserve">ꎬ </w:t>
      </w:r>
      <w:r>
        <w:t>并设置方向标识</w:t>
      </w:r>
      <w:r>
        <w:rPr>
          <w:rFonts w:hint="eastAsia" w:ascii="MS UI Gothic" w:eastAsia="MS UI Gothic"/>
          <w:w w:val="85"/>
        </w:rPr>
        <w:t>ꎮ</w:t>
      </w:r>
    </w:p>
    <w:p>
      <w:pPr>
        <w:pStyle w:val="6"/>
        <w:spacing w:line="295" w:lineRule="auto"/>
        <w:ind w:right="39"/>
        <w:rPr>
          <w:rFonts w:hint="eastAsia" w:ascii="MS UI Gothic" w:eastAsia="MS UI Gothic"/>
        </w:rPr>
      </w:pPr>
      <w:r>
        <w:rPr>
          <w:w w:val="105"/>
        </w:rPr>
        <w:t>第九十三条 掘进巷道在揭露老空区</w:t>
      </w:r>
      <w:r>
        <w:t>前</w:t>
      </w:r>
      <w:r>
        <w:rPr>
          <w:rFonts w:hint="eastAsia" w:ascii="MS UI Gothic" w:eastAsia="MS UI Gothic"/>
          <w:w w:val="80"/>
        </w:rPr>
        <w:t xml:space="preserve">ꎬ </w:t>
      </w:r>
      <w:r>
        <w:t>必须制定探查老空区的安全措施</w:t>
      </w:r>
      <w:r>
        <w:rPr>
          <w:rFonts w:hint="eastAsia" w:ascii="MS UI Gothic" w:eastAsia="MS UI Gothic"/>
          <w:w w:val="80"/>
        </w:rPr>
        <w:t xml:space="preserve">ꎬ </w:t>
      </w:r>
      <w:r>
        <w:t>包</w:t>
      </w:r>
      <w:r>
        <w:rPr>
          <w:w w:val="105"/>
        </w:rPr>
        <w:t xml:space="preserve">括接近老空区时必须预留的煤 </w:t>
      </w:r>
      <w:r>
        <w:rPr>
          <w:rFonts w:hint="eastAsia" w:ascii="MS UI Gothic" w:eastAsia="MS UI Gothic"/>
          <w:w w:val="150"/>
        </w:rPr>
        <w:t xml:space="preserve">( </w:t>
      </w:r>
      <w:r>
        <w:rPr>
          <w:w w:val="105"/>
        </w:rPr>
        <w:t>岩</w:t>
      </w:r>
      <w:r>
        <w:rPr>
          <w:rFonts w:hint="eastAsia" w:ascii="MS UI Gothic" w:eastAsia="MS UI Gothic"/>
          <w:w w:val="150"/>
        </w:rPr>
        <w:t xml:space="preserve">) </w:t>
      </w:r>
      <w:r>
        <w:rPr>
          <w:w w:val="105"/>
        </w:rPr>
        <w:t>柱厚度和探明水</w:t>
      </w:r>
      <w:r>
        <w:rPr>
          <w:rFonts w:hint="eastAsia" w:ascii="MS UI Gothic" w:eastAsia="MS UI Gothic"/>
          <w:w w:val="80"/>
        </w:rPr>
        <w:t xml:space="preserve">、 </w:t>
      </w:r>
      <w:r>
        <w:rPr>
          <w:w w:val="105"/>
        </w:rPr>
        <w:t>火</w:t>
      </w:r>
      <w:r>
        <w:rPr>
          <w:rFonts w:hint="eastAsia" w:ascii="MS UI Gothic" w:eastAsia="MS UI Gothic"/>
          <w:w w:val="80"/>
        </w:rPr>
        <w:t xml:space="preserve">、 </w:t>
      </w:r>
      <w:r>
        <w:rPr>
          <w:w w:val="105"/>
        </w:rPr>
        <w:t>瓦斯等内容</w:t>
      </w:r>
      <w:r>
        <w:rPr>
          <w:rFonts w:hint="eastAsia" w:ascii="MS UI Gothic" w:eastAsia="MS UI Gothic"/>
          <w:w w:val="80"/>
        </w:rPr>
        <w:t xml:space="preserve">ꎮ </w:t>
      </w:r>
      <w:r>
        <w:rPr>
          <w:w w:val="105"/>
        </w:rPr>
        <w:t>必须根据探明的情况采取措施</w:t>
      </w:r>
      <w:r>
        <w:rPr>
          <w:rFonts w:hint="eastAsia" w:ascii="MS UI Gothic" w:eastAsia="MS UI Gothic"/>
          <w:w w:val="80"/>
        </w:rPr>
        <w:t xml:space="preserve">ꎬ </w:t>
      </w:r>
      <w:r>
        <w:rPr>
          <w:w w:val="105"/>
        </w:rPr>
        <w:t>进行处理</w:t>
      </w:r>
      <w:r>
        <w:rPr>
          <w:rFonts w:hint="eastAsia" w:ascii="MS UI Gothic" w:eastAsia="MS UI Gothic"/>
          <w:w w:val="80"/>
        </w:rPr>
        <w:t>ꎮ</w:t>
      </w:r>
    </w:p>
    <w:p>
      <w:pPr>
        <w:pStyle w:val="6"/>
        <w:spacing w:line="295" w:lineRule="auto"/>
        <w:ind w:right="39"/>
      </w:pPr>
      <w:r>
        <w:t>在揭露老空区时</w:t>
      </w:r>
      <w:r>
        <w:rPr>
          <w:rFonts w:hint="eastAsia" w:ascii="MS UI Gothic" w:eastAsia="MS UI Gothic"/>
          <w:w w:val="80"/>
        </w:rPr>
        <w:t xml:space="preserve">ꎬ </w:t>
      </w:r>
      <w:r>
        <w:t>必须将人员撤至安全地点</w:t>
      </w:r>
      <w:r>
        <w:rPr>
          <w:rFonts w:hint="eastAsia" w:ascii="MS UI Gothic" w:eastAsia="MS UI Gothic"/>
          <w:w w:val="80"/>
        </w:rPr>
        <w:t xml:space="preserve">ꎮ </w:t>
      </w:r>
      <w:r>
        <w:t>只有经过检查</w:t>
      </w:r>
      <w:r>
        <w:rPr>
          <w:rFonts w:hint="eastAsia" w:ascii="MS UI Gothic" w:eastAsia="MS UI Gothic"/>
          <w:w w:val="80"/>
        </w:rPr>
        <w:t xml:space="preserve">ꎬ </w:t>
      </w:r>
      <w:r>
        <w:t>证明老空区内的水</w:t>
      </w:r>
      <w:r>
        <w:rPr>
          <w:rFonts w:hint="eastAsia" w:ascii="MS UI Gothic" w:eastAsia="MS UI Gothic"/>
          <w:w w:val="80"/>
        </w:rPr>
        <w:t xml:space="preserve">、 </w:t>
      </w:r>
      <w:r>
        <w:t>瓦斯和其他有害气体等无危险后</w:t>
      </w:r>
      <w:r>
        <w:rPr>
          <w:rFonts w:hint="eastAsia" w:ascii="MS UI Gothic" w:eastAsia="MS UI Gothic"/>
          <w:w w:val="80"/>
        </w:rPr>
        <w:t xml:space="preserve">ꎬ </w:t>
      </w:r>
      <w:r>
        <w:t>方</w:t>
      </w:r>
    </w:p>
    <w:p>
      <w:pPr>
        <w:pStyle w:val="6"/>
        <w:spacing w:before="123"/>
        <w:ind w:left="118" w:firstLine="0"/>
        <w:jc w:val="left"/>
        <w:rPr>
          <w:rFonts w:hint="eastAsia" w:ascii="MS UI Gothic" w:eastAsia="MS UI Gothic"/>
        </w:rPr>
      </w:pPr>
      <w:r>
        <w:br w:type="column"/>
      </w:r>
      <w:r>
        <w:t>可恢复工作</w:t>
      </w:r>
      <w:r>
        <w:rPr>
          <w:rFonts w:hint="eastAsia" w:ascii="MS UI Gothic" w:eastAsia="MS UI Gothic"/>
          <w:w w:val="80"/>
        </w:rPr>
        <w:t>ꎮ</w:t>
      </w:r>
    </w:p>
    <w:p>
      <w:pPr>
        <w:pStyle w:val="6"/>
        <w:spacing w:before="58" w:line="295" w:lineRule="auto"/>
        <w:ind w:left="118" w:right="440"/>
        <w:rPr>
          <w:rFonts w:hint="eastAsia" w:ascii="MS UI Gothic" w:eastAsia="MS UI Gothic"/>
        </w:rPr>
      </w:pPr>
      <w:r>
        <w:t xml:space="preserve">第九十四条  采 </w:t>
      </w:r>
      <w:r>
        <w:rPr>
          <w:rFonts w:hint="eastAsia" w:ascii="MS UI Gothic" w:eastAsia="MS UI Gothic"/>
          <w:w w:val="150"/>
        </w:rPr>
        <w:t xml:space="preserve">( </w:t>
      </w:r>
      <w:r>
        <w:t>盘</w:t>
      </w:r>
      <w:r>
        <w:rPr>
          <w:rFonts w:hint="eastAsia" w:ascii="MS UI Gothic" w:eastAsia="MS UI Gothic"/>
          <w:w w:val="150"/>
        </w:rPr>
        <w:t xml:space="preserve">) </w:t>
      </w:r>
      <w:r>
        <w:t>区结束后</w:t>
      </w:r>
      <w:r>
        <w:rPr>
          <w:rFonts w:hint="eastAsia" w:ascii="MS UI Gothic" w:eastAsia="MS UI Gothic"/>
          <w:w w:val="80"/>
        </w:rPr>
        <w:t>、</w:t>
      </w:r>
      <w:r>
        <w:t>回撤设备时</w:t>
      </w:r>
      <w:r>
        <w:rPr>
          <w:rFonts w:hint="eastAsia" w:ascii="MS UI Gothic" w:eastAsia="MS UI Gothic"/>
          <w:w w:val="80"/>
        </w:rPr>
        <w:t xml:space="preserve">ꎬ </w:t>
      </w:r>
      <w:r>
        <w:t>必须编制专门措施</w:t>
      </w:r>
      <w:r>
        <w:rPr>
          <w:rFonts w:hint="eastAsia" w:ascii="MS UI Gothic" w:eastAsia="MS UI Gothic"/>
          <w:w w:val="80"/>
        </w:rPr>
        <w:t xml:space="preserve">ꎬ </w:t>
      </w:r>
      <w:r>
        <w:t>加强通风</w:t>
      </w:r>
      <w:r>
        <w:rPr>
          <w:rFonts w:hint="eastAsia" w:ascii="MS UI Gothic" w:eastAsia="MS UI Gothic"/>
          <w:w w:val="80"/>
        </w:rPr>
        <w:t xml:space="preserve">、 </w:t>
      </w:r>
      <w:r>
        <w:t>瓦斯</w:t>
      </w:r>
      <w:r>
        <w:rPr>
          <w:rFonts w:hint="eastAsia" w:ascii="MS UI Gothic" w:eastAsia="MS UI Gothic"/>
          <w:w w:val="80"/>
        </w:rPr>
        <w:t xml:space="preserve">、 </w:t>
      </w:r>
      <w:r>
        <w:t>顶板</w:t>
      </w:r>
      <w:r>
        <w:rPr>
          <w:rFonts w:hint="eastAsia" w:ascii="MS UI Gothic" w:eastAsia="MS UI Gothic"/>
          <w:w w:val="80"/>
        </w:rPr>
        <w:t xml:space="preserve">、 </w:t>
      </w:r>
      <w:r>
        <w:t>防火管理</w:t>
      </w:r>
      <w:r>
        <w:rPr>
          <w:rFonts w:hint="eastAsia" w:ascii="MS UI Gothic" w:eastAsia="MS UI Gothic"/>
          <w:w w:val="80"/>
        </w:rPr>
        <w:t>ꎮ</w:t>
      </w:r>
    </w:p>
    <w:p>
      <w:pPr>
        <w:pStyle w:val="6"/>
        <w:tabs>
          <w:tab w:val="left" w:pos="1690"/>
        </w:tabs>
        <w:spacing w:before="155"/>
        <w:ind w:left="852" w:firstLine="0"/>
        <w:jc w:val="left"/>
      </w:pPr>
      <w:r>
        <w:rPr>
          <w:spacing w:val="3"/>
          <w:w w:val="105"/>
        </w:rPr>
        <w:t>第二</w:t>
      </w:r>
      <w:r>
        <w:rPr>
          <w:w w:val="105"/>
        </w:rPr>
        <w:t>节</w:t>
      </w:r>
      <w:r>
        <w:rPr>
          <w:w w:val="105"/>
        </w:rPr>
        <w:tab/>
      </w:r>
      <w:r>
        <w:rPr>
          <w:spacing w:val="3"/>
          <w:w w:val="105"/>
        </w:rPr>
        <w:t>回采和顶板控</w:t>
      </w:r>
      <w:r>
        <w:rPr>
          <w:w w:val="105"/>
        </w:rPr>
        <w:t>制</w:t>
      </w:r>
    </w:p>
    <w:p>
      <w:pPr>
        <w:pStyle w:val="6"/>
        <w:spacing w:before="10"/>
        <w:ind w:left="0" w:firstLine="0"/>
        <w:jc w:val="left"/>
        <w:rPr>
          <w:sz w:val="16"/>
        </w:rPr>
      </w:pPr>
    </w:p>
    <w:p>
      <w:pPr>
        <w:pStyle w:val="6"/>
        <w:spacing w:line="295" w:lineRule="auto"/>
        <w:ind w:left="118" w:right="442"/>
        <w:rPr>
          <w:rFonts w:hint="eastAsia" w:ascii="MS UI Gothic" w:eastAsia="MS UI Gothic"/>
        </w:rPr>
      </w:pPr>
      <w:r>
        <w:rPr>
          <w:spacing w:val="10"/>
          <w:w w:val="110"/>
        </w:rPr>
        <w:t xml:space="preserve">第九十五条 采 </w:t>
      </w:r>
      <w:r>
        <w:rPr>
          <w:rFonts w:hint="eastAsia" w:ascii="MS UI Gothic" w:eastAsia="MS UI Gothic"/>
          <w:spacing w:val="-35"/>
          <w:w w:val="150"/>
        </w:rPr>
        <w:t xml:space="preserve">( </w:t>
      </w:r>
      <w:r>
        <w:rPr>
          <w:spacing w:val="13"/>
          <w:w w:val="110"/>
        </w:rPr>
        <w:t>盘</w:t>
      </w:r>
      <w:r>
        <w:rPr>
          <w:rFonts w:hint="eastAsia" w:ascii="MS UI Gothic" w:eastAsia="MS UI Gothic"/>
          <w:spacing w:val="3"/>
          <w:w w:val="150"/>
        </w:rPr>
        <w:t xml:space="preserve">) </w:t>
      </w:r>
      <w:r>
        <w:rPr>
          <w:spacing w:val="15"/>
          <w:w w:val="110"/>
        </w:rPr>
        <w:t>区开采前必</w:t>
      </w:r>
      <w:r>
        <w:rPr>
          <w:spacing w:val="2"/>
        </w:rPr>
        <w:t>须按照生产布局和资源回收合理的要求编</w:t>
      </w:r>
      <w:r>
        <w:rPr>
          <w:spacing w:val="-13"/>
          <w:w w:val="110"/>
        </w:rPr>
        <w:t xml:space="preserve">制采 </w:t>
      </w:r>
      <w:r>
        <w:rPr>
          <w:rFonts w:hint="eastAsia" w:ascii="MS UI Gothic" w:eastAsia="MS UI Gothic"/>
          <w:spacing w:val="-39"/>
          <w:w w:val="150"/>
        </w:rPr>
        <w:t xml:space="preserve">( </w:t>
      </w:r>
      <w:r>
        <w:rPr>
          <w:spacing w:val="3"/>
          <w:w w:val="110"/>
        </w:rPr>
        <w:t>盘</w:t>
      </w:r>
      <w:r>
        <w:rPr>
          <w:rFonts w:hint="eastAsia" w:ascii="MS UI Gothic" w:eastAsia="MS UI Gothic"/>
          <w:spacing w:val="-6"/>
          <w:w w:val="150"/>
        </w:rPr>
        <w:t xml:space="preserve">) </w:t>
      </w:r>
      <w:r>
        <w:rPr>
          <w:spacing w:val="3"/>
          <w:w w:val="110"/>
        </w:rPr>
        <w:t>区设计</w:t>
      </w:r>
      <w:r>
        <w:rPr>
          <w:rFonts w:hint="eastAsia" w:ascii="MS UI Gothic" w:eastAsia="MS UI Gothic"/>
          <w:spacing w:val="9"/>
          <w:w w:val="80"/>
        </w:rPr>
        <w:t xml:space="preserve">ꎬ </w:t>
      </w:r>
      <w:r>
        <w:rPr>
          <w:spacing w:val="-2"/>
          <w:w w:val="110"/>
        </w:rPr>
        <w:t xml:space="preserve">并严格按照采 </w:t>
      </w:r>
      <w:r>
        <w:rPr>
          <w:rFonts w:hint="eastAsia" w:ascii="MS UI Gothic" w:eastAsia="MS UI Gothic"/>
          <w:spacing w:val="-38"/>
          <w:w w:val="150"/>
        </w:rPr>
        <w:t xml:space="preserve">( </w:t>
      </w:r>
      <w:r>
        <w:rPr>
          <w:spacing w:val="7"/>
          <w:w w:val="110"/>
        </w:rPr>
        <w:t>盘</w:t>
      </w:r>
      <w:r>
        <w:rPr>
          <w:rFonts w:hint="eastAsia" w:ascii="MS UI Gothic" w:eastAsia="MS UI Gothic"/>
          <w:w w:val="150"/>
        </w:rPr>
        <w:t xml:space="preserve">) </w:t>
      </w:r>
      <w:r>
        <w:rPr>
          <w:spacing w:val="2"/>
        </w:rPr>
        <w:t>区设计组织施工情况发生变化时及时修改</w:t>
      </w:r>
      <w:r>
        <w:rPr>
          <w:spacing w:val="3"/>
          <w:w w:val="110"/>
        </w:rPr>
        <w:t>设计</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14"/>
          <w:w w:val="110"/>
        </w:rPr>
        <w:t xml:space="preserve">一个采 </w:t>
      </w:r>
      <w:r>
        <w:rPr>
          <w:rFonts w:hint="eastAsia" w:ascii="MS UI Gothic" w:eastAsia="MS UI Gothic"/>
          <w:spacing w:val="-39"/>
          <w:w w:val="150"/>
        </w:rPr>
        <w:t xml:space="preserve">( </w:t>
      </w:r>
      <w:r>
        <w:rPr>
          <w:spacing w:val="13"/>
          <w:w w:val="110"/>
        </w:rPr>
        <w:t>盘</w:t>
      </w:r>
      <w:r>
        <w:rPr>
          <w:rFonts w:hint="eastAsia" w:ascii="MS UI Gothic" w:eastAsia="MS UI Gothic"/>
          <w:spacing w:val="-14"/>
          <w:w w:val="150"/>
        </w:rPr>
        <w:t xml:space="preserve">) </w:t>
      </w:r>
      <w:r>
        <w:rPr>
          <w:spacing w:val="16"/>
          <w:w w:val="110"/>
        </w:rPr>
        <w:t>区内同一煤层的一翼</w:t>
      </w:r>
      <w:r>
        <w:rPr>
          <w:spacing w:val="-3"/>
          <w:w w:val="105"/>
        </w:rPr>
        <w:t xml:space="preserve">最多只能布置 </w:t>
      </w:r>
      <w:r>
        <w:rPr>
          <w:rFonts w:hint="eastAsia" w:ascii="MS UI Gothic" w:eastAsia="MS UI Gothic"/>
          <w:spacing w:val="4"/>
          <w:w w:val="80"/>
        </w:rPr>
        <w:t xml:space="preserve">１ </w:t>
      </w:r>
      <w:r>
        <w:rPr>
          <w:spacing w:val="7"/>
          <w:w w:val="105"/>
        </w:rPr>
        <w:t xml:space="preserve">个采煤工作面和 </w:t>
      </w:r>
      <w:r>
        <w:rPr>
          <w:rFonts w:hint="eastAsia" w:ascii="MS UI Gothic" w:eastAsia="MS UI Gothic"/>
          <w:spacing w:val="4"/>
          <w:w w:val="80"/>
        </w:rPr>
        <w:t xml:space="preserve">１ </w:t>
      </w:r>
      <w:r>
        <w:rPr>
          <w:spacing w:val="9"/>
          <w:w w:val="105"/>
        </w:rPr>
        <w:t xml:space="preserve">个煤 </w:t>
      </w:r>
      <w:r>
        <w:rPr>
          <w:rFonts w:hint="eastAsia" w:ascii="MS UI Gothic" w:eastAsia="MS UI Gothic"/>
          <w:spacing w:val="-20"/>
          <w:w w:val="105"/>
        </w:rPr>
        <w:t xml:space="preserve">( </w:t>
      </w:r>
      <w:r>
        <w:rPr>
          <w:spacing w:val="3"/>
          <w:w w:val="105"/>
        </w:rPr>
        <w:t>半煤岩</w:t>
      </w:r>
      <w:r>
        <w:rPr>
          <w:rFonts w:hint="eastAsia" w:ascii="MS UI Gothic" w:eastAsia="MS UI Gothic"/>
          <w:spacing w:val="21"/>
          <w:w w:val="105"/>
        </w:rPr>
        <w:t xml:space="preserve">) </w:t>
      </w:r>
      <w:r>
        <w:rPr>
          <w:spacing w:val="8"/>
          <w:w w:val="105"/>
        </w:rPr>
        <w:t>巷掘进工作面同时作业</w:t>
      </w:r>
      <w:r>
        <w:rPr>
          <w:rFonts w:hint="eastAsia" w:ascii="MS UI Gothic" w:eastAsia="MS UI Gothic"/>
          <w:spacing w:val="23"/>
          <w:w w:val="80"/>
        </w:rPr>
        <w:t xml:space="preserve">ꎮ </w:t>
      </w:r>
      <w:r>
        <w:rPr>
          <w:spacing w:val="5"/>
          <w:w w:val="105"/>
        </w:rPr>
        <w:t>一个</w:t>
      </w:r>
      <w:r>
        <w:rPr>
          <w:spacing w:val="-34"/>
          <w:w w:val="110"/>
        </w:rPr>
        <w:t xml:space="preserve">采 </w:t>
      </w:r>
      <w:r>
        <w:rPr>
          <w:rFonts w:hint="eastAsia" w:ascii="MS UI Gothic" w:eastAsia="MS UI Gothic"/>
          <w:spacing w:val="-39"/>
          <w:w w:val="140"/>
        </w:rPr>
        <w:t xml:space="preserve">( </w:t>
      </w:r>
      <w:r>
        <w:rPr>
          <w:spacing w:val="3"/>
          <w:w w:val="110"/>
        </w:rPr>
        <w:t>盘</w:t>
      </w:r>
      <w:r>
        <w:rPr>
          <w:rFonts w:hint="eastAsia" w:ascii="MS UI Gothic" w:eastAsia="MS UI Gothic"/>
          <w:spacing w:val="-21"/>
          <w:w w:val="140"/>
        </w:rPr>
        <w:t xml:space="preserve">) </w:t>
      </w:r>
      <w:r>
        <w:rPr>
          <w:spacing w:val="13"/>
          <w:w w:val="110"/>
        </w:rPr>
        <w:t>区内同一煤层双翼开采或者多</w:t>
      </w:r>
      <w:r>
        <w:rPr>
          <w:spacing w:val="6"/>
          <w:w w:val="110"/>
        </w:rPr>
        <w:t>煤层开采的</w:t>
      </w:r>
      <w:r>
        <w:rPr>
          <w:rFonts w:hint="eastAsia" w:ascii="MS UI Gothic" w:eastAsia="MS UI Gothic"/>
          <w:spacing w:val="2"/>
          <w:w w:val="80"/>
        </w:rPr>
        <w:t xml:space="preserve">ꎬ </w:t>
      </w:r>
      <w:r>
        <w:rPr>
          <w:spacing w:val="-13"/>
          <w:w w:val="110"/>
        </w:rPr>
        <w:t xml:space="preserve">该采 </w:t>
      </w:r>
      <w:r>
        <w:rPr>
          <w:rFonts w:hint="eastAsia" w:ascii="MS UI Gothic" w:eastAsia="MS UI Gothic"/>
          <w:spacing w:val="-39"/>
          <w:w w:val="150"/>
        </w:rPr>
        <w:t xml:space="preserve">( </w:t>
      </w:r>
      <w:r>
        <w:rPr>
          <w:spacing w:val="15"/>
          <w:w w:val="110"/>
        </w:rPr>
        <w:t>盘</w:t>
      </w:r>
      <w:r>
        <w:rPr>
          <w:rFonts w:hint="eastAsia" w:ascii="MS UI Gothic" w:eastAsia="MS UI Gothic"/>
          <w:spacing w:val="-15"/>
          <w:w w:val="150"/>
        </w:rPr>
        <w:t xml:space="preserve">) </w:t>
      </w:r>
      <w:r>
        <w:rPr>
          <w:spacing w:val="15"/>
          <w:w w:val="110"/>
        </w:rPr>
        <w:t>区最多只能布</w:t>
      </w:r>
      <w:r>
        <w:rPr>
          <w:spacing w:val="-26"/>
          <w:w w:val="110"/>
        </w:rPr>
        <w:t xml:space="preserve">置 </w:t>
      </w:r>
      <w:r>
        <w:rPr>
          <w:rFonts w:hint="eastAsia" w:ascii="MS UI Gothic" w:eastAsia="MS UI Gothic"/>
          <w:spacing w:val="1"/>
          <w:w w:val="80"/>
        </w:rPr>
        <w:t xml:space="preserve">２ </w:t>
      </w:r>
      <w:r>
        <w:rPr>
          <w:spacing w:val="7"/>
          <w:w w:val="110"/>
        </w:rPr>
        <w:t xml:space="preserve">个采煤工作面和 </w:t>
      </w:r>
      <w:r>
        <w:rPr>
          <w:rFonts w:hint="eastAsia" w:ascii="MS UI Gothic" w:eastAsia="MS UI Gothic"/>
          <w:spacing w:val="1"/>
          <w:w w:val="80"/>
        </w:rPr>
        <w:t xml:space="preserve">４ </w:t>
      </w:r>
      <w:r>
        <w:rPr>
          <w:spacing w:val="-5"/>
          <w:w w:val="110"/>
        </w:rPr>
        <w:t xml:space="preserve">个煤 </w:t>
      </w:r>
      <w:r>
        <w:rPr>
          <w:rFonts w:hint="eastAsia" w:ascii="MS UI Gothic" w:eastAsia="MS UI Gothic"/>
          <w:spacing w:val="-35"/>
          <w:w w:val="150"/>
        </w:rPr>
        <w:t xml:space="preserve">( </w:t>
      </w:r>
      <w:r>
        <w:rPr>
          <w:spacing w:val="19"/>
          <w:w w:val="110"/>
        </w:rPr>
        <w:t>半煤岩</w:t>
      </w:r>
      <w:r>
        <w:rPr>
          <w:rFonts w:hint="eastAsia" w:ascii="MS UI Gothic" w:eastAsia="MS UI Gothic"/>
          <w:w w:val="150"/>
        </w:rPr>
        <w:t xml:space="preserve">) </w:t>
      </w:r>
      <w:r>
        <w:rPr>
          <w:spacing w:val="3"/>
          <w:w w:val="110"/>
        </w:rPr>
        <w:t>巷掘进工作面同时作业</w:t>
      </w:r>
      <w:r>
        <w:rPr>
          <w:rFonts w:hint="eastAsia" w:ascii="MS UI Gothic" w:eastAsia="MS UI Gothic"/>
          <w:w w:val="80"/>
        </w:rPr>
        <w:t>ꎮ</w:t>
      </w:r>
    </w:p>
    <w:p>
      <w:pPr>
        <w:pStyle w:val="6"/>
        <w:spacing w:line="295" w:lineRule="auto"/>
        <w:ind w:left="118" w:right="442"/>
        <w:rPr>
          <w:rFonts w:hint="eastAsia" w:ascii="MS UI Gothic" w:eastAsia="MS UI Gothic"/>
        </w:rPr>
      </w:pPr>
      <w:r>
        <w:t>采掘过程中严禁任意扩大和缩小设计确定的煤柱</w:t>
      </w:r>
      <w:r>
        <w:rPr>
          <w:rFonts w:hint="eastAsia" w:ascii="MS UI Gothic" w:eastAsia="MS UI Gothic"/>
          <w:w w:val="80"/>
        </w:rPr>
        <w:t xml:space="preserve">ꎮ </w:t>
      </w:r>
      <w:r>
        <w:t>采空区内不得遗留未经设计</w:t>
      </w:r>
      <w:r>
        <w:rPr>
          <w:w w:val="105"/>
        </w:rPr>
        <w:t>确定的煤柱</w:t>
      </w:r>
      <w:r>
        <w:rPr>
          <w:rFonts w:hint="eastAsia" w:ascii="MS UI Gothic" w:eastAsia="MS UI Gothic"/>
          <w:w w:val="80"/>
        </w:rPr>
        <w:t>ꎮ</w:t>
      </w:r>
    </w:p>
    <w:p>
      <w:pPr>
        <w:pStyle w:val="6"/>
        <w:spacing w:line="295" w:lineRule="auto"/>
        <w:ind w:left="118" w:right="440"/>
        <w:jc w:val="left"/>
        <w:rPr>
          <w:rFonts w:hint="eastAsia" w:ascii="MS UI Gothic" w:eastAsia="MS UI Gothic"/>
        </w:rPr>
      </w:pPr>
      <w:r>
        <w:t>严禁任意变更设计确定的工业场地</w:t>
      </w:r>
      <w:r>
        <w:rPr>
          <w:rFonts w:hint="eastAsia" w:ascii="MS UI Gothic" w:eastAsia="MS UI Gothic"/>
          <w:w w:val="80"/>
        </w:rPr>
        <w:t>、</w:t>
      </w:r>
      <w:r>
        <w:t>矿界</w:t>
      </w:r>
      <w:r>
        <w:rPr>
          <w:rFonts w:hint="eastAsia" w:ascii="MS UI Gothic" w:eastAsia="MS UI Gothic"/>
          <w:w w:val="80"/>
        </w:rPr>
        <w:t xml:space="preserve">、 </w:t>
      </w:r>
      <w:r>
        <w:t>防水和井巷等的安全煤柱</w:t>
      </w:r>
      <w:r>
        <w:rPr>
          <w:rFonts w:hint="eastAsia" w:ascii="MS UI Gothic" w:eastAsia="MS UI Gothic"/>
          <w:w w:val="80"/>
        </w:rPr>
        <w:t>ꎮ</w:t>
      </w:r>
    </w:p>
    <w:p>
      <w:pPr>
        <w:pStyle w:val="6"/>
        <w:spacing w:line="255" w:lineRule="exact"/>
        <w:ind w:left="538" w:firstLine="0"/>
        <w:jc w:val="left"/>
        <w:rPr>
          <w:rFonts w:hint="eastAsia" w:ascii="MS UI Gothic" w:eastAsia="MS UI Gothic"/>
        </w:rPr>
      </w:pPr>
      <w:r>
        <w:t>严禁在高速铁路下开采安全煤柱</w:t>
      </w:r>
      <w:r>
        <w:rPr>
          <w:rFonts w:hint="eastAsia" w:ascii="MS UI Gothic" w:eastAsia="MS UI Gothic"/>
          <w:w w:val="80"/>
        </w:rPr>
        <w:t>ꎮ</w:t>
      </w:r>
    </w:p>
    <w:p>
      <w:pPr>
        <w:pStyle w:val="6"/>
        <w:spacing w:before="47" w:line="295" w:lineRule="auto"/>
        <w:ind w:left="118" w:right="442"/>
        <w:jc w:val="left"/>
        <w:rPr>
          <w:rFonts w:hint="eastAsia" w:ascii="MS UI Gothic" w:eastAsia="MS UI Gothic"/>
        </w:rPr>
      </w:pPr>
      <w:r>
        <w:t>下山采区未形成完整的通风</w:t>
      </w:r>
      <w:r>
        <w:rPr>
          <w:rFonts w:hint="eastAsia" w:ascii="MS UI Gothic" w:eastAsia="MS UI Gothic"/>
          <w:w w:val="80"/>
        </w:rPr>
        <w:t xml:space="preserve">、 </w:t>
      </w:r>
      <w:r>
        <w:t>排水等生产系统前</w:t>
      </w:r>
      <w:r>
        <w:rPr>
          <w:rFonts w:hint="eastAsia" w:ascii="MS UI Gothic" w:eastAsia="MS UI Gothic"/>
          <w:w w:val="80"/>
        </w:rPr>
        <w:t xml:space="preserve">ꎬ </w:t>
      </w:r>
      <w:r>
        <w:t>严禁掘进回采巷道</w:t>
      </w:r>
      <w:r>
        <w:rPr>
          <w:rFonts w:hint="eastAsia" w:ascii="MS UI Gothic" w:eastAsia="MS UI Gothic"/>
          <w:w w:val="80"/>
        </w:rPr>
        <w:t>ꎮ</w:t>
      </w:r>
    </w:p>
    <w:p>
      <w:pPr>
        <w:pStyle w:val="6"/>
        <w:spacing w:line="295" w:lineRule="auto"/>
        <w:ind w:left="118" w:right="442"/>
        <w:rPr>
          <w:rFonts w:hint="eastAsia" w:ascii="MS UI Gothic" w:eastAsia="MS UI Gothic"/>
        </w:rPr>
      </w:pPr>
      <w:r>
        <w:t>第九十六条 采煤工作面回采前必须编制作业规程</w:t>
      </w:r>
      <w:r>
        <w:rPr>
          <w:rFonts w:hint="eastAsia" w:ascii="MS UI Gothic" w:eastAsia="MS UI Gothic"/>
          <w:w w:val="80"/>
        </w:rPr>
        <w:t xml:space="preserve">ꎮ </w:t>
      </w:r>
      <w:r>
        <w:t>情况发生变化时</w:t>
      </w:r>
      <w:r>
        <w:rPr>
          <w:rFonts w:hint="eastAsia" w:ascii="MS UI Gothic" w:eastAsia="MS UI Gothic"/>
          <w:w w:val="80"/>
        </w:rPr>
        <w:t xml:space="preserve">ꎬ </w:t>
      </w:r>
      <w:r>
        <w:t>必须及时修改作业规程或者补充安全措施</w:t>
      </w:r>
      <w:r>
        <w:rPr>
          <w:rFonts w:hint="eastAsia" w:ascii="MS UI Gothic" w:eastAsia="MS UI Gothic"/>
          <w:w w:val="80"/>
        </w:rPr>
        <w:t>ꎮ</w:t>
      </w:r>
    </w:p>
    <w:p>
      <w:pPr>
        <w:pStyle w:val="6"/>
        <w:spacing w:line="295" w:lineRule="auto"/>
        <w:ind w:left="118" w:right="442"/>
        <w:rPr>
          <w:rFonts w:hint="eastAsia" w:ascii="MS UI Gothic" w:eastAsia="MS UI Gothic"/>
        </w:rPr>
      </w:pPr>
      <w:r>
        <w:t xml:space="preserve">第九十七条 采煤工作面必须保持至少 </w:t>
      </w:r>
      <w:r>
        <w:rPr>
          <w:rFonts w:hint="eastAsia" w:ascii="MS UI Gothic" w:eastAsia="MS UI Gothic"/>
          <w:w w:val="80"/>
        </w:rPr>
        <w:t xml:space="preserve">２ </w:t>
      </w:r>
      <w:r>
        <w:t>个畅通的安全出口</w:t>
      </w:r>
      <w:r>
        <w:rPr>
          <w:rFonts w:hint="eastAsia" w:ascii="MS UI Gothic" w:eastAsia="MS UI Gothic"/>
          <w:w w:val="80"/>
        </w:rPr>
        <w:t xml:space="preserve">ꎬ </w:t>
      </w:r>
      <w:r>
        <w:t>一个通到进风巷道</w:t>
      </w:r>
      <w:r>
        <w:rPr>
          <w:rFonts w:hint="eastAsia" w:ascii="MS UI Gothic" w:eastAsia="MS UI Gothic"/>
          <w:w w:val="80"/>
        </w:rPr>
        <w:t xml:space="preserve">ꎬ </w:t>
      </w:r>
      <w:r>
        <w:t>另一个通到回风巷道</w:t>
      </w:r>
      <w:r>
        <w:rPr>
          <w:rFonts w:hint="eastAsia" w:ascii="MS UI Gothic" w:eastAsia="MS UI Gothic"/>
          <w:w w:val="80"/>
        </w:rPr>
        <w:t>ꎮ</w:t>
      </w:r>
    </w:p>
    <w:p>
      <w:pPr>
        <w:pStyle w:val="6"/>
        <w:spacing w:line="295" w:lineRule="auto"/>
        <w:ind w:left="118" w:right="442"/>
      </w:pPr>
      <w:r>
        <w:t>采煤工作面所有安全出口与巷道连接处超前压力影响范围内必须加强支护</w:t>
      </w:r>
      <w:r>
        <w:rPr>
          <w:rFonts w:hint="eastAsia" w:ascii="MS UI Gothic" w:eastAsia="MS UI Gothic"/>
          <w:w w:val="85"/>
        </w:rPr>
        <w:t xml:space="preserve">ꎬ </w:t>
      </w:r>
      <w:r>
        <w:t xml:space="preserve">且加强支护的巷道长度不得小于 </w:t>
      </w:r>
      <w:r>
        <w:rPr>
          <w:rFonts w:hint="eastAsia" w:ascii="MS UI Gothic" w:eastAsia="MS UI Gothic"/>
          <w:w w:val="85"/>
        </w:rPr>
        <w:t xml:space="preserve">２０ ｍꎻ </w:t>
      </w:r>
      <w:r>
        <w:t>综合机械化采煤工作面</w:t>
      </w:r>
      <w:r>
        <w:rPr>
          <w:rFonts w:hint="eastAsia" w:ascii="MS UI Gothic" w:eastAsia="MS UI Gothic"/>
          <w:w w:val="85"/>
        </w:rPr>
        <w:t xml:space="preserve">ꎬ </w:t>
      </w:r>
      <w:r>
        <w:t xml:space="preserve">此范围内的巷道高度不得低于 </w:t>
      </w:r>
      <w:r>
        <w:rPr>
          <w:rFonts w:hint="eastAsia" w:ascii="MS UI Gothic" w:eastAsia="MS UI Gothic"/>
          <w:w w:val="85"/>
        </w:rPr>
        <w:t xml:space="preserve">１ ８ ｍꎬ </w:t>
      </w:r>
      <w:r>
        <w:t>其他采煤工作面</w:t>
      </w:r>
      <w:r>
        <w:rPr>
          <w:rFonts w:hint="eastAsia" w:ascii="MS UI Gothic" w:eastAsia="MS UI Gothic"/>
          <w:w w:val="85"/>
        </w:rPr>
        <w:t xml:space="preserve">ꎬ </w:t>
      </w:r>
      <w:r>
        <w:t xml:space="preserve">此范围内的巷道高度不得低于 </w:t>
      </w:r>
      <w:r>
        <w:rPr>
          <w:rFonts w:hint="eastAsia" w:ascii="MS UI Gothic" w:eastAsia="MS UI Gothic"/>
          <w:w w:val="85"/>
        </w:rPr>
        <w:t xml:space="preserve">１ ６ ｍꎮ </w:t>
      </w:r>
      <w:r>
        <w:t>安全出口和与之相连接的巷道必须设专人维</w:t>
      </w:r>
    </w:p>
    <w:p>
      <w:pPr>
        <w:spacing w:after="0" w:line="295" w:lineRule="auto"/>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２５１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81" o:spid="_x0000_s1781" o:spt="203" style="height:2.15pt;width:398.25pt;" coordsize="7965,43">
            <o:lock v:ext="edit"/>
            <v:line id="_x0000_s1782" o:spid="_x0000_s1782" o:spt="20" style="position:absolute;left:0;top:39;height:0;width:7965;" stroked="t" coordsize="21600,21600">
              <v:path arrowok="t"/>
              <v:fill focussize="0,0"/>
              <v:stroke weight="0.388031496062992pt" color="#231F20"/>
              <v:imagedata o:title=""/>
              <o:lock v:ext="edit"/>
            </v:line>
            <v:line id="_x0000_s1783" o:spid="_x0000_s178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rPr>
          <w:spacing w:val="3"/>
        </w:rPr>
        <w:t>护</w:t>
      </w:r>
      <w:r>
        <w:rPr>
          <w:rFonts w:hint="eastAsia" w:ascii="MS UI Gothic" w:eastAsia="MS UI Gothic"/>
          <w:spacing w:val="4"/>
          <w:w w:val="80"/>
        </w:rPr>
        <w:t xml:space="preserve">ꎬ </w:t>
      </w:r>
      <w:r>
        <w:rPr>
          <w:spacing w:val="15"/>
        </w:rPr>
        <w:t>发生支架断梁折柱</w:t>
      </w:r>
      <w:r>
        <w:rPr>
          <w:rFonts w:hint="eastAsia" w:ascii="MS UI Gothic" w:eastAsia="MS UI Gothic"/>
          <w:spacing w:val="28"/>
        </w:rPr>
        <w:t xml:space="preserve">、 </w:t>
      </w:r>
      <w:r>
        <w:rPr>
          <w:spacing w:val="17"/>
        </w:rPr>
        <w:t>巷道底鼓变形</w:t>
      </w:r>
      <w:r>
        <w:rPr>
          <w:spacing w:val="3"/>
        </w:rPr>
        <w:t>时</w:t>
      </w:r>
      <w:r>
        <w:rPr>
          <w:rFonts w:hint="eastAsia" w:ascii="MS UI Gothic" w:eastAsia="MS UI Gothic"/>
          <w:spacing w:val="1"/>
          <w:w w:val="80"/>
        </w:rPr>
        <w:t xml:space="preserve">ꎬ </w:t>
      </w:r>
      <w:r>
        <w:rPr>
          <w:spacing w:val="3"/>
        </w:rPr>
        <w:t>必须及时更换</w:t>
      </w:r>
      <w:r>
        <w:rPr>
          <w:rFonts w:hint="eastAsia" w:ascii="MS UI Gothic" w:eastAsia="MS UI Gothic"/>
          <w:spacing w:val="19"/>
        </w:rPr>
        <w:t xml:space="preserve">、 </w:t>
      </w:r>
      <w:r>
        <w:rPr>
          <w:spacing w:val="3"/>
        </w:rPr>
        <w:t>清挖</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spacing w:val="3"/>
        </w:rPr>
        <w:t>采煤工作面必须正规开采</w:t>
      </w:r>
      <w:r>
        <w:rPr>
          <w:rFonts w:hint="eastAsia" w:ascii="MS UI Gothic" w:eastAsia="MS UI Gothic"/>
          <w:spacing w:val="16"/>
          <w:w w:val="80"/>
        </w:rPr>
        <w:t xml:space="preserve">ꎬ </w:t>
      </w:r>
      <w:r>
        <w:rPr>
          <w:spacing w:val="2"/>
        </w:rPr>
        <w:t>严禁采用</w:t>
      </w:r>
      <w:r>
        <w:rPr>
          <w:spacing w:val="3"/>
        </w:rPr>
        <w:t>国家明令禁止的采煤方法</w:t>
      </w:r>
      <w:r>
        <w:rPr>
          <w:rFonts w:hint="eastAsia" w:ascii="MS UI Gothic" w:eastAsia="MS UI Gothic"/>
          <w:w w:val="80"/>
        </w:rPr>
        <w:t>ꎮ</w:t>
      </w:r>
    </w:p>
    <w:p>
      <w:pPr>
        <w:pStyle w:val="6"/>
        <w:spacing w:line="295" w:lineRule="auto"/>
        <w:ind w:left="440" w:right="1"/>
        <w:jc w:val="left"/>
        <w:rPr>
          <w:rFonts w:hint="eastAsia" w:ascii="MS UI Gothic" w:eastAsia="MS UI Gothic"/>
        </w:rPr>
      </w:pPr>
      <w:r>
        <w:t>高瓦斯</w:t>
      </w:r>
      <w:r>
        <w:rPr>
          <w:rFonts w:hint="eastAsia" w:ascii="MS UI Gothic" w:eastAsia="MS UI Gothic"/>
          <w:w w:val="80"/>
        </w:rPr>
        <w:t xml:space="preserve">、 </w:t>
      </w:r>
      <w:r>
        <w:t>突出</w:t>
      </w:r>
      <w:r>
        <w:rPr>
          <w:rFonts w:hint="eastAsia" w:ascii="MS UI Gothic" w:eastAsia="MS UI Gothic"/>
          <w:w w:val="80"/>
        </w:rPr>
        <w:t xml:space="preserve">、 </w:t>
      </w:r>
      <w:r>
        <w:t>有容易自燃或者自燃煤层的矿井</w:t>
      </w:r>
      <w:r>
        <w:rPr>
          <w:rFonts w:hint="eastAsia" w:ascii="MS UI Gothic" w:eastAsia="MS UI Gothic"/>
          <w:w w:val="80"/>
        </w:rPr>
        <w:t xml:space="preserve">ꎬ </w:t>
      </w:r>
      <w:r>
        <w:t>不得采用前进式采煤方法</w:t>
      </w:r>
      <w:r>
        <w:rPr>
          <w:rFonts w:hint="eastAsia" w:ascii="MS UI Gothic" w:eastAsia="MS UI Gothic"/>
          <w:w w:val="80"/>
        </w:rPr>
        <w:t>ꎮ</w:t>
      </w:r>
    </w:p>
    <w:p>
      <w:pPr>
        <w:pStyle w:val="6"/>
        <w:spacing w:line="295" w:lineRule="auto"/>
        <w:ind w:left="440" w:right="1"/>
        <w:rPr>
          <w:rFonts w:hint="eastAsia" w:ascii="MS UI Gothic" w:eastAsia="MS UI Gothic"/>
        </w:rPr>
      </w:pPr>
      <w:r>
        <w:t>第九十八条 采煤工作面不得任意留顶煤和底煤</w:t>
      </w:r>
      <w:r>
        <w:rPr>
          <w:rFonts w:hint="eastAsia" w:ascii="MS UI Gothic" w:eastAsia="MS UI Gothic"/>
          <w:w w:val="80"/>
        </w:rPr>
        <w:t xml:space="preserve">ꎬ </w:t>
      </w:r>
      <w:r>
        <w:t>伞檐不得超过作业规程的规定</w:t>
      </w:r>
      <w:r>
        <w:rPr>
          <w:rFonts w:hint="eastAsia" w:ascii="MS UI Gothic" w:eastAsia="MS UI Gothic"/>
          <w:w w:val="80"/>
        </w:rPr>
        <w:t xml:space="preserve">ꎬ </w:t>
      </w:r>
      <w:r>
        <w:t>采煤工作面的浮煤应当清理干净</w:t>
      </w:r>
      <w:r>
        <w:rPr>
          <w:rFonts w:hint="eastAsia" w:ascii="MS UI Gothic" w:eastAsia="MS UI Gothic"/>
          <w:w w:val="80"/>
        </w:rPr>
        <w:t>ꎮ</w:t>
      </w:r>
    </w:p>
    <w:p>
      <w:pPr>
        <w:pStyle w:val="6"/>
        <w:spacing w:line="295" w:lineRule="auto"/>
        <w:ind w:left="440" w:right="1"/>
        <w:rPr>
          <w:rFonts w:hint="eastAsia" w:ascii="MS UI Gothic" w:eastAsia="MS UI Gothic"/>
        </w:rPr>
      </w:pPr>
      <w:r>
        <w:t>第九十九条 台阶采煤工作面必须设置安全脚手板</w:t>
      </w:r>
      <w:r>
        <w:rPr>
          <w:rFonts w:hint="eastAsia" w:ascii="MS UI Gothic" w:eastAsia="MS UI Gothic"/>
          <w:w w:val="80"/>
        </w:rPr>
        <w:t xml:space="preserve">、 </w:t>
      </w:r>
      <w:r>
        <w:t>护身板和溜煤板</w:t>
      </w:r>
      <w:r>
        <w:rPr>
          <w:rFonts w:hint="eastAsia" w:ascii="MS UI Gothic" w:eastAsia="MS UI Gothic"/>
          <w:w w:val="80"/>
        </w:rPr>
        <w:t xml:space="preserve">ꎮ </w:t>
      </w:r>
      <w:r>
        <w:t>倒台阶采煤工作面</w:t>
      </w:r>
      <w:r>
        <w:rPr>
          <w:rFonts w:hint="eastAsia" w:ascii="MS UI Gothic" w:eastAsia="MS UI Gothic"/>
          <w:w w:val="80"/>
        </w:rPr>
        <w:t xml:space="preserve">ꎬ </w:t>
      </w:r>
      <w:r>
        <w:t>还必须在台阶的底脚加设保护台板</w:t>
      </w:r>
      <w:r>
        <w:rPr>
          <w:rFonts w:hint="eastAsia" w:ascii="MS UI Gothic" w:eastAsia="MS UI Gothic"/>
          <w:w w:val="80"/>
        </w:rPr>
        <w:t>ꎮ</w:t>
      </w:r>
    </w:p>
    <w:p>
      <w:pPr>
        <w:pStyle w:val="6"/>
        <w:spacing w:line="295" w:lineRule="auto"/>
        <w:ind w:left="440" w:right="1"/>
        <w:rPr>
          <w:rFonts w:hint="eastAsia" w:ascii="MS UI Gothic" w:eastAsia="MS UI Gothic"/>
        </w:rPr>
      </w:pPr>
      <w:r>
        <w:t>阶檐的宽度</w:t>
      </w:r>
      <w:r>
        <w:rPr>
          <w:rFonts w:hint="eastAsia" w:ascii="MS UI Gothic" w:eastAsia="MS UI Gothic"/>
          <w:w w:val="80"/>
        </w:rPr>
        <w:t xml:space="preserve">、 </w:t>
      </w:r>
      <w:r>
        <w:t>台阶面长度和下部超前小眼的个数</w:t>
      </w:r>
      <w:r>
        <w:rPr>
          <w:rFonts w:hint="eastAsia" w:ascii="MS UI Gothic" w:eastAsia="MS UI Gothic"/>
          <w:w w:val="80"/>
        </w:rPr>
        <w:t xml:space="preserve">ꎬ </w:t>
      </w:r>
      <w:r>
        <w:t>必须在作业规程中规定</w:t>
      </w:r>
      <w:r>
        <w:rPr>
          <w:rFonts w:hint="eastAsia" w:ascii="MS UI Gothic" w:eastAsia="MS UI Gothic"/>
          <w:w w:val="80"/>
        </w:rPr>
        <w:t>ꎮ</w:t>
      </w:r>
    </w:p>
    <w:p>
      <w:pPr>
        <w:pStyle w:val="6"/>
        <w:spacing w:line="295" w:lineRule="auto"/>
        <w:ind w:left="440" w:right="1"/>
        <w:rPr>
          <w:rFonts w:hint="eastAsia" w:ascii="MS UI Gothic" w:eastAsia="MS UI Gothic"/>
        </w:rPr>
      </w:pPr>
      <w:r>
        <w:t>第一百条 采煤工作面必须存有一定数量的备用支护材料</w:t>
      </w:r>
      <w:r>
        <w:rPr>
          <w:rFonts w:hint="eastAsia" w:ascii="MS UI Gothic" w:eastAsia="MS UI Gothic"/>
          <w:w w:val="80"/>
        </w:rPr>
        <w:t xml:space="preserve">ꎮ </w:t>
      </w:r>
      <w:r>
        <w:t>严禁使用折损的坑木</w:t>
      </w:r>
      <w:r>
        <w:rPr>
          <w:rFonts w:hint="eastAsia" w:ascii="MS UI Gothic" w:eastAsia="MS UI Gothic"/>
          <w:w w:val="80"/>
        </w:rPr>
        <w:t xml:space="preserve">、 </w:t>
      </w:r>
      <w:r>
        <w:t>损坏的金属顶梁</w:t>
      </w:r>
      <w:r>
        <w:rPr>
          <w:rFonts w:hint="eastAsia" w:ascii="MS UI Gothic" w:eastAsia="MS UI Gothic"/>
          <w:w w:val="80"/>
        </w:rPr>
        <w:t xml:space="preserve">、 </w:t>
      </w:r>
      <w:r>
        <w:t>失效的单体液压支柱</w:t>
      </w:r>
      <w:r>
        <w:rPr>
          <w:rFonts w:hint="eastAsia" w:ascii="MS UI Gothic" w:eastAsia="MS UI Gothic"/>
          <w:w w:val="80"/>
        </w:rPr>
        <w:t>ꎮ</w:t>
      </w:r>
    </w:p>
    <w:p>
      <w:pPr>
        <w:pStyle w:val="6"/>
        <w:spacing w:line="295" w:lineRule="auto"/>
        <w:ind w:left="440"/>
        <w:rPr>
          <w:rFonts w:hint="eastAsia" w:ascii="MS UI Gothic" w:eastAsia="MS UI Gothic"/>
        </w:rPr>
      </w:pPr>
      <w:r>
        <w:t>在同一采煤工作面中</w:t>
      </w:r>
      <w:r>
        <w:rPr>
          <w:rFonts w:hint="eastAsia" w:ascii="MS UI Gothic" w:eastAsia="MS UI Gothic"/>
          <w:w w:val="80"/>
        </w:rPr>
        <w:t xml:space="preserve">ꎬ </w:t>
      </w:r>
      <w:r>
        <w:t>不得使用不同类型和不同性能的支柱</w:t>
      </w:r>
      <w:r>
        <w:rPr>
          <w:rFonts w:hint="eastAsia" w:ascii="MS UI Gothic" w:eastAsia="MS UI Gothic"/>
          <w:w w:val="80"/>
        </w:rPr>
        <w:t xml:space="preserve">ꎮ </w:t>
      </w:r>
      <w:r>
        <w:t>在地质条件复杂的采煤工作面中使用不同类型的支柱时</w:t>
      </w:r>
      <w:r>
        <w:rPr>
          <w:rFonts w:hint="eastAsia" w:ascii="MS UI Gothic" w:eastAsia="MS UI Gothic"/>
          <w:w w:val="80"/>
        </w:rPr>
        <w:t>ꎬ</w:t>
      </w:r>
      <w:r>
        <w:t>必须制定安全措施</w:t>
      </w:r>
      <w:r>
        <w:rPr>
          <w:rFonts w:hint="eastAsia" w:ascii="MS UI Gothic" w:eastAsia="MS UI Gothic"/>
          <w:w w:val="80"/>
        </w:rPr>
        <w:t>ꎮ</w:t>
      </w:r>
    </w:p>
    <w:p>
      <w:pPr>
        <w:pStyle w:val="6"/>
        <w:spacing w:line="295" w:lineRule="auto"/>
        <w:ind w:left="440" w:right="1"/>
        <w:jc w:val="left"/>
        <w:rPr>
          <w:rFonts w:hint="eastAsia" w:ascii="MS UI Gothic" w:eastAsia="MS UI Gothic"/>
        </w:rPr>
      </w:pPr>
      <w:r>
        <w:t>单体液压支柱入井前必须逐根进行压</w:t>
      </w:r>
      <w:r>
        <w:rPr>
          <w:w w:val="105"/>
        </w:rPr>
        <w:t>力试验</w:t>
      </w:r>
      <w:r>
        <w:rPr>
          <w:rFonts w:hint="eastAsia" w:ascii="MS UI Gothic" w:eastAsia="MS UI Gothic"/>
          <w:w w:val="80"/>
        </w:rPr>
        <w:t>ꎮ</w:t>
      </w:r>
    </w:p>
    <w:p>
      <w:pPr>
        <w:pStyle w:val="6"/>
        <w:spacing w:line="295" w:lineRule="auto"/>
        <w:ind w:left="440" w:right="1"/>
        <w:rPr>
          <w:rFonts w:hint="eastAsia" w:ascii="MS UI Gothic" w:eastAsia="MS UI Gothic"/>
        </w:rPr>
      </w:pPr>
      <w:r>
        <w:t>对金属顶梁和单体液压支柱</w:t>
      </w:r>
      <w:r>
        <w:rPr>
          <w:rFonts w:hint="eastAsia" w:ascii="MS UI Gothic" w:eastAsia="MS UI Gothic"/>
          <w:w w:val="80"/>
        </w:rPr>
        <w:t xml:space="preserve">ꎬ </w:t>
      </w:r>
      <w:r>
        <w:t xml:space="preserve">在采煤工作面回采结束后或者使用时间超过 </w:t>
      </w:r>
      <w:r>
        <w:rPr>
          <w:rFonts w:hint="eastAsia" w:ascii="MS UI Gothic" w:eastAsia="MS UI Gothic"/>
          <w:w w:val="80"/>
        </w:rPr>
        <w:t xml:space="preserve">８ </w:t>
      </w:r>
      <w:r>
        <w:t>个月后</w:t>
      </w:r>
      <w:r>
        <w:rPr>
          <w:rFonts w:hint="eastAsia" w:ascii="MS UI Gothic" w:eastAsia="MS UI Gothic"/>
          <w:w w:val="80"/>
        </w:rPr>
        <w:t xml:space="preserve">ꎬ </w:t>
      </w:r>
      <w:r>
        <w:t>必须进行检修</w:t>
      </w:r>
      <w:r>
        <w:rPr>
          <w:rFonts w:hint="eastAsia" w:ascii="MS UI Gothic" w:eastAsia="MS UI Gothic"/>
          <w:w w:val="80"/>
        </w:rPr>
        <w:t xml:space="preserve">ꎮ </w:t>
      </w:r>
      <w:r>
        <w:t>检修好的支柱</w:t>
      </w:r>
      <w:r>
        <w:rPr>
          <w:rFonts w:hint="eastAsia" w:ascii="MS UI Gothic" w:eastAsia="MS UI Gothic"/>
          <w:w w:val="80"/>
        </w:rPr>
        <w:t xml:space="preserve">ꎬ </w:t>
      </w:r>
      <w:r>
        <w:t>还必须进行压力试验</w:t>
      </w:r>
      <w:r>
        <w:rPr>
          <w:rFonts w:hint="eastAsia" w:ascii="MS UI Gothic" w:eastAsia="MS UI Gothic"/>
          <w:w w:val="80"/>
        </w:rPr>
        <w:t xml:space="preserve">ꎬ </w:t>
      </w:r>
      <w:r>
        <w:t>合格后方可使用</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 xml:space="preserve">采煤工作面严禁使用木支柱 </w:t>
      </w:r>
      <w:r>
        <w:rPr>
          <w:rFonts w:hint="eastAsia" w:ascii="MS UI Gothic" w:eastAsia="MS UI Gothic"/>
          <w:w w:val="150"/>
        </w:rPr>
        <w:t xml:space="preserve">( </w:t>
      </w:r>
      <w:r>
        <w:rPr>
          <w:w w:val="105"/>
        </w:rPr>
        <w:t>极薄煤层除外</w:t>
      </w:r>
      <w:r>
        <w:rPr>
          <w:rFonts w:hint="eastAsia" w:ascii="MS UI Gothic" w:eastAsia="MS UI Gothic"/>
          <w:w w:val="150"/>
        </w:rPr>
        <w:t xml:space="preserve">) </w:t>
      </w:r>
      <w:r>
        <w:rPr>
          <w:w w:val="105"/>
        </w:rPr>
        <w:t>和金属摩擦支柱支护</w:t>
      </w:r>
      <w:r>
        <w:rPr>
          <w:rFonts w:hint="eastAsia" w:ascii="MS UI Gothic" w:eastAsia="MS UI Gothic"/>
          <w:w w:val="80"/>
        </w:rPr>
        <w:t>ꎮ</w:t>
      </w:r>
    </w:p>
    <w:p>
      <w:pPr>
        <w:pStyle w:val="6"/>
        <w:spacing w:line="295" w:lineRule="auto"/>
        <w:ind w:left="440"/>
      </w:pPr>
      <w:r>
        <w:rPr>
          <w:spacing w:val="2"/>
          <w:w w:val="95"/>
        </w:rPr>
        <w:t>第一百零一条   采煤工作面必须及时</w:t>
      </w:r>
      <w:r>
        <w:rPr>
          <w:spacing w:val="3"/>
          <w:w w:val="95"/>
        </w:rPr>
        <w:t>支护</w:t>
      </w:r>
      <w:r>
        <w:rPr>
          <w:rFonts w:hint="eastAsia" w:ascii="MS UI Gothic" w:eastAsia="MS UI Gothic"/>
          <w:spacing w:val="20"/>
          <w:w w:val="90"/>
        </w:rPr>
        <w:t xml:space="preserve">ꎬ </w:t>
      </w:r>
      <w:r>
        <w:rPr>
          <w:spacing w:val="3"/>
          <w:w w:val="95"/>
        </w:rPr>
        <w:t>严禁空顶作业</w:t>
      </w:r>
      <w:r>
        <w:rPr>
          <w:rFonts w:hint="eastAsia" w:ascii="MS UI Gothic" w:eastAsia="MS UI Gothic"/>
          <w:spacing w:val="20"/>
          <w:w w:val="90"/>
        </w:rPr>
        <w:t xml:space="preserve">ꎮ </w:t>
      </w:r>
      <w:r>
        <w:rPr>
          <w:spacing w:val="2"/>
          <w:w w:val="95"/>
        </w:rPr>
        <w:t>所有支架必须架设</w:t>
      </w:r>
      <w:r>
        <w:rPr>
          <w:spacing w:val="3"/>
          <w:w w:val="95"/>
        </w:rPr>
        <w:t>牢固</w:t>
      </w:r>
      <w:r>
        <w:rPr>
          <w:rFonts w:hint="eastAsia" w:ascii="MS UI Gothic" w:eastAsia="MS UI Gothic"/>
          <w:spacing w:val="20"/>
          <w:w w:val="90"/>
        </w:rPr>
        <w:t xml:space="preserve">ꎬ </w:t>
      </w:r>
      <w:r>
        <w:rPr>
          <w:spacing w:val="3"/>
          <w:w w:val="95"/>
        </w:rPr>
        <w:t>并有防倒措施</w:t>
      </w:r>
      <w:r>
        <w:rPr>
          <w:rFonts w:hint="eastAsia" w:ascii="MS UI Gothic" w:eastAsia="MS UI Gothic"/>
          <w:spacing w:val="20"/>
          <w:w w:val="90"/>
        </w:rPr>
        <w:t xml:space="preserve">ꎮ </w:t>
      </w:r>
      <w:r>
        <w:rPr>
          <w:spacing w:val="2"/>
          <w:w w:val="95"/>
        </w:rPr>
        <w:t>严禁在浮煤或者浮</w:t>
      </w:r>
      <w:r>
        <w:rPr>
          <w:spacing w:val="3"/>
          <w:w w:val="95"/>
        </w:rPr>
        <w:t>矸上架设支架</w:t>
      </w:r>
      <w:r>
        <w:rPr>
          <w:rFonts w:hint="eastAsia" w:ascii="MS UI Gothic" w:eastAsia="MS UI Gothic"/>
          <w:spacing w:val="17"/>
          <w:w w:val="90"/>
        </w:rPr>
        <w:t xml:space="preserve">ꎮ </w:t>
      </w:r>
      <w:r>
        <w:rPr>
          <w:spacing w:val="12"/>
          <w:w w:val="95"/>
        </w:rPr>
        <w:t>单体液压支柱的初撑力</w:t>
      </w:r>
      <w:r>
        <w:rPr>
          <w:rFonts w:hint="eastAsia" w:ascii="MS UI Gothic" w:eastAsia="MS UI Gothic"/>
          <w:w w:val="90"/>
        </w:rPr>
        <w:t>ꎬ</w:t>
      </w:r>
      <w:r>
        <w:rPr>
          <w:spacing w:val="-14"/>
          <w:w w:val="95"/>
        </w:rPr>
        <w:t xml:space="preserve">柱径为 </w:t>
      </w:r>
      <w:r>
        <w:rPr>
          <w:rFonts w:hint="eastAsia" w:ascii="MS UI Gothic" w:eastAsia="MS UI Gothic"/>
          <w:spacing w:val="1"/>
          <w:w w:val="95"/>
        </w:rPr>
        <w:t xml:space="preserve">１００ </w:t>
      </w:r>
      <w:r>
        <w:rPr>
          <w:rFonts w:hint="eastAsia" w:ascii="MS UI Gothic" w:eastAsia="MS UI Gothic"/>
          <w:w w:val="95"/>
        </w:rPr>
        <w:t xml:space="preserve">ｍｍ </w:t>
      </w:r>
      <w:r>
        <w:rPr>
          <w:w w:val="95"/>
        </w:rPr>
        <w:t xml:space="preserve">的不得小于 </w:t>
      </w:r>
      <w:r>
        <w:rPr>
          <w:rFonts w:hint="eastAsia" w:ascii="MS UI Gothic" w:eastAsia="MS UI Gothic"/>
          <w:spacing w:val="2"/>
          <w:w w:val="95"/>
        </w:rPr>
        <w:t xml:space="preserve">９０ </w:t>
      </w:r>
      <w:r>
        <w:rPr>
          <w:rFonts w:hint="eastAsia" w:ascii="MS UI Gothic" w:eastAsia="MS UI Gothic"/>
          <w:w w:val="95"/>
        </w:rPr>
        <w:t>ｋＮ</w:t>
      </w:r>
      <w:r>
        <w:rPr>
          <w:rFonts w:hint="eastAsia" w:ascii="MS UI Gothic" w:eastAsia="MS UI Gothic"/>
          <w:spacing w:val="14"/>
          <w:w w:val="90"/>
        </w:rPr>
        <w:t xml:space="preserve">ꎬ </w:t>
      </w:r>
      <w:r>
        <w:rPr>
          <w:spacing w:val="7"/>
          <w:w w:val="95"/>
        </w:rPr>
        <w:t>柱径</w:t>
      </w:r>
      <w:r>
        <w:rPr>
          <w:spacing w:val="-25"/>
          <w:w w:val="95"/>
        </w:rPr>
        <w:t xml:space="preserve">为 </w:t>
      </w:r>
      <w:r>
        <w:rPr>
          <w:rFonts w:hint="eastAsia" w:ascii="MS UI Gothic" w:eastAsia="MS UI Gothic"/>
          <w:w w:val="95"/>
        </w:rPr>
        <w:t xml:space="preserve">８０ ｍｍ </w:t>
      </w:r>
      <w:r>
        <w:rPr>
          <w:spacing w:val="-8"/>
          <w:w w:val="95"/>
        </w:rPr>
        <w:t xml:space="preserve">的不得小于 </w:t>
      </w:r>
      <w:r>
        <w:rPr>
          <w:rFonts w:hint="eastAsia" w:ascii="MS UI Gothic" w:eastAsia="MS UI Gothic"/>
          <w:w w:val="95"/>
        </w:rPr>
        <w:t>６０ ｋＮ</w:t>
      </w:r>
      <w:r>
        <w:rPr>
          <w:rFonts w:hint="eastAsia" w:ascii="MS UI Gothic" w:eastAsia="MS UI Gothic"/>
          <w:spacing w:val="14"/>
          <w:w w:val="90"/>
        </w:rPr>
        <w:t xml:space="preserve">ꎮ </w:t>
      </w:r>
      <w:r>
        <w:rPr>
          <w:spacing w:val="3"/>
          <w:w w:val="95"/>
        </w:rPr>
        <w:t>对于软岩条件下初撑力确实达不到要求的</w:t>
      </w:r>
      <w:r>
        <w:rPr>
          <w:rFonts w:hint="eastAsia" w:ascii="MS UI Gothic" w:eastAsia="MS UI Gothic"/>
          <w:spacing w:val="15"/>
          <w:w w:val="90"/>
        </w:rPr>
        <w:t xml:space="preserve">ꎬ  </w:t>
      </w:r>
      <w:r>
        <w:rPr>
          <w:spacing w:val="2"/>
          <w:w w:val="95"/>
        </w:rPr>
        <w:t>在制定措</w:t>
      </w:r>
      <w:r>
        <w:rPr>
          <w:spacing w:val="3"/>
          <w:w w:val="95"/>
        </w:rPr>
        <w:t>施</w:t>
      </w:r>
      <w:r>
        <w:rPr>
          <w:rFonts w:hint="eastAsia" w:ascii="MS UI Gothic" w:eastAsia="MS UI Gothic"/>
          <w:w w:val="95"/>
        </w:rPr>
        <w:t xml:space="preserve">、 </w:t>
      </w:r>
      <w:r>
        <w:rPr>
          <w:spacing w:val="3"/>
          <w:w w:val="95"/>
        </w:rPr>
        <w:t>满足安全的条件下</w:t>
      </w:r>
      <w:r>
        <w:rPr>
          <w:rFonts w:hint="eastAsia" w:ascii="MS UI Gothic" w:eastAsia="MS UI Gothic"/>
          <w:spacing w:val="5"/>
          <w:w w:val="90"/>
        </w:rPr>
        <w:t xml:space="preserve">ꎬ </w:t>
      </w:r>
      <w:r>
        <w:rPr>
          <w:spacing w:val="2"/>
          <w:w w:val="95"/>
        </w:rPr>
        <w:t>必须经矿总工程</w:t>
      </w:r>
    </w:p>
    <w:p>
      <w:pPr>
        <w:pStyle w:val="6"/>
        <w:spacing w:before="124" w:line="295" w:lineRule="auto"/>
        <w:ind w:left="381" w:right="126" w:firstLine="0"/>
        <w:rPr>
          <w:rFonts w:hint="eastAsia" w:ascii="MS UI Gothic" w:eastAsia="MS UI Gothic"/>
        </w:rPr>
      </w:pPr>
      <w:r>
        <w:br w:type="column"/>
      </w:r>
      <w:r>
        <w:rPr>
          <w:spacing w:val="3"/>
        </w:rPr>
        <w:t>师审批</w:t>
      </w:r>
      <w:r>
        <w:rPr>
          <w:rFonts w:hint="eastAsia" w:ascii="MS UI Gothic" w:eastAsia="MS UI Gothic"/>
          <w:spacing w:val="23"/>
          <w:w w:val="80"/>
        </w:rPr>
        <w:t xml:space="preserve">ꎮ </w:t>
      </w:r>
      <w:r>
        <w:rPr>
          <w:spacing w:val="3"/>
        </w:rPr>
        <w:t>严禁在控顶区域内提前摘柱</w:t>
      </w:r>
      <w:r>
        <w:rPr>
          <w:rFonts w:hint="eastAsia" w:ascii="MS UI Gothic" w:eastAsia="MS UI Gothic"/>
          <w:spacing w:val="23"/>
          <w:w w:val="80"/>
        </w:rPr>
        <w:t xml:space="preserve">ꎮ </w:t>
      </w:r>
      <w:r>
        <w:t>碰</w:t>
      </w:r>
      <w:r>
        <w:rPr>
          <w:spacing w:val="3"/>
        </w:rPr>
        <w:t>倒或者损坏失效的支柱</w:t>
      </w:r>
      <w:r>
        <w:rPr>
          <w:rFonts w:hint="eastAsia" w:ascii="MS UI Gothic" w:eastAsia="MS UI Gothic"/>
          <w:spacing w:val="20"/>
          <w:w w:val="80"/>
        </w:rPr>
        <w:t xml:space="preserve">ꎬ </w:t>
      </w:r>
      <w:r>
        <w:rPr>
          <w:spacing w:val="2"/>
        </w:rPr>
        <w:t>必须立即恢复或</w:t>
      </w:r>
      <w:r>
        <w:rPr>
          <w:spacing w:val="3"/>
        </w:rPr>
        <w:t>者更换</w:t>
      </w:r>
      <w:r>
        <w:rPr>
          <w:rFonts w:hint="eastAsia" w:ascii="MS UI Gothic" w:eastAsia="MS UI Gothic"/>
          <w:spacing w:val="11"/>
          <w:w w:val="80"/>
        </w:rPr>
        <w:t xml:space="preserve">ꎮ </w:t>
      </w:r>
      <w:r>
        <w:rPr>
          <w:spacing w:val="3"/>
        </w:rPr>
        <w:t>移动输送机机头</w:t>
      </w:r>
      <w:r>
        <w:rPr>
          <w:rFonts w:hint="eastAsia" w:ascii="MS UI Gothic" w:eastAsia="MS UI Gothic"/>
          <w:spacing w:val="11"/>
          <w:w w:val="80"/>
        </w:rPr>
        <w:t xml:space="preserve">、 </w:t>
      </w:r>
      <w:r>
        <w:rPr>
          <w:spacing w:val="2"/>
        </w:rPr>
        <w:t>机尾需要拆除</w:t>
      </w:r>
      <w:r>
        <w:rPr>
          <w:spacing w:val="3"/>
        </w:rPr>
        <w:t>附近的支架时</w:t>
      </w:r>
      <w:r>
        <w:rPr>
          <w:rFonts w:hint="eastAsia" w:ascii="MS UI Gothic" w:eastAsia="MS UI Gothic"/>
          <w:w w:val="80"/>
        </w:rPr>
        <w:t xml:space="preserve">ꎬ </w:t>
      </w:r>
      <w:r>
        <w:rPr>
          <w:spacing w:val="3"/>
        </w:rPr>
        <w:t>必须先架好临时支架</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6"/>
        </w:rPr>
        <w:t>采煤工作面遇顶底板松软或者破碎</w:t>
      </w:r>
      <w:r>
        <w:rPr>
          <w:rFonts w:hint="eastAsia" w:ascii="MS UI Gothic" w:eastAsia="MS UI Gothic"/>
          <w:w w:val="80"/>
        </w:rPr>
        <w:t>、</w:t>
      </w:r>
      <w:r>
        <w:rPr>
          <w:spacing w:val="3"/>
        </w:rPr>
        <w:t>过断层</w:t>
      </w:r>
      <w:r>
        <w:rPr>
          <w:rFonts w:hint="eastAsia" w:ascii="MS UI Gothic" w:eastAsia="MS UI Gothic"/>
          <w:spacing w:val="22"/>
          <w:w w:val="80"/>
        </w:rPr>
        <w:t xml:space="preserve">、 </w:t>
      </w:r>
      <w:r>
        <w:rPr>
          <w:spacing w:val="3"/>
        </w:rPr>
        <w:t>过老空区</w:t>
      </w:r>
      <w:r>
        <w:rPr>
          <w:rFonts w:hint="eastAsia" w:ascii="MS UI Gothic" w:eastAsia="MS UI Gothic"/>
          <w:spacing w:val="23"/>
          <w:w w:val="80"/>
        </w:rPr>
        <w:t xml:space="preserve">、 </w:t>
      </w:r>
      <w:r>
        <w:rPr>
          <w:spacing w:val="2"/>
        </w:rPr>
        <w:t>过煤柱或者冒顶区以</w:t>
      </w:r>
      <w:r>
        <w:rPr>
          <w:spacing w:val="3"/>
        </w:rPr>
        <w:t>及托伪顶开采时</w:t>
      </w:r>
      <w:r>
        <w:rPr>
          <w:rFonts w:hint="eastAsia" w:ascii="MS UI Gothic" w:eastAsia="MS UI Gothic"/>
          <w:w w:val="80"/>
        </w:rPr>
        <w:t xml:space="preserve">ꎬ </w:t>
      </w:r>
      <w:r>
        <w:rPr>
          <w:spacing w:val="3"/>
        </w:rPr>
        <w:t>必须制定安全措施</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7"/>
          <w:w w:val="105"/>
        </w:rPr>
        <w:t>第一百零二条 采用锚杆</w:t>
      </w:r>
      <w:r>
        <w:rPr>
          <w:rFonts w:hint="eastAsia" w:ascii="MS UI Gothic" w:eastAsia="MS UI Gothic"/>
          <w:spacing w:val="21"/>
          <w:w w:val="80"/>
        </w:rPr>
        <w:t xml:space="preserve">、 </w:t>
      </w:r>
      <w:r>
        <w:rPr>
          <w:spacing w:val="3"/>
          <w:w w:val="105"/>
        </w:rPr>
        <w:t>锚索</w:t>
      </w:r>
      <w:r>
        <w:rPr>
          <w:rFonts w:hint="eastAsia" w:ascii="MS UI Gothic" w:eastAsia="MS UI Gothic"/>
          <w:spacing w:val="21"/>
          <w:w w:val="80"/>
        </w:rPr>
        <w:t xml:space="preserve">、 </w:t>
      </w:r>
      <w:r>
        <w:rPr>
          <w:w w:val="105"/>
        </w:rPr>
        <w:t>锚</w:t>
      </w:r>
      <w:r>
        <w:rPr>
          <w:spacing w:val="3"/>
          <w:w w:val="105"/>
        </w:rPr>
        <w:t>喷</w:t>
      </w:r>
      <w:r>
        <w:rPr>
          <w:rFonts w:hint="eastAsia" w:ascii="MS UI Gothic" w:eastAsia="MS UI Gothic"/>
          <w:spacing w:val="-1"/>
          <w:w w:val="80"/>
        </w:rPr>
        <w:t xml:space="preserve">、 </w:t>
      </w:r>
      <w:r>
        <w:rPr>
          <w:spacing w:val="3"/>
          <w:w w:val="105"/>
        </w:rPr>
        <w:t>锚网喷等支护形式时</w:t>
      </w:r>
      <w:r>
        <w:rPr>
          <w:rFonts w:hint="eastAsia" w:ascii="MS UI Gothic" w:eastAsia="MS UI Gothic"/>
          <w:w w:val="80"/>
        </w:rPr>
        <w:t xml:space="preserve">ꎬ </w:t>
      </w:r>
      <w:r>
        <w:rPr>
          <w:spacing w:val="2"/>
          <w:w w:val="105"/>
        </w:rPr>
        <w:t>应当遵守下列</w:t>
      </w:r>
      <w:r>
        <w:rPr>
          <w:spacing w:val="3"/>
          <w:w w:val="105"/>
        </w:rPr>
        <w:t>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6"/>
          <w:w w:val="150"/>
        </w:rPr>
        <w:t xml:space="preserve">( </w:t>
      </w:r>
      <w:r>
        <w:rPr>
          <w:spacing w:val="3"/>
          <w:w w:val="105"/>
        </w:rPr>
        <w:t>一</w:t>
      </w:r>
      <w:r>
        <w:rPr>
          <w:rFonts w:hint="eastAsia" w:ascii="MS UI Gothic" w:eastAsia="MS UI Gothic"/>
          <w:spacing w:val="17"/>
          <w:w w:val="150"/>
        </w:rPr>
        <w:t xml:space="preserve">) </w:t>
      </w:r>
      <w:r>
        <w:rPr>
          <w:spacing w:val="2"/>
          <w:w w:val="105"/>
        </w:rPr>
        <w:t xml:space="preserve">锚杆 </w:t>
      </w:r>
      <w:r>
        <w:rPr>
          <w:rFonts w:hint="eastAsia" w:ascii="MS UI Gothic" w:eastAsia="MS UI Gothic"/>
          <w:spacing w:val="-35"/>
          <w:w w:val="150"/>
        </w:rPr>
        <w:t xml:space="preserve">( </w:t>
      </w:r>
      <w:r>
        <w:rPr>
          <w:spacing w:val="5"/>
          <w:w w:val="105"/>
        </w:rPr>
        <w:t>索</w:t>
      </w:r>
      <w:r>
        <w:rPr>
          <w:rFonts w:hint="eastAsia" w:ascii="MS UI Gothic" w:eastAsia="MS UI Gothic"/>
          <w:spacing w:val="18"/>
          <w:w w:val="150"/>
        </w:rPr>
        <w:t xml:space="preserve">) </w:t>
      </w:r>
      <w:r>
        <w:rPr>
          <w:spacing w:val="5"/>
          <w:w w:val="105"/>
        </w:rPr>
        <w:t>的形式</w:t>
      </w:r>
      <w:r>
        <w:rPr>
          <w:rFonts w:hint="eastAsia" w:ascii="MS UI Gothic" w:eastAsia="MS UI Gothic"/>
          <w:spacing w:val="5"/>
          <w:w w:val="80"/>
        </w:rPr>
        <w:t xml:space="preserve">、 </w:t>
      </w:r>
      <w:r>
        <w:rPr>
          <w:spacing w:val="5"/>
          <w:w w:val="105"/>
        </w:rPr>
        <w:t>规格</w:t>
      </w:r>
      <w:r>
        <w:rPr>
          <w:rFonts w:hint="eastAsia" w:ascii="MS UI Gothic" w:eastAsia="MS UI Gothic"/>
          <w:spacing w:val="6"/>
          <w:w w:val="80"/>
        </w:rPr>
        <w:t xml:space="preserve">、 </w:t>
      </w:r>
      <w:r>
        <w:rPr>
          <w:w w:val="105"/>
        </w:rPr>
        <w:t>安</w:t>
      </w:r>
      <w:r>
        <w:rPr>
          <w:spacing w:val="3"/>
          <w:w w:val="105"/>
        </w:rPr>
        <w:t>设角度</w:t>
      </w:r>
      <w:r>
        <w:rPr>
          <w:rFonts w:hint="eastAsia" w:ascii="MS UI Gothic" w:eastAsia="MS UI Gothic"/>
          <w:spacing w:val="8"/>
          <w:w w:val="80"/>
        </w:rPr>
        <w:t xml:space="preserve">、 </w:t>
      </w:r>
      <w:r>
        <w:rPr>
          <w:spacing w:val="3"/>
          <w:w w:val="105"/>
        </w:rPr>
        <w:t>混凝土强度等级</w:t>
      </w:r>
      <w:r>
        <w:rPr>
          <w:rFonts w:hint="eastAsia" w:ascii="MS UI Gothic" w:eastAsia="MS UI Gothic"/>
          <w:spacing w:val="9"/>
          <w:w w:val="80"/>
        </w:rPr>
        <w:t xml:space="preserve">、 </w:t>
      </w:r>
      <w:r>
        <w:rPr>
          <w:spacing w:val="3"/>
          <w:w w:val="105"/>
        </w:rPr>
        <w:t>喷体厚度</w:t>
      </w:r>
      <w:r>
        <w:rPr>
          <w:rFonts w:hint="eastAsia" w:ascii="MS UI Gothic" w:eastAsia="MS UI Gothic"/>
          <w:spacing w:val="9"/>
          <w:w w:val="80"/>
        </w:rPr>
        <w:t xml:space="preserve">ꎬ </w:t>
      </w:r>
      <w:r>
        <w:rPr>
          <w:w w:val="105"/>
        </w:rPr>
        <w:t>挂</w:t>
      </w:r>
      <w:r>
        <w:rPr>
          <w:spacing w:val="3"/>
          <w:w w:val="105"/>
        </w:rPr>
        <w:t>网规格</w:t>
      </w:r>
      <w:r>
        <w:rPr>
          <w:rFonts w:hint="eastAsia" w:ascii="MS UI Gothic" w:eastAsia="MS UI Gothic"/>
          <w:spacing w:val="-1"/>
          <w:w w:val="80"/>
        </w:rPr>
        <w:t xml:space="preserve">、 </w:t>
      </w:r>
      <w:r>
        <w:rPr>
          <w:spacing w:val="3"/>
          <w:w w:val="105"/>
        </w:rPr>
        <w:t>搭接方式</w:t>
      </w:r>
      <w:r>
        <w:rPr>
          <w:rFonts w:hint="eastAsia" w:ascii="MS UI Gothic" w:eastAsia="MS UI Gothic"/>
          <w:w w:val="80"/>
        </w:rPr>
        <w:t xml:space="preserve">ꎬ </w:t>
      </w:r>
      <w:r>
        <w:rPr>
          <w:spacing w:val="2"/>
          <w:w w:val="105"/>
        </w:rPr>
        <w:t>以及围岩涌水的处理</w:t>
      </w:r>
      <w:r>
        <w:rPr>
          <w:spacing w:val="3"/>
        </w:rPr>
        <w:t>等</w:t>
      </w:r>
      <w:r>
        <w:rPr>
          <w:rFonts w:hint="eastAsia" w:ascii="MS UI Gothic" w:eastAsia="MS UI Gothic"/>
          <w:spacing w:val="20"/>
          <w:w w:val="80"/>
        </w:rPr>
        <w:t xml:space="preserve">ꎬ </w:t>
      </w:r>
      <w:r>
        <w:rPr>
          <w:spacing w:val="2"/>
        </w:rPr>
        <w:t>必须在施工组织设计或者作业规程中</w:t>
      </w:r>
      <w:r>
        <w:rPr>
          <w:spacing w:val="3"/>
          <w:w w:val="105"/>
        </w:rPr>
        <w:t>明确</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采用钻爆法掘进的岩石巷道</w:t>
      </w:r>
      <w:r>
        <w:rPr>
          <w:rFonts w:hint="eastAsia" w:ascii="MS UI Gothic" w:eastAsia="MS UI Gothic"/>
          <w:w w:val="80"/>
        </w:rPr>
        <w:t>ꎬ</w:t>
      </w:r>
      <w:r>
        <w:t>应当采用光面爆破</w:t>
      </w:r>
      <w:r>
        <w:rPr>
          <w:rFonts w:hint="eastAsia" w:ascii="MS UI Gothic" w:eastAsia="MS UI Gothic"/>
          <w:w w:val="80"/>
        </w:rPr>
        <w:t xml:space="preserve">ꎮ </w:t>
      </w:r>
      <w:r>
        <w:t>打锚杆眼前</w:t>
      </w:r>
      <w:r>
        <w:rPr>
          <w:rFonts w:hint="eastAsia" w:ascii="MS UI Gothic" w:eastAsia="MS UI Gothic"/>
          <w:w w:val="80"/>
        </w:rPr>
        <w:t xml:space="preserve">ꎬ </w:t>
      </w:r>
      <w:r>
        <w:t>必须采</w:t>
      </w:r>
      <w:r>
        <w:rPr>
          <w:w w:val="105"/>
        </w:rPr>
        <w:t>取敲帮问顶等措施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锚杆拉拔力</w:t>
      </w:r>
      <w:r>
        <w:rPr>
          <w:rFonts w:hint="eastAsia" w:ascii="MS UI Gothic" w:eastAsia="MS UI Gothic"/>
          <w:w w:val="80"/>
        </w:rPr>
        <w:t xml:space="preserve">、 </w:t>
      </w:r>
      <w:r>
        <w:rPr>
          <w:w w:val="105"/>
        </w:rPr>
        <w:t>锚索预紧力必须符合设计</w:t>
      </w:r>
      <w:r>
        <w:rPr>
          <w:rFonts w:hint="eastAsia" w:ascii="MS UI Gothic" w:eastAsia="MS UI Gothic"/>
          <w:w w:val="80"/>
        </w:rPr>
        <w:t xml:space="preserve">ꎮ </w:t>
      </w:r>
      <w:r>
        <w:rPr>
          <w:w w:val="105"/>
        </w:rPr>
        <w:t>煤巷</w:t>
      </w:r>
      <w:r>
        <w:rPr>
          <w:rFonts w:hint="eastAsia" w:ascii="MS UI Gothic" w:eastAsia="MS UI Gothic"/>
          <w:w w:val="80"/>
        </w:rPr>
        <w:t xml:space="preserve">、 </w:t>
      </w:r>
      <w:r>
        <w:rPr>
          <w:w w:val="105"/>
        </w:rPr>
        <w:t>半煤岩巷支护必须进行</w:t>
      </w:r>
      <w:r>
        <w:t>顶板离层监测</w:t>
      </w:r>
      <w:r>
        <w:rPr>
          <w:rFonts w:hint="eastAsia" w:ascii="MS UI Gothic" w:eastAsia="MS UI Gothic"/>
          <w:w w:val="80"/>
        </w:rPr>
        <w:t xml:space="preserve">ꎬ </w:t>
      </w:r>
      <w:r>
        <w:t>并将监测结果记录在牌板上</w:t>
      </w:r>
      <w:r>
        <w:rPr>
          <w:rFonts w:hint="eastAsia" w:ascii="MS UI Gothic" w:eastAsia="MS UI Gothic"/>
          <w:w w:val="80"/>
        </w:rPr>
        <w:t xml:space="preserve">ꎮ </w:t>
      </w:r>
      <w:r>
        <w:t>对喷体必须做厚度和强度检查并形成检查记录</w:t>
      </w:r>
      <w:r>
        <w:rPr>
          <w:rFonts w:hint="eastAsia" w:ascii="MS UI Gothic" w:eastAsia="MS UI Gothic"/>
          <w:w w:val="80"/>
        </w:rPr>
        <w:t xml:space="preserve">ꎮ </w:t>
      </w:r>
      <w:r>
        <w:t>在井下做锚固力试验时</w:t>
      </w:r>
      <w:r>
        <w:rPr>
          <w:rFonts w:hint="eastAsia" w:ascii="MS UI Gothic" w:eastAsia="MS UI Gothic"/>
          <w:w w:val="80"/>
        </w:rPr>
        <w:t xml:space="preserve">ꎬ </w:t>
      </w:r>
      <w:r>
        <w:t>必须</w:t>
      </w:r>
      <w:r>
        <w:rPr>
          <w:w w:val="105"/>
        </w:rPr>
        <w:t>有安全措施</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遇顶板破碎</w:t>
      </w:r>
      <w:r>
        <w:rPr>
          <w:rFonts w:hint="eastAsia" w:ascii="MS UI Gothic" w:eastAsia="MS UI Gothic"/>
          <w:w w:val="80"/>
        </w:rPr>
        <w:t xml:space="preserve">、 </w:t>
      </w:r>
      <w:r>
        <w:rPr>
          <w:w w:val="105"/>
        </w:rPr>
        <w:t>淋水</w:t>
      </w:r>
      <w:r>
        <w:rPr>
          <w:rFonts w:hint="eastAsia" w:ascii="MS UI Gothic" w:eastAsia="MS UI Gothic"/>
          <w:w w:val="80"/>
        </w:rPr>
        <w:t xml:space="preserve">、 </w:t>
      </w:r>
      <w:r>
        <w:rPr>
          <w:w w:val="105"/>
        </w:rPr>
        <w:t>过断层</w:t>
      </w:r>
      <w:r>
        <w:rPr>
          <w:rFonts w:hint="eastAsia" w:ascii="MS UI Gothic" w:eastAsia="MS UI Gothic"/>
          <w:w w:val="80"/>
        </w:rPr>
        <w:t>、</w:t>
      </w:r>
      <w:r>
        <w:rPr>
          <w:w w:val="105"/>
        </w:rPr>
        <w:t>老空区</w:t>
      </w:r>
      <w:r>
        <w:rPr>
          <w:rFonts w:hint="eastAsia" w:ascii="MS UI Gothic" w:eastAsia="MS UI Gothic"/>
          <w:w w:val="80"/>
        </w:rPr>
        <w:t xml:space="preserve">、 </w:t>
      </w:r>
      <w:r>
        <w:rPr>
          <w:w w:val="105"/>
        </w:rPr>
        <w:t>高应力区等情况时</w:t>
      </w:r>
      <w:r>
        <w:rPr>
          <w:rFonts w:hint="eastAsia" w:ascii="MS UI Gothic" w:eastAsia="MS UI Gothic"/>
          <w:w w:val="80"/>
        </w:rPr>
        <w:t xml:space="preserve">ꎬ </w:t>
      </w:r>
      <w:r>
        <w:rPr>
          <w:w w:val="105"/>
        </w:rPr>
        <w:t>应加强支护</w:t>
      </w:r>
      <w:r>
        <w:rPr>
          <w:rFonts w:hint="eastAsia" w:ascii="MS UI Gothic" w:eastAsia="MS UI Gothic"/>
          <w:w w:val="80"/>
        </w:rPr>
        <w:t>ꎮ</w:t>
      </w:r>
    </w:p>
    <w:p>
      <w:pPr>
        <w:pStyle w:val="6"/>
        <w:spacing w:line="295" w:lineRule="auto"/>
        <w:ind w:left="381" w:right="124"/>
        <w:rPr>
          <w:rFonts w:hint="eastAsia" w:ascii="MS UI Gothic" w:eastAsia="MS UI Gothic"/>
        </w:rPr>
      </w:pPr>
      <w:r>
        <w:t>第一百零三条 巷道架棚时</w:t>
      </w:r>
      <w:r>
        <w:rPr>
          <w:rFonts w:hint="eastAsia" w:ascii="MS UI Gothic" w:eastAsia="MS UI Gothic"/>
          <w:w w:val="85"/>
        </w:rPr>
        <w:t xml:space="preserve">ꎬ </w:t>
      </w:r>
      <w:r>
        <w:t>支架腿应当落在实底上</w:t>
      </w:r>
      <w:r>
        <w:rPr>
          <w:rFonts w:hint="eastAsia" w:ascii="MS UI Gothic" w:eastAsia="MS UI Gothic"/>
          <w:w w:val="85"/>
        </w:rPr>
        <w:t xml:space="preserve">ꎻ </w:t>
      </w:r>
      <w:r>
        <w:t>支架与顶帮之间的空隙必须塞紧</w:t>
      </w:r>
      <w:r>
        <w:rPr>
          <w:rFonts w:hint="eastAsia" w:ascii="MS UI Gothic" w:eastAsia="MS UI Gothic"/>
        </w:rPr>
        <w:t xml:space="preserve">、 </w:t>
      </w:r>
      <w:r>
        <w:t>背实</w:t>
      </w:r>
      <w:r>
        <w:rPr>
          <w:rFonts w:hint="eastAsia" w:ascii="MS UI Gothic" w:eastAsia="MS UI Gothic"/>
          <w:w w:val="85"/>
        </w:rPr>
        <w:t xml:space="preserve">ꎮ  </w:t>
      </w:r>
      <w:r>
        <w:t>支架间应当设牢固的撑杆或者拉杆</w:t>
      </w:r>
      <w:r>
        <w:rPr>
          <w:rFonts w:hint="eastAsia" w:ascii="MS UI Gothic" w:eastAsia="MS UI Gothic"/>
          <w:w w:val="85"/>
        </w:rPr>
        <w:t xml:space="preserve">ꎬ </w:t>
      </w:r>
      <w:r>
        <w:t>可缩性金属支架应当采用金属支拉杆</w:t>
      </w:r>
      <w:r>
        <w:rPr>
          <w:rFonts w:hint="eastAsia" w:ascii="MS UI Gothic" w:eastAsia="MS UI Gothic"/>
          <w:w w:val="85"/>
        </w:rPr>
        <w:t xml:space="preserve">ꎬ </w:t>
      </w:r>
      <w:r>
        <w:t>并用机械或者力矩扳手拧紧卡缆</w:t>
      </w:r>
      <w:r>
        <w:rPr>
          <w:rFonts w:hint="eastAsia" w:ascii="MS UI Gothic" w:eastAsia="MS UI Gothic"/>
          <w:w w:val="85"/>
        </w:rPr>
        <w:t xml:space="preserve">ꎮ </w:t>
      </w:r>
      <w:r>
        <w:t>倾斜井巷支架应当设迎山角</w:t>
      </w:r>
      <w:r>
        <w:rPr>
          <w:rFonts w:hint="eastAsia" w:ascii="MS UI Gothic" w:eastAsia="MS UI Gothic"/>
          <w:w w:val="85"/>
        </w:rPr>
        <w:t xml:space="preserve">ꎻ </w:t>
      </w:r>
      <w:r>
        <w:t>可缩性金属支架可待受压变形稳定后喷射混凝土覆盖</w:t>
      </w:r>
      <w:r>
        <w:rPr>
          <w:rFonts w:hint="eastAsia" w:ascii="MS UI Gothic" w:eastAsia="MS UI Gothic"/>
          <w:w w:val="85"/>
        </w:rPr>
        <w:t xml:space="preserve">ꎮ </w:t>
      </w:r>
      <w:r>
        <w:t>巷道砌碹时</w:t>
      </w:r>
      <w:r>
        <w:rPr>
          <w:rFonts w:hint="eastAsia" w:ascii="MS UI Gothic" w:eastAsia="MS UI Gothic"/>
          <w:w w:val="85"/>
        </w:rPr>
        <w:t xml:space="preserve">ꎬ </w:t>
      </w:r>
      <w:r>
        <w:t>碹体与顶帮之间必须用不燃物充满填实</w:t>
      </w:r>
      <w:r>
        <w:rPr>
          <w:rFonts w:hint="eastAsia" w:ascii="MS UI Gothic" w:eastAsia="MS UI Gothic"/>
          <w:w w:val="85"/>
        </w:rPr>
        <w:t xml:space="preserve">ꎻ </w:t>
      </w:r>
      <w:r>
        <w:t>巷道冒顶空顶部分</w:t>
      </w:r>
      <w:r>
        <w:rPr>
          <w:rFonts w:hint="eastAsia" w:ascii="MS UI Gothic" w:eastAsia="MS UI Gothic"/>
          <w:w w:val="85"/>
        </w:rPr>
        <w:t>ꎬ</w:t>
      </w:r>
      <w:r>
        <w:t>可用支护材料接顶</w:t>
      </w:r>
      <w:r>
        <w:rPr>
          <w:rFonts w:hint="eastAsia" w:ascii="MS UI Gothic" w:eastAsia="MS UI Gothic"/>
          <w:w w:val="85"/>
        </w:rPr>
        <w:t xml:space="preserve">ꎬ </w:t>
      </w:r>
      <w:r>
        <w:t>但在碹拱上部必须充填不燃物垫层</w:t>
      </w:r>
      <w:r>
        <w:rPr>
          <w:rFonts w:hint="eastAsia" w:ascii="MS UI Gothic" w:eastAsia="MS UI Gothic"/>
          <w:w w:val="85"/>
        </w:rPr>
        <w:t xml:space="preserve">ꎬ </w:t>
      </w:r>
      <w:r>
        <w:t xml:space="preserve">其厚度不得小于 </w:t>
      </w:r>
      <w:r>
        <w:rPr>
          <w:rFonts w:hint="eastAsia" w:ascii="MS UI Gothic" w:eastAsia="MS UI Gothic"/>
        </w:rPr>
        <w:t>０ ５ ｍ</w:t>
      </w:r>
      <w:r>
        <w:rPr>
          <w:rFonts w:hint="eastAsia" w:ascii="MS UI Gothic" w:eastAsia="MS UI Gothic"/>
          <w:w w:val="85"/>
        </w:rPr>
        <w:t>ꎮ</w:t>
      </w:r>
    </w:p>
    <w:p>
      <w:pPr>
        <w:pStyle w:val="6"/>
        <w:tabs>
          <w:tab w:val="left" w:pos="2267"/>
        </w:tabs>
        <w:spacing w:line="248" w:lineRule="exact"/>
        <w:ind w:left="800" w:firstLine="0"/>
        <w:jc w:val="left"/>
      </w:pPr>
      <w:r>
        <w:rPr>
          <w:spacing w:val="3"/>
          <w:w w:val="105"/>
        </w:rPr>
        <w:t>第一百零四</w:t>
      </w:r>
      <w:r>
        <w:rPr>
          <w:w w:val="105"/>
        </w:rPr>
        <w:t>条</w:t>
      </w:r>
      <w:r>
        <w:rPr>
          <w:w w:val="105"/>
        </w:rPr>
        <w:tab/>
      </w:r>
      <w:r>
        <w:rPr>
          <w:spacing w:val="3"/>
          <w:w w:val="105"/>
        </w:rPr>
        <w:t>严格执行敲帮问顶</w:t>
      </w:r>
      <w:r>
        <w:rPr>
          <w:w w:val="105"/>
        </w:rPr>
        <w:t>及</w:t>
      </w:r>
    </w:p>
    <w:p>
      <w:pPr>
        <w:spacing w:after="0" w:line="248"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784" o:spid="_x0000_s1784" style="position:absolute;left:0pt;margin-left:0pt;margin-top:700.1pt;height:1.75pt;width:398.25pt;mso-position-horizontal-relative:page;z-index:25196441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２５２</w:t>
      </w:r>
    </w:p>
    <w:p>
      <w:pPr>
        <w:pStyle w:val="6"/>
        <w:spacing w:before="297" w:line="240" w:lineRule="exact"/>
        <w:ind w:firstLine="0"/>
        <w:jc w:val="left"/>
        <w:rPr>
          <w:rFonts w:hint="eastAsia" w:ascii="MS UI Gothic" w:eastAsia="MS UI Gothic"/>
        </w:rPr>
      </w:pPr>
      <w:r>
        <w:t>围岩观测制度</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434" w:firstLine="0"/>
        <w:jc w:val="left"/>
      </w:pPr>
      <w:r>
        <w:t>采用综合机械化充填采煤时</w:t>
      </w:r>
      <w:r>
        <w:rPr>
          <w:rFonts w:hint="eastAsia" w:ascii="MS UI Gothic" w:eastAsia="MS UI Gothic"/>
          <w:w w:val="80"/>
        </w:rPr>
        <w:t xml:space="preserve">ꎬ </w:t>
      </w:r>
      <w:r>
        <w:t>待充填</w:t>
      </w:r>
    </w:p>
    <w:p>
      <w:pPr>
        <w:spacing w:after="0" w:line="240" w:lineRule="exact"/>
        <w:jc w:val="left"/>
        <w:sectPr>
          <w:pgSz w:w="10500" w:h="14750"/>
          <w:pgMar w:top="960" w:right="980" w:bottom="280" w:left="980" w:header="720" w:footer="720" w:gutter="0"/>
          <w:cols w:equalWidth="0" w:num="2">
            <w:col w:w="1526" w:space="776"/>
            <w:col w:w="6238"/>
          </w:cols>
        </w:sectPr>
      </w:pPr>
    </w:p>
    <w:p>
      <w:pPr>
        <w:pStyle w:val="6"/>
        <w:spacing w:before="74" w:line="295" w:lineRule="auto"/>
        <w:ind w:right="39"/>
        <w:rPr>
          <w:rFonts w:hint="eastAsia" w:ascii="MS UI Gothic" w:eastAsia="MS UI Gothic"/>
        </w:rPr>
      </w:pPr>
      <w:r>
        <w:t>开工前</w:t>
      </w:r>
      <w:r>
        <w:rPr>
          <w:rFonts w:hint="eastAsia" w:ascii="MS UI Gothic" w:eastAsia="MS UI Gothic"/>
          <w:w w:val="80"/>
        </w:rPr>
        <w:t xml:space="preserve">ꎬ </w:t>
      </w:r>
      <w:r>
        <w:t>班组长必须对工作面安全情况进行全面检查</w:t>
      </w:r>
      <w:r>
        <w:rPr>
          <w:rFonts w:hint="eastAsia" w:ascii="MS UI Gothic" w:eastAsia="MS UI Gothic"/>
          <w:w w:val="80"/>
        </w:rPr>
        <w:t xml:space="preserve">ꎬ </w:t>
      </w:r>
      <w:r>
        <w:t>确认无危险后</w:t>
      </w:r>
      <w:r>
        <w:rPr>
          <w:rFonts w:hint="eastAsia" w:ascii="MS UI Gothic" w:eastAsia="MS UI Gothic"/>
          <w:w w:val="80"/>
        </w:rPr>
        <w:t xml:space="preserve">ꎬ </w:t>
      </w:r>
      <w:r>
        <w:t>方准人员进入工作面</w:t>
      </w:r>
      <w:r>
        <w:rPr>
          <w:rFonts w:hint="eastAsia" w:ascii="MS UI Gothic" w:eastAsia="MS UI Gothic"/>
          <w:w w:val="80"/>
        </w:rPr>
        <w:t>ꎮ</w:t>
      </w:r>
    </w:p>
    <w:p>
      <w:pPr>
        <w:pStyle w:val="6"/>
        <w:spacing w:line="295" w:lineRule="auto"/>
        <w:ind w:right="39"/>
        <w:rPr>
          <w:rFonts w:hint="eastAsia" w:ascii="MS UI Gothic" w:eastAsia="MS UI Gothic"/>
        </w:rPr>
      </w:pPr>
      <w:r>
        <w:t>第一百零五条 采煤工作面用垮落法管理顶板时</w:t>
      </w:r>
      <w:r>
        <w:rPr>
          <w:rFonts w:hint="eastAsia" w:ascii="MS UI Gothic" w:eastAsia="MS UI Gothic"/>
          <w:w w:val="80"/>
        </w:rPr>
        <w:t xml:space="preserve">ꎬ </w:t>
      </w:r>
      <w:r>
        <w:t>必须及时放顶</w:t>
      </w:r>
      <w:r>
        <w:rPr>
          <w:rFonts w:hint="eastAsia" w:ascii="MS UI Gothic" w:eastAsia="MS UI Gothic"/>
          <w:w w:val="80"/>
        </w:rPr>
        <w:t xml:space="preserve">ꎮ </w:t>
      </w:r>
      <w:r>
        <w:t>顶板不垮落</w:t>
      </w:r>
      <w:r>
        <w:rPr>
          <w:rFonts w:hint="eastAsia" w:ascii="MS UI Gothic" w:eastAsia="MS UI Gothic"/>
          <w:w w:val="80"/>
        </w:rPr>
        <w:t xml:space="preserve">、 </w:t>
      </w:r>
      <w:r>
        <w:t>悬顶距离超过作业规程规定的</w:t>
      </w:r>
      <w:r>
        <w:rPr>
          <w:rFonts w:hint="eastAsia" w:ascii="MS UI Gothic" w:eastAsia="MS UI Gothic"/>
          <w:w w:val="80"/>
        </w:rPr>
        <w:t xml:space="preserve">ꎬ </w:t>
      </w:r>
      <w:r>
        <w:t>必须停止采煤</w:t>
      </w:r>
      <w:r>
        <w:rPr>
          <w:rFonts w:hint="eastAsia" w:ascii="MS UI Gothic" w:eastAsia="MS UI Gothic"/>
          <w:w w:val="80"/>
        </w:rPr>
        <w:t xml:space="preserve">ꎬ </w:t>
      </w:r>
      <w:r>
        <w:t>采取人工强制放顶或者其他措施进行处理</w:t>
      </w:r>
      <w:r>
        <w:rPr>
          <w:rFonts w:hint="eastAsia" w:ascii="MS UI Gothic" w:eastAsia="MS UI Gothic"/>
          <w:w w:val="80"/>
        </w:rPr>
        <w:t>ꎮ</w:t>
      </w:r>
    </w:p>
    <w:p>
      <w:pPr>
        <w:pStyle w:val="6"/>
        <w:spacing w:line="295" w:lineRule="auto"/>
        <w:ind w:right="38"/>
        <w:rPr>
          <w:rFonts w:hint="eastAsia" w:ascii="MS UI Gothic" w:eastAsia="MS UI Gothic"/>
        </w:rPr>
      </w:pPr>
      <w:r>
        <w:t>放顶的方法和安全措施</w:t>
      </w:r>
      <w:r>
        <w:rPr>
          <w:rFonts w:hint="eastAsia" w:ascii="MS UI Gothic" w:eastAsia="MS UI Gothic"/>
          <w:w w:val="80"/>
        </w:rPr>
        <w:t xml:space="preserve">、 </w:t>
      </w:r>
      <w:r>
        <w:t>放顶与爆破</w:t>
      </w:r>
      <w:r>
        <w:rPr>
          <w:rFonts w:hint="eastAsia" w:ascii="MS UI Gothic" w:eastAsia="MS UI Gothic"/>
          <w:w w:val="80"/>
        </w:rPr>
        <w:t xml:space="preserve">、 </w:t>
      </w:r>
      <w:r>
        <w:t>机械落煤等工序平行作业的安全距离</w:t>
      </w:r>
      <w:r>
        <w:rPr>
          <w:rFonts w:hint="eastAsia" w:ascii="MS UI Gothic" w:eastAsia="MS UI Gothic"/>
          <w:w w:val="80"/>
        </w:rPr>
        <w:t xml:space="preserve">ꎬ </w:t>
      </w:r>
      <w:r>
        <w:t>放顶区内支架</w:t>
      </w:r>
      <w:r>
        <w:rPr>
          <w:rFonts w:hint="eastAsia" w:ascii="MS UI Gothic" w:eastAsia="MS UI Gothic"/>
          <w:w w:val="80"/>
        </w:rPr>
        <w:t xml:space="preserve">、 </w:t>
      </w:r>
      <w:r>
        <w:t>支柱等的回收方法</w:t>
      </w:r>
      <w:r>
        <w:rPr>
          <w:rFonts w:hint="eastAsia" w:ascii="MS UI Gothic" w:eastAsia="MS UI Gothic"/>
          <w:w w:val="80"/>
        </w:rPr>
        <w:t>ꎬ</w:t>
      </w:r>
      <w:r>
        <w:t>必须在作业规程中明确规定</w:t>
      </w:r>
      <w:r>
        <w:rPr>
          <w:rFonts w:hint="eastAsia" w:ascii="MS UI Gothic" w:eastAsia="MS UI Gothic"/>
          <w:w w:val="80"/>
        </w:rPr>
        <w:t>ꎮ</w:t>
      </w:r>
    </w:p>
    <w:p>
      <w:pPr>
        <w:pStyle w:val="6"/>
        <w:spacing w:line="295" w:lineRule="auto"/>
        <w:ind w:right="39"/>
        <w:rPr>
          <w:rFonts w:hint="eastAsia" w:ascii="MS UI Gothic" w:eastAsia="MS UI Gothic"/>
        </w:rPr>
      </w:pPr>
      <w:r>
        <w:t>放顶人员必须站在支架完整</w:t>
      </w:r>
      <w:r>
        <w:rPr>
          <w:rFonts w:hint="eastAsia" w:ascii="MS UI Gothic" w:eastAsia="MS UI Gothic"/>
          <w:w w:val="80"/>
        </w:rPr>
        <w:t xml:space="preserve">、 </w:t>
      </w:r>
      <w:r>
        <w:t>无崩绳</w:t>
      </w:r>
      <w:r>
        <w:rPr>
          <w:rFonts w:hint="eastAsia" w:ascii="MS UI Gothic" w:eastAsia="MS UI Gothic"/>
          <w:w w:val="80"/>
        </w:rPr>
        <w:t xml:space="preserve">、 </w:t>
      </w:r>
      <w:r>
        <w:t>崩柱</w:t>
      </w:r>
      <w:r>
        <w:rPr>
          <w:rFonts w:hint="eastAsia" w:ascii="MS UI Gothic" w:eastAsia="MS UI Gothic"/>
          <w:w w:val="80"/>
        </w:rPr>
        <w:t xml:space="preserve">、 </w:t>
      </w:r>
      <w:r>
        <w:t>甩钩</w:t>
      </w:r>
      <w:r>
        <w:rPr>
          <w:rFonts w:hint="eastAsia" w:ascii="MS UI Gothic" w:eastAsia="MS UI Gothic"/>
          <w:w w:val="80"/>
        </w:rPr>
        <w:t xml:space="preserve">、 </w:t>
      </w:r>
      <w:r>
        <w:t>断绳抽人等危险的安全地点工作</w:t>
      </w:r>
      <w:r>
        <w:rPr>
          <w:rFonts w:hint="eastAsia" w:ascii="MS UI Gothic" w:eastAsia="MS UI Gothic"/>
          <w:w w:val="80"/>
        </w:rPr>
        <w:t>ꎮ</w:t>
      </w:r>
    </w:p>
    <w:p>
      <w:pPr>
        <w:pStyle w:val="6"/>
        <w:spacing w:line="295" w:lineRule="auto"/>
        <w:ind w:right="39"/>
        <w:rPr>
          <w:rFonts w:hint="eastAsia" w:ascii="MS UI Gothic" w:eastAsia="MS UI Gothic"/>
        </w:rPr>
      </w:pPr>
      <w:r>
        <w:t>回柱放顶前</w:t>
      </w:r>
      <w:r>
        <w:rPr>
          <w:rFonts w:hint="eastAsia" w:ascii="MS UI Gothic" w:eastAsia="MS UI Gothic"/>
          <w:w w:val="80"/>
        </w:rPr>
        <w:t xml:space="preserve">ꎬ </w:t>
      </w:r>
      <w:r>
        <w:t>必须对放顶的安全工作进行全面检查</w:t>
      </w:r>
      <w:r>
        <w:rPr>
          <w:rFonts w:hint="eastAsia" w:ascii="MS UI Gothic" w:eastAsia="MS UI Gothic"/>
          <w:w w:val="80"/>
        </w:rPr>
        <w:t xml:space="preserve">ꎬ </w:t>
      </w:r>
      <w:r>
        <w:t>清理好退路</w:t>
      </w:r>
      <w:r>
        <w:rPr>
          <w:rFonts w:hint="eastAsia" w:ascii="MS UI Gothic" w:eastAsia="MS UI Gothic"/>
          <w:w w:val="80"/>
        </w:rPr>
        <w:t xml:space="preserve">ꎮ </w:t>
      </w:r>
      <w:r>
        <w:t>回柱放顶时</w:t>
      </w:r>
      <w:r>
        <w:rPr>
          <w:rFonts w:hint="eastAsia" w:ascii="MS UI Gothic" w:eastAsia="MS UI Gothic"/>
          <w:w w:val="80"/>
        </w:rPr>
        <w:t xml:space="preserve">ꎬ </w:t>
      </w:r>
      <w:r>
        <w:t>必须指定有经验的人员观察顶板</w:t>
      </w:r>
      <w:r>
        <w:rPr>
          <w:rFonts w:hint="eastAsia" w:ascii="MS UI Gothic" w:eastAsia="MS UI Gothic"/>
          <w:w w:val="80"/>
        </w:rPr>
        <w:t>ꎮ</w:t>
      </w:r>
    </w:p>
    <w:p>
      <w:pPr>
        <w:pStyle w:val="6"/>
        <w:spacing w:line="295" w:lineRule="auto"/>
        <w:ind w:right="39"/>
        <w:rPr>
          <w:rFonts w:hint="eastAsia" w:ascii="MS UI Gothic" w:eastAsia="MS UI Gothic"/>
        </w:rPr>
      </w:pPr>
      <w:r>
        <w:t>采煤工作面初次放顶及收尾时</w:t>
      </w:r>
      <w:r>
        <w:rPr>
          <w:rFonts w:hint="eastAsia" w:ascii="MS UI Gothic" w:eastAsia="MS UI Gothic"/>
          <w:w w:val="80"/>
        </w:rPr>
        <w:t xml:space="preserve">ꎬ </w:t>
      </w:r>
      <w:r>
        <w:t>必须制定安全措施</w:t>
      </w:r>
      <w:r>
        <w:rPr>
          <w:rFonts w:hint="eastAsia" w:ascii="MS UI Gothic" w:eastAsia="MS UI Gothic"/>
          <w:w w:val="80"/>
        </w:rPr>
        <w:t>ꎮ</w:t>
      </w:r>
    </w:p>
    <w:p>
      <w:pPr>
        <w:pStyle w:val="6"/>
        <w:spacing w:line="295" w:lineRule="auto"/>
        <w:ind w:right="38"/>
        <w:rPr>
          <w:rFonts w:hint="eastAsia" w:ascii="MS UI Gothic" w:eastAsia="MS UI Gothic"/>
        </w:rPr>
      </w:pPr>
      <w:r>
        <w:rPr>
          <w:spacing w:val="4"/>
        </w:rPr>
        <w:t>第一百零六条 采煤工作面采用密集</w:t>
      </w:r>
      <w:r>
        <w:rPr>
          <w:spacing w:val="3"/>
        </w:rPr>
        <w:t>支柱切顶时</w:t>
      </w:r>
      <w:r>
        <w:rPr>
          <w:rFonts w:hint="eastAsia" w:ascii="MS UI Gothic" w:eastAsia="MS UI Gothic"/>
          <w:spacing w:val="13"/>
          <w:w w:val="85"/>
        </w:rPr>
        <w:t xml:space="preserve">ꎬ </w:t>
      </w:r>
      <w:r>
        <w:rPr>
          <w:spacing w:val="2"/>
        </w:rPr>
        <w:t>两段密集支柱之间必须留有</w:t>
      </w:r>
      <w:r>
        <w:rPr>
          <w:spacing w:val="-33"/>
        </w:rPr>
        <w:t xml:space="preserve">宽 </w:t>
      </w:r>
      <w:r>
        <w:rPr>
          <w:rFonts w:hint="eastAsia" w:ascii="MS UI Gothic" w:eastAsia="MS UI Gothic"/>
        </w:rPr>
        <w:t>０</w:t>
      </w:r>
      <w:r>
        <w:rPr>
          <w:rFonts w:hint="eastAsia" w:ascii="MS UI Gothic" w:eastAsia="MS UI Gothic"/>
          <w:spacing w:val="-13"/>
        </w:rPr>
        <w:t xml:space="preserve"> ５ </w:t>
      </w:r>
      <w:r>
        <w:rPr>
          <w:rFonts w:hint="eastAsia" w:ascii="MS UI Gothic" w:eastAsia="MS UI Gothic"/>
        </w:rPr>
        <w:t>ｍ</w:t>
      </w:r>
      <w:r>
        <w:rPr>
          <w:rFonts w:hint="eastAsia" w:ascii="MS UI Gothic" w:eastAsia="MS UI Gothic"/>
          <w:spacing w:val="-21"/>
        </w:rPr>
        <w:t xml:space="preserve"> </w:t>
      </w:r>
      <w:r>
        <w:rPr>
          <w:spacing w:val="3"/>
        </w:rPr>
        <w:t>以上的出口</w:t>
      </w:r>
      <w:r>
        <w:rPr>
          <w:rFonts w:hint="eastAsia" w:ascii="MS UI Gothic" w:eastAsia="MS UI Gothic"/>
          <w:spacing w:val="11"/>
          <w:w w:val="85"/>
        </w:rPr>
        <w:t xml:space="preserve">ꎬ </w:t>
      </w:r>
      <w:r>
        <w:rPr>
          <w:spacing w:val="2"/>
        </w:rPr>
        <w:t>出口间的距离和新密集支柱超前的距离必须在作业规程中明</w:t>
      </w:r>
      <w:r>
        <w:rPr>
          <w:spacing w:val="3"/>
        </w:rPr>
        <w:t>确规定</w:t>
      </w:r>
      <w:r>
        <w:rPr>
          <w:rFonts w:hint="eastAsia" w:ascii="MS UI Gothic" w:eastAsia="MS UI Gothic"/>
          <w:spacing w:val="8"/>
          <w:w w:val="85"/>
        </w:rPr>
        <w:t xml:space="preserve">ꎮ </w:t>
      </w:r>
      <w:r>
        <w:rPr>
          <w:spacing w:val="9"/>
        </w:rPr>
        <w:t>采煤工作面无密集支柱切顶时</w:t>
      </w:r>
      <w:r>
        <w:rPr>
          <w:rFonts w:hint="eastAsia" w:ascii="MS UI Gothic" w:eastAsia="MS UI Gothic"/>
          <w:w w:val="85"/>
        </w:rPr>
        <w:t>ꎬ</w:t>
      </w:r>
      <w:r>
        <w:rPr>
          <w:spacing w:val="2"/>
        </w:rPr>
        <w:t>必须有防止工作面冒顶和矸石窜入工作面</w:t>
      </w:r>
      <w:r>
        <w:rPr>
          <w:spacing w:val="3"/>
        </w:rPr>
        <w:t>的措施</w:t>
      </w:r>
      <w:r>
        <w:rPr>
          <w:rFonts w:hint="eastAsia" w:ascii="MS UI Gothic" w:eastAsia="MS UI Gothic"/>
          <w:w w:val="85"/>
        </w:rPr>
        <w:t>ꎮ</w:t>
      </w:r>
    </w:p>
    <w:p>
      <w:pPr>
        <w:pStyle w:val="6"/>
        <w:spacing w:line="295" w:lineRule="auto"/>
        <w:ind w:right="39"/>
        <w:rPr>
          <w:rFonts w:hint="eastAsia" w:ascii="MS UI Gothic" w:eastAsia="MS UI Gothic"/>
        </w:rPr>
      </w:pPr>
      <w:r>
        <w:rPr>
          <w:w w:val="105"/>
        </w:rPr>
        <w:t>第一百零七条 采用人工假顶分层垮</w:t>
      </w:r>
      <w:r>
        <w:t>落法开采的采煤工作面</w:t>
      </w:r>
      <w:r>
        <w:rPr>
          <w:rFonts w:hint="eastAsia" w:ascii="MS UI Gothic" w:eastAsia="MS UI Gothic"/>
          <w:w w:val="80"/>
        </w:rPr>
        <w:t xml:space="preserve">ꎬ </w:t>
      </w:r>
      <w:r>
        <w:t>人工假顶必须铺</w:t>
      </w:r>
      <w:r>
        <w:rPr>
          <w:w w:val="105"/>
        </w:rPr>
        <w:t>设完好并搭接严密</w:t>
      </w:r>
      <w:r>
        <w:rPr>
          <w:rFonts w:hint="eastAsia" w:ascii="MS UI Gothic" w:eastAsia="MS UI Gothic"/>
          <w:w w:val="80"/>
        </w:rPr>
        <w:t>ꎮ</w:t>
      </w:r>
    </w:p>
    <w:p>
      <w:pPr>
        <w:pStyle w:val="6"/>
        <w:spacing w:line="295" w:lineRule="auto"/>
        <w:ind w:right="39"/>
        <w:rPr>
          <w:rFonts w:hint="eastAsia" w:ascii="MS UI Gothic" w:eastAsia="MS UI Gothic"/>
        </w:rPr>
      </w:pPr>
      <w:r>
        <w:t>采用分层垮落法开采时</w:t>
      </w:r>
      <w:r>
        <w:rPr>
          <w:rFonts w:hint="eastAsia" w:ascii="MS UI Gothic" w:eastAsia="MS UI Gothic"/>
          <w:w w:val="80"/>
        </w:rPr>
        <w:t xml:space="preserve">ꎬ </w:t>
      </w:r>
      <w:r>
        <w:t>必须向采空区注浆或者注水</w:t>
      </w:r>
      <w:r>
        <w:rPr>
          <w:rFonts w:hint="eastAsia" w:ascii="MS UI Gothic" w:eastAsia="MS UI Gothic"/>
          <w:w w:val="80"/>
        </w:rPr>
        <w:t xml:space="preserve">ꎮ </w:t>
      </w:r>
      <w:r>
        <w:t>注浆或者注水的具体要求</w:t>
      </w:r>
      <w:r>
        <w:rPr>
          <w:rFonts w:hint="eastAsia" w:ascii="MS UI Gothic" w:eastAsia="MS UI Gothic"/>
          <w:w w:val="80"/>
        </w:rPr>
        <w:t xml:space="preserve">ꎬ </w:t>
      </w:r>
      <w:r>
        <w:t>应当在作业规程中明确规定</w:t>
      </w:r>
      <w:r>
        <w:rPr>
          <w:rFonts w:hint="eastAsia" w:ascii="MS UI Gothic" w:eastAsia="MS UI Gothic"/>
          <w:w w:val="80"/>
        </w:rPr>
        <w:t>ꎮ</w:t>
      </w:r>
    </w:p>
    <w:p>
      <w:pPr>
        <w:pStyle w:val="6"/>
        <w:spacing w:line="295" w:lineRule="auto"/>
        <w:ind w:right="39"/>
        <w:rPr>
          <w:rFonts w:hint="eastAsia" w:ascii="MS UI Gothic" w:eastAsia="MS UI Gothic"/>
        </w:rPr>
      </w:pPr>
      <w:r>
        <w:t>第一百零八条 采煤工作面用充填法控制顶板时</w:t>
      </w:r>
      <w:r>
        <w:rPr>
          <w:rFonts w:hint="eastAsia" w:ascii="MS UI Gothic" w:eastAsia="MS UI Gothic"/>
          <w:w w:val="80"/>
        </w:rPr>
        <w:t xml:space="preserve">ꎬ </w:t>
      </w:r>
      <w:r>
        <w:t>必须及时充填</w:t>
      </w:r>
      <w:r>
        <w:rPr>
          <w:rFonts w:hint="eastAsia" w:ascii="MS UI Gothic" w:eastAsia="MS UI Gothic"/>
          <w:w w:val="80"/>
        </w:rPr>
        <w:t xml:space="preserve">ꎮ </w:t>
      </w:r>
      <w:r>
        <w:t>控顶距离超过作业规程规定时禁止采煤</w:t>
      </w:r>
      <w:r>
        <w:rPr>
          <w:rFonts w:hint="eastAsia" w:ascii="MS UI Gothic" w:eastAsia="MS UI Gothic"/>
          <w:w w:val="80"/>
        </w:rPr>
        <w:t xml:space="preserve">ꎬ </w:t>
      </w:r>
      <w:r>
        <w:t>严禁人员在充填区空顶作业</w:t>
      </w:r>
      <w:r>
        <w:rPr>
          <w:rFonts w:hint="eastAsia" w:ascii="MS UI Gothic" w:eastAsia="MS UI Gothic"/>
          <w:w w:val="80"/>
        </w:rPr>
        <w:t xml:space="preserve">ꎻ </w:t>
      </w:r>
      <w:r>
        <w:t>且应当根据地表保护级别</w:t>
      </w:r>
      <w:r>
        <w:rPr>
          <w:rFonts w:hint="eastAsia" w:ascii="MS UI Gothic" w:eastAsia="MS UI Gothic"/>
          <w:w w:val="80"/>
        </w:rPr>
        <w:t xml:space="preserve">ꎬ </w:t>
      </w:r>
      <w:r>
        <w:t>编制专项设计并制定安全技术措施</w:t>
      </w:r>
      <w:r>
        <w:rPr>
          <w:rFonts w:hint="eastAsia" w:ascii="MS UI Gothic" w:eastAsia="MS UI Gothic"/>
          <w:w w:val="80"/>
        </w:rPr>
        <w:t>ꎮ</w:t>
      </w:r>
    </w:p>
    <w:p>
      <w:pPr>
        <w:pStyle w:val="6"/>
        <w:spacing w:before="74" w:line="295" w:lineRule="auto"/>
        <w:ind w:right="442" w:firstLine="0"/>
        <w:rPr>
          <w:rFonts w:hint="eastAsia" w:ascii="MS UI Gothic" w:eastAsia="MS UI Gothic"/>
        </w:rPr>
      </w:pPr>
      <w:r>
        <w:br w:type="column"/>
      </w:r>
      <w:r>
        <w:t>区域的风速应当满足工作面最低风速要求</w:t>
      </w:r>
      <w:r>
        <w:rPr>
          <w:rFonts w:hint="eastAsia" w:ascii="MS UI Gothic" w:eastAsia="MS UI Gothic"/>
          <w:w w:val="80"/>
        </w:rPr>
        <w:t xml:space="preserve">ꎻ </w:t>
      </w:r>
      <w:r>
        <w:t>有人进行充填作业时</w:t>
      </w:r>
      <w:r>
        <w:rPr>
          <w:rFonts w:hint="eastAsia" w:ascii="MS UI Gothic" w:eastAsia="MS UI Gothic"/>
          <w:w w:val="80"/>
        </w:rPr>
        <w:t xml:space="preserve">ꎬ </w:t>
      </w:r>
      <w:r>
        <w:t>严禁操作作业区域的液压支架</w:t>
      </w:r>
      <w:r>
        <w:rPr>
          <w:rFonts w:hint="eastAsia" w:ascii="MS UI Gothic" w:eastAsia="MS UI Gothic"/>
          <w:w w:val="80"/>
        </w:rPr>
        <w:t>ꎮ</w:t>
      </w:r>
    </w:p>
    <w:p>
      <w:pPr>
        <w:pStyle w:val="6"/>
        <w:spacing w:line="295" w:lineRule="auto"/>
        <w:ind w:right="442"/>
        <w:rPr>
          <w:rFonts w:hint="eastAsia" w:ascii="MS UI Gothic" w:eastAsia="MS UI Gothic"/>
        </w:rPr>
      </w:pPr>
      <w:r>
        <w:t>第一百零九条 用水砂充填法控制顶板时</w:t>
      </w:r>
      <w:r>
        <w:rPr>
          <w:rFonts w:hint="eastAsia" w:ascii="MS UI Gothic" w:eastAsia="MS UI Gothic"/>
          <w:w w:val="80"/>
        </w:rPr>
        <w:t xml:space="preserve">ꎬ </w:t>
      </w:r>
      <w:r>
        <w:t>采空区和三角点必须充填满</w:t>
      </w:r>
      <w:r>
        <w:rPr>
          <w:rFonts w:hint="eastAsia" w:ascii="MS UI Gothic" w:eastAsia="MS UI Gothic"/>
          <w:w w:val="80"/>
        </w:rPr>
        <w:t xml:space="preserve">ꎮ </w:t>
      </w:r>
      <w:r>
        <w:t>充填地点的下方</w:t>
      </w:r>
      <w:r>
        <w:rPr>
          <w:rFonts w:hint="eastAsia" w:ascii="MS UI Gothic" w:eastAsia="MS UI Gothic"/>
          <w:w w:val="80"/>
        </w:rPr>
        <w:t xml:space="preserve">ꎬ </w:t>
      </w:r>
      <w:r>
        <w:t>严禁人员通行或者停留</w:t>
      </w:r>
      <w:r>
        <w:rPr>
          <w:rFonts w:hint="eastAsia" w:ascii="MS UI Gothic" w:eastAsia="MS UI Gothic"/>
          <w:w w:val="80"/>
        </w:rPr>
        <w:t xml:space="preserve">ꎮ </w:t>
      </w:r>
      <w:r>
        <w:t>注砂井和充填地点之间</w:t>
      </w:r>
      <w:r>
        <w:rPr>
          <w:rFonts w:hint="eastAsia" w:ascii="MS UI Gothic" w:eastAsia="MS UI Gothic"/>
          <w:w w:val="80"/>
        </w:rPr>
        <w:t xml:space="preserve">ꎬ </w:t>
      </w:r>
      <w:r>
        <w:t>应当保持电话联络</w:t>
      </w:r>
      <w:r>
        <w:rPr>
          <w:rFonts w:hint="eastAsia" w:ascii="MS UI Gothic" w:eastAsia="MS UI Gothic"/>
          <w:w w:val="80"/>
        </w:rPr>
        <w:t xml:space="preserve">ꎬ </w:t>
      </w:r>
      <w:r>
        <w:t>联络中断时</w:t>
      </w:r>
      <w:r>
        <w:rPr>
          <w:rFonts w:hint="eastAsia" w:ascii="MS UI Gothic" w:eastAsia="MS UI Gothic"/>
          <w:w w:val="80"/>
        </w:rPr>
        <w:t xml:space="preserve">ꎬ </w:t>
      </w:r>
      <w:r>
        <w:t>必须立即停止注砂</w:t>
      </w:r>
      <w:r>
        <w:rPr>
          <w:rFonts w:hint="eastAsia" w:ascii="MS UI Gothic" w:eastAsia="MS UI Gothic"/>
          <w:w w:val="80"/>
        </w:rPr>
        <w:t>ꎮ</w:t>
      </w:r>
    </w:p>
    <w:p>
      <w:pPr>
        <w:pStyle w:val="6"/>
        <w:spacing w:line="295" w:lineRule="auto"/>
        <w:ind w:right="442"/>
        <w:rPr>
          <w:rFonts w:hint="eastAsia" w:ascii="MS UI Gothic" w:eastAsia="MS UI Gothic"/>
        </w:rPr>
      </w:pPr>
      <w:r>
        <w:t>清理因跑砂堵塞的倾斜井巷前</w:t>
      </w:r>
      <w:r>
        <w:rPr>
          <w:rFonts w:hint="eastAsia" w:ascii="MS UI Gothic" w:eastAsia="MS UI Gothic"/>
          <w:w w:val="80"/>
        </w:rPr>
        <w:t xml:space="preserve">ꎬ </w:t>
      </w:r>
      <w:r>
        <w:t>必须制定安全措施</w:t>
      </w:r>
      <w:r>
        <w:rPr>
          <w:rFonts w:hint="eastAsia" w:ascii="MS UI Gothic" w:eastAsia="MS UI Gothic"/>
          <w:w w:val="80"/>
        </w:rPr>
        <w:t>ꎮ</w:t>
      </w:r>
    </w:p>
    <w:p>
      <w:pPr>
        <w:pStyle w:val="6"/>
        <w:spacing w:line="295" w:lineRule="auto"/>
        <w:ind w:right="442"/>
        <w:rPr>
          <w:rFonts w:hint="eastAsia" w:ascii="MS UI Gothic" w:eastAsia="MS UI Gothic"/>
        </w:rPr>
      </w:pPr>
      <w:r>
        <w:t>第一百一十条 近距离煤层群开采下一煤层时</w:t>
      </w:r>
      <w:r>
        <w:rPr>
          <w:rFonts w:hint="eastAsia" w:ascii="MS UI Gothic" w:eastAsia="MS UI Gothic"/>
          <w:w w:val="80"/>
        </w:rPr>
        <w:t xml:space="preserve">ꎬ </w:t>
      </w:r>
      <w:r>
        <w:t>必须制定控制顶板的安全措施</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第一百一十一条 采用分层垮落法回</w:t>
      </w:r>
      <w:r>
        <w:t>采时</w:t>
      </w:r>
      <w:r>
        <w:rPr>
          <w:rFonts w:hint="eastAsia" w:ascii="MS UI Gothic" w:eastAsia="MS UI Gothic"/>
          <w:w w:val="80"/>
        </w:rPr>
        <w:t xml:space="preserve">ꎬ </w:t>
      </w:r>
      <w:r>
        <w:t>下一分层的采煤工作面必须在上一</w:t>
      </w:r>
      <w:r>
        <w:rPr>
          <w:w w:val="105"/>
        </w:rPr>
        <w:t>分层顶板垮落的稳定区域内进行回采</w:t>
      </w:r>
      <w:r>
        <w:rPr>
          <w:rFonts w:hint="eastAsia" w:ascii="MS UI Gothic" w:eastAsia="MS UI Gothic"/>
          <w:w w:val="80"/>
        </w:rPr>
        <w:t>ꎮ</w:t>
      </w:r>
    </w:p>
    <w:p>
      <w:pPr>
        <w:pStyle w:val="6"/>
        <w:spacing w:line="295" w:lineRule="auto"/>
        <w:ind w:right="442"/>
        <w:rPr>
          <w:rFonts w:hint="eastAsia" w:ascii="MS UI Gothic" w:eastAsia="MS UI Gothic"/>
        </w:rPr>
      </w:pPr>
      <w:r>
        <w:t>第一百一十二条 采用柔性掩护支架开采急倾斜煤层时</w:t>
      </w:r>
      <w:r>
        <w:rPr>
          <w:rFonts w:hint="eastAsia" w:ascii="MS UI Gothic" w:eastAsia="MS UI Gothic"/>
          <w:w w:val="80"/>
        </w:rPr>
        <w:t xml:space="preserve">ꎬ </w:t>
      </w:r>
      <w:r>
        <w:t>地沟的尺寸</w:t>
      </w:r>
      <w:r>
        <w:rPr>
          <w:rFonts w:hint="eastAsia" w:ascii="MS UI Gothic" w:eastAsia="MS UI Gothic"/>
          <w:w w:val="80"/>
        </w:rPr>
        <w:t xml:space="preserve">ꎬ </w:t>
      </w:r>
      <w:r>
        <w:t>工作面循环进度</w:t>
      </w:r>
      <w:r>
        <w:rPr>
          <w:rFonts w:hint="eastAsia" w:ascii="MS UI Gothic" w:eastAsia="MS UI Gothic"/>
          <w:w w:val="80"/>
        </w:rPr>
        <w:t xml:space="preserve">ꎬ </w:t>
      </w:r>
      <w:r>
        <w:t>支架的角度</w:t>
      </w:r>
      <w:r>
        <w:rPr>
          <w:rFonts w:hint="eastAsia" w:ascii="MS UI Gothic" w:eastAsia="MS UI Gothic"/>
          <w:w w:val="80"/>
        </w:rPr>
        <w:t xml:space="preserve">、 </w:t>
      </w:r>
      <w:r>
        <w:t>结构</w:t>
      </w:r>
      <w:r>
        <w:rPr>
          <w:rFonts w:hint="eastAsia" w:ascii="MS UI Gothic" w:eastAsia="MS UI Gothic"/>
          <w:w w:val="80"/>
        </w:rPr>
        <w:t xml:space="preserve">ꎬ </w:t>
      </w:r>
      <w:r>
        <w:t>支架垫层数和厚度</w:t>
      </w:r>
      <w:r>
        <w:rPr>
          <w:rFonts w:hint="eastAsia" w:ascii="MS UI Gothic" w:eastAsia="MS UI Gothic"/>
          <w:w w:val="80"/>
        </w:rPr>
        <w:t xml:space="preserve">ꎬ </w:t>
      </w:r>
      <w:r>
        <w:t>以及点柱的支设角度</w:t>
      </w:r>
      <w:r>
        <w:rPr>
          <w:rFonts w:hint="eastAsia" w:ascii="MS UI Gothic" w:eastAsia="MS UI Gothic"/>
          <w:w w:val="80"/>
        </w:rPr>
        <w:t xml:space="preserve">、 </w:t>
      </w:r>
      <w:r>
        <w:t>排列方式和密度</w:t>
      </w:r>
      <w:r>
        <w:rPr>
          <w:rFonts w:hint="eastAsia" w:ascii="MS UI Gothic" w:eastAsia="MS UI Gothic"/>
          <w:w w:val="80"/>
        </w:rPr>
        <w:t xml:space="preserve">ꎬ </w:t>
      </w:r>
      <w:r>
        <w:t>钢丝绳的规格和数量</w:t>
      </w:r>
      <w:r>
        <w:rPr>
          <w:rFonts w:hint="eastAsia" w:ascii="MS UI Gothic" w:eastAsia="MS UI Gothic"/>
          <w:w w:val="80"/>
        </w:rPr>
        <w:t xml:space="preserve">ꎬ </w:t>
      </w:r>
      <w:r>
        <w:t>必须在作业规程中规定</w:t>
      </w:r>
      <w:r>
        <w:rPr>
          <w:rFonts w:hint="eastAsia" w:ascii="MS UI Gothic" w:eastAsia="MS UI Gothic"/>
          <w:w w:val="80"/>
        </w:rPr>
        <w:t>ꎮ</w:t>
      </w:r>
    </w:p>
    <w:p>
      <w:pPr>
        <w:pStyle w:val="6"/>
        <w:spacing w:line="295" w:lineRule="auto"/>
        <w:ind w:right="440"/>
        <w:rPr>
          <w:rFonts w:hint="eastAsia" w:ascii="MS UI Gothic" w:eastAsia="MS UI Gothic"/>
        </w:rPr>
      </w:pPr>
      <w:r>
        <w:t>生产中遇断梁</w:t>
      </w:r>
      <w:r>
        <w:rPr>
          <w:rFonts w:hint="eastAsia" w:ascii="MS UI Gothic" w:eastAsia="MS UI Gothic"/>
          <w:w w:val="80"/>
        </w:rPr>
        <w:t xml:space="preserve">、 </w:t>
      </w:r>
      <w:r>
        <w:t>支架悬空</w:t>
      </w:r>
      <w:r>
        <w:rPr>
          <w:rFonts w:hint="eastAsia" w:ascii="MS UI Gothic" w:eastAsia="MS UI Gothic"/>
          <w:w w:val="80"/>
        </w:rPr>
        <w:t xml:space="preserve">、 </w:t>
      </w:r>
      <w:r>
        <w:t>窜矸等情况时</w:t>
      </w:r>
      <w:r>
        <w:rPr>
          <w:rFonts w:hint="eastAsia" w:ascii="MS UI Gothic" w:eastAsia="MS UI Gothic"/>
          <w:w w:val="80"/>
        </w:rPr>
        <w:t xml:space="preserve">ꎬ </w:t>
      </w:r>
      <w:r>
        <w:t>必须及时处理</w:t>
      </w:r>
      <w:r>
        <w:rPr>
          <w:rFonts w:hint="eastAsia" w:ascii="MS UI Gothic" w:eastAsia="MS UI Gothic"/>
          <w:w w:val="80"/>
        </w:rPr>
        <w:t xml:space="preserve">ꎮ </w:t>
      </w:r>
      <w:r>
        <w:t>支架沿走向弯曲</w:t>
      </w:r>
      <w:r>
        <w:rPr>
          <w:rFonts w:hint="eastAsia" w:ascii="MS UI Gothic" w:eastAsia="MS UI Gothic"/>
          <w:w w:val="80"/>
        </w:rPr>
        <w:t>、</w:t>
      </w:r>
      <w:r>
        <w:t>歪斜及角度超过作业规程规定时</w:t>
      </w:r>
      <w:r>
        <w:rPr>
          <w:rFonts w:hint="eastAsia" w:ascii="MS UI Gothic" w:eastAsia="MS UI Gothic"/>
          <w:w w:val="80"/>
        </w:rPr>
        <w:t xml:space="preserve">ꎬ </w:t>
      </w:r>
      <w:r>
        <w:t>必须在下一次放架过程中进行调整</w:t>
      </w:r>
      <w:r>
        <w:rPr>
          <w:rFonts w:hint="eastAsia" w:ascii="MS UI Gothic" w:eastAsia="MS UI Gothic"/>
          <w:w w:val="80"/>
        </w:rPr>
        <w:t xml:space="preserve">ꎮ </w:t>
      </w:r>
      <w:r>
        <w:t>应当经常检查支架上的螺栓和附件</w:t>
      </w:r>
      <w:r>
        <w:rPr>
          <w:rFonts w:hint="eastAsia" w:ascii="MS UI Gothic" w:eastAsia="MS UI Gothic"/>
          <w:w w:val="80"/>
        </w:rPr>
        <w:t xml:space="preserve">ꎬ </w:t>
      </w:r>
      <w:r>
        <w:t>如有松动</w:t>
      </w:r>
      <w:r>
        <w:rPr>
          <w:rFonts w:hint="eastAsia" w:ascii="MS UI Gothic" w:eastAsia="MS UI Gothic"/>
          <w:w w:val="80"/>
        </w:rPr>
        <w:t xml:space="preserve">ꎬ </w:t>
      </w:r>
      <w:r>
        <w:t>必须及时拧紧</w:t>
      </w:r>
      <w:r>
        <w:rPr>
          <w:rFonts w:hint="eastAsia" w:ascii="MS UI Gothic" w:eastAsia="MS UI Gothic"/>
          <w:w w:val="80"/>
        </w:rPr>
        <w:t>ꎮ</w:t>
      </w:r>
    </w:p>
    <w:p>
      <w:pPr>
        <w:pStyle w:val="6"/>
        <w:spacing w:line="295" w:lineRule="auto"/>
        <w:ind w:right="442"/>
        <w:rPr>
          <w:rFonts w:hint="eastAsia" w:ascii="MS UI Gothic" w:eastAsia="MS UI Gothic"/>
        </w:rPr>
      </w:pPr>
      <w:r>
        <w:t>正倾斜柔性掩护支架的每个回采带的两端</w:t>
      </w:r>
      <w:r>
        <w:rPr>
          <w:rFonts w:hint="eastAsia" w:ascii="MS UI Gothic" w:eastAsia="MS UI Gothic"/>
          <w:w w:val="80"/>
        </w:rPr>
        <w:t xml:space="preserve">ꎬ </w:t>
      </w:r>
      <w:r>
        <w:t>必须设置人行眼</w:t>
      </w:r>
      <w:r>
        <w:rPr>
          <w:rFonts w:hint="eastAsia" w:ascii="MS UI Gothic" w:eastAsia="MS UI Gothic"/>
          <w:w w:val="80"/>
        </w:rPr>
        <w:t xml:space="preserve">ꎬ </w:t>
      </w:r>
      <w:r>
        <w:t>并用木板与溜煤眼相隔</w:t>
      </w:r>
      <w:r>
        <w:rPr>
          <w:rFonts w:hint="eastAsia" w:ascii="MS UI Gothic" w:eastAsia="MS UI Gothic"/>
          <w:w w:val="80"/>
        </w:rPr>
        <w:t xml:space="preserve">ꎮ </w:t>
      </w:r>
      <w:r>
        <w:t xml:space="preserve">对伪倾斜柔性掩护支架工作面上下 </w:t>
      </w:r>
      <w:r>
        <w:rPr>
          <w:rFonts w:hint="eastAsia" w:ascii="MS UI Gothic" w:eastAsia="MS UI Gothic"/>
          <w:w w:val="80"/>
        </w:rPr>
        <w:t xml:space="preserve">２ </w:t>
      </w:r>
      <w:r>
        <w:t>个出口的要求和工作面的伪倾角</w:t>
      </w:r>
      <w:r>
        <w:rPr>
          <w:rFonts w:hint="eastAsia" w:ascii="MS UI Gothic" w:eastAsia="MS UI Gothic"/>
          <w:w w:val="80"/>
        </w:rPr>
        <w:t xml:space="preserve">ꎬ </w:t>
      </w:r>
      <w:r>
        <w:t>超前溜煤眼的规格</w:t>
      </w:r>
      <w:r>
        <w:rPr>
          <w:rFonts w:hint="eastAsia" w:ascii="MS UI Gothic" w:eastAsia="MS UI Gothic"/>
          <w:w w:val="80"/>
        </w:rPr>
        <w:t xml:space="preserve">、 </w:t>
      </w:r>
      <w:r>
        <w:t>间距和施工方式</w:t>
      </w:r>
      <w:r>
        <w:rPr>
          <w:rFonts w:hint="eastAsia" w:ascii="MS UI Gothic" w:eastAsia="MS UI Gothic"/>
          <w:w w:val="80"/>
        </w:rPr>
        <w:t xml:space="preserve">ꎬ </w:t>
      </w:r>
      <w:r>
        <w:t>必须在作业规程中规定</w:t>
      </w:r>
      <w:r>
        <w:rPr>
          <w:rFonts w:hint="eastAsia" w:ascii="MS UI Gothic" w:eastAsia="MS UI Gothic"/>
          <w:w w:val="80"/>
        </w:rPr>
        <w:t>ꎮ</w:t>
      </w:r>
    </w:p>
    <w:p>
      <w:pPr>
        <w:pStyle w:val="6"/>
        <w:spacing w:line="295" w:lineRule="auto"/>
        <w:ind w:right="442"/>
      </w:pPr>
      <w:r>
        <w:t>掩护支架接近平巷时</w:t>
      </w:r>
      <w:r>
        <w:rPr>
          <w:rFonts w:hint="eastAsia" w:ascii="MS UI Gothic" w:eastAsia="MS UI Gothic"/>
          <w:w w:val="80"/>
        </w:rPr>
        <w:t xml:space="preserve">ꎬ </w:t>
      </w:r>
      <w:r>
        <w:t>应当缩短每次下放支架的距离</w:t>
      </w:r>
      <w:r>
        <w:rPr>
          <w:rFonts w:hint="eastAsia" w:ascii="MS UI Gothic" w:eastAsia="MS UI Gothic"/>
          <w:w w:val="80"/>
        </w:rPr>
        <w:t xml:space="preserve">ꎬ </w:t>
      </w:r>
      <w:r>
        <w:t>并减少同时爆破的炮眼数目和装药量</w:t>
      </w:r>
      <w:r>
        <w:rPr>
          <w:rFonts w:hint="eastAsia" w:ascii="MS UI Gothic" w:eastAsia="MS UI Gothic"/>
          <w:w w:val="80"/>
        </w:rPr>
        <w:t xml:space="preserve">ꎮ </w:t>
      </w:r>
      <w:r>
        <w:t>掩护支架过平巷时</w:t>
      </w:r>
      <w:r>
        <w:rPr>
          <w:rFonts w:hint="eastAsia" w:ascii="MS UI Gothic" w:eastAsia="MS UI Gothic"/>
          <w:w w:val="80"/>
        </w:rPr>
        <w:t xml:space="preserve">ꎬ </w:t>
      </w:r>
      <w:r>
        <w:t>应当加强溜煤眼与平巷连接处的支护或者架设</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２５３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85" o:spid="_x0000_s1785" o:spt="203" style="height:2.15pt;width:398.25pt;" coordsize="7965,43">
            <o:lock v:ext="edit"/>
            <v:line id="_x0000_s1786" o:spid="_x0000_s1786" o:spt="20" style="position:absolute;left:0;top:39;height:0;width:7965;" stroked="t" coordsize="21600,21600">
              <v:path arrowok="t"/>
              <v:fill focussize="0,0"/>
              <v:stroke weight="0.388031496062992pt" color="#231F20"/>
              <v:imagedata o:title=""/>
              <o:lock v:ext="edit"/>
            </v:line>
            <v:line id="_x0000_s1787" o:spid="_x0000_s178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木垛</w:t>
      </w:r>
      <w:r>
        <w:rPr>
          <w:rFonts w:hint="eastAsia" w:ascii="MS UI Gothic" w:eastAsia="MS UI Gothic"/>
          <w:w w:val="80"/>
        </w:rPr>
        <w:t>ꎮ</w:t>
      </w:r>
    </w:p>
    <w:p>
      <w:pPr>
        <w:pStyle w:val="6"/>
        <w:spacing w:before="58" w:line="295" w:lineRule="auto"/>
        <w:ind w:left="440"/>
        <w:rPr>
          <w:rFonts w:hint="eastAsia" w:ascii="MS UI Gothic" w:eastAsia="MS UI Gothic"/>
        </w:rPr>
      </w:pPr>
      <w:r>
        <w:rPr>
          <w:w w:val="105"/>
        </w:rPr>
        <w:t>第一百一十三条 采用水力采煤时</w:t>
      </w:r>
      <w:r>
        <w:rPr>
          <w:rFonts w:hint="eastAsia" w:ascii="MS UI Gothic" w:eastAsia="MS UI Gothic"/>
          <w:w w:val="80"/>
        </w:rPr>
        <w:t>ꎬ</w:t>
      </w:r>
      <w:r>
        <w:rPr>
          <w:w w:val="110"/>
        </w:rPr>
        <w:t>必须遵守下列规定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第一次采用水力采煤的矿井</w:t>
      </w:r>
      <w:r>
        <w:rPr>
          <w:rFonts w:hint="eastAsia" w:ascii="MS UI Gothic" w:eastAsia="MS UI Gothic"/>
          <w:w w:val="80"/>
        </w:rPr>
        <w:t>ꎬ</w:t>
      </w:r>
      <w:r>
        <w:rPr>
          <w:w w:val="105"/>
        </w:rPr>
        <w:t>必须根据矿井地质条件</w:t>
      </w:r>
      <w:r>
        <w:rPr>
          <w:rFonts w:hint="eastAsia" w:ascii="MS UI Gothic" w:eastAsia="MS UI Gothic"/>
          <w:w w:val="80"/>
        </w:rPr>
        <w:t xml:space="preserve">、 </w:t>
      </w:r>
      <w:r>
        <w:rPr>
          <w:w w:val="105"/>
        </w:rPr>
        <w:t>煤层赋存条件等</w:t>
      </w:r>
      <w:r>
        <w:t>因素编制开采设计</w:t>
      </w:r>
      <w:r>
        <w:rPr>
          <w:rFonts w:hint="eastAsia" w:ascii="MS UI Gothic" w:eastAsia="MS UI Gothic"/>
          <w:w w:val="80"/>
        </w:rPr>
        <w:t xml:space="preserve">ꎬ </w:t>
      </w:r>
      <w:r>
        <w:t>并经行业专家论证</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水采工作面必须采用矿井全风压通风</w:t>
      </w:r>
      <w:r>
        <w:rPr>
          <w:rFonts w:hint="eastAsia" w:ascii="MS UI Gothic" w:eastAsia="MS UI Gothic"/>
          <w:w w:val="80"/>
        </w:rPr>
        <w:t xml:space="preserve">ꎮ </w:t>
      </w:r>
      <w:r>
        <w:t xml:space="preserve">可以采用多条回采巷道共用 </w:t>
      </w:r>
      <w:r>
        <w:rPr>
          <w:rFonts w:hint="eastAsia" w:ascii="MS UI Gothic" w:eastAsia="MS UI Gothic"/>
          <w:w w:val="80"/>
        </w:rPr>
        <w:t xml:space="preserve">１ </w:t>
      </w:r>
      <w:r>
        <w:t>条回风巷的布置方式</w:t>
      </w:r>
      <w:r>
        <w:rPr>
          <w:rFonts w:hint="eastAsia" w:ascii="MS UI Gothic" w:eastAsia="MS UI Gothic"/>
          <w:w w:val="80"/>
        </w:rPr>
        <w:t xml:space="preserve">ꎬ </w:t>
      </w:r>
      <w:r>
        <w:t xml:space="preserve">但回采巷道数量不得超过 </w:t>
      </w:r>
      <w:r>
        <w:rPr>
          <w:rFonts w:hint="eastAsia" w:ascii="MS UI Gothic" w:eastAsia="MS UI Gothic"/>
          <w:w w:val="80"/>
        </w:rPr>
        <w:t xml:space="preserve">３ </w:t>
      </w:r>
      <w:r>
        <w:t>个</w:t>
      </w:r>
      <w:r>
        <w:rPr>
          <w:rFonts w:hint="eastAsia" w:ascii="MS UI Gothic" w:eastAsia="MS UI Gothic"/>
          <w:w w:val="80"/>
        </w:rPr>
        <w:t xml:space="preserve">ꎬ </w:t>
      </w:r>
      <w:r>
        <w:t>且必须正台阶布置</w:t>
      </w:r>
      <w:r>
        <w:rPr>
          <w:rFonts w:hint="eastAsia" w:ascii="MS UI Gothic" w:eastAsia="MS UI Gothic"/>
          <w:w w:val="80"/>
        </w:rPr>
        <w:t xml:space="preserve">ꎬ </w:t>
      </w:r>
      <w:r>
        <w:t>单枪作业</w:t>
      </w:r>
      <w:r>
        <w:rPr>
          <w:rFonts w:hint="eastAsia" w:ascii="MS UI Gothic" w:eastAsia="MS UI Gothic"/>
          <w:w w:val="80"/>
        </w:rPr>
        <w:t xml:space="preserve">ꎬ </w:t>
      </w:r>
      <w:r>
        <w:t>依次回采</w:t>
      </w:r>
      <w:r>
        <w:rPr>
          <w:rFonts w:hint="eastAsia" w:ascii="MS UI Gothic" w:eastAsia="MS UI Gothic"/>
          <w:w w:val="80"/>
        </w:rPr>
        <w:t xml:space="preserve">ꎮ </w:t>
      </w:r>
      <w:r>
        <w:t>采用倾斜短壁水力采煤法时</w:t>
      </w:r>
      <w:r>
        <w:rPr>
          <w:rFonts w:hint="eastAsia" w:ascii="MS UI Gothic" w:eastAsia="MS UI Gothic"/>
          <w:w w:val="80"/>
        </w:rPr>
        <w:t xml:space="preserve">ꎬ </w:t>
      </w:r>
      <w:r>
        <w:t>回采巷道两侧的回采煤垛应当上下错开</w:t>
      </w:r>
      <w:r>
        <w:rPr>
          <w:rFonts w:hint="eastAsia" w:ascii="MS UI Gothic" w:eastAsia="MS UI Gothic"/>
          <w:w w:val="80"/>
        </w:rPr>
        <w:t xml:space="preserve">ꎬ </w:t>
      </w:r>
      <w:r>
        <w:t>左右交替采煤</w:t>
      </w:r>
      <w:r>
        <w:rPr>
          <w:rFonts w:hint="eastAsia" w:ascii="MS UI Gothic" w:eastAsia="MS UI Gothic"/>
          <w:w w:val="80"/>
        </w:rPr>
        <w:t>ꎮ</w:t>
      </w:r>
    </w:p>
    <w:p>
      <w:pPr>
        <w:pStyle w:val="6"/>
        <w:spacing w:line="295" w:lineRule="auto"/>
        <w:ind w:left="440" w:right="1"/>
        <w:rPr>
          <w:rFonts w:hint="eastAsia" w:ascii="MS UI Gothic" w:eastAsia="MS UI Gothic"/>
        </w:rPr>
      </w:pPr>
      <w:r>
        <w:t>应当根据煤层自然发火期进行区段划分</w:t>
      </w:r>
      <w:r>
        <w:rPr>
          <w:rFonts w:hint="eastAsia" w:ascii="MS UI Gothic" w:eastAsia="MS UI Gothic"/>
          <w:w w:val="80"/>
        </w:rPr>
        <w:t xml:space="preserve">ꎬ </w:t>
      </w:r>
      <w:r>
        <w:t>保证划分区段在自然发火期内采完并及时密闭</w:t>
      </w:r>
      <w:r>
        <w:rPr>
          <w:rFonts w:hint="eastAsia" w:ascii="MS UI Gothic" w:eastAsia="MS UI Gothic"/>
          <w:w w:val="80"/>
        </w:rPr>
        <w:t xml:space="preserve">ꎮ </w:t>
      </w:r>
      <w:r>
        <w:t>密闭设施必须进行专项设计</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2"/>
          <w:w w:val="150"/>
        </w:rPr>
        <w:t xml:space="preserve">) </w:t>
      </w:r>
      <w:r>
        <w:rPr>
          <w:spacing w:val="5"/>
          <w:w w:val="105"/>
        </w:rPr>
        <w:t>相邻回采巷道及工作面回风巷</w:t>
      </w:r>
      <w:r>
        <w:rPr>
          <w:spacing w:val="3"/>
          <w:w w:val="105"/>
        </w:rPr>
        <w:t>之间必须开凿联络巷</w:t>
      </w:r>
      <w:r>
        <w:rPr>
          <w:rFonts w:hint="eastAsia" w:ascii="MS UI Gothic" w:eastAsia="MS UI Gothic"/>
          <w:spacing w:val="-2"/>
          <w:w w:val="80"/>
        </w:rPr>
        <w:t xml:space="preserve">ꎬ </w:t>
      </w:r>
      <w:r>
        <w:rPr>
          <w:spacing w:val="3"/>
          <w:w w:val="105"/>
        </w:rPr>
        <w:t>用以通风</w:t>
      </w:r>
      <w:r>
        <w:rPr>
          <w:rFonts w:hint="eastAsia" w:ascii="MS UI Gothic" w:eastAsia="MS UI Gothic"/>
          <w:spacing w:val="-2"/>
          <w:w w:val="80"/>
        </w:rPr>
        <w:t xml:space="preserve">、 </w:t>
      </w:r>
      <w:r>
        <w:rPr>
          <w:spacing w:val="2"/>
          <w:w w:val="105"/>
        </w:rPr>
        <w:t>运料和</w:t>
      </w:r>
      <w:r>
        <w:rPr>
          <w:spacing w:val="3"/>
          <w:w w:val="105"/>
        </w:rPr>
        <w:t>行人</w:t>
      </w:r>
      <w:r>
        <w:rPr>
          <w:rFonts w:hint="eastAsia" w:ascii="MS UI Gothic" w:eastAsia="MS UI Gothic"/>
          <w:spacing w:val="14"/>
          <w:w w:val="80"/>
        </w:rPr>
        <w:t xml:space="preserve">ꎮ </w:t>
      </w:r>
      <w:r>
        <w:rPr>
          <w:spacing w:val="18"/>
          <w:w w:val="105"/>
        </w:rPr>
        <w:t xml:space="preserve">应当及时安设和调整风帘 </w:t>
      </w:r>
      <w:r>
        <w:rPr>
          <w:rFonts w:hint="eastAsia" w:ascii="MS UI Gothic" w:eastAsia="MS UI Gothic"/>
          <w:spacing w:val="-34"/>
          <w:w w:val="150"/>
        </w:rPr>
        <w:t xml:space="preserve">( </w:t>
      </w:r>
      <w:r>
        <w:rPr>
          <w:spacing w:val="19"/>
          <w:w w:val="105"/>
        </w:rPr>
        <w:t>窗</w:t>
      </w:r>
      <w:r>
        <w:rPr>
          <w:rFonts w:hint="eastAsia" w:ascii="MS UI Gothic" w:eastAsia="MS UI Gothic"/>
          <w:w w:val="150"/>
        </w:rPr>
        <w:t xml:space="preserve">) </w:t>
      </w:r>
      <w:r>
        <w:rPr>
          <w:spacing w:val="3"/>
        </w:rPr>
        <w:t>等控风设施</w:t>
      </w:r>
      <w:r>
        <w:rPr>
          <w:rFonts w:hint="eastAsia" w:ascii="MS UI Gothic" w:eastAsia="MS UI Gothic"/>
          <w:spacing w:val="21"/>
          <w:w w:val="80"/>
        </w:rPr>
        <w:t xml:space="preserve">ꎬ </w:t>
      </w:r>
      <w:r>
        <w:rPr>
          <w:spacing w:val="2"/>
        </w:rPr>
        <w:t>联络巷间距和支护形式必须</w:t>
      </w:r>
      <w:r>
        <w:rPr>
          <w:spacing w:val="3"/>
          <w:w w:val="105"/>
        </w:rPr>
        <w:t>在作业规程中规定</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采煤工作面应当采用闭式顺序</w:t>
      </w:r>
      <w:r>
        <w:t>落煤</w:t>
      </w:r>
      <w:r>
        <w:rPr>
          <w:rFonts w:hint="eastAsia" w:ascii="MS UI Gothic" w:eastAsia="MS UI Gothic"/>
          <w:w w:val="80"/>
        </w:rPr>
        <w:t xml:space="preserve">ꎬ </w:t>
      </w:r>
      <w:r>
        <w:t>贯通前的采硐可以采用局部通风机辅助通风</w:t>
      </w:r>
      <w:r>
        <w:rPr>
          <w:rFonts w:hint="eastAsia" w:ascii="MS UI Gothic" w:eastAsia="MS UI Gothic"/>
          <w:w w:val="80"/>
        </w:rPr>
        <w:t xml:space="preserve">ꎮ </w:t>
      </w:r>
      <w:r>
        <w:t>应当在作业规程中明确工作面</w:t>
      </w:r>
      <w:r>
        <w:rPr>
          <w:w w:val="105"/>
        </w:rPr>
        <w:t>顶煤</w:t>
      </w:r>
      <w:r>
        <w:rPr>
          <w:rFonts w:hint="eastAsia" w:ascii="MS UI Gothic" w:eastAsia="MS UI Gothic"/>
          <w:w w:val="80"/>
        </w:rPr>
        <w:t xml:space="preserve">、 </w:t>
      </w:r>
      <w:r>
        <w:rPr>
          <w:w w:val="105"/>
        </w:rPr>
        <w:t>顶板突然垮落时的安全技术措施</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45"/>
        </w:rPr>
        <w:t xml:space="preserve">( </w:t>
      </w:r>
      <w:r>
        <w:t>五</w:t>
      </w:r>
      <w:r>
        <w:rPr>
          <w:rFonts w:hint="eastAsia" w:ascii="MS UI Gothic" w:eastAsia="MS UI Gothic"/>
          <w:w w:val="145"/>
        </w:rPr>
        <w:t xml:space="preserve">) </w:t>
      </w:r>
      <w:r>
        <w:t>回采水枪应当使用液控水枪</w:t>
      </w:r>
      <w:r>
        <w:rPr>
          <w:rFonts w:hint="eastAsia" w:ascii="MS UI Gothic" w:eastAsia="MS UI Gothic"/>
          <w:w w:val="80"/>
        </w:rPr>
        <w:t>ꎬ</w:t>
      </w:r>
      <w:r>
        <w:t xml:space="preserve">水枪到控制台距离不得小于 </w:t>
      </w:r>
      <w:r>
        <w:rPr>
          <w:rFonts w:hint="eastAsia" w:ascii="MS UI Gothic" w:eastAsia="MS UI Gothic"/>
          <w:w w:val="80"/>
        </w:rPr>
        <w:t xml:space="preserve">１０ ｍꎮ </w:t>
      </w:r>
      <w:r>
        <w:t>对使用中的水枪</w:t>
      </w:r>
      <w:r>
        <w:rPr>
          <w:rFonts w:hint="eastAsia" w:ascii="MS UI Gothic" w:eastAsia="MS UI Gothic"/>
          <w:w w:val="80"/>
        </w:rPr>
        <w:t xml:space="preserve">ꎬ </w:t>
      </w:r>
      <w:r>
        <w:t xml:space="preserve">每 </w:t>
      </w:r>
      <w:r>
        <w:rPr>
          <w:rFonts w:hint="eastAsia" w:ascii="MS UI Gothic" w:eastAsia="MS UI Gothic"/>
          <w:w w:val="80"/>
        </w:rPr>
        <w:t xml:space="preserve">３ </w:t>
      </w:r>
      <w:r>
        <w:t xml:space="preserve">个月应当至少进行 </w:t>
      </w:r>
      <w:r>
        <w:rPr>
          <w:rFonts w:hint="eastAsia" w:ascii="MS UI Gothic" w:eastAsia="MS UI Gothic"/>
          <w:w w:val="80"/>
        </w:rPr>
        <w:t xml:space="preserve">１ </w:t>
      </w:r>
      <w:r>
        <w:t>次耐压试验</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采煤工作面附近必须设置通信</w:t>
      </w:r>
      <w:r>
        <w:t>设备</w:t>
      </w:r>
      <w:r>
        <w:rPr>
          <w:rFonts w:hint="eastAsia" w:ascii="MS UI Gothic" w:eastAsia="MS UI Gothic"/>
          <w:w w:val="80"/>
        </w:rPr>
        <w:t xml:space="preserve">ꎬ </w:t>
      </w:r>
      <w:r>
        <w:t>在水枪附近必须有直通高压泵房的</w:t>
      </w:r>
      <w:r>
        <w:rPr>
          <w:w w:val="105"/>
        </w:rPr>
        <w:t>声光兼备的信号装置</w:t>
      </w:r>
      <w:r>
        <w:rPr>
          <w:rFonts w:hint="eastAsia" w:ascii="MS UI Gothic" w:eastAsia="MS UI Gothic"/>
          <w:w w:val="80"/>
        </w:rPr>
        <w:t>ꎮ</w:t>
      </w:r>
    </w:p>
    <w:p>
      <w:pPr>
        <w:pStyle w:val="6"/>
        <w:spacing w:line="295" w:lineRule="auto"/>
        <w:ind w:left="440"/>
      </w:pPr>
      <w:r>
        <w:t>严禁水枪司机在无支护条件下作业</w:t>
      </w:r>
      <w:r>
        <w:rPr>
          <w:rFonts w:hint="eastAsia" w:ascii="MS UI Gothic" w:eastAsia="MS UI Gothic"/>
          <w:w w:val="80"/>
        </w:rPr>
        <w:t>ꎮ</w:t>
      </w:r>
      <w:r>
        <w:rPr>
          <w:w w:val="105"/>
        </w:rPr>
        <w:t>水枪司机与煤水泵司机</w:t>
      </w:r>
      <w:r>
        <w:rPr>
          <w:rFonts w:hint="eastAsia" w:ascii="MS UI Gothic" w:eastAsia="MS UI Gothic"/>
          <w:w w:val="80"/>
        </w:rPr>
        <w:t xml:space="preserve">、 </w:t>
      </w:r>
      <w:r>
        <w:rPr>
          <w:w w:val="105"/>
        </w:rPr>
        <w:t>高压泵司机之间</w:t>
      </w:r>
    </w:p>
    <w:p>
      <w:pPr>
        <w:pStyle w:val="6"/>
        <w:spacing w:line="238" w:lineRule="exact"/>
        <w:ind w:left="440" w:firstLine="0"/>
        <w:jc w:val="left"/>
        <w:rPr>
          <w:rFonts w:hint="eastAsia" w:ascii="MS UI Gothic" w:eastAsia="MS UI Gothic"/>
        </w:rPr>
      </w:pPr>
      <w:r>
        <w:t>必须装电话及声光兼备的信号装置</w:t>
      </w:r>
      <w:r>
        <w:rPr>
          <w:rFonts w:hint="eastAsia" w:ascii="MS UI Gothic" w:eastAsia="MS UI Gothic"/>
          <w:w w:val="80"/>
        </w:rPr>
        <w:t>ꎮ</w:t>
      </w:r>
    </w:p>
    <w:p>
      <w:pPr>
        <w:pStyle w:val="6"/>
        <w:spacing w:before="124" w:line="295" w:lineRule="auto"/>
        <w:ind w:left="381" w:right="126" w:firstLine="0"/>
        <w:rPr>
          <w:rFonts w:hint="eastAsia" w:ascii="MS UI Gothic" w:eastAsia="MS UI Gothic"/>
        </w:rPr>
      </w:pPr>
      <w:r>
        <w:br w:type="column"/>
      </w:r>
      <w:r>
        <w:t xml:space="preserve">于 </w:t>
      </w:r>
      <w:r>
        <w:rPr>
          <w:rFonts w:hint="eastAsia" w:ascii="MS UI Gothic" w:eastAsia="MS UI Gothic"/>
        </w:rPr>
        <w:t>１ ｍ</w:t>
      </w:r>
      <w:r>
        <w:rPr>
          <w:rFonts w:hint="eastAsia" w:ascii="MS UI Gothic" w:eastAsia="MS UI Gothic"/>
          <w:w w:val="80"/>
        </w:rPr>
        <w:t xml:space="preserve">ꎻ </w:t>
      </w:r>
      <w:r>
        <w:t>在拐弯</w:t>
      </w:r>
      <w:r>
        <w:rPr>
          <w:rFonts w:hint="eastAsia" w:ascii="MS UI Gothic" w:eastAsia="MS UI Gothic"/>
        </w:rPr>
        <w:t xml:space="preserve">、 </w:t>
      </w:r>
      <w:r>
        <w:t>倾角突然变大及有煤浆溅出的地点</w:t>
      </w:r>
      <w:r>
        <w:rPr>
          <w:rFonts w:hint="eastAsia" w:ascii="MS UI Gothic" w:eastAsia="MS UI Gothic"/>
          <w:w w:val="80"/>
        </w:rPr>
        <w:t xml:space="preserve">ꎬ </w:t>
      </w:r>
      <w:r>
        <w:t>在明槽处应当加高挡板或者加盖</w:t>
      </w:r>
      <w:r>
        <w:rPr>
          <w:rFonts w:hint="eastAsia" w:ascii="MS UI Gothic" w:eastAsia="MS UI Gothic"/>
          <w:w w:val="80"/>
        </w:rPr>
        <w:t xml:space="preserve">ꎮ </w:t>
      </w:r>
      <w:r>
        <w:t>在行人经常跨过的明槽处</w:t>
      </w:r>
      <w:r>
        <w:rPr>
          <w:rFonts w:hint="eastAsia" w:ascii="MS UI Gothic" w:eastAsia="MS UI Gothic"/>
          <w:w w:val="80"/>
        </w:rPr>
        <w:t xml:space="preserve">ꎬ </w:t>
      </w:r>
      <w:r>
        <w:t>必须设过桥</w:t>
      </w:r>
      <w:r>
        <w:rPr>
          <w:rFonts w:hint="eastAsia" w:ascii="MS UI Gothic" w:eastAsia="MS UI Gothic"/>
          <w:w w:val="80"/>
        </w:rPr>
        <w:t xml:space="preserve">ꎮ </w:t>
      </w:r>
      <w:r>
        <w:t>必须保持巷道行人侧畅通</w:t>
      </w:r>
      <w:r>
        <w:rPr>
          <w:rFonts w:hint="eastAsia" w:ascii="MS UI Gothic" w:eastAsia="MS UI Gothic"/>
          <w:w w:val="80"/>
        </w:rPr>
        <w:t>ꎮ</w:t>
      </w:r>
    </w:p>
    <w:p>
      <w:pPr>
        <w:pStyle w:val="6"/>
        <w:spacing w:line="295" w:lineRule="auto"/>
        <w:ind w:left="381" w:right="126"/>
        <w:rPr>
          <w:rFonts w:hint="eastAsia" w:ascii="MS UI Gothic" w:eastAsia="MS UI Gothic"/>
        </w:rPr>
      </w:pPr>
      <w:r>
        <w:t>除不行人的急倾斜专用岩石溜煤眼外</w:t>
      </w:r>
      <w:r>
        <w:rPr>
          <w:rFonts w:hint="eastAsia" w:ascii="MS UI Gothic" w:eastAsia="MS UI Gothic"/>
          <w:w w:val="80"/>
        </w:rPr>
        <w:t xml:space="preserve">ꎬ </w:t>
      </w:r>
      <w:r>
        <w:t>不得无槽</w:t>
      </w:r>
      <w:r>
        <w:rPr>
          <w:rFonts w:hint="eastAsia" w:ascii="MS UI Gothic" w:eastAsia="MS UI Gothic"/>
          <w:w w:val="80"/>
        </w:rPr>
        <w:t xml:space="preserve">、 </w:t>
      </w:r>
      <w:r>
        <w:t>无沟沿巷道底板运输煤浆</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工作面回风巷内严禁设置电气</w:t>
      </w:r>
      <w:r>
        <w:t>设备</w:t>
      </w:r>
      <w:r>
        <w:rPr>
          <w:rFonts w:hint="eastAsia" w:ascii="MS UI Gothic" w:eastAsia="MS UI Gothic"/>
          <w:w w:val="80"/>
        </w:rPr>
        <w:t xml:space="preserve">ꎬ </w:t>
      </w:r>
      <w:r>
        <w:t>在水枪落煤期间严禁行人和安排其</w:t>
      </w:r>
      <w:r>
        <w:rPr>
          <w:w w:val="105"/>
        </w:rPr>
        <w:t>他作业</w:t>
      </w:r>
      <w:r>
        <w:rPr>
          <w:rFonts w:hint="eastAsia" w:ascii="MS UI Gothic" w:eastAsia="MS UI Gothic"/>
          <w:w w:val="80"/>
        </w:rPr>
        <w:t>ꎮ</w:t>
      </w:r>
    </w:p>
    <w:p>
      <w:pPr>
        <w:pStyle w:val="6"/>
        <w:spacing w:line="295" w:lineRule="auto"/>
        <w:ind w:left="381" w:right="126"/>
        <w:rPr>
          <w:rFonts w:hint="eastAsia" w:ascii="MS UI Gothic" w:eastAsia="MS UI Gothic"/>
        </w:rPr>
      </w:pPr>
      <w:r>
        <w:t>有下列情形之一的</w:t>
      </w:r>
      <w:r>
        <w:rPr>
          <w:rFonts w:hint="eastAsia" w:ascii="MS UI Gothic" w:eastAsia="MS UI Gothic"/>
          <w:w w:val="80"/>
        </w:rPr>
        <w:t xml:space="preserve">ꎬ </w:t>
      </w:r>
      <w:r>
        <w:t>严禁采用水力</w:t>
      </w:r>
      <w:r>
        <w:rPr>
          <w:w w:val="110"/>
        </w:rPr>
        <w:t>采煤</w:t>
      </w:r>
      <w:r>
        <w:rPr>
          <w:rFonts w:hint="eastAsia" w:ascii="MS UI Gothic" w:eastAsia="MS UI Gothic"/>
          <w:w w:val="235"/>
        </w:rPr>
        <w:t>:</w:t>
      </w:r>
    </w:p>
    <w:p>
      <w:pPr>
        <w:pStyle w:val="6"/>
        <w:spacing w:line="285" w:lineRule="auto"/>
        <w:ind w:left="381" w:right="126"/>
        <w:rPr>
          <w:rFonts w:hint="eastAsia" w:ascii="MS UI Gothic" w:eastAsia="MS UI Gothic"/>
        </w:rPr>
      </w:pPr>
      <w:r>
        <w:rPr>
          <w:rFonts w:hint="eastAsia" w:ascii="MS UI Gothic" w:eastAsia="MS UI Gothic"/>
          <w:w w:val="140"/>
        </w:rPr>
        <w:t xml:space="preserve">( </w:t>
      </w:r>
      <w:r>
        <w:t>一</w:t>
      </w:r>
      <w:r>
        <w:rPr>
          <w:rFonts w:hint="eastAsia" w:ascii="MS UI Gothic" w:eastAsia="MS UI Gothic"/>
          <w:w w:val="140"/>
        </w:rPr>
        <w:t xml:space="preserve">) </w:t>
      </w:r>
      <w:r>
        <w:t>突出矿井</w:t>
      </w:r>
      <w:r>
        <w:rPr>
          <w:rFonts w:hint="eastAsia" w:ascii="MS UI Gothic" w:eastAsia="MS UI Gothic"/>
          <w:w w:val="75"/>
        </w:rPr>
        <w:t xml:space="preserve">ꎬ </w:t>
      </w:r>
      <w:r>
        <w:t xml:space="preserve">以及掘进工作面瓦斯涌出量大于 </w:t>
      </w:r>
      <w:r>
        <w:rPr>
          <w:rFonts w:hint="eastAsia" w:ascii="MS UI Gothic" w:eastAsia="MS UI Gothic"/>
        </w:rPr>
        <w:t>３ ｍ</w:t>
      </w:r>
      <w:r>
        <w:rPr>
          <w:rFonts w:hint="eastAsia" w:ascii="MS UI Gothic" w:eastAsia="MS UI Gothic"/>
          <w:position w:val="9"/>
          <w:sz w:val="12"/>
        </w:rPr>
        <w:t xml:space="preserve">３ </w:t>
      </w:r>
      <w:r>
        <w:rPr>
          <w:rFonts w:hint="eastAsia" w:ascii="MS UI Gothic" w:eastAsia="MS UI Gothic"/>
          <w:w w:val="75"/>
        </w:rPr>
        <w:t xml:space="preserve">/ </w:t>
      </w:r>
      <w:r>
        <w:rPr>
          <w:rFonts w:hint="eastAsia" w:ascii="MS UI Gothic" w:eastAsia="MS UI Gothic"/>
        </w:rPr>
        <w:t xml:space="preserve">ｍｉｎ </w:t>
      </w:r>
      <w:r>
        <w:t>的高瓦斯矿井</w:t>
      </w:r>
      <w:r>
        <w:rPr>
          <w:rFonts w:hint="eastAsia" w:ascii="MS UI Gothic" w:eastAsia="MS UI Gothic"/>
          <w:w w:val="75"/>
        </w:rPr>
        <w:t>ꎮ</w:t>
      </w:r>
    </w:p>
    <w:p>
      <w:pPr>
        <w:pStyle w:val="6"/>
        <w:ind w:left="80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顶板不稳定的煤层</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rFonts w:hint="eastAsia" w:ascii="MS UI Gothic" w:eastAsia="MS UI Gothic"/>
          <w:w w:val="120"/>
        </w:rPr>
        <w:t xml:space="preserve">( </w:t>
      </w:r>
      <w:r>
        <w:rPr>
          <w:w w:val="110"/>
        </w:rPr>
        <w:t>三</w:t>
      </w:r>
      <w:r>
        <w:rPr>
          <w:rFonts w:hint="eastAsia" w:ascii="MS UI Gothic" w:eastAsia="MS UI Gothic"/>
          <w:w w:val="120"/>
        </w:rPr>
        <w:t xml:space="preserve">) </w:t>
      </w:r>
      <w:r>
        <w:rPr>
          <w:w w:val="110"/>
        </w:rPr>
        <w:t>顶底板容易泥化或者底鼓的煤层</w:t>
      </w:r>
      <w:r>
        <w:rPr>
          <w:rFonts w:hint="eastAsia" w:ascii="MS UI Gothic" w:eastAsia="MS UI Gothic"/>
          <w:w w:val="80"/>
        </w:rPr>
        <w:t>ꎮ</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容易自燃煤层</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w w:val="105"/>
        </w:rPr>
        <w:t>第一百一十四条 采用综合机械化采</w:t>
      </w:r>
      <w:r>
        <w:rPr>
          <w:w w:val="110"/>
        </w:rPr>
        <w:t>煤时必须遵守下列规定</w:t>
      </w:r>
      <w:r>
        <w:rPr>
          <w:rFonts w:hint="eastAsia" w:ascii="MS UI Gothic" w:eastAsia="MS UI Gothic"/>
          <w:w w:val="235"/>
        </w:rPr>
        <w:t>:</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必须根据矿井各个生产环节</w:t>
      </w:r>
      <w:r>
        <w:rPr>
          <w:rFonts w:hint="eastAsia" w:ascii="MS UI Gothic" w:eastAsia="MS UI Gothic"/>
          <w:w w:val="80"/>
        </w:rPr>
        <w:t>、</w:t>
      </w:r>
      <w:r>
        <w:rPr>
          <w:w w:val="105"/>
        </w:rPr>
        <w:t>煤层地质条件</w:t>
      </w:r>
      <w:r>
        <w:rPr>
          <w:rFonts w:hint="eastAsia" w:ascii="MS UI Gothic" w:eastAsia="MS UI Gothic"/>
          <w:w w:val="80"/>
        </w:rPr>
        <w:t xml:space="preserve">、 </w:t>
      </w:r>
      <w:r>
        <w:rPr>
          <w:w w:val="105"/>
        </w:rPr>
        <w:t>厚度倾角</w:t>
      </w:r>
      <w:r>
        <w:rPr>
          <w:rFonts w:hint="eastAsia" w:ascii="MS UI Gothic" w:eastAsia="MS UI Gothic"/>
          <w:w w:val="80"/>
        </w:rPr>
        <w:t xml:space="preserve">、 </w:t>
      </w:r>
      <w:r>
        <w:rPr>
          <w:w w:val="105"/>
        </w:rPr>
        <w:t>瓦斯涌出量</w:t>
      </w:r>
      <w:r>
        <w:rPr>
          <w:rFonts w:hint="eastAsia" w:ascii="MS UI Gothic" w:eastAsia="MS UI Gothic"/>
          <w:w w:val="80"/>
        </w:rPr>
        <w:t>、</w:t>
      </w:r>
      <w:r>
        <w:t>自然发火倾向和矿山压力等因素</w:t>
      </w:r>
      <w:r>
        <w:rPr>
          <w:rFonts w:hint="eastAsia" w:ascii="MS UI Gothic" w:eastAsia="MS UI Gothic"/>
          <w:w w:val="80"/>
        </w:rPr>
        <w:t xml:space="preserve">ꎬ </w:t>
      </w:r>
      <w:r>
        <w:t>编制工</w:t>
      </w:r>
      <w:r>
        <w:rPr>
          <w:w w:val="105"/>
        </w:rPr>
        <w:t>作面设计</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运送</w:t>
      </w:r>
      <w:r>
        <w:rPr>
          <w:rFonts w:hint="eastAsia" w:ascii="MS UI Gothic" w:eastAsia="MS UI Gothic"/>
          <w:w w:val="80"/>
        </w:rPr>
        <w:t xml:space="preserve">、 </w:t>
      </w:r>
      <w:r>
        <w:rPr>
          <w:w w:val="105"/>
        </w:rPr>
        <w:t>安装和拆除综采设备</w:t>
      </w:r>
      <w:r>
        <w:t>时</w:t>
      </w:r>
      <w:r>
        <w:rPr>
          <w:rFonts w:hint="eastAsia" w:ascii="MS UI Gothic" w:eastAsia="MS UI Gothic"/>
          <w:w w:val="80"/>
        </w:rPr>
        <w:t xml:space="preserve">ꎬ </w:t>
      </w:r>
      <w:r>
        <w:t>必须有安全措施</w:t>
      </w:r>
      <w:r>
        <w:rPr>
          <w:rFonts w:hint="eastAsia" w:ascii="MS UI Gothic" w:eastAsia="MS UI Gothic"/>
          <w:w w:val="80"/>
        </w:rPr>
        <w:t xml:space="preserve">ꎬ </w:t>
      </w:r>
      <w:r>
        <w:t>明确规定运送方</w:t>
      </w:r>
      <w:r>
        <w:rPr>
          <w:w w:val="105"/>
        </w:rPr>
        <w:t>式</w:t>
      </w:r>
      <w:r>
        <w:rPr>
          <w:rFonts w:hint="eastAsia" w:ascii="MS UI Gothic" w:eastAsia="MS UI Gothic"/>
          <w:w w:val="80"/>
        </w:rPr>
        <w:t xml:space="preserve">、 </w:t>
      </w:r>
      <w:r>
        <w:rPr>
          <w:w w:val="105"/>
        </w:rPr>
        <w:t>安装质量</w:t>
      </w:r>
      <w:r>
        <w:rPr>
          <w:rFonts w:hint="eastAsia" w:ascii="MS UI Gothic" w:eastAsia="MS UI Gothic"/>
          <w:w w:val="80"/>
        </w:rPr>
        <w:t xml:space="preserve">、 </w:t>
      </w:r>
      <w:r>
        <w:rPr>
          <w:w w:val="105"/>
        </w:rPr>
        <w:t>拆装工艺和控制顶板的措施</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rPr>
          <w:rFonts w:hint="eastAsia" w:ascii="MS UI Gothic" w:hAnsi="MS UI Gothic" w:eastAsia="MS UI Gothic"/>
          <w:spacing w:val="-29"/>
          <w:w w:val="140"/>
        </w:rPr>
        <w:t xml:space="preserve">( </w:t>
      </w:r>
      <w:r>
        <w:rPr>
          <w:spacing w:val="3"/>
        </w:rPr>
        <w:t>三</w:t>
      </w:r>
      <w:r>
        <w:rPr>
          <w:rFonts w:hint="eastAsia" w:ascii="MS UI Gothic" w:hAnsi="MS UI Gothic" w:eastAsia="MS UI Gothic"/>
          <w:w w:val="140"/>
        </w:rPr>
        <w:t xml:space="preserve">) </w:t>
      </w:r>
      <w:r>
        <w:rPr>
          <w:spacing w:val="5"/>
        </w:rPr>
        <w:t>工作面煤壁</w:t>
      </w:r>
      <w:r>
        <w:rPr>
          <w:rFonts w:hint="eastAsia" w:ascii="MS UI Gothic" w:hAnsi="MS UI Gothic" w:eastAsia="MS UI Gothic"/>
          <w:spacing w:val="22"/>
          <w:w w:val="85"/>
        </w:rPr>
        <w:t xml:space="preserve">、 </w:t>
      </w:r>
      <w:r>
        <w:rPr>
          <w:spacing w:val="9"/>
        </w:rPr>
        <w:t>刮板输送机和支</w:t>
      </w:r>
      <w:r>
        <w:rPr>
          <w:spacing w:val="3"/>
        </w:rPr>
        <w:t>架都必须保持直线</w:t>
      </w:r>
      <w:r>
        <w:rPr>
          <w:rFonts w:hint="eastAsia" w:ascii="MS UI Gothic" w:hAnsi="MS UI Gothic" w:eastAsia="MS UI Gothic"/>
          <w:spacing w:val="4"/>
          <w:w w:val="85"/>
        </w:rPr>
        <w:t xml:space="preserve">ꎮ </w:t>
      </w:r>
      <w:r>
        <w:rPr>
          <w:spacing w:val="3"/>
        </w:rPr>
        <w:t>支架间的煤</w:t>
      </w:r>
      <w:r>
        <w:rPr>
          <w:rFonts w:hint="eastAsia" w:ascii="MS UI Gothic" w:hAnsi="MS UI Gothic" w:eastAsia="MS UI Gothic"/>
          <w:spacing w:val="4"/>
          <w:w w:val="85"/>
        </w:rPr>
        <w:t xml:space="preserve">、 </w:t>
      </w:r>
      <w:r>
        <w:rPr>
          <w:spacing w:val="2"/>
        </w:rPr>
        <w:t>矸必须</w:t>
      </w:r>
      <w:r>
        <w:rPr>
          <w:spacing w:val="3"/>
        </w:rPr>
        <w:t>清理干净</w:t>
      </w:r>
      <w:r>
        <w:rPr>
          <w:rFonts w:hint="eastAsia" w:ascii="MS UI Gothic" w:hAnsi="MS UI Gothic" w:eastAsia="MS UI Gothic"/>
          <w:w w:val="85"/>
        </w:rPr>
        <w:t xml:space="preserve">ꎮ </w:t>
      </w:r>
      <w:r>
        <w:rPr>
          <w:spacing w:val="-11"/>
        </w:rPr>
        <w:t xml:space="preserve">倾角大于 </w:t>
      </w:r>
      <w:r>
        <w:rPr>
          <w:rFonts w:hint="eastAsia" w:ascii="MS UI Gothic" w:hAnsi="MS UI Gothic" w:eastAsia="MS UI Gothic"/>
          <w:spacing w:val="-11"/>
          <w:w w:val="85"/>
        </w:rPr>
        <w:t xml:space="preserve">１５° </w:t>
      </w:r>
      <w:r>
        <w:rPr>
          <w:spacing w:val="3"/>
        </w:rPr>
        <w:t>时</w:t>
      </w:r>
      <w:r>
        <w:rPr>
          <w:rFonts w:hint="eastAsia" w:ascii="MS UI Gothic" w:hAnsi="MS UI Gothic" w:eastAsia="MS UI Gothic"/>
          <w:spacing w:val="2"/>
          <w:w w:val="85"/>
        </w:rPr>
        <w:t xml:space="preserve">ꎬ </w:t>
      </w:r>
      <w:r>
        <w:rPr>
          <w:spacing w:val="8"/>
        </w:rPr>
        <w:t>液压支架必</w:t>
      </w:r>
      <w:r>
        <w:rPr>
          <w:spacing w:val="19"/>
        </w:rPr>
        <w:t>须采取防倒</w:t>
      </w:r>
      <w:r>
        <w:rPr>
          <w:rFonts w:hint="eastAsia" w:ascii="MS UI Gothic" w:hAnsi="MS UI Gothic" w:eastAsia="MS UI Gothic"/>
          <w:spacing w:val="14"/>
          <w:w w:val="85"/>
        </w:rPr>
        <w:t xml:space="preserve">、 </w:t>
      </w:r>
      <w:r>
        <w:rPr>
          <w:spacing w:val="21"/>
        </w:rPr>
        <w:t>防滑措施</w:t>
      </w:r>
      <w:r>
        <w:rPr>
          <w:rFonts w:hint="eastAsia" w:ascii="MS UI Gothic" w:hAnsi="MS UI Gothic" w:eastAsia="MS UI Gothic"/>
          <w:spacing w:val="14"/>
          <w:w w:val="85"/>
        </w:rPr>
        <w:t xml:space="preserve">ꎻ </w:t>
      </w:r>
      <w:r>
        <w:rPr>
          <w:spacing w:val="6"/>
        </w:rPr>
        <w:t xml:space="preserve">倾角大于 </w:t>
      </w:r>
      <w:r>
        <w:rPr>
          <w:rFonts w:hint="eastAsia" w:ascii="MS UI Gothic" w:hAnsi="MS UI Gothic" w:eastAsia="MS UI Gothic"/>
          <w:w w:val="85"/>
        </w:rPr>
        <w:t xml:space="preserve">２５° </w:t>
      </w:r>
      <w:r>
        <w:rPr>
          <w:spacing w:val="3"/>
        </w:rPr>
        <w:t>时</w:t>
      </w:r>
      <w:r>
        <w:rPr>
          <w:rFonts w:hint="eastAsia" w:ascii="MS UI Gothic" w:hAnsi="MS UI Gothic" w:eastAsia="MS UI Gothic"/>
          <w:spacing w:val="7"/>
          <w:w w:val="85"/>
        </w:rPr>
        <w:t xml:space="preserve">ꎬ </w:t>
      </w:r>
      <w:r>
        <w:rPr>
          <w:spacing w:val="12"/>
        </w:rPr>
        <w:t xml:space="preserve">必须有防止煤 </w:t>
      </w:r>
      <w:r>
        <w:rPr>
          <w:rFonts w:hint="eastAsia" w:ascii="MS UI Gothic" w:hAnsi="MS UI Gothic" w:eastAsia="MS UI Gothic"/>
          <w:spacing w:val="-25"/>
          <w:w w:val="140"/>
        </w:rPr>
        <w:t xml:space="preserve">( </w:t>
      </w:r>
      <w:r>
        <w:rPr>
          <w:spacing w:val="15"/>
        </w:rPr>
        <w:t>矸</w:t>
      </w:r>
      <w:r>
        <w:rPr>
          <w:rFonts w:hint="eastAsia" w:ascii="MS UI Gothic" w:hAnsi="MS UI Gothic" w:eastAsia="MS UI Gothic"/>
          <w:spacing w:val="34"/>
          <w:w w:val="140"/>
        </w:rPr>
        <w:t xml:space="preserve">) </w:t>
      </w:r>
      <w:r>
        <w:rPr>
          <w:spacing w:val="15"/>
        </w:rPr>
        <w:t>窜出刮板输送</w:t>
      </w:r>
      <w:r>
        <w:rPr>
          <w:spacing w:val="3"/>
        </w:rPr>
        <w:t>机伤人的措施</w:t>
      </w:r>
      <w:r>
        <w:rPr>
          <w:rFonts w:hint="eastAsia" w:ascii="MS UI Gothic" w:hAnsi="MS UI Gothic" w:eastAsia="MS UI Gothic"/>
          <w:w w:val="85"/>
        </w:rPr>
        <w:t>ꎮ</w:t>
      </w:r>
    </w:p>
    <w:p>
      <w:pPr>
        <w:pStyle w:val="6"/>
        <w:spacing w:line="235" w:lineRule="exact"/>
        <w:ind w:left="800" w:firstLine="0"/>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液压支架必须接顶</w:t>
      </w:r>
      <w:r>
        <w:rPr>
          <w:rFonts w:hint="eastAsia" w:ascii="MS UI Gothic" w:eastAsia="MS UI Gothic"/>
          <w:w w:val="80"/>
        </w:rPr>
        <w:t xml:space="preserve">ꎮ </w:t>
      </w:r>
      <w:r>
        <w:rPr>
          <w:w w:val="110"/>
        </w:rPr>
        <w:t>顶板破碎</w:t>
      </w:r>
    </w:p>
    <w:p>
      <w:pPr>
        <w:spacing w:after="0" w:line="235" w:lineRule="exact"/>
        <w:sectPr>
          <w:type w:val="continuous"/>
          <w:pgSz w:w="10500" w:h="14750"/>
          <w:pgMar w:top="1400" w:right="980" w:bottom="280" w:left="980" w:header="720" w:footer="720" w:gutter="0"/>
          <w:cols w:equalWidth="0" w:num="2">
            <w:col w:w="4212" w:space="40"/>
            <w:col w:w="4288"/>
          </w:cols>
        </w:sectPr>
      </w:pPr>
    </w:p>
    <w:p>
      <w:pPr>
        <w:pStyle w:val="6"/>
        <w:spacing w:before="364" w:line="240" w:lineRule="exact"/>
        <w:ind w:left="435" w:firstLine="0"/>
        <w:jc w:val="left"/>
        <w:rPr>
          <w:rFonts w:hint="eastAsia" w:ascii="MS UI Gothic" w:hAnsi="MS UI Gothic" w:eastAsia="MS UI Gothic"/>
        </w:rPr>
      </w:pPr>
      <w:r>
        <w:rPr>
          <w:rFonts w:hint="eastAsia" w:ascii="MS UI Gothic" w:hAnsi="MS UI Gothic" w:eastAsia="MS UI Gothic"/>
          <w:w w:val="60"/>
        </w:rPr>
        <w:t>２５°</w:t>
      </w:r>
    </w:p>
    <w:p>
      <w:pPr>
        <w:pStyle w:val="6"/>
        <w:spacing w:before="50"/>
        <w:ind w:left="91" w:firstLine="0"/>
        <w:jc w:val="left"/>
      </w:pPr>
      <w:r>
        <w:br w:type="column"/>
      </w:r>
      <w:r>
        <w:rPr>
          <w:rFonts w:hint="eastAsia" w:ascii="MS UI Gothic" w:eastAsia="MS UI Gothic"/>
          <w:spacing w:val="-30"/>
          <w:w w:val="110"/>
        </w:rPr>
        <w:t xml:space="preserve">( </w:t>
      </w:r>
      <w:r>
        <w:rPr>
          <w:spacing w:val="3"/>
          <w:w w:val="110"/>
        </w:rPr>
        <w:t>七</w:t>
      </w:r>
      <w:r>
        <w:rPr>
          <w:rFonts w:hint="eastAsia" w:ascii="MS UI Gothic" w:eastAsia="MS UI Gothic"/>
          <w:spacing w:val="-13"/>
          <w:w w:val="110"/>
        </w:rPr>
        <w:t xml:space="preserve">) </w:t>
      </w:r>
      <w:r>
        <w:rPr>
          <w:spacing w:val="5"/>
          <w:w w:val="110"/>
        </w:rPr>
        <w:t>用明槽输送煤浆时</w:t>
      </w:r>
      <w:r>
        <w:rPr>
          <w:rFonts w:hint="eastAsia" w:ascii="MS UI Gothic" w:eastAsia="MS UI Gothic"/>
          <w:spacing w:val="-6"/>
          <w:w w:val="80"/>
        </w:rPr>
        <w:t xml:space="preserve">ꎬ </w:t>
      </w:r>
      <w:r>
        <w:rPr>
          <w:spacing w:val="8"/>
          <w:w w:val="110"/>
        </w:rPr>
        <w:t>倾角超过</w:t>
      </w:r>
    </w:p>
    <w:p>
      <w:pPr>
        <w:pStyle w:val="6"/>
        <w:spacing w:before="58" w:line="240" w:lineRule="exact"/>
        <w:ind w:left="-30" w:firstLine="0"/>
        <w:jc w:val="left"/>
      </w:pPr>
      <w:r>
        <w:rPr>
          <w:spacing w:val="6"/>
        </w:rPr>
        <w:t>的巷道</w:t>
      </w:r>
      <w:r>
        <w:rPr>
          <w:rFonts w:hint="eastAsia" w:ascii="MS UI Gothic" w:eastAsia="MS UI Gothic"/>
          <w:spacing w:val="23"/>
          <w:w w:val="80"/>
        </w:rPr>
        <w:t xml:space="preserve">ꎬ </w:t>
      </w:r>
      <w:r>
        <w:rPr>
          <w:spacing w:val="11"/>
        </w:rPr>
        <w:t>明槽必须封闭</w:t>
      </w:r>
      <w:r>
        <w:rPr>
          <w:rFonts w:hint="eastAsia" w:ascii="MS UI Gothic" w:eastAsia="MS UI Gothic"/>
          <w:spacing w:val="24"/>
          <w:w w:val="80"/>
        </w:rPr>
        <w:t xml:space="preserve">ꎬ </w:t>
      </w:r>
      <w:r>
        <w:rPr>
          <w:spacing w:val="12"/>
        </w:rPr>
        <w:t>否则禁止行</w:t>
      </w:r>
    </w:p>
    <w:p>
      <w:pPr>
        <w:pStyle w:val="6"/>
        <w:spacing w:before="50"/>
        <w:ind w:left="383" w:firstLine="0"/>
        <w:jc w:val="left"/>
      </w:pPr>
      <w:r>
        <w:br w:type="column"/>
      </w:r>
      <w:r>
        <w:t>时必须超前支护</w:t>
      </w:r>
      <w:r>
        <w:rPr>
          <w:rFonts w:hint="eastAsia" w:ascii="MS UI Gothic" w:eastAsia="MS UI Gothic"/>
          <w:w w:val="80"/>
        </w:rPr>
        <w:t xml:space="preserve">ꎮ </w:t>
      </w:r>
      <w:r>
        <w:t>在处理液压支架上方冒</w:t>
      </w:r>
    </w:p>
    <w:p>
      <w:pPr>
        <w:pStyle w:val="6"/>
        <w:spacing w:before="58" w:line="240" w:lineRule="exact"/>
        <w:ind w:left="383" w:firstLine="0"/>
        <w:jc w:val="left"/>
        <w:rPr>
          <w:rFonts w:hint="eastAsia" w:ascii="MS UI Gothic" w:eastAsia="MS UI Gothic"/>
        </w:rPr>
      </w:pPr>
      <w:r>
        <w:t>顶时</w:t>
      </w:r>
      <w:r>
        <w:rPr>
          <w:rFonts w:hint="eastAsia" w:ascii="MS UI Gothic" w:eastAsia="MS UI Gothic"/>
          <w:w w:val="80"/>
        </w:rPr>
        <w:t xml:space="preserve">ꎬ </w:t>
      </w:r>
      <w:r>
        <w:t>必须制定安全措施</w:t>
      </w:r>
      <w:r>
        <w:rPr>
          <w:rFonts w:hint="eastAsia" w:ascii="MS UI Gothic" w:eastAsia="MS UI Gothic"/>
          <w:w w:val="80"/>
        </w:rPr>
        <w:t>ꎮ</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3">
            <w:col w:w="729" w:space="40"/>
            <w:col w:w="3441" w:space="39"/>
            <w:col w:w="4291"/>
          </w:cols>
        </w:sectPr>
      </w:pPr>
    </w:p>
    <w:p>
      <w:pPr>
        <w:pStyle w:val="6"/>
        <w:spacing w:before="74" w:line="295" w:lineRule="auto"/>
        <w:ind w:left="440" w:firstLine="0"/>
        <w:jc w:val="left"/>
      </w:pPr>
      <w:r>
        <w:rPr>
          <w:spacing w:val="3"/>
          <w:w w:val="95"/>
        </w:rPr>
        <w:t>人</w:t>
      </w:r>
      <w:r>
        <w:rPr>
          <w:rFonts w:hint="eastAsia" w:ascii="MS UI Gothic" w:hAnsi="MS UI Gothic" w:eastAsia="MS UI Gothic"/>
          <w:spacing w:val="4"/>
          <w:w w:val="85"/>
        </w:rPr>
        <w:t xml:space="preserve">ꎮ </w:t>
      </w:r>
      <w:r>
        <w:rPr>
          <w:spacing w:val="-15"/>
          <w:w w:val="95"/>
        </w:rPr>
        <w:t xml:space="preserve">倾角在 </w:t>
      </w:r>
      <w:r>
        <w:rPr>
          <w:rFonts w:hint="eastAsia" w:ascii="MS UI Gothic" w:hAnsi="MS UI Gothic" w:eastAsia="MS UI Gothic"/>
          <w:spacing w:val="-9"/>
          <w:w w:val="85"/>
        </w:rPr>
        <w:t xml:space="preserve">１５° </w:t>
      </w:r>
      <w:r>
        <w:rPr>
          <w:rFonts w:hint="eastAsia" w:ascii="MS UI Gothic" w:hAnsi="MS UI Gothic" w:eastAsia="MS UI Gothic"/>
          <w:w w:val="95"/>
        </w:rPr>
        <w:t>~</w:t>
      </w:r>
      <w:r>
        <w:rPr>
          <w:rFonts w:hint="eastAsia" w:ascii="MS UI Gothic" w:hAnsi="MS UI Gothic" w:eastAsia="MS UI Gothic"/>
          <w:spacing w:val="-42"/>
          <w:w w:val="95"/>
        </w:rPr>
        <w:t xml:space="preserve"> </w:t>
      </w:r>
      <w:r>
        <w:rPr>
          <w:rFonts w:hint="eastAsia" w:ascii="MS UI Gothic" w:hAnsi="MS UI Gothic" w:eastAsia="MS UI Gothic"/>
          <w:spacing w:val="5"/>
          <w:w w:val="85"/>
        </w:rPr>
        <w:t>２５°</w:t>
      </w:r>
      <w:r>
        <w:rPr>
          <w:spacing w:val="3"/>
          <w:w w:val="95"/>
        </w:rPr>
        <w:t>时</w:t>
      </w:r>
      <w:r>
        <w:rPr>
          <w:rFonts w:hint="eastAsia" w:ascii="MS UI Gothic" w:hAnsi="MS UI Gothic" w:eastAsia="MS UI Gothic"/>
          <w:spacing w:val="5"/>
          <w:w w:val="85"/>
        </w:rPr>
        <w:t xml:space="preserve">ꎬ </w:t>
      </w:r>
      <w:r>
        <w:rPr>
          <w:spacing w:val="6"/>
          <w:w w:val="95"/>
        </w:rPr>
        <w:t>人行道与明槽之</w:t>
      </w:r>
      <w:r>
        <w:rPr>
          <w:spacing w:val="3"/>
        </w:rPr>
        <w:t>间必须加设挡板或者挡墙</w:t>
      </w:r>
      <w:r>
        <w:rPr>
          <w:rFonts w:hint="eastAsia" w:ascii="MS UI Gothic" w:hAnsi="MS UI Gothic" w:eastAsia="MS UI Gothic"/>
          <w:spacing w:val="14"/>
          <w:w w:val="85"/>
        </w:rPr>
        <w:t xml:space="preserve">ꎬ </w:t>
      </w:r>
      <w:r>
        <w:rPr>
          <w:spacing w:val="2"/>
        </w:rPr>
        <w:t>其高度不得小</w:t>
      </w:r>
    </w:p>
    <w:p>
      <w:pPr>
        <w:pStyle w:val="6"/>
        <w:spacing w:before="74" w:line="295" w:lineRule="auto"/>
        <w:ind w:left="383" w:right="124"/>
        <w:jc w:val="left"/>
      </w:pPr>
      <w:r>
        <w:br w:type="column"/>
      </w: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采煤机采煤时必须及时移架</w:t>
      </w:r>
      <w:r>
        <w:rPr>
          <w:rFonts w:hint="eastAsia" w:ascii="MS UI Gothic" w:eastAsia="MS UI Gothic"/>
          <w:w w:val="80"/>
        </w:rPr>
        <w:t>ꎮ</w:t>
      </w:r>
      <w:r>
        <w:t>移架滞后采煤机的距离应当根据顶板的具</w:t>
      </w:r>
    </w:p>
    <w:p>
      <w:pPr>
        <w:spacing w:after="0" w:line="295" w:lineRule="auto"/>
        <w:jc w:val="left"/>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２５４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88" o:spid="_x0000_s1788" o:spt="203" style="height:2.15pt;width:398.25pt;" coordsize="7965,43">
            <o:lock v:ext="edit"/>
            <v:line id="_x0000_s1789" o:spid="_x0000_s1789" o:spt="20" style="position:absolute;left:0;top:39;height:0;width:7965;" stroked="t" coordsize="21600,21600">
              <v:path arrowok="t"/>
              <v:fill focussize="0,0"/>
              <v:stroke weight="0.388031496062992pt" color="#231F20"/>
              <v:imagedata o:title=""/>
              <o:lock v:ext="edit"/>
            </v:line>
            <v:line id="_x0000_s1790" o:spid="_x0000_s179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spacing w:val="3"/>
        </w:rPr>
        <w:t>体情况在作业规程中明确规定</w:t>
      </w:r>
      <w:r>
        <w:rPr>
          <w:rFonts w:hint="eastAsia" w:ascii="MS UI Gothic" w:eastAsia="MS UI Gothic"/>
          <w:spacing w:val="21"/>
          <w:w w:val="80"/>
        </w:rPr>
        <w:t xml:space="preserve">ꎻ </w:t>
      </w:r>
      <w:r>
        <w:rPr>
          <w:spacing w:val="2"/>
        </w:rPr>
        <w:t>超过规定</w:t>
      </w:r>
      <w:r>
        <w:rPr>
          <w:spacing w:val="12"/>
        </w:rPr>
        <w:t>距离或者发生冒顶</w:t>
      </w:r>
      <w:r>
        <w:rPr>
          <w:rFonts w:hint="eastAsia" w:ascii="MS UI Gothic" w:eastAsia="MS UI Gothic"/>
          <w:spacing w:val="16"/>
          <w:w w:val="80"/>
        </w:rPr>
        <w:t xml:space="preserve">、 </w:t>
      </w:r>
      <w:r>
        <w:rPr>
          <w:spacing w:val="16"/>
        </w:rPr>
        <w:t>片帮时</w:t>
      </w:r>
      <w:r>
        <w:rPr>
          <w:rFonts w:hint="eastAsia" w:ascii="MS UI Gothic" w:eastAsia="MS UI Gothic"/>
          <w:spacing w:val="16"/>
          <w:w w:val="80"/>
        </w:rPr>
        <w:t xml:space="preserve">ꎬ </w:t>
      </w:r>
      <w:r>
        <w:rPr>
          <w:spacing w:val="17"/>
        </w:rPr>
        <w:t>必须停止</w:t>
      </w:r>
      <w:r>
        <w:rPr>
          <w:spacing w:val="3"/>
        </w:rPr>
        <w:t>采煤</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六</w:t>
      </w:r>
      <w:r>
        <w:rPr>
          <w:rFonts w:hint="eastAsia" w:ascii="MS UI Gothic" w:eastAsia="MS UI Gothic"/>
          <w:spacing w:val="-4"/>
          <w:w w:val="150"/>
        </w:rPr>
        <w:t xml:space="preserve">) </w:t>
      </w:r>
      <w:r>
        <w:rPr>
          <w:spacing w:val="5"/>
          <w:w w:val="105"/>
        </w:rPr>
        <w:t>严格控制采高</w:t>
      </w:r>
      <w:r>
        <w:rPr>
          <w:rFonts w:hint="eastAsia" w:ascii="MS UI Gothic" w:eastAsia="MS UI Gothic"/>
          <w:spacing w:val="13"/>
          <w:w w:val="80"/>
        </w:rPr>
        <w:t xml:space="preserve">ꎬ </w:t>
      </w:r>
      <w:r>
        <w:rPr>
          <w:spacing w:val="9"/>
          <w:w w:val="105"/>
        </w:rPr>
        <w:t>严禁采高大于</w:t>
      </w:r>
      <w:r>
        <w:rPr>
          <w:spacing w:val="13"/>
        </w:rPr>
        <w:t>支架的最大有效支护高度</w:t>
      </w:r>
      <w:r>
        <w:rPr>
          <w:rFonts w:hint="eastAsia" w:ascii="MS UI Gothic" w:eastAsia="MS UI Gothic"/>
          <w:w w:val="80"/>
        </w:rPr>
        <w:t xml:space="preserve">ꎮ </w:t>
      </w:r>
      <w:r>
        <w:rPr>
          <w:spacing w:val="16"/>
        </w:rPr>
        <w:t>当煤层变薄</w:t>
      </w:r>
      <w:r>
        <w:rPr>
          <w:spacing w:val="3"/>
        </w:rPr>
        <w:t>时</w:t>
      </w:r>
      <w:r>
        <w:rPr>
          <w:rFonts w:hint="eastAsia" w:ascii="MS UI Gothic" w:eastAsia="MS UI Gothic"/>
          <w:spacing w:val="19"/>
          <w:w w:val="80"/>
        </w:rPr>
        <w:t xml:space="preserve">ꎬ </w:t>
      </w:r>
      <w:r>
        <w:rPr>
          <w:spacing w:val="14"/>
        </w:rPr>
        <w:t>采高不得小于支架的最小有效支护</w:t>
      </w:r>
      <w:r>
        <w:rPr>
          <w:spacing w:val="3"/>
          <w:w w:val="105"/>
        </w:rPr>
        <w:t>高度</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3"/>
          <w:w w:val="145"/>
        </w:rPr>
        <w:t xml:space="preserve">( </w:t>
      </w:r>
      <w:r>
        <w:rPr>
          <w:spacing w:val="3"/>
        </w:rPr>
        <w:t>七</w:t>
      </w:r>
      <w:r>
        <w:rPr>
          <w:rFonts w:hint="eastAsia" w:ascii="MS UI Gothic" w:eastAsia="MS UI Gothic"/>
          <w:spacing w:val="23"/>
          <w:w w:val="145"/>
        </w:rPr>
        <w:t xml:space="preserve">) </w:t>
      </w:r>
      <w:r>
        <w:rPr>
          <w:spacing w:val="-5"/>
        </w:rPr>
        <w:t xml:space="preserve">当采高超过 </w:t>
      </w:r>
      <w:r>
        <w:rPr>
          <w:rFonts w:hint="eastAsia" w:ascii="MS UI Gothic" w:eastAsia="MS UI Gothic"/>
          <w:spacing w:val="14"/>
        </w:rPr>
        <w:t xml:space="preserve">３ </w:t>
      </w:r>
      <w:r>
        <w:rPr>
          <w:rFonts w:hint="eastAsia" w:ascii="MS UI Gothic" w:eastAsia="MS UI Gothic"/>
        </w:rPr>
        <w:t>ｍ</w:t>
      </w:r>
      <w:r>
        <w:rPr>
          <w:rFonts w:hint="eastAsia" w:ascii="MS UI Gothic" w:eastAsia="MS UI Gothic"/>
          <w:spacing w:val="8"/>
        </w:rPr>
        <w:t xml:space="preserve"> </w:t>
      </w:r>
      <w:r>
        <w:rPr>
          <w:spacing w:val="7"/>
        </w:rPr>
        <w:t>或者煤壁片帮</w:t>
      </w:r>
      <w:r>
        <w:rPr>
          <w:spacing w:val="3"/>
        </w:rPr>
        <w:t>严重时</w:t>
      </w:r>
      <w:r>
        <w:rPr>
          <w:rFonts w:hint="eastAsia" w:ascii="MS UI Gothic" w:eastAsia="MS UI Gothic"/>
          <w:spacing w:val="23"/>
          <w:w w:val="80"/>
        </w:rPr>
        <w:t xml:space="preserve">ꎬ </w:t>
      </w:r>
      <w:r>
        <w:rPr>
          <w:spacing w:val="3"/>
        </w:rPr>
        <w:t>液压支架必须设护帮板</w:t>
      </w:r>
      <w:r>
        <w:rPr>
          <w:rFonts w:hint="eastAsia" w:ascii="MS UI Gothic" w:eastAsia="MS UI Gothic"/>
          <w:spacing w:val="23"/>
          <w:w w:val="80"/>
        </w:rPr>
        <w:t xml:space="preserve">ꎮ </w:t>
      </w:r>
      <w:r>
        <w:rPr>
          <w:spacing w:val="2"/>
        </w:rPr>
        <w:t>当采高</w:t>
      </w:r>
      <w:r>
        <w:rPr>
          <w:spacing w:val="-5"/>
        </w:rPr>
        <w:t xml:space="preserve">超过 </w:t>
      </w:r>
      <w:r>
        <w:rPr>
          <w:rFonts w:hint="eastAsia" w:ascii="MS UI Gothic" w:eastAsia="MS UI Gothic"/>
        </w:rPr>
        <w:t>４</w:t>
      </w:r>
      <w:r>
        <w:rPr>
          <w:rFonts w:hint="eastAsia" w:ascii="MS UI Gothic" w:eastAsia="MS UI Gothic"/>
          <w:spacing w:val="3"/>
        </w:rPr>
        <w:t xml:space="preserve"> ５ </w:t>
      </w:r>
      <w:r>
        <w:rPr>
          <w:rFonts w:hint="eastAsia" w:ascii="MS UI Gothic" w:eastAsia="MS UI Gothic"/>
        </w:rPr>
        <w:t>ｍ</w:t>
      </w:r>
      <w:r>
        <w:rPr>
          <w:rFonts w:hint="eastAsia" w:ascii="MS UI Gothic" w:eastAsia="MS UI Gothic"/>
          <w:spacing w:val="16"/>
        </w:rPr>
        <w:t xml:space="preserve"> </w:t>
      </w:r>
      <w:r>
        <w:rPr>
          <w:spacing w:val="3"/>
        </w:rPr>
        <w:t>时</w:t>
      </w:r>
      <w:r>
        <w:rPr>
          <w:rFonts w:hint="eastAsia" w:ascii="MS UI Gothic" w:eastAsia="MS UI Gothic"/>
          <w:spacing w:val="1"/>
          <w:w w:val="80"/>
        </w:rPr>
        <w:t xml:space="preserve">ꎬ </w:t>
      </w:r>
      <w:r>
        <w:rPr>
          <w:spacing w:val="30"/>
        </w:rPr>
        <w:t>必须采取防片帮伤人</w:t>
      </w:r>
      <w:r>
        <w:rPr>
          <w:spacing w:val="3"/>
        </w:rPr>
        <w:t>措施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八</w:t>
      </w:r>
      <w:r>
        <w:rPr>
          <w:rFonts w:hint="eastAsia" w:ascii="MS UI Gothic" w:eastAsia="MS UI Gothic"/>
          <w:w w:val="105"/>
        </w:rPr>
        <w:t xml:space="preserve">) </w:t>
      </w:r>
      <w:r>
        <w:rPr>
          <w:w w:val="105"/>
        </w:rPr>
        <w:t>工作面两端必须使用端头支架</w:t>
      </w:r>
      <w:r>
        <w:rPr>
          <w:w w:val="110"/>
        </w:rPr>
        <w:t>或者增设其他形式的支护</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工作面转载机配有破碎机时</w:t>
      </w:r>
      <w:r>
        <w:rPr>
          <w:rFonts w:hint="eastAsia" w:ascii="MS UI Gothic" w:eastAsia="MS UI Gothic"/>
          <w:w w:val="80"/>
        </w:rPr>
        <w:t>ꎬ</w:t>
      </w:r>
      <w:r>
        <w:rPr>
          <w:w w:val="105"/>
        </w:rPr>
        <w:t>必须有安全防护装置</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t>十</w:t>
      </w:r>
      <w:r>
        <w:rPr>
          <w:rFonts w:hint="eastAsia" w:ascii="MS UI Gothic" w:eastAsia="MS UI Gothic"/>
          <w:w w:val="150"/>
        </w:rPr>
        <w:t xml:space="preserve">) </w:t>
      </w:r>
      <w:r>
        <w:t>处理倒架</w:t>
      </w:r>
      <w:r>
        <w:rPr>
          <w:rFonts w:hint="eastAsia" w:ascii="MS UI Gothic" w:eastAsia="MS UI Gothic"/>
          <w:w w:val="80"/>
        </w:rPr>
        <w:t xml:space="preserve">、 </w:t>
      </w:r>
      <w:r>
        <w:t>歪架</w:t>
      </w:r>
      <w:r>
        <w:rPr>
          <w:rFonts w:hint="eastAsia" w:ascii="MS UI Gothic" w:eastAsia="MS UI Gothic"/>
          <w:w w:val="80"/>
        </w:rPr>
        <w:t xml:space="preserve">、 </w:t>
      </w:r>
      <w:r>
        <w:t>压架</w:t>
      </w:r>
      <w:r>
        <w:rPr>
          <w:rFonts w:hint="eastAsia" w:ascii="MS UI Gothic" w:eastAsia="MS UI Gothic"/>
          <w:w w:val="80"/>
        </w:rPr>
        <w:t xml:space="preserve">、 </w:t>
      </w:r>
      <w:r>
        <w:t>更换支架</w:t>
      </w:r>
      <w:r>
        <w:rPr>
          <w:rFonts w:hint="eastAsia" w:ascii="MS UI Gothic" w:eastAsia="MS UI Gothic"/>
          <w:w w:val="80"/>
        </w:rPr>
        <w:t xml:space="preserve">ꎬ </w:t>
      </w:r>
      <w:r>
        <w:t>以及拆修顶梁</w:t>
      </w:r>
      <w:r>
        <w:rPr>
          <w:rFonts w:hint="eastAsia" w:ascii="MS UI Gothic" w:eastAsia="MS UI Gothic"/>
          <w:w w:val="80"/>
        </w:rPr>
        <w:t xml:space="preserve">、 </w:t>
      </w:r>
      <w:r>
        <w:t>支柱</w:t>
      </w:r>
      <w:r>
        <w:rPr>
          <w:rFonts w:hint="eastAsia" w:ascii="MS UI Gothic" w:eastAsia="MS UI Gothic"/>
          <w:w w:val="80"/>
        </w:rPr>
        <w:t xml:space="preserve">、 </w:t>
      </w:r>
      <w:r>
        <w:t>座箱等大型部件时</w:t>
      </w:r>
      <w:r>
        <w:rPr>
          <w:rFonts w:hint="eastAsia" w:ascii="MS UI Gothic" w:eastAsia="MS UI Gothic"/>
          <w:w w:val="80"/>
        </w:rPr>
        <w:t xml:space="preserve">ꎬ </w:t>
      </w:r>
      <w:r>
        <w:t>必须有安全措施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16"/>
          <w:w w:val="105"/>
        </w:rPr>
        <w:t>十一</w:t>
      </w:r>
      <w:r>
        <w:rPr>
          <w:rFonts w:hint="eastAsia" w:ascii="MS UI Gothic" w:eastAsia="MS UI Gothic"/>
          <w:spacing w:val="11"/>
          <w:w w:val="150"/>
        </w:rPr>
        <w:t xml:space="preserve">) </w:t>
      </w:r>
      <w:r>
        <w:rPr>
          <w:spacing w:val="23"/>
          <w:w w:val="105"/>
        </w:rPr>
        <w:t>在工作面内进行爆破作业</w:t>
      </w:r>
      <w:r>
        <w:rPr>
          <w:spacing w:val="3"/>
        </w:rPr>
        <w:t>时</w:t>
      </w:r>
      <w:r>
        <w:rPr>
          <w:rFonts w:hint="eastAsia" w:ascii="MS UI Gothic" w:eastAsia="MS UI Gothic"/>
          <w:spacing w:val="21"/>
          <w:w w:val="80"/>
        </w:rPr>
        <w:t xml:space="preserve">ꎬ </w:t>
      </w:r>
      <w:r>
        <w:rPr>
          <w:spacing w:val="2"/>
        </w:rPr>
        <w:t>必须有保护液压支架和其他设备的安</w:t>
      </w:r>
      <w:r>
        <w:rPr>
          <w:spacing w:val="3"/>
          <w:w w:val="105"/>
        </w:rPr>
        <w:t>全措施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t>十二</w:t>
      </w:r>
      <w:r>
        <w:rPr>
          <w:rFonts w:hint="eastAsia" w:ascii="MS UI Gothic" w:eastAsia="MS UI Gothic"/>
          <w:w w:val="150"/>
        </w:rPr>
        <w:t xml:space="preserve">) </w:t>
      </w:r>
      <w:r>
        <w:t>乳化液的配制</w:t>
      </w:r>
      <w:r>
        <w:rPr>
          <w:rFonts w:hint="eastAsia" w:ascii="MS UI Gothic" w:eastAsia="MS UI Gothic"/>
          <w:w w:val="80"/>
        </w:rPr>
        <w:t xml:space="preserve">、 </w:t>
      </w:r>
      <w:r>
        <w:t>水质</w:t>
      </w:r>
      <w:r>
        <w:rPr>
          <w:rFonts w:hint="eastAsia" w:ascii="MS UI Gothic" w:eastAsia="MS UI Gothic"/>
          <w:w w:val="80"/>
        </w:rPr>
        <w:t xml:space="preserve">、 </w:t>
      </w:r>
      <w:r>
        <w:t>配比等</w:t>
      </w:r>
      <w:r>
        <w:rPr>
          <w:rFonts w:hint="eastAsia" w:ascii="MS UI Gothic" w:eastAsia="MS UI Gothic"/>
          <w:w w:val="80"/>
        </w:rPr>
        <w:t xml:space="preserve">ꎬ </w:t>
      </w:r>
      <w:r>
        <w:t>必须符合有关要求</w:t>
      </w:r>
      <w:r>
        <w:rPr>
          <w:rFonts w:hint="eastAsia" w:ascii="MS UI Gothic" w:eastAsia="MS UI Gothic"/>
          <w:w w:val="80"/>
        </w:rPr>
        <w:t xml:space="preserve">ꎮ </w:t>
      </w:r>
      <w:r>
        <w:t>泵箱应当设自动给液装置</w:t>
      </w:r>
      <w:r>
        <w:rPr>
          <w:rFonts w:hint="eastAsia" w:ascii="MS UI Gothic" w:eastAsia="MS UI Gothic"/>
          <w:w w:val="80"/>
        </w:rPr>
        <w:t xml:space="preserve">ꎬ </w:t>
      </w:r>
      <w:r>
        <w:t>防止吸空</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15"/>
        </w:rPr>
        <w:t xml:space="preserve">( </w:t>
      </w:r>
      <w:r>
        <w:rPr>
          <w:w w:val="110"/>
        </w:rPr>
        <w:t>十三</w:t>
      </w:r>
      <w:r>
        <w:rPr>
          <w:rFonts w:hint="eastAsia" w:ascii="MS UI Gothic" w:eastAsia="MS UI Gothic"/>
          <w:w w:val="115"/>
        </w:rPr>
        <w:t xml:space="preserve">) </w:t>
      </w:r>
      <w:r>
        <w:rPr>
          <w:w w:val="110"/>
        </w:rPr>
        <w:t>采煤工作面必须进行矿压监测</w:t>
      </w:r>
      <w:r>
        <w:rPr>
          <w:rFonts w:hint="eastAsia" w:ascii="MS UI Gothic" w:eastAsia="MS UI Gothic"/>
          <w:w w:val="80"/>
        </w:rPr>
        <w:t>ꎮ</w:t>
      </w:r>
    </w:p>
    <w:p>
      <w:pPr>
        <w:pStyle w:val="6"/>
        <w:spacing w:line="295" w:lineRule="auto"/>
        <w:ind w:right="39"/>
        <w:rPr>
          <w:rFonts w:hint="eastAsia" w:ascii="MS UI Gothic" w:eastAsia="MS UI Gothic"/>
        </w:rPr>
      </w:pPr>
      <w:r>
        <w:rPr>
          <w:spacing w:val="18"/>
          <w:w w:val="105"/>
        </w:rPr>
        <w:t>第一百一十五条 采用放顶煤开采</w:t>
      </w:r>
      <w:r>
        <w:rPr>
          <w:spacing w:val="3"/>
          <w:w w:val="110"/>
        </w:rPr>
        <w:t>时</w:t>
      </w:r>
      <w:r>
        <w:rPr>
          <w:rFonts w:hint="eastAsia" w:ascii="MS UI Gothic" w:eastAsia="MS UI Gothic"/>
          <w:spacing w:val="22"/>
          <w:w w:val="80"/>
        </w:rPr>
        <w:t xml:space="preserve">ꎬ </w:t>
      </w:r>
      <w:r>
        <w:rPr>
          <w:spacing w:val="3"/>
          <w:w w:val="110"/>
        </w:rPr>
        <w:t>必须遵守下列规定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spacing w:val="-41"/>
          <w:w w:val="150"/>
        </w:rPr>
        <w:t xml:space="preserve">( </w:t>
      </w:r>
      <w:r>
        <w:rPr>
          <w:spacing w:val="7"/>
          <w:w w:val="105"/>
        </w:rPr>
        <w:t>一</w:t>
      </w:r>
      <w:r>
        <w:rPr>
          <w:rFonts w:hint="eastAsia" w:ascii="MS UI Gothic" w:eastAsia="MS UI Gothic"/>
          <w:spacing w:val="-15"/>
          <w:w w:val="150"/>
        </w:rPr>
        <w:t xml:space="preserve">) </w:t>
      </w:r>
      <w:r>
        <w:rPr>
          <w:spacing w:val="15"/>
          <w:w w:val="105"/>
        </w:rPr>
        <w:t>矿井第一次采用放顶煤开采</w:t>
      </w:r>
      <w:r>
        <w:rPr>
          <w:rFonts w:hint="eastAsia" w:ascii="MS UI Gothic" w:eastAsia="MS UI Gothic"/>
          <w:w w:val="80"/>
        </w:rPr>
        <w:t>ꎬ</w:t>
      </w:r>
      <w:r>
        <w:rPr>
          <w:spacing w:val="2"/>
          <w:w w:val="105"/>
        </w:rPr>
        <w:t xml:space="preserve">或者在煤层 </w:t>
      </w:r>
      <w:r>
        <w:rPr>
          <w:rFonts w:hint="eastAsia" w:ascii="MS UI Gothic" w:eastAsia="MS UI Gothic"/>
          <w:spacing w:val="-33"/>
          <w:w w:val="150"/>
        </w:rPr>
        <w:t xml:space="preserve">( </w:t>
      </w:r>
      <w:r>
        <w:rPr>
          <w:spacing w:val="14"/>
          <w:w w:val="105"/>
        </w:rPr>
        <w:t>瓦斯</w:t>
      </w:r>
      <w:r>
        <w:rPr>
          <w:rFonts w:hint="eastAsia" w:ascii="MS UI Gothic" w:eastAsia="MS UI Gothic"/>
          <w:spacing w:val="12"/>
          <w:w w:val="150"/>
        </w:rPr>
        <w:t xml:space="preserve">) </w:t>
      </w:r>
      <w:r>
        <w:rPr>
          <w:spacing w:val="16"/>
          <w:w w:val="105"/>
        </w:rPr>
        <w:t>赋存条件变化较大</w:t>
      </w:r>
      <w:r>
        <w:rPr>
          <w:spacing w:val="13"/>
        </w:rPr>
        <w:t>的区域采用放顶煤开采时</w:t>
      </w:r>
      <w:r>
        <w:rPr>
          <w:rFonts w:hint="eastAsia" w:ascii="MS UI Gothic" w:eastAsia="MS UI Gothic"/>
          <w:w w:val="80"/>
        </w:rPr>
        <w:t xml:space="preserve">ꎬ </w:t>
      </w:r>
      <w:r>
        <w:rPr>
          <w:spacing w:val="16"/>
        </w:rPr>
        <w:t>必须根据顶</w:t>
      </w:r>
      <w:r>
        <w:rPr>
          <w:spacing w:val="3"/>
          <w:w w:val="105"/>
        </w:rPr>
        <w:t>板</w:t>
      </w:r>
      <w:r>
        <w:rPr>
          <w:rFonts w:hint="eastAsia" w:ascii="MS UI Gothic" w:eastAsia="MS UI Gothic"/>
          <w:spacing w:val="20"/>
          <w:w w:val="80"/>
        </w:rPr>
        <w:t xml:space="preserve">、 </w:t>
      </w:r>
      <w:r>
        <w:rPr>
          <w:spacing w:val="3"/>
          <w:w w:val="105"/>
        </w:rPr>
        <w:t>煤层</w:t>
      </w:r>
      <w:r>
        <w:rPr>
          <w:rFonts w:hint="eastAsia" w:ascii="MS UI Gothic" w:eastAsia="MS UI Gothic"/>
          <w:spacing w:val="20"/>
          <w:w w:val="80"/>
        </w:rPr>
        <w:t xml:space="preserve">、 </w:t>
      </w:r>
      <w:r>
        <w:rPr>
          <w:spacing w:val="7"/>
          <w:w w:val="105"/>
        </w:rPr>
        <w:t>瓦斯</w:t>
      </w:r>
      <w:r>
        <w:rPr>
          <w:rFonts w:hint="eastAsia" w:ascii="MS UI Gothic" w:eastAsia="MS UI Gothic"/>
          <w:spacing w:val="23"/>
          <w:w w:val="80"/>
        </w:rPr>
        <w:t xml:space="preserve">、 </w:t>
      </w:r>
      <w:r>
        <w:rPr>
          <w:spacing w:val="12"/>
          <w:w w:val="105"/>
        </w:rPr>
        <w:t>自然发火</w:t>
      </w:r>
      <w:r>
        <w:rPr>
          <w:rFonts w:hint="eastAsia" w:ascii="MS UI Gothic" w:eastAsia="MS UI Gothic"/>
          <w:w w:val="80"/>
        </w:rPr>
        <w:t xml:space="preserve">、  </w:t>
      </w:r>
      <w:r>
        <w:rPr>
          <w:spacing w:val="13"/>
          <w:w w:val="105"/>
        </w:rPr>
        <w:t>水文地质</w:t>
      </w:r>
      <w:r>
        <w:rPr>
          <w:rFonts w:hint="eastAsia" w:ascii="MS UI Gothic" w:eastAsia="MS UI Gothic"/>
          <w:w w:val="80"/>
        </w:rPr>
        <w:t>、</w:t>
      </w:r>
      <w:r>
        <w:rPr>
          <w:spacing w:val="3"/>
          <w:w w:val="105"/>
        </w:rPr>
        <w:t>煤尘爆炸性</w:t>
      </w:r>
      <w:r>
        <w:rPr>
          <w:rFonts w:hint="eastAsia" w:ascii="MS UI Gothic" w:eastAsia="MS UI Gothic"/>
          <w:spacing w:val="-4"/>
          <w:w w:val="80"/>
        </w:rPr>
        <w:t xml:space="preserve">、 </w:t>
      </w:r>
      <w:r>
        <w:rPr>
          <w:spacing w:val="2"/>
          <w:w w:val="105"/>
        </w:rPr>
        <w:t>冲击地压等地质特征和灾害</w:t>
      </w:r>
      <w:r>
        <w:rPr>
          <w:spacing w:val="3"/>
        </w:rPr>
        <w:t>危险性进行可行性论证和设计</w:t>
      </w:r>
      <w:r>
        <w:rPr>
          <w:rFonts w:hint="eastAsia" w:ascii="MS UI Gothic" w:eastAsia="MS UI Gothic"/>
          <w:spacing w:val="21"/>
          <w:w w:val="80"/>
        </w:rPr>
        <w:t xml:space="preserve">ꎬ </w:t>
      </w:r>
      <w:r>
        <w:rPr>
          <w:spacing w:val="2"/>
        </w:rPr>
        <w:t>并由煤矿</w:t>
      </w:r>
      <w:r>
        <w:rPr>
          <w:spacing w:val="3"/>
          <w:w w:val="105"/>
        </w:rPr>
        <w:t>企业组织行业专家论证</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针对煤层开采技术条件和放顶煤开采工艺特点</w:t>
      </w:r>
      <w:r>
        <w:rPr>
          <w:rFonts w:hint="eastAsia" w:ascii="MS UI Gothic" w:eastAsia="MS UI Gothic"/>
          <w:w w:val="80"/>
        </w:rPr>
        <w:t xml:space="preserve">ꎬ </w:t>
      </w:r>
      <w:r>
        <w:rPr>
          <w:w w:val="105"/>
        </w:rPr>
        <w:t>必须制定防瓦斯</w:t>
      </w:r>
      <w:r>
        <w:rPr>
          <w:rFonts w:hint="eastAsia" w:ascii="MS UI Gothic" w:eastAsia="MS UI Gothic"/>
          <w:w w:val="80"/>
        </w:rPr>
        <w:t xml:space="preserve">、 </w:t>
      </w:r>
      <w:r>
        <w:rPr>
          <w:w w:val="105"/>
        </w:rPr>
        <w:t>防火</w:t>
      </w:r>
      <w:r>
        <w:rPr>
          <w:rFonts w:hint="eastAsia" w:ascii="MS UI Gothic" w:eastAsia="MS UI Gothic"/>
          <w:w w:val="80"/>
        </w:rPr>
        <w:t xml:space="preserve">、 </w:t>
      </w:r>
      <w:r>
        <w:rPr>
          <w:w w:val="105"/>
        </w:rPr>
        <w:t>防尘</w:t>
      </w:r>
      <w:r>
        <w:rPr>
          <w:rFonts w:hint="eastAsia" w:ascii="MS UI Gothic" w:eastAsia="MS UI Gothic"/>
          <w:w w:val="80"/>
        </w:rPr>
        <w:t xml:space="preserve">、 </w:t>
      </w:r>
      <w:r>
        <w:rPr>
          <w:w w:val="105"/>
        </w:rPr>
        <w:t>防水</w:t>
      </w:r>
      <w:r>
        <w:rPr>
          <w:rFonts w:hint="eastAsia" w:ascii="MS UI Gothic" w:eastAsia="MS UI Gothic"/>
          <w:w w:val="80"/>
        </w:rPr>
        <w:t xml:space="preserve">、 </w:t>
      </w:r>
      <w:r>
        <w:rPr>
          <w:w w:val="105"/>
        </w:rPr>
        <w:t>采放煤工艺</w:t>
      </w:r>
      <w:r>
        <w:rPr>
          <w:rFonts w:hint="eastAsia" w:ascii="MS UI Gothic" w:eastAsia="MS UI Gothic"/>
          <w:w w:val="80"/>
        </w:rPr>
        <w:t xml:space="preserve">、 </w:t>
      </w:r>
      <w:r>
        <w:rPr>
          <w:w w:val="105"/>
        </w:rPr>
        <w:t>顶板支护</w:t>
      </w:r>
      <w:r>
        <w:rPr>
          <w:rFonts w:hint="eastAsia" w:ascii="MS UI Gothic" w:eastAsia="MS UI Gothic"/>
          <w:w w:val="80"/>
        </w:rPr>
        <w:t xml:space="preserve">、 </w:t>
      </w:r>
      <w:r>
        <w:rPr>
          <w:w w:val="105"/>
        </w:rPr>
        <w:t>初采和工作面收尾等安全技术措施</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放顶煤工作面初采期间应当根</w:t>
      </w:r>
      <w:r>
        <w:t>据需要采取强制放顶措施</w:t>
      </w:r>
      <w:r>
        <w:rPr>
          <w:rFonts w:hint="eastAsia" w:ascii="MS UI Gothic" w:eastAsia="MS UI Gothic"/>
          <w:w w:val="80"/>
        </w:rPr>
        <w:t xml:space="preserve">ꎬ </w:t>
      </w:r>
      <w:r>
        <w:t>使顶煤和直接</w:t>
      </w:r>
      <w:r>
        <w:rPr>
          <w:w w:val="105"/>
        </w:rPr>
        <w:t>顶充分垮落</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采用预裂爆破处理坚硬顶板或</w:t>
      </w:r>
      <w:r>
        <w:t>者坚硬顶煤时</w:t>
      </w:r>
      <w:r>
        <w:rPr>
          <w:rFonts w:hint="eastAsia" w:ascii="MS UI Gothic" w:eastAsia="MS UI Gothic"/>
          <w:w w:val="80"/>
        </w:rPr>
        <w:t xml:space="preserve">ꎬ </w:t>
      </w:r>
      <w:r>
        <w:t>应当在工作面未采动区进行</w:t>
      </w:r>
      <w:r>
        <w:rPr>
          <w:rFonts w:hint="eastAsia" w:ascii="MS UI Gothic" w:eastAsia="MS UI Gothic"/>
          <w:w w:val="80"/>
        </w:rPr>
        <w:t xml:space="preserve">ꎬ </w:t>
      </w:r>
      <w:r>
        <w:t>并制定专门的安全技术措施</w:t>
      </w:r>
      <w:r>
        <w:rPr>
          <w:rFonts w:hint="eastAsia" w:ascii="MS UI Gothic" w:eastAsia="MS UI Gothic"/>
          <w:w w:val="80"/>
        </w:rPr>
        <w:t xml:space="preserve">ꎮ </w:t>
      </w:r>
      <w:r>
        <w:t>严禁在工作面内采用炸药爆破方法处理未冒落顶</w:t>
      </w:r>
      <w:r>
        <w:rPr>
          <w:w w:val="105"/>
        </w:rPr>
        <w:t>煤</w:t>
      </w:r>
      <w:r>
        <w:rPr>
          <w:rFonts w:hint="eastAsia" w:ascii="MS UI Gothic" w:eastAsia="MS UI Gothic"/>
          <w:w w:val="80"/>
        </w:rPr>
        <w:t xml:space="preserve">、 </w:t>
      </w:r>
      <w:r>
        <w:rPr>
          <w:w w:val="105"/>
        </w:rPr>
        <w:t xml:space="preserve">顶板及大块煤 </w:t>
      </w:r>
      <w:r>
        <w:rPr>
          <w:rFonts w:hint="eastAsia" w:ascii="MS UI Gothic" w:eastAsia="MS UI Gothic"/>
          <w:w w:val="150"/>
        </w:rPr>
        <w:t xml:space="preserve">( </w:t>
      </w:r>
      <w:r>
        <w:rPr>
          <w:w w:val="105"/>
        </w:rPr>
        <w:t>矸</w:t>
      </w:r>
      <w:r>
        <w:rPr>
          <w:rFonts w:hint="eastAsia" w:ascii="MS UI Gothic" w:eastAsia="MS UI Gothic"/>
          <w:w w:val="150"/>
        </w:rPr>
        <w:t xml:space="preserve">) </w:t>
      </w:r>
      <w:r>
        <w:rPr>
          <w:rFonts w:hint="eastAsia" w:ascii="MS UI Gothic" w:eastAsia="MS UI Gothic"/>
          <w:w w:val="80"/>
        </w:rPr>
        <w:t>ꎮ</w:t>
      </w:r>
    </w:p>
    <w:p>
      <w:pPr>
        <w:pStyle w:val="6"/>
        <w:spacing w:line="292" w:lineRule="auto"/>
        <w:ind w:right="442"/>
        <w:rPr>
          <w:rFonts w:hint="eastAsia" w:ascii="MS UI Gothic" w:eastAsia="MS UI Gothic"/>
        </w:rPr>
      </w:pPr>
      <w:r>
        <w:rPr>
          <w:rFonts w:hint="eastAsia" w:ascii="MS UI Gothic" w:eastAsia="MS UI Gothic"/>
          <w:spacing w:val="-40"/>
          <w:w w:val="145"/>
        </w:rPr>
        <w:t xml:space="preserve">( </w:t>
      </w:r>
      <w:r>
        <w:rPr>
          <w:spacing w:val="3"/>
          <w:w w:val="110"/>
        </w:rPr>
        <w:t>五</w:t>
      </w:r>
      <w:r>
        <w:rPr>
          <w:rFonts w:hint="eastAsia" w:ascii="MS UI Gothic" w:eastAsia="MS UI Gothic"/>
          <w:spacing w:val="-17"/>
          <w:w w:val="145"/>
        </w:rPr>
        <w:t xml:space="preserve">) </w:t>
      </w:r>
      <w:r>
        <w:rPr>
          <w:spacing w:val="4"/>
          <w:w w:val="110"/>
        </w:rPr>
        <w:t>高瓦斯</w:t>
      </w:r>
      <w:r>
        <w:rPr>
          <w:rFonts w:hint="eastAsia" w:ascii="MS UI Gothic" w:eastAsia="MS UI Gothic"/>
          <w:spacing w:val="-1"/>
          <w:w w:val="80"/>
        </w:rPr>
        <w:t xml:space="preserve">、 </w:t>
      </w:r>
      <w:r>
        <w:rPr>
          <w:spacing w:val="8"/>
          <w:w w:val="110"/>
        </w:rPr>
        <w:t>突出矿井的容易自燃</w:t>
      </w:r>
      <w:r>
        <w:rPr>
          <w:spacing w:val="3"/>
        </w:rPr>
        <w:t>煤层</w:t>
      </w:r>
      <w:r>
        <w:rPr>
          <w:rFonts w:hint="eastAsia" w:ascii="MS UI Gothic" w:eastAsia="MS UI Gothic"/>
          <w:spacing w:val="20"/>
          <w:w w:val="80"/>
        </w:rPr>
        <w:t xml:space="preserve">ꎬ </w:t>
      </w:r>
      <w:r>
        <w:rPr>
          <w:spacing w:val="2"/>
        </w:rPr>
        <w:t>应当采取以预抽方式为主的综合抽</w:t>
      </w:r>
      <w:r>
        <w:rPr>
          <w:spacing w:val="3"/>
        </w:rPr>
        <w:t>采瓦斯措施和综合防灭火措施</w:t>
      </w:r>
      <w:r>
        <w:rPr>
          <w:rFonts w:hint="eastAsia" w:ascii="MS UI Gothic" w:eastAsia="MS UI Gothic"/>
          <w:spacing w:val="20"/>
          <w:w w:val="80"/>
        </w:rPr>
        <w:t xml:space="preserve">ꎬ </w:t>
      </w:r>
      <w:r>
        <w:rPr>
          <w:spacing w:val="2"/>
        </w:rPr>
        <w:t>保证本煤</w:t>
      </w:r>
      <w:r>
        <w:rPr>
          <w:spacing w:val="-8"/>
          <w:w w:val="110"/>
        </w:rPr>
        <w:t xml:space="preserve">层瓦斯含量不大于 </w:t>
      </w:r>
      <w:r>
        <w:rPr>
          <w:rFonts w:hint="eastAsia" w:ascii="MS UI Gothic" w:eastAsia="MS UI Gothic"/>
          <w:spacing w:val="-11"/>
          <w:w w:val="80"/>
        </w:rPr>
        <w:t xml:space="preserve">６ </w:t>
      </w:r>
      <w:r>
        <w:rPr>
          <w:rFonts w:hint="eastAsia" w:ascii="MS UI Gothic" w:eastAsia="MS UI Gothic"/>
          <w:spacing w:val="3"/>
          <w:w w:val="80"/>
        </w:rPr>
        <w:t>ｍ</w:t>
      </w:r>
      <w:r>
        <w:rPr>
          <w:rFonts w:hint="eastAsia" w:ascii="MS UI Gothic" w:eastAsia="MS UI Gothic"/>
          <w:spacing w:val="-6"/>
          <w:w w:val="80"/>
          <w:position w:val="9"/>
          <w:sz w:val="12"/>
        </w:rPr>
        <w:t xml:space="preserve">３ </w:t>
      </w:r>
      <w:r>
        <w:rPr>
          <w:rFonts w:hint="eastAsia" w:ascii="MS UI Gothic" w:eastAsia="MS UI Gothic"/>
          <w:w w:val="70"/>
        </w:rPr>
        <w:t xml:space="preserve">/ </w:t>
      </w:r>
      <w:r>
        <w:rPr>
          <w:rFonts w:hint="eastAsia" w:ascii="MS UI Gothic" w:eastAsia="MS UI Gothic"/>
          <w:spacing w:val="4"/>
          <w:w w:val="80"/>
        </w:rPr>
        <w:t>ｔ</w:t>
      </w:r>
      <w:r>
        <w:rPr>
          <w:rFonts w:hint="eastAsia" w:ascii="MS UI Gothic" w:eastAsia="MS UI Gothic"/>
          <w:w w:val="80"/>
        </w:rPr>
        <w:t xml:space="preserve">ꎮ </w:t>
      </w:r>
      <w:r>
        <w:rPr>
          <w:rFonts w:hint="eastAsia" w:ascii="MS UI Gothic" w:eastAsia="MS UI Gothic"/>
          <w:spacing w:val="-40"/>
          <w:w w:val="145"/>
        </w:rPr>
        <w:t xml:space="preserve">( </w:t>
      </w:r>
      <w:r>
        <w:rPr>
          <w:spacing w:val="5"/>
          <w:w w:val="110"/>
        </w:rPr>
        <w:t>或工作面最</w:t>
      </w:r>
      <w:r>
        <w:rPr>
          <w:spacing w:val="2"/>
          <w:w w:val="102"/>
        </w:rPr>
        <w:t>高风速不大于</w:t>
      </w:r>
      <w:r>
        <w:rPr>
          <w:spacing w:val="-50"/>
        </w:rPr>
        <w:t xml:space="preserve"> </w:t>
      </w:r>
      <w:r>
        <w:rPr>
          <w:rFonts w:hint="eastAsia" w:ascii="MS UI Gothic" w:eastAsia="MS UI Gothic"/>
          <w:w w:val="75"/>
        </w:rPr>
        <w:t>４</w:t>
      </w:r>
      <w:r>
        <w:rPr>
          <w:rFonts w:hint="eastAsia" w:ascii="MS UI Gothic" w:eastAsia="MS UI Gothic"/>
        </w:rPr>
        <w:t xml:space="preserve"> </w:t>
      </w:r>
      <w:r>
        <w:rPr>
          <w:rFonts w:hint="eastAsia" w:ascii="MS UI Gothic" w:eastAsia="MS UI Gothic"/>
          <w:w w:val="75"/>
        </w:rPr>
        <w:t>０</w:t>
      </w:r>
      <w:r>
        <w:rPr>
          <w:rFonts w:hint="eastAsia" w:ascii="MS UI Gothic" w:eastAsia="MS UI Gothic"/>
        </w:rPr>
        <w:t xml:space="preserve"> </w:t>
      </w:r>
      <w:r>
        <w:rPr>
          <w:rFonts w:hint="eastAsia" w:ascii="MS UI Gothic" w:eastAsia="MS UI Gothic"/>
          <w:w w:val="79"/>
        </w:rPr>
        <w:t>ｍ</w:t>
      </w:r>
      <w:r>
        <w:rPr>
          <w:rFonts w:hint="eastAsia" w:ascii="MS UI Gothic" w:eastAsia="MS UI Gothic"/>
        </w:rPr>
        <w:t xml:space="preserve"> </w:t>
      </w:r>
      <w:r>
        <w:rPr>
          <w:rFonts w:hint="eastAsia" w:ascii="MS UI Gothic" w:eastAsia="MS UI Gothic"/>
          <w:w w:val="34"/>
        </w:rPr>
        <w:t>/</w:t>
      </w:r>
      <w:r>
        <w:rPr>
          <w:rFonts w:hint="eastAsia" w:ascii="MS UI Gothic" w:eastAsia="MS UI Gothic"/>
        </w:rPr>
        <w:t xml:space="preserve"> </w:t>
      </w:r>
      <w:r>
        <w:rPr>
          <w:rFonts w:hint="eastAsia" w:ascii="MS UI Gothic" w:eastAsia="MS UI Gothic"/>
          <w:spacing w:val="3"/>
          <w:w w:val="70"/>
        </w:rPr>
        <w:t>ｓ</w:t>
      </w:r>
      <w:r>
        <w:rPr>
          <w:rFonts w:hint="eastAsia" w:ascii="MS UI Gothic" w:eastAsia="MS UI Gothic"/>
          <w:w w:val="168"/>
        </w:rPr>
        <w:t>)</w:t>
      </w:r>
    </w:p>
    <w:p>
      <w:pPr>
        <w:pStyle w:val="6"/>
        <w:spacing w:line="255" w:lineRule="exact"/>
        <w:ind w:left="543" w:firstLine="0"/>
      </w:pPr>
      <w:r>
        <w:rPr>
          <w:rFonts w:hint="eastAsia" w:ascii="MS UI Gothic" w:eastAsia="MS UI Gothic"/>
          <w:w w:val="150"/>
        </w:rPr>
        <w:t xml:space="preserve">( </w:t>
      </w:r>
      <w:r>
        <w:rPr>
          <w:w w:val="115"/>
        </w:rPr>
        <w:t>六</w:t>
      </w:r>
      <w:r>
        <w:rPr>
          <w:rFonts w:hint="eastAsia" w:ascii="MS UI Gothic" w:eastAsia="MS UI Gothic"/>
          <w:w w:val="150"/>
        </w:rPr>
        <w:t xml:space="preserve">) </w:t>
      </w:r>
      <w:r>
        <w:rPr>
          <w:w w:val="115"/>
        </w:rPr>
        <w:t>严禁单体支柱放顶煤开采</w:t>
      </w:r>
    </w:p>
    <w:p>
      <w:pPr>
        <w:pStyle w:val="6"/>
        <w:spacing w:before="52" w:line="295" w:lineRule="auto"/>
        <w:ind w:right="442"/>
        <w:rPr>
          <w:rFonts w:hint="eastAsia" w:ascii="MS UI Gothic" w:eastAsia="MS UI Gothic"/>
        </w:rPr>
      </w:pPr>
      <w:r>
        <w:t>有下列情形之一的</w:t>
      </w:r>
      <w:r>
        <w:rPr>
          <w:rFonts w:hint="eastAsia" w:ascii="MS UI Gothic" w:eastAsia="MS UI Gothic"/>
          <w:w w:val="80"/>
        </w:rPr>
        <w:t xml:space="preserve">ꎬ </w:t>
      </w:r>
      <w:r>
        <w:t>严禁采用放顶煤</w:t>
      </w:r>
      <w:r>
        <w:rPr>
          <w:w w:val="110"/>
        </w:rPr>
        <w:t>开采</w:t>
      </w:r>
      <w:r>
        <w:rPr>
          <w:rFonts w:hint="eastAsia" w:ascii="MS UI Gothic" w:eastAsia="MS UI Gothic"/>
          <w:w w:val="235"/>
        </w:rPr>
        <w:t>:</w:t>
      </w:r>
    </w:p>
    <w:p>
      <w:pPr>
        <w:pStyle w:val="6"/>
        <w:spacing w:line="295" w:lineRule="auto"/>
        <w:ind w:right="442"/>
        <w:jc w:val="right"/>
      </w:pPr>
      <w:r>
        <w:rPr>
          <w:rFonts w:hint="eastAsia" w:ascii="MS UI Gothic" w:hAnsi="MS UI Gothic" w:eastAsia="MS UI Gothic"/>
          <w:spacing w:val="-37"/>
          <w:w w:val="150"/>
        </w:rPr>
        <w:t xml:space="preserve">( </w:t>
      </w:r>
      <w:r>
        <w:rPr>
          <w:spacing w:val="3"/>
          <w:w w:val="105"/>
        </w:rPr>
        <w:t>一</w:t>
      </w:r>
      <w:r>
        <w:rPr>
          <w:rFonts w:hint="eastAsia" w:ascii="MS UI Gothic" w:hAnsi="MS UI Gothic" w:eastAsia="MS UI Gothic"/>
          <w:spacing w:val="8"/>
          <w:w w:val="150"/>
        </w:rPr>
        <w:t xml:space="preserve">) </w:t>
      </w:r>
      <w:r>
        <w:rPr>
          <w:spacing w:val="4"/>
          <w:w w:val="105"/>
        </w:rPr>
        <w:t>缓倾斜</w:t>
      </w:r>
      <w:r>
        <w:rPr>
          <w:rFonts w:hint="eastAsia" w:ascii="MS UI Gothic" w:hAnsi="MS UI Gothic" w:eastAsia="MS UI Gothic"/>
          <w:spacing w:val="23"/>
          <w:w w:val="80"/>
        </w:rPr>
        <w:t xml:space="preserve">、 </w:t>
      </w:r>
      <w:r>
        <w:rPr>
          <w:spacing w:val="8"/>
          <w:w w:val="105"/>
        </w:rPr>
        <w:t>倾斜厚煤层的采放比</w:t>
      </w:r>
      <w:r>
        <w:rPr>
          <w:spacing w:val="-26"/>
          <w:w w:val="105"/>
        </w:rPr>
        <w:t xml:space="preserve">大于 </w:t>
      </w:r>
      <w:r>
        <w:rPr>
          <w:rFonts w:hint="eastAsia" w:ascii="MS UI Gothic" w:hAnsi="MS UI Gothic" w:eastAsia="MS UI Gothic"/>
          <w:spacing w:val="1"/>
          <w:w w:val="80"/>
        </w:rPr>
        <w:t xml:space="preserve">１ ∶ ３ꎬ </w:t>
      </w:r>
      <w:r>
        <w:rPr>
          <w:spacing w:val="13"/>
          <w:w w:val="105"/>
        </w:rPr>
        <w:t>且未经行业专家论证的</w:t>
      </w:r>
      <w:r>
        <w:rPr>
          <w:rFonts w:hint="eastAsia" w:ascii="MS UI Gothic" w:hAnsi="MS UI Gothic" w:eastAsia="MS UI Gothic"/>
          <w:spacing w:val="7"/>
          <w:w w:val="80"/>
        </w:rPr>
        <w:t xml:space="preserve">ꎻ </w:t>
      </w:r>
      <w:r>
        <w:rPr>
          <w:w w:val="105"/>
        </w:rPr>
        <w:t>急</w:t>
      </w:r>
      <w:r>
        <w:rPr>
          <w:spacing w:val="-4"/>
          <w:w w:val="105"/>
        </w:rPr>
        <w:t xml:space="preserve">倾斜水平分段放顶煤采放比大于 </w:t>
      </w:r>
      <w:r>
        <w:rPr>
          <w:rFonts w:hint="eastAsia" w:ascii="MS UI Gothic" w:hAnsi="MS UI Gothic" w:eastAsia="MS UI Gothic"/>
          <w:spacing w:val="-12"/>
          <w:w w:val="80"/>
        </w:rPr>
        <w:t xml:space="preserve">１ ∶ ８ </w:t>
      </w:r>
      <w:r>
        <w:rPr>
          <w:spacing w:val="3"/>
          <w:w w:val="105"/>
        </w:rPr>
        <w:t>的</w:t>
      </w:r>
      <w:r>
        <w:rPr>
          <w:rFonts w:hint="eastAsia" w:ascii="MS UI Gothic" w:hAnsi="MS UI Gothic" w:eastAsia="MS UI Gothic"/>
          <w:w w:val="80"/>
        </w:rPr>
        <w:t>ꎮ</w:t>
      </w:r>
      <w:r>
        <w:rPr>
          <w:rFonts w:hint="eastAsia" w:ascii="MS UI Gothic" w:hAnsi="MS UI Gothic" w:eastAsia="MS UI Gothic"/>
          <w:w w:val="51"/>
        </w:rPr>
        <w:t xml:space="preserve"> </w:t>
      </w:r>
      <w:r>
        <w:rPr>
          <w:rFonts w:hint="eastAsia" w:ascii="MS UI Gothic" w:hAnsi="MS UI Gothic" w:eastAsia="MS UI Gothic"/>
          <w:spacing w:val="-38"/>
          <w:w w:val="150"/>
        </w:rPr>
        <w:t xml:space="preserve">( </w:t>
      </w:r>
      <w:r>
        <w:rPr>
          <w:spacing w:val="3"/>
          <w:w w:val="105"/>
        </w:rPr>
        <w:t>二</w:t>
      </w:r>
      <w:r>
        <w:rPr>
          <w:rFonts w:hint="eastAsia" w:ascii="MS UI Gothic" w:hAnsi="MS UI Gothic" w:eastAsia="MS UI Gothic"/>
          <w:spacing w:val="1"/>
          <w:w w:val="150"/>
        </w:rPr>
        <w:t xml:space="preserve">) </w:t>
      </w:r>
      <w:r>
        <w:rPr>
          <w:spacing w:val="5"/>
          <w:w w:val="105"/>
        </w:rPr>
        <w:t>采区或者工作面采出率达不到</w:t>
      </w:r>
    </w:p>
    <w:p>
      <w:pPr>
        <w:pStyle w:val="6"/>
        <w:spacing w:line="253" w:lineRule="exact"/>
        <w:ind w:firstLine="0"/>
        <w:jc w:val="left"/>
        <w:rPr>
          <w:rFonts w:hint="eastAsia" w:ascii="MS UI Gothic" w:eastAsia="MS UI Gothic"/>
        </w:rPr>
      </w:pPr>
      <w:r>
        <w:t>矿井设计规范规定的</w:t>
      </w:r>
      <w:r>
        <w:rPr>
          <w:rFonts w:hint="eastAsia" w:ascii="MS UI Gothic" w:eastAsia="MS UI Gothic"/>
          <w:w w:val="80"/>
        </w:rPr>
        <w:t>ꎮ</w:t>
      </w:r>
    </w:p>
    <w:p>
      <w:pPr>
        <w:pStyle w:val="6"/>
        <w:spacing w:before="56"/>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煤层有突出危险的</w:t>
      </w:r>
      <w:r>
        <w:rPr>
          <w:rFonts w:hint="eastAsia" w:ascii="MS UI Gothic" w:eastAsia="MS UI Gothic"/>
          <w:w w:val="80"/>
        </w:rPr>
        <w:t>ꎮ</w:t>
      </w:r>
    </w:p>
    <w:p>
      <w:pPr>
        <w:pStyle w:val="6"/>
        <w:spacing w:before="59"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坚硬顶板</w:t>
      </w:r>
      <w:r>
        <w:rPr>
          <w:rFonts w:hint="eastAsia" w:ascii="MS UI Gothic" w:eastAsia="MS UI Gothic"/>
          <w:w w:val="80"/>
        </w:rPr>
        <w:t xml:space="preserve">、 </w:t>
      </w:r>
      <w:r>
        <w:rPr>
          <w:w w:val="105"/>
        </w:rPr>
        <w:t>坚硬顶煤不易冒落</w:t>
      </w:r>
      <w:r>
        <w:rPr>
          <w:rFonts w:hint="eastAsia" w:ascii="MS UI Gothic" w:eastAsia="MS UI Gothic"/>
          <w:w w:val="80"/>
        </w:rPr>
        <w:t xml:space="preserve">、 </w:t>
      </w:r>
      <w:r>
        <w:rPr>
          <w:w w:val="105"/>
        </w:rPr>
        <w:t>且采取措施后冒放性仍然较差</w:t>
      </w:r>
      <w:r>
        <w:rPr>
          <w:rFonts w:hint="eastAsia" w:ascii="MS UI Gothic" w:eastAsia="MS UI Gothic"/>
          <w:w w:val="80"/>
        </w:rPr>
        <w:t xml:space="preserve">ꎬ </w:t>
      </w:r>
      <w:r>
        <w:rPr>
          <w:w w:val="105"/>
        </w:rPr>
        <w:t>顶板</w:t>
      </w:r>
      <w:r>
        <w:t>垮落充填采空区的高度不大于采放煤高</w:t>
      </w:r>
      <w:r>
        <w:rPr>
          <w:w w:val="105"/>
        </w:rPr>
        <w:t>度的</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矿井水文地质条件复杂</w:t>
      </w:r>
      <w:r>
        <w:rPr>
          <w:rFonts w:hint="eastAsia" w:ascii="MS UI Gothic" w:eastAsia="MS UI Gothic"/>
          <w:w w:val="80"/>
        </w:rPr>
        <w:t xml:space="preserve">ꎬ </w:t>
      </w:r>
      <w:r>
        <w:rPr>
          <w:w w:val="105"/>
        </w:rPr>
        <w:t>放顶煤开采后有可能与地表水</w:t>
      </w:r>
      <w:r>
        <w:rPr>
          <w:rFonts w:hint="eastAsia" w:ascii="MS UI Gothic" w:eastAsia="MS UI Gothic"/>
          <w:w w:val="80"/>
        </w:rPr>
        <w:t xml:space="preserve">、 </w:t>
      </w:r>
      <w:r>
        <w:rPr>
          <w:w w:val="105"/>
        </w:rPr>
        <w:t>老窑积水和强含水层导通的</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20"/>
        </w:rPr>
        <w:t xml:space="preserve">( </w:t>
      </w:r>
      <w:r>
        <w:rPr>
          <w:w w:val="110"/>
        </w:rPr>
        <w:t>六</w:t>
      </w:r>
      <w:r>
        <w:rPr>
          <w:rFonts w:hint="eastAsia" w:ascii="MS UI Gothic" w:eastAsia="MS UI Gothic"/>
          <w:w w:val="120"/>
        </w:rPr>
        <w:t xml:space="preserve">) </w:t>
      </w:r>
      <w:r>
        <w:rPr>
          <w:w w:val="110"/>
        </w:rPr>
        <w:t>放顶煤开采后有可能沟通火区的</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第一百一十六条 采用连续采煤机开采</w:t>
      </w:r>
      <w:r>
        <w:rPr>
          <w:rFonts w:hint="eastAsia" w:ascii="MS UI Gothic" w:eastAsia="MS UI Gothic"/>
          <w:w w:val="80"/>
        </w:rPr>
        <w:t xml:space="preserve">、 </w:t>
      </w:r>
      <w:r>
        <w:rPr>
          <w:w w:val="105"/>
        </w:rPr>
        <w:t>必须根据工作面地质条件</w:t>
      </w:r>
      <w:r>
        <w:rPr>
          <w:rFonts w:hint="eastAsia" w:ascii="MS UI Gothic" w:eastAsia="MS UI Gothic"/>
          <w:w w:val="80"/>
        </w:rPr>
        <w:t xml:space="preserve">、 </w:t>
      </w:r>
      <w:r>
        <w:rPr>
          <w:w w:val="105"/>
        </w:rPr>
        <w:t>瓦斯涌出量</w:t>
      </w:r>
      <w:r>
        <w:rPr>
          <w:rFonts w:hint="eastAsia" w:ascii="MS UI Gothic" w:eastAsia="MS UI Gothic"/>
          <w:w w:val="80"/>
        </w:rPr>
        <w:t xml:space="preserve">、 </w:t>
      </w:r>
      <w:r>
        <w:rPr>
          <w:w w:val="105"/>
        </w:rPr>
        <w:t>自然发火倾向</w:t>
      </w:r>
      <w:r>
        <w:rPr>
          <w:rFonts w:hint="eastAsia" w:ascii="MS UI Gothic" w:eastAsia="MS UI Gothic"/>
          <w:w w:val="80"/>
        </w:rPr>
        <w:t xml:space="preserve">、 </w:t>
      </w:r>
      <w:r>
        <w:rPr>
          <w:w w:val="105"/>
        </w:rPr>
        <w:t>回采速度</w:t>
      </w:r>
      <w:r>
        <w:rPr>
          <w:rFonts w:hint="eastAsia" w:ascii="MS UI Gothic" w:eastAsia="MS UI Gothic"/>
          <w:w w:val="80"/>
        </w:rPr>
        <w:t xml:space="preserve">、 </w:t>
      </w:r>
      <w:r>
        <w:rPr>
          <w:w w:val="105"/>
        </w:rPr>
        <w:t>矿山压力</w:t>
      </w:r>
      <w:r>
        <w:rPr>
          <w:rFonts w:hint="eastAsia" w:ascii="MS UI Gothic" w:eastAsia="MS UI Gothic"/>
          <w:w w:val="80"/>
        </w:rPr>
        <w:t xml:space="preserve">ꎬ </w:t>
      </w:r>
      <w:r>
        <w:rPr>
          <w:w w:val="105"/>
        </w:rPr>
        <w:t>以及煤层顶底板岩性</w:t>
      </w:r>
      <w:r>
        <w:rPr>
          <w:rFonts w:hint="eastAsia" w:ascii="MS UI Gothic" w:eastAsia="MS UI Gothic"/>
          <w:w w:val="80"/>
        </w:rPr>
        <w:t xml:space="preserve">、 </w:t>
      </w:r>
      <w:r>
        <w:rPr>
          <w:w w:val="105"/>
        </w:rPr>
        <w:t>厚度</w:t>
      </w:r>
      <w:r>
        <w:rPr>
          <w:rFonts w:hint="eastAsia" w:ascii="MS UI Gothic" w:eastAsia="MS UI Gothic"/>
          <w:w w:val="80"/>
        </w:rPr>
        <w:t xml:space="preserve">、 </w:t>
      </w:r>
      <w:r>
        <w:rPr>
          <w:w w:val="105"/>
        </w:rPr>
        <w:t>倾角等</w:t>
      </w:r>
      <w:r>
        <w:t>因素</w:t>
      </w:r>
      <w:r>
        <w:rPr>
          <w:rFonts w:hint="eastAsia" w:ascii="MS UI Gothic" w:eastAsia="MS UI Gothic"/>
          <w:w w:val="80"/>
        </w:rPr>
        <w:t xml:space="preserve">ꎬ </w:t>
      </w:r>
      <w:r>
        <w:t>编制开采设计和回采作业规程</w:t>
      </w:r>
      <w:r>
        <w:rPr>
          <w:rFonts w:hint="eastAsia" w:ascii="MS UI Gothic" w:eastAsia="MS UI Gothic"/>
          <w:w w:val="80"/>
        </w:rPr>
        <w:t xml:space="preserve">ꎬ </w:t>
      </w:r>
      <w:r>
        <w:t>并</w:t>
      </w:r>
      <w:r>
        <w:rPr>
          <w:w w:val="105"/>
        </w:rPr>
        <w:t>符合下列要求</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工作面必须形成全风压通风后</w:t>
      </w:r>
      <w:r>
        <w:rPr>
          <w:w w:val="110"/>
        </w:rPr>
        <w:t>方可回采</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２５５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91" o:spid="_x0000_s1791" o:spt="203" style="height:2.15pt;width:398.25pt;" coordsize="7965,43">
            <o:lock v:ext="edit"/>
            <v:line id="_x0000_s1792" o:spid="_x0000_s1792" o:spt="20" style="position:absolute;left:0;top:39;height:0;width:7965;" stroked="t" coordsize="21600,21600">
              <v:path arrowok="t"/>
              <v:fill focussize="0,0"/>
              <v:stroke weight="0.388031496062992pt" color="#231F20"/>
              <v:imagedata o:title=""/>
              <o:lock v:ext="edit"/>
            </v:line>
            <v:line id="_x0000_s1793" o:spid="_x0000_s179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严禁采煤机司机等人员在空顶</w:t>
      </w:r>
      <w:r>
        <w:rPr>
          <w:w w:val="110"/>
        </w:rPr>
        <w:t>区作业</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运输巷与短壁工作面或者回采</w:t>
      </w:r>
      <w:r>
        <w:rPr>
          <w:w w:val="110"/>
        </w:rPr>
        <w:t xml:space="preserve">支巷连接处 </w:t>
      </w:r>
      <w:r>
        <w:rPr>
          <w:rFonts w:hint="eastAsia" w:ascii="MS UI Gothic" w:eastAsia="MS UI Gothic"/>
          <w:w w:val="150"/>
        </w:rPr>
        <w:t xml:space="preserve">( </w:t>
      </w:r>
      <w:r>
        <w:rPr>
          <w:w w:val="110"/>
        </w:rPr>
        <w:t>出口</w:t>
      </w:r>
      <w:r>
        <w:rPr>
          <w:rFonts w:hint="eastAsia" w:ascii="MS UI Gothic" w:eastAsia="MS UI Gothic"/>
          <w:w w:val="150"/>
        </w:rPr>
        <w:t xml:space="preserve">) </w:t>
      </w:r>
      <w:r>
        <w:rPr>
          <w:rFonts w:hint="eastAsia" w:ascii="MS UI Gothic" w:eastAsia="MS UI Gothic"/>
          <w:w w:val="80"/>
        </w:rPr>
        <w:t xml:space="preserve">ꎬ </w:t>
      </w:r>
      <w:r>
        <w:rPr>
          <w:w w:val="110"/>
        </w:rPr>
        <w:t>必须加强支护</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回收煤柱时</w:t>
      </w:r>
      <w:r>
        <w:rPr>
          <w:rFonts w:hint="eastAsia" w:ascii="MS UI Gothic" w:eastAsia="MS UI Gothic"/>
          <w:w w:val="80"/>
        </w:rPr>
        <w:t xml:space="preserve">ꎬ </w:t>
      </w:r>
      <w:r>
        <w:rPr>
          <w:w w:val="105"/>
        </w:rPr>
        <w:t>连续采煤机的最大进刀深度应当根据顶板状况</w:t>
      </w:r>
      <w:r>
        <w:rPr>
          <w:rFonts w:hint="eastAsia" w:ascii="MS UI Gothic" w:eastAsia="MS UI Gothic"/>
          <w:w w:val="80"/>
        </w:rPr>
        <w:t xml:space="preserve">、 </w:t>
      </w:r>
      <w:r>
        <w:rPr>
          <w:w w:val="105"/>
        </w:rPr>
        <w:t>设备配套</w:t>
      </w:r>
      <w:r>
        <w:rPr>
          <w:rFonts w:hint="eastAsia" w:ascii="MS UI Gothic" w:eastAsia="MS UI Gothic"/>
          <w:w w:val="80"/>
        </w:rPr>
        <w:t xml:space="preserve">、 </w:t>
      </w:r>
      <w:r>
        <w:rPr>
          <w:w w:val="105"/>
        </w:rPr>
        <w:t>采煤工艺等因素合理确定</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采用垮落法控制顶板</w:t>
      </w:r>
      <w:r>
        <w:rPr>
          <w:rFonts w:hint="eastAsia" w:ascii="MS UI Gothic" w:eastAsia="MS UI Gothic"/>
          <w:w w:val="80"/>
        </w:rPr>
        <w:t xml:space="preserve">ꎬ </w:t>
      </w:r>
      <w:r>
        <w:rPr>
          <w:w w:val="105"/>
        </w:rPr>
        <w:t>对于特</w:t>
      </w:r>
      <w:r>
        <w:t>殊地质条件下顶板不能及时冒落时</w:t>
      </w:r>
      <w:r>
        <w:rPr>
          <w:rFonts w:hint="eastAsia" w:ascii="MS UI Gothic" w:eastAsia="MS UI Gothic"/>
          <w:w w:val="80"/>
        </w:rPr>
        <w:t xml:space="preserve">ꎬ </w:t>
      </w:r>
      <w:r>
        <w:t>必须</w:t>
      </w:r>
      <w:r>
        <w:rPr>
          <w:w w:val="105"/>
        </w:rPr>
        <w:t>采取强制放顶或者其他处理措施</w:t>
      </w:r>
      <w:r>
        <w:rPr>
          <w:rFonts w:hint="eastAsia" w:ascii="MS UI Gothic" w:eastAsia="MS UI Gothic"/>
          <w:w w:val="80"/>
        </w:rPr>
        <w:t>ꎮ</w:t>
      </w:r>
    </w:p>
    <w:p>
      <w:pPr>
        <w:pStyle w:val="6"/>
        <w:spacing w:line="295" w:lineRule="auto"/>
        <w:ind w:left="440"/>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采用煤柱支承采空区顶板及上</w:t>
      </w:r>
      <w:r>
        <w:t>覆岩层的部分回采方式时</w:t>
      </w:r>
      <w:r>
        <w:rPr>
          <w:rFonts w:hint="eastAsia" w:ascii="MS UI Gothic" w:eastAsia="MS UI Gothic"/>
          <w:w w:val="80"/>
        </w:rPr>
        <w:t xml:space="preserve">ꎬ </w:t>
      </w:r>
      <w:r>
        <w:t>应当有防止采</w:t>
      </w:r>
    </w:p>
    <w:p>
      <w:pPr>
        <w:pStyle w:val="6"/>
        <w:spacing w:line="238" w:lineRule="exact"/>
        <w:ind w:left="440" w:firstLine="0"/>
        <w:jc w:val="left"/>
        <w:rPr>
          <w:rFonts w:hint="eastAsia" w:ascii="MS UI Gothic" w:eastAsia="MS UI Gothic"/>
        </w:rPr>
      </w:pPr>
      <w:r>
        <w:t>空区顶板大面积垮塌的措施</w:t>
      </w:r>
      <w:r>
        <w:rPr>
          <w:rFonts w:hint="eastAsia" w:ascii="MS UI Gothic" w:eastAsia="MS UI Gothic"/>
          <w:w w:val="80"/>
        </w:rPr>
        <w:t>ꎮ</w:t>
      </w:r>
    </w:p>
    <w:p>
      <w:pPr>
        <w:pStyle w:val="6"/>
        <w:spacing w:before="124"/>
        <w:ind w:left="383" w:firstLine="0"/>
        <w:jc w:val="left"/>
        <w:rPr>
          <w:rFonts w:hint="eastAsia" w:ascii="MS UI Gothic" w:eastAsia="MS UI Gothic"/>
        </w:rPr>
      </w:pPr>
      <w:r>
        <w:br w:type="column"/>
      </w:r>
      <w:r>
        <w:t>严禁用采煤机强行截割</w:t>
      </w:r>
      <w:r>
        <w:rPr>
          <w:rFonts w:hint="eastAsia" w:ascii="MS UI Gothic" w:eastAsia="MS UI Gothic"/>
          <w:w w:val="80"/>
        </w:rPr>
        <w:t>ꎮ</w:t>
      </w:r>
    </w:p>
    <w:p>
      <w:pPr>
        <w:pStyle w:val="6"/>
        <w:spacing w:before="58" w:line="295" w:lineRule="auto"/>
        <w:ind w:left="383" w:right="126"/>
        <w:rPr>
          <w:rFonts w:hint="eastAsia" w:ascii="MS UI Gothic" w:hAnsi="MS UI Gothic" w:eastAsia="MS UI Gothic"/>
        </w:rPr>
      </w:pPr>
      <w:r>
        <w:rPr>
          <w:rFonts w:hint="eastAsia" w:ascii="MS UI Gothic" w:hAnsi="MS UI Gothic" w:eastAsia="MS UI Gothic"/>
          <w:w w:val="140"/>
        </w:rPr>
        <w:t xml:space="preserve">( </w:t>
      </w:r>
      <w:r>
        <w:t>三</w:t>
      </w:r>
      <w:r>
        <w:rPr>
          <w:rFonts w:hint="eastAsia" w:ascii="MS UI Gothic" w:hAnsi="MS UI Gothic" w:eastAsia="MS UI Gothic"/>
          <w:w w:val="140"/>
        </w:rPr>
        <w:t xml:space="preserve">) </w:t>
      </w:r>
      <w:r>
        <w:t xml:space="preserve">工作面倾角在 </w:t>
      </w:r>
      <w:r>
        <w:rPr>
          <w:rFonts w:hint="eastAsia" w:ascii="MS UI Gothic" w:hAnsi="MS UI Gothic" w:eastAsia="MS UI Gothic"/>
          <w:w w:val="85"/>
        </w:rPr>
        <w:t xml:space="preserve">１５° </w:t>
      </w:r>
      <w:r>
        <w:t>以上时</w:t>
      </w:r>
      <w:r>
        <w:rPr>
          <w:rFonts w:hint="eastAsia" w:ascii="MS UI Gothic" w:hAnsi="MS UI Gothic" w:eastAsia="MS UI Gothic"/>
          <w:w w:val="85"/>
        </w:rPr>
        <w:t xml:space="preserve">ꎬ </w:t>
      </w:r>
      <w:r>
        <w:t>必须有可靠的防滑装置</w:t>
      </w:r>
      <w:r>
        <w:rPr>
          <w:rFonts w:hint="eastAsia" w:ascii="MS UI Gothic" w:hAnsi="MS UI Gothic" w:eastAsia="MS UI Gothic"/>
          <w:w w:val="85"/>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t>四</w:t>
      </w:r>
      <w:r>
        <w:rPr>
          <w:rFonts w:hint="eastAsia" w:ascii="MS UI Gothic" w:eastAsia="MS UI Gothic"/>
          <w:w w:val="150"/>
        </w:rPr>
        <w:t xml:space="preserve">) </w:t>
      </w:r>
      <w:r>
        <w:t>使用有链牵引采煤机时</w:t>
      </w:r>
      <w:r>
        <w:rPr>
          <w:rFonts w:hint="eastAsia" w:ascii="MS UI Gothic" w:eastAsia="MS UI Gothic"/>
          <w:w w:val="80"/>
        </w:rPr>
        <w:t xml:space="preserve">ꎬ </w:t>
      </w:r>
      <w:r>
        <w:t>在开机和改变牵引方向前</w:t>
      </w:r>
      <w:r>
        <w:rPr>
          <w:rFonts w:hint="eastAsia" w:ascii="MS UI Gothic" w:eastAsia="MS UI Gothic"/>
          <w:w w:val="80"/>
        </w:rPr>
        <w:t xml:space="preserve">ꎬ </w:t>
      </w:r>
      <w:r>
        <w:t>必须发出信号</w:t>
      </w:r>
      <w:r>
        <w:rPr>
          <w:rFonts w:hint="eastAsia" w:ascii="MS UI Gothic" w:eastAsia="MS UI Gothic"/>
          <w:w w:val="80"/>
        </w:rPr>
        <w:t xml:space="preserve">ꎬ </w:t>
      </w:r>
      <w:r>
        <w:t>只有在收到返向信号后</w:t>
      </w:r>
      <w:r>
        <w:rPr>
          <w:rFonts w:hint="eastAsia" w:ascii="MS UI Gothic" w:eastAsia="MS UI Gothic"/>
          <w:w w:val="80"/>
        </w:rPr>
        <w:t xml:space="preserve">ꎬ </w:t>
      </w:r>
      <w:r>
        <w:t>才能开机或者改变牵引方向</w:t>
      </w:r>
      <w:r>
        <w:rPr>
          <w:rFonts w:hint="eastAsia" w:ascii="MS UI Gothic" w:eastAsia="MS UI Gothic"/>
          <w:w w:val="80"/>
        </w:rPr>
        <w:t xml:space="preserve">ꎬ </w:t>
      </w:r>
      <w:r>
        <w:t>防止牵引链跳动或者断链伤人</w:t>
      </w:r>
      <w:r>
        <w:rPr>
          <w:rFonts w:hint="eastAsia" w:ascii="MS UI Gothic" w:eastAsia="MS UI Gothic"/>
          <w:w w:val="80"/>
        </w:rPr>
        <w:t xml:space="preserve">ꎮ </w:t>
      </w:r>
      <w:r>
        <w:t>必须经常检查牵引链及其两端的固定连接件</w:t>
      </w:r>
      <w:r>
        <w:rPr>
          <w:rFonts w:hint="eastAsia" w:ascii="MS UI Gothic" w:eastAsia="MS UI Gothic"/>
          <w:w w:val="80"/>
        </w:rPr>
        <w:t xml:space="preserve">ꎬ </w:t>
      </w:r>
      <w:r>
        <w:t>发现问题</w:t>
      </w:r>
      <w:r>
        <w:rPr>
          <w:rFonts w:hint="eastAsia" w:ascii="MS UI Gothic" w:eastAsia="MS UI Gothic"/>
          <w:w w:val="80"/>
        </w:rPr>
        <w:t xml:space="preserve">ꎬ </w:t>
      </w:r>
      <w:r>
        <w:t>及时处理</w:t>
      </w:r>
      <w:r>
        <w:rPr>
          <w:rFonts w:hint="eastAsia" w:ascii="MS UI Gothic" w:eastAsia="MS UI Gothic"/>
          <w:w w:val="80"/>
        </w:rPr>
        <w:t xml:space="preserve">ꎮ </w:t>
      </w:r>
      <w:r>
        <w:t>采煤机运行时</w:t>
      </w:r>
      <w:r>
        <w:rPr>
          <w:rFonts w:hint="eastAsia" w:ascii="MS UI Gothic" w:eastAsia="MS UI Gothic"/>
          <w:w w:val="80"/>
        </w:rPr>
        <w:t xml:space="preserve">ꎬ </w:t>
      </w:r>
      <w:r>
        <w:t>所有人员必须避开牵引链</w:t>
      </w:r>
      <w:r>
        <w:rPr>
          <w:rFonts w:hint="eastAsia" w:ascii="MS UI Gothic" w:eastAsia="MS UI Gothic"/>
          <w:w w:val="80"/>
        </w:rPr>
        <w:t>ꎮ</w:t>
      </w:r>
    </w:p>
    <w:p>
      <w:pPr>
        <w:pStyle w:val="6"/>
        <w:spacing w:line="295" w:lineRule="auto"/>
        <w:ind w:left="383" w:right="126"/>
      </w:pPr>
      <w:r>
        <w:rPr>
          <w:rFonts w:hint="eastAsia" w:ascii="MS UI Gothic" w:eastAsia="MS UI Gothic"/>
          <w:spacing w:val="-39"/>
          <w:w w:val="150"/>
        </w:rPr>
        <w:t xml:space="preserve">( </w:t>
      </w:r>
      <w:r>
        <w:rPr>
          <w:spacing w:val="3"/>
          <w:w w:val="105"/>
        </w:rPr>
        <w:t>五</w:t>
      </w:r>
      <w:r>
        <w:rPr>
          <w:rFonts w:hint="eastAsia" w:ascii="MS UI Gothic" w:eastAsia="MS UI Gothic"/>
          <w:spacing w:val="-3"/>
          <w:w w:val="150"/>
        </w:rPr>
        <w:t xml:space="preserve">) </w:t>
      </w:r>
      <w:r>
        <w:rPr>
          <w:spacing w:val="5"/>
          <w:w w:val="105"/>
        </w:rPr>
        <w:t>更换截齿和滚筒时</w:t>
      </w:r>
      <w:r>
        <w:rPr>
          <w:rFonts w:hint="eastAsia" w:ascii="MS UI Gothic" w:eastAsia="MS UI Gothic"/>
          <w:spacing w:val="13"/>
          <w:w w:val="80"/>
        </w:rPr>
        <w:t xml:space="preserve">ꎬ </w:t>
      </w:r>
      <w:r>
        <w:rPr>
          <w:spacing w:val="8"/>
          <w:w w:val="105"/>
        </w:rPr>
        <w:t>采煤机上</w:t>
      </w:r>
      <w:r>
        <w:rPr>
          <w:spacing w:val="-38"/>
          <w:w w:val="105"/>
        </w:rPr>
        <w:t xml:space="preserve">下 </w:t>
      </w:r>
      <w:r>
        <w:rPr>
          <w:rFonts w:hint="eastAsia" w:ascii="MS UI Gothic" w:eastAsia="MS UI Gothic"/>
          <w:spacing w:val="-6"/>
          <w:w w:val="80"/>
        </w:rPr>
        <w:t xml:space="preserve">３ </w:t>
      </w:r>
      <w:r>
        <w:rPr>
          <w:rFonts w:hint="eastAsia" w:ascii="MS UI Gothic" w:eastAsia="MS UI Gothic"/>
          <w:w w:val="80"/>
        </w:rPr>
        <w:t>ｍ</w:t>
      </w:r>
      <w:r>
        <w:rPr>
          <w:rFonts w:hint="eastAsia" w:ascii="MS UI Gothic" w:eastAsia="MS UI Gothic"/>
          <w:spacing w:val="-19"/>
          <w:w w:val="80"/>
        </w:rPr>
        <w:t xml:space="preserve"> </w:t>
      </w:r>
      <w:r>
        <w:rPr>
          <w:spacing w:val="3"/>
          <w:w w:val="105"/>
        </w:rPr>
        <w:t>范围内</w:t>
      </w:r>
      <w:r>
        <w:rPr>
          <w:rFonts w:hint="eastAsia" w:ascii="MS UI Gothic" w:eastAsia="MS UI Gothic"/>
          <w:spacing w:val="3"/>
          <w:w w:val="80"/>
        </w:rPr>
        <w:t xml:space="preserve">ꎬ </w:t>
      </w:r>
      <w:r>
        <w:rPr>
          <w:spacing w:val="3"/>
          <w:w w:val="105"/>
        </w:rPr>
        <w:t>必须护帮护顶</w:t>
      </w:r>
      <w:r>
        <w:rPr>
          <w:rFonts w:hint="eastAsia" w:ascii="MS UI Gothic" w:eastAsia="MS UI Gothic"/>
          <w:spacing w:val="3"/>
          <w:w w:val="80"/>
        </w:rPr>
        <w:t xml:space="preserve">ꎬ </w:t>
      </w:r>
      <w:r>
        <w:rPr>
          <w:spacing w:val="2"/>
          <w:w w:val="105"/>
        </w:rPr>
        <w:t>禁止操作</w:t>
      </w:r>
    </w:p>
    <w:p>
      <w:pPr>
        <w:pStyle w:val="6"/>
        <w:spacing w:line="238" w:lineRule="exact"/>
        <w:ind w:left="383" w:firstLine="0"/>
      </w:pPr>
      <w:r>
        <w:rPr>
          <w:spacing w:val="3"/>
        </w:rPr>
        <w:t>液压支架</w:t>
      </w:r>
      <w:r>
        <w:rPr>
          <w:rFonts w:hint="eastAsia" w:ascii="MS UI Gothic" w:eastAsia="MS UI Gothic"/>
          <w:spacing w:val="15"/>
          <w:w w:val="80"/>
        </w:rPr>
        <w:t xml:space="preserve">ꎮ  </w:t>
      </w:r>
      <w:r>
        <w:rPr>
          <w:spacing w:val="2"/>
        </w:rPr>
        <w:t>必须切断采煤机前级供电开关</w:t>
      </w:r>
    </w:p>
    <w:p>
      <w:pPr>
        <w:spacing w:after="0" w:line="238" w:lineRule="exact"/>
        <w:sectPr>
          <w:type w:val="continuous"/>
          <w:pgSz w:w="10500" w:h="14750"/>
          <w:pgMar w:top="1400" w:right="980" w:bottom="280" w:left="980" w:header="720" w:footer="720" w:gutter="0"/>
          <w:cols w:equalWidth="0" w:num="2">
            <w:col w:w="4210" w:space="40"/>
            <w:col w:w="4290"/>
          </w:cols>
        </w:sectPr>
      </w:pPr>
    </w:p>
    <w:p>
      <w:pPr>
        <w:pStyle w:val="6"/>
        <w:spacing w:before="66"/>
        <w:ind w:left="860" w:firstLine="0"/>
        <w:jc w:val="left"/>
      </w:pPr>
      <w:r>
        <w:rPr>
          <w:rFonts w:hint="eastAsia" w:ascii="MS UI Gothic" w:eastAsia="MS UI Gothic"/>
          <w:spacing w:val="-28"/>
          <w:w w:val="110"/>
        </w:rPr>
        <w:t xml:space="preserve">( </w:t>
      </w:r>
      <w:r>
        <w:rPr>
          <w:spacing w:val="29"/>
          <w:w w:val="110"/>
        </w:rPr>
        <w:t>七</w:t>
      </w:r>
      <w:r>
        <w:rPr>
          <w:rFonts w:hint="eastAsia" w:ascii="MS UI Gothic" w:eastAsia="MS UI Gothic"/>
          <w:spacing w:val="3"/>
          <w:w w:val="110"/>
        </w:rPr>
        <w:t xml:space="preserve">) </w:t>
      </w:r>
      <w:r>
        <w:rPr>
          <w:spacing w:val="40"/>
          <w:w w:val="110"/>
        </w:rPr>
        <w:t>应当及时安设和调整风帘</w:t>
      </w:r>
    </w:p>
    <w:p>
      <w:pPr>
        <w:pStyle w:val="6"/>
        <w:spacing w:before="59"/>
        <w:ind w:left="440" w:firstLine="0"/>
        <w:jc w:val="left"/>
        <w:rPr>
          <w:rFonts w:hint="eastAsia" w:ascii="MS UI Gothic" w:eastAsia="MS UI Gothic"/>
        </w:rPr>
      </w:pPr>
      <w:r>
        <w:rPr>
          <w:rFonts w:hint="eastAsia" w:ascii="MS UI Gothic" w:eastAsia="MS UI Gothic"/>
          <w:w w:val="150"/>
        </w:rPr>
        <w:t xml:space="preserve">( </w:t>
      </w:r>
      <w:r>
        <w:rPr>
          <w:w w:val="115"/>
        </w:rPr>
        <w:t>窗</w:t>
      </w:r>
      <w:r>
        <w:rPr>
          <w:rFonts w:hint="eastAsia" w:ascii="MS UI Gothic" w:eastAsia="MS UI Gothic"/>
          <w:w w:val="150"/>
        </w:rPr>
        <w:t xml:space="preserve">) </w:t>
      </w:r>
      <w:r>
        <w:rPr>
          <w:w w:val="115"/>
        </w:rPr>
        <w:t>等控风设施</w:t>
      </w:r>
      <w:r>
        <w:rPr>
          <w:rFonts w:hint="eastAsia" w:ascii="MS UI Gothic" w:eastAsia="MS UI Gothic"/>
          <w:w w:val="80"/>
        </w:rPr>
        <w:t>ꎮ</w:t>
      </w:r>
    </w:p>
    <w:p>
      <w:pPr>
        <w:pStyle w:val="6"/>
        <w:spacing w:before="58" w:line="240" w:lineRule="exact"/>
        <w:ind w:left="860" w:firstLine="0"/>
        <w:jc w:val="left"/>
      </w:pPr>
      <w:r>
        <w:rPr>
          <w:rFonts w:hint="eastAsia" w:ascii="MS UI Gothic" w:eastAsia="MS UI Gothic"/>
          <w:w w:val="110"/>
        </w:rPr>
        <w:t xml:space="preserve">( </w:t>
      </w:r>
      <w:r>
        <w:rPr>
          <w:w w:val="110"/>
        </w:rPr>
        <w:t>八</w:t>
      </w:r>
      <w:r>
        <w:rPr>
          <w:rFonts w:hint="eastAsia" w:ascii="MS UI Gothic" w:eastAsia="MS UI Gothic"/>
          <w:w w:val="110"/>
        </w:rPr>
        <w:t xml:space="preserve">) </w:t>
      </w:r>
      <w:r>
        <w:rPr>
          <w:w w:val="110"/>
        </w:rPr>
        <w:t>容易自燃煤层应当分块段回</w:t>
      </w:r>
    </w:p>
    <w:p>
      <w:pPr>
        <w:pStyle w:val="6"/>
        <w:spacing w:before="13" w:line="310" w:lineRule="atLeast"/>
        <w:ind w:left="383" w:right="126" w:firstLine="0"/>
        <w:rPr>
          <w:rFonts w:hint="eastAsia" w:ascii="MS UI Gothic" w:eastAsia="MS UI Gothic"/>
        </w:rPr>
      </w:pPr>
      <w:r>
        <w:br w:type="column"/>
      </w:r>
      <w:r>
        <w:t>电源并断开其隔离开关</w:t>
      </w:r>
      <w:r>
        <w:rPr>
          <w:rFonts w:hint="eastAsia" w:ascii="MS UI Gothic" w:eastAsia="MS UI Gothic"/>
          <w:w w:val="80"/>
        </w:rPr>
        <w:t xml:space="preserve">ꎬ </w:t>
      </w:r>
      <w:r>
        <w:t>断开采煤机隔离开关</w:t>
      </w:r>
      <w:r>
        <w:rPr>
          <w:rFonts w:hint="eastAsia" w:ascii="MS UI Gothic" w:eastAsia="MS UI Gothic"/>
          <w:w w:val="80"/>
        </w:rPr>
        <w:t xml:space="preserve">ꎬ </w:t>
      </w:r>
      <w:r>
        <w:t>打开截割部离合器并对工作面输送机施行闭锁</w:t>
      </w:r>
      <w:r>
        <w:rPr>
          <w:rFonts w:hint="eastAsia" w:ascii="MS UI Gothic" w:eastAsia="MS UI Gothic"/>
          <w:w w:val="80"/>
        </w:rPr>
        <w:t>ꎮ</w:t>
      </w:r>
    </w:p>
    <w:p>
      <w:pPr>
        <w:spacing w:after="0" w:line="310" w:lineRule="atLeas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67" w:line="295" w:lineRule="auto"/>
        <w:ind w:left="440" w:right="1" w:firstLine="0"/>
        <w:jc w:val="left"/>
        <w:rPr>
          <w:rFonts w:hint="eastAsia" w:ascii="MS UI Gothic" w:eastAsia="MS UI Gothic"/>
        </w:rPr>
      </w:pPr>
      <w:r>
        <w:t>采</w:t>
      </w:r>
      <w:r>
        <w:rPr>
          <w:rFonts w:hint="eastAsia" w:ascii="MS UI Gothic" w:eastAsia="MS UI Gothic"/>
          <w:w w:val="80"/>
        </w:rPr>
        <w:t xml:space="preserve">ꎬ </w:t>
      </w:r>
      <w:r>
        <w:t>且每个采煤块段必须在自然发火期内回采结束并封闭</w:t>
      </w:r>
      <w:r>
        <w:rPr>
          <w:rFonts w:hint="eastAsia" w:ascii="MS UI Gothic" w:eastAsia="MS UI Gothic"/>
          <w:w w:val="80"/>
        </w:rPr>
        <w:t>ꎮ</w:t>
      </w:r>
    </w:p>
    <w:p>
      <w:pPr>
        <w:pStyle w:val="6"/>
        <w:spacing w:line="295" w:lineRule="auto"/>
        <w:ind w:left="440" w:right="1"/>
        <w:jc w:val="left"/>
        <w:rPr>
          <w:rFonts w:hint="eastAsia" w:ascii="MS UI Gothic" w:eastAsia="MS UI Gothic"/>
        </w:rPr>
      </w:pPr>
      <w:r>
        <w:t>有下列情形之一的</w:t>
      </w:r>
      <w:r>
        <w:rPr>
          <w:rFonts w:hint="eastAsia" w:ascii="MS UI Gothic" w:eastAsia="MS UI Gothic"/>
          <w:w w:val="80"/>
        </w:rPr>
        <w:t xml:space="preserve">ꎬ </w:t>
      </w:r>
      <w:r>
        <w:t>严禁采用连续采</w:t>
      </w:r>
      <w:r>
        <w:rPr>
          <w:w w:val="110"/>
        </w:rPr>
        <w:t>煤机开采</w:t>
      </w:r>
      <w:r>
        <w:rPr>
          <w:rFonts w:hint="eastAsia" w:ascii="MS UI Gothic" w:eastAsia="MS UI Gothic"/>
          <w:w w:val="235"/>
        </w:rPr>
        <w:t>:</w:t>
      </w:r>
    </w:p>
    <w:p>
      <w:pPr>
        <w:pStyle w:val="6"/>
        <w:spacing w:line="285" w:lineRule="auto"/>
        <w:ind w:left="440" w:right="1"/>
        <w:jc w:val="left"/>
        <w:rPr>
          <w:rFonts w:hint="eastAsia" w:ascii="MS UI Gothic" w:eastAsia="MS UI Gothic"/>
        </w:rPr>
      </w:pPr>
      <w:r>
        <w:rPr>
          <w:rFonts w:hint="eastAsia" w:ascii="MS UI Gothic" w:eastAsia="MS UI Gothic"/>
          <w:w w:val="140"/>
        </w:rPr>
        <w:t xml:space="preserve">( </w:t>
      </w:r>
      <w:r>
        <w:t>一</w:t>
      </w:r>
      <w:r>
        <w:rPr>
          <w:rFonts w:hint="eastAsia" w:ascii="MS UI Gothic" w:eastAsia="MS UI Gothic"/>
          <w:w w:val="140"/>
        </w:rPr>
        <w:t xml:space="preserve">) </w:t>
      </w:r>
      <w:r>
        <w:t xml:space="preserve">突出矿井或者掘进工作面瓦斯涌出量超过 </w:t>
      </w:r>
      <w:r>
        <w:rPr>
          <w:rFonts w:hint="eastAsia" w:ascii="MS UI Gothic" w:eastAsia="MS UI Gothic"/>
        </w:rPr>
        <w:t>３ ｍ</w:t>
      </w:r>
      <w:r>
        <w:rPr>
          <w:rFonts w:hint="eastAsia" w:ascii="MS UI Gothic" w:eastAsia="MS UI Gothic"/>
          <w:position w:val="9"/>
          <w:sz w:val="12"/>
        </w:rPr>
        <w:t xml:space="preserve">３ </w:t>
      </w:r>
      <w:r>
        <w:rPr>
          <w:rFonts w:hint="eastAsia" w:ascii="MS UI Gothic" w:eastAsia="MS UI Gothic"/>
          <w:w w:val="75"/>
        </w:rPr>
        <w:t xml:space="preserve">/ </w:t>
      </w:r>
      <w:r>
        <w:rPr>
          <w:rFonts w:hint="eastAsia" w:ascii="MS UI Gothic" w:eastAsia="MS UI Gothic"/>
        </w:rPr>
        <w:t xml:space="preserve">ｍｉｎ </w:t>
      </w:r>
      <w:r>
        <w:t>的高瓦斯矿井</w:t>
      </w:r>
      <w:r>
        <w:rPr>
          <w:rFonts w:hint="eastAsia" w:ascii="MS UI Gothic" w:eastAsia="MS UI Gothic"/>
          <w:w w:val="75"/>
        </w:rPr>
        <w:t>ꎮ</w:t>
      </w:r>
    </w:p>
    <w:p>
      <w:pPr>
        <w:pStyle w:val="6"/>
        <w:spacing w:before="5"/>
        <w:ind w:left="860" w:firstLine="0"/>
        <w:jc w:val="left"/>
        <w:rPr>
          <w:rFonts w:hint="eastAsia" w:ascii="MS UI Gothic" w:hAnsi="MS UI Gothic" w:eastAsia="MS UI Gothic"/>
        </w:rPr>
      </w:pPr>
      <w:r>
        <w:rPr>
          <w:rFonts w:hint="eastAsia" w:ascii="MS UI Gothic" w:hAnsi="MS UI Gothic" w:eastAsia="MS UI Gothic"/>
          <w:w w:val="145"/>
        </w:rPr>
        <w:t xml:space="preserve">( </w:t>
      </w:r>
      <w:r>
        <w:rPr>
          <w:w w:val="105"/>
        </w:rPr>
        <w:t>二</w:t>
      </w:r>
      <w:r>
        <w:rPr>
          <w:rFonts w:hint="eastAsia" w:ascii="MS UI Gothic" w:hAnsi="MS UI Gothic" w:eastAsia="MS UI Gothic"/>
          <w:w w:val="145"/>
        </w:rPr>
        <w:t xml:space="preserve">) </w:t>
      </w:r>
      <w:r>
        <w:rPr>
          <w:w w:val="105"/>
        </w:rPr>
        <w:t xml:space="preserve">倾角大于 </w:t>
      </w:r>
      <w:r>
        <w:rPr>
          <w:rFonts w:hint="eastAsia" w:ascii="MS UI Gothic" w:hAnsi="MS UI Gothic" w:eastAsia="MS UI Gothic"/>
          <w:w w:val="85"/>
        </w:rPr>
        <w:t>８°</w:t>
      </w:r>
      <w:r>
        <w:rPr>
          <w:w w:val="105"/>
        </w:rPr>
        <w:t>的煤层</w:t>
      </w:r>
      <w:r>
        <w:rPr>
          <w:rFonts w:hint="eastAsia" w:ascii="MS UI Gothic" w:hAnsi="MS UI Gothic" w:eastAsia="MS UI Gothic"/>
          <w:w w:val="85"/>
        </w:rPr>
        <w:t>ꎮ</w:t>
      </w:r>
    </w:p>
    <w:p>
      <w:pPr>
        <w:pStyle w:val="6"/>
        <w:spacing w:before="58"/>
        <w:ind w:left="860"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直接顶不稳定的煤层</w:t>
      </w:r>
      <w:r>
        <w:rPr>
          <w:rFonts w:hint="eastAsia" w:ascii="MS UI Gothic" w:eastAsia="MS UI Gothic"/>
          <w:w w:val="80"/>
        </w:rPr>
        <w:t>ꎮ</w:t>
      </w:r>
    </w:p>
    <w:p>
      <w:pPr>
        <w:pStyle w:val="6"/>
        <w:tabs>
          <w:tab w:val="left" w:pos="2222"/>
        </w:tabs>
        <w:spacing w:before="216"/>
        <w:ind w:left="1384" w:firstLine="0"/>
        <w:jc w:val="left"/>
      </w:pPr>
      <w:r>
        <w:rPr>
          <w:spacing w:val="3"/>
          <w:w w:val="105"/>
        </w:rPr>
        <w:t>第三</w:t>
      </w:r>
      <w:r>
        <w:rPr>
          <w:w w:val="105"/>
        </w:rPr>
        <w:t>节</w:t>
      </w:r>
      <w:r>
        <w:rPr>
          <w:w w:val="105"/>
        </w:rPr>
        <w:tab/>
      </w:r>
      <w:r>
        <w:rPr>
          <w:w w:val="105"/>
        </w:rPr>
        <w:t>采</w:t>
      </w:r>
      <w:r>
        <w:rPr>
          <w:spacing w:val="-34"/>
          <w:w w:val="105"/>
        </w:rPr>
        <w:t xml:space="preserve"> </w:t>
      </w:r>
      <w:r>
        <w:rPr>
          <w:w w:val="105"/>
        </w:rPr>
        <w:t>掘</w:t>
      </w:r>
      <w:r>
        <w:rPr>
          <w:spacing w:val="-33"/>
          <w:w w:val="105"/>
        </w:rPr>
        <w:t xml:space="preserve"> </w:t>
      </w:r>
      <w:r>
        <w:rPr>
          <w:w w:val="105"/>
        </w:rPr>
        <w:t>机</w:t>
      </w:r>
      <w:r>
        <w:rPr>
          <w:spacing w:val="-33"/>
          <w:w w:val="105"/>
        </w:rPr>
        <w:t xml:space="preserve"> </w:t>
      </w:r>
      <w:r>
        <w:rPr>
          <w:w w:val="105"/>
        </w:rPr>
        <w:t>械</w:t>
      </w:r>
    </w:p>
    <w:p>
      <w:pPr>
        <w:pStyle w:val="6"/>
        <w:spacing w:before="10"/>
        <w:ind w:left="0" w:firstLine="0"/>
        <w:jc w:val="left"/>
        <w:rPr>
          <w:sz w:val="16"/>
        </w:rPr>
      </w:pPr>
    </w:p>
    <w:p>
      <w:pPr>
        <w:pStyle w:val="6"/>
        <w:tabs>
          <w:tab w:val="left" w:pos="2536"/>
        </w:tabs>
        <w:spacing w:line="295" w:lineRule="auto"/>
        <w:ind w:left="440" w:right="1"/>
        <w:jc w:val="left"/>
        <w:rPr>
          <w:rFonts w:hint="eastAsia" w:ascii="MS UI Gothic" w:eastAsia="MS UI Gothic"/>
        </w:rPr>
      </w:pPr>
      <w:r>
        <w:rPr>
          <w:spacing w:val="3"/>
          <w:w w:val="105"/>
        </w:rPr>
        <w:t>第一百一十七</w:t>
      </w:r>
      <w:r>
        <w:rPr>
          <w:w w:val="105"/>
        </w:rPr>
        <w:t>条</w:t>
      </w:r>
      <w:r>
        <w:rPr>
          <w:w w:val="105"/>
        </w:rPr>
        <w:tab/>
      </w:r>
      <w:r>
        <w:rPr>
          <w:spacing w:val="3"/>
        </w:rPr>
        <w:t>使用滚筒式采煤</w:t>
      </w:r>
      <w:r>
        <w:rPr>
          <w:spacing w:val="-13"/>
        </w:rPr>
        <w:t>机</w:t>
      </w:r>
      <w:r>
        <w:rPr>
          <w:spacing w:val="3"/>
          <w:w w:val="110"/>
        </w:rPr>
        <w:t>采煤时</w:t>
      </w:r>
      <w:r>
        <w:rPr>
          <w:rFonts w:hint="eastAsia" w:ascii="MS UI Gothic" w:eastAsia="MS UI Gothic"/>
          <w:w w:val="80"/>
        </w:rPr>
        <w:t>ꎬ</w:t>
      </w:r>
      <w:r>
        <w:rPr>
          <w:rFonts w:hint="eastAsia" w:ascii="MS UI Gothic" w:eastAsia="MS UI Gothic"/>
          <w:spacing w:val="39"/>
          <w:w w:val="80"/>
        </w:rPr>
        <w:t xml:space="preserve"> </w:t>
      </w:r>
      <w:r>
        <w:rPr>
          <w:spacing w:val="3"/>
          <w:w w:val="110"/>
        </w:rPr>
        <w:t>必须遵守下列规定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采煤机上装有能停止工作面刮板输送机运行的闭锁装置</w:t>
      </w:r>
      <w:r>
        <w:rPr>
          <w:rFonts w:hint="eastAsia" w:ascii="MS UI Gothic" w:eastAsia="MS UI Gothic"/>
          <w:w w:val="80"/>
        </w:rPr>
        <w:t xml:space="preserve">ꎮ </w:t>
      </w:r>
      <w:r>
        <w:t>启动采煤机前</w:t>
      </w:r>
      <w:r>
        <w:rPr>
          <w:rFonts w:hint="eastAsia" w:ascii="MS UI Gothic" w:eastAsia="MS UI Gothic"/>
          <w:w w:val="80"/>
        </w:rPr>
        <w:t xml:space="preserve">ꎬ </w:t>
      </w:r>
      <w:r>
        <w:t>必须先巡视采煤机四周</w:t>
      </w:r>
      <w:r>
        <w:rPr>
          <w:rFonts w:hint="eastAsia" w:ascii="MS UI Gothic" w:eastAsia="MS UI Gothic"/>
          <w:w w:val="80"/>
        </w:rPr>
        <w:t xml:space="preserve">ꎬ </w:t>
      </w:r>
      <w:r>
        <w:t>发出预警信号</w:t>
      </w:r>
      <w:r>
        <w:rPr>
          <w:rFonts w:hint="eastAsia" w:ascii="MS UI Gothic" w:eastAsia="MS UI Gothic"/>
          <w:w w:val="80"/>
        </w:rPr>
        <w:t xml:space="preserve">ꎬ </w:t>
      </w:r>
      <w:r>
        <w:t>确认人员无危险后</w:t>
      </w:r>
      <w:r>
        <w:rPr>
          <w:rFonts w:hint="eastAsia" w:ascii="MS UI Gothic" w:eastAsia="MS UI Gothic"/>
          <w:w w:val="80"/>
        </w:rPr>
        <w:t xml:space="preserve">ꎬ </w:t>
      </w:r>
      <w:r>
        <w:t>方可接通电源</w:t>
      </w:r>
      <w:r>
        <w:rPr>
          <w:rFonts w:hint="eastAsia" w:ascii="MS UI Gothic" w:eastAsia="MS UI Gothic"/>
          <w:w w:val="80"/>
        </w:rPr>
        <w:t>ꎮ</w:t>
      </w:r>
      <w:r>
        <w:t>采煤机因故暂停时</w:t>
      </w:r>
      <w:r>
        <w:rPr>
          <w:rFonts w:hint="eastAsia" w:ascii="MS UI Gothic" w:eastAsia="MS UI Gothic"/>
          <w:w w:val="80"/>
        </w:rPr>
        <w:t xml:space="preserve">ꎬ </w:t>
      </w:r>
      <w:r>
        <w:t>必须打开隔离开关和离合器</w:t>
      </w:r>
      <w:r>
        <w:rPr>
          <w:rFonts w:hint="eastAsia" w:ascii="MS UI Gothic" w:eastAsia="MS UI Gothic"/>
          <w:w w:val="80"/>
        </w:rPr>
        <w:t xml:space="preserve">ꎮ </w:t>
      </w:r>
      <w:r>
        <w:t>采煤机停止工作或者检修时</w:t>
      </w:r>
      <w:r>
        <w:rPr>
          <w:rFonts w:hint="eastAsia" w:ascii="MS UI Gothic" w:eastAsia="MS UI Gothic"/>
          <w:w w:val="80"/>
        </w:rPr>
        <w:t xml:space="preserve">ꎬ </w:t>
      </w:r>
      <w:r>
        <w:t>必须切断采煤机前级供电开关电源并断开其隔离开关</w:t>
      </w:r>
      <w:r>
        <w:rPr>
          <w:rFonts w:hint="eastAsia" w:ascii="MS UI Gothic" w:eastAsia="MS UI Gothic"/>
          <w:w w:val="80"/>
        </w:rPr>
        <w:t xml:space="preserve">ꎬ </w:t>
      </w:r>
      <w:r>
        <w:t>断开采煤机隔离开关打开截割部离合器</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工作面遇有坚硬夹矸或者黄铁</w:t>
      </w:r>
      <w:r>
        <w:t>矿结核时</w:t>
      </w:r>
      <w:r>
        <w:rPr>
          <w:rFonts w:hint="eastAsia" w:ascii="MS UI Gothic" w:eastAsia="MS UI Gothic"/>
          <w:w w:val="80"/>
        </w:rPr>
        <w:t xml:space="preserve">ꎬ </w:t>
      </w:r>
      <w:r>
        <w:t>应当采取松动爆破处理措施</w:t>
      </w:r>
      <w:r>
        <w:rPr>
          <w:rFonts w:hint="eastAsia" w:ascii="MS UI Gothic" w:eastAsia="MS UI Gothic"/>
          <w:w w:val="80"/>
        </w:rPr>
        <w:t>ꎬ</w:t>
      </w:r>
    </w:p>
    <w:p>
      <w:pPr>
        <w:pStyle w:val="6"/>
        <w:spacing w:before="67" w:line="295" w:lineRule="auto"/>
        <w:ind w:left="381" w:right="124"/>
        <w:rPr>
          <w:rFonts w:hint="eastAsia" w:ascii="MS UI Gothic" w:eastAsia="MS UI Gothic"/>
        </w:rPr>
      </w:pPr>
      <w:r>
        <w:br w:type="column"/>
      </w: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采煤机用刮板输送机作轨道时</w:t>
      </w:r>
      <w:r>
        <w:rPr>
          <w:rFonts w:hint="eastAsia" w:ascii="MS UI Gothic" w:eastAsia="MS UI Gothic"/>
          <w:w w:val="80"/>
        </w:rPr>
        <w:t xml:space="preserve">ꎬ </w:t>
      </w:r>
      <w:r>
        <w:rPr>
          <w:w w:val="105"/>
        </w:rPr>
        <w:t>必须经常检查刮板输送机的溜槽</w:t>
      </w:r>
      <w:r>
        <w:rPr>
          <w:rFonts w:hint="eastAsia" w:ascii="MS UI Gothic" w:eastAsia="MS UI Gothic"/>
          <w:w w:val="80"/>
        </w:rPr>
        <w:t xml:space="preserve">、 </w:t>
      </w:r>
      <w:r>
        <w:rPr>
          <w:w w:val="105"/>
        </w:rPr>
        <w:t>挡</w:t>
      </w:r>
      <w:r>
        <w:t>煤板导向管的连接情况</w:t>
      </w:r>
      <w:r>
        <w:rPr>
          <w:rFonts w:hint="eastAsia" w:ascii="MS UI Gothic" w:eastAsia="MS UI Gothic"/>
          <w:w w:val="80"/>
        </w:rPr>
        <w:t xml:space="preserve">ꎬ </w:t>
      </w:r>
      <w:r>
        <w:t>防止采煤机牵引链因过载而断链</w:t>
      </w:r>
      <w:r>
        <w:rPr>
          <w:rFonts w:hint="eastAsia" w:ascii="MS UI Gothic" w:eastAsia="MS UI Gothic"/>
          <w:w w:val="80"/>
        </w:rPr>
        <w:t xml:space="preserve">ꎻ </w:t>
      </w:r>
      <w:r>
        <w:t>采煤机为无链牵引时</w:t>
      </w:r>
      <w:r>
        <w:rPr>
          <w:rFonts w:hint="eastAsia" w:ascii="MS UI Gothic" w:eastAsia="MS UI Gothic"/>
          <w:w w:val="80"/>
        </w:rPr>
        <w:t>ꎬ</w:t>
      </w:r>
      <w:r>
        <w:rPr>
          <w:w w:val="105"/>
        </w:rPr>
        <w:t xml:space="preserve">齿 </w:t>
      </w:r>
      <w:r>
        <w:rPr>
          <w:rFonts w:hint="eastAsia" w:ascii="MS UI Gothic" w:eastAsia="MS UI Gothic"/>
          <w:w w:val="150"/>
        </w:rPr>
        <w:t xml:space="preserve">( </w:t>
      </w:r>
      <w:r>
        <w:rPr>
          <w:w w:val="105"/>
        </w:rPr>
        <w:t>销</w:t>
      </w:r>
      <w:r>
        <w:rPr>
          <w:rFonts w:hint="eastAsia" w:ascii="MS UI Gothic" w:eastAsia="MS UI Gothic"/>
          <w:w w:val="80"/>
        </w:rPr>
        <w:t xml:space="preserve">、 </w:t>
      </w:r>
      <w:r>
        <w:rPr>
          <w:w w:val="105"/>
        </w:rPr>
        <w:t>链</w:t>
      </w:r>
      <w:r>
        <w:rPr>
          <w:rFonts w:hint="eastAsia" w:ascii="MS UI Gothic" w:eastAsia="MS UI Gothic"/>
          <w:w w:val="150"/>
        </w:rPr>
        <w:t xml:space="preserve">) </w:t>
      </w:r>
      <w:r>
        <w:rPr>
          <w:w w:val="105"/>
        </w:rPr>
        <w:t>轨的安设必须紧固</w:t>
      </w:r>
      <w:r>
        <w:rPr>
          <w:rFonts w:hint="eastAsia" w:ascii="MS UI Gothic" w:eastAsia="MS UI Gothic"/>
          <w:w w:val="80"/>
        </w:rPr>
        <w:t xml:space="preserve">、 </w:t>
      </w:r>
      <w:r>
        <w:rPr>
          <w:w w:val="105"/>
        </w:rPr>
        <w:t>完好</w:t>
      </w:r>
      <w:r>
        <w:rPr>
          <w:rFonts w:hint="eastAsia" w:ascii="MS UI Gothic" w:eastAsia="MS UI Gothic"/>
          <w:w w:val="80"/>
        </w:rPr>
        <w:t>、</w:t>
      </w:r>
      <w:r>
        <w:rPr>
          <w:w w:val="105"/>
        </w:rPr>
        <w:t>并经常检查</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第一百一十八条 使用刨煤机采煤</w:t>
      </w:r>
      <w:r>
        <w:rPr>
          <w:w w:val="110"/>
        </w:rPr>
        <w:t>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 xml:space="preserve">工作面至少每隔 </w:t>
      </w:r>
      <w:r>
        <w:rPr>
          <w:rFonts w:hint="eastAsia" w:ascii="MS UI Gothic" w:eastAsia="MS UI Gothic"/>
          <w:w w:val="80"/>
        </w:rPr>
        <w:t xml:space="preserve">３０ ｍ </w:t>
      </w:r>
      <w:r>
        <w:t>装设能随时停止刨头和刮板输送机的装置</w:t>
      </w:r>
      <w:r>
        <w:rPr>
          <w:rFonts w:hint="eastAsia" w:ascii="MS UI Gothic" w:eastAsia="MS UI Gothic"/>
          <w:w w:val="80"/>
        </w:rPr>
        <w:t xml:space="preserve">ꎬ </w:t>
      </w:r>
      <w:r>
        <w:t>或者装设向刨煤机司机发送信号的装置</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刨煤机应当有刨头位置指示</w:t>
      </w:r>
      <w:r>
        <w:t>器</w:t>
      </w:r>
      <w:r>
        <w:rPr>
          <w:rFonts w:hint="eastAsia" w:ascii="MS UI Gothic" w:eastAsia="MS UI Gothic"/>
          <w:w w:val="80"/>
        </w:rPr>
        <w:t xml:space="preserve">ꎬ </w:t>
      </w:r>
      <w:r>
        <w:t>必须在刮板输送机两端设置明显标</w:t>
      </w:r>
      <w:r>
        <w:rPr>
          <w:w w:val="105"/>
        </w:rPr>
        <w:t>志</w:t>
      </w:r>
      <w:r>
        <w:rPr>
          <w:rFonts w:hint="eastAsia" w:ascii="MS UI Gothic" w:eastAsia="MS UI Gothic"/>
          <w:w w:val="80"/>
        </w:rPr>
        <w:t xml:space="preserve">ꎬ </w:t>
      </w:r>
      <w:r>
        <w:rPr>
          <w:w w:val="105"/>
        </w:rPr>
        <w:t>防止刨头与刮板输送机机头撞击</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rPr>
          <w:rFonts w:hint="eastAsia" w:ascii="MS UI Gothic" w:hAnsi="MS UI Gothic" w:eastAsia="MS UI Gothic"/>
          <w:w w:val="140"/>
        </w:rPr>
        <w:t xml:space="preserve">( </w:t>
      </w:r>
      <w:r>
        <w:t>三</w:t>
      </w:r>
      <w:r>
        <w:rPr>
          <w:rFonts w:hint="eastAsia" w:ascii="MS UI Gothic" w:hAnsi="MS UI Gothic" w:eastAsia="MS UI Gothic"/>
          <w:w w:val="140"/>
        </w:rPr>
        <w:t xml:space="preserve">) </w:t>
      </w:r>
      <w:r>
        <w:t xml:space="preserve">工作面倾角在 </w:t>
      </w:r>
      <w:r>
        <w:rPr>
          <w:rFonts w:hint="eastAsia" w:ascii="MS UI Gothic" w:hAnsi="MS UI Gothic" w:eastAsia="MS UI Gothic"/>
          <w:w w:val="85"/>
        </w:rPr>
        <w:t xml:space="preserve">１２° </w:t>
      </w:r>
      <w:r>
        <w:t>以上时</w:t>
      </w:r>
      <w:r>
        <w:rPr>
          <w:rFonts w:hint="eastAsia" w:ascii="MS UI Gothic" w:hAnsi="MS UI Gothic" w:eastAsia="MS UI Gothic"/>
          <w:w w:val="85"/>
        </w:rPr>
        <w:t xml:space="preserve">ꎬ </w:t>
      </w:r>
      <w:r>
        <w:t>配套的刮板输送机必须装设防滑</w:t>
      </w:r>
      <w:r>
        <w:rPr>
          <w:rFonts w:hint="eastAsia" w:ascii="MS UI Gothic" w:hAnsi="MS UI Gothic" w:eastAsia="MS UI Gothic"/>
          <w:w w:val="85"/>
        </w:rPr>
        <w:t xml:space="preserve">、 </w:t>
      </w:r>
      <w:r>
        <w:t>锚固装置</w:t>
      </w:r>
      <w:r>
        <w:rPr>
          <w:rFonts w:hint="eastAsia" w:ascii="MS UI Gothic" w:hAnsi="MS UI Gothic" w:eastAsia="MS UI Gothic"/>
          <w:w w:val="85"/>
        </w:rPr>
        <w:t>ꎮ</w:t>
      </w:r>
    </w:p>
    <w:p>
      <w:pPr>
        <w:pStyle w:val="6"/>
        <w:spacing w:line="295" w:lineRule="auto"/>
        <w:ind w:left="381" w:right="126"/>
        <w:rPr>
          <w:rFonts w:hint="eastAsia" w:ascii="MS UI Gothic" w:eastAsia="MS UI Gothic"/>
        </w:rPr>
      </w:pPr>
      <w:r>
        <w:rPr>
          <w:w w:val="105"/>
        </w:rPr>
        <w:t>第一百一十九条 使用掘进机</w:t>
      </w:r>
      <w:r>
        <w:rPr>
          <w:rFonts w:hint="eastAsia" w:ascii="MS UI Gothic" w:eastAsia="MS UI Gothic"/>
          <w:w w:val="80"/>
        </w:rPr>
        <w:t xml:space="preserve">、 </w:t>
      </w:r>
      <w:r>
        <w:rPr>
          <w:w w:val="105"/>
        </w:rPr>
        <w:t>掘锚一体机</w:t>
      </w:r>
      <w:r>
        <w:rPr>
          <w:rFonts w:hint="eastAsia" w:ascii="MS UI Gothic" w:eastAsia="MS UI Gothic"/>
          <w:w w:val="80"/>
        </w:rPr>
        <w:t xml:space="preserve">、 </w:t>
      </w:r>
      <w:r>
        <w:rPr>
          <w:w w:val="105"/>
        </w:rPr>
        <w:t>连续采煤机掘进时</w:t>
      </w:r>
      <w:r>
        <w:rPr>
          <w:rFonts w:hint="eastAsia" w:ascii="MS UI Gothic" w:eastAsia="MS UI Gothic"/>
          <w:w w:val="80"/>
        </w:rPr>
        <w:t xml:space="preserve">ꎬ </w:t>
      </w:r>
      <w:r>
        <w:rPr>
          <w:w w:val="105"/>
        </w:rPr>
        <w:t>必须遵守下列规定</w:t>
      </w:r>
      <w:r>
        <w:rPr>
          <w:rFonts w:hint="eastAsia" w:ascii="MS UI Gothic" w:eastAsia="MS UI Gothic"/>
          <w:w w:val="235"/>
        </w:rPr>
        <w:t>:</w:t>
      </w:r>
    </w:p>
    <w:p>
      <w:pPr>
        <w:pStyle w:val="6"/>
        <w:spacing w:line="295" w:lineRule="auto"/>
        <w:ind w:left="381" w:right="126"/>
      </w:pPr>
      <w:r>
        <w:rPr>
          <w:rFonts w:hint="eastAsia" w:ascii="MS UI Gothic" w:eastAsia="MS UI Gothic"/>
          <w:w w:val="150"/>
        </w:rPr>
        <w:t xml:space="preserve">( </w:t>
      </w:r>
      <w:r>
        <w:t>一</w:t>
      </w:r>
      <w:r>
        <w:rPr>
          <w:rFonts w:hint="eastAsia" w:ascii="MS UI Gothic" w:eastAsia="MS UI Gothic"/>
          <w:w w:val="150"/>
        </w:rPr>
        <w:t xml:space="preserve">) </w:t>
      </w:r>
      <w:r>
        <w:t>开机前</w:t>
      </w:r>
      <w:r>
        <w:rPr>
          <w:rFonts w:hint="eastAsia" w:ascii="MS UI Gothic" w:eastAsia="MS UI Gothic"/>
          <w:w w:val="80"/>
        </w:rPr>
        <w:t xml:space="preserve">ꎬ </w:t>
      </w:r>
      <w:r>
        <w:t>在确认铲板前方和截割臂附近无人时</w:t>
      </w:r>
      <w:r>
        <w:rPr>
          <w:rFonts w:hint="eastAsia" w:ascii="MS UI Gothic" w:eastAsia="MS UI Gothic"/>
          <w:w w:val="80"/>
        </w:rPr>
        <w:t xml:space="preserve">ꎬ </w:t>
      </w:r>
      <w:r>
        <w:t>方可启动</w:t>
      </w:r>
      <w:r>
        <w:rPr>
          <w:rFonts w:hint="eastAsia" w:ascii="MS UI Gothic" w:eastAsia="MS UI Gothic"/>
          <w:w w:val="80"/>
        </w:rPr>
        <w:t xml:space="preserve">ꎮ </w:t>
      </w:r>
      <w:r>
        <w:t>采用遥控操作时</w:t>
      </w:r>
      <w:r>
        <w:rPr>
          <w:rFonts w:hint="eastAsia" w:ascii="MS UI Gothic" w:eastAsia="MS UI Gothic"/>
          <w:w w:val="80"/>
        </w:rPr>
        <w:t xml:space="preserve">ꎬ </w:t>
      </w:r>
      <w:r>
        <w:t>司机必须位于安全位置</w:t>
      </w:r>
      <w:r>
        <w:rPr>
          <w:rFonts w:hint="eastAsia" w:ascii="MS UI Gothic" w:eastAsia="MS UI Gothic"/>
          <w:w w:val="80"/>
        </w:rPr>
        <w:t xml:space="preserve">ꎮ </w:t>
      </w:r>
      <w:r>
        <w:t>开机</w:t>
      </w:r>
      <w:r>
        <w:rPr>
          <w:rFonts w:hint="eastAsia" w:ascii="MS UI Gothic" w:eastAsia="MS UI Gothic"/>
          <w:w w:val="80"/>
        </w:rPr>
        <w:t xml:space="preserve">、 </w:t>
      </w:r>
      <w:r>
        <w:t>退</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２５６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794" o:spid="_x0000_s1794" o:spt="203" style="height:2.15pt;width:398.25pt;" coordsize="7965,43">
            <o:lock v:ext="edit"/>
            <v:line id="_x0000_s1795" o:spid="_x0000_s1795" o:spt="20" style="position:absolute;left:0;top:39;height:0;width:7965;" stroked="t" coordsize="21600,21600">
              <v:path arrowok="t"/>
              <v:fill focussize="0,0"/>
              <v:stroke weight="0.388031496062992pt" color="#231F20"/>
              <v:imagedata o:title=""/>
              <o:lock v:ext="edit"/>
            </v:line>
            <v:line id="_x0000_s1796" o:spid="_x0000_s179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rPr>
          <w:rFonts w:hint="eastAsia" w:ascii="MS UI Gothic" w:eastAsia="MS UI Gothic"/>
        </w:rPr>
      </w:pPr>
      <w:r>
        <w:t>机</w:t>
      </w:r>
      <w:r>
        <w:rPr>
          <w:rFonts w:hint="eastAsia" w:ascii="MS UI Gothic" w:eastAsia="MS UI Gothic"/>
        </w:rPr>
        <w:t xml:space="preserve">、 </w:t>
      </w:r>
      <w:r>
        <w:t>调机时</w:t>
      </w:r>
      <w:r>
        <w:rPr>
          <w:rFonts w:hint="eastAsia" w:ascii="MS UI Gothic" w:eastAsia="MS UI Gothic"/>
          <w:w w:val="80"/>
        </w:rPr>
        <w:t xml:space="preserve">ꎬ </w:t>
      </w:r>
      <w:r>
        <w:t>必须发出报警信号</w:t>
      </w:r>
      <w:r>
        <w:rPr>
          <w:rFonts w:hint="eastAsia" w:ascii="MS UI Gothic" w:eastAsia="MS UI Gothic"/>
          <w:w w:val="80"/>
        </w:rPr>
        <w:t>ꎮ</w:t>
      </w:r>
    </w:p>
    <w:p>
      <w:pPr>
        <w:pStyle w:val="6"/>
        <w:spacing w:before="58" w:line="295" w:lineRule="auto"/>
        <w:ind w:left="118" w:right="39" w:firstLine="425"/>
      </w:pPr>
      <w:r>
        <w:rPr>
          <w:rFonts w:hint="eastAsia" w:ascii="MS UI Gothic" w:eastAsia="MS UI Gothic"/>
          <w:w w:val="140"/>
        </w:rPr>
        <w:t xml:space="preserve">( </w:t>
      </w:r>
      <w:r>
        <w:t>二</w:t>
      </w:r>
      <w:r>
        <w:rPr>
          <w:rFonts w:hint="eastAsia" w:ascii="MS UI Gothic" w:eastAsia="MS UI Gothic"/>
          <w:w w:val="140"/>
        </w:rPr>
        <w:t xml:space="preserve">) </w:t>
      </w:r>
      <w:r>
        <w:t>作业时</w:t>
      </w:r>
      <w:r>
        <w:rPr>
          <w:rFonts w:hint="eastAsia" w:ascii="MS UI Gothic" w:eastAsia="MS UI Gothic"/>
          <w:w w:val="85"/>
        </w:rPr>
        <w:t xml:space="preserve">ꎬ </w:t>
      </w:r>
      <w:r>
        <w:t>应当使用内</w:t>
      </w:r>
      <w:r>
        <w:rPr>
          <w:rFonts w:hint="eastAsia" w:ascii="MS UI Gothic" w:eastAsia="MS UI Gothic"/>
        </w:rPr>
        <w:t xml:space="preserve">、 </w:t>
      </w:r>
      <w:r>
        <w:t>外喷雾装置</w:t>
      </w:r>
      <w:r>
        <w:rPr>
          <w:rFonts w:hint="eastAsia" w:ascii="MS UI Gothic" w:eastAsia="MS UI Gothic"/>
          <w:w w:val="85"/>
        </w:rPr>
        <w:t xml:space="preserve">ꎬ </w:t>
      </w:r>
      <w:r>
        <w:t>内喷雾装置的工作压力不得小于</w:t>
      </w:r>
      <w:r>
        <w:rPr>
          <w:rFonts w:hint="eastAsia" w:ascii="MS UI Gothic" w:eastAsia="MS UI Gothic"/>
        </w:rPr>
        <w:t>２ ＭＰａ</w:t>
      </w:r>
      <w:r>
        <w:rPr>
          <w:rFonts w:hint="eastAsia" w:ascii="MS UI Gothic" w:eastAsia="MS UI Gothic"/>
          <w:w w:val="85"/>
        </w:rPr>
        <w:t xml:space="preserve">ꎬ </w:t>
      </w:r>
      <w:r>
        <w:t>外喷雾装置的工作压力不得小于</w:t>
      </w:r>
    </w:p>
    <w:p>
      <w:pPr>
        <w:pStyle w:val="6"/>
        <w:spacing w:line="254" w:lineRule="exact"/>
        <w:ind w:left="118" w:firstLine="0"/>
        <w:rPr>
          <w:rFonts w:hint="eastAsia" w:ascii="MS UI Gothic" w:eastAsia="MS UI Gothic"/>
        </w:rPr>
      </w:pPr>
      <w:r>
        <w:rPr>
          <w:rFonts w:hint="eastAsia" w:ascii="MS UI Gothic" w:eastAsia="MS UI Gothic"/>
          <w:w w:val="85"/>
        </w:rPr>
        <w:t>４ ＭＰａꎮ</w:t>
      </w:r>
    </w:p>
    <w:p>
      <w:pPr>
        <w:pStyle w:val="6"/>
        <w:spacing w:before="58"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截割部运行时</w:t>
      </w:r>
      <w:r>
        <w:rPr>
          <w:rFonts w:hint="eastAsia" w:ascii="MS UI Gothic" w:eastAsia="MS UI Gothic"/>
          <w:w w:val="80"/>
        </w:rPr>
        <w:t xml:space="preserve">ꎬ </w:t>
      </w:r>
      <w:r>
        <w:rPr>
          <w:w w:val="105"/>
        </w:rPr>
        <w:t>严禁人员在截割臂下停留和穿越</w:t>
      </w:r>
      <w:r>
        <w:rPr>
          <w:rFonts w:hint="eastAsia" w:ascii="MS UI Gothic" w:eastAsia="MS UI Gothic"/>
          <w:w w:val="80"/>
        </w:rPr>
        <w:t xml:space="preserve">ꎬ </w:t>
      </w:r>
      <w:r>
        <w:rPr>
          <w:w w:val="105"/>
        </w:rPr>
        <w:t xml:space="preserve">机身与煤 </w:t>
      </w:r>
      <w:r>
        <w:rPr>
          <w:rFonts w:hint="eastAsia" w:ascii="MS UI Gothic" w:eastAsia="MS UI Gothic"/>
          <w:w w:val="150"/>
        </w:rPr>
        <w:t xml:space="preserve">( </w:t>
      </w:r>
      <w:r>
        <w:rPr>
          <w:w w:val="105"/>
        </w:rPr>
        <w:t>岩</w:t>
      </w:r>
      <w:r>
        <w:rPr>
          <w:rFonts w:hint="eastAsia" w:ascii="MS UI Gothic" w:eastAsia="MS UI Gothic"/>
          <w:w w:val="150"/>
        </w:rPr>
        <w:t xml:space="preserve">) </w:t>
      </w:r>
      <w:r>
        <w:rPr>
          <w:w w:val="105"/>
        </w:rPr>
        <w:t>壁之间严禁站人</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15"/>
        </w:rPr>
        <w:t xml:space="preserve">( </w:t>
      </w:r>
      <w:r>
        <w:rPr>
          <w:w w:val="110"/>
        </w:rPr>
        <w:t>四</w:t>
      </w:r>
      <w:r>
        <w:rPr>
          <w:rFonts w:hint="eastAsia" w:ascii="MS UI Gothic" w:eastAsia="MS UI Gothic"/>
          <w:w w:val="115"/>
        </w:rPr>
        <w:t xml:space="preserve">) </w:t>
      </w:r>
      <w:r>
        <w:rPr>
          <w:w w:val="110"/>
        </w:rPr>
        <w:t>在设备非操作侧</w:t>
      </w:r>
      <w:r>
        <w:rPr>
          <w:rFonts w:hint="eastAsia" w:ascii="MS UI Gothic" w:eastAsia="MS UI Gothic"/>
          <w:w w:val="80"/>
        </w:rPr>
        <w:t xml:space="preserve">ꎬ </w:t>
      </w:r>
      <w:r>
        <w:rPr>
          <w:w w:val="110"/>
        </w:rPr>
        <w:t xml:space="preserve">必须装有紧急停转按钮 </w:t>
      </w:r>
      <w:r>
        <w:rPr>
          <w:rFonts w:hint="eastAsia" w:ascii="MS UI Gothic" w:eastAsia="MS UI Gothic"/>
          <w:w w:val="150"/>
        </w:rPr>
        <w:t xml:space="preserve">( </w:t>
      </w:r>
      <w:r>
        <w:rPr>
          <w:w w:val="110"/>
        </w:rPr>
        <w:t>连续采煤机除外</w:t>
      </w:r>
      <w:r>
        <w:rPr>
          <w:rFonts w:hint="eastAsia" w:ascii="MS UI Gothic" w:eastAsia="MS UI Gothic"/>
          <w:w w:val="150"/>
        </w:rPr>
        <w:t xml:space="preserve">) </w:t>
      </w:r>
      <w:r>
        <w:rPr>
          <w:rFonts w:hint="eastAsia" w:ascii="MS UI Gothic" w:eastAsia="MS UI Gothic"/>
          <w:w w:val="80"/>
        </w:rPr>
        <w:t>ꎮ</w:t>
      </w:r>
    </w:p>
    <w:p>
      <w:pPr>
        <w:pStyle w:val="6"/>
        <w:spacing w:line="255" w:lineRule="exact"/>
        <w:ind w:left="543" w:firstLine="0"/>
      </w:pPr>
      <w:r>
        <w:rPr>
          <w:rFonts w:hint="eastAsia" w:ascii="MS UI Gothic" w:eastAsia="MS UI Gothic"/>
          <w:w w:val="150"/>
        </w:rPr>
        <w:t xml:space="preserve">( </w:t>
      </w:r>
      <w:r>
        <w:rPr>
          <w:w w:val="115"/>
        </w:rPr>
        <w:t>五</w:t>
      </w:r>
      <w:r>
        <w:rPr>
          <w:rFonts w:hint="eastAsia" w:ascii="MS UI Gothic" w:eastAsia="MS UI Gothic"/>
          <w:w w:val="150"/>
        </w:rPr>
        <w:t xml:space="preserve">) </w:t>
      </w:r>
      <w:r>
        <w:rPr>
          <w:w w:val="115"/>
        </w:rPr>
        <w:t>必须装有前照明灯和尾灯</w:t>
      </w:r>
    </w:p>
    <w:p>
      <w:pPr>
        <w:pStyle w:val="6"/>
        <w:spacing w:before="56"/>
        <w:ind w:left="543" w:firstLine="0"/>
      </w:pPr>
      <w:r>
        <w:rPr>
          <w:rFonts w:hint="eastAsia" w:ascii="MS UI Gothic" w:eastAsia="MS UI Gothic"/>
          <w:w w:val="110"/>
        </w:rPr>
        <w:t xml:space="preserve">( </w:t>
      </w:r>
      <w:r>
        <w:rPr>
          <w:w w:val="110"/>
        </w:rPr>
        <w:t>六</w:t>
      </w:r>
      <w:r>
        <w:rPr>
          <w:rFonts w:hint="eastAsia" w:ascii="MS UI Gothic" w:eastAsia="MS UI Gothic"/>
          <w:w w:val="110"/>
        </w:rPr>
        <w:t xml:space="preserve">) </w:t>
      </w:r>
      <w:r>
        <w:rPr>
          <w:w w:val="110"/>
        </w:rPr>
        <w:t>司机离开操作台时必须切断</w:t>
      </w:r>
    </w:p>
    <w:p>
      <w:pPr>
        <w:pStyle w:val="6"/>
        <w:spacing w:before="58"/>
        <w:ind w:firstLine="0"/>
        <w:jc w:val="left"/>
      </w:pPr>
      <w:r>
        <w:rPr>
          <w:w w:val="105"/>
        </w:rPr>
        <w:t>电源</w:t>
      </w:r>
    </w:p>
    <w:p>
      <w:pPr>
        <w:pStyle w:val="6"/>
        <w:spacing w:before="58" w:line="295" w:lineRule="auto"/>
        <w:ind w:right="39"/>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停止工作和交班时</w:t>
      </w:r>
      <w:r>
        <w:rPr>
          <w:rFonts w:hint="eastAsia" w:ascii="MS UI Gothic" w:eastAsia="MS UI Gothic"/>
          <w:w w:val="80"/>
        </w:rPr>
        <w:t xml:space="preserve">ꎬ </w:t>
      </w:r>
      <w:r>
        <w:rPr>
          <w:w w:val="105"/>
        </w:rPr>
        <w:t>必须将切割头落地</w:t>
      </w:r>
      <w:r>
        <w:rPr>
          <w:rFonts w:hint="eastAsia" w:ascii="MS UI Gothic" w:eastAsia="MS UI Gothic"/>
          <w:w w:val="80"/>
        </w:rPr>
        <w:t xml:space="preserve">ꎬ </w:t>
      </w:r>
      <w:r>
        <w:rPr>
          <w:w w:val="105"/>
        </w:rPr>
        <w:t>并切断电源</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第一百二十条 使用运煤车</w:t>
      </w:r>
      <w:r>
        <w:rPr>
          <w:rFonts w:hint="eastAsia" w:ascii="MS UI Gothic" w:eastAsia="MS UI Gothic"/>
          <w:w w:val="80"/>
        </w:rPr>
        <w:t xml:space="preserve">、 </w:t>
      </w:r>
      <w:r>
        <w:rPr>
          <w:w w:val="105"/>
        </w:rPr>
        <w:t>铲车</w:t>
      </w:r>
      <w:r>
        <w:rPr>
          <w:rFonts w:hint="eastAsia" w:ascii="MS UI Gothic" w:eastAsia="MS UI Gothic"/>
          <w:w w:val="80"/>
        </w:rPr>
        <w:t>、</w:t>
      </w:r>
      <w:r>
        <w:rPr>
          <w:w w:val="105"/>
        </w:rPr>
        <w:t>梭车</w:t>
      </w:r>
      <w:r>
        <w:rPr>
          <w:rFonts w:hint="eastAsia" w:ascii="MS UI Gothic" w:eastAsia="MS UI Gothic"/>
          <w:w w:val="80"/>
        </w:rPr>
        <w:t xml:space="preserve">、 </w:t>
      </w:r>
      <w:r>
        <w:rPr>
          <w:w w:val="105"/>
        </w:rPr>
        <w:t>履带式行走支架</w:t>
      </w:r>
      <w:r>
        <w:rPr>
          <w:rFonts w:hint="eastAsia" w:ascii="MS UI Gothic" w:eastAsia="MS UI Gothic"/>
          <w:w w:val="80"/>
        </w:rPr>
        <w:t xml:space="preserve">、 </w:t>
      </w:r>
      <w:r>
        <w:rPr>
          <w:w w:val="105"/>
        </w:rPr>
        <w:t>锚杆钻车</w:t>
      </w:r>
      <w:r>
        <w:rPr>
          <w:rFonts w:hint="eastAsia" w:ascii="MS UI Gothic" w:eastAsia="MS UI Gothic"/>
          <w:w w:val="80"/>
        </w:rPr>
        <w:t xml:space="preserve">、 </w:t>
      </w:r>
      <w:r>
        <w:rPr>
          <w:w w:val="105"/>
        </w:rPr>
        <w:t>给料破碎机</w:t>
      </w:r>
      <w:r>
        <w:rPr>
          <w:rFonts w:hint="eastAsia" w:ascii="MS UI Gothic" w:eastAsia="MS UI Gothic"/>
          <w:w w:val="80"/>
        </w:rPr>
        <w:t xml:space="preserve">、 </w:t>
      </w:r>
      <w:r>
        <w:rPr>
          <w:w w:val="105"/>
        </w:rPr>
        <w:t>连续运输系统或者桥式转载机等</w:t>
      </w:r>
      <w:r>
        <w:t>掘进机后配套设备时</w:t>
      </w:r>
      <w:r>
        <w:rPr>
          <w:rFonts w:hint="eastAsia" w:ascii="MS UI Gothic" w:eastAsia="MS UI Gothic"/>
          <w:w w:val="80"/>
        </w:rPr>
        <w:t xml:space="preserve">ꎬ </w:t>
      </w:r>
      <w:r>
        <w:t>必须遵守下列</w:t>
      </w:r>
      <w:r>
        <w:rPr>
          <w:w w:val="105"/>
        </w:rPr>
        <w:t>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所有安装机载照明的后配套设备启动前必须开启照明</w:t>
      </w:r>
      <w:r>
        <w:rPr>
          <w:rFonts w:hint="eastAsia" w:ascii="MS UI Gothic" w:eastAsia="MS UI Gothic"/>
          <w:w w:val="80"/>
        </w:rPr>
        <w:t xml:space="preserve">ꎬ </w:t>
      </w:r>
      <w:r>
        <w:t>发出开机信号</w:t>
      </w:r>
      <w:r>
        <w:rPr>
          <w:rFonts w:hint="eastAsia" w:ascii="MS UI Gothic" w:eastAsia="MS UI Gothic"/>
          <w:w w:val="80"/>
        </w:rPr>
        <w:t>ꎬ</w:t>
      </w:r>
      <w:r>
        <w:t>确认人员离开</w:t>
      </w:r>
      <w:r>
        <w:rPr>
          <w:rFonts w:hint="eastAsia" w:ascii="MS UI Gothic" w:eastAsia="MS UI Gothic"/>
          <w:w w:val="80"/>
        </w:rPr>
        <w:t xml:space="preserve">ꎬ </w:t>
      </w:r>
      <w:r>
        <w:t>再开机运行</w:t>
      </w:r>
      <w:r>
        <w:rPr>
          <w:rFonts w:hint="eastAsia" w:ascii="MS UI Gothic" w:eastAsia="MS UI Gothic"/>
          <w:w w:val="80"/>
        </w:rPr>
        <w:t xml:space="preserve">ꎮ </w:t>
      </w:r>
      <w:r>
        <w:t>设备停机</w:t>
      </w:r>
      <w:r>
        <w:rPr>
          <w:rFonts w:hint="eastAsia" w:ascii="MS UI Gothic" w:eastAsia="MS UI Gothic"/>
          <w:w w:val="80"/>
        </w:rPr>
        <w:t>、</w:t>
      </w:r>
      <w:r>
        <w:t>检修或者处理故障时</w:t>
      </w:r>
      <w:r>
        <w:rPr>
          <w:rFonts w:hint="eastAsia" w:ascii="MS UI Gothic" w:eastAsia="MS UI Gothic"/>
          <w:w w:val="80"/>
        </w:rPr>
        <w:t xml:space="preserve">ꎬ </w:t>
      </w:r>
      <w:r>
        <w:t>必须停电闭锁</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带电移动的设备电缆应当有防拔脱装置</w:t>
      </w:r>
      <w:r>
        <w:rPr>
          <w:rFonts w:hint="eastAsia" w:ascii="MS UI Gothic" w:eastAsia="MS UI Gothic"/>
          <w:w w:val="80"/>
        </w:rPr>
        <w:t xml:space="preserve">ꎮ </w:t>
      </w:r>
      <w:r>
        <w:rPr>
          <w:w w:val="105"/>
        </w:rPr>
        <w:t>电缆必须连接牢固</w:t>
      </w:r>
      <w:r>
        <w:rPr>
          <w:rFonts w:hint="eastAsia" w:ascii="MS UI Gothic" w:eastAsia="MS UI Gothic"/>
          <w:w w:val="80"/>
        </w:rPr>
        <w:t xml:space="preserve">、 </w:t>
      </w:r>
      <w:r>
        <w:rPr>
          <w:w w:val="105"/>
        </w:rPr>
        <w:t>可靠</w:t>
      </w:r>
      <w:r>
        <w:rPr>
          <w:rFonts w:hint="eastAsia" w:ascii="MS UI Gothic" w:eastAsia="MS UI Gothic"/>
          <w:w w:val="80"/>
        </w:rPr>
        <w:t xml:space="preserve">ꎬ </w:t>
      </w:r>
      <w:r>
        <w:rPr>
          <w:w w:val="105"/>
        </w:rPr>
        <w:t>电</w:t>
      </w:r>
      <w:r>
        <w:t>缆收放装置必须完好</w:t>
      </w:r>
      <w:r>
        <w:rPr>
          <w:rFonts w:hint="eastAsia" w:ascii="MS UI Gothic" w:eastAsia="MS UI Gothic"/>
          <w:w w:val="80"/>
        </w:rPr>
        <w:t xml:space="preserve">ꎮ </w:t>
      </w:r>
      <w:r>
        <w:t>操作电缆卷筒时</w:t>
      </w:r>
      <w:r>
        <w:rPr>
          <w:rFonts w:hint="eastAsia" w:ascii="MS UI Gothic" w:eastAsia="MS UI Gothic"/>
          <w:w w:val="80"/>
        </w:rPr>
        <w:t>ꎬ</w:t>
      </w:r>
      <w:r>
        <w:rPr>
          <w:w w:val="105"/>
        </w:rPr>
        <w:t>人员不得骑跨或者踩踏电缆</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3"/>
          <w:w w:val="150"/>
        </w:rPr>
        <w:t xml:space="preserve">( </w:t>
      </w:r>
      <w:r>
        <w:rPr>
          <w:spacing w:val="3"/>
        </w:rPr>
        <w:t>三</w:t>
      </w:r>
      <w:r>
        <w:rPr>
          <w:rFonts w:hint="eastAsia" w:ascii="MS UI Gothic" w:eastAsia="MS UI Gothic"/>
          <w:spacing w:val="31"/>
          <w:w w:val="150"/>
        </w:rPr>
        <w:t xml:space="preserve">) </w:t>
      </w:r>
      <w:r>
        <w:rPr>
          <w:spacing w:val="3"/>
        </w:rPr>
        <w:t>运煤车</w:t>
      </w:r>
      <w:r>
        <w:rPr>
          <w:rFonts w:hint="eastAsia" w:ascii="MS UI Gothic" w:eastAsia="MS UI Gothic"/>
          <w:spacing w:val="17"/>
          <w:w w:val="80"/>
        </w:rPr>
        <w:t xml:space="preserve">、 </w:t>
      </w:r>
      <w:r>
        <w:rPr>
          <w:spacing w:val="8"/>
        </w:rPr>
        <w:t>铲车</w:t>
      </w:r>
      <w:r>
        <w:rPr>
          <w:rFonts w:hint="eastAsia" w:ascii="MS UI Gothic" w:eastAsia="MS UI Gothic"/>
          <w:spacing w:val="19"/>
          <w:w w:val="80"/>
        </w:rPr>
        <w:t xml:space="preserve">、 </w:t>
      </w:r>
      <w:r>
        <w:rPr>
          <w:spacing w:val="10"/>
        </w:rPr>
        <w:t>梭车制动装置</w:t>
      </w:r>
      <w:r>
        <w:rPr>
          <w:spacing w:val="3"/>
        </w:rPr>
        <w:t>必须齐全</w:t>
      </w:r>
      <w:r>
        <w:rPr>
          <w:rFonts w:hint="eastAsia" w:ascii="MS UI Gothic" w:eastAsia="MS UI Gothic"/>
          <w:spacing w:val="23"/>
          <w:w w:val="80"/>
        </w:rPr>
        <w:t xml:space="preserve">、 </w:t>
      </w:r>
      <w:r>
        <w:rPr>
          <w:spacing w:val="3"/>
        </w:rPr>
        <w:t>可靠</w:t>
      </w:r>
      <w:r>
        <w:rPr>
          <w:rFonts w:hint="eastAsia" w:ascii="MS UI Gothic" w:eastAsia="MS UI Gothic"/>
          <w:spacing w:val="23"/>
          <w:w w:val="80"/>
        </w:rPr>
        <w:t xml:space="preserve">ꎮ </w:t>
      </w:r>
      <w:r>
        <w:rPr>
          <w:spacing w:val="3"/>
        </w:rPr>
        <w:t>作业时</w:t>
      </w:r>
      <w:r>
        <w:rPr>
          <w:rFonts w:hint="eastAsia" w:ascii="MS UI Gothic" w:eastAsia="MS UI Gothic"/>
          <w:spacing w:val="23"/>
          <w:w w:val="80"/>
        </w:rPr>
        <w:t xml:space="preserve">ꎬ </w:t>
      </w:r>
      <w:r>
        <w:rPr>
          <w:spacing w:val="2"/>
        </w:rPr>
        <w:t>行驶区间严禁</w:t>
      </w:r>
      <w:r>
        <w:rPr>
          <w:spacing w:val="3"/>
        </w:rPr>
        <w:t>人员进入</w:t>
      </w:r>
      <w:r>
        <w:rPr>
          <w:rFonts w:hint="eastAsia" w:ascii="MS UI Gothic" w:eastAsia="MS UI Gothic"/>
          <w:spacing w:val="23"/>
          <w:w w:val="80"/>
        </w:rPr>
        <w:t xml:space="preserve">ꎻ </w:t>
      </w:r>
      <w:r>
        <w:rPr>
          <w:spacing w:val="3"/>
        </w:rPr>
        <w:t>检修时</w:t>
      </w:r>
      <w:r>
        <w:rPr>
          <w:rFonts w:hint="eastAsia" w:ascii="MS UI Gothic" w:eastAsia="MS UI Gothic"/>
          <w:spacing w:val="23"/>
          <w:w w:val="80"/>
        </w:rPr>
        <w:t xml:space="preserve">ꎬ </w:t>
      </w:r>
      <w:r>
        <w:rPr>
          <w:spacing w:val="2"/>
        </w:rPr>
        <w:t>铰接处必须使用限位</w:t>
      </w:r>
      <w:r>
        <w:rPr>
          <w:spacing w:val="3"/>
        </w:rPr>
        <w:t>装置</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3"/>
          <w:w w:val="150"/>
        </w:rPr>
        <w:t xml:space="preserve">) </w:t>
      </w:r>
      <w:r>
        <w:rPr>
          <w:spacing w:val="5"/>
          <w:w w:val="105"/>
        </w:rPr>
        <w:t>给料破碎机与输送机之间应当</w:t>
      </w:r>
      <w:r>
        <w:rPr>
          <w:spacing w:val="3"/>
        </w:rPr>
        <w:t>设联锁装置</w:t>
      </w:r>
      <w:r>
        <w:rPr>
          <w:rFonts w:hint="eastAsia" w:ascii="MS UI Gothic" w:eastAsia="MS UI Gothic"/>
          <w:spacing w:val="21"/>
          <w:w w:val="80"/>
        </w:rPr>
        <w:t xml:space="preserve">ꎬ </w:t>
      </w:r>
      <w:r>
        <w:rPr>
          <w:spacing w:val="2"/>
        </w:rPr>
        <w:t>给料破碎机行走时两侧严禁</w:t>
      </w:r>
      <w:r>
        <w:rPr>
          <w:spacing w:val="3"/>
          <w:w w:val="105"/>
        </w:rPr>
        <w:t>站人</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连续运输系统或者桥式转载机</w:t>
      </w:r>
      <w:r>
        <w:t>运行时</w:t>
      </w:r>
      <w:r>
        <w:rPr>
          <w:rFonts w:hint="eastAsia" w:ascii="MS UI Gothic" w:eastAsia="MS UI Gothic"/>
          <w:w w:val="80"/>
        </w:rPr>
        <w:t xml:space="preserve">ꎬ </w:t>
      </w:r>
      <w:r>
        <w:t>严禁在非行人侧行走或者作业</w:t>
      </w:r>
      <w:r>
        <w:rPr>
          <w:rFonts w:hint="eastAsia" w:ascii="MS UI Gothic" w:eastAsia="MS UI Gothic"/>
          <w:w w:val="80"/>
        </w:rPr>
        <w:t>ꎮ</w:t>
      </w:r>
    </w:p>
    <w:p>
      <w:pPr>
        <w:pStyle w:val="6"/>
        <w:spacing w:line="295" w:lineRule="auto"/>
        <w:ind w:right="39"/>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锚杆钻车作业时必须有防护操</w:t>
      </w:r>
      <w:r>
        <w:t>作台</w:t>
      </w:r>
      <w:r>
        <w:rPr>
          <w:rFonts w:hint="eastAsia" w:ascii="MS UI Gothic" w:eastAsia="MS UI Gothic"/>
          <w:w w:val="80"/>
        </w:rPr>
        <w:t xml:space="preserve">ꎬ </w:t>
      </w:r>
      <w:r>
        <w:t>支护作业时必须将临时支护顶棚升</w:t>
      </w:r>
    </w:p>
    <w:p>
      <w:pPr>
        <w:pStyle w:val="6"/>
        <w:spacing w:before="123" w:line="295" w:lineRule="auto"/>
        <w:ind w:left="118" w:right="442" w:firstLine="0"/>
        <w:rPr>
          <w:rFonts w:hint="eastAsia" w:ascii="MS UI Gothic" w:eastAsia="MS UI Gothic"/>
        </w:rPr>
      </w:pPr>
      <w:r>
        <w:br w:type="column"/>
      </w:r>
      <w:r>
        <w:t>至顶板</w:t>
      </w:r>
      <w:r>
        <w:rPr>
          <w:rFonts w:hint="eastAsia" w:ascii="MS UI Gothic" w:eastAsia="MS UI Gothic"/>
          <w:w w:val="80"/>
        </w:rPr>
        <w:t xml:space="preserve">ꎮ </w:t>
      </w:r>
      <w:r>
        <w:t>非操作人员严禁在锚杆钻车周围停留</w:t>
      </w:r>
      <w:r>
        <w:rPr>
          <w:rFonts w:hint="eastAsia" w:ascii="MS UI Gothic" w:eastAsia="MS UI Gothic"/>
          <w:w w:val="80"/>
        </w:rPr>
        <w:t>ꎮ</w:t>
      </w:r>
    </w:p>
    <w:p>
      <w:pPr>
        <w:pStyle w:val="6"/>
        <w:spacing w:line="295" w:lineRule="auto"/>
        <w:ind w:left="118" w:right="440"/>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履带行走式支架应当具有预警</w:t>
      </w:r>
      <w:r>
        <w:t>延时启动装置</w:t>
      </w:r>
      <w:r>
        <w:rPr>
          <w:rFonts w:hint="eastAsia" w:ascii="MS UI Gothic" w:eastAsia="MS UI Gothic"/>
          <w:w w:val="80"/>
        </w:rPr>
        <w:t xml:space="preserve">、 </w:t>
      </w:r>
      <w:r>
        <w:t>系统压力实时显示装置</w:t>
      </w:r>
      <w:r>
        <w:rPr>
          <w:rFonts w:hint="eastAsia" w:ascii="MS UI Gothic" w:eastAsia="MS UI Gothic"/>
          <w:w w:val="80"/>
        </w:rPr>
        <w:t>ꎬ</w:t>
      </w:r>
      <w:r>
        <w:rPr>
          <w:w w:val="105"/>
        </w:rPr>
        <w:t>以及自救</w:t>
      </w:r>
      <w:r>
        <w:rPr>
          <w:rFonts w:hint="eastAsia" w:ascii="MS UI Gothic" w:eastAsia="MS UI Gothic"/>
          <w:w w:val="80"/>
        </w:rPr>
        <w:t xml:space="preserve">、 </w:t>
      </w:r>
      <w:r>
        <w:rPr>
          <w:w w:val="105"/>
        </w:rPr>
        <w:t>逃逸功能</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第一百二十一条 使用刮板输送机运</w:t>
      </w:r>
      <w:r>
        <w:rPr>
          <w:w w:val="110"/>
        </w:rPr>
        <w:t>输时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left="118" w:right="440"/>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采煤工作面刮板输送机必须安设能发出停止</w:t>
      </w:r>
      <w:r>
        <w:rPr>
          <w:rFonts w:hint="eastAsia" w:ascii="MS UI Gothic" w:eastAsia="MS UI Gothic"/>
          <w:w w:val="80"/>
        </w:rPr>
        <w:t xml:space="preserve">、 </w:t>
      </w:r>
      <w:r>
        <w:t>启动信号和通讯的装置</w:t>
      </w:r>
      <w:r>
        <w:rPr>
          <w:rFonts w:hint="eastAsia" w:ascii="MS UI Gothic" w:eastAsia="MS UI Gothic"/>
          <w:w w:val="80"/>
        </w:rPr>
        <w:t>ꎬ</w:t>
      </w:r>
      <w:r>
        <w:t xml:space="preserve">发出信号点的间距不得超过 </w:t>
      </w:r>
      <w:r>
        <w:rPr>
          <w:rFonts w:hint="eastAsia" w:ascii="MS UI Gothic" w:eastAsia="MS UI Gothic"/>
          <w:w w:val="80"/>
        </w:rPr>
        <w:t>１５ ｍꎮ</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刮板输送机使用的液力偶合</w:t>
      </w:r>
      <w:r>
        <w:t>器</w:t>
      </w:r>
      <w:r>
        <w:rPr>
          <w:rFonts w:hint="eastAsia" w:ascii="MS UI Gothic" w:eastAsia="MS UI Gothic"/>
          <w:w w:val="80"/>
        </w:rPr>
        <w:t xml:space="preserve">ꎬ </w:t>
      </w:r>
      <w:r>
        <w:t>必须按所传递的功率大小注入规定量的难燃液</w:t>
      </w:r>
      <w:r>
        <w:rPr>
          <w:rFonts w:hint="eastAsia" w:ascii="MS UI Gothic" w:eastAsia="MS UI Gothic"/>
          <w:w w:val="80"/>
        </w:rPr>
        <w:t xml:space="preserve">ꎬ </w:t>
      </w:r>
      <w:r>
        <w:t>并经常检查有无漏失</w:t>
      </w:r>
      <w:r>
        <w:rPr>
          <w:rFonts w:hint="eastAsia" w:ascii="MS UI Gothic" w:eastAsia="MS UI Gothic"/>
          <w:w w:val="80"/>
        </w:rPr>
        <w:t xml:space="preserve">ꎮ </w:t>
      </w:r>
      <w:r>
        <w:t>易熔合</w:t>
      </w:r>
      <w:r>
        <w:rPr>
          <w:w w:val="105"/>
        </w:rPr>
        <w:t>金塞必须符合标准</w:t>
      </w:r>
      <w:r>
        <w:rPr>
          <w:rFonts w:hint="eastAsia" w:ascii="MS UI Gothic" w:eastAsia="MS UI Gothic"/>
          <w:w w:val="80"/>
        </w:rPr>
        <w:t xml:space="preserve">ꎬ </w:t>
      </w:r>
      <w:r>
        <w:rPr>
          <w:w w:val="105"/>
        </w:rPr>
        <w:t>并设专人检查</w:t>
      </w:r>
      <w:r>
        <w:rPr>
          <w:rFonts w:hint="eastAsia" w:ascii="MS UI Gothic" w:eastAsia="MS UI Gothic"/>
          <w:w w:val="80"/>
        </w:rPr>
        <w:t xml:space="preserve">、 </w:t>
      </w:r>
      <w:r>
        <w:rPr>
          <w:w w:val="105"/>
        </w:rPr>
        <w:t>清除</w:t>
      </w:r>
      <w:r>
        <w:t>塞内污物</w:t>
      </w:r>
      <w:r>
        <w:rPr>
          <w:rFonts w:hint="eastAsia" w:ascii="MS UI Gothic" w:eastAsia="MS UI Gothic"/>
          <w:w w:val="80"/>
        </w:rPr>
        <w:t xml:space="preserve">ꎻ </w:t>
      </w:r>
      <w:r>
        <w:t>严禁使用不符合标准的物品</w:t>
      </w:r>
      <w:r>
        <w:rPr>
          <w:w w:val="105"/>
        </w:rPr>
        <w:t>代替</w:t>
      </w:r>
      <w:r>
        <w:rPr>
          <w:rFonts w:hint="eastAsia" w:ascii="MS UI Gothic" w:eastAsia="MS UI Gothic"/>
          <w:w w:val="80"/>
        </w:rPr>
        <w:t>ꎮ</w:t>
      </w:r>
    </w:p>
    <w:p>
      <w:pPr>
        <w:pStyle w:val="6"/>
        <w:spacing w:line="251" w:lineRule="exact"/>
        <w:ind w:left="538"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刮板输送机严禁乘人</w:t>
      </w:r>
      <w:r>
        <w:rPr>
          <w:rFonts w:hint="eastAsia" w:ascii="MS UI Gothic" w:eastAsia="MS UI Gothic"/>
          <w:w w:val="80"/>
        </w:rPr>
        <w:t>ꎮ</w:t>
      </w:r>
    </w:p>
    <w:p>
      <w:pPr>
        <w:pStyle w:val="6"/>
        <w:spacing w:before="50" w:line="295" w:lineRule="auto"/>
        <w:ind w:left="118"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用刮板输送机运送物料时</w:t>
      </w:r>
      <w:r>
        <w:rPr>
          <w:rFonts w:hint="eastAsia" w:ascii="MS UI Gothic" w:eastAsia="MS UI Gothic"/>
          <w:w w:val="80"/>
        </w:rPr>
        <w:t xml:space="preserve">ꎬ </w:t>
      </w:r>
      <w:r>
        <w:rPr>
          <w:w w:val="105"/>
        </w:rPr>
        <w:t>必须有防止顶人和顶倒支架的安全措施</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移动刮板输送机时</w:t>
      </w:r>
      <w:r>
        <w:rPr>
          <w:rFonts w:hint="eastAsia" w:ascii="MS UI Gothic" w:eastAsia="MS UI Gothic"/>
          <w:w w:val="80"/>
        </w:rPr>
        <w:t xml:space="preserve">ꎬ </w:t>
      </w:r>
      <w:r>
        <w:rPr>
          <w:w w:val="105"/>
        </w:rPr>
        <w:t>必须有防止冒顶</w:t>
      </w:r>
      <w:r>
        <w:rPr>
          <w:rFonts w:hint="eastAsia" w:ascii="MS UI Gothic" w:eastAsia="MS UI Gothic"/>
          <w:w w:val="80"/>
        </w:rPr>
        <w:t xml:space="preserve">、 </w:t>
      </w:r>
      <w:r>
        <w:rPr>
          <w:w w:val="105"/>
        </w:rPr>
        <w:t>顶伤人员和损坏设备的安全措施</w:t>
      </w:r>
      <w:r>
        <w:rPr>
          <w:rFonts w:hint="eastAsia" w:ascii="MS UI Gothic" w:eastAsia="MS UI Gothic"/>
          <w:w w:val="80"/>
        </w:rPr>
        <w:t>ꎮ</w:t>
      </w:r>
    </w:p>
    <w:p>
      <w:pPr>
        <w:pStyle w:val="6"/>
        <w:tabs>
          <w:tab w:val="left" w:pos="1199"/>
        </w:tabs>
        <w:spacing w:before="154" w:line="295" w:lineRule="auto"/>
        <w:ind w:left="747" w:right="683" w:hanging="387"/>
        <w:jc w:val="left"/>
      </w:pPr>
      <w:r>
        <w:rPr>
          <w:spacing w:val="3"/>
        </w:rPr>
        <w:t>第四</w:t>
      </w:r>
      <w:r>
        <w:t>节</w:t>
      </w:r>
      <w:r>
        <w:tab/>
      </w:r>
      <w:r>
        <w:t>建</w:t>
      </w:r>
      <w:r>
        <w:rPr>
          <w:spacing w:val="2"/>
        </w:rPr>
        <w:t xml:space="preserve"> </w:t>
      </w:r>
      <w:r>
        <w:rPr>
          <w:rFonts w:hint="eastAsia" w:ascii="Microsoft Yi Baiti" w:eastAsia="Microsoft Yi Baiti"/>
        </w:rPr>
        <w:t>(</w:t>
      </w:r>
      <w:r>
        <w:rPr>
          <w:rFonts w:hint="eastAsia" w:ascii="Microsoft Yi Baiti" w:eastAsia="Microsoft Yi Baiti"/>
          <w:spacing w:val="-68"/>
        </w:rPr>
        <w:t xml:space="preserve"> </w:t>
      </w:r>
      <w:r>
        <w:rPr>
          <w:spacing w:val="3"/>
        </w:rPr>
        <w:t>构</w:t>
      </w:r>
      <w:r>
        <w:rPr>
          <w:rFonts w:hint="eastAsia" w:ascii="Microsoft Yi Baiti" w:eastAsia="Microsoft Yi Baiti"/>
        </w:rPr>
        <w:t>)</w:t>
      </w:r>
      <w:r>
        <w:rPr>
          <w:rFonts w:hint="eastAsia" w:ascii="Microsoft Yi Baiti" w:eastAsia="Microsoft Yi Baiti"/>
          <w:spacing w:val="33"/>
        </w:rPr>
        <w:t xml:space="preserve"> </w:t>
      </w:r>
      <w:r>
        <w:rPr>
          <w:spacing w:val="3"/>
        </w:rPr>
        <w:t>筑物下</w:t>
      </w:r>
      <w:r>
        <w:rPr>
          <w:rFonts w:hint="eastAsia" w:ascii="Microsoft Yi Baiti" w:eastAsia="Microsoft Yi Baiti"/>
        </w:rPr>
        <w:t>、</w:t>
      </w:r>
      <w:r>
        <w:rPr>
          <w:rFonts w:hint="eastAsia" w:ascii="Microsoft Yi Baiti" w:eastAsia="Microsoft Yi Baiti"/>
          <w:spacing w:val="13"/>
        </w:rPr>
        <w:t xml:space="preserve"> </w:t>
      </w:r>
      <w:r>
        <w:rPr>
          <w:spacing w:val="3"/>
        </w:rPr>
        <w:t>水体下</w:t>
      </w:r>
      <w:r>
        <w:rPr>
          <w:rFonts w:hint="eastAsia" w:ascii="Microsoft Yi Baiti" w:eastAsia="Microsoft Yi Baiti"/>
        </w:rPr>
        <w:t>、</w:t>
      </w:r>
      <w:r>
        <w:rPr>
          <w:spacing w:val="3"/>
        </w:rPr>
        <w:t>铁路下及主要井巷煤柱开</w:t>
      </w:r>
      <w:r>
        <w:t>采</w:t>
      </w:r>
    </w:p>
    <w:p>
      <w:pPr>
        <w:pStyle w:val="6"/>
        <w:spacing w:before="155" w:line="295" w:lineRule="auto"/>
        <w:ind w:left="118" w:right="440"/>
        <w:rPr>
          <w:rFonts w:hint="eastAsia" w:ascii="MS UI Gothic" w:eastAsia="MS UI Gothic"/>
        </w:rPr>
      </w:pPr>
      <w:r>
        <w:rPr>
          <w:w w:val="105"/>
        </w:rPr>
        <w:t xml:space="preserve">第一百二十二条 建 </w:t>
      </w:r>
      <w:r>
        <w:rPr>
          <w:rFonts w:hint="eastAsia" w:ascii="MS UI Gothic" w:eastAsia="MS UI Gothic"/>
          <w:w w:val="150"/>
        </w:rPr>
        <w:t xml:space="preserve">( </w:t>
      </w:r>
      <w:r>
        <w:rPr>
          <w:w w:val="105"/>
        </w:rPr>
        <w:t>构</w:t>
      </w:r>
      <w:r>
        <w:rPr>
          <w:rFonts w:hint="eastAsia" w:ascii="MS UI Gothic" w:eastAsia="MS UI Gothic"/>
          <w:w w:val="150"/>
        </w:rPr>
        <w:t xml:space="preserve">) </w:t>
      </w:r>
      <w:r>
        <w:rPr>
          <w:w w:val="105"/>
        </w:rPr>
        <w:t>筑物下</w:t>
      </w:r>
      <w:r>
        <w:rPr>
          <w:rFonts w:hint="eastAsia" w:ascii="MS UI Gothic" w:eastAsia="MS UI Gothic"/>
          <w:w w:val="80"/>
        </w:rPr>
        <w:t>、</w:t>
      </w:r>
      <w:r>
        <w:rPr>
          <w:w w:val="105"/>
        </w:rPr>
        <w:t>水体下</w:t>
      </w:r>
      <w:r>
        <w:rPr>
          <w:rFonts w:hint="eastAsia" w:ascii="MS UI Gothic" w:eastAsia="MS UI Gothic"/>
          <w:w w:val="80"/>
        </w:rPr>
        <w:t xml:space="preserve">、 </w:t>
      </w:r>
      <w:r>
        <w:rPr>
          <w:w w:val="105"/>
        </w:rPr>
        <w:t>铁路下及主要井巷煤柱开采</w:t>
      </w:r>
      <w:r>
        <w:rPr>
          <w:rFonts w:hint="eastAsia" w:ascii="MS UI Gothic" w:eastAsia="MS UI Gothic"/>
          <w:w w:val="80"/>
        </w:rPr>
        <w:t xml:space="preserve">ꎬ </w:t>
      </w:r>
      <w:r>
        <w:rPr>
          <w:w w:val="105"/>
        </w:rPr>
        <w:t>必</w:t>
      </w:r>
      <w:r>
        <w:t>须设立观测站</w:t>
      </w:r>
      <w:r>
        <w:rPr>
          <w:rFonts w:hint="eastAsia" w:ascii="MS UI Gothic" w:eastAsia="MS UI Gothic"/>
          <w:w w:val="80"/>
        </w:rPr>
        <w:t xml:space="preserve">ꎬ </w:t>
      </w:r>
      <w:r>
        <w:t>观测地表和岩层移动与变形</w:t>
      </w:r>
      <w:r>
        <w:rPr>
          <w:rFonts w:hint="eastAsia" w:ascii="MS UI Gothic" w:eastAsia="MS UI Gothic"/>
          <w:w w:val="80"/>
        </w:rPr>
        <w:t xml:space="preserve">ꎬ </w:t>
      </w:r>
      <w:r>
        <w:t>查明垮落带和导水裂缝带的高度</w:t>
      </w:r>
      <w:r>
        <w:rPr>
          <w:rFonts w:hint="eastAsia" w:ascii="MS UI Gothic" w:eastAsia="MS UI Gothic"/>
          <w:w w:val="80"/>
        </w:rPr>
        <w:t xml:space="preserve">ꎬ </w:t>
      </w:r>
      <w:r>
        <w:t>以及水文地质条件变化等情况</w:t>
      </w:r>
      <w:r>
        <w:rPr>
          <w:rFonts w:hint="eastAsia" w:ascii="MS UI Gothic" w:eastAsia="MS UI Gothic"/>
          <w:w w:val="80"/>
        </w:rPr>
        <w:t xml:space="preserve">ꎮ </w:t>
      </w:r>
      <w:r>
        <w:t>取得的实际</w:t>
      </w:r>
      <w:r>
        <w:rPr>
          <w:w w:val="105"/>
        </w:rPr>
        <w:t xml:space="preserve">资料作为本井田建 </w:t>
      </w:r>
      <w:r>
        <w:rPr>
          <w:rFonts w:hint="eastAsia" w:ascii="MS UI Gothic" w:eastAsia="MS UI Gothic"/>
          <w:w w:val="150"/>
        </w:rPr>
        <w:t xml:space="preserve">( </w:t>
      </w:r>
      <w:r>
        <w:rPr>
          <w:w w:val="105"/>
        </w:rPr>
        <w:t>构</w:t>
      </w:r>
      <w:r>
        <w:rPr>
          <w:rFonts w:hint="eastAsia" w:ascii="MS UI Gothic" w:eastAsia="MS UI Gothic"/>
          <w:w w:val="150"/>
        </w:rPr>
        <w:t xml:space="preserve">) </w:t>
      </w:r>
      <w:r>
        <w:rPr>
          <w:w w:val="105"/>
        </w:rPr>
        <w:t>筑物下</w:t>
      </w:r>
      <w:r>
        <w:rPr>
          <w:rFonts w:hint="eastAsia" w:ascii="MS UI Gothic" w:eastAsia="MS UI Gothic"/>
          <w:w w:val="80"/>
        </w:rPr>
        <w:t xml:space="preserve">、 </w:t>
      </w:r>
      <w:r>
        <w:rPr>
          <w:w w:val="105"/>
        </w:rPr>
        <w:t>水体下</w:t>
      </w:r>
      <w:r>
        <w:rPr>
          <w:rFonts w:hint="eastAsia" w:ascii="MS UI Gothic" w:eastAsia="MS UI Gothic"/>
          <w:w w:val="80"/>
        </w:rPr>
        <w:t xml:space="preserve">、 </w:t>
      </w:r>
      <w:r>
        <w:rPr>
          <w:w w:val="105"/>
        </w:rPr>
        <w:t>铁路下的以及主要井巷煤柱开采的依据</w:t>
      </w:r>
      <w:r>
        <w:rPr>
          <w:rFonts w:hint="eastAsia" w:ascii="MS UI Gothic" w:eastAsia="MS UI Gothic"/>
          <w:w w:val="80"/>
        </w:rPr>
        <w:t>ꎮ</w:t>
      </w:r>
    </w:p>
    <w:p>
      <w:pPr>
        <w:pStyle w:val="6"/>
        <w:spacing w:line="295" w:lineRule="auto"/>
        <w:ind w:left="118" w:right="440"/>
        <w:rPr>
          <w:rFonts w:hint="eastAsia" w:ascii="MS UI Gothic" w:eastAsia="MS UI Gothic"/>
        </w:rPr>
      </w:pPr>
      <w:r>
        <w:t xml:space="preserve">第一百二十三条 建 </w:t>
      </w:r>
      <w:r>
        <w:rPr>
          <w:rFonts w:hint="eastAsia" w:ascii="MS UI Gothic" w:eastAsia="MS UI Gothic"/>
          <w:w w:val="150"/>
        </w:rPr>
        <w:t xml:space="preserve">( </w:t>
      </w:r>
      <w:r>
        <w:t>构</w:t>
      </w:r>
      <w:r>
        <w:rPr>
          <w:rFonts w:hint="eastAsia" w:ascii="MS UI Gothic" w:eastAsia="MS UI Gothic"/>
          <w:w w:val="150"/>
        </w:rPr>
        <w:t xml:space="preserve">) </w:t>
      </w:r>
      <w:r>
        <w:t>筑物下</w:t>
      </w:r>
      <w:r>
        <w:rPr>
          <w:rFonts w:hint="eastAsia" w:ascii="MS UI Gothic" w:eastAsia="MS UI Gothic"/>
          <w:w w:val="80"/>
        </w:rPr>
        <w:t>、</w:t>
      </w:r>
      <w:r>
        <w:t>水体下</w:t>
      </w:r>
      <w:r>
        <w:rPr>
          <w:rFonts w:hint="eastAsia" w:ascii="MS UI Gothic" w:eastAsia="MS UI Gothic"/>
          <w:w w:val="80"/>
        </w:rPr>
        <w:t xml:space="preserve">、 </w:t>
      </w:r>
      <w:r>
        <w:t>铁路下</w:t>
      </w:r>
      <w:r>
        <w:rPr>
          <w:rFonts w:hint="eastAsia" w:ascii="MS UI Gothic" w:eastAsia="MS UI Gothic"/>
          <w:w w:val="80"/>
        </w:rPr>
        <w:t xml:space="preserve">ꎬ </w:t>
      </w:r>
      <w:r>
        <w:t>以及主要井巷煤柱开采</w:t>
      </w:r>
      <w:r>
        <w:rPr>
          <w:rFonts w:hint="eastAsia" w:ascii="MS UI Gothic" w:eastAsia="MS UI Gothic"/>
          <w:w w:val="80"/>
        </w:rPr>
        <w:t xml:space="preserve">ꎬ </w:t>
      </w:r>
      <w:r>
        <w:t>必须经过试采</w:t>
      </w:r>
      <w:r>
        <w:rPr>
          <w:rFonts w:hint="eastAsia" w:ascii="MS UI Gothic" w:eastAsia="MS UI Gothic"/>
          <w:w w:val="80"/>
        </w:rPr>
        <w:t xml:space="preserve">ꎮ </w:t>
      </w:r>
      <w:r>
        <w:t>试采前</w:t>
      </w:r>
      <w:r>
        <w:rPr>
          <w:rFonts w:hint="eastAsia" w:ascii="MS UI Gothic" w:eastAsia="MS UI Gothic"/>
          <w:w w:val="80"/>
        </w:rPr>
        <w:t xml:space="preserve">ꎬ </w:t>
      </w:r>
      <w:r>
        <w:t>必须按其重要程度以及可能受到的影响</w:t>
      </w:r>
      <w:r>
        <w:rPr>
          <w:rFonts w:hint="eastAsia" w:ascii="MS UI Gothic" w:eastAsia="MS UI Gothic"/>
          <w:w w:val="80"/>
        </w:rPr>
        <w:t xml:space="preserve">ꎬ </w:t>
      </w:r>
      <w:r>
        <w:t>采取相应技术措施并编制开采设计</w:t>
      </w:r>
      <w:r>
        <w:rPr>
          <w:rFonts w:hint="eastAsia" w:ascii="MS UI Gothic" w:eastAsia="MS UI Gothic"/>
          <w:w w:val="80"/>
        </w:rPr>
        <w:t>ꎮ</w:t>
      </w:r>
    </w:p>
    <w:p>
      <w:pPr>
        <w:pStyle w:val="6"/>
        <w:spacing w:line="252" w:lineRule="exact"/>
        <w:ind w:left="538" w:firstLine="0"/>
      </w:pPr>
      <w:r>
        <w:t>第一百二十四条 试采前</w:t>
      </w:r>
      <w:r>
        <w:rPr>
          <w:rFonts w:hint="eastAsia" w:ascii="MS UI Gothic" w:eastAsia="MS UI Gothic"/>
          <w:w w:val="80"/>
        </w:rPr>
        <w:t xml:space="preserve">ꎬ </w:t>
      </w:r>
      <w:r>
        <w:t>必须完成</w:t>
      </w:r>
    </w:p>
    <w:p>
      <w:pPr>
        <w:spacing w:after="0" w:line="252" w:lineRule="exact"/>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２５７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797" o:spid="_x0000_s1797" o:spt="203" style="height:2.15pt;width:398.25pt;" coordsize="7965,43">
            <o:lock v:ext="edit"/>
            <v:line id="_x0000_s1798" o:spid="_x0000_s1798" o:spt="20" style="position:absolute;left:0;top:39;height:0;width:7965;" stroked="t" coordsize="21600,21600">
              <v:path arrowok="t"/>
              <v:fill focussize="0,0"/>
              <v:stroke weight="0.388031496062992pt" color="#231F20"/>
              <v:imagedata o:title=""/>
              <o:lock v:ext="edit"/>
            </v:line>
            <v:line id="_x0000_s1799" o:spid="_x0000_s179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 xml:space="preserve">建 </w:t>
      </w:r>
      <w:r>
        <w:rPr>
          <w:rFonts w:hint="eastAsia" w:ascii="MS UI Gothic" w:eastAsia="MS UI Gothic"/>
          <w:w w:val="150"/>
        </w:rPr>
        <w:t xml:space="preserve">( </w:t>
      </w:r>
      <w:r>
        <w:t>构</w:t>
      </w:r>
      <w:r>
        <w:rPr>
          <w:rFonts w:hint="eastAsia" w:ascii="MS UI Gothic" w:eastAsia="MS UI Gothic"/>
          <w:w w:val="150"/>
        </w:rPr>
        <w:t xml:space="preserve">) </w:t>
      </w:r>
      <w:r>
        <w:t>筑物</w:t>
      </w:r>
      <w:r>
        <w:rPr>
          <w:rFonts w:hint="eastAsia" w:ascii="MS UI Gothic" w:eastAsia="MS UI Gothic"/>
          <w:w w:val="80"/>
        </w:rPr>
        <w:t xml:space="preserve">、 </w:t>
      </w:r>
      <w:r>
        <w:t>水体</w:t>
      </w:r>
      <w:r>
        <w:rPr>
          <w:rFonts w:hint="eastAsia" w:ascii="MS UI Gothic" w:eastAsia="MS UI Gothic"/>
          <w:w w:val="80"/>
        </w:rPr>
        <w:t xml:space="preserve">、 </w:t>
      </w:r>
      <w:r>
        <w:t>铁路</w:t>
      </w:r>
      <w:r>
        <w:rPr>
          <w:rFonts w:hint="eastAsia" w:ascii="MS UI Gothic" w:eastAsia="MS UI Gothic"/>
          <w:w w:val="80"/>
        </w:rPr>
        <w:t xml:space="preserve">ꎬ </w:t>
      </w:r>
      <w:r>
        <w:t>主要井巷工程及其地质</w:t>
      </w:r>
      <w:r>
        <w:rPr>
          <w:rFonts w:hint="eastAsia" w:ascii="MS UI Gothic" w:eastAsia="MS UI Gothic"/>
          <w:w w:val="80"/>
        </w:rPr>
        <w:t xml:space="preserve">、 </w:t>
      </w:r>
      <w:r>
        <w:t>水文地质调查</w:t>
      </w:r>
      <w:r>
        <w:rPr>
          <w:rFonts w:hint="eastAsia" w:ascii="MS UI Gothic" w:eastAsia="MS UI Gothic"/>
          <w:w w:val="80"/>
        </w:rPr>
        <w:t xml:space="preserve">ꎬ </w:t>
      </w:r>
      <w:r>
        <w:t>观测点设置以及加固和保护等准备工作</w:t>
      </w:r>
      <w:r>
        <w:rPr>
          <w:rFonts w:hint="eastAsia" w:ascii="MS UI Gothic" w:eastAsia="MS UI Gothic"/>
          <w:w w:val="80"/>
        </w:rPr>
        <w:t xml:space="preserve">ꎻ </w:t>
      </w:r>
      <w:r>
        <w:t>试采时</w:t>
      </w:r>
      <w:r>
        <w:rPr>
          <w:rFonts w:hint="eastAsia" w:ascii="MS UI Gothic" w:eastAsia="MS UI Gothic"/>
          <w:w w:val="80"/>
        </w:rPr>
        <w:t>ꎬ</w:t>
      </w:r>
      <w:r>
        <w:t>必须及时观测</w:t>
      </w:r>
      <w:r>
        <w:rPr>
          <w:rFonts w:hint="eastAsia" w:ascii="MS UI Gothic" w:eastAsia="MS UI Gothic"/>
          <w:w w:val="80"/>
        </w:rPr>
        <w:t xml:space="preserve">ꎬ </w:t>
      </w:r>
      <w:r>
        <w:t>对受到开采影响的受护体</w:t>
      </w:r>
      <w:r>
        <w:rPr>
          <w:rFonts w:hint="eastAsia" w:ascii="MS UI Gothic" w:eastAsia="MS UI Gothic"/>
          <w:w w:val="80"/>
        </w:rPr>
        <w:t xml:space="preserve">ꎬ </w:t>
      </w:r>
      <w:r>
        <w:t>必须及时维修</w:t>
      </w:r>
      <w:r>
        <w:rPr>
          <w:rFonts w:hint="eastAsia" w:ascii="MS UI Gothic" w:eastAsia="MS UI Gothic"/>
          <w:w w:val="80"/>
        </w:rPr>
        <w:t xml:space="preserve">ꎮ </w:t>
      </w:r>
      <w:r>
        <w:t>试采结束后</w:t>
      </w:r>
      <w:r>
        <w:rPr>
          <w:rFonts w:hint="eastAsia" w:ascii="MS UI Gothic" w:eastAsia="MS UI Gothic"/>
          <w:w w:val="80"/>
        </w:rPr>
        <w:t xml:space="preserve">ꎬ </w:t>
      </w:r>
      <w:r>
        <w:t>必须由原试采方案设计单位提出试采总结报告</w:t>
      </w:r>
      <w:r>
        <w:rPr>
          <w:rFonts w:hint="eastAsia" w:ascii="MS UI Gothic" w:eastAsia="MS UI Gothic"/>
          <w:w w:val="80"/>
        </w:rPr>
        <w:t>ꎮ</w:t>
      </w:r>
    </w:p>
    <w:p>
      <w:pPr>
        <w:pStyle w:val="6"/>
        <w:tabs>
          <w:tab w:val="left" w:pos="2012"/>
        </w:tabs>
        <w:spacing w:before="152"/>
        <w:ind w:left="1174" w:firstLine="0"/>
        <w:jc w:val="left"/>
      </w:pPr>
      <w:r>
        <w:rPr>
          <w:spacing w:val="3"/>
          <w:w w:val="105"/>
        </w:rPr>
        <w:t>第五</w:t>
      </w:r>
      <w:r>
        <w:rPr>
          <w:w w:val="105"/>
        </w:rPr>
        <w:t>节</w:t>
      </w:r>
      <w:r>
        <w:rPr>
          <w:w w:val="105"/>
        </w:rPr>
        <w:tab/>
      </w:r>
      <w:r>
        <w:rPr>
          <w:spacing w:val="3"/>
          <w:w w:val="105"/>
        </w:rPr>
        <w:t>井巷维修和报</w:t>
      </w:r>
      <w:r>
        <w:rPr>
          <w:w w:val="105"/>
        </w:rPr>
        <w:t>废</w:t>
      </w:r>
    </w:p>
    <w:p>
      <w:pPr>
        <w:pStyle w:val="6"/>
        <w:spacing w:before="11"/>
        <w:ind w:left="0" w:firstLine="0"/>
        <w:jc w:val="left"/>
        <w:rPr>
          <w:sz w:val="16"/>
        </w:rPr>
      </w:pPr>
    </w:p>
    <w:p>
      <w:pPr>
        <w:pStyle w:val="6"/>
        <w:spacing w:line="295" w:lineRule="auto"/>
        <w:ind w:left="440" w:right="1"/>
        <w:rPr>
          <w:rFonts w:hint="eastAsia" w:ascii="MS UI Gothic" w:eastAsia="MS UI Gothic"/>
        </w:rPr>
      </w:pPr>
      <w:r>
        <w:t>第一百二十五条 矿井必须制定井巷维修制度</w:t>
      </w:r>
      <w:r>
        <w:rPr>
          <w:rFonts w:hint="eastAsia" w:ascii="MS UI Gothic" w:eastAsia="MS UI Gothic"/>
          <w:w w:val="80"/>
        </w:rPr>
        <w:t xml:space="preserve">ꎬ </w:t>
      </w:r>
      <w:r>
        <w:t>加强井巷维修</w:t>
      </w:r>
      <w:r>
        <w:rPr>
          <w:rFonts w:hint="eastAsia" w:ascii="MS UI Gothic" w:eastAsia="MS UI Gothic"/>
          <w:w w:val="80"/>
        </w:rPr>
        <w:t xml:space="preserve">ꎬ </w:t>
      </w:r>
      <w:r>
        <w:t>保证通风</w:t>
      </w:r>
      <w:r>
        <w:rPr>
          <w:rFonts w:hint="eastAsia" w:ascii="MS UI Gothic" w:eastAsia="MS UI Gothic"/>
          <w:w w:val="80"/>
        </w:rPr>
        <w:t xml:space="preserve">、 </w:t>
      </w:r>
      <w:r>
        <w:t>运输畅通和行人安全</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第一百二十六条 井筒大修时必须编制施工组织设计</w:t>
      </w:r>
      <w:r>
        <w:rPr>
          <w:rFonts w:hint="eastAsia" w:ascii="MS UI Gothic" w:eastAsia="MS UI Gothic"/>
          <w:w w:val="80"/>
        </w:rPr>
        <w:t>ꎮ</w:t>
      </w:r>
    </w:p>
    <w:p>
      <w:pPr>
        <w:pStyle w:val="6"/>
        <w:spacing w:line="295" w:lineRule="auto"/>
        <w:ind w:left="440"/>
        <w:rPr>
          <w:rFonts w:hint="eastAsia" w:ascii="MS UI Gothic" w:eastAsia="MS UI Gothic"/>
        </w:rPr>
      </w:pPr>
      <w:r>
        <w:t>维修井巷支护时</w:t>
      </w:r>
      <w:r>
        <w:rPr>
          <w:rFonts w:hint="eastAsia" w:ascii="MS UI Gothic" w:eastAsia="MS UI Gothic"/>
          <w:w w:val="80"/>
        </w:rPr>
        <w:t xml:space="preserve">ꎬ </w:t>
      </w:r>
      <w:r>
        <w:t>必须有安全措施</w:t>
      </w:r>
      <w:r>
        <w:rPr>
          <w:rFonts w:hint="eastAsia" w:ascii="MS UI Gothic" w:eastAsia="MS UI Gothic"/>
          <w:w w:val="80"/>
        </w:rPr>
        <w:t>ꎮ</w:t>
      </w:r>
      <w:r>
        <w:t>严防顶板冒落伤人</w:t>
      </w:r>
      <w:r>
        <w:rPr>
          <w:rFonts w:hint="eastAsia" w:ascii="MS UI Gothic" w:eastAsia="MS UI Gothic"/>
        </w:rPr>
        <w:t xml:space="preserve">、 </w:t>
      </w:r>
      <w:r>
        <w:t>堵人和支架歪倒</w:t>
      </w:r>
      <w:r>
        <w:rPr>
          <w:rFonts w:hint="eastAsia" w:ascii="MS UI Gothic" w:eastAsia="MS UI Gothic"/>
          <w:w w:val="80"/>
        </w:rPr>
        <w:t>ꎮ</w:t>
      </w:r>
    </w:p>
    <w:p>
      <w:pPr>
        <w:pStyle w:val="6"/>
        <w:spacing w:line="295" w:lineRule="auto"/>
        <w:ind w:left="440" w:right="1"/>
        <w:rPr>
          <w:rFonts w:hint="eastAsia" w:ascii="MS UI Gothic" w:eastAsia="MS UI Gothic"/>
        </w:rPr>
      </w:pPr>
      <w:r>
        <w:t>扩大和维修井巷时</w:t>
      </w:r>
      <w:r>
        <w:rPr>
          <w:rFonts w:hint="eastAsia" w:ascii="MS UI Gothic" w:eastAsia="MS UI Gothic"/>
          <w:w w:val="80"/>
        </w:rPr>
        <w:t xml:space="preserve">ꎬ </w:t>
      </w:r>
      <w:r>
        <w:t>必须有冒顶堵塞井巷时保证人员撤退的出口</w:t>
      </w:r>
      <w:r>
        <w:rPr>
          <w:rFonts w:hint="eastAsia" w:ascii="MS UI Gothic" w:eastAsia="MS UI Gothic"/>
          <w:w w:val="80"/>
        </w:rPr>
        <w:t xml:space="preserve">ꎮ </w:t>
      </w:r>
      <w:r>
        <w:t>在独头巷道维修支架时</w:t>
      </w:r>
      <w:r>
        <w:rPr>
          <w:rFonts w:hint="eastAsia" w:ascii="MS UI Gothic" w:eastAsia="MS UI Gothic"/>
          <w:w w:val="80"/>
        </w:rPr>
        <w:t xml:space="preserve">ꎬ </w:t>
      </w:r>
      <w:r>
        <w:t>必须保证通风安全并由外向里逐架进行</w:t>
      </w:r>
      <w:r>
        <w:rPr>
          <w:rFonts w:hint="eastAsia" w:ascii="MS UI Gothic" w:eastAsia="MS UI Gothic"/>
          <w:w w:val="80"/>
        </w:rPr>
        <w:t xml:space="preserve">ꎬ </w:t>
      </w:r>
      <w:r>
        <w:t>严禁人员进入维修地点以里</w:t>
      </w:r>
      <w:r>
        <w:rPr>
          <w:rFonts w:hint="eastAsia" w:ascii="MS UI Gothic" w:eastAsia="MS UI Gothic"/>
          <w:w w:val="80"/>
        </w:rPr>
        <w:t>ꎮ</w:t>
      </w:r>
    </w:p>
    <w:p>
      <w:pPr>
        <w:pStyle w:val="6"/>
        <w:spacing w:line="295" w:lineRule="auto"/>
        <w:ind w:left="440" w:right="1"/>
        <w:rPr>
          <w:rFonts w:hint="eastAsia" w:ascii="MS UI Gothic" w:eastAsia="MS UI Gothic"/>
        </w:rPr>
      </w:pPr>
      <w:r>
        <w:t>撤掉支架前</w:t>
      </w:r>
      <w:r>
        <w:rPr>
          <w:rFonts w:hint="eastAsia" w:ascii="MS UI Gothic" w:eastAsia="MS UI Gothic"/>
          <w:w w:val="80"/>
        </w:rPr>
        <w:t xml:space="preserve">ꎬ </w:t>
      </w:r>
      <w:r>
        <w:t>应当先加固作业地点的支架</w:t>
      </w:r>
      <w:r>
        <w:rPr>
          <w:rFonts w:hint="eastAsia" w:ascii="MS UI Gothic" w:eastAsia="MS UI Gothic"/>
          <w:w w:val="80"/>
        </w:rPr>
        <w:t xml:space="preserve">ꎮ </w:t>
      </w:r>
      <w:r>
        <w:t>架设和拆除支架时</w:t>
      </w:r>
      <w:r>
        <w:rPr>
          <w:rFonts w:hint="eastAsia" w:ascii="MS UI Gothic" w:eastAsia="MS UI Gothic"/>
          <w:w w:val="80"/>
        </w:rPr>
        <w:t xml:space="preserve">ꎬ </w:t>
      </w:r>
      <w:r>
        <w:t>在一架未完工之前</w:t>
      </w:r>
      <w:r>
        <w:rPr>
          <w:rFonts w:hint="eastAsia" w:ascii="MS UI Gothic" w:eastAsia="MS UI Gothic"/>
          <w:w w:val="80"/>
        </w:rPr>
        <w:t xml:space="preserve">ꎬ </w:t>
      </w:r>
      <w:r>
        <w:t>不得中止作业</w:t>
      </w:r>
      <w:r>
        <w:rPr>
          <w:rFonts w:hint="eastAsia" w:ascii="MS UI Gothic" w:eastAsia="MS UI Gothic"/>
          <w:w w:val="80"/>
        </w:rPr>
        <w:t xml:space="preserve">ꎮ </w:t>
      </w:r>
      <w:r>
        <w:t>撤换支架的工作应当连续进行</w:t>
      </w:r>
      <w:r>
        <w:rPr>
          <w:rFonts w:hint="eastAsia" w:ascii="MS UI Gothic" w:eastAsia="MS UI Gothic"/>
          <w:w w:val="80"/>
        </w:rPr>
        <w:t xml:space="preserve">ꎻ </w:t>
      </w:r>
      <w:r>
        <w:t>不连续施工时</w:t>
      </w:r>
      <w:r>
        <w:rPr>
          <w:rFonts w:hint="eastAsia" w:ascii="MS UI Gothic" w:eastAsia="MS UI Gothic"/>
          <w:w w:val="80"/>
        </w:rPr>
        <w:t xml:space="preserve">ꎬ </w:t>
      </w:r>
      <w:r>
        <w:t>每次工作结束前</w:t>
      </w:r>
      <w:r>
        <w:rPr>
          <w:rFonts w:hint="eastAsia" w:ascii="MS UI Gothic" w:eastAsia="MS UI Gothic"/>
          <w:w w:val="80"/>
        </w:rPr>
        <w:t xml:space="preserve">ꎬ </w:t>
      </w:r>
      <w:r>
        <w:t>必须接顶封帮</w:t>
      </w:r>
      <w:r>
        <w:rPr>
          <w:rFonts w:hint="eastAsia" w:ascii="MS UI Gothic" w:eastAsia="MS UI Gothic"/>
          <w:w w:val="80"/>
        </w:rPr>
        <w:t>ꎮ</w:t>
      </w:r>
    </w:p>
    <w:p>
      <w:pPr>
        <w:pStyle w:val="6"/>
        <w:spacing w:line="295" w:lineRule="auto"/>
        <w:ind w:left="440" w:right="1"/>
        <w:rPr>
          <w:rFonts w:hint="eastAsia" w:ascii="MS UI Gothic" w:eastAsia="MS UI Gothic"/>
        </w:rPr>
      </w:pPr>
      <w:r>
        <w:t>维修锚网井巷时</w:t>
      </w:r>
      <w:r>
        <w:rPr>
          <w:rFonts w:hint="eastAsia" w:ascii="MS UI Gothic" w:eastAsia="MS UI Gothic"/>
          <w:w w:val="80"/>
        </w:rPr>
        <w:t xml:space="preserve">ꎬ </w:t>
      </w:r>
      <w:r>
        <w:t>施工地点必须有临时支护和防止失修范围扩大的措施</w:t>
      </w:r>
      <w:r>
        <w:rPr>
          <w:rFonts w:hint="eastAsia" w:ascii="MS UI Gothic" w:eastAsia="MS UI Gothic"/>
          <w:w w:val="80"/>
        </w:rPr>
        <w:t>ꎮ</w:t>
      </w:r>
    </w:p>
    <w:p>
      <w:pPr>
        <w:pStyle w:val="6"/>
        <w:spacing w:line="295" w:lineRule="auto"/>
        <w:ind w:left="440"/>
        <w:rPr>
          <w:rFonts w:hint="eastAsia" w:ascii="MS UI Gothic" w:eastAsia="MS UI Gothic"/>
        </w:rPr>
      </w:pPr>
      <w:r>
        <w:rPr>
          <w:spacing w:val="3"/>
        </w:rPr>
        <w:t>维修倾斜井巷时</w:t>
      </w:r>
      <w:r>
        <w:rPr>
          <w:rFonts w:hint="eastAsia" w:ascii="MS UI Gothic" w:eastAsia="MS UI Gothic"/>
          <w:spacing w:val="20"/>
          <w:w w:val="80"/>
        </w:rPr>
        <w:t xml:space="preserve">ꎬ </w:t>
      </w:r>
      <w:r>
        <w:rPr>
          <w:spacing w:val="3"/>
        </w:rPr>
        <w:t>应当停止行车</w:t>
      </w:r>
      <w:r>
        <w:rPr>
          <w:rFonts w:hint="eastAsia" w:ascii="MS UI Gothic" w:eastAsia="MS UI Gothic"/>
          <w:spacing w:val="20"/>
          <w:w w:val="80"/>
        </w:rPr>
        <w:t xml:space="preserve">ꎻ </w:t>
      </w:r>
      <w:r>
        <w:t>需</w:t>
      </w:r>
      <w:r>
        <w:rPr>
          <w:spacing w:val="3"/>
        </w:rPr>
        <w:t>要通车作业时</w:t>
      </w:r>
      <w:r>
        <w:rPr>
          <w:rFonts w:hint="eastAsia" w:ascii="MS UI Gothic" w:eastAsia="MS UI Gothic"/>
          <w:spacing w:val="21"/>
          <w:w w:val="80"/>
        </w:rPr>
        <w:t xml:space="preserve">ꎬ </w:t>
      </w:r>
      <w:r>
        <w:rPr>
          <w:spacing w:val="12"/>
        </w:rPr>
        <w:t>必须制定行车安全措施</w:t>
      </w:r>
      <w:r>
        <w:rPr>
          <w:rFonts w:hint="eastAsia" w:ascii="MS UI Gothic" w:eastAsia="MS UI Gothic"/>
          <w:w w:val="80"/>
        </w:rPr>
        <w:t>ꎮ</w:t>
      </w:r>
      <w:r>
        <w:rPr>
          <w:spacing w:val="3"/>
        </w:rPr>
        <w:t>严禁上</w:t>
      </w:r>
      <w:r>
        <w:rPr>
          <w:rFonts w:hint="eastAsia" w:ascii="MS UI Gothic" w:eastAsia="MS UI Gothic"/>
          <w:spacing w:val="21"/>
        </w:rPr>
        <w:t xml:space="preserve">、 </w:t>
      </w:r>
      <w:r>
        <w:rPr>
          <w:spacing w:val="3"/>
        </w:rPr>
        <w:t>下段同时作业</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14"/>
        </w:rPr>
        <w:t>更换巷道支护时</w:t>
      </w:r>
      <w:r>
        <w:rPr>
          <w:rFonts w:hint="eastAsia" w:ascii="MS UI Gothic" w:eastAsia="MS UI Gothic"/>
          <w:spacing w:val="20"/>
          <w:w w:val="80"/>
        </w:rPr>
        <w:t xml:space="preserve">ꎬ </w:t>
      </w:r>
      <w:r>
        <w:rPr>
          <w:spacing w:val="16"/>
        </w:rPr>
        <w:t>在拆除原有支护</w:t>
      </w:r>
      <w:r>
        <w:rPr>
          <w:spacing w:val="3"/>
        </w:rPr>
        <w:t>前</w:t>
      </w:r>
      <w:r>
        <w:rPr>
          <w:rFonts w:hint="eastAsia" w:ascii="MS UI Gothic" w:eastAsia="MS UI Gothic"/>
          <w:spacing w:val="23"/>
          <w:w w:val="80"/>
        </w:rPr>
        <w:t xml:space="preserve">ꎬ </w:t>
      </w:r>
      <w:r>
        <w:rPr>
          <w:spacing w:val="3"/>
        </w:rPr>
        <w:t>应当先加固邻近支护</w:t>
      </w:r>
      <w:r>
        <w:rPr>
          <w:rFonts w:hint="eastAsia" w:ascii="MS UI Gothic" w:eastAsia="MS UI Gothic"/>
          <w:spacing w:val="23"/>
          <w:w w:val="80"/>
        </w:rPr>
        <w:t xml:space="preserve">ꎬ </w:t>
      </w:r>
      <w:r>
        <w:rPr>
          <w:spacing w:val="2"/>
        </w:rPr>
        <w:t>拆除原有支护</w:t>
      </w:r>
      <w:r>
        <w:rPr>
          <w:spacing w:val="3"/>
        </w:rPr>
        <w:t>后</w:t>
      </w:r>
      <w:r>
        <w:rPr>
          <w:rFonts w:hint="eastAsia" w:ascii="MS UI Gothic" w:eastAsia="MS UI Gothic"/>
          <w:spacing w:val="21"/>
          <w:w w:val="80"/>
        </w:rPr>
        <w:t xml:space="preserve">ꎬ </w:t>
      </w:r>
      <w:r>
        <w:rPr>
          <w:spacing w:val="2"/>
        </w:rPr>
        <w:t>必须及时除掉顶帮活矸和架设永久支</w:t>
      </w:r>
      <w:r>
        <w:rPr>
          <w:spacing w:val="3"/>
        </w:rPr>
        <w:t>护</w:t>
      </w:r>
      <w:r>
        <w:rPr>
          <w:rFonts w:hint="eastAsia" w:ascii="MS UI Gothic" w:eastAsia="MS UI Gothic"/>
          <w:spacing w:val="23"/>
          <w:w w:val="80"/>
        </w:rPr>
        <w:t xml:space="preserve">ꎬ </w:t>
      </w:r>
      <w:r>
        <w:rPr>
          <w:spacing w:val="3"/>
        </w:rPr>
        <w:t>必要时还应当采取临时支护措施</w:t>
      </w:r>
      <w:r>
        <w:rPr>
          <w:rFonts w:hint="eastAsia" w:ascii="MS UI Gothic" w:eastAsia="MS UI Gothic"/>
          <w:spacing w:val="23"/>
          <w:w w:val="80"/>
        </w:rPr>
        <w:t xml:space="preserve">ꎮ </w:t>
      </w:r>
      <w:r>
        <w:t>在</w:t>
      </w:r>
      <w:r>
        <w:rPr>
          <w:spacing w:val="3"/>
        </w:rPr>
        <w:t>倾斜巷道中</w:t>
      </w:r>
      <w:r>
        <w:rPr>
          <w:rFonts w:hint="eastAsia" w:ascii="MS UI Gothic" w:eastAsia="MS UI Gothic"/>
          <w:spacing w:val="11"/>
          <w:w w:val="80"/>
        </w:rPr>
        <w:t xml:space="preserve">ꎬ </w:t>
      </w:r>
      <w:r>
        <w:rPr>
          <w:spacing w:val="3"/>
        </w:rPr>
        <w:t>必须有防止矸石</w:t>
      </w:r>
      <w:r>
        <w:rPr>
          <w:rFonts w:hint="eastAsia" w:ascii="MS UI Gothic" w:eastAsia="MS UI Gothic"/>
          <w:spacing w:val="11"/>
          <w:w w:val="80"/>
        </w:rPr>
        <w:t xml:space="preserve">、 </w:t>
      </w:r>
      <w:r>
        <w:rPr>
          <w:spacing w:val="2"/>
        </w:rPr>
        <w:t>物料滚落</w:t>
      </w:r>
      <w:r>
        <w:rPr>
          <w:spacing w:val="3"/>
        </w:rPr>
        <w:t>和支架歪倒的安全措施</w:t>
      </w:r>
      <w:r>
        <w:rPr>
          <w:rFonts w:hint="eastAsia" w:ascii="MS UI Gothic" w:eastAsia="MS UI Gothic"/>
          <w:w w:val="80"/>
        </w:rPr>
        <w:t>ꎮ</w:t>
      </w:r>
    </w:p>
    <w:p>
      <w:pPr>
        <w:pStyle w:val="6"/>
        <w:spacing w:line="295" w:lineRule="auto"/>
        <w:ind w:left="440" w:right="1"/>
      </w:pPr>
      <w:r>
        <w:t>第一百二十七条 修复旧井巷时</w:t>
      </w:r>
      <w:r>
        <w:rPr>
          <w:rFonts w:hint="eastAsia" w:ascii="MS UI Gothic" w:eastAsia="MS UI Gothic"/>
          <w:w w:val="80"/>
        </w:rPr>
        <w:t xml:space="preserve">ꎬ </w:t>
      </w:r>
      <w:r>
        <w:t>必须首先检查瓦斯</w:t>
      </w:r>
      <w:r>
        <w:rPr>
          <w:rFonts w:hint="eastAsia" w:ascii="MS UI Gothic" w:eastAsia="MS UI Gothic"/>
          <w:w w:val="80"/>
        </w:rPr>
        <w:t xml:space="preserve">、 </w:t>
      </w:r>
      <w:r>
        <w:t>当瓦斯积聚时</w:t>
      </w:r>
      <w:r>
        <w:rPr>
          <w:rFonts w:hint="eastAsia" w:ascii="MS UI Gothic" w:eastAsia="MS UI Gothic"/>
          <w:w w:val="80"/>
        </w:rPr>
        <w:t xml:space="preserve">ꎬ </w:t>
      </w:r>
      <w:r>
        <w:t>必须按规定排放</w:t>
      </w:r>
      <w:r>
        <w:rPr>
          <w:rFonts w:hint="eastAsia" w:ascii="MS UI Gothic" w:eastAsia="MS UI Gothic"/>
          <w:w w:val="80"/>
        </w:rPr>
        <w:t xml:space="preserve">ꎬ </w:t>
      </w:r>
      <w:r>
        <w:t>只有在回风流中甲烷浓度不超</w:t>
      </w:r>
    </w:p>
    <w:p>
      <w:pPr>
        <w:pStyle w:val="6"/>
        <w:spacing w:before="124" w:line="295" w:lineRule="auto"/>
        <w:ind w:left="381" w:right="124" w:firstLine="0"/>
        <w:rPr>
          <w:rFonts w:hint="eastAsia" w:ascii="MS UI Gothic" w:eastAsia="MS UI Gothic"/>
        </w:rPr>
      </w:pPr>
      <w:r>
        <w:br w:type="column"/>
      </w:r>
      <w:r>
        <w:t xml:space="preserve">过 </w:t>
      </w:r>
      <w:r>
        <w:rPr>
          <w:rFonts w:hint="eastAsia" w:ascii="MS UI Gothic" w:eastAsia="MS UI Gothic"/>
          <w:w w:val="85"/>
        </w:rPr>
        <w:t>１ ０</w:t>
      </w:r>
      <w:r>
        <w:rPr>
          <w:w w:val="85"/>
        </w:rPr>
        <w:t xml:space="preserve">％ </w:t>
      </w:r>
      <w:r>
        <w:rPr>
          <w:rFonts w:hint="eastAsia" w:ascii="MS UI Gothic" w:eastAsia="MS UI Gothic"/>
          <w:w w:val="85"/>
        </w:rPr>
        <w:t xml:space="preserve">、 </w:t>
      </w:r>
      <w:r>
        <w:t xml:space="preserve">二氧化碳浓度不超过 </w:t>
      </w:r>
      <w:r>
        <w:rPr>
          <w:rFonts w:hint="eastAsia" w:ascii="MS UI Gothic" w:eastAsia="MS UI Gothic"/>
          <w:w w:val="85"/>
        </w:rPr>
        <w:t>１ ５</w:t>
      </w:r>
      <w:r>
        <w:rPr>
          <w:w w:val="85"/>
        </w:rPr>
        <w:t xml:space="preserve">％ </w:t>
      </w:r>
      <w:r>
        <w:rPr>
          <w:rFonts w:hint="eastAsia" w:ascii="MS UI Gothic" w:eastAsia="MS UI Gothic"/>
          <w:w w:val="85"/>
        </w:rPr>
        <w:t>、</w:t>
      </w:r>
      <w:r>
        <w:t>空气成分符合本规程第一百三十五条的要求时</w:t>
      </w:r>
      <w:r>
        <w:rPr>
          <w:rFonts w:hint="eastAsia" w:ascii="MS UI Gothic" w:eastAsia="MS UI Gothic"/>
          <w:w w:val="85"/>
        </w:rPr>
        <w:t xml:space="preserve">ꎬ </w:t>
      </w:r>
      <w:r>
        <w:t>才能作业</w:t>
      </w:r>
      <w:r>
        <w:rPr>
          <w:rFonts w:hint="eastAsia" w:ascii="MS UI Gothic" w:eastAsia="MS UI Gothic"/>
          <w:w w:val="85"/>
        </w:rPr>
        <w:t>ꎮ</w:t>
      </w:r>
    </w:p>
    <w:p>
      <w:pPr>
        <w:pStyle w:val="6"/>
        <w:spacing w:line="295" w:lineRule="auto"/>
        <w:ind w:left="381" w:right="126"/>
        <w:rPr>
          <w:rFonts w:hint="eastAsia" w:ascii="MS UI Gothic" w:eastAsia="MS UI Gothic"/>
        </w:rPr>
      </w:pPr>
      <w:r>
        <w:t>第一百二十八条 从报废的井巷内回收支架和装备时</w:t>
      </w:r>
      <w:r>
        <w:rPr>
          <w:rFonts w:hint="eastAsia" w:ascii="MS UI Gothic" w:eastAsia="MS UI Gothic"/>
          <w:w w:val="80"/>
        </w:rPr>
        <w:t xml:space="preserve">ꎬ </w:t>
      </w:r>
      <w:r>
        <w:t>必须制定安全措施</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第一百二十九条 报废的巷道必须封</w:t>
      </w:r>
      <w:r>
        <w:rPr>
          <w:spacing w:val="3"/>
        </w:rPr>
        <w:t>闭</w:t>
      </w:r>
      <w:r>
        <w:rPr>
          <w:rFonts w:hint="eastAsia" w:ascii="MS UI Gothic" w:eastAsia="MS UI Gothic"/>
          <w:spacing w:val="20"/>
          <w:w w:val="80"/>
        </w:rPr>
        <w:t xml:space="preserve">ꎬ </w:t>
      </w:r>
      <w:r>
        <w:rPr>
          <w:spacing w:val="2"/>
        </w:rPr>
        <w:t>报废的暗井和倾斜巷道下口的密闭墙</w:t>
      </w:r>
      <w:r>
        <w:rPr>
          <w:spacing w:val="3"/>
          <w:w w:val="105"/>
        </w:rPr>
        <w:t>必须留泄水孔</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第一百三十条 报废的井巷必须做好</w:t>
      </w:r>
      <w:r>
        <w:rPr>
          <w:spacing w:val="3"/>
        </w:rPr>
        <w:t>隐蔽工程记录</w:t>
      </w:r>
      <w:r>
        <w:rPr>
          <w:rFonts w:hint="eastAsia" w:ascii="MS UI Gothic" w:eastAsia="MS UI Gothic"/>
          <w:spacing w:val="11"/>
          <w:w w:val="80"/>
        </w:rPr>
        <w:t xml:space="preserve">ꎬ </w:t>
      </w:r>
      <w:r>
        <w:rPr>
          <w:spacing w:val="3"/>
        </w:rPr>
        <w:t>并在井上</w:t>
      </w:r>
      <w:r>
        <w:rPr>
          <w:rFonts w:hint="eastAsia" w:ascii="MS UI Gothic" w:eastAsia="MS UI Gothic"/>
          <w:spacing w:val="11"/>
          <w:w w:val="80"/>
        </w:rPr>
        <w:t xml:space="preserve">、 </w:t>
      </w:r>
      <w:r>
        <w:rPr>
          <w:spacing w:val="2"/>
        </w:rPr>
        <w:t>下对照图上标</w:t>
      </w:r>
      <w:r>
        <w:rPr>
          <w:spacing w:val="3"/>
        </w:rPr>
        <w:t>明</w:t>
      </w:r>
      <w:r>
        <w:rPr>
          <w:rFonts w:hint="eastAsia" w:ascii="MS UI Gothic" w:eastAsia="MS UI Gothic"/>
          <w:spacing w:val="2"/>
          <w:w w:val="80"/>
        </w:rPr>
        <w:t xml:space="preserve">ꎬ </w:t>
      </w:r>
      <w:r>
        <w:rPr>
          <w:spacing w:val="3"/>
        </w:rPr>
        <w:t>归档备查</w:t>
      </w:r>
      <w:r>
        <w:rPr>
          <w:rFonts w:hint="eastAsia" w:ascii="MS UI Gothic" w:eastAsia="MS UI Gothic"/>
          <w:w w:val="80"/>
        </w:rPr>
        <w:t>ꎮ</w:t>
      </w:r>
    </w:p>
    <w:p>
      <w:pPr>
        <w:pStyle w:val="6"/>
        <w:spacing w:line="295" w:lineRule="auto"/>
        <w:ind w:left="381" w:right="126"/>
        <w:rPr>
          <w:rFonts w:hint="eastAsia" w:ascii="MS UI Gothic" w:eastAsia="MS UI Gothic"/>
        </w:rPr>
      </w:pPr>
      <w:r>
        <w:t>第一百三十一条 报废的立井应当填实</w:t>
      </w:r>
      <w:r>
        <w:rPr>
          <w:rFonts w:hint="eastAsia" w:ascii="MS UI Gothic" w:eastAsia="MS UI Gothic"/>
          <w:w w:val="80"/>
        </w:rPr>
        <w:t xml:space="preserve">ꎬ </w:t>
      </w:r>
      <w:r>
        <w:t>或者在井口浇注个大于井筒断面的坚实的钢筋混凝土盖板</w:t>
      </w:r>
      <w:r>
        <w:rPr>
          <w:rFonts w:hint="eastAsia" w:ascii="MS UI Gothic" w:eastAsia="MS UI Gothic"/>
          <w:w w:val="80"/>
        </w:rPr>
        <w:t xml:space="preserve">ꎬ </w:t>
      </w:r>
      <w:r>
        <w:t>并设置栅栏和标志</w:t>
      </w:r>
      <w:r>
        <w:rPr>
          <w:rFonts w:hint="eastAsia" w:ascii="MS UI Gothic" w:eastAsia="MS UI Gothic"/>
          <w:w w:val="80"/>
        </w:rPr>
        <w:t>ꎮ</w:t>
      </w:r>
    </w:p>
    <w:p>
      <w:pPr>
        <w:pStyle w:val="6"/>
        <w:spacing w:line="295" w:lineRule="auto"/>
        <w:ind w:left="381" w:right="124"/>
        <w:rPr>
          <w:rFonts w:hint="eastAsia" w:ascii="MS UI Gothic" w:eastAsia="MS UI Gothic"/>
        </w:rPr>
      </w:pPr>
      <w:r>
        <w:t xml:space="preserve">报废的斜井 </w:t>
      </w:r>
      <w:r>
        <w:rPr>
          <w:rFonts w:hint="eastAsia" w:ascii="MS UI Gothic" w:eastAsia="MS UI Gothic"/>
          <w:w w:val="145"/>
        </w:rPr>
        <w:t xml:space="preserve">( </w:t>
      </w:r>
      <w:r>
        <w:t>平硐</w:t>
      </w:r>
      <w:r>
        <w:rPr>
          <w:rFonts w:hint="eastAsia" w:ascii="MS UI Gothic" w:eastAsia="MS UI Gothic"/>
          <w:w w:val="145"/>
        </w:rPr>
        <w:t xml:space="preserve">) </w:t>
      </w:r>
      <w:r>
        <w:t>应当填实</w:t>
      </w:r>
      <w:r>
        <w:rPr>
          <w:rFonts w:hint="eastAsia" w:ascii="MS UI Gothic" w:eastAsia="MS UI Gothic"/>
          <w:w w:val="80"/>
        </w:rPr>
        <w:t xml:space="preserve">ꎬ </w:t>
      </w:r>
      <w:r>
        <w:t xml:space="preserve">或者在井口以下斜长 </w:t>
      </w:r>
      <w:r>
        <w:rPr>
          <w:rFonts w:hint="eastAsia" w:ascii="MS UI Gothic" w:eastAsia="MS UI Gothic"/>
          <w:w w:val="80"/>
        </w:rPr>
        <w:t xml:space="preserve">２０ ｍ </w:t>
      </w:r>
      <w:r>
        <w:t xml:space="preserve">处砌筑 </w:t>
      </w:r>
      <w:r>
        <w:rPr>
          <w:rFonts w:hint="eastAsia" w:ascii="MS UI Gothic" w:eastAsia="MS UI Gothic"/>
          <w:w w:val="80"/>
        </w:rPr>
        <w:t xml:space="preserve">１ </w:t>
      </w:r>
      <w:r>
        <w:t>座砖</w:t>
      </w:r>
      <w:r>
        <w:rPr>
          <w:rFonts w:hint="eastAsia" w:ascii="MS UI Gothic" w:eastAsia="MS UI Gothic"/>
          <w:w w:val="80"/>
        </w:rPr>
        <w:t>、</w:t>
      </w:r>
      <w:r>
        <w:t>石或者混凝土墙</w:t>
      </w:r>
      <w:r>
        <w:rPr>
          <w:rFonts w:hint="eastAsia" w:ascii="MS UI Gothic" w:eastAsia="MS UI Gothic"/>
          <w:w w:val="80"/>
        </w:rPr>
        <w:t xml:space="preserve">ꎬ </w:t>
      </w:r>
      <w:r>
        <w:t>再用泥土填至井口</w:t>
      </w:r>
      <w:r>
        <w:rPr>
          <w:rFonts w:hint="eastAsia" w:ascii="MS UI Gothic" w:eastAsia="MS UI Gothic"/>
          <w:w w:val="80"/>
        </w:rPr>
        <w:t xml:space="preserve">ꎬ </w:t>
      </w:r>
      <w:r>
        <w:t>并加砌封墙</w:t>
      </w:r>
      <w:r>
        <w:rPr>
          <w:rFonts w:hint="eastAsia" w:ascii="MS UI Gothic" w:eastAsia="MS UI Gothic"/>
          <w:w w:val="80"/>
        </w:rPr>
        <w:t>ꎮ</w:t>
      </w:r>
    </w:p>
    <w:p>
      <w:pPr>
        <w:pStyle w:val="6"/>
        <w:spacing w:line="295" w:lineRule="auto"/>
        <w:ind w:left="381" w:right="126"/>
        <w:rPr>
          <w:rFonts w:hint="eastAsia" w:ascii="MS UI Gothic" w:eastAsia="MS UI Gothic"/>
        </w:rPr>
      </w:pPr>
      <w:r>
        <w:t>报废井口的周围有地表水影响时</w:t>
      </w:r>
      <w:r>
        <w:rPr>
          <w:rFonts w:hint="eastAsia" w:ascii="MS UI Gothic" w:eastAsia="MS UI Gothic"/>
          <w:w w:val="80"/>
        </w:rPr>
        <w:t xml:space="preserve">ꎬ </w:t>
      </w:r>
      <w:r>
        <w:t>必须设置排水沟</w:t>
      </w:r>
      <w:r>
        <w:rPr>
          <w:rFonts w:hint="eastAsia" w:ascii="MS UI Gothic" w:eastAsia="MS UI Gothic"/>
          <w:w w:val="80"/>
        </w:rPr>
        <w:t>ꎮ</w:t>
      </w:r>
    </w:p>
    <w:p>
      <w:pPr>
        <w:pStyle w:val="6"/>
        <w:tabs>
          <w:tab w:val="left" w:pos="2162"/>
        </w:tabs>
        <w:spacing w:before="140"/>
        <w:ind w:left="1324" w:firstLine="0"/>
        <w:jc w:val="left"/>
      </w:pPr>
      <w:r>
        <w:rPr>
          <w:spacing w:val="3"/>
          <w:w w:val="105"/>
        </w:rPr>
        <w:t>第六</w:t>
      </w:r>
      <w:r>
        <w:rPr>
          <w:w w:val="105"/>
        </w:rPr>
        <w:t>节</w:t>
      </w:r>
      <w:r>
        <w:rPr>
          <w:w w:val="105"/>
        </w:rPr>
        <w:tab/>
      </w:r>
      <w:r>
        <w:rPr>
          <w:w w:val="105"/>
        </w:rPr>
        <w:t>防</w:t>
      </w:r>
      <w:r>
        <w:rPr>
          <w:spacing w:val="-33"/>
          <w:w w:val="105"/>
        </w:rPr>
        <w:t xml:space="preserve"> </w:t>
      </w:r>
      <w:r>
        <w:rPr>
          <w:w w:val="105"/>
        </w:rPr>
        <w:t>止</w:t>
      </w:r>
      <w:r>
        <w:rPr>
          <w:spacing w:val="-33"/>
          <w:w w:val="105"/>
        </w:rPr>
        <w:t xml:space="preserve"> </w:t>
      </w:r>
      <w:r>
        <w:rPr>
          <w:w w:val="105"/>
        </w:rPr>
        <w:t>坠</w:t>
      </w:r>
      <w:r>
        <w:rPr>
          <w:spacing w:val="-33"/>
          <w:w w:val="105"/>
        </w:rPr>
        <w:t xml:space="preserve"> </w:t>
      </w:r>
      <w:r>
        <w:rPr>
          <w:w w:val="105"/>
        </w:rPr>
        <w:t>落</w:t>
      </w:r>
    </w:p>
    <w:p>
      <w:pPr>
        <w:pStyle w:val="6"/>
        <w:spacing w:before="11"/>
        <w:ind w:left="0" w:firstLine="0"/>
        <w:jc w:val="left"/>
        <w:rPr>
          <w:sz w:val="16"/>
        </w:rPr>
      </w:pPr>
    </w:p>
    <w:p>
      <w:pPr>
        <w:pStyle w:val="6"/>
        <w:spacing w:line="295" w:lineRule="auto"/>
        <w:ind w:left="381" w:right="124"/>
        <w:rPr>
          <w:rFonts w:hint="eastAsia" w:ascii="MS UI Gothic" w:eastAsia="MS UI Gothic"/>
        </w:rPr>
      </w:pPr>
      <w:r>
        <w:t>第一百三十二条 立井井口必须用栅栏或者金属网围住</w:t>
      </w:r>
      <w:r>
        <w:rPr>
          <w:rFonts w:hint="eastAsia" w:ascii="MS UI Gothic" w:eastAsia="MS UI Gothic"/>
          <w:w w:val="80"/>
        </w:rPr>
        <w:t xml:space="preserve">ꎬ </w:t>
      </w:r>
      <w:r>
        <w:t>进出口设置栅栏门</w:t>
      </w:r>
      <w:r>
        <w:rPr>
          <w:rFonts w:hint="eastAsia" w:ascii="MS UI Gothic" w:eastAsia="MS UI Gothic"/>
          <w:w w:val="80"/>
        </w:rPr>
        <w:t>ꎮ</w:t>
      </w:r>
      <w:r>
        <w:t>井筒与各水平的连接处必须设栅栏</w:t>
      </w:r>
      <w:r>
        <w:rPr>
          <w:rFonts w:hint="eastAsia" w:ascii="MS UI Gothic" w:eastAsia="MS UI Gothic"/>
          <w:w w:val="80"/>
        </w:rPr>
        <w:t xml:space="preserve">ꎮ </w:t>
      </w:r>
      <w:r>
        <w:t>栅栏门只准在通过人员或者车辆时打开</w:t>
      </w:r>
      <w:r>
        <w:rPr>
          <w:rFonts w:hint="eastAsia" w:ascii="MS UI Gothic" w:eastAsia="MS UI Gothic"/>
          <w:w w:val="80"/>
        </w:rPr>
        <w:t>ꎮ</w:t>
      </w:r>
    </w:p>
    <w:p>
      <w:pPr>
        <w:pStyle w:val="6"/>
        <w:spacing w:line="295" w:lineRule="auto"/>
        <w:ind w:left="381" w:right="126"/>
        <w:rPr>
          <w:rFonts w:hint="eastAsia" w:ascii="MS UI Gothic" w:eastAsia="MS UI Gothic"/>
        </w:rPr>
      </w:pPr>
      <w:r>
        <w:t>立井井筒与各水平车场的连接处</w:t>
      </w:r>
      <w:r>
        <w:rPr>
          <w:rFonts w:hint="eastAsia" w:ascii="MS UI Gothic" w:eastAsia="MS UI Gothic"/>
          <w:w w:val="80"/>
        </w:rPr>
        <w:t xml:space="preserve">ꎬ </w:t>
      </w:r>
      <w:r>
        <w:t>必须设专用的人行道</w:t>
      </w:r>
      <w:r>
        <w:rPr>
          <w:rFonts w:hint="eastAsia" w:ascii="MS UI Gothic" w:eastAsia="MS UI Gothic"/>
          <w:w w:val="80"/>
        </w:rPr>
        <w:t xml:space="preserve">ꎬ </w:t>
      </w:r>
      <w:r>
        <w:t>严禁人员通过提升间</w:t>
      </w:r>
      <w:r>
        <w:rPr>
          <w:rFonts w:hint="eastAsia" w:ascii="MS UI Gothic" w:eastAsia="MS UI Gothic"/>
          <w:w w:val="80"/>
        </w:rPr>
        <w:t>ꎮ</w:t>
      </w:r>
    </w:p>
    <w:p>
      <w:pPr>
        <w:pStyle w:val="6"/>
        <w:spacing w:line="295" w:lineRule="auto"/>
        <w:ind w:left="381" w:right="126"/>
        <w:rPr>
          <w:rFonts w:hint="eastAsia" w:ascii="MS UI Gothic" w:eastAsia="MS UI Gothic"/>
        </w:rPr>
      </w:pPr>
      <w:r>
        <w:t>罐笼提升的立井井口和井底</w:t>
      </w:r>
      <w:r>
        <w:rPr>
          <w:rFonts w:hint="eastAsia" w:ascii="MS UI Gothic" w:eastAsia="MS UI Gothic"/>
          <w:w w:val="80"/>
        </w:rPr>
        <w:t xml:space="preserve">、 </w:t>
      </w:r>
      <w:r>
        <w:t>井筒与各水平的连接处</w:t>
      </w:r>
      <w:r>
        <w:rPr>
          <w:rFonts w:hint="eastAsia" w:ascii="MS UI Gothic" w:eastAsia="MS UI Gothic"/>
          <w:w w:val="80"/>
        </w:rPr>
        <w:t xml:space="preserve">ꎬ </w:t>
      </w:r>
      <w:r>
        <w:t>必须设置阻车器</w:t>
      </w:r>
      <w:r>
        <w:rPr>
          <w:rFonts w:hint="eastAsia" w:ascii="MS UI Gothic" w:eastAsia="MS UI Gothic"/>
          <w:w w:val="80"/>
        </w:rPr>
        <w:t>ꎮ</w:t>
      </w:r>
    </w:p>
    <w:p>
      <w:pPr>
        <w:pStyle w:val="6"/>
        <w:spacing w:line="295" w:lineRule="auto"/>
        <w:ind w:left="381" w:right="124"/>
        <w:rPr>
          <w:rFonts w:hint="eastAsia" w:ascii="MS UI Gothic" w:hAnsi="MS UI Gothic" w:eastAsia="MS UI Gothic"/>
        </w:rPr>
      </w:pPr>
      <w:r>
        <w:t xml:space="preserve">第一百三十三条 倾角在 </w:t>
      </w:r>
      <w:r>
        <w:rPr>
          <w:rFonts w:hint="eastAsia" w:ascii="MS UI Gothic" w:hAnsi="MS UI Gothic" w:eastAsia="MS UI Gothic"/>
          <w:w w:val="85"/>
        </w:rPr>
        <w:t xml:space="preserve">２５° </w:t>
      </w:r>
      <w:r>
        <w:t>以上的小眼</w:t>
      </w:r>
      <w:r>
        <w:rPr>
          <w:rFonts w:hint="eastAsia" w:ascii="MS UI Gothic" w:hAnsi="MS UI Gothic" w:eastAsia="MS UI Gothic"/>
          <w:w w:val="85"/>
        </w:rPr>
        <w:t xml:space="preserve">、 </w:t>
      </w:r>
      <w:r>
        <w:t>煤仓</w:t>
      </w:r>
      <w:r>
        <w:rPr>
          <w:rFonts w:hint="eastAsia" w:ascii="MS UI Gothic" w:hAnsi="MS UI Gothic" w:eastAsia="MS UI Gothic"/>
          <w:w w:val="85"/>
        </w:rPr>
        <w:t xml:space="preserve">、 </w:t>
      </w:r>
      <w:r>
        <w:t xml:space="preserve">溜煤 </w:t>
      </w:r>
      <w:r>
        <w:rPr>
          <w:rFonts w:hint="eastAsia" w:ascii="MS UI Gothic" w:hAnsi="MS UI Gothic" w:eastAsia="MS UI Gothic"/>
          <w:w w:val="140"/>
        </w:rPr>
        <w:t xml:space="preserve">( </w:t>
      </w:r>
      <w:r>
        <w:t>矸</w:t>
      </w:r>
      <w:r>
        <w:rPr>
          <w:rFonts w:hint="eastAsia" w:ascii="MS UI Gothic" w:hAnsi="MS UI Gothic" w:eastAsia="MS UI Gothic"/>
          <w:w w:val="140"/>
        </w:rPr>
        <w:t xml:space="preserve">) </w:t>
      </w:r>
      <w:r>
        <w:t>眼</w:t>
      </w:r>
      <w:r>
        <w:rPr>
          <w:rFonts w:hint="eastAsia" w:ascii="MS UI Gothic" w:hAnsi="MS UI Gothic" w:eastAsia="MS UI Gothic"/>
          <w:w w:val="85"/>
        </w:rPr>
        <w:t xml:space="preserve">、 </w:t>
      </w:r>
      <w:r>
        <w:t>人行道</w:t>
      </w:r>
      <w:r>
        <w:rPr>
          <w:rFonts w:hint="eastAsia" w:ascii="MS UI Gothic" w:hAnsi="MS UI Gothic" w:eastAsia="MS UI Gothic"/>
          <w:w w:val="85"/>
        </w:rPr>
        <w:t>、</w:t>
      </w:r>
      <w:r>
        <w:t>上山和下山的上口</w:t>
      </w:r>
      <w:r>
        <w:rPr>
          <w:rFonts w:hint="eastAsia" w:ascii="MS UI Gothic" w:hAnsi="MS UI Gothic" w:eastAsia="MS UI Gothic"/>
          <w:w w:val="85"/>
        </w:rPr>
        <w:t xml:space="preserve">、 </w:t>
      </w:r>
      <w:r>
        <w:t>必须设防止人员</w:t>
      </w:r>
      <w:r>
        <w:rPr>
          <w:rFonts w:hint="eastAsia" w:ascii="MS UI Gothic" w:hAnsi="MS UI Gothic" w:eastAsia="MS UI Gothic"/>
          <w:w w:val="85"/>
        </w:rPr>
        <w:t xml:space="preserve">、 </w:t>
      </w:r>
      <w:r>
        <w:t>物料坠落的设施</w:t>
      </w:r>
      <w:r>
        <w:rPr>
          <w:rFonts w:hint="eastAsia" w:ascii="MS UI Gothic" w:hAnsi="MS UI Gothic" w:eastAsia="MS UI Gothic"/>
          <w:w w:val="85"/>
        </w:rPr>
        <w:t>ꎮ</w:t>
      </w:r>
    </w:p>
    <w:p>
      <w:pPr>
        <w:pStyle w:val="6"/>
        <w:spacing w:line="295" w:lineRule="auto"/>
        <w:ind w:left="381" w:right="124"/>
        <w:rPr>
          <w:rFonts w:hint="eastAsia" w:ascii="MS UI Gothic" w:eastAsia="MS UI Gothic"/>
        </w:rPr>
      </w:pPr>
      <w:r>
        <w:rPr>
          <w:spacing w:val="8"/>
          <w:w w:val="110"/>
        </w:rPr>
        <w:t>第一百三十四条 煤仓</w:t>
      </w:r>
      <w:r>
        <w:rPr>
          <w:rFonts w:hint="eastAsia" w:ascii="MS UI Gothic" w:eastAsia="MS UI Gothic"/>
          <w:spacing w:val="15"/>
          <w:w w:val="80"/>
        </w:rPr>
        <w:t xml:space="preserve">、 </w:t>
      </w:r>
      <w:r>
        <w:rPr>
          <w:spacing w:val="-7"/>
          <w:w w:val="110"/>
        </w:rPr>
        <w:t xml:space="preserve">溜煤 </w:t>
      </w:r>
      <w:r>
        <w:rPr>
          <w:rFonts w:hint="eastAsia" w:ascii="MS UI Gothic" w:eastAsia="MS UI Gothic"/>
          <w:spacing w:val="-37"/>
          <w:w w:val="150"/>
        </w:rPr>
        <w:t xml:space="preserve">( </w:t>
      </w:r>
      <w:r>
        <w:rPr>
          <w:spacing w:val="9"/>
          <w:w w:val="110"/>
        </w:rPr>
        <w:t>矸</w:t>
      </w:r>
      <w:r>
        <w:rPr>
          <w:rFonts w:hint="eastAsia" w:ascii="MS UI Gothic" w:eastAsia="MS UI Gothic"/>
          <w:w w:val="150"/>
        </w:rPr>
        <w:t xml:space="preserve">) </w:t>
      </w:r>
      <w:r>
        <w:rPr>
          <w:spacing w:val="6"/>
          <w:w w:val="110"/>
        </w:rPr>
        <w:t xml:space="preserve">眼必须有防止溜煤 </w:t>
      </w:r>
      <w:r>
        <w:rPr>
          <w:rFonts w:hint="eastAsia" w:ascii="MS UI Gothic" w:eastAsia="MS UI Gothic"/>
          <w:spacing w:val="-35"/>
          <w:w w:val="135"/>
        </w:rPr>
        <w:t xml:space="preserve">( </w:t>
      </w:r>
      <w:r>
        <w:rPr>
          <w:spacing w:val="19"/>
          <w:w w:val="110"/>
        </w:rPr>
        <w:t>矸</w:t>
      </w:r>
      <w:r>
        <w:rPr>
          <w:rFonts w:hint="eastAsia" w:ascii="MS UI Gothic" w:eastAsia="MS UI Gothic"/>
          <w:spacing w:val="-17"/>
          <w:w w:val="135"/>
        </w:rPr>
        <w:t xml:space="preserve">) </w:t>
      </w:r>
      <w:r>
        <w:rPr>
          <w:spacing w:val="22"/>
          <w:w w:val="110"/>
        </w:rPr>
        <w:t>堵塞的设施</w:t>
      </w:r>
      <w:r>
        <w:rPr>
          <w:rFonts w:hint="eastAsia" w:ascii="MS UI Gothic" w:eastAsia="MS UI Gothic"/>
          <w:spacing w:val="-11"/>
          <w:w w:val="80"/>
        </w:rPr>
        <w:t>ꎮ</w:t>
      </w:r>
      <w:r>
        <w:rPr>
          <w:spacing w:val="3"/>
          <w:w w:val="110"/>
        </w:rPr>
        <w:t>检查煤仓</w:t>
      </w:r>
      <w:r>
        <w:rPr>
          <w:rFonts w:hint="eastAsia" w:ascii="MS UI Gothic" w:eastAsia="MS UI Gothic"/>
          <w:spacing w:val="-3"/>
          <w:w w:val="80"/>
        </w:rPr>
        <w:t xml:space="preserve">、 </w:t>
      </w:r>
      <w:r>
        <w:rPr>
          <w:spacing w:val="-19"/>
          <w:w w:val="110"/>
        </w:rPr>
        <w:t xml:space="preserve">溜煤 </w:t>
      </w:r>
      <w:r>
        <w:rPr>
          <w:rFonts w:hint="eastAsia" w:ascii="MS UI Gothic" w:eastAsia="MS UI Gothic"/>
          <w:spacing w:val="-41"/>
          <w:w w:val="150"/>
        </w:rPr>
        <w:t xml:space="preserve">( </w:t>
      </w:r>
      <w:r>
        <w:rPr>
          <w:spacing w:val="7"/>
          <w:w w:val="110"/>
        </w:rPr>
        <w:t>矸</w:t>
      </w:r>
      <w:r>
        <w:rPr>
          <w:rFonts w:hint="eastAsia" w:ascii="MS UI Gothic" w:eastAsia="MS UI Gothic"/>
          <w:spacing w:val="-20"/>
          <w:w w:val="150"/>
        </w:rPr>
        <w:t xml:space="preserve">) </w:t>
      </w:r>
      <w:r>
        <w:rPr>
          <w:spacing w:val="8"/>
          <w:w w:val="110"/>
        </w:rPr>
        <w:t>眼和处理堵塞时</w:t>
      </w:r>
      <w:r>
        <w:rPr>
          <w:rFonts w:hint="eastAsia" w:ascii="MS UI Gothic" w:eastAsia="MS UI Gothic"/>
          <w:w w:val="80"/>
        </w:rPr>
        <w:t>ꎬ</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２５８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00" o:spid="_x0000_s1800" o:spt="203" style="height:2.15pt;width:398.25pt;" coordsize="7965,43">
            <o:lock v:ext="edit"/>
            <v:line id="_x0000_s1801" o:spid="_x0000_s1801" o:spt="20" style="position:absolute;left:0;top:39;height:0;width:7965;" stroked="t" coordsize="21600,21600">
              <v:path arrowok="t"/>
              <v:fill focussize="0,0"/>
              <v:stroke weight="0.388031496062992pt" color="#231F20"/>
              <v:imagedata o:title=""/>
              <o:lock v:ext="edit"/>
            </v:line>
            <v:line id="_x0000_s1802" o:spid="_x0000_s180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必须制定安全措施</w:t>
      </w:r>
      <w:r>
        <w:rPr>
          <w:rFonts w:hint="eastAsia" w:ascii="MS UI Gothic" w:eastAsia="MS UI Gothic"/>
          <w:w w:val="80"/>
        </w:rPr>
        <w:t xml:space="preserve">ꎮ </w:t>
      </w:r>
      <w:r>
        <w:t>处理堵塞时应当遵守本规程第三百六十条的规定</w:t>
      </w:r>
      <w:r>
        <w:rPr>
          <w:rFonts w:hint="eastAsia" w:ascii="MS UI Gothic" w:eastAsia="MS UI Gothic"/>
          <w:w w:val="80"/>
        </w:rPr>
        <w:t xml:space="preserve">ꎬ </w:t>
      </w:r>
      <w:r>
        <w:t>严禁人员从下方进入</w:t>
      </w:r>
      <w:r>
        <w:rPr>
          <w:rFonts w:hint="eastAsia" w:ascii="MS UI Gothic" w:eastAsia="MS UI Gothic"/>
          <w:w w:val="80"/>
        </w:rPr>
        <w:t>ꎮ</w:t>
      </w:r>
    </w:p>
    <w:p>
      <w:pPr>
        <w:pStyle w:val="6"/>
        <w:spacing w:line="295" w:lineRule="auto"/>
        <w:ind w:right="38"/>
        <w:rPr>
          <w:rFonts w:hint="eastAsia" w:ascii="MS UI Gothic" w:eastAsia="MS UI Gothic"/>
        </w:rPr>
      </w:pPr>
      <w:r>
        <w:rPr>
          <w:spacing w:val="9"/>
          <w:w w:val="105"/>
        </w:rPr>
        <w:t>严禁煤仓</w:t>
      </w:r>
      <w:r>
        <w:rPr>
          <w:rFonts w:hint="eastAsia" w:ascii="MS UI Gothic" w:eastAsia="MS UI Gothic"/>
          <w:spacing w:val="5"/>
          <w:w w:val="80"/>
        </w:rPr>
        <w:t xml:space="preserve">、 </w:t>
      </w:r>
      <w:r>
        <w:rPr>
          <w:spacing w:val="8"/>
          <w:w w:val="105"/>
        </w:rPr>
        <w:t xml:space="preserve">溜煤 </w:t>
      </w:r>
      <w:r>
        <w:rPr>
          <w:rFonts w:hint="eastAsia" w:ascii="MS UI Gothic" w:eastAsia="MS UI Gothic"/>
          <w:spacing w:val="-31"/>
          <w:w w:val="150"/>
        </w:rPr>
        <w:t xml:space="preserve">( </w:t>
      </w:r>
      <w:r>
        <w:rPr>
          <w:spacing w:val="15"/>
          <w:w w:val="105"/>
        </w:rPr>
        <w:t>矸</w:t>
      </w:r>
      <w:r>
        <w:rPr>
          <w:rFonts w:hint="eastAsia" w:ascii="MS UI Gothic" w:eastAsia="MS UI Gothic"/>
          <w:spacing w:val="17"/>
          <w:w w:val="150"/>
        </w:rPr>
        <w:t xml:space="preserve">) </w:t>
      </w:r>
      <w:r>
        <w:rPr>
          <w:spacing w:val="16"/>
          <w:w w:val="105"/>
        </w:rPr>
        <w:t>眼兼做流水</w:t>
      </w:r>
      <w:r>
        <w:rPr>
          <w:spacing w:val="3"/>
          <w:w w:val="105"/>
        </w:rPr>
        <w:t>道</w:t>
      </w:r>
      <w:r>
        <w:rPr>
          <w:rFonts w:hint="eastAsia" w:ascii="MS UI Gothic" w:eastAsia="MS UI Gothic"/>
          <w:spacing w:val="10"/>
          <w:w w:val="80"/>
        </w:rPr>
        <w:t xml:space="preserve">ꎮ </w:t>
      </w:r>
      <w:r>
        <w:rPr>
          <w:spacing w:val="13"/>
          <w:w w:val="105"/>
        </w:rPr>
        <w:t xml:space="preserve">煤仓与溜煤 </w:t>
      </w:r>
      <w:r>
        <w:rPr>
          <w:rFonts w:hint="eastAsia" w:ascii="MS UI Gothic" w:eastAsia="MS UI Gothic"/>
          <w:spacing w:val="-34"/>
          <w:w w:val="150"/>
        </w:rPr>
        <w:t xml:space="preserve">( </w:t>
      </w:r>
      <w:r>
        <w:rPr>
          <w:spacing w:val="19"/>
          <w:w w:val="105"/>
        </w:rPr>
        <w:t>矸</w:t>
      </w:r>
      <w:r>
        <w:rPr>
          <w:rFonts w:hint="eastAsia" w:ascii="MS UI Gothic" w:eastAsia="MS UI Gothic"/>
          <w:w w:val="150"/>
        </w:rPr>
        <w:t xml:space="preserve">) </w:t>
      </w:r>
      <w:r>
        <w:rPr>
          <w:spacing w:val="23"/>
          <w:w w:val="105"/>
        </w:rPr>
        <w:t>眼内有淋水时</w:t>
      </w:r>
      <w:r>
        <w:rPr>
          <w:rFonts w:hint="eastAsia" w:ascii="MS UI Gothic" w:eastAsia="MS UI Gothic"/>
          <w:spacing w:val="-11"/>
          <w:w w:val="80"/>
        </w:rPr>
        <w:t>ꎬ</w:t>
      </w:r>
      <w:r>
        <w:rPr>
          <w:spacing w:val="3"/>
        </w:rPr>
        <w:t>必须采取封堵疏干措施</w:t>
      </w:r>
      <w:r>
        <w:rPr>
          <w:rFonts w:hint="eastAsia" w:ascii="MS UI Gothic" w:eastAsia="MS UI Gothic"/>
          <w:spacing w:val="21"/>
          <w:w w:val="80"/>
        </w:rPr>
        <w:t xml:space="preserve">ꎻ </w:t>
      </w:r>
      <w:r>
        <w:rPr>
          <w:spacing w:val="2"/>
        </w:rPr>
        <w:t>没有得到妥善处</w:t>
      </w:r>
      <w:r>
        <w:rPr>
          <w:spacing w:val="3"/>
          <w:w w:val="105"/>
        </w:rPr>
        <w:t>理不得使用</w:t>
      </w:r>
      <w:r>
        <w:rPr>
          <w:rFonts w:hint="eastAsia" w:ascii="MS UI Gothic" w:eastAsia="MS UI Gothic"/>
          <w:w w:val="80"/>
        </w:rPr>
        <w:t>ꎮ</w:t>
      </w:r>
    </w:p>
    <w:p>
      <w:pPr>
        <w:pStyle w:val="6"/>
        <w:tabs>
          <w:tab w:val="left" w:pos="1172"/>
        </w:tabs>
        <w:spacing w:before="152"/>
        <w:ind w:left="334" w:firstLine="0"/>
        <w:jc w:val="left"/>
      </w:pPr>
      <w:r>
        <w:rPr>
          <w:spacing w:val="3"/>
        </w:rPr>
        <w:t>第三</w:t>
      </w:r>
      <w:r>
        <w:t>章</w:t>
      </w:r>
      <w:r>
        <w:tab/>
      </w:r>
      <w:r>
        <w:rPr>
          <w:spacing w:val="3"/>
        </w:rPr>
        <w:t>通风</w:t>
      </w:r>
      <w:r>
        <w:rPr>
          <w:rFonts w:hint="eastAsia" w:ascii="Microsoft Yi Baiti" w:eastAsia="Microsoft Yi Baiti"/>
        </w:rPr>
        <w:t>、</w:t>
      </w:r>
      <w:r>
        <w:rPr>
          <w:rFonts w:hint="eastAsia" w:ascii="Microsoft Yi Baiti" w:eastAsia="Microsoft Yi Baiti"/>
          <w:spacing w:val="26"/>
        </w:rPr>
        <w:t xml:space="preserve"> </w:t>
      </w:r>
      <w:r>
        <w:rPr>
          <w:spacing w:val="3"/>
        </w:rPr>
        <w:t>瓦斯和煤尘爆炸防</w:t>
      </w:r>
      <w:r>
        <w:t>治</w:t>
      </w:r>
    </w:p>
    <w:p>
      <w:pPr>
        <w:pStyle w:val="6"/>
        <w:spacing w:before="11"/>
        <w:ind w:left="0" w:firstLine="0"/>
        <w:jc w:val="left"/>
        <w:rPr>
          <w:sz w:val="21"/>
        </w:rPr>
      </w:pPr>
      <w:r>
        <w:br w:type="column"/>
      </w:r>
    </w:p>
    <w:p>
      <w:pPr>
        <w:pStyle w:val="6"/>
        <w:tabs>
          <w:tab w:val="left" w:pos="2011"/>
          <w:tab w:val="left" w:pos="2639"/>
        </w:tabs>
        <w:ind w:left="1172" w:firstLine="0"/>
        <w:jc w:val="left"/>
      </w:pPr>
      <w:r>
        <w:rPr>
          <w:spacing w:val="3"/>
          <w:w w:val="105"/>
        </w:rPr>
        <w:t>第一</w:t>
      </w:r>
      <w:r>
        <w:rPr>
          <w:w w:val="105"/>
        </w:rPr>
        <w:t>节</w:t>
      </w:r>
      <w:r>
        <w:rPr>
          <w:w w:val="105"/>
        </w:rPr>
        <w:tab/>
      </w:r>
      <w:r>
        <w:rPr>
          <w:w w:val="105"/>
        </w:rPr>
        <w:t>通</w:t>
      </w:r>
      <w:r>
        <w:rPr>
          <w:w w:val="105"/>
        </w:rPr>
        <w:tab/>
      </w:r>
      <w:r>
        <w:rPr>
          <w:w w:val="105"/>
        </w:rPr>
        <w:t>风</w:t>
      </w:r>
    </w:p>
    <w:p>
      <w:pPr>
        <w:pStyle w:val="6"/>
        <w:spacing w:before="10"/>
        <w:ind w:left="0" w:firstLine="0"/>
        <w:jc w:val="left"/>
        <w:rPr>
          <w:sz w:val="16"/>
        </w:rPr>
      </w:pPr>
    </w:p>
    <w:p>
      <w:pPr>
        <w:pStyle w:val="6"/>
        <w:spacing w:before="1" w:line="295" w:lineRule="auto"/>
        <w:ind w:right="442"/>
        <w:rPr>
          <w:rFonts w:hint="eastAsia" w:ascii="MS UI Gothic" w:eastAsia="MS UI Gothic"/>
        </w:rPr>
      </w:pPr>
      <w:r>
        <w:rPr>
          <w:w w:val="105"/>
        </w:rPr>
        <w:t>第一百三十五条 井下空气成分必须</w:t>
      </w:r>
      <w:r>
        <w:rPr>
          <w:w w:val="110"/>
        </w:rPr>
        <w:t>符合下列要求</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40"/>
        </w:rPr>
        <w:t xml:space="preserve">( </w:t>
      </w:r>
      <w:r>
        <w:t>一</w:t>
      </w:r>
      <w:r>
        <w:rPr>
          <w:rFonts w:hint="eastAsia" w:ascii="MS UI Gothic" w:eastAsia="MS UI Gothic"/>
          <w:w w:val="140"/>
        </w:rPr>
        <w:t xml:space="preserve">) </w:t>
      </w:r>
      <w:r>
        <w:t>采掘工作面的进风流中</w:t>
      </w:r>
      <w:r>
        <w:rPr>
          <w:rFonts w:hint="eastAsia" w:ascii="MS UI Gothic" w:eastAsia="MS UI Gothic"/>
          <w:w w:val="85"/>
        </w:rPr>
        <w:t xml:space="preserve">ꎬ </w:t>
      </w:r>
      <w:r>
        <w:t xml:space="preserve">氧气浓度不低于 </w:t>
      </w:r>
      <w:r>
        <w:rPr>
          <w:rFonts w:hint="eastAsia" w:ascii="MS UI Gothic" w:eastAsia="MS UI Gothic"/>
          <w:w w:val="85"/>
        </w:rPr>
        <w:t>２０</w:t>
      </w:r>
      <w:r>
        <w:rPr>
          <w:w w:val="85"/>
        </w:rPr>
        <w:t xml:space="preserve">％ </w:t>
      </w:r>
      <w:r>
        <w:rPr>
          <w:rFonts w:hint="eastAsia" w:ascii="MS UI Gothic" w:eastAsia="MS UI Gothic"/>
          <w:w w:val="85"/>
        </w:rPr>
        <w:t xml:space="preserve">ꎬ </w:t>
      </w:r>
      <w:r>
        <w:t xml:space="preserve">二氧化碳浓度不超过 </w:t>
      </w:r>
      <w:r>
        <w:rPr>
          <w:rFonts w:hint="eastAsia" w:ascii="MS UI Gothic" w:eastAsia="MS UI Gothic"/>
          <w:w w:val="85"/>
        </w:rPr>
        <w:t>０ ５</w:t>
      </w:r>
      <w:r>
        <w:rPr>
          <w:w w:val="85"/>
        </w:rPr>
        <w:t xml:space="preserve">％ </w:t>
      </w:r>
      <w:r>
        <w:rPr>
          <w:rFonts w:hint="eastAsia" w:ascii="MS UI Gothic" w:eastAsia="MS UI Gothic"/>
          <w:w w:val="85"/>
        </w:rPr>
        <w:t>ꎮ</w:t>
      </w:r>
    </w:p>
    <w:p>
      <w:pPr>
        <w:pStyle w:val="6"/>
        <w:spacing w:line="254" w:lineRule="exact"/>
        <w:ind w:left="543" w:firstLine="0"/>
        <w:rPr>
          <w:rFonts w:hint="eastAsia" w:ascii="MS UI Gothic" w:eastAsia="MS UI Gothic"/>
        </w:rPr>
      </w:pPr>
      <w:r>
        <w:rPr>
          <w:rFonts w:hint="eastAsia" w:ascii="MS UI Gothic" w:eastAsia="MS UI Gothic"/>
          <w:spacing w:val="-35"/>
          <w:w w:val="150"/>
        </w:rPr>
        <w:t xml:space="preserve">( </w:t>
      </w:r>
      <w:r>
        <w:rPr>
          <w:spacing w:val="19"/>
          <w:w w:val="110"/>
        </w:rPr>
        <w:t>二</w:t>
      </w:r>
      <w:r>
        <w:rPr>
          <w:rFonts w:hint="eastAsia" w:ascii="MS UI Gothic" w:eastAsia="MS UI Gothic"/>
          <w:spacing w:val="7"/>
          <w:w w:val="150"/>
        </w:rPr>
        <w:t xml:space="preserve">) </w:t>
      </w:r>
      <w:r>
        <w:rPr>
          <w:spacing w:val="19"/>
          <w:w w:val="110"/>
        </w:rPr>
        <w:t xml:space="preserve">有害气体的浓度不超过表 </w:t>
      </w:r>
      <w:r>
        <w:rPr>
          <w:rFonts w:hint="eastAsia" w:ascii="MS UI Gothic" w:eastAsia="MS UI Gothic"/>
        </w:rPr>
        <w:t>４</w:t>
      </w:r>
    </w:p>
    <w:p>
      <w:pPr>
        <w:pStyle w:val="6"/>
        <w:spacing w:before="56"/>
        <w:ind w:firstLine="0"/>
        <w:jc w:val="left"/>
        <w:rPr>
          <w:rFonts w:hint="eastAsia" w:ascii="MS UI Gothic" w:eastAsia="MS UI Gothic"/>
        </w:rPr>
      </w:pPr>
      <w:r>
        <w:t>规定</w:t>
      </w:r>
      <w:r>
        <w:rPr>
          <w:rFonts w:hint="eastAsia" w:ascii="MS UI Gothic" w:eastAsia="MS UI Gothic"/>
          <w:w w:val="80"/>
        </w:rPr>
        <w:t>ꎮ</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6"/>
        <w:ind w:left="0" w:firstLine="0"/>
        <w:jc w:val="left"/>
        <w:rPr>
          <w:rFonts w:ascii="MS UI Gothic"/>
          <w:sz w:val="15"/>
        </w:rPr>
      </w:pPr>
    </w:p>
    <w:p>
      <w:pPr>
        <w:pStyle w:val="6"/>
        <w:spacing w:before="174"/>
        <w:ind w:left="310" w:right="628" w:firstLine="0"/>
        <w:jc w:val="center"/>
      </w:pPr>
      <w:r>
        <w:rPr>
          <w:w w:val="95"/>
        </w:rPr>
        <w:t xml:space="preserve">表 </w:t>
      </w:r>
      <w:r>
        <w:rPr>
          <w:rFonts w:hint="eastAsia" w:ascii="MS UI Gothic" w:eastAsia="MS UI Gothic"/>
          <w:w w:val="95"/>
        </w:rPr>
        <w:t xml:space="preserve">４  </w:t>
      </w:r>
      <w:r>
        <w:rPr>
          <w:w w:val="95"/>
        </w:rPr>
        <w:t>矿井有害气体最高允许浓度</w:t>
      </w:r>
    </w:p>
    <w:p>
      <w:pPr>
        <w:pStyle w:val="6"/>
        <w:spacing w:before="1"/>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3501"/>
        <w:gridCol w:w="4464"/>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3501" w:type="dxa"/>
            <w:tcBorders>
              <w:bottom w:val="single" w:color="231F20" w:sz="4" w:space="0"/>
              <w:right w:val="single" w:color="231F20" w:sz="4" w:space="0"/>
            </w:tcBorders>
          </w:tcPr>
          <w:p>
            <w:pPr>
              <w:pStyle w:val="11"/>
              <w:tabs>
                <w:tab w:val="left" w:pos="487"/>
              </w:tabs>
              <w:spacing w:before="50"/>
              <w:ind w:left="10"/>
              <w:jc w:val="center"/>
              <w:rPr>
                <w:sz w:val="15"/>
              </w:rPr>
            </w:pPr>
            <w:r>
              <w:rPr>
                <w:w w:val="105"/>
                <w:sz w:val="15"/>
              </w:rPr>
              <w:t>名</w:t>
            </w:r>
            <w:r>
              <w:rPr>
                <w:w w:val="105"/>
                <w:sz w:val="15"/>
              </w:rPr>
              <w:tab/>
            </w:r>
            <w:r>
              <w:rPr>
                <w:w w:val="105"/>
                <w:sz w:val="15"/>
              </w:rPr>
              <w:t>称</w:t>
            </w:r>
          </w:p>
        </w:tc>
        <w:tc>
          <w:tcPr>
            <w:tcW w:w="4464" w:type="dxa"/>
            <w:tcBorders>
              <w:left w:val="single" w:color="231F20" w:sz="4" w:space="0"/>
              <w:bottom w:val="single" w:color="231F20" w:sz="4" w:space="0"/>
            </w:tcBorders>
          </w:tcPr>
          <w:p>
            <w:pPr>
              <w:pStyle w:val="11"/>
              <w:spacing w:before="50"/>
              <w:ind w:left="1589" w:right="1593"/>
              <w:jc w:val="center"/>
              <w:rPr>
                <w:sz w:val="15"/>
              </w:rPr>
            </w:pPr>
            <w:r>
              <w:rPr>
                <w:sz w:val="15"/>
              </w:rPr>
              <w:t xml:space="preserve">最高允许浓度 </w:t>
            </w:r>
            <w:r>
              <w:rPr>
                <w:rFonts w:hint="eastAsia" w:ascii="MS UI Gothic" w:eastAsia="MS UI Gothic"/>
                <w:w w:val="65"/>
                <w:sz w:val="15"/>
              </w:rPr>
              <w:t xml:space="preserve">/  </w:t>
            </w:r>
            <w:r>
              <w:rPr>
                <w:w w:val="95"/>
                <w:sz w:val="15"/>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501" w:type="dxa"/>
            <w:tcBorders>
              <w:top w:val="single" w:color="231F20" w:sz="4" w:space="0"/>
              <w:bottom w:val="single" w:color="231F20" w:sz="4" w:space="0"/>
              <w:right w:val="single" w:color="231F20" w:sz="4" w:space="0"/>
            </w:tcBorders>
          </w:tcPr>
          <w:p>
            <w:pPr>
              <w:pStyle w:val="11"/>
              <w:spacing w:before="55"/>
              <w:ind w:left="9"/>
              <w:jc w:val="center"/>
              <w:rPr>
                <w:rFonts w:hint="eastAsia" w:ascii="MS UI Gothic" w:eastAsia="MS UI Gothic"/>
                <w:sz w:val="15"/>
              </w:rPr>
            </w:pPr>
            <w:r>
              <w:rPr>
                <w:sz w:val="15"/>
              </w:rPr>
              <w:t xml:space="preserve">一氧化碳 </w:t>
            </w:r>
            <w:r>
              <w:rPr>
                <w:rFonts w:hint="eastAsia" w:ascii="MS UI Gothic" w:eastAsia="MS UI Gothic"/>
                <w:sz w:val="15"/>
              </w:rPr>
              <w:t>ＣＯ</w:t>
            </w:r>
          </w:p>
        </w:tc>
        <w:tc>
          <w:tcPr>
            <w:tcW w:w="4464" w:type="dxa"/>
            <w:tcBorders>
              <w:top w:val="single" w:color="231F20" w:sz="4" w:space="0"/>
              <w:left w:val="single" w:color="231F20" w:sz="4" w:space="0"/>
              <w:bottom w:val="single" w:color="231F20" w:sz="4" w:space="0"/>
            </w:tcBorders>
          </w:tcPr>
          <w:p>
            <w:pPr>
              <w:pStyle w:val="11"/>
              <w:spacing w:before="55"/>
              <w:ind w:left="1589" w:right="1573"/>
              <w:jc w:val="center"/>
              <w:rPr>
                <w:rFonts w:hint="eastAsia" w:ascii="MS UI Gothic" w:eastAsia="MS UI Gothic"/>
                <w:sz w:val="15"/>
              </w:rPr>
            </w:pPr>
            <w:r>
              <w:rPr>
                <w:rFonts w:hint="eastAsia" w:ascii="MS UI Gothic" w:eastAsia="MS UI Gothic"/>
                <w:w w:val="90"/>
                <w:sz w:val="15"/>
              </w:rPr>
              <w:t>０ ００２４</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501" w:type="dxa"/>
            <w:tcBorders>
              <w:top w:val="single" w:color="231F20" w:sz="4" w:space="0"/>
              <w:bottom w:val="single" w:color="231F20" w:sz="4" w:space="0"/>
              <w:right w:val="single" w:color="231F20" w:sz="4" w:space="0"/>
            </w:tcBorders>
          </w:tcPr>
          <w:p>
            <w:pPr>
              <w:pStyle w:val="11"/>
              <w:spacing w:before="40"/>
              <w:ind w:left="10" w:right="11"/>
              <w:jc w:val="center"/>
              <w:rPr>
                <w:rFonts w:hint="eastAsia" w:ascii="MS UI Gothic" w:eastAsia="MS UI Gothic"/>
                <w:sz w:val="15"/>
              </w:rPr>
            </w:pPr>
            <w:r>
              <w:rPr>
                <w:sz w:val="15"/>
              </w:rPr>
              <w:t xml:space="preserve">氧化氮 </w:t>
            </w:r>
            <w:r>
              <w:rPr>
                <w:rFonts w:hint="eastAsia" w:ascii="MS UI Gothic" w:eastAsia="MS UI Gothic"/>
                <w:w w:val="140"/>
                <w:sz w:val="15"/>
              </w:rPr>
              <w:t xml:space="preserve">( </w:t>
            </w:r>
            <w:r>
              <w:rPr>
                <w:sz w:val="15"/>
              </w:rPr>
              <w:t xml:space="preserve">换算成 </w:t>
            </w:r>
            <w:r>
              <w:rPr>
                <w:rFonts w:hint="eastAsia" w:ascii="MS UI Gothic" w:eastAsia="MS UI Gothic"/>
                <w:sz w:val="15"/>
              </w:rPr>
              <w:t xml:space="preserve">ＮＯ２ </w:t>
            </w:r>
            <w:r>
              <w:rPr>
                <w:rFonts w:hint="eastAsia" w:ascii="MS UI Gothic" w:eastAsia="MS UI Gothic"/>
                <w:w w:val="140"/>
                <w:sz w:val="15"/>
              </w:rPr>
              <w:t>)</w:t>
            </w:r>
          </w:p>
        </w:tc>
        <w:tc>
          <w:tcPr>
            <w:tcW w:w="4464" w:type="dxa"/>
            <w:tcBorders>
              <w:top w:val="single" w:color="231F20" w:sz="4" w:space="0"/>
              <w:left w:val="single" w:color="231F20" w:sz="4" w:space="0"/>
              <w:bottom w:val="single" w:color="231F20" w:sz="4" w:space="0"/>
            </w:tcBorders>
          </w:tcPr>
          <w:p>
            <w:pPr>
              <w:pStyle w:val="11"/>
              <w:spacing w:before="55"/>
              <w:ind w:left="1589" w:right="1573"/>
              <w:jc w:val="center"/>
              <w:rPr>
                <w:rFonts w:hint="eastAsia" w:ascii="MS UI Gothic" w:eastAsia="MS UI Gothic"/>
                <w:sz w:val="15"/>
              </w:rPr>
            </w:pPr>
            <w:r>
              <w:rPr>
                <w:rFonts w:hint="eastAsia" w:ascii="MS UI Gothic" w:eastAsia="MS UI Gothic"/>
                <w:w w:val="90"/>
                <w:sz w:val="15"/>
              </w:rPr>
              <w:t>０ ０００２５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501" w:type="dxa"/>
            <w:tcBorders>
              <w:top w:val="single" w:color="231F20" w:sz="4" w:space="0"/>
              <w:bottom w:val="single" w:color="231F20" w:sz="4" w:space="0"/>
              <w:right w:val="single" w:color="231F20" w:sz="4" w:space="0"/>
            </w:tcBorders>
          </w:tcPr>
          <w:p>
            <w:pPr>
              <w:pStyle w:val="11"/>
              <w:spacing w:before="40"/>
              <w:ind w:left="10" w:right="12"/>
              <w:jc w:val="center"/>
              <w:rPr>
                <w:rFonts w:hint="eastAsia" w:ascii="MS UI Gothic" w:eastAsia="MS UI Gothic"/>
                <w:sz w:val="15"/>
              </w:rPr>
            </w:pPr>
            <w:r>
              <w:rPr>
                <w:sz w:val="15"/>
              </w:rPr>
              <w:t xml:space="preserve">二氧化硫 </w:t>
            </w:r>
            <w:r>
              <w:rPr>
                <w:rFonts w:hint="eastAsia" w:ascii="MS UI Gothic" w:eastAsia="MS UI Gothic"/>
                <w:sz w:val="15"/>
              </w:rPr>
              <w:t>ＳＯ２</w:t>
            </w:r>
          </w:p>
        </w:tc>
        <w:tc>
          <w:tcPr>
            <w:tcW w:w="4464" w:type="dxa"/>
            <w:tcBorders>
              <w:top w:val="single" w:color="231F20" w:sz="4" w:space="0"/>
              <w:left w:val="single" w:color="231F20" w:sz="4" w:space="0"/>
              <w:bottom w:val="single" w:color="231F20" w:sz="4" w:space="0"/>
            </w:tcBorders>
          </w:tcPr>
          <w:p>
            <w:pPr>
              <w:pStyle w:val="11"/>
              <w:spacing w:before="55"/>
              <w:ind w:left="1589" w:right="1573"/>
              <w:jc w:val="center"/>
              <w:rPr>
                <w:rFonts w:hint="eastAsia" w:ascii="MS UI Gothic" w:eastAsia="MS UI Gothic"/>
                <w:sz w:val="15"/>
              </w:rPr>
            </w:pPr>
            <w:r>
              <w:rPr>
                <w:rFonts w:hint="eastAsia" w:ascii="MS UI Gothic" w:eastAsia="MS UI Gothic"/>
                <w:w w:val="90"/>
                <w:sz w:val="15"/>
              </w:rPr>
              <w:t>０ ０００５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501" w:type="dxa"/>
            <w:tcBorders>
              <w:top w:val="single" w:color="231F20" w:sz="4" w:space="0"/>
              <w:bottom w:val="single" w:color="231F20" w:sz="4" w:space="0"/>
              <w:right w:val="single" w:color="231F20" w:sz="4" w:space="0"/>
            </w:tcBorders>
          </w:tcPr>
          <w:p>
            <w:pPr>
              <w:pStyle w:val="11"/>
              <w:spacing w:before="40"/>
              <w:ind w:left="8"/>
              <w:jc w:val="center"/>
              <w:rPr>
                <w:rFonts w:hint="eastAsia" w:ascii="MS UI Gothic" w:eastAsia="MS UI Gothic"/>
                <w:sz w:val="15"/>
              </w:rPr>
            </w:pPr>
            <w:r>
              <w:rPr>
                <w:sz w:val="15"/>
              </w:rPr>
              <w:t xml:space="preserve">硫化氢 </w:t>
            </w:r>
            <w:r>
              <w:rPr>
                <w:rFonts w:hint="eastAsia" w:ascii="MS UI Gothic" w:eastAsia="MS UI Gothic"/>
                <w:sz w:val="15"/>
              </w:rPr>
              <w:t>Ｈ２ Ｓ</w:t>
            </w:r>
          </w:p>
        </w:tc>
        <w:tc>
          <w:tcPr>
            <w:tcW w:w="4464" w:type="dxa"/>
            <w:tcBorders>
              <w:top w:val="single" w:color="231F20" w:sz="4" w:space="0"/>
              <w:left w:val="single" w:color="231F20" w:sz="4" w:space="0"/>
              <w:bottom w:val="single" w:color="231F20" w:sz="4" w:space="0"/>
            </w:tcBorders>
          </w:tcPr>
          <w:p>
            <w:pPr>
              <w:pStyle w:val="11"/>
              <w:spacing w:before="55"/>
              <w:ind w:left="1589" w:right="1573"/>
              <w:jc w:val="center"/>
              <w:rPr>
                <w:rFonts w:hint="eastAsia" w:ascii="MS UI Gothic" w:eastAsia="MS UI Gothic"/>
                <w:sz w:val="15"/>
              </w:rPr>
            </w:pPr>
            <w:r>
              <w:rPr>
                <w:rFonts w:hint="eastAsia" w:ascii="MS UI Gothic" w:eastAsia="MS UI Gothic"/>
                <w:w w:val="90"/>
                <w:sz w:val="15"/>
              </w:rPr>
              <w:t>０ ０００６６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3501" w:type="dxa"/>
            <w:tcBorders>
              <w:top w:val="single" w:color="231F20" w:sz="4" w:space="0"/>
              <w:right w:val="single" w:color="231F20" w:sz="4" w:space="0"/>
            </w:tcBorders>
          </w:tcPr>
          <w:p>
            <w:pPr>
              <w:pStyle w:val="11"/>
              <w:spacing w:before="40"/>
              <w:ind w:left="10" w:right="12"/>
              <w:jc w:val="center"/>
              <w:rPr>
                <w:rFonts w:hint="eastAsia" w:ascii="MS UI Gothic" w:eastAsia="MS UI Gothic"/>
                <w:sz w:val="15"/>
              </w:rPr>
            </w:pPr>
            <w:r>
              <w:rPr>
                <w:sz w:val="15"/>
              </w:rPr>
              <w:t xml:space="preserve">氨 </w:t>
            </w:r>
            <w:r>
              <w:rPr>
                <w:rFonts w:hint="eastAsia" w:ascii="MS UI Gothic" w:eastAsia="MS UI Gothic"/>
                <w:sz w:val="15"/>
              </w:rPr>
              <w:t>ＮＨ３</w:t>
            </w:r>
          </w:p>
        </w:tc>
        <w:tc>
          <w:tcPr>
            <w:tcW w:w="4464" w:type="dxa"/>
            <w:tcBorders>
              <w:top w:val="single" w:color="231F20" w:sz="4" w:space="0"/>
              <w:left w:val="single" w:color="231F20" w:sz="4" w:space="0"/>
            </w:tcBorders>
          </w:tcPr>
          <w:p>
            <w:pPr>
              <w:pStyle w:val="11"/>
              <w:spacing w:before="55"/>
              <w:ind w:left="1589" w:right="1573"/>
              <w:jc w:val="center"/>
              <w:rPr>
                <w:rFonts w:hint="eastAsia" w:ascii="MS UI Gothic" w:eastAsia="MS UI Gothic"/>
                <w:sz w:val="15"/>
              </w:rPr>
            </w:pPr>
            <w:r>
              <w:rPr>
                <w:rFonts w:hint="eastAsia" w:ascii="MS UI Gothic" w:eastAsia="MS UI Gothic"/>
                <w:w w:val="90"/>
                <w:sz w:val="15"/>
              </w:rPr>
              <w:t>０ ００４</w:t>
            </w:r>
          </w:p>
        </w:tc>
      </w:tr>
    </w:tbl>
    <w:p>
      <w:pPr>
        <w:pStyle w:val="6"/>
        <w:spacing w:before="3"/>
        <w:ind w:left="0" w:firstLine="0"/>
        <w:jc w:val="left"/>
        <w:rPr>
          <w:sz w:val="8"/>
        </w:rPr>
      </w:pPr>
    </w:p>
    <w:p>
      <w:pPr>
        <w:spacing w:after="0"/>
        <w:jc w:val="left"/>
        <w:rPr>
          <w:sz w:val="8"/>
        </w:rPr>
        <w:sectPr>
          <w:type w:val="continuous"/>
          <w:pgSz w:w="10500" w:h="14750"/>
          <w:pgMar w:top="1400" w:right="980" w:bottom="280" w:left="980" w:header="720" w:footer="720" w:gutter="0"/>
        </w:sectPr>
      </w:pPr>
    </w:p>
    <w:p>
      <w:pPr>
        <w:pStyle w:val="6"/>
        <w:spacing w:before="174" w:line="295" w:lineRule="auto"/>
        <w:ind w:right="38"/>
        <w:jc w:val="left"/>
        <w:rPr>
          <w:rFonts w:hint="eastAsia" w:ascii="MS UI Gothic" w:eastAsia="MS UI Gothic"/>
        </w:rPr>
      </w:pPr>
      <w:r>
        <w:t>甲烷</w:t>
      </w:r>
      <w:r>
        <w:rPr>
          <w:rFonts w:hint="eastAsia" w:ascii="MS UI Gothic" w:eastAsia="MS UI Gothic"/>
          <w:w w:val="80"/>
        </w:rPr>
        <w:t xml:space="preserve">、 </w:t>
      </w:r>
      <w:r>
        <w:t>二氧化碳和 氢气的允许浓度按本规程的有关规定执行</w:t>
      </w:r>
      <w:r>
        <w:rPr>
          <w:rFonts w:hint="eastAsia" w:ascii="MS UI Gothic" w:eastAsia="MS UI Gothic"/>
          <w:w w:val="80"/>
        </w:rPr>
        <w:t>ꎮ</w:t>
      </w:r>
    </w:p>
    <w:p>
      <w:pPr>
        <w:pStyle w:val="6"/>
        <w:spacing w:line="255" w:lineRule="exact"/>
        <w:ind w:left="543" w:firstLine="0"/>
        <w:jc w:val="left"/>
      </w:pPr>
      <w:r>
        <w:t>矿井中所有气体的浓度均按体积百分</w:t>
      </w:r>
    </w:p>
    <w:p>
      <w:pPr>
        <w:pStyle w:val="6"/>
        <w:spacing w:before="174"/>
        <w:ind w:firstLine="0"/>
        <w:jc w:val="left"/>
        <w:rPr>
          <w:rFonts w:hint="eastAsia" w:ascii="MS UI Gothic" w:eastAsia="MS UI Gothic"/>
        </w:rPr>
      </w:pPr>
      <w:r>
        <w:br w:type="column"/>
      </w:r>
      <w:r>
        <w:t>比计算</w:t>
      </w:r>
      <w:r>
        <w:rPr>
          <w:rFonts w:hint="eastAsia" w:ascii="MS UI Gothic" w:eastAsia="MS UI Gothic"/>
          <w:w w:val="80"/>
        </w:rPr>
        <w:t>ꎮ</w:t>
      </w:r>
    </w:p>
    <w:p>
      <w:pPr>
        <w:pStyle w:val="6"/>
        <w:tabs>
          <w:tab w:val="left" w:pos="2220"/>
        </w:tabs>
        <w:spacing w:before="58" w:line="295" w:lineRule="auto"/>
        <w:ind w:right="442"/>
        <w:jc w:val="left"/>
        <w:rPr>
          <w:rFonts w:hint="eastAsia" w:ascii="MS UI Gothic" w:eastAsia="MS UI Gothic"/>
        </w:rPr>
      </w:pPr>
      <w:r>
        <w:rPr>
          <w:spacing w:val="3"/>
        </w:rPr>
        <w:t>第一百三十六</w:t>
      </w:r>
      <w:r>
        <w:t>条</w:t>
      </w:r>
      <w:r>
        <w:tab/>
      </w:r>
      <w:r>
        <w:rPr>
          <w:spacing w:val="3"/>
        </w:rPr>
        <w:t>井巷中的风流速</w:t>
      </w:r>
      <w:r>
        <w:rPr>
          <w:spacing w:val="-11"/>
        </w:rPr>
        <w:t>度</w:t>
      </w:r>
      <w:r>
        <w:rPr>
          <w:spacing w:val="3"/>
        </w:rPr>
        <w:t>应当符合</w:t>
      </w:r>
      <w:r>
        <w:t>表</w:t>
      </w:r>
      <w:r>
        <w:rPr>
          <w:spacing w:val="-51"/>
        </w:rPr>
        <w:t xml:space="preserve"> </w:t>
      </w:r>
      <w:r>
        <w:rPr>
          <w:rFonts w:hint="eastAsia" w:ascii="MS UI Gothic" w:eastAsia="MS UI Gothic"/>
          <w:w w:val="80"/>
        </w:rPr>
        <w:t>５</w:t>
      </w:r>
      <w:r>
        <w:rPr>
          <w:rFonts w:hint="eastAsia" w:ascii="MS UI Gothic" w:eastAsia="MS UI Gothic"/>
          <w:spacing w:val="8"/>
          <w:w w:val="80"/>
        </w:rPr>
        <w:t xml:space="preserve"> </w:t>
      </w:r>
      <w:r>
        <w:rPr>
          <w:spacing w:val="3"/>
        </w:rPr>
        <w:t>要求</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11"/>
        <w:ind w:left="0" w:firstLine="0"/>
        <w:jc w:val="left"/>
        <w:rPr>
          <w:rFonts w:ascii="MS UI Gothic"/>
          <w:sz w:val="10"/>
        </w:rPr>
      </w:pPr>
    </w:p>
    <w:p>
      <w:pPr>
        <w:pStyle w:val="6"/>
        <w:spacing w:before="174"/>
        <w:ind w:left="310" w:right="628" w:firstLine="0"/>
        <w:jc w:val="center"/>
      </w:pPr>
      <w:r>
        <w:rPr>
          <w:w w:val="95"/>
        </w:rPr>
        <w:t xml:space="preserve">表 </w:t>
      </w:r>
      <w:r>
        <w:rPr>
          <w:rFonts w:hint="eastAsia" w:ascii="MS UI Gothic" w:eastAsia="MS UI Gothic"/>
          <w:w w:val="95"/>
        </w:rPr>
        <w:t xml:space="preserve">５  </w:t>
      </w:r>
      <w:r>
        <w:rPr>
          <w:w w:val="95"/>
        </w:rPr>
        <w:t>井巷中的允许风流速度</w:t>
      </w:r>
    </w:p>
    <w:p>
      <w:pPr>
        <w:pStyle w:val="6"/>
        <w:spacing w:before="1"/>
        <w:ind w:left="0" w:firstLine="0"/>
        <w:jc w:val="left"/>
        <w:rPr>
          <w:sz w:val="6"/>
        </w:rPr>
      </w:pPr>
    </w:p>
    <w:tbl>
      <w:tblPr>
        <w:tblStyle w:val="7"/>
        <w:tblW w:w="0" w:type="auto"/>
        <w:tblInd w:w="135"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4456"/>
        <w:gridCol w:w="637"/>
        <w:gridCol w:w="287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3" w:hRule="atLeast"/>
        </w:trPr>
        <w:tc>
          <w:tcPr>
            <w:tcW w:w="4456" w:type="dxa"/>
            <w:vMerge w:val="restart"/>
            <w:tcBorders>
              <w:left w:val="single" w:color="231F20" w:sz="8" w:space="0"/>
            </w:tcBorders>
          </w:tcPr>
          <w:p>
            <w:pPr>
              <w:pStyle w:val="11"/>
              <w:spacing w:before="4"/>
              <w:rPr>
                <w:sz w:val="16"/>
              </w:rPr>
            </w:pPr>
          </w:p>
          <w:p>
            <w:pPr>
              <w:pStyle w:val="11"/>
              <w:ind w:left="1654" w:right="1644"/>
              <w:jc w:val="center"/>
              <w:rPr>
                <w:sz w:val="15"/>
              </w:rPr>
            </w:pPr>
            <w:r>
              <w:rPr>
                <w:w w:val="105"/>
                <w:sz w:val="15"/>
              </w:rPr>
              <w:t>井  巷  名  称</w:t>
            </w:r>
          </w:p>
        </w:tc>
        <w:tc>
          <w:tcPr>
            <w:tcW w:w="3510" w:type="dxa"/>
            <w:gridSpan w:val="2"/>
            <w:tcBorders>
              <w:top w:val="single" w:color="231F20" w:sz="8" w:space="0"/>
              <w:right w:val="single" w:color="231F20" w:sz="8" w:space="0"/>
            </w:tcBorders>
          </w:tcPr>
          <w:p>
            <w:pPr>
              <w:pStyle w:val="11"/>
              <w:spacing w:before="38"/>
              <w:ind w:left="1027"/>
              <w:rPr>
                <w:rFonts w:hint="eastAsia" w:ascii="MS UI Gothic" w:eastAsia="MS UI Gothic"/>
                <w:sz w:val="15"/>
              </w:rPr>
            </w:pPr>
            <w:r>
              <w:rPr>
                <w:spacing w:val="7"/>
                <w:w w:val="103"/>
                <w:sz w:val="15"/>
              </w:rPr>
              <w:t>允许风速</w:t>
            </w:r>
            <w:r>
              <w:rPr>
                <w:rFonts w:hint="eastAsia" w:ascii="MS UI Gothic" w:eastAsia="MS UI Gothic"/>
                <w:w w:val="34"/>
                <w:sz w:val="15"/>
              </w:rPr>
              <w:t>/</w:t>
            </w:r>
            <w:r>
              <w:rPr>
                <w:rFonts w:hint="eastAsia" w:ascii="MS UI Gothic" w:eastAsia="MS UI Gothic"/>
                <w:spacing w:val="11"/>
                <w:sz w:val="15"/>
              </w:rPr>
              <w:t xml:space="preserve">  </w:t>
            </w:r>
            <w:r>
              <w:rPr>
                <w:rFonts w:hint="eastAsia" w:ascii="MS UI Gothic" w:eastAsia="MS UI Gothic"/>
                <w:w w:val="169"/>
                <w:sz w:val="15"/>
              </w:rPr>
              <w:t>(</w:t>
            </w:r>
            <w:r>
              <w:rPr>
                <w:rFonts w:hint="eastAsia" w:ascii="MS UI Gothic" w:eastAsia="MS UI Gothic"/>
                <w:spacing w:val="-29"/>
                <w:sz w:val="15"/>
              </w:rPr>
              <w:t xml:space="preserve"> </w:t>
            </w:r>
            <w:r>
              <w:rPr>
                <w:rFonts w:hint="eastAsia" w:ascii="MS UI Gothic" w:eastAsia="MS UI Gothic"/>
                <w:spacing w:val="2"/>
                <w:w w:val="79"/>
                <w:sz w:val="15"/>
              </w:rPr>
              <w:t>ｍ</w:t>
            </w:r>
            <w:r>
              <w:rPr>
                <w:rFonts w:hint="eastAsia" w:ascii="MS UI Gothic" w:eastAsia="MS UI Gothic"/>
                <w:spacing w:val="7"/>
                <w:w w:val="70"/>
                <w:sz w:val="15"/>
              </w:rPr>
              <w:t>ｓ</w:t>
            </w:r>
            <w:r>
              <w:rPr>
                <w:rFonts w:hint="eastAsia" w:ascii="MS UI Gothic" w:eastAsia="MS UI Gothic"/>
                <w:spacing w:val="7"/>
                <w:w w:val="56"/>
                <w:position w:val="7"/>
                <w:sz w:val="10"/>
              </w:rPr>
              <w:t>－</w:t>
            </w:r>
            <w:r>
              <w:rPr>
                <w:rFonts w:hint="eastAsia" w:ascii="MS UI Gothic" w:eastAsia="MS UI Gothic"/>
                <w:w w:val="75"/>
                <w:position w:val="6"/>
                <w:sz w:val="10"/>
              </w:rPr>
              <w:t>１</w:t>
            </w:r>
            <w:r>
              <w:rPr>
                <w:rFonts w:hint="eastAsia" w:ascii="MS UI Gothic" w:eastAsia="MS UI Gothic"/>
                <w:spacing w:val="-13"/>
                <w:position w:val="6"/>
                <w:sz w:val="10"/>
              </w:rPr>
              <w:t xml:space="preserve"> </w:t>
            </w:r>
            <w:r>
              <w:rPr>
                <w:rFonts w:hint="eastAsia" w:ascii="MS UI Gothic" w:eastAsia="MS UI Gothic"/>
                <w:w w:val="169"/>
                <w:sz w:val="15"/>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vMerge w:val="continue"/>
            <w:tcBorders>
              <w:top w:val="nil"/>
              <w:left w:val="single" w:color="231F20" w:sz="8" w:space="0"/>
            </w:tcBorders>
          </w:tcPr>
          <w:p>
            <w:pPr>
              <w:rPr>
                <w:sz w:val="2"/>
                <w:szCs w:val="2"/>
              </w:rPr>
            </w:pPr>
          </w:p>
        </w:tc>
        <w:tc>
          <w:tcPr>
            <w:tcW w:w="637" w:type="dxa"/>
          </w:tcPr>
          <w:p>
            <w:pPr>
              <w:pStyle w:val="11"/>
              <w:spacing w:before="55"/>
              <w:ind w:left="118" w:right="104"/>
              <w:jc w:val="center"/>
              <w:rPr>
                <w:sz w:val="15"/>
              </w:rPr>
            </w:pPr>
            <w:r>
              <w:rPr>
                <w:w w:val="105"/>
                <w:sz w:val="15"/>
              </w:rPr>
              <w:t>最低</w:t>
            </w:r>
          </w:p>
        </w:tc>
        <w:tc>
          <w:tcPr>
            <w:tcW w:w="2873" w:type="dxa"/>
            <w:tcBorders>
              <w:right w:val="single" w:color="231F20" w:sz="8" w:space="0"/>
            </w:tcBorders>
          </w:tcPr>
          <w:p>
            <w:pPr>
              <w:pStyle w:val="11"/>
              <w:spacing w:before="55"/>
              <w:ind w:left="1260" w:right="1242"/>
              <w:jc w:val="center"/>
              <w:rPr>
                <w:sz w:val="15"/>
              </w:rPr>
            </w:pPr>
            <w:r>
              <w:rPr>
                <w:w w:val="105"/>
                <w:sz w:val="15"/>
              </w:rPr>
              <w:t>最高</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tcBorders>
              <w:left w:val="single" w:color="231F20" w:sz="8" w:space="0"/>
            </w:tcBorders>
          </w:tcPr>
          <w:p>
            <w:pPr>
              <w:pStyle w:val="11"/>
              <w:spacing w:before="55"/>
              <w:ind w:left="263"/>
              <w:rPr>
                <w:sz w:val="15"/>
              </w:rPr>
            </w:pPr>
            <w:r>
              <w:rPr>
                <w:w w:val="105"/>
                <w:sz w:val="15"/>
              </w:rPr>
              <w:t>无提升设备的风井和风硐</w:t>
            </w:r>
          </w:p>
        </w:tc>
        <w:tc>
          <w:tcPr>
            <w:tcW w:w="637" w:type="dxa"/>
          </w:tcPr>
          <w:p>
            <w:pPr>
              <w:pStyle w:val="11"/>
              <w:rPr>
                <w:rFonts w:ascii="Times New Roman"/>
                <w:sz w:val="18"/>
              </w:rPr>
            </w:pPr>
          </w:p>
        </w:tc>
        <w:tc>
          <w:tcPr>
            <w:tcW w:w="2873" w:type="dxa"/>
            <w:tcBorders>
              <w:right w:val="single" w:color="231F20" w:sz="8" w:space="0"/>
            </w:tcBorders>
          </w:tcPr>
          <w:p>
            <w:pPr>
              <w:pStyle w:val="11"/>
              <w:spacing w:before="55"/>
              <w:ind w:left="1256" w:right="1242"/>
              <w:jc w:val="center"/>
              <w:rPr>
                <w:rFonts w:hint="eastAsia" w:ascii="MS UI Gothic" w:eastAsia="MS UI Gothic"/>
                <w:sz w:val="15"/>
              </w:rPr>
            </w:pPr>
            <w:r>
              <w:rPr>
                <w:rFonts w:hint="eastAsia" w:ascii="MS UI Gothic" w:eastAsia="MS UI Gothic"/>
                <w:w w:val="85"/>
                <w:sz w:val="15"/>
              </w:rPr>
              <w:t>１５</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tcBorders>
              <w:left w:val="single" w:color="231F20" w:sz="8" w:space="0"/>
            </w:tcBorders>
          </w:tcPr>
          <w:p>
            <w:pPr>
              <w:pStyle w:val="11"/>
              <w:spacing w:before="55"/>
              <w:ind w:left="263"/>
              <w:rPr>
                <w:sz w:val="15"/>
              </w:rPr>
            </w:pPr>
            <w:r>
              <w:rPr>
                <w:w w:val="105"/>
                <w:sz w:val="15"/>
              </w:rPr>
              <w:t>专为升降物料的井筒</w:t>
            </w:r>
          </w:p>
        </w:tc>
        <w:tc>
          <w:tcPr>
            <w:tcW w:w="637" w:type="dxa"/>
          </w:tcPr>
          <w:p>
            <w:pPr>
              <w:pStyle w:val="11"/>
              <w:rPr>
                <w:rFonts w:ascii="Times New Roman"/>
                <w:sz w:val="18"/>
              </w:rPr>
            </w:pPr>
          </w:p>
        </w:tc>
        <w:tc>
          <w:tcPr>
            <w:tcW w:w="2873" w:type="dxa"/>
            <w:tcBorders>
              <w:right w:val="single" w:color="231F20" w:sz="8" w:space="0"/>
            </w:tcBorders>
          </w:tcPr>
          <w:p>
            <w:pPr>
              <w:pStyle w:val="11"/>
              <w:spacing w:before="55"/>
              <w:ind w:left="1256" w:right="1242"/>
              <w:jc w:val="center"/>
              <w:rPr>
                <w:rFonts w:hint="eastAsia" w:ascii="MS UI Gothic" w:eastAsia="MS UI Gothic"/>
                <w:sz w:val="15"/>
              </w:rPr>
            </w:pPr>
            <w:r>
              <w:rPr>
                <w:rFonts w:hint="eastAsia" w:ascii="MS UI Gothic" w:eastAsia="MS UI Gothic"/>
                <w:w w:val="85"/>
                <w:sz w:val="15"/>
              </w:rPr>
              <w:t>１２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tcBorders>
              <w:left w:val="single" w:color="231F20" w:sz="8" w:space="0"/>
            </w:tcBorders>
          </w:tcPr>
          <w:p>
            <w:pPr>
              <w:pStyle w:val="11"/>
              <w:spacing w:before="55"/>
              <w:ind w:left="263"/>
              <w:rPr>
                <w:sz w:val="15"/>
              </w:rPr>
            </w:pPr>
            <w:r>
              <w:rPr>
                <w:w w:val="105"/>
                <w:sz w:val="15"/>
              </w:rPr>
              <w:t>风 桥</w:t>
            </w:r>
          </w:p>
        </w:tc>
        <w:tc>
          <w:tcPr>
            <w:tcW w:w="637" w:type="dxa"/>
          </w:tcPr>
          <w:p>
            <w:pPr>
              <w:pStyle w:val="11"/>
              <w:rPr>
                <w:rFonts w:ascii="Times New Roman"/>
                <w:sz w:val="18"/>
              </w:rPr>
            </w:pPr>
          </w:p>
        </w:tc>
        <w:tc>
          <w:tcPr>
            <w:tcW w:w="2873" w:type="dxa"/>
            <w:tcBorders>
              <w:right w:val="single" w:color="231F20" w:sz="8" w:space="0"/>
            </w:tcBorders>
          </w:tcPr>
          <w:p>
            <w:pPr>
              <w:pStyle w:val="11"/>
              <w:spacing w:before="55"/>
              <w:ind w:left="1256" w:right="1242"/>
              <w:jc w:val="center"/>
              <w:rPr>
                <w:rFonts w:hint="eastAsia" w:ascii="MS UI Gothic" w:eastAsia="MS UI Gothic"/>
                <w:sz w:val="15"/>
              </w:rPr>
            </w:pPr>
            <w:r>
              <w:rPr>
                <w:rFonts w:hint="eastAsia" w:ascii="MS UI Gothic" w:eastAsia="MS UI Gothic"/>
                <w:w w:val="85"/>
                <w:sz w:val="15"/>
              </w:rPr>
              <w:t>１０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tcBorders>
              <w:left w:val="single" w:color="231F20" w:sz="8" w:space="0"/>
            </w:tcBorders>
          </w:tcPr>
          <w:p>
            <w:pPr>
              <w:pStyle w:val="11"/>
              <w:spacing w:before="55"/>
              <w:ind w:left="263"/>
              <w:rPr>
                <w:sz w:val="15"/>
              </w:rPr>
            </w:pPr>
            <w:r>
              <w:rPr>
                <w:w w:val="105"/>
                <w:sz w:val="15"/>
              </w:rPr>
              <w:t>升降人员和物料的井筒</w:t>
            </w:r>
          </w:p>
        </w:tc>
        <w:tc>
          <w:tcPr>
            <w:tcW w:w="637" w:type="dxa"/>
          </w:tcPr>
          <w:p>
            <w:pPr>
              <w:pStyle w:val="11"/>
              <w:rPr>
                <w:rFonts w:ascii="Times New Roman"/>
                <w:sz w:val="18"/>
              </w:rPr>
            </w:pPr>
          </w:p>
        </w:tc>
        <w:tc>
          <w:tcPr>
            <w:tcW w:w="2873" w:type="dxa"/>
            <w:tcBorders>
              <w:right w:val="single" w:color="231F20" w:sz="8" w:space="0"/>
            </w:tcBorders>
          </w:tcPr>
          <w:p>
            <w:pPr>
              <w:pStyle w:val="11"/>
              <w:spacing w:before="55"/>
              <w:ind w:left="14"/>
              <w:jc w:val="center"/>
              <w:rPr>
                <w:rFonts w:hint="eastAsia" w:ascii="MS UI Gothic" w:eastAsia="MS UI Gothic"/>
                <w:sz w:val="15"/>
              </w:rPr>
            </w:pPr>
            <w:r>
              <w:rPr>
                <w:rFonts w:hint="eastAsia" w:ascii="MS UI Gothic" w:eastAsia="MS UI Gothic"/>
                <w:w w:val="75"/>
                <w:sz w:val="15"/>
              </w:rPr>
              <w:t>８</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tcBorders>
              <w:left w:val="single" w:color="231F20" w:sz="8" w:space="0"/>
            </w:tcBorders>
          </w:tcPr>
          <w:p>
            <w:pPr>
              <w:pStyle w:val="11"/>
              <w:spacing w:before="55"/>
              <w:ind w:left="263"/>
              <w:rPr>
                <w:sz w:val="15"/>
              </w:rPr>
            </w:pPr>
            <w:r>
              <w:rPr>
                <w:sz w:val="15"/>
              </w:rPr>
              <w:t>主要进</w:t>
            </w:r>
            <w:r>
              <w:rPr>
                <w:rFonts w:hint="eastAsia" w:ascii="MS UI Gothic" w:eastAsia="MS UI Gothic"/>
                <w:sz w:val="15"/>
              </w:rPr>
              <w:t xml:space="preserve">、 </w:t>
            </w:r>
            <w:r>
              <w:rPr>
                <w:sz w:val="15"/>
              </w:rPr>
              <w:t>回风巷</w:t>
            </w:r>
          </w:p>
        </w:tc>
        <w:tc>
          <w:tcPr>
            <w:tcW w:w="637" w:type="dxa"/>
          </w:tcPr>
          <w:p>
            <w:pPr>
              <w:pStyle w:val="11"/>
              <w:rPr>
                <w:rFonts w:ascii="Times New Roman"/>
                <w:sz w:val="18"/>
              </w:rPr>
            </w:pPr>
          </w:p>
        </w:tc>
        <w:tc>
          <w:tcPr>
            <w:tcW w:w="2873" w:type="dxa"/>
            <w:tcBorders>
              <w:right w:val="single" w:color="231F20" w:sz="8" w:space="0"/>
            </w:tcBorders>
          </w:tcPr>
          <w:p>
            <w:pPr>
              <w:pStyle w:val="11"/>
              <w:spacing w:before="55"/>
              <w:ind w:left="14"/>
              <w:jc w:val="center"/>
              <w:rPr>
                <w:rFonts w:hint="eastAsia" w:ascii="MS UI Gothic" w:eastAsia="MS UI Gothic"/>
                <w:sz w:val="15"/>
              </w:rPr>
            </w:pPr>
            <w:r>
              <w:rPr>
                <w:rFonts w:hint="eastAsia" w:ascii="MS UI Gothic" w:eastAsia="MS UI Gothic"/>
                <w:w w:val="75"/>
                <w:sz w:val="15"/>
              </w:rPr>
              <w:t>８</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tcBorders>
              <w:left w:val="single" w:color="231F20" w:sz="8" w:space="0"/>
            </w:tcBorders>
          </w:tcPr>
          <w:p>
            <w:pPr>
              <w:pStyle w:val="11"/>
              <w:spacing w:before="55"/>
              <w:ind w:left="263"/>
              <w:rPr>
                <w:sz w:val="15"/>
              </w:rPr>
            </w:pPr>
            <w:r>
              <w:rPr>
                <w:w w:val="105"/>
                <w:sz w:val="15"/>
              </w:rPr>
              <w:t>架线电机车巷道</w:t>
            </w:r>
          </w:p>
        </w:tc>
        <w:tc>
          <w:tcPr>
            <w:tcW w:w="637" w:type="dxa"/>
          </w:tcPr>
          <w:p>
            <w:pPr>
              <w:pStyle w:val="11"/>
              <w:spacing w:before="55"/>
              <w:ind w:left="118" w:right="108"/>
              <w:jc w:val="center"/>
              <w:rPr>
                <w:rFonts w:hint="eastAsia" w:ascii="MS UI Gothic" w:eastAsia="MS UI Gothic"/>
                <w:sz w:val="15"/>
              </w:rPr>
            </w:pPr>
            <w:r>
              <w:rPr>
                <w:rFonts w:hint="eastAsia" w:ascii="MS UI Gothic" w:eastAsia="MS UI Gothic"/>
                <w:w w:val="90"/>
                <w:sz w:val="15"/>
              </w:rPr>
              <w:t>１ ０</w:t>
            </w:r>
          </w:p>
        </w:tc>
        <w:tc>
          <w:tcPr>
            <w:tcW w:w="2873" w:type="dxa"/>
            <w:tcBorders>
              <w:right w:val="single" w:color="231F20" w:sz="8" w:space="0"/>
            </w:tcBorders>
          </w:tcPr>
          <w:p>
            <w:pPr>
              <w:pStyle w:val="11"/>
              <w:spacing w:before="55"/>
              <w:ind w:left="14"/>
              <w:jc w:val="center"/>
              <w:rPr>
                <w:rFonts w:hint="eastAsia" w:ascii="MS UI Gothic" w:eastAsia="MS UI Gothic"/>
                <w:sz w:val="15"/>
              </w:rPr>
            </w:pPr>
            <w:r>
              <w:rPr>
                <w:rFonts w:hint="eastAsia" w:ascii="MS UI Gothic" w:eastAsia="MS UI Gothic"/>
                <w:w w:val="75"/>
                <w:sz w:val="15"/>
              </w:rPr>
              <w:t>８</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tcBorders>
              <w:left w:val="single" w:color="231F20" w:sz="8" w:space="0"/>
            </w:tcBorders>
          </w:tcPr>
          <w:p>
            <w:pPr>
              <w:pStyle w:val="11"/>
              <w:spacing w:before="55"/>
              <w:ind w:left="263"/>
              <w:rPr>
                <w:sz w:val="15"/>
              </w:rPr>
            </w:pPr>
            <w:r>
              <w:rPr>
                <w:sz w:val="15"/>
              </w:rPr>
              <w:t>输送机巷</w:t>
            </w:r>
            <w:r>
              <w:rPr>
                <w:rFonts w:hint="eastAsia" w:ascii="MS UI Gothic" w:eastAsia="MS UI Gothic"/>
                <w:w w:val="80"/>
                <w:sz w:val="15"/>
              </w:rPr>
              <w:t xml:space="preserve">ꎬ </w:t>
            </w:r>
            <w:r>
              <w:rPr>
                <w:sz w:val="15"/>
              </w:rPr>
              <w:t>采区进</w:t>
            </w:r>
            <w:r>
              <w:rPr>
                <w:rFonts w:hint="eastAsia" w:ascii="MS UI Gothic" w:eastAsia="MS UI Gothic"/>
                <w:w w:val="80"/>
                <w:sz w:val="15"/>
              </w:rPr>
              <w:t xml:space="preserve">、 </w:t>
            </w:r>
            <w:r>
              <w:rPr>
                <w:sz w:val="15"/>
              </w:rPr>
              <w:t>回风巷</w:t>
            </w:r>
          </w:p>
        </w:tc>
        <w:tc>
          <w:tcPr>
            <w:tcW w:w="637" w:type="dxa"/>
          </w:tcPr>
          <w:p>
            <w:pPr>
              <w:pStyle w:val="11"/>
              <w:spacing w:before="55"/>
              <w:ind w:left="118" w:right="108"/>
              <w:jc w:val="center"/>
              <w:rPr>
                <w:rFonts w:hint="eastAsia" w:ascii="MS UI Gothic" w:eastAsia="MS UI Gothic"/>
                <w:sz w:val="15"/>
              </w:rPr>
            </w:pPr>
            <w:r>
              <w:rPr>
                <w:rFonts w:hint="eastAsia" w:ascii="MS UI Gothic" w:eastAsia="MS UI Gothic"/>
                <w:w w:val="90"/>
                <w:sz w:val="15"/>
              </w:rPr>
              <w:t>０ ２５</w:t>
            </w:r>
          </w:p>
        </w:tc>
        <w:tc>
          <w:tcPr>
            <w:tcW w:w="2873" w:type="dxa"/>
            <w:tcBorders>
              <w:right w:val="single" w:color="231F20" w:sz="8" w:space="0"/>
            </w:tcBorders>
          </w:tcPr>
          <w:p>
            <w:pPr>
              <w:pStyle w:val="11"/>
              <w:spacing w:before="55"/>
              <w:ind w:left="14"/>
              <w:jc w:val="center"/>
              <w:rPr>
                <w:rFonts w:hint="eastAsia" w:ascii="MS UI Gothic" w:eastAsia="MS UI Gothic"/>
                <w:sz w:val="15"/>
              </w:rPr>
            </w:pPr>
            <w:r>
              <w:rPr>
                <w:rFonts w:hint="eastAsia" w:ascii="MS UI Gothic" w:eastAsia="MS UI Gothic"/>
                <w:w w:val="75"/>
                <w:sz w:val="15"/>
              </w:rPr>
              <w:t>６</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tcBorders>
              <w:left w:val="single" w:color="231F20" w:sz="8" w:space="0"/>
            </w:tcBorders>
          </w:tcPr>
          <w:p>
            <w:pPr>
              <w:pStyle w:val="11"/>
              <w:spacing w:before="55"/>
              <w:ind w:left="263"/>
              <w:rPr>
                <w:sz w:val="15"/>
              </w:rPr>
            </w:pPr>
            <w:r>
              <w:rPr>
                <w:sz w:val="15"/>
              </w:rPr>
              <w:t>采煤工作面</w:t>
            </w:r>
            <w:r>
              <w:rPr>
                <w:rFonts w:hint="eastAsia" w:ascii="MS UI Gothic" w:eastAsia="MS UI Gothic"/>
                <w:sz w:val="15"/>
              </w:rPr>
              <w:t xml:space="preserve">、 </w:t>
            </w:r>
            <w:r>
              <w:rPr>
                <w:sz w:val="15"/>
              </w:rPr>
              <w:t>掘进中的煤巷和半煤岩巷</w:t>
            </w:r>
          </w:p>
        </w:tc>
        <w:tc>
          <w:tcPr>
            <w:tcW w:w="637" w:type="dxa"/>
          </w:tcPr>
          <w:p>
            <w:pPr>
              <w:pStyle w:val="11"/>
              <w:spacing w:before="55"/>
              <w:ind w:left="118" w:right="108"/>
              <w:jc w:val="center"/>
              <w:rPr>
                <w:rFonts w:hint="eastAsia" w:ascii="MS UI Gothic" w:eastAsia="MS UI Gothic"/>
                <w:sz w:val="15"/>
              </w:rPr>
            </w:pPr>
            <w:r>
              <w:rPr>
                <w:rFonts w:hint="eastAsia" w:ascii="MS UI Gothic" w:eastAsia="MS UI Gothic"/>
                <w:w w:val="90"/>
                <w:sz w:val="15"/>
              </w:rPr>
              <w:t>０ ２５</w:t>
            </w:r>
          </w:p>
        </w:tc>
        <w:tc>
          <w:tcPr>
            <w:tcW w:w="2873" w:type="dxa"/>
            <w:tcBorders>
              <w:right w:val="single" w:color="231F20" w:sz="8" w:space="0"/>
            </w:tcBorders>
          </w:tcPr>
          <w:p>
            <w:pPr>
              <w:pStyle w:val="11"/>
              <w:spacing w:before="55"/>
              <w:ind w:left="14"/>
              <w:jc w:val="center"/>
              <w:rPr>
                <w:rFonts w:hint="eastAsia" w:ascii="MS UI Gothic" w:eastAsia="MS UI Gothic"/>
                <w:sz w:val="15"/>
              </w:rPr>
            </w:pPr>
            <w:r>
              <w:rPr>
                <w:rFonts w:hint="eastAsia" w:ascii="MS UI Gothic" w:eastAsia="MS UI Gothic"/>
                <w:w w:val="75"/>
                <w:sz w:val="15"/>
              </w:rPr>
              <w:t>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4456" w:type="dxa"/>
            <w:tcBorders>
              <w:left w:val="single" w:color="231F20" w:sz="8" w:space="0"/>
            </w:tcBorders>
          </w:tcPr>
          <w:p>
            <w:pPr>
              <w:pStyle w:val="11"/>
              <w:spacing w:before="55"/>
              <w:ind w:left="263"/>
              <w:rPr>
                <w:sz w:val="15"/>
              </w:rPr>
            </w:pPr>
            <w:r>
              <w:rPr>
                <w:w w:val="105"/>
                <w:sz w:val="15"/>
              </w:rPr>
              <w:t>掘进中的岩巷</w:t>
            </w:r>
          </w:p>
        </w:tc>
        <w:tc>
          <w:tcPr>
            <w:tcW w:w="637" w:type="dxa"/>
          </w:tcPr>
          <w:p>
            <w:pPr>
              <w:pStyle w:val="11"/>
              <w:spacing w:before="55"/>
              <w:ind w:left="118" w:right="108"/>
              <w:jc w:val="center"/>
              <w:rPr>
                <w:rFonts w:hint="eastAsia" w:ascii="MS UI Gothic" w:eastAsia="MS UI Gothic"/>
                <w:sz w:val="15"/>
              </w:rPr>
            </w:pPr>
            <w:r>
              <w:rPr>
                <w:rFonts w:hint="eastAsia" w:ascii="MS UI Gothic" w:eastAsia="MS UI Gothic"/>
                <w:w w:val="90"/>
                <w:sz w:val="15"/>
              </w:rPr>
              <w:t>０ １５</w:t>
            </w:r>
          </w:p>
        </w:tc>
        <w:tc>
          <w:tcPr>
            <w:tcW w:w="2873" w:type="dxa"/>
            <w:tcBorders>
              <w:right w:val="single" w:color="231F20" w:sz="8" w:space="0"/>
            </w:tcBorders>
          </w:tcPr>
          <w:p>
            <w:pPr>
              <w:pStyle w:val="11"/>
              <w:spacing w:before="55"/>
              <w:ind w:left="14"/>
              <w:jc w:val="center"/>
              <w:rPr>
                <w:rFonts w:hint="eastAsia" w:ascii="MS UI Gothic" w:eastAsia="MS UI Gothic"/>
                <w:sz w:val="15"/>
              </w:rPr>
            </w:pPr>
            <w:r>
              <w:rPr>
                <w:rFonts w:hint="eastAsia" w:ascii="MS UI Gothic" w:eastAsia="MS UI Gothic"/>
                <w:w w:val="75"/>
                <w:sz w:val="15"/>
              </w:rPr>
              <w:t>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3" w:hRule="atLeast"/>
        </w:trPr>
        <w:tc>
          <w:tcPr>
            <w:tcW w:w="4456" w:type="dxa"/>
            <w:tcBorders>
              <w:left w:val="single" w:color="231F20" w:sz="8" w:space="0"/>
              <w:bottom w:val="single" w:color="231F20" w:sz="8" w:space="0"/>
            </w:tcBorders>
          </w:tcPr>
          <w:p>
            <w:pPr>
              <w:pStyle w:val="11"/>
              <w:spacing w:before="55"/>
              <w:ind w:left="263"/>
              <w:rPr>
                <w:sz w:val="15"/>
              </w:rPr>
            </w:pPr>
            <w:r>
              <w:rPr>
                <w:w w:val="105"/>
                <w:sz w:val="15"/>
              </w:rPr>
              <w:t>其他通风人行巷道</w:t>
            </w:r>
          </w:p>
        </w:tc>
        <w:tc>
          <w:tcPr>
            <w:tcW w:w="637" w:type="dxa"/>
            <w:tcBorders>
              <w:bottom w:val="single" w:color="231F20" w:sz="8" w:space="0"/>
            </w:tcBorders>
          </w:tcPr>
          <w:p>
            <w:pPr>
              <w:pStyle w:val="11"/>
              <w:spacing w:before="55"/>
              <w:ind w:left="118" w:right="108"/>
              <w:jc w:val="center"/>
              <w:rPr>
                <w:rFonts w:hint="eastAsia" w:ascii="MS UI Gothic" w:eastAsia="MS UI Gothic"/>
                <w:sz w:val="15"/>
              </w:rPr>
            </w:pPr>
            <w:r>
              <w:rPr>
                <w:rFonts w:hint="eastAsia" w:ascii="MS UI Gothic" w:eastAsia="MS UI Gothic"/>
                <w:w w:val="90"/>
                <w:sz w:val="15"/>
              </w:rPr>
              <w:t>０ １５</w:t>
            </w:r>
          </w:p>
        </w:tc>
        <w:tc>
          <w:tcPr>
            <w:tcW w:w="2873" w:type="dxa"/>
            <w:tcBorders>
              <w:bottom w:val="single" w:color="231F20" w:sz="8" w:space="0"/>
              <w:right w:val="single" w:color="231F20" w:sz="8" w:space="0"/>
            </w:tcBorders>
          </w:tcPr>
          <w:p>
            <w:pPr>
              <w:pStyle w:val="11"/>
              <w:rPr>
                <w:rFonts w:ascii="Times New Roman"/>
                <w:sz w:val="18"/>
              </w:rPr>
            </w:pPr>
          </w:p>
        </w:tc>
      </w:tr>
    </w:tbl>
    <w:p>
      <w:pPr>
        <w:pStyle w:val="6"/>
        <w:spacing w:before="3"/>
        <w:ind w:left="0" w:firstLine="0"/>
        <w:jc w:val="left"/>
        <w:rPr>
          <w:sz w:val="8"/>
        </w:rPr>
      </w:pPr>
    </w:p>
    <w:p>
      <w:pPr>
        <w:spacing w:after="0"/>
        <w:jc w:val="left"/>
        <w:rPr>
          <w:sz w:val="8"/>
        </w:rPr>
        <w:sectPr>
          <w:type w:val="continuous"/>
          <w:pgSz w:w="10500" w:h="14750"/>
          <w:pgMar w:top="1400" w:right="980" w:bottom="280" w:left="980" w:header="720" w:footer="720" w:gutter="0"/>
        </w:sectPr>
      </w:pPr>
    </w:p>
    <w:p>
      <w:pPr>
        <w:pStyle w:val="6"/>
        <w:spacing w:before="174" w:line="295" w:lineRule="auto"/>
        <w:ind w:right="38"/>
        <w:jc w:val="left"/>
      </w:pPr>
      <w:r>
        <w:t>设有梯子间的井筒或者修理中的井筒</w:t>
      </w:r>
      <w:r>
        <w:rPr>
          <w:rFonts w:hint="eastAsia" w:ascii="MS UI Gothic" w:eastAsia="MS UI Gothic"/>
          <w:w w:val="80"/>
        </w:rPr>
        <w:t xml:space="preserve">ꎬ </w:t>
      </w:r>
      <w:r>
        <w:t xml:space="preserve">风速不得超过 </w:t>
      </w:r>
      <w:r>
        <w:rPr>
          <w:rFonts w:hint="eastAsia" w:ascii="MS UI Gothic" w:eastAsia="MS UI Gothic"/>
        </w:rPr>
        <w:t xml:space="preserve">８ ｍ </w:t>
      </w:r>
      <w:r>
        <w:rPr>
          <w:rFonts w:hint="eastAsia" w:ascii="MS UI Gothic" w:eastAsia="MS UI Gothic"/>
          <w:w w:val="65"/>
        </w:rPr>
        <w:t xml:space="preserve">/ </w:t>
      </w:r>
      <w:r>
        <w:rPr>
          <w:rFonts w:hint="eastAsia" w:ascii="MS UI Gothic" w:eastAsia="MS UI Gothic"/>
          <w:w w:val="80"/>
        </w:rPr>
        <w:t xml:space="preserve">ｓꎻ </w:t>
      </w:r>
      <w:r>
        <w:t>梯子间四周经</w:t>
      </w:r>
    </w:p>
    <w:p>
      <w:pPr>
        <w:pStyle w:val="6"/>
        <w:spacing w:before="174"/>
        <w:ind w:left="130" w:firstLine="0"/>
        <w:jc w:val="left"/>
      </w:pPr>
      <w:r>
        <w:br w:type="column"/>
      </w:r>
      <w:r>
        <w:t>封闭后</w:t>
      </w:r>
      <w:r>
        <w:rPr>
          <w:rFonts w:hint="eastAsia" w:ascii="MS UI Gothic" w:eastAsia="MS UI Gothic"/>
          <w:w w:val="80"/>
        </w:rPr>
        <w:t xml:space="preserve">ꎬ </w:t>
      </w:r>
      <w:r>
        <w:t>井筒中的最高允许风速可以按表</w:t>
      </w:r>
    </w:p>
    <w:p>
      <w:pPr>
        <w:pStyle w:val="6"/>
        <w:spacing w:before="58"/>
        <w:ind w:firstLine="0"/>
        <w:jc w:val="left"/>
        <w:rPr>
          <w:rFonts w:hint="eastAsia" w:ascii="MS UI Gothic" w:eastAsia="MS UI Gothic"/>
        </w:rPr>
      </w:pPr>
      <w:r>
        <w:rPr>
          <w:rFonts w:hint="eastAsia" w:ascii="MS UI Gothic" w:eastAsia="MS UI Gothic"/>
        </w:rPr>
        <w:t xml:space="preserve">５ </w:t>
      </w:r>
      <w:r>
        <w:t>规定执行</w:t>
      </w:r>
      <w:r>
        <w:rPr>
          <w:rFonts w:hint="eastAsia" w:ascii="MS UI Gothic" w:eastAsia="MS UI Gothic"/>
          <w:w w:val="80"/>
        </w:rPr>
        <w:t>ꎮ</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3934" w:space="252"/>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２５９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03" o:spid="_x0000_s1803" o:spt="203" style="height:2.15pt;width:398.25pt;" coordsize="7965,43">
            <o:lock v:ext="edit"/>
            <v:line id="_x0000_s1804" o:spid="_x0000_s1804" o:spt="20" style="position:absolute;left:0;top:39;height:0;width:7965;" stroked="t" coordsize="21600,21600">
              <v:path arrowok="t"/>
              <v:fill focussize="0,0"/>
              <v:stroke weight="0.388031496062992pt" color="#231F20"/>
              <v:imagedata o:title=""/>
              <o:lock v:ext="edit"/>
            </v:line>
            <v:line id="_x0000_s1805" o:spid="_x0000_s180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35" w:firstLine="425"/>
        <w:rPr>
          <w:rFonts w:hint="eastAsia" w:ascii="MS UI Gothic" w:eastAsia="MS UI Gothic"/>
        </w:rPr>
      </w:pPr>
      <w:r>
        <w:t xml:space="preserve">无瓦斯涌出的架线电机车巷道中的最低风速可低于表 </w:t>
      </w:r>
      <w:r>
        <w:rPr>
          <w:rFonts w:hint="eastAsia" w:ascii="MS UI Gothic" w:eastAsia="MS UI Gothic"/>
        </w:rPr>
        <w:t xml:space="preserve">５ </w:t>
      </w:r>
      <w:r>
        <w:t>的规定值</w:t>
      </w:r>
      <w:r>
        <w:rPr>
          <w:rFonts w:hint="eastAsia" w:ascii="MS UI Gothic" w:eastAsia="MS UI Gothic"/>
          <w:w w:val="70"/>
        </w:rPr>
        <w:t xml:space="preserve">ꎬ </w:t>
      </w:r>
      <w:r>
        <w:t>但不得低于</w:t>
      </w:r>
      <w:r>
        <w:rPr>
          <w:rFonts w:hint="eastAsia" w:ascii="MS UI Gothic" w:eastAsia="MS UI Gothic"/>
        </w:rPr>
        <w:t xml:space="preserve">０ ５ ｍ </w:t>
      </w:r>
      <w:r>
        <w:rPr>
          <w:rFonts w:hint="eastAsia" w:ascii="MS UI Gothic" w:eastAsia="MS UI Gothic"/>
          <w:w w:val="70"/>
        </w:rPr>
        <w:t xml:space="preserve">/ </w:t>
      </w:r>
      <w:r>
        <w:rPr>
          <w:rFonts w:hint="eastAsia" w:ascii="MS UI Gothic" w:eastAsia="MS UI Gothic"/>
        </w:rPr>
        <w:t>ｓ</w:t>
      </w:r>
      <w:r>
        <w:rPr>
          <w:rFonts w:hint="eastAsia" w:ascii="MS UI Gothic" w:eastAsia="MS UI Gothic"/>
          <w:w w:val="70"/>
        </w:rPr>
        <w:t>ꎮ</w:t>
      </w:r>
    </w:p>
    <w:p>
      <w:pPr>
        <w:pStyle w:val="6"/>
        <w:spacing w:line="295" w:lineRule="auto"/>
        <w:ind w:left="435" w:firstLine="425"/>
        <w:rPr>
          <w:rFonts w:hint="eastAsia" w:ascii="MS UI Gothic" w:eastAsia="MS UI Gothic"/>
        </w:rPr>
      </w:pPr>
      <w:r>
        <w:rPr>
          <w:spacing w:val="3"/>
        </w:rPr>
        <w:t>综合机械化采煤工作面</w:t>
      </w:r>
      <w:r>
        <w:rPr>
          <w:rFonts w:hint="eastAsia" w:ascii="MS UI Gothic" w:eastAsia="MS UI Gothic"/>
          <w:spacing w:val="10"/>
          <w:w w:val="70"/>
        </w:rPr>
        <w:t xml:space="preserve">ꎬ </w:t>
      </w:r>
      <w:r>
        <w:rPr>
          <w:spacing w:val="2"/>
        </w:rPr>
        <w:t>在采取煤层</w:t>
      </w:r>
      <w:r>
        <w:rPr>
          <w:spacing w:val="3"/>
        </w:rPr>
        <w:t>注水和采煤机喷雾降尘等措施后</w:t>
      </w:r>
      <w:r>
        <w:rPr>
          <w:rFonts w:hint="eastAsia" w:ascii="MS UI Gothic" w:eastAsia="MS UI Gothic"/>
          <w:spacing w:val="14"/>
          <w:w w:val="70"/>
        </w:rPr>
        <w:t xml:space="preserve">ꎬ </w:t>
      </w:r>
      <w:r>
        <w:rPr>
          <w:spacing w:val="1"/>
        </w:rPr>
        <w:t>其最大</w:t>
      </w:r>
      <w:r>
        <w:rPr>
          <w:spacing w:val="3"/>
        </w:rPr>
        <w:t xml:space="preserve">风速可高于表 </w:t>
      </w:r>
      <w:r>
        <w:rPr>
          <w:rFonts w:hint="eastAsia" w:ascii="MS UI Gothic" w:eastAsia="MS UI Gothic"/>
          <w:spacing w:val="10"/>
        </w:rPr>
        <w:t xml:space="preserve">５ </w:t>
      </w:r>
      <w:r>
        <w:rPr>
          <w:spacing w:val="15"/>
        </w:rPr>
        <w:t>的规定值</w:t>
      </w:r>
      <w:r>
        <w:rPr>
          <w:rFonts w:hint="eastAsia" w:ascii="MS UI Gothic" w:eastAsia="MS UI Gothic"/>
          <w:spacing w:val="18"/>
          <w:w w:val="70"/>
        </w:rPr>
        <w:t xml:space="preserve">ꎬ </w:t>
      </w:r>
      <w:r>
        <w:rPr>
          <w:spacing w:val="16"/>
        </w:rPr>
        <w:t>但不得超过</w:t>
      </w:r>
      <w:r>
        <w:rPr>
          <w:rFonts w:hint="eastAsia" w:ascii="MS UI Gothic" w:eastAsia="MS UI Gothic"/>
          <w:spacing w:val="2"/>
        </w:rPr>
        <w:t>５ｍ</w:t>
      </w:r>
      <w:r>
        <w:rPr>
          <w:rFonts w:hint="eastAsia" w:ascii="MS UI Gothic" w:eastAsia="MS UI Gothic"/>
          <w:spacing w:val="-33"/>
        </w:rPr>
        <w:t xml:space="preserve"> </w:t>
      </w:r>
      <w:r>
        <w:rPr>
          <w:rFonts w:hint="eastAsia" w:ascii="MS UI Gothic" w:eastAsia="MS UI Gothic"/>
          <w:w w:val="70"/>
        </w:rPr>
        <w:t xml:space="preserve">/ </w:t>
      </w:r>
      <w:r>
        <w:rPr>
          <w:rFonts w:hint="eastAsia" w:ascii="MS UI Gothic" w:eastAsia="MS UI Gothic"/>
          <w:spacing w:val="3"/>
        </w:rPr>
        <w:t>ｓ</w:t>
      </w:r>
      <w:r>
        <w:rPr>
          <w:rFonts w:hint="eastAsia" w:ascii="MS UI Gothic" w:eastAsia="MS UI Gothic"/>
          <w:w w:val="70"/>
        </w:rPr>
        <w:t>ꎮ</w:t>
      </w:r>
    </w:p>
    <w:p>
      <w:pPr>
        <w:pStyle w:val="6"/>
        <w:spacing w:line="295" w:lineRule="auto"/>
        <w:ind w:left="440"/>
        <w:rPr>
          <w:rFonts w:hint="eastAsia" w:ascii="MS UI Gothic" w:hAnsi="MS UI Gothic" w:eastAsia="MS UI Gothic"/>
        </w:rPr>
      </w:pPr>
      <w:r>
        <w:rPr>
          <w:spacing w:val="4"/>
        </w:rPr>
        <w:t>第一百三十七条 进风井口以下的空</w:t>
      </w:r>
      <w:r>
        <w:rPr>
          <w:spacing w:val="1"/>
        </w:rPr>
        <w:t xml:space="preserve">气温度 </w:t>
      </w:r>
      <w:r>
        <w:rPr>
          <w:rFonts w:hint="eastAsia" w:ascii="MS UI Gothic" w:hAnsi="MS UI Gothic" w:eastAsia="MS UI Gothic"/>
          <w:spacing w:val="-28"/>
          <w:w w:val="145"/>
        </w:rPr>
        <w:t xml:space="preserve">( </w:t>
      </w:r>
      <w:r>
        <w:rPr>
          <w:spacing w:val="19"/>
        </w:rPr>
        <w:t>干球温度</w:t>
      </w:r>
      <w:r>
        <w:rPr>
          <w:rFonts w:hint="eastAsia" w:ascii="MS UI Gothic" w:hAnsi="MS UI Gothic" w:eastAsia="MS UI Gothic"/>
          <w:spacing w:val="6"/>
          <w:w w:val="85"/>
        </w:rPr>
        <w:t xml:space="preserve">ꎬ </w:t>
      </w:r>
      <w:r>
        <w:rPr>
          <w:spacing w:val="23"/>
        </w:rPr>
        <w:t>下同</w:t>
      </w:r>
      <w:r>
        <w:rPr>
          <w:rFonts w:hint="eastAsia" w:ascii="MS UI Gothic" w:hAnsi="MS UI Gothic" w:eastAsia="MS UI Gothic"/>
          <w:spacing w:val="23"/>
          <w:w w:val="145"/>
        </w:rPr>
        <w:t xml:space="preserve">) </w:t>
      </w:r>
      <w:r>
        <w:rPr>
          <w:spacing w:val="7"/>
        </w:rPr>
        <w:t xml:space="preserve">必须在 </w:t>
      </w:r>
      <w:r>
        <w:rPr>
          <w:rFonts w:hint="eastAsia" w:ascii="MS UI Gothic" w:hAnsi="MS UI Gothic" w:eastAsia="MS UI Gothic"/>
          <w:spacing w:val="2"/>
        </w:rPr>
        <w:t xml:space="preserve">２℃ </w:t>
      </w:r>
      <w:r>
        <w:rPr>
          <w:spacing w:val="3"/>
        </w:rPr>
        <w:t>以上</w:t>
      </w:r>
      <w:r>
        <w:rPr>
          <w:rFonts w:hint="eastAsia" w:ascii="MS UI Gothic" w:hAnsi="MS UI Gothic" w:eastAsia="MS UI Gothic"/>
          <w:w w:val="85"/>
        </w:rPr>
        <w:t>ꎮ</w:t>
      </w:r>
    </w:p>
    <w:p>
      <w:pPr>
        <w:pStyle w:val="6"/>
        <w:spacing w:line="295" w:lineRule="auto"/>
        <w:ind w:left="440"/>
        <w:rPr>
          <w:rFonts w:hint="eastAsia" w:ascii="MS UI Gothic" w:eastAsia="MS UI Gothic"/>
        </w:rPr>
      </w:pPr>
      <w:r>
        <w:rPr>
          <w:spacing w:val="2"/>
          <w:w w:val="105"/>
        </w:rPr>
        <w:t>第一百三十八条 矿井需要的风量应</w:t>
      </w:r>
      <w:r>
        <w:rPr>
          <w:spacing w:val="3"/>
        </w:rPr>
        <w:t>当按下列要求分别计算</w:t>
      </w:r>
      <w:r>
        <w:rPr>
          <w:rFonts w:hint="eastAsia" w:ascii="MS UI Gothic" w:eastAsia="MS UI Gothic"/>
          <w:spacing w:val="21"/>
          <w:w w:val="80"/>
        </w:rPr>
        <w:t xml:space="preserve">ꎬ </w:t>
      </w:r>
      <w:r>
        <w:rPr>
          <w:spacing w:val="2"/>
        </w:rPr>
        <w:t>并选取其中的最</w:t>
      </w:r>
      <w:r>
        <w:rPr>
          <w:spacing w:val="3"/>
          <w:w w:val="110"/>
        </w:rPr>
        <w:t>大值</w:t>
      </w:r>
      <w:r>
        <w:rPr>
          <w:rFonts w:hint="eastAsia" w:ascii="MS UI Gothic" w:eastAsia="MS UI Gothic"/>
          <w:w w:val="235"/>
        </w:rPr>
        <w:t>:</w:t>
      </w:r>
    </w:p>
    <w:p>
      <w:pPr>
        <w:pStyle w:val="6"/>
        <w:spacing w:line="290" w:lineRule="auto"/>
        <w:ind w:left="365"/>
        <w:jc w:val="right"/>
      </w:pPr>
      <w:r>
        <w:rPr>
          <w:rFonts w:hint="eastAsia" w:ascii="MS UI Gothic" w:eastAsia="MS UI Gothic"/>
          <w:w w:val="145"/>
        </w:rPr>
        <w:t xml:space="preserve">( </w:t>
      </w:r>
      <w:r>
        <w:rPr>
          <w:w w:val="105"/>
        </w:rPr>
        <w:t>一</w:t>
      </w:r>
      <w:r>
        <w:rPr>
          <w:rFonts w:hint="eastAsia" w:ascii="MS UI Gothic" w:eastAsia="MS UI Gothic"/>
          <w:w w:val="145"/>
        </w:rPr>
        <w:t xml:space="preserve">) </w:t>
      </w:r>
      <w:r>
        <w:rPr>
          <w:w w:val="105"/>
        </w:rPr>
        <w:t>按井下同时工作的最多人数计</w:t>
      </w:r>
      <w:r>
        <w:t>算</w:t>
      </w:r>
      <w:r>
        <w:rPr>
          <w:rFonts w:hint="eastAsia" w:ascii="MS UI Gothic" w:eastAsia="MS UI Gothic"/>
          <w:w w:val="85"/>
        </w:rPr>
        <w:t xml:space="preserve">ꎬ </w:t>
      </w:r>
      <w:r>
        <w:t xml:space="preserve">每人每分钟供给风量不得少于 </w:t>
      </w:r>
      <w:r>
        <w:rPr>
          <w:rFonts w:hint="eastAsia" w:ascii="MS UI Gothic" w:eastAsia="MS UI Gothic"/>
          <w:w w:val="85"/>
        </w:rPr>
        <w:t>４ ｍ</w:t>
      </w:r>
      <w:r>
        <w:rPr>
          <w:rFonts w:hint="eastAsia" w:ascii="MS UI Gothic" w:eastAsia="MS UI Gothic"/>
          <w:w w:val="85"/>
          <w:position w:val="9"/>
          <w:sz w:val="12"/>
        </w:rPr>
        <w:t xml:space="preserve">３ </w:t>
      </w:r>
      <w:r>
        <w:rPr>
          <w:rFonts w:hint="eastAsia" w:ascii="MS UI Gothic" w:eastAsia="MS UI Gothic"/>
          <w:w w:val="85"/>
        </w:rPr>
        <w:t>ꎮ</w:t>
      </w:r>
      <w:r>
        <w:rPr>
          <w:rFonts w:hint="eastAsia" w:ascii="MS UI Gothic" w:eastAsia="MS UI Gothic"/>
          <w:w w:val="51"/>
        </w:rPr>
        <w:t xml:space="preserve"> </w:t>
      </w:r>
      <w:r>
        <w:rPr>
          <w:rFonts w:hint="eastAsia" w:ascii="MS UI Gothic" w:eastAsia="MS UI Gothic"/>
          <w:w w:val="145"/>
        </w:rPr>
        <w:t xml:space="preserve">( </w:t>
      </w:r>
      <w:r>
        <w:rPr>
          <w:w w:val="105"/>
        </w:rPr>
        <w:t>二</w:t>
      </w:r>
      <w:r>
        <w:rPr>
          <w:rFonts w:hint="eastAsia" w:ascii="MS UI Gothic" w:eastAsia="MS UI Gothic"/>
          <w:w w:val="145"/>
        </w:rPr>
        <w:t xml:space="preserve">) </w:t>
      </w:r>
      <w:r>
        <w:rPr>
          <w:w w:val="105"/>
        </w:rPr>
        <w:t>按采掘工作面</w:t>
      </w:r>
      <w:r>
        <w:rPr>
          <w:rFonts w:hint="eastAsia" w:ascii="MS UI Gothic" w:eastAsia="MS UI Gothic"/>
          <w:w w:val="85"/>
        </w:rPr>
        <w:t xml:space="preserve">、 </w:t>
      </w:r>
      <w:r>
        <w:rPr>
          <w:w w:val="105"/>
        </w:rPr>
        <w:t>硐室及其他地</w:t>
      </w:r>
    </w:p>
    <w:p>
      <w:pPr>
        <w:pStyle w:val="6"/>
        <w:spacing w:line="295" w:lineRule="auto"/>
        <w:ind w:left="440" w:firstLine="0"/>
        <w:rPr>
          <w:rFonts w:hint="eastAsia" w:ascii="MS UI Gothic" w:eastAsia="MS UI Gothic"/>
        </w:rPr>
      </w:pPr>
      <w:r>
        <w:t>点实际需要风量的总和进行计算</w:t>
      </w:r>
      <w:r>
        <w:rPr>
          <w:rFonts w:hint="eastAsia" w:ascii="MS UI Gothic" w:eastAsia="MS UI Gothic"/>
          <w:w w:val="80"/>
        </w:rPr>
        <w:t xml:space="preserve">ꎮ </w:t>
      </w:r>
      <w:r>
        <w:t>各地点的实际需要风量</w:t>
      </w:r>
      <w:r>
        <w:rPr>
          <w:rFonts w:hint="eastAsia" w:ascii="MS UI Gothic" w:eastAsia="MS UI Gothic"/>
          <w:w w:val="80"/>
        </w:rPr>
        <w:t xml:space="preserve">ꎬ </w:t>
      </w:r>
      <w:r>
        <w:t>必须使该地点的风流中的甲烷</w:t>
      </w:r>
      <w:r>
        <w:rPr>
          <w:rFonts w:hint="eastAsia" w:ascii="MS UI Gothic" w:eastAsia="MS UI Gothic"/>
          <w:w w:val="80"/>
        </w:rPr>
        <w:t xml:space="preserve">、 </w:t>
      </w:r>
      <w:r>
        <w:t>二氧化碳和其他有害气体的浓度</w:t>
      </w:r>
      <w:r>
        <w:rPr>
          <w:rFonts w:hint="eastAsia" w:ascii="MS UI Gothic" w:eastAsia="MS UI Gothic"/>
          <w:w w:val="80"/>
        </w:rPr>
        <w:t xml:space="preserve">ꎬ </w:t>
      </w:r>
      <w:r>
        <w:t>风速</w:t>
      </w:r>
      <w:r>
        <w:rPr>
          <w:rFonts w:hint="eastAsia" w:ascii="MS UI Gothic" w:eastAsia="MS UI Gothic"/>
          <w:w w:val="80"/>
        </w:rPr>
        <w:t xml:space="preserve">、 </w:t>
      </w:r>
      <w:r>
        <w:t>温度及每人供风量符合本规程的有关规定</w:t>
      </w:r>
      <w:r>
        <w:rPr>
          <w:rFonts w:hint="eastAsia" w:ascii="MS UI Gothic" w:eastAsia="MS UI Gothic"/>
          <w:w w:val="80"/>
        </w:rPr>
        <w:t>ꎮ</w:t>
      </w:r>
    </w:p>
    <w:p>
      <w:pPr>
        <w:pStyle w:val="6"/>
        <w:spacing w:line="290" w:lineRule="auto"/>
        <w:ind w:left="440"/>
        <w:rPr>
          <w:rFonts w:hint="eastAsia" w:ascii="MS UI Gothic" w:eastAsia="MS UI Gothic"/>
        </w:rPr>
      </w:pPr>
      <w:r>
        <w:rPr>
          <w:spacing w:val="2"/>
        </w:rPr>
        <w:t>使用煤矿用防爆型柴油动力装置机车</w:t>
      </w:r>
      <w:r>
        <w:rPr>
          <w:spacing w:val="3"/>
        </w:rPr>
        <w:t>运输的矿井</w:t>
      </w:r>
      <w:r>
        <w:rPr>
          <w:rFonts w:hint="eastAsia" w:ascii="MS UI Gothic" w:eastAsia="MS UI Gothic"/>
          <w:spacing w:val="6"/>
          <w:w w:val="75"/>
        </w:rPr>
        <w:t xml:space="preserve">ꎬ </w:t>
      </w:r>
      <w:r>
        <w:rPr>
          <w:spacing w:val="2"/>
        </w:rPr>
        <w:t>行驶车辆巷道的供风量还应当按同时运行的最多车辆数增加巷道配风</w:t>
      </w:r>
      <w:r>
        <w:rPr>
          <w:spacing w:val="3"/>
          <w:w w:val="102"/>
        </w:rPr>
        <w:t>量</w:t>
      </w:r>
      <w:r>
        <w:rPr>
          <w:rFonts w:hint="eastAsia" w:ascii="MS UI Gothic" w:eastAsia="MS UI Gothic"/>
          <w:w w:val="51"/>
        </w:rPr>
        <w:t>ꎬ</w:t>
      </w:r>
      <w:r>
        <w:rPr>
          <w:rFonts w:hint="eastAsia" w:ascii="MS UI Gothic" w:eastAsia="MS UI Gothic"/>
          <w:spacing w:val="-8"/>
        </w:rPr>
        <w:t xml:space="preserve">  </w:t>
      </w:r>
      <w:r>
        <w:rPr>
          <w:spacing w:val="2"/>
          <w:w w:val="102"/>
        </w:rPr>
        <w:t>配风量不小于</w:t>
      </w:r>
      <w:r>
        <w:rPr>
          <w:spacing w:val="-50"/>
        </w:rPr>
        <w:t xml:space="preserve"> </w:t>
      </w:r>
      <w:r>
        <w:rPr>
          <w:rFonts w:hint="eastAsia" w:ascii="MS UI Gothic" w:eastAsia="MS UI Gothic"/>
          <w:w w:val="75"/>
        </w:rPr>
        <w:t>４</w:t>
      </w:r>
      <w:r>
        <w:rPr>
          <w:rFonts w:hint="eastAsia" w:ascii="MS UI Gothic" w:eastAsia="MS UI Gothic"/>
        </w:rPr>
        <w:t xml:space="preserve"> </w:t>
      </w:r>
      <w:r>
        <w:rPr>
          <w:rFonts w:hint="eastAsia" w:ascii="MS UI Gothic" w:eastAsia="MS UI Gothic"/>
          <w:spacing w:val="6"/>
          <w:w w:val="79"/>
        </w:rPr>
        <w:t>ｍ</w:t>
      </w:r>
      <w:r>
        <w:rPr>
          <w:rFonts w:hint="eastAsia" w:ascii="MS UI Gothic" w:eastAsia="MS UI Gothic"/>
          <w:w w:val="72"/>
          <w:position w:val="9"/>
          <w:sz w:val="12"/>
        </w:rPr>
        <w:t>３</w:t>
      </w:r>
      <w:r>
        <w:rPr>
          <w:rFonts w:hint="eastAsia" w:ascii="MS UI Gothic" w:eastAsia="MS UI Gothic"/>
          <w:position w:val="9"/>
          <w:sz w:val="12"/>
        </w:rPr>
        <w:t xml:space="preserve"> </w:t>
      </w:r>
      <w:r>
        <w:rPr>
          <w:rFonts w:hint="eastAsia" w:ascii="MS UI Gothic" w:eastAsia="MS UI Gothic"/>
          <w:w w:val="34"/>
        </w:rPr>
        <w:t>/</w:t>
      </w:r>
      <w:r>
        <w:rPr>
          <w:rFonts w:hint="eastAsia" w:ascii="MS UI Gothic" w:eastAsia="MS UI Gothic"/>
        </w:rPr>
        <w:t xml:space="preserve"> </w:t>
      </w:r>
      <w:r>
        <w:rPr>
          <w:rFonts w:hint="eastAsia" w:ascii="MS UI Gothic" w:eastAsia="MS UI Gothic"/>
          <w:spacing w:val="-1"/>
          <w:w w:val="79"/>
        </w:rPr>
        <w:t>ｍ</w:t>
      </w:r>
      <w:r>
        <w:rPr>
          <w:rFonts w:hint="eastAsia" w:ascii="MS UI Gothic" w:eastAsia="MS UI Gothic"/>
          <w:spacing w:val="-1"/>
          <w:w w:val="114"/>
        </w:rPr>
        <w:t>ｉ</w:t>
      </w:r>
      <w:r>
        <w:rPr>
          <w:rFonts w:hint="eastAsia" w:ascii="MS UI Gothic" w:eastAsia="MS UI Gothic"/>
          <w:spacing w:val="5"/>
          <w:w w:val="82"/>
        </w:rPr>
        <w:t>ｎ</w:t>
      </w:r>
      <w:r>
        <w:rPr>
          <w:rFonts w:hint="eastAsia" w:ascii="MS UI Gothic" w:eastAsia="MS UI Gothic"/>
          <w:w w:val="86"/>
        </w:rPr>
        <w:t>ｋ</w:t>
      </w:r>
      <w:r>
        <w:rPr>
          <w:rFonts w:hint="eastAsia" w:ascii="MS UI Gothic" w:eastAsia="MS UI Gothic"/>
          <w:spacing w:val="3"/>
          <w:w w:val="93"/>
        </w:rPr>
        <w:t>Ｗ</w:t>
      </w:r>
      <w:r>
        <w:rPr>
          <w:rFonts w:hint="eastAsia" w:ascii="MS UI Gothic" w:eastAsia="MS UI Gothic"/>
          <w:w w:val="51"/>
        </w:rPr>
        <w:t>ꎮ</w:t>
      </w:r>
    </w:p>
    <w:p>
      <w:pPr>
        <w:pStyle w:val="6"/>
        <w:spacing w:line="295" w:lineRule="auto"/>
        <w:ind w:left="440"/>
        <w:rPr>
          <w:rFonts w:hint="eastAsia" w:ascii="MS UI Gothic" w:eastAsia="MS UI Gothic"/>
        </w:rPr>
      </w:pPr>
      <w:r>
        <w:t>按实际需要计算风量时</w:t>
      </w:r>
      <w:r>
        <w:rPr>
          <w:rFonts w:hint="eastAsia" w:ascii="MS UI Gothic" w:eastAsia="MS UI Gothic"/>
          <w:w w:val="80"/>
        </w:rPr>
        <w:t xml:space="preserve">ꎬ </w:t>
      </w:r>
      <w:r>
        <w:t>应当避免备用风量过大或者过小</w:t>
      </w:r>
      <w:r>
        <w:rPr>
          <w:rFonts w:hint="eastAsia" w:ascii="MS UI Gothic" w:eastAsia="MS UI Gothic"/>
          <w:w w:val="80"/>
        </w:rPr>
        <w:t xml:space="preserve">ꎮ </w:t>
      </w:r>
      <w:r>
        <w:t>煤矿企业应当根据具体条件制定风量计算方法</w:t>
      </w:r>
      <w:r>
        <w:rPr>
          <w:rFonts w:hint="eastAsia" w:ascii="MS UI Gothic" w:eastAsia="MS UI Gothic"/>
          <w:w w:val="80"/>
        </w:rPr>
        <w:t xml:space="preserve">ꎬ </w:t>
      </w:r>
      <w:r>
        <w:t xml:space="preserve">至少每 </w:t>
      </w:r>
      <w:r>
        <w:rPr>
          <w:rFonts w:hint="eastAsia" w:ascii="MS UI Gothic" w:eastAsia="MS UI Gothic"/>
          <w:w w:val="80"/>
        </w:rPr>
        <w:t xml:space="preserve">５ </w:t>
      </w:r>
      <w:r>
        <w:t xml:space="preserve">年修订 </w:t>
      </w:r>
      <w:r>
        <w:rPr>
          <w:rFonts w:hint="eastAsia" w:ascii="MS UI Gothic" w:eastAsia="MS UI Gothic"/>
          <w:w w:val="80"/>
        </w:rPr>
        <w:t xml:space="preserve">５ </w:t>
      </w:r>
      <w:r>
        <w:t>次</w:t>
      </w:r>
      <w:r>
        <w:rPr>
          <w:rFonts w:hint="eastAsia" w:ascii="MS UI Gothic" w:eastAsia="MS UI Gothic"/>
          <w:w w:val="80"/>
        </w:rPr>
        <w:t>ꎮ</w:t>
      </w:r>
    </w:p>
    <w:p>
      <w:pPr>
        <w:pStyle w:val="6"/>
        <w:spacing w:line="295" w:lineRule="auto"/>
        <w:ind w:left="440"/>
        <w:rPr>
          <w:rFonts w:hint="eastAsia" w:ascii="MS UI Gothic" w:eastAsia="MS UI Gothic"/>
        </w:rPr>
      </w:pPr>
      <w:r>
        <w:t>第一百三十九条 矿井每年安排采掘作业计划时必须核定矿井生产和通风能力</w:t>
      </w:r>
      <w:r>
        <w:rPr>
          <w:rFonts w:hint="eastAsia" w:ascii="MS UI Gothic" w:eastAsia="MS UI Gothic"/>
          <w:w w:val="80"/>
        </w:rPr>
        <w:t xml:space="preserve">ꎬ </w:t>
      </w:r>
      <w:r>
        <w:t>必须按实际供风量核定矿井产量</w:t>
      </w:r>
      <w:r>
        <w:rPr>
          <w:rFonts w:hint="eastAsia" w:ascii="MS UI Gothic" w:eastAsia="MS UI Gothic"/>
          <w:w w:val="80"/>
        </w:rPr>
        <w:t xml:space="preserve">ꎬ </w:t>
      </w:r>
      <w:r>
        <w:t>严禁超通风能力生产</w:t>
      </w:r>
      <w:r>
        <w:rPr>
          <w:rFonts w:hint="eastAsia" w:ascii="MS UI Gothic" w:eastAsia="MS UI Gothic"/>
          <w:w w:val="80"/>
        </w:rPr>
        <w:t>ꎮ</w:t>
      </w:r>
    </w:p>
    <w:p>
      <w:pPr>
        <w:pStyle w:val="6"/>
        <w:spacing w:line="295" w:lineRule="auto"/>
        <w:ind w:left="440"/>
        <w:rPr>
          <w:rFonts w:hint="eastAsia" w:ascii="MS UI Gothic" w:eastAsia="MS UI Gothic"/>
        </w:rPr>
      </w:pPr>
      <w:r>
        <w:t>第一百四十条 矿井必须建立测风制度</w:t>
      </w:r>
      <w:r>
        <w:rPr>
          <w:rFonts w:hint="eastAsia" w:ascii="MS UI Gothic" w:eastAsia="MS UI Gothic"/>
          <w:w w:val="85"/>
        </w:rPr>
        <w:t xml:space="preserve">ꎬ </w:t>
      </w:r>
      <w:r>
        <w:t xml:space="preserve">每 </w:t>
      </w:r>
      <w:r>
        <w:rPr>
          <w:rFonts w:hint="eastAsia" w:ascii="MS UI Gothic" w:eastAsia="MS UI Gothic"/>
          <w:w w:val="85"/>
        </w:rPr>
        <w:t xml:space="preserve">１０ </w:t>
      </w:r>
      <w:r>
        <w:t xml:space="preserve">天至少进行 </w:t>
      </w:r>
      <w:r>
        <w:rPr>
          <w:rFonts w:hint="eastAsia" w:ascii="MS UI Gothic" w:eastAsia="MS UI Gothic"/>
          <w:w w:val="85"/>
        </w:rPr>
        <w:t xml:space="preserve">５ </w:t>
      </w:r>
      <w:r>
        <w:t>次全面测风</w:t>
      </w:r>
      <w:r>
        <w:rPr>
          <w:rFonts w:hint="eastAsia" w:ascii="MS UI Gothic" w:eastAsia="MS UI Gothic"/>
          <w:w w:val="85"/>
        </w:rPr>
        <w:t xml:space="preserve">ꎮ </w:t>
      </w:r>
      <w:r>
        <w:t>对采掘工作面和其他用风地点</w:t>
      </w:r>
      <w:r>
        <w:rPr>
          <w:rFonts w:hint="eastAsia" w:ascii="MS UI Gothic" w:eastAsia="MS UI Gothic"/>
          <w:w w:val="85"/>
        </w:rPr>
        <w:t xml:space="preserve">ꎬ </w:t>
      </w:r>
      <w:r>
        <w:t>应当根据实际需要随时测风</w:t>
      </w:r>
      <w:r>
        <w:rPr>
          <w:rFonts w:hint="eastAsia" w:ascii="MS UI Gothic" w:eastAsia="MS UI Gothic"/>
          <w:w w:val="85"/>
        </w:rPr>
        <w:t xml:space="preserve">ꎬ </w:t>
      </w:r>
      <w:r>
        <w:t>每次测风结果应当记录并写在测风地点的记录牌上</w:t>
      </w:r>
      <w:r>
        <w:rPr>
          <w:rFonts w:hint="eastAsia" w:ascii="MS UI Gothic" w:eastAsia="MS UI Gothic"/>
          <w:w w:val="85"/>
        </w:rPr>
        <w:t>ꎮ</w:t>
      </w:r>
    </w:p>
    <w:p>
      <w:pPr>
        <w:pStyle w:val="6"/>
        <w:spacing w:line="252" w:lineRule="exact"/>
        <w:ind w:left="860" w:firstLine="0"/>
      </w:pPr>
      <w:r>
        <w:t>应当根据测风结果采取措施</w:t>
      </w:r>
      <w:r>
        <w:rPr>
          <w:rFonts w:hint="eastAsia" w:ascii="MS UI Gothic" w:eastAsia="MS UI Gothic"/>
          <w:w w:val="80"/>
        </w:rPr>
        <w:t xml:space="preserve">ꎬ </w:t>
      </w:r>
      <w:r>
        <w:t>进行风</w:t>
      </w:r>
    </w:p>
    <w:p>
      <w:pPr>
        <w:pStyle w:val="6"/>
        <w:spacing w:before="124"/>
        <w:ind w:left="383" w:firstLine="0"/>
        <w:jc w:val="left"/>
        <w:rPr>
          <w:rFonts w:hint="eastAsia" w:ascii="MS UI Gothic" w:eastAsia="MS UI Gothic"/>
        </w:rPr>
      </w:pPr>
      <w:r>
        <w:br w:type="column"/>
      </w:r>
      <w:r>
        <w:t>量调节</w:t>
      </w:r>
      <w:r>
        <w:rPr>
          <w:rFonts w:hint="eastAsia" w:ascii="MS UI Gothic" w:eastAsia="MS UI Gothic"/>
          <w:w w:val="80"/>
        </w:rPr>
        <w:t>ꎮ</w:t>
      </w:r>
    </w:p>
    <w:p>
      <w:pPr>
        <w:pStyle w:val="6"/>
        <w:spacing w:before="58" w:line="295" w:lineRule="auto"/>
        <w:ind w:left="383" w:right="126"/>
        <w:rPr>
          <w:rFonts w:hint="eastAsia" w:ascii="MS UI Gothic" w:eastAsia="MS UI Gothic"/>
        </w:rPr>
      </w:pPr>
      <w:r>
        <w:rPr>
          <w:w w:val="105"/>
        </w:rPr>
        <w:t>第一百四十一条 矿井必须有足够数</w:t>
      </w:r>
      <w:r>
        <w:t>量的通风安全检测仪表</w:t>
      </w:r>
      <w:r>
        <w:rPr>
          <w:rFonts w:hint="eastAsia" w:ascii="MS UI Gothic" w:eastAsia="MS UI Gothic"/>
          <w:w w:val="80"/>
        </w:rPr>
        <w:t xml:space="preserve">ꎮ </w:t>
      </w:r>
      <w:r>
        <w:t>仪表必须由具备</w:t>
      </w:r>
      <w:r>
        <w:rPr>
          <w:w w:val="105"/>
        </w:rPr>
        <w:t>相应资质的检验单位进行检验</w:t>
      </w:r>
      <w:r>
        <w:rPr>
          <w:rFonts w:hint="eastAsia" w:ascii="MS UI Gothic" w:eastAsia="MS UI Gothic"/>
          <w:w w:val="80"/>
        </w:rPr>
        <w:t>ꎮ</w:t>
      </w:r>
    </w:p>
    <w:p>
      <w:pPr>
        <w:pStyle w:val="6"/>
        <w:spacing w:line="295" w:lineRule="auto"/>
        <w:ind w:left="383" w:right="124"/>
        <w:rPr>
          <w:rFonts w:hint="eastAsia" w:ascii="MS UI Gothic" w:eastAsia="MS UI Gothic"/>
        </w:rPr>
      </w:pPr>
      <w:r>
        <w:t>第一百四十二条 矿井必须有完整的独立通风系统</w:t>
      </w:r>
      <w:r>
        <w:rPr>
          <w:rFonts w:hint="eastAsia" w:ascii="MS UI Gothic" w:eastAsia="MS UI Gothic"/>
          <w:w w:val="80"/>
        </w:rPr>
        <w:t xml:space="preserve">ꎮ </w:t>
      </w:r>
      <w:r>
        <w:t>改变全矿井通风系统时</w:t>
      </w:r>
      <w:r>
        <w:rPr>
          <w:rFonts w:hint="eastAsia" w:ascii="MS UI Gothic" w:eastAsia="MS UI Gothic"/>
          <w:w w:val="80"/>
        </w:rPr>
        <w:t>ꎬ</w:t>
      </w:r>
      <w:r>
        <w:t>必须编制通风设计及安全措施</w:t>
      </w:r>
      <w:r>
        <w:rPr>
          <w:rFonts w:hint="eastAsia" w:ascii="MS UI Gothic" w:eastAsia="MS UI Gothic"/>
          <w:w w:val="80"/>
        </w:rPr>
        <w:t xml:space="preserve">ꎬ </w:t>
      </w:r>
      <w:r>
        <w:t>由企业技术负责人审批</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第一百四十三条 贯通巷道必须遵守</w:t>
      </w:r>
      <w:r>
        <w:rPr>
          <w:w w:val="110"/>
        </w:rPr>
        <w:t>下列规定</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巷道贯通前应当制定贯通专项措施</w:t>
      </w:r>
      <w:r>
        <w:rPr>
          <w:rFonts w:hint="eastAsia" w:ascii="MS UI Gothic" w:eastAsia="MS UI Gothic"/>
          <w:w w:val="80"/>
        </w:rPr>
        <w:t xml:space="preserve">ꎮ </w:t>
      </w:r>
      <w:r>
        <w:t xml:space="preserve">综合机械化掘进巷道在相距 </w:t>
      </w:r>
      <w:r>
        <w:rPr>
          <w:rFonts w:hint="eastAsia" w:ascii="MS UI Gothic" w:eastAsia="MS UI Gothic"/>
          <w:w w:val="80"/>
        </w:rPr>
        <w:t xml:space="preserve">５０ ｍ </w:t>
      </w:r>
      <w:r>
        <w:t>前</w:t>
      </w:r>
      <w:r>
        <w:rPr>
          <w:rFonts w:hint="eastAsia" w:ascii="MS UI Gothic" w:eastAsia="MS UI Gothic"/>
          <w:w w:val="80"/>
        </w:rPr>
        <w:t xml:space="preserve">、 </w:t>
      </w:r>
      <w:r>
        <w:t xml:space="preserve">其他巷道在相距 </w:t>
      </w:r>
      <w:r>
        <w:rPr>
          <w:rFonts w:hint="eastAsia" w:ascii="MS UI Gothic" w:eastAsia="MS UI Gothic"/>
          <w:w w:val="80"/>
        </w:rPr>
        <w:t xml:space="preserve">２０ ｍ </w:t>
      </w:r>
      <w:r>
        <w:t>前</w:t>
      </w:r>
      <w:r>
        <w:rPr>
          <w:rFonts w:hint="eastAsia" w:ascii="MS UI Gothic" w:eastAsia="MS UI Gothic"/>
          <w:w w:val="80"/>
        </w:rPr>
        <w:t xml:space="preserve">ꎬ </w:t>
      </w:r>
      <w:r>
        <w:t>必须停止一个工作面作业</w:t>
      </w:r>
      <w:r>
        <w:rPr>
          <w:rFonts w:hint="eastAsia" w:ascii="MS UI Gothic" w:eastAsia="MS UI Gothic"/>
          <w:w w:val="80"/>
        </w:rPr>
        <w:t xml:space="preserve">ꎬ </w:t>
      </w:r>
      <w:r>
        <w:t>做好调整通风系统的准备工作</w:t>
      </w:r>
      <w:r>
        <w:rPr>
          <w:rFonts w:hint="eastAsia" w:ascii="MS UI Gothic" w:eastAsia="MS UI Gothic"/>
          <w:w w:val="80"/>
        </w:rPr>
        <w:t>ꎮ</w:t>
      </w:r>
    </w:p>
    <w:p>
      <w:pPr>
        <w:pStyle w:val="6"/>
        <w:spacing w:line="295" w:lineRule="auto"/>
        <w:ind w:left="383" w:right="124"/>
        <w:rPr>
          <w:rFonts w:hint="eastAsia" w:ascii="MS UI Gothic" w:eastAsia="MS UI Gothic"/>
        </w:rPr>
      </w:pPr>
      <w:r>
        <w:t>停掘的工作面必须保持正常通风</w:t>
      </w:r>
      <w:r>
        <w:rPr>
          <w:rFonts w:hint="eastAsia" w:ascii="MS UI Gothic" w:eastAsia="MS UI Gothic"/>
          <w:w w:val="80"/>
        </w:rPr>
        <w:t xml:space="preserve">ꎬ </w:t>
      </w:r>
      <w:r>
        <w:t>设置栅栏及警标</w:t>
      </w:r>
      <w:r>
        <w:rPr>
          <w:rFonts w:hint="eastAsia" w:ascii="MS UI Gothic" w:eastAsia="MS UI Gothic"/>
          <w:w w:val="80"/>
        </w:rPr>
        <w:t xml:space="preserve">ꎬ </w:t>
      </w:r>
      <w:r>
        <w:t>每班必须检查风筒的完好状况和工作面及其回风流中的瓦斯浓度</w:t>
      </w:r>
      <w:r>
        <w:rPr>
          <w:rFonts w:hint="eastAsia" w:ascii="MS UI Gothic" w:eastAsia="MS UI Gothic"/>
          <w:w w:val="80"/>
        </w:rPr>
        <w:t>ꎬ</w:t>
      </w:r>
      <w:r>
        <w:t>瓦斯浓度超限时</w:t>
      </w:r>
      <w:r>
        <w:rPr>
          <w:rFonts w:hint="eastAsia" w:ascii="MS UI Gothic" w:eastAsia="MS UI Gothic"/>
          <w:w w:val="80"/>
        </w:rPr>
        <w:t xml:space="preserve">ꎬ </w:t>
      </w:r>
      <w:r>
        <w:t>必须立即处理</w:t>
      </w:r>
      <w:r>
        <w:rPr>
          <w:rFonts w:hint="eastAsia" w:ascii="MS UI Gothic" w:eastAsia="MS UI Gothic"/>
          <w:w w:val="80"/>
        </w:rPr>
        <w:t>ꎮ</w:t>
      </w:r>
    </w:p>
    <w:p>
      <w:pPr>
        <w:pStyle w:val="6"/>
        <w:spacing w:line="295" w:lineRule="auto"/>
        <w:ind w:left="383" w:right="126"/>
        <w:rPr>
          <w:rFonts w:hint="eastAsia" w:ascii="MS UI Gothic" w:eastAsia="MS UI Gothic"/>
        </w:rPr>
      </w:pPr>
      <w:r>
        <w:t>掘进的工作面每次爆破前</w:t>
      </w:r>
      <w:r>
        <w:rPr>
          <w:rFonts w:hint="eastAsia" w:ascii="MS UI Gothic" w:eastAsia="MS UI Gothic"/>
          <w:w w:val="85"/>
        </w:rPr>
        <w:t xml:space="preserve">ꎬ </w:t>
      </w:r>
      <w:r>
        <w:t>必须派专人和瓦斯检查工共同到停掘的工作面检查工作面及其回风流中的瓦斯浓度</w:t>
      </w:r>
      <w:r>
        <w:rPr>
          <w:rFonts w:hint="eastAsia" w:ascii="MS UI Gothic" w:eastAsia="MS UI Gothic"/>
          <w:w w:val="85"/>
        </w:rPr>
        <w:t xml:space="preserve">ꎬ </w:t>
      </w:r>
      <w:r>
        <w:t>瓦斯浓度超限时</w:t>
      </w:r>
      <w:r>
        <w:rPr>
          <w:rFonts w:hint="eastAsia" w:ascii="MS UI Gothic" w:eastAsia="MS UI Gothic"/>
          <w:w w:val="85"/>
        </w:rPr>
        <w:t xml:space="preserve">ꎬ </w:t>
      </w:r>
      <w:r>
        <w:t>必须先停止在掘工作面的工作</w:t>
      </w:r>
      <w:r>
        <w:rPr>
          <w:rFonts w:hint="eastAsia" w:ascii="MS UI Gothic" w:eastAsia="MS UI Gothic"/>
          <w:w w:val="85"/>
        </w:rPr>
        <w:t xml:space="preserve">ꎬ </w:t>
      </w:r>
      <w:r>
        <w:t>然后处理瓦斯</w:t>
      </w:r>
      <w:r>
        <w:rPr>
          <w:rFonts w:hint="eastAsia" w:ascii="MS UI Gothic" w:eastAsia="MS UI Gothic"/>
          <w:w w:val="85"/>
        </w:rPr>
        <w:t xml:space="preserve">ꎬ </w:t>
      </w:r>
      <w:r>
        <w:t xml:space="preserve">只有在 </w:t>
      </w:r>
      <w:r>
        <w:rPr>
          <w:rFonts w:hint="eastAsia" w:ascii="MS UI Gothic" w:eastAsia="MS UI Gothic"/>
          <w:w w:val="85"/>
        </w:rPr>
        <w:t xml:space="preserve">２ </w:t>
      </w:r>
      <w:r>
        <w:t xml:space="preserve">个工作面及其回风流中的甲烷浓度都在 </w:t>
      </w:r>
      <w:r>
        <w:rPr>
          <w:rFonts w:hint="eastAsia" w:ascii="MS UI Gothic" w:eastAsia="MS UI Gothic"/>
          <w:w w:val="85"/>
        </w:rPr>
        <w:t>１ ０</w:t>
      </w:r>
      <w:r>
        <w:rPr>
          <w:w w:val="85"/>
        </w:rPr>
        <w:t xml:space="preserve">％ </w:t>
      </w:r>
      <w:r>
        <w:t>以下时</w:t>
      </w:r>
      <w:r>
        <w:rPr>
          <w:rFonts w:hint="eastAsia" w:ascii="MS UI Gothic" w:eastAsia="MS UI Gothic"/>
          <w:w w:val="85"/>
        </w:rPr>
        <w:t xml:space="preserve">ꎬ </w:t>
      </w:r>
      <w:r>
        <w:t>掘进的工作面方可爆破</w:t>
      </w:r>
      <w:r>
        <w:rPr>
          <w:rFonts w:hint="eastAsia" w:ascii="MS UI Gothic" w:eastAsia="MS UI Gothic"/>
          <w:w w:val="85"/>
        </w:rPr>
        <w:t xml:space="preserve">ꎮ </w:t>
      </w:r>
      <w:r>
        <w:t>每次爆破前</w:t>
      </w:r>
      <w:r>
        <w:rPr>
          <w:rFonts w:hint="eastAsia" w:ascii="MS UI Gothic" w:eastAsia="MS UI Gothic"/>
          <w:w w:val="85"/>
        </w:rPr>
        <w:t xml:space="preserve">ꎬ ２ </w:t>
      </w:r>
      <w:r>
        <w:t>个工作面入口必须有专人警戒</w:t>
      </w:r>
      <w:r>
        <w:rPr>
          <w:rFonts w:hint="eastAsia" w:ascii="MS UI Gothic" w:eastAsia="MS UI Gothic"/>
          <w:w w:val="85"/>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贯通时</w:t>
      </w:r>
      <w:r>
        <w:rPr>
          <w:rFonts w:hint="eastAsia" w:ascii="MS UI Gothic" w:eastAsia="MS UI Gothic"/>
          <w:w w:val="80"/>
        </w:rPr>
        <w:t xml:space="preserve">ꎬ </w:t>
      </w:r>
      <w:r>
        <w:rPr>
          <w:w w:val="105"/>
        </w:rPr>
        <w:t>必须由专人在现场统一指挥</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贯通后</w:t>
      </w:r>
      <w:r>
        <w:rPr>
          <w:rFonts w:hint="eastAsia" w:ascii="MS UI Gothic" w:eastAsia="MS UI Gothic"/>
          <w:w w:val="80"/>
        </w:rPr>
        <w:t xml:space="preserve">ꎬ </w:t>
      </w:r>
      <w:r>
        <w:t>必须停止采区内的一切工作</w:t>
      </w:r>
      <w:r>
        <w:rPr>
          <w:rFonts w:hint="eastAsia" w:ascii="MS UI Gothic" w:eastAsia="MS UI Gothic"/>
          <w:w w:val="80"/>
        </w:rPr>
        <w:t xml:space="preserve">ꎬ </w:t>
      </w:r>
      <w:r>
        <w:t>立即调整通风系统</w:t>
      </w:r>
      <w:r>
        <w:rPr>
          <w:rFonts w:hint="eastAsia" w:ascii="MS UI Gothic" w:eastAsia="MS UI Gothic"/>
          <w:w w:val="80"/>
        </w:rPr>
        <w:t xml:space="preserve">ꎬ </w:t>
      </w:r>
      <w:r>
        <w:t>风流稳定后</w:t>
      </w:r>
      <w:r>
        <w:rPr>
          <w:rFonts w:hint="eastAsia" w:ascii="MS UI Gothic" w:eastAsia="MS UI Gothic"/>
          <w:w w:val="80"/>
        </w:rPr>
        <w:t xml:space="preserve">ꎬ </w:t>
      </w:r>
      <w:r>
        <w:t>方可恢复工作</w:t>
      </w:r>
      <w:r>
        <w:rPr>
          <w:rFonts w:hint="eastAsia" w:ascii="MS UI Gothic" w:eastAsia="MS UI Gothic"/>
          <w:w w:val="80"/>
        </w:rPr>
        <w:t>ꎮ</w:t>
      </w:r>
    </w:p>
    <w:p>
      <w:pPr>
        <w:pStyle w:val="6"/>
        <w:spacing w:line="295" w:lineRule="auto"/>
        <w:ind w:left="383" w:right="126"/>
        <w:rPr>
          <w:rFonts w:hint="eastAsia" w:ascii="MS UI Gothic" w:eastAsia="MS UI Gothic"/>
        </w:rPr>
      </w:pPr>
      <w:r>
        <w:t xml:space="preserve">间距小于 </w:t>
      </w:r>
      <w:r>
        <w:rPr>
          <w:rFonts w:hint="eastAsia" w:ascii="MS UI Gothic" w:eastAsia="MS UI Gothic"/>
          <w:w w:val="85"/>
        </w:rPr>
        <w:t xml:space="preserve">２０ ｍ </w:t>
      </w:r>
      <w:r>
        <w:t>的平行巷道的联络巷贯通</w:t>
      </w:r>
      <w:r>
        <w:rPr>
          <w:rFonts w:hint="eastAsia" w:ascii="MS UI Gothic" w:eastAsia="MS UI Gothic"/>
          <w:w w:val="85"/>
        </w:rPr>
        <w:t xml:space="preserve">ꎬ </w:t>
      </w:r>
      <w:r>
        <w:t>必须遵守以上规定</w:t>
      </w:r>
      <w:r>
        <w:rPr>
          <w:rFonts w:hint="eastAsia" w:ascii="MS UI Gothic" w:eastAsia="MS UI Gothic"/>
          <w:w w:val="85"/>
        </w:rPr>
        <w:t>ꎮ</w:t>
      </w:r>
    </w:p>
    <w:p>
      <w:pPr>
        <w:pStyle w:val="6"/>
        <w:spacing w:line="295" w:lineRule="auto"/>
        <w:ind w:left="383" w:right="124"/>
        <w:rPr>
          <w:rFonts w:hint="eastAsia" w:ascii="MS UI Gothic" w:eastAsia="MS UI Gothic"/>
        </w:rPr>
      </w:pPr>
      <w:r>
        <w:t>第一百四十四条 进</w:t>
      </w:r>
      <w:r>
        <w:rPr>
          <w:rFonts w:hint="eastAsia" w:ascii="MS UI Gothic" w:eastAsia="MS UI Gothic"/>
          <w:w w:val="80"/>
        </w:rPr>
        <w:t xml:space="preserve">、 </w:t>
      </w:r>
      <w:r>
        <w:t>回风井之间和主要进</w:t>
      </w:r>
      <w:r>
        <w:rPr>
          <w:rFonts w:hint="eastAsia" w:ascii="MS UI Gothic" w:eastAsia="MS UI Gothic"/>
          <w:w w:val="80"/>
        </w:rPr>
        <w:t xml:space="preserve">、 </w:t>
      </w:r>
      <w:r>
        <w:t>回风巷之间的每条联络巷中</w:t>
      </w:r>
      <w:r>
        <w:rPr>
          <w:rFonts w:hint="eastAsia" w:ascii="MS UI Gothic" w:eastAsia="MS UI Gothic"/>
          <w:w w:val="80"/>
        </w:rPr>
        <w:t xml:space="preserve">ꎬ </w:t>
      </w:r>
      <w:r>
        <w:t>必须砌筑永久性风墙</w:t>
      </w:r>
      <w:r>
        <w:rPr>
          <w:rFonts w:hint="eastAsia" w:ascii="MS UI Gothic" w:eastAsia="MS UI Gothic"/>
          <w:w w:val="80"/>
        </w:rPr>
        <w:t xml:space="preserve">ꎻ </w:t>
      </w:r>
      <w:r>
        <w:t>需要使用的联络巷</w:t>
      </w:r>
      <w:r>
        <w:rPr>
          <w:rFonts w:hint="eastAsia" w:ascii="MS UI Gothic" w:eastAsia="MS UI Gothic"/>
          <w:w w:val="80"/>
        </w:rPr>
        <w:t>ꎬ</w:t>
      </w:r>
      <w:r>
        <w:t xml:space="preserve">必须安设 </w:t>
      </w:r>
      <w:r>
        <w:rPr>
          <w:rFonts w:hint="eastAsia" w:ascii="MS UI Gothic" w:eastAsia="MS UI Gothic"/>
          <w:w w:val="80"/>
        </w:rPr>
        <w:t xml:space="preserve">２ </w:t>
      </w:r>
      <w:r>
        <w:t xml:space="preserve">道联锁的正向风门和 </w:t>
      </w:r>
      <w:r>
        <w:rPr>
          <w:rFonts w:hint="eastAsia" w:ascii="MS UI Gothic" w:eastAsia="MS UI Gothic"/>
          <w:w w:val="80"/>
        </w:rPr>
        <w:t xml:space="preserve">２ </w:t>
      </w:r>
      <w:r>
        <w:t>道反向风门</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２６０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06" o:spid="_x0000_s1806" o:spt="203" style="height:2.15pt;width:398.25pt;" coordsize="7965,43">
            <o:lock v:ext="edit"/>
            <v:line id="_x0000_s1807" o:spid="_x0000_s1807" o:spt="20" style="position:absolute;left:0;top:39;height:0;width:7965;" stroked="t" coordsize="21600,21600">
              <v:path arrowok="t"/>
              <v:fill focussize="0,0"/>
              <v:stroke weight="0.388031496062992pt" color="#231F20"/>
              <v:imagedata o:title=""/>
              <o:lock v:ext="edit"/>
            </v:line>
            <v:line id="_x0000_s1808" o:spid="_x0000_s180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w w:val="105"/>
        </w:rPr>
        <w:t>第一百四十五条 箕斗提升井或者装</w:t>
      </w:r>
      <w:r>
        <w:t>有带式输送机的井筒兼作风井使用时</w:t>
      </w:r>
      <w:r>
        <w:rPr>
          <w:rFonts w:hint="eastAsia" w:ascii="MS UI Gothic" w:eastAsia="MS UI Gothic"/>
          <w:w w:val="80"/>
        </w:rPr>
        <w:t xml:space="preserve">ꎬ </w:t>
      </w:r>
      <w:r>
        <w:t>必</w:t>
      </w:r>
      <w:r>
        <w:rPr>
          <w:w w:val="105"/>
        </w:rPr>
        <w:t>须遵守下列规定</w:t>
      </w:r>
      <w:r>
        <w:rPr>
          <w:rFonts w:hint="eastAsia" w:ascii="MS UI Gothic" w:eastAsia="MS UI Gothic"/>
          <w:w w:val="235"/>
        </w:rPr>
        <w:t>:</w:t>
      </w:r>
    </w:p>
    <w:p>
      <w:pPr>
        <w:pStyle w:val="6"/>
        <w:spacing w:line="295" w:lineRule="auto"/>
        <w:ind w:left="118" w:right="39" w:firstLine="425"/>
        <w:rPr>
          <w:rFonts w:hint="eastAsia" w:ascii="MS UI Gothic" w:eastAsia="MS UI Gothic"/>
        </w:rPr>
      </w:pPr>
      <w:r>
        <w:rPr>
          <w:rFonts w:hint="eastAsia" w:ascii="MS UI Gothic" w:eastAsia="MS UI Gothic"/>
          <w:spacing w:val="-25"/>
          <w:w w:val="140"/>
        </w:rPr>
        <w:t xml:space="preserve">( </w:t>
      </w:r>
      <w:r>
        <w:rPr>
          <w:spacing w:val="3"/>
        </w:rPr>
        <w:t>一</w:t>
      </w:r>
      <w:r>
        <w:rPr>
          <w:rFonts w:hint="eastAsia" w:ascii="MS UI Gothic" w:eastAsia="MS UI Gothic"/>
          <w:spacing w:val="22"/>
          <w:w w:val="140"/>
        </w:rPr>
        <w:t xml:space="preserve">) </w:t>
      </w:r>
      <w:r>
        <w:rPr>
          <w:spacing w:val="5"/>
        </w:rPr>
        <w:t>生产矿井现有箕斗提升井兼作</w:t>
      </w:r>
      <w:r>
        <w:rPr>
          <w:spacing w:val="6"/>
        </w:rPr>
        <w:t>回风井时</w:t>
      </w:r>
      <w:r>
        <w:rPr>
          <w:rFonts w:hint="eastAsia" w:ascii="MS UI Gothic" w:eastAsia="MS UI Gothic"/>
          <w:spacing w:val="8"/>
          <w:w w:val="85"/>
        </w:rPr>
        <w:t xml:space="preserve">ꎬ </w:t>
      </w:r>
      <w:r>
        <w:rPr>
          <w:spacing w:val="18"/>
        </w:rPr>
        <w:t>井上下装</w:t>
      </w:r>
      <w:r>
        <w:rPr>
          <w:rFonts w:hint="eastAsia" w:ascii="MS UI Gothic" w:eastAsia="MS UI Gothic"/>
          <w:spacing w:val="6"/>
          <w:w w:val="85"/>
        </w:rPr>
        <w:t xml:space="preserve">、  </w:t>
      </w:r>
      <w:r>
        <w:rPr>
          <w:spacing w:val="19"/>
        </w:rPr>
        <w:t>卸载装置和井塔</w:t>
      </w:r>
      <w:r>
        <w:rPr>
          <w:rFonts w:hint="eastAsia" w:ascii="MS UI Gothic" w:eastAsia="MS UI Gothic"/>
          <w:spacing w:val="-21"/>
          <w:w w:val="140"/>
        </w:rPr>
        <w:t xml:space="preserve">( </w:t>
      </w:r>
      <w:r>
        <w:rPr>
          <w:spacing w:val="3"/>
        </w:rPr>
        <w:t>架</w:t>
      </w:r>
      <w:r>
        <w:rPr>
          <w:rFonts w:hint="eastAsia" w:ascii="MS UI Gothic" w:eastAsia="MS UI Gothic"/>
          <w:spacing w:val="32"/>
          <w:w w:val="140"/>
        </w:rPr>
        <w:t xml:space="preserve">) </w:t>
      </w:r>
      <w:r>
        <w:rPr>
          <w:spacing w:val="5"/>
        </w:rPr>
        <w:t>必须有防尘和封闭措施</w:t>
      </w:r>
      <w:r>
        <w:rPr>
          <w:rFonts w:hint="eastAsia" w:ascii="MS UI Gothic" w:eastAsia="MS UI Gothic"/>
          <w:spacing w:val="14"/>
          <w:w w:val="85"/>
        </w:rPr>
        <w:t xml:space="preserve">ꎬ </w:t>
      </w:r>
      <w:r>
        <w:rPr>
          <w:spacing w:val="7"/>
        </w:rPr>
        <w:t>其漏风率</w:t>
      </w:r>
      <w:r>
        <w:rPr>
          <w:spacing w:val="-4"/>
        </w:rPr>
        <w:t xml:space="preserve">不得超过 </w:t>
      </w:r>
      <w:r>
        <w:rPr>
          <w:rFonts w:hint="eastAsia" w:ascii="MS UI Gothic" w:eastAsia="MS UI Gothic"/>
          <w:w w:val="85"/>
        </w:rPr>
        <w:t>１５</w:t>
      </w:r>
      <w:r>
        <w:rPr>
          <w:spacing w:val="-27"/>
          <w:w w:val="85"/>
        </w:rPr>
        <w:t xml:space="preserve">％ </w:t>
      </w:r>
      <w:r>
        <w:rPr>
          <w:rFonts w:hint="eastAsia" w:ascii="MS UI Gothic" w:eastAsia="MS UI Gothic"/>
          <w:spacing w:val="25"/>
          <w:w w:val="85"/>
        </w:rPr>
        <w:t xml:space="preserve">ꎮ </w:t>
      </w:r>
      <w:r>
        <w:rPr>
          <w:spacing w:val="17"/>
        </w:rPr>
        <w:t>装有带式输送机的井筒</w:t>
      </w:r>
      <w:r>
        <w:rPr>
          <w:spacing w:val="11"/>
        </w:rPr>
        <w:t>兼作回风井时</w:t>
      </w:r>
      <w:r>
        <w:rPr>
          <w:rFonts w:hint="eastAsia" w:ascii="MS UI Gothic" w:eastAsia="MS UI Gothic"/>
          <w:spacing w:val="16"/>
          <w:w w:val="85"/>
        </w:rPr>
        <w:t xml:space="preserve">ꎬ </w:t>
      </w:r>
      <w:r>
        <w:rPr>
          <w:spacing w:val="17"/>
        </w:rPr>
        <w:t>井筒中的风速不得超过</w:t>
      </w:r>
      <w:r>
        <w:rPr>
          <w:rFonts w:hint="eastAsia" w:ascii="MS UI Gothic" w:eastAsia="MS UI Gothic"/>
          <w:spacing w:val="14"/>
          <w:w w:val="85"/>
        </w:rPr>
        <w:t xml:space="preserve">６ </w:t>
      </w:r>
      <w:r>
        <w:rPr>
          <w:rFonts w:hint="eastAsia" w:ascii="MS UI Gothic" w:eastAsia="MS UI Gothic"/>
          <w:w w:val="85"/>
        </w:rPr>
        <w:t>ｍ</w:t>
      </w:r>
      <w:r>
        <w:rPr>
          <w:rFonts w:hint="eastAsia" w:ascii="MS UI Gothic" w:eastAsia="MS UI Gothic"/>
          <w:spacing w:val="-26"/>
          <w:w w:val="85"/>
        </w:rPr>
        <w:t xml:space="preserve"> </w:t>
      </w:r>
      <w:r>
        <w:rPr>
          <w:rFonts w:hint="eastAsia" w:ascii="MS UI Gothic" w:eastAsia="MS UI Gothic"/>
          <w:w w:val="75"/>
        </w:rPr>
        <w:t>/</w:t>
      </w:r>
      <w:r>
        <w:rPr>
          <w:rFonts w:hint="eastAsia" w:ascii="MS UI Gothic" w:eastAsia="MS UI Gothic"/>
          <w:spacing w:val="-7"/>
          <w:w w:val="75"/>
        </w:rPr>
        <w:t xml:space="preserve"> </w:t>
      </w:r>
      <w:r>
        <w:rPr>
          <w:rFonts w:hint="eastAsia" w:ascii="MS UI Gothic" w:eastAsia="MS UI Gothic"/>
          <w:spacing w:val="3"/>
          <w:w w:val="85"/>
        </w:rPr>
        <w:t>ｓ</w:t>
      </w:r>
      <w:r>
        <w:rPr>
          <w:rFonts w:hint="eastAsia" w:ascii="MS UI Gothic" w:eastAsia="MS UI Gothic"/>
          <w:w w:val="85"/>
        </w:rPr>
        <w:t>ꎬ</w:t>
      </w:r>
      <w:r>
        <w:rPr>
          <w:spacing w:val="3"/>
        </w:rPr>
        <w:t>且必须装设甲烷断电仪</w:t>
      </w:r>
      <w:r>
        <w:rPr>
          <w:rFonts w:hint="eastAsia" w:ascii="MS UI Gothic" w:eastAsia="MS UI Gothic"/>
          <w:w w:val="85"/>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箕斗提升井或者装有带式输送机的井筒兼作进风井时</w:t>
      </w:r>
      <w:r>
        <w:rPr>
          <w:rFonts w:hint="eastAsia" w:ascii="MS UI Gothic" w:eastAsia="MS UI Gothic"/>
          <w:w w:val="80"/>
        </w:rPr>
        <w:t xml:space="preserve">ꎬ </w:t>
      </w:r>
      <w:r>
        <w:t xml:space="preserve">箕斗提升井筒中的风速不得超过 </w:t>
      </w:r>
      <w:r>
        <w:rPr>
          <w:rFonts w:hint="eastAsia" w:ascii="MS UI Gothic" w:eastAsia="MS UI Gothic"/>
          <w:w w:val="80"/>
        </w:rPr>
        <w:t xml:space="preserve">６ ｍ </w:t>
      </w:r>
      <w:r>
        <w:rPr>
          <w:rFonts w:hint="eastAsia" w:ascii="MS UI Gothic" w:eastAsia="MS UI Gothic"/>
          <w:w w:val="65"/>
        </w:rPr>
        <w:t xml:space="preserve">/ </w:t>
      </w:r>
      <w:r>
        <w:rPr>
          <w:rFonts w:hint="eastAsia" w:ascii="MS UI Gothic" w:eastAsia="MS UI Gothic"/>
          <w:w w:val="80"/>
        </w:rPr>
        <w:t xml:space="preserve">ｓ、 </w:t>
      </w:r>
      <w:r>
        <w:t xml:space="preserve">装有带式输送机的井筒中的风速不得超过 </w:t>
      </w:r>
      <w:r>
        <w:rPr>
          <w:rFonts w:hint="eastAsia" w:ascii="MS UI Gothic" w:eastAsia="MS UI Gothic"/>
          <w:w w:val="80"/>
        </w:rPr>
        <w:t xml:space="preserve">４ ｍ </w:t>
      </w:r>
      <w:r>
        <w:rPr>
          <w:rFonts w:hint="eastAsia" w:ascii="MS UI Gothic" w:eastAsia="MS UI Gothic"/>
          <w:w w:val="65"/>
        </w:rPr>
        <w:t xml:space="preserve">/ </w:t>
      </w:r>
      <w:r>
        <w:rPr>
          <w:rFonts w:hint="eastAsia" w:ascii="MS UI Gothic" w:eastAsia="MS UI Gothic"/>
          <w:w w:val="80"/>
        </w:rPr>
        <w:t xml:space="preserve">ｓꎬ </w:t>
      </w:r>
      <w:r>
        <w:t>并有防尘措施</w:t>
      </w:r>
      <w:r>
        <w:rPr>
          <w:rFonts w:hint="eastAsia" w:ascii="MS UI Gothic" w:eastAsia="MS UI Gothic"/>
          <w:w w:val="80"/>
        </w:rPr>
        <w:t xml:space="preserve">ꎮ </w:t>
      </w:r>
      <w:r>
        <w:t>装有带式输送机的井筒中必须装设自动报警灭火装置</w:t>
      </w:r>
      <w:r>
        <w:rPr>
          <w:rFonts w:hint="eastAsia" w:ascii="MS UI Gothic" w:eastAsia="MS UI Gothic"/>
          <w:w w:val="80"/>
        </w:rPr>
        <w:t xml:space="preserve">、 </w:t>
      </w:r>
      <w:r>
        <w:t>敷设消防管路</w:t>
      </w:r>
      <w:r>
        <w:rPr>
          <w:rFonts w:hint="eastAsia" w:ascii="MS UI Gothic" w:eastAsia="MS UI Gothic"/>
          <w:w w:val="80"/>
        </w:rPr>
        <w:t>ꎮ</w:t>
      </w:r>
    </w:p>
    <w:p>
      <w:pPr>
        <w:pStyle w:val="6"/>
        <w:spacing w:line="295" w:lineRule="auto"/>
        <w:ind w:right="39"/>
        <w:rPr>
          <w:rFonts w:hint="eastAsia" w:ascii="MS UI Gothic" w:eastAsia="MS UI Gothic"/>
        </w:rPr>
      </w:pPr>
      <w:r>
        <w:t>第一百四十六条 进风井口必须布置在粉尘</w:t>
      </w:r>
      <w:r>
        <w:rPr>
          <w:rFonts w:hint="eastAsia" w:ascii="MS UI Gothic" w:eastAsia="MS UI Gothic"/>
          <w:w w:val="80"/>
        </w:rPr>
        <w:t xml:space="preserve">、 </w:t>
      </w:r>
      <w:r>
        <w:t>有害和高温气体不能侵入的地方</w:t>
      </w:r>
      <w:r>
        <w:rPr>
          <w:rFonts w:hint="eastAsia" w:ascii="MS UI Gothic" w:eastAsia="MS UI Gothic"/>
          <w:w w:val="80"/>
        </w:rPr>
        <w:t xml:space="preserve">ꎮ </w:t>
      </w:r>
      <w:r>
        <w:t>已布置在粉尘</w:t>
      </w:r>
      <w:r>
        <w:rPr>
          <w:rFonts w:hint="eastAsia" w:ascii="MS UI Gothic" w:eastAsia="MS UI Gothic"/>
          <w:w w:val="80"/>
        </w:rPr>
        <w:t xml:space="preserve">、 </w:t>
      </w:r>
      <w:r>
        <w:t>有害和高温气体能侵入的地点的</w:t>
      </w:r>
      <w:r>
        <w:rPr>
          <w:rFonts w:hint="eastAsia" w:ascii="MS UI Gothic" w:eastAsia="MS UI Gothic"/>
          <w:w w:val="80"/>
        </w:rPr>
        <w:t xml:space="preserve">ꎬ </w:t>
      </w:r>
      <w:r>
        <w:t>应当制定安全措施</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第一百四十七条 新建高瓦斯矿井</w:t>
      </w:r>
      <w:r>
        <w:rPr>
          <w:rFonts w:hint="eastAsia" w:ascii="MS UI Gothic" w:eastAsia="MS UI Gothic"/>
          <w:w w:val="80"/>
        </w:rPr>
        <w:t>、</w:t>
      </w:r>
      <w:r>
        <w:rPr>
          <w:w w:val="105"/>
        </w:rPr>
        <w:t>突出矿井</w:t>
      </w:r>
      <w:r>
        <w:rPr>
          <w:rFonts w:hint="eastAsia" w:ascii="MS UI Gothic" w:eastAsia="MS UI Gothic"/>
          <w:w w:val="80"/>
        </w:rPr>
        <w:t xml:space="preserve">、 </w:t>
      </w:r>
      <w:r>
        <w:rPr>
          <w:w w:val="105"/>
        </w:rPr>
        <w:t>煤层容易自燃矿井及有热害的</w:t>
      </w:r>
      <w:r>
        <w:t>矿井应当采用分区式通风或者对角式通风</w:t>
      </w:r>
      <w:r>
        <w:rPr>
          <w:rFonts w:hint="eastAsia" w:ascii="MS UI Gothic" w:eastAsia="MS UI Gothic"/>
          <w:w w:val="80"/>
        </w:rPr>
        <w:t xml:space="preserve">ꎻ </w:t>
      </w:r>
      <w:r>
        <w:t>初期采用中央并列式通风的只能布置</w:t>
      </w:r>
      <w:r>
        <w:rPr>
          <w:w w:val="105"/>
        </w:rPr>
        <w:t>一个采区生产</w:t>
      </w:r>
      <w:r>
        <w:rPr>
          <w:rFonts w:hint="eastAsia" w:ascii="MS UI Gothic" w:eastAsia="MS UI Gothic"/>
          <w:w w:val="80"/>
        </w:rPr>
        <w:t>ꎮ</w:t>
      </w:r>
    </w:p>
    <w:p>
      <w:pPr>
        <w:pStyle w:val="6"/>
        <w:spacing w:line="295" w:lineRule="auto"/>
        <w:ind w:right="38"/>
        <w:rPr>
          <w:rFonts w:hint="eastAsia" w:ascii="MS UI Gothic" w:eastAsia="MS UI Gothic"/>
        </w:rPr>
      </w:pPr>
      <w:r>
        <w:t>第一百四十八条 矿井开拓新水平和准备新采区的回风</w:t>
      </w:r>
      <w:r>
        <w:rPr>
          <w:rFonts w:hint="eastAsia" w:ascii="MS UI Gothic" w:eastAsia="MS UI Gothic"/>
          <w:w w:val="80"/>
        </w:rPr>
        <w:t xml:space="preserve">ꎬ </w:t>
      </w:r>
      <w:r>
        <w:t>必须引入总回风巷或者主要回风巷中</w:t>
      </w:r>
      <w:r>
        <w:rPr>
          <w:rFonts w:hint="eastAsia" w:ascii="MS UI Gothic" w:eastAsia="MS UI Gothic"/>
          <w:w w:val="80"/>
        </w:rPr>
        <w:t xml:space="preserve">ꎮ </w:t>
      </w:r>
      <w:r>
        <w:t>在未构成通风系统前</w:t>
      </w:r>
      <w:r>
        <w:rPr>
          <w:rFonts w:hint="eastAsia" w:ascii="MS UI Gothic" w:eastAsia="MS UI Gothic"/>
          <w:w w:val="80"/>
        </w:rPr>
        <w:t>ꎬ</w:t>
      </w:r>
      <w:r>
        <w:t>可将此回风引入生产水平的进风中</w:t>
      </w:r>
      <w:r>
        <w:rPr>
          <w:rFonts w:hint="eastAsia" w:ascii="MS UI Gothic" w:eastAsia="MS UI Gothic"/>
          <w:w w:val="80"/>
        </w:rPr>
        <w:t xml:space="preserve">ꎻ </w:t>
      </w:r>
      <w:r>
        <w:t>但在有瓦斯喷出或者有突出危险的矿井中</w:t>
      </w:r>
      <w:r>
        <w:rPr>
          <w:rFonts w:hint="eastAsia" w:ascii="MS UI Gothic" w:eastAsia="MS UI Gothic"/>
          <w:w w:val="80"/>
        </w:rPr>
        <w:t xml:space="preserve">ꎬ </w:t>
      </w:r>
      <w:r>
        <w:t>开拓新水平和准备新采区时</w:t>
      </w:r>
      <w:r>
        <w:rPr>
          <w:rFonts w:hint="eastAsia" w:ascii="MS UI Gothic" w:eastAsia="MS UI Gothic"/>
          <w:w w:val="80"/>
        </w:rPr>
        <w:t xml:space="preserve">ꎬ </w:t>
      </w:r>
      <w:r>
        <w:t xml:space="preserve">必须先在无瓦斯喷出或者无突出危险的煤 </w:t>
      </w:r>
      <w:r>
        <w:rPr>
          <w:rFonts w:hint="eastAsia" w:ascii="MS UI Gothic" w:eastAsia="MS UI Gothic"/>
          <w:w w:val="145"/>
        </w:rPr>
        <w:t xml:space="preserve">( </w:t>
      </w:r>
      <w:r>
        <w:t>岩</w:t>
      </w:r>
      <w:r>
        <w:rPr>
          <w:rFonts w:hint="eastAsia" w:ascii="MS UI Gothic" w:eastAsia="MS UI Gothic"/>
          <w:w w:val="145"/>
        </w:rPr>
        <w:t xml:space="preserve">) </w:t>
      </w:r>
      <w:r>
        <w:t>层中掘进巷道并构成通风系统</w:t>
      </w:r>
      <w:r>
        <w:rPr>
          <w:rFonts w:hint="eastAsia" w:ascii="MS UI Gothic" w:eastAsia="MS UI Gothic"/>
          <w:w w:val="80"/>
        </w:rPr>
        <w:t xml:space="preserve">ꎬ </w:t>
      </w:r>
      <w:r>
        <w:t>为构成通风系统的掘进巷道的回风</w:t>
      </w:r>
      <w:r>
        <w:rPr>
          <w:rFonts w:hint="eastAsia" w:ascii="MS UI Gothic" w:eastAsia="MS UI Gothic"/>
          <w:w w:val="80"/>
        </w:rPr>
        <w:t xml:space="preserve">ꎬ </w:t>
      </w:r>
      <w:r>
        <w:t>可以引入生产水平的进风中</w:t>
      </w:r>
      <w:r>
        <w:rPr>
          <w:rFonts w:hint="eastAsia" w:ascii="MS UI Gothic" w:eastAsia="MS UI Gothic"/>
          <w:w w:val="80"/>
        </w:rPr>
        <w:t xml:space="preserve">ꎮ </w:t>
      </w:r>
      <w:r>
        <w:t xml:space="preserve">上述 </w:t>
      </w:r>
      <w:r>
        <w:rPr>
          <w:rFonts w:hint="eastAsia" w:ascii="MS UI Gothic" w:eastAsia="MS UI Gothic"/>
          <w:w w:val="80"/>
        </w:rPr>
        <w:t xml:space="preserve">２ </w:t>
      </w:r>
      <w:r>
        <w:t xml:space="preserve">种回风流中的甲烷和二氧化碳浓度都不得超过 </w:t>
      </w:r>
      <w:r>
        <w:rPr>
          <w:rFonts w:hint="eastAsia" w:ascii="MS UI Gothic" w:eastAsia="MS UI Gothic"/>
          <w:w w:val="80"/>
        </w:rPr>
        <w:t>０ ５</w:t>
      </w:r>
      <w:r>
        <w:rPr>
          <w:w w:val="80"/>
        </w:rPr>
        <w:t xml:space="preserve">％ </w:t>
      </w:r>
      <w:r>
        <w:rPr>
          <w:rFonts w:hint="eastAsia" w:ascii="MS UI Gothic" w:eastAsia="MS UI Gothic"/>
          <w:w w:val="80"/>
        </w:rPr>
        <w:t xml:space="preserve">ꎬ </w:t>
      </w:r>
      <w:r>
        <w:t>其他有害气体浓度必须符合本规程第一百三十五条的规定</w:t>
      </w:r>
      <w:r>
        <w:rPr>
          <w:rFonts w:hint="eastAsia" w:ascii="MS UI Gothic" w:eastAsia="MS UI Gothic"/>
          <w:w w:val="80"/>
        </w:rPr>
        <w:t xml:space="preserve">ꎬ </w:t>
      </w:r>
      <w:r>
        <w:t>并制定安全措施</w:t>
      </w:r>
      <w:r>
        <w:rPr>
          <w:rFonts w:hint="eastAsia" w:ascii="MS UI Gothic" w:eastAsia="MS UI Gothic"/>
          <w:w w:val="80"/>
        </w:rPr>
        <w:t xml:space="preserve">ꎬ </w:t>
      </w:r>
      <w:r>
        <w:t>报企业技术负责人审批</w:t>
      </w:r>
      <w:r>
        <w:rPr>
          <w:rFonts w:hint="eastAsia" w:ascii="MS UI Gothic" w:eastAsia="MS UI Gothic"/>
          <w:w w:val="80"/>
        </w:rPr>
        <w:t>ꎮ</w:t>
      </w:r>
    </w:p>
    <w:p>
      <w:pPr>
        <w:pStyle w:val="6"/>
        <w:tabs>
          <w:tab w:val="left" w:pos="2474"/>
        </w:tabs>
        <w:spacing w:line="245" w:lineRule="exact"/>
        <w:ind w:left="543" w:firstLine="0"/>
        <w:jc w:val="left"/>
      </w:pPr>
      <w:r>
        <w:rPr>
          <w:spacing w:val="15"/>
          <w:w w:val="105"/>
        </w:rPr>
        <w:t>第</w:t>
      </w:r>
      <w:r>
        <w:rPr>
          <w:spacing w:val="34"/>
          <w:w w:val="105"/>
        </w:rPr>
        <w:t>一百四十</w:t>
      </w:r>
      <w:r>
        <w:rPr>
          <w:spacing w:val="36"/>
          <w:w w:val="105"/>
        </w:rPr>
        <w:t>九</w:t>
      </w:r>
      <w:r>
        <w:rPr>
          <w:w w:val="105"/>
        </w:rPr>
        <w:t>条</w:t>
      </w:r>
      <w:r>
        <w:rPr>
          <w:w w:val="105"/>
        </w:rPr>
        <w:tab/>
      </w:r>
      <w:r>
        <w:rPr>
          <w:spacing w:val="36"/>
          <w:w w:val="105"/>
        </w:rPr>
        <w:t>生产水平和</w:t>
      </w:r>
      <w:r>
        <w:rPr>
          <w:w w:val="105"/>
        </w:rPr>
        <w:t>采</w:t>
      </w:r>
    </w:p>
    <w:p>
      <w:pPr>
        <w:pStyle w:val="6"/>
        <w:spacing w:before="123"/>
        <w:ind w:firstLine="0"/>
        <w:rPr>
          <w:rFonts w:hint="eastAsia" w:ascii="MS UI Gothic" w:eastAsia="MS UI Gothic"/>
        </w:rPr>
      </w:pPr>
      <w:r>
        <w:br w:type="column"/>
      </w:r>
      <w:r>
        <w:rPr>
          <w:rFonts w:hint="eastAsia" w:ascii="MS UI Gothic" w:eastAsia="MS UI Gothic"/>
          <w:w w:val="150"/>
        </w:rPr>
        <w:t xml:space="preserve">( </w:t>
      </w:r>
      <w:r>
        <w:rPr>
          <w:w w:val="110"/>
        </w:rPr>
        <w:t>盘</w:t>
      </w:r>
      <w:r>
        <w:rPr>
          <w:rFonts w:hint="eastAsia" w:ascii="MS UI Gothic" w:eastAsia="MS UI Gothic"/>
          <w:w w:val="150"/>
        </w:rPr>
        <w:t xml:space="preserve">) </w:t>
      </w:r>
      <w:r>
        <w:rPr>
          <w:w w:val="110"/>
        </w:rPr>
        <w:t>区必须实行分区通风</w:t>
      </w:r>
      <w:r>
        <w:rPr>
          <w:rFonts w:hint="eastAsia" w:ascii="MS UI Gothic" w:eastAsia="MS UI Gothic"/>
          <w:w w:val="80"/>
        </w:rPr>
        <w:t>ꎮ</w:t>
      </w:r>
    </w:p>
    <w:p>
      <w:pPr>
        <w:pStyle w:val="6"/>
        <w:spacing w:before="58" w:line="295" w:lineRule="auto"/>
        <w:ind w:right="442"/>
        <w:rPr>
          <w:rFonts w:hint="eastAsia" w:ascii="MS UI Gothic" w:eastAsia="MS UI Gothic"/>
        </w:rPr>
      </w:pPr>
      <w:r>
        <w:t>准备采区</w:t>
      </w:r>
      <w:r>
        <w:rPr>
          <w:rFonts w:hint="eastAsia" w:ascii="MS UI Gothic" w:eastAsia="MS UI Gothic"/>
          <w:w w:val="80"/>
        </w:rPr>
        <w:t xml:space="preserve">ꎬ </w:t>
      </w:r>
      <w:r>
        <w:t>必须在采区构成通风系统后</w:t>
      </w:r>
      <w:r>
        <w:rPr>
          <w:rFonts w:hint="eastAsia" w:ascii="MS UI Gothic" w:eastAsia="MS UI Gothic"/>
          <w:w w:val="80"/>
        </w:rPr>
        <w:t xml:space="preserve">ꎬ </w:t>
      </w:r>
      <w:r>
        <w:t>方可开掘其他巷道</w:t>
      </w:r>
      <w:r>
        <w:rPr>
          <w:rFonts w:hint="eastAsia" w:ascii="MS UI Gothic" w:eastAsia="MS UI Gothic"/>
          <w:w w:val="80"/>
        </w:rPr>
        <w:t xml:space="preserve">ꎻ </w:t>
      </w:r>
      <w:r>
        <w:t>采用倾斜长壁布置的</w:t>
      </w:r>
      <w:r>
        <w:rPr>
          <w:rFonts w:hint="eastAsia" w:ascii="MS UI Gothic" w:eastAsia="MS UI Gothic"/>
          <w:w w:val="80"/>
        </w:rPr>
        <w:t xml:space="preserve">ꎬ </w:t>
      </w:r>
      <w:r>
        <w:t xml:space="preserve">大巷必须至少超前 </w:t>
      </w:r>
      <w:r>
        <w:rPr>
          <w:rFonts w:hint="eastAsia" w:ascii="MS UI Gothic" w:eastAsia="MS UI Gothic"/>
          <w:w w:val="80"/>
        </w:rPr>
        <w:t xml:space="preserve">２ </w:t>
      </w:r>
      <w:r>
        <w:t>个区段</w:t>
      </w:r>
      <w:r>
        <w:rPr>
          <w:rFonts w:hint="eastAsia" w:ascii="MS UI Gothic" w:eastAsia="MS UI Gothic"/>
          <w:w w:val="80"/>
        </w:rPr>
        <w:t xml:space="preserve">ꎬ </w:t>
      </w:r>
      <w:r>
        <w:t>并构成通风系统后</w:t>
      </w:r>
      <w:r>
        <w:rPr>
          <w:rFonts w:hint="eastAsia" w:ascii="MS UI Gothic" w:eastAsia="MS UI Gothic"/>
          <w:w w:val="80"/>
        </w:rPr>
        <w:t xml:space="preserve">ꎬ </w:t>
      </w:r>
      <w:r>
        <w:t>方可开掘其他巷道</w:t>
      </w:r>
      <w:r>
        <w:rPr>
          <w:rFonts w:hint="eastAsia" w:ascii="MS UI Gothic" w:eastAsia="MS UI Gothic"/>
          <w:w w:val="80"/>
        </w:rPr>
        <w:t xml:space="preserve">ꎮ </w:t>
      </w:r>
      <w:r>
        <w:t xml:space="preserve">采煤工作面必须在采 </w:t>
      </w:r>
      <w:r>
        <w:rPr>
          <w:rFonts w:hint="eastAsia" w:ascii="MS UI Gothic" w:eastAsia="MS UI Gothic"/>
          <w:w w:val="150"/>
        </w:rPr>
        <w:t xml:space="preserve">( </w:t>
      </w:r>
      <w:r>
        <w:t>盘</w:t>
      </w:r>
      <w:r>
        <w:rPr>
          <w:rFonts w:hint="eastAsia" w:ascii="MS UI Gothic" w:eastAsia="MS UI Gothic"/>
          <w:w w:val="150"/>
        </w:rPr>
        <w:t xml:space="preserve">) </w:t>
      </w:r>
      <w:r>
        <w:t>区构成完整的通风</w:t>
      </w:r>
      <w:r>
        <w:rPr>
          <w:rFonts w:hint="eastAsia" w:ascii="MS UI Gothic" w:eastAsia="MS UI Gothic"/>
          <w:w w:val="80"/>
        </w:rPr>
        <w:t xml:space="preserve">、 </w:t>
      </w:r>
      <w:r>
        <w:t>排水系统后</w:t>
      </w:r>
      <w:r>
        <w:rPr>
          <w:rFonts w:hint="eastAsia" w:ascii="MS UI Gothic" w:eastAsia="MS UI Gothic"/>
          <w:w w:val="80"/>
        </w:rPr>
        <w:t xml:space="preserve">ꎬ </w:t>
      </w:r>
      <w:r>
        <w:t>方可回采</w:t>
      </w:r>
      <w:r>
        <w:rPr>
          <w:rFonts w:hint="eastAsia" w:ascii="MS UI Gothic" w:eastAsia="MS UI Gothic"/>
          <w:w w:val="80"/>
        </w:rPr>
        <w:t>ꎮ</w:t>
      </w:r>
    </w:p>
    <w:p>
      <w:pPr>
        <w:pStyle w:val="6"/>
        <w:spacing w:line="295" w:lineRule="auto"/>
        <w:ind w:right="442"/>
        <w:rPr>
          <w:rFonts w:hint="eastAsia" w:ascii="MS UI Gothic" w:eastAsia="MS UI Gothic"/>
        </w:rPr>
      </w:pPr>
      <w:r>
        <w:rPr>
          <w:spacing w:val="3"/>
          <w:w w:val="105"/>
        </w:rPr>
        <w:t>高瓦斯</w:t>
      </w:r>
      <w:r>
        <w:rPr>
          <w:rFonts w:hint="eastAsia" w:ascii="MS UI Gothic" w:eastAsia="MS UI Gothic"/>
          <w:spacing w:val="23"/>
          <w:w w:val="80"/>
        </w:rPr>
        <w:t xml:space="preserve">、 </w:t>
      </w:r>
      <w:r>
        <w:rPr>
          <w:spacing w:val="-4"/>
          <w:w w:val="105"/>
        </w:rPr>
        <w:t xml:space="preserve">突出矿井的每个采 </w:t>
      </w:r>
      <w:r>
        <w:rPr>
          <w:rFonts w:hint="eastAsia" w:ascii="MS UI Gothic" w:eastAsia="MS UI Gothic"/>
          <w:spacing w:val="-36"/>
          <w:w w:val="150"/>
        </w:rPr>
        <w:t xml:space="preserve">( </w:t>
      </w:r>
      <w:r>
        <w:rPr>
          <w:spacing w:val="3"/>
          <w:w w:val="105"/>
        </w:rPr>
        <w:t>盘</w:t>
      </w:r>
      <w:r>
        <w:rPr>
          <w:rFonts w:hint="eastAsia" w:ascii="MS UI Gothic" w:eastAsia="MS UI Gothic"/>
          <w:spacing w:val="10"/>
          <w:w w:val="150"/>
        </w:rPr>
        <w:t xml:space="preserve">) </w:t>
      </w:r>
      <w:r>
        <w:rPr>
          <w:w w:val="105"/>
        </w:rPr>
        <w:t>区</w:t>
      </w:r>
      <w:r>
        <w:rPr>
          <w:spacing w:val="-3"/>
          <w:w w:val="105"/>
        </w:rPr>
        <w:t xml:space="preserve">和开采容易自燃煤层的采 </w:t>
      </w:r>
      <w:r>
        <w:rPr>
          <w:rFonts w:hint="eastAsia" w:ascii="MS UI Gothic" w:eastAsia="MS UI Gothic"/>
          <w:spacing w:val="-38"/>
          <w:w w:val="150"/>
        </w:rPr>
        <w:t xml:space="preserve">( </w:t>
      </w:r>
      <w:r>
        <w:rPr>
          <w:spacing w:val="3"/>
          <w:w w:val="105"/>
        </w:rPr>
        <w:t>盘</w:t>
      </w:r>
      <w:r>
        <w:rPr>
          <w:rFonts w:hint="eastAsia" w:ascii="MS UI Gothic" w:eastAsia="MS UI Gothic"/>
          <w:spacing w:val="-1"/>
          <w:w w:val="150"/>
        </w:rPr>
        <w:t xml:space="preserve">) </w:t>
      </w:r>
      <w:r>
        <w:rPr>
          <w:spacing w:val="3"/>
          <w:w w:val="105"/>
        </w:rPr>
        <w:t>区</w:t>
      </w:r>
      <w:r>
        <w:rPr>
          <w:rFonts w:hint="eastAsia" w:ascii="MS UI Gothic" w:eastAsia="MS UI Gothic"/>
          <w:spacing w:val="13"/>
          <w:w w:val="80"/>
        </w:rPr>
        <w:t xml:space="preserve">ꎬ </w:t>
      </w:r>
      <w:r>
        <w:rPr>
          <w:spacing w:val="1"/>
          <w:w w:val="105"/>
        </w:rPr>
        <w:t>必须</w:t>
      </w:r>
      <w:r>
        <w:rPr>
          <w:spacing w:val="-16"/>
          <w:w w:val="105"/>
        </w:rPr>
        <w:t xml:space="preserve">设置至少 </w:t>
      </w:r>
      <w:r>
        <w:rPr>
          <w:rFonts w:hint="eastAsia" w:ascii="MS UI Gothic" w:eastAsia="MS UI Gothic"/>
          <w:spacing w:val="-11"/>
          <w:w w:val="80"/>
        </w:rPr>
        <w:t xml:space="preserve">１ </w:t>
      </w:r>
      <w:r>
        <w:rPr>
          <w:spacing w:val="3"/>
          <w:w w:val="105"/>
        </w:rPr>
        <w:t>条专用回风巷</w:t>
      </w:r>
      <w:r>
        <w:rPr>
          <w:rFonts w:hint="eastAsia" w:ascii="MS UI Gothic" w:eastAsia="MS UI Gothic"/>
          <w:spacing w:val="-1"/>
          <w:w w:val="80"/>
        </w:rPr>
        <w:t xml:space="preserve">ꎻ </w:t>
      </w:r>
      <w:r>
        <w:rPr>
          <w:spacing w:val="2"/>
          <w:w w:val="105"/>
        </w:rPr>
        <w:t>低瓦斯矿井开</w:t>
      </w:r>
      <w:r>
        <w:rPr>
          <w:spacing w:val="11"/>
        </w:rPr>
        <w:t xml:space="preserve">采煤层群和分层开采采用联合布置的采 </w:t>
      </w:r>
      <w:r>
        <w:rPr>
          <w:rFonts w:hint="eastAsia" w:ascii="MS UI Gothic" w:eastAsia="MS UI Gothic"/>
          <w:spacing w:val="-32"/>
          <w:w w:val="150"/>
        </w:rPr>
        <w:t xml:space="preserve">( </w:t>
      </w:r>
      <w:r>
        <w:rPr>
          <w:spacing w:val="3"/>
          <w:w w:val="105"/>
        </w:rPr>
        <w:t>盘</w:t>
      </w:r>
      <w:r>
        <w:rPr>
          <w:rFonts w:hint="eastAsia" w:ascii="MS UI Gothic" w:eastAsia="MS UI Gothic"/>
          <w:spacing w:val="5"/>
          <w:w w:val="150"/>
        </w:rPr>
        <w:t xml:space="preserve">) </w:t>
      </w:r>
      <w:r>
        <w:rPr>
          <w:spacing w:val="3"/>
          <w:w w:val="105"/>
        </w:rPr>
        <w:t>区</w:t>
      </w:r>
      <w:r>
        <w:rPr>
          <w:rFonts w:hint="eastAsia" w:ascii="MS UI Gothic" w:eastAsia="MS UI Gothic"/>
          <w:spacing w:val="18"/>
          <w:w w:val="80"/>
        </w:rPr>
        <w:t xml:space="preserve">ꎬ </w:t>
      </w:r>
      <w:r>
        <w:rPr>
          <w:spacing w:val="-12"/>
          <w:w w:val="105"/>
        </w:rPr>
        <w:t xml:space="preserve">必须设置 </w:t>
      </w:r>
      <w:r>
        <w:rPr>
          <w:rFonts w:hint="eastAsia" w:ascii="MS UI Gothic" w:eastAsia="MS UI Gothic"/>
          <w:spacing w:val="-1"/>
          <w:w w:val="80"/>
        </w:rPr>
        <w:t xml:space="preserve">１ </w:t>
      </w:r>
      <w:r>
        <w:rPr>
          <w:spacing w:val="3"/>
          <w:w w:val="105"/>
        </w:rPr>
        <w:t>条专用回风巷</w:t>
      </w:r>
      <w:r>
        <w:rPr>
          <w:rFonts w:hint="eastAsia" w:ascii="MS UI Gothic" w:eastAsia="MS UI Gothic"/>
          <w:w w:val="80"/>
        </w:rPr>
        <w:t>ꎮ</w:t>
      </w:r>
    </w:p>
    <w:p>
      <w:pPr>
        <w:pStyle w:val="6"/>
        <w:spacing w:line="295" w:lineRule="auto"/>
        <w:ind w:right="440"/>
        <w:rPr>
          <w:rFonts w:hint="eastAsia" w:ascii="MS UI Gothic" w:eastAsia="MS UI Gothic"/>
        </w:rPr>
      </w:pPr>
      <w:r>
        <w:t>采区进</w:t>
      </w:r>
      <w:r>
        <w:rPr>
          <w:rFonts w:hint="eastAsia" w:ascii="MS UI Gothic" w:eastAsia="MS UI Gothic"/>
          <w:w w:val="80"/>
        </w:rPr>
        <w:t xml:space="preserve">、 </w:t>
      </w:r>
      <w:r>
        <w:t>回风巷必须贯穿整个采区</w:t>
      </w:r>
      <w:r>
        <w:rPr>
          <w:rFonts w:hint="eastAsia" w:ascii="MS UI Gothic" w:eastAsia="MS UI Gothic"/>
          <w:w w:val="80"/>
        </w:rPr>
        <w:t>ꎬ</w:t>
      </w:r>
      <w:r>
        <w:t>严禁一段为进风巷</w:t>
      </w:r>
      <w:r>
        <w:rPr>
          <w:rFonts w:hint="eastAsia" w:ascii="MS UI Gothic" w:eastAsia="MS UI Gothic"/>
          <w:w w:val="80"/>
        </w:rPr>
        <w:t xml:space="preserve">、 </w:t>
      </w:r>
      <w:r>
        <w:t>一段为回风巷</w:t>
      </w:r>
      <w:r>
        <w:rPr>
          <w:rFonts w:hint="eastAsia" w:ascii="MS UI Gothic" w:eastAsia="MS UI Gothic"/>
          <w:w w:val="80"/>
        </w:rPr>
        <w:t>ꎮ</w:t>
      </w:r>
    </w:p>
    <w:p>
      <w:pPr>
        <w:pStyle w:val="6"/>
        <w:spacing w:line="295" w:lineRule="auto"/>
        <w:ind w:right="442"/>
        <w:rPr>
          <w:rFonts w:hint="eastAsia" w:ascii="MS UI Gothic" w:eastAsia="MS UI Gothic"/>
        </w:rPr>
      </w:pPr>
      <w:r>
        <w:t>第一百五十条 采</w:t>
      </w:r>
      <w:r>
        <w:rPr>
          <w:rFonts w:hint="eastAsia" w:ascii="MS UI Gothic" w:eastAsia="MS UI Gothic"/>
          <w:w w:val="80"/>
        </w:rPr>
        <w:t xml:space="preserve">、 </w:t>
      </w:r>
      <w:r>
        <w:t>掘工作面应当实行独立通风</w:t>
      </w:r>
      <w:r>
        <w:rPr>
          <w:rFonts w:hint="eastAsia" w:ascii="MS UI Gothic" w:eastAsia="MS UI Gothic"/>
          <w:w w:val="80"/>
        </w:rPr>
        <w:t xml:space="preserve">ꎬ </w:t>
      </w:r>
      <w:r>
        <w:t xml:space="preserve">严禁 </w:t>
      </w:r>
      <w:r>
        <w:rPr>
          <w:rFonts w:hint="eastAsia" w:ascii="MS UI Gothic" w:eastAsia="MS UI Gothic"/>
          <w:w w:val="80"/>
        </w:rPr>
        <w:t xml:space="preserve">２ </w:t>
      </w:r>
      <w:r>
        <w:t>个采煤工作面之间串联通风</w:t>
      </w:r>
      <w:r>
        <w:rPr>
          <w:rFonts w:hint="eastAsia" w:ascii="MS UI Gothic" w:eastAsia="MS UI Gothic"/>
          <w:w w:val="80"/>
        </w:rPr>
        <w:t>ꎮ</w:t>
      </w:r>
    </w:p>
    <w:p>
      <w:pPr>
        <w:pStyle w:val="6"/>
        <w:spacing w:line="254" w:lineRule="exact"/>
        <w:ind w:left="543" w:firstLine="0"/>
      </w:pPr>
      <w:r>
        <w:t xml:space="preserve">同一采区内 </w:t>
      </w:r>
      <w:r>
        <w:rPr>
          <w:rFonts w:hint="eastAsia" w:ascii="MS UI Gothic" w:eastAsia="MS UI Gothic"/>
        </w:rPr>
        <w:t xml:space="preserve">１ </w:t>
      </w:r>
      <w:r>
        <w:t>个采煤工作面与其相连</w:t>
      </w:r>
    </w:p>
    <w:p>
      <w:pPr>
        <w:pStyle w:val="6"/>
        <w:spacing w:before="48" w:line="295" w:lineRule="auto"/>
        <w:ind w:right="442" w:firstLine="0"/>
        <w:rPr>
          <w:rFonts w:hint="eastAsia" w:ascii="MS UI Gothic" w:eastAsia="MS UI Gothic"/>
        </w:rPr>
      </w:pPr>
      <w:r>
        <w:rPr>
          <w:spacing w:val="-17"/>
        </w:rPr>
        <w:t xml:space="preserve">接的 </w:t>
      </w:r>
      <w:r>
        <w:rPr>
          <w:rFonts w:hint="eastAsia" w:ascii="MS UI Gothic" w:eastAsia="MS UI Gothic"/>
          <w:spacing w:val="-3"/>
        </w:rPr>
        <w:t xml:space="preserve">１ </w:t>
      </w:r>
      <w:r>
        <w:rPr>
          <w:spacing w:val="3"/>
        </w:rPr>
        <w:t>个掘进工作面</w:t>
      </w:r>
      <w:r>
        <w:rPr>
          <w:rFonts w:hint="eastAsia" w:ascii="MS UI Gothic" w:eastAsia="MS UI Gothic"/>
          <w:spacing w:val="20"/>
        </w:rPr>
        <w:t xml:space="preserve">、 </w:t>
      </w:r>
      <w:r>
        <w:rPr>
          <w:spacing w:val="-12"/>
        </w:rPr>
        <w:t xml:space="preserve">相邻的 </w:t>
      </w:r>
      <w:r>
        <w:rPr>
          <w:rFonts w:hint="eastAsia" w:ascii="MS UI Gothic" w:eastAsia="MS UI Gothic"/>
          <w:spacing w:val="-3"/>
        </w:rPr>
        <w:t xml:space="preserve">２ </w:t>
      </w:r>
      <w:r>
        <w:rPr>
          <w:spacing w:val="3"/>
        </w:rPr>
        <w:t>个掘进工作面</w:t>
      </w:r>
      <w:r>
        <w:rPr>
          <w:rFonts w:hint="eastAsia" w:ascii="MS UI Gothic" w:eastAsia="MS UI Gothic"/>
          <w:spacing w:val="23"/>
          <w:w w:val="80"/>
        </w:rPr>
        <w:t xml:space="preserve">ꎬ </w:t>
      </w:r>
      <w:r>
        <w:rPr>
          <w:spacing w:val="3"/>
        </w:rPr>
        <w:t>布置独立通风有困难时</w:t>
      </w:r>
      <w:r>
        <w:rPr>
          <w:rFonts w:hint="eastAsia" w:ascii="MS UI Gothic" w:eastAsia="MS UI Gothic"/>
          <w:spacing w:val="23"/>
          <w:w w:val="80"/>
        </w:rPr>
        <w:t xml:space="preserve">ꎬ </w:t>
      </w:r>
      <w:r>
        <w:rPr>
          <w:spacing w:val="2"/>
        </w:rPr>
        <w:t>在制定措</w:t>
      </w:r>
      <w:r>
        <w:rPr>
          <w:spacing w:val="3"/>
        </w:rPr>
        <w:t>施后</w:t>
      </w:r>
      <w:r>
        <w:rPr>
          <w:rFonts w:hint="eastAsia" w:ascii="MS UI Gothic" w:eastAsia="MS UI Gothic"/>
          <w:spacing w:val="23"/>
          <w:w w:val="80"/>
        </w:rPr>
        <w:t xml:space="preserve">ꎬ </w:t>
      </w:r>
      <w:r>
        <w:rPr>
          <w:spacing w:val="3"/>
        </w:rPr>
        <w:t>可采用串联通风</w:t>
      </w:r>
      <w:r>
        <w:rPr>
          <w:rFonts w:hint="eastAsia" w:ascii="MS UI Gothic" w:eastAsia="MS UI Gothic"/>
          <w:spacing w:val="23"/>
          <w:w w:val="80"/>
        </w:rPr>
        <w:t xml:space="preserve">ꎬ </w:t>
      </w:r>
      <w:r>
        <w:rPr>
          <w:spacing w:val="2"/>
        </w:rPr>
        <w:t>但串联通风的次</w:t>
      </w:r>
      <w:r>
        <w:rPr>
          <w:spacing w:val="-7"/>
        </w:rPr>
        <w:t xml:space="preserve">数不得超过 </w:t>
      </w:r>
      <w:r>
        <w:rPr>
          <w:rFonts w:hint="eastAsia" w:ascii="MS UI Gothic" w:eastAsia="MS UI Gothic"/>
          <w:spacing w:val="-2"/>
        </w:rPr>
        <w:t xml:space="preserve">１ </w:t>
      </w:r>
      <w:r>
        <w:rPr>
          <w:spacing w:val="3"/>
        </w:rPr>
        <w:t>次</w:t>
      </w:r>
      <w:r>
        <w:rPr>
          <w:rFonts w:hint="eastAsia" w:ascii="MS UI Gothic" w:eastAsia="MS UI Gothic"/>
          <w:w w:val="80"/>
        </w:rPr>
        <w:t>ꎮ</w:t>
      </w:r>
    </w:p>
    <w:p>
      <w:pPr>
        <w:pStyle w:val="6"/>
        <w:spacing w:line="295" w:lineRule="auto"/>
        <w:ind w:right="440"/>
        <w:rPr>
          <w:rFonts w:hint="eastAsia" w:ascii="MS UI Gothic" w:eastAsia="MS UI Gothic"/>
        </w:rPr>
      </w:pPr>
      <w:r>
        <w:t>采区内为构成新区段通风系统的掘进巷道或者采煤工作面遇地质构造而重新掘进的巷道</w:t>
      </w:r>
      <w:r>
        <w:rPr>
          <w:rFonts w:hint="eastAsia" w:ascii="MS UI Gothic" w:eastAsia="MS UI Gothic"/>
          <w:w w:val="80"/>
        </w:rPr>
        <w:t xml:space="preserve">ꎬ </w:t>
      </w:r>
      <w:r>
        <w:t>布置独立通风有困难时</w:t>
      </w:r>
      <w:r>
        <w:rPr>
          <w:rFonts w:hint="eastAsia" w:ascii="MS UI Gothic" w:eastAsia="MS UI Gothic"/>
          <w:w w:val="80"/>
        </w:rPr>
        <w:t xml:space="preserve">ꎬ </w:t>
      </w:r>
      <w:r>
        <w:t>其回风可以串入采煤工作面</w:t>
      </w:r>
      <w:r>
        <w:rPr>
          <w:rFonts w:hint="eastAsia" w:ascii="MS UI Gothic" w:eastAsia="MS UI Gothic"/>
          <w:w w:val="80"/>
        </w:rPr>
        <w:t xml:space="preserve">ꎬ </w:t>
      </w:r>
      <w:r>
        <w:t>但必须制定安全措施</w:t>
      </w:r>
      <w:r>
        <w:rPr>
          <w:rFonts w:hint="eastAsia" w:ascii="MS UI Gothic" w:eastAsia="MS UI Gothic"/>
          <w:w w:val="80"/>
        </w:rPr>
        <w:t xml:space="preserve">ꎬ </w:t>
      </w:r>
      <w:r>
        <w:t xml:space="preserve">且串联通风的次数不得超过 </w:t>
      </w:r>
      <w:r>
        <w:rPr>
          <w:rFonts w:hint="eastAsia" w:ascii="MS UI Gothic" w:eastAsia="MS UI Gothic"/>
          <w:w w:val="80"/>
        </w:rPr>
        <w:t xml:space="preserve">１ </w:t>
      </w:r>
      <w:r>
        <w:t>次</w:t>
      </w:r>
      <w:r>
        <w:rPr>
          <w:rFonts w:hint="eastAsia" w:ascii="MS UI Gothic" w:eastAsia="MS UI Gothic"/>
          <w:w w:val="80"/>
        </w:rPr>
        <w:t>ꎻ</w:t>
      </w:r>
      <w:r>
        <w:t>构成独立通风系统后</w:t>
      </w:r>
      <w:r>
        <w:rPr>
          <w:rFonts w:hint="eastAsia" w:ascii="MS UI Gothic" w:eastAsia="MS UI Gothic"/>
          <w:w w:val="80"/>
        </w:rPr>
        <w:t xml:space="preserve">ꎬ </w:t>
      </w:r>
      <w:r>
        <w:t>必须立即改为独立通风</w:t>
      </w:r>
      <w:r>
        <w:rPr>
          <w:rFonts w:hint="eastAsia" w:ascii="MS UI Gothic" w:eastAsia="MS UI Gothic"/>
          <w:w w:val="80"/>
        </w:rPr>
        <w:t>ꎮ</w:t>
      </w:r>
    </w:p>
    <w:p>
      <w:pPr>
        <w:pStyle w:val="6"/>
        <w:spacing w:line="295" w:lineRule="auto"/>
        <w:ind w:left="118" w:right="442" w:firstLine="425"/>
        <w:rPr>
          <w:rFonts w:hint="eastAsia" w:ascii="MS UI Gothic" w:eastAsia="MS UI Gothic"/>
        </w:rPr>
      </w:pPr>
      <w:r>
        <w:t>对于本条规定的串联通风</w:t>
      </w:r>
      <w:r>
        <w:rPr>
          <w:rFonts w:hint="eastAsia" w:ascii="MS UI Gothic" w:eastAsia="MS UI Gothic"/>
          <w:w w:val="85"/>
        </w:rPr>
        <w:t xml:space="preserve">ꎬ </w:t>
      </w:r>
      <w:r>
        <w:t>必须在进入被串联工作面的巷道中装设甲烷传感器</w:t>
      </w:r>
      <w:r>
        <w:rPr>
          <w:rFonts w:hint="eastAsia" w:ascii="MS UI Gothic" w:eastAsia="MS UI Gothic"/>
          <w:w w:val="85"/>
        </w:rPr>
        <w:t xml:space="preserve">ꎬ </w:t>
      </w:r>
      <w:r>
        <w:t>且甲烷和二氧化碳浓度都不得超过</w:t>
      </w:r>
      <w:r>
        <w:rPr>
          <w:rFonts w:hint="eastAsia" w:ascii="MS UI Gothic" w:eastAsia="MS UI Gothic"/>
          <w:w w:val="85"/>
        </w:rPr>
        <w:t>０ ５</w:t>
      </w:r>
      <w:r>
        <w:rPr>
          <w:w w:val="85"/>
        </w:rPr>
        <w:t xml:space="preserve">％ </w:t>
      </w:r>
      <w:r>
        <w:rPr>
          <w:rFonts w:hint="eastAsia" w:ascii="MS UI Gothic" w:eastAsia="MS UI Gothic"/>
          <w:w w:val="85"/>
        </w:rPr>
        <w:t xml:space="preserve">ꎬ </w:t>
      </w:r>
      <w:r>
        <w:t>其他有害气体浓度都应当符合本规程第一百三十五条的要求</w:t>
      </w:r>
      <w:r>
        <w:rPr>
          <w:rFonts w:hint="eastAsia" w:ascii="MS UI Gothic" w:eastAsia="MS UI Gothic"/>
          <w:w w:val="85"/>
        </w:rPr>
        <w:t>ꎮ</w:t>
      </w:r>
    </w:p>
    <w:p>
      <w:pPr>
        <w:pStyle w:val="6"/>
        <w:spacing w:line="295" w:lineRule="auto"/>
        <w:ind w:right="442"/>
        <w:rPr>
          <w:rFonts w:hint="eastAsia" w:ascii="MS UI Gothic" w:eastAsia="MS UI Gothic"/>
        </w:rPr>
      </w:pPr>
      <w:r>
        <w:t>开采有瓦斯喷出</w:t>
      </w:r>
      <w:r>
        <w:rPr>
          <w:rFonts w:hint="eastAsia" w:ascii="MS UI Gothic" w:eastAsia="MS UI Gothic"/>
          <w:w w:val="85"/>
        </w:rPr>
        <w:t xml:space="preserve">、 </w:t>
      </w:r>
      <w:r>
        <w:t xml:space="preserve">有突出危险的煤层或者在距离突出煤层垂距小于 </w:t>
      </w:r>
      <w:r>
        <w:rPr>
          <w:rFonts w:hint="eastAsia" w:ascii="MS UI Gothic" w:eastAsia="MS UI Gothic"/>
          <w:w w:val="85"/>
        </w:rPr>
        <w:t xml:space="preserve">１０ ｍ </w:t>
      </w:r>
      <w:r>
        <w:t>的区域掘进施工时</w:t>
      </w:r>
      <w:r>
        <w:rPr>
          <w:rFonts w:hint="eastAsia" w:ascii="MS UI Gothic" w:eastAsia="MS UI Gothic"/>
          <w:w w:val="85"/>
        </w:rPr>
        <w:t xml:space="preserve">ꎬ </w:t>
      </w:r>
      <w:r>
        <w:t xml:space="preserve">严禁任何 </w:t>
      </w:r>
      <w:r>
        <w:rPr>
          <w:rFonts w:hint="eastAsia" w:ascii="MS UI Gothic" w:eastAsia="MS UI Gothic"/>
          <w:w w:val="85"/>
        </w:rPr>
        <w:t xml:space="preserve">２ </w:t>
      </w:r>
      <w:r>
        <w:t>个工作面之间串联通风</w:t>
      </w:r>
      <w:r>
        <w:rPr>
          <w:rFonts w:hint="eastAsia" w:ascii="MS UI Gothic" w:eastAsia="MS UI Gothic"/>
          <w:w w:val="85"/>
        </w:rPr>
        <w:t>ꎮ</w:t>
      </w:r>
    </w:p>
    <w:p>
      <w:pPr>
        <w:pStyle w:val="6"/>
        <w:spacing w:line="253" w:lineRule="exact"/>
        <w:ind w:left="543" w:firstLine="0"/>
      </w:pPr>
      <w:r>
        <w:rPr>
          <w:w w:val="105"/>
        </w:rPr>
        <w:t>第一百五十一条 井下所有煤仓和溜</w:t>
      </w:r>
    </w:p>
    <w:p>
      <w:pPr>
        <w:spacing w:after="0" w:line="253"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２６１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09" o:spid="_x0000_s1809" o:spt="203" style="height:2.15pt;width:398.25pt;" coordsize="7965,43">
            <o:lock v:ext="edit"/>
            <v:line id="_x0000_s1810" o:spid="_x0000_s1810" o:spt="20" style="position:absolute;left:0;top:39;height:0;width:7965;" stroked="t" coordsize="21600,21600">
              <v:path arrowok="t"/>
              <v:fill focussize="0,0"/>
              <v:stroke weight="0.388031496062992pt" color="#231F20"/>
              <v:imagedata o:title=""/>
              <o:lock v:ext="edit"/>
            </v:line>
            <v:line id="_x0000_s1811" o:spid="_x0000_s181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煤眼都应当保持一定的存煤</w:t>
      </w:r>
      <w:r>
        <w:rPr>
          <w:rFonts w:hint="eastAsia" w:ascii="MS UI Gothic" w:eastAsia="MS UI Gothic"/>
          <w:w w:val="80"/>
        </w:rPr>
        <w:t xml:space="preserve">ꎬ </w:t>
      </w:r>
      <w:r>
        <w:t>不得放空</w:t>
      </w:r>
      <w:r>
        <w:rPr>
          <w:rFonts w:hint="eastAsia" w:ascii="MS UI Gothic" w:eastAsia="MS UI Gothic"/>
          <w:w w:val="80"/>
        </w:rPr>
        <w:t>ꎻ</w:t>
      </w:r>
      <w:r>
        <w:t>有涌水的煤仓和溜煤眼</w:t>
      </w:r>
      <w:r>
        <w:rPr>
          <w:rFonts w:hint="eastAsia" w:ascii="MS UI Gothic" w:eastAsia="MS UI Gothic"/>
          <w:w w:val="80"/>
        </w:rPr>
        <w:t xml:space="preserve">ꎬ </w:t>
      </w:r>
      <w:r>
        <w:t>可以放空</w:t>
      </w:r>
      <w:r>
        <w:rPr>
          <w:rFonts w:hint="eastAsia" w:ascii="MS UI Gothic" w:eastAsia="MS UI Gothic"/>
          <w:w w:val="80"/>
        </w:rPr>
        <w:t xml:space="preserve">ꎬ </w:t>
      </w:r>
      <w:r>
        <w:t>但放空后放煤口闸板必须关闭</w:t>
      </w:r>
      <w:r>
        <w:rPr>
          <w:rFonts w:hint="eastAsia" w:ascii="MS UI Gothic" w:eastAsia="MS UI Gothic"/>
          <w:w w:val="80"/>
        </w:rPr>
        <w:t xml:space="preserve">ꎬ </w:t>
      </w:r>
      <w:r>
        <w:t>并设置引水管</w:t>
      </w:r>
      <w:r>
        <w:rPr>
          <w:rFonts w:hint="eastAsia" w:ascii="MS UI Gothic" w:eastAsia="MS UI Gothic"/>
          <w:w w:val="80"/>
        </w:rPr>
        <w:t>ꎮ</w:t>
      </w:r>
    </w:p>
    <w:p>
      <w:pPr>
        <w:pStyle w:val="6"/>
        <w:spacing w:line="253" w:lineRule="exact"/>
        <w:ind w:left="860" w:firstLine="0"/>
        <w:jc w:val="left"/>
        <w:rPr>
          <w:rFonts w:hint="eastAsia" w:ascii="MS UI Gothic" w:eastAsia="MS UI Gothic"/>
        </w:rPr>
      </w:pPr>
      <w:r>
        <w:t>溜煤眼不得兼作风眼使用</w:t>
      </w:r>
      <w:r>
        <w:rPr>
          <w:rFonts w:hint="eastAsia" w:ascii="MS UI Gothic" w:eastAsia="MS UI Gothic"/>
          <w:w w:val="80"/>
        </w:rPr>
        <w:t>ꎮ</w:t>
      </w:r>
    </w:p>
    <w:p>
      <w:pPr>
        <w:pStyle w:val="6"/>
        <w:spacing w:before="58" w:line="295" w:lineRule="auto"/>
        <w:ind w:left="440" w:right="1"/>
        <w:rPr>
          <w:rFonts w:hint="eastAsia" w:ascii="MS UI Gothic" w:hAnsi="MS UI Gothic" w:eastAsia="MS UI Gothic"/>
        </w:rPr>
      </w:pPr>
      <w:r>
        <w:rPr>
          <w:w w:val="105"/>
        </w:rPr>
        <w:t xml:space="preserve">第一百五十二条 煤层倾角大于 </w:t>
      </w:r>
      <w:r>
        <w:rPr>
          <w:rFonts w:hint="eastAsia" w:ascii="MS UI Gothic" w:hAnsi="MS UI Gothic" w:eastAsia="MS UI Gothic"/>
          <w:w w:val="80"/>
        </w:rPr>
        <w:t xml:space="preserve">１２° </w:t>
      </w:r>
      <w:r>
        <w:t>的采煤工作面采用下行通风时</w:t>
      </w:r>
      <w:r>
        <w:rPr>
          <w:rFonts w:hint="eastAsia" w:ascii="MS UI Gothic" w:hAnsi="MS UI Gothic" w:eastAsia="MS UI Gothic"/>
          <w:w w:val="80"/>
        </w:rPr>
        <w:t xml:space="preserve">ꎬ </w:t>
      </w:r>
      <w:r>
        <w:t>应当报矿</w:t>
      </w:r>
      <w:r>
        <w:rPr>
          <w:w w:val="105"/>
        </w:rPr>
        <w:t>总工程师批准</w:t>
      </w:r>
      <w:r>
        <w:rPr>
          <w:rFonts w:hint="eastAsia" w:ascii="MS UI Gothic" w:hAnsi="MS UI Gothic" w:eastAsia="MS UI Gothic"/>
          <w:w w:val="80"/>
        </w:rPr>
        <w:t xml:space="preserve">ꎬ </w:t>
      </w:r>
      <w:r>
        <w:rPr>
          <w:w w:val="105"/>
        </w:rPr>
        <w:t>并遵守下列规定</w:t>
      </w:r>
      <w:r>
        <w:rPr>
          <w:rFonts w:hint="eastAsia" w:ascii="MS UI Gothic" w:hAnsi="MS UI Gothic" w:eastAsia="MS UI Gothic"/>
          <w:w w:val="225"/>
        </w:rPr>
        <w:t>:</w:t>
      </w:r>
    </w:p>
    <w:p>
      <w:pPr>
        <w:pStyle w:val="6"/>
        <w:spacing w:line="295" w:lineRule="auto"/>
        <w:ind w:left="440" w:right="1"/>
        <w:rPr>
          <w:rFonts w:hint="eastAsia" w:ascii="MS UI Gothic" w:eastAsia="MS UI Gothic"/>
        </w:rPr>
      </w:pPr>
      <w:r>
        <w:rPr>
          <w:rFonts w:hint="eastAsia" w:ascii="MS UI Gothic" w:eastAsia="MS UI Gothic"/>
          <w:spacing w:val="-32"/>
          <w:w w:val="150"/>
        </w:rPr>
        <w:t xml:space="preserve">( </w:t>
      </w:r>
      <w:r>
        <w:rPr>
          <w:spacing w:val="42"/>
        </w:rPr>
        <w:t>一</w:t>
      </w:r>
      <w:r>
        <w:rPr>
          <w:rFonts w:hint="eastAsia" w:ascii="MS UI Gothic" w:eastAsia="MS UI Gothic"/>
          <w:w w:val="150"/>
        </w:rPr>
        <w:t xml:space="preserve">) </w:t>
      </w:r>
      <w:r>
        <w:rPr>
          <w:spacing w:val="-15"/>
        </w:rPr>
        <w:t>采 煤 工 作 面 风 速 不 得 低于</w:t>
      </w:r>
      <w:r>
        <w:rPr>
          <w:rFonts w:hint="eastAsia" w:ascii="MS UI Gothic" w:eastAsia="MS UI Gothic"/>
          <w:spacing w:val="3"/>
          <w:w w:val="80"/>
        </w:rPr>
        <w:t xml:space="preserve">１ </w:t>
      </w:r>
      <w:r>
        <w:rPr>
          <w:rFonts w:hint="eastAsia" w:ascii="MS UI Gothic" w:eastAsia="MS UI Gothic"/>
          <w:w w:val="80"/>
        </w:rPr>
        <w:t xml:space="preserve">ｍ </w:t>
      </w:r>
      <w:r>
        <w:rPr>
          <w:rFonts w:hint="eastAsia" w:ascii="MS UI Gothic" w:eastAsia="MS UI Gothic"/>
          <w:w w:val="65"/>
        </w:rPr>
        <w:t xml:space="preserve">/ </w:t>
      </w:r>
      <w:r>
        <w:rPr>
          <w:rFonts w:hint="eastAsia" w:ascii="MS UI Gothic" w:eastAsia="MS UI Gothic"/>
          <w:spacing w:val="3"/>
          <w:w w:val="80"/>
        </w:rPr>
        <w:t>ｓ</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在进</w:t>
      </w:r>
      <w:r>
        <w:rPr>
          <w:rFonts w:hint="eastAsia" w:ascii="MS UI Gothic" w:eastAsia="MS UI Gothic"/>
          <w:w w:val="80"/>
        </w:rPr>
        <w:t xml:space="preserve">、 </w:t>
      </w:r>
      <w:r>
        <w:rPr>
          <w:w w:val="105"/>
        </w:rPr>
        <w:t>回风巷中必须设置消防供水管路</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有突出危险的采煤工作面严禁</w:t>
      </w:r>
      <w:r>
        <w:rPr>
          <w:w w:val="110"/>
        </w:rPr>
        <w:t>采用下行通风</w:t>
      </w:r>
      <w:r>
        <w:rPr>
          <w:rFonts w:hint="eastAsia" w:ascii="MS UI Gothic" w:eastAsia="MS UI Gothic"/>
          <w:w w:val="80"/>
        </w:rPr>
        <w:t>ꎮ</w:t>
      </w:r>
    </w:p>
    <w:p>
      <w:pPr>
        <w:pStyle w:val="6"/>
        <w:spacing w:line="295" w:lineRule="auto"/>
        <w:ind w:left="440" w:right="1"/>
        <w:rPr>
          <w:rFonts w:hint="eastAsia" w:ascii="MS UI Gothic" w:eastAsia="MS UI Gothic"/>
        </w:rPr>
      </w:pPr>
      <w:r>
        <w:t>第一百五十三条 采煤工作面必须采用矿井全风压通风</w:t>
      </w:r>
      <w:r>
        <w:rPr>
          <w:rFonts w:hint="eastAsia" w:ascii="MS UI Gothic" w:eastAsia="MS UI Gothic"/>
          <w:w w:val="80"/>
        </w:rPr>
        <w:t xml:space="preserve">ꎬ </w:t>
      </w:r>
      <w:r>
        <w:t>禁止采用局部通风机稀释瓦斯</w:t>
      </w:r>
      <w:r>
        <w:rPr>
          <w:rFonts w:hint="eastAsia" w:ascii="MS UI Gothic" w:eastAsia="MS UI Gothic"/>
          <w:w w:val="80"/>
        </w:rPr>
        <w:t>ꎮ</w:t>
      </w:r>
    </w:p>
    <w:p>
      <w:pPr>
        <w:pStyle w:val="6"/>
        <w:spacing w:line="295" w:lineRule="auto"/>
        <w:ind w:left="440" w:right="1"/>
        <w:jc w:val="left"/>
        <w:rPr>
          <w:rFonts w:hint="eastAsia" w:ascii="MS UI Gothic" w:eastAsia="MS UI Gothic"/>
        </w:rPr>
      </w:pPr>
      <w:r>
        <w:t>采掘工作面的进风和回风不得经过采</w:t>
      </w:r>
      <w:r>
        <w:rPr>
          <w:w w:val="105"/>
        </w:rPr>
        <w:t>空区或者冒顶区</w:t>
      </w:r>
      <w:r>
        <w:rPr>
          <w:rFonts w:hint="eastAsia" w:ascii="MS UI Gothic" w:eastAsia="MS UI Gothic"/>
          <w:w w:val="80"/>
        </w:rPr>
        <w:t>ꎮ</w:t>
      </w:r>
    </w:p>
    <w:p>
      <w:pPr>
        <w:pStyle w:val="6"/>
        <w:spacing w:line="295" w:lineRule="auto"/>
        <w:ind w:left="440"/>
        <w:rPr>
          <w:rFonts w:hint="eastAsia" w:ascii="MS UI Gothic" w:eastAsia="MS UI Gothic"/>
        </w:rPr>
      </w:pPr>
      <w:r>
        <w:t>无煤柱开采沿空送巷和沿空留巷时</w:t>
      </w:r>
      <w:r>
        <w:rPr>
          <w:rFonts w:hint="eastAsia" w:ascii="MS UI Gothic" w:eastAsia="MS UI Gothic"/>
          <w:w w:val="80"/>
        </w:rPr>
        <w:t>ꎬ</w:t>
      </w:r>
      <w:r>
        <w:t>应当采取防止从巷道的两帮和顶部向采空</w:t>
      </w:r>
      <w:r>
        <w:rPr>
          <w:w w:val="105"/>
        </w:rPr>
        <w:t>区漏风的措施</w:t>
      </w:r>
      <w:r>
        <w:rPr>
          <w:rFonts w:hint="eastAsia" w:ascii="MS UI Gothic" w:eastAsia="MS UI Gothic"/>
          <w:w w:val="80"/>
        </w:rPr>
        <w:t>ꎮ</w:t>
      </w:r>
    </w:p>
    <w:p>
      <w:pPr>
        <w:pStyle w:val="6"/>
        <w:spacing w:line="295" w:lineRule="auto"/>
        <w:ind w:left="440" w:right="1"/>
        <w:rPr>
          <w:rFonts w:hint="eastAsia" w:ascii="MS UI Gothic" w:eastAsia="MS UI Gothic"/>
        </w:rPr>
      </w:pPr>
      <w:r>
        <w:t>矿井在同一煤层</w:t>
      </w:r>
      <w:r>
        <w:rPr>
          <w:rFonts w:hint="eastAsia" w:ascii="MS UI Gothic" w:eastAsia="MS UI Gothic"/>
          <w:w w:val="80"/>
        </w:rPr>
        <w:t xml:space="preserve">、 </w:t>
      </w:r>
      <w:r>
        <w:t>同翼</w:t>
      </w:r>
      <w:r>
        <w:rPr>
          <w:rFonts w:hint="eastAsia" w:ascii="MS UI Gothic" w:eastAsia="MS UI Gothic"/>
          <w:w w:val="80"/>
        </w:rPr>
        <w:t xml:space="preserve">、 </w:t>
      </w:r>
      <w:r>
        <w:t>同一采区相邻正在开采的采煤工作面沿空送巷时</w:t>
      </w:r>
      <w:r>
        <w:rPr>
          <w:rFonts w:hint="eastAsia" w:ascii="MS UI Gothic" w:eastAsia="MS UI Gothic"/>
          <w:w w:val="80"/>
        </w:rPr>
        <w:t xml:space="preserve">ꎬ </w:t>
      </w:r>
      <w:r>
        <w:t>采掘工作面严禁同时作业</w:t>
      </w:r>
      <w:r>
        <w:rPr>
          <w:rFonts w:hint="eastAsia" w:ascii="MS UI Gothic" w:eastAsia="MS UI Gothic"/>
          <w:w w:val="80"/>
        </w:rPr>
        <w:t>ꎮ</w:t>
      </w:r>
    </w:p>
    <w:p>
      <w:pPr>
        <w:pStyle w:val="6"/>
        <w:spacing w:line="295" w:lineRule="auto"/>
        <w:ind w:left="440" w:right="1"/>
        <w:rPr>
          <w:rFonts w:hint="eastAsia" w:ascii="MS UI Gothic" w:eastAsia="MS UI Gothic"/>
        </w:rPr>
      </w:pPr>
      <w:r>
        <w:t>水采和连续采煤机开采的采煤工作面由采空区回风时</w:t>
      </w:r>
      <w:r>
        <w:rPr>
          <w:rFonts w:hint="eastAsia" w:ascii="MS UI Gothic" w:eastAsia="MS UI Gothic"/>
          <w:w w:val="80"/>
        </w:rPr>
        <w:t xml:space="preserve">ꎬ </w:t>
      </w:r>
      <w:r>
        <w:t>工作面必须有足够的新鲜风流</w:t>
      </w:r>
      <w:r>
        <w:rPr>
          <w:rFonts w:hint="eastAsia" w:ascii="MS UI Gothic" w:eastAsia="MS UI Gothic"/>
          <w:w w:val="80"/>
        </w:rPr>
        <w:t xml:space="preserve">ꎬ </w:t>
      </w:r>
      <w:r>
        <w:t>工作面及其回风巷的风流中的甲烷和二氧化碳浓度必须符合本规程第一百</w:t>
      </w:r>
      <w:r>
        <w:rPr>
          <w:w w:val="105"/>
        </w:rPr>
        <w:t>七十二条</w:t>
      </w:r>
      <w:r>
        <w:rPr>
          <w:rFonts w:hint="eastAsia" w:ascii="MS UI Gothic" w:eastAsia="MS UI Gothic"/>
          <w:w w:val="80"/>
        </w:rPr>
        <w:t xml:space="preserve">、 </w:t>
      </w:r>
      <w:r>
        <w:rPr>
          <w:w w:val="105"/>
        </w:rPr>
        <w:t>第一百七十三条和第一百七十四条的规定</w:t>
      </w:r>
      <w:r>
        <w:rPr>
          <w:rFonts w:hint="eastAsia" w:ascii="MS UI Gothic" w:eastAsia="MS UI Gothic"/>
          <w:w w:val="80"/>
        </w:rPr>
        <w:t>ꎮ</w:t>
      </w:r>
    </w:p>
    <w:p>
      <w:pPr>
        <w:pStyle w:val="6"/>
        <w:spacing w:line="295" w:lineRule="auto"/>
        <w:ind w:left="435" w:right="1" w:firstLine="425"/>
        <w:rPr>
          <w:rFonts w:hint="eastAsia" w:ascii="MS UI Gothic" w:eastAsia="MS UI Gothic"/>
        </w:rPr>
      </w:pPr>
      <w:r>
        <w:rPr>
          <w:spacing w:val="4"/>
        </w:rPr>
        <w:t>第一百五十四条 采空区必须及时封</w:t>
      </w:r>
      <w:r>
        <w:rPr>
          <w:spacing w:val="3"/>
        </w:rPr>
        <w:t>闭</w:t>
      </w:r>
      <w:r>
        <w:rPr>
          <w:rFonts w:hint="eastAsia" w:ascii="MS UI Gothic" w:eastAsia="MS UI Gothic"/>
          <w:spacing w:val="13"/>
          <w:w w:val="85"/>
        </w:rPr>
        <w:t xml:space="preserve">ꎮ </w:t>
      </w:r>
      <w:r>
        <w:rPr>
          <w:spacing w:val="2"/>
        </w:rPr>
        <w:t>必须随采煤工作面的推进逐个封闭通</w:t>
      </w:r>
      <w:r>
        <w:rPr>
          <w:spacing w:val="12"/>
        </w:rPr>
        <w:t>至采空区的连通巷道</w:t>
      </w:r>
      <w:r>
        <w:rPr>
          <w:rFonts w:hint="eastAsia" w:ascii="MS UI Gothic" w:eastAsia="MS UI Gothic"/>
          <w:spacing w:val="16"/>
          <w:w w:val="85"/>
        </w:rPr>
        <w:t xml:space="preserve">ꎮ </w:t>
      </w:r>
      <w:r>
        <w:rPr>
          <w:spacing w:val="16"/>
        </w:rPr>
        <w:t>采区开采结束后</w:t>
      </w:r>
      <w:r>
        <w:rPr>
          <w:rFonts w:hint="eastAsia" w:ascii="MS UI Gothic" w:eastAsia="MS UI Gothic"/>
          <w:spacing w:val="11"/>
          <w:w w:val="85"/>
        </w:rPr>
        <w:t xml:space="preserve">４５ </w:t>
      </w:r>
      <w:r>
        <w:rPr>
          <w:spacing w:val="3"/>
        </w:rPr>
        <w:t>天内</w:t>
      </w:r>
      <w:r>
        <w:rPr>
          <w:rFonts w:hint="eastAsia" w:ascii="MS UI Gothic" w:eastAsia="MS UI Gothic"/>
          <w:spacing w:val="2"/>
          <w:w w:val="85"/>
        </w:rPr>
        <w:t xml:space="preserve">ꎬ </w:t>
      </w:r>
      <w:r>
        <w:rPr>
          <w:spacing w:val="13"/>
        </w:rPr>
        <w:t>必须在所有与已采区相连通的</w:t>
      </w:r>
      <w:r>
        <w:rPr>
          <w:spacing w:val="3"/>
        </w:rPr>
        <w:t>巷道中设置密闭墙</w:t>
      </w:r>
      <w:r>
        <w:rPr>
          <w:rFonts w:hint="eastAsia" w:ascii="MS UI Gothic" w:eastAsia="MS UI Gothic"/>
          <w:spacing w:val="22"/>
          <w:w w:val="85"/>
        </w:rPr>
        <w:t xml:space="preserve">ꎬ </w:t>
      </w:r>
      <w:r>
        <w:rPr>
          <w:spacing w:val="3"/>
        </w:rPr>
        <w:t>全部封闭采区</w:t>
      </w:r>
      <w:r>
        <w:rPr>
          <w:rFonts w:hint="eastAsia" w:ascii="MS UI Gothic" w:eastAsia="MS UI Gothic"/>
          <w:w w:val="85"/>
        </w:rPr>
        <w:t>ꎮ</w:t>
      </w:r>
    </w:p>
    <w:p>
      <w:pPr>
        <w:pStyle w:val="6"/>
        <w:spacing w:line="295" w:lineRule="auto"/>
        <w:ind w:left="440"/>
        <w:rPr>
          <w:rFonts w:hint="eastAsia" w:ascii="MS UI Gothic" w:eastAsia="MS UI Gothic"/>
        </w:rPr>
      </w:pPr>
      <w:r>
        <w:rPr>
          <w:spacing w:val="3"/>
        </w:rPr>
        <w:t>第一百五十五条  控制风流的风门</w:t>
      </w:r>
      <w:r>
        <w:rPr>
          <w:rFonts w:hint="eastAsia" w:ascii="MS UI Gothic" w:eastAsia="MS UI Gothic"/>
          <w:w w:val="80"/>
        </w:rPr>
        <w:t>、</w:t>
      </w:r>
      <w:r>
        <w:rPr>
          <w:spacing w:val="3"/>
        </w:rPr>
        <w:t>风桥</w:t>
      </w:r>
      <w:r>
        <w:rPr>
          <w:rFonts w:hint="eastAsia" w:ascii="MS UI Gothic" w:eastAsia="MS UI Gothic"/>
          <w:spacing w:val="4"/>
          <w:w w:val="80"/>
        </w:rPr>
        <w:t xml:space="preserve">、 </w:t>
      </w:r>
      <w:r>
        <w:rPr>
          <w:spacing w:val="3"/>
        </w:rPr>
        <w:t>风墙</w:t>
      </w:r>
      <w:r>
        <w:rPr>
          <w:rFonts w:hint="eastAsia" w:ascii="MS UI Gothic" w:eastAsia="MS UI Gothic"/>
          <w:spacing w:val="5"/>
          <w:w w:val="80"/>
        </w:rPr>
        <w:t xml:space="preserve">、 </w:t>
      </w:r>
      <w:r>
        <w:rPr>
          <w:spacing w:val="3"/>
        </w:rPr>
        <w:t>风窗等设施必须可靠</w:t>
      </w:r>
      <w:r>
        <w:rPr>
          <w:rFonts w:hint="eastAsia" w:ascii="MS UI Gothic" w:eastAsia="MS UI Gothic"/>
          <w:w w:val="80"/>
        </w:rPr>
        <w:t>ꎮ</w:t>
      </w:r>
    </w:p>
    <w:p>
      <w:pPr>
        <w:pStyle w:val="6"/>
        <w:spacing w:line="255" w:lineRule="exact"/>
        <w:ind w:left="860" w:firstLine="0"/>
      </w:pPr>
      <w:r>
        <w:t>不应在倾斜运输巷中设置风门</w:t>
      </w:r>
      <w:r>
        <w:rPr>
          <w:rFonts w:hint="eastAsia" w:ascii="MS UI Gothic" w:eastAsia="MS UI Gothic"/>
          <w:w w:val="80"/>
        </w:rPr>
        <w:t xml:space="preserve">ꎻ </w:t>
      </w:r>
      <w:r>
        <w:t>如果</w:t>
      </w:r>
    </w:p>
    <w:p>
      <w:pPr>
        <w:pStyle w:val="6"/>
        <w:spacing w:before="124" w:line="295" w:lineRule="auto"/>
        <w:ind w:left="381" w:right="126" w:firstLine="0"/>
        <w:rPr>
          <w:rFonts w:hint="eastAsia" w:ascii="MS UI Gothic" w:eastAsia="MS UI Gothic"/>
        </w:rPr>
      </w:pPr>
      <w:r>
        <w:br w:type="column"/>
      </w:r>
      <w:r>
        <w:t>必须设置风门</w:t>
      </w:r>
      <w:r>
        <w:rPr>
          <w:rFonts w:hint="eastAsia" w:ascii="MS UI Gothic" w:eastAsia="MS UI Gothic"/>
          <w:w w:val="80"/>
        </w:rPr>
        <w:t xml:space="preserve">ꎬ </w:t>
      </w:r>
      <w:r>
        <w:t>应当安设自动风门或者设专人管理</w:t>
      </w:r>
      <w:r>
        <w:rPr>
          <w:rFonts w:hint="eastAsia" w:ascii="MS UI Gothic" w:eastAsia="MS UI Gothic"/>
          <w:w w:val="80"/>
        </w:rPr>
        <w:t xml:space="preserve">ꎬ </w:t>
      </w:r>
      <w:r>
        <w:t>并有防止矿车或者风门碰撞人员以及矿车碰坏风门的安全措施</w:t>
      </w:r>
      <w:r>
        <w:rPr>
          <w:rFonts w:hint="eastAsia" w:ascii="MS UI Gothic" w:eastAsia="MS UI Gothic"/>
          <w:w w:val="80"/>
        </w:rPr>
        <w:t>ꎮ</w:t>
      </w:r>
    </w:p>
    <w:p>
      <w:pPr>
        <w:pStyle w:val="6"/>
        <w:spacing w:line="295" w:lineRule="auto"/>
        <w:ind w:left="381" w:right="126"/>
        <w:rPr>
          <w:rFonts w:hint="eastAsia" w:ascii="MS UI Gothic" w:eastAsia="MS UI Gothic"/>
        </w:rPr>
      </w:pPr>
      <w:r>
        <w:t>开采突出煤层时</w:t>
      </w:r>
      <w:r>
        <w:rPr>
          <w:rFonts w:hint="eastAsia" w:ascii="MS UI Gothic" w:eastAsia="MS UI Gothic"/>
          <w:w w:val="80"/>
        </w:rPr>
        <w:t xml:space="preserve">ꎬ </w:t>
      </w:r>
      <w:r>
        <w:t>工作面回风侧不得设置调节风量的设施</w:t>
      </w:r>
      <w:r>
        <w:rPr>
          <w:rFonts w:hint="eastAsia" w:ascii="MS UI Gothic" w:eastAsia="MS UI Gothic"/>
          <w:w w:val="80"/>
        </w:rPr>
        <w:t>ꎮ</w:t>
      </w:r>
    </w:p>
    <w:p>
      <w:pPr>
        <w:pStyle w:val="6"/>
        <w:spacing w:line="295" w:lineRule="auto"/>
        <w:ind w:left="381" w:right="124"/>
        <w:rPr>
          <w:rFonts w:hint="eastAsia" w:ascii="MS UI Gothic" w:eastAsia="MS UI Gothic"/>
        </w:rPr>
      </w:pPr>
      <w:r>
        <w:t xml:space="preserve">第一百五十六条 新井投产前必须进行 </w:t>
      </w:r>
      <w:r>
        <w:rPr>
          <w:rFonts w:hint="eastAsia" w:ascii="MS UI Gothic" w:eastAsia="MS UI Gothic"/>
          <w:w w:val="80"/>
        </w:rPr>
        <w:t xml:space="preserve">１ </w:t>
      </w:r>
      <w:r>
        <w:t>次矿井通风阻力测定</w:t>
      </w:r>
      <w:r>
        <w:rPr>
          <w:rFonts w:hint="eastAsia" w:ascii="MS UI Gothic" w:eastAsia="MS UI Gothic"/>
          <w:w w:val="80"/>
        </w:rPr>
        <w:t xml:space="preserve">ꎬ </w:t>
      </w:r>
      <w:r>
        <w:t xml:space="preserve">以后每 </w:t>
      </w:r>
      <w:r>
        <w:rPr>
          <w:rFonts w:hint="eastAsia" w:ascii="MS UI Gothic" w:eastAsia="MS UI Gothic"/>
          <w:w w:val="80"/>
        </w:rPr>
        <w:t xml:space="preserve">３ </w:t>
      </w:r>
      <w:r>
        <w:t xml:space="preserve">年至少测定 </w:t>
      </w:r>
      <w:r>
        <w:rPr>
          <w:rFonts w:hint="eastAsia" w:ascii="MS UI Gothic" w:eastAsia="MS UI Gothic"/>
          <w:w w:val="80"/>
        </w:rPr>
        <w:t xml:space="preserve">１ </w:t>
      </w:r>
      <w:r>
        <w:t>次</w:t>
      </w:r>
      <w:r>
        <w:rPr>
          <w:rFonts w:hint="eastAsia" w:ascii="MS UI Gothic" w:eastAsia="MS UI Gothic"/>
          <w:w w:val="80"/>
        </w:rPr>
        <w:t xml:space="preserve">ꎮ </w:t>
      </w:r>
      <w:r>
        <w:t>生产矿井转入新水平生产</w:t>
      </w:r>
      <w:r>
        <w:rPr>
          <w:rFonts w:hint="eastAsia" w:ascii="MS UI Gothic" w:eastAsia="MS UI Gothic"/>
          <w:w w:val="80"/>
        </w:rPr>
        <w:t>、</w:t>
      </w:r>
      <w:r>
        <w:t>改变一翼或者全矿井通风系统后</w:t>
      </w:r>
      <w:r>
        <w:rPr>
          <w:rFonts w:hint="eastAsia" w:ascii="MS UI Gothic" w:eastAsia="MS UI Gothic"/>
          <w:w w:val="80"/>
        </w:rPr>
        <w:t xml:space="preserve">ꎬ </w:t>
      </w:r>
      <w:r>
        <w:t>必须重新进行矿井通风阻力测定</w:t>
      </w:r>
      <w:r>
        <w:rPr>
          <w:rFonts w:hint="eastAsia" w:ascii="MS UI Gothic" w:eastAsia="MS UI Gothic"/>
          <w:w w:val="80"/>
        </w:rPr>
        <w:t>ꎮ</w:t>
      </w:r>
    </w:p>
    <w:p>
      <w:pPr>
        <w:pStyle w:val="6"/>
        <w:spacing w:line="295" w:lineRule="auto"/>
        <w:ind w:left="381" w:right="126"/>
        <w:rPr>
          <w:rFonts w:hint="eastAsia" w:ascii="MS UI Gothic" w:eastAsia="MS UI Gothic"/>
        </w:rPr>
      </w:pPr>
      <w:r>
        <w:t>第一百五十七条 矿井通风系统图必须标明风流方向</w:t>
      </w:r>
      <w:r>
        <w:rPr>
          <w:rFonts w:hint="eastAsia" w:ascii="MS UI Gothic" w:eastAsia="MS UI Gothic"/>
          <w:w w:val="80"/>
        </w:rPr>
        <w:t xml:space="preserve">、 </w:t>
      </w:r>
      <w:r>
        <w:t>风量和通风设施的安装地点</w:t>
      </w:r>
      <w:r>
        <w:rPr>
          <w:rFonts w:hint="eastAsia" w:ascii="MS UI Gothic" w:eastAsia="MS UI Gothic"/>
          <w:w w:val="80"/>
        </w:rPr>
        <w:t xml:space="preserve">ꎮ </w:t>
      </w:r>
      <w:r>
        <w:t>必须按季绘制通风系统图</w:t>
      </w:r>
      <w:r>
        <w:rPr>
          <w:rFonts w:hint="eastAsia" w:ascii="MS UI Gothic" w:eastAsia="MS UI Gothic"/>
          <w:w w:val="80"/>
        </w:rPr>
        <w:t xml:space="preserve">ꎬ </w:t>
      </w:r>
      <w:r>
        <w:t>并按月补充修改</w:t>
      </w:r>
      <w:r>
        <w:rPr>
          <w:rFonts w:hint="eastAsia" w:ascii="MS UI Gothic" w:eastAsia="MS UI Gothic"/>
          <w:w w:val="80"/>
        </w:rPr>
        <w:t xml:space="preserve">ꎮ </w:t>
      </w:r>
      <w:r>
        <w:t>多煤层同时开采的矿井</w:t>
      </w:r>
      <w:r>
        <w:rPr>
          <w:rFonts w:hint="eastAsia" w:ascii="MS UI Gothic" w:eastAsia="MS UI Gothic"/>
          <w:w w:val="80"/>
        </w:rPr>
        <w:t xml:space="preserve">ꎬ </w:t>
      </w:r>
      <w:r>
        <w:t>必须绘制分层通风系统图</w:t>
      </w:r>
      <w:r>
        <w:rPr>
          <w:rFonts w:hint="eastAsia" w:ascii="MS UI Gothic" w:eastAsia="MS UI Gothic"/>
          <w:w w:val="80"/>
        </w:rPr>
        <w:t>ꎮ</w:t>
      </w:r>
    </w:p>
    <w:p>
      <w:pPr>
        <w:pStyle w:val="6"/>
        <w:spacing w:line="295" w:lineRule="auto"/>
        <w:ind w:left="381" w:right="126"/>
        <w:jc w:val="left"/>
        <w:rPr>
          <w:rFonts w:hint="eastAsia" w:ascii="MS UI Gothic" w:eastAsia="MS UI Gothic"/>
        </w:rPr>
      </w:pPr>
      <w:r>
        <w:t>应当绘制矿井通风系统立体示意图和</w:t>
      </w:r>
      <w:r>
        <w:rPr>
          <w:w w:val="105"/>
        </w:rPr>
        <w:t>矿井通风网络图</w:t>
      </w:r>
      <w:r>
        <w:rPr>
          <w:rFonts w:hint="eastAsia" w:ascii="MS UI Gothic" w:eastAsia="MS UI Gothic"/>
          <w:w w:val="80"/>
        </w:rPr>
        <w:t>ꎮ</w:t>
      </w:r>
    </w:p>
    <w:p>
      <w:pPr>
        <w:pStyle w:val="6"/>
        <w:tabs>
          <w:tab w:val="left" w:pos="2477"/>
        </w:tabs>
        <w:spacing w:line="295" w:lineRule="auto"/>
        <w:ind w:left="381" w:right="126"/>
        <w:jc w:val="left"/>
        <w:rPr>
          <w:rFonts w:hint="eastAsia" w:ascii="MS UI Gothic" w:eastAsia="MS UI Gothic"/>
        </w:rPr>
      </w:pPr>
      <w:r>
        <w:rPr>
          <w:spacing w:val="3"/>
        </w:rPr>
        <w:t>第一百五十八</w:t>
      </w:r>
      <w:r>
        <w:t>条</w:t>
      </w:r>
      <w:r>
        <w:tab/>
      </w:r>
      <w:r>
        <w:rPr>
          <w:spacing w:val="3"/>
        </w:rPr>
        <w:t>矿井必须采用机</w:t>
      </w:r>
      <w:r>
        <w:rPr>
          <w:spacing w:val="-12"/>
        </w:rPr>
        <w:t>械</w:t>
      </w:r>
      <w:r>
        <w:rPr>
          <w:spacing w:val="3"/>
        </w:rPr>
        <w:t>通风</w:t>
      </w:r>
      <w:r>
        <w:rPr>
          <w:rFonts w:hint="eastAsia" w:ascii="MS UI Gothic" w:eastAsia="MS UI Gothic"/>
          <w:w w:val="80"/>
        </w:rPr>
        <w:t>ꎮ</w:t>
      </w:r>
    </w:p>
    <w:p>
      <w:pPr>
        <w:pStyle w:val="6"/>
        <w:spacing w:line="295" w:lineRule="auto"/>
        <w:ind w:left="381" w:right="126"/>
        <w:jc w:val="left"/>
        <w:rPr>
          <w:rFonts w:hint="eastAsia" w:ascii="MS UI Gothic" w:eastAsia="MS UI Gothic"/>
        </w:rPr>
      </w:pPr>
      <w:r>
        <w:t>主要通风机的安装和使用应当符合下</w:t>
      </w:r>
      <w:r>
        <w:rPr>
          <w:w w:val="110"/>
        </w:rPr>
        <w:t>列要求</w:t>
      </w:r>
      <w:r>
        <w:rPr>
          <w:rFonts w:hint="eastAsia" w:ascii="MS UI Gothic" w:eastAsia="MS UI Gothic"/>
          <w:w w:val="235"/>
        </w:rPr>
        <w:t>:</w:t>
      </w:r>
    </w:p>
    <w:p>
      <w:pPr>
        <w:pStyle w:val="6"/>
        <w:spacing w:line="295" w:lineRule="auto"/>
        <w:ind w:left="381" w:right="124"/>
        <w:rPr>
          <w:rFonts w:hint="eastAsia" w:ascii="MS UI Gothic" w:eastAsia="MS UI Gothic"/>
        </w:rPr>
      </w:pPr>
      <w:r>
        <w:rPr>
          <w:rFonts w:hint="eastAsia" w:ascii="MS UI Gothic" w:eastAsia="MS UI Gothic"/>
          <w:w w:val="140"/>
        </w:rPr>
        <w:t xml:space="preserve">( </w:t>
      </w:r>
      <w:r>
        <w:t>一</w:t>
      </w:r>
      <w:r>
        <w:rPr>
          <w:rFonts w:hint="eastAsia" w:ascii="MS UI Gothic" w:eastAsia="MS UI Gothic"/>
          <w:w w:val="140"/>
        </w:rPr>
        <w:t xml:space="preserve">) </w:t>
      </w:r>
      <w:r>
        <w:t>主要通风机必须安装在地面</w:t>
      </w:r>
      <w:r>
        <w:rPr>
          <w:rFonts w:hint="eastAsia" w:ascii="MS UI Gothic" w:eastAsia="MS UI Gothic"/>
          <w:w w:val="85"/>
        </w:rPr>
        <w:t>ꎻ</w:t>
      </w:r>
      <w:r>
        <w:t>装有通风机的井口必须封闭严密</w:t>
      </w:r>
      <w:r>
        <w:rPr>
          <w:rFonts w:hint="eastAsia" w:ascii="MS UI Gothic" w:eastAsia="MS UI Gothic"/>
          <w:w w:val="85"/>
        </w:rPr>
        <w:t xml:space="preserve">ꎬ </w:t>
      </w:r>
      <w:r>
        <w:t xml:space="preserve">其外部漏风率在无提升设备时不得超过 </w:t>
      </w:r>
      <w:r>
        <w:rPr>
          <w:rFonts w:hint="eastAsia" w:ascii="MS UI Gothic" w:eastAsia="MS UI Gothic"/>
          <w:w w:val="85"/>
        </w:rPr>
        <w:t>５</w:t>
      </w:r>
      <w:r>
        <w:rPr>
          <w:w w:val="85"/>
        </w:rPr>
        <w:t xml:space="preserve">％ </w:t>
      </w:r>
      <w:r>
        <w:rPr>
          <w:rFonts w:hint="eastAsia" w:ascii="MS UI Gothic" w:eastAsia="MS UI Gothic"/>
          <w:w w:val="85"/>
        </w:rPr>
        <w:t xml:space="preserve">ꎬ </w:t>
      </w:r>
      <w:r>
        <w:t xml:space="preserve">有提升设备时不得超过 </w:t>
      </w:r>
      <w:r>
        <w:rPr>
          <w:rFonts w:hint="eastAsia" w:ascii="MS UI Gothic" w:eastAsia="MS UI Gothic"/>
          <w:w w:val="85"/>
        </w:rPr>
        <w:t>１５</w:t>
      </w:r>
      <w:r>
        <w:rPr>
          <w:w w:val="85"/>
        </w:rPr>
        <w:t xml:space="preserve">％ </w:t>
      </w:r>
      <w:r>
        <w:rPr>
          <w:rFonts w:hint="eastAsia" w:ascii="MS UI Gothic" w:eastAsia="MS UI Gothic"/>
          <w:w w:val="85"/>
        </w:rPr>
        <w:t>ꎮ</w:t>
      </w:r>
    </w:p>
    <w:p>
      <w:pPr>
        <w:pStyle w:val="6"/>
        <w:spacing w:line="295" w:lineRule="auto"/>
        <w:ind w:left="381" w:right="126"/>
        <w:rPr>
          <w:rFonts w:hint="eastAsia" w:ascii="MS UI Gothic" w:eastAsia="MS UI Gothic"/>
        </w:rPr>
      </w:pPr>
      <w:r>
        <w:rPr>
          <w:rFonts w:hint="eastAsia" w:ascii="MS UI Gothic" w:eastAsia="MS UI Gothic"/>
          <w:spacing w:val="-37"/>
          <w:w w:val="135"/>
        </w:rPr>
        <w:t xml:space="preserve">( </w:t>
      </w:r>
      <w:r>
        <w:rPr>
          <w:spacing w:val="29"/>
          <w:w w:val="110"/>
        </w:rPr>
        <w:t>二</w:t>
      </w:r>
      <w:r>
        <w:rPr>
          <w:rFonts w:hint="eastAsia" w:ascii="MS UI Gothic" w:eastAsia="MS UI Gothic"/>
          <w:spacing w:val="-14"/>
          <w:w w:val="135"/>
        </w:rPr>
        <w:t xml:space="preserve">) </w:t>
      </w:r>
      <w:r>
        <w:rPr>
          <w:spacing w:val="40"/>
          <w:w w:val="110"/>
        </w:rPr>
        <w:t>必须保证主要通风机连续</w:t>
      </w:r>
      <w:r>
        <w:rPr>
          <w:spacing w:val="3"/>
          <w:w w:val="110"/>
        </w:rPr>
        <w:t>运转</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40"/>
        </w:rPr>
        <w:t xml:space="preserve">( </w:t>
      </w:r>
      <w:r>
        <w:t>三</w:t>
      </w:r>
      <w:r>
        <w:rPr>
          <w:rFonts w:hint="eastAsia" w:ascii="MS UI Gothic" w:eastAsia="MS UI Gothic"/>
          <w:w w:val="140"/>
        </w:rPr>
        <w:t xml:space="preserve">) </w:t>
      </w:r>
      <w:r>
        <w:t xml:space="preserve">必须安装 </w:t>
      </w:r>
      <w:r>
        <w:rPr>
          <w:rFonts w:hint="eastAsia" w:ascii="MS UI Gothic" w:eastAsia="MS UI Gothic"/>
        </w:rPr>
        <w:t xml:space="preserve">２ </w:t>
      </w:r>
      <w:r>
        <w:t>套同等能力的主要通风机装置</w:t>
      </w:r>
      <w:r>
        <w:rPr>
          <w:rFonts w:hint="eastAsia" w:ascii="MS UI Gothic" w:eastAsia="MS UI Gothic"/>
          <w:w w:val="85"/>
        </w:rPr>
        <w:t xml:space="preserve">ꎬ </w:t>
      </w:r>
      <w:r>
        <w:t xml:space="preserve">其中 </w:t>
      </w:r>
      <w:r>
        <w:rPr>
          <w:rFonts w:hint="eastAsia" w:ascii="MS UI Gothic" w:eastAsia="MS UI Gothic"/>
        </w:rPr>
        <w:t xml:space="preserve">１ </w:t>
      </w:r>
      <w:r>
        <w:t>套作备用</w:t>
      </w:r>
      <w:r>
        <w:rPr>
          <w:rFonts w:hint="eastAsia" w:ascii="MS UI Gothic" w:eastAsia="MS UI Gothic"/>
          <w:w w:val="85"/>
        </w:rPr>
        <w:t xml:space="preserve">ꎬ </w:t>
      </w:r>
      <w:r>
        <w:t xml:space="preserve">备用通风机必须能在 </w:t>
      </w:r>
      <w:r>
        <w:rPr>
          <w:rFonts w:hint="eastAsia" w:ascii="MS UI Gothic" w:eastAsia="MS UI Gothic"/>
        </w:rPr>
        <w:t xml:space="preserve">１０ ｍｉｎ </w:t>
      </w:r>
      <w:r>
        <w:t>内开动</w:t>
      </w:r>
      <w:r>
        <w:rPr>
          <w:rFonts w:hint="eastAsia" w:ascii="MS UI Gothic" w:eastAsia="MS UI Gothic"/>
          <w:w w:val="85"/>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严禁采用局部通风机或者风机</w:t>
      </w:r>
      <w:r>
        <w:rPr>
          <w:w w:val="110"/>
        </w:rPr>
        <w:t>群作为主要通风机使用</w:t>
      </w:r>
      <w:r>
        <w:rPr>
          <w:rFonts w:hint="eastAsia" w:ascii="MS UI Gothic" w:eastAsia="MS UI Gothic"/>
          <w:w w:val="80"/>
        </w:rPr>
        <w:t>ꎮ</w:t>
      </w:r>
    </w:p>
    <w:p>
      <w:pPr>
        <w:pStyle w:val="6"/>
        <w:spacing w:line="295" w:lineRule="auto"/>
        <w:ind w:left="375" w:right="126" w:firstLine="425"/>
        <w:rPr>
          <w:rFonts w:hint="eastAsia" w:ascii="MS UI Gothic" w:eastAsia="MS UI Gothic"/>
        </w:rPr>
      </w:pPr>
      <w:r>
        <w:rPr>
          <w:rFonts w:hint="eastAsia" w:ascii="MS UI Gothic" w:eastAsia="MS UI Gothic"/>
          <w:spacing w:val="-38"/>
          <w:w w:val="150"/>
        </w:rPr>
        <w:t xml:space="preserve">( </w:t>
      </w:r>
      <w:r>
        <w:rPr>
          <w:spacing w:val="3"/>
          <w:w w:val="105"/>
        </w:rPr>
        <w:t>五</w:t>
      </w:r>
      <w:r>
        <w:rPr>
          <w:rFonts w:hint="eastAsia" w:ascii="MS UI Gothic" w:eastAsia="MS UI Gothic"/>
          <w:spacing w:val="3"/>
          <w:w w:val="150"/>
        </w:rPr>
        <w:t xml:space="preserve">) </w:t>
      </w:r>
      <w:r>
        <w:rPr>
          <w:spacing w:val="5"/>
          <w:w w:val="105"/>
        </w:rPr>
        <w:t>装有主要通风机的出风井口应</w:t>
      </w:r>
      <w:r>
        <w:rPr>
          <w:spacing w:val="3"/>
          <w:w w:val="105"/>
        </w:rPr>
        <w:t>当安装防爆门</w:t>
      </w:r>
      <w:r>
        <w:rPr>
          <w:rFonts w:hint="eastAsia" w:ascii="MS UI Gothic" w:eastAsia="MS UI Gothic"/>
          <w:w w:val="80"/>
        </w:rPr>
        <w:t xml:space="preserve">ꎬ </w:t>
      </w:r>
      <w:r>
        <w:rPr>
          <w:spacing w:val="-15"/>
          <w:w w:val="105"/>
        </w:rPr>
        <w:t xml:space="preserve">防爆门每 </w:t>
      </w:r>
      <w:r>
        <w:rPr>
          <w:rFonts w:hint="eastAsia" w:ascii="MS UI Gothic" w:eastAsia="MS UI Gothic"/>
          <w:spacing w:val="-11"/>
          <w:w w:val="80"/>
        </w:rPr>
        <w:t xml:space="preserve">６ </w:t>
      </w:r>
      <w:r>
        <w:rPr>
          <w:spacing w:val="2"/>
          <w:w w:val="105"/>
        </w:rPr>
        <w:t>个月检查维修</w:t>
      </w:r>
      <w:r>
        <w:rPr>
          <w:rFonts w:hint="eastAsia" w:ascii="MS UI Gothic" w:eastAsia="MS UI Gothic"/>
          <w:spacing w:val="5"/>
          <w:w w:val="80"/>
        </w:rPr>
        <w:t xml:space="preserve">１ </w:t>
      </w:r>
      <w:r>
        <w:rPr>
          <w:spacing w:val="3"/>
          <w:w w:val="105"/>
        </w:rPr>
        <w:t>次</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15"/>
          <w:w w:val="105"/>
        </w:rPr>
        <w:t>六</w:t>
      </w:r>
      <w:r>
        <w:rPr>
          <w:rFonts w:hint="eastAsia" w:ascii="MS UI Gothic" w:eastAsia="MS UI Gothic"/>
          <w:spacing w:val="17"/>
          <w:w w:val="150"/>
        </w:rPr>
        <w:t xml:space="preserve">) </w:t>
      </w:r>
      <w:r>
        <w:rPr>
          <w:spacing w:val="12"/>
          <w:w w:val="105"/>
        </w:rPr>
        <w:t xml:space="preserve">至少每月检查 </w:t>
      </w:r>
      <w:r>
        <w:rPr>
          <w:rFonts w:hint="eastAsia" w:ascii="MS UI Gothic" w:eastAsia="MS UI Gothic"/>
          <w:spacing w:val="14"/>
          <w:w w:val="80"/>
        </w:rPr>
        <w:t xml:space="preserve">１ </w:t>
      </w:r>
      <w:r>
        <w:rPr>
          <w:spacing w:val="18"/>
          <w:w w:val="105"/>
        </w:rPr>
        <w:t>次主要通风</w:t>
      </w:r>
      <w:r>
        <w:rPr>
          <w:spacing w:val="3"/>
          <w:w w:val="105"/>
        </w:rPr>
        <w:t>机</w:t>
      </w:r>
      <w:r>
        <w:rPr>
          <w:rFonts w:hint="eastAsia" w:ascii="MS UI Gothic" w:eastAsia="MS UI Gothic"/>
          <w:spacing w:val="-1"/>
          <w:w w:val="80"/>
        </w:rPr>
        <w:t xml:space="preserve">ꎮ </w:t>
      </w:r>
      <w:r>
        <w:rPr>
          <w:spacing w:val="3"/>
          <w:w w:val="105"/>
        </w:rPr>
        <w:t>改变主要通风机转数</w:t>
      </w:r>
      <w:r>
        <w:rPr>
          <w:rFonts w:hint="eastAsia" w:ascii="MS UI Gothic" w:eastAsia="MS UI Gothic"/>
          <w:w w:val="80"/>
        </w:rPr>
        <w:t xml:space="preserve">、 </w:t>
      </w:r>
      <w:r>
        <w:rPr>
          <w:spacing w:val="2"/>
          <w:w w:val="105"/>
        </w:rPr>
        <w:t>叶片角度或者</w:t>
      </w:r>
      <w:r>
        <w:rPr>
          <w:spacing w:val="3"/>
        </w:rPr>
        <w:t>对旋式主要通风机运转级数时</w:t>
      </w:r>
      <w:r>
        <w:rPr>
          <w:rFonts w:hint="eastAsia" w:ascii="MS UI Gothic" w:eastAsia="MS UI Gothic"/>
          <w:spacing w:val="20"/>
          <w:w w:val="80"/>
        </w:rPr>
        <w:t xml:space="preserve">ꎬ </w:t>
      </w:r>
      <w:r>
        <w:rPr>
          <w:spacing w:val="2"/>
        </w:rPr>
        <w:t>必须经矿</w:t>
      </w:r>
      <w:r>
        <w:rPr>
          <w:spacing w:val="3"/>
          <w:w w:val="105"/>
        </w:rPr>
        <w:t>总工程师批准</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２６２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12" o:spid="_x0000_s1812" o:spt="203" style="height:2.15pt;width:398.25pt;" coordsize="7965,43">
            <o:lock v:ext="edit"/>
            <v:line id="_x0000_s1813" o:spid="_x0000_s1813" o:spt="20" style="position:absolute;left:0;top:39;height:0;width:7965;" stroked="t" coordsize="21600,21600">
              <v:path arrowok="t"/>
              <v:fill focussize="0,0"/>
              <v:stroke weight="0.388031496062992pt" color="#231F20"/>
              <v:imagedata o:title=""/>
              <o:lock v:ext="edit"/>
            </v:line>
            <v:line id="_x0000_s1814" o:spid="_x0000_s181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新安装的主要通风机投入使用</w:t>
      </w:r>
      <w:r>
        <w:t>前</w:t>
      </w:r>
      <w:r>
        <w:rPr>
          <w:rFonts w:hint="eastAsia" w:ascii="MS UI Gothic" w:eastAsia="MS UI Gothic"/>
          <w:w w:val="80"/>
        </w:rPr>
        <w:t xml:space="preserve">ꎬ </w:t>
      </w:r>
      <w:r>
        <w:t>必须进行试运转和通风机性能测定</w:t>
      </w:r>
      <w:r>
        <w:rPr>
          <w:rFonts w:hint="eastAsia" w:ascii="MS UI Gothic" w:eastAsia="MS UI Gothic"/>
          <w:w w:val="80"/>
        </w:rPr>
        <w:t>ꎬ</w:t>
      </w:r>
      <w:r>
        <w:rPr>
          <w:w w:val="105"/>
        </w:rPr>
        <w:t xml:space="preserve">以后每 </w:t>
      </w:r>
      <w:r>
        <w:rPr>
          <w:rFonts w:hint="eastAsia" w:ascii="MS UI Gothic" w:eastAsia="MS UI Gothic"/>
          <w:w w:val="80"/>
        </w:rPr>
        <w:t xml:space="preserve">５ </w:t>
      </w:r>
      <w:r>
        <w:rPr>
          <w:w w:val="105"/>
        </w:rPr>
        <w:t xml:space="preserve">年至少进行 </w:t>
      </w:r>
      <w:r>
        <w:rPr>
          <w:rFonts w:hint="eastAsia" w:ascii="MS UI Gothic" w:eastAsia="MS UI Gothic"/>
          <w:w w:val="80"/>
        </w:rPr>
        <w:t xml:space="preserve">１ </w:t>
      </w:r>
      <w:r>
        <w:rPr>
          <w:w w:val="105"/>
        </w:rPr>
        <w:t>次性能测定</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八</w:t>
      </w:r>
      <w:r>
        <w:rPr>
          <w:rFonts w:hint="eastAsia" w:ascii="MS UI Gothic" w:eastAsia="MS UI Gothic"/>
          <w:w w:val="105"/>
        </w:rPr>
        <w:t xml:space="preserve">) </w:t>
      </w:r>
      <w:r>
        <w:rPr>
          <w:w w:val="105"/>
        </w:rPr>
        <w:t>主要通风机技术改造及更换叶</w:t>
      </w:r>
      <w:r>
        <w:rPr>
          <w:w w:val="110"/>
        </w:rPr>
        <w:t>片后必须进行性能测试</w:t>
      </w:r>
      <w:r>
        <w:rPr>
          <w:rFonts w:hint="eastAsia" w:ascii="MS UI Gothic" w:eastAsia="MS UI Gothic"/>
          <w:w w:val="80"/>
        </w:rPr>
        <w:t>ꎮ</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九</w:t>
      </w:r>
      <w:r>
        <w:rPr>
          <w:rFonts w:hint="eastAsia" w:ascii="MS UI Gothic" w:eastAsia="MS UI Gothic"/>
          <w:w w:val="150"/>
        </w:rPr>
        <w:t xml:space="preserve">) </w:t>
      </w:r>
      <w:r>
        <w:rPr>
          <w:w w:val="110"/>
        </w:rPr>
        <w:t>井下严禁安设辅助通风机</w:t>
      </w:r>
      <w:r>
        <w:rPr>
          <w:rFonts w:hint="eastAsia" w:ascii="MS UI Gothic" w:eastAsia="MS UI Gothic"/>
          <w:w w:val="80"/>
        </w:rPr>
        <w:t>ꎮ</w:t>
      </w:r>
    </w:p>
    <w:p>
      <w:pPr>
        <w:pStyle w:val="6"/>
        <w:spacing w:before="56" w:line="295" w:lineRule="auto"/>
        <w:ind w:right="39"/>
        <w:rPr>
          <w:rFonts w:hint="eastAsia" w:ascii="MS UI Gothic" w:eastAsia="MS UI Gothic"/>
        </w:rPr>
      </w:pPr>
      <w:r>
        <w:rPr>
          <w:w w:val="95"/>
        </w:rPr>
        <w:t>第一百五十九条   生产矿井主要通风机必须装有反风设施</w:t>
      </w:r>
      <w:r>
        <w:rPr>
          <w:rFonts w:hint="eastAsia" w:ascii="MS UI Gothic" w:eastAsia="MS UI Gothic"/>
          <w:w w:val="90"/>
        </w:rPr>
        <w:t xml:space="preserve">ꎬ </w:t>
      </w:r>
      <w:r>
        <w:rPr>
          <w:w w:val="95"/>
        </w:rPr>
        <w:t xml:space="preserve">并能在 </w:t>
      </w:r>
      <w:r>
        <w:rPr>
          <w:rFonts w:hint="eastAsia" w:ascii="MS UI Gothic" w:eastAsia="MS UI Gothic"/>
          <w:w w:val="95"/>
        </w:rPr>
        <w:t xml:space="preserve">１０ ｍｉｎ </w:t>
      </w:r>
      <w:r>
        <w:rPr>
          <w:w w:val="95"/>
        </w:rPr>
        <w:t>内改变巷道中的风流方向</w:t>
      </w:r>
      <w:r>
        <w:rPr>
          <w:rFonts w:hint="eastAsia" w:ascii="MS UI Gothic" w:eastAsia="MS UI Gothic"/>
          <w:w w:val="90"/>
        </w:rPr>
        <w:t xml:space="preserve">ꎻ  </w:t>
      </w:r>
      <w:r>
        <w:rPr>
          <w:w w:val="95"/>
        </w:rPr>
        <w:t>当风流方向改变后</w:t>
      </w:r>
      <w:r>
        <w:rPr>
          <w:rFonts w:hint="eastAsia" w:ascii="MS UI Gothic" w:eastAsia="MS UI Gothic"/>
          <w:w w:val="90"/>
        </w:rPr>
        <w:t xml:space="preserve">ꎬ  </w:t>
      </w:r>
      <w:r>
        <w:rPr>
          <w:w w:val="95"/>
        </w:rPr>
        <w:t xml:space="preserve">主要通风机的供给风量不应小于正常供风量的 </w:t>
      </w:r>
      <w:r>
        <w:rPr>
          <w:rFonts w:hint="eastAsia" w:ascii="MS UI Gothic" w:eastAsia="MS UI Gothic"/>
          <w:w w:val="95"/>
        </w:rPr>
        <w:t>４０</w:t>
      </w:r>
      <w:r>
        <w:rPr>
          <w:w w:val="95"/>
        </w:rPr>
        <w:t xml:space="preserve">％ </w:t>
      </w:r>
      <w:r>
        <w:rPr>
          <w:rFonts w:hint="eastAsia" w:ascii="MS UI Gothic" w:eastAsia="MS UI Gothic"/>
          <w:w w:val="90"/>
        </w:rPr>
        <w:t>ꎮ</w:t>
      </w:r>
    </w:p>
    <w:p>
      <w:pPr>
        <w:pStyle w:val="6"/>
        <w:spacing w:line="295" w:lineRule="auto"/>
        <w:ind w:right="38"/>
        <w:rPr>
          <w:rFonts w:hint="eastAsia" w:ascii="MS UI Gothic" w:eastAsia="MS UI Gothic"/>
        </w:rPr>
      </w:pPr>
      <w:r>
        <w:t xml:space="preserve">每季度应当至少检查 </w:t>
      </w:r>
      <w:r>
        <w:rPr>
          <w:rFonts w:hint="eastAsia" w:ascii="MS UI Gothic" w:eastAsia="MS UI Gothic"/>
        </w:rPr>
        <w:t xml:space="preserve">１ </w:t>
      </w:r>
      <w:r>
        <w:t>次反风设施</w:t>
      </w:r>
      <w:r>
        <w:rPr>
          <w:rFonts w:hint="eastAsia" w:ascii="MS UI Gothic" w:eastAsia="MS UI Gothic"/>
          <w:w w:val="80"/>
        </w:rPr>
        <w:t>ꎬ</w:t>
      </w:r>
      <w:r>
        <w:t xml:space="preserve">每年应当进行 </w:t>
      </w:r>
      <w:r>
        <w:rPr>
          <w:rFonts w:hint="eastAsia" w:ascii="MS UI Gothic" w:eastAsia="MS UI Gothic"/>
        </w:rPr>
        <w:t xml:space="preserve">１ </w:t>
      </w:r>
      <w:r>
        <w:t>次反风演习</w:t>
      </w:r>
      <w:r>
        <w:rPr>
          <w:rFonts w:hint="eastAsia" w:ascii="MS UI Gothic" w:eastAsia="MS UI Gothic"/>
          <w:w w:val="80"/>
        </w:rPr>
        <w:t xml:space="preserve">ꎻ </w:t>
      </w:r>
      <w:r>
        <w:t>矿井通风系统有较大变化时</w:t>
      </w:r>
      <w:r>
        <w:rPr>
          <w:rFonts w:hint="eastAsia" w:ascii="MS UI Gothic" w:eastAsia="MS UI Gothic"/>
          <w:w w:val="80"/>
        </w:rPr>
        <w:t xml:space="preserve">ꎬ </w:t>
      </w:r>
      <w:r>
        <w:t xml:space="preserve">应当进行 </w:t>
      </w:r>
      <w:r>
        <w:rPr>
          <w:rFonts w:hint="eastAsia" w:ascii="MS UI Gothic" w:eastAsia="MS UI Gothic"/>
        </w:rPr>
        <w:t xml:space="preserve">１ </w:t>
      </w:r>
      <w:r>
        <w:t>次反风演习</w:t>
      </w:r>
      <w:r>
        <w:rPr>
          <w:rFonts w:hint="eastAsia" w:ascii="MS UI Gothic" w:eastAsia="MS UI Gothic"/>
          <w:w w:val="80"/>
        </w:rPr>
        <w:t>ꎮ</w:t>
      </w:r>
    </w:p>
    <w:p>
      <w:pPr>
        <w:pStyle w:val="6"/>
        <w:spacing w:line="295" w:lineRule="auto"/>
        <w:ind w:right="38"/>
        <w:rPr>
          <w:rFonts w:hint="eastAsia" w:ascii="MS UI Gothic" w:eastAsia="MS UI Gothic"/>
        </w:rPr>
      </w:pPr>
      <w:r>
        <w:t>第一百六十条 严禁主要通风机房兼作他用</w:t>
      </w:r>
      <w:r>
        <w:rPr>
          <w:rFonts w:hint="eastAsia" w:ascii="MS UI Gothic" w:eastAsia="MS UI Gothic"/>
          <w:w w:val="80"/>
        </w:rPr>
        <w:t xml:space="preserve">ꎮ </w:t>
      </w:r>
      <w:r>
        <w:t>主要通风机房内必须安装水柱计</w:t>
      </w:r>
      <w:r>
        <w:rPr>
          <w:rFonts w:hint="eastAsia" w:ascii="MS UI Gothic" w:eastAsia="MS UI Gothic"/>
          <w:w w:val="150"/>
        </w:rPr>
        <w:t xml:space="preserve">( </w:t>
      </w:r>
      <w:r>
        <w:t>压力表</w:t>
      </w:r>
      <w:r>
        <w:rPr>
          <w:rFonts w:hint="eastAsia" w:ascii="MS UI Gothic" w:eastAsia="MS UI Gothic"/>
          <w:w w:val="150"/>
        </w:rPr>
        <w:t>)</w:t>
      </w:r>
      <w:r>
        <w:rPr>
          <w:rFonts w:hint="eastAsia" w:ascii="MS UI Gothic" w:eastAsia="MS UI Gothic"/>
          <w:w w:val="80"/>
        </w:rPr>
        <w:t xml:space="preserve">、 </w:t>
      </w:r>
      <w:r>
        <w:t>电流表</w:t>
      </w:r>
      <w:r>
        <w:rPr>
          <w:rFonts w:hint="eastAsia" w:ascii="MS UI Gothic" w:eastAsia="MS UI Gothic"/>
          <w:w w:val="80"/>
        </w:rPr>
        <w:t xml:space="preserve">、 </w:t>
      </w:r>
      <w:r>
        <w:t>电压表</w:t>
      </w:r>
      <w:r>
        <w:rPr>
          <w:rFonts w:hint="eastAsia" w:ascii="MS UI Gothic" w:eastAsia="MS UI Gothic"/>
          <w:w w:val="80"/>
        </w:rPr>
        <w:t xml:space="preserve">、 </w:t>
      </w:r>
      <w:r>
        <w:t>轴承温度计等仪表</w:t>
      </w:r>
      <w:r>
        <w:rPr>
          <w:rFonts w:hint="eastAsia" w:ascii="MS UI Gothic" w:eastAsia="MS UI Gothic"/>
          <w:w w:val="80"/>
        </w:rPr>
        <w:t xml:space="preserve">ꎬ </w:t>
      </w:r>
      <w:r>
        <w:t>还必须有直通矿调度室的电话</w:t>
      </w:r>
      <w:r>
        <w:rPr>
          <w:rFonts w:hint="eastAsia" w:ascii="MS UI Gothic" w:eastAsia="MS UI Gothic"/>
          <w:w w:val="80"/>
        </w:rPr>
        <w:t xml:space="preserve">ꎬ </w:t>
      </w:r>
      <w:r>
        <w:t>并有反风操作系统图</w:t>
      </w:r>
      <w:r>
        <w:rPr>
          <w:rFonts w:hint="eastAsia" w:ascii="MS UI Gothic" w:eastAsia="MS UI Gothic"/>
          <w:w w:val="80"/>
        </w:rPr>
        <w:t xml:space="preserve">、 </w:t>
      </w:r>
      <w:r>
        <w:t>司机岗位责任制和操作规程</w:t>
      </w:r>
      <w:r>
        <w:rPr>
          <w:rFonts w:hint="eastAsia" w:ascii="MS UI Gothic" w:eastAsia="MS UI Gothic"/>
          <w:w w:val="80"/>
        </w:rPr>
        <w:t xml:space="preserve">ꎮ </w:t>
      </w:r>
      <w:r>
        <w:t>主要通风机的运转应当由专职司机负责</w:t>
      </w:r>
      <w:r>
        <w:rPr>
          <w:rFonts w:hint="eastAsia" w:ascii="MS UI Gothic" w:eastAsia="MS UI Gothic"/>
          <w:w w:val="80"/>
        </w:rPr>
        <w:t xml:space="preserve">ꎬ </w:t>
      </w:r>
      <w:r>
        <w:t>司机应当每小时将通风机运转情况记入运转记录簿内</w:t>
      </w:r>
      <w:r>
        <w:rPr>
          <w:rFonts w:hint="eastAsia" w:ascii="MS UI Gothic" w:eastAsia="MS UI Gothic"/>
          <w:w w:val="80"/>
        </w:rPr>
        <w:t xml:space="preserve">ꎻ </w:t>
      </w:r>
      <w:r>
        <w:t>发现异常</w:t>
      </w:r>
      <w:r>
        <w:rPr>
          <w:rFonts w:hint="eastAsia" w:ascii="MS UI Gothic" w:eastAsia="MS UI Gothic"/>
          <w:w w:val="80"/>
        </w:rPr>
        <w:t>ꎬ</w:t>
      </w:r>
      <w:r>
        <w:t>立即报告</w:t>
      </w:r>
      <w:r>
        <w:rPr>
          <w:rFonts w:hint="eastAsia" w:ascii="MS UI Gothic" w:eastAsia="MS UI Gothic"/>
          <w:w w:val="80"/>
        </w:rPr>
        <w:t xml:space="preserve">ꎮ </w:t>
      </w:r>
      <w:r>
        <w:t>实现主要通风机集中监控</w:t>
      </w:r>
      <w:r>
        <w:rPr>
          <w:rFonts w:hint="eastAsia" w:ascii="MS UI Gothic" w:eastAsia="MS UI Gothic"/>
          <w:w w:val="80"/>
        </w:rPr>
        <w:t xml:space="preserve">、 </w:t>
      </w:r>
      <w:r>
        <w:t>图像监视的主要通风机房可不设专职司机</w:t>
      </w:r>
      <w:r>
        <w:rPr>
          <w:rFonts w:hint="eastAsia" w:ascii="MS UI Gothic" w:eastAsia="MS UI Gothic"/>
          <w:w w:val="80"/>
        </w:rPr>
        <w:t>ꎬ</w:t>
      </w:r>
      <w:r>
        <w:t>但必须实行巡检制度</w:t>
      </w:r>
      <w:r>
        <w:rPr>
          <w:rFonts w:hint="eastAsia" w:ascii="MS UI Gothic" w:eastAsia="MS UI Gothic"/>
          <w:w w:val="80"/>
        </w:rPr>
        <w:t>ꎮ</w:t>
      </w:r>
    </w:p>
    <w:p>
      <w:pPr>
        <w:pStyle w:val="6"/>
        <w:spacing w:line="295" w:lineRule="auto"/>
        <w:ind w:right="38"/>
        <w:rPr>
          <w:rFonts w:hint="eastAsia" w:ascii="MS UI Gothic" w:eastAsia="MS UI Gothic"/>
        </w:rPr>
      </w:pPr>
      <w:r>
        <w:t>第一百六十一条 矿井必须制定主要通风机停止运转的应急预案</w:t>
      </w:r>
      <w:r>
        <w:rPr>
          <w:rFonts w:hint="eastAsia" w:ascii="MS UI Gothic" w:eastAsia="MS UI Gothic"/>
          <w:w w:val="80"/>
        </w:rPr>
        <w:t xml:space="preserve">ꎮ </w:t>
      </w:r>
      <w:r>
        <w:t>因检修</w:t>
      </w:r>
      <w:r>
        <w:rPr>
          <w:rFonts w:hint="eastAsia" w:ascii="MS UI Gothic" w:eastAsia="MS UI Gothic"/>
          <w:w w:val="80"/>
        </w:rPr>
        <w:t xml:space="preserve">、 </w:t>
      </w:r>
      <w:r>
        <w:t>停电或者其他原因停止主要通风机运转时</w:t>
      </w:r>
      <w:r>
        <w:rPr>
          <w:rFonts w:hint="eastAsia" w:ascii="MS UI Gothic" w:eastAsia="MS UI Gothic"/>
          <w:w w:val="80"/>
        </w:rPr>
        <w:t>ꎬ</w:t>
      </w:r>
      <w:r>
        <w:t>必须制定停风措施</w:t>
      </w:r>
      <w:r>
        <w:rPr>
          <w:rFonts w:hint="eastAsia" w:ascii="MS UI Gothic" w:eastAsia="MS UI Gothic"/>
          <w:w w:val="80"/>
        </w:rPr>
        <w:t>ꎮ</w:t>
      </w:r>
    </w:p>
    <w:p>
      <w:pPr>
        <w:pStyle w:val="6"/>
        <w:spacing w:line="295" w:lineRule="auto"/>
        <w:ind w:right="39"/>
        <w:rPr>
          <w:rFonts w:hint="eastAsia" w:ascii="MS UI Gothic" w:eastAsia="MS UI Gothic"/>
        </w:rPr>
      </w:pPr>
      <w:r>
        <w:t>变电所或者电厂在停电前</w:t>
      </w:r>
      <w:r>
        <w:rPr>
          <w:rFonts w:hint="eastAsia" w:ascii="MS UI Gothic" w:eastAsia="MS UI Gothic"/>
          <w:w w:val="80"/>
        </w:rPr>
        <w:t xml:space="preserve">ꎬ </w:t>
      </w:r>
      <w:r>
        <w:t>必须将预计停电时间通知矿调度室</w:t>
      </w:r>
      <w:r>
        <w:rPr>
          <w:rFonts w:hint="eastAsia" w:ascii="MS UI Gothic" w:eastAsia="MS UI Gothic"/>
          <w:w w:val="80"/>
        </w:rPr>
        <w:t>ꎮ</w:t>
      </w:r>
    </w:p>
    <w:p>
      <w:pPr>
        <w:pStyle w:val="6"/>
        <w:spacing w:line="295" w:lineRule="auto"/>
        <w:ind w:right="39"/>
        <w:rPr>
          <w:rFonts w:hint="eastAsia" w:ascii="MS UI Gothic" w:eastAsia="MS UI Gothic"/>
        </w:rPr>
      </w:pPr>
      <w:r>
        <w:t>主要通风机停止运转时</w:t>
      </w:r>
      <w:r>
        <w:rPr>
          <w:rFonts w:hint="eastAsia" w:ascii="MS UI Gothic" w:eastAsia="MS UI Gothic"/>
          <w:w w:val="80"/>
        </w:rPr>
        <w:t xml:space="preserve">ꎬ </w:t>
      </w:r>
      <w:r>
        <w:t>必须立即停止工作</w:t>
      </w:r>
      <w:r>
        <w:rPr>
          <w:rFonts w:hint="eastAsia" w:ascii="MS UI Gothic" w:eastAsia="MS UI Gothic"/>
          <w:w w:val="80"/>
        </w:rPr>
        <w:t xml:space="preserve">、 </w:t>
      </w:r>
      <w:r>
        <w:t>切断电源</w:t>
      </w:r>
      <w:r>
        <w:rPr>
          <w:rFonts w:hint="eastAsia" w:ascii="MS UI Gothic" w:eastAsia="MS UI Gothic"/>
          <w:w w:val="80"/>
        </w:rPr>
        <w:t xml:space="preserve">ꎬ </w:t>
      </w:r>
      <w:r>
        <w:t>工作人员先撤到进风巷道中</w:t>
      </w:r>
      <w:r>
        <w:rPr>
          <w:rFonts w:hint="eastAsia" w:ascii="MS UI Gothic" w:eastAsia="MS UI Gothic"/>
          <w:w w:val="80"/>
        </w:rPr>
        <w:t xml:space="preserve">ꎬ </w:t>
      </w:r>
      <w:r>
        <w:t>由值班矿领导组织全矿井工作人员全部撤出</w:t>
      </w:r>
      <w:r>
        <w:rPr>
          <w:rFonts w:hint="eastAsia" w:ascii="MS UI Gothic" w:eastAsia="MS UI Gothic"/>
          <w:w w:val="80"/>
        </w:rPr>
        <w:t>ꎮ</w:t>
      </w:r>
    </w:p>
    <w:p>
      <w:pPr>
        <w:pStyle w:val="6"/>
        <w:spacing w:line="295" w:lineRule="auto"/>
        <w:ind w:right="39"/>
      </w:pPr>
      <w:r>
        <w:t>主要通风机停止运转期间</w:t>
      </w:r>
      <w:r>
        <w:rPr>
          <w:rFonts w:hint="eastAsia" w:ascii="MS UI Gothic" w:eastAsia="MS UI Gothic"/>
          <w:w w:val="80"/>
        </w:rPr>
        <w:t xml:space="preserve">ꎬ </w:t>
      </w:r>
      <w:r>
        <w:t>必须打开井口防爆门和有关风门</w:t>
      </w:r>
      <w:r>
        <w:rPr>
          <w:rFonts w:hint="eastAsia" w:ascii="MS UI Gothic" w:eastAsia="MS UI Gothic"/>
          <w:w w:val="80"/>
        </w:rPr>
        <w:t xml:space="preserve">ꎬ </w:t>
      </w:r>
      <w:r>
        <w:t>利用自然风压通风</w:t>
      </w:r>
      <w:r>
        <w:rPr>
          <w:rFonts w:hint="eastAsia" w:ascii="MS UI Gothic" w:eastAsia="MS UI Gothic"/>
          <w:w w:val="80"/>
        </w:rPr>
        <w:t xml:space="preserve">ꎻ </w:t>
      </w:r>
      <w:r>
        <w:t>对由多台主要通风机联合通风的矿</w:t>
      </w:r>
    </w:p>
    <w:p>
      <w:pPr>
        <w:pStyle w:val="6"/>
        <w:spacing w:before="123"/>
        <w:ind w:firstLine="0"/>
        <w:rPr>
          <w:rFonts w:hint="eastAsia" w:ascii="MS UI Gothic" w:eastAsia="MS UI Gothic"/>
        </w:rPr>
      </w:pPr>
      <w:r>
        <w:br w:type="column"/>
      </w:r>
      <w:r>
        <w:t>井</w:t>
      </w:r>
      <w:r>
        <w:rPr>
          <w:rFonts w:hint="eastAsia" w:ascii="MS UI Gothic" w:eastAsia="MS UI Gothic"/>
          <w:w w:val="80"/>
        </w:rPr>
        <w:t xml:space="preserve">ꎬ </w:t>
      </w:r>
      <w:r>
        <w:t>必须正确控制风流</w:t>
      </w:r>
      <w:r>
        <w:rPr>
          <w:rFonts w:hint="eastAsia" w:ascii="MS UI Gothic" w:eastAsia="MS UI Gothic"/>
          <w:w w:val="80"/>
        </w:rPr>
        <w:t xml:space="preserve">ꎬ </w:t>
      </w:r>
      <w:r>
        <w:t>防止风流紊乱</w:t>
      </w:r>
      <w:r>
        <w:rPr>
          <w:rFonts w:hint="eastAsia" w:ascii="MS UI Gothic" w:eastAsia="MS UI Gothic"/>
          <w:w w:val="80"/>
        </w:rPr>
        <w:t>ꎮ</w:t>
      </w:r>
    </w:p>
    <w:p>
      <w:pPr>
        <w:pStyle w:val="6"/>
        <w:spacing w:before="58" w:line="295" w:lineRule="auto"/>
        <w:ind w:right="442"/>
        <w:rPr>
          <w:rFonts w:hint="eastAsia" w:ascii="MS UI Gothic" w:eastAsia="MS UI Gothic"/>
        </w:rPr>
      </w:pPr>
      <w:r>
        <w:rPr>
          <w:spacing w:val="2"/>
          <w:w w:val="105"/>
        </w:rPr>
        <w:t>第一百六十二条 矿井开拓或者准备</w:t>
      </w:r>
      <w:r>
        <w:rPr>
          <w:spacing w:val="3"/>
        </w:rPr>
        <w:t>采区时</w:t>
      </w:r>
      <w:r>
        <w:rPr>
          <w:rFonts w:hint="eastAsia" w:ascii="MS UI Gothic" w:eastAsia="MS UI Gothic"/>
          <w:spacing w:val="20"/>
          <w:w w:val="80"/>
        </w:rPr>
        <w:t xml:space="preserve">ꎬ </w:t>
      </w:r>
      <w:r>
        <w:rPr>
          <w:spacing w:val="2"/>
        </w:rPr>
        <w:t>在设计中必须根据该处全风压供</w:t>
      </w:r>
      <w:r>
        <w:rPr>
          <w:spacing w:val="3"/>
        </w:rPr>
        <w:t>风量和瓦斯涌出量编制通风设计</w:t>
      </w:r>
      <w:r>
        <w:rPr>
          <w:rFonts w:hint="eastAsia" w:ascii="MS UI Gothic" w:eastAsia="MS UI Gothic"/>
          <w:spacing w:val="20"/>
          <w:w w:val="80"/>
        </w:rPr>
        <w:t xml:space="preserve">ꎮ </w:t>
      </w:r>
      <w:r>
        <w:rPr>
          <w:spacing w:val="1"/>
        </w:rPr>
        <w:t>掘进巷</w:t>
      </w:r>
      <w:r>
        <w:rPr>
          <w:spacing w:val="3"/>
          <w:w w:val="105"/>
        </w:rPr>
        <w:t>道的通风方式</w:t>
      </w:r>
      <w:r>
        <w:rPr>
          <w:rFonts w:hint="eastAsia" w:ascii="MS UI Gothic" w:eastAsia="MS UI Gothic"/>
          <w:spacing w:val="-2"/>
          <w:w w:val="80"/>
        </w:rPr>
        <w:t xml:space="preserve">、 </w:t>
      </w:r>
      <w:r>
        <w:rPr>
          <w:spacing w:val="2"/>
          <w:w w:val="105"/>
        </w:rPr>
        <w:t>局部通风机和风筒的安装</w:t>
      </w:r>
      <w:r>
        <w:rPr>
          <w:spacing w:val="3"/>
          <w:w w:val="105"/>
        </w:rPr>
        <w:t>和使用等应当在作业规程中明确规定</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第一百六十三条 掘进巷道必须采用</w:t>
      </w:r>
      <w:r>
        <w:rPr>
          <w:spacing w:val="3"/>
          <w:w w:val="105"/>
        </w:rPr>
        <w:t>矿井全风压通风或者局部通风机通风</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煤巷</w:t>
      </w:r>
      <w:r>
        <w:rPr>
          <w:rFonts w:hint="eastAsia" w:ascii="MS UI Gothic" w:eastAsia="MS UI Gothic"/>
          <w:w w:val="80"/>
        </w:rPr>
        <w:t xml:space="preserve">、 </w:t>
      </w:r>
      <w:r>
        <w:rPr>
          <w:w w:val="105"/>
        </w:rPr>
        <w:t>半煤岩巷和有瓦斯涌出的岩巷</w:t>
      </w:r>
      <w:r>
        <w:t>掘进采用局部通风机通风时</w:t>
      </w:r>
      <w:r>
        <w:rPr>
          <w:rFonts w:hint="eastAsia" w:ascii="MS UI Gothic" w:eastAsia="MS UI Gothic"/>
          <w:w w:val="80"/>
        </w:rPr>
        <w:t xml:space="preserve">ꎬ </w:t>
      </w:r>
      <w:r>
        <w:t>应当采用压</w:t>
      </w:r>
      <w:r>
        <w:rPr>
          <w:w w:val="105"/>
        </w:rPr>
        <w:t>入式</w:t>
      </w:r>
      <w:r>
        <w:rPr>
          <w:rFonts w:hint="eastAsia" w:ascii="MS UI Gothic" w:eastAsia="MS UI Gothic"/>
          <w:w w:val="80"/>
        </w:rPr>
        <w:t xml:space="preserve">ꎬ </w:t>
      </w:r>
      <w:r>
        <w:rPr>
          <w:w w:val="105"/>
        </w:rPr>
        <w:t xml:space="preserve">不得采用抽出式 </w:t>
      </w:r>
      <w:r>
        <w:rPr>
          <w:rFonts w:hint="eastAsia" w:ascii="MS UI Gothic" w:eastAsia="MS UI Gothic"/>
          <w:w w:val="150"/>
        </w:rPr>
        <w:t xml:space="preserve">( </w:t>
      </w:r>
      <w:r>
        <w:rPr>
          <w:w w:val="105"/>
        </w:rPr>
        <w:t>压气</w:t>
      </w:r>
      <w:r>
        <w:rPr>
          <w:rFonts w:hint="eastAsia" w:ascii="MS UI Gothic" w:eastAsia="MS UI Gothic"/>
          <w:w w:val="80"/>
        </w:rPr>
        <w:t xml:space="preserve">、 </w:t>
      </w:r>
      <w:r>
        <w:rPr>
          <w:w w:val="105"/>
        </w:rPr>
        <w:t>水力引射器不受此限</w:t>
      </w:r>
      <w:r>
        <w:rPr>
          <w:rFonts w:hint="eastAsia" w:ascii="MS UI Gothic" w:eastAsia="MS UI Gothic"/>
          <w:w w:val="150"/>
        </w:rPr>
        <w:t xml:space="preserve">) </w:t>
      </w:r>
      <w:r>
        <w:rPr>
          <w:rFonts w:hint="eastAsia" w:ascii="MS UI Gothic" w:eastAsia="MS UI Gothic"/>
          <w:w w:val="80"/>
        </w:rPr>
        <w:t xml:space="preserve">ꎻ </w:t>
      </w:r>
      <w:r>
        <w:rPr>
          <w:w w:val="105"/>
        </w:rPr>
        <w:t>如果采用混合式</w:t>
      </w:r>
      <w:r>
        <w:rPr>
          <w:rFonts w:hint="eastAsia" w:ascii="MS UI Gothic" w:eastAsia="MS UI Gothic"/>
          <w:w w:val="80"/>
        </w:rPr>
        <w:t xml:space="preserve">ꎬ </w:t>
      </w:r>
      <w:r>
        <w:rPr>
          <w:w w:val="105"/>
        </w:rPr>
        <w:t>必须制定安全措施</w:t>
      </w:r>
      <w:r>
        <w:rPr>
          <w:rFonts w:hint="eastAsia" w:ascii="MS UI Gothic" w:eastAsia="MS UI Gothic"/>
          <w:w w:val="80"/>
        </w:rPr>
        <w:t>ꎮ</w:t>
      </w:r>
    </w:p>
    <w:p>
      <w:pPr>
        <w:pStyle w:val="6"/>
        <w:spacing w:line="295" w:lineRule="auto"/>
        <w:ind w:right="442"/>
        <w:rPr>
          <w:rFonts w:hint="eastAsia" w:ascii="MS UI Gothic" w:eastAsia="MS UI Gothic"/>
        </w:rPr>
      </w:pPr>
      <w:r>
        <w:t>瓦斯喷出区域和突出煤层采用局部通风机通风时</w:t>
      </w:r>
      <w:r>
        <w:rPr>
          <w:rFonts w:hint="eastAsia" w:ascii="MS UI Gothic" w:eastAsia="MS UI Gothic"/>
          <w:w w:val="80"/>
        </w:rPr>
        <w:t xml:space="preserve">ꎬ </w:t>
      </w:r>
      <w:r>
        <w:t>必须采用压入式</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第一百六十四条 安装和使用局部通</w:t>
      </w:r>
      <w:r>
        <w:rPr>
          <w:w w:val="110"/>
        </w:rPr>
        <w:t>风机和风筒时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4"/>
          <w:w w:val="120"/>
        </w:rPr>
        <w:t xml:space="preserve">( </w:t>
      </w:r>
      <w:r>
        <w:rPr>
          <w:spacing w:val="5"/>
          <w:w w:val="110"/>
        </w:rPr>
        <w:t>一</w:t>
      </w:r>
      <w:r>
        <w:rPr>
          <w:rFonts w:hint="eastAsia" w:ascii="MS UI Gothic" w:eastAsia="MS UI Gothic"/>
          <w:spacing w:val="-13"/>
          <w:w w:val="120"/>
        </w:rPr>
        <w:t xml:space="preserve">) </w:t>
      </w:r>
      <w:r>
        <w:rPr>
          <w:spacing w:val="23"/>
          <w:w w:val="110"/>
        </w:rPr>
        <w:t>局部通风机由指定人员负责</w:t>
      </w:r>
      <w:r>
        <w:rPr>
          <w:spacing w:val="3"/>
          <w:w w:val="110"/>
        </w:rPr>
        <w:t>管理</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spacing w:val="-27"/>
          <w:w w:val="145"/>
        </w:rPr>
        <w:t xml:space="preserve">( </w:t>
      </w:r>
      <w:r>
        <w:rPr>
          <w:spacing w:val="3"/>
        </w:rPr>
        <w:t>二</w:t>
      </w:r>
      <w:r>
        <w:rPr>
          <w:rFonts w:hint="eastAsia" w:ascii="MS UI Gothic" w:eastAsia="MS UI Gothic"/>
          <w:spacing w:val="14"/>
          <w:w w:val="145"/>
        </w:rPr>
        <w:t xml:space="preserve">) </w:t>
      </w:r>
      <w:r>
        <w:rPr>
          <w:spacing w:val="5"/>
        </w:rPr>
        <w:t>压入式局部通风机和启动装置</w:t>
      </w:r>
      <w:r>
        <w:rPr>
          <w:spacing w:val="3"/>
        </w:rPr>
        <w:t>安装在进风巷道中</w:t>
      </w:r>
      <w:r>
        <w:rPr>
          <w:rFonts w:hint="eastAsia" w:ascii="MS UI Gothic" w:eastAsia="MS UI Gothic"/>
          <w:spacing w:val="20"/>
          <w:w w:val="80"/>
        </w:rPr>
        <w:t xml:space="preserve">ꎬ </w:t>
      </w:r>
      <w:r>
        <w:rPr>
          <w:spacing w:val="2"/>
        </w:rPr>
        <w:t>距掘进巷道回风口不</w:t>
      </w:r>
      <w:r>
        <w:rPr>
          <w:spacing w:val="-6"/>
        </w:rPr>
        <w:t xml:space="preserve">得小于 </w:t>
      </w:r>
      <w:r>
        <w:rPr>
          <w:rFonts w:hint="eastAsia" w:ascii="MS UI Gothic" w:eastAsia="MS UI Gothic"/>
          <w:spacing w:val="10"/>
          <w:w w:val="80"/>
        </w:rPr>
        <w:t xml:space="preserve">１０ </w:t>
      </w:r>
      <w:r>
        <w:rPr>
          <w:rFonts w:hint="eastAsia" w:ascii="MS UI Gothic" w:eastAsia="MS UI Gothic"/>
          <w:spacing w:val="4"/>
        </w:rPr>
        <w:t>ｍ</w:t>
      </w:r>
      <w:r>
        <w:rPr>
          <w:rFonts w:hint="eastAsia" w:ascii="MS UI Gothic" w:eastAsia="MS UI Gothic"/>
          <w:spacing w:val="1"/>
          <w:w w:val="80"/>
        </w:rPr>
        <w:t xml:space="preserve">ꎻ </w:t>
      </w:r>
      <w:r>
        <w:rPr>
          <w:spacing w:val="11"/>
        </w:rPr>
        <w:t>全风压供给该处的风量必</w:t>
      </w:r>
      <w:r>
        <w:rPr>
          <w:spacing w:val="3"/>
        </w:rPr>
        <w:t>须大于局部通风机的吸入风量</w:t>
      </w:r>
      <w:r>
        <w:rPr>
          <w:rFonts w:hint="eastAsia" w:ascii="MS UI Gothic" w:eastAsia="MS UI Gothic"/>
          <w:spacing w:val="20"/>
          <w:w w:val="80"/>
        </w:rPr>
        <w:t xml:space="preserve">ꎬ </w:t>
      </w:r>
      <w:r>
        <w:rPr>
          <w:spacing w:val="2"/>
        </w:rPr>
        <w:t>局部通风机安装地点到回风口间的巷道中的最低风</w:t>
      </w:r>
      <w:r>
        <w:rPr>
          <w:spacing w:val="24"/>
        </w:rPr>
        <w:t>速必须符合本规程第一百三十六条的</w:t>
      </w:r>
      <w:r>
        <w:rPr>
          <w:spacing w:val="3"/>
        </w:rPr>
        <w:t>要求</w:t>
      </w:r>
      <w:r>
        <w:rPr>
          <w:rFonts w:hint="eastAsia" w:ascii="MS UI Gothic" w:eastAsia="MS UI Gothic"/>
          <w:w w:val="80"/>
        </w:rPr>
        <w:t>ꎮ</w:t>
      </w:r>
    </w:p>
    <w:p>
      <w:pPr>
        <w:pStyle w:val="6"/>
        <w:spacing w:line="295" w:lineRule="auto"/>
        <w:ind w:right="440"/>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11"/>
          <w:w w:val="150"/>
        </w:rPr>
        <w:t xml:space="preserve">) </w:t>
      </w:r>
      <w:r>
        <w:rPr>
          <w:spacing w:val="3"/>
          <w:w w:val="105"/>
        </w:rPr>
        <w:t>高瓦斯</w:t>
      </w:r>
      <w:r>
        <w:rPr>
          <w:rFonts w:hint="eastAsia" w:ascii="MS UI Gothic" w:eastAsia="MS UI Gothic"/>
          <w:w w:val="80"/>
        </w:rPr>
        <w:t xml:space="preserve">、 </w:t>
      </w:r>
      <w:r>
        <w:rPr>
          <w:spacing w:val="11"/>
          <w:w w:val="105"/>
        </w:rPr>
        <w:t>突出矿井的煤巷</w:t>
      </w:r>
      <w:r>
        <w:rPr>
          <w:rFonts w:hint="eastAsia" w:ascii="MS UI Gothic" w:eastAsia="MS UI Gothic"/>
          <w:spacing w:val="2"/>
          <w:w w:val="80"/>
        </w:rPr>
        <w:t xml:space="preserve">、 </w:t>
      </w:r>
      <w:r>
        <w:rPr>
          <w:w w:val="105"/>
        </w:rPr>
        <w:t>半</w:t>
      </w:r>
      <w:r>
        <w:rPr>
          <w:spacing w:val="2"/>
        </w:rPr>
        <w:t>煤岩巷和有瓦斯涌出的岩巷掘进工作面正常工作的局部通风机必须配备安装同等能</w:t>
      </w:r>
      <w:r>
        <w:rPr>
          <w:spacing w:val="3"/>
        </w:rPr>
        <w:t>力的备用局部通风机</w:t>
      </w:r>
      <w:r>
        <w:rPr>
          <w:rFonts w:hint="eastAsia" w:ascii="MS UI Gothic" w:eastAsia="MS UI Gothic"/>
          <w:spacing w:val="23"/>
          <w:w w:val="80"/>
        </w:rPr>
        <w:t xml:space="preserve">ꎬ </w:t>
      </w:r>
      <w:r>
        <w:rPr>
          <w:spacing w:val="3"/>
        </w:rPr>
        <w:t>并能自动切换</w:t>
      </w:r>
      <w:r>
        <w:rPr>
          <w:rFonts w:hint="eastAsia" w:ascii="MS UI Gothic" w:eastAsia="MS UI Gothic"/>
          <w:spacing w:val="23"/>
          <w:w w:val="80"/>
        </w:rPr>
        <w:t xml:space="preserve">ꎮ </w:t>
      </w:r>
      <w:r>
        <w:t>正</w:t>
      </w:r>
      <w:r>
        <w:rPr>
          <w:spacing w:val="8"/>
          <w:w w:val="105"/>
        </w:rPr>
        <w:t xml:space="preserve">常工作的局部通风机必须采用三专 </w:t>
      </w:r>
      <w:r>
        <w:rPr>
          <w:rFonts w:hint="eastAsia" w:ascii="MS UI Gothic" w:eastAsia="MS UI Gothic"/>
          <w:spacing w:val="-35"/>
          <w:w w:val="150"/>
        </w:rPr>
        <w:t xml:space="preserve">( </w:t>
      </w:r>
      <w:r>
        <w:rPr>
          <w:w w:val="105"/>
        </w:rPr>
        <w:t>专</w:t>
      </w:r>
      <w:r>
        <w:rPr>
          <w:spacing w:val="3"/>
          <w:w w:val="105"/>
        </w:rPr>
        <w:t>用开关</w:t>
      </w:r>
      <w:r>
        <w:rPr>
          <w:rFonts w:hint="eastAsia" w:ascii="MS UI Gothic" w:eastAsia="MS UI Gothic"/>
          <w:spacing w:val="13"/>
          <w:w w:val="80"/>
        </w:rPr>
        <w:t xml:space="preserve">、 </w:t>
      </w:r>
      <w:r>
        <w:rPr>
          <w:spacing w:val="9"/>
          <w:w w:val="105"/>
        </w:rPr>
        <w:t>专用电缆</w:t>
      </w:r>
      <w:r>
        <w:rPr>
          <w:rFonts w:hint="eastAsia" w:ascii="MS UI Gothic" w:eastAsia="MS UI Gothic"/>
          <w:spacing w:val="15"/>
          <w:w w:val="80"/>
        </w:rPr>
        <w:t xml:space="preserve">、 </w:t>
      </w:r>
      <w:r>
        <w:rPr>
          <w:spacing w:val="10"/>
          <w:w w:val="105"/>
        </w:rPr>
        <w:t>专用变压器</w:t>
      </w:r>
      <w:r>
        <w:rPr>
          <w:rFonts w:hint="eastAsia" w:ascii="MS UI Gothic" w:eastAsia="MS UI Gothic"/>
          <w:spacing w:val="1"/>
          <w:w w:val="150"/>
        </w:rPr>
        <w:t xml:space="preserve">) </w:t>
      </w:r>
      <w:r>
        <w:rPr>
          <w:spacing w:val="8"/>
          <w:w w:val="105"/>
        </w:rPr>
        <w:t>供电</w:t>
      </w:r>
      <w:r>
        <w:rPr>
          <w:rFonts w:hint="eastAsia" w:ascii="MS UI Gothic" w:eastAsia="MS UI Gothic"/>
          <w:w w:val="80"/>
        </w:rPr>
        <w:t>ꎬ</w:t>
      </w:r>
      <w:r>
        <w:rPr>
          <w:spacing w:val="-9"/>
          <w:w w:val="105"/>
        </w:rPr>
        <w:t xml:space="preserve">专用变压器最多可向 </w:t>
      </w:r>
      <w:r>
        <w:rPr>
          <w:rFonts w:hint="eastAsia" w:ascii="MS UI Gothic" w:eastAsia="MS UI Gothic"/>
          <w:spacing w:val="-12"/>
          <w:w w:val="80"/>
        </w:rPr>
        <w:t xml:space="preserve">４ </w:t>
      </w:r>
      <w:r>
        <w:rPr>
          <w:spacing w:val="2"/>
          <w:w w:val="105"/>
        </w:rPr>
        <w:t>个不同掘进工作面</w:t>
      </w:r>
      <w:r>
        <w:rPr>
          <w:spacing w:val="3"/>
        </w:rPr>
        <w:t>的局部通风机供电</w:t>
      </w:r>
      <w:r>
        <w:rPr>
          <w:rFonts w:hint="eastAsia" w:ascii="MS UI Gothic" w:eastAsia="MS UI Gothic"/>
          <w:spacing w:val="19"/>
          <w:w w:val="80"/>
        </w:rPr>
        <w:t xml:space="preserve">ꎻ </w:t>
      </w:r>
      <w:r>
        <w:rPr>
          <w:spacing w:val="2"/>
        </w:rPr>
        <w:t>备用局部通风机电源</w:t>
      </w:r>
      <w:r>
        <w:rPr>
          <w:spacing w:val="3"/>
        </w:rPr>
        <w:t>必须取自同时带电的另一电源</w:t>
      </w:r>
      <w:r>
        <w:rPr>
          <w:rFonts w:hint="eastAsia" w:ascii="MS UI Gothic" w:eastAsia="MS UI Gothic"/>
          <w:spacing w:val="19"/>
          <w:w w:val="80"/>
        </w:rPr>
        <w:t xml:space="preserve">ꎬ </w:t>
      </w:r>
      <w:r>
        <w:rPr>
          <w:spacing w:val="2"/>
        </w:rPr>
        <w:t>当正常工</w:t>
      </w:r>
      <w:r>
        <w:rPr>
          <w:spacing w:val="3"/>
        </w:rPr>
        <w:t>作的局部通风机故障时</w:t>
      </w:r>
      <w:r>
        <w:rPr>
          <w:rFonts w:hint="eastAsia" w:ascii="MS UI Gothic" w:eastAsia="MS UI Gothic"/>
          <w:spacing w:val="19"/>
          <w:w w:val="80"/>
        </w:rPr>
        <w:t xml:space="preserve">ꎬ </w:t>
      </w:r>
      <w:r>
        <w:rPr>
          <w:spacing w:val="2"/>
        </w:rPr>
        <w:t>备用局部通风机</w:t>
      </w:r>
      <w:r>
        <w:rPr>
          <w:spacing w:val="3"/>
        </w:rPr>
        <w:t>能自动启动</w:t>
      </w:r>
      <w:r>
        <w:rPr>
          <w:rFonts w:hint="eastAsia" w:ascii="MS UI Gothic" w:eastAsia="MS UI Gothic"/>
          <w:spacing w:val="23"/>
          <w:w w:val="80"/>
        </w:rPr>
        <w:t xml:space="preserve">ꎬ </w:t>
      </w:r>
      <w:r>
        <w:rPr>
          <w:spacing w:val="3"/>
        </w:rPr>
        <w:t>保持掘进工作面正常通风</w:t>
      </w:r>
      <w:r>
        <w:rPr>
          <w:rFonts w:hint="eastAsia" w:ascii="MS UI Gothic" w:eastAsia="MS UI Gothic"/>
          <w:w w:val="80"/>
        </w:rPr>
        <w:t>ꎮ</w:t>
      </w:r>
    </w:p>
    <w:p>
      <w:pPr>
        <w:pStyle w:val="6"/>
        <w:spacing w:line="295" w:lineRule="auto"/>
        <w:ind w:right="442"/>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其他掘进工作面和通风地点正</w:t>
      </w:r>
      <w:r>
        <w:t>常工作的局部通风机可不配备备用局部通</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２６３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15" o:spid="_x0000_s1815" o:spt="203" style="height:2.15pt;width:398.25pt;" coordsize="7965,43">
            <o:lock v:ext="edit"/>
            <v:line id="_x0000_s1816" o:spid="_x0000_s1816" o:spt="20" style="position:absolute;left:0;top:39;height:0;width:7965;" stroked="t" coordsize="21600,21600">
              <v:path arrowok="t"/>
              <v:fill focussize="0,0"/>
              <v:stroke weight="0.388031496062992pt" color="#231F20"/>
              <v:imagedata o:title=""/>
              <o:lock v:ext="edit"/>
            </v:line>
            <v:line id="_x0000_s1817" o:spid="_x0000_s181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风机</w:t>
      </w:r>
      <w:r>
        <w:rPr>
          <w:rFonts w:hint="eastAsia" w:ascii="MS UI Gothic" w:eastAsia="MS UI Gothic"/>
          <w:w w:val="80"/>
        </w:rPr>
        <w:t xml:space="preserve">ꎬ </w:t>
      </w:r>
      <w:r>
        <w:t>但正常工作的局部通风机必须采用三专供电</w:t>
      </w:r>
      <w:r>
        <w:rPr>
          <w:rFonts w:hint="eastAsia" w:ascii="MS UI Gothic" w:eastAsia="MS UI Gothic"/>
          <w:w w:val="80"/>
        </w:rPr>
        <w:t xml:space="preserve">ꎻ </w:t>
      </w:r>
      <w:r>
        <w:t>或者正常工作的局部通风机配备安装一台同等能力的备用局部通风机</w:t>
      </w:r>
      <w:r>
        <w:rPr>
          <w:rFonts w:hint="eastAsia" w:ascii="MS UI Gothic" w:eastAsia="MS UI Gothic"/>
          <w:w w:val="80"/>
        </w:rPr>
        <w:t>ꎬ</w:t>
      </w:r>
      <w:r>
        <w:t>并能自动切换</w:t>
      </w:r>
      <w:r>
        <w:rPr>
          <w:rFonts w:hint="eastAsia" w:ascii="MS UI Gothic" w:eastAsia="MS UI Gothic"/>
          <w:w w:val="80"/>
        </w:rPr>
        <w:t xml:space="preserve">ꎮ </w:t>
      </w:r>
      <w:r>
        <w:t>正常工作的局部通风机和备用局部通风机的电源必须取自同时带电的不同母线段的相互独立的电源</w:t>
      </w:r>
      <w:r>
        <w:rPr>
          <w:rFonts w:hint="eastAsia" w:ascii="MS UI Gothic" w:eastAsia="MS UI Gothic"/>
          <w:w w:val="80"/>
        </w:rPr>
        <w:t xml:space="preserve">ꎬ </w:t>
      </w:r>
      <w:r>
        <w:t>保证正常工作的局部通风机故障时</w:t>
      </w:r>
      <w:r>
        <w:rPr>
          <w:rFonts w:hint="eastAsia" w:ascii="MS UI Gothic" w:eastAsia="MS UI Gothic"/>
          <w:w w:val="80"/>
        </w:rPr>
        <w:t xml:space="preserve">ꎬ </w:t>
      </w:r>
      <w:r>
        <w:t>备用局部通风机能投入正常工作</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采用抗静电</w:t>
      </w:r>
      <w:r>
        <w:rPr>
          <w:rFonts w:hint="eastAsia" w:ascii="MS UI Gothic" w:eastAsia="MS UI Gothic"/>
          <w:w w:val="80"/>
        </w:rPr>
        <w:t xml:space="preserve">、 </w:t>
      </w:r>
      <w:r>
        <w:rPr>
          <w:w w:val="105"/>
        </w:rPr>
        <w:t>阻燃风筒</w:t>
      </w:r>
      <w:r>
        <w:rPr>
          <w:rFonts w:hint="eastAsia" w:ascii="MS UI Gothic" w:eastAsia="MS UI Gothic"/>
          <w:w w:val="80"/>
        </w:rPr>
        <w:t xml:space="preserve">ꎮ </w:t>
      </w:r>
      <w:r>
        <w:rPr>
          <w:w w:val="105"/>
        </w:rPr>
        <w:t>风筒口到掘进工作面的距离</w:t>
      </w:r>
      <w:r>
        <w:rPr>
          <w:rFonts w:hint="eastAsia" w:ascii="MS UI Gothic" w:eastAsia="MS UI Gothic"/>
          <w:w w:val="80"/>
        </w:rPr>
        <w:t xml:space="preserve">、 </w:t>
      </w:r>
      <w:r>
        <w:rPr>
          <w:w w:val="105"/>
        </w:rPr>
        <w:t>正常工作的局部</w:t>
      </w:r>
      <w:r>
        <w:t>通风机和备用局部通风机自动切换的交叉风筒接头的规格和安设标准</w:t>
      </w:r>
      <w:r>
        <w:rPr>
          <w:rFonts w:hint="eastAsia" w:ascii="MS UI Gothic" w:eastAsia="MS UI Gothic"/>
          <w:w w:val="80"/>
        </w:rPr>
        <w:t xml:space="preserve">ꎬ </w:t>
      </w:r>
      <w:r>
        <w:t>应当在作业</w:t>
      </w:r>
      <w:r>
        <w:rPr>
          <w:w w:val="105"/>
        </w:rPr>
        <w:t>规程中明确规定</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正常工作和备用局部通风机均</w:t>
      </w:r>
      <w:r>
        <w:t>失电停止运转后</w:t>
      </w:r>
      <w:r>
        <w:rPr>
          <w:rFonts w:hint="eastAsia" w:ascii="MS UI Gothic" w:eastAsia="MS UI Gothic"/>
          <w:w w:val="80"/>
        </w:rPr>
        <w:t xml:space="preserve">ꎬ </w:t>
      </w:r>
      <w:r>
        <w:t>当电源恢复时</w:t>
      </w:r>
      <w:r>
        <w:rPr>
          <w:rFonts w:hint="eastAsia" w:ascii="MS UI Gothic" w:eastAsia="MS UI Gothic"/>
          <w:w w:val="80"/>
        </w:rPr>
        <w:t xml:space="preserve">ꎬ </w:t>
      </w:r>
      <w:r>
        <w:t>正常工作的局部通风机和备用局部通风机均不得</w:t>
      </w:r>
      <w:r>
        <w:rPr>
          <w:w w:val="105"/>
        </w:rPr>
        <w:t>自行启动</w:t>
      </w:r>
      <w:r>
        <w:rPr>
          <w:rFonts w:hint="eastAsia" w:ascii="MS UI Gothic" w:eastAsia="MS UI Gothic"/>
          <w:w w:val="80"/>
        </w:rPr>
        <w:t xml:space="preserve">ꎬ </w:t>
      </w:r>
      <w:r>
        <w:rPr>
          <w:w w:val="105"/>
        </w:rPr>
        <w:t>必须人工开启局部通风机</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七</w:t>
      </w:r>
      <w:r>
        <w:rPr>
          <w:rFonts w:hint="eastAsia" w:ascii="MS UI Gothic" w:eastAsia="MS UI Gothic"/>
          <w:spacing w:val="3"/>
          <w:w w:val="150"/>
        </w:rPr>
        <w:t xml:space="preserve">) </w:t>
      </w:r>
      <w:r>
        <w:rPr>
          <w:spacing w:val="5"/>
          <w:w w:val="105"/>
        </w:rPr>
        <w:t>使用局部通风机供风的地点必</w:t>
      </w:r>
      <w:r>
        <w:rPr>
          <w:spacing w:val="3"/>
        </w:rPr>
        <w:t>须实行风电闭锁和甲烷电闭锁</w:t>
      </w:r>
      <w:r>
        <w:rPr>
          <w:rFonts w:hint="eastAsia" w:ascii="MS UI Gothic" w:eastAsia="MS UI Gothic"/>
          <w:spacing w:val="21"/>
          <w:w w:val="80"/>
        </w:rPr>
        <w:t xml:space="preserve">ꎬ </w:t>
      </w:r>
      <w:r>
        <w:rPr>
          <w:spacing w:val="2"/>
        </w:rPr>
        <w:t>保证当正常工作的局部通风机停止运转或者停风后能切断停风区内全部非本质安全型电气设</w:t>
      </w:r>
      <w:r>
        <w:rPr>
          <w:spacing w:val="3"/>
        </w:rPr>
        <w:t>备的电源</w:t>
      </w:r>
      <w:r>
        <w:rPr>
          <w:rFonts w:hint="eastAsia" w:ascii="MS UI Gothic" w:eastAsia="MS UI Gothic"/>
          <w:spacing w:val="19"/>
          <w:w w:val="80"/>
        </w:rPr>
        <w:t xml:space="preserve">ꎮ </w:t>
      </w:r>
      <w:r>
        <w:rPr>
          <w:spacing w:val="10"/>
        </w:rPr>
        <w:t>正常工作的局部通风机故障</w:t>
      </w:r>
      <w:r>
        <w:rPr>
          <w:rFonts w:hint="eastAsia" w:ascii="MS UI Gothic" w:eastAsia="MS UI Gothic"/>
          <w:w w:val="80"/>
        </w:rPr>
        <w:t>ꎬ</w:t>
      </w:r>
      <w:r>
        <w:rPr>
          <w:spacing w:val="3"/>
        </w:rPr>
        <w:t>切换到备用局部通风机工作时</w:t>
      </w:r>
      <w:r>
        <w:rPr>
          <w:rFonts w:hint="eastAsia" w:ascii="MS UI Gothic" w:eastAsia="MS UI Gothic"/>
          <w:spacing w:val="21"/>
          <w:w w:val="80"/>
        </w:rPr>
        <w:t xml:space="preserve">ꎬ </w:t>
      </w:r>
      <w:r>
        <w:rPr>
          <w:spacing w:val="2"/>
        </w:rPr>
        <w:t>该局部通</w:t>
      </w:r>
      <w:r>
        <w:rPr>
          <w:spacing w:val="13"/>
        </w:rPr>
        <w:t>风机通风范围内应当停止工作</w:t>
      </w:r>
      <w:r>
        <w:rPr>
          <w:rFonts w:hint="eastAsia" w:ascii="MS UI Gothic" w:eastAsia="MS UI Gothic"/>
          <w:spacing w:val="1"/>
          <w:w w:val="80"/>
        </w:rPr>
        <w:t xml:space="preserve">ꎬ </w:t>
      </w:r>
      <w:r>
        <w:rPr>
          <w:spacing w:val="14"/>
        </w:rPr>
        <w:t>排除故</w:t>
      </w:r>
      <w:r>
        <w:rPr>
          <w:spacing w:val="3"/>
        </w:rPr>
        <w:t>障</w:t>
      </w:r>
      <w:r>
        <w:rPr>
          <w:rFonts w:hint="eastAsia" w:ascii="MS UI Gothic" w:eastAsia="MS UI Gothic"/>
          <w:spacing w:val="23"/>
          <w:w w:val="80"/>
        </w:rPr>
        <w:t xml:space="preserve">ꎻ </w:t>
      </w:r>
      <w:r>
        <w:rPr>
          <w:spacing w:val="3"/>
        </w:rPr>
        <w:t>待故障被排除</w:t>
      </w:r>
      <w:r>
        <w:rPr>
          <w:rFonts w:hint="eastAsia" w:ascii="MS UI Gothic" w:eastAsia="MS UI Gothic"/>
          <w:spacing w:val="23"/>
          <w:w w:val="80"/>
        </w:rPr>
        <w:t xml:space="preserve">ꎬ </w:t>
      </w:r>
      <w:r>
        <w:rPr>
          <w:spacing w:val="2"/>
        </w:rPr>
        <w:t>恢复到正常工作的局</w:t>
      </w:r>
      <w:r>
        <w:rPr>
          <w:spacing w:val="2"/>
          <w:w w:val="105"/>
        </w:rPr>
        <w:t>部通风后方可恢复工作</w:t>
      </w:r>
      <w:r>
        <w:rPr>
          <w:rFonts w:hint="eastAsia" w:ascii="MS UI Gothic" w:eastAsia="MS UI Gothic"/>
          <w:spacing w:val="-2"/>
          <w:w w:val="80"/>
        </w:rPr>
        <w:t xml:space="preserve">ꎮ </w:t>
      </w:r>
      <w:r>
        <w:rPr>
          <w:spacing w:val="-27"/>
          <w:w w:val="105"/>
        </w:rPr>
        <w:t xml:space="preserve">使用 </w:t>
      </w:r>
      <w:r>
        <w:rPr>
          <w:rFonts w:hint="eastAsia" w:ascii="MS UI Gothic" w:eastAsia="MS UI Gothic"/>
          <w:spacing w:val="-12"/>
          <w:w w:val="80"/>
        </w:rPr>
        <w:t xml:space="preserve">２ </w:t>
      </w:r>
      <w:r>
        <w:rPr>
          <w:spacing w:val="3"/>
          <w:w w:val="105"/>
        </w:rPr>
        <w:t>台局部通</w:t>
      </w:r>
      <w:r>
        <w:rPr>
          <w:spacing w:val="3"/>
        </w:rPr>
        <w:t>风机同时供风的</w:t>
      </w:r>
      <w:r>
        <w:rPr>
          <w:rFonts w:hint="eastAsia" w:ascii="MS UI Gothic" w:eastAsia="MS UI Gothic"/>
          <w:spacing w:val="11"/>
          <w:w w:val="80"/>
        </w:rPr>
        <w:t xml:space="preserve">ꎬ ２ </w:t>
      </w:r>
      <w:r>
        <w:rPr>
          <w:spacing w:val="8"/>
        </w:rPr>
        <w:t>台局部通风机都必须</w:t>
      </w:r>
      <w:r>
        <w:rPr>
          <w:spacing w:val="3"/>
          <w:w w:val="105"/>
        </w:rPr>
        <w:t>同时实现风电闭锁和甲烷电闭锁</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45"/>
        </w:rPr>
        <w:t xml:space="preserve">( </w:t>
      </w:r>
      <w:r>
        <w:t>八</w:t>
      </w:r>
      <w:r>
        <w:rPr>
          <w:rFonts w:hint="eastAsia" w:ascii="MS UI Gothic" w:eastAsia="MS UI Gothic"/>
          <w:w w:val="145"/>
        </w:rPr>
        <w:t xml:space="preserve">) </w:t>
      </w:r>
      <w:r>
        <w:t xml:space="preserve">每 </w:t>
      </w:r>
      <w:r>
        <w:rPr>
          <w:rFonts w:hint="eastAsia" w:ascii="MS UI Gothic" w:eastAsia="MS UI Gothic"/>
          <w:w w:val="80"/>
        </w:rPr>
        <w:t xml:space="preserve">１５ </w:t>
      </w:r>
      <w:r>
        <w:t>天至少进行一次风电闭锁和甲烷电闭锁试验</w:t>
      </w:r>
      <w:r>
        <w:rPr>
          <w:rFonts w:hint="eastAsia" w:ascii="MS UI Gothic" w:eastAsia="MS UI Gothic"/>
          <w:w w:val="80"/>
        </w:rPr>
        <w:t xml:space="preserve">ꎬ </w:t>
      </w:r>
      <w:r>
        <w:t>每天应当进行一次正常工作的局部通风机与备用局部通风机自动切换试验</w:t>
      </w:r>
      <w:r>
        <w:rPr>
          <w:rFonts w:hint="eastAsia" w:ascii="MS UI Gothic" w:eastAsia="MS UI Gothic"/>
          <w:w w:val="80"/>
        </w:rPr>
        <w:t xml:space="preserve">ꎬ </w:t>
      </w:r>
      <w:r>
        <w:t>试验期间不得影响局部通风</w:t>
      </w:r>
      <w:r>
        <w:rPr>
          <w:rFonts w:hint="eastAsia" w:ascii="MS UI Gothic" w:eastAsia="MS UI Gothic"/>
          <w:w w:val="80"/>
        </w:rPr>
        <w:t xml:space="preserve">ꎬ </w:t>
      </w:r>
      <w:r>
        <w:t>试验记录要存档备查</w:t>
      </w:r>
      <w:r>
        <w:rPr>
          <w:rFonts w:hint="eastAsia" w:ascii="MS UI Gothic" w:eastAsia="MS UI Gothic"/>
          <w:w w:val="80"/>
        </w:rPr>
        <w:t>ꎮ</w:t>
      </w:r>
    </w:p>
    <w:p>
      <w:pPr>
        <w:pStyle w:val="6"/>
        <w:spacing w:line="295" w:lineRule="auto"/>
        <w:ind w:left="435" w:right="1" w:firstLine="425"/>
        <w:rPr>
          <w:rFonts w:hint="eastAsia" w:ascii="MS UI Gothic" w:eastAsia="MS UI Gothic"/>
        </w:rPr>
      </w:pPr>
      <w:r>
        <w:rPr>
          <w:rFonts w:hint="eastAsia" w:ascii="MS UI Gothic" w:eastAsia="MS UI Gothic"/>
          <w:spacing w:val="-37"/>
          <w:w w:val="150"/>
        </w:rPr>
        <w:t xml:space="preserve">( </w:t>
      </w:r>
      <w:r>
        <w:rPr>
          <w:spacing w:val="3"/>
          <w:w w:val="105"/>
        </w:rPr>
        <w:t>九</w:t>
      </w:r>
      <w:r>
        <w:rPr>
          <w:rFonts w:hint="eastAsia" w:ascii="MS UI Gothic" w:eastAsia="MS UI Gothic"/>
          <w:spacing w:val="8"/>
          <w:w w:val="150"/>
        </w:rPr>
        <w:t xml:space="preserve">) </w:t>
      </w:r>
      <w:r>
        <w:rPr>
          <w:spacing w:val="-10"/>
          <w:w w:val="105"/>
        </w:rPr>
        <w:t xml:space="preserve">严禁使用 </w:t>
      </w:r>
      <w:r>
        <w:rPr>
          <w:rFonts w:hint="eastAsia" w:ascii="MS UI Gothic" w:eastAsia="MS UI Gothic"/>
          <w:spacing w:val="4"/>
          <w:w w:val="80"/>
        </w:rPr>
        <w:t xml:space="preserve">３ </w:t>
      </w:r>
      <w:r>
        <w:rPr>
          <w:spacing w:val="7"/>
          <w:w w:val="105"/>
        </w:rPr>
        <w:t>台及以上局部通风</w:t>
      </w:r>
      <w:r>
        <w:rPr>
          <w:spacing w:val="-15"/>
          <w:w w:val="105"/>
        </w:rPr>
        <w:t xml:space="preserve">机同时向 </w:t>
      </w:r>
      <w:r>
        <w:rPr>
          <w:rFonts w:hint="eastAsia" w:ascii="MS UI Gothic" w:eastAsia="MS UI Gothic"/>
          <w:spacing w:val="-12"/>
          <w:w w:val="80"/>
        </w:rPr>
        <w:t xml:space="preserve">１ </w:t>
      </w:r>
      <w:r>
        <w:rPr>
          <w:spacing w:val="3"/>
          <w:w w:val="105"/>
        </w:rPr>
        <w:t>个掘进工作面供风</w:t>
      </w:r>
      <w:r>
        <w:rPr>
          <w:rFonts w:hint="eastAsia" w:ascii="MS UI Gothic" w:eastAsia="MS UI Gothic"/>
          <w:spacing w:val="-1"/>
          <w:w w:val="80"/>
        </w:rPr>
        <w:t xml:space="preserve">ꎮ </w:t>
      </w:r>
      <w:r>
        <w:rPr>
          <w:spacing w:val="3"/>
          <w:w w:val="105"/>
        </w:rPr>
        <w:t>不得使用</w:t>
      </w:r>
      <w:r>
        <w:rPr>
          <w:rFonts w:hint="eastAsia" w:ascii="MS UI Gothic" w:eastAsia="MS UI Gothic"/>
          <w:spacing w:val="-7"/>
          <w:w w:val="80"/>
        </w:rPr>
        <w:t xml:space="preserve">１ </w:t>
      </w:r>
      <w:r>
        <w:rPr>
          <w:spacing w:val="-6"/>
          <w:w w:val="105"/>
        </w:rPr>
        <w:t xml:space="preserve">台局部通风机同时向 </w:t>
      </w:r>
      <w:r>
        <w:rPr>
          <w:rFonts w:hint="eastAsia" w:ascii="MS UI Gothic" w:eastAsia="MS UI Gothic"/>
          <w:spacing w:val="-5"/>
          <w:w w:val="80"/>
        </w:rPr>
        <w:t xml:space="preserve">２ </w:t>
      </w:r>
      <w:r>
        <w:rPr>
          <w:spacing w:val="7"/>
          <w:w w:val="105"/>
        </w:rPr>
        <w:t>个及以上作业的</w:t>
      </w:r>
      <w:r>
        <w:rPr>
          <w:spacing w:val="3"/>
          <w:w w:val="105"/>
        </w:rPr>
        <w:t>掘进工作面供风</w:t>
      </w:r>
      <w:r>
        <w:rPr>
          <w:rFonts w:hint="eastAsia" w:ascii="MS UI Gothic" w:eastAsia="MS UI Gothic"/>
          <w:w w:val="80"/>
        </w:rPr>
        <w:t>ꎮ</w:t>
      </w:r>
    </w:p>
    <w:p>
      <w:pPr>
        <w:pStyle w:val="6"/>
        <w:spacing w:line="295" w:lineRule="auto"/>
        <w:ind w:left="440" w:right="1"/>
      </w:pPr>
      <w:r>
        <w:t>第一百六十五条 使用局部通风机通风的掘进工作面</w:t>
      </w:r>
      <w:r>
        <w:rPr>
          <w:rFonts w:hint="eastAsia" w:ascii="MS UI Gothic" w:eastAsia="MS UI Gothic"/>
          <w:w w:val="80"/>
        </w:rPr>
        <w:t xml:space="preserve">ꎬ </w:t>
      </w:r>
      <w:r>
        <w:t>不得停风</w:t>
      </w:r>
      <w:r>
        <w:rPr>
          <w:rFonts w:hint="eastAsia" w:ascii="MS UI Gothic" w:eastAsia="MS UI Gothic"/>
          <w:w w:val="80"/>
        </w:rPr>
        <w:t xml:space="preserve">ꎻ </w:t>
      </w:r>
      <w:r>
        <w:t>因检修</w:t>
      </w:r>
      <w:r>
        <w:rPr>
          <w:rFonts w:hint="eastAsia" w:ascii="MS UI Gothic" w:eastAsia="MS UI Gothic"/>
          <w:w w:val="80"/>
        </w:rPr>
        <w:t xml:space="preserve">、 </w:t>
      </w:r>
      <w:r>
        <w:t>停</w:t>
      </w:r>
    </w:p>
    <w:p>
      <w:pPr>
        <w:pStyle w:val="6"/>
        <w:spacing w:before="124" w:line="295" w:lineRule="auto"/>
        <w:ind w:left="381" w:right="126" w:firstLine="0"/>
        <w:rPr>
          <w:rFonts w:hint="eastAsia" w:ascii="MS UI Gothic" w:eastAsia="MS UI Gothic"/>
        </w:rPr>
      </w:pPr>
      <w:r>
        <w:br w:type="column"/>
      </w:r>
      <w:r>
        <w:rPr>
          <w:spacing w:val="3"/>
        </w:rPr>
        <w:t>电</w:t>
      </w:r>
      <w:r>
        <w:rPr>
          <w:rFonts w:hint="eastAsia" w:ascii="MS UI Gothic" w:eastAsia="MS UI Gothic"/>
          <w:spacing w:val="23"/>
        </w:rPr>
        <w:t xml:space="preserve">、 </w:t>
      </w:r>
      <w:r>
        <w:rPr>
          <w:spacing w:val="3"/>
        </w:rPr>
        <w:t>故障等原因停风时</w:t>
      </w:r>
      <w:r>
        <w:rPr>
          <w:rFonts w:hint="eastAsia" w:ascii="MS UI Gothic" w:eastAsia="MS UI Gothic"/>
          <w:spacing w:val="5"/>
          <w:w w:val="80"/>
        </w:rPr>
        <w:t xml:space="preserve">ꎬ </w:t>
      </w:r>
      <w:r>
        <w:rPr>
          <w:spacing w:val="2"/>
        </w:rPr>
        <w:t>必须将人员全部</w:t>
      </w:r>
      <w:r>
        <w:rPr>
          <w:spacing w:val="3"/>
        </w:rPr>
        <w:t>撤至全风压进风流处</w:t>
      </w:r>
      <w:r>
        <w:rPr>
          <w:rFonts w:hint="eastAsia" w:ascii="MS UI Gothic" w:eastAsia="MS UI Gothic"/>
          <w:spacing w:val="23"/>
          <w:w w:val="80"/>
        </w:rPr>
        <w:t xml:space="preserve">ꎬ </w:t>
      </w:r>
      <w:r>
        <w:rPr>
          <w:spacing w:val="3"/>
        </w:rPr>
        <w:t>切断电源</w:t>
      </w:r>
      <w:r>
        <w:rPr>
          <w:rFonts w:hint="eastAsia" w:ascii="MS UI Gothic" w:eastAsia="MS UI Gothic"/>
          <w:spacing w:val="23"/>
          <w:w w:val="80"/>
        </w:rPr>
        <w:t xml:space="preserve">ꎬ </w:t>
      </w:r>
      <w:r>
        <w:rPr>
          <w:spacing w:val="2"/>
        </w:rPr>
        <w:t>设置栅</w:t>
      </w:r>
      <w:r>
        <w:rPr>
          <w:spacing w:val="3"/>
        </w:rPr>
        <w:t>栏</w:t>
      </w:r>
      <w:r>
        <w:rPr>
          <w:rFonts w:hint="eastAsia" w:ascii="MS UI Gothic" w:eastAsia="MS UI Gothic"/>
          <w:spacing w:val="18"/>
        </w:rPr>
        <w:t xml:space="preserve">、 </w:t>
      </w:r>
      <w:r>
        <w:rPr>
          <w:spacing w:val="3"/>
        </w:rPr>
        <w:t>警示标志</w:t>
      </w:r>
      <w:r>
        <w:rPr>
          <w:rFonts w:hint="eastAsia" w:ascii="MS UI Gothic" w:eastAsia="MS UI Gothic"/>
          <w:w w:val="80"/>
        </w:rPr>
        <w:t xml:space="preserve">ꎬ </w:t>
      </w:r>
      <w:r>
        <w:rPr>
          <w:spacing w:val="3"/>
        </w:rPr>
        <w:t>禁止人员入内</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2"/>
          <w:w w:val="105"/>
        </w:rPr>
        <w:t>第一百六十六条 井下爆炸物品库必</w:t>
      </w:r>
      <w:r>
        <w:rPr>
          <w:spacing w:val="3"/>
        </w:rPr>
        <w:t>须有独立的通风系统</w:t>
      </w:r>
      <w:r>
        <w:rPr>
          <w:rFonts w:hint="eastAsia" w:ascii="MS UI Gothic" w:eastAsia="MS UI Gothic"/>
          <w:spacing w:val="19"/>
          <w:w w:val="80"/>
        </w:rPr>
        <w:t xml:space="preserve">ꎬ </w:t>
      </w:r>
      <w:r>
        <w:rPr>
          <w:spacing w:val="2"/>
        </w:rPr>
        <w:t>回风风流必须直接</w:t>
      </w:r>
      <w:r>
        <w:rPr>
          <w:spacing w:val="4"/>
        </w:rPr>
        <w:t>引入矿井的总回风巷或者主要回风巷中</w:t>
      </w:r>
      <w:r>
        <w:rPr>
          <w:rFonts w:hint="eastAsia" w:ascii="MS UI Gothic" w:eastAsia="MS UI Gothic"/>
          <w:w w:val="80"/>
        </w:rPr>
        <w:t>ꎮ</w:t>
      </w:r>
      <w:r>
        <w:rPr>
          <w:spacing w:val="3"/>
        </w:rPr>
        <w:t>新建矿井采用对角式通风系统时</w:t>
      </w:r>
      <w:r>
        <w:rPr>
          <w:rFonts w:hint="eastAsia" w:ascii="MS UI Gothic" w:eastAsia="MS UI Gothic"/>
          <w:spacing w:val="19"/>
          <w:w w:val="80"/>
        </w:rPr>
        <w:t xml:space="preserve">ꎬ </w:t>
      </w:r>
      <w:r>
        <w:rPr>
          <w:spacing w:val="2"/>
        </w:rPr>
        <w:t>投产初期可利用采区岩石上山或者用不燃性材料支护和不燃性背板背严的煤层上山作爆炸</w:t>
      </w:r>
      <w:r>
        <w:rPr>
          <w:spacing w:val="3"/>
        </w:rPr>
        <w:t>物品库的回风巷</w:t>
      </w:r>
      <w:r>
        <w:rPr>
          <w:rFonts w:hint="eastAsia" w:ascii="MS UI Gothic" w:eastAsia="MS UI Gothic"/>
          <w:spacing w:val="19"/>
          <w:w w:val="80"/>
        </w:rPr>
        <w:t xml:space="preserve">ꎮ </w:t>
      </w:r>
      <w:r>
        <w:rPr>
          <w:spacing w:val="2"/>
        </w:rPr>
        <w:t>必须保证爆炸物品库每</w:t>
      </w:r>
      <w:r>
        <w:rPr>
          <w:spacing w:val="-5"/>
          <w:w w:val="105"/>
        </w:rPr>
        <w:t xml:space="preserve">小时能有其总容积 </w:t>
      </w:r>
      <w:r>
        <w:rPr>
          <w:rFonts w:hint="eastAsia" w:ascii="MS UI Gothic" w:eastAsia="MS UI Gothic"/>
          <w:spacing w:val="1"/>
          <w:w w:val="80"/>
        </w:rPr>
        <w:t xml:space="preserve">４ </w:t>
      </w:r>
      <w:r>
        <w:rPr>
          <w:spacing w:val="3"/>
          <w:w w:val="105"/>
        </w:rPr>
        <w:t>倍的风量</w:t>
      </w:r>
      <w:r>
        <w:rPr>
          <w:rFonts w:hint="eastAsia" w:ascii="MS UI Gothic" w:eastAsia="MS UI Gothic"/>
          <w:w w:val="80"/>
        </w:rPr>
        <w:t>ꎮ</w:t>
      </w:r>
    </w:p>
    <w:p>
      <w:pPr>
        <w:pStyle w:val="6"/>
        <w:spacing w:line="295" w:lineRule="auto"/>
        <w:ind w:left="381" w:right="126"/>
        <w:rPr>
          <w:rFonts w:hint="eastAsia" w:ascii="MS UI Gothic" w:eastAsia="MS UI Gothic"/>
        </w:rPr>
      </w:pPr>
      <w:r>
        <w:t>第一百六十七条 井下充电室必须有独立的通风系统</w:t>
      </w:r>
      <w:r>
        <w:rPr>
          <w:rFonts w:hint="eastAsia" w:ascii="MS UI Gothic" w:eastAsia="MS UI Gothic"/>
          <w:w w:val="80"/>
        </w:rPr>
        <w:t xml:space="preserve">ꎬ </w:t>
      </w:r>
      <w:r>
        <w:t>回风风流应当引入回风巷</w:t>
      </w:r>
      <w:r>
        <w:rPr>
          <w:rFonts w:hint="eastAsia" w:ascii="MS UI Gothic" w:eastAsia="MS UI Gothic"/>
          <w:w w:val="80"/>
        </w:rPr>
        <w:t>ꎮ</w:t>
      </w:r>
    </w:p>
    <w:p>
      <w:pPr>
        <w:pStyle w:val="6"/>
        <w:spacing w:line="295" w:lineRule="auto"/>
        <w:ind w:left="381" w:right="126"/>
        <w:rPr>
          <w:rFonts w:hint="eastAsia" w:ascii="MS UI Gothic" w:eastAsia="MS UI Gothic"/>
        </w:rPr>
      </w:pPr>
      <w:r>
        <w:t>井下充电室</w:t>
      </w:r>
      <w:r>
        <w:rPr>
          <w:rFonts w:hint="eastAsia" w:ascii="MS UI Gothic" w:eastAsia="MS UI Gothic"/>
          <w:w w:val="80"/>
        </w:rPr>
        <w:t xml:space="preserve">ꎬ </w:t>
      </w:r>
      <w:r>
        <w:t>在同一时间内</w:t>
      </w:r>
      <w:r>
        <w:rPr>
          <w:rFonts w:hint="eastAsia" w:ascii="MS UI Gothic" w:eastAsia="MS UI Gothic"/>
          <w:w w:val="80"/>
        </w:rPr>
        <w:t xml:space="preserve">ꎬ </w:t>
      </w:r>
      <w:r>
        <w:rPr>
          <w:rFonts w:hint="eastAsia" w:ascii="MS UI Gothic" w:eastAsia="MS UI Gothic"/>
        </w:rPr>
        <w:t xml:space="preserve">５ ｔ </w:t>
      </w:r>
      <w:r>
        <w:t xml:space="preserve">及以下的电机车充电电池的数量不超过 </w:t>
      </w:r>
      <w:r>
        <w:rPr>
          <w:rFonts w:hint="eastAsia" w:ascii="MS UI Gothic" w:eastAsia="MS UI Gothic"/>
        </w:rPr>
        <w:t xml:space="preserve">３ </w:t>
      </w:r>
      <w:r>
        <w:t>组</w:t>
      </w:r>
      <w:r>
        <w:rPr>
          <w:rFonts w:hint="eastAsia" w:ascii="MS UI Gothic" w:eastAsia="MS UI Gothic"/>
        </w:rPr>
        <w:t xml:space="preserve">、 ５ ｔ </w:t>
      </w:r>
      <w:r>
        <w:t xml:space="preserve">以上的电机车充电电池的数量不超过 </w:t>
      </w:r>
      <w:r>
        <w:rPr>
          <w:rFonts w:hint="eastAsia" w:ascii="MS UI Gothic" w:eastAsia="MS UI Gothic"/>
        </w:rPr>
        <w:t xml:space="preserve">１ </w:t>
      </w:r>
      <w:r>
        <w:t>组时</w:t>
      </w:r>
      <w:r>
        <w:rPr>
          <w:rFonts w:hint="eastAsia" w:ascii="MS UI Gothic" w:eastAsia="MS UI Gothic"/>
          <w:w w:val="80"/>
        </w:rPr>
        <w:t xml:space="preserve">ꎬ </w:t>
      </w:r>
      <w:r>
        <w:t>可不采用独立通风</w:t>
      </w:r>
      <w:r>
        <w:rPr>
          <w:rFonts w:hint="eastAsia" w:ascii="MS UI Gothic" w:eastAsia="MS UI Gothic"/>
          <w:w w:val="80"/>
        </w:rPr>
        <w:t xml:space="preserve">ꎬ </w:t>
      </w:r>
      <w:r>
        <w:t>但必须在新鲜风流中</w:t>
      </w:r>
      <w:r>
        <w:rPr>
          <w:rFonts w:hint="eastAsia" w:ascii="MS UI Gothic" w:eastAsia="MS UI Gothic"/>
          <w:w w:val="80"/>
        </w:rPr>
        <w:t>ꎮ</w:t>
      </w:r>
    </w:p>
    <w:p>
      <w:pPr>
        <w:pStyle w:val="6"/>
        <w:spacing w:line="295" w:lineRule="auto"/>
        <w:ind w:left="381" w:right="126"/>
        <w:rPr>
          <w:rFonts w:hint="eastAsia" w:ascii="MS UI Gothic" w:eastAsia="MS UI Gothic"/>
        </w:rPr>
      </w:pPr>
      <w:r>
        <w:t>井下充电室风流中以及局部积聚处的氢气浓度</w:t>
      </w:r>
      <w:r>
        <w:rPr>
          <w:rFonts w:hint="eastAsia" w:ascii="MS UI Gothic" w:eastAsia="MS UI Gothic"/>
          <w:w w:val="85"/>
        </w:rPr>
        <w:t xml:space="preserve">ꎬ </w:t>
      </w:r>
      <w:r>
        <w:t xml:space="preserve">不得超过 </w:t>
      </w:r>
      <w:r>
        <w:rPr>
          <w:rFonts w:hint="eastAsia" w:ascii="MS UI Gothic" w:eastAsia="MS UI Gothic"/>
          <w:w w:val="85"/>
        </w:rPr>
        <w:t>０ ５</w:t>
      </w:r>
      <w:r>
        <w:rPr>
          <w:w w:val="85"/>
        </w:rPr>
        <w:t xml:space="preserve">％ </w:t>
      </w:r>
      <w:r>
        <w:rPr>
          <w:rFonts w:hint="eastAsia" w:ascii="MS UI Gothic" w:eastAsia="MS UI Gothic"/>
          <w:w w:val="85"/>
        </w:rPr>
        <w:t>ꎮ</w:t>
      </w:r>
    </w:p>
    <w:p>
      <w:pPr>
        <w:pStyle w:val="6"/>
        <w:spacing w:line="295" w:lineRule="auto"/>
        <w:ind w:left="381" w:right="126"/>
        <w:rPr>
          <w:rFonts w:hint="eastAsia" w:ascii="MS UI Gothic" w:eastAsia="MS UI Gothic"/>
        </w:rPr>
      </w:pPr>
      <w:r>
        <w:t>第一百六十八条 井下机电设备硐室必须设在进风风流中</w:t>
      </w:r>
      <w:r>
        <w:rPr>
          <w:rFonts w:hint="eastAsia" w:ascii="MS UI Gothic" w:eastAsia="MS UI Gothic"/>
          <w:w w:val="85"/>
        </w:rPr>
        <w:t xml:space="preserve">ꎻ </w:t>
      </w:r>
      <w:r>
        <w:t>采用扩散通风的硐室</w:t>
      </w:r>
      <w:r>
        <w:rPr>
          <w:rFonts w:hint="eastAsia" w:ascii="MS UI Gothic" w:eastAsia="MS UI Gothic"/>
          <w:w w:val="85"/>
        </w:rPr>
        <w:t xml:space="preserve">ꎬ </w:t>
      </w:r>
      <w:r>
        <w:t xml:space="preserve">其深度不得超过 </w:t>
      </w:r>
      <w:r>
        <w:rPr>
          <w:rFonts w:hint="eastAsia" w:ascii="MS UI Gothic" w:eastAsia="MS UI Gothic"/>
        </w:rPr>
        <w:t xml:space="preserve">６ ｍ、 </w:t>
      </w:r>
      <w:r>
        <w:t xml:space="preserve">入口宽度不得小于 </w:t>
      </w:r>
      <w:r>
        <w:rPr>
          <w:rFonts w:hint="eastAsia" w:ascii="MS UI Gothic" w:eastAsia="MS UI Gothic"/>
        </w:rPr>
        <w:t>１ ５ ｍ</w:t>
      </w:r>
      <w:r>
        <w:rPr>
          <w:rFonts w:hint="eastAsia" w:ascii="MS UI Gothic" w:eastAsia="MS UI Gothic"/>
          <w:w w:val="85"/>
        </w:rPr>
        <w:t xml:space="preserve">ꎬ </w:t>
      </w:r>
      <w:r>
        <w:t>并且无瓦斯涌出</w:t>
      </w:r>
      <w:r>
        <w:rPr>
          <w:rFonts w:hint="eastAsia" w:ascii="MS UI Gothic" w:eastAsia="MS UI Gothic"/>
          <w:w w:val="85"/>
        </w:rPr>
        <w:t>ꎮ</w:t>
      </w:r>
    </w:p>
    <w:p>
      <w:pPr>
        <w:pStyle w:val="6"/>
        <w:spacing w:line="295" w:lineRule="auto"/>
        <w:ind w:left="381" w:right="124"/>
        <w:jc w:val="left"/>
        <w:rPr>
          <w:rFonts w:hint="eastAsia" w:ascii="MS UI Gothic" w:eastAsia="MS UI Gothic"/>
        </w:rPr>
      </w:pPr>
      <w:r>
        <w:t>井下个别机电设备设在回风流中的</w:t>
      </w:r>
      <w:r>
        <w:rPr>
          <w:rFonts w:hint="eastAsia" w:ascii="MS UI Gothic" w:eastAsia="MS UI Gothic"/>
          <w:w w:val="80"/>
        </w:rPr>
        <w:t>ꎬ</w:t>
      </w:r>
      <w:r>
        <w:t>必须安装甲烷传感器并实现甲烷电闭锁</w:t>
      </w:r>
      <w:r>
        <w:rPr>
          <w:rFonts w:hint="eastAsia" w:ascii="MS UI Gothic" w:eastAsia="MS UI Gothic"/>
          <w:w w:val="80"/>
        </w:rPr>
        <w:t>ꎮ</w:t>
      </w:r>
    </w:p>
    <w:p>
      <w:pPr>
        <w:pStyle w:val="6"/>
        <w:spacing w:line="295" w:lineRule="auto"/>
        <w:ind w:left="381" w:right="126"/>
        <w:jc w:val="left"/>
        <w:rPr>
          <w:rFonts w:hint="eastAsia" w:ascii="MS UI Gothic" w:eastAsia="MS UI Gothic"/>
        </w:rPr>
      </w:pPr>
      <w:r>
        <w:t>采区变电所及实现采区变电所功能的</w:t>
      </w:r>
      <w:r>
        <w:rPr>
          <w:w w:val="105"/>
        </w:rPr>
        <w:t>中央变电所必须有独立的通风系统</w:t>
      </w:r>
      <w:r>
        <w:rPr>
          <w:rFonts w:hint="eastAsia" w:ascii="MS UI Gothic" w:eastAsia="MS UI Gothic"/>
          <w:w w:val="80"/>
        </w:rPr>
        <w:t>ꎮ</w:t>
      </w:r>
    </w:p>
    <w:p>
      <w:pPr>
        <w:pStyle w:val="6"/>
        <w:tabs>
          <w:tab w:val="left" w:pos="1638"/>
        </w:tabs>
        <w:spacing w:line="255" w:lineRule="exact"/>
        <w:ind w:left="800" w:firstLine="0"/>
        <w:jc w:val="left"/>
      </w:pPr>
      <w:r>
        <w:rPr>
          <w:spacing w:val="3"/>
          <w:w w:val="105"/>
        </w:rPr>
        <w:t>第二</w:t>
      </w:r>
      <w:r>
        <w:rPr>
          <w:w w:val="105"/>
        </w:rPr>
        <w:t>节</w:t>
      </w:r>
      <w:r>
        <w:rPr>
          <w:w w:val="105"/>
        </w:rPr>
        <w:tab/>
      </w:r>
      <w:r>
        <w:rPr>
          <w:spacing w:val="3"/>
          <w:w w:val="105"/>
        </w:rPr>
        <w:t>瓦斯防</w:t>
      </w:r>
      <w:r>
        <w:rPr>
          <w:w w:val="105"/>
        </w:rPr>
        <w:t>治</w:t>
      </w:r>
    </w:p>
    <w:p>
      <w:pPr>
        <w:pStyle w:val="6"/>
        <w:spacing w:before="37" w:line="295" w:lineRule="auto"/>
        <w:ind w:left="381" w:right="126"/>
        <w:rPr>
          <w:rFonts w:hint="eastAsia" w:ascii="MS UI Gothic" w:eastAsia="MS UI Gothic"/>
        </w:rPr>
      </w:pPr>
      <w:r>
        <w:rPr>
          <w:w w:val="105"/>
        </w:rPr>
        <w:t xml:space="preserve">第一百六十九条 一个矿井中只要有一个煤 </w:t>
      </w:r>
      <w:r>
        <w:rPr>
          <w:rFonts w:hint="eastAsia" w:ascii="MS UI Gothic" w:eastAsia="MS UI Gothic"/>
          <w:w w:val="150"/>
        </w:rPr>
        <w:t xml:space="preserve">( </w:t>
      </w:r>
      <w:r>
        <w:rPr>
          <w:w w:val="105"/>
        </w:rPr>
        <w:t>岩</w:t>
      </w:r>
      <w:r>
        <w:rPr>
          <w:rFonts w:hint="eastAsia" w:ascii="MS UI Gothic" w:eastAsia="MS UI Gothic"/>
          <w:w w:val="150"/>
        </w:rPr>
        <w:t xml:space="preserve">) </w:t>
      </w:r>
      <w:r>
        <w:rPr>
          <w:w w:val="105"/>
        </w:rPr>
        <w:t>层发现瓦斯</w:t>
      </w:r>
      <w:r>
        <w:rPr>
          <w:rFonts w:hint="eastAsia" w:ascii="MS UI Gothic" w:eastAsia="MS UI Gothic"/>
          <w:w w:val="80"/>
        </w:rPr>
        <w:t xml:space="preserve">ꎬ </w:t>
      </w:r>
      <w:r>
        <w:rPr>
          <w:w w:val="105"/>
        </w:rPr>
        <w:t>该矿井即为</w:t>
      </w:r>
      <w:r>
        <w:t>瓦斯矿井</w:t>
      </w:r>
      <w:r>
        <w:rPr>
          <w:rFonts w:hint="eastAsia" w:ascii="MS UI Gothic" w:eastAsia="MS UI Gothic"/>
          <w:w w:val="80"/>
        </w:rPr>
        <w:t xml:space="preserve">ꎮ </w:t>
      </w:r>
      <w:r>
        <w:t>瓦斯矿井必须依照矿井瓦斯等</w:t>
      </w:r>
      <w:r>
        <w:rPr>
          <w:w w:val="105"/>
        </w:rPr>
        <w:t>级进行管理</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根据矿井相对瓦斯涌出量</w:t>
      </w:r>
      <w:r>
        <w:rPr>
          <w:rFonts w:hint="eastAsia" w:ascii="MS UI Gothic" w:eastAsia="MS UI Gothic"/>
          <w:w w:val="80"/>
        </w:rPr>
        <w:t xml:space="preserve">、 </w:t>
      </w:r>
      <w:r>
        <w:rPr>
          <w:w w:val="105"/>
        </w:rPr>
        <w:t>矿井绝对瓦斯涌出量</w:t>
      </w:r>
      <w:r>
        <w:rPr>
          <w:rFonts w:hint="eastAsia" w:ascii="MS UI Gothic" w:eastAsia="MS UI Gothic"/>
          <w:w w:val="80"/>
        </w:rPr>
        <w:t xml:space="preserve">、 </w:t>
      </w:r>
      <w:r>
        <w:rPr>
          <w:w w:val="105"/>
        </w:rPr>
        <w:t>工作面绝对瓦斯涌出量和瓦斯涌出形式</w:t>
      </w:r>
      <w:r>
        <w:rPr>
          <w:rFonts w:hint="eastAsia" w:ascii="MS UI Gothic" w:eastAsia="MS UI Gothic"/>
          <w:w w:val="80"/>
        </w:rPr>
        <w:t xml:space="preserve">ꎬ </w:t>
      </w:r>
      <w:r>
        <w:rPr>
          <w:w w:val="105"/>
        </w:rPr>
        <w:t>矿井瓦斯等级划分为</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10"/>
        </w:rPr>
        <w:t xml:space="preserve">( </w:t>
      </w:r>
      <w:r>
        <w:rPr>
          <w:w w:val="110"/>
        </w:rPr>
        <w:t>一</w:t>
      </w:r>
      <w:r>
        <w:rPr>
          <w:rFonts w:hint="eastAsia" w:ascii="MS UI Gothic" w:eastAsia="MS UI Gothic"/>
          <w:w w:val="110"/>
        </w:rPr>
        <w:t xml:space="preserve">) </w:t>
      </w:r>
      <w:r>
        <w:rPr>
          <w:w w:val="110"/>
        </w:rPr>
        <w:t>低瓦斯矿井</w:t>
      </w:r>
      <w:r>
        <w:rPr>
          <w:rFonts w:hint="eastAsia" w:ascii="MS UI Gothic" w:eastAsia="MS UI Gothic"/>
          <w:w w:val="80"/>
        </w:rPr>
        <w:t xml:space="preserve">ꎮ </w:t>
      </w:r>
      <w:r>
        <w:rPr>
          <w:w w:val="110"/>
        </w:rPr>
        <w:t>同时满足下列条</w:t>
      </w:r>
      <w:r>
        <w:rPr>
          <w:w w:val="115"/>
        </w:rPr>
        <w:t>件的为低瓦斯矿井</w:t>
      </w:r>
      <w:r>
        <w:rPr>
          <w:rFonts w:hint="eastAsia" w:ascii="MS UI Gothic" w:eastAsia="MS UI Gothic"/>
          <w:w w:val="235"/>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２６４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18" o:spid="_x0000_s1818" o:spt="203" style="height:2.15pt;width:398.25pt;" coordsize="7965,43">
            <o:lock v:ext="edit"/>
            <v:line id="_x0000_s1819" o:spid="_x0000_s1819" o:spt="20" style="position:absolute;left:0;top:39;height:0;width:7965;" stroked="t" coordsize="21600,21600">
              <v:path arrowok="t"/>
              <v:fill focussize="0,0"/>
              <v:stroke weight="0.388031496062992pt" color="#231F20"/>
              <v:imagedata o:title=""/>
              <o:lock v:ext="edit"/>
            </v:line>
            <v:line id="_x0000_s1820" o:spid="_x0000_s182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13"/>
        <w:ind w:left="538" w:firstLine="0"/>
        <w:rPr>
          <w:rFonts w:hint="eastAsia" w:ascii="MS UI Gothic" w:eastAsia="MS UI Gothic"/>
        </w:rPr>
      </w:pPr>
      <w:r>
        <w:rPr>
          <w:rFonts w:hint="eastAsia" w:ascii="MS UI Gothic" w:eastAsia="MS UI Gothic"/>
          <w:w w:val="80"/>
        </w:rPr>
        <w:t xml:space="preserve">１ </w:t>
      </w:r>
      <w:r>
        <w:rPr>
          <w:spacing w:val="-11"/>
        </w:rPr>
        <w:t>矿井相对瓦斯涌出量不大于</w:t>
      </w:r>
      <w:r>
        <w:rPr>
          <w:rFonts w:hint="eastAsia" w:ascii="MS UI Gothic" w:eastAsia="MS UI Gothic"/>
          <w:spacing w:val="-6"/>
          <w:w w:val="80"/>
        </w:rPr>
        <w:t xml:space="preserve">１０ </w:t>
      </w:r>
      <w:r>
        <w:rPr>
          <w:rFonts w:hint="eastAsia" w:ascii="MS UI Gothic" w:eastAsia="MS UI Gothic"/>
          <w:spacing w:val="-4"/>
          <w:w w:val="80"/>
        </w:rPr>
        <w:t>ｍ</w:t>
      </w:r>
      <w:r>
        <w:rPr>
          <w:rFonts w:hint="eastAsia" w:ascii="MS UI Gothic" w:eastAsia="MS UI Gothic"/>
          <w:spacing w:val="-3"/>
          <w:w w:val="80"/>
          <w:position w:val="9"/>
          <w:sz w:val="12"/>
        </w:rPr>
        <w:t xml:space="preserve">３ </w:t>
      </w:r>
      <w:r>
        <w:rPr>
          <w:rFonts w:hint="eastAsia" w:ascii="MS UI Gothic" w:eastAsia="MS UI Gothic"/>
          <w:w w:val="70"/>
        </w:rPr>
        <w:t xml:space="preserve">/ </w:t>
      </w:r>
      <w:r>
        <w:rPr>
          <w:rFonts w:hint="eastAsia" w:ascii="MS UI Gothic" w:eastAsia="MS UI Gothic"/>
          <w:w w:val="80"/>
        </w:rPr>
        <w:t>ｔꎻ</w:t>
      </w:r>
    </w:p>
    <w:p>
      <w:pPr>
        <w:pStyle w:val="6"/>
        <w:spacing w:before="58" w:line="285" w:lineRule="auto"/>
        <w:ind w:right="51" w:firstLine="413"/>
        <w:jc w:val="left"/>
        <w:rPr>
          <w:rFonts w:hint="eastAsia" w:ascii="MS UI Gothic" w:eastAsia="MS UI Gothic"/>
        </w:rPr>
      </w:pPr>
      <w:r>
        <w:rPr>
          <w:rFonts w:hint="eastAsia" w:ascii="MS UI Gothic" w:eastAsia="MS UI Gothic"/>
        </w:rPr>
        <w:t>２</w:t>
      </w:r>
      <w:r>
        <w:rPr>
          <w:rFonts w:hint="eastAsia" w:ascii="MS UI Gothic" w:eastAsia="MS UI Gothic"/>
          <w:spacing w:val="51"/>
        </w:rPr>
        <w:t xml:space="preserve"> </w:t>
      </w:r>
      <w:r>
        <w:rPr>
          <w:spacing w:val="-17"/>
        </w:rPr>
        <w:t>矿 井 绝 对 瓦 斯 涌 出 量 不 大</w:t>
      </w:r>
      <w:r>
        <w:rPr>
          <w:spacing w:val="9"/>
        </w:rPr>
        <w:t>于</w:t>
      </w:r>
      <w:r>
        <w:rPr>
          <w:rFonts w:hint="eastAsia" w:ascii="MS UI Gothic" w:eastAsia="MS UI Gothic"/>
          <w:spacing w:val="9"/>
        </w:rPr>
        <w:t xml:space="preserve">４０ </w:t>
      </w:r>
      <w:r>
        <w:rPr>
          <w:rFonts w:hint="eastAsia" w:ascii="MS UI Gothic" w:eastAsia="MS UI Gothic"/>
          <w:spacing w:val="7"/>
        </w:rPr>
        <w:t>ｍ</w:t>
      </w:r>
      <w:r>
        <w:rPr>
          <w:rFonts w:hint="eastAsia" w:ascii="MS UI Gothic" w:eastAsia="MS UI Gothic"/>
          <w:spacing w:val="7"/>
          <w:position w:val="9"/>
          <w:sz w:val="12"/>
        </w:rPr>
        <w:t xml:space="preserve">３ </w:t>
      </w:r>
      <w:r>
        <w:rPr>
          <w:rFonts w:hint="eastAsia" w:ascii="MS UI Gothic" w:eastAsia="MS UI Gothic"/>
          <w:w w:val="75"/>
        </w:rPr>
        <w:t xml:space="preserve">/ </w:t>
      </w:r>
      <w:r>
        <w:rPr>
          <w:rFonts w:hint="eastAsia" w:ascii="MS UI Gothic" w:eastAsia="MS UI Gothic"/>
          <w:spacing w:val="6"/>
        </w:rPr>
        <w:t>ｍｉｎ</w:t>
      </w:r>
      <w:r>
        <w:rPr>
          <w:rFonts w:hint="eastAsia" w:ascii="MS UI Gothic" w:eastAsia="MS UI Gothic"/>
          <w:w w:val="75"/>
        </w:rPr>
        <w:t>ꎻ</w:t>
      </w:r>
    </w:p>
    <w:p>
      <w:pPr>
        <w:pStyle w:val="6"/>
        <w:spacing w:before="9" w:line="285" w:lineRule="auto"/>
        <w:ind w:right="39" w:firstLine="413"/>
        <w:jc w:val="left"/>
        <w:rPr>
          <w:rFonts w:hint="eastAsia" w:ascii="MS UI Gothic" w:eastAsia="MS UI Gothic"/>
        </w:rPr>
      </w:pPr>
      <w:r>
        <w:rPr>
          <w:rFonts w:hint="eastAsia" w:ascii="MS UI Gothic" w:eastAsia="MS UI Gothic"/>
        </w:rPr>
        <w:t>３</w:t>
      </w:r>
      <w:r>
        <w:rPr>
          <w:rFonts w:hint="eastAsia" w:ascii="MS UI Gothic" w:eastAsia="MS UI Gothic"/>
          <w:spacing w:val="18"/>
        </w:rPr>
        <w:t xml:space="preserve"> </w:t>
      </w:r>
      <w:r>
        <w:rPr>
          <w:spacing w:val="12"/>
        </w:rPr>
        <w:t>矿井任一掘进工作面绝对瓦斯涌</w:t>
      </w:r>
      <w:r>
        <w:rPr>
          <w:spacing w:val="-8"/>
        </w:rPr>
        <w:t xml:space="preserve">出量不大于 </w:t>
      </w:r>
      <w:r>
        <w:rPr>
          <w:rFonts w:hint="eastAsia" w:ascii="MS UI Gothic" w:eastAsia="MS UI Gothic"/>
          <w:spacing w:val="3"/>
        </w:rPr>
        <w:t>３ ｍ</w:t>
      </w:r>
      <w:r>
        <w:rPr>
          <w:rFonts w:hint="eastAsia" w:ascii="MS UI Gothic" w:eastAsia="MS UI Gothic"/>
          <w:spacing w:val="3"/>
          <w:position w:val="9"/>
          <w:sz w:val="12"/>
        </w:rPr>
        <w:t xml:space="preserve">３ </w:t>
      </w:r>
      <w:r>
        <w:rPr>
          <w:rFonts w:hint="eastAsia" w:ascii="MS UI Gothic" w:eastAsia="MS UI Gothic"/>
          <w:w w:val="75"/>
        </w:rPr>
        <w:t>/</w:t>
      </w:r>
      <w:r>
        <w:rPr>
          <w:rFonts w:hint="eastAsia" w:ascii="MS UI Gothic" w:eastAsia="MS UI Gothic"/>
          <w:spacing w:val="-6"/>
          <w:w w:val="75"/>
        </w:rPr>
        <w:t xml:space="preserve"> </w:t>
      </w:r>
      <w:r>
        <w:rPr>
          <w:rFonts w:hint="eastAsia" w:ascii="MS UI Gothic" w:eastAsia="MS UI Gothic"/>
        </w:rPr>
        <w:t>ｍｉｎ</w:t>
      </w:r>
      <w:r>
        <w:rPr>
          <w:rFonts w:hint="eastAsia" w:ascii="MS UI Gothic" w:eastAsia="MS UI Gothic"/>
          <w:w w:val="75"/>
        </w:rPr>
        <w:t>ꎻ</w:t>
      </w:r>
    </w:p>
    <w:p>
      <w:pPr>
        <w:pStyle w:val="6"/>
        <w:spacing w:before="9" w:line="285" w:lineRule="auto"/>
        <w:ind w:right="39" w:firstLine="413"/>
        <w:jc w:val="left"/>
        <w:rPr>
          <w:rFonts w:hint="eastAsia" w:ascii="MS UI Gothic" w:eastAsia="MS UI Gothic"/>
        </w:rPr>
      </w:pPr>
      <w:r>
        <w:rPr>
          <w:rFonts w:hint="eastAsia" w:ascii="MS UI Gothic" w:eastAsia="MS UI Gothic"/>
        </w:rPr>
        <w:t>４</w:t>
      </w:r>
      <w:r>
        <w:rPr>
          <w:rFonts w:hint="eastAsia" w:ascii="MS UI Gothic" w:eastAsia="MS UI Gothic"/>
          <w:spacing w:val="18"/>
        </w:rPr>
        <w:t xml:space="preserve"> </w:t>
      </w:r>
      <w:r>
        <w:rPr>
          <w:spacing w:val="12"/>
        </w:rPr>
        <w:t>矿井任一采煤工作面绝对瓦斯涌</w:t>
      </w:r>
      <w:r>
        <w:rPr>
          <w:spacing w:val="-8"/>
        </w:rPr>
        <w:t xml:space="preserve">出量不大于 </w:t>
      </w:r>
      <w:r>
        <w:rPr>
          <w:rFonts w:hint="eastAsia" w:ascii="MS UI Gothic" w:eastAsia="MS UI Gothic"/>
          <w:spacing w:val="3"/>
        </w:rPr>
        <w:t>５ ｍ</w:t>
      </w:r>
      <w:r>
        <w:rPr>
          <w:rFonts w:hint="eastAsia" w:ascii="MS UI Gothic" w:eastAsia="MS UI Gothic"/>
          <w:spacing w:val="3"/>
          <w:position w:val="9"/>
          <w:sz w:val="12"/>
        </w:rPr>
        <w:t xml:space="preserve">３ </w:t>
      </w:r>
      <w:r>
        <w:rPr>
          <w:rFonts w:hint="eastAsia" w:ascii="MS UI Gothic" w:eastAsia="MS UI Gothic"/>
          <w:w w:val="75"/>
        </w:rPr>
        <w:t>/</w:t>
      </w:r>
      <w:r>
        <w:rPr>
          <w:rFonts w:hint="eastAsia" w:ascii="MS UI Gothic" w:eastAsia="MS UI Gothic"/>
          <w:spacing w:val="-6"/>
          <w:w w:val="75"/>
        </w:rPr>
        <w:t xml:space="preserve"> </w:t>
      </w:r>
      <w:r>
        <w:rPr>
          <w:rFonts w:hint="eastAsia" w:ascii="MS UI Gothic" w:eastAsia="MS UI Gothic"/>
        </w:rPr>
        <w:t>ｍｉｎ</w:t>
      </w:r>
      <w:r>
        <w:rPr>
          <w:rFonts w:hint="eastAsia" w:ascii="MS UI Gothic" w:eastAsia="MS UI Gothic"/>
          <w:w w:val="75"/>
        </w:rPr>
        <w:t>ꎮ</w:t>
      </w:r>
    </w:p>
    <w:p>
      <w:pPr>
        <w:pStyle w:val="6"/>
        <w:spacing w:before="9" w:line="295" w:lineRule="auto"/>
        <w:ind w:right="39"/>
        <w:jc w:val="left"/>
        <w:rPr>
          <w:rFonts w:hint="eastAsia" w:ascii="MS UI Gothic" w:eastAsia="MS UI Gothic"/>
        </w:rPr>
      </w:pPr>
      <w:r>
        <w:rPr>
          <w:rFonts w:hint="eastAsia" w:ascii="MS UI Gothic" w:eastAsia="MS UI Gothic"/>
          <w:w w:val="110"/>
        </w:rPr>
        <w:t xml:space="preserve">( </w:t>
      </w:r>
      <w:r>
        <w:rPr>
          <w:w w:val="110"/>
        </w:rPr>
        <w:t>二</w:t>
      </w:r>
      <w:r>
        <w:rPr>
          <w:rFonts w:hint="eastAsia" w:ascii="MS UI Gothic" w:eastAsia="MS UI Gothic"/>
          <w:w w:val="110"/>
        </w:rPr>
        <w:t xml:space="preserve">) </w:t>
      </w:r>
      <w:r>
        <w:rPr>
          <w:w w:val="110"/>
        </w:rPr>
        <w:t>高瓦斯矿井</w:t>
      </w:r>
      <w:r>
        <w:rPr>
          <w:rFonts w:hint="eastAsia" w:ascii="MS UI Gothic" w:eastAsia="MS UI Gothic"/>
          <w:w w:val="80"/>
        </w:rPr>
        <w:t xml:space="preserve">ꎮ </w:t>
      </w:r>
      <w:r>
        <w:rPr>
          <w:w w:val="110"/>
        </w:rPr>
        <w:t>具备下列条件之</w:t>
      </w:r>
      <w:r>
        <w:rPr>
          <w:w w:val="115"/>
        </w:rPr>
        <w:t>一的为高瓦斯矿井</w:t>
      </w:r>
      <w:r>
        <w:rPr>
          <w:rFonts w:hint="eastAsia" w:ascii="MS UI Gothic" w:eastAsia="MS UI Gothic"/>
          <w:w w:val="235"/>
        </w:rPr>
        <w:t>:</w:t>
      </w:r>
    </w:p>
    <w:p>
      <w:pPr>
        <w:pStyle w:val="6"/>
        <w:spacing w:line="255" w:lineRule="exact"/>
        <w:ind w:left="538" w:firstLine="0"/>
        <w:jc w:val="left"/>
        <w:rPr>
          <w:rFonts w:hint="eastAsia" w:ascii="MS UI Gothic" w:eastAsia="MS UI Gothic"/>
        </w:rPr>
      </w:pPr>
      <w:r>
        <w:rPr>
          <w:rFonts w:hint="eastAsia" w:ascii="MS UI Gothic" w:eastAsia="MS UI Gothic"/>
          <w:w w:val="80"/>
        </w:rPr>
        <w:t xml:space="preserve">１ </w:t>
      </w:r>
      <w:r>
        <w:t xml:space="preserve">矿井相对瓦斯涌出量大于 </w:t>
      </w:r>
      <w:r>
        <w:rPr>
          <w:rFonts w:hint="eastAsia" w:ascii="MS UI Gothic" w:eastAsia="MS UI Gothic"/>
          <w:w w:val="80"/>
        </w:rPr>
        <w:t>１０ ｍ</w:t>
      </w:r>
      <w:r>
        <w:rPr>
          <w:rFonts w:hint="eastAsia" w:ascii="MS UI Gothic" w:eastAsia="MS UI Gothic"/>
          <w:w w:val="80"/>
          <w:position w:val="9"/>
          <w:sz w:val="12"/>
        </w:rPr>
        <w:t xml:space="preserve">３ </w:t>
      </w:r>
      <w:r>
        <w:rPr>
          <w:rFonts w:hint="eastAsia" w:ascii="MS UI Gothic" w:eastAsia="MS UI Gothic"/>
          <w:w w:val="70"/>
        </w:rPr>
        <w:t xml:space="preserve">/ </w:t>
      </w:r>
      <w:r>
        <w:rPr>
          <w:rFonts w:hint="eastAsia" w:ascii="MS UI Gothic" w:eastAsia="MS UI Gothic"/>
          <w:w w:val="80"/>
        </w:rPr>
        <w:t>ｔꎻ</w:t>
      </w:r>
    </w:p>
    <w:p>
      <w:pPr>
        <w:pStyle w:val="6"/>
        <w:tabs>
          <w:tab w:val="left" w:pos="918"/>
        </w:tabs>
        <w:spacing w:before="58" w:line="285" w:lineRule="auto"/>
        <w:ind w:right="39" w:firstLine="413"/>
        <w:jc w:val="left"/>
        <w:rPr>
          <w:rFonts w:hint="eastAsia" w:ascii="MS UI Gothic" w:eastAsia="MS UI Gothic"/>
        </w:rPr>
      </w:pPr>
      <w:r>
        <w:rPr>
          <w:rFonts w:hint="eastAsia" w:ascii="MS UI Gothic" w:eastAsia="MS UI Gothic"/>
        </w:rPr>
        <w:t>２</w:t>
      </w:r>
      <w:r>
        <w:rPr>
          <w:rFonts w:hint="eastAsia" w:ascii="MS UI Gothic" w:eastAsia="MS UI Gothic"/>
        </w:rPr>
        <w:tab/>
      </w:r>
      <w:r>
        <w:rPr>
          <w:spacing w:val="2"/>
        </w:rPr>
        <w:t>矿 井 绝 对 瓦 斯 涌 出 量 大于</w:t>
      </w:r>
      <w:r>
        <w:rPr>
          <w:rFonts w:hint="eastAsia" w:ascii="MS UI Gothic" w:eastAsia="MS UI Gothic"/>
          <w:spacing w:val="3"/>
        </w:rPr>
        <w:t>４０ ｍ</w:t>
      </w:r>
      <w:r>
        <w:rPr>
          <w:rFonts w:hint="eastAsia" w:ascii="MS UI Gothic" w:eastAsia="MS UI Gothic"/>
          <w:spacing w:val="3"/>
          <w:position w:val="9"/>
          <w:sz w:val="12"/>
        </w:rPr>
        <w:t xml:space="preserve">３ </w:t>
      </w:r>
      <w:r>
        <w:rPr>
          <w:rFonts w:hint="eastAsia" w:ascii="MS UI Gothic" w:eastAsia="MS UI Gothic"/>
          <w:w w:val="75"/>
        </w:rPr>
        <w:t>/</w:t>
      </w:r>
      <w:r>
        <w:rPr>
          <w:rFonts w:hint="eastAsia" w:ascii="MS UI Gothic" w:eastAsia="MS UI Gothic"/>
          <w:spacing w:val="-5"/>
          <w:w w:val="75"/>
        </w:rPr>
        <w:t xml:space="preserve"> </w:t>
      </w:r>
      <w:r>
        <w:rPr>
          <w:rFonts w:hint="eastAsia" w:ascii="MS UI Gothic" w:eastAsia="MS UI Gothic"/>
        </w:rPr>
        <w:t>ｍｉｎ</w:t>
      </w:r>
      <w:r>
        <w:rPr>
          <w:rFonts w:hint="eastAsia" w:ascii="MS UI Gothic" w:eastAsia="MS UI Gothic"/>
          <w:w w:val="75"/>
        </w:rPr>
        <w:t>ꎻ</w:t>
      </w:r>
    </w:p>
    <w:p>
      <w:pPr>
        <w:pStyle w:val="6"/>
        <w:spacing w:before="9" w:line="285" w:lineRule="auto"/>
        <w:ind w:right="39" w:firstLine="413"/>
        <w:rPr>
          <w:rFonts w:hint="eastAsia" w:ascii="MS UI Gothic" w:eastAsia="MS UI Gothic"/>
        </w:rPr>
      </w:pPr>
      <w:r>
        <w:rPr>
          <w:rFonts w:hint="eastAsia" w:ascii="MS UI Gothic" w:eastAsia="MS UI Gothic"/>
        </w:rPr>
        <w:t>３</w:t>
      </w:r>
      <w:r>
        <w:rPr>
          <w:rFonts w:hint="eastAsia" w:ascii="MS UI Gothic" w:eastAsia="MS UI Gothic"/>
          <w:spacing w:val="18"/>
        </w:rPr>
        <w:t xml:space="preserve"> </w:t>
      </w:r>
      <w:r>
        <w:rPr>
          <w:spacing w:val="12"/>
        </w:rPr>
        <w:t>矿井任一掘进工作面绝对瓦斯涌</w:t>
      </w:r>
      <w:r>
        <w:rPr>
          <w:spacing w:val="-10"/>
        </w:rPr>
        <w:t xml:space="preserve">出量大于 </w:t>
      </w:r>
      <w:r>
        <w:rPr>
          <w:rFonts w:hint="eastAsia" w:ascii="MS UI Gothic" w:eastAsia="MS UI Gothic"/>
          <w:spacing w:val="3"/>
        </w:rPr>
        <w:t>３ ｍ</w:t>
      </w:r>
      <w:r>
        <w:rPr>
          <w:rFonts w:hint="eastAsia" w:ascii="MS UI Gothic" w:eastAsia="MS UI Gothic"/>
          <w:spacing w:val="3"/>
          <w:position w:val="9"/>
          <w:sz w:val="12"/>
        </w:rPr>
        <w:t xml:space="preserve">３ </w:t>
      </w:r>
      <w:r>
        <w:rPr>
          <w:rFonts w:hint="eastAsia" w:ascii="MS UI Gothic" w:eastAsia="MS UI Gothic"/>
          <w:w w:val="75"/>
        </w:rPr>
        <w:t>/</w:t>
      </w:r>
      <w:r>
        <w:rPr>
          <w:rFonts w:hint="eastAsia" w:ascii="MS UI Gothic" w:eastAsia="MS UI Gothic"/>
          <w:spacing w:val="-5"/>
          <w:w w:val="75"/>
        </w:rPr>
        <w:t xml:space="preserve"> </w:t>
      </w:r>
      <w:r>
        <w:rPr>
          <w:rFonts w:hint="eastAsia" w:ascii="MS UI Gothic" w:eastAsia="MS UI Gothic"/>
        </w:rPr>
        <w:t>ｍｉｎ</w:t>
      </w:r>
      <w:r>
        <w:rPr>
          <w:rFonts w:hint="eastAsia" w:ascii="MS UI Gothic" w:eastAsia="MS UI Gothic"/>
          <w:w w:val="75"/>
        </w:rPr>
        <w:t>ꎻ</w:t>
      </w:r>
    </w:p>
    <w:p>
      <w:pPr>
        <w:pStyle w:val="6"/>
        <w:spacing w:before="9" w:line="285" w:lineRule="auto"/>
        <w:ind w:right="39" w:firstLine="413"/>
        <w:rPr>
          <w:rFonts w:hint="eastAsia" w:ascii="MS UI Gothic" w:eastAsia="MS UI Gothic"/>
        </w:rPr>
      </w:pPr>
      <w:r>
        <w:rPr>
          <w:rFonts w:hint="eastAsia" w:ascii="MS UI Gothic" w:eastAsia="MS UI Gothic"/>
        </w:rPr>
        <w:t>４</w:t>
      </w:r>
      <w:r>
        <w:rPr>
          <w:rFonts w:hint="eastAsia" w:ascii="MS UI Gothic" w:eastAsia="MS UI Gothic"/>
          <w:spacing w:val="38"/>
        </w:rPr>
        <w:t xml:space="preserve"> </w:t>
      </w:r>
      <w:r>
        <w:rPr>
          <w:spacing w:val="10"/>
        </w:rPr>
        <w:t>矿井任一采煤工作面绝对瓦斯涌</w:t>
      </w:r>
      <w:r>
        <w:rPr>
          <w:spacing w:val="-10"/>
        </w:rPr>
        <w:t xml:space="preserve">出量大于 </w:t>
      </w:r>
      <w:r>
        <w:rPr>
          <w:rFonts w:hint="eastAsia" w:ascii="MS UI Gothic" w:eastAsia="MS UI Gothic"/>
          <w:spacing w:val="3"/>
        </w:rPr>
        <w:t>５ ｍ</w:t>
      </w:r>
      <w:r>
        <w:rPr>
          <w:rFonts w:hint="eastAsia" w:ascii="MS UI Gothic" w:eastAsia="MS UI Gothic"/>
          <w:spacing w:val="3"/>
          <w:position w:val="9"/>
          <w:sz w:val="12"/>
        </w:rPr>
        <w:t xml:space="preserve">３ </w:t>
      </w:r>
      <w:r>
        <w:rPr>
          <w:rFonts w:hint="eastAsia" w:ascii="MS UI Gothic" w:eastAsia="MS UI Gothic"/>
          <w:w w:val="75"/>
        </w:rPr>
        <w:t>/</w:t>
      </w:r>
      <w:r>
        <w:rPr>
          <w:rFonts w:hint="eastAsia" w:ascii="MS UI Gothic" w:eastAsia="MS UI Gothic"/>
          <w:spacing w:val="-5"/>
          <w:w w:val="75"/>
        </w:rPr>
        <w:t xml:space="preserve"> </w:t>
      </w:r>
      <w:r>
        <w:rPr>
          <w:rFonts w:hint="eastAsia" w:ascii="MS UI Gothic" w:eastAsia="MS UI Gothic"/>
        </w:rPr>
        <w:t>ｍｉｎ</w:t>
      </w:r>
      <w:r>
        <w:rPr>
          <w:rFonts w:hint="eastAsia" w:ascii="MS UI Gothic" w:eastAsia="MS UI Gothic"/>
          <w:w w:val="75"/>
        </w:rPr>
        <w:t>ꎮ</w:t>
      </w:r>
    </w:p>
    <w:p>
      <w:pPr>
        <w:pStyle w:val="6"/>
        <w:spacing w:before="9"/>
        <w:ind w:left="543" w:firstLine="0"/>
        <w:rPr>
          <w:rFonts w:hint="eastAsia" w:ascii="MS UI Gothic" w:eastAsia="MS UI Gothic"/>
        </w:rPr>
      </w:pPr>
      <w:r>
        <w:rPr>
          <w:rFonts w:hint="eastAsia" w:ascii="MS UI Gothic" w:eastAsia="MS UI Gothic"/>
          <w:w w:val="150"/>
        </w:rPr>
        <w:t xml:space="preserve">( </w:t>
      </w:r>
      <w:r>
        <w:rPr>
          <w:w w:val="115"/>
        </w:rPr>
        <w:t>三</w:t>
      </w:r>
      <w:r>
        <w:rPr>
          <w:rFonts w:hint="eastAsia" w:ascii="MS UI Gothic" w:eastAsia="MS UI Gothic"/>
          <w:w w:val="150"/>
        </w:rPr>
        <w:t xml:space="preserve">) </w:t>
      </w:r>
      <w:r>
        <w:rPr>
          <w:w w:val="115"/>
        </w:rPr>
        <w:t>突出矿井</w:t>
      </w:r>
      <w:r>
        <w:rPr>
          <w:rFonts w:hint="eastAsia" w:ascii="MS UI Gothic" w:eastAsia="MS UI Gothic"/>
          <w:w w:val="80"/>
        </w:rPr>
        <w:t>ꎮ</w:t>
      </w:r>
    </w:p>
    <w:p>
      <w:pPr>
        <w:pStyle w:val="6"/>
        <w:spacing w:before="58" w:line="295" w:lineRule="auto"/>
        <w:ind w:right="38"/>
        <w:rPr>
          <w:rFonts w:hint="eastAsia" w:ascii="MS UI Gothic" w:eastAsia="MS UI Gothic"/>
        </w:rPr>
      </w:pPr>
      <w:r>
        <w:rPr>
          <w:w w:val="105"/>
        </w:rPr>
        <w:t xml:space="preserve">第一百七十条 每 </w:t>
      </w:r>
      <w:r>
        <w:rPr>
          <w:rFonts w:hint="eastAsia" w:ascii="MS UI Gothic" w:eastAsia="MS UI Gothic"/>
          <w:w w:val="80"/>
        </w:rPr>
        <w:t xml:space="preserve">２ </w:t>
      </w:r>
      <w:r>
        <w:rPr>
          <w:w w:val="105"/>
        </w:rPr>
        <w:t>年必须对低瓦斯</w:t>
      </w:r>
      <w:r>
        <w:t>矿井进行瓦斯等级和二氧化碳涌出量的鉴定工作</w:t>
      </w:r>
      <w:r>
        <w:rPr>
          <w:rFonts w:hint="eastAsia" w:ascii="MS UI Gothic" w:eastAsia="MS UI Gothic"/>
          <w:w w:val="80"/>
        </w:rPr>
        <w:t xml:space="preserve">ꎬ </w:t>
      </w:r>
      <w:r>
        <w:t>鉴定结果报省级煤炭行业管理部门和省级煤矿安全监察机构</w:t>
      </w:r>
      <w:r>
        <w:rPr>
          <w:rFonts w:hint="eastAsia" w:ascii="MS UI Gothic" w:eastAsia="MS UI Gothic"/>
          <w:w w:val="80"/>
        </w:rPr>
        <w:t xml:space="preserve">ꎮ </w:t>
      </w:r>
      <w:r>
        <w:t>上报时应当包括开采煤层最短发火期和自燃倾向性</w:t>
      </w:r>
      <w:r>
        <w:rPr>
          <w:rFonts w:hint="eastAsia" w:ascii="MS UI Gothic" w:eastAsia="MS UI Gothic"/>
          <w:w w:val="80"/>
        </w:rPr>
        <w:t>、</w:t>
      </w:r>
      <w:r>
        <w:rPr>
          <w:w w:val="105"/>
        </w:rPr>
        <w:t>煤尘爆炸性的鉴定结果</w:t>
      </w:r>
      <w:r>
        <w:rPr>
          <w:rFonts w:hint="eastAsia" w:ascii="MS UI Gothic" w:eastAsia="MS UI Gothic"/>
          <w:w w:val="80"/>
        </w:rPr>
        <w:t xml:space="preserve">ꎮ </w:t>
      </w:r>
      <w:r>
        <w:rPr>
          <w:w w:val="105"/>
        </w:rPr>
        <w:t>高瓦斯</w:t>
      </w:r>
      <w:r>
        <w:rPr>
          <w:rFonts w:hint="eastAsia" w:ascii="MS UI Gothic" w:eastAsia="MS UI Gothic"/>
          <w:w w:val="80"/>
        </w:rPr>
        <w:t xml:space="preserve">、 </w:t>
      </w:r>
      <w:r>
        <w:rPr>
          <w:w w:val="105"/>
        </w:rPr>
        <w:t>突出矿</w:t>
      </w:r>
      <w:r>
        <w:t>井不再进行周期性瓦斯等级鉴定工作</w:t>
      </w:r>
      <w:r>
        <w:rPr>
          <w:rFonts w:hint="eastAsia" w:ascii="MS UI Gothic" w:eastAsia="MS UI Gothic"/>
          <w:w w:val="80"/>
        </w:rPr>
        <w:t xml:space="preserve">ꎬ </w:t>
      </w:r>
      <w:r>
        <w:t>但</w:t>
      </w:r>
      <w:r>
        <w:rPr>
          <w:w w:val="105"/>
        </w:rPr>
        <w:t>应当每年测定和计算矿井</w:t>
      </w:r>
      <w:r>
        <w:rPr>
          <w:rFonts w:hint="eastAsia" w:ascii="MS UI Gothic" w:eastAsia="MS UI Gothic"/>
          <w:w w:val="80"/>
        </w:rPr>
        <w:t xml:space="preserve">、 </w:t>
      </w:r>
      <w:r>
        <w:rPr>
          <w:w w:val="105"/>
        </w:rPr>
        <w:t>采区</w:t>
      </w:r>
      <w:r>
        <w:rPr>
          <w:rFonts w:hint="eastAsia" w:ascii="MS UI Gothic" w:eastAsia="MS UI Gothic"/>
          <w:w w:val="80"/>
        </w:rPr>
        <w:t xml:space="preserve">、 </w:t>
      </w:r>
      <w:r>
        <w:rPr>
          <w:w w:val="105"/>
        </w:rPr>
        <w:t>工作面</w:t>
      </w:r>
      <w:r>
        <w:t>瓦斯和二氧化碳涌出量</w:t>
      </w:r>
      <w:r>
        <w:rPr>
          <w:rFonts w:hint="eastAsia" w:ascii="MS UI Gothic" w:eastAsia="MS UI Gothic"/>
          <w:w w:val="80"/>
        </w:rPr>
        <w:t xml:space="preserve">ꎬ </w:t>
      </w:r>
      <w:r>
        <w:t>并报省级煤炭行</w:t>
      </w:r>
      <w:r>
        <w:rPr>
          <w:w w:val="105"/>
        </w:rPr>
        <w:t>业管理部门和煤矿安全监察机构</w:t>
      </w:r>
      <w:r>
        <w:rPr>
          <w:rFonts w:hint="eastAsia" w:ascii="MS UI Gothic" w:eastAsia="MS UI Gothic"/>
          <w:w w:val="80"/>
        </w:rPr>
        <w:t>ꎮ</w:t>
      </w:r>
    </w:p>
    <w:p>
      <w:pPr>
        <w:pStyle w:val="6"/>
        <w:spacing w:line="295" w:lineRule="auto"/>
        <w:ind w:right="39"/>
        <w:rPr>
          <w:rFonts w:hint="eastAsia" w:ascii="MS UI Gothic" w:eastAsia="MS UI Gothic"/>
        </w:rPr>
      </w:pPr>
      <w:r>
        <w:t>新建矿井设计文件中</w:t>
      </w:r>
      <w:r>
        <w:rPr>
          <w:rFonts w:hint="eastAsia" w:ascii="MS UI Gothic" w:eastAsia="MS UI Gothic"/>
          <w:w w:val="80"/>
        </w:rPr>
        <w:t xml:space="preserve">ꎬ </w:t>
      </w:r>
      <w:r>
        <w:t>应当有各煤层的瓦斯含量资料</w:t>
      </w:r>
      <w:r>
        <w:rPr>
          <w:rFonts w:hint="eastAsia" w:ascii="MS UI Gothic" w:eastAsia="MS UI Gothic"/>
          <w:w w:val="80"/>
        </w:rPr>
        <w:t>ꎮ</w:t>
      </w:r>
    </w:p>
    <w:p>
      <w:pPr>
        <w:pStyle w:val="6"/>
        <w:spacing w:line="295" w:lineRule="auto"/>
        <w:ind w:right="39"/>
        <w:rPr>
          <w:rFonts w:hint="eastAsia" w:ascii="MS UI Gothic" w:eastAsia="MS UI Gothic"/>
        </w:rPr>
      </w:pPr>
      <w:r>
        <w:t>高瓦斯矿井应当测定可采煤层的瓦斯</w:t>
      </w:r>
      <w:r>
        <w:rPr>
          <w:w w:val="105"/>
        </w:rPr>
        <w:t>含量</w:t>
      </w:r>
      <w:r>
        <w:rPr>
          <w:rFonts w:hint="eastAsia" w:ascii="MS UI Gothic" w:eastAsia="MS UI Gothic"/>
          <w:w w:val="80"/>
        </w:rPr>
        <w:t xml:space="preserve">、 </w:t>
      </w:r>
      <w:r>
        <w:rPr>
          <w:w w:val="105"/>
        </w:rPr>
        <w:t>瓦斯压力和抽采半径等参数</w:t>
      </w:r>
      <w:r>
        <w:rPr>
          <w:rFonts w:hint="eastAsia" w:ascii="MS UI Gothic" w:eastAsia="MS UI Gothic"/>
          <w:w w:val="80"/>
        </w:rPr>
        <w:t>ꎮ</w:t>
      </w:r>
    </w:p>
    <w:p>
      <w:pPr>
        <w:pStyle w:val="6"/>
        <w:spacing w:line="295" w:lineRule="auto"/>
        <w:ind w:left="118" w:right="39" w:firstLine="425"/>
        <w:rPr>
          <w:rFonts w:hint="eastAsia" w:ascii="MS UI Gothic" w:eastAsia="MS UI Gothic"/>
        </w:rPr>
      </w:pPr>
      <w:r>
        <w:rPr>
          <w:spacing w:val="2"/>
          <w:w w:val="95"/>
        </w:rPr>
        <w:t xml:space="preserve">第一百七十一条   矿井总回风巷或者一翼回风巷中甲烷或者二氧化碳浓度超过  </w:t>
      </w:r>
      <w:r>
        <w:rPr>
          <w:rFonts w:hint="eastAsia" w:ascii="MS UI Gothic" w:eastAsia="MS UI Gothic"/>
          <w:spacing w:val="2"/>
          <w:w w:val="95"/>
        </w:rPr>
        <w:t>０</w:t>
      </w:r>
      <w:r>
        <w:rPr>
          <w:rFonts w:hint="eastAsia" w:ascii="MS UI Gothic" w:eastAsia="MS UI Gothic"/>
          <w:spacing w:val="-8"/>
          <w:w w:val="95"/>
        </w:rPr>
        <w:t xml:space="preserve"> ７５</w:t>
      </w:r>
      <w:r>
        <w:rPr>
          <w:spacing w:val="-13"/>
          <w:w w:val="95"/>
        </w:rPr>
        <w:t>％ 时</w:t>
      </w:r>
      <w:r>
        <w:rPr>
          <w:rFonts w:hint="eastAsia" w:ascii="MS UI Gothic" w:eastAsia="MS UI Gothic"/>
          <w:spacing w:val="22"/>
          <w:w w:val="90"/>
        </w:rPr>
        <w:t xml:space="preserve">ꎬ </w:t>
      </w:r>
      <w:r>
        <w:rPr>
          <w:spacing w:val="42"/>
          <w:w w:val="95"/>
        </w:rPr>
        <w:t>必须立即查明原因</w:t>
      </w:r>
      <w:r>
        <w:rPr>
          <w:rFonts w:hint="eastAsia" w:ascii="MS UI Gothic" w:eastAsia="MS UI Gothic"/>
          <w:spacing w:val="22"/>
          <w:w w:val="90"/>
        </w:rPr>
        <w:t xml:space="preserve">ꎬ </w:t>
      </w:r>
      <w:r>
        <w:rPr>
          <w:spacing w:val="25"/>
          <w:w w:val="95"/>
        </w:rPr>
        <w:t>进行</w:t>
      </w:r>
      <w:r>
        <w:rPr>
          <w:spacing w:val="3"/>
          <w:w w:val="95"/>
        </w:rPr>
        <w:t>处理</w:t>
      </w:r>
      <w:r>
        <w:rPr>
          <w:rFonts w:hint="eastAsia" w:ascii="MS UI Gothic" w:eastAsia="MS UI Gothic"/>
          <w:w w:val="90"/>
        </w:rPr>
        <w:t>ꎮ</w:t>
      </w:r>
    </w:p>
    <w:p>
      <w:pPr>
        <w:pStyle w:val="6"/>
        <w:spacing w:line="295" w:lineRule="auto"/>
        <w:ind w:right="39"/>
      </w:pPr>
      <w:r>
        <w:t>第一百七十二条 采区回风巷</w:t>
      </w:r>
      <w:r>
        <w:rPr>
          <w:rFonts w:hint="eastAsia" w:ascii="MS UI Gothic" w:eastAsia="MS UI Gothic"/>
          <w:w w:val="85"/>
        </w:rPr>
        <w:t xml:space="preserve">、 </w:t>
      </w:r>
      <w:r>
        <w:t xml:space="preserve">采掘工作面回风巷风流中甲烷浓度超过 </w:t>
      </w:r>
      <w:r>
        <w:rPr>
          <w:rFonts w:hint="eastAsia" w:ascii="MS UI Gothic" w:eastAsia="MS UI Gothic"/>
          <w:w w:val="85"/>
        </w:rPr>
        <w:t>１ ０</w:t>
      </w:r>
      <w:r>
        <w:rPr>
          <w:w w:val="85"/>
        </w:rPr>
        <w:t xml:space="preserve">％ </w:t>
      </w:r>
      <w:r>
        <w:t xml:space="preserve">或者二氧化碳浓度超过 </w:t>
      </w:r>
      <w:r>
        <w:rPr>
          <w:rFonts w:hint="eastAsia" w:ascii="MS UI Gothic" w:eastAsia="MS UI Gothic"/>
          <w:w w:val="85"/>
        </w:rPr>
        <w:t>１ ５</w:t>
      </w:r>
      <w:r>
        <w:rPr>
          <w:w w:val="85"/>
        </w:rPr>
        <w:t xml:space="preserve">％ </w:t>
      </w:r>
      <w:r>
        <w:t>时</w:t>
      </w:r>
      <w:r>
        <w:rPr>
          <w:rFonts w:hint="eastAsia" w:ascii="MS UI Gothic" w:eastAsia="MS UI Gothic"/>
          <w:w w:val="85"/>
        </w:rPr>
        <w:t xml:space="preserve">ꎬ </w:t>
      </w:r>
      <w:r>
        <w:t>必须停止工作</w:t>
      </w:r>
      <w:r>
        <w:rPr>
          <w:rFonts w:hint="eastAsia" w:ascii="MS UI Gothic" w:eastAsia="MS UI Gothic"/>
          <w:w w:val="85"/>
        </w:rPr>
        <w:t xml:space="preserve">ꎬ </w:t>
      </w:r>
      <w:r>
        <w:t>撤出人员</w:t>
      </w:r>
      <w:r>
        <w:rPr>
          <w:rFonts w:hint="eastAsia" w:ascii="MS UI Gothic" w:eastAsia="MS UI Gothic"/>
          <w:w w:val="85"/>
        </w:rPr>
        <w:t xml:space="preserve">ꎬ </w:t>
      </w:r>
      <w:r>
        <w:t>采取措施</w:t>
      </w:r>
      <w:r>
        <w:rPr>
          <w:rFonts w:hint="eastAsia" w:ascii="MS UI Gothic" w:eastAsia="MS UI Gothic"/>
          <w:w w:val="85"/>
        </w:rPr>
        <w:t xml:space="preserve">ꎬ </w:t>
      </w:r>
      <w:r>
        <w:t>进行</w:t>
      </w:r>
    </w:p>
    <w:p>
      <w:pPr>
        <w:spacing w:before="123"/>
        <w:ind w:left="124" w:right="0" w:firstLine="0"/>
        <w:jc w:val="left"/>
        <w:rPr>
          <w:rFonts w:hint="eastAsia" w:ascii="MS UI Gothic" w:eastAsia="MS UI Gothic"/>
          <w:sz w:val="20"/>
        </w:rPr>
      </w:pPr>
      <w:r>
        <w:br w:type="column"/>
      </w:r>
      <w:r>
        <w:rPr>
          <w:sz w:val="20"/>
        </w:rPr>
        <w:t>处理</w:t>
      </w:r>
      <w:r>
        <w:rPr>
          <w:rFonts w:hint="eastAsia" w:ascii="MS UI Gothic" w:eastAsia="MS UI Gothic"/>
          <w:w w:val="80"/>
          <w:sz w:val="20"/>
        </w:rPr>
        <w:t>ꎮ</w:t>
      </w:r>
    </w:p>
    <w:p>
      <w:pPr>
        <w:pStyle w:val="6"/>
        <w:spacing w:before="58" w:line="295" w:lineRule="auto"/>
        <w:ind w:left="118" w:right="440" w:firstLine="425"/>
        <w:rPr>
          <w:rFonts w:hint="eastAsia" w:ascii="MS UI Gothic" w:eastAsia="MS UI Gothic"/>
        </w:rPr>
      </w:pPr>
      <w:r>
        <w:t xml:space="preserve">第一百七十三条 采掘工作面及其他作业地点风流中甲烷浓度达到 </w:t>
      </w:r>
      <w:r>
        <w:rPr>
          <w:rFonts w:hint="eastAsia" w:ascii="MS UI Gothic" w:eastAsia="MS UI Gothic"/>
          <w:w w:val="85"/>
        </w:rPr>
        <w:t>１ ０</w:t>
      </w:r>
      <w:r>
        <w:rPr>
          <w:w w:val="85"/>
        </w:rPr>
        <w:t xml:space="preserve">％ </w:t>
      </w:r>
      <w:r>
        <w:t>时</w:t>
      </w:r>
      <w:r>
        <w:rPr>
          <w:rFonts w:hint="eastAsia" w:ascii="MS UI Gothic" w:eastAsia="MS UI Gothic"/>
          <w:w w:val="85"/>
        </w:rPr>
        <w:t>ꎬ</w:t>
      </w:r>
      <w:r>
        <w:t>必须停止用电钻打眼</w:t>
      </w:r>
      <w:r>
        <w:rPr>
          <w:rFonts w:hint="eastAsia" w:ascii="MS UI Gothic" w:eastAsia="MS UI Gothic"/>
          <w:w w:val="85"/>
        </w:rPr>
        <w:t xml:space="preserve">ꎻ </w:t>
      </w:r>
      <w:r>
        <w:t>爆破地点附近</w:t>
      </w:r>
      <w:r>
        <w:rPr>
          <w:rFonts w:hint="eastAsia" w:ascii="MS UI Gothic" w:eastAsia="MS UI Gothic"/>
          <w:w w:val="85"/>
        </w:rPr>
        <w:t>２０ ｍ</w:t>
      </w:r>
      <w:r>
        <w:t xml:space="preserve">以内风流中甲烷浓度达到 </w:t>
      </w:r>
      <w:r>
        <w:rPr>
          <w:rFonts w:hint="eastAsia" w:ascii="MS UI Gothic" w:eastAsia="MS UI Gothic"/>
          <w:w w:val="85"/>
        </w:rPr>
        <w:t>１ ０</w:t>
      </w:r>
      <w:r>
        <w:rPr>
          <w:w w:val="85"/>
        </w:rPr>
        <w:t xml:space="preserve">％ </w:t>
      </w:r>
      <w:r>
        <w:t>时</w:t>
      </w:r>
      <w:r>
        <w:rPr>
          <w:rFonts w:hint="eastAsia" w:ascii="MS UI Gothic" w:eastAsia="MS UI Gothic"/>
          <w:w w:val="85"/>
        </w:rPr>
        <w:t>ꎬ</w:t>
      </w:r>
      <w:r>
        <w:t>严禁爆破</w:t>
      </w:r>
      <w:r>
        <w:rPr>
          <w:rFonts w:hint="eastAsia" w:ascii="MS UI Gothic" w:eastAsia="MS UI Gothic"/>
          <w:w w:val="85"/>
        </w:rPr>
        <w:t>ꎮ</w:t>
      </w:r>
    </w:p>
    <w:p>
      <w:pPr>
        <w:pStyle w:val="6"/>
        <w:spacing w:line="295" w:lineRule="auto"/>
        <w:ind w:right="440"/>
        <w:rPr>
          <w:rFonts w:hint="eastAsia" w:ascii="MS UI Gothic" w:eastAsia="MS UI Gothic"/>
        </w:rPr>
      </w:pPr>
      <w:r>
        <w:t>采掘工作面及其他作业地点风流中</w:t>
      </w:r>
      <w:r>
        <w:rPr>
          <w:rFonts w:hint="eastAsia" w:ascii="MS UI Gothic" w:eastAsia="MS UI Gothic"/>
          <w:w w:val="85"/>
        </w:rPr>
        <w:t>、</w:t>
      </w:r>
      <w:r>
        <w:t xml:space="preserve">电动机或者其开关安设地点附近 </w:t>
      </w:r>
      <w:r>
        <w:rPr>
          <w:rFonts w:hint="eastAsia" w:ascii="MS UI Gothic" w:eastAsia="MS UI Gothic"/>
          <w:w w:val="85"/>
        </w:rPr>
        <w:t xml:space="preserve">２０ ｍ </w:t>
      </w:r>
      <w:r>
        <w:t xml:space="preserve">以内风流中的甲烷浓度达到 </w:t>
      </w:r>
      <w:r>
        <w:rPr>
          <w:rFonts w:hint="eastAsia" w:ascii="MS UI Gothic" w:eastAsia="MS UI Gothic"/>
          <w:w w:val="85"/>
        </w:rPr>
        <w:t>１ ５</w:t>
      </w:r>
      <w:r>
        <w:rPr>
          <w:w w:val="85"/>
        </w:rPr>
        <w:t xml:space="preserve">％ </w:t>
      </w:r>
      <w:r>
        <w:t>时</w:t>
      </w:r>
      <w:r>
        <w:rPr>
          <w:rFonts w:hint="eastAsia" w:ascii="MS UI Gothic" w:eastAsia="MS UI Gothic"/>
          <w:w w:val="85"/>
        </w:rPr>
        <w:t xml:space="preserve">ꎬ </w:t>
      </w:r>
      <w:r>
        <w:t>必须停止工作</w:t>
      </w:r>
      <w:r>
        <w:rPr>
          <w:rFonts w:hint="eastAsia" w:ascii="MS UI Gothic" w:eastAsia="MS UI Gothic"/>
          <w:w w:val="85"/>
        </w:rPr>
        <w:t xml:space="preserve">ꎬ </w:t>
      </w:r>
      <w:r>
        <w:t>切断电源</w:t>
      </w:r>
      <w:r>
        <w:rPr>
          <w:rFonts w:hint="eastAsia" w:ascii="MS UI Gothic" w:eastAsia="MS UI Gothic"/>
          <w:w w:val="85"/>
        </w:rPr>
        <w:t xml:space="preserve">ꎬ </w:t>
      </w:r>
      <w:r>
        <w:t>撤出人员</w:t>
      </w:r>
      <w:r>
        <w:rPr>
          <w:rFonts w:hint="eastAsia" w:ascii="MS UI Gothic" w:eastAsia="MS UI Gothic"/>
          <w:w w:val="85"/>
        </w:rPr>
        <w:t xml:space="preserve">ꎬ </w:t>
      </w:r>
      <w:r>
        <w:t>进行处理</w:t>
      </w:r>
      <w:r>
        <w:rPr>
          <w:rFonts w:hint="eastAsia" w:ascii="MS UI Gothic" w:eastAsia="MS UI Gothic"/>
          <w:w w:val="85"/>
        </w:rPr>
        <w:t>ꎮ</w:t>
      </w:r>
    </w:p>
    <w:p>
      <w:pPr>
        <w:pStyle w:val="6"/>
        <w:spacing w:line="252" w:lineRule="exact"/>
        <w:ind w:left="543" w:firstLine="0"/>
      </w:pPr>
      <w:r>
        <w:rPr>
          <w:spacing w:val="3"/>
        </w:rPr>
        <w:t>采掘工作面及其他巷道内</w:t>
      </w:r>
      <w:r>
        <w:rPr>
          <w:rFonts w:hint="eastAsia" w:ascii="MS UI Gothic" w:eastAsia="MS UI Gothic"/>
          <w:spacing w:val="12"/>
          <w:w w:val="80"/>
        </w:rPr>
        <w:t xml:space="preserve">ꎬ  </w:t>
      </w:r>
      <w:r>
        <w:rPr>
          <w:spacing w:val="2"/>
        </w:rPr>
        <w:t>体积大于</w:t>
      </w:r>
    </w:p>
    <w:p>
      <w:pPr>
        <w:pStyle w:val="6"/>
        <w:spacing w:before="44"/>
        <w:ind w:left="118" w:firstLine="0"/>
      </w:pPr>
      <w:r>
        <w:rPr>
          <w:rFonts w:hint="eastAsia" w:ascii="MS UI Gothic" w:eastAsia="MS UI Gothic"/>
        </w:rPr>
        <w:t>０</w:t>
      </w:r>
      <w:r>
        <w:rPr>
          <w:rFonts w:hint="eastAsia" w:ascii="MS UI Gothic" w:eastAsia="MS UI Gothic"/>
          <w:spacing w:val="-5"/>
        </w:rPr>
        <w:t xml:space="preserve"> ５ </w:t>
      </w:r>
      <w:r>
        <w:rPr>
          <w:rFonts w:hint="eastAsia" w:ascii="MS UI Gothic" w:eastAsia="MS UI Gothic"/>
          <w:spacing w:val="3"/>
        </w:rPr>
        <w:t>ｍ</w:t>
      </w:r>
      <w:r>
        <w:rPr>
          <w:rFonts w:hint="eastAsia" w:ascii="MS UI Gothic" w:eastAsia="MS UI Gothic"/>
          <w:spacing w:val="22"/>
          <w:position w:val="9"/>
          <w:sz w:val="12"/>
        </w:rPr>
        <w:t xml:space="preserve">３ </w:t>
      </w:r>
      <w:r>
        <w:rPr>
          <w:spacing w:val="28"/>
        </w:rPr>
        <w:t>的空间内积聚的甲烷浓度达到</w:t>
      </w:r>
    </w:p>
    <w:p>
      <w:pPr>
        <w:pStyle w:val="6"/>
        <w:spacing w:before="59" w:line="295" w:lineRule="auto"/>
        <w:ind w:right="442" w:hanging="6"/>
        <w:rPr>
          <w:rFonts w:hint="eastAsia" w:ascii="MS UI Gothic" w:eastAsia="MS UI Gothic"/>
        </w:rPr>
      </w:pPr>
      <w:r>
        <w:rPr>
          <w:rFonts w:hint="eastAsia" w:ascii="MS UI Gothic" w:eastAsia="MS UI Gothic"/>
          <w:w w:val="85"/>
        </w:rPr>
        <w:t>２</w:t>
      </w:r>
      <w:r>
        <w:rPr>
          <w:rFonts w:hint="eastAsia" w:ascii="MS UI Gothic" w:eastAsia="MS UI Gothic"/>
          <w:spacing w:val="-8"/>
          <w:w w:val="85"/>
        </w:rPr>
        <w:t xml:space="preserve"> ０</w:t>
      </w:r>
      <w:r>
        <w:rPr>
          <w:spacing w:val="-30"/>
          <w:w w:val="85"/>
        </w:rPr>
        <w:t xml:space="preserve">％ </w:t>
      </w:r>
      <w:r>
        <w:rPr>
          <w:spacing w:val="3"/>
        </w:rPr>
        <w:t>时</w:t>
      </w:r>
      <w:r>
        <w:rPr>
          <w:rFonts w:hint="eastAsia" w:ascii="MS UI Gothic" w:eastAsia="MS UI Gothic"/>
          <w:spacing w:val="10"/>
          <w:w w:val="85"/>
        </w:rPr>
        <w:t xml:space="preserve">ꎬ </w:t>
      </w:r>
      <w:r>
        <w:rPr>
          <w:spacing w:val="-21"/>
        </w:rPr>
        <w:t xml:space="preserve">附近 </w:t>
      </w:r>
      <w:r>
        <w:rPr>
          <w:rFonts w:hint="eastAsia" w:ascii="MS UI Gothic" w:eastAsia="MS UI Gothic"/>
          <w:spacing w:val="-1"/>
          <w:w w:val="85"/>
        </w:rPr>
        <w:t xml:space="preserve">２０ </w:t>
      </w:r>
      <w:r>
        <w:rPr>
          <w:rFonts w:hint="eastAsia" w:ascii="MS UI Gothic" w:eastAsia="MS UI Gothic"/>
          <w:w w:val="85"/>
        </w:rPr>
        <w:t xml:space="preserve">ｍ </w:t>
      </w:r>
      <w:r>
        <w:rPr>
          <w:spacing w:val="4"/>
        </w:rPr>
        <w:t>内必须停止工作</w:t>
      </w:r>
      <w:r>
        <w:rPr>
          <w:rFonts w:hint="eastAsia" w:ascii="MS UI Gothic" w:eastAsia="MS UI Gothic"/>
          <w:spacing w:val="12"/>
          <w:w w:val="85"/>
        </w:rPr>
        <w:t xml:space="preserve">ꎬ </w:t>
      </w:r>
      <w:r>
        <w:t>撤</w:t>
      </w:r>
      <w:r>
        <w:rPr>
          <w:spacing w:val="3"/>
        </w:rPr>
        <w:t>出人员</w:t>
      </w:r>
      <w:r>
        <w:rPr>
          <w:rFonts w:hint="eastAsia" w:ascii="MS UI Gothic" w:eastAsia="MS UI Gothic"/>
          <w:spacing w:val="20"/>
          <w:w w:val="85"/>
        </w:rPr>
        <w:t xml:space="preserve">ꎬ </w:t>
      </w:r>
      <w:r>
        <w:rPr>
          <w:spacing w:val="3"/>
        </w:rPr>
        <w:t>切断电源</w:t>
      </w:r>
      <w:r>
        <w:rPr>
          <w:rFonts w:hint="eastAsia" w:ascii="MS UI Gothic" w:eastAsia="MS UI Gothic"/>
          <w:spacing w:val="21"/>
          <w:w w:val="85"/>
        </w:rPr>
        <w:t xml:space="preserve">ꎬ </w:t>
      </w:r>
      <w:r>
        <w:rPr>
          <w:spacing w:val="3"/>
        </w:rPr>
        <w:t>进行处理</w:t>
      </w:r>
      <w:r>
        <w:rPr>
          <w:rFonts w:hint="eastAsia" w:ascii="MS UI Gothic" w:eastAsia="MS UI Gothic"/>
          <w:w w:val="85"/>
        </w:rPr>
        <w:t>ꎮ</w:t>
      </w:r>
    </w:p>
    <w:p>
      <w:pPr>
        <w:pStyle w:val="6"/>
        <w:spacing w:line="295" w:lineRule="auto"/>
        <w:ind w:right="442"/>
        <w:rPr>
          <w:rFonts w:hint="eastAsia" w:ascii="MS UI Gothic" w:eastAsia="MS UI Gothic"/>
        </w:rPr>
      </w:pPr>
      <w:r>
        <w:t>对因甲烷浓度超过规定被切断电源的电气设备</w:t>
      </w:r>
      <w:r>
        <w:rPr>
          <w:rFonts w:hint="eastAsia" w:ascii="MS UI Gothic" w:eastAsia="MS UI Gothic"/>
          <w:w w:val="85"/>
        </w:rPr>
        <w:t xml:space="preserve">ꎬ </w:t>
      </w:r>
      <w:r>
        <w:t xml:space="preserve">必须在甲烷浓度降到 </w:t>
      </w:r>
      <w:r>
        <w:rPr>
          <w:rFonts w:hint="eastAsia" w:ascii="MS UI Gothic" w:eastAsia="MS UI Gothic"/>
          <w:w w:val="85"/>
        </w:rPr>
        <w:t>１ ０</w:t>
      </w:r>
      <w:r>
        <w:rPr>
          <w:w w:val="85"/>
        </w:rPr>
        <w:t xml:space="preserve">％ </w:t>
      </w:r>
      <w:r>
        <w:t>以下时</w:t>
      </w:r>
      <w:r>
        <w:rPr>
          <w:rFonts w:hint="eastAsia" w:ascii="MS UI Gothic" w:eastAsia="MS UI Gothic"/>
          <w:w w:val="85"/>
        </w:rPr>
        <w:t xml:space="preserve">ꎬ </w:t>
      </w:r>
      <w:r>
        <w:t>方可通电开动</w:t>
      </w:r>
      <w:r>
        <w:rPr>
          <w:rFonts w:hint="eastAsia" w:ascii="MS UI Gothic" w:eastAsia="MS UI Gothic"/>
          <w:w w:val="85"/>
        </w:rPr>
        <w:t>ꎮ</w:t>
      </w:r>
    </w:p>
    <w:p>
      <w:pPr>
        <w:pStyle w:val="6"/>
        <w:spacing w:line="295" w:lineRule="auto"/>
        <w:ind w:right="442"/>
        <w:rPr>
          <w:rFonts w:hint="eastAsia" w:ascii="MS UI Gothic" w:eastAsia="MS UI Gothic"/>
        </w:rPr>
      </w:pPr>
      <w:r>
        <w:t xml:space="preserve">第一百七十四条 采掘工作面风流中二氧化碳浓度达到 </w:t>
      </w:r>
      <w:r>
        <w:rPr>
          <w:rFonts w:hint="eastAsia" w:ascii="MS UI Gothic" w:eastAsia="MS UI Gothic"/>
          <w:w w:val="85"/>
        </w:rPr>
        <w:t>１ ５</w:t>
      </w:r>
      <w:r>
        <w:rPr>
          <w:w w:val="85"/>
        </w:rPr>
        <w:t xml:space="preserve">％ </w:t>
      </w:r>
      <w:r>
        <w:t>时</w:t>
      </w:r>
      <w:r>
        <w:rPr>
          <w:rFonts w:hint="eastAsia" w:ascii="MS UI Gothic" w:eastAsia="MS UI Gothic"/>
          <w:w w:val="85"/>
        </w:rPr>
        <w:t xml:space="preserve">ꎬ </w:t>
      </w:r>
      <w:r>
        <w:t>必须停止工作</w:t>
      </w:r>
      <w:r>
        <w:rPr>
          <w:rFonts w:hint="eastAsia" w:ascii="MS UI Gothic" w:eastAsia="MS UI Gothic"/>
          <w:w w:val="85"/>
        </w:rPr>
        <w:t xml:space="preserve">ꎬ </w:t>
      </w:r>
      <w:r>
        <w:t>撤出人员</w:t>
      </w:r>
      <w:r>
        <w:rPr>
          <w:rFonts w:hint="eastAsia" w:ascii="MS UI Gothic" w:eastAsia="MS UI Gothic"/>
          <w:w w:val="85"/>
        </w:rPr>
        <w:t xml:space="preserve">ꎬ </w:t>
      </w:r>
      <w:r>
        <w:t>查明原因</w:t>
      </w:r>
      <w:r>
        <w:rPr>
          <w:rFonts w:hint="eastAsia" w:ascii="MS UI Gothic" w:eastAsia="MS UI Gothic"/>
          <w:w w:val="85"/>
        </w:rPr>
        <w:t xml:space="preserve">ꎬ </w:t>
      </w:r>
      <w:r>
        <w:t>制定措施</w:t>
      </w:r>
      <w:r>
        <w:rPr>
          <w:rFonts w:hint="eastAsia" w:ascii="MS UI Gothic" w:eastAsia="MS UI Gothic"/>
          <w:w w:val="85"/>
        </w:rPr>
        <w:t xml:space="preserve">ꎬ </w:t>
      </w:r>
      <w:r>
        <w:t>进行处理</w:t>
      </w:r>
      <w:r>
        <w:rPr>
          <w:rFonts w:hint="eastAsia" w:ascii="MS UI Gothic" w:eastAsia="MS UI Gothic"/>
          <w:w w:val="85"/>
        </w:rPr>
        <w:t>ꎮ</w:t>
      </w:r>
    </w:p>
    <w:p>
      <w:pPr>
        <w:pStyle w:val="6"/>
        <w:spacing w:line="295" w:lineRule="auto"/>
        <w:ind w:right="440"/>
        <w:rPr>
          <w:rFonts w:hint="eastAsia" w:ascii="MS UI Gothic" w:eastAsia="MS UI Gothic"/>
        </w:rPr>
      </w:pPr>
      <w:r>
        <w:t>第一百七十五条 矿井必须从设计和采掘生产管理上采取措施</w:t>
      </w:r>
      <w:r>
        <w:rPr>
          <w:rFonts w:hint="eastAsia" w:ascii="MS UI Gothic" w:eastAsia="MS UI Gothic"/>
          <w:w w:val="80"/>
        </w:rPr>
        <w:t xml:space="preserve">ꎬ </w:t>
      </w:r>
      <w:r>
        <w:t>防止瓦斯积聚</w:t>
      </w:r>
      <w:r>
        <w:rPr>
          <w:rFonts w:hint="eastAsia" w:ascii="MS UI Gothic" w:eastAsia="MS UI Gothic"/>
          <w:w w:val="80"/>
        </w:rPr>
        <w:t xml:space="preserve">ꎻ </w:t>
      </w:r>
      <w:r>
        <w:t>当发生瓦斯积聚时</w:t>
      </w:r>
      <w:r>
        <w:rPr>
          <w:rFonts w:hint="eastAsia" w:ascii="MS UI Gothic" w:eastAsia="MS UI Gothic"/>
          <w:w w:val="80"/>
        </w:rPr>
        <w:t xml:space="preserve">ꎬ </w:t>
      </w:r>
      <w:r>
        <w:t>必须及时处理</w:t>
      </w:r>
      <w:r>
        <w:rPr>
          <w:rFonts w:hint="eastAsia" w:ascii="MS UI Gothic" w:eastAsia="MS UI Gothic"/>
          <w:w w:val="80"/>
        </w:rPr>
        <w:t>ꎮ</w:t>
      </w:r>
      <w:r>
        <w:t>当瓦斯超限达到断电浓度时</w:t>
      </w:r>
      <w:r>
        <w:rPr>
          <w:rFonts w:hint="eastAsia" w:ascii="MS UI Gothic" w:eastAsia="MS UI Gothic"/>
          <w:w w:val="80"/>
        </w:rPr>
        <w:t xml:space="preserve">ꎬ </w:t>
      </w:r>
      <w:r>
        <w:t>班组长</w:t>
      </w:r>
      <w:r>
        <w:rPr>
          <w:rFonts w:hint="eastAsia" w:ascii="MS UI Gothic" w:eastAsia="MS UI Gothic"/>
          <w:w w:val="80"/>
        </w:rPr>
        <w:t xml:space="preserve">、 </w:t>
      </w:r>
      <w:r>
        <w:t>瓦斯检查工</w:t>
      </w:r>
      <w:r>
        <w:rPr>
          <w:rFonts w:hint="eastAsia" w:ascii="MS UI Gothic" w:eastAsia="MS UI Gothic"/>
          <w:w w:val="80"/>
        </w:rPr>
        <w:t xml:space="preserve">、 </w:t>
      </w:r>
      <w:r>
        <w:t>矿调度员有权责令现场作业人员停止作业</w:t>
      </w:r>
      <w:r>
        <w:rPr>
          <w:rFonts w:hint="eastAsia" w:ascii="MS UI Gothic" w:eastAsia="MS UI Gothic"/>
          <w:w w:val="80"/>
        </w:rPr>
        <w:t xml:space="preserve">ꎬ </w:t>
      </w:r>
      <w:r>
        <w:t>停电撤人</w:t>
      </w:r>
      <w:r>
        <w:rPr>
          <w:rFonts w:hint="eastAsia" w:ascii="MS UI Gothic" w:eastAsia="MS UI Gothic"/>
          <w:w w:val="80"/>
        </w:rPr>
        <w:t>ꎮ</w:t>
      </w:r>
    </w:p>
    <w:p>
      <w:pPr>
        <w:pStyle w:val="6"/>
        <w:spacing w:line="295" w:lineRule="auto"/>
        <w:ind w:right="440"/>
        <w:rPr>
          <w:rFonts w:hint="eastAsia" w:ascii="MS UI Gothic" w:eastAsia="MS UI Gothic"/>
        </w:rPr>
      </w:pPr>
      <w:r>
        <w:t>矿井必须有因停电和检修主要通风机停止运转或者通风系统遭到破坏以后恢复通风</w:t>
      </w:r>
      <w:r>
        <w:rPr>
          <w:rFonts w:hint="eastAsia" w:ascii="MS UI Gothic" w:eastAsia="MS UI Gothic"/>
          <w:w w:val="85"/>
        </w:rPr>
        <w:t xml:space="preserve">、 </w:t>
      </w:r>
      <w:r>
        <w:t>排除瓦斯和送电的安全措施</w:t>
      </w:r>
      <w:r>
        <w:rPr>
          <w:rFonts w:hint="eastAsia" w:ascii="MS UI Gothic" w:eastAsia="MS UI Gothic"/>
          <w:w w:val="85"/>
        </w:rPr>
        <w:t xml:space="preserve">ꎮ </w:t>
      </w:r>
      <w:r>
        <w:t>恢复正常通风后</w:t>
      </w:r>
      <w:r>
        <w:rPr>
          <w:rFonts w:hint="eastAsia" w:ascii="MS UI Gothic" w:eastAsia="MS UI Gothic"/>
          <w:w w:val="85"/>
        </w:rPr>
        <w:t xml:space="preserve">ꎬ </w:t>
      </w:r>
      <w:r>
        <w:t>所有受到停风影响的地点</w:t>
      </w:r>
      <w:r>
        <w:rPr>
          <w:rFonts w:hint="eastAsia" w:ascii="MS UI Gothic" w:eastAsia="MS UI Gothic"/>
          <w:w w:val="85"/>
        </w:rPr>
        <w:t>ꎬ</w:t>
      </w:r>
      <w:r>
        <w:t>都必须经过通风</w:t>
      </w:r>
      <w:r>
        <w:rPr>
          <w:rFonts w:hint="eastAsia" w:ascii="MS UI Gothic" w:eastAsia="MS UI Gothic"/>
          <w:w w:val="85"/>
        </w:rPr>
        <w:t xml:space="preserve">、 </w:t>
      </w:r>
      <w:r>
        <w:t>瓦斯检查人员检查</w:t>
      </w:r>
      <w:r>
        <w:rPr>
          <w:rFonts w:hint="eastAsia" w:ascii="MS UI Gothic" w:eastAsia="MS UI Gothic"/>
          <w:w w:val="85"/>
        </w:rPr>
        <w:t xml:space="preserve">ꎬ </w:t>
      </w:r>
      <w:r>
        <w:t>证实无危险后</w:t>
      </w:r>
      <w:r>
        <w:rPr>
          <w:rFonts w:hint="eastAsia" w:ascii="MS UI Gothic" w:eastAsia="MS UI Gothic"/>
          <w:w w:val="85"/>
        </w:rPr>
        <w:t xml:space="preserve">ꎬ </w:t>
      </w:r>
      <w:r>
        <w:t>方可恢复工作</w:t>
      </w:r>
      <w:r>
        <w:rPr>
          <w:rFonts w:hint="eastAsia" w:ascii="MS UI Gothic" w:eastAsia="MS UI Gothic"/>
          <w:w w:val="85"/>
        </w:rPr>
        <w:t xml:space="preserve">ꎮ </w:t>
      </w:r>
      <w:r>
        <w:t xml:space="preserve">所有安装电动机及其开关的地点附近 </w:t>
      </w:r>
      <w:r>
        <w:rPr>
          <w:rFonts w:hint="eastAsia" w:ascii="MS UI Gothic" w:eastAsia="MS UI Gothic"/>
          <w:w w:val="85"/>
        </w:rPr>
        <w:t xml:space="preserve">２０ ｍ </w:t>
      </w:r>
      <w:r>
        <w:t>的巷道内</w:t>
      </w:r>
      <w:r>
        <w:rPr>
          <w:rFonts w:hint="eastAsia" w:ascii="MS UI Gothic" w:eastAsia="MS UI Gothic"/>
          <w:w w:val="85"/>
        </w:rPr>
        <w:t>ꎬ</w:t>
      </w:r>
      <w:r>
        <w:t>都必须检查瓦斯</w:t>
      </w:r>
      <w:r>
        <w:rPr>
          <w:rFonts w:hint="eastAsia" w:ascii="MS UI Gothic" w:eastAsia="MS UI Gothic"/>
          <w:w w:val="85"/>
        </w:rPr>
        <w:t xml:space="preserve">ꎬ </w:t>
      </w:r>
      <w:r>
        <w:t>只有甲烷浓度符合本规程规定时</w:t>
      </w:r>
      <w:r>
        <w:rPr>
          <w:rFonts w:hint="eastAsia" w:ascii="MS UI Gothic" w:eastAsia="MS UI Gothic"/>
          <w:w w:val="85"/>
        </w:rPr>
        <w:t xml:space="preserve">ꎬ </w:t>
      </w:r>
      <w:r>
        <w:t>方可开启</w:t>
      </w:r>
      <w:r>
        <w:rPr>
          <w:rFonts w:hint="eastAsia" w:ascii="MS UI Gothic" w:eastAsia="MS UI Gothic"/>
          <w:w w:val="85"/>
        </w:rPr>
        <w:t>ꎮ</w:t>
      </w:r>
    </w:p>
    <w:p>
      <w:pPr>
        <w:pStyle w:val="6"/>
        <w:spacing w:line="295" w:lineRule="auto"/>
        <w:ind w:right="442"/>
      </w:pPr>
      <w:r>
        <w:t>临时停工的地点</w:t>
      </w:r>
      <w:r>
        <w:rPr>
          <w:rFonts w:hint="eastAsia" w:ascii="MS UI Gothic" w:eastAsia="MS UI Gothic"/>
          <w:w w:val="80"/>
        </w:rPr>
        <w:t xml:space="preserve">ꎬ </w:t>
      </w:r>
      <w:r>
        <w:t>不得停风</w:t>
      </w:r>
      <w:r>
        <w:rPr>
          <w:rFonts w:hint="eastAsia" w:ascii="MS UI Gothic" w:eastAsia="MS UI Gothic"/>
          <w:w w:val="80"/>
        </w:rPr>
        <w:t xml:space="preserve">ꎻ </w:t>
      </w:r>
      <w:r>
        <w:t>否则必须切断电源</w:t>
      </w:r>
      <w:r>
        <w:rPr>
          <w:rFonts w:hint="eastAsia" w:ascii="MS UI Gothic" w:eastAsia="MS UI Gothic"/>
          <w:w w:val="80"/>
        </w:rPr>
        <w:t xml:space="preserve">ꎬ </w:t>
      </w:r>
      <w:r>
        <w:t>设置栅栏</w:t>
      </w:r>
      <w:r>
        <w:rPr>
          <w:rFonts w:hint="eastAsia" w:ascii="MS UI Gothic" w:eastAsia="MS UI Gothic"/>
        </w:rPr>
        <w:t xml:space="preserve">、 </w:t>
      </w:r>
      <w:r>
        <w:t>警标</w:t>
      </w:r>
      <w:r>
        <w:rPr>
          <w:rFonts w:hint="eastAsia" w:ascii="MS UI Gothic" w:eastAsia="MS UI Gothic"/>
          <w:w w:val="80"/>
        </w:rPr>
        <w:t xml:space="preserve">ꎬ </w:t>
      </w:r>
      <w:r>
        <w:t>禁止人员</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２６５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21" o:spid="_x0000_s1821" o:spt="203" style="height:2.15pt;width:398.25pt;" coordsize="7965,43">
            <o:lock v:ext="edit"/>
            <v:line id="_x0000_s1822" o:spid="_x0000_s1822" o:spt="20" style="position:absolute;left:0;top:39;height:0;width:7965;" stroked="t" coordsize="21600,21600">
              <v:path arrowok="t"/>
              <v:fill focussize="0,0"/>
              <v:stroke weight="0.388031496062992pt" color="#231F20"/>
              <v:imagedata o:title=""/>
              <o:lock v:ext="edit"/>
            </v:line>
            <v:line id="_x0000_s1823" o:spid="_x0000_s182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进入</w:t>
      </w:r>
      <w:r>
        <w:rPr>
          <w:rFonts w:hint="eastAsia" w:ascii="MS UI Gothic" w:eastAsia="MS UI Gothic"/>
          <w:w w:val="85"/>
        </w:rPr>
        <w:t xml:space="preserve">ꎬ </w:t>
      </w:r>
      <w:r>
        <w:t>并向矿调度室报告</w:t>
      </w:r>
      <w:r>
        <w:rPr>
          <w:rFonts w:hint="eastAsia" w:ascii="MS UI Gothic" w:eastAsia="MS UI Gothic"/>
          <w:w w:val="85"/>
        </w:rPr>
        <w:t xml:space="preserve">ꎮ </w:t>
      </w:r>
      <w:r>
        <w:t xml:space="preserve">停工区内甲烷或者二氧化碳浓度达到 </w:t>
      </w:r>
      <w:r>
        <w:rPr>
          <w:rFonts w:hint="eastAsia" w:ascii="MS UI Gothic" w:eastAsia="MS UI Gothic"/>
          <w:w w:val="85"/>
        </w:rPr>
        <w:t>３ ０</w:t>
      </w:r>
      <w:r>
        <w:rPr>
          <w:w w:val="85"/>
        </w:rPr>
        <w:t xml:space="preserve">％ </w:t>
      </w:r>
      <w:r>
        <w:t>或者其他有害气体浓度超过本规程第一百三十五条的规定不能立即处理时</w:t>
      </w:r>
      <w:r>
        <w:rPr>
          <w:rFonts w:hint="eastAsia" w:ascii="MS UI Gothic" w:eastAsia="MS UI Gothic"/>
          <w:w w:val="85"/>
        </w:rPr>
        <w:t xml:space="preserve">ꎬ </w:t>
      </w:r>
      <w:r>
        <w:t xml:space="preserve">必须在 </w:t>
      </w:r>
      <w:r>
        <w:rPr>
          <w:rFonts w:hint="eastAsia" w:ascii="MS UI Gothic" w:eastAsia="MS UI Gothic"/>
          <w:w w:val="85"/>
        </w:rPr>
        <w:t xml:space="preserve">２４ ｈ </w:t>
      </w:r>
      <w:r>
        <w:t>内封闭完毕</w:t>
      </w:r>
      <w:r>
        <w:rPr>
          <w:rFonts w:hint="eastAsia" w:ascii="MS UI Gothic" w:eastAsia="MS UI Gothic"/>
          <w:w w:val="85"/>
        </w:rPr>
        <w:t>ꎮ</w:t>
      </w:r>
    </w:p>
    <w:p>
      <w:pPr>
        <w:pStyle w:val="6"/>
        <w:spacing w:line="295" w:lineRule="auto"/>
        <w:ind w:left="440" w:right="1"/>
        <w:rPr>
          <w:rFonts w:hint="eastAsia" w:ascii="MS UI Gothic" w:eastAsia="MS UI Gothic"/>
        </w:rPr>
      </w:pPr>
      <w:r>
        <w:rPr>
          <w:spacing w:val="2"/>
        </w:rPr>
        <w:t>恢复已封闭的停工区或者采掘工作接</w:t>
      </w:r>
      <w:r>
        <w:rPr>
          <w:spacing w:val="3"/>
        </w:rPr>
        <w:t>近这些地点时</w:t>
      </w:r>
      <w:r>
        <w:rPr>
          <w:rFonts w:hint="eastAsia" w:ascii="MS UI Gothic" w:eastAsia="MS UI Gothic"/>
          <w:spacing w:val="21"/>
          <w:w w:val="80"/>
        </w:rPr>
        <w:t xml:space="preserve">ꎬ </w:t>
      </w:r>
      <w:r>
        <w:rPr>
          <w:spacing w:val="2"/>
        </w:rPr>
        <w:t>必须事先排除其中积聚的</w:t>
      </w:r>
      <w:r>
        <w:rPr>
          <w:spacing w:val="3"/>
        </w:rPr>
        <w:t>瓦斯</w:t>
      </w:r>
      <w:r>
        <w:rPr>
          <w:rFonts w:hint="eastAsia" w:ascii="MS UI Gothic" w:eastAsia="MS UI Gothic"/>
          <w:spacing w:val="19"/>
          <w:w w:val="80"/>
        </w:rPr>
        <w:t xml:space="preserve">ꎮ </w:t>
      </w:r>
      <w:r>
        <w:rPr>
          <w:spacing w:val="16"/>
        </w:rPr>
        <w:t>排除瓦斯工作必须制定安全技术</w:t>
      </w:r>
      <w:r>
        <w:rPr>
          <w:spacing w:val="3"/>
        </w:rPr>
        <w:t>措施</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spacing w:val="13"/>
        </w:rPr>
        <w:t>严禁在停风或者瓦斯超限的区域内</w:t>
      </w:r>
      <w:r>
        <w:rPr>
          <w:spacing w:val="3"/>
        </w:rPr>
        <w:t>作业</w:t>
      </w:r>
      <w:r>
        <w:rPr>
          <w:rFonts w:hint="eastAsia" w:ascii="MS UI Gothic" w:eastAsia="MS UI Gothic"/>
          <w:w w:val="80"/>
        </w:rPr>
        <w:t>ꎮ</w:t>
      </w:r>
    </w:p>
    <w:p>
      <w:pPr>
        <w:pStyle w:val="6"/>
        <w:spacing w:line="295" w:lineRule="auto"/>
        <w:ind w:left="435" w:firstLine="425"/>
        <w:rPr>
          <w:rFonts w:hint="eastAsia" w:ascii="MS UI Gothic" w:eastAsia="MS UI Gothic"/>
        </w:rPr>
      </w:pPr>
      <w:r>
        <w:rPr>
          <w:spacing w:val="4"/>
        </w:rPr>
        <w:t>第一百七十六条 局部通风机因故停</w:t>
      </w:r>
      <w:r>
        <w:rPr>
          <w:spacing w:val="3"/>
        </w:rPr>
        <w:t>止运转</w:t>
      </w:r>
      <w:r>
        <w:rPr>
          <w:rFonts w:hint="eastAsia" w:ascii="MS UI Gothic" w:eastAsia="MS UI Gothic"/>
          <w:spacing w:val="17"/>
          <w:w w:val="85"/>
        </w:rPr>
        <w:t xml:space="preserve">ꎬ </w:t>
      </w:r>
      <w:r>
        <w:rPr>
          <w:spacing w:val="3"/>
        </w:rPr>
        <w:t>在恢复通风前</w:t>
      </w:r>
      <w:r>
        <w:rPr>
          <w:rFonts w:hint="eastAsia" w:ascii="MS UI Gothic" w:eastAsia="MS UI Gothic"/>
          <w:spacing w:val="17"/>
          <w:w w:val="85"/>
        </w:rPr>
        <w:t xml:space="preserve">ꎬ </w:t>
      </w:r>
      <w:r>
        <w:rPr>
          <w:spacing w:val="2"/>
        </w:rPr>
        <w:t>必须首先检查瓦</w:t>
      </w:r>
      <w:r>
        <w:rPr>
          <w:spacing w:val="3"/>
        </w:rPr>
        <w:t>斯</w:t>
      </w:r>
      <w:r>
        <w:rPr>
          <w:rFonts w:hint="eastAsia" w:ascii="MS UI Gothic" w:eastAsia="MS UI Gothic"/>
          <w:spacing w:val="11"/>
          <w:w w:val="85"/>
        </w:rPr>
        <w:t xml:space="preserve">ꎬ </w:t>
      </w:r>
      <w:r>
        <w:rPr>
          <w:spacing w:val="14"/>
        </w:rPr>
        <w:t>只有停风区中最高甲烷浓度不超过</w:t>
      </w:r>
      <w:r>
        <w:rPr>
          <w:rFonts w:hint="eastAsia" w:ascii="MS UI Gothic" w:eastAsia="MS UI Gothic"/>
          <w:spacing w:val="14"/>
          <w:w w:val="85"/>
        </w:rPr>
        <w:t>１</w:t>
      </w:r>
      <w:r>
        <w:rPr>
          <w:rFonts w:hint="eastAsia" w:ascii="MS UI Gothic" w:eastAsia="MS UI Gothic"/>
          <w:spacing w:val="-10"/>
          <w:w w:val="85"/>
        </w:rPr>
        <w:t xml:space="preserve"> ０</w:t>
      </w:r>
      <w:r>
        <w:rPr>
          <w:spacing w:val="-31"/>
          <w:w w:val="85"/>
        </w:rPr>
        <w:t xml:space="preserve">％ </w:t>
      </w:r>
      <w:r>
        <w:rPr>
          <w:spacing w:val="3"/>
        </w:rPr>
        <w:t xml:space="preserve">和最高二氧化碳浓度不超过 </w:t>
      </w:r>
      <w:r>
        <w:rPr>
          <w:rFonts w:hint="eastAsia" w:ascii="MS UI Gothic" w:eastAsia="MS UI Gothic"/>
          <w:w w:val="85"/>
        </w:rPr>
        <w:t>１</w:t>
      </w:r>
      <w:r>
        <w:rPr>
          <w:rFonts w:hint="eastAsia" w:ascii="MS UI Gothic" w:eastAsia="MS UI Gothic"/>
          <w:spacing w:val="-9"/>
          <w:w w:val="85"/>
        </w:rPr>
        <w:t xml:space="preserve"> ５</w:t>
      </w:r>
      <w:r>
        <w:rPr>
          <w:spacing w:val="-31"/>
          <w:w w:val="85"/>
        </w:rPr>
        <w:t xml:space="preserve">％ </w:t>
      </w:r>
      <w:r>
        <w:rPr>
          <w:rFonts w:hint="eastAsia" w:ascii="MS UI Gothic" w:eastAsia="MS UI Gothic"/>
          <w:w w:val="85"/>
        </w:rPr>
        <w:t>ꎬ</w:t>
      </w:r>
      <w:r>
        <w:rPr>
          <w:spacing w:val="3"/>
        </w:rPr>
        <w:t xml:space="preserve">且局部通风机及其开关附近 </w:t>
      </w:r>
      <w:r>
        <w:rPr>
          <w:rFonts w:hint="eastAsia" w:ascii="MS UI Gothic" w:eastAsia="MS UI Gothic"/>
          <w:spacing w:val="16"/>
          <w:w w:val="85"/>
        </w:rPr>
        <w:t xml:space="preserve">１０ </w:t>
      </w:r>
      <w:r>
        <w:rPr>
          <w:rFonts w:hint="eastAsia" w:ascii="MS UI Gothic" w:eastAsia="MS UI Gothic"/>
          <w:w w:val="85"/>
        </w:rPr>
        <w:t xml:space="preserve">ｍ </w:t>
      </w:r>
      <w:r>
        <w:rPr>
          <w:spacing w:val="6"/>
        </w:rPr>
        <w:t>以内风</w:t>
      </w:r>
      <w:r>
        <w:t xml:space="preserve">流中的甲烷浓度都不超过 </w:t>
      </w:r>
      <w:r>
        <w:rPr>
          <w:rFonts w:hint="eastAsia" w:ascii="MS UI Gothic" w:eastAsia="MS UI Gothic"/>
          <w:w w:val="85"/>
        </w:rPr>
        <w:t>０</w:t>
      </w:r>
      <w:r>
        <w:rPr>
          <w:rFonts w:hint="eastAsia" w:ascii="MS UI Gothic" w:eastAsia="MS UI Gothic"/>
          <w:spacing w:val="-3"/>
          <w:w w:val="85"/>
        </w:rPr>
        <w:t xml:space="preserve"> ５</w:t>
      </w:r>
      <w:r>
        <w:rPr>
          <w:spacing w:val="-23"/>
          <w:w w:val="85"/>
        </w:rPr>
        <w:t xml:space="preserve">％ </w:t>
      </w:r>
      <w:r>
        <w:rPr>
          <w:spacing w:val="3"/>
        </w:rPr>
        <w:t>时</w:t>
      </w:r>
      <w:r>
        <w:rPr>
          <w:rFonts w:hint="eastAsia" w:ascii="MS UI Gothic" w:eastAsia="MS UI Gothic"/>
          <w:spacing w:val="22"/>
          <w:w w:val="85"/>
        </w:rPr>
        <w:t xml:space="preserve">ꎬ </w:t>
      </w:r>
      <w:r>
        <w:rPr>
          <w:spacing w:val="6"/>
        </w:rPr>
        <w:t>方可</w:t>
      </w:r>
      <w:r>
        <w:rPr>
          <w:spacing w:val="3"/>
        </w:rPr>
        <w:t>人工开启局部通风机</w:t>
      </w:r>
      <w:r>
        <w:rPr>
          <w:rFonts w:hint="eastAsia" w:ascii="MS UI Gothic" w:eastAsia="MS UI Gothic"/>
          <w:spacing w:val="21"/>
          <w:w w:val="85"/>
        </w:rPr>
        <w:t xml:space="preserve">ꎬ </w:t>
      </w:r>
      <w:r>
        <w:rPr>
          <w:spacing w:val="3"/>
        </w:rPr>
        <w:t>恢复正常通风</w:t>
      </w:r>
      <w:r>
        <w:rPr>
          <w:rFonts w:hint="eastAsia" w:ascii="MS UI Gothic" w:eastAsia="MS UI Gothic"/>
          <w:w w:val="85"/>
        </w:rPr>
        <w:t>ꎮ</w:t>
      </w:r>
    </w:p>
    <w:p>
      <w:pPr>
        <w:pStyle w:val="6"/>
        <w:spacing w:line="295" w:lineRule="auto"/>
        <w:ind w:left="440" w:right="1"/>
        <w:rPr>
          <w:rFonts w:hint="eastAsia" w:ascii="MS UI Gothic" w:eastAsia="MS UI Gothic"/>
        </w:rPr>
      </w:pPr>
      <w:r>
        <w:t xml:space="preserve">停风区中甲烷浓度超过 </w:t>
      </w:r>
      <w:r>
        <w:rPr>
          <w:rFonts w:hint="eastAsia" w:ascii="MS UI Gothic" w:eastAsia="MS UI Gothic"/>
          <w:w w:val="85"/>
        </w:rPr>
        <w:t>１ ０</w:t>
      </w:r>
      <w:r>
        <w:rPr>
          <w:w w:val="85"/>
        </w:rPr>
        <w:t xml:space="preserve">％ </w:t>
      </w:r>
      <w:r>
        <w:t xml:space="preserve">或者二氧化碳浓度超过 </w:t>
      </w:r>
      <w:r>
        <w:rPr>
          <w:rFonts w:hint="eastAsia" w:ascii="MS UI Gothic" w:eastAsia="MS UI Gothic"/>
          <w:w w:val="85"/>
        </w:rPr>
        <w:t>１ ５</w:t>
      </w:r>
      <w:r>
        <w:rPr>
          <w:w w:val="85"/>
        </w:rPr>
        <w:t xml:space="preserve">％ </w:t>
      </w:r>
      <w:r>
        <w:rPr>
          <w:rFonts w:hint="eastAsia" w:ascii="MS UI Gothic" w:eastAsia="MS UI Gothic"/>
          <w:w w:val="85"/>
        </w:rPr>
        <w:t xml:space="preserve">ꎬ </w:t>
      </w:r>
      <w:r>
        <w:t xml:space="preserve">最高甲烷浓度和二氧化碳浓度不超过 </w:t>
      </w:r>
      <w:r>
        <w:rPr>
          <w:rFonts w:hint="eastAsia" w:ascii="MS UI Gothic" w:eastAsia="MS UI Gothic"/>
          <w:w w:val="85"/>
        </w:rPr>
        <w:t>３ ０</w:t>
      </w:r>
      <w:r>
        <w:rPr>
          <w:w w:val="85"/>
        </w:rPr>
        <w:t xml:space="preserve">％ </w:t>
      </w:r>
      <w:r>
        <w:t>时</w:t>
      </w:r>
      <w:r>
        <w:rPr>
          <w:rFonts w:hint="eastAsia" w:ascii="MS UI Gothic" w:eastAsia="MS UI Gothic"/>
          <w:w w:val="85"/>
        </w:rPr>
        <w:t xml:space="preserve">ꎬ </w:t>
      </w:r>
      <w:r>
        <w:t>必须采取安全措施</w:t>
      </w:r>
      <w:r>
        <w:rPr>
          <w:rFonts w:hint="eastAsia" w:ascii="MS UI Gothic" w:eastAsia="MS UI Gothic"/>
          <w:w w:val="85"/>
        </w:rPr>
        <w:t xml:space="preserve">ꎬ </w:t>
      </w:r>
      <w:r>
        <w:t>控制风流排放瓦斯</w:t>
      </w:r>
      <w:r>
        <w:rPr>
          <w:rFonts w:hint="eastAsia" w:ascii="MS UI Gothic" w:eastAsia="MS UI Gothic"/>
          <w:w w:val="85"/>
        </w:rPr>
        <w:t>ꎮ</w:t>
      </w:r>
    </w:p>
    <w:p>
      <w:pPr>
        <w:pStyle w:val="6"/>
        <w:spacing w:line="295" w:lineRule="auto"/>
        <w:ind w:left="440" w:right="1"/>
        <w:rPr>
          <w:rFonts w:hint="eastAsia" w:ascii="MS UI Gothic" w:eastAsia="MS UI Gothic"/>
        </w:rPr>
      </w:pPr>
      <w:r>
        <w:t xml:space="preserve">停风区中甲烷浓度或者二氧化碳浓度超过 </w:t>
      </w:r>
      <w:r>
        <w:rPr>
          <w:rFonts w:hint="eastAsia" w:ascii="MS UI Gothic" w:eastAsia="MS UI Gothic"/>
          <w:w w:val="85"/>
        </w:rPr>
        <w:t>３ ０</w:t>
      </w:r>
      <w:r>
        <w:rPr>
          <w:w w:val="85"/>
        </w:rPr>
        <w:t xml:space="preserve">％ </w:t>
      </w:r>
      <w:r>
        <w:t>时</w:t>
      </w:r>
      <w:r>
        <w:rPr>
          <w:rFonts w:hint="eastAsia" w:ascii="MS UI Gothic" w:eastAsia="MS UI Gothic"/>
          <w:w w:val="85"/>
        </w:rPr>
        <w:t xml:space="preserve">ꎬ </w:t>
      </w:r>
      <w:r>
        <w:t>必须制定安全排放瓦斯措施</w:t>
      </w:r>
      <w:r>
        <w:rPr>
          <w:rFonts w:hint="eastAsia" w:ascii="MS UI Gothic" w:eastAsia="MS UI Gothic"/>
          <w:w w:val="85"/>
        </w:rPr>
        <w:t xml:space="preserve">ꎬ </w:t>
      </w:r>
      <w:r>
        <w:t>报矿总工程师批准</w:t>
      </w:r>
      <w:r>
        <w:rPr>
          <w:rFonts w:hint="eastAsia" w:ascii="MS UI Gothic" w:eastAsia="MS UI Gothic"/>
          <w:w w:val="85"/>
        </w:rPr>
        <w:t>ꎮ</w:t>
      </w:r>
    </w:p>
    <w:p>
      <w:pPr>
        <w:pStyle w:val="6"/>
        <w:spacing w:line="295" w:lineRule="auto"/>
        <w:ind w:left="440" w:right="1"/>
        <w:rPr>
          <w:rFonts w:hint="eastAsia" w:ascii="MS UI Gothic" w:eastAsia="MS UI Gothic"/>
        </w:rPr>
      </w:pPr>
      <w:r>
        <w:t>在排放瓦斯过程中</w:t>
      </w:r>
      <w:r>
        <w:rPr>
          <w:rFonts w:hint="eastAsia" w:ascii="MS UI Gothic" w:eastAsia="MS UI Gothic"/>
          <w:w w:val="85"/>
        </w:rPr>
        <w:t xml:space="preserve">ꎬ </w:t>
      </w:r>
      <w:r>
        <w:t xml:space="preserve">排出的瓦斯与全风压风流混合处的甲烷和二氧化碳浓度均不得超过 </w:t>
      </w:r>
      <w:r>
        <w:rPr>
          <w:rFonts w:hint="eastAsia" w:ascii="MS UI Gothic" w:eastAsia="MS UI Gothic"/>
          <w:w w:val="85"/>
        </w:rPr>
        <w:t>１ ５</w:t>
      </w:r>
      <w:r>
        <w:rPr>
          <w:w w:val="85"/>
        </w:rPr>
        <w:t xml:space="preserve">％ </w:t>
      </w:r>
      <w:r>
        <w:rPr>
          <w:rFonts w:hint="eastAsia" w:ascii="MS UI Gothic" w:eastAsia="MS UI Gothic"/>
          <w:w w:val="85"/>
        </w:rPr>
        <w:t xml:space="preserve">ꎬ </w:t>
      </w:r>
      <w:r>
        <w:t>且混合风流经过的所有巷道内必须停电撤人</w:t>
      </w:r>
      <w:r>
        <w:rPr>
          <w:rFonts w:hint="eastAsia" w:ascii="MS UI Gothic" w:eastAsia="MS UI Gothic"/>
          <w:w w:val="85"/>
        </w:rPr>
        <w:t xml:space="preserve">ꎬ </w:t>
      </w:r>
      <w:r>
        <w:t>其他地点的停电撤人范围应当在措施中明确规定</w:t>
      </w:r>
      <w:r>
        <w:rPr>
          <w:rFonts w:hint="eastAsia" w:ascii="MS UI Gothic" w:eastAsia="MS UI Gothic"/>
          <w:w w:val="85"/>
        </w:rPr>
        <w:t xml:space="preserve">ꎮ </w:t>
      </w:r>
      <w:r>
        <w:t xml:space="preserve">只有恢复通风的巷道风流中甲烷浓度不超过 </w:t>
      </w:r>
      <w:r>
        <w:rPr>
          <w:rFonts w:hint="eastAsia" w:ascii="MS UI Gothic" w:eastAsia="MS UI Gothic"/>
          <w:w w:val="85"/>
        </w:rPr>
        <w:t>１ ０</w:t>
      </w:r>
      <w:r>
        <w:rPr>
          <w:w w:val="85"/>
        </w:rPr>
        <w:t xml:space="preserve">％ </w:t>
      </w:r>
      <w:r>
        <w:t xml:space="preserve">和二氧化碳浓度不超过 </w:t>
      </w:r>
      <w:r>
        <w:rPr>
          <w:rFonts w:hint="eastAsia" w:ascii="MS UI Gothic" w:eastAsia="MS UI Gothic"/>
          <w:w w:val="85"/>
        </w:rPr>
        <w:t>１ ５</w:t>
      </w:r>
      <w:r>
        <w:rPr>
          <w:w w:val="85"/>
        </w:rPr>
        <w:t xml:space="preserve">％ </w:t>
      </w:r>
      <w:r>
        <w:t>时</w:t>
      </w:r>
      <w:r>
        <w:rPr>
          <w:rFonts w:hint="eastAsia" w:ascii="MS UI Gothic" w:eastAsia="MS UI Gothic"/>
          <w:w w:val="85"/>
        </w:rPr>
        <w:t xml:space="preserve">ꎬ </w:t>
      </w:r>
      <w:r>
        <w:t>方可人工恢复局部通风机供风巷道内电气设备的供电和采区回风系统内的供电</w:t>
      </w:r>
      <w:r>
        <w:rPr>
          <w:rFonts w:hint="eastAsia" w:ascii="MS UI Gothic" w:eastAsia="MS UI Gothic"/>
          <w:w w:val="85"/>
        </w:rPr>
        <w:t>ꎮ</w:t>
      </w:r>
    </w:p>
    <w:p>
      <w:pPr>
        <w:pStyle w:val="6"/>
        <w:spacing w:line="295" w:lineRule="auto"/>
        <w:ind w:left="440"/>
      </w:pPr>
      <w:r>
        <w:t>第一百七十七条 井筒施工以及开拓新水平的井巷第一次接近各开采煤层时</w:t>
      </w:r>
      <w:r>
        <w:rPr>
          <w:rFonts w:hint="eastAsia" w:ascii="MS UI Gothic" w:eastAsia="MS UI Gothic"/>
          <w:w w:val="85"/>
        </w:rPr>
        <w:t>ꎬ</w:t>
      </w:r>
      <w:r>
        <w:t>必须按掘进工作面距煤层的准确位置</w:t>
      </w:r>
      <w:r>
        <w:rPr>
          <w:rFonts w:hint="eastAsia" w:ascii="MS UI Gothic" w:eastAsia="MS UI Gothic"/>
          <w:w w:val="85"/>
        </w:rPr>
        <w:t xml:space="preserve">ꎬ </w:t>
      </w:r>
      <w:r>
        <w:t xml:space="preserve">在距煤层垂距 </w:t>
      </w:r>
      <w:r>
        <w:rPr>
          <w:rFonts w:hint="eastAsia" w:ascii="MS UI Gothic" w:eastAsia="MS UI Gothic"/>
          <w:w w:val="85"/>
        </w:rPr>
        <w:t xml:space="preserve">１０ </w:t>
      </w:r>
      <w:r>
        <w:rPr>
          <w:rFonts w:hint="eastAsia" w:ascii="MS UI Gothic" w:eastAsia="MS UI Gothic"/>
        </w:rPr>
        <w:t xml:space="preserve">ｍ </w:t>
      </w:r>
      <w:r>
        <w:t>以外开始打探煤钻孔</w:t>
      </w:r>
      <w:r>
        <w:rPr>
          <w:rFonts w:hint="eastAsia" w:ascii="MS UI Gothic" w:eastAsia="MS UI Gothic"/>
          <w:w w:val="85"/>
        </w:rPr>
        <w:t>ꎬ</w:t>
      </w:r>
      <w:r>
        <w:t xml:space="preserve">钻孔超前工作面的距离不得小于 </w:t>
      </w:r>
      <w:r>
        <w:rPr>
          <w:rFonts w:hint="eastAsia" w:ascii="MS UI Gothic" w:eastAsia="MS UI Gothic"/>
        </w:rPr>
        <w:t>５ ｍ</w:t>
      </w:r>
      <w:r>
        <w:rPr>
          <w:rFonts w:hint="eastAsia" w:ascii="MS UI Gothic" w:eastAsia="MS UI Gothic"/>
          <w:w w:val="85"/>
        </w:rPr>
        <w:t xml:space="preserve">ꎬ </w:t>
      </w:r>
      <w:r>
        <w:t>并</w:t>
      </w:r>
    </w:p>
    <w:p>
      <w:pPr>
        <w:pStyle w:val="6"/>
        <w:spacing w:before="124" w:line="295" w:lineRule="auto"/>
        <w:ind w:left="381" w:right="126" w:firstLine="0"/>
        <w:rPr>
          <w:rFonts w:hint="eastAsia" w:ascii="MS UI Gothic" w:eastAsia="MS UI Gothic"/>
        </w:rPr>
      </w:pPr>
      <w:r>
        <w:br w:type="column"/>
      </w:r>
      <w:r>
        <w:t>有专职瓦斯检查工经常检查瓦斯</w:t>
      </w:r>
      <w:r>
        <w:rPr>
          <w:rFonts w:hint="eastAsia" w:ascii="MS UI Gothic" w:eastAsia="MS UI Gothic"/>
          <w:w w:val="80"/>
        </w:rPr>
        <w:t xml:space="preserve">ꎮ </w:t>
      </w:r>
      <w:r>
        <w:t>岩巷掘进遇到煤线或者接近地质破坏带时</w:t>
      </w:r>
      <w:r>
        <w:rPr>
          <w:rFonts w:hint="eastAsia" w:ascii="MS UI Gothic" w:eastAsia="MS UI Gothic"/>
          <w:w w:val="80"/>
        </w:rPr>
        <w:t xml:space="preserve">ꎬ </w:t>
      </w:r>
      <w:r>
        <w:t>必须有专职瓦斯检查工经常检查瓦斯</w:t>
      </w:r>
      <w:r>
        <w:rPr>
          <w:rFonts w:hint="eastAsia" w:ascii="MS UI Gothic" w:eastAsia="MS UI Gothic"/>
          <w:w w:val="80"/>
        </w:rPr>
        <w:t xml:space="preserve">ꎬ </w:t>
      </w:r>
      <w:r>
        <w:t>发现瓦斯大量增加或者其他异常时</w:t>
      </w:r>
      <w:r>
        <w:rPr>
          <w:rFonts w:hint="eastAsia" w:ascii="MS UI Gothic" w:eastAsia="MS UI Gothic"/>
          <w:w w:val="80"/>
        </w:rPr>
        <w:t xml:space="preserve">ꎬ </w:t>
      </w:r>
      <w:r>
        <w:t>必须停止掘进</w:t>
      </w:r>
      <w:r>
        <w:rPr>
          <w:rFonts w:hint="eastAsia" w:ascii="MS UI Gothic" w:eastAsia="MS UI Gothic"/>
          <w:w w:val="80"/>
        </w:rPr>
        <w:t xml:space="preserve">ꎬ </w:t>
      </w:r>
      <w:r>
        <w:t>撤出人员</w:t>
      </w:r>
      <w:r>
        <w:rPr>
          <w:rFonts w:hint="eastAsia" w:ascii="MS UI Gothic" w:eastAsia="MS UI Gothic"/>
          <w:w w:val="80"/>
        </w:rPr>
        <w:t xml:space="preserve">ꎬ </w:t>
      </w:r>
      <w:r>
        <w:t>进行处理</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第一百七十八条 有瓦斯或者二氧化</w:t>
      </w:r>
      <w:r>
        <w:rPr>
          <w:spacing w:val="-13"/>
          <w:w w:val="110"/>
        </w:rPr>
        <w:t xml:space="preserve">碳喷出的煤 </w:t>
      </w:r>
      <w:r>
        <w:rPr>
          <w:rFonts w:hint="eastAsia" w:ascii="MS UI Gothic" w:eastAsia="MS UI Gothic"/>
          <w:spacing w:val="-38"/>
          <w:w w:val="135"/>
        </w:rPr>
        <w:t xml:space="preserve">( </w:t>
      </w:r>
      <w:r>
        <w:rPr>
          <w:spacing w:val="3"/>
          <w:w w:val="110"/>
        </w:rPr>
        <w:t>岩</w:t>
      </w:r>
      <w:r>
        <w:rPr>
          <w:rFonts w:hint="eastAsia" w:ascii="MS UI Gothic" w:eastAsia="MS UI Gothic"/>
          <w:spacing w:val="-20"/>
          <w:w w:val="135"/>
        </w:rPr>
        <w:t xml:space="preserve">) </w:t>
      </w:r>
      <w:r>
        <w:rPr>
          <w:spacing w:val="3"/>
          <w:w w:val="110"/>
        </w:rPr>
        <w:t>层</w:t>
      </w:r>
      <w:r>
        <w:rPr>
          <w:rFonts w:hint="eastAsia" w:ascii="MS UI Gothic" w:eastAsia="MS UI Gothic"/>
          <w:spacing w:val="-7"/>
          <w:w w:val="80"/>
        </w:rPr>
        <w:t xml:space="preserve">ꎬ </w:t>
      </w:r>
      <w:r>
        <w:rPr>
          <w:spacing w:val="2"/>
          <w:w w:val="110"/>
        </w:rPr>
        <w:t>开采前必须采取下</w:t>
      </w:r>
      <w:r>
        <w:rPr>
          <w:spacing w:val="3"/>
          <w:w w:val="110"/>
        </w:rPr>
        <w:t>列措施</w:t>
      </w:r>
      <w:r>
        <w:rPr>
          <w:rFonts w:hint="eastAsia" w:ascii="MS UI Gothic" w:eastAsia="MS UI Gothic"/>
          <w:w w:val="235"/>
        </w:rPr>
        <w:t>:</w:t>
      </w:r>
    </w:p>
    <w:p>
      <w:pPr>
        <w:pStyle w:val="6"/>
        <w:spacing w:line="295" w:lineRule="auto"/>
        <w:ind w:left="800" w:right="505" w:firstLine="0"/>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打前探钻孔或者抽排钻孔</w:t>
      </w:r>
      <w:r>
        <w:rPr>
          <w:rFonts w:hint="eastAsia" w:ascii="MS UI Gothic" w:eastAsia="MS UI Gothic"/>
          <w:w w:val="80"/>
        </w:rPr>
        <w:t>ꎮ</w:t>
      </w: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加大喷出危险区域的风量</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将喷出的瓦斯或者二氧化碳直接引入回风巷或者抽采瓦斯管路</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第一百七十九条 在有油气爆炸危险</w:t>
      </w:r>
      <w:r>
        <w:t>的矿井中</w:t>
      </w:r>
      <w:r>
        <w:rPr>
          <w:rFonts w:hint="eastAsia" w:ascii="MS UI Gothic" w:eastAsia="MS UI Gothic"/>
          <w:w w:val="80"/>
        </w:rPr>
        <w:t xml:space="preserve">ꎬ </w:t>
      </w:r>
      <w:r>
        <w:t>应当使用能检测油气成分的仪器检查各个地点的油气浓度</w:t>
      </w:r>
      <w:r>
        <w:rPr>
          <w:rFonts w:hint="eastAsia" w:ascii="MS UI Gothic" w:eastAsia="MS UI Gothic"/>
          <w:w w:val="80"/>
        </w:rPr>
        <w:t xml:space="preserve">ꎬ </w:t>
      </w:r>
      <w:r>
        <w:t>并定期采样化验油气成分和浓度</w:t>
      </w:r>
      <w:r>
        <w:rPr>
          <w:rFonts w:hint="eastAsia" w:ascii="MS UI Gothic" w:eastAsia="MS UI Gothic"/>
          <w:w w:val="80"/>
        </w:rPr>
        <w:t xml:space="preserve">ꎮ </w:t>
      </w:r>
      <w:r>
        <w:t>对油气浓度的规定</w:t>
      </w:r>
      <w:r>
        <w:rPr>
          <w:w w:val="105"/>
        </w:rPr>
        <w:t>可按本规程有关瓦斯的各项规定执行</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第一百八十条 矿井必须建立甲烷</w:t>
      </w:r>
      <w:r>
        <w:rPr>
          <w:rFonts w:hint="eastAsia" w:ascii="MS UI Gothic" w:eastAsia="MS UI Gothic"/>
          <w:w w:val="80"/>
        </w:rPr>
        <w:t>、</w:t>
      </w:r>
      <w:r>
        <w:t>二氧化碳和其他有害气体检查制度</w:t>
      </w:r>
      <w:r>
        <w:rPr>
          <w:rFonts w:hint="eastAsia" w:ascii="MS UI Gothic" w:eastAsia="MS UI Gothic"/>
          <w:w w:val="80"/>
        </w:rPr>
        <w:t xml:space="preserve">ꎬ </w:t>
      </w:r>
      <w:r>
        <w:t>并遵</w:t>
      </w:r>
      <w:r>
        <w:rPr>
          <w:w w:val="105"/>
        </w:rPr>
        <w:t>守下列规定</w:t>
      </w:r>
      <w:r>
        <w:rPr>
          <w:rFonts w:hint="eastAsia" w:ascii="MS UI Gothic" w:eastAsia="MS UI Gothic"/>
          <w:w w:val="235"/>
        </w:rPr>
        <w:t>:</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矿长</w:t>
      </w:r>
      <w:r>
        <w:rPr>
          <w:rFonts w:hint="eastAsia" w:ascii="MS UI Gothic" w:eastAsia="MS UI Gothic"/>
          <w:w w:val="80"/>
        </w:rPr>
        <w:t xml:space="preserve">、 </w:t>
      </w:r>
      <w:r>
        <w:rPr>
          <w:w w:val="105"/>
        </w:rPr>
        <w:t>矿总工程师</w:t>
      </w:r>
      <w:r>
        <w:rPr>
          <w:rFonts w:hint="eastAsia" w:ascii="MS UI Gothic" w:eastAsia="MS UI Gothic"/>
          <w:w w:val="80"/>
        </w:rPr>
        <w:t xml:space="preserve">、 </w:t>
      </w:r>
      <w:r>
        <w:rPr>
          <w:w w:val="105"/>
        </w:rPr>
        <w:t>爆破工</w:t>
      </w:r>
      <w:r>
        <w:rPr>
          <w:rFonts w:hint="eastAsia" w:ascii="MS UI Gothic" w:eastAsia="MS UI Gothic"/>
          <w:w w:val="80"/>
        </w:rPr>
        <w:t>、</w:t>
      </w:r>
      <w:r>
        <w:rPr>
          <w:w w:val="105"/>
        </w:rPr>
        <w:t>采掘区队长</w:t>
      </w:r>
      <w:r>
        <w:rPr>
          <w:rFonts w:hint="eastAsia" w:ascii="MS UI Gothic" w:eastAsia="MS UI Gothic"/>
          <w:w w:val="80"/>
        </w:rPr>
        <w:t xml:space="preserve">、 </w:t>
      </w:r>
      <w:r>
        <w:rPr>
          <w:w w:val="105"/>
        </w:rPr>
        <w:t>通风区队长</w:t>
      </w:r>
      <w:r>
        <w:rPr>
          <w:rFonts w:hint="eastAsia" w:ascii="MS UI Gothic" w:eastAsia="MS UI Gothic"/>
          <w:w w:val="80"/>
        </w:rPr>
        <w:t xml:space="preserve">、 </w:t>
      </w:r>
      <w:r>
        <w:rPr>
          <w:w w:val="105"/>
        </w:rPr>
        <w:t>工程技术人员</w:t>
      </w:r>
      <w:r>
        <w:rPr>
          <w:rFonts w:hint="eastAsia" w:ascii="MS UI Gothic" w:eastAsia="MS UI Gothic"/>
          <w:w w:val="80"/>
        </w:rPr>
        <w:t xml:space="preserve">、 </w:t>
      </w:r>
      <w:r>
        <w:rPr>
          <w:w w:val="105"/>
        </w:rPr>
        <w:t>班长</w:t>
      </w:r>
      <w:r>
        <w:rPr>
          <w:rFonts w:hint="eastAsia" w:ascii="MS UI Gothic" w:eastAsia="MS UI Gothic"/>
          <w:w w:val="80"/>
        </w:rPr>
        <w:t xml:space="preserve">、 </w:t>
      </w:r>
      <w:r>
        <w:rPr>
          <w:w w:val="105"/>
        </w:rPr>
        <w:t>流动电钳工等下井时</w:t>
      </w:r>
      <w:r>
        <w:rPr>
          <w:rFonts w:hint="eastAsia" w:ascii="MS UI Gothic" w:eastAsia="MS UI Gothic"/>
          <w:w w:val="80"/>
        </w:rPr>
        <w:t xml:space="preserve">ꎬ </w:t>
      </w:r>
      <w:r>
        <w:rPr>
          <w:w w:val="105"/>
        </w:rPr>
        <w:t>必须携</w:t>
      </w:r>
      <w:r>
        <w:t>带便携式甲烷检测报警仪</w:t>
      </w:r>
      <w:r>
        <w:rPr>
          <w:rFonts w:hint="eastAsia" w:ascii="MS UI Gothic" w:eastAsia="MS UI Gothic"/>
          <w:w w:val="80"/>
        </w:rPr>
        <w:t xml:space="preserve">ꎮ </w:t>
      </w:r>
      <w:r>
        <w:t>瓦斯检查工必须携带便携式光学甲烷检测仪和便携式甲烷检测报警仪</w:t>
      </w:r>
      <w:r>
        <w:rPr>
          <w:rFonts w:hint="eastAsia" w:ascii="MS UI Gothic" w:eastAsia="MS UI Gothic"/>
          <w:w w:val="80"/>
        </w:rPr>
        <w:t xml:space="preserve">ꎮ </w:t>
      </w:r>
      <w:r>
        <w:t>安全监测工必须携带便携</w:t>
      </w:r>
      <w:r>
        <w:rPr>
          <w:w w:val="105"/>
        </w:rPr>
        <w:t>式甲烷检测报警仪</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所有采掘工作面</w:t>
      </w:r>
      <w:r>
        <w:rPr>
          <w:rFonts w:hint="eastAsia" w:ascii="MS UI Gothic" w:eastAsia="MS UI Gothic"/>
          <w:w w:val="80"/>
        </w:rPr>
        <w:t xml:space="preserve">、 </w:t>
      </w:r>
      <w:r>
        <w:rPr>
          <w:w w:val="105"/>
        </w:rPr>
        <w:t>硐室</w:t>
      </w:r>
      <w:r>
        <w:rPr>
          <w:rFonts w:hint="eastAsia" w:ascii="MS UI Gothic" w:eastAsia="MS UI Gothic"/>
          <w:w w:val="80"/>
        </w:rPr>
        <w:t xml:space="preserve">、 </w:t>
      </w:r>
      <w:r>
        <w:rPr>
          <w:w w:val="105"/>
        </w:rPr>
        <w:t>使用中的机电设备的设置地点</w:t>
      </w:r>
      <w:r>
        <w:rPr>
          <w:rFonts w:hint="eastAsia" w:ascii="MS UI Gothic" w:eastAsia="MS UI Gothic"/>
          <w:w w:val="80"/>
        </w:rPr>
        <w:t xml:space="preserve">、 </w:t>
      </w:r>
      <w:r>
        <w:rPr>
          <w:w w:val="105"/>
        </w:rPr>
        <w:t>有人员作业的地点都应当纳入检查范围</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采掘工作面的甲烷浓度检查次</w:t>
      </w:r>
      <w:r>
        <w:rPr>
          <w:w w:val="115"/>
        </w:rPr>
        <w:t>数如下</w:t>
      </w:r>
      <w:r>
        <w:rPr>
          <w:rFonts w:hint="eastAsia" w:ascii="MS UI Gothic" w:eastAsia="MS UI Gothic"/>
          <w:w w:val="235"/>
        </w:rPr>
        <w:t>:</w:t>
      </w:r>
    </w:p>
    <w:p>
      <w:pPr>
        <w:pStyle w:val="6"/>
        <w:spacing w:line="255" w:lineRule="exact"/>
        <w:ind w:left="794" w:firstLine="0"/>
        <w:rPr>
          <w:rFonts w:hint="eastAsia" w:ascii="MS UI Gothic" w:eastAsia="MS UI Gothic"/>
        </w:rPr>
      </w:pPr>
      <w:r>
        <w:rPr>
          <w:rFonts w:hint="eastAsia" w:ascii="MS UI Gothic" w:eastAsia="MS UI Gothic"/>
        </w:rPr>
        <w:t>１</w:t>
      </w:r>
      <w:r>
        <w:rPr>
          <w:rFonts w:hint="eastAsia" w:ascii="MS UI Gothic" w:eastAsia="MS UI Gothic"/>
          <w:spacing w:val="-5"/>
        </w:rPr>
        <w:t xml:space="preserve"> </w:t>
      </w:r>
      <w:r>
        <w:rPr>
          <w:spacing w:val="3"/>
        </w:rPr>
        <w:t>低瓦斯矿井</w:t>
      </w:r>
      <w:r>
        <w:rPr>
          <w:rFonts w:hint="eastAsia" w:ascii="MS UI Gothic" w:eastAsia="MS UI Gothic"/>
          <w:spacing w:val="2"/>
          <w:w w:val="85"/>
        </w:rPr>
        <w:t xml:space="preserve">ꎬ </w:t>
      </w:r>
      <w:r>
        <w:rPr>
          <w:spacing w:val="-14"/>
        </w:rPr>
        <w:t xml:space="preserve">每班至少 </w:t>
      </w:r>
      <w:r>
        <w:rPr>
          <w:rFonts w:hint="eastAsia" w:ascii="MS UI Gothic" w:eastAsia="MS UI Gothic"/>
          <w:spacing w:val="-16"/>
        </w:rPr>
        <w:t xml:space="preserve">２ </w:t>
      </w:r>
      <w:r>
        <w:rPr>
          <w:spacing w:val="3"/>
        </w:rPr>
        <w:t>次</w:t>
      </w:r>
      <w:r>
        <w:rPr>
          <w:rFonts w:hint="eastAsia" w:ascii="MS UI Gothic" w:eastAsia="MS UI Gothic"/>
          <w:w w:val="85"/>
        </w:rPr>
        <w:t>ꎻ</w:t>
      </w:r>
    </w:p>
    <w:p>
      <w:pPr>
        <w:pStyle w:val="6"/>
        <w:spacing w:before="34"/>
        <w:ind w:left="794" w:firstLine="0"/>
        <w:rPr>
          <w:rFonts w:hint="eastAsia" w:ascii="MS UI Gothic" w:eastAsia="MS UI Gothic"/>
        </w:rPr>
      </w:pPr>
      <w:r>
        <w:rPr>
          <w:rFonts w:hint="eastAsia" w:ascii="MS UI Gothic" w:eastAsia="MS UI Gothic"/>
        </w:rPr>
        <w:t>２</w:t>
      </w:r>
      <w:r>
        <w:rPr>
          <w:rFonts w:hint="eastAsia" w:ascii="MS UI Gothic" w:eastAsia="MS UI Gothic"/>
          <w:spacing w:val="-5"/>
        </w:rPr>
        <w:t xml:space="preserve"> </w:t>
      </w:r>
      <w:r>
        <w:rPr>
          <w:spacing w:val="3"/>
        </w:rPr>
        <w:t>高瓦斯矿井</w:t>
      </w:r>
      <w:r>
        <w:rPr>
          <w:rFonts w:hint="eastAsia" w:ascii="MS UI Gothic" w:eastAsia="MS UI Gothic"/>
          <w:spacing w:val="2"/>
          <w:w w:val="85"/>
        </w:rPr>
        <w:t xml:space="preserve">ꎬ </w:t>
      </w:r>
      <w:r>
        <w:rPr>
          <w:spacing w:val="-14"/>
        </w:rPr>
        <w:t xml:space="preserve">每班至少 </w:t>
      </w:r>
      <w:r>
        <w:rPr>
          <w:rFonts w:hint="eastAsia" w:ascii="MS UI Gothic" w:eastAsia="MS UI Gothic"/>
          <w:spacing w:val="-16"/>
        </w:rPr>
        <w:t xml:space="preserve">３ </w:t>
      </w:r>
      <w:r>
        <w:rPr>
          <w:spacing w:val="3"/>
        </w:rPr>
        <w:t>次</w:t>
      </w:r>
      <w:r>
        <w:rPr>
          <w:rFonts w:hint="eastAsia" w:ascii="MS UI Gothic" w:eastAsia="MS UI Gothic"/>
          <w:w w:val="85"/>
        </w:rPr>
        <w:t>ꎻ</w:t>
      </w:r>
    </w:p>
    <w:p>
      <w:pPr>
        <w:pStyle w:val="6"/>
        <w:spacing w:before="58" w:line="295" w:lineRule="auto"/>
        <w:ind w:left="381" w:right="124" w:firstLine="413"/>
        <w:rPr>
          <w:rFonts w:hint="eastAsia" w:ascii="MS UI Gothic" w:eastAsia="MS UI Gothic"/>
        </w:rPr>
      </w:pPr>
      <w:r>
        <w:rPr>
          <w:rFonts w:hint="eastAsia" w:ascii="MS UI Gothic" w:eastAsia="MS UI Gothic"/>
        </w:rPr>
        <w:t xml:space="preserve">３ </w:t>
      </w:r>
      <w:r>
        <w:t>突出煤层</w:t>
      </w:r>
      <w:r>
        <w:rPr>
          <w:rFonts w:hint="eastAsia" w:ascii="MS UI Gothic" w:eastAsia="MS UI Gothic"/>
        </w:rPr>
        <w:t xml:space="preserve">、 </w:t>
      </w:r>
      <w:r>
        <w:t>有瓦斯喷出危险或者瓦斯涌出较大</w:t>
      </w:r>
      <w:r>
        <w:rPr>
          <w:rFonts w:hint="eastAsia" w:ascii="MS UI Gothic" w:eastAsia="MS UI Gothic"/>
        </w:rPr>
        <w:t xml:space="preserve">、 </w:t>
      </w:r>
      <w:r>
        <w:t>变化异常的采掘工作面</w:t>
      </w:r>
      <w:r>
        <w:rPr>
          <w:rFonts w:hint="eastAsia" w:ascii="MS UI Gothic" w:eastAsia="MS UI Gothic"/>
          <w:w w:val="85"/>
        </w:rPr>
        <w:t>ꎬ</w:t>
      </w:r>
      <w:r>
        <w:t>必须有专人经常检查</w:t>
      </w:r>
      <w:r>
        <w:rPr>
          <w:rFonts w:hint="eastAsia" w:ascii="MS UI Gothic" w:eastAsia="MS UI Gothic"/>
          <w:w w:val="85"/>
        </w:rPr>
        <w:t>ꎮ</w:t>
      </w:r>
    </w:p>
    <w:p>
      <w:pPr>
        <w:pStyle w:val="6"/>
        <w:spacing w:line="295" w:lineRule="auto"/>
        <w:ind w:left="381" w:right="126"/>
      </w:pPr>
      <w:r>
        <w:rPr>
          <w:rFonts w:hint="eastAsia" w:ascii="MS UI Gothic" w:eastAsia="MS UI Gothic"/>
          <w:spacing w:val="-21"/>
          <w:w w:val="105"/>
        </w:rPr>
        <w:t xml:space="preserve">( </w:t>
      </w:r>
      <w:r>
        <w:rPr>
          <w:spacing w:val="3"/>
          <w:w w:val="105"/>
        </w:rPr>
        <w:t>四</w:t>
      </w:r>
      <w:r>
        <w:rPr>
          <w:rFonts w:hint="eastAsia" w:ascii="MS UI Gothic" w:eastAsia="MS UI Gothic"/>
          <w:spacing w:val="5"/>
          <w:w w:val="105"/>
        </w:rPr>
        <w:t xml:space="preserve">) </w:t>
      </w:r>
      <w:r>
        <w:rPr>
          <w:spacing w:val="5"/>
          <w:w w:val="105"/>
        </w:rPr>
        <w:t>采掘工作面二氧化碳浓度应当</w:t>
      </w:r>
      <w:r>
        <w:rPr>
          <w:spacing w:val="-11"/>
          <w:w w:val="110"/>
        </w:rPr>
        <w:t xml:space="preserve">每班至少检查 </w:t>
      </w:r>
      <w:r>
        <w:rPr>
          <w:rFonts w:hint="eastAsia" w:ascii="MS UI Gothic" w:eastAsia="MS UI Gothic"/>
          <w:spacing w:val="-11"/>
          <w:w w:val="80"/>
        </w:rPr>
        <w:t xml:space="preserve">２ </w:t>
      </w:r>
      <w:r>
        <w:rPr>
          <w:spacing w:val="3"/>
          <w:w w:val="110"/>
        </w:rPr>
        <w:t>次</w:t>
      </w:r>
      <w:r>
        <w:rPr>
          <w:rFonts w:hint="eastAsia" w:ascii="MS UI Gothic" w:eastAsia="MS UI Gothic"/>
          <w:w w:val="80"/>
        </w:rPr>
        <w:t xml:space="preserve">ꎻ </w:t>
      </w:r>
      <w:r>
        <w:rPr>
          <w:spacing w:val="-25"/>
          <w:w w:val="110"/>
        </w:rPr>
        <w:t xml:space="preserve">有煤 </w:t>
      </w:r>
      <w:r>
        <w:rPr>
          <w:rFonts w:hint="eastAsia" w:ascii="MS UI Gothic" w:eastAsia="MS UI Gothic"/>
          <w:spacing w:val="-41"/>
          <w:w w:val="150"/>
        </w:rPr>
        <w:t xml:space="preserve">( </w:t>
      </w:r>
      <w:r>
        <w:rPr>
          <w:spacing w:val="3"/>
          <w:w w:val="110"/>
        </w:rPr>
        <w:t>岩</w:t>
      </w:r>
      <w:r>
        <w:rPr>
          <w:rFonts w:hint="eastAsia" w:ascii="MS UI Gothic" w:eastAsia="MS UI Gothic"/>
          <w:spacing w:val="-16"/>
          <w:w w:val="150"/>
        </w:rPr>
        <w:t xml:space="preserve">) </w:t>
      </w:r>
      <w:r>
        <w:rPr>
          <w:spacing w:val="2"/>
          <w:w w:val="110"/>
        </w:rPr>
        <w:t>与二氧化</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２６６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24" o:spid="_x0000_s1824" o:spt="203" style="height:2.15pt;width:398.25pt;" coordsize="7965,43">
            <o:lock v:ext="edit"/>
            <v:line id="_x0000_s1825" o:spid="_x0000_s1825" o:spt="20" style="position:absolute;left:0;top:39;height:0;width:7965;" stroked="t" coordsize="21600,21600">
              <v:path arrowok="t"/>
              <v:fill focussize="0,0"/>
              <v:stroke weight="0.388031496062992pt" color="#231F20"/>
              <v:imagedata o:title=""/>
              <o:lock v:ext="edit"/>
            </v:line>
            <v:line id="_x0000_s1826" o:spid="_x0000_s182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碳突出危险或者二氧化碳涌出量较大</w:t>
      </w:r>
      <w:r>
        <w:rPr>
          <w:rFonts w:hint="eastAsia" w:ascii="MS UI Gothic" w:eastAsia="MS UI Gothic"/>
          <w:w w:val="80"/>
        </w:rPr>
        <w:t xml:space="preserve">、 </w:t>
      </w:r>
      <w:r>
        <w:t>变化异常的采掘工作面</w:t>
      </w:r>
      <w:r>
        <w:rPr>
          <w:rFonts w:hint="eastAsia" w:ascii="MS UI Gothic" w:eastAsia="MS UI Gothic"/>
          <w:w w:val="80"/>
        </w:rPr>
        <w:t xml:space="preserve">ꎬ </w:t>
      </w:r>
      <w:r>
        <w:t>必须有专人经常检查二氧化碳浓度</w:t>
      </w:r>
      <w:r>
        <w:rPr>
          <w:rFonts w:hint="eastAsia" w:ascii="MS UI Gothic" w:eastAsia="MS UI Gothic"/>
          <w:w w:val="80"/>
        </w:rPr>
        <w:t xml:space="preserve">ꎮ </w:t>
      </w:r>
      <w:r>
        <w:t>对于未进行作业的采掘工作面</w:t>
      </w:r>
      <w:r>
        <w:rPr>
          <w:rFonts w:hint="eastAsia" w:ascii="MS UI Gothic" w:eastAsia="MS UI Gothic"/>
          <w:w w:val="80"/>
        </w:rPr>
        <w:t xml:space="preserve">ꎬ </w:t>
      </w:r>
      <w:r>
        <w:t>可能涌出或者积聚甲烷</w:t>
      </w:r>
      <w:r>
        <w:rPr>
          <w:rFonts w:hint="eastAsia" w:ascii="MS UI Gothic" w:eastAsia="MS UI Gothic"/>
          <w:w w:val="80"/>
        </w:rPr>
        <w:t xml:space="preserve">、 </w:t>
      </w:r>
      <w:r>
        <w:t>二氧化碳的硐室和巷道</w:t>
      </w:r>
      <w:r>
        <w:rPr>
          <w:rFonts w:hint="eastAsia" w:ascii="MS UI Gothic" w:eastAsia="MS UI Gothic"/>
          <w:w w:val="80"/>
        </w:rPr>
        <w:t xml:space="preserve">ꎬ </w:t>
      </w:r>
      <w:r>
        <w:t xml:space="preserve">应当每班至少检查 </w:t>
      </w:r>
      <w:r>
        <w:rPr>
          <w:rFonts w:hint="eastAsia" w:ascii="MS UI Gothic" w:eastAsia="MS UI Gothic"/>
          <w:w w:val="80"/>
        </w:rPr>
        <w:t xml:space="preserve">１ </w:t>
      </w:r>
      <w:r>
        <w:t>次甲烷</w:t>
      </w:r>
      <w:r>
        <w:rPr>
          <w:rFonts w:hint="eastAsia" w:ascii="MS UI Gothic" w:eastAsia="MS UI Gothic"/>
          <w:w w:val="80"/>
        </w:rPr>
        <w:t xml:space="preserve">、 </w:t>
      </w:r>
      <w:r>
        <w:t>二氧化碳浓度</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瓦斯检查工必须执行瓦斯巡回</w:t>
      </w:r>
      <w:r>
        <w:t>检查制度和请示报告制度</w:t>
      </w:r>
      <w:r>
        <w:rPr>
          <w:rFonts w:hint="eastAsia" w:ascii="MS UI Gothic" w:eastAsia="MS UI Gothic"/>
          <w:w w:val="80"/>
        </w:rPr>
        <w:t xml:space="preserve">ꎬ </w:t>
      </w:r>
      <w:r>
        <w:t>并认真填写瓦斯检查班报</w:t>
      </w:r>
      <w:r>
        <w:rPr>
          <w:rFonts w:hint="eastAsia" w:ascii="MS UI Gothic" w:eastAsia="MS UI Gothic"/>
          <w:w w:val="80"/>
        </w:rPr>
        <w:t xml:space="preserve">ꎮ </w:t>
      </w:r>
      <w:r>
        <w:t>每次检查结果必须记入瓦斯检查班报手册和检查地点的记录牌上</w:t>
      </w:r>
      <w:r>
        <w:rPr>
          <w:rFonts w:hint="eastAsia" w:ascii="MS UI Gothic" w:eastAsia="MS UI Gothic"/>
          <w:w w:val="80"/>
        </w:rPr>
        <w:t xml:space="preserve">ꎬ </w:t>
      </w:r>
      <w:r>
        <w:t>并通知现场工作人员</w:t>
      </w:r>
      <w:r>
        <w:rPr>
          <w:rFonts w:hint="eastAsia" w:ascii="MS UI Gothic" w:eastAsia="MS UI Gothic"/>
          <w:w w:val="80"/>
        </w:rPr>
        <w:t xml:space="preserve">ꎮ </w:t>
      </w:r>
      <w:r>
        <w:t>甲烷浓度超过本规程规定时</w:t>
      </w:r>
      <w:r>
        <w:rPr>
          <w:rFonts w:hint="eastAsia" w:ascii="MS UI Gothic" w:eastAsia="MS UI Gothic"/>
          <w:w w:val="80"/>
        </w:rPr>
        <w:t xml:space="preserve">ꎬ </w:t>
      </w:r>
      <w:r>
        <w:t>瓦斯检查工有权责令现场人员停</w:t>
      </w:r>
      <w:r>
        <w:rPr>
          <w:w w:val="105"/>
        </w:rPr>
        <w:t>止工作</w:t>
      </w:r>
      <w:r>
        <w:rPr>
          <w:rFonts w:hint="eastAsia" w:ascii="MS UI Gothic" w:eastAsia="MS UI Gothic"/>
          <w:w w:val="80"/>
        </w:rPr>
        <w:t xml:space="preserve">ꎬ </w:t>
      </w:r>
      <w:r>
        <w:rPr>
          <w:w w:val="105"/>
        </w:rPr>
        <w:t>并撤到安全地点</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在有自然发火危险的矿井</w:t>
      </w:r>
      <w:r>
        <w:rPr>
          <w:rFonts w:hint="eastAsia" w:ascii="MS UI Gothic" w:eastAsia="MS UI Gothic"/>
          <w:w w:val="80"/>
        </w:rPr>
        <w:t xml:space="preserve">ꎬ </w:t>
      </w:r>
      <w:r>
        <w:rPr>
          <w:w w:val="105"/>
        </w:rPr>
        <w:t>必须定期检查一氧化碳浓度</w:t>
      </w:r>
      <w:r>
        <w:rPr>
          <w:rFonts w:hint="eastAsia" w:ascii="MS UI Gothic" w:eastAsia="MS UI Gothic"/>
          <w:w w:val="80"/>
        </w:rPr>
        <w:t xml:space="preserve">、 </w:t>
      </w:r>
      <w:r>
        <w:rPr>
          <w:w w:val="105"/>
        </w:rPr>
        <w:t>气体温度等变化情况</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七</w:t>
      </w:r>
      <w:r>
        <w:rPr>
          <w:rFonts w:hint="eastAsia" w:ascii="MS UI Gothic" w:eastAsia="MS UI Gothic"/>
          <w:spacing w:val="3"/>
          <w:w w:val="150"/>
        </w:rPr>
        <w:t xml:space="preserve">) </w:t>
      </w:r>
      <w:r>
        <w:rPr>
          <w:spacing w:val="5"/>
          <w:w w:val="105"/>
        </w:rPr>
        <w:t>井下停风地点栅栏外风流中的</w:t>
      </w:r>
      <w:r>
        <w:rPr>
          <w:spacing w:val="-6"/>
          <w:w w:val="105"/>
        </w:rPr>
        <w:t xml:space="preserve">甲烷浓度每天至少检查 </w:t>
      </w:r>
      <w:r>
        <w:rPr>
          <w:rFonts w:hint="eastAsia" w:ascii="MS UI Gothic" w:eastAsia="MS UI Gothic"/>
          <w:spacing w:val="-12"/>
          <w:w w:val="80"/>
        </w:rPr>
        <w:t xml:space="preserve">１ </w:t>
      </w:r>
      <w:r>
        <w:rPr>
          <w:spacing w:val="3"/>
          <w:w w:val="105"/>
        </w:rPr>
        <w:t>次</w:t>
      </w:r>
      <w:r>
        <w:rPr>
          <w:rFonts w:hint="eastAsia" w:ascii="MS UI Gothic" w:eastAsia="MS UI Gothic"/>
          <w:spacing w:val="-2"/>
          <w:w w:val="80"/>
        </w:rPr>
        <w:t xml:space="preserve">ꎬ </w:t>
      </w:r>
      <w:r>
        <w:rPr>
          <w:spacing w:val="3"/>
          <w:w w:val="105"/>
        </w:rPr>
        <w:t>密闭外的甲</w:t>
      </w:r>
      <w:r>
        <w:rPr>
          <w:spacing w:val="-5"/>
          <w:w w:val="105"/>
        </w:rPr>
        <w:t xml:space="preserve">烷浓度每周至少检查 </w:t>
      </w:r>
      <w:r>
        <w:rPr>
          <w:rFonts w:hint="eastAsia" w:ascii="MS UI Gothic" w:eastAsia="MS UI Gothic"/>
          <w:spacing w:val="2"/>
          <w:w w:val="80"/>
        </w:rPr>
        <w:t xml:space="preserve">１ </w:t>
      </w:r>
      <w:r>
        <w:rPr>
          <w:spacing w:val="3"/>
          <w:w w:val="105"/>
        </w:rPr>
        <w:t>次</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29"/>
          <w:w w:val="150"/>
        </w:rPr>
        <w:t xml:space="preserve">( </w:t>
      </w:r>
      <w:r>
        <w:rPr>
          <w:spacing w:val="3"/>
        </w:rPr>
        <w:t>八</w:t>
      </w:r>
      <w:r>
        <w:rPr>
          <w:rFonts w:hint="eastAsia" w:ascii="MS UI Gothic" w:eastAsia="MS UI Gothic"/>
          <w:spacing w:val="12"/>
          <w:w w:val="150"/>
        </w:rPr>
        <w:t xml:space="preserve">) </w:t>
      </w:r>
      <w:r>
        <w:rPr>
          <w:spacing w:val="5"/>
        </w:rPr>
        <w:t>通风值班人员必须审阅瓦斯班</w:t>
      </w:r>
      <w:r>
        <w:rPr>
          <w:spacing w:val="3"/>
        </w:rPr>
        <w:t>报</w:t>
      </w:r>
      <w:r>
        <w:rPr>
          <w:rFonts w:hint="eastAsia" w:ascii="MS UI Gothic" w:eastAsia="MS UI Gothic"/>
          <w:spacing w:val="15"/>
          <w:w w:val="80"/>
        </w:rPr>
        <w:t xml:space="preserve">ꎬ </w:t>
      </w:r>
      <w:r>
        <w:rPr>
          <w:spacing w:val="3"/>
        </w:rPr>
        <w:t>掌握瓦斯变化情况</w:t>
      </w:r>
      <w:r>
        <w:rPr>
          <w:rFonts w:hint="eastAsia" w:ascii="MS UI Gothic" w:eastAsia="MS UI Gothic"/>
          <w:spacing w:val="15"/>
          <w:w w:val="80"/>
        </w:rPr>
        <w:t xml:space="preserve">ꎬ </w:t>
      </w:r>
      <w:r>
        <w:rPr>
          <w:spacing w:val="3"/>
        </w:rPr>
        <w:t>发现问题</w:t>
      </w:r>
      <w:r>
        <w:rPr>
          <w:rFonts w:hint="eastAsia" w:ascii="MS UI Gothic" w:eastAsia="MS UI Gothic"/>
          <w:spacing w:val="15"/>
          <w:w w:val="80"/>
        </w:rPr>
        <w:t xml:space="preserve">ꎬ </w:t>
      </w:r>
      <w:r>
        <w:rPr>
          <w:spacing w:val="1"/>
        </w:rPr>
        <w:t>及时</w:t>
      </w:r>
      <w:r>
        <w:rPr>
          <w:spacing w:val="3"/>
        </w:rPr>
        <w:t>处理</w:t>
      </w:r>
      <w:r>
        <w:rPr>
          <w:rFonts w:hint="eastAsia" w:ascii="MS UI Gothic" w:eastAsia="MS UI Gothic"/>
          <w:spacing w:val="2"/>
          <w:w w:val="80"/>
        </w:rPr>
        <w:t xml:space="preserve">ꎬ </w:t>
      </w:r>
      <w:r>
        <w:rPr>
          <w:spacing w:val="3"/>
        </w:rPr>
        <w:t>并向矿调度室汇报</w:t>
      </w:r>
      <w:r>
        <w:rPr>
          <w:rFonts w:hint="eastAsia" w:ascii="MS UI Gothic" w:eastAsia="MS UI Gothic"/>
          <w:w w:val="80"/>
        </w:rPr>
        <w:t>ꎮ</w:t>
      </w:r>
    </w:p>
    <w:p>
      <w:pPr>
        <w:pStyle w:val="6"/>
        <w:spacing w:line="295" w:lineRule="auto"/>
        <w:ind w:right="38"/>
        <w:rPr>
          <w:rFonts w:hint="eastAsia" w:ascii="MS UI Gothic" w:eastAsia="MS UI Gothic"/>
        </w:rPr>
      </w:pPr>
      <w:r>
        <w:t>通风瓦斯日报必须送矿长</w:t>
      </w:r>
      <w:r>
        <w:rPr>
          <w:rFonts w:hint="eastAsia" w:ascii="MS UI Gothic" w:eastAsia="MS UI Gothic"/>
          <w:w w:val="80"/>
        </w:rPr>
        <w:t xml:space="preserve">、 </w:t>
      </w:r>
      <w:r>
        <w:t>矿总工程师审阅</w:t>
      </w:r>
      <w:r>
        <w:rPr>
          <w:rFonts w:hint="eastAsia" w:ascii="MS UI Gothic" w:eastAsia="MS UI Gothic"/>
          <w:w w:val="80"/>
        </w:rPr>
        <w:t xml:space="preserve">ꎬ </w:t>
      </w:r>
      <w:r>
        <w:t>一矿多井的矿必须同时送井长</w:t>
      </w:r>
      <w:r>
        <w:rPr>
          <w:rFonts w:hint="eastAsia" w:ascii="MS UI Gothic" w:eastAsia="MS UI Gothic"/>
          <w:w w:val="80"/>
        </w:rPr>
        <w:t>、</w:t>
      </w:r>
      <w:r>
        <w:t>井技术负责人审阅</w:t>
      </w:r>
      <w:r>
        <w:rPr>
          <w:rFonts w:hint="eastAsia" w:ascii="MS UI Gothic" w:eastAsia="MS UI Gothic"/>
          <w:w w:val="80"/>
        </w:rPr>
        <w:t xml:space="preserve">ꎮ </w:t>
      </w:r>
      <w:r>
        <w:t>对重大的通风</w:t>
      </w:r>
      <w:r>
        <w:rPr>
          <w:rFonts w:hint="eastAsia" w:ascii="MS UI Gothic" w:eastAsia="MS UI Gothic"/>
          <w:w w:val="80"/>
        </w:rPr>
        <w:t xml:space="preserve">、 </w:t>
      </w:r>
      <w:r>
        <w:t>瓦斯问题</w:t>
      </w:r>
      <w:r>
        <w:rPr>
          <w:rFonts w:hint="eastAsia" w:ascii="MS UI Gothic" w:eastAsia="MS UI Gothic"/>
          <w:w w:val="80"/>
        </w:rPr>
        <w:t xml:space="preserve">ꎬ </w:t>
      </w:r>
      <w:r>
        <w:t>应当制定措施</w:t>
      </w:r>
      <w:r>
        <w:rPr>
          <w:rFonts w:hint="eastAsia" w:ascii="MS UI Gothic" w:eastAsia="MS UI Gothic"/>
          <w:w w:val="80"/>
        </w:rPr>
        <w:t xml:space="preserve">ꎬ </w:t>
      </w:r>
      <w:r>
        <w:t>进行处理</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第一百八十一条 突出矿井必须建立地面永久抽采瓦斯系统</w:t>
      </w:r>
      <w:r>
        <w:rPr>
          <w:rFonts w:hint="eastAsia" w:ascii="MS UI Gothic" w:eastAsia="MS UI Gothic"/>
          <w:w w:val="80"/>
        </w:rPr>
        <w:t>ꎮ</w:t>
      </w:r>
    </w:p>
    <w:p>
      <w:pPr>
        <w:pStyle w:val="6"/>
        <w:spacing w:line="295" w:lineRule="auto"/>
        <w:ind w:right="39"/>
        <w:rPr>
          <w:rFonts w:hint="eastAsia" w:ascii="MS UI Gothic" w:eastAsia="MS UI Gothic"/>
        </w:rPr>
      </w:pPr>
      <w:r>
        <w:t>有下列情况之一的矿井</w:t>
      </w:r>
      <w:r>
        <w:rPr>
          <w:rFonts w:hint="eastAsia" w:ascii="MS UI Gothic" w:eastAsia="MS UI Gothic"/>
          <w:w w:val="80"/>
        </w:rPr>
        <w:t xml:space="preserve">ꎬ </w:t>
      </w:r>
      <w:r>
        <w:t>必须建立地面永久抽采瓦斯系统或者井下临时抽采瓦</w:t>
      </w:r>
      <w:r>
        <w:rPr>
          <w:w w:val="110"/>
        </w:rPr>
        <w:t>斯系统</w:t>
      </w:r>
      <w:r>
        <w:rPr>
          <w:rFonts w:hint="eastAsia" w:ascii="MS UI Gothic" w:eastAsia="MS UI Gothic"/>
          <w:w w:val="235"/>
        </w:rPr>
        <w:t>:</w:t>
      </w:r>
    </w:p>
    <w:p>
      <w:pPr>
        <w:pStyle w:val="6"/>
        <w:spacing w:line="288" w:lineRule="auto"/>
        <w:ind w:right="39"/>
        <w:rPr>
          <w:rFonts w:hint="eastAsia" w:ascii="MS UI Gothic" w:eastAsia="MS UI Gothic"/>
        </w:rPr>
      </w:pPr>
      <w:r>
        <w:rPr>
          <w:rFonts w:hint="eastAsia" w:ascii="MS UI Gothic" w:eastAsia="MS UI Gothic"/>
          <w:w w:val="140"/>
        </w:rPr>
        <w:t xml:space="preserve">( </w:t>
      </w:r>
      <w:r>
        <w:t>一</w:t>
      </w:r>
      <w:r>
        <w:rPr>
          <w:rFonts w:hint="eastAsia" w:ascii="MS UI Gothic" w:eastAsia="MS UI Gothic"/>
          <w:w w:val="140"/>
        </w:rPr>
        <w:t xml:space="preserve">) </w:t>
      </w:r>
      <w:r>
        <w:t xml:space="preserve">任一采煤工作面的瓦斯涌出量大于 </w:t>
      </w:r>
      <w:r>
        <w:rPr>
          <w:rFonts w:hint="eastAsia" w:ascii="MS UI Gothic" w:eastAsia="MS UI Gothic"/>
        </w:rPr>
        <w:t>５ ｍ</w:t>
      </w:r>
      <w:r>
        <w:rPr>
          <w:rFonts w:hint="eastAsia" w:ascii="MS UI Gothic" w:eastAsia="MS UI Gothic"/>
          <w:position w:val="9"/>
          <w:sz w:val="12"/>
        </w:rPr>
        <w:t xml:space="preserve">３ </w:t>
      </w:r>
      <w:r>
        <w:rPr>
          <w:rFonts w:hint="eastAsia" w:ascii="MS UI Gothic" w:eastAsia="MS UI Gothic"/>
          <w:w w:val="75"/>
        </w:rPr>
        <w:t xml:space="preserve">/ </w:t>
      </w:r>
      <w:r>
        <w:rPr>
          <w:rFonts w:hint="eastAsia" w:ascii="MS UI Gothic" w:eastAsia="MS UI Gothic"/>
        </w:rPr>
        <w:t xml:space="preserve">ｍｉｎ </w:t>
      </w:r>
      <w:r>
        <w:t xml:space="preserve">或者任一掘进工作面瓦斯涌出量大于 </w:t>
      </w:r>
      <w:r>
        <w:rPr>
          <w:rFonts w:hint="eastAsia" w:ascii="MS UI Gothic" w:eastAsia="MS UI Gothic"/>
        </w:rPr>
        <w:t>３ ｍ</w:t>
      </w:r>
      <w:r>
        <w:rPr>
          <w:rFonts w:hint="eastAsia" w:ascii="MS UI Gothic" w:eastAsia="MS UI Gothic"/>
          <w:position w:val="9"/>
          <w:sz w:val="12"/>
        </w:rPr>
        <w:t xml:space="preserve">３ </w:t>
      </w:r>
      <w:r>
        <w:rPr>
          <w:rFonts w:hint="eastAsia" w:ascii="MS UI Gothic" w:eastAsia="MS UI Gothic"/>
          <w:w w:val="75"/>
        </w:rPr>
        <w:t xml:space="preserve">/ </w:t>
      </w:r>
      <w:r>
        <w:rPr>
          <w:rFonts w:hint="eastAsia" w:ascii="MS UI Gothic" w:eastAsia="MS UI Gothic"/>
        </w:rPr>
        <w:t>ｍｉｎ</w:t>
      </w:r>
      <w:r>
        <w:rPr>
          <w:rFonts w:hint="eastAsia" w:ascii="MS UI Gothic" w:eastAsia="MS UI Gothic"/>
          <w:w w:val="75"/>
        </w:rPr>
        <w:t xml:space="preserve">ꎬ </w:t>
      </w:r>
      <w:r>
        <w:t>用通风方法解决瓦斯问题不合理的</w:t>
      </w:r>
      <w:r>
        <w:rPr>
          <w:rFonts w:hint="eastAsia" w:ascii="MS UI Gothic" w:eastAsia="MS UI Gothic"/>
          <w:w w:val="75"/>
        </w:rPr>
        <w:t>ꎮ</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矿井绝对瓦斯涌出量达到下列</w:t>
      </w:r>
      <w:r>
        <w:rPr>
          <w:w w:val="115"/>
        </w:rPr>
        <w:t>条件的</w:t>
      </w:r>
      <w:r>
        <w:rPr>
          <w:rFonts w:hint="eastAsia" w:ascii="MS UI Gothic" w:eastAsia="MS UI Gothic"/>
          <w:w w:val="235"/>
        </w:rPr>
        <w:t>:</w:t>
      </w:r>
    </w:p>
    <w:p>
      <w:pPr>
        <w:pStyle w:val="6"/>
        <w:spacing w:line="255" w:lineRule="exact"/>
        <w:ind w:left="538" w:firstLine="0"/>
        <w:jc w:val="left"/>
        <w:rPr>
          <w:rFonts w:hint="eastAsia" w:ascii="MS UI Gothic" w:eastAsia="MS UI Gothic"/>
        </w:rPr>
      </w:pPr>
      <w:r>
        <w:rPr>
          <w:rFonts w:hint="eastAsia" w:ascii="MS UI Gothic" w:eastAsia="MS UI Gothic"/>
          <w:w w:val="95"/>
        </w:rPr>
        <w:t xml:space="preserve">１ </w:t>
      </w:r>
      <w:r>
        <w:rPr>
          <w:w w:val="95"/>
        </w:rPr>
        <w:t xml:space="preserve">大于或者等于 </w:t>
      </w:r>
      <w:r>
        <w:rPr>
          <w:rFonts w:hint="eastAsia" w:ascii="MS UI Gothic" w:eastAsia="MS UI Gothic"/>
          <w:w w:val="95"/>
        </w:rPr>
        <w:t>４０ ｍ</w:t>
      </w:r>
      <w:r>
        <w:rPr>
          <w:rFonts w:hint="eastAsia" w:ascii="MS UI Gothic" w:eastAsia="MS UI Gothic"/>
          <w:w w:val="95"/>
          <w:position w:val="9"/>
          <w:sz w:val="12"/>
        </w:rPr>
        <w:t xml:space="preserve">３ </w:t>
      </w:r>
      <w:r>
        <w:rPr>
          <w:rFonts w:hint="eastAsia" w:ascii="MS UI Gothic" w:eastAsia="MS UI Gothic"/>
          <w:w w:val="75"/>
        </w:rPr>
        <w:t xml:space="preserve">/ </w:t>
      </w:r>
      <w:r>
        <w:rPr>
          <w:rFonts w:hint="eastAsia" w:ascii="MS UI Gothic" w:eastAsia="MS UI Gothic"/>
          <w:w w:val="95"/>
        </w:rPr>
        <w:t>ｍｉｎ</w:t>
      </w:r>
      <w:r>
        <w:rPr>
          <w:rFonts w:hint="eastAsia" w:ascii="MS UI Gothic" w:eastAsia="MS UI Gothic"/>
          <w:w w:val="75"/>
        </w:rPr>
        <w:t>ꎻ</w:t>
      </w:r>
    </w:p>
    <w:p>
      <w:pPr>
        <w:pStyle w:val="6"/>
        <w:spacing w:before="41"/>
        <w:ind w:left="538" w:firstLine="0"/>
        <w:jc w:val="left"/>
      </w:pPr>
      <w:r>
        <w:rPr>
          <w:rFonts w:hint="eastAsia" w:ascii="MS UI Gothic" w:eastAsia="MS UI Gothic"/>
        </w:rPr>
        <w:t xml:space="preserve">２ </w:t>
      </w:r>
      <w:r>
        <w:rPr>
          <w:spacing w:val="-17"/>
        </w:rPr>
        <w:t xml:space="preserve">年产量 </w:t>
      </w:r>
      <w:r>
        <w:rPr>
          <w:rFonts w:hint="eastAsia" w:ascii="MS UI Gothic" w:eastAsia="MS UI Gothic"/>
        </w:rPr>
        <w:t>１</w:t>
      </w:r>
      <w:r>
        <w:rPr>
          <w:rFonts w:hint="eastAsia" w:ascii="MS UI Gothic" w:eastAsia="MS UI Gothic"/>
          <w:spacing w:val="-25"/>
        </w:rPr>
        <w:t xml:space="preserve"> ０ </w:t>
      </w:r>
      <w:r>
        <w:rPr>
          <w:rFonts w:hint="eastAsia" w:ascii="MS UI Gothic" w:eastAsia="MS UI Gothic"/>
          <w:w w:val="115"/>
        </w:rPr>
        <w:t>~</w:t>
      </w:r>
      <w:r>
        <w:rPr>
          <w:rFonts w:hint="eastAsia" w:ascii="MS UI Gothic" w:eastAsia="MS UI Gothic"/>
          <w:spacing w:val="-53"/>
          <w:w w:val="115"/>
        </w:rPr>
        <w:t xml:space="preserve"> </w:t>
      </w:r>
      <w:r>
        <w:rPr>
          <w:rFonts w:hint="eastAsia" w:ascii="MS UI Gothic" w:eastAsia="MS UI Gothic"/>
        </w:rPr>
        <w:t>１</w:t>
      </w:r>
      <w:r>
        <w:rPr>
          <w:rFonts w:hint="eastAsia" w:ascii="MS UI Gothic" w:eastAsia="MS UI Gothic"/>
          <w:spacing w:val="-11"/>
        </w:rPr>
        <w:t xml:space="preserve"> ５ Ｍ</w:t>
      </w:r>
      <w:r>
        <w:rPr>
          <w:rFonts w:hint="eastAsia" w:ascii="MS UI Gothic" w:eastAsia="MS UI Gothic"/>
        </w:rPr>
        <w:t xml:space="preserve">ｔ </w:t>
      </w:r>
      <w:r>
        <w:rPr>
          <w:spacing w:val="6"/>
        </w:rPr>
        <w:t>的矿井</w:t>
      </w:r>
      <w:r>
        <w:rPr>
          <w:rFonts w:hint="eastAsia" w:ascii="MS UI Gothic" w:eastAsia="MS UI Gothic"/>
          <w:spacing w:val="8"/>
          <w:w w:val="85"/>
        </w:rPr>
        <w:t xml:space="preserve">ꎬ </w:t>
      </w:r>
      <w:r>
        <w:rPr>
          <w:spacing w:val="4"/>
        </w:rPr>
        <w:t>大于</w:t>
      </w:r>
    </w:p>
    <w:p>
      <w:pPr>
        <w:spacing w:before="113"/>
        <w:ind w:left="124" w:right="0" w:firstLine="0"/>
        <w:jc w:val="left"/>
        <w:rPr>
          <w:rFonts w:hint="eastAsia" w:ascii="MS UI Gothic" w:eastAsia="MS UI Gothic"/>
          <w:sz w:val="20"/>
        </w:rPr>
      </w:pPr>
      <w:r>
        <w:br w:type="column"/>
      </w:r>
      <w:r>
        <w:rPr>
          <w:rFonts w:hint="eastAsia" w:ascii="MS UI Gothic" w:eastAsia="MS UI Gothic"/>
          <w:w w:val="85"/>
          <w:sz w:val="20"/>
        </w:rPr>
        <w:t>３０ ｍ</w:t>
      </w:r>
      <w:r>
        <w:rPr>
          <w:rFonts w:hint="eastAsia" w:ascii="MS UI Gothic" w:eastAsia="MS UI Gothic"/>
          <w:w w:val="85"/>
          <w:position w:val="9"/>
          <w:sz w:val="12"/>
        </w:rPr>
        <w:t xml:space="preserve">３ </w:t>
      </w:r>
      <w:r>
        <w:rPr>
          <w:rFonts w:hint="eastAsia" w:ascii="MS UI Gothic" w:eastAsia="MS UI Gothic"/>
          <w:w w:val="75"/>
          <w:sz w:val="20"/>
        </w:rPr>
        <w:t xml:space="preserve">/ </w:t>
      </w:r>
      <w:r>
        <w:rPr>
          <w:rFonts w:hint="eastAsia" w:ascii="MS UI Gothic" w:eastAsia="MS UI Gothic"/>
          <w:w w:val="85"/>
          <w:sz w:val="20"/>
        </w:rPr>
        <w:t xml:space="preserve">ｍｉｎ </w:t>
      </w:r>
      <w:r>
        <w:rPr>
          <w:rFonts w:hint="eastAsia" w:ascii="MS UI Gothic" w:eastAsia="MS UI Gothic"/>
          <w:w w:val="75"/>
          <w:sz w:val="20"/>
        </w:rPr>
        <w:t>ꎻ</w:t>
      </w:r>
    </w:p>
    <w:p>
      <w:pPr>
        <w:pStyle w:val="6"/>
        <w:spacing w:before="58"/>
        <w:ind w:left="543" w:firstLine="0"/>
        <w:jc w:val="left"/>
      </w:pPr>
      <w:r>
        <w:rPr>
          <w:rFonts w:hint="eastAsia" w:ascii="MS UI Gothic" w:eastAsia="MS UI Gothic"/>
        </w:rPr>
        <w:t xml:space="preserve">３ </w:t>
      </w:r>
      <w:r>
        <w:t xml:space="preserve">年产量 </w:t>
      </w:r>
      <w:r>
        <w:rPr>
          <w:rFonts w:hint="eastAsia" w:ascii="MS UI Gothic" w:eastAsia="MS UI Gothic"/>
        </w:rPr>
        <w:t xml:space="preserve">０ ６ </w:t>
      </w:r>
      <w:r>
        <w:rPr>
          <w:rFonts w:hint="eastAsia" w:ascii="MS UI Gothic" w:eastAsia="MS UI Gothic"/>
          <w:w w:val="115"/>
        </w:rPr>
        <w:t xml:space="preserve">~ </w:t>
      </w:r>
      <w:r>
        <w:rPr>
          <w:rFonts w:hint="eastAsia" w:ascii="MS UI Gothic" w:eastAsia="MS UI Gothic"/>
        </w:rPr>
        <w:t xml:space="preserve">１ ０ Ｍｔ </w:t>
      </w:r>
      <w:r>
        <w:t>的矿井</w:t>
      </w:r>
      <w:r>
        <w:rPr>
          <w:rFonts w:hint="eastAsia" w:ascii="MS UI Gothic" w:eastAsia="MS UI Gothic"/>
          <w:w w:val="85"/>
        </w:rPr>
        <w:t xml:space="preserve">ꎬ </w:t>
      </w:r>
      <w:r>
        <w:t>大于</w:t>
      </w:r>
    </w:p>
    <w:p>
      <w:pPr>
        <w:pStyle w:val="6"/>
        <w:spacing w:before="48"/>
        <w:ind w:firstLine="0"/>
        <w:jc w:val="left"/>
        <w:rPr>
          <w:rFonts w:hint="eastAsia" w:ascii="MS UI Gothic" w:eastAsia="MS UI Gothic"/>
        </w:rPr>
      </w:pPr>
      <w:r>
        <w:rPr>
          <w:rFonts w:hint="eastAsia" w:ascii="MS UI Gothic" w:eastAsia="MS UI Gothic"/>
          <w:w w:val="85"/>
        </w:rPr>
        <w:t>２５ ｍ</w:t>
      </w:r>
      <w:r>
        <w:rPr>
          <w:rFonts w:hint="eastAsia" w:ascii="MS UI Gothic" w:eastAsia="MS UI Gothic"/>
          <w:w w:val="85"/>
          <w:position w:val="9"/>
          <w:sz w:val="12"/>
        </w:rPr>
        <w:t xml:space="preserve">３ </w:t>
      </w:r>
      <w:r>
        <w:rPr>
          <w:rFonts w:hint="eastAsia" w:ascii="MS UI Gothic" w:eastAsia="MS UI Gothic"/>
          <w:w w:val="75"/>
        </w:rPr>
        <w:t xml:space="preserve">/ </w:t>
      </w:r>
      <w:r>
        <w:rPr>
          <w:rFonts w:hint="eastAsia" w:ascii="MS UI Gothic" w:eastAsia="MS UI Gothic"/>
          <w:w w:val="85"/>
        </w:rPr>
        <w:t xml:space="preserve">ｍｉｎ </w:t>
      </w:r>
      <w:r>
        <w:rPr>
          <w:rFonts w:hint="eastAsia" w:ascii="MS UI Gothic" w:eastAsia="MS UI Gothic"/>
          <w:w w:val="75"/>
        </w:rPr>
        <w:t>ꎻ</w:t>
      </w:r>
    </w:p>
    <w:p>
      <w:pPr>
        <w:pStyle w:val="6"/>
        <w:spacing w:before="58"/>
        <w:ind w:left="543" w:firstLine="0"/>
        <w:jc w:val="left"/>
      </w:pPr>
      <w:r>
        <w:rPr>
          <w:rFonts w:hint="eastAsia" w:ascii="MS UI Gothic" w:eastAsia="MS UI Gothic"/>
        </w:rPr>
        <w:t xml:space="preserve">４ </w:t>
      </w:r>
      <w:r>
        <w:t xml:space="preserve">年产量 </w:t>
      </w:r>
      <w:r>
        <w:rPr>
          <w:rFonts w:hint="eastAsia" w:ascii="MS UI Gothic" w:eastAsia="MS UI Gothic"/>
        </w:rPr>
        <w:t xml:space="preserve">０ ４ </w:t>
      </w:r>
      <w:r>
        <w:rPr>
          <w:rFonts w:hint="eastAsia" w:ascii="MS UI Gothic" w:eastAsia="MS UI Gothic"/>
          <w:w w:val="115"/>
        </w:rPr>
        <w:t xml:space="preserve">~ </w:t>
      </w:r>
      <w:r>
        <w:rPr>
          <w:rFonts w:hint="eastAsia" w:ascii="MS UI Gothic" w:eastAsia="MS UI Gothic"/>
        </w:rPr>
        <w:t xml:space="preserve">０ ６ Ｍｔ </w:t>
      </w:r>
      <w:r>
        <w:t>的矿井</w:t>
      </w:r>
      <w:r>
        <w:rPr>
          <w:rFonts w:hint="eastAsia" w:ascii="MS UI Gothic" w:eastAsia="MS UI Gothic"/>
          <w:w w:val="85"/>
        </w:rPr>
        <w:t xml:space="preserve">ꎬ </w:t>
      </w:r>
      <w:r>
        <w:t>大于</w:t>
      </w:r>
    </w:p>
    <w:p>
      <w:pPr>
        <w:pStyle w:val="6"/>
        <w:spacing w:before="49"/>
        <w:ind w:firstLine="0"/>
        <w:jc w:val="left"/>
        <w:rPr>
          <w:rFonts w:hint="eastAsia" w:ascii="MS UI Gothic" w:eastAsia="MS UI Gothic"/>
        </w:rPr>
      </w:pPr>
      <w:r>
        <w:rPr>
          <w:rFonts w:hint="eastAsia" w:ascii="MS UI Gothic" w:eastAsia="MS UI Gothic"/>
          <w:w w:val="85"/>
        </w:rPr>
        <w:t>２０ ｍ</w:t>
      </w:r>
      <w:r>
        <w:rPr>
          <w:rFonts w:hint="eastAsia" w:ascii="MS UI Gothic" w:eastAsia="MS UI Gothic"/>
          <w:w w:val="85"/>
          <w:position w:val="9"/>
          <w:sz w:val="12"/>
        </w:rPr>
        <w:t xml:space="preserve">３ </w:t>
      </w:r>
      <w:r>
        <w:rPr>
          <w:rFonts w:hint="eastAsia" w:ascii="MS UI Gothic" w:eastAsia="MS UI Gothic"/>
          <w:w w:val="75"/>
        </w:rPr>
        <w:t xml:space="preserve">/ </w:t>
      </w:r>
      <w:r>
        <w:rPr>
          <w:rFonts w:hint="eastAsia" w:ascii="MS UI Gothic" w:eastAsia="MS UI Gothic"/>
          <w:w w:val="85"/>
        </w:rPr>
        <w:t xml:space="preserve">ｍｉｎ </w:t>
      </w:r>
      <w:r>
        <w:rPr>
          <w:rFonts w:hint="eastAsia" w:ascii="MS UI Gothic" w:eastAsia="MS UI Gothic"/>
          <w:w w:val="75"/>
        </w:rPr>
        <w:t>ꎻ</w:t>
      </w:r>
    </w:p>
    <w:p>
      <w:pPr>
        <w:pStyle w:val="6"/>
        <w:spacing w:before="58" w:line="285" w:lineRule="auto"/>
        <w:ind w:left="130" w:right="442" w:firstLine="413"/>
        <w:jc w:val="left"/>
        <w:rPr>
          <w:rFonts w:hint="eastAsia" w:ascii="MS UI Gothic" w:eastAsia="MS UI Gothic"/>
        </w:rPr>
      </w:pPr>
      <w:r>
        <w:rPr>
          <w:rFonts w:hint="eastAsia" w:ascii="MS UI Gothic" w:eastAsia="MS UI Gothic"/>
        </w:rPr>
        <w:t xml:space="preserve">５ </w:t>
      </w:r>
      <w:r>
        <w:t xml:space="preserve">年产量小于或者等于 </w:t>
      </w:r>
      <w:r>
        <w:rPr>
          <w:rFonts w:hint="eastAsia" w:ascii="MS UI Gothic" w:eastAsia="MS UI Gothic"/>
        </w:rPr>
        <w:t xml:space="preserve">０ ４ Ｍｔ </w:t>
      </w:r>
      <w:r>
        <w:t>的矿井</w:t>
      </w:r>
      <w:r>
        <w:rPr>
          <w:rFonts w:hint="eastAsia" w:ascii="MS UI Gothic" w:eastAsia="MS UI Gothic"/>
          <w:w w:val="75"/>
        </w:rPr>
        <w:t xml:space="preserve">ꎬ </w:t>
      </w:r>
      <w:r>
        <w:t xml:space="preserve">大于 </w:t>
      </w:r>
      <w:r>
        <w:rPr>
          <w:rFonts w:hint="eastAsia" w:ascii="MS UI Gothic" w:eastAsia="MS UI Gothic"/>
        </w:rPr>
        <w:t>１５ ｍ</w:t>
      </w:r>
      <w:r>
        <w:rPr>
          <w:rFonts w:hint="eastAsia" w:ascii="MS UI Gothic" w:eastAsia="MS UI Gothic"/>
          <w:position w:val="9"/>
          <w:sz w:val="12"/>
        </w:rPr>
        <w:t xml:space="preserve">３ </w:t>
      </w:r>
      <w:r>
        <w:rPr>
          <w:rFonts w:hint="eastAsia" w:ascii="MS UI Gothic" w:eastAsia="MS UI Gothic"/>
          <w:w w:val="75"/>
        </w:rPr>
        <w:t xml:space="preserve">/ </w:t>
      </w:r>
      <w:r>
        <w:rPr>
          <w:rFonts w:hint="eastAsia" w:ascii="MS UI Gothic" w:eastAsia="MS UI Gothic"/>
        </w:rPr>
        <w:t>ｍｉｎ</w:t>
      </w:r>
      <w:r>
        <w:rPr>
          <w:rFonts w:hint="eastAsia" w:ascii="MS UI Gothic" w:eastAsia="MS UI Gothic"/>
          <w:w w:val="75"/>
        </w:rPr>
        <w:t>ꎮ</w:t>
      </w:r>
    </w:p>
    <w:p>
      <w:pPr>
        <w:pStyle w:val="6"/>
        <w:tabs>
          <w:tab w:val="left" w:pos="2226"/>
        </w:tabs>
        <w:spacing w:before="9" w:line="295" w:lineRule="auto"/>
        <w:ind w:left="130" w:right="442"/>
        <w:jc w:val="left"/>
        <w:rPr>
          <w:rFonts w:hint="eastAsia" w:ascii="MS UI Gothic" w:eastAsia="MS UI Gothic"/>
        </w:rPr>
      </w:pPr>
      <w:r>
        <w:rPr>
          <w:spacing w:val="3"/>
          <w:w w:val="105"/>
        </w:rPr>
        <w:t>第一百八十二</w:t>
      </w:r>
      <w:r>
        <w:rPr>
          <w:w w:val="105"/>
        </w:rPr>
        <w:t>条</w:t>
      </w:r>
      <w:r>
        <w:rPr>
          <w:w w:val="105"/>
        </w:rPr>
        <w:tab/>
      </w:r>
      <w:r>
        <w:rPr>
          <w:spacing w:val="3"/>
        </w:rPr>
        <w:t>抽采瓦斯设施应</w:t>
      </w:r>
      <w:r>
        <w:rPr>
          <w:spacing w:val="-11"/>
        </w:rPr>
        <w:t>当</w:t>
      </w:r>
      <w:r>
        <w:rPr>
          <w:spacing w:val="3"/>
          <w:w w:val="110"/>
        </w:rPr>
        <w:t>符合下列要求</w:t>
      </w:r>
      <w:r>
        <w:rPr>
          <w:rFonts w:hint="eastAsia" w:ascii="MS UI Gothic" w:eastAsia="MS UI Gothic"/>
          <w:w w:val="235"/>
        </w:rPr>
        <w:t>:</w:t>
      </w:r>
    </w:p>
    <w:p>
      <w:pPr>
        <w:pStyle w:val="6"/>
        <w:spacing w:line="295" w:lineRule="auto"/>
        <w:ind w:left="130" w:right="442"/>
        <w:rPr>
          <w:rFonts w:hint="eastAsia" w:ascii="MS UI Gothic" w:eastAsia="MS UI Gothic"/>
        </w:rPr>
      </w:pPr>
      <w:r>
        <w:rPr>
          <w:rFonts w:hint="eastAsia" w:ascii="MS UI Gothic" w:eastAsia="MS UI Gothic"/>
          <w:spacing w:val="-27"/>
          <w:w w:val="145"/>
        </w:rPr>
        <w:t xml:space="preserve">( </w:t>
      </w:r>
      <w:r>
        <w:rPr>
          <w:spacing w:val="3"/>
        </w:rPr>
        <w:t>一</w:t>
      </w:r>
      <w:r>
        <w:rPr>
          <w:rFonts w:hint="eastAsia" w:ascii="MS UI Gothic" w:eastAsia="MS UI Gothic"/>
          <w:spacing w:val="14"/>
          <w:w w:val="145"/>
        </w:rPr>
        <w:t xml:space="preserve">) </w:t>
      </w:r>
      <w:r>
        <w:rPr>
          <w:spacing w:val="5"/>
        </w:rPr>
        <w:t>地面泵房必须用不燃性材料建</w:t>
      </w:r>
      <w:r>
        <w:rPr>
          <w:spacing w:val="3"/>
        </w:rPr>
        <w:t>筑</w:t>
      </w:r>
      <w:r>
        <w:rPr>
          <w:rFonts w:hint="eastAsia" w:ascii="MS UI Gothic" w:eastAsia="MS UI Gothic"/>
          <w:spacing w:val="23"/>
          <w:w w:val="80"/>
        </w:rPr>
        <w:t xml:space="preserve">ꎬ </w:t>
      </w:r>
      <w:r>
        <w:rPr>
          <w:spacing w:val="3"/>
        </w:rPr>
        <w:t>并必须有防雷电装置</w:t>
      </w:r>
      <w:r>
        <w:rPr>
          <w:rFonts w:hint="eastAsia" w:ascii="MS UI Gothic" w:eastAsia="MS UI Gothic"/>
          <w:spacing w:val="23"/>
          <w:w w:val="80"/>
        </w:rPr>
        <w:t xml:space="preserve">ꎬ </w:t>
      </w:r>
      <w:r>
        <w:rPr>
          <w:spacing w:val="2"/>
        </w:rPr>
        <w:t>其距进风井口</w:t>
      </w:r>
      <w:r>
        <w:rPr>
          <w:spacing w:val="5"/>
        </w:rPr>
        <w:t xml:space="preserve">和主要建筑物不得小于 </w:t>
      </w:r>
      <w:r>
        <w:rPr>
          <w:rFonts w:hint="eastAsia" w:ascii="MS UI Gothic" w:eastAsia="MS UI Gothic"/>
          <w:spacing w:val="14"/>
          <w:w w:val="80"/>
        </w:rPr>
        <w:t xml:space="preserve">５０ </w:t>
      </w:r>
      <w:r>
        <w:rPr>
          <w:rFonts w:hint="eastAsia" w:ascii="MS UI Gothic" w:eastAsia="MS UI Gothic"/>
          <w:spacing w:val="4"/>
          <w:w w:val="80"/>
        </w:rPr>
        <w:t>ｍ</w:t>
      </w:r>
      <w:r>
        <w:rPr>
          <w:rFonts w:hint="eastAsia" w:ascii="MS UI Gothic" w:eastAsia="MS UI Gothic"/>
          <w:spacing w:val="9"/>
          <w:w w:val="80"/>
        </w:rPr>
        <w:t xml:space="preserve">ꎬ </w:t>
      </w:r>
      <w:r>
        <w:rPr>
          <w:spacing w:val="9"/>
        </w:rPr>
        <w:t>并用栅栏</w:t>
      </w:r>
      <w:r>
        <w:rPr>
          <w:spacing w:val="3"/>
        </w:rPr>
        <w:t>或者围墙保护</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 xml:space="preserve">地面泵房和泵房周围 </w:t>
      </w:r>
      <w:r>
        <w:rPr>
          <w:rFonts w:hint="eastAsia" w:ascii="MS UI Gothic" w:eastAsia="MS UI Gothic"/>
          <w:w w:val="80"/>
        </w:rPr>
        <w:t xml:space="preserve">２０ ｍ </w:t>
      </w:r>
      <w:r>
        <w:t>范围内</w:t>
      </w:r>
      <w:r>
        <w:rPr>
          <w:rFonts w:hint="eastAsia" w:ascii="MS UI Gothic" w:eastAsia="MS UI Gothic"/>
          <w:w w:val="80"/>
        </w:rPr>
        <w:t xml:space="preserve">ꎬ </w:t>
      </w:r>
      <w:r>
        <w:t>禁止堆积易燃物和有明火</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3"/>
          <w:w w:val="150"/>
        </w:rPr>
        <w:t xml:space="preserve">) </w:t>
      </w:r>
      <w:r>
        <w:rPr>
          <w:spacing w:val="5"/>
          <w:w w:val="105"/>
        </w:rPr>
        <w:t>抽采瓦斯泵及其附属设备</w:t>
      </w:r>
      <w:r>
        <w:rPr>
          <w:rFonts w:hint="eastAsia" w:ascii="MS UI Gothic" w:eastAsia="MS UI Gothic"/>
          <w:spacing w:val="13"/>
          <w:w w:val="80"/>
        </w:rPr>
        <w:t xml:space="preserve">ꎬ </w:t>
      </w:r>
      <w:r>
        <w:rPr>
          <w:w w:val="105"/>
        </w:rPr>
        <w:t>至</w:t>
      </w:r>
      <w:r>
        <w:rPr>
          <w:spacing w:val="-17"/>
          <w:w w:val="105"/>
        </w:rPr>
        <w:t xml:space="preserve">少应当有 </w:t>
      </w:r>
      <w:r>
        <w:rPr>
          <w:rFonts w:hint="eastAsia" w:ascii="MS UI Gothic" w:eastAsia="MS UI Gothic"/>
          <w:spacing w:val="-11"/>
          <w:w w:val="80"/>
        </w:rPr>
        <w:t xml:space="preserve">１ </w:t>
      </w:r>
      <w:r>
        <w:rPr>
          <w:spacing w:val="3"/>
          <w:w w:val="105"/>
        </w:rPr>
        <w:t>套备用</w:t>
      </w:r>
      <w:r>
        <w:rPr>
          <w:rFonts w:hint="eastAsia" w:ascii="MS UI Gothic" w:eastAsia="MS UI Gothic"/>
          <w:spacing w:val="-1"/>
          <w:w w:val="80"/>
        </w:rPr>
        <w:t xml:space="preserve">ꎬ </w:t>
      </w:r>
      <w:r>
        <w:rPr>
          <w:spacing w:val="2"/>
          <w:w w:val="105"/>
        </w:rPr>
        <w:t>备用泵能力不得小于</w:t>
      </w:r>
      <w:r>
        <w:rPr>
          <w:spacing w:val="3"/>
          <w:w w:val="105"/>
        </w:rPr>
        <w:t>运行泵中最大一台单泵的能力</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地面泵房内电气设备</w:t>
      </w:r>
      <w:r>
        <w:rPr>
          <w:rFonts w:hint="eastAsia" w:ascii="MS UI Gothic" w:eastAsia="MS UI Gothic"/>
          <w:w w:val="80"/>
        </w:rPr>
        <w:t xml:space="preserve">、 </w:t>
      </w:r>
      <w:r>
        <w:rPr>
          <w:w w:val="105"/>
        </w:rPr>
        <w:t>照明和</w:t>
      </w:r>
      <w:r>
        <w:t>其他电气仪表都应当采用矿用防爆型</w:t>
      </w:r>
      <w:r>
        <w:rPr>
          <w:rFonts w:hint="eastAsia" w:ascii="MS UI Gothic" w:eastAsia="MS UI Gothic"/>
          <w:w w:val="80"/>
        </w:rPr>
        <w:t xml:space="preserve">ꎻ </w:t>
      </w:r>
      <w:r>
        <w:t>否</w:t>
      </w:r>
      <w:r>
        <w:rPr>
          <w:w w:val="105"/>
        </w:rPr>
        <w:t>则必须采取安全措施</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泵房必须有直通矿调度室的电话和检测管道瓦斯浓度</w:t>
      </w:r>
      <w:r>
        <w:rPr>
          <w:rFonts w:hint="eastAsia" w:ascii="MS UI Gothic" w:eastAsia="MS UI Gothic"/>
          <w:w w:val="80"/>
        </w:rPr>
        <w:t xml:space="preserve">、 </w:t>
      </w:r>
      <w:r>
        <w:rPr>
          <w:w w:val="105"/>
        </w:rPr>
        <w:t>流量</w:t>
      </w:r>
      <w:r>
        <w:rPr>
          <w:rFonts w:hint="eastAsia" w:ascii="MS UI Gothic" w:eastAsia="MS UI Gothic"/>
          <w:w w:val="80"/>
        </w:rPr>
        <w:t xml:space="preserve">、 </w:t>
      </w:r>
      <w:r>
        <w:rPr>
          <w:w w:val="105"/>
        </w:rPr>
        <w:t>压力等参数的仪表或者自动监测系统</w:t>
      </w:r>
      <w:r>
        <w:rPr>
          <w:rFonts w:hint="eastAsia" w:ascii="MS UI Gothic" w:eastAsia="MS UI Gothic"/>
          <w:w w:val="80"/>
        </w:rPr>
        <w:t>ꎮ</w:t>
      </w:r>
    </w:p>
    <w:p>
      <w:pPr>
        <w:pStyle w:val="6"/>
        <w:spacing w:line="295" w:lineRule="auto"/>
        <w:ind w:right="442" w:firstLine="425"/>
        <w:rPr>
          <w:rFonts w:hint="eastAsia" w:ascii="MS UI Gothic" w:eastAsia="MS UI Gothic"/>
        </w:rPr>
      </w:pPr>
      <w:r>
        <w:rPr>
          <w:rFonts w:hint="eastAsia" w:ascii="MS UI Gothic" w:eastAsia="MS UI Gothic"/>
          <w:spacing w:val="-38"/>
          <w:w w:val="150"/>
        </w:rPr>
        <w:t xml:space="preserve">( </w:t>
      </w:r>
      <w:r>
        <w:rPr>
          <w:spacing w:val="3"/>
          <w:w w:val="105"/>
        </w:rPr>
        <w:t>六</w:t>
      </w:r>
      <w:r>
        <w:rPr>
          <w:rFonts w:hint="eastAsia" w:ascii="MS UI Gothic" w:eastAsia="MS UI Gothic"/>
          <w:spacing w:val="4"/>
          <w:w w:val="150"/>
        </w:rPr>
        <w:t xml:space="preserve">) </w:t>
      </w:r>
      <w:r>
        <w:rPr>
          <w:spacing w:val="5"/>
          <w:w w:val="105"/>
        </w:rPr>
        <w:t>干式抽采瓦斯泵吸气侧管路系</w:t>
      </w:r>
      <w:r>
        <w:rPr>
          <w:spacing w:val="3"/>
          <w:w w:val="105"/>
        </w:rPr>
        <w:t>统中</w:t>
      </w:r>
      <w:r>
        <w:rPr>
          <w:rFonts w:hint="eastAsia" w:ascii="MS UI Gothic" w:eastAsia="MS UI Gothic"/>
          <w:w w:val="80"/>
        </w:rPr>
        <w:t xml:space="preserve">ꎬ </w:t>
      </w:r>
      <w:r>
        <w:rPr>
          <w:spacing w:val="3"/>
          <w:w w:val="105"/>
        </w:rPr>
        <w:t>必须装设有防回火</w:t>
      </w:r>
      <w:r>
        <w:rPr>
          <w:rFonts w:hint="eastAsia" w:ascii="MS UI Gothic" w:eastAsia="MS UI Gothic"/>
          <w:spacing w:val="1"/>
          <w:w w:val="80"/>
        </w:rPr>
        <w:t xml:space="preserve">、 </w:t>
      </w:r>
      <w:r>
        <w:rPr>
          <w:spacing w:val="2"/>
          <w:w w:val="105"/>
        </w:rPr>
        <w:t>防回流和防爆</w:t>
      </w:r>
      <w:r>
        <w:rPr>
          <w:spacing w:val="3"/>
        </w:rPr>
        <w:t>炸作用的安全装置</w:t>
      </w:r>
      <w:r>
        <w:rPr>
          <w:rFonts w:hint="eastAsia" w:ascii="MS UI Gothic" w:eastAsia="MS UI Gothic"/>
          <w:spacing w:val="23"/>
          <w:w w:val="80"/>
        </w:rPr>
        <w:t xml:space="preserve">ꎬ </w:t>
      </w:r>
      <w:r>
        <w:rPr>
          <w:spacing w:val="3"/>
        </w:rPr>
        <w:t>并定期检查</w:t>
      </w:r>
      <w:r>
        <w:rPr>
          <w:rFonts w:hint="eastAsia" w:ascii="MS UI Gothic" w:eastAsia="MS UI Gothic"/>
          <w:spacing w:val="23"/>
          <w:w w:val="80"/>
        </w:rPr>
        <w:t xml:space="preserve">ꎮ </w:t>
      </w:r>
      <w:r>
        <w:rPr>
          <w:spacing w:val="2"/>
        </w:rPr>
        <w:t>抽采瓦</w:t>
      </w:r>
      <w:r>
        <w:rPr>
          <w:spacing w:val="11"/>
        </w:rPr>
        <w:t xml:space="preserve">斯泵站放空管的高度应当超过泵房房顶 </w:t>
      </w:r>
      <w:r>
        <w:rPr>
          <w:rFonts w:hint="eastAsia" w:ascii="MS UI Gothic" w:eastAsia="MS UI Gothic"/>
          <w:spacing w:val="17"/>
          <w:w w:val="80"/>
        </w:rPr>
        <w:t xml:space="preserve">３ </w:t>
      </w:r>
      <w:r>
        <w:rPr>
          <w:rFonts w:hint="eastAsia" w:ascii="MS UI Gothic" w:eastAsia="MS UI Gothic"/>
          <w:spacing w:val="4"/>
          <w:w w:val="80"/>
        </w:rPr>
        <w:t>ｍ</w:t>
      </w:r>
      <w:r>
        <w:rPr>
          <w:rFonts w:hint="eastAsia" w:ascii="MS UI Gothic" w:eastAsia="MS UI Gothic"/>
          <w:w w:val="80"/>
        </w:rPr>
        <w:t>ꎮ</w:t>
      </w:r>
    </w:p>
    <w:p>
      <w:pPr>
        <w:pStyle w:val="6"/>
        <w:spacing w:line="295" w:lineRule="auto"/>
        <w:ind w:left="130" w:right="442"/>
        <w:rPr>
          <w:rFonts w:hint="eastAsia" w:ascii="MS UI Gothic" w:eastAsia="MS UI Gothic"/>
        </w:rPr>
      </w:pPr>
      <w:r>
        <w:t>泵房必须有专人值班</w:t>
      </w:r>
      <w:r>
        <w:rPr>
          <w:rFonts w:hint="eastAsia" w:ascii="MS UI Gothic" w:eastAsia="MS UI Gothic"/>
          <w:w w:val="80"/>
        </w:rPr>
        <w:t xml:space="preserve">ꎬ </w:t>
      </w:r>
      <w:r>
        <w:t>经常检测各参数</w:t>
      </w:r>
      <w:r>
        <w:rPr>
          <w:rFonts w:hint="eastAsia" w:ascii="MS UI Gothic" w:eastAsia="MS UI Gothic"/>
          <w:w w:val="80"/>
        </w:rPr>
        <w:t xml:space="preserve">ꎬ </w:t>
      </w:r>
      <w:r>
        <w:t>做好记录</w:t>
      </w:r>
      <w:r>
        <w:rPr>
          <w:rFonts w:hint="eastAsia" w:ascii="MS UI Gothic" w:eastAsia="MS UI Gothic"/>
          <w:w w:val="80"/>
        </w:rPr>
        <w:t xml:space="preserve">ꎮ </w:t>
      </w:r>
      <w:r>
        <w:t>当抽采瓦斯泵停止运转时</w:t>
      </w:r>
      <w:r>
        <w:rPr>
          <w:rFonts w:hint="eastAsia" w:ascii="MS UI Gothic" w:eastAsia="MS UI Gothic"/>
          <w:w w:val="80"/>
        </w:rPr>
        <w:t xml:space="preserve">ꎬ </w:t>
      </w:r>
      <w:r>
        <w:t>必须立即向矿调度室报告</w:t>
      </w:r>
      <w:r>
        <w:rPr>
          <w:rFonts w:hint="eastAsia" w:ascii="MS UI Gothic" w:eastAsia="MS UI Gothic"/>
          <w:w w:val="80"/>
        </w:rPr>
        <w:t xml:space="preserve">ꎮ </w:t>
      </w:r>
      <w:r>
        <w:t>如果利用瓦斯</w:t>
      </w:r>
      <w:r>
        <w:rPr>
          <w:rFonts w:hint="eastAsia" w:ascii="MS UI Gothic" w:eastAsia="MS UI Gothic"/>
          <w:w w:val="80"/>
        </w:rPr>
        <w:t xml:space="preserve">ꎬ </w:t>
      </w:r>
      <w:r>
        <w:t>在瓦斯泵停止运转后和恢复运转前</w:t>
      </w:r>
      <w:r>
        <w:rPr>
          <w:rFonts w:hint="eastAsia" w:ascii="MS UI Gothic" w:eastAsia="MS UI Gothic"/>
          <w:w w:val="80"/>
        </w:rPr>
        <w:t xml:space="preserve">ꎬ </w:t>
      </w:r>
      <w:r>
        <w:t>必须通知使用瓦斯的单位</w:t>
      </w:r>
      <w:r>
        <w:rPr>
          <w:rFonts w:hint="eastAsia" w:ascii="MS UI Gothic" w:eastAsia="MS UI Gothic"/>
          <w:w w:val="80"/>
        </w:rPr>
        <w:t xml:space="preserve">ꎬ </w:t>
      </w:r>
      <w:r>
        <w:t>取得同意后</w:t>
      </w:r>
      <w:r>
        <w:rPr>
          <w:rFonts w:hint="eastAsia" w:ascii="MS UI Gothic" w:eastAsia="MS UI Gothic"/>
          <w:w w:val="80"/>
        </w:rPr>
        <w:t xml:space="preserve">ꎬ </w:t>
      </w:r>
      <w:r>
        <w:t>方可供应瓦斯</w:t>
      </w:r>
      <w:r>
        <w:rPr>
          <w:rFonts w:hint="eastAsia" w:ascii="MS UI Gothic" w:eastAsia="MS UI Gothic"/>
          <w:w w:val="80"/>
        </w:rPr>
        <w:t>ꎮ</w:t>
      </w:r>
    </w:p>
    <w:p>
      <w:pPr>
        <w:pStyle w:val="6"/>
        <w:spacing w:line="295" w:lineRule="auto"/>
        <w:ind w:left="130" w:right="442"/>
        <w:rPr>
          <w:rFonts w:hint="eastAsia" w:ascii="MS UI Gothic" w:eastAsia="MS UI Gothic"/>
        </w:rPr>
      </w:pPr>
      <w:r>
        <w:rPr>
          <w:spacing w:val="2"/>
          <w:w w:val="105"/>
        </w:rPr>
        <w:t>第一百八十三条 设置井下临时抽采</w:t>
      </w:r>
      <w:r>
        <w:rPr>
          <w:spacing w:val="3"/>
          <w:w w:val="110"/>
        </w:rPr>
        <w:t>瓦斯泵站时</w:t>
      </w:r>
      <w:r>
        <w:rPr>
          <w:rFonts w:hint="eastAsia" w:ascii="MS UI Gothic" w:eastAsia="MS UI Gothic"/>
          <w:spacing w:val="14"/>
          <w:w w:val="80"/>
        </w:rPr>
        <w:t xml:space="preserve">ꎬ </w:t>
      </w:r>
      <w:r>
        <w:rPr>
          <w:spacing w:val="3"/>
          <w:w w:val="110"/>
        </w:rPr>
        <w:t>必须遵守下列规定</w:t>
      </w:r>
      <w:r>
        <w:rPr>
          <w:rFonts w:hint="eastAsia" w:ascii="MS UI Gothic" w:eastAsia="MS UI Gothic"/>
          <w:w w:val="235"/>
        </w:rPr>
        <w:t>:</w:t>
      </w:r>
    </w:p>
    <w:p>
      <w:pPr>
        <w:pStyle w:val="6"/>
        <w:spacing w:line="295" w:lineRule="auto"/>
        <w:ind w:left="130" w:right="442"/>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4"/>
          <w:w w:val="150"/>
        </w:rPr>
        <w:t xml:space="preserve">) </w:t>
      </w:r>
      <w:r>
        <w:rPr>
          <w:spacing w:val="5"/>
          <w:w w:val="105"/>
        </w:rPr>
        <w:t>临时抽采瓦斯泵站应当安设在</w:t>
      </w:r>
      <w:r>
        <w:rPr>
          <w:spacing w:val="3"/>
          <w:w w:val="105"/>
        </w:rPr>
        <w:t>抽采瓦斯地点附近的新鲜风流中</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２６７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27" o:spid="_x0000_s1827" o:spt="203" style="height:2.15pt;width:398.25pt;" coordsize="7965,43">
            <o:lock v:ext="edit"/>
            <v:line id="_x0000_s1828" o:spid="_x0000_s1828" o:spt="20" style="position:absolute;left:0;top:39;height:0;width:7965;" stroked="t" coordsize="21600,21600">
              <v:path arrowok="t"/>
              <v:fill focussize="0,0"/>
              <v:stroke weight="0.388031496062992pt" color="#231F20"/>
              <v:imagedata o:title=""/>
              <o:lock v:ext="edit"/>
            </v:line>
            <v:line id="_x0000_s1829" o:spid="_x0000_s182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抽出的瓦斯可引排到地面</w:t>
      </w:r>
      <w:r>
        <w:rPr>
          <w:rFonts w:hint="eastAsia" w:ascii="MS UI Gothic" w:eastAsia="MS UI Gothic"/>
          <w:w w:val="80"/>
        </w:rPr>
        <w:t xml:space="preserve">、 </w:t>
      </w:r>
      <w:r>
        <w:rPr>
          <w:w w:val="105"/>
        </w:rPr>
        <w:t>总回风巷</w:t>
      </w:r>
      <w:r>
        <w:rPr>
          <w:rFonts w:hint="eastAsia" w:ascii="MS UI Gothic" w:eastAsia="MS UI Gothic"/>
          <w:w w:val="80"/>
        </w:rPr>
        <w:t xml:space="preserve">、 </w:t>
      </w:r>
      <w:r>
        <w:rPr>
          <w:w w:val="105"/>
        </w:rPr>
        <w:t>一翼回风巷或者分区回风巷</w:t>
      </w:r>
      <w:r>
        <w:rPr>
          <w:rFonts w:hint="eastAsia" w:ascii="MS UI Gothic" w:eastAsia="MS UI Gothic"/>
          <w:w w:val="80"/>
        </w:rPr>
        <w:t xml:space="preserve">ꎬ </w:t>
      </w:r>
      <w:r>
        <w:rPr>
          <w:w w:val="105"/>
        </w:rPr>
        <w:t>但</w:t>
      </w:r>
      <w:r>
        <w:t>必须保证稀释后风流中的瓦斯浓度不超限</w:t>
      </w:r>
      <w:r>
        <w:rPr>
          <w:rFonts w:hint="eastAsia" w:ascii="MS UI Gothic" w:eastAsia="MS UI Gothic"/>
          <w:w w:val="80"/>
        </w:rPr>
        <w:t xml:space="preserve">ꎮ </w:t>
      </w:r>
      <w:r>
        <w:t>在建有地面永久抽采系统的矿井</w:t>
      </w:r>
      <w:r>
        <w:rPr>
          <w:rFonts w:hint="eastAsia" w:ascii="MS UI Gothic" w:eastAsia="MS UI Gothic"/>
          <w:w w:val="80"/>
        </w:rPr>
        <w:t xml:space="preserve">ꎬ </w:t>
      </w:r>
      <w:r>
        <w:t>临时泵站抽出的瓦斯可送至永久抽采系统的管路</w:t>
      </w:r>
      <w:r>
        <w:rPr>
          <w:rFonts w:hint="eastAsia" w:ascii="MS UI Gothic" w:eastAsia="MS UI Gothic"/>
          <w:w w:val="80"/>
        </w:rPr>
        <w:t xml:space="preserve">ꎬ </w:t>
      </w:r>
      <w:r>
        <w:t>但矿井抽采系统的瓦斯浓度必须符</w:t>
      </w:r>
      <w:r>
        <w:rPr>
          <w:w w:val="105"/>
        </w:rPr>
        <w:t>合本规程第一百八十四条的规定</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45"/>
        </w:rPr>
        <w:t xml:space="preserve">( </w:t>
      </w:r>
      <w:r>
        <w:t>三</w:t>
      </w:r>
      <w:r>
        <w:rPr>
          <w:rFonts w:hint="eastAsia" w:ascii="MS UI Gothic" w:eastAsia="MS UI Gothic"/>
          <w:w w:val="145"/>
        </w:rPr>
        <w:t xml:space="preserve">) </w:t>
      </w:r>
      <w:r>
        <w:t>抽出的瓦斯排入回风巷时</w:t>
      </w:r>
      <w:r>
        <w:rPr>
          <w:rFonts w:hint="eastAsia" w:ascii="MS UI Gothic" w:eastAsia="MS UI Gothic"/>
          <w:w w:val="80"/>
        </w:rPr>
        <w:t xml:space="preserve">ꎬ </w:t>
      </w:r>
      <w:r>
        <w:t>在排瓦斯管路出口必须设置栅栏</w:t>
      </w:r>
      <w:r>
        <w:rPr>
          <w:rFonts w:hint="eastAsia" w:ascii="MS UI Gothic" w:eastAsia="MS UI Gothic"/>
          <w:w w:val="80"/>
        </w:rPr>
        <w:t xml:space="preserve">、 </w:t>
      </w:r>
      <w:r>
        <w:t>悬挂警戒牌等</w:t>
      </w:r>
      <w:r>
        <w:rPr>
          <w:rFonts w:hint="eastAsia" w:ascii="MS UI Gothic" w:eastAsia="MS UI Gothic"/>
          <w:w w:val="80"/>
        </w:rPr>
        <w:t xml:space="preserve">ꎮ </w:t>
      </w:r>
      <w:r>
        <w:t xml:space="preserve">栅栏设置的位置是上风侧距管路出口 </w:t>
      </w:r>
      <w:r>
        <w:rPr>
          <w:rFonts w:hint="eastAsia" w:ascii="MS UI Gothic" w:eastAsia="MS UI Gothic"/>
          <w:w w:val="80"/>
        </w:rPr>
        <w:t xml:space="preserve">５ ｍ、 </w:t>
      </w:r>
      <w:r>
        <w:t xml:space="preserve">下风侧距管路出口 </w:t>
      </w:r>
      <w:r>
        <w:rPr>
          <w:rFonts w:hint="eastAsia" w:ascii="MS UI Gothic" w:eastAsia="MS UI Gothic"/>
          <w:w w:val="80"/>
        </w:rPr>
        <w:t xml:space="preserve">３０ ｍꎬ </w:t>
      </w:r>
      <w:r>
        <w:t>两栅栏间禁止任何作业</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第一百八十四条 抽采瓦斯必须遵守</w:t>
      </w:r>
      <w:r>
        <w:rPr>
          <w:w w:val="110"/>
        </w:rPr>
        <w:t>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抽采容易自燃和自燃煤层的采</w:t>
      </w:r>
      <w:r>
        <w:t>空区瓦斯时</w:t>
      </w:r>
      <w:r>
        <w:rPr>
          <w:rFonts w:hint="eastAsia" w:ascii="MS UI Gothic" w:eastAsia="MS UI Gothic"/>
          <w:w w:val="80"/>
        </w:rPr>
        <w:t xml:space="preserve">ꎬ </w:t>
      </w:r>
      <w:r>
        <w:t>抽采管路应当安设一氧化</w:t>
      </w:r>
      <w:r>
        <w:rPr>
          <w:w w:val="105"/>
        </w:rPr>
        <w:t>碳</w:t>
      </w:r>
      <w:r>
        <w:rPr>
          <w:rFonts w:hint="eastAsia" w:ascii="MS UI Gothic" w:eastAsia="MS UI Gothic"/>
          <w:w w:val="80"/>
        </w:rPr>
        <w:t xml:space="preserve">、 </w:t>
      </w:r>
      <w:r>
        <w:rPr>
          <w:w w:val="105"/>
        </w:rPr>
        <w:t>甲烷</w:t>
      </w:r>
      <w:r>
        <w:rPr>
          <w:rFonts w:hint="eastAsia" w:ascii="MS UI Gothic" w:eastAsia="MS UI Gothic"/>
          <w:w w:val="80"/>
        </w:rPr>
        <w:t xml:space="preserve">、 </w:t>
      </w:r>
      <w:r>
        <w:rPr>
          <w:w w:val="105"/>
        </w:rPr>
        <w:t>温度传感器</w:t>
      </w:r>
      <w:r>
        <w:rPr>
          <w:rFonts w:hint="eastAsia" w:ascii="MS UI Gothic" w:eastAsia="MS UI Gothic"/>
          <w:w w:val="80"/>
        </w:rPr>
        <w:t xml:space="preserve">ꎬ </w:t>
      </w:r>
      <w:r>
        <w:rPr>
          <w:w w:val="105"/>
        </w:rPr>
        <w:t>实现实时监测监</w:t>
      </w:r>
      <w:r>
        <w:t>控</w:t>
      </w:r>
      <w:r>
        <w:rPr>
          <w:rFonts w:hint="eastAsia" w:ascii="MS UI Gothic" w:eastAsia="MS UI Gothic"/>
          <w:w w:val="80"/>
        </w:rPr>
        <w:t xml:space="preserve">ꎮ </w:t>
      </w:r>
      <w:r>
        <w:t>发现有自然发火征兆时</w:t>
      </w:r>
      <w:r>
        <w:rPr>
          <w:rFonts w:hint="eastAsia" w:ascii="MS UI Gothic" w:eastAsia="MS UI Gothic"/>
          <w:w w:val="80"/>
        </w:rPr>
        <w:t xml:space="preserve">ꎬ </w:t>
      </w:r>
      <w:r>
        <w:t>应当立即采</w:t>
      </w:r>
      <w:r>
        <w:rPr>
          <w:w w:val="105"/>
        </w:rPr>
        <w:t>取措施</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井上下敷设的瓦斯管路</w:t>
      </w:r>
      <w:r>
        <w:rPr>
          <w:rFonts w:hint="eastAsia" w:ascii="MS UI Gothic" w:eastAsia="MS UI Gothic"/>
          <w:w w:val="80"/>
        </w:rPr>
        <w:t xml:space="preserve">ꎬ </w:t>
      </w:r>
      <w:r>
        <w:rPr>
          <w:w w:val="105"/>
        </w:rPr>
        <w:t>不得</w:t>
      </w:r>
      <w:r>
        <w:t>与带电物体接触并应当有防止砸坏管路的</w:t>
      </w:r>
      <w:r>
        <w:rPr>
          <w:w w:val="105"/>
        </w:rPr>
        <w:t>措施</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40"/>
        </w:rPr>
        <w:t xml:space="preserve">( </w:t>
      </w:r>
      <w:r>
        <w:rPr>
          <w:w w:val="105"/>
        </w:rPr>
        <w:t>三</w:t>
      </w:r>
      <w:r>
        <w:rPr>
          <w:rFonts w:hint="eastAsia" w:ascii="MS UI Gothic" w:eastAsia="MS UI Gothic"/>
          <w:w w:val="140"/>
        </w:rPr>
        <w:t xml:space="preserve">) </w:t>
      </w:r>
      <w:r>
        <w:rPr>
          <w:w w:val="105"/>
        </w:rPr>
        <w:t>采用干式抽采瓦斯设备时</w:t>
      </w:r>
      <w:r>
        <w:rPr>
          <w:rFonts w:hint="eastAsia" w:ascii="MS UI Gothic" w:eastAsia="MS UI Gothic"/>
          <w:w w:val="85"/>
        </w:rPr>
        <w:t xml:space="preserve">ꎬ </w:t>
      </w:r>
      <w:r>
        <w:rPr>
          <w:w w:val="105"/>
        </w:rPr>
        <w:t xml:space="preserve">抽采瓦斯浓度不得低于 </w:t>
      </w:r>
      <w:r>
        <w:rPr>
          <w:rFonts w:hint="eastAsia" w:ascii="MS UI Gothic" w:eastAsia="MS UI Gothic"/>
          <w:w w:val="85"/>
        </w:rPr>
        <w:t>２５</w:t>
      </w:r>
      <w:r>
        <w:rPr>
          <w:w w:val="85"/>
        </w:rPr>
        <w:t xml:space="preserve">％ </w:t>
      </w:r>
      <w:r>
        <w:rPr>
          <w:rFonts w:hint="eastAsia" w:asci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利用瓦斯时</w:t>
      </w:r>
      <w:r>
        <w:rPr>
          <w:rFonts w:hint="eastAsia" w:ascii="MS UI Gothic" w:eastAsia="MS UI Gothic"/>
          <w:w w:val="80"/>
        </w:rPr>
        <w:t xml:space="preserve">ꎬ </w:t>
      </w:r>
      <w:r>
        <w:rPr>
          <w:w w:val="105"/>
        </w:rPr>
        <w:t>在利用瓦斯的系统中必须装设有防回火</w:t>
      </w:r>
      <w:r>
        <w:rPr>
          <w:rFonts w:hint="eastAsia" w:ascii="MS UI Gothic" w:eastAsia="MS UI Gothic"/>
          <w:w w:val="80"/>
        </w:rPr>
        <w:t xml:space="preserve">、 </w:t>
      </w:r>
      <w:r>
        <w:rPr>
          <w:w w:val="105"/>
        </w:rPr>
        <w:t>防回流和防爆炸作用的安全装置</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40"/>
        </w:rPr>
        <w:t xml:space="preserve">( </w:t>
      </w:r>
      <w:r>
        <w:t>五</w:t>
      </w:r>
      <w:r>
        <w:rPr>
          <w:rFonts w:hint="eastAsia" w:ascii="MS UI Gothic" w:eastAsia="MS UI Gothic"/>
          <w:w w:val="140"/>
        </w:rPr>
        <w:t xml:space="preserve">) </w:t>
      </w:r>
      <w:r>
        <w:t xml:space="preserve">抽采的瓦斯浓度低于 </w:t>
      </w:r>
      <w:r>
        <w:rPr>
          <w:rFonts w:hint="eastAsia" w:ascii="MS UI Gothic" w:eastAsia="MS UI Gothic"/>
          <w:w w:val="85"/>
        </w:rPr>
        <w:t>３０</w:t>
      </w:r>
      <w:r>
        <w:rPr>
          <w:w w:val="85"/>
        </w:rPr>
        <w:t xml:space="preserve">％ </w:t>
      </w:r>
      <w:r>
        <w:t>时</w:t>
      </w:r>
      <w:r>
        <w:rPr>
          <w:rFonts w:hint="eastAsia" w:ascii="MS UI Gothic" w:eastAsia="MS UI Gothic"/>
          <w:w w:val="85"/>
        </w:rPr>
        <w:t>ꎬ</w:t>
      </w:r>
      <w:r>
        <w:t>不得作为燃气直接燃烧</w:t>
      </w:r>
      <w:r>
        <w:rPr>
          <w:rFonts w:hint="eastAsia" w:ascii="MS UI Gothic" w:eastAsia="MS UI Gothic"/>
          <w:w w:val="85"/>
        </w:rPr>
        <w:t xml:space="preserve">ꎮ </w:t>
      </w:r>
      <w:r>
        <w:t>进行管道输送</w:t>
      </w:r>
      <w:r>
        <w:rPr>
          <w:rFonts w:hint="eastAsia" w:ascii="MS UI Gothic" w:eastAsia="MS UI Gothic"/>
          <w:w w:val="85"/>
        </w:rPr>
        <w:t>、</w:t>
      </w:r>
      <w:r>
        <w:t>瓦斯利用或者排空时</w:t>
      </w:r>
      <w:r>
        <w:rPr>
          <w:rFonts w:hint="eastAsia" w:ascii="MS UI Gothic" w:eastAsia="MS UI Gothic"/>
          <w:w w:val="85"/>
        </w:rPr>
        <w:t xml:space="preserve">ꎬ </w:t>
      </w:r>
      <w:r>
        <w:t>必须按有关标准的规定执行</w:t>
      </w:r>
      <w:r>
        <w:rPr>
          <w:rFonts w:hint="eastAsia" w:ascii="MS UI Gothic" w:eastAsia="MS UI Gothic"/>
          <w:w w:val="85"/>
        </w:rPr>
        <w:t xml:space="preserve">ꎬ </w:t>
      </w:r>
      <w:r>
        <w:t>并制定安全技术措施</w:t>
      </w:r>
      <w:r>
        <w:rPr>
          <w:rFonts w:hint="eastAsia" w:ascii="MS UI Gothic" w:eastAsia="MS UI Gothic"/>
          <w:w w:val="85"/>
        </w:rPr>
        <w:t>ꎮ</w:t>
      </w:r>
    </w:p>
    <w:p>
      <w:pPr>
        <w:pStyle w:val="6"/>
        <w:tabs>
          <w:tab w:val="left" w:pos="1803"/>
        </w:tabs>
        <w:spacing w:before="133"/>
        <w:ind w:left="964" w:firstLine="0"/>
        <w:jc w:val="left"/>
      </w:pPr>
      <w:r>
        <w:rPr>
          <w:spacing w:val="3"/>
          <w:w w:val="105"/>
        </w:rPr>
        <w:t>第三</w:t>
      </w:r>
      <w:r>
        <w:rPr>
          <w:w w:val="105"/>
        </w:rPr>
        <w:t>节</w:t>
      </w:r>
      <w:r>
        <w:rPr>
          <w:w w:val="105"/>
        </w:rPr>
        <w:tab/>
      </w:r>
      <w:r>
        <w:rPr>
          <w:spacing w:val="3"/>
          <w:w w:val="105"/>
        </w:rPr>
        <w:t>瓦斯和煤尘爆炸防</w:t>
      </w:r>
      <w:r>
        <w:rPr>
          <w:w w:val="105"/>
        </w:rPr>
        <w:t>治</w:t>
      </w:r>
    </w:p>
    <w:p>
      <w:pPr>
        <w:pStyle w:val="6"/>
        <w:spacing w:before="10"/>
        <w:ind w:left="0" w:firstLine="0"/>
        <w:jc w:val="left"/>
        <w:rPr>
          <w:sz w:val="16"/>
        </w:rPr>
      </w:pPr>
    </w:p>
    <w:p>
      <w:pPr>
        <w:pStyle w:val="6"/>
        <w:spacing w:line="295" w:lineRule="auto"/>
        <w:ind w:left="440" w:right="1"/>
        <w:rPr>
          <w:rFonts w:hint="eastAsia" w:ascii="MS UI Gothic" w:eastAsia="MS UI Gothic"/>
        </w:rPr>
      </w:pPr>
      <w:r>
        <w:t>第一百八十五条 新建矿井或者生产矿井每延深一个新水平</w:t>
      </w:r>
      <w:r>
        <w:rPr>
          <w:rFonts w:hint="eastAsia" w:ascii="MS UI Gothic" w:eastAsia="MS UI Gothic"/>
          <w:w w:val="80"/>
        </w:rPr>
        <w:t xml:space="preserve">ꎬ </w:t>
      </w:r>
      <w:r>
        <w:t xml:space="preserve">应当进行 </w:t>
      </w:r>
      <w:r>
        <w:rPr>
          <w:rFonts w:hint="eastAsia" w:ascii="MS UI Gothic" w:eastAsia="MS UI Gothic"/>
          <w:w w:val="80"/>
        </w:rPr>
        <w:t xml:space="preserve">１ </w:t>
      </w:r>
      <w:r>
        <w:t>次煤尘爆炸性鉴定工作</w:t>
      </w:r>
      <w:r>
        <w:rPr>
          <w:rFonts w:hint="eastAsia" w:ascii="MS UI Gothic" w:eastAsia="MS UI Gothic"/>
          <w:w w:val="80"/>
        </w:rPr>
        <w:t xml:space="preserve">ꎬ </w:t>
      </w:r>
      <w:r>
        <w:t>鉴定结果必须报省级煤炭行业管理部门和煤矿安全监察机构</w:t>
      </w:r>
      <w:r>
        <w:rPr>
          <w:rFonts w:hint="eastAsia" w:ascii="MS UI Gothic" w:eastAsia="MS UI Gothic"/>
          <w:w w:val="80"/>
        </w:rPr>
        <w:t>ꎮ</w:t>
      </w:r>
    </w:p>
    <w:p>
      <w:pPr>
        <w:pStyle w:val="6"/>
        <w:spacing w:line="295" w:lineRule="auto"/>
        <w:ind w:left="440" w:right="1"/>
        <w:jc w:val="left"/>
        <w:rPr>
          <w:rFonts w:hint="eastAsia" w:ascii="MS UI Gothic" w:eastAsia="MS UI Gothic"/>
        </w:rPr>
      </w:pPr>
      <w:r>
        <w:t>煤矿企业应当根据鉴定结果采取相应</w:t>
      </w:r>
      <w:r>
        <w:rPr>
          <w:w w:val="105"/>
        </w:rPr>
        <w:t>的安全措施</w:t>
      </w:r>
      <w:r>
        <w:rPr>
          <w:rFonts w:hint="eastAsia" w:ascii="MS UI Gothic" w:eastAsia="MS UI Gothic"/>
          <w:w w:val="80"/>
        </w:rPr>
        <w:t>ꎮ</w:t>
      </w:r>
    </w:p>
    <w:p>
      <w:pPr>
        <w:pStyle w:val="6"/>
        <w:spacing w:before="124" w:line="292" w:lineRule="auto"/>
        <w:ind w:left="381" w:right="126"/>
        <w:rPr>
          <w:rFonts w:hint="eastAsia" w:ascii="MS UI Gothic" w:eastAsia="MS UI Gothic"/>
        </w:rPr>
      </w:pPr>
      <w:r>
        <w:br w:type="column"/>
      </w:r>
      <w:r>
        <w:t>第一百八十六条 开采有煤尘爆炸危险煤层的矿井</w:t>
      </w:r>
      <w:r>
        <w:rPr>
          <w:rFonts w:hint="eastAsia" w:ascii="MS UI Gothic" w:eastAsia="MS UI Gothic"/>
          <w:w w:val="80"/>
        </w:rPr>
        <w:t xml:space="preserve">ꎬ </w:t>
      </w:r>
      <w:r>
        <w:t>必须有预防和隔绝煤尘爆炸的措施</w:t>
      </w:r>
      <w:r>
        <w:rPr>
          <w:rFonts w:hint="eastAsia" w:ascii="MS UI Gothic" w:eastAsia="MS UI Gothic"/>
          <w:w w:val="80"/>
        </w:rPr>
        <w:t xml:space="preserve">ꎮ </w:t>
      </w:r>
      <w:r>
        <w:t>矿井的两翼</w:t>
      </w:r>
      <w:r>
        <w:rPr>
          <w:rFonts w:hint="eastAsia" w:ascii="MS UI Gothic" w:eastAsia="MS UI Gothic"/>
          <w:w w:val="80"/>
        </w:rPr>
        <w:t xml:space="preserve">、 </w:t>
      </w:r>
      <w:r>
        <w:t>相邻的采区</w:t>
      </w:r>
      <w:r>
        <w:rPr>
          <w:rFonts w:hint="eastAsia" w:ascii="MS UI Gothic" w:eastAsia="MS UI Gothic"/>
          <w:w w:val="80"/>
        </w:rPr>
        <w:t xml:space="preserve">、 </w:t>
      </w:r>
      <w:r>
        <w:t>相邻的煤层</w:t>
      </w:r>
      <w:r>
        <w:rPr>
          <w:rFonts w:hint="eastAsia" w:ascii="MS UI Gothic" w:eastAsia="MS UI Gothic"/>
          <w:w w:val="80"/>
        </w:rPr>
        <w:t xml:space="preserve">、 </w:t>
      </w:r>
      <w:r>
        <w:t>相邻的采煤工作面间</w:t>
      </w:r>
      <w:r>
        <w:rPr>
          <w:rFonts w:hint="eastAsia" w:ascii="MS UI Gothic" w:eastAsia="MS UI Gothic"/>
          <w:w w:val="80"/>
        </w:rPr>
        <w:t xml:space="preserve">ꎬ </w:t>
      </w:r>
      <w:r>
        <w:t>掘进煤巷同与其相连的巷道间</w:t>
      </w:r>
      <w:r>
        <w:rPr>
          <w:rFonts w:hint="eastAsia" w:ascii="MS UI Gothic" w:eastAsia="MS UI Gothic"/>
          <w:w w:val="80"/>
        </w:rPr>
        <w:t xml:space="preserve">ꎬ </w:t>
      </w:r>
      <w:r>
        <w:t>煤仓同与其相连的巷道间</w:t>
      </w:r>
      <w:r>
        <w:rPr>
          <w:rFonts w:hint="eastAsia" w:ascii="MS UI Gothic" w:eastAsia="MS UI Gothic"/>
          <w:w w:val="80"/>
        </w:rPr>
        <w:t xml:space="preserve">ꎬ </w:t>
      </w:r>
      <w:r>
        <w:t>采用独立通风并有煤尘爆炸危险的其他地点同与其相连的巷道间</w:t>
      </w:r>
      <w:r>
        <w:rPr>
          <w:rFonts w:hint="eastAsia" w:ascii="MS UI Gothic" w:eastAsia="MS UI Gothic"/>
          <w:w w:val="80"/>
        </w:rPr>
        <w:t xml:space="preserve">ꎬ </w:t>
      </w:r>
      <w:r>
        <w:t>必须用水棚或者岩粉棚隔开</w:t>
      </w:r>
      <w:r>
        <w:rPr>
          <w:rFonts w:hint="eastAsia" w:ascii="MS UI Gothic" w:eastAsia="MS UI Gothic"/>
          <w:w w:val="80"/>
        </w:rPr>
        <w:t>ꎮ</w:t>
      </w:r>
    </w:p>
    <w:p>
      <w:pPr>
        <w:pStyle w:val="6"/>
        <w:spacing w:line="292" w:lineRule="auto"/>
        <w:ind w:left="381" w:right="124"/>
        <w:rPr>
          <w:rFonts w:hint="eastAsia" w:ascii="MS UI Gothic" w:eastAsia="MS UI Gothic"/>
        </w:rPr>
      </w:pPr>
      <w:r>
        <w:t>必须及时清除巷道中的浮煤</w:t>
      </w:r>
      <w:r>
        <w:rPr>
          <w:rFonts w:hint="eastAsia" w:ascii="MS UI Gothic" w:eastAsia="MS UI Gothic"/>
          <w:w w:val="80"/>
        </w:rPr>
        <w:t xml:space="preserve">ꎬ </w:t>
      </w:r>
      <w:r>
        <w:t>清扫</w:t>
      </w:r>
      <w:r>
        <w:rPr>
          <w:rFonts w:hint="eastAsia" w:ascii="MS UI Gothic" w:eastAsia="MS UI Gothic"/>
          <w:w w:val="80"/>
        </w:rPr>
        <w:t>、</w:t>
      </w:r>
      <w:r>
        <w:t>冲洗沉积煤尘或者定期撒布岩粉</w:t>
      </w:r>
      <w:r>
        <w:rPr>
          <w:rFonts w:hint="eastAsia" w:ascii="MS UI Gothic" w:eastAsia="MS UI Gothic"/>
          <w:w w:val="80"/>
        </w:rPr>
        <w:t xml:space="preserve">ꎻ </w:t>
      </w:r>
      <w:r>
        <w:t>应当定期对主要大巷刷浆</w:t>
      </w:r>
      <w:r>
        <w:rPr>
          <w:rFonts w:hint="eastAsia" w:ascii="MS UI Gothic" w:eastAsia="MS UI Gothic"/>
          <w:w w:val="80"/>
        </w:rPr>
        <w:t>ꎮ</w:t>
      </w:r>
    </w:p>
    <w:p>
      <w:pPr>
        <w:pStyle w:val="6"/>
        <w:spacing w:line="292" w:lineRule="auto"/>
        <w:ind w:left="381" w:right="126"/>
        <w:rPr>
          <w:rFonts w:hint="eastAsia" w:ascii="MS UI Gothic" w:eastAsia="MS UI Gothic"/>
        </w:rPr>
      </w:pPr>
      <w:r>
        <w:t>第一百八十七条 矿井应当每年制定综合防尘措施</w:t>
      </w:r>
      <w:r>
        <w:rPr>
          <w:rFonts w:hint="eastAsia" w:ascii="MS UI Gothic" w:eastAsia="MS UI Gothic"/>
          <w:w w:val="80"/>
        </w:rPr>
        <w:t xml:space="preserve">、 </w:t>
      </w:r>
      <w:r>
        <w:t>预防和隔绝煤尘爆炸措施及管理制度</w:t>
      </w:r>
      <w:r>
        <w:rPr>
          <w:rFonts w:hint="eastAsia" w:ascii="MS UI Gothic" w:eastAsia="MS UI Gothic"/>
          <w:w w:val="80"/>
        </w:rPr>
        <w:t xml:space="preserve">ꎬ </w:t>
      </w:r>
      <w:r>
        <w:t>并组织实施</w:t>
      </w:r>
      <w:r>
        <w:rPr>
          <w:rFonts w:hint="eastAsia" w:ascii="MS UI Gothic" w:eastAsia="MS UI Gothic"/>
          <w:w w:val="80"/>
        </w:rPr>
        <w:t>ꎮ</w:t>
      </w:r>
    </w:p>
    <w:p>
      <w:pPr>
        <w:pStyle w:val="6"/>
        <w:spacing w:line="292" w:lineRule="auto"/>
        <w:ind w:left="381" w:right="126"/>
        <w:rPr>
          <w:rFonts w:hint="eastAsia" w:ascii="MS UI Gothic" w:eastAsia="MS UI Gothic"/>
        </w:rPr>
      </w:pPr>
      <w:r>
        <w:t xml:space="preserve">矿井应当每周至少检查 </w:t>
      </w:r>
      <w:r>
        <w:rPr>
          <w:rFonts w:hint="eastAsia" w:ascii="MS UI Gothic" w:eastAsia="MS UI Gothic"/>
          <w:w w:val="80"/>
        </w:rPr>
        <w:t xml:space="preserve">１ </w:t>
      </w:r>
      <w:r>
        <w:t>次隔爆设施的安装地点</w:t>
      </w:r>
      <w:r>
        <w:rPr>
          <w:rFonts w:hint="eastAsia" w:ascii="MS UI Gothic" w:eastAsia="MS UI Gothic"/>
          <w:w w:val="80"/>
        </w:rPr>
        <w:t xml:space="preserve">、 </w:t>
      </w:r>
      <w:r>
        <w:t>数量</w:t>
      </w:r>
      <w:r>
        <w:rPr>
          <w:rFonts w:hint="eastAsia" w:ascii="MS UI Gothic" w:eastAsia="MS UI Gothic"/>
          <w:w w:val="80"/>
        </w:rPr>
        <w:t xml:space="preserve">、 </w:t>
      </w:r>
      <w:r>
        <w:t>水量或者岩粉量及安装质量是否符合要求</w:t>
      </w:r>
      <w:r>
        <w:rPr>
          <w:rFonts w:hint="eastAsia" w:ascii="MS UI Gothic" w:eastAsia="MS UI Gothic"/>
          <w:w w:val="80"/>
        </w:rPr>
        <w:t>ꎮ</w:t>
      </w:r>
    </w:p>
    <w:p>
      <w:pPr>
        <w:pStyle w:val="6"/>
        <w:spacing w:line="292" w:lineRule="auto"/>
        <w:ind w:left="381" w:right="126"/>
        <w:rPr>
          <w:rFonts w:hint="eastAsia" w:ascii="MS UI Gothic" w:eastAsia="MS UI Gothic"/>
        </w:rPr>
      </w:pPr>
      <w:r>
        <w:rPr>
          <w:w w:val="105"/>
        </w:rPr>
        <w:t>第一百八十八条 高瓦斯矿井</w:t>
      </w:r>
      <w:r>
        <w:rPr>
          <w:rFonts w:hint="eastAsia" w:ascii="MS UI Gothic" w:eastAsia="MS UI Gothic"/>
          <w:w w:val="80"/>
        </w:rPr>
        <w:t xml:space="preserve">、 </w:t>
      </w:r>
      <w:r>
        <w:rPr>
          <w:w w:val="105"/>
        </w:rPr>
        <w:t>突出</w:t>
      </w:r>
      <w:r>
        <w:t>矿井和有煤尘爆炸危险的矿井</w:t>
      </w:r>
      <w:r>
        <w:rPr>
          <w:rFonts w:hint="eastAsia" w:ascii="MS UI Gothic" w:eastAsia="MS UI Gothic"/>
          <w:w w:val="80"/>
        </w:rPr>
        <w:t xml:space="preserve">ꎬ </w:t>
      </w:r>
      <w:r>
        <w:t>煤巷和半</w:t>
      </w:r>
      <w:r>
        <w:rPr>
          <w:w w:val="105"/>
        </w:rPr>
        <w:t>煤岩巷掘进工作面应当安设隔爆设施</w:t>
      </w:r>
      <w:r>
        <w:rPr>
          <w:rFonts w:hint="eastAsia" w:ascii="MS UI Gothic" w:eastAsia="MS UI Gothic"/>
          <w:w w:val="80"/>
        </w:rPr>
        <w:t>ꎮ</w:t>
      </w:r>
    </w:p>
    <w:p>
      <w:pPr>
        <w:pStyle w:val="6"/>
        <w:tabs>
          <w:tab w:val="left" w:pos="1090"/>
        </w:tabs>
        <w:spacing w:before="138"/>
        <w:ind w:left="252" w:firstLine="0"/>
        <w:jc w:val="center"/>
      </w:pPr>
      <w:r>
        <w:rPr>
          <w:spacing w:val="3"/>
          <w:w w:val="105"/>
        </w:rPr>
        <w:t>第四</w:t>
      </w:r>
      <w:r>
        <w:rPr>
          <w:w w:val="105"/>
        </w:rPr>
        <w:t>章</w:t>
      </w:r>
      <w:r>
        <w:rPr>
          <w:w w:val="105"/>
        </w:rPr>
        <w:tab/>
      </w:r>
      <w:r>
        <w:rPr>
          <w:w w:val="105"/>
        </w:rPr>
        <w:t xml:space="preserve">煤 </w:t>
      </w:r>
      <w:r>
        <w:rPr>
          <w:rFonts w:hint="eastAsia" w:ascii="Microsoft Yi Baiti" w:eastAsia="Microsoft Yi Baiti"/>
          <w:w w:val="105"/>
        </w:rPr>
        <w:t>(</w:t>
      </w:r>
      <w:r>
        <w:rPr>
          <w:rFonts w:hint="eastAsia" w:ascii="Microsoft Yi Baiti" w:eastAsia="Microsoft Yi Baiti"/>
          <w:spacing w:val="-72"/>
          <w:w w:val="105"/>
        </w:rPr>
        <w:t xml:space="preserve"> </w:t>
      </w:r>
      <w:r>
        <w:rPr>
          <w:spacing w:val="3"/>
          <w:w w:val="105"/>
        </w:rPr>
        <w:t>岩</w:t>
      </w:r>
      <w:r>
        <w:rPr>
          <w:rFonts w:hint="eastAsia" w:ascii="Microsoft Yi Baiti" w:eastAsia="Microsoft Yi Baiti"/>
          <w:w w:val="105"/>
        </w:rPr>
        <w:t>)</w:t>
      </w:r>
      <w:r>
        <w:rPr>
          <w:rFonts w:hint="eastAsia" w:ascii="Microsoft Yi Baiti" w:eastAsia="Microsoft Yi Baiti"/>
          <w:spacing w:val="30"/>
          <w:w w:val="105"/>
        </w:rPr>
        <w:t xml:space="preserve"> </w:t>
      </w:r>
      <w:r>
        <w:rPr>
          <w:spacing w:val="3"/>
          <w:w w:val="105"/>
        </w:rPr>
        <w:t>与瓦</w:t>
      </w:r>
      <w:r>
        <w:rPr>
          <w:w w:val="105"/>
        </w:rPr>
        <w:t>斯</w:t>
      </w:r>
    </w:p>
    <w:p>
      <w:pPr>
        <w:pStyle w:val="6"/>
        <w:spacing w:before="58"/>
        <w:ind w:left="252" w:firstLine="0"/>
        <w:jc w:val="center"/>
      </w:pPr>
      <w:r>
        <w:rPr>
          <w:rFonts w:hint="eastAsia" w:ascii="Microsoft Yi Baiti" w:eastAsia="Microsoft Yi Baiti"/>
          <w:w w:val="105"/>
        </w:rPr>
        <w:t xml:space="preserve">( </w:t>
      </w:r>
      <w:r>
        <w:rPr>
          <w:w w:val="105"/>
        </w:rPr>
        <w:t>二氧化碳</w:t>
      </w:r>
      <w:r>
        <w:rPr>
          <w:rFonts w:hint="eastAsia" w:ascii="Microsoft Yi Baiti" w:eastAsia="Microsoft Yi Baiti"/>
          <w:w w:val="105"/>
        </w:rPr>
        <w:t xml:space="preserve">) </w:t>
      </w:r>
      <w:r>
        <w:rPr>
          <w:w w:val="105"/>
        </w:rPr>
        <w:t>突出防治</w:t>
      </w:r>
    </w:p>
    <w:p>
      <w:pPr>
        <w:pStyle w:val="6"/>
        <w:spacing w:before="5"/>
        <w:ind w:left="0" w:firstLine="0"/>
        <w:jc w:val="left"/>
        <w:rPr>
          <w:sz w:val="36"/>
        </w:rPr>
      </w:pPr>
    </w:p>
    <w:p>
      <w:pPr>
        <w:pStyle w:val="6"/>
        <w:tabs>
          <w:tab w:val="left" w:pos="1090"/>
        </w:tabs>
        <w:ind w:left="252" w:firstLine="0"/>
        <w:jc w:val="center"/>
      </w:pPr>
      <w:r>
        <w:rPr>
          <w:spacing w:val="3"/>
          <w:w w:val="105"/>
        </w:rPr>
        <w:t>第一</w:t>
      </w:r>
      <w:r>
        <w:rPr>
          <w:w w:val="105"/>
        </w:rPr>
        <w:t>节</w:t>
      </w:r>
      <w:r>
        <w:rPr>
          <w:w w:val="105"/>
        </w:rPr>
        <w:tab/>
      </w:r>
      <w:r>
        <w:rPr>
          <w:w w:val="105"/>
        </w:rPr>
        <w:t>一</w:t>
      </w:r>
      <w:r>
        <w:rPr>
          <w:spacing w:val="-33"/>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line="290" w:lineRule="auto"/>
        <w:ind w:left="381" w:right="124"/>
        <w:rPr>
          <w:rFonts w:hint="eastAsia" w:ascii="MS UI Gothic" w:eastAsia="MS UI Gothic"/>
        </w:rPr>
      </w:pPr>
      <w:r>
        <w:rPr>
          <w:spacing w:val="2"/>
          <w:w w:val="105"/>
        </w:rPr>
        <w:t>第一百八十九条 在矿井井田范围内</w:t>
      </w:r>
      <w:r>
        <w:rPr>
          <w:spacing w:val="-4"/>
          <w:w w:val="110"/>
        </w:rPr>
        <w:t xml:space="preserve">发生过煤 </w:t>
      </w:r>
      <w:r>
        <w:rPr>
          <w:rFonts w:hint="eastAsia" w:ascii="MS UI Gothic" w:eastAsia="MS UI Gothic"/>
          <w:spacing w:val="-35"/>
          <w:w w:val="150"/>
        </w:rPr>
        <w:t xml:space="preserve">( </w:t>
      </w:r>
      <w:r>
        <w:rPr>
          <w:spacing w:val="11"/>
          <w:w w:val="110"/>
        </w:rPr>
        <w:t>岩</w:t>
      </w:r>
      <w:r>
        <w:rPr>
          <w:rFonts w:hint="eastAsia" w:ascii="MS UI Gothic" w:eastAsia="MS UI Gothic"/>
          <w:spacing w:val="4"/>
          <w:w w:val="150"/>
        </w:rPr>
        <w:t xml:space="preserve">) </w:t>
      </w:r>
      <w:r>
        <w:rPr>
          <w:spacing w:val="2"/>
          <w:w w:val="110"/>
        </w:rPr>
        <w:t xml:space="preserve">与瓦斯 </w:t>
      </w:r>
      <w:r>
        <w:rPr>
          <w:rFonts w:hint="eastAsia" w:ascii="MS UI Gothic" w:eastAsia="MS UI Gothic"/>
          <w:spacing w:val="-35"/>
          <w:w w:val="150"/>
        </w:rPr>
        <w:t xml:space="preserve">( </w:t>
      </w:r>
      <w:r>
        <w:rPr>
          <w:spacing w:val="17"/>
          <w:w w:val="110"/>
        </w:rPr>
        <w:t>二氧化碳</w:t>
      </w:r>
      <w:r>
        <w:rPr>
          <w:rFonts w:hint="eastAsia" w:ascii="MS UI Gothic" w:eastAsia="MS UI Gothic"/>
          <w:spacing w:val="5"/>
          <w:w w:val="150"/>
        </w:rPr>
        <w:t xml:space="preserve">) </w:t>
      </w:r>
      <w:r>
        <w:rPr>
          <w:w w:val="110"/>
        </w:rPr>
        <w:t>突</w:t>
      </w:r>
      <w:r>
        <w:rPr>
          <w:spacing w:val="-20"/>
          <w:w w:val="110"/>
        </w:rPr>
        <w:t xml:space="preserve">出的煤 </w:t>
      </w:r>
      <w:r>
        <w:rPr>
          <w:rFonts w:hint="eastAsia" w:ascii="MS UI Gothic" w:eastAsia="MS UI Gothic"/>
          <w:spacing w:val="-41"/>
          <w:w w:val="150"/>
        </w:rPr>
        <w:t xml:space="preserve">( </w:t>
      </w:r>
      <w:r>
        <w:rPr>
          <w:spacing w:val="3"/>
          <w:w w:val="110"/>
        </w:rPr>
        <w:t>岩</w:t>
      </w:r>
      <w:r>
        <w:rPr>
          <w:rFonts w:hint="eastAsia" w:ascii="MS UI Gothic" w:eastAsia="MS UI Gothic"/>
          <w:spacing w:val="-18"/>
          <w:w w:val="150"/>
        </w:rPr>
        <w:t xml:space="preserve">) </w:t>
      </w:r>
      <w:r>
        <w:rPr>
          <w:spacing w:val="3"/>
          <w:w w:val="110"/>
        </w:rPr>
        <w:t>层或者经鉴定</w:t>
      </w:r>
      <w:r>
        <w:rPr>
          <w:rFonts w:hint="eastAsia" w:ascii="MS UI Gothic" w:eastAsia="MS UI Gothic"/>
          <w:spacing w:val="-1"/>
          <w:w w:val="80"/>
        </w:rPr>
        <w:t xml:space="preserve">、 </w:t>
      </w:r>
      <w:r>
        <w:rPr>
          <w:spacing w:val="2"/>
          <w:w w:val="110"/>
        </w:rPr>
        <w:t>认定为有突</w:t>
      </w:r>
      <w:r>
        <w:rPr>
          <w:spacing w:val="-7"/>
          <w:w w:val="110"/>
        </w:rPr>
        <w:t xml:space="preserve">出危险的煤 </w:t>
      </w:r>
      <w:r>
        <w:rPr>
          <w:rFonts w:hint="eastAsia" w:ascii="MS UI Gothic" w:eastAsia="MS UI Gothic"/>
          <w:spacing w:val="-38"/>
          <w:w w:val="150"/>
        </w:rPr>
        <w:t xml:space="preserve">( </w:t>
      </w:r>
      <w:r>
        <w:rPr>
          <w:spacing w:val="9"/>
          <w:w w:val="110"/>
        </w:rPr>
        <w:t>岩</w:t>
      </w:r>
      <w:r>
        <w:rPr>
          <w:rFonts w:hint="eastAsia" w:ascii="MS UI Gothic" w:eastAsia="MS UI Gothic"/>
          <w:spacing w:val="-5"/>
          <w:w w:val="150"/>
        </w:rPr>
        <w:t xml:space="preserve">) </w:t>
      </w:r>
      <w:r>
        <w:rPr>
          <w:spacing w:val="-4"/>
          <w:w w:val="110"/>
        </w:rPr>
        <w:t xml:space="preserve">层为突出煤 </w:t>
      </w:r>
      <w:r>
        <w:rPr>
          <w:rFonts w:hint="eastAsia" w:ascii="MS UI Gothic" w:eastAsia="MS UI Gothic"/>
          <w:spacing w:val="-38"/>
          <w:w w:val="150"/>
        </w:rPr>
        <w:t xml:space="preserve">( </w:t>
      </w:r>
      <w:r>
        <w:rPr>
          <w:spacing w:val="11"/>
          <w:w w:val="110"/>
        </w:rPr>
        <w:t>岩</w:t>
      </w:r>
      <w:r>
        <w:rPr>
          <w:rFonts w:hint="eastAsia" w:ascii="MS UI Gothic" w:eastAsia="MS UI Gothic"/>
          <w:spacing w:val="-5"/>
          <w:w w:val="150"/>
        </w:rPr>
        <w:t xml:space="preserve">) </w:t>
      </w:r>
      <w:r>
        <w:rPr>
          <w:spacing w:val="3"/>
          <w:w w:val="110"/>
        </w:rPr>
        <w:t>层</w:t>
      </w:r>
      <w:r>
        <w:rPr>
          <w:rFonts w:hint="eastAsia" w:ascii="MS UI Gothic" w:eastAsia="MS UI Gothic"/>
          <w:w w:val="80"/>
        </w:rPr>
        <w:t>ꎮ</w:t>
      </w:r>
      <w:r>
        <w:rPr>
          <w:spacing w:val="25"/>
          <w:w w:val="105"/>
        </w:rPr>
        <w:t>在矿井的开拓</w:t>
      </w:r>
      <w:r>
        <w:rPr>
          <w:rFonts w:hint="eastAsia" w:ascii="MS UI Gothic" w:eastAsia="MS UI Gothic"/>
          <w:spacing w:val="10"/>
          <w:w w:val="80"/>
        </w:rPr>
        <w:t xml:space="preserve">、 </w:t>
      </w:r>
      <w:r>
        <w:rPr>
          <w:spacing w:val="30"/>
          <w:w w:val="105"/>
        </w:rPr>
        <w:t>生产范围内有突出煤</w:t>
      </w:r>
      <w:r>
        <w:rPr>
          <w:rFonts w:hint="eastAsia" w:ascii="MS UI Gothic" w:eastAsia="MS UI Gothic"/>
          <w:spacing w:val="-22"/>
          <w:w w:val="150"/>
        </w:rPr>
        <w:t xml:space="preserve">( </w:t>
      </w:r>
      <w:r>
        <w:rPr>
          <w:spacing w:val="3"/>
          <w:w w:val="110"/>
        </w:rPr>
        <w:t>岩</w:t>
      </w:r>
      <w:r>
        <w:rPr>
          <w:rFonts w:hint="eastAsia" w:ascii="MS UI Gothic" w:eastAsia="MS UI Gothic"/>
          <w:spacing w:val="9"/>
          <w:w w:val="150"/>
        </w:rPr>
        <w:t xml:space="preserve">) </w:t>
      </w:r>
      <w:r>
        <w:rPr>
          <w:spacing w:val="3"/>
          <w:w w:val="110"/>
        </w:rPr>
        <w:t>层的矿井为突出矿井</w:t>
      </w:r>
      <w:r>
        <w:rPr>
          <w:rFonts w:hint="eastAsia" w:ascii="MS UI Gothic" w:eastAsia="MS UI Gothic"/>
          <w:w w:val="80"/>
        </w:rPr>
        <w:t>ꎮ</w:t>
      </w:r>
    </w:p>
    <w:p>
      <w:pPr>
        <w:pStyle w:val="6"/>
        <w:spacing w:before="7" w:line="292" w:lineRule="auto"/>
        <w:ind w:left="381" w:right="126"/>
        <w:rPr>
          <w:rFonts w:hint="eastAsia" w:ascii="MS UI Gothic" w:eastAsia="MS UI Gothic"/>
        </w:rPr>
      </w:pPr>
      <w:r>
        <w:t>煤矿发生生产安全事故</w:t>
      </w:r>
      <w:r>
        <w:rPr>
          <w:rFonts w:hint="eastAsia" w:ascii="MS UI Gothic" w:eastAsia="MS UI Gothic"/>
          <w:w w:val="80"/>
        </w:rPr>
        <w:t xml:space="preserve">ꎬ </w:t>
      </w:r>
      <w:r>
        <w:t>经事故调查认定为突出事故的</w:t>
      </w:r>
      <w:r>
        <w:rPr>
          <w:rFonts w:hint="eastAsia" w:ascii="MS UI Gothic" w:eastAsia="MS UI Gothic"/>
          <w:w w:val="80"/>
        </w:rPr>
        <w:t xml:space="preserve">ꎬ </w:t>
      </w:r>
      <w:r>
        <w:t>发生事故的煤层直接认定为突出煤层</w:t>
      </w:r>
      <w:r>
        <w:rPr>
          <w:rFonts w:hint="eastAsia" w:ascii="MS UI Gothic" w:eastAsia="MS UI Gothic"/>
          <w:w w:val="80"/>
        </w:rPr>
        <w:t xml:space="preserve">ꎬ </w:t>
      </w:r>
      <w:r>
        <w:t>该矿井为突出矿井</w:t>
      </w:r>
      <w:r>
        <w:rPr>
          <w:rFonts w:hint="eastAsia" w:ascii="MS UI Gothic" w:eastAsia="MS UI Gothic"/>
          <w:w w:val="80"/>
        </w:rPr>
        <w:t>ꎮ</w:t>
      </w:r>
    </w:p>
    <w:p>
      <w:pPr>
        <w:pStyle w:val="6"/>
        <w:spacing w:line="292" w:lineRule="auto"/>
        <w:ind w:left="381" w:right="126"/>
        <w:rPr>
          <w:rFonts w:hint="eastAsia" w:ascii="MS UI Gothic" w:eastAsia="MS UI Gothic"/>
        </w:rPr>
      </w:pPr>
      <w:r>
        <w:t>有下列情况之一的煤层</w:t>
      </w:r>
      <w:r>
        <w:rPr>
          <w:rFonts w:hint="eastAsia" w:ascii="MS UI Gothic" w:eastAsia="MS UI Gothic"/>
          <w:w w:val="80"/>
        </w:rPr>
        <w:t xml:space="preserve">ꎬ </w:t>
      </w:r>
      <w:r>
        <w:t>应当立即进行煤层突出危险性鉴定</w:t>
      </w:r>
      <w:r>
        <w:rPr>
          <w:rFonts w:hint="eastAsia" w:ascii="MS UI Gothic" w:eastAsia="MS UI Gothic"/>
          <w:w w:val="80"/>
        </w:rPr>
        <w:t xml:space="preserve">ꎬ </w:t>
      </w:r>
      <w:r>
        <w:t>否则直接认定为突出煤层</w:t>
      </w:r>
      <w:r>
        <w:rPr>
          <w:rFonts w:hint="eastAsia" w:ascii="MS UI Gothic" w:eastAsia="MS UI Gothic"/>
          <w:w w:val="80"/>
        </w:rPr>
        <w:t xml:space="preserve">ꎻ </w:t>
      </w:r>
      <w:r>
        <w:t>鉴定未完成前</w:t>
      </w:r>
      <w:r>
        <w:rPr>
          <w:rFonts w:hint="eastAsia" w:ascii="MS UI Gothic" w:eastAsia="MS UI Gothic"/>
          <w:w w:val="80"/>
        </w:rPr>
        <w:t xml:space="preserve">ꎬ </w:t>
      </w:r>
      <w:r>
        <w:t>应当按照突出</w:t>
      </w:r>
      <w:r>
        <w:rPr>
          <w:w w:val="105"/>
        </w:rPr>
        <w:t>煤层管理</w:t>
      </w:r>
      <w:r>
        <w:rPr>
          <w:rFonts w:hint="eastAsia" w:ascii="MS UI Gothic" w:eastAsia="MS UI Gothic"/>
          <w:w w:val="235"/>
        </w:rPr>
        <w:t>:</w:t>
      </w:r>
    </w:p>
    <w:p>
      <w:pPr>
        <w:pStyle w:val="6"/>
        <w:spacing w:line="254" w:lineRule="exact"/>
        <w:ind w:left="80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有瓦斯动力现象的</w:t>
      </w:r>
      <w:r>
        <w:rPr>
          <w:rFonts w:hint="eastAsia" w:ascii="MS UI Gothic" w:eastAsia="MS UI Gothic"/>
          <w:w w:val="80"/>
        </w:rPr>
        <w:t>ꎮ</w:t>
      </w:r>
    </w:p>
    <w:p>
      <w:pPr>
        <w:spacing w:after="0" w:line="254" w:lineRule="exac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２６８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30" o:spid="_x0000_s1830" o:spt="203" style="height:2.15pt;width:398.25pt;" coordsize="7965,43">
            <o:lock v:ext="edit"/>
            <v:line id="_x0000_s1831" o:spid="_x0000_s1831" o:spt="20" style="position:absolute;left:0;top:39;height:0;width:7965;" stroked="t" coordsize="21600,21600">
              <v:path arrowok="t"/>
              <v:fill focussize="0,0"/>
              <v:stroke weight="0.388031496062992pt" color="#231F20"/>
              <v:imagedata o:title=""/>
              <o:lock v:ext="edit"/>
            </v:line>
            <v:line id="_x0000_s1832" o:spid="_x0000_s183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left="543" w:firstLine="0"/>
        <w:jc w:val="left"/>
      </w:pPr>
      <w:r>
        <w:rPr>
          <w:rFonts w:hint="eastAsia" w:ascii="MS UI Gothic" w:eastAsia="MS UI Gothic"/>
          <w:spacing w:val="-37"/>
          <w:w w:val="150"/>
        </w:rPr>
        <w:t xml:space="preserve">( </w:t>
      </w:r>
      <w:r>
        <w:rPr>
          <w:spacing w:val="42"/>
          <w:w w:val="115"/>
        </w:rPr>
        <w:t>二</w:t>
      </w:r>
      <w:r>
        <w:rPr>
          <w:rFonts w:hint="eastAsia" w:ascii="MS UI Gothic" w:eastAsia="MS UI Gothic"/>
          <w:spacing w:val="14"/>
          <w:w w:val="150"/>
        </w:rPr>
        <w:t xml:space="preserve">) </w:t>
      </w:r>
      <w:r>
        <w:rPr>
          <w:spacing w:val="-36"/>
          <w:w w:val="115"/>
        </w:rPr>
        <w:t>瓦 斯 压 力 达 到 或 者 超 过</w:t>
      </w:r>
    </w:p>
    <w:p>
      <w:pPr>
        <w:pStyle w:val="6"/>
        <w:spacing w:before="58"/>
        <w:ind w:left="118" w:firstLine="0"/>
        <w:jc w:val="left"/>
        <w:rPr>
          <w:rFonts w:hint="eastAsia" w:ascii="MS UI Gothic" w:eastAsia="MS UI Gothic"/>
        </w:rPr>
      </w:pPr>
      <w:r>
        <w:rPr>
          <w:rFonts w:hint="eastAsia" w:ascii="MS UI Gothic" w:eastAsia="MS UI Gothic"/>
          <w:w w:val="90"/>
        </w:rPr>
        <w:t>０ ７４ ＭＰａ</w:t>
      </w:r>
      <w:r>
        <w:rPr>
          <w:w w:val="90"/>
        </w:rPr>
        <w:t>的</w:t>
      </w:r>
      <w:r>
        <w:rPr>
          <w:rFonts w:hint="eastAsia" w:ascii="MS UI Gothic" w:eastAsia="MS UI Gothic"/>
          <w:w w:val="90"/>
        </w:rPr>
        <w:t>ꎮ</w:t>
      </w:r>
    </w:p>
    <w:p>
      <w:pPr>
        <w:pStyle w:val="6"/>
        <w:spacing w:before="58"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相邻矿井开采的同一煤层发生突出事故或者被鉴定</w:t>
      </w:r>
      <w:r>
        <w:rPr>
          <w:rFonts w:hint="eastAsia" w:ascii="MS UI Gothic" w:eastAsia="MS UI Gothic"/>
          <w:w w:val="80"/>
        </w:rPr>
        <w:t xml:space="preserve">、 </w:t>
      </w:r>
      <w:r>
        <w:rPr>
          <w:w w:val="105"/>
        </w:rPr>
        <w:t>认定为突出煤层的</w:t>
      </w:r>
      <w:r>
        <w:rPr>
          <w:rFonts w:hint="eastAsia" w:ascii="MS UI Gothic" w:eastAsia="MS UI Gothic"/>
          <w:w w:val="80"/>
        </w:rPr>
        <w:t>ꎮ</w:t>
      </w:r>
    </w:p>
    <w:p>
      <w:pPr>
        <w:pStyle w:val="6"/>
        <w:spacing w:line="295" w:lineRule="auto"/>
        <w:ind w:right="38"/>
        <w:rPr>
          <w:rFonts w:hint="eastAsia" w:ascii="MS UI Gothic" w:eastAsia="MS UI Gothic"/>
        </w:rPr>
      </w:pPr>
      <w:r>
        <w:t>煤矿企业应当将突出矿井及突出煤层的鉴定结果报省级煤炭行业管理部门和煤</w:t>
      </w:r>
      <w:r>
        <w:rPr>
          <w:w w:val="105"/>
        </w:rPr>
        <w:t>矿安全监察机构</w:t>
      </w:r>
      <w:r>
        <w:rPr>
          <w:rFonts w:hint="eastAsia" w:ascii="MS UI Gothic" w:eastAsia="MS UI Gothic"/>
          <w:w w:val="80"/>
        </w:rPr>
        <w:t>ꎮ</w:t>
      </w:r>
    </w:p>
    <w:p>
      <w:pPr>
        <w:pStyle w:val="6"/>
        <w:spacing w:line="295" w:lineRule="auto"/>
        <w:ind w:right="38"/>
        <w:rPr>
          <w:rFonts w:hint="eastAsia" w:ascii="MS UI Gothic" w:eastAsia="MS UI Gothic"/>
        </w:rPr>
      </w:pPr>
      <w:r>
        <w:rPr>
          <w:spacing w:val="2"/>
        </w:rPr>
        <w:t>新建矿井应当对井田范围内采掘工程</w:t>
      </w:r>
      <w:r>
        <w:rPr>
          <w:spacing w:val="-4"/>
        </w:rPr>
        <w:t xml:space="preserve">可能揭露的所有平均厚度在 </w:t>
      </w:r>
      <w:r>
        <w:rPr>
          <w:rFonts w:hint="eastAsia" w:ascii="MS UI Gothic" w:eastAsia="MS UI Gothic"/>
        </w:rPr>
        <w:t>０</w:t>
      </w:r>
      <w:r>
        <w:rPr>
          <w:rFonts w:hint="eastAsia" w:ascii="MS UI Gothic" w:eastAsia="MS UI Gothic"/>
          <w:spacing w:val="-7"/>
        </w:rPr>
        <w:t xml:space="preserve"> ３ </w:t>
      </w:r>
      <w:r>
        <w:rPr>
          <w:rFonts w:hint="eastAsia" w:ascii="MS UI Gothic" w:eastAsia="MS UI Gothic"/>
        </w:rPr>
        <w:t xml:space="preserve">ｍ </w:t>
      </w:r>
      <w:r>
        <w:rPr>
          <w:spacing w:val="2"/>
        </w:rPr>
        <w:t>以上的</w:t>
      </w:r>
      <w:r>
        <w:rPr>
          <w:spacing w:val="3"/>
        </w:rPr>
        <w:t>煤层进行突出危险性评估</w:t>
      </w:r>
      <w:r>
        <w:rPr>
          <w:rFonts w:hint="eastAsia" w:ascii="MS UI Gothic" w:eastAsia="MS UI Gothic"/>
          <w:spacing w:val="14"/>
          <w:w w:val="85"/>
        </w:rPr>
        <w:t xml:space="preserve">ꎬ </w:t>
      </w:r>
      <w:r>
        <w:rPr>
          <w:spacing w:val="2"/>
        </w:rPr>
        <w:t>评估结论作为矿井初步设计和建井期间井巷揭煤作业的</w:t>
      </w:r>
      <w:r>
        <w:rPr>
          <w:spacing w:val="3"/>
        </w:rPr>
        <w:t>依据</w:t>
      </w:r>
      <w:r>
        <w:rPr>
          <w:rFonts w:hint="eastAsia" w:ascii="MS UI Gothic" w:eastAsia="MS UI Gothic"/>
          <w:spacing w:val="17"/>
          <w:w w:val="85"/>
        </w:rPr>
        <w:t xml:space="preserve">ꎮ </w:t>
      </w:r>
      <w:r>
        <w:rPr>
          <w:spacing w:val="3"/>
        </w:rPr>
        <w:t>评估为有突出危险时</w:t>
      </w:r>
      <w:r>
        <w:rPr>
          <w:rFonts w:hint="eastAsia" w:ascii="MS UI Gothic" w:eastAsia="MS UI Gothic"/>
          <w:spacing w:val="17"/>
          <w:w w:val="85"/>
        </w:rPr>
        <w:t xml:space="preserve">ꎬ </w:t>
      </w:r>
      <w:r>
        <w:rPr>
          <w:spacing w:val="2"/>
        </w:rPr>
        <w:t>建井期间应当对开采煤层及其他可能对采掘活动造成</w:t>
      </w:r>
      <w:r>
        <w:rPr>
          <w:spacing w:val="25"/>
        </w:rPr>
        <w:t>威胁的煤层进行突出危险性鉴定或者</w:t>
      </w:r>
      <w:r>
        <w:rPr>
          <w:spacing w:val="3"/>
        </w:rPr>
        <w:t>认定</w:t>
      </w:r>
      <w:r>
        <w:rPr>
          <w:rFonts w:hint="eastAsia" w:ascii="MS UI Gothic" w:eastAsia="MS UI Gothic"/>
          <w:w w:val="85"/>
        </w:rPr>
        <w:t>ꎮ</w:t>
      </w:r>
    </w:p>
    <w:p>
      <w:pPr>
        <w:pStyle w:val="6"/>
        <w:spacing w:line="295" w:lineRule="auto"/>
        <w:ind w:right="38"/>
        <w:rPr>
          <w:rFonts w:hint="eastAsia" w:ascii="MS UI Gothic" w:eastAsia="MS UI Gothic"/>
        </w:rPr>
      </w:pPr>
      <w:r>
        <w:rPr>
          <w:w w:val="95"/>
        </w:rPr>
        <w:t xml:space="preserve">第一百九十条   新建突出矿井设计生产能力不得低于 </w:t>
      </w:r>
      <w:r>
        <w:rPr>
          <w:rFonts w:hint="eastAsia" w:ascii="MS UI Gothic" w:eastAsia="MS UI Gothic"/>
          <w:w w:val="95"/>
        </w:rPr>
        <w:t xml:space="preserve">０ ９ Ｍｔ </w:t>
      </w:r>
      <w:r>
        <w:rPr>
          <w:rFonts w:hint="eastAsia" w:ascii="MS UI Gothic" w:eastAsia="MS UI Gothic"/>
          <w:w w:val="75"/>
        </w:rPr>
        <w:t xml:space="preserve">/ </w:t>
      </w:r>
      <w:r>
        <w:rPr>
          <w:rFonts w:hint="eastAsia" w:ascii="MS UI Gothic" w:eastAsia="MS UI Gothic"/>
          <w:w w:val="95"/>
        </w:rPr>
        <w:t>ａ</w:t>
      </w:r>
      <w:r>
        <w:rPr>
          <w:rFonts w:hint="eastAsia" w:ascii="MS UI Gothic" w:eastAsia="MS UI Gothic"/>
          <w:w w:val="75"/>
        </w:rPr>
        <w:t xml:space="preserve">ꎬ </w:t>
      </w:r>
      <w:r>
        <w:rPr>
          <w:w w:val="95"/>
        </w:rPr>
        <w:t xml:space="preserve">第一生产水平开采深度不得超过 </w:t>
      </w:r>
      <w:r>
        <w:rPr>
          <w:rFonts w:hint="eastAsia" w:ascii="MS UI Gothic" w:eastAsia="MS UI Gothic"/>
          <w:w w:val="95"/>
        </w:rPr>
        <w:t>８００ ｍ</w:t>
      </w:r>
      <w:r>
        <w:rPr>
          <w:rFonts w:hint="eastAsia" w:ascii="MS UI Gothic" w:eastAsia="MS UI Gothic"/>
          <w:w w:val="75"/>
        </w:rPr>
        <w:t xml:space="preserve">ꎻ </w:t>
      </w:r>
      <w:r>
        <w:rPr>
          <w:w w:val="95"/>
        </w:rPr>
        <w:t xml:space="preserve">生产矿井延深水平开采深度不得超过 </w:t>
      </w:r>
      <w:r>
        <w:rPr>
          <w:rFonts w:hint="eastAsia" w:ascii="MS UI Gothic" w:eastAsia="MS UI Gothic"/>
          <w:w w:val="95"/>
        </w:rPr>
        <w:t>１２００ ｍ</w:t>
      </w:r>
      <w:r>
        <w:rPr>
          <w:rFonts w:hint="eastAsia" w:ascii="MS UI Gothic" w:eastAsia="MS UI Gothic"/>
          <w:w w:val="75"/>
        </w:rPr>
        <w:t>ꎮ</w:t>
      </w:r>
    </w:p>
    <w:p>
      <w:pPr>
        <w:pStyle w:val="6"/>
        <w:spacing w:line="295" w:lineRule="auto"/>
        <w:ind w:right="38"/>
        <w:rPr>
          <w:rFonts w:hint="eastAsia" w:ascii="MS UI Gothic" w:eastAsia="MS UI Gothic"/>
        </w:rPr>
      </w:pPr>
      <w:r>
        <w:rPr>
          <w:spacing w:val="2"/>
          <w:w w:val="105"/>
        </w:rPr>
        <w:t>第一百九十一条 突出矿井的防突工</w:t>
      </w:r>
      <w:r>
        <w:rPr>
          <w:spacing w:val="3"/>
          <w:w w:val="105"/>
        </w:rPr>
        <w:t>作必须坚持区域综合防突措施先行</w:t>
      </w:r>
      <w:r>
        <w:rPr>
          <w:rFonts w:hint="eastAsia" w:ascii="MS UI Gothic" w:eastAsia="MS UI Gothic"/>
          <w:spacing w:val="-4"/>
          <w:w w:val="80"/>
        </w:rPr>
        <w:t xml:space="preserve">、 </w:t>
      </w:r>
      <w:r>
        <w:rPr>
          <w:spacing w:val="1"/>
          <w:w w:val="105"/>
        </w:rPr>
        <w:t>局部</w:t>
      </w:r>
      <w:r>
        <w:rPr>
          <w:spacing w:val="3"/>
          <w:w w:val="105"/>
        </w:rPr>
        <w:t>综合防突措施补充的原则</w:t>
      </w:r>
      <w:r>
        <w:rPr>
          <w:rFonts w:hint="eastAsia" w:ascii="MS UI Gothic" w:eastAsia="MS UI Gothic"/>
          <w:w w:val="80"/>
        </w:rPr>
        <w:t>ꎮ</w:t>
      </w:r>
    </w:p>
    <w:p>
      <w:pPr>
        <w:pStyle w:val="6"/>
        <w:spacing w:line="295" w:lineRule="auto"/>
        <w:ind w:right="38"/>
        <w:rPr>
          <w:rFonts w:hint="eastAsia" w:ascii="MS UI Gothic" w:eastAsia="MS UI Gothic"/>
        </w:rPr>
      </w:pPr>
      <w:r>
        <w:rPr>
          <w:spacing w:val="2"/>
        </w:rPr>
        <w:t>区域综合防突措施包括区域突出危险</w:t>
      </w:r>
      <w:r>
        <w:rPr>
          <w:spacing w:val="3"/>
          <w:w w:val="105"/>
        </w:rPr>
        <w:t>性预测</w:t>
      </w:r>
      <w:r>
        <w:rPr>
          <w:rFonts w:hint="eastAsia" w:ascii="MS UI Gothic" w:eastAsia="MS UI Gothic"/>
          <w:spacing w:val="11"/>
          <w:w w:val="80"/>
        </w:rPr>
        <w:t xml:space="preserve">、 </w:t>
      </w:r>
      <w:r>
        <w:rPr>
          <w:spacing w:val="3"/>
          <w:w w:val="105"/>
        </w:rPr>
        <w:t>区域防突措施</w:t>
      </w:r>
      <w:r>
        <w:rPr>
          <w:rFonts w:hint="eastAsia" w:ascii="MS UI Gothic" w:eastAsia="MS UI Gothic"/>
          <w:spacing w:val="11"/>
          <w:w w:val="80"/>
        </w:rPr>
        <w:t xml:space="preserve">、 </w:t>
      </w:r>
      <w:r>
        <w:rPr>
          <w:spacing w:val="2"/>
          <w:w w:val="105"/>
        </w:rPr>
        <w:t>区域防突措施效</w:t>
      </w:r>
      <w:r>
        <w:rPr>
          <w:spacing w:val="3"/>
          <w:w w:val="105"/>
        </w:rPr>
        <w:t>果检验和区域验证等内容</w:t>
      </w:r>
      <w:r>
        <w:rPr>
          <w:rFonts w:hint="eastAsia" w:ascii="MS UI Gothic" w:eastAsia="MS UI Gothic"/>
          <w:w w:val="80"/>
        </w:rPr>
        <w:t>ꎮ</w:t>
      </w:r>
    </w:p>
    <w:p>
      <w:pPr>
        <w:pStyle w:val="6"/>
        <w:spacing w:line="295" w:lineRule="auto"/>
        <w:ind w:right="38"/>
        <w:rPr>
          <w:rFonts w:hint="eastAsia" w:ascii="MS UI Gothic" w:eastAsia="MS UI Gothic"/>
        </w:rPr>
      </w:pPr>
      <w:r>
        <w:rPr>
          <w:spacing w:val="2"/>
        </w:rPr>
        <w:t>局部综合防突措施包括工作面突出危</w:t>
      </w:r>
      <w:r>
        <w:rPr>
          <w:spacing w:val="3"/>
          <w:w w:val="105"/>
        </w:rPr>
        <w:t>险性预测</w:t>
      </w:r>
      <w:r>
        <w:rPr>
          <w:rFonts w:hint="eastAsia" w:ascii="MS UI Gothic" w:eastAsia="MS UI Gothic"/>
          <w:spacing w:val="11"/>
          <w:w w:val="80"/>
        </w:rPr>
        <w:t xml:space="preserve">、 </w:t>
      </w:r>
      <w:r>
        <w:rPr>
          <w:spacing w:val="3"/>
          <w:w w:val="105"/>
        </w:rPr>
        <w:t>工作面防突措施</w:t>
      </w:r>
      <w:r>
        <w:rPr>
          <w:rFonts w:hint="eastAsia" w:ascii="MS UI Gothic" w:eastAsia="MS UI Gothic"/>
          <w:spacing w:val="11"/>
          <w:w w:val="80"/>
        </w:rPr>
        <w:t xml:space="preserve">、 </w:t>
      </w:r>
      <w:r>
        <w:rPr>
          <w:spacing w:val="2"/>
          <w:w w:val="105"/>
        </w:rPr>
        <w:t>工作面防突</w:t>
      </w:r>
      <w:r>
        <w:rPr>
          <w:spacing w:val="3"/>
          <w:w w:val="105"/>
        </w:rPr>
        <w:t>措施效果检验和安全防护措施等内容</w:t>
      </w:r>
      <w:r>
        <w:rPr>
          <w:rFonts w:hint="eastAsia" w:ascii="MS UI Gothic" w:eastAsia="MS UI Gothic"/>
          <w:w w:val="80"/>
        </w:rPr>
        <w:t>ꎮ</w:t>
      </w:r>
    </w:p>
    <w:p>
      <w:pPr>
        <w:pStyle w:val="6"/>
        <w:spacing w:line="295" w:lineRule="auto"/>
        <w:ind w:right="38"/>
        <w:rPr>
          <w:rFonts w:hint="eastAsia" w:ascii="MS UI Gothic" w:eastAsia="MS UI Gothic"/>
        </w:rPr>
      </w:pPr>
      <w:r>
        <w:rPr>
          <w:spacing w:val="2"/>
        </w:rPr>
        <w:t>突出矿井的新采区和新水平进行开拓</w:t>
      </w:r>
      <w:r>
        <w:rPr>
          <w:spacing w:val="3"/>
        </w:rPr>
        <w:t>设计前</w:t>
      </w:r>
      <w:r>
        <w:rPr>
          <w:rFonts w:hint="eastAsia" w:ascii="MS UI Gothic" w:eastAsia="MS UI Gothic"/>
          <w:spacing w:val="14"/>
          <w:w w:val="85"/>
        </w:rPr>
        <w:t xml:space="preserve">ꎬ </w:t>
      </w:r>
      <w:r>
        <w:rPr>
          <w:spacing w:val="2"/>
        </w:rPr>
        <w:t>应当对开拓采区或者开拓水平内</w:t>
      </w:r>
      <w:r>
        <w:rPr>
          <w:spacing w:val="-10"/>
        </w:rPr>
        <w:t xml:space="preserve">平均厚度在 </w:t>
      </w:r>
      <w:r>
        <w:rPr>
          <w:rFonts w:hint="eastAsia" w:ascii="MS UI Gothic" w:eastAsia="MS UI Gothic"/>
        </w:rPr>
        <w:t>０</w:t>
      </w:r>
      <w:r>
        <w:rPr>
          <w:rFonts w:hint="eastAsia" w:ascii="MS UI Gothic" w:eastAsia="MS UI Gothic"/>
          <w:spacing w:val="-7"/>
        </w:rPr>
        <w:t xml:space="preserve"> ３ </w:t>
      </w:r>
      <w:r>
        <w:rPr>
          <w:rFonts w:hint="eastAsia" w:ascii="MS UI Gothic" w:eastAsia="MS UI Gothic"/>
        </w:rPr>
        <w:t>ｍ</w:t>
      </w:r>
      <w:r>
        <w:rPr>
          <w:rFonts w:hint="eastAsia" w:ascii="MS UI Gothic" w:eastAsia="MS UI Gothic"/>
          <w:spacing w:val="-4"/>
        </w:rPr>
        <w:t xml:space="preserve"> </w:t>
      </w:r>
      <w:r>
        <w:rPr>
          <w:spacing w:val="2"/>
        </w:rPr>
        <w:t>以上的煤层进行突出危</w:t>
      </w:r>
      <w:r>
        <w:rPr>
          <w:spacing w:val="3"/>
        </w:rPr>
        <w:t>险性评估</w:t>
      </w:r>
      <w:r>
        <w:rPr>
          <w:rFonts w:hint="eastAsia" w:ascii="MS UI Gothic" w:eastAsia="MS UI Gothic"/>
          <w:spacing w:val="14"/>
          <w:w w:val="85"/>
        </w:rPr>
        <w:t xml:space="preserve">ꎬ </w:t>
      </w:r>
      <w:r>
        <w:rPr>
          <w:spacing w:val="2"/>
        </w:rPr>
        <w:t>评估结论作为开拓采区或者开</w:t>
      </w:r>
      <w:r>
        <w:rPr>
          <w:spacing w:val="3"/>
        </w:rPr>
        <w:t>拓水平设计的依据</w:t>
      </w:r>
      <w:r>
        <w:rPr>
          <w:rFonts w:hint="eastAsia" w:ascii="MS UI Gothic" w:eastAsia="MS UI Gothic"/>
          <w:spacing w:val="14"/>
          <w:w w:val="85"/>
        </w:rPr>
        <w:t xml:space="preserve">ꎮ </w:t>
      </w:r>
      <w:r>
        <w:rPr>
          <w:spacing w:val="2"/>
        </w:rPr>
        <w:t>对评估为无突出危险</w:t>
      </w:r>
      <w:r>
        <w:rPr>
          <w:spacing w:val="3"/>
        </w:rPr>
        <w:t>的煤层</w:t>
      </w:r>
      <w:r>
        <w:rPr>
          <w:rFonts w:hint="eastAsia" w:ascii="MS UI Gothic" w:eastAsia="MS UI Gothic"/>
          <w:spacing w:val="14"/>
          <w:w w:val="85"/>
        </w:rPr>
        <w:t xml:space="preserve">ꎬ </w:t>
      </w:r>
      <w:r>
        <w:rPr>
          <w:spacing w:val="2"/>
        </w:rPr>
        <w:t>所有井巷揭煤作业还必须采取区</w:t>
      </w:r>
      <w:r>
        <w:rPr>
          <w:spacing w:val="3"/>
        </w:rPr>
        <w:t>域或者局部综合防突措施</w:t>
      </w:r>
      <w:r>
        <w:rPr>
          <w:rFonts w:hint="eastAsia" w:ascii="MS UI Gothic" w:eastAsia="MS UI Gothic"/>
          <w:spacing w:val="14"/>
          <w:w w:val="85"/>
        </w:rPr>
        <w:t xml:space="preserve">ꎻ </w:t>
      </w:r>
      <w:r>
        <w:rPr>
          <w:spacing w:val="2"/>
        </w:rPr>
        <w:t>对评估为有突</w:t>
      </w:r>
      <w:r>
        <w:rPr>
          <w:spacing w:val="3"/>
        </w:rPr>
        <w:t>出危险的煤层</w:t>
      </w:r>
      <w:r>
        <w:rPr>
          <w:rFonts w:hint="eastAsia" w:ascii="MS UI Gothic" w:eastAsia="MS UI Gothic"/>
          <w:spacing w:val="21"/>
          <w:w w:val="85"/>
        </w:rPr>
        <w:t xml:space="preserve">ꎬ </w:t>
      </w:r>
      <w:r>
        <w:rPr>
          <w:spacing w:val="3"/>
        </w:rPr>
        <w:t>按突出煤层进行设计</w:t>
      </w:r>
      <w:r>
        <w:rPr>
          <w:rFonts w:hint="eastAsia" w:ascii="MS UI Gothic" w:eastAsia="MS UI Gothic"/>
          <w:w w:val="85"/>
        </w:rPr>
        <w:t>ꎮ</w:t>
      </w:r>
    </w:p>
    <w:p>
      <w:pPr>
        <w:pStyle w:val="6"/>
        <w:spacing w:line="295" w:lineRule="auto"/>
        <w:ind w:right="38"/>
      </w:pPr>
      <w:r>
        <w:t>突出煤层突出危险区必须采取区域防突措施</w:t>
      </w:r>
      <w:r>
        <w:rPr>
          <w:rFonts w:hint="eastAsia" w:ascii="MS UI Gothic" w:eastAsia="MS UI Gothic"/>
          <w:w w:val="80"/>
        </w:rPr>
        <w:t xml:space="preserve">ꎬ </w:t>
      </w:r>
      <w:r>
        <w:t>严禁在区域防突措施效果未达到</w:t>
      </w:r>
    </w:p>
    <w:p>
      <w:pPr>
        <w:pStyle w:val="6"/>
        <w:spacing w:before="123"/>
        <w:ind w:left="118" w:firstLine="0"/>
        <w:jc w:val="left"/>
        <w:rPr>
          <w:rFonts w:hint="eastAsia" w:ascii="MS UI Gothic" w:eastAsia="MS UI Gothic"/>
        </w:rPr>
      </w:pPr>
      <w:r>
        <w:br w:type="column"/>
      </w:r>
      <w:r>
        <w:t>要求的区域进行采掘作业</w:t>
      </w:r>
      <w:r>
        <w:rPr>
          <w:rFonts w:hint="eastAsia" w:ascii="MS UI Gothic" w:eastAsia="MS UI Gothic"/>
          <w:w w:val="80"/>
        </w:rPr>
        <w:t>ꎮ</w:t>
      </w:r>
    </w:p>
    <w:p>
      <w:pPr>
        <w:pStyle w:val="6"/>
        <w:spacing w:before="58" w:line="295" w:lineRule="auto"/>
        <w:ind w:left="118" w:right="442"/>
        <w:jc w:val="left"/>
        <w:rPr>
          <w:rFonts w:hint="eastAsia" w:ascii="MS UI Gothic" w:eastAsia="MS UI Gothic"/>
        </w:rPr>
      </w:pPr>
      <w:r>
        <w:t>施工中发现有突出预兆或者发生突出的区域</w:t>
      </w:r>
      <w:r>
        <w:rPr>
          <w:rFonts w:hint="eastAsia" w:ascii="MS UI Gothic" w:eastAsia="MS UI Gothic"/>
          <w:w w:val="80"/>
        </w:rPr>
        <w:t xml:space="preserve">ꎬ </w:t>
      </w:r>
      <w:r>
        <w:t>必须采取区域综合防突措施</w:t>
      </w:r>
      <w:r>
        <w:rPr>
          <w:rFonts w:hint="eastAsia" w:ascii="MS UI Gothic" w:eastAsia="MS UI Gothic"/>
          <w:w w:val="80"/>
        </w:rPr>
        <w:t>ꎮ</w:t>
      </w:r>
    </w:p>
    <w:p>
      <w:pPr>
        <w:pStyle w:val="6"/>
        <w:spacing w:line="295" w:lineRule="auto"/>
        <w:ind w:left="118" w:right="442"/>
        <w:rPr>
          <w:rFonts w:hint="eastAsia" w:ascii="MS UI Gothic" w:eastAsia="MS UI Gothic"/>
        </w:rPr>
      </w:pPr>
      <w:r>
        <w:t>经区域验证有突出危险</w:t>
      </w:r>
      <w:r>
        <w:rPr>
          <w:rFonts w:hint="eastAsia" w:ascii="MS UI Gothic" w:eastAsia="MS UI Gothic"/>
          <w:w w:val="80"/>
        </w:rPr>
        <w:t xml:space="preserve">ꎬ </w:t>
      </w:r>
      <w:r>
        <w:t>则该区域必须采取区域或者局部综合防突措施</w:t>
      </w:r>
      <w:r>
        <w:rPr>
          <w:rFonts w:hint="eastAsia" w:ascii="MS UI Gothic" w:eastAsia="MS UI Gothic"/>
          <w:w w:val="80"/>
        </w:rPr>
        <w:t>ꎮ</w:t>
      </w:r>
    </w:p>
    <w:p>
      <w:pPr>
        <w:pStyle w:val="6"/>
        <w:spacing w:line="295" w:lineRule="auto"/>
        <w:ind w:left="118" w:right="442"/>
        <w:rPr>
          <w:rFonts w:hint="eastAsia" w:ascii="MS UI Gothic" w:eastAsia="MS UI Gothic"/>
        </w:rPr>
      </w:pPr>
      <w:r>
        <w:t>按突出煤层管理的煤层</w:t>
      </w:r>
      <w:r>
        <w:rPr>
          <w:rFonts w:hint="eastAsia" w:ascii="MS UI Gothic" w:eastAsia="MS UI Gothic"/>
          <w:w w:val="80"/>
        </w:rPr>
        <w:t xml:space="preserve">ꎬ </w:t>
      </w:r>
      <w:r>
        <w:t>必须采取区域或者局部综合防突措施</w:t>
      </w:r>
      <w:r>
        <w:rPr>
          <w:rFonts w:hint="eastAsia" w:ascii="MS UI Gothic" w:eastAsia="MS UI Gothic"/>
          <w:w w:val="80"/>
        </w:rPr>
        <w:t>ꎮ</w:t>
      </w:r>
    </w:p>
    <w:p>
      <w:pPr>
        <w:pStyle w:val="6"/>
        <w:spacing w:line="295" w:lineRule="auto"/>
        <w:ind w:left="118" w:right="442"/>
        <w:jc w:val="left"/>
        <w:rPr>
          <w:rFonts w:hint="eastAsia" w:ascii="MS UI Gothic" w:eastAsia="MS UI Gothic"/>
        </w:rPr>
      </w:pPr>
      <w:r>
        <w:t>在突出煤层进行采掘作业期间必须采</w:t>
      </w:r>
      <w:r>
        <w:rPr>
          <w:w w:val="105"/>
        </w:rPr>
        <w:t>取安全防护措施</w:t>
      </w:r>
      <w:r>
        <w:rPr>
          <w:rFonts w:hint="eastAsia" w:ascii="MS UI Gothic" w:eastAsia="MS UI Gothic"/>
          <w:w w:val="80"/>
        </w:rPr>
        <w:t>ꎮ</w:t>
      </w:r>
    </w:p>
    <w:p>
      <w:pPr>
        <w:pStyle w:val="6"/>
        <w:spacing w:line="295" w:lineRule="auto"/>
        <w:ind w:left="118" w:right="442"/>
        <w:rPr>
          <w:rFonts w:hint="eastAsia" w:ascii="MS UI Gothic" w:eastAsia="MS UI Gothic"/>
        </w:rPr>
      </w:pPr>
      <w:r>
        <w:t>第一百九十二条 突出矿井必须确定合理的采掘部署</w:t>
      </w:r>
      <w:r>
        <w:rPr>
          <w:rFonts w:hint="eastAsia" w:ascii="MS UI Gothic" w:eastAsia="MS UI Gothic"/>
          <w:w w:val="80"/>
        </w:rPr>
        <w:t xml:space="preserve">ꎬ </w:t>
      </w:r>
      <w:r>
        <w:t>使煤层的开采顺序</w:t>
      </w:r>
      <w:r>
        <w:rPr>
          <w:rFonts w:hint="eastAsia" w:ascii="MS UI Gothic" w:eastAsia="MS UI Gothic"/>
          <w:w w:val="80"/>
        </w:rPr>
        <w:t xml:space="preserve">、 </w:t>
      </w:r>
      <w:r>
        <w:t>巷道布置</w:t>
      </w:r>
      <w:r>
        <w:rPr>
          <w:rFonts w:hint="eastAsia" w:ascii="MS UI Gothic" w:eastAsia="MS UI Gothic"/>
          <w:w w:val="80"/>
        </w:rPr>
        <w:t xml:space="preserve">、 </w:t>
      </w:r>
      <w:r>
        <w:t>采煤方法</w:t>
      </w:r>
      <w:r>
        <w:rPr>
          <w:rFonts w:hint="eastAsia" w:ascii="MS UI Gothic" w:eastAsia="MS UI Gothic"/>
          <w:w w:val="80"/>
        </w:rPr>
        <w:t xml:space="preserve">、 </w:t>
      </w:r>
      <w:r>
        <w:t>采掘接替等有利于区域防突措施的实施</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2"/>
        </w:rPr>
        <w:t>突出矿井在编制生产发展规划和年度</w:t>
      </w:r>
      <w:r>
        <w:rPr>
          <w:spacing w:val="3"/>
        </w:rPr>
        <w:t>生产计划时</w:t>
      </w:r>
      <w:r>
        <w:rPr>
          <w:rFonts w:hint="eastAsia" w:ascii="MS UI Gothic" w:eastAsia="MS UI Gothic"/>
          <w:spacing w:val="20"/>
          <w:w w:val="80"/>
        </w:rPr>
        <w:t xml:space="preserve">ꎬ </w:t>
      </w:r>
      <w:r>
        <w:rPr>
          <w:spacing w:val="2"/>
        </w:rPr>
        <w:t>必须同时编制相应的区域防</w:t>
      </w:r>
      <w:r>
        <w:rPr>
          <w:spacing w:val="3"/>
        </w:rPr>
        <w:t>突措施规划和年度实施计划</w:t>
      </w:r>
      <w:r>
        <w:rPr>
          <w:rFonts w:hint="eastAsia" w:ascii="MS UI Gothic" w:eastAsia="MS UI Gothic"/>
          <w:spacing w:val="20"/>
          <w:w w:val="80"/>
        </w:rPr>
        <w:t xml:space="preserve">ꎬ </w:t>
      </w:r>
      <w:r>
        <w:rPr>
          <w:spacing w:val="2"/>
        </w:rPr>
        <w:t>将保护层开</w:t>
      </w:r>
      <w:r>
        <w:rPr>
          <w:spacing w:val="3"/>
        </w:rPr>
        <w:t>采</w:t>
      </w:r>
      <w:r>
        <w:rPr>
          <w:rFonts w:hint="eastAsia" w:ascii="MS UI Gothic" w:eastAsia="MS UI Gothic"/>
          <w:spacing w:val="16"/>
          <w:w w:val="80"/>
        </w:rPr>
        <w:t xml:space="preserve">、 </w:t>
      </w:r>
      <w:r>
        <w:rPr>
          <w:spacing w:val="2"/>
        </w:rPr>
        <w:t>区域预抽煤层瓦斯等工程与矿井采掘</w:t>
      </w:r>
      <w:r>
        <w:rPr>
          <w:spacing w:val="3"/>
        </w:rPr>
        <w:t>部署</w:t>
      </w:r>
      <w:r>
        <w:rPr>
          <w:rFonts w:hint="eastAsia" w:ascii="MS UI Gothic" w:eastAsia="MS UI Gothic"/>
          <w:spacing w:val="11"/>
          <w:w w:val="80"/>
        </w:rPr>
        <w:t xml:space="preserve">、 </w:t>
      </w:r>
      <w:r>
        <w:rPr>
          <w:spacing w:val="3"/>
        </w:rPr>
        <w:t>工程接替等统一安排</w:t>
      </w:r>
      <w:r>
        <w:rPr>
          <w:rFonts w:hint="eastAsia" w:ascii="MS UI Gothic" w:eastAsia="MS UI Gothic"/>
          <w:spacing w:val="11"/>
          <w:w w:val="80"/>
        </w:rPr>
        <w:t xml:space="preserve">ꎬ </w:t>
      </w:r>
      <w:r>
        <w:rPr>
          <w:spacing w:val="2"/>
        </w:rPr>
        <w:t>使矿井的开</w:t>
      </w:r>
      <w:r>
        <w:rPr>
          <w:spacing w:val="3"/>
        </w:rPr>
        <w:t>拓区</w:t>
      </w:r>
      <w:r>
        <w:rPr>
          <w:rFonts w:hint="eastAsia" w:ascii="MS UI Gothic" w:eastAsia="MS UI Gothic"/>
          <w:spacing w:val="22"/>
          <w:w w:val="80"/>
        </w:rPr>
        <w:t xml:space="preserve">、 </w:t>
      </w:r>
      <w:r>
        <w:rPr>
          <w:spacing w:val="3"/>
        </w:rPr>
        <w:t>抽采区</w:t>
      </w:r>
      <w:r>
        <w:rPr>
          <w:rFonts w:hint="eastAsia" w:ascii="MS UI Gothic" w:eastAsia="MS UI Gothic"/>
          <w:spacing w:val="23"/>
          <w:w w:val="80"/>
        </w:rPr>
        <w:t xml:space="preserve">、 </w:t>
      </w:r>
      <w:r>
        <w:rPr>
          <w:spacing w:val="2"/>
        </w:rPr>
        <w:t>保护层开采区和被保护层</w:t>
      </w:r>
      <w:r>
        <w:rPr>
          <w:spacing w:val="3"/>
        </w:rPr>
        <w:t>有效区按比例协调配置</w:t>
      </w:r>
      <w:r>
        <w:rPr>
          <w:rFonts w:hint="eastAsia" w:ascii="MS UI Gothic" w:eastAsia="MS UI Gothic"/>
          <w:spacing w:val="20"/>
          <w:w w:val="80"/>
        </w:rPr>
        <w:t xml:space="preserve">ꎬ </w:t>
      </w:r>
      <w:r>
        <w:rPr>
          <w:spacing w:val="2"/>
        </w:rPr>
        <w:t>确保采掘作业在</w:t>
      </w:r>
      <w:r>
        <w:rPr>
          <w:spacing w:val="3"/>
        </w:rPr>
        <w:t>区域防突措施有效区内进行</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4"/>
        </w:rPr>
        <w:t>第一百九十三条 有突出危险煤层的</w:t>
      </w:r>
      <w:r>
        <w:rPr>
          <w:spacing w:val="3"/>
        </w:rPr>
        <w:t>新建矿井及突出矿井的新水平</w:t>
      </w:r>
      <w:r>
        <w:rPr>
          <w:rFonts w:hint="eastAsia" w:ascii="MS UI Gothic" w:eastAsia="MS UI Gothic"/>
          <w:spacing w:val="16"/>
          <w:w w:val="80"/>
        </w:rPr>
        <w:t xml:space="preserve">、 </w:t>
      </w:r>
      <w:r>
        <w:rPr>
          <w:spacing w:val="2"/>
        </w:rPr>
        <w:t>新采区的</w:t>
      </w:r>
      <w:r>
        <w:rPr>
          <w:spacing w:val="3"/>
        </w:rPr>
        <w:t>设计</w:t>
      </w:r>
      <w:r>
        <w:rPr>
          <w:rFonts w:hint="eastAsia" w:ascii="MS UI Gothic" w:eastAsia="MS UI Gothic"/>
          <w:spacing w:val="2"/>
          <w:w w:val="80"/>
        </w:rPr>
        <w:t xml:space="preserve">ꎬ </w:t>
      </w:r>
      <w:r>
        <w:rPr>
          <w:spacing w:val="3"/>
        </w:rPr>
        <w:t>必须有防突设计篇章</w:t>
      </w:r>
      <w:r>
        <w:rPr>
          <w:rFonts w:hint="eastAsia" w:ascii="MS UI Gothic" w:eastAsia="MS UI Gothic"/>
          <w:w w:val="80"/>
        </w:rPr>
        <w:t>ꎮ</w:t>
      </w:r>
    </w:p>
    <w:p>
      <w:pPr>
        <w:pStyle w:val="6"/>
        <w:spacing w:line="295" w:lineRule="auto"/>
        <w:ind w:left="118" w:right="442"/>
        <w:rPr>
          <w:rFonts w:hint="eastAsia" w:ascii="MS UI Gothic" w:eastAsia="MS UI Gothic"/>
        </w:rPr>
      </w:pPr>
      <w:r>
        <w:t>非突出矿井升级为突出矿井时</w:t>
      </w:r>
      <w:r>
        <w:rPr>
          <w:rFonts w:hint="eastAsia" w:ascii="MS UI Gothic" w:eastAsia="MS UI Gothic"/>
          <w:w w:val="80"/>
        </w:rPr>
        <w:t xml:space="preserve">ꎬ </w:t>
      </w:r>
      <w:r>
        <w:t>必须编制防突专项设计</w:t>
      </w:r>
      <w:r>
        <w:rPr>
          <w:rFonts w:hint="eastAsia" w:ascii="MS UI Gothic" w:eastAsia="MS UI Gothic"/>
          <w:w w:val="80"/>
        </w:rPr>
        <w:t>ꎮ</w:t>
      </w:r>
    </w:p>
    <w:p>
      <w:pPr>
        <w:pStyle w:val="6"/>
        <w:spacing w:line="295" w:lineRule="auto"/>
        <w:ind w:left="118" w:right="442"/>
        <w:rPr>
          <w:rFonts w:hint="eastAsia" w:ascii="MS UI Gothic" w:eastAsia="MS UI Gothic"/>
        </w:rPr>
      </w:pPr>
      <w:r>
        <w:t>第一百九十四条 石门</w:t>
      </w:r>
      <w:r>
        <w:rPr>
          <w:rFonts w:hint="eastAsia" w:ascii="MS UI Gothic" w:eastAsia="MS UI Gothic"/>
          <w:w w:val="80"/>
        </w:rPr>
        <w:t xml:space="preserve">、 </w:t>
      </w:r>
      <w:r>
        <w:t>井筒揭穿突出煤层必须编制防突专项设计</w:t>
      </w:r>
      <w:r>
        <w:rPr>
          <w:rFonts w:hint="eastAsia" w:ascii="MS UI Gothic" w:eastAsia="MS UI Gothic"/>
          <w:w w:val="80"/>
        </w:rPr>
        <w:t xml:space="preserve">ꎬ </w:t>
      </w:r>
      <w:r>
        <w:t>并报企业技术负责人审批</w:t>
      </w:r>
      <w:r>
        <w:rPr>
          <w:rFonts w:hint="eastAsia" w:ascii="MS UI Gothic" w:eastAsia="MS UI Gothic"/>
          <w:w w:val="80"/>
        </w:rPr>
        <w:t>ꎮ</w:t>
      </w:r>
    </w:p>
    <w:p>
      <w:pPr>
        <w:pStyle w:val="6"/>
        <w:spacing w:line="295" w:lineRule="auto"/>
        <w:ind w:left="118" w:right="442"/>
        <w:jc w:val="left"/>
        <w:rPr>
          <w:rFonts w:hint="eastAsia" w:ascii="MS UI Gothic" w:eastAsia="MS UI Gothic"/>
        </w:rPr>
      </w:pPr>
      <w:r>
        <w:t>突出煤层采掘工作面必须编制防突专</w:t>
      </w:r>
      <w:r>
        <w:rPr>
          <w:w w:val="105"/>
        </w:rPr>
        <w:t>项设计</w:t>
      </w:r>
      <w:r>
        <w:rPr>
          <w:rFonts w:hint="eastAsia" w:ascii="MS UI Gothic" w:eastAsia="MS UI Gothic"/>
          <w:w w:val="80"/>
        </w:rPr>
        <w:t>ꎮ</w:t>
      </w:r>
    </w:p>
    <w:p>
      <w:pPr>
        <w:pStyle w:val="6"/>
        <w:spacing w:line="295" w:lineRule="auto"/>
        <w:ind w:left="118" w:right="442"/>
        <w:jc w:val="left"/>
        <w:rPr>
          <w:rFonts w:hint="eastAsia" w:ascii="MS UI Gothic" w:eastAsia="MS UI Gothic"/>
        </w:rPr>
      </w:pPr>
      <w:r>
        <w:rPr>
          <w:spacing w:val="2"/>
        </w:rPr>
        <w:t>矿井必须对防突措施的技术参数和效</w:t>
      </w:r>
      <w:r>
        <w:rPr>
          <w:spacing w:val="3"/>
          <w:w w:val="105"/>
        </w:rPr>
        <w:t>果进行实际考察确定</w:t>
      </w:r>
      <w:r>
        <w:rPr>
          <w:rFonts w:hint="eastAsia" w:ascii="MS UI Gothic" w:eastAsia="MS UI Gothic"/>
          <w:w w:val="80"/>
        </w:rPr>
        <w:t>ꎮ</w:t>
      </w:r>
    </w:p>
    <w:p>
      <w:pPr>
        <w:pStyle w:val="6"/>
        <w:tabs>
          <w:tab w:val="left" w:pos="2214"/>
        </w:tabs>
        <w:spacing w:line="295" w:lineRule="auto"/>
        <w:ind w:left="118" w:right="442"/>
        <w:jc w:val="left"/>
        <w:rPr>
          <w:rFonts w:hint="eastAsia" w:ascii="MS UI Gothic" w:eastAsia="MS UI Gothic"/>
        </w:rPr>
      </w:pPr>
      <w:r>
        <w:rPr>
          <w:spacing w:val="3"/>
          <w:w w:val="105"/>
        </w:rPr>
        <w:t>第一百九十五</w:t>
      </w:r>
      <w:r>
        <w:rPr>
          <w:w w:val="105"/>
        </w:rPr>
        <w:t>条</w:t>
      </w:r>
      <w:r>
        <w:rPr>
          <w:w w:val="105"/>
        </w:rPr>
        <w:tab/>
      </w:r>
      <w:r>
        <w:rPr>
          <w:spacing w:val="3"/>
        </w:rPr>
        <w:t>突出矿井的采掘</w:t>
      </w:r>
      <w:r>
        <w:rPr>
          <w:spacing w:val="-11"/>
        </w:rPr>
        <w:t>布</w:t>
      </w:r>
      <w:r>
        <w:rPr>
          <w:spacing w:val="3"/>
          <w:w w:val="110"/>
        </w:rPr>
        <w:t>置应当遵守下列规定</w:t>
      </w:r>
      <w:r>
        <w:rPr>
          <w:rFonts w:hint="eastAsia" w:ascii="MS UI Gothic" w:eastAsia="MS UI Gothic"/>
          <w:w w:val="235"/>
        </w:rPr>
        <w:t>:</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主要巷道应当布置在岩层或者</w:t>
      </w:r>
      <w:r>
        <w:t>无突出危险煤层内</w:t>
      </w:r>
      <w:r>
        <w:rPr>
          <w:rFonts w:hint="eastAsia" w:ascii="MS UI Gothic" w:eastAsia="MS UI Gothic"/>
          <w:w w:val="80"/>
        </w:rPr>
        <w:t xml:space="preserve">ꎮ </w:t>
      </w:r>
      <w:r>
        <w:t>突出煤层的巷道优先布置在被保护区域或者其他无突出危险区</w:t>
      </w:r>
      <w:r>
        <w:rPr>
          <w:w w:val="105"/>
        </w:rPr>
        <w:t>域内</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64"/>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２６９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33" o:spid="_x0000_s1833" o:spt="203" style="height:2.15pt;width:398.25pt;" coordsize="7965,43">
            <o:lock v:ext="edit"/>
            <v:line id="_x0000_s1834" o:spid="_x0000_s1834" o:spt="20" style="position:absolute;left:0;top:39;height:0;width:7965;" stroked="t" coordsize="21600,21600">
              <v:path arrowok="t"/>
              <v:fill focussize="0,0"/>
              <v:stroke weight="0.388031496062992pt" color="#231F20"/>
              <v:imagedata o:title=""/>
              <o:lock v:ext="edit"/>
            </v:line>
            <v:line id="_x0000_s1835" o:spid="_x0000_s183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spacing w:val="-39"/>
          <w:w w:val="150"/>
        </w:rPr>
        <w:t xml:space="preserve">( </w:t>
      </w:r>
      <w:r>
        <w:rPr>
          <w:spacing w:val="3"/>
          <w:w w:val="110"/>
        </w:rPr>
        <w:t>二</w:t>
      </w:r>
      <w:r>
        <w:rPr>
          <w:rFonts w:hint="eastAsia" w:ascii="MS UI Gothic" w:eastAsia="MS UI Gothic"/>
          <w:spacing w:val="-2"/>
          <w:w w:val="150"/>
        </w:rPr>
        <w:t xml:space="preserve">) </w:t>
      </w:r>
      <w:r>
        <w:rPr>
          <w:spacing w:val="-2"/>
          <w:w w:val="110"/>
        </w:rPr>
        <w:t xml:space="preserve">应当减少井巷揭开 </w:t>
      </w:r>
      <w:r>
        <w:rPr>
          <w:rFonts w:hint="eastAsia" w:ascii="MS UI Gothic" w:eastAsia="MS UI Gothic"/>
          <w:spacing w:val="-37"/>
          <w:w w:val="150"/>
        </w:rPr>
        <w:t xml:space="preserve">( </w:t>
      </w:r>
      <w:r>
        <w:rPr>
          <w:spacing w:val="7"/>
          <w:w w:val="110"/>
        </w:rPr>
        <w:t>穿</w:t>
      </w:r>
      <w:r>
        <w:rPr>
          <w:rFonts w:hint="eastAsia" w:ascii="MS UI Gothic" w:eastAsia="MS UI Gothic"/>
          <w:w w:val="150"/>
        </w:rPr>
        <w:t xml:space="preserve">) </w:t>
      </w:r>
      <w:r>
        <w:rPr>
          <w:spacing w:val="4"/>
          <w:w w:val="110"/>
        </w:rPr>
        <w:t>突出</w:t>
      </w:r>
      <w:r>
        <w:rPr>
          <w:spacing w:val="6"/>
          <w:w w:val="110"/>
        </w:rPr>
        <w:t>煤层的次数</w:t>
      </w:r>
      <w:r>
        <w:rPr>
          <w:rFonts w:hint="eastAsia" w:ascii="MS UI Gothic" w:eastAsia="MS UI Gothic"/>
          <w:spacing w:val="1"/>
          <w:w w:val="80"/>
        </w:rPr>
        <w:t xml:space="preserve">ꎬ </w:t>
      </w:r>
      <w:r>
        <w:rPr>
          <w:spacing w:val="-14"/>
          <w:w w:val="110"/>
        </w:rPr>
        <w:t xml:space="preserve">揭开 </w:t>
      </w:r>
      <w:r>
        <w:rPr>
          <w:rFonts w:hint="eastAsia" w:ascii="MS UI Gothic" w:eastAsia="MS UI Gothic"/>
          <w:spacing w:val="-38"/>
          <w:w w:val="150"/>
        </w:rPr>
        <w:t xml:space="preserve">( </w:t>
      </w:r>
      <w:r>
        <w:rPr>
          <w:spacing w:val="15"/>
          <w:w w:val="110"/>
        </w:rPr>
        <w:t>穿</w:t>
      </w:r>
      <w:r>
        <w:rPr>
          <w:rFonts w:hint="eastAsia" w:ascii="MS UI Gothic" w:eastAsia="MS UI Gothic"/>
          <w:spacing w:val="-16"/>
          <w:w w:val="150"/>
        </w:rPr>
        <w:t xml:space="preserve">) </w:t>
      </w:r>
      <w:r>
        <w:rPr>
          <w:spacing w:val="15"/>
          <w:w w:val="110"/>
        </w:rPr>
        <w:t>突出煤层的地</w:t>
      </w:r>
      <w:r>
        <w:rPr>
          <w:spacing w:val="3"/>
          <w:w w:val="110"/>
        </w:rPr>
        <w:t>点应当合理避开地质构造带</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2"/>
          <w:w w:val="150"/>
        </w:rPr>
        <w:t xml:space="preserve">) </w:t>
      </w:r>
      <w:r>
        <w:rPr>
          <w:spacing w:val="5"/>
          <w:w w:val="105"/>
        </w:rPr>
        <w:t>在同一突出煤层的集中应力影</w:t>
      </w:r>
      <w:r>
        <w:rPr>
          <w:spacing w:val="3"/>
          <w:w w:val="105"/>
        </w:rPr>
        <w:t>响范围内</w:t>
      </w:r>
      <w:r>
        <w:rPr>
          <w:rFonts w:hint="eastAsia" w:ascii="MS UI Gothic" w:eastAsia="MS UI Gothic"/>
          <w:spacing w:val="-2"/>
          <w:w w:val="80"/>
        </w:rPr>
        <w:t xml:space="preserve">ꎬ </w:t>
      </w:r>
      <w:r>
        <w:rPr>
          <w:spacing w:val="-15"/>
          <w:w w:val="105"/>
        </w:rPr>
        <w:t xml:space="preserve">不得布置 </w:t>
      </w:r>
      <w:r>
        <w:rPr>
          <w:rFonts w:hint="eastAsia" w:ascii="MS UI Gothic" w:eastAsia="MS UI Gothic"/>
          <w:spacing w:val="-12"/>
          <w:w w:val="80"/>
        </w:rPr>
        <w:t xml:space="preserve">２ </w:t>
      </w:r>
      <w:r>
        <w:rPr>
          <w:spacing w:val="2"/>
          <w:w w:val="105"/>
        </w:rPr>
        <w:t>个工作面相向回采</w:t>
      </w:r>
      <w:r>
        <w:rPr>
          <w:spacing w:val="3"/>
          <w:w w:val="105"/>
        </w:rPr>
        <w:t>或者掘进</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第一百九十六条 突出煤层的采掘工</w:t>
      </w:r>
      <w:r>
        <w:rPr>
          <w:w w:val="110"/>
        </w:rPr>
        <w:t>作应当遵守下列规定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严禁采用水力采煤法</w:t>
      </w:r>
      <w:r>
        <w:rPr>
          <w:rFonts w:hint="eastAsia" w:ascii="MS UI Gothic" w:eastAsia="MS UI Gothic"/>
          <w:w w:val="80"/>
        </w:rPr>
        <w:t xml:space="preserve">、 </w:t>
      </w:r>
      <w:r>
        <w:rPr>
          <w:w w:val="105"/>
        </w:rPr>
        <w:t>倒台阶采煤法或者其他非正规采煤法</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在急倾斜煤层中掘进上山时</w:t>
      </w:r>
      <w:r>
        <w:rPr>
          <w:rFonts w:hint="eastAsia" w:ascii="MS UI Gothic" w:eastAsia="MS UI Gothic"/>
          <w:w w:val="80"/>
        </w:rPr>
        <w:t>ꎬ</w:t>
      </w:r>
      <w:r>
        <w:rPr>
          <w:w w:val="105"/>
        </w:rPr>
        <w:t>应当采用双上山</w:t>
      </w:r>
      <w:r>
        <w:rPr>
          <w:rFonts w:hint="eastAsia" w:ascii="MS UI Gothic" w:eastAsia="MS UI Gothic"/>
          <w:w w:val="80"/>
        </w:rPr>
        <w:t xml:space="preserve">、 </w:t>
      </w:r>
      <w:r>
        <w:rPr>
          <w:w w:val="105"/>
        </w:rPr>
        <w:t>伪倾斜上山等掘进方式</w:t>
      </w:r>
      <w:r>
        <w:rPr>
          <w:rFonts w:hint="eastAsia" w:ascii="MS UI Gothic" w:eastAsia="MS UI Gothic"/>
          <w:w w:val="80"/>
        </w:rPr>
        <w:t xml:space="preserve">ꎬ </w:t>
      </w:r>
      <w:r>
        <w:rPr>
          <w:w w:val="105"/>
        </w:rPr>
        <w:t>并加强支护</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27"/>
          <w:w w:val="145"/>
        </w:rPr>
        <w:t xml:space="preserve">( </w:t>
      </w:r>
      <w:r>
        <w:rPr>
          <w:spacing w:val="3"/>
        </w:rPr>
        <w:t>三</w:t>
      </w:r>
      <w:r>
        <w:rPr>
          <w:rFonts w:hint="eastAsia" w:ascii="MS UI Gothic" w:eastAsia="MS UI Gothic"/>
          <w:spacing w:val="18"/>
          <w:w w:val="145"/>
        </w:rPr>
        <w:t xml:space="preserve">) </w:t>
      </w:r>
      <w:r>
        <w:rPr>
          <w:spacing w:val="5"/>
        </w:rPr>
        <w:t>上山掘进工作面采用爆破作业</w:t>
      </w:r>
      <w:r>
        <w:rPr>
          <w:spacing w:val="3"/>
        </w:rPr>
        <w:t>时</w:t>
      </w:r>
      <w:r>
        <w:rPr>
          <w:rFonts w:hint="eastAsia" w:ascii="MS UI Gothic" w:eastAsia="MS UI Gothic"/>
          <w:spacing w:val="14"/>
          <w:w w:val="80"/>
        </w:rPr>
        <w:t xml:space="preserve">ꎬ </w:t>
      </w:r>
      <w:r>
        <w:rPr>
          <w:spacing w:val="-5"/>
        </w:rPr>
        <w:t xml:space="preserve">应当采用深度不大于 </w:t>
      </w:r>
      <w:r>
        <w:rPr>
          <w:rFonts w:hint="eastAsia" w:ascii="MS UI Gothic" w:eastAsia="MS UI Gothic"/>
        </w:rPr>
        <w:t>１</w:t>
      </w:r>
      <w:r>
        <w:rPr>
          <w:rFonts w:hint="eastAsia" w:ascii="MS UI Gothic" w:eastAsia="MS UI Gothic"/>
          <w:spacing w:val="-11"/>
        </w:rPr>
        <w:t xml:space="preserve"> ０ </w:t>
      </w:r>
      <w:r>
        <w:rPr>
          <w:rFonts w:hint="eastAsia" w:ascii="MS UI Gothic" w:eastAsia="MS UI Gothic"/>
        </w:rPr>
        <w:t xml:space="preserve">ｍ </w:t>
      </w:r>
      <w:r>
        <w:rPr>
          <w:spacing w:val="2"/>
        </w:rPr>
        <w:t>的炮眼远</w:t>
      </w:r>
      <w:r>
        <w:rPr>
          <w:spacing w:val="3"/>
        </w:rPr>
        <w:t>距离全断面一次爆破</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预测或者认定为突出危险区的采掘工作面严禁使用风镐作业</w:t>
      </w:r>
      <w:r>
        <w:rPr>
          <w:rFonts w:hint="eastAsia" w:ascii="MS UI Gothic" w:eastAsia="MS UI Gothic"/>
          <w:w w:val="80"/>
        </w:rPr>
        <w:t>ꎮ</w:t>
      </w:r>
    </w:p>
    <w:p>
      <w:pPr>
        <w:pStyle w:val="6"/>
        <w:spacing w:line="255" w:lineRule="exact"/>
        <w:ind w:left="860" w:firstLine="0"/>
        <w:rPr>
          <w:rFonts w:hint="eastAsia" w:ascii="MS UI Gothic" w:eastAsia="MS UI Gothic"/>
        </w:rPr>
      </w:pPr>
      <w:r>
        <w:rPr>
          <w:rFonts w:hint="eastAsia" w:ascii="MS UI Gothic" w:eastAsia="MS UI Gothic"/>
          <w:spacing w:val="-41"/>
          <w:w w:val="145"/>
        </w:rPr>
        <w:t xml:space="preserve">( </w:t>
      </w:r>
      <w:r>
        <w:rPr>
          <w:spacing w:val="3"/>
          <w:w w:val="110"/>
        </w:rPr>
        <w:t>五</w:t>
      </w:r>
      <w:r>
        <w:rPr>
          <w:rFonts w:hint="eastAsia" w:ascii="MS UI Gothic" w:eastAsia="MS UI Gothic"/>
          <w:spacing w:val="-23"/>
          <w:w w:val="145"/>
        </w:rPr>
        <w:t xml:space="preserve">) </w:t>
      </w:r>
      <w:r>
        <w:rPr>
          <w:spacing w:val="8"/>
          <w:w w:val="110"/>
        </w:rPr>
        <w:t xml:space="preserve">在过突出孔洞及其附近 </w:t>
      </w:r>
      <w:r>
        <w:rPr>
          <w:rFonts w:hint="eastAsia" w:ascii="MS UI Gothic" w:eastAsia="MS UI Gothic"/>
          <w:spacing w:val="-9"/>
          <w:w w:val="95"/>
        </w:rPr>
        <w:t xml:space="preserve">３０ </w:t>
      </w:r>
      <w:r>
        <w:rPr>
          <w:rFonts w:hint="eastAsia" w:ascii="MS UI Gothic" w:eastAsia="MS UI Gothic"/>
          <w:spacing w:val="-12"/>
          <w:w w:val="95"/>
        </w:rPr>
        <w:t>ｍ</w:t>
      </w:r>
    </w:p>
    <w:p>
      <w:pPr>
        <w:pStyle w:val="6"/>
        <w:spacing w:before="45" w:line="295" w:lineRule="auto"/>
        <w:ind w:left="860" w:right="1" w:hanging="420"/>
      </w:pPr>
      <w:r>
        <w:rPr>
          <w:spacing w:val="3"/>
        </w:rPr>
        <w:t>范围内进行采掘作业时</w:t>
      </w:r>
      <w:r>
        <w:rPr>
          <w:rFonts w:hint="eastAsia" w:ascii="MS UI Gothic" w:eastAsia="MS UI Gothic"/>
          <w:spacing w:val="4"/>
          <w:w w:val="80"/>
        </w:rPr>
        <w:t xml:space="preserve">ꎬ  </w:t>
      </w:r>
      <w:r>
        <w:rPr>
          <w:spacing w:val="3"/>
        </w:rPr>
        <w:t>必须加强支护</w:t>
      </w:r>
      <w:r>
        <w:rPr>
          <w:rFonts w:hint="eastAsia" w:ascii="MS UI Gothic" w:eastAsia="MS UI Gothic"/>
          <w:w w:val="80"/>
        </w:rPr>
        <w:t>ꎮ</w:t>
      </w:r>
      <w:r>
        <w:rPr>
          <w:rFonts w:hint="eastAsia" w:ascii="MS UI Gothic" w:eastAsia="MS UI Gothic"/>
          <w:w w:val="150"/>
        </w:rPr>
        <w:t>(</w:t>
      </w:r>
      <w:r>
        <w:rPr>
          <w:rFonts w:hint="eastAsia" w:ascii="MS UI Gothic" w:eastAsia="MS UI Gothic"/>
          <w:spacing w:val="-74"/>
          <w:w w:val="150"/>
        </w:rPr>
        <w:t xml:space="preserve"> </w:t>
      </w:r>
      <w:r>
        <w:rPr>
          <w:spacing w:val="3"/>
          <w:w w:val="105"/>
        </w:rPr>
        <w:t>六</w:t>
      </w:r>
      <w:r>
        <w:rPr>
          <w:rFonts w:hint="eastAsia" w:ascii="MS UI Gothic" w:eastAsia="MS UI Gothic"/>
          <w:spacing w:val="8"/>
          <w:w w:val="150"/>
        </w:rPr>
        <w:t xml:space="preserve">) </w:t>
      </w:r>
      <w:r>
        <w:rPr>
          <w:spacing w:val="5"/>
          <w:w w:val="105"/>
        </w:rPr>
        <w:t>在突出煤层的煤巷中安装</w:t>
      </w:r>
      <w:r>
        <w:rPr>
          <w:rFonts w:hint="eastAsia" w:ascii="MS UI Gothic" w:eastAsia="MS UI Gothic"/>
          <w:spacing w:val="24"/>
          <w:w w:val="80"/>
        </w:rPr>
        <w:t xml:space="preserve">、 </w:t>
      </w:r>
      <w:r>
        <w:rPr>
          <w:w w:val="105"/>
        </w:rPr>
        <w:t>更</w:t>
      </w:r>
    </w:p>
    <w:p>
      <w:pPr>
        <w:pStyle w:val="6"/>
        <w:spacing w:line="295" w:lineRule="auto"/>
        <w:ind w:left="440" w:right="1" w:firstLine="0"/>
        <w:rPr>
          <w:rFonts w:hint="eastAsia" w:ascii="MS UI Gothic" w:eastAsia="MS UI Gothic"/>
        </w:rPr>
      </w:pPr>
      <w:r>
        <w:t>换</w:t>
      </w:r>
      <w:r>
        <w:rPr>
          <w:rFonts w:hint="eastAsia" w:ascii="MS UI Gothic" w:eastAsia="MS UI Gothic"/>
          <w:w w:val="80"/>
        </w:rPr>
        <w:t xml:space="preserve">、 </w:t>
      </w:r>
      <w:r>
        <w:t>维修或者回收支架时</w:t>
      </w:r>
      <w:r>
        <w:rPr>
          <w:rFonts w:hint="eastAsia" w:ascii="MS UI Gothic" w:eastAsia="MS UI Gothic"/>
          <w:w w:val="80"/>
        </w:rPr>
        <w:t xml:space="preserve">ꎬ </w:t>
      </w:r>
      <w:r>
        <w:t>必须采取预防煤体冒落引起突出的措施</w:t>
      </w:r>
      <w:r>
        <w:rPr>
          <w:rFonts w:hint="eastAsia" w:ascii="MS UI Gothic" w:eastAsia="MS UI Gothic"/>
          <w:w w:val="80"/>
        </w:rPr>
        <w:t>ꎮ</w:t>
      </w:r>
    </w:p>
    <w:p>
      <w:pPr>
        <w:pStyle w:val="6"/>
        <w:spacing w:line="295" w:lineRule="auto"/>
        <w:ind w:left="440" w:right="1"/>
        <w:rPr>
          <w:rFonts w:hint="eastAsia" w:ascii="MS UI Gothic" w:eastAsia="MS UI Gothic"/>
        </w:rPr>
      </w:pPr>
      <w:r>
        <w:t>第一百九十七条 有突出危险煤层的新建矿井或者突出矿井</w:t>
      </w:r>
      <w:r>
        <w:rPr>
          <w:rFonts w:hint="eastAsia" w:ascii="MS UI Gothic" w:eastAsia="MS UI Gothic"/>
          <w:w w:val="80"/>
        </w:rPr>
        <w:t xml:space="preserve">ꎬ </w:t>
      </w:r>
      <w:r>
        <w:t xml:space="preserve">开拓新水平的井巷第一次揭穿 </w:t>
      </w:r>
      <w:r>
        <w:rPr>
          <w:rFonts w:hint="eastAsia" w:ascii="MS UI Gothic" w:eastAsia="MS UI Gothic"/>
          <w:w w:val="145"/>
        </w:rPr>
        <w:t xml:space="preserve">( </w:t>
      </w:r>
      <w:r>
        <w:t>开</w:t>
      </w:r>
      <w:r>
        <w:rPr>
          <w:rFonts w:hint="eastAsia" w:ascii="MS UI Gothic" w:eastAsia="MS UI Gothic"/>
          <w:w w:val="145"/>
        </w:rPr>
        <w:t xml:space="preserve">) </w:t>
      </w:r>
      <w:r>
        <w:t xml:space="preserve">厚度为 </w:t>
      </w:r>
      <w:r>
        <w:rPr>
          <w:rFonts w:hint="eastAsia" w:ascii="MS UI Gothic" w:eastAsia="MS UI Gothic"/>
        </w:rPr>
        <w:t xml:space="preserve">０ ３ ｍ </w:t>
      </w:r>
      <w:r>
        <w:t>及以上煤层时</w:t>
      </w:r>
      <w:r>
        <w:rPr>
          <w:rFonts w:hint="eastAsia" w:ascii="MS UI Gothic" w:eastAsia="MS UI Gothic"/>
          <w:w w:val="80"/>
        </w:rPr>
        <w:t xml:space="preserve">ꎬ </w:t>
      </w:r>
      <w:r>
        <w:t>必须超前探测煤层厚度及地质构造</w:t>
      </w:r>
      <w:r>
        <w:rPr>
          <w:rFonts w:hint="eastAsia" w:ascii="MS UI Gothic" w:eastAsia="MS UI Gothic"/>
        </w:rPr>
        <w:t xml:space="preserve">、 </w:t>
      </w:r>
      <w:r>
        <w:t>测定煤层瓦斯压力及瓦斯含量等与突出危险性相关的参数</w:t>
      </w:r>
      <w:r>
        <w:rPr>
          <w:rFonts w:hint="eastAsia" w:ascii="MS UI Gothic" w:eastAsia="MS UI Gothic"/>
          <w:w w:val="80"/>
        </w:rPr>
        <w:t>ꎮ</w:t>
      </w:r>
    </w:p>
    <w:p>
      <w:pPr>
        <w:pStyle w:val="6"/>
        <w:spacing w:line="295" w:lineRule="auto"/>
        <w:ind w:left="440" w:right="1"/>
        <w:rPr>
          <w:rFonts w:hint="eastAsia" w:ascii="MS UI Gothic" w:eastAsia="MS UI Gothic"/>
        </w:rPr>
      </w:pPr>
      <w:r>
        <w:t>第一百九十八条 在突出煤层顶</w:t>
      </w:r>
      <w:r>
        <w:rPr>
          <w:rFonts w:hint="eastAsia" w:ascii="MS UI Gothic" w:eastAsia="MS UI Gothic"/>
          <w:w w:val="80"/>
        </w:rPr>
        <w:t xml:space="preserve">、 </w:t>
      </w:r>
      <w:r>
        <w:t>底板掘进岩巷时</w:t>
      </w:r>
      <w:r>
        <w:rPr>
          <w:rFonts w:hint="eastAsia" w:ascii="MS UI Gothic" w:eastAsia="MS UI Gothic"/>
          <w:w w:val="80"/>
        </w:rPr>
        <w:t xml:space="preserve">ꎬ </w:t>
      </w:r>
      <w:r>
        <w:t>必须超前探测煤层及地质构造情况</w:t>
      </w:r>
      <w:r>
        <w:rPr>
          <w:rFonts w:hint="eastAsia" w:ascii="MS UI Gothic" w:eastAsia="MS UI Gothic"/>
          <w:w w:val="80"/>
        </w:rPr>
        <w:t xml:space="preserve">ꎬ </w:t>
      </w:r>
      <w:r>
        <w:t>分析勘测验证地质资料</w:t>
      </w:r>
      <w:r>
        <w:rPr>
          <w:rFonts w:hint="eastAsia" w:ascii="MS UI Gothic" w:eastAsia="MS UI Gothic"/>
          <w:w w:val="80"/>
        </w:rPr>
        <w:t xml:space="preserve">ꎬ </w:t>
      </w:r>
      <w:r>
        <w:t>编制巷道剖面图</w:t>
      </w:r>
      <w:r>
        <w:rPr>
          <w:rFonts w:hint="eastAsia" w:ascii="MS UI Gothic" w:eastAsia="MS UI Gothic"/>
          <w:w w:val="80"/>
        </w:rPr>
        <w:t xml:space="preserve">ꎬ </w:t>
      </w:r>
      <w:r>
        <w:t>及时掌握施工动态和围岩变化情况</w:t>
      </w:r>
      <w:r>
        <w:rPr>
          <w:rFonts w:hint="eastAsia" w:ascii="MS UI Gothic" w:eastAsia="MS UI Gothic"/>
          <w:w w:val="80"/>
        </w:rPr>
        <w:t xml:space="preserve">ꎬ </w:t>
      </w:r>
      <w:r>
        <w:t>防止误穿突出煤层</w:t>
      </w:r>
      <w:r>
        <w:rPr>
          <w:rFonts w:hint="eastAsia" w:ascii="MS UI Gothic" w:eastAsia="MS UI Gothic"/>
          <w:w w:val="80"/>
        </w:rPr>
        <w:t>ꎮ</w:t>
      </w:r>
    </w:p>
    <w:p>
      <w:pPr>
        <w:pStyle w:val="6"/>
        <w:spacing w:line="295" w:lineRule="auto"/>
        <w:ind w:left="440"/>
        <w:rPr>
          <w:rFonts w:hint="eastAsia" w:ascii="MS UI Gothic" w:eastAsia="MS UI Gothic"/>
        </w:rPr>
      </w:pPr>
      <w:r>
        <w:t>第一百九十九条 有突出矿井的煤矿企业应当填写突出卡片</w:t>
      </w:r>
      <w:r>
        <w:rPr>
          <w:rFonts w:hint="eastAsia" w:ascii="MS UI Gothic" w:eastAsia="MS UI Gothic"/>
          <w:w w:val="80"/>
        </w:rPr>
        <w:t xml:space="preserve">、 </w:t>
      </w:r>
      <w:r>
        <w:t>分析突出资料</w:t>
      </w:r>
      <w:r>
        <w:rPr>
          <w:rFonts w:hint="eastAsia" w:ascii="MS UI Gothic" w:eastAsia="MS UI Gothic"/>
          <w:w w:val="80"/>
        </w:rPr>
        <w:t>、</w:t>
      </w:r>
      <w:r>
        <w:t>掌握突出规律</w:t>
      </w:r>
      <w:r>
        <w:rPr>
          <w:rFonts w:hint="eastAsia" w:ascii="MS UI Gothic" w:eastAsia="MS UI Gothic"/>
          <w:w w:val="80"/>
        </w:rPr>
        <w:t xml:space="preserve">、 </w:t>
      </w:r>
      <w:r>
        <w:t>制定防突措施</w:t>
      </w:r>
      <w:r>
        <w:rPr>
          <w:rFonts w:hint="eastAsia" w:ascii="MS UI Gothic" w:eastAsia="MS UI Gothic"/>
          <w:w w:val="80"/>
        </w:rPr>
        <w:t xml:space="preserve">ꎬ </w:t>
      </w:r>
      <w:r>
        <w:t>在每年第一季度内</w:t>
      </w:r>
      <w:r>
        <w:rPr>
          <w:rFonts w:hint="eastAsia" w:ascii="MS UI Gothic" w:eastAsia="MS UI Gothic"/>
          <w:w w:val="80"/>
        </w:rPr>
        <w:t xml:space="preserve">ꎬ </w:t>
      </w:r>
      <w:r>
        <w:t>将上年度的突出资料报省级煤炭行业管理部门</w:t>
      </w:r>
      <w:r>
        <w:rPr>
          <w:rFonts w:hint="eastAsia" w:ascii="MS UI Gothic" w:eastAsia="MS UI Gothic"/>
          <w:w w:val="80"/>
        </w:rPr>
        <w:t>ꎮ</w:t>
      </w:r>
    </w:p>
    <w:p>
      <w:pPr>
        <w:pStyle w:val="6"/>
        <w:spacing w:before="124" w:line="295" w:lineRule="auto"/>
        <w:ind w:left="375" w:right="126" w:firstLine="425"/>
        <w:rPr>
          <w:rFonts w:hint="eastAsia" w:ascii="MS UI Gothic" w:eastAsia="MS UI Gothic"/>
        </w:rPr>
      </w:pPr>
      <w:r>
        <w:br w:type="column"/>
      </w:r>
      <w:r>
        <w:rPr>
          <w:spacing w:val="4"/>
        </w:rPr>
        <w:t>第二百条 突出矿井必须编制并及时</w:t>
      </w:r>
      <w:r>
        <w:rPr>
          <w:spacing w:val="3"/>
        </w:rPr>
        <w:t>更新矿井瓦斯地质图</w:t>
      </w:r>
      <w:r>
        <w:rPr>
          <w:rFonts w:hint="eastAsia" w:ascii="MS UI Gothic" w:eastAsia="MS UI Gothic"/>
          <w:spacing w:val="19"/>
          <w:w w:val="80"/>
        </w:rPr>
        <w:t xml:space="preserve">ꎬ </w:t>
      </w:r>
      <w:r>
        <w:rPr>
          <w:spacing w:val="2"/>
        </w:rPr>
        <w:t>更新周期不得超过</w:t>
      </w:r>
      <w:r>
        <w:rPr>
          <w:rFonts w:hint="eastAsia" w:ascii="MS UI Gothic" w:eastAsia="MS UI Gothic"/>
          <w:spacing w:val="7"/>
          <w:w w:val="80"/>
        </w:rPr>
        <w:t xml:space="preserve">１ </w:t>
      </w:r>
      <w:r>
        <w:rPr>
          <w:spacing w:val="3"/>
        </w:rPr>
        <w:t>年</w:t>
      </w:r>
      <w:r>
        <w:rPr>
          <w:rFonts w:hint="eastAsia" w:ascii="MS UI Gothic" w:eastAsia="MS UI Gothic"/>
          <w:spacing w:val="7"/>
          <w:w w:val="80"/>
        </w:rPr>
        <w:t xml:space="preserve">ꎬ </w:t>
      </w:r>
      <w:r>
        <w:rPr>
          <w:spacing w:val="3"/>
        </w:rPr>
        <w:t>图中应当标明采掘进度</w:t>
      </w:r>
      <w:r>
        <w:rPr>
          <w:rFonts w:hint="eastAsia" w:ascii="MS UI Gothic" w:eastAsia="MS UI Gothic"/>
          <w:spacing w:val="11"/>
          <w:w w:val="80"/>
        </w:rPr>
        <w:t xml:space="preserve">、 </w:t>
      </w:r>
      <w:r>
        <w:rPr>
          <w:spacing w:val="6"/>
        </w:rPr>
        <w:t>被保护范</w:t>
      </w:r>
      <w:r>
        <w:rPr>
          <w:spacing w:val="3"/>
        </w:rPr>
        <w:t>围</w:t>
      </w:r>
      <w:r>
        <w:rPr>
          <w:rFonts w:hint="eastAsia" w:ascii="MS UI Gothic" w:eastAsia="MS UI Gothic"/>
          <w:spacing w:val="15"/>
          <w:w w:val="80"/>
        </w:rPr>
        <w:t xml:space="preserve">、 </w:t>
      </w:r>
      <w:r>
        <w:rPr>
          <w:spacing w:val="3"/>
        </w:rPr>
        <w:t>煤层赋存条件</w:t>
      </w:r>
      <w:r>
        <w:rPr>
          <w:rFonts w:hint="eastAsia" w:ascii="MS UI Gothic" w:eastAsia="MS UI Gothic"/>
          <w:spacing w:val="15"/>
          <w:w w:val="80"/>
        </w:rPr>
        <w:t xml:space="preserve">、 </w:t>
      </w:r>
      <w:r>
        <w:rPr>
          <w:spacing w:val="3"/>
        </w:rPr>
        <w:t>地质构造</w:t>
      </w:r>
      <w:r>
        <w:rPr>
          <w:rFonts w:hint="eastAsia" w:ascii="MS UI Gothic" w:eastAsia="MS UI Gothic"/>
          <w:spacing w:val="15"/>
          <w:w w:val="80"/>
        </w:rPr>
        <w:t xml:space="preserve">、 </w:t>
      </w:r>
      <w:r>
        <w:rPr>
          <w:spacing w:val="2"/>
        </w:rPr>
        <w:t>突出点的</w:t>
      </w:r>
      <w:r>
        <w:rPr>
          <w:spacing w:val="3"/>
        </w:rPr>
        <w:t>位置</w:t>
      </w:r>
      <w:r>
        <w:rPr>
          <w:rFonts w:hint="eastAsia" w:ascii="MS UI Gothic" w:eastAsia="MS UI Gothic"/>
          <w:spacing w:val="7"/>
          <w:w w:val="80"/>
        </w:rPr>
        <w:t xml:space="preserve">、 </w:t>
      </w:r>
      <w:r>
        <w:rPr>
          <w:spacing w:val="3"/>
        </w:rPr>
        <w:t>突出强度</w:t>
      </w:r>
      <w:r>
        <w:rPr>
          <w:rFonts w:hint="eastAsia" w:ascii="MS UI Gothic" w:eastAsia="MS UI Gothic"/>
          <w:spacing w:val="7"/>
          <w:w w:val="80"/>
        </w:rPr>
        <w:t xml:space="preserve">、 </w:t>
      </w:r>
      <w:r>
        <w:rPr>
          <w:spacing w:val="3"/>
        </w:rPr>
        <w:t>瓦斯基本参数等</w:t>
      </w:r>
      <w:r>
        <w:rPr>
          <w:rFonts w:hint="eastAsia" w:ascii="MS UI Gothic" w:eastAsia="MS UI Gothic"/>
          <w:spacing w:val="7"/>
          <w:w w:val="80"/>
        </w:rPr>
        <w:t xml:space="preserve">ꎬ </w:t>
      </w:r>
      <w:r>
        <w:rPr>
          <w:spacing w:val="1"/>
        </w:rPr>
        <w:t>作为</w:t>
      </w:r>
      <w:r>
        <w:rPr>
          <w:spacing w:val="11"/>
        </w:rPr>
        <w:t>突出危险性区域预测和制定防突措施的</w:t>
      </w:r>
      <w:r>
        <w:rPr>
          <w:spacing w:val="3"/>
        </w:rPr>
        <w:t>依据</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第二百零一条 突出煤层工作面的作</w:t>
      </w:r>
      <w:r>
        <w:rPr>
          <w:spacing w:val="3"/>
        </w:rPr>
        <w:t>业人员</w:t>
      </w:r>
      <w:r>
        <w:rPr>
          <w:rFonts w:hint="eastAsia" w:ascii="MS UI Gothic" w:eastAsia="MS UI Gothic"/>
          <w:spacing w:val="22"/>
          <w:w w:val="80"/>
        </w:rPr>
        <w:t xml:space="preserve">、 </w:t>
      </w:r>
      <w:r>
        <w:rPr>
          <w:spacing w:val="3"/>
        </w:rPr>
        <w:t>瓦斯检查工</w:t>
      </w:r>
      <w:r>
        <w:rPr>
          <w:rFonts w:hint="eastAsia" w:ascii="MS UI Gothic" w:eastAsia="MS UI Gothic"/>
          <w:spacing w:val="23"/>
          <w:w w:val="80"/>
        </w:rPr>
        <w:t xml:space="preserve">、 </w:t>
      </w:r>
      <w:r>
        <w:rPr>
          <w:spacing w:val="2"/>
        </w:rPr>
        <w:t>班组长应当掌握突</w:t>
      </w:r>
      <w:r>
        <w:rPr>
          <w:spacing w:val="3"/>
        </w:rPr>
        <w:t>出预兆</w:t>
      </w:r>
      <w:r>
        <w:rPr>
          <w:rFonts w:hint="eastAsia" w:ascii="MS UI Gothic" w:eastAsia="MS UI Gothic"/>
          <w:spacing w:val="23"/>
          <w:w w:val="80"/>
        </w:rPr>
        <w:t xml:space="preserve">ꎮ </w:t>
      </w:r>
      <w:r>
        <w:rPr>
          <w:spacing w:val="3"/>
        </w:rPr>
        <w:t>发现突出预兆时</w:t>
      </w:r>
      <w:r>
        <w:rPr>
          <w:rFonts w:hint="eastAsia" w:ascii="MS UI Gothic" w:eastAsia="MS UI Gothic"/>
          <w:spacing w:val="23"/>
          <w:w w:val="80"/>
        </w:rPr>
        <w:t xml:space="preserve">ꎬ </w:t>
      </w:r>
      <w:r>
        <w:rPr>
          <w:spacing w:val="2"/>
        </w:rPr>
        <w:t>必须立即停止</w:t>
      </w:r>
      <w:r>
        <w:rPr>
          <w:spacing w:val="9"/>
        </w:rPr>
        <w:t>作业</w:t>
      </w:r>
      <w:r>
        <w:rPr>
          <w:rFonts w:hint="eastAsia" w:ascii="MS UI Gothic" w:eastAsia="MS UI Gothic"/>
          <w:spacing w:val="7"/>
          <w:w w:val="80"/>
        </w:rPr>
        <w:t xml:space="preserve">ꎬ </w:t>
      </w:r>
      <w:r>
        <w:rPr>
          <w:spacing w:val="33"/>
        </w:rPr>
        <w:t>按避灾路线撤出</w:t>
      </w:r>
      <w:r>
        <w:rPr>
          <w:rFonts w:hint="eastAsia" w:ascii="MS UI Gothic" w:eastAsia="MS UI Gothic"/>
          <w:spacing w:val="8"/>
          <w:w w:val="80"/>
        </w:rPr>
        <w:t xml:space="preserve">ꎬ </w:t>
      </w:r>
      <w:r>
        <w:rPr>
          <w:spacing w:val="32"/>
        </w:rPr>
        <w:t>并报告矿调</w:t>
      </w:r>
      <w:r>
        <w:rPr>
          <w:spacing w:val="3"/>
        </w:rPr>
        <w:t>度室</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班组长</w:t>
      </w:r>
      <w:r>
        <w:rPr>
          <w:rFonts w:hint="eastAsia" w:ascii="MS UI Gothic" w:eastAsia="MS UI Gothic"/>
          <w:spacing w:val="20"/>
          <w:w w:val="80"/>
        </w:rPr>
        <w:t xml:space="preserve">、 </w:t>
      </w:r>
      <w:r>
        <w:rPr>
          <w:spacing w:val="3"/>
        </w:rPr>
        <w:t>瓦斯检查工</w:t>
      </w:r>
      <w:r>
        <w:rPr>
          <w:rFonts w:hint="eastAsia" w:ascii="MS UI Gothic" w:eastAsia="MS UI Gothic"/>
          <w:spacing w:val="20"/>
          <w:w w:val="80"/>
        </w:rPr>
        <w:t xml:space="preserve">、 </w:t>
      </w:r>
      <w:r>
        <w:rPr>
          <w:spacing w:val="2"/>
        </w:rPr>
        <w:t>矿调度员有权</w:t>
      </w:r>
      <w:r>
        <w:rPr>
          <w:spacing w:val="13"/>
        </w:rPr>
        <w:t>责令相关现场作业人员停止作业</w:t>
      </w:r>
      <w:r>
        <w:rPr>
          <w:rFonts w:hint="eastAsia" w:ascii="MS UI Gothic" w:eastAsia="MS UI Gothic"/>
          <w:w w:val="80"/>
        </w:rPr>
        <w:t xml:space="preserve">ꎬ </w:t>
      </w:r>
      <w:r>
        <w:rPr>
          <w:spacing w:val="10"/>
        </w:rPr>
        <w:t>停电</w:t>
      </w:r>
      <w:r>
        <w:rPr>
          <w:spacing w:val="3"/>
        </w:rPr>
        <w:t>撤人</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第二百零二条 煤与二氧化碳突出</w:t>
      </w:r>
      <w:r>
        <w:rPr>
          <w:rFonts w:hint="eastAsia" w:ascii="MS UI Gothic" w:eastAsia="MS UI Gothic"/>
          <w:w w:val="80"/>
        </w:rPr>
        <w:t>、</w:t>
      </w:r>
      <w:r>
        <w:rPr>
          <w:w w:val="105"/>
        </w:rPr>
        <w:t>岩石与二氧化碳突出</w:t>
      </w:r>
      <w:r>
        <w:rPr>
          <w:rFonts w:hint="eastAsia" w:ascii="MS UI Gothic" w:eastAsia="MS UI Gothic"/>
          <w:w w:val="80"/>
        </w:rPr>
        <w:t xml:space="preserve">、 </w:t>
      </w:r>
      <w:r>
        <w:rPr>
          <w:w w:val="105"/>
        </w:rPr>
        <w:t>岩石与瓦斯突出的管理和防治措施参照本章规定执行</w:t>
      </w:r>
      <w:r>
        <w:rPr>
          <w:rFonts w:hint="eastAsia" w:ascii="MS UI Gothic" w:eastAsia="MS UI Gothic"/>
          <w:w w:val="80"/>
        </w:rPr>
        <w:t>ꎮ</w:t>
      </w:r>
    </w:p>
    <w:p>
      <w:pPr>
        <w:pStyle w:val="6"/>
        <w:tabs>
          <w:tab w:val="left" w:pos="1848"/>
        </w:tabs>
        <w:spacing w:before="143"/>
        <w:ind w:left="1009" w:firstLine="0"/>
        <w:jc w:val="left"/>
      </w:pPr>
      <w:r>
        <w:rPr>
          <w:spacing w:val="3"/>
          <w:w w:val="105"/>
        </w:rPr>
        <w:t>第二</w:t>
      </w:r>
      <w:r>
        <w:rPr>
          <w:w w:val="105"/>
        </w:rPr>
        <w:t>节</w:t>
      </w:r>
      <w:r>
        <w:rPr>
          <w:w w:val="105"/>
        </w:rPr>
        <w:tab/>
      </w:r>
      <w:r>
        <w:rPr>
          <w:spacing w:val="3"/>
          <w:w w:val="105"/>
        </w:rPr>
        <w:t>区域综合防突措</w:t>
      </w:r>
      <w:r>
        <w:rPr>
          <w:w w:val="105"/>
        </w:rPr>
        <w:t>施</w:t>
      </w:r>
    </w:p>
    <w:p>
      <w:pPr>
        <w:pStyle w:val="6"/>
        <w:spacing w:before="10"/>
        <w:ind w:left="0" w:firstLine="0"/>
        <w:jc w:val="left"/>
        <w:rPr>
          <w:sz w:val="16"/>
        </w:rPr>
      </w:pPr>
    </w:p>
    <w:p>
      <w:pPr>
        <w:pStyle w:val="6"/>
        <w:spacing w:line="295" w:lineRule="auto"/>
        <w:ind w:left="381" w:right="126"/>
        <w:rPr>
          <w:rFonts w:hint="eastAsia" w:ascii="MS UI Gothic" w:eastAsia="MS UI Gothic"/>
        </w:rPr>
      </w:pPr>
      <w:r>
        <w:rPr>
          <w:spacing w:val="2"/>
          <w:w w:val="105"/>
        </w:rPr>
        <w:t>第二百零三条 突出矿井应当对突出</w:t>
      </w:r>
      <w:r>
        <w:rPr>
          <w:spacing w:val="-4"/>
          <w:w w:val="105"/>
        </w:rPr>
        <w:t xml:space="preserve">煤层进行区域突出危险性预测 </w:t>
      </w:r>
      <w:r>
        <w:rPr>
          <w:rFonts w:hint="eastAsia" w:ascii="MS UI Gothic" w:eastAsia="MS UI Gothic"/>
          <w:spacing w:val="-39"/>
          <w:w w:val="150"/>
        </w:rPr>
        <w:t xml:space="preserve">( </w:t>
      </w:r>
      <w:r>
        <w:rPr>
          <w:spacing w:val="5"/>
          <w:w w:val="105"/>
        </w:rPr>
        <w:t>以下简称</w:t>
      </w:r>
      <w:r>
        <w:rPr>
          <w:spacing w:val="3"/>
          <w:w w:val="105"/>
        </w:rPr>
        <w:t>区域预测</w:t>
      </w:r>
      <w:r>
        <w:rPr>
          <w:rFonts w:hint="eastAsia" w:ascii="MS UI Gothic" w:eastAsia="MS UI Gothic"/>
          <w:spacing w:val="-42"/>
          <w:w w:val="150"/>
        </w:rPr>
        <w:t xml:space="preserve">) </w:t>
      </w:r>
      <w:r>
        <w:rPr>
          <w:rFonts w:hint="eastAsia" w:ascii="MS UI Gothic" w:eastAsia="MS UI Gothic"/>
          <w:spacing w:val="-5"/>
          <w:w w:val="80"/>
        </w:rPr>
        <w:t xml:space="preserve">ꎮ </w:t>
      </w:r>
      <w:r>
        <w:rPr>
          <w:spacing w:val="8"/>
          <w:w w:val="105"/>
        </w:rPr>
        <w:t>经区域预测后</w:t>
      </w:r>
      <w:r>
        <w:rPr>
          <w:rFonts w:hint="eastAsia" w:ascii="MS UI Gothic" w:eastAsia="MS UI Gothic"/>
          <w:spacing w:val="-5"/>
          <w:w w:val="80"/>
        </w:rPr>
        <w:t xml:space="preserve">ꎬ </w:t>
      </w:r>
      <w:r>
        <w:rPr>
          <w:spacing w:val="10"/>
          <w:w w:val="105"/>
        </w:rPr>
        <w:t>突出煤层划</w:t>
      </w:r>
      <w:r>
        <w:rPr>
          <w:spacing w:val="3"/>
        </w:rPr>
        <w:t>分为无突出危险区和突出危险区</w:t>
      </w:r>
      <w:r>
        <w:rPr>
          <w:rFonts w:hint="eastAsia" w:ascii="MS UI Gothic" w:eastAsia="MS UI Gothic"/>
          <w:spacing w:val="20"/>
          <w:w w:val="80"/>
        </w:rPr>
        <w:t xml:space="preserve">ꎮ </w:t>
      </w:r>
      <w:r>
        <w:rPr>
          <w:spacing w:val="1"/>
        </w:rPr>
        <w:t>未进行</w:t>
      </w:r>
      <w:r>
        <w:rPr>
          <w:spacing w:val="3"/>
          <w:w w:val="105"/>
        </w:rPr>
        <w:t>区域预测的区域视为突出危险区</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第二百零四条 具备开采保护层条件</w:t>
      </w:r>
      <w:r>
        <w:t>的突出危险区</w:t>
      </w:r>
      <w:r>
        <w:rPr>
          <w:rFonts w:hint="eastAsia" w:ascii="MS UI Gothic" w:eastAsia="MS UI Gothic"/>
          <w:w w:val="80"/>
        </w:rPr>
        <w:t xml:space="preserve">ꎬ </w:t>
      </w:r>
      <w:r>
        <w:t>必须开采保护层</w:t>
      </w:r>
      <w:r>
        <w:rPr>
          <w:rFonts w:hint="eastAsia" w:ascii="MS UI Gothic" w:eastAsia="MS UI Gothic"/>
          <w:w w:val="80"/>
        </w:rPr>
        <w:t xml:space="preserve">ꎮ </w:t>
      </w:r>
      <w:r>
        <w:t>选择保</w:t>
      </w:r>
      <w:r>
        <w:rPr>
          <w:w w:val="105"/>
        </w:rPr>
        <w:t>护层应当遵循下列原则</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优先选择无突出危险的煤层作</w:t>
      </w:r>
      <w:r>
        <w:rPr>
          <w:spacing w:val="3"/>
        </w:rPr>
        <w:t>为保护层</w:t>
      </w:r>
      <w:r>
        <w:rPr>
          <w:rFonts w:hint="eastAsia" w:ascii="MS UI Gothic" w:eastAsia="MS UI Gothic"/>
          <w:spacing w:val="20"/>
          <w:w w:val="80"/>
        </w:rPr>
        <w:t xml:space="preserve">ꎮ </w:t>
      </w:r>
      <w:r>
        <w:rPr>
          <w:spacing w:val="2"/>
        </w:rPr>
        <w:t>矿井中所有煤层都有突出危险</w:t>
      </w:r>
      <w:r>
        <w:rPr>
          <w:spacing w:val="3"/>
        </w:rPr>
        <w:t>时</w:t>
      </w:r>
      <w:r>
        <w:rPr>
          <w:rFonts w:hint="eastAsia" w:ascii="MS UI Gothic" w:eastAsia="MS UI Gothic"/>
          <w:spacing w:val="20"/>
          <w:w w:val="80"/>
        </w:rPr>
        <w:t xml:space="preserve">ꎬ </w:t>
      </w:r>
      <w:r>
        <w:rPr>
          <w:spacing w:val="2"/>
        </w:rPr>
        <w:t>应当选择突出危险程度较小的煤层作</w:t>
      </w:r>
      <w:r>
        <w:rPr>
          <w:spacing w:val="3"/>
          <w:w w:val="105"/>
        </w:rPr>
        <w:t>保护层</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3"/>
          <w:w w:val="150"/>
        </w:rPr>
        <w:t xml:space="preserve">) </w:t>
      </w:r>
      <w:r>
        <w:rPr>
          <w:spacing w:val="5"/>
          <w:w w:val="105"/>
        </w:rPr>
        <w:t>应当优先选择上保护层</w:t>
      </w:r>
      <w:r>
        <w:rPr>
          <w:rFonts w:hint="eastAsia" w:ascii="MS UI Gothic" w:eastAsia="MS UI Gothic"/>
          <w:spacing w:val="13"/>
          <w:w w:val="80"/>
        </w:rPr>
        <w:t xml:space="preserve">ꎻ </w:t>
      </w:r>
      <w:r>
        <w:rPr>
          <w:spacing w:val="5"/>
          <w:w w:val="105"/>
        </w:rPr>
        <w:t>选择</w:t>
      </w:r>
      <w:r>
        <w:rPr>
          <w:spacing w:val="3"/>
        </w:rPr>
        <w:t>下保护层开采时</w:t>
      </w:r>
      <w:r>
        <w:rPr>
          <w:rFonts w:hint="eastAsia" w:ascii="MS UI Gothic" w:eastAsia="MS UI Gothic"/>
          <w:spacing w:val="20"/>
          <w:w w:val="80"/>
        </w:rPr>
        <w:t xml:space="preserve">ꎬ </w:t>
      </w:r>
      <w:r>
        <w:rPr>
          <w:spacing w:val="2"/>
        </w:rPr>
        <w:t>不得破坏被保护层的开</w:t>
      </w:r>
      <w:r>
        <w:rPr>
          <w:spacing w:val="3"/>
          <w:w w:val="105"/>
        </w:rPr>
        <w:t>采条件</w:t>
      </w:r>
      <w:r>
        <w:rPr>
          <w:rFonts w:hint="eastAsia" w:ascii="MS UI Gothic" w:eastAsia="MS UI Gothic"/>
          <w:w w:val="80"/>
        </w:rPr>
        <w:t>ꎮ</w:t>
      </w:r>
    </w:p>
    <w:p>
      <w:pPr>
        <w:pStyle w:val="6"/>
        <w:spacing w:line="295" w:lineRule="auto"/>
        <w:ind w:left="381" w:right="126"/>
        <w:rPr>
          <w:rFonts w:hint="eastAsia" w:ascii="MS UI Gothic" w:eastAsia="MS UI Gothic"/>
        </w:rPr>
      </w:pPr>
      <w:r>
        <w:t>开采保护层后</w:t>
      </w:r>
      <w:r>
        <w:rPr>
          <w:rFonts w:hint="eastAsia" w:ascii="MS UI Gothic" w:eastAsia="MS UI Gothic"/>
          <w:w w:val="80"/>
        </w:rPr>
        <w:t xml:space="preserve">ꎬ </w:t>
      </w:r>
      <w:r>
        <w:t>在有效保护范围内的被保护层区域为无突出危险区</w:t>
      </w:r>
      <w:r>
        <w:rPr>
          <w:rFonts w:hint="eastAsia" w:ascii="MS UI Gothic" w:eastAsia="MS UI Gothic"/>
          <w:w w:val="80"/>
        </w:rPr>
        <w:t xml:space="preserve">ꎬ </w:t>
      </w:r>
      <w:r>
        <w:t>超出有效保护范围的区域仍然为突出危险区</w:t>
      </w:r>
      <w:r>
        <w:rPr>
          <w:rFonts w:hint="eastAsia" w:ascii="MS UI Gothic" w:eastAsia="MS UI Gothic"/>
          <w:w w:val="80"/>
        </w:rPr>
        <w:t>ꎮ</w:t>
      </w:r>
    </w:p>
    <w:p>
      <w:pPr>
        <w:pStyle w:val="6"/>
        <w:tabs>
          <w:tab w:val="left" w:pos="2267"/>
        </w:tabs>
        <w:spacing w:line="254" w:lineRule="exact"/>
        <w:ind w:left="800" w:firstLine="0"/>
        <w:jc w:val="left"/>
      </w:pPr>
      <w:r>
        <w:rPr>
          <w:spacing w:val="3"/>
          <w:w w:val="105"/>
        </w:rPr>
        <w:t>第二百零五</w:t>
      </w:r>
      <w:r>
        <w:rPr>
          <w:w w:val="105"/>
        </w:rPr>
        <w:t>条</w:t>
      </w:r>
      <w:r>
        <w:rPr>
          <w:w w:val="105"/>
        </w:rPr>
        <w:tab/>
      </w:r>
      <w:r>
        <w:rPr>
          <w:spacing w:val="3"/>
          <w:w w:val="105"/>
        </w:rPr>
        <w:t>有效保护范围的划</w:t>
      </w:r>
      <w:r>
        <w:rPr>
          <w:w w:val="105"/>
        </w:rPr>
        <w:t>定</w:t>
      </w:r>
    </w:p>
    <w:p>
      <w:pPr>
        <w:spacing w:after="0" w:line="254"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２７０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36" o:spid="_x0000_s1836" o:spt="203" style="height:2.15pt;width:398.25pt;" coordsize="7965,43">
            <o:lock v:ext="edit"/>
            <v:line id="_x0000_s1837" o:spid="_x0000_s1837" o:spt="20" style="position:absolute;left:0;top:39;height:0;width:7965;" stroked="t" coordsize="21600,21600">
              <v:path arrowok="t"/>
              <v:fill focussize="0,0"/>
              <v:stroke weight="0.388031496062992pt" color="#231F20"/>
              <v:imagedata o:title=""/>
              <o:lock v:ext="edit"/>
            </v:line>
            <v:line id="_x0000_s1838" o:spid="_x0000_s183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w w:val="95"/>
        </w:rPr>
        <w:t>及有关参数应当实际考察确定</w:t>
      </w:r>
      <w:r>
        <w:rPr>
          <w:rFonts w:hint="eastAsia" w:ascii="MS UI Gothic" w:eastAsia="MS UI Gothic"/>
          <w:w w:val="90"/>
        </w:rPr>
        <w:t xml:space="preserve">ꎮ  </w:t>
      </w:r>
      <w:r>
        <w:rPr>
          <w:w w:val="95"/>
        </w:rPr>
        <w:t>正在开采的保护层采煤工作面</w:t>
      </w:r>
      <w:r>
        <w:rPr>
          <w:rFonts w:hint="eastAsia" w:ascii="MS UI Gothic" w:eastAsia="MS UI Gothic"/>
          <w:w w:val="90"/>
        </w:rPr>
        <w:t xml:space="preserve">ꎬ  </w:t>
      </w:r>
      <w:r>
        <w:rPr>
          <w:w w:val="95"/>
        </w:rPr>
        <w:t>必须超前于被保护层的掘进工作面</w:t>
      </w:r>
      <w:r>
        <w:rPr>
          <w:rFonts w:hint="eastAsia" w:ascii="MS UI Gothic" w:eastAsia="MS UI Gothic"/>
          <w:w w:val="90"/>
        </w:rPr>
        <w:t xml:space="preserve">ꎬ  </w:t>
      </w:r>
      <w:r>
        <w:rPr>
          <w:w w:val="95"/>
        </w:rPr>
        <w:t xml:space="preserve">其超前距离不得小于保护层与被保护层之间法向距离的 </w:t>
      </w:r>
      <w:r>
        <w:rPr>
          <w:rFonts w:hint="eastAsia" w:ascii="MS UI Gothic" w:eastAsia="MS UI Gothic"/>
          <w:w w:val="95"/>
        </w:rPr>
        <w:t xml:space="preserve">３ </w:t>
      </w:r>
      <w:r>
        <w:rPr>
          <w:w w:val="95"/>
        </w:rPr>
        <w:t>倍</w:t>
      </w:r>
      <w:r>
        <w:rPr>
          <w:rFonts w:hint="eastAsia" w:ascii="MS UI Gothic" w:eastAsia="MS UI Gothic"/>
          <w:w w:val="90"/>
        </w:rPr>
        <w:t xml:space="preserve">ꎬ </w:t>
      </w:r>
      <w:r>
        <w:rPr>
          <w:w w:val="95"/>
        </w:rPr>
        <w:t xml:space="preserve">并不得小于 </w:t>
      </w:r>
      <w:r>
        <w:rPr>
          <w:rFonts w:hint="eastAsia" w:ascii="MS UI Gothic" w:eastAsia="MS UI Gothic"/>
          <w:w w:val="95"/>
        </w:rPr>
        <w:t>１００ ｍ</w:t>
      </w:r>
      <w:r>
        <w:rPr>
          <w:rFonts w:hint="eastAsia" w:ascii="MS UI Gothic" w:eastAsia="MS UI Gothic"/>
          <w:w w:val="90"/>
        </w:rPr>
        <w:t>ꎮ</w:t>
      </w:r>
    </w:p>
    <w:p>
      <w:pPr>
        <w:pStyle w:val="6"/>
        <w:spacing w:line="295" w:lineRule="auto"/>
        <w:ind w:right="39"/>
        <w:rPr>
          <w:rFonts w:hint="eastAsia" w:ascii="MS UI Gothic" w:eastAsia="MS UI Gothic"/>
        </w:rPr>
      </w:pPr>
      <w:r>
        <w:rPr>
          <w:w w:val="105"/>
        </w:rPr>
        <w:t>第二百零六条 对不具备保护层开采</w:t>
      </w:r>
      <w:r>
        <w:t>条件的突出厚煤层</w:t>
      </w:r>
      <w:r>
        <w:rPr>
          <w:rFonts w:hint="eastAsia" w:ascii="MS UI Gothic" w:eastAsia="MS UI Gothic"/>
          <w:w w:val="80"/>
        </w:rPr>
        <w:t xml:space="preserve">ꎬ </w:t>
      </w:r>
      <w:r>
        <w:t>利用上分层或者上区段开采后形成的卸压作用保护下分层或者下区段时</w:t>
      </w:r>
      <w:r>
        <w:rPr>
          <w:rFonts w:hint="eastAsia" w:ascii="MS UI Gothic" w:eastAsia="MS UI Gothic"/>
          <w:w w:val="80"/>
        </w:rPr>
        <w:t xml:space="preserve">ꎬ </w:t>
      </w:r>
      <w:r>
        <w:t>应当依据实际考察结果来确定</w:t>
      </w:r>
      <w:r>
        <w:rPr>
          <w:w w:val="105"/>
        </w:rPr>
        <w:t>其有效保护范围</w:t>
      </w:r>
      <w:r>
        <w:rPr>
          <w:rFonts w:hint="eastAsia" w:ascii="MS UI Gothic" w:eastAsia="MS UI Gothic"/>
          <w:w w:val="80"/>
        </w:rPr>
        <w:t>ꎮ</w:t>
      </w:r>
    </w:p>
    <w:p>
      <w:pPr>
        <w:pStyle w:val="6"/>
        <w:spacing w:line="295" w:lineRule="auto"/>
        <w:ind w:right="39"/>
        <w:rPr>
          <w:rFonts w:hint="eastAsia" w:ascii="MS UI Gothic" w:eastAsia="MS UI Gothic"/>
        </w:rPr>
      </w:pPr>
      <w:r>
        <w:rPr>
          <w:spacing w:val="3"/>
          <w:w w:val="105"/>
        </w:rPr>
        <w:t>第二百零七条 开采保护层时</w:t>
      </w:r>
      <w:r>
        <w:rPr>
          <w:rFonts w:hint="eastAsia" w:ascii="MS UI Gothic" w:eastAsia="MS UI Gothic"/>
          <w:spacing w:val="10"/>
          <w:w w:val="80"/>
        </w:rPr>
        <w:t xml:space="preserve">ꎬ </w:t>
      </w:r>
      <w:r>
        <w:rPr>
          <w:spacing w:val="1"/>
          <w:w w:val="105"/>
        </w:rPr>
        <w:t>应当</w:t>
      </w:r>
      <w:r>
        <w:rPr>
          <w:spacing w:val="15"/>
          <w:w w:val="105"/>
        </w:rPr>
        <w:t xml:space="preserve">不留设煤 </w:t>
      </w:r>
      <w:r>
        <w:rPr>
          <w:rFonts w:hint="eastAsia" w:ascii="MS UI Gothic" w:eastAsia="MS UI Gothic"/>
          <w:spacing w:val="-29"/>
          <w:w w:val="150"/>
        </w:rPr>
        <w:t xml:space="preserve">( </w:t>
      </w:r>
      <w:r>
        <w:rPr>
          <w:spacing w:val="25"/>
          <w:w w:val="105"/>
        </w:rPr>
        <w:t>岩</w:t>
      </w:r>
      <w:r>
        <w:rPr>
          <w:rFonts w:hint="eastAsia" w:ascii="MS UI Gothic" w:eastAsia="MS UI Gothic"/>
          <w:spacing w:val="13"/>
          <w:w w:val="150"/>
        </w:rPr>
        <w:t xml:space="preserve">) </w:t>
      </w:r>
      <w:r>
        <w:rPr>
          <w:spacing w:val="3"/>
          <w:w w:val="105"/>
        </w:rPr>
        <w:t>柱</w:t>
      </w:r>
      <w:r>
        <w:rPr>
          <w:rFonts w:hint="eastAsia" w:ascii="MS UI Gothic" w:eastAsia="MS UI Gothic"/>
          <w:spacing w:val="2"/>
          <w:w w:val="80"/>
        </w:rPr>
        <w:t xml:space="preserve">ꎮ </w:t>
      </w:r>
      <w:r>
        <w:rPr>
          <w:spacing w:val="30"/>
          <w:w w:val="105"/>
        </w:rPr>
        <w:t>特殊情况需留煤</w:t>
      </w:r>
      <w:r>
        <w:rPr>
          <w:rFonts w:hint="eastAsia" w:ascii="MS UI Gothic" w:eastAsia="MS UI Gothic"/>
          <w:spacing w:val="-22"/>
          <w:w w:val="150"/>
        </w:rPr>
        <w:t xml:space="preserve">( </w:t>
      </w:r>
      <w:r>
        <w:rPr>
          <w:spacing w:val="3"/>
          <w:w w:val="105"/>
        </w:rPr>
        <w:t>岩</w:t>
      </w:r>
      <w:r>
        <w:rPr>
          <w:rFonts w:hint="eastAsia" w:ascii="MS UI Gothic" w:eastAsia="MS UI Gothic"/>
          <w:spacing w:val="9"/>
          <w:w w:val="150"/>
        </w:rPr>
        <w:t xml:space="preserve">) </w:t>
      </w:r>
      <w:r>
        <w:rPr>
          <w:spacing w:val="3"/>
          <w:w w:val="105"/>
        </w:rPr>
        <w:t>柱时</w:t>
      </w:r>
      <w:r>
        <w:rPr>
          <w:rFonts w:hint="eastAsia" w:ascii="MS UI Gothic" w:eastAsia="MS UI Gothic"/>
          <w:spacing w:val="22"/>
          <w:w w:val="80"/>
        </w:rPr>
        <w:t xml:space="preserve">ꎬ </w:t>
      </w:r>
      <w:r>
        <w:rPr>
          <w:spacing w:val="-3"/>
          <w:w w:val="105"/>
        </w:rPr>
        <w:t xml:space="preserve">必须将煤 </w:t>
      </w:r>
      <w:r>
        <w:rPr>
          <w:rFonts w:hint="eastAsia" w:ascii="MS UI Gothic" w:eastAsia="MS UI Gothic"/>
          <w:spacing w:val="-35"/>
          <w:w w:val="150"/>
        </w:rPr>
        <w:t xml:space="preserve">( </w:t>
      </w:r>
      <w:r>
        <w:rPr>
          <w:spacing w:val="7"/>
          <w:w w:val="105"/>
        </w:rPr>
        <w:t>岩</w:t>
      </w:r>
      <w:r>
        <w:rPr>
          <w:rFonts w:hint="eastAsia" w:ascii="MS UI Gothic" w:eastAsia="MS UI Gothic"/>
          <w:spacing w:val="11"/>
          <w:w w:val="150"/>
        </w:rPr>
        <w:t xml:space="preserve">) </w:t>
      </w:r>
      <w:r>
        <w:rPr>
          <w:spacing w:val="7"/>
          <w:w w:val="105"/>
        </w:rPr>
        <w:t>柱的位置和</w:t>
      </w:r>
      <w:r>
        <w:rPr>
          <w:spacing w:val="2"/>
        </w:rPr>
        <w:t>尺寸准确标注在采掘工程平面图和瓦斯地</w:t>
      </w:r>
      <w:r>
        <w:rPr>
          <w:spacing w:val="5"/>
        </w:rPr>
        <w:t>质图上</w:t>
      </w:r>
      <w:r>
        <w:rPr>
          <w:rFonts w:hint="eastAsia" w:ascii="MS UI Gothic" w:eastAsia="MS UI Gothic"/>
          <w:w w:val="80"/>
        </w:rPr>
        <w:t xml:space="preserve">ꎬ  </w:t>
      </w:r>
      <w:r>
        <w:rPr>
          <w:spacing w:val="17"/>
        </w:rPr>
        <w:t>在瓦斯地质图上还应当标出煤</w:t>
      </w:r>
      <w:r>
        <w:rPr>
          <w:rFonts w:hint="eastAsia" w:ascii="MS UI Gothic" w:eastAsia="MS UI Gothic"/>
          <w:spacing w:val="-29"/>
          <w:w w:val="150"/>
        </w:rPr>
        <w:t xml:space="preserve">( </w:t>
      </w:r>
      <w:r>
        <w:rPr>
          <w:spacing w:val="3"/>
          <w:w w:val="105"/>
        </w:rPr>
        <w:t>岩</w:t>
      </w:r>
      <w:r>
        <w:rPr>
          <w:rFonts w:hint="eastAsia" w:ascii="MS UI Gothic" w:eastAsia="MS UI Gothic"/>
          <w:spacing w:val="9"/>
          <w:w w:val="150"/>
        </w:rPr>
        <w:t xml:space="preserve">) </w:t>
      </w:r>
      <w:r>
        <w:rPr>
          <w:spacing w:val="5"/>
          <w:w w:val="105"/>
        </w:rPr>
        <w:t>柱的影响范围</w:t>
      </w:r>
      <w:r>
        <w:rPr>
          <w:rFonts w:hint="eastAsia" w:ascii="MS UI Gothic" w:eastAsia="MS UI Gothic"/>
          <w:spacing w:val="23"/>
          <w:w w:val="80"/>
        </w:rPr>
        <w:t xml:space="preserve">ꎮ </w:t>
      </w:r>
      <w:r>
        <w:rPr>
          <w:spacing w:val="-9"/>
          <w:w w:val="105"/>
        </w:rPr>
        <w:t xml:space="preserve">在煤 </w:t>
      </w:r>
      <w:r>
        <w:rPr>
          <w:rFonts w:hint="eastAsia" w:ascii="MS UI Gothic" w:eastAsia="MS UI Gothic"/>
          <w:spacing w:val="-35"/>
          <w:w w:val="150"/>
        </w:rPr>
        <w:t xml:space="preserve">( </w:t>
      </w:r>
      <w:r>
        <w:rPr>
          <w:spacing w:val="7"/>
          <w:w w:val="105"/>
        </w:rPr>
        <w:t>岩</w:t>
      </w:r>
      <w:r>
        <w:rPr>
          <w:rFonts w:hint="eastAsia" w:ascii="MS UI Gothic" w:eastAsia="MS UI Gothic"/>
          <w:spacing w:val="11"/>
          <w:w w:val="150"/>
        </w:rPr>
        <w:t xml:space="preserve">) </w:t>
      </w:r>
      <w:r>
        <w:rPr>
          <w:spacing w:val="6"/>
          <w:w w:val="105"/>
        </w:rPr>
        <w:t>柱及其</w:t>
      </w:r>
      <w:r>
        <w:rPr>
          <w:spacing w:val="3"/>
        </w:rPr>
        <w:t>影响范围内采掘作业前</w:t>
      </w:r>
      <w:r>
        <w:rPr>
          <w:rFonts w:hint="eastAsia" w:ascii="MS UI Gothic" w:eastAsia="MS UI Gothic"/>
          <w:spacing w:val="21"/>
          <w:w w:val="80"/>
        </w:rPr>
        <w:t xml:space="preserve">ꎬ </w:t>
      </w:r>
      <w:r>
        <w:rPr>
          <w:spacing w:val="2"/>
        </w:rPr>
        <w:t>必须采取区域预</w:t>
      </w:r>
      <w:r>
        <w:rPr>
          <w:spacing w:val="3"/>
          <w:w w:val="105"/>
        </w:rPr>
        <w:t>抽煤层瓦斯防突措施</w:t>
      </w:r>
      <w:r>
        <w:rPr>
          <w:rFonts w:hint="eastAsia" w:ascii="MS UI Gothic" w:eastAsia="MS UI Gothic"/>
          <w:w w:val="80"/>
        </w:rPr>
        <w:t>ꎮ</w:t>
      </w:r>
    </w:p>
    <w:p>
      <w:pPr>
        <w:pStyle w:val="6"/>
        <w:spacing w:line="295" w:lineRule="auto"/>
        <w:ind w:right="39"/>
        <w:rPr>
          <w:rFonts w:hint="eastAsia" w:ascii="MS UI Gothic" w:eastAsia="MS UI Gothic"/>
        </w:rPr>
      </w:pPr>
      <w:r>
        <w:t>第二百零八条 开采保护层时</w:t>
      </w:r>
      <w:r>
        <w:rPr>
          <w:rFonts w:hint="eastAsia" w:ascii="MS UI Gothic" w:eastAsia="MS UI Gothic"/>
          <w:w w:val="80"/>
        </w:rPr>
        <w:t xml:space="preserve">ꎬ </w:t>
      </w:r>
      <w:r>
        <w:t>应当同时抽采被保护层和邻近层的瓦斯</w:t>
      </w:r>
      <w:r>
        <w:rPr>
          <w:rFonts w:hint="eastAsia" w:ascii="MS UI Gothic" w:eastAsia="MS UI Gothic"/>
          <w:w w:val="80"/>
        </w:rPr>
        <w:t xml:space="preserve">ꎮ </w:t>
      </w:r>
      <w:r>
        <w:t>开采近距离保护层时</w:t>
      </w:r>
      <w:r>
        <w:rPr>
          <w:rFonts w:hint="eastAsia" w:ascii="MS UI Gothic" w:eastAsia="MS UI Gothic"/>
          <w:w w:val="80"/>
        </w:rPr>
        <w:t xml:space="preserve">ꎬ </w:t>
      </w:r>
      <w:r>
        <w:t>必须采取防止误穿突出煤层和被保护层卸压瓦斯突然涌入保护层工作面的措施</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第二百零九条 采取预抽煤层瓦斯区</w:t>
      </w:r>
      <w:r>
        <w:rPr>
          <w:w w:val="110"/>
        </w:rPr>
        <w:t>域防突措施时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预抽区段煤层瓦斯的钻孔应当</w:t>
      </w:r>
      <w:r>
        <w:rPr>
          <w:spacing w:val="3"/>
          <w:w w:val="105"/>
        </w:rPr>
        <w:t>控制区段内的整个回采区域</w:t>
      </w:r>
      <w:r>
        <w:rPr>
          <w:rFonts w:hint="eastAsia" w:ascii="MS UI Gothic" w:eastAsia="MS UI Gothic"/>
          <w:spacing w:val="-4"/>
          <w:w w:val="80"/>
        </w:rPr>
        <w:t xml:space="preserve">、 </w:t>
      </w:r>
      <w:r>
        <w:rPr>
          <w:spacing w:val="2"/>
          <w:w w:val="105"/>
        </w:rPr>
        <w:t>两侧回采巷</w:t>
      </w:r>
      <w:r>
        <w:rPr>
          <w:spacing w:val="3"/>
          <w:w w:val="105"/>
        </w:rPr>
        <w:t>道及其外侧如下范围内的煤层</w:t>
      </w:r>
      <w:r>
        <w:rPr>
          <w:rFonts w:hint="eastAsia" w:ascii="MS UI Gothic" w:eastAsia="MS UI Gothic"/>
          <w:spacing w:val="-32"/>
          <w:w w:val="230"/>
        </w:rPr>
        <w:t xml:space="preserve">: </w:t>
      </w:r>
      <w:r>
        <w:rPr>
          <w:spacing w:val="3"/>
          <w:w w:val="105"/>
        </w:rPr>
        <w:t>倾斜</w:t>
      </w:r>
      <w:r>
        <w:rPr>
          <w:rFonts w:hint="eastAsia" w:ascii="MS UI Gothic" w:eastAsia="MS UI Gothic"/>
          <w:spacing w:val="14"/>
          <w:w w:val="80"/>
        </w:rPr>
        <w:t xml:space="preserve">、 </w:t>
      </w:r>
      <w:r>
        <w:rPr>
          <w:w w:val="105"/>
        </w:rPr>
        <w:t>急</w:t>
      </w:r>
      <w:r>
        <w:rPr>
          <w:spacing w:val="11"/>
        </w:rPr>
        <w:t xml:space="preserve">倾斜煤层巷道上帮轮廓线外至少 </w:t>
      </w:r>
      <w:r>
        <w:rPr>
          <w:rFonts w:hint="eastAsia" w:ascii="MS UI Gothic" w:eastAsia="MS UI Gothic"/>
          <w:spacing w:val="2"/>
          <w:w w:val="80"/>
        </w:rPr>
        <w:t xml:space="preserve">２０ </w:t>
      </w:r>
      <w:r>
        <w:rPr>
          <w:rFonts w:hint="eastAsia" w:ascii="MS UI Gothic" w:eastAsia="MS UI Gothic"/>
          <w:spacing w:val="4"/>
          <w:w w:val="80"/>
        </w:rPr>
        <w:t>ｍ</w:t>
      </w:r>
      <w:r>
        <w:rPr>
          <w:rFonts w:hint="eastAsia" w:ascii="MS UI Gothic" w:eastAsia="MS UI Gothic"/>
          <w:spacing w:val="-11"/>
          <w:w w:val="80"/>
        </w:rPr>
        <w:t>ꎬ</w:t>
      </w:r>
      <w:r>
        <w:rPr>
          <w:spacing w:val="-8"/>
          <w:w w:val="105"/>
        </w:rPr>
        <w:t xml:space="preserve">下帮至少 </w:t>
      </w:r>
      <w:r>
        <w:rPr>
          <w:rFonts w:hint="eastAsia" w:ascii="MS UI Gothic" w:eastAsia="MS UI Gothic"/>
          <w:spacing w:val="-1"/>
          <w:w w:val="80"/>
        </w:rPr>
        <w:t xml:space="preserve">１０ </w:t>
      </w:r>
      <w:r>
        <w:rPr>
          <w:rFonts w:hint="eastAsia" w:ascii="MS UI Gothic" w:eastAsia="MS UI Gothic"/>
          <w:spacing w:val="4"/>
          <w:w w:val="80"/>
        </w:rPr>
        <w:t>ｍ</w:t>
      </w:r>
      <w:r>
        <w:rPr>
          <w:rFonts w:hint="eastAsia" w:ascii="MS UI Gothic" w:eastAsia="MS UI Gothic"/>
          <w:spacing w:val="5"/>
          <w:w w:val="80"/>
        </w:rPr>
        <w:t xml:space="preserve">ꎻ </w:t>
      </w:r>
      <w:r>
        <w:rPr>
          <w:spacing w:val="11"/>
          <w:w w:val="105"/>
        </w:rPr>
        <w:t>其他煤层为巷道两侧轮</w:t>
      </w:r>
      <w:r>
        <w:rPr>
          <w:spacing w:val="-3"/>
          <w:w w:val="105"/>
        </w:rPr>
        <w:t xml:space="preserve">廓线外至少各 </w:t>
      </w:r>
      <w:r>
        <w:rPr>
          <w:rFonts w:hint="eastAsia" w:ascii="MS UI Gothic" w:eastAsia="MS UI Gothic"/>
          <w:spacing w:val="-1"/>
          <w:w w:val="80"/>
        </w:rPr>
        <w:t xml:space="preserve">１５ </w:t>
      </w:r>
      <w:r>
        <w:rPr>
          <w:rFonts w:hint="eastAsia" w:ascii="MS UI Gothic" w:eastAsia="MS UI Gothic"/>
          <w:spacing w:val="4"/>
          <w:w w:val="80"/>
        </w:rPr>
        <w:t>ｍ</w:t>
      </w:r>
      <w:r>
        <w:rPr>
          <w:rFonts w:hint="eastAsia" w:ascii="MS UI Gothic" w:eastAsia="MS UI Gothic"/>
          <w:spacing w:val="5"/>
          <w:w w:val="80"/>
        </w:rPr>
        <w:t xml:space="preserve">ꎮ </w:t>
      </w:r>
      <w:r>
        <w:rPr>
          <w:spacing w:val="11"/>
          <w:w w:val="105"/>
        </w:rPr>
        <w:t>以上所述的钻孔控</w:t>
      </w:r>
      <w:r>
        <w:rPr>
          <w:spacing w:val="-3"/>
          <w:w w:val="105"/>
        </w:rPr>
        <w:t xml:space="preserve">制范围均为沿煤层层面方向 </w:t>
      </w:r>
      <w:r>
        <w:rPr>
          <w:rFonts w:hint="eastAsia" w:ascii="MS UI Gothic" w:eastAsia="MS UI Gothic"/>
          <w:spacing w:val="-38"/>
          <w:w w:val="150"/>
        </w:rPr>
        <w:t xml:space="preserve">( </w:t>
      </w:r>
      <w:r>
        <w:rPr>
          <w:spacing w:val="3"/>
          <w:w w:val="105"/>
        </w:rPr>
        <w:t>以下同</w:t>
      </w:r>
      <w:r>
        <w:rPr>
          <w:rFonts w:hint="eastAsia" w:ascii="MS UI Gothic" w:eastAsia="MS UI Gothic"/>
          <w:spacing w:val="-39"/>
          <w:w w:val="150"/>
        </w:rPr>
        <w:t xml:space="preserve">) </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穿层钻孔预抽煤巷条带煤层瓦</w:t>
      </w:r>
      <w:r>
        <w:t>斯区域防突措施的钻孔应当控制整条煤层巷道及其两侧一定范围内的煤层</w:t>
      </w:r>
      <w:r>
        <w:rPr>
          <w:rFonts w:hint="eastAsia" w:ascii="MS UI Gothic" w:eastAsia="MS UI Gothic"/>
          <w:w w:val="80"/>
        </w:rPr>
        <w:t xml:space="preserve">ꎮ </w:t>
      </w:r>
      <w:r>
        <w:t>该范围</w:t>
      </w:r>
      <w:r>
        <w:rPr>
          <w:w w:val="105"/>
        </w:rPr>
        <w:t xml:space="preserve">与 </w:t>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中回采巷道外侧的要求相同</w:t>
      </w:r>
      <w:r>
        <w:rPr>
          <w:rFonts w:hint="eastAsia" w:ascii="MS UI Gothic" w:eastAsia="MS UI Gothic"/>
          <w:w w:val="80"/>
        </w:rPr>
        <w:t>ꎮ</w:t>
      </w:r>
    </w:p>
    <w:p>
      <w:pPr>
        <w:pStyle w:val="6"/>
        <w:spacing w:line="295" w:lineRule="auto"/>
        <w:ind w:right="38"/>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 xml:space="preserve">穿层钻孔预抽井巷 </w:t>
      </w:r>
      <w:r>
        <w:rPr>
          <w:rFonts w:hint="eastAsia" w:ascii="MS UI Gothic" w:eastAsia="MS UI Gothic"/>
          <w:w w:val="150"/>
        </w:rPr>
        <w:t xml:space="preserve">( </w:t>
      </w:r>
      <w:r>
        <w:rPr>
          <w:w w:val="105"/>
        </w:rPr>
        <w:t>含石门</w:t>
      </w:r>
      <w:r>
        <w:rPr>
          <w:rFonts w:hint="eastAsia" w:ascii="MS UI Gothic" w:eastAsia="MS UI Gothic"/>
          <w:w w:val="80"/>
        </w:rPr>
        <w:t>、</w:t>
      </w:r>
      <w:r>
        <w:rPr>
          <w:w w:val="105"/>
        </w:rPr>
        <w:t>立井</w:t>
      </w:r>
      <w:r>
        <w:rPr>
          <w:rFonts w:hint="eastAsia" w:ascii="MS UI Gothic" w:eastAsia="MS UI Gothic"/>
          <w:w w:val="80"/>
        </w:rPr>
        <w:t xml:space="preserve">、 </w:t>
      </w:r>
      <w:r>
        <w:rPr>
          <w:w w:val="105"/>
        </w:rPr>
        <w:t>斜井</w:t>
      </w:r>
      <w:r>
        <w:rPr>
          <w:rFonts w:hint="eastAsia" w:ascii="MS UI Gothic" w:eastAsia="MS UI Gothic"/>
          <w:w w:val="80"/>
        </w:rPr>
        <w:t xml:space="preserve">、 </w:t>
      </w:r>
      <w:r>
        <w:rPr>
          <w:w w:val="105"/>
        </w:rPr>
        <w:t>平硐</w:t>
      </w:r>
      <w:r>
        <w:rPr>
          <w:rFonts w:hint="eastAsia" w:ascii="MS UI Gothic" w:eastAsia="MS UI Gothic"/>
          <w:w w:val="150"/>
        </w:rPr>
        <w:t xml:space="preserve">) </w:t>
      </w:r>
      <w:r>
        <w:rPr>
          <w:w w:val="105"/>
        </w:rPr>
        <w:t>揭煤区域煤层瓦斯</w:t>
      </w:r>
      <w:r>
        <w:t>时</w:t>
      </w:r>
      <w:r>
        <w:rPr>
          <w:rFonts w:hint="eastAsia" w:ascii="MS UI Gothic" w:eastAsia="MS UI Gothic"/>
          <w:w w:val="80"/>
        </w:rPr>
        <w:t xml:space="preserve">ꎬ </w:t>
      </w:r>
      <w:r>
        <w:t>应当控制井巷及其外侧一定范围内的</w:t>
      </w:r>
    </w:p>
    <w:p>
      <w:pPr>
        <w:pStyle w:val="6"/>
        <w:spacing w:before="123" w:line="295" w:lineRule="auto"/>
        <w:ind w:left="130" w:right="442" w:firstLine="0"/>
        <w:rPr>
          <w:rFonts w:hint="eastAsia" w:ascii="MS UI Gothic" w:eastAsia="MS UI Gothic"/>
        </w:rPr>
      </w:pPr>
      <w:r>
        <w:br w:type="column"/>
      </w:r>
      <w:r>
        <w:rPr>
          <w:spacing w:val="3"/>
        </w:rPr>
        <w:t>煤层</w:t>
      </w:r>
      <w:r>
        <w:rPr>
          <w:rFonts w:hint="eastAsia" w:ascii="MS UI Gothic" w:eastAsia="MS UI Gothic"/>
          <w:spacing w:val="20"/>
          <w:w w:val="80"/>
        </w:rPr>
        <w:t xml:space="preserve">ꎬ </w:t>
      </w:r>
      <w:r>
        <w:rPr>
          <w:spacing w:val="2"/>
        </w:rPr>
        <w:t>并在揭煤工作面距煤层最小法向距</w:t>
      </w:r>
      <w:r>
        <w:rPr>
          <w:spacing w:val="-33"/>
          <w:w w:val="105"/>
        </w:rPr>
        <w:t xml:space="preserve">离 </w:t>
      </w:r>
      <w:r>
        <w:rPr>
          <w:rFonts w:hint="eastAsia" w:ascii="MS UI Gothic" w:eastAsia="MS UI Gothic"/>
          <w:spacing w:val="4"/>
          <w:w w:val="80"/>
        </w:rPr>
        <w:t xml:space="preserve">７ </w:t>
      </w:r>
      <w:r>
        <w:rPr>
          <w:rFonts w:hint="eastAsia" w:ascii="MS UI Gothic" w:eastAsia="MS UI Gothic"/>
          <w:w w:val="80"/>
        </w:rPr>
        <w:t xml:space="preserve">ｍ </w:t>
      </w:r>
      <w:r>
        <w:rPr>
          <w:spacing w:val="-9"/>
          <w:w w:val="105"/>
        </w:rPr>
        <w:t xml:space="preserve">以前实施 </w:t>
      </w:r>
      <w:r>
        <w:rPr>
          <w:rFonts w:hint="eastAsia" w:ascii="MS UI Gothic" w:eastAsia="MS UI Gothic"/>
          <w:spacing w:val="-38"/>
          <w:w w:val="150"/>
        </w:rPr>
        <w:t xml:space="preserve">( </w:t>
      </w:r>
      <w:r>
        <w:rPr>
          <w:spacing w:val="2"/>
          <w:w w:val="105"/>
        </w:rPr>
        <w:t>在构造破坏带应当适当</w:t>
      </w:r>
      <w:r>
        <w:rPr>
          <w:spacing w:val="3"/>
          <w:w w:val="105"/>
        </w:rPr>
        <w:t>加大距离</w:t>
      </w:r>
      <w:r>
        <w:rPr>
          <w:rFonts w:hint="eastAsia" w:ascii="MS UI Gothic" w:eastAsia="MS UI Gothic"/>
          <w:spacing w:val="-36"/>
          <w:w w:val="150"/>
        </w:rPr>
        <w:t xml:space="preserve">) </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w w:val="145"/>
        </w:rPr>
        <w:t xml:space="preserve">( </w:t>
      </w:r>
      <w:r>
        <w:rPr>
          <w:w w:val="105"/>
        </w:rPr>
        <w:t>四</w:t>
      </w:r>
      <w:r>
        <w:rPr>
          <w:rFonts w:hint="eastAsia" w:ascii="MS UI Gothic" w:eastAsia="MS UI Gothic"/>
          <w:w w:val="145"/>
        </w:rPr>
        <w:t xml:space="preserve">) </w:t>
      </w:r>
      <w:r>
        <w:rPr>
          <w:w w:val="105"/>
        </w:rPr>
        <w:t>顺层钻孔预抽煤巷条带煤层瓦</w:t>
      </w:r>
      <w:r>
        <w:t>斯时</w:t>
      </w:r>
      <w:r>
        <w:rPr>
          <w:rFonts w:hint="eastAsia" w:ascii="MS UI Gothic" w:eastAsia="MS UI Gothic"/>
          <w:w w:val="85"/>
        </w:rPr>
        <w:t xml:space="preserve">ꎬ </w:t>
      </w:r>
      <w:r>
        <w:t>应当控制的煤巷条带前方长度不小</w:t>
      </w:r>
      <w:r>
        <w:rPr>
          <w:w w:val="105"/>
        </w:rPr>
        <w:t xml:space="preserve">于 </w:t>
      </w:r>
      <w:r>
        <w:rPr>
          <w:rFonts w:hint="eastAsia" w:ascii="MS UI Gothic" w:eastAsia="MS UI Gothic"/>
          <w:w w:val="85"/>
        </w:rPr>
        <w:t xml:space="preserve">６０ ｍ </w:t>
      </w:r>
      <w:r>
        <w:rPr>
          <w:w w:val="105"/>
        </w:rPr>
        <w:t>和煤层两侧一定范围</w:t>
      </w:r>
      <w:r>
        <w:rPr>
          <w:rFonts w:hint="eastAsia" w:ascii="MS UI Gothic" w:eastAsia="MS UI Gothic"/>
          <w:w w:val="85"/>
        </w:rPr>
        <w:t xml:space="preserve">ꎬ </w:t>
      </w:r>
      <w:r>
        <w:rPr>
          <w:w w:val="105"/>
        </w:rPr>
        <w:t>该范围与</w:t>
      </w:r>
      <w:r>
        <w:rPr>
          <w:rFonts w:hint="eastAsia" w:ascii="MS UI Gothic" w:eastAsia="MS UI Gothic"/>
          <w:w w:val="145"/>
        </w:rPr>
        <w:t xml:space="preserve">( </w:t>
      </w:r>
      <w:r>
        <w:rPr>
          <w:w w:val="105"/>
        </w:rPr>
        <w:t>一</w:t>
      </w:r>
      <w:r>
        <w:rPr>
          <w:rFonts w:hint="eastAsia" w:ascii="MS UI Gothic" w:eastAsia="MS UI Gothic"/>
          <w:w w:val="145"/>
        </w:rPr>
        <w:t xml:space="preserve">) </w:t>
      </w:r>
      <w:r>
        <w:rPr>
          <w:w w:val="105"/>
        </w:rPr>
        <w:t>中回采巷道外侧的要求相同</w:t>
      </w:r>
      <w:r>
        <w:rPr>
          <w:rFonts w:hint="eastAsia" w:ascii="MS UI Gothic" w:eastAsia="MS UI Gothic"/>
          <w:w w:val="85"/>
        </w:rPr>
        <w:t>ꎮ</w:t>
      </w:r>
    </w:p>
    <w:p>
      <w:pPr>
        <w:pStyle w:val="6"/>
        <w:spacing w:line="295" w:lineRule="auto"/>
        <w:ind w:left="130" w:right="442"/>
        <w:rPr>
          <w:rFonts w:hint="eastAsia" w:ascii="MS UI Gothic" w:eastAsia="MS UI Gothic"/>
        </w:rPr>
      </w:pPr>
      <w:r>
        <w:rPr>
          <w:rFonts w:hint="eastAsia" w:ascii="MS UI Gothic" w:eastAsia="MS UI Gothic"/>
          <w:w w:val="145"/>
        </w:rPr>
        <w:t xml:space="preserve">( </w:t>
      </w:r>
      <w:r>
        <w:rPr>
          <w:w w:val="105"/>
        </w:rPr>
        <w:t>五</w:t>
      </w:r>
      <w:r>
        <w:rPr>
          <w:rFonts w:hint="eastAsia" w:ascii="MS UI Gothic" w:eastAsia="MS UI Gothic"/>
          <w:w w:val="145"/>
        </w:rPr>
        <w:t xml:space="preserve">) </w:t>
      </w:r>
      <w:r>
        <w:rPr>
          <w:w w:val="105"/>
        </w:rPr>
        <w:t>当煤巷掘进和采煤工作面在预</w:t>
      </w:r>
      <w:r>
        <w:t>抽防突效果有效的区域内作业时</w:t>
      </w:r>
      <w:r>
        <w:rPr>
          <w:rFonts w:hint="eastAsia" w:ascii="MS UI Gothic" w:eastAsia="MS UI Gothic"/>
          <w:w w:val="80"/>
        </w:rPr>
        <w:t xml:space="preserve">ꎬ </w:t>
      </w:r>
      <w:r>
        <w:t>工作面距未预抽或者预抽防突效果无效范围的前</w:t>
      </w:r>
      <w:r>
        <w:rPr>
          <w:w w:val="105"/>
        </w:rPr>
        <w:t xml:space="preserve">方边界不得小于 </w:t>
      </w:r>
      <w:r>
        <w:rPr>
          <w:rFonts w:hint="eastAsia" w:ascii="MS UI Gothic" w:eastAsia="MS UI Gothic"/>
          <w:w w:val="80"/>
        </w:rPr>
        <w:t>２０ ｍꎮ</w:t>
      </w:r>
    </w:p>
    <w:p>
      <w:pPr>
        <w:pStyle w:val="6"/>
        <w:spacing w:line="295" w:lineRule="auto"/>
        <w:ind w:right="442" w:firstLine="425"/>
        <w:rPr>
          <w:rFonts w:hint="eastAsia" w:ascii="MS UI Gothic" w:eastAsia="MS UI Gothic"/>
        </w:rPr>
      </w:pPr>
      <w:r>
        <w:rPr>
          <w:rFonts w:hint="eastAsia" w:ascii="MS UI Gothic" w:eastAsia="MS UI Gothic"/>
          <w:w w:val="145"/>
        </w:rPr>
        <w:t xml:space="preserve">( </w:t>
      </w:r>
      <w:r>
        <w:t>六</w:t>
      </w:r>
      <w:r>
        <w:rPr>
          <w:rFonts w:hint="eastAsia" w:ascii="MS UI Gothic" w:eastAsia="MS UI Gothic"/>
          <w:w w:val="145"/>
        </w:rPr>
        <w:t xml:space="preserve">) </w:t>
      </w:r>
      <w:r>
        <w:t>厚煤层分层开采时</w:t>
      </w:r>
      <w:r>
        <w:rPr>
          <w:rFonts w:hint="eastAsia" w:ascii="MS UI Gothic" w:eastAsia="MS UI Gothic"/>
          <w:w w:val="80"/>
        </w:rPr>
        <w:t xml:space="preserve">ꎬ </w:t>
      </w:r>
      <w:r>
        <w:t>预抽钻孔应当控制开采分层及其上部法向距离至少</w:t>
      </w:r>
      <w:r>
        <w:rPr>
          <w:rFonts w:hint="eastAsia" w:ascii="MS UI Gothic" w:eastAsia="MS UI Gothic"/>
          <w:w w:val="80"/>
        </w:rPr>
        <w:t xml:space="preserve">２０ ｍ、 </w:t>
      </w:r>
      <w:r>
        <w:t xml:space="preserve">下部 </w:t>
      </w:r>
      <w:r>
        <w:rPr>
          <w:rFonts w:hint="eastAsia" w:ascii="MS UI Gothic" w:eastAsia="MS UI Gothic"/>
          <w:w w:val="80"/>
        </w:rPr>
        <w:t xml:space="preserve">１０ ｍ </w:t>
      </w:r>
      <w:r>
        <w:t>范围内的煤层</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spacing w:val="-38"/>
          <w:w w:val="150"/>
        </w:rPr>
        <w:t xml:space="preserve">( </w:t>
      </w:r>
      <w:r>
        <w:rPr>
          <w:spacing w:val="3"/>
          <w:w w:val="105"/>
        </w:rPr>
        <w:t>七</w:t>
      </w:r>
      <w:r>
        <w:rPr>
          <w:rFonts w:hint="eastAsia" w:ascii="MS UI Gothic" w:eastAsia="MS UI Gothic"/>
          <w:spacing w:val="4"/>
          <w:w w:val="150"/>
        </w:rPr>
        <w:t xml:space="preserve">) </w:t>
      </w:r>
      <w:r>
        <w:rPr>
          <w:spacing w:val="5"/>
          <w:w w:val="105"/>
        </w:rPr>
        <w:t>应当采取措施确保预抽瓦斯钻</w:t>
      </w:r>
      <w:r>
        <w:rPr>
          <w:spacing w:val="3"/>
          <w:w w:val="105"/>
        </w:rPr>
        <w:t>孔能够按设计参数控制整个预抽区域</w:t>
      </w:r>
      <w:r>
        <w:rPr>
          <w:rFonts w:hint="eastAsia" w:ascii="MS UI Gothic" w:eastAsia="MS UI Gothic"/>
          <w:w w:val="80"/>
        </w:rPr>
        <w:t>ꎮ</w:t>
      </w:r>
    </w:p>
    <w:p>
      <w:pPr>
        <w:pStyle w:val="6"/>
        <w:spacing w:line="295" w:lineRule="auto"/>
        <w:ind w:left="130" w:right="442"/>
        <w:rPr>
          <w:rFonts w:hint="eastAsia" w:ascii="MS UI Gothic" w:eastAsia="MS UI Gothic"/>
        </w:rPr>
      </w:pPr>
      <w:r>
        <w:rPr>
          <w:spacing w:val="2"/>
          <w:w w:val="105"/>
        </w:rPr>
        <w:t>第二百一十条 有下列条件之一的突</w:t>
      </w:r>
      <w:r>
        <w:rPr>
          <w:spacing w:val="3"/>
        </w:rPr>
        <w:t>出煤层</w:t>
      </w:r>
      <w:r>
        <w:rPr>
          <w:rFonts w:hint="eastAsia" w:ascii="MS UI Gothic" w:eastAsia="MS UI Gothic"/>
          <w:spacing w:val="20"/>
          <w:w w:val="80"/>
        </w:rPr>
        <w:t xml:space="preserve">ꎬ </w:t>
      </w:r>
      <w:r>
        <w:rPr>
          <w:spacing w:val="2"/>
        </w:rPr>
        <w:t>不得将在本巷道施工顺煤层钻孔</w:t>
      </w:r>
      <w:r>
        <w:rPr>
          <w:spacing w:val="3"/>
          <w:w w:val="105"/>
        </w:rPr>
        <w:t>预抽煤巷条带瓦斯作为区域防突措施</w:t>
      </w:r>
      <w:r>
        <w:rPr>
          <w:rFonts w:hint="eastAsia" w:ascii="MS UI Gothic" w:eastAsia="MS UI Gothic"/>
          <w:w w:val="235"/>
        </w:rPr>
        <w:t>:</w:t>
      </w:r>
    </w:p>
    <w:p>
      <w:pPr>
        <w:pStyle w:val="6"/>
        <w:spacing w:line="254" w:lineRule="exact"/>
        <w:ind w:left="549"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新建矿井的突出煤层</w:t>
      </w:r>
      <w:r>
        <w:rPr>
          <w:rFonts w:hint="eastAsia" w:ascii="MS UI Gothic" w:eastAsia="MS UI Gothic"/>
          <w:w w:val="80"/>
        </w:rPr>
        <w:t>ꎮ</w:t>
      </w:r>
    </w:p>
    <w:p>
      <w:pPr>
        <w:pStyle w:val="6"/>
        <w:spacing w:before="46"/>
        <w:ind w:left="549" w:firstLine="0"/>
        <w:jc w:val="left"/>
      </w:pPr>
      <w:r>
        <w:rPr>
          <w:rFonts w:hint="eastAsia" w:ascii="MS UI Gothic" w:eastAsia="MS UI Gothic"/>
          <w:w w:val="150"/>
        </w:rPr>
        <w:t xml:space="preserve">( </w:t>
      </w:r>
      <w:r>
        <w:rPr>
          <w:w w:val="115"/>
        </w:rPr>
        <w:t>二</w:t>
      </w:r>
      <w:r>
        <w:rPr>
          <w:rFonts w:hint="eastAsia" w:ascii="MS UI Gothic" w:eastAsia="MS UI Gothic"/>
          <w:w w:val="150"/>
        </w:rPr>
        <w:t xml:space="preserve">) </w:t>
      </w:r>
      <w:r>
        <w:rPr>
          <w:w w:val="115"/>
        </w:rPr>
        <w:t>历史上发生过突出强度大于</w:t>
      </w:r>
    </w:p>
    <w:p>
      <w:pPr>
        <w:pStyle w:val="6"/>
        <w:spacing w:before="58"/>
        <w:ind w:firstLine="0"/>
        <w:rPr>
          <w:rFonts w:hint="eastAsia" w:ascii="MS UI Gothic" w:eastAsia="MS UI Gothic"/>
        </w:rPr>
      </w:pPr>
      <w:r>
        <w:rPr>
          <w:rFonts w:hint="eastAsia" w:ascii="MS UI Gothic" w:eastAsia="MS UI Gothic"/>
          <w:w w:val="90"/>
        </w:rPr>
        <w:t xml:space="preserve">５００ ｔ </w:t>
      </w:r>
      <w:r>
        <w:rPr>
          <w:rFonts w:hint="eastAsia" w:ascii="MS UI Gothic" w:eastAsia="MS UI Gothic"/>
          <w:w w:val="75"/>
        </w:rPr>
        <w:t xml:space="preserve">/ </w:t>
      </w:r>
      <w:r>
        <w:rPr>
          <w:w w:val="90"/>
        </w:rPr>
        <w:t>次的</w:t>
      </w:r>
      <w:r>
        <w:rPr>
          <w:rFonts w:hint="eastAsia" w:ascii="MS UI Gothic" w:eastAsia="MS UI Gothic"/>
          <w:w w:val="75"/>
        </w:rPr>
        <w:t>ꎮ</w:t>
      </w:r>
    </w:p>
    <w:p>
      <w:pPr>
        <w:pStyle w:val="6"/>
        <w:spacing w:before="58" w:line="295" w:lineRule="auto"/>
        <w:ind w:right="442" w:firstLine="425"/>
        <w:rPr>
          <w:rFonts w:hint="eastAsia" w:ascii="MS UI Gothic" w:eastAsia="MS UI Gothic"/>
        </w:rPr>
      </w:pPr>
      <w:r>
        <w:rPr>
          <w:rFonts w:hint="eastAsia" w:ascii="MS UI Gothic" w:eastAsia="MS UI Gothic"/>
          <w:spacing w:val="-26"/>
          <w:w w:val="140"/>
        </w:rPr>
        <w:t xml:space="preserve">( </w:t>
      </w:r>
      <w:r>
        <w:rPr>
          <w:spacing w:val="3"/>
        </w:rPr>
        <w:t>三</w:t>
      </w:r>
      <w:r>
        <w:rPr>
          <w:rFonts w:hint="eastAsia" w:ascii="MS UI Gothic" w:eastAsia="MS UI Gothic"/>
          <w:spacing w:val="20"/>
          <w:w w:val="140"/>
        </w:rPr>
        <w:t xml:space="preserve">) </w:t>
      </w:r>
      <w:r>
        <w:rPr>
          <w:spacing w:val="5"/>
        </w:rPr>
        <w:t>开采范围内煤层坚固性系数小</w:t>
      </w:r>
      <w:r>
        <w:rPr>
          <w:spacing w:val="-26"/>
        </w:rPr>
        <w:t xml:space="preserve">于 </w:t>
      </w:r>
      <w:r>
        <w:rPr>
          <w:rFonts w:hint="eastAsia" w:ascii="MS UI Gothic" w:eastAsia="MS UI Gothic"/>
          <w:w w:val="85"/>
        </w:rPr>
        <w:t>０</w:t>
      </w:r>
      <w:r>
        <w:rPr>
          <w:rFonts w:hint="eastAsia" w:ascii="MS UI Gothic" w:eastAsia="MS UI Gothic"/>
          <w:spacing w:val="-3"/>
          <w:w w:val="85"/>
        </w:rPr>
        <w:t xml:space="preserve"> ３ </w:t>
      </w:r>
      <w:r>
        <w:rPr>
          <w:spacing w:val="3"/>
        </w:rPr>
        <w:t>的</w:t>
      </w:r>
      <w:r>
        <w:rPr>
          <w:rFonts w:hint="eastAsia" w:ascii="MS UI Gothic" w:eastAsia="MS UI Gothic"/>
          <w:spacing w:val="21"/>
          <w:w w:val="85"/>
        </w:rPr>
        <w:t xml:space="preserve">ꎻ </w:t>
      </w:r>
      <w:r>
        <w:rPr>
          <w:spacing w:val="4"/>
        </w:rPr>
        <w:t xml:space="preserve">或者煤层坚固性系数为 </w:t>
      </w:r>
      <w:r>
        <w:rPr>
          <w:rFonts w:hint="eastAsia" w:ascii="MS UI Gothic" w:eastAsia="MS UI Gothic"/>
          <w:w w:val="85"/>
        </w:rPr>
        <w:t>０</w:t>
      </w:r>
      <w:r>
        <w:rPr>
          <w:rFonts w:hint="eastAsia" w:ascii="MS UI Gothic" w:eastAsia="MS UI Gothic"/>
          <w:spacing w:val="-9"/>
          <w:w w:val="85"/>
        </w:rPr>
        <w:t xml:space="preserve"> ３ </w:t>
      </w:r>
      <w:r>
        <w:rPr>
          <w:rFonts w:hint="eastAsia" w:ascii="MS UI Gothic" w:eastAsia="MS UI Gothic"/>
          <w:w w:val="140"/>
        </w:rPr>
        <w:t xml:space="preserve">~ </w:t>
      </w:r>
      <w:r>
        <w:rPr>
          <w:rFonts w:hint="eastAsia" w:ascii="MS UI Gothic" w:eastAsia="MS UI Gothic"/>
          <w:w w:val="85"/>
        </w:rPr>
        <w:t>０</w:t>
      </w:r>
      <w:r>
        <w:rPr>
          <w:rFonts w:hint="eastAsia" w:ascii="MS UI Gothic" w:eastAsia="MS UI Gothic"/>
          <w:spacing w:val="3"/>
          <w:w w:val="85"/>
        </w:rPr>
        <w:t xml:space="preserve"> ５ꎬ </w:t>
      </w:r>
      <w:r>
        <w:rPr>
          <w:spacing w:val="-7"/>
        </w:rPr>
        <w:t xml:space="preserve">且埋深大于 </w:t>
      </w:r>
      <w:r>
        <w:rPr>
          <w:rFonts w:hint="eastAsia" w:ascii="MS UI Gothic" w:eastAsia="MS UI Gothic"/>
          <w:spacing w:val="2"/>
          <w:w w:val="85"/>
        </w:rPr>
        <w:t xml:space="preserve">５００ </w:t>
      </w:r>
      <w:r>
        <w:rPr>
          <w:rFonts w:hint="eastAsia" w:ascii="MS UI Gothic" w:eastAsia="MS UI Gothic"/>
          <w:w w:val="85"/>
        </w:rPr>
        <w:t xml:space="preserve">ｍ </w:t>
      </w:r>
      <w:r>
        <w:rPr>
          <w:spacing w:val="3"/>
        </w:rPr>
        <w:t>的</w:t>
      </w:r>
      <w:r>
        <w:rPr>
          <w:rFonts w:hint="eastAsia" w:ascii="MS UI Gothic" w:eastAsia="MS UI Gothic"/>
          <w:spacing w:val="15"/>
          <w:w w:val="85"/>
        </w:rPr>
        <w:t xml:space="preserve">ꎻ </w:t>
      </w:r>
      <w:r>
        <w:rPr>
          <w:spacing w:val="10"/>
        </w:rPr>
        <w:t>或者煤层坚</w:t>
      </w:r>
      <w:r>
        <w:rPr>
          <w:spacing w:val="-9"/>
        </w:rPr>
        <w:t xml:space="preserve">固性系数为 </w:t>
      </w:r>
      <w:r>
        <w:rPr>
          <w:rFonts w:hint="eastAsia" w:ascii="MS UI Gothic" w:eastAsia="MS UI Gothic"/>
          <w:w w:val="85"/>
        </w:rPr>
        <w:t>０</w:t>
      </w:r>
      <w:r>
        <w:rPr>
          <w:rFonts w:hint="eastAsia" w:ascii="MS UI Gothic" w:eastAsia="MS UI Gothic"/>
          <w:spacing w:val="-15"/>
          <w:w w:val="85"/>
        </w:rPr>
        <w:t xml:space="preserve"> ５ </w:t>
      </w:r>
      <w:r>
        <w:rPr>
          <w:rFonts w:hint="eastAsia" w:ascii="MS UI Gothic" w:eastAsia="MS UI Gothic"/>
          <w:w w:val="140"/>
        </w:rPr>
        <w:t>~</w:t>
      </w:r>
      <w:r>
        <w:rPr>
          <w:rFonts w:hint="eastAsia" w:ascii="MS UI Gothic" w:eastAsia="MS UI Gothic"/>
          <w:spacing w:val="-63"/>
          <w:w w:val="140"/>
        </w:rPr>
        <w:t xml:space="preserve"> </w:t>
      </w:r>
      <w:r>
        <w:rPr>
          <w:rFonts w:hint="eastAsia" w:ascii="MS UI Gothic" w:eastAsia="MS UI Gothic"/>
          <w:w w:val="85"/>
        </w:rPr>
        <w:t>０</w:t>
      </w:r>
      <w:r>
        <w:rPr>
          <w:rFonts w:hint="eastAsia" w:ascii="MS UI Gothic" w:eastAsia="MS UI Gothic"/>
          <w:spacing w:val="5"/>
          <w:w w:val="85"/>
        </w:rPr>
        <w:t xml:space="preserve"> ８ꎬ </w:t>
      </w:r>
      <w:r>
        <w:rPr>
          <w:spacing w:val="-4"/>
        </w:rPr>
        <w:t xml:space="preserve">且埋深大于 </w:t>
      </w:r>
      <w:r>
        <w:rPr>
          <w:rFonts w:hint="eastAsia" w:ascii="MS UI Gothic" w:eastAsia="MS UI Gothic"/>
          <w:spacing w:val="2"/>
          <w:w w:val="85"/>
        </w:rPr>
        <w:t xml:space="preserve">６００ </w:t>
      </w:r>
      <w:r>
        <w:rPr>
          <w:rFonts w:hint="eastAsia" w:ascii="MS UI Gothic" w:eastAsia="MS UI Gothic"/>
          <w:w w:val="85"/>
        </w:rPr>
        <w:t xml:space="preserve">ｍ </w:t>
      </w:r>
      <w:r>
        <w:rPr>
          <w:spacing w:val="3"/>
        </w:rPr>
        <w:t>的</w:t>
      </w:r>
      <w:r>
        <w:rPr>
          <w:rFonts w:hint="eastAsia" w:ascii="MS UI Gothic" w:eastAsia="MS UI Gothic"/>
          <w:spacing w:val="14"/>
          <w:w w:val="85"/>
        </w:rPr>
        <w:t xml:space="preserve">ꎻ </w:t>
      </w:r>
      <w:r>
        <w:rPr>
          <w:spacing w:val="-6"/>
        </w:rPr>
        <w:t xml:space="preserve">或者煤层埋深大于 </w:t>
      </w:r>
      <w:r>
        <w:rPr>
          <w:rFonts w:hint="eastAsia" w:ascii="MS UI Gothic" w:eastAsia="MS UI Gothic"/>
          <w:spacing w:val="-1"/>
          <w:w w:val="85"/>
        </w:rPr>
        <w:t xml:space="preserve">７００ </w:t>
      </w:r>
      <w:r>
        <w:rPr>
          <w:rFonts w:hint="eastAsia" w:ascii="MS UI Gothic" w:eastAsia="MS UI Gothic"/>
          <w:w w:val="85"/>
        </w:rPr>
        <w:t xml:space="preserve">ｍ </w:t>
      </w:r>
      <w:r>
        <w:rPr>
          <w:spacing w:val="3"/>
        </w:rPr>
        <w:t>的</w:t>
      </w:r>
      <w:r>
        <w:rPr>
          <w:rFonts w:hint="eastAsia" w:ascii="MS UI Gothic" w:eastAsia="MS UI Gothic"/>
          <w:spacing w:val="13"/>
          <w:w w:val="85"/>
        </w:rPr>
        <w:t xml:space="preserve">ꎻ </w:t>
      </w:r>
      <w:r>
        <w:rPr>
          <w:spacing w:val="2"/>
        </w:rPr>
        <w:t>或者煤</w:t>
      </w:r>
      <w:r>
        <w:rPr>
          <w:spacing w:val="3"/>
        </w:rPr>
        <w:t>巷条带位于开采应力集中区的</w:t>
      </w:r>
      <w:r>
        <w:rPr>
          <w:rFonts w:hint="eastAsia" w:ascii="MS UI Gothic" w:eastAsia="MS UI Gothic"/>
          <w:w w:val="85"/>
        </w:rPr>
        <w:t>ꎮ</w:t>
      </w:r>
    </w:p>
    <w:p>
      <w:pPr>
        <w:pStyle w:val="6"/>
        <w:spacing w:line="295" w:lineRule="auto"/>
        <w:ind w:left="130" w:right="442"/>
        <w:rPr>
          <w:rFonts w:hint="eastAsia" w:ascii="MS UI Gothic" w:eastAsia="MS UI Gothic"/>
        </w:rPr>
      </w:pPr>
      <w:r>
        <w:t xml:space="preserve">第二百一十一条 保护层的开采厚度不大于 </w:t>
      </w:r>
      <w:r>
        <w:rPr>
          <w:rFonts w:hint="eastAsia" w:ascii="MS UI Gothic" w:eastAsia="MS UI Gothic"/>
          <w:w w:val="85"/>
        </w:rPr>
        <w:t xml:space="preserve">０ ５ ｍ、 </w:t>
      </w:r>
      <w:r>
        <w:t xml:space="preserve">上保护层与突出煤层间距大于 </w:t>
      </w:r>
      <w:r>
        <w:rPr>
          <w:rFonts w:hint="eastAsia" w:ascii="MS UI Gothic" w:eastAsia="MS UI Gothic"/>
          <w:w w:val="85"/>
        </w:rPr>
        <w:t xml:space="preserve">５０ ｍ </w:t>
      </w:r>
      <w:r>
        <w:t xml:space="preserve">或者下保护层与突出煤层间距大于 </w:t>
      </w:r>
      <w:r>
        <w:rPr>
          <w:rFonts w:hint="eastAsia" w:ascii="MS UI Gothic" w:eastAsia="MS UI Gothic"/>
          <w:w w:val="85"/>
        </w:rPr>
        <w:t xml:space="preserve">８０ ｍ </w:t>
      </w:r>
      <w:r>
        <w:t>时</w:t>
      </w:r>
      <w:r>
        <w:rPr>
          <w:rFonts w:hint="eastAsia" w:ascii="MS UI Gothic" w:eastAsia="MS UI Gothic"/>
          <w:w w:val="85"/>
        </w:rPr>
        <w:t xml:space="preserve">ꎬ </w:t>
      </w:r>
      <w:r>
        <w:t>必须对每个被保护层工作面的保护效果进行检验</w:t>
      </w:r>
      <w:r>
        <w:rPr>
          <w:rFonts w:hint="eastAsia" w:ascii="MS UI Gothic" w:eastAsia="MS UI Gothic"/>
          <w:w w:val="85"/>
        </w:rPr>
        <w:t>ꎮ</w:t>
      </w:r>
    </w:p>
    <w:p>
      <w:pPr>
        <w:pStyle w:val="6"/>
        <w:spacing w:line="295" w:lineRule="auto"/>
        <w:ind w:left="130" w:right="440"/>
        <w:jc w:val="left"/>
        <w:rPr>
          <w:rFonts w:hint="eastAsia" w:ascii="MS UI Gothic" w:eastAsia="MS UI Gothic"/>
        </w:rPr>
      </w:pPr>
      <w:r>
        <w:t>采用预抽煤层瓦斯防突措施的区域</w:t>
      </w:r>
      <w:r>
        <w:rPr>
          <w:rFonts w:hint="eastAsia" w:ascii="MS UI Gothic" w:eastAsia="MS UI Gothic"/>
          <w:w w:val="80"/>
        </w:rPr>
        <w:t>ꎬ</w:t>
      </w:r>
      <w:r>
        <w:t>必须对区域防突措施效果进行检验</w:t>
      </w:r>
      <w:r>
        <w:rPr>
          <w:rFonts w:hint="eastAsia" w:ascii="MS UI Gothic" w:eastAsia="MS UI Gothic"/>
          <w:w w:val="80"/>
        </w:rPr>
        <w:t>ꎮ</w:t>
      </w:r>
    </w:p>
    <w:p>
      <w:pPr>
        <w:pStyle w:val="6"/>
        <w:spacing w:line="295" w:lineRule="auto"/>
        <w:ind w:left="130" w:right="442"/>
      </w:pPr>
      <w:r>
        <w:t>检验无效时</w:t>
      </w:r>
      <w:r>
        <w:rPr>
          <w:rFonts w:hint="eastAsia" w:ascii="MS UI Gothic" w:eastAsia="MS UI Gothic"/>
          <w:w w:val="85"/>
        </w:rPr>
        <w:t xml:space="preserve">ꎬ </w:t>
      </w:r>
      <w:r>
        <w:t>仍为突出危险区</w:t>
      </w:r>
      <w:r>
        <w:rPr>
          <w:rFonts w:hint="eastAsia" w:ascii="MS UI Gothic" w:eastAsia="MS UI Gothic"/>
          <w:w w:val="85"/>
        </w:rPr>
        <w:t xml:space="preserve">ꎮ </w:t>
      </w:r>
      <w:r>
        <w:t>检验有效时</w:t>
      </w:r>
      <w:r>
        <w:rPr>
          <w:rFonts w:hint="eastAsia" w:ascii="MS UI Gothic" w:eastAsia="MS UI Gothic"/>
          <w:w w:val="85"/>
        </w:rPr>
        <w:t xml:space="preserve">ꎬ </w:t>
      </w:r>
      <w:r>
        <w:t xml:space="preserve">无突出危险区的采掘工作面每推进 </w:t>
      </w:r>
      <w:r>
        <w:rPr>
          <w:rFonts w:hint="eastAsia" w:ascii="MS UI Gothic" w:eastAsia="MS UI Gothic"/>
          <w:w w:val="85"/>
        </w:rPr>
        <w:t xml:space="preserve">１０ </w:t>
      </w:r>
      <w:r>
        <w:rPr>
          <w:rFonts w:hint="eastAsia" w:ascii="MS UI Gothic" w:eastAsia="MS UI Gothic"/>
          <w:w w:val="115"/>
        </w:rPr>
        <w:t xml:space="preserve">~ </w:t>
      </w:r>
      <w:r>
        <w:rPr>
          <w:rFonts w:hint="eastAsia" w:ascii="MS UI Gothic" w:eastAsia="MS UI Gothic"/>
          <w:w w:val="85"/>
        </w:rPr>
        <w:t xml:space="preserve">５０ ｍ </w:t>
      </w:r>
      <w:r>
        <w:t xml:space="preserve">至少进行 </w:t>
      </w:r>
      <w:r>
        <w:rPr>
          <w:rFonts w:hint="eastAsia" w:ascii="MS UI Gothic" w:eastAsia="MS UI Gothic"/>
          <w:w w:val="85"/>
        </w:rPr>
        <w:t xml:space="preserve">２ </w:t>
      </w:r>
      <w:r>
        <w:t>次区域验证</w:t>
      </w:r>
      <w:r>
        <w:rPr>
          <w:rFonts w:hint="eastAsia" w:ascii="MS UI Gothic" w:eastAsia="MS UI Gothic"/>
          <w:w w:val="85"/>
        </w:rPr>
        <w:t xml:space="preserve">ꎬ </w:t>
      </w:r>
      <w:r>
        <w:t>并保留完整的工程设计</w:t>
      </w:r>
      <w:r>
        <w:rPr>
          <w:rFonts w:hint="eastAsia" w:ascii="MS UI Gothic" w:eastAsia="MS UI Gothic"/>
          <w:w w:val="85"/>
        </w:rPr>
        <w:t xml:space="preserve">、 </w:t>
      </w:r>
      <w:r>
        <w:t>施工和效果检验的</w:t>
      </w:r>
    </w:p>
    <w:p>
      <w:pPr>
        <w:spacing w:after="0" w:line="295" w:lineRule="auto"/>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２７１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39" o:spid="_x0000_s1839" o:spt="203" style="height:2.15pt;width:398.25pt;" coordsize="7965,43">
            <o:lock v:ext="edit"/>
            <v:line id="_x0000_s1840" o:spid="_x0000_s1840" o:spt="20" style="position:absolute;left:0;top:39;height:0;width:7965;" stroked="t" coordsize="21600,21600">
              <v:path arrowok="t"/>
              <v:fill focussize="0,0"/>
              <v:stroke weight="0.388031496062992pt" color="#231F20"/>
              <v:imagedata o:title=""/>
              <o:lock v:ext="edit"/>
            </v:line>
            <v:line id="_x0000_s1841" o:spid="_x0000_s184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原始资料</w:t>
      </w:r>
      <w:r>
        <w:rPr>
          <w:rFonts w:hint="eastAsia" w:ascii="MS UI Gothic" w:eastAsia="MS UI Gothic"/>
          <w:w w:val="80"/>
        </w:rPr>
        <w:t>ꎮ</w:t>
      </w:r>
    </w:p>
    <w:p>
      <w:pPr>
        <w:pStyle w:val="6"/>
        <w:tabs>
          <w:tab w:val="left" w:pos="1908"/>
        </w:tabs>
        <w:spacing w:before="215"/>
        <w:ind w:left="1069" w:firstLine="0"/>
        <w:jc w:val="left"/>
      </w:pPr>
      <w:r>
        <w:rPr>
          <w:spacing w:val="3"/>
          <w:w w:val="105"/>
        </w:rPr>
        <w:t>第三</w:t>
      </w:r>
      <w:r>
        <w:rPr>
          <w:w w:val="105"/>
        </w:rPr>
        <w:t>节</w:t>
      </w:r>
      <w:r>
        <w:rPr>
          <w:w w:val="105"/>
        </w:rPr>
        <w:tab/>
      </w:r>
      <w:r>
        <w:rPr>
          <w:spacing w:val="3"/>
          <w:w w:val="105"/>
        </w:rPr>
        <w:t>局部综合防突措</w:t>
      </w:r>
      <w:r>
        <w:rPr>
          <w:w w:val="105"/>
        </w:rPr>
        <w:t>施</w:t>
      </w:r>
    </w:p>
    <w:p>
      <w:pPr>
        <w:pStyle w:val="6"/>
        <w:spacing w:before="10"/>
        <w:ind w:left="0" w:firstLine="0"/>
        <w:jc w:val="left"/>
        <w:rPr>
          <w:sz w:val="16"/>
        </w:rPr>
      </w:pPr>
    </w:p>
    <w:p>
      <w:pPr>
        <w:pStyle w:val="6"/>
        <w:spacing w:before="1" w:line="295" w:lineRule="auto"/>
        <w:ind w:left="440" w:right="1"/>
        <w:rPr>
          <w:rFonts w:hint="eastAsia" w:ascii="MS UI Gothic" w:eastAsia="MS UI Gothic"/>
        </w:rPr>
      </w:pPr>
      <w:r>
        <w:rPr>
          <w:w w:val="105"/>
        </w:rPr>
        <w:t>第二百一十二条 突出煤层采掘工作</w:t>
      </w:r>
      <w:r>
        <w:t>面经工作面预测后划分为突出危险工作面</w:t>
      </w:r>
      <w:r>
        <w:rPr>
          <w:w w:val="105"/>
        </w:rPr>
        <w:t>和无突出危险工作面</w:t>
      </w:r>
      <w:r>
        <w:rPr>
          <w:rFonts w:hint="eastAsia" w:ascii="MS UI Gothic" w:eastAsia="MS UI Gothic"/>
          <w:w w:val="80"/>
        </w:rPr>
        <w:t>ꎮ</w:t>
      </w:r>
    </w:p>
    <w:p>
      <w:pPr>
        <w:pStyle w:val="6"/>
        <w:spacing w:line="295" w:lineRule="auto"/>
        <w:ind w:left="440" w:right="1"/>
        <w:jc w:val="left"/>
        <w:rPr>
          <w:rFonts w:hint="eastAsia" w:ascii="MS UI Gothic" w:eastAsia="MS UI Gothic"/>
        </w:rPr>
      </w:pPr>
      <w:r>
        <w:t>未进行突出预测的采掘工作面视为突</w:t>
      </w:r>
      <w:r>
        <w:rPr>
          <w:w w:val="105"/>
        </w:rPr>
        <w:t>出危险工作面</w:t>
      </w:r>
      <w:r>
        <w:rPr>
          <w:rFonts w:hint="eastAsia" w:ascii="MS UI Gothic" w:eastAsia="MS UI Gothic"/>
          <w:w w:val="80"/>
        </w:rPr>
        <w:t>ꎮ</w:t>
      </w:r>
    </w:p>
    <w:p>
      <w:pPr>
        <w:pStyle w:val="6"/>
        <w:spacing w:line="295" w:lineRule="auto"/>
        <w:ind w:left="440" w:right="1"/>
        <w:rPr>
          <w:rFonts w:hint="eastAsia" w:ascii="MS UI Gothic" w:eastAsia="MS UI Gothic"/>
        </w:rPr>
      </w:pPr>
      <w:r>
        <w:t>当预测为突出危险工作面时</w:t>
      </w:r>
      <w:r>
        <w:rPr>
          <w:rFonts w:hint="eastAsia" w:ascii="MS UI Gothic" w:eastAsia="MS UI Gothic"/>
          <w:w w:val="80"/>
        </w:rPr>
        <w:t xml:space="preserve">ꎬ </w:t>
      </w:r>
      <w:r>
        <w:t>必须实施工作面防突措施和工作面防突措施效果检验</w:t>
      </w:r>
      <w:r>
        <w:rPr>
          <w:rFonts w:hint="eastAsia" w:ascii="MS UI Gothic" w:eastAsia="MS UI Gothic"/>
          <w:w w:val="80"/>
        </w:rPr>
        <w:t xml:space="preserve">ꎮ </w:t>
      </w:r>
      <w:r>
        <w:t>只有经效果检验有效后</w:t>
      </w:r>
      <w:r>
        <w:rPr>
          <w:rFonts w:hint="eastAsia" w:ascii="MS UI Gothic" w:eastAsia="MS UI Gothic"/>
          <w:w w:val="80"/>
        </w:rPr>
        <w:t xml:space="preserve">ꎬ </w:t>
      </w:r>
      <w:r>
        <w:t>方可进行采掘作业</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第二百一十三条 井巷揭煤工作面的防突措施包括预抽煤层瓦斯</w:t>
      </w:r>
      <w:r>
        <w:rPr>
          <w:rFonts w:hint="eastAsia" w:ascii="MS UI Gothic" w:eastAsia="MS UI Gothic"/>
          <w:w w:val="80"/>
        </w:rPr>
        <w:t xml:space="preserve">、 </w:t>
      </w:r>
      <w:r>
        <w:rPr>
          <w:w w:val="105"/>
        </w:rPr>
        <w:t>排放钻孔</w:t>
      </w:r>
      <w:r>
        <w:rPr>
          <w:rFonts w:hint="eastAsia" w:ascii="MS UI Gothic" w:eastAsia="MS UI Gothic"/>
          <w:w w:val="80"/>
        </w:rPr>
        <w:t>、</w:t>
      </w:r>
      <w:r>
        <w:rPr>
          <w:w w:val="105"/>
        </w:rPr>
        <w:t>金属骨架</w:t>
      </w:r>
      <w:r>
        <w:rPr>
          <w:rFonts w:hint="eastAsia" w:ascii="MS UI Gothic" w:eastAsia="MS UI Gothic"/>
          <w:w w:val="80"/>
        </w:rPr>
        <w:t xml:space="preserve">、 </w:t>
      </w:r>
      <w:r>
        <w:rPr>
          <w:w w:val="105"/>
        </w:rPr>
        <w:t>煤体固化</w:t>
      </w:r>
      <w:r>
        <w:rPr>
          <w:rFonts w:hint="eastAsia" w:ascii="MS UI Gothic" w:eastAsia="MS UI Gothic"/>
          <w:w w:val="80"/>
        </w:rPr>
        <w:t xml:space="preserve">、 </w:t>
      </w:r>
      <w:r>
        <w:rPr>
          <w:w w:val="105"/>
        </w:rPr>
        <w:t>水力冲孔或者其他经试验证明有效的措施</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11"/>
          <w:w w:val="115"/>
        </w:rPr>
        <w:t xml:space="preserve">第二百一十四条 井巷揭穿 </w:t>
      </w:r>
      <w:r>
        <w:rPr>
          <w:rFonts w:hint="eastAsia" w:ascii="MS UI Gothic" w:eastAsia="MS UI Gothic"/>
          <w:spacing w:val="-43"/>
          <w:w w:val="150"/>
        </w:rPr>
        <w:t xml:space="preserve">( </w:t>
      </w:r>
      <w:r>
        <w:rPr>
          <w:spacing w:val="3"/>
          <w:w w:val="115"/>
        </w:rPr>
        <w:t>开</w:t>
      </w:r>
      <w:r>
        <w:rPr>
          <w:rFonts w:hint="eastAsia" w:ascii="MS UI Gothic" w:eastAsia="MS UI Gothic"/>
          <w:spacing w:val="-25"/>
          <w:w w:val="150"/>
        </w:rPr>
        <w:t xml:space="preserve">) </w:t>
      </w:r>
      <w:r>
        <w:rPr>
          <w:w w:val="115"/>
        </w:rPr>
        <w:t>突</w:t>
      </w:r>
      <w:r>
        <w:rPr>
          <w:spacing w:val="3"/>
          <w:w w:val="115"/>
        </w:rPr>
        <w:t>出煤层必须遵守下列规定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pict>
          <v:shape id="_x0000_s1842" o:spid="_x0000_s1842" o:spt="202" type="#_x0000_t202" style="position:absolute;left:0pt;margin-left:71pt;margin-top:12pt;height:24.35pt;width:5.15pt;mso-position-horizontal-relative:page;z-index:-275776512;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rPr>
                  </w:pPr>
                  <w:r>
                    <w:rPr>
                      <w:rFonts w:ascii="MS UI Gothic"/>
                      <w:w w:val="168"/>
                    </w:rPr>
                    <w:t>(</w:t>
                  </w:r>
                </w:p>
              </w:txbxContent>
            </v:textbox>
          </v:shape>
        </w:pict>
      </w:r>
      <w:r>
        <w:rPr>
          <w:rFonts w:hint="eastAsia" w:ascii="MS UI Gothic" w:eastAsia="MS UI Gothic"/>
          <w:spacing w:val="-35"/>
          <w:w w:val="145"/>
        </w:rPr>
        <w:t xml:space="preserve">( </w:t>
      </w:r>
      <w:r>
        <w:rPr>
          <w:spacing w:val="3"/>
        </w:rPr>
        <w:t>一</w:t>
      </w:r>
      <w:r>
        <w:rPr>
          <w:rFonts w:hint="eastAsia" w:ascii="MS UI Gothic" w:eastAsia="MS UI Gothic"/>
          <w:spacing w:val="17"/>
          <w:w w:val="145"/>
        </w:rPr>
        <w:t xml:space="preserve">) </w:t>
      </w:r>
      <w:r>
        <w:rPr>
          <w:spacing w:val="-3"/>
        </w:rPr>
        <w:t xml:space="preserve">在工作面距煤层法向距离 </w:t>
      </w:r>
      <w:r>
        <w:rPr>
          <w:rFonts w:hint="eastAsia" w:ascii="MS UI Gothic" w:eastAsia="MS UI Gothic"/>
          <w:spacing w:val="5"/>
        </w:rPr>
        <w:t xml:space="preserve">１０ </w:t>
      </w:r>
      <w:r>
        <w:rPr>
          <w:rFonts w:hint="eastAsia" w:ascii="MS UI Gothic" w:eastAsia="MS UI Gothic"/>
        </w:rPr>
        <w:t xml:space="preserve">ｍ </w:t>
      </w:r>
      <w:r>
        <w:rPr>
          <w:spacing w:val="5"/>
          <w:w w:val="102"/>
        </w:rPr>
        <w:t>地质构造复杂</w:t>
      </w:r>
      <w:r>
        <w:rPr>
          <w:rFonts w:hint="eastAsia" w:ascii="MS UI Gothic" w:eastAsia="MS UI Gothic"/>
          <w:w w:val="77"/>
        </w:rPr>
        <w:t>、</w:t>
      </w:r>
      <w:r>
        <w:rPr>
          <w:rFonts w:hint="eastAsia" w:ascii="MS UI Gothic" w:eastAsia="MS UI Gothic"/>
          <w:spacing w:val="-5"/>
        </w:rPr>
        <w:t xml:space="preserve">  </w:t>
      </w:r>
      <w:r>
        <w:rPr>
          <w:spacing w:val="10"/>
          <w:w w:val="102"/>
        </w:rPr>
        <w:t>岩石破碎的区域</w:t>
      </w:r>
      <w:r>
        <w:rPr>
          <w:spacing w:val="10"/>
        </w:rPr>
        <w:t xml:space="preserve"> </w:t>
      </w:r>
      <w:r>
        <w:rPr>
          <w:rFonts w:hint="eastAsia" w:ascii="MS UI Gothic" w:eastAsia="MS UI Gothic"/>
          <w:w w:val="75"/>
        </w:rPr>
        <w:t>２０</w:t>
      </w:r>
      <w:r>
        <w:rPr>
          <w:rFonts w:hint="eastAsia" w:ascii="MS UI Gothic" w:eastAsia="MS UI Gothic"/>
        </w:rPr>
        <w:t xml:space="preserve"> </w:t>
      </w:r>
      <w:r>
        <w:rPr>
          <w:rFonts w:hint="eastAsia" w:ascii="MS UI Gothic" w:eastAsia="MS UI Gothic"/>
          <w:spacing w:val="12"/>
          <w:w w:val="79"/>
        </w:rPr>
        <w:t>ｍ</w:t>
      </w:r>
      <w:r>
        <w:rPr>
          <w:rFonts w:hint="eastAsia" w:ascii="MS UI Gothic" w:eastAsia="MS UI Gothic"/>
          <w:w w:val="168"/>
        </w:rPr>
        <w:t>)</w:t>
      </w:r>
      <w:r>
        <w:rPr>
          <w:spacing w:val="1"/>
        </w:rPr>
        <w:t>之外</w:t>
      </w:r>
      <w:r>
        <w:rPr>
          <w:rFonts w:hint="eastAsia" w:ascii="MS UI Gothic" w:eastAsia="MS UI Gothic"/>
          <w:spacing w:val="14"/>
          <w:w w:val="85"/>
        </w:rPr>
        <w:t xml:space="preserve">ꎬ </w:t>
      </w:r>
      <w:r>
        <w:rPr>
          <w:spacing w:val="-11"/>
        </w:rPr>
        <w:t xml:space="preserve">至少施工 </w:t>
      </w:r>
      <w:r>
        <w:rPr>
          <w:rFonts w:hint="eastAsia" w:ascii="MS UI Gothic" w:eastAsia="MS UI Gothic"/>
          <w:spacing w:val="-9"/>
        </w:rPr>
        <w:t xml:space="preserve">２ </w:t>
      </w:r>
      <w:r>
        <w:rPr>
          <w:spacing w:val="3"/>
        </w:rPr>
        <w:t>个前探钻孔</w:t>
      </w:r>
      <w:r>
        <w:rPr>
          <w:rFonts w:hint="eastAsia" w:ascii="MS UI Gothic" w:eastAsia="MS UI Gothic"/>
          <w:spacing w:val="14"/>
          <w:w w:val="85"/>
        </w:rPr>
        <w:t xml:space="preserve">ꎬ </w:t>
      </w:r>
      <w:r>
        <w:rPr>
          <w:spacing w:val="3"/>
        </w:rPr>
        <w:t>掌握煤层赋存条件</w:t>
      </w:r>
      <w:r>
        <w:rPr>
          <w:rFonts w:hint="eastAsia" w:ascii="MS UI Gothic" w:eastAsia="MS UI Gothic"/>
          <w:spacing w:val="18"/>
        </w:rPr>
        <w:t xml:space="preserve">、 </w:t>
      </w:r>
      <w:r>
        <w:rPr>
          <w:spacing w:val="3"/>
        </w:rPr>
        <w:t>地质构造</w:t>
      </w:r>
      <w:r>
        <w:rPr>
          <w:rFonts w:hint="eastAsia" w:ascii="MS UI Gothic" w:eastAsia="MS UI Gothic"/>
          <w:spacing w:val="18"/>
        </w:rPr>
        <w:t xml:space="preserve">、 </w:t>
      </w:r>
      <w:r>
        <w:rPr>
          <w:spacing w:val="3"/>
        </w:rPr>
        <w:t>瓦斯情况等</w:t>
      </w:r>
      <w:r>
        <w:rPr>
          <w:rFonts w:hint="eastAsia" w:ascii="MS UI Gothic" w:eastAsia="MS UI Gothic"/>
          <w:w w:val="85"/>
        </w:rPr>
        <w:t>ꎮ</w:t>
      </w:r>
    </w:p>
    <w:p>
      <w:pPr>
        <w:pStyle w:val="6"/>
        <w:spacing w:line="295" w:lineRule="auto"/>
        <w:ind w:left="819" w:right="1" w:firstLine="40"/>
      </w:pPr>
      <w:r>
        <w:pict>
          <v:shape id="_x0000_s1843" o:spid="_x0000_s1843" o:spt="202" type="#_x0000_t202" style="position:absolute;left:0pt;margin-left:70.75pt;margin-top:12pt;height:24.35pt;width:16.35pt;mso-position-horizontal-relative:page;z-index:-27577856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85"/>
                    </w:rPr>
                    <w:t xml:space="preserve">５ </w:t>
                  </w:r>
                  <w:r>
                    <w:rPr>
                      <w:rFonts w:hint="eastAsia" w:ascii="MS UI Gothic" w:eastAsia="MS UI Gothic"/>
                      <w:spacing w:val="-20"/>
                      <w:w w:val="85"/>
                    </w:rPr>
                    <w:t>ｍ</w:t>
                  </w:r>
                </w:p>
              </w:txbxContent>
            </v:textbox>
          </v:shape>
        </w:pict>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从工作面距煤层法向距离大于</w:t>
      </w:r>
      <w:r>
        <w:t>处开始</w:t>
      </w:r>
      <w:r>
        <w:rPr>
          <w:rFonts w:hint="eastAsia" w:ascii="MS UI Gothic" w:eastAsia="MS UI Gothic"/>
          <w:w w:val="80"/>
        </w:rPr>
        <w:t xml:space="preserve">ꎬ </w:t>
      </w:r>
      <w:r>
        <w:t>直至揭穿煤层全过程都应当</w:t>
      </w:r>
    </w:p>
    <w:p>
      <w:pPr>
        <w:pStyle w:val="6"/>
        <w:spacing w:line="255" w:lineRule="exact"/>
        <w:ind w:left="440" w:firstLine="0"/>
        <w:jc w:val="left"/>
        <w:rPr>
          <w:rFonts w:hint="eastAsia" w:ascii="MS UI Gothic" w:eastAsia="MS UI Gothic"/>
        </w:rPr>
      </w:pPr>
      <w:r>
        <w:t>采取局部综合防突措施</w:t>
      </w:r>
      <w:r>
        <w:rPr>
          <w:rFonts w:hint="eastAsia" w:ascii="MS UI Gothic" w:eastAsia="MS UI Gothic"/>
          <w:w w:val="80"/>
        </w:rPr>
        <w:t>ꎮ</w:t>
      </w:r>
    </w:p>
    <w:p>
      <w:pPr>
        <w:pStyle w:val="6"/>
        <w:spacing w:before="43" w:line="295" w:lineRule="auto"/>
        <w:ind w:left="827" w:right="1" w:firstLine="33"/>
        <w:jc w:val="left"/>
      </w:pPr>
      <w:r>
        <w:pict>
          <v:shape id="_x0000_s1844" o:spid="_x0000_s1844" o:spt="202" type="#_x0000_t202" style="position:absolute;left:0pt;margin-left:70.75pt;margin-top:14.15pt;height:24.35pt;width:16.35pt;mso-position-horizontal-relative:page;z-index:-27577753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85"/>
                    </w:rPr>
                    <w:t xml:space="preserve">２ </w:t>
                  </w:r>
                  <w:r>
                    <w:rPr>
                      <w:rFonts w:hint="eastAsia" w:ascii="MS UI Gothic" w:eastAsia="MS UI Gothic"/>
                      <w:spacing w:val="-20"/>
                      <w:w w:val="85"/>
                    </w:rPr>
                    <w:t>ｍ</w:t>
                  </w:r>
                </w:p>
              </w:txbxContent>
            </v:textbox>
          </v:shape>
        </w:pict>
      </w:r>
      <w:r>
        <w:rPr>
          <w:rFonts w:hint="eastAsia" w:ascii="MS UI Gothic" w:eastAsia="MS UI Gothic"/>
          <w:spacing w:val="-32"/>
          <w:w w:val="115"/>
        </w:rPr>
        <w:t xml:space="preserve">( </w:t>
      </w:r>
      <w:r>
        <w:rPr>
          <w:spacing w:val="5"/>
          <w:w w:val="110"/>
        </w:rPr>
        <w:t>三</w:t>
      </w:r>
      <w:r>
        <w:rPr>
          <w:rFonts w:hint="eastAsia" w:ascii="MS UI Gothic" w:eastAsia="MS UI Gothic"/>
          <w:spacing w:val="-12"/>
          <w:w w:val="115"/>
        </w:rPr>
        <w:t xml:space="preserve">) </w:t>
      </w:r>
      <w:r>
        <w:rPr>
          <w:spacing w:val="23"/>
          <w:w w:val="110"/>
        </w:rPr>
        <w:t>揭煤工作面距煤层法向距离</w:t>
      </w:r>
      <w:r>
        <w:rPr>
          <w:spacing w:val="-7"/>
          <w:w w:val="110"/>
        </w:rPr>
        <w:t xml:space="preserve">至进入顶 </w:t>
      </w:r>
      <w:r>
        <w:rPr>
          <w:rFonts w:hint="eastAsia" w:ascii="MS UI Gothic" w:eastAsia="MS UI Gothic"/>
          <w:spacing w:val="-39"/>
          <w:w w:val="150"/>
        </w:rPr>
        <w:t xml:space="preserve">( </w:t>
      </w:r>
      <w:r>
        <w:rPr>
          <w:spacing w:val="3"/>
          <w:w w:val="110"/>
        </w:rPr>
        <w:t>底</w:t>
      </w:r>
      <w:r>
        <w:rPr>
          <w:rFonts w:hint="eastAsia" w:ascii="MS UI Gothic" w:eastAsia="MS UI Gothic"/>
          <w:spacing w:val="-6"/>
          <w:w w:val="150"/>
        </w:rPr>
        <w:t xml:space="preserve">) </w:t>
      </w:r>
      <w:r>
        <w:rPr>
          <w:spacing w:val="-43"/>
          <w:w w:val="110"/>
        </w:rPr>
        <w:t xml:space="preserve">板 </w:t>
      </w:r>
      <w:r>
        <w:rPr>
          <w:rFonts w:hint="eastAsia" w:ascii="MS UI Gothic" w:eastAsia="MS UI Gothic"/>
          <w:spacing w:val="-5"/>
          <w:w w:val="80"/>
        </w:rPr>
        <w:t xml:space="preserve">２ </w:t>
      </w:r>
      <w:r>
        <w:rPr>
          <w:rFonts w:hint="eastAsia" w:ascii="MS UI Gothic" w:eastAsia="MS UI Gothic"/>
          <w:w w:val="80"/>
        </w:rPr>
        <w:t xml:space="preserve">ｍ </w:t>
      </w:r>
      <w:r>
        <w:rPr>
          <w:spacing w:val="3"/>
          <w:w w:val="110"/>
        </w:rPr>
        <w:t>的范围</w:t>
      </w:r>
      <w:r>
        <w:rPr>
          <w:rFonts w:hint="eastAsia" w:ascii="MS UI Gothic" w:eastAsia="MS UI Gothic"/>
          <w:spacing w:val="9"/>
          <w:w w:val="80"/>
        </w:rPr>
        <w:t xml:space="preserve">ꎬ </w:t>
      </w:r>
      <w:r>
        <w:rPr>
          <w:spacing w:val="1"/>
          <w:w w:val="110"/>
        </w:rPr>
        <w:t>均应</w:t>
      </w:r>
    </w:p>
    <w:p>
      <w:pPr>
        <w:pStyle w:val="6"/>
        <w:spacing w:line="255" w:lineRule="exact"/>
        <w:ind w:left="440" w:firstLine="0"/>
        <w:jc w:val="left"/>
        <w:rPr>
          <w:rFonts w:hint="eastAsia" w:ascii="MS UI Gothic" w:eastAsia="MS UI Gothic"/>
        </w:rPr>
      </w:pPr>
      <w:r>
        <w:t>当采用远距离爆破掘进工艺</w:t>
      </w:r>
      <w:r>
        <w:rPr>
          <w:rFonts w:hint="eastAsia" w:ascii="MS UI Gothic" w:eastAsia="MS UI Gothic"/>
          <w:w w:val="80"/>
        </w:rPr>
        <w:t>ꎮ</w:t>
      </w:r>
    </w:p>
    <w:p>
      <w:pPr>
        <w:pStyle w:val="6"/>
        <w:spacing w:before="58" w:line="295" w:lineRule="auto"/>
        <w:ind w:left="440"/>
        <w:rPr>
          <w:rFonts w:hint="eastAsia" w:ascii="MS UI Gothic" w:eastAsia="MS UI Gothic"/>
        </w:rPr>
      </w:pPr>
      <w:r>
        <w:rPr>
          <w:rFonts w:hint="eastAsia" w:ascii="MS UI Gothic" w:eastAsia="MS UI Gothic"/>
          <w:w w:val="145"/>
        </w:rPr>
        <w:t>(</w:t>
      </w:r>
      <w:r>
        <w:t>四</w:t>
      </w:r>
      <w:r>
        <w:rPr>
          <w:rFonts w:hint="eastAsia" w:ascii="MS UI Gothic" w:eastAsia="MS UI Gothic"/>
          <w:w w:val="145"/>
        </w:rPr>
        <w:t xml:space="preserve">) </w:t>
      </w:r>
      <w:r>
        <w:t xml:space="preserve">厚度小于 </w:t>
      </w:r>
      <w:r>
        <w:rPr>
          <w:rFonts w:hint="eastAsia" w:ascii="MS UI Gothic" w:eastAsia="MS UI Gothic"/>
          <w:w w:val="85"/>
        </w:rPr>
        <w:t xml:space="preserve">０ </w:t>
      </w:r>
      <w:r>
        <w:rPr>
          <w:rFonts w:hint="eastAsia" w:ascii="MS UI Gothic" w:eastAsia="MS UI Gothic"/>
        </w:rPr>
        <w:t xml:space="preserve">３ ｍ </w:t>
      </w:r>
      <w:r>
        <w:t>的突出煤层</w:t>
      </w:r>
      <w:r>
        <w:rPr>
          <w:rFonts w:hint="eastAsia" w:ascii="MS UI Gothic" w:eastAsia="MS UI Gothic"/>
          <w:w w:val="85"/>
        </w:rPr>
        <w:t>ꎬ</w:t>
      </w:r>
      <w:r>
        <w:t xml:space="preserve">在满足 </w:t>
      </w:r>
      <w:r>
        <w:rPr>
          <w:rFonts w:hint="eastAsia" w:ascii="MS UI Gothic" w:eastAsia="MS UI Gothic"/>
          <w:w w:val="145"/>
        </w:rPr>
        <w:t xml:space="preserve">( </w:t>
      </w:r>
      <w:r>
        <w:t>一</w:t>
      </w:r>
      <w:r>
        <w:rPr>
          <w:rFonts w:hint="eastAsia" w:ascii="MS UI Gothic" w:eastAsia="MS UI Gothic"/>
          <w:w w:val="145"/>
        </w:rPr>
        <w:t xml:space="preserve">) </w:t>
      </w:r>
      <w:r>
        <w:t>的条件下可直接采用远距离爆破掘进工艺揭穿</w:t>
      </w:r>
      <w:r>
        <w:rPr>
          <w:rFonts w:hint="eastAsia" w:asci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w w:val="115"/>
        </w:rPr>
        <w:t xml:space="preserve">( </w:t>
      </w:r>
      <w:r>
        <w:rPr>
          <w:w w:val="110"/>
        </w:rPr>
        <w:t>五</w:t>
      </w:r>
      <w:r>
        <w:rPr>
          <w:rFonts w:hint="eastAsia" w:ascii="MS UI Gothic" w:eastAsia="MS UI Gothic"/>
          <w:w w:val="115"/>
        </w:rPr>
        <w:t xml:space="preserve">) </w:t>
      </w:r>
      <w:r>
        <w:rPr>
          <w:w w:val="110"/>
        </w:rPr>
        <w:t>禁止使用震动爆破揭穿突出煤层</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第二百一十五条 煤巷掘进工作面应当选用超前钻孔预抽瓦斯</w:t>
      </w:r>
      <w:r>
        <w:rPr>
          <w:rFonts w:hint="eastAsia" w:ascii="MS UI Gothic" w:eastAsia="MS UI Gothic"/>
          <w:w w:val="80"/>
        </w:rPr>
        <w:t xml:space="preserve">、 </w:t>
      </w:r>
      <w:r>
        <w:rPr>
          <w:w w:val="105"/>
        </w:rPr>
        <w:t>超前钻孔排放</w:t>
      </w:r>
      <w:r>
        <w:t>瓦斯的防突措施或者其他经试验证实有效</w:t>
      </w:r>
      <w:r>
        <w:rPr>
          <w:w w:val="105"/>
        </w:rPr>
        <w:t>的防突措施</w:t>
      </w:r>
      <w:r>
        <w:rPr>
          <w:rFonts w:hint="eastAsia" w:ascii="MS UI Gothic" w:eastAsia="MS UI Gothic"/>
          <w:w w:val="80"/>
        </w:rPr>
        <w:t>ꎮ</w:t>
      </w:r>
    </w:p>
    <w:p>
      <w:pPr>
        <w:pStyle w:val="6"/>
        <w:spacing w:line="295" w:lineRule="auto"/>
        <w:ind w:left="440" w:right="1"/>
      </w:pPr>
      <w:r>
        <w:t>第二百一十六条 采煤工作面可以选用超前钻孔预抽瓦斯</w:t>
      </w:r>
      <w:r>
        <w:rPr>
          <w:rFonts w:hint="eastAsia" w:ascii="MS UI Gothic" w:eastAsia="MS UI Gothic"/>
        </w:rPr>
        <w:t xml:space="preserve">、 </w:t>
      </w:r>
      <w:r>
        <w:t>超前钻孔排放瓦</w:t>
      </w:r>
    </w:p>
    <w:p>
      <w:pPr>
        <w:pStyle w:val="6"/>
        <w:spacing w:before="124" w:line="295" w:lineRule="auto"/>
        <w:ind w:left="381" w:right="126" w:firstLine="0"/>
        <w:jc w:val="left"/>
        <w:rPr>
          <w:rFonts w:hint="eastAsia" w:ascii="MS UI Gothic" w:eastAsia="MS UI Gothic"/>
        </w:rPr>
      </w:pPr>
      <w:r>
        <w:br w:type="column"/>
      </w:r>
      <w:r>
        <w:t>斯</w:t>
      </w:r>
      <w:r>
        <w:rPr>
          <w:rFonts w:hint="eastAsia" w:ascii="MS UI Gothic" w:eastAsia="MS UI Gothic"/>
          <w:w w:val="80"/>
        </w:rPr>
        <w:t xml:space="preserve">、 </w:t>
      </w:r>
      <w:r>
        <w:t>注水湿润煤体</w:t>
      </w:r>
      <w:r>
        <w:rPr>
          <w:rFonts w:hint="eastAsia" w:ascii="MS UI Gothic" w:eastAsia="MS UI Gothic"/>
          <w:w w:val="80"/>
        </w:rPr>
        <w:t xml:space="preserve">、 </w:t>
      </w:r>
      <w:r>
        <w:t>松动爆破或者其他经试验证实有效的防突措施</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第二百一十七条 突出煤层的采掘工</w:t>
      </w:r>
      <w:r>
        <w:t>作面</w:t>
      </w:r>
      <w:r>
        <w:rPr>
          <w:rFonts w:hint="eastAsia" w:ascii="MS UI Gothic" w:eastAsia="MS UI Gothic"/>
          <w:w w:val="80"/>
        </w:rPr>
        <w:t xml:space="preserve">ꎬ </w:t>
      </w:r>
      <w:r>
        <w:t>应当根据煤层实际情况选用防突措</w:t>
      </w:r>
      <w:r>
        <w:rPr>
          <w:w w:val="105"/>
        </w:rPr>
        <w:t>施</w:t>
      </w:r>
      <w:r>
        <w:rPr>
          <w:rFonts w:hint="eastAsia" w:ascii="MS UI Gothic" w:eastAsia="MS UI Gothic"/>
          <w:w w:val="80"/>
        </w:rPr>
        <w:t xml:space="preserve">ꎬ </w:t>
      </w:r>
      <w:r>
        <w:rPr>
          <w:w w:val="105"/>
        </w:rPr>
        <w:t>并遵守下列规定</w:t>
      </w:r>
      <w:r>
        <w:rPr>
          <w:rFonts w:hint="eastAsia" w:ascii="MS UI Gothic" w:eastAsia="MS UI Gothic"/>
          <w:w w:val="235"/>
        </w:rPr>
        <w:t>:</w:t>
      </w:r>
    </w:p>
    <w:p>
      <w:pPr>
        <w:pStyle w:val="6"/>
        <w:spacing w:line="295" w:lineRule="auto"/>
        <w:ind w:left="381" w:right="126"/>
        <w:rPr>
          <w:rFonts w:hint="eastAsia" w:ascii="MS UI Gothic" w:hAnsi="MS UI Gothic" w:eastAsia="MS UI Gothic"/>
        </w:rPr>
      </w:pPr>
      <w:r>
        <w:rPr>
          <w:rFonts w:hint="eastAsia" w:ascii="MS UI Gothic" w:hAnsi="MS UI Gothic" w:eastAsia="MS UI Gothic"/>
          <w:w w:val="145"/>
        </w:rPr>
        <w:t xml:space="preserve">( </w:t>
      </w:r>
      <w:r>
        <w:t>一</w:t>
      </w:r>
      <w:r>
        <w:rPr>
          <w:rFonts w:hint="eastAsia" w:ascii="MS UI Gothic" w:hAnsi="MS UI Gothic" w:eastAsia="MS UI Gothic"/>
          <w:w w:val="145"/>
        </w:rPr>
        <w:t xml:space="preserve">) </w:t>
      </w:r>
      <w:r>
        <w:t>不得选用水力冲孔措施</w:t>
      </w:r>
      <w:r>
        <w:rPr>
          <w:rFonts w:hint="eastAsia" w:ascii="MS UI Gothic" w:hAnsi="MS UI Gothic" w:eastAsia="MS UI Gothic"/>
          <w:w w:val="75"/>
        </w:rPr>
        <w:t xml:space="preserve">ꎬ </w:t>
      </w:r>
      <w:r>
        <w:t xml:space="preserve">倾角在 </w:t>
      </w:r>
      <w:r>
        <w:rPr>
          <w:rFonts w:hint="eastAsia" w:ascii="MS UI Gothic" w:hAnsi="MS UI Gothic" w:eastAsia="MS UI Gothic"/>
          <w:w w:val="75"/>
        </w:rPr>
        <w:t>８°</w:t>
      </w:r>
      <w:r>
        <w:t>以上的上山掘进工作面不得选用松动爆破</w:t>
      </w:r>
      <w:r>
        <w:rPr>
          <w:rFonts w:hint="eastAsia" w:ascii="MS UI Gothic" w:hAnsi="MS UI Gothic" w:eastAsia="MS UI Gothic"/>
        </w:rPr>
        <w:t xml:space="preserve">、 </w:t>
      </w:r>
      <w:r>
        <w:t>水力疏松措施</w:t>
      </w:r>
      <w:r>
        <w:rPr>
          <w:rFonts w:hint="eastAsia" w:ascii="MS UI Gothic" w:hAnsi="MS UI Gothic" w:eastAsia="MS UI Gothic"/>
          <w:w w:val="75"/>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突出煤层煤巷掘进工作面前方</w:t>
      </w:r>
      <w:r>
        <w:t>遇到落差超过煤层厚度的断层</w:t>
      </w:r>
      <w:r>
        <w:rPr>
          <w:rFonts w:hint="eastAsia" w:ascii="MS UI Gothic" w:eastAsia="MS UI Gothic"/>
          <w:w w:val="80"/>
        </w:rPr>
        <w:t xml:space="preserve">ꎬ </w:t>
      </w:r>
      <w:r>
        <w:t>应当按井</w:t>
      </w:r>
      <w:r>
        <w:rPr>
          <w:w w:val="105"/>
        </w:rPr>
        <w:t>巷揭煤的措施执行</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采煤工作面采用超前钻孔预抽</w:t>
      </w:r>
      <w:r>
        <w:t>瓦斯和超前钻孔排放瓦斯作为工作面防突</w:t>
      </w:r>
      <w:r>
        <w:rPr>
          <w:w w:val="105"/>
        </w:rPr>
        <w:t>措施时</w:t>
      </w:r>
      <w:r>
        <w:rPr>
          <w:rFonts w:hint="eastAsia" w:ascii="MS UI Gothic" w:eastAsia="MS UI Gothic"/>
          <w:w w:val="80"/>
        </w:rPr>
        <w:t xml:space="preserve">ꎬ </w:t>
      </w:r>
      <w:r>
        <w:rPr>
          <w:w w:val="105"/>
        </w:rPr>
        <w:t>超前钻孔的孔数</w:t>
      </w:r>
      <w:r>
        <w:rPr>
          <w:rFonts w:hint="eastAsia" w:ascii="MS UI Gothic" w:eastAsia="MS UI Gothic"/>
          <w:w w:val="80"/>
        </w:rPr>
        <w:t xml:space="preserve">、 </w:t>
      </w:r>
      <w:r>
        <w:rPr>
          <w:w w:val="105"/>
        </w:rPr>
        <w:t>孔底间距等应当根据钻孔的有效抽排半径确定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松动爆破时</w:t>
      </w:r>
      <w:r>
        <w:rPr>
          <w:rFonts w:hint="eastAsia" w:ascii="MS UI Gothic" w:eastAsia="MS UI Gothic"/>
          <w:w w:val="80"/>
        </w:rPr>
        <w:t xml:space="preserve">ꎬ </w:t>
      </w:r>
      <w:r>
        <w:rPr>
          <w:w w:val="105"/>
        </w:rPr>
        <w:t>应当按远距离爆破的要求执行</w:t>
      </w:r>
      <w:r>
        <w:rPr>
          <w:rFonts w:hint="eastAsia" w:ascii="MS UI Gothic" w:eastAsia="MS UI Gothic"/>
          <w:w w:val="80"/>
        </w:rPr>
        <w:t>ꎮ</w:t>
      </w:r>
    </w:p>
    <w:p>
      <w:pPr>
        <w:pStyle w:val="6"/>
        <w:spacing w:line="295" w:lineRule="auto"/>
        <w:ind w:left="381" w:right="126"/>
        <w:rPr>
          <w:rFonts w:hint="eastAsia" w:ascii="MS UI Gothic" w:eastAsia="MS UI Gothic"/>
        </w:rPr>
      </w:pPr>
      <w:r>
        <w:t>第二百一十八条 工作面执行防突措施后</w:t>
      </w:r>
      <w:r>
        <w:rPr>
          <w:rFonts w:hint="eastAsia" w:ascii="MS UI Gothic" w:eastAsia="MS UI Gothic"/>
          <w:w w:val="80"/>
        </w:rPr>
        <w:t xml:space="preserve">ꎬ </w:t>
      </w:r>
      <w:r>
        <w:t>必须对防突措施效果进行检验</w:t>
      </w:r>
      <w:r>
        <w:rPr>
          <w:rFonts w:hint="eastAsia" w:ascii="MS UI Gothic" w:eastAsia="MS UI Gothic"/>
          <w:w w:val="80"/>
        </w:rPr>
        <w:t xml:space="preserve">ꎮ </w:t>
      </w:r>
      <w:r>
        <w:t>如果工作面措施效果检验结果均小于指标临界值</w:t>
      </w:r>
      <w:r>
        <w:rPr>
          <w:rFonts w:hint="eastAsia" w:ascii="MS UI Gothic" w:eastAsia="MS UI Gothic"/>
          <w:w w:val="80"/>
        </w:rPr>
        <w:t xml:space="preserve">ꎬ </w:t>
      </w:r>
      <w:r>
        <w:t>且未发现其他异常情况</w:t>
      </w:r>
      <w:r>
        <w:rPr>
          <w:rFonts w:hint="eastAsia" w:ascii="MS UI Gothic" w:eastAsia="MS UI Gothic"/>
          <w:w w:val="80"/>
        </w:rPr>
        <w:t xml:space="preserve">ꎬ </w:t>
      </w:r>
      <w:r>
        <w:t>则措施有效</w:t>
      </w:r>
      <w:r>
        <w:rPr>
          <w:rFonts w:hint="eastAsia" w:ascii="MS UI Gothic" w:eastAsia="MS UI Gothic"/>
          <w:w w:val="80"/>
        </w:rPr>
        <w:t xml:space="preserve">ꎻ </w:t>
      </w:r>
      <w:r>
        <w:t>否则必须重新执行区域综合防突措施或者局部综合防突措施</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第二百一十九条 在煤巷掘进工作面</w:t>
      </w:r>
      <w:r>
        <w:rPr>
          <w:spacing w:val="2"/>
        </w:rPr>
        <w:t>第一次执行局部防突措施或者无措施超前</w:t>
      </w:r>
      <w:r>
        <w:rPr>
          <w:spacing w:val="3"/>
        </w:rPr>
        <w:t>距时</w:t>
      </w:r>
      <w:r>
        <w:rPr>
          <w:rFonts w:hint="eastAsia" w:ascii="MS UI Gothic" w:eastAsia="MS UI Gothic"/>
          <w:spacing w:val="20"/>
          <w:w w:val="80"/>
        </w:rPr>
        <w:t xml:space="preserve">ꎬ </w:t>
      </w:r>
      <w:r>
        <w:rPr>
          <w:spacing w:val="2"/>
        </w:rPr>
        <w:t>必须采取小直径钻孔排放瓦斯等防</w:t>
      </w:r>
      <w:r>
        <w:rPr>
          <w:spacing w:val="3"/>
        </w:rPr>
        <w:t>突措施</w:t>
      </w:r>
      <w:r>
        <w:rPr>
          <w:rFonts w:hint="eastAsia" w:ascii="MS UI Gothic" w:eastAsia="MS UI Gothic"/>
          <w:spacing w:val="7"/>
          <w:w w:val="80"/>
        </w:rPr>
        <w:t xml:space="preserve">ꎬ </w:t>
      </w:r>
      <w:r>
        <w:rPr>
          <w:spacing w:val="-4"/>
        </w:rPr>
        <w:t xml:space="preserve">只有在工作面前方形成 </w:t>
      </w:r>
      <w:r>
        <w:rPr>
          <w:rFonts w:hint="eastAsia" w:ascii="MS UI Gothic" w:eastAsia="MS UI Gothic"/>
          <w:spacing w:val="11"/>
          <w:w w:val="80"/>
        </w:rPr>
        <w:t xml:space="preserve">５ </w:t>
      </w:r>
      <w:r>
        <w:rPr>
          <w:rFonts w:hint="eastAsia" w:ascii="MS UI Gothic" w:eastAsia="MS UI Gothic"/>
          <w:w w:val="80"/>
        </w:rPr>
        <w:t>ｍ</w:t>
      </w:r>
      <w:r>
        <w:rPr>
          <w:rFonts w:hint="eastAsia" w:ascii="MS UI Gothic" w:eastAsia="MS UI Gothic"/>
          <w:spacing w:val="20"/>
          <w:w w:val="80"/>
        </w:rPr>
        <w:t xml:space="preserve"> </w:t>
      </w:r>
      <w:r>
        <w:rPr>
          <w:spacing w:val="1"/>
        </w:rPr>
        <w:t>以上</w:t>
      </w:r>
      <w:r>
        <w:rPr>
          <w:spacing w:val="11"/>
        </w:rPr>
        <w:t>的安全屏障后</w:t>
      </w:r>
      <w:r>
        <w:rPr>
          <w:rFonts w:hint="eastAsia" w:ascii="MS UI Gothic" w:eastAsia="MS UI Gothic"/>
          <w:spacing w:val="23"/>
          <w:w w:val="80"/>
        </w:rPr>
        <w:t xml:space="preserve">ꎬ </w:t>
      </w:r>
      <w:r>
        <w:rPr>
          <w:spacing w:val="17"/>
        </w:rPr>
        <w:t>方可进入正常防突措施</w:t>
      </w:r>
      <w:r>
        <w:rPr>
          <w:spacing w:val="3"/>
        </w:rPr>
        <w:t>循环</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第二百二十条 井巷揭穿突出煤层和</w:t>
      </w:r>
      <w:r>
        <w:rPr>
          <w:spacing w:val="3"/>
        </w:rPr>
        <w:t>在突出煤层中进行采掘作业时</w:t>
      </w:r>
      <w:r>
        <w:rPr>
          <w:rFonts w:hint="eastAsia" w:ascii="MS UI Gothic" w:eastAsia="MS UI Gothic"/>
          <w:spacing w:val="20"/>
          <w:w w:val="80"/>
        </w:rPr>
        <w:t xml:space="preserve">ꎬ </w:t>
      </w:r>
      <w:r>
        <w:rPr>
          <w:spacing w:val="2"/>
        </w:rPr>
        <w:t>必须采取</w:t>
      </w:r>
      <w:r>
        <w:rPr>
          <w:spacing w:val="3"/>
        </w:rPr>
        <w:t>避难硐室</w:t>
      </w:r>
      <w:r>
        <w:rPr>
          <w:rFonts w:hint="eastAsia" w:ascii="MS UI Gothic" w:eastAsia="MS UI Gothic"/>
          <w:spacing w:val="15"/>
          <w:w w:val="80"/>
        </w:rPr>
        <w:t xml:space="preserve">、 </w:t>
      </w:r>
      <w:r>
        <w:rPr>
          <w:spacing w:val="3"/>
        </w:rPr>
        <w:t>反向风门</w:t>
      </w:r>
      <w:r>
        <w:rPr>
          <w:rFonts w:hint="eastAsia" w:ascii="MS UI Gothic" w:eastAsia="MS UI Gothic"/>
          <w:spacing w:val="16"/>
          <w:w w:val="80"/>
        </w:rPr>
        <w:t xml:space="preserve">、 </w:t>
      </w:r>
      <w:r>
        <w:rPr>
          <w:spacing w:val="3"/>
        </w:rPr>
        <w:t>压风自救装置</w:t>
      </w:r>
      <w:r>
        <w:rPr>
          <w:rFonts w:hint="eastAsia" w:ascii="MS UI Gothic" w:eastAsia="MS UI Gothic"/>
          <w:spacing w:val="15"/>
          <w:w w:val="80"/>
        </w:rPr>
        <w:t xml:space="preserve">、 </w:t>
      </w:r>
      <w:r>
        <w:t>隔</w:t>
      </w:r>
      <w:r>
        <w:rPr>
          <w:spacing w:val="23"/>
        </w:rPr>
        <w:t>离式自救器</w:t>
      </w:r>
      <w:r>
        <w:rPr>
          <w:rFonts w:hint="eastAsia" w:ascii="MS UI Gothic" w:eastAsia="MS UI Gothic"/>
          <w:spacing w:val="24"/>
          <w:w w:val="80"/>
        </w:rPr>
        <w:t xml:space="preserve">、 </w:t>
      </w:r>
      <w:r>
        <w:rPr>
          <w:spacing w:val="30"/>
        </w:rPr>
        <w:t>远距离爆破等安全防护</w:t>
      </w:r>
      <w:r>
        <w:rPr>
          <w:spacing w:val="3"/>
        </w:rPr>
        <w:t>措施</w:t>
      </w:r>
      <w:r>
        <w:rPr>
          <w:rFonts w:hint="eastAsia" w:ascii="MS UI Gothic" w:eastAsia="MS UI Gothic"/>
          <w:w w:val="80"/>
        </w:rPr>
        <w:t>ꎮ</w:t>
      </w:r>
    </w:p>
    <w:p>
      <w:pPr>
        <w:pStyle w:val="6"/>
        <w:spacing w:line="295" w:lineRule="auto"/>
        <w:ind w:left="381" w:right="124"/>
      </w:pPr>
      <w:r>
        <w:t>第二百二十一条 突出煤层的石门揭煤</w:t>
      </w:r>
      <w:r>
        <w:rPr>
          <w:rFonts w:hint="eastAsia" w:ascii="MS UI Gothic" w:eastAsia="MS UI Gothic"/>
          <w:w w:val="80"/>
        </w:rPr>
        <w:t xml:space="preserve">、 </w:t>
      </w:r>
      <w:r>
        <w:t xml:space="preserve">煤巷和半煤岩巷掘进工作面进风侧必须设置至少 </w:t>
      </w:r>
      <w:r>
        <w:rPr>
          <w:rFonts w:hint="eastAsia" w:ascii="MS UI Gothic" w:eastAsia="MS UI Gothic"/>
          <w:w w:val="80"/>
        </w:rPr>
        <w:t xml:space="preserve">２ </w:t>
      </w:r>
      <w:r>
        <w:t>道反向风门</w:t>
      </w:r>
      <w:r>
        <w:rPr>
          <w:rFonts w:hint="eastAsia" w:ascii="MS UI Gothic" w:eastAsia="MS UI Gothic"/>
          <w:w w:val="80"/>
        </w:rPr>
        <w:t xml:space="preserve">ꎮ </w:t>
      </w:r>
      <w:r>
        <w:t>爆破作业时</w:t>
      </w:r>
      <w:r>
        <w:rPr>
          <w:rFonts w:hint="eastAsia" w:ascii="MS UI Gothic" w:eastAsia="MS UI Gothic"/>
          <w:w w:val="80"/>
        </w:rPr>
        <w:t>ꎬ</w:t>
      </w:r>
      <w:r>
        <w:t>反向风门必须关闭</w:t>
      </w:r>
      <w:r>
        <w:rPr>
          <w:rFonts w:hint="eastAsia" w:ascii="MS UI Gothic" w:eastAsia="MS UI Gothic"/>
          <w:w w:val="80"/>
        </w:rPr>
        <w:t xml:space="preserve">ꎮ </w:t>
      </w:r>
      <w:r>
        <w:t>反向风门距工作面的距离</w:t>
      </w:r>
      <w:r>
        <w:rPr>
          <w:rFonts w:hint="eastAsia" w:ascii="MS UI Gothic" w:eastAsia="MS UI Gothic"/>
          <w:w w:val="80"/>
        </w:rPr>
        <w:t xml:space="preserve">ꎬ </w:t>
      </w:r>
      <w:r>
        <w:t>应当根据掘进工作面的通风系统和</w:t>
      </w:r>
    </w:p>
    <w:p>
      <w:pPr>
        <w:spacing w:after="0" w:line="295" w:lineRule="auto"/>
        <w:sectPr>
          <w:type w:val="continuous"/>
          <w:pgSz w:w="10500" w:h="14750"/>
          <w:pgMar w:top="1400" w:right="980" w:bottom="280" w:left="980" w:header="720" w:footer="720" w:gutter="0"/>
          <w:cols w:equalWidth="0" w:num="2">
            <w:col w:w="4212" w:space="40"/>
            <w:col w:w="4288"/>
          </w:cols>
        </w:sectPr>
      </w:pPr>
    </w:p>
    <w:p>
      <w:pPr>
        <w:tabs>
          <w:tab w:val="left" w:pos="2426"/>
        </w:tabs>
        <w:spacing w:before="162"/>
        <w:ind w:left="280" w:right="0" w:firstLine="0"/>
        <w:jc w:val="left"/>
        <w:rPr>
          <w:rFonts w:hint="eastAsia" w:ascii="Microsoft Yi Baiti" w:eastAsia="Microsoft Yi Baiti"/>
          <w:sz w:val="17"/>
        </w:rPr>
      </w:pPr>
      <w:r>
        <w:pict>
          <v:group id="_x0000_s1845" o:spid="_x0000_s1845" o:spt="203" style="position:absolute;left:0pt;margin-left:55.1pt;margin-top:23.85pt;height:2.15pt;width:398.25pt;mso-position-horizontal-relative:page;mso-wrap-distance-bottom:0pt;mso-wrap-distance-top:0pt;z-index:-251328512;mso-width-relative:page;mso-height-relative:page;" coordorigin="1103,477" coordsize="7965,43">
            <o:lock v:ext="edit"/>
            <v:line id="_x0000_s1846" o:spid="_x0000_s1846" o:spt="20" style="position:absolute;left:1103;top:516;height:0;width:7964;" stroked="t" coordsize="21600,21600">
              <v:path arrowok="t"/>
              <v:fill focussize="0,0"/>
              <v:stroke weight="0.388031496062992pt" color="#231F20"/>
              <v:imagedata o:title=""/>
              <o:lock v:ext="edit"/>
            </v:line>
            <v:line id="_x0000_s1847" o:spid="_x0000_s1847"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２７２</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735"/>
        </w:tabs>
        <w:spacing w:before="163" w:line="240" w:lineRule="exact"/>
        <w:ind w:firstLine="0"/>
        <w:jc w:val="left"/>
        <w:rPr>
          <w:rFonts w:hint="eastAsia" w:ascii="MS UI Gothic" w:eastAsia="MS UI Gothic"/>
        </w:rPr>
      </w:pPr>
      <w:r>
        <w:rPr>
          <w:spacing w:val="3"/>
        </w:rPr>
        <w:t>预计的突出强度确定</w:t>
      </w:r>
      <w:r>
        <w:rPr>
          <w:rFonts w:hint="eastAsia" w:ascii="MS UI Gothic" w:eastAsia="MS UI Gothic"/>
          <w:w w:val="80"/>
        </w:rPr>
        <w:t>ꎮ</w:t>
      </w:r>
      <w:r>
        <w:rPr>
          <w:rFonts w:hint="eastAsia" w:ascii="MS UI Gothic" w:eastAsia="MS UI Gothic"/>
          <w:w w:val="80"/>
        </w:rPr>
        <w:tab/>
      </w:r>
      <w:r>
        <w:rPr>
          <w:rFonts w:hint="eastAsia" w:ascii="MS UI Gothic" w:eastAsia="MS UI Gothic"/>
          <w:w w:val="150"/>
        </w:rPr>
        <w:t>(</w:t>
      </w:r>
      <w:r>
        <w:rPr>
          <w:rFonts w:hint="eastAsia" w:ascii="MS UI Gothic" w:eastAsia="MS UI Gothic"/>
          <w:spacing w:val="-73"/>
          <w:w w:val="150"/>
        </w:rPr>
        <w:t xml:space="preserve"> </w:t>
      </w:r>
      <w:r>
        <w:rPr>
          <w:spacing w:val="15"/>
          <w:w w:val="110"/>
        </w:rPr>
        <w:t>一</w:t>
      </w:r>
      <w:r>
        <w:rPr>
          <w:rFonts w:hint="eastAsia" w:ascii="MS UI Gothic" w:eastAsia="MS UI Gothic"/>
          <w:w w:val="150"/>
        </w:rPr>
        <w:t>)</w:t>
      </w:r>
      <w:r>
        <w:rPr>
          <w:rFonts w:hint="eastAsia" w:ascii="MS UI Gothic" w:eastAsia="MS UI Gothic"/>
          <w:spacing w:val="40"/>
          <w:w w:val="150"/>
        </w:rPr>
        <w:t xml:space="preserve"> </w:t>
      </w:r>
      <w:r>
        <w:rPr>
          <w:spacing w:val="38"/>
          <w:w w:val="110"/>
        </w:rPr>
        <w:t>有强烈</w:t>
      </w:r>
      <w:r>
        <w:rPr>
          <w:spacing w:val="40"/>
          <w:w w:val="110"/>
        </w:rPr>
        <w:t>震</w:t>
      </w:r>
      <w:r>
        <w:rPr>
          <w:spacing w:val="3"/>
          <w:w w:val="110"/>
        </w:rPr>
        <w:t>动</w:t>
      </w:r>
      <w:r>
        <w:rPr>
          <w:rFonts w:hint="eastAsia" w:ascii="MS UI Gothic" w:eastAsia="MS UI Gothic"/>
          <w:w w:val="80"/>
        </w:rPr>
        <w:t>、</w:t>
      </w:r>
      <w:r>
        <w:rPr>
          <w:rFonts w:hint="eastAsia" w:ascii="MS UI Gothic" w:eastAsia="MS UI Gothic"/>
          <w:spacing w:val="19"/>
          <w:w w:val="80"/>
        </w:rPr>
        <w:t xml:space="preserve"> </w:t>
      </w:r>
      <w:r>
        <w:rPr>
          <w:spacing w:val="40"/>
          <w:w w:val="110"/>
        </w:rPr>
        <w:t>瞬间</w:t>
      </w:r>
      <w:r>
        <w:rPr>
          <w:w w:val="110"/>
        </w:rPr>
        <w:t>底</w:t>
      </w:r>
      <w:r>
        <w:rPr>
          <w:spacing w:val="7"/>
          <w:w w:val="110"/>
        </w:rPr>
        <w:t xml:space="preserve"> </w:t>
      </w:r>
      <w:r>
        <w:rPr>
          <w:rFonts w:hint="eastAsia" w:ascii="MS UI Gothic" w:eastAsia="MS UI Gothic"/>
          <w:w w:val="150"/>
        </w:rPr>
        <w:t>(</w:t>
      </w:r>
      <w:r>
        <w:rPr>
          <w:rFonts w:hint="eastAsia" w:ascii="MS UI Gothic" w:eastAsia="MS UI Gothic"/>
          <w:spacing w:val="-52"/>
          <w:w w:val="150"/>
        </w:rPr>
        <w:t xml:space="preserve"> </w:t>
      </w:r>
      <w:r>
        <w:rPr>
          <w:spacing w:val="27"/>
          <w:w w:val="110"/>
        </w:rPr>
        <w:t>帮</w:t>
      </w:r>
      <w:r>
        <w:rPr>
          <w:rFonts w:hint="eastAsia" w:ascii="MS UI Gothic" w:eastAsia="MS UI Gothic"/>
          <w:w w:val="150"/>
        </w:rPr>
        <w:t>)</w:t>
      </w:r>
    </w:p>
    <w:p>
      <w:pPr>
        <w:spacing w:after="0" w:line="240" w:lineRule="exact"/>
        <w:jc w:val="left"/>
        <w:rPr>
          <w:rFonts w:hint="eastAsia" w:ascii="MS UI Gothic" w:eastAsia="MS UI Gothic"/>
        </w:rPr>
        <w:sectPr>
          <w:pgSz w:w="10500" w:h="14750"/>
          <w:pgMar w:top="960" w:right="980" w:bottom="280" w:left="980" w:header="720" w:footer="720" w:gutter="0"/>
        </w:sectPr>
      </w:pPr>
    </w:p>
    <w:p>
      <w:pPr>
        <w:pStyle w:val="6"/>
        <w:spacing w:before="74" w:line="295" w:lineRule="auto"/>
        <w:ind w:right="39"/>
        <w:rPr>
          <w:rFonts w:hint="eastAsia" w:ascii="MS UI Gothic" w:eastAsia="MS UI Gothic"/>
        </w:rPr>
      </w:pPr>
      <w:r>
        <w:t>第二百二十二条 井巷揭煤采用远距离爆破时</w:t>
      </w:r>
      <w:r>
        <w:rPr>
          <w:rFonts w:hint="eastAsia" w:ascii="MS UI Gothic" w:eastAsia="MS UI Gothic"/>
          <w:w w:val="80"/>
        </w:rPr>
        <w:t xml:space="preserve">ꎬ </w:t>
      </w:r>
      <w:r>
        <w:t>必须明确起爆地点</w:t>
      </w:r>
      <w:r>
        <w:rPr>
          <w:rFonts w:hint="eastAsia" w:ascii="MS UI Gothic" w:eastAsia="MS UI Gothic"/>
          <w:w w:val="80"/>
        </w:rPr>
        <w:t xml:space="preserve">、 </w:t>
      </w:r>
      <w:r>
        <w:t>避灾路线</w:t>
      </w:r>
      <w:r>
        <w:rPr>
          <w:rFonts w:hint="eastAsia" w:ascii="MS UI Gothic" w:eastAsia="MS UI Gothic"/>
          <w:w w:val="80"/>
        </w:rPr>
        <w:t xml:space="preserve">、 </w:t>
      </w:r>
      <w:r>
        <w:t>警戒范围</w:t>
      </w:r>
      <w:r>
        <w:rPr>
          <w:rFonts w:hint="eastAsia" w:ascii="MS UI Gothic" w:eastAsia="MS UI Gothic"/>
          <w:w w:val="80"/>
        </w:rPr>
        <w:t xml:space="preserve">ꎬ </w:t>
      </w:r>
      <w:r>
        <w:t>制定停电撤人等措施</w:t>
      </w:r>
      <w:r>
        <w:rPr>
          <w:rFonts w:hint="eastAsia" w:ascii="MS UI Gothic" w:eastAsia="MS UI Gothic"/>
          <w:w w:val="80"/>
        </w:rPr>
        <w:t>ꎮ</w:t>
      </w:r>
    </w:p>
    <w:p>
      <w:pPr>
        <w:pStyle w:val="6"/>
        <w:spacing w:line="295" w:lineRule="auto"/>
        <w:ind w:right="39"/>
        <w:rPr>
          <w:rFonts w:hint="eastAsia" w:ascii="MS UI Gothic" w:eastAsia="MS UI Gothic"/>
        </w:rPr>
      </w:pPr>
      <w:r>
        <w:t xml:space="preserve">井筒起爆及撤人地点必须位于地面距井口边缘 </w:t>
      </w:r>
      <w:r>
        <w:rPr>
          <w:rFonts w:hint="eastAsia" w:ascii="MS UI Gothic" w:eastAsia="MS UI Gothic"/>
          <w:w w:val="85"/>
        </w:rPr>
        <w:t xml:space="preserve">２０ ｍ </w:t>
      </w:r>
      <w:r>
        <w:t>以外</w:t>
      </w:r>
      <w:r>
        <w:rPr>
          <w:rFonts w:hint="eastAsia" w:ascii="MS UI Gothic" w:eastAsia="MS UI Gothic"/>
          <w:w w:val="85"/>
        </w:rPr>
        <w:t xml:space="preserve">ꎬ </w:t>
      </w:r>
      <w:r>
        <w:t xml:space="preserve">暗立 </w:t>
      </w:r>
      <w:r>
        <w:rPr>
          <w:rFonts w:hint="eastAsia" w:ascii="MS UI Gothic" w:eastAsia="MS UI Gothic"/>
          <w:w w:val="140"/>
        </w:rPr>
        <w:t xml:space="preserve">( </w:t>
      </w:r>
      <w:r>
        <w:t>斜</w:t>
      </w:r>
      <w:r>
        <w:rPr>
          <w:rFonts w:hint="eastAsia" w:ascii="MS UI Gothic" w:eastAsia="MS UI Gothic"/>
          <w:w w:val="140"/>
        </w:rPr>
        <w:t xml:space="preserve">) </w:t>
      </w:r>
      <w:r>
        <w:t xml:space="preserve">井及石门揭煤起爆及撤人地点必须位于反向风门外 </w:t>
      </w:r>
      <w:r>
        <w:rPr>
          <w:rFonts w:hint="eastAsia" w:ascii="MS UI Gothic" w:eastAsia="MS UI Gothic"/>
          <w:w w:val="85"/>
        </w:rPr>
        <w:t xml:space="preserve">５００ ｍ </w:t>
      </w:r>
      <w:r>
        <w:t xml:space="preserve">以上全风压通风的新鲜风流中或者 </w:t>
      </w:r>
      <w:r>
        <w:rPr>
          <w:rFonts w:hint="eastAsia" w:ascii="MS UI Gothic" w:eastAsia="MS UI Gothic"/>
          <w:w w:val="85"/>
        </w:rPr>
        <w:t xml:space="preserve">３００ ｍ </w:t>
      </w:r>
      <w:r>
        <w:t>以外的避难硐室内</w:t>
      </w:r>
      <w:r>
        <w:rPr>
          <w:rFonts w:hint="eastAsia" w:ascii="MS UI Gothic" w:eastAsia="MS UI Gothic"/>
          <w:w w:val="85"/>
        </w:rPr>
        <w:t>ꎮ</w:t>
      </w:r>
    </w:p>
    <w:p>
      <w:pPr>
        <w:pStyle w:val="6"/>
        <w:spacing w:line="295" w:lineRule="auto"/>
        <w:ind w:right="38"/>
        <w:rPr>
          <w:rFonts w:hint="eastAsia" w:ascii="MS UI Gothic" w:eastAsia="MS UI Gothic"/>
        </w:rPr>
      </w:pPr>
      <w:r>
        <w:t>煤巷掘进工作面采用远距离爆破时</w:t>
      </w:r>
      <w:r>
        <w:rPr>
          <w:rFonts w:hint="eastAsia" w:ascii="MS UI Gothic" w:eastAsia="MS UI Gothic"/>
          <w:w w:val="80"/>
        </w:rPr>
        <w:t>ꎬ</w:t>
      </w:r>
      <w:r>
        <w:t>起爆地点必须设在进风侧反向风门之外的全风压通风的新鲜风流中或者避险设施内</w:t>
      </w:r>
      <w:r>
        <w:rPr>
          <w:rFonts w:hint="eastAsia" w:ascii="MS UI Gothic" w:eastAsia="MS UI Gothic"/>
          <w:w w:val="80"/>
        </w:rPr>
        <w:t xml:space="preserve">ꎬ </w:t>
      </w:r>
      <w:r>
        <w:t>起爆地点距工作面的距离必须在措施</w:t>
      </w:r>
      <w:r>
        <w:rPr>
          <w:w w:val="105"/>
        </w:rPr>
        <w:t>中明确规定</w:t>
      </w:r>
      <w:r>
        <w:rPr>
          <w:rFonts w:hint="eastAsia" w:ascii="MS UI Gothic" w:eastAsia="MS UI Gothic"/>
          <w:w w:val="80"/>
        </w:rPr>
        <w:t>ꎮ</w:t>
      </w:r>
    </w:p>
    <w:p>
      <w:pPr>
        <w:pStyle w:val="6"/>
        <w:spacing w:line="295" w:lineRule="auto"/>
        <w:ind w:right="39"/>
        <w:rPr>
          <w:rFonts w:hint="eastAsia" w:ascii="MS UI Gothic" w:eastAsia="MS UI Gothic"/>
        </w:rPr>
      </w:pPr>
      <w:r>
        <w:rPr>
          <w:spacing w:val="3"/>
        </w:rPr>
        <w:t>远距离爆破时</w:t>
      </w:r>
      <w:r>
        <w:rPr>
          <w:rFonts w:hint="eastAsia" w:ascii="MS UI Gothic" w:eastAsia="MS UI Gothic"/>
          <w:spacing w:val="1"/>
          <w:w w:val="90"/>
        </w:rPr>
        <w:t xml:space="preserve">ꎬ </w:t>
      </w:r>
      <w:r>
        <w:rPr>
          <w:spacing w:val="2"/>
        </w:rPr>
        <w:t>回风系统必须停电撤</w:t>
      </w:r>
      <w:r>
        <w:rPr>
          <w:spacing w:val="3"/>
        </w:rPr>
        <w:t>人</w:t>
      </w:r>
      <w:r>
        <w:rPr>
          <w:rFonts w:hint="eastAsia" w:ascii="MS UI Gothic" w:eastAsia="MS UI Gothic"/>
          <w:spacing w:val="11"/>
          <w:w w:val="90"/>
        </w:rPr>
        <w:t xml:space="preserve">ꎮ </w:t>
      </w:r>
      <w:r>
        <w:rPr>
          <w:spacing w:val="3"/>
        </w:rPr>
        <w:t>爆破后</w:t>
      </w:r>
      <w:r>
        <w:rPr>
          <w:rFonts w:hint="eastAsia" w:ascii="MS UI Gothic" w:eastAsia="MS UI Gothic"/>
          <w:spacing w:val="11"/>
          <w:w w:val="90"/>
        </w:rPr>
        <w:t xml:space="preserve">ꎬ </w:t>
      </w:r>
      <w:r>
        <w:rPr>
          <w:spacing w:val="2"/>
        </w:rPr>
        <w:t>进入工作面检查的时间应当</w:t>
      </w:r>
      <w:r>
        <w:rPr>
          <w:spacing w:val="3"/>
        </w:rPr>
        <w:t>在措施中明确规定</w:t>
      </w:r>
      <w:r>
        <w:rPr>
          <w:rFonts w:hint="eastAsia" w:ascii="MS UI Gothic" w:eastAsia="MS UI Gothic"/>
          <w:spacing w:val="-6"/>
          <w:w w:val="90"/>
        </w:rPr>
        <w:t xml:space="preserve">ꎬ </w:t>
      </w:r>
      <w:r>
        <w:rPr>
          <w:spacing w:val="-12"/>
        </w:rPr>
        <w:t xml:space="preserve">但不得小于 </w:t>
      </w:r>
      <w:r>
        <w:rPr>
          <w:rFonts w:hint="eastAsia" w:ascii="MS UI Gothic" w:eastAsia="MS UI Gothic"/>
          <w:spacing w:val="-10"/>
        </w:rPr>
        <w:t xml:space="preserve">３０ </w:t>
      </w:r>
      <w:r>
        <w:rPr>
          <w:rFonts w:hint="eastAsia" w:ascii="MS UI Gothic" w:eastAsia="MS UI Gothic"/>
        </w:rPr>
        <w:t>ｍｉｎ</w:t>
      </w:r>
      <w:r>
        <w:rPr>
          <w:rFonts w:hint="eastAsia" w:ascii="MS UI Gothic" w:eastAsia="MS UI Gothic"/>
          <w:w w:val="90"/>
        </w:rPr>
        <w:t>ꎮ</w:t>
      </w:r>
    </w:p>
    <w:p>
      <w:pPr>
        <w:pStyle w:val="6"/>
        <w:spacing w:line="295" w:lineRule="auto"/>
        <w:ind w:right="39"/>
      </w:pPr>
      <w:r>
        <w:rPr>
          <w:w w:val="105"/>
        </w:rPr>
        <w:t>第二百二十三条 突出煤层采掘工作面附近</w:t>
      </w:r>
      <w:r>
        <w:rPr>
          <w:rFonts w:hint="eastAsia" w:ascii="MS UI Gothic" w:eastAsia="MS UI Gothic"/>
          <w:w w:val="80"/>
        </w:rPr>
        <w:t xml:space="preserve">、 </w:t>
      </w:r>
      <w:r>
        <w:rPr>
          <w:w w:val="105"/>
        </w:rPr>
        <w:t>爆破撤离人员集中地点</w:t>
      </w:r>
      <w:r>
        <w:rPr>
          <w:rFonts w:hint="eastAsia" w:ascii="MS UI Gothic" w:eastAsia="MS UI Gothic"/>
          <w:w w:val="80"/>
        </w:rPr>
        <w:t xml:space="preserve">、 </w:t>
      </w:r>
      <w:r>
        <w:rPr>
          <w:w w:val="105"/>
        </w:rPr>
        <w:t>起爆地</w:t>
      </w:r>
      <w:r>
        <w:t>点必须设有直通矿调度室的电话</w:t>
      </w:r>
      <w:r>
        <w:rPr>
          <w:rFonts w:hint="eastAsia" w:ascii="MS UI Gothic" w:eastAsia="MS UI Gothic"/>
          <w:w w:val="80"/>
        </w:rPr>
        <w:t xml:space="preserve">ꎬ </w:t>
      </w:r>
      <w:r>
        <w:t>并设置有供给压缩空气的避险设施或者压风自救装置</w:t>
      </w:r>
      <w:r>
        <w:rPr>
          <w:rFonts w:hint="eastAsia" w:ascii="MS UI Gothic" w:eastAsia="MS UI Gothic"/>
          <w:w w:val="80"/>
        </w:rPr>
        <w:t xml:space="preserve">ꎮ </w:t>
      </w:r>
      <w:r>
        <w:t>工作面回风系统中有人作业的地</w:t>
      </w:r>
    </w:p>
    <w:p>
      <w:pPr>
        <w:pStyle w:val="6"/>
        <w:spacing w:line="236" w:lineRule="exact"/>
        <w:ind w:firstLine="0"/>
        <w:jc w:val="left"/>
        <w:rPr>
          <w:rFonts w:hint="eastAsia" w:ascii="MS UI Gothic" w:eastAsia="MS UI Gothic"/>
        </w:rPr>
      </w:pPr>
      <w:r>
        <w:t>点</w:t>
      </w:r>
      <w:r>
        <w:rPr>
          <w:rFonts w:hint="eastAsia" w:ascii="MS UI Gothic" w:eastAsia="MS UI Gothic"/>
          <w:w w:val="80"/>
        </w:rPr>
        <w:t xml:space="preserve">ꎬ </w:t>
      </w:r>
      <w:r>
        <w:t>也应当设置压风自救装置</w:t>
      </w:r>
      <w:r>
        <w:rPr>
          <w:rFonts w:hint="eastAsia" w:ascii="MS UI Gothic" w:eastAsia="MS UI Gothic"/>
          <w:w w:val="80"/>
        </w:rPr>
        <w:t>ꎮ</w:t>
      </w:r>
    </w:p>
    <w:p>
      <w:pPr>
        <w:pStyle w:val="6"/>
        <w:spacing w:before="74"/>
        <w:ind w:left="130" w:firstLine="0"/>
        <w:rPr>
          <w:rFonts w:hint="eastAsia" w:ascii="MS UI Gothic" w:eastAsia="MS UI Gothic"/>
        </w:rPr>
      </w:pPr>
      <w:r>
        <w:br w:type="column"/>
      </w:r>
      <w:r>
        <w:t>鼓</w:t>
      </w:r>
      <w:r>
        <w:rPr>
          <w:rFonts w:hint="eastAsia" w:ascii="MS UI Gothic" w:eastAsia="MS UI Gothic"/>
        </w:rPr>
        <w:t xml:space="preserve">、 </w:t>
      </w:r>
      <w:r>
        <w:t>煤岩弹射等动力现象的</w:t>
      </w:r>
      <w:r>
        <w:rPr>
          <w:rFonts w:hint="eastAsia" w:ascii="MS UI Gothic" w:eastAsia="MS UI Gothic"/>
          <w:w w:val="80"/>
        </w:rPr>
        <w:t>ꎮ</w:t>
      </w:r>
    </w:p>
    <w:p>
      <w:pPr>
        <w:pStyle w:val="6"/>
        <w:spacing w:before="58" w:line="295" w:lineRule="auto"/>
        <w:ind w:right="442" w:firstLine="425"/>
        <w:rPr>
          <w:rFonts w:hint="eastAsia" w:ascii="MS UI Gothic" w:eastAsia="MS UI Gothic"/>
        </w:rPr>
      </w:pPr>
      <w:r>
        <w:rPr>
          <w:rFonts w:hint="eastAsia" w:ascii="MS UI Gothic" w:eastAsia="MS UI Gothic"/>
          <w:w w:val="140"/>
        </w:rPr>
        <w:t xml:space="preserve">( </w:t>
      </w:r>
      <w:r>
        <w:t>二</w:t>
      </w:r>
      <w:r>
        <w:rPr>
          <w:rFonts w:hint="eastAsia" w:ascii="MS UI Gothic" w:eastAsia="MS UI Gothic"/>
          <w:w w:val="140"/>
        </w:rPr>
        <w:t xml:space="preserve">) </w:t>
      </w:r>
      <w:r>
        <w:t xml:space="preserve">埋深超过 </w:t>
      </w:r>
      <w:r>
        <w:rPr>
          <w:rFonts w:hint="eastAsia" w:ascii="MS UI Gothic" w:eastAsia="MS UI Gothic"/>
          <w:w w:val="85"/>
        </w:rPr>
        <w:t xml:space="preserve">４００ ｍ </w:t>
      </w:r>
      <w:r>
        <w:t>的煤层</w:t>
      </w:r>
      <w:r>
        <w:rPr>
          <w:rFonts w:hint="eastAsia" w:ascii="MS UI Gothic" w:eastAsia="MS UI Gothic"/>
          <w:w w:val="85"/>
        </w:rPr>
        <w:t xml:space="preserve">ꎬ </w:t>
      </w:r>
      <w:r>
        <w:t xml:space="preserve">且煤层上方 </w:t>
      </w:r>
      <w:r>
        <w:rPr>
          <w:rFonts w:hint="eastAsia" w:ascii="MS UI Gothic" w:eastAsia="MS UI Gothic"/>
          <w:w w:val="85"/>
        </w:rPr>
        <w:t xml:space="preserve">１００ ｍ </w:t>
      </w:r>
      <w:r>
        <w:t>范围内存在单层厚度超过</w:t>
      </w:r>
      <w:r>
        <w:rPr>
          <w:rFonts w:hint="eastAsia" w:ascii="MS UI Gothic" w:eastAsia="MS UI Gothic"/>
          <w:w w:val="85"/>
        </w:rPr>
        <w:t xml:space="preserve">１０ ｍ </w:t>
      </w:r>
      <w:r>
        <w:t>的坚硬岩层</w:t>
      </w:r>
      <w:r>
        <w:rPr>
          <w:rFonts w:hint="eastAsia" w:ascii="MS UI Gothic" w:eastAsia="MS UI Gothic"/>
          <w:w w:val="85"/>
        </w:rPr>
        <w:t>ꎮ</w:t>
      </w:r>
    </w:p>
    <w:p>
      <w:pPr>
        <w:pStyle w:val="6"/>
        <w:spacing w:line="295" w:lineRule="auto"/>
        <w:ind w:left="130" w:right="442"/>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相邻矿井开采的同一煤层发生</w:t>
      </w:r>
      <w:r>
        <w:rPr>
          <w:w w:val="110"/>
        </w:rPr>
        <w:t>过冲击地压的</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冲击地压矿井开采新水平</w:t>
      </w:r>
      <w:r>
        <w:rPr>
          <w:rFonts w:hint="eastAsia" w:ascii="MS UI Gothic" w:eastAsia="MS UI Gothic"/>
          <w:w w:val="80"/>
        </w:rPr>
        <w:t xml:space="preserve">、 </w:t>
      </w:r>
      <w:r>
        <w:rPr>
          <w:w w:val="105"/>
        </w:rPr>
        <w:t>新煤层</w:t>
      </w:r>
      <w:r>
        <w:rPr>
          <w:rFonts w:hint="eastAsia" w:ascii="MS UI Gothic" w:eastAsia="MS UI Gothic"/>
          <w:w w:val="80"/>
        </w:rPr>
        <w:t>ꎮ</w:t>
      </w:r>
    </w:p>
    <w:p>
      <w:pPr>
        <w:pStyle w:val="6"/>
        <w:spacing w:line="295" w:lineRule="auto"/>
        <w:ind w:left="130" w:right="442"/>
        <w:rPr>
          <w:rFonts w:hint="eastAsia" w:ascii="MS UI Gothic" w:eastAsia="MS UI Gothic"/>
        </w:rPr>
      </w:pPr>
      <w:r>
        <w:t>第二百二十七条 开采具有冲击倾向性的煤层</w:t>
      </w:r>
      <w:r>
        <w:rPr>
          <w:rFonts w:hint="eastAsia" w:ascii="MS UI Gothic" w:eastAsia="MS UI Gothic"/>
          <w:w w:val="80"/>
        </w:rPr>
        <w:t xml:space="preserve">ꎬ </w:t>
      </w:r>
      <w:r>
        <w:t>必须进行冲击危险性评价</w:t>
      </w:r>
      <w:r>
        <w:rPr>
          <w:rFonts w:hint="eastAsia" w:ascii="MS UI Gothic" w:eastAsia="MS UI Gothic"/>
          <w:w w:val="80"/>
        </w:rPr>
        <w:t>ꎮ</w:t>
      </w:r>
    </w:p>
    <w:p>
      <w:pPr>
        <w:pStyle w:val="6"/>
        <w:spacing w:line="295" w:lineRule="auto"/>
        <w:ind w:left="130" w:right="442"/>
        <w:rPr>
          <w:rFonts w:hint="eastAsia" w:ascii="MS UI Gothic" w:eastAsia="MS UI Gothic"/>
        </w:rPr>
      </w:pPr>
      <w:r>
        <w:rPr>
          <w:spacing w:val="2"/>
          <w:w w:val="105"/>
        </w:rPr>
        <w:t xml:space="preserve">第二百二十八条 矿井防治冲击地压 </w:t>
      </w:r>
      <w:r>
        <w:rPr>
          <w:rFonts w:hint="eastAsia" w:ascii="MS UI Gothic" w:eastAsia="MS UI Gothic"/>
          <w:spacing w:val="-20"/>
          <w:w w:val="105"/>
        </w:rPr>
        <w:t xml:space="preserve">( </w:t>
      </w:r>
      <w:r>
        <w:rPr>
          <w:spacing w:val="33"/>
          <w:w w:val="105"/>
        </w:rPr>
        <w:t>以下简称防冲</w:t>
      </w:r>
      <w:r>
        <w:rPr>
          <w:rFonts w:hint="eastAsia" w:ascii="MS UI Gothic" w:eastAsia="MS UI Gothic"/>
          <w:spacing w:val="17"/>
          <w:w w:val="105"/>
        </w:rPr>
        <w:t xml:space="preserve">) </w:t>
      </w:r>
      <w:r>
        <w:rPr>
          <w:spacing w:val="36"/>
          <w:w w:val="105"/>
        </w:rPr>
        <w:t>工作应当遵守下列</w:t>
      </w:r>
      <w:r>
        <w:rPr>
          <w:spacing w:val="3"/>
          <w:w w:val="115"/>
        </w:rPr>
        <w:t>规定</w:t>
      </w:r>
      <w:r>
        <w:rPr>
          <w:rFonts w:hint="eastAsia" w:ascii="MS UI Gothic" w:eastAsia="MS UI Gothic"/>
          <w:w w:val="235"/>
        </w:rPr>
        <w:t>:</w:t>
      </w:r>
    </w:p>
    <w:p>
      <w:pPr>
        <w:pStyle w:val="6"/>
        <w:spacing w:line="254" w:lineRule="exact"/>
        <w:ind w:left="549"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设专门的机构与人员</w:t>
      </w:r>
      <w:r>
        <w:rPr>
          <w:rFonts w:hint="eastAsia" w:ascii="MS UI Gothic" w:eastAsia="MS UI Gothic"/>
          <w:w w:val="80"/>
        </w:rPr>
        <w:t>ꎮ</w:t>
      </w:r>
    </w:p>
    <w:p>
      <w:pPr>
        <w:pStyle w:val="6"/>
        <w:spacing w:before="51" w:line="295" w:lineRule="auto"/>
        <w:ind w:left="130" w:right="460"/>
        <w:rPr>
          <w:rFonts w:hint="eastAsia" w:ascii="MS UI Gothic" w:hAnsi="MS UI Gothic" w:eastAsia="MS UI Gothic"/>
        </w:rPr>
      </w:pPr>
      <w:r>
        <w:rPr>
          <w:rFonts w:hint="eastAsia" w:ascii="MS UI Gothic" w:hAnsi="MS UI Gothic" w:eastAsia="MS UI Gothic"/>
          <w:w w:val="150"/>
        </w:rPr>
        <w:t xml:space="preserve">( </w:t>
      </w:r>
      <w:r>
        <w:rPr>
          <w:w w:val="105"/>
        </w:rPr>
        <w:t>二</w:t>
      </w:r>
      <w:r>
        <w:rPr>
          <w:rFonts w:hint="eastAsia" w:ascii="MS UI Gothic" w:hAnsi="MS UI Gothic" w:eastAsia="MS UI Gothic"/>
          <w:w w:val="150"/>
        </w:rPr>
        <w:t xml:space="preserve">) </w:t>
      </w:r>
      <w:r>
        <w:rPr>
          <w:w w:val="105"/>
        </w:rPr>
        <w:t xml:space="preserve">坚持 </w:t>
      </w:r>
      <w:r>
        <w:rPr>
          <w:rFonts w:hint="eastAsia" w:ascii="MS UI Gothic" w:hAnsi="MS UI Gothic" w:eastAsia="MS UI Gothic"/>
          <w:w w:val="105"/>
        </w:rPr>
        <w:t xml:space="preserve">“ </w:t>
      </w:r>
      <w:r>
        <w:rPr>
          <w:w w:val="105"/>
        </w:rPr>
        <w:t>区域先行</w:t>
      </w:r>
      <w:r>
        <w:rPr>
          <w:rFonts w:hint="eastAsia" w:ascii="MS UI Gothic" w:hAnsi="MS UI Gothic" w:eastAsia="MS UI Gothic"/>
          <w:w w:val="80"/>
        </w:rPr>
        <w:t xml:space="preserve">、 </w:t>
      </w:r>
      <w:r>
        <w:rPr>
          <w:w w:val="105"/>
        </w:rPr>
        <w:t>局部跟进</w:t>
      </w:r>
      <w:r>
        <w:rPr>
          <w:rFonts w:hint="eastAsia" w:ascii="MS UI Gothic" w:hAnsi="MS UI Gothic" w:eastAsia="MS UI Gothic"/>
          <w:w w:val="105"/>
        </w:rPr>
        <w:t xml:space="preserve">” </w:t>
      </w:r>
      <w:r>
        <w:rPr>
          <w:w w:val="105"/>
        </w:rPr>
        <w:t>的防冲原则</w:t>
      </w:r>
      <w:r>
        <w:rPr>
          <w:rFonts w:hint="eastAsia" w:ascii="MS UI Gothic" w:hAns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必须编制中长期防冲规划与年</w:t>
      </w:r>
      <w:r>
        <w:t>度防冲计划</w:t>
      </w:r>
      <w:r>
        <w:rPr>
          <w:rFonts w:hint="eastAsia" w:ascii="MS UI Gothic" w:eastAsia="MS UI Gothic"/>
          <w:w w:val="80"/>
        </w:rPr>
        <w:t xml:space="preserve">ꎬ </w:t>
      </w:r>
      <w:r>
        <w:t>采掘工作面作业规程中必须</w:t>
      </w:r>
      <w:r>
        <w:rPr>
          <w:w w:val="105"/>
        </w:rPr>
        <w:t>包括防冲专项措施</w:t>
      </w:r>
      <w:r>
        <w:rPr>
          <w:rFonts w:hint="eastAsia" w:ascii="MS UI Gothic" w:eastAsia="MS UI Gothic"/>
          <w:w w:val="80"/>
        </w:rPr>
        <w:t>ꎮ</w:t>
      </w:r>
    </w:p>
    <w:p>
      <w:pPr>
        <w:pStyle w:val="6"/>
        <w:spacing w:line="295" w:lineRule="auto"/>
        <w:ind w:left="130" w:right="442"/>
      </w:pPr>
      <w:r>
        <w:rPr>
          <w:rFonts w:hint="eastAsia" w:ascii="MS UI Gothic" w:eastAsia="MS UI Gothic"/>
          <w:spacing w:val="-39"/>
          <w:w w:val="150"/>
        </w:rPr>
        <w:t xml:space="preserve">( </w:t>
      </w:r>
      <w:r>
        <w:rPr>
          <w:spacing w:val="3"/>
          <w:w w:val="105"/>
        </w:rPr>
        <w:t>四</w:t>
      </w:r>
      <w:r>
        <w:rPr>
          <w:rFonts w:hint="eastAsia" w:ascii="MS UI Gothic" w:eastAsia="MS UI Gothic"/>
          <w:spacing w:val="-3"/>
          <w:w w:val="150"/>
        </w:rPr>
        <w:t xml:space="preserve">) </w:t>
      </w:r>
      <w:r>
        <w:rPr>
          <w:spacing w:val="5"/>
          <w:w w:val="105"/>
        </w:rPr>
        <w:t>开采冲击地压煤层时</w:t>
      </w:r>
      <w:r>
        <w:rPr>
          <w:rFonts w:hint="eastAsia" w:ascii="MS UI Gothic" w:eastAsia="MS UI Gothic"/>
          <w:spacing w:val="13"/>
          <w:w w:val="80"/>
        </w:rPr>
        <w:t xml:space="preserve">ꎬ </w:t>
      </w:r>
      <w:r>
        <w:rPr>
          <w:spacing w:val="7"/>
          <w:w w:val="105"/>
        </w:rPr>
        <w:t>必须采</w:t>
      </w:r>
      <w:r>
        <w:rPr>
          <w:spacing w:val="12"/>
          <w:w w:val="105"/>
        </w:rPr>
        <w:t>取冲击危险性预测</w:t>
      </w:r>
      <w:r>
        <w:rPr>
          <w:rFonts w:hint="eastAsia" w:ascii="MS UI Gothic" w:eastAsia="MS UI Gothic"/>
          <w:spacing w:val="16"/>
          <w:w w:val="80"/>
        </w:rPr>
        <w:t xml:space="preserve">、 </w:t>
      </w:r>
      <w:r>
        <w:rPr>
          <w:spacing w:val="18"/>
          <w:w w:val="105"/>
        </w:rPr>
        <w:t>监测预警</w:t>
      </w:r>
      <w:r>
        <w:rPr>
          <w:rFonts w:hint="eastAsia" w:ascii="MS UI Gothic" w:eastAsia="MS UI Gothic"/>
          <w:spacing w:val="17"/>
          <w:w w:val="80"/>
        </w:rPr>
        <w:t xml:space="preserve">、 </w:t>
      </w:r>
      <w:r>
        <w:rPr>
          <w:spacing w:val="15"/>
          <w:w w:val="105"/>
        </w:rPr>
        <w:t>防范治</w:t>
      </w:r>
    </w:p>
    <w:p>
      <w:pPr>
        <w:pStyle w:val="6"/>
        <w:spacing w:line="238" w:lineRule="exact"/>
        <w:ind w:left="130" w:firstLine="0"/>
      </w:pPr>
      <w:r>
        <w:rPr>
          <w:spacing w:val="3"/>
        </w:rPr>
        <w:t>理</w:t>
      </w:r>
      <w:r>
        <w:rPr>
          <w:rFonts w:hint="eastAsia" w:ascii="MS UI Gothic" w:eastAsia="MS UI Gothic"/>
          <w:spacing w:val="28"/>
        </w:rPr>
        <w:t xml:space="preserve">、 </w:t>
      </w:r>
      <w:r>
        <w:rPr>
          <w:spacing w:val="9"/>
        </w:rPr>
        <w:t>效果检验</w:t>
      </w:r>
      <w:r>
        <w:rPr>
          <w:rFonts w:hint="eastAsia" w:ascii="MS UI Gothic" w:eastAsia="MS UI Gothic"/>
          <w:spacing w:val="3"/>
        </w:rPr>
        <w:t xml:space="preserve">、  </w:t>
      </w:r>
      <w:r>
        <w:rPr>
          <w:spacing w:val="20"/>
        </w:rPr>
        <w:t>安全防护等综合性防治</w:t>
      </w:r>
    </w:p>
    <w:p>
      <w:pPr>
        <w:spacing w:after="0" w:line="238" w:lineRule="exact"/>
        <w:sectPr>
          <w:type w:val="continuous"/>
          <w:pgSz w:w="10500" w:h="14750"/>
          <w:pgMar w:top="1400" w:right="980" w:bottom="280" w:left="980" w:header="720" w:footer="720" w:gutter="0"/>
          <w:cols w:equalWidth="0" w:num="2">
            <w:col w:w="3936" w:space="250"/>
            <w:col w:w="4354"/>
          </w:cols>
        </w:sectPr>
      </w:pPr>
    </w:p>
    <w:p>
      <w:pPr>
        <w:pStyle w:val="6"/>
        <w:tabs>
          <w:tab w:val="left" w:pos="2474"/>
        </w:tabs>
        <w:spacing w:before="62"/>
        <w:ind w:left="543" w:firstLine="0"/>
        <w:jc w:val="left"/>
      </w:pPr>
      <w:r>
        <w:rPr>
          <w:spacing w:val="15"/>
          <w:w w:val="105"/>
        </w:rPr>
        <w:t>第</w:t>
      </w:r>
      <w:r>
        <w:rPr>
          <w:spacing w:val="34"/>
          <w:w w:val="105"/>
        </w:rPr>
        <w:t>二百二十</w:t>
      </w:r>
      <w:r>
        <w:rPr>
          <w:spacing w:val="36"/>
          <w:w w:val="105"/>
        </w:rPr>
        <w:t>四</w:t>
      </w:r>
      <w:r>
        <w:rPr>
          <w:w w:val="105"/>
        </w:rPr>
        <w:t>条</w:t>
      </w:r>
      <w:r>
        <w:rPr>
          <w:w w:val="105"/>
        </w:rPr>
        <w:tab/>
      </w:r>
      <w:r>
        <w:rPr>
          <w:spacing w:val="36"/>
        </w:rPr>
        <w:t>清理突出的</w:t>
      </w:r>
      <w:r>
        <w:t>煤</w:t>
      </w:r>
    </w:p>
    <w:p>
      <w:pPr>
        <w:pStyle w:val="6"/>
        <w:spacing w:before="58" w:line="240" w:lineRule="exact"/>
        <w:ind w:firstLine="0"/>
        <w:jc w:val="left"/>
      </w:pPr>
      <w:r>
        <w:rPr>
          <w:rFonts w:hint="eastAsia" w:ascii="MS UI Gothic" w:eastAsia="MS UI Gothic"/>
          <w:spacing w:val="-38"/>
          <w:w w:val="150"/>
        </w:rPr>
        <w:t xml:space="preserve">( </w:t>
      </w:r>
      <w:r>
        <w:rPr>
          <w:spacing w:val="3"/>
          <w:w w:val="105"/>
        </w:rPr>
        <w:t>岩</w:t>
      </w:r>
      <w:r>
        <w:rPr>
          <w:rFonts w:hint="eastAsia" w:ascii="MS UI Gothic" w:eastAsia="MS UI Gothic"/>
          <w:spacing w:val="12"/>
          <w:w w:val="150"/>
        </w:rPr>
        <w:t xml:space="preserve">) </w:t>
      </w:r>
      <w:r>
        <w:rPr>
          <w:spacing w:val="3"/>
          <w:w w:val="105"/>
        </w:rPr>
        <w:t>时</w:t>
      </w:r>
      <w:r>
        <w:rPr>
          <w:rFonts w:hint="eastAsia" w:ascii="MS UI Gothic" w:eastAsia="MS UI Gothic"/>
          <w:spacing w:val="2"/>
          <w:w w:val="80"/>
        </w:rPr>
        <w:t xml:space="preserve">ꎬ  </w:t>
      </w:r>
      <w:r>
        <w:rPr>
          <w:spacing w:val="27"/>
          <w:w w:val="105"/>
        </w:rPr>
        <w:t>必须制定防煤尘</w:t>
      </w:r>
      <w:r>
        <w:rPr>
          <w:rFonts w:hint="eastAsia" w:ascii="MS UI Gothic" w:eastAsia="MS UI Gothic"/>
          <w:spacing w:val="2"/>
          <w:w w:val="80"/>
        </w:rPr>
        <w:t xml:space="preserve">、  </w:t>
      </w:r>
      <w:r>
        <w:rPr>
          <w:spacing w:val="17"/>
          <w:w w:val="105"/>
        </w:rPr>
        <w:t>片帮</w:t>
      </w:r>
      <w:r>
        <w:rPr>
          <w:rFonts w:hint="eastAsia" w:ascii="MS UI Gothic" w:eastAsia="MS UI Gothic"/>
          <w:spacing w:val="2"/>
          <w:w w:val="80"/>
        </w:rPr>
        <w:t xml:space="preserve">、  </w:t>
      </w:r>
      <w:r>
        <w:rPr>
          <w:w w:val="105"/>
        </w:rPr>
        <w:t>冒</w:t>
      </w:r>
    </w:p>
    <w:p>
      <w:pPr>
        <w:spacing w:before="62"/>
        <w:ind w:left="124" w:right="0" w:firstLine="0"/>
        <w:jc w:val="left"/>
        <w:rPr>
          <w:rFonts w:hint="eastAsia" w:ascii="MS UI Gothic" w:eastAsia="MS UI Gothic"/>
          <w:sz w:val="20"/>
        </w:rPr>
      </w:pPr>
      <w:r>
        <w:br w:type="column"/>
      </w:r>
      <w:r>
        <w:rPr>
          <w:sz w:val="20"/>
        </w:rPr>
        <w:t>措施</w:t>
      </w:r>
      <w:r>
        <w:rPr>
          <w:rFonts w:hint="eastAsia" w:ascii="MS UI Gothic" w:eastAsia="MS UI Gothic"/>
          <w:w w:val="80"/>
          <w:sz w:val="20"/>
        </w:rPr>
        <w:t>ꎮ</w:t>
      </w:r>
    </w:p>
    <w:p>
      <w:pPr>
        <w:pStyle w:val="6"/>
        <w:spacing w:before="58" w:line="240" w:lineRule="exact"/>
        <w:ind w:left="543" w:firstLine="0"/>
        <w:jc w:val="left"/>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必须建立防冲培训制度</w:t>
      </w:r>
      <w:r>
        <w:rPr>
          <w:rFonts w:hint="eastAsia" w:ascii="MS UI Gothic" w:eastAsia="MS UI Gothic"/>
          <w:w w:val="80"/>
        </w:rPr>
        <w:t>ꎮ</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74" w:line="295" w:lineRule="auto"/>
        <w:ind w:right="38" w:firstLine="0"/>
        <w:jc w:val="left"/>
        <w:rPr>
          <w:rFonts w:hint="eastAsia" w:ascii="MS UI Gothic" w:eastAsia="MS UI Gothic"/>
        </w:rPr>
      </w:pPr>
      <w:r>
        <w:t>顶</w:t>
      </w:r>
      <w:r>
        <w:rPr>
          <w:rFonts w:hint="eastAsia" w:ascii="MS UI Gothic" w:eastAsia="MS UI Gothic"/>
        </w:rPr>
        <w:t xml:space="preserve">、 </w:t>
      </w:r>
      <w:r>
        <w:t>瓦斯超限</w:t>
      </w:r>
      <w:r>
        <w:rPr>
          <w:rFonts w:hint="eastAsia" w:ascii="MS UI Gothic" w:eastAsia="MS UI Gothic"/>
        </w:rPr>
        <w:t xml:space="preserve">、 </w:t>
      </w:r>
      <w:r>
        <w:t>出现火源</w:t>
      </w:r>
      <w:r>
        <w:rPr>
          <w:rFonts w:hint="eastAsia" w:ascii="MS UI Gothic" w:eastAsia="MS UI Gothic"/>
          <w:w w:val="80"/>
        </w:rPr>
        <w:t xml:space="preserve">ꎬ </w:t>
      </w:r>
      <w:r>
        <w:t>以及防止再次发生突出事故的安全措施</w:t>
      </w:r>
      <w:r>
        <w:rPr>
          <w:rFonts w:hint="eastAsia" w:ascii="MS UI Gothic" w:eastAsia="MS UI Gothic"/>
          <w:w w:val="80"/>
        </w:rPr>
        <w:t>ꎮ</w:t>
      </w:r>
    </w:p>
    <w:p>
      <w:pPr>
        <w:pStyle w:val="6"/>
        <w:tabs>
          <w:tab w:val="left" w:pos="1801"/>
        </w:tabs>
        <w:spacing w:before="156"/>
        <w:ind w:left="963" w:firstLine="0"/>
        <w:jc w:val="left"/>
      </w:pPr>
      <w:r>
        <w:rPr>
          <w:spacing w:val="3"/>
          <w:w w:val="105"/>
        </w:rPr>
        <w:t>第五</w:t>
      </w:r>
      <w:r>
        <w:rPr>
          <w:w w:val="105"/>
        </w:rPr>
        <w:t>章</w:t>
      </w:r>
      <w:r>
        <w:rPr>
          <w:w w:val="105"/>
        </w:rPr>
        <w:tab/>
      </w:r>
      <w:r>
        <w:rPr>
          <w:spacing w:val="3"/>
          <w:w w:val="105"/>
        </w:rPr>
        <w:t>冲击地压防</w:t>
      </w:r>
      <w:r>
        <w:rPr>
          <w:w w:val="105"/>
        </w:rPr>
        <w:t>治</w:t>
      </w:r>
    </w:p>
    <w:p>
      <w:pPr>
        <w:pStyle w:val="6"/>
        <w:ind w:left="0" w:firstLine="0"/>
        <w:jc w:val="left"/>
        <w:rPr>
          <w:sz w:val="29"/>
        </w:rPr>
      </w:pPr>
    </w:p>
    <w:p>
      <w:pPr>
        <w:pStyle w:val="6"/>
        <w:tabs>
          <w:tab w:val="left" w:pos="1906"/>
        </w:tabs>
        <w:spacing w:before="1"/>
        <w:ind w:left="1067" w:firstLine="0"/>
        <w:jc w:val="left"/>
      </w:pPr>
      <w:r>
        <w:rPr>
          <w:spacing w:val="3"/>
          <w:w w:val="105"/>
        </w:rPr>
        <w:t>第一</w:t>
      </w:r>
      <w:r>
        <w:rPr>
          <w:w w:val="105"/>
        </w:rPr>
        <w:t>节</w:t>
      </w:r>
      <w:r>
        <w:rPr>
          <w:w w:val="105"/>
        </w:rPr>
        <w:tab/>
      </w:r>
      <w:r>
        <w:rPr>
          <w:w w:val="105"/>
        </w:rPr>
        <w:t>一</w:t>
      </w:r>
      <w:r>
        <w:rPr>
          <w:spacing w:val="-34"/>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line="295" w:lineRule="auto"/>
        <w:ind w:right="38"/>
        <w:rPr>
          <w:rFonts w:hint="eastAsia" w:ascii="MS UI Gothic" w:eastAsia="MS UI Gothic"/>
        </w:rPr>
      </w:pPr>
      <w:r>
        <w:rPr>
          <w:spacing w:val="2"/>
          <w:w w:val="105"/>
        </w:rPr>
        <w:t>第二百二十五条 在矿井井田范围内</w:t>
      </w:r>
      <w:r>
        <w:rPr>
          <w:spacing w:val="3"/>
        </w:rPr>
        <w:t>发生过冲击地压现象的煤层</w:t>
      </w:r>
      <w:r>
        <w:rPr>
          <w:rFonts w:hint="eastAsia" w:ascii="MS UI Gothic" w:eastAsia="MS UI Gothic"/>
          <w:spacing w:val="21"/>
          <w:w w:val="80"/>
        </w:rPr>
        <w:t xml:space="preserve">ꎬ </w:t>
      </w:r>
      <w:r>
        <w:rPr>
          <w:spacing w:val="2"/>
        </w:rPr>
        <w:t>或者经鉴定</w:t>
      </w:r>
      <w:r>
        <w:rPr>
          <w:spacing w:val="-16"/>
          <w:w w:val="105"/>
        </w:rPr>
        <w:t xml:space="preserve">煤层 </w:t>
      </w:r>
      <w:r>
        <w:rPr>
          <w:rFonts w:hint="eastAsia" w:ascii="MS UI Gothic" w:eastAsia="MS UI Gothic"/>
          <w:spacing w:val="-38"/>
          <w:w w:val="150"/>
        </w:rPr>
        <w:t xml:space="preserve">( </w:t>
      </w:r>
      <w:r>
        <w:rPr>
          <w:spacing w:val="3"/>
          <w:w w:val="105"/>
        </w:rPr>
        <w:t>或者其顶底板岩层</w:t>
      </w:r>
      <w:r>
        <w:rPr>
          <w:rFonts w:hint="eastAsia" w:ascii="MS UI Gothic" w:eastAsia="MS UI Gothic"/>
          <w:spacing w:val="5"/>
          <w:w w:val="150"/>
        </w:rPr>
        <w:t xml:space="preserve">) </w:t>
      </w:r>
      <w:r>
        <w:rPr>
          <w:spacing w:val="2"/>
          <w:w w:val="105"/>
        </w:rPr>
        <w:t>具有冲击倾向</w:t>
      </w:r>
      <w:r>
        <w:rPr>
          <w:spacing w:val="2"/>
        </w:rPr>
        <w:t>性且评价具有冲击危险性的煤层为冲击地</w:t>
      </w:r>
      <w:r>
        <w:rPr>
          <w:spacing w:val="3"/>
        </w:rPr>
        <w:t>压煤层</w:t>
      </w:r>
      <w:r>
        <w:rPr>
          <w:rFonts w:hint="eastAsia" w:ascii="MS UI Gothic" w:eastAsia="MS UI Gothic"/>
          <w:spacing w:val="21"/>
          <w:w w:val="80"/>
        </w:rPr>
        <w:t xml:space="preserve">ꎮ </w:t>
      </w:r>
      <w:r>
        <w:rPr>
          <w:spacing w:val="2"/>
        </w:rPr>
        <w:t>有冲击地压煤层的矿井为冲击地</w:t>
      </w:r>
      <w:r>
        <w:rPr>
          <w:spacing w:val="3"/>
          <w:w w:val="105"/>
        </w:rPr>
        <w:t>压矿井</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第二百二十六条 有下列情况之一</w:t>
      </w:r>
      <w:r>
        <w:rPr>
          <w:w w:val="110"/>
        </w:rPr>
        <w:t>的</w:t>
      </w:r>
      <w:r>
        <w:rPr>
          <w:rFonts w:hint="eastAsia" w:ascii="MS UI Gothic" w:eastAsia="MS UI Gothic"/>
          <w:w w:val="80"/>
        </w:rPr>
        <w:t xml:space="preserve">ꎬ </w:t>
      </w:r>
      <w:r>
        <w:rPr>
          <w:w w:val="110"/>
        </w:rPr>
        <w:t>应当进行煤岩冲击倾向性鉴定</w:t>
      </w:r>
      <w:r>
        <w:rPr>
          <w:rFonts w:hint="eastAsia" w:ascii="MS UI Gothic" w:eastAsia="MS UI Gothic"/>
          <w:w w:val="235"/>
        </w:rPr>
        <w:t>:</w:t>
      </w:r>
    </w:p>
    <w:p>
      <w:pPr>
        <w:pStyle w:val="6"/>
        <w:spacing w:before="74" w:line="295" w:lineRule="auto"/>
        <w:ind w:right="442"/>
        <w:rPr>
          <w:rFonts w:hint="eastAsia" w:ascii="MS UI Gothic" w:eastAsia="MS UI Gothic"/>
        </w:rPr>
      </w:pPr>
      <w:r>
        <w:br w:type="column"/>
      </w:r>
      <w:r>
        <w:rPr>
          <w:spacing w:val="4"/>
        </w:rPr>
        <w:t>第二百二十九条 新建矿井和冲击地</w:t>
      </w:r>
      <w:r>
        <w:rPr>
          <w:spacing w:val="3"/>
        </w:rPr>
        <w:t>压矿井的新水平</w:t>
      </w:r>
      <w:r>
        <w:rPr>
          <w:rFonts w:hint="eastAsia" w:ascii="MS UI Gothic" w:eastAsia="MS UI Gothic"/>
          <w:spacing w:val="22"/>
          <w:w w:val="80"/>
        </w:rPr>
        <w:t xml:space="preserve">、 </w:t>
      </w:r>
      <w:r>
        <w:rPr>
          <w:spacing w:val="3"/>
        </w:rPr>
        <w:t>新采区</w:t>
      </w:r>
      <w:r>
        <w:rPr>
          <w:rFonts w:hint="eastAsia" w:ascii="MS UI Gothic" w:eastAsia="MS UI Gothic"/>
          <w:spacing w:val="23"/>
          <w:w w:val="80"/>
        </w:rPr>
        <w:t xml:space="preserve">、 </w:t>
      </w:r>
      <w:r>
        <w:rPr>
          <w:spacing w:val="2"/>
        </w:rPr>
        <w:t>新煤层有冲击</w:t>
      </w:r>
      <w:r>
        <w:rPr>
          <w:spacing w:val="3"/>
        </w:rPr>
        <w:t>地压危险的</w:t>
      </w:r>
      <w:r>
        <w:rPr>
          <w:rFonts w:hint="eastAsia" w:ascii="MS UI Gothic" w:eastAsia="MS UI Gothic"/>
          <w:spacing w:val="23"/>
          <w:w w:val="80"/>
        </w:rPr>
        <w:t xml:space="preserve">ꎬ </w:t>
      </w:r>
      <w:r>
        <w:rPr>
          <w:spacing w:val="3"/>
        </w:rPr>
        <w:t>必须编制防冲设计</w:t>
      </w:r>
      <w:r>
        <w:rPr>
          <w:rFonts w:hint="eastAsia" w:ascii="MS UI Gothic" w:eastAsia="MS UI Gothic"/>
          <w:spacing w:val="23"/>
          <w:w w:val="80"/>
        </w:rPr>
        <w:t xml:space="preserve">ꎮ </w:t>
      </w:r>
      <w:r>
        <w:rPr>
          <w:spacing w:val="2"/>
        </w:rPr>
        <w:t>防冲设</w:t>
      </w:r>
      <w:r>
        <w:rPr>
          <w:spacing w:val="3"/>
        </w:rPr>
        <w:t>计应当包括开拓方式</w:t>
      </w:r>
      <w:r>
        <w:rPr>
          <w:rFonts w:hint="eastAsia" w:ascii="MS UI Gothic" w:eastAsia="MS UI Gothic"/>
          <w:spacing w:val="22"/>
          <w:w w:val="80"/>
        </w:rPr>
        <w:t xml:space="preserve">、 </w:t>
      </w:r>
      <w:r>
        <w:rPr>
          <w:spacing w:val="3"/>
        </w:rPr>
        <w:t>保护层的选择</w:t>
      </w:r>
      <w:r>
        <w:rPr>
          <w:rFonts w:hint="eastAsia" w:ascii="MS UI Gothic" w:eastAsia="MS UI Gothic"/>
          <w:spacing w:val="23"/>
          <w:w w:val="80"/>
        </w:rPr>
        <w:t xml:space="preserve">、 </w:t>
      </w:r>
      <w:r>
        <w:t>采</w:t>
      </w:r>
      <w:r>
        <w:rPr>
          <w:spacing w:val="8"/>
        </w:rPr>
        <w:t>区巷道布置</w:t>
      </w:r>
      <w:r>
        <w:rPr>
          <w:rFonts w:hint="eastAsia" w:ascii="MS UI Gothic" w:eastAsia="MS UI Gothic"/>
          <w:spacing w:val="3"/>
          <w:w w:val="80"/>
        </w:rPr>
        <w:t xml:space="preserve">、 </w:t>
      </w:r>
      <w:r>
        <w:rPr>
          <w:spacing w:val="20"/>
        </w:rPr>
        <w:t>工作面开采顺序</w:t>
      </w:r>
      <w:r>
        <w:rPr>
          <w:rFonts w:hint="eastAsia" w:ascii="MS UI Gothic" w:eastAsia="MS UI Gothic"/>
          <w:spacing w:val="2"/>
          <w:w w:val="80"/>
        </w:rPr>
        <w:t xml:space="preserve">、  </w:t>
      </w:r>
      <w:r>
        <w:rPr>
          <w:spacing w:val="15"/>
        </w:rPr>
        <w:t>采煤方</w:t>
      </w:r>
      <w:r>
        <w:rPr>
          <w:spacing w:val="3"/>
        </w:rPr>
        <w:t>法</w:t>
      </w:r>
      <w:r>
        <w:rPr>
          <w:rFonts w:hint="eastAsia" w:ascii="MS UI Gothic" w:eastAsia="MS UI Gothic"/>
          <w:spacing w:val="15"/>
          <w:w w:val="80"/>
        </w:rPr>
        <w:t xml:space="preserve">、 </w:t>
      </w:r>
      <w:r>
        <w:rPr>
          <w:spacing w:val="3"/>
        </w:rPr>
        <w:t>生产能力</w:t>
      </w:r>
      <w:r>
        <w:rPr>
          <w:rFonts w:hint="eastAsia" w:ascii="MS UI Gothic" w:eastAsia="MS UI Gothic"/>
          <w:spacing w:val="16"/>
          <w:w w:val="80"/>
        </w:rPr>
        <w:t xml:space="preserve">、 </w:t>
      </w:r>
      <w:r>
        <w:rPr>
          <w:spacing w:val="3"/>
        </w:rPr>
        <w:t>支护形式</w:t>
      </w:r>
      <w:r>
        <w:rPr>
          <w:rFonts w:hint="eastAsia" w:ascii="MS UI Gothic" w:eastAsia="MS UI Gothic"/>
          <w:spacing w:val="15"/>
          <w:w w:val="80"/>
        </w:rPr>
        <w:t xml:space="preserve">、 </w:t>
      </w:r>
      <w:r>
        <w:rPr>
          <w:spacing w:val="2"/>
        </w:rPr>
        <w:t>冲击危险性预</w:t>
      </w:r>
      <w:r>
        <w:rPr>
          <w:spacing w:val="3"/>
        </w:rPr>
        <w:t>测方法</w:t>
      </w:r>
      <w:r>
        <w:rPr>
          <w:rFonts w:hint="eastAsia" w:ascii="MS UI Gothic" w:eastAsia="MS UI Gothic"/>
          <w:spacing w:val="22"/>
          <w:w w:val="80"/>
        </w:rPr>
        <w:t xml:space="preserve">、 </w:t>
      </w:r>
      <w:r>
        <w:rPr>
          <w:spacing w:val="3"/>
        </w:rPr>
        <w:t>冲击地压监测预警方法</w:t>
      </w:r>
      <w:r>
        <w:rPr>
          <w:rFonts w:hint="eastAsia" w:ascii="MS UI Gothic" w:eastAsia="MS UI Gothic"/>
          <w:spacing w:val="23"/>
          <w:w w:val="80"/>
        </w:rPr>
        <w:t xml:space="preserve">、 </w:t>
      </w:r>
      <w:r>
        <w:rPr>
          <w:spacing w:val="2"/>
        </w:rPr>
        <w:t>防冲措</w:t>
      </w:r>
      <w:r>
        <w:rPr>
          <w:spacing w:val="26"/>
        </w:rPr>
        <w:t>施及效果检验方法</w:t>
      </w:r>
      <w:r>
        <w:rPr>
          <w:rFonts w:hint="eastAsia" w:ascii="MS UI Gothic" w:eastAsia="MS UI Gothic"/>
          <w:spacing w:val="24"/>
          <w:w w:val="80"/>
        </w:rPr>
        <w:t xml:space="preserve">、 </w:t>
      </w:r>
      <w:r>
        <w:rPr>
          <w:spacing w:val="30"/>
        </w:rPr>
        <w:t>安全防护措施等</w:t>
      </w:r>
      <w:r>
        <w:rPr>
          <w:spacing w:val="3"/>
        </w:rPr>
        <w:t>内容</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第二百三十条 冲击地压矿井应当按</w:t>
      </w:r>
      <w:r>
        <w:rPr>
          <w:spacing w:val="3"/>
        </w:rPr>
        <w:t>防冲要求进行矿井生产能力核定</w:t>
      </w:r>
      <w:r>
        <w:rPr>
          <w:rFonts w:hint="eastAsia" w:ascii="MS UI Gothic" w:eastAsia="MS UI Gothic"/>
          <w:spacing w:val="20"/>
          <w:w w:val="80"/>
        </w:rPr>
        <w:t xml:space="preserve">ꎮ </w:t>
      </w:r>
      <w:r>
        <w:rPr>
          <w:spacing w:val="1"/>
        </w:rPr>
        <w:t>提高矿</w:t>
      </w:r>
      <w:r>
        <w:rPr>
          <w:spacing w:val="13"/>
        </w:rPr>
        <w:t>井生产能力和新水平延深时</w:t>
      </w:r>
      <w:r>
        <w:rPr>
          <w:rFonts w:hint="eastAsia" w:ascii="MS UI Gothic" w:eastAsia="MS UI Gothic"/>
          <w:spacing w:val="23"/>
          <w:w w:val="80"/>
        </w:rPr>
        <w:t xml:space="preserve">ꎬ </w:t>
      </w:r>
      <w:r>
        <w:rPr>
          <w:spacing w:val="15"/>
        </w:rPr>
        <w:t>必须进行</w:t>
      </w:r>
      <w:r>
        <w:rPr>
          <w:spacing w:val="3"/>
        </w:rPr>
        <w:t>论证</w:t>
      </w:r>
      <w:r>
        <w:rPr>
          <w:rFonts w:hint="eastAsia" w:ascii="MS UI Gothic" w:eastAsia="MS UI Gothic"/>
          <w:w w:val="80"/>
        </w:rPr>
        <w:t>ꎮ</w:t>
      </w:r>
    </w:p>
    <w:p>
      <w:pPr>
        <w:pStyle w:val="6"/>
        <w:spacing w:line="253" w:lineRule="exact"/>
        <w:ind w:left="543" w:firstLine="0"/>
        <w:jc w:val="left"/>
      </w:pPr>
      <w:r>
        <w:rPr>
          <w:w w:val="105"/>
        </w:rPr>
        <w:t>采取综合防冲措施后不能消除冲击地</w:t>
      </w:r>
    </w:p>
    <w:p>
      <w:pPr>
        <w:spacing w:after="0" w:line="253"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２７３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48" o:spid="_x0000_s1848" o:spt="203" style="height:2.15pt;width:398.25pt;" coordsize="7965,43">
            <o:lock v:ext="edit"/>
            <v:line id="_x0000_s1849" o:spid="_x0000_s1849" o:spt="20" style="position:absolute;left:0;top:39;height:0;width:7965;" stroked="t" coordsize="21600,21600">
              <v:path arrowok="t"/>
              <v:fill focussize="0,0"/>
              <v:stroke weight="0.388031496062992pt" color="#231F20"/>
              <v:imagedata o:title=""/>
              <o:lock v:ext="edit"/>
            </v:line>
            <v:line id="_x0000_s1850" o:spid="_x0000_s185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rPr>
          <w:rFonts w:hint="eastAsia" w:ascii="MS UI Gothic" w:eastAsia="MS UI Gothic"/>
        </w:rPr>
      </w:pPr>
      <w:r>
        <w:rPr>
          <w:spacing w:val="3"/>
        </w:rPr>
        <w:t>压灾害的矿井</w:t>
      </w:r>
      <w:r>
        <w:rPr>
          <w:rFonts w:hint="eastAsia" w:ascii="MS UI Gothic" w:eastAsia="MS UI Gothic"/>
          <w:spacing w:val="11"/>
          <w:w w:val="80"/>
        </w:rPr>
        <w:t xml:space="preserve">ꎬ </w:t>
      </w:r>
      <w:r>
        <w:rPr>
          <w:spacing w:val="3"/>
        </w:rPr>
        <w:t>不得进行采掘作业</w:t>
      </w:r>
      <w:r>
        <w:rPr>
          <w:rFonts w:hint="eastAsia" w:ascii="MS UI Gothic" w:eastAsia="MS UI Gothic"/>
          <w:w w:val="80"/>
        </w:rPr>
        <w:t>ꎮ</w:t>
      </w:r>
    </w:p>
    <w:p>
      <w:pPr>
        <w:pStyle w:val="6"/>
        <w:spacing w:before="58" w:line="295" w:lineRule="auto"/>
        <w:ind w:left="440"/>
        <w:rPr>
          <w:rFonts w:hint="eastAsia" w:ascii="MS UI Gothic" w:eastAsia="MS UI Gothic"/>
        </w:rPr>
      </w:pPr>
      <w:r>
        <w:rPr>
          <w:spacing w:val="2"/>
          <w:w w:val="105"/>
        </w:rPr>
        <w:t>第二百三十一条 冲击地压矿井巷道</w:t>
      </w:r>
      <w:r>
        <w:rPr>
          <w:spacing w:val="3"/>
          <w:w w:val="110"/>
        </w:rPr>
        <w:t>布置与采掘作业应当遵守下列规定</w:t>
      </w:r>
      <w:r>
        <w:rPr>
          <w:rFonts w:hint="eastAsia" w:ascii="MS UI Gothic" w:eastAsia="MS UI Gothic"/>
          <w:w w:val="235"/>
        </w:rPr>
        <w:t>:</w:t>
      </w:r>
    </w:p>
    <w:p>
      <w:pPr>
        <w:pStyle w:val="6"/>
        <w:spacing w:line="295" w:lineRule="auto"/>
        <w:ind w:left="440"/>
      </w:pPr>
      <w:r>
        <w:rPr>
          <w:rFonts w:hint="eastAsia" w:ascii="MS UI Gothic" w:eastAsia="MS UI Gothic"/>
          <w:spacing w:val="-39"/>
          <w:w w:val="150"/>
        </w:rPr>
        <w:t xml:space="preserve">( </w:t>
      </w:r>
      <w:r>
        <w:rPr>
          <w:spacing w:val="3"/>
          <w:w w:val="105"/>
        </w:rPr>
        <w:t>一</w:t>
      </w:r>
      <w:r>
        <w:rPr>
          <w:rFonts w:hint="eastAsia" w:ascii="MS UI Gothic" w:eastAsia="MS UI Gothic"/>
          <w:spacing w:val="-4"/>
          <w:w w:val="150"/>
        </w:rPr>
        <w:t xml:space="preserve">) </w:t>
      </w:r>
      <w:r>
        <w:rPr>
          <w:spacing w:val="5"/>
          <w:w w:val="105"/>
        </w:rPr>
        <w:t>开采冲击地压煤层时</w:t>
      </w:r>
      <w:r>
        <w:rPr>
          <w:rFonts w:hint="eastAsia" w:ascii="MS UI Gothic" w:eastAsia="MS UI Gothic"/>
          <w:spacing w:val="13"/>
          <w:w w:val="80"/>
        </w:rPr>
        <w:t xml:space="preserve">ꎬ </w:t>
      </w:r>
      <w:r>
        <w:rPr>
          <w:spacing w:val="7"/>
          <w:w w:val="105"/>
        </w:rPr>
        <w:t>在应力</w:t>
      </w:r>
      <w:r>
        <w:rPr>
          <w:spacing w:val="-8"/>
          <w:w w:val="105"/>
        </w:rPr>
        <w:t xml:space="preserve">集中区内不得布置 </w:t>
      </w:r>
      <w:r>
        <w:rPr>
          <w:rFonts w:hint="eastAsia" w:ascii="MS UI Gothic" w:eastAsia="MS UI Gothic"/>
          <w:spacing w:val="-14"/>
          <w:w w:val="80"/>
        </w:rPr>
        <w:t xml:space="preserve">２ </w:t>
      </w:r>
      <w:r>
        <w:rPr>
          <w:spacing w:val="2"/>
          <w:w w:val="105"/>
        </w:rPr>
        <w:t>个工作面同时进行采</w:t>
      </w:r>
    </w:p>
    <w:p>
      <w:pPr>
        <w:pStyle w:val="6"/>
        <w:spacing w:line="295" w:lineRule="auto"/>
        <w:ind w:left="435" w:firstLine="5"/>
        <w:rPr>
          <w:rFonts w:hint="eastAsia" w:ascii="MS UI Gothic" w:eastAsia="MS UI Gothic"/>
        </w:rPr>
      </w:pPr>
      <w:r>
        <w:rPr>
          <w:w w:val="95"/>
        </w:rPr>
        <w:t>掘作业</w:t>
      </w:r>
      <w:r>
        <w:rPr>
          <w:rFonts w:hint="eastAsia" w:ascii="MS UI Gothic" w:eastAsia="MS UI Gothic"/>
          <w:w w:val="90"/>
        </w:rPr>
        <w:t xml:space="preserve">ꎮ </w:t>
      </w:r>
      <w:r>
        <w:rPr>
          <w:rFonts w:hint="eastAsia" w:ascii="MS UI Gothic" w:eastAsia="MS UI Gothic"/>
          <w:w w:val="95"/>
        </w:rPr>
        <w:t xml:space="preserve">２ </w:t>
      </w:r>
      <w:r>
        <w:rPr>
          <w:w w:val="95"/>
        </w:rPr>
        <w:t>个掘进工作面之间的距离小于</w:t>
      </w:r>
      <w:r>
        <w:rPr>
          <w:rFonts w:hint="eastAsia" w:ascii="MS UI Gothic" w:eastAsia="MS UI Gothic"/>
          <w:w w:val="95"/>
        </w:rPr>
        <w:t xml:space="preserve">１５０ ｍ </w:t>
      </w:r>
      <w:r>
        <w:rPr>
          <w:w w:val="95"/>
        </w:rPr>
        <w:t>时</w:t>
      </w:r>
      <w:r>
        <w:rPr>
          <w:rFonts w:hint="eastAsia" w:ascii="MS UI Gothic" w:eastAsia="MS UI Gothic"/>
          <w:w w:val="90"/>
        </w:rPr>
        <w:t xml:space="preserve">ꎬ </w:t>
      </w:r>
      <w:r>
        <w:rPr>
          <w:w w:val="95"/>
        </w:rPr>
        <w:t xml:space="preserve">采煤工作面与掘进工作面之间的距离小于 </w:t>
      </w:r>
      <w:r>
        <w:rPr>
          <w:rFonts w:hint="eastAsia" w:ascii="MS UI Gothic" w:eastAsia="MS UI Gothic"/>
          <w:w w:val="95"/>
        </w:rPr>
        <w:t xml:space="preserve">３５０ ｍ </w:t>
      </w:r>
      <w:r>
        <w:rPr>
          <w:w w:val="95"/>
        </w:rPr>
        <w:t>时</w:t>
      </w:r>
      <w:r>
        <w:rPr>
          <w:rFonts w:hint="eastAsia" w:ascii="MS UI Gothic" w:eastAsia="MS UI Gothic"/>
          <w:w w:val="90"/>
        </w:rPr>
        <w:t xml:space="preserve">ꎬ </w:t>
      </w:r>
      <w:r>
        <w:rPr>
          <w:rFonts w:hint="eastAsia" w:ascii="MS UI Gothic" w:eastAsia="MS UI Gothic"/>
          <w:w w:val="95"/>
        </w:rPr>
        <w:t xml:space="preserve">２ </w:t>
      </w:r>
      <w:r>
        <w:rPr>
          <w:w w:val="95"/>
        </w:rPr>
        <w:t xml:space="preserve">个采煤工作面之间的距离小于 </w:t>
      </w:r>
      <w:r>
        <w:rPr>
          <w:rFonts w:hint="eastAsia" w:ascii="MS UI Gothic" w:eastAsia="MS UI Gothic"/>
          <w:w w:val="95"/>
        </w:rPr>
        <w:t xml:space="preserve">５００ ｍ </w:t>
      </w:r>
      <w:r>
        <w:rPr>
          <w:w w:val="95"/>
        </w:rPr>
        <w:t>时</w:t>
      </w:r>
      <w:r>
        <w:rPr>
          <w:rFonts w:hint="eastAsia" w:ascii="MS UI Gothic" w:eastAsia="MS UI Gothic"/>
          <w:w w:val="90"/>
        </w:rPr>
        <w:t xml:space="preserve">ꎬ </w:t>
      </w:r>
      <w:r>
        <w:rPr>
          <w:w w:val="95"/>
        </w:rPr>
        <w:t>必须停止其中一个工作面</w:t>
      </w:r>
      <w:r>
        <w:rPr>
          <w:rFonts w:hint="eastAsia" w:ascii="MS UI Gothic" w:eastAsia="MS UI Gothic"/>
          <w:w w:val="90"/>
        </w:rPr>
        <w:t xml:space="preserve">ꎮ  </w:t>
      </w:r>
      <w:r>
        <w:rPr>
          <w:w w:val="95"/>
        </w:rPr>
        <w:t>相邻矿井</w:t>
      </w:r>
      <w:r>
        <w:rPr>
          <w:rFonts w:hint="eastAsia" w:ascii="MS UI Gothic" w:eastAsia="MS UI Gothic"/>
          <w:w w:val="95"/>
        </w:rPr>
        <w:t xml:space="preserve">、  </w:t>
      </w:r>
      <w:r>
        <w:rPr>
          <w:w w:val="95"/>
        </w:rPr>
        <w:t>相邻采区之间应当避免开采相互影响</w:t>
      </w:r>
      <w:r>
        <w:rPr>
          <w:rFonts w:hint="eastAsia" w:ascii="MS UI Gothic" w:eastAsia="MS UI Gothic"/>
          <w:w w:val="90"/>
        </w:rPr>
        <w:t>ꎮ</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2"/>
          <w:w w:val="150"/>
        </w:rPr>
        <w:t xml:space="preserve">) </w:t>
      </w:r>
      <w:r>
        <w:rPr>
          <w:spacing w:val="5"/>
          <w:w w:val="105"/>
        </w:rPr>
        <w:t>开拓巷道不得布置在严重冲击</w:t>
      </w:r>
      <w:r>
        <w:rPr>
          <w:spacing w:val="3"/>
        </w:rPr>
        <w:t>地压煤层中</w:t>
      </w:r>
      <w:r>
        <w:rPr>
          <w:rFonts w:hint="eastAsia" w:ascii="MS UI Gothic" w:eastAsia="MS UI Gothic"/>
          <w:spacing w:val="21"/>
          <w:w w:val="80"/>
        </w:rPr>
        <w:t xml:space="preserve">ꎬ </w:t>
      </w:r>
      <w:r>
        <w:rPr>
          <w:spacing w:val="2"/>
        </w:rPr>
        <w:t>永久硐室不得布置在冲击地</w:t>
      </w:r>
      <w:r>
        <w:rPr>
          <w:spacing w:val="3"/>
        </w:rPr>
        <w:t>压煤层中</w:t>
      </w:r>
      <w:r>
        <w:rPr>
          <w:rFonts w:hint="eastAsia" w:ascii="MS UI Gothic" w:eastAsia="MS UI Gothic"/>
          <w:spacing w:val="21"/>
          <w:w w:val="80"/>
        </w:rPr>
        <w:t xml:space="preserve">ꎮ </w:t>
      </w:r>
      <w:r>
        <w:rPr>
          <w:spacing w:val="2"/>
        </w:rPr>
        <w:t>煤层巷道与硐室布置不应留底</w:t>
      </w:r>
      <w:r>
        <w:rPr>
          <w:spacing w:val="3"/>
        </w:rPr>
        <w:t>煤</w:t>
      </w:r>
      <w:r>
        <w:rPr>
          <w:rFonts w:hint="eastAsia" w:ascii="MS UI Gothic" w:eastAsia="MS UI Gothic"/>
          <w:spacing w:val="18"/>
          <w:w w:val="80"/>
        </w:rPr>
        <w:t xml:space="preserve">ꎬ </w:t>
      </w:r>
      <w:r>
        <w:rPr>
          <w:spacing w:val="13"/>
        </w:rPr>
        <w:t>如果留有底煤必须采取底板预卸压</w:t>
      </w:r>
      <w:r>
        <w:rPr>
          <w:spacing w:val="3"/>
          <w:w w:val="105"/>
        </w:rPr>
        <w:t>措施</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2"/>
          <w:w w:val="150"/>
        </w:rPr>
        <w:t xml:space="preserve">) </w:t>
      </w:r>
      <w:r>
        <w:rPr>
          <w:spacing w:val="5"/>
          <w:w w:val="105"/>
        </w:rPr>
        <w:t>严重冲击地压厚煤层中的巷道</w:t>
      </w:r>
      <w:r>
        <w:rPr>
          <w:spacing w:val="3"/>
        </w:rPr>
        <w:t>应当布置在应力集中区外</w:t>
      </w:r>
      <w:r>
        <w:rPr>
          <w:rFonts w:hint="eastAsia" w:ascii="MS UI Gothic" w:eastAsia="MS UI Gothic"/>
          <w:spacing w:val="15"/>
          <w:w w:val="80"/>
        </w:rPr>
        <w:t xml:space="preserve">ꎮ </w:t>
      </w:r>
      <w:r>
        <w:t xml:space="preserve">双巷掘进时 </w:t>
      </w:r>
      <w:r>
        <w:rPr>
          <w:rFonts w:hint="eastAsia" w:ascii="MS UI Gothic" w:eastAsia="MS UI Gothic"/>
          <w:w w:val="80"/>
        </w:rPr>
        <w:t xml:space="preserve">２ </w:t>
      </w:r>
      <w:r>
        <w:rPr>
          <w:spacing w:val="3"/>
          <w:w w:val="105"/>
        </w:rPr>
        <w:t>条平行巷道在时间</w:t>
      </w:r>
      <w:r>
        <w:rPr>
          <w:rFonts w:hint="eastAsia" w:ascii="MS UI Gothic" w:eastAsia="MS UI Gothic"/>
          <w:spacing w:val="-5"/>
          <w:w w:val="80"/>
        </w:rPr>
        <w:t xml:space="preserve">、 </w:t>
      </w:r>
      <w:r>
        <w:rPr>
          <w:spacing w:val="2"/>
          <w:w w:val="105"/>
        </w:rPr>
        <w:t>空间上应当避免相互</w:t>
      </w:r>
      <w:r>
        <w:rPr>
          <w:spacing w:val="3"/>
          <w:w w:val="105"/>
        </w:rPr>
        <w:t>影响</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t>四</w:t>
      </w:r>
      <w:r>
        <w:rPr>
          <w:rFonts w:hint="eastAsia" w:ascii="MS UI Gothic" w:eastAsia="MS UI Gothic"/>
          <w:w w:val="150"/>
        </w:rPr>
        <w:t xml:space="preserve">) </w:t>
      </w:r>
      <w:r>
        <w:t>冲击地压煤层应当严格按顺序开采</w:t>
      </w:r>
      <w:r>
        <w:rPr>
          <w:rFonts w:hint="eastAsia" w:ascii="MS UI Gothic" w:eastAsia="MS UI Gothic"/>
          <w:w w:val="80"/>
        </w:rPr>
        <w:t xml:space="preserve">ꎬ </w:t>
      </w:r>
      <w:r>
        <w:t>不得留孤岛煤柱</w:t>
      </w:r>
      <w:r>
        <w:rPr>
          <w:rFonts w:hint="eastAsia" w:ascii="MS UI Gothic" w:eastAsia="MS UI Gothic"/>
          <w:w w:val="80"/>
        </w:rPr>
        <w:t xml:space="preserve">ꎮ </w:t>
      </w:r>
      <w:r>
        <w:t>在采空区内不得留有煤柱</w:t>
      </w:r>
      <w:r>
        <w:rPr>
          <w:rFonts w:hint="eastAsia" w:ascii="MS UI Gothic" w:eastAsia="MS UI Gothic"/>
          <w:w w:val="80"/>
        </w:rPr>
        <w:t xml:space="preserve">ꎬ </w:t>
      </w:r>
      <w:r>
        <w:t>如果必须在采空区内留煤柱时</w:t>
      </w:r>
      <w:r>
        <w:rPr>
          <w:rFonts w:hint="eastAsia" w:ascii="MS UI Gothic" w:eastAsia="MS UI Gothic"/>
          <w:w w:val="80"/>
        </w:rPr>
        <w:t xml:space="preserve">ꎬ </w:t>
      </w:r>
      <w:r>
        <w:t>应当进行论证</w:t>
      </w:r>
      <w:r>
        <w:rPr>
          <w:rFonts w:hint="eastAsia" w:ascii="MS UI Gothic" w:eastAsia="MS UI Gothic"/>
          <w:w w:val="80"/>
        </w:rPr>
        <w:t xml:space="preserve">ꎬ </w:t>
      </w:r>
      <w:r>
        <w:t>报企业技术负责人审批</w:t>
      </w:r>
      <w:r>
        <w:rPr>
          <w:rFonts w:hint="eastAsia" w:ascii="MS UI Gothic" w:eastAsia="MS UI Gothic"/>
          <w:w w:val="80"/>
        </w:rPr>
        <w:t xml:space="preserve">ꎬ </w:t>
      </w:r>
      <w:r>
        <w:t>并将煤柱的位置</w:t>
      </w:r>
      <w:r>
        <w:rPr>
          <w:rFonts w:hint="eastAsia" w:ascii="MS UI Gothic" w:eastAsia="MS UI Gothic"/>
          <w:w w:val="80"/>
        </w:rPr>
        <w:t xml:space="preserve">、 </w:t>
      </w:r>
      <w:r>
        <w:t>尺寸以及影响范围标在采掘工程平面图上</w:t>
      </w:r>
      <w:r>
        <w:rPr>
          <w:rFonts w:hint="eastAsia" w:ascii="MS UI Gothic" w:eastAsia="MS UI Gothic"/>
          <w:w w:val="80"/>
        </w:rPr>
        <w:t xml:space="preserve">ꎮ </w:t>
      </w:r>
      <w:r>
        <w:t>开采孤岛煤柱的</w:t>
      </w:r>
      <w:r>
        <w:rPr>
          <w:rFonts w:hint="eastAsia" w:ascii="MS UI Gothic" w:eastAsia="MS UI Gothic"/>
          <w:w w:val="80"/>
        </w:rPr>
        <w:t xml:space="preserve">ꎬ </w:t>
      </w:r>
      <w:r>
        <w:t>应当进行防冲安全开采论证</w:t>
      </w:r>
      <w:r>
        <w:rPr>
          <w:rFonts w:hint="eastAsia" w:ascii="MS UI Gothic" w:eastAsia="MS UI Gothic"/>
          <w:w w:val="80"/>
        </w:rPr>
        <w:t xml:space="preserve">ꎻ </w:t>
      </w:r>
      <w:r>
        <w:t>严重冲击地压矿井不得开采孤岛煤柱</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对冲击地压煤层</w:t>
      </w:r>
      <w:r>
        <w:rPr>
          <w:rFonts w:hint="eastAsia" w:ascii="MS UI Gothic" w:eastAsia="MS UI Gothic"/>
          <w:w w:val="80"/>
        </w:rPr>
        <w:t xml:space="preserve">ꎬ </w:t>
      </w:r>
      <w:r>
        <w:rPr>
          <w:w w:val="105"/>
        </w:rPr>
        <w:t>应当根据顶</w:t>
      </w:r>
      <w:r>
        <w:t>底板岩性适当加大掘进巷道宽度</w:t>
      </w:r>
      <w:r>
        <w:rPr>
          <w:rFonts w:hint="eastAsia" w:ascii="MS UI Gothic" w:eastAsia="MS UI Gothic"/>
          <w:w w:val="80"/>
        </w:rPr>
        <w:t xml:space="preserve">ꎮ </w:t>
      </w:r>
      <w:r>
        <w:t>应当优先选择无煤柱护巷工艺</w:t>
      </w:r>
      <w:r>
        <w:rPr>
          <w:rFonts w:hint="eastAsia" w:ascii="MS UI Gothic" w:eastAsia="MS UI Gothic"/>
          <w:w w:val="80"/>
        </w:rPr>
        <w:t xml:space="preserve">ꎬ </w:t>
      </w:r>
      <w:r>
        <w:t>采用大煤柱护巷时应当避开应力集中区</w:t>
      </w:r>
      <w:r>
        <w:rPr>
          <w:rFonts w:hint="eastAsia" w:ascii="MS UI Gothic" w:eastAsia="MS UI Gothic"/>
          <w:w w:val="80"/>
        </w:rPr>
        <w:t xml:space="preserve">ꎬ </w:t>
      </w:r>
      <w:r>
        <w:t>严禁留大煤柱影响邻近层开采</w:t>
      </w:r>
      <w:r>
        <w:rPr>
          <w:rFonts w:hint="eastAsia" w:ascii="MS UI Gothic" w:eastAsia="MS UI Gothic"/>
          <w:w w:val="80"/>
        </w:rPr>
        <w:t xml:space="preserve">ꎮ </w:t>
      </w:r>
      <w:r>
        <w:t>巷道严禁采用刚性支护</w:t>
      </w:r>
      <w:r>
        <w:rPr>
          <w:rFonts w:hint="eastAsia" w:ascii="MS UI Gothic" w:eastAsia="MS UI Gothic"/>
          <w:w w:val="80"/>
        </w:rPr>
        <w:t>ꎮ</w:t>
      </w:r>
    </w:p>
    <w:p>
      <w:pPr>
        <w:pStyle w:val="6"/>
        <w:spacing w:line="295" w:lineRule="auto"/>
        <w:ind w:left="440"/>
        <w:rPr>
          <w:rFonts w:hint="eastAsia" w:ascii="MS UI Gothic" w:eastAsia="MS UI Gothic"/>
        </w:rPr>
      </w:pPr>
      <w:r>
        <w:pict>
          <v:shape id="_x0000_s1851" o:spid="_x0000_s1851" o:spt="202" type="#_x0000_t202" style="position:absolute;left:0pt;margin-left:71pt;margin-top:12pt;height:24.35pt;width:5.15pt;mso-position-horizontal-relative:page;z-index:-27577344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rPr>
                  </w:pPr>
                  <w:r>
                    <w:rPr>
                      <w:rFonts w:ascii="MS UI Gothic"/>
                      <w:w w:val="168"/>
                    </w:rPr>
                    <w:t>(</w:t>
                  </w:r>
                </w:p>
              </w:txbxContent>
            </v:textbox>
          </v:shape>
        </w:pict>
      </w: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采用垮落法管理顶板时</w:t>
      </w:r>
      <w:r>
        <w:rPr>
          <w:rFonts w:hint="eastAsia" w:ascii="MS UI Gothic" w:eastAsia="MS UI Gothic"/>
          <w:w w:val="80"/>
        </w:rPr>
        <w:t xml:space="preserve">ꎬ </w:t>
      </w:r>
      <w:r>
        <w:rPr>
          <w:w w:val="105"/>
        </w:rPr>
        <w:t>支架柱</w:t>
      </w:r>
      <w:r>
        <w:rPr>
          <w:rFonts w:hint="eastAsia" w:ascii="MS UI Gothic" w:eastAsia="MS UI Gothic"/>
          <w:w w:val="150"/>
        </w:rPr>
        <w:t xml:space="preserve">) </w:t>
      </w:r>
      <w:r>
        <w:rPr>
          <w:w w:val="105"/>
        </w:rPr>
        <w:t>应当有足够的支护强度</w:t>
      </w:r>
      <w:r>
        <w:rPr>
          <w:rFonts w:hint="eastAsia" w:ascii="MS UI Gothic" w:eastAsia="MS UI Gothic"/>
          <w:w w:val="80"/>
        </w:rPr>
        <w:t xml:space="preserve">ꎬ </w:t>
      </w:r>
      <w:r>
        <w:rPr>
          <w:w w:val="105"/>
        </w:rPr>
        <w:t>采空区中所有支柱必须回净</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冲击地压煤层掘进工作面临近大型地质构造</w:t>
      </w:r>
      <w:r>
        <w:rPr>
          <w:rFonts w:hint="eastAsia" w:ascii="MS UI Gothic" w:eastAsia="MS UI Gothic"/>
          <w:w w:val="80"/>
        </w:rPr>
        <w:t xml:space="preserve">、 </w:t>
      </w:r>
      <w:r>
        <w:rPr>
          <w:w w:val="105"/>
        </w:rPr>
        <w:t>采空区</w:t>
      </w:r>
      <w:r>
        <w:rPr>
          <w:rFonts w:hint="eastAsia" w:ascii="MS UI Gothic" w:eastAsia="MS UI Gothic"/>
          <w:w w:val="80"/>
        </w:rPr>
        <w:t xml:space="preserve">、 </w:t>
      </w:r>
      <w:r>
        <w:rPr>
          <w:w w:val="105"/>
        </w:rPr>
        <w:t>其他应力集中区时</w:t>
      </w:r>
      <w:r>
        <w:rPr>
          <w:rFonts w:hint="eastAsia" w:ascii="MS UI Gothic" w:eastAsia="MS UI Gothic"/>
          <w:w w:val="80"/>
        </w:rPr>
        <w:t xml:space="preserve">ꎬ </w:t>
      </w:r>
      <w:r>
        <w:rPr>
          <w:w w:val="105"/>
        </w:rPr>
        <w:t>必须制定专项措施</w:t>
      </w:r>
      <w:r>
        <w:rPr>
          <w:rFonts w:hint="eastAsia" w:ascii="MS UI Gothic" w:eastAsia="MS UI Gothic"/>
          <w:w w:val="80"/>
        </w:rPr>
        <w:t>ꎮ</w:t>
      </w:r>
    </w:p>
    <w:p>
      <w:pPr>
        <w:pStyle w:val="6"/>
        <w:spacing w:before="124" w:line="295" w:lineRule="auto"/>
        <w:ind w:left="383" w:right="126"/>
        <w:rPr>
          <w:rFonts w:hint="eastAsia" w:ascii="MS UI Gothic" w:hAnsi="MS UI Gothic" w:eastAsia="MS UI Gothic"/>
        </w:rPr>
      </w:pPr>
      <w:r>
        <w:br w:type="column"/>
      </w:r>
      <w:r>
        <w:rPr>
          <w:rFonts w:hint="eastAsia" w:ascii="MS UI Gothic" w:hAnsi="MS UI Gothic" w:eastAsia="MS UI Gothic"/>
          <w:w w:val="150"/>
        </w:rPr>
        <w:t xml:space="preserve">( </w:t>
      </w:r>
      <w:r>
        <w:rPr>
          <w:w w:val="105"/>
        </w:rPr>
        <w:t>八</w:t>
      </w:r>
      <w:r>
        <w:rPr>
          <w:rFonts w:hint="eastAsia" w:ascii="MS UI Gothic" w:hAnsi="MS UI Gothic" w:eastAsia="MS UI Gothic"/>
          <w:w w:val="150"/>
        </w:rPr>
        <w:t xml:space="preserve">) </w:t>
      </w:r>
      <w:r>
        <w:rPr>
          <w:w w:val="105"/>
        </w:rPr>
        <w:t>应当在作业规程中明确规定初次来压</w:t>
      </w:r>
      <w:r>
        <w:rPr>
          <w:rFonts w:hint="eastAsia" w:ascii="MS UI Gothic" w:hAnsi="MS UI Gothic" w:eastAsia="MS UI Gothic"/>
          <w:w w:val="80"/>
        </w:rPr>
        <w:t xml:space="preserve">、 </w:t>
      </w:r>
      <w:r>
        <w:rPr>
          <w:w w:val="105"/>
        </w:rPr>
        <w:t>周期来压</w:t>
      </w:r>
      <w:r>
        <w:rPr>
          <w:rFonts w:hint="eastAsia" w:ascii="MS UI Gothic" w:hAnsi="MS UI Gothic" w:eastAsia="MS UI Gothic"/>
          <w:w w:val="80"/>
        </w:rPr>
        <w:t xml:space="preserve">、 </w:t>
      </w:r>
      <w:r>
        <w:rPr>
          <w:w w:val="105"/>
        </w:rPr>
        <w:t xml:space="preserve">采空区 </w:t>
      </w:r>
      <w:r>
        <w:rPr>
          <w:rFonts w:hint="eastAsia" w:ascii="MS UI Gothic" w:hAnsi="MS UI Gothic" w:eastAsia="MS UI Gothic"/>
          <w:w w:val="105"/>
        </w:rPr>
        <w:t xml:space="preserve">“ </w:t>
      </w:r>
      <w:r>
        <w:rPr>
          <w:w w:val="105"/>
        </w:rPr>
        <w:t>见方</w:t>
      </w:r>
      <w:r>
        <w:rPr>
          <w:rFonts w:hint="eastAsia" w:ascii="MS UI Gothic" w:hAnsi="MS UI Gothic" w:eastAsia="MS UI Gothic"/>
          <w:w w:val="105"/>
        </w:rPr>
        <w:t xml:space="preserve">” </w:t>
      </w:r>
      <w:r>
        <w:rPr>
          <w:w w:val="105"/>
        </w:rPr>
        <w:t>等期间的防冲措施</w:t>
      </w:r>
      <w:r>
        <w:rPr>
          <w:rFonts w:hint="eastAsia" w:ascii="MS UI Gothic" w:hAns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在无冲击地压煤层中的三面或</w:t>
      </w:r>
      <w:r>
        <w:t>者四面被采空区所包围的区域开采和回收</w:t>
      </w:r>
      <w:r>
        <w:rPr>
          <w:w w:val="105"/>
        </w:rPr>
        <w:t>煤柱时</w:t>
      </w:r>
      <w:r>
        <w:rPr>
          <w:rFonts w:hint="eastAsia" w:ascii="MS UI Gothic" w:eastAsia="MS UI Gothic"/>
          <w:w w:val="80"/>
        </w:rPr>
        <w:t xml:space="preserve">ꎬ </w:t>
      </w:r>
      <w:r>
        <w:rPr>
          <w:w w:val="105"/>
        </w:rPr>
        <w:t>必须制定专项防冲措施</w:t>
      </w:r>
      <w:r>
        <w:rPr>
          <w:rFonts w:hint="eastAsia" w:ascii="MS UI Gothic" w:eastAsia="MS UI Gothic"/>
          <w:w w:val="80"/>
        </w:rPr>
        <w:t>ꎮ</w:t>
      </w:r>
    </w:p>
    <w:p>
      <w:pPr>
        <w:pStyle w:val="6"/>
        <w:spacing w:line="295" w:lineRule="auto"/>
        <w:ind w:left="383" w:right="126"/>
        <w:rPr>
          <w:rFonts w:hint="eastAsia" w:ascii="MS UI Gothic" w:eastAsia="MS UI Gothic"/>
        </w:rPr>
      </w:pPr>
      <w:r>
        <w:t>第二百三十二条 具有冲击地压危险的高瓦斯</w:t>
      </w:r>
      <w:r>
        <w:rPr>
          <w:rFonts w:hint="eastAsia" w:ascii="MS UI Gothic" w:eastAsia="MS UI Gothic"/>
          <w:w w:val="80"/>
        </w:rPr>
        <w:t xml:space="preserve">、 </w:t>
      </w:r>
      <w:r>
        <w:t>突出煤层的矿井</w:t>
      </w:r>
      <w:r>
        <w:rPr>
          <w:rFonts w:hint="eastAsia" w:ascii="MS UI Gothic" w:eastAsia="MS UI Gothic"/>
          <w:w w:val="80"/>
        </w:rPr>
        <w:t xml:space="preserve">ꎬ </w:t>
      </w:r>
      <w:r>
        <w:t>应当根据本矿井条件</w:t>
      </w:r>
      <w:r>
        <w:rPr>
          <w:rFonts w:hint="eastAsia" w:ascii="MS UI Gothic" w:eastAsia="MS UI Gothic"/>
          <w:w w:val="80"/>
        </w:rPr>
        <w:t xml:space="preserve">ꎬ </w:t>
      </w:r>
      <w:r>
        <w:t>制定专门技术措施</w:t>
      </w:r>
      <w:r>
        <w:rPr>
          <w:rFonts w:hint="eastAsia" w:ascii="MS UI Gothic" w:eastAsia="MS UI Gothic"/>
          <w:w w:val="80"/>
        </w:rPr>
        <w:t>ꎮ</w:t>
      </w:r>
    </w:p>
    <w:p>
      <w:pPr>
        <w:pStyle w:val="6"/>
        <w:spacing w:line="295" w:lineRule="auto"/>
        <w:ind w:left="383" w:right="126"/>
        <w:rPr>
          <w:rFonts w:hint="eastAsia" w:ascii="MS UI Gothic" w:eastAsia="MS UI Gothic"/>
        </w:rPr>
      </w:pPr>
      <w:r>
        <w:t>第二百三十三条 开采具有冲击地压危险的急倾斜</w:t>
      </w:r>
      <w:r>
        <w:rPr>
          <w:rFonts w:hint="eastAsia" w:ascii="MS UI Gothic" w:eastAsia="MS UI Gothic"/>
          <w:w w:val="80"/>
        </w:rPr>
        <w:t xml:space="preserve">、 </w:t>
      </w:r>
      <w:r>
        <w:t>特厚等煤层时</w:t>
      </w:r>
      <w:r>
        <w:rPr>
          <w:rFonts w:hint="eastAsia" w:ascii="MS UI Gothic" w:eastAsia="MS UI Gothic"/>
          <w:w w:val="80"/>
        </w:rPr>
        <w:t xml:space="preserve">ꎬ </w:t>
      </w:r>
      <w:r>
        <w:t>应当制定专项防冲措施</w:t>
      </w:r>
      <w:r>
        <w:rPr>
          <w:rFonts w:hint="eastAsia" w:ascii="MS UI Gothic" w:eastAsia="MS UI Gothic"/>
          <w:w w:val="80"/>
        </w:rPr>
        <w:t xml:space="preserve">ꎬ </w:t>
      </w:r>
      <w:r>
        <w:t>并由企业技术负责人审批</w:t>
      </w:r>
      <w:r>
        <w:rPr>
          <w:rFonts w:hint="eastAsia" w:ascii="MS UI Gothic" w:eastAsia="MS UI Gothic"/>
          <w:w w:val="80"/>
        </w:rPr>
        <w:t>ꎮ</w:t>
      </w:r>
    </w:p>
    <w:p>
      <w:pPr>
        <w:pStyle w:val="6"/>
        <w:tabs>
          <w:tab w:val="left" w:pos="1092"/>
        </w:tabs>
        <w:spacing w:before="147"/>
        <w:ind w:left="254" w:firstLine="0"/>
        <w:jc w:val="center"/>
      </w:pPr>
      <w:r>
        <w:rPr>
          <w:spacing w:val="3"/>
          <w:w w:val="105"/>
        </w:rPr>
        <w:t>第二</w:t>
      </w:r>
      <w:r>
        <w:rPr>
          <w:w w:val="105"/>
        </w:rPr>
        <w:t>节</w:t>
      </w:r>
      <w:r>
        <w:rPr>
          <w:w w:val="105"/>
        </w:rPr>
        <w:tab/>
      </w:r>
      <w:r>
        <w:rPr>
          <w:spacing w:val="3"/>
          <w:w w:val="105"/>
        </w:rPr>
        <w:t>冲击危险性预</w:t>
      </w:r>
      <w:r>
        <w:rPr>
          <w:w w:val="105"/>
        </w:rPr>
        <w:t>测</w:t>
      </w:r>
    </w:p>
    <w:p>
      <w:pPr>
        <w:pStyle w:val="6"/>
        <w:spacing w:before="10"/>
        <w:ind w:left="0" w:firstLine="0"/>
        <w:jc w:val="left"/>
        <w:rPr>
          <w:sz w:val="16"/>
        </w:rPr>
      </w:pPr>
    </w:p>
    <w:p>
      <w:pPr>
        <w:pStyle w:val="6"/>
        <w:spacing w:line="295" w:lineRule="auto"/>
        <w:ind w:left="383" w:right="126"/>
        <w:rPr>
          <w:rFonts w:hint="eastAsia" w:ascii="MS UI Gothic" w:eastAsia="MS UI Gothic"/>
        </w:rPr>
      </w:pPr>
      <w:r>
        <w:rPr>
          <w:w w:val="105"/>
        </w:rPr>
        <w:t xml:space="preserve">第二百三十四条 冲击地压矿井必须进行区域危险性预测 </w:t>
      </w:r>
      <w:r>
        <w:rPr>
          <w:rFonts w:hint="eastAsia" w:ascii="MS UI Gothic" w:eastAsia="MS UI Gothic"/>
          <w:w w:val="150"/>
        </w:rPr>
        <w:t xml:space="preserve">( </w:t>
      </w:r>
      <w:r>
        <w:rPr>
          <w:w w:val="105"/>
        </w:rPr>
        <w:t>以下简称区域预测</w:t>
      </w:r>
      <w:r>
        <w:rPr>
          <w:rFonts w:hint="eastAsia" w:ascii="MS UI Gothic" w:eastAsia="MS UI Gothic"/>
          <w:w w:val="150"/>
        </w:rPr>
        <w:t xml:space="preserve">) </w:t>
      </w:r>
      <w:r>
        <w:rPr>
          <w:w w:val="105"/>
        </w:rPr>
        <w:t xml:space="preserve">和局部危险性预测 </w:t>
      </w:r>
      <w:r>
        <w:rPr>
          <w:rFonts w:hint="eastAsia" w:ascii="MS UI Gothic" w:eastAsia="MS UI Gothic"/>
          <w:w w:val="150"/>
        </w:rPr>
        <w:t xml:space="preserve">( </w:t>
      </w:r>
      <w:r>
        <w:rPr>
          <w:w w:val="105"/>
        </w:rPr>
        <w:t>以下简称局部预测</w:t>
      </w:r>
      <w:r>
        <w:rPr>
          <w:rFonts w:hint="eastAsia" w:ascii="MS UI Gothic" w:eastAsia="MS UI Gothic"/>
          <w:w w:val="125"/>
        </w:rPr>
        <w:t xml:space="preserve">) </w:t>
      </w:r>
      <w:r>
        <w:rPr>
          <w:rFonts w:hint="eastAsia" w:ascii="MS UI Gothic" w:eastAsia="MS UI Gothic"/>
          <w:w w:val="80"/>
        </w:rPr>
        <w:t xml:space="preserve">ꎮ </w:t>
      </w:r>
      <w:r>
        <w:rPr>
          <w:w w:val="105"/>
        </w:rPr>
        <w:t>区域与局部预测可根据地质与开</w:t>
      </w:r>
      <w:r>
        <w:t>采技术条件等</w:t>
      </w:r>
      <w:r>
        <w:rPr>
          <w:rFonts w:hint="eastAsia" w:ascii="MS UI Gothic" w:eastAsia="MS UI Gothic"/>
          <w:w w:val="80"/>
        </w:rPr>
        <w:t xml:space="preserve">ꎬ </w:t>
      </w:r>
      <w:r>
        <w:t>优先采用综合指数法确定</w:t>
      </w:r>
      <w:r>
        <w:rPr>
          <w:w w:val="105"/>
        </w:rPr>
        <w:t>冲击危险性</w:t>
      </w:r>
      <w:r>
        <w:rPr>
          <w:rFonts w:hint="eastAsia" w:ascii="MS UI Gothic" w:eastAsia="MS UI Gothic"/>
          <w:w w:val="80"/>
        </w:rPr>
        <w:t>ꎮ</w:t>
      </w:r>
    </w:p>
    <w:p>
      <w:pPr>
        <w:pStyle w:val="6"/>
        <w:tabs>
          <w:tab w:val="left" w:pos="2478"/>
        </w:tabs>
        <w:spacing w:line="295" w:lineRule="auto"/>
        <w:ind w:left="383" w:right="126"/>
        <w:jc w:val="left"/>
        <w:rPr>
          <w:rFonts w:hint="eastAsia" w:ascii="MS UI Gothic" w:eastAsia="MS UI Gothic"/>
        </w:rPr>
      </w:pPr>
      <w:r>
        <w:rPr>
          <w:spacing w:val="3"/>
          <w:w w:val="105"/>
        </w:rPr>
        <w:t>第二百三十五</w:t>
      </w:r>
      <w:r>
        <w:rPr>
          <w:w w:val="105"/>
        </w:rPr>
        <w:t>条</w:t>
      </w:r>
      <w:r>
        <w:rPr>
          <w:w w:val="105"/>
        </w:rPr>
        <w:tab/>
      </w:r>
      <w:r>
        <w:rPr>
          <w:spacing w:val="3"/>
        </w:rPr>
        <w:t>必须建立区域与</w:t>
      </w:r>
      <w:r>
        <w:rPr>
          <w:spacing w:val="-11"/>
        </w:rPr>
        <w:t>局</w:t>
      </w:r>
      <w:r>
        <w:rPr>
          <w:spacing w:val="3"/>
          <w:w w:val="105"/>
        </w:rPr>
        <w:t>部相结合的冲击地压危险性监测制度</w:t>
      </w:r>
      <w:r>
        <w:rPr>
          <w:rFonts w:hint="eastAsia" w:ascii="MS UI Gothic" w:eastAsia="MS UI Gothic"/>
          <w:w w:val="80"/>
        </w:rPr>
        <w:t>ꎮ</w:t>
      </w:r>
    </w:p>
    <w:p>
      <w:pPr>
        <w:pStyle w:val="6"/>
        <w:spacing w:line="295" w:lineRule="auto"/>
        <w:ind w:left="383" w:right="126"/>
        <w:jc w:val="left"/>
        <w:rPr>
          <w:rFonts w:hint="eastAsia" w:ascii="MS UI Gothic" w:eastAsia="MS UI Gothic"/>
        </w:rPr>
      </w:pPr>
      <w:r>
        <w:t>应当根据现场实际考察资料和积累的</w:t>
      </w:r>
      <w:r>
        <w:rPr>
          <w:w w:val="105"/>
        </w:rPr>
        <w:t>数据确定冲击危险性预警临界指标</w:t>
      </w:r>
      <w:r>
        <w:rPr>
          <w:rFonts w:hint="eastAsia" w:ascii="MS UI Gothic" w:eastAsia="MS UI Gothic"/>
          <w:w w:val="80"/>
        </w:rPr>
        <w:t>ꎮ</w:t>
      </w:r>
    </w:p>
    <w:p>
      <w:pPr>
        <w:pStyle w:val="6"/>
        <w:spacing w:line="295" w:lineRule="auto"/>
        <w:ind w:left="383" w:right="126"/>
        <w:rPr>
          <w:rFonts w:hint="eastAsia" w:ascii="MS UI Gothic" w:eastAsia="MS UI Gothic"/>
        </w:rPr>
      </w:pPr>
      <w:r>
        <w:t>第二百三十六条 冲击地压危险区域必须进行日常监测</w:t>
      </w:r>
      <w:r>
        <w:rPr>
          <w:rFonts w:hint="eastAsia" w:ascii="MS UI Gothic" w:eastAsia="MS UI Gothic"/>
          <w:w w:val="80"/>
        </w:rPr>
        <w:t xml:space="preserve">ꎮ </w:t>
      </w:r>
      <w:r>
        <w:t>判定有冲击地压危险时</w:t>
      </w:r>
      <w:r>
        <w:rPr>
          <w:rFonts w:hint="eastAsia" w:ascii="MS UI Gothic" w:eastAsia="MS UI Gothic"/>
          <w:w w:val="80"/>
        </w:rPr>
        <w:t xml:space="preserve">ꎬ </w:t>
      </w:r>
      <w:r>
        <w:t>应当立即停止作业</w:t>
      </w:r>
      <w:r>
        <w:rPr>
          <w:rFonts w:hint="eastAsia" w:ascii="MS UI Gothic" w:eastAsia="MS UI Gothic"/>
          <w:w w:val="80"/>
        </w:rPr>
        <w:t xml:space="preserve">ꎬ </w:t>
      </w:r>
      <w:r>
        <w:t>撤出人员</w:t>
      </w:r>
      <w:r>
        <w:rPr>
          <w:rFonts w:hint="eastAsia" w:ascii="MS UI Gothic" w:eastAsia="MS UI Gothic"/>
          <w:w w:val="80"/>
        </w:rPr>
        <w:t xml:space="preserve">ꎬ </w:t>
      </w:r>
      <w:r>
        <w:t>切断电源</w:t>
      </w:r>
      <w:r>
        <w:rPr>
          <w:rFonts w:hint="eastAsia" w:ascii="MS UI Gothic" w:eastAsia="MS UI Gothic"/>
          <w:w w:val="80"/>
        </w:rPr>
        <w:t xml:space="preserve">ꎬ </w:t>
      </w:r>
      <w:r>
        <w:t>并报告矿调度室</w:t>
      </w:r>
      <w:r>
        <w:rPr>
          <w:rFonts w:hint="eastAsia" w:ascii="MS UI Gothic" w:eastAsia="MS UI Gothic"/>
          <w:w w:val="80"/>
        </w:rPr>
        <w:t xml:space="preserve">ꎮ </w:t>
      </w:r>
      <w:r>
        <w:t>在实施解危措施</w:t>
      </w:r>
      <w:r>
        <w:rPr>
          <w:rFonts w:hint="eastAsia" w:ascii="MS UI Gothic" w:eastAsia="MS UI Gothic"/>
          <w:w w:val="80"/>
        </w:rPr>
        <w:t xml:space="preserve">、 </w:t>
      </w:r>
      <w:r>
        <w:t>确认危险解除后方可恢复正常作业</w:t>
      </w:r>
      <w:r>
        <w:rPr>
          <w:rFonts w:hint="eastAsia" w:ascii="MS UI Gothic" w:eastAsia="MS UI Gothic"/>
          <w:w w:val="80"/>
        </w:rPr>
        <w:t>ꎮ</w:t>
      </w:r>
    </w:p>
    <w:p>
      <w:pPr>
        <w:pStyle w:val="6"/>
        <w:spacing w:line="295" w:lineRule="auto"/>
        <w:ind w:left="383" w:right="126"/>
        <w:rPr>
          <w:rFonts w:hint="eastAsia" w:ascii="MS UI Gothic" w:eastAsia="MS UI Gothic"/>
        </w:rPr>
      </w:pPr>
      <w:r>
        <w:t xml:space="preserve">停采 </w:t>
      </w:r>
      <w:r>
        <w:rPr>
          <w:rFonts w:hint="eastAsia" w:ascii="MS UI Gothic" w:eastAsia="MS UI Gothic"/>
          <w:w w:val="80"/>
        </w:rPr>
        <w:t xml:space="preserve">３ </w:t>
      </w:r>
      <w:r>
        <w:t>天及以上的采煤工作面恢复生产前</w:t>
      </w:r>
      <w:r>
        <w:rPr>
          <w:rFonts w:hint="eastAsia" w:ascii="MS UI Gothic" w:eastAsia="MS UI Gothic"/>
          <w:w w:val="80"/>
        </w:rPr>
        <w:t xml:space="preserve">ꎬ </w:t>
      </w:r>
      <w:r>
        <w:t>应当评估冲击地压危险程度</w:t>
      </w:r>
      <w:r>
        <w:rPr>
          <w:rFonts w:hint="eastAsia" w:ascii="MS UI Gothic" w:eastAsia="MS UI Gothic"/>
          <w:w w:val="80"/>
        </w:rPr>
        <w:t xml:space="preserve">ꎬ </w:t>
      </w:r>
      <w:r>
        <w:t>并采取相应的安全措施</w:t>
      </w:r>
      <w:r>
        <w:rPr>
          <w:rFonts w:hint="eastAsia" w:ascii="MS UI Gothic" w:eastAsia="MS UI Gothic"/>
          <w:w w:val="80"/>
        </w:rPr>
        <w:t>ꎮ</w:t>
      </w:r>
    </w:p>
    <w:p>
      <w:pPr>
        <w:pStyle w:val="6"/>
        <w:tabs>
          <w:tab w:val="left" w:pos="1092"/>
        </w:tabs>
        <w:spacing w:before="143"/>
        <w:ind w:left="254" w:firstLine="0"/>
        <w:jc w:val="center"/>
      </w:pPr>
      <w:r>
        <w:rPr>
          <w:spacing w:val="3"/>
          <w:w w:val="105"/>
        </w:rPr>
        <w:t>第三</w:t>
      </w:r>
      <w:r>
        <w:rPr>
          <w:w w:val="105"/>
        </w:rPr>
        <w:t>节</w:t>
      </w:r>
      <w:r>
        <w:rPr>
          <w:w w:val="105"/>
        </w:rPr>
        <w:tab/>
      </w:r>
      <w:r>
        <w:rPr>
          <w:spacing w:val="3"/>
          <w:w w:val="105"/>
        </w:rPr>
        <w:t>区域与局部防冲措</w:t>
      </w:r>
      <w:r>
        <w:rPr>
          <w:w w:val="105"/>
        </w:rPr>
        <w:t>施</w:t>
      </w:r>
    </w:p>
    <w:p>
      <w:pPr>
        <w:pStyle w:val="6"/>
        <w:spacing w:before="10"/>
        <w:ind w:left="0" w:firstLine="0"/>
        <w:jc w:val="left"/>
        <w:rPr>
          <w:sz w:val="16"/>
        </w:rPr>
      </w:pPr>
    </w:p>
    <w:p>
      <w:pPr>
        <w:pStyle w:val="6"/>
        <w:spacing w:line="295" w:lineRule="auto"/>
        <w:ind w:left="383" w:right="126"/>
        <w:rPr>
          <w:rFonts w:hint="eastAsia" w:ascii="MS UI Gothic" w:eastAsia="MS UI Gothic"/>
        </w:rPr>
      </w:pPr>
      <w:r>
        <w:rPr>
          <w:w w:val="105"/>
        </w:rPr>
        <w:t>第二百三十七条 冲击地压矿井应当选择合理的开拓方式</w:t>
      </w:r>
      <w:r>
        <w:rPr>
          <w:rFonts w:hint="eastAsia" w:ascii="MS UI Gothic" w:eastAsia="MS UI Gothic"/>
          <w:w w:val="80"/>
        </w:rPr>
        <w:t xml:space="preserve">、 </w:t>
      </w:r>
      <w:r>
        <w:rPr>
          <w:w w:val="105"/>
        </w:rPr>
        <w:t>采掘部署</w:t>
      </w:r>
      <w:r>
        <w:rPr>
          <w:rFonts w:hint="eastAsia" w:ascii="MS UI Gothic" w:eastAsia="MS UI Gothic"/>
          <w:w w:val="80"/>
        </w:rPr>
        <w:t xml:space="preserve">、 </w:t>
      </w:r>
      <w:r>
        <w:rPr>
          <w:w w:val="105"/>
        </w:rPr>
        <w:t>开采顺序</w:t>
      </w:r>
      <w:r>
        <w:rPr>
          <w:rFonts w:hint="eastAsia" w:ascii="MS UI Gothic" w:eastAsia="MS UI Gothic"/>
          <w:w w:val="80"/>
        </w:rPr>
        <w:t xml:space="preserve">、 </w:t>
      </w:r>
      <w:r>
        <w:rPr>
          <w:w w:val="105"/>
        </w:rPr>
        <w:t>采煤工艺及开采保护层等区域防冲措施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２７４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52" o:spid="_x0000_s1852" o:spt="203" style="height:2.15pt;width:398.25pt;" coordsize="7965,43">
            <o:lock v:ext="edit"/>
            <v:line id="_x0000_s1853" o:spid="_x0000_s1853" o:spt="20" style="position:absolute;left:0;top:39;height:0;width:7965;" stroked="t" coordsize="21600,21600">
              <v:path arrowok="t"/>
              <v:fill focussize="0,0"/>
              <v:stroke weight="0.388031496062992pt" color="#231F20"/>
              <v:imagedata o:title=""/>
              <o:lock v:ext="edit"/>
            </v:line>
            <v:line id="_x0000_s1854" o:spid="_x0000_s185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tabs>
          <w:tab w:val="left" w:pos="2220"/>
        </w:tabs>
        <w:spacing w:before="85" w:line="295" w:lineRule="auto"/>
        <w:ind w:right="39"/>
        <w:jc w:val="left"/>
        <w:rPr>
          <w:rFonts w:hint="eastAsia" w:ascii="MS UI Gothic" w:eastAsia="MS UI Gothic"/>
        </w:rPr>
      </w:pPr>
      <w:r>
        <w:rPr>
          <w:spacing w:val="3"/>
          <w:w w:val="105"/>
        </w:rPr>
        <w:t>第二百三十八</w:t>
      </w:r>
      <w:r>
        <w:rPr>
          <w:w w:val="105"/>
        </w:rPr>
        <w:t>条</w:t>
      </w:r>
      <w:r>
        <w:rPr>
          <w:w w:val="105"/>
        </w:rPr>
        <w:tab/>
      </w:r>
      <w:r>
        <w:rPr>
          <w:spacing w:val="3"/>
        </w:rPr>
        <w:t>保护层开采应当</w:t>
      </w:r>
      <w:r>
        <w:rPr>
          <w:spacing w:val="-11"/>
        </w:rPr>
        <w:t>遵</w:t>
      </w:r>
      <w:r>
        <w:rPr>
          <w:spacing w:val="3"/>
          <w:w w:val="110"/>
        </w:rPr>
        <w:t>守下列规定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具备开采保护层条件的冲击地压煤层</w:t>
      </w:r>
      <w:r>
        <w:rPr>
          <w:rFonts w:hint="eastAsia" w:ascii="MS UI Gothic" w:eastAsia="MS UI Gothic"/>
          <w:w w:val="80"/>
        </w:rPr>
        <w:t xml:space="preserve">ꎬ </w:t>
      </w:r>
      <w:r>
        <w:rPr>
          <w:w w:val="105"/>
        </w:rPr>
        <w:t>应当开采保护层</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应当根据矿井实际条件确定保</w:t>
      </w:r>
      <w:r>
        <w:t>护层的有效保护范围</w:t>
      </w:r>
      <w:r>
        <w:rPr>
          <w:rFonts w:hint="eastAsia" w:ascii="MS UI Gothic" w:eastAsia="MS UI Gothic"/>
          <w:w w:val="80"/>
        </w:rPr>
        <w:t xml:space="preserve">ꎬ </w:t>
      </w:r>
      <w:r>
        <w:t>保护层回采超前被保护层采掘工作面的距离应当符合本规程</w:t>
      </w:r>
      <w:r>
        <w:rPr>
          <w:w w:val="105"/>
        </w:rPr>
        <w:t>第二百三十一条的规定</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开采保护层后</w:t>
      </w:r>
      <w:r>
        <w:rPr>
          <w:rFonts w:hint="eastAsia" w:ascii="MS UI Gothic" w:eastAsia="MS UI Gothic"/>
          <w:w w:val="80"/>
        </w:rPr>
        <w:t xml:space="preserve">ꎬ </w:t>
      </w:r>
      <w:r>
        <w:rPr>
          <w:w w:val="105"/>
        </w:rPr>
        <w:t>仍存在冲击地压危险的区域</w:t>
      </w:r>
      <w:r>
        <w:rPr>
          <w:rFonts w:hint="eastAsia" w:ascii="MS UI Gothic" w:eastAsia="MS UI Gothic"/>
          <w:w w:val="80"/>
        </w:rPr>
        <w:t xml:space="preserve">ꎬ </w:t>
      </w:r>
      <w:r>
        <w:rPr>
          <w:w w:val="105"/>
        </w:rPr>
        <w:t>必须采取防冲措施</w:t>
      </w:r>
      <w:r>
        <w:rPr>
          <w:rFonts w:hint="eastAsia" w:ascii="MS UI Gothic" w:eastAsia="MS UI Gothic"/>
          <w:w w:val="80"/>
        </w:rPr>
        <w:t>ꎮ</w:t>
      </w:r>
    </w:p>
    <w:p>
      <w:pPr>
        <w:pStyle w:val="6"/>
        <w:tabs>
          <w:tab w:val="left" w:pos="2220"/>
        </w:tabs>
        <w:spacing w:line="295" w:lineRule="auto"/>
        <w:ind w:right="39"/>
        <w:jc w:val="left"/>
        <w:rPr>
          <w:rFonts w:hint="eastAsia" w:ascii="MS UI Gothic" w:eastAsia="MS UI Gothic"/>
        </w:rPr>
      </w:pPr>
      <w:r>
        <w:rPr>
          <w:spacing w:val="3"/>
          <w:w w:val="105"/>
        </w:rPr>
        <w:t>第二百三十九</w:t>
      </w:r>
      <w:r>
        <w:rPr>
          <w:w w:val="105"/>
        </w:rPr>
        <w:t>条</w:t>
      </w:r>
      <w:r>
        <w:rPr>
          <w:w w:val="105"/>
        </w:rPr>
        <w:tab/>
      </w:r>
      <w:r>
        <w:rPr>
          <w:spacing w:val="3"/>
        </w:rPr>
        <w:t>冲击地压煤层的</w:t>
      </w:r>
      <w:r>
        <w:rPr>
          <w:spacing w:val="-11"/>
        </w:rPr>
        <w:t>采</w:t>
      </w:r>
      <w:r>
        <w:rPr>
          <w:spacing w:val="3"/>
          <w:w w:val="110"/>
        </w:rPr>
        <w:t>煤方法与工艺确定应当遵守下列规定</w:t>
      </w:r>
      <w:r>
        <w:rPr>
          <w:rFonts w:hint="eastAsia" w:ascii="MS UI Gothic" w:eastAsia="MS UI Gothic"/>
          <w:w w:val="230"/>
        </w:rPr>
        <w:t>:</w:t>
      </w:r>
    </w:p>
    <w:p>
      <w:pPr>
        <w:pStyle w:val="6"/>
        <w:spacing w:line="295" w:lineRule="auto"/>
        <w:ind w:right="39"/>
        <w:rPr>
          <w:rFonts w:hint="eastAsia" w:ascii="MS UI Gothic" w:eastAsia="MS UI Gothic"/>
        </w:rPr>
      </w:pPr>
      <w:r>
        <w:rPr>
          <w:rFonts w:hint="eastAsia" w:ascii="MS UI Gothic" w:eastAsia="MS UI Gothic"/>
          <w:spacing w:val="-34"/>
          <w:w w:val="125"/>
        </w:rPr>
        <w:t xml:space="preserve">( </w:t>
      </w:r>
      <w:r>
        <w:rPr>
          <w:spacing w:val="29"/>
          <w:w w:val="110"/>
        </w:rPr>
        <w:t>一</w:t>
      </w:r>
      <w:r>
        <w:rPr>
          <w:rFonts w:hint="eastAsia" w:ascii="MS UI Gothic" w:eastAsia="MS UI Gothic"/>
          <w:spacing w:val="-11"/>
          <w:w w:val="125"/>
        </w:rPr>
        <w:t xml:space="preserve">) </w:t>
      </w:r>
      <w:r>
        <w:rPr>
          <w:spacing w:val="41"/>
          <w:w w:val="110"/>
        </w:rPr>
        <w:t>采用长壁综合机械化开采</w:t>
      </w:r>
      <w:r>
        <w:rPr>
          <w:spacing w:val="3"/>
          <w:w w:val="110"/>
        </w:rPr>
        <w:t>方法</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4"/>
          <w:w w:val="105"/>
        </w:rPr>
        <w:t>缓倾斜</w:t>
      </w:r>
      <w:r>
        <w:rPr>
          <w:rFonts w:hint="eastAsia" w:ascii="MS UI Gothic" w:eastAsia="MS UI Gothic"/>
          <w:spacing w:val="23"/>
          <w:w w:val="80"/>
        </w:rPr>
        <w:t xml:space="preserve">、 </w:t>
      </w:r>
      <w:r>
        <w:rPr>
          <w:spacing w:val="8"/>
          <w:w w:val="105"/>
        </w:rPr>
        <w:t>倾斜厚及特厚煤层采</w:t>
      </w:r>
      <w:r>
        <w:rPr>
          <w:spacing w:val="3"/>
        </w:rPr>
        <w:t>用综采放顶煤工艺开采时</w:t>
      </w:r>
      <w:r>
        <w:rPr>
          <w:rFonts w:hint="eastAsia" w:ascii="MS UI Gothic" w:eastAsia="MS UI Gothic"/>
          <w:spacing w:val="21"/>
          <w:w w:val="80"/>
        </w:rPr>
        <w:t xml:space="preserve">ꎬ </w:t>
      </w:r>
      <w:r>
        <w:rPr>
          <w:spacing w:val="2"/>
        </w:rPr>
        <w:t>直接顶不能随</w:t>
      </w:r>
      <w:r>
        <w:rPr>
          <w:spacing w:val="21"/>
        </w:rPr>
        <w:t>采随冒的</w:t>
      </w:r>
      <w:r>
        <w:rPr>
          <w:rFonts w:hint="eastAsia" w:ascii="MS UI Gothic" w:eastAsia="MS UI Gothic"/>
          <w:spacing w:val="2"/>
          <w:w w:val="80"/>
        </w:rPr>
        <w:t xml:space="preserve">ꎬ </w:t>
      </w:r>
      <w:r>
        <w:rPr>
          <w:spacing w:val="30"/>
        </w:rPr>
        <w:t>应当预先对顶板进行弱化</w:t>
      </w:r>
      <w:r>
        <w:rPr>
          <w:spacing w:val="3"/>
          <w:w w:val="105"/>
        </w:rPr>
        <w:t>处理</w:t>
      </w:r>
      <w:r>
        <w:rPr>
          <w:rFonts w:hint="eastAsia" w:ascii="MS UI Gothic" w:eastAsia="MS UI Gothic"/>
          <w:w w:val="80"/>
        </w:rPr>
        <w:t>ꎮ</w:t>
      </w:r>
    </w:p>
    <w:p>
      <w:pPr>
        <w:pStyle w:val="6"/>
        <w:tabs>
          <w:tab w:val="left" w:pos="2011"/>
        </w:tabs>
        <w:spacing w:line="295" w:lineRule="auto"/>
        <w:ind w:right="39"/>
        <w:jc w:val="left"/>
        <w:rPr>
          <w:rFonts w:hint="eastAsia" w:ascii="MS UI Gothic" w:eastAsia="MS UI Gothic"/>
        </w:rPr>
      </w:pPr>
      <w:r>
        <w:rPr>
          <w:spacing w:val="3"/>
          <w:w w:val="105"/>
        </w:rPr>
        <w:t>第二百四十</w:t>
      </w:r>
      <w:r>
        <w:rPr>
          <w:w w:val="105"/>
        </w:rPr>
        <w:t>条</w:t>
      </w:r>
      <w:r>
        <w:rPr>
          <w:w w:val="105"/>
        </w:rPr>
        <w:tab/>
      </w:r>
      <w:r>
        <w:rPr>
          <w:spacing w:val="3"/>
        </w:rPr>
        <w:t>冲击地压煤层采用</w:t>
      </w:r>
      <w:r>
        <w:t>局</w:t>
      </w:r>
      <w:r>
        <w:rPr>
          <w:spacing w:val="3"/>
          <w:w w:val="110"/>
        </w:rPr>
        <w:t>部防冲措施应当遵守下列规定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采用钻孔卸压措施时</w:t>
      </w:r>
      <w:r>
        <w:rPr>
          <w:rFonts w:hint="eastAsia" w:ascii="MS UI Gothic" w:eastAsia="MS UI Gothic"/>
          <w:w w:val="80"/>
        </w:rPr>
        <w:t xml:space="preserve">ꎬ </w:t>
      </w:r>
      <w:r>
        <w:rPr>
          <w:w w:val="105"/>
        </w:rPr>
        <w:t>必须制定防止诱发冲击伤人的安全防护措施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40"/>
        </w:rPr>
        <w:t xml:space="preserve">( </w:t>
      </w:r>
      <w:r>
        <w:t>二</w:t>
      </w:r>
      <w:r>
        <w:rPr>
          <w:rFonts w:hint="eastAsia" w:ascii="MS UI Gothic" w:eastAsia="MS UI Gothic"/>
          <w:w w:val="140"/>
        </w:rPr>
        <w:t xml:space="preserve">) </w:t>
      </w:r>
      <w:r>
        <w:t>采用煤层爆破措施时</w:t>
      </w:r>
      <w:r>
        <w:rPr>
          <w:rFonts w:hint="eastAsia" w:ascii="MS UI Gothic" w:eastAsia="MS UI Gothic"/>
          <w:w w:val="85"/>
        </w:rPr>
        <w:t xml:space="preserve">ꎬ </w:t>
      </w:r>
      <w:r>
        <w:t>应当根据实际情况选取超前松动爆破</w:t>
      </w:r>
      <w:r>
        <w:rPr>
          <w:rFonts w:hint="eastAsia" w:ascii="MS UI Gothic" w:eastAsia="MS UI Gothic"/>
          <w:w w:val="85"/>
        </w:rPr>
        <w:t xml:space="preserve">、 </w:t>
      </w:r>
      <w:r>
        <w:t>卸压爆破等方法</w:t>
      </w:r>
      <w:r>
        <w:rPr>
          <w:rFonts w:hint="eastAsia" w:ascii="MS UI Gothic" w:eastAsia="MS UI Gothic"/>
          <w:w w:val="85"/>
        </w:rPr>
        <w:t xml:space="preserve">ꎬ </w:t>
      </w:r>
      <w:r>
        <w:t>确定合理的爆破参数</w:t>
      </w:r>
      <w:r>
        <w:rPr>
          <w:rFonts w:hint="eastAsia" w:ascii="MS UI Gothic" w:eastAsia="MS UI Gothic"/>
          <w:w w:val="85"/>
        </w:rPr>
        <w:t xml:space="preserve">ꎬ </w:t>
      </w:r>
      <w:r>
        <w:t xml:space="preserve">起爆点到爆破地点的距离不得小于 </w:t>
      </w:r>
      <w:r>
        <w:rPr>
          <w:rFonts w:hint="eastAsia" w:ascii="MS UI Gothic" w:eastAsia="MS UI Gothic"/>
          <w:w w:val="85"/>
        </w:rPr>
        <w:t>３００ ｍꎮ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采用煤层注水措施时</w:t>
      </w:r>
      <w:r>
        <w:rPr>
          <w:rFonts w:hint="eastAsia" w:ascii="MS UI Gothic" w:eastAsia="MS UI Gothic"/>
          <w:w w:val="80"/>
        </w:rPr>
        <w:t xml:space="preserve">ꎬ </w:t>
      </w:r>
      <w:r>
        <w:rPr>
          <w:w w:val="105"/>
        </w:rPr>
        <w:t>应当根</w:t>
      </w:r>
      <w:r>
        <w:t>据煤层条件</w:t>
      </w:r>
      <w:r>
        <w:rPr>
          <w:rFonts w:hint="eastAsia" w:ascii="MS UI Gothic" w:eastAsia="MS UI Gothic"/>
          <w:w w:val="80"/>
        </w:rPr>
        <w:t xml:space="preserve">ꎬ </w:t>
      </w:r>
      <w:r>
        <w:t>确定合理的注水参数</w:t>
      </w:r>
      <w:r>
        <w:rPr>
          <w:rFonts w:hint="eastAsia" w:ascii="MS UI Gothic" w:eastAsia="MS UI Gothic"/>
          <w:w w:val="80"/>
        </w:rPr>
        <w:t xml:space="preserve">ꎬ </w:t>
      </w:r>
      <w:r>
        <w:t>并检</w:t>
      </w:r>
      <w:r>
        <w:rPr>
          <w:w w:val="105"/>
        </w:rPr>
        <w:t>验注水效果</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采用底板卸压</w:t>
      </w:r>
      <w:r>
        <w:rPr>
          <w:rFonts w:hint="eastAsia" w:ascii="MS UI Gothic" w:eastAsia="MS UI Gothic"/>
          <w:w w:val="80"/>
        </w:rPr>
        <w:t xml:space="preserve">、 </w:t>
      </w:r>
      <w:r>
        <w:rPr>
          <w:w w:val="105"/>
        </w:rPr>
        <w:t>顶板预裂</w:t>
      </w:r>
      <w:r>
        <w:rPr>
          <w:rFonts w:hint="eastAsia" w:ascii="MS UI Gothic" w:eastAsia="MS UI Gothic"/>
          <w:w w:val="80"/>
        </w:rPr>
        <w:t xml:space="preserve">、 </w:t>
      </w:r>
      <w:r>
        <w:rPr>
          <w:w w:val="105"/>
        </w:rPr>
        <w:t>水</w:t>
      </w:r>
      <w:r>
        <w:t>力压裂等措施时</w:t>
      </w:r>
      <w:r>
        <w:rPr>
          <w:rFonts w:hint="eastAsia" w:ascii="MS UI Gothic" w:eastAsia="MS UI Gothic"/>
          <w:w w:val="80"/>
        </w:rPr>
        <w:t xml:space="preserve">ꎬ </w:t>
      </w:r>
      <w:r>
        <w:t>应当根据煤岩层条件</w:t>
      </w:r>
      <w:r>
        <w:rPr>
          <w:rFonts w:hint="eastAsia" w:ascii="MS UI Gothic" w:eastAsia="MS UI Gothic"/>
          <w:w w:val="80"/>
        </w:rPr>
        <w:t>ꎬ</w:t>
      </w:r>
      <w:r>
        <w:rPr>
          <w:w w:val="105"/>
        </w:rPr>
        <w:t>确定合理的参数</w:t>
      </w:r>
      <w:r>
        <w:rPr>
          <w:rFonts w:hint="eastAsia" w:ascii="MS UI Gothic" w:eastAsia="MS UI Gothic"/>
          <w:w w:val="80"/>
        </w:rPr>
        <w:t>ꎮ</w:t>
      </w:r>
    </w:p>
    <w:p>
      <w:pPr>
        <w:pStyle w:val="6"/>
        <w:spacing w:line="295" w:lineRule="auto"/>
        <w:ind w:right="38"/>
        <w:rPr>
          <w:rFonts w:hint="eastAsia" w:ascii="MS UI Gothic" w:eastAsia="MS UI Gothic"/>
        </w:rPr>
      </w:pPr>
      <w:r>
        <w:t>第二百四十一条 冲击地压危险工作面实施解危措施后</w:t>
      </w:r>
      <w:r>
        <w:rPr>
          <w:rFonts w:hint="eastAsia" w:ascii="MS UI Gothic" w:eastAsia="MS UI Gothic"/>
          <w:w w:val="80"/>
        </w:rPr>
        <w:t xml:space="preserve">ꎬ </w:t>
      </w:r>
      <w:r>
        <w:t>必须进行效果检验</w:t>
      </w:r>
      <w:r>
        <w:rPr>
          <w:rFonts w:hint="eastAsia" w:ascii="MS UI Gothic" w:eastAsia="MS UI Gothic"/>
          <w:w w:val="80"/>
        </w:rPr>
        <w:t>ꎬ</w:t>
      </w:r>
      <w:r>
        <w:t>确认检验结果小于临界值后</w:t>
      </w:r>
      <w:r>
        <w:rPr>
          <w:rFonts w:hint="eastAsia" w:ascii="MS UI Gothic" w:eastAsia="MS UI Gothic"/>
          <w:w w:val="80"/>
        </w:rPr>
        <w:t xml:space="preserve">ꎬ </w:t>
      </w:r>
      <w:r>
        <w:t>方可进行采掘作业</w:t>
      </w:r>
      <w:r>
        <w:rPr>
          <w:rFonts w:hint="eastAsia" w:ascii="MS UI Gothic" w:eastAsia="MS UI Gothic"/>
          <w:w w:val="80"/>
        </w:rPr>
        <w:t>ꎮ</w:t>
      </w:r>
    </w:p>
    <w:p>
      <w:pPr>
        <w:pStyle w:val="6"/>
        <w:tabs>
          <w:tab w:val="left" w:pos="1382"/>
        </w:tabs>
        <w:spacing w:before="129"/>
        <w:ind w:left="543" w:firstLine="0"/>
        <w:jc w:val="left"/>
      </w:pPr>
      <w:r>
        <w:rPr>
          <w:spacing w:val="3"/>
          <w:w w:val="105"/>
        </w:rPr>
        <w:t>第四</w:t>
      </w:r>
      <w:r>
        <w:rPr>
          <w:w w:val="105"/>
        </w:rPr>
        <w:t>节</w:t>
      </w:r>
      <w:r>
        <w:rPr>
          <w:w w:val="105"/>
        </w:rPr>
        <w:tab/>
      </w:r>
      <w:r>
        <w:rPr>
          <w:spacing w:val="3"/>
          <w:w w:val="105"/>
        </w:rPr>
        <w:t>冲击地压安全防护措</w:t>
      </w:r>
      <w:r>
        <w:rPr>
          <w:w w:val="105"/>
        </w:rPr>
        <w:t>施</w:t>
      </w:r>
    </w:p>
    <w:p>
      <w:pPr>
        <w:pStyle w:val="6"/>
        <w:spacing w:before="10"/>
        <w:ind w:left="0" w:firstLine="0"/>
        <w:jc w:val="left"/>
        <w:rPr>
          <w:sz w:val="16"/>
        </w:rPr>
      </w:pPr>
    </w:p>
    <w:p>
      <w:pPr>
        <w:pStyle w:val="6"/>
        <w:tabs>
          <w:tab w:val="left" w:pos="2220"/>
        </w:tabs>
        <w:ind w:left="543" w:firstLine="0"/>
        <w:jc w:val="left"/>
      </w:pPr>
      <w:r>
        <w:rPr>
          <w:spacing w:val="3"/>
          <w:w w:val="105"/>
        </w:rPr>
        <w:t>第二百四十二</w:t>
      </w:r>
      <w:r>
        <w:rPr>
          <w:w w:val="105"/>
        </w:rPr>
        <w:t>条</w:t>
      </w:r>
      <w:r>
        <w:rPr>
          <w:w w:val="105"/>
        </w:rPr>
        <w:tab/>
      </w:r>
      <w:r>
        <w:rPr>
          <w:spacing w:val="3"/>
        </w:rPr>
        <w:t>进入严重冲击地</w:t>
      </w:r>
      <w:r>
        <w:t>压</w:t>
      </w:r>
    </w:p>
    <w:p>
      <w:pPr>
        <w:pStyle w:val="6"/>
        <w:spacing w:before="85" w:line="295" w:lineRule="auto"/>
        <w:ind w:left="130" w:right="442" w:firstLine="0"/>
        <w:jc w:val="left"/>
        <w:rPr>
          <w:rFonts w:hint="eastAsia" w:ascii="MS UI Gothic" w:eastAsia="MS UI Gothic"/>
        </w:rPr>
      </w:pPr>
      <w:r>
        <w:br w:type="column"/>
      </w:r>
      <w:r>
        <w:t>危险区域的人员必须采取特殊的个体防护</w:t>
      </w:r>
      <w:r>
        <w:rPr>
          <w:w w:val="105"/>
        </w:rPr>
        <w:t>措施</w:t>
      </w:r>
      <w:r>
        <w:rPr>
          <w:rFonts w:hint="eastAsia" w:ascii="MS UI Gothic" w:eastAsia="MS UI Gothic"/>
          <w:w w:val="80"/>
        </w:rPr>
        <w:t>ꎮ</w:t>
      </w:r>
    </w:p>
    <w:p>
      <w:pPr>
        <w:pStyle w:val="6"/>
        <w:spacing w:line="295" w:lineRule="auto"/>
        <w:ind w:left="130" w:right="442"/>
        <w:rPr>
          <w:rFonts w:hint="eastAsia" w:ascii="MS UI Gothic" w:eastAsia="MS UI Gothic"/>
        </w:rPr>
      </w:pPr>
      <w:r>
        <w:t>第二百四十三条 有冲击地压危险的采掘工作面</w:t>
      </w:r>
      <w:r>
        <w:rPr>
          <w:rFonts w:hint="eastAsia" w:ascii="MS UI Gothic" w:eastAsia="MS UI Gothic"/>
          <w:w w:val="80"/>
        </w:rPr>
        <w:t xml:space="preserve">ꎬ </w:t>
      </w:r>
      <w:r>
        <w:t>供电</w:t>
      </w:r>
      <w:r>
        <w:rPr>
          <w:rFonts w:hint="eastAsia" w:ascii="MS UI Gothic" w:eastAsia="MS UI Gothic"/>
          <w:w w:val="80"/>
        </w:rPr>
        <w:t xml:space="preserve">、 </w:t>
      </w:r>
      <w:r>
        <w:t>供液等设备应当放置在采动应力集中影响区外</w:t>
      </w:r>
      <w:r>
        <w:rPr>
          <w:rFonts w:hint="eastAsia" w:ascii="MS UI Gothic" w:eastAsia="MS UI Gothic"/>
          <w:w w:val="80"/>
        </w:rPr>
        <w:t xml:space="preserve">ꎮ </w:t>
      </w:r>
      <w:r>
        <w:t>对危险区域内的设备</w:t>
      </w:r>
      <w:r>
        <w:rPr>
          <w:rFonts w:hint="eastAsia" w:ascii="MS UI Gothic" w:eastAsia="MS UI Gothic"/>
          <w:w w:val="80"/>
        </w:rPr>
        <w:t xml:space="preserve">、 </w:t>
      </w:r>
      <w:r>
        <w:t>管线</w:t>
      </w:r>
      <w:r>
        <w:rPr>
          <w:rFonts w:hint="eastAsia" w:ascii="MS UI Gothic" w:eastAsia="MS UI Gothic"/>
          <w:w w:val="80"/>
        </w:rPr>
        <w:t xml:space="preserve">、  </w:t>
      </w:r>
      <w:r>
        <w:t>物品等应当采取固定措施</w:t>
      </w:r>
      <w:r>
        <w:rPr>
          <w:rFonts w:hint="eastAsia" w:ascii="MS UI Gothic" w:eastAsia="MS UI Gothic"/>
          <w:w w:val="80"/>
        </w:rPr>
        <w:t xml:space="preserve">ꎬ </w:t>
      </w:r>
      <w:r>
        <w:t>管路应当吊挂在巷道腰线以下</w:t>
      </w:r>
      <w:r>
        <w:rPr>
          <w:rFonts w:hint="eastAsia" w:ascii="MS UI Gothic" w:eastAsia="MS UI Gothic"/>
          <w:w w:val="80"/>
        </w:rPr>
        <w:t>ꎮ</w:t>
      </w:r>
    </w:p>
    <w:p>
      <w:pPr>
        <w:pStyle w:val="6"/>
        <w:spacing w:line="295" w:lineRule="auto"/>
        <w:ind w:left="130" w:right="442"/>
        <w:rPr>
          <w:rFonts w:hint="eastAsia" w:ascii="MS UI Gothic" w:eastAsia="MS UI Gothic"/>
        </w:rPr>
      </w:pPr>
      <w:r>
        <w:t>第二百四十四条 冲击地压危险区域的巷道必须加强支护</w:t>
      </w:r>
      <w:r>
        <w:rPr>
          <w:rFonts w:hint="eastAsia" w:ascii="MS UI Gothic" w:eastAsia="MS UI Gothic"/>
          <w:w w:val="80"/>
        </w:rPr>
        <w:t xml:space="preserve">ꎬ </w:t>
      </w:r>
      <w:r>
        <w:t>采煤工作面必须加大上下出口和巷道的超前支护范围和强度</w:t>
      </w:r>
      <w:r>
        <w:rPr>
          <w:rFonts w:hint="eastAsia" w:ascii="MS UI Gothic" w:eastAsia="MS UI Gothic"/>
          <w:w w:val="80"/>
        </w:rPr>
        <w:t xml:space="preserve">ꎮ </w:t>
      </w:r>
      <w:r>
        <w:t>严重冲击地压危险区域</w:t>
      </w:r>
      <w:r>
        <w:rPr>
          <w:rFonts w:hint="eastAsia" w:ascii="MS UI Gothic" w:eastAsia="MS UI Gothic"/>
          <w:w w:val="80"/>
        </w:rPr>
        <w:t xml:space="preserve">ꎬ </w:t>
      </w:r>
      <w:r>
        <w:t>必须采取防底鼓措施</w:t>
      </w:r>
      <w:r>
        <w:rPr>
          <w:rFonts w:hint="eastAsia" w:ascii="MS UI Gothic" w:eastAsia="MS UI Gothic"/>
          <w:w w:val="80"/>
        </w:rPr>
        <w:t>ꎮ</w:t>
      </w:r>
    </w:p>
    <w:p>
      <w:pPr>
        <w:pStyle w:val="6"/>
        <w:spacing w:line="295" w:lineRule="auto"/>
        <w:ind w:left="130" w:right="442"/>
        <w:rPr>
          <w:rFonts w:hint="eastAsia" w:ascii="MS UI Gothic" w:eastAsia="MS UI Gothic"/>
        </w:rPr>
      </w:pPr>
      <w:r>
        <w:rPr>
          <w:w w:val="105"/>
        </w:rPr>
        <w:t>第二百四十五条 有冲击地压危险的</w:t>
      </w:r>
      <w:r>
        <w:t>采掘工作面必须设置压风自救系统</w:t>
      </w:r>
      <w:r>
        <w:rPr>
          <w:rFonts w:hint="eastAsia" w:ascii="MS UI Gothic" w:eastAsia="MS UI Gothic"/>
          <w:w w:val="80"/>
        </w:rPr>
        <w:t xml:space="preserve">ꎬ </w:t>
      </w:r>
      <w:r>
        <w:t>明确</w:t>
      </w:r>
      <w:r>
        <w:rPr>
          <w:w w:val="105"/>
        </w:rPr>
        <w:t>发生冲击地压时的避灾路线</w:t>
      </w:r>
      <w:r>
        <w:rPr>
          <w:rFonts w:hint="eastAsia" w:ascii="MS UI Gothic" w:eastAsia="MS UI Gothic"/>
          <w:w w:val="80"/>
        </w:rPr>
        <w:t>ꎮ</w:t>
      </w:r>
    </w:p>
    <w:p>
      <w:pPr>
        <w:pStyle w:val="6"/>
        <w:tabs>
          <w:tab w:val="left" w:pos="1807"/>
          <w:tab w:val="left" w:pos="2331"/>
          <w:tab w:val="left" w:pos="2855"/>
        </w:tabs>
        <w:spacing w:before="145"/>
        <w:ind w:left="968" w:firstLine="0"/>
        <w:jc w:val="left"/>
      </w:pPr>
      <w:r>
        <w:rPr>
          <w:spacing w:val="3"/>
          <w:w w:val="105"/>
        </w:rPr>
        <w:t>第六</w:t>
      </w:r>
      <w:r>
        <w:rPr>
          <w:w w:val="105"/>
        </w:rPr>
        <w:t>章</w:t>
      </w:r>
      <w:r>
        <w:rPr>
          <w:w w:val="105"/>
        </w:rPr>
        <w:tab/>
      </w:r>
      <w:r>
        <w:rPr>
          <w:w w:val="105"/>
        </w:rPr>
        <w:t>防</w:t>
      </w:r>
      <w:r>
        <w:rPr>
          <w:w w:val="105"/>
        </w:rPr>
        <w:tab/>
      </w:r>
      <w:r>
        <w:rPr>
          <w:w w:val="105"/>
        </w:rPr>
        <w:t>灭</w:t>
      </w:r>
      <w:r>
        <w:rPr>
          <w:w w:val="105"/>
        </w:rPr>
        <w:tab/>
      </w:r>
      <w:r>
        <w:rPr>
          <w:w w:val="105"/>
        </w:rPr>
        <w:t>火</w:t>
      </w:r>
    </w:p>
    <w:p>
      <w:pPr>
        <w:pStyle w:val="6"/>
        <w:spacing w:before="1"/>
        <w:ind w:left="0" w:firstLine="0"/>
        <w:jc w:val="left"/>
        <w:rPr>
          <w:sz w:val="29"/>
        </w:rPr>
      </w:pPr>
    </w:p>
    <w:p>
      <w:pPr>
        <w:pStyle w:val="6"/>
        <w:tabs>
          <w:tab w:val="left" w:pos="1912"/>
        </w:tabs>
        <w:ind w:left="1073" w:firstLine="0"/>
        <w:jc w:val="left"/>
      </w:pPr>
      <w:r>
        <w:rPr>
          <w:spacing w:val="3"/>
          <w:w w:val="105"/>
        </w:rPr>
        <w:t>第一</w:t>
      </w:r>
      <w:r>
        <w:rPr>
          <w:w w:val="105"/>
        </w:rPr>
        <w:t>节</w:t>
      </w:r>
      <w:r>
        <w:rPr>
          <w:w w:val="105"/>
        </w:rPr>
        <w:tab/>
      </w:r>
      <w:r>
        <w:rPr>
          <w:w w:val="105"/>
        </w:rPr>
        <w:t>一</w:t>
      </w:r>
      <w:r>
        <w:rPr>
          <w:spacing w:val="-33"/>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before="1" w:line="295" w:lineRule="auto"/>
        <w:ind w:left="130" w:right="442"/>
        <w:rPr>
          <w:rFonts w:hint="eastAsia" w:ascii="MS UI Gothic" w:eastAsia="MS UI Gothic"/>
        </w:rPr>
      </w:pPr>
      <w:r>
        <w:rPr>
          <w:spacing w:val="18"/>
          <w:w w:val="105"/>
        </w:rPr>
        <w:t>第二百四十六条 煤矿必须制定井</w:t>
      </w:r>
      <w:r>
        <w:rPr>
          <w:spacing w:val="3"/>
          <w:w w:val="105"/>
        </w:rPr>
        <w:t>上</w:t>
      </w:r>
      <w:r>
        <w:rPr>
          <w:rFonts w:hint="eastAsia" w:ascii="MS UI Gothic" w:eastAsia="MS UI Gothic"/>
          <w:spacing w:val="4"/>
          <w:w w:val="80"/>
        </w:rPr>
        <w:t xml:space="preserve">、 </w:t>
      </w:r>
      <w:r>
        <w:rPr>
          <w:spacing w:val="30"/>
          <w:w w:val="105"/>
        </w:rPr>
        <w:t>下防火措施</w:t>
      </w:r>
      <w:r>
        <w:rPr>
          <w:rFonts w:hint="eastAsia" w:ascii="MS UI Gothic" w:eastAsia="MS UI Gothic"/>
          <w:spacing w:val="10"/>
          <w:w w:val="80"/>
        </w:rPr>
        <w:t xml:space="preserve">ꎮ </w:t>
      </w:r>
      <w:r>
        <w:rPr>
          <w:spacing w:val="35"/>
          <w:w w:val="105"/>
        </w:rPr>
        <w:t>煤矿的所有地面建</w:t>
      </w:r>
      <w:r>
        <w:rPr>
          <w:rFonts w:hint="eastAsia" w:ascii="MS UI Gothic" w:eastAsia="MS UI Gothic"/>
          <w:spacing w:val="-19"/>
          <w:w w:val="150"/>
        </w:rPr>
        <w:t xml:space="preserve">( </w:t>
      </w:r>
      <w:r>
        <w:rPr>
          <w:spacing w:val="3"/>
          <w:w w:val="105"/>
        </w:rPr>
        <w:t>构</w:t>
      </w:r>
      <w:r>
        <w:rPr>
          <w:rFonts w:hint="eastAsia" w:ascii="MS UI Gothic" w:eastAsia="MS UI Gothic"/>
          <w:spacing w:val="12"/>
          <w:w w:val="150"/>
        </w:rPr>
        <w:t xml:space="preserve">) </w:t>
      </w:r>
      <w:r>
        <w:rPr>
          <w:spacing w:val="4"/>
          <w:w w:val="105"/>
        </w:rPr>
        <w:t>筑物</w:t>
      </w:r>
      <w:r>
        <w:rPr>
          <w:rFonts w:hint="eastAsia" w:ascii="MS UI Gothic" w:eastAsia="MS UI Gothic"/>
          <w:spacing w:val="1"/>
          <w:w w:val="80"/>
        </w:rPr>
        <w:t xml:space="preserve">、 </w:t>
      </w:r>
      <w:r>
        <w:rPr>
          <w:spacing w:val="6"/>
          <w:w w:val="105"/>
        </w:rPr>
        <w:t>煤堆</w:t>
      </w:r>
      <w:r>
        <w:rPr>
          <w:rFonts w:hint="eastAsia" w:ascii="MS UI Gothic" w:eastAsia="MS UI Gothic"/>
          <w:spacing w:val="1"/>
          <w:w w:val="80"/>
        </w:rPr>
        <w:t xml:space="preserve">、 </w:t>
      </w:r>
      <w:r>
        <w:rPr>
          <w:spacing w:val="7"/>
          <w:w w:val="105"/>
        </w:rPr>
        <w:t>矸石山</w:t>
      </w:r>
      <w:r>
        <w:rPr>
          <w:rFonts w:hint="eastAsia" w:ascii="MS UI Gothic" w:eastAsia="MS UI Gothic"/>
          <w:spacing w:val="2"/>
          <w:w w:val="80"/>
        </w:rPr>
        <w:t xml:space="preserve">、 </w:t>
      </w:r>
      <w:r>
        <w:rPr>
          <w:spacing w:val="8"/>
          <w:w w:val="105"/>
        </w:rPr>
        <w:t>木料场等处</w:t>
      </w:r>
      <w:r>
        <w:rPr>
          <w:spacing w:val="3"/>
        </w:rPr>
        <w:t>的防火措施和制度</w:t>
      </w:r>
      <w:r>
        <w:rPr>
          <w:rFonts w:hint="eastAsia" w:ascii="MS UI Gothic" w:eastAsia="MS UI Gothic"/>
          <w:spacing w:val="20"/>
          <w:w w:val="80"/>
        </w:rPr>
        <w:t xml:space="preserve">ꎬ </w:t>
      </w:r>
      <w:r>
        <w:rPr>
          <w:spacing w:val="2"/>
        </w:rPr>
        <w:t>必须遵守国家有关防</w:t>
      </w:r>
      <w:r>
        <w:rPr>
          <w:spacing w:val="3"/>
          <w:w w:val="105"/>
        </w:rPr>
        <w:t>火的规定</w:t>
      </w:r>
      <w:r>
        <w:rPr>
          <w:rFonts w:hint="eastAsia" w:ascii="MS UI Gothic" w:eastAsia="MS UI Gothic"/>
          <w:w w:val="80"/>
        </w:rPr>
        <w:t>ꎮ</w:t>
      </w:r>
    </w:p>
    <w:p>
      <w:pPr>
        <w:pStyle w:val="6"/>
        <w:spacing w:line="295" w:lineRule="auto"/>
        <w:ind w:left="130" w:right="442"/>
        <w:rPr>
          <w:rFonts w:hint="eastAsia" w:ascii="MS UI Gothic" w:eastAsia="MS UI Gothic"/>
        </w:rPr>
      </w:pPr>
      <w:r>
        <w:t>第二百四十七条 木料场</w:t>
      </w:r>
      <w:r>
        <w:rPr>
          <w:rFonts w:hint="eastAsia" w:ascii="MS UI Gothic" w:eastAsia="MS UI Gothic"/>
          <w:w w:val="85"/>
        </w:rPr>
        <w:t xml:space="preserve">、 </w:t>
      </w:r>
      <w:r>
        <w:t xml:space="preserve">矸石山等堆放场距离进风井口不得小于 </w:t>
      </w:r>
      <w:r>
        <w:rPr>
          <w:rFonts w:hint="eastAsia" w:ascii="MS UI Gothic" w:eastAsia="MS UI Gothic"/>
          <w:w w:val="85"/>
        </w:rPr>
        <w:t xml:space="preserve">８０ ｍꎮ </w:t>
      </w:r>
      <w:r>
        <w:t xml:space="preserve">木料场距离矸石山不得小于 </w:t>
      </w:r>
      <w:r>
        <w:rPr>
          <w:rFonts w:hint="eastAsia" w:ascii="MS UI Gothic" w:eastAsia="MS UI Gothic"/>
          <w:w w:val="85"/>
        </w:rPr>
        <w:t>５０ ｍꎮ</w:t>
      </w:r>
    </w:p>
    <w:p>
      <w:pPr>
        <w:pStyle w:val="6"/>
        <w:spacing w:line="295" w:lineRule="auto"/>
        <w:ind w:left="130" w:right="442"/>
        <w:rPr>
          <w:rFonts w:hint="eastAsia" w:ascii="MS UI Gothic" w:eastAsia="MS UI Gothic"/>
        </w:rPr>
      </w:pPr>
      <w:r>
        <w:t>不得将矸石山设在进风井的主导风向上风侧</w:t>
      </w:r>
      <w:r>
        <w:rPr>
          <w:rFonts w:hint="eastAsia" w:ascii="MS UI Gothic" w:eastAsia="MS UI Gothic"/>
        </w:rPr>
        <w:t xml:space="preserve">、 </w:t>
      </w:r>
      <w:r>
        <w:t xml:space="preserve">表土层 </w:t>
      </w:r>
      <w:r>
        <w:rPr>
          <w:rFonts w:hint="eastAsia" w:ascii="MS UI Gothic" w:eastAsia="MS UI Gothic"/>
          <w:w w:val="85"/>
        </w:rPr>
        <w:t xml:space="preserve">１０ </w:t>
      </w:r>
      <w:r>
        <w:rPr>
          <w:rFonts w:hint="eastAsia" w:ascii="MS UI Gothic" w:eastAsia="MS UI Gothic"/>
        </w:rPr>
        <w:t xml:space="preserve">ｍ </w:t>
      </w:r>
      <w:r>
        <w:t>以浅有煤层的地面上和漏风采空区上方的塌陷范围内</w:t>
      </w:r>
      <w:r>
        <w:rPr>
          <w:rFonts w:hint="eastAsia" w:ascii="MS UI Gothic" w:eastAsia="MS UI Gothic"/>
          <w:w w:val="85"/>
        </w:rPr>
        <w:t>ꎮ</w:t>
      </w:r>
    </w:p>
    <w:p>
      <w:pPr>
        <w:pStyle w:val="6"/>
        <w:spacing w:line="295" w:lineRule="auto"/>
        <w:ind w:left="130" w:right="440"/>
        <w:rPr>
          <w:rFonts w:hint="eastAsia" w:ascii="MS UI Gothic" w:eastAsia="MS UI Gothic"/>
        </w:rPr>
      </w:pPr>
      <w:r>
        <w:t>第二百四十八条 新建矿井的永久井架和井口房</w:t>
      </w:r>
      <w:r>
        <w:rPr>
          <w:rFonts w:hint="eastAsia" w:ascii="MS UI Gothic" w:eastAsia="MS UI Gothic"/>
          <w:w w:val="80"/>
        </w:rPr>
        <w:t xml:space="preserve">、 </w:t>
      </w:r>
      <w:r>
        <w:t>以井口为中心的联合建筑</w:t>
      </w:r>
      <w:r>
        <w:rPr>
          <w:rFonts w:hint="eastAsia" w:ascii="MS UI Gothic" w:eastAsia="MS UI Gothic"/>
          <w:w w:val="80"/>
        </w:rPr>
        <w:t>ꎬ</w:t>
      </w:r>
      <w:r>
        <w:t>必须用不燃性材料建筑</w:t>
      </w:r>
      <w:r>
        <w:rPr>
          <w:rFonts w:hint="eastAsia" w:ascii="MS UI Gothic" w:eastAsia="MS UI Gothic"/>
          <w:w w:val="80"/>
        </w:rPr>
        <w:t>ꎮ</w:t>
      </w:r>
    </w:p>
    <w:p>
      <w:pPr>
        <w:pStyle w:val="6"/>
        <w:spacing w:line="295" w:lineRule="auto"/>
        <w:ind w:left="130" w:right="442"/>
        <w:rPr>
          <w:rFonts w:hint="eastAsia" w:ascii="MS UI Gothic" w:eastAsia="MS UI Gothic"/>
        </w:rPr>
      </w:pPr>
      <w:r>
        <w:t>对现有生产矿井用可燃性材料建筑的井架和井口房</w:t>
      </w:r>
      <w:r>
        <w:rPr>
          <w:rFonts w:hint="eastAsia" w:ascii="MS UI Gothic" w:eastAsia="MS UI Gothic"/>
          <w:w w:val="80"/>
        </w:rPr>
        <w:t xml:space="preserve">ꎬ </w:t>
      </w:r>
      <w:r>
        <w:t>必须制定防火措施</w:t>
      </w:r>
      <w:r>
        <w:rPr>
          <w:rFonts w:hint="eastAsia" w:ascii="MS UI Gothic" w:eastAsia="MS UI Gothic"/>
          <w:w w:val="80"/>
        </w:rPr>
        <w:t>ꎮ</w:t>
      </w:r>
    </w:p>
    <w:p>
      <w:pPr>
        <w:pStyle w:val="6"/>
        <w:spacing w:line="295" w:lineRule="auto"/>
        <w:ind w:right="442" w:firstLine="425"/>
      </w:pPr>
      <w:r>
        <w:rPr>
          <w:w w:val="95"/>
        </w:rPr>
        <w:t>第二百四十九条   矿井必须设地面消防水池和井下消防管路系统</w:t>
      </w:r>
      <w:r>
        <w:rPr>
          <w:rFonts w:hint="eastAsia" w:ascii="MS UI Gothic" w:eastAsia="MS UI Gothic"/>
          <w:w w:val="90"/>
        </w:rPr>
        <w:t xml:space="preserve">ꎮ  </w:t>
      </w:r>
      <w:r>
        <w:rPr>
          <w:w w:val="95"/>
        </w:rPr>
        <w:t>井下消防管路</w:t>
      </w:r>
      <w:r>
        <w:t>系统应当敷设到采掘工作</w:t>
      </w:r>
      <w:r>
        <w:rPr>
          <w:w w:val="95"/>
        </w:rPr>
        <w:t>面</w:t>
      </w:r>
      <w:r>
        <w:rPr>
          <w:rFonts w:hint="eastAsia" w:ascii="MS UI Gothic" w:eastAsia="MS UI Gothic"/>
          <w:w w:val="90"/>
        </w:rPr>
        <w:t xml:space="preserve">ꎬ </w:t>
      </w:r>
      <w:r>
        <w:t>每</w:t>
      </w:r>
      <w:r>
        <w:rPr>
          <w:w w:val="95"/>
        </w:rPr>
        <w:t>隔</w:t>
      </w:r>
      <w:r>
        <w:rPr>
          <w:rFonts w:hint="eastAsia" w:ascii="MS UI Gothic" w:eastAsia="MS UI Gothic"/>
          <w:w w:val="95"/>
        </w:rPr>
        <w:t xml:space="preserve">１００ ｍ </w:t>
      </w:r>
      <w:r>
        <w:rPr>
          <w:w w:val="95"/>
        </w:rPr>
        <w:t>设置支管和阀门</w:t>
      </w:r>
      <w:r>
        <w:rPr>
          <w:rFonts w:hint="eastAsia" w:ascii="MS UI Gothic" w:eastAsia="MS UI Gothic"/>
          <w:w w:val="90"/>
        </w:rPr>
        <w:t xml:space="preserve">ꎬ </w:t>
      </w:r>
      <w:r>
        <w:rPr>
          <w:w w:val="95"/>
        </w:rPr>
        <w:t>但在带式输送机</w:t>
      </w:r>
    </w:p>
    <w:p>
      <w:pPr>
        <w:spacing w:after="0" w:line="295" w:lineRule="auto"/>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２７５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55" o:spid="_x0000_s1855" o:spt="203" style="height:2.15pt;width:398.25pt;" coordsize="7965,43">
            <o:lock v:ext="edit"/>
            <v:line id="_x0000_s1856" o:spid="_x0000_s1856" o:spt="20" style="position:absolute;left:0;top:39;height:0;width:7965;" stroked="t" coordsize="21600,21600">
              <v:path arrowok="t"/>
              <v:fill focussize="0,0"/>
              <v:stroke weight="0.388031496062992pt" color="#231F20"/>
              <v:imagedata o:title=""/>
              <o:lock v:ext="edit"/>
            </v:line>
            <v:line id="_x0000_s1857" o:spid="_x0000_s185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2" w:lineRule="auto"/>
        <w:ind w:left="435" w:firstLine="5"/>
        <w:rPr>
          <w:rFonts w:hint="eastAsia" w:ascii="MS UI Gothic" w:eastAsia="MS UI Gothic"/>
        </w:rPr>
      </w:pPr>
      <w:r>
        <w:rPr>
          <w:spacing w:val="5"/>
          <w:w w:val="95"/>
        </w:rPr>
        <w:t xml:space="preserve">巷道中应当每隔 </w:t>
      </w:r>
      <w:r>
        <w:rPr>
          <w:rFonts w:hint="eastAsia" w:ascii="MS UI Gothic" w:eastAsia="MS UI Gothic"/>
          <w:spacing w:val="18"/>
          <w:w w:val="95"/>
        </w:rPr>
        <w:t xml:space="preserve">５０ </w:t>
      </w:r>
      <w:r>
        <w:rPr>
          <w:rFonts w:hint="eastAsia" w:ascii="MS UI Gothic" w:eastAsia="MS UI Gothic"/>
          <w:w w:val="95"/>
        </w:rPr>
        <w:t>ｍ</w:t>
      </w:r>
      <w:r>
        <w:rPr>
          <w:rFonts w:hint="eastAsia" w:ascii="MS UI Gothic" w:eastAsia="MS UI Gothic"/>
          <w:spacing w:val="52"/>
          <w:w w:val="95"/>
        </w:rPr>
        <w:t xml:space="preserve"> </w:t>
      </w:r>
      <w:r>
        <w:rPr>
          <w:spacing w:val="13"/>
          <w:w w:val="95"/>
        </w:rPr>
        <w:t>设置支管和阀门</w:t>
      </w:r>
      <w:r>
        <w:rPr>
          <w:rFonts w:hint="eastAsia" w:ascii="MS UI Gothic" w:eastAsia="MS UI Gothic"/>
          <w:spacing w:val="-11"/>
          <w:w w:val="90"/>
        </w:rPr>
        <w:t>ꎮ</w:t>
      </w:r>
      <w:r>
        <w:rPr>
          <w:spacing w:val="3"/>
          <w:w w:val="95"/>
        </w:rPr>
        <w:t>地</w:t>
      </w:r>
      <w:r>
        <w:rPr>
          <w:spacing w:val="32"/>
        </w:rPr>
        <w:t>面的消防水池必须经常保持不少</w:t>
      </w:r>
      <w:r>
        <w:rPr>
          <w:w w:val="95"/>
        </w:rPr>
        <w:t>于</w:t>
      </w:r>
      <w:r>
        <w:rPr>
          <w:rFonts w:hint="eastAsia" w:ascii="MS UI Gothic" w:eastAsia="MS UI Gothic"/>
          <w:spacing w:val="2"/>
          <w:w w:val="95"/>
        </w:rPr>
        <w:t xml:space="preserve">２００ </w:t>
      </w:r>
      <w:r>
        <w:rPr>
          <w:rFonts w:hint="eastAsia" w:ascii="MS UI Gothic" w:eastAsia="MS UI Gothic"/>
          <w:spacing w:val="3"/>
          <w:w w:val="95"/>
        </w:rPr>
        <w:t>ｍ</w:t>
      </w:r>
      <w:r>
        <w:rPr>
          <w:rFonts w:hint="eastAsia" w:ascii="MS UI Gothic" w:eastAsia="MS UI Gothic"/>
          <w:spacing w:val="-9"/>
          <w:w w:val="95"/>
          <w:position w:val="9"/>
          <w:sz w:val="12"/>
        </w:rPr>
        <w:t xml:space="preserve">３ </w:t>
      </w:r>
      <w:r>
        <w:rPr>
          <w:spacing w:val="3"/>
          <w:w w:val="95"/>
        </w:rPr>
        <w:t>的水量</w:t>
      </w:r>
      <w:r>
        <w:rPr>
          <w:rFonts w:hint="eastAsia" w:ascii="MS UI Gothic" w:eastAsia="MS UI Gothic"/>
          <w:spacing w:val="21"/>
          <w:w w:val="90"/>
        </w:rPr>
        <w:t xml:space="preserve">ꎮ </w:t>
      </w:r>
      <w:r>
        <w:rPr>
          <w:spacing w:val="3"/>
          <w:w w:val="95"/>
        </w:rPr>
        <w:t>消防用水同生产</w:t>
      </w:r>
      <w:r>
        <w:rPr>
          <w:rFonts w:hint="eastAsia" w:ascii="MS UI Gothic" w:eastAsia="MS UI Gothic"/>
          <w:spacing w:val="21"/>
          <w:w w:val="95"/>
        </w:rPr>
        <w:t xml:space="preserve">、 </w:t>
      </w:r>
      <w:r>
        <w:rPr>
          <w:spacing w:val="4"/>
          <w:w w:val="95"/>
        </w:rPr>
        <w:t>生活用</w:t>
      </w:r>
      <w:r>
        <w:rPr>
          <w:spacing w:val="3"/>
          <w:w w:val="95"/>
        </w:rPr>
        <w:t>水共用同一水池时</w:t>
      </w:r>
      <w:r>
        <w:rPr>
          <w:rFonts w:hint="eastAsia" w:ascii="MS UI Gothic" w:eastAsia="MS UI Gothic"/>
          <w:spacing w:val="14"/>
          <w:w w:val="90"/>
        </w:rPr>
        <w:t xml:space="preserve">ꎬ  </w:t>
      </w:r>
      <w:r>
        <w:rPr>
          <w:spacing w:val="2"/>
          <w:w w:val="95"/>
        </w:rPr>
        <w:t>应当有确保消防用水</w:t>
      </w:r>
      <w:r>
        <w:rPr>
          <w:spacing w:val="3"/>
          <w:w w:val="95"/>
        </w:rPr>
        <w:t>的措施</w:t>
      </w:r>
      <w:r>
        <w:rPr>
          <w:rFonts w:hint="eastAsia" w:ascii="MS UI Gothic" w:eastAsia="MS UI Gothic"/>
          <w:w w:val="90"/>
        </w:rPr>
        <w:t>ꎮ</w:t>
      </w:r>
    </w:p>
    <w:p>
      <w:pPr>
        <w:pStyle w:val="6"/>
        <w:spacing w:line="295" w:lineRule="auto"/>
        <w:ind w:left="440" w:right="1"/>
        <w:rPr>
          <w:rFonts w:hint="eastAsia" w:ascii="MS UI Gothic" w:eastAsia="MS UI Gothic"/>
        </w:rPr>
      </w:pPr>
      <w:r>
        <w:t>开采下部水平的矿井</w:t>
      </w:r>
      <w:r>
        <w:rPr>
          <w:rFonts w:hint="eastAsia" w:ascii="MS UI Gothic" w:eastAsia="MS UI Gothic"/>
          <w:w w:val="80"/>
        </w:rPr>
        <w:t xml:space="preserve">ꎬ </w:t>
      </w:r>
      <w:r>
        <w:t>除地面消防水池外</w:t>
      </w:r>
      <w:r>
        <w:rPr>
          <w:rFonts w:hint="eastAsia" w:ascii="MS UI Gothic" w:eastAsia="MS UI Gothic"/>
          <w:w w:val="80"/>
        </w:rPr>
        <w:t xml:space="preserve">ꎬ </w:t>
      </w:r>
      <w:r>
        <w:t>可以利用上部水平或者生产水平的水仓作为消防水池</w:t>
      </w:r>
      <w:r>
        <w:rPr>
          <w:rFonts w:hint="eastAsia" w:ascii="MS UI Gothic" w:eastAsia="MS UI Gothic"/>
          <w:w w:val="80"/>
        </w:rPr>
        <w:t>ꎮ</w:t>
      </w:r>
    </w:p>
    <w:p>
      <w:pPr>
        <w:pStyle w:val="6"/>
        <w:spacing w:line="295" w:lineRule="auto"/>
        <w:ind w:left="440"/>
        <w:rPr>
          <w:rFonts w:hint="eastAsia" w:ascii="MS UI Gothic" w:eastAsia="MS UI Gothic"/>
        </w:rPr>
      </w:pPr>
      <w:r>
        <w:t>第二百五十条 进风井口应当装设防火铁门</w:t>
      </w:r>
      <w:r>
        <w:rPr>
          <w:rFonts w:hint="eastAsia" w:ascii="MS UI Gothic" w:eastAsia="MS UI Gothic"/>
          <w:w w:val="80"/>
        </w:rPr>
        <w:t xml:space="preserve">ꎬ </w:t>
      </w:r>
      <w:r>
        <w:t>防火铁门必须严密并易于关闭</w:t>
      </w:r>
      <w:r>
        <w:rPr>
          <w:rFonts w:hint="eastAsia" w:ascii="MS UI Gothic" w:eastAsia="MS UI Gothic"/>
          <w:w w:val="80"/>
        </w:rPr>
        <w:t>ꎬ</w:t>
      </w:r>
      <w:r>
        <w:t>打开时不妨碍提升</w:t>
      </w:r>
      <w:r>
        <w:rPr>
          <w:rFonts w:hint="eastAsia" w:ascii="MS UI Gothic" w:eastAsia="MS UI Gothic"/>
          <w:w w:val="80"/>
        </w:rPr>
        <w:t xml:space="preserve">、 </w:t>
      </w:r>
      <w:r>
        <w:t>运输和人员通行</w:t>
      </w:r>
      <w:r>
        <w:rPr>
          <w:rFonts w:hint="eastAsia" w:ascii="MS UI Gothic" w:eastAsia="MS UI Gothic"/>
          <w:w w:val="80"/>
        </w:rPr>
        <w:t xml:space="preserve">ꎬ </w:t>
      </w:r>
      <w:r>
        <w:t>并定期维修</w:t>
      </w:r>
      <w:r>
        <w:rPr>
          <w:rFonts w:hint="eastAsia" w:ascii="MS UI Gothic" w:eastAsia="MS UI Gothic"/>
          <w:w w:val="80"/>
        </w:rPr>
        <w:t xml:space="preserve">ꎻ </w:t>
      </w:r>
      <w:r>
        <w:t>如果不设防火铁门</w:t>
      </w:r>
      <w:r>
        <w:rPr>
          <w:rFonts w:hint="eastAsia" w:ascii="MS UI Gothic" w:eastAsia="MS UI Gothic"/>
          <w:w w:val="80"/>
        </w:rPr>
        <w:t xml:space="preserve">ꎬ </w:t>
      </w:r>
      <w:r>
        <w:t>必须有防止烟火进入矿井的安全措施</w:t>
      </w:r>
      <w:r>
        <w:rPr>
          <w:rFonts w:hint="eastAsia" w:ascii="MS UI Gothic" w:eastAsia="MS UI Gothic"/>
          <w:w w:val="80"/>
        </w:rPr>
        <w:t>ꎮ</w:t>
      </w:r>
    </w:p>
    <w:p>
      <w:pPr>
        <w:pStyle w:val="6"/>
        <w:spacing w:line="295" w:lineRule="auto"/>
        <w:ind w:left="440" w:right="1"/>
        <w:rPr>
          <w:rFonts w:hint="eastAsia" w:ascii="MS UI Gothic" w:eastAsia="MS UI Gothic"/>
        </w:rPr>
      </w:pPr>
      <w:r>
        <w:t xml:space="preserve">第二百五十一条 井口房和通风机房附近 </w:t>
      </w:r>
      <w:r>
        <w:rPr>
          <w:rFonts w:hint="eastAsia" w:ascii="MS UI Gothic" w:eastAsia="MS UI Gothic"/>
          <w:w w:val="85"/>
        </w:rPr>
        <w:t xml:space="preserve">２０ ｍ </w:t>
      </w:r>
      <w:r>
        <w:t>内</w:t>
      </w:r>
      <w:r>
        <w:rPr>
          <w:rFonts w:hint="eastAsia" w:ascii="MS UI Gothic" w:eastAsia="MS UI Gothic"/>
          <w:w w:val="85"/>
        </w:rPr>
        <w:t xml:space="preserve">ꎬ </w:t>
      </w:r>
      <w:r>
        <w:t>不得有烟火或者用火炉取暖</w:t>
      </w:r>
      <w:r>
        <w:rPr>
          <w:rFonts w:hint="eastAsia" w:ascii="MS UI Gothic" w:eastAsia="MS UI Gothic"/>
          <w:w w:val="85"/>
        </w:rPr>
        <w:t xml:space="preserve">ꎮ </w:t>
      </w:r>
      <w:r>
        <w:t>通风机房位于工业广场以外时</w:t>
      </w:r>
      <w:r>
        <w:rPr>
          <w:rFonts w:hint="eastAsia" w:ascii="MS UI Gothic" w:eastAsia="MS UI Gothic"/>
          <w:w w:val="85"/>
        </w:rPr>
        <w:t xml:space="preserve">ꎬ </w:t>
      </w:r>
      <w:r>
        <w:t>除开采有瓦斯喷出的矿井和突出矿井外</w:t>
      </w:r>
      <w:r>
        <w:rPr>
          <w:rFonts w:hint="eastAsia" w:ascii="MS UI Gothic" w:eastAsia="MS UI Gothic"/>
          <w:w w:val="85"/>
        </w:rPr>
        <w:t xml:space="preserve">ꎬ </w:t>
      </w:r>
      <w:r>
        <w:t>可用隔焰式火炉或者防爆式电热器取暖</w:t>
      </w:r>
      <w:r>
        <w:rPr>
          <w:rFonts w:hint="eastAsia" w:ascii="MS UI Gothic" w:eastAsia="MS UI Gothic"/>
          <w:w w:val="85"/>
        </w:rPr>
        <w:t>ꎮ</w:t>
      </w:r>
    </w:p>
    <w:p>
      <w:pPr>
        <w:pStyle w:val="6"/>
        <w:spacing w:line="295" w:lineRule="auto"/>
        <w:ind w:left="440" w:right="1"/>
        <w:rPr>
          <w:rFonts w:hint="eastAsia" w:ascii="MS UI Gothic" w:eastAsia="MS UI Gothic"/>
        </w:rPr>
      </w:pPr>
      <w:r>
        <w:t>暖风道和压入式通风的风硐必须用不燃性材料砌筑</w:t>
      </w:r>
      <w:r>
        <w:rPr>
          <w:rFonts w:hint="eastAsia" w:ascii="MS UI Gothic" w:eastAsia="MS UI Gothic"/>
          <w:w w:val="80"/>
        </w:rPr>
        <w:t xml:space="preserve">ꎬ </w:t>
      </w:r>
      <w:r>
        <w:t xml:space="preserve">并至少装设 </w:t>
      </w:r>
      <w:r>
        <w:rPr>
          <w:rFonts w:hint="eastAsia" w:ascii="MS UI Gothic" w:eastAsia="MS UI Gothic"/>
          <w:w w:val="80"/>
        </w:rPr>
        <w:t xml:space="preserve">２ </w:t>
      </w:r>
      <w:r>
        <w:t>道防火门</w:t>
      </w:r>
      <w:r>
        <w:rPr>
          <w:rFonts w:hint="eastAsia" w:ascii="MS UI Gothic" w:eastAsia="MS UI Gothic"/>
          <w:w w:val="80"/>
        </w:rPr>
        <w:t>ꎮ</w:t>
      </w:r>
    </w:p>
    <w:p>
      <w:pPr>
        <w:pStyle w:val="6"/>
        <w:spacing w:line="295" w:lineRule="auto"/>
        <w:ind w:left="440" w:right="1"/>
        <w:rPr>
          <w:rFonts w:hint="eastAsia" w:ascii="MS UI Gothic" w:eastAsia="MS UI Gothic"/>
        </w:rPr>
      </w:pPr>
      <w:r>
        <w:t>第二百五十二条 井筒与各水平的连接处及井底车场</w:t>
      </w:r>
      <w:r>
        <w:rPr>
          <w:rFonts w:hint="eastAsia" w:ascii="MS UI Gothic" w:eastAsia="MS UI Gothic"/>
          <w:w w:val="85"/>
        </w:rPr>
        <w:t xml:space="preserve">ꎬ </w:t>
      </w:r>
      <w:r>
        <w:t>主要绞车道与主要运输巷</w:t>
      </w:r>
      <w:r>
        <w:rPr>
          <w:rFonts w:hint="eastAsia" w:ascii="MS UI Gothic" w:eastAsia="MS UI Gothic"/>
        </w:rPr>
        <w:t xml:space="preserve">、 </w:t>
      </w:r>
      <w:r>
        <w:t>回风巷的连接处</w:t>
      </w:r>
      <w:r>
        <w:rPr>
          <w:rFonts w:hint="eastAsia" w:ascii="MS UI Gothic" w:eastAsia="MS UI Gothic"/>
          <w:w w:val="85"/>
        </w:rPr>
        <w:t xml:space="preserve">ꎬ </w:t>
      </w:r>
      <w:r>
        <w:t>井下机电设备硐室</w:t>
      </w:r>
      <w:r>
        <w:rPr>
          <w:rFonts w:hint="eastAsia" w:ascii="MS UI Gothic" w:eastAsia="MS UI Gothic"/>
          <w:w w:val="85"/>
        </w:rPr>
        <w:t xml:space="preserve">ꎬ </w:t>
      </w:r>
      <w:r>
        <w:t xml:space="preserve">主要巷道内带式输送机机头前后两端各 </w:t>
      </w:r>
      <w:r>
        <w:rPr>
          <w:rFonts w:hint="eastAsia" w:ascii="MS UI Gothic" w:eastAsia="MS UI Gothic"/>
          <w:w w:val="85"/>
        </w:rPr>
        <w:t xml:space="preserve">２０ </w:t>
      </w:r>
      <w:r>
        <w:rPr>
          <w:rFonts w:hint="eastAsia" w:ascii="MS UI Gothic" w:eastAsia="MS UI Gothic"/>
        </w:rPr>
        <w:t xml:space="preserve">ｍ </w:t>
      </w:r>
      <w:r>
        <w:t>范围内</w:t>
      </w:r>
      <w:r>
        <w:rPr>
          <w:rFonts w:hint="eastAsia" w:ascii="MS UI Gothic" w:eastAsia="MS UI Gothic"/>
          <w:w w:val="85"/>
        </w:rPr>
        <w:t xml:space="preserve">ꎬ </w:t>
      </w:r>
      <w:r>
        <w:t>都必须用不燃性材料支护</w:t>
      </w:r>
      <w:r>
        <w:rPr>
          <w:rFonts w:hint="eastAsia" w:ascii="MS UI Gothic" w:eastAsia="MS UI Gothic"/>
          <w:w w:val="85"/>
        </w:rPr>
        <w:t>ꎮ</w:t>
      </w:r>
    </w:p>
    <w:p>
      <w:pPr>
        <w:pStyle w:val="6"/>
        <w:spacing w:line="295" w:lineRule="auto"/>
        <w:ind w:left="440" w:right="1"/>
        <w:rPr>
          <w:rFonts w:hint="eastAsia" w:ascii="MS UI Gothic" w:eastAsia="MS UI Gothic"/>
        </w:rPr>
      </w:pPr>
      <w:r>
        <w:t>在井下和井口房</w:t>
      </w:r>
      <w:r>
        <w:rPr>
          <w:rFonts w:hint="eastAsia" w:ascii="MS UI Gothic" w:eastAsia="MS UI Gothic"/>
          <w:w w:val="80"/>
        </w:rPr>
        <w:t xml:space="preserve">ꎬ </w:t>
      </w:r>
      <w:r>
        <w:t>严禁采用可燃性材料搭设临时操作间</w:t>
      </w:r>
      <w:r>
        <w:rPr>
          <w:rFonts w:hint="eastAsia" w:ascii="MS UI Gothic" w:eastAsia="MS UI Gothic"/>
          <w:w w:val="80"/>
        </w:rPr>
        <w:t xml:space="preserve">、 </w:t>
      </w:r>
      <w:r>
        <w:t>休息间</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第二百五十三条 井下严禁使用灯泡</w:t>
      </w:r>
      <w:r>
        <w:rPr>
          <w:spacing w:val="3"/>
          <w:w w:val="105"/>
        </w:rPr>
        <w:t>取暖和使用电炉</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第二百五十四条 井下和井口房内不</w:t>
      </w:r>
      <w:r>
        <w:rPr>
          <w:spacing w:val="3"/>
          <w:w w:val="105"/>
        </w:rPr>
        <w:t>得进行电焊</w:t>
      </w:r>
      <w:r>
        <w:rPr>
          <w:rFonts w:hint="eastAsia" w:ascii="MS UI Gothic" w:eastAsia="MS UI Gothic"/>
          <w:spacing w:val="-2"/>
          <w:w w:val="80"/>
        </w:rPr>
        <w:t xml:space="preserve">、 </w:t>
      </w:r>
      <w:r>
        <w:rPr>
          <w:spacing w:val="3"/>
          <w:w w:val="105"/>
        </w:rPr>
        <w:t>气焊和喷灯焊接等作业</w:t>
      </w:r>
      <w:r>
        <w:rPr>
          <w:rFonts w:hint="eastAsia" w:ascii="MS UI Gothic" w:eastAsia="MS UI Gothic"/>
          <w:spacing w:val="-2"/>
          <w:w w:val="80"/>
        </w:rPr>
        <w:t xml:space="preserve">ꎮ </w:t>
      </w:r>
      <w:r>
        <w:rPr>
          <w:w w:val="105"/>
        </w:rPr>
        <w:t>如</w:t>
      </w:r>
      <w:r>
        <w:rPr>
          <w:spacing w:val="3"/>
          <w:w w:val="105"/>
        </w:rPr>
        <w:t>果必须在井下主要硐室</w:t>
      </w:r>
      <w:r>
        <w:rPr>
          <w:rFonts w:hint="eastAsia" w:ascii="MS UI Gothic" w:eastAsia="MS UI Gothic"/>
          <w:spacing w:val="-5"/>
          <w:w w:val="80"/>
        </w:rPr>
        <w:t xml:space="preserve">、 </w:t>
      </w:r>
      <w:r>
        <w:rPr>
          <w:spacing w:val="2"/>
          <w:w w:val="105"/>
        </w:rPr>
        <w:t>主要进风井巷和</w:t>
      </w:r>
      <w:r>
        <w:rPr>
          <w:spacing w:val="3"/>
          <w:w w:val="105"/>
        </w:rPr>
        <w:t>井口房内进行电焊</w:t>
      </w:r>
      <w:r>
        <w:rPr>
          <w:rFonts w:hint="eastAsia" w:ascii="MS UI Gothic" w:eastAsia="MS UI Gothic"/>
          <w:spacing w:val="-5"/>
          <w:w w:val="80"/>
        </w:rPr>
        <w:t xml:space="preserve">、 </w:t>
      </w:r>
      <w:r>
        <w:rPr>
          <w:spacing w:val="2"/>
          <w:w w:val="105"/>
        </w:rPr>
        <w:t>气焊和喷灯焊接等工</w:t>
      </w:r>
      <w:r>
        <w:rPr>
          <w:spacing w:val="3"/>
        </w:rPr>
        <w:t>作</w:t>
      </w:r>
      <w:r>
        <w:rPr>
          <w:rFonts w:hint="eastAsia" w:ascii="MS UI Gothic" w:eastAsia="MS UI Gothic"/>
          <w:spacing w:val="23"/>
          <w:w w:val="80"/>
        </w:rPr>
        <w:t xml:space="preserve">ꎬ </w:t>
      </w:r>
      <w:r>
        <w:rPr>
          <w:spacing w:val="3"/>
        </w:rPr>
        <w:t>每次必须制定安全措施</w:t>
      </w:r>
      <w:r>
        <w:rPr>
          <w:rFonts w:hint="eastAsia" w:ascii="MS UI Gothic" w:eastAsia="MS UI Gothic"/>
          <w:spacing w:val="23"/>
          <w:w w:val="80"/>
        </w:rPr>
        <w:t xml:space="preserve">ꎬ </w:t>
      </w:r>
      <w:r>
        <w:rPr>
          <w:spacing w:val="2"/>
        </w:rPr>
        <w:t>由矿长批准</w:t>
      </w:r>
      <w:r>
        <w:rPr>
          <w:spacing w:val="3"/>
          <w:w w:val="105"/>
        </w:rPr>
        <w:t>并遵守下列规定</w:t>
      </w:r>
      <w:r>
        <w:rPr>
          <w:rFonts w:hint="eastAsia" w:ascii="MS UI Gothic" w:eastAsia="MS UI Gothic"/>
          <w:w w:val="235"/>
        </w:rPr>
        <w:t>:</w:t>
      </w:r>
    </w:p>
    <w:p>
      <w:pPr>
        <w:pStyle w:val="6"/>
        <w:spacing w:line="251" w:lineRule="exact"/>
        <w:ind w:left="86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指定专人在场检查和监督</w:t>
      </w:r>
      <w:r>
        <w:rPr>
          <w:rFonts w:hint="eastAsia" w:ascii="MS UI Gothic" w:eastAsia="MS UI Gothic"/>
          <w:w w:val="80"/>
        </w:rPr>
        <w:t>ꎮ</w:t>
      </w:r>
    </w:p>
    <w:p>
      <w:pPr>
        <w:pStyle w:val="6"/>
        <w:spacing w:before="37" w:line="295" w:lineRule="auto"/>
        <w:ind w:left="440"/>
        <w:rPr>
          <w:rFonts w:hint="eastAsia" w:ascii="MS UI Gothic" w:eastAsia="MS UI Gothic"/>
        </w:rPr>
      </w:pPr>
      <w:r>
        <w:rPr>
          <w:rFonts w:hint="eastAsia" w:ascii="MS UI Gothic" w:eastAsia="MS UI Gothic"/>
          <w:w w:val="145"/>
        </w:rPr>
        <w:t xml:space="preserve">( </w:t>
      </w:r>
      <w:r>
        <w:rPr>
          <w:w w:val="105"/>
        </w:rPr>
        <w:t>二</w:t>
      </w:r>
      <w:r>
        <w:rPr>
          <w:rFonts w:hint="eastAsia" w:ascii="MS UI Gothic" w:eastAsia="MS UI Gothic"/>
          <w:w w:val="145"/>
        </w:rPr>
        <w:t xml:space="preserve">) </w:t>
      </w:r>
      <w:r>
        <w:rPr>
          <w:w w:val="105"/>
        </w:rPr>
        <w:t>电焊</w:t>
      </w:r>
      <w:r>
        <w:rPr>
          <w:rFonts w:hint="eastAsia" w:ascii="MS UI Gothic" w:eastAsia="MS UI Gothic"/>
          <w:w w:val="85"/>
        </w:rPr>
        <w:t xml:space="preserve">、 </w:t>
      </w:r>
      <w:r>
        <w:rPr>
          <w:w w:val="105"/>
        </w:rPr>
        <w:t xml:space="preserve">气焊和喷灯焊接等工作地点的前后两端各 </w:t>
      </w:r>
      <w:r>
        <w:rPr>
          <w:rFonts w:hint="eastAsia" w:ascii="MS UI Gothic" w:eastAsia="MS UI Gothic"/>
          <w:w w:val="85"/>
        </w:rPr>
        <w:t xml:space="preserve">１０ ｍ </w:t>
      </w:r>
      <w:r>
        <w:rPr>
          <w:w w:val="105"/>
        </w:rPr>
        <w:t>的井巷范围内</w:t>
      </w:r>
      <w:r>
        <w:rPr>
          <w:rFonts w:hint="eastAsia" w:ascii="MS UI Gothic" w:eastAsia="MS UI Gothic"/>
          <w:w w:val="85"/>
        </w:rPr>
        <w:t>ꎬ</w:t>
      </w:r>
    </w:p>
    <w:p>
      <w:pPr>
        <w:pStyle w:val="6"/>
        <w:spacing w:before="124" w:line="295" w:lineRule="auto"/>
        <w:ind w:left="381" w:right="124" w:firstLine="0"/>
        <w:rPr>
          <w:rFonts w:hint="eastAsia" w:ascii="MS UI Gothic" w:eastAsia="MS UI Gothic"/>
        </w:rPr>
      </w:pPr>
      <w:r>
        <w:br w:type="column"/>
      </w:r>
      <w:r>
        <w:t>应当是不燃性材料支护</w:t>
      </w:r>
      <w:r>
        <w:rPr>
          <w:rFonts w:hint="eastAsia" w:ascii="MS UI Gothic" w:eastAsia="MS UI Gothic"/>
          <w:w w:val="80"/>
        </w:rPr>
        <w:t xml:space="preserve">ꎬ </w:t>
      </w:r>
      <w:r>
        <w:t>并有供水管路</w:t>
      </w:r>
      <w:r>
        <w:rPr>
          <w:rFonts w:hint="eastAsia" w:ascii="MS UI Gothic" w:eastAsia="MS UI Gothic"/>
          <w:w w:val="80"/>
        </w:rPr>
        <w:t>ꎬ</w:t>
      </w:r>
      <w:r>
        <w:t>有专人负责喷水</w:t>
      </w:r>
      <w:r>
        <w:rPr>
          <w:rFonts w:hint="eastAsia" w:ascii="MS UI Gothic" w:eastAsia="MS UI Gothic"/>
          <w:w w:val="80"/>
        </w:rPr>
        <w:t xml:space="preserve">ꎬ </w:t>
      </w:r>
      <w:r>
        <w:t>焊接前应当清理或者隔离焊碴飞溅区域内的可燃物</w:t>
      </w:r>
      <w:r>
        <w:rPr>
          <w:rFonts w:hint="eastAsia" w:ascii="MS UI Gothic" w:eastAsia="MS UI Gothic"/>
          <w:w w:val="80"/>
        </w:rPr>
        <w:t xml:space="preserve">ꎮ </w:t>
      </w:r>
      <w:r>
        <w:t xml:space="preserve">上述工作地点应当至少备有 </w:t>
      </w:r>
      <w:r>
        <w:rPr>
          <w:rFonts w:hint="eastAsia" w:ascii="MS UI Gothic" w:eastAsia="MS UI Gothic"/>
          <w:w w:val="80"/>
        </w:rPr>
        <w:t xml:space="preserve">２ </w:t>
      </w:r>
      <w:r>
        <w:t>个灭火器</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在井口房</w:t>
      </w:r>
      <w:r>
        <w:rPr>
          <w:rFonts w:hint="eastAsia" w:ascii="MS UI Gothic" w:eastAsia="MS UI Gothic"/>
          <w:w w:val="80"/>
        </w:rPr>
        <w:t xml:space="preserve">、 </w:t>
      </w:r>
      <w:r>
        <w:rPr>
          <w:w w:val="105"/>
        </w:rPr>
        <w:t>井筒和倾斜巷道内进行电焊</w:t>
      </w:r>
      <w:r>
        <w:rPr>
          <w:rFonts w:hint="eastAsia" w:ascii="MS UI Gothic" w:eastAsia="MS UI Gothic"/>
          <w:w w:val="80"/>
        </w:rPr>
        <w:t xml:space="preserve">、 </w:t>
      </w:r>
      <w:r>
        <w:rPr>
          <w:w w:val="105"/>
        </w:rPr>
        <w:t>气焊和喷灯焊接等工作时</w:t>
      </w:r>
      <w:r>
        <w:rPr>
          <w:rFonts w:hint="eastAsia" w:ascii="MS UI Gothic" w:eastAsia="MS UI Gothic"/>
          <w:w w:val="80"/>
        </w:rPr>
        <w:t xml:space="preserve">ꎬ </w:t>
      </w:r>
      <w:r>
        <w:rPr>
          <w:w w:val="105"/>
        </w:rPr>
        <w:t>必</w:t>
      </w:r>
      <w:r>
        <w:t>须在工作地点的下方用不燃性材料设施接</w:t>
      </w:r>
      <w:r>
        <w:rPr>
          <w:w w:val="105"/>
        </w:rPr>
        <w:t>受火星</w:t>
      </w:r>
      <w:r>
        <w:rPr>
          <w:rFonts w:hint="eastAsia" w:ascii="MS UI Gothic" w:eastAsia="MS UI Gothic"/>
          <w:w w:val="80"/>
        </w:rPr>
        <w:t>ꎮ</w:t>
      </w:r>
    </w:p>
    <w:p>
      <w:pPr>
        <w:pStyle w:val="6"/>
        <w:spacing w:line="295" w:lineRule="auto"/>
        <w:ind w:left="375" w:right="126" w:firstLine="425"/>
      </w:pPr>
      <w:r>
        <w:rPr>
          <w:rFonts w:hint="eastAsia" w:ascii="MS UI Gothic" w:eastAsia="MS UI Gothic"/>
          <w:spacing w:val="-31"/>
          <w:w w:val="145"/>
        </w:rPr>
        <w:t xml:space="preserve">( </w:t>
      </w:r>
      <w:r>
        <w:rPr>
          <w:spacing w:val="3"/>
        </w:rPr>
        <w:t>四</w:t>
      </w:r>
      <w:r>
        <w:rPr>
          <w:rFonts w:hint="eastAsia" w:ascii="MS UI Gothic" w:eastAsia="MS UI Gothic"/>
          <w:spacing w:val="40"/>
          <w:w w:val="145"/>
        </w:rPr>
        <w:t xml:space="preserve">) </w:t>
      </w:r>
      <w:r>
        <w:rPr>
          <w:spacing w:val="3"/>
        </w:rPr>
        <w:t>电焊</w:t>
      </w:r>
      <w:r>
        <w:rPr>
          <w:rFonts w:hint="eastAsia" w:ascii="MS UI Gothic" w:eastAsia="MS UI Gothic"/>
          <w:spacing w:val="20"/>
          <w:w w:val="85"/>
        </w:rPr>
        <w:t xml:space="preserve">、 </w:t>
      </w:r>
      <w:r>
        <w:rPr>
          <w:spacing w:val="8"/>
        </w:rPr>
        <w:t>气焊和喷灯焊接等工作</w:t>
      </w:r>
      <w:r>
        <w:rPr>
          <w:spacing w:val="-17"/>
        </w:rPr>
        <w:t>地点 的 风 流 中</w:t>
      </w:r>
      <w:r>
        <w:rPr>
          <w:rFonts w:hint="eastAsia" w:ascii="MS UI Gothic" w:eastAsia="MS UI Gothic"/>
          <w:spacing w:val="19"/>
          <w:w w:val="85"/>
        </w:rPr>
        <w:t xml:space="preserve">ꎬ </w:t>
      </w:r>
      <w:r>
        <w:rPr>
          <w:spacing w:val="-24"/>
        </w:rPr>
        <w:t>甲 烷 浓 度 不 得 超 过</w:t>
      </w:r>
      <w:r>
        <w:rPr>
          <w:rFonts w:hint="eastAsia" w:ascii="MS UI Gothic" w:eastAsia="MS UI Gothic"/>
          <w:spacing w:val="-24"/>
          <w:w w:val="85"/>
        </w:rPr>
        <w:t>０</w:t>
      </w:r>
      <w:r>
        <w:rPr>
          <w:rFonts w:hint="eastAsia" w:ascii="MS UI Gothic" w:eastAsia="MS UI Gothic"/>
          <w:spacing w:val="-5"/>
          <w:w w:val="85"/>
        </w:rPr>
        <w:t xml:space="preserve"> ５</w:t>
      </w:r>
      <w:r>
        <w:rPr>
          <w:spacing w:val="-27"/>
          <w:w w:val="85"/>
        </w:rPr>
        <w:t xml:space="preserve">％ </w:t>
      </w:r>
      <w:r>
        <w:rPr>
          <w:rFonts w:hint="eastAsia" w:ascii="MS UI Gothic" w:eastAsia="MS UI Gothic"/>
          <w:spacing w:val="17"/>
          <w:w w:val="85"/>
        </w:rPr>
        <w:t xml:space="preserve">ꎬ </w:t>
      </w:r>
      <w:r>
        <w:rPr>
          <w:spacing w:val="26"/>
        </w:rPr>
        <w:t>只有在检查证明作业地点附近</w:t>
      </w:r>
    </w:p>
    <w:p>
      <w:pPr>
        <w:pStyle w:val="6"/>
        <w:spacing w:line="295" w:lineRule="auto"/>
        <w:ind w:left="381" w:right="126" w:hanging="6"/>
        <w:rPr>
          <w:rFonts w:hint="eastAsia" w:ascii="MS UI Gothic" w:eastAsia="MS UI Gothic"/>
        </w:rPr>
      </w:pPr>
      <w:r>
        <w:rPr>
          <w:rFonts w:hint="eastAsia" w:ascii="MS UI Gothic" w:eastAsia="MS UI Gothic"/>
          <w:w w:val="85"/>
        </w:rPr>
        <w:t xml:space="preserve">２０ ｍ </w:t>
      </w:r>
      <w:r>
        <w:t>范围内巷道顶部和支护背板后无瓦斯积存时</w:t>
      </w:r>
      <w:r>
        <w:rPr>
          <w:rFonts w:hint="eastAsia" w:ascii="MS UI Gothic" w:eastAsia="MS UI Gothic"/>
          <w:w w:val="85"/>
        </w:rPr>
        <w:t xml:space="preserve">ꎬ </w:t>
      </w:r>
      <w:r>
        <w:t>方可进行作业</w:t>
      </w:r>
      <w:r>
        <w:rPr>
          <w:rFonts w:hint="eastAsia" w:ascii="MS UI Gothic" w:eastAsia="MS UI Gothic"/>
          <w:w w:val="85"/>
        </w:rPr>
        <w:t>ꎮ</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t>五</w:t>
      </w:r>
      <w:r>
        <w:rPr>
          <w:rFonts w:hint="eastAsia" w:ascii="MS UI Gothic" w:eastAsia="MS UI Gothic"/>
          <w:w w:val="150"/>
        </w:rPr>
        <w:t xml:space="preserve">) </w:t>
      </w:r>
      <w:r>
        <w:t>电焊</w:t>
      </w:r>
      <w:r>
        <w:rPr>
          <w:rFonts w:hint="eastAsia" w:ascii="MS UI Gothic" w:eastAsia="MS UI Gothic"/>
          <w:w w:val="80"/>
        </w:rPr>
        <w:t xml:space="preserve">、 </w:t>
      </w:r>
      <w:r>
        <w:t>气焊和喷灯焊接等作业完毕后</w:t>
      </w:r>
      <w:r>
        <w:rPr>
          <w:rFonts w:hint="eastAsia" w:ascii="MS UI Gothic" w:eastAsia="MS UI Gothic"/>
          <w:w w:val="80"/>
        </w:rPr>
        <w:t xml:space="preserve">ꎬ </w:t>
      </w:r>
      <w:r>
        <w:t>作业地点应当再次用水喷洒</w:t>
      </w:r>
      <w:r>
        <w:rPr>
          <w:rFonts w:hint="eastAsia" w:ascii="MS UI Gothic" w:eastAsia="MS UI Gothic"/>
          <w:w w:val="80"/>
        </w:rPr>
        <w:t xml:space="preserve">ꎬ </w:t>
      </w:r>
      <w:r>
        <w:t xml:space="preserve">并有专人在作业地点检查 </w:t>
      </w:r>
      <w:r>
        <w:rPr>
          <w:rFonts w:hint="eastAsia" w:ascii="MS UI Gothic" w:eastAsia="MS UI Gothic"/>
          <w:w w:val="80"/>
        </w:rPr>
        <w:t xml:space="preserve">１ ｈꎬ </w:t>
      </w:r>
      <w:r>
        <w:t>发现异常</w:t>
      </w:r>
      <w:r>
        <w:rPr>
          <w:rFonts w:hint="eastAsia" w:ascii="MS UI Gothic" w:eastAsia="MS UI Gothic"/>
          <w:w w:val="80"/>
        </w:rPr>
        <w:t>ꎬ</w:t>
      </w:r>
      <w:r>
        <w:t>立即处理</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突出矿井井下进行电焊</w:t>
      </w:r>
      <w:r>
        <w:rPr>
          <w:rFonts w:hint="eastAsia" w:ascii="MS UI Gothic" w:eastAsia="MS UI Gothic"/>
          <w:w w:val="80"/>
        </w:rPr>
        <w:t xml:space="preserve">、  </w:t>
      </w:r>
      <w:r>
        <w:rPr>
          <w:w w:val="105"/>
        </w:rPr>
        <w:t>气焊</w:t>
      </w:r>
      <w:r>
        <w:t>和喷灯焊接时</w:t>
      </w:r>
      <w:r>
        <w:rPr>
          <w:rFonts w:hint="eastAsia" w:ascii="MS UI Gothic" w:eastAsia="MS UI Gothic"/>
          <w:w w:val="80"/>
        </w:rPr>
        <w:t xml:space="preserve">ꎬ </w:t>
      </w:r>
      <w:r>
        <w:t>必须停止突出煤层的掘</w:t>
      </w:r>
      <w:r>
        <w:rPr>
          <w:w w:val="105"/>
        </w:rPr>
        <w:t>进</w:t>
      </w:r>
      <w:r>
        <w:rPr>
          <w:rFonts w:hint="eastAsia" w:ascii="MS UI Gothic" w:eastAsia="MS UI Gothic"/>
          <w:w w:val="80"/>
        </w:rPr>
        <w:t xml:space="preserve">、 </w:t>
      </w:r>
      <w:r>
        <w:rPr>
          <w:w w:val="105"/>
        </w:rPr>
        <w:t>回采</w:t>
      </w:r>
      <w:r>
        <w:rPr>
          <w:rFonts w:hint="eastAsia" w:ascii="MS UI Gothic" w:eastAsia="MS UI Gothic"/>
          <w:w w:val="80"/>
        </w:rPr>
        <w:t xml:space="preserve">、 </w:t>
      </w:r>
      <w:r>
        <w:rPr>
          <w:w w:val="105"/>
        </w:rPr>
        <w:t>钻孔</w:t>
      </w:r>
      <w:r>
        <w:rPr>
          <w:rFonts w:hint="eastAsia" w:ascii="MS UI Gothic" w:eastAsia="MS UI Gothic"/>
          <w:w w:val="80"/>
        </w:rPr>
        <w:t xml:space="preserve">、 </w:t>
      </w:r>
      <w:r>
        <w:rPr>
          <w:w w:val="105"/>
        </w:rPr>
        <w:t>支护以及其他所有扰动突出煤层的作业</w:t>
      </w:r>
      <w:r>
        <w:rPr>
          <w:rFonts w:hint="eastAsia" w:ascii="MS UI Gothic" w:eastAsia="MS UI Gothic"/>
          <w:w w:val="80"/>
        </w:rPr>
        <w:t>ꎮ</w:t>
      </w:r>
    </w:p>
    <w:p>
      <w:pPr>
        <w:pStyle w:val="6"/>
        <w:spacing w:line="295" w:lineRule="auto"/>
        <w:ind w:left="381" w:right="126"/>
        <w:rPr>
          <w:rFonts w:hint="eastAsia" w:ascii="MS UI Gothic" w:eastAsia="MS UI Gothic"/>
        </w:rPr>
      </w:pPr>
      <w:r>
        <w:t>煤层中未采用砌碹或者喷浆封闭的主要硐室和主要进风大巷中</w:t>
      </w:r>
      <w:r>
        <w:rPr>
          <w:rFonts w:hint="eastAsia" w:ascii="MS UI Gothic" w:eastAsia="MS UI Gothic"/>
          <w:w w:val="80"/>
        </w:rPr>
        <w:t xml:space="preserve">ꎬ </w:t>
      </w:r>
      <w:r>
        <w:t>不得进行电焊</w:t>
      </w:r>
      <w:r>
        <w:rPr>
          <w:rFonts w:hint="eastAsia" w:ascii="MS UI Gothic" w:eastAsia="MS UI Gothic"/>
          <w:w w:val="80"/>
        </w:rPr>
        <w:t xml:space="preserve">、 </w:t>
      </w:r>
      <w:r>
        <w:t>气焊和喷灯焊接等工作</w:t>
      </w:r>
      <w:r>
        <w:rPr>
          <w:rFonts w:hint="eastAsia" w:ascii="MS UI Gothic" w:eastAsia="MS UI Gothic"/>
          <w:w w:val="80"/>
        </w:rPr>
        <w:t>ꎮ</w:t>
      </w:r>
    </w:p>
    <w:p>
      <w:pPr>
        <w:pStyle w:val="6"/>
        <w:spacing w:line="295" w:lineRule="auto"/>
        <w:ind w:left="381" w:right="124"/>
        <w:rPr>
          <w:rFonts w:hint="eastAsia" w:ascii="MS UI Gothic" w:eastAsia="MS UI Gothic"/>
        </w:rPr>
      </w:pPr>
      <w:r>
        <w:t>第二百五十五条  井下使用的汽油</w:t>
      </w:r>
      <w:r>
        <w:rPr>
          <w:rFonts w:hint="eastAsia" w:ascii="MS UI Gothic" w:eastAsia="MS UI Gothic"/>
          <w:w w:val="80"/>
        </w:rPr>
        <w:t>、</w:t>
      </w:r>
      <w:r>
        <w:t>煤油必须装入盖严的铁桶内</w:t>
      </w:r>
      <w:r>
        <w:rPr>
          <w:rFonts w:hint="eastAsia" w:ascii="MS UI Gothic" w:eastAsia="MS UI Gothic"/>
          <w:w w:val="80"/>
        </w:rPr>
        <w:t xml:space="preserve">ꎬ </w:t>
      </w:r>
      <w:r>
        <w:t>由专人押运送至使用地点</w:t>
      </w:r>
      <w:r>
        <w:rPr>
          <w:rFonts w:hint="eastAsia" w:ascii="MS UI Gothic" w:eastAsia="MS UI Gothic"/>
          <w:w w:val="80"/>
        </w:rPr>
        <w:t xml:space="preserve">ꎬ </w:t>
      </w:r>
      <w:r>
        <w:t>剩余的汽油</w:t>
      </w:r>
      <w:r>
        <w:rPr>
          <w:rFonts w:hint="eastAsia" w:ascii="MS UI Gothic" w:eastAsia="MS UI Gothic"/>
          <w:w w:val="80"/>
        </w:rPr>
        <w:t xml:space="preserve">、 </w:t>
      </w:r>
      <w:r>
        <w:t>煤油必须运回地面</w:t>
      </w:r>
      <w:r>
        <w:rPr>
          <w:rFonts w:hint="eastAsia" w:ascii="MS UI Gothic" w:eastAsia="MS UI Gothic"/>
          <w:w w:val="80"/>
        </w:rPr>
        <w:t xml:space="preserve">ꎬ </w:t>
      </w:r>
      <w:r>
        <w:t>严禁在井下存放</w:t>
      </w:r>
      <w:r>
        <w:rPr>
          <w:rFonts w:hint="eastAsia" w:ascii="MS UI Gothic" w:eastAsia="MS UI Gothic"/>
          <w:w w:val="80"/>
        </w:rPr>
        <w:t>ꎮ</w:t>
      </w:r>
    </w:p>
    <w:p>
      <w:pPr>
        <w:pStyle w:val="6"/>
        <w:spacing w:line="295" w:lineRule="auto"/>
        <w:ind w:left="381" w:right="126"/>
        <w:rPr>
          <w:rFonts w:hint="eastAsia" w:ascii="MS UI Gothic" w:eastAsia="MS UI Gothic"/>
        </w:rPr>
      </w:pPr>
      <w:r>
        <w:t>井下使用的润滑油</w:t>
      </w:r>
      <w:r>
        <w:rPr>
          <w:rFonts w:hint="eastAsia" w:ascii="MS UI Gothic" w:eastAsia="MS UI Gothic"/>
        </w:rPr>
        <w:t xml:space="preserve">、 </w:t>
      </w:r>
      <w:r>
        <w:t>棉纱</w:t>
      </w:r>
      <w:r>
        <w:rPr>
          <w:rFonts w:hint="eastAsia" w:ascii="MS UI Gothic" w:eastAsia="MS UI Gothic"/>
        </w:rPr>
        <w:t xml:space="preserve">、 </w:t>
      </w:r>
      <w:r>
        <w:t>布头和纸等</w:t>
      </w:r>
      <w:r>
        <w:rPr>
          <w:rFonts w:hint="eastAsia" w:ascii="MS UI Gothic" w:eastAsia="MS UI Gothic"/>
          <w:w w:val="80"/>
        </w:rPr>
        <w:t xml:space="preserve">ꎬ </w:t>
      </w:r>
      <w:r>
        <w:t>必须存放在盖严的铁桶内</w:t>
      </w:r>
      <w:r>
        <w:rPr>
          <w:rFonts w:hint="eastAsia" w:ascii="MS UI Gothic" w:eastAsia="MS UI Gothic"/>
          <w:w w:val="80"/>
        </w:rPr>
        <w:t xml:space="preserve">ꎮ </w:t>
      </w:r>
      <w:r>
        <w:t>用过的棉纱</w:t>
      </w:r>
      <w:r>
        <w:rPr>
          <w:rFonts w:hint="eastAsia" w:ascii="MS UI Gothic" w:eastAsia="MS UI Gothic"/>
        </w:rPr>
        <w:t xml:space="preserve">、 </w:t>
      </w:r>
      <w:r>
        <w:t>布头和纸</w:t>
      </w:r>
      <w:r>
        <w:rPr>
          <w:rFonts w:hint="eastAsia" w:ascii="MS UI Gothic" w:eastAsia="MS UI Gothic"/>
          <w:w w:val="80"/>
        </w:rPr>
        <w:t xml:space="preserve">ꎬ </w:t>
      </w:r>
      <w:r>
        <w:t>也必须放在盖严的铁桶内</w:t>
      </w:r>
      <w:r>
        <w:rPr>
          <w:rFonts w:hint="eastAsia" w:ascii="MS UI Gothic" w:eastAsia="MS UI Gothic"/>
          <w:w w:val="80"/>
        </w:rPr>
        <w:t xml:space="preserve">ꎬ </w:t>
      </w:r>
      <w:r>
        <w:t>并由专人定期送到地面处理</w:t>
      </w:r>
      <w:r>
        <w:rPr>
          <w:rFonts w:hint="eastAsia" w:ascii="MS UI Gothic" w:eastAsia="MS UI Gothic"/>
          <w:w w:val="80"/>
        </w:rPr>
        <w:t xml:space="preserve">ꎬ </w:t>
      </w:r>
      <w:r>
        <w:t>不得乱放乱扔</w:t>
      </w:r>
      <w:r>
        <w:rPr>
          <w:rFonts w:hint="eastAsia" w:ascii="MS UI Gothic" w:eastAsia="MS UI Gothic"/>
          <w:w w:val="80"/>
        </w:rPr>
        <w:t xml:space="preserve">ꎮ </w:t>
      </w:r>
      <w:r>
        <w:t>严禁将剩油</w:t>
      </w:r>
      <w:r>
        <w:rPr>
          <w:rFonts w:hint="eastAsia" w:ascii="MS UI Gothic" w:eastAsia="MS UI Gothic"/>
        </w:rPr>
        <w:t xml:space="preserve">、 </w:t>
      </w:r>
      <w:r>
        <w:t>废油泼洒在井巷或者硐室内</w:t>
      </w:r>
      <w:r>
        <w:rPr>
          <w:rFonts w:hint="eastAsia" w:ascii="MS UI Gothic" w:eastAsia="MS UI Gothic"/>
          <w:w w:val="80"/>
        </w:rPr>
        <w:t>ꎮ</w:t>
      </w:r>
    </w:p>
    <w:p>
      <w:pPr>
        <w:pStyle w:val="6"/>
        <w:spacing w:line="295" w:lineRule="auto"/>
        <w:ind w:left="381" w:right="126"/>
        <w:rPr>
          <w:rFonts w:hint="eastAsia" w:ascii="MS UI Gothic" w:eastAsia="MS UI Gothic"/>
        </w:rPr>
      </w:pPr>
      <w:r>
        <w:t>井下清洗风动工具时</w:t>
      </w:r>
      <w:r>
        <w:rPr>
          <w:rFonts w:hint="eastAsia" w:ascii="MS UI Gothic" w:eastAsia="MS UI Gothic"/>
          <w:w w:val="80"/>
        </w:rPr>
        <w:t xml:space="preserve">ꎬ </w:t>
      </w:r>
      <w:r>
        <w:t>必须在专用硐室进行</w:t>
      </w:r>
      <w:r>
        <w:rPr>
          <w:rFonts w:hint="eastAsia" w:ascii="MS UI Gothic" w:eastAsia="MS UI Gothic"/>
          <w:w w:val="80"/>
        </w:rPr>
        <w:t xml:space="preserve">ꎬ </w:t>
      </w:r>
      <w:r>
        <w:t>并必须使用不燃性和无毒性洗涤剂</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第二百五十六条 井上</w:t>
      </w:r>
      <w:r>
        <w:rPr>
          <w:rFonts w:hint="eastAsia" w:ascii="MS UI Gothic" w:eastAsia="MS UI Gothic"/>
          <w:w w:val="80"/>
        </w:rPr>
        <w:t xml:space="preserve">、 </w:t>
      </w:r>
      <w:r>
        <w:rPr>
          <w:w w:val="105"/>
        </w:rPr>
        <w:t>下必须设置消防材料库</w:t>
      </w:r>
      <w:r>
        <w:rPr>
          <w:rFonts w:hint="eastAsia" w:ascii="MS UI Gothic" w:eastAsia="MS UI Gothic"/>
          <w:w w:val="80"/>
        </w:rPr>
        <w:t xml:space="preserve">ꎬ </w:t>
      </w:r>
      <w:r>
        <w:rPr>
          <w:w w:val="105"/>
        </w:rPr>
        <w:t>并符合下列要求</w:t>
      </w:r>
      <w:r>
        <w:rPr>
          <w:rFonts w:hint="eastAsia" w:ascii="MS UI Gothic" w:eastAsia="MS UI Gothic"/>
          <w:w w:val="235"/>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２７６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58" o:spid="_x0000_s1858" o:spt="203" style="height:2.15pt;width:398.25pt;" coordsize="7965,43">
            <o:lock v:ext="edit"/>
            <v:line id="_x0000_s1859" o:spid="_x0000_s1859" o:spt="20" style="position:absolute;left:0;top:39;height:0;width:7965;" stroked="t" coordsize="21600,21600">
              <v:path arrowok="t"/>
              <v:fill focussize="0,0"/>
              <v:stroke weight="0.388031496062992pt" color="#231F20"/>
              <v:imagedata o:title=""/>
              <o:lock v:ext="edit"/>
            </v:line>
            <v:line id="_x0000_s1860" o:spid="_x0000_s186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井上消防材料库应当设在井口附近</w:t>
      </w:r>
      <w:r>
        <w:rPr>
          <w:rFonts w:hint="eastAsia" w:ascii="MS UI Gothic" w:eastAsia="MS UI Gothic"/>
          <w:w w:val="80"/>
        </w:rPr>
        <w:t xml:space="preserve">ꎬ </w:t>
      </w:r>
      <w:r>
        <w:rPr>
          <w:w w:val="105"/>
        </w:rPr>
        <w:t>但不得设在井口房内</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井下消防材料库应当设在每一</w:t>
      </w:r>
      <w:r>
        <w:t>个生产水平的井底车场或者主要运输大巷</w:t>
      </w:r>
      <w:r>
        <w:rPr>
          <w:w w:val="105"/>
        </w:rPr>
        <w:t>中</w:t>
      </w:r>
      <w:r>
        <w:rPr>
          <w:rFonts w:hint="eastAsia" w:ascii="MS UI Gothic" w:eastAsia="MS UI Gothic"/>
          <w:w w:val="80"/>
        </w:rPr>
        <w:t xml:space="preserve">ꎬ </w:t>
      </w:r>
      <w:r>
        <w:rPr>
          <w:w w:val="105"/>
        </w:rPr>
        <w:t>并装备消防车辆</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消防材料库储存的消防材料和</w:t>
      </w:r>
      <w:r>
        <w:t>工具的品种和数量应当符合有关要求</w:t>
      </w:r>
      <w:r>
        <w:rPr>
          <w:rFonts w:hint="eastAsia" w:ascii="MS UI Gothic" w:eastAsia="MS UI Gothic"/>
          <w:w w:val="80"/>
        </w:rPr>
        <w:t xml:space="preserve">ꎬ </w:t>
      </w:r>
      <w:r>
        <w:t>并定期检查和更换</w:t>
      </w:r>
      <w:r>
        <w:rPr>
          <w:rFonts w:hint="eastAsia" w:ascii="MS UI Gothic" w:eastAsia="MS UI Gothic"/>
          <w:w w:val="80"/>
        </w:rPr>
        <w:t xml:space="preserve">ꎻ </w:t>
      </w:r>
      <w:r>
        <w:t>消防材料和工具不得挪</w:t>
      </w:r>
      <w:r>
        <w:rPr>
          <w:w w:val="105"/>
        </w:rPr>
        <w:t>作他用</w:t>
      </w:r>
      <w:r>
        <w:rPr>
          <w:rFonts w:hint="eastAsia" w:ascii="MS UI Gothic" w:eastAsia="MS UI Gothic"/>
          <w:w w:val="80"/>
        </w:rPr>
        <w:t>ꎮ</w:t>
      </w:r>
    </w:p>
    <w:p>
      <w:pPr>
        <w:pStyle w:val="6"/>
        <w:spacing w:line="295" w:lineRule="auto"/>
        <w:ind w:right="38"/>
        <w:rPr>
          <w:rFonts w:hint="eastAsia" w:ascii="MS UI Gothic" w:eastAsia="MS UI Gothic"/>
        </w:rPr>
      </w:pPr>
      <w:r>
        <w:t>第二百五十七条  井下爆炸物品库</w:t>
      </w:r>
      <w:r>
        <w:rPr>
          <w:rFonts w:hint="eastAsia" w:ascii="MS UI Gothic" w:eastAsia="MS UI Gothic"/>
          <w:w w:val="80"/>
        </w:rPr>
        <w:t>、</w:t>
      </w:r>
      <w:r>
        <w:t>机电设备硐室</w:t>
      </w:r>
      <w:r>
        <w:rPr>
          <w:rFonts w:hint="eastAsia" w:ascii="MS UI Gothic" w:eastAsia="MS UI Gothic"/>
          <w:w w:val="80"/>
        </w:rPr>
        <w:t xml:space="preserve">、 </w:t>
      </w:r>
      <w:r>
        <w:t>检修硐室</w:t>
      </w:r>
      <w:r>
        <w:rPr>
          <w:rFonts w:hint="eastAsia" w:ascii="MS UI Gothic" w:eastAsia="MS UI Gothic"/>
          <w:w w:val="80"/>
        </w:rPr>
        <w:t xml:space="preserve">、 </w:t>
      </w:r>
      <w:r>
        <w:t>材料库</w:t>
      </w:r>
      <w:r>
        <w:rPr>
          <w:rFonts w:hint="eastAsia" w:ascii="MS UI Gothic" w:eastAsia="MS UI Gothic"/>
          <w:w w:val="80"/>
        </w:rPr>
        <w:t xml:space="preserve">、 </w:t>
      </w:r>
      <w:r>
        <w:t>井底车场</w:t>
      </w:r>
      <w:r>
        <w:rPr>
          <w:rFonts w:hint="eastAsia" w:ascii="MS UI Gothic" w:eastAsia="MS UI Gothic"/>
          <w:w w:val="80"/>
        </w:rPr>
        <w:t xml:space="preserve">、 </w:t>
      </w:r>
      <w:r>
        <w:t>使用带式输送机或者液力偶合器的巷道以及采掘工作面附近的巷道中</w:t>
      </w:r>
      <w:r>
        <w:rPr>
          <w:rFonts w:hint="eastAsia" w:ascii="MS UI Gothic" w:eastAsia="MS UI Gothic"/>
          <w:w w:val="80"/>
        </w:rPr>
        <w:t xml:space="preserve">ꎬ </w:t>
      </w:r>
      <w:r>
        <w:t>必须备有灭火器材</w:t>
      </w:r>
      <w:r>
        <w:rPr>
          <w:rFonts w:hint="eastAsia" w:ascii="MS UI Gothic" w:eastAsia="MS UI Gothic"/>
          <w:w w:val="80"/>
        </w:rPr>
        <w:t xml:space="preserve">ꎬ </w:t>
      </w:r>
      <w:r>
        <w:t>其数量</w:t>
      </w:r>
      <w:r>
        <w:rPr>
          <w:rFonts w:hint="eastAsia" w:ascii="MS UI Gothic" w:eastAsia="MS UI Gothic"/>
          <w:w w:val="80"/>
        </w:rPr>
        <w:t xml:space="preserve">、 </w:t>
      </w:r>
      <w:r>
        <w:t>规格和存放地点</w:t>
      </w:r>
      <w:r>
        <w:rPr>
          <w:rFonts w:hint="eastAsia" w:ascii="MS UI Gothic" w:eastAsia="MS UI Gothic"/>
          <w:w w:val="80"/>
        </w:rPr>
        <w:t xml:space="preserve">ꎬ </w:t>
      </w:r>
      <w:r>
        <w:t>应当在灾害预防和处理计划中确定</w:t>
      </w:r>
      <w:r>
        <w:rPr>
          <w:rFonts w:hint="eastAsia" w:ascii="MS UI Gothic" w:eastAsia="MS UI Gothic"/>
          <w:w w:val="80"/>
        </w:rPr>
        <w:t>ꎮ</w:t>
      </w:r>
    </w:p>
    <w:p>
      <w:pPr>
        <w:pStyle w:val="6"/>
        <w:spacing w:line="295" w:lineRule="auto"/>
        <w:ind w:right="39"/>
        <w:rPr>
          <w:rFonts w:hint="eastAsia" w:ascii="MS UI Gothic" w:eastAsia="MS UI Gothic"/>
        </w:rPr>
      </w:pPr>
      <w:r>
        <w:t>井下工作人员必须熟悉灭火器材的使用方法</w:t>
      </w:r>
      <w:r>
        <w:rPr>
          <w:rFonts w:hint="eastAsia" w:ascii="MS UI Gothic" w:eastAsia="MS UI Gothic"/>
          <w:w w:val="80"/>
        </w:rPr>
        <w:t xml:space="preserve">ꎬ </w:t>
      </w:r>
      <w:r>
        <w:t>并熟悉本职工作区域内灭火器材</w:t>
      </w:r>
      <w:r>
        <w:rPr>
          <w:w w:val="105"/>
        </w:rPr>
        <w:t>的存放地点</w:t>
      </w:r>
      <w:r>
        <w:rPr>
          <w:rFonts w:hint="eastAsia" w:ascii="MS UI Gothic" w:eastAsia="MS UI Gothic"/>
          <w:w w:val="80"/>
        </w:rPr>
        <w:t>ꎮ</w:t>
      </w:r>
    </w:p>
    <w:p>
      <w:pPr>
        <w:pStyle w:val="6"/>
        <w:spacing w:line="295" w:lineRule="auto"/>
        <w:ind w:right="39"/>
        <w:rPr>
          <w:rFonts w:hint="eastAsia" w:ascii="MS UI Gothic" w:eastAsia="MS UI Gothic"/>
        </w:rPr>
      </w:pPr>
      <w:r>
        <w:t>井下爆炸物品库</w:t>
      </w:r>
      <w:r>
        <w:rPr>
          <w:rFonts w:hint="eastAsia" w:ascii="MS UI Gothic" w:eastAsia="MS UI Gothic"/>
          <w:w w:val="80"/>
        </w:rPr>
        <w:t xml:space="preserve">、 </w:t>
      </w:r>
      <w:r>
        <w:t>机电设备硐室</w:t>
      </w:r>
      <w:r>
        <w:rPr>
          <w:rFonts w:hint="eastAsia" w:ascii="MS UI Gothic" w:eastAsia="MS UI Gothic"/>
          <w:w w:val="80"/>
        </w:rPr>
        <w:t xml:space="preserve">、 </w:t>
      </w:r>
      <w:r>
        <w:t>检修硐室</w:t>
      </w:r>
      <w:r>
        <w:rPr>
          <w:rFonts w:hint="eastAsia" w:ascii="MS UI Gothic" w:eastAsia="MS UI Gothic"/>
          <w:w w:val="80"/>
        </w:rPr>
        <w:t xml:space="preserve">、 </w:t>
      </w:r>
      <w:r>
        <w:t>材料库的支护和风门</w:t>
      </w:r>
      <w:r>
        <w:rPr>
          <w:rFonts w:hint="eastAsia" w:ascii="MS UI Gothic" w:eastAsia="MS UI Gothic"/>
          <w:w w:val="80"/>
        </w:rPr>
        <w:t xml:space="preserve">、 </w:t>
      </w:r>
      <w:r>
        <w:t>风窗必须采用不燃性材料</w:t>
      </w:r>
      <w:r>
        <w:rPr>
          <w:rFonts w:hint="eastAsia" w:ascii="MS UI Gothic" w:eastAsia="MS UI Gothic"/>
          <w:w w:val="80"/>
        </w:rPr>
        <w:t>ꎮ</w:t>
      </w:r>
    </w:p>
    <w:p>
      <w:pPr>
        <w:pStyle w:val="6"/>
        <w:spacing w:line="295" w:lineRule="auto"/>
        <w:ind w:right="38"/>
        <w:rPr>
          <w:rFonts w:hint="eastAsia" w:ascii="MS UI Gothic" w:eastAsia="MS UI Gothic"/>
        </w:rPr>
      </w:pPr>
      <w:r>
        <w:t>第二百五十八条  每季度应当对井上</w:t>
      </w:r>
      <w:r>
        <w:rPr>
          <w:rFonts w:hint="eastAsia" w:ascii="MS UI Gothic" w:eastAsia="MS UI Gothic"/>
          <w:w w:val="80"/>
        </w:rPr>
        <w:t xml:space="preserve">、 </w:t>
      </w:r>
      <w:r>
        <w:t>下消防管路系统</w:t>
      </w:r>
      <w:r>
        <w:rPr>
          <w:rFonts w:hint="eastAsia" w:ascii="MS UI Gothic" w:eastAsia="MS UI Gothic"/>
          <w:w w:val="80"/>
        </w:rPr>
        <w:t xml:space="preserve">、 </w:t>
      </w:r>
      <w:r>
        <w:t>防火门</w:t>
      </w:r>
      <w:r>
        <w:rPr>
          <w:rFonts w:hint="eastAsia" w:ascii="MS UI Gothic" w:eastAsia="MS UI Gothic"/>
          <w:w w:val="80"/>
        </w:rPr>
        <w:t xml:space="preserve">、 </w:t>
      </w:r>
      <w:r>
        <w:t xml:space="preserve">消防材料库和消防器材的设置情况进行 </w:t>
      </w:r>
      <w:r>
        <w:rPr>
          <w:rFonts w:hint="eastAsia" w:ascii="MS UI Gothic" w:eastAsia="MS UI Gothic"/>
          <w:w w:val="80"/>
        </w:rPr>
        <w:t xml:space="preserve">１ </w:t>
      </w:r>
      <w:r>
        <w:t>次检查</w:t>
      </w:r>
      <w:r>
        <w:rPr>
          <w:rFonts w:hint="eastAsia" w:ascii="MS UI Gothic" w:eastAsia="MS UI Gothic"/>
          <w:w w:val="80"/>
        </w:rPr>
        <w:t>ꎬ</w:t>
      </w:r>
      <w:r>
        <w:t>发现问题</w:t>
      </w:r>
      <w:r>
        <w:rPr>
          <w:rFonts w:hint="eastAsia" w:ascii="MS UI Gothic" w:eastAsia="MS UI Gothic"/>
          <w:w w:val="80"/>
        </w:rPr>
        <w:t xml:space="preserve">ꎬ </w:t>
      </w:r>
      <w:r>
        <w:t>及时解决</w:t>
      </w:r>
      <w:r>
        <w:rPr>
          <w:rFonts w:hint="eastAsia" w:ascii="MS UI Gothic" w:eastAsia="MS UI Gothic"/>
          <w:w w:val="80"/>
        </w:rPr>
        <w:t>ꎮ</w:t>
      </w:r>
    </w:p>
    <w:p>
      <w:pPr>
        <w:pStyle w:val="6"/>
        <w:spacing w:line="295" w:lineRule="auto"/>
        <w:ind w:right="39"/>
        <w:rPr>
          <w:rFonts w:hint="eastAsia" w:ascii="MS UI Gothic" w:eastAsia="MS UI Gothic"/>
        </w:rPr>
      </w:pPr>
      <w:r>
        <w:t>第二百五十九条 矿井防灭火使用的凝胶</w:t>
      </w:r>
      <w:r>
        <w:rPr>
          <w:rFonts w:hint="eastAsia" w:ascii="MS UI Gothic" w:eastAsia="MS UI Gothic"/>
          <w:w w:val="80"/>
        </w:rPr>
        <w:t xml:space="preserve">、 </w:t>
      </w:r>
      <w:r>
        <w:t>阻化剂及进行充填</w:t>
      </w:r>
      <w:r>
        <w:rPr>
          <w:rFonts w:hint="eastAsia" w:ascii="MS UI Gothic" w:eastAsia="MS UI Gothic"/>
          <w:w w:val="80"/>
        </w:rPr>
        <w:t xml:space="preserve">、 </w:t>
      </w:r>
      <w:r>
        <w:t>堵漏</w:t>
      </w:r>
      <w:r>
        <w:rPr>
          <w:rFonts w:hint="eastAsia" w:ascii="MS UI Gothic" w:eastAsia="MS UI Gothic"/>
          <w:w w:val="80"/>
        </w:rPr>
        <w:t xml:space="preserve">、 </w:t>
      </w:r>
      <w:r>
        <w:t>加固用的高分子材料</w:t>
      </w:r>
      <w:r>
        <w:rPr>
          <w:rFonts w:hint="eastAsia" w:ascii="MS UI Gothic" w:eastAsia="MS UI Gothic"/>
          <w:w w:val="80"/>
        </w:rPr>
        <w:t xml:space="preserve">ꎬ </w:t>
      </w:r>
      <w:r>
        <w:t>应当对其安全性和环保性进行评估</w:t>
      </w:r>
      <w:r>
        <w:rPr>
          <w:rFonts w:hint="eastAsia" w:ascii="MS UI Gothic" w:eastAsia="MS UI Gothic"/>
          <w:w w:val="80"/>
        </w:rPr>
        <w:t xml:space="preserve">ꎬ </w:t>
      </w:r>
      <w:r>
        <w:t>并制定安全监测制度和防范措施</w:t>
      </w:r>
      <w:r>
        <w:rPr>
          <w:rFonts w:hint="eastAsia" w:ascii="MS UI Gothic" w:eastAsia="MS UI Gothic"/>
          <w:w w:val="80"/>
        </w:rPr>
        <w:t xml:space="preserve">ꎮ </w:t>
      </w:r>
      <w:r>
        <w:t>使用时</w:t>
      </w:r>
      <w:r>
        <w:rPr>
          <w:rFonts w:hint="eastAsia" w:ascii="MS UI Gothic" w:eastAsia="MS UI Gothic"/>
          <w:w w:val="80"/>
        </w:rPr>
        <w:t xml:space="preserve">ꎬ </w:t>
      </w:r>
      <w:r>
        <w:t>井巷空气成分必须符合本规程第一百三十五条要求</w:t>
      </w:r>
      <w:r>
        <w:rPr>
          <w:rFonts w:hint="eastAsia" w:ascii="MS UI Gothic" w:eastAsia="MS UI Gothic"/>
          <w:w w:val="80"/>
        </w:rPr>
        <w:t>ꎮ</w:t>
      </w:r>
    </w:p>
    <w:p>
      <w:pPr>
        <w:pStyle w:val="6"/>
        <w:tabs>
          <w:tab w:val="left" w:pos="1801"/>
        </w:tabs>
        <w:spacing w:before="133"/>
        <w:ind w:left="963" w:firstLine="0"/>
        <w:jc w:val="left"/>
      </w:pPr>
      <w:r>
        <w:rPr>
          <w:spacing w:val="3"/>
          <w:w w:val="105"/>
        </w:rPr>
        <w:t>第二</w:t>
      </w:r>
      <w:r>
        <w:rPr>
          <w:w w:val="105"/>
        </w:rPr>
        <w:t>节</w:t>
      </w:r>
      <w:r>
        <w:rPr>
          <w:w w:val="105"/>
        </w:rPr>
        <w:tab/>
      </w:r>
      <w:r>
        <w:rPr>
          <w:spacing w:val="3"/>
          <w:w w:val="105"/>
        </w:rPr>
        <w:t>井下火灾防</w:t>
      </w:r>
      <w:r>
        <w:rPr>
          <w:w w:val="105"/>
        </w:rPr>
        <w:t>治</w:t>
      </w:r>
    </w:p>
    <w:p>
      <w:pPr>
        <w:pStyle w:val="6"/>
        <w:spacing w:before="10"/>
        <w:ind w:left="0" w:firstLine="0"/>
        <w:jc w:val="left"/>
        <w:rPr>
          <w:sz w:val="16"/>
        </w:rPr>
      </w:pPr>
    </w:p>
    <w:p>
      <w:pPr>
        <w:pStyle w:val="6"/>
        <w:spacing w:line="295" w:lineRule="auto"/>
        <w:ind w:right="39"/>
        <w:rPr>
          <w:rFonts w:hint="eastAsia" w:ascii="MS UI Gothic" w:eastAsia="MS UI Gothic"/>
        </w:rPr>
      </w:pPr>
      <w:r>
        <w:t>第二百六十条 煤的自燃倾向性分为容易自燃</w:t>
      </w:r>
      <w:r>
        <w:rPr>
          <w:rFonts w:hint="eastAsia" w:ascii="MS UI Gothic" w:eastAsia="MS UI Gothic"/>
          <w:w w:val="80"/>
        </w:rPr>
        <w:t xml:space="preserve">、 </w:t>
      </w:r>
      <w:r>
        <w:t>自燃</w:t>
      </w:r>
      <w:r>
        <w:rPr>
          <w:rFonts w:hint="eastAsia" w:ascii="MS UI Gothic" w:eastAsia="MS UI Gothic"/>
          <w:w w:val="80"/>
        </w:rPr>
        <w:t xml:space="preserve">、 </w:t>
      </w:r>
      <w:r>
        <w:t xml:space="preserve">不易自燃 </w:t>
      </w:r>
      <w:r>
        <w:rPr>
          <w:rFonts w:hint="eastAsia" w:ascii="MS UI Gothic" w:eastAsia="MS UI Gothic"/>
          <w:w w:val="80"/>
        </w:rPr>
        <w:t xml:space="preserve">３ </w:t>
      </w:r>
      <w:r>
        <w:t>类</w:t>
      </w:r>
      <w:r>
        <w:rPr>
          <w:rFonts w:hint="eastAsia" w:ascii="MS UI Gothic" w:eastAsia="MS UI Gothic"/>
          <w:w w:val="80"/>
        </w:rPr>
        <w:t>ꎮ</w:t>
      </w:r>
    </w:p>
    <w:p>
      <w:pPr>
        <w:pStyle w:val="6"/>
        <w:spacing w:line="295" w:lineRule="auto"/>
        <w:ind w:right="39"/>
        <w:rPr>
          <w:rFonts w:hint="eastAsia" w:ascii="MS UI Gothic" w:eastAsia="MS UI Gothic"/>
        </w:rPr>
      </w:pPr>
      <w:r>
        <w:t>新设计矿井应当将所有煤层的自燃倾向性鉴定结果报省级煤炭行业管理部门及</w:t>
      </w:r>
      <w:r>
        <w:rPr>
          <w:w w:val="105"/>
        </w:rPr>
        <w:t>省级煤矿安全监察机构</w:t>
      </w:r>
      <w:r>
        <w:rPr>
          <w:rFonts w:hint="eastAsia" w:ascii="MS UI Gothic" w:eastAsia="MS UI Gothic"/>
          <w:w w:val="80"/>
        </w:rPr>
        <w:t>ꎮ</w:t>
      </w:r>
    </w:p>
    <w:p>
      <w:pPr>
        <w:pStyle w:val="6"/>
        <w:spacing w:line="254" w:lineRule="exact"/>
        <w:ind w:left="543" w:firstLine="0"/>
        <w:jc w:val="left"/>
      </w:pPr>
      <w:r>
        <w:t>生产矿井延深新水平时</w:t>
      </w:r>
      <w:r>
        <w:rPr>
          <w:rFonts w:hint="eastAsia" w:ascii="MS UI Gothic" w:eastAsia="MS UI Gothic"/>
          <w:w w:val="80"/>
        </w:rPr>
        <w:t xml:space="preserve">ꎬ </w:t>
      </w:r>
      <w:r>
        <w:t>必须对所有</w:t>
      </w:r>
    </w:p>
    <w:p>
      <w:pPr>
        <w:pStyle w:val="6"/>
        <w:spacing w:before="123"/>
        <w:ind w:firstLine="0"/>
        <w:jc w:val="left"/>
        <w:rPr>
          <w:rFonts w:hint="eastAsia" w:ascii="MS UI Gothic" w:eastAsia="MS UI Gothic"/>
        </w:rPr>
      </w:pPr>
      <w:r>
        <w:br w:type="column"/>
      </w:r>
      <w:r>
        <w:t>煤层的自燃倾向性进行鉴定</w:t>
      </w:r>
      <w:r>
        <w:rPr>
          <w:rFonts w:hint="eastAsia" w:ascii="MS UI Gothic" w:eastAsia="MS UI Gothic"/>
          <w:w w:val="80"/>
        </w:rPr>
        <w:t>ꎮ</w:t>
      </w:r>
    </w:p>
    <w:p>
      <w:pPr>
        <w:pStyle w:val="6"/>
        <w:spacing w:before="58" w:line="295" w:lineRule="auto"/>
        <w:ind w:right="442"/>
        <w:rPr>
          <w:rFonts w:hint="eastAsia" w:ascii="MS UI Gothic" w:eastAsia="MS UI Gothic"/>
        </w:rPr>
      </w:pPr>
      <w:r>
        <w:t>开采容易自燃和自燃煤层的矿井</w:t>
      </w:r>
      <w:r>
        <w:rPr>
          <w:rFonts w:hint="eastAsia" w:ascii="MS UI Gothic" w:eastAsia="MS UI Gothic"/>
          <w:w w:val="80"/>
        </w:rPr>
        <w:t xml:space="preserve">ꎬ </w:t>
      </w:r>
      <w:r>
        <w:t>必须编制矿井防灭火专项设计</w:t>
      </w:r>
      <w:r>
        <w:rPr>
          <w:rFonts w:hint="eastAsia" w:ascii="MS UI Gothic" w:eastAsia="MS UI Gothic"/>
          <w:w w:val="80"/>
        </w:rPr>
        <w:t xml:space="preserve">ꎬ </w:t>
      </w:r>
      <w:r>
        <w:t>采取综合预防煤层自然发火的措施</w:t>
      </w:r>
      <w:r>
        <w:rPr>
          <w:rFonts w:hint="eastAsia" w:ascii="MS UI Gothic" w:eastAsia="MS UI Gothic"/>
          <w:w w:val="80"/>
        </w:rPr>
        <w:t>ꎮ</w:t>
      </w:r>
    </w:p>
    <w:p>
      <w:pPr>
        <w:pStyle w:val="6"/>
        <w:spacing w:line="295" w:lineRule="auto"/>
        <w:ind w:right="440"/>
        <w:rPr>
          <w:rFonts w:hint="eastAsia" w:ascii="MS UI Gothic" w:eastAsia="MS UI Gothic"/>
        </w:rPr>
      </w:pPr>
      <w:r>
        <w:t>第二百六十一条 开采容易自燃和自燃煤层时</w:t>
      </w:r>
      <w:r>
        <w:rPr>
          <w:rFonts w:hint="eastAsia" w:ascii="MS UI Gothic" w:eastAsia="MS UI Gothic"/>
          <w:w w:val="80"/>
        </w:rPr>
        <w:t xml:space="preserve">ꎬ </w:t>
      </w:r>
      <w:r>
        <w:t>必须开展自然发火监测工作</w:t>
      </w:r>
      <w:r>
        <w:rPr>
          <w:rFonts w:hint="eastAsia" w:ascii="MS UI Gothic" w:eastAsia="MS UI Gothic"/>
          <w:w w:val="80"/>
        </w:rPr>
        <w:t>ꎬ</w:t>
      </w:r>
      <w:r>
        <w:t>建立自然发火监测系统</w:t>
      </w:r>
      <w:r>
        <w:rPr>
          <w:rFonts w:hint="eastAsia" w:ascii="MS UI Gothic" w:eastAsia="MS UI Gothic"/>
          <w:w w:val="80"/>
        </w:rPr>
        <w:t xml:space="preserve">ꎬ </w:t>
      </w:r>
      <w:r>
        <w:t>确定煤层自然发火标志气体及临界值</w:t>
      </w:r>
      <w:r>
        <w:rPr>
          <w:rFonts w:hint="eastAsia" w:ascii="MS UI Gothic" w:eastAsia="MS UI Gothic"/>
          <w:w w:val="80"/>
        </w:rPr>
        <w:t xml:space="preserve">ꎬ </w:t>
      </w:r>
      <w:r>
        <w:t>健全自然发火预测预报及管理制度</w:t>
      </w:r>
      <w:r>
        <w:rPr>
          <w:rFonts w:hint="eastAsia" w:ascii="MS UI Gothic" w:eastAsia="MS UI Gothic"/>
          <w:w w:val="80"/>
        </w:rPr>
        <w:t>ꎮ</w:t>
      </w:r>
    </w:p>
    <w:p>
      <w:pPr>
        <w:pStyle w:val="6"/>
        <w:spacing w:line="295" w:lineRule="auto"/>
        <w:ind w:right="440"/>
        <w:rPr>
          <w:rFonts w:hint="eastAsia" w:ascii="MS UI Gothic" w:eastAsia="MS UI Gothic"/>
        </w:rPr>
      </w:pPr>
      <w:r>
        <w:t>第二百六十二条 对开采容易自燃和自燃的单一厚煤层或者煤层群的矿井</w:t>
      </w:r>
      <w:r>
        <w:rPr>
          <w:rFonts w:hint="eastAsia" w:ascii="MS UI Gothic" w:eastAsia="MS UI Gothic"/>
          <w:w w:val="80"/>
        </w:rPr>
        <w:t xml:space="preserve">ꎬ </w:t>
      </w:r>
      <w:r>
        <w:t>集中运输大巷和总回风巷应当布置在岩层内或者不易自燃的煤层内</w:t>
      </w:r>
      <w:r>
        <w:rPr>
          <w:rFonts w:hint="eastAsia" w:ascii="MS UI Gothic" w:eastAsia="MS UI Gothic"/>
          <w:w w:val="80"/>
        </w:rPr>
        <w:t xml:space="preserve">ꎻ </w:t>
      </w:r>
      <w:r>
        <w:t>布置在容易自燃和自燃的煤层内时</w:t>
      </w:r>
      <w:r>
        <w:rPr>
          <w:rFonts w:hint="eastAsia" w:ascii="MS UI Gothic" w:eastAsia="MS UI Gothic"/>
          <w:w w:val="80"/>
        </w:rPr>
        <w:t xml:space="preserve">ꎬ </w:t>
      </w:r>
      <w:r>
        <w:t>必须锚喷或者砌碹</w:t>
      </w:r>
      <w:r>
        <w:rPr>
          <w:rFonts w:hint="eastAsia" w:ascii="MS UI Gothic" w:eastAsia="MS UI Gothic"/>
          <w:w w:val="80"/>
        </w:rPr>
        <w:t>ꎬ</w:t>
      </w:r>
      <w:r>
        <w:t>碹后的空隙和冒落处必须用不燃性材料充填密实</w:t>
      </w:r>
      <w:r>
        <w:rPr>
          <w:rFonts w:hint="eastAsia" w:ascii="MS UI Gothic" w:eastAsia="MS UI Gothic"/>
          <w:w w:val="80"/>
        </w:rPr>
        <w:t xml:space="preserve">ꎬ </w:t>
      </w:r>
      <w:r>
        <w:t>或者用无腐蚀性</w:t>
      </w:r>
      <w:r>
        <w:rPr>
          <w:rFonts w:hint="eastAsia" w:ascii="MS UI Gothic" w:eastAsia="MS UI Gothic"/>
          <w:w w:val="80"/>
        </w:rPr>
        <w:t xml:space="preserve">、 </w:t>
      </w:r>
      <w:r>
        <w:t>无毒性的材料进行处理</w:t>
      </w:r>
      <w:r>
        <w:rPr>
          <w:rFonts w:hint="eastAsia" w:ascii="MS UI Gothic" w:eastAsia="MS UI Gothic"/>
          <w:w w:val="80"/>
        </w:rPr>
        <w:t>ꎮ</w:t>
      </w:r>
    </w:p>
    <w:p>
      <w:pPr>
        <w:pStyle w:val="6"/>
        <w:spacing w:line="295" w:lineRule="auto"/>
        <w:ind w:right="440"/>
        <w:rPr>
          <w:rFonts w:hint="eastAsia" w:ascii="MS UI Gothic" w:eastAsia="MS UI Gothic"/>
        </w:rPr>
      </w:pPr>
      <w:r>
        <w:rPr>
          <w:spacing w:val="2"/>
          <w:w w:val="105"/>
        </w:rPr>
        <w:t>第二百六十三条 开采容易自燃和自</w:t>
      </w:r>
      <w:r>
        <w:rPr>
          <w:spacing w:val="3"/>
        </w:rPr>
        <w:t>燃煤层时</w:t>
      </w:r>
      <w:r>
        <w:rPr>
          <w:rFonts w:hint="eastAsia" w:ascii="MS UI Gothic" w:eastAsia="MS UI Gothic"/>
          <w:spacing w:val="19"/>
          <w:w w:val="80"/>
        </w:rPr>
        <w:t xml:space="preserve">ꎬ </w:t>
      </w:r>
      <w:r>
        <w:rPr>
          <w:spacing w:val="2"/>
        </w:rPr>
        <w:t>采煤工作面必须采用后退式开</w:t>
      </w:r>
      <w:r>
        <w:rPr>
          <w:spacing w:val="3"/>
        </w:rPr>
        <w:t>采</w:t>
      </w:r>
      <w:r>
        <w:rPr>
          <w:rFonts w:hint="eastAsia" w:ascii="MS UI Gothic" w:eastAsia="MS UI Gothic"/>
          <w:spacing w:val="19"/>
          <w:w w:val="80"/>
        </w:rPr>
        <w:t xml:space="preserve">ꎬ </w:t>
      </w:r>
      <w:r>
        <w:rPr>
          <w:spacing w:val="2"/>
        </w:rPr>
        <w:t>并根据采取防火措施后的煤层自然发</w:t>
      </w:r>
      <w:r>
        <w:rPr>
          <w:spacing w:val="-8"/>
          <w:w w:val="105"/>
        </w:rPr>
        <w:t xml:space="preserve">火期确定采 </w:t>
      </w:r>
      <w:r>
        <w:rPr>
          <w:rFonts w:hint="eastAsia" w:ascii="MS UI Gothic" w:eastAsia="MS UI Gothic"/>
          <w:spacing w:val="-38"/>
          <w:w w:val="150"/>
        </w:rPr>
        <w:t xml:space="preserve">( </w:t>
      </w:r>
      <w:r>
        <w:rPr>
          <w:spacing w:val="3"/>
          <w:w w:val="105"/>
        </w:rPr>
        <w:t>盘</w:t>
      </w:r>
      <w:r>
        <w:rPr>
          <w:rFonts w:hint="eastAsia" w:ascii="MS UI Gothic" w:eastAsia="MS UI Gothic"/>
          <w:spacing w:val="-1"/>
          <w:w w:val="150"/>
        </w:rPr>
        <w:t xml:space="preserve">) </w:t>
      </w:r>
      <w:r>
        <w:rPr>
          <w:spacing w:val="3"/>
          <w:w w:val="105"/>
        </w:rPr>
        <w:t>区开采期限</w:t>
      </w:r>
      <w:r>
        <w:rPr>
          <w:rFonts w:hint="eastAsia" w:ascii="MS UI Gothic" w:eastAsia="MS UI Gothic"/>
          <w:spacing w:val="13"/>
          <w:w w:val="80"/>
        </w:rPr>
        <w:t xml:space="preserve">ꎮ </w:t>
      </w:r>
      <w:r>
        <w:rPr>
          <w:spacing w:val="2"/>
          <w:w w:val="105"/>
        </w:rPr>
        <w:t>在地质构</w:t>
      </w:r>
      <w:r>
        <w:rPr>
          <w:spacing w:val="3"/>
          <w:w w:val="105"/>
        </w:rPr>
        <w:t>造复杂</w:t>
      </w:r>
      <w:r>
        <w:rPr>
          <w:rFonts w:hint="eastAsia" w:ascii="MS UI Gothic" w:eastAsia="MS UI Gothic"/>
          <w:spacing w:val="15"/>
          <w:w w:val="80"/>
        </w:rPr>
        <w:t xml:space="preserve">、 </w:t>
      </w:r>
      <w:r>
        <w:rPr>
          <w:spacing w:val="15"/>
          <w:w w:val="105"/>
        </w:rPr>
        <w:t>断层带</w:t>
      </w:r>
      <w:r>
        <w:rPr>
          <w:rFonts w:hint="eastAsia" w:ascii="MS UI Gothic" w:eastAsia="MS UI Gothic"/>
          <w:spacing w:val="18"/>
          <w:w w:val="80"/>
        </w:rPr>
        <w:t xml:space="preserve">、 </w:t>
      </w:r>
      <w:r>
        <w:rPr>
          <w:spacing w:val="20"/>
          <w:w w:val="105"/>
        </w:rPr>
        <w:t>残留煤柱等区域开采</w:t>
      </w:r>
      <w:r>
        <w:rPr>
          <w:spacing w:val="3"/>
        </w:rPr>
        <w:t>时</w:t>
      </w:r>
      <w:r>
        <w:rPr>
          <w:rFonts w:hint="eastAsia" w:ascii="MS UI Gothic" w:eastAsia="MS UI Gothic"/>
          <w:spacing w:val="19"/>
          <w:w w:val="80"/>
        </w:rPr>
        <w:t xml:space="preserve">ꎬ </w:t>
      </w:r>
      <w:r>
        <w:rPr>
          <w:spacing w:val="6"/>
        </w:rPr>
        <w:t>应当根据矿井地质和开采技术条件</w:t>
      </w:r>
      <w:r>
        <w:rPr>
          <w:rFonts w:hint="eastAsia" w:ascii="MS UI Gothic" w:eastAsia="MS UI Gothic"/>
          <w:w w:val="80"/>
        </w:rPr>
        <w:t>ꎬ</w:t>
      </w:r>
      <w:r>
        <w:rPr>
          <w:spacing w:val="-3"/>
          <w:w w:val="105"/>
        </w:rPr>
        <w:t xml:space="preserve">在作业规程中另行确定采 </w:t>
      </w:r>
      <w:r>
        <w:rPr>
          <w:rFonts w:hint="eastAsia" w:ascii="MS UI Gothic" w:eastAsia="MS UI Gothic"/>
          <w:spacing w:val="-38"/>
          <w:w w:val="150"/>
        </w:rPr>
        <w:t xml:space="preserve">( </w:t>
      </w:r>
      <w:r>
        <w:rPr>
          <w:spacing w:val="3"/>
          <w:w w:val="105"/>
        </w:rPr>
        <w:t>盘</w:t>
      </w:r>
      <w:r>
        <w:rPr>
          <w:rFonts w:hint="eastAsia" w:ascii="MS UI Gothic" w:eastAsia="MS UI Gothic"/>
          <w:spacing w:val="5"/>
          <w:w w:val="150"/>
        </w:rPr>
        <w:t xml:space="preserve">) </w:t>
      </w:r>
      <w:r>
        <w:rPr>
          <w:spacing w:val="2"/>
          <w:w w:val="105"/>
        </w:rPr>
        <w:t>区开采方</w:t>
      </w:r>
      <w:r>
        <w:rPr>
          <w:spacing w:val="3"/>
        </w:rPr>
        <w:t>式和开采期限</w:t>
      </w:r>
      <w:r>
        <w:rPr>
          <w:rFonts w:hint="eastAsia" w:ascii="MS UI Gothic" w:eastAsia="MS UI Gothic"/>
          <w:spacing w:val="19"/>
          <w:w w:val="80"/>
        </w:rPr>
        <w:t xml:space="preserve">ꎮ </w:t>
      </w:r>
      <w:r>
        <w:rPr>
          <w:spacing w:val="2"/>
        </w:rPr>
        <w:t>回采过程中不得任意留设</w:t>
      </w:r>
      <w:r>
        <w:rPr>
          <w:spacing w:val="3"/>
        </w:rPr>
        <w:t>设计外煤柱和顶煤</w:t>
      </w:r>
      <w:r>
        <w:rPr>
          <w:rFonts w:hint="eastAsia" w:ascii="MS UI Gothic" w:eastAsia="MS UI Gothic"/>
          <w:spacing w:val="19"/>
          <w:w w:val="80"/>
        </w:rPr>
        <w:t xml:space="preserve">ꎮ </w:t>
      </w:r>
      <w:r>
        <w:rPr>
          <w:spacing w:val="2"/>
        </w:rPr>
        <w:t>采煤工作面采到终采</w:t>
      </w:r>
      <w:r>
        <w:rPr>
          <w:spacing w:val="3"/>
          <w:w w:val="105"/>
        </w:rPr>
        <w:t>线时</w:t>
      </w:r>
      <w:r>
        <w:rPr>
          <w:rFonts w:hint="eastAsia" w:ascii="MS UI Gothic" w:eastAsia="MS UI Gothic"/>
          <w:spacing w:val="7"/>
          <w:w w:val="80"/>
        </w:rPr>
        <w:t xml:space="preserve">ꎬ </w:t>
      </w:r>
      <w:r>
        <w:rPr>
          <w:spacing w:val="3"/>
          <w:w w:val="105"/>
        </w:rPr>
        <w:t>必须采取措施使顶板冒落严实</w:t>
      </w:r>
      <w:r>
        <w:rPr>
          <w:rFonts w:hint="eastAsia" w:ascii="MS UI Gothic" w:eastAsia="MS UI Gothic"/>
          <w:w w:val="80"/>
        </w:rPr>
        <w:t>ꎮ</w:t>
      </w:r>
    </w:p>
    <w:p>
      <w:pPr>
        <w:pStyle w:val="6"/>
        <w:spacing w:line="295" w:lineRule="auto"/>
        <w:ind w:right="442"/>
        <w:rPr>
          <w:rFonts w:hint="eastAsia" w:ascii="MS UI Gothic" w:eastAsia="MS UI Gothic"/>
        </w:rPr>
      </w:pPr>
      <w:r>
        <w:t>第二百六十四条 开采容易自燃和自燃的急倾斜煤层用垮落法管理顶板时</w:t>
      </w:r>
      <w:r>
        <w:rPr>
          <w:rFonts w:hint="eastAsia" w:ascii="MS UI Gothic" w:eastAsia="MS UI Gothic"/>
          <w:w w:val="80"/>
        </w:rPr>
        <w:t xml:space="preserve">ꎬ </w:t>
      </w:r>
      <w:r>
        <w:t>在主石门和采区运输石门上方</w:t>
      </w:r>
      <w:r>
        <w:rPr>
          <w:rFonts w:hint="eastAsia" w:ascii="MS UI Gothic" w:eastAsia="MS UI Gothic"/>
          <w:w w:val="80"/>
        </w:rPr>
        <w:t xml:space="preserve">ꎬ </w:t>
      </w:r>
      <w:r>
        <w:t>必须留有煤柱</w:t>
      </w:r>
      <w:r>
        <w:rPr>
          <w:rFonts w:hint="eastAsia" w:ascii="MS UI Gothic" w:eastAsia="MS UI Gothic"/>
          <w:w w:val="80"/>
        </w:rPr>
        <w:t xml:space="preserve">ꎮ </w:t>
      </w:r>
      <w:r>
        <w:t>禁止采掘留在主石门上方的煤柱</w:t>
      </w:r>
      <w:r>
        <w:rPr>
          <w:rFonts w:hint="eastAsia" w:ascii="MS UI Gothic" w:eastAsia="MS UI Gothic"/>
          <w:w w:val="80"/>
        </w:rPr>
        <w:t xml:space="preserve">ꎮ </w:t>
      </w:r>
      <w:r>
        <w:t>留在采区运输石门上方的煤柱</w:t>
      </w:r>
      <w:r>
        <w:rPr>
          <w:rFonts w:hint="eastAsia" w:ascii="MS UI Gothic" w:eastAsia="MS UI Gothic"/>
          <w:w w:val="80"/>
        </w:rPr>
        <w:t xml:space="preserve">ꎬ </w:t>
      </w:r>
      <w:r>
        <w:t>在采区结束后可以回收</w:t>
      </w:r>
      <w:r>
        <w:rPr>
          <w:rFonts w:hint="eastAsia" w:ascii="MS UI Gothic" w:eastAsia="MS UI Gothic"/>
          <w:w w:val="80"/>
        </w:rPr>
        <w:t xml:space="preserve">ꎬ </w:t>
      </w:r>
      <w:r>
        <w:t>但必须采取防止自然发火措施</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第二百六十五条 开采容易自燃和自</w:t>
      </w:r>
      <w:r>
        <w:rPr>
          <w:spacing w:val="3"/>
          <w:w w:val="105"/>
        </w:rPr>
        <w:t>燃煤层时</w:t>
      </w:r>
      <w:r>
        <w:rPr>
          <w:rFonts w:hint="eastAsia" w:ascii="MS UI Gothic" w:eastAsia="MS UI Gothic"/>
          <w:spacing w:val="2"/>
          <w:w w:val="80"/>
        </w:rPr>
        <w:t xml:space="preserve">ꎬ </w:t>
      </w:r>
      <w:r>
        <w:rPr>
          <w:spacing w:val="-5"/>
          <w:w w:val="105"/>
        </w:rPr>
        <w:t xml:space="preserve">必须制定防治采空区 </w:t>
      </w:r>
      <w:r>
        <w:rPr>
          <w:rFonts w:hint="eastAsia" w:ascii="MS UI Gothic" w:eastAsia="MS UI Gothic"/>
          <w:spacing w:val="-40"/>
          <w:w w:val="150"/>
        </w:rPr>
        <w:t xml:space="preserve">( </w:t>
      </w:r>
      <w:r>
        <w:rPr>
          <w:spacing w:val="4"/>
          <w:w w:val="105"/>
        </w:rPr>
        <w:t>特别是</w:t>
      </w:r>
      <w:r>
        <w:rPr>
          <w:spacing w:val="3"/>
          <w:w w:val="105"/>
        </w:rPr>
        <w:t>工作面始采线</w:t>
      </w:r>
      <w:r>
        <w:rPr>
          <w:rFonts w:hint="eastAsia" w:ascii="MS UI Gothic" w:eastAsia="MS UI Gothic"/>
          <w:spacing w:val="11"/>
          <w:w w:val="80"/>
        </w:rPr>
        <w:t xml:space="preserve">、 </w:t>
      </w:r>
      <w:r>
        <w:rPr>
          <w:spacing w:val="3"/>
          <w:w w:val="105"/>
        </w:rPr>
        <w:t>终采线</w:t>
      </w:r>
      <w:r>
        <w:rPr>
          <w:rFonts w:hint="eastAsia" w:ascii="MS UI Gothic" w:eastAsia="MS UI Gothic"/>
          <w:spacing w:val="12"/>
          <w:w w:val="80"/>
        </w:rPr>
        <w:t xml:space="preserve">、 </w:t>
      </w:r>
      <w:r>
        <w:rPr>
          <w:spacing w:val="2"/>
          <w:w w:val="105"/>
        </w:rPr>
        <w:t>上下煤柱线和三</w:t>
      </w:r>
      <w:r>
        <w:rPr>
          <w:spacing w:val="3"/>
          <w:w w:val="105"/>
        </w:rPr>
        <w:t>角点</w:t>
      </w:r>
      <w:r>
        <w:rPr>
          <w:rFonts w:hint="eastAsia" w:ascii="MS UI Gothic" w:eastAsia="MS UI Gothic"/>
          <w:spacing w:val="21"/>
          <w:w w:val="150"/>
        </w:rPr>
        <w:t>)</w:t>
      </w:r>
      <w:r>
        <w:rPr>
          <w:rFonts w:hint="eastAsia" w:ascii="MS UI Gothic" w:eastAsia="MS UI Gothic"/>
          <w:spacing w:val="15"/>
          <w:w w:val="80"/>
        </w:rPr>
        <w:t xml:space="preserve">、 </w:t>
      </w:r>
      <w:r>
        <w:rPr>
          <w:spacing w:val="4"/>
          <w:w w:val="105"/>
        </w:rPr>
        <w:t>巷道高冒区</w:t>
      </w:r>
      <w:r>
        <w:rPr>
          <w:rFonts w:hint="eastAsia" w:ascii="MS UI Gothic" w:eastAsia="MS UI Gothic"/>
          <w:spacing w:val="17"/>
          <w:w w:val="80"/>
        </w:rPr>
        <w:t xml:space="preserve">、 </w:t>
      </w:r>
      <w:r>
        <w:rPr>
          <w:spacing w:val="11"/>
          <w:w w:val="105"/>
        </w:rPr>
        <w:t>煤柱破坏区自然发</w:t>
      </w:r>
      <w:r>
        <w:rPr>
          <w:spacing w:val="3"/>
          <w:w w:val="105"/>
        </w:rPr>
        <w:t>火的技术措施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２７７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61" o:spid="_x0000_s1861" o:spt="203" style="height:2.15pt;width:398.25pt;" coordsize="7965,43">
            <o:lock v:ext="edit"/>
            <v:line id="_x0000_s1862" o:spid="_x0000_s1862" o:spt="20" style="position:absolute;left:0;top:39;height:0;width:7965;" stroked="t" coordsize="21600,21600">
              <v:path arrowok="t"/>
              <v:fill focussize="0,0"/>
              <v:stroke weight="0.388031496062992pt" color="#231F20"/>
              <v:imagedata o:title=""/>
              <o:lock v:ext="edit"/>
            </v:line>
            <v:line id="_x0000_s1863" o:spid="_x0000_s186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t>当井下发现自然发火征兆时</w:t>
      </w:r>
      <w:r>
        <w:rPr>
          <w:rFonts w:hint="eastAsia" w:ascii="MS UI Gothic" w:eastAsia="MS UI Gothic"/>
          <w:w w:val="80"/>
        </w:rPr>
        <w:t xml:space="preserve">ꎬ </w:t>
      </w:r>
      <w:r>
        <w:t>必须停止作业</w:t>
      </w:r>
      <w:r>
        <w:rPr>
          <w:rFonts w:hint="eastAsia" w:ascii="MS UI Gothic" w:eastAsia="MS UI Gothic"/>
          <w:w w:val="80"/>
        </w:rPr>
        <w:t xml:space="preserve">ꎬ </w:t>
      </w:r>
      <w:r>
        <w:t>立即采取有效措施处理</w:t>
      </w:r>
      <w:r>
        <w:rPr>
          <w:rFonts w:hint="eastAsia" w:ascii="MS UI Gothic" w:eastAsia="MS UI Gothic"/>
          <w:w w:val="80"/>
        </w:rPr>
        <w:t xml:space="preserve">ꎮ </w:t>
      </w:r>
      <w:r>
        <w:t>在发火征兆不能得到有效控制时</w:t>
      </w:r>
      <w:r>
        <w:rPr>
          <w:rFonts w:hint="eastAsia" w:ascii="MS UI Gothic" w:eastAsia="MS UI Gothic"/>
          <w:w w:val="80"/>
        </w:rPr>
        <w:t xml:space="preserve">ꎬ </w:t>
      </w:r>
      <w:r>
        <w:t>必须撤出人员</w:t>
      </w:r>
      <w:r>
        <w:rPr>
          <w:rFonts w:hint="eastAsia" w:ascii="MS UI Gothic" w:eastAsia="MS UI Gothic"/>
          <w:w w:val="80"/>
        </w:rPr>
        <w:t xml:space="preserve">ꎬ </w:t>
      </w:r>
      <w:r>
        <w:t>封闭危险区域</w:t>
      </w:r>
      <w:r>
        <w:rPr>
          <w:rFonts w:hint="eastAsia" w:ascii="MS UI Gothic" w:eastAsia="MS UI Gothic"/>
          <w:w w:val="80"/>
        </w:rPr>
        <w:t xml:space="preserve">ꎮ </w:t>
      </w:r>
      <w:r>
        <w:t>进行封闭施工作业时</w:t>
      </w:r>
      <w:r>
        <w:rPr>
          <w:rFonts w:hint="eastAsia" w:ascii="MS UI Gothic" w:eastAsia="MS UI Gothic"/>
          <w:w w:val="80"/>
        </w:rPr>
        <w:t xml:space="preserve">ꎬ </w:t>
      </w:r>
      <w:r>
        <w:t>其他区域所有人员必须全部撤出</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第二百六十六条 采用灌浆防灭火</w:t>
      </w:r>
      <w:r>
        <w:rPr>
          <w:w w:val="110"/>
        </w:rPr>
        <w:t>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w:t>
      </w:r>
      <w:r>
        <w:rPr>
          <w:w w:val="105"/>
        </w:rPr>
        <w:t>一</w:t>
      </w:r>
      <w:r>
        <w:rPr>
          <w:rFonts w:hint="eastAsia" w:ascii="MS UI Gothic" w:eastAsia="MS UI Gothic"/>
          <w:w w:val="150"/>
        </w:rPr>
        <w:t xml:space="preserve">) </w:t>
      </w:r>
      <w:r>
        <w:rPr>
          <w:w w:val="105"/>
        </w:rPr>
        <w:t xml:space="preserve">采 </w:t>
      </w:r>
      <w:r>
        <w:rPr>
          <w:rFonts w:hint="eastAsia" w:ascii="MS UI Gothic" w:eastAsia="MS UI Gothic"/>
          <w:w w:val="150"/>
        </w:rPr>
        <w:t xml:space="preserve">( </w:t>
      </w:r>
      <w:r>
        <w:rPr>
          <w:w w:val="105"/>
        </w:rPr>
        <w:t>盘</w:t>
      </w:r>
      <w:r>
        <w:rPr>
          <w:rFonts w:hint="eastAsia" w:ascii="MS UI Gothic" w:eastAsia="MS UI Gothic"/>
          <w:w w:val="150"/>
        </w:rPr>
        <w:t xml:space="preserve">) </w:t>
      </w:r>
      <w:r>
        <w:rPr>
          <w:w w:val="105"/>
        </w:rPr>
        <w:t>区设计应当明确规定巷道布置方式</w:t>
      </w:r>
      <w:r>
        <w:rPr>
          <w:rFonts w:hint="eastAsia" w:ascii="MS UI Gothic" w:eastAsia="MS UI Gothic"/>
          <w:w w:val="80"/>
        </w:rPr>
        <w:t xml:space="preserve">、 </w:t>
      </w:r>
      <w:r>
        <w:rPr>
          <w:w w:val="105"/>
        </w:rPr>
        <w:t>隔离煤柱尺寸</w:t>
      </w:r>
      <w:r>
        <w:rPr>
          <w:rFonts w:hint="eastAsia" w:ascii="MS UI Gothic" w:eastAsia="MS UI Gothic"/>
          <w:w w:val="80"/>
        </w:rPr>
        <w:t xml:space="preserve">、 </w:t>
      </w:r>
      <w:r>
        <w:rPr>
          <w:w w:val="105"/>
        </w:rPr>
        <w:t>灌浆系统</w:t>
      </w:r>
      <w:r>
        <w:rPr>
          <w:rFonts w:hint="eastAsia" w:ascii="MS UI Gothic" w:eastAsia="MS UI Gothic"/>
          <w:w w:val="80"/>
        </w:rPr>
        <w:t xml:space="preserve">、 </w:t>
      </w:r>
      <w:r>
        <w:rPr>
          <w:w w:val="105"/>
        </w:rPr>
        <w:t>疏水系统</w:t>
      </w:r>
      <w:r>
        <w:rPr>
          <w:rFonts w:hint="eastAsia" w:ascii="MS UI Gothic" w:eastAsia="MS UI Gothic"/>
          <w:w w:val="80"/>
        </w:rPr>
        <w:t xml:space="preserve">、 </w:t>
      </w:r>
      <w:r>
        <w:rPr>
          <w:w w:val="105"/>
        </w:rPr>
        <w:t>预筑防火墙的位置以及采掘顺序</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安排生产计划时</w:t>
      </w:r>
      <w:r>
        <w:rPr>
          <w:rFonts w:hint="eastAsia" w:ascii="MS UI Gothic" w:eastAsia="MS UI Gothic"/>
          <w:w w:val="80"/>
        </w:rPr>
        <w:t xml:space="preserve">ꎬ </w:t>
      </w:r>
      <w:r>
        <w:rPr>
          <w:w w:val="105"/>
        </w:rPr>
        <w:t>应当同时安排防火灌浆计划</w:t>
      </w:r>
      <w:r>
        <w:rPr>
          <w:rFonts w:hint="eastAsia" w:ascii="MS UI Gothic" w:eastAsia="MS UI Gothic"/>
          <w:w w:val="80"/>
        </w:rPr>
        <w:t xml:space="preserve">ꎬ </w:t>
      </w:r>
      <w:r>
        <w:rPr>
          <w:w w:val="105"/>
        </w:rPr>
        <w:t>落实灌浆地点</w:t>
      </w:r>
      <w:r>
        <w:rPr>
          <w:rFonts w:hint="eastAsia" w:ascii="MS UI Gothic" w:eastAsia="MS UI Gothic"/>
          <w:w w:val="80"/>
        </w:rPr>
        <w:t xml:space="preserve">、 </w:t>
      </w:r>
      <w:r>
        <w:rPr>
          <w:w w:val="105"/>
        </w:rPr>
        <w:t>时间</w:t>
      </w:r>
      <w:r>
        <w:rPr>
          <w:rFonts w:hint="eastAsia" w:ascii="MS UI Gothic" w:eastAsia="MS UI Gothic"/>
          <w:w w:val="80"/>
        </w:rPr>
        <w:t>、</w:t>
      </w:r>
      <w:r>
        <w:rPr>
          <w:w w:val="105"/>
        </w:rPr>
        <w:t>进度</w:t>
      </w:r>
      <w:r>
        <w:rPr>
          <w:rFonts w:hint="eastAsia" w:ascii="MS UI Gothic" w:eastAsia="MS UI Gothic"/>
          <w:w w:val="80"/>
        </w:rPr>
        <w:t xml:space="preserve">、 </w:t>
      </w:r>
      <w:r>
        <w:rPr>
          <w:w w:val="105"/>
        </w:rPr>
        <w:t>灌浆浓度和灌浆量</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 xml:space="preserve">对采 </w:t>
      </w:r>
      <w:r>
        <w:rPr>
          <w:rFonts w:hint="eastAsia" w:ascii="MS UI Gothic" w:eastAsia="MS UI Gothic"/>
          <w:w w:val="150"/>
        </w:rPr>
        <w:t xml:space="preserve">( </w:t>
      </w:r>
      <w:r>
        <w:rPr>
          <w:w w:val="105"/>
        </w:rPr>
        <w:t>盘</w:t>
      </w:r>
      <w:r>
        <w:rPr>
          <w:rFonts w:hint="eastAsia" w:ascii="MS UI Gothic" w:eastAsia="MS UI Gothic"/>
          <w:w w:val="150"/>
        </w:rPr>
        <w:t xml:space="preserve">) </w:t>
      </w:r>
      <w:r>
        <w:rPr>
          <w:w w:val="105"/>
        </w:rPr>
        <w:t>区始采线</w:t>
      </w:r>
      <w:r>
        <w:rPr>
          <w:rFonts w:hint="eastAsia" w:ascii="MS UI Gothic" w:eastAsia="MS UI Gothic"/>
          <w:w w:val="80"/>
        </w:rPr>
        <w:t xml:space="preserve">、 </w:t>
      </w:r>
      <w:r>
        <w:rPr>
          <w:w w:val="105"/>
        </w:rPr>
        <w:t>终采线</w:t>
      </w:r>
      <w:r>
        <w:rPr>
          <w:rFonts w:hint="eastAsia" w:ascii="MS UI Gothic" w:eastAsia="MS UI Gothic"/>
          <w:w w:val="80"/>
        </w:rPr>
        <w:t xml:space="preserve">、 </w:t>
      </w:r>
      <w:r>
        <w:rPr>
          <w:w w:val="105"/>
        </w:rPr>
        <w:t>上下煤柱线内的采空区</w:t>
      </w:r>
      <w:r>
        <w:rPr>
          <w:rFonts w:hint="eastAsia" w:ascii="MS UI Gothic" w:eastAsia="MS UI Gothic"/>
          <w:w w:val="80"/>
        </w:rPr>
        <w:t xml:space="preserve">ꎬ </w:t>
      </w:r>
      <w:r>
        <w:rPr>
          <w:w w:val="105"/>
        </w:rPr>
        <w:t>应当加强防火灌浆</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应当有灌浆前疏水和灌浆后防止溃浆</w:t>
      </w:r>
      <w:r>
        <w:rPr>
          <w:rFonts w:hint="eastAsia" w:ascii="MS UI Gothic" w:eastAsia="MS UI Gothic"/>
          <w:w w:val="80"/>
        </w:rPr>
        <w:t xml:space="preserve">、 </w:t>
      </w:r>
      <w:r>
        <w:rPr>
          <w:w w:val="105"/>
        </w:rPr>
        <w:t>透水的措施</w:t>
      </w:r>
      <w:r>
        <w:rPr>
          <w:rFonts w:hint="eastAsia" w:ascii="MS UI Gothic" w:eastAsia="MS UI Gothic"/>
          <w:w w:val="80"/>
        </w:rPr>
        <w:t>ꎮ</w:t>
      </w:r>
    </w:p>
    <w:p>
      <w:pPr>
        <w:pStyle w:val="6"/>
        <w:spacing w:line="295" w:lineRule="auto"/>
        <w:ind w:left="440" w:right="1"/>
        <w:rPr>
          <w:rFonts w:hint="eastAsia" w:ascii="MS UI Gothic" w:eastAsia="MS UI Gothic"/>
        </w:rPr>
      </w:pPr>
      <w:r>
        <w:t>第二百六十七条 在灌浆区下部进行采掘前</w:t>
      </w:r>
      <w:r>
        <w:rPr>
          <w:rFonts w:hint="eastAsia" w:ascii="MS UI Gothic" w:eastAsia="MS UI Gothic"/>
          <w:w w:val="80"/>
        </w:rPr>
        <w:t xml:space="preserve">ꎬ </w:t>
      </w:r>
      <w:r>
        <w:t>必须查明灌浆区内的浆水积存情况</w:t>
      </w:r>
      <w:r>
        <w:rPr>
          <w:rFonts w:hint="eastAsia" w:ascii="MS UI Gothic" w:eastAsia="MS UI Gothic"/>
          <w:w w:val="80"/>
        </w:rPr>
        <w:t xml:space="preserve">ꎮ </w:t>
      </w:r>
      <w:r>
        <w:t>发现积存浆水</w:t>
      </w:r>
      <w:r>
        <w:rPr>
          <w:rFonts w:hint="eastAsia" w:ascii="MS UI Gothic" w:eastAsia="MS UI Gothic"/>
          <w:w w:val="80"/>
        </w:rPr>
        <w:t xml:space="preserve">ꎬ </w:t>
      </w:r>
      <w:r>
        <w:t>必须在采掘之前放出</w:t>
      </w:r>
      <w:r>
        <w:rPr>
          <w:rFonts w:hint="eastAsia" w:ascii="MS UI Gothic" w:eastAsia="MS UI Gothic"/>
          <w:w w:val="80"/>
        </w:rPr>
        <w:t xml:space="preserve">ꎻ </w:t>
      </w:r>
      <w:r>
        <w:t>在未放出前</w:t>
      </w:r>
      <w:r>
        <w:rPr>
          <w:rFonts w:hint="eastAsia" w:ascii="MS UI Gothic" w:eastAsia="MS UI Gothic"/>
          <w:w w:val="80"/>
        </w:rPr>
        <w:t xml:space="preserve">ꎬ </w:t>
      </w:r>
      <w:r>
        <w:t>严禁在灌浆区下部进行采掘作业</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第二百六十八条 采用阻化剂防灭火</w:t>
      </w:r>
      <w:r>
        <w:rPr>
          <w:spacing w:val="3"/>
          <w:w w:val="110"/>
        </w:rPr>
        <w:t>时</w:t>
      </w:r>
      <w:r>
        <w:rPr>
          <w:rFonts w:hint="eastAsia" w:ascii="MS UI Gothic" w:eastAsia="MS UI Gothic"/>
          <w:spacing w:val="22"/>
          <w:w w:val="80"/>
        </w:rPr>
        <w:t xml:space="preserve">ꎬ </w:t>
      </w:r>
      <w:r>
        <w:rPr>
          <w:spacing w:val="3"/>
          <w:w w:val="110"/>
        </w:rPr>
        <w:t>应当遵守下列规定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选用的阻化剂材料不得污染井</w:t>
      </w:r>
      <w:r>
        <w:rPr>
          <w:spacing w:val="3"/>
          <w:w w:val="110"/>
        </w:rPr>
        <w:t>下空气和危害人体健康</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必须在设计中对阻化剂的种类和数量</w:t>
      </w:r>
      <w:r>
        <w:rPr>
          <w:rFonts w:hint="eastAsia" w:ascii="MS UI Gothic" w:eastAsia="MS UI Gothic"/>
          <w:w w:val="80"/>
        </w:rPr>
        <w:t xml:space="preserve">、 </w:t>
      </w:r>
      <w:r>
        <w:rPr>
          <w:w w:val="105"/>
        </w:rPr>
        <w:t>阻化效果等主要参数作出明确规定</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应当采取防止阻化剂腐蚀机械设备</w:t>
      </w:r>
      <w:r>
        <w:rPr>
          <w:rFonts w:hint="eastAsia" w:ascii="MS UI Gothic" w:eastAsia="MS UI Gothic"/>
          <w:w w:val="80"/>
        </w:rPr>
        <w:t xml:space="preserve">、 </w:t>
      </w:r>
      <w:r>
        <w:rPr>
          <w:w w:val="105"/>
        </w:rPr>
        <w:t>支架等金属构件的措施</w:t>
      </w:r>
      <w:r>
        <w:rPr>
          <w:rFonts w:hint="eastAsia" w:ascii="MS UI Gothic" w:eastAsia="MS UI Gothic"/>
          <w:w w:val="80"/>
        </w:rPr>
        <w:t>ꎮ</w:t>
      </w:r>
    </w:p>
    <w:p>
      <w:pPr>
        <w:pStyle w:val="6"/>
        <w:spacing w:line="295" w:lineRule="auto"/>
        <w:ind w:left="440" w:right="1"/>
        <w:rPr>
          <w:rFonts w:hint="eastAsia" w:ascii="MS UI Gothic" w:eastAsia="MS UI Gothic"/>
        </w:rPr>
      </w:pPr>
      <w:r>
        <w:t>第二百六十九条  采用凝胶防灭火时</w:t>
      </w:r>
      <w:r>
        <w:rPr>
          <w:rFonts w:hint="eastAsia" w:ascii="MS UI Gothic" w:eastAsia="MS UI Gothic"/>
          <w:w w:val="80"/>
        </w:rPr>
        <w:t xml:space="preserve">ꎬ </w:t>
      </w:r>
      <w:r>
        <w:t>编制的设计中应当明确规定凝胶的配方</w:t>
      </w:r>
      <w:r>
        <w:rPr>
          <w:rFonts w:hint="eastAsia" w:ascii="MS UI Gothic" w:eastAsia="MS UI Gothic"/>
          <w:w w:val="80"/>
        </w:rPr>
        <w:t xml:space="preserve">、 </w:t>
      </w:r>
      <w:r>
        <w:t>促凝时间和压注量等参数</w:t>
      </w:r>
      <w:r>
        <w:rPr>
          <w:rFonts w:hint="eastAsia" w:ascii="MS UI Gothic" w:eastAsia="MS UI Gothic"/>
          <w:w w:val="80"/>
        </w:rPr>
        <w:t xml:space="preserve">ꎮ </w:t>
      </w:r>
      <w:r>
        <w:t>压注的凝胶必须充填满全部空间</w:t>
      </w:r>
      <w:r>
        <w:rPr>
          <w:rFonts w:hint="eastAsia" w:ascii="MS UI Gothic" w:eastAsia="MS UI Gothic"/>
          <w:w w:val="80"/>
        </w:rPr>
        <w:t xml:space="preserve">ꎬ </w:t>
      </w:r>
      <w:r>
        <w:t>其外表面应当喷浆封闭</w:t>
      </w:r>
      <w:r>
        <w:rPr>
          <w:rFonts w:hint="eastAsia" w:ascii="MS UI Gothic" w:eastAsia="MS UI Gothic"/>
          <w:w w:val="80"/>
        </w:rPr>
        <w:t xml:space="preserve">ꎬ </w:t>
      </w:r>
      <w:r>
        <w:t>并定期观测</w:t>
      </w:r>
      <w:r>
        <w:rPr>
          <w:rFonts w:hint="eastAsia" w:ascii="MS UI Gothic" w:eastAsia="MS UI Gothic"/>
          <w:w w:val="80"/>
        </w:rPr>
        <w:t xml:space="preserve">ꎬ </w:t>
      </w:r>
      <w:r>
        <w:t>发现老化</w:t>
      </w:r>
      <w:r>
        <w:rPr>
          <w:rFonts w:hint="eastAsia" w:ascii="MS UI Gothic" w:eastAsia="MS UI Gothic"/>
          <w:w w:val="80"/>
        </w:rPr>
        <w:t xml:space="preserve">、 </w:t>
      </w:r>
      <w:r>
        <w:t>干裂时重新压注</w:t>
      </w:r>
      <w:r>
        <w:rPr>
          <w:rFonts w:hint="eastAsia" w:ascii="MS UI Gothic" w:eastAsia="MS UI Gothic"/>
          <w:w w:val="80"/>
        </w:rPr>
        <w:t>ꎮ</w:t>
      </w:r>
    </w:p>
    <w:p>
      <w:pPr>
        <w:pStyle w:val="6"/>
        <w:tabs>
          <w:tab w:val="left" w:pos="2267"/>
        </w:tabs>
        <w:spacing w:before="124" w:line="295" w:lineRule="auto"/>
        <w:ind w:left="381" w:right="126"/>
        <w:jc w:val="left"/>
        <w:rPr>
          <w:rFonts w:hint="eastAsia" w:ascii="MS UI Gothic" w:eastAsia="MS UI Gothic"/>
        </w:rPr>
      </w:pPr>
      <w:r>
        <w:br w:type="column"/>
      </w:r>
      <w:r>
        <w:rPr>
          <w:spacing w:val="3"/>
          <w:w w:val="105"/>
        </w:rPr>
        <w:t>第二百七十</w:t>
      </w:r>
      <w:r>
        <w:rPr>
          <w:w w:val="105"/>
        </w:rPr>
        <w:t>条</w:t>
      </w:r>
      <w:r>
        <w:rPr>
          <w:w w:val="105"/>
        </w:rPr>
        <w:tab/>
      </w:r>
      <w:r>
        <w:rPr>
          <w:spacing w:val="3"/>
        </w:rPr>
        <w:t>采用均压技术防灭</w:t>
      </w:r>
      <w:r>
        <w:t>火</w:t>
      </w:r>
      <w:r>
        <w:rPr>
          <w:spacing w:val="3"/>
          <w:w w:val="110"/>
        </w:rPr>
        <w:t>时</w:t>
      </w:r>
      <w:r>
        <w:rPr>
          <w:rFonts w:hint="eastAsia" w:ascii="MS UI Gothic" w:eastAsia="MS UI Gothic"/>
          <w:w w:val="80"/>
        </w:rPr>
        <w:t>ꎬ</w:t>
      </w:r>
      <w:r>
        <w:rPr>
          <w:rFonts w:hint="eastAsia" w:ascii="MS UI Gothic" w:eastAsia="MS UI Gothic"/>
          <w:spacing w:val="46"/>
          <w:w w:val="80"/>
        </w:rPr>
        <w:t xml:space="preserve"> </w:t>
      </w:r>
      <w:r>
        <w:rPr>
          <w:spacing w:val="3"/>
          <w:w w:val="110"/>
        </w:rPr>
        <w:t>应当遵守下列规定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有完整的区域风压和风阻资料</w:t>
      </w:r>
      <w:r>
        <w:rPr>
          <w:w w:val="110"/>
        </w:rPr>
        <w:t>以及完善的检测手段</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有专人定期观测与分析采空区和火区的漏风量</w:t>
      </w:r>
      <w:r>
        <w:rPr>
          <w:rFonts w:hint="eastAsia" w:ascii="MS UI Gothic" w:eastAsia="MS UI Gothic"/>
          <w:w w:val="80"/>
        </w:rPr>
        <w:t xml:space="preserve">、 </w:t>
      </w:r>
      <w:r>
        <w:rPr>
          <w:w w:val="105"/>
        </w:rPr>
        <w:t>漏风方向</w:t>
      </w:r>
      <w:r>
        <w:rPr>
          <w:rFonts w:hint="eastAsia" w:ascii="MS UI Gothic" w:eastAsia="MS UI Gothic"/>
          <w:w w:val="80"/>
        </w:rPr>
        <w:t xml:space="preserve">、 </w:t>
      </w:r>
      <w:r>
        <w:rPr>
          <w:w w:val="105"/>
        </w:rPr>
        <w:t>空气温度</w:t>
      </w:r>
      <w:r>
        <w:rPr>
          <w:rFonts w:hint="eastAsia" w:ascii="MS UI Gothic" w:eastAsia="MS UI Gothic"/>
          <w:w w:val="80"/>
        </w:rPr>
        <w:t>、</w:t>
      </w:r>
      <w:r>
        <w:t>防火墙内外空气压差等状况</w:t>
      </w:r>
      <w:r>
        <w:rPr>
          <w:rFonts w:hint="eastAsia" w:ascii="MS UI Gothic" w:eastAsia="MS UI Gothic"/>
          <w:w w:val="80"/>
        </w:rPr>
        <w:t xml:space="preserve">ꎬ </w:t>
      </w:r>
      <w:r>
        <w:t>并记录在专</w:t>
      </w:r>
      <w:r>
        <w:rPr>
          <w:w w:val="105"/>
        </w:rPr>
        <w:t>用的防火记录簿内</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改变矿井通风方式</w:t>
      </w:r>
      <w:r>
        <w:rPr>
          <w:rFonts w:hint="eastAsia" w:ascii="MS UI Gothic" w:eastAsia="MS UI Gothic"/>
          <w:w w:val="80"/>
        </w:rPr>
        <w:t xml:space="preserve">、  </w:t>
      </w:r>
      <w:r>
        <w:rPr>
          <w:w w:val="105"/>
        </w:rPr>
        <w:t>主要通风</w:t>
      </w:r>
      <w:r>
        <w:t>机工况以及井下通风系统时</w:t>
      </w:r>
      <w:r>
        <w:rPr>
          <w:rFonts w:hint="eastAsia" w:ascii="MS UI Gothic" w:eastAsia="MS UI Gothic"/>
          <w:w w:val="80"/>
        </w:rPr>
        <w:t xml:space="preserve">ꎬ </w:t>
      </w:r>
      <w:r>
        <w:t>对均压地点的均压状况必须及时进行调整</w:t>
      </w:r>
      <w:r>
        <w:rPr>
          <w:rFonts w:hint="eastAsia" w:ascii="MS UI Gothic" w:eastAsia="MS UI Gothic"/>
          <w:w w:val="80"/>
        </w:rPr>
        <w:t xml:space="preserve">ꎬ </w:t>
      </w:r>
      <w:r>
        <w:t>保证均压</w:t>
      </w:r>
      <w:r>
        <w:rPr>
          <w:w w:val="105"/>
        </w:rPr>
        <w:t>状态的稳定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经常检查均压区域内的巷道中</w:t>
      </w:r>
      <w:r>
        <w:t>风流流动状态</w:t>
      </w:r>
      <w:r>
        <w:rPr>
          <w:rFonts w:hint="eastAsia" w:ascii="MS UI Gothic" w:eastAsia="MS UI Gothic"/>
          <w:w w:val="80"/>
        </w:rPr>
        <w:t xml:space="preserve">ꎬ </w:t>
      </w:r>
      <w:r>
        <w:t>并有防止瓦斯积聚的安全</w:t>
      </w:r>
      <w:r>
        <w:rPr>
          <w:w w:val="105"/>
        </w:rPr>
        <w:t>措施</w:t>
      </w:r>
      <w:r>
        <w:rPr>
          <w:rFonts w:hint="eastAsia" w:ascii="MS UI Gothic" w:eastAsia="MS UI Gothic"/>
          <w:w w:val="80"/>
        </w:rPr>
        <w:t>ꎮ</w:t>
      </w:r>
    </w:p>
    <w:p>
      <w:pPr>
        <w:pStyle w:val="6"/>
        <w:tabs>
          <w:tab w:val="left" w:pos="2581"/>
        </w:tabs>
        <w:spacing w:line="295" w:lineRule="auto"/>
        <w:ind w:left="381" w:right="126"/>
        <w:jc w:val="left"/>
        <w:rPr>
          <w:rFonts w:hint="eastAsia" w:ascii="MS UI Gothic" w:eastAsia="MS UI Gothic"/>
        </w:rPr>
      </w:pPr>
      <w:r>
        <w:rPr>
          <w:spacing w:val="3"/>
          <w:w w:val="105"/>
        </w:rPr>
        <w:t>第二</w:t>
      </w:r>
      <w:r>
        <w:rPr>
          <w:spacing w:val="15"/>
          <w:w w:val="105"/>
        </w:rPr>
        <w:t>百</w:t>
      </w:r>
      <w:r>
        <w:rPr>
          <w:spacing w:val="19"/>
          <w:w w:val="105"/>
        </w:rPr>
        <w:t>七</w:t>
      </w:r>
      <w:r>
        <w:rPr>
          <w:spacing w:val="21"/>
          <w:w w:val="105"/>
        </w:rPr>
        <w:t>十一</w:t>
      </w:r>
      <w:r>
        <w:rPr>
          <w:w w:val="105"/>
        </w:rPr>
        <w:t>条</w:t>
      </w:r>
      <w:r>
        <w:rPr>
          <w:w w:val="105"/>
        </w:rPr>
        <w:tab/>
      </w:r>
      <w:r>
        <w:rPr>
          <w:spacing w:val="21"/>
        </w:rPr>
        <w:t>采用氮气防灭</w:t>
      </w:r>
      <w:r>
        <w:rPr>
          <w:spacing w:val="-15"/>
        </w:rPr>
        <w:t>火</w:t>
      </w:r>
      <w:r>
        <w:rPr>
          <w:spacing w:val="3"/>
          <w:w w:val="110"/>
        </w:rPr>
        <w:t>时</w:t>
      </w:r>
      <w:r>
        <w:rPr>
          <w:rFonts w:hint="eastAsia" w:ascii="MS UI Gothic" w:eastAsia="MS UI Gothic"/>
          <w:w w:val="80"/>
        </w:rPr>
        <w:t>ꎬ</w:t>
      </w:r>
      <w:r>
        <w:rPr>
          <w:rFonts w:hint="eastAsia" w:ascii="MS UI Gothic" w:eastAsia="MS UI Gothic"/>
          <w:spacing w:val="46"/>
          <w:w w:val="80"/>
        </w:rPr>
        <w:t xml:space="preserve"> </w:t>
      </w:r>
      <w:r>
        <w:rPr>
          <w:spacing w:val="3"/>
          <w:w w:val="110"/>
        </w:rPr>
        <w:t>应当遵守下列规定</w:t>
      </w:r>
      <w:r>
        <w:rPr>
          <w:rFonts w:hint="eastAsia" w:ascii="MS UI Gothic" w:eastAsia="MS UI Gothic"/>
          <w:w w:val="235"/>
        </w:rPr>
        <w:t>:</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氮气源稳定可靠</w:t>
      </w:r>
      <w:r>
        <w:rPr>
          <w:rFonts w:hint="eastAsia" w:ascii="MS UI Gothic" w:eastAsia="MS UI Gothic"/>
          <w:w w:val="80"/>
        </w:rPr>
        <w:t>ꎮ</w:t>
      </w:r>
    </w:p>
    <w:p>
      <w:pPr>
        <w:pStyle w:val="6"/>
        <w:spacing w:before="46" w:line="295" w:lineRule="auto"/>
        <w:ind w:left="800" w:right="126" w:firstLine="0"/>
        <w:jc w:val="left"/>
      </w:pPr>
      <w:r>
        <w:rPr>
          <w:rFonts w:hint="eastAsia" w:ascii="MS UI Gothic" w:eastAsia="MS UI Gothic"/>
          <w:spacing w:val="-40"/>
          <w:w w:val="140"/>
        </w:rPr>
        <w:t xml:space="preserve">( </w:t>
      </w:r>
      <w:r>
        <w:rPr>
          <w:spacing w:val="3"/>
          <w:w w:val="110"/>
        </w:rPr>
        <w:t>二</w:t>
      </w:r>
      <w:r>
        <w:rPr>
          <w:rFonts w:hint="eastAsia" w:ascii="MS UI Gothic" w:eastAsia="MS UI Gothic"/>
          <w:spacing w:val="-22"/>
          <w:w w:val="140"/>
        </w:rPr>
        <w:t xml:space="preserve">) </w:t>
      </w:r>
      <w:r>
        <w:rPr>
          <w:spacing w:val="-7"/>
          <w:w w:val="110"/>
        </w:rPr>
        <w:t xml:space="preserve">注入的氮气浓度不小于 </w:t>
      </w:r>
      <w:r>
        <w:rPr>
          <w:rFonts w:hint="eastAsia" w:ascii="MS UI Gothic" w:eastAsia="MS UI Gothic"/>
          <w:w w:val="90"/>
        </w:rPr>
        <w:t>９７</w:t>
      </w:r>
      <w:r>
        <w:rPr>
          <w:spacing w:val="-39"/>
          <w:w w:val="90"/>
        </w:rPr>
        <w:t xml:space="preserve">％ </w:t>
      </w:r>
      <w:r>
        <w:rPr>
          <w:rFonts w:hint="eastAsia" w:ascii="MS UI Gothic" w:eastAsia="MS UI Gothic"/>
          <w:w w:val="90"/>
        </w:rPr>
        <w:t>ꎮ</w:t>
      </w:r>
      <w:r>
        <w:rPr>
          <w:rFonts w:hint="eastAsia" w:ascii="MS UI Gothic" w:eastAsia="MS UI Gothic"/>
          <w:spacing w:val="-39"/>
          <w:w w:val="140"/>
        </w:rPr>
        <w:t xml:space="preserve">( </w:t>
      </w:r>
      <w:r>
        <w:rPr>
          <w:spacing w:val="3"/>
          <w:w w:val="110"/>
        </w:rPr>
        <w:t>三</w:t>
      </w:r>
      <w:r>
        <w:rPr>
          <w:rFonts w:hint="eastAsia" w:ascii="MS UI Gothic" w:eastAsia="MS UI Gothic"/>
          <w:spacing w:val="-17"/>
          <w:w w:val="140"/>
        </w:rPr>
        <w:t xml:space="preserve">) </w:t>
      </w:r>
      <w:r>
        <w:rPr>
          <w:spacing w:val="-21"/>
          <w:w w:val="110"/>
        </w:rPr>
        <w:t xml:space="preserve">至少有 </w:t>
      </w:r>
      <w:r>
        <w:rPr>
          <w:rFonts w:hint="eastAsia" w:ascii="MS UI Gothic" w:eastAsia="MS UI Gothic"/>
          <w:spacing w:val="-14"/>
          <w:w w:val="90"/>
        </w:rPr>
        <w:t xml:space="preserve">１ </w:t>
      </w:r>
      <w:r>
        <w:rPr>
          <w:spacing w:val="8"/>
          <w:w w:val="110"/>
        </w:rPr>
        <w:t>套专用的氮气输送管</w:t>
      </w:r>
    </w:p>
    <w:p>
      <w:pPr>
        <w:pStyle w:val="6"/>
        <w:spacing w:line="255" w:lineRule="exact"/>
        <w:ind w:left="381" w:firstLine="0"/>
        <w:jc w:val="left"/>
        <w:rPr>
          <w:rFonts w:hint="eastAsia" w:ascii="MS UI Gothic" w:eastAsia="MS UI Gothic"/>
        </w:rPr>
      </w:pPr>
      <w:r>
        <w:t>路系统及其附属安全设施</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有能连续监测采空区气体成分</w:t>
      </w:r>
      <w:r>
        <w:rPr>
          <w:w w:val="110"/>
        </w:rPr>
        <w:t>变化的监测系统</w:t>
      </w:r>
      <w:r>
        <w:rPr>
          <w:rFonts w:hint="eastAsia" w:ascii="MS UI Gothic" w:eastAsia="MS UI Gothic"/>
          <w:w w:val="80"/>
        </w:rPr>
        <w:t>ꎮ</w:t>
      </w:r>
    </w:p>
    <w:p>
      <w:pPr>
        <w:pStyle w:val="6"/>
        <w:spacing w:line="295" w:lineRule="auto"/>
        <w:ind w:left="505" w:right="126" w:firstLine="294"/>
        <w:rPr>
          <w:rFonts w:hint="eastAsia" w:ascii="MS UI Gothic" w:eastAsia="MS UI Gothic"/>
        </w:rPr>
      </w:pPr>
      <w:r>
        <w:pict>
          <v:shape id="_x0000_s1864" o:spid="_x0000_s1864" o:spt="202" type="#_x0000_t202" style="position:absolute;left:0pt;margin-left:280.6pt;margin-top:12pt;height:24.35pt;width:5.15pt;mso-position-horizontal-relative:page;z-index:-27576832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rPr>
                  </w:pPr>
                  <w:r>
                    <w:rPr>
                      <w:rFonts w:ascii="MS UI Gothic"/>
                      <w:w w:val="168"/>
                    </w:rPr>
                    <w:t>(</w:t>
                  </w:r>
                </w:p>
              </w:txbxContent>
            </v:textbox>
          </v:shape>
        </w:pict>
      </w: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有固定或者移动的温度观测站</w:t>
      </w:r>
      <w:r>
        <w:rPr>
          <w:w w:val="110"/>
        </w:rPr>
        <w:t>点</w:t>
      </w:r>
      <w:r>
        <w:rPr>
          <w:rFonts w:hint="eastAsia" w:ascii="MS UI Gothic" w:eastAsia="MS UI Gothic"/>
          <w:w w:val="150"/>
        </w:rPr>
        <w:t xml:space="preserve">) </w:t>
      </w:r>
      <w:r>
        <w:rPr>
          <w:w w:val="110"/>
        </w:rPr>
        <w:t>和监测手段</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有专人定期进行检测</w:t>
      </w:r>
      <w:r>
        <w:rPr>
          <w:rFonts w:hint="eastAsia" w:ascii="MS UI Gothic" w:eastAsia="MS UI Gothic"/>
          <w:w w:val="80"/>
        </w:rPr>
        <w:t xml:space="preserve">、  </w:t>
      </w:r>
      <w:r>
        <w:rPr>
          <w:w w:val="105"/>
        </w:rPr>
        <w:t>分析和整理有关记录</w:t>
      </w:r>
      <w:r>
        <w:rPr>
          <w:rFonts w:hint="eastAsia" w:ascii="MS UI Gothic" w:eastAsia="MS UI Gothic"/>
          <w:w w:val="80"/>
        </w:rPr>
        <w:t xml:space="preserve">、 </w:t>
      </w:r>
      <w:r>
        <w:rPr>
          <w:w w:val="105"/>
        </w:rPr>
        <w:t>发现问题及时报告处理等规章制度</w:t>
      </w:r>
      <w:r>
        <w:rPr>
          <w:rFonts w:hint="eastAsia" w:ascii="MS UI Gothic" w:eastAsia="MS UI Gothic"/>
          <w:w w:val="80"/>
        </w:rPr>
        <w:t>ꎮ</w:t>
      </w:r>
    </w:p>
    <w:p>
      <w:pPr>
        <w:pStyle w:val="6"/>
        <w:tabs>
          <w:tab w:val="left" w:pos="2477"/>
        </w:tabs>
        <w:spacing w:line="295" w:lineRule="auto"/>
        <w:ind w:left="381" w:right="126"/>
        <w:jc w:val="left"/>
        <w:rPr>
          <w:rFonts w:hint="eastAsia" w:ascii="MS UI Gothic" w:eastAsia="MS UI Gothic"/>
        </w:rPr>
      </w:pPr>
      <w:r>
        <w:rPr>
          <w:spacing w:val="3"/>
        </w:rPr>
        <w:t>第二百七十二</w:t>
      </w:r>
      <w:r>
        <w:t>条</w:t>
      </w:r>
      <w:r>
        <w:tab/>
      </w:r>
      <w:r>
        <w:rPr>
          <w:spacing w:val="3"/>
        </w:rPr>
        <w:t>采用全部充填采</w:t>
      </w:r>
      <w:r>
        <w:rPr>
          <w:spacing w:val="-12"/>
        </w:rPr>
        <w:t>煤</w:t>
      </w:r>
      <w:r>
        <w:rPr>
          <w:spacing w:val="3"/>
        </w:rPr>
        <w:t>法时</w:t>
      </w:r>
      <w:r>
        <w:rPr>
          <w:rFonts w:hint="eastAsia" w:ascii="MS UI Gothic" w:eastAsia="MS UI Gothic"/>
          <w:w w:val="80"/>
        </w:rPr>
        <w:t>ꎬ</w:t>
      </w:r>
      <w:r>
        <w:rPr>
          <w:rFonts w:hint="eastAsia" w:ascii="MS UI Gothic" w:eastAsia="MS UI Gothic"/>
          <w:spacing w:val="2"/>
          <w:w w:val="80"/>
        </w:rPr>
        <w:t xml:space="preserve"> </w:t>
      </w:r>
      <w:r>
        <w:rPr>
          <w:spacing w:val="3"/>
        </w:rPr>
        <w:t>严禁采用可燃物作充填材料</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2"/>
          <w:w w:val="105"/>
        </w:rPr>
        <w:t>第二百七十三条 开采容易自燃和自</w:t>
      </w:r>
      <w:r>
        <w:rPr>
          <w:spacing w:val="16"/>
          <w:w w:val="105"/>
        </w:rPr>
        <w:t>燃煤层时</w:t>
      </w:r>
      <w:r>
        <w:rPr>
          <w:rFonts w:hint="eastAsia" w:ascii="MS UI Gothic" w:eastAsia="MS UI Gothic"/>
          <w:spacing w:val="16"/>
          <w:w w:val="80"/>
        </w:rPr>
        <w:t xml:space="preserve">ꎬ </w:t>
      </w:r>
      <w:r>
        <w:rPr>
          <w:spacing w:val="1"/>
          <w:w w:val="105"/>
        </w:rPr>
        <w:t xml:space="preserve">在采 </w:t>
      </w:r>
      <w:r>
        <w:rPr>
          <w:rFonts w:hint="eastAsia" w:ascii="MS UI Gothic" w:eastAsia="MS UI Gothic"/>
          <w:spacing w:val="-34"/>
          <w:w w:val="150"/>
        </w:rPr>
        <w:t xml:space="preserve">( </w:t>
      </w:r>
      <w:r>
        <w:rPr>
          <w:spacing w:val="19"/>
          <w:w w:val="105"/>
        </w:rPr>
        <w:t>盘</w:t>
      </w:r>
      <w:r>
        <w:rPr>
          <w:rFonts w:hint="eastAsia" w:ascii="MS UI Gothic" w:eastAsia="MS UI Gothic"/>
          <w:spacing w:val="1"/>
          <w:w w:val="150"/>
        </w:rPr>
        <w:t xml:space="preserve">) </w:t>
      </w:r>
      <w:r>
        <w:rPr>
          <w:spacing w:val="23"/>
          <w:w w:val="105"/>
        </w:rPr>
        <w:t>区开采设计中</w:t>
      </w:r>
      <w:r>
        <w:rPr>
          <w:rFonts w:hint="eastAsia" w:ascii="MS UI Gothic" w:eastAsia="MS UI Gothic"/>
          <w:spacing w:val="-11"/>
          <w:w w:val="80"/>
        </w:rPr>
        <w:t>ꎬ</w:t>
      </w:r>
      <w:r>
        <w:rPr>
          <w:spacing w:val="3"/>
        </w:rPr>
        <w:t>必须预先选定构筑防火门的位置</w:t>
      </w:r>
      <w:r>
        <w:rPr>
          <w:rFonts w:hint="eastAsia" w:ascii="MS UI Gothic" w:eastAsia="MS UI Gothic"/>
          <w:spacing w:val="19"/>
          <w:w w:val="80"/>
        </w:rPr>
        <w:t xml:space="preserve">ꎮ </w:t>
      </w:r>
      <w:r>
        <w:rPr>
          <w:spacing w:val="2"/>
        </w:rPr>
        <w:t>当采煤</w:t>
      </w:r>
      <w:r>
        <w:rPr>
          <w:spacing w:val="3"/>
        </w:rPr>
        <w:t>工作面通风系统形成后</w:t>
      </w:r>
      <w:r>
        <w:rPr>
          <w:rFonts w:hint="eastAsia" w:ascii="MS UI Gothic" w:eastAsia="MS UI Gothic"/>
          <w:spacing w:val="19"/>
          <w:w w:val="80"/>
        </w:rPr>
        <w:t xml:space="preserve">ꎬ </w:t>
      </w:r>
      <w:r>
        <w:rPr>
          <w:spacing w:val="2"/>
        </w:rPr>
        <w:t>必须按设计构筑</w:t>
      </w:r>
      <w:r>
        <w:rPr>
          <w:spacing w:val="3"/>
        </w:rPr>
        <w:t>防火门墙</w:t>
      </w:r>
      <w:r>
        <w:rPr>
          <w:rFonts w:hint="eastAsia" w:ascii="MS UI Gothic" w:eastAsia="MS UI Gothic"/>
          <w:spacing w:val="19"/>
          <w:w w:val="80"/>
        </w:rPr>
        <w:t xml:space="preserve">ꎬ </w:t>
      </w:r>
      <w:r>
        <w:rPr>
          <w:spacing w:val="2"/>
        </w:rPr>
        <w:t>并储备足够数量的封闭防火门</w:t>
      </w:r>
      <w:r>
        <w:rPr>
          <w:spacing w:val="3"/>
          <w:w w:val="105"/>
        </w:rPr>
        <w:t>的材料</w:t>
      </w:r>
      <w:r>
        <w:rPr>
          <w:rFonts w:hint="eastAsia" w:ascii="MS UI Gothic" w:eastAsia="MS UI Gothic"/>
          <w:w w:val="80"/>
        </w:rPr>
        <w:t>ꎮ</w:t>
      </w:r>
    </w:p>
    <w:p>
      <w:pPr>
        <w:pStyle w:val="6"/>
        <w:spacing w:line="295" w:lineRule="auto"/>
        <w:ind w:left="381" w:right="124"/>
      </w:pPr>
      <w:r>
        <w:t>第二百七十四条 矿井必须制定防止采空区自然发火的封闭及管理专项措施</w:t>
      </w:r>
      <w:r>
        <w:rPr>
          <w:rFonts w:hint="eastAsia" w:ascii="MS UI Gothic" w:eastAsia="MS UI Gothic"/>
          <w:w w:val="85"/>
        </w:rPr>
        <w:t>ꎮ</w:t>
      </w:r>
      <w:r>
        <w:t>采煤工作面回采结束后</w:t>
      </w:r>
      <w:r>
        <w:rPr>
          <w:rFonts w:hint="eastAsia" w:ascii="MS UI Gothic" w:eastAsia="MS UI Gothic"/>
          <w:w w:val="85"/>
        </w:rPr>
        <w:t xml:space="preserve">ꎬ </w:t>
      </w:r>
      <w:r>
        <w:t xml:space="preserve">必须在 </w:t>
      </w:r>
      <w:r>
        <w:rPr>
          <w:rFonts w:hint="eastAsia" w:ascii="MS UI Gothic" w:eastAsia="MS UI Gothic"/>
          <w:w w:val="85"/>
        </w:rPr>
        <w:t xml:space="preserve">４５ </w:t>
      </w:r>
      <w:r>
        <w:t>天内</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２７８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65" o:spid="_x0000_s1865" o:spt="203" style="height:2.15pt;width:398.25pt;" coordsize="7965,43">
            <o:lock v:ext="edit"/>
            <v:line id="_x0000_s1866" o:spid="_x0000_s1866" o:spt="20" style="position:absolute;left:0;top:39;height:0;width:7965;" stroked="t" coordsize="21600,21600">
              <v:path arrowok="t"/>
              <v:fill focussize="0,0"/>
              <v:stroke weight="0.388031496062992pt" color="#231F20"/>
              <v:imagedata o:title=""/>
              <o:lock v:ext="edit"/>
            </v:line>
            <v:line id="_x0000_s1867" o:spid="_x0000_s186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jc w:val="left"/>
        <w:rPr>
          <w:rFonts w:hint="eastAsia" w:ascii="MS UI Gothic" w:eastAsia="MS UI Gothic"/>
        </w:rPr>
      </w:pPr>
      <w:r>
        <w:t>进行永久性封闭</w:t>
      </w:r>
      <w:r>
        <w:rPr>
          <w:rFonts w:hint="eastAsia" w:ascii="MS UI Gothic" w:eastAsia="MS UI Gothic"/>
          <w:w w:val="80"/>
        </w:rPr>
        <w:t xml:space="preserve">ꎬ </w:t>
      </w:r>
      <w:r>
        <w:t xml:space="preserve">每周 </w:t>
      </w:r>
      <w:r>
        <w:rPr>
          <w:rFonts w:hint="eastAsia" w:ascii="MS UI Gothic" w:eastAsia="MS UI Gothic"/>
        </w:rPr>
        <w:t xml:space="preserve">１ </w:t>
      </w:r>
      <w:r>
        <w:t>次抽取封闭采空区气样进行分析</w:t>
      </w:r>
      <w:r>
        <w:rPr>
          <w:rFonts w:hint="eastAsia" w:ascii="MS UI Gothic" w:eastAsia="MS UI Gothic"/>
          <w:w w:val="80"/>
        </w:rPr>
        <w:t xml:space="preserve">ꎬ </w:t>
      </w:r>
      <w:r>
        <w:t>并建立台账</w:t>
      </w:r>
      <w:r>
        <w:rPr>
          <w:rFonts w:hint="eastAsia" w:ascii="MS UI Gothic" w:eastAsia="MS UI Gothic"/>
          <w:w w:val="80"/>
        </w:rPr>
        <w:t>ꎮ</w:t>
      </w:r>
    </w:p>
    <w:p>
      <w:pPr>
        <w:pStyle w:val="6"/>
        <w:spacing w:line="295" w:lineRule="auto"/>
        <w:ind w:right="39"/>
        <w:rPr>
          <w:rFonts w:hint="eastAsia" w:ascii="MS UI Gothic" w:eastAsia="MS UI Gothic"/>
        </w:rPr>
      </w:pPr>
      <w:r>
        <w:t>开采自燃和容易自燃煤层</w:t>
      </w:r>
      <w:r>
        <w:rPr>
          <w:rFonts w:hint="eastAsia" w:ascii="MS UI Gothic" w:eastAsia="MS UI Gothic"/>
          <w:w w:val="80"/>
        </w:rPr>
        <w:t xml:space="preserve">ꎬ </w:t>
      </w:r>
      <w:r>
        <w:t>应当及时构筑各类密闭并保证质量</w:t>
      </w:r>
      <w:r>
        <w:rPr>
          <w:rFonts w:hint="eastAsia" w:ascii="MS UI Gothic" w:eastAsia="MS UI Gothic"/>
          <w:w w:val="80"/>
        </w:rPr>
        <w:t>ꎮ</w:t>
      </w:r>
    </w:p>
    <w:p>
      <w:pPr>
        <w:pStyle w:val="6"/>
        <w:spacing w:line="295" w:lineRule="auto"/>
        <w:ind w:right="39"/>
        <w:jc w:val="left"/>
        <w:rPr>
          <w:rFonts w:hint="eastAsia" w:ascii="MS UI Gothic" w:eastAsia="MS UI Gothic"/>
        </w:rPr>
      </w:pPr>
      <w:r>
        <w:t>与封闭采空区连通的各类废弃钻孔必</w:t>
      </w:r>
      <w:r>
        <w:rPr>
          <w:w w:val="105"/>
        </w:rPr>
        <w:t>须永久封闭</w:t>
      </w:r>
      <w:r>
        <w:rPr>
          <w:rFonts w:hint="eastAsia" w:ascii="MS UI Gothic" w:eastAsia="MS UI Gothic"/>
          <w:w w:val="80"/>
        </w:rPr>
        <w:t>ꎮ</w:t>
      </w:r>
    </w:p>
    <w:p>
      <w:pPr>
        <w:pStyle w:val="6"/>
        <w:spacing w:line="295" w:lineRule="auto"/>
        <w:ind w:right="39"/>
        <w:rPr>
          <w:rFonts w:hint="eastAsia" w:ascii="MS UI Gothic" w:eastAsia="MS UI Gothic"/>
        </w:rPr>
      </w:pPr>
      <w:r>
        <w:t>第二百七十五条 任何人发现井下火灾时</w:t>
      </w:r>
      <w:r>
        <w:rPr>
          <w:rFonts w:hint="eastAsia" w:ascii="MS UI Gothic" w:eastAsia="MS UI Gothic"/>
          <w:w w:val="80"/>
        </w:rPr>
        <w:t xml:space="preserve">ꎬ </w:t>
      </w:r>
      <w:r>
        <w:t>应当视火灾性质</w:t>
      </w:r>
      <w:r>
        <w:rPr>
          <w:rFonts w:hint="eastAsia" w:ascii="MS UI Gothic" w:eastAsia="MS UI Gothic"/>
          <w:w w:val="80"/>
        </w:rPr>
        <w:t xml:space="preserve">、 </w:t>
      </w:r>
      <w:r>
        <w:t>灾区通风和瓦斯情况</w:t>
      </w:r>
      <w:r>
        <w:rPr>
          <w:rFonts w:hint="eastAsia" w:ascii="MS UI Gothic" w:eastAsia="MS UI Gothic"/>
          <w:w w:val="80"/>
        </w:rPr>
        <w:t xml:space="preserve">ꎬ </w:t>
      </w:r>
      <w:r>
        <w:t>立即采取一切可能的方法直接灭火</w:t>
      </w:r>
      <w:r>
        <w:rPr>
          <w:rFonts w:hint="eastAsia" w:ascii="MS UI Gothic" w:eastAsia="MS UI Gothic"/>
          <w:w w:val="80"/>
        </w:rPr>
        <w:t xml:space="preserve">ꎬ </w:t>
      </w:r>
      <w:r>
        <w:t>控制火势</w:t>
      </w:r>
      <w:r>
        <w:rPr>
          <w:rFonts w:hint="eastAsia" w:ascii="MS UI Gothic" w:eastAsia="MS UI Gothic"/>
          <w:w w:val="80"/>
        </w:rPr>
        <w:t xml:space="preserve">ꎬ </w:t>
      </w:r>
      <w:r>
        <w:t>并迅速报告矿调度室</w:t>
      </w:r>
      <w:r>
        <w:rPr>
          <w:rFonts w:hint="eastAsia" w:ascii="MS UI Gothic" w:eastAsia="MS UI Gothic"/>
          <w:w w:val="80"/>
        </w:rPr>
        <w:t xml:space="preserve">ꎮ </w:t>
      </w:r>
      <w:r>
        <w:t>矿调度室在接到井下火灾报告后</w:t>
      </w:r>
      <w:r>
        <w:rPr>
          <w:rFonts w:hint="eastAsia" w:ascii="MS UI Gothic" w:eastAsia="MS UI Gothic"/>
          <w:w w:val="80"/>
        </w:rPr>
        <w:t xml:space="preserve">ꎬ </w:t>
      </w:r>
      <w:r>
        <w:t>应当立即按灾害预防和处理计划通知有关人员组织抢救灾区人员和实施灭火工作</w:t>
      </w:r>
      <w:r>
        <w:rPr>
          <w:rFonts w:hint="eastAsia" w:ascii="MS UI Gothic" w:eastAsia="MS UI Gothic"/>
          <w:w w:val="80"/>
        </w:rPr>
        <w:t>ꎮ</w:t>
      </w:r>
    </w:p>
    <w:p>
      <w:pPr>
        <w:pStyle w:val="6"/>
        <w:spacing w:line="295" w:lineRule="auto"/>
        <w:ind w:right="38"/>
        <w:rPr>
          <w:rFonts w:hint="eastAsia" w:ascii="MS UI Gothic" w:eastAsia="MS UI Gothic"/>
        </w:rPr>
      </w:pPr>
      <w:r>
        <w:t>矿值班调度和在现场的区</w:t>
      </w:r>
      <w:r>
        <w:rPr>
          <w:rFonts w:hint="eastAsia" w:ascii="MS UI Gothic" w:eastAsia="MS UI Gothic"/>
          <w:w w:val="80"/>
        </w:rPr>
        <w:t xml:space="preserve">、 </w:t>
      </w:r>
      <w:r>
        <w:t>队</w:t>
      </w:r>
      <w:r>
        <w:rPr>
          <w:rFonts w:hint="eastAsia" w:ascii="MS UI Gothic" w:eastAsia="MS UI Gothic"/>
          <w:w w:val="80"/>
        </w:rPr>
        <w:t xml:space="preserve">、 </w:t>
      </w:r>
      <w:r>
        <w:t>班组长应当依照灾害预防和处理计划的规定</w:t>
      </w:r>
      <w:r>
        <w:rPr>
          <w:rFonts w:hint="eastAsia" w:ascii="MS UI Gothic" w:eastAsia="MS UI Gothic"/>
          <w:w w:val="80"/>
        </w:rPr>
        <w:t>ꎬ</w:t>
      </w:r>
      <w:r>
        <w:t>将所有可能受火灾威胁区域中的人员撤离</w:t>
      </w:r>
      <w:r>
        <w:rPr>
          <w:rFonts w:hint="eastAsia" w:ascii="MS UI Gothic" w:eastAsia="MS UI Gothic"/>
          <w:w w:val="80"/>
        </w:rPr>
        <w:t xml:space="preserve">ꎬ </w:t>
      </w:r>
      <w:r>
        <w:t>并组织人员灭火</w:t>
      </w:r>
      <w:r>
        <w:rPr>
          <w:rFonts w:hint="eastAsia" w:ascii="MS UI Gothic" w:eastAsia="MS UI Gothic"/>
          <w:w w:val="80"/>
        </w:rPr>
        <w:t xml:space="preserve">ꎮ </w:t>
      </w:r>
      <w:r>
        <w:t>电气设备着火时</w:t>
      </w:r>
      <w:r>
        <w:rPr>
          <w:rFonts w:hint="eastAsia" w:ascii="MS UI Gothic" w:eastAsia="MS UI Gothic"/>
          <w:w w:val="80"/>
        </w:rPr>
        <w:t>ꎬ</w:t>
      </w:r>
      <w:r>
        <w:t>应当首先切断其电源</w:t>
      </w:r>
      <w:r>
        <w:rPr>
          <w:rFonts w:hint="eastAsia" w:ascii="MS UI Gothic" w:eastAsia="MS UI Gothic"/>
          <w:w w:val="80"/>
        </w:rPr>
        <w:t xml:space="preserve">ꎻ </w:t>
      </w:r>
      <w:r>
        <w:t>在切断电源前</w:t>
      </w:r>
      <w:r>
        <w:rPr>
          <w:rFonts w:hint="eastAsia" w:ascii="MS UI Gothic" w:eastAsia="MS UI Gothic"/>
          <w:w w:val="80"/>
        </w:rPr>
        <w:t xml:space="preserve">ꎬ </w:t>
      </w:r>
      <w:r>
        <w:t>必须使用不导电的灭火器材进行灭火</w:t>
      </w:r>
      <w:r>
        <w:rPr>
          <w:rFonts w:hint="eastAsia" w:ascii="MS UI Gothic" w:eastAsia="MS UI Gothic"/>
          <w:w w:val="80"/>
        </w:rPr>
        <w:t>ꎮ</w:t>
      </w:r>
    </w:p>
    <w:p>
      <w:pPr>
        <w:pStyle w:val="6"/>
        <w:spacing w:line="295" w:lineRule="auto"/>
        <w:ind w:right="39"/>
        <w:rPr>
          <w:rFonts w:hint="eastAsia" w:ascii="MS UI Gothic" w:eastAsia="MS UI Gothic"/>
        </w:rPr>
      </w:pPr>
      <w:r>
        <w:rPr>
          <w:spacing w:val="3"/>
        </w:rPr>
        <w:t>抢救人员和灭火过程中</w:t>
      </w:r>
      <w:r>
        <w:rPr>
          <w:rFonts w:hint="eastAsia" w:ascii="MS UI Gothic" w:eastAsia="MS UI Gothic"/>
          <w:spacing w:val="16"/>
          <w:w w:val="80"/>
        </w:rPr>
        <w:t xml:space="preserve">ꎬ </w:t>
      </w:r>
      <w:r>
        <w:rPr>
          <w:spacing w:val="2"/>
        </w:rPr>
        <w:t>必须指定专</w:t>
      </w:r>
      <w:r>
        <w:rPr>
          <w:spacing w:val="3"/>
        </w:rPr>
        <w:t>人检查甲烷</w:t>
      </w:r>
      <w:r>
        <w:rPr>
          <w:rFonts w:hint="eastAsia" w:ascii="MS UI Gothic" w:eastAsia="MS UI Gothic"/>
          <w:spacing w:val="16"/>
          <w:w w:val="80"/>
        </w:rPr>
        <w:t xml:space="preserve">、 </w:t>
      </w:r>
      <w:r>
        <w:rPr>
          <w:spacing w:val="3"/>
        </w:rPr>
        <w:t>一氧化碳</w:t>
      </w:r>
      <w:r>
        <w:rPr>
          <w:rFonts w:hint="eastAsia" w:ascii="MS UI Gothic" w:eastAsia="MS UI Gothic"/>
          <w:spacing w:val="16"/>
          <w:w w:val="80"/>
        </w:rPr>
        <w:t xml:space="preserve">、 </w:t>
      </w:r>
      <w:r>
        <w:rPr>
          <w:spacing w:val="3"/>
        </w:rPr>
        <w:t>煤尘</w:t>
      </w:r>
      <w:r>
        <w:rPr>
          <w:rFonts w:hint="eastAsia" w:ascii="MS UI Gothic" w:eastAsia="MS UI Gothic"/>
          <w:spacing w:val="16"/>
          <w:w w:val="80"/>
        </w:rPr>
        <w:t xml:space="preserve">、 </w:t>
      </w:r>
      <w:r>
        <w:rPr>
          <w:spacing w:val="2"/>
        </w:rPr>
        <w:t>其他有害</w:t>
      </w:r>
      <w:r>
        <w:rPr>
          <w:spacing w:val="3"/>
        </w:rPr>
        <w:t>气体浓度和风向</w:t>
      </w:r>
      <w:r>
        <w:rPr>
          <w:rFonts w:hint="eastAsia" w:ascii="MS UI Gothic" w:eastAsia="MS UI Gothic"/>
          <w:spacing w:val="11"/>
          <w:w w:val="80"/>
        </w:rPr>
        <w:t xml:space="preserve">、 </w:t>
      </w:r>
      <w:r>
        <w:rPr>
          <w:spacing w:val="3"/>
        </w:rPr>
        <w:t>风量的变化</w:t>
      </w:r>
      <w:r>
        <w:rPr>
          <w:rFonts w:hint="eastAsia" w:ascii="MS UI Gothic" w:eastAsia="MS UI Gothic"/>
          <w:spacing w:val="11"/>
          <w:w w:val="80"/>
        </w:rPr>
        <w:t xml:space="preserve">ꎬ </w:t>
      </w:r>
      <w:r>
        <w:rPr>
          <w:spacing w:val="2"/>
        </w:rPr>
        <w:t>并采取防</w:t>
      </w:r>
      <w:r>
        <w:rPr>
          <w:spacing w:val="18"/>
        </w:rPr>
        <w:t>止瓦斯</w:t>
      </w:r>
      <w:r>
        <w:rPr>
          <w:rFonts w:hint="eastAsia" w:ascii="MS UI Gothic" w:eastAsia="MS UI Gothic"/>
          <w:spacing w:val="1"/>
          <w:w w:val="80"/>
        </w:rPr>
        <w:t xml:space="preserve">、 </w:t>
      </w:r>
      <w:r>
        <w:rPr>
          <w:spacing w:val="31"/>
        </w:rPr>
        <w:t>煤尘爆炸和人员中毒的安全</w:t>
      </w:r>
      <w:r>
        <w:rPr>
          <w:spacing w:val="3"/>
        </w:rPr>
        <w:t>措施</w:t>
      </w:r>
      <w:r>
        <w:rPr>
          <w:rFonts w:hint="eastAsia" w:ascii="MS UI Gothic" w:eastAsia="MS UI Gothic"/>
          <w:w w:val="80"/>
        </w:rPr>
        <w:t>ꎮ</w:t>
      </w:r>
    </w:p>
    <w:p>
      <w:pPr>
        <w:pStyle w:val="6"/>
        <w:spacing w:line="295" w:lineRule="auto"/>
        <w:ind w:right="39"/>
        <w:rPr>
          <w:rFonts w:hint="eastAsia" w:ascii="MS UI Gothic" w:eastAsia="MS UI Gothic"/>
        </w:rPr>
      </w:pPr>
      <w:r>
        <w:rPr>
          <w:spacing w:val="3"/>
        </w:rPr>
        <w:t>第二百七十六条 封闭火区时</w:t>
      </w:r>
      <w:r>
        <w:rPr>
          <w:rFonts w:hint="eastAsia" w:ascii="MS UI Gothic" w:eastAsia="MS UI Gothic"/>
          <w:spacing w:val="8"/>
          <w:w w:val="80"/>
        </w:rPr>
        <w:t xml:space="preserve">ꎬ </w:t>
      </w:r>
      <w:r>
        <w:rPr>
          <w:spacing w:val="1"/>
        </w:rPr>
        <w:t>应当</w:t>
      </w:r>
      <w:r>
        <w:rPr>
          <w:spacing w:val="3"/>
        </w:rPr>
        <w:t>合理确定封闭范围</w:t>
      </w:r>
      <w:r>
        <w:rPr>
          <w:rFonts w:hint="eastAsia" w:ascii="MS UI Gothic" w:eastAsia="MS UI Gothic"/>
          <w:spacing w:val="21"/>
          <w:w w:val="80"/>
        </w:rPr>
        <w:t xml:space="preserve">ꎬ </w:t>
      </w:r>
      <w:r>
        <w:rPr>
          <w:spacing w:val="2"/>
        </w:rPr>
        <w:t>必须指定专人检查甲</w:t>
      </w:r>
      <w:r>
        <w:rPr>
          <w:spacing w:val="3"/>
        </w:rPr>
        <w:t>烷</w:t>
      </w:r>
      <w:r>
        <w:rPr>
          <w:rFonts w:hint="eastAsia" w:ascii="MS UI Gothic" w:eastAsia="MS UI Gothic"/>
          <w:spacing w:val="16"/>
          <w:w w:val="80"/>
        </w:rPr>
        <w:t xml:space="preserve">、 </w:t>
      </w:r>
      <w:r>
        <w:rPr>
          <w:spacing w:val="3"/>
        </w:rPr>
        <w:t>氧气</w:t>
      </w:r>
      <w:r>
        <w:rPr>
          <w:rFonts w:hint="eastAsia" w:ascii="MS UI Gothic" w:eastAsia="MS UI Gothic"/>
          <w:spacing w:val="16"/>
          <w:w w:val="80"/>
        </w:rPr>
        <w:t xml:space="preserve">、 </w:t>
      </w:r>
      <w:r>
        <w:rPr>
          <w:spacing w:val="3"/>
        </w:rPr>
        <w:t>一氧化碳</w:t>
      </w:r>
      <w:r>
        <w:rPr>
          <w:rFonts w:hint="eastAsia" w:ascii="MS UI Gothic" w:eastAsia="MS UI Gothic"/>
          <w:spacing w:val="16"/>
          <w:w w:val="80"/>
        </w:rPr>
        <w:t xml:space="preserve">、 </w:t>
      </w:r>
      <w:r>
        <w:rPr>
          <w:spacing w:val="2"/>
        </w:rPr>
        <w:t>煤尘以及其他有害</w:t>
      </w:r>
      <w:r>
        <w:rPr>
          <w:spacing w:val="3"/>
        </w:rPr>
        <w:t>气体浓度和风向</w:t>
      </w:r>
      <w:r>
        <w:rPr>
          <w:rFonts w:hint="eastAsia" w:ascii="MS UI Gothic" w:eastAsia="MS UI Gothic"/>
          <w:spacing w:val="11"/>
          <w:w w:val="80"/>
        </w:rPr>
        <w:t xml:space="preserve">、 </w:t>
      </w:r>
      <w:r>
        <w:rPr>
          <w:spacing w:val="3"/>
        </w:rPr>
        <w:t>风量的变化</w:t>
      </w:r>
      <w:r>
        <w:rPr>
          <w:rFonts w:hint="eastAsia" w:ascii="MS UI Gothic" w:eastAsia="MS UI Gothic"/>
          <w:spacing w:val="11"/>
          <w:w w:val="80"/>
        </w:rPr>
        <w:t xml:space="preserve">ꎬ </w:t>
      </w:r>
      <w:r>
        <w:rPr>
          <w:spacing w:val="2"/>
        </w:rPr>
        <w:t>并采取防</w:t>
      </w:r>
      <w:r>
        <w:rPr>
          <w:spacing w:val="18"/>
        </w:rPr>
        <w:t>止瓦斯</w:t>
      </w:r>
      <w:r>
        <w:rPr>
          <w:rFonts w:hint="eastAsia" w:ascii="MS UI Gothic" w:eastAsia="MS UI Gothic"/>
          <w:spacing w:val="1"/>
          <w:w w:val="80"/>
        </w:rPr>
        <w:t xml:space="preserve">、 </w:t>
      </w:r>
      <w:r>
        <w:rPr>
          <w:spacing w:val="31"/>
        </w:rPr>
        <w:t>煤尘爆炸和人员中毒的安全</w:t>
      </w:r>
      <w:r>
        <w:rPr>
          <w:spacing w:val="3"/>
        </w:rPr>
        <w:t>措施</w:t>
      </w:r>
      <w:r>
        <w:rPr>
          <w:rFonts w:hint="eastAsia" w:ascii="MS UI Gothic" w:eastAsia="MS UI Gothic"/>
          <w:w w:val="80"/>
        </w:rPr>
        <w:t>ꎮ</w:t>
      </w:r>
    </w:p>
    <w:p>
      <w:pPr>
        <w:pStyle w:val="6"/>
        <w:tabs>
          <w:tab w:val="left" w:pos="1801"/>
        </w:tabs>
        <w:spacing w:before="133"/>
        <w:ind w:left="963" w:firstLine="0"/>
        <w:jc w:val="left"/>
      </w:pPr>
      <w:r>
        <w:rPr>
          <w:spacing w:val="3"/>
          <w:w w:val="105"/>
        </w:rPr>
        <w:t>第三</w:t>
      </w:r>
      <w:r>
        <w:rPr>
          <w:w w:val="105"/>
        </w:rPr>
        <w:t>节</w:t>
      </w:r>
      <w:r>
        <w:rPr>
          <w:w w:val="105"/>
        </w:rPr>
        <w:tab/>
      </w:r>
      <w:r>
        <w:rPr>
          <w:spacing w:val="3"/>
          <w:w w:val="105"/>
        </w:rPr>
        <w:t>井下火区管</w:t>
      </w:r>
      <w:r>
        <w:rPr>
          <w:w w:val="105"/>
        </w:rPr>
        <w:t>理</w:t>
      </w:r>
    </w:p>
    <w:p>
      <w:pPr>
        <w:pStyle w:val="6"/>
        <w:spacing w:before="11"/>
        <w:ind w:left="0" w:firstLine="0"/>
        <w:jc w:val="left"/>
        <w:rPr>
          <w:sz w:val="16"/>
        </w:rPr>
      </w:pPr>
    </w:p>
    <w:p>
      <w:pPr>
        <w:pStyle w:val="6"/>
        <w:spacing w:line="295" w:lineRule="auto"/>
        <w:ind w:right="39"/>
        <w:rPr>
          <w:rFonts w:hint="eastAsia" w:ascii="MS UI Gothic" w:eastAsia="MS UI Gothic"/>
        </w:rPr>
      </w:pPr>
      <w:r>
        <w:t>第二百七十七条 煤矿必须绘制火区位置关系图</w:t>
      </w:r>
      <w:r>
        <w:rPr>
          <w:rFonts w:hint="eastAsia" w:ascii="MS UI Gothic" w:eastAsia="MS UI Gothic"/>
          <w:w w:val="80"/>
        </w:rPr>
        <w:t xml:space="preserve">ꎬ </w:t>
      </w:r>
      <w:r>
        <w:t>注明所有火区和曾经发火的地点</w:t>
      </w:r>
      <w:r>
        <w:rPr>
          <w:rFonts w:hint="eastAsia" w:ascii="MS UI Gothic" w:eastAsia="MS UI Gothic"/>
          <w:w w:val="80"/>
        </w:rPr>
        <w:t xml:space="preserve">ꎮ </w:t>
      </w:r>
      <w:r>
        <w:t>每一处火区都要按形成的先后顺序进行编号</w:t>
      </w:r>
      <w:r>
        <w:rPr>
          <w:rFonts w:hint="eastAsia" w:ascii="MS UI Gothic" w:eastAsia="MS UI Gothic"/>
          <w:w w:val="80"/>
        </w:rPr>
        <w:t xml:space="preserve">ꎬ </w:t>
      </w:r>
      <w:r>
        <w:t>并建立火区管理卡片</w:t>
      </w:r>
      <w:r>
        <w:rPr>
          <w:rFonts w:hint="eastAsia" w:ascii="MS UI Gothic" w:eastAsia="MS UI Gothic"/>
          <w:w w:val="80"/>
        </w:rPr>
        <w:t xml:space="preserve">ꎮ </w:t>
      </w:r>
      <w:r>
        <w:t>火区位置关系图和火区管理卡片必须永久保存</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第二百七十八条 永久性密闭墙的管</w:t>
      </w:r>
      <w:r>
        <w:rPr>
          <w:w w:val="110"/>
        </w:rPr>
        <w:t>理应当遵守下列规定</w:t>
      </w:r>
      <w:r>
        <w:rPr>
          <w:rFonts w:hint="eastAsia" w:ascii="MS UI Gothic" w:eastAsia="MS UI Gothic"/>
          <w:w w:val="235"/>
        </w:rPr>
        <w:t>:</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每个密闭墙附近必须设置栅栏</w:t>
      </w:r>
      <w:r>
        <w:rPr>
          <w:rFonts w:hint="eastAsia" w:ascii="MS UI Gothic" w:eastAsia="MS UI Gothic"/>
          <w:w w:val="80"/>
        </w:rPr>
        <w:t xml:space="preserve">、 </w:t>
      </w:r>
      <w:r>
        <w:rPr>
          <w:w w:val="105"/>
        </w:rPr>
        <w:t>警标</w:t>
      </w:r>
      <w:r>
        <w:rPr>
          <w:rFonts w:hint="eastAsia" w:ascii="MS UI Gothic" w:eastAsia="MS UI Gothic"/>
          <w:w w:val="80"/>
        </w:rPr>
        <w:t xml:space="preserve">ꎬ </w:t>
      </w:r>
      <w:r>
        <w:rPr>
          <w:w w:val="105"/>
        </w:rPr>
        <w:t>禁止人员入内</w:t>
      </w:r>
      <w:r>
        <w:rPr>
          <w:rFonts w:hint="eastAsia" w:ascii="MS UI Gothic" w:eastAsia="MS UI Gothic"/>
          <w:w w:val="80"/>
        </w:rPr>
        <w:t xml:space="preserve">ꎬ </w:t>
      </w:r>
      <w:r>
        <w:rPr>
          <w:w w:val="105"/>
        </w:rPr>
        <w:t>并悬挂说明牌</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定期测定和分析密闭墙内的气</w:t>
      </w:r>
      <w:r>
        <w:rPr>
          <w:w w:val="110"/>
        </w:rPr>
        <w:t>体成分和空气温度</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定期检查密闭墙外的空气温度</w:t>
      </w:r>
      <w:r>
        <w:rPr>
          <w:rFonts w:hint="eastAsia" w:ascii="MS UI Gothic" w:eastAsia="MS UI Gothic"/>
          <w:w w:val="80"/>
        </w:rPr>
        <w:t xml:space="preserve">、 </w:t>
      </w:r>
      <w:r>
        <w:rPr>
          <w:w w:val="105"/>
        </w:rPr>
        <w:t>瓦斯浓度</w:t>
      </w:r>
      <w:r>
        <w:rPr>
          <w:rFonts w:hint="eastAsia" w:ascii="MS UI Gothic" w:eastAsia="MS UI Gothic"/>
          <w:w w:val="80"/>
        </w:rPr>
        <w:t xml:space="preserve">ꎬ </w:t>
      </w:r>
      <w:r>
        <w:rPr>
          <w:w w:val="105"/>
        </w:rPr>
        <w:t>密闭墙内外空气压差以及密闭墙墙体</w:t>
      </w:r>
      <w:r>
        <w:rPr>
          <w:rFonts w:hint="eastAsia" w:ascii="MS UI Gothic" w:eastAsia="MS UI Gothic"/>
          <w:w w:val="80"/>
        </w:rPr>
        <w:t xml:space="preserve">ꎮ </w:t>
      </w:r>
      <w:r>
        <w:rPr>
          <w:w w:val="105"/>
        </w:rPr>
        <w:t>发现封闭不严</w:t>
      </w:r>
      <w:r>
        <w:rPr>
          <w:rFonts w:hint="eastAsia" w:ascii="MS UI Gothic" w:eastAsia="MS UI Gothic"/>
          <w:w w:val="80"/>
        </w:rPr>
        <w:t xml:space="preserve">、 </w:t>
      </w:r>
      <w:r>
        <w:rPr>
          <w:w w:val="105"/>
        </w:rPr>
        <w:t>有其他缺陷</w:t>
      </w:r>
      <w:r>
        <w:t>或者火区有异常变化时</w:t>
      </w:r>
      <w:r>
        <w:rPr>
          <w:rFonts w:hint="eastAsia" w:ascii="MS UI Gothic" w:eastAsia="MS UI Gothic"/>
          <w:w w:val="80"/>
        </w:rPr>
        <w:t xml:space="preserve">ꎬ </w:t>
      </w:r>
      <w:r>
        <w:t>必须采取措施及</w:t>
      </w:r>
      <w:r>
        <w:rPr>
          <w:w w:val="105"/>
        </w:rPr>
        <w:t>时处理</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所有测定和检查结果</w:t>
      </w:r>
      <w:r>
        <w:rPr>
          <w:rFonts w:hint="eastAsia" w:ascii="MS UI Gothic" w:eastAsia="MS UI Gothic"/>
          <w:w w:val="80"/>
        </w:rPr>
        <w:t xml:space="preserve">ꎬ </w:t>
      </w:r>
      <w:r>
        <w:rPr>
          <w:w w:val="105"/>
        </w:rPr>
        <w:t>必须记入防火记录簿</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矿井做大幅度风量调整时</w:t>
      </w:r>
      <w:r>
        <w:rPr>
          <w:rFonts w:hint="eastAsia" w:ascii="MS UI Gothic" w:eastAsia="MS UI Gothic"/>
          <w:w w:val="80"/>
        </w:rPr>
        <w:t xml:space="preserve">ꎬ </w:t>
      </w:r>
      <w:r>
        <w:rPr>
          <w:w w:val="105"/>
        </w:rPr>
        <w:t>应</w:t>
      </w:r>
      <w:r>
        <w:t>当测定密闭墙内的气体成分和空气温度</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井下所有永久性密闭墙都应当编号</w:t>
      </w:r>
      <w:r>
        <w:rPr>
          <w:rFonts w:hint="eastAsia" w:ascii="MS UI Gothic" w:eastAsia="MS UI Gothic"/>
          <w:w w:val="80"/>
        </w:rPr>
        <w:t xml:space="preserve">ꎬ </w:t>
      </w:r>
      <w:r>
        <w:rPr>
          <w:w w:val="105"/>
        </w:rPr>
        <w:t>并在火区位置关系图中注明</w:t>
      </w:r>
      <w:r>
        <w:rPr>
          <w:rFonts w:hint="eastAsia" w:ascii="MS UI Gothic" w:eastAsia="MS UI Gothic"/>
          <w:w w:val="80"/>
        </w:rPr>
        <w:t>ꎮ</w:t>
      </w:r>
    </w:p>
    <w:p>
      <w:pPr>
        <w:pStyle w:val="6"/>
        <w:spacing w:line="295" w:lineRule="auto"/>
        <w:ind w:right="442"/>
        <w:jc w:val="left"/>
        <w:rPr>
          <w:rFonts w:hint="eastAsia" w:ascii="MS UI Gothic" w:eastAsia="MS UI Gothic"/>
        </w:rPr>
      </w:pPr>
      <w:r>
        <w:t>密闭墙的质量标准由煤矿企业统一制定</w:t>
      </w:r>
      <w:r>
        <w:rPr>
          <w:rFonts w:hint="eastAsia" w:ascii="MS UI Gothic" w:eastAsia="MS UI Gothic"/>
          <w:w w:val="80"/>
        </w:rPr>
        <w:t>ꎮ</w:t>
      </w:r>
    </w:p>
    <w:p>
      <w:pPr>
        <w:pStyle w:val="6"/>
        <w:spacing w:line="295" w:lineRule="auto"/>
        <w:ind w:right="442"/>
        <w:rPr>
          <w:rFonts w:hint="eastAsia" w:ascii="MS UI Gothic" w:eastAsia="MS UI Gothic"/>
        </w:rPr>
      </w:pPr>
      <w:r>
        <w:t>第二百七十九条 封闭的火区</w:t>
      </w:r>
      <w:r>
        <w:rPr>
          <w:rFonts w:hint="eastAsia" w:ascii="MS UI Gothic" w:eastAsia="MS UI Gothic"/>
          <w:w w:val="80"/>
        </w:rPr>
        <w:t xml:space="preserve">ꎬ </w:t>
      </w:r>
      <w:r>
        <w:t>只有经取样化验证实火已熄灭后</w:t>
      </w:r>
      <w:r>
        <w:rPr>
          <w:rFonts w:hint="eastAsia" w:ascii="MS UI Gothic" w:eastAsia="MS UI Gothic"/>
          <w:w w:val="80"/>
        </w:rPr>
        <w:t xml:space="preserve">ꎬ </w:t>
      </w:r>
      <w:r>
        <w:t>方可启封或者注销</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火区同时具备下列条件时</w:t>
      </w:r>
      <w:r>
        <w:rPr>
          <w:rFonts w:hint="eastAsia" w:ascii="MS UI Gothic" w:eastAsia="MS UI Gothic"/>
          <w:spacing w:val="15"/>
          <w:w w:val="80"/>
        </w:rPr>
        <w:t xml:space="preserve">ꎬ </w:t>
      </w:r>
      <w:r>
        <w:rPr>
          <w:spacing w:val="2"/>
        </w:rPr>
        <w:t>方可认为</w:t>
      </w:r>
      <w:r>
        <w:rPr>
          <w:spacing w:val="3"/>
          <w:w w:val="110"/>
        </w:rPr>
        <w:t>火已熄灭</w:t>
      </w:r>
      <w:r>
        <w:rPr>
          <w:rFonts w:hint="eastAsia" w:ascii="MS UI Gothic" w:eastAsia="MS UI Gothic"/>
          <w:w w:val="235"/>
        </w:rPr>
        <w:t>:</w:t>
      </w:r>
    </w:p>
    <w:p>
      <w:pPr>
        <w:pStyle w:val="6"/>
        <w:spacing w:line="295" w:lineRule="auto"/>
        <w:ind w:right="442"/>
        <w:rPr>
          <w:rFonts w:hint="eastAsia" w:ascii="MS UI Gothic" w:hAnsi="MS UI Gothic" w:eastAsia="MS UI Gothic"/>
        </w:rPr>
      </w:pPr>
      <w:r>
        <w:rPr>
          <w:rFonts w:hint="eastAsia" w:ascii="MS UI Gothic" w:hAnsi="MS UI Gothic" w:eastAsia="MS UI Gothic"/>
          <w:spacing w:val="-38"/>
          <w:w w:val="145"/>
        </w:rPr>
        <w:t xml:space="preserve">( </w:t>
      </w:r>
      <w:r>
        <w:rPr>
          <w:spacing w:val="3"/>
          <w:w w:val="105"/>
        </w:rPr>
        <w:t>一</w:t>
      </w:r>
      <w:r>
        <w:rPr>
          <w:rFonts w:hint="eastAsia" w:ascii="MS UI Gothic" w:hAnsi="MS UI Gothic" w:eastAsia="MS UI Gothic"/>
          <w:spacing w:val="-2"/>
          <w:w w:val="145"/>
        </w:rPr>
        <w:t xml:space="preserve">) </w:t>
      </w:r>
      <w:r>
        <w:rPr>
          <w:spacing w:val="2"/>
          <w:w w:val="105"/>
        </w:rPr>
        <w:t>火区内的空气温度下降到</w:t>
      </w:r>
      <w:r>
        <w:rPr>
          <w:rFonts w:hint="eastAsia" w:ascii="MS UI Gothic" w:hAnsi="MS UI Gothic" w:eastAsia="MS UI Gothic"/>
          <w:spacing w:val="-3"/>
          <w:w w:val="95"/>
        </w:rPr>
        <w:t xml:space="preserve">３０ ℃ </w:t>
      </w:r>
      <w:r>
        <w:rPr>
          <w:spacing w:val="3"/>
        </w:rPr>
        <w:t>以下</w:t>
      </w:r>
      <w:r>
        <w:rPr>
          <w:rFonts w:hint="eastAsia" w:ascii="MS UI Gothic" w:hAnsi="MS UI Gothic" w:eastAsia="MS UI Gothic"/>
          <w:spacing w:val="20"/>
          <w:w w:val="80"/>
        </w:rPr>
        <w:t xml:space="preserve">ꎬ </w:t>
      </w:r>
      <w:r>
        <w:rPr>
          <w:spacing w:val="2"/>
        </w:rPr>
        <w:t>或者与火灾发生前该区的日常空气</w:t>
      </w:r>
      <w:r>
        <w:rPr>
          <w:spacing w:val="3"/>
          <w:w w:val="105"/>
        </w:rPr>
        <w:t>温度相同</w:t>
      </w:r>
      <w:r>
        <w:rPr>
          <w:rFonts w:hint="eastAsia" w:ascii="MS UI Gothic" w:hAnsi="MS UI Gothic" w:eastAsia="MS UI Gothic"/>
          <w:w w:val="80"/>
        </w:rPr>
        <w:t>ꎮ</w:t>
      </w:r>
    </w:p>
    <w:p>
      <w:pPr>
        <w:pStyle w:val="6"/>
        <w:spacing w:line="254" w:lineRule="exact"/>
        <w:ind w:left="543" w:firstLine="0"/>
      </w:pPr>
      <w:r>
        <w:pict>
          <v:shape id="_x0000_s1868" o:spid="_x0000_s1868" o:spt="202" type="#_x0000_t202" style="position:absolute;left:0pt;margin-left:264.5pt;margin-top:11.85pt;height:24.35pt;width:15.45pt;mso-position-horizontal-relative:page;z-index:-275766272;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90"/>
                    </w:rPr>
                    <w:t>５</w:t>
                  </w:r>
                  <w:r>
                    <w:rPr>
                      <w:rFonts w:hint="eastAsia" w:ascii="MS UI Gothic" w:eastAsia="MS UI Gothic"/>
                      <w:spacing w:val="-36"/>
                      <w:w w:val="90"/>
                    </w:rPr>
                    <w:t xml:space="preserve"> </w:t>
                  </w:r>
                  <w:r>
                    <w:rPr>
                      <w:rFonts w:hint="eastAsia" w:ascii="MS UI Gothic" w:eastAsia="MS UI Gothic"/>
                      <w:spacing w:val="-19"/>
                      <w:w w:val="90"/>
                    </w:rPr>
                    <w:t>０</w:t>
                  </w:r>
                </w:p>
              </w:txbxContent>
            </v:textbox>
          </v:shape>
        </w:pict>
      </w:r>
      <w:r>
        <w:rPr>
          <w:rFonts w:hint="eastAsia" w:ascii="MS UI Gothic" w:eastAsia="MS UI Gothic"/>
          <w:w w:val="150"/>
        </w:rPr>
        <w:t xml:space="preserve">( </w:t>
      </w:r>
      <w:r>
        <w:rPr>
          <w:w w:val="115"/>
        </w:rPr>
        <w:t>二</w:t>
      </w:r>
      <w:r>
        <w:rPr>
          <w:rFonts w:hint="eastAsia" w:ascii="MS UI Gothic" w:eastAsia="MS UI Gothic"/>
          <w:w w:val="150"/>
        </w:rPr>
        <w:t xml:space="preserve">) </w:t>
      </w:r>
      <w:r>
        <w:rPr>
          <w:w w:val="115"/>
        </w:rPr>
        <w:t>火区内空气中的氧气浓度降到</w:t>
      </w:r>
    </w:p>
    <w:p>
      <w:pPr>
        <w:pStyle w:val="6"/>
        <w:spacing w:before="40"/>
        <w:ind w:left="433" w:firstLine="0"/>
        <w:rPr>
          <w:rFonts w:hint="eastAsia" w:ascii="MS UI Gothic" w:eastAsia="MS UI Gothic"/>
        </w:rPr>
      </w:pPr>
      <w:r>
        <w:rPr>
          <w:w w:val="80"/>
        </w:rPr>
        <w:t xml:space="preserve">％ </w:t>
      </w:r>
      <w:r>
        <w:t>以下</w:t>
      </w:r>
      <w:r>
        <w:rPr>
          <w:rFonts w:hint="eastAsia" w:ascii="MS UI Gothic" w:eastAsia="MS UI Gothic"/>
          <w:w w:val="80"/>
        </w:rPr>
        <w:t>ꎮ</w:t>
      </w:r>
    </w:p>
    <w:p>
      <w:pPr>
        <w:pStyle w:val="6"/>
        <w:spacing w:before="58" w:line="295" w:lineRule="auto"/>
        <w:ind w:right="442"/>
        <w:rPr>
          <w:rFonts w:hint="eastAsia" w:ascii="MS UI Gothic" w:eastAsia="MS UI Gothic"/>
        </w:rPr>
      </w:pPr>
      <w:r>
        <w:rPr>
          <w:rFonts w:hint="eastAsia" w:ascii="MS UI Gothic" w:eastAsia="MS UI Gothic"/>
          <w:w w:val="140"/>
        </w:rPr>
        <w:t xml:space="preserve">( </w:t>
      </w:r>
      <w:r>
        <w:rPr>
          <w:w w:val="95"/>
        </w:rPr>
        <w:t>三</w:t>
      </w:r>
      <w:r>
        <w:rPr>
          <w:rFonts w:hint="eastAsia" w:ascii="MS UI Gothic" w:eastAsia="MS UI Gothic"/>
          <w:w w:val="140"/>
        </w:rPr>
        <w:t xml:space="preserve">) </w:t>
      </w:r>
      <w:r>
        <w:rPr>
          <w:w w:val="95"/>
        </w:rPr>
        <w:t>火区内空气中不含有乙烯</w:t>
      </w:r>
      <w:r>
        <w:rPr>
          <w:rFonts w:hint="eastAsia" w:ascii="MS UI Gothic" w:eastAsia="MS UI Gothic"/>
          <w:w w:val="95"/>
        </w:rPr>
        <w:t xml:space="preserve">、  </w:t>
      </w:r>
      <w:r>
        <w:rPr>
          <w:w w:val="95"/>
        </w:rPr>
        <w:t>乙炔</w:t>
      </w:r>
      <w:r>
        <w:rPr>
          <w:rFonts w:hint="eastAsia" w:ascii="MS UI Gothic" w:eastAsia="MS UI Gothic"/>
          <w:w w:val="85"/>
        </w:rPr>
        <w:t xml:space="preserve">ꎬ   </w:t>
      </w:r>
      <w:r>
        <w:rPr>
          <w:w w:val="95"/>
        </w:rPr>
        <w:t>一氧化碳浓度在封闭期间内逐渐下降</w:t>
      </w:r>
      <w:r>
        <w:rPr>
          <w:rFonts w:hint="eastAsia" w:ascii="MS UI Gothic" w:eastAsia="MS UI Gothic"/>
          <w:w w:val="85"/>
        </w:rPr>
        <w:t xml:space="preserve">ꎬ </w:t>
      </w:r>
      <w:r>
        <w:rPr>
          <w:w w:val="95"/>
        </w:rPr>
        <w:t xml:space="preserve">并稳定在 </w:t>
      </w:r>
      <w:r>
        <w:rPr>
          <w:rFonts w:hint="eastAsia" w:ascii="MS UI Gothic" w:eastAsia="MS UI Gothic"/>
          <w:w w:val="95"/>
        </w:rPr>
        <w:t>０ ００１</w:t>
      </w:r>
      <w:r>
        <w:rPr>
          <w:w w:val="95"/>
        </w:rPr>
        <w:t>％ 以下</w:t>
      </w:r>
      <w:r>
        <w:rPr>
          <w:rFonts w:hint="eastAsia" w:ascii="MS UI Gothic" w:eastAsia="MS UI Gothic"/>
          <w:w w:val="85"/>
        </w:rPr>
        <w:t>ꎮ</w:t>
      </w:r>
    </w:p>
    <w:p>
      <w:pPr>
        <w:pStyle w:val="6"/>
        <w:spacing w:line="295" w:lineRule="auto"/>
        <w:ind w:right="440"/>
        <w:rPr>
          <w:rFonts w:hint="eastAsia" w:ascii="MS UI Gothic" w:hAnsi="MS UI Gothic" w:eastAsia="MS UI Gothic"/>
        </w:rPr>
      </w:pPr>
      <w:r>
        <w:rPr>
          <w:rFonts w:hint="eastAsia" w:ascii="MS UI Gothic" w:hAnsi="MS UI Gothic" w:eastAsia="MS UI Gothic"/>
          <w:spacing w:val="-38"/>
          <w:w w:val="145"/>
        </w:rPr>
        <w:t xml:space="preserve">( </w:t>
      </w:r>
      <w:r>
        <w:rPr>
          <w:spacing w:val="13"/>
          <w:w w:val="105"/>
        </w:rPr>
        <w:t>四</w:t>
      </w:r>
      <w:r>
        <w:rPr>
          <w:rFonts w:hint="eastAsia" w:ascii="MS UI Gothic" w:hAnsi="MS UI Gothic" w:eastAsia="MS UI Gothic"/>
          <w:spacing w:val="1"/>
          <w:w w:val="145"/>
        </w:rPr>
        <w:t xml:space="preserve">) </w:t>
      </w:r>
      <w:r>
        <w:rPr>
          <w:spacing w:val="14"/>
          <w:w w:val="105"/>
        </w:rPr>
        <w:t xml:space="preserve">火区的出水温度低于 </w:t>
      </w:r>
      <w:r>
        <w:rPr>
          <w:rFonts w:hint="eastAsia" w:ascii="MS UI Gothic" w:hAnsi="MS UI Gothic" w:eastAsia="MS UI Gothic"/>
          <w:spacing w:val="6"/>
          <w:w w:val="85"/>
        </w:rPr>
        <w:t xml:space="preserve">２５ </w:t>
      </w:r>
      <w:r>
        <w:rPr>
          <w:rFonts w:hint="eastAsia" w:ascii="MS UI Gothic" w:hAnsi="MS UI Gothic" w:eastAsia="MS UI Gothic"/>
          <w:spacing w:val="-23"/>
          <w:w w:val="105"/>
        </w:rPr>
        <w:t xml:space="preserve">℃ </w:t>
      </w:r>
      <w:r>
        <w:rPr>
          <w:rFonts w:hint="eastAsia" w:ascii="MS UI Gothic" w:hAnsi="MS UI Gothic" w:eastAsia="MS UI Gothic"/>
          <w:spacing w:val="-11"/>
          <w:w w:val="85"/>
        </w:rPr>
        <w:t>ꎬ</w:t>
      </w:r>
      <w:r>
        <w:rPr>
          <w:spacing w:val="11"/>
        </w:rPr>
        <w:t>或者与火灾发生前该区的日常出水温度</w:t>
      </w:r>
      <w:r>
        <w:rPr>
          <w:spacing w:val="3"/>
          <w:w w:val="105"/>
        </w:rPr>
        <w:t>相同</w:t>
      </w:r>
      <w:r>
        <w:rPr>
          <w:rFonts w:hint="eastAsia" w:ascii="MS UI Gothic" w:hAnsi="MS UI Gothic" w:eastAsia="MS UI Gothic"/>
          <w:w w:val="85"/>
        </w:rPr>
        <w:t>ꎮ</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五</w:t>
      </w:r>
      <w:r>
        <w:rPr>
          <w:rFonts w:hint="eastAsia" w:ascii="MS UI Gothic" w:eastAsia="MS UI Gothic"/>
          <w:spacing w:val="11"/>
          <w:w w:val="150"/>
        </w:rPr>
        <w:t xml:space="preserve">) </w:t>
      </w:r>
      <w:r>
        <w:rPr>
          <w:spacing w:val="-20"/>
          <w:w w:val="105"/>
        </w:rPr>
        <w:t xml:space="preserve">上述 </w:t>
      </w:r>
      <w:r>
        <w:rPr>
          <w:rFonts w:hint="eastAsia" w:ascii="MS UI Gothic" w:eastAsia="MS UI Gothic"/>
          <w:spacing w:val="2"/>
          <w:w w:val="80"/>
        </w:rPr>
        <w:t xml:space="preserve">４ </w:t>
      </w:r>
      <w:r>
        <w:rPr>
          <w:spacing w:val="-1"/>
          <w:w w:val="105"/>
        </w:rPr>
        <w:t xml:space="preserve">项指标持续稳定 </w:t>
      </w:r>
      <w:r>
        <w:rPr>
          <w:rFonts w:hint="eastAsia" w:ascii="MS UI Gothic" w:eastAsia="MS UI Gothic"/>
          <w:spacing w:val="6"/>
          <w:w w:val="80"/>
        </w:rPr>
        <w:t xml:space="preserve">１ </w:t>
      </w:r>
      <w:r>
        <w:rPr>
          <w:spacing w:val="5"/>
          <w:w w:val="105"/>
        </w:rPr>
        <w:t>个月</w:t>
      </w:r>
      <w:r>
        <w:rPr>
          <w:spacing w:val="3"/>
          <w:w w:val="105"/>
        </w:rPr>
        <w:t>以上</w:t>
      </w:r>
      <w:r>
        <w:rPr>
          <w:rFonts w:hint="eastAsia" w:ascii="MS UI Gothic" w:eastAsia="MS UI Gothic"/>
          <w:w w:val="80"/>
        </w:rPr>
        <w:t>ꎮ</w:t>
      </w:r>
    </w:p>
    <w:p>
      <w:pPr>
        <w:pStyle w:val="6"/>
        <w:spacing w:line="295" w:lineRule="auto"/>
        <w:ind w:right="442"/>
        <w:rPr>
          <w:rFonts w:hint="eastAsia" w:ascii="MS UI Gothic" w:eastAsia="MS UI Gothic"/>
        </w:rPr>
      </w:pPr>
      <w:r>
        <w:t>第二百八十条  启封已熄灭的火区前</w:t>
      </w:r>
      <w:r>
        <w:rPr>
          <w:rFonts w:hint="eastAsia" w:ascii="MS UI Gothic" w:eastAsia="MS UI Gothic"/>
          <w:w w:val="80"/>
        </w:rPr>
        <w:t xml:space="preserve">ꎬ </w:t>
      </w:r>
      <w:r>
        <w:t>必须制定安全措施</w:t>
      </w:r>
      <w:r>
        <w:rPr>
          <w:rFonts w:hint="eastAsia" w:ascii="MS UI Gothic" w:eastAsia="MS UI Gothic"/>
          <w:w w:val="80"/>
        </w:rPr>
        <w:t>ꎮ</w:t>
      </w:r>
    </w:p>
    <w:p>
      <w:pPr>
        <w:pStyle w:val="6"/>
        <w:spacing w:line="255" w:lineRule="exact"/>
        <w:ind w:left="543" w:firstLine="0"/>
      </w:pPr>
      <w:r>
        <w:t>启封火区时</w:t>
      </w:r>
      <w:r>
        <w:rPr>
          <w:rFonts w:hint="eastAsia" w:ascii="MS UI Gothic" w:eastAsia="MS UI Gothic"/>
          <w:w w:val="80"/>
        </w:rPr>
        <w:t xml:space="preserve">ꎬ </w:t>
      </w:r>
      <w:r>
        <w:t>应当逐段恢复通风</w:t>
      </w:r>
      <w:r>
        <w:rPr>
          <w:rFonts w:hint="eastAsia" w:ascii="MS UI Gothic" w:eastAsia="MS UI Gothic"/>
          <w:w w:val="80"/>
        </w:rPr>
        <w:t xml:space="preserve">ꎬ </w:t>
      </w:r>
      <w:r>
        <w:t>同</w:t>
      </w:r>
    </w:p>
    <w:p>
      <w:pPr>
        <w:spacing w:after="0" w:line="255"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２７９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69" o:spid="_x0000_s1869" o:spt="203" style="height:2.15pt;width:398.25pt;" coordsize="7965,43">
            <o:lock v:ext="edit"/>
            <v:line id="_x0000_s1870" o:spid="_x0000_s1870" o:spt="20" style="position:absolute;left:0;top:39;height:0;width:7965;" stroked="t" coordsize="21600,21600">
              <v:path arrowok="t"/>
              <v:fill focussize="0,0"/>
              <v:stroke weight="0.388031496062992pt" color="#231F20"/>
              <v:imagedata o:title=""/>
              <o:lock v:ext="edit"/>
            </v:line>
            <v:line id="_x0000_s1871" o:spid="_x0000_s187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时测定回风流中一氧化碳</w:t>
      </w:r>
      <w:r>
        <w:rPr>
          <w:rFonts w:hint="eastAsia" w:ascii="MS UI Gothic" w:eastAsia="MS UI Gothic"/>
          <w:w w:val="80"/>
        </w:rPr>
        <w:t xml:space="preserve">、 </w:t>
      </w:r>
      <w:r>
        <w:t>甲烷浓度和风流温度</w:t>
      </w:r>
      <w:r>
        <w:rPr>
          <w:rFonts w:hint="eastAsia" w:ascii="MS UI Gothic" w:eastAsia="MS UI Gothic"/>
          <w:w w:val="80"/>
        </w:rPr>
        <w:t xml:space="preserve">ꎮ </w:t>
      </w:r>
      <w:r>
        <w:t>发现复燃征兆时</w:t>
      </w:r>
      <w:r>
        <w:rPr>
          <w:rFonts w:hint="eastAsia" w:ascii="MS UI Gothic" w:eastAsia="MS UI Gothic"/>
          <w:w w:val="80"/>
        </w:rPr>
        <w:t xml:space="preserve">ꎬ </w:t>
      </w:r>
      <w:r>
        <w:t>必须立即停止向火区送风</w:t>
      </w:r>
      <w:r>
        <w:rPr>
          <w:rFonts w:hint="eastAsia" w:ascii="MS UI Gothic" w:eastAsia="MS UI Gothic"/>
          <w:w w:val="80"/>
        </w:rPr>
        <w:t xml:space="preserve">ꎬ </w:t>
      </w:r>
      <w:r>
        <w:t>并重新封闭火区</w:t>
      </w:r>
      <w:r>
        <w:rPr>
          <w:rFonts w:hint="eastAsia" w:ascii="MS UI Gothic" w:eastAsia="MS UI Gothic"/>
          <w:w w:val="80"/>
        </w:rPr>
        <w:t>ꎮ</w:t>
      </w:r>
    </w:p>
    <w:p>
      <w:pPr>
        <w:pStyle w:val="6"/>
        <w:spacing w:line="295" w:lineRule="auto"/>
        <w:ind w:left="440" w:right="1"/>
        <w:rPr>
          <w:rFonts w:hint="eastAsia" w:ascii="MS UI Gothic" w:eastAsia="MS UI Gothic"/>
        </w:rPr>
      </w:pPr>
      <w:r>
        <w:t>启封火区和恢复火区初期通风等工作</w:t>
      </w:r>
      <w:r>
        <w:rPr>
          <w:rFonts w:hint="eastAsia" w:ascii="MS UI Gothic" w:eastAsia="MS UI Gothic"/>
          <w:w w:val="80"/>
        </w:rPr>
        <w:t xml:space="preserve">ꎬ </w:t>
      </w:r>
      <w:r>
        <w:t>必须由矿山救护队负责进行</w:t>
      </w:r>
      <w:r>
        <w:rPr>
          <w:rFonts w:hint="eastAsia" w:ascii="MS UI Gothic" w:eastAsia="MS UI Gothic"/>
          <w:w w:val="80"/>
        </w:rPr>
        <w:t xml:space="preserve">ꎬ </w:t>
      </w:r>
      <w:r>
        <w:t>火区回风风流所经过巷道中的人员必须全部撤出</w:t>
      </w:r>
      <w:r>
        <w:rPr>
          <w:rFonts w:hint="eastAsia" w:ascii="MS UI Gothic" w:eastAsia="MS UI Gothic"/>
          <w:w w:val="80"/>
        </w:rPr>
        <w:t>ꎮ</w:t>
      </w:r>
    </w:p>
    <w:p>
      <w:pPr>
        <w:pStyle w:val="6"/>
        <w:spacing w:line="295" w:lineRule="auto"/>
        <w:ind w:left="440" w:right="1"/>
        <w:rPr>
          <w:rFonts w:hint="eastAsia" w:ascii="MS UI Gothic" w:eastAsia="MS UI Gothic"/>
        </w:rPr>
      </w:pPr>
      <w:r>
        <w:t xml:space="preserve">在启封火区工作完毕后的 </w:t>
      </w:r>
      <w:r>
        <w:rPr>
          <w:rFonts w:hint="eastAsia" w:ascii="MS UI Gothic" w:eastAsia="MS UI Gothic"/>
          <w:w w:val="80"/>
        </w:rPr>
        <w:t xml:space="preserve">３ </w:t>
      </w:r>
      <w:r>
        <w:t>天内</w:t>
      </w:r>
      <w:r>
        <w:rPr>
          <w:rFonts w:hint="eastAsia" w:ascii="MS UI Gothic" w:eastAsia="MS UI Gothic"/>
          <w:w w:val="80"/>
        </w:rPr>
        <w:t xml:space="preserve">ꎬ </w:t>
      </w:r>
      <w:r>
        <w:t>每班必须由矿山救护队检查通风工作</w:t>
      </w:r>
      <w:r>
        <w:rPr>
          <w:rFonts w:hint="eastAsia" w:ascii="MS UI Gothic" w:eastAsia="MS UI Gothic"/>
          <w:w w:val="80"/>
        </w:rPr>
        <w:t xml:space="preserve">ꎬ </w:t>
      </w:r>
      <w:r>
        <w:t>并测定水温</w:t>
      </w:r>
      <w:r>
        <w:rPr>
          <w:rFonts w:hint="eastAsia" w:ascii="MS UI Gothic" w:eastAsia="MS UI Gothic"/>
          <w:w w:val="80"/>
        </w:rPr>
        <w:t xml:space="preserve">、 </w:t>
      </w:r>
      <w:r>
        <w:t>空气温度和空气成分</w:t>
      </w:r>
      <w:r>
        <w:rPr>
          <w:rFonts w:hint="eastAsia" w:ascii="MS UI Gothic" w:eastAsia="MS UI Gothic"/>
          <w:w w:val="80"/>
        </w:rPr>
        <w:t xml:space="preserve">ꎮ </w:t>
      </w:r>
      <w:r>
        <w:t>只有在确认火区完全熄灭</w:t>
      </w:r>
      <w:r>
        <w:rPr>
          <w:rFonts w:hint="eastAsia" w:ascii="MS UI Gothic" w:eastAsia="MS UI Gothic"/>
          <w:w w:val="80"/>
        </w:rPr>
        <w:t xml:space="preserve">、 </w:t>
      </w:r>
      <w:r>
        <w:t>通风等情况良好后</w:t>
      </w:r>
      <w:r>
        <w:rPr>
          <w:rFonts w:hint="eastAsia" w:ascii="MS UI Gothic" w:eastAsia="MS UI Gothic"/>
          <w:w w:val="80"/>
        </w:rPr>
        <w:t xml:space="preserve">ꎬ </w:t>
      </w:r>
      <w:r>
        <w:t>方可进行生产工作</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第二百八十一条 不得在火区的同一煤层的周围进行采掘工作</w:t>
      </w:r>
      <w:r>
        <w:rPr>
          <w:rFonts w:hint="eastAsia" w:ascii="MS UI Gothic" w:eastAsia="MS UI Gothic"/>
          <w:w w:val="80"/>
        </w:rPr>
        <w:t>ꎮ</w:t>
      </w:r>
    </w:p>
    <w:p>
      <w:pPr>
        <w:pStyle w:val="6"/>
        <w:spacing w:line="295" w:lineRule="auto"/>
        <w:ind w:left="440"/>
        <w:rPr>
          <w:rFonts w:hint="eastAsia" w:ascii="MS UI Gothic" w:hAnsi="MS UI Gothic" w:eastAsia="MS UI Gothic"/>
        </w:rPr>
      </w:pPr>
      <w:r>
        <w:t>在同一煤层同一水平的火区两侧</w:t>
      </w:r>
      <w:r>
        <w:rPr>
          <w:rFonts w:hint="eastAsia" w:ascii="MS UI Gothic" w:hAnsi="MS UI Gothic" w:eastAsia="MS UI Gothic"/>
          <w:w w:val="80"/>
        </w:rPr>
        <w:t xml:space="preserve">、 </w:t>
      </w:r>
      <w:r>
        <w:t xml:space="preserve">煤层倾角小于 </w:t>
      </w:r>
      <w:r>
        <w:rPr>
          <w:rFonts w:hint="eastAsia" w:ascii="MS UI Gothic" w:hAnsi="MS UI Gothic" w:eastAsia="MS UI Gothic"/>
          <w:w w:val="80"/>
        </w:rPr>
        <w:t>３５°</w:t>
      </w:r>
      <w:r>
        <w:t>的火区下部区段</w:t>
      </w:r>
      <w:r>
        <w:rPr>
          <w:rFonts w:hint="eastAsia" w:ascii="MS UI Gothic" w:hAnsi="MS UI Gothic" w:eastAsia="MS UI Gothic"/>
          <w:w w:val="80"/>
        </w:rPr>
        <w:t xml:space="preserve">、 </w:t>
      </w:r>
      <w:r>
        <w:t>火区下方邻近煤层进行采掘时</w:t>
      </w:r>
      <w:r>
        <w:rPr>
          <w:rFonts w:hint="eastAsia" w:ascii="MS UI Gothic" w:hAnsi="MS UI Gothic" w:eastAsia="MS UI Gothic"/>
          <w:w w:val="80"/>
        </w:rPr>
        <w:t xml:space="preserve">ꎬ </w:t>
      </w:r>
      <w:r>
        <w:t>必须编制设计</w:t>
      </w:r>
      <w:r>
        <w:rPr>
          <w:rFonts w:hint="eastAsia" w:ascii="MS UI Gothic" w:hAnsi="MS UI Gothic" w:eastAsia="MS UI Gothic"/>
          <w:w w:val="80"/>
        </w:rPr>
        <w:t>ꎬ</w:t>
      </w:r>
      <w:r>
        <w:t>并遵守下列规定</w:t>
      </w:r>
      <w:r>
        <w:rPr>
          <w:rFonts w:hint="eastAsia" w:ascii="MS UI Gothic" w:hAnsi="MS UI Gothic" w:eastAsia="MS UI Gothic"/>
          <w:w w:val="225"/>
        </w:rPr>
        <w:t>:</w:t>
      </w:r>
    </w:p>
    <w:p>
      <w:pPr>
        <w:pStyle w:val="6"/>
        <w:spacing w:line="295" w:lineRule="auto"/>
        <w:ind w:left="440" w:right="1"/>
        <w:rPr>
          <w:rFonts w:hint="eastAsia" w:ascii="MS UI Gothic" w:eastAsia="MS UI Gothic"/>
        </w:rPr>
      </w:pPr>
      <w:r>
        <w:rPr>
          <w:rFonts w:hint="eastAsia" w:ascii="MS UI Gothic" w:eastAsia="MS UI Gothic"/>
          <w:spacing w:val="-39"/>
          <w:w w:val="150"/>
        </w:rPr>
        <w:t xml:space="preserve">( </w:t>
      </w:r>
      <w:r>
        <w:rPr>
          <w:spacing w:val="3"/>
          <w:w w:val="110"/>
        </w:rPr>
        <w:t>一</w:t>
      </w:r>
      <w:r>
        <w:rPr>
          <w:rFonts w:hint="eastAsia" w:ascii="MS UI Gothic" w:eastAsia="MS UI Gothic"/>
          <w:spacing w:val="-3"/>
          <w:w w:val="150"/>
        </w:rPr>
        <w:t xml:space="preserve">) </w:t>
      </w:r>
      <w:r>
        <w:rPr>
          <w:spacing w:val="-3"/>
          <w:w w:val="110"/>
        </w:rPr>
        <w:t xml:space="preserve">必须留有足够宽 </w:t>
      </w:r>
      <w:r>
        <w:rPr>
          <w:rFonts w:hint="eastAsia" w:ascii="MS UI Gothic" w:eastAsia="MS UI Gothic"/>
          <w:spacing w:val="-38"/>
          <w:w w:val="150"/>
        </w:rPr>
        <w:t xml:space="preserve">( </w:t>
      </w:r>
      <w:r>
        <w:rPr>
          <w:spacing w:val="7"/>
          <w:w w:val="110"/>
        </w:rPr>
        <w:t>厚</w:t>
      </w:r>
      <w:r>
        <w:rPr>
          <w:rFonts w:hint="eastAsia" w:ascii="MS UI Gothic" w:eastAsia="MS UI Gothic"/>
          <w:spacing w:val="-1"/>
          <w:w w:val="150"/>
        </w:rPr>
        <w:t xml:space="preserve">) </w:t>
      </w:r>
      <w:r>
        <w:rPr>
          <w:spacing w:val="7"/>
          <w:w w:val="110"/>
        </w:rPr>
        <w:t>度的隔</w:t>
      </w:r>
      <w:r>
        <w:rPr>
          <w:spacing w:val="-16"/>
          <w:w w:val="110"/>
        </w:rPr>
        <w:t xml:space="preserve">离火区煤 </w:t>
      </w:r>
      <w:r>
        <w:rPr>
          <w:rFonts w:hint="eastAsia" w:ascii="MS UI Gothic" w:eastAsia="MS UI Gothic"/>
          <w:spacing w:val="-36"/>
          <w:w w:val="130"/>
        </w:rPr>
        <w:t xml:space="preserve">( </w:t>
      </w:r>
      <w:r>
        <w:rPr>
          <w:spacing w:val="3"/>
          <w:w w:val="110"/>
        </w:rPr>
        <w:t>岩</w:t>
      </w:r>
      <w:r>
        <w:rPr>
          <w:rFonts w:hint="eastAsia" w:ascii="MS UI Gothic" w:eastAsia="MS UI Gothic"/>
          <w:spacing w:val="-19"/>
          <w:w w:val="130"/>
        </w:rPr>
        <w:t xml:space="preserve">) </w:t>
      </w:r>
      <w:r>
        <w:rPr>
          <w:spacing w:val="3"/>
          <w:w w:val="110"/>
        </w:rPr>
        <w:t>柱</w:t>
      </w:r>
      <w:r>
        <w:rPr>
          <w:rFonts w:hint="eastAsia" w:ascii="MS UI Gothic" w:eastAsia="MS UI Gothic"/>
          <w:spacing w:val="-7"/>
          <w:w w:val="80"/>
        </w:rPr>
        <w:t xml:space="preserve">ꎬ </w:t>
      </w:r>
      <w:r>
        <w:rPr>
          <w:spacing w:val="2"/>
          <w:w w:val="110"/>
        </w:rPr>
        <w:t>回采时及回采后能有</w:t>
      </w:r>
      <w:r>
        <w:rPr>
          <w:spacing w:val="3"/>
          <w:w w:val="105"/>
        </w:rPr>
        <w:t>效隔离火区</w:t>
      </w:r>
      <w:r>
        <w:rPr>
          <w:rFonts w:hint="eastAsia" w:ascii="MS UI Gothic" w:eastAsia="MS UI Gothic"/>
          <w:spacing w:val="6"/>
          <w:w w:val="80"/>
        </w:rPr>
        <w:t xml:space="preserve">ꎬ </w:t>
      </w:r>
      <w:r>
        <w:rPr>
          <w:spacing w:val="3"/>
          <w:w w:val="105"/>
        </w:rPr>
        <w:t>不影响火区的灭火工作</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掘进巷道时</w:t>
      </w:r>
      <w:r>
        <w:rPr>
          <w:rFonts w:hint="eastAsia" w:ascii="MS UI Gothic" w:eastAsia="MS UI Gothic"/>
          <w:w w:val="80"/>
        </w:rPr>
        <w:t xml:space="preserve">ꎬ </w:t>
      </w:r>
      <w:r>
        <w:rPr>
          <w:w w:val="105"/>
        </w:rPr>
        <w:t>必须有防止误冒</w:t>
      </w:r>
      <w:r>
        <w:rPr>
          <w:rFonts w:hint="eastAsia" w:ascii="MS UI Gothic" w:eastAsia="MS UI Gothic"/>
          <w:w w:val="80"/>
        </w:rPr>
        <w:t xml:space="preserve">、 </w:t>
      </w:r>
      <w:r>
        <w:rPr>
          <w:w w:val="105"/>
        </w:rPr>
        <w:t>误透火区的安全措施</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rPr>
          <w:spacing w:val="-10"/>
        </w:rPr>
        <w:t xml:space="preserve">煤层倾角在 </w:t>
      </w:r>
      <w:r>
        <w:rPr>
          <w:rFonts w:hint="eastAsia" w:ascii="MS UI Gothic" w:hAnsi="MS UI Gothic" w:eastAsia="MS UI Gothic"/>
          <w:spacing w:val="-10"/>
          <w:w w:val="85"/>
        </w:rPr>
        <w:t xml:space="preserve">３５° </w:t>
      </w:r>
      <w:r>
        <w:rPr>
          <w:spacing w:val="8"/>
        </w:rPr>
        <w:t>及以上的火区下部区</w:t>
      </w:r>
      <w:r>
        <w:rPr>
          <w:spacing w:val="3"/>
        </w:rPr>
        <w:t>段严禁进行采掘工作</w:t>
      </w:r>
      <w:r>
        <w:rPr>
          <w:rFonts w:hint="eastAsia" w:ascii="MS UI Gothic" w:hAnsi="MS UI Gothic" w:eastAsia="MS UI Gothic"/>
          <w:w w:val="85"/>
        </w:rPr>
        <w:t>ꎮ</w:t>
      </w:r>
    </w:p>
    <w:p>
      <w:pPr>
        <w:pStyle w:val="6"/>
        <w:tabs>
          <w:tab w:val="left" w:pos="2117"/>
          <w:tab w:val="left" w:pos="2641"/>
          <w:tab w:val="left" w:pos="3165"/>
        </w:tabs>
        <w:spacing w:before="137"/>
        <w:ind w:left="1279" w:firstLine="0"/>
        <w:jc w:val="left"/>
      </w:pPr>
      <w:r>
        <w:rPr>
          <w:spacing w:val="3"/>
          <w:w w:val="105"/>
        </w:rPr>
        <w:t>第七</w:t>
      </w:r>
      <w:r>
        <w:rPr>
          <w:w w:val="105"/>
        </w:rPr>
        <w:t>章</w:t>
      </w:r>
      <w:r>
        <w:rPr>
          <w:w w:val="105"/>
        </w:rPr>
        <w:tab/>
      </w:r>
      <w:r>
        <w:rPr>
          <w:w w:val="105"/>
        </w:rPr>
        <w:t>防</w:t>
      </w:r>
      <w:r>
        <w:rPr>
          <w:w w:val="105"/>
        </w:rPr>
        <w:tab/>
      </w:r>
      <w:r>
        <w:rPr>
          <w:w w:val="105"/>
        </w:rPr>
        <w:t>治</w:t>
      </w:r>
      <w:r>
        <w:rPr>
          <w:w w:val="105"/>
        </w:rPr>
        <w:tab/>
      </w:r>
      <w:r>
        <w:rPr>
          <w:w w:val="105"/>
        </w:rPr>
        <w:t>水</w:t>
      </w:r>
    </w:p>
    <w:p>
      <w:pPr>
        <w:pStyle w:val="6"/>
        <w:spacing w:before="1"/>
        <w:ind w:left="0" w:firstLine="0"/>
        <w:jc w:val="left"/>
        <w:rPr>
          <w:sz w:val="29"/>
        </w:rPr>
      </w:pPr>
    </w:p>
    <w:p>
      <w:pPr>
        <w:pStyle w:val="6"/>
        <w:tabs>
          <w:tab w:val="left" w:pos="2222"/>
        </w:tabs>
        <w:ind w:left="1384" w:firstLine="0"/>
        <w:jc w:val="left"/>
      </w:pPr>
      <w:r>
        <w:rPr>
          <w:spacing w:val="3"/>
          <w:w w:val="105"/>
        </w:rPr>
        <w:t>第一</w:t>
      </w:r>
      <w:r>
        <w:rPr>
          <w:w w:val="105"/>
        </w:rPr>
        <w:t>节</w:t>
      </w:r>
      <w:r>
        <w:rPr>
          <w:w w:val="105"/>
        </w:rPr>
        <w:tab/>
      </w:r>
      <w:r>
        <w:rPr>
          <w:w w:val="105"/>
        </w:rPr>
        <w:t>一</w:t>
      </w:r>
      <w:r>
        <w:rPr>
          <w:spacing w:val="-34"/>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before="1" w:line="295" w:lineRule="auto"/>
        <w:ind w:left="440"/>
        <w:rPr>
          <w:rFonts w:hint="eastAsia" w:ascii="MS UI Gothic" w:hAnsi="MS UI Gothic" w:eastAsia="MS UI Gothic"/>
        </w:rPr>
      </w:pPr>
      <w:r>
        <w:rPr>
          <w:spacing w:val="4"/>
        </w:rPr>
        <w:t>第二百八十二条 煤矿防治水工作应</w:t>
      </w:r>
      <w:r>
        <w:rPr>
          <w:spacing w:val="10"/>
        </w:rPr>
        <w:t xml:space="preserve">当坚持 </w:t>
      </w:r>
      <w:r>
        <w:rPr>
          <w:rFonts w:hint="eastAsia" w:ascii="MS UI Gothic" w:hAnsi="MS UI Gothic" w:eastAsia="MS UI Gothic"/>
          <w:spacing w:val="-11"/>
        </w:rPr>
        <w:t xml:space="preserve">“ </w:t>
      </w:r>
      <w:r>
        <w:rPr>
          <w:spacing w:val="16"/>
        </w:rPr>
        <w:t>预测预报</w:t>
      </w:r>
      <w:r>
        <w:rPr>
          <w:rFonts w:hint="eastAsia" w:ascii="MS UI Gothic" w:hAnsi="MS UI Gothic" w:eastAsia="MS UI Gothic"/>
          <w:spacing w:val="22"/>
          <w:w w:val="80"/>
        </w:rPr>
        <w:t xml:space="preserve">、 </w:t>
      </w:r>
      <w:r>
        <w:rPr>
          <w:spacing w:val="16"/>
        </w:rPr>
        <w:t>有疑必探</w:t>
      </w:r>
      <w:r>
        <w:rPr>
          <w:rFonts w:hint="eastAsia" w:ascii="MS UI Gothic" w:hAnsi="MS UI Gothic" w:eastAsia="MS UI Gothic"/>
          <w:spacing w:val="23"/>
          <w:w w:val="80"/>
        </w:rPr>
        <w:t xml:space="preserve">、 </w:t>
      </w:r>
      <w:r>
        <w:rPr>
          <w:spacing w:val="11"/>
        </w:rPr>
        <w:t>先探后</w:t>
      </w:r>
      <w:r>
        <w:rPr>
          <w:spacing w:val="3"/>
        </w:rPr>
        <w:t>掘</w:t>
      </w:r>
      <w:r>
        <w:rPr>
          <w:rFonts w:hint="eastAsia" w:ascii="MS UI Gothic" w:hAnsi="MS UI Gothic" w:eastAsia="MS UI Gothic"/>
          <w:spacing w:val="5"/>
          <w:w w:val="80"/>
        </w:rPr>
        <w:t xml:space="preserve">、 </w:t>
      </w:r>
      <w:r>
        <w:rPr>
          <w:spacing w:val="27"/>
        </w:rPr>
        <w:t>先治后采</w:t>
      </w:r>
      <w:r>
        <w:rPr>
          <w:rFonts w:hint="eastAsia" w:ascii="MS UI Gothic" w:hAnsi="MS UI Gothic" w:eastAsia="MS UI Gothic"/>
          <w:spacing w:val="12"/>
        </w:rPr>
        <w:t xml:space="preserve">” </w:t>
      </w:r>
      <w:r>
        <w:rPr>
          <w:spacing w:val="24"/>
        </w:rPr>
        <w:t>基本原则</w:t>
      </w:r>
      <w:r>
        <w:rPr>
          <w:rFonts w:hint="eastAsia" w:ascii="MS UI Gothic" w:hAnsi="MS UI Gothic" w:eastAsia="MS UI Gothic"/>
          <w:spacing w:val="15"/>
          <w:w w:val="80"/>
        </w:rPr>
        <w:t xml:space="preserve">ꎬ </w:t>
      </w:r>
      <w:r>
        <w:rPr>
          <w:spacing w:val="16"/>
        </w:rPr>
        <w:t xml:space="preserve">采取 </w:t>
      </w:r>
      <w:r>
        <w:rPr>
          <w:rFonts w:hint="eastAsia" w:ascii="MS UI Gothic" w:hAnsi="MS UI Gothic" w:eastAsia="MS UI Gothic"/>
          <w:spacing w:val="-11"/>
        </w:rPr>
        <w:t xml:space="preserve">“ </w:t>
      </w:r>
      <w:r>
        <w:rPr>
          <w:spacing w:val="3"/>
        </w:rPr>
        <w:t>防</w:t>
      </w:r>
      <w:r>
        <w:rPr>
          <w:rFonts w:hint="eastAsia" w:ascii="MS UI Gothic" w:hAnsi="MS UI Gothic" w:eastAsia="MS UI Gothic"/>
          <w:w w:val="80"/>
        </w:rPr>
        <w:t>、</w:t>
      </w:r>
      <w:r>
        <w:rPr>
          <w:spacing w:val="3"/>
        </w:rPr>
        <w:t>堵</w:t>
      </w:r>
      <w:r>
        <w:rPr>
          <w:rFonts w:hint="eastAsia" w:ascii="MS UI Gothic" w:hAnsi="MS UI Gothic" w:eastAsia="MS UI Gothic"/>
          <w:spacing w:val="3"/>
          <w:w w:val="80"/>
        </w:rPr>
        <w:t xml:space="preserve">、 </w:t>
      </w:r>
      <w:r>
        <w:rPr>
          <w:spacing w:val="3"/>
        </w:rPr>
        <w:t>疏</w:t>
      </w:r>
      <w:r>
        <w:rPr>
          <w:rFonts w:hint="eastAsia" w:ascii="MS UI Gothic" w:hAnsi="MS UI Gothic" w:eastAsia="MS UI Gothic"/>
          <w:spacing w:val="4"/>
          <w:w w:val="80"/>
        </w:rPr>
        <w:t xml:space="preserve">、 </w:t>
      </w:r>
      <w:r>
        <w:rPr>
          <w:spacing w:val="3"/>
        </w:rPr>
        <w:t>排</w:t>
      </w:r>
      <w:r>
        <w:rPr>
          <w:rFonts w:hint="eastAsia" w:ascii="MS UI Gothic" w:hAnsi="MS UI Gothic" w:eastAsia="MS UI Gothic"/>
          <w:spacing w:val="4"/>
          <w:w w:val="80"/>
        </w:rPr>
        <w:t xml:space="preserve">、 </w:t>
      </w:r>
      <w:r>
        <w:rPr>
          <w:spacing w:val="3"/>
        </w:rPr>
        <w:t>截</w:t>
      </w:r>
      <w:r>
        <w:rPr>
          <w:rFonts w:hint="eastAsia" w:ascii="MS UI Gothic" w:hAnsi="MS UI Gothic" w:eastAsia="MS UI Gothic"/>
          <w:spacing w:val="1"/>
        </w:rPr>
        <w:t xml:space="preserve">” </w:t>
      </w:r>
      <w:r>
        <w:rPr>
          <w:spacing w:val="3"/>
        </w:rPr>
        <w:t>综合防治措施</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rPr>
          <w:spacing w:val="4"/>
        </w:rPr>
        <w:t>第二百八十三条 煤矿企业应当建立</w:t>
      </w:r>
      <w:r>
        <w:rPr>
          <w:spacing w:val="3"/>
        </w:rPr>
        <w:t>健全各项防治水制度</w:t>
      </w:r>
      <w:r>
        <w:rPr>
          <w:rFonts w:hint="eastAsia" w:ascii="MS UI Gothic" w:eastAsia="MS UI Gothic"/>
          <w:spacing w:val="5"/>
          <w:w w:val="80"/>
        </w:rPr>
        <w:t xml:space="preserve">ꎬ </w:t>
      </w:r>
      <w:r>
        <w:rPr>
          <w:spacing w:val="6"/>
        </w:rPr>
        <w:t>配备满足工作需要</w:t>
      </w:r>
      <w:r>
        <w:rPr>
          <w:spacing w:val="3"/>
        </w:rPr>
        <w:t>的防治水专业技术人员</w:t>
      </w:r>
      <w:r>
        <w:rPr>
          <w:rFonts w:hint="eastAsia" w:ascii="MS UI Gothic" w:eastAsia="MS UI Gothic"/>
          <w:spacing w:val="21"/>
          <w:w w:val="80"/>
        </w:rPr>
        <w:t xml:space="preserve">ꎬ </w:t>
      </w:r>
      <w:r>
        <w:rPr>
          <w:spacing w:val="2"/>
        </w:rPr>
        <w:t>配齐专用探放水</w:t>
      </w:r>
      <w:r>
        <w:rPr>
          <w:spacing w:val="3"/>
        </w:rPr>
        <w:t>设备</w:t>
      </w:r>
      <w:r>
        <w:rPr>
          <w:rFonts w:hint="eastAsia" w:ascii="MS UI Gothic" w:eastAsia="MS UI Gothic"/>
          <w:spacing w:val="23"/>
          <w:w w:val="80"/>
        </w:rPr>
        <w:t xml:space="preserve">ꎬ </w:t>
      </w:r>
      <w:r>
        <w:rPr>
          <w:spacing w:val="3"/>
        </w:rPr>
        <w:t>建立专门的探放水作业队伍</w:t>
      </w:r>
      <w:r>
        <w:rPr>
          <w:rFonts w:hint="eastAsia" w:ascii="MS UI Gothic" w:eastAsia="MS UI Gothic"/>
          <w:spacing w:val="23"/>
          <w:w w:val="80"/>
        </w:rPr>
        <w:t xml:space="preserve">ꎬ </w:t>
      </w:r>
      <w:r>
        <w:rPr>
          <w:spacing w:val="1"/>
        </w:rPr>
        <w:t>储备</w:t>
      </w:r>
      <w:r>
        <w:rPr>
          <w:spacing w:val="3"/>
        </w:rPr>
        <w:t>必要的水害抢险救灾设备和物资</w:t>
      </w:r>
      <w:r>
        <w:rPr>
          <w:rFonts w:hint="eastAsia" w:ascii="MS UI Gothic" w:eastAsia="MS UI Gothic"/>
          <w:w w:val="80"/>
        </w:rPr>
        <w:t>ꎮ</w:t>
      </w:r>
    </w:p>
    <w:p>
      <w:pPr>
        <w:pStyle w:val="6"/>
        <w:spacing w:line="252" w:lineRule="exact"/>
        <w:ind w:left="860" w:firstLine="0"/>
        <w:rPr>
          <w:rFonts w:hint="eastAsia" w:ascii="MS UI Gothic" w:eastAsia="MS UI Gothic"/>
        </w:rPr>
      </w:pPr>
      <w:r>
        <w:t>水文地质条件复杂</w:t>
      </w:r>
      <w:r>
        <w:rPr>
          <w:rFonts w:hint="eastAsia" w:ascii="MS UI Gothic" w:eastAsia="MS UI Gothic"/>
          <w:w w:val="80"/>
        </w:rPr>
        <w:t xml:space="preserve">、 </w:t>
      </w:r>
      <w:r>
        <w:t>极复杂的煤矿</w:t>
      </w:r>
      <w:r>
        <w:rPr>
          <w:rFonts w:hint="eastAsia" w:ascii="MS UI Gothic" w:eastAsia="MS UI Gothic"/>
          <w:w w:val="80"/>
        </w:rPr>
        <w:t>ꎬ</w:t>
      </w:r>
    </w:p>
    <w:p>
      <w:pPr>
        <w:pStyle w:val="6"/>
        <w:spacing w:before="124"/>
        <w:ind w:left="381" w:firstLine="0"/>
        <w:jc w:val="left"/>
        <w:rPr>
          <w:rFonts w:hint="eastAsia" w:ascii="MS UI Gothic" w:eastAsia="MS UI Gothic"/>
        </w:rPr>
      </w:pPr>
      <w:r>
        <w:br w:type="column"/>
      </w:r>
      <w:r>
        <w:t>应当设立专门的防治水机构</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spacing w:val="2"/>
          <w:w w:val="105"/>
        </w:rPr>
        <w:t>第二百八十四条 煤矿应当编制本单</w:t>
      </w:r>
      <w:r>
        <w:rPr>
          <w:spacing w:val="-7"/>
          <w:w w:val="115"/>
        </w:rPr>
        <w:t xml:space="preserve">位防治水中长期规划 </w:t>
      </w:r>
      <w:r>
        <w:rPr>
          <w:rFonts w:hint="eastAsia" w:ascii="MS UI Gothic" w:eastAsia="MS UI Gothic"/>
          <w:spacing w:val="-39"/>
          <w:w w:val="140"/>
        </w:rPr>
        <w:t xml:space="preserve">( </w:t>
      </w:r>
      <w:r>
        <w:rPr>
          <w:rFonts w:hint="eastAsia" w:ascii="MS UI Gothic" w:eastAsia="MS UI Gothic"/>
          <w:spacing w:val="-19"/>
          <w:w w:val="80"/>
        </w:rPr>
        <w:t xml:space="preserve">５ </w:t>
      </w:r>
      <w:r>
        <w:rPr>
          <w:rFonts w:hint="eastAsia" w:ascii="MS UI Gothic" w:eastAsia="MS UI Gothic"/>
          <w:w w:val="115"/>
        </w:rPr>
        <w:t>~</w:t>
      </w:r>
      <w:r>
        <w:rPr>
          <w:rFonts w:hint="eastAsia" w:ascii="MS UI Gothic" w:eastAsia="MS UI Gothic"/>
          <w:spacing w:val="-59"/>
          <w:w w:val="115"/>
        </w:rPr>
        <w:t xml:space="preserve"> </w:t>
      </w:r>
      <w:r>
        <w:rPr>
          <w:rFonts w:hint="eastAsia" w:ascii="MS UI Gothic" w:eastAsia="MS UI Gothic"/>
          <w:spacing w:val="-9"/>
          <w:w w:val="80"/>
        </w:rPr>
        <w:t xml:space="preserve">１０ </w:t>
      </w:r>
      <w:r>
        <w:rPr>
          <w:spacing w:val="9"/>
          <w:w w:val="115"/>
        </w:rPr>
        <w:t>年</w:t>
      </w:r>
      <w:r>
        <w:rPr>
          <w:rFonts w:hint="eastAsia" w:ascii="MS UI Gothic" w:eastAsia="MS UI Gothic"/>
          <w:spacing w:val="-21"/>
          <w:w w:val="140"/>
        </w:rPr>
        <w:t xml:space="preserve">) </w:t>
      </w:r>
      <w:r>
        <w:rPr>
          <w:spacing w:val="6"/>
          <w:w w:val="115"/>
        </w:rPr>
        <w:t>和年度</w:t>
      </w:r>
      <w:r>
        <w:rPr>
          <w:spacing w:val="3"/>
          <w:w w:val="115"/>
        </w:rPr>
        <w:t>计划</w:t>
      </w:r>
      <w:r>
        <w:rPr>
          <w:rFonts w:hint="eastAsia" w:ascii="MS UI Gothic" w:eastAsia="MS UI Gothic"/>
          <w:spacing w:val="21"/>
          <w:w w:val="80"/>
        </w:rPr>
        <w:t xml:space="preserve">ꎬ </w:t>
      </w:r>
      <w:r>
        <w:rPr>
          <w:spacing w:val="3"/>
          <w:w w:val="115"/>
        </w:rPr>
        <w:t>并组织实施</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7"/>
          <w:w w:val="105"/>
        </w:rPr>
        <w:t xml:space="preserve">矿井水文地质类型应当每 </w:t>
      </w:r>
      <w:r>
        <w:rPr>
          <w:rFonts w:hint="eastAsia" w:ascii="MS UI Gothic" w:eastAsia="MS UI Gothic"/>
          <w:spacing w:val="-11"/>
          <w:w w:val="80"/>
        </w:rPr>
        <w:t xml:space="preserve">３ </w:t>
      </w:r>
      <w:r>
        <w:rPr>
          <w:spacing w:val="3"/>
          <w:w w:val="105"/>
        </w:rPr>
        <w:t>年修订一次</w:t>
      </w:r>
      <w:r>
        <w:rPr>
          <w:rFonts w:hint="eastAsia" w:ascii="MS UI Gothic" w:eastAsia="MS UI Gothic"/>
          <w:spacing w:val="8"/>
          <w:w w:val="80"/>
        </w:rPr>
        <w:t xml:space="preserve">ꎮ </w:t>
      </w:r>
      <w:r>
        <w:rPr>
          <w:spacing w:val="-1"/>
          <w:w w:val="105"/>
        </w:rPr>
        <w:t xml:space="preserve">发生重大及以上突 </w:t>
      </w:r>
      <w:r>
        <w:rPr>
          <w:rFonts w:hint="eastAsia" w:ascii="MS UI Gothic" w:eastAsia="MS UI Gothic"/>
          <w:spacing w:val="-38"/>
          <w:w w:val="150"/>
        </w:rPr>
        <w:t xml:space="preserve">( </w:t>
      </w:r>
      <w:r>
        <w:rPr>
          <w:spacing w:val="7"/>
          <w:w w:val="105"/>
        </w:rPr>
        <w:t>透</w:t>
      </w:r>
      <w:r>
        <w:rPr>
          <w:rFonts w:hint="eastAsia" w:ascii="MS UI Gothic" w:eastAsia="MS UI Gothic"/>
          <w:spacing w:val="-5"/>
          <w:w w:val="150"/>
        </w:rPr>
        <w:t xml:space="preserve">) </w:t>
      </w:r>
      <w:r>
        <w:rPr>
          <w:spacing w:val="9"/>
          <w:w w:val="105"/>
        </w:rPr>
        <w:t>水事故后</w:t>
      </w:r>
      <w:r>
        <w:rPr>
          <w:rFonts w:hint="eastAsia" w:ascii="MS UI Gothic" w:eastAsia="MS UI Gothic"/>
          <w:w w:val="80"/>
        </w:rPr>
        <w:t>ꎬ</w:t>
      </w:r>
      <w:r>
        <w:rPr>
          <w:spacing w:val="2"/>
        </w:rPr>
        <w:t>矿井应当在恢复生产前重新确定矿井水文</w:t>
      </w:r>
      <w:r>
        <w:rPr>
          <w:spacing w:val="3"/>
          <w:w w:val="105"/>
        </w:rPr>
        <w:t>地质类型</w:t>
      </w:r>
      <w:r>
        <w:rPr>
          <w:rFonts w:hint="eastAsia" w:ascii="MS UI Gothic" w:eastAsia="MS UI Gothic"/>
          <w:w w:val="80"/>
        </w:rPr>
        <w:t>ꎮ</w:t>
      </w:r>
    </w:p>
    <w:p>
      <w:pPr>
        <w:pStyle w:val="6"/>
        <w:spacing w:line="295" w:lineRule="auto"/>
        <w:ind w:left="381" w:right="126"/>
        <w:rPr>
          <w:rFonts w:hint="eastAsia" w:ascii="MS UI Gothic" w:eastAsia="MS UI Gothic"/>
        </w:rPr>
      </w:pPr>
      <w:r>
        <w:t>水文地质条件复杂</w:t>
      </w:r>
      <w:r>
        <w:rPr>
          <w:rFonts w:hint="eastAsia" w:ascii="MS UI Gothic" w:eastAsia="MS UI Gothic"/>
          <w:w w:val="80"/>
        </w:rPr>
        <w:t xml:space="preserve">、 </w:t>
      </w:r>
      <w:r>
        <w:t xml:space="preserve">极复杂矿井应当每月至少开展 </w:t>
      </w:r>
      <w:r>
        <w:rPr>
          <w:rFonts w:hint="eastAsia" w:ascii="MS UI Gothic" w:eastAsia="MS UI Gothic"/>
          <w:w w:val="80"/>
        </w:rPr>
        <w:t xml:space="preserve">１ </w:t>
      </w:r>
      <w:r>
        <w:t>次水害隐患排查</w:t>
      </w:r>
      <w:r>
        <w:rPr>
          <w:rFonts w:hint="eastAsia" w:ascii="MS UI Gothic" w:eastAsia="MS UI Gothic"/>
          <w:w w:val="80"/>
        </w:rPr>
        <w:t xml:space="preserve">ꎬ </w:t>
      </w:r>
      <w:r>
        <w:t xml:space="preserve">其他矿井应当每季度至少开展 </w:t>
      </w:r>
      <w:r>
        <w:rPr>
          <w:rFonts w:hint="eastAsia" w:ascii="MS UI Gothic" w:eastAsia="MS UI Gothic"/>
          <w:w w:val="80"/>
        </w:rPr>
        <w:t xml:space="preserve">１ </w:t>
      </w:r>
      <w:r>
        <w:t>次</w:t>
      </w:r>
      <w:r>
        <w:rPr>
          <w:rFonts w:hint="eastAsia" w:ascii="MS UI Gothic" w:eastAsia="MS UI Gothic"/>
          <w:w w:val="80"/>
        </w:rPr>
        <w:t>ꎮ</w:t>
      </w:r>
    </w:p>
    <w:p>
      <w:pPr>
        <w:pStyle w:val="6"/>
        <w:spacing w:line="295" w:lineRule="auto"/>
        <w:ind w:left="381" w:right="126"/>
        <w:rPr>
          <w:rFonts w:hint="eastAsia" w:ascii="MS UI Gothic" w:eastAsia="MS UI Gothic"/>
        </w:rPr>
      </w:pPr>
      <w:r>
        <w:t>第二百八十五条 当矿井水文地质条件尚未查清时</w:t>
      </w:r>
      <w:r>
        <w:rPr>
          <w:rFonts w:hint="eastAsia" w:ascii="MS UI Gothic" w:eastAsia="MS UI Gothic"/>
          <w:w w:val="80"/>
        </w:rPr>
        <w:t xml:space="preserve">ꎬ </w:t>
      </w:r>
      <w:r>
        <w:t>应当进行水文地质补充勘探工作</w:t>
      </w:r>
      <w:r>
        <w:rPr>
          <w:rFonts w:hint="eastAsia" w:ascii="MS UI Gothic" w:eastAsia="MS UI Gothic"/>
          <w:w w:val="80"/>
        </w:rPr>
        <w:t>ꎮ</w:t>
      </w:r>
    </w:p>
    <w:p>
      <w:pPr>
        <w:pStyle w:val="6"/>
        <w:spacing w:line="295" w:lineRule="auto"/>
        <w:ind w:left="381" w:right="126"/>
        <w:rPr>
          <w:rFonts w:hint="eastAsia" w:ascii="MS UI Gothic" w:eastAsia="MS UI Gothic"/>
        </w:rPr>
      </w:pPr>
      <w:r>
        <w:t>第二百八十六条 矿井应当对主要含水层进行长期水位</w:t>
      </w:r>
      <w:r>
        <w:rPr>
          <w:rFonts w:hint="eastAsia" w:ascii="MS UI Gothic" w:eastAsia="MS UI Gothic"/>
          <w:w w:val="80"/>
        </w:rPr>
        <w:t xml:space="preserve">、 </w:t>
      </w:r>
      <w:r>
        <w:t>水质动态观测</w:t>
      </w:r>
      <w:r>
        <w:rPr>
          <w:rFonts w:hint="eastAsia" w:ascii="MS UI Gothic" w:eastAsia="MS UI Gothic"/>
          <w:w w:val="80"/>
        </w:rPr>
        <w:t xml:space="preserve">ꎬ </w:t>
      </w:r>
      <w:r>
        <w:t>设置矿井和各出水点涌水量观测点</w:t>
      </w:r>
      <w:r>
        <w:rPr>
          <w:rFonts w:hint="eastAsia" w:ascii="MS UI Gothic" w:eastAsia="MS UI Gothic"/>
          <w:w w:val="80"/>
        </w:rPr>
        <w:t xml:space="preserve">ꎬ </w:t>
      </w:r>
      <w:r>
        <w:t>建立涌水量观测成果等防治水基础台账</w:t>
      </w:r>
      <w:r>
        <w:rPr>
          <w:rFonts w:hint="eastAsia" w:ascii="MS UI Gothic" w:eastAsia="MS UI Gothic"/>
          <w:w w:val="80"/>
        </w:rPr>
        <w:t xml:space="preserve">ꎬ </w:t>
      </w:r>
      <w:r>
        <w:t>并开展水位动态预测分析工作</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第二百八十七条 矿井应当编制下列防治水图件</w:t>
      </w:r>
      <w:r>
        <w:rPr>
          <w:rFonts w:hint="eastAsia" w:ascii="MS UI Gothic" w:eastAsia="MS UI Gothic"/>
          <w:w w:val="80"/>
        </w:rPr>
        <w:t xml:space="preserve">ꎬ </w:t>
      </w:r>
      <w:r>
        <w:rPr>
          <w:w w:val="105"/>
        </w:rPr>
        <w:t xml:space="preserve">并至少每半年修订 </w:t>
      </w:r>
      <w:r>
        <w:rPr>
          <w:rFonts w:hint="eastAsia" w:ascii="MS UI Gothic" w:eastAsia="MS UI Gothic"/>
          <w:w w:val="80"/>
        </w:rPr>
        <w:t xml:space="preserve">１ </w:t>
      </w:r>
      <w:r>
        <w:rPr>
          <w:w w:val="105"/>
        </w:rPr>
        <w:t>次</w:t>
      </w:r>
      <w:r>
        <w:rPr>
          <w:rFonts w:hint="eastAsia" w:ascii="MS UI Gothic" w:eastAsia="MS UI Gothic"/>
          <w:w w:val="235"/>
        </w:rPr>
        <w:t>:</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矿井充水性图</w:t>
      </w:r>
      <w:r>
        <w:rPr>
          <w:rFonts w:hint="eastAsia" w:ascii="MS UI Gothic" w:eastAsia="MS UI Gothic"/>
          <w:w w:val="80"/>
        </w:rPr>
        <w:t>ꎮ</w:t>
      </w:r>
    </w:p>
    <w:p>
      <w:pPr>
        <w:pStyle w:val="6"/>
        <w:spacing w:before="44" w:line="295" w:lineRule="auto"/>
        <w:ind w:left="381" w:right="126"/>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矿井涌水量与相关因素动态曲</w:t>
      </w:r>
      <w:r>
        <w:rPr>
          <w:w w:val="110"/>
        </w:rPr>
        <w:t>线图</w:t>
      </w:r>
      <w:r>
        <w:rPr>
          <w:rFonts w:hint="eastAsia" w:ascii="MS UI Gothic" w:eastAsia="MS UI Gothic"/>
          <w:w w:val="80"/>
        </w:rPr>
        <w:t>ꎮ</w:t>
      </w:r>
    </w:p>
    <w:p>
      <w:pPr>
        <w:pStyle w:val="6"/>
        <w:spacing w:line="255" w:lineRule="exact"/>
        <w:ind w:left="800" w:firstLine="0"/>
        <w:jc w:val="left"/>
        <w:rPr>
          <w:rFonts w:hint="eastAsia" w:ascii="MS UI Gothic" w:eastAsia="MS UI Gothic"/>
        </w:rPr>
      </w:pPr>
      <w:r>
        <w:rPr>
          <w:rFonts w:hint="eastAsia" w:ascii="MS UI Gothic" w:eastAsia="MS UI Gothic"/>
          <w:spacing w:val="-24"/>
          <w:w w:val="105"/>
        </w:rPr>
        <w:t xml:space="preserve">( </w:t>
      </w:r>
      <w:r>
        <w:rPr>
          <w:spacing w:val="3"/>
          <w:w w:val="105"/>
        </w:rPr>
        <w:t>三</w:t>
      </w:r>
      <w:r>
        <w:rPr>
          <w:rFonts w:hint="eastAsia" w:ascii="MS UI Gothic" w:eastAsia="MS UI Gothic"/>
          <w:spacing w:val="21"/>
          <w:w w:val="105"/>
        </w:rPr>
        <w:t xml:space="preserve">) </w:t>
      </w:r>
      <w:r>
        <w:rPr>
          <w:spacing w:val="3"/>
          <w:w w:val="105"/>
        </w:rPr>
        <w:t>矿井综合水文地质图</w:t>
      </w:r>
      <w:r>
        <w:rPr>
          <w:rFonts w:hint="eastAsia" w:ascii="MS UI Gothic" w:eastAsia="MS UI Gothic"/>
          <w:w w:val="80"/>
        </w:rPr>
        <w:t>ꎮ</w:t>
      </w:r>
    </w:p>
    <w:p>
      <w:pPr>
        <w:pStyle w:val="6"/>
        <w:spacing w:before="58" w:line="295" w:lineRule="auto"/>
        <w:ind w:left="800" w:right="505" w:firstLine="0"/>
        <w:jc w:val="left"/>
        <w:rPr>
          <w:rFonts w:hint="eastAsia" w:ascii="MS UI Gothic" w:eastAsia="MS UI Gothic"/>
        </w:rPr>
      </w:pPr>
      <w:r>
        <w:rPr>
          <w:rFonts w:hint="eastAsia" w:ascii="MS UI Gothic" w:eastAsia="MS UI Gothic"/>
          <w:spacing w:val="-24"/>
          <w:w w:val="105"/>
        </w:rPr>
        <w:t xml:space="preserve">( </w:t>
      </w:r>
      <w:r>
        <w:rPr>
          <w:spacing w:val="3"/>
          <w:w w:val="105"/>
        </w:rPr>
        <w:t>四</w:t>
      </w:r>
      <w:r>
        <w:rPr>
          <w:rFonts w:hint="eastAsia" w:ascii="MS UI Gothic" w:eastAsia="MS UI Gothic"/>
          <w:spacing w:val="19"/>
          <w:w w:val="105"/>
        </w:rPr>
        <w:t xml:space="preserve">) </w:t>
      </w:r>
      <w:r>
        <w:rPr>
          <w:spacing w:val="3"/>
          <w:w w:val="105"/>
        </w:rPr>
        <w:t>矿井综合水文地质柱状图</w:t>
      </w:r>
      <w:r>
        <w:rPr>
          <w:rFonts w:hint="eastAsia" w:ascii="MS UI Gothic" w:eastAsia="MS UI Gothic"/>
          <w:w w:val="80"/>
        </w:rPr>
        <w:t>ꎮ</w:t>
      </w:r>
      <w:r>
        <w:rPr>
          <w:rFonts w:hint="eastAsia" w:ascii="MS UI Gothic" w:eastAsia="MS UI Gothic"/>
          <w:spacing w:val="-39"/>
          <w:w w:val="150"/>
        </w:rPr>
        <w:t xml:space="preserve">( </w:t>
      </w:r>
      <w:r>
        <w:rPr>
          <w:spacing w:val="3"/>
          <w:w w:val="110"/>
        </w:rPr>
        <w:t>五</w:t>
      </w:r>
      <w:r>
        <w:rPr>
          <w:rFonts w:hint="eastAsia" w:ascii="MS UI Gothic" w:eastAsia="MS UI Gothic"/>
          <w:spacing w:val="-2"/>
          <w:w w:val="150"/>
        </w:rPr>
        <w:t xml:space="preserve">) </w:t>
      </w:r>
      <w:r>
        <w:rPr>
          <w:spacing w:val="3"/>
          <w:w w:val="110"/>
        </w:rPr>
        <w:t>矿井水文地质剖面图</w:t>
      </w:r>
      <w:r>
        <w:rPr>
          <w:rFonts w:hint="eastAsia" w:ascii="MS UI Gothic" w:eastAsia="MS UI Gothic"/>
          <w:w w:val="80"/>
        </w:rPr>
        <w:t>ꎮ</w:t>
      </w:r>
    </w:p>
    <w:p>
      <w:pPr>
        <w:pStyle w:val="6"/>
        <w:spacing w:line="295" w:lineRule="auto"/>
        <w:ind w:left="381" w:right="124"/>
        <w:rPr>
          <w:rFonts w:hint="eastAsia" w:ascii="MS UI Gothic" w:eastAsia="MS UI Gothic"/>
        </w:rPr>
      </w:pPr>
      <w:r>
        <w:t>第二百八十八条 采掘工作面或者其他地点发现有煤层变湿</w:t>
      </w:r>
      <w:r>
        <w:rPr>
          <w:rFonts w:hint="eastAsia" w:ascii="MS UI Gothic" w:eastAsia="MS UI Gothic"/>
          <w:w w:val="80"/>
        </w:rPr>
        <w:t xml:space="preserve">、 </w:t>
      </w:r>
      <w:r>
        <w:t>挂红</w:t>
      </w:r>
      <w:r>
        <w:rPr>
          <w:rFonts w:hint="eastAsia" w:ascii="MS UI Gothic" w:eastAsia="MS UI Gothic"/>
          <w:w w:val="80"/>
        </w:rPr>
        <w:t xml:space="preserve">、 </w:t>
      </w:r>
      <w:r>
        <w:t>挂汗</w:t>
      </w:r>
      <w:r>
        <w:rPr>
          <w:rFonts w:hint="eastAsia" w:ascii="MS UI Gothic" w:eastAsia="MS UI Gothic"/>
          <w:w w:val="80"/>
        </w:rPr>
        <w:t xml:space="preserve">、 </w:t>
      </w:r>
      <w:r>
        <w:t>空气变冷</w:t>
      </w:r>
      <w:r>
        <w:rPr>
          <w:rFonts w:hint="eastAsia" w:ascii="MS UI Gothic" w:eastAsia="MS UI Gothic"/>
          <w:w w:val="80"/>
        </w:rPr>
        <w:t xml:space="preserve">、 </w:t>
      </w:r>
      <w:r>
        <w:t>出现雾气</w:t>
      </w:r>
      <w:r>
        <w:rPr>
          <w:rFonts w:hint="eastAsia" w:ascii="MS UI Gothic" w:eastAsia="MS UI Gothic"/>
          <w:w w:val="80"/>
        </w:rPr>
        <w:t xml:space="preserve">、 </w:t>
      </w:r>
      <w:r>
        <w:t>水叫</w:t>
      </w:r>
      <w:r>
        <w:rPr>
          <w:rFonts w:hint="eastAsia" w:ascii="MS UI Gothic" w:eastAsia="MS UI Gothic"/>
          <w:w w:val="80"/>
        </w:rPr>
        <w:t xml:space="preserve">、 </w:t>
      </w:r>
      <w:r>
        <w:t>顶板来压</w:t>
      </w:r>
      <w:r>
        <w:rPr>
          <w:rFonts w:hint="eastAsia" w:ascii="MS UI Gothic" w:eastAsia="MS UI Gothic"/>
          <w:w w:val="80"/>
        </w:rPr>
        <w:t xml:space="preserve">、  </w:t>
      </w:r>
      <w:r>
        <w:t>片帮</w:t>
      </w:r>
      <w:r>
        <w:rPr>
          <w:rFonts w:hint="eastAsia" w:ascii="MS UI Gothic" w:eastAsia="MS UI Gothic"/>
          <w:w w:val="80"/>
        </w:rPr>
        <w:t xml:space="preserve">、 </w:t>
      </w:r>
      <w:r>
        <w:t>淋水加大</w:t>
      </w:r>
      <w:r>
        <w:rPr>
          <w:rFonts w:hint="eastAsia" w:ascii="MS UI Gothic" w:eastAsia="MS UI Gothic"/>
          <w:w w:val="80"/>
        </w:rPr>
        <w:t xml:space="preserve">、 </w:t>
      </w:r>
      <w:r>
        <w:t>底板鼓起或者裂隙渗水</w:t>
      </w:r>
      <w:r>
        <w:rPr>
          <w:rFonts w:hint="eastAsia" w:ascii="MS UI Gothic" w:eastAsia="MS UI Gothic"/>
          <w:w w:val="80"/>
        </w:rPr>
        <w:t>、</w:t>
      </w:r>
      <w:r>
        <w:t>钻孔喷水</w:t>
      </w:r>
      <w:r>
        <w:rPr>
          <w:rFonts w:hint="eastAsia" w:ascii="MS UI Gothic" w:eastAsia="MS UI Gothic"/>
          <w:w w:val="80"/>
        </w:rPr>
        <w:t xml:space="preserve">、 </w:t>
      </w:r>
      <w:r>
        <w:t>煤壁溃水</w:t>
      </w:r>
      <w:r>
        <w:rPr>
          <w:rFonts w:hint="eastAsia" w:ascii="MS UI Gothic" w:eastAsia="MS UI Gothic"/>
          <w:w w:val="80"/>
        </w:rPr>
        <w:t xml:space="preserve">、 </w:t>
      </w:r>
      <w:r>
        <w:t>水色发浑</w:t>
      </w:r>
      <w:r>
        <w:rPr>
          <w:rFonts w:hint="eastAsia" w:ascii="MS UI Gothic" w:eastAsia="MS UI Gothic"/>
          <w:w w:val="80"/>
        </w:rPr>
        <w:t xml:space="preserve">、 </w:t>
      </w:r>
      <w:r>
        <w:t>有臭味等透水征兆时</w:t>
      </w:r>
      <w:r>
        <w:rPr>
          <w:rFonts w:hint="eastAsia" w:ascii="MS UI Gothic" w:eastAsia="MS UI Gothic"/>
          <w:w w:val="80"/>
        </w:rPr>
        <w:t xml:space="preserve">ꎬ </w:t>
      </w:r>
      <w:r>
        <w:t>应当立即停止作业</w:t>
      </w:r>
      <w:r>
        <w:rPr>
          <w:rFonts w:hint="eastAsia" w:ascii="MS UI Gothic" w:eastAsia="MS UI Gothic"/>
          <w:w w:val="80"/>
        </w:rPr>
        <w:t xml:space="preserve">ꎬ </w:t>
      </w:r>
      <w:r>
        <w:t>撤出所有受水患威胁地点的人员</w:t>
      </w:r>
      <w:r>
        <w:rPr>
          <w:rFonts w:hint="eastAsia" w:ascii="MS UI Gothic" w:eastAsia="MS UI Gothic"/>
          <w:w w:val="80"/>
        </w:rPr>
        <w:t xml:space="preserve">ꎬ </w:t>
      </w:r>
      <w:r>
        <w:t>报告矿调度室</w:t>
      </w:r>
      <w:r>
        <w:rPr>
          <w:rFonts w:hint="eastAsia" w:ascii="MS UI Gothic" w:eastAsia="MS UI Gothic"/>
          <w:w w:val="80"/>
        </w:rPr>
        <w:t xml:space="preserve">ꎬ </w:t>
      </w:r>
      <w:r>
        <w:t>并发出警报</w:t>
      </w:r>
      <w:r>
        <w:rPr>
          <w:rFonts w:hint="eastAsia" w:ascii="MS UI Gothic" w:eastAsia="MS UI Gothic"/>
          <w:w w:val="80"/>
        </w:rPr>
        <w:t xml:space="preserve">ꎮ </w:t>
      </w:r>
      <w:r>
        <w:t>在原因未查清</w:t>
      </w:r>
      <w:r>
        <w:rPr>
          <w:rFonts w:hint="eastAsia" w:ascii="MS UI Gothic" w:eastAsia="MS UI Gothic"/>
          <w:w w:val="80"/>
        </w:rPr>
        <w:t xml:space="preserve">、 </w:t>
      </w:r>
      <w:r>
        <w:t>隐患未排除之前</w:t>
      </w:r>
      <w:r>
        <w:rPr>
          <w:rFonts w:hint="eastAsia" w:ascii="MS UI Gothic" w:eastAsia="MS UI Gothic"/>
          <w:w w:val="80"/>
        </w:rPr>
        <w:t xml:space="preserve">ꎬ </w:t>
      </w:r>
      <w:r>
        <w:t>不得进行任何采掘活动</w:t>
      </w:r>
      <w:r>
        <w:rPr>
          <w:rFonts w:hint="eastAsia" w:ascii="MS UI Gothic" w:eastAsia="MS UI Gothic"/>
          <w:w w:val="80"/>
        </w:rPr>
        <w:t>ꎮ</w:t>
      </w:r>
    </w:p>
    <w:p>
      <w:pPr>
        <w:pStyle w:val="6"/>
        <w:tabs>
          <w:tab w:val="left" w:pos="2162"/>
        </w:tabs>
        <w:spacing w:before="149"/>
        <w:ind w:left="1324" w:firstLine="0"/>
        <w:jc w:val="left"/>
      </w:pPr>
      <w:r>
        <w:rPr>
          <w:spacing w:val="3"/>
          <w:w w:val="105"/>
        </w:rPr>
        <w:t>第二</w:t>
      </w:r>
      <w:r>
        <w:rPr>
          <w:w w:val="105"/>
        </w:rPr>
        <w:t>节</w:t>
      </w:r>
      <w:r>
        <w:rPr>
          <w:w w:val="105"/>
        </w:rPr>
        <w:tab/>
      </w:r>
      <w:r>
        <w:rPr>
          <w:spacing w:val="3"/>
          <w:w w:val="105"/>
        </w:rPr>
        <w:t>地面防治</w:t>
      </w:r>
      <w:r>
        <w:rPr>
          <w:w w:val="105"/>
        </w:rPr>
        <w:t>水</w:t>
      </w:r>
    </w:p>
    <w:p>
      <w:pPr>
        <w:pStyle w:val="6"/>
        <w:spacing w:before="10"/>
        <w:ind w:left="0" w:firstLine="0"/>
        <w:jc w:val="left"/>
        <w:rPr>
          <w:sz w:val="16"/>
        </w:rPr>
      </w:pPr>
    </w:p>
    <w:p>
      <w:pPr>
        <w:pStyle w:val="6"/>
        <w:tabs>
          <w:tab w:val="left" w:pos="2477"/>
        </w:tabs>
        <w:ind w:left="800" w:firstLine="0"/>
        <w:jc w:val="left"/>
      </w:pPr>
      <w:r>
        <w:rPr>
          <w:spacing w:val="3"/>
          <w:w w:val="105"/>
        </w:rPr>
        <w:t>第二百八十九</w:t>
      </w:r>
      <w:r>
        <w:rPr>
          <w:w w:val="105"/>
        </w:rPr>
        <w:t>条</w:t>
      </w:r>
      <w:r>
        <w:rPr>
          <w:w w:val="105"/>
        </w:rPr>
        <w:tab/>
      </w:r>
      <w:r>
        <w:rPr>
          <w:spacing w:val="3"/>
          <w:w w:val="105"/>
        </w:rPr>
        <w:t>煤矿每年雨季前</w:t>
      </w:r>
      <w:r>
        <w:rPr>
          <w:w w:val="105"/>
        </w:rPr>
        <w:t>必</w:t>
      </w:r>
    </w:p>
    <w:p>
      <w:pPr>
        <w:spacing w:after="0"/>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２８０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72" o:spid="_x0000_s1872" o:spt="203" style="height:2.15pt;width:398.25pt;" coordsize="7965,43">
            <o:lock v:ext="edit"/>
            <v:line id="_x0000_s1873" o:spid="_x0000_s1873" o:spt="20" style="position:absolute;left:0;top:39;height:0;width:7965;" stroked="t" coordsize="21600,21600">
              <v:path arrowok="t"/>
              <v:fill focussize="0,0"/>
              <v:stroke weight="0.388031496062992pt" color="#231F20"/>
              <v:imagedata o:title=""/>
              <o:lock v:ext="edit"/>
            </v:line>
            <v:line id="_x0000_s1874" o:spid="_x0000_s187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须对防治水工作进行全面检查</w:t>
      </w:r>
      <w:r>
        <w:rPr>
          <w:rFonts w:hint="eastAsia" w:ascii="MS UI Gothic" w:eastAsia="MS UI Gothic"/>
          <w:w w:val="80"/>
        </w:rPr>
        <w:t xml:space="preserve">ꎮ </w:t>
      </w:r>
      <w:r>
        <w:t>受雨季降水威胁的矿井</w:t>
      </w:r>
      <w:r>
        <w:rPr>
          <w:rFonts w:hint="eastAsia" w:ascii="MS UI Gothic" w:eastAsia="MS UI Gothic"/>
          <w:w w:val="80"/>
        </w:rPr>
        <w:t xml:space="preserve">ꎬ </w:t>
      </w:r>
      <w:r>
        <w:t>应当制定雨季防治水措施</w:t>
      </w:r>
      <w:r>
        <w:rPr>
          <w:rFonts w:hint="eastAsia" w:ascii="MS UI Gothic" w:eastAsia="MS UI Gothic"/>
          <w:w w:val="80"/>
        </w:rPr>
        <w:t xml:space="preserve">ꎬ </w:t>
      </w:r>
      <w:r>
        <w:t>建立雨季巡视制度并组织抢险队伍</w:t>
      </w:r>
      <w:r>
        <w:rPr>
          <w:rFonts w:hint="eastAsia" w:ascii="MS UI Gothic" w:eastAsia="MS UI Gothic"/>
          <w:w w:val="80"/>
        </w:rPr>
        <w:t>ꎬ</w:t>
      </w:r>
      <w:r>
        <w:t>储备足够的防洪抢险物资</w:t>
      </w:r>
      <w:r>
        <w:rPr>
          <w:rFonts w:hint="eastAsia" w:ascii="MS UI Gothic" w:eastAsia="MS UI Gothic"/>
          <w:w w:val="80"/>
        </w:rPr>
        <w:t xml:space="preserve">ꎮ </w:t>
      </w:r>
      <w:r>
        <w:t>当暴雨威胁矿井安全时</w:t>
      </w:r>
      <w:r>
        <w:rPr>
          <w:rFonts w:hint="eastAsia" w:ascii="MS UI Gothic" w:eastAsia="MS UI Gothic"/>
          <w:w w:val="80"/>
        </w:rPr>
        <w:t xml:space="preserve">ꎬ </w:t>
      </w:r>
      <w:r>
        <w:t>必须立即停产撤出井下全部人员</w:t>
      </w:r>
      <w:r>
        <w:rPr>
          <w:rFonts w:hint="eastAsia" w:ascii="MS UI Gothic" w:eastAsia="MS UI Gothic"/>
          <w:w w:val="80"/>
        </w:rPr>
        <w:t xml:space="preserve">ꎬ </w:t>
      </w:r>
      <w:r>
        <w:t>只有在确认暴雨洪水隐患消除后方可恢复生产</w:t>
      </w:r>
      <w:r>
        <w:rPr>
          <w:rFonts w:hint="eastAsia" w:ascii="MS UI Gothic" w:eastAsia="MS UI Gothic"/>
          <w:w w:val="80"/>
        </w:rPr>
        <w:t>ꎮ</w:t>
      </w:r>
    </w:p>
    <w:p>
      <w:pPr>
        <w:pStyle w:val="6"/>
        <w:spacing w:line="295" w:lineRule="auto"/>
        <w:ind w:right="39"/>
        <w:rPr>
          <w:rFonts w:hint="eastAsia" w:ascii="MS UI Gothic" w:eastAsia="MS UI Gothic"/>
        </w:rPr>
      </w:pPr>
      <w:r>
        <w:t>第二百九十条 煤矿应当查清井田及周边地面水系和有关水利工程的汇水</w:t>
      </w:r>
      <w:r>
        <w:rPr>
          <w:rFonts w:hint="eastAsia" w:ascii="MS UI Gothic" w:eastAsia="MS UI Gothic"/>
          <w:w w:val="80"/>
        </w:rPr>
        <w:t xml:space="preserve">、 </w:t>
      </w:r>
      <w:r>
        <w:t>疏水</w:t>
      </w:r>
      <w:r>
        <w:rPr>
          <w:rFonts w:hint="eastAsia" w:ascii="MS UI Gothic" w:eastAsia="MS UI Gothic"/>
          <w:w w:val="80"/>
        </w:rPr>
        <w:t xml:space="preserve">、 </w:t>
      </w:r>
      <w:r>
        <w:t>渗漏情况</w:t>
      </w:r>
      <w:r>
        <w:rPr>
          <w:rFonts w:hint="eastAsia" w:ascii="MS UI Gothic" w:eastAsia="MS UI Gothic"/>
          <w:w w:val="80"/>
        </w:rPr>
        <w:t xml:space="preserve">ꎻ </w:t>
      </w:r>
      <w:r>
        <w:t>了解当地水库</w:t>
      </w:r>
      <w:r>
        <w:rPr>
          <w:rFonts w:hint="eastAsia" w:ascii="MS UI Gothic" w:eastAsia="MS UI Gothic"/>
          <w:w w:val="80"/>
        </w:rPr>
        <w:t xml:space="preserve">、 </w:t>
      </w:r>
      <w:r>
        <w:t>水电站大坝</w:t>
      </w:r>
      <w:r>
        <w:rPr>
          <w:rFonts w:hint="eastAsia" w:ascii="MS UI Gothic" w:eastAsia="MS UI Gothic"/>
          <w:w w:val="80"/>
        </w:rPr>
        <w:t xml:space="preserve">、 </w:t>
      </w:r>
      <w:r>
        <w:t>江河大堤</w:t>
      </w:r>
      <w:r>
        <w:rPr>
          <w:rFonts w:hint="eastAsia" w:ascii="MS UI Gothic" w:eastAsia="MS UI Gothic"/>
          <w:w w:val="80"/>
        </w:rPr>
        <w:t xml:space="preserve">、 </w:t>
      </w:r>
      <w:r>
        <w:t>河道</w:t>
      </w:r>
      <w:r>
        <w:rPr>
          <w:rFonts w:hint="eastAsia" w:ascii="MS UI Gothic" w:eastAsia="MS UI Gothic"/>
          <w:w w:val="80"/>
        </w:rPr>
        <w:t xml:space="preserve">、 </w:t>
      </w:r>
      <w:r>
        <w:t>河道中障碍物等情况</w:t>
      </w:r>
      <w:r>
        <w:rPr>
          <w:rFonts w:hint="eastAsia" w:ascii="MS UI Gothic" w:eastAsia="MS UI Gothic"/>
          <w:w w:val="80"/>
        </w:rPr>
        <w:t xml:space="preserve">ꎻ </w:t>
      </w:r>
      <w:r>
        <w:t>掌握当地历年降水量和最高洪水位资料</w:t>
      </w:r>
      <w:r>
        <w:rPr>
          <w:rFonts w:hint="eastAsia" w:ascii="MS UI Gothic" w:eastAsia="MS UI Gothic"/>
          <w:w w:val="80"/>
        </w:rPr>
        <w:t xml:space="preserve">ꎬ </w:t>
      </w:r>
      <w:r>
        <w:t>建立疏水</w:t>
      </w:r>
      <w:r>
        <w:rPr>
          <w:rFonts w:hint="eastAsia" w:ascii="MS UI Gothic" w:eastAsia="MS UI Gothic"/>
          <w:w w:val="80"/>
        </w:rPr>
        <w:t xml:space="preserve">、 </w:t>
      </w:r>
      <w:r>
        <w:t>防水和排水系统</w:t>
      </w:r>
      <w:r>
        <w:rPr>
          <w:rFonts w:hint="eastAsia" w:ascii="MS UI Gothic" w:eastAsia="MS UI Gothic"/>
          <w:w w:val="80"/>
        </w:rPr>
        <w:t>ꎮ</w:t>
      </w:r>
    </w:p>
    <w:p>
      <w:pPr>
        <w:pStyle w:val="6"/>
        <w:spacing w:line="295" w:lineRule="auto"/>
        <w:ind w:right="38"/>
        <w:rPr>
          <w:rFonts w:hint="eastAsia" w:ascii="MS UI Gothic" w:eastAsia="MS UI Gothic"/>
        </w:rPr>
      </w:pPr>
      <w:r>
        <w:t>煤矿应当建立灾害性天气预警和预防机制</w:t>
      </w:r>
      <w:r>
        <w:rPr>
          <w:rFonts w:hint="eastAsia" w:ascii="MS UI Gothic" w:eastAsia="MS UI Gothic"/>
          <w:w w:val="80"/>
        </w:rPr>
        <w:t xml:space="preserve">ꎬ </w:t>
      </w:r>
      <w:r>
        <w:t>加强与周边相邻矿井的信息沟通</w:t>
      </w:r>
      <w:r>
        <w:rPr>
          <w:rFonts w:hint="eastAsia" w:ascii="MS UI Gothic" w:eastAsia="MS UI Gothic"/>
          <w:w w:val="80"/>
        </w:rPr>
        <w:t>ꎬ</w:t>
      </w:r>
      <w:r>
        <w:t>发现矿井水害可能影响相邻矿井时</w:t>
      </w:r>
      <w:r>
        <w:rPr>
          <w:rFonts w:hint="eastAsia" w:ascii="MS UI Gothic" w:eastAsia="MS UI Gothic"/>
          <w:w w:val="80"/>
        </w:rPr>
        <w:t xml:space="preserve">ꎬ </w:t>
      </w:r>
      <w:r>
        <w:t>立即向周边相邻矿井发出预警</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第二百九十一条 矿井井口和工业场</w:t>
      </w:r>
      <w:r>
        <w:t>地内建筑物的地面标高必须高于当地历年最高洪水位</w:t>
      </w:r>
      <w:r>
        <w:rPr>
          <w:rFonts w:hint="eastAsia" w:ascii="MS UI Gothic" w:eastAsia="MS UI Gothic"/>
          <w:w w:val="80"/>
        </w:rPr>
        <w:t xml:space="preserve">ꎻ </w:t>
      </w:r>
      <w:r>
        <w:t>在山区还必须避开可能发生</w:t>
      </w:r>
      <w:r>
        <w:rPr>
          <w:w w:val="105"/>
        </w:rPr>
        <w:t>泥石流</w:t>
      </w:r>
      <w:r>
        <w:rPr>
          <w:rFonts w:hint="eastAsia" w:ascii="MS UI Gothic" w:eastAsia="MS UI Gothic"/>
          <w:w w:val="80"/>
        </w:rPr>
        <w:t xml:space="preserve">、 </w:t>
      </w:r>
      <w:r>
        <w:rPr>
          <w:w w:val="105"/>
        </w:rPr>
        <w:t>滑坡等地质灾害危险的地段</w:t>
      </w:r>
      <w:r>
        <w:rPr>
          <w:rFonts w:hint="eastAsia" w:ascii="MS UI Gothic" w:eastAsia="MS UI Gothic"/>
          <w:w w:val="80"/>
        </w:rPr>
        <w:t>ꎮ</w:t>
      </w:r>
    </w:p>
    <w:p>
      <w:pPr>
        <w:pStyle w:val="6"/>
        <w:spacing w:line="295" w:lineRule="auto"/>
        <w:ind w:right="38"/>
        <w:rPr>
          <w:rFonts w:hint="eastAsia" w:ascii="MS UI Gothic" w:eastAsia="MS UI Gothic"/>
        </w:rPr>
      </w:pPr>
      <w:r>
        <w:t>矿井井口及工业场地内主要建筑物的地面标高低于当地历年最高洪水位的</w:t>
      </w:r>
      <w:r>
        <w:rPr>
          <w:rFonts w:hint="eastAsia" w:ascii="MS UI Gothic" w:eastAsia="MS UI Gothic"/>
          <w:w w:val="80"/>
        </w:rPr>
        <w:t xml:space="preserve">ꎬ </w:t>
      </w:r>
      <w:r>
        <w:t>应当修筑堤坝</w:t>
      </w:r>
      <w:r>
        <w:rPr>
          <w:rFonts w:hint="eastAsia" w:ascii="MS UI Gothic" w:eastAsia="MS UI Gothic"/>
          <w:w w:val="80"/>
        </w:rPr>
        <w:t xml:space="preserve">、 </w:t>
      </w:r>
      <w:r>
        <w:t>沟渠或者采取其他可靠防御洪水的措施</w:t>
      </w:r>
      <w:r>
        <w:rPr>
          <w:rFonts w:hint="eastAsia" w:ascii="MS UI Gothic" w:eastAsia="MS UI Gothic"/>
          <w:w w:val="80"/>
        </w:rPr>
        <w:t xml:space="preserve">ꎮ </w:t>
      </w:r>
      <w:r>
        <w:t>不能采取可靠安全措施的</w:t>
      </w:r>
      <w:r>
        <w:rPr>
          <w:rFonts w:hint="eastAsia" w:ascii="MS UI Gothic" w:eastAsia="MS UI Gothic"/>
          <w:w w:val="80"/>
        </w:rPr>
        <w:t>ꎬ</w:t>
      </w:r>
      <w:r>
        <w:t>应当封闭填实该井口</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第二百九十二条 当矿井井口附近或</w:t>
      </w:r>
      <w:r>
        <w:t>者开采塌陷波及区域的地表有水体或者积水时</w:t>
      </w:r>
      <w:r>
        <w:rPr>
          <w:rFonts w:hint="eastAsia" w:ascii="MS UI Gothic" w:eastAsia="MS UI Gothic"/>
          <w:w w:val="80"/>
        </w:rPr>
        <w:t xml:space="preserve">ꎬ </w:t>
      </w:r>
      <w:r>
        <w:t>必须采取安全防范措施</w:t>
      </w:r>
      <w:r>
        <w:rPr>
          <w:rFonts w:hint="eastAsia" w:ascii="MS UI Gothic" w:eastAsia="MS UI Gothic"/>
          <w:w w:val="80"/>
        </w:rPr>
        <w:t xml:space="preserve">ꎬ </w:t>
      </w:r>
      <w:r>
        <w:t>并遵守下</w:t>
      </w:r>
      <w:r>
        <w:rPr>
          <w:w w:val="105"/>
        </w:rPr>
        <w:t>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当地表出现威胁矿井生产安全</w:t>
      </w:r>
      <w:r>
        <w:t>的积水区时</w:t>
      </w:r>
      <w:r>
        <w:rPr>
          <w:rFonts w:hint="eastAsia" w:ascii="MS UI Gothic" w:eastAsia="MS UI Gothic"/>
          <w:w w:val="80"/>
        </w:rPr>
        <w:t xml:space="preserve">ꎬ </w:t>
      </w:r>
      <w:r>
        <w:t>应当修筑泄水沟渠或者排水</w:t>
      </w:r>
      <w:r>
        <w:rPr>
          <w:w w:val="105"/>
        </w:rPr>
        <w:t>设施</w:t>
      </w:r>
      <w:r>
        <w:rPr>
          <w:rFonts w:hint="eastAsia" w:ascii="MS UI Gothic" w:eastAsia="MS UI Gothic"/>
          <w:w w:val="80"/>
        </w:rPr>
        <w:t xml:space="preserve">ꎬ </w:t>
      </w:r>
      <w:r>
        <w:rPr>
          <w:w w:val="105"/>
        </w:rPr>
        <w:t>防止积水渗入井下</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当矿井受到河流</w:t>
      </w:r>
      <w:r>
        <w:rPr>
          <w:rFonts w:hint="eastAsia" w:ascii="MS UI Gothic" w:eastAsia="MS UI Gothic"/>
          <w:w w:val="80"/>
        </w:rPr>
        <w:t xml:space="preserve">、 </w:t>
      </w:r>
      <w:r>
        <w:rPr>
          <w:w w:val="105"/>
        </w:rPr>
        <w:t>山洪威胁</w:t>
      </w:r>
      <w:r>
        <w:t>时</w:t>
      </w:r>
      <w:r>
        <w:rPr>
          <w:rFonts w:hint="eastAsia" w:ascii="MS UI Gothic" w:eastAsia="MS UI Gothic"/>
          <w:w w:val="80"/>
        </w:rPr>
        <w:t xml:space="preserve">ꎬ </w:t>
      </w:r>
      <w:r>
        <w:t>应当修筑堤坝和泄洪渠</w:t>
      </w:r>
      <w:r>
        <w:rPr>
          <w:rFonts w:hint="eastAsia" w:ascii="MS UI Gothic" w:eastAsia="MS UI Gothic"/>
          <w:w w:val="80"/>
        </w:rPr>
        <w:t xml:space="preserve">ꎬ </w:t>
      </w:r>
      <w:r>
        <w:t>防止洪水</w:t>
      </w:r>
      <w:r>
        <w:rPr>
          <w:w w:val="105"/>
        </w:rPr>
        <w:t>侵入</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对于排到地面的矿井水</w:t>
      </w:r>
      <w:r>
        <w:rPr>
          <w:rFonts w:hint="eastAsia" w:ascii="MS UI Gothic" w:eastAsia="MS UI Gothic"/>
          <w:w w:val="80"/>
        </w:rPr>
        <w:t xml:space="preserve">ꎬ </w:t>
      </w:r>
      <w:r>
        <w:rPr>
          <w:w w:val="105"/>
        </w:rPr>
        <w:t>应当妥善疏导</w:t>
      </w:r>
      <w:r>
        <w:rPr>
          <w:rFonts w:hint="eastAsia" w:ascii="MS UI Gothic" w:eastAsia="MS UI Gothic"/>
          <w:w w:val="80"/>
        </w:rPr>
        <w:t xml:space="preserve">ꎬ </w:t>
      </w:r>
      <w:r>
        <w:rPr>
          <w:w w:val="105"/>
        </w:rPr>
        <w:t>避免渗入井下</w:t>
      </w:r>
      <w:r>
        <w:rPr>
          <w:rFonts w:hint="eastAsia" w:ascii="MS UI Gothic" w:eastAsia="MS UI Gothic"/>
          <w:w w:val="80"/>
        </w:rPr>
        <w:t>ꎮ</w:t>
      </w:r>
    </w:p>
    <w:p>
      <w:pPr>
        <w:pStyle w:val="6"/>
        <w:spacing w:line="255" w:lineRule="exact"/>
        <w:ind w:left="543" w:firstLine="0"/>
      </w:pPr>
      <w:r>
        <w:rPr>
          <w:rFonts w:hint="eastAsia" w:ascii="MS UI Gothic" w:eastAsia="MS UI Gothic"/>
          <w:spacing w:val="-40"/>
          <w:w w:val="140"/>
        </w:rPr>
        <w:t xml:space="preserve">( </w:t>
      </w:r>
      <w:r>
        <w:rPr>
          <w:spacing w:val="3"/>
          <w:w w:val="110"/>
        </w:rPr>
        <w:t>四</w:t>
      </w:r>
      <w:r>
        <w:rPr>
          <w:rFonts w:hint="eastAsia" w:ascii="MS UI Gothic" w:eastAsia="MS UI Gothic"/>
          <w:spacing w:val="-22"/>
          <w:w w:val="140"/>
        </w:rPr>
        <w:t xml:space="preserve">) </w:t>
      </w:r>
      <w:r>
        <w:rPr>
          <w:spacing w:val="5"/>
          <w:w w:val="110"/>
        </w:rPr>
        <w:t>对于漏水的沟渠和河床</w:t>
      </w:r>
      <w:r>
        <w:rPr>
          <w:rFonts w:hint="eastAsia" w:ascii="MS UI Gothic" w:eastAsia="MS UI Gothic"/>
          <w:spacing w:val="-6"/>
          <w:w w:val="80"/>
        </w:rPr>
        <w:t xml:space="preserve">ꎬ </w:t>
      </w:r>
      <w:r>
        <w:rPr>
          <w:spacing w:val="5"/>
          <w:w w:val="110"/>
        </w:rPr>
        <w:t>应当</w:t>
      </w:r>
    </w:p>
    <w:p>
      <w:pPr>
        <w:pStyle w:val="6"/>
        <w:spacing w:before="123" w:line="295" w:lineRule="auto"/>
        <w:ind w:right="442" w:firstLine="0"/>
        <w:rPr>
          <w:rFonts w:hint="eastAsia" w:ascii="MS UI Gothic" w:eastAsia="MS UI Gothic"/>
        </w:rPr>
      </w:pPr>
      <w:r>
        <w:br w:type="column"/>
      </w:r>
      <w:r>
        <w:t>及时堵漏或者改道</w:t>
      </w:r>
      <w:r>
        <w:rPr>
          <w:rFonts w:hint="eastAsia" w:ascii="MS UI Gothic" w:eastAsia="MS UI Gothic"/>
          <w:w w:val="80"/>
        </w:rPr>
        <w:t xml:space="preserve">ꎻ </w:t>
      </w:r>
      <w:r>
        <w:t>地面裂缝和塌陷地点应当及时填塞</w:t>
      </w:r>
      <w:r>
        <w:rPr>
          <w:rFonts w:hint="eastAsia" w:ascii="MS UI Gothic" w:eastAsia="MS UI Gothic"/>
          <w:w w:val="80"/>
        </w:rPr>
        <w:t xml:space="preserve">ꎬ </w:t>
      </w:r>
      <w:r>
        <w:t>填塞工作必须有安全措施</w:t>
      </w:r>
      <w:r>
        <w:rPr>
          <w:rFonts w:hint="eastAsia" w:ascii="MS UI Gothic" w:eastAsia="MS UI Gothic"/>
          <w:w w:val="80"/>
        </w:rPr>
        <w:t>ꎮ</w:t>
      </w:r>
    </w:p>
    <w:p>
      <w:pPr>
        <w:pStyle w:val="6"/>
        <w:spacing w:line="295" w:lineRule="auto"/>
        <w:ind w:right="440"/>
        <w:rPr>
          <w:rFonts w:hint="eastAsia" w:ascii="MS UI Gothic" w:eastAsia="MS UI Gothic"/>
        </w:rPr>
      </w:pPr>
      <w:r>
        <w:t>第二百九十三条 降大到暴雨时和降雨后</w:t>
      </w:r>
      <w:r>
        <w:rPr>
          <w:rFonts w:hint="eastAsia" w:ascii="MS UI Gothic" w:eastAsia="MS UI Gothic"/>
          <w:w w:val="80"/>
        </w:rPr>
        <w:t xml:space="preserve">ꎬ </w:t>
      </w:r>
      <w:r>
        <w:t>应当有专业人员观测地面积水与洪水情况</w:t>
      </w:r>
      <w:r>
        <w:rPr>
          <w:rFonts w:hint="eastAsia" w:ascii="MS UI Gothic" w:eastAsia="MS UI Gothic"/>
          <w:w w:val="80"/>
        </w:rPr>
        <w:t xml:space="preserve">、 </w:t>
      </w:r>
      <w:r>
        <w:t>井下涌水量等有关水文变化情况和井田范围及附近地面有无裂缝</w:t>
      </w:r>
      <w:r>
        <w:rPr>
          <w:rFonts w:hint="eastAsia" w:ascii="MS UI Gothic" w:eastAsia="MS UI Gothic"/>
          <w:w w:val="80"/>
        </w:rPr>
        <w:t xml:space="preserve">、 </w:t>
      </w:r>
      <w:r>
        <w:t>采空塌陷</w:t>
      </w:r>
      <w:r>
        <w:rPr>
          <w:rFonts w:hint="eastAsia" w:ascii="MS UI Gothic" w:eastAsia="MS UI Gothic"/>
          <w:w w:val="80"/>
        </w:rPr>
        <w:t xml:space="preserve">、 </w:t>
      </w:r>
      <w:r>
        <w:t>井上下连通的钻孔和岩溶塌陷等现象</w:t>
      </w:r>
      <w:r>
        <w:rPr>
          <w:rFonts w:hint="eastAsia" w:ascii="MS UI Gothic" w:eastAsia="MS UI Gothic"/>
          <w:w w:val="80"/>
        </w:rPr>
        <w:t xml:space="preserve">ꎬ </w:t>
      </w:r>
      <w:r>
        <w:t>及时向矿调度室及有关负责人报告</w:t>
      </w:r>
      <w:r>
        <w:rPr>
          <w:rFonts w:hint="eastAsia" w:ascii="MS UI Gothic" w:eastAsia="MS UI Gothic"/>
          <w:w w:val="80"/>
        </w:rPr>
        <w:t>ꎬ</w:t>
      </w:r>
      <w:r>
        <w:t>并将上述情况记录在案</w:t>
      </w:r>
      <w:r>
        <w:rPr>
          <w:rFonts w:hint="eastAsia" w:ascii="MS UI Gothic" w:eastAsia="MS UI Gothic"/>
          <w:w w:val="80"/>
        </w:rPr>
        <w:t xml:space="preserve">ꎬ </w:t>
      </w:r>
      <w:r>
        <w:t>存档备查</w:t>
      </w:r>
      <w:r>
        <w:rPr>
          <w:rFonts w:hint="eastAsia" w:ascii="MS UI Gothic" w:eastAsia="MS UI Gothic"/>
          <w:w w:val="80"/>
        </w:rPr>
        <w:t>ꎮ</w:t>
      </w:r>
    </w:p>
    <w:p>
      <w:pPr>
        <w:pStyle w:val="6"/>
        <w:spacing w:line="295" w:lineRule="auto"/>
        <w:ind w:right="442"/>
        <w:rPr>
          <w:rFonts w:hint="eastAsia" w:ascii="MS UI Gothic" w:eastAsia="MS UI Gothic"/>
        </w:rPr>
      </w:pPr>
      <w:r>
        <w:t>情况危急时</w:t>
      </w:r>
      <w:r>
        <w:rPr>
          <w:rFonts w:hint="eastAsia" w:ascii="MS UI Gothic" w:eastAsia="MS UI Gothic"/>
          <w:w w:val="80"/>
        </w:rPr>
        <w:t xml:space="preserve">ꎬ </w:t>
      </w:r>
      <w:r>
        <w:t>矿调度室及有关负责人应当立即组织井下撤人</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第二百九十四条 当矿井井口附近或</w:t>
      </w:r>
      <w:r>
        <w:t>者开采塌陷波及区域的地表出现滑坡或者泥石流等地质灾害威胁煤矿安全时</w:t>
      </w:r>
      <w:r>
        <w:rPr>
          <w:rFonts w:hint="eastAsia" w:ascii="MS UI Gothic" w:eastAsia="MS UI Gothic"/>
          <w:w w:val="80"/>
        </w:rPr>
        <w:t xml:space="preserve">ꎬ </w:t>
      </w:r>
      <w:r>
        <w:t>应当及时撤出受威胁区域的人员</w:t>
      </w:r>
      <w:r>
        <w:rPr>
          <w:rFonts w:hint="eastAsia" w:ascii="MS UI Gothic" w:eastAsia="MS UI Gothic"/>
          <w:w w:val="80"/>
        </w:rPr>
        <w:t xml:space="preserve">ꎬ </w:t>
      </w:r>
      <w:r>
        <w:t>并采取防治</w:t>
      </w:r>
      <w:r>
        <w:rPr>
          <w:w w:val="105"/>
        </w:rPr>
        <w:t>措施</w:t>
      </w:r>
      <w:r>
        <w:rPr>
          <w:rFonts w:hint="eastAsia" w:ascii="MS UI Gothic" w:eastAsia="MS UI Gothic"/>
          <w:w w:val="80"/>
        </w:rPr>
        <w:t>ꎮ</w:t>
      </w:r>
    </w:p>
    <w:p>
      <w:pPr>
        <w:pStyle w:val="6"/>
        <w:spacing w:line="295" w:lineRule="auto"/>
        <w:ind w:right="442"/>
        <w:rPr>
          <w:rFonts w:hint="eastAsia" w:ascii="MS UI Gothic" w:eastAsia="MS UI Gothic"/>
        </w:rPr>
      </w:pPr>
      <w:r>
        <w:t>第二百九十五条  严禁将矸石</w:t>
      </w:r>
      <w:r>
        <w:rPr>
          <w:rFonts w:hint="eastAsia" w:ascii="MS UI Gothic" w:eastAsia="MS UI Gothic"/>
          <w:w w:val="80"/>
        </w:rPr>
        <w:t xml:space="preserve">、  </w:t>
      </w:r>
      <w:r>
        <w:t>杂物</w:t>
      </w:r>
      <w:r>
        <w:rPr>
          <w:rFonts w:hint="eastAsia" w:ascii="MS UI Gothic" w:eastAsia="MS UI Gothic"/>
          <w:w w:val="80"/>
        </w:rPr>
        <w:t xml:space="preserve">、 </w:t>
      </w:r>
      <w:r>
        <w:t>垃圾堆放在山洪</w:t>
      </w:r>
      <w:r>
        <w:rPr>
          <w:rFonts w:hint="eastAsia" w:ascii="MS UI Gothic" w:eastAsia="MS UI Gothic"/>
          <w:w w:val="80"/>
        </w:rPr>
        <w:t xml:space="preserve">、 </w:t>
      </w:r>
      <w:r>
        <w:t>河流可能冲刷到的地段</w:t>
      </w:r>
      <w:r>
        <w:rPr>
          <w:rFonts w:hint="eastAsia" w:ascii="MS UI Gothic" w:eastAsia="MS UI Gothic"/>
          <w:w w:val="80"/>
        </w:rPr>
        <w:t xml:space="preserve">ꎬ </w:t>
      </w:r>
      <w:r>
        <w:t>防止淤塞河道和沟渠等</w:t>
      </w:r>
      <w:r>
        <w:rPr>
          <w:rFonts w:hint="eastAsia" w:ascii="MS UI Gothic" w:eastAsia="MS UI Gothic"/>
          <w:w w:val="80"/>
        </w:rPr>
        <w:t>ꎮ</w:t>
      </w:r>
    </w:p>
    <w:p>
      <w:pPr>
        <w:pStyle w:val="6"/>
        <w:spacing w:line="295" w:lineRule="auto"/>
        <w:ind w:right="442"/>
        <w:rPr>
          <w:rFonts w:hint="eastAsia" w:ascii="MS UI Gothic" w:eastAsia="MS UI Gothic"/>
        </w:rPr>
      </w:pPr>
      <w:r>
        <w:t>发现与矿井防治水有关系的河道中存在障碍物或者堤坝破损时</w:t>
      </w:r>
      <w:r>
        <w:rPr>
          <w:rFonts w:hint="eastAsia" w:ascii="MS UI Gothic" w:eastAsia="MS UI Gothic"/>
          <w:w w:val="80"/>
        </w:rPr>
        <w:t xml:space="preserve">ꎬ </w:t>
      </w:r>
      <w:r>
        <w:t>应当及时报告当地人民政府</w:t>
      </w:r>
      <w:r>
        <w:rPr>
          <w:rFonts w:hint="eastAsia" w:ascii="MS UI Gothic" w:eastAsia="MS UI Gothic"/>
          <w:w w:val="80"/>
        </w:rPr>
        <w:t xml:space="preserve">ꎬ </w:t>
      </w:r>
      <w:r>
        <w:t>清理障碍物或者修复堤坝</w:t>
      </w:r>
      <w:r>
        <w:rPr>
          <w:rFonts w:hint="eastAsia" w:ascii="MS UI Gothic" w:eastAsia="MS UI Gothic"/>
          <w:w w:val="80"/>
        </w:rPr>
        <w:t xml:space="preserve">ꎬ </w:t>
      </w:r>
      <w:r>
        <w:t>防止地表水进入井下</w:t>
      </w:r>
      <w:r>
        <w:rPr>
          <w:rFonts w:hint="eastAsia" w:ascii="MS UI Gothic" w:eastAsia="MS UI Gothic"/>
          <w:w w:val="80"/>
        </w:rPr>
        <w:t>ꎮ</w:t>
      </w:r>
    </w:p>
    <w:p>
      <w:pPr>
        <w:pStyle w:val="6"/>
        <w:spacing w:line="295" w:lineRule="auto"/>
        <w:ind w:right="442"/>
        <w:rPr>
          <w:rFonts w:hint="eastAsia" w:ascii="MS UI Gothic" w:eastAsia="MS UI Gothic"/>
        </w:rPr>
      </w:pPr>
      <w:r>
        <w:t>第二百九十六条 使用中的钻孔</w:t>
      </w:r>
      <w:r>
        <w:rPr>
          <w:rFonts w:hint="eastAsia" w:ascii="MS UI Gothic" w:eastAsia="MS UI Gothic"/>
          <w:w w:val="80"/>
        </w:rPr>
        <w:t xml:space="preserve">ꎬ </w:t>
      </w:r>
      <w:r>
        <w:t>应当安装孔口盖</w:t>
      </w:r>
      <w:r>
        <w:rPr>
          <w:rFonts w:hint="eastAsia" w:ascii="MS UI Gothic" w:eastAsia="MS UI Gothic"/>
          <w:w w:val="80"/>
        </w:rPr>
        <w:t xml:space="preserve">ꎮ </w:t>
      </w:r>
      <w:r>
        <w:t>报废的钻孔应当及时封孔</w:t>
      </w:r>
      <w:r>
        <w:rPr>
          <w:rFonts w:hint="eastAsia" w:ascii="MS UI Gothic" w:eastAsia="MS UI Gothic"/>
          <w:w w:val="80"/>
        </w:rPr>
        <w:t xml:space="preserve">ꎬ </w:t>
      </w:r>
      <w:r>
        <w:t>并将封孔资料和实施负责人的情况记录在案</w:t>
      </w:r>
      <w:r>
        <w:rPr>
          <w:rFonts w:hint="eastAsia" w:ascii="MS UI Gothic" w:eastAsia="MS UI Gothic"/>
          <w:w w:val="80"/>
        </w:rPr>
        <w:t xml:space="preserve">ꎬ </w:t>
      </w:r>
      <w:r>
        <w:t>存档备查</w:t>
      </w:r>
      <w:r>
        <w:rPr>
          <w:rFonts w:hint="eastAsia" w:ascii="MS UI Gothic" w:eastAsia="MS UI Gothic"/>
          <w:w w:val="80"/>
        </w:rPr>
        <w:t>ꎮ</w:t>
      </w:r>
    </w:p>
    <w:p>
      <w:pPr>
        <w:pStyle w:val="6"/>
        <w:tabs>
          <w:tab w:val="left" w:pos="1906"/>
        </w:tabs>
        <w:spacing w:before="135"/>
        <w:ind w:left="1067" w:firstLine="0"/>
        <w:jc w:val="left"/>
      </w:pPr>
      <w:r>
        <w:rPr>
          <w:spacing w:val="3"/>
          <w:w w:val="105"/>
        </w:rPr>
        <w:t>第三</w:t>
      </w:r>
      <w:r>
        <w:rPr>
          <w:w w:val="105"/>
        </w:rPr>
        <w:t>节</w:t>
      </w:r>
      <w:r>
        <w:rPr>
          <w:w w:val="105"/>
        </w:rPr>
        <w:tab/>
      </w:r>
      <w:r>
        <w:rPr>
          <w:spacing w:val="3"/>
          <w:w w:val="105"/>
        </w:rPr>
        <w:t>井下防治</w:t>
      </w:r>
      <w:r>
        <w:rPr>
          <w:w w:val="105"/>
        </w:rPr>
        <w:t>水</w:t>
      </w:r>
    </w:p>
    <w:p>
      <w:pPr>
        <w:pStyle w:val="6"/>
        <w:spacing w:before="10"/>
        <w:ind w:left="0" w:firstLine="0"/>
        <w:jc w:val="left"/>
        <w:rPr>
          <w:sz w:val="16"/>
        </w:rPr>
      </w:pPr>
    </w:p>
    <w:p>
      <w:pPr>
        <w:pStyle w:val="6"/>
        <w:spacing w:line="295" w:lineRule="auto"/>
        <w:ind w:right="442"/>
        <w:rPr>
          <w:rFonts w:hint="eastAsia" w:ascii="MS UI Gothic" w:eastAsia="MS UI Gothic"/>
        </w:rPr>
      </w:pPr>
      <w:r>
        <w:rPr>
          <w:w w:val="105"/>
        </w:rPr>
        <w:t>第二百九十七条 相邻矿井的分界处</w:t>
      </w:r>
      <w:r>
        <w:rPr>
          <w:rFonts w:hint="eastAsia" w:ascii="MS UI Gothic" w:eastAsia="MS UI Gothic"/>
          <w:w w:val="80"/>
        </w:rPr>
        <w:t xml:space="preserve">ꎬ </w:t>
      </w:r>
      <w:r>
        <w:rPr>
          <w:w w:val="105"/>
        </w:rPr>
        <w:t xml:space="preserve">应当留防隔水煤 </w:t>
      </w:r>
      <w:r>
        <w:rPr>
          <w:rFonts w:hint="eastAsia" w:ascii="MS UI Gothic" w:eastAsia="MS UI Gothic"/>
          <w:w w:val="150"/>
        </w:rPr>
        <w:t xml:space="preserve">( </w:t>
      </w:r>
      <w:r>
        <w:rPr>
          <w:w w:val="105"/>
        </w:rPr>
        <w:t>岩</w:t>
      </w:r>
      <w:r>
        <w:rPr>
          <w:rFonts w:hint="eastAsia" w:ascii="MS UI Gothic" w:eastAsia="MS UI Gothic"/>
          <w:w w:val="150"/>
        </w:rPr>
        <w:t xml:space="preserve">) </w:t>
      </w:r>
      <w:r>
        <w:rPr>
          <w:w w:val="105"/>
        </w:rPr>
        <w:t>柱</w:t>
      </w:r>
      <w:r>
        <w:rPr>
          <w:rFonts w:hint="eastAsia" w:ascii="MS UI Gothic" w:eastAsia="MS UI Gothic"/>
          <w:w w:val="80"/>
        </w:rPr>
        <w:t xml:space="preserve">ꎻ </w:t>
      </w:r>
      <w:r>
        <w:rPr>
          <w:w w:val="105"/>
        </w:rPr>
        <w:t>矿井以</w:t>
      </w:r>
      <w:r>
        <w:t>断层分界的</w:t>
      </w:r>
      <w:r>
        <w:rPr>
          <w:rFonts w:hint="eastAsia" w:ascii="MS UI Gothic" w:eastAsia="MS UI Gothic"/>
          <w:w w:val="80"/>
        </w:rPr>
        <w:t xml:space="preserve">ꎬ </w:t>
      </w:r>
      <w:r>
        <w:t>应当在断层两侧留有防隔水</w:t>
      </w:r>
      <w:r>
        <w:rPr>
          <w:w w:val="105"/>
        </w:rPr>
        <w:t xml:space="preserve">煤 </w:t>
      </w:r>
      <w:r>
        <w:rPr>
          <w:rFonts w:hint="eastAsia" w:ascii="MS UI Gothic" w:eastAsia="MS UI Gothic"/>
          <w:w w:val="150"/>
        </w:rPr>
        <w:t xml:space="preserve">( </w:t>
      </w:r>
      <w:r>
        <w:rPr>
          <w:w w:val="105"/>
        </w:rPr>
        <w:t>岩</w:t>
      </w:r>
      <w:r>
        <w:rPr>
          <w:rFonts w:hint="eastAsia" w:ascii="MS UI Gothic" w:eastAsia="MS UI Gothic"/>
          <w:w w:val="150"/>
        </w:rPr>
        <w:t xml:space="preserve">) </w:t>
      </w:r>
      <w:r>
        <w:rPr>
          <w:w w:val="105"/>
        </w:rPr>
        <w:t>柱</w:t>
      </w:r>
      <w:r>
        <w:rPr>
          <w:rFonts w:hint="eastAsia" w:ascii="MS UI Gothic" w:eastAsia="MS UI Gothic"/>
          <w:w w:val="80"/>
        </w:rPr>
        <w:t>ꎮ</w:t>
      </w:r>
    </w:p>
    <w:p>
      <w:pPr>
        <w:pStyle w:val="6"/>
        <w:spacing w:line="295" w:lineRule="auto"/>
        <w:ind w:right="440"/>
        <w:rPr>
          <w:rFonts w:hint="eastAsia" w:ascii="MS UI Gothic" w:eastAsia="MS UI Gothic"/>
        </w:rPr>
      </w:pPr>
      <w:r>
        <w:rPr>
          <w:spacing w:val="13"/>
          <w:w w:val="105"/>
        </w:rPr>
        <w:t xml:space="preserve">矿井防隔水煤 </w:t>
      </w:r>
      <w:r>
        <w:rPr>
          <w:rFonts w:hint="eastAsia" w:ascii="MS UI Gothic" w:eastAsia="MS UI Gothic"/>
          <w:spacing w:val="-32"/>
          <w:w w:val="150"/>
        </w:rPr>
        <w:t xml:space="preserve">( </w:t>
      </w:r>
      <w:r>
        <w:rPr>
          <w:spacing w:val="21"/>
          <w:w w:val="105"/>
        </w:rPr>
        <w:t>岩</w:t>
      </w:r>
      <w:r>
        <w:rPr>
          <w:rFonts w:hint="eastAsia" w:ascii="MS UI Gothic" w:eastAsia="MS UI Gothic"/>
          <w:spacing w:val="7"/>
          <w:w w:val="150"/>
        </w:rPr>
        <w:t xml:space="preserve">) </w:t>
      </w:r>
      <w:r>
        <w:rPr>
          <w:spacing w:val="25"/>
          <w:w w:val="105"/>
        </w:rPr>
        <w:t>柱一经确定</w:t>
      </w:r>
      <w:r>
        <w:rPr>
          <w:rFonts w:hint="eastAsia" w:ascii="MS UI Gothic" w:eastAsia="MS UI Gothic"/>
          <w:spacing w:val="-12"/>
          <w:w w:val="80"/>
        </w:rPr>
        <w:t>ꎬ</w:t>
      </w:r>
      <w:r>
        <w:rPr>
          <w:spacing w:val="3"/>
        </w:rPr>
        <w:t>不得随意变动</w:t>
      </w:r>
      <w:r>
        <w:rPr>
          <w:rFonts w:hint="eastAsia" w:ascii="MS UI Gothic" w:eastAsia="MS UI Gothic"/>
          <w:spacing w:val="23"/>
          <w:w w:val="80"/>
        </w:rPr>
        <w:t xml:space="preserve">ꎬ </w:t>
      </w:r>
      <w:r>
        <w:rPr>
          <w:spacing w:val="3"/>
        </w:rPr>
        <w:t>并通报相邻矿井</w:t>
      </w:r>
      <w:r>
        <w:rPr>
          <w:rFonts w:hint="eastAsia" w:ascii="MS UI Gothic" w:eastAsia="MS UI Gothic"/>
          <w:spacing w:val="23"/>
          <w:w w:val="80"/>
        </w:rPr>
        <w:t xml:space="preserve">ꎮ </w:t>
      </w:r>
      <w:r>
        <w:rPr>
          <w:spacing w:val="2"/>
        </w:rPr>
        <w:t>严禁在</w:t>
      </w:r>
      <w:r>
        <w:rPr>
          <w:spacing w:val="-3"/>
          <w:w w:val="105"/>
        </w:rPr>
        <w:t xml:space="preserve">设计确定的各类防隔水煤 </w:t>
      </w:r>
      <w:r>
        <w:rPr>
          <w:rFonts w:hint="eastAsia" w:ascii="MS UI Gothic" w:eastAsia="MS UI Gothic"/>
          <w:spacing w:val="-38"/>
          <w:w w:val="150"/>
        </w:rPr>
        <w:t xml:space="preserve">( </w:t>
      </w:r>
      <w:r>
        <w:rPr>
          <w:spacing w:val="3"/>
          <w:w w:val="105"/>
        </w:rPr>
        <w:t>岩</w:t>
      </w:r>
      <w:r>
        <w:rPr>
          <w:rFonts w:hint="eastAsia" w:ascii="MS UI Gothic" w:eastAsia="MS UI Gothic"/>
          <w:spacing w:val="5"/>
          <w:w w:val="150"/>
        </w:rPr>
        <w:t xml:space="preserve">) </w:t>
      </w:r>
      <w:r>
        <w:rPr>
          <w:spacing w:val="2"/>
          <w:w w:val="105"/>
        </w:rPr>
        <w:t>柱中进行</w:t>
      </w:r>
      <w:r>
        <w:rPr>
          <w:spacing w:val="3"/>
          <w:w w:val="105"/>
        </w:rPr>
        <w:t>采掘活动</w:t>
      </w:r>
      <w:r>
        <w:rPr>
          <w:rFonts w:hint="eastAsia" w:ascii="MS UI Gothic" w:eastAsia="MS UI Gothic"/>
          <w:w w:val="80"/>
        </w:rPr>
        <w:t>ꎮ</w:t>
      </w:r>
    </w:p>
    <w:p>
      <w:pPr>
        <w:pStyle w:val="6"/>
        <w:tabs>
          <w:tab w:val="left" w:pos="2220"/>
        </w:tabs>
        <w:spacing w:line="253" w:lineRule="exact"/>
        <w:ind w:left="543" w:firstLine="0"/>
        <w:jc w:val="left"/>
      </w:pPr>
      <w:r>
        <w:rPr>
          <w:spacing w:val="3"/>
          <w:w w:val="105"/>
        </w:rPr>
        <w:t>第二百九十八</w:t>
      </w:r>
      <w:r>
        <w:rPr>
          <w:w w:val="105"/>
        </w:rPr>
        <w:t>条</w:t>
      </w:r>
      <w:r>
        <w:rPr>
          <w:w w:val="105"/>
        </w:rPr>
        <w:tab/>
      </w:r>
      <w:r>
        <w:rPr>
          <w:spacing w:val="3"/>
          <w:w w:val="105"/>
        </w:rPr>
        <w:t>在采掘工程平面</w:t>
      </w:r>
      <w:r>
        <w:rPr>
          <w:w w:val="105"/>
        </w:rPr>
        <w:t>图</w:t>
      </w:r>
    </w:p>
    <w:p>
      <w:pPr>
        <w:spacing w:after="0" w:line="253"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２８１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75" o:spid="_x0000_s1875" o:spt="203" style="height:2.15pt;width:398.25pt;" coordsize="7965,43">
            <o:lock v:ext="edit"/>
            <v:line id="_x0000_s1876" o:spid="_x0000_s1876" o:spt="20" style="position:absolute;left:0;top:39;height:0;width:7965;" stroked="t" coordsize="21600,21600">
              <v:path arrowok="t"/>
              <v:fill focussize="0,0"/>
              <v:stroke weight="0.388031496062992pt" color="#231F20"/>
              <v:imagedata o:title=""/>
              <o:lock v:ext="edit"/>
            </v:line>
            <v:line id="_x0000_s1877" o:spid="_x0000_s187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和矿井充水性图上必须标绘出井巷出水点的位置及其涌水量</w:t>
      </w:r>
      <w:r>
        <w:rPr>
          <w:rFonts w:hint="eastAsia" w:ascii="MS UI Gothic" w:eastAsia="MS UI Gothic"/>
          <w:w w:val="80"/>
        </w:rPr>
        <w:t xml:space="preserve">、 </w:t>
      </w:r>
      <w:r>
        <w:t>积水的井巷及采空区范围</w:t>
      </w:r>
      <w:r>
        <w:rPr>
          <w:rFonts w:hint="eastAsia" w:ascii="MS UI Gothic" w:eastAsia="MS UI Gothic"/>
          <w:w w:val="80"/>
        </w:rPr>
        <w:t xml:space="preserve">、 </w:t>
      </w:r>
      <w:r>
        <w:t>底板标高</w:t>
      </w:r>
      <w:r>
        <w:rPr>
          <w:rFonts w:hint="eastAsia" w:ascii="MS UI Gothic" w:eastAsia="MS UI Gothic"/>
          <w:w w:val="80"/>
        </w:rPr>
        <w:t xml:space="preserve">、 </w:t>
      </w:r>
      <w:r>
        <w:t>积水量</w:t>
      </w:r>
      <w:r>
        <w:rPr>
          <w:rFonts w:hint="eastAsia" w:ascii="MS UI Gothic" w:eastAsia="MS UI Gothic"/>
          <w:w w:val="80"/>
        </w:rPr>
        <w:t xml:space="preserve">、 </w:t>
      </w:r>
      <w:r>
        <w:t>地表水体和水患异常区等</w:t>
      </w:r>
      <w:r>
        <w:rPr>
          <w:rFonts w:hint="eastAsia" w:ascii="MS UI Gothic" w:eastAsia="MS UI Gothic"/>
          <w:w w:val="80"/>
        </w:rPr>
        <w:t xml:space="preserve">ꎮ </w:t>
      </w:r>
      <w:r>
        <w:t>在水淹区域应当标出积水线</w:t>
      </w:r>
      <w:r>
        <w:rPr>
          <w:rFonts w:hint="eastAsia" w:ascii="MS UI Gothic" w:eastAsia="MS UI Gothic"/>
          <w:w w:val="80"/>
        </w:rPr>
        <w:t xml:space="preserve">、 </w:t>
      </w:r>
      <w:r>
        <w:t>探水线和警戒线的位置</w:t>
      </w:r>
      <w:r>
        <w:rPr>
          <w:rFonts w:hint="eastAsia" w:ascii="MS UI Gothic" w:eastAsia="MS UI Gothic"/>
          <w:w w:val="80"/>
        </w:rPr>
        <w:t>ꎮ</w:t>
      </w:r>
    </w:p>
    <w:p>
      <w:pPr>
        <w:pStyle w:val="6"/>
        <w:spacing w:line="295" w:lineRule="auto"/>
        <w:ind w:left="440"/>
        <w:rPr>
          <w:rFonts w:hint="eastAsia" w:ascii="MS UI Gothic" w:hAnsi="MS UI Gothic" w:eastAsia="MS UI Gothic"/>
        </w:rPr>
      </w:pPr>
      <w:r>
        <w:t>第二百九十九条 受水淹区积水威胁的区域</w:t>
      </w:r>
      <w:r>
        <w:rPr>
          <w:rFonts w:hint="eastAsia" w:ascii="MS UI Gothic" w:hAnsi="MS UI Gothic" w:eastAsia="MS UI Gothic"/>
          <w:w w:val="80"/>
        </w:rPr>
        <w:t xml:space="preserve">ꎬ </w:t>
      </w:r>
      <w:r>
        <w:t>必须在排除积水</w:t>
      </w:r>
      <w:r>
        <w:rPr>
          <w:rFonts w:hint="eastAsia" w:ascii="MS UI Gothic" w:hAnsi="MS UI Gothic" w:eastAsia="MS UI Gothic"/>
          <w:w w:val="80"/>
        </w:rPr>
        <w:t xml:space="preserve">、 </w:t>
      </w:r>
      <w:r>
        <w:t>消除威胁后方可进行采掘作业</w:t>
      </w:r>
      <w:r>
        <w:rPr>
          <w:rFonts w:hint="eastAsia" w:ascii="MS UI Gothic" w:hAnsi="MS UI Gothic" w:eastAsia="MS UI Gothic"/>
          <w:w w:val="80"/>
        </w:rPr>
        <w:t xml:space="preserve">ꎻ </w:t>
      </w:r>
      <w:r>
        <w:t>如果无法排除积水</w:t>
      </w:r>
      <w:r>
        <w:rPr>
          <w:rFonts w:hint="eastAsia" w:ascii="MS UI Gothic" w:hAnsi="MS UI Gothic" w:eastAsia="MS UI Gothic"/>
          <w:w w:val="80"/>
        </w:rPr>
        <w:t xml:space="preserve">ꎬ </w:t>
      </w:r>
      <w:r>
        <w:t>开采倾斜</w:t>
      </w:r>
      <w:r>
        <w:rPr>
          <w:rFonts w:hint="eastAsia" w:ascii="MS UI Gothic" w:hAnsi="MS UI Gothic" w:eastAsia="MS UI Gothic"/>
          <w:w w:val="80"/>
        </w:rPr>
        <w:t xml:space="preserve">、 </w:t>
      </w:r>
      <w:r>
        <w:t>缓倾斜煤层的</w:t>
      </w:r>
      <w:r>
        <w:rPr>
          <w:rFonts w:hint="eastAsia" w:ascii="MS UI Gothic" w:hAnsi="MS UI Gothic" w:eastAsia="MS UI Gothic"/>
          <w:w w:val="80"/>
        </w:rPr>
        <w:t xml:space="preserve">ꎬ </w:t>
      </w:r>
      <w:r>
        <w:t xml:space="preserve">必须按照 </w:t>
      </w:r>
      <w:r>
        <w:rPr>
          <w:rFonts w:hint="eastAsia" w:ascii="MS UI Gothic" w:hAnsi="MS UI Gothic" w:eastAsia="MS UI Gothic"/>
          <w:w w:val="80"/>
        </w:rPr>
        <w:t xml:space="preserve">« </w:t>
      </w:r>
      <w:r>
        <w:t>建筑物</w:t>
      </w:r>
      <w:r>
        <w:rPr>
          <w:rFonts w:hint="eastAsia" w:ascii="MS UI Gothic" w:hAnsi="MS UI Gothic" w:eastAsia="MS UI Gothic"/>
          <w:w w:val="80"/>
        </w:rPr>
        <w:t xml:space="preserve">、 </w:t>
      </w:r>
      <w:r>
        <w:t>水体</w:t>
      </w:r>
      <w:r>
        <w:rPr>
          <w:rFonts w:hint="eastAsia" w:ascii="MS UI Gothic" w:hAnsi="MS UI Gothic" w:eastAsia="MS UI Gothic"/>
          <w:w w:val="80"/>
        </w:rPr>
        <w:t xml:space="preserve">、 </w:t>
      </w:r>
      <w:r>
        <w:t>铁路及主要井巷煤柱留设与压煤开采规程</w:t>
      </w:r>
      <w:r>
        <w:rPr>
          <w:rFonts w:hint="eastAsia" w:ascii="MS UI Gothic" w:hAnsi="MS UI Gothic" w:eastAsia="MS UI Gothic"/>
          <w:w w:val="80"/>
        </w:rPr>
        <w:t xml:space="preserve">» </w:t>
      </w:r>
      <w:r>
        <w:t>中有关水体下开采的规定</w:t>
      </w:r>
      <w:r>
        <w:rPr>
          <w:rFonts w:hint="eastAsia" w:ascii="MS UI Gothic" w:hAnsi="MS UI Gothic" w:eastAsia="MS UI Gothic"/>
          <w:w w:val="80"/>
        </w:rPr>
        <w:t>ꎬ</w:t>
      </w:r>
      <w:r>
        <w:t>编制专项开采设计</w:t>
      </w:r>
      <w:r>
        <w:rPr>
          <w:rFonts w:hint="eastAsia" w:ascii="MS UI Gothic" w:hAnsi="MS UI Gothic" w:eastAsia="MS UI Gothic"/>
          <w:w w:val="80"/>
        </w:rPr>
        <w:t xml:space="preserve">ꎬ </w:t>
      </w:r>
      <w:r>
        <w:t>由煤矿企业主要负责人审批后</w:t>
      </w:r>
      <w:r>
        <w:rPr>
          <w:rFonts w:hint="eastAsia" w:ascii="MS UI Gothic" w:hAnsi="MS UI Gothic" w:eastAsia="MS UI Gothic"/>
          <w:w w:val="80"/>
        </w:rPr>
        <w:t xml:space="preserve">ꎬ </w:t>
      </w:r>
      <w:r>
        <w:t>方可进行</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t>严禁开采地表水体</w:t>
      </w:r>
      <w:r>
        <w:rPr>
          <w:rFonts w:hint="eastAsia" w:ascii="MS UI Gothic" w:eastAsia="MS UI Gothic"/>
          <w:w w:val="80"/>
        </w:rPr>
        <w:t xml:space="preserve">、 </w:t>
      </w:r>
      <w:r>
        <w:t>强含水层</w:t>
      </w:r>
      <w:r>
        <w:rPr>
          <w:rFonts w:hint="eastAsia" w:ascii="MS UI Gothic" w:eastAsia="MS UI Gothic"/>
          <w:w w:val="80"/>
        </w:rPr>
        <w:t xml:space="preserve">、 </w:t>
      </w:r>
      <w:r>
        <w:t>采空区水淹区域下且水患威胁未消除的急倾斜煤层</w:t>
      </w:r>
      <w:r>
        <w:rPr>
          <w:rFonts w:hint="eastAsia" w:ascii="MS UI Gothic" w:eastAsia="MS UI Gothic"/>
          <w:w w:val="80"/>
        </w:rPr>
        <w:t>ꎮ</w:t>
      </w:r>
    </w:p>
    <w:p>
      <w:pPr>
        <w:pStyle w:val="6"/>
        <w:spacing w:line="295" w:lineRule="auto"/>
        <w:ind w:left="440" w:right="1"/>
        <w:rPr>
          <w:rFonts w:hint="eastAsia" w:ascii="MS UI Gothic" w:eastAsia="MS UI Gothic"/>
        </w:rPr>
      </w:pPr>
      <w:r>
        <w:t>第三百条 在未固结的灌浆区</w:t>
      </w:r>
      <w:r>
        <w:rPr>
          <w:rFonts w:hint="eastAsia" w:ascii="MS UI Gothic" w:eastAsia="MS UI Gothic"/>
          <w:w w:val="80"/>
        </w:rPr>
        <w:t xml:space="preserve">、 </w:t>
      </w:r>
      <w:r>
        <w:t>有淤泥的废弃井巷</w:t>
      </w:r>
      <w:r>
        <w:rPr>
          <w:rFonts w:hint="eastAsia" w:ascii="MS UI Gothic" w:eastAsia="MS UI Gothic"/>
          <w:w w:val="80"/>
        </w:rPr>
        <w:t xml:space="preserve">、 </w:t>
      </w:r>
      <w:r>
        <w:t>岩石洞穴附近采掘时</w:t>
      </w:r>
      <w:r>
        <w:rPr>
          <w:rFonts w:hint="eastAsia" w:ascii="MS UI Gothic" w:eastAsia="MS UI Gothic"/>
          <w:w w:val="80"/>
        </w:rPr>
        <w:t xml:space="preserve">ꎬ </w:t>
      </w:r>
      <w:r>
        <w:t>应当制定专项安全技术措施</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第三百零一条 开采水淹区域下的废</w:t>
      </w:r>
      <w:r>
        <w:t>弃防隔水煤柱时</w:t>
      </w:r>
      <w:r>
        <w:rPr>
          <w:rFonts w:hint="eastAsia" w:ascii="MS UI Gothic" w:eastAsia="MS UI Gothic"/>
          <w:w w:val="80"/>
        </w:rPr>
        <w:t xml:space="preserve">ꎬ </w:t>
      </w:r>
      <w:r>
        <w:t>应当彻底疏干上部积</w:t>
      </w:r>
      <w:r>
        <w:rPr>
          <w:w w:val="105"/>
        </w:rPr>
        <w:t>水</w:t>
      </w:r>
      <w:r>
        <w:rPr>
          <w:rFonts w:hint="eastAsia" w:ascii="MS UI Gothic" w:eastAsia="MS UI Gothic"/>
          <w:w w:val="80"/>
        </w:rPr>
        <w:t xml:space="preserve">ꎬ </w:t>
      </w:r>
      <w:r>
        <w:rPr>
          <w:w w:val="105"/>
        </w:rPr>
        <w:t>进行安全性论证</w:t>
      </w:r>
      <w:r>
        <w:rPr>
          <w:rFonts w:hint="eastAsia" w:ascii="MS UI Gothic" w:eastAsia="MS UI Gothic"/>
          <w:w w:val="80"/>
        </w:rPr>
        <w:t xml:space="preserve">ꎬ </w:t>
      </w:r>
      <w:r>
        <w:rPr>
          <w:w w:val="105"/>
        </w:rPr>
        <w:t xml:space="preserve">确保无溃浆 </w:t>
      </w:r>
      <w:r>
        <w:rPr>
          <w:rFonts w:hint="eastAsia" w:ascii="MS UI Gothic" w:eastAsia="MS UI Gothic"/>
          <w:w w:val="150"/>
        </w:rPr>
        <w:t xml:space="preserve">( </w:t>
      </w:r>
      <w:r>
        <w:rPr>
          <w:w w:val="105"/>
        </w:rPr>
        <w:t>砂</w:t>
      </w:r>
      <w:r>
        <w:rPr>
          <w:rFonts w:hint="eastAsia" w:ascii="MS UI Gothic" w:eastAsia="MS UI Gothic"/>
          <w:w w:val="150"/>
        </w:rPr>
        <w:t xml:space="preserve">) </w:t>
      </w:r>
      <w:r>
        <w:rPr>
          <w:w w:val="105"/>
        </w:rPr>
        <w:t>威胁</w:t>
      </w:r>
      <w:r>
        <w:rPr>
          <w:rFonts w:hint="eastAsia" w:ascii="MS UI Gothic" w:eastAsia="MS UI Gothic"/>
          <w:w w:val="80"/>
        </w:rPr>
        <w:t xml:space="preserve">ꎮ </w:t>
      </w:r>
      <w:r>
        <w:rPr>
          <w:w w:val="105"/>
        </w:rPr>
        <w:t>严禁顶水作业</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第三百零二条  井田内有与河流</w:t>
      </w:r>
      <w:r>
        <w:rPr>
          <w:rFonts w:hint="eastAsia" w:ascii="MS UI Gothic" w:eastAsia="MS UI Gothic"/>
          <w:w w:val="80"/>
        </w:rPr>
        <w:t>、</w:t>
      </w:r>
      <w:r>
        <w:rPr>
          <w:w w:val="105"/>
        </w:rPr>
        <w:t>湖泊</w:t>
      </w:r>
      <w:r>
        <w:rPr>
          <w:rFonts w:hint="eastAsia" w:ascii="MS UI Gothic" w:eastAsia="MS UI Gothic"/>
          <w:w w:val="80"/>
        </w:rPr>
        <w:t xml:space="preserve">、 </w:t>
      </w:r>
      <w:r>
        <w:rPr>
          <w:w w:val="105"/>
        </w:rPr>
        <w:t>充水溶洞</w:t>
      </w:r>
      <w:r>
        <w:rPr>
          <w:rFonts w:hint="eastAsia" w:ascii="MS UI Gothic" w:eastAsia="MS UI Gothic"/>
          <w:w w:val="80"/>
        </w:rPr>
        <w:t xml:space="preserve">、 </w:t>
      </w:r>
      <w:r>
        <w:rPr>
          <w:w w:val="105"/>
        </w:rPr>
        <w:t>强或者极强含水层等存在水力联系的导水断层</w:t>
      </w:r>
      <w:r>
        <w:rPr>
          <w:rFonts w:hint="eastAsia" w:ascii="MS UI Gothic" w:eastAsia="MS UI Gothic"/>
          <w:w w:val="80"/>
        </w:rPr>
        <w:t xml:space="preserve">、 </w:t>
      </w:r>
      <w:r>
        <w:rPr>
          <w:w w:val="105"/>
        </w:rPr>
        <w:t xml:space="preserve">裂隙 </w:t>
      </w:r>
      <w:r>
        <w:rPr>
          <w:rFonts w:hint="eastAsia" w:ascii="MS UI Gothic" w:eastAsia="MS UI Gothic"/>
          <w:w w:val="150"/>
        </w:rPr>
        <w:t xml:space="preserve">( </w:t>
      </w:r>
      <w:r>
        <w:rPr>
          <w:w w:val="105"/>
        </w:rPr>
        <w:t>带</w:t>
      </w:r>
      <w:r>
        <w:rPr>
          <w:rFonts w:hint="eastAsia" w:ascii="MS UI Gothic" w:eastAsia="MS UI Gothic"/>
          <w:w w:val="150"/>
        </w:rPr>
        <w:t>)</w:t>
      </w:r>
      <w:r>
        <w:rPr>
          <w:rFonts w:hint="eastAsia" w:ascii="MS UI Gothic" w:eastAsia="MS UI Gothic"/>
          <w:w w:val="80"/>
        </w:rPr>
        <w:t xml:space="preserve">、 </w:t>
      </w:r>
      <w:r>
        <w:rPr>
          <w:w w:val="105"/>
        </w:rPr>
        <w:t>陷</w:t>
      </w:r>
      <w:r>
        <w:t>落柱和封闭不良钻孔等通道时</w:t>
      </w:r>
      <w:r>
        <w:rPr>
          <w:rFonts w:hint="eastAsia" w:ascii="MS UI Gothic" w:eastAsia="MS UI Gothic"/>
          <w:w w:val="80"/>
        </w:rPr>
        <w:t xml:space="preserve">ꎬ </w:t>
      </w:r>
      <w:r>
        <w:t>应当查明</w:t>
      </w:r>
      <w:r>
        <w:rPr>
          <w:w w:val="105"/>
        </w:rPr>
        <w:t>其确切位置</w:t>
      </w:r>
      <w:r>
        <w:rPr>
          <w:rFonts w:hint="eastAsia" w:ascii="MS UI Gothic" w:eastAsia="MS UI Gothic"/>
          <w:w w:val="80"/>
        </w:rPr>
        <w:t xml:space="preserve">ꎬ </w:t>
      </w:r>
      <w:r>
        <w:rPr>
          <w:w w:val="105"/>
        </w:rPr>
        <w:t xml:space="preserve">并采取留设防隔水煤 </w:t>
      </w:r>
      <w:r>
        <w:rPr>
          <w:rFonts w:hint="eastAsia" w:ascii="MS UI Gothic" w:eastAsia="MS UI Gothic"/>
          <w:w w:val="150"/>
        </w:rPr>
        <w:t xml:space="preserve">( </w:t>
      </w:r>
      <w:r>
        <w:rPr>
          <w:w w:val="105"/>
        </w:rPr>
        <w:t>岩</w:t>
      </w:r>
      <w:r>
        <w:rPr>
          <w:rFonts w:hint="eastAsia" w:ascii="MS UI Gothic" w:eastAsia="MS UI Gothic"/>
          <w:w w:val="150"/>
        </w:rPr>
        <w:t xml:space="preserve">) </w:t>
      </w:r>
      <w:r>
        <w:rPr>
          <w:w w:val="105"/>
        </w:rPr>
        <w:t>柱等防治水措施</w:t>
      </w:r>
      <w:r>
        <w:rPr>
          <w:rFonts w:hint="eastAsia" w:ascii="MS UI Gothic" w:eastAsia="MS UI Gothic"/>
          <w:w w:val="80"/>
        </w:rPr>
        <w:t>ꎮ</w:t>
      </w:r>
    </w:p>
    <w:p>
      <w:pPr>
        <w:pStyle w:val="6"/>
        <w:spacing w:line="295" w:lineRule="auto"/>
        <w:ind w:left="440" w:right="1"/>
        <w:rPr>
          <w:rFonts w:hint="eastAsia" w:ascii="MS UI Gothic" w:eastAsia="MS UI Gothic"/>
        </w:rPr>
      </w:pPr>
      <w:r>
        <w:t>第三百零三条 对于煤层顶</w:t>
      </w:r>
      <w:r>
        <w:rPr>
          <w:rFonts w:hint="eastAsia" w:ascii="MS UI Gothic" w:eastAsia="MS UI Gothic"/>
          <w:w w:val="80"/>
        </w:rPr>
        <w:t xml:space="preserve">、 </w:t>
      </w:r>
      <w:r>
        <w:t>底板带压的采掘工作面</w:t>
      </w:r>
      <w:r>
        <w:rPr>
          <w:rFonts w:hint="eastAsia" w:ascii="MS UI Gothic" w:eastAsia="MS UI Gothic"/>
          <w:w w:val="80"/>
        </w:rPr>
        <w:t xml:space="preserve">ꎬ </w:t>
      </w:r>
      <w:r>
        <w:t>应当提前编制防治水设计</w:t>
      </w:r>
      <w:r>
        <w:rPr>
          <w:rFonts w:hint="eastAsia" w:ascii="MS UI Gothic" w:eastAsia="MS UI Gothic"/>
          <w:w w:val="80"/>
        </w:rPr>
        <w:t xml:space="preserve">ꎬ </w:t>
      </w:r>
      <w:r>
        <w:t>制定并落实水害防治措施</w:t>
      </w:r>
      <w:r>
        <w:rPr>
          <w:rFonts w:hint="eastAsia" w:ascii="MS UI Gothic" w:eastAsia="MS UI Gothic"/>
          <w:w w:val="80"/>
        </w:rPr>
        <w:t>ꎮ</w:t>
      </w:r>
    </w:p>
    <w:p>
      <w:pPr>
        <w:pStyle w:val="6"/>
        <w:spacing w:line="295" w:lineRule="auto"/>
        <w:ind w:left="440"/>
      </w:pPr>
      <w:r>
        <w:rPr>
          <w:spacing w:val="2"/>
          <w:w w:val="105"/>
        </w:rPr>
        <w:t>第三百零四条 煤层顶板存在富水性</w:t>
      </w:r>
      <w:r>
        <w:rPr>
          <w:spacing w:val="4"/>
        </w:rPr>
        <w:t>中等及以上含水层或者其他水体威胁时</w:t>
      </w:r>
      <w:r>
        <w:rPr>
          <w:rFonts w:hint="eastAsia" w:ascii="MS UI Gothic" w:eastAsia="MS UI Gothic"/>
          <w:w w:val="80"/>
        </w:rPr>
        <w:t>ꎬ</w:t>
      </w:r>
      <w:r>
        <w:rPr>
          <w:spacing w:val="4"/>
        </w:rPr>
        <w:t>应当实测垮落带</w:t>
      </w:r>
      <w:r>
        <w:rPr>
          <w:rFonts w:hint="eastAsia" w:ascii="MS UI Gothic" w:eastAsia="MS UI Gothic"/>
          <w:spacing w:val="22"/>
          <w:w w:val="80"/>
        </w:rPr>
        <w:t xml:space="preserve">、 </w:t>
      </w:r>
      <w:r>
        <w:rPr>
          <w:spacing w:val="11"/>
        </w:rPr>
        <w:t>导水裂隙带发育高度</w:t>
      </w:r>
      <w:r>
        <w:rPr>
          <w:rFonts w:hint="eastAsia" w:ascii="MS UI Gothic" w:eastAsia="MS UI Gothic"/>
          <w:w w:val="80"/>
        </w:rPr>
        <w:t>ꎬ</w:t>
      </w:r>
      <w:r>
        <w:rPr>
          <w:spacing w:val="3"/>
          <w:w w:val="105"/>
        </w:rPr>
        <w:t>进行专项设计</w:t>
      </w:r>
      <w:r>
        <w:rPr>
          <w:rFonts w:hint="eastAsia" w:ascii="MS UI Gothic" w:eastAsia="MS UI Gothic"/>
          <w:spacing w:val="13"/>
          <w:w w:val="80"/>
        </w:rPr>
        <w:t xml:space="preserve">ꎬ </w:t>
      </w:r>
      <w:r>
        <w:rPr>
          <w:spacing w:val="-7"/>
          <w:w w:val="105"/>
        </w:rPr>
        <w:t xml:space="preserve">确定防隔水煤 </w:t>
      </w:r>
      <w:r>
        <w:rPr>
          <w:rFonts w:hint="eastAsia" w:ascii="MS UI Gothic" w:eastAsia="MS UI Gothic"/>
          <w:spacing w:val="-39"/>
          <w:w w:val="150"/>
        </w:rPr>
        <w:t xml:space="preserve">( </w:t>
      </w:r>
      <w:r>
        <w:rPr>
          <w:spacing w:val="3"/>
          <w:w w:val="105"/>
        </w:rPr>
        <w:t>岩</w:t>
      </w:r>
      <w:r>
        <w:rPr>
          <w:rFonts w:hint="eastAsia" w:ascii="MS UI Gothic" w:eastAsia="MS UI Gothic"/>
          <w:spacing w:val="-1"/>
          <w:w w:val="150"/>
        </w:rPr>
        <w:t xml:space="preserve">) </w:t>
      </w:r>
      <w:r>
        <w:rPr>
          <w:spacing w:val="1"/>
          <w:w w:val="105"/>
        </w:rPr>
        <w:t>柱尺</w:t>
      </w:r>
      <w:r>
        <w:rPr>
          <w:spacing w:val="3"/>
        </w:rPr>
        <w:t>寸</w:t>
      </w:r>
      <w:r>
        <w:rPr>
          <w:rFonts w:hint="eastAsia" w:ascii="MS UI Gothic" w:eastAsia="MS UI Gothic"/>
          <w:spacing w:val="21"/>
          <w:w w:val="80"/>
        </w:rPr>
        <w:t xml:space="preserve">ꎮ </w:t>
      </w:r>
      <w:r>
        <w:rPr>
          <w:spacing w:val="2"/>
        </w:rPr>
        <w:t>当导水裂隙带范围内的含水层或者老</w:t>
      </w:r>
      <w:r>
        <w:rPr>
          <w:spacing w:val="3"/>
        </w:rPr>
        <w:t>空积水等水体影响采掘安全时</w:t>
      </w:r>
      <w:r>
        <w:rPr>
          <w:rFonts w:hint="eastAsia" w:ascii="MS UI Gothic" w:eastAsia="MS UI Gothic"/>
          <w:spacing w:val="21"/>
          <w:w w:val="80"/>
        </w:rPr>
        <w:t xml:space="preserve">ꎬ </w:t>
      </w:r>
      <w:r>
        <w:rPr>
          <w:spacing w:val="2"/>
        </w:rPr>
        <w:t>应当超前</w:t>
      </w:r>
      <w:r>
        <w:rPr>
          <w:spacing w:val="3"/>
        </w:rPr>
        <w:t>进行钻探疏放或者注浆改造含水层</w:t>
      </w:r>
      <w:r>
        <w:rPr>
          <w:rFonts w:hint="eastAsia" w:ascii="MS UI Gothic" w:eastAsia="MS UI Gothic"/>
          <w:spacing w:val="21"/>
          <w:w w:val="80"/>
        </w:rPr>
        <w:t xml:space="preserve">ꎬ </w:t>
      </w:r>
      <w:r>
        <w:rPr>
          <w:spacing w:val="1"/>
        </w:rPr>
        <w:t>待疏</w:t>
      </w:r>
    </w:p>
    <w:p>
      <w:pPr>
        <w:pStyle w:val="6"/>
        <w:spacing w:before="124" w:line="295" w:lineRule="auto"/>
        <w:ind w:left="381" w:right="126" w:firstLine="0"/>
        <w:rPr>
          <w:rFonts w:hint="eastAsia" w:ascii="MS UI Gothic" w:eastAsia="MS UI Gothic"/>
        </w:rPr>
      </w:pPr>
      <w:r>
        <w:br w:type="column"/>
      </w:r>
      <w:r>
        <w:t>放水完毕或者注浆改造等工程结束</w:t>
      </w:r>
      <w:r>
        <w:rPr>
          <w:rFonts w:hint="eastAsia" w:ascii="MS UI Gothic" w:eastAsia="MS UI Gothic"/>
          <w:w w:val="80"/>
        </w:rPr>
        <w:t xml:space="preserve">、 </w:t>
      </w:r>
      <w:r>
        <w:t>消除突水威胁后</w:t>
      </w:r>
      <w:r>
        <w:rPr>
          <w:rFonts w:hint="eastAsia" w:ascii="MS UI Gothic" w:eastAsia="MS UI Gothic"/>
          <w:w w:val="80"/>
        </w:rPr>
        <w:t xml:space="preserve">ꎬ </w:t>
      </w:r>
      <w:r>
        <w:t>方可进行采掘活动</w:t>
      </w:r>
      <w:r>
        <w:rPr>
          <w:rFonts w:hint="eastAsia" w:ascii="MS UI Gothic" w:eastAsia="MS UI Gothic"/>
          <w:w w:val="80"/>
        </w:rPr>
        <w:t>ꎮ</w:t>
      </w:r>
    </w:p>
    <w:p>
      <w:pPr>
        <w:pStyle w:val="6"/>
        <w:spacing w:line="295" w:lineRule="auto"/>
        <w:ind w:left="381" w:right="124"/>
        <w:rPr>
          <w:rFonts w:hint="eastAsia" w:ascii="MS UI Gothic" w:eastAsia="MS UI Gothic"/>
        </w:rPr>
      </w:pPr>
      <w:r>
        <w:t>第三百零五条 开采底板有承压含水层的煤层</w:t>
      </w:r>
      <w:r>
        <w:rPr>
          <w:rFonts w:hint="eastAsia" w:ascii="MS UI Gothic" w:eastAsia="MS UI Gothic"/>
          <w:w w:val="80"/>
        </w:rPr>
        <w:t xml:space="preserve">ꎬ </w:t>
      </w:r>
      <w:r>
        <w:t>隔水层能够承受的水头值应当大于实际水头值</w:t>
      </w:r>
      <w:r>
        <w:rPr>
          <w:rFonts w:hint="eastAsia" w:ascii="MS UI Gothic" w:eastAsia="MS UI Gothic"/>
          <w:w w:val="80"/>
        </w:rPr>
        <w:t xml:space="preserve">ꎻ </w:t>
      </w:r>
      <w:r>
        <w:t>当承压含水层与开采煤层之间的隔水层能够承受的水头值小于实际水头值时</w:t>
      </w:r>
      <w:r>
        <w:rPr>
          <w:rFonts w:hint="eastAsia" w:ascii="MS UI Gothic" w:eastAsia="MS UI Gothic"/>
          <w:w w:val="80"/>
        </w:rPr>
        <w:t xml:space="preserve">ꎬ </w:t>
      </w:r>
      <w:r>
        <w:t>应当采取疏水降压</w:t>
      </w:r>
      <w:r>
        <w:rPr>
          <w:rFonts w:hint="eastAsia" w:ascii="MS UI Gothic" w:eastAsia="MS UI Gothic"/>
          <w:w w:val="80"/>
        </w:rPr>
        <w:t xml:space="preserve">、 </w:t>
      </w:r>
      <w:r>
        <w:t>注浆加固底板改造含水层或者充填开采等措施</w:t>
      </w:r>
      <w:r>
        <w:rPr>
          <w:rFonts w:hint="eastAsia" w:ascii="MS UI Gothic" w:eastAsia="MS UI Gothic"/>
          <w:w w:val="80"/>
        </w:rPr>
        <w:t>ꎬ</w:t>
      </w:r>
      <w:r>
        <w:t>并进行效果检验</w:t>
      </w:r>
      <w:r>
        <w:rPr>
          <w:rFonts w:hint="eastAsia" w:ascii="MS UI Gothic" w:eastAsia="MS UI Gothic"/>
          <w:w w:val="80"/>
        </w:rPr>
        <w:t xml:space="preserve">ꎬ </w:t>
      </w:r>
      <w:r>
        <w:t>制定专项安全技术措施</w:t>
      </w:r>
      <w:r>
        <w:rPr>
          <w:rFonts w:hint="eastAsia" w:ascii="MS UI Gothic" w:eastAsia="MS UI Gothic"/>
          <w:w w:val="80"/>
        </w:rPr>
        <w:t xml:space="preserve">ꎬ </w:t>
      </w:r>
      <w:r>
        <w:t>报企业技术负责人审批</w:t>
      </w:r>
      <w:r>
        <w:rPr>
          <w:rFonts w:hint="eastAsia" w:ascii="MS UI Gothic" w:eastAsia="MS UI Gothic"/>
          <w:w w:val="80"/>
        </w:rPr>
        <w:t>ꎮ</w:t>
      </w:r>
    </w:p>
    <w:p>
      <w:pPr>
        <w:pStyle w:val="6"/>
        <w:spacing w:line="295" w:lineRule="auto"/>
        <w:ind w:left="381" w:right="124"/>
        <w:rPr>
          <w:rFonts w:hint="eastAsia" w:ascii="MS UI Gothic" w:eastAsia="MS UI Gothic"/>
        </w:rPr>
      </w:pPr>
      <w:r>
        <w:t>第三百零六条 矿井建设和延深中</w:t>
      </w:r>
      <w:r>
        <w:rPr>
          <w:rFonts w:hint="eastAsia" w:ascii="MS UI Gothic" w:eastAsia="MS UI Gothic"/>
          <w:w w:val="80"/>
        </w:rPr>
        <w:t>ꎬ</w:t>
      </w:r>
      <w:r>
        <w:t>当开拓到设计水平时</w:t>
      </w:r>
      <w:r>
        <w:rPr>
          <w:rFonts w:hint="eastAsia" w:ascii="MS UI Gothic" w:eastAsia="MS UI Gothic"/>
          <w:w w:val="80"/>
        </w:rPr>
        <w:t xml:space="preserve">ꎬ </w:t>
      </w:r>
      <w:r>
        <w:t>必须在建成防</w:t>
      </w:r>
      <w:r>
        <w:rPr>
          <w:rFonts w:hint="eastAsia" w:ascii="MS UI Gothic" w:eastAsia="MS UI Gothic"/>
          <w:w w:val="80"/>
        </w:rPr>
        <w:t xml:space="preserve">、 </w:t>
      </w:r>
      <w:r>
        <w:t>排水系统后方可开拓掘进</w:t>
      </w:r>
      <w:r>
        <w:rPr>
          <w:rFonts w:hint="eastAsia" w:ascii="MS UI Gothic" w:eastAsia="MS UI Gothic"/>
          <w:w w:val="80"/>
        </w:rPr>
        <w:t>ꎮ</w:t>
      </w:r>
    </w:p>
    <w:p>
      <w:pPr>
        <w:pStyle w:val="6"/>
        <w:spacing w:line="295" w:lineRule="auto"/>
        <w:ind w:left="381" w:right="126"/>
        <w:rPr>
          <w:rFonts w:hint="eastAsia" w:ascii="MS UI Gothic" w:eastAsia="MS UI Gothic"/>
        </w:rPr>
      </w:pPr>
      <w:r>
        <w:t>第三百零七条 煤层顶</w:t>
      </w:r>
      <w:r>
        <w:rPr>
          <w:rFonts w:hint="eastAsia" w:ascii="MS UI Gothic" w:eastAsia="MS UI Gothic"/>
          <w:w w:val="80"/>
        </w:rPr>
        <w:t xml:space="preserve">、 </w:t>
      </w:r>
      <w:r>
        <w:t>底板分布有强岩溶承压含水层时</w:t>
      </w:r>
      <w:r>
        <w:rPr>
          <w:rFonts w:hint="eastAsia" w:ascii="MS UI Gothic" w:eastAsia="MS UI Gothic"/>
          <w:w w:val="80"/>
        </w:rPr>
        <w:t xml:space="preserve">ꎬ </w:t>
      </w:r>
      <w:r>
        <w:t>主要运输巷</w:t>
      </w:r>
      <w:r>
        <w:rPr>
          <w:rFonts w:hint="eastAsia" w:ascii="MS UI Gothic" w:eastAsia="MS UI Gothic"/>
          <w:w w:val="80"/>
        </w:rPr>
        <w:t xml:space="preserve">、 </w:t>
      </w:r>
      <w:r>
        <w:t>轨道巷和回风巷应当布置在不受水害威胁的层位中</w:t>
      </w:r>
      <w:r>
        <w:rPr>
          <w:rFonts w:hint="eastAsia" w:ascii="MS UI Gothic" w:eastAsia="MS UI Gothic"/>
          <w:w w:val="80"/>
        </w:rPr>
        <w:t xml:space="preserve">ꎬ </w:t>
      </w:r>
      <w:r>
        <w:t>并以石门分区隔离开采</w:t>
      </w:r>
      <w:r>
        <w:rPr>
          <w:rFonts w:hint="eastAsia" w:ascii="MS UI Gothic" w:eastAsia="MS UI Gothic"/>
          <w:w w:val="80"/>
        </w:rPr>
        <w:t xml:space="preserve">ꎮ </w:t>
      </w:r>
      <w:r>
        <w:t>对已经不具备石门隔离开采条件的应当制定防突水安全技术措施</w:t>
      </w:r>
      <w:r>
        <w:rPr>
          <w:rFonts w:hint="eastAsia" w:ascii="MS UI Gothic" w:eastAsia="MS UI Gothic"/>
          <w:w w:val="80"/>
        </w:rPr>
        <w:t xml:space="preserve">ꎬ </w:t>
      </w:r>
      <w:r>
        <w:t>并报矿总工程师审批</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第三百零八条 水文地质条件复杂</w:t>
      </w:r>
      <w:r>
        <w:rPr>
          <w:rFonts w:hint="eastAsia" w:ascii="MS UI Gothic" w:eastAsia="MS UI Gothic"/>
          <w:w w:val="80"/>
        </w:rPr>
        <w:t>、</w:t>
      </w:r>
      <w:r>
        <w:t>极复杂或者有突水淹井危险的矿井</w:t>
      </w:r>
      <w:r>
        <w:rPr>
          <w:rFonts w:hint="eastAsia" w:ascii="MS UI Gothic" w:eastAsia="MS UI Gothic"/>
          <w:w w:val="80"/>
        </w:rPr>
        <w:t xml:space="preserve">ꎬ </w:t>
      </w:r>
      <w:r>
        <w:t>应当在井底车场周围设置防水闸门或者在正常排水系统基础上另外安设由地面直接供电控制</w:t>
      </w:r>
      <w:r>
        <w:rPr>
          <w:rFonts w:hint="eastAsia" w:ascii="MS UI Gothic" w:eastAsia="MS UI Gothic"/>
          <w:w w:val="80"/>
        </w:rPr>
        <w:t xml:space="preserve">ꎬ </w:t>
      </w:r>
      <w:r>
        <w:t>且排水能力不小于最大涌水量的潜水泵</w:t>
      </w:r>
      <w:r>
        <w:rPr>
          <w:rFonts w:hint="eastAsia" w:ascii="MS UI Gothic" w:eastAsia="MS UI Gothic"/>
          <w:w w:val="80"/>
        </w:rPr>
        <w:t xml:space="preserve">ꎮ </w:t>
      </w:r>
      <w:r>
        <w:t>在其他有突水危险的采掘区域</w:t>
      </w:r>
      <w:r>
        <w:rPr>
          <w:rFonts w:hint="eastAsia" w:ascii="MS UI Gothic" w:eastAsia="MS UI Gothic"/>
          <w:w w:val="80"/>
        </w:rPr>
        <w:t xml:space="preserve">ꎬ </w:t>
      </w:r>
      <w:r>
        <w:t>应当在其附近设置防水闸门</w:t>
      </w:r>
      <w:r>
        <w:rPr>
          <w:rFonts w:hint="eastAsia" w:ascii="MS UI Gothic" w:eastAsia="MS UI Gothic"/>
          <w:w w:val="80"/>
        </w:rPr>
        <w:t xml:space="preserve">ꎻ </w:t>
      </w:r>
      <w:r>
        <w:t>不具备设置防</w:t>
      </w:r>
      <w:r>
        <w:rPr>
          <w:w w:val="105"/>
        </w:rPr>
        <w:t>水闸门条件的</w:t>
      </w:r>
      <w:r>
        <w:rPr>
          <w:rFonts w:hint="eastAsia" w:ascii="MS UI Gothic" w:eastAsia="MS UI Gothic"/>
          <w:w w:val="80"/>
        </w:rPr>
        <w:t xml:space="preserve">ꎬ </w:t>
      </w:r>
      <w:r>
        <w:rPr>
          <w:w w:val="105"/>
        </w:rPr>
        <w:t xml:space="preserve">应当制定防突 </w:t>
      </w:r>
      <w:r>
        <w:rPr>
          <w:rFonts w:hint="eastAsia" w:ascii="MS UI Gothic" w:eastAsia="MS UI Gothic"/>
          <w:w w:val="150"/>
        </w:rPr>
        <w:t xml:space="preserve">( </w:t>
      </w:r>
      <w:r>
        <w:rPr>
          <w:w w:val="105"/>
        </w:rPr>
        <w:t>透</w:t>
      </w:r>
      <w:r>
        <w:rPr>
          <w:rFonts w:hint="eastAsia" w:ascii="MS UI Gothic" w:eastAsia="MS UI Gothic"/>
          <w:w w:val="150"/>
        </w:rPr>
        <w:t xml:space="preserve">) </w:t>
      </w:r>
      <w:r>
        <w:rPr>
          <w:w w:val="105"/>
        </w:rPr>
        <w:t>水措施</w:t>
      </w:r>
      <w:r>
        <w:rPr>
          <w:rFonts w:hint="eastAsia" w:ascii="MS UI Gothic" w:eastAsia="MS UI Gothic"/>
          <w:w w:val="80"/>
        </w:rPr>
        <w:t xml:space="preserve">ꎬ </w:t>
      </w:r>
      <w:r>
        <w:rPr>
          <w:w w:val="105"/>
        </w:rPr>
        <w:t>报企业主要负责人审批</w:t>
      </w:r>
      <w:r>
        <w:rPr>
          <w:rFonts w:hint="eastAsia" w:ascii="MS UI Gothic" w:eastAsia="MS UI Gothic"/>
          <w:w w:val="80"/>
        </w:rPr>
        <w:t>ꎮ</w:t>
      </w:r>
    </w:p>
    <w:p>
      <w:pPr>
        <w:pStyle w:val="6"/>
        <w:spacing w:line="249" w:lineRule="exact"/>
        <w:ind w:left="800" w:firstLine="0"/>
        <w:jc w:val="left"/>
        <w:rPr>
          <w:rFonts w:hint="eastAsia" w:ascii="MS UI Gothic" w:eastAsia="MS UI Gothic"/>
        </w:rPr>
      </w:pPr>
      <w:r>
        <w:rPr>
          <w:w w:val="115"/>
        </w:rPr>
        <w:t>防水闸门应当符合下列要求</w:t>
      </w:r>
      <w:r>
        <w:rPr>
          <w:rFonts w:hint="eastAsia" w:ascii="MS UI Gothic" w:eastAsia="MS UI Gothic"/>
          <w:w w:val="235"/>
        </w:rPr>
        <w:t>:</w:t>
      </w:r>
    </w:p>
    <w:p>
      <w:pPr>
        <w:pStyle w:val="6"/>
        <w:spacing w:before="43"/>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防水闸门必须采用定型设计</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防水闸门的施工及其质量</w:t>
      </w:r>
      <w:r>
        <w:rPr>
          <w:rFonts w:hint="eastAsia" w:ascii="MS UI Gothic" w:eastAsia="MS UI Gothic"/>
          <w:w w:val="80"/>
        </w:rPr>
        <w:t xml:space="preserve">ꎬ </w:t>
      </w:r>
      <w:r>
        <w:rPr>
          <w:w w:val="105"/>
        </w:rPr>
        <w:t>必</w:t>
      </w:r>
      <w:r>
        <w:t>须符合设计</w:t>
      </w:r>
      <w:r>
        <w:rPr>
          <w:rFonts w:hint="eastAsia" w:ascii="MS UI Gothic" w:eastAsia="MS UI Gothic"/>
          <w:w w:val="80"/>
        </w:rPr>
        <w:t xml:space="preserve">ꎮ </w:t>
      </w:r>
      <w:r>
        <w:t>闸门和闸门硐室不得漏水</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防水闸门硐室前</w:t>
      </w:r>
      <w:r>
        <w:rPr>
          <w:rFonts w:hint="eastAsia" w:ascii="MS UI Gothic" w:eastAsia="MS UI Gothic"/>
          <w:w w:val="80"/>
        </w:rPr>
        <w:t xml:space="preserve">、 </w:t>
      </w:r>
      <w:r>
        <w:t>后两端</w:t>
      </w:r>
      <w:r>
        <w:rPr>
          <w:rFonts w:hint="eastAsia" w:ascii="MS UI Gothic" w:eastAsia="MS UI Gothic"/>
          <w:w w:val="80"/>
        </w:rPr>
        <w:t xml:space="preserve">ꎬ </w:t>
      </w:r>
      <w:r>
        <w:t xml:space="preserve">应当分别砌筑不小于 </w:t>
      </w:r>
      <w:r>
        <w:rPr>
          <w:rFonts w:hint="eastAsia" w:ascii="MS UI Gothic" w:eastAsia="MS UI Gothic"/>
          <w:w w:val="80"/>
        </w:rPr>
        <w:t xml:space="preserve">５ ｍ </w:t>
      </w:r>
      <w:r>
        <w:t>的混凝土护碹</w:t>
      </w:r>
      <w:r>
        <w:rPr>
          <w:rFonts w:hint="eastAsia" w:ascii="MS UI Gothic" w:eastAsia="MS UI Gothic"/>
          <w:w w:val="80"/>
        </w:rPr>
        <w:t xml:space="preserve">ꎬ </w:t>
      </w:r>
      <w:r>
        <w:t>碹后用混凝土填实</w:t>
      </w:r>
      <w:r>
        <w:rPr>
          <w:rFonts w:hint="eastAsia" w:ascii="MS UI Gothic" w:eastAsia="MS UI Gothic"/>
          <w:w w:val="80"/>
        </w:rPr>
        <w:t xml:space="preserve">ꎬ </w:t>
      </w:r>
      <w:r>
        <w:t>不得空帮</w:t>
      </w:r>
      <w:r>
        <w:rPr>
          <w:rFonts w:hint="eastAsia" w:ascii="MS UI Gothic" w:eastAsia="MS UI Gothic"/>
          <w:w w:val="80"/>
        </w:rPr>
        <w:t xml:space="preserve">、 </w:t>
      </w:r>
      <w:r>
        <w:t>空顶</w:t>
      </w:r>
      <w:r>
        <w:rPr>
          <w:rFonts w:hint="eastAsia" w:ascii="MS UI Gothic" w:eastAsia="MS UI Gothic"/>
          <w:w w:val="80"/>
        </w:rPr>
        <w:t xml:space="preserve">ꎮ </w:t>
      </w:r>
      <w:r>
        <w:t>防水闸门硐室和护碹必须采用高标号水泥进行注浆加固</w:t>
      </w:r>
      <w:r>
        <w:rPr>
          <w:rFonts w:hint="eastAsia" w:ascii="MS UI Gothic" w:eastAsia="MS UI Gothic"/>
          <w:w w:val="80"/>
        </w:rPr>
        <w:t xml:space="preserve">ꎬ </w:t>
      </w:r>
      <w:r>
        <w:t>注浆压力应当符合设计</w:t>
      </w:r>
      <w:r>
        <w:rPr>
          <w:rFonts w:hint="eastAsia" w:ascii="MS UI Gothic" w:eastAsia="MS UI Gothic"/>
          <w:w w:val="80"/>
        </w:rPr>
        <w:t>ꎮ</w:t>
      </w:r>
    </w:p>
    <w:p>
      <w:pPr>
        <w:pStyle w:val="6"/>
        <w:spacing w:line="252" w:lineRule="exact"/>
        <w:ind w:left="0" w:right="127" w:firstLine="0"/>
        <w:jc w:val="right"/>
        <w:rPr>
          <w:rFonts w:hint="eastAsia" w:ascii="MS UI Gothic" w:eastAsia="MS UI Gothic"/>
        </w:rPr>
      </w:pPr>
      <w:r>
        <w:rPr>
          <w:rFonts w:hint="eastAsia" w:ascii="MS UI Gothic" w:eastAsia="MS UI Gothic"/>
          <w:spacing w:val="-37"/>
          <w:w w:val="130"/>
        </w:rPr>
        <w:t xml:space="preserve">( </w:t>
      </w:r>
      <w:r>
        <w:rPr>
          <w:spacing w:val="3"/>
          <w:w w:val="115"/>
        </w:rPr>
        <w:t>四</w:t>
      </w:r>
      <w:r>
        <w:rPr>
          <w:rFonts w:hint="eastAsia" w:ascii="MS UI Gothic" w:eastAsia="MS UI Gothic"/>
          <w:spacing w:val="-17"/>
          <w:w w:val="130"/>
        </w:rPr>
        <w:t xml:space="preserve">) </w:t>
      </w:r>
      <w:r>
        <w:rPr>
          <w:spacing w:val="7"/>
          <w:w w:val="115"/>
        </w:rPr>
        <w:t xml:space="preserve">防水闸门来水一侧 </w:t>
      </w:r>
      <w:r>
        <w:rPr>
          <w:rFonts w:hint="eastAsia" w:ascii="MS UI Gothic" w:eastAsia="MS UI Gothic"/>
          <w:spacing w:val="-14"/>
          <w:w w:val="95"/>
        </w:rPr>
        <w:t xml:space="preserve">１５ </w:t>
      </w:r>
      <w:r>
        <w:rPr>
          <w:rFonts w:hint="eastAsia" w:ascii="MS UI Gothic" w:eastAsia="MS UI Gothic"/>
          <w:w w:val="115"/>
        </w:rPr>
        <w:t>~</w:t>
      </w:r>
      <w:r>
        <w:rPr>
          <w:rFonts w:hint="eastAsia" w:ascii="MS UI Gothic" w:eastAsia="MS UI Gothic"/>
          <w:spacing w:val="-52"/>
          <w:w w:val="115"/>
        </w:rPr>
        <w:t xml:space="preserve"> </w:t>
      </w:r>
      <w:r>
        <w:rPr>
          <w:rFonts w:hint="eastAsia" w:ascii="MS UI Gothic" w:eastAsia="MS UI Gothic"/>
          <w:spacing w:val="-8"/>
          <w:w w:val="95"/>
        </w:rPr>
        <w:t xml:space="preserve">２５ </w:t>
      </w:r>
      <w:r>
        <w:rPr>
          <w:rFonts w:hint="eastAsia" w:ascii="MS UI Gothic" w:eastAsia="MS UI Gothic"/>
          <w:w w:val="95"/>
        </w:rPr>
        <w:t>ｍ</w:t>
      </w:r>
    </w:p>
    <w:p>
      <w:pPr>
        <w:pStyle w:val="6"/>
        <w:spacing w:before="57"/>
        <w:ind w:left="0" w:right="126" w:firstLine="0"/>
        <w:jc w:val="right"/>
      </w:pPr>
      <w:r>
        <w:rPr>
          <w:spacing w:val="3"/>
        </w:rPr>
        <w:t>处</w:t>
      </w:r>
      <w:r>
        <w:rPr>
          <w:rFonts w:hint="eastAsia" w:ascii="MS UI Gothic" w:eastAsia="MS UI Gothic"/>
          <w:spacing w:val="17"/>
          <w:w w:val="80"/>
        </w:rPr>
        <w:t xml:space="preserve">ꎬ </w:t>
      </w:r>
      <w:r>
        <w:rPr>
          <w:spacing w:val="-11"/>
        </w:rPr>
        <w:t xml:space="preserve">应当加设 </w:t>
      </w:r>
      <w:r>
        <w:rPr>
          <w:rFonts w:hint="eastAsia" w:ascii="MS UI Gothic" w:eastAsia="MS UI Gothic"/>
          <w:spacing w:val="-7"/>
        </w:rPr>
        <w:t xml:space="preserve">１ </w:t>
      </w:r>
      <w:r>
        <w:rPr>
          <w:spacing w:val="3"/>
        </w:rPr>
        <w:t>道挡物箅子门</w:t>
      </w:r>
      <w:r>
        <w:rPr>
          <w:rFonts w:hint="eastAsia" w:ascii="MS UI Gothic" w:eastAsia="MS UI Gothic"/>
          <w:spacing w:val="18"/>
          <w:w w:val="80"/>
        </w:rPr>
        <w:t xml:space="preserve">ꎮ </w:t>
      </w:r>
      <w:r>
        <w:rPr>
          <w:spacing w:val="3"/>
        </w:rPr>
        <w:t>防水闸门</w:t>
      </w:r>
    </w:p>
    <w:p>
      <w:pPr>
        <w:spacing w:after="0"/>
        <w:jc w:val="righ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２８２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78" o:spid="_x0000_s1878" o:spt="203" style="height:2.15pt;width:398.25pt;" coordsize="7965,43">
            <o:lock v:ext="edit"/>
            <v:line id="_x0000_s1879" o:spid="_x0000_s1879" o:spt="20" style="position:absolute;left:0;top:39;height:0;width:7965;" stroked="t" coordsize="21600,21600">
              <v:path arrowok="t"/>
              <v:fill focussize="0,0"/>
              <v:stroke weight="0.388031496062992pt" color="#231F20"/>
              <v:imagedata o:title=""/>
              <o:lock v:ext="edit"/>
            </v:line>
            <v:line id="_x0000_s1880" o:spid="_x0000_s188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left="118" w:right="38" w:firstLine="5"/>
        <w:rPr>
          <w:rFonts w:hint="eastAsia" w:ascii="MS UI Gothic" w:eastAsia="MS UI Gothic"/>
        </w:rPr>
      </w:pPr>
      <w:r>
        <w:t>与箅子门之间</w:t>
      </w:r>
      <w:r>
        <w:rPr>
          <w:rFonts w:hint="eastAsia" w:ascii="MS UI Gothic" w:eastAsia="MS UI Gothic"/>
          <w:w w:val="80"/>
        </w:rPr>
        <w:t xml:space="preserve">ꎬ </w:t>
      </w:r>
      <w:r>
        <w:t>不得停放车辆或者堆放杂物</w:t>
      </w:r>
      <w:r>
        <w:rPr>
          <w:rFonts w:hint="eastAsia" w:ascii="MS UI Gothic" w:eastAsia="MS UI Gothic"/>
          <w:w w:val="80"/>
        </w:rPr>
        <w:t xml:space="preserve">ꎮ </w:t>
      </w:r>
      <w:r>
        <w:t>来水时先关箅子门</w:t>
      </w:r>
      <w:r>
        <w:rPr>
          <w:rFonts w:hint="eastAsia" w:ascii="MS UI Gothic" w:eastAsia="MS UI Gothic"/>
          <w:w w:val="80"/>
        </w:rPr>
        <w:t xml:space="preserve">ꎬ </w:t>
      </w:r>
      <w:r>
        <w:t>后关防水闸门</w:t>
      </w:r>
      <w:r>
        <w:rPr>
          <w:rFonts w:hint="eastAsia" w:ascii="MS UI Gothic" w:eastAsia="MS UI Gothic"/>
          <w:w w:val="80"/>
        </w:rPr>
        <w:t>ꎮ</w:t>
      </w:r>
      <w:r>
        <w:t>如果采用双向防水闸门</w:t>
      </w:r>
      <w:r>
        <w:rPr>
          <w:rFonts w:hint="eastAsia" w:ascii="MS UI Gothic" w:eastAsia="MS UI Gothic"/>
          <w:w w:val="80"/>
        </w:rPr>
        <w:t xml:space="preserve">ꎬ </w:t>
      </w:r>
      <w:r>
        <w:t>应当在两侧各设</w:t>
      </w:r>
      <w:r>
        <w:rPr>
          <w:rFonts w:hint="eastAsia" w:ascii="MS UI Gothic" w:eastAsia="MS UI Gothic"/>
        </w:rPr>
        <w:t xml:space="preserve">１ </w:t>
      </w:r>
      <w:r>
        <w:t>道箅子门</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通过防水闸门的轨道</w:t>
      </w:r>
      <w:r>
        <w:rPr>
          <w:rFonts w:hint="eastAsia" w:ascii="MS UI Gothic" w:eastAsia="MS UI Gothic"/>
          <w:w w:val="80"/>
        </w:rPr>
        <w:t xml:space="preserve">、  </w:t>
      </w:r>
      <w:r>
        <w:rPr>
          <w:w w:val="105"/>
        </w:rPr>
        <w:t>电机车架空线</w:t>
      </w:r>
      <w:r>
        <w:rPr>
          <w:rFonts w:hint="eastAsia" w:ascii="MS UI Gothic" w:eastAsia="MS UI Gothic"/>
          <w:w w:val="80"/>
        </w:rPr>
        <w:t xml:space="preserve">、 </w:t>
      </w:r>
      <w:r>
        <w:rPr>
          <w:w w:val="105"/>
        </w:rPr>
        <w:t>带式输送机等必须灵活易拆</w:t>
      </w:r>
      <w:r>
        <w:rPr>
          <w:rFonts w:hint="eastAsia" w:ascii="MS UI Gothic" w:eastAsia="MS UI Gothic"/>
          <w:w w:val="80"/>
        </w:rPr>
        <w:t xml:space="preserve">ꎻ </w:t>
      </w:r>
      <w:r>
        <w:rPr>
          <w:w w:val="105"/>
        </w:rPr>
        <w:t>通</w:t>
      </w:r>
      <w:r>
        <w:t>过防水闸门墙体的各种管路和安设在闸门外侧的闸阀的耐压能力</w:t>
      </w:r>
      <w:r>
        <w:rPr>
          <w:rFonts w:hint="eastAsia" w:ascii="MS UI Gothic" w:eastAsia="MS UI Gothic"/>
          <w:w w:val="80"/>
        </w:rPr>
        <w:t xml:space="preserve">ꎬ </w:t>
      </w:r>
      <w:r>
        <w:t>都必须与防水闸</w:t>
      </w:r>
      <w:r>
        <w:rPr>
          <w:w w:val="105"/>
        </w:rPr>
        <w:t>门设计压力相一致</w:t>
      </w:r>
      <w:r>
        <w:rPr>
          <w:rFonts w:hint="eastAsia" w:ascii="MS UI Gothic" w:eastAsia="MS UI Gothic"/>
          <w:w w:val="80"/>
        </w:rPr>
        <w:t xml:space="preserve">ꎻ </w:t>
      </w:r>
      <w:r>
        <w:rPr>
          <w:w w:val="105"/>
        </w:rPr>
        <w:t>电缆</w:t>
      </w:r>
      <w:r>
        <w:rPr>
          <w:rFonts w:hint="eastAsia" w:ascii="MS UI Gothic" w:eastAsia="MS UI Gothic"/>
          <w:w w:val="80"/>
        </w:rPr>
        <w:t xml:space="preserve">、 </w:t>
      </w:r>
      <w:r>
        <w:rPr>
          <w:w w:val="105"/>
        </w:rPr>
        <w:t>管道通过防水</w:t>
      </w:r>
      <w:r>
        <w:t>闸门墙体时</w:t>
      </w:r>
      <w:r>
        <w:rPr>
          <w:rFonts w:hint="eastAsia" w:ascii="MS UI Gothic" w:eastAsia="MS UI Gothic"/>
          <w:w w:val="80"/>
        </w:rPr>
        <w:t xml:space="preserve">ꎬ </w:t>
      </w:r>
      <w:r>
        <w:t>必须用堵头和阀门封堵严</w:t>
      </w:r>
      <w:r>
        <w:rPr>
          <w:w w:val="105"/>
        </w:rPr>
        <w:t>密</w:t>
      </w:r>
      <w:r>
        <w:rPr>
          <w:rFonts w:hint="eastAsia" w:ascii="MS UI Gothic" w:eastAsia="MS UI Gothic"/>
          <w:w w:val="80"/>
        </w:rPr>
        <w:t xml:space="preserve">ꎬ </w:t>
      </w:r>
      <w:r>
        <w:rPr>
          <w:w w:val="105"/>
        </w:rPr>
        <w:t>不得漏水</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防水闸门必须安设观测水压的装置</w:t>
      </w:r>
      <w:r>
        <w:rPr>
          <w:rFonts w:hint="eastAsia" w:ascii="MS UI Gothic" w:eastAsia="MS UI Gothic"/>
          <w:w w:val="80"/>
        </w:rPr>
        <w:t xml:space="preserve">ꎬ </w:t>
      </w:r>
      <w:r>
        <w:rPr>
          <w:w w:val="105"/>
        </w:rPr>
        <w:t>并有放水管和放水闸阀</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2"/>
          <w:w w:val="145"/>
        </w:rPr>
        <w:t xml:space="preserve">( </w:t>
      </w:r>
      <w:r>
        <w:rPr>
          <w:spacing w:val="3"/>
        </w:rPr>
        <w:t>七</w:t>
      </w:r>
      <w:r>
        <w:rPr>
          <w:rFonts w:hint="eastAsia" w:ascii="MS UI Gothic" w:eastAsia="MS UI Gothic"/>
          <w:spacing w:val="29"/>
          <w:w w:val="145"/>
        </w:rPr>
        <w:t xml:space="preserve">) </w:t>
      </w:r>
      <w:r>
        <w:rPr>
          <w:spacing w:val="5"/>
        </w:rPr>
        <w:t>防水闸门竣工后</w:t>
      </w:r>
      <w:r>
        <w:rPr>
          <w:rFonts w:hint="eastAsia" w:ascii="MS UI Gothic" w:eastAsia="MS UI Gothic"/>
          <w:spacing w:val="17"/>
          <w:w w:val="80"/>
        </w:rPr>
        <w:t xml:space="preserve">ꎬ </w:t>
      </w:r>
      <w:r>
        <w:rPr>
          <w:spacing w:val="8"/>
        </w:rPr>
        <w:t>必须按设计</w:t>
      </w:r>
      <w:r>
        <w:rPr>
          <w:spacing w:val="3"/>
        </w:rPr>
        <w:t>要求进行验收</w:t>
      </w:r>
      <w:r>
        <w:rPr>
          <w:rFonts w:hint="eastAsia" w:ascii="MS UI Gothic" w:eastAsia="MS UI Gothic"/>
          <w:spacing w:val="21"/>
          <w:w w:val="80"/>
        </w:rPr>
        <w:t xml:space="preserve">ꎻ </w:t>
      </w:r>
      <w:r>
        <w:rPr>
          <w:spacing w:val="2"/>
        </w:rPr>
        <w:t>对新掘进巷道内建筑的防</w:t>
      </w:r>
      <w:r>
        <w:rPr>
          <w:spacing w:val="3"/>
        </w:rPr>
        <w:t>水闸门</w:t>
      </w:r>
      <w:r>
        <w:rPr>
          <w:rFonts w:hint="eastAsia" w:ascii="MS UI Gothic" w:eastAsia="MS UI Gothic"/>
          <w:spacing w:val="23"/>
          <w:w w:val="80"/>
        </w:rPr>
        <w:t xml:space="preserve">ꎬ </w:t>
      </w:r>
      <w:r>
        <w:rPr>
          <w:spacing w:val="3"/>
        </w:rPr>
        <w:t>必须进行注水耐压试验</w:t>
      </w:r>
      <w:r>
        <w:rPr>
          <w:rFonts w:hint="eastAsia" w:ascii="MS UI Gothic" w:eastAsia="MS UI Gothic"/>
          <w:spacing w:val="23"/>
          <w:w w:val="80"/>
        </w:rPr>
        <w:t xml:space="preserve">ꎬ </w:t>
      </w:r>
      <w:r>
        <w:rPr>
          <w:spacing w:val="2"/>
        </w:rPr>
        <w:t>防水闸</w:t>
      </w:r>
      <w:r>
        <w:rPr>
          <w:spacing w:val="6"/>
        </w:rPr>
        <w:t xml:space="preserve">门内巷道的长度不得大于 </w:t>
      </w:r>
      <w:r>
        <w:rPr>
          <w:rFonts w:hint="eastAsia" w:ascii="MS UI Gothic" w:eastAsia="MS UI Gothic"/>
          <w:spacing w:val="14"/>
          <w:w w:val="80"/>
        </w:rPr>
        <w:t xml:space="preserve">１５ </w:t>
      </w:r>
      <w:r>
        <w:rPr>
          <w:rFonts w:hint="eastAsia" w:ascii="MS UI Gothic" w:eastAsia="MS UI Gothic"/>
          <w:spacing w:val="4"/>
          <w:w w:val="80"/>
        </w:rPr>
        <w:t>ｍ</w:t>
      </w:r>
      <w:r>
        <w:rPr>
          <w:rFonts w:hint="eastAsia" w:ascii="MS UI Gothic" w:eastAsia="MS UI Gothic"/>
          <w:spacing w:val="9"/>
          <w:w w:val="80"/>
        </w:rPr>
        <w:t xml:space="preserve">ꎬ </w:t>
      </w:r>
      <w:r>
        <w:rPr>
          <w:spacing w:val="9"/>
        </w:rPr>
        <w:t>试验的</w:t>
      </w:r>
      <w:r>
        <w:rPr>
          <w:spacing w:val="3"/>
        </w:rPr>
        <w:t>压力不得低于设计水压</w:t>
      </w:r>
      <w:r>
        <w:rPr>
          <w:rFonts w:hint="eastAsia" w:ascii="MS UI Gothic" w:eastAsia="MS UI Gothic"/>
          <w:spacing w:val="21"/>
          <w:w w:val="80"/>
        </w:rPr>
        <w:t xml:space="preserve">ꎬ </w:t>
      </w:r>
      <w:r>
        <w:rPr>
          <w:spacing w:val="2"/>
        </w:rPr>
        <w:t>其稳压时间应当</w:t>
      </w:r>
      <w:r>
        <w:rPr>
          <w:spacing w:val="-24"/>
        </w:rPr>
        <w:t xml:space="preserve">在 </w:t>
      </w:r>
      <w:r>
        <w:rPr>
          <w:rFonts w:hint="eastAsia" w:ascii="MS UI Gothic" w:eastAsia="MS UI Gothic"/>
          <w:spacing w:val="1"/>
          <w:w w:val="80"/>
        </w:rPr>
        <w:t xml:space="preserve">２４ </w:t>
      </w:r>
      <w:r>
        <w:rPr>
          <w:rFonts w:hint="eastAsia" w:ascii="MS UI Gothic" w:eastAsia="MS UI Gothic"/>
          <w:w w:val="80"/>
        </w:rPr>
        <w:t>ｈ</w:t>
      </w:r>
      <w:r>
        <w:rPr>
          <w:rFonts w:hint="eastAsia" w:ascii="MS UI Gothic" w:eastAsia="MS UI Gothic"/>
          <w:spacing w:val="46"/>
          <w:w w:val="80"/>
        </w:rPr>
        <w:t xml:space="preserve"> </w:t>
      </w:r>
      <w:r>
        <w:rPr>
          <w:spacing w:val="17"/>
        </w:rPr>
        <w:t>以上</w:t>
      </w:r>
      <w:r>
        <w:rPr>
          <w:rFonts w:hint="eastAsia" w:ascii="MS UI Gothic" w:eastAsia="MS UI Gothic"/>
          <w:spacing w:val="14"/>
          <w:w w:val="80"/>
        </w:rPr>
        <w:t xml:space="preserve">ꎬ </w:t>
      </w:r>
      <w:r>
        <w:rPr>
          <w:spacing w:val="26"/>
        </w:rPr>
        <w:t>试压时应当有专门安全</w:t>
      </w:r>
      <w:r>
        <w:rPr>
          <w:spacing w:val="3"/>
        </w:rPr>
        <w:t>措施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4"/>
          <w:w w:val="150"/>
        </w:rPr>
        <w:t xml:space="preserve">( </w:t>
      </w:r>
      <w:r>
        <w:rPr>
          <w:spacing w:val="3"/>
        </w:rPr>
        <w:t>八</w:t>
      </w:r>
      <w:r>
        <w:rPr>
          <w:rFonts w:hint="eastAsia" w:ascii="MS UI Gothic" w:eastAsia="MS UI Gothic"/>
          <w:spacing w:val="26"/>
          <w:w w:val="150"/>
        </w:rPr>
        <w:t xml:space="preserve">) </w:t>
      </w:r>
      <w:r>
        <w:rPr>
          <w:spacing w:val="5"/>
        </w:rPr>
        <w:t>防水闸门必须灵活可靠</w:t>
      </w:r>
      <w:r>
        <w:rPr>
          <w:rFonts w:hint="eastAsia" w:ascii="MS UI Gothic" w:eastAsia="MS UI Gothic"/>
          <w:spacing w:val="15"/>
          <w:w w:val="80"/>
        </w:rPr>
        <w:t xml:space="preserve">ꎬ </w:t>
      </w:r>
      <w:r>
        <w:rPr>
          <w:spacing w:val="5"/>
        </w:rPr>
        <w:t>并每</w:t>
      </w:r>
      <w:r>
        <w:rPr>
          <w:spacing w:val="-12"/>
        </w:rPr>
        <w:t xml:space="preserve">年进行 </w:t>
      </w:r>
      <w:r>
        <w:rPr>
          <w:rFonts w:hint="eastAsia" w:ascii="MS UI Gothic" w:eastAsia="MS UI Gothic"/>
          <w:spacing w:val="6"/>
          <w:w w:val="80"/>
        </w:rPr>
        <w:t xml:space="preserve">２ </w:t>
      </w:r>
      <w:r>
        <w:rPr>
          <w:spacing w:val="3"/>
        </w:rPr>
        <w:t>次关闭试验</w:t>
      </w:r>
      <w:r>
        <w:rPr>
          <w:rFonts w:hint="eastAsia" w:ascii="MS UI Gothic" w:eastAsia="MS UI Gothic"/>
          <w:spacing w:val="6"/>
          <w:w w:val="80"/>
        </w:rPr>
        <w:t xml:space="preserve">ꎬ </w:t>
      </w:r>
      <w:r>
        <w:rPr>
          <w:spacing w:val="-16"/>
        </w:rPr>
        <w:t xml:space="preserve">其中 </w:t>
      </w:r>
      <w:r>
        <w:rPr>
          <w:rFonts w:hint="eastAsia" w:ascii="MS UI Gothic" w:eastAsia="MS UI Gothic"/>
          <w:spacing w:val="6"/>
          <w:w w:val="80"/>
        </w:rPr>
        <w:t xml:space="preserve">１ </w:t>
      </w:r>
      <w:r>
        <w:rPr>
          <w:spacing w:val="3"/>
        </w:rPr>
        <w:t>次应当在雨季前进行</w:t>
      </w:r>
      <w:r>
        <w:rPr>
          <w:rFonts w:hint="eastAsia" w:ascii="MS UI Gothic" w:eastAsia="MS UI Gothic"/>
          <w:spacing w:val="21"/>
          <w:w w:val="80"/>
        </w:rPr>
        <w:t xml:space="preserve">ꎮ </w:t>
      </w:r>
      <w:r>
        <w:rPr>
          <w:spacing w:val="2"/>
        </w:rPr>
        <w:t>关闭闸门所用的工具和零配件</w:t>
      </w:r>
      <w:r>
        <w:rPr>
          <w:spacing w:val="10"/>
        </w:rPr>
        <w:t>必须专人保管</w:t>
      </w:r>
      <w:r>
        <w:rPr>
          <w:rFonts w:hint="eastAsia" w:ascii="MS UI Gothic" w:eastAsia="MS UI Gothic"/>
          <w:spacing w:val="3"/>
          <w:w w:val="80"/>
        </w:rPr>
        <w:t xml:space="preserve">ꎬ </w:t>
      </w:r>
      <w:r>
        <w:rPr>
          <w:spacing w:val="19"/>
        </w:rPr>
        <w:t>专地点存放</w:t>
      </w:r>
      <w:r>
        <w:rPr>
          <w:rFonts w:hint="eastAsia" w:ascii="MS UI Gothic" w:eastAsia="MS UI Gothic"/>
          <w:spacing w:val="3"/>
          <w:w w:val="80"/>
        </w:rPr>
        <w:t xml:space="preserve">ꎬ </w:t>
      </w:r>
      <w:r>
        <w:rPr>
          <w:spacing w:val="17"/>
        </w:rPr>
        <w:t>不得挪用</w:t>
      </w:r>
      <w:r>
        <w:rPr>
          <w:spacing w:val="3"/>
        </w:rPr>
        <w:t>丢失</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第三百零九条 井下防水闸墙的设置</w:t>
      </w:r>
      <w:r>
        <w:t>应当根据矿井水文地质条件确定</w:t>
      </w:r>
      <w:r>
        <w:rPr>
          <w:rFonts w:hint="eastAsia" w:ascii="MS UI Gothic" w:eastAsia="MS UI Gothic"/>
          <w:w w:val="80"/>
        </w:rPr>
        <w:t xml:space="preserve">ꎬ </w:t>
      </w:r>
      <w:r>
        <w:t>防水闸墙的设计经煤矿企业技术负责人批准后方可施工</w:t>
      </w:r>
      <w:r>
        <w:rPr>
          <w:rFonts w:hint="eastAsia" w:ascii="MS UI Gothic" w:eastAsia="MS UI Gothic"/>
          <w:w w:val="80"/>
        </w:rPr>
        <w:t xml:space="preserve">ꎬ </w:t>
      </w:r>
      <w:r>
        <w:t>投入使用前应当由煤矿企业技术</w:t>
      </w:r>
      <w:r>
        <w:rPr>
          <w:w w:val="105"/>
        </w:rPr>
        <w:t>负责人组织竣工验收</w:t>
      </w:r>
      <w:r>
        <w:rPr>
          <w:rFonts w:hint="eastAsia" w:ascii="MS UI Gothic" w:eastAsia="MS UI Gothic"/>
          <w:w w:val="80"/>
        </w:rPr>
        <w:t>ꎮ</w:t>
      </w:r>
    </w:p>
    <w:p>
      <w:pPr>
        <w:pStyle w:val="6"/>
        <w:spacing w:line="295" w:lineRule="auto"/>
        <w:ind w:right="39"/>
        <w:rPr>
          <w:rFonts w:hint="eastAsia" w:ascii="MS UI Gothic" w:eastAsia="MS UI Gothic"/>
        </w:rPr>
      </w:pPr>
      <w:r>
        <w:t>第三百一十条 井巷揭穿含水层或者地质构造带等可能突水地段前</w:t>
      </w:r>
      <w:r>
        <w:rPr>
          <w:rFonts w:hint="eastAsia" w:ascii="MS UI Gothic" w:eastAsia="MS UI Gothic"/>
          <w:w w:val="80"/>
        </w:rPr>
        <w:t xml:space="preserve">ꎬ </w:t>
      </w:r>
      <w:r>
        <w:t>必须编制探放水设计</w:t>
      </w:r>
      <w:r>
        <w:rPr>
          <w:rFonts w:hint="eastAsia" w:ascii="MS UI Gothic" w:eastAsia="MS UI Gothic"/>
          <w:w w:val="80"/>
        </w:rPr>
        <w:t xml:space="preserve">ꎬ </w:t>
      </w:r>
      <w:r>
        <w:t>并制定相应的防治水措施</w:t>
      </w:r>
      <w:r>
        <w:rPr>
          <w:rFonts w:hint="eastAsia" w:ascii="MS UI Gothic" w:eastAsia="MS UI Gothic"/>
          <w:w w:val="80"/>
        </w:rPr>
        <w:t>ꎮ</w:t>
      </w:r>
    </w:p>
    <w:p>
      <w:pPr>
        <w:pStyle w:val="6"/>
        <w:spacing w:line="295" w:lineRule="auto"/>
        <w:ind w:right="39"/>
        <w:rPr>
          <w:rFonts w:hint="eastAsia" w:ascii="MS UI Gothic" w:eastAsia="MS UI Gothic"/>
        </w:rPr>
      </w:pPr>
      <w:r>
        <w:t>井巷揭露的主要出水点或者地段</w:t>
      </w:r>
      <w:r>
        <w:rPr>
          <w:rFonts w:hint="eastAsia" w:ascii="MS UI Gothic" w:eastAsia="MS UI Gothic"/>
          <w:w w:val="80"/>
        </w:rPr>
        <w:t xml:space="preserve">ꎬ </w:t>
      </w:r>
      <w:r>
        <w:t>必</w:t>
      </w:r>
      <w:r>
        <w:rPr>
          <w:w w:val="105"/>
        </w:rPr>
        <w:t>须进行水温</w:t>
      </w:r>
      <w:r>
        <w:rPr>
          <w:rFonts w:hint="eastAsia" w:ascii="MS UI Gothic" w:eastAsia="MS UI Gothic"/>
          <w:w w:val="80"/>
        </w:rPr>
        <w:t xml:space="preserve">、 </w:t>
      </w:r>
      <w:r>
        <w:rPr>
          <w:w w:val="105"/>
        </w:rPr>
        <w:t>水量</w:t>
      </w:r>
      <w:r>
        <w:rPr>
          <w:rFonts w:hint="eastAsia" w:ascii="MS UI Gothic" w:eastAsia="MS UI Gothic"/>
          <w:w w:val="80"/>
        </w:rPr>
        <w:t xml:space="preserve">、 </w:t>
      </w:r>
      <w:r>
        <w:rPr>
          <w:w w:val="105"/>
        </w:rPr>
        <w:t xml:space="preserve">水质和水压 </w:t>
      </w:r>
      <w:r>
        <w:rPr>
          <w:rFonts w:hint="eastAsia" w:ascii="MS UI Gothic" w:eastAsia="MS UI Gothic"/>
          <w:w w:val="150"/>
        </w:rPr>
        <w:t xml:space="preserve">( </w:t>
      </w:r>
      <w:r>
        <w:rPr>
          <w:w w:val="105"/>
        </w:rPr>
        <w:t>位</w:t>
      </w:r>
      <w:r>
        <w:rPr>
          <w:rFonts w:hint="eastAsia" w:ascii="MS UI Gothic" w:eastAsia="MS UI Gothic"/>
          <w:w w:val="150"/>
        </w:rPr>
        <w:t xml:space="preserve">) </w:t>
      </w:r>
      <w:r>
        <w:rPr>
          <w:w w:val="105"/>
        </w:rPr>
        <w:t>等</w:t>
      </w:r>
      <w:r>
        <w:t>地下水动态和松散含水层涌水含砂量综合</w:t>
      </w:r>
      <w:r>
        <w:rPr>
          <w:w w:val="105"/>
        </w:rPr>
        <w:t>观测和分析</w:t>
      </w:r>
      <w:r>
        <w:rPr>
          <w:rFonts w:hint="eastAsia" w:ascii="MS UI Gothic" w:eastAsia="MS UI Gothic"/>
          <w:w w:val="80"/>
        </w:rPr>
        <w:t xml:space="preserve">ꎬ </w:t>
      </w:r>
      <w:r>
        <w:rPr>
          <w:w w:val="105"/>
        </w:rPr>
        <w:t>防止滞后突水</w:t>
      </w:r>
      <w:r>
        <w:rPr>
          <w:rFonts w:hint="eastAsia" w:ascii="MS UI Gothic" w:eastAsia="MS UI Gothic"/>
          <w:w w:val="80"/>
        </w:rPr>
        <w:t>ꎮ</w:t>
      </w:r>
    </w:p>
    <w:p>
      <w:pPr>
        <w:pStyle w:val="6"/>
        <w:spacing w:before="11"/>
        <w:ind w:left="0" w:firstLine="0"/>
        <w:jc w:val="left"/>
        <w:rPr>
          <w:rFonts w:ascii="MS UI Gothic"/>
          <w:sz w:val="21"/>
        </w:rPr>
      </w:pPr>
      <w:r>
        <w:br w:type="column"/>
      </w:r>
    </w:p>
    <w:p>
      <w:pPr>
        <w:pStyle w:val="6"/>
        <w:tabs>
          <w:tab w:val="left" w:pos="1906"/>
        </w:tabs>
        <w:ind w:left="1067" w:firstLine="0"/>
        <w:jc w:val="left"/>
      </w:pPr>
      <w:r>
        <w:rPr>
          <w:spacing w:val="3"/>
          <w:w w:val="105"/>
        </w:rPr>
        <w:t>第四</w:t>
      </w:r>
      <w:r>
        <w:rPr>
          <w:w w:val="105"/>
        </w:rPr>
        <w:t>节</w:t>
      </w:r>
      <w:r>
        <w:rPr>
          <w:w w:val="105"/>
        </w:rPr>
        <w:tab/>
      </w:r>
      <w:r>
        <w:rPr>
          <w:w w:val="105"/>
        </w:rPr>
        <w:t>井</w:t>
      </w:r>
      <w:r>
        <w:rPr>
          <w:spacing w:val="-33"/>
          <w:w w:val="105"/>
        </w:rPr>
        <w:t xml:space="preserve"> </w:t>
      </w:r>
      <w:r>
        <w:rPr>
          <w:w w:val="105"/>
        </w:rPr>
        <w:t>下</w:t>
      </w:r>
      <w:r>
        <w:rPr>
          <w:spacing w:val="-33"/>
          <w:w w:val="105"/>
        </w:rPr>
        <w:t xml:space="preserve"> </w:t>
      </w:r>
      <w:r>
        <w:rPr>
          <w:w w:val="105"/>
        </w:rPr>
        <w:t>排</w:t>
      </w:r>
      <w:r>
        <w:rPr>
          <w:spacing w:val="-33"/>
          <w:w w:val="105"/>
        </w:rPr>
        <w:t xml:space="preserve"> </w:t>
      </w:r>
      <w:r>
        <w:rPr>
          <w:w w:val="105"/>
        </w:rPr>
        <w:t>水</w:t>
      </w:r>
    </w:p>
    <w:p>
      <w:pPr>
        <w:pStyle w:val="6"/>
        <w:spacing w:before="10"/>
        <w:ind w:left="0" w:firstLine="0"/>
        <w:jc w:val="left"/>
        <w:rPr>
          <w:sz w:val="16"/>
        </w:rPr>
      </w:pPr>
    </w:p>
    <w:p>
      <w:pPr>
        <w:pStyle w:val="6"/>
        <w:spacing w:before="1" w:line="295" w:lineRule="auto"/>
        <w:ind w:left="118" w:right="440" w:firstLine="425"/>
        <w:rPr>
          <w:rFonts w:hint="eastAsia" w:ascii="MS UI Gothic" w:eastAsia="MS UI Gothic"/>
        </w:rPr>
      </w:pPr>
      <w:r>
        <w:rPr>
          <w:spacing w:val="4"/>
        </w:rPr>
        <w:t>第三百一十一条 矿井应当配备与矿</w:t>
      </w:r>
      <w:r>
        <w:rPr>
          <w:spacing w:val="3"/>
        </w:rPr>
        <w:t>井涌水量相匹配的水泵</w:t>
      </w:r>
      <w:r>
        <w:rPr>
          <w:rFonts w:hint="eastAsia" w:ascii="MS UI Gothic" w:eastAsia="MS UI Gothic"/>
          <w:spacing w:val="16"/>
          <w:w w:val="85"/>
        </w:rPr>
        <w:t xml:space="preserve">、 </w:t>
      </w:r>
      <w:r>
        <w:rPr>
          <w:spacing w:val="3"/>
        </w:rPr>
        <w:t>排水管路</w:t>
      </w:r>
      <w:r>
        <w:rPr>
          <w:rFonts w:hint="eastAsia" w:ascii="MS UI Gothic" w:eastAsia="MS UI Gothic"/>
          <w:spacing w:val="16"/>
          <w:w w:val="85"/>
        </w:rPr>
        <w:t xml:space="preserve">、 </w:t>
      </w:r>
      <w:r>
        <w:rPr>
          <w:spacing w:val="1"/>
        </w:rPr>
        <w:t>配电</w:t>
      </w:r>
      <w:r>
        <w:rPr>
          <w:spacing w:val="3"/>
        </w:rPr>
        <w:t>设备和水仓等</w:t>
      </w:r>
      <w:r>
        <w:rPr>
          <w:rFonts w:hint="eastAsia" w:ascii="MS UI Gothic" w:eastAsia="MS UI Gothic"/>
          <w:spacing w:val="13"/>
          <w:w w:val="85"/>
        </w:rPr>
        <w:t xml:space="preserve">ꎬ </w:t>
      </w:r>
      <w:r>
        <w:rPr>
          <w:spacing w:val="12"/>
        </w:rPr>
        <w:t>并满足矿井排水的需要</w:t>
      </w:r>
      <w:r>
        <w:rPr>
          <w:rFonts w:hint="eastAsia" w:ascii="MS UI Gothic" w:eastAsia="MS UI Gothic"/>
          <w:w w:val="85"/>
        </w:rPr>
        <w:t>ꎮ</w:t>
      </w:r>
      <w:r>
        <w:rPr>
          <w:spacing w:val="3"/>
        </w:rPr>
        <w:t>除正在检修的水泵外</w:t>
      </w:r>
      <w:r>
        <w:rPr>
          <w:rFonts w:hint="eastAsia" w:ascii="MS UI Gothic" w:eastAsia="MS UI Gothic"/>
          <w:spacing w:val="12"/>
          <w:w w:val="85"/>
        </w:rPr>
        <w:t xml:space="preserve">ꎬ </w:t>
      </w:r>
      <w:r>
        <w:rPr>
          <w:spacing w:val="2"/>
        </w:rPr>
        <w:t>应当有工作水泵和</w:t>
      </w:r>
      <w:r>
        <w:rPr>
          <w:spacing w:val="6"/>
        </w:rPr>
        <w:t>备用水泵</w:t>
      </w:r>
      <w:r>
        <w:rPr>
          <w:rFonts w:hint="eastAsia" w:ascii="MS UI Gothic" w:eastAsia="MS UI Gothic"/>
          <w:spacing w:val="21"/>
          <w:w w:val="85"/>
        </w:rPr>
        <w:t xml:space="preserve">ꎮ </w:t>
      </w:r>
      <w:r>
        <w:rPr>
          <w:spacing w:val="20"/>
        </w:rPr>
        <w:t>工作水泵的能力</w:t>
      </w:r>
      <w:r>
        <w:rPr>
          <w:rFonts w:hint="eastAsia" w:ascii="MS UI Gothic" w:eastAsia="MS UI Gothic"/>
          <w:spacing w:val="22"/>
          <w:w w:val="85"/>
        </w:rPr>
        <w:t xml:space="preserve">ꎬ </w:t>
      </w:r>
      <w:r>
        <w:rPr>
          <w:spacing w:val="17"/>
        </w:rPr>
        <w:t>应当能在</w:t>
      </w:r>
      <w:r>
        <w:rPr>
          <w:rFonts w:hint="eastAsia" w:ascii="MS UI Gothic" w:eastAsia="MS UI Gothic"/>
          <w:spacing w:val="20"/>
          <w:w w:val="85"/>
        </w:rPr>
        <w:t xml:space="preserve">２０ </w:t>
      </w:r>
      <w:r>
        <w:rPr>
          <w:rFonts w:hint="eastAsia" w:ascii="MS UI Gothic" w:eastAsia="MS UI Gothic"/>
          <w:w w:val="85"/>
        </w:rPr>
        <w:t xml:space="preserve">ｈ </w:t>
      </w:r>
      <w:r>
        <w:rPr>
          <w:spacing w:val="-1"/>
        </w:rPr>
        <w:t xml:space="preserve">内排出矿井 </w:t>
      </w:r>
      <w:r>
        <w:rPr>
          <w:rFonts w:hint="eastAsia" w:ascii="MS UI Gothic" w:eastAsia="MS UI Gothic"/>
          <w:spacing w:val="13"/>
          <w:w w:val="85"/>
        </w:rPr>
        <w:t xml:space="preserve">２４ </w:t>
      </w:r>
      <w:r>
        <w:rPr>
          <w:rFonts w:hint="eastAsia" w:ascii="MS UI Gothic" w:eastAsia="MS UI Gothic"/>
          <w:w w:val="85"/>
        </w:rPr>
        <w:t xml:space="preserve">ｈ </w:t>
      </w:r>
      <w:r>
        <w:rPr>
          <w:spacing w:val="9"/>
        </w:rPr>
        <w:t xml:space="preserve">的正常涌水量 </w:t>
      </w:r>
      <w:r>
        <w:rPr>
          <w:rFonts w:hint="eastAsia" w:ascii="MS UI Gothic" w:eastAsia="MS UI Gothic"/>
          <w:spacing w:val="-28"/>
          <w:w w:val="140"/>
        </w:rPr>
        <w:t xml:space="preserve">( </w:t>
      </w:r>
      <w:r>
        <w:t>包</w:t>
      </w:r>
      <w:r>
        <w:rPr>
          <w:spacing w:val="20"/>
        </w:rPr>
        <w:t>括充填水及其他用水</w:t>
      </w:r>
      <w:r>
        <w:rPr>
          <w:rFonts w:hint="eastAsia" w:ascii="MS UI Gothic" w:eastAsia="MS UI Gothic"/>
          <w:spacing w:val="-30"/>
          <w:w w:val="140"/>
        </w:rPr>
        <w:t xml:space="preserve">) </w:t>
      </w:r>
      <w:r>
        <w:rPr>
          <w:rFonts w:hint="eastAsia" w:ascii="MS UI Gothic" w:eastAsia="MS UI Gothic"/>
          <w:spacing w:val="21"/>
          <w:w w:val="85"/>
        </w:rPr>
        <w:t xml:space="preserve">ꎮ </w:t>
      </w:r>
      <w:r>
        <w:rPr>
          <w:spacing w:val="20"/>
        </w:rPr>
        <w:t>备用水泵的能</w:t>
      </w:r>
      <w:r>
        <w:rPr>
          <w:spacing w:val="3"/>
        </w:rPr>
        <w:t>力</w:t>
      </w:r>
      <w:r>
        <w:rPr>
          <w:rFonts w:hint="eastAsia" w:ascii="MS UI Gothic" w:eastAsia="MS UI Gothic"/>
          <w:spacing w:val="5"/>
          <w:w w:val="85"/>
        </w:rPr>
        <w:t xml:space="preserve">ꎬ </w:t>
      </w:r>
      <w:r>
        <w:rPr>
          <w:spacing w:val="16"/>
        </w:rPr>
        <w:t xml:space="preserve">应当不小于工作水泵能力的 </w:t>
      </w:r>
      <w:r>
        <w:rPr>
          <w:rFonts w:hint="eastAsia" w:ascii="MS UI Gothic" w:eastAsia="MS UI Gothic"/>
          <w:w w:val="85"/>
        </w:rPr>
        <w:t>７０</w:t>
      </w:r>
      <w:r>
        <w:rPr>
          <w:spacing w:val="-32"/>
          <w:w w:val="85"/>
        </w:rPr>
        <w:t xml:space="preserve">％ </w:t>
      </w:r>
      <w:r>
        <w:rPr>
          <w:rFonts w:hint="eastAsia" w:ascii="MS UI Gothic" w:eastAsia="MS UI Gothic"/>
          <w:w w:val="85"/>
        </w:rPr>
        <w:t>ꎮ</w:t>
      </w:r>
      <w:r>
        <w:rPr>
          <w:spacing w:val="3"/>
        </w:rPr>
        <w:t>检修水泵的能力</w:t>
      </w:r>
      <w:r>
        <w:rPr>
          <w:rFonts w:hint="eastAsia" w:ascii="MS UI Gothic" w:eastAsia="MS UI Gothic"/>
          <w:spacing w:val="12"/>
          <w:w w:val="85"/>
        </w:rPr>
        <w:t xml:space="preserve">ꎬ </w:t>
      </w:r>
      <w:r>
        <w:rPr>
          <w:spacing w:val="2"/>
        </w:rPr>
        <w:t>应当不小于工作水泵能</w:t>
      </w:r>
      <w:r>
        <w:rPr>
          <w:spacing w:val="-17"/>
        </w:rPr>
        <w:t xml:space="preserve">力的 </w:t>
      </w:r>
      <w:r>
        <w:rPr>
          <w:rFonts w:hint="eastAsia" w:ascii="MS UI Gothic" w:eastAsia="MS UI Gothic"/>
          <w:w w:val="85"/>
        </w:rPr>
        <w:t>２５</w:t>
      </w:r>
      <w:r>
        <w:rPr>
          <w:spacing w:val="-32"/>
          <w:w w:val="85"/>
        </w:rPr>
        <w:t xml:space="preserve">％ </w:t>
      </w:r>
      <w:r>
        <w:rPr>
          <w:rFonts w:hint="eastAsia" w:ascii="MS UI Gothic" w:eastAsia="MS UI Gothic"/>
          <w:spacing w:val="10"/>
          <w:w w:val="85"/>
        </w:rPr>
        <w:t xml:space="preserve">ꎮ </w:t>
      </w:r>
      <w:r>
        <w:rPr>
          <w:spacing w:val="24"/>
        </w:rPr>
        <w:t>工作和备用水泵的总能力</w:t>
      </w:r>
      <w:r>
        <w:rPr>
          <w:rFonts w:hint="eastAsia" w:ascii="MS UI Gothic" w:eastAsia="MS UI Gothic"/>
          <w:w w:val="85"/>
        </w:rPr>
        <w:t>ꎬ</w:t>
      </w:r>
      <w:r>
        <w:rPr>
          <w:spacing w:val="-9"/>
        </w:rPr>
        <w:t xml:space="preserve">应当能在 </w:t>
      </w:r>
      <w:r>
        <w:rPr>
          <w:rFonts w:hint="eastAsia" w:ascii="MS UI Gothic" w:eastAsia="MS UI Gothic"/>
          <w:spacing w:val="8"/>
          <w:w w:val="85"/>
        </w:rPr>
        <w:t xml:space="preserve">２０ </w:t>
      </w:r>
      <w:r>
        <w:rPr>
          <w:rFonts w:hint="eastAsia" w:ascii="MS UI Gothic" w:eastAsia="MS UI Gothic"/>
          <w:w w:val="85"/>
        </w:rPr>
        <w:t xml:space="preserve">ｈ </w:t>
      </w:r>
      <w:r>
        <w:rPr>
          <w:spacing w:val="-2"/>
        </w:rPr>
        <w:t xml:space="preserve">内排出矿井 </w:t>
      </w:r>
      <w:r>
        <w:rPr>
          <w:rFonts w:hint="eastAsia" w:ascii="MS UI Gothic" w:eastAsia="MS UI Gothic"/>
          <w:spacing w:val="10"/>
          <w:w w:val="85"/>
        </w:rPr>
        <w:t xml:space="preserve">２４ </w:t>
      </w:r>
      <w:r>
        <w:rPr>
          <w:rFonts w:hint="eastAsia" w:ascii="MS UI Gothic" w:eastAsia="MS UI Gothic"/>
          <w:w w:val="85"/>
        </w:rPr>
        <w:t xml:space="preserve">ｈ </w:t>
      </w:r>
      <w:r>
        <w:rPr>
          <w:spacing w:val="8"/>
        </w:rPr>
        <w:t>的最大涌</w:t>
      </w:r>
      <w:r>
        <w:rPr>
          <w:spacing w:val="3"/>
        </w:rPr>
        <w:t>水量</w:t>
      </w:r>
      <w:r>
        <w:rPr>
          <w:rFonts w:hint="eastAsia" w:ascii="MS UI Gothic" w:eastAsia="MS UI Gothic"/>
          <w:w w:val="85"/>
        </w:rPr>
        <w:t>ꎮ</w:t>
      </w:r>
    </w:p>
    <w:p>
      <w:pPr>
        <w:pStyle w:val="6"/>
        <w:spacing w:line="295" w:lineRule="auto"/>
        <w:ind w:left="118" w:right="440" w:firstLine="425"/>
        <w:rPr>
          <w:rFonts w:hint="eastAsia" w:ascii="MS UI Gothic" w:eastAsia="MS UI Gothic"/>
        </w:rPr>
      </w:pPr>
      <w:r>
        <w:t>排水管路应当有工作和备用水管</w:t>
      </w:r>
      <w:r>
        <w:rPr>
          <w:rFonts w:hint="eastAsia" w:ascii="MS UI Gothic" w:eastAsia="MS UI Gothic"/>
          <w:w w:val="85"/>
        </w:rPr>
        <w:t xml:space="preserve">ꎮ </w:t>
      </w:r>
      <w:r>
        <w:t>工作排水管路的能力</w:t>
      </w:r>
      <w:r>
        <w:rPr>
          <w:rFonts w:hint="eastAsia" w:ascii="MS UI Gothic" w:eastAsia="MS UI Gothic"/>
          <w:w w:val="85"/>
        </w:rPr>
        <w:t xml:space="preserve">ꎬ </w:t>
      </w:r>
      <w:r>
        <w:t xml:space="preserve">应当能配合工作水泵在 </w:t>
      </w:r>
      <w:r>
        <w:rPr>
          <w:rFonts w:hint="eastAsia" w:ascii="MS UI Gothic" w:eastAsia="MS UI Gothic"/>
          <w:w w:val="85"/>
        </w:rPr>
        <w:t xml:space="preserve">２０ </w:t>
      </w:r>
      <w:r>
        <w:rPr>
          <w:rFonts w:hint="eastAsia" w:ascii="MS UI Gothic" w:eastAsia="MS UI Gothic"/>
        </w:rPr>
        <w:t xml:space="preserve">ｈ </w:t>
      </w:r>
      <w:r>
        <w:t xml:space="preserve">内排出矿井 </w:t>
      </w:r>
      <w:r>
        <w:rPr>
          <w:rFonts w:hint="eastAsia" w:ascii="MS UI Gothic" w:eastAsia="MS UI Gothic"/>
          <w:w w:val="85"/>
        </w:rPr>
        <w:t xml:space="preserve">２４ </w:t>
      </w:r>
      <w:r>
        <w:rPr>
          <w:rFonts w:hint="eastAsia" w:ascii="MS UI Gothic" w:eastAsia="MS UI Gothic"/>
        </w:rPr>
        <w:t xml:space="preserve">ｈ </w:t>
      </w:r>
      <w:r>
        <w:t>的正常涌水量</w:t>
      </w:r>
      <w:r>
        <w:rPr>
          <w:rFonts w:hint="eastAsia" w:ascii="MS UI Gothic" w:eastAsia="MS UI Gothic"/>
          <w:w w:val="85"/>
        </w:rPr>
        <w:t>ꎮ</w:t>
      </w:r>
      <w:r>
        <w:t>工作和备用排水管路的总能力</w:t>
      </w:r>
      <w:r>
        <w:rPr>
          <w:rFonts w:hint="eastAsia" w:ascii="MS UI Gothic" w:eastAsia="MS UI Gothic"/>
          <w:w w:val="85"/>
        </w:rPr>
        <w:t xml:space="preserve">ꎬ </w:t>
      </w:r>
      <w:r>
        <w:t xml:space="preserve">应当能配合工作和备用水泵在 </w:t>
      </w:r>
      <w:r>
        <w:rPr>
          <w:rFonts w:hint="eastAsia" w:ascii="MS UI Gothic" w:eastAsia="MS UI Gothic"/>
          <w:w w:val="85"/>
        </w:rPr>
        <w:t xml:space="preserve">２０ </w:t>
      </w:r>
      <w:r>
        <w:rPr>
          <w:rFonts w:hint="eastAsia" w:ascii="MS UI Gothic" w:eastAsia="MS UI Gothic"/>
        </w:rPr>
        <w:t xml:space="preserve">ｈ </w:t>
      </w:r>
      <w:r>
        <w:t>内排出矿井</w:t>
      </w:r>
      <w:r>
        <w:rPr>
          <w:rFonts w:hint="eastAsia" w:ascii="MS UI Gothic" w:eastAsia="MS UI Gothic"/>
          <w:w w:val="85"/>
        </w:rPr>
        <w:t xml:space="preserve">２４ </w:t>
      </w:r>
      <w:r>
        <w:rPr>
          <w:rFonts w:hint="eastAsia" w:ascii="MS UI Gothic" w:eastAsia="MS UI Gothic"/>
        </w:rPr>
        <w:t>ｈ</w:t>
      </w:r>
      <w:r>
        <w:t>的最大涌水量</w:t>
      </w:r>
      <w:r>
        <w:rPr>
          <w:rFonts w:hint="eastAsia" w:ascii="MS UI Gothic" w:eastAsia="MS UI Gothic"/>
          <w:w w:val="85"/>
        </w:rPr>
        <w:t>ꎮ</w:t>
      </w:r>
    </w:p>
    <w:p>
      <w:pPr>
        <w:pStyle w:val="6"/>
        <w:spacing w:line="295" w:lineRule="auto"/>
        <w:ind w:right="442"/>
        <w:rPr>
          <w:rFonts w:hint="eastAsia" w:ascii="MS UI Gothic" w:eastAsia="MS UI Gothic"/>
        </w:rPr>
      </w:pPr>
      <w:r>
        <w:t>配电设备的能力应当与工作</w:t>
      </w:r>
      <w:r>
        <w:rPr>
          <w:rFonts w:hint="eastAsia" w:ascii="MS UI Gothic" w:eastAsia="MS UI Gothic"/>
          <w:w w:val="80"/>
        </w:rPr>
        <w:t xml:space="preserve">、 </w:t>
      </w:r>
      <w:r>
        <w:t>备用和检修水泵的能力相匹配</w:t>
      </w:r>
      <w:r>
        <w:rPr>
          <w:rFonts w:hint="eastAsia" w:ascii="MS UI Gothic" w:eastAsia="MS UI Gothic"/>
          <w:w w:val="80"/>
        </w:rPr>
        <w:t xml:space="preserve">ꎬ </w:t>
      </w:r>
      <w:r>
        <w:t>能够保证全部水泵同时运转</w:t>
      </w:r>
      <w:r>
        <w:rPr>
          <w:rFonts w:hint="eastAsia" w:ascii="MS UI Gothic" w:eastAsia="MS UI Gothic"/>
          <w:w w:val="80"/>
        </w:rPr>
        <w:t>ꎮ</w:t>
      </w:r>
    </w:p>
    <w:p>
      <w:pPr>
        <w:pStyle w:val="6"/>
        <w:spacing w:line="295" w:lineRule="auto"/>
        <w:ind w:right="442"/>
        <w:rPr>
          <w:rFonts w:hint="eastAsia" w:ascii="MS UI Gothic" w:eastAsia="MS UI Gothic"/>
        </w:rPr>
      </w:pPr>
      <w:r>
        <w:t xml:space="preserve">第三百一十二条 主要泵房至少有 </w:t>
      </w:r>
      <w:r>
        <w:rPr>
          <w:rFonts w:hint="eastAsia" w:ascii="MS UI Gothic" w:eastAsia="MS UI Gothic"/>
          <w:w w:val="80"/>
        </w:rPr>
        <w:t xml:space="preserve">２ </w:t>
      </w:r>
      <w:r>
        <w:t>个出口</w:t>
      </w:r>
      <w:r>
        <w:rPr>
          <w:rFonts w:hint="eastAsia" w:ascii="MS UI Gothic" w:eastAsia="MS UI Gothic"/>
          <w:w w:val="80"/>
        </w:rPr>
        <w:t xml:space="preserve">ꎬ </w:t>
      </w:r>
      <w:r>
        <w:t>一个出口用斜巷通到井筒</w:t>
      </w:r>
      <w:r>
        <w:rPr>
          <w:rFonts w:hint="eastAsia" w:ascii="MS UI Gothic" w:eastAsia="MS UI Gothic"/>
          <w:w w:val="80"/>
        </w:rPr>
        <w:t xml:space="preserve">ꎬ </w:t>
      </w:r>
      <w:r>
        <w:t xml:space="preserve">并高出泵房底板 </w:t>
      </w:r>
      <w:r>
        <w:rPr>
          <w:rFonts w:hint="eastAsia" w:ascii="MS UI Gothic" w:eastAsia="MS UI Gothic"/>
          <w:w w:val="80"/>
        </w:rPr>
        <w:t xml:space="preserve">７ ｍ </w:t>
      </w:r>
      <w:r>
        <w:t>以上</w:t>
      </w:r>
      <w:r>
        <w:rPr>
          <w:rFonts w:hint="eastAsia" w:ascii="MS UI Gothic" w:eastAsia="MS UI Gothic"/>
          <w:w w:val="80"/>
        </w:rPr>
        <w:t xml:space="preserve">ꎻ </w:t>
      </w:r>
      <w:r>
        <w:t>另一个出口通到井底车场</w:t>
      </w:r>
      <w:r>
        <w:rPr>
          <w:rFonts w:hint="eastAsia" w:ascii="MS UI Gothic" w:eastAsia="MS UI Gothic"/>
          <w:w w:val="80"/>
        </w:rPr>
        <w:t xml:space="preserve">ꎬ </w:t>
      </w:r>
      <w:r>
        <w:t>在此出口通路内</w:t>
      </w:r>
      <w:r>
        <w:rPr>
          <w:rFonts w:hint="eastAsia" w:ascii="MS UI Gothic" w:eastAsia="MS UI Gothic"/>
          <w:w w:val="80"/>
        </w:rPr>
        <w:t xml:space="preserve">ꎬ </w:t>
      </w:r>
      <w:r>
        <w:t>应当设置易于关闭的既能防水又能防火的密闭门</w:t>
      </w:r>
      <w:r>
        <w:rPr>
          <w:rFonts w:hint="eastAsia" w:ascii="MS UI Gothic" w:eastAsia="MS UI Gothic"/>
          <w:w w:val="80"/>
        </w:rPr>
        <w:t xml:space="preserve">ꎮ </w:t>
      </w:r>
      <w:r>
        <w:t>泵房和水仓的连接通道</w:t>
      </w:r>
      <w:r>
        <w:rPr>
          <w:rFonts w:hint="eastAsia" w:ascii="MS UI Gothic" w:eastAsia="MS UI Gothic"/>
          <w:w w:val="80"/>
        </w:rPr>
        <w:t xml:space="preserve">ꎬ </w:t>
      </w:r>
      <w:r>
        <w:t>应当设置控制闸门</w:t>
      </w:r>
      <w:r>
        <w:rPr>
          <w:rFonts w:hint="eastAsia" w:ascii="MS UI Gothic" w:eastAsia="MS UI Gothic"/>
          <w:w w:val="80"/>
        </w:rPr>
        <w:t>ꎮ</w:t>
      </w:r>
    </w:p>
    <w:p>
      <w:pPr>
        <w:pStyle w:val="6"/>
        <w:spacing w:line="295" w:lineRule="auto"/>
        <w:ind w:right="442"/>
        <w:rPr>
          <w:rFonts w:hint="eastAsia" w:ascii="MS UI Gothic" w:eastAsia="MS UI Gothic"/>
        </w:rPr>
      </w:pPr>
      <w:r>
        <w:t>排水系统集中控制的主要泵房可不设专人值守</w:t>
      </w:r>
      <w:r>
        <w:rPr>
          <w:rFonts w:hint="eastAsia" w:ascii="MS UI Gothic" w:eastAsia="MS UI Gothic"/>
          <w:w w:val="80"/>
        </w:rPr>
        <w:t xml:space="preserve">ꎬ </w:t>
      </w:r>
      <w:r>
        <w:t>但必须实现图像监视和专人巡检</w:t>
      </w:r>
      <w:r>
        <w:rPr>
          <w:rFonts w:hint="eastAsia" w:ascii="MS UI Gothic" w:eastAsia="MS UI Gothic"/>
          <w:w w:val="80"/>
        </w:rPr>
        <w:t>ꎮ</w:t>
      </w:r>
    </w:p>
    <w:p>
      <w:pPr>
        <w:pStyle w:val="6"/>
        <w:spacing w:line="295" w:lineRule="auto"/>
        <w:ind w:right="442"/>
        <w:rPr>
          <w:rFonts w:hint="eastAsia" w:ascii="MS UI Gothic" w:eastAsia="MS UI Gothic"/>
        </w:rPr>
      </w:pPr>
      <w:r>
        <w:t>第三百一十三条 矿井主要水仓应当有主仓和副仓</w:t>
      </w:r>
      <w:r>
        <w:rPr>
          <w:rFonts w:hint="eastAsia" w:ascii="MS UI Gothic" w:eastAsia="MS UI Gothic"/>
          <w:w w:val="80"/>
        </w:rPr>
        <w:t xml:space="preserve">ꎬ </w:t>
      </w:r>
      <w:r>
        <w:t>当一个水仓清理时</w:t>
      </w:r>
      <w:r>
        <w:rPr>
          <w:rFonts w:hint="eastAsia" w:ascii="MS UI Gothic" w:eastAsia="MS UI Gothic"/>
          <w:w w:val="80"/>
        </w:rPr>
        <w:t xml:space="preserve">ꎬ </w:t>
      </w:r>
      <w:r>
        <w:t>另一个水仓能够正常使用</w:t>
      </w:r>
      <w:r>
        <w:rPr>
          <w:rFonts w:hint="eastAsia" w:ascii="MS UI Gothic" w:eastAsia="MS UI Gothic"/>
          <w:w w:val="80"/>
        </w:rPr>
        <w:t>ꎮ</w:t>
      </w:r>
    </w:p>
    <w:p>
      <w:pPr>
        <w:pStyle w:val="6"/>
        <w:spacing w:line="290" w:lineRule="auto"/>
        <w:ind w:right="440"/>
        <w:rPr>
          <w:rFonts w:hint="eastAsia" w:ascii="MS UI Gothic" w:eastAsia="MS UI Gothic"/>
        </w:rPr>
      </w:pPr>
      <w:r>
        <w:rPr>
          <w:w w:val="95"/>
        </w:rPr>
        <w:t>新建</w:t>
      </w:r>
      <w:r>
        <w:rPr>
          <w:rFonts w:hint="eastAsia" w:ascii="MS UI Gothic" w:eastAsia="MS UI Gothic"/>
          <w:w w:val="95"/>
        </w:rPr>
        <w:t xml:space="preserve">、  </w:t>
      </w:r>
      <w:r>
        <w:rPr>
          <w:w w:val="95"/>
        </w:rPr>
        <w:t>改扩建矿井或者生产矿井的新水平</w:t>
      </w:r>
      <w:r>
        <w:rPr>
          <w:rFonts w:hint="eastAsia" w:ascii="MS UI Gothic" w:eastAsia="MS UI Gothic"/>
          <w:w w:val="75"/>
        </w:rPr>
        <w:t xml:space="preserve">ꎬ </w:t>
      </w:r>
      <w:r>
        <w:rPr>
          <w:w w:val="95"/>
        </w:rPr>
        <w:t xml:space="preserve">正常涌水量在 </w:t>
      </w:r>
      <w:r>
        <w:rPr>
          <w:rFonts w:hint="eastAsia" w:ascii="MS UI Gothic" w:eastAsia="MS UI Gothic"/>
          <w:w w:val="95"/>
        </w:rPr>
        <w:t>１０００ ｍ</w:t>
      </w:r>
      <w:r>
        <w:rPr>
          <w:rFonts w:hint="eastAsia" w:ascii="MS UI Gothic" w:eastAsia="MS UI Gothic"/>
          <w:w w:val="95"/>
          <w:position w:val="9"/>
          <w:sz w:val="12"/>
        </w:rPr>
        <w:t xml:space="preserve">３ </w:t>
      </w:r>
      <w:r>
        <w:rPr>
          <w:rFonts w:hint="eastAsia" w:ascii="MS UI Gothic" w:eastAsia="MS UI Gothic"/>
          <w:w w:val="75"/>
        </w:rPr>
        <w:t xml:space="preserve">/ </w:t>
      </w:r>
      <w:r>
        <w:rPr>
          <w:rFonts w:hint="eastAsia" w:ascii="MS UI Gothic" w:eastAsia="MS UI Gothic"/>
          <w:w w:val="95"/>
        </w:rPr>
        <w:t xml:space="preserve">ｈ </w:t>
      </w:r>
      <w:r>
        <w:rPr>
          <w:w w:val="95"/>
        </w:rPr>
        <w:t>以下时</w:t>
      </w:r>
      <w:r>
        <w:rPr>
          <w:rFonts w:hint="eastAsia" w:ascii="MS UI Gothic" w:eastAsia="MS UI Gothic"/>
          <w:w w:val="75"/>
        </w:rPr>
        <w:t>ꎬ</w:t>
      </w:r>
      <w:r>
        <w:rPr>
          <w:w w:val="95"/>
        </w:rPr>
        <w:t xml:space="preserve">主要水仓的有效容量应当能容纳 </w:t>
      </w:r>
      <w:r>
        <w:rPr>
          <w:rFonts w:hint="eastAsia" w:ascii="MS UI Gothic" w:eastAsia="MS UI Gothic"/>
          <w:w w:val="95"/>
        </w:rPr>
        <w:t xml:space="preserve">８ ｈ </w:t>
      </w:r>
      <w:r>
        <w:rPr>
          <w:w w:val="95"/>
        </w:rPr>
        <w:t>的正常涌水量</w:t>
      </w:r>
      <w:r>
        <w:rPr>
          <w:rFonts w:hint="eastAsia" w:ascii="MS UI Gothic" w:eastAsia="MS UI Gothic"/>
          <w:w w:val="75"/>
        </w:rPr>
        <w:t>ꎮ</w:t>
      </w:r>
    </w:p>
    <w:p>
      <w:pPr>
        <w:spacing w:after="0" w:line="290"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２８３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81" o:spid="_x0000_s1881" o:spt="203" style="height:2.15pt;width:398.25pt;" coordsize="7965,43">
            <o:lock v:ext="edit"/>
            <v:line id="_x0000_s1882" o:spid="_x0000_s1882" o:spt="20" style="position:absolute;left:0;top:39;height:0;width:7965;" stroked="t" coordsize="21600,21600">
              <v:path arrowok="t"/>
              <v:fill focussize="0,0"/>
              <v:stroke weight="0.388031496062992pt" color="#231F20"/>
              <v:imagedata o:title=""/>
              <o:lock v:ext="edit"/>
            </v:line>
            <v:line id="_x0000_s1883" o:spid="_x0000_s188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14" w:line="295" w:lineRule="auto"/>
        <w:ind w:left="440"/>
        <w:rPr>
          <w:rFonts w:hint="eastAsia" w:ascii="MS UI Gothic" w:eastAsia="MS UI Gothic"/>
        </w:rPr>
      </w:pPr>
      <w:r>
        <w:t xml:space="preserve">正常涌水量大于 </w:t>
      </w:r>
      <w:r>
        <w:rPr>
          <w:rFonts w:hint="eastAsia" w:ascii="MS UI Gothic" w:eastAsia="MS UI Gothic"/>
          <w:w w:val="85"/>
        </w:rPr>
        <w:t>１０００ ｍ</w:t>
      </w:r>
      <w:r>
        <w:rPr>
          <w:rFonts w:hint="eastAsia" w:ascii="MS UI Gothic" w:eastAsia="MS UI Gothic"/>
          <w:w w:val="85"/>
          <w:position w:val="9"/>
          <w:sz w:val="12"/>
        </w:rPr>
        <w:t xml:space="preserve">３ </w:t>
      </w:r>
      <w:r>
        <w:rPr>
          <w:rFonts w:hint="eastAsia" w:ascii="MS UI Gothic" w:eastAsia="MS UI Gothic"/>
          <w:w w:val="65"/>
        </w:rPr>
        <w:t xml:space="preserve">/ </w:t>
      </w:r>
      <w:r>
        <w:rPr>
          <w:rFonts w:hint="eastAsia" w:ascii="MS UI Gothic" w:eastAsia="MS UI Gothic"/>
          <w:w w:val="85"/>
        </w:rPr>
        <w:t xml:space="preserve">ｈ </w:t>
      </w:r>
      <w:r>
        <w:t>的矿井</w:t>
      </w:r>
      <w:r>
        <w:rPr>
          <w:rFonts w:hint="eastAsia" w:ascii="MS UI Gothic" w:eastAsia="MS UI Gothic"/>
          <w:w w:val="85"/>
        </w:rPr>
        <w:t>ꎬ</w:t>
      </w:r>
      <w:r>
        <w:t>主要水仓有效容量可以按照下式计算</w:t>
      </w:r>
      <w:r>
        <w:rPr>
          <w:rFonts w:hint="eastAsia" w:ascii="MS UI Gothic" w:eastAsia="MS UI Gothic"/>
          <w:w w:val="225"/>
        </w:rPr>
        <w:t>:</w:t>
      </w:r>
    </w:p>
    <w:p>
      <w:pPr>
        <w:pStyle w:val="6"/>
        <w:spacing w:line="255" w:lineRule="exact"/>
        <w:ind w:left="419" w:firstLine="0"/>
        <w:jc w:val="center"/>
        <w:rPr>
          <w:rFonts w:hint="eastAsia" w:ascii="MS UI Gothic" w:eastAsia="MS UI Gothic"/>
        </w:rPr>
      </w:pPr>
      <w:r>
        <w:rPr>
          <w:w w:val="57"/>
        </w:rPr>
        <w:t>Ｖ</w:t>
      </w:r>
      <w:r>
        <w:rPr>
          <w:spacing w:val="-71"/>
        </w:rPr>
        <w:t xml:space="preserve"> </w:t>
      </w:r>
      <w:r>
        <w:rPr>
          <w:rFonts w:hint="eastAsia" w:ascii="MS UI Gothic" w:eastAsia="MS UI Gothic"/>
          <w:w w:val="56"/>
          <w:position w:val="1"/>
        </w:rPr>
        <w:t>＝</w:t>
      </w:r>
      <w:r>
        <w:rPr>
          <w:rFonts w:hint="eastAsia" w:ascii="MS UI Gothic" w:eastAsia="MS UI Gothic"/>
          <w:spacing w:val="-27"/>
          <w:position w:val="1"/>
        </w:rPr>
        <w:t xml:space="preserve"> </w:t>
      </w:r>
      <w:r>
        <w:rPr>
          <w:rFonts w:hint="eastAsia" w:ascii="MS UI Gothic" w:eastAsia="MS UI Gothic"/>
          <w:w w:val="75"/>
        </w:rPr>
        <w:t>２</w:t>
      </w:r>
      <w:r>
        <w:rPr>
          <w:rFonts w:hint="eastAsia" w:ascii="MS UI Gothic" w:eastAsia="MS UI Gothic"/>
        </w:rPr>
        <w:t xml:space="preserve"> </w:t>
      </w:r>
      <w:r>
        <w:rPr>
          <w:rFonts w:hint="eastAsia" w:ascii="MS UI Gothic" w:eastAsia="MS UI Gothic"/>
          <w:spacing w:val="-12"/>
        </w:rPr>
        <w:t xml:space="preserve"> </w:t>
      </w:r>
      <w:r>
        <w:rPr>
          <w:rFonts w:hint="eastAsia" w:ascii="MS UI Gothic" w:eastAsia="MS UI Gothic"/>
          <w:w w:val="168"/>
        </w:rPr>
        <w:t>(</w:t>
      </w:r>
      <w:r>
        <w:rPr>
          <w:rFonts w:hint="eastAsia" w:ascii="MS UI Gothic" w:eastAsia="MS UI Gothic"/>
          <w:spacing w:val="-40"/>
        </w:rPr>
        <w:t xml:space="preserve"> </w:t>
      </w:r>
      <w:r>
        <w:rPr>
          <w:spacing w:val="10"/>
          <w:w w:val="68"/>
        </w:rPr>
        <w:t>Ｑ</w:t>
      </w:r>
      <w:r>
        <w:rPr>
          <w:rFonts w:hint="eastAsia" w:ascii="MS UI Gothic" w:eastAsia="MS UI Gothic"/>
          <w:spacing w:val="11"/>
          <w:w w:val="56"/>
          <w:position w:val="1"/>
        </w:rPr>
        <w:t>＋</w:t>
      </w:r>
      <w:r>
        <w:rPr>
          <w:rFonts w:hint="eastAsia" w:ascii="MS UI Gothic" w:eastAsia="MS UI Gothic"/>
          <w:w w:val="75"/>
        </w:rPr>
        <w:t>３００</w:t>
      </w:r>
      <w:r>
        <w:rPr>
          <w:rFonts w:hint="eastAsia" w:ascii="MS UI Gothic" w:eastAsia="MS UI Gothic"/>
          <w:spacing w:val="5"/>
          <w:w w:val="75"/>
        </w:rPr>
        <w:t>０</w:t>
      </w:r>
      <w:r>
        <w:rPr>
          <w:rFonts w:hint="eastAsia" w:ascii="MS UI Gothic" w:eastAsia="MS UI Gothic"/>
          <w:w w:val="168"/>
        </w:rPr>
        <w:t>)</w:t>
      </w:r>
    </w:p>
    <w:p>
      <w:pPr>
        <w:pStyle w:val="6"/>
        <w:spacing w:before="58"/>
        <w:ind w:left="860" w:firstLine="0"/>
        <w:jc w:val="left"/>
        <w:rPr>
          <w:rFonts w:hint="eastAsia" w:ascii="MS UI Gothic" w:eastAsia="MS UI Gothic"/>
        </w:rPr>
      </w:pPr>
      <w:r>
        <w:rPr>
          <w:w w:val="115"/>
        </w:rPr>
        <w:t>式中</w:t>
      </w:r>
      <w:r>
        <w:rPr>
          <w:rFonts w:hint="eastAsia" w:ascii="MS UI Gothic" w:eastAsia="MS UI Gothic"/>
          <w:w w:val="235"/>
        </w:rPr>
        <w:t>:</w:t>
      </w:r>
    </w:p>
    <w:p>
      <w:pPr>
        <w:pStyle w:val="6"/>
        <w:spacing w:before="48"/>
        <w:ind w:left="860" w:firstLine="0"/>
        <w:jc w:val="left"/>
        <w:rPr>
          <w:rFonts w:hint="eastAsia" w:ascii="MS UI Gothic" w:hAnsi="MS UI Gothic" w:eastAsia="MS UI Gothic"/>
        </w:rPr>
      </w:pPr>
      <w:r>
        <w:rPr>
          <w:spacing w:val="4"/>
          <w:w w:val="57"/>
        </w:rPr>
        <w:t>Ｖ</w:t>
      </w:r>
      <w:r>
        <w:rPr>
          <w:rFonts w:hint="eastAsia" w:ascii="MS UI Gothic" w:hAnsi="MS UI Gothic" w:eastAsia="MS UI Gothic"/>
          <w:spacing w:val="-67"/>
          <w:w w:val="153"/>
        </w:rPr>
        <w:t>———</w:t>
      </w:r>
      <w:r>
        <w:rPr>
          <w:spacing w:val="3"/>
          <w:w w:val="102"/>
        </w:rPr>
        <w:t>主要水仓的有效容量</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spacing w:val="6"/>
          <w:w w:val="79"/>
        </w:rPr>
        <w:t>ｍ</w:t>
      </w:r>
      <w:r>
        <w:rPr>
          <w:rFonts w:hint="eastAsia" w:ascii="MS UI Gothic" w:hAnsi="MS UI Gothic" w:eastAsia="MS UI Gothic"/>
          <w:w w:val="72"/>
          <w:position w:val="9"/>
          <w:sz w:val="12"/>
        </w:rPr>
        <w:t>３</w:t>
      </w:r>
      <w:r>
        <w:rPr>
          <w:rFonts w:hint="eastAsia" w:ascii="MS UI Gothic" w:hAnsi="MS UI Gothic" w:eastAsia="MS UI Gothic"/>
          <w:spacing w:val="-19"/>
          <w:position w:val="9"/>
          <w:sz w:val="12"/>
        </w:rPr>
        <w:t xml:space="preserve"> </w:t>
      </w:r>
      <w:r>
        <w:rPr>
          <w:rFonts w:hint="eastAsia" w:ascii="MS UI Gothic" w:hAnsi="MS UI Gothic" w:eastAsia="MS UI Gothic"/>
          <w:w w:val="51"/>
        </w:rPr>
        <w:t>ꎻ</w:t>
      </w:r>
    </w:p>
    <w:p>
      <w:pPr>
        <w:pStyle w:val="6"/>
        <w:spacing w:before="58" w:line="285" w:lineRule="auto"/>
        <w:ind w:left="1397" w:right="1" w:hanging="561"/>
        <w:jc w:val="left"/>
        <w:rPr>
          <w:rFonts w:hint="eastAsia" w:ascii="MS UI Gothic" w:hAnsi="MS UI Gothic" w:eastAsia="MS UI Gothic"/>
        </w:rPr>
      </w:pPr>
      <w:r>
        <w:rPr>
          <w:spacing w:val="4"/>
          <w:w w:val="68"/>
        </w:rPr>
        <w:t>Ｑ</w:t>
      </w:r>
      <w:r>
        <w:rPr>
          <w:rFonts w:hint="eastAsia" w:ascii="MS UI Gothic" w:hAnsi="MS UI Gothic" w:eastAsia="MS UI Gothic"/>
          <w:spacing w:val="-67"/>
          <w:w w:val="153"/>
        </w:rPr>
        <w:t>———</w:t>
      </w:r>
      <w:r>
        <w:rPr>
          <w:w w:val="102"/>
        </w:rPr>
        <w:t>矿</w:t>
      </w:r>
      <w:r>
        <w:rPr>
          <w:spacing w:val="-33"/>
        </w:rPr>
        <w:t xml:space="preserve"> </w:t>
      </w:r>
      <w:r>
        <w:rPr>
          <w:w w:val="102"/>
        </w:rPr>
        <w:t>井</w:t>
      </w:r>
      <w:r>
        <w:rPr>
          <w:spacing w:val="-15"/>
        </w:rPr>
        <w:t xml:space="preserve"> </w:t>
      </w:r>
      <w:r>
        <w:rPr>
          <w:w w:val="102"/>
        </w:rPr>
        <w:t>每</w:t>
      </w:r>
      <w:r>
        <w:rPr>
          <w:spacing w:val="-15"/>
        </w:rPr>
        <w:t xml:space="preserve"> </w:t>
      </w:r>
      <w:r>
        <w:rPr>
          <w:w w:val="102"/>
        </w:rPr>
        <w:t>小</w:t>
      </w:r>
      <w:r>
        <w:rPr>
          <w:spacing w:val="-15"/>
        </w:rPr>
        <w:t xml:space="preserve"> </w:t>
      </w:r>
      <w:r>
        <w:rPr>
          <w:w w:val="102"/>
        </w:rPr>
        <w:t>时</w:t>
      </w:r>
      <w:r>
        <w:rPr>
          <w:spacing w:val="-15"/>
        </w:rPr>
        <w:t xml:space="preserve"> </w:t>
      </w:r>
      <w:r>
        <w:rPr>
          <w:w w:val="102"/>
        </w:rPr>
        <w:t>的</w:t>
      </w:r>
      <w:r>
        <w:rPr>
          <w:spacing w:val="-15"/>
        </w:rPr>
        <w:t xml:space="preserve"> </w:t>
      </w:r>
      <w:r>
        <w:rPr>
          <w:w w:val="102"/>
        </w:rPr>
        <w:t>正</w:t>
      </w:r>
      <w:r>
        <w:rPr>
          <w:spacing w:val="-15"/>
        </w:rPr>
        <w:t xml:space="preserve"> </w:t>
      </w:r>
      <w:r>
        <w:rPr>
          <w:w w:val="102"/>
        </w:rPr>
        <w:t>常</w:t>
      </w:r>
      <w:r>
        <w:rPr>
          <w:spacing w:val="-13"/>
        </w:rPr>
        <w:t xml:space="preserve"> </w:t>
      </w:r>
      <w:r>
        <w:rPr>
          <w:w w:val="102"/>
        </w:rPr>
        <w:t>涌</w:t>
      </w:r>
      <w:r>
        <w:rPr>
          <w:spacing w:val="-13"/>
        </w:rPr>
        <w:t xml:space="preserve"> </w:t>
      </w:r>
      <w:r>
        <w:rPr>
          <w:spacing w:val="-13"/>
          <w:w w:val="102"/>
        </w:rPr>
        <w:t>水</w:t>
      </w:r>
      <w:r>
        <w:rPr>
          <w:spacing w:val="3"/>
        </w:rPr>
        <w:t>量</w:t>
      </w:r>
      <w:r>
        <w:rPr>
          <w:rFonts w:hint="eastAsia" w:ascii="MS UI Gothic" w:hAnsi="MS UI Gothic" w:eastAsia="MS UI Gothic"/>
          <w:spacing w:val="20"/>
          <w:w w:val="90"/>
        </w:rPr>
        <w:t xml:space="preserve">ꎬ </w:t>
      </w:r>
      <w:r>
        <w:rPr>
          <w:rFonts w:hint="eastAsia" w:ascii="MS UI Gothic" w:hAnsi="MS UI Gothic" w:eastAsia="MS UI Gothic"/>
          <w:spacing w:val="3"/>
        </w:rPr>
        <w:t>ｍ</w:t>
      </w:r>
      <w:r>
        <w:rPr>
          <w:rFonts w:hint="eastAsia" w:ascii="MS UI Gothic" w:hAnsi="MS UI Gothic" w:eastAsia="MS UI Gothic"/>
          <w:spacing w:val="-9"/>
          <w:position w:val="9"/>
          <w:sz w:val="12"/>
        </w:rPr>
        <w:t xml:space="preserve">３ </w:t>
      </w:r>
      <w:r>
        <w:rPr>
          <w:rFonts w:hint="eastAsia" w:ascii="MS UI Gothic" w:hAnsi="MS UI Gothic" w:eastAsia="MS UI Gothic"/>
          <w:w w:val="90"/>
        </w:rPr>
        <w:t>ꎮ</w:t>
      </w:r>
    </w:p>
    <w:p>
      <w:pPr>
        <w:pStyle w:val="6"/>
        <w:spacing w:before="9"/>
        <w:ind w:left="860" w:firstLine="0"/>
        <w:jc w:val="left"/>
        <w:rPr>
          <w:rFonts w:hint="eastAsia" w:ascii="MS UI Gothic" w:eastAsia="MS UI Gothic"/>
        </w:rPr>
      </w:pPr>
      <w:r>
        <w:t xml:space="preserve">采区水仓的有效容量应当能容纳 </w:t>
      </w:r>
      <w:r>
        <w:rPr>
          <w:rFonts w:hint="eastAsia" w:ascii="MS UI Gothic" w:eastAsia="MS UI Gothic"/>
        </w:rPr>
        <w:t>４ ｈ</w:t>
      </w:r>
    </w:p>
    <w:p>
      <w:pPr>
        <w:pStyle w:val="6"/>
        <w:spacing w:before="58"/>
        <w:ind w:left="440" w:firstLine="0"/>
        <w:jc w:val="left"/>
        <w:rPr>
          <w:rFonts w:hint="eastAsia" w:ascii="MS UI Gothic" w:eastAsia="MS UI Gothic"/>
        </w:rPr>
      </w:pPr>
      <w:r>
        <w:t>的采区正常涌水量</w:t>
      </w:r>
      <w:r>
        <w:rPr>
          <w:rFonts w:hint="eastAsia" w:ascii="MS UI Gothic" w:eastAsia="MS UI Gothic"/>
          <w:w w:val="80"/>
        </w:rPr>
        <w:t>ꎮ</w:t>
      </w:r>
    </w:p>
    <w:p>
      <w:pPr>
        <w:pStyle w:val="6"/>
        <w:spacing w:before="59" w:line="295" w:lineRule="auto"/>
        <w:ind w:left="440" w:right="1"/>
        <w:rPr>
          <w:rFonts w:hint="eastAsia" w:ascii="MS UI Gothic" w:eastAsia="MS UI Gothic"/>
        </w:rPr>
      </w:pPr>
      <w:r>
        <w:rPr>
          <w:w w:val="95"/>
        </w:rPr>
        <w:t>水仓进口处应当设置箅子</w:t>
      </w:r>
      <w:r>
        <w:rPr>
          <w:rFonts w:hint="eastAsia" w:ascii="MS UI Gothic" w:eastAsia="MS UI Gothic"/>
          <w:w w:val="90"/>
        </w:rPr>
        <w:t xml:space="preserve">ꎮ  </w:t>
      </w:r>
      <w:r>
        <w:rPr>
          <w:w w:val="95"/>
        </w:rPr>
        <w:t>对水砂充填和其他涌水中带有大量杂质的矿井</w:t>
      </w:r>
      <w:r>
        <w:rPr>
          <w:rFonts w:hint="eastAsia" w:ascii="MS UI Gothic" w:eastAsia="MS UI Gothic"/>
          <w:w w:val="90"/>
        </w:rPr>
        <w:t xml:space="preserve">ꎬ  </w:t>
      </w:r>
      <w:r>
        <w:rPr>
          <w:w w:val="95"/>
        </w:rPr>
        <w:t>还应当设置沉淀池</w:t>
      </w:r>
      <w:r>
        <w:rPr>
          <w:rFonts w:hint="eastAsia" w:ascii="MS UI Gothic" w:eastAsia="MS UI Gothic"/>
          <w:w w:val="90"/>
        </w:rPr>
        <w:t xml:space="preserve">ꎮ  </w:t>
      </w:r>
      <w:r>
        <w:rPr>
          <w:w w:val="95"/>
        </w:rPr>
        <w:t xml:space="preserve">水仓的空仓容量应当经常保持在总容量的 </w:t>
      </w:r>
      <w:r>
        <w:rPr>
          <w:rFonts w:hint="eastAsia" w:ascii="MS UI Gothic" w:eastAsia="MS UI Gothic"/>
          <w:w w:val="95"/>
        </w:rPr>
        <w:t>５０</w:t>
      </w:r>
      <w:r>
        <w:rPr>
          <w:w w:val="95"/>
        </w:rPr>
        <w:t>％ 以上</w:t>
      </w:r>
      <w:r>
        <w:rPr>
          <w:rFonts w:hint="eastAsia" w:ascii="MS UI Gothic" w:eastAsia="MS UI Gothic"/>
          <w:w w:val="90"/>
        </w:rPr>
        <w:t>ꎮ</w:t>
      </w:r>
    </w:p>
    <w:p>
      <w:pPr>
        <w:pStyle w:val="6"/>
        <w:spacing w:line="295" w:lineRule="auto"/>
        <w:ind w:left="440" w:right="1"/>
        <w:rPr>
          <w:rFonts w:hint="eastAsia" w:ascii="MS UI Gothic" w:eastAsia="MS UI Gothic"/>
        </w:rPr>
      </w:pPr>
      <w:r>
        <w:t>第三百一十四条 水泵</w:t>
      </w:r>
      <w:r>
        <w:rPr>
          <w:rFonts w:hint="eastAsia" w:ascii="MS UI Gothic" w:eastAsia="MS UI Gothic"/>
        </w:rPr>
        <w:t xml:space="preserve">、 </w:t>
      </w:r>
      <w:r>
        <w:t>水管</w:t>
      </w:r>
      <w:r>
        <w:rPr>
          <w:rFonts w:hint="eastAsia" w:ascii="MS UI Gothic" w:eastAsia="MS UI Gothic"/>
        </w:rPr>
        <w:t xml:space="preserve">、 </w:t>
      </w:r>
      <w:r>
        <w:t>闸阀</w:t>
      </w:r>
      <w:r>
        <w:rPr>
          <w:rFonts w:hint="eastAsia" w:ascii="MS UI Gothic" w:eastAsia="MS UI Gothic"/>
        </w:rPr>
        <w:t xml:space="preserve">、 </w:t>
      </w:r>
      <w:r>
        <w:t>配电设备和线路</w:t>
      </w:r>
      <w:r>
        <w:rPr>
          <w:rFonts w:hint="eastAsia" w:ascii="MS UI Gothic" w:eastAsia="MS UI Gothic"/>
          <w:w w:val="80"/>
        </w:rPr>
        <w:t xml:space="preserve">ꎬ </w:t>
      </w:r>
      <w:r>
        <w:t>必须经常检查和维护</w:t>
      </w:r>
      <w:r>
        <w:rPr>
          <w:rFonts w:hint="eastAsia" w:ascii="MS UI Gothic" w:eastAsia="MS UI Gothic"/>
          <w:w w:val="80"/>
        </w:rPr>
        <w:t xml:space="preserve">ꎮ </w:t>
      </w:r>
      <w:r>
        <w:t>在每年雨季之前</w:t>
      </w:r>
      <w:r>
        <w:rPr>
          <w:rFonts w:hint="eastAsia" w:ascii="MS UI Gothic" w:eastAsia="MS UI Gothic"/>
          <w:w w:val="80"/>
        </w:rPr>
        <w:t xml:space="preserve">ꎬ </w:t>
      </w:r>
      <w:r>
        <w:t xml:space="preserve">必须全面检修 </w:t>
      </w:r>
      <w:r>
        <w:rPr>
          <w:rFonts w:hint="eastAsia" w:ascii="MS UI Gothic" w:eastAsia="MS UI Gothic"/>
        </w:rPr>
        <w:t xml:space="preserve">１ </w:t>
      </w:r>
      <w:r>
        <w:t>次</w:t>
      </w:r>
      <w:r>
        <w:rPr>
          <w:rFonts w:hint="eastAsia" w:ascii="MS UI Gothic" w:eastAsia="MS UI Gothic"/>
          <w:w w:val="80"/>
        </w:rPr>
        <w:t xml:space="preserve">ꎬ </w:t>
      </w:r>
      <w:r>
        <w:t xml:space="preserve">并对全部工作水泵和备用水泵进行 </w:t>
      </w:r>
      <w:r>
        <w:rPr>
          <w:rFonts w:hint="eastAsia" w:ascii="MS UI Gothic" w:eastAsia="MS UI Gothic"/>
        </w:rPr>
        <w:t xml:space="preserve">１ </w:t>
      </w:r>
      <w:r>
        <w:t>次联合排水试验</w:t>
      </w:r>
      <w:r>
        <w:rPr>
          <w:rFonts w:hint="eastAsia" w:ascii="MS UI Gothic" w:eastAsia="MS UI Gothic"/>
          <w:w w:val="80"/>
        </w:rPr>
        <w:t xml:space="preserve">ꎬ </w:t>
      </w:r>
      <w:r>
        <w:t>提交联合排水试验报告</w:t>
      </w:r>
      <w:r>
        <w:rPr>
          <w:rFonts w:hint="eastAsia" w:ascii="MS UI Gothic" w:eastAsia="MS UI Gothic"/>
          <w:w w:val="80"/>
        </w:rPr>
        <w:t>ꎮ</w:t>
      </w:r>
    </w:p>
    <w:p>
      <w:pPr>
        <w:pStyle w:val="6"/>
        <w:spacing w:line="295" w:lineRule="auto"/>
        <w:ind w:left="440" w:right="1"/>
        <w:rPr>
          <w:rFonts w:hint="eastAsia" w:ascii="MS UI Gothic" w:eastAsia="MS UI Gothic"/>
        </w:rPr>
      </w:pPr>
      <w:r>
        <w:t>水仓</w:t>
      </w:r>
      <w:r>
        <w:rPr>
          <w:rFonts w:hint="eastAsia" w:ascii="MS UI Gothic" w:eastAsia="MS UI Gothic"/>
        </w:rPr>
        <w:t xml:space="preserve">、 </w:t>
      </w:r>
      <w:r>
        <w:t>沉淀池和水沟中的淤泥</w:t>
      </w:r>
      <w:r>
        <w:rPr>
          <w:rFonts w:hint="eastAsia" w:ascii="MS UI Gothic" w:eastAsia="MS UI Gothic"/>
          <w:w w:val="80"/>
        </w:rPr>
        <w:t xml:space="preserve">ꎬ </w:t>
      </w:r>
      <w:r>
        <w:t>应当及时清理</w:t>
      </w:r>
      <w:r>
        <w:rPr>
          <w:rFonts w:hint="eastAsia" w:ascii="MS UI Gothic" w:eastAsia="MS UI Gothic"/>
          <w:w w:val="80"/>
        </w:rPr>
        <w:t xml:space="preserve">ꎬ </w:t>
      </w:r>
      <w:r>
        <w:t xml:space="preserve">每年雨季前必须清理 </w:t>
      </w:r>
      <w:r>
        <w:rPr>
          <w:rFonts w:hint="eastAsia" w:ascii="MS UI Gothic" w:eastAsia="MS UI Gothic"/>
        </w:rPr>
        <w:t xml:space="preserve">１ </w:t>
      </w:r>
      <w:r>
        <w:t>次</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第三百一十五条 大型</w:t>
      </w:r>
      <w:r>
        <w:rPr>
          <w:rFonts w:hint="eastAsia" w:ascii="MS UI Gothic" w:eastAsia="MS UI Gothic"/>
          <w:w w:val="80"/>
        </w:rPr>
        <w:t xml:space="preserve">、 </w:t>
      </w:r>
      <w:r>
        <w:rPr>
          <w:w w:val="105"/>
        </w:rPr>
        <w:t>特大型矿井</w:t>
      </w:r>
      <w:r>
        <w:t>排水系统可以根据井下生产布局及涌水情况分区建设</w:t>
      </w:r>
      <w:r>
        <w:rPr>
          <w:rFonts w:hint="eastAsia" w:ascii="MS UI Gothic" w:eastAsia="MS UI Gothic"/>
          <w:w w:val="80"/>
        </w:rPr>
        <w:t xml:space="preserve">ꎬ </w:t>
      </w:r>
      <w:r>
        <w:t>每个排水分区可以实现独立</w:t>
      </w:r>
      <w:r>
        <w:rPr>
          <w:w w:val="105"/>
        </w:rPr>
        <w:t>排水</w:t>
      </w:r>
      <w:r>
        <w:rPr>
          <w:rFonts w:hint="eastAsia" w:ascii="MS UI Gothic" w:eastAsia="MS UI Gothic"/>
          <w:w w:val="80"/>
        </w:rPr>
        <w:t xml:space="preserve">ꎬ </w:t>
      </w:r>
      <w:r>
        <w:rPr>
          <w:w w:val="105"/>
        </w:rPr>
        <w:t>但泵房设计</w:t>
      </w:r>
      <w:r>
        <w:rPr>
          <w:rFonts w:hint="eastAsia" w:ascii="MS UI Gothic" w:eastAsia="MS UI Gothic"/>
          <w:w w:val="80"/>
        </w:rPr>
        <w:t xml:space="preserve">、 </w:t>
      </w:r>
      <w:r>
        <w:rPr>
          <w:w w:val="105"/>
        </w:rPr>
        <w:t>排水能力及水仓容量</w:t>
      </w:r>
      <w:r>
        <w:t>必须符合本规程第三百一十一条至第三百</w:t>
      </w:r>
      <w:r>
        <w:rPr>
          <w:w w:val="105"/>
        </w:rPr>
        <w:t>一十四条要求</w:t>
      </w:r>
      <w:r>
        <w:rPr>
          <w:rFonts w:hint="eastAsia" w:ascii="MS UI Gothic" w:eastAsia="MS UI Gothic"/>
          <w:w w:val="80"/>
        </w:rPr>
        <w:t>ꎮ</w:t>
      </w:r>
    </w:p>
    <w:p>
      <w:pPr>
        <w:pStyle w:val="6"/>
        <w:spacing w:line="295" w:lineRule="auto"/>
        <w:ind w:left="440" w:right="1"/>
        <w:rPr>
          <w:rFonts w:hint="eastAsia" w:ascii="MS UI Gothic" w:eastAsia="MS UI Gothic"/>
        </w:rPr>
      </w:pPr>
      <w:r>
        <w:t>第三百一十六条 井下采区</w:t>
      </w:r>
      <w:r>
        <w:rPr>
          <w:rFonts w:hint="eastAsia" w:ascii="MS UI Gothic" w:eastAsia="MS UI Gothic"/>
          <w:w w:val="80"/>
        </w:rPr>
        <w:t xml:space="preserve">、 </w:t>
      </w:r>
      <w:r>
        <w:t>巷道有突水危险或者可能积水的</w:t>
      </w:r>
      <w:r>
        <w:rPr>
          <w:rFonts w:hint="eastAsia" w:ascii="MS UI Gothic" w:eastAsia="MS UI Gothic"/>
          <w:w w:val="80"/>
        </w:rPr>
        <w:t xml:space="preserve">ꎬ </w:t>
      </w:r>
      <w:r>
        <w:t>应当优先施工安装防</w:t>
      </w:r>
      <w:r>
        <w:rPr>
          <w:rFonts w:hint="eastAsia" w:ascii="MS UI Gothic" w:eastAsia="MS UI Gothic"/>
          <w:w w:val="80"/>
        </w:rPr>
        <w:t xml:space="preserve">、 </w:t>
      </w:r>
      <w:r>
        <w:t>排水系统</w:t>
      </w:r>
      <w:r>
        <w:rPr>
          <w:rFonts w:hint="eastAsia" w:ascii="MS UI Gothic" w:eastAsia="MS UI Gothic"/>
          <w:w w:val="80"/>
        </w:rPr>
        <w:t xml:space="preserve">ꎬ </w:t>
      </w:r>
      <w:r>
        <w:t>并保证有足够的排水能力</w:t>
      </w:r>
      <w:r>
        <w:rPr>
          <w:rFonts w:hint="eastAsia" w:ascii="MS UI Gothic" w:eastAsia="MS UI Gothic"/>
          <w:w w:val="80"/>
        </w:rPr>
        <w:t>ꎮ</w:t>
      </w:r>
    </w:p>
    <w:p>
      <w:pPr>
        <w:pStyle w:val="6"/>
        <w:tabs>
          <w:tab w:val="left" w:pos="1277"/>
          <w:tab w:val="left" w:pos="1801"/>
          <w:tab w:val="left" w:pos="2325"/>
        </w:tabs>
        <w:spacing w:before="139"/>
        <w:ind w:left="439" w:firstLine="0"/>
        <w:jc w:val="center"/>
      </w:pPr>
      <w:r>
        <w:rPr>
          <w:spacing w:val="3"/>
          <w:w w:val="105"/>
        </w:rPr>
        <w:t>第五</w:t>
      </w:r>
      <w:r>
        <w:rPr>
          <w:w w:val="105"/>
        </w:rPr>
        <w:t>节</w:t>
      </w:r>
      <w:r>
        <w:rPr>
          <w:w w:val="105"/>
        </w:rPr>
        <w:tab/>
      </w:r>
      <w:r>
        <w:rPr>
          <w:w w:val="105"/>
        </w:rPr>
        <w:t>探</w:t>
      </w:r>
      <w:r>
        <w:rPr>
          <w:w w:val="105"/>
        </w:rPr>
        <w:tab/>
      </w:r>
      <w:r>
        <w:rPr>
          <w:w w:val="105"/>
        </w:rPr>
        <w:t>放</w:t>
      </w:r>
      <w:r>
        <w:rPr>
          <w:w w:val="105"/>
        </w:rPr>
        <w:tab/>
      </w:r>
      <w:r>
        <w:rPr>
          <w:w w:val="105"/>
        </w:rPr>
        <w:t>水</w:t>
      </w:r>
    </w:p>
    <w:p>
      <w:pPr>
        <w:pStyle w:val="6"/>
        <w:spacing w:before="10"/>
        <w:ind w:left="0" w:firstLine="0"/>
        <w:jc w:val="left"/>
        <w:rPr>
          <w:sz w:val="16"/>
        </w:rPr>
      </w:pPr>
    </w:p>
    <w:p>
      <w:pPr>
        <w:pStyle w:val="6"/>
        <w:spacing w:before="1" w:line="295" w:lineRule="auto"/>
        <w:ind w:left="440"/>
        <w:rPr>
          <w:rFonts w:hint="eastAsia" w:ascii="MS UI Gothic" w:eastAsia="MS UI Gothic"/>
        </w:rPr>
      </w:pPr>
      <w:r>
        <w:rPr>
          <w:w w:val="105"/>
        </w:rPr>
        <w:t>第三百一十七条 在地面无法查明水</w:t>
      </w:r>
      <w:r>
        <w:t>文地质条件时</w:t>
      </w:r>
      <w:r>
        <w:rPr>
          <w:rFonts w:hint="eastAsia" w:ascii="MS UI Gothic" w:eastAsia="MS UI Gothic"/>
          <w:w w:val="80"/>
        </w:rPr>
        <w:t xml:space="preserve">ꎬ </w:t>
      </w:r>
      <w:r>
        <w:t>应当在采掘前采用物探</w:t>
      </w:r>
      <w:r>
        <w:rPr>
          <w:rFonts w:hint="eastAsia" w:ascii="MS UI Gothic" w:eastAsia="MS UI Gothic"/>
          <w:w w:val="80"/>
        </w:rPr>
        <w:t>、</w:t>
      </w:r>
      <w:r>
        <w:t>钻探或者化探等方法查清采掘工作面及其</w:t>
      </w:r>
      <w:r>
        <w:rPr>
          <w:w w:val="105"/>
        </w:rPr>
        <w:t>周围的水文地质条件</w:t>
      </w:r>
      <w:r>
        <w:rPr>
          <w:rFonts w:hint="eastAsia" w:ascii="MS UI Gothic" w:eastAsia="MS UI Gothic"/>
          <w:w w:val="80"/>
        </w:rPr>
        <w:t>ꎮ</w:t>
      </w:r>
    </w:p>
    <w:p>
      <w:pPr>
        <w:pStyle w:val="6"/>
        <w:spacing w:line="295" w:lineRule="auto"/>
        <w:ind w:left="440" w:right="1"/>
      </w:pPr>
      <w:r>
        <w:t>采掘工作面遇有下列情况之一时</w:t>
      </w:r>
      <w:r>
        <w:rPr>
          <w:rFonts w:hint="eastAsia" w:ascii="MS UI Gothic" w:eastAsia="MS UI Gothic"/>
          <w:w w:val="80"/>
        </w:rPr>
        <w:t xml:space="preserve">ꎬ </w:t>
      </w:r>
      <w:r>
        <w:t>应当立即停止施工</w:t>
      </w:r>
      <w:r>
        <w:rPr>
          <w:rFonts w:hint="eastAsia" w:ascii="MS UI Gothic" w:eastAsia="MS UI Gothic"/>
          <w:w w:val="80"/>
        </w:rPr>
        <w:t xml:space="preserve">ꎬ </w:t>
      </w:r>
      <w:r>
        <w:t>确定探水线</w:t>
      </w:r>
      <w:r>
        <w:rPr>
          <w:rFonts w:hint="eastAsia" w:ascii="MS UI Gothic" w:eastAsia="MS UI Gothic"/>
          <w:w w:val="80"/>
        </w:rPr>
        <w:t xml:space="preserve">ꎬ </w:t>
      </w:r>
      <w:r>
        <w:t>实施超前</w:t>
      </w:r>
    </w:p>
    <w:p>
      <w:pPr>
        <w:pStyle w:val="6"/>
        <w:spacing w:before="124" w:line="295" w:lineRule="auto"/>
        <w:ind w:left="381" w:right="126" w:firstLine="0"/>
        <w:jc w:val="left"/>
        <w:rPr>
          <w:rFonts w:hint="eastAsia" w:ascii="MS UI Gothic" w:eastAsia="MS UI Gothic"/>
        </w:rPr>
      </w:pPr>
      <w:r>
        <w:br w:type="column"/>
      </w:r>
      <w:r>
        <w:rPr>
          <w:w w:val="105"/>
        </w:rPr>
        <w:t>探放水</w:t>
      </w:r>
      <w:r>
        <w:rPr>
          <w:rFonts w:hint="eastAsia" w:ascii="MS UI Gothic" w:eastAsia="MS UI Gothic"/>
          <w:w w:val="80"/>
        </w:rPr>
        <w:t xml:space="preserve">ꎬ </w:t>
      </w:r>
      <w:r>
        <w:rPr>
          <w:w w:val="105"/>
        </w:rPr>
        <w:t>经确认无水害威胁后</w:t>
      </w:r>
      <w:r>
        <w:rPr>
          <w:rFonts w:hint="eastAsia" w:ascii="MS UI Gothic" w:eastAsia="MS UI Gothic"/>
          <w:w w:val="80"/>
        </w:rPr>
        <w:t xml:space="preserve">ꎬ </w:t>
      </w:r>
      <w:r>
        <w:rPr>
          <w:w w:val="105"/>
        </w:rPr>
        <w:t>方可施工</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接近水淹或者可能积水的井巷</w:t>
      </w:r>
      <w:r>
        <w:rPr>
          <w:rFonts w:hint="eastAsia" w:ascii="MS UI Gothic" w:eastAsia="MS UI Gothic"/>
          <w:w w:val="80"/>
        </w:rPr>
        <w:t xml:space="preserve">、 </w:t>
      </w:r>
      <w:r>
        <w:rPr>
          <w:w w:val="105"/>
        </w:rPr>
        <w:t>老空区或者相邻煤矿时</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接近含水层</w:t>
      </w:r>
      <w:r>
        <w:rPr>
          <w:rFonts w:hint="eastAsia" w:ascii="MS UI Gothic" w:eastAsia="MS UI Gothic"/>
          <w:w w:val="80"/>
        </w:rPr>
        <w:t xml:space="preserve">、 </w:t>
      </w:r>
      <w:r>
        <w:rPr>
          <w:w w:val="105"/>
        </w:rPr>
        <w:t>导水断层</w:t>
      </w:r>
      <w:r>
        <w:rPr>
          <w:rFonts w:hint="eastAsia" w:ascii="MS UI Gothic" w:eastAsia="MS UI Gothic"/>
          <w:w w:val="80"/>
        </w:rPr>
        <w:t xml:space="preserve">、 </w:t>
      </w:r>
      <w:r>
        <w:rPr>
          <w:w w:val="105"/>
        </w:rPr>
        <w:t>溶洞和导水陷落柱时</w:t>
      </w:r>
      <w:r>
        <w:rPr>
          <w:rFonts w:hint="eastAsia" w:ascii="MS UI Gothic" w:eastAsia="MS UI Gothic"/>
          <w:w w:val="80"/>
        </w:rPr>
        <w:t>ꎮ</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打开隔离煤柱放水时</w:t>
      </w:r>
      <w:r>
        <w:rPr>
          <w:rFonts w:hint="eastAsia" w:ascii="MS UI Gothic" w:eastAsia="MS UI Gothic"/>
          <w:w w:val="80"/>
        </w:rPr>
        <w:t>ꎮ</w:t>
      </w:r>
    </w:p>
    <w:p>
      <w:pPr>
        <w:pStyle w:val="6"/>
        <w:spacing w:before="55" w:line="295" w:lineRule="auto"/>
        <w:ind w:left="381"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接近可能与河流</w:t>
      </w:r>
      <w:r>
        <w:rPr>
          <w:rFonts w:hint="eastAsia" w:ascii="MS UI Gothic" w:eastAsia="MS UI Gothic"/>
          <w:w w:val="80"/>
        </w:rPr>
        <w:t xml:space="preserve">、 </w:t>
      </w:r>
      <w:r>
        <w:rPr>
          <w:w w:val="105"/>
        </w:rPr>
        <w:t>湖泊</w:t>
      </w:r>
      <w:r>
        <w:rPr>
          <w:rFonts w:hint="eastAsia" w:ascii="MS UI Gothic" w:eastAsia="MS UI Gothic"/>
          <w:w w:val="80"/>
        </w:rPr>
        <w:t xml:space="preserve">、 </w:t>
      </w:r>
      <w:r>
        <w:rPr>
          <w:w w:val="105"/>
        </w:rPr>
        <w:t>水库</w:t>
      </w:r>
      <w:r>
        <w:rPr>
          <w:rFonts w:hint="eastAsia" w:ascii="MS UI Gothic" w:eastAsia="MS UI Gothic"/>
          <w:w w:val="80"/>
        </w:rPr>
        <w:t xml:space="preserve">、 </w:t>
      </w:r>
      <w:r>
        <w:rPr>
          <w:w w:val="105"/>
        </w:rPr>
        <w:t>蓄水池</w:t>
      </w:r>
      <w:r>
        <w:rPr>
          <w:rFonts w:hint="eastAsia" w:ascii="MS UI Gothic" w:eastAsia="MS UI Gothic"/>
          <w:w w:val="80"/>
        </w:rPr>
        <w:t xml:space="preserve">、 </w:t>
      </w:r>
      <w:r>
        <w:rPr>
          <w:w w:val="105"/>
        </w:rPr>
        <w:t>水井等相通的导水通道时</w:t>
      </w:r>
      <w:r>
        <w:rPr>
          <w:rFonts w:hint="eastAsia" w:ascii="MS UI Gothic" w:eastAsia="MS UI Gothic"/>
          <w:w w:val="80"/>
        </w:rPr>
        <w:t>ꎮ</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接近有出水可能的钻孔时</w:t>
      </w:r>
      <w:r>
        <w:rPr>
          <w:rFonts w:hint="eastAsia" w:ascii="MS UI Gothic" w:eastAsia="MS UI Gothic"/>
          <w:w w:val="80"/>
        </w:rPr>
        <w:t>ꎮ</w:t>
      </w:r>
    </w:p>
    <w:p>
      <w:pPr>
        <w:pStyle w:val="6"/>
        <w:spacing w:before="58" w:line="295" w:lineRule="auto"/>
        <w:ind w:left="381" w:right="126"/>
        <w:jc w:val="left"/>
        <w:rPr>
          <w:rFonts w:hint="eastAsia" w:ascii="MS UI Gothic" w:eastAsia="MS UI Gothic"/>
        </w:rPr>
      </w:pPr>
      <w:r>
        <w:rPr>
          <w:rFonts w:hint="eastAsia" w:ascii="MS UI Gothic" w:eastAsia="MS UI Gothic"/>
          <w:w w:val="120"/>
        </w:rPr>
        <w:t xml:space="preserve">( </w:t>
      </w:r>
      <w:r>
        <w:rPr>
          <w:w w:val="110"/>
        </w:rPr>
        <w:t>六</w:t>
      </w:r>
      <w:r>
        <w:rPr>
          <w:rFonts w:hint="eastAsia" w:ascii="MS UI Gothic" w:eastAsia="MS UI Gothic"/>
          <w:w w:val="120"/>
        </w:rPr>
        <w:t xml:space="preserve">) </w:t>
      </w:r>
      <w:r>
        <w:rPr>
          <w:w w:val="110"/>
        </w:rPr>
        <w:t>接近水文地质条件不清的区域时</w:t>
      </w:r>
      <w:r>
        <w:rPr>
          <w:rFonts w:hint="eastAsia" w:ascii="MS UI Gothic" w:eastAsia="MS UI Gothic"/>
          <w:w w:val="80"/>
        </w:rPr>
        <w:t>ꎮ</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接近有积水的灌浆区时</w:t>
      </w:r>
      <w:r>
        <w:rPr>
          <w:rFonts w:hint="eastAsia" w:ascii="MS UI Gothic" w:eastAsia="MS UI Gothic"/>
          <w:w w:val="80"/>
        </w:rPr>
        <w:t>ꎮ</w:t>
      </w:r>
    </w:p>
    <w:p>
      <w:pPr>
        <w:pStyle w:val="6"/>
        <w:spacing w:before="58" w:line="295" w:lineRule="auto"/>
        <w:ind w:left="381" w:right="126"/>
        <w:jc w:val="left"/>
        <w:rPr>
          <w:rFonts w:hint="eastAsia" w:ascii="MS UI Gothic" w:eastAsia="MS UI Gothic"/>
        </w:rPr>
      </w:pPr>
      <w:r>
        <w:rPr>
          <w:rFonts w:hint="eastAsia" w:ascii="MS UI Gothic" w:eastAsia="MS UI Gothic"/>
          <w:spacing w:val="-42"/>
          <w:w w:val="150"/>
        </w:rPr>
        <w:t xml:space="preserve">( </w:t>
      </w:r>
      <w:r>
        <w:rPr>
          <w:spacing w:val="3"/>
          <w:w w:val="115"/>
        </w:rPr>
        <w:t>八</w:t>
      </w:r>
      <w:r>
        <w:rPr>
          <w:rFonts w:hint="eastAsia" w:ascii="MS UI Gothic" w:eastAsia="MS UI Gothic"/>
          <w:spacing w:val="-18"/>
          <w:w w:val="150"/>
        </w:rPr>
        <w:t xml:space="preserve">) </w:t>
      </w:r>
      <w:r>
        <w:rPr>
          <w:spacing w:val="-7"/>
          <w:w w:val="115"/>
        </w:rPr>
        <w:t xml:space="preserve">接近其他可能突 </w:t>
      </w:r>
      <w:r>
        <w:rPr>
          <w:rFonts w:hint="eastAsia" w:ascii="MS UI Gothic" w:eastAsia="MS UI Gothic"/>
          <w:spacing w:val="-41"/>
          <w:w w:val="150"/>
        </w:rPr>
        <w:t xml:space="preserve">( </w:t>
      </w:r>
      <w:r>
        <w:rPr>
          <w:spacing w:val="7"/>
          <w:w w:val="115"/>
        </w:rPr>
        <w:t>透</w:t>
      </w:r>
      <w:r>
        <w:rPr>
          <w:rFonts w:hint="eastAsia" w:ascii="MS UI Gothic" w:eastAsia="MS UI Gothic"/>
          <w:spacing w:val="-17"/>
          <w:w w:val="150"/>
        </w:rPr>
        <w:t xml:space="preserve">) </w:t>
      </w:r>
      <w:r>
        <w:rPr>
          <w:spacing w:val="6"/>
          <w:w w:val="115"/>
        </w:rPr>
        <w:t>水的区</w:t>
      </w:r>
      <w:r>
        <w:rPr>
          <w:spacing w:val="3"/>
          <w:w w:val="115"/>
        </w:rPr>
        <w:t>域时</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2"/>
          <w:w w:val="105"/>
        </w:rPr>
        <w:t>第三百一十八条 采掘工作面超前探</w:t>
      </w:r>
      <w:r>
        <w:rPr>
          <w:spacing w:val="5"/>
        </w:rPr>
        <w:t>放水应当采用钻探方法</w:t>
      </w:r>
      <w:r>
        <w:rPr>
          <w:rFonts w:hint="eastAsia" w:ascii="MS UI Gothic" w:eastAsia="MS UI Gothic"/>
          <w:spacing w:val="21"/>
          <w:w w:val="80"/>
        </w:rPr>
        <w:t xml:space="preserve">ꎬ </w:t>
      </w:r>
      <w:r>
        <w:rPr>
          <w:spacing w:val="11"/>
        </w:rPr>
        <w:t>同时配合物探</w:t>
      </w:r>
      <w:r>
        <w:rPr>
          <w:rFonts w:hint="eastAsia" w:ascii="MS UI Gothic" w:eastAsia="MS UI Gothic"/>
          <w:w w:val="80"/>
        </w:rPr>
        <w:t>、</w:t>
      </w:r>
      <w:r>
        <w:rPr>
          <w:spacing w:val="2"/>
        </w:rPr>
        <w:t>化探等其他方法查清采掘工作面及周边老</w:t>
      </w:r>
      <w:r>
        <w:rPr>
          <w:spacing w:val="10"/>
          <w:w w:val="105"/>
        </w:rPr>
        <w:t>空水</w:t>
      </w:r>
      <w:r>
        <w:rPr>
          <w:rFonts w:hint="eastAsia" w:ascii="MS UI Gothic" w:eastAsia="MS UI Gothic"/>
          <w:spacing w:val="10"/>
          <w:w w:val="80"/>
        </w:rPr>
        <w:t xml:space="preserve">、 </w:t>
      </w:r>
      <w:r>
        <w:rPr>
          <w:spacing w:val="31"/>
          <w:w w:val="105"/>
        </w:rPr>
        <w:t>含水层富水性以及地质构造等</w:t>
      </w:r>
      <w:r>
        <w:rPr>
          <w:spacing w:val="3"/>
          <w:w w:val="105"/>
        </w:rPr>
        <w:t>情况</w:t>
      </w:r>
      <w:r>
        <w:rPr>
          <w:rFonts w:hint="eastAsia" w:ascii="MS UI Gothic" w:eastAsia="MS UI Gothic"/>
          <w:w w:val="80"/>
        </w:rPr>
        <w:t>ꎮ</w:t>
      </w:r>
    </w:p>
    <w:p>
      <w:pPr>
        <w:pStyle w:val="6"/>
        <w:spacing w:line="295" w:lineRule="auto"/>
        <w:ind w:left="381" w:right="126"/>
        <w:rPr>
          <w:rFonts w:hint="eastAsia" w:ascii="MS UI Gothic" w:eastAsia="MS UI Gothic"/>
        </w:rPr>
      </w:pPr>
      <w:r>
        <w:t>井下探放水应当采用专用钻机</w:t>
      </w:r>
      <w:r>
        <w:rPr>
          <w:rFonts w:hint="eastAsia" w:ascii="MS UI Gothic" w:eastAsia="MS UI Gothic"/>
          <w:w w:val="80"/>
        </w:rPr>
        <w:t xml:space="preserve">ꎬ </w:t>
      </w:r>
      <w:r>
        <w:t>由专业人员和专职探放水队伍施工</w:t>
      </w:r>
      <w:r>
        <w:rPr>
          <w:rFonts w:hint="eastAsia" w:ascii="MS UI Gothic" w:eastAsia="MS UI Gothic"/>
          <w:w w:val="80"/>
        </w:rPr>
        <w:t>ꎮ</w:t>
      </w:r>
    </w:p>
    <w:p>
      <w:pPr>
        <w:pStyle w:val="6"/>
        <w:spacing w:line="295" w:lineRule="auto"/>
        <w:ind w:left="381" w:right="126"/>
        <w:rPr>
          <w:rFonts w:hint="eastAsia" w:ascii="MS UI Gothic" w:eastAsia="MS UI Gothic"/>
        </w:rPr>
      </w:pPr>
      <w:r>
        <w:t>探放水前应当编制探放水设计</w:t>
      </w:r>
      <w:r>
        <w:rPr>
          <w:rFonts w:hint="eastAsia" w:ascii="MS UI Gothic" w:eastAsia="MS UI Gothic"/>
          <w:w w:val="80"/>
        </w:rPr>
        <w:t xml:space="preserve">ꎬ </w:t>
      </w:r>
      <w:r>
        <w:t>采取防止有害气体危害的安全措施</w:t>
      </w:r>
      <w:r>
        <w:rPr>
          <w:rFonts w:hint="eastAsia" w:ascii="MS UI Gothic" w:eastAsia="MS UI Gothic"/>
          <w:w w:val="80"/>
        </w:rPr>
        <w:t xml:space="preserve">ꎮ </w:t>
      </w:r>
      <w:r>
        <w:t>探放水结束后</w:t>
      </w:r>
      <w:r>
        <w:rPr>
          <w:rFonts w:hint="eastAsia" w:ascii="MS UI Gothic" w:eastAsia="MS UI Gothic"/>
          <w:w w:val="80"/>
        </w:rPr>
        <w:t xml:space="preserve">ꎬ </w:t>
      </w:r>
      <w:r>
        <w:t>应当提交探放水总结报告存档备查</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第三百一十九条 井下安装钻机进行</w:t>
      </w:r>
      <w:r>
        <w:rPr>
          <w:w w:val="110"/>
        </w:rPr>
        <w:t>探放水前</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加强钻孔附近的巷道支护</w:t>
      </w:r>
      <w:r>
        <w:rPr>
          <w:rFonts w:hint="eastAsia" w:ascii="MS UI Gothic" w:eastAsia="MS UI Gothic"/>
          <w:w w:val="80"/>
        </w:rPr>
        <w:t xml:space="preserve">ꎬ </w:t>
      </w:r>
      <w:r>
        <w:rPr>
          <w:w w:val="105"/>
        </w:rPr>
        <w:t>并</w:t>
      </w:r>
      <w:r>
        <w:t>在工作面迎头打好坚固的立柱和拦板</w:t>
      </w:r>
      <w:r>
        <w:rPr>
          <w:rFonts w:hint="eastAsia" w:ascii="MS UI Gothic" w:eastAsia="MS UI Gothic"/>
          <w:w w:val="80"/>
        </w:rPr>
        <w:t xml:space="preserve">ꎬ </w:t>
      </w:r>
      <w:r>
        <w:t>严</w:t>
      </w:r>
      <w:r>
        <w:rPr>
          <w:w w:val="105"/>
        </w:rPr>
        <w:t>禁空顶</w:t>
      </w:r>
      <w:r>
        <w:rPr>
          <w:rFonts w:hint="eastAsia" w:ascii="MS UI Gothic" w:eastAsia="MS UI Gothic"/>
          <w:w w:val="80"/>
        </w:rPr>
        <w:t xml:space="preserve">、 </w:t>
      </w:r>
      <w:r>
        <w:rPr>
          <w:w w:val="105"/>
        </w:rPr>
        <w:t>空帮作业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清理巷道</w:t>
      </w:r>
      <w:r>
        <w:rPr>
          <w:rFonts w:hint="eastAsia" w:ascii="MS UI Gothic" w:eastAsia="MS UI Gothic"/>
          <w:w w:val="80"/>
        </w:rPr>
        <w:t xml:space="preserve">ꎬ </w:t>
      </w:r>
      <w:r>
        <w:rPr>
          <w:w w:val="105"/>
        </w:rPr>
        <w:t>挖好排水沟</w:t>
      </w:r>
      <w:r>
        <w:rPr>
          <w:rFonts w:hint="eastAsia" w:ascii="MS UI Gothic" w:eastAsia="MS UI Gothic"/>
          <w:w w:val="80"/>
        </w:rPr>
        <w:t xml:space="preserve">ꎮ </w:t>
      </w:r>
      <w:r>
        <w:rPr>
          <w:w w:val="105"/>
        </w:rPr>
        <w:t>探放</w:t>
      </w:r>
      <w:r>
        <w:t>水钻孔位于巷道低洼处时</w:t>
      </w:r>
      <w:r>
        <w:rPr>
          <w:rFonts w:hint="eastAsia" w:ascii="MS UI Gothic" w:eastAsia="MS UI Gothic"/>
          <w:w w:val="80"/>
        </w:rPr>
        <w:t xml:space="preserve">ꎬ </w:t>
      </w:r>
      <w:r>
        <w:t>应当配备与探</w:t>
      </w:r>
      <w:r>
        <w:rPr>
          <w:w w:val="105"/>
        </w:rPr>
        <w:t>放水量相适应的排水设备</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在打钻地点或者其附近安设专用电话</w:t>
      </w:r>
      <w:r>
        <w:rPr>
          <w:rFonts w:hint="eastAsia" w:ascii="MS UI Gothic" w:eastAsia="MS UI Gothic"/>
          <w:w w:val="80"/>
        </w:rPr>
        <w:t xml:space="preserve">ꎬ </w:t>
      </w:r>
      <w:r>
        <w:rPr>
          <w:w w:val="105"/>
        </w:rPr>
        <w:t>保证人员撤离通道畅通</w:t>
      </w:r>
      <w:r>
        <w:rPr>
          <w:rFonts w:hint="eastAsia" w:ascii="MS UI Gothic" w:eastAsia="MS UI Gothic"/>
          <w:w w:val="80"/>
        </w:rPr>
        <w:t>ꎮ</w:t>
      </w:r>
    </w:p>
    <w:p>
      <w:pPr>
        <w:pStyle w:val="6"/>
        <w:spacing w:line="295" w:lineRule="auto"/>
        <w:ind w:left="381" w:right="126"/>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由测量人员依据设计现场标定</w:t>
      </w:r>
      <w:r>
        <w:t>探放水孔位置</w:t>
      </w:r>
      <w:r>
        <w:rPr>
          <w:rFonts w:hint="eastAsia" w:ascii="MS UI Gothic" w:eastAsia="MS UI Gothic"/>
          <w:w w:val="80"/>
        </w:rPr>
        <w:t xml:space="preserve">ꎬ </w:t>
      </w:r>
      <w:r>
        <w:t>与负责探放水工作的人员</w:t>
      </w:r>
      <w:r>
        <w:rPr>
          <w:w w:val="105"/>
        </w:rPr>
        <w:t>共同确定钻孔的方位</w:t>
      </w:r>
      <w:r>
        <w:rPr>
          <w:rFonts w:hint="eastAsia" w:ascii="MS UI Gothic" w:eastAsia="MS UI Gothic"/>
          <w:w w:val="80"/>
        </w:rPr>
        <w:t xml:space="preserve">、 </w:t>
      </w:r>
      <w:r>
        <w:rPr>
          <w:w w:val="105"/>
        </w:rPr>
        <w:t>倾角</w:t>
      </w:r>
      <w:r>
        <w:rPr>
          <w:rFonts w:hint="eastAsia" w:ascii="MS UI Gothic" w:eastAsia="MS UI Gothic"/>
          <w:w w:val="80"/>
        </w:rPr>
        <w:t xml:space="preserve">、 </w:t>
      </w:r>
      <w:r>
        <w:rPr>
          <w:w w:val="105"/>
        </w:rPr>
        <w:t>深度和钻孔</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884" o:spid="_x0000_s1884" style="position:absolute;left:0pt;margin-left:0pt;margin-top:700.1pt;height:1.75pt;width:398.25pt;mso-position-horizontal-relative:page;z-index:252003328;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２８４</w:t>
      </w:r>
    </w:p>
    <w:p>
      <w:pPr>
        <w:pStyle w:val="6"/>
        <w:spacing w:before="297" w:line="240" w:lineRule="exact"/>
        <w:ind w:firstLine="0"/>
        <w:jc w:val="left"/>
        <w:rPr>
          <w:rFonts w:hint="eastAsia" w:ascii="MS UI Gothic" w:eastAsia="MS UI Gothic"/>
        </w:rPr>
      </w:pPr>
      <w:r>
        <w:t>数量等</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tabs>
          <w:tab w:val="left" w:pos="4110"/>
        </w:tabs>
        <w:spacing w:line="240" w:lineRule="exact"/>
        <w:ind w:left="2434" w:firstLine="0"/>
        <w:jc w:val="left"/>
      </w:pPr>
      <w:r>
        <w:rPr>
          <w:spacing w:val="3"/>
        </w:rPr>
        <w:t>第三百二十四</w:t>
      </w:r>
      <w:r>
        <w:t>条</w:t>
      </w:r>
      <w:r>
        <w:tab/>
      </w:r>
      <w:r>
        <w:rPr>
          <w:spacing w:val="3"/>
        </w:rPr>
        <w:t>钻孔放水前</w:t>
      </w:r>
      <w:r>
        <w:rPr>
          <w:rFonts w:hint="eastAsia" w:ascii="MS UI Gothic" w:eastAsia="MS UI Gothic"/>
          <w:w w:val="80"/>
        </w:rPr>
        <w:t>ꎬ</w:t>
      </w:r>
      <w:r>
        <w:rPr>
          <w:rFonts w:hint="eastAsia" w:ascii="MS UI Gothic" w:eastAsia="MS UI Gothic"/>
          <w:spacing w:val="5"/>
          <w:w w:val="80"/>
        </w:rPr>
        <w:t xml:space="preserve"> </w:t>
      </w:r>
      <w:r>
        <w:rPr>
          <w:spacing w:val="3"/>
        </w:rPr>
        <w:t>应</w:t>
      </w:r>
      <w:r>
        <w:t>当</w:t>
      </w:r>
    </w:p>
    <w:p>
      <w:pPr>
        <w:spacing w:after="0" w:line="240" w:lineRule="exact"/>
        <w:jc w:val="left"/>
        <w:sectPr>
          <w:pgSz w:w="10500" w:h="14750"/>
          <w:pgMar w:top="960" w:right="980" w:bottom="280" w:left="980" w:header="720" w:footer="720" w:gutter="0"/>
          <w:cols w:equalWidth="0" w:num="2">
            <w:col w:w="1050" w:space="1251"/>
            <w:col w:w="6239"/>
          </w:cols>
        </w:sectPr>
      </w:pPr>
    </w:p>
    <w:p>
      <w:pPr>
        <w:pStyle w:val="6"/>
        <w:spacing w:before="74" w:line="295" w:lineRule="auto"/>
        <w:ind w:left="118" w:right="39" w:firstLine="425"/>
        <w:rPr>
          <w:rFonts w:hint="eastAsia" w:ascii="MS UI Gothic" w:eastAsia="MS UI Gothic"/>
        </w:rPr>
      </w:pPr>
      <w:r>
        <w:rPr>
          <w:spacing w:val="3"/>
        </w:rPr>
        <w:t>探放水钻孔的布置和超前距离</w:t>
      </w:r>
      <w:r>
        <w:rPr>
          <w:rFonts w:hint="eastAsia" w:ascii="MS UI Gothic" w:eastAsia="MS UI Gothic"/>
          <w:spacing w:val="16"/>
          <w:w w:val="80"/>
        </w:rPr>
        <w:t xml:space="preserve">ꎬ </w:t>
      </w:r>
      <w:r>
        <w:rPr>
          <w:spacing w:val="1"/>
        </w:rPr>
        <w:t>应当</w:t>
      </w:r>
      <w:r>
        <w:rPr>
          <w:spacing w:val="8"/>
        </w:rPr>
        <w:t>根据水压大小</w:t>
      </w:r>
      <w:r>
        <w:rPr>
          <w:rFonts w:hint="eastAsia" w:ascii="MS UI Gothic" w:eastAsia="MS UI Gothic"/>
          <w:w w:val="80"/>
        </w:rPr>
        <w:t xml:space="preserve">、 </w:t>
      </w:r>
      <w:r>
        <w:rPr>
          <w:spacing w:val="25"/>
        </w:rPr>
        <w:t xml:space="preserve">煤 </w:t>
      </w:r>
      <w:r>
        <w:rPr>
          <w:rFonts w:hint="eastAsia" w:ascii="MS UI Gothic" w:eastAsia="MS UI Gothic"/>
          <w:spacing w:val="-24"/>
          <w:w w:val="145"/>
        </w:rPr>
        <w:t xml:space="preserve">( </w:t>
      </w:r>
      <w:r>
        <w:rPr>
          <w:spacing w:val="15"/>
        </w:rPr>
        <w:t>岩</w:t>
      </w:r>
      <w:r>
        <w:rPr>
          <w:rFonts w:hint="eastAsia" w:ascii="MS UI Gothic" w:eastAsia="MS UI Gothic"/>
          <w:spacing w:val="41"/>
          <w:w w:val="145"/>
        </w:rPr>
        <w:t xml:space="preserve">) </w:t>
      </w:r>
      <w:r>
        <w:rPr>
          <w:spacing w:val="15"/>
        </w:rPr>
        <w:t>层厚度和硬度</w:t>
      </w:r>
      <w:r>
        <w:rPr>
          <w:spacing w:val="3"/>
        </w:rPr>
        <w:t>以及安全措施等</w:t>
      </w:r>
      <w:r>
        <w:rPr>
          <w:rFonts w:hint="eastAsia" w:ascii="MS UI Gothic" w:eastAsia="MS UI Gothic"/>
          <w:spacing w:val="20"/>
          <w:w w:val="80"/>
        </w:rPr>
        <w:t xml:space="preserve">ꎬ </w:t>
      </w:r>
      <w:r>
        <w:rPr>
          <w:spacing w:val="2"/>
        </w:rPr>
        <w:t>在探放水设计中做出具</w:t>
      </w:r>
      <w:r>
        <w:rPr>
          <w:spacing w:val="3"/>
        </w:rPr>
        <w:t>体规定</w:t>
      </w:r>
      <w:r>
        <w:rPr>
          <w:rFonts w:hint="eastAsia" w:ascii="MS UI Gothic" w:eastAsia="MS UI Gothic"/>
          <w:spacing w:val="20"/>
          <w:w w:val="80"/>
        </w:rPr>
        <w:t xml:space="preserve">ꎮ </w:t>
      </w:r>
      <w:r>
        <w:rPr>
          <w:spacing w:val="2"/>
        </w:rPr>
        <w:t>探放老空积水最小超前水平钻距</w:t>
      </w:r>
      <w:r>
        <w:rPr>
          <w:spacing w:val="-1"/>
        </w:rPr>
        <w:t xml:space="preserve">不得小于 </w:t>
      </w:r>
      <w:r>
        <w:rPr>
          <w:rFonts w:hint="eastAsia" w:ascii="MS UI Gothic" w:eastAsia="MS UI Gothic"/>
          <w:spacing w:val="14"/>
          <w:w w:val="80"/>
        </w:rPr>
        <w:t xml:space="preserve">３０ </w:t>
      </w:r>
      <w:r>
        <w:rPr>
          <w:rFonts w:hint="eastAsia" w:ascii="MS UI Gothic" w:eastAsia="MS UI Gothic"/>
          <w:spacing w:val="4"/>
          <w:w w:val="80"/>
        </w:rPr>
        <w:t>ｍ</w:t>
      </w:r>
      <w:r>
        <w:rPr>
          <w:rFonts w:hint="eastAsia" w:ascii="MS UI Gothic" w:eastAsia="MS UI Gothic"/>
          <w:spacing w:val="9"/>
          <w:w w:val="80"/>
        </w:rPr>
        <w:t xml:space="preserve">ꎬ </w:t>
      </w:r>
      <w:r>
        <w:rPr>
          <w:spacing w:val="11"/>
        </w:rPr>
        <w:t>止水套管长度不得小于</w:t>
      </w:r>
      <w:r>
        <w:rPr>
          <w:rFonts w:hint="eastAsia" w:ascii="MS UI Gothic" w:eastAsia="MS UI Gothic"/>
          <w:spacing w:val="15"/>
          <w:w w:val="80"/>
        </w:rPr>
        <w:t xml:space="preserve">１０ </w:t>
      </w:r>
      <w:r>
        <w:rPr>
          <w:rFonts w:hint="eastAsia" w:ascii="MS UI Gothic" w:eastAsia="MS UI Gothic"/>
          <w:spacing w:val="4"/>
          <w:w w:val="80"/>
        </w:rPr>
        <w:t>ｍ</w:t>
      </w:r>
      <w:r>
        <w:rPr>
          <w:rFonts w:hint="eastAsia" w:ascii="MS UI Gothic" w:eastAsia="MS UI Gothic"/>
          <w:w w:val="80"/>
        </w:rPr>
        <w:t>ꎮ</w:t>
      </w:r>
    </w:p>
    <w:p>
      <w:pPr>
        <w:pStyle w:val="6"/>
        <w:spacing w:line="295" w:lineRule="auto"/>
        <w:ind w:left="118" w:right="39" w:firstLine="425"/>
        <w:rPr>
          <w:rFonts w:hint="eastAsia" w:ascii="MS UI Gothic" w:eastAsia="MS UI Gothic"/>
        </w:rPr>
      </w:pPr>
      <w:r>
        <w:rPr>
          <w:spacing w:val="25"/>
        </w:rPr>
        <w:t>第三百二十条  在预计水压大于</w:t>
      </w:r>
      <w:r>
        <w:rPr>
          <w:rFonts w:hint="eastAsia" w:ascii="MS UI Gothic" w:eastAsia="MS UI Gothic"/>
          <w:spacing w:val="25"/>
        </w:rPr>
        <w:t>０</w:t>
      </w:r>
      <w:r>
        <w:rPr>
          <w:rFonts w:hint="eastAsia" w:ascii="MS UI Gothic" w:eastAsia="MS UI Gothic"/>
          <w:spacing w:val="-14"/>
        </w:rPr>
        <w:t xml:space="preserve"> １ ＭＰ</w:t>
      </w:r>
      <w:r>
        <w:rPr>
          <w:rFonts w:hint="eastAsia" w:ascii="MS UI Gothic" w:eastAsia="MS UI Gothic"/>
          <w:spacing w:val="4"/>
        </w:rPr>
        <w:t>ａ</w:t>
      </w:r>
      <w:r>
        <w:rPr>
          <w:spacing w:val="6"/>
        </w:rPr>
        <w:t>的地点探放水时</w:t>
      </w:r>
      <w:r>
        <w:rPr>
          <w:rFonts w:hint="eastAsia" w:ascii="MS UI Gothic" w:eastAsia="MS UI Gothic"/>
          <w:spacing w:val="-7"/>
          <w:w w:val="90"/>
        </w:rPr>
        <w:t xml:space="preserve">ꎬ </w:t>
      </w:r>
      <w:r>
        <w:rPr>
          <w:spacing w:val="9"/>
        </w:rPr>
        <w:t>应当预先固结</w:t>
      </w:r>
      <w:r>
        <w:rPr>
          <w:spacing w:val="3"/>
        </w:rPr>
        <w:t>套管</w:t>
      </w:r>
      <w:r>
        <w:rPr>
          <w:rFonts w:hint="eastAsia" w:ascii="MS UI Gothic" w:eastAsia="MS UI Gothic"/>
          <w:spacing w:val="11"/>
          <w:w w:val="90"/>
        </w:rPr>
        <w:t xml:space="preserve">ꎬ </w:t>
      </w:r>
      <w:r>
        <w:rPr>
          <w:spacing w:val="3"/>
        </w:rPr>
        <w:t>在套管口安装控制闸阀</w:t>
      </w:r>
      <w:r>
        <w:rPr>
          <w:rFonts w:hint="eastAsia" w:ascii="MS UI Gothic" w:eastAsia="MS UI Gothic"/>
          <w:spacing w:val="11"/>
          <w:w w:val="90"/>
        </w:rPr>
        <w:t xml:space="preserve">ꎬ </w:t>
      </w:r>
      <w:r>
        <w:rPr>
          <w:spacing w:val="2"/>
        </w:rPr>
        <w:t>进行耐压</w:t>
      </w:r>
      <w:r>
        <w:rPr>
          <w:spacing w:val="3"/>
        </w:rPr>
        <w:t>试验</w:t>
      </w:r>
      <w:r>
        <w:rPr>
          <w:rFonts w:hint="eastAsia" w:ascii="MS UI Gothic" w:eastAsia="MS UI Gothic"/>
          <w:spacing w:val="5"/>
          <w:w w:val="90"/>
        </w:rPr>
        <w:t xml:space="preserve">ꎮ </w:t>
      </w:r>
      <w:r>
        <w:rPr>
          <w:spacing w:val="17"/>
        </w:rPr>
        <w:t>套管长度应当在探放水设计中规</w:t>
      </w:r>
      <w:r>
        <w:rPr>
          <w:spacing w:val="3"/>
        </w:rPr>
        <w:t>定</w:t>
      </w:r>
      <w:r>
        <w:rPr>
          <w:rFonts w:hint="eastAsia" w:ascii="MS UI Gothic" w:eastAsia="MS UI Gothic"/>
          <w:spacing w:val="11"/>
          <w:w w:val="90"/>
        </w:rPr>
        <w:t xml:space="preserve">ꎮ </w:t>
      </w:r>
      <w:r>
        <w:rPr>
          <w:spacing w:val="3"/>
        </w:rPr>
        <w:t>预先开掘安全躲避硐室</w:t>
      </w:r>
      <w:r>
        <w:rPr>
          <w:rFonts w:hint="eastAsia" w:ascii="MS UI Gothic" w:eastAsia="MS UI Gothic"/>
          <w:spacing w:val="11"/>
          <w:w w:val="90"/>
        </w:rPr>
        <w:t xml:space="preserve">ꎬ </w:t>
      </w:r>
      <w:r>
        <w:rPr>
          <w:spacing w:val="2"/>
        </w:rPr>
        <w:t>制定避灾路</w:t>
      </w:r>
      <w:r>
        <w:rPr>
          <w:spacing w:val="3"/>
        </w:rPr>
        <w:t>线等安全措施</w:t>
      </w:r>
      <w:r>
        <w:rPr>
          <w:rFonts w:hint="eastAsia" w:ascii="MS UI Gothic" w:eastAsia="MS UI Gothic"/>
          <w:spacing w:val="6"/>
          <w:w w:val="90"/>
        </w:rPr>
        <w:t xml:space="preserve">ꎬ </w:t>
      </w:r>
      <w:r>
        <w:rPr>
          <w:spacing w:val="2"/>
        </w:rPr>
        <w:t>并使每个作业人员了解和</w:t>
      </w:r>
      <w:r>
        <w:rPr>
          <w:spacing w:val="3"/>
        </w:rPr>
        <w:t>掌握</w:t>
      </w:r>
      <w:r>
        <w:rPr>
          <w:rFonts w:hint="eastAsia" w:ascii="MS UI Gothic" w:eastAsia="MS UI Gothic"/>
          <w:w w:val="90"/>
        </w:rPr>
        <w:t>ꎮ</w:t>
      </w:r>
    </w:p>
    <w:p>
      <w:pPr>
        <w:pStyle w:val="6"/>
        <w:spacing w:line="295" w:lineRule="auto"/>
        <w:ind w:right="39"/>
        <w:rPr>
          <w:rFonts w:hint="eastAsia" w:ascii="MS UI Gothic" w:eastAsia="MS UI Gothic"/>
        </w:rPr>
      </w:pPr>
      <w:r>
        <w:rPr>
          <w:spacing w:val="4"/>
        </w:rPr>
        <w:t>第三百二十一条 预计钻孔内水压大</w:t>
      </w:r>
      <w:r>
        <w:rPr>
          <w:spacing w:val="-33"/>
        </w:rPr>
        <w:t xml:space="preserve">于 </w:t>
      </w:r>
      <w:r>
        <w:rPr>
          <w:rFonts w:hint="eastAsia" w:ascii="MS UI Gothic" w:eastAsia="MS UI Gothic"/>
        </w:rPr>
        <w:t>１</w:t>
      </w:r>
      <w:r>
        <w:rPr>
          <w:rFonts w:hint="eastAsia" w:ascii="MS UI Gothic" w:eastAsia="MS UI Gothic"/>
          <w:spacing w:val="-8"/>
        </w:rPr>
        <w:t xml:space="preserve"> ５ ＭＰ</w:t>
      </w:r>
      <w:r>
        <w:rPr>
          <w:rFonts w:hint="eastAsia" w:ascii="MS UI Gothic" w:eastAsia="MS UI Gothic"/>
          <w:spacing w:val="2"/>
        </w:rPr>
        <w:t>ａ</w:t>
      </w:r>
      <w:r>
        <w:rPr>
          <w:rFonts w:hint="eastAsia" w:ascii="MS UI Gothic" w:eastAsia="MS UI Gothic"/>
          <w:spacing w:val="-14"/>
        </w:rPr>
        <w:t xml:space="preserve"> </w:t>
      </w:r>
      <w:r>
        <w:rPr>
          <w:spacing w:val="3"/>
        </w:rPr>
        <w:t>时</w:t>
      </w:r>
      <w:r>
        <w:rPr>
          <w:rFonts w:hint="eastAsia" w:ascii="MS UI Gothic" w:eastAsia="MS UI Gothic"/>
          <w:spacing w:val="9"/>
          <w:w w:val="85"/>
        </w:rPr>
        <w:t xml:space="preserve">ꎬ </w:t>
      </w:r>
      <w:r>
        <w:rPr>
          <w:spacing w:val="17"/>
        </w:rPr>
        <w:t>应当采用反压和有防喷</w:t>
      </w:r>
      <w:r>
        <w:rPr>
          <w:spacing w:val="3"/>
        </w:rPr>
        <w:t>装置的方法钻进</w:t>
      </w:r>
      <w:r>
        <w:rPr>
          <w:rFonts w:hint="eastAsia" w:ascii="MS UI Gothic" w:eastAsia="MS UI Gothic"/>
          <w:spacing w:val="13"/>
          <w:w w:val="85"/>
        </w:rPr>
        <w:t xml:space="preserve">ꎬ </w:t>
      </w:r>
      <w:r>
        <w:rPr>
          <w:spacing w:val="2"/>
        </w:rPr>
        <w:t>并制定防止孔口管和煤</w:t>
      </w:r>
      <w:r>
        <w:rPr>
          <w:rFonts w:hint="eastAsia" w:ascii="MS UI Gothic" w:eastAsia="MS UI Gothic"/>
          <w:spacing w:val="-32"/>
          <w:w w:val="140"/>
        </w:rPr>
        <w:t xml:space="preserve">( </w:t>
      </w:r>
      <w:r>
        <w:rPr>
          <w:spacing w:val="3"/>
        </w:rPr>
        <w:t>岩</w:t>
      </w:r>
      <w:r>
        <w:rPr>
          <w:rFonts w:hint="eastAsia" w:ascii="MS UI Gothic" w:eastAsia="MS UI Gothic"/>
          <w:spacing w:val="21"/>
          <w:w w:val="140"/>
        </w:rPr>
        <w:t xml:space="preserve">) </w:t>
      </w:r>
      <w:r>
        <w:rPr>
          <w:spacing w:val="3"/>
        </w:rPr>
        <w:t>壁突然鼓出的措施</w:t>
      </w:r>
      <w:r>
        <w:rPr>
          <w:rFonts w:hint="eastAsia" w:ascii="MS UI Gothic" w:eastAsia="MS UI Gothic"/>
          <w:w w:val="85"/>
        </w:rPr>
        <w:t>ꎮ</w:t>
      </w:r>
    </w:p>
    <w:p>
      <w:pPr>
        <w:pStyle w:val="6"/>
        <w:spacing w:line="295" w:lineRule="auto"/>
        <w:ind w:right="38"/>
        <w:rPr>
          <w:rFonts w:hint="eastAsia" w:ascii="MS UI Gothic" w:eastAsia="MS UI Gothic"/>
        </w:rPr>
      </w:pPr>
      <w:r>
        <w:t>第三百二十二条 在探放水钻进时</w:t>
      </w:r>
      <w:r>
        <w:rPr>
          <w:rFonts w:hint="eastAsia" w:ascii="MS UI Gothic" w:eastAsia="MS UI Gothic"/>
          <w:w w:val="80"/>
        </w:rPr>
        <w:t>ꎬ</w:t>
      </w:r>
      <w:r>
        <w:t>发现煤岩松软</w:t>
      </w:r>
      <w:r>
        <w:rPr>
          <w:rFonts w:hint="eastAsia" w:ascii="MS UI Gothic" w:eastAsia="MS UI Gothic"/>
          <w:w w:val="80"/>
        </w:rPr>
        <w:t xml:space="preserve">、 </w:t>
      </w:r>
      <w:r>
        <w:t>片帮</w:t>
      </w:r>
      <w:r>
        <w:rPr>
          <w:rFonts w:hint="eastAsia" w:ascii="MS UI Gothic" w:eastAsia="MS UI Gothic"/>
          <w:w w:val="80"/>
        </w:rPr>
        <w:t xml:space="preserve">、 </w:t>
      </w:r>
      <w:r>
        <w:t>来压或者钻孔中水压</w:t>
      </w:r>
      <w:r>
        <w:rPr>
          <w:rFonts w:hint="eastAsia" w:ascii="MS UI Gothic" w:eastAsia="MS UI Gothic"/>
          <w:w w:val="80"/>
        </w:rPr>
        <w:t xml:space="preserve">、 </w:t>
      </w:r>
      <w:r>
        <w:t xml:space="preserve">水量突然增大和顶钻等突 </w:t>
      </w:r>
      <w:r>
        <w:rPr>
          <w:rFonts w:hint="eastAsia" w:ascii="MS UI Gothic" w:eastAsia="MS UI Gothic"/>
          <w:w w:val="150"/>
        </w:rPr>
        <w:t xml:space="preserve">( </w:t>
      </w:r>
      <w:r>
        <w:t>透</w:t>
      </w:r>
      <w:r>
        <w:rPr>
          <w:rFonts w:hint="eastAsia" w:ascii="MS UI Gothic" w:eastAsia="MS UI Gothic"/>
          <w:w w:val="150"/>
        </w:rPr>
        <w:t xml:space="preserve">) </w:t>
      </w:r>
      <w:r>
        <w:t>水征兆时</w:t>
      </w:r>
      <w:r>
        <w:rPr>
          <w:rFonts w:hint="eastAsia" w:ascii="MS UI Gothic" w:eastAsia="MS UI Gothic"/>
          <w:w w:val="80"/>
        </w:rPr>
        <w:t xml:space="preserve">ꎬ </w:t>
      </w:r>
      <w:r>
        <w:t>应当立即停止钻进</w:t>
      </w:r>
      <w:r>
        <w:rPr>
          <w:rFonts w:hint="eastAsia" w:ascii="MS UI Gothic" w:eastAsia="MS UI Gothic"/>
          <w:w w:val="80"/>
        </w:rPr>
        <w:t xml:space="preserve">ꎬ </w:t>
      </w:r>
      <w:r>
        <w:t>但不得拔出钻杆</w:t>
      </w:r>
      <w:r>
        <w:rPr>
          <w:rFonts w:hint="eastAsia" w:ascii="MS UI Gothic" w:eastAsia="MS UI Gothic"/>
          <w:w w:val="80"/>
        </w:rPr>
        <w:t xml:space="preserve">ꎻ </w:t>
      </w:r>
      <w:r>
        <w:t>现场负责人员应当立即向矿井调度室汇报</w:t>
      </w:r>
      <w:r>
        <w:rPr>
          <w:rFonts w:hint="eastAsia" w:ascii="MS UI Gothic" w:eastAsia="MS UI Gothic"/>
          <w:w w:val="80"/>
        </w:rPr>
        <w:t xml:space="preserve">ꎬ </w:t>
      </w:r>
      <w:r>
        <w:t>撤出所有受水威胁区域的人员</w:t>
      </w:r>
      <w:r>
        <w:rPr>
          <w:rFonts w:hint="eastAsia" w:ascii="MS UI Gothic" w:eastAsia="MS UI Gothic"/>
          <w:w w:val="80"/>
        </w:rPr>
        <w:t xml:space="preserve">ꎬ </w:t>
      </w:r>
      <w:r>
        <w:t>采取安全措施</w:t>
      </w:r>
      <w:r>
        <w:rPr>
          <w:rFonts w:hint="eastAsia" w:ascii="MS UI Gothic" w:eastAsia="MS UI Gothic"/>
          <w:w w:val="80"/>
        </w:rPr>
        <w:t xml:space="preserve">ꎬ </w:t>
      </w:r>
      <w:r>
        <w:t>派专业技术人员监测水情并进行分析</w:t>
      </w:r>
      <w:r>
        <w:rPr>
          <w:rFonts w:hint="eastAsia" w:ascii="MS UI Gothic" w:eastAsia="MS UI Gothic"/>
          <w:w w:val="80"/>
        </w:rPr>
        <w:t xml:space="preserve">ꎬ </w:t>
      </w:r>
      <w:r>
        <w:t>妥善处理</w:t>
      </w:r>
      <w:r>
        <w:rPr>
          <w:rFonts w:hint="eastAsia" w:ascii="MS UI Gothic" w:eastAsia="MS UI Gothic"/>
          <w:w w:val="80"/>
        </w:rPr>
        <w:t>ꎮ</w:t>
      </w:r>
    </w:p>
    <w:p>
      <w:pPr>
        <w:pStyle w:val="6"/>
        <w:spacing w:line="295" w:lineRule="auto"/>
        <w:ind w:right="39"/>
        <w:rPr>
          <w:rFonts w:hint="eastAsia" w:ascii="MS UI Gothic" w:eastAsia="MS UI Gothic"/>
        </w:rPr>
      </w:pPr>
      <w:r>
        <w:t>第三百二十三条 探放老空水前</w:t>
      </w:r>
      <w:r>
        <w:rPr>
          <w:rFonts w:hint="eastAsia" w:ascii="MS UI Gothic" w:eastAsia="MS UI Gothic"/>
          <w:w w:val="80"/>
        </w:rPr>
        <w:t xml:space="preserve">ꎬ </w:t>
      </w:r>
      <w:r>
        <w:t>应当首先分析查明老空水体的空间位置</w:t>
      </w:r>
      <w:r>
        <w:rPr>
          <w:rFonts w:hint="eastAsia" w:ascii="MS UI Gothic" w:eastAsia="MS UI Gothic"/>
          <w:w w:val="80"/>
        </w:rPr>
        <w:t xml:space="preserve">、 </w:t>
      </w:r>
      <w:r>
        <w:t>积水范围</w:t>
      </w:r>
      <w:r>
        <w:rPr>
          <w:rFonts w:hint="eastAsia" w:ascii="MS UI Gothic" w:eastAsia="MS UI Gothic"/>
          <w:w w:val="80"/>
        </w:rPr>
        <w:t xml:space="preserve">、 </w:t>
      </w:r>
      <w:r>
        <w:t>积水量和水压等</w:t>
      </w:r>
      <w:r>
        <w:rPr>
          <w:rFonts w:hint="eastAsia" w:ascii="MS UI Gothic" w:eastAsia="MS UI Gothic"/>
          <w:w w:val="80"/>
        </w:rPr>
        <w:t xml:space="preserve">ꎮ </w:t>
      </w:r>
      <w:r>
        <w:t>探放水时</w:t>
      </w:r>
      <w:r>
        <w:rPr>
          <w:rFonts w:hint="eastAsia" w:ascii="MS UI Gothic" w:eastAsia="MS UI Gothic"/>
          <w:w w:val="80"/>
        </w:rPr>
        <w:t xml:space="preserve">ꎬ </w:t>
      </w:r>
      <w:r>
        <w:t>应当撤出探放水点标高以下受水害威胁区域所有人员</w:t>
      </w:r>
      <w:r>
        <w:rPr>
          <w:rFonts w:hint="eastAsia" w:ascii="MS UI Gothic" w:eastAsia="MS UI Gothic"/>
          <w:w w:val="80"/>
        </w:rPr>
        <w:t xml:space="preserve">ꎮ </w:t>
      </w:r>
      <w:r>
        <w:t>放水时</w:t>
      </w:r>
      <w:r>
        <w:rPr>
          <w:rFonts w:hint="eastAsia" w:ascii="MS UI Gothic" w:eastAsia="MS UI Gothic"/>
          <w:w w:val="80"/>
        </w:rPr>
        <w:t xml:space="preserve">ꎬ </w:t>
      </w:r>
      <w:r>
        <w:t>应当监视放水全过程</w:t>
      </w:r>
      <w:r>
        <w:rPr>
          <w:rFonts w:hint="eastAsia" w:ascii="MS UI Gothic" w:eastAsia="MS UI Gothic"/>
          <w:w w:val="80"/>
        </w:rPr>
        <w:t xml:space="preserve">ꎬ </w:t>
      </w:r>
      <w:r>
        <w:t>核对放水量和水压等</w:t>
      </w:r>
      <w:r>
        <w:rPr>
          <w:rFonts w:hint="eastAsia" w:ascii="MS UI Gothic" w:eastAsia="MS UI Gothic"/>
          <w:w w:val="80"/>
        </w:rPr>
        <w:t xml:space="preserve">ꎬ </w:t>
      </w:r>
      <w:r>
        <w:t>直到老空水放完为止</w:t>
      </w:r>
      <w:r>
        <w:rPr>
          <w:rFonts w:hint="eastAsia" w:ascii="MS UI Gothic" w:eastAsia="MS UI Gothic"/>
          <w:w w:val="80"/>
        </w:rPr>
        <w:t xml:space="preserve">ꎬ </w:t>
      </w:r>
      <w:r>
        <w:t>并进行检测验证</w:t>
      </w:r>
      <w:r>
        <w:rPr>
          <w:rFonts w:hint="eastAsia" w:ascii="MS UI Gothic" w:eastAsia="MS UI Gothic"/>
          <w:w w:val="80"/>
        </w:rPr>
        <w:t>ꎮ</w:t>
      </w:r>
    </w:p>
    <w:p>
      <w:pPr>
        <w:pStyle w:val="6"/>
        <w:spacing w:line="295" w:lineRule="auto"/>
        <w:ind w:right="39"/>
        <w:rPr>
          <w:rFonts w:hint="eastAsia" w:ascii="MS UI Gothic" w:eastAsia="MS UI Gothic"/>
        </w:rPr>
      </w:pPr>
      <w:r>
        <w:t>钻探接近老空时</w:t>
      </w:r>
      <w:r>
        <w:rPr>
          <w:rFonts w:hint="eastAsia" w:ascii="MS UI Gothic" w:eastAsia="MS UI Gothic"/>
          <w:w w:val="80"/>
        </w:rPr>
        <w:t xml:space="preserve">ꎬ </w:t>
      </w:r>
      <w:r>
        <w:t>应当安排专职瓦斯检查工或者矿山救护队员在现场值班</w:t>
      </w:r>
      <w:r>
        <w:rPr>
          <w:rFonts w:hint="eastAsia" w:ascii="MS UI Gothic" w:eastAsia="MS UI Gothic"/>
          <w:w w:val="80"/>
        </w:rPr>
        <w:t xml:space="preserve">ꎬ </w:t>
      </w:r>
      <w:r>
        <w:t>随时检查空气成分</w:t>
      </w:r>
      <w:r>
        <w:rPr>
          <w:rFonts w:hint="eastAsia" w:ascii="MS UI Gothic" w:eastAsia="MS UI Gothic"/>
          <w:w w:val="80"/>
        </w:rPr>
        <w:t xml:space="preserve">ꎮ </w:t>
      </w:r>
      <w:r>
        <w:t>如果甲烷或者其他有害气体浓度超过有关规定</w:t>
      </w:r>
      <w:r>
        <w:rPr>
          <w:rFonts w:hint="eastAsia" w:ascii="MS UI Gothic" w:eastAsia="MS UI Gothic"/>
          <w:w w:val="80"/>
        </w:rPr>
        <w:t xml:space="preserve">ꎬ </w:t>
      </w:r>
      <w:r>
        <w:t>应当立即停止钻进</w:t>
      </w:r>
      <w:r>
        <w:rPr>
          <w:rFonts w:hint="eastAsia" w:ascii="MS UI Gothic" w:eastAsia="MS UI Gothic"/>
          <w:w w:val="80"/>
        </w:rPr>
        <w:t xml:space="preserve">ꎬ </w:t>
      </w:r>
      <w:r>
        <w:t>切断电源</w:t>
      </w:r>
      <w:r>
        <w:rPr>
          <w:rFonts w:hint="eastAsia" w:ascii="MS UI Gothic" w:eastAsia="MS UI Gothic"/>
          <w:w w:val="80"/>
        </w:rPr>
        <w:t xml:space="preserve">ꎬ </w:t>
      </w:r>
      <w:r>
        <w:t>撤出人员</w:t>
      </w:r>
      <w:r>
        <w:rPr>
          <w:rFonts w:hint="eastAsia" w:ascii="MS UI Gothic" w:eastAsia="MS UI Gothic"/>
          <w:w w:val="80"/>
        </w:rPr>
        <w:t xml:space="preserve">ꎬ </w:t>
      </w:r>
      <w:r>
        <w:t>并报告矿调度室</w:t>
      </w:r>
      <w:r>
        <w:rPr>
          <w:rFonts w:hint="eastAsia" w:ascii="MS UI Gothic" w:eastAsia="MS UI Gothic"/>
          <w:w w:val="80"/>
        </w:rPr>
        <w:t xml:space="preserve">ꎬ </w:t>
      </w:r>
      <w:r>
        <w:t>及时采取措施进行处理</w:t>
      </w:r>
      <w:r>
        <w:rPr>
          <w:rFonts w:hint="eastAsia" w:ascii="MS UI Gothic" w:eastAsia="MS UI Gothic"/>
          <w:w w:val="80"/>
        </w:rPr>
        <w:t>ꎮ</w:t>
      </w:r>
    </w:p>
    <w:p>
      <w:pPr>
        <w:pStyle w:val="6"/>
        <w:spacing w:before="74" w:line="295" w:lineRule="auto"/>
        <w:ind w:right="440" w:firstLine="0"/>
        <w:rPr>
          <w:rFonts w:hint="eastAsia" w:ascii="MS UI Gothic" w:eastAsia="MS UI Gothic"/>
        </w:rPr>
      </w:pPr>
      <w:r>
        <w:br w:type="column"/>
      </w:r>
      <w:r>
        <w:t>估计积水量</w:t>
      </w:r>
      <w:r>
        <w:rPr>
          <w:rFonts w:hint="eastAsia" w:ascii="MS UI Gothic" w:eastAsia="MS UI Gothic"/>
          <w:w w:val="80"/>
        </w:rPr>
        <w:t xml:space="preserve">ꎬ </w:t>
      </w:r>
      <w:r>
        <w:t>并根据矿井排水能力和水仓容量</w:t>
      </w:r>
      <w:r>
        <w:rPr>
          <w:rFonts w:hint="eastAsia" w:ascii="MS UI Gothic" w:eastAsia="MS UI Gothic"/>
          <w:w w:val="80"/>
        </w:rPr>
        <w:t xml:space="preserve">ꎬ </w:t>
      </w:r>
      <w:r>
        <w:t>控制放水流量</w:t>
      </w:r>
      <w:r>
        <w:rPr>
          <w:rFonts w:hint="eastAsia" w:ascii="MS UI Gothic" w:eastAsia="MS UI Gothic"/>
          <w:w w:val="80"/>
        </w:rPr>
        <w:t xml:space="preserve">ꎬ </w:t>
      </w:r>
      <w:r>
        <w:t>防止淹井</w:t>
      </w:r>
      <w:r>
        <w:rPr>
          <w:rFonts w:hint="eastAsia" w:ascii="MS UI Gothic" w:eastAsia="MS UI Gothic"/>
          <w:w w:val="80"/>
        </w:rPr>
        <w:t xml:space="preserve">ꎻ </w:t>
      </w:r>
      <w:r>
        <w:t>放水时</w:t>
      </w:r>
      <w:r>
        <w:rPr>
          <w:rFonts w:hint="eastAsia" w:ascii="MS UI Gothic" w:eastAsia="MS UI Gothic"/>
          <w:w w:val="80"/>
        </w:rPr>
        <w:t xml:space="preserve">ꎬ </w:t>
      </w:r>
      <w:r>
        <w:t>应当有专人监测钻孔出水情况</w:t>
      </w:r>
      <w:r>
        <w:rPr>
          <w:rFonts w:hint="eastAsia" w:ascii="MS UI Gothic" w:eastAsia="MS UI Gothic"/>
          <w:w w:val="80"/>
        </w:rPr>
        <w:t xml:space="preserve">ꎬ </w:t>
      </w:r>
      <w:r>
        <w:t>测定水量和水压</w:t>
      </w:r>
      <w:r>
        <w:rPr>
          <w:rFonts w:hint="eastAsia" w:ascii="MS UI Gothic" w:eastAsia="MS UI Gothic"/>
          <w:w w:val="80"/>
        </w:rPr>
        <w:t xml:space="preserve">ꎬ </w:t>
      </w:r>
      <w:r>
        <w:t>做好记录</w:t>
      </w:r>
      <w:r>
        <w:rPr>
          <w:rFonts w:hint="eastAsia" w:ascii="MS UI Gothic" w:eastAsia="MS UI Gothic"/>
          <w:w w:val="80"/>
        </w:rPr>
        <w:t xml:space="preserve">ꎮ </w:t>
      </w:r>
      <w:r>
        <w:t>如果水量突然变化</w:t>
      </w:r>
      <w:r>
        <w:rPr>
          <w:rFonts w:hint="eastAsia" w:ascii="MS UI Gothic" w:eastAsia="MS UI Gothic"/>
          <w:w w:val="80"/>
        </w:rPr>
        <w:t xml:space="preserve">ꎬ </w:t>
      </w:r>
      <w:r>
        <w:t>应当立即报告矿调度室</w:t>
      </w:r>
      <w:r>
        <w:rPr>
          <w:rFonts w:hint="eastAsia" w:ascii="MS UI Gothic" w:eastAsia="MS UI Gothic"/>
          <w:w w:val="80"/>
        </w:rPr>
        <w:t xml:space="preserve">ꎬ </w:t>
      </w:r>
      <w:r>
        <w:t>分析原因</w:t>
      </w:r>
      <w:r>
        <w:rPr>
          <w:rFonts w:hint="eastAsia" w:ascii="MS UI Gothic" w:eastAsia="MS UI Gothic"/>
          <w:w w:val="80"/>
        </w:rPr>
        <w:t>ꎬ</w:t>
      </w:r>
      <w:r>
        <w:t>及时处理</w:t>
      </w:r>
      <w:r>
        <w:rPr>
          <w:rFonts w:hint="eastAsia" w:ascii="MS UI Gothic" w:eastAsia="MS UI Gothic"/>
          <w:w w:val="80"/>
        </w:rPr>
        <w:t>ꎮ</w:t>
      </w:r>
    </w:p>
    <w:p>
      <w:pPr>
        <w:pStyle w:val="6"/>
        <w:spacing w:line="295" w:lineRule="auto"/>
        <w:ind w:right="442"/>
        <w:rPr>
          <w:rFonts w:hint="eastAsia" w:ascii="MS UI Gothic" w:eastAsia="MS UI Gothic"/>
        </w:rPr>
      </w:pPr>
      <w:r>
        <w:t>第三百二十五条 排除井筒和下山的积水及恢复被淹井巷前</w:t>
      </w:r>
      <w:r>
        <w:rPr>
          <w:rFonts w:hint="eastAsia" w:ascii="MS UI Gothic" w:eastAsia="MS UI Gothic"/>
          <w:w w:val="80"/>
        </w:rPr>
        <w:t xml:space="preserve">ꎬ </w:t>
      </w:r>
      <w:r>
        <w:t>应当制定安全措施</w:t>
      </w:r>
      <w:r>
        <w:rPr>
          <w:rFonts w:hint="eastAsia" w:ascii="MS UI Gothic" w:eastAsia="MS UI Gothic"/>
          <w:w w:val="80"/>
        </w:rPr>
        <w:t xml:space="preserve">ꎬ </w:t>
      </w:r>
      <w:r>
        <w:t>防止被水封闭的有毒</w:t>
      </w:r>
      <w:r>
        <w:rPr>
          <w:rFonts w:hint="eastAsia" w:ascii="MS UI Gothic" w:eastAsia="MS UI Gothic"/>
          <w:w w:val="80"/>
        </w:rPr>
        <w:t xml:space="preserve">、 </w:t>
      </w:r>
      <w:r>
        <w:t>有害气体突然涌出</w:t>
      </w:r>
      <w:r>
        <w:rPr>
          <w:rFonts w:hint="eastAsia" w:ascii="MS UI Gothic" w:eastAsia="MS UI Gothic"/>
          <w:w w:val="80"/>
        </w:rPr>
        <w:t xml:space="preserve">ꎮ </w:t>
      </w:r>
      <w:r>
        <w:t>排水过程中</w:t>
      </w:r>
      <w:r>
        <w:rPr>
          <w:rFonts w:hint="eastAsia" w:ascii="MS UI Gothic" w:eastAsia="MS UI Gothic"/>
          <w:w w:val="80"/>
        </w:rPr>
        <w:t xml:space="preserve">ꎬ </w:t>
      </w:r>
      <w:r>
        <w:t>应当定时观测排水量</w:t>
      </w:r>
      <w:r>
        <w:rPr>
          <w:rFonts w:hint="eastAsia" w:ascii="MS UI Gothic" w:eastAsia="MS UI Gothic"/>
          <w:w w:val="80"/>
        </w:rPr>
        <w:t xml:space="preserve">、 </w:t>
      </w:r>
      <w:r>
        <w:t>水位和观测孔水位</w:t>
      </w:r>
      <w:r>
        <w:rPr>
          <w:rFonts w:hint="eastAsia" w:ascii="MS UI Gothic" w:eastAsia="MS UI Gothic"/>
          <w:w w:val="80"/>
        </w:rPr>
        <w:t xml:space="preserve">ꎬ </w:t>
      </w:r>
      <w:r>
        <w:t>并由矿山救护队随时检查水面上的空气成分</w:t>
      </w:r>
      <w:r>
        <w:rPr>
          <w:rFonts w:hint="eastAsia" w:ascii="MS UI Gothic" w:eastAsia="MS UI Gothic"/>
          <w:w w:val="80"/>
        </w:rPr>
        <w:t xml:space="preserve">ꎬ </w:t>
      </w:r>
      <w:r>
        <w:t>发现有害气体</w:t>
      </w:r>
      <w:r>
        <w:rPr>
          <w:rFonts w:hint="eastAsia" w:ascii="MS UI Gothic" w:eastAsia="MS UI Gothic"/>
          <w:w w:val="80"/>
        </w:rPr>
        <w:t xml:space="preserve">ꎬ </w:t>
      </w:r>
      <w:r>
        <w:t>及时采取措施进行处理</w:t>
      </w:r>
      <w:r>
        <w:rPr>
          <w:rFonts w:hint="eastAsia" w:ascii="MS UI Gothic" w:eastAsia="MS UI Gothic"/>
          <w:w w:val="80"/>
        </w:rPr>
        <w:t>ꎮ</w:t>
      </w:r>
    </w:p>
    <w:p>
      <w:pPr>
        <w:pStyle w:val="6"/>
        <w:tabs>
          <w:tab w:val="left" w:pos="838"/>
        </w:tabs>
        <w:spacing w:before="147"/>
        <w:ind w:left="0" w:right="318" w:firstLine="0"/>
        <w:jc w:val="center"/>
      </w:pPr>
      <w:r>
        <w:rPr>
          <w:spacing w:val="3"/>
          <w:w w:val="105"/>
        </w:rPr>
        <w:t>第八</w:t>
      </w:r>
      <w:r>
        <w:rPr>
          <w:w w:val="105"/>
        </w:rPr>
        <w:t>章</w:t>
      </w:r>
      <w:r>
        <w:rPr>
          <w:w w:val="105"/>
        </w:rPr>
        <w:tab/>
      </w:r>
      <w:r>
        <w:rPr>
          <w:spacing w:val="3"/>
          <w:w w:val="105"/>
        </w:rPr>
        <w:t>爆炸物品和井下爆</w:t>
      </w:r>
      <w:r>
        <w:rPr>
          <w:w w:val="105"/>
        </w:rPr>
        <w:t>破</w:t>
      </w:r>
    </w:p>
    <w:p>
      <w:pPr>
        <w:pStyle w:val="6"/>
        <w:spacing w:before="1"/>
        <w:ind w:left="0" w:firstLine="0"/>
        <w:jc w:val="left"/>
        <w:rPr>
          <w:sz w:val="29"/>
        </w:rPr>
      </w:pPr>
    </w:p>
    <w:p>
      <w:pPr>
        <w:pStyle w:val="6"/>
        <w:tabs>
          <w:tab w:val="left" w:pos="838"/>
        </w:tabs>
        <w:ind w:left="0" w:right="318" w:firstLine="0"/>
        <w:jc w:val="center"/>
      </w:pPr>
      <w:r>
        <w:rPr>
          <w:spacing w:val="3"/>
          <w:w w:val="105"/>
        </w:rPr>
        <w:t>第一</w:t>
      </w:r>
      <w:r>
        <w:rPr>
          <w:w w:val="105"/>
        </w:rPr>
        <w:t>节</w:t>
      </w:r>
      <w:r>
        <w:rPr>
          <w:w w:val="105"/>
        </w:rPr>
        <w:tab/>
      </w:r>
      <w:r>
        <w:rPr>
          <w:spacing w:val="3"/>
          <w:w w:val="105"/>
        </w:rPr>
        <w:t>爆炸物品贮</w:t>
      </w:r>
      <w:r>
        <w:rPr>
          <w:w w:val="105"/>
        </w:rPr>
        <w:t>存</w:t>
      </w:r>
    </w:p>
    <w:p>
      <w:pPr>
        <w:pStyle w:val="6"/>
        <w:spacing w:before="10"/>
        <w:ind w:left="0" w:firstLine="0"/>
        <w:jc w:val="left"/>
        <w:rPr>
          <w:sz w:val="16"/>
        </w:rPr>
      </w:pPr>
    </w:p>
    <w:p>
      <w:pPr>
        <w:pStyle w:val="6"/>
        <w:spacing w:line="295" w:lineRule="auto"/>
        <w:ind w:right="440"/>
        <w:rPr>
          <w:rFonts w:hint="eastAsia" w:ascii="MS UI Gothic" w:eastAsia="MS UI Gothic"/>
        </w:rPr>
      </w:pPr>
      <w:r>
        <w:rPr>
          <w:spacing w:val="6"/>
          <w:w w:val="105"/>
        </w:rPr>
        <w:t>第三百二十六条 爆炸物品的贮存</w:t>
      </w:r>
      <w:r>
        <w:rPr>
          <w:rFonts w:hint="eastAsia" w:ascii="MS UI Gothic" w:eastAsia="MS UI Gothic"/>
          <w:w w:val="80"/>
        </w:rPr>
        <w:t>ꎬ</w:t>
      </w:r>
      <w:r>
        <w:rPr>
          <w:spacing w:val="-3"/>
          <w:w w:val="105"/>
        </w:rPr>
        <w:t xml:space="preserve">永久性地面爆炸物品库建筑结构 </w:t>
      </w:r>
      <w:r>
        <w:rPr>
          <w:rFonts w:hint="eastAsia" w:ascii="MS UI Gothic" w:eastAsia="MS UI Gothic"/>
          <w:spacing w:val="-39"/>
          <w:w w:val="150"/>
        </w:rPr>
        <w:t xml:space="preserve">( </w:t>
      </w:r>
      <w:r>
        <w:rPr>
          <w:spacing w:val="4"/>
          <w:w w:val="105"/>
        </w:rPr>
        <w:t>包括永</w:t>
      </w:r>
      <w:r>
        <w:rPr>
          <w:spacing w:val="11"/>
          <w:w w:val="105"/>
        </w:rPr>
        <w:t>久性埋入式库房</w:t>
      </w:r>
      <w:r>
        <w:rPr>
          <w:rFonts w:hint="eastAsia" w:ascii="MS UI Gothic" w:eastAsia="MS UI Gothic"/>
          <w:spacing w:val="-5"/>
          <w:w w:val="150"/>
        </w:rPr>
        <w:t xml:space="preserve">) </w:t>
      </w:r>
      <w:r>
        <w:rPr>
          <w:spacing w:val="18"/>
          <w:w w:val="105"/>
        </w:rPr>
        <w:t>及各种防护措施</w:t>
      </w:r>
      <w:r>
        <w:rPr>
          <w:rFonts w:hint="eastAsia" w:ascii="MS UI Gothic" w:eastAsia="MS UI Gothic"/>
          <w:spacing w:val="11"/>
          <w:w w:val="80"/>
        </w:rPr>
        <w:t xml:space="preserve">ꎬ </w:t>
      </w:r>
      <w:r>
        <w:rPr>
          <w:w w:val="105"/>
        </w:rPr>
        <w:t>总</w:t>
      </w:r>
      <w:r>
        <w:rPr>
          <w:spacing w:val="3"/>
          <w:w w:val="105"/>
        </w:rPr>
        <w:t>库区的内</w:t>
      </w:r>
      <w:r>
        <w:rPr>
          <w:rFonts w:hint="eastAsia" w:ascii="MS UI Gothic" w:eastAsia="MS UI Gothic"/>
          <w:w w:val="80"/>
        </w:rPr>
        <w:t xml:space="preserve">、 </w:t>
      </w:r>
      <w:r>
        <w:rPr>
          <w:spacing w:val="3"/>
          <w:w w:val="105"/>
        </w:rPr>
        <w:t>外部安全距离等</w:t>
      </w:r>
      <w:r>
        <w:rPr>
          <w:rFonts w:hint="eastAsia" w:ascii="MS UI Gothic" w:eastAsia="MS UI Gothic"/>
          <w:w w:val="80"/>
        </w:rPr>
        <w:t xml:space="preserve">ꎬ </w:t>
      </w:r>
      <w:r>
        <w:rPr>
          <w:spacing w:val="2"/>
          <w:w w:val="105"/>
        </w:rPr>
        <w:t>必须遵守国</w:t>
      </w:r>
      <w:r>
        <w:rPr>
          <w:spacing w:val="3"/>
          <w:w w:val="105"/>
        </w:rPr>
        <w:t>家有关规定</w:t>
      </w:r>
      <w:r>
        <w:rPr>
          <w:rFonts w:hint="eastAsia" w:ascii="MS UI Gothic" w:eastAsia="MS UI Gothic"/>
          <w:w w:val="80"/>
        </w:rPr>
        <w:t>ꎮ</w:t>
      </w:r>
    </w:p>
    <w:p>
      <w:pPr>
        <w:pStyle w:val="6"/>
        <w:spacing w:line="295" w:lineRule="auto"/>
        <w:ind w:right="442"/>
        <w:rPr>
          <w:rFonts w:hint="eastAsia" w:ascii="MS UI Gothic" w:eastAsia="MS UI Gothic"/>
        </w:rPr>
      </w:pPr>
      <w:r>
        <w:t>井上</w:t>
      </w:r>
      <w:r>
        <w:rPr>
          <w:rFonts w:hint="eastAsia" w:ascii="MS UI Gothic" w:eastAsia="MS UI Gothic"/>
          <w:w w:val="80"/>
        </w:rPr>
        <w:t xml:space="preserve">、 </w:t>
      </w:r>
      <w:r>
        <w:t>下接触爆炸物品的人员</w:t>
      </w:r>
      <w:r>
        <w:rPr>
          <w:rFonts w:hint="eastAsia" w:ascii="MS UI Gothic" w:eastAsia="MS UI Gothic"/>
          <w:w w:val="80"/>
        </w:rPr>
        <w:t xml:space="preserve">ꎬ </w:t>
      </w:r>
      <w:r>
        <w:t>必须穿棉布或者抗静电衣服</w:t>
      </w:r>
      <w:r>
        <w:rPr>
          <w:rFonts w:hint="eastAsia" w:ascii="MS UI Gothic" w:eastAsia="MS UI Gothic"/>
          <w:w w:val="80"/>
        </w:rPr>
        <w:t>ꎮ</w:t>
      </w:r>
    </w:p>
    <w:p>
      <w:pPr>
        <w:pStyle w:val="6"/>
        <w:spacing w:line="295" w:lineRule="auto"/>
        <w:ind w:right="442"/>
        <w:rPr>
          <w:rFonts w:hint="eastAsia" w:ascii="MS UI Gothic" w:eastAsia="MS UI Gothic"/>
        </w:rPr>
      </w:pPr>
      <w:r>
        <w:t>第三百二十七条 建有爆炸物品制造厂的矿区总库</w:t>
      </w:r>
      <w:r>
        <w:rPr>
          <w:rFonts w:hint="eastAsia" w:ascii="MS UI Gothic" w:eastAsia="MS UI Gothic"/>
          <w:w w:val="80"/>
        </w:rPr>
        <w:t xml:space="preserve">ꎬ </w:t>
      </w:r>
      <w:r>
        <w:t xml:space="preserve">所有库房贮存各种炸药的总容量不得超过该厂 </w:t>
      </w:r>
      <w:r>
        <w:rPr>
          <w:rFonts w:hint="eastAsia" w:ascii="MS UI Gothic" w:eastAsia="MS UI Gothic"/>
          <w:w w:val="95"/>
        </w:rPr>
        <w:t xml:space="preserve">１ </w:t>
      </w:r>
      <w:r>
        <w:t>个月生产量</w:t>
      </w:r>
      <w:r>
        <w:rPr>
          <w:rFonts w:hint="eastAsia" w:ascii="MS UI Gothic" w:eastAsia="MS UI Gothic"/>
          <w:w w:val="80"/>
        </w:rPr>
        <w:t xml:space="preserve">ꎬ </w:t>
      </w:r>
      <w:r>
        <w:t xml:space="preserve">雷管的总容量不得超过 </w:t>
      </w:r>
      <w:r>
        <w:rPr>
          <w:rFonts w:hint="eastAsia" w:ascii="MS UI Gothic" w:eastAsia="MS UI Gothic"/>
          <w:w w:val="95"/>
        </w:rPr>
        <w:t xml:space="preserve">３ </w:t>
      </w:r>
      <w:r>
        <w:t>个月生产量</w:t>
      </w:r>
      <w:r>
        <w:rPr>
          <w:rFonts w:hint="eastAsia" w:ascii="MS UI Gothic" w:eastAsia="MS UI Gothic"/>
          <w:w w:val="80"/>
        </w:rPr>
        <w:t xml:space="preserve">ꎮ </w:t>
      </w:r>
      <w:r>
        <w:t>没有爆炸物品制造厂的矿区总库</w:t>
      </w:r>
      <w:r>
        <w:rPr>
          <w:rFonts w:hint="eastAsia" w:ascii="MS UI Gothic" w:eastAsia="MS UI Gothic"/>
          <w:w w:val="80"/>
        </w:rPr>
        <w:t xml:space="preserve">ꎬ </w:t>
      </w:r>
      <w:r>
        <w:t xml:space="preserve">所有库房贮存各种炸药的总容量不得超过由该库所供应的矿井 </w:t>
      </w:r>
      <w:r>
        <w:rPr>
          <w:rFonts w:hint="eastAsia" w:ascii="MS UI Gothic" w:eastAsia="MS UI Gothic"/>
          <w:w w:val="95"/>
        </w:rPr>
        <w:t xml:space="preserve">２ </w:t>
      </w:r>
      <w:r>
        <w:t>个月的计划需要量</w:t>
      </w:r>
      <w:r>
        <w:rPr>
          <w:rFonts w:hint="eastAsia" w:ascii="MS UI Gothic" w:eastAsia="MS UI Gothic"/>
          <w:w w:val="80"/>
        </w:rPr>
        <w:t xml:space="preserve">ꎬ </w:t>
      </w:r>
      <w:r>
        <w:t xml:space="preserve">雷管的总容量不得超过 </w:t>
      </w:r>
      <w:r>
        <w:rPr>
          <w:rFonts w:hint="eastAsia" w:ascii="MS UI Gothic" w:eastAsia="MS UI Gothic"/>
          <w:w w:val="95"/>
        </w:rPr>
        <w:t xml:space="preserve">６ </w:t>
      </w:r>
      <w:r>
        <w:t>个月的计划需要量</w:t>
      </w:r>
      <w:r>
        <w:rPr>
          <w:rFonts w:hint="eastAsia" w:ascii="MS UI Gothic" w:eastAsia="MS UI Gothic"/>
          <w:w w:val="80"/>
        </w:rPr>
        <w:t xml:space="preserve">ꎮ </w:t>
      </w:r>
      <w:r>
        <w:t>单个库房的最大容量</w:t>
      </w:r>
      <w:r>
        <w:rPr>
          <w:rFonts w:hint="eastAsia" w:ascii="MS UI Gothic" w:eastAsia="MS UI Gothic"/>
          <w:w w:val="225"/>
        </w:rPr>
        <w:t xml:space="preserve">: </w:t>
      </w:r>
      <w:r>
        <w:t xml:space="preserve">炸药不得超过 </w:t>
      </w:r>
      <w:r>
        <w:rPr>
          <w:rFonts w:hint="eastAsia" w:ascii="MS UI Gothic" w:eastAsia="MS UI Gothic"/>
          <w:w w:val="95"/>
        </w:rPr>
        <w:t>２００ ｔ</w:t>
      </w:r>
      <w:r>
        <w:rPr>
          <w:rFonts w:hint="eastAsia" w:ascii="MS UI Gothic" w:eastAsia="MS UI Gothic"/>
          <w:w w:val="80"/>
        </w:rPr>
        <w:t xml:space="preserve">ꎬ  </w:t>
      </w:r>
      <w:r>
        <w:t xml:space="preserve">雷管不得超过 </w:t>
      </w:r>
      <w:r>
        <w:rPr>
          <w:rFonts w:hint="eastAsia" w:ascii="MS UI Gothic" w:eastAsia="MS UI Gothic"/>
          <w:w w:val="95"/>
        </w:rPr>
        <w:t xml:space="preserve">５００ </w:t>
      </w:r>
      <w:r>
        <w:t>万发</w:t>
      </w:r>
      <w:r>
        <w:rPr>
          <w:rFonts w:hint="eastAsia" w:ascii="MS UI Gothic" w:eastAsia="MS UI Gothic"/>
          <w:w w:val="80"/>
        </w:rPr>
        <w:t>ꎮ</w:t>
      </w:r>
    </w:p>
    <w:p>
      <w:pPr>
        <w:pStyle w:val="6"/>
        <w:spacing w:line="295" w:lineRule="auto"/>
        <w:ind w:left="118" w:right="442" w:firstLine="425"/>
      </w:pPr>
      <w:r>
        <w:t>地面分库所有库房贮存爆炸物品的总容量</w:t>
      </w:r>
      <w:r>
        <w:rPr>
          <w:rFonts w:hint="eastAsia" w:ascii="MS UI Gothic" w:eastAsia="MS UI Gothic"/>
          <w:w w:val="230"/>
        </w:rPr>
        <w:t xml:space="preserve">: </w:t>
      </w:r>
      <w:r>
        <w:t xml:space="preserve">炸药不得超过 </w:t>
      </w:r>
      <w:r>
        <w:rPr>
          <w:rFonts w:hint="eastAsia" w:ascii="MS UI Gothic" w:eastAsia="MS UI Gothic"/>
          <w:w w:val="95"/>
        </w:rPr>
        <w:t>７５ ｔ</w:t>
      </w:r>
      <w:r>
        <w:rPr>
          <w:rFonts w:hint="eastAsia" w:ascii="MS UI Gothic" w:eastAsia="MS UI Gothic"/>
          <w:w w:val="80"/>
        </w:rPr>
        <w:t xml:space="preserve">ꎬ </w:t>
      </w:r>
      <w:r>
        <w:t>雷管不得超过</w:t>
      </w:r>
      <w:r>
        <w:rPr>
          <w:rFonts w:hint="eastAsia" w:ascii="MS UI Gothic" w:eastAsia="MS UI Gothic"/>
          <w:w w:val="95"/>
        </w:rPr>
        <w:t xml:space="preserve">２５ </w:t>
      </w:r>
      <w:r>
        <w:t>万发</w:t>
      </w:r>
      <w:r>
        <w:rPr>
          <w:rFonts w:hint="eastAsia" w:ascii="MS UI Gothic" w:eastAsia="MS UI Gothic"/>
          <w:w w:val="80"/>
        </w:rPr>
        <w:t xml:space="preserve">ꎮ </w:t>
      </w:r>
      <w:r>
        <w:t xml:space="preserve">单个库房的炸药最大容量不得超过 </w:t>
      </w:r>
      <w:r>
        <w:rPr>
          <w:rFonts w:hint="eastAsia" w:ascii="MS UI Gothic" w:eastAsia="MS UI Gothic"/>
          <w:w w:val="95"/>
        </w:rPr>
        <w:t>２５ ｔ</w:t>
      </w:r>
      <w:r>
        <w:rPr>
          <w:rFonts w:hint="eastAsia" w:ascii="MS UI Gothic" w:eastAsia="MS UI Gothic"/>
          <w:w w:val="80"/>
        </w:rPr>
        <w:t xml:space="preserve">ꎮ </w:t>
      </w:r>
      <w:r>
        <w:t>地面分库贮存各种爆炸物品的</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２８５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85" o:spid="_x0000_s1885" o:spt="203" style="height:2.15pt;width:398.25pt;" coordsize="7965,43">
            <o:lock v:ext="edit"/>
            <v:line id="_x0000_s1886" o:spid="_x0000_s1886" o:spt="20" style="position:absolute;left:0;top:39;height:0;width:7965;" stroked="t" coordsize="21600,21600">
              <v:path arrowok="t"/>
              <v:fill focussize="0,0"/>
              <v:stroke weight="0.388031496062992pt" color="#231F20"/>
              <v:imagedata o:title=""/>
              <o:lock v:ext="edit"/>
            </v:line>
            <v:line id="_x0000_s1887" o:spid="_x0000_s188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数量</w:t>
      </w:r>
      <w:r>
        <w:rPr>
          <w:rFonts w:hint="eastAsia" w:ascii="MS UI Gothic" w:eastAsia="MS UI Gothic"/>
          <w:w w:val="80"/>
        </w:rPr>
        <w:t xml:space="preserve">ꎬ </w:t>
      </w:r>
      <w:r>
        <w:t xml:space="preserve">不得超过由该库所供应矿井 </w:t>
      </w:r>
      <w:r>
        <w:rPr>
          <w:rFonts w:hint="eastAsia" w:ascii="MS UI Gothic" w:eastAsia="MS UI Gothic"/>
        </w:rPr>
        <w:t xml:space="preserve">３ </w:t>
      </w:r>
      <w:r>
        <w:t>个月的计划需要量</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第三百二十八条 开凿平硐或者利用</w:t>
      </w:r>
      <w:r>
        <w:t>已有平硐作为爆炸物品库时</w:t>
      </w:r>
      <w:r>
        <w:rPr>
          <w:rFonts w:hint="eastAsia" w:ascii="MS UI Gothic" w:eastAsia="MS UI Gothic"/>
          <w:w w:val="80"/>
        </w:rPr>
        <w:t xml:space="preserve">ꎬ </w:t>
      </w:r>
      <w:r>
        <w:t>必须遵守下</w:t>
      </w:r>
      <w:r>
        <w:rPr>
          <w:w w:val="110"/>
        </w:rPr>
        <w:t>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8"/>
          <w:w w:val="150"/>
        </w:rPr>
        <w:t xml:space="preserve">) </w:t>
      </w:r>
      <w:r>
        <w:rPr>
          <w:spacing w:val="-1"/>
          <w:w w:val="105"/>
        </w:rPr>
        <w:t xml:space="preserve">硐口必须装有向外开启的 </w:t>
      </w:r>
      <w:r>
        <w:rPr>
          <w:rFonts w:hint="eastAsia" w:ascii="MS UI Gothic" w:eastAsia="MS UI Gothic"/>
          <w:spacing w:val="4"/>
          <w:w w:val="80"/>
        </w:rPr>
        <w:t xml:space="preserve">２ </w:t>
      </w:r>
      <w:r>
        <w:rPr>
          <w:w w:val="105"/>
        </w:rPr>
        <w:t>道</w:t>
      </w:r>
      <w:r>
        <w:rPr>
          <w:spacing w:val="3"/>
        </w:rPr>
        <w:t>门</w:t>
      </w:r>
      <w:r>
        <w:rPr>
          <w:rFonts w:hint="eastAsia" w:ascii="MS UI Gothic" w:eastAsia="MS UI Gothic"/>
          <w:spacing w:val="18"/>
          <w:w w:val="80"/>
        </w:rPr>
        <w:t xml:space="preserve">ꎬ </w:t>
      </w:r>
      <w:r>
        <w:rPr>
          <w:spacing w:val="13"/>
        </w:rPr>
        <w:t>由外往里第一道门为包铁皮的木板</w:t>
      </w:r>
      <w:r>
        <w:rPr>
          <w:spacing w:val="3"/>
          <w:w w:val="105"/>
        </w:rPr>
        <w:t>门</w:t>
      </w:r>
      <w:r>
        <w:rPr>
          <w:rFonts w:hint="eastAsia" w:ascii="MS UI Gothic" w:eastAsia="MS UI Gothic"/>
          <w:spacing w:val="23"/>
          <w:w w:val="80"/>
        </w:rPr>
        <w:t xml:space="preserve">ꎬ </w:t>
      </w:r>
      <w:r>
        <w:rPr>
          <w:spacing w:val="3"/>
          <w:w w:val="105"/>
        </w:rPr>
        <w:t>第二道门为栅栏门</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 xml:space="preserve">硐口到最近贮存硐室之间的距离超过 </w:t>
      </w:r>
      <w:r>
        <w:rPr>
          <w:rFonts w:hint="eastAsia" w:ascii="MS UI Gothic" w:eastAsia="MS UI Gothic"/>
          <w:w w:val="80"/>
        </w:rPr>
        <w:t xml:space="preserve">１５ ｍ </w:t>
      </w:r>
      <w:r>
        <w:t>时</w:t>
      </w:r>
      <w:r>
        <w:rPr>
          <w:rFonts w:hint="eastAsia" w:ascii="MS UI Gothic" w:eastAsia="MS UI Gothic"/>
          <w:w w:val="80"/>
        </w:rPr>
        <w:t xml:space="preserve">ꎬ </w:t>
      </w:r>
      <w:r>
        <w:t xml:space="preserve">必须有 </w:t>
      </w:r>
      <w:r>
        <w:rPr>
          <w:rFonts w:hint="eastAsia" w:ascii="MS UI Gothic" w:eastAsia="MS UI Gothic"/>
          <w:w w:val="80"/>
        </w:rPr>
        <w:t xml:space="preserve">２ </w:t>
      </w:r>
      <w:r>
        <w:t>个入口</w:t>
      </w:r>
      <w:r>
        <w:rPr>
          <w:rFonts w:hint="eastAsia" w:ascii="MS UI Gothic" w:eastAsia="MS UI Gothic"/>
          <w:w w:val="80"/>
        </w:rPr>
        <w:t>ꎮ</w:t>
      </w:r>
    </w:p>
    <w:p>
      <w:pPr>
        <w:pStyle w:val="6"/>
        <w:spacing w:line="295" w:lineRule="auto"/>
        <w:ind w:left="435" w:right="1" w:firstLine="425"/>
        <w:rPr>
          <w:rFonts w:hint="eastAsia" w:ascii="MS UI Gothic" w:eastAsia="MS UI Gothic"/>
        </w:rPr>
      </w:pPr>
      <w:r>
        <w:rPr>
          <w:rFonts w:hint="eastAsia" w:ascii="MS UI Gothic" w:eastAsia="MS UI Gothic"/>
          <w:spacing w:val="-32"/>
          <w:w w:val="145"/>
        </w:rPr>
        <w:t xml:space="preserve">( </w:t>
      </w:r>
      <w:r>
        <w:rPr>
          <w:spacing w:val="3"/>
        </w:rPr>
        <w:t>三</w:t>
      </w:r>
      <w:r>
        <w:rPr>
          <w:rFonts w:hint="eastAsia" w:ascii="MS UI Gothic" w:eastAsia="MS UI Gothic"/>
          <w:spacing w:val="29"/>
          <w:w w:val="145"/>
        </w:rPr>
        <w:t xml:space="preserve">) </w:t>
      </w:r>
      <w:r>
        <w:rPr>
          <w:spacing w:val="5"/>
        </w:rPr>
        <w:t>硐口前必须设置横堤</w:t>
      </w:r>
      <w:r>
        <w:rPr>
          <w:rFonts w:hint="eastAsia" w:ascii="MS UI Gothic" w:eastAsia="MS UI Gothic"/>
          <w:spacing w:val="16"/>
          <w:w w:val="80"/>
        </w:rPr>
        <w:t xml:space="preserve">ꎬ </w:t>
      </w:r>
      <w:r>
        <w:rPr>
          <w:spacing w:val="7"/>
        </w:rPr>
        <w:t>横堤必</w:t>
      </w:r>
      <w:r>
        <w:rPr>
          <w:spacing w:val="-10"/>
        </w:rPr>
        <w:t xml:space="preserve">须高出硐口 </w:t>
      </w:r>
      <w:r>
        <w:rPr>
          <w:rFonts w:hint="eastAsia" w:ascii="MS UI Gothic" w:eastAsia="MS UI Gothic"/>
        </w:rPr>
        <w:t>１</w:t>
      </w:r>
      <w:r>
        <w:rPr>
          <w:rFonts w:hint="eastAsia" w:ascii="MS UI Gothic" w:eastAsia="MS UI Gothic"/>
          <w:spacing w:val="-12"/>
        </w:rPr>
        <w:t xml:space="preserve"> ５ </w:t>
      </w:r>
      <w:r>
        <w:rPr>
          <w:rFonts w:hint="eastAsia" w:ascii="MS UI Gothic" w:eastAsia="MS UI Gothic"/>
          <w:spacing w:val="4"/>
        </w:rPr>
        <w:t>ｍ</w:t>
      </w:r>
      <w:r>
        <w:rPr>
          <w:rFonts w:hint="eastAsia" w:ascii="MS UI Gothic" w:eastAsia="MS UI Gothic"/>
          <w:spacing w:val="12"/>
          <w:w w:val="80"/>
        </w:rPr>
        <w:t xml:space="preserve">ꎬ </w:t>
      </w:r>
      <w:r>
        <w:rPr>
          <w:spacing w:val="8"/>
        </w:rPr>
        <w:t>横堤的顶部长度不得</w:t>
      </w:r>
      <w:r>
        <w:rPr>
          <w:spacing w:val="-5"/>
        </w:rPr>
        <w:t xml:space="preserve">小于硐口宽度的 </w:t>
      </w:r>
      <w:r>
        <w:rPr>
          <w:rFonts w:hint="eastAsia" w:ascii="MS UI Gothic" w:eastAsia="MS UI Gothic"/>
          <w:spacing w:val="-2"/>
        </w:rPr>
        <w:t xml:space="preserve">３ </w:t>
      </w:r>
      <w:r>
        <w:rPr>
          <w:spacing w:val="3"/>
        </w:rPr>
        <w:t>倍</w:t>
      </w:r>
      <w:r>
        <w:rPr>
          <w:rFonts w:hint="eastAsia" w:ascii="MS UI Gothic" w:eastAsia="MS UI Gothic"/>
          <w:spacing w:val="4"/>
          <w:w w:val="80"/>
        </w:rPr>
        <w:t xml:space="preserve">ꎬ </w:t>
      </w:r>
      <w:r>
        <w:rPr>
          <w:spacing w:val="2"/>
        </w:rPr>
        <w:t>顶部厚度不得小于</w:t>
      </w:r>
      <w:r>
        <w:rPr>
          <w:rFonts w:hint="eastAsia" w:ascii="MS UI Gothic" w:eastAsia="MS UI Gothic"/>
          <w:spacing w:val="-6"/>
        </w:rPr>
        <w:t xml:space="preserve">１ </w:t>
      </w:r>
      <w:r>
        <w:rPr>
          <w:rFonts w:hint="eastAsia" w:ascii="MS UI Gothic" w:eastAsia="MS UI Gothic"/>
          <w:spacing w:val="4"/>
        </w:rPr>
        <w:t>ｍ</w:t>
      </w:r>
      <w:r>
        <w:rPr>
          <w:rFonts w:hint="eastAsia" w:ascii="MS UI Gothic" w:eastAsia="MS UI Gothic"/>
          <w:spacing w:val="10"/>
          <w:w w:val="80"/>
        </w:rPr>
        <w:t xml:space="preserve">ꎮ </w:t>
      </w:r>
      <w:r>
        <w:rPr>
          <w:spacing w:val="7"/>
        </w:rPr>
        <w:t>横堤的底部长度和厚度</w:t>
      </w:r>
      <w:r>
        <w:rPr>
          <w:rFonts w:hint="eastAsia" w:ascii="MS UI Gothic" w:eastAsia="MS UI Gothic"/>
          <w:spacing w:val="11"/>
          <w:w w:val="80"/>
        </w:rPr>
        <w:t xml:space="preserve">ꎬ </w:t>
      </w:r>
      <w:r>
        <w:rPr>
          <w:spacing w:val="9"/>
        </w:rPr>
        <w:t>应当根据</w:t>
      </w:r>
      <w:r>
        <w:rPr>
          <w:spacing w:val="3"/>
        </w:rPr>
        <w:t>所用建筑材料的静止角确定</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rPr>
          <w:rFonts w:hint="eastAsia" w:ascii="MS UI Gothic" w:hAnsi="MS UI Gothic" w:eastAsia="MS UI Gothic"/>
          <w:spacing w:val="-27"/>
          <w:w w:val="145"/>
        </w:rPr>
        <w:t xml:space="preserve">( </w:t>
      </w:r>
      <w:r>
        <w:rPr>
          <w:spacing w:val="3"/>
        </w:rPr>
        <w:t>四</w:t>
      </w:r>
      <w:r>
        <w:rPr>
          <w:rFonts w:hint="eastAsia" w:ascii="MS UI Gothic" w:hAnsi="MS UI Gothic" w:eastAsia="MS UI Gothic"/>
          <w:spacing w:val="18"/>
          <w:w w:val="145"/>
        </w:rPr>
        <w:t xml:space="preserve">) </w:t>
      </w:r>
      <w:r>
        <w:rPr>
          <w:spacing w:val="5"/>
        </w:rPr>
        <w:t>库房底板必须高于通向爆炸物</w:t>
      </w:r>
      <w:r>
        <w:rPr>
          <w:spacing w:val="3"/>
        </w:rPr>
        <w:t>品库巷道的底板</w:t>
      </w:r>
      <w:r>
        <w:rPr>
          <w:rFonts w:hint="eastAsia" w:ascii="MS UI Gothic" w:hAnsi="MS UI Gothic" w:eastAsia="MS UI Gothic"/>
          <w:spacing w:val="14"/>
          <w:w w:val="85"/>
        </w:rPr>
        <w:t xml:space="preserve">ꎬ </w:t>
      </w:r>
      <w:r>
        <w:rPr>
          <w:spacing w:val="2"/>
        </w:rPr>
        <w:t>硐口到库房的巷道坡度</w:t>
      </w:r>
      <w:r>
        <w:rPr>
          <w:spacing w:val="-32"/>
        </w:rPr>
        <w:t xml:space="preserve">为 </w:t>
      </w:r>
      <w:r>
        <w:rPr>
          <w:rFonts w:hint="eastAsia" w:ascii="MS UI Gothic" w:hAnsi="MS UI Gothic" w:eastAsia="MS UI Gothic"/>
          <w:spacing w:val="4"/>
        </w:rPr>
        <w:t>５</w:t>
      </w:r>
      <w:r>
        <w:rPr>
          <w:spacing w:val="4"/>
        </w:rPr>
        <w:t>‰</w:t>
      </w:r>
      <w:r>
        <w:rPr>
          <w:rFonts w:hint="eastAsia" w:ascii="MS UI Gothic" w:hAnsi="MS UI Gothic" w:eastAsia="MS UI Gothic"/>
          <w:spacing w:val="11"/>
          <w:w w:val="85"/>
        </w:rPr>
        <w:t xml:space="preserve">ꎬ </w:t>
      </w:r>
      <w:r>
        <w:rPr>
          <w:spacing w:val="4"/>
        </w:rPr>
        <w:t>并有带盖的排水沟</w:t>
      </w:r>
      <w:r>
        <w:rPr>
          <w:rFonts w:hint="eastAsia" w:ascii="MS UI Gothic" w:hAnsi="MS UI Gothic" w:eastAsia="MS UI Gothic"/>
          <w:spacing w:val="13"/>
          <w:w w:val="85"/>
        </w:rPr>
        <w:t xml:space="preserve">ꎬ </w:t>
      </w:r>
      <w:r>
        <w:rPr>
          <w:spacing w:val="7"/>
        </w:rPr>
        <w:t>巷道内可以</w:t>
      </w:r>
      <w:r>
        <w:rPr>
          <w:spacing w:val="3"/>
        </w:rPr>
        <w:t>铺设不延深到硐室内的轨道</w:t>
      </w:r>
      <w:r>
        <w:rPr>
          <w:rFonts w:hint="eastAsia" w:ascii="MS UI Gothic" w:hAns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5"/>
          <w:w w:val="105"/>
        </w:rPr>
        <w:t>五</w:t>
      </w:r>
      <w:r>
        <w:rPr>
          <w:rFonts w:hint="eastAsia" w:ascii="MS UI Gothic" w:eastAsia="MS UI Gothic"/>
          <w:spacing w:val="11"/>
          <w:w w:val="150"/>
        </w:rPr>
        <w:t xml:space="preserve">) </w:t>
      </w:r>
      <w:r>
        <w:rPr>
          <w:spacing w:val="23"/>
          <w:w w:val="105"/>
        </w:rPr>
        <w:t>除有运输爆炸物品用的巷道</w:t>
      </w:r>
      <w:r>
        <w:rPr>
          <w:spacing w:val="3"/>
          <w:w w:val="105"/>
        </w:rPr>
        <w:t>外</w:t>
      </w:r>
      <w:r>
        <w:rPr>
          <w:rFonts w:hint="eastAsia" w:ascii="MS UI Gothic" w:eastAsia="MS UI Gothic"/>
          <w:spacing w:val="10"/>
          <w:w w:val="80"/>
        </w:rPr>
        <w:t xml:space="preserve">ꎬ </w:t>
      </w:r>
      <w:r>
        <w:rPr>
          <w:spacing w:val="-5"/>
          <w:w w:val="105"/>
        </w:rPr>
        <w:t xml:space="preserve">还必须有通风巷道 </w:t>
      </w:r>
      <w:r>
        <w:rPr>
          <w:rFonts w:hint="eastAsia" w:ascii="MS UI Gothic" w:eastAsia="MS UI Gothic"/>
          <w:spacing w:val="-39"/>
          <w:w w:val="150"/>
        </w:rPr>
        <w:t xml:space="preserve">( </w:t>
      </w:r>
      <w:r>
        <w:rPr>
          <w:spacing w:val="3"/>
          <w:w w:val="105"/>
        </w:rPr>
        <w:t>钻眼</w:t>
      </w:r>
      <w:r>
        <w:rPr>
          <w:rFonts w:hint="eastAsia" w:ascii="MS UI Gothic" w:eastAsia="MS UI Gothic"/>
          <w:spacing w:val="11"/>
          <w:w w:val="80"/>
        </w:rPr>
        <w:t xml:space="preserve">、 </w:t>
      </w:r>
      <w:r>
        <w:rPr>
          <w:spacing w:val="5"/>
          <w:w w:val="105"/>
        </w:rPr>
        <w:t>探井或者</w:t>
      </w:r>
      <w:r>
        <w:rPr>
          <w:spacing w:val="3"/>
          <w:w w:val="105"/>
        </w:rPr>
        <w:t>平硐</w:t>
      </w:r>
      <w:r>
        <w:rPr>
          <w:rFonts w:hint="eastAsia" w:ascii="MS UI Gothic" w:eastAsia="MS UI Gothic"/>
          <w:spacing w:val="-32"/>
          <w:w w:val="115"/>
        </w:rPr>
        <w:t xml:space="preserve">) </w:t>
      </w:r>
      <w:r>
        <w:rPr>
          <w:rFonts w:hint="eastAsia" w:ascii="MS UI Gothic" w:eastAsia="MS UI Gothic"/>
          <w:spacing w:val="-7"/>
          <w:w w:val="80"/>
        </w:rPr>
        <w:t xml:space="preserve">ꎬ </w:t>
      </w:r>
      <w:r>
        <w:rPr>
          <w:spacing w:val="6"/>
          <w:w w:val="105"/>
        </w:rPr>
        <w:t>其入口和通风设备必须设置在围</w:t>
      </w:r>
      <w:r>
        <w:rPr>
          <w:spacing w:val="3"/>
          <w:w w:val="105"/>
        </w:rPr>
        <w:t>墙以内</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库房必须采用不燃性材料支</w:t>
      </w:r>
      <w:r>
        <w:t>护</w:t>
      </w:r>
      <w:r>
        <w:rPr>
          <w:rFonts w:hint="eastAsia" w:ascii="MS UI Gothic" w:eastAsia="MS UI Gothic"/>
          <w:w w:val="80"/>
        </w:rPr>
        <w:t xml:space="preserve">ꎮ </w:t>
      </w:r>
      <w:r>
        <w:t>巷道内采用固定式照明时</w:t>
      </w:r>
      <w:r>
        <w:rPr>
          <w:rFonts w:hint="eastAsia" w:ascii="MS UI Gothic" w:eastAsia="MS UI Gothic"/>
          <w:w w:val="80"/>
        </w:rPr>
        <w:t xml:space="preserve">ꎬ </w:t>
      </w:r>
      <w:r>
        <w:t>开关必须</w:t>
      </w:r>
      <w:r>
        <w:rPr>
          <w:w w:val="105"/>
        </w:rPr>
        <w:t>设在地面</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45"/>
        </w:rPr>
        <w:t xml:space="preserve">( </w:t>
      </w:r>
      <w:r>
        <w:t>七</w:t>
      </w:r>
      <w:r>
        <w:rPr>
          <w:rFonts w:hint="eastAsia" w:ascii="MS UI Gothic" w:eastAsia="MS UI Gothic"/>
          <w:w w:val="145"/>
        </w:rPr>
        <w:t xml:space="preserve">) </w:t>
      </w:r>
      <w:r>
        <w:t xml:space="preserve">爆炸物品库上面覆盖层厚度小于 </w:t>
      </w:r>
      <w:r>
        <w:rPr>
          <w:rFonts w:hint="eastAsia" w:ascii="MS UI Gothic" w:eastAsia="MS UI Gothic"/>
          <w:w w:val="80"/>
        </w:rPr>
        <w:t xml:space="preserve">１０ ｍ </w:t>
      </w:r>
      <w:r>
        <w:t>时</w:t>
      </w:r>
      <w:r>
        <w:rPr>
          <w:rFonts w:hint="eastAsia" w:ascii="MS UI Gothic" w:eastAsia="MS UI Gothic"/>
          <w:w w:val="80"/>
        </w:rPr>
        <w:t xml:space="preserve">ꎬ </w:t>
      </w:r>
      <w:r>
        <w:t>必须装设防雷电设备</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检查电雷管的工作</w:t>
      </w:r>
      <w:r>
        <w:rPr>
          <w:rFonts w:hint="eastAsia" w:ascii="MS UI Gothic" w:eastAsia="MS UI Gothic"/>
          <w:w w:val="80"/>
        </w:rPr>
        <w:t xml:space="preserve">ꎬ </w:t>
      </w:r>
      <w:r>
        <w:rPr>
          <w:w w:val="105"/>
        </w:rPr>
        <w:t>必须在爆</w:t>
      </w:r>
      <w:r>
        <w:t>炸物品贮存硐室外设有安全设施的专用房</w:t>
      </w:r>
      <w:r>
        <w:rPr>
          <w:w w:val="105"/>
        </w:rPr>
        <w:t>间或者硐室内进行</w:t>
      </w:r>
      <w:r>
        <w:rPr>
          <w:rFonts w:hint="eastAsia" w:ascii="MS UI Gothic" w:eastAsia="MS UI Gothic"/>
          <w:w w:val="80"/>
        </w:rPr>
        <w:t>ꎮ</w:t>
      </w:r>
    </w:p>
    <w:p>
      <w:pPr>
        <w:pStyle w:val="6"/>
        <w:spacing w:line="295" w:lineRule="auto"/>
        <w:ind w:left="440"/>
        <w:rPr>
          <w:rFonts w:hint="eastAsia" w:ascii="MS UI Gothic" w:eastAsia="MS UI Gothic"/>
        </w:rPr>
      </w:pPr>
      <w:r>
        <w:t>第三百二十九条 各种爆炸物品的每一品种都应当专库贮存</w:t>
      </w:r>
      <w:r>
        <w:rPr>
          <w:rFonts w:hint="eastAsia" w:ascii="MS UI Gothic" w:eastAsia="MS UI Gothic"/>
          <w:w w:val="80"/>
        </w:rPr>
        <w:t xml:space="preserve">ꎻ </w:t>
      </w:r>
      <w:r>
        <w:t>当条件限制时</w:t>
      </w:r>
      <w:r>
        <w:rPr>
          <w:rFonts w:hint="eastAsia" w:ascii="MS UI Gothic" w:eastAsia="MS UI Gothic"/>
          <w:w w:val="80"/>
        </w:rPr>
        <w:t>ꎬ</w:t>
      </w:r>
      <w:r>
        <w:t>按国家有关同库贮存的规定贮存</w:t>
      </w:r>
      <w:r>
        <w:rPr>
          <w:rFonts w:hint="eastAsia" w:ascii="MS UI Gothic" w:eastAsia="MS UI Gothic"/>
          <w:w w:val="80"/>
        </w:rPr>
        <w:t>ꎮ</w:t>
      </w:r>
    </w:p>
    <w:p>
      <w:pPr>
        <w:pStyle w:val="6"/>
        <w:spacing w:line="295" w:lineRule="auto"/>
        <w:ind w:left="440" w:right="1"/>
        <w:rPr>
          <w:rFonts w:hint="eastAsia" w:ascii="MS UI Gothic" w:eastAsia="MS UI Gothic"/>
        </w:rPr>
      </w:pPr>
      <w:r>
        <w:t xml:space="preserve">存放爆炸物品的木架每格只准放 </w:t>
      </w:r>
      <w:r>
        <w:rPr>
          <w:rFonts w:hint="eastAsia" w:ascii="MS UI Gothic" w:eastAsia="MS UI Gothic"/>
          <w:w w:val="80"/>
        </w:rPr>
        <w:t xml:space="preserve">１ </w:t>
      </w:r>
      <w:r>
        <w:t>层爆炸物品箱</w:t>
      </w:r>
      <w:r>
        <w:rPr>
          <w:rFonts w:hint="eastAsia" w:ascii="MS UI Gothic" w:eastAsia="MS UI Gothic"/>
          <w:w w:val="80"/>
        </w:rPr>
        <w:t>ꎮ</w:t>
      </w:r>
    </w:p>
    <w:p>
      <w:pPr>
        <w:pStyle w:val="6"/>
        <w:spacing w:line="295" w:lineRule="auto"/>
        <w:ind w:left="440" w:right="1"/>
      </w:pPr>
      <w:r>
        <w:rPr>
          <w:w w:val="105"/>
        </w:rPr>
        <w:t>第三百三十条 地面爆炸物品库必须</w:t>
      </w:r>
      <w:r>
        <w:t>有发放爆炸物品的专用套间或者单独房间</w:t>
      </w:r>
      <w:r>
        <w:rPr>
          <w:rFonts w:hint="eastAsia" w:ascii="MS UI Gothic" w:eastAsia="MS UI Gothic"/>
          <w:w w:val="80"/>
        </w:rPr>
        <w:t xml:space="preserve">ꎮ </w:t>
      </w:r>
      <w:r>
        <w:t>分库的炸药发放套间内</w:t>
      </w:r>
      <w:r>
        <w:rPr>
          <w:rFonts w:hint="eastAsia" w:ascii="MS UI Gothic" w:eastAsia="MS UI Gothic"/>
          <w:w w:val="80"/>
        </w:rPr>
        <w:t xml:space="preserve">ꎬ </w:t>
      </w:r>
      <w:r>
        <w:t>可临时保存</w:t>
      </w:r>
    </w:p>
    <w:p>
      <w:pPr>
        <w:pStyle w:val="6"/>
        <w:spacing w:before="124" w:line="295" w:lineRule="auto"/>
        <w:ind w:left="381" w:right="126" w:firstLine="0"/>
        <w:rPr>
          <w:rFonts w:hint="eastAsia" w:ascii="MS UI Gothic" w:eastAsia="MS UI Gothic"/>
        </w:rPr>
      </w:pPr>
      <w:r>
        <w:br w:type="column"/>
      </w:r>
      <w:r>
        <w:rPr>
          <w:spacing w:val="3"/>
        </w:rPr>
        <w:t>爆破工的空爆炸物品箱与发爆器</w:t>
      </w:r>
      <w:r>
        <w:rPr>
          <w:rFonts w:hint="eastAsia" w:ascii="MS UI Gothic" w:eastAsia="MS UI Gothic"/>
          <w:spacing w:val="20"/>
          <w:w w:val="80"/>
        </w:rPr>
        <w:t xml:space="preserve">ꎮ </w:t>
      </w:r>
      <w:r>
        <w:rPr>
          <w:spacing w:val="1"/>
        </w:rPr>
        <w:t>在分库</w:t>
      </w:r>
      <w:r>
        <w:rPr>
          <w:spacing w:val="3"/>
        </w:rPr>
        <w:t>的雷管发放套间内发放雷管时</w:t>
      </w:r>
      <w:r>
        <w:rPr>
          <w:rFonts w:hint="eastAsia" w:ascii="MS UI Gothic" w:eastAsia="MS UI Gothic"/>
          <w:spacing w:val="20"/>
          <w:w w:val="80"/>
        </w:rPr>
        <w:t xml:space="preserve">ꎬ </w:t>
      </w:r>
      <w:r>
        <w:rPr>
          <w:spacing w:val="2"/>
        </w:rPr>
        <w:t>必须在铺有导电的软质垫层并有边缘突起的桌子上</w:t>
      </w:r>
      <w:r>
        <w:rPr>
          <w:spacing w:val="3"/>
        </w:rPr>
        <w:t>进行</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第三百三十一条 井下爆炸物品库应</w:t>
      </w:r>
      <w:r>
        <w:rPr>
          <w:spacing w:val="11"/>
          <w:w w:val="105"/>
        </w:rPr>
        <w:t>当采用硐室式</w:t>
      </w:r>
      <w:r>
        <w:rPr>
          <w:rFonts w:hint="eastAsia" w:ascii="MS UI Gothic" w:eastAsia="MS UI Gothic"/>
          <w:spacing w:val="2"/>
          <w:w w:val="80"/>
        </w:rPr>
        <w:t xml:space="preserve">、 </w:t>
      </w:r>
      <w:r>
        <w:rPr>
          <w:spacing w:val="17"/>
          <w:w w:val="105"/>
        </w:rPr>
        <w:t>壁槽式或者含壁槽的硐</w:t>
      </w:r>
      <w:r>
        <w:rPr>
          <w:spacing w:val="3"/>
          <w:w w:val="105"/>
        </w:rPr>
        <w:t>室式</w:t>
      </w:r>
      <w:r>
        <w:rPr>
          <w:rFonts w:hint="eastAsia" w:ascii="MS UI Gothic" w:eastAsia="MS UI Gothic"/>
          <w:w w:val="80"/>
        </w:rPr>
        <w:t>ꎮ</w:t>
      </w:r>
    </w:p>
    <w:p>
      <w:pPr>
        <w:pStyle w:val="6"/>
        <w:spacing w:line="295" w:lineRule="auto"/>
        <w:ind w:left="381" w:right="126"/>
        <w:rPr>
          <w:rFonts w:hint="eastAsia" w:ascii="MS UI Gothic" w:eastAsia="MS UI Gothic"/>
        </w:rPr>
      </w:pPr>
      <w:r>
        <w:t>爆炸物品必须贮存在硐室或者壁槽内</w:t>
      </w:r>
      <w:r>
        <w:rPr>
          <w:rFonts w:hint="eastAsia" w:ascii="MS UI Gothic" w:eastAsia="MS UI Gothic"/>
          <w:w w:val="80"/>
        </w:rPr>
        <w:t xml:space="preserve">ꎬ </w:t>
      </w:r>
      <w:r>
        <w:t>硐室之间或者壁槽之间的距离</w:t>
      </w:r>
      <w:r>
        <w:rPr>
          <w:rFonts w:hint="eastAsia" w:ascii="MS UI Gothic" w:eastAsia="MS UI Gothic"/>
          <w:w w:val="80"/>
        </w:rPr>
        <w:t xml:space="preserve">ꎬ </w:t>
      </w:r>
      <w:r>
        <w:t>必须符合爆炸物品安全距离的规定</w:t>
      </w:r>
      <w:r>
        <w:rPr>
          <w:rFonts w:hint="eastAsia" w:ascii="MS UI Gothic" w:eastAsia="MS UI Gothic"/>
          <w:w w:val="80"/>
        </w:rPr>
        <w:t>ꎮ</w:t>
      </w:r>
    </w:p>
    <w:p>
      <w:pPr>
        <w:pStyle w:val="6"/>
        <w:spacing w:line="295" w:lineRule="auto"/>
        <w:ind w:left="381" w:right="126"/>
        <w:rPr>
          <w:rFonts w:hint="eastAsia" w:ascii="MS UI Gothic" w:eastAsia="MS UI Gothic"/>
        </w:rPr>
      </w:pPr>
      <w:r>
        <w:t>井下爆炸物品库应当包括库房</w:t>
      </w:r>
      <w:r>
        <w:rPr>
          <w:rFonts w:hint="eastAsia" w:ascii="MS UI Gothic" w:eastAsia="MS UI Gothic"/>
          <w:w w:val="80"/>
        </w:rPr>
        <w:t xml:space="preserve">、 </w:t>
      </w:r>
      <w:r>
        <w:t>辅助硐室和通向库房的巷道</w:t>
      </w:r>
      <w:r>
        <w:rPr>
          <w:rFonts w:hint="eastAsia" w:ascii="MS UI Gothic" w:eastAsia="MS UI Gothic"/>
          <w:w w:val="80"/>
        </w:rPr>
        <w:t xml:space="preserve">ꎮ </w:t>
      </w:r>
      <w:r>
        <w:t>辅助硐室中</w:t>
      </w:r>
      <w:r>
        <w:rPr>
          <w:rFonts w:hint="eastAsia" w:ascii="MS UI Gothic" w:eastAsia="MS UI Gothic"/>
          <w:w w:val="80"/>
        </w:rPr>
        <w:t xml:space="preserve">ꎬ </w:t>
      </w:r>
      <w:r>
        <w:t>应当有检查电雷管全电阻</w:t>
      </w:r>
      <w:r>
        <w:rPr>
          <w:rFonts w:hint="eastAsia" w:ascii="MS UI Gothic" w:eastAsia="MS UI Gothic"/>
          <w:w w:val="80"/>
        </w:rPr>
        <w:t xml:space="preserve">、 </w:t>
      </w:r>
      <w:r>
        <w:t>发放炸药以及保存爆破工空爆炸物品箱等的专用硐室</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第三百三十二条 井下爆炸物品库的</w:t>
      </w:r>
      <w:r>
        <w:rPr>
          <w:w w:val="110"/>
        </w:rPr>
        <w:t>布置必须符合下列要求</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11"/>
          <w:w w:val="150"/>
        </w:rPr>
        <w:t xml:space="preserve">) </w:t>
      </w:r>
      <w:r>
        <w:rPr>
          <w:spacing w:val="6"/>
          <w:w w:val="105"/>
        </w:rPr>
        <w:t>库房距井筒</w:t>
      </w:r>
      <w:r>
        <w:rPr>
          <w:rFonts w:hint="eastAsia" w:ascii="MS UI Gothic" w:eastAsia="MS UI Gothic"/>
          <w:spacing w:val="2"/>
          <w:w w:val="80"/>
        </w:rPr>
        <w:t xml:space="preserve">、 </w:t>
      </w:r>
      <w:r>
        <w:rPr>
          <w:spacing w:val="10"/>
          <w:w w:val="105"/>
        </w:rPr>
        <w:t>井底车场</w:t>
      </w:r>
      <w:r>
        <w:rPr>
          <w:rFonts w:hint="eastAsia" w:ascii="MS UI Gothic" w:eastAsia="MS UI Gothic"/>
          <w:spacing w:val="2"/>
          <w:w w:val="80"/>
        </w:rPr>
        <w:t xml:space="preserve">、 </w:t>
      </w:r>
      <w:r>
        <w:rPr>
          <w:spacing w:val="6"/>
          <w:w w:val="105"/>
        </w:rPr>
        <w:t>主要</w:t>
      </w:r>
      <w:r>
        <w:rPr>
          <w:spacing w:val="3"/>
          <w:w w:val="105"/>
        </w:rPr>
        <w:t>运输巷道</w:t>
      </w:r>
      <w:r>
        <w:rPr>
          <w:rFonts w:hint="eastAsia" w:ascii="MS UI Gothic" w:eastAsia="MS UI Gothic"/>
          <w:spacing w:val="-2"/>
          <w:w w:val="80"/>
        </w:rPr>
        <w:t xml:space="preserve">、 </w:t>
      </w:r>
      <w:r>
        <w:rPr>
          <w:spacing w:val="2"/>
          <w:w w:val="105"/>
        </w:rPr>
        <w:t>主要硐室以及影响全矿井或者</w:t>
      </w:r>
      <w:r>
        <w:rPr>
          <w:spacing w:val="3"/>
          <w:w w:val="105"/>
        </w:rPr>
        <w:t>一翼通风的风门的法线距离</w:t>
      </w:r>
      <w:r>
        <w:rPr>
          <w:rFonts w:hint="eastAsia" w:ascii="MS UI Gothic" w:eastAsia="MS UI Gothic"/>
          <w:spacing w:val="-41"/>
          <w:w w:val="225"/>
        </w:rPr>
        <w:t xml:space="preserve">: </w:t>
      </w:r>
      <w:r>
        <w:rPr>
          <w:spacing w:val="2"/>
          <w:w w:val="105"/>
        </w:rPr>
        <w:t>硐室式不得</w:t>
      </w:r>
      <w:r>
        <w:rPr>
          <w:spacing w:val="-22"/>
          <w:w w:val="105"/>
        </w:rPr>
        <w:t xml:space="preserve">小于 </w:t>
      </w:r>
      <w:r>
        <w:rPr>
          <w:rFonts w:hint="eastAsia" w:ascii="MS UI Gothic" w:eastAsia="MS UI Gothic"/>
          <w:spacing w:val="2"/>
          <w:w w:val="80"/>
        </w:rPr>
        <w:t xml:space="preserve">１００ </w:t>
      </w:r>
      <w:r>
        <w:rPr>
          <w:rFonts w:hint="eastAsia" w:ascii="MS UI Gothic" w:eastAsia="MS UI Gothic"/>
          <w:spacing w:val="4"/>
          <w:w w:val="80"/>
        </w:rPr>
        <w:t>ｍ</w:t>
      </w:r>
      <w:r>
        <w:rPr>
          <w:rFonts w:hint="eastAsia" w:ascii="MS UI Gothic" w:eastAsia="MS UI Gothic"/>
          <w:spacing w:val="17"/>
          <w:w w:val="80"/>
        </w:rPr>
        <w:t xml:space="preserve">ꎬ </w:t>
      </w:r>
      <w:r>
        <w:rPr>
          <w:spacing w:val="-7"/>
          <w:w w:val="105"/>
        </w:rPr>
        <w:t xml:space="preserve">壁槽式不得小于 </w:t>
      </w:r>
      <w:r>
        <w:rPr>
          <w:rFonts w:hint="eastAsia" w:ascii="MS UI Gothic" w:eastAsia="MS UI Gothic"/>
          <w:spacing w:val="3"/>
          <w:w w:val="80"/>
        </w:rPr>
        <w:t xml:space="preserve">６０ </w:t>
      </w:r>
      <w:r>
        <w:rPr>
          <w:rFonts w:hint="eastAsia" w:ascii="MS UI Gothic" w:eastAsia="MS UI Gothic"/>
          <w:spacing w:val="4"/>
          <w:w w:val="80"/>
        </w:rPr>
        <w:t>ｍ</w:t>
      </w:r>
      <w:r>
        <w:rPr>
          <w:rFonts w:hint="eastAsia" w:ascii="MS UI Gothic" w:eastAsia="MS UI Gothic"/>
          <w:w w:val="80"/>
        </w:rPr>
        <w:t>ꎮ</w:t>
      </w:r>
    </w:p>
    <w:p>
      <w:pPr>
        <w:pStyle w:val="6"/>
        <w:spacing w:line="295" w:lineRule="auto"/>
        <w:ind w:left="375" w:right="124" w:firstLine="425"/>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库房距行人巷道的法线距离</w:t>
      </w:r>
      <w:r>
        <w:rPr>
          <w:rFonts w:hint="eastAsia" w:ascii="MS UI Gothic" w:eastAsia="MS UI Gothic"/>
          <w:w w:val="230"/>
        </w:rPr>
        <w:t xml:space="preserve">: </w:t>
      </w:r>
      <w:r>
        <w:rPr>
          <w:w w:val="105"/>
        </w:rPr>
        <w:t xml:space="preserve">硐室式不得小于 </w:t>
      </w:r>
      <w:r>
        <w:rPr>
          <w:rFonts w:hint="eastAsia" w:ascii="MS UI Gothic" w:eastAsia="MS UI Gothic"/>
          <w:w w:val="80"/>
        </w:rPr>
        <w:t xml:space="preserve">３５ ｍꎬ </w:t>
      </w:r>
      <w:r>
        <w:rPr>
          <w:w w:val="105"/>
        </w:rPr>
        <w:t>壁槽式不得小于</w:t>
      </w:r>
      <w:r>
        <w:rPr>
          <w:rFonts w:hint="eastAsia" w:ascii="MS UI Gothic" w:eastAsia="MS UI Gothic"/>
          <w:w w:val="80"/>
        </w:rPr>
        <w:t>２０ ｍꎮ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库房距地面或者上下巷道的法线距离</w:t>
      </w:r>
      <w:r>
        <w:rPr>
          <w:rFonts w:hint="eastAsia" w:ascii="MS UI Gothic" w:eastAsia="MS UI Gothic"/>
          <w:w w:val="230"/>
        </w:rPr>
        <w:t xml:space="preserve">: </w:t>
      </w:r>
      <w:r>
        <w:rPr>
          <w:w w:val="105"/>
        </w:rPr>
        <w:t xml:space="preserve">硐室式不得小于 </w:t>
      </w:r>
      <w:r>
        <w:rPr>
          <w:rFonts w:hint="eastAsia" w:ascii="MS UI Gothic" w:eastAsia="MS UI Gothic"/>
          <w:w w:val="80"/>
        </w:rPr>
        <w:t xml:space="preserve">３０ ｍꎬ </w:t>
      </w:r>
      <w:r>
        <w:rPr>
          <w:w w:val="105"/>
        </w:rPr>
        <w:t xml:space="preserve">壁槽式不得小于 </w:t>
      </w:r>
      <w:r>
        <w:rPr>
          <w:rFonts w:hint="eastAsia" w:ascii="MS UI Gothic" w:eastAsia="MS UI Gothic"/>
          <w:w w:val="80"/>
        </w:rPr>
        <w:t>１５ ｍꎮ</w:t>
      </w:r>
    </w:p>
    <w:p>
      <w:pPr>
        <w:pStyle w:val="6"/>
        <w:spacing w:line="292" w:lineRule="auto"/>
        <w:ind w:left="375" w:right="126" w:firstLine="425"/>
        <w:jc w:val="right"/>
      </w:pPr>
      <w:r>
        <w:pict>
          <v:shape id="_x0000_s1888" o:spid="_x0000_s1888" o:spt="202" type="#_x0000_t202" style="position:absolute;left:0pt;margin-left:280.35pt;margin-top:12pt;height:24.35pt;width:5.15pt;mso-position-horizontal-relative:page;z-index:-27575808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３</w:t>
                  </w:r>
                </w:p>
              </w:txbxContent>
            </v:textbox>
          </v:shape>
        </w:pict>
      </w:r>
      <w:r>
        <w:rPr>
          <w:rFonts w:hint="eastAsia" w:ascii="MS UI Gothic" w:eastAsia="MS UI Gothic"/>
          <w:w w:val="145"/>
        </w:rPr>
        <w:t xml:space="preserve">( </w:t>
      </w:r>
      <w:r>
        <w:t>四</w:t>
      </w:r>
      <w:r>
        <w:rPr>
          <w:rFonts w:hint="eastAsia" w:ascii="MS UI Gothic" w:eastAsia="MS UI Gothic"/>
          <w:w w:val="145"/>
        </w:rPr>
        <w:t xml:space="preserve">) </w:t>
      </w:r>
      <w:r>
        <w:t>库房与外部巷道之间</w:t>
      </w:r>
      <w:r>
        <w:rPr>
          <w:rFonts w:hint="eastAsia" w:ascii="MS UI Gothic" w:eastAsia="MS UI Gothic"/>
          <w:w w:val="80"/>
        </w:rPr>
        <w:t xml:space="preserve">ꎬ </w:t>
      </w:r>
      <w:r>
        <w:t>必须用条相互垂直的连通巷道相连</w:t>
      </w:r>
      <w:r>
        <w:rPr>
          <w:rFonts w:hint="eastAsia" w:ascii="MS UI Gothic" w:eastAsia="MS UI Gothic"/>
          <w:w w:val="80"/>
        </w:rPr>
        <w:t xml:space="preserve">ꎮ </w:t>
      </w:r>
      <w:r>
        <w:t xml:space="preserve">连通巷道的相交处必须延长 </w:t>
      </w:r>
      <w:r>
        <w:rPr>
          <w:rFonts w:hint="eastAsia" w:ascii="MS UI Gothic" w:eastAsia="MS UI Gothic"/>
          <w:w w:val="80"/>
        </w:rPr>
        <w:t xml:space="preserve">２ ｍꎬ </w:t>
      </w:r>
      <w:r>
        <w:t>断面积不得小于</w:t>
      </w:r>
      <w:r>
        <w:rPr>
          <w:w w:val="102"/>
        </w:rPr>
        <w:t xml:space="preserve"> </w:t>
      </w:r>
      <w:r>
        <w:rPr>
          <w:rFonts w:hint="eastAsia" w:ascii="MS UI Gothic" w:eastAsia="MS UI Gothic"/>
          <w:w w:val="80"/>
        </w:rPr>
        <w:t>４ ｍ</w:t>
      </w:r>
      <w:r>
        <w:rPr>
          <w:rFonts w:hint="eastAsia" w:ascii="MS UI Gothic" w:eastAsia="MS UI Gothic"/>
          <w:w w:val="80"/>
          <w:position w:val="9"/>
          <w:sz w:val="12"/>
        </w:rPr>
        <w:t xml:space="preserve">２ </w:t>
      </w:r>
      <w:r>
        <w:rPr>
          <w:rFonts w:hint="eastAsia" w:ascii="MS UI Gothic" w:eastAsia="MS UI Gothic"/>
          <w:w w:val="80"/>
        </w:rPr>
        <w:t xml:space="preserve">ꎬ </w:t>
      </w:r>
      <w:r>
        <w:t>在连通巷道尽头还必须设置缓冲砂箱隔墙</w:t>
      </w:r>
      <w:r>
        <w:rPr>
          <w:rFonts w:hint="eastAsia" w:ascii="MS UI Gothic" w:eastAsia="MS UI Gothic"/>
          <w:w w:val="80"/>
        </w:rPr>
        <w:t xml:space="preserve">ꎬ </w:t>
      </w:r>
      <w:r>
        <w:t>不得将连通巷道的延长段兼作辅助硐室使用</w:t>
      </w:r>
      <w:r>
        <w:rPr>
          <w:rFonts w:hint="eastAsia" w:ascii="MS UI Gothic" w:eastAsia="MS UI Gothic"/>
          <w:w w:val="80"/>
        </w:rPr>
        <w:t xml:space="preserve">ꎮ </w:t>
      </w:r>
      <w:r>
        <w:t>库房两端的通道与库房连接</w:t>
      </w:r>
    </w:p>
    <w:p>
      <w:pPr>
        <w:pStyle w:val="6"/>
        <w:ind w:left="381" w:firstLine="0"/>
        <w:jc w:val="left"/>
        <w:rPr>
          <w:rFonts w:hint="eastAsia" w:ascii="MS UI Gothic" w:eastAsia="MS UI Gothic"/>
        </w:rPr>
      </w:pPr>
      <w:r>
        <w:t>处必须设置齿形阻波墙</w:t>
      </w:r>
      <w:r>
        <w:rPr>
          <w:rFonts w:hint="eastAsia" w:ascii="MS UI Gothic" w:eastAsia="MS UI Gothic"/>
          <w:w w:val="80"/>
        </w:rPr>
        <w:t>ꎮ</w:t>
      </w:r>
    </w:p>
    <w:p>
      <w:pPr>
        <w:pStyle w:val="6"/>
        <w:spacing w:before="38" w:line="295" w:lineRule="auto"/>
        <w:ind w:left="381" w:right="124"/>
      </w:pPr>
      <w:r>
        <w:rPr>
          <w:rFonts w:hint="eastAsia" w:ascii="MS UI Gothic" w:eastAsia="MS UI Gothic"/>
          <w:spacing w:val="-37"/>
          <w:w w:val="150"/>
        </w:rPr>
        <w:t xml:space="preserve">( </w:t>
      </w:r>
      <w:r>
        <w:rPr>
          <w:spacing w:val="3"/>
          <w:w w:val="105"/>
        </w:rPr>
        <w:t>五</w:t>
      </w:r>
      <w:r>
        <w:rPr>
          <w:rFonts w:hint="eastAsia" w:ascii="MS UI Gothic" w:eastAsia="MS UI Gothic"/>
          <w:spacing w:val="9"/>
          <w:w w:val="150"/>
        </w:rPr>
        <w:t xml:space="preserve">) </w:t>
      </w:r>
      <w:r>
        <w:rPr>
          <w:spacing w:val="-1"/>
          <w:w w:val="105"/>
        </w:rPr>
        <w:t xml:space="preserve">每个爆炸物品库房必须有 </w:t>
      </w:r>
      <w:r>
        <w:rPr>
          <w:rFonts w:hint="eastAsia" w:ascii="MS UI Gothic" w:eastAsia="MS UI Gothic"/>
          <w:spacing w:val="5"/>
          <w:w w:val="80"/>
        </w:rPr>
        <w:t xml:space="preserve">２ </w:t>
      </w:r>
      <w:r>
        <w:rPr>
          <w:w w:val="105"/>
        </w:rPr>
        <w:t>个</w:t>
      </w:r>
      <w:r>
        <w:rPr>
          <w:spacing w:val="3"/>
        </w:rPr>
        <w:t>出口</w:t>
      </w:r>
      <w:r>
        <w:rPr>
          <w:rFonts w:hint="eastAsia" w:ascii="MS UI Gothic" w:eastAsia="MS UI Gothic"/>
          <w:spacing w:val="19"/>
          <w:w w:val="80"/>
        </w:rPr>
        <w:t xml:space="preserve">ꎬ </w:t>
      </w:r>
      <w:r>
        <w:rPr>
          <w:spacing w:val="7"/>
        </w:rPr>
        <w:t>一个出口供发放爆炸物品及行人</w:t>
      </w:r>
      <w:r>
        <w:rPr>
          <w:rFonts w:hint="eastAsia" w:ascii="MS UI Gothic" w:eastAsia="MS UI Gothic"/>
          <w:w w:val="80"/>
        </w:rPr>
        <w:t>ꎬ</w:t>
      </w:r>
      <w:r>
        <w:rPr>
          <w:spacing w:val="2"/>
        </w:rPr>
        <w:t>出口的一端必须装有能自动关闭的抗冲击</w:t>
      </w:r>
      <w:r>
        <w:rPr>
          <w:spacing w:val="3"/>
        </w:rPr>
        <w:t>波活门</w:t>
      </w:r>
      <w:r>
        <w:rPr>
          <w:rFonts w:hint="eastAsia" w:ascii="MS UI Gothic" w:eastAsia="MS UI Gothic"/>
          <w:spacing w:val="19"/>
          <w:w w:val="80"/>
        </w:rPr>
        <w:t xml:space="preserve">ꎻ </w:t>
      </w:r>
      <w:r>
        <w:rPr>
          <w:spacing w:val="2"/>
        </w:rPr>
        <w:t>另一出口布置在爆炸物品库回风</w:t>
      </w:r>
      <w:r>
        <w:rPr>
          <w:spacing w:val="3"/>
        </w:rPr>
        <w:t>侧</w:t>
      </w:r>
      <w:r>
        <w:rPr>
          <w:rFonts w:hint="eastAsia" w:ascii="MS UI Gothic" w:eastAsia="MS UI Gothic"/>
          <w:spacing w:val="23"/>
          <w:w w:val="80"/>
        </w:rPr>
        <w:t xml:space="preserve">ꎬ </w:t>
      </w:r>
      <w:r>
        <w:rPr>
          <w:spacing w:val="3"/>
        </w:rPr>
        <w:t>可以铺设轨道运送爆炸物品</w:t>
      </w:r>
      <w:r>
        <w:rPr>
          <w:rFonts w:hint="eastAsia" w:ascii="MS UI Gothic" w:eastAsia="MS UI Gothic"/>
          <w:spacing w:val="23"/>
          <w:w w:val="80"/>
        </w:rPr>
        <w:t xml:space="preserve">ꎬ </w:t>
      </w:r>
      <w:r>
        <w:rPr>
          <w:spacing w:val="2"/>
        </w:rPr>
        <w:t>该出口</w:t>
      </w:r>
      <w:r>
        <w:rPr>
          <w:spacing w:val="-7"/>
          <w:w w:val="105"/>
        </w:rPr>
        <w:t xml:space="preserve">与库房连接处必须装有 </w:t>
      </w:r>
      <w:r>
        <w:rPr>
          <w:rFonts w:hint="eastAsia" w:ascii="MS UI Gothic" w:eastAsia="MS UI Gothic"/>
          <w:spacing w:val="-12"/>
          <w:w w:val="80"/>
        </w:rPr>
        <w:t xml:space="preserve">２ </w:t>
      </w:r>
      <w:r>
        <w:rPr>
          <w:spacing w:val="2"/>
          <w:w w:val="105"/>
        </w:rPr>
        <w:t>道常闭的抗冲击</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889" o:spid="_x0000_s1889" style="position:absolute;left:0pt;margin-left:0pt;margin-top:700.1pt;height:1.75pt;width:398.25pt;mso-position-horizontal-relative:page;z-index:252006400;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２８６</w:t>
      </w:r>
    </w:p>
    <w:p>
      <w:pPr>
        <w:pStyle w:val="6"/>
        <w:spacing w:before="297" w:line="240" w:lineRule="exact"/>
        <w:ind w:firstLine="0"/>
        <w:jc w:val="left"/>
        <w:rPr>
          <w:rFonts w:hint="eastAsia" w:ascii="MS UI Gothic" w:eastAsia="MS UI Gothic"/>
        </w:rPr>
      </w:pPr>
      <w:r>
        <w:rPr>
          <w:w w:val="95"/>
        </w:rPr>
        <w:t>波密闭门</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06" w:right="2423" w:firstLine="0"/>
        <w:jc w:val="center"/>
        <w:rPr>
          <w:rFonts w:hint="eastAsia" w:ascii="MS UI Gothic" w:eastAsia="MS UI Gothic"/>
        </w:rPr>
      </w:pPr>
      <w:r>
        <w:t>闭的抗冲击波活门</w:t>
      </w:r>
      <w:r>
        <w:rPr>
          <w:rFonts w:hint="eastAsia" w:ascii="MS UI Gothic" w:eastAsia="MS UI Gothic"/>
          <w:w w:val="80"/>
        </w:rPr>
        <w:t>ꎮ</w:t>
      </w:r>
    </w:p>
    <w:p>
      <w:pPr>
        <w:spacing w:after="0" w:line="240" w:lineRule="exact"/>
        <w:jc w:val="center"/>
        <w:rPr>
          <w:rFonts w:hint="eastAsia" w:ascii="MS UI Gothic" w:eastAsia="MS UI Gothic"/>
        </w:rPr>
        <w:sectPr>
          <w:pgSz w:w="10500" w:h="14750"/>
          <w:pgMar w:top="960" w:right="980" w:bottom="280" w:left="980" w:header="720" w:footer="720" w:gutter="0"/>
          <w:cols w:equalWidth="0" w:num="2">
            <w:col w:w="1106" w:space="1195"/>
            <w:col w:w="6239"/>
          </w:cols>
        </w:sectPr>
      </w:pPr>
    </w:p>
    <w:p>
      <w:pPr>
        <w:pStyle w:val="6"/>
        <w:spacing w:before="74"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库房地面必须高于外部巷道的地面</w:t>
      </w:r>
      <w:r>
        <w:rPr>
          <w:rFonts w:hint="eastAsia" w:ascii="MS UI Gothic" w:eastAsia="MS UI Gothic"/>
          <w:w w:val="80"/>
        </w:rPr>
        <w:t xml:space="preserve">ꎬ </w:t>
      </w:r>
      <w:r>
        <w:rPr>
          <w:w w:val="105"/>
        </w:rPr>
        <w:t>库房和通道应当设置水沟</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贮存爆炸物品的各硐室</w:t>
      </w:r>
      <w:r>
        <w:rPr>
          <w:rFonts w:hint="eastAsia" w:ascii="MS UI Gothic" w:eastAsia="MS UI Gothic"/>
          <w:w w:val="80"/>
        </w:rPr>
        <w:t xml:space="preserve">、  </w:t>
      </w:r>
      <w:r>
        <w:rPr>
          <w:w w:val="105"/>
        </w:rPr>
        <w:t>壁槽的间距应当大于殉爆安全距离</w:t>
      </w:r>
      <w:r>
        <w:rPr>
          <w:rFonts w:hint="eastAsia" w:ascii="MS UI Gothic" w:eastAsia="MS UI Gothic"/>
          <w:w w:val="80"/>
        </w:rPr>
        <w:t>ꎮ</w:t>
      </w:r>
    </w:p>
    <w:p>
      <w:pPr>
        <w:pStyle w:val="6"/>
        <w:tabs>
          <w:tab w:val="left" w:pos="1795"/>
          <w:tab w:val="left" w:pos="2220"/>
        </w:tabs>
        <w:spacing w:line="295" w:lineRule="auto"/>
        <w:ind w:left="118" w:right="38" w:firstLine="425"/>
        <w:jc w:val="right"/>
      </w:pPr>
      <w:r>
        <w:rPr>
          <w:spacing w:val="3"/>
        </w:rPr>
        <w:t>第三百三十三</w:t>
      </w:r>
      <w:r>
        <w:t>条</w:t>
      </w:r>
      <w:r>
        <w:tab/>
      </w:r>
      <w:r>
        <w:rPr>
          <w:spacing w:val="3"/>
        </w:rPr>
        <w:t>井下爆炸物品库</w:t>
      </w:r>
      <w:r>
        <w:t>必</w:t>
      </w:r>
      <w:r>
        <w:rPr>
          <w:spacing w:val="3"/>
        </w:rPr>
        <w:t>须采</w:t>
      </w:r>
      <w:r>
        <w:rPr>
          <w:spacing w:val="13"/>
        </w:rPr>
        <w:t>用</w:t>
      </w:r>
      <w:r>
        <w:rPr>
          <w:spacing w:val="17"/>
        </w:rPr>
        <w:t>砌</w:t>
      </w:r>
      <w:r>
        <w:rPr>
          <w:spacing w:val="19"/>
        </w:rPr>
        <w:t>碹或者用非金属不燃性材料</w:t>
      </w:r>
      <w:r>
        <w:t>支</w:t>
      </w:r>
      <w:r>
        <w:rPr>
          <w:spacing w:val="3"/>
        </w:rPr>
        <w:t>护</w:t>
      </w:r>
      <w:r>
        <w:rPr>
          <w:rFonts w:hint="eastAsia" w:ascii="MS UI Gothic" w:eastAsia="MS UI Gothic"/>
          <w:w w:val="80"/>
        </w:rPr>
        <w:t>ꎬ</w:t>
      </w:r>
      <w:r>
        <w:rPr>
          <w:rFonts w:hint="eastAsia" w:ascii="MS UI Gothic" w:eastAsia="MS UI Gothic"/>
          <w:spacing w:val="28"/>
          <w:w w:val="80"/>
        </w:rPr>
        <w:t xml:space="preserve"> </w:t>
      </w:r>
      <w:r>
        <w:rPr>
          <w:spacing w:val="3"/>
        </w:rPr>
        <w:t>不得渗漏水</w:t>
      </w:r>
      <w:r>
        <w:rPr>
          <w:rFonts w:hint="eastAsia" w:ascii="MS UI Gothic" w:eastAsia="MS UI Gothic"/>
          <w:w w:val="80"/>
        </w:rPr>
        <w:t>ꎬ</w:t>
      </w:r>
      <w:r>
        <w:rPr>
          <w:rFonts w:hint="eastAsia" w:ascii="MS UI Gothic" w:eastAsia="MS UI Gothic"/>
          <w:spacing w:val="29"/>
          <w:w w:val="80"/>
        </w:rPr>
        <w:t xml:space="preserve"> </w:t>
      </w:r>
      <w:r>
        <w:rPr>
          <w:spacing w:val="3"/>
        </w:rPr>
        <w:t>并采取防潮措施</w:t>
      </w:r>
      <w:r>
        <w:rPr>
          <w:rFonts w:hint="eastAsia" w:ascii="MS UI Gothic" w:eastAsia="MS UI Gothic"/>
          <w:w w:val="80"/>
        </w:rPr>
        <w:t>ꎮ</w:t>
      </w:r>
      <w:r>
        <w:rPr>
          <w:rFonts w:hint="eastAsia" w:ascii="MS UI Gothic" w:eastAsia="MS UI Gothic"/>
          <w:spacing w:val="28"/>
          <w:w w:val="80"/>
        </w:rPr>
        <w:t xml:space="preserve"> </w:t>
      </w:r>
      <w:r>
        <w:rPr>
          <w:spacing w:val="3"/>
        </w:rPr>
        <w:t>爆</w:t>
      </w:r>
      <w:r>
        <w:t>炸</w:t>
      </w:r>
      <w:r>
        <w:rPr>
          <w:spacing w:val="3"/>
        </w:rPr>
        <w:t>物品库出口两侧的巷道</w:t>
      </w:r>
      <w:r>
        <w:rPr>
          <w:rFonts w:hint="eastAsia" w:ascii="MS UI Gothic" w:eastAsia="MS UI Gothic"/>
          <w:w w:val="80"/>
        </w:rPr>
        <w:t>ꎬ</w:t>
      </w:r>
      <w:r>
        <w:rPr>
          <w:rFonts w:hint="eastAsia" w:ascii="MS UI Gothic" w:eastAsia="MS UI Gothic"/>
          <w:spacing w:val="48"/>
          <w:w w:val="80"/>
        </w:rPr>
        <w:t xml:space="preserve"> </w:t>
      </w:r>
      <w:r>
        <w:rPr>
          <w:spacing w:val="3"/>
        </w:rPr>
        <w:t>必须采用砌碹</w:t>
      </w:r>
      <w:r>
        <w:t>或</w:t>
      </w:r>
      <w:r>
        <w:rPr>
          <w:spacing w:val="3"/>
        </w:rPr>
        <w:t>者用不燃性材料支护</w:t>
      </w:r>
      <w:r>
        <w:rPr>
          <w:rFonts w:hint="eastAsia" w:ascii="MS UI Gothic" w:eastAsia="MS UI Gothic"/>
          <w:w w:val="80"/>
        </w:rPr>
        <w:t>ꎬ</w:t>
      </w:r>
      <w:r>
        <w:rPr>
          <w:rFonts w:hint="eastAsia" w:ascii="MS UI Gothic" w:eastAsia="MS UI Gothic"/>
          <w:spacing w:val="48"/>
          <w:w w:val="80"/>
        </w:rPr>
        <w:t xml:space="preserve"> </w:t>
      </w:r>
      <w:r>
        <w:rPr>
          <w:spacing w:val="3"/>
        </w:rPr>
        <w:t>支护长度不得小</w:t>
      </w:r>
      <w:r>
        <w:t>于</w:t>
      </w:r>
      <w:r>
        <w:rPr>
          <w:w w:val="102"/>
        </w:rPr>
        <w:t xml:space="preserve"> </w:t>
      </w:r>
      <w:r>
        <w:rPr>
          <w:rFonts w:hint="eastAsia" w:ascii="MS UI Gothic" w:eastAsia="MS UI Gothic"/>
          <w:w w:val="80"/>
        </w:rPr>
        <w:t>５</w:t>
      </w:r>
      <w:r>
        <w:rPr>
          <w:rFonts w:hint="eastAsia" w:ascii="MS UI Gothic" w:eastAsia="MS UI Gothic"/>
          <w:spacing w:val="1"/>
          <w:w w:val="80"/>
        </w:rPr>
        <w:t xml:space="preserve"> </w:t>
      </w:r>
      <w:r>
        <w:rPr>
          <w:rFonts w:hint="eastAsia" w:ascii="MS UI Gothic" w:eastAsia="MS UI Gothic"/>
          <w:spacing w:val="4"/>
          <w:w w:val="80"/>
        </w:rPr>
        <w:t>ｍ</w:t>
      </w:r>
      <w:r>
        <w:rPr>
          <w:rFonts w:hint="eastAsia" w:ascii="MS UI Gothic" w:eastAsia="MS UI Gothic"/>
          <w:w w:val="80"/>
        </w:rPr>
        <w:t>ꎮ</w:t>
      </w:r>
      <w:r>
        <w:rPr>
          <w:rFonts w:hint="eastAsia" w:ascii="MS UI Gothic" w:eastAsia="MS UI Gothic"/>
          <w:spacing w:val="34"/>
          <w:w w:val="80"/>
        </w:rPr>
        <w:t xml:space="preserve"> </w:t>
      </w:r>
      <w:r>
        <w:rPr>
          <w:spacing w:val="3"/>
        </w:rPr>
        <w:t>库房必须备有足够数量的消防器材</w:t>
      </w:r>
      <w:r>
        <w:rPr>
          <w:rFonts w:hint="eastAsia" w:ascii="MS UI Gothic" w:eastAsia="MS UI Gothic"/>
          <w:w w:val="80"/>
        </w:rPr>
        <w:t>ꎮ</w:t>
      </w:r>
      <w:r>
        <w:rPr>
          <w:spacing w:val="3"/>
        </w:rPr>
        <w:t>第三百三十四</w:t>
      </w:r>
      <w:r>
        <w:t>条</w:t>
      </w:r>
      <w:r>
        <w:tab/>
      </w:r>
      <w:r>
        <w:rPr>
          <w:spacing w:val="3"/>
        </w:rPr>
        <w:t>井下爆炸物品库</w:t>
      </w:r>
      <w:r>
        <w:t>的</w:t>
      </w:r>
    </w:p>
    <w:p>
      <w:pPr>
        <w:pStyle w:val="6"/>
        <w:spacing w:line="295" w:lineRule="auto"/>
        <w:ind w:right="39" w:firstLine="0"/>
        <w:jc w:val="left"/>
        <w:rPr>
          <w:rFonts w:hint="eastAsia" w:ascii="MS UI Gothic" w:eastAsia="MS UI Gothic"/>
        </w:rPr>
      </w:pPr>
      <w:r>
        <w:t>最大贮存量</w:t>
      </w:r>
      <w:r>
        <w:rPr>
          <w:rFonts w:hint="eastAsia" w:ascii="MS UI Gothic" w:eastAsia="MS UI Gothic"/>
          <w:w w:val="85"/>
        </w:rPr>
        <w:t xml:space="preserve">ꎬ </w:t>
      </w:r>
      <w:r>
        <w:t xml:space="preserve">不得超过矿井 </w:t>
      </w:r>
      <w:r>
        <w:rPr>
          <w:rFonts w:hint="eastAsia" w:ascii="MS UI Gothic" w:eastAsia="MS UI Gothic"/>
          <w:w w:val="85"/>
        </w:rPr>
        <w:t xml:space="preserve">３ </w:t>
      </w:r>
      <w:r>
        <w:t xml:space="preserve">天的炸药需要量和 </w:t>
      </w:r>
      <w:r>
        <w:rPr>
          <w:rFonts w:hint="eastAsia" w:ascii="MS UI Gothic" w:eastAsia="MS UI Gothic"/>
          <w:w w:val="85"/>
        </w:rPr>
        <w:t xml:space="preserve">１０ </w:t>
      </w:r>
      <w:r>
        <w:t>天的电雷管需要量</w:t>
      </w:r>
      <w:r>
        <w:rPr>
          <w:rFonts w:hint="eastAsia" w:ascii="MS UI Gothic" w:eastAsia="MS UI Gothic"/>
          <w:w w:val="85"/>
        </w:rPr>
        <w:t>ꎮ</w:t>
      </w:r>
    </w:p>
    <w:p>
      <w:pPr>
        <w:pStyle w:val="6"/>
        <w:spacing w:line="295" w:lineRule="auto"/>
        <w:ind w:right="39"/>
        <w:jc w:val="left"/>
        <w:rPr>
          <w:rFonts w:hint="eastAsia" w:ascii="MS UI Gothic" w:eastAsia="MS UI Gothic"/>
        </w:rPr>
      </w:pPr>
      <w:r>
        <w:t>井下爆炸物品库的炸药和电雷管必须</w:t>
      </w:r>
      <w:r>
        <w:rPr>
          <w:w w:val="105"/>
        </w:rPr>
        <w:t>分开贮存</w:t>
      </w:r>
      <w:r>
        <w:rPr>
          <w:rFonts w:hint="eastAsia" w:ascii="MS UI Gothic" w:eastAsia="MS UI Gothic"/>
          <w:w w:val="80"/>
        </w:rPr>
        <w:t>ꎮ</w:t>
      </w:r>
    </w:p>
    <w:p>
      <w:pPr>
        <w:pStyle w:val="6"/>
        <w:spacing w:line="295" w:lineRule="auto"/>
        <w:ind w:right="38"/>
        <w:rPr>
          <w:rFonts w:hint="eastAsia" w:ascii="MS UI Gothic" w:eastAsia="MS UI Gothic"/>
        </w:rPr>
      </w:pPr>
      <w:r>
        <w:rPr>
          <w:w w:val="95"/>
        </w:rPr>
        <w:t xml:space="preserve">每个硐室贮存的炸药量不得超过 </w:t>
      </w:r>
      <w:r>
        <w:rPr>
          <w:rFonts w:hint="eastAsia" w:ascii="MS UI Gothic" w:eastAsia="MS UI Gothic"/>
          <w:w w:val="95"/>
        </w:rPr>
        <w:t>２ ｔ</w:t>
      </w:r>
      <w:r>
        <w:rPr>
          <w:rFonts w:hint="eastAsia" w:ascii="MS UI Gothic" w:eastAsia="MS UI Gothic"/>
          <w:w w:val="90"/>
        </w:rPr>
        <w:t>ꎬ</w:t>
      </w:r>
      <w:r>
        <w:rPr>
          <w:w w:val="95"/>
        </w:rPr>
        <w:t xml:space="preserve">电雷管不得超过 </w:t>
      </w:r>
      <w:r>
        <w:rPr>
          <w:rFonts w:hint="eastAsia" w:ascii="MS UI Gothic" w:eastAsia="MS UI Gothic"/>
          <w:w w:val="95"/>
        </w:rPr>
        <w:t xml:space="preserve">１０ </w:t>
      </w:r>
      <w:r>
        <w:rPr>
          <w:w w:val="95"/>
        </w:rPr>
        <w:t>天的需要量</w:t>
      </w:r>
      <w:r>
        <w:rPr>
          <w:rFonts w:hint="eastAsia" w:ascii="MS UI Gothic" w:eastAsia="MS UI Gothic"/>
          <w:w w:val="90"/>
        </w:rPr>
        <w:t xml:space="preserve">ꎻ </w:t>
      </w:r>
      <w:r>
        <w:rPr>
          <w:w w:val="95"/>
        </w:rPr>
        <w:t xml:space="preserve">每个壁槽贮存的炸药量不得超过 </w:t>
      </w:r>
      <w:r>
        <w:rPr>
          <w:rFonts w:hint="eastAsia" w:ascii="MS UI Gothic" w:eastAsia="MS UI Gothic"/>
          <w:w w:val="95"/>
        </w:rPr>
        <w:t>４００ ｋｇ</w:t>
      </w:r>
      <w:r>
        <w:rPr>
          <w:rFonts w:hint="eastAsia" w:ascii="MS UI Gothic" w:eastAsia="MS UI Gothic"/>
          <w:w w:val="90"/>
        </w:rPr>
        <w:t xml:space="preserve">ꎬ </w:t>
      </w:r>
      <w:r>
        <w:rPr>
          <w:w w:val="95"/>
        </w:rPr>
        <w:t xml:space="preserve">电雷管不得超过 </w:t>
      </w:r>
      <w:r>
        <w:rPr>
          <w:rFonts w:hint="eastAsia" w:ascii="MS UI Gothic" w:eastAsia="MS UI Gothic"/>
          <w:w w:val="95"/>
        </w:rPr>
        <w:t xml:space="preserve">２ </w:t>
      </w:r>
      <w:r>
        <w:rPr>
          <w:w w:val="95"/>
        </w:rPr>
        <w:t>天的需要量</w:t>
      </w:r>
      <w:r>
        <w:rPr>
          <w:rFonts w:hint="eastAsia" w:ascii="MS UI Gothic" w:eastAsia="MS UI Gothic"/>
          <w:w w:val="90"/>
        </w:rPr>
        <w:t>ꎮ</w:t>
      </w:r>
    </w:p>
    <w:p>
      <w:pPr>
        <w:pStyle w:val="6"/>
        <w:spacing w:line="295" w:lineRule="auto"/>
        <w:ind w:left="118" w:right="39" w:firstLine="425"/>
        <w:rPr>
          <w:rFonts w:hint="eastAsia" w:ascii="MS UI Gothic" w:eastAsia="MS UI Gothic"/>
        </w:rPr>
      </w:pPr>
      <w:r>
        <w:t>库房的发放爆炸物品硐室允许存放当班待发的炸药</w:t>
      </w:r>
      <w:r>
        <w:rPr>
          <w:rFonts w:hint="eastAsia" w:ascii="MS UI Gothic" w:eastAsia="MS UI Gothic"/>
          <w:w w:val="80"/>
        </w:rPr>
        <w:t xml:space="preserve">ꎬ  </w:t>
      </w:r>
      <w:r>
        <w:t>最大存放量不得超过</w:t>
      </w:r>
      <w:r>
        <w:rPr>
          <w:rFonts w:hint="eastAsia" w:ascii="MS UI Gothic" w:eastAsia="MS UI Gothic"/>
          <w:w w:val="80"/>
        </w:rPr>
        <w:t xml:space="preserve">３ </w:t>
      </w:r>
      <w:r>
        <w:t>箱</w:t>
      </w:r>
      <w:r>
        <w:rPr>
          <w:rFonts w:hint="eastAsia" w:ascii="MS UI Gothic" w:eastAsia="MS UI Gothic"/>
          <w:w w:val="80"/>
        </w:rPr>
        <w:t>ꎮ</w:t>
      </w:r>
    </w:p>
    <w:p>
      <w:pPr>
        <w:pStyle w:val="6"/>
        <w:spacing w:line="295" w:lineRule="auto"/>
        <w:ind w:left="118" w:right="38" w:firstLine="425"/>
        <w:rPr>
          <w:rFonts w:hint="eastAsia" w:ascii="MS UI Gothic" w:eastAsia="MS UI Gothic"/>
        </w:rPr>
      </w:pPr>
      <w:r>
        <w:t>第三百三十五条 在多水平生产的矿井</w:t>
      </w:r>
      <w:r>
        <w:rPr>
          <w:rFonts w:hint="eastAsia" w:ascii="MS UI Gothic" w:eastAsia="MS UI Gothic"/>
        </w:rPr>
        <w:t xml:space="preserve">、 </w:t>
      </w:r>
      <w:r>
        <w:t>井下爆炸物品库距爆破工作地点超过</w:t>
      </w:r>
      <w:r>
        <w:rPr>
          <w:rFonts w:hint="eastAsia" w:ascii="MS UI Gothic" w:eastAsia="MS UI Gothic"/>
        </w:rPr>
        <w:t xml:space="preserve">２ ５ ｋｍ </w:t>
      </w:r>
      <w:r>
        <w:t>的矿井以及井下不设置爆炸物品库的矿井内</w:t>
      </w:r>
      <w:r>
        <w:rPr>
          <w:rFonts w:hint="eastAsia" w:ascii="MS UI Gothic" w:eastAsia="MS UI Gothic"/>
          <w:w w:val="80"/>
        </w:rPr>
        <w:t xml:space="preserve">ꎬ </w:t>
      </w:r>
      <w:r>
        <w:t>可以设爆炸物品发放硐室</w:t>
      </w:r>
      <w:r>
        <w:rPr>
          <w:rFonts w:hint="eastAsia" w:ascii="MS UI Gothic" w:eastAsia="MS UI Gothic"/>
          <w:w w:val="80"/>
        </w:rPr>
        <w:t>ꎬ</w:t>
      </w:r>
      <w:r>
        <w:t>并必须遵守下列规定</w:t>
      </w:r>
      <w:r>
        <w:rPr>
          <w:rFonts w:hint="eastAsia" w:ascii="MS UI Gothic" w:eastAsia="MS UI Gothic"/>
          <w:w w:val="230"/>
        </w:rPr>
        <w:t>:</w:t>
      </w:r>
    </w:p>
    <w:p>
      <w:pPr>
        <w:pStyle w:val="6"/>
        <w:spacing w:line="295" w:lineRule="auto"/>
        <w:ind w:right="39"/>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发放硐室必须设在独立通风的专用巷道内</w:t>
      </w:r>
      <w:r>
        <w:rPr>
          <w:rFonts w:hint="eastAsia" w:ascii="MS UI Gothic" w:eastAsia="MS UI Gothic"/>
          <w:w w:val="80"/>
        </w:rPr>
        <w:t xml:space="preserve">ꎬ </w:t>
      </w:r>
      <w:r>
        <w:t xml:space="preserve">距使用的巷道法线距离不得小于 </w:t>
      </w:r>
      <w:r>
        <w:rPr>
          <w:rFonts w:hint="eastAsia" w:ascii="MS UI Gothic" w:eastAsia="MS UI Gothic"/>
          <w:w w:val="80"/>
        </w:rPr>
        <w:t>２５ ｍꎮ</w:t>
      </w:r>
    </w:p>
    <w:p>
      <w:pPr>
        <w:pStyle w:val="6"/>
        <w:spacing w:line="295" w:lineRule="auto"/>
        <w:ind w:right="39"/>
        <w:rPr>
          <w:rFonts w:hint="eastAsia" w:ascii="MS UI Gothic" w:eastAsia="MS UI Gothic"/>
        </w:rPr>
      </w:pPr>
      <w:r>
        <w:rPr>
          <w:rFonts w:hint="eastAsia" w:ascii="MS UI Gothic" w:eastAsia="MS UI Gothic"/>
          <w:w w:val="140"/>
        </w:rPr>
        <w:t xml:space="preserve">( </w:t>
      </w:r>
      <w:r>
        <w:t>二</w:t>
      </w:r>
      <w:r>
        <w:rPr>
          <w:rFonts w:hint="eastAsia" w:ascii="MS UI Gothic" w:eastAsia="MS UI Gothic"/>
          <w:w w:val="140"/>
        </w:rPr>
        <w:t xml:space="preserve">) </w:t>
      </w:r>
      <w:r>
        <w:t xml:space="preserve">发放硐室爆炸物品的贮存量不得超过 </w:t>
      </w:r>
      <w:r>
        <w:rPr>
          <w:rFonts w:hint="eastAsia" w:ascii="MS UI Gothic" w:eastAsia="MS UI Gothic"/>
          <w:w w:val="85"/>
        </w:rPr>
        <w:t xml:space="preserve">１ </w:t>
      </w:r>
      <w:r>
        <w:t>天的需要量</w:t>
      </w:r>
      <w:r>
        <w:rPr>
          <w:rFonts w:hint="eastAsia" w:ascii="MS UI Gothic" w:eastAsia="MS UI Gothic"/>
          <w:w w:val="85"/>
        </w:rPr>
        <w:t xml:space="preserve">ꎬ </w:t>
      </w:r>
      <w:r>
        <w:t xml:space="preserve">其中炸药量不得超过 </w:t>
      </w:r>
      <w:r>
        <w:rPr>
          <w:rFonts w:hint="eastAsia" w:ascii="MS UI Gothic" w:eastAsia="MS UI Gothic"/>
          <w:w w:val="85"/>
        </w:rPr>
        <w:t>４００ ｋｇ ꎮ</w:t>
      </w:r>
    </w:p>
    <w:p>
      <w:pPr>
        <w:pStyle w:val="6"/>
        <w:spacing w:line="295" w:lineRule="auto"/>
        <w:ind w:right="38"/>
        <w:rPr>
          <w:rFonts w:hint="eastAsia" w:ascii="MS UI Gothic" w:eastAsia="MS UI Gothic"/>
        </w:rPr>
      </w:pPr>
      <w:r>
        <w:rPr>
          <w:rFonts w:hint="eastAsia" w:ascii="MS UI Gothic" w:eastAsia="MS UI Gothic"/>
          <w:w w:val="140"/>
        </w:rPr>
        <w:t xml:space="preserve">( </w:t>
      </w:r>
      <w:r>
        <w:t>三</w:t>
      </w:r>
      <w:r>
        <w:rPr>
          <w:rFonts w:hint="eastAsia" w:ascii="MS UI Gothic" w:eastAsia="MS UI Gothic"/>
          <w:w w:val="140"/>
        </w:rPr>
        <w:t xml:space="preserve">) </w:t>
      </w:r>
      <w:r>
        <w:t>炸药和电雷管必须分开贮存</w:t>
      </w:r>
      <w:r>
        <w:rPr>
          <w:rFonts w:hint="eastAsia" w:ascii="MS UI Gothic" w:eastAsia="MS UI Gothic"/>
          <w:w w:val="85"/>
        </w:rPr>
        <w:t>ꎬ</w:t>
      </w:r>
      <w:r>
        <w:t xml:space="preserve">并用不小于 </w:t>
      </w:r>
      <w:r>
        <w:rPr>
          <w:rFonts w:hint="eastAsia" w:ascii="MS UI Gothic" w:eastAsia="MS UI Gothic"/>
          <w:w w:val="85"/>
        </w:rPr>
        <w:t xml:space="preserve">２４０ ｍｍ </w:t>
      </w:r>
      <w:r>
        <w:t>厚的砖墙或者混凝土墙隔开</w:t>
      </w:r>
      <w:r>
        <w:rPr>
          <w:rFonts w:hint="eastAsia" w:ascii="MS UI Gothic" w:eastAsia="MS UI Gothic"/>
          <w:w w:val="85"/>
        </w:rPr>
        <w:t>ꎮ</w:t>
      </w:r>
    </w:p>
    <w:p>
      <w:pPr>
        <w:pStyle w:val="6"/>
        <w:spacing w:line="295" w:lineRule="auto"/>
        <w:ind w:right="39"/>
      </w:pPr>
      <w:r>
        <w:rPr>
          <w:rFonts w:hint="eastAsia" w:ascii="MS UI Gothic" w:eastAsia="MS UI Gothic"/>
          <w:spacing w:val="-38"/>
          <w:w w:val="150"/>
        </w:rPr>
        <w:t xml:space="preserve">( </w:t>
      </w:r>
      <w:r>
        <w:rPr>
          <w:spacing w:val="5"/>
          <w:w w:val="105"/>
        </w:rPr>
        <w:t>四</w:t>
      </w:r>
      <w:r>
        <w:rPr>
          <w:rFonts w:hint="eastAsia" w:ascii="MS UI Gothic" w:eastAsia="MS UI Gothic"/>
          <w:spacing w:val="11"/>
          <w:w w:val="150"/>
        </w:rPr>
        <w:t xml:space="preserve">) </w:t>
      </w:r>
      <w:r>
        <w:rPr>
          <w:spacing w:val="23"/>
          <w:w w:val="105"/>
        </w:rPr>
        <w:t>发放硐室应当有单独的发放</w:t>
      </w:r>
      <w:r>
        <w:rPr>
          <w:spacing w:val="3"/>
          <w:w w:val="105"/>
        </w:rPr>
        <w:t>间</w:t>
      </w:r>
      <w:r>
        <w:rPr>
          <w:rFonts w:hint="eastAsia" w:ascii="MS UI Gothic" w:eastAsia="MS UI Gothic"/>
          <w:spacing w:val="-3"/>
          <w:w w:val="80"/>
        </w:rPr>
        <w:t xml:space="preserve">ꎬ </w:t>
      </w:r>
      <w:r>
        <w:rPr>
          <w:spacing w:val="-6"/>
          <w:w w:val="105"/>
        </w:rPr>
        <w:t xml:space="preserve">发放硐室出口处必须设 </w:t>
      </w:r>
      <w:r>
        <w:rPr>
          <w:rFonts w:hint="eastAsia" w:ascii="MS UI Gothic" w:eastAsia="MS UI Gothic"/>
          <w:spacing w:val="-12"/>
          <w:w w:val="80"/>
        </w:rPr>
        <w:t xml:space="preserve">１ </w:t>
      </w:r>
      <w:r>
        <w:rPr>
          <w:spacing w:val="3"/>
          <w:w w:val="105"/>
        </w:rPr>
        <w:t>道能自动关</w:t>
      </w:r>
    </w:p>
    <w:p>
      <w:pPr>
        <w:pStyle w:val="6"/>
        <w:spacing w:before="74" w:line="295" w:lineRule="auto"/>
        <w:ind w:left="118" w:right="442"/>
        <w:rPr>
          <w:rFonts w:hint="eastAsia" w:ascii="MS UI Gothic" w:eastAsia="MS UI Gothic"/>
        </w:rPr>
      </w:pPr>
      <w:r>
        <w:br w:type="column"/>
      </w: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建井期间的爆炸物品发放硐室</w:t>
      </w:r>
      <w:r>
        <w:t>必须有独立通风系统</w:t>
      </w:r>
      <w:r>
        <w:rPr>
          <w:rFonts w:hint="eastAsia" w:ascii="MS UI Gothic" w:eastAsia="MS UI Gothic"/>
          <w:w w:val="80"/>
        </w:rPr>
        <w:t xml:space="preserve">ꎮ </w:t>
      </w:r>
      <w:r>
        <w:t>必须制定预防爆炸</w:t>
      </w:r>
      <w:r>
        <w:rPr>
          <w:w w:val="105"/>
        </w:rPr>
        <w:t>物品爆炸的安全措施</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管理制度必须与井下爆炸物品</w:t>
      </w:r>
      <w:r>
        <w:rPr>
          <w:w w:val="110"/>
        </w:rPr>
        <w:t>库相同</w:t>
      </w:r>
      <w:r>
        <w:rPr>
          <w:rFonts w:hint="eastAsia" w:ascii="MS UI Gothic" w:eastAsia="MS UI Gothic"/>
          <w:w w:val="80"/>
        </w:rPr>
        <w:t>ꎮ</w:t>
      </w:r>
    </w:p>
    <w:p>
      <w:pPr>
        <w:pStyle w:val="6"/>
        <w:spacing w:line="295" w:lineRule="auto"/>
        <w:ind w:left="118" w:right="442"/>
        <w:rPr>
          <w:rFonts w:hint="eastAsia" w:ascii="MS UI Gothic" w:eastAsia="MS UI Gothic"/>
        </w:rPr>
      </w:pPr>
      <w:r>
        <w:t xml:space="preserve">第三百三十六条 井下爆炸物品库必须采用矿用防爆型 </w:t>
      </w:r>
      <w:r>
        <w:rPr>
          <w:rFonts w:hint="eastAsia" w:ascii="MS UI Gothic" w:eastAsia="MS UI Gothic"/>
          <w:w w:val="140"/>
        </w:rPr>
        <w:t xml:space="preserve">( </w:t>
      </w:r>
      <w:r>
        <w:t>矿用增安型除外</w:t>
      </w:r>
      <w:r>
        <w:rPr>
          <w:rFonts w:hint="eastAsia" w:ascii="MS UI Gothic" w:eastAsia="MS UI Gothic"/>
          <w:w w:val="140"/>
        </w:rPr>
        <w:t xml:space="preserve">) </w:t>
      </w:r>
      <w:r>
        <w:t>照明设备</w:t>
      </w:r>
      <w:r>
        <w:rPr>
          <w:rFonts w:hint="eastAsia" w:ascii="MS UI Gothic" w:eastAsia="MS UI Gothic"/>
          <w:w w:val="85"/>
        </w:rPr>
        <w:t xml:space="preserve">ꎬ </w:t>
      </w:r>
      <w:r>
        <w:t>照明线必须使用阻燃电缆</w:t>
      </w:r>
      <w:r>
        <w:rPr>
          <w:rFonts w:hint="eastAsia" w:ascii="MS UI Gothic" w:eastAsia="MS UI Gothic"/>
          <w:w w:val="85"/>
        </w:rPr>
        <w:t xml:space="preserve">ꎬ </w:t>
      </w:r>
      <w:r>
        <w:t xml:space="preserve">电压不得超过 </w:t>
      </w:r>
      <w:r>
        <w:rPr>
          <w:rFonts w:hint="eastAsia" w:ascii="MS UI Gothic" w:eastAsia="MS UI Gothic"/>
          <w:w w:val="95"/>
        </w:rPr>
        <w:t>１２７ Ｖ</w:t>
      </w:r>
      <w:r>
        <w:rPr>
          <w:rFonts w:hint="eastAsia" w:ascii="MS UI Gothic" w:eastAsia="MS UI Gothic"/>
          <w:w w:val="85"/>
        </w:rPr>
        <w:t xml:space="preserve">ꎮ </w:t>
      </w:r>
      <w:r>
        <w:t>严禁在贮存爆炸物品的硐室或者壁槽内安设照明设备</w:t>
      </w:r>
      <w:r>
        <w:rPr>
          <w:rFonts w:hint="eastAsia" w:ascii="MS UI Gothic" w:eastAsia="MS UI Gothic"/>
          <w:w w:val="85"/>
        </w:rPr>
        <w:t>ꎮ</w:t>
      </w:r>
    </w:p>
    <w:p>
      <w:pPr>
        <w:pStyle w:val="6"/>
        <w:spacing w:line="295" w:lineRule="auto"/>
        <w:ind w:left="118" w:right="440"/>
        <w:jc w:val="left"/>
        <w:rPr>
          <w:rFonts w:hint="eastAsia" w:ascii="MS UI Gothic" w:eastAsia="MS UI Gothic"/>
        </w:rPr>
      </w:pPr>
      <w:r>
        <w:t>不设固定式照明设备的爆炸物品库</w:t>
      </w:r>
      <w:r>
        <w:rPr>
          <w:rFonts w:hint="eastAsia" w:ascii="MS UI Gothic" w:eastAsia="MS UI Gothic"/>
          <w:w w:val="80"/>
        </w:rPr>
        <w:t>ꎬ</w:t>
      </w:r>
      <w:r>
        <w:t>可使用带绝缘套的矿灯</w:t>
      </w:r>
      <w:r>
        <w:rPr>
          <w:rFonts w:hint="eastAsia" w:ascii="MS UI Gothic" w:eastAsia="MS UI Gothic"/>
          <w:w w:val="80"/>
        </w:rPr>
        <w:t>ꎮ</w:t>
      </w:r>
    </w:p>
    <w:p>
      <w:pPr>
        <w:pStyle w:val="6"/>
        <w:spacing w:line="295" w:lineRule="auto"/>
        <w:ind w:left="118" w:right="442"/>
        <w:rPr>
          <w:rFonts w:hint="eastAsia" w:ascii="MS UI Gothic" w:eastAsia="MS UI Gothic"/>
        </w:rPr>
      </w:pPr>
      <w:r>
        <w:t>任何人员不得携带矿灯进入井下爆炸物品库房内</w:t>
      </w:r>
      <w:r>
        <w:rPr>
          <w:rFonts w:hint="eastAsia" w:ascii="MS UI Gothic" w:eastAsia="MS UI Gothic"/>
          <w:w w:val="80"/>
        </w:rPr>
        <w:t xml:space="preserve">ꎮ </w:t>
      </w:r>
      <w:r>
        <w:t>库内照明设备或者线路发生故障时</w:t>
      </w:r>
      <w:r>
        <w:rPr>
          <w:rFonts w:hint="eastAsia" w:ascii="MS UI Gothic" w:eastAsia="MS UI Gothic"/>
          <w:w w:val="80"/>
        </w:rPr>
        <w:t xml:space="preserve">ꎬ </w:t>
      </w:r>
      <w:r>
        <w:t>检修人员可以在库房管理人员的监护下使用带绝缘套的矿灯进入库内</w:t>
      </w:r>
      <w:r>
        <w:rPr>
          <w:w w:val="105"/>
        </w:rPr>
        <w:t>工作</w:t>
      </w:r>
      <w:r>
        <w:rPr>
          <w:rFonts w:hint="eastAsia" w:ascii="MS UI Gothic" w:eastAsia="MS UI Gothic"/>
          <w:w w:val="80"/>
        </w:rPr>
        <w:t>ꎮ</w:t>
      </w:r>
    </w:p>
    <w:p>
      <w:pPr>
        <w:pStyle w:val="6"/>
        <w:spacing w:line="295" w:lineRule="auto"/>
        <w:ind w:left="118" w:right="440"/>
      </w:pPr>
      <w:r>
        <w:rPr>
          <w:spacing w:val="2"/>
          <w:w w:val="105"/>
        </w:rPr>
        <w:t>第三百三十七条 煤矿企业必须建立</w:t>
      </w:r>
      <w:r>
        <w:rPr>
          <w:spacing w:val="2"/>
        </w:rPr>
        <w:t>爆炸物品领退制度和爆炸物品丢失处理办</w:t>
      </w:r>
      <w:r>
        <w:rPr>
          <w:spacing w:val="3"/>
          <w:w w:val="105"/>
        </w:rPr>
        <w:t>法</w:t>
      </w:r>
      <w:r>
        <w:rPr>
          <w:rFonts w:hint="eastAsia" w:ascii="MS UI Gothic" w:eastAsia="MS UI Gothic"/>
          <w:spacing w:val="13"/>
          <w:w w:val="80"/>
        </w:rPr>
        <w:t xml:space="preserve">ꎮ </w:t>
      </w:r>
      <w:r>
        <w:rPr>
          <w:spacing w:val="-13"/>
          <w:w w:val="105"/>
        </w:rPr>
        <w:t xml:space="preserve">电雷管 </w:t>
      </w:r>
      <w:r>
        <w:rPr>
          <w:rFonts w:hint="eastAsia" w:ascii="MS UI Gothic" w:eastAsia="MS UI Gothic"/>
          <w:spacing w:val="-39"/>
          <w:w w:val="150"/>
        </w:rPr>
        <w:t xml:space="preserve">( </w:t>
      </w:r>
      <w:r>
        <w:rPr>
          <w:spacing w:val="3"/>
          <w:w w:val="105"/>
        </w:rPr>
        <w:t>包括清退入库的电雷管</w:t>
      </w:r>
      <w:r>
        <w:rPr>
          <w:rFonts w:hint="eastAsia" w:ascii="MS UI Gothic" w:eastAsia="MS UI Gothic"/>
          <w:spacing w:val="-1"/>
          <w:w w:val="150"/>
        </w:rPr>
        <w:t xml:space="preserve">) </w:t>
      </w:r>
      <w:r>
        <w:rPr>
          <w:w w:val="105"/>
        </w:rPr>
        <w:t>在</w:t>
      </w:r>
      <w:r>
        <w:rPr>
          <w:spacing w:val="3"/>
        </w:rPr>
        <w:t>发给爆破工前</w:t>
      </w:r>
      <w:r>
        <w:rPr>
          <w:rFonts w:hint="eastAsia" w:ascii="MS UI Gothic" w:eastAsia="MS UI Gothic"/>
          <w:spacing w:val="19"/>
          <w:w w:val="80"/>
        </w:rPr>
        <w:t xml:space="preserve">ꎬ </w:t>
      </w:r>
      <w:r>
        <w:rPr>
          <w:spacing w:val="2"/>
        </w:rPr>
        <w:t>必须用电雷管检测仪逐个</w:t>
      </w:r>
      <w:r>
        <w:rPr>
          <w:spacing w:val="3"/>
        </w:rPr>
        <w:t>测试电阻值</w:t>
      </w:r>
      <w:r>
        <w:rPr>
          <w:rFonts w:hint="eastAsia" w:ascii="MS UI Gothic" w:eastAsia="MS UI Gothic"/>
          <w:spacing w:val="23"/>
          <w:w w:val="80"/>
        </w:rPr>
        <w:t xml:space="preserve">ꎬ </w:t>
      </w:r>
      <w:r>
        <w:rPr>
          <w:spacing w:val="3"/>
        </w:rPr>
        <w:t>并将脚线扭结成短路</w:t>
      </w:r>
      <w:r>
        <w:rPr>
          <w:rFonts w:hint="eastAsia" w:ascii="MS UI Gothic" w:eastAsia="MS UI Gothic"/>
          <w:spacing w:val="23"/>
          <w:w w:val="80"/>
        </w:rPr>
        <w:t xml:space="preserve">ꎮ </w:t>
      </w:r>
      <w:r>
        <w:rPr>
          <w:spacing w:val="1"/>
        </w:rPr>
        <w:t>发放</w:t>
      </w:r>
      <w:r>
        <w:rPr>
          <w:spacing w:val="4"/>
        </w:rPr>
        <w:t>的爆炸物品必须是有效期内的合格产品</w:t>
      </w:r>
      <w:r>
        <w:rPr>
          <w:rFonts w:hint="eastAsia" w:ascii="MS UI Gothic" w:eastAsia="MS UI Gothic"/>
          <w:w w:val="80"/>
        </w:rPr>
        <w:t>ꎬ</w:t>
      </w:r>
      <w:r>
        <w:rPr>
          <w:spacing w:val="2"/>
        </w:rPr>
        <w:t>并且雷管应当严格按同一厂家和同一品种</w:t>
      </w:r>
      <w:r>
        <w:rPr>
          <w:spacing w:val="6"/>
        </w:rPr>
        <w:t>进行发放</w:t>
      </w:r>
      <w:r>
        <w:rPr>
          <w:rFonts w:hint="eastAsia" w:ascii="MS UI Gothic" w:eastAsia="MS UI Gothic"/>
          <w:spacing w:val="2"/>
          <w:w w:val="80"/>
        </w:rPr>
        <w:t xml:space="preserve">ꎮ </w:t>
      </w:r>
      <w:r>
        <w:rPr>
          <w:spacing w:val="20"/>
        </w:rPr>
        <w:t>爆炸物品的销毁</w:t>
      </w:r>
      <w:r>
        <w:rPr>
          <w:rFonts w:hint="eastAsia" w:ascii="MS UI Gothic" w:eastAsia="MS UI Gothic"/>
          <w:spacing w:val="3"/>
          <w:w w:val="80"/>
        </w:rPr>
        <w:t xml:space="preserve">ꎬ </w:t>
      </w:r>
      <w:r>
        <w:rPr>
          <w:spacing w:val="17"/>
        </w:rPr>
        <w:t>必须遵守</w:t>
      </w:r>
    </w:p>
    <w:p>
      <w:pPr>
        <w:pStyle w:val="6"/>
        <w:spacing w:line="250" w:lineRule="exact"/>
        <w:ind w:left="118" w:firstLine="0"/>
        <w:jc w:val="left"/>
        <w:rPr>
          <w:rFonts w:hint="eastAsia" w:ascii="MS UI Gothic" w:hAnsi="MS UI Gothic" w:eastAsia="MS UI Gothic"/>
        </w:rPr>
      </w:pPr>
      <w:r>
        <w:rPr>
          <w:rFonts w:hint="eastAsia" w:ascii="MS UI Gothic" w:hAnsi="MS UI Gothic" w:eastAsia="MS UI Gothic"/>
        </w:rPr>
        <w:t xml:space="preserve">« </w:t>
      </w:r>
      <w:r>
        <w:t>民用爆炸物品安全管理条例</w:t>
      </w:r>
      <w:r>
        <w:rPr>
          <w:rFonts w:hint="eastAsia" w:ascii="MS UI Gothic" w:hAnsi="MS UI Gothic" w:eastAsia="MS UI Gothic"/>
        </w:rPr>
        <w:t xml:space="preserve">» </w:t>
      </w:r>
      <w:r>
        <w:rPr>
          <w:rFonts w:hint="eastAsia" w:ascii="MS UI Gothic" w:hAnsi="MS UI Gothic" w:eastAsia="MS UI Gothic"/>
          <w:w w:val="80"/>
        </w:rPr>
        <w:t>ꎮ</w:t>
      </w:r>
    </w:p>
    <w:p>
      <w:pPr>
        <w:pStyle w:val="6"/>
        <w:tabs>
          <w:tab w:val="left" w:pos="1795"/>
        </w:tabs>
        <w:spacing w:before="202"/>
        <w:ind w:left="957" w:firstLine="0"/>
        <w:jc w:val="left"/>
      </w:pPr>
      <w:r>
        <w:rPr>
          <w:spacing w:val="3"/>
          <w:w w:val="105"/>
        </w:rPr>
        <w:t>第二</w:t>
      </w:r>
      <w:r>
        <w:rPr>
          <w:w w:val="105"/>
        </w:rPr>
        <w:t>节</w:t>
      </w:r>
      <w:r>
        <w:rPr>
          <w:w w:val="105"/>
        </w:rPr>
        <w:tab/>
      </w:r>
      <w:r>
        <w:rPr>
          <w:spacing w:val="3"/>
          <w:w w:val="105"/>
        </w:rPr>
        <w:t>爆炸物品运</w:t>
      </w:r>
      <w:r>
        <w:rPr>
          <w:w w:val="105"/>
        </w:rPr>
        <w:t>输</w:t>
      </w:r>
    </w:p>
    <w:p>
      <w:pPr>
        <w:pStyle w:val="6"/>
        <w:spacing w:before="10"/>
        <w:ind w:left="0" w:firstLine="0"/>
        <w:jc w:val="left"/>
        <w:rPr>
          <w:sz w:val="16"/>
        </w:rPr>
      </w:pPr>
    </w:p>
    <w:p>
      <w:pPr>
        <w:pStyle w:val="6"/>
        <w:spacing w:line="295" w:lineRule="auto"/>
        <w:ind w:left="118" w:right="442"/>
        <w:rPr>
          <w:rFonts w:hint="eastAsia" w:ascii="MS UI Gothic" w:hAnsi="MS UI Gothic" w:eastAsia="MS UI Gothic"/>
        </w:rPr>
      </w:pPr>
      <w:r>
        <w:t>第三百三十八条 在地面运输爆炸物品时</w:t>
      </w:r>
      <w:r>
        <w:rPr>
          <w:rFonts w:hint="eastAsia" w:ascii="MS UI Gothic" w:hAnsi="MS UI Gothic" w:eastAsia="MS UI Gothic"/>
          <w:w w:val="80"/>
        </w:rPr>
        <w:t xml:space="preserve">ꎬ </w:t>
      </w:r>
      <w:r>
        <w:t xml:space="preserve">必须遵守 </w:t>
      </w:r>
      <w:r>
        <w:rPr>
          <w:rFonts w:hint="eastAsia" w:ascii="MS UI Gothic" w:hAnsi="MS UI Gothic" w:eastAsia="MS UI Gothic"/>
          <w:w w:val="80"/>
        </w:rPr>
        <w:t xml:space="preserve">« </w:t>
      </w:r>
      <w:r>
        <w:t>民用爆炸物品安全管理条例</w:t>
      </w:r>
      <w:r>
        <w:rPr>
          <w:rFonts w:hint="eastAsia" w:ascii="MS UI Gothic" w:hAnsi="MS UI Gothic" w:eastAsia="MS UI Gothic"/>
          <w:w w:val="80"/>
        </w:rPr>
        <w:t xml:space="preserve">» </w:t>
      </w:r>
      <w:r>
        <w:t>以及有关标准规定</w:t>
      </w:r>
      <w:r>
        <w:rPr>
          <w:rFonts w:hint="eastAsia" w:ascii="MS UI Gothic" w:hAnsi="MS UI Gothic" w:eastAsia="MS UI Gothic"/>
          <w:w w:val="80"/>
        </w:rPr>
        <w:t>ꎮ</w:t>
      </w:r>
    </w:p>
    <w:p>
      <w:pPr>
        <w:pStyle w:val="6"/>
        <w:spacing w:line="295" w:lineRule="auto"/>
        <w:ind w:left="118" w:right="442"/>
        <w:rPr>
          <w:rFonts w:hint="eastAsia" w:ascii="MS UI Gothic" w:eastAsia="MS UI Gothic"/>
        </w:rPr>
      </w:pPr>
      <w:r>
        <w:rPr>
          <w:w w:val="105"/>
        </w:rPr>
        <w:t>第三百三十九条 在井筒内运送爆炸</w:t>
      </w:r>
      <w:r>
        <w:rPr>
          <w:w w:val="110"/>
        </w:rPr>
        <w:t>物品时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118" w:righ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电雷管和炸药必须分开运送</w:t>
      </w:r>
      <w:r>
        <w:rPr>
          <w:rFonts w:hint="eastAsia" w:ascii="MS UI Gothic" w:eastAsia="MS UI Gothic"/>
          <w:w w:val="80"/>
        </w:rPr>
        <w:t>ꎻ</w:t>
      </w:r>
      <w:r>
        <w:t>但在开凿或者延深井筒时</w:t>
      </w:r>
      <w:r>
        <w:rPr>
          <w:rFonts w:hint="eastAsia" w:ascii="MS UI Gothic" w:eastAsia="MS UI Gothic"/>
          <w:w w:val="80"/>
        </w:rPr>
        <w:t xml:space="preserve">ꎬ </w:t>
      </w:r>
      <w:r>
        <w:t>符合本规程第</w:t>
      </w:r>
      <w:r>
        <w:rPr>
          <w:w w:val="105"/>
        </w:rPr>
        <w:t>三百四十五条规定的</w:t>
      </w:r>
      <w:r>
        <w:rPr>
          <w:rFonts w:hint="eastAsia" w:ascii="MS UI Gothic" w:eastAsia="MS UI Gothic"/>
          <w:w w:val="80"/>
        </w:rPr>
        <w:t xml:space="preserve">ꎬ </w:t>
      </w:r>
      <w:r>
        <w:rPr>
          <w:w w:val="105"/>
        </w:rPr>
        <w:t>不受此限</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必须事先通知绞车司机和井上</w:t>
      </w:r>
      <w:r>
        <w:rPr>
          <w:rFonts w:hint="eastAsia" w:ascii="MS UI Gothic" w:eastAsia="MS UI Gothic"/>
          <w:w w:val="80"/>
        </w:rPr>
        <w:t xml:space="preserve">、 </w:t>
      </w:r>
      <w:r>
        <w:rPr>
          <w:w w:val="105"/>
        </w:rPr>
        <w:t>下把钩工</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２８７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90" o:spid="_x0000_s1890" o:spt="203" style="height:2.15pt;width:398.25pt;" coordsize="7965,43">
            <o:lock v:ext="edit"/>
            <v:line id="_x0000_s1891" o:spid="_x0000_s1891" o:spt="20" style="position:absolute;left:0;top:39;height:0;width:7965;" stroked="t" coordsize="21600,21600">
              <v:path arrowok="t"/>
              <v:fill focussize="0,0"/>
              <v:stroke weight="0.388031496062992pt" color="#231F20"/>
              <v:imagedata o:title=""/>
              <o:lock v:ext="edit"/>
            </v:line>
            <v:line id="_x0000_s1892" o:spid="_x0000_s189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运送电雷管时</w:t>
      </w:r>
      <w:r>
        <w:rPr>
          <w:rFonts w:hint="eastAsia" w:ascii="MS UI Gothic" w:eastAsia="MS UI Gothic"/>
          <w:w w:val="80"/>
        </w:rPr>
        <w:t xml:space="preserve">ꎬ </w:t>
      </w:r>
      <w:r>
        <w:t xml:space="preserve">罐笼内只准放置 </w:t>
      </w:r>
      <w:r>
        <w:rPr>
          <w:rFonts w:hint="eastAsia" w:ascii="MS UI Gothic" w:eastAsia="MS UI Gothic"/>
          <w:w w:val="80"/>
        </w:rPr>
        <w:t xml:space="preserve">１ </w:t>
      </w:r>
      <w:r>
        <w:t>层爆炸物品箱</w:t>
      </w:r>
      <w:r>
        <w:rPr>
          <w:rFonts w:hint="eastAsia" w:ascii="MS UI Gothic" w:eastAsia="MS UI Gothic"/>
          <w:w w:val="80"/>
        </w:rPr>
        <w:t xml:space="preserve">ꎬ </w:t>
      </w:r>
      <w:r>
        <w:t>不得滑动</w:t>
      </w:r>
      <w:r>
        <w:rPr>
          <w:rFonts w:hint="eastAsia" w:ascii="MS UI Gothic" w:eastAsia="MS UI Gothic"/>
          <w:w w:val="80"/>
        </w:rPr>
        <w:t xml:space="preserve">ꎮ </w:t>
      </w:r>
      <w:r>
        <w:t>运送炸药时</w:t>
      </w:r>
      <w:r>
        <w:rPr>
          <w:rFonts w:hint="eastAsia" w:ascii="MS UI Gothic" w:eastAsia="MS UI Gothic"/>
          <w:w w:val="80"/>
        </w:rPr>
        <w:t xml:space="preserve">ꎬ </w:t>
      </w:r>
      <w:r>
        <w:t xml:space="preserve">爆炸物品箱堆放的高度不得超过罐笼高度的 </w:t>
      </w:r>
      <w:r>
        <w:rPr>
          <w:rFonts w:hint="eastAsia" w:ascii="MS UI Gothic" w:eastAsia="MS UI Gothic"/>
          <w:w w:val="80"/>
        </w:rPr>
        <w:t xml:space="preserve">２ </w:t>
      </w:r>
      <w:r>
        <w:rPr>
          <w:rFonts w:hint="eastAsia" w:ascii="MS UI Gothic" w:eastAsia="MS UI Gothic"/>
          <w:w w:val="65"/>
        </w:rPr>
        <w:t xml:space="preserve">/ </w:t>
      </w:r>
      <w:r>
        <w:rPr>
          <w:rFonts w:hint="eastAsia" w:ascii="MS UI Gothic" w:eastAsia="MS UI Gothic"/>
          <w:w w:val="80"/>
        </w:rPr>
        <w:t xml:space="preserve">３ꎮ </w:t>
      </w:r>
      <w:r>
        <w:t>采用将装有炸药或者电雷管的车辆直接推入罐笼内的方式运送时</w:t>
      </w:r>
      <w:r>
        <w:rPr>
          <w:rFonts w:hint="eastAsia" w:ascii="MS UI Gothic" w:eastAsia="MS UI Gothic"/>
          <w:w w:val="80"/>
        </w:rPr>
        <w:t xml:space="preserve">ꎬ </w:t>
      </w:r>
      <w:r>
        <w:t xml:space="preserve">车辆必须符合本规程第三百四十条 </w:t>
      </w:r>
      <w:r>
        <w:rPr>
          <w:rFonts w:hint="eastAsia" w:ascii="MS UI Gothic" w:eastAsia="MS UI Gothic"/>
          <w:w w:val="150"/>
        </w:rPr>
        <w:t xml:space="preserve">( </w:t>
      </w:r>
      <w:r>
        <w:t>二</w:t>
      </w:r>
      <w:r>
        <w:rPr>
          <w:rFonts w:hint="eastAsia" w:ascii="MS UI Gothic" w:eastAsia="MS UI Gothic"/>
          <w:w w:val="150"/>
        </w:rPr>
        <w:t xml:space="preserve">) </w:t>
      </w:r>
      <w:r>
        <w:t>的规定</w:t>
      </w:r>
      <w:r>
        <w:rPr>
          <w:rFonts w:hint="eastAsia" w:ascii="MS UI Gothic" w:eastAsia="MS UI Gothic"/>
          <w:w w:val="80"/>
        </w:rPr>
        <w:t xml:space="preserve">ꎮ </w:t>
      </w:r>
      <w:r>
        <w:t>使用吊桶运送爆炸物品时</w:t>
      </w:r>
      <w:r>
        <w:rPr>
          <w:rFonts w:hint="eastAsia" w:ascii="MS UI Gothic" w:eastAsia="MS UI Gothic"/>
          <w:w w:val="80"/>
        </w:rPr>
        <w:t xml:space="preserve">ꎬ </w:t>
      </w:r>
      <w:r>
        <w:t>必须使用专用箱</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在装有爆炸物品的罐笼或者吊</w:t>
      </w:r>
      <w:r>
        <w:t>桶内</w:t>
      </w:r>
      <w:r>
        <w:rPr>
          <w:rFonts w:hint="eastAsia" w:ascii="MS UI Gothic" w:eastAsia="MS UI Gothic"/>
          <w:w w:val="80"/>
        </w:rPr>
        <w:t xml:space="preserve">ꎬ </w:t>
      </w:r>
      <w:r>
        <w:t>除爆破工或者护送人员外</w:t>
      </w:r>
      <w:r>
        <w:rPr>
          <w:rFonts w:hint="eastAsia" w:ascii="MS UI Gothic" w:eastAsia="MS UI Gothic"/>
          <w:w w:val="80"/>
        </w:rPr>
        <w:t xml:space="preserve">ꎬ </w:t>
      </w:r>
      <w:r>
        <w:t>不得有</w:t>
      </w:r>
      <w:r>
        <w:rPr>
          <w:w w:val="105"/>
        </w:rPr>
        <w:t>其他人员</w:t>
      </w:r>
      <w:r>
        <w:rPr>
          <w:rFonts w:hint="eastAsia" w:ascii="MS UI Gothic" w:eastAsia="MS UI Gothic"/>
          <w:w w:val="80"/>
        </w:rPr>
        <w:t>ꎮ</w:t>
      </w:r>
    </w:p>
    <w:p>
      <w:pPr>
        <w:pStyle w:val="6"/>
        <w:spacing w:line="295" w:lineRule="auto"/>
        <w:ind w:left="435" w:firstLine="425"/>
        <w:rPr>
          <w:rFonts w:hint="eastAsia" w:ascii="MS UI Gothic" w:eastAsia="MS UI Gothic"/>
        </w:rPr>
      </w:pPr>
      <w:r>
        <w:rPr>
          <w:rFonts w:hint="eastAsia" w:ascii="MS UI Gothic" w:eastAsia="MS UI Gothic"/>
          <w:spacing w:val="-35"/>
          <w:w w:val="150"/>
        </w:rPr>
        <w:t xml:space="preserve">( </w:t>
      </w:r>
      <w:r>
        <w:rPr>
          <w:spacing w:val="3"/>
        </w:rPr>
        <w:t>五</w:t>
      </w:r>
      <w:r>
        <w:rPr>
          <w:rFonts w:hint="eastAsia" w:ascii="MS UI Gothic" w:eastAsia="MS UI Gothic"/>
          <w:spacing w:val="32"/>
          <w:w w:val="150"/>
        </w:rPr>
        <w:t xml:space="preserve">) </w:t>
      </w:r>
      <w:r>
        <w:rPr>
          <w:spacing w:val="26"/>
        </w:rPr>
        <w:t>罐笼升降速度</w:t>
      </w:r>
      <w:r>
        <w:rPr>
          <w:rFonts w:hint="eastAsia" w:ascii="MS UI Gothic" w:eastAsia="MS UI Gothic"/>
          <w:spacing w:val="20"/>
          <w:w w:val="80"/>
        </w:rPr>
        <w:t xml:space="preserve">ꎬ </w:t>
      </w:r>
      <w:r>
        <w:rPr>
          <w:spacing w:val="21"/>
        </w:rPr>
        <w:t>运送电雷管</w:t>
      </w:r>
      <w:r>
        <w:rPr>
          <w:spacing w:val="3"/>
        </w:rPr>
        <w:t>时</w:t>
      </w:r>
      <w:r>
        <w:rPr>
          <w:rFonts w:hint="eastAsia" w:ascii="MS UI Gothic" w:eastAsia="MS UI Gothic"/>
          <w:spacing w:val="10"/>
          <w:w w:val="80"/>
        </w:rPr>
        <w:t xml:space="preserve">ꎬ </w:t>
      </w:r>
      <w:r>
        <w:rPr>
          <w:spacing w:val="-12"/>
        </w:rPr>
        <w:t xml:space="preserve">不得超过 </w:t>
      </w:r>
      <w:r>
        <w:rPr>
          <w:rFonts w:hint="eastAsia" w:ascii="MS UI Gothic" w:eastAsia="MS UI Gothic"/>
          <w:spacing w:val="-4"/>
        </w:rPr>
        <w:t xml:space="preserve">２ </w:t>
      </w:r>
      <w:r>
        <w:rPr>
          <w:rFonts w:hint="eastAsia" w:ascii="MS UI Gothic" w:eastAsia="MS UI Gothic"/>
        </w:rPr>
        <w:t>ｍ</w:t>
      </w:r>
      <w:r>
        <w:rPr>
          <w:rFonts w:hint="eastAsia" w:ascii="MS UI Gothic" w:eastAsia="MS UI Gothic"/>
          <w:spacing w:val="-41"/>
        </w:rPr>
        <w:t xml:space="preserve"> </w:t>
      </w:r>
      <w:r>
        <w:rPr>
          <w:rFonts w:hint="eastAsia" w:ascii="MS UI Gothic" w:eastAsia="MS UI Gothic"/>
          <w:w w:val="65"/>
        </w:rPr>
        <w:t>/</w:t>
      </w:r>
      <w:r>
        <w:rPr>
          <w:rFonts w:hint="eastAsia" w:ascii="MS UI Gothic" w:eastAsia="MS UI Gothic"/>
          <w:spacing w:val="-11"/>
          <w:w w:val="65"/>
        </w:rPr>
        <w:t xml:space="preserve"> </w:t>
      </w:r>
      <w:r>
        <w:rPr>
          <w:rFonts w:hint="eastAsia" w:ascii="MS UI Gothic" w:eastAsia="MS UI Gothic"/>
          <w:spacing w:val="3"/>
          <w:w w:val="80"/>
        </w:rPr>
        <w:t>ｓ</w:t>
      </w:r>
      <w:r>
        <w:rPr>
          <w:rFonts w:hint="eastAsia" w:ascii="MS UI Gothic" w:eastAsia="MS UI Gothic"/>
          <w:spacing w:val="11"/>
          <w:w w:val="80"/>
        </w:rPr>
        <w:t xml:space="preserve">ꎻ </w:t>
      </w:r>
      <w:r>
        <w:rPr>
          <w:spacing w:val="7"/>
        </w:rPr>
        <w:t>运送其他类爆炸物</w:t>
      </w:r>
      <w:r>
        <w:rPr>
          <w:spacing w:val="3"/>
        </w:rPr>
        <w:t>品时</w:t>
      </w:r>
      <w:r>
        <w:rPr>
          <w:rFonts w:hint="eastAsia" w:ascii="MS UI Gothic" w:eastAsia="MS UI Gothic"/>
          <w:spacing w:val="4"/>
          <w:w w:val="80"/>
        </w:rPr>
        <w:t xml:space="preserve">ꎬ </w:t>
      </w:r>
      <w:r>
        <w:rPr>
          <w:spacing w:val="-3"/>
        </w:rPr>
        <w:t xml:space="preserve">不得超过 </w:t>
      </w:r>
      <w:r>
        <w:rPr>
          <w:rFonts w:hint="eastAsia" w:ascii="MS UI Gothic" w:eastAsia="MS UI Gothic"/>
          <w:spacing w:val="-5"/>
        </w:rPr>
        <w:t xml:space="preserve">４ </w:t>
      </w:r>
      <w:r>
        <w:rPr>
          <w:rFonts w:hint="eastAsia" w:ascii="MS UI Gothic" w:eastAsia="MS UI Gothic"/>
        </w:rPr>
        <w:t>ｍ</w:t>
      </w:r>
      <w:r>
        <w:rPr>
          <w:rFonts w:hint="eastAsia" w:ascii="MS UI Gothic" w:eastAsia="MS UI Gothic"/>
          <w:spacing w:val="-45"/>
        </w:rPr>
        <w:t xml:space="preserve"> </w:t>
      </w:r>
      <w:r>
        <w:rPr>
          <w:rFonts w:hint="eastAsia" w:ascii="MS UI Gothic" w:eastAsia="MS UI Gothic"/>
          <w:w w:val="65"/>
        </w:rPr>
        <w:t>/</w:t>
      </w:r>
      <w:r>
        <w:rPr>
          <w:rFonts w:hint="eastAsia" w:ascii="MS UI Gothic" w:eastAsia="MS UI Gothic"/>
          <w:spacing w:val="-15"/>
          <w:w w:val="65"/>
        </w:rPr>
        <w:t xml:space="preserve"> </w:t>
      </w:r>
      <w:r>
        <w:rPr>
          <w:rFonts w:hint="eastAsia" w:ascii="MS UI Gothic" w:eastAsia="MS UI Gothic"/>
          <w:spacing w:val="3"/>
          <w:w w:val="80"/>
        </w:rPr>
        <w:t>ｓ</w:t>
      </w:r>
      <w:r>
        <w:rPr>
          <w:rFonts w:hint="eastAsia" w:ascii="MS UI Gothic" w:eastAsia="MS UI Gothic"/>
          <w:spacing w:val="8"/>
          <w:w w:val="80"/>
        </w:rPr>
        <w:t xml:space="preserve">ꎮ </w:t>
      </w:r>
      <w:r>
        <w:rPr>
          <w:spacing w:val="16"/>
        </w:rPr>
        <w:t>吊桶升降速度</w:t>
      </w:r>
      <w:r>
        <w:rPr>
          <w:rFonts w:hint="eastAsia" w:ascii="MS UI Gothic" w:eastAsia="MS UI Gothic"/>
          <w:w w:val="80"/>
        </w:rPr>
        <w:t>ꎬ</w:t>
      </w:r>
      <w:r>
        <w:rPr>
          <w:spacing w:val="27"/>
        </w:rPr>
        <w:t>不论运送何种爆炸物品</w:t>
      </w:r>
      <w:r>
        <w:rPr>
          <w:rFonts w:hint="eastAsia" w:ascii="MS UI Gothic" w:eastAsia="MS UI Gothic"/>
          <w:spacing w:val="2"/>
          <w:w w:val="80"/>
        </w:rPr>
        <w:t xml:space="preserve">ꎬ  </w:t>
      </w:r>
      <w:r>
        <w:rPr>
          <w:spacing w:val="28"/>
        </w:rPr>
        <w:t>都不得超过</w:t>
      </w:r>
      <w:r>
        <w:rPr>
          <w:rFonts w:hint="eastAsia" w:ascii="MS UI Gothic" w:eastAsia="MS UI Gothic"/>
          <w:spacing w:val="5"/>
        </w:rPr>
        <w:t xml:space="preserve">１ </w:t>
      </w:r>
      <w:r>
        <w:rPr>
          <w:rFonts w:hint="eastAsia" w:ascii="MS UI Gothic" w:eastAsia="MS UI Gothic"/>
        </w:rPr>
        <w:t>ｍ</w:t>
      </w:r>
      <w:r>
        <w:rPr>
          <w:rFonts w:hint="eastAsia" w:ascii="MS UI Gothic" w:eastAsia="MS UI Gothic"/>
          <w:spacing w:val="-43"/>
        </w:rPr>
        <w:t xml:space="preserve"> </w:t>
      </w:r>
      <w:r>
        <w:rPr>
          <w:rFonts w:hint="eastAsia" w:ascii="MS UI Gothic" w:eastAsia="MS UI Gothic"/>
          <w:w w:val="65"/>
        </w:rPr>
        <w:t>/</w:t>
      </w:r>
      <w:r>
        <w:rPr>
          <w:rFonts w:hint="eastAsia" w:ascii="MS UI Gothic" w:eastAsia="MS UI Gothic"/>
          <w:spacing w:val="-13"/>
          <w:w w:val="65"/>
        </w:rPr>
        <w:t xml:space="preserve"> </w:t>
      </w:r>
      <w:r>
        <w:rPr>
          <w:rFonts w:hint="eastAsia" w:ascii="MS UI Gothic" w:eastAsia="MS UI Gothic"/>
          <w:spacing w:val="3"/>
          <w:w w:val="80"/>
        </w:rPr>
        <w:t>ｓ</w:t>
      </w:r>
      <w:r>
        <w:rPr>
          <w:rFonts w:hint="eastAsia" w:ascii="MS UI Gothic" w:eastAsia="MS UI Gothic"/>
          <w:spacing w:val="7"/>
          <w:w w:val="80"/>
        </w:rPr>
        <w:t xml:space="preserve">ꎮ </w:t>
      </w:r>
      <w:r>
        <w:rPr>
          <w:spacing w:val="9"/>
        </w:rPr>
        <w:t>司机在启动和停绞车时</w:t>
      </w:r>
      <w:r>
        <w:rPr>
          <w:rFonts w:hint="eastAsia" w:ascii="MS UI Gothic" w:eastAsia="MS UI Gothic"/>
          <w:spacing w:val="9"/>
          <w:w w:val="80"/>
        </w:rPr>
        <w:t xml:space="preserve">ꎬ </w:t>
      </w:r>
      <w:r>
        <w:rPr>
          <w:spacing w:val="10"/>
        </w:rPr>
        <w:t>应当保</w:t>
      </w:r>
      <w:r>
        <w:rPr>
          <w:spacing w:val="3"/>
        </w:rPr>
        <w:t>证罐笼或者吊桶不震动</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六</w:t>
      </w:r>
      <w:r>
        <w:rPr>
          <w:rFonts w:hint="eastAsia" w:ascii="MS UI Gothic" w:eastAsia="MS UI Gothic"/>
          <w:spacing w:val="9"/>
          <w:w w:val="150"/>
        </w:rPr>
        <w:t xml:space="preserve">) </w:t>
      </w:r>
      <w:r>
        <w:rPr>
          <w:spacing w:val="5"/>
          <w:w w:val="105"/>
        </w:rPr>
        <w:t>在交接班</w:t>
      </w:r>
      <w:r>
        <w:rPr>
          <w:rFonts w:hint="eastAsia" w:ascii="MS UI Gothic" w:eastAsia="MS UI Gothic"/>
          <w:spacing w:val="23"/>
          <w:w w:val="80"/>
        </w:rPr>
        <w:t xml:space="preserve">、 </w:t>
      </w:r>
      <w:r>
        <w:rPr>
          <w:spacing w:val="8"/>
          <w:w w:val="105"/>
        </w:rPr>
        <w:t>人员上下井的时间</w:t>
      </w:r>
      <w:r>
        <w:rPr>
          <w:spacing w:val="3"/>
          <w:w w:val="105"/>
        </w:rPr>
        <w:t>内</w:t>
      </w:r>
      <w:r>
        <w:rPr>
          <w:rFonts w:hint="eastAsia" w:ascii="MS UI Gothic" w:eastAsia="MS UI Gothic"/>
          <w:spacing w:val="23"/>
          <w:w w:val="80"/>
        </w:rPr>
        <w:t xml:space="preserve">ꎬ </w:t>
      </w:r>
      <w:r>
        <w:rPr>
          <w:spacing w:val="3"/>
          <w:w w:val="105"/>
        </w:rPr>
        <w:t>严禁运送爆炸物品</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禁止将爆炸物品存放在井口房</w:t>
      </w:r>
      <w:r>
        <w:rPr>
          <w:rFonts w:hint="eastAsia" w:ascii="MS UI Gothic" w:eastAsia="MS UI Gothic"/>
          <w:w w:val="80"/>
        </w:rPr>
        <w:t xml:space="preserve">、 </w:t>
      </w:r>
      <w:r>
        <w:rPr>
          <w:w w:val="105"/>
        </w:rPr>
        <w:t>井底车场或者其他巷道内</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第三百四十条 井下用机车运送爆炸</w:t>
      </w:r>
      <w:r>
        <w:rPr>
          <w:w w:val="110"/>
        </w:rPr>
        <w:t>物品时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炸药和电雷管在同一列车内运</w:t>
      </w:r>
      <w:r>
        <w:t>输时</w:t>
      </w:r>
      <w:r>
        <w:rPr>
          <w:rFonts w:hint="eastAsia" w:ascii="MS UI Gothic" w:eastAsia="MS UI Gothic"/>
          <w:w w:val="80"/>
        </w:rPr>
        <w:t xml:space="preserve">ꎬ </w:t>
      </w:r>
      <w:r>
        <w:t>装有炸药与装有电雷管的车辆之间</w:t>
      </w:r>
      <w:r>
        <w:rPr>
          <w:rFonts w:hint="eastAsia" w:ascii="MS UI Gothic" w:eastAsia="MS UI Gothic"/>
          <w:w w:val="80"/>
        </w:rPr>
        <w:t xml:space="preserve">ꎬ </w:t>
      </w:r>
      <w:r>
        <w:t>以及装有炸药或者电雷管的车辆与机车之间</w:t>
      </w:r>
      <w:r>
        <w:rPr>
          <w:rFonts w:hint="eastAsia" w:ascii="MS UI Gothic" w:eastAsia="MS UI Gothic"/>
          <w:w w:val="80"/>
        </w:rPr>
        <w:t xml:space="preserve">ꎬ </w:t>
      </w:r>
      <w:r>
        <w:t>必须用空车分别隔开</w:t>
      </w:r>
      <w:r>
        <w:rPr>
          <w:rFonts w:hint="eastAsia" w:ascii="MS UI Gothic" w:eastAsia="MS UI Gothic"/>
          <w:w w:val="80"/>
        </w:rPr>
        <w:t xml:space="preserve">ꎬ </w:t>
      </w:r>
      <w:r>
        <w:t>隔开长度</w:t>
      </w:r>
      <w:r>
        <w:rPr>
          <w:w w:val="105"/>
        </w:rPr>
        <w:t xml:space="preserve">不得小于 </w:t>
      </w:r>
      <w:r>
        <w:rPr>
          <w:rFonts w:hint="eastAsia" w:ascii="MS UI Gothic" w:eastAsia="MS UI Gothic"/>
          <w:w w:val="80"/>
        </w:rPr>
        <w:t>３ ｍꎮ</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9"/>
          <w:w w:val="150"/>
        </w:rPr>
        <w:t xml:space="preserve">) </w:t>
      </w:r>
      <w:r>
        <w:rPr>
          <w:spacing w:val="5"/>
          <w:w w:val="105"/>
        </w:rPr>
        <w:t>电雷管必须装在专用的</w:t>
      </w:r>
      <w:r>
        <w:rPr>
          <w:rFonts w:hint="eastAsia" w:ascii="MS UI Gothic" w:eastAsia="MS UI Gothic"/>
          <w:spacing w:val="24"/>
          <w:w w:val="80"/>
        </w:rPr>
        <w:t xml:space="preserve">、 </w:t>
      </w:r>
      <w:r>
        <w:rPr>
          <w:spacing w:val="5"/>
          <w:w w:val="105"/>
        </w:rPr>
        <w:t>带盖</w:t>
      </w:r>
      <w:r>
        <w:rPr>
          <w:spacing w:val="3"/>
          <w:w w:val="105"/>
        </w:rPr>
        <w:t>的</w:t>
      </w:r>
      <w:r>
        <w:rPr>
          <w:rFonts w:hint="eastAsia" w:ascii="MS UI Gothic" w:eastAsia="MS UI Gothic"/>
          <w:spacing w:val="-2"/>
          <w:w w:val="80"/>
        </w:rPr>
        <w:t xml:space="preserve">、 </w:t>
      </w:r>
      <w:r>
        <w:rPr>
          <w:spacing w:val="3"/>
          <w:w w:val="105"/>
        </w:rPr>
        <w:t>有木质隔板的车厢内</w:t>
      </w:r>
      <w:r>
        <w:rPr>
          <w:rFonts w:hint="eastAsia" w:ascii="MS UI Gothic" w:eastAsia="MS UI Gothic"/>
          <w:spacing w:val="-2"/>
          <w:w w:val="80"/>
        </w:rPr>
        <w:t xml:space="preserve">ꎬ </w:t>
      </w:r>
      <w:r>
        <w:rPr>
          <w:spacing w:val="2"/>
          <w:w w:val="105"/>
        </w:rPr>
        <w:t>车厢内部应当</w:t>
      </w:r>
      <w:r>
        <w:rPr>
          <w:spacing w:val="3"/>
        </w:rPr>
        <w:t>铺有胶皮或者麻袋等软质垫层</w:t>
      </w:r>
      <w:r>
        <w:rPr>
          <w:rFonts w:hint="eastAsia" w:ascii="MS UI Gothic" w:eastAsia="MS UI Gothic"/>
          <w:spacing w:val="21"/>
          <w:w w:val="80"/>
        </w:rPr>
        <w:t xml:space="preserve">ꎬ </w:t>
      </w:r>
      <w:r>
        <w:rPr>
          <w:spacing w:val="2"/>
        </w:rPr>
        <w:t>并只准放</w:t>
      </w:r>
      <w:r>
        <w:rPr>
          <w:spacing w:val="-42"/>
          <w:w w:val="105"/>
        </w:rPr>
        <w:t xml:space="preserve">置 </w:t>
      </w:r>
      <w:r>
        <w:rPr>
          <w:rFonts w:hint="eastAsia" w:ascii="MS UI Gothic" w:eastAsia="MS UI Gothic"/>
          <w:spacing w:val="-13"/>
          <w:w w:val="80"/>
        </w:rPr>
        <w:t xml:space="preserve">１ </w:t>
      </w:r>
      <w:r>
        <w:rPr>
          <w:spacing w:val="3"/>
          <w:w w:val="105"/>
        </w:rPr>
        <w:t>层爆炸物品箱</w:t>
      </w:r>
      <w:r>
        <w:rPr>
          <w:rFonts w:hint="eastAsia" w:ascii="MS UI Gothic" w:eastAsia="MS UI Gothic"/>
          <w:spacing w:val="-2"/>
          <w:w w:val="80"/>
        </w:rPr>
        <w:t xml:space="preserve">ꎮ </w:t>
      </w:r>
      <w:r>
        <w:rPr>
          <w:spacing w:val="2"/>
          <w:w w:val="105"/>
        </w:rPr>
        <w:t>炸药箱可以装在矿车</w:t>
      </w:r>
      <w:r>
        <w:rPr>
          <w:spacing w:val="3"/>
        </w:rPr>
        <w:t>内</w:t>
      </w:r>
      <w:r>
        <w:rPr>
          <w:rFonts w:hint="eastAsia" w:ascii="MS UI Gothic" w:eastAsia="MS UI Gothic"/>
          <w:spacing w:val="23"/>
          <w:w w:val="80"/>
        </w:rPr>
        <w:t xml:space="preserve">ꎬ </w:t>
      </w:r>
      <w:r>
        <w:rPr>
          <w:spacing w:val="3"/>
        </w:rPr>
        <w:t>但堆放高度不得超过矿车上缘</w:t>
      </w:r>
      <w:r>
        <w:rPr>
          <w:rFonts w:hint="eastAsia" w:ascii="MS UI Gothic" w:eastAsia="MS UI Gothic"/>
          <w:spacing w:val="23"/>
          <w:w w:val="80"/>
        </w:rPr>
        <w:t xml:space="preserve">ꎮ </w:t>
      </w:r>
      <w:r>
        <w:rPr>
          <w:spacing w:val="1"/>
        </w:rPr>
        <w:t>运输</w:t>
      </w:r>
      <w:r>
        <w:rPr>
          <w:spacing w:val="3"/>
          <w:w w:val="105"/>
        </w:rPr>
        <w:t>炸药</w:t>
      </w:r>
      <w:r>
        <w:rPr>
          <w:rFonts w:hint="eastAsia" w:ascii="MS UI Gothic" w:eastAsia="MS UI Gothic"/>
          <w:spacing w:val="-5"/>
          <w:w w:val="80"/>
        </w:rPr>
        <w:t xml:space="preserve">、 </w:t>
      </w:r>
      <w:r>
        <w:rPr>
          <w:spacing w:val="2"/>
          <w:w w:val="105"/>
        </w:rPr>
        <w:t>电雷管的矿车或者车厢必须有专门</w:t>
      </w:r>
      <w:r>
        <w:rPr>
          <w:spacing w:val="3"/>
          <w:w w:val="105"/>
        </w:rPr>
        <w:t>的警示标识</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爆炸物品必须由井下爆炸物品</w:t>
      </w:r>
      <w:r>
        <w:t>库负责人或者经过专门培训的人员专人护</w:t>
      </w:r>
      <w:r>
        <w:rPr>
          <w:w w:val="105"/>
        </w:rPr>
        <w:t>送</w:t>
      </w:r>
      <w:r>
        <w:rPr>
          <w:rFonts w:hint="eastAsia" w:ascii="MS UI Gothic" w:eastAsia="MS UI Gothic"/>
          <w:w w:val="80"/>
        </w:rPr>
        <w:t xml:space="preserve">ꎮ </w:t>
      </w:r>
      <w:r>
        <w:rPr>
          <w:w w:val="105"/>
        </w:rPr>
        <w:t>跟车工</w:t>
      </w:r>
      <w:r>
        <w:rPr>
          <w:rFonts w:hint="eastAsia" w:ascii="MS UI Gothic" w:eastAsia="MS UI Gothic"/>
          <w:w w:val="80"/>
        </w:rPr>
        <w:t xml:space="preserve">、 </w:t>
      </w:r>
      <w:r>
        <w:rPr>
          <w:w w:val="105"/>
        </w:rPr>
        <w:t>护送人员和装卸人员应当坐在尾车内</w:t>
      </w:r>
      <w:r>
        <w:rPr>
          <w:rFonts w:hint="eastAsia" w:ascii="MS UI Gothic" w:eastAsia="MS UI Gothic"/>
          <w:w w:val="80"/>
        </w:rPr>
        <w:t xml:space="preserve">ꎬ </w:t>
      </w:r>
      <w:r>
        <w:rPr>
          <w:w w:val="105"/>
        </w:rPr>
        <w:t>严禁其他人员乘车</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rPr>
          <w:rFonts w:hint="eastAsia" w:ascii="MS UI Gothic" w:eastAsia="MS UI Gothic"/>
          <w:spacing w:val="-32"/>
          <w:w w:val="150"/>
        </w:rPr>
        <w:t xml:space="preserve">( </w:t>
      </w:r>
      <w:r>
        <w:rPr>
          <w:spacing w:val="42"/>
        </w:rPr>
        <w:t>四</w:t>
      </w:r>
      <w:r>
        <w:rPr>
          <w:rFonts w:hint="eastAsia" w:ascii="MS UI Gothic" w:eastAsia="MS UI Gothic"/>
          <w:w w:val="150"/>
        </w:rPr>
        <w:t xml:space="preserve">) </w:t>
      </w:r>
      <w:r>
        <w:rPr>
          <w:spacing w:val="-15"/>
        </w:rPr>
        <w:t>列 车 的 行 驶 速 度 不 得 超过</w:t>
      </w:r>
      <w:r>
        <w:rPr>
          <w:rFonts w:hint="eastAsia" w:ascii="MS UI Gothic" w:eastAsia="MS UI Gothic"/>
          <w:spacing w:val="3"/>
          <w:w w:val="80"/>
        </w:rPr>
        <w:t xml:space="preserve">２ </w:t>
      </w:r>
      <w:r>
        <w:rPr>
          <w:rFonts w:hint="eastAsia" w:ascii="MS UI Gothic" w:eastAsia="MS UI Gothic"/>
          <w:w w:val="80"/>
        </w:rPr>
        <w:t xml:space="preserve">ｍ </w:t>
      </w:r>
      <w:r>
        <w:rPr>
          <w:rFonts w:hint="eastAsia" w:ascii="MS UI Gothic" w:eastAsia="MS UI Gothic"/>
          <w:w w:val="65"/>
        </w:rPr>
        <w:t xml:space="preserve">/ </w:t>
      </w:r>
      <w:r>
        <w:rPr>
          <w:rFonts w:hint="eastAsia" w:ascii="MS UI Gothic" w:eastAsia="MS UI Gothic"/>
          <w:spacing w:val="3"/>
          <w:w w:val="80"/>
        </w:rPr>
        <w:t>ｓ</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装有爆炸物品的列车不得同时</w:t>
      </w:r>
      <w:r>
        <w:rPr>
          <w:w w:val="110"/>
        </w:rPr>
        <w:t>运送其他物品</w:t>
      </w:r>
      <w:r>
        <w:rPr>
          <w:rFonts w:hint="eastAsia" w:ascii="MS UI Gothic" w:eastAsia="MS UI Gothic"/>
          <w:w w:val="80"/>
        </w:rPr>
        <w:t>ꎮ</w:t>
      </w:r>
    </w:p>
    <w:p>
      <w:pPr>
        <w:pStyle w:val="6"/>
        <w:spacing w:line="295" w:lineRule="auto"/>
        <w:ind w:left="381" w:right="126"/>
        <w:rPr>
          <w:rFonts w:hint="eastAsia" w:ascii="MS UI Gothic" w:eastAsia="MS UI Gothic"/>
        </w:rPr>
      </w:pPr>
      <w:r>
        <w:t>井下采用无轨胶轮车运送爆炸物品时</w:t>
      </w:r>
      <w:r>
        <w:rPr>
          <w:rFonts w:hint="eastAsia" w:ascii="MS UI Gothic" w:eastAsia="MS UI Gothic"/>
          <w:w w:val="80"/>
        </w:rPr>
        <w:t xml:space="preserve">ꎬ </w:t>
      </w:r>
      <w:r>
        <w:t>应当按照民用爆炸物品运输管理有关规定执行</w:t>
      </w:r>
      <w:r>
        <w:rPr>
          <w:rFonts w:hint="eastAsia" w:ascii="MS UI Gothic" w:eastAsia="MS UI Gothic"/>
          <w:w w:val="80"/>
        </w:rPr>
        <w:t>ꎮ</w:t>
      </w:r>
    </w:p>
    <w:p>
      <w:pPr>
        <w:pStyle w:val="6"/>
        <w:spacing w:line="295" w:lineRule="auto"/>
        <w:ind w:left="381" w:right="124"/>
        <w:rPr>
          <w:rFonts w:hint="eastAsia" w:ascii="MS UI Gothic" w:eastAsia="MS UI Gothic"/>
        </w:rPr>
      </w:pPr>
      <w:r>
        <w:t>第三百四十一条 水平巷道和倾斜巷道内有可靠的信号装置时</w:t>
      </w:r>
      <w:r>
        <w:rPr>
          <w:rFonts w:hint="eastAsia" w:ascii="MS UI Gothic" w:eastAsia="MS UI Gothic"/>
          <w:w w:val="80"/>
        </w:rPr>
        <w:t xml:space="preserve">ꎬ </w:t>
      </w:r>
      <w:r>
        <w:t>可以用钢丝绳牵引的车辆运送爆炸物品</w:t>
      </w:r>
      <w:r>
        <w:rPr>
          <w:rFonts w:hint="eastAsia" w:ascii="MS UI Gothic" w:eastAsia="MS UI Gothic"/>
          <w:w w:val="80"/>
        </w:rPr>
        <w:t xml:space="preserve">ꎬ </w:t>
      </w:r>
      <w:r>
        <w:t>炸药和电雷管必须分开运输</w:t>
      </w:r>
      <w:r>
        <w:rPr>
          <w:rFonts w:hint="eastAsia" w:ascii="MS UI Gothic" w:eastAsia="MS UI Gothic"/>
          <w:w w:val="80"/>
        </w:rPr>
        <w:t xml:space="preserve">ꎬ </w:t>
      </w:r>
      <w:r>
        <w:t>运输速度不得超过</w:t>
      </w:r>
      <w:r>
        <w:rPr>
          <w:rFonts w:hint="eastAsia" w:ascii="MS UI Gothic" w:eastAsia="MS UI Gothic"/>
          <w:w w:val="80"/>
        </w:rPr>
        <w:t xml:space="preserve">１ ｍ </w:t>
      </w:r>
      <w:r>
        <w:rPr>
          <w:rFonts w:hint="eastAsia" w:ascii="MS UI Gothic" w:eastAsia="MS UI Gothic"/>
          <w:w w:val="65"/>
        </w:rPr>
        <w:t xml:space="preserve">/ </w:t>
      </w:r>
      <w:r>
        <w:rPr>
          <w:rFonts w:hint="eastAsia" w:ascii="MS UI Gothic" w:eastAsia="MS UI Gothic"/>
          <w:w w:val="80"/>
        </w:rPr>
        <w:t>ｓꎮ</w:t>
      </w:r>
      <w:r>
        <w:t>运输电雷管的车辆必须加盖</w:t>
      </w:r>
      <w:r>
        <w:rPr>
          <w:rFonts w:hint="eastAsia" w:ascii="MS UI Gothic" w:eastAsia="MS UI Gothic"/>
          <w:w w:val="80"/>
        </w:rPr>
        <w:t xml:space="preserve">、 </w:t>
      </w:r>
      <w:r>
        <w:t>加垫</w:t>
      </w:r>
      <w:r>
        <w:rPr>
          <w:rFonts w:hint="eastAsia" w:ascii="MS UI Gothic" w:eastAsia="MS UI Gothic"/>
          <w:w w:val="80"/>
        </w:rPr>
        <w:t xml:space="preserve">ꎬ </w:t>
      </w:r>
      <w:r>
        <w:t>车厢内以软质垫物塞紧</w:t>
      </w:r>
      <w:r>
        <w:rPr>
          <w:rFonts w:hint="eastAsia" w:ascii="MS UI Gothic" w:eastAsia="MS UI Gothic"/>
          <w:w w:val="80"/>
        </w:rPr>
        <w:t xml:space="preserve">ꎬ </w:t>
      </w:r>
      <w:r>
        <w:t>防止震动和撞击</w:t>
      </w:r>
      <w:r>
        <w:rPr>
          <w:rFonts w:hint="eastAsia" w:ascii="MS UI Gothic" w:eastAsia="MS UI Gothic"/>
          <w:w w:val="80"/>
        </w:rPr>
        <w:t>ꎮ</w:t>
      </w:r>
    </w:p>
    <w:p>
      <w:pPr>
        <w:pStyle w:val="6"/>
        <w:spacing w:line="295" w:lineRule="auto"/>
        <w:ind w:left="381" w:right="126"/>
        <w:rPr>
          <w:rFonts w:hint="eastAsia" w:ascii="MS UI Gothic" w:eastAsia="MS UI Gothic"/>
        </w:rPr>
      </w:pPr>
      <w:r>
        <w:t>严禁用刮板输送机</w:t>
      </w:r>
      <w:r>
        <w:rPr>
          <w:rFonts w:hint="eastAsia" w:ascii="MS UI Gothic" w:eastAsia="MS UI Gothic"/>
          <w:w w:val="80"/>
        </w:rPr>
        <w:t xml:space="preserve">、 </w:t>
      </w:r>
      <w:r>
        <w:t>带式输送机等运输爆炸物品</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第三百四十二条 由爆炸物品库直接</w:t>
      </w:r>
      <w:r>
        <w:t>向工作地点用人力运送爆炸物品时</w:t>
      </w:r>
      <w:r>
        <w:rPr>
          <w:rFonts w:hint="eastAsia" w:ascii="MS UI Gothic" w:eastAsia="MS UI Gothic"/>
          <w:w w:val="80"/>
        </w:rPr>
        <w:t xml:space="preserve">ꎬ </w:t>
      </w:r>
      <w:r>
        <w:t>应当</w:t>
      </w:r>
      <w:r>
        <w:rPr>
          <w:w w:val="105"/>
        </w:rPr>
        <w:t>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电雷管必须由爆破工亲自运</w:t>
      </w:r>
      <w:r>
        <w:t>送</w:t>
      </w:r>
      <w:r>
        <w:rPr>
          <w:rFonts w:hint="eastAsia" w:ascii="MS UI Gothic" w:eastAsia="MS UI Gothic"/>
          <w:w w:val="80"/>
        </w:rPr>
        <w:t xml:space="preserve">ꎬ </w:t>
      </w:r>
      <w:r>
        <w:t>炸药应当由爆破工或者在爆破工监护</w:t>
      </w:r>
      <w:r>
        <w:rPr>
          <w:w w:val="105"/>
        </w:rPr>
        <w:t>下运送</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爆炸物品必须装在耐压和抗撞冲</w:t>
      </w:r>
      <w:r>
        <w:rPr>
          <w:rFonts w:hint="eastAsia" w:ascii="MS UI Gothic" w:eastAsia="MS UI Gothic"/>
          <w:w w:val="80"/>
        </w:rPr>
        <w:t xml:space="preserve">、 </w:t>
      </w:r>
      <w:r>
        <w:t>防震</w:t>
      </w:r>
      <w:r>
        <w:rPr>
          <w:rFonts w:hint="eastAsia" w:ascii="MS UI Gothic" w:eastAsia="MS UI Gothic"/>
          <w:w w:val="80"/>
        </w:rPr>
        <w:t xml:space="preserve">、 </w:t>
      </w:r>
      <w:r>
        <w:t>防静电的非金属容器内</w:t>
      </w:r>
      <w:r>
        <w:rPr>
          <w:rFonts w:hint="eastAsia" w:ascii="MS UI Gothic" w:eastAsia="MS UI Gothic"/>
          <w:w w:val="80"/>
        </w:rPr>
        <w:t xml:space="preserve">ꎬ </w:t>
      </w:r>
      <w:r>
        <w:t>不得将电雷管和炸药混装</w:t>
      </w:r>
      <w:r>
        <w:rPr>
          <w:rFonts w:hint="eastAsia" w:ascii="MS UI Gothic" w:eastAsia="MS UI Gothic"/>
          <w:w w:val="80"/>
        </w:rPr>
        <w:t xml:space="preserve">ꎮ </w:t>
      </w:r>
      <w:r>
        <w:t>严禁将爆炸物品装在衣袋内</w:t>
      </w:r>
      <w:r>
        <w:rPr>
          <w:rFonts w:hint="eastAsia" w:ascii="MS UI Gothic" w:eastAsia="MS UI Gothic"/>
          <w:w w:val="80"/>
        </w:rPr>
        <w:t xml:space="preserve">ꎮ </w:t>
      </w:r>
      <w:r>
        <w:t>领到爆 炸物品后</w:t>
      </w:r>
      <w:r>
        <w:rPr>
          <w:rFonts w:hint="eastAsia" w:ascii="MS UI Gothic" w:eastAsia="MS UI Gothic"/>
          <w:w w:val="80"/>
        </w:rPr>
        <w:t xml:space="preserve">ꎬ </w:t>
      </w:r>
      <w:r>
        <w:t>应当直接送到工作地点</w:t>
      </w:r>
      <w:r>
        <w:rPr>
          <w:rFonts w:hint="eastAsia" w:ascii="MS UI Gothic" w:eastAsia="MS UI Gothic"/>
          <w:w w:val="80"/>
        </w:rPr>
        <w:t xml:space="preserve">ꎬ </w:t>
      </w:r>
      <w:r>
        <w:t>严禁中途逗留</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携带爆炸物品上</w:t>
      </w:r>
      <w:r>
        <w:rPr>
          <w:rFonts w:hint="eastAsia" w:ascii="MS UI Gothic" w:eastAsia="MS UI Gothic"/>
          <w:w w:val="80"/>
        </w:rPr>
        <w:t xml:space="preserve">、 </w:t>
      </w:r>
      <w:r>
        <w:rPr>
          <w:w w:val="105"/>
        </w:rPr>
        <w:t>下井时</w:t>
      </w:r>
      <w:r>
        <w:rPr>
          <w:rFonts w:hint="eastAsia" w:ascii="MS UI Gothic" w:eastAsia="MS UI Gothic"/>
          <w:w w:val="80"/>
        </w:rPr>
        <w:t xml:space="preserve">ꎬ </w:t>
      </w:r>
      <w:r>
        <w:rPr>
          <w:w w:val="105"/>
        </w:rPr>
        <w:t>在</w:t>
      </w:r>
      <w:r>
        <w:t>每层罐笼内搭乘的携带爆炸物品的人员不</w:t>
      </w:r>
      <w:r>
        <w:rPr>
          <w:w w:val="105"/>
        </w:rPr>
        <w:t xml:space="preserve">得超过 </w:t>
      </w:r>
      <w:r>
        <w:rPr>
          <w:rFonts w:hint="eastAsia" w:ascii="MS UI Gothic" w:eastAsia="MS UI Gothic"/>
          <w:w w:val="80"/>
        </w:rPr>
        <w:t xml:space="preserve">４ </w:t>
      </w:r>
      <w:r>
        <w:rPr>
          <w:w w:val="105"/>
        </w:rPr>
        <w:t>人</w:t>
      </w:r>
      <w:r>
        <w:rPr>
          <w:rFonts w:hint="eastAsia" w:ascii="MS UI Gothic" w:eastAsia="MS UI Gothic"/>
          <w:w w:val="80"/>
        </w:rPr>
        <w:t xml:space="preserve">ꎬ </w:t>
      </w:r>
      <w:r>
        <w:rPr>
          <w:w w:val="105"/>
        </w:rPr>
        <w:t>其他人员不得同罐上下</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在交接班</w:t>
      </w:r>
      <w:r>
        <w:rPr>
          <w:rFonts w:hint="eastAsia" w:ascii="MS UI Gothic" w:eastAsia="MS UI Gothic"/>
          <w:w w:val="80"/>
        </w:rPr>
        <w:t xml:space="preserve">、 </w:t>
      </w:r>
      <w:r>
        <w:rPr>
          <w:w w:val="105"/>
        </w:rPr>
        <w:t>人员上下井的时间</w:t>
      </w:r>
      <w:r>
        <w:t>内</w:t>
      </w:r>
      <w:r>
        <w:rPr>
          <w:rFonts w:hint="eastAsia" w:ascii="MS UI Gothic" w:eastAsia="MS UI Gothic"/>
          <w:w w:val="80"/>
        </w:rPr>
        <w:t xml:space="preserve">ꎬ </w:t>
      </w:r>
      <w:r>
        <w:t>严禁携带爆炸物品人员沿井筒上下</w:t>
      </w:r>
      <w:r>
        <w:rPr>
          <w:rFonts w:hint="eastAsia" w:ascii="MS UI Gothic" w:eastAsia="MS UI Gothic"/>
          <w:w w:val="80"/>
        </w:rPr>
        <w:t>ꎮ</w:t>
      </w:r>
    </w:p>
    <w:p>
      <w:pPr>
        <w:pStyle w:val="6"/>
        <w:tabs>
          <w:tab w:val="left" w:pos="2162"/>
        </w:tabs>
        <w:spacing w:before="133"/>
        <w:ind w:left="1324" w:firstLine="0"/>
        <w:jc w:val="left"/>
      </w:pPr>
      <w:r>
        <w:rPr>
          <w:spacing w:val="3"/>
          <w:w w:val="105"/>
        </w:rPr>
        <w:t>第三</w:t>
      </w:r>
      <w:r>
        <w:rPr>
          <w:w w:val="105"/>
        </w:rPr>
        <w:t>节</w:t>
      </w:r>
      <w:r>
        <w:rPr>
          <w:w w:val="105"/>
        </w:rPr>
        <w:tab/>
      </w:r>
      <w:r>
        <w:rPr>
          <w:w w:val="105"/>
        </w:rPr>
        <w:t>井</w:t>
      </w:r>
      <w:r>
        <w:rPr>
          <w:spacing w:val="-33"/>
          <w:w w:val="105"/>
        </w:rPr>
        <w:t xml:space="preserve"> </w:t>
      </w:r>
      <w:r>
        <w:rPr>
          <w:w w:val="105"/>
        </w:rPr>
        <w:t>下</w:t>
      </w:r>
      <w:r>
        <w:rPr>
          <w:spacing w:val="-33"/>
          <w:w w:val="105"/>
        </w:rPr>
        <w:t xml:space="preserve"> </w:t>
      </w:r>
      <w:r>
        <w:rPr>
          <w:w w:val="105"/>
        </w:rPr>
        <w:t>爆</w:t>
      </w:r>
      <w:r>
        <w:rPr>
          <w:spacing w:val="-33"/>
          <w:w w:val="105"/>
        </w:rPr>
        <w:t xml:space="preserve"> </w:t>
      </w:r>
      <w:r>
        <w:rPr>
          <w:w w:val="105"/>
        </w:rPr>
        <w:t>破</w:t>
      </w:r>
    </w:p>
    <w:p>
      <w:pPr>
        <w:pStyle w:val="6"/>
        <w:spacing w:before="10"/>
        <w:ind w:left="0" w:firstLine="0"/>
        <w:jc w:val="left"/>
        <w:rPr>
          <w:sz w:val="16"/>
        </w:rPr>
      </w:pPr>
    </w:p>
    <w:p>
      <w:pPr>
        <w:pStyle w:val="6"/>
        <w:spacing w:line="295" w:lineRule="auto"/>
        <w:ind w:left="381" w:right="126"/>
        <w:rPr>
          <w:rFonts w:hint="eastAsia" w:ascii="MS UI Gothic" w:eastAsia="MS UI Gothic"/>
        </w:rPr>
      </w:pPr>
      <w:r>
        <w:t>第三百四十三条 煤矿必须指定部门对爆破工作专门管理</w:t>
      </w:r>
      <w:r>
        <w:rPr>
          <w:rFonts w:hint="eastAsia" w:ascii="MS UI Gothic" w:eastAsia="MS UI Gothic"/>
          <w:w w:val="80"/>
        </w:rPr>
        <w:t xml:space="preserve">ꎬ </w:t>
      </w:r>
      <w:r>
        <w:t>配备专业管理人员</w:t>
      </w:r>
      <w:r>
        <w:rPr>
          <w:rFonts w:hint="eastAsia" w:ascii="MS UI Gothic" w:eastAsia="MS UI Gothic"/>
          <w:w w:val="80"/>
        </w:rPr>
        <w:t xml:space="preserve">ꎮ </w:t>
      </w:r>
      <w:r>
        <w:t>所有爆破人员</w:t>
      </w:r>
      <w:r>
        <w:rPr>
          <w:rFonts w:hint="eastAsia" w:ascii="MS UI Gothic" w:eastAsia="MS UI Gothic"/>
          <w:w w:val="80"/>
        </w:rPr>
        <w:t xml:space="preserve">ꎬ </w:t>
      </w:r>
      <w:r>
        <w:t>包括爆破</w:t>
      </w:r>
      <w:r>
        <w:rPr>
          <w:rFonts w:hint="eastAsia" w:ascii="MS UI Gothic" w:eastAsia="MS UI Gothic"/>
          <w:w w:val="80"/>
        </w:rPr>
        <w:t xml:space="preserve">、 </w:t>
      </w:r>
      <w:r>
        <w:t>送药</w:t>
      </w:r>
      <w:r>
        <w:rPr>
          <w:rFonts w:hint="eastAsia" w:ascii="MS UI Gothic" w:eastAsia="MS UI Gothic"/>
          <w:w w:val="80"/>
        </w:rPr>
        <w:t xml:space="preserve">、 </w:t>
      </w:r>
      <w:r>
        <w:t>装药人员</w:t>
      </w:r>
      <w:r>
        <w:rPr>
          <w:rFonts w:hint="eastAsia" w:ascii="MS UI Gothic" w:eastAsia="MS UI Gothic"/>
          <w:w w:val="80"/>
        </w:rPr>
        <w:t xml:space="preserve">ꎬ </w:t>
      </w:r>
      <w:r>
        <w:t>必须熟悉爆炸物品性能和本规程规定</w:t>
      </w:r>
      <w:r>
        <w:rPr>
          <w:rFonts w:hint="eastAsia" w:ascii="MS UI Gothic" w:eastAsia="MS UI Gothic"/>
          <w:w w:val="80"/>
        </w:rPr>
        <w:t>ꎮ</w:t>
      </w:r>
    </w:p>
    <w:p>
      <w:pPr>
        <w:pStyle w:val="6"/>
        <w:tabs>
          <w:tab w:val="left" w:pos="2477"/>
        </w:tabs>
        <w:spacing w:line="252" w:lineRule="exact"/>
        <w:ind w:left="800" w:firstLine="0"/>
        <w:jc w:val="left"/>
      </w:pPr>
      <w:r>
        <w:rPr>
          <w:spacing w:val="3"/>
          <w:w w:val="105"/>
        </w:rPr>
        <w:t>第三百四十四</w:t>
      </w:r>
      <w:r>
        <w:rPr>
          <w:w w:val="105"/>
        </w:rPr>
        <w:t>条</w:t>
      </w:r>
      <w:r>
        <w:rPr>
          <w:w w:val="105"/>
        </w:rPr>
        <w:tab/>
      </w:r>
      <w:r>
        <w:rPr>
          <w:spacing w:val="3"/>
          <w:w w:val="105"/>
        </w:rPr>
        <w:t>开凿或者延深立</w:t>
      </w:r>
      <w:r>
        <w:rPr>
          <w:w w:val="105"/>
        </w:rPr>
        <w:t>井</w:t>
      </w:r>
    </w:p>
    <w:p>
      <w:pPr>
        <w:spacing w:after="0" w:line="252"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２８８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93" o:spid="_x0000_s1893" o:spt="203" style="height:2.15pt;width:398.25pt;" coordsize="7965,43">
            <o:lock v:ext="edit"/>
            <v:line id="_x0000_s1894" o:spid="_x0000_s1894" o:spt="20" style="position:absolute;left:0;top:39;height:0;width:7965;" stroked="t" coordsize="21600,21600">
              <v:path arrowok="t"/>
              <v:fill focussize="0,0"/>
              <v:stroke weight="0.388031496062992pt" color="#231F20"/>
              <v:imagedata o:title=""/>
              <o:lock v:ext="edit"/>
            </v:line>
            <v:line id="_x0000_s1895" o:spid="_x0000_s189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井筒</w:t>
      </w:r>
      <w:r>
        <w:rPr>
          <w:rFonts w:hint="eastAsia" w:ascii="MS UI Gothic" w:eastAsia="MS UI Gothic"/>
          <w:w w:val="80"/>
        </w:rPr>
        <w:t xml:space="preserve">ꎬ </w:t>
      </w:r>
      <w:r>
        <w:t>向井底工作面运送爆炸物品和在井筒内装药时</w:t>
      </w:r>
      <w:r>
        <w:rPr>
          <w:rFonts w:hint="eastAsia" w:ascii="MS UI Gothic" w:eastAsia="MS UI Gothic"/>
          <w:w w:val="80"/>
        </w:rPr>
        <w:t xml:space="preserve">ꎬ </w:t>
      </w:r>
      <w:r>
        <w:t>除负责装药爆破的人员</w:t>
      </w:r>
      <w:r>
        <w:rPr>
          <w:rFonts w:hint="eastAsia" w:ascii="MS UI Gothic" w:eastAsia="MS UI Gothic"/>
          <w:w w:val="80"/>
        </w:rPr>
        <w:t xml:space="preserve">、 </w:t>
      </w:r>
      <w:r>
        <w:t>信号工</w:t>
      </w:r>
      <w:r>
        <w:rPr>
          <w:rFonts w:hint="eastAsia" w:ascii="MS UI Gothic" w:eastAsia="MS UI Gothic"/>
          <w:w w:val="80"/>
        </w:rPr>
        <w:t xml:space="preserve">、 </w:t>
      </w:r>
      <w:r>
        <w:t>看盘工和水泵司机外</w:t>
      </w:r>
      <w:r>
        <w:rPr>
          <w:rFonts w:hint="eastAsia" w:ascii="MS UI Gothic" w:eastAsia="MS UI Gothic"/>
          <w:w w:val="80"/>
        </w:rPr>
        <w:t xml:space="preserve">ꎬ </w:t>
      </w:r>
      <w:r>
        <w:t>其他人员必须撤到地面或者上水平巷道中</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第三百四十五条 开凿或者延深立井</w:t>
      </w:r>
      <w:r>
        <w:t>井筒中的装配起爆药卷工作</w:t>
      </w:r>
      <w:r>
        <w:rPr>
          <w:rFonts w:hint="eastAsia" w:ascii="MS UI Gothic" w:eastAsia="MS UI Gothic"/>
          <w:w w:val="80"/>
        </w:rPr>
        <w:t xml:space="preserve">ꎬ </w:t>
      </w:r>
      <w:r>
        <w:t>必须在地面</w:t>
      </w:r>
      <w:r>
        <w:rPr>
          <w:w w:val="105"/>
        </w:rPr>
        <w:t>专用的房间内进行</w:t>
      </w:r>
      <w:r>
        <w:rPr>
          <w:rFonts w:hint="eastAsia" w:ascii="MS UI Gothic" w:eastAsia="MS UI Gothic"/>
          <w:w w:val="80"/>
        </w:rPr>
        <w:t>ꎮ</w:t>
      </w:r>
    </w:p>
    <w:p>
      <w:pPr>
        <w:pStyle w:val="6"/>
        <w:spacing w:line="295" w:lineRule="auto"/>
        <w:ind w:right="39"/>
        <w:rPr>
          <w:rFonts w:hint="eastAsia" w:ascii="MS UI Gothic" w:eastAsia="MS UI Gothic"/>
        </w:rPr>
      </w:pPr>
      <w:r>
        <w:t>专用房间距井筒</w:t>
      </w:r>
      <w:r>
        <w:rPr>
          <w:rFonts w:hint="eastAsia" w:ascii="MS UI Gothic" w:eastAsia="MS UI Gothic"/>
          <w:w w:val="85"/>
        </w:rPr>
        <w:t xml:space="preserve">、 </w:t>
      </w:r>
      <w:r>
        <w:t>厂房</w:t>
      </w:r>
      <w:r>
        <w:rPr>
          <w:rFonts w:hint="eastAsia" w:ascii="MS UI Gothic" w:eastAsia="MS UI Gothic"/>
          <w:w w:val="85"/>
        </w:rPr>
        <w:t xml:space="preserve">、 </w:t>
      </w:r>
      <w:r>
        <w:t>建筑物和主要通路的安全距离必须符合国家有关规定</w:t>
      </w:r>
      <w:r>
        <w:rPr>
          <w:rFonts w:hint="eastAsia" w:ascii="MS UI Gothic" w:eastAsia="MS UI Gothic"/>
          <w:w w:val="85"/>
        </w:rPr>
        <w:t xml:space="preserve">ꎬ </w:t>
      </w:r>
      <w:r>
        <w:t xml:space="preserve">且距离井筒不得小于 </w:t>
      </w:r>
      <w:r>
        <w:rPr>
          <w:rFonts w:hint="eastAsia" w:ascii="MS UI Gothic" w:eastAsia="MS UI Gothic"/>
          <w:w w:val="85"/>
        </w:rPr>
        <w:t>５０ ｍꎮ</w:t>
      </w:r>
    </w:p>
    <w:p>
      <w:pPr>
        <w:pStyle w:val="6"/>
        <w:spacing w:line="295" w:lineRule="auto"/>
        <w:ind w:right="39"/>
        <w:jc w:val="left"/>
        <w:rPr>
          <w:rFonts w:hint="eastAsia" w:ascii="MS UI Gothic" w:eastAsia="MS UI Gothic"/>
        </w:rPr>
      </w:pPr>
      <w:r>
        <w:t>严禁将起爆药卷与炸药装在同一爆炸</w:t>
      </w:r>
      <w:r>
        <w:rPr>
          <w:w w:val="105"/>
        </w:rPr>
        <w:t>物品容器内运往井底工作面</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第三百四十六条 在开凿或者延深立</w:t>
      </w:r>
      <w:r>
        <w:t>井井筒时</w:t>
      </w:r>
      <w:r>
        <w:rPr>
          <w:rFonts w:hint="eastAsia" w:ascii="MS UI Gothic" w:eastAsia="MS UI Gothic"/>
          <w:w w:val="80"/>
        </w:rPr>
        <w:t xml:space="preserve">ꎬ </w:t>
      </w:r>
      <w:r>
        <w:t>必须在地面或者在生产水平巷</w:t>
      </w:r>
      <w:r>
        <w:rPr>
          <w:w w:val="105"/>
        </w:rPr>
        <w:t>道内进行起爆</w:t>
      </w:r>
      <w:r>
        <w:rPr>
          <w:rFonts w:hint="eastAsia" w:ascii="MS UI Gothic" w:eastAsia="MS UI Gothic"/>
          <w:w w:val="80"/>
        </w:rPr>
        <w:t>ꎮ</w:t>
      </w:r>
    </w:p>
    <w:p>
      <w:pPr>
        <w:pStyle w:val="6"/>
        <w:spacing w:line="295" w:lineRule="auto"/>
        <w:ind w:right="39"/>
        <w:rPr>
          <w:rFonts w:hint="eastAsia" w:ascii="MS UI Gothic" w:eastAsia="MS UI Gothic"/>
        </w:rPr>
      </w:pPr>
      <w:r>
        <w:t>在爆破母线与电力起爆接线盒引线接通之前</w:t>
      </w:r>
      <w:r>
        <w:rPr>
          <w:rFonts w:hint="eastAsia" w:ascii="MS UI Gothic" w:eastAsia="MS UI Gothic"/>
          <w:w w:val="80"/>
        </w:rPr>
        <w:t xml:space="preserve">ꎬ </w:t>
      </w:r>
      <w:r>
        <w:t>井筒内所有电气设备必须断电</w:t>
      </w:r>
      <w:r>
        <w:rPr>
          <w:rFonts w:hint="eastAsia" w:ascii="MS UI Gothic" w:eastAsia="MS UI Gothic"/>
          <w:w w:val="80"/>
        </w:rPr>
        <w:t>ꎮ</w:t>
      </w:r>
    </w:p>
    <w:p>
      <w:pPr>
        <w:pStyle w:val="6"/>
        <w:spacing w:line="295" w:lineRule="auto"/>
        <w:ind w:right="38"/>
        <w:rPr>
          <w:rFonts w:hint="eastAsia" w:ascii="MS UI Gothic" w:eastAsia="MS UI Gothic"/>
        </w:rPr>
      </w:pPr>
      <w:r>
        <w:t>只有在爆破工完成装药和连线工作</w:t>
      </w:r>
      <w:r>
        <w:rPr>
          <w:rFonts w:hint="eastAsia" w:ascii="MS UI Gothic" w:eastAsia="MS UI Gothic"/>
          <w:w w:val="80"/>
        </w:rPr>
        <w:t>ꎬ</w:t>
      </w:r>
      <w:r>
        <w:t>将所有井盖门打开</w:t>
      </w:r>
      <w:r>
        <w:rPr>
          <w:rFonts w:hint="eastAsia" w:ascii="MS UI Gothic" w:eastAsia="MS UI Gothic"/>
          <w:w w:val="80"/>
        </w:rPr>
        <w:t xml:space="preserve">ꎬ </w:t>
      </w:r>
      <w:r>
        <w:t>井筒</w:t>
      </w:r>
      <w:r>
        <w:rPr>
          <w:rFonts w:hint="eastAsia" w:ascii="MS UI Gothic" w:eastAsia="MS UI Gothic"/>
        </w:rPr>
        <w:t xml:space="preserve">、 </w:t>
      </w:r>
      <w:r>
        <w:t>井口房内的人员全部撤出</w:t>
      </w:r>
      <w:r>
        <w:rPr>
          <w:rFonts w:hint="eastAsia" w:ascii="MS UI Gothic" w:eastAsia="MS UI Gothic"/>
          <w:w w:val="80"/>
        </w:rPr>
        <w:t xml:space="preserve">ꎬ </w:t>
      </w:r>
      <w:r>
        <w:t>设备</w:t>
      </w:r>
      <w:r>
        <w:rPr>
          <w:rFonts w:hint="eastAsia" w:ascii="MS UI Gothic" w:eastAsia="MS UI Gothic"/>
        </w:rPr>
        <w:t xml:space="preserve">、 </w:t>
      </w:r>
      <w:r>
        <w:t>工具提升到安全高度以后</w:t>
      </w:r>
      <w:r>
        <w:rPr>
          <w:rFonts w:hint="eastAsia" w:ascii="MS UI Gothic" w:eastAsia="MS UI Gothic"/>
          <w:w w:val="80"/>
        </w:rPr>
        <w:t xml:space="preserve">ꎬ </w:t>
      </w:r>
      <w:r>
        <w:t>方可起爆</w:t>
      </w:r>
      <w:r>
        <w:rPr>
          <w:rFonts w:hint="eastAsia" w:ascii="MS UI Gothic" w:eastAsia="MS UI Gothic"/>
          <w:w w:val="80"/>
        </w:rPr>
        <w:t>ꎮ</w:t>
      </w:r>
    </w:p>
    <w:p>
      <w:pPr>
        <w:pStyle w:val="6"/>
        <w:spacing w:line="295" w:lineRule="auto"/>
        <w:ind w:right="39"/>
        <w:rPr>
          <w:rFonts w:hint="eastAsia" w:ascii="MS UI Gothic" w:eastAsia="MS UI Gothic"/>
        </w:rPr>
      </w:pPr>
      <w:r>
        <w:t>爆破通风后</w:t>
      </w:r>
      <w:r>
        <w:rPr>
          <w:rFonts w:hint="eastAsia" w:ascii="MS UI Gothic" w:eastAsia="MS UI Gothic"/>
          <w:w w:val="80"/>
        </w:rPr>
        <w:t xml:space="preserve">ꎬ </w:t>
      </w:r>
      <w:r>
        <w:t>必须仔细检查井筒</w:t>
      </w:r>
      <w:r>
        <w:rPr>
          <w:rFonts w:hint="eastAsia" w:ascii="MS UI Gothic" w:eastAsia="MS UI Gothic"/>
          <w:w w:val="80"/>
        </w:rPr>
        <w:t xml:space="preserve">ꎬ </w:t>
      </w:r>
      <w:r>
        <w:t>清除崩落在井圈上</w:t>
      </w:r>
      <w:r>
        <w:rPr>
          <w:rFonts w:hint="eastAsia" w:ascii="MS UI Gothic" w:eastAsia="MS UI Gothic"/>
          <w:w w:val="80"/>
        </w:rPr>
        <w:t xml:space="preserve">、 </w:t>
      </w:r>
      <w:r>
        <w:t>吊盘上或者其他设备上的矸石</w:t>
      </w:r>
      <w:r>
        <w:rPr>
          <w:rFonts w:hint="eastAsia" w:ascii="MS UI Gothic" w:eastAsia="MS UI Gothic"/>
          <w:w w:val="80"/>
        </w:rPr>
        <w:t>ꎮ</w:t>
      </w:r>
    </w:p>
    <w:p>
      <w:pPr>
        <w:pStyle w:val="6"/>
        <w:spacing w:line="295" w:lineRule="auto"/>
        <w:ind w:right="39"/>
        <w:rPr>
          <w:rFonts w:hint="eastAsia" w:ascii="MS UI Gothic" w:eastAsia="MS UI Gothic"/>
        </w:rPr>
      </w:pPr>
      <w:r>
        <w:t>爆破后乘吊桶检查井底工作面时</w:t>
      </w:r>
      <w:r>
        <w:rPr>
          <w:rFonts w:hint="eastAsia" w:ascii="MS UI Gothic" w:eastAsia="MS UI Gothic"/>
          <w:w w:val="80"/>
        </w:rPr>
        <w:t xml:space="preserve">ꎬ </w:t>
      </w:r>
      <w:r>
        <w:t>吊桶不得蹾撞工作面</w:t>
      </w:r>
      <w:r>
        <w:rPr>
          <w:rFonts w:hint="eastAsia" w:ascii="MS UI Gothic" w:eastAsia="MS UI Gothic"/>
          <w:w w:val="80"/>
        </w:rPr>
        <w:t>ꎮ</w:t>
      </w:r>
    </w:p>
    <w:p>
      <w:pPr>
        <w:pStyle w:val="6"/>
        <w:spacing w:line="295" w:lineRule="auto"/>
        <w:ind w:right="38"/>
        <w:rPr>
          <w:rFonts w:hint="eastAsia" w:ascii="MS UI Gothic" w:hAnsi="MS UI Gothic" w:eastAsia="MS UI Gothic"/>
        </w:rPr>
      </w:pPr>
      <w:r>
        <w:rPr>
          <w:spacing w:val="2"/>
          <w:w w:val="105"/>
        </w:rPr>
        <w:t>第三百四十七条 井下爆破工作必须</w:t>
      </w:r>
      <w:r>
        <w:rPr>
          <w:spacing w:val="3"/>
        </w:rPr>
        <w:t>由专职爆破工担任</w:t>
      </w:r>
      <w:r>
        <w:rPr>
          <w:rFonts w:hint="eastAsia" w:ascii="MS UI Gothic" w:hAnsi="MS UI Gothic" w:eastAsia="MS UI Gothic"/>
          <w:spacing w:val="21"/>
          <w:w w:val="80"/>
        </w:rPr>
        <w:t xml:space="preserve">ꎮ </w:t>
      </w:r>
      <w:r>
        <w:rPr>
          <w:spacing w:val="2"/>
        </w:rPr>
        <w:t>突出煤层采掘工作面</w:t>
      </w:r>
      <w:r>
        <w:rPr>
          <w:spacing w:val="4"/>
        </w:rPr>
        <w:t>爆破工作必须由固定的专职爆破工担任</w:t>
      </w:r>
      <w:r>
        <w:rPr>
          <w:rFonts w:hint="eastAsia" w:ascii="MS UI Gothic" w:hAnsi="MS UI Gothic" w:eastAsia="MS UI Gothic"/>
          <w:w w:val="80"/>
        </w:rPr>
        <w:t>ꎮ</w:t>
      </w:r>
      <w:r>
        <w:rPr>
          <w:spacing w:val="-4"/>
          <w:w w:val="105"/>
        </w:rPr>
        <w:t xml:space="preserve">爆破作业必须执行 </w:t>
      </w:r>
      <w:r>
        <w:rPr>
          <w:rFonts w:hint="eastAsia" w:ascii="MS UI Gothic" w:hAnsi="MS UI Gothic" w:eastAsia="MS UI Gothic"/>
          <w:spacing w:val="-24"/>
          <w:w w:val="105"/>
        </w:rPr>
        <w:t xml:space="preserve">“ </w:t>
      </w:r>
      <w:r>
        <w:rPr>
          <w:spacing w:val="3"/>
          <w:w w:val="105"/>
        </w:rPr>
        <w:t>一炮三检</w:t>
      </w:r>
      <w:r>
        <w:rPr>
          <w:rFonts w:hint="eastAsia" w:ascii="MS UI Gothic" w:hAnsi="MS UI Gothic" w:eastAsia="MS UI Gothic"/>
          <w:spacing w:val="18"/>
          <w:w w:val="105"/>
        </w:rPr>
        <w:t xml:space="preserve">” </w:t>
      </w:r>
      <w:r>
        <w:rPr>
          <w:spacing w:val="-22"/>
          <w:w w:val="105"/>
        </w:rPr>
        <w:t xml:space="preserve">和 </w:t>
      </w:r>
      <w:r>
        <w:rPr>
          <w:rFonts w:hint="eastAsia" w:ascii="MS UI Gothic" w:hAnsi="MS UI Gothic" w:eastAsia="MS UI Gothic"/>
          <w:spacing w:val="-23"/>
          <w:w w:val="105"/>
        </w:rPr>
        <w:t xml:space="preserve">“ </w:t>
      </w:r>
      <w:r>
        <w:rPr>
          <w:spacing w:val="3"/>
          <w:w w:val="105"/>
        </w:rPr>
        <w:t>三人</w:t>
      </w:r>
      <w:r>
        <w:rPr>
          <w:spacing w:val="7"/>
          <w:w w:val="105"/>
        </w:rPr>
        <w:t>连锁爆破</w:t>
      </w:r>
      <w:r>
        <w:rPr>
          <w:rFonts w:hint="eastAsia" w:ascii="MS UI Gothic" w:hAnsi="MS UI Gothic" w:eastAsia="MS UI Gothic"/>
          <w:spacing w:val="3"/>
          <w:w w:val="105"/>
        </w:rPr>
        <w:t xml:space="preserve">” </w:t>
      </w:r>
      <w:r>
        <w:rPr>
          <w:spacing w:val="11"/>
          <w:w w:val="105"/>
        </w:rPr>
        <w:t>制度</w:t>
      </w:r>
      <w:r>
        <w:rPr>
          <w:rFonts w:hint="eastAsia" w:ascii="MS UI Gothic" w:hAnsi="MS UI Gothic" w:eastAsia="MS UI Gothic"/>
          <w:spacing w:val="6"/>
          <w:w w:val="80"/>
        </w:rPr>
        <w:t xml:space="preserve">ꎬ </w:t>
      </w:r>
      <w:r>
        <w:rPr>
          <w:spacing w:val="18"/>
          <w:w w:val="105"/>
        </w:rPr>
        <w:t>并在起爆前检查起爆</w:t>
      </w:r>
      <w:r>
        <w:rPr>
          <w:spacing w:val="3"/>
          <w:w w:val="105"/>
        </w:rPr>
        <w:t>地点的甲烷浓度</w:t>
      </w:r>
      <w:r>
        <w:rPr>
          <w:rFonts w:hint="eastAsia" w:ascii="MS UI Gothic" w:hAnsi="MS UI Gothic" w:eastAsia="MS UI Gothic"/>
          <w:w w:val="80"/>
        </w:rPr>
        <w:t>ꎮ</w:t>
      </w:r>
    </w:p>
    <w:p>
      <w:pPr>
        <w:pStyle w:val="6"/>
        <w:spacing w:line="295" w:lineRule="auto"/>
        <w:ind w:right="39"/>
        <w:rPr>
          <w:rFonts w:hint="eastAsia" w:ascii="MS UI Gothic" w:eastAsia="MS UI Gothic"/>
        </w:rPr>
      </w:pPr>
      <w:r>
        <w:rPr>
          <w:w w:val="105"/>
        </w:rPr>
        <w:t>第三百四十八条 爆破作业必须编制</w:t>
      </w:r>
      <w:r>
        <w:rPr>
          <w:w w:val="110"/>
        </w:rPr>
        <w:t>爆破作业说明书</w:t>
      </w:r>
      <w:r>
        <w:rPr>
          <w:rFonts w:hint="eastAsia" w:ascii="MS UI Gothic" w:eastAsia="MS UI Gothic"/>
          <w:w w:val="80"/>
        </w:rPr>
        <w:t xml:space="preserve">ꎬ </w:t>
      </w:r>
      <w:r>
        <w:rPr>
          <w:w w:val="110"/>
        </w:rPr>
        <w:t>并符合下列要求</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炮眼布置图必须标明采煤工作</w:t>
      </w:r>
      <w:r>
        <w:t>面的高度和打眼范围或者掘进工作面的巷</w:t>
      </w:r>
      <w:r>
        <w:rPr>
          <w:w w:val="105"/>
        </w:rPr>
        <w:t>道断面尺寸</w:t>
      </w:r>
      <w:r>
        <w:rPr>
          <w:rFonts w:hint="eastAsia" w:ascii="MS UI Gothic" w:eastAsia="MS UI Gothic"/>
          <w:w w:val="80"/>
        </w:rPr>
        <w:t xml:space="preserve">ꎬ </w:t>
      </w:r>
      <w:r>
        <w:rPr>
          <w:w w:val="105"/>
        </w:rPr>
        <w:t>炮眼的位置</w:t>
      </w:r>
      <w:r>
        <w:rPr>
          <w:rFonts w:hint="eastAsia" w:ascii="MS UI Gothic" w:eastAsia="MS UI Gothic"/>
          <w:w w:val="80"/>
        </w:rPr>
        <w:t xml:space="preserve">、 </w:t>
      </w:r>
      <w:r>
        <w:rPr>
          <w:w w:val="105"/>
        </w:rPr>
        <w:t>个数</w:t>
      </w:r>
      <w:r>
        <w:rPr>
          <w:rFonts w:hint="eastAsia" w:ascii="MS UI Gothic" w:eastAsia="MS UI Gothic"/>
          <w:w w:val="80"/>
        </w:rPr>
        <w:t xml:space="preserve">、 </w:t>
      </w:r>
      <w:r>
        <w:rPr>
          <w:w w:val="105"/>
        </w:rPr>
        <w:t>深度</w:t>
      </w:r>
      <w:r>
        <w:rPr>
          <w:rFonts w:hint="eastAsia" w:ascii="MS UI Gothic" w:eastAsia="MS UI Gothic"/>
          <w:w w:val="80"/>
        </w:rPr>
        <w:t>、</w:t>
      </w:r>
      <w:r>
        <w:rPr>
          <w:w w:val="105"/>
        </w:rPr>
        <w:t>角度及炮眼编号</w:t>
      </w:r>
      <w:r>
        <w:rPr>
          <w:rFonts w:hint="eastAsia" w:ascii="MS UI Gothic" w:eastAsia="MS UI Gothic"/>
          <w:w w:val="80"/>
        </w:rPr>
        <w:t xml:space="preserve">ꎬ </w:t>
      </w:r>
      <w:r>
        <w:rPr>
          <w:w w:val="105"/>
        </w:rPr>
        <w:t>并用正面图</w:t>
      </w:r>
      <w:r>
        <w:rPr>
          <w:rFonts w:hint="eastAsia" w:ascii="MS UI Gothic" w:eastAsia="MS UI Gothic"/>
          <w:w w:val="80"/>
        </w:rPr>
        <w:t xml:space="preserve">、 </w:t>
      </w:r>
      <w:r>
        <w:rPr>
          <w:w w:val="105"/>
        </w:rPr>
        <w:t>平面图和剖面图表示</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t>二</w:t>
      </w:r>
      <w:r>
        <w:rPr>
          <w:rFonts w:hint="eastAsia" w:ascii="MS UI Gothic" w:eastAsia="MS UI Gothic"/>
          <w:w w:val="150"/>
        </w:rPr>
        <w:t xml:space="preserve">) </w:t>
      </w:r>
      <w:r>
        <w:t>炮眼说明表必须说明炮眼的名称</w:t>
      </w:r>
      <w:r>
        <w:rPr>
          <w:rFonts w:hint="eastAsia" w:ascii="MS UI Gothic" w:eastAsia="MS UI Gothic"/>
          <w:w w:val="80"/>
        </w:rPr>
        <w:t xml:space="preserve">、 </w:t>
      </w:r>
      <w:r>
        <w:t>深度</w:t>
      </w:r>
      <w:r>
        <w:rPr>
          <w:rFonts w:hint="eastAsia" w:ascii="MS UI Gothic" w:eastAsia="MS UI Gothic"/>
          <w:w w:val="80"/>
        </w:rPr>
        <w:t xml:space="preserve">、 </w:t>
      </w:r>
      <w:r>
        <w:t>角度</w:t>
      </w:r>
      <w:r>
        <w:rPr>
          <w:rFonts w:hint="eastAsia" w:ascii="MS UI Gothic" w:eastAsia="MS UI Gothic"/>
          <w:w w:val="80"/>
        </w:rPr>
        <w:t xml:space="preserve">ꎬ </w:t>
      </w:r>
      <w:r>
        <w:t>使用炸药</w:t>
      </w:r>
      <w:r>
        <w:rPr>
          <w:rFonts w:hint="eastAsia" w:ascii="MS UI Gothic" w:eastAsia="MS UI Gothic"/>
          <w:w w:val="80"/>
        </w:rPr>
        <w:t xml:space="preserve">、  </w:t>
      </w:r>
      <w:r>
        <w:t>雷管的品种</w:t>
      </w:r>
      <w:r>
        <w:rPr>
          <w:rFonts w:hint="eastAsia" w:ascii="MS UI Gothic" w:eastAsia="MS UI Gothic"/>
          <w:w w:val="80"/>
        </w:rPr>
        <w:t xml:space="preserve">ꎬ </w:t>
      </w:r>
      <w:r>
        <w:t>装药量</w:t>
      </w:r>
      <w:r>
        <w:rPr>
          <w:rFonts w:hint="eastAsia" w:ascii="MS UI Gothic" w:eastAsia="MS UI Gothic"/>
          <w:w w:val="80"/>
        </w:rPr>
        <w:t xml:space="preserve">ꎬ </w:t>
      </w:r>
      <w:r>
        <w:t>封泥长度</w:t>
      </w:r>
      <w:r>
        <w:rPr>
          <w:rFonts w:hint="eastAsia" w:ascii="MS UI Gothic" w:eastAsia="MS UI Gothic"/>
          <w:w w:val="80"/>
        </w:rPr>
        <w:t xml:space="preserve">ꎬ </w:t>
      </w:r>
      <w:r>
        <w:t>连线方法和起爆顺序</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必须编入采掘作业规程</w:t>
      </w:r>
      <w:r>
        <w:rPr>
          <w:rFonts w:hint="eastAsia" w:ascii="MS UI Gothic" w:eastAsia="MS UI Gothic"/>
          <w:w w:val="80"/>
        </w:rPr>
        <w:t xml:space="preserve">ꎬ </w:t>
      </w:r>
      <w:r>
        <w:rPr>
          <w:w w:val="105"/>
        </w:rPr>
        <w:t>并及时修改补充</w:t>
      </w:r>
      <w:r>
        <w:rPr>
          <w:rFonts w:hint="eastAsia" w:ascii="MS UI Gothic" w:eastAsia="MS UI Gothic"/>
          <w:w w:val="80"/>
        </w:rPr>
        <w:t>ꎮ</w:t>
      </w:r>
    </w:p>
    <w:p>
      <w:pPr>
        <w:pStyle w:val="6"/>
        <w:spacing w:line="295" w:lineRule="auto"/>
        <w:ind w:right="442"/>
        <w:rPr>
          <w:rFonts w:hint="eastAsia" w:ascii="MS UI Gothic" w:eastAsia="MS UI Gothic"/>
        </w:rPr>
      </w:pPr>
      <w:r>
        <w:t>钻眼</w:t>
      </w:r>
      <w:r>
        <w:rPr>
          <w:rFonts w:hint="eastAsia" w:ascii="MS UI Gothic" w:eastAsia="MS UI Gothic"/>
          <w:w w:val="80"/>
        </w:rPr>
        <w:t xml:space="preserve">、 </w:t>
      </w:r>
      <w:r>
        <w:t>爆破人员必须依照说明书进行作业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第三百四十九条 不得使用过期或者</w:t>
      </w:r>
      <w:r>
        <w:t>变质的爆炸物品</w:t>
      </w:r>
      <w:r>
        <w:rPr>
          <w:rFonts w:hint="eastAsia" w:ascii="MS UI Gothic" w:eastAsia="MS UI Gothic"/>
          <w:w w:val="80"/>
        </w:rPr>
        <w:t xml:space="preserve">ꎮ </w:t>
      </w:r>
      <w:r>
        <w:t>不能使用的爆炸物品必</w:t>
      </w:r>
      <w:r>
        <w:rPr>
          <w:w w:val="105"/>
        </w:rPr>
        <w:t>须交回爆炸物品库</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第三百五十条 井下爆破作业</w:t>
      </w:r>
      <w:r>
        <w:rPr>
          <w:rFonts w:hint="eastAsia" w:ascii="MS UI Gothic" w:eastAsia="MS UI Gothic"/>
          <w:w w:val="80"/>
        </w:rPr>
        <w:t xml:space="preserve">ꎬ </w:t>
      </w:r>
      <w:r>
        <w:rPr>
          <w:w w:val="105"/>
        </w:rPr>
        <w:t>必须</w:t>
      </w:r>
      <w:r>
        <w:t>使用煤矿许用炸药和煤矿许用电雷管</w:t>
      </w:r>
      <w:r>
        <w:rPr>
          <w:rFonts w:hint="eastAsia" w:ascii="MS UI Gothic" w:eastAsia="MS UI Gothic"/>
          <w:w w:val="80"/>
        </w:rPr>
        <w:t xml:space="preserve">ꎮ </w:t>
      </w:r>
      <w:r>
        <w:t>一</w:t>
      </w:r>
      <w:r>
        <w:rPr>
          <w:w w:val="105"/>
        </w:rPr>
        <w:t>次爆破必须使用同一厂家</w:t>
      </w:r>
      <w:r>
        <w:rPr>
          <w:rFonts w:hint="eastAsia" w:ascii="MS UI Gothic" w:eastAsia="MS UI Gothic"/>
          <w:w w:val="80"/>
        </w:rPr>
        <w:t xml:space="preserve">、 </w:t>
      </w:r>
      <w:r>
        <w:rPr>
          <w:w w:val="105"/>
        </w:rPr>
        <w:t>同一品种的煤</w:t>
      </w:r>
      <w:r>
        <w:t>矿许用炸药和电雷管</w:t>
      </w:r>
      <w:r>
        <w:rPr>
          <w:rFonts w:hint="eastAsia" w:ascii="MS UI Gothic" w:eastAsia="MS UI Gothic"/>
          <w:w w:val="80"/>
        </w:rPr>
        <w:t xml:space="preserve">ꎮ </w:t>
      </w:r>
      <w:r>
        <w:t>煤矿许用炸药的选</w:t>
      </w:r>
      <w:r>
        <w:rPr>
          <w:w w:val="105"/>
        </w:rPr>
        <w:t>用必须遵守下列规定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低瓦斯矿井的岩石掘进工作</w:t>
      </w:r>
      <w:r>
        <w:t>面</w:t>
      </w:r>
      <w:r>
        <w:rPr>
          <w:rFonts w:hint="eastAsia" w:ascii="MS UI Gothic" w:eastAsia="MS UI Gothic"/>
          <w:w w:val="80"/>
        </w:rPr>
        <w:t xml:space="preserve">ꎬ </w:t>
      </w:r>
      <w:r>
        <w:t>使用安全等级不低于一级的煤矿许用</w:t>
      </w:r>
      <w:r>
        <w:rPr>
          <w:w w:val="105"/>
        </w:rPr>
        <w:t>炸药</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5"/>
          <w:w w:val="105"/>
        </w:rPr>
        <w:t>二</w:t>
      </w:r>
      <w:r>
        <w:rPr>
          <w:rFonts w:hint="eastAsia" w:ascii="MS UI Gothic" w:eastAsia="MS UI Gothic"/>
          <w:spacing w:val="12"/>
          <w:w w:val="150"/>
        </w:rPr>
        <w:t xml:space="preserve">) </w:t>
      </w:r>
      <w:r>
        <w:rPr>
          <w:spacing w:val="23"/>
          <w:w w:val="105"/>
        </w:rPr>
        <w:t>低瓦斯矿井的煤层采掘工作</w:t>
      </w:r>
      <w:r>
        <w:rPr>
          <w:spacing w:val="3"/>
          <w:w w:val="105"/>
        </w:rPr>
        <w:t>面</w:t>
      </w:r>
      <w:r>
        <w:rPr>
          <w:rFonts w:hint="eastAsia" w:ascii="MS UI Gothic" w:eastAsia="MS UI Gothic"/>
          <w:w w:val="80"/>
        </w:rPr>
        <w:t xml:space="preserve">、 </w:t>
      </w:r>
      <w:r>
        <w:rPr>
          <w:spacing w:val="3"/>
          <w:w w:val="105"/>
        </w:rPr>
        <w:t>半煤岩掘进工作面</w:t>
      </w:r>
      <w:r>
        <w:rPr>
          <w:rFonts w:hint="eastAsia" w:ascii="MS UI Gothic" w:eastAsia="MS UI Gothic"/>
          <w:w w:val="80"/>
        </w:rPr>
        <w:t xml:space="preserve">ꎬ </w:t>
      </w:r>
      <w:r>
        <w:rPr>
          <w:spacing w:val="2"/>
          <w:w w:val="105"/>
        </w:rPr>
        <w:t>使用安全等级不</w:t>
      </w:r>
      <w:r>
        <w:rPr>
          <w:spacing w:val="3"/>
          <w:w w:val="105"/>
        </w:rPr>
        <w:t>低于二级的煤矿许用炸药</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3"/>
          <w:w w:val="150"/>
        </w:rPr>
        <w:t xml:space="preserve">) </w:t>
      </w:r>
      <w:r>
        <w:rPr>
          <w:spacing w:val="5"/>
          <w:w w:val="105"/>
        </w:rPr>
        <w:t>高瓦斯矿井</w:t>
      </w:r>
      <w:r>
        <w:rPr>
          <w:rFonts w:hint="eastAsia" w:ascii="MS UI Gothic" w:eastAsia="MS UI Gothic"/>
          <w:spacing w:val="13"/>
          <w:w w:val="80"/>
        </w:rPr>
        <w:t xml:space="preserve">ꎬ </w:t>
      </w:r>
      <w:r>
        <w:rPr>
          <w:spacing w:val="9"/>
          <w:w w:val="105"/>
        </w:rPr>
        <w:t>使用安全等级不</w:t>
      </w:r>
      <w:r>
        <w:rPr>
          <w:spacing w:val="3"/>
          <w:w w:val="105"/>
        </w:rPr>
        <w:t>低于三级的煤矿许用炸药</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突出矿井</w:t>
      </w:r>
      <w:r>
        <w:rPr>
          <w:rFonts w:hint="eastAsia" w:ascii="MS UI Gothic" w:eastAsia="MS UI Gothic"/>
          <w:w w:val="80"/>
        </w:rPr>
        <w:t xml:space="preserve">ꎬ </w:t>
      </w:r>
      <w:r>
        <w:rPr>
          <w:w w:val="105"/>
        </w:rPr>
        <w:t>使用安全等级不低于三级的煤矿许用含水炸药</w:t>
      </w:r>
      <w:r>
        <w:rPr>
          <w:rFonts w:hint="eastAsia" w:ascii="MS UI Gothic" w:eastAsia="MS UI Gothic"/>
          <w:w w:val="80"/>
        </w:rPr>
        <w:t>ꎮ</w:t>
      </w:r>
    </w:p>
    <w:p>
      <w:pPr>
        <w:pStyle w:val="6"/>
        <w:spacing w:line="295" w:lineRule="auto"/>
        <w:ind w:right="440"/>
        <w:rPr>
          <w:rFonts w:hint="eastAsia" w:ascii="MS UI Gothic" w:eastAsia="MS UI Gothic"/>
        </w:rPr>
      </w:pPr>
      <w:r>
        <w:rPr>
          <w:w w:val="95"/>
        </w:rPr>
        <w:t>在采掘工作面</w:t>
      </w:r>
      <w:r>
        <w:rPr>
          <w:rFonts w:hint="eastAsia" w:ascii="MS UI Gothic" w:eastAsia="MS UI Gothic"/>
          <w:w w:val="90"/>
        </w:rPr>
        <w:t xml:space="preserve">ꎬ  </w:t>
      </w:r>
      <w:r>
        <w:rPr>
          <w:w w:val="95"/>
        </w:rPr>
        <w:t>必须使用煤矿许用瞬发电雷管</w:t>
      </w:r>
      <w:r>
        <w:rPr>
          <w:rFonts w:hint="eastAsia" w:ascii="MS UI Gothic" w:eastAsia="MS UI Gothic"/>
          <w:w w:val="95"/>
        </w:rPr>
        <w:t xml:space="preserve">、    </w:t>
      </w:r>
      <w:r>
        <w:rPr>
          <w:w w:val="95"/>
        </w:rPr>
        <w:t>煤矿许用毫秒延期电雷管或者煤矿许用数码电雷管</w:t>
      </w:r>
      <w:r>
        <w:rPr>
          <w:rFonts w:hint="eastAsia" w:ascii="MS UI Gothic" w:eastAsia="MS UI Gothic"/>
          <w:w w:val="90"/>
        </w:rPr>
        <w:t xml:space="preserve">ꎮ  </w:t>
      </w:r>
      <w:r>
        <w:rPr>
          <w:w w:val="95"/>
        </w:rPr>
        <w:t>使用煤矿许用毫秒延期电雷管时</w:t>
      </w:r>
      <w:r>
        <w:rPr>
          <w:rFonts w:hint="eastAsia" w:ascii="MS UI Gothic" w:eastAsia="MS UI Gothic"/>
          <w:w w:val="90"/>
        </w:rPr>
        <w:t xml:space="preserve">ꎬ  </w:t>
      </w:r>
      <w:r>
        <w:rPr>
          <w:w w:val="95"/>
        </w:rPr>
        <w:t xml:space="preserve">最后一段的延期时间不得超过 </w:t>
      </w:r>
      <w:r>
        <w:rPr>
          <w:rFonts w:hint="eastAsia" w:ascii="MS UI Gothic" w:eastAsia="MS UI Gothic"/>
          <w:w w:val="95"/>
        </w:rPr>
        <w:t>１３０ ｍｓ</w:t>
      </w:r>
      <w:r>
        <w:rPr>
          <w:rFonts w:hint="eastAsia" w:ascii="MS UI Gothic" w:eastAsia="MS UI Gothic"/>
          <w:w w:val="90"/>
        </w:rPr>
        <w:t xml:space="preserve">ꎮ </w:t>
      </w:r>
      <w:r>
        <w:rPr>
          <w:w w:val="95"/>
        </w:rPr>
        <w:t>使用煤矿许用数码电雷管时</w:t>
      </w:r>
      <w:r>
        <w:rPr>
          <w:rFonts w:hint="eastAsia" w:ascii="MS UI Gothic" w:eastAsia="MS UI Gothic"/>
          <w:w w:val="90"/>
        </w:rPr>
        <w:t xml:space="preserve">ꎬ </w:t>
      </w:r>
      <w:r>
        <w:rPr>
          <w:w w:val="95"/>
        </w:rPr>
        <w:t xml:space="preserve">一次起爆总时间差不得超过 </w:t>
      </w:r>
      <w:r>
        <w:rPr>
          <w:rFonts w:hint="eastAsia" w:ascii="MS UI Gothic" w:eastAsia="MS UI Gothic"/>
          <w:w w:val="95"/>
        </w:rPr>
        <w:t>１３０ ｍｓ</w:t>
      </w:r>
      <w:r>
        <w:rPr>
          <w:rFonts w:hint="eastAsia" w:ascii="MS UI Gothic" w:eastAsia="MS UI Gothic"/>
          <w:w w:val="90"/>
        </w:rPr>
        <w:t>ꎬ</w:t>
      </w:r>
      <w:r>
        <w:rPr>
          <w:w w:val="95"/>
        </w:rPr>
        <w:t>并应当与专用起爆器配套使用</w:t>
      </w:r>
      <w:r>
        <w:rPr>
          <w:rFonts w:hint="eastAsia" w:ascii="MS UI Gothic" w:eastAsia="MS UI Gothic"/>
          <w:w w:val="90"/>
        </w:rPr>
        <w:t>ꎮ</w:t>
      </w:r>
    </w:p>
    <w:p>
      <w:pPr>
        <w:pStyle w:val="6"/>
        <w:spacing w:line="295" w:lineRule="auto"/>
        <w:ind w:right="440"/>
        <w:rPr>
          <w:rFonts w:hint="eastAsia" w:ascii="MS UI Gothic" w:eastAsia="MS UI Gothic"/>
        </w:rPr>
      </w:pPr>
      <w:r>
        <w:t>第三百五十一条 在有瓦斯或者煤尘爆炸危险的采掘工作面</w:t>
      </w:r>
      <w:r>
        <w:rPr>
          <w:rFonts w:hint="eastAsia" w:ascii="MS UI Gothic" w:eastAsia="MS UI Gothic"/>
          <w:w w:val="80"/>
        </w:rPr>
        <w:t xml:space="preserve">ꎬ </w:t>
      </w:r>
      <w:r>
        <w:t>应当采用毫秒爆破</w:t>
      </w:r>
      <w:r>
        <w:rPr>
          <w:rFonts w:hint="eastAsia" w:ascii="MS UI Gothic" w:eastAsia="MS UI Gothic"/>
          <w:w w:val="80"/>
        </w:rPr>
        <w:t xml:space="preserve">ꎮ </w:t>
      </w:r>
      <w:r>
        <w:t>在掘进工作面应当全断面一次起爆</w:t>
      </w:r>
      <w:r>
        <w:rPr>
          <w:rFonts w:hint="eastAsia" w:ascii="MS UI Gothic" w:eastAsia="MS UI Gothic"/>
          <w:w w:val="80"/>
        </w:rPr>
        <w:t>ꎬ</w:t>
      </w:r>
      <w:r>
        <w:t>不能全断面一次起爆的</w:t>
      </w:r>
      <w:r>
        <w:rPr>
          <w:rFonts w:hint="eastAsia" w:ascii="MS UI Gothic" w:eastAsia="MS UI Gothic"/>
          <w:w w:val="80"/>
        </w:rPr>
        <w:t xml:space="preserve">ꎬ </w:t>
      </w:r>
      <w:r>
        <w:t>必须采取安全措施</w:t>
      </w:r>
      <w:r>
        <w:rPr>
          <w:rFonts w:hint="eastAsia" w:ascii="MS UI Gothic" w:eastAsia="MS UI Gothic"/>
          <w:w w:val="80"/>
        </w:rPr>
        <w:t xml:space="preserve">ꎮ </w:t>
      </w:r>
      <w:r>
        <w:t>在采煤工作面可分组装药</w:t>
      </w:r>
      <w:r>
        <w:rPr>
          <w:rFonts w:hint="eastAsia" w:ascii="MS UI Gothic" w:eastAsia="MS UI Gothic"/>
          <w:w w:val="80"/>
        </w:rPr>
        <w:t xml:space="preserve">ꎬ </w:t>
      </w:r>
      <w:r>
        <w:t>但一组装药必须一次起爆</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２８９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896" o:spid="_x0000_s1896" o:spt="203" style="height:2.15pt;width:398.25pt;" coordsize="7965,43">
            <o:lock v:ext="edit"/>
            <v:line id="_x0000_s1897" o:spid="_x0000_s1897" o:spt="20" style="position:absolute;left:0;top:39;height:0;width:7965;" stroked="t" coordsize="21600,21600">
              <v:path arrowok="t"/>
              <v:fill focussize="0,0"/>
              <v:stroke weight="0.388031496062992pt" color="#231F20"/>
              <v:imagedata o:title=""/>
              <o:lock v:ext="edit"/>
            </v:line>
            <v:line id="_x0000_s1898" o:spid="_x0000_s189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t xml:space="preserve">严禁在 </w:t>
      </w:r>
      <w:r>
        <w:rPr>
          <w:rFonts w:hint="eastAsia" w:ascii="MS UI Gothic" w:eastAsia="MS UI Gothic"/>
          <w:w w:val="80"/>
        </w:rPr>
        <w:t xml:space="preserve">１ </w:t>
      </w:r>
      <w:r>
        <w:t xml:space="preserve">个采煤工作面使用 </w:t>
      </w:r>
      <w:r>
        <w:rPr>
          <w:rFonts w:hint="eastAsia" w:ascii="MS UI Gothic" w:eastAsia="MS UI Gothic"/>
          <w:w w:val="80"/>
        </w:rPr>
        <w:t xml:space="preserve">２ </w:t>
      </w:r>
      <w:r>
        <w:t>台发爆器同时进行爆破</w:t>
      </w:r>
      <w:r>
        <w:rPr>
          <w:rFonts w:hint="eastAsia" w:ascii="MS UI Gothic" w:eastAsia="MS UI Gothic"/>
          <w:w w:val="80"/>
        </w:rPr>
        <w:t>ꎮ</w:t>
      </w:r>
    </w:p>
    <w:p>
      <w:pPr>
        <w:pStyle w:val="6"/>
        <w:spacing w:line="295" w:lineRule="auto"/>
        <w:ind w:left="440" w:right="1"/>
        <w:rPr>
          <w:rFonts w:hint="eastAsia" w:ascii="MS UI Gothic" w:eastAsia="MS UI Gothic"/>
        </w:rPr>
      </w:pPr>
      <w:r>
        <w:t>第三百五十二条 在高瓦斯矿井采掘工作面采用毫秒爆破时</w:t>
      </w:r>
      <w:r>
        <w:rPr>
          <w:rFonts w:hint="eastAsia" w:ascii="MS UI Gothic" w:eastAsia="MS UI Gothic"/>
          <w:w w:val="80"/>
        </w:rPr>
        <w:t xml:space="preserve">ꎬ </w:t>
      </w:r>
      <w:r>
        <w:t>若采用反向起爆</w:t>
      </w:r>
      <w:r>
        <w:rPr>
          <w:rFonts w:hint="eastAsia" w:ascii="MS UI Gothic" w:eastAsia="MS UI Gothic"/>
          <w:w w:val="80"/>
        </w:rPr>
        <w:t xml:space="preserve">ꎬ </w:t>
      </w:r>
      <w:r>
        <w:t>必须制定安全技术措施</w:t>
      </w:r>
      <w:r>
        <w:rPr>
          <w:rFonts w:hint="eastAsia" w:ascii="MS UI Gothic" w:eastAsia="MS UI Gothic"/>
          <w:w w:val="80"/>
        </w:rPr>
        <w:t>ꎮ</w:t>
      </w:r>
    </w:p>
    <w:p>
      <w:pPr>
        <w:pStyle w:val="6"/>
        <w:spacing w:line="295" w:lineRule="auto"/>
        <w:ind w:left="440" w:right="1"/>
        <w:rPr>
          <w:rFonts w:hint="eastAsia" w:ascii="MS UI Gothic" w:eastAsia="MS UI Gothic"/>
        </w:rPr>
      </w:pPr>
      <w:r>
        <w:t>第三百五十三条 在高瓦斯</w:t>
      </w:r>
      <w:r>
        <w:rPr>
          <w:rFonts w:hint="eastAsia" w:ascii="MS UI Gothic" w:eastAsia="MS UI Gothic"/>
          <w:w w:val="85"/>
        </w:rPr>
        <w:t xml:space="preserve">、 </w:t>
      </w:r>
      <w:r>
        <w:t>突出矿井的采掘工作面实体煤中</w:t>
      </w:r>
      <w:r>
        <w:rPr>
          <w:rFonts w:hint="eastAsia" w:ascii="MS UI Gothic" w:eastAsia="MS UI Gothic"/>
          <w:w w:val="85"/>
        </w:rPr>
        <w:t xml:space="preserve">ꎬ </w:t>
      </w:r>
      <w:r>
        <w:t>为增加煤体裂隙</w:t>
      </w:r>
      <w:r>
        <w:rPr>
          <w:rFonts w:hint="eastAsia" w:ascii="MS UI Gothic" w:eastAsia="MS UI Gothic"/>
          <w:w w:val="85"/>
        </w:rPr>
        <w:t xml:space="preserve">、 </w:t>
      </w:r>
      <w:r>
        <w:t xml:space="preserve">松动煤体而进行的 </w:t>
      </w:r>
      <w:r>
        <w:rPr>
          <w:rFonts w:hint="eastAsia" w:ascii="MS UI Gothic" w:eastAsia="MS UI Gothic"/>
          <w:w w:val="85"/>
        </w:rPr>
        <w:t xml:space="preserve">１０ ｍ </w:t>
      </w:r>
      <w:r>
        <w:t>以上的深孔预裂控制爆破</w:t>
      </w:r>
      <w:r>
        <w:rPr>
          <w:rFonts w:hint="eastAsia" w:ascii="MS UI Gothic" w:eastAsia="MS UI Gothic"/>
          <w:w w:val="85"/>
        </w:rPr>
        <w:t xml:space="preserve">ꎬ </w:t>
      </w:r>
      <w:r>
        <w:t>可以使用二级煤矿许用炸药</w:t>
      </w:r>
      <w:r>
        <w:rPr>
          <w:rFonts w:hint="eastAsia" w:ascii="MS UI Gothic" w:eastAsia="MS UI Gothic"/>
          <w:w w:val="85"/>
        </w:rPr>
        <w:t xml:space="preserve">ꎬ </w:t>
      </w:r>
      <w:r>
        <w:t>并制定安全措施</w:t>
      </w:r>
      <w:r>
        <w:rPr>
          <w:rFonts w:hint="eastAsia" w:ascii="MS UI Gothic" w:eastAsia="MS UI Gothic"/>
          <w:w w:val="85"/>
        </w:rPr>
        <w:t>ꎮ</w:t>
      </w:r>
    </w:p>
    <w:p>
      <w:pPr>
        <w:pStyle w:val="6"/>
        <w:spacing w:line="295" w:lineRule="auto"/>
        <w:ind w:left="440" w:right="1"/>
        <w:rPr>
          <w:rFonts w:hint="eastAsia" w:ascii="MS UI Gothic" w:eastAsia="MS UI Gothic"/>
        </w:rPr>
      </w:pPr>
      <w:r>
        <w:t>第三百五十四条  爆破工必须把炸药</w:t>
      </w:r>
      <w:r>
        <w:rPr>
          <w:rFonts w:hint="eastAsia" w:ascii="MS UI Gothic" w:eastAsia="MS UI Gothic"/>
          <w:w w:val="80"/>
        </w:rPr>
        <w:t xml:space="preserve">、 </w:t>
      </w:r>
      <w:r>
        <w:t>电雷管分开存放在专用的爆炸物品箱内</w:t>
      </w:r>
      <w:r>
        <w:rPr>
          <w:rFonts w:hint="eastAsia" w:ascii="MS UI Gothic" w:eastAsia="MS UI Gothic"/>
          <w:w w:val="80"/>
        </w:rPr>
        <w:t xml:space="preserve">ꎬ </w:t>
      </w:r>
      <w:r>
        <w:t>并加锁</w:t>
      </w:r>
      <w:r>
        <w:rPr>
          <w:rFonts w:hint="eastAsia" w:ascii="MS UI Gothic" w:eastAsia="MS UI Gothic"/>
          <w:w w:val="80"/>
        </w:rPr>
        <w:t xml:space="preserve">ꎬ </w:t>
      </w:r>
      <w:r>
        <w:t>严禁乱扔</w:t>
      </w:r>
      <w:r>
        <w:rPr>
          <w:rFonts w:hint="eastAsia" w:ascii="MS UI Gothic" w:eastAsia="MS UI Gothic"/>
          <w:w w:val="80"/>
        </w:rPr>
        <w:t xml:space="preserve">、 </w:t>
      </w:r>
      <w:r>
        <w:t>乱放</w:t>
      </w:r>
      <w:r>
        <w:rPr>
          <w:rFonts w:hint="eastAsia" w:ascii="MS UI Gothic" w:eastAsia="MS UI Gothic"/>
          <w:w w:val="80"/>
        </w:rPr>
        <w:t xml:space="preserve">ꎮ </w:t>
      </w:r>
      <w:r>
        <w:t>爆炸物品箱必须放在顶板完好</w:t>
      </w:r>
      <w:r>
        <w:rPr>
          <w:rFonts w:hint="eastAsia" w:ascii="MS UI Gothic" w:eastAsia="MS UI Gothic"/>
          <w:w w:val="80"/>
        </w:rPr>
        <w:t xml:space="preserve">、 </w:t>
      </w:r>
      <w:r>
        <w:t>支护完整</w:t>
      </w:r>
      <w:r>
        <w:rPr>
          <w:rFonts w:hint="eastAsia" w:ascii="MS UI Gothic" w:eastAsia="MS UI Gothic"/>
          <w:w w:val="80"/>
        </w:rPr>
        <w:t xml:space="preserve">ꎬ </w:t>
      </w:r>
      <w:r>
        <w:t>避开有机械</w:t>
      </w:r>
      <w:r>
        <w:rPr>
          <w:rFonts w:hint="eastAsia" w:ascii="MS UI Gothic" w:eastAsia="MS UI Gothic"/>
          <w:w w:val="80"/>
        </w:rPr>
        <w:t xml:space="preserve">、 </w:t>
      </w:r>
      <w:r>
        <w:t>电气设备的地点</w:t>
      </w:r>
      <w:r>
        <w:rPr>
          <w:rFonts w:hint="eastAsia" w:ascii="MS UI Gothic" w:eastAsia="MS UI Gothic"/>
          <w:w w:val="80"/>
        </w:rPr>
        <w:t xml:space="preserve">ꎮ </w:t>
      </w:r>
      <w:r>
        <w:t>爆破时必须把爆炸物品箱放置在警戒线以外的安全地点</w:t>
      </w:r>
      <w:r>
        <w:rPr>
          <w:rFonts w:hint="eastAsia" w:ascii="MS UI Gothic" w:eastAsia="MS UI Gothic"/>
          <w:w w:val="80"/>
        </w:rPr>
        <w:t>ꎮ</w:t>
      </w:r>
    </w:p>
    <w:p>
      <w:pPr>
        <w:pStyle w:val="6"/>
        <w:spacing w:line="295" w:lineRule="auto"/>
        <w:ind w:left="440" w:right="1"/>
        <w:rPr>
          <w:rFonts w:hint="eastAsia" w:ascii="MS UI Gothic" w:eastAsia="MS UI Gothic"/>
        </w:rPr>
      </w:pPr>
      <w:r>
        <w:t>第三百五十五条 从成束的电雷管中抽取单个电雷管时</w:t>
      </w:r>
      <w:r>
        <w:rPr>
          <w:rFonts w:hint="eastAsia" w:ascii="MS UI Gothic" w:eastAsia="MS UI Gothic"/>
          <w:w w:val="80"/>
        </w:rPr>
        <w:t xml:space="preserve">ꎬ </w:t>
      </w:r>
      <w:r>
        <w:t>不得手拉脚线硬拽管体</w:t>
      </w:r>
      <w:r>
        <w:rPr>
          <w:rFonts w:hint="eastAsia" w:ascii="MS UI Gothic" w:eastAsia="MS UI Gothic"/>
          <w:w w:val="80"/>
        </w:rPr>
        <w:t xml:space="preserve">ꎬ </w:t>
      </w:r>
      <w:r>
        <w:t>也不得手拉管体硬拽脚线</w:t>
      </w:r>
      <w:r>
        <w:rPr>
          <w:rFonts w:hint="eastAsia" w:ascii="MS UI Gothic" w:eastAsia="MS UI Gothic"/>
          <w:w w:val="80"/>
        </w:rPr>
        <w:t xml:space="preserve">ꎬ </w:t>
      </w:r>
      <w:r>
        <w:t>应当将成束的电雷管顺好</w:t>
      </w:r>
      <w:r>
        <w:rPr>
          <w:rFonts w:hint="eastAsia" w:ascii="MS UI Gothic" w:eastAsia="MS UI Gothic"/>
          <w:w w:val="80"/>
        </w:rPr>
        <w:t xml:space="preserve">ꎬ </w:t>
      </w:r>
      <w:r>
        <w:t>拉住前端脚线将电雷管抽出</w:t>
      </w:r>
      <w:r>
        <w:rPr>
          <w:rFonts w:hint="eastAsia" w:ascii="MS UI Gothic" w:eastAsia="MS UI Gothic"/>
          <w:w w:val="80"/>
        </w:rPr>
        <w:t xml:space="preserve">ꎮ </w:t>
      </w:r>
      <w:r>
        <w:t>抽出单个电雷管后</w:t>
      </w:r>
      <w:r>
        <w:rPr>
          <w:rFonts w:hint="eastAsia" w:ascii="MS UI Gothic" w:eastAsia="MS UI Gothic"/>
          <w:w w:val="80"/>
        </w:rPr>
        <w:t xml:space="preserve">ꎬ </w:t>
      </w:r>
      <w:r>
        <w:t>必须将其脚线扭结成短路</w:t>
      </w:r>
      <w:r>
        <w:rPr>
          <w:rFonts w:hint="eastAsia" w:ascii="MS UI Gothic" w:eastAsia="MS UI Gothic"/>
          <w:w w:val="80"/>
        </w:rPr>
        <w:t>ꎮ</w:t>
      </w:r>
    </w:p>
    <w:p>
      <w:pPr>
        <w:pStyle w:val="6"/>
        <w:spacing w:line="295" w:lineRule="auto"/>
        <w:ind w:left="440"/>
        <w:rPr>
          <w:rFonts w:hint="eastAsia" w:ascii="MS UI Gothic" w:eastAsia="MS UI Gothic"/>
        </w:rPr>
      </w:pPr>
      <w:r>
        <w:rPr>
          <w:spacing w:val="5"/>
          <w:w w:val="105"/>
        </w:rPr>
        <w:t>第三百五十六条 装配起爆药卷时</w:t>
      </w:r>
      <w:r>
        <w:rPr>
          <w:rFonts w:hint="eastAsia" w:ascii="MS UI Gothic" w:eastAsia="MS UI Gothic"/>
          <w:w w:val="80"/>
        </w:rPr>
        <w:t>ꎬ</w:t>
      </w:r>
      <w:r>
        <w:rPr>
          <w:spacing w:val="3"/>
          <w:w w:val="110"/>
        </w:rPr>
        <w:t>必须遵守下列规定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2"/>
          <w:w w:val="150"/>
        </w:rPr>
        <w:t xml:space="preserve">) </w:t>
      </w:r>
      <w:r>
        <w:rPr>
          <w:spacing w:val="18"/>
          <w:w w:val="105"/>
        </w:rPr>
        <w:t>必须在顶板完好</w:t>
      </w:r>
      <w:r>
        <w:rPr>
          <w:rFonts w:hint="eastAsia" w:ascii="MS UI Gothic" w:eastAsia="MS UI Gothic"/>
          <w:spacing w:val="16"/>
          <w:w w:val="80"/>
        </w:rPr>
        <w:t xml:space="preserve">、 </w:t>
      </w:r>
      <w:r>
        <w:rPr>
          <w:spacing w:val="16"/>
          <w:w w:val="105"/>
        </w:rPr>
        <w:t>支护完整</w:t>
      </w:r>
      <w:r>
        <w:rPr>
          <w:rFonts w:hint="eastAsia" w:ascii="MS UI Gothic" w:eastAsia="MS UI Gothic"/>
          <w:spacing w:val="-13"/>
          <w:w w:val="80"/>
        </w:rPr>
        <w:t>ꎬ</w:t>
      </w:r>
      <w:r>
        <w:rPr>
          <w:spacing w:val="2"/>
        </w:rPr>
        <w:t>避开电气设备和导电体的爆破工作地点附</w:t>
      </w:r>
      <w:r>
        <w:rPr>
          <w:spacing w:val="3"/>
        </w:rPr>
        <w:t>近进行</w:t>
      </w:r>
      <w:r>
        <w:rPr>
          <w:rFonts w:hint="eastAsia" w:ascii="MS UI Gothic" w:eastAsia="MS UI Gothic"/>
          <w:spacing w:val="21"/>
          <w:w w:val="80"/>
        </w:rPr>
        <w:t xml:space="preserve">ꎮ </w:t>
      </w:r>
      <w:r>
        <w:rPr>
          <w:spacing w:val="2"/>
        </w:rPr>
        <w:t>严禁坐在爆炸物品箱上装配起爆</w:t>
      </w:r>
      <w:r>
        <w:rPr>
          <w:spacing w:val="3"/>
        </w:rPr>
        <w:t>药卷</w:t>
      </w:r>
      <w:r>
        <w:rPr>
          <w:rFonts w:hint="eastAsia" w:ascii="MS UI Gothic" w:eastAsia="MS UI Gothic"/>
          <w:spacing w:val="23"/>
          <w:w w:val="80"/>
        </w:rPr>
        <w:t xml:space="preserve">ꎮ </w:t>
      </w:r>
      <w:r>
        <w:rPr>
          <w:spacing w:val="3"/>
        </w:rPr>
        <w:t>装配起爆药卷数量</w:t>
      </w:r>
      <w:r>
        <w:rPr>
          <w:rFonts w:hint="eastAsia" w:ascii="MS UI Gothic" w:eastAsia="MS UI Gothic"/>
          <w:spacing w:val="23"/>
          <w:w w:val="80"/>
        </w:rPr>
        <w:t xml:space="preserve">ꎬ </w:t>
      </w:r>
      <w:r>
        <w:rPr>
          <w:spacing w:val="2"/>
        </w:rPr>
        <w:t>以当时爆破作</w:t>
      </w:r>
      <w:r>
        <w:rPr>
          <w:spacing w:val="3"/>
          <w:w w:val="105"/>
        </w:rPr>
        <w:t>业需要的数量为限</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装配起爆药卷必须防止电雷管受震动</w:t>
      </w:r>
      <w:r>
        <w:rPr>
          <w:rFonts w:hint="eastAsia" w:ascii="MS UI Gothic" w:eastAsia="MS UI Gothic"/>
          <w:w w:val="80"/>
        </w:rPr>
        <w:t xml:space="preserve">、 </w:t>
      </w:r>
      <w:r>
        <w:rPr>
          <w:w w:val="105"/>
        </w:rPr>
        <w:t>冲击</w:t>
      </w:r>
      <w:r>
        <w:rPr>
          <w:rFonts w:hint="eastAsia" w:ascii="MS UI Gothic" w:eastAsia="MS UI Gothic"/>
          <w:w w:val="80"/>
        </w:rPr>
        <w:t xml:space="preserve">ꎬ </w:t>
      </w:r>
      <w:r>
        <w:rPr>
          <w:w w:val="105"/>
        </w:rPr>
        <w:t>折断电雷管脚线和损坏脚线绝缘层</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电雷管必须由药卷的顶部装入</w:t>
      </w:r>
      <w:r>
        <w:rPr>
          <w:rFonts w:hint="eastAsia" w:ascii="MS UI Gothic" w:eastAsia="MS UI Gothic"/>
          <w:w w:val="80"/>
        </w:rPr>
        <w:t xml:space="preserve">ꎬ </w:t>
      </w:r>
      <w:r>
        <w:rPr>
          <w:w w:val="105"/>
        </w:rPr>
        <w:t>严禁用电雷管代替竹</w:t>
      </w:r>
      <w:r>
        <w:rPr>
          <w:rFonts w:hint="eastAsia" w:ascii="MS UI Gothic" w:eastAsia="MS UI Gothic"/>
          <w:w w:val="80"/>
        </w:rPr>
        <w:t xml:space="preserve">、 </w:t>
      </w:r>
      <w:r>
        <w:rPr>
          <w:w w:val="105"/>
        </w:rPr>
        <w:t>木棍扎眼</w:t>
      </w:r>
      <w:r>
        <w:rPr>
          <w:rFonts w:hint="eastAsia" w:ascii="MS UI Gothic" w:eastAsia="MS UI Gothic"/>
          <w:w w:val="80"/>
        </w:rPr>
        <w:t xml:space="preserve">ꎮ </w:t>
      </w:r>
      <w:r>
        <w:rPr>
          <w:w w:val="105"/>
        </w:rPr>
        <w:t>电</w:t>
      </w:r>
      <w:r>
        <w:t>雷管必须全部插入药卷内</w:t>
      </w:r>
      <w:r>
        <w:rPr>
          <w:rFonts w:hint="eastAsia" w:ascii="MS UI Gothic" w:eastAsia="MS UI Gothic"/>
          <w:w w:val="80"/>
        </w:rPr>
        <w:t xml:space="preserve">ꎮ </w:t>
      </w:r>
      <w:r>
        <w:t>严禁将电雷管</w:t>
      </w:r>
      <w:r>
        <w:rPr>
          <w:w w:val="105"/>
        </w:rPr>
        <w:t>斜插在药卷的中部或者捆在药卷上</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电雷管插入药卷后</w:t>
      </w:r>
      <w:r>
        <w:rPr>
          <w:rFonts w:hint="eastAsia" w:ascii="MS UI Gothic" w:eastAsia="MS UI Gothic"/>
          <w:w w:val="80"/>
        </w:rPr>
        <w:t xml:space="preserve">ꎬ </w:t>
      </w:r>
      <w:r>
        <w:rPr>
          <w:w w:val="105"/>
        </w:rPr>
        <w:t>必须用脚</w:t>
      </w:r>
      <w:r>
        <w:t>线将药卷缠住</w:t>
      </w:r>
      <w:r>
        <w:rPr>
          <w:rFonts w:hint="eastAsia" w:ascii="MS UI Gothic" w:eastAsia="MS UI Gothic"/>
          <w:w w:val="80"/>
        </w:rPr>
        <w:t xml:space="preserve">ꎬ </w:t>
      </w:r>
      <w:r>
        <w:t>并将电雷管脚线扭结成</w:t>
      </w:r>
      <w:r>
        <w:rPr>
          <w:w w:val="105"/>
        </w:rPr>
        <w:t>短路</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t>第三百五十七条 装药前</w:t>
      </w:r>
      <w:r>
        <w:rPr>
          <w:rFonts w:hint="eastAsia" w:ascii="MS UI Gothic" w:eastAsia="MS UI Gothic"/>
          <w:w w:val="80"/>
        </w:rPr>
        <w:t xml:space="preserve">ꎬ </w:t>
      </w:r>
      <w:r>
        <w:t>必须首先清除炮眼内的煤粉或者岩粉</w:t>
      </w:r>
      <w:r>
        <w:rPr>
          <w:rFonts w:hint="eastAsia" w:ascii="MS UI Gothic" w:eastAsia="MS UI Gothic"/>
          <w:w w:val="80"/>
        </w:rPr>
        <w:t xml:space="preserve">ꎬ </w:t>
      </w:r>
      <w:r>
        <w:t>再用木质或者竹质炮棍将药卷轻轻推入</w:t>
      </w:r>
      <w:r>
        <w:rPr>
          <w:rFonts w:hint="eastAsia" w:ascii="MS UI Gothic" w:eastAsia="MS UI Gothic"/>
          <w:w w:val="80"/>
        </w:rPr>
        <w:t xml:space="preserve">ꎬ </w:t>
      </w:r>
      <w:r>
        <w:t>不得冲撞或者捣实</w:t>
      </w:r>
      <w:r>
        <w:rPr>
          <w:rFonts w:hint="eastAsia" w:ascii="MS UI Gothic" w:eastAsia="MS UI Gothic"/>
          <w:w w:val="80"/>
        </w:rPr>
        <w:t xml:space="preserve">ꎮ </w:t>
      </w:r>
      <w:r>
        <w:t>炮眼内的各药卷必须彼此密接</w:t>
      </w:r>
      <w:r>
        <w:rPr>
          <w:rFonts w:hint="eastAsia" w:ascii="MS UI Gothic" w:eastAsia="MS UI Gothic"/>
          <w:w w:val="80"/>
        </w:rPr>
        <w:t>ꎮ</w:t>
      </w:r>
    </w:p>
    <w:p>
      <w:pPr>
        <w:pStyle w:val="6"/>
        <w:spacing w:line="295" w:lineRule="auto"/>
        <w:ind w:left="800" w:right="126" w:firstLine="0"/>
      </w:pPr>
      <w:r>
        <w:t>有水的炮眼</w:t>
      </w:r>
      <w:r>
        <w:rPr>
          <w:rFonts w:hint="eastAsia" w:ascii="MS UI Gothic" w:eastAsia="MS UI Gothic"/>
          <w:w w:val="80"/>
        </w:rPr>
        <w:t xml:space="preserve">ꎬ </w:t>
      </w:r>
      <w:r>
        <w:t>应当使用抗水型炸药</w:t>
      </w:r>
      <w:r>
        <w:rPr>
          <w:rFonts w:hint="eastAsia" w:ascii="MS UI Gothic" w:eastAsia="MS UI Gothic"/>
          <w:w w:val="80"/>
        </w:rPr>
        <w:t>ꎮ</w:t>
      </w:r>
      <w:r>
        <w:t>装药后</w:t>
      </w:r>
      <w:r>
        <w:rPr>
          <w:rFonts w:hint="eastAsia" w:ascii="MS UI Gothic" w:eastAsia="MS UI Gothic"/>
          <w:w w:val="80"/>
        </w:rPr>
        <w:t xml:space="preserve">ꎬ </w:t>
      </w:r>
      <w:r>
        <w:t>必须把电雷管脚线悬空</w:t>
      </w:r>
      <w:r>
        <w:rPr>
          <w:rFonts w:hint="eastAsia" w:ascii="MS UI Gothic" w:eastAsia="MS UI Gothic"/>
          <w:w w:val="80"/>
        </w:rPr>
        <w:t xml:space="preserve">ꎬ </w:t>
      </w:r>
      <w:r>
        <w:t>严</w:t>
      </w:r>
    </w:p>
    <w:p>
      <w:pPr>
        <w:pStyle w:val="6"/>
        <w:spacing w:line="295" w:lineRule="auto"/>
        <w:ind w:left="381" w:right="126" w:firstLine="0"/>
        <w:rPr>
          <w:rFonts w:hint="eastAsia" w:ascii="MS UI Gothic" w:eastAsia="MS UI Gothic"/>
        </w:rPr>
      </w:pPr>
      <w:r>
        <w:t>禁电雷管脚线</w:t>
      </w:r>
      <w:r>
        <w:rPr>
          <w:rFonts w:hint="eastAsia" w:ascii="MS UI Gothic" w:eastAsia="MS UI Gothic"/>
          <w:w w:val="80"/>
        </w:rPr>
        <w:t xml:space="preserve">、 </w:t>
      </w:r>
      <w:r>
        <w:t>爆破母线与机械电气设备等导电体相接触</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第三百五十八条 炮眼封泥必须使用</w:t>
      </w:r>
      <w:r>
        <w:t>水炮泥</w:t>
      </w:r>
      <w:r>
        <w:rPr>
          <w:rFonts w:hint="eastAsia" w:ascii="MS UI Gothic" w:eastAsia="MS UI Gothic"/>
          <w:w w:val="80"/>
        </w:rPr>
        <w:t xml:space="preserve">ꎬ </w:t>
      </w:r>
      <w:r>
        <w:t>水炮泥外剩余的炮眼部分应当用</w:t>
      </w:r>
      <w:r>
        <w:rPr>
          <w:w w:val="105"/>
        </w:rPr>
        <w:t>黏土炮泥或者用不燃性</w:t>
      </w:r>
      <w:r>
        <w:rPr>
          <w:rFonts w:hint="eastAsia" w:ascii="MS UI Gothic" w:eastAsia="MS UI Gothic"/>
          <w:w w:val="80"/>
        </w:rPr>
        <w:t xml:space="preserve">、 </w:t>
      </w:r>
      <w:r>
        <w:rPr>
          <w:w w:val="105"/>
        </w:rPr>
        <w:t>可塑性松散材料制成的炮泥封实</w:t>
      </w:r>
      <w:r>
        <w:rPr>
          <w:rFonts w:hint="eastAsia" w:ascii="MS UI Gothic" w:eastAsia="MS UI Gothic"/>
          <w:w w:val="80"/>
        </w:rPr>
        <w:t xml:space="preserve">ꎮ </w:t>
      </w:r>
      <w:r>
        <w:rPr>
          <w:w w:val="105"/>
        </w:rPr>
        <w:t>严禁用煤粉</w:t>
      </w:r>
      <w:r>
        <w:rPr>
          <w:rFonts w:hint="eastAsia" w:ascii="MS UI Gothic" w:eastAsia="MS UI Gothic"/>
          <w:w w:val="80"/>
        </w:rPr>
        <w:t xml:space="preserve">、 </w:t>
      </w:r>
      <w:r>
        <w:rPr>
          <w:w w:val="105"/>
        </w:rPr>
        <w:t>块状材料或者其他可燃性材料作炮眼封泥</w:t>
      </w:r>
      <w:r>
        <w:rPr>
          <w:rFonts w:hint="eastAsia" w:ascii="MS UI Gothic" w:eastAsia="MS UI Gothic"/>
          <w:w w:val="80"/>
        </w:rPr>
        <w:t>ꎮ</w:t>
      </w:r>
    </w:p>
    <w:p>
      <w:pPr>
        <w:pStyle w:val="6"/>
        <w:spacing w:line="295" w:lineRule="auto"/>
        <w:ind w:left="381" w:right="124"/>
        <w:rPr>
          <w:rFonts w:hint="eastAsia" w:ascii="MS UI Gothic" w:eastAsia="MS UI Gothic"/>
        </w:rPr>
      </w:pPr>
      <w:r>
        <w:t>无封泥</w:t>
      </w:r>
      <w:r>
        <w:rPr>
          <w:rFonts w:hint="eastAsia" w:ascii="MS UI Gothic" w:eastAsia="MS UI Gothic"/>
        </w:rPr>
        <w:t xml:space="preserve">、 </w:t>
      </w:r>
      <w:r>
        <w:t>封泥不足或者不实的炮眼</w:t>
      </w:r>
      <w:r>
        <w:rPr>
          <w:rFonts w:hint="eastAsia" w:ascii="MS UI Gothic" w:eastAsia="MS UI Gothic"/>
          <w:w w:val="80"/>
        </w:rPr>
        <w:t>ꎬ</w:t>
      </w:r>
      <w:r>
        <w:t>严禁爆破</w:t>
      </w:r>
      <w:r>
        <w:rPr>
          <w:rFonts w:hint="eastAsia" w:ascii="MS UI Gothic" w:eastAsia="MS UI Gothic"/>
          <w:w w:val="80"/>
        </w:rPr>
        <w:t>ꎮ</w:t>
      </w:r>
    </w:p>
    <w:p>
      <w:pPr>
        <w:pStyle w:val="6"/>
        <w:spacing w:line="255" w:lineRule="exact"/>
        <w:ind w:left="800" w:firstLine="0"/>
        <w:jc w:val="left"/>
        <w:rPr>
          <w:rFonts w:hint="eastAsia" w:ascii="MS UI Gothic" w:eastAsia="MS UI Gothic"/>
        </w:rPr>
      </w:pPr>
      <w:r>
        <w:t>严禁裸露爆破</w:t>
      </w:r>
      <w:r>
        <w:rPr>
          <w:rFonts w:hint="eastAsia" w:ascii="MS UI Gothic" w:eastAsia="MS UI Gothic"/>
          <w:w w:val="80"/>
        </w:rPr>
        <w:t>ꎮ</w:t>
      </w:r>
    </w:p>
    <w:p>
      <w:pPr>
        <w:pStyle w:val="6"/>
        <w:spacing w:before="48" w:line="295" w:lineRule="auto"/>
        <w:ind w:left="381" w:right="126"/>
        <w:rPr>
          <w:rFonts w:hint="eastAsia" w:ascii="MS UI Gothic" w:eastAsia="MS UI Gothic"/>
        </w:rPr>
      </w:pPr>
      <w:r>
        <w:rPr>
          <w:w w:val="105"/>
        </w:rPr>
        <w:t>第三百五十九条 炮眼深度和炮眼的</w:t>
      </w:r>
      <w:r>
        <w:rPr>
          <w:w w:val="110"/>
        </w:rPr>
        <w:t>封泥长度应当符合下列要求</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6"/>
          <w:w w:val="145"/>
        </w:rPr>
        <w:t xml:space="preserve">( </w:t>
      </w:r>
      <w:r>
        <w:rPr>
          <w:spacing w:val="3"/>
        </w:rPr>
        <w:t>一</w:t>
      </w:r>
      <w:r>
        <w:rPr>
          <w:rFonts w:hint="eastAsia" w:ascii="MS UI Gothic" w:eastAsia="MS UI Gothic"/>
          <w:spacing w:val="9"/>
          <w:w w:val="145"/>
        </w:rPr>
        <w:t xml:space="preserve">) </w:t>
      </w:r>
      <w:r>
        <w:rPr>
          <w:spacing w:val="-5"/>
        </w:rPr>
        <w:t xml:space="preserve">炮眼深度小于 </w:t>
      </w:r>
      <w:r>
        <w:rPr>
          <w:rFonts w:hint="eastAsia" w:ascii="MS UI Gothic" w:eastAsia="MS UI Gothic"/>
        </w:rPr>
        <w:t>０</w:t>
      </w:r>
      <w:r>
        <w:rPr>
          <w:rFonts w:hint="eastAsia" w:ascii="MS UI Gothic" w:eastAsia="MS UI Gothic"/>
          <w:spacing w:val="-3"/>
        </w:rPr>
        <w:t xml:space="preserve"> ６ </w:t>
      </w:r>
      <w:r>
        <w:rPr>
          <w:rFonts w:hint="eastAsia" w:ascii="MS UI Gothic" w:eastAsia="MS UI Gothic"/>
        </w:rPr>
        <w:t xml:space="preserve">ｍ </w:t>
      </w:r>
      <w:r>
        <w:rPr>
          <w:spacing w:val="3"/>
        </w:rPr>
        <w:t>时</w:t>
      </w:r>
      <w:r>
        <w:rPr>
          <w:rFonts w:hint="eastAsia" w:ascii="MS UI Gothic" w:eastAsia="MS UI Gothic"/>
          <w:spacing w:val="23"/>
          <w:w w:val="80"/>
        </w:rPr>
        <w:t xml:space="preserve">ꎬ </w:t>
      </w:r>
      <w:r>
        <w:rPr>
          <w:spacing w:val="4"/>
        </w:rPr>
        <w:t>不得</w:t>
      </w:r>
      <w:r>
        <w:rPr>
          <w:spacing w:val="3"/>
        </w:rPr>
        <w:t>装药</w:t>
      </w:r>
      <w:r>
        <w:rPr>
          <w:rFonts w:hint="eastAsia" w:ascii="MS UI Gothic" w:eastAsia="MS UI Gothic"/>
          <w:spacing w:val="11"/>
        </w:rPr>
        <w:t xml:space="preserve">、 </w:t>
      </w:r>
      <w:r>
        <w:rPr>
          <w:spacing w:val="3"/>
        </w:rPr>
        <w:t>爆破</w:t>
      </w:r>
      <w:r>
        <w:rPr>
          <w:rFonts w:hint="eastAsia" w:ascii="MS UI Gothic" w:eastAsia="MS UI Gothic"/>
          <w:spacing w:val="17"/>
          <w:w w:val="80"/>
        </w:rPr>
        <w:t xml:space="preserve">ꎻ </w:t>
      </w:r>
      <w:r>
        <w:rPr>
          <w:spacing w:val="3"/>
        </w:rPr>
        <w:t>在特殊条件下</w:t>
      </w:r>
      <w:r>
        <w:rPr>
          <w:rFonts w:hint="eastAsia" w:ascii="MS UI Gothic" w:eastAsia="MS UI Gothic"/>
          <w:spacing w:val="17"/>
          <w:w w:val="80"/>
        </w:rPr>
        <w:t xml:space="preserve">ꎬ </w:t>
      </w:r>
      <w:r>
        <w:rPr>
          <w:spacing w:val="3"/>
        </w:rPr>
        <w:t>如挖底</w:t>
      </w:r>
      <w:r>
        <w:rPr>
          <w:rFonts w:hint="eastAsia" w:ascii="MS UI Gothic" w:eastAsia="MS UI Gothic"/>
          <w:spacing w:val="11"/>
        </w:rPr>
        <w:t xml:space="preserve">、 </w:t>
      </w:r>
      <w:r>
        <w:t>刷</w:t>
      </w:r>
      <w:r>
        <w:rPr>
          <w:spacing w:val="3"/>
        </w:rPr>
        <w:t>帮</w:t>
      </w:r>
      <w:r>
        <w:rPr>
          <w:rFonts w:hint="eastAsia" w:ascii="MS UI Gothic" w:eastAsia="MS UI Gothic"/>
          <w:spacing w:val="14"/>
        </w:rPr>
        <w:t xml:space="preserve">、 </w:t>
      </w:r>
      <w:r>
        <w:rPr>
          <w:spacing w:val="-4"/>
        </w:rPr>
        <w:t xml:space="preserve">挑顶确需进行炮眼深度小于 </w:t>
      </w:r>
      <w:r>
        <w:rPr>
          <w:rFonts w:hint="eastAsia" w:ascii="MS UI Gothic" w:eastAsia="MS UI Gothic"/>
        </w:rPr>
        <w:t>０</w:t>
      </w:r>
      <w:r>
        <w:rPr>
          <w:rFonts w:hint="eastAsia" w:ascii="MS UI Gothic" w:eastAsia="MS UI Gothic"/>
          <w:spacing w:val="-9"/>
        </w:rPr>
        <w:t xml:space="preserve"> ６ </w:t>
      </w:r>
      <w:r>
        <w:rPr>
          <w:rFonts w:hint="eastAsia" w:ascii="MS UI Gothic" w:eastAsia="MS UI Gothic"/>
        </w:rPr>
        <w:t xml:space="preserve">ｍ </w:t>
      </w:r>
      <w:r>
        <w:t>的</w:t>
      </w:r>
      <w:r>
        <w:rPr>
          <w:spacing w:val="10"/>
        </w:rPr>
        <w:t>浅孔爆破时</w:t>
      </w:r>
      <w:r>
        <w:rPr>
          <w:rFonts w:hint="eastAsia" w:ascii="MS UI Gothic" w:eastAsia="MS UI Gothic"/>
          <w:spacing w:val="23"/>
          <w:w w:val="80"/>
        </w:rPr>
        <w:t xml:space="preserve">ꎬ </w:t>
      </w:r>
      <w:r>
        <w:rPr>
          <w:spacing w:val="17"/>
        </w:rPr>
        <w:t>必须制定安全措施并封满</w:t>
      </w:r>
      <w:r>
        <w:rPr>
          <w:spacing w:val="3"/>
        </w:rPr>
        <w:t>炮泥</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5"/>
          <w:w w:val="145"/>
        </w:rPr>
        <w:t xml:space="preserve">( </w:t>
      </w:r>
      <w:r>
        <w:rPr>
          <w:spacing w:val="3"/>
        </w:rPr>
        <w:t>二</w:t>
      </w:r>
      <w:r>
        <w:rPr>
          <w:rFonts w:hint="eastAsia" w:ascii="MS UI Gothic" w:eastAsia="MS UI Gothic"/>
          <w:spacing w:val="7"/>
          <w:w w:val="145"/>
        </w:rPr>
        <w:t xml:space="preserve">) </w:t>
      </w:r>
      <w:r>
        <w:rPr>
          <w:spacing w:val="-10"/>
        </w:rPr>
        <w:t xml:space="preserve">炮眼深度为 </w:t>
      </w:r>
      <w:r>
        <w:rPr>
          <w:rFonts w:hint="eastAsia" w:ascii="MS UI Gothic" w:eastAsia="MS UI Gothic"/>
        </w:rPr>
        <w:t>０</w:t>
      </w:r>
      <w:r>
        <w:rPr>
          <w:rFonts w:hint="eastAsia" w:ascii="MS UI Gothic" w:eastAsia="MS UI Gothic"/>
          <w:spacing w:val="-20"/>
        </w:rPr>
        <w:t xml:space="preserve"> ６ </w:t>
      </w:r>
      <w:r>
        <w:rPr>
          <w:rFonts w:hint="eastAsia" w:ascii="MS UI Gothic" w:eastAsia="MS UI Gothic"/>
          <w:w w:val="145"/>
        </w:rPr>
        <w:t>~</w:t>
      </w:r>
      <w:r>
        <w:rPr>
          <w:rFonts w:hint="eastAsia" w:ascii="MS UI Gothic" w:eastAsia="MS UI Gothic"/>
          <w:spacing w:val="-67"/>
          <w:w w:val="145"/>
        </w:rPr>
        <w:t xml:space="preserve"> </w:t>
      </w:r>
      <w:r>
        <w:rPr>
          <w:rFonts w:hint="eastAsia" w:ascii="MS UI Gothic" w:eastAsia="MS UI Gothic"/>
          <w:spacing w:val="-3"/>
        </w:rPr>
        <w:t xml:space="preserve">１ </w:t>
      </w:r>
      <w:r>
        <w:rPr>
          <w:rFonts w:hint="eastAsia" w:ascii="MS UI Gothic" w:eastAsia="MS UI Gothic"/>
        </w:rPr>
        <w:t xml:space="preserve">ｍ </w:t>
      </w:r>
      <w:r>
        <w:rPr>
          <w:spacing w:val="3"/>
        </w:rPr>
        <w:t>时</w:t>
      </w:r>
      <w:r>
        <w:rPr>
          <w:rFonts w:hint="eastAsia" w:ascii="MS UI Gothic" w:eastAsia="MS UI Gothic"/>
          <w:spacing w:val="3"/>
          <w:w w:val="65"/>
        </w:rPr>
        <w:t xml:space="preserve">ꎬ </w:t>
      </w:r>
      <w:r>
        <w:rPr>
          <w:spacing w:val="1"/>
        </w:rPr>
        <w:t>封泥</w:t>
      </w:r>
      <w:r>
        <w:rPr>
          <w:spacing w:val="-3"/>
        </w:rPr>
        <w:t xml:space="preserve">长度不得小于炮眼深度的 </w:t>
      </w:r>
      <w:r>
        <w:rPr>
          <w:rFonts w:hint="eastAsia" w:ascii="MS UI Gothic" w:eastAsia="MS UI Gothic"/>
          <w:spacing w:val="-16"/>
        </w:rPr>
        <w:t xml:space="preserve">１ </w:t>
      </w:r>
      <w:r>
        <w:rPr>
          <w:rFonts w:hint="eastAsia" w:ascii="MS UI Gothic" w:eastAsia="MS UI Gothic"/>
          <w:w w:val="65"/>
        </w:rPr>
        <w:t xml:space="preserve">/ </w:t>
      </w:r>
      <w:r>
        <w:rPr>
          <w:rFonts w:hint="eastAsia" w:ascii="MS UI Gothic" w:eastAsia="MS UI Gothic"/>
          <w:spacing w:val="5"/>
        </w:rPr>
        <w:t>２</w:t>
      </w:r>
      <w:r>
        <w:rPr>
          <w:rFonts w:hint="eastAsia" w:ascii="MS UI Gothic" w:eastAsia="MS UI Gothic"/>
          <w:w w:val="65"/>
        </w:rPr>
        <w:t>ꎮ</w:t>
      </w:r>
    </w:p>
    <w:p>
      <w:pPr>
        <w:pStyle w:val="6"/>
        <w:spacing w:line="295" w:lineRule="auto"/>
        <w:ind w:left="381" w:right="126"/>
        <w:rPr>
          <w:rFonts w:hint="eastAsia" w:ascii="MS UI Gothic" w:eastAsia="MS UI Gothic"/>
        </w:rPr>
      </w:pPr>
      <w:r>
        <w:rPr>
          <w:rFonts w:hint="eastAsia" w:ascii="MS UI Gothic" w:eastAsia="MS UI Gothic"/>
          <w:spacing w:val="-35"/>
          <w:w w:val="145"/>
        </w:rPr>
        <w:t xml:space="preserve">( </w:t>
      </w:r>
      <w:r>
        <w:rPr>
          <w:spacing w:val="3"/>
        </w:rPr>
        <w:t>三</w:t>
      </w:r>
      <w:r>
        <w:rPr>
          <w:rFonts w:hint="eastAsia" w:ascii="MS UI Gothic" w:eastAsia="MS UI Gothic"/>
          <w:spacing w:val="14"/>
          <w:w w:val="145"/>
        </w:rPr>
        <w:t xml:space="preserve">) </w:t>
      </w:r>
      <w:r>
        <w:rPr>
          <w:spacing w:val="-6"/>
        </w:rPr>
        <w:t xml:space="preserve">炮眼深度超过 </w:t>
      </w:r>
      <w:r>
        <w:rPr>
          <w:rFonts w:hint="eastAsia" w:ascii="MS UI Gothic" w:eastAsia="MS UI Gothic"/>
          <w:spacing w:val="7"/>
        </w:rPr>
        <w:t xml:space="preserve">１ </w:t>
      </w:r>
      <w:r>
        <w:rPr>
          <w:rFonts w:hint="eastAsia" w:ascii="MS UI Gothic" w:eastAsia="MS UI Gothic"/>
        </w:rPr>
        <w:t>ｍ</w:t>
      </w:r>
      <w:r>
        <w:rPr>
          <w:rFonts w:hint="eastAsia" w:ascii="MS UI Gothic" w:eastAsia="MS UI Gothic"/>
          <w:spacing w:val="13"/>
        </w:rPr>
        <w:t xml:space="preserve"> </w:t>
      </w:r>
      <w:r>
        <w:rPr>
          <w:spacing w:val="3"/>
        </w:rPr>
        <w:t>时</w:t>
      </w:r>
      <w:r>
        <w:rPr>
          <w:rFonts w:hint="eastAsia" w:ascii="MS UI Gothic" w:eastAsia="MS UI Gothic"/>
          <w:spacing w:val="2"/>
          <w:w w:val="80"/>
        </w:rPr>
        <w:t xml:space="preserve">ꎬ </w:t>
      </w:r>
      <w:r>
        <w:rPr>
          <w:spacing w:val="6"/>
        </w:rPr>
        <w:t>封泥长</w:t>
      </w:r>
      <w:r>
        <w:rPr>
          <w:spacing w:val="-8"/>
        </w:rPr>
        <w:t xml:space="preserve">度不得小于 </w:t>
      </w:r>
      <w:r>
        <w:rPr>
          <w:rFonts w:hint="eastAsia" w:ascii="MS UI Gothic" w:eastAsia="MS UI Gothic"/>
        </w:rPr>
        <w:t>０</w:t>
      </w:r>
      <w:r>
        <w:rPr>
          <w:rFonts w:hint="eastAsia" w:ascii="MS UI Gothic" w:eastAsia="MS UI Gothic"/>
          <w:spacing w:val="-2"/>
        </w:rPr>
        <w:t xml:space="preserve"> ５ </w:t>
      </w:r>
      <w:r>
        <w:rPr>
          <w:rFonts w:hint="eastAsia" w:ascii="MS UI Gothic" w:eastAsia="MS UI Gothic"/>
          <w:spacing w:val="4"/>
        </w:rPr>
        <w:t>ｍ</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6"/>
          <w:w w:val="145"/>
        </w:rPr>
        <w:t xml:space="preserve">( </w:t>
      </w:r>
      <w:r>
        <w:rPr>
          <w:spacing w:val="3"/>
        </w:rPr>
        <w:t>四</w:t>
      </w:r>
      <w:r>
        <w:rPr>
          <w:rFonts w:hint="eastAsia" w:ascii="MS UI Gothic" w:eastAsia="MS UI Gothic"/>
          <w:spacing w:val="9"/>
          <w:w w:val="145"/>
        </w:rPr>
        <w:t xml:space="preserve">) </w:t>
      </w:r>
      <w:r>
        <w:rPr>
          <w:spacing w:val="-5"/>
        </w:rPr>
        <w:t xml:space="preserve">炮眼深度超过 </w:t>
      </w:r>
      <w:r>
        <w:rPr>
          <w:rFonts w:hint="eastAsia" w:ascii="MS UI Gothic" w:eastAsia="MS UI Gothic"/>
        </w:rPr>
        <w:t>２</w:t>
      </w:r>
      <w:r>
        <w:rPr>
          <w:rFonts w:hint="eastAsia" w:ascii="MS UI Gothic" w:eastAsia="MS UI Gothic"/>
          <w:spacing w:val="-3"/>
        </w:rPr>
        <w:t xml:space="preserve"> ５ </w:t>
      </w:r>
      <w:r>
        <w:rPr>
          <w:rFonts w:hint="eastAsia" w:ascii="MS UI Gothic" w:eastAsia="MS UI Gothic"/>
        </w:rPr>
        <w:t>ｍ</w:t>
      </w:r>
      <w:r>
        <w:rPr>
          <w:rFonts w:hint="eastAsia" w:ascii="MS UI Gothic" w:eastAsia="MS UI Gothic"/>
          <w:spacing w:val="8"/>
        </w:rPr>
        <w:t xml:space="preserve"> </w:t>
      </w:r>
      <w:r>
        <w:rPr>
          <w:spacing w:val="3"/>
        </w:rPr>
        <w:t>时</w:t>
      </w:r>
      <w:r>
        <w:rPr>
          <w:rFonts w:hint="eastAsia" w:ascii="MS UI Gothic" w:eastAsia="MS UI Gothic"/>
          <w:spacing w:val="23"/>
          <w:w w:val="80"/>
        </w:rPr>
        <w:t xml:space="preserve">ꎬ </w:t>
      </w:r>
      <w:r>
        <w:rPr>
          <w:spacing w:val="4"/>
        </w:rPr>
        <w:t>封泥</w:t>
      </w:r>
      <w:r>
        <w:rPr>
          <w:spacing w:val="-6"/>
        </w:rPr>
        <w:t xml:space="preserve">长度不得小于 </w:t>
      </w:r>
      <w:r>
        <w:rPr>
          <w:rFonts w:hint="eastAsia" w:ascii="MS UI Gothic" w:eastAsia="MS UI Gothic"/>
          <w:spacing w:val="5"/>
        </w:rPr>
        <w:t xml:space="preserve">１ </w:t>
      </w:r>
      <w:r>
        <w:rPr>
          <w:rFonts w:hint="eastAsia" w:ascii="MS UI Gothic" w:eastAsia="MS UI Gothic"/>
          <w:spacing w:val="4"/>
        </w:rPr>
        <w:t>ｍ</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t>五</w:t>
      </w:r>
      <w:r>
        <w:rPr>
          <w:rFonts w:hint="eastAsia" w:ascii="MS UI Gothic" w:eastAsia="MS UI Gothic"/>
          <w:w w:val="150"/>
        </w:rPr>
        <w:t xml:space="preserve">) </w:t>
      </w:r>
      <w:r>
        <w:t>深孔爆破时</w:t>
      </w:r>
      <w:r>
        <w:rPr>
          <w:rFonts w:hint="eastAsia" w:ascii="MS UI Gothic" w:eastAsia="MS UI Gothic"/>
          <w:w w:val="80"/>
        </w:rPr>
        <w:t xml:space="preserve">ꎬ </w:t>
      </w:r>
      <w:r>
        <w:t xml:space="preserve">封泥长度不得小于孔深的 </w:t>
      </w:r>
      <w:r>
        <w:rPr>
          <w:rFonts w:hint="eastAsia" w:ascii="MS UI Gothic" w:eastAsia="MS UI Gothic"/>
          <w:w w:val="80"/>
        </w:rPr>
        <w:t xml:space="preserve">１ </w:t>
      </w:r>
      <w:r>
        <w:rPr>
          <w:rFonts w:hint="eastAsia" w:ascii="MS UI Gothic" w:eastAsia="MS UI Gothic"/>
          <w:w w:val="65"/>
        </w:rPr>
        <w:t xml:space="preserve">/ </w:t>
      </w:r>
      <w:r>
        <w:rPr>
          <w:rFonts w:hint="eastAsia" w:ascii="MS UI Gothic" w:eastAsia="MS UI Gothic"/>
          <w:w w:val="80"/>
        </w:rPr>
        <w:t>３ꎮ</w:t>
      </w:r>
    </w:p>
    <w:p>
      <w:pPr>
        <w:pStyle w:val="6"/>
        <w:spacing w:line="295" w:lineRule="auto"/>
        <w:ind w:left="375" w:right="126" w:firstLine="425"/>
        <w:rPr>
          <w:rFonts w:hint="eastAsia" w:ascii="MS UI Gothic" w:eastAsia="MS UI Gothic"/>
        </w:rPr>
      </w:pPr>
      <w:r>
        <w:rPr>
          <w:rFonts w:hint="eastAsia" w:ascii="MS UI Gothic" w:eastAsia="MS UI Gothic"/>
          <w:w w:val="145"/>
        </w:rPr>
        <w:t xml:space="preserve">( </w:t>
      </w:r>
      <w:r>
        <w:t>六</w:t>
      </w:r>
      <w:r>
        <w:rPr>
          <w:rFonts w:hint="eastAsia" w:ascii="MS UI Gothic" w:eastAsia="MS UI Gothic"/>
          <w:w w:val="145"/>
        </w:rPr>
        <w:t xml:space="preserve">) </w:t>
      </w:r>
      <w:r>
        <w:t>光面爆破时</w:t>
      </w:r>
      <w:r>
        <w:rPr>
          <w:rFonts w:hint="eastAsia" w:ascii="MS UI Gothic" w:eastAsia="MS UI Gothic"/>
          <w:w w:val="80"/>
        </w:rPr>
        <w:t xml:space="preserve">ꎬ </w:t>
      </w:r>
      <w:r>
        <w:t>周边光爆炮眼应当用炮泥封实</w:t>
      </w:r>
      <w:r>
        <w:rPr>
          <w:rFonts w:hint="eastAsia" w:ascii="MS UI Gothic" w:eastAsia="MS UI Gothic"/>
          <w:w w:val="80"/>
        </w:rPr>
        <w:t xml:space="preserve">ꎬ </w:t>
      </w:r>
      <w:r>
        <w:t>且封泥长度不得小于</w:t>
      </w:r>
      <w:r>
        <w:rPr>
          <w:rFonts w:hint="eastAsia" w:ascii="MS UI Gothic" w:eastAsia="MS UI Gothic"/>
        </w:rPr>
        <w:t>０ ３ ｍ</w:t>
      </w:r>
      <w:r>
        <w:rPr>
          <w:rFonts w:hint="eastAsia" w:ascii="MS UI Gothic" w:eastAsia="MS UI Gothic"/>
          <w:w w:val="80"/>
        </w:rPr>
        <w:t>ꎮ</w:t>
      </w:r>
    </w:p>
    <w:p>
      <w:pPr>
        <w:pStyle w:val="6"/>
        <w:spacing w:line="295" w:lineRule="auto"/>
        <w:ind w:left="375" w:right="126" w:firstLine="425"/>
      </w:pPr>
      <w:r>
        <w:rPr>
          <w:rFonts w:hint="eastAsia" w:ascii="MS UI Gothic" w:eastAsia="MS UI Gothic"/>
          <w:spacing w:val="-32"/>
          <w:w w:val="145"/>
        </w:rPr>
        <w:t xml:space="preserve">( </w:t>
      </w:r>
      <w:r>
        <w:rPr>
          <w:spacing w:val="15"/>
        </w:rPr>
        <w:t>七</w:t>
      </w:r>
      <w:r>
        <w:rPr>
          <w:rFonts w:hint="eastAsia" w:ascii="MS UI Gothic" w:eastAsia="MS UI Gothic"/>
          <w:spacing w:val="38"/>
          <w:w w:val="145"/>
        </w:rPr>
        <w:t xml:space="preserve">) </w:t>
      </w:r>
      <w:r>
        <w:rPr>
          <w:spacing w:val="12"/>
        </w:rPr>
        <w:t xml:space="preserve">工作面有 </w:t>
      </w:r>
      <w:r>
        <w:rPr>
          <w:rFonts w:hint="eastAsia" w:ascii="MS UI Gothic" w:eastAsia="MS UI Gothic"/>
          <w:spacing w:val="20"/>
        </w:rPr>
        <w:t xml:space="preserve">２ </w:t>
      </w:r>
      <w:r>
        <w:rPr>
          <w:spacing w:val="19"/>
        </w:rPr>
        <w:t>个及以上自由面</w:t>
      </w:r>
      <w:r>
        <w:rPr>
          <w:spacing w:val="3"/>
        </w:rPr>
        <w:t>时</w:t>
      </w:r>
      <w:r>
        <w:rPr>
          <w:rFonts w:hint="eastAsia" w:ascii="MS UI Gothic" w:eastAsia="MS UI Gothic"/>
          <w:spacing w:val="5"/>
          <w:w w:val="80"/>
        </w:rPr>
        <w:t xml:space="preserve">ꎬ </w:t>
      </w:r>
      <w:r>
        <w:rPr>
          <w:spacing w:val="-25"/>
        </w:rPr>
        <w:t>在 煤 层 中 最 小 抵 抗 线 不 得 小 于</w:t>
      </w:r>
      <w:r>
        <w:rPr>
          <w:rFonts w:hint="eastAsia" w:ascii="MS UI Gothic" w:eastAsia="MS UI Gothic"/>
          <w:spacing w:val="-25"/>
        </w:rPr>
        <w:t>０</w:t>
      </w:r>
      <w:r>
        <w:rPr>
          <w:rFonts w:hint="eastAsia" w:ascii="MS UI Gothic" w:eastAsia="MS UI Gothic"/>
          <w:spacing w:val="-15"/>
        </w:rPr>
        <w:t xml:space="preserve"> ５ </w:t>
      </w:r>
      <w:r>
        <w:rPr>
          <w:rFonts w:hint="eastAsia" w:ascii="MS UI Gothic" w:eastAsia="MS UI Gothic"/>
          <w:spacing w:val="4"/>
        </w:rPr>
        <w:t>ｍ</w:t>
      </w:r>
      <w:r>
        <w:rPr>
          <w:rFonts w:hint="eastAsia" w:ascii="MS UI Gothic" w:eastAsia="MS UI Gothic"/>
          <w:spacing w:val="8"/>
          <w:w w:val="80"/>
        </w:rPr>
        <w:t xml:space="preserve">ꎬ </w:t>
      </w:r>
      <w:r>
        <w:rPr>
          <w:spacing w:val="25"/>
        </w:rPr>
        <w:t>在岩层中最小抵抗线不得小于</w:t>
      </w:r>
    </w:p>
    <w:p>
      <w:pPr>
        <w:pStyle w:val="6"/>
        <w:spacing w:line="295" w:lineRule="auto"/>
        <w:ind w:left="381" w:right="126" w:hanging="6"/>
        <w:rPr>
          <w:rFonts w:hint="eastAsia" w:ascii="MS UI Gothic" w:eastAsia="MS UI Gothic"/>
        </w:rPr>
      </w:pPr>
      <w:r>
        <w:rPr>
          <w:rFonts w:hint="eastAsia" w:ascii="MS UI Gothic" w:eastAsia="MS UI Gothic"/>
        </w:rPr>
        <w:t>０ ３ ｍ</w:t>
      </w:r>
      <w:r>
        <w:rPr>
          <w:rFonts w:hint="eastAsia" w:ascii="MS UI Gothic" w:eastAsia="MS UI Gothic"/>
          <w:w w:val="85"/>
        </w:rPr>
        <w:t xml:space="preserve">ꎮ </w:t>
      </w:r>
      <w:r>
        <w:t>浅孔装药爆破大块岩石时</w:t>
      </w:r>
      <w:r>
        <w:rPr>
          <w:rFonts w:hint="eastAsia" w:ascii="MS UI Gothic" w:eastAsia="MS UI Gothic"/>
          <w:w w:val="85"/>
        </w:rPr>
        <w:t xml:space="preserve">ꎬ </w:t>
      </w:r>
      <w:r>
        <w:t xml:space="preserve">最小抵抗线和封泥长度都不得小于 </w:t>
      </w:r>
      <w:r>
        <w:rPr>
          <w:rFonts w:hint="eastAsia" w:ascii="MS UI Gothic" w:eastAsia="MS UI Gothic"/>
        </w:rPr>
        <w:t>０ ３ ｍ</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２９０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899" o:spid="_x0000_s1899" o:spt="203" style="height:2.15pt;width:398.25pt;" coordsize="7965,43">
            <o:lock v:ext="edit"/>
            <v:line id="_x0000_s1900" o:spid="_x0000_s1900" o:spt="20" style="position:absolute;left:0;top:39;height:0;width:7965;" stroked="t" coordsize="21600,21600">
              <v:path arrowok="t"/>
              <v:fill focussize="0,0"/>
              <v:stroke weight="0.388031496062992pt" color="#231F20"/>
              <v:imagedata o:title=""/>
              <o:lock v:ext="edit"/>
            </v:line>
            <v:line id="_x0000_s1901" o:spid="_x0000_s190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w w:val="105"/>
        </w:rPr>
        <w:t xml:space="preserve">第三百六十条 处理卡在溜煤 </w:t>
      </w:r>
      <w:r>
        <w:rPr>
          <w:rFonts w:hint="eastAsia" w:ascii="MS UI Gothic" w:eastAsia="MS UI Gothic"/>
          <w:w w:val="150"/>
        </w:rPr>
        <w:t xml:space="preserve">( </w:t>
      </w:r>
      <w:r>
        <w:rPr>
          <w:w w:val="105"/>
        </w:rPr>
        <w:t>矸</w:t>
      </w:r>
      <w:r>
        <w:rPr>
          <w:rFonts w:hint="eastAsia" w:ascii="MS UI Gothic" w:eastAsia="MS UI Gothic"/>
          <w:w w:val="150"/>
        </w:rPr>
        <w:t xml:space="preserve">) </w:t>
      </w:r>
      <w:r>
        <w:rPr>
          <w:w w:val="105"/>
        </w:rPr>
        <w:t>眼中的煤</w:t>
      </w:r>
      <w:r>
        <w:rPr>
          <w:rFonts w:hint="eastAsia" w:ascii="MS UI Gothic" w:eastAsia="MS UI Gothic"/>
          <w:w w:val="80"/>
        </w:rPr>
        <w:t xml:space="preserve">、 </w:t>
      </w:r>
      <w:r>
        <w:rPr>
          <w:w w:val="105"/>
        </w:rPr>
        <w:t>矸时</w:t>
      </w:r>
      <w:r>
        <w:rPr>
          <w:rFonts w:hint="eastAsia" w:ascii="MS UI Gothic" w:eastAsia="MS UI Gothic"/>
          <w:w w:val="80"/>
        </w:rPr>
        <w:t xml:space="preserve">ꎬ </w:t>
      </w:r>
      <w:r>
        <w:rPr>
          <w:w w:val="105"/>
        </w:rPr>
        <w:t>如果确无爆破以外的其</w:t>
      </w:r>
      <w:r>
        <w:t>他方法</w:t>
      </w:r>
      <w:r>
        <w:rPr>
          <w:rFonts w:hint="eastAsia" w:ascii="MS UI Gothic" w:eastAsia="MS UI Gothic"/>
          <w:w w:val="80"/>
        </w:rPr>
        <w:t xml:space="preserve">ꎬ </w:t>
      </w:r>
      <w:r>
        <w:t>可爆破处理</w:t>
      </w:r>
      <w:r>
        <w:rPr>
          <w:rFonts w:hint="eastAsia" w:ascii="MS UI Gothic" w:eastAsia="MS UI Gothic"/>
          <w:w w:val="80"/>
        </w:rPr>
        <w:t xml:space="preserve">ꎬ </w:t>
      </w:r>
      <w:r>
        <w:t>但必须遵守下列</w:t>
      </w:r>
      <w:r>
        <w:rPr>
          <w:w w:val="105"/>
        </w:rPr>
        <w:t>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10"/>
        </w:rPr>
        <w:t>一</w:t>
      </w:r>
      <w:r>
        <w:rPr>
          <w:rFonts w:hint="eastAsia" w:ascii="MS UI Gothic" w:eastAsia="MS UI Gothic"/>
          <w:spacing w:val="-2"/>
          <w:w w:val="150"/>
        </w:rPr>
        <w:t xml:space="preserve">) </w:t>
      </w:r>
      <w:r>
        <w:rPr>
          <w:spacing w:val="-2"/>
          <w:w w:val="110"/>
        </w:rPr>
        <w:t xml:space="preserve">爆破前检查溜煤 </w:t>
      </w:r>
      <w:r>
        <w:rPr>
          <w:rFonts w:hint="eastAsia" w:ascii="MS UI Gothic" w:eastAsia="MS UI Gothic"/>
          <w:spacing w:val="-37"/>
          <w:w w:val="150"/>
        </w:rPr>
        <w:t xml:space="preserve">( </w:t>
      </w:r>
      <w:r>
        <w:rPr>
          <w:spacing w:val="7"/>
          <w:w w:val="110"/>
        </w:rPr>
        <w:t>矸</w:t>
      </w:r>
      <w:r>
        <w:rPr>
          <w:rFonts w:hint="eastAsia" w:ascii="MS UI Gothic" w:eastAsia="MS UI Gothic"/>
          <w:w w:val="150"/>
        </w:rPr>
        <w:t xml:space="preserve">) </w:t>
      </w:r>
      <w:r>
        <w:rPr>
          <w:spacing w:val="6"/>
          <w:w w:val="110"/>
        </w:rPr>
        <w:t>眼内堵</w:t>
      </w:r>
      <w:r>
        <w:rPr>
          <w:spacing w:val="3"/>
          <w:w w:val="105"/>
        </w:rPr>
        <w:t>塞部位的上部和下部空间的瓦斯浓度</w:t>
      </w:r>
      <w:r>
        <w:rPr>
          <w:rFonts w:hint="eastAsia" w:ascii="MS UI Gothic" w:eastAsia="MS UI Gothic"/>
          <w:w w:val="80"/>
        </w:rPr>
        <w:t>ꎮ</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爆破前必须洒水</w:t>
      </w:r>
      <w:r>
        <w:rPr>
          <w:rFonts w:hint="eastAsia" w:ascii="MS UI Gothic" w:eastAsia="MS UI Gothic"/>
          <w:w w:val="80"/>
        </w:rPr>
        <w:t>ꎮ</w:t>
      </w:r>
    </w:p>
    <w:p>
      <w:pPr>
        <w:pStyle w:val="6"/>
        <w:spacing w:before="55" w:line="295" w:lineRule="auto"/>
        <w:ind w:right="39"/>
        <w:rPr>
          <w:rFonts w:hint="eastAsia" w:ascii="MS UI Gothic" w:eastAsia="MS UI Gothic"/>
        </w:rPr>
      </w:pPr>
      <w:r>
        <w:rPr>
          <w:rFonts w:hint="eastAsia" w:ascii="MS UI Gothic" w:eastAsia="MS UI Gothic"/>
          <w:spacing w:val="19"/>
          <w:w w:val="150"/>
        </w:rPr>
        <w:t>(</w:t>
      </w:r>
      <w:r>
        <w:rPr>
          <w:spacing w:val="3"/>
          <w:w w:val="110"/>
        </w:rPr>
        <w:t>三</w:t>
      </w:r>
      <w:r>
        <w:rPr>
          <w:rFonts w:hint="eastAsia" w:ascii="MS UI Gothic" w:eastAsia="MS UI Gothic"/>
          <w:spacing w:val="-3"/>
          <w:w w:val="150"/>
        </w:rPr>
        <w:t xml:space="preserve">) </w:t>
      </w:r>
      <w:r>
        <w:rPr>
          <w:spacing w:val="-4"/>
          <w:w w:val="110"/>
        </w:rPr>
        <w:t xml:space="preserve">使用用于溜煤 </w:t>
      </w:r>
      <w:r>
        <w:rPr>
          <w:rFonts w:hint="eastAsia" w:ascii="MS UI Gothic" w:eastAsia="MS UI Gothic"/>
          <w:spacing w:val="-37"/>
          <w:w w:val="150"/>
        </w:rPr>
        <w:t xml:space="preserve">( </w:t>
      </w:r>
      <w:r>
        <w:rPr>
          <w:spacing w:val="7"/>
          <w:w w:val="110"/>
        </w:rPr>
        <w:t>矸</w:t>
      </w:r>
      <w:r>
        <w:rPr>
          <w:rFonts w:hint="eastAsia" w:ascii="MS UI Gothic" w:eastAsia="MS UI Gothic"/>
          <w:spacing w:val="-1"/>
          <w:w w:val="150"/>
        </w:rPr>
        <w:t xml:space="preserve">) </w:t>
      </w:r>
      <w:r>
        <w:rPr>
          <w:spacing w:val="6"/>
          <w:w w:val="110"/>
        </w:rPr>
        <w:t>眼的煤矿</w:t>
      </w:r>
      <w:r>
        <w:rPr>
          <w:spacing w:val="3"/>
        </w:rPr>
        <w:t>许用刚性被筒炸药</w:t>
      </w:r>
      <w:r>
        <w:rPr>
          <w:rFonts w:hint="eastAsia" w:ascii="MS UI Gothic" w:eastAsia="MS UI Gothic"/>
          <w:spacing w:val="21"/>
          <w:w w:val="80"/>
        </w:rPr>
        <w:t xml:space="preserve">ꎬ </w:t>
      </w:r>
      <w:r>
        <w:rPr>
          <w:spacing w:val="2"/>
        </w:rPr>
        <w:t>或者不低于该安全等</w:t>
      </w:r>
      <w:r>
        <w:rPr>
          <w:spacing w:val="3"/>
          <w:w w:val="110"/>
        </w:rPr>
        <w:t>级的煤矿许用炸药</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40"/>
        </w:rPr>
        <w:t xml:space="preserve">( </w:t>
      </w:r>
      <w:r>
        <w:t>四</w:t>
      </w:r>
      <w:r>
        <w:rPr>
          <w:rFonts w:hint="eastAsia" w:ascii="MS UI Gothic" w:eastAsia="MS UI Gothic"/>
          <w:w w:val="140"/>
        </w:rPr>
        <w:t xml:space="preserve">) </w:t>
      </w:r>
      <w:r>
        <w:t xml:space="preserve">每次爆破只准使用 </w:t>
      </w:r>
      <w:r>
        <w:rPr>
          <w:rFonts w:hint="eastAsia" w:ascii="MS UI Gothic" w:eastAsia="MS UI Gothic"/>
          <w:w w:val="85"/>
        </w:rPr>
        <w:t xml:space="preserve">１ </w:t>
      </w:r>
      <w:r>
        <w:t>个煤矿许用电雷管</w:t>
      </w:r>
      <w:r>
        <w:rPr>
          <w:rFonts w:hint="eastAsia" w:ascii="MS UI Gothic" w:eastAsia="MS UI Gothic"/>
          <w:w w:val="85"/>
        </w:rPr>
        <w:t xml:space="preserve">ꎬ </w:t>
      </w:r>
      <w:r>
        <w:t xml:space="preserve">最大装药量不得超过 </w:t>
      </w:r>
      <w:r>
        <w:rPr>
          <w:rFonts w:hint="eastAsia" w:ascii="MS UI Gothic" w:eastAsia="MS UI Gothic"/>
          <w:w w:val="85"/>
        </w:rPr>
        <w:t>４５０ ｇꎮ</w:t>
      </w:r>
    </w:p>
    <w:p>
      <w:pPr>
        <w:pStyle w:val="6"/>
        <w:spacing w:line="295" w:lineRule="auto"/>
        <w:ind w:right="39"/>
        <w:rPr>
          <w:rFonts w:hint="eastAsia" w:ascii="MS UI Gothic" w:eastAsia="MS UI Gothic"/>
        </w:rPr>
      </w:pPr>
      <w:r>
        <w:rPr>
          <w:w w:val="105"/>
        </w:rPr>
        <w:t>第三百六十一条 装药前和爆破前有下列情况之一的</w:t>
      </w:r>
      <w:r>
        <w:rPr>
          <w:rFonts w:hint="eastAsia" w:ascii="MS UI Gothic" w:eastAsia="MS UI Gothic"/>
          <w:w w:val="80"/>
        </w:rPr>
        <w:t xml:space="preserve">ꎬ </w:t>
      </w:r>
      <w:r>
        <w:rPr>
          <w:w w:val="105"/>
        </w:rPr>
        <w:t>严禁装药</w:t>
      </w:r>
      <w:r>
        <w:rPr>
          <w:rFonts w:hint="eastAsia" w:ascii="MS UI Gothic" w:eastAsia="MS UI Gothic"/>
          <w:w w:val="80"/>
        </w:rPr>
        <w:t xml:space="preserve">、 </w:t>
      </w:r>
      <w:r>
        <w:rPr>
          <w:w w:val="105"/>
        </w:rPr>
        <w:t>爆破</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采掘工作面控顶距离不符合作</w:t>
      </w:r>
      <w:r>
        <w:t>业规程的规定</w:t>
      </w:r>
      <w:r>
        <w:rPr>
          <w:rFonts w:hint="eastAsia" w:ascii="MS UI Gothic" w:eastAsia="MS UI Gothic"/>
          <w:w w:val="80"/>
        </w:rPr>
        <w:t xml:space="preserve">ꎬ </w:t>
      </w:r>
      <w:r>
        <w:t>或者有支架损坏</w:t>
      </w:r>
      <w:r>
        <w:rPr>
          <w:rFonts w:hint="eastAsia" w:ascii="MS UI Gothic" w:eastAsia="MS UI Gothic"/>
          <w:w w:val="80"/>
        </w:rPr>
        <w:t xml:space="preserve">ꎬ </w:t>
      </w:r>
      <w:r>
        <w:t>或者伞</w:t>
      </w:r>
      <w:r>
        <w:rPr>
          <w:w w:val="105"/>
        </w:rPr>
        <w:t>檐超过规定</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 xml:space="preserve">爆破地点附近 </w:t>
      </w:r>
      <w:r>
        <w:rPr>
          <w:rFonts w:hint="eastAsia" w:ascii="MS UI Gothic" w:eastAsia="MS UI Gothic"/>
          <w:w w:val="85"/>
        </w:rPr>
        <w:t xml:space="preserve">２０  ｍ </w:t>
      </w:r>
      <w:r>
        <w:t xml:space="preserve">以内风流中甲烷浓度达到或者超过 </w:t>
      </w:r>
      <w:r>
        <w:rPr>
          <w:rFonts w:hint="eastAsia" w:ascii="MS UI Gothic" w:eastAsia="MS UI Gothic"/>
          <w:w w:val="85"/>
        </w:rPr>
        <w:t>１ ０</w:t>
      </w:r>
      <w:r>
        <w:rPr>
          <w:w w:val="85"/>
        </w:rPr>
        <w:t xml:space="preserve">％ </w:t>
      </w:r>
      <w:r>
        <w:rPr>
          <w:rFonts w:hint="eastAsia" w:ascii="MS UI Gothic" w:eastAsia="MS UI Gothic"/>
          <w:w w:val="85"/>
        </w:rPr>
        <w:t>ꎮ</w:t>
      </w:r>
    </w:p>
    <w:p>
      <w:pPr>
        <w:pStyle w:val="6"/>
        <w:spacing w:line="295" w:lineRule="auto"/>
        <w:ind w:right="38"/>
        <w:rPr>
          <w:rFonts w:hint="eastAsia" w:ascii="MS UI Gothic" w:eastAsia="MS UI Gothic"/>
        </w:rPr>
      </w:pPr>
      <w:r>
        <w:rPr>
          <w:rFonts w:hint="eastAsia" w:ascii="MS UI Gothic" w:eastAsia="MS UI Gothic"/>
          <w:w w:val="145"/>
        </w:rPr>
        <w:t xml:space="preserve">( </w:t>
      </w:r>
      <w:r>
        <w:t>三</w:t>
      </w:r>
      <w:r>
        <w:rPr>
          <w:rFonts w:hint="eastAsia" w:ascii="MS UI Gothic" w:eastAsia="MS UI Gothic"/>
          <w:w w:val="145"/>
        </w:rPr>
        <w:t xml:space="preserve">) </w:t>
      </w:r>
      <w:r>
        <w:t xml:space="preserve">在爆破地点 </w:t>
      </w:r>
      <w:r>
        <w:rPr>
          <w:rFonts w:hint="eastAsia" w:ascii="MS UI Gothic" w:eastAsia="MS UI Gothic"/>
          <w:w w:val="80"/>
        </w:rPr>
        <w:t xml:space="preserve">２０ ｍ </w:t>
      </w:r>
      <w:r>
        <w:t>以内</w:t>
      </w:r>
      <w:r>
        <w:rPr>
          <w:rFonts w:hint="eastAsia" w:ascii="MS UI Gothic" w:eastAsia="MS UI Gothic"/>
          <w:w w:val="80"/>
        </w:rPr>
        <w:t xml:space="preserve">ꎬ </w:t>
      </w:r>
      <w:r>
        <w:t>矿车</w:t>
      </w:r>
      <w:r>
        <w:rPr>
          <w:rFonts w:hint="eastAsia" w:ascii="MS UI Gothic" w:eastAsia="MS UI Gothic"/>
          <w:w w:val="80"/>
        </w:rPr>
        <w:t>、</w:t>
      </w:r>
      <w:r>
        <w:t xml:space="preserve">未清除的煤 </w:t>
      </w:r>
      <w:r>
        <w:rPr>
          <w:rFonts w:hint="eastAsia" w:ascii="MS UI Gothic" w:eastAsia="MS UI Gothic"/>
          <w:w w:val="145"/>
        </w:rPr>
        <w:t xml:space="preserve">( </w:t>
      </w:r>
      <w:r>
        <w:t>矸</w:t>
      </w:r>
      <w:r>
        <w:rPr>
          <w:rFonts w:hint="eastAsia" w:ascii="MS UI Gothic" w:eastAsia="MS UI Gothic"/>
          <w:w w:val="145"/>
        </w:rPr>
        <w:t xml:space="preserve">) </w:t>
      </w:r>
      <w:r>
        <w:t xml:space="preserve">或者其他物体堵塞巷道断面 </w:t>
      </w:r>
      <w:r>
        <w:rPr>
          <w:rFonts w:hint="eastAsia" w:ascii="MS UI Gothic" w:eastAsia="MS UI Gothic"/>
          <w:w w:val="80"/>
        </w:rPr>
        <w:t xml:space="preserve">１ </w:t>
      </w:r>
      <w:r>
        <w:rPr>
          <w:rFonts w:hint="eastAsia" w:ascii="MS UI Gothic" w:eastAsia="MS UI Gothic"/>
          <w:w w:val="70"/>
        </w:rPr>
        <w:t xml:space="preserve">/ </w:t>
      </w:r>
      <w:r>
        <w:rPr>
          <w:rFonts w:hint="eastAsia" w:ascii="MS UI Gothic" w:eastAsia="MS UI Gothic"/>
          <w:w w:val="80"/>
        </w:rPr>
        <w:t xml:space="preserve">３ </w:t>
      </w:r>
      <w:r>
        <w:t>以上</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炮眼内发现异状</w:t>
      </w:r>
      <w:r>
        <w:rPr>
          <w:rFonts w:hint="eastAsia" w:ascii="MS UI Gothic" w:eastAsia="MS UI Gothic"/>
          <w:w w:val="80"/>
        </w:rPr>
        <w:t xml:space="preserve">、  </w:t>
      </w:r>
      <w:r>
        <w:rPr>
          <w:w w:val="105"/>
        </w:rPr>
        <w:t>温度骤高骤低</w:t>
      </w:r>
      <w:r>
        <w:rPr>
          <w:rFonts w:hint="eastAsia" w:ascii="MS UI Gothic" w:eastAsia="MS UI Gothic"/>
          <w:w w:val="80"/>
        </w:rPr>
        <w:t xml:space="preserve">、 </w:t>
      </w:r>
      <w:r>
        <w:rPr>
          <w:w w:val="105"/>
        </w:rPr>
        <w:t>有显著瓦斯涌出</w:t>
      </w:r>
      <w:r>
        <w:rPr>
          <w:rFonts w:hint="eastAsia" w:ascii="MS UI Gothic" w:eastAsia="MS UI Gothic"/>
          <w:w w:val="80"/>
        </w:rPr>
        <w:t xml:space="preserve">、 </w:t>
      </w:r>
      <w:r>
        <w:rPr>
          <w:w w:val="105"/>
        </w:rPr>
        <w:t>煤岩松散</w:t>
      </w:r>
      <w:r>
        <w:rPr>
          <w:rFonts w:hint="eastAsia" w:ascii="MS UI Gothic" w:eastAsia="MS UI Gothic"/>
          <w:w w:val="80"/>
        </w:rPr>
        <w:t xml:space="preserve">、 </w:t>
      </w:r>
      <w:r>
        <w:rPr>
          <w:w w:val="105"/>
        </w:rPr>
        <w:t>透老空区等情况</w:t>
      </w:r>
      <w:r>
        <w:rPr>
          <w:rFonts w:hint="eastAsia" w:ascii="MS UI Gothic" w:eastAsia="MS UI Gothic"/>
          <w:w w:val="80"/>
        </w:rPr>
        <w:t>ꎮ</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采掘工作面风量不足</w:t>
      </w:r>
      <w:r>
        <w:rPr>
          <w:rFonts w:hint="eastAsia" w:ascii="MS UI Gothic" w:eastAsia="MS UI Gothic"/>
          <w:w w:val="80"/>
        </w:rPr>
        <w:t>ꎮ</w:t>
      </w:r>
    </w:p>
    <w:p>
      <w:pPr>
        <w:pStyle w:val="6"/>
        <w:spacing w:before="46" w:line="295" w:lineRule="auto"/>
        <w:ind w:left="118" w:right="39" w:firstLine="425"/>
        <w:rPr>
          <w:rFonts w:hint="eastAsia" w:ascii="MS UI Gothic" w:eastAsia="MS UI Gothic"/>
        </w:rPr>
      </w:pPr>
      <w:r>
        <w:t>第三百六十二条 在有煤尘爆炸危险的煤层中</w:t>
      </w:r>
      <w:r>
        <w:rPr>
          <w:rFonts w:hint="eastAsia" w:ascii="MS UI Gothic" w:eastAsia="MS UI Gothic"/>
          <w:w w:val="85"/>
        </w:rPr>
        <w:t xml:space="preserve">ꎬ </w:t>
      </w:r>
      <w:r>
        <w:t>掘进工作面爆破前后</w:t>
      </w:r>
      <w:r>
        <w:rPr>
          <w:rFonts w:hint="eastAsia" w:ascii="MS UI Gothic" w:eastAsia="MS UI Gothic"/>
          <w:w w:val="85"/>
        </w:rPr>
        <w:t xml:space="preserve">ꎬ </w:t>
      </w:r>
      <w:r>
        <w:t>附近</w:t>
      </w:r>
      <w:r>
        <w:rPr>
          <w:rFonts w:hint="eastAsia" w:ascii="MS UI Gothic" w:eastAsia="MS UI Gothic"/>
          <w:w w:val="85"/>
        </w:rPr>
        <w:t xml:space="preserve">２０ ｍ </w:t>
      </w:r>
      <w:r>
        <w:t>的巷道内必须洒水降尘</w:t>
      </w:r>
      <w:r>
        <w:rPr>
          <w:rFonts w:hint="eastAsia" w:ascii="MS UI Gothic" w:eastAsia="MS UI Gothic"/>
          <w:w w:val="85"/>
        </w:rPr>
        <w:t>ꎮ</w:t>
      </w:r>
    </w:p>
    <w:p>
      <w:pPr>
        <w:pStyle w:val="6"/>
        <w:spacing w:line="295" w:lineRule="auto"/>
        <w:ind w:right="39"/>
        <w:rPr>
          <w:rFonts w:hint="eastAsia" w:ascii="MS UI Gothic" w:eastAsia="MS UI Gothic"/>
        </w:rPr>
      </w:pPr>
      <w:r>
        <w:t>第三百六十三条 爆破前</w:t>
      </w:r>
      <w:r>
        <w:rPr>
          <w:rFonts w:hint="eastAsia" w:ascii="MS UI Gothic" w:eastAsia="MS UI Gothic"/>
          <w:w w:val="80"/>
        </w:rPr>
        <w:t xml:space="preserve">ꎬ </w:t>
      </w:r>
      <w:r>
        <w:t>必须加强对机电设备</w:t>
      </w:r>
      <w:r>
        <w:rPr>
          <w:rFonts w:hint="eastAsia" w:ascii="MS UI Gothic" w:eastAsia="MS UI Gothic"/>
          <w:w w:val="80"/>
        </w:rPr>
        <w:t xml:space="preserve">、 </w:t>
      </w:r>
      <w:r>
        <w:t>液压支架和电缆等的保护</w:t>
      </w:r>
      <w:r>
        <w:rPr>
          <w:rFonts w:hint="eastAsia" w:ascii="MS UI Gothic" w:eastAsia="MS UI Gothic"/>
          <w:w w:val="80"/>
        </w:rPr>
        <w:t>ꎮ</w:t>
      </w:r>
    </w:p>
    <w:p>
      <w:pPr>
        <w:pStyle w:val="6"/>
        <w:spacing w:line="295" w:lineRule="auto"/>
        <w:ind w:right="39"/>
        <w:rPr>
          <w:rFonts w:hint="eastAsia" w:ascii="MS UI Gothic" w:eastAsia="MS UI Gothic"/>
        </w:rPr>
      </w:pPr>
      <w:r>
        <w:t>爆破前</w:t>
      </w:r>
      <w:r>
        <w:rPr>
          <w:rFonts w:hint="eastAsia" w:ascii="MS UI Gothic" w:eastAsia="MS UI Gothic"/>
          <w:w w:val="80"/>
        </w:rPr>
        <w:t xml:space="preserve">ꎬ </w:t>
      </w:r>
      <w:r>
        <w:t>班组长必须亲自布置专人将工作面所有人员撤离警戒区域</w:t>
      </w:r>
      <w:r>
        <w:rPr>
          <w:rFonts w:hint="eastAsia" w:ascii="MS UI Gothic" w:eastAsia="MS UI Gothic"/>
          <w:w w:val="80"/>
        </w:rPr>
        <w:t xml:space="preserve">ꎬ </w:t>
      </w:r>
      <w:r>
        <w:t>并在警戒线和可能进入爆破地点的所有通路上布置专人担任警戒工作</w:t>
      </w:r>
      <w:r>
        <w:rPr>
          <w:rFonts w:hint="eastAsia" w:ascii="MS UI Gothic" w:eastAsia="MS UI Gothic"/>
          <w:w w:val="80"/>
        </w:rPr>
        <w:t xml:space="preserve">ꎮ </w:t>
      </w:r>
      <w:r>
        <w:t>警戒人员必须在安全地点警戒</w:t>
      </w:r>
      <w:r>
        <w:rPr>
          <w:rFonts w:hint="eastAsia" w:ascii="MS UI Gothic" w:eastAsia="MS UI Gothic"/>
          <w:w w:val="80"/>
        </w:rPr>
        <w:t xml:space="preserve">ꎮ </w:t>
      </w:r>
      <w:r>
        <w:t>警戒线处应当设置警戒牌</w:t>
      </w:r>
      <w:r>
        <w:rPr>
          <w:rFonts w:hint="eastAsia" w:ascii="MS UI Gothic" w:eastAsia="MS UI Gothic"/>
          <w:w w:val="80"/>
        </w:rPr>
        <w:t xml:space="preserve">、 </w:t>
      </w:r>
      <w:r>
        <w:t>栏杆或者拉绳</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第三百六十四条 爆破母线和连接线</w:t>
      </w:r>
      <w:r>
        <w:rPr>
          <w:w w:val="110"/>
        </w:rPr>
        <w:t>必须符合下列要求</w:t>
      </w:r>
      <w:r>
        <w:rPr>
          <w:rFonts w:hint="eastAsia" w:ascii="MS UI Gothic" w:eastAsia="MS UI Gothic"/>
          <w:w w:val="235"/>
        </w:rPr>
        <w:t>:</w:t>
      </w:r>
    </w:p>
    <w:p>
      <w:pPr>
        <w:pStyle w:val="6"/>
        <w:spacing w:before="123"/>
        <w:ind w:left="538" w:firstLine="0"/>
        <w:rPr>
          <w:rFonts w:hint="eastAsia" w:ascii="MS UI Gothic" w:eastAsia="MS UI Gothic"/>
        </w:rPr>
      </w:pPr>
      <w:r>
        <w:br w:type="column"/>
      </w: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爆破母线符合标准</w:t>
      </w:r>
      <w:r>
        <w:rPr>
          <w:rFonts w:hint="eastAsia" w:ascii="MS UI Gothic" w:eastAsia="MS UI Gothic"/>
          <w:w w:val="80"/>
        </w:rPr>
        <w:t>ꎮ</w:t>
      </w:r>
    </w:p>
    <w:p>
      <w:pPr>
        <w:pStyle w:val="6"/>
        <w:spacing w:before="58" w:line="295" w:lineRule="auto"/>
        <w:ind w:left="118"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爆破母线和连接线</w:t>
      </w:r>
      <w:r>
        <w:rPr>
          <w:rFonts w:hint="eastAsia" w:ascii="MS UI Gothic" w:eastAsia="MS UI Gothic"/>
          <w:w w:val="80"/>
        </w:rPr>
        <w:t xml:space="preserve">、 </w:t>
      </w:r>
      <w:r>
        <w:rPr>
          <w:w w:val="105"/>
        </w:rPr>
        <w:t>电雷管脚线和连接线</w:t>
      </w:r>
      <w:r>
        <w:rPr>
          <w:rFonts w:hint="eastAsia" w:ascii="MS UI Gothic" w:eastAsia="MS UI Gothic"/>
          <w:w w:val="80"/>
        </w:rPr>
        <w:t xml:space="preserve">、 </w:t>
      </w:r>
      <w:r>
        <w:rPr>
          <w:w w:val="105"/>
        </w:rPr>
        <w:t>脚线和脚线之间的接头相互扭紧并悬空</w:t>
      </w:r>
      <w:r>
        <w:rPr>
          <w:rFonts w:hint="eastAsia" w:ascii="MS UI Gothic" w:eastAsia="MS UI Gothic"/>
          <w:w w:val="80"/>
        </w:rPr>
        <w:t xml:space="preserve">ꎬ </w:t>
      </w:r>
      <w:r>
        <w:rPr>
          <w:w w:val="105"/>
        </w:rPr>
        <w:t>不得与轨道</w:t>
      </w:r>
      <w:r>
        <w:rPr>
          <w:rFonts w:hint="eastAsia" w:ascii="MS UI Gothic" w:eastAsia="MS UI Gothic"/>
          <w:w w:val="80"/>
        </w:rPr>
        <w:t xml:space="preserve">、 </w:t>
      </w:r>
      <w:r>
        <w:rPr>
          <w:w w:val="105"/>
        </w:rPr>
        <w:t>金属管</w:t>
      </w:r>
      <w:r>
        <w:rPr>
          <w:rFonts w:hint="eastAsia" w:ascii="MS UI Gothic" w:eastAsia="MS UI Gothic"/>
          <w:w w:val="80"/>
        </w:rPr>
        <w:t xml:space="preserve">、 </w:t>
      </w:r>
      <w:r>
        <w:rPr>
          <w:w w:val="105"/>
        </w:rPr>
        <w:t>金属网</w:t>
      </w:r>
      <w:r>
        <w:rPr>
          <w:rFonts w:hint="eastAsia" w:ascii="MS UI Gothic" w:eastAsia="MS UI Gothic"/>
          <w:w w:val="80"/>
        </w:rPr>
        <w:t xml:space="preserve">、 </w:t>
      </w:r>
      <w:r>
        <w:rPr>
          <w:w w:val="105"/>
        </w:rPr>
        <w:t>钢丝绳</w:t>
      </w:r>
      <w:r>
        <w:rPr>
          <w:rFonts w:hint="eastAsia" w:ascii="MS UI Gothic" w:eastAsia="MS UI Gothic"/>
          <w:w w:val="80"/>
        </w:rPr>
        <w:t xml:space="preserve">、 </w:t>
      </w:r>
      <w:r>
        <w:rPr>
          <w:w w:val="105"/>
        </w:rPr>
        <w:t>刮板输送机等导电体相接触</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巷道掘进时</w:t>
      </w:r>
      <w:r>
        <w:rPr>
          <w:rFonts w:hint="eastAsia" w:ascii="MS UI Gothic" w:eastAsia="MS UI Gothic"/>
          <w:w w:val="80"/>
        </w:rPr>
        <w:t xml:space="preserve">ꎬ </w:t>
      </w:r>
      <w:r>
        <w:t>爆破母线应当随用随挂</w:t>
      </w:r>
      <w:r>
        <w:rPr>
          <w:rFonts w:hint="eastAsia" w:ascii="MS UI Gothic" w:eastAsia="MS UI Gothic"/>
          <w:w w:val="80"/>
        </w:rPr>
        <w:t xml:space="preserve">ꎮ </w:t>
      </w:r>
      <w:r>
        <w:t>不得使用固定爆破母线</w:t>
      </w:r>
      <w:r>
        <w:rPr>
          <w:rFonts w:hint="eastAsia" w:ascii="MS UI Gothic" w:eastAsia="MS UI Gothic"/>
          <w:w w:val="80"/>
        </w:rPr>
        <w:t xml:space="preserve">ꎬ </w:t>
      </w:r>
      <w:r>
        <w:t>特殊情况下</w:t>
      </w:r>
      <w:r>
        <w:rPr>
          <w:rFonts w:hint="eastAsia" w:ascii="MS UI Gothic" w:eastAsia="MS UI Gothic"/>
          <w:w w:val="80"/>
        </w:rPr>
        <w:t xml:space="preserve">ꎬ </w:t>
      </w:r>
      <w:r>
        <w:t>在采取安全措施后</w:t>
      </w:r>
      <w:r>
        <w:rPr>
          <w:rFonts w:hint="eastAsia" w:ascii="MS UI Gothic" w:eastAsia="MS UI Gothic"/>
          <w:w w:val="80"/>
        </w:rPr>
        <w:t xml:space="preserve">ꎬ </w:t>
      </w:r>
      <w:r>
        <w:t>可不受此限</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45"/>
        </w:rPr>
        <w:t xml:space="preserve">( </w:t>
      </w:r>
      <w:r>
        <w:t>四</w:t>
      </w:r>
      <w:r>
        <w:rPr>
          <w:rFonts w:hint="eastAsia" w:ascii="MS UI Gothic" w:eastAsia="MS UI Gothic"/>
          <w:w w:val="145"/>
        </w:rPr>
        <w:t xml:space="preserve">) </w:t>
      </w:r>
      <w:r>
        <w:t>爆破母线与电缆应当分别挂在巷道的两侧</w:t>
      </w:r>
      <w:r>
        <w:rPr>
          <w:rFonts w:hint="eastAsia" w:ascii="MS UI Gothic" w:eastAsia="MS UI Gothic"/>
          <w:w w:val="80"/>
        </w:rPr>
        <w:t xml:space="preserve">ꎮ </w:t>
      </w:r>
      <w:r>
        <w:t>如果必须挂在同一侧</w:t>
      </w:r>
      <w:r>
        <w:rPr>
          <w:rFonts w:hint="eastAsia" w:ascii="MS UI Gothic" w:eastAsia="MS UI Gothic"/>
          <w:w w:val="80"/>
        </w:rPr>
        <w:t xml:space="preserve">ꎬ </w:t>
      </w:r>
      <w:r>
        <w:t>爆破母线必须挂在电缆的下方</w:t>
      </w:r>
      <w:r>
        <w:rPr>
          <w:rFonts w:hint="eastAsia" w:ascii="MS UI Gothic" w:eastAsia="MS UI Gothic"/>
          <w:w w:val="80"/>
        </w:rPr>
        <w:t xml:space="preserve">ꎬ </w:t>
      </w:r>
      <w:r>
        <w:t xml:space="preserve">并保持 </w:t>
      </w:r>
      <w:r>
        <w:rPr>
          <w:rFonts w:hint="eastAsia" w:ascii="MS UI Gothic" w:eastAsia="MS UI Gothic"/>
        </w:rPr>
        <w:t xml:space="preserve">０ ３ ｍ </w:t>
      </w:r>
      <w:r>
        <w:t>以上的距离</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只准采用绝缘母线单回路爆破</w:t>
      </w:r>
      <w:r>
        <w:rPr>
          <w:rFonts w:hint="eastAsia" w:ascii="MS UI Gothic" w:eastAsia="MS UI Gothic"/>
          <w:w w:val="80"/>
        </w:rPr>
        <w:t xml:space="preserve">ꎬ </w:t>
      </w:r>
      <w:r>
        <w:rPr>
          <w:w w:val="105"/>
        </w:rPr>
        <w:t>严禁用轨道</w:t>
      </w:r>
      <w:r>
        <w:rPr>
          <w:rFonts w:hint="eastAsia" w:ascii="MS UI Gothic" w:eastAsia="MS UI Gothic"/>
          <w:w w:val="80"/>
        </w:rPr>
        <w:t xml:space="preserve">、 </w:t>
      </w:r>
      <w:r>
        <w:rPr>
          <w:w w:val="105"/>
        </w:rPr>
        <w:t>金属管</w:t>
      </w:r>
      <w:r>
        <w:rPr>
          <w:rFonts w:hint="eastAsia" w:ascii="MS UI Gothic" w:eastAsia="MS UI Gothic"/>
          <w:w w:val="80"/>
        </w:rPr>
        <w:t xml:space="preserve">、 </w:t>
      </w:r>
      <w:r>
        <w:rPr>
          <w:w w:val="105"/>
        </w:rPr>
        <w:t>金属网</w:t>
      </w:r>
      <w:r>
        <w:rPr>
          <w:rFonts w:hint="eastAsia" w:ascii="MS UI Gothic" w:eastAsia="MS UI Gothic"/>
          <w:w w:val="80"/>
        </w:rPr>
        <w:t xml:space="preserve">、 </w:t>
      </w:r>
      <w:r>
        <w:rPr>
          <w:w w:val="105"/>
        </w:rPr>
        <w:t>水或者大地等当作回路</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爆破前</w:t>
      </w:r>
      <w:r>
        <w:rPr>
          <w:rFonts w:hint="eastAsia" w:ascii="MS UI Gothic" w:eastAsia="MS UI Gothic"/>
          <w:w w:val="80"/>
        </w:rPr>
        <w:t xml:space="preserve">ꎬ </w:t>
      </w:r>
      <w:r>
        <w:rPr>
          <w:w w:val="105"/>
        </w:rPr>
        <w:t>爆破母线必须扭结成短路</w:t>
      </w:r>
      <w:r>
        <w:rPr>
          <w:rFonts w:hint="eastAsia" w:ascii="MS UI Gothic" w:eastAsia="MS UI Gothic"/>
          <w:w w:val="80"/>
        </w:rPr>
        <w:t>ꎮ</w:t>
      </w:r>
    </w:p>
    <w:p>
      <w:pPr>
        <w:pStyle w:val="6"/>
        <w:spacing w:line="295" w:lineRule="auto"/>
        <w:ind w:left="118" w:right="442"/>
        <w:rPr>
          <w:rFonts w:hint="eastAsia" w:ascii="MS UI Gothic" w:eastAsia="MS UI Gothic"/>
        </w:rPr>
      </w:pPr>
      <w:r>
        <w:rPr>
          <w:w w:val="95"/>
        </w:rPr>
        <w:t>第三百六十五条   井下爆破必须使用发爆器</w:t>
      </w:r>
      <w:r>
        <w:rPr>
          <w:rFonts w:hint="eastAsia" w:ascii="MS UI Gothic" w:eastAsia="MS UI Gothic"/>
          <w:w w:val="90"/>
        </w:rPr>
        <w:t xml:space="preserve">ꎮ  </w:t>
      </w:r>
      <w:r>
        <w:rPr>
          <w:w w:val="95"/>
        </w:rPr>
        <w:t>开凿或者延深通达地面的井筒时</w:t>
      </w:r>
      <w:r>
        <w:rPr>
          <w:rFonts w:hint="eastAsia" w:ascii="MS UI Gothic" w:eastAsia="MS UI Gothic"/>
          <w:w w:val="90"/>
        </w:rPr>
        <w:t xml:space="preserve">ꎬ  </w:t>
      </w:r>
      <w:r>
        <w:rPr>
          <w:w w:val="95"/>
        </w:rPr>
        <w:t>无瓦斯的井底工作面中可使用其他电源起爆</w:t>
      </w:r>
      <w:r>
        <w:rPr>
          <w:rFonts w:hint="eastAsia" w:ascii="MS UI Gothic" w:eastAsia="MS UI Gothic"/>
          <w:w w:val="90"/>
        </w:rPr>
        <w:t xml:space="preserve">ꎬ </w:t>
      </w:r>
      <w:r>
        <w:rPr>
          <w:w w:val="95"/>
        </w:rPr>
        <w:t xml:space="preserve">但电压不得超过 </w:t>
      </w:r>
      <w:r>
        <w:rPr>
          <w:rFonts w:hint="eastAsia" w:ascii="MS UI Gothic" w:eastAsia="MS UI Gothic"/>
          <w:w w:val="95"/>
        </w:rPr>
        <w:t>３８０ Ｖ</w:t>
      </w:r>
      <w:r>
        <w:rPr>
          <w:rFonts w:hint="eastAsia" w:ascii="MS UI Gothic" w:eastAsia="MS UI Gothic"/>
          <w:w w:val="90"/>
        </w:rPr>
        <w:t xml:space="preserve">ꎬ </w:t>
      </w:r>
      <w:r>
        <w:rPr>
          <w:w w:val="95"/>
        </w:rPr>
        <w:t>并必须有电力起爆接线盒</w:t>
      </w:r>
      <w:r>
        <w:rPr>
          <w:rFonts w:hint="eastAsia" w:ascii="MS UI Gothic" w:eastAsia="MS UI Gothic"/>
          <w:w w:val="90"/>
        </w:rPr>
        <w:t>ꎮ</w:t>
      </w:r>
    </w:p>
    <w:p>
      <w:pPr>
        <w:pStyle w:val="6"/>
        <w:spacing w:line="295" w:lineRule="auto"/>
        <w:ind w:left="118" w:right="442"/>
        <w:rPr>
          <w:rFonts w:hint="eastAsia" w:ascii="MS UI Gothic" w:eastAsia="MS UI Gothic"/>
        </w:rPr>
      </w:pPr>
      <w:r>
        <w:t>发爆器或者电力起爆接线盒必须采用</w:t>
      </w:r>
      <w:r>
        <w:rPr>
          <w:w w:val="105"/>
        </w:rPr>
        <w:t xml:space="preserve">矿用防爆型 </w:t>
      </w:r>
      <w:r>
        <w:rPr>
          <w:rFonts w:hint="eastAsia" w:ascii="MS UI Gothic" w:eastAsia="MS UI Gothic"/>
          <w:w w:val="150"/>
        </w:rPr>
        <w:t xml:space="preserve">( </w:t>
      </w:r>
      <w:r>
        <w:rPr>
          <w:w w:val="105"/>
        </w:rPr>
        <w:t>矿用增安型除外</w:t>
      </w:r>
      <w:r>
        <w:rPr>
          <w:rFonts w:hint="eastAsia" w:ascii="MS UI Gothic" w:eastAsia="MS UI Gothic"/>
          <w:w w:val="150"/>
        </w:rPr>
        <w:t xml:space="preserve">) </w:t>
      </w:r>
      <w:r>
        <w:rPr>
          <w:rFonts w:hint="eastAsia" w:ascii="MS UI Gothic" w:eastAsia="MS UI Gothic"/>
          <w:w w:val="80"/>
        </w:rPr>
        <w:t>ꎮ</w:t>
      </w:r>
    </w:p>
    <w:p>
      <w:pPr>
        <w:pStyle w:val="6"/>
        <w:spacing w:line="295" w:lineRule="auto"/>
        <w:ind w:left="118" w:right="442"/>
        <w:rPr>
          <w:rFonts w:hint="eastAsia" w:ascii="MS UI Gothic" w:eastAsia="MS UI Gothic"/>
        </w:rPr>
      </w:pPr>
      <w:r>
        <w:t>发爆器必须统一管理</w:t>
      </w:r>
      <w:r>
        <w:rPr>
          <w:rFonts w:hint="eastAsia" w:ascii="MS UI Gothic" w:eastAsia="MS UI Gothic"/>
          <w:w w:val="80"/>
        </w:rPr>
        <w:t xml:space="preserve">、 </w:t>
      </w:r>
      <w:r>
        <w:t>发放</w:t>
      </w:r>
      <w:r>
        <w:rPr>
          <w:rFonts w:hint="eastAsia" w:ascii="MS UI Gothic" w:eastAsia="MS UI Gothic"/>
          <w:w w:val="80"/>
        </w:rPr>
        <w:t xml:space="preserve">ꎮ </w:t>
      </w:r>
      <w:r>
        <w:t>必须定期校验发爆器的各项性能参数</w:t>
      </w:r>
      <w:r>
        <w:rPr>
          <w:rFonts w:hint="eastAsia" w:ascii="MS UI Gothic" w:eastAsia="MS UI Gothic"/>
          <w:w w:val="80"/>
        </w:rPr>
        <w:t xml:space="preserve">ꎬ </w:t>
      </w:r>
      <w:r>
        <w:t>并进行防爆性能检查</w:t>
      </w:r>
      <w:r>
        <w:rPr>
          <w:rFonts w:hint="eastAsia" w:ascii="MS UI Gothic" w:eastAsia="MS UI Gothic"/>
          <w:w w:val="80"/>
        </w:rPr>
        <w:t xml:space="preserve">ꎬ </w:t>
      </w:r>
      <w:r>
        <w:t>不符合要求的严禁使用</w:t>
      </w:r>
      <w:r>
        <w:rPr>
          <w:rFonts w:hint="eastAsia" w:ascii="MS UI Gothic" w:eastAsia="MS UI Gothic"/>
          <w:w w:val="80"/>
        </w:rPr>
        <w:t>ꎮ</w:t>
      </w:r>
    </w:p>
    <w:p>
      <w:pPr>
        <w:pStyle w:val="6"/>
        <w:spacing w:line="295" w:lineRule="auto"/>
        <w:ind w:left="118" w:right="440"/>
        <w:rPr>
          <w:rFonts w:hint="eastAsia" w:ascii="MS UI Gothic" w:eastAsia="MS UI Gothic"/>
        </w:rPr>
      </w:pPr>
      <w:r>
        <w:t>第三百六十六条 每次爆破作业前</w:t>
      </w:r>
      <w:r>
        <w:rPr>
          <w:rFonts w:hint="eastAsia" w:ascii="MS UI Gothic" w:eastAsia="MS UI Gothic"/>
          <w:w w:val="80"/>
        </w:rPr>
        <w:t>ꎬ</w:t>
      </w:r>
      <w:r>
        <w:t>爆破工必须做电爆网路全电阻检测</w:t>
      </w:r>
      <w:r>
        <w:rPr>
          <w:rFonts w:hint="eastAsia" w:ascii="MS UI Gothic" w:eastAsia="MS UI Gothic"/>
          <w:w w:val="80"/>
        </w:rPr>
        <w:t xml:space="preserve">ꎮ </w:t>
      </w:r>
      <w:r>
        <w:t>严禁采用发爆器打火放电的方法检测电爆网路</w:t>
      </w:r>
      <w:r>
        <w:rPr>
          <w:rFonts w:hint="eastAsia" w:ascii="MS UI Gothic" w:eastAsia="MS UI Gothic"/>
          <w:w w:val="80"/>
        </w:rPr>
        <w:t>ꎮ</w:t>
      </w:r>
    </w:p>
    <w:p>
      <w:pPr>
        <w:pStyle w:val="6"/>
        <w:spacing w:line="295" w:lineRule="auto"/>
        <w:ind w:left="118" w:right="442"/>
        <w:rPr>
          <w:rFonts w:hint="eastAsia" w:ascii="MS UI Gothic" w:eastAsia="MS UI Gothic"/>
        </w:rPr>
      </w:pPr>
      <w:r>
        <w:t>第三百六十七条 爆破工必须最后离开爆破地点</w:t>
      </w:r>
      <w:r>
        <w:rPr>
          <w:rFonts w:hint="eastAsia" w:ascii="MS UI Gothic" w:eastAsia="MS UI Gothic"/>
          <w:w w:val="80"/>
        </w:rPr>
        <w:t xml:space="preserve">ꎬ </w:t>
      </w:r>
      <w:r>
        <w:t>并在安全地点起爆</w:t>
      </w:r>
      <w:r>
        <w:rPr>
          <w:rFonts w:hint="eastAsia" w:ascii="MS UI Gothic" w:eastAsia="MS UI Gothic"/>
          <w:w w:val="80"/>
        </w:rPr>
        <w:t xml:space="preserve">ꎮ </w:t>
      </w:r>
      <w:r>
        <w:t>起爆地点到爆破地点的距离必须在作业规程中具体规定</w:t>
      </w:r>
      <w:r>
        <w:rPr>
          <w:rFonts w:hint="eastAsia" w:ascii="MS UI Gothic" w:eastAsia="MS UI Gothic"/>
          <w:w w:val="80"/>
        </w:rPr>
        <w:t>ꎮ</w:t>
      </w:r>
    </w:p>
    <w:p>
      <w:pPr>
        <w:pStyle w:val="6"/>
        <w:spacing w:line="295" w:lineRule="auto"/>
        <w:ind w:left="118" w:right="442"/>
      </w:pPr>
      <w:r>
        <w:t>第三百六十八条 发爆器的把手</w:t>
      </w:r>
      <w:r>
        <w:rPr>
          <w:rFonts w:hint="eastAsia" w:ascii="MS UI Gothic" w:eastAsia="MS UI Gothic"/>
          <w:w w:val="80"/>
        </w:rPr>
        <w:t xml:space="preserve">、 </w:t>
      </w:r>
      <w:r>
        <w:t>钥匙或者电力起爆接线盒的钥匙</w:t>
      </w:r>
      <w:r>
        <w:rPr>
          <w:rFonts w:hint="eastAsia" w:ascii="MS UI Gothic" w:eastAsia="MS UI Gothic"/>
          <w:w w:val="80"/>
        </w:rPr>
        <w:t xml:space="preserve">ꎬ </w:t>
      </w:r>
      <w:r>
        <w:t>必须由爆破工随身携带</w:t>
      </w:r>
      <w:r>
        <w:rPr>
          <w:rFonts w:hint="eastAsia" w:ascii="MS UI Gothic" w:eastAsia="MS UI Gothic"/>
          <w:w w:val="80"/>
        </w:rPr>
        <w:t xml:space="preserve">ꎬ </w:t>
      </w:r>
      <w:r>
        <w:t>严禁转交他人</w:t>
      </w:r>
      <w:r>
        <w:rPr>
          <w:rFonts w:hint="eastAsia" w:ascii="MS UI Gothic" w:eastAsia="MS UI Gothic"/>
          <w:w w:val="80"/>
        </w:rPr>
        <w:t xml:space="preserve">ꎮ </w:t>
      </w:r>
      <w:r>
        <w:t>只有在爆</w:t>
      </w:r>
    </w:p>
    <w:p>
      <w:pPr>
        <w:spacing w:after="0" w:line="295" w:lineRule="auto"/>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２９１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02" o:spid="_x0000_s1902" o:spt="203" style="height:2.15pt;width:398.25pt;" coordsize="7965,43">
            <o:lock v:ext="edit"/>
            <v:line id="_x0000_s1903" o:spid="_x0000_s1903" o:spt="20" style="position:absolute;left:0;top:39;height:0;width:7965;" stroked="t" coordsize="21600,21600">
              <v:path arrowok="t"/>
              <v:fill focussize="0,0"/>
              <v:stroke weight="0.388031496062992pt" color="#231F20"/>
              <v:imagedata o:title=""/>
              <o:lock v:ext="edit"/>
            </v:line>
            <v:line id="_x0000_s1904" o:spid="_x0000_s190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破通电时</w:t>
      </w:r>
      <w:r>
        <w:rPr>
          <w:rFonts w:hint="eastAsia" w:ascii="MS UI Gothic" w:eastAsia="MS UI Gothic"/>
          <w:w w:val="80"/>
        </w:rPr>
        <w:t xml:space="preserve">ꎬ </w:t>
      </w:r>
      <w:r>
        <w:t>方可将把手或者钥匙插入发爆器或者电力起爆接线盒内</w:t>
      </w:r>
      <w:r>
        <w:rPr>
          <w:rFonts w:hint="eastAsia" w:ascii="MS UI Gothic" w:eastAsia="MS UI Gothic"/>
          <w:w w:val="80"/>
        </w:rPr>
        <w:t xml:space="preserve">ꎮ </w:t>
      </w:r>
      <w:r>
        <w:t>爆破后</w:t>
      </w:r>
      <w:r>
        <w:rPr>
          <w:rFonts w:hint="eastAsia" w:ascii="MS UI Gothic" w:eastAsia="MS UI Gothic"/>
          <w:w w:val="80"/>
        </w:rPr>
        <w:t xml:space="preserve">ꎬ </w:t>
      </w:r>
      <w:r>
        <w:t>必须立即将把手或者钥匙拔出</w:t>
      </w:r>
      <w:r>
        <w:rPr>
          <w:rFonts w:hint="eastAsia" w:ascii="MS UI Gothic" w:eastAsia="MS UI Gothic"/>
          <w:w w:val="80"/>
        </w:rPr>
        <w:t xml:space="preserve">ꎬ </w:t>
      </w:r>
      <w:r>
        <w:t>摘掉母线并扭结成短路</w:t>
      </w:r>
      <w:r>
        <w:rPr>
          <w:rFonts w:hint="eastAsia" w:ascii="MS UI Gothic" w:eastAsia="MS UI Gothic"/>
          <w:w w:val="80"/>
        </w:rPr>
        <w:t>ꎮ</w:t>
      </w:r>
    </w:p>
    <w:p>
      <w:pPr>
        <w:pStyle w:val="6"/>
        <w:spacing w:line="295" w:lineRule="auto"/>
        <w:ind w:left="440" w:right="1"/>
        <w:rPr>
          <w:rFonts w:hint="eastAsia" w:ascii="MS UI Gothic" w:eastAsia="MS UI Gothic"/>
        </w:rPr>
      </w:pPr>
      <w:r>
        <w:t>第三百六十九条 爆破前</w:t>
      </w:r>
      <w:r>
        <w:rPr>
          <w:rFonts w:hint="eastAsia" w:ascii="MS UI Gothic" w:eastAsia="MS UI Gothic"/>
          <w:w w:val="80"/>
        </w:rPr>
        <w:t xml:space="preserve">ꎬ </w:t>
      </w:r>
      <w:r>
        <w:t>脚线的连接工作可由经过专门训练的班组长协助爆破工进行</w:t>
      </w:r>
      <w:r>
        <w:rPr>
          <w:rFonts w:hint="eastAsia" w:ascii="MS UI Gothic" w:eastAsia="MS UI Gothic"/>
          <w:w w:val="80"/>
        </w:rPr>
        <w:t xml:space="preserve">ꎮ </w:t>
      </w:r>
      <w:r>
        <w:t>爆破母线连接脚线</w:t>
      </w:r>
      <w:r>
        <w:rPr>
          <w:rFonts w:hint="eastAsia" w:ascii="MS UI Gothic" w:eastAsia="MS UI Gothic"/>
          <w:w w:val="80"/>
        </w:rPr>
        <w:t xml:space="preserve">、 </w:t>
      </w:r>
      <w:r>
        <w:t>检查线路和通电工作</w:t>
      </w:r>
      <w:r>
        <w:rPr>
          <w:rFonts w:hint="eastAsia" w:ascii="MS UI Gothic" w:eastAsia="MS UI Gothic"/>
          <w:w w:val="80"/>
        </w:rPr>
        <w:t xml:space="preserve">ꎬ </w:t>
      </w:r>
      <w:r>
        <w:t>只准爆破工一人操作</w:t>
      </w:r>
      <w:r>
        <w:rPr>
          <w:rFonts w:hint="eastAsia" w:ascii="MS UI Gothic" w:eastAsia="MS UI Gothic"/>
          <w:w w:val="80"/>
        </w:rPr>
        <w:t>ꎮ</w:t>
      </w:r>
    </w:p>
    <w:p>
      <w:pPr>
        <w:pStyle w:val="6"/>
        <w:spacing w:line="295" w:lineRule="auto"/>
        <w:ind w:left="440" w:right="1"/>
        <w:rPr>
          <w:rFonts w:hint="eastAsia" w:ascii="MS UI Gothic" w:eastAsia="MS UI Gothic"/>
        </w:rPr>
      </w:pPr>
      <w:r>
        <w:t>爆破前</w:t>
      </w:r>
      <w:r>
        <w:rPr>
          <w:rFonts w:hint="eastAsia" w:ascii="MS UI Gothic" w:eastAsia="MS UI Gothic"/>
          <w:w w:val="80"/>
        </w:rPr>
        <w:t xml:space="preserve">ꎬ </w:t>
      </w:r>
      <w:r>
        <w:t>班组长必须清点人数</w:t>
      </w:r>
      <w:r>
        <w:rPr>
          <w:rFonts w:hint="eastAsia" w:ascii="MS UI Gothic" w:eastAsia="MS UI Gothic"/>
          <w:w w:val="80"/>
        </w:rPr>
        <w:t xml:space="preserve">ꎬ </w:t>
      </w:r>
      <w:r>
        <w:t>确认无误后</w:t>
      </w:r>
      <w:r>
        <w:rPr>
          <w:rFonts w:hint="eastAsia" w:ascii="MS UI Gothic" w:eastAsia="MS UI Gothic"/>
          <w:w w:val="80"/>
        </w:rPr>
        <w:t xml:space="preserve">ꎬ </w:t>
      </w:r>
      <w:r>
        <w:t>方准下达起爆命令</w:t>
      </w:r>
      <w:r>
        <w:rPr>
          <w:rFonts w:hint="eastAsia" w:ascii="MS UI Gothic" w:eastAsia="MS UI Gothic"/>
          <w:w w:val="80"/>
        </w:rPr>
        <w:t>ꎮ</w:t>
      </w:r>
    </w:p>
    <w:p>
      <w:pPr>
        <w:pStyle w:val="6"/>
        <w:spacing w:line="295" w:lineRule="auto"/>
        <w:ind w:left="440" w:right="1"/>
        <w:rPr>
          <w:rFonts w:hint="eastAsia" w:ascii="MS UI Gothic" w:eastAsia="MS UI Gothic"/>
        </w:rPr>
      </w:pPr>
      <w:r>
        <w:t>爆破工接到起爆命令后</w:t>
      </w:r>
      <w:r>
        <w:rPr>
          <w:rFonts w:hint="eastAsia" w:ascii="MS UI Gothic" w:eastAsia="MS UI Gothic"/>
          <w:w w:val="80"/>
        </w:rPr>
        <w:t xml:space="preserve">ꎬ </w:t>
      </w:r>
      <w:r>
        <w:t>必须先发出爆破警号</w:t>
      </w:r>
      <w:r>
        <w:rPr>
          <w:rFonts w:hint="eastAsia" w:ascii="MS UI Gothic" w:eastAsia="MS UI Gothic"/>
          <w:w w:val="80"/>
        </w:rPr>
        <w:t xml:space="preserve">ꎬ </w:t>
      </w:r>
      <w:r>
        <w:t xml:space="preserve">至少再等 </w:t>
      </w:r>
      <w:r>
        <w:rPr>
          <w:rFonts w:hint="eastAsia" w:ascii="MS UI Gothic" w:eastAsia="MS UI Gothic"/>
          <w:w w:val="80"/>
        </w:rPr>
        <w:t xml:space="preserve">５ ｓ </w:t>
      </w:r>
      <w:r>
        <w:t>后方可起爆</w:t>
      </w:r>
      <w:r>
        <w:rPr>
          <w:rFonts w:hint="eastAsia" w:ascii="MS UI Gothic" w:eastAsia="MS UI Gothic"/>
          <w:w w:val="80"/>
        </w:rPr>
        <w:t>ꎮ</w:t>
      </w:r>
    </w:p>
    <w:p>
      <w:pPr>
        <w:pStyle w:val="6"/>
        <w:spacing w:line="295" w:lineRule="auto"/>
        <w:ind w:left="440" w:right="1"/>
        <w:rPr>
          <w:rFonts w:hint="eastAsia" w:ascii="MS UI Gothic" w:eastAsia="MS UI Gothic"/>
        </w:rPr>
      </w:pPr>
      <w:r>
        <w:t>装药的炮眼应当当班爆破完毕</w:t>
      </w:r>
      <w:r>
        <w:rPr>
          <w:rFonts w:hint="eastAsia" w:ascii="MS UI Gothic" w:eastAsia="MS UI Gothic"/>
          <w:w w:val="80"/>
        </w:rPr>
        <w:t xml:space="preserve">ꎮ </w:t>
      </w:r>
      <w:r>
        <w:t>特殊情况下</w:t>
      </w:r>
      <w:r>
        <w:rPr>
          <w:rFonts w:hint="eastAsia" w:ascii="MS UI Gothic" w:eastAsia="MS UI Gothic"/>
          <w:w w:val="80"/>
        </w:rPr>
        <w:t xml:space="preserve">ꎬ </w:t>
      </w:r>
      <w:r>
        <w:t>当班留有尚未爆破的已装药的炮眼时</w:t>
      </w:r>
      <w:r>
        <w:rPr>
          <w:rFonts w:hint="eastAsia" w:ascii="MS UI Gothic" w:eastAsia="MS UI Gothic"/>
          <w:w w:val="80"/>
        </w:rPr>
        <w:t xml:space="preserve">ꎬ </w:t>
      </w:r>
      <w:r>
        <w:t>当班爆破工必须在现场向下一班爆破工交接清楚</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3"/>
        </w:rPr>
        <w:t>第三百七十条 爆破后</w:t>
      </w:r>
      <w:r>
        <w:rPr>
          <w:rFonts w:hint="eastAsia" w:ascii="MS UI Gothic" w:eastAsia="MS UI Gothic"/>
          <w:spacing w:val="8"/>
          <w:w w:val="80"/>
        </w:rPr>
        <w:t xml:space="preserve">ꎬ </w:t>
      </w:r>
      <w:r>
        <w:rPr>
          <w:spacing w:val="2"/>
        </w:rPr>
        <w:t>待工作面的</w:t>
      </w:r>
      <w:r>
        <w:rPr>
          <w:spacing w:val="3"/>
        </w:rPr>
        <w:t>炮烟被吹散</w:t>
      </w:r>
      <w:r>
        <w:rPr>
          <w:rFonts w:hint="eastAsia" w:ascii="MS UI Gothic" w:eastAsia="MS UI Gothic"/>
          <w:spacing w:val="5"/>
          <w:w w:val="80"/>
        </w:rPr>
        <w:t xml:space="preserve">ꎬ </w:t>
      </w:r>
      <w:r>
        <w:rPr>
          <w:spacing w:val="3"/>
        </w:rPr>
        <w:t>爆破工</w:t>
      </w:r>
      <w:r>
        <w:rPr>
          <w:rFonts w:hint="eastAsia" w:ascii="MS UI Gothic" w:eastAsia="MS UI Gothic"/>
          <w:spacing w:val="23"/>
        </w:rPr>
        <w:t xml:space="preserve">、 </w:t>
      </w:r>
      <w:r>
        <w:rPr>
          <w:spacing w:val="2"/>
        </w:rPr>
        <w:t>瓦斯检查工和班组</w:t>
      </w:r>
      <w:r>
        <w:rPr>
          <w:spacing w:val="3"/>
        </w:rPr>
        <w:t>长必须首先巡视爆破地点</w:t>
      </w:r>
      <w:r>
        <w:rPr>
          <w:rFonts w:hint="eastAsia" w:ascii="MS UI Gothic" w:eastAsia="MS UI Gothic"/>
          <w:spacing w:val="5"/>
          <w:w w:val="80"/>
        </w:rPr>
        <w:t xml:space="preserve">ꎬ </w:t>
      </w:r>
      <w:r>
        <w:rPr>
          <w:spacing w:val="3"/>
        </w:rPr>
        <w:t>检查通风</w:t>
      </w:r>
      <w:r>
        <w:rPr>
          <w:rFonts w:hint="eastAsia" w:ascii="MS UI Gothic" w:eastAsia="MS UI Gothic"/>
          <w:spacing w:val="23"/>
        </w:rPr>
        <w:t xml:space="preserve">、 </w:t>
      </w:r>
      <w:r>
        <w:t>瓦</w:t>
      </w:r>
      <w:r>
        <w:rPr>
          <w:spacing w:val="3"/>
        </w:rPr>
        <w:t>斯</w:t>
      </w:r>
      <w:r>
        <w:rPr>
          <w:rFonts w:hint="eastAsia" w:ascii="MS UI Gothic" w:eastAsia="MS UI Gothic"/>
          <w:spacing w:val="15"/>
        </w:rPr>
        <w:t xml:space="preserve">、 </w:t>
      </w:r>
      <w:r>
        <w:rPr>
          <w:spacing w:val="3"/>
        </w:rPr>
        <w:t>煤尘</w:t>
      </w:r>
      <w:r>
        <w:rPr>
          <w:rFonts w:hint="eastAsia" w:ascii="MS UI Gothic" w:eastAsia="MS UI Gothic"/>
          <w:spacing w:val="15"/>
        </w:rPr>
        <w:t xml:space="preserve">、 </w:t>
      </w:r>
      <w:r>
        <w:rPr>
          <w:spacing w:val="3"/>
        </w:rPr>
        <w:t>顶板</w:t>
      </w:r>
      <w:r>
        <w:rPr>
          <w:rFonts w:hint="eastAsia" w:ascii="MS UI Gothic" w:eastAsia="MS UI Gothic"/>
          <w:spacing w:val="15"/>
        </w:rPr>
        <w:t xml:space="preserve">、 </w:t>
      </w:r>
      <w:r>
        <w:rPr>
          <w:spacing w:val="3"/>
        </w:rPr>
        <w:t>支架</w:t>
      </w:r>
      <w:r>
        <w:rPr>
          <w:rFonts w:hint="eastAsia" w:ascii="MS UI Gothic" w:eastAsia="MS UI Gothic"/>
          <w:spacing w:val="15"/>
        </w:rPr>
        <w:t xml:space="preserve">、 </w:t>
      </w:r>
      <w:r>
        <w:rPr>
          <w:spacing w:val="3"/>
        </w:rPr>
        <w:t>拒爆</w:t>
      </w:r>
      <w:r>
        <w:rPr>
          <w:rFonts w:hint="eastAsia" w:ascii="MS UI Gothic" w:eastAsia="MS UI Gothic"/>
          <w:spacing w:val="15"/>
        </w:rPr>
        <w:t xml:space="preserve">、 </w:t>
      </w:r>
      <w:r>
        <w:rPr>
          <w:spacing w:val="2"/>
        </w:rPr>
        <w:t>残爆等情</w:t>
      </w:r>
      <w:r>
        <w:rPr>
          <w:spacing w:val="3"/>
        </w:rPr>
        <w:t>况</w:t>
      </w:r>
      <w:r>
        <w:rPr>
          <w:rFonts w:hint="eastAsia" w:ascii="MS UI Gothic" w:eastAsia="MS UI Gothic"/>
          <w:spacing w:val="21"/>
          <w:w w:val="80"/>
        </w:rPr>
        <w:t xml:space="preserve">ꎮ </w:t>
      </w:r>
      <w:r>
        <w:rPr>
          <w:spacing w:val="3"/>
        </w:rPr>
        <w:t>发现危险情况</w:t>
      </w:r>
      <w:r>
        <w:rPr>
          <w:rFonts w:hint="eastAsia" w:ascii="MS UI Gothic" w:eastAsia="MS UI Gothic"/>
          <w:spacing w:val="21"/>
          <w:w w:val="80"/>
        </w:rPr>
        <w:t xml:space="preserve">ꎬ </w:t>
      </w:r>
      <w:r>
        <w:rPr>
          <w:spacing w:val="3"/>
        </w:rPr>
        <w:t>必须立即处理</w:t>
      </w:r>
      <w:r>
        <w:rPr>
          <w:rFonts w:hint="eastAsia" w:ascii="MS UI Gothic" w:eastAsia="MS UI Gothic"/>
          <w:w w:val="80"/>
        </w:rPr>
        <w:t>ꎮ</w:t>
      </w:r>
    </w:p>
    <w:p>
      <w:pPr>
        <w:pStyle w:val="6"/>
        <w:spacing w:line="295" w:lineRule="auto"/>
        <w:ind w:left="435" w:firstLine="425"/>
        <w:rPr>
          <w:rFonts w:hint="eastAsia" w:ascii="MS UI Gothic" w:eastAsia="MS UI Gothic"/>
        </w:rPr>
      </w:pPr>
      <w:r>
        <w:rPr>
          <w:spacing w:val="9"/>
        </w:rPr>
        <w:t>第三百七十一条 通电以后拒爆时</w:t>
      </w:r>
      <w:r>
        <w:rPr>
          <w:rFonts w:hint="eastAsia" w:ascii="MS UI Gothic" w:eastAsia="MS UI Gothic"/>
          <w:spacing w:val="-11"/>
          <w:w w:val="85"/>
        </w:rPr>
        <w:t>ꎬ</w:t>
      </w:r>
      <w:r>
        <w:rPr>
          <w:spacing w:val="3"/>
        </w:rPr>
        <w:t>爆破工必须先取下把手或者钥匙</w:t>
      </w:r>
      <w:r>
        <w:rPr>
          <w:rFonts w:hint="eastAsia" w:ascii="MS UI Gothic" w:eastAsia="MS UI Gothic"/>
          <w:spacing w:val="13"/>
          <w:w w:val="85"/>
        </w:rPr>
        <w:t xml:space="preserve">ꎬ </w:t>
      </w:r>
      <w:r>
        <w:rPr>
          <w:spacing w:val="2"/>
        </w:rPr>
        <w:t>并将爆</w:t>
      </w:r>
      <w:r>
        <w:rPr>
          <w:spacing w:val="3"/>
        </w:rPr>
        <w:t>破母线从电源上摘下</w:t>
      </w:r>
      <w:r>
        <w:rPr>
          <w:rFonts w:hint="eastAsia" w:ascii="MS UI Gothic" w:eastAsia="MS UI Gothic"/>
          <w:spacing w:val="17"/>
          <w:w w:val="85"/>
        </w:rPr>
        <w:t xml:space="preserve">ꎬ </w:t>
      </w:r>
      <w:r>
        <w:rPr>
          <w:spacing w:val="3"/>
        </w:rPr>
        <w:t>扭结成短路</w:t>
      </w:r>
      <w:r>
        <w:rPr>
          <w:rFonts w:hint="eastAsia" w:ascii="MS UI Gothic" w:eastAsia="MS UI Gothic"/>
          <w:spacing w:val="17"/>
          <w:w w:val="85"/>
        </w:rPr>
        <w:t xml:space="preserve">ꎻ </w:t>
      </w:r>
      <w:r>
        <w:rPr>
          <w:spacing w:val="1"/>
        </w:rPr>
        <w:t>再等</w:t>
      </w:r>
      <w:r>
        <w:rPr>
          <w:spacing w:val="-1"/>
        </w:rPr>
        <w:t xml:space="preserve">待一定时间 </w:t>
      </w:r>
      <w:r>
        <w:rPr>
          <w:rFonts w:hint="eastAsia" w:ascii="MS UI Gothic" w:eastAsia="MS UI Gothic"/>
          <w:spacing w:val="-30"/>
          <w:w w:val="140"/>
        </w:rPr>
        <w:t xml:space="preserve">( </w:t>
      </w:r>
      <w:r>
        <w:rPr>
          <w:spacing w:val="3"/>
        </w:rPr>
        <w:t>使用瞬发电雷管</w:t>
      </w:r>
      <w:r>
        <w:rPr>
          <w:rFonts w:hint="eastAsia" w:ascii="MS UI Gothic" w:eastAsia="MS UI Gothic"/>
          <w:spacing w:val="13"/>
          <w:w w:val="85"/>
        </w:rPr>
        <w:t xml:space="preserve">ꎬ </w:t>
      </w:r>
      <w:r>
        <w:rPr>
          <w:spacing w:val="5"/>
        </w:rPr>
        <w:t>至少等待</w:t>
      </w:r>
      <w:r>
        <w:rPr>
          <w:rFonts w:hint="eastAsia" w:ascii="MS UI Gothic" w:eastAsia="MS UI Gothic"/>
          <w:spacing w:val="5"/>
          <w:w w:val="75"/>
        </w:rPr>
        <w:t>５</w:t>
      </w:r>
      <w:r>
        <w:rPr>
          <w:rFonts w:hint="eastAsia" w:ascii="MS UI Gothic" w:eastAsia="MS UI Gothic"/>
          <w:spacing w:val="14"/>
        </w:rPr>
        <w:t xml:space="preserve"> </w:t>
      </w:r>
      <w:r>
        <w:rPr>
          <w:rFonts w:hint="eastAsia" w:ascii="MS UI Gothic" w:eastAsia="MS UI Gothic"/>
          <w:spacing w:val="-1"/>
          <w:w w:val="79"/>
        </w:rPr>
        <w:t>ｍ</w:t>
      </w:r>
      <w:r>
        <w:rPr>
          <w:rFonts w:hint="eastAsia" w:ascii="MS UI Gothic" w:eastAsia="MS UI Gothic"/>
          <w:spacing w:val="-1"/>
          <w:w w:val="114"/>
        </w:rPr>
        <w:t>ｉ</w:t>
      </w:r>
      <w:r>
        <w:rPr>
          <w:rFonts w:hint="eastAsia" w:ascii="MS UI Gothic" w:eastAsia="MS UI Gothic"/>
          <w:spacing w:val="5"/>
          <w:w w:val="82"/>
        </w:rPr>
        <w:t>ｎ</w:t>
      </w:r>
      <w:r>
        <w:rPr>
          <w:rFonts w:hint="eastAsia" w:ascii="MS UI Gothic" w:eastAsia="MS UI Gothic"/>
          <w:w w:val="51"/>
        </w:rPr>
        <w:t>ꎻ</w:t>
      </w:r>
      <w:r>
        <w:rPr>
          <w:rFonts w:hint="eastAsia" w:ascii="MS UI Gothic" w:eastAsia="MS UI Gothic"/>
          <w:spacing w:val="-8"/>
        </w:rPr>
        <w:t xml:space="preserve">  </w:t>
      </w:r>
      <w:r>
        <w:rPr>
          <w:spacing w:val="-14"/>
          <w:w w:val="102"/>
        </w:rPr>
        <w:t>使用延期电雷管</w:t>
      </w:r>
      <w:r>
        <w:rPr>
          <w:rFonts w:hint="eastAsia" w:ascii="MS UI Gothic" w:eastAsia="MS UI Gothic"/>
          <w:w w:val="51"/>
        </w:rPr>
        <w:t>ꎬ</w:t>
      </w:r>
      <w:r>
        <w:rPr>
          <w:rFonts w:hint="eastAsia" w:ascii="MS UI Gothic" w:eastAsia="MS UI Gothic"/>
          <w:spacing w:val="-7"/>
        </w:rPr>
        <w:t xml:space="preserve"> </w:t>
      </w:r>
      <w:r>
        <w:rPr>
          <w:spacing w:val="-10"/>
          <w:w w:val="102"/>
        </w:rPr>
        <w:t>至少等待</w:t>
      </w:r>
      <w:r>
        <w:rPr>
          <w:spacing w:val="-64"/>
        </w:rPr>
        <w:t xml:space="preserve"> </w:t>
      </w:r>
      <w:r>
        <w:rPr>
          <w:rFonts w:hint="eastAsia" w:ascii="MS UI Gothic" w:eastAsia="MS UI Gothic"/>
          <w:spacing w:val="-9"/>
          <w:w w:val="75"/>
        </w:rPr>
        <w:t>１５</w:t>
      </w:r>
      <w:r>
        <w:rPr>
          <w:rFonts w:hint="eastAsia" w:ascii="MS UI Gothic" w:eastAsia="MS UI Gothic"/>
          <w:spacing w:val="1"/>
        </w:rPr>
        <w:t xml:space="preserve"> </w:t>
      </w:r>
      <w:r>
        <w:rPr>
          <w:rFonts w:hint="eastAsia" w:ascii="MS UI Gothic" w:eastAsia="MS UI Gothic"/>
          <w:spacing w:val="-15"/>
          <w:w w:val="79"/>
        </w:rPr>
        <w:t>ｍ</w:t>
      </w:r>
      <w:r>
        <w:rPr>
          <w:rFonts w:hint="eastAsia" w:ascii="MS UI Gothic" w:eastAsia="MS UI Gothic"/>
          <w:spacing w:val="-5"/>
          <w:w w:val="114"/>
        </w:rPr>
        <w:t>ｉ</w:t>
      </w:r>
      <w:r>
        <w:rPr>
          <w:rFonts w:hint="eastAsia" w:ascii="MS UI Gothic" w:eastAsia="MS UI Gothic"/>
          <w:spacing w:val="1"/>
          <w:w w:val="82"/>
        </w:rPr>
        <w:t>ｎ</w:t>
      </w:r>
      <w:r>
        <w:rPr>
          <w:rFonts w:hint="eastAsia" w:ascii="MS UI Gothic" w:eastAsia="MS UI Gothic"/>
          <w:spacing w:val="3"/>
          <w:w w:val="168"/>
        </w:rPr>
        <w:t>)</w:t>
      </w:r>
      <w:r>
        <w:rPr>
          <w:rFonts w:hint="eastAsia" w:ascii="MS UI Gothic" w:eastAsia="MS UI Gothic"/>
          <w:w w:val="51"/>
        </w:rPr>
        <w:t>ꎬ</w:t>
      </w:r>
      <w:r>
        <w:rPr>
          <w:spacing w:val="3"/>
        </w:rPr>
        <w:t>才可沿线路检查</w:t>
      </w:r>
      <w:r>
        <w:rPr>
          <w:rFonts w:hint="eastAsia" w:ascii="MS UI Gothic" w:eastAsia="MS UI Gothic"/>
          <w:spacing w:val="22"/>
          <w:w w:val="85"/>
        </w:rPr>
        <w:t xml:space="preserve">ꎬ </w:t>
      </w:r>
      <w:r>
        <w:rPr>
          <w:spacing w:val="3"/>
        </w:rPr>
        <w:t>找出拒爆的原因</w:t>
      </w:r>
      <w:r>
        <w:rPr>
          <w:rFonts w:hint="eastAsia" w:ascii="MS UI Gothic" w:eastAsia="MS UI Gothic"/>
          <w:w w:val="85"/>
        </w:rPr>
        <w:t>ꎮ</w:t>
      </w:r>
    </w:p>
    <w:p>
      <w:pPr>
        <w:pStyle w:val="6"/>
        <w:spacing w:line="295" w:lineRule="auto"/>
        <w:ind w:left="440"/>
        <w:rPr>
          <w:rFonts w:hint="eastAsia" w:ascii="MS UI Gothic" w:eastAsia="MS UI Gothic"/>
        </w:rPr>
      </w:pPr>
      <w:r>
        <w:t>第三百七十二条  处理拒爆</w:t>
      </w:r>
      <w:r>
        <w:rPr>
          <w:rFonts w:hint="eastAsia" w:ascii="MS UI Gothic" w:eastAsia="MS UI Gothic"/>
          <w:w w:val="80"/>
        </w:rPr>
        <w:t xml:space="preserve">、  </w:t>
      </w:r>
      <w:r>
        <w:t>残爆时</w:t>
      </w:r>
      <w:r>
        <w:rPr>
          <w:rFonts w:hint="eastAsia" w:ascii="MS UI Gothic" w:eastAsia="MS UI Gothic"/>
          <w:w w:val="80"/>
        </w:rPr>
        <w:t xml:space="preserve">ꎬ </w:t>
      </w:r>
      <w:r>
        <w:t>应当在班组长指导下进行</w:t>
      </w:r>
      <w:r>
        <w:rPr>
          <w:rFonts w:hint="eastAsia" w:ascii="MS UI Gothic" w:eastAsia="MS UI Gothic"/>
          <w:w w:val="80"/>
        </w:rPr>
        <w:t xml:space="preserve">ꎬ </w:t>
      </w:r>
      <w:r>
        <w:t>并在当班处理完毕</w:t>
      </w:r>
      <w:r>
        <w:rPr>
          <w:rFonts w:hint="eastAsia" w:ascii="MS UI Gothic" w:eastAsia="MS UI Gothic"/>
          <w:w w:val="80"/>
        </w:rPr>
        <w:t xml:space="preserve">ꎮ </w:t>
      </w:r>
      <w:r>
        <w:t>如果当班未能完成处理工作</w:t>
      </w:r>
      <w:r>
        <w:rPr>
          <w:rFonts w:hint="eastAsia" w:ascii="MS UI Gothic" w:eastAsia="MS UI Gothic"/>
          <w:w w:val="80"/>
        </w:rPr>
        <w:t>ꎬ</w:t>
      </w:r>
      <w:r>
        <w:t>当班爆破工必须在现场向下一班爆破工交接清楚</w:t>
      </w:r>
      <w:r>
        <w:rPr>
          <w:rFonts w:hint="eastAsia" w:ascii="MS UI Gothic" w:eastAsia="MS UI Gothic"/>
          <w:w w:val="80"/>
        </w:rPr>
        <w:t>ꎮ</w:t>
      </w:r>
    </w:p>
    <w:p>
      <w:pPr>
        <w:pStyle w:val="6"/>
        <w:spacing w:line="252" w:lineRule="exact"/>
        <w:ind w:left="860" w:firstLine="0"/>
        <w:rPr>
          <w:rFonts w:hint="eastAsia" w:ascii="MS UI Gothic" w:eastAsia="MS UI Gothic"/>
        </w:rPr>
      </w:pPr>
      <w:r>
        <w:rPr>
          <w:w w:val="110"/>
        </w:rPr>
        <w:t>处理拒爆时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before="37"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由于连线不良造成的拒爆</w:t>
      </w:r>
      <w:r>
        <w:rPr>
          <w:rFonts w:hint="eastAsia" w:ascii="MS UI Gothic" w:eastAsia="MS UI Gothic"/>
          <w:w w:val="80"/>
        </w:rPr>
        <w:t xml:space="preserve">ꎬ </w:t>
      </w:r>
      <w:r>
        <w:rPr>
          <w:w w:val="105"/>
        </w:rPr>
        <w:t>可重新连线起爆</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35"/>
          <w:w w:val="145"/>
        </w:rPr>
        <w:t xml:space="preserve">( </w:t>
      </w:r>
      <w:r>
        <w:rPr>
          <w:spacing w:val="3"/>
        </w:rPr>
        <w:t>二</w:t>
      </w:r>
      <w:r>
        <w:rPr>
          <w:rFonts w:hint="eastAsia" w:ascii="MS UI Gothic" w:eastAsia="MS UI Gothic"/>
          <w:spacing w:val="15"/>
          <w:w w:val="145"/>
        </w:rPr>
        <w:t xml:space="preserve">) </w:t>
      </w:r>
      <w:r>
        <w:rPr>
          <w:spacing w:val="-5"/>
        </w:rPr>
        <w:t xml:space="preserve">在距拒爆炮眼 </w:t>
      </w:r>
      <w:r>
        <w:rPr>
          <w:rFonts w:hint="eastAsia" w:ascii="MS UI Gothic" w:eastAsia="MS UI Gothic"/>
        </w:rPr>
        <w:t xml:space="preserve">０ ３ ｍ </w:t>
      </w:r>
      <w:r>
        <w:rPr>
          <w:spacing w:val="6"/>
        </w:rPr>
        <w:t>以外另打</w:t>
      </w:r>
      <w:r>
        <w:rPr>
          <w:spacing w:val="27"/>
        </w:rPr>
        <w:t>与拒爆炮眼平行的新炮眼</w:t>
      </w:r>
      <w:r>
        <w:rPr>
          <w:rFonts w:hint="eastAsia" w:ascii="MS UI Gothic" w:eastAsia="MS UI Gothic"/>
          <w:spacing w:val="3"/>
          <w:w w:val="80"/>
        </w:rPr>
        <w:t xml:space="preserve">ꎬ </w:t>
      </w:r>
      <w:r>
        <w:rPr>
          <w:spacing w:val="27"/>
        </w:rPr>
        <w:t>重新装药</w:t>
      </w:r>
      <w:r>
        <w:rPr>
          <w:spacing w:val="3"/>
        </w:rPr>
        <w:t>起爆</w:t>
      </w:r>
      <w:r>
        <w:rPr>
          <w:rFonts w:hint="eastAsia" w:ascii="MS UI Gothic" w:eastAsia="MS UI Gothic"/>
          <w:w w:val="80"/>
        </w:rPr>
        <w:t>ꎮ</w:t>
      </w:r>
    </w:p>
    <w:p>
      <w:pPr>
        <w:pStyle w:val="6"/>
        <w:spacing w:line="254" w:lineRule="exact"/>
        <w:ind w:left="860" w:firstLine="0"/>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严禁用镐刨或者从炮眼中取出</w:t>
      </w:r>
    </w:p>
    <w:p>
      <w:pPr>
        <w:pStyle w:val="6"/>
        <w:spacing w:before="124" w:line="295" w:lineRule="auto"/>
        <w:ind w:left="381" w:right="126" w:firstLine="0"/>
        <w:rPr>
          <w:rFonts w:hint="eastAsia" w:ascii="MS UI Gothic" w:eastAsia="MS UI Gothic"/>
        </w:rPr>
      </w:pPr>
      <w:r>
        <w:br w:type="column"/>
      </w:r>
      <w:r>
        <w:t>原放置的起爆药卷</w:t>
      </w:r>
      <w:r>
        <w:rPr>
          <w:rFonts w:hint="eastAsia" w:ascii="MS UI Gothic" w:eastAsia="MS UI Gothic"/>
          <w:w w:val="80"/>
        </w:rPr>
        <w:t xml:space="preserve">ꎬ </w:t>
      </w:r>
      <w:r>
        <w:t>或者从起爆药卷中拉出电雷管</w:t>
      </w:r>
      <w:r>
        <w:rPr>
          <w:rFonts w:hint="eastAsia" w:ascii="MS UI Gothic" w:eastAsia="MS UI Gothic"/>
          <w:w w:val="80"/>
        </w:rPr>
        <w:t xml:space="preserve">ꎮ </w:t>
      </w:r>
      <w:r>
        <w:t>不论有无残余炸药</w:t>
      </w:r>
      <w:r>
        <w:rPr>
          <w:rFonts w:hint="eastAsia" w:ascii="MS UI Gothic" w:eastAsia="MS UI Gothic"/>
          <w:w w:val="80"/>
        </w:rPr>
        <w:t xml:space="preserve">ꎬ </w:t>
      </w:r>
      <w:r>
        <w:t>严禁将炮眼残底继续加深</w:t>
      </w:r>
      <w:r>
        <w:rPr>
          <w:rFonts w:hint="eastAsia" w:ascii="MS UI Gothic" w:eastAsia="MS UI Gothic"/>
          <w:w w:val="80"/>
        </w:rPr>
        <w:t xml:space="preserve">ꎻ </w:t>
      </w:r>
      <w:r>
        <w:t>严禁使用打孔的方法往外掏药</w:t>
      </w:r>
      <w:r>
        <w:rPr>
          <w:rFonts w:hint="eastAsia" w:ascii="MS UI Gothic" w:eastAsia="MS UI Gothic"/>
          <w:w w:val="80"/>
        </w:rPr>
        <w:t xml:space="preserve">ꎻ </w:t>
      </w:r>
      <w:r>
        <w:t>严禁使用压风吹拒爆</w:t>
      </w:r>
      <w:r>
        <w:rPr>
          <w:rFonts w:hint="eastAsia" w:ascii="MS UI Gothic" w:eastAsia="MS UI Gothic"/>
          <w:w w:val="80"/>
        </w:rPr>
        <w:t xml:space="preserve">、 </w:t>
      </w:r>
      <w:r>
        <w:t>残爆炮眼</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处理拒爆的炮眼爆炸后</w:t>
      </w:r>
      <w:r>
        <w:rPr>
          <w:rFonts w:hint="eastAsia" w:ascii="MS UI Gothic" w:eastAsia="MS UI Gothic"/>
          <w:w w:val="80"/>
        </w:rPr>
        <w:t xml:space="preserve">ꎬ </w:t>
      </w:r>
      <w:r>
        <w:rPr>
          <w:w w:val="105"/>
        </w:rPr>
        <w:t>爆破工必须详细检查炸落的煤</w:t>
      </w:r>
      <w:r>
        <w:rPr>
          <w:rFonts w:hint="eastAsia" w:ascii="MS UI Gothic" w:eastAsia="MS UI Gothic"/>
          <w:w w:val="80"/>
        </w:rPr>
        <w:t xml:space="preserve">、 </w:t>
      </w:r>
      <w:r>
        <w:rPr>
          <w:w w:val="105"/>
        </w:rPr>
        <w:t>矸</w:t>
      </w:r>
      <w:r>
        <w:rPr>
          <w:rFonts w:hint="eastAsia" w:ascii="MS UI Gothic" w:eastAsia="MS UI Gothic"/>
          <w:w w:val="80"/>
        </w:rPr>
        <w:t xml:space="preserve">ꎬ </w:t>
      </w:r>
      <w:r>
        <w:rPr>
          <w:w w:val="105"/>
        </w:rPr>
        <w:t>收集未爆的电雷管</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在拒爆处理完毕以前</w:t>
      </w:r>
      <w:r>
        <w:rPr>
          <w:rFonts w:hint="eastAsia" w:ascii="MS UI Gothic" w:eastAsia="MS UI Gothic"/>
          <w:w w:val="80"/>
        </w:rPr>
        <w:t xml:space="preserve">ꎬ </w:t>
      </w:r>
      <w:r>
        <w:rPr>
          <w:w w:val="105"/>
        </w:rPr>
        <w:t>严禁在该地点进行与处理拒爆无关的工作</w:t>
      </w:r>
      <w:r>
        <w:rPr>
          <w:rFonts w:hint="eastAsia" w:ascii="MS UI Gothic" w:eastAsia="MS UI Gothic"/>
          <w:w w:val="80"/>
        </w:rPr>
        <w:t>ꎮ</w:t>
      </w:r>
    </w:p>
    <w:p>
      <w:pPr>
        <w:pStyle w:val="6"/>
        <w:spacing w:line="295" w:lineRule="auto"/>
        <w:ind w:left="381" w:right="126"/>
        <w:rPr>
          <w:rFonts w:hint="eastAsia" w:ascii="MS UI Gothic" w:eastAsia="MS UI Gothic"/>
        </w:rPr>
      </w:pPr>
      <w:r>
        <w:t xml:space="preserve">第三百七十三条 爆炸物品库和爆炸物品发放硐室附近 </w:t>
      </w:r>
      <w:r>
        <w:rPr>
          <w:rFonts w:hint="eastAsia" w:ascii="MS UI Gothic" w:eastAsia="MS UI Gothic"/>
          <w:w w:val="85"/>
        </w:rPr>
        <w:t xml:space="preserve">３０ </w:t>
      </w:r>
      <w:r>
        <w:rPr>
          <w:rFonts w:hint="eastAsia" w:ascii="MS UI Gothic" w:eastAsia="MS UI Gothic"/>
        </w:rPr>
        <w:t xml:space="preserve">ｍ </w:t>
      </w:r>
      <w:r>
        <w:t>范围内</w:t>
      </w:r>
      <w:r>
        <w:rPr>
          <w:rFonts w:hint="eastAsia" w:ascii="MS UI Gothic" w:eastAsia="MS UI Gothic"/>
          <w:w w:val="85"/>
        </w:rPr>
        <w:t xml:space="preserve">ꎬ </w:t>
      </w:r>
      <w:r>
        <w:t>严禁爆破</w:t>
      </w:r>
      <w:r>
        <w:rPr>
          <w:rFonts w:hint="eastAsia" w:ascii="MS UI Gothic" w:eastAsia="MS UI Gothic"/>
          <w:w w:val="85"/>
        </w:rPr>
        <w:t>ꎮ</w:t>
      </w:r>
    </w:p>
    <w:p>
      <w:pPr>
        <w:pStyle w:val="6"/>
        <w:tabs>
          <w:tab w:val="left" w:pos="1090"/>
        </w:tabs>
        <w:spacing w:before="147"/>
        <w:ind w:left="252" w:firstLine="0"/>
        <w:jc w:val="center"/>
      </w:pPr>
      <w:r>
        <w:rPr>
          <w:spacing w:val="3"/>
        </w:rPr>
        <w:t>第九</w:t>
      </w:r>
      <w:r>
        <w:t>章</w:t>
      </w:r>
      <w:r>
        <w:tab/>
      </w:r>
      <w:r>
        <w:rPr>
          <w:spacing w:val="3"/>
        </w:rPr>
        <w:t>运输</w:t>
      </w:r>
      <w:r>
        <w:rPr>
          <w:rFonts w:hint="eastAsia" w:ascii="Microsoft Yi Baiti" w:eastAsia="Microsoft Yi Baiti"/>
        </w:rPr>
        <w:t>、</w:t>
      </w:r>
      <w:r>
        <w:rPr>
          <w:rFonts w:hint="eastAsia" w:ascii="Microsoft Yi Baiti" w:eastAsia="Microsoft Yi Baiti"/>
          <w:spacing w:val="22"/>
        </w:rPr>
        <w:t xml:space="preserve"> </w:t>
      </w:r>
      <w:r>
        <w:rPr>
          <w:spacing w:val="3"/>
        </w:rPr>
        <w:t>提升和空气压缩</w:t>
      </w:r>
      <w:r>
        <w:t>机</w:t>
      </w:r>
    </w:p>
    <w:p>
      <w:pPr>
        <w:pStyle w:val="6"/>
        <w:spacing w:before="1"/>
        <w:ind w:left="0" w:firstLine="0"/>
        <w:jc w:val="left"/>
        <w:rPr>
          <w:sz w:val="29"/>
        </w:rPr>
      </w:pPr>
    </w:p>
    <w:p>
      <w:pPr>
        <w:pStyle w:val="6"/>
        <w:tabs>
          <w:tab w:val="left" w:pos="1090"/>
        </w:tabs>
        <w:ind w:left="252" w:firstLine="0"/>
        <w:jc w:val="center"/>
      </w:pPr>
      <w:r>
        <w:rPr>
          <w:spacing w:val="3"/>
          <w:w w:val="105"/>
        </w:rPr>
        <w:t>第一</w:t>
      </w:r>
      <w:r>
        <w:rPr>
          <w:w w:val="105"/>
        </w:rPr>
        <w:t>节</w:t>
      </w:r>
      <w:r>
        <w:rPr>
          <w:w w:val="105"/>
        </w:rPr>
        <w:tab/>
      </w:r>
      <w:r>
        <w:rPr>
          <w:spacing w:val="3"/>
        </w:rPr>
        <w:t>平巷和倾斜井巷运</w:t>
      </w:r>
      <w:r>
        <w:t>输</w:t>
      </w:r>
    </w:p>
    <w:p>
      <w:pPr>
        <w:pStyle w:val="6"/>
        <w:spacing w:before="10"/>
        <w:ind w:left="0" w:firstLine="0"/>
        <w:jc w:val="left"/>
        <w:rPr>
          <w:sz w:val="16"/>
        </w:rPr>
      </w:pPr>
    </w:p>
    <w:p>
      <w:pPr>
        <w:pStyle w:val="6"/>
        <w:spacing w:line="295" w:lineRule="auto"/>
        <w:ind w:left="381" w:right="126"/>
        <w:rPr>
          <w:rFonts w:hint="eastAsia" w:ascii="MS UI Gothic" w:eastAsia="MS UI Gothic"/>
        </w:rPr>
      </w:pPr>
      <w:r>
        <w:rPr>
          <w:spacing w:val="2"/>
          <w:w w:val="105"/>
        </w:rPr>
        <w:t>第三百七十四条 采用滚筒驱动带式</w:t>
      </w:r>
      <w:r>
        <w:rPr>
          <w:spacing w:val="3"/>
          <w:w w:val="110"/>
        </w:rPr>
        <w:t>输送机运输时</w:t>
      </w:r>
      <w:r>
        <w:rPr>
          <w:rFonts w:hint="eastAsia" w:ascii="MS UI Gothic" w:eastAsia="MS UI Gothic"/>
          <w:spacing w:val="8"/>
          <w:w w:val="80"/>
        </w:rPr>
        <w:t xml:space="preserve">ꎬ </w:t>
      </w:r>
      <w:r>
        <w:rPr>
          <w:spacing w:val="3"/>
          <w:w w:val="110"/>
        </w:rPr>
        <w:t>应当遵守下列规定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采用非金属聚合物制造的输送带</w:t>
      </w:r>
      <w:r>
        <w:rPr>
          <w:rFonts w:hint="eastAsia" w:ascii="MS UI Gothic" w:eastAsia="MS UI Gothic"/>
          <w:w w:val="80"/>
        </w:rPr>
        <w:t xml:space="preserve">、 </w:t>
      </w:r>
      <w:r>
        <w:rPr>
          <w:w w:val="105"/>
        </w:rPr>
        <w:t>托辊和滚筒包胶材料等</w:t>
      </w:r>
      <w:r>
        <w:rPr>
          <w:rFonts w:hint="eastAsia" w:ascii="MS UI Gothic" w:eastAsia="MS UI Gothic"/>
          <w:w w:val="80"/>
        </w:rPr>
        <w:t xml:space="preserve">ꎬ </w:t>
      </w:r>
      <w:r>
        <w:rPr>
          <w:w w:val="105"/>
        </w:rPr>
        <w:t>其阻燃性能</w:t>
      </w:r>
      <w:r>
        <w:t>和抗静电性能必须符合有关标准的规定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必须装设防打滑</w:t>
      </w:r>
      <w:r>
        <w:rPr>
          <w:rFonts w:hint="eastAsia" w:ascii="MS UI Gothic" w:eastAsia="MS UI Gothic"/>
          <w:w w:val="80"/>
        </w:rPr>
        <w:t xml:space="preserve">、 </w:t>
      </w:r>
      <w:r>
        <w:rPr>
          <w:w w:val="105"/>
        </w:rPr>
        <w:t>跑偏</w:t>
      </w:r>
      <w:r>
        <w:rPr>
          <w:rFonts w:hint="eastAsia" w:ascii="MS UI Gothic" w:eastAsia="MS UI Gothic"/>
          <w:w w:val="80"/>
        </w:rPr>
        <w:t xml:space="preserve">、 </w:t>
      </w:r>
      <w:r>
        <w:rPr>
          <w:w w:val="105"/>
        </w:rPr>
        <w:t>堆煤</w:t>
      </w:r>
      <w:r>
        <w:rPr>
          <w:rFonts w:hint="eastAsia" w:ascii="MS UI Gothic" w:eastAsia="MS UI Gothic"/>
          <w:w w:val="80"/>
        </w:rPr>
        <w:t xml:space="preserve">、 </w:t>
      </w:r>
      <w:r>
        <w:rPr>
          <w:w w:val="105"/>
        </w:rPr>
        <w:t>撕裂等保护装置</w:t>
      </w:r>
      <w:r>
        <w:rPr>
          <w:rFonts w:hint="eastAsia" w:ascii="MS UI Gothic" w:eastAsia="MS UI Gothic"/>
          <w:w w:val="80"/>
        </w:rPr>
        <w:t xml:space="preserve">ꎬ </w:t>
      </w:r>
      <w:r>
        <w:rPr>
          <w:w w:val="105"/>
        </w:rPr>
        <w:t>同时应当装设温度</w:t>
      </w:r>
      <w:r>
        <w:rPr>
          <w:rFonts w:hint="eastAsia" w:ascii="MS UI Gothic" w:eastAsia="MS UI Gothic"/>
          <w:w w:val="80"/>
        </w:rPr>
        <w:t xml:space="preserve">、 </w:t>
      </w:r>
      <w:r>
        <w:rPr>
          <w:w w:val="105"/>
        </w:rPr>
        <w:t>烟雾监测装置和自动洒水装置</w:t>
      </w:r>
      <w:r>
        <w:rPr>
          <w:rFonts w:hint="eastAsia" w:ascii="MS UI Gothic" w:eastAsia="MS UI Gothic"/>
          <w:w w:val="80"/>
        </w:rPr>
        <w:t>ꎮ</w:t>
      </w:r>
    </w:p>
    <w:p>
      <w:pPr>
        <w:pStyle w:val="6"/>
        <w:spacing w:line="254" w:lineRule="exact"/>
        <w:ind w:left="80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应当具备沿线急停闭锁功能</w:t>
      </w:r>
      <w:r>
        <w:rPr>
          <w:rFonts w:hint="eastAsia" w:ascii="MS UI Gothic" w:eastAsia="MS UI Gothic"/>
          <w:w w:val="80"/>
        </w:rPr>
        <w:t>ꎮ</w:t>
      </w:r>
    </w:p>
    <w:p>
      <w:pPr>
        <w:pStyle w:val="6"/>
        <w:spacing w:before="54"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主要运输巷道中使用的带式输</w:t>
      </w:r>
      <w:r>
        <w:t>送机</w:t>
      </w:r>
      <w:r>
        <w:rPr>
          <w:rFonts w:hint="eastAsia" w:ascii="MS UI Gothic" w:eastAsia="MS UI Gothic"/>
          <w:w w:val="80"/>
        </w:rPr>
        <w:t xml:space="preserve">ꎬ </w:t>
      </w:r>
      <w:r>
        <w:t>必须装设输送带张紧力下降保护</w:t>
      </w:r>
      <w:r>
        <w:rPr>
          <w:w w:val="105"/>
        </w:rPr>
        <w:t>装置</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倾斜井巷中使用的带式输送</w:t>
      </w:r>
      <w:r>
        <w:t>机</w:t>
      </w:r>
      <w:r>
        <w:rPr>
          <w:rFonts w:hint="eastAsia" w:ascii="MS UI Gothic" w:eastAsia="MS UI Gothic"/>
          <w:w w:val="80"/>
        </w:rPr>
        <w:t xml:space="preserve">ꎬ </w:t>
      </w:r>
      <w:r>
        <w:t>上运时</w:t>
      </w:r>
      <w:r>
        <w:rPr>
          <w:rFonts w:hint="eastAsia" w:ascii="MS UI Gothic" w:eastAsia="MS UI Gothic"/>
          <w:w w:val="80"/>
        </w:rPr>
        <w:t xml:space="preserve">ꎬ </w:t>
      </w:r>
      <w:r>
        <w:t>必须装设防逆转装置和制动装置</w:t>
      </w:r>
      <w:r>
        <w:rPr>
          <w:rFonts w:hint="eastAsia" w:ascii="MS UI Gothic" w:eastAsia="MS UI Gothic"/>
          <w:w w:val="80"/>
        </w:rPr>
        <w:t xml:space="preserve">ꎻ </w:t>
      </w:r>
      <w:r>
        <w:t>下运时</w:t>
      </w:r>
      <w:r>
        <w:rPr>
          <w:rFonts w:hint="eastAsia" w:ascii="MS UI Gothic" w:eastAsia="MS UI Gothic"/>
          <w:w w:val="80"/>
        </w:rPr>
        <w:t xml:space="preserve">ꎬ </w:t>
      </w:r>
      <w:r>
        <w:t>应当装设软制动装置且必</w:t>
      </w:r>
      <w:r>
        <w:rPr>
          <w:w w:val="105"/>
        </w:rPr>
        <w:t>须装设防超速保护装置</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rPr>
          <w:rFonts w:hint="eastAsia" w:ascii="MS UI Gothic" w:hAnsi="MS UI Gothic" w:eastAsia="MS UI Gothic"/>
          <w:w w:val="140"/>
        </w:rPr>
        <w:t xml:space="preserve">( </w:t>
      </w:r>
      <w:r>
        <w:t>六</w:t>
      </w:r>
      <w:r>
        <w:rPr>
          <w:rFonts w:hint="eastAsia" w:ascii="MS UI Gothic" w:hAnsi="MS UI Gothic" w:eastAsia="MS UI Gothic"/>
          <w:w w:val="140"/>
        </w:rPr>
        <w:t xml:space="preserve">) </w:t>
      </w:r>
      <w:r>
        <w:t xml:space="preserve">在大于 </w:t>
      </w:r>
      <w:r>
        <w:rPr>
          <w:rFonts w:hint="eastAsia" w:ascii="MS UI Gothic" w:hAnsi="MS UI Gothic" w:eastAsia="MS UI Gothic"/>
          <w:w w:val="85"/>
        </w:rPr>
        <w:t xml:space="preserve">１６° </w:t>
      </w:r>
      <w:r>
        <w:t>的倾斜井巷中使用带式输送机</w:t>
      </w:r>
      <w:r>
        <w:rPr>
          <w:rFonts w:hint="eastAsia" w:ascii="MS UI Gothic" w:hAnsi="MS UI Gothic" w:eastAsia="MS UI Gothic"/>
          <w:w w:val="85"/>
        </w:rPr>
        <w:t xml:space="preserve">ꎬ </w:t>
      </w:r>
      <w:r>
        <w:t>应当设置防护网</w:t>
      </w:r>
      <w:r>
        <w:rPr>
          <w:rFonts w:hint="eastAsia" w:ascii="MS UI Gothic" w:hAnsi="MS UI Gothic" w:eastAsia="MS UI Gothic"/>
          <w:w w:val="85"/>
        </w:rPr>
        <w:t xml:space="preserve">ꎬ </w:t>
      </w:r>
      <w:r>
        <w:t>并采取防止物料下滑</w:t>
      </w:r>
      <w:r>
        <w:rPr>
          <w:rFonts w:hint="eastAsia" w:ascii="MS UI Gothic" w:hAnsi="MS UI Gothic" w:eastAsia="MS UI Gothic"/>
          <w:w w:val="85"/>
        </w:rPr>
        <w:t xml:space="preserve">、 </w:t>
      </w:r>
      <w:r>
        <w:t>滚落等的安全措施</w:t>
      </w:r>
      <w:r>
        <w:rPr>
          <w:rFonts w:hint="eastAsia" w:ascii="MS UI Gothic" w:hAnsi="MS UI Gothic" w:eastAsia="MS UI Gothic"/>
          <w:w w:val="85"/>
        </w:rPr>
        <w:t>ꎮ</w:t>
      </w:r>
    </w:p>
    <w:p>
      <w:pPr>
        <w:pStyle w:val="6"/>
        <w:spacing w:line="295" w:lineRule="auto"/>
        <w:ind w:left="381" w:right="126"/>
        <w:rPr>
          <w:rFonts w:hint="eastAsia" w:ascii="MS UI Gothic" w:eastAsia="MS UI Gothic"/>
        </w:rPr>
      </w:pPr>
      <w:r>
        <w:rPr>
          <w:rFonts w:hint="eastAsia" w:ascii="MS UI Gothic" w:eastAsia="MS UI Gothic"/>
          <w:spacing w:val="-21"/>
          <w:w w:val="105"/>
        </w:rPr>
        <w:t xml:space="preserve">( </w:t>
      </w:r>
      <w:r>
        <w:rPr>
          <w:spacing w:val="3"/>
          <w:w w:val="105"/>
        </w:rPr>
        <w:t>七</w:t>
      </w:r>
      <w:r>
        <w:rPr>
          <w:rFonts w:hint="eastAsia" w:ascii="MS UI Gothic" w:eastAsia="MS UI Gothic"/>
          <w:spacing w:val="5"/>
          <w:w w:val="105"/>
        </w:rPr>
        <w:t xml:space="preserve">) </w:t>
      </w:r>
      <w:r>
        <w:rPr>
          <w:spacing w:val="5"/>
          <w:w w:val="105"/>
        </w:rPr>
        <w:t>液力偶合器严禁使用可燃性传</w:t>
      </w:r>
      <w:r>
        <w:rPr>
          <w:spacing w:val="-21"/>
          <w:w w:val="110"/>
        </w:rPr>
        <w:t xml:space="preserve">动介质 </w:t>
      </w:r>
      <w:r>
        <w:rPr>
          <w:rFonts w:hint="eastAsia" w:ascii="MS UI Gothic" w:eastAsia="MS UI Gothic"/>
          <w:spacing w:val="-36"/>
          <w:w w:val="130"/>
        </w:rPr>
        <w:t xml:space="preserve">( </w:t>
      </w:r>
      <w:r>
        <w:rPr>
          <w:spacing w:val="3"/>
          <w:w w:val="110"/>
        </w:rPr>
        <w:t>调速型液力偶合器不受此限</w:t>
      </w:r>
      <w:r>
        <w:rPr>
          <w:rFonts w:hint="eastAsia" w:ascii="MS UI Gothic" w:eastAsia="MS UI Gothic"/>
          <w:spacing w:val="-36"/>
          <w:w w:val="130"/>
        </w:rPr>
        <w:t xml:space="preserve">) </w:t>
      </w:r>
      <w:r>
        <w:rPr>
          <w:rFonts w:hint="eastAsia" w:ascii="MS UI Gothic" w:eastAsia="MS UI Gothic"/>
          <w:w w:val="80"/>
        </w:rPr>
        <w:t>ꎮ</w:t>
      </w:r>
    </w:p>
    <w:p>
      <w:pPr>
        <w:pStyle w:val="6"/>
        <w:spacing w:line="255" w:lineRule="exact"/>
        <w:ind w:left="800" w:firstLine="0"/>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机头</w:t>
      </w:r>
      <w:r>
        <w:rPr>
          <w:rFonts w:hint="eastAsia" w:ascii="MS UI Gothic" w:eastAsia="MS UI Gothic"/>
          <w:w w:val="80"/>
        </w:rPr>
        <w:t xml:space="preserve">、 </w:t>
      </w:r>
      <w:r>
        <w:rPr>
          <w:w w:val="110"/>
        </w:rPr>
        <w:t>机尾及搭接处</w:t>
      </w:r>
      <w:r>
        <w:rPr>
          <w:rFonts w:hint="eastAsia" w:ascii="MS UI Gothic" w:eastAsia="MS UI Gothic"/>
          <w:w w:val="80"/>
        </w:rPr>
        <w:t xml:space="preserve">ꎬ </w:t>
      </w:r>
      <w:r>
        <w:rPr>
          <w:w w:val="110"/>
        </w:rPr>
        <w:t>应当有</w:t>
      </w:r>
    </w:p>
    <w:p>
      <w:pPr>
        <w:spacing w:after="0" w:line="255" w:lineRule="exac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905" o:spid="_x0000_s1905" style="position:absolute;left:0pt;margin-left:0pt;margin-top:700.1pt;height:1.75pt;width:398.25pt;mso-position-horizontal-relative:page;z-index:252012544;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２９２</w:t>
      </w:r>
    </w:p>
    <w:p>
      <w:pPr>
        <w:pStyle w:val="6"/>
        <w:spacing w:before="297" w:line="240" w:lineRule="exact"/>
        <w:ind w:firstLine="0"/>
        <w:jc w:val="left"/>
        <w:rPr>
          <w:rFonts w:hint="eastAsia" w:ascii="MS UI Gothic" w:eastAsia="MS UI Gothic"/>
        </w:rPr>
      </w:pPr>
      <w:r>
        <w:t>照明</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1802" w:right="2428" w:firstLine="0"/>
        <w:jc w:val="center"/>
        <w:rPr>
          <w:rFonts w:hint="eastAsia" w:ascii="MS UI Gothic" w:eastAsia="MS UI Gothic"/>
        </w:rPr>
      </w:pPr>
      <w:r>
        <w:t>触摸输送带侧帮</w:t>
      </w:r>
      <w:r>
        <w:rPr>
          <w:rFonts w:hint="eastAsia" w:ascii="MS UI Gothic" w:eastAsia="MS UI Gothic"/>
          <w:w w:val="80"/>
        </w:rPr>
        <w:t>ꎮ</w:t>
      </w:r>
    </w:p>
    <w:p>
      <w:pPr>
        <w:spacing w:after="0" w:line="240" w:lineRule="exact"/>
        <w:jc w:val="center"/>
        <w:rPr>
          <w:rFonts w:hint="eastAsia" w:ascii="MS UI Gothic" w:eastAsia="MS UI Gothic"/>
        </w:rPr>
        <w:sectPr>
          <w:pgSz w:w="10500" w:h="14750"/>
          <w:pgMar w:top="960" w:right="980" w:bottom="280" w:left="980" w:header="720" w:footer="720" w:gutter="0"/>
          <w:cols w:equalWidth="0" w:num="2">
            <w:col w:w="1050" w:space="1251"/>
            <w:col w:w="6239"/>
          </w:cols>
        </w:sectPr>
      </w:pPr>
    </w:p>
    <w:p>
      <w:pPr>
        <w:pStyle w:val="6"/>
        <w:spacing w:before="74" w:line="295" w:lineRule="auto"/>
        <w:ind w:right="39"/>
        <w:rPr>
          <w:rFonts w:hint="eastAsia" w:ascii="MS UI Gothic" w:eastAsia="MS UI Gothic"/>
        </w:rPr>
      </w:pPr>
      <w:r>
        <w:rPr>
          <w:rFonts w:hint="eastAsia" w:ascii="MS UI Gothic" w:eastAsia="MS UI Gothic"/>
          <w:w w:val="150"/>
        </w:rPr>
        <w:t xml:space="preserve">( </w:t>
      </w:r>
      <w:r>
        <w:t>九</w:t>
      </w:r>
      <w:r>
        <w:rPr>
          <w:rFonts w:hint="eastAsia" w:ascii="MS UI Gothic" w:eastAsia="MS UI Gothic"/>
          <w:w w:val="150"/>
        </w:rPr>
        <w:t xml:space="preserve">) </w:t>
      </w:r>
      <w:r>
        <w:t>机头</w:t>
      </w:r>
      <w:r>
        <w:rPr>
          <w:rFonts w:hint="eastAsia" w:ascii="MS UI Gothic" w:eastAsia="MS UI Gothic"/>
          <w:w w:val="80"/>
        </w:rPr>
        <w:t xml:space="preserve">、 </w:t>
      </w:r>
      <w:r>
        <w:t>机尾</w:t>
      </w:r>
      <w:r>
        <w:rPr>
          <w:rFonts w:hint="eastAsia" w:ascii="MS UI Gothic" w:eastAsia="MS UI Gothic"/>
          <w:w w:val="80"/>
        </w:rPr>
        <w:t xml:space="preserve">、 </w:t>
      </w:r>
      <w:r>
        <w:t>驱动滚筒和改向滚筒处</w:t>
      </w:r>
      <w:r>
        <w:rPr>
          <w:rFonts w:hint="eastAsia" w:ascii="MS UI Gothic" w:eastAsia="MS UI Gothic"/>
          <w:w w:val="80"/>
        </w:rPr>
        <w:t xml:space="preserve">ꎬ </w:t>
      </w:r>
      <w:r>
        <w:t>应当设防护栏及警示牌</w:t>
      </w:r>
      <w:r>
        <w:rPr>
          <w:rFonts w:hint="eastAsia" w:ascii="MS UI Gothic" w:eastAsia="MS UI Gothic"/>
          <w:w w:val="80"/>
        </w:rPr>
        <w:t xml:space="preserve">ꎮ </w:t>
      </w:r>
      <w:r>
        <w:t>行人跨越带式输送机处</w:t>
      </w:r>
      <w:r>
        <w:rPr>
          <w:rFonts w:hint="eastAsia" w:ascii="MS UI Gothic" w:eastAsia="MS UI Gothic"/>
          <w:w w:val="80"/>
        </w:rPr>
        <w:t xml:space="preserve">ꎬ </w:t>
      </w:r>
      <w:r>
        <w:t>应当设过桥</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10"/>
        </w:rPr>
        <w:t xml:space="preserve">( </w:t>
      </w:r>
      <w:r>
        <w:rPr>
          <w:w w:val="110"/>
        </w:rPr>
        <w:t>十</w:t>
      </w:r>
      <w:r>
        <w:rPr>
          <w:rFonts w:hint="eastAsia" w:ascii="MS UI Gothic" w:eastAsia="MS UI Gothic"/>
          <w:w w:val="110"/>
        </w:rPr>
        <w:t xml:space="preserve">) </w:t>
      </w:r>
      <w:r>
        <w:rPr>
          <w:w w:val="110"/>
        </w:rPr>
        <w:t>输送带设计安全系数</w:t>
      </w:r>
      <w:r>
        <w:rPr>
          <w:rFonts w:hint="eastAsia" w:ascii="MS UI Gothic" w:eastAsia="MS UI Gothic"/>
          <w:w w:val="80"/>
        </w:rPr>
        <w:t xml:space="preserve">ꎬ </w:t>
      </w:r>
      <w:r>
        <w:rPr>
          <w:w w:val="110"/>
        </w:rPr>
        <w:t>应当按</w:t>
      </w:r>
      <w:r>
        <w:rPr>
          <w:w w:val="115"/>
        </w:rPr>
        <w:t>下列规定选取</w:t>
      </w:r>
      <w:r>
        <w:rPr>
          <w:rFonts w:hint="eastAsia" w:ascii="MS UI Gothic" w:eastAsia="MS UI Gothic"/>
          <w:w w:val="235"/>
        </w:rPr>
        <w:t>:</w:t>
      </w:r>
    </w:p>
    <w:p>
      <w:pPr>
        <w:pStyle w:val="6"/>
        <w:spacing w:line="255" w:lineRule="exact"/>
        <w:ind w:left="538" w:firstLine="0"/>
        <w:jc w:val="left"/>
        <w:rPr>
          <w:rFonts w:hint="eastAsia" w:ascii="MS UI Gothic" w:eastAsia="MS UI Gothic"/>
        </w:rPr>
      </w:pPr>
      <w:r>
        <w:rPr>
          <w:rFonts w:hint="eastAsia" w:ascii="MS UI Gothic" w:eastAsia="MS UI Gothic"/>
        </w:rPr>
        <w:t xml:space="preserve">１ </w:t>
      </w:r>
      <w:r>
        <w:rPr>
          <w:spacing w:val="3"/>
        </w:rPr>
        <w:t>棉织物芯输送带</w:t>
      </w:r>
      <w:r>
        <w:rPr>
          <w:rFonts w:hint="eastAsia" w:ascii="MS UI Gothic" w:eastAsia="MS UI Gothic"/>
          <w:spacing w:val="17"/>
          <w:w w:val="85"/>
        </w:rPr>
        <w:t xml:space="preserve">ꎬ </w:t>
      </w:r>
      <w:r>
        <w:rPr>
          <w:rFonts w:hint="eastAsia" w:ascii="MS UI Gothic" w:eastAsia="MS UI Gothic"/>
          <w:spacing w:val="-19"/>
        </w:rPr>
        <w:t xml:space="preserve">８ </w:t>
      </w:r>
      <w:r>
        <w:rPr>
          <w:rFonts w:hint="eastAsia" w:ascii="MS UI Gothic" w:eastAsia="MS UI Gothic"/>
          <w:w w:val="115"/>
        </w:rPr>
        <w:t xml:space="preserve">~ </w:t>
      </w:r>
      <w:r>
        <w:rPr>
          <w:rFonts w:hint="eastAsia" w:ascii="MS UI Gothic" w:eastAsia="MS UI Gothic"/>
          <w:spacing w:val="5"/>
        </w:rPr>
        <w:t>９</w:t>
      </w:r>
      <w:r>
        <w:rPr>
          <w:rFonts w:hint="eastAsia" w:ascii="MS UI Gothic" w:eastAsia="MS UI Gothic"/>
          <w:w w:val="85"/>
        </w:rPr>
        <w:t>ꎮ</w:t>
      </w:r>
    </w:p>
    <w:p>
      <w:pPr>
        <w:pStyle w:val="6"/>
        <w:spacing w:before="56"/>
        <w:ind w:left="538" w:firstLine="0"/>
        <w:jc w:val="left"/>
        <w:rPr>
          <w:rFonts w:hint="eastAsia" w:ascii="MS UI Gothic" w:eastAsia="MS UI Gothic"/>
        </w:rPr>
      </w:pPr>
      <w:r>
        <w:rPr>
          <w:rFonts w:hint="eastAsia" w:ascii="MS UI Gothic" w:eastAsia="MS UI Gothic"/>
        </w:rPr>
        <w:t xml:space="preserve">２ </w:t>
      </w:r>
      <w:r>
        <w:rPr>
          <w:spacing w:val="-11"/>
        </w:rPr>
        <w:t>尼 龙</w:t>
      </w:r>
      <w:r>
        <w:rPr>
          <w:rFonts w:hint="eastAsia" w:ascii="MS UI Gothic" w:eastAsia="MS UI Gothic"/>
          <w:spacing w:val="7"/>
        </w:rPr>
        <w:t xml:space="preserve">、 </w:t>
      </w:r>
      <w:r>
        <w:rPr>
          <w:spacing w:val="-19"/>
        </w:rPr>
        <w:t>聚 酯 织 物 芯 输 送 带</w:t>
      </w:r>
      <w:r>
        <w:rPr>
          <w:rFonts w:hint="eastAsia" w:ascii="MS UI Gothic" w:eastAsia="MS UI Gothic"/>
          <w:w w:val="85"/>
        </w:rPr>
        <w:t>ꎬ</w:t>
      </w:r>
    </w:p>
    <w:p>
      <w:pPr>
        <w:pStyle w:val="6"/>
        <w:spacing w:before="58"/>
        <w:ind w:left="118" w:firstLine="0"/>
        <w:jc w:val="left"/>
        <w:rPr>
          <w:rFonts w:hint="eastAsia" w:ascii="MS UI Gothic" w:eastAsia="MS UI Gothic"/>
        </w:rPr>
      </w:pPr>
      <w:r>
        <w:rPr>
          <w:rFonts w:hint="eastAsia" w:ascii="MS UI Gothic" w:eastAsia="MS UI Gothic"/>
          <w:w w:val="80"/>
        </w:rPr>
        <w:t xml:space="preserve">１０ </w:t>
      </w:r>
      <w:r>
        <w:rPr>
          <w:rFonts w:hint="eastAsia" w:ascii="MS UI Gothic" w:eastAsia="MS UI Gothic"/>
          <w:w w:val="115"/>
        </w:rPr>
        <w:t xml:space="preserve">~ </w:t>
      </w:r>
      <w:r>
        <w:rPr>
          <w:rFonts w:hint="eastAsia" w:ascii="MS UI Gothic" w:eastAsia="MS UI Gothic"/>
          <w:w w:val="80"/>
        </w:rPr>
        <w:t>１２ꎮ</w:t>
      </w:r>
    </w:p>
    <w:p>
      <w:pPr>
        <w:pStyle w:val="6"/>
        <w:spacing w:before="58" w:line="295" w:lineRule="auto"/>
        <w:ind w:left="118" w:right="38"/>
        <w:rPr>
          <w:rFonts w:hint="eastAsia" w:ascii="MS UI Gothic" w:eastAsia="MS UI Gothic"/>
        </w:rPr>
      </w:pPr>
      <w:r>
        <w:rPr>
          <w:rFonts w:hint="eastAsia" w:ascii="MS UI Gothic" w:eastAsia="MS UI Gothic"/>
        </w:rPr>
        <w:t xml:space="preserve">３ </w:t>
      </w:r>
      <w:r>
        <w:t>钢丝绳芯输送带</w:t>
      </w:r>
      <w:r>
        <w:rPr>
          <w:rFonts w:hint="eastAsia" w:ascii="MS UI Gothic" w:eastAsia="MS UI Gothic"/>
          <w:w w:val="85"/>
        </w:rPr>
        <w:t xml:space="preserve">ꎬ </w:t>
      </w:r>
      <w:r>
        <w:rPr>
          <w:rFonts w:hint="eastAsia" w:ascii="MS UI Gothic" w:eastAsia="MS UI Gothic"/>
        </w:rPr>
        <w:t xml:space="preserve">７ </w:t>
      </w:r>
      <w:r>
        <w:rPr>
          <w:rFonts w:hint="eastAsia" w:ascii="MS UI Gothic" w:eastAsia="MS UI Gothic"/>
          <w:w w:val="115"/>
        </w:rPr>
        <w:t xml:space="preserve">~ </w:t>
      </w:r>
      <w:r>
        <w:rPr>
          <w:rFonts w:hint="eastAsia" w:ascii="MS UI Gothic" w:eastAsia="MS UI Gothic"/>
        </w:rPr>
        <w:t>９</w:t>
      </w:r>
      <w:r>
        <w:rPr>
          <w:rFonts w:hint="eastAsia" w:ascii="MS UI Gothic" w:eastAsia="MS UI Gothic"/>
          <w:w w:val="85"/>
        </w:rPr>
        <w:t xml:space="preserve">ꎻ </w:t>
      </w:r>
      <w:r>
        <w:t>当带式输送机采取可控软启动</w:t>
      </w:r>
      <w:r>
        <w:rPr>
          <w:rFonts w:hint="eastAsia" w:ascii="MS UI Gothic" w:eastAsia="MS UI Gothic"/>
        </w:rPr>
        <w:t xml:space="preserve">、 </w:t>
      </w:r>
      <w:r>
        <w:t>制动措施时</w:t>
      </w:r>
      <w:r>
        <w:rPr>
          <w:rFonts w:hint="eastAsia" w:ascii="MS UI Gothic" w:eastAsia="MS UI Gothic"/>
          <w:w w:val="85"/>
        </w:rPr>
        <w:t>ꎬ</w:t>
      </w:r>
      <w:r>
        <w:rPr>
          <w:rFonts w:hint="eastAsia" w:ascii="MS UI Gothic" w:eastAsia="MS UI Gothic"/>
        </w:rPr>
        <w:t xml:space="preserve">５ </w:t>
      </w:r>
      <w:r>
        <w:rPr>
          <w:rFonts w:hint="eastAsia" w:ascii="MS UI Gothic" w:eastAsia="MS UI Gothic"/>
          <w:w w:val="115"/>
        </w:rPr>
        <w:t xml:space="preserve">~ </w:t>
      </w:r>
      <w:r>
        <w:rPr>
          <w:rFonts w:hint="eastAsia" w:ascii="MS UI Gothic" w:eastAsia="MS UI Gothic"/>
        </w:rPr>
        <w:t>７</w:t>
      </w:r>
      <w:r>
        <w:rPr>
          <w:rFonts w:hint="eastAsia" w:ascii="MS UI Gothic" w:eastAsia="MS UI Gothic"/>
          <w:w w:val="85"/>
        </w:rPr>
        <w:t>ꎮ</w:t>
      </w:r>
    </w:p>
    <w:p>
      <w:pPr>
        <w:pStyle w:val="6"/>
        <w:spacing w:line="295" w:lineRule="auto"/>
        <w:ind w:right="39"/>
        <w:rPr>
          <w:rFonts w:hint="eastAsia" w:ascii="MS UI Gothic" w:eastAsia="MS UI Gothic"/>
        </w:rPr>
      </w:pPr>
      <w:r>
        <w:rPr>
          <w:w w:val="105"/>
        </w:rPr>
        <w:t>第三百七十五条 新建矿井不得使用</w:t>
      </w:r>
      <w:r>
        <w:t>钢丝绳牵引带式输送机</w:t>
      </w:r>
      <w:r>
        <w:rPr>
          <w:rFonts w:hint="eastAsia" w:ascii="MS UI Gothic" w:eastAsia="MS UI Gothic"/>
          <w:w w:val="80"/>
        </w:rPr>
        <w:t xml:space="preserve">ꎮ </w:t>
      </w:r>
      <w:r>
        <w:t>生产矿井采用钢丝绳牵引带式输送机运输时</w:t>
      </w:r>
      <w:r>
        <w:rPr>
          <w:rFonts w:hint="eastAsia" w:ascii="MS UI Gothic" w:eastAsia="MS UI Gothic"/>
          <w:w w:val="80"/>
        </w:rPr>
        <w:t xml:space="preserve">ꎬ </w:t>
      </w:r>
      <w:r>
        <w:t>必须遵守下</w:t>
      </w:r>
      <w:r>
        <w:rPr>
          <w:w w:val="105"/>
        </w:rPr>
        <w:t>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装设过速保护</w:t>
      </w:r>
      <w:r>
        <w:rPr>
          <w:rFonts w:hint="eastAsia" w:ascii="MS UI Gothic" w:eastAsia="MS UI Gothic"/>
          <w:w w:val="80"/>
        </w:rPr>
        <w:t xml:space="preserve">、  </w:t>
      </w:r>
      <w:r>
        <w:rPr>
          <w:w w:val="105"/>
        </w:rPr>
        <w:t>过电流和欠电压保护</w:t>
      </w:r>
      <w:r>
        <w:rPr>
          <w:rFonts w:hint="eastAsia" w:ascii="MS UI Gothic" w:eastAsia="MS UI Gothic"/>
          <w:w w:val="80"/>
        </w:rPr>
        <w:t xml:space="preserve">、 </w:t>
      </w:r>
      <w:r>
        <w:rPr>
          <w:w w:val="105"/>
        </w:rPr>
        <w:t>钢丝绳和输送带脱槽保护</w:t>
      </w:r>
      <w:r>
        <w:rPr>
          <w:rFonts w:hint="eastAsia" w:ascii="MS UI Gothic" w:eastAsia="MS UI Gothic"/>
          <w:w w:val="80"/>
        </w:rPr>
        <w:t xml:space="preserve">、 </w:t>
      </w:r>
      <w:r>
        <w:rPr>
          <w:w w:val="105"/>
        </w:rPr>
        <w:t>输送带局部过载保护</w:t>
      </w:r>
      <w:r>
        <w:rPr>
          <w:rFonts w:hint="eastAsia" w:ascii="MS UI Gothic" w:eastAsia="MS UI Gothic"/>
          <w:w w:val="80"/>
        </w:rPr>
        <w:t xml:space="preserve">、 </w:t>
      </w:r>
      <w:r>
        <w:rPr>
          <w:w w:val="105"/>
        </w:rPr>
        <w:t>钢丝绳张紧车到达终点</w:t>
      </w:r>
      <w:r>
        <w:t>和张紧重锤落地保护</w:t>
      </w:r>
      <w:r>
        <w:rPr>
          <w:rFonts w:hint="eastAsia" w:ascii="MS UI Gothic" w:eastAsia="MS UI Gothic"/>
          <w:w w:val="80"/>
        </w:rPr>
        <w:t xml:space="preserve">ꎬ </w:t>
      </w:r>
      <w:r>
        <w:t>并定期进行检查和</w:t>
      </w:r>
      <w:r>
        <w:rPr>
          <w:w w:val="105"/>
        </w:rPr>
        <w:t>试验</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在倾斜井巷中</w:t>
      </w:r>
      <w:r>
        <w:rPr>
          <w:rFonts w:hint="eastAsia" w:ascii="MS UI Gothic" w:eastAsia="MS UI Gothic"/>
          <w:w w:val="80"/>
        </w:rPr>
        <w:t xml:space="preserve">ꎬ </w:t>
      </w:r>
      <w:r>
        <w:rPr>
          <w:w w:val="105"/>
        </w:rPr>
        <w:t>必须在低速驱</w:t>
      </w:r>
      <w:r>
        <w:t>动轮上装设液控盘式失效安全型制动装置</w:t>
      </w:r>
      <w:r>
        <w:rPr>
          <w:rFonts w:hint="eastAsia" w:ascii="MS UI Gothic" w:eastAsia="MS UI Gothic"/>
          <w:w w:val="80"/>
        </w:rPr>
        <w:t xml:space="preserve">ꎬ </w:t>
      </w:r>
      <w:r>
        <w:t>制动力矩与设计最大静拉力差在闸轮</w:t>
      </w:r>
      <w:r>
        <w:rPr>
          <w:w w:val="105"/>
        </w:rPr>
        <w:t xml:space="preserve">上作用力矩之比在 </w:t>
      </w:r>
      <w:r>
        <w:rPr>
          <w:rFonts w:hint="eastAsia" w:ascii="MS UI Gothic" w:eastAsia="MS UI Gothic"/>
          <w:w w:val="80"/>
        </w:rPr>
        <w:t xml:space="preserve">２ </w:t>
      </w:r>
      <w:r>
        <w:rPr>
          <w:rFonts w:hint="eastAsia" w:ascii="MS UI Gothic" w:eastAsia="MS UI Gothic"/>
          <w:w w:val="120"/>
        </w:rPr>
        <w:t xml:space="preserve">~ </w:t>
      </w:r>
      <w:r>
        <w:rPr>
          <w:rFonts w:hint="eastAsia" w:ascii="MS UI Gothic" w:eastAsia="MS UI Gothic"/>
          <w:w w:val="80"/>
        </w:rPr>
        <w:t xml:space="preserve">３ </w:t>
      </w:r>
      <w:r>
        <w:rPr>
          <w:w w:val="105"/>
        </w:rPr>
        <w:t>之间</w:t>
      </w:r>
      <w:r>
        <w:rPr>
          <w:rFonts w:hint="eastAsia" w:ascii="MS UI Gothic" w:eastAsia="MS UI Gothic"/>
          <w:w w:val="80"/>
        </w:rPr>
        <w:t xml:space="preserve">ꎻ </w:t>
      </w:r>
      <w:r>
        <w:rPr>
          <w:w w:val="105"/>
        </w:rPr>
        <w:t>制动装置应当具备手动和自动双重制动功能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采用钢丝绳牵引带式输送机运</w:t>
      </w:r>
      <w:r>
        <w:rPr>
          <w:w w:val="110"/>
        </w:rPr>
        <w:t>送人员时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118" w:right="38"/>
        <w:rPr>
          <w:rFonts w:hint="eastAsia" w:ascii="MS UI Gothic" w:eastAsia="MS UI Gothic"/>
        </w:rPr>
      </w:pPr>
      <w:r>
        <w:rPr>
          <w:rFonts w:hint="eastAsia" w:ascii="MS UI Gothic" w:eastAsia="MS UI Gothic"/>
          <w:w w:val="85"/>
        </w:rPr>
        <w:t xml:space="preserve">１ </w:t>
      </w:r>
      <w:r>
        <w:t>输送带至巷道顶部的垂距</w:t>
      </w:r>
      <w:r>
        <w:rPr>
          <w:rFonts w:hint="eastAsia" w:ascii="MS UI Gothic" w:eastAsia="MS UI Gothic"/>
          <w:w w:val="85"/>
        </w:rPr>
        <w:t xml:space="preserve">ꎬ </w:t>
      </w:r>
      <w:r>
        <w:t>在上</w:t>
      </w:r>
      <w:r>
        <w:rPr>
          <w:rFonts w:hint="eastAsia" w:ascii="MS UI Gothic" w:eastAsia="MS UI Gothic"/>
          <w:w w:val="85"/>
        </w:rPr>
        <w:t>、</w:t>
      </w:r>
      <w:r>
        <w:t xml:space="preserve">下人员的 </w:t>
      </w:r>
      <w:r>
        <w:rPr>
          <w:rFonts w:hint="eastAsia" w:ascii="MS UI Gothic" w:eastAsia="MS UI Gothic"/>
          <w:w w:val="85"/>
        </w:rPr>
        <w:t xml:space="preserve">２０ ｍ </w:t>
      </w:r>
      <w:r>
        <w:t xml:space="preserve">区段内不得小于 </w:t>
      </w:r>
      <w:r>
        <w:rPr>
          <w:rFonts w:hint="eastAsia" w:ascii="MS UI Gothic" w:eastAsia="MS UI Gothic"/>
          <w:w w:val="85"/>
        </w:rPr>
        <w:t>１ ４ ｍꎬ</w:t>
      </w:r>
      <w:r>
        <w:t xml:space="preserve">行驶区段内不得小于 </w:t>
      </w:r>
      <w:r>
        <w:rPr>
          <w:rFonts w:hint="eastAsia" w:ascii="MS UI Gothic" w:eastAsia="MS UI Gothic"/>
          <w:w w:val="85"/>
        </w:rPr>
        <w:t xml:space="preserve">１ ｍꎮ </w:t>
      </w:r>
      <w:r>
        <w:t>下行带乘人时</w:t>
      </w:r>
      <w:r>
        <w:rPr>
          <w:rFonts w:hint="eastAsia" w:ascii="MS UI Gothic" w:eastAsia="MS UI Gothic"/>
          <w:w w:val="85"/>
        </w:rPr>
        <w:t xml:space="preserve">ꎬ </w:t>
      </w:r>
      <w:r>
        <w:t>上</w:t>
      </w:r>
      <w:r>
        <w:rPr>
          <w:rFonts w:hint="eastAsia" w:ascii="MS UI Gothic" w:eastAsia="MS UI Gothic"/>
          <w:w w:val="85"/>
        </w:rPr>
        <w:t xml:space="preserve">、  </w:t>
      </w:r>
      <w:r>
        <w:t>下输送带间的垂距不得小于</w:t>
      </w:r>
      <w:r>
        <w:rPr>
          <w:rFonts w:hint="eastAsia" w:ascii="MS UI Gothic" w:eastAsia="MS UI Gothic"/>
          <w:w w:val="85"/>
        </w:rPr>
        <w:t>１ ｍꎮ</w:t>
      </w:r>
    </w:p>
    <w:p>
      <w:pPr>
        <w:pStyle w:val="6"/>
        <w:spacing w:line="295" w:lineRule="auto"/>
        <w:ind w:right="39" w:firstLine="413"/>
        <w:rPr>
          <w:rFonts w:hint="eastAsia" w:ascii="MS UI Gothic" w:eastAsia="MS UI Gothic"/>
        </w:rPr>
      </w:pPr>
      <w:r>
        <w:rPr>
          <w:rFonts w:hint="eastAsia" w:ascii="MS UI Gothic" w:eastAsia="MS UI Gothic"/>
          <w:w w:val="95"/>
        </w:rPr>
        <w:t>２</w:t>
      </w:r>
      <w:r>
        <w:rPr>
          <w:rFonts w:hint="eastAsia" w:ascii="MS UI Gothic" w:eastAsia="MS UI Gothic"/>
          <w:spacing w:val="54"/>
          <w:w w:val="95"/>
        </w:rPr>
        <w:t xml:space="preserve"> </w:t>
      </w:r>
      <w:r>
        <w:rPr>
          <w:spacing w:val="-3"/>
          <w:w w:val="95"/>
        </w:rPr>
        <w:t xml:space="preserve">输送带的宽度不得小于 </w:t>
      </w:r>
      <w:r>
        <w:rPr>
          <w:rFonts w:hint="eastAsia" w:ascii="MS UI Gothic" w:eastAsia="MS UI Gothic"/>
          <w:w w:val="95"/>
        </w:rPr>
        <w:t>０</w:t>
      </w:r>
      <w:r>
        <w:rPr>
          <w:rFonts w:hint="eastAsia" w:ascii="MS UI Gothic" w:eastAsia="MS UI Gothic"/>
          <w:spacing w:val="3"/>
          <w:w w:val="95"/>
        </w:rPr>
        <w:t xml:space="preserve"> ８ </w:t>
      </w:r>
      <w:r>
        <w:rPr>
          <w:rFonts w:hint="eastAsia" w:ascii="MS UI Gothic" w:eastAsia="MS UI Gothic"/>
          <w:spacing w:val="4"/>
          <w:w w:val="95"/>
        </w:rPr>
        <w:t>ｍ</w:t>
      </w:r>
      <w:r>
        <w:rPr>
          <w:rFonts w:hint="eastAsia" w:ascii="MS UI Gothic" w:eastAsia="MS UI Gothic"/>
          <w:spacing w:val="12"/>
          <w:w w:val="70"/>
        </w:rPr>
        <w:t xml:space="preserve">ꎬ </w:t>
      </w:r>
      <w:r>
        <w:rPr>
          <w:w w:val="95"/>
        </w:rPr>
        <w:t>运</w:t>
      </w:r>
      <w:r>
        <w:rPr>
          <w:spacing w:val="-3"/>
          <w:w w:val="95"/>
        </w:rPr>
        <w:t xml:space="preserve">行速度不得超过 </w:t>
      </w:r>
      <w:r>
        <w:rPr>
          <w:rFonts w:hint="eastAsia" w:ascii="MS UI Gothic" w:eastAsia="MS UI Gothic"/>
          <w:w w:val="95"/>
        </w:rPr>
        <w:t>１</w:t>
      </w:r>
      <w:r>
        <w:rPr>
          <w:rFonts w:hint="eastAsia" w:ascii="MS UI Gothic" w:eastAsia="MS UI Gothic"/>
          <w:spacing w:val="7"/>
          <w:w w:val="95"/>
        </w:rPr>
        <w:t xml:space="preserve"> ８ </w:t>
      </w:r>
      <w:r>
        <w:rPr>
          <w:rFonts w:hint="eastAsia" w:ascii="MS UI Gothic" w:eastAsia="MS UI Gothic"/>
          <w:w w:val="95"/>
        </w:rPr>
        <w:t xml:space="preserve">ｍ </w:t>
      </w:r>
      <w:r>
        <w:rPr>
          <w:rFonts w:hint="eastAsia" w:ascii="MS UI Gothic" w:eastAsia="MS UI Gothic"/>
          <w:w w:val="70"/>
        </w:rPr>
        <w:t xml:space="preserve">/ </w:t>
      </w:r>
      <w:r>
        <w:rPr>
          <w:rFonts w:hint="eastAsia" w:ascii="MS UI Gothic" w:eastAsia="MS UI Gothic"/>
          <w:spacing w:val="3"/>
          <w:w w:val="95"/>
        </w:rPr>
        <w:t>ｓ</w:t>
      </w:r>
      <w:r>
        <w:rPr>
          <w:rFonts w:hint="eastAsia" w:ascii="MS UI Gothic" w:eastAsia="MS UI Gothic"/>
          <w:spacing w:val="15"/>
          <w:w w:val="70"/>
        </w:rPr>
        <w:t xml:space="preserve">ꎬ </w:t>
      </w:r>
      <w:r>
        <w:rPr>
          <w:spacing w:val="9"/>
          <w:w w:val="95"/>
        </w:rPr>
        <w:t>绳槽至输送带</w:t>
      </w:r>
      <w:r>
        <w:rPr>
          <w:spacing w:val="-4"/>
          <w:w w:val="95"/>
        </w:rPr>
        <w:t xml:space="preserve">边的宽度不得小于 </w:t>
      </w:r>
      <w:r>
        <w:rPr>
          <w:rFonts w:hint="eastAsia" w:ascii="MS UI Gothic" w:eastAsia="MS UI Gothic"/>
          <w:spacing w:val="5"/>
          <w:w w:val="95"/>
        </w:rPr>
        <w:t xml:space="preserve">６０ </w:t>
      </w:r>
      <w:r>
        <w:rPr>
          <w:rFonts w:hint="eastAsia" w:ascii="MS UI Gothic" w:eastAsia="MS UI Gothic"/>
          <w:w w:val="95"/>
        </w:rPr>
        <w:t>ｍｍ</w:t>
      </w:r>
      <w:r>
        <w:rPr>
          <w:rFonts w:hint="eastAsia" w:ascii="MS UI Gothic" w:eastAsia="MS UI Gothic"/>
          <w:w w:val="70"/>
        </w:rPr>
        <w:t>ꎮ</w:t>
      </w:r>
    </w:p>
    <w:p>
      <w:pPr>
        <w:pStyle w:val="6"/>
        <w:spacing w:line="295" w:lineRule="auto"/>
        <w:ind w:right="39" w:firstLine="413"/>
      </w:pPr>
      <w:r>
        <w:rPr>
          <w:rFonts w:hint="eastAsia" w:ascii="MS UI Gothic" w:eastAsia="MS UI Gothic"/>
        </w:rPr>
        <w:t xml:space="preserve">３ </w:t>
      </w:r>
      <w:r>
        <w:rPr>
          <w:spacing w:val="-5"/>
        </w:rPr>
        <w:t xml:space="preserve">人员乘坐间距不得小于 </w:t>
      </w:r>
      <w:r>
        <w:rPr>
          <w:rFonts w:hint="eastAsia" w:ascii="MS UI Gothic" w:eastAsia="MS UI Gothic"/>
          <w:spacing w:val="-7"/>
        </w:rPr>
        <w:t xml:space="preserve">４ </w:t>
      </w:r>
      <w:r>
        <w:rPr>
          <w:rFonts w:hint="eastAsia" w:ascii="MS UI Gothic" w:eastAsia="MS UI Gothic"/>
          <w:spacing w:val="4"/>
        </w:rPr>
        <w:t>ｍ</w:t>
      </w:r>
      <w:r>
        <w:rPr>
          <w:rFonts w:hint="eastAsia" w:ascii="MS UI Gothic" w:eastAsia="MS UI Gothic"/>
          <w:spacing w:val="9"/>
          <w:w w:val="85"/>
        </w:rPr>
        <w:t xml:space="preserve">ꎮ </w:t>
      </w:r>
      <w:r>
        <w:rPr>
          <w:spacing w:val="1"/>
        </w:rPr>
        <w:t>乘坐</w:t>
      </w:r>
      <w:r>
        <w:rPr>
          <w:spacing w:val="3"/>
        </w:rPr>
        <w:t>人员不得站立或者仰卧</w:t>
      </w:r>
      <w:r>
        <w:rPr>
          <w:rFonts w:hint="eastAsia" w:ascii="MS UI Gothic" w:eastAsia="MS UI Gothic"/>
          <w:spacing w:val="13"/>
          <w:w w:val="85"/>
        </w:rPr>
        <w:t xml:space="preserve">ꎬ </w:t>
      </w:r>
      <w:r>
        <w:rPr>
          <w:spacing w:val="2"/>
        </w:rPr>
        <w:t>应当面向行进方</w:t>
      </w:r>
      <w:r>
        <w:rPr>
          <w:spacing w:val="3"/>
        </w:rPr>
        <w:t>向</w:t>
      </w:r>
      <w:r>
        <w:rPr>
          <w:rFonts w:hint="eastAsia" w:ascii="MS UI Gothic" w:eastAsia="MS UI Gothic"/>
          <w:spacing w:val="17"/>
          <w:w w:val="85"/>
        </w:rPr>
        <w:t xml:space="preserve">ꎮ </w:t>
      </w:r>
      <w:r>
        <w:rPr>
          <w:spacing w:val="3"/>
        </w:rPr>
        <w:t>严禁携带笨重物品和超长物品</w:t>
      </w:r>
      <w:r>
        <w:rPr>
          <w:rFonts w:hint="eastAsia" w:ascii="MS UI Gothic" w:eastAsia="MS UI Gothic"/>
          <w:spacing w:val="17"/>
          <w:w w:val="85"/>
        </w:rPr>
        <w:t xml:space="preserve">ꎬ </w:t>
      </w:r>
      <w:r>
        <w:rPr>
          <w:spacing w:val="1"/>
        </w:rPr>
        <w:t>严禁</w:t>
      </w:r>
    </w:p>
    <w:p>
      <w:pPr>
        <w:pStyle w:val="6"/>
        <w:spacing w:before="74" w:line="295" w:lineRule="auto"/>
        <w:ind w:left="118" w:right="440"/>
        <w:rPr>
          <w:rFonts w:hint="eastAsia" w:ascii="MS UI Gothic" w:eastAsia="MS UI Gothic"/>
        </w:rPr>
      </w:pPr>
      <w:r>
        <w:br w:type="column"/>
      </w:r>
      <w:r>
        <w:rPr>
          <w:rFonts w:hint="eastAsia" w:ascii="MS UI Gothic" w:eastAsia="MS UI Gothic"/>
        </w:rPr>
        <w:t xml:space="preserve">４ </w:t>
      </w:r>
      <w:r>
        <w:t>上</w:t>
      </w:r>
      <w:r>
        <w:rPr>
          <w:rFonts w:hint="eastAsia" w:ascii="MS UI Gothic" w:eastAsia="MS UI Gothic"/>
        </w:rPr>
        <w:t xml:space="preserve">、 </w:t>
      </w:r>
      <w:r>
        <w:t>下人员的地点应当设有平台和照明</w:t>
      </w:r>
      <w:r>
        <w:rPr>
          <w:rFonts w:hint="eastAsia" w:ascii="MS UI Gothic" w:eastAsia="MS UI Gothic"/>
          <w:w w:val="85"/>
        </w:rPr>
        <w:t xml:space="preserve">ꎮ </w:t>
      </w:r>
      <w:r>
        <w:t>上行带平台的长度不得小于</w:t>
      </w:r>
      <w:r>
        <w:rPr>
          <w:rFonts w:hint="eastAsia" w:ascii="MS UI Gothic" w:eastAsia="MS UI Gothic"/>
        </w:rPr>
        <w:t>５ ｍ</w:t>
      </w:r>
      <w:r>
        <w:rPr>
          <w:rFonts w:hint="eastAsia" w:ascii="MS UI Gothic" w:eastAsia="MS UI Gothic"/>
          <w:w w:val="85"/>
        </w:rPr>
        <w:t xml:space="preserve">ꎬ </w:t>
      </w:r>
      <w:r>
        <w:t xml:space="preserve">宽度不得小于 </w:t>
      </w:r>
      <w:r>
        <w:rPr>
          <w:rFonts w:hint="eastAsia" w:ascii="MS UI Gothic" w:eastAsia="MS UI Gothic"/>
        </w:rPr>
        <w:t>０ ８ ｍ</w:t>
      </w:r>
      <w:r>
        <w:rPr>
          <w:rFonts w:hint="eastAsia" w:ascii="MS UI Gothic" w:eastAsia="MS UI Gothic"/>
          <w:w w:val="85"/>
        </w:rPr>
        <w:t xml:space="preserve">ꎬ </w:t>
      </w:r>
      <w:r>
        <w:t>并有栏杆</w:t>
      </w:r>
      <w:r>
        <w:rPr>
          <w:rFonts w:hint="eastAsia" w:ascii="MS UI Gothic" w:eastAsia="MS UI Gothic"/>
          <w:w w:val="85"/>
        </w:rPr>
        <w:t>ꎮ</w:t>
      </w:r>
      <w:r>
        <w:t>上</w:t>
      </w:r>
      <w:r>
        <w:rPr>
          <w:rFonts w:hint="eastAsia" w:ascii="MS UI Gothic" w:eastAsia="MS UI Gothic"/>
        </w:rPr>
        <w:t xml:space="preserve">、 </w:t>
      </w:r>
      <w:r>
        <w:t>下人的区段内不得有支架或者悬挂装置</w:t>
      </w:r>
      <w:r>
        <w:rPr>
          <w:rFonts w:hint="eastAsia" w:ascii="MS UI Gothic" w:eastAsia="MS UI Gothic"/>
          <w:w w:val="85"/>
        </w:rPr>
        <w:t xml:space="preserve">ꎮ </w:t>
      </w:r>
      <w:r>
        <w:t>下人地点应当有标志或者声光信号</w:t>
      </w:r>
      <w:r>
        <w:rPr>
          <w:rFonts w:hint="eastAsia" w:ascii="MS UI Gothic" w:eastAsia="MS UI Gothic"/>
          <w:w w:val="85"/>
        </w:rPr>
        <w:t>ꎬ</w:t>
      </w:r>
      <w:r>
        <w:t xml:space="preserve">距离下人区段末端前方 </w:t>
      </w:r>
      <w:r>
        <w:rPr>
          <w:rFonts w:hint="eastAsia" w:ascii="MS UI Gothic" w:eastAsia="MS UI Gothic"/>
        </w:rPr>
        <w:t xml:space="preserve">２ ｍ </w:t>
      </w:r>
      <w:r>
        <w:t>处</w:t>
      </w:r>
      <w:r>
        <w:rPr>
          <w:rFonts w:hint="eastAsia" w:ascii="MS UI Gothic" w:eastAsia="MS UI Gothic"/>
          <w:w w:val="85"/>
        </w:rPr>
        <w:t xml:space="preserve">ꎬ </w:t>
      </w:r>
      <w:r>
        <w:t>必须设有能自动停车的安全装置</w:t>
      </w:r>
      <w:r>
        <w:rPr>
          <w:rFonts w:hint="eastAsia" w:ascii="MS UI Gothic" w:eastAsia="MS UI Gothic"/>
          <w:w w:val="85"/>
        </w:rPr>
        <w:t xml:space="preserve">ꎮ </w:t>
      </w:r>
      <w:r>
        <w:t>在机头机尾下人处</w:t>
      </w:r>
      <w:r>
        <w:rPr>
          <w:rFonts w:hint="eastAsia" w:ascii="MS UI Gothic" w:eastAsia="MS UI Gothic"/>
          <w:w w:val="85"/>
        </w:rPr>
        <w:t xml:space="preserve">ꎬ </w:t>
      </w:r>
      <w:r>
        <w:t>必须设有人员越位的防护设施或者保护装置</w:t>
      </w:r>
      <w:r>
        <w:rPr>
          <w:rFonts w:hint="eastAsia" w:ascii="MS UI Gothic" w:eastAsia="MS UI Gothic"/>
          <w:w w:val="85"/>
        </w:rPr>
        <w:t xml:space="preserve">ꎬ </w:t>
      </w:r>
      <w:r>
        <w:t>并装设机械式倾斜挡板</w:t>
      </w:r>
      <w:r>
        <w:rPr>
          <w:rFonts w:hint="eastAsia" w:ascii="MS UI Gothic" w:eastAsia="MS UI Gothic"/>
          <w:w w:val="85"/>
        </w:rPr>
        <w:t>ꎮ</w:t>
      </w:r>
    </w:p>
    <w:p>
      <w:pPr>
        <w:pStyle w:val="6"/>
        <w:spacing w:line="295" w:lineRule="auto"/>
        <w:ind w:right="442" w:firstLine="413"/>
        <w:rPr>
          <w:rFonts w:hint="eastAsia" w:ascii="MS UI Gothic" w:eastAsia="MS UI Gothic"/>
        </w:rPr>
      </w:pPr>
      <w:r>
        <w:rPr>
          <w:rFonts w:hint="eastAsia" w:ascii="MS UI Gothic" w:eastAsia="MS UI Gothic"/>
        </w:rPr>
        <w:t>５</w:t>
      </w:r>
      <w:r>
        <w:rPr>
          <w:rFonts w:hint="eastAsia" w:ascii="MS UI Gothic" w:eastAsia="MS UI Gothic"/>
          <w:spacing w:val="31"/>
        </w:rPr>
        <w:t xml:space="preserve"> </w:t>
      </w:r>
      <w:r>
        <w:rPr>
          <w:spacing w:val="12"/>
        </w:rPr>
        <w:t>运送人员前</w:t>
      </w:r>
      <w:r>
        <w:rPr>
          <w:rFonts w:hint="eastAsia" w:ascii="MS UI Gothic" w:eastAsia="MS UI Gothic"/>
          <w:spacing w:val="22"/>
          <w:w w:val="85"/>
        </w:rPr>
        <w:t xml:space="preserve">ꎬ </w:t>
      </w:r>
      <w:r>
        <w:rPr>
          <w:spacing w:val="14"/>
        </w:rPr>
        <w:t>必须卸除输送带上</w:t>
      </w:r>
      <w:r>
        <w:rPr>
          <w:spacing w:val="3"/>
        </w:rPr>
        <w:t>的物料</w:t>
      </w:r>
      <w:r>
        <w:rPr>
          <w:rFonts w:hint="eastAsia" w:ascii="MS UI Gothic" w:eastAsia="MS UI Gothic"/>
          <w:w w:val="85"/>
        </w:rPr>
        <w:t>ꎮ</w:t>
      </w:r>
    </w:p>
    <w:p>
      <w:pPr>
        <w:pStyle w:val="6"/>
        <w:spacing w:line="295" w:lineRule="auto"/>
        <w:ind w:right="442" w:firstLine="413"/>
        <w:rPr>
          <w:rFonts w:hint="eastAsia" w:ascii="MS UI Gothic" w:eastAsia="MS UI Gothic"/>
        </w:rPr>
      </w:pPr>
      <w:r>
        <w:rPr>
          <w:rFonts w:hint="eastAsia" w:ascii="MS UI Gothic" w:eastAsia="MS UI Gothic"/>
        </w:rPr>
        <w:t>６</w:t>
      </w:r>
      <w:r>
        <w:rPr>
          <w:rFonts w:hint="eastAsia" w:ascii="MS UI Gothic" w:eastAsia="MS UI Gothic"/>
          <w:spacing w:val="15"/>
        </w:rPr>
        <w:t xml:space="preserve"> </w:t>
      </w:r>
      <w:r>
        <w:rPr>
          <w:spacing w:val="12"/>
        </w:rPr>
        <w:t>应当装有在输送机全长任何地点</w:t>
      </w:r>
      <w:r>
        <w:rPr>
          <w:spacing w:val="2"/>
        </w:rPr>
        <w:t>可由乘坐人员或者其他人员操作的紧急停</w:t>
      </w:r>
      <w:r>
        <w:rPr>
          <w:spacing w:val="3"/>
        </w:rPr>
        <w:t>车装置</w:t>
      </w:r>
      <w:r>
        <w:rPr>
          <w:rFonts w:hint="eastAsia" w:ascii="MS UI Gothic" w:eastAsia="MS UI Gothic"/>
          <w:w w:val="85"/>
        </w:rPr>
        <w:t>ꎮ</w:t>
      </w:r>
    </w:p>
    <w:p>
      <w:pPr>
        <w:pStyle w:val="6"/>
        <w:spacing w:line="295" w:lineRule="auto"/>
        <w:ind w:right="442"/>
        <w:rPr>
          <w:rFonts w:hint="eastAsia" w:ascii="MS UI Gothic" w:eastAsia="MS UI Gothic"/>
        </w:rPr>
      </w:pPr>
      <w:r>
        <w:rPr>
          <w:w w:val="105"/>
        </w:rPr>
        <w:t>第三百七十六条 采用轨道机车运输时</w:t>
      </w:r>
      <w:r>
        <w:rPr>
          <w:rFonts w:hint="eastAsia" w:ascii="MS UI Gothic" w:eastAsia="MS UI Gothic"/>
          <w:w w:val="80"/>
        </w:rPr>
        <w:t xml:space="preserve">ꎬ </w:t>
      </w:r>
      <w:r>
        <w:rPr>
          <w:w w:val="105"/>
        </w:rPr>
        <w:t>轨道机车的选用应当遵守下列规定</w:t>
      </w:r>
      <w:r>
        <w:rPr>
          <w:rFonts w:hint="eastAsia" w:ascii="MS UI Gothic" w:eastAsia="MS UI Gothic"/>
          <w:w w:val="105"/>
        </w:rPr>
        <w:t>:</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突出矿井必须使用符合防爆要</w:t>
      </w:r>
      <w:r>
        <w:rPr>
          <w:w w:val="110"/>
        </w:rPr>
        <w:t>求的机车</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新建高瓦斯矿井不得使用架线</w:t>
      </w:r>
      <w:r>
        <w:t>电机车运输</w:t>
      </w:r>
      <w:r>
        <w:rPr>
          <w:rFonts w:hint="eastAsia" w:ascii="MS UI Gothic" w:eastAsia="MS UI Gothic"/>
          <w:w w:val="80"/>
        </w:rPr>
        <w:t xml:space="preserve">ꎮ </w:t>
      </w:r>
      <w:r>
        <w:t>高瓦斯矿井在用的架线电机</w:t>
      </w:r>
      <w:r>
        <w:rPr>
          <w:w w:val="110"/>
        </w:rPr>
        <w:t>车运输</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right="442" w:firstLine="413"/>
        <w:rPr>
          <w:rFonts w:hint="eastAsia" w:ascii="MS UI Gothic" w:eastAsia="MS UI Gothic"/>
        </w:rPr>
      </w:pPr>
      <w:r>
        <w:rPr>
          <w:rFonts w:hint="eastAsia" w:ascii="MS UI Gothic" w:eastAsia="MS UI Gothic"/>
        </w:rPr>
        <w:t xml:space="preserve">１ </w:t>
      </w:r>
      <w:r>
        <w:t>沿煤层或者穿过煤层的巷道必须采用砌碹或者锚喷支护</w:t>
      </w:r>
      <w:r>
        <w:rPr>
          <w:rFonts w:hint="eastAsia" w:ascii="MS UI Gothic" w:eastAsia="MS UI Gothic"/>
          <w:w w:val="85"/>
        </w:rPr>
        <w:t>ꎻ</w:t>
      </w:r>
    </w:p>
    <w:p>
      <w:pPr>
        <w:pStyle w:val="6"/>
        <w:spacing w:line="295" w:lineRule="auto"/>
        <w:ind w:right="440" w:firstLine="413"/>
        <w:rPr>
          <w:rFonts w:hint="eastAsia" w:ascii="MS UI Gothic" w:eastAsia="MS UI Gothic"/>
        </w:rPr>
      </w:pPr>
      <w:r>
        <w:rPr>
          <w:rFonts w:hint="eastAsia" w:ascii="MS UI Gothic" w:eastAsia="MS UI Gothic"/>
        </w:rPr>
        <w:t xml:space="preserve">２ </w:t>
      </w:r>
      <w:r>
        <w:t>有瓦斯涌出的掘进巷道的回风流</w:t>
      </w:r>
      <w:r>
        <w:rPr>
          <w:rFonts w:hint="eastAsia" w:ascii="MS UI Gothic" w:eastAsia="MS UI Gothic"/>
          <w:w w:val="85"/>
        </w:rPr>
        <w:t>ꎬ</w:t>
      </w:r>
      <w:r>
        <w:t>不得进入有架线的巷道中</w:t>
      </w:r>
      <w:r>
        <w:rPr>
          <w:rFonts w:hint="eastAsia" w:ascii="MS UI Gothic" w:eastAsia="MS UI Gothic"/>
          <w:w w:val="85"/>
        </w:rPr>
        <w:t>ꎻ</w:t>
      </w:r>
    </w:p>
    <w:p>
      <w:pPr>
        <w:pStyle w:val="6"/>
        <w:spacing w:line="295" w:lineRule="auto"/>
        <w:ind w:right="442" w:firstLine="413"/>
        <w:rPr>
          <w:rFonts w:hint="eastAsia" w:ascii="MS UI Gothic" w:eastAsia="MS UI Gothic"/>
        </w:rPr>
      </w:pPr>
      <w:r>
        <w:rPr>
          <w:rFonts w:hint="eastAsia" w:ascii="MS UI Gothic" w:eastAsia="MS UI Gothic"/>
        </w:rPr>
        <w:t xml:space="preserve">３ </w:t>
      </w:r>
      <w:r>
        <w:t>采用炭素滑板或者其他能减小火花的集电器</w:t>
      </w:r>
      <w:r>
        <w:rPr>
          <w:rFonts w:hint="eastAsia" w:ascii="MS UI Gothic" w:eastAsia="MS UI Gothic"/>
          <w:w w:val="85"/>
        </w:rPr>
        <w:t>ꎮ</w:t>
      </w:r>
    </w:p>
    <w:p>
      <w:pPr>
        <w:pStyle w:val="6"/>
        <w:spacing w:line="295" w:lineRule="auto"/>
        <w:ind w:right="440"/>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9"/>
          <w:w w:val="150"/>
        </w:rPr>
        <w:t xml:space="preserve">) </w:t>
      </w:r>
      <w:r>
        <w:rPr>
          <w:spacing w:val="5"/>
          <w:w w:val="105"/>
        </w:rPr>
        <w:t>低瓦斯矿井的主要回风巷</w:t>
      </w:r>
      <w:r>
        <w:rPr>
          <w:rFonts w:hint="eastAsia" w:ascii="MS UI Gothic" w:eastAsia="MS UI Gothic"/>
          <w:w w:val="80"/>
        </w:rPr>
        <w:t xml:space="preserve">、 </w:t>
      </w:r>
      <w:r>
        <w:rPr>
          <w:w w:val="105"/>
        </w:rPr>
        <w:t>采</w:t>
      </w:r>
      <w:r>
        <w:rPr>
          <w:spacing w:val="-16"/>
          <w:w w:val="105"/>
        </w:rPr>
        <w:t xml:space="preserve">区进 </w:t>
      </w:r>
      <w:r>
        <w:rPr>
          <w:rFonts w:hint="eastAsia" w:ascii="MS UI Gothic" w:eastAsia="MS UI Gothic"/>
          <w:spacing w:val="-38"/>
          <w:w w:val="150"/>
        </w:rPr>
        <w:t xml:space="preserve">( </w:t>
      </w:r>
      <w:r>
        <w:rPr>
          <w:spacing w:val="3"/>
          <w:w w:val="105"/>
        </w:rPr>
        <w:t>回</w:t>
      </w:r>
      <w:r>
        <w:rPr>
          <w:rFonts w:hint="eastAsia" w:ascii="MS UI Gothic" w:eastAsia="MS UI Gothic"/>
          <w:spacing w:val="5"/>
          <w:w w:val="150"/>
        </w:rPr>
        <w:t xml:space="preserve">) </w:t>
      </w:r>
      <w:r>
        <w:rPr>
          <w:spacing w:val="2"/>
          <w:w w:val="105"/>
        </w:rPr>
        <w:t>风巷应当使用符合防爆要求的</w:t>
      </w:r>
      <w:r>
        <w:rPr>
          <w:spacing w:val="3"/>
        </w:rPr>
        <w:t>机车</w:t>
      </w:r>
      <w:r>
        <w:rPr>
          <w:rFonts w:hint="eastAsia" w:ascii="MS UI Gothic" w:eastAsia="MS UI Gothic"/>
          <w:spacing w:val="19"/>
          <w:w w:val="80"/>
        </w:rPr>
        <w:t xml:space="preserve">ꎮ </w:t>
      </w:r>
      <w:r>
        <w:rPr>
          <w:spacing w:val="7"/>
        </w:rPr>
        <w:t>低瓦斯矿井进风的主要运输巷道</w:t>
      </w:r>
      <w:r>
        <w:rPr>
          <w:rFonts w:hint="eastAsia" w:ascii="MS UI Gothic" w:eastAsia="MS UI Gothic"/>
          <w:w w:val="80"/>
        </w:rPr>
        <w:t>ꎬ</w:t>
      </w:r>
      <w:r>
        <w:rPr>
          <w:spacing w:val="3"/>
        </w:rPr>
        <w:t>可以使用架线电机车</w:t>
      </w:r>
      <w:r>
        <w:rPr>
          <w:rFonts w:hint="eastAsia" w:ascii="MS UI Gothic" w:eastAsia="MS UI Gothic"/>
          <w:spacing w:val="19"/>
          <w:w w:val="80"/>
        </w:rPr>
        <w:t xml:space="preserve">ꎬ </w:t>
      </w:r>
      <w:r>
        <w:rPr>
          <w:spacing w:val="2"/>
        </w:rPr>
        <w:t>并使用不燃性材料</w:t>
      </w:r>
      <w:r>
        <w:rPr>
          <w:spacing w:val="3"/>
          <w:w w:val="105"/>
        </w:rPr>
        <w:t>支护</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40"/>
        </w:rPr>
        <w:t xml:space="preserve">( </w:t>
      </w:r>
      <w:r>
        <w:t>四</w:t>
      </w:r>
      <w:r>
        <w:rPr>
          <w:rFonts w:hint="eastAsia" w:ascii="MS UI Gothic" w:eastAsia="MS UI Gothic"/>
          <w:w w:val="140"/>
        </w:rPr>
        <w:t xml:space="preserve">) </w:t>
      </w:r>
      <w:r>
        <w:t>各种车辆的两端必须装置碰头</w:t>
      </w:r>
      <w:r>
        <w:rPr>
          <w:rFonts w:hint="eastAsia" w:ascii="MS UI Gothic" w:eastAsia="MS UI Gothic"/>
          <w:w w:val="85"/>
        </w:rPr>
        <w:t xml:space="preserve">ꎬ </w:t>
      </w:r>
      <w:r>
        <w:t xml:space="preserve">每端突出的长度不得小于 </w:t>
      </w:r>
      <w:r>
        <w:rPr>
          <w:rFonts w:hint="eastAsia" w:ascii="MS UI Gothic" w:eastAsia="MS UI Gothic"/>
          <w:w w:val="85"/>
        </w:rPr>
        <w:t>１００ ｍｍꎮ</w:t>
      </w:r>
    </w:p>
    <w:p>
      <w:pPr>
        <w:pStyle w:val="6"/>
        <w:spacing w:line="295" w:lineRule="auto"/>
        <w:ind w:right="442"/>
        <w:rPr>
          <w:rFonts w:hint="eastAsia" w:ascii="MS UI Gothic" w:eastAsia="MS UI Gothic"/>
        </w:rPr>
      </w:pPr>
      <w:r>
        <w:rPr>
          <w:w w:val="105"/>
        </w:rPr>
        <w:t>第三百七十七条 采用轨道机车运输</w:t>
      </w:r>
      <w:r>
        <w:rPr>
          <w:w w:val="110"/>
        </w:rPr>
        <w:t>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right="442"/>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 xml:space="preserve">生产矿井同一水平行驶 </w:t>
      </w:r>
      <w:r>
        <w:rPr>
          <w:rFonts w:hint="eastAsia" w:ascii="MS UI Gothic" w:eastAsia="MS UI Gothic"/>
          <w:w w:val="80"/>
        </w:rPr>
        <w:t xml:space="preserve">７ </w:t>
      </w:r>
      <w:r>
        <w:rPr>
          <w:w w:val="105"/>
        </w:rPr>
        <w:t>台及</w:t>
      </w:r>
      <w:r>
        <w:t>以上机车时</w:t>
      </w:r>
      <w:r>
        <w:rPr>
          <w:rFonts w:hint="eastAsia" w:ascii="MS UI Gothic" w:eastAsia="MS UI Gothic"/>
          <w:w w:val="80"/>
        </w:rPr>
        <w:t xml:space="preserve">ꎬ </w:t>
      </w:r>
      <w:r>
        <w:t>应当设置机车运输监控系</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２９３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06" o:spid="_x0000_s1906" o:spt="203" style="height:2.15pt;width:398.25pt;" coordsize="7965,43">
            <o:lock v:ext="edit"/>
            <v:line id="_x0000_s1907" o:spid="_x0000_s1907" o:spt="20" style="position:absolute;left:0;top:39;height:0;width:7965;" stroked="t" coordsize="21600,21600">
              <v:path arrowok="t"/>
              <v:fill focussize="0,0"/>
              <v:stroke weight="0.388031496062992pt" color="#231F20"/>
              <v:imagedata o:title=""/>
              <o:lock v:ext="edit"/>
            </v:line>
            <v:line id="_x0000_s1908" o:spid="_x0000_s190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统</w:t>
      </w:r>
      <w:r>
        <w:rPr>
          <w:rFonts w:hint="eastAsia" w:ascii="MS UI Gothic" w:eastAsia="MS UI Gothic"/>
          <w:w w:val="80"/>
        </w:rPr>
        <w:t xml:space="preserve">ꎻ </w:t>
      </w:r>
      <w:r>
        <w:t xml:space="preserve">同一水平行驶 </w:t>
      </w:r>
      <w:r>
        <w:rPr>
          <w:rFonts w:hint="eastAsia" w:ascii="MS UI Gothic" w:eastAsia="MS UI Gothic"/>
          <w:w w:val="80"/>
        </w:rPr>
        <w:t xml:space="preserve">５ </w:t>
      </w:r>
      <w:r>
        <w:t>台及以上机车时</w:t>
      </w:r>
      <w:r>
        <w:rPr>
          <w:rFonts w:hint="eastAsia" w:ascii="MS UI Gothic" w:eastAsia="MS UI Gothic"/>
          <w:w w:val="80"/>
        </w:rPr>
        <w:t xml:space="preserve">ꎬ </w:t>
      </w:r>
      <w:r>
        <w:t>应当设置机车运输集中信号控制系统</w:t>
      </w:r>
      <w:r>
        <w:rPr>
          <w:rFonts w:hint="eastAsia" w:ascii="MS UI Gothic" w:eastAsia="MS UI Gothic"/>
          <w:w w:val="80"/>
        </w:rPr>
        <w:t xml:space="preserve">ꎮ </w:t>
      </w:r>
      <w:r>
        <w:t>新建大型矿井的井底车场和运输大巷</w:t>
      </w:r>
      <w:r>
        <w:rPr>
          <w:rFonts w:hint="eastAsia" w:ascii="MS UI Gothic" w:eastAsia="MS UI Gothic"/>
          <w:w w:val="80"/>
        </w:rPr>
        <w:t xml:space="preserve">ꎬ </w:t>
      </w:r>
      <w:r>
        <w:t>应当设置机车运输监控系统或者运输集中信号控制系统</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列车或者单独机车均必须前有照明</w:t>
      </w:r>
      <w:r>
        <w:rPr>
          <w:rFonts w:hint="eastAsia" w:ascii="MS UI Gothic" w:eastAsia="MS UI Gothic"/>
          <w:w w:val="80"/>
        </w:rPr>
        <w:t xml:space="preserve">ꎬ </w:t>
      </w:r>
      <w:r>
        <w:rPr>
          <w:w w:val="105"/>
        </w:rPr>
        <w:t>后有红灯</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列车通过的风门</w:t>
      </w:r>
      <w:r>
        <w:rPr>
          <w:rFonts w:hint="eastAsia" w:ascii="MS UI Gothic" w:eastAsia="MS UI Gothic"/>
          <w:w w:val="80"/>
        </w:rPr>
        <w:t xml:space="preserve">ꎬ </w:t>
      </w:r>
      <w:r>
        <w:rPr>
          <w:w w:val="105"/>
        </w:rPr>
        <w:t>必须设有当</w:t>
      </w:r>
      <w:r>
        <w:t>列车通过时能够发出在风门两侧都能接收</w:t>
      </w:r>
      <w:r>
        <w:rPr>
          <w:w w:val="105"/>
        </w:rPr>
        <w:t>到声光信号的装置</w:t>
      </w:r>
      <w:r>
        <w:rPr>
          <w:rFonts w:hint="eastAsia" w:ascii="MS UI Gothic" w:eastAsia="MS UI Gothic"/>
          <w:w w:val="80"/>
        </w:rPr>
        <w:t>ꎮ</w:t>
      </w:r>
    </w:p>
    <w:p>
      <w:pPr>
        <w:pStyle w:val="6"/>
        <w:spacing w:line="254" w:lineRule="exact"/>
        <w:ind w:left="860" w:firstLine="0"/>
        <w:rPr>
          <w:rFonts w:hint="eastAsia" w:ascii="MS UI Gothic" w:eastAsia="MS UI Gothic"/>
        </w:rPr>
      </w:pPr>
      <w:r>
        <w:rPr>
          <w:rFonts w:hint="eastAsia" w:ascii="MS UI Gothic" w:eastAsia="MS UI Gothic"/>
          <w:spacing w:val="-43"/>
          <w:w w:val="150"/>
        </w:rPr>
        <w:t xml:space="preserve">( </w:t>
      </w:r>
      <w:r>
        <w:rPr>
          <w:spacing w:val="3"/>
          <w:w w:val="110"/>
        </w:rPr>
        <w:t>四</w:t>
      </w:r>
      <w:r>
        <w:rPr>
          <w:rFonts w:hint="eastAsia" w:ascii="MS UI Gothic" w:eastAsia="MS UI Gothic"/>
          <w:spacing w:val="-25"/>
          <w:w w:val="150"/>
        </w:rPr>
        <w:t xml:space="preserve">) </w:t>
      </w:r>
      <w:r>
        <w:rPr>
          <w:spacing w:val="3"/>
          <w:w w:val="110"/>
        </w:rPr>
        <w:t>巷道内应当装设路标和警标</w:t>
      </w:r>
      <w:r>
        <w:rPr>
          <w:rFonts w:hint="eastAsia" w:ascii="MS UI Gothic" w:eastAsia="MS UI Gothic"/>
          <w:w w:val="80"/>
        </w:rPr>
        <w:t>ꎮ</w:t>
      </w:r>
    </w:p>
    <w:p>
      <w:pPr>
        <w:pStyle w:val="6"/>
        <w:spacing w:before="53"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必须定期检查和维护机车</w:t>
      </w:r>
      <w:r>
        <w:rPr>
          <w:rFonts w:hint="eastAsia" w:ascii="MS UI Gothic" w:eastAsia="MS UI Gothic"/>
          <w:w w:val="80"/>
        </w:rPr>
        <w:t xml:space="preserve">ꎬ </w:t>
      </w:r>
      <w:r>
        <w:rPr>
          <w:w w:val="105"/>
        </w:rPr>
        <w:t>发现隐患</w:t>
      </w:r>
      <w:r>
        <w:rPr>
          <w:rFonts w:hint="eastAsia" w:ascii="MS UI Gothic" w:eastAsia="MS UI Gothic"/>
          <w:w w:val="80"/>
        </w:rPr>
        <w:t xml:space="preserve">ꎬ </w:t>
      </w:r>
      <w:r>
        <w:rPr>
          <w:w w:val="105"/>
        </w:rPr>
        <w:t>及时处理</w:t>
      </w:r>
      <w:r>
        <w:rPr>
          <w:rFonts w:hint="eastAsia" w:ascii="MS UI Gothic" w:eastAsia="MS UI Gothic"/>
          <w:w w:val="80"/>
        </w:rPr>
        <w:t xml:space="preserve">ꎮ </w:t>
      </w:r>
      <w:r>
        <w:rPr>
          <w:w w:val="105"/>
        </w:rPr>
        <w:t>机车的闸</w:t>
      </w:r>
      <w:r>
        <w:rPr>
          <w:rFonts w:hint="eastAsia" w:ascii="MS UI Gothic" w:eastAsia="MS UI Gothic"/>
          <w:w w:val="80"/>
        </w:rPr>
        <w:t xml:space="preserve">、 </w:t>
      </w:r>
      <w:r>
        <w:rPr>
          <w:w w:val="105"/>
        </w:rPr>
        <w:t>灯</w:t>
      </w:r>
      <w:r>
        <w:rPr>
          <w:rFonts w:hint="eastAsia" w:ascii="MS UI Gothic" w:eastAsia="MS UI Gothic"/>
          <w:w w:val="80"/>
        </w:rPr>
        <w:t xml:space="preserve">、 </w:t>
      </w:r>
      <w:r>
        <w:rPr>
          <w:w w:val="105"/>
        </w:rPr>
        <w:t>警铃</w:t>
      </w:r>
      <w:r>
        <w:rPr>
          <w:rFonts w:hint="eastAsia" w:ascii="MS UI Gothic" w:eastAsia="MS UI Gothic"/>
          <w:w w:val="150"/>
        </w:rPr>
        <w:t xml:space="preserve">( </w:t>
      </w:r>
      <w:r>
        <w:rPr>
          <w:w w:val="105"/>
        </w:rPr>
        <w:t>喇叭</w:t>
      </w:r>
      <w:r>
        <w:rPr>
          <w:rFonts w:hint="eastAsia" w:ascii="MS UI Gothic" w:eastAsia="MS UI Gothic"/>
          <w:w w:val="150"/>
        </w:rPr>
        <w:t>)</w:t>
      </w:r>
      <w:r>
        <w:rPr>
          <w:rFonts w:hint="eastAsia" w:ascii="MS UI Gothic" w:eastAsia="MS UI Gothic"/>
          <w:w w:val="80"/>
        </w:rPr>
        <w:t xml:space="preserve">、 </w:t>
      </w:r>
      <w:r>
        <w:rPr>
          <w:w w:val="105"/>
        </w:rPr>
        <w:t>连接装置和撒砂装置</w:t>
      </w:r>
      <w:r>
        <w:rPr>
          <w:rFonts w:hint="eastAsia" w:ascii="MS UI Gothic" w:eastAsia="MS UI Gothic"/>
          <w:w w:val="80"/>
        </w:rPr>
        <w:t xml:space="preserve">ꎬ </w:t>
      </w:r>
      <w:r>
        <w:rPr>
          <w:w w:val="105"/>
        </w:rPr>
        <w:t>任何一项不正常或者失爆时</w:t>
      </w:r>
      <w:r>
        <w:rPr>
          <w:rFonts w:hint="eastAsia" w:ascii="MS UI Gothic" w:eastAsia="MS UI Gothic"/>
          <w:w w:val="80"/>
        </w:rPr>
        <w:t xml:space="preserve">ꎬ </w:t>
      </w:r>
      <w:r>
        <w:rPr>
          <w:w w:val="105"/>
        </w:rPr>
        <w:t>机车不得使用</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t>六</w:t>
      </w:r>
      <w:r>
        <w:rPr>
          <w:rFonts w:hint="eastAsia" w:ascii="MS UI Gothic" w:eastAsia="MS UI Gothic"/>
          <w:w w:val="150"/>
        </w:rPr>
        <w:t xml:space="preserve">) </w:t>
      </w:r>
      <w:r>
        <w:t>正常运行时</w:t>
      </w:r>
      <w:r>
        <w:rPr>
          <w:rFonts w:hint="eastAsia" w:ascii="MS UI Gothic" w:eastAsia="MS UI Gothic"/>
          <w:w w:val="80"/>
        </w:rPr>
        <w:t xml:space="preserve">ꎬ </w:t>
      </w:r>
      <w:r>
        <w:t>机车必须在列车前端</w:t>
      </w:r>
      <w:r>
        <w:rPr>
          <w:rFonts w:hint="eastAsia" w:ascii="MS UI Gothic" w:eastAsia="MS UI Gothic"/>
          <w:w w:val="80"/>
        </w:rPr>
        <w:t xml:space="preserve">ꎮ </w:t>
      </w:r>
      <w:r>
        <w:t>机车行近巷道口</w:t>
      </w:r>
      <w:r>
        <w:rPr>
          <w:rFonts w:hint="eastAsia" w:ascii="MS UI Gothic" w:eastAsia="MS UI Gothic"/>
          <w:w w:val="80"/>
        </w:rPr>
        <w:t xml:space="preserve">、 </w:t>
      </w:r>
      <w:r>
        <w:t>硐室口</w:t>
      </w:r>
      <w:r>
        <w:rPr>
          <w:rFonts w:hint="eastAsia" w:ascii="MS UI Gothic" w:eastAsia="MS UI Gothic"/>
          <w:w w:val="80"/>
        </w:rPr>
        <w:t xml:space="preserve">、 </w:t>
      </w:r>
      <w:r>
        <w:t>弯道</w:t>
      </w:r>
      <w:r>
        <w:rPr>
          <w:rFonts w:hint="eastAsia" w:ascii="MS UI Gothic" w:eastAsia="MS UI Gothic"/>
          <w:w w:val="80"/>
        </w:rPr>
        <w:t>、</w:t>
      </w:r>
      <w:r>
        <w:t>道岔或者噪声大等地段</w:t>
      </w:r>
      <w:r>
        <w:rPr>
          <w:rFonts w:hint="eastAsia" w:ascii="MS UI Gothic" w:eastAsia="MS UI Gothic"/>
          <w:w w:val="80"/>
        </w:rPr>
        <w:t xml:space="preserve">ꎬ </w:t>
      </w:r>
      <w:r>
        <w:t>以及前有车辆或者视线有障碍时</w:t>
      </w:r>
      <w:r>
        <w:rPr>
          <w:rFonts w:hint="eastAsia" w:ascii="MS UI Gothic" w:eastAsia="MS UI Gothic"/>
          <w:w w:val="80"/>
        </w:rPr>
        <w:t xml:space="preserve">ꎬ </w:t>
      </w:r>
      <w:r>
        <w:t>必须减速慢行</w:t>
      </w:r>
      <w:r>
        <w:rPr>
          <w:rFonts w:hint="eastAsia" w:ascii="MS UI Gothic" w:eastAsia="MS UI Gothic"/>
          <w:w w:val="80"/>
        </w:rPr>
        <w:t xml:space="preserve">ꎬ </w:t>
      </w:r>
      <w:r>
        <w:t>并发出警号</w:t>
      </w:r>
      <w:r>
        <w:rPr>
          <w:rFonts w:hint="eastAsia" w:ascii="MS UI Gothic" w:eastAsia="MS UI Gothic"/>
          <w:w w:val="80"/>
        </w:rPr>
        <w:t>ꎮ</w:t>
      </w:r>
    </w:p>
    <w:p>
      <w:pPr>
        <w:pStyle w:val="6"/>
        <w:spacing w:line="295" w:lineRule="auto"/>
        <w:ind w:left="435" w:right="1" w:firstLine="425"/>
        <w:rPr>
          <w:rFonts w:hint="eastAsia" w:ascii="MS UI Gothic" w:eastAsia="MS UI Gothic"/>
        </w:rPr>
      </w:pPr>
      <w:r>
        <w:rPr>
          <w:rFonts w:hint="eastAsia" w:ascii="MS UI Gothic" w:eastAsia="MS UI Gothic"/>
          <w:spacing w:val="-30"/>
          <w:w w:val="140"/>
        </w:rPr>
        <w:t xml:space="preserve">( </w:t>
      </w:r>
      <w:r>
        <w:rPr>
          <w:spacing w:val="3"/>
        </w:rPr>
        <w:t>七</w:t>
      </w:r>
      <w:r>
        <w:rPr>
          <w:rFonts w:hint="eastAsia" w:ascii="MS UI Gothic" w:eastAsia="MS UI Gothic"/>
          <w:spacing w:val="30"/>
          <w:w w:val="140"/>
        </w:rPr>
        <w:t xml:space="preserve">) </w:t>
      </w:r>
      <w:r>
        <w:rPr>
          <w:rFonts w:hint="eastAsia" w:ascii="MS UI Gothic" w:eastAsia="MS UI Gothic"/>
          <w:spacing w:val="13"/>
          <w:w w:val="85"/>
        </w:rPr>
        <w:t xml:space="preserve">２ </w:t>
      </w:r>
      <w:r>
        <w:rPr>
          <w:spacing w:val="4"/>
        </w:rPr>
        <w:t xml:space="preserve">辆机车或者 </w:t>
      </w:r>
      <w:r>
        <w:rPr>
          <w:rFonts w:hint="eastAsia" w:ascii="MS UI Gothic" w:eastAsia="MS UI Gothic"/>
          <w:spacing w:val="16"/>
          <w:w w:val="85"/>
        </w:rPr>
        <w:t xml:space="preserve">２ </w:t>
      </w:r>
      <w:r>
        <w:rPr>
          <w:spacing w:val="8"/>
        </w:rPr>
        <w:t>列列车在同一</w:t>
      </w:r>
      <w:r>
        <w:rPr>
          <w:spacing w:val="12"/>
        </w:rPr>
        <w:t>轨道同一方向行驶时</w:t>
      </w:r>
      <w:r>
        <w:rPr>
          <w:rFonts w:hint="eastAsia" w:ascii="MS UI Gothic" w:eastAsia="MS UI Gothic"/>
          <w:spacing w:val="16"/>
          <w:w w:val="85"/>
        </w:rPr>
        <w:t xml:space="preserve">ꎬ </w:t>
      </w:r>
      <w:r>
        <w:rPr>
          <w:spacing w:val="16"/>
        </w:rPr>
        <w:t>必须保持不少于</w:t>
      </w:r>
      <w:r>
        <w:rPr>
          <w:rFonts w:hint="eastAsia" w:ascii="MS UI Gothic" w:eastAsia="MS UI Gothic"/>
          <w:spacing w:val="17"/>
          <w:w w:val="85"/>
        </w:rPr>
        <w:t xml:space="preserve">１００ </w:t>
      </w:r>
      <w:r>
        <w:rPr>
          <w:rFonts w:hint="eastAsia" w:ascii="MS UI Gothic" w:eastAsia="MS UI Gothic"/>
          <w:w w:val="85"/>
        </w:rPr>
        <w:t>ｍ</w:t>
      </w:r>
      <w:r>
        <w:rPr>
          <w:rFonts w:hint="eastAsia" w:ascii="MS UI Gothic" w:eastAsia="MS UI Gothic"/>
          <w:spacing w:val="19"/>
          <w:w w:val="85"/>
        </w:rPr>
        <w:t xml:space="preserve"> </w:t>
      </w:r>
      <w:r>
        <w:rPr>
          <w:spacing w:val="3"/>
        </w:rPr>
        <w:t>的距离</w:t>
      </w:r>
      <w:r>
        <w:rPr>
          <w:rFonts w:hint="eastAsia" w:asci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spacing w:val="-39"/>
          <w:w w:val="150"/>
        </w:rPr>
        <w:t xml:space="preserve">( </w:t>
      </w:r>
      <w:r>
        <w:rPr>
          <w:spacing w:val="3"/>
          <w:w w:val="105"/>
        </w:rPr>
        <w:t>八</w:t>
      </w:r>
      <w:r>
        <w:rPr>
          <w:rFonts w:hint="eastAsia" w:ascii="MS UI Gothic" w:eastAsia="MS UI Gothic"/>
          <w:spacing w:val="-4"/>
          <w:w w:val="150"/>
        </w:rPr>
        <w:t xml:space="preserve">) </w:t>
      </w:r>
      <w:r>
        <w:rPr>
          <w:spacing w:val="5"/>
          <w:w w:val="105"/>
        </w:rPr>
        <w:t>同一区段线路上</w:t>
      </w:r>
      <w:r>
        <w:rPr>
          <w:rFonts w:hint="eastAsia" w:ascii="MS UI Gothic" w:eastAsia="MS UI Gothic"/>
          <w:spacing w:val="13"/>
          <w:w w:val="80"/>
        </w:rPr>
        <w:t xml:space="preserve">ꎬ </w:t>
      </w:r>
      <w:r>
        <w:rPr>
          <w:spacing w:val="8"/>
          <w:w w:val="105"/>
        </w:rPr>
        <w:t>不得同时行</w:t>
      </w:r>
      <w:r>
        <w:rPr>
          <w:spacing w:val="3"/>
          <w:w w:val="105"/>
        </w:rPr>
        <w:t>驶非机动车辆</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必须有用矿灯发送紧急停车信</w:t>
      </w:r>
      <w:r>
        <w:t>号的规定</w:t>
      </w:r>
      <w:r>
        <w:rPr>
          <w:rFonts w:hint="eastAsia" w:ascii="MS UI Gothic" w:eastAsia="MS UI Gothic"/>
          <w:w w:val="80"/>
        </w:rPr>
        <w:t xml:space="preserve">ꎮ </w:t>
      </w:r>
      <w:r>
        <w:t>非危险情况下</w:t>
      </w:r>
      <w:r>
        <w:rPr>
          <w:rFonts w:hint="eastAsia" w:ascii="MS UI Gothic" w:eastAsia="MS UI Gothic"/>
          <w:w w:val="80"/>
        </w:rPr>
        <w:t xml:space="preserve">ꎬ </w:t>
      </w:r>
      <w:r>
        <w:t>任何人不得使</w:t>
      </w:r>
      <w:r>
        <w:rPr>
          <w:w w:val="105"/>
        </w:rPr>
        <w:t>用紧急停车信号</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十</w:t>
      </w:r>
      <w:r>
        <w:rPr>
          <w:rFonts w:hint="eastAsia" w:ascii="MS UI Gothic" w:eastAsia="MS UI Gothic"/>
          <w:w w:val="150"/>
        </w:rPr>
        <w:t xml:space="preserve">) </w:t>
      </w:r>
      <w:r>
        <w:t>机车司机开车前必须对机车进行安全检查确认</w:t>
      </w:r>
      <w:r>
        <w:rPr>
          <w:rFonts w:hint="eastAsia" w:ascii="MS UI Gothic" w:eastAsia="MS UI Gothic"/>
          <w:w w:val="80"/>
        </w:rPr>
        <w:t xml:space="preserve">ꎻ </w:t>
      </w:r>
      <w:r>
        <w:t>启动前</w:t>
      </w:r>
      <w:r>
        <w:rPr>
          <w:rFonts w:hint="eastAsia" w:ascii="MS UI Gothic" w:eastAsia="MS UI Gothic"/>
          <w:w w:val="80"/>
        </w:rPr>
        <w:t xml:space="preserve">ꎬ </w:t>
      </w:r>
      <w:r>
        <w:t>必须关闭车门并发出开车信号</w:t>
      </w:r>
      <w:r>
        <w:rPr>
          <w:rFonts w:hint="eastAsia" w:ascii="MS UI Gothic" w:eastAsia="MS UI Gothic"/>
          <w:w w:val="80"/>
        </w:rPr>
        <w:t xml:space="preserve">ꎻ </w:t>
      </w:r>
      <w:r>
        <w:t>机车运行中</w:t>
      </w:r>
      <w:r>
        <w:rPr>
          <w:rFonts w:hint="eastAsia" w:ascii="MS UI Gothic" w:eastAsia="MS UI Gothic"/>
          <w:w w:val="80"/>
        </w:rPr>
        <w:t xml:space="preserve">ꎬ </w:t>
      </w:r>
      <w:r>
        <w:t>严禁司机将头或者身体探出车外</w:t>
      </w:r>
      <w:r>
        <w:rPr>
          <w:rFonts w:hint="eastAsia" w:ascii="MS UI Gothic" w:eastAsia="MS UI Gothic"/>
          <w:w w:val="80"/>
        </w:rPr>
        <w:t xml:space="preserve">ꎻ </w:t>
      </w:r>
      <w:r>
        <w:t>司机离开座位时</w:t>
      </w:r>
      <w:r>
        <w:rPr>
          <w:rFonts w:hint="eastAsia" w:ascii="MS UI Gothic" w:eastAsia="MS UI Gothic"/>
          <w:w w:val="80"/>
        </w:rPr>
        <w:t xml:space="preserve">ꎬ </w:t>
      </w:r>
      <w:r>
        <w:t>必须切断电动机电源</w:t>
      </w:r>
      <w:r>
        <w:rPr>
          <w:rFonts w:hint="eastAsia" w:ascii="MS UI Gothic" w:eastAsia="MS UI Gothic"/>
          <w:w w:val="80"/>
        </w:rPr>
        <w:t xml:space="preserve">ꎬ </w:t>
      </w:r>
      <w:r>
        <w:t>取下控制手把</w:t>
      </w:r>
      <w:r>
        <w:rPr>
          <w:rFonts w:hint="eastAsia" w:ascii="MS UI Gothic" w:eastAsia="MS UI Gothic"/>
          <w:w w:val="150"/>
        </w:rPr>
        <w:t xml:space="preserve">( </w:t>
      </w:r>
      <w:r>
        <w:t>钥匙</w:t>
      </w:r>
      <w:r>
        <w:rPr>
          <w:rFonts w:hint="eastAsia" w:ascii="MS UI Gothic" w:eastAsia="MS UI Gothic"/>
          <w:w w:val="150"/>
        </w:rPr>
        <w:t xml:space="preserve">) </w:t>
      </w:r>
      <w:r>
        <w:rPr>
          <w:rFonts w:hint="eastAsia" w:ascii="MS UI Gothic" w:eastAsia="MS UI Gothic"/>
          <w:w w:val="80"/>
        </w:rPr>
        <w:t xml:space="preserve">ꎬ </w:t>
      </w:r>
      <w:r>
        <w:t>扳紧停车制动</w:t>
      </w:r>
      <w:r>
        <w:rPr>
          <w:rFonts w:hint="eastAsia" w:ascii="MS UI Gothic" w:eastAsia="MS UI Gothic"/>
          <w:w w:val="80"/>
        </w:rPr>
        <w:t xml:space="preserve">ꎮ </w:t>
      </w:r>
      <w:r>
        <w:t>在运输线路上临时停车时</w:t>
      </w:r>
      <w:r>
        <w:rPr>
          <w:rFonts w:hint="eastAsia" w:ascii="MS UI Gothic" w:eastAsia="MS UI Gothic"/>
          <w:w w:val="80"/>
        </w:rPr>
        <w:t xml:space="preserve">ꎬ </w:t>
      </w:r>
      <w:r>
        <w:t>不得关闭车灯</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45"/>
        </w:rPr>
        <w:t xml:space="preserve">( </w:t>
      </w:r>
      <w:r>
        <w:t>十一</w:t>
      </w:r>
      <w:r>
        <w:rPr>
          <w:rFonts w:hint="eastAsia" w:ascii="MS UI Gothic" w:eastAsia="MS UI Gothic"/>
          <w:w w:val="145"/>
        </w:rPr>
        <w:t xml:space="preserve">) </w:t>
      </w:r>
      <w:r>
        <w:t>新投用机车应当测定制动距离</w:t>
      </w:r>
      <w:r>
        <w:rPr>
          <w:rFonts w:hint="eastAsia" w:ascii="MS UI Gothic" w:eastAsia="MS UI Gothic"/>
          <w:w w:val="80"/>
        </w:rPr>
        <w:t xml:space="preserve">ꎬ </w:t>
      </w:r>
      <w:r>
        <w:t xml:space="preserve">之后每年测定 </w:t>
      </w:r>
      <w:r>
        <w:rPr>
          <w:rFonts w:hint="eastAsia" w:ascii="MS UI Gothic" w:eastAsia="MS UI Gothic"/>
          <w:w w:val="80"/>
        </w:rPr>
        <w:t xml:space="preserve">１ </w:t>
      </w:r>
      <w:r>
        <w:t>次</w:t>
      </w:r>
      <w:r>
        <w:rPr>
          <w:rFonts w:hint="eastAsia" w:ascii="MS UI Gothic" w:eastAsia="MS UI Gothic"/>
          <w:w w:val="80"/>
        </w:rPr>
        <w:t xml:space="preserve">ꎮ </w:t>
      </w:r>
      <w:r>
        <w:t xml:space="preserve">运送物料时制动距离不得超过 </w:t>
      </w:r>
      <w:r>
        <w:rPr>
          <w:rFonts w:hint="eastAsia" w:ascii="MS UI Gothic" w:eastAsia="MS UI Gothic"/>
          <w:w w:val="80"/>
        </w:rPr>
        <w:t xml:space="preserve">４０ ｍꎻ </w:t>
      </w:r>
      <w:r>
        <w:t xml:space="preserve">运送人员时制动距离不得超过 </w:t>
      </w:r>
      <w:r>
        <w:rPr>
          <w:rFonts w:hint="eastAsia" w:ascii="MS UI Gothic" w:eastAsia="MS UI Gothic"/>
          <w:w w:val="80"/>
        </w:rPr>
        <w:t>２０ ｍꎮ</w:t>
      </w:r>
    </w:p>
    <w:p>
      <w:pPr>
        <w:pStyle w:val="6"/>
        <w:tabs>
          <w:tab w:val="left" w:pos="2477"/>
        </w:tabs>
        <w:spacing w:before="124" w:line="295" w:lineRule="auto"/>
        <w:ind w:left="381" w:right="126"/>
        <w:jc w:val="left"/>
        <w:rPr>
          <w:rFonts w:hint="eastAsia" w:ascii="MS UI Gothic" w:eastAsia="MS UI Gothic"/>
        </w:rPr>
      </w:pPr>
      <w:r>
        <w:br w:type="column"/>
      </w:r>
      <w:r>
        <w:rPr>
          <w:spacing w:val="3"/>
          <w:w w:val="105"/>
        </w:rPr>
        <w:t>第三百七十八</w:t>
      </w:r>
      <w:r>
        <w:rPr>
          <w:w w:val="105"/>
        </w:rPr>
        <w:t>条</w:t>
      </w:r>
      <w:r>
        <w:rPr>
          <w:w w:val="105"/>
        </w:rPr>
        <w:tab/>
      </w:r>
      <w:r>
        <w:rPr>
          <w:spacing w:val="3"/>
        </w:rPr>
        <w:t>使用的矿用防爆</w:t>
      </w:r>
      <w:r>
        <w:rPr>
          <w:spacing w:val="-12"/>
        </w:rPr>
        <w:t>型</w:t>
      </w:r>
      <w:r>
        <w:rPr>
          <w:spacing w:val="3"/>
          <w:w w:val="110"/>
        </w:rPr>
        <w:t>柴油动力装置</w:t>
      </w:r>
      <w:r>
        <w:rPr>
          <w:rFonts w:hint="eastAsia" w:ascii="MS UI Gothic" w:eastAsia="MS UI Gothic"/>
          <w:w w:val="80"/>
        </w:rPr>
        <w:t>ꎬ</w:t>
      </w:r>
      <w:r>
        <w:rPr>
          <w:rFonts w:hint="eastAsia" w:ascii="MS UI Gothic" w:eastAsia="MS UI Gothic"/>
          <w:spacing w:val="28"/>
          <w:w w:val="80"/>
        </w:rPr>
        <w:t xml:space="preserve"> </w:t>
      </w:r>
      <w:r>
        <w:rPr>
          <w:spacing w:val="3"/>
          <w:w w:val="110"/>
        </w:rPr>
        <w:t>应满足以下要求</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具有发动机排气超温</w:t>
      </w:r>
      <w:r>
        <w:rPr>
          <w:rFonts w:hint="eastAsia" w:ascii="MS UI Gothic" w:eastAsia="MS UI Gothic"/>
          <w:w w:val="80"/>
        </w:rPr>
        <w:t xml:space="preserve">、  </w:t>
      </w:r>
      <w:r>
        <w:rPr>
          <w:w w:val="105"/>
        </w:rPr>
        <w:t>冷却水超温</w:t>
      </w:r>
      <w:r>
        <w:rPr>
          <w:rFonts w:hint="eastAsia" w:ascii="MS UI Gothic" w:eastAsia="MS UI Gothic"/>
          <w:w w:val="80"/>
        </w:rPr>
        <w:t xml:space="preserve">、 </w:t>
      </w:r>
      <w:r>
        <w:rPr>
          <w:w w:val="105"/>
        </w:rPr>
        <w:t>尾气水箱水位</w:t>
      </w:r>
      <w:r>
        <w:rPr>
          <w:rFonts w:hint="eastAsia" w:ascii="MS UI Gothic" w:eastAsia="MS UI Gothic"/>
          <w:w w:val="80"/>
        </w:rPr>
        <w:t xml:space="preserve">、 </w:t>
      </w:r>
      <w:r>
        <w:rPr>
          <w:w w:val="105"/>
        </w:rPr>
        <w:t>润滑油压力等保护装置</w:t>
      </w:r>
      <w:r>
        <w:rPr>
          <w:rFonts w:hint="eastAsia" w:ascii="MS UI Gothic" w:eastAsia="MS UI Gothic"/>
          <w:w w:val="80"/>
        </w:rPr>
        <w:t>ꎮ</w:t>
      </w:r>
    </w:p>
    <w:p>
      <w:pPr>
        <w:pStyle w:val="6"/>
        <w:spacing w:line="254" w:lineRule="exact"/>
        <w:ind w:left="800" w:firstLine="0"/>
        <w:rPr>
          <w:rFonts w:hint="eastAsia" w:ascii="MS UI Gothic" w:eastAsia="MS UI Gothic"/>
        </w:rPr>
      </w:pPr>
      <w:r>
        <w:pict>
          <v:shape id="_x0000_s1909" o:spid="_x0000_s1909" o:spt="202" type="#_x0000_t202" style="position:absolute;left:0pt;margin-left:280.6pt;margin-top:11.85pt;height:24.35pt;width:15.65pt;mso-position-horizontal-relative:page;z-index:-27574886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hAnsi="MS UI Gothic" w:eastAsia="MS UI Gothic"/>
                    </w:rPr>
                  </w:pPr>
                  <w:r>
                    <w:rPr>
                      <w:rFonts w:hint="eastAsia" w:ascii="MS UI Gothic" w:hAnsi="MS UI Gothic" w:eastAsia="MS UI Gothic"/>
                      <w:spacing w:val="-16"/>
                      <w:w w:val="75"/>
                    </w:rPr>
                    <w:t>℃ ꎬ</w:t>
                  </w:r>
                </w:p>
              </w:txbxContent>
            </v:textbox>
          </v:shape>
        </w:pict>
      </w:r>
      <w:r>
        <w:rPr>
          <w:rFonts w:hint="eastAsia" w:ascii="MS UI Gothic" w:eastAsia="MS UI Gothic"/>
          <w:spacing w:val="19"/>
          <w:w w:val="145"/>
        </w:rPr>
        <w:t>(</w:t>
      </w:r>
      <w:r>
        <w:rPr>
          <w:spacing w:val="3"/>
          <w:w w:val="110"/>
        </w:rPr>
        <w:t>二</w:t>
      </w:r>
      <w:r>
        <w:rPr>
          <w:rFonts w:hint="eastAsia" w:ascii="MS UI Gothic" w:eastAsia="MS UI Gothic"/>
          <w:spacing w:val="-22"/>
          <w:w w:val="145"/>
        </w:rPr>
        <w:t xml:space="preserve">) </w:t>
      </w:r>
      <w:r>
        <w:rPr>
          <w:spacing w:val="-6"/>
          <w:w w:val="110"/>
        </w:rPr>
        <w:t xml:space="preserve">排气口的排气温度不得超过 </w:t>
      </w:r>
      <w:r>
        <w:rPr>
          <w:rFonts w:hint="eastAsia" w:ascii="MS UI Gothic" w:eastAsia="MS UI Gothic"/>
          <w:w w:val="95"/>
        </w:rPr>
        <w:t>７７</w:t>
      </w:r>
    </w:p>
    <w:p>
      <w:pPr>
        <w:pStyle w:val="6"/>
        <w:spacing w:before="57"/>
        <w:ind w:left="800" w:firstLine="0"/>
        <w:rPr>
          <w:rFonts w:hint="eastAsia" w:ascii="MS UI Gothic" w:hAnsi="MS UI Gothic" w:eastAsia="MS UI Gothic"/>
        </w:rPr>
      </w:pPr>
      <w:r>
        <w:rPr>
          <w:w w:val="95"/>
        </w:rPr>
        <w:t xml:space="preserve">其表面温度不得超过 </w:t>
      </w:r>
      <w:r>
        <w:rPr>
          <w:rFonts w:hint="eastAsia" w:ascii="MS UI Gothic" w:hAnsi="MS UI Gothic" w:eastAsia="MS UI Gothic"/>
          <w:w w:val="95"/>
        </w:rPr>
        <w:t xml:space="preserve">１５０ ℃ </w:t>
      </w:r>
      <w:r>
        <w:rPr>
          <w:rFonts w:hint="eastAsia" w:ascii="MS UI Gothic" w:hAnsi="MS UI Gothic" w:eastAsia="MS UI Gothic"/>
          <w:w w:val="90"/>
        </w:rPr>
        <w:t>ꎮ</w:t>
      </w:r>
    </w:p>
    <w:p>
      <w:pPr>
        <w:pStyle w:val="6"/>
        <w:spacing w:before="58" w:line="295" w:lineRule="auto"/>
        <w:ind w:left="381" w:right="126"/>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发动机壳体不得采用铝合金制造</w:t>
      </w:r>
      <w:r>
        <w:rPr>
          <w:rFonts w:hint="eastAsia" w:ascii="MS UI Gothic" w:eastAsia="MS UI Gothic"/>
          <w:w w:val="80"/>
        </w:rPr>
        <w:t xml:space="preserve">ꎻ </w:t>
      </w:r>
      <w:r>
        <w:t>非金属部件应具有阻燃和抗静电性能</w:t>
      </w:r>
      <w:r>
        <w:rPr>
          <w:rFonts w:hint="eastAsia" w:ascii="MS UI Gothic" w:eastAsia="MS UI Gothic"/>
          <w:w w:val="80"/>
        </w:rPr>
        <w:t xml:space="preserve">ꎻ </w:t>
      </w:r>
      <w:r>
        <w:t>油箱及管路必须采用不燃性材料制造</w:t>
      </w:r>
      <w:r>
        <w:rPr>
          <w:rFonts w:hint="eastAsia" w:ascii="MS UI Gothic" w:eastAsia="MS UI Gothic"/>
          <w:w w:val="80"/>
        </w:rPr>
        <w:t xml:space="preserve">ꎻ </w:t>
      </w:r>
      <w:r>
        <w:t xml:space="preserve">油箱最大容量不得超过 </w:t>
      </w:r>
      <w:r>
        <w:rPr>
          <w:rFonts w:hint="eastAsia" w:ascii="MS UI Gothic" w:eastAsia="MS UI Gothic"/>
          <w:w w:val="80"/>
        </w:rPr>
        <w:t xml:space="preserve">８ </w:t>
      </w:r>
      <w:r>
        <w:rPr>
          <w:rFonts w:hint="eastAsia" w:ascii="MS UI Gothic" w:eastAsia="MS UI Gothic"/>
        </w:rPr>
        <w:t xml:space="preserve">ｈ </w:t>
      </w:r>
      <w:r>
        <w:t>用油量</w:t>
      </w:r>
      <w:r>
        <w:rPr>
          <w:rFonts w:hint="eastAsia" w:ascii="MS UI Gothic" w:eastAsia="MS UI Gothic"/>
          <w:w w:val="80"/>
        </w:rPr>
        <w:t>ꎮ</w:t>
      </w:r>
    </w:p>
    <w:p>
      <w:pPr>
        <w:pStyle w:val="6"/>
        <w:spacing w:line="253" w:lineRule="exact"/>
        <w:ind w:left="800" w:firstLine="0"/>
        <w:rPr>
          <w:rFonts w:hint="eastAsia" w:ascii="MS UI Gothic" w:hAnsi="MS UI Gothic" w:eastAsia="MS UI Gothic"/>
        </w:rPr>
      </w:pPr>
      <w:r>
        <w:rPr>
          <w:rFonts w:hint="eastAsia" w:ascii="MS UI Gothic" w:hAnsi="MS UI Gothic" w:eastAsia="MS UI Gothic"/>
          <w:w w:val="145"/>
        </w:rPr>
        <w:t xml:space="preserve">( </w:t>
      </w:r>
      <w:r>
        <w:rPr>
          <w:w w:val="105"/>
        </w:rPr>
        <w:t>四</w:t>
      </w:r>
      <w:r>
        <w:rPr>
          <w:rFonts w:hint="eastAsia" w:ascii="MS UI Gothic" w:hAnsi="MS UI Gothic" w:eastAsia="MS UI Gothic"/>
          <w:w w:val="145"/>
        </w:rPr>
        <w:t xml:space="preserve">) </w:t>
      </w:r>
      <w:r>
        <w:rPr>
          <w:w w:val="105"/>
        </w:rPr>
        <w:t xml:space="preserve">冷却水温度不得超过 </w:t>
      </w:r>
      <w:r>
        <w:rPr>
          <w:rFonts w:hint="eastAsia" w:ascii="MS UI Gothic" w:hAnsi="MS UI Gothic" w:eastAsia="MS UI Gothic"/>
          <w:w w:val="95"/>
        </w:rPr>
        <w:t xml:space="preserve">９５ ℃ </w:t>
      </w:r>
      <w:r>
        <w:rPr>
          <w:rFonts w:hint="eastAsia" w:ascii="MS UI Gothic" w:hAnsi="MS UI Gothic" w:eastAsia="MS UI Gothic"/>
          <w:w w:val="85"/>
        </w:rPr>
        <w:t>ꎮ</w:t>
      </w:r>
    </w:p>
    <w:p>
      <w:pPr>
        <w:pStyle w:val="6"/>
        <w:spacing w:before="58"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在正常运行条件下</w:t>
      </w:r>
      <w:r>
        <w:rPr>
          <w:rFonts w:hint="eastAsia" w:ascii="MS UI Gothic" w:eastAsia="MS UI Gothic"/>
          <w:w w:val="80"/>
        </w:rPr>
        <w:t xml:space="preserve">ꎬ </w:t>
      </w:r>
      <w:r>
        <w:rPr>
          <w:w w:val="105"/>
        </w:rPr>
        <w:t>尾气排放应满足相关规定</w:t>
      </w:r>
      <w:r>
        <w:rPr>
          <w:rFonts w:hint="eastAsia" w:ascii="MS UI Gothic" w:eastAsia="MS UI Gothic"/>
          <w:w w:val="80"/>
        </w:rPr>
        <w:t>ꎮ</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必须配备灭火器</w:t>
      </w:r>
      <w:r>
        <w:rPr>
          <w:rFonts w:hint="eastAsia" w:ascii="MS UI Gothic" w:eastAsia="MS UI Gothic"/>
          <w:w w:val="80"/>
        </w:rPr>
        <w:t>ꎮ</w:t>
      </w:r>
    </w:p>
    <w:p>
      <w:pPr>
        <w:pStyle w:val="6"/>
        <w:tabs>
          <w:tab w:val="left" w:pos="2477"/>
        </w:tabs>
        <w:spacing w:before="58" w:line="295" w:lineRule="auto"/>
        <w:ind w:left="381" w:right="126"/>
        <w:jc w:val="left"/>
        <w:rPr>
          <w:rFonts w:hint="eastAsia" w:ascii="MS UI Gothic" w:eastAsia="MS UI Gothic"/>
        </w:rPr>
      </w:pPr>
      <w:r>
        <w:rPr>
          <w:spacing w:val="3"/>
          <w:w w:val="105"/>
        </w:rPr>
        <w:t>第三百七十九</w:t>
      </w:r>
      <w:r>
        <w:rPr>
          <w:w w:val="105"/>
        </w:rPr>
        <w:t>条</w:t>
      </w:r>
      <w:r>
        <w:rPr>
          <w:w w:val="105"/>
        </w:rPr>
        <w:tab/>
      </w:r>
      <w:r>
        <w:rPr>
          <w:spacing w:val="3"/>
        </w:rPr>
        <w:t>使用的蓄电池动</w:t>
      </w:r>
      <w:r>
        <w:rPr>
          <w:spacing w:val="-12"/>
        </w:rPr>
        <w:t>力</w:t>
      </w:r>
      <w:r>
        <w:rPr>
          <w:spacing w:val="3"/>
          <w:w w:val="110"/>
        </w:rPr>
        <w:t>装置</w:t>
      </w:r>
      <w:r>
        <w:rPr>
          <w:rFonts w:hint="eastAsia" w:ascii="MS UI Gothic" w:eastAsia="MS UI Gothic"/>
          <w:w w:val="80"/>
        </w:rPr>
        <w:t>ꎬ</w:t>
      </w:r>
      <w:r>
        <w:rPr>
          <w:rFonts w:hint="eastAsia" w:ascii="MS UI Gothic" w:eastAsia="MS UI Gothic"/>
          <w:spacing w:val="43"/>
          <w:w w:val="80"/>
        </w:rPr>
        <w:t xml:space="preserve"> </w:t>
      </w:r>
      <w:r>
        <w:rPr>
          <w:spacing w:val="3"/>
          <w:w w:val="110"/>
        </w:rPr>
        <w:t>必须符合下列要求</w:t>
      </w:r>
      <w:r>
        <w:rPr>
          <w:rFonts w:hint="eastAsia" w:ascii="MS UI Gothic" w:eastAsia="MS UI Gothic"/>
          <w:w w:val="235"/>
        </w:rPr>
        <w:t>:</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充电必须在充电硐室内进行</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充电硐室内的电气设备必须采</w:t>
      </w:r>
      <w:r>
        <w:rPr>
          <w:w w:val="110"/>
        </w:rPr>
        <w:t>用矿用防爆型</w:t>
      </w:r>
      <w:r>
        <w:rPr>
          <w:rFonts w:hint="eastAsia" w:ascii="MS UI Gothic" w:eastAsia="MS UI Gothic"/>
          <w:w w:val="80"/>
        </w:rPr>
        <w:t>ꎮ</w:t>
      </w:r>
    </w:p>
    <w:p>
      <w:pPr>
        <w:pStyle w:val="6"/>
        <w:tabs>
          <w:tab w:val="left" w:pos="1848"/>
        </w:tabs>
        <w:spacing w:line="295" w:lineRule="auto"/>
        <w:ind w:left="381" w:right="126"/>
        <w:jc w:val="right"/>
      </w:pPr>
      <w:r>
        <w:rPr>
          <w:rFonts w:hint="eastAsia" w:ascii="MS UI Gothic" w:eastAsia="MS UI Gothic"/>
          <w:w w:val="140"/>
        </w:rPr>
        <w:t>(</w:t>
      </w:r>
      <w:r>
        <w:rPr>
          <w:rFonts w:hint="eastAsia" w:ascii="MS UI Gothic" w:eastAsia="MS UI Gothic"/>
          <w:spacing w:val="-61"/>
          <w:w w:val="140"/>
        </w:rPr>
        <w:t xml:space="preserve"> </w:t>
      </w:r>
      <w:r>
        <w:rPr>
          <w:spacing w:val="3"/>
        </w:rPr>
        <w:t>三</w:t>
      </w:r>
      <w:r>
        <w:rPr>
          <w:rFonts w:hint="eastAsia" w:ascii="MS UI Gothic" w:eastAsia="MS UI Gothic"/>
          <w:w w:val="140"/>
        </w:rPr>
        <w:t>)</w:t>
      </w:r>
      <w:r>
        <w:rPr>
          <w:rFonts w:hint="eastAsia" w:ascii="MS UI Gothic" w:eastAsia="MS UI Gothic"/>
          <w:spacing w:val="61"/>
          <w:w w:val="140"/>
        </w:rPr>
        <w:t xml:space="preserve"> </w:t>
      </w:r>
      <w:r>
        <w:rPr>
          <w:spacing w:val="3"/>
        </w:rPr>
        <w:t>检</w:t>
      </w:r>
      <w:r>
        <w:rPr>
          <w:spacing w:val="7"/>
        </w:rPr>
        <w:t>修</w:t>
      </w:r>
      <w:r>
        <w:rPr>
          <w:spacing w:val="9"/>
        </w:rPr>
        <w:t>应当在</w:t>
      </w:r>
      <w:r>
        <w:rPr>
          <w:spacing w:val="11"/>
        </w:rPr>
        <w:t>车库内进</w:t>
      </w:r>
      <w:r>
        <w:rPr>
          <w:spacing w:val="3"/>
        </w:rPr>
        <w:t>行</w:t>
      </w:r>
      <w:r>
        <w:rPr>
          <w:rFonts w:hint="eastAsia" w:ascii="MS UI Gothic" w:eastAsia="MS UI Gothic"/>
          <w:w w:val="85"/>
        </w:rPr>
        <w:t>ꎬ</w:t>
      </w:r>
      <w:r>
        <w:rPr>
          <w:rFonts w:hint="eastAsia" w:ascii="MS UI Gothic" w:eastAsia="MS UI Gothic"/>
          <w:spacing w:val="26"/>
          <w:w w:val="85"/>
        </w:rPr>
        <w:t xml:space="preserve"> </w:t>
      </w:r>
      <w:r>
        <w:rPr>
          <w:spacing w:val="11"/>
        </w:rPr>
        <w:t>测</w:t>
      </w:r>
      <w:r>
        <w:t>定</w:t>
      </w:r>
      <w:r>
        <w:rPr>
          <w:spacing w:val="3"/>
        </w:rPr>
        <w:t>电压时必须在揭开电池</w:t>
      </w:r>
      <w:r>
        <w:t>盖</w:t>
      </w:r>
      <w:r>
        <w:rPr>
          <w:spacing w:val="-81"/>
        </w:rPr>
        <w:t xml:space="preserve"> </w:t>
      </w:r>
      <w:r>
        <w:rPr>
          <w:rFonts w:hint="eastAsia" w:ascii="MS UI Gothic" w:eastAsia="MS UI Gothic"/>
        </w:rPr>
        <w:t>１０</w:t>
      </w:r>
      <w:r>
        <w:rPr>
          <w:rFonts w:hint="eastAsia" w:ascii="MS UI Gothic" w:eastAsia="MS UI Gothic"/>
          <w:spacing w:val="-31"/>
        </w:rPr>
        <w:t xml:space="preserve"> </w:t>
      </w:r>
      <w:r>
        <w:rPr>
          <w:rFonts w:hint="eastAsia" w:ascii="MS UI Gothic" w:eastAsia="MS UI Gothic"/>
        </w:rPr>
        <w:t>ｍｉｎ</w:t>
      </w:r>
      <w:r>
        <w:rPr>
          <w:rFonts w:hint="eastAsia" w:ascii="MS UI Gothic" w:eastAsia="MS UI Gothic"/>
          <w:spacing w:val="-38"/>
        </w:rPr>
        <w:t xml:space="preserve"> </w:t>
      </w:r>
      <w:r>
        <w:rPr>
          <w:spacing w:val="3"/>
        </w:rPr>
        <w:t>后测试</w:t>
      </w:r>
      <w:r>
        <w:rPr>
          <w:rFonts w:hint="eastAsia" w:ascii="MS UI Gothic" w:eastAsia="MS UI Gothic"/>
          <w:w w:val="85"/>
        </w:rPr>
        <w:t>ꎮ</w:t>
      </w:r>
      <w:r>
        <w:rPr>
          <w:spacing w:val="3"/>
        </w:rPr>
        <w:t>第三百八十</w:t>
      </w:r>
      <w:r>
        <w:t>条</w:t>
      </w:r>
      <w:r>
        <w:tab/>
      </w:r>
      <w:r>
        <w:rPr>
          <w:spacing w:val="3"/>
        </w:rPr>
        <w:t>轨道线路应当符合</w:t>
      </w:r>
      <w:r>
        <w:t>下</w:t>
      </w:r>
    </w:p>
    <w:p>
      <w:pPr>
        <w:pStyle w:val="6"/>
        <w:spacing w:line="254" w:lineRule="exact"/>
        <w:ind w:left="381" w:firstLine="0"/>
        <w:jc w:val="left"/>
        <w:rPr>
          <w:rFonts w:hint="eastAsia" w:ascii="MS UI Gothic" w:eastAsia="MS UI Gothic"/>
        </w:rPr>
      </w:pPr>
      <w:r>
        <w:rPr>
          <w:w w:val="115"/>
        </w:rPr>
        <w:t>列要求</w:t>
      </w:r>
      <w:r>
        <w:rPr>
          <w:rFonts w:hint="eastAsia" w:ascii="MS UI Gothic" w:eastAsia="MS UI Gothic"/>
          <w:w w:val="235"/>
        </w:rPr>
        <w:t>:</w:t>
      </w:r>
    </w:p>
    <w:p>
      <w:pPr>
        <w:pStyle w:val="6"/>
        <w:spacing w:before="57" w:line="295" w:lineRule="auto"/>
        <w:ind w:left="381" w:right="126"/>
        <w:rPr>
          <w:rFonts w:hint="eastAsia" w:ascii="MS UI Gothic" w:eastAsia="MS UI Gothic"/>
        </w:rPr>
      </w:pPr>
      <w:r>
        <w:rPr>
          <w:rFonts w:hint="eastAsia" w:ascii="MS UI Gothic" w:eastAsia="MS UI Gothic"/>
          <w:spacing w:val="-33"/>
          <w:w w:val="140"/>
        </w:rPr>
        <w:t xml:space="preserve">( </w:t>
      </w:r>
      <w:r>
        <w:rPr>
          <w:spacing w:val="3"/>
        </w:rPr>
        <w:t>一</w:t>
      </w:r>
      <w:r>
        <w:rPr>
          <w:rFonts w:hint="eastAsia" w:ascii="MS UI Gothic" w:eastAsia="MS UI Gothic"/>
          <w:spacing w:val="18"/>
          <w:w w:val="140"/>
        </w:rPr>
        <w:t xml:space="preserve">) </w:t>
      </w:r>
      <w:r>
        <w:rPr>
          <w:spacing w:val="-17"/>
        </w:rPr>
        <w:t xml:space="preserve">运行 </w:t>
      </w:r>
      <w:r>
        <w:rPr>
          <w:rFonts w:hint="eastAsia" w:ascii="MS UI Gothic" w:eastAsia="MS UI Gothic"/>
          <w:spacing w:val="6"/>
        </w:rPr>
        <w:t xml:space="preserve">７ </w:t>
      </w:r>
      <w:r>
        <w:rPr>
          <w:rFonts w:hint="eastAsia" w:ascii="MS UI Gothic" w:eastAsia="MS UI Gothic"/>
        </w:rPr>
        <w:t>ｔ</w:t>
      </w:r>
      <w:r>
        <w:rPr>
          <w:rFonts w:hint="eastAsia" w:ascii="MS UI Gothic" w:eastAsia="MS UI Gothic"/>
          <w:spacing w:val="2"/>
        </w:rPr>
        <w:t xml:space="preserve"> </w:t>
      </w:r>
      <w:r>
        <w:rPr>
          <w:spacing w:val="7"/>
        </w:rPr>
        <w:t>及以上机车</w:t>
      </w:r>
      <w:r>
        <w:rPr>
          <w:rFonts w:hint="eastAsia" w:ascii="MS UI Gothic" w:eastAsia="MS UI Gothic"/>
          <w:spacing w:val="15"/>
        </w:rPr>
        <w:t xml:space="preserve">、 ３ </w:t>
      </w:r>
      <w:r>
        <w:rPr>
          <w:rFonts w:hint="eastAsia" w:ascii="MS UI Gothic" w:eastAsia="MS UI Gothic"/>
        </w:rPr>
        <w:t>ｔ</w:t>
      </w:r>
      <w:r>
        <w:rPr>
          <w:rFonts w:hint="eastAsia" w:ascii="MS UI Gothic" w:eastAsia="MS UI Gothic"/>
          <w:spacing w:val="3"/>
        </w:rPr>
        <w:t xml:space="preserve"> </w:t>
      </w:r>
      <w:r>
        <w:rPr>
          <w:spacing w:val="5"/>
        </w:rPr>
        <w:t>及以</w:t>
      </w:r>
      <w:r>
        <w:rPr>
          <w:spacing w:val="3"/>
        </w:rPr>
        <w:t>上矿车</w:t>
      </w:r>
      <w:r>
        <w:rPr>
          <w:rFonts w:hint="eastAsia" w:ascii="MS UI Gothic" w:eastAsia="MS UI Gothic"/>
          <w:spacing w:val="10"/>
          <w:w w:val="70"/>
        </w:rPr>
        <w:t xml:space="preserve">ꎬ </w:t>
      </w:r>
      <w:r>
        <w:rPr>
          <w:spacing w:val="7"/>
        </w:rPr>
        <w:t xml:space="preserve">或者运送 </w:t>
      </w:r>
      <w:r>
        <w:rPr>
          <w:rFonts w:hint="eastAsia" w:ascii="MS UI Gothic" w:eastAsia="MS UI Gothic"/>
        </w:rPr>
        <w:t>１５ｔ</w:t>
      </w:r>
      <w:r>
        <w:rPr>
          <w:rFonts w:hint="eastAsia" w:ascii="MS UI Gothic" w:eastAsia="MS UI Gothic"/>
          <w:spacing w:val="29"/>
        </w:rPr>
        <w:t xml:space="preserve"> </w:t>
      </w:r>
      <w:r>
        <w:rPr>
          <w:spacing w:val="19"/>
        </w:rPr>
        <w:t>及以上载荷的矿</w:t>
      </w:r>
      <w:r>
        <w:rPr>
          <w:spacing w:val="3"/>
        </w:rPr>
        <w:t>井</w:t>
      </w:r>
      <w:r>
        <w:rPr>
          <w:rFonts w:hint="eastAsia" w:ascii="MS UI Gothic" w:eastAsia="MS UI Gothic"/>
          <w:spacing w:val="27"/>
        </w:rPr>
        <w:t xml:space="preserve">、 </w:t>
      </w:r>
      <w:r>
        <w:rPr>
          <w:spacing w:val="3"/>
        </w:rPr>
        <w:t>采区主要巷道轨道线路</w:t>
      </w:r>
      <w:r>
        <w:rPr>
          <w:rFonts w:hint="eastAsia" w:ascii="MS UI Gothic" w:eastAsia="MS UI Gothic"/>
          <w:spacing w:val="16"/>
          <w:w w:val="70"/>
        </w:rPr>
        <w:t xml:space="preserve">ꎬ </w:t>
      </w:r>
      <w:r>
        <w:rPr>
          <w:spacing w:val="2"/>
        </w:rPr>
        <w:t>应当使用不</w:t>
      </w:r>
      <w:r>
        <w:rPr>
          <w:spacing w:val="-24"/>
        </w:rPr>
        <w:t xml:space="preserve">小于 </w:t>
      </w:r>
      <w:r>
        <w:rPr>
          <w:rFonts w:hint="eastAsia" w:ascii="MS UI Gothic" w:eastAsia="MS UI Gothic"/>
          <w:spacing w:val="-6"/>
        </w:rPr>
        <w:t xml:space="preserve">３０ </w:t>
      </w:r>
      <w:r>
        <w:rPr>
          <w:rFonts w:hint="eastAsia" w:ascii="MS UI Gothic" w:eastAsia="MS UI Gothic"/>
        </w:rPr>
        <w:t>ｋｇ</w:t>
      </w:r>
      <w:r>
        <w:rPr>
          <w:rFonts w:hint="eastAsia" w:ascii="MS UI Gothic" w:eastAsia="MS UI Gothic"/>
          <w:spacing w:val="-41"/>
        </w:rPr>
        <w:t xml:space="preserve"> </w:t>
      </w:r>
      <w:r>
        <w:rPr>
          <w:rFonts w:hint="eastAsia" w:ascii="MS UI Gothic" w:eastAsia="MS UI Gothic"/>
          <w:w w:val="70"/>
        </w:rPr>
        <w:t>/</w:t>
      </w:r>
      <w:r>
        <w:rPr>
          <w:rFonts w:hint="eastAsia" w:ascii="MS UI Gothic" w:eastAsia="MS UI Gothic"/>
          <w:spacing w:val="-15"/>
          <w:w w:val="70"/>
        </w:rPr>
        <w:t xml:space="preserve"> </w:t>
      </w:r>
      <w:r>
        <w:rPr>
          <w:rFonts w:hint="eastAsia" w:ascii="MS UI Gothic" w:eastAsia="MS UI Gothic"/>
        </w:rPr>
        <w:t>ｍ</w:t>
      </w:r>
      <w:r>
        <w:rPr>
          <w:rFonts w:hint="eastAsia" w:ascii="MS UI Gothic" w:eastAsia="MS UI Gothic"/>
          <w:spacing w:val="-18"/>
        </w:rPr>
        <w:t xml:space="preserve"> </w:t>
      </w:r>
      <w:r>
        <w:rPr>
          <w:spacing w:val="3"/>
        </w:rPr>
        <w:t>的钢轨</w:t>
      </w:r>
      <w:r>
        <w:rPr>
          <w:rFonts w:hint="eastAsia" w:ascii="MS UI Gothic" w:eastAsia="MS UI Gothic"/>
          <w:spacing w:val="11"/>
          <w:w w:val="70"/>
        </w:rPr>
        <w:t xml:space="preserve">ꎻ </w:t>
      </w:r>
      <w:r>
        <w:rPr>
          <w:spacing w:val="2"/>
        </w:rPr>
        <w:t>其他线路应当使用</w:t>
      </w:r>
      <w:r>
        <w:rPr>
          <w:spacing w:val="-14"/>
        </w:rPr>
        <w:t xml:space="preserve">不小于 </w:t>
      </w:r>
      <w:r>
        <w:rPr>
          <w:rFonts w:hint="eastAsia" w:ascii="MS UI Gothic" w:eastAsia="MS UI Gothic"/>
          <w:spacing w:val="2"/>
        </w:rPr>
        <w:t xml:space="preserve">１８ </w:t>
      </w:r>
      <w:r>
        <w:rPr>
          <w:rFonts w:hint="eastAsia" w:ascii="MS UI Gothic" w:eastAsia="MS UI Gothic"/>
        </w:rPr>
        <w:t>ｋｇ</w:t>
      </w:r>
      <w:r>
        <w:rPr>
          <w:rFonts w:hint="eastAsia" w:ascii="MS UI Gothic" w:eastAsia="MS UI Gothic"/>
          <w:spacing w:val="-33"/>
        </w:rPr>
        <w:t xml:space="preserve"> </w:t>
      </w:r>
      <w:r>
        <w:rPr>
          <w:rFonts w:hint="eastAsia" w:ascii="MS UI Gothic" w:eastAsia="MS UI Gothic"/>
          <w:w w:val="70"/>
        </w:rPr>
        <w:t>/</w:t>
      </w:r>
      <w:r>
        <w:rPr>
          <w:rFonts w:hint="eastAsia" w:ascii="MS UI Gothic" w:eastAsia="MS UI Gothic"/>
          <w:spacing w:val="-2"/>
          <w:w w:val="70"/>
        </w:rPr>
        <w:t xml:space="preserve"> </w:t>
      </w:r>
      <w:r>
        <w:rPr>
          <w:rFonts w:hint="eastAsia" w:ascii="MS UI Gothic" w:eastAsia="MS UI Gothic"/>
        </w:rPr>
        <w:t>ｍ</w:t>
      </w:r>
      <w:r>
        <w:rPr>
          <w:rFonts w:hint="eastAsia" w:ascii="MS UI Gothic" w:eastAsia="MS UI Gothic"/>
          <w:spacing w:val="5"/>
        </w:rPr>
        <w:t xml:space="preserve"> </w:t>
      </w:r>
      <w:r>
        <w:rPr>
          <w:spacing w:val="3"/>
        </w:rPr>
        <w:t>的钢轨</w:t>
      </w:r>
      <w:r>
        <w:rPr>
          <w:rFonts w:hint="eastAsia" w:ascii="MS UI Gothic" w:eastAsia="MS UI Gothic"/>
          <w:w w:val="70"/>
        </w:rPr>
        <w:t>ꎮ</w:t>
      </w:r>
    </w:p>
    <w:p>
      <w:pPr>
        <w:pStyle w:val="6"/>
        <w:spacing w:line="295" w:lineRule="auto"/>
        <w:ind w:left="381" w:right="126"/>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卡轨车</w:t>
      </w:r>
      <w:r>
        <w:rPr>
          <w:rFonts w:hint="eastAsia" w:ascii="MS UI Gothic" w:eastAsia="MS UI Gothic"/>
          <w:w w:val="80"/>
        </w:rPr>
        <w:t xml:space="preserve">、 </w:t>
      </w:r>
      <w:r>
        <w:t>齿轨车和胶套轮车运行的轨道线路</w:t>
      </w:r>
      <w:r>
        <w:rPr>
          <w:rFonts w:hint="eastAsia" w:ascii="MS UI Gothic" w:eastAsia="MS UI Gothic"/>
          <w:w w:val="80"/>
        </w:rPr>
        <w:t xml:space="preserve">ꎬ </w:t>
      </w:r>
      <w:r>
        <w:t xml:space="preserve">应当采用不小于 </w:t>
      </w:r>
      <w:r>
        <w:rPr>
          <w:rFonts w:hint="eastAsia" w:ascii="MS UI Gothic" w:eastAsia="MS UI Gothic"/>
          <w:w w:val="80"/>
        </w:rPr>
        <w:t xml:space="preserve">２２ ｋｇ </w:t>
      </w:r>
      <w:r>
        <w:rPr>
          <w:rFonts w:hint="eastAsia" w:ascii="MS UI Gothic" w:eastAsia="MS UI Gothic"/>
          <w:w w:val="70"/>
        </w:rPr>
        <w:t xml:space="preserve">/ </w:t>
      </w:r>
      <w:r>
        <w:rPr>
          <w:rFonts w:hint="eastAsia" w:ascii="MS UI Gothic" w:eastAsia="MS UI Gothic"/>
          <w:w w:val="80"/>
        </w:rPr>
        <w:t xml:space="preserve">ｍ </w:t>
      </w:r>
      <w:r>
        <w:t>的钢轨</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同一线路必须使用同一型号钢</w:t>
      </w:r>
      <w:r>
        <w:t>轨</w:t>
      </w:r>
      <w:r>
        <w:rPr>
          <w:rFonts w:hint="eastAsia" w:ascii="MS UI Gothic" w:eastAsia="MS UI Gothic"/>
          <w:w w:val="80"/>
        </w:rPr>
        <w:t xml:space="preserve">ꎬ </w:t>
      </w:r>
      <w:r>
        <w:t>道岔的钢轨型号不得低于线路的钢轨</w:t>
      </w:r>
      <w:r>
        <w:rPr>
          <w:w w:val="105"/>
        </w:rPr>
        <w:t>型号</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轨道线路必须按标准铺设</w:t>
      </w:r>
      <w:r>
        <w:rPr>
          <w:rFonts w:hint="eastAsia" w:ascii="MS UI Gothic" w:eastAsia="MS UI Gothic"/>
          <w:w w:val="80"/>
        </w:rPr>
        <w:t xml:space="preserve">ꎬ </w:t>
      </w:r>
      <w:r>
        <w:rPr>
          <w:w w:val="105"/>
        </w:rPr>
        <w:t>使用期间应当加强维护及检修</w:t>
      </w:r>
      <w:r>
        <w:rPr>
          <w:rFonts w:hint="eastAsia" w:ascii="MS UI Gothic" w:eastAsia="MS UI Gothic"/>
          <w:w w:val="80"/>
        </w:rPr>
        <w:t>ꎮ</w:t>
      </w:r>
    </w:p>
    <w:p>
      <w:pPr>
        <w:pStyle w:val="6"/>
        <w:tabs>
          <w:tab w:val="left" w:pos="2477"/>
        </w:tabs>
        <w:spacing w:line="295" w:lineRule="auto"/>
        <w:ind w:left="381" w:right="126"/>
        <w:jc w:val="left"/>
        <w:rPr>
          <w:rFonts w:hint="eastAsia" w:ascii="MS UI Gothic" w:eastAsia="MS UI Gothic"/>
        </w:rPr>
      </w:pPr>
      <w:r>
        <w:rPr>
          <w:spacing w:val="3"/>
          <w:w w:val="105"/>
        </w:rPr>
        <w:t>第三百八十一</w:t>
      </w:r>
      <w:r>
        <w:rPr>
          <w:w w:val="105"/>
        </w:rPr>
        <w:t>条</w:t>
      </w:r>
      <w:r>
        <w:rPr>
          <w:w w:val="105"/>
        </w:rPr>
        <w:tab/>
      </w:r>
      <w:r>
        <w:rPr>
          <w:spacing w:val="3"/>
        </w:rPr>
        <w:t>采用架线电机车</w:t>
      </w:r>
      <w:r>
        <w:rPr>
          <w:spacing w:val="-12"/>
        </w:rPr>
        <w:t>运</w:t>
      </w:r>
      <w:r>
        <w:rPr>
          <w:spacing w:val="3"/>
          <w:w w:val="105"/>
        </w:rPr>
        <w:t>输时</w:t>
      </w:r>
      <w:r>
        <w:rPr>
          <w:rFonts w:hint="eastAsia" w:ascii="MS UI Gothic" w:eastAsia="MS UI Gothic"/>
          <w:w w:val="80"/>
        </w:rPr>
        <w:t>ꎬ</w:t>
      </w:r>
      <w:r>
        <w:rPr>
          <w:rFonts w:hint="eastAsia" w:ascii="MS UI Gothic" w:eastAsia="MS UI Gothic"/>
          <w:spacing w:val="27"/>
          <w:w w:val="80"/>
        </w:rPr>
        <w:t xml:space="preserve"> </w:t>
      </w:r>
      <w:r>
        <w:rPr>
          <w:spacing w:val="3"/>
          <w:w w:val="105"/>
        </w:rPr>
        <w:t>架空线及轨道应当符合下列要求</w:t>
      </w:r>
      <w:r>
        <w:rPr>
          <w:rFonts w:hint="eastAsia" w:ascii="MS UI Gothic" w:eastAsia="MS UI Gothic"/>
          <w:w w:val="105"/>
        </w:rPr>
        <w:t>:</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２９４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10" o:spid="_x0000_s1910" o:spt="203" style="height:2.15pt;width:398.25pt;" coordsize="7965,43">
            <o:lock v:ext="edit"/>
            <v:line id="_x0000_s1911" o:spid="_x0000_s1911" o:spt="20" style="position:absolute;left:0;top:39;height:0;width:7965;" stroked="t" coordsize="21600,21600">
              <v:path arrowok="t"/>
              <v:fill focussize="0,0"/>
              <v:stroke weight="0.388031496062992pt" color="#231F20"/>
              <v:imagedata o:title=""/>
              <o:lock v:ext="edit"/>
            </v:line>
            <v:line id="_x0000_s1912" o:spid="_x0000_s191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架空线悬挂高度</w:t>
      </w:r>
      <w:r>
        <w:rPr>
          <w:rFonts w:hint="eastAsia" w:ascii="MS UI Gothic" w:eastAsia="MS UI Gothic"/>
          <w:w w:val="80"/>
        </w:rPr>
        <w:t xml:space="preserve">、  </w:t>
      </w:r>
      <w:r>
        <w:rPr>
          <w:w w:val="105"/>
        </w:rPr>
        <w:t>与巷道顶或</w:t>
      </w:r>
      <w:r>
        <w:t>者棚梁之间的距离等</w:t>
      </w:r>
      <w:r>
        <w:rPr>
          <w:rFonts w:hint="eastAsia" w:ascii="MS UI Gothic" w:eastAsia="MS UI Gothic"/>
          <w:w w:val="80"/>
        </w:rPr>
        <w:t xml:space="preserve">ꎬ </w:t>
      </w:r>
      <w:r>
        <w:t>应当保证机车的安</w:t>
      </w:r>
      <w:r>
        <w:rPr>
          <w:w w:val="105"/>
        </w:rPr>
        <w:t>全运行</w:t>
      </w:r>
      <w:r>
        <w:rPr>
          <w:rFonts w:hint="eastAsia" w:ascii="MS UI Gothic" w:eastAsia="MS UI Gothic"/>
          <w:w w:val="80"/>
        </w:rPr>
        <w:t>ꎮ</w:t>
      </w:r>
    </w:p>
    <w:p>
      <w:pPr>
        <w:pStyle w:val="6"/>
        <w:spacing w:line="254" w:lineRule="exact"/>
        <w:ind w:left="543" w:firstLine="0"/>
      </w:pPr>
      <w:r>
        <w:rPr>
          <w:rFonts w:hint="eastAsia" w:ascii="MS UI Gothic" w:eastAsia="MS UI Gothic"/>
          <w:w w:val="110"/>
        </w:rPr>
        <w:t xml:space="preserve">( </w:t>
      </w:r>
      <w:r>
        <w:rPr>
          <w:w w:val="110"/>
        </w:rPr>
        <w:t>二</w:t>
      </w:r>
      <w:r>
        <w:rPr>
          <w:rFonts w:hint="eastAsia" w:ascii="MS UI Gothic" w:eastAsia="MS UI Gothic"/>
          <w:w w:val="110"/>
        </w:rPr>
        <w:t xml:space="preserve">) </w:t>
      </w:r>
      <w:r>
        <w:rPr>
          <w:w w:val="110"/>
        </w:rPr>
        <w:t>架空线的直流电压不得超过</w:t>
      </w:r>
    </w:p>
    <w:p>
      <w:pPr>
        <w:pStyle w:val="6"/>
        <w:spacing w:before="58"/>
        <w:ind w:left="118" w:firstLine="0"/>
        <w:jc w:val="left"/>
        <w:rPr>
          <w:rFonts w:hint="eastAsia" w:ascii="MS UI Gothic" w:eastAsia="MS UI Gothic"/>
        </w:rPr>
      </w:pPr>
      <w:r>
        <w:rPr>
          <w:rFonts w:hint="eastAsia" w:ascii="MS UI Gothic" w:eastAsia="MS UI Gothic"/>
          <w:w w:val="85"/>
        </w:rPr>
        <w:t>６００ Ｖꎮ</w:t>
      </w:r>
    </w:p>
    <w:p>
      <w:pPr>
        <w:pStyle w:val="6"/>
        <w:spacing w:before="58"/>
        <w:ind w:left="543" w:firstLine="0"/>
        <w:rPr>
          <w:rFonts w:hint="eastAsia" w:ascii="MS UI Gothic" w:eastAsia="MS UI Gothic"/>
        </w:rPr>
      </w:pPr>
      <w:r>
        <w:rPr>
          <w:rFonts w:hint="eastAsia" w:ascii="MS UI Gothic" w:eastAsia="MS UI Gothic"/>
          <w:w w:val="150"/>
        </w:rPr>
        <w:t xml:space="preserve">( </w:t>
      </w:r>
      <w:r>
        <w:rPr>
          <w:w w:val="115"/>
        </w:rPr>
        <w:t>三</w:t>
      </w:r>
      <w:r>
        <w:rPr>
          <w:rFonts w:hint="eastAsia" w:ascii="MS UI Gothic" w:eastAsia="MS UI Gothic"/>
          <w:w w:val="150"/>
        </w:rPr>
        <w:t xml:space="preserve">) </w:t>
      </w:r>
      <w:r>
        <w:rPr>
          <w:w w:val="115"/>
        </w:rPr>
        <w:t>轨道应当符合下列规定</w:t>
      </w:r>
      <w:r>
        <w:rPr>
          <w:rFonts w:hint="eastAsia" w:ascii="MS UI Gothic" w:eastAsia="MS UI Gothic"/>
          <w:w w:val="235"/>
        </w:rPr>
        <w:t>:</w:t>
      </w:r>
    </w:p>
    <w:p>
      <w:pPr>
        <w:pStyle w:val="6"/>
        <w:spacing w:before="58" w:line="290" w:lineRule="auto"/>
        <w:ind w:right="39" w:firstLine="413"/>
        <w:rPr>
          <w:rFonts w:hint="eastAsia" w:ascii="MS UI Gothic" w:eastAsia="MS UI Gothic"/>
        </w:rPr>
      </w:pPr>
      <w:r>
        <w:rPr>
          <w:rFonts w:hint="eastAsia" w:ascii="MS UI Gothic" w:eastAsia="MS UI Gothic"/>
        </w:rPr>
        <w:t xml:space="preserve">１ </w:t>
      </w:r>
      <w:r>
        <w:rPr>
          <w:spacing w:val="3"/>
        </w:rPr>
        <w:t>两平行钢轨之间</w:t>
      </w:r>
      <w:r>
        <w:rPr>
          <w:rFonts w:hint="eastAsia" w:ascii="MS UI Gothic" w:eastAsia="MS UI Gothic"/>
          <w:spacing w:val="6"/>
          <w:w w:val="90"/>
        </w:rPr>
        <w:t xml:space="preserve">ꎬ </w:t>
      </w:r>
      <w:r>
        <w:rPr>
          <w:spacing w:val="-20"/>
        </w:rPr>
        <w:t xml:space="preserve">每隔 </w:t>
      </w:r>
      <w:r>
        <w:rPr>
          <w:rFonts w:hint="eastAsia" w:ascii="MS UI Gothic" w:eastAsia="MS UI Gothic"/>
          <w:spacing w:val="-4"/>
        </w:rPr>
        <w:t xml:space="preserve">５０ </w:t>
      </w:r>
      <w:r>
        <w:rPr>
          <w:rFonts w:hint="eastAsia" w:ascii="MS UI Gothic" w:eastAsia="MS UI Gothic"/>
        </w:rPr>
        <w:t xml:space="preserve">ｍ </w:t>
      </w:r>
      <w:r>
        <w:rPr>
          <w:spacing w:val="4"/>
        </w:rPr>
        <w:t>应当</w:t>
      </w:r>
      <w:r>
        <w:rPr>
          <w:spacing w:val="-23"/>
        </w:rPr>
        <w:t xml:space="preserve">连接 </w:t>
      </w:r>
      <w:r>
        <w:rPr>
          <w:rFonts w:hint="eastAsia" w:ascii="MS UI Gothic" w:eastAsia="MS UI Gothic"/>
          <w:spacing w:val="-13"/>
        </w:rPr>
        <w:t xml:space="preserve">１ </w:t>
      </w:r>
      <w:r>
        <w:rPr>
          <w:spacing w:val="-2"/>
        </w:rPr>
        <w:t xml:space="preserve">根断面不小于 </w:t>
      </w:r>
      <w:r>
        <w:rPr>
          <w:rFonts w:hint="eastAsia" w:ascii="MS UI Gothic" w:eastAsia="MS UI Gothic"/>
          <w:spacing w:val="-3"/>
        </w:rPr>
        <w:t xml:space="preserve">５０ </w:t>
      </w:r>
      <w:r>
        <w:rPr>
          <w:rFonts w:hint="eastAsia" w:ascii="MS UI Gothic" w:eastAsia="MS UI Gothic"/>
        </w:rPr>
        <w:t>ｍｍ</w:t>
      </w:r>
      <w:r>
        <w:rPr>
          <w:rFonts w:hint="eastAsia" w:ascii="MS UI Gothic" w:eastAsia="MS UI Gothic"/>
          <w:spacing w:val="-9"/>
          <w:position w:val="9"/>
          <w:sz w:val="12"/>
        </w:rPr>
        <w:t xml:space="preserve">２ </w:t>
      </w:r>
      <w:r>
        <w:rPr>
          <w:spacing w:val="12"/>
        </w:rPr>
        <w:t>的铜线或者</w:t>
      </w:r>
      <w:r>
        <w:rPr>
          <w:spacing w:val="3"/>
        </w:rPr>
        <w:t>其他具有等效电阻的导线</w:t>
      </w:r>
      <w:r>
        <w:rPr>
          <w:rFonts w:hint="eastAsia" w:ascii="MS UI Gothic" w:eastAsia="MS UI Gothic"/>
          <w:w w:val="90"/>
        </w:rPr>
        <w:t>ꎮ</w:t>
      </w:r>
    </w:p>
    <w:p>
      <w:pPr>
        <w:pStyle w:val="6"/>
        <w:spacing w:before="3" w:line="295" w:lineRule="auto"/>
        <w:ind w:right="39" w:firstLine="413"/>
        <w:rPr>
          <w:rFonts w:hint="eastAsia" w:ascii="MS UI Gothic" w:eastAsia="MS UI Gothic"/>
        </w:rPr>
      </w:pPr>
      <w:r>
        <w:rPr>
          <w:rFonts w:hint="eastAsia" w:ascii="MS UI Gothic" w:eastAsia="MS UI Gothic"/>
        </w:rPr>
        <w:t xml:space="preserve">２ </w:t>
      </w:r>
      <w:r>
        <w:t>线路上所有钢轨接缝处</w:t>
      </w:r>
      <w:r>
        <w:rPr>
          <w:rFonts w:hint="eastAsia" w:ascii="MS UI Gothic" w:eastAsia="MS UI Gothic"/>
          <w:w w:val="85"/>
        </w:rPr>
        <w:t xml:space="preserve">ꎬ </w:t>
      </w:r>
      <w:r>
        <w:t>必须用导线或者采用轨缝焊接工艺加以连接</w:t>
      </w:r>
      <w:r>
        <w:rPr>
          <w:rFonts w:hint="eastAsia" w:ascii="MS UI Gothic" w:eastAsia="MS UI Gothic"/>
          <w:w w:val="85"/>
        </w:rPr>
        <w:t xml:space="preserve">ꎮ </w:t>
      </w:r>
      <w:r>
        <w:t>连接后每个接缝处的电阻应当符合要求</w:t>
      </w:r>
      <w:r>
        <w:rPr>
          <w:rFonts w:hint="eastAsia" w:ascii="MS UI Gothic" w:eastAsia="MS UI Gothic"/>
          <w:w w:val="85"/>
        </w:rPr>
        <w:t>ꎮ</w:t>
      </w:r>
    </w:p>
    <w:p>
      <w:pPr>
        <w:pStyle w:val="6"/>
        <w:spacing w:line="295" w:lineRule="auto"/>
        <w:ind w:right="38" w:firstLine="413"/>
        <w:rPr>
          <w:rFonts w:hint="eastAsia" w:ascii="MS UI Gothic" w:eastAsia="MS UI Gothic"/>
        </w:rPr>
      </w:pPr>
      <w:r>
        <w:rPr>
          <w:rFonts w:hint="eastAsia" w:ascii="MS UI Gothic" w:eastAsia="MS UI Gothic"/>
        </w:rPr>
        <w:t xml:space="preserve">３ </w:t>
      </w:r>
      <w:r>
        <w:t>不回电的轨道与架线电机车回电轨道之间</w:t>
      </w:r>
      <w:r>
        <w:rPr>
          <w:rFonts w:hint="eastAsia" w:ascii="MS UI Gothic" w:eastAsia="MS UI Gothic"/>
          <w:w w:val="85"/>
        </w:rPr>
        <w:t xml:space="preserve">ꎬ </w:t>
      </w:r>
      <w:r>
        <w:t>必须加以绝缘</w:t>
      </w:r>
      <w:r>
        <w:rPr>
          <w:rFonts w:hint="eastAsia" w:ascii="MS UI Gothic" w:eastAsia="MS UI Gothic"/>
          <w:w w:val="85"/>
        </w:rPr>
        <w:t xml:space="preserve">ꎮ </w:t>
      </w:r>
      <w:r>
        <w:t xml:space="preserve">第一绝缘点设在 </w:t>
      </w:r>
      <w:r>
        <w:rPr>
          <w:rFonts w:hint="eastAsia" w:ascii="MS UI Gothic" w:eastAsia="MS UI Gothic"/>
        </w:rPr>
        <w:t xml:space="preserve">２ </w:t>
      </w:r>
      <w:r>
        <w:t>种轨道的连接处</w:t>
      </w:r>
      <w:r>
        <w:rPr>
          <w:rFonts w:hint="eastAsia" w:ascii="MS UI Gothic" w:eastAsia="MS UI Gothic"/>
          <w:w w:val="85"/>
        </w:rPr>
        <w:t xml:space="preserve">ꎻ </w:t>
      </w:r>
      <w:r>
        <w:t>第二绝缘点设在不回电的轨道上</w:t>
      </w:r>
      <w:r>
        <w:rPr>
          <w:rFonts w:hint="eastAsia" w:ascii="MS UI Gothic" w:eastAsia="MS UI Gothic"/>
          <w:w w:val="85"/>
        </w:rPr>
        <w:t xml:space="preserve">ꎬ </w:t>
      </w:r>
      <w:r>
        <w:t xml:space="preserve">其与第一绝缘点之间的距离必须大于 </w:t>
      </w:r>
      <w:r>
        <w:rPr>
          <w:rFonts w:hint="eastAsia" w:ascii="MS UI Gothic" w:eastAsia="MS UI Gothic"/>
        </w:rPr>
        <w:t xml:space="preserve">１ </w:t>
      </w:r>
      <w:r>
        <w:t>列车的长度</w:t>
      </w:r>
      <w:r>
        <w:rPr>
          <w:rFonts w:hint="eastAsia" w:ascii="MS UI Gothic" w:eastAsia="MS UI Gothic"/>
          <w:w w:val="85"/>
        </w:rPr>
        <w:t xml:space="preserve">ꎮ </w:t>
      </w:r>
      <w:r>
        <w:t>在与架线电机车线路相连通的轨道上有钢丝绳跨越时</w:t>
      </w:r>
      <w:r>
        <w:rPr>
          <w:rFonts w:hint="eastAsia" w:ascii="MS UI Gothic" w:eastAsia="MS UI Gothic"/>
          <w:w w:val="85"/>
        </w:rPr>
        <w:t>ꎬ</w:t>
      </w:r>
      <w:r>
        <w:t>钢丝绳不得与轨道相接触</w:t>
      </w:r>
      <w:r>
        <w:rPr>
          <w:rFonts w:hint="eastAsia" w:ascii="MS UI Gothic" w:eastAsia="MS UI Gothic"/>
          <w:w w:val="85"/>
        </w:rPr>
        <w:t>ꎮ</w:t>
      </w:r>
    </w:p>
    <w:p>
      <w:pPr>
        <w:pStyle w:val="6"/>
        <w:spacing w:line="295" w:lineRule="auto"/>
        <w:ind w:right="39"/>
        <w:rPr>
          <w:rFonts w:hint="eastAsia" w:ascii="MS UI Gothic" w:eastAsia="MS UI Gothic"/>
        </w:rPr>
      </w:pPr>
      <w:r>
        <w:t xml:space="preserve">第三百八十二条 长度超过 </w:t>
      </w:r>
      <w:r>
        <w:rPr>
          <w:rFonts w:hint="eastAsia" w:ascii="MS UI Gothic" w:eastAsia="MS UI Gothic"/>
        </w:rPr>
        <w:t xml:space="preserve">１ ５ ｋｍ </w:t>
      </w:r>
      <w:r>
        <w:t xml:space="preserve">的主要运输平巷或者高差超过 </w:t>
      </w:r>
      <w:r>
        <w:rPr>
          <w:rFonts w:hint="eastAsia" w:ascii="MS UI Gothic" w:eastAsia="MS UI Gothic"/>
        </w:rPr>
        <w:t xml:space="preserve">５０ ｍ </w:t>
      </w:r>
      <w:r>
        <w:t>的人员上下的主要倾斜井巷</w:t>
      </w:r>
      <w:r>
        <w:rPr>
          <w:rFonts w:hint="eastAsia" w:ascii="MS UI Gothic" w:eastAsia="MS UI Gothic"/>
          <w:w w:val="85"/>
        </w:rPr>
        <w:t xml:space="preserve">ꎬ </w:t>
      </w:r>
      <w:r>
        <w:t>应当采用机械方式运送人员</w:t>
      </w:r>
      <w:r>
        <w:rPr>
          <w:rFonts w:hint="eastAsia" w:ascii="MS UI Gothic" w:eastAsia="MS UI Gothic"/>
          <w:w w:val="85"/>
        </w:rPr>
        <w:t>ꎮ</w:t>
      </w:r>
    </w:p>
    <w:p>
      <w:pPr>
        <w:pStyle w:val="6"/>
        <w:spacing w:before="123" w:line="295" w:lineRule="auto"/>
        <w:ind w:left="118" w:right="442"/>
        <w:rPr>
          <w:rFonts w:hint="eastAsia" w:ascii="MS UI Gothic" w:eastAsia="MS UI Gothic"/>
        </w:rPr>
      </w:pPr>
      <w:r>
        <w:br w:type="column"/>
      </w:r>
      <w:r>
        <w:t>运送人员的车辆必须为专用车辆</w:t>
      </w:r>
      <w:r>
        <w:rPr>
          <w:rFonts w:hint="eastAsia" w:ascii="MS UI Gothic" w:eastAsia="MS UI Gothic"/>
          <w:w w:val="80"/>
        </w:rPr>
        <w:t xml:space="preserve">ꎬ </w:t>
      </w:r>
      <w:r>
        <w:t>严禁使用非乘人装置运送人员</w:t>
      </w:r>
      <w:r>
        <w:rPr>
          <w:rFonts w:hint="eastAsia" w:ascii="MS UI Gothic" w:eastAsia="MS UI Gothic"/>
          <w:w w:val="80"/>
        </w:rPr>
        <w:t>ꎮ</w:t>
      </w:r>
    </w:p>
    <w:p>
      <w:pPr>
        <w:pStyle w:val="6"/>
        <w:spacing w:line="255" w:lineRule="exact"/>
        <w:ind w:left="538" w:firstLine="0"/>
        <w:rPr>
          <w:rFonts w:hint="eastAsia" w:ascii="MS UI Gothic" w:eastAsia="MS UI Gothic"/>
        </w:rPr>
      </w:pPr>
      <w:r>
        <w:t>严禁人</w:t>
      </w:r>
      <w:r>
        <w:rPr>
          <w:rFonts w:hint="eastAsia" w:ascii="MS UI Gothic" w:eastAsia="MS UI Gothic"/>
        </w:rPr>
        <w:t xml:space="preserve">、 </w:t>
      </w:r>
      <w:r>
        <w:t>物料混运</w:t>
      </w:r>
      <w:r>
        <w:rPr>
          <w:rFonts w:hint="eastAsia" w:ascii="MS UI Gothic" w:eastAsia="MS UI Gothic"/>
          <w:w w:val="80"/>
        </w:rPr>
        <w:t>ꎮ</w:t>
      </w:r>
    </w:p>
    <w:p>
      <w:pPr>
        <w:pStyle w:val="6"/>
        <w:spacing w:before="58" w:line="295" w:lineRule="auto"/>
        <w:ind w:left="118" w:right="442"/>
        <w:rPr>
          <w:rFonts w:hint="eastAsia" w:ascii="MS UI Gothic" w:eastAsia="MS UI Gothic"/>
        </w:rPr>
      </w:pPr>
      <w:r>
        <w:rPr>
          <w:w w:val="105"/>
        </w:rPr>
        <w:t>第三百八十三条 采用架空乘人装置</w:t>
      </w:r>
      <w:r>
        <w:rPr>
          <w:w w:val="110"/>
        </w:rPr>
        <w:t>运送人员时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55" w:lineRule="exact"/>
        <w:ind w:left="538" w:firstLine="0"/>
        <w:rPr>
          <w:rFonts w:hint="eastAsia" w:ascii="MS UI Gothic" w:eastAsia="MS UI Gothic"/>
        </w:rPr>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有专项设计</w:t>
      </w:r>
      <w:r>
        <w:rPr>
          <w:rFonts w:hint="eastAsia" w:ascii="MS UI Gothic" w:eastAsia="MS UI Gothic"/>
          <w:w w:val="80"/>
        </w:rPr>
        <w:t>ꎮ</w:t>
      </w:r>
    </w:p>
    <w:p>
      <w:pPr>
        <w:pStyle w:val="6"/>
        <w:spacing w:before="58" w:line="295" w:lineRule="auto"/>
        <w:ind w:left="118" w:right="442"/>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 xml:space="preserve">吊椅中心至巷道一侧突出部分的距离不得小于 </w:t>
      </w:r>
      <w:r>
        <w:rPr>
          <w:rFonts w:hint="eastAsia" w:ascii="MS UI Gothic" w:eastAsia="MS UI Gothic"/>
        </w:rPr>
        <w:t>０ ７ ｍ</w:t>
      </w:r>
      <w:r>
        <w:rPr>
          <w:rFonts w:hint="eastAsia" w:ascii="MS UI Gothic" w:eastAsia="MS UI Gothic"/>
          <w:w w:val="80"/>
        </w:rPr>
        <w:t xml:space="preserve">ꎬ </w:t>
      </w:r>
      <w:r>
        <w:t xml:space="preserve">双向同时运送人员时钢丝绳间距不得小于 </w:t>
      </w:r>
      <w:r>
        <w:rPr>
          <w:rFonts w:hint="eastAsia" w:ascii="MS UI Gothic" w:eastAsia="MS UI Gothic"/>
        </w:rPr>
        <w:t>０ ８ ｍ</w:t>
      </w:r>
      <w:r>
        <w:rPr>
          <w:rFonts w:hint="eastAsia" w:ascii="MS UI Gothic" w:eastAsia="MS UI Gothic"/>
          <w:w w:val="80"/>
        </w:rPr>
        <w:t xml:space="preserve">ꎬ </w:t>
      </w:r>
      <w:r>
        <w:t xml:space="preserve">固定抱索器的钢丝绳间距不得小于 </w:t>
      </w:r>
      <w:r>
        <w:rPr>
          <w:rFonts w:hint="eastAsia" w:ascii="MS UI Gothic" w:eastAsia="MS UI Gothic"/>
        </w:rPr>
        <w:t>１ ０ ｍ</w:t>
      </w:r>
      <w:r>
        <w:rPr>
          <w:rFonts w:hint="eastAsia" w:ascii="MS UI Gothic" w:eastAsia="MS UI Gothic"/>
          <w:w w:val="80"/>
        </w:rPr>
        <w:t xml:space="preserve">ꎮ </w:t>
      </w:r>
      <w:r>
        <w:t xml:space="preserve">乘人吊椅距底板的高度不得小于 </w:t>
      </w:r>
      <w:r>
        <w:rPr>
          <w:rFonts w:hint="eastAsia" w:ascii="MS UI Gothic" w:eastAsia="MS UI Gothic"/>
        </w:rPr>
        <w:t>０ ２ ｍ</w:t>
      </w:r>
      <w:r>
        <w:rPr>
          <w:rFonts w:hint="eastAsia" w:ascii="MS UI Gothic" w:eastAsia="MS UI Gothic"/>
          <w:w w:val="80"/>
        </w:rPr>
        <w:t xml:space="preserve">ꎬ </w:t>
      </w:r>
      <w:r>
        <w:t xml:space="preserve">在上下人站处不大于 </w:t>
      </w:r>
      <w:r>
        <w:rPr>
          <w:rFonts w:hint="eastAsia" w:ascii="MS UI Gothic" w:eastAsia="MS UI Gothic"/>
        </w:rPr>
        <w:t>０ ５ ｍ</w:t>
      </w:r>
      <w:r>
        <w:rPr>
          <w:rFonts w:hint="eastAsia" w:ascii="MS UI Gothic" w:eastAsia="MS UI Gothic"/>
          <w:w w:val="80"/>
        </w:rPr>
        <w:t xml:space="preserve">ꎮ </w:t>
      </w:r>
      <w:r>
        <w:t xml:space="preserve">乘坐间距不应小于牵引钢丝绳 </w:t>
      </w:r>
      <w:r>
        <w:rPr>
          <w:rFonts w:hint="eastAsia" w:ascii="MS UI Gothic" w:eastAsia="MS UI Gothic"/>
        </w:rPr>
        <w:t xml:space="preserve">５ ｓ </w:t>
      </w:r>
      <w:r>
        <w:t>的运行距离</w:t>
      </w:r>
      <w:r>
        <w:rPr>
          <w:rFonts w:hint="eastAsia" w:ascii="MS UI Gothic" w:eastAsia="MS UI Gothic"/>
          <w:w w:val="80"/>
        </w:rPr>
        <w:t xml:space="preserve">ꎬ </w:t>
      </w:r>
      <w:r>
        <w:t xml:space="preserve">且不得小于 </w:t>
      </w:r>
      <w:r>
        <w:rPr>
          <w:rFonts w:hint="eastAsia" w:ascii="MS UI Gothic" w:eastAsia="MS UI Gothic"/>
        </w:rPr>
        <w:t>６ ｍ</w:t>
      </w:r>
      <w:r>
        <w:rPr>
          <w:rFonts w:hint="eastAsia" w:ascii="MS UI Gothic" w:eastAsia="MS UI Gothic"/>
          <w:w w:val="80"/>
        </w:rPr>
        <w:t xml:space="preserve">ꎮ </w:t>
      </w:r>
      <w:r>
        <w:t>除采用固定抱索器的架空乘人装置外</w:t>
      </w:r>
      <w:r>
        <w:rPr>
          <w:rFonts w:hint="eastAsia" w:ascii="MS UI Gothic" w:eastAsia="MS UI Gothic"/>
          <w:w w:val="80"/>
        </w:rPr>
        <w:t xml:space="preserve">ꎬ </w:t>
      </w:r>
      <w:r>
        <w:t>应当设置乘人间距提示或者保护装置</w:t>
      </w:r>
      <w:r>
        <w:rPr>
          <w:rFonts w:hint="eastAsia" w:ascii="MS UI Gothic" w:eastAsia="MS UI Gothic"/>
          <w:w w:val="80"/>
        </w:rPr>
        <w:t>ꎮ</w:t>
      </w:r>
    </w:p>
    <w:p>
      <w:pPr>
        <w:pStyle w:val="6"/>
        <w:spacing w:line="295" w:lineRule="auto"/>
        <w:ind w:left="118" w:right="440"/>
        <w:rPr>
          <w:rFonts w:hint="eastAsia" w:ascii="MS UI Gothic" w:hAnsi="MS UI Gothic" w:eastAsia="MS UI Gothic"/>
        </w:rPr>
      </w:pPr>
      <w:r>
        <w:rPr>
          <w:rFonts w:hint="eastAsia" w:ascii="MS UI Gothic" w:hAnsi="MS UI Gothic" w:eastAsia="MS UI Gothic"/>
          <w:spacing w:val="-26"/>
          <w:w w:val="140"/>
        </w:rPr>
        <w:t xml:space="preserve">( </w:t>
      </w:r>
      <w:r>
        <w:rPr>
          <w:spacing w:val="3"/>
        </w:rPr>
        <w:t>三</w:t>
      </w:r>
      <w:r>
        <w:rPr>
          <w:rFonts w:hint="eastAsia" w:ascii="MS UI Gothic" w:hAnsi="MS UI Gothic" w:eastAsia="MS UI Gothic"/>
          <w:spacing w:val="20"/>
          <w:w w:val="140"/>
        </w:rPr>
        <w:t xml:space="preserve">) </w:t>
      </w:r>
      <w:r>
        <w:rPr>
          <w:spacing w:val="5"/>
        </w:rPr>
        <w:t>固定抱索器最大运行坡度不得</w:t>
      </w:r>
      <w:r>
        <w:rPr>
          <w:spacing w:val="-25"/>
        </w:rPr>
        <w:t xml:space="preserve">超过 </w:t>
      </w:r>
      <w:r>
        <w:rPr>
          <w:rFonts w:hint="eastAsia" w:ascii="MS UI Gothic" w:hAnsi="MS UI Gothic" w:eastAsia="MS UI Gothic"/>
          <w:spacing w:val="2"/>
          <w:w w:val="85"/>
        </w:rPr>
        <w:t xml:space="preserve">２８°ꎬ </w:t>
      </w:r>
      <w:r>
        <w:rPr>
          <w:spacing w:val="5"/>
        </w:rPr>
        <w:t>可摘挂抱索器最大运行坡度不</w:t>
      </w:r>
      <w:r>
        <w:rPr>
          <w:spacing w:val="-17"/>
        </w:rPr>
        <w:t xml:space="preserve">得超过 </w:t>
      </w:r>
      <w:r>
        <w:rPr>
          <w:rFonts w:hint="eastAsia" w:ascii="MS UI Gothic" w:hAnsi="MS UI Gothic" w:eastAsia="MS UI Gothic"/>
          <w:spacing w:val="5"/>
          <w:w w:val="85"/>
        </w:rPr>
        <w:t xml:space="preserve">２５°ꎬ </w:t>
      </w:r>
      <w:r>
        <w:rPr>
          <w:spacing w:val="-2"/>
        </w:rPr>
        <w:t xml:space="preserve">运行速度应当满足表 </w:t>
      </w:r>
      <w:r>
        <w:rPr>
          <w:rFonts w:hint="eastAsia" w:ascii="MS UI Gothic" w:hAnsi="MS UI Gothic" w:eastAsia="MS UI Gothic"/>
          <w:spacing w:val="-5"/>
          <w:w w:val="85"/>
        </w:rPr>
        <w:t xml:space="preserve">６ </w:t>
      </w:r>
      <w:r>
        <w:rPr>
          <w:spacing w:val="5"/>
        </w:rPr>
        <w:t>的规</w:t>
      </w:r>
      <w:r>
        <w:rPr>
          <w:spacing w:val="3"/>
        </w:rPr>
        <w:t>定</w:t>
      </w:r>
      <w:r>
        <w:rPr>
          <w:rFonts w:hint="eastAsia" w:ascii="MS UI Gothic" w:hAnsi="MS UI Gothic" w:eastAsia="MS UI Gothic"/>
          <w:spacing w:val="11"/>
          <w:w w:val="85"/>
        </w:rPr>
        <w:t xml:space="preserve">ꎮ </w:t>
      </w:r>
      <w:r>
        <w:rPr>
          <w:spacing w:val="-8"/>
        </w:rPr>
        <w:t xml:space="preserve">运行速度超过 </w:t>
      </w:r>
      <w:r>
        <w:rPr>
          <w:rFonts w:hint="eastAsia" w:ascii="MS UI Gothic" w:hAnsi="MS UI Gothic" w:eastAsia="MS UI Gothic"/>
          <w:w w:val="85"/>
        </w:rPr>
        <w:t>１</w:t>
      </w:r>
      <w:r>
        <w:rPr>
          <w:rFonts w:hint="eastAsia" w:ascii="MS UI Gothic" w:hAnsi="MS UI Gothic" w:eastAsia="MS UI Gothic"/>
          <w:spacing w:val="-5"/>
          <w:w w:val="85"/>
        </w:rPr>
        <w:t xml:space="preserve"> ２ </w:t>
      </w:r>
      <w:r>
        <w:rPr>
          <w:rFonts w:hint="eastAsia" w:ascii="MS UI Gothic" w:hAnsi="MS UI Gothic" w:eastAsia="MS UI Gothic"/>
          <w:w w:val="85"/>
        </w:rPr>
        <w:t>ｍ</w:t>
      </w:r>
      <w:r>
        <w:rPr>
          <w:rFonts w:hint="eastAsia" w:ascii="MS UI Gothic" w:hAnsi="MS UI Gothic" w:eastAsia="MS UI Gothic"/>
          <w:spacing w:val="-30"/>
          <w:w w:val="85"/>
        </w:rPr>
        <w:t xml:space="preserve"> </w:t>
      </w:r>
      <w:r>
        <w:rPr>
          <w:rFonts w:hint="eastAsia" w:ascii="MS UI Gothic" w:hAnsi="MS UI Gothic" w:eastAsia="MS UI Gothic"/>
          <w:w w:val="70"/>
        </w:rPr>
        <w:t>/</w:t>
      </w:r>
      <w:r>
        <w:rPr>
          <w:rFonts w:hint="eastAsia" w:ascii="MS UI Gothic" w:hAnsi="MS UI Gothic" w:eastAsia="MS UI Gothic"/>
          <w:spacing w:val="-11"/>
          <w:w w:val="70"/>
        </w:rPr>
        <w:t xml:space="preserve"> </w:t>
      </w:r>
      <w:r>
        <w:rPr>
          <w:rFonts w:hint="eastAsia" w:ascii="MS UI Gothic" w:hAnsi="MS UI Gothic" w:eastAsia="MS UI Gothic"/>
          <w:w w:val="85"/>
        </w:rPr>
        <w:t>ｓ</w:t>
      </w:r>
      <w:r>
        <w:rPr>
          <w:rFonts w:hint="eastAsia" w:ascii="MS UI Gothic" w:hAnsi="MS UI Gothic" w:eastAsia="MS UI Gothic"/>
          <w:spacing w:val="-12"/>
          <w:w w:val="85"/>
        </w:rPr>
        <w:t xml:space="preserve"> </w:t>
      </w:r>
      <w:r>
        <w:rPr>
          <w:spacing w:val="3"/>
        </w:rPr>
        <w:t>时</w:t>
      </w:r>
      <w:r>
        <w:rPr>
          <w:rFonts w:hint="eastAsia" w:ascii="MS UI Gothic" w:hAnsi="MS UI Gothic" w:eastAsia="MS UI Gothic"/>
          <w:spacing w:val="13"/>
          <w:w w:val="85"/>
        </w:rPr>
        <w:t xml:space="preserve">ꎬ </w:t>
      </w:r>
      <w:r>
        <w:rPr>
          <w:spacing w:val="5"/>
        </w:rPr>
        <w:t>不得采用</w:t>
      </w:r>
      <w:r>
        <w:rPr>
          <w:spacing w:val="4"/>
        </w:rPr>
        <w:t>固定抱索器</w:t>
      </w:r>
      <w:r>
        <w:rPr>
          <w:rFonts w:hint="eastAsia" w:ascii="MS UI Gothic" w:hAnsi="MS UI Gothic" w:eastAsia="MS UI Gothic"/>
          <w:spacing w:val="12"/>
          <w:w w:val="85"/>
        </w:rPr>
        <w:t xml:space="preserve">ꎻ </w:t>
      </w:r>
      <w:r>
        <w:rPr>
          <w:spacing w:val="2"/>
        </w:rPr>
        <w:t xml:space="preserve">运行速度超过 </w:t>
      </w:r>
      <w:r>
        <w:rPr>
          <w:rFonts w:hint="eastAsia" w:ascii="MS UI Gothic" w:hAnsi="MS UI Gothic" w:eastAsia="MS UI Gothic"/>
          <w:w w:val="85"/>
        </w:rPr>
        <w:t>１</w:t>
      </w:r>
      <w:r>
        <w:rPr>
          <w:rFonts w:hint="eastAsia" w:ascii="MS UI Gothic" w:hAnsi="MS UI Gothic" w:eastAsia="MS UI Gothic"/>
          <w:spacing w:val="-4"/>
          <w:w w:val="85"/>
        </w:rPr>
        <w:t xml:space="preserve"> ４ </w:t>
      </w:r>
      <w:r>
        <w:rPr>
          <w:rFonts w:hint="eastAsia" w:ascii="MS UI Gothic" w:hAnsi="MS UI Gothic" w:eastAsia="MS UI Gothic"/>
          <w:w w:val="85"/>
        </w:rPr>
        <w:t>ｍ</w:t>
      </w:r>
      <w:r>
        <w:rPr>
          <w:rFonts w:hint="eastAsia" w:ascii="MS UI Gothic" w:hAnsi="MS UI Gothic" w:eastAsia="MS UI Gothic"/>
          <w:spacing w:val="-32"/>
          <w:w w:val="85"/>
        </w:rPr>
        <w:t xml:space="preserve"> </w:t>
      </w:r>
      <w:r>
        <w:rPr>
          <w:rFonts w:hint="eastAsia" w:ascii="MS UI Gothic" w:hAnsi="MS UI Gothic" w:eastAsia="MS UI Gothic"/>
          <w:w w:val="70"/>
        </w:rPr>
        <w:t>/</w:t>
      </w:r>
      <w:r>
        <w:rPr>
          <w:rFonts w:hint="eastAsia" w:ascii="MS UI Gothic" w:hAnsi="MS UI Gothic" w:eastAsia="MS UI Gothic"/>
          <w:spacing w:val="-12"/>
          <w:w w:val="70"/>
        </w:rPr>
        <w:t xml:space="preserve"> </w:t>
      </w:r>
      <w:r>
        <w:rPr>
          <w:rFonts w:hint="eastAsia" w:ascii="MS UI Gothic" w:hAnsi="MS UI Gothic" w:eastAsia="MS UI Gothic"/>
          <w:w w:val="85"/>
        </w:rPr>
        <w:t>ｓ</w:t>
      </w:r>
      <w:r>
        <w:rPr>
          <w:rFonts w:hint="eastAsia" w:ascii="MS UI Gothic" w:hAnsi="MS UI Gothic" w:eastAsia="MS UI Gothic"/>
          <w:spacing w:val="-5"/>
          <w:w w:val="85"/>
        </w:rPr>
        <w:t xml:space="preserve"> </w:t>
      </w:r>
      <w:r>
        <w:rPr>
          <w:spacing w:val="3"/>
        </w:rPr>
        <w:t>时</w:t>
      </w:r>
      <w:r>
        <w:rPr>
          <w:rFonts w:hint="eastAsia" w:ascii="MS UI Gothic" w:hAnsi="MS UI Gothic" w:eastAsia="MS UI Gothic"/>
          <w:w w:val="85"/>
        </w:rPr>
        <w:t>ꎬ</w:t>
      </w:r>
      <w:r>
        <w:rPr>
          <w:spacing w:val="3"/>
        </w:rPr>
        <w:t>应当设置调速装置</w:t>
      </w:r>
      <w:r>
        <w:rPr>
          <w:rFonts w:hint="eastAsia" w:ascii="MS UI Gothic" w:hAnsi="MS UI Gothic" w:eastAsia="MS UI Gothic"/>
          <w:spacing w:val="12"/>
          <w:w w:val="85"/>
        </w:rPr>
        <w:t xml:space="preserve">ꎬ </w:t>
      </w:r>
      <w:r>
        <w:rPr>
          <w:spacing w:val="2"/>
        </w:rPr>
        <w:t>并实现静止状态上下</w:t>
      </w:r>
      <w:r>
        <w:rPr>
          <w:spacing w:val="3"/>
        </w:rPr>
        <w:t>人员</w:t>
      </w:r>
      <w:r>
        <w:rPr>
          <w:rFonts w:hint="eastAsia" w:ascii="MS UI Gothic" w:hAnsi="MS UI Gothic" w:eastAsia="MS UI Gothic"/>
          <w:spacing w:val="23"/>
          <w:w w:val="85"/>
        </w:rPr>
        <w:t xml:space="preserve">ꎬ </w:t>
      </w:r>
      <w:r>
        <w:rPr>
          <w:spacing w:val="3"/>
        </w:rPr>
        <w:t>严禁人员在非乘人站上下</w:t>
      </w:r>
      <w:r>
        <w:rPr>
          <w:rFonts w:hint="eastAsia" w:ascii="MS UI Gothic" w:hAnsi="MS UI Gothic" w:eastAsia="MS UI Gothic"/>
          <w:w w:val="85"/>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36" w:space="262"/>
            <w:col w:w="4342"/>
          </w:cols>
        </w:sectPr>
      </w:pPr>
    </w:p>
    <w:p>
      <w:pPr>
        <w:pStyle w:val="6"/>
        <w:spacing w:before="11"/>
        <w:ind w:left="0" w:firstLine="0"/>
        <w:jc w:val="left"/>
        <w:rPr>
          <w:rFonts w:ascii="MS UI Gothic"/>
          <w:sz w:val="9"/>
        </w:rPr>
      </w:pPr>
    </w:p>
    <w:p>
      <w:pPr>
        <w:pStyle w:val="6"/>
        <w:spacing w:before="175"/>
        <w:ind w:left="310" w:right="629" w:firstLine="0"/>
        <w:jc w:val="center"/>
        <w:rPr>
          <w:rFonts w:hint="eastAsia" w:ascii="MS UI Gothic" w:eastAsia="MS UI Gothic"/>
        </w:rPr>
      </w:pPr>
      <w:r>
        <w:rPr>
          <w:w w:val="90"/>
        </w:rPr>
        <w:t xml:space="preserve">表 </w:t>
      </w:r>
      <w:r>
        <w:rPr>
          <w:rFonts w:hint="eastAsia" w:ascii="MS UI Gothic" w:eastAsia="MS UI Gothic"/>
          <w:w w:val="85"/>
        </w:rPr>
        <w:t xml:space="preserve">６ </w:t>
      </w:r>
      <w:r>
        <w:rPr>
          <w:w w:val="90"/>
        </w:rPr>
        <w:t xml:space="preserve">架空乘人装置运行速度规定 </w:t>
      </w:r>
      <w:r>
        <w:rPr>
          <w:rFonts w:hint="eastAsia" w:ascii="MS UI Gothic" w:eastAsia="MS UI Gothic"/>
          <w:w w:val="85"/>
        </w:rPr>
        <w:t xml:space="preserve">ｍ </w:t>
      </w:r>
      <w:r>
        <w:rPr>
          <w:rFonts w:hint="eastAsia" w:ascii="MS UI Gothic" w:eastAsia="MS UI Gothic"/>
          <w:w w:val="60"/>
        </w:rPr>
        <w:t xml:space="preserve">/ </w:t>
      </w:r>
      <w:r>
        <w:rPr>
          <w:rFonts w:hint="eastAsia" w:ascii="MS UI Gothic" w:eastAsia="MS UI Gothic"/>
          <w:w w:val="85"/>
        </w:rPr>
        <w:t>ｓ</w:t>
      </w:r>
    </w:p>
    <w:p>
      <w:pPr>
        <w:pStyle w:val="6"/>
        <w:spacing w:before="1"/>
        <w:ind w:left="0" w:firstLine="0"/>
        <w:jc w:val="left"/>
        <w:rPr>
          <w:rFonts w:ascii="MS UI Gothic"/>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228"/>
        <w:gridCol w:w="1353"/>
        <w:gridCol w:w="1353"/>
        <w:gridCol w:w="1353"/>
        <w:gridCol w:w="1679"/>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228" w:type="dxa"/>
            <w:tcBorders>
              <w:bottom w:val="single" w:color="231F20" w:sz="4" w:space="0"/>
              <w:right w:val="single" w:color="231F20" w:sz="4" w:space="0"/>
            </w:tcBorders>
          </w:tcPr>
          <w:p>
            <w:pPr>
              <w:pStyle w:val="11"/>
              <w:spacing w:before="50"/>
              <w:ind w:left="509" w:right="512"/>
              <w:jc w:val="center"/>
              <w:rPr>
                <w:rFonts w:hint="eastAsia" w:ascii="MS UI Gothic" w:hAnsi="MS UI Gothic" w:eastAsia="MS UI Gothic"/>
                <w:sz w:val="15"/>
              </w:rPr>
            </w:pPr>
            <w:r>
              <w:rPr>
                <w:spacing w:val="2"/>
                <w:w w:val="103"/>
                <w:sz w:val="15"/>
              </w:rPr>
              <w:t>巷道坡度</w:t>
            </w:r>
            <w:r>
              <w:rPr>
                <w:spacing w:val="-33"/>
                <w:sz w:val="15"/>
              </w:rPr>
              <w:t xml:space="preserve"> </w:t>
            </w:r>
            <w:r>
              <w:rPr>
                <w:w w:val="47"/>
                <w:sz w:val="15"/>
              </w:rPr>
              <w:t>θ</w:t>
            </w:r>
            <w:r>
              <w:rPr>
                <w:spacing w:val="-54"/>
                <w:sz w:val="15"/>
              </w:rPr>
              <w:t xml:space="preserve"> </w:t>
            </w:r>
            <w:r>
              <w:rPr>
                <w:rFonts w:hint="eastAsia" w:ascii="MS UI Gothic" w:hAnsi="MS UI Gothic" w:eastAsia="MS UI Gothic"/>
                <w:w w:val="34"/>
                <w:sz w:val="15"/>
              </w:rPr>
              <w:t>/</w:t>
            </w:r>
            <w:r>
              <w:rPr>
                <w:rFonts w:hint="eastAsia" w:ascii="MS UI Gothic" w:hAnsi="MS UI Gothic" w:eastAsia="MS UI Gothic"/>
                <w:spacing w:val="11"/>
                <w:sz w:val="15"/>
              </w:rPr>
              <w:t xml:space="preserve">  </w:t>
            </w:r>
            <w:r>
              <w:rPr>
                <w:rFonts w:hint="eastAsia" w:ascii="MS UI Gothic" w:hAnsi="MS UI Gothic" w:eastAsia="MS UI Gothic"/>
                <w:spacing w:val="17"/>
                <w:w w:val="169"/>
                <w:sz w:val="15"/>
              </w:rPr>
              <w:t>(</w:t>
            </w:r>
            <w:r>
              <w:rPr>
                <w:rFonts w:hint="eastAsia" w:ascii="MS UI Gothic" w:hAnsi="MS UI Gothic" w:eastAsia="MS UI Gothic"/>
                <w:spacing w:val="13"/>
                <w:w w:val="41"/>
                <w:sz w:val="15"/>
              </w:rPr>
              <w:t>°</w:t>
            </w:r>
            <w:r>
              <w:rPr>
                <w:rFonts w:hint="eastAsia" w:ascii="MS UI Gothic" w:hAnsi="MS UI Gothic" w:eastAsia="MS UI Gothic"/>
                <w:w w:val="169"/>
                <w:sz w:val="15"/>
              </w:rPr>
              <w:t>)</w:t>
            </w:r>
          </w:p>
        </w:tc>
        <w:tc>
          <w:tcPr>
            <w:tcW w:w="1353" w:type="dxa"/>
            <w:tcBorders>
              <w:left w:val="single" w:color="231F20" w:sz="4" w:space="0"/>
              <w:bottom w:val="single" w:color="231F20" w:sz="4" w:space="0"/>
              <w:right w:val="single" w:color="231F20" w:sz="4" w:space="0"/>
            </w:tcBorders>
          </w:tcPr>
          <w:p>
            <w:pPr>
              <w:pStyle w:val="11"/>
              <w:spacing w:before="50"/>
              <w:ind w:left="309" w:right="301"/>
              <w:jc w:val="center"/>
              <w:rPr>
                <w:rFonts w:hint="eastAsia" w:ascii="MS UI Gothic" w:hAnsi="MS UI Gothic" w:eastAsia="MS UI Gothic"/>
                <w:sz w:val="15"/>
              </w:rPr>
            </w:pPr>
            <w:r>
              <w:rPr>
                <w:rFonts w:hint="eastAsia" w:ascii="MS UI Gothic" w:hAnsi="MS UI Gothic" w:eastAsia="MS UI Gothic"/>
                <w:w w:val="75"/>
                <w:sz w:val="15"/>
              </w:rPr>
              <w:t>２</w:t>
            </w:r>
            <w:r>
              <w:rPr>
                <w:rFonts w:hint="eastAsia" w:ascii="MS UI Gothic" w:hAnsi="MS UI Gothic" w:eastAsia="MS UI Gothic"/>
                <w:spacing w:val="3"/>
                <w:w w:val="75"/>
                <w:sz w:val="15"/>
              </w:rPr>
              <w:t>８</w:t>
            </w:r>
            <w:r>
              <w:rPr>
                <w:rFonts w:hint="eastAsia" w:ascii="MS UI Gothic" w:hAnsi="MS UI Gothic" w:eastAsia="MS UI Gothic"/>
                <w:spacing w:val="3"/>
                <w:w w:val="205"/>
                <w:sz w:val="15"/>
              </w:rPr>
              <w:t>≥</w:t>
            </w:r>
            <w:r>
              <w:rPr>
                <w:spacing w:val="8"/>
                <w:w w:val="47"/>
                <w:sz w:val="15"/>
              </w:rPr>
              <w:t>θ</w:t>
            </w:r>
            <w:r>
              <w:rPr>
                <w:rFonts w:hint="eastAsia" w:ascii="MS UI Gothic" w:hAnsi="MS UI Gothic" w:eastAsia="MS UI Gothic"/>
                <w:spacing w:val="12"/>
                <w:w w:val="172"/>
                <w:sz w:val="15"/>
              </w:rPr>
              <w:t>&gt;</w:t>
            </w:r>
            <w:r>
              <w:rPr>
                <w:rFonts w:hint="eastAsia" w:ascii="MS UI Gothic" w:hAnsi="MS UI Gothic" w:eastAsia="MS UI Gothic"/>
                <w:spacing w:val="-1"/>
                <w:w w:val="75"/>
                <w:sz w:val="15"/>
              </w:rPr>
              <w:t>２</w:t>
            </w:r>
            <w:r>
              <w:rPr>
                <w:rFonts w:hint="eastAsia" w:ascii="MS UI Gothic" w:hAnsi="MS UI Gothic" w:eastAsia="MS UI Gothic"/>
                <w:w w:val="75"/>
                <w:sz w:val="15"/>
              </w:rPr>
              <w:t>５</w:t>
            </w:r>
          </w:p>
        </w:tc>
        <w:tc>
          <w:tcPr>
            <w:tcW w:w="1353" w:type="dxa"/>
            <w:tcBorders>
              <w:left w:val="single" w:color="231F20" w:sz="4" w:space="0"/>
              <w:bottom w:val="single" w:color="231F20" w:sz="4" w:space="0"/>
              <w:right w:val="single" w:color="231F20" w:sz="4" w:space="0"/>
            </w:tcBorders>
          </w:tcPr>
          <w:p>
            <w:pPr>
              <w:pStyle w:val="11"/>
              <w:spacing w:before="50"/>
              <w:ind w:left="309" w:right="301"/>
              <w:jc w:val="center"/>
              <w:rPr>
                <w:rFonts w:hint="eastAsia" w:ascii="MS UI Gothic" w:hAnsi="MS UI Gothic" w:eastAsia="MS UI Gothic"/>
                <w:sz w:val="15"/>
              </w:rPr>
            </w:pPr>
            <w:r>
              <w:rPr>
                <w:rFonts w:hint="eastAsia" w:ascii="MS UI Gothic" w:hAnsi="MS UI Gothic" w:eastAsia="MS UI Gothic"/>
                <w:spacing w:val="-1"/>
                <w:w w:val="75"/>
                <w:sz w:val="15"/>
              </w:rPr>
              <w:t>２</w:t>
            </w:r>
            <w:r>
              <w:rPr>
                <w:rFonts w:hint="eastAsia" w:ascii="MS UI Gothic" w:hAnsi="MS UI Gothic" w:eastAsia="MS UI Gothic"/>
                <w:spacing w:val="3"/>
                <w:w w:val="75"/>
                <w:sz w:val="15"/>
              </w:rPr>
              <w:t>５</w:t>
            </w:r>
            <w:r>
              <w:rPr>
                <w:rFonts w:hint="eastAsia" w:ascii="MS UI Gothic" w:hAnsi="MS UI Gothic" w:eastAsia="MS UI Gothic"/>
                <w:spacing w:val="3"/>
                <w:w w:val="205"/>
                <w:sz w:val="15"/>
              </w:rPr>
              <w:t>≥</w:t>
            </w:r>
            <w:r>
              <w:rPr>
                <w:spacing w:val="8"/>
                <w:w w:val="47"/>
                <w:sz w:val="15"/>
              </w:rPr>
              <w:t>θ</w:t>
            </w:r>
            <w:r>
              <w:rPr>
                <w:rFonts w:hint="eastAsia" w:ascii="MS UI Gothic" w:hAnsi="MS UI Gothic" w:eastAsia="MS UI Gothic"/>
                <w:spacing w:val="12"/>
                <w:w w:val="172"/>
                <w:sz w:val="15"/>
              </w:rPr>
              <w:t>&gt;</w:t>
            </w:r>
            <w:r>
              <w:rPr>
                <w:rFonts w:hint="eastAsia" w:ascii="MS UI Gothic" w:hAnsi="MS UI Gothic" w:eastAsia="MS UI Gothic"/>
                <w:w w:val="75"/>
                <w:sz w:val="15"/>
              </w:rPr>
              <w:t>２０</w:t>
            </w:r>
          </w:p>
        </w:tc>
        <w:tc>
          <w:tcPr>
            <w:tcW w:w="1353" w:type="dxa"/>
            <w:tcBorders>
              <w:left w:val="single" w:color="231F20" w:sz="4" w:space="0"/>
              <w:bottom w:val="single" w:color="231F20" w:sz="4" w:space="0"/>
              <w:right w:val="single" w:color="231F20" w:sz="4" w:space="0"/>
            </w:tcBorders>
          </w:tcPr>
          <w:p>
            <w:pPr>
              <w:pStyle w:val="11"/>
              <w:spacing w:before="50"/>
              <w:ind w:left="308" w:right="301"/>
              <w:jc w:val="center"/>
              <w:rPr>
                <w:rFonts w:hint="eastAsia" w:ascii="MS UI Gothic" w:hAnsi="MS UI Gothic" w:eastAsia="MS UI Gothic"/>
                <w:sz w:val="15"/>
              </w:rPr>
            </w:pPr>
            <w:r>
              <w:rPr>
                <w:rFonts w:hint="eastAsia" w:ascii="MS UI Gothic" w:hAnsi="MS UI Gothic" w:eastAsia="MS UI Gothic"/>
                <w:spacing w:val="-1"/>
                <w:w w:val="75"/>
                <w:sz w:val="15"/>
              </w:rPr>
              <w:t>２</w:t>
            </w:r>
            <w:r>
              <w:rPr>
                <w:rFonts w:hint="eastAsia" w:ascii="MS UI Gothic" w:hAnsi="MS UI Gothic" w:eastAsia="MS UI Gothic"/>
                <w:spacing w:val="3"/>
                <w:w w:val="75"/>
                <w:sz w:val="15"/>
              </w:rPr>
              <w:t>０</w:t>
            </w:r>
            <w:r>
              <w:rPr>
                <w:rFonts w:hint="eastAsia" w:ascii="MS UI Gothic" w:hAnsi="MS UI Gothic" w:eastAsia="MS UI Gothic"/>
                <w:spacing w:val="3"/>
                <w:w w:val="205"/>
                <w:sz w:val="15"/>
              </w:rPr>
              <w:t>≥</w:t>
            </w:r>
            <w:r>
              <w:rPr>
                <w:spacing w:val="8"/>
                <w:w w:val="47"/>
                <w:sz w:val="15"/>
              </w:rPr>
              <w:t>θ</w:t>
            </w:r>
            <w:r>
              <w:rPr>
                <w:rFonts w:hint="eastAsia" w:ascii="MS UI Gothic" w:hAnsi="MS UI Gothic" w:eastAsia="MS UI Gothic"/>
                <w:spacing w:val="12"/>
                <w:w w:val="172"/>
                <w:sz w:val="15"/>
              </w:rPr>
              <w:t>&gt;</w:t>
            </w:r>
            <w:r>
              <w:rPr>
                <w:rFonts w:hint="eastAsia" w:ascii="MS UI Gothic" w:hAnsi="MS UI Gothic" w:eastAsia="MS UI Gothic"/>
                <w:spacing w:val="-1"/>
                <w:w w:val="75"/>
                <w:sz w:val="15"/>
              </w:rPr>
              <w:t>１</w:t>
            </w:r>
            <w:r>
              <w:rPr>
                <w:rFonts w:hint="eastAsia" w:ascii="MS UI Gothic" w:hAnsi="MS UI Gothic" w:eastAsia="MS UI Gothic"/>
                <w:w w:val="75"/>
                <w:sz w:val="15"/>
              </w:rPr>
              <w:t>４</w:t>
            </w:r>
          </w:p>
        </w:tc>
        <w:tc>
          <w:tcPr>
            <w:tcW w:w="1679" w:type="dxa"/>
            <w:tcBorders>
              <w:left w:val="single" w:color="231F20" w:sz="4" w:space="0"/>
              <w:bottom w:val="single" w:color="231F20" w:sz="4" w:space="0"/>
            </w:tcBorders>
          </w:tcPr>
          <w:p>
            <w:pPr>
              <w:pStyle w:val="11"/>
              <w:spacing w:before="50"/>
              <w:ind w:left="624" w:right="609"/>
              <w:jc w:val="center"/>
              <w:rPr>
                <w:rFonts w:hint="eastAsia" w:ascii="MS UI Gothic" w:hAnsi="MS UI Gothic" w:eastAsia="MS UI Gothic"/>
                <w:sz w:val="15"/>
              </w:rPr>
            </w:pPr>
            <w:r>
              <w:rPr>
                <w:rFonts w:hint="eastAsia" w:ascii="MS UI Gothic" w:hAnsi="MS UI Gothic" w:eastAsia="MS UI Gothic"/>
                <w:spacing w:val="3"/>
                <w:w w:val="51"/>
                <w:sz w:val="15"/>
              </w:rPr>
              <w:t>θ</w:t>
            </w:r>
            <w:r>
              <w:rPr>
                <w:rFonts w:hint="eastAsia" w:ascii="MS UI Gothic" w:hAnsi="MS UI Gothic" w:eastAsia="MS UI Gothic"/>
                <w:spacing w:val="-1"/>
                <w:w w:val="205"/>
                <w:sz w:val="15"/>
              </w:rPr>
              <w:t>≤</w:t>
            </w:r>
            <w:r>
              <w:rPr>
                <w:rFonts w:hint="eastAsia" w:ascii="MS UI Gothic" w:hAnsi="MS UI Gothic" w:eastAsia="MS UI Gothic"/>
                <w:w w:val="75"/>
                <w:sz w:val="15"/>
              </w:rPr>
              <w:t>１４</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228" w:type="dxa"/>
            <w:tcBorders>
              <w:top w:val="single" w:color="231F20" w:sz="4" w:space="0"/>
              <w:bottom w:val="single" w:color="231F20" w:sz="4" w:space="0"/>
              <w:right w:val="single" w:color="231F20" w:sz="4" w:space="0"/>
            </w:tcBorders>
          </w:tcPr>
          <w:p>
            <w:pPr>
              <w:pStyle w:val="11"/>
              <w:spacing w:before="55"/>
              <w:ind w:left="509" w:right="499"/>
              <w:jc w:val="center"/>
              <w:rPr>
                <w:sz w:val="15"/>
              </w:rPr>
            </w:pPr>
            <w:r>
              <w:rPr>
                <w:w w:val="105"/>
                <w:sz w:val="15"/>
              </w:rPr>
              <w:t>固定抱索器</w:t>
            </w:r>
          </w:p>
        </w:tc>
        <w:tc>
          <w:tcPr>
            <w:tcW w:w="1353" w:type="dxa"/>
            <w:tcBorders>
              <w:top w:val="single" w:color="231F20" w:sz="4" w:space="0"/>
              <w:left w:val="single" w:color="231F20" w:sz="4" w:space="0"/>
              <w:bottom w:val="single" w:color="231F20" w:sz="4" w:space="0"/>
              <w:right w:val="single" w:color="231F20" w:sz="4" w:space="0"/>
            </w:tcBorders>
          </w:tcPr>
          <w:p>
            <w:pPr>
              <w:pStyle w:val="11"/>
              <w:spacing w:before="55"/>
              <w:ind w:left="309" w:right="297"/>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８</w:t>
            </w:r>
          </w:p>
        </w:tc>
        <w:tc>
          <w:tcPr>
            <w:tcW w:w="4385" w:type="dxa"/>
            <w:gridSpan w:val="3"/>
            <w:tcBorders>
              <w:top w:val="single" w:color="231F20" w:sz="4" w:space="0"/>
              <w:left w:val="single" w:color="231F20" w:sz="4" w:space="0"/>
              <w:bottom w:val="single" w:color="231F20" w:sz="4" w:space="0"/>
            </w:tcBorders>
          </w:tcPr>
          <w:p>
            <w:pPr>
              <w:pStyle w:val="11"/>
              <w:spacing w:before="55"/>
              <w:ind w:left="1979" w:right="1963"/>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２</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228" w:type="dxa"/>
            <w:tcBorders>
              <w:top w:val="single" w:color="231F20" w:sz="4" w:space="0"/>
              <w:right w:val="single" w:color="231F20" w:sz="4" w:space="0"/>
            </w:tcBorders>
          </w:tcPr>
          <w:p>
            <w:pPr>
              <w:pStyle w:val="11"/>
              <w:spacing w:before="55"/>
              <w:ind w:left="509" w:right="499"/>
              <w:jc w:val="center"/>
              <w:rPr>
                <w:sz w:val="15"/>
              </w:rPr>
            </w:pPr>
            <w:r>
              <w:rPr>
                <w:w w:val="105"/>
                <w:sz w:val="15"/>
              </w:rPr>
              <w:t>可摘挂抱索器</w:t>
            </w:r>
          </w:p>
        </w:tc>
        <w:tc>
          <w:tcPr>
            <w:tcW w:w="1353" w:type="dxa"/>
            <w:tcBorders>
              <w:top w:val="single" w:color="231F20" w:sz="4" w:space="0"/>
              <w:left w:val="single" w:color="231F20" w:sz="4" w:space="0"/>
              <w:right w:val="single" w:color="231F20" w:sz="4" w:space="0"/>
            </w:tcBorders>
          </w:tcPr>
          <w:p>
            <w:pPr>
              <w:pStyle w:val="11"/>
              <w:spacing w:before="55"/>
              <w:ind w:left="12"/>
              <w:jc w:val="center"/>
              <w:rPr>
                <w:rFonts w:ascii="MS UI Gothic" w:hAnsi="MS UI Gothic"/>
                <w:sz w:val="15"/>
              </w:rPr>
            </w:pPr>
            <w:r>
              <w:rPr>
                <w:rFonts w:ascii="MS UI Gothic" w:hAnsi="MS UI Gothic"/>
                <w:w w:val="154"/>
                <w:sz w:val="15"/>
              </w:rPr>
              <w:t>—</w:t>
            </w:r>
          </w:p>
        </w:tc>
        <w:tc>
          <w:tcPr>
            <w:tcW w:w="1353" w:type="dxa"/>
            <w:tcBorders>
              <w:top w:val="single" w:color="231F20" w:sz="4" w:space="0"/>
              <w:left w:val="single" w:color="231F20" w:sz="4" w:space="0"/>
              <w:right w:val="single" w:color="231F20" w:sz="4" w:space="0"/>
            </w:tcBorders>
          </w:tcPr>
          <w:p>
            <w:pPr>
              <w:pStyle w:val="11"/>
              <w:spacing w:before="55"/>
              <w:ind w:left="309" w:right="297"/>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２</w:t>
            </w:r>
          </w:p>
        </w:tc>
        <w:tc>
          <w:tcPr>
            <w:tcW w:w="1353" w:type="dxa"/>
            <w:tcBorders>
              <w:top w:val="single" w:color="231F20" w:sz="4" w:space="0"/>
              <w:left w:val="single" w:color="231F20" w:sz="4" w:space="0"/>
              <w:right w:val="single" w:color="231F20" w:sz="4" w:space="0"/>
            </w:tcBorders>
          </w:tcPr>
          <w:p>
            <w:pPr>
              <w:pStyle w:val="11"/>
              <w:spacing w:before="55"/>
              <w:ind w:left="309" w:right="298"/>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４</w:t>
            </w:r>
          </w:p>
        </w:tc>
        <w:tc>
          <w:tcPr>
            <w:tcW w:w="1679" w:type="dxa"/>
            <w:tcBorders>
              <w:top w:val="single" w:color="231F20" w:sz="4" w:space="0"/>
              <w:left w:val="single" w:color="231F20" w:sz="4" w:space="0"/>
            </w:tcBorders>
          </w:tcPr>
          <w:p>
            <w:pPr>
              <w:pStyle w:val="11"/>
              <w:spacing w:before="55"/>
              <w:ind w:left="624" w:right="609"/>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７</w:t>
            </w:r>
          </w:p>
        </w:tc>
      </w:tr>
    </w:tbl>
    <w:p>
      <w:pPr>
        <w:pStyle w:val="6"/>
        <w:spacing w:before="2"/>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175" w:line="292"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驱动系统必须设置失效安全型</w:t>
      </w:r>
      <w:r>
        <w:t>工作制动装置和安全制动装置</w:t>
      </w:r>
      <w:r>
        <w:rPr>
          <w:rFonts w:hint="eastAsia" w:ascii="MS UI Gothic" w:eastAsia="MS UI Gothic"/>
          <w:w w:val="80"/>
        </w:rPr>
        <w:t xml:space="preserve">ꎬ </w:t>
      </w:r>
      <w:r>
        <w:t>安全制动</w:t>
      </w:r>
      <w:r>
        <w:rPr>
          <w:w w:val="105"/>
        </w:rPr>
        <w:t>装置必须设置在驱动轮上</w:t>
      </w:r>
      <w:r>
        <w:rPr>
          <w:rFonts w:hint="eastAsia" w:ascii="MS UI Gothic" w:eastAsia="MS UI Gothic"/>
          <w:w w:val="80"/>
        </w:rPr>
        <w:t>ꎮ</w:t>
      </w:r>
    </w:p>
    <w:p>
      <w:pPr>
        <w:pStyle w:val="6"/>
        <w:spacing w:before="3" w:line="292"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各乘人站设上下人平台</w:t>
      </w:r>
      <w:r>
        <w:rPr>
          <w:rFonts w:hint="eastAsia" w:ascii="MS UI Gothic" w:eastAsia="MS UI Gothic"/>
          <w:w w:val="80"/>
        </w:rPr>
        <w:t xml:space="preserve">ꎬ </w:t>
      </w:r>
      <w:r>
        <w:rPr>
          <w:w w:val="105"/>
        </w:rPr>
        <w:t xml:space="preserve">乘人平台处钢丝绳距巷道壁不小于 </w:t>
      </w:r>
      <w:r>
        <w:rPr>
          <w:rFonts w:hint="eastAsia" w:ascii="MS UI Gothic" w:eastAsia="MS UI Gothic"/>
          <w:w w:val="80"/>
        </w:rPr>
        <w:t xml:space="preserve">１ ｍꎬ </w:t>
      </w:r>
      <w:r>
        <w:rPr>
          <w:w w:val="105"/>
        </w:rPr>
        <w:t>路面应当进行防滑处理</w:t>
      </w:r>
      <w:r>
        <w:rPr>
          <w:rFonts w:hint="eastAsia" w:ascii="MS UI Gothic" w:eastAsia="MS UI Gothic"/>
          <w:w w:val="80"/>
        </w:rPr>
        <w:t>ꎮ</w:t>
      </w:r>
    </w:p>
    <w:p>
      <w:pPr>
        <w:pStyle w:val="6"/>
        <w:spacing w:before="2" w:line="292" w:lineRule="auto"/>
        <w:ind w:right="38"/>
      </w:pPr>
      <w:r>
        <w:rPr>
          <w:rFonts w:hint="eastAsia" w:ascii="MS UI Gothic" w:eastAsia="MS UI Gothic"/>
          <w:w w:val="150"/>
        </w:rPr>
        <w:t xml:space="preserve">( </w:t>
      </w:r>
      <w:r>
        <w:t>六</w:t>
      </w:r>
      <w:r>
        <w:rPr>
          <w:rFonts w:hint="eastAsia" w:ascii="MS UI Gothic" w:eastAsia="MS UI Gothic"/>
          <w:w w:val="150"/>
        </w:rPr>
        <w:t xml:space="preserve">) </w:t>
      </w:r>
      <w:r>
        <w:t>架空乘人装置必须装设超速</w:t>
      </w:r>
      <w:r>
        <w:rPr>
          <w:rFonts w:hint="eastAsia" w:ascii="MS UI Gothic" w:eastAsia="MS UI Gothic"/>
          <w:w w:val="80"/>
        </w:rPr>
        <w:t>、</w:t>
      </w:r>
      <w:r>
        <w:t>打滑</w:t>
      </w:r>
      <w:r>
        <w:rPr>
          <w:rFonts w:hint="eastAsia" w:ascii="MS UI Gothic" w:eastAsia="MS UI Gothic"/>
          <w:w w:val="80"/>
        </w:rPr>
        <w:t xml:space="preserve">、 </w:t>
      </w:r>
      <w:r>
        <w:t>全程急停</w:t>
      </w:r>
      <w:r>
        <w:rPr>
          <w:rFonts w:hint="eastAsia" w:ascii="MS UI Gothic" w:eastAsia="MS UI Gothic"/>
          <w:w w:val="80"/>
        </w:rPr>
        <w:t xml:space="preserve">、 </w:t>
      </w:r>
      <w:r>
        <w:t>防脱绳</w:t>
      </w:r>
      <w:r>
        <w:rPr>
          <w:rFonts w:hint="eastAsia" w:ascii="MS UI Gothic" w:eastAsia="MS UI Gothic"/>
          <w:w w:val="80"/>
        </w:rPr>
        <w:t xml:space="preserve">、 </w:t>
      </w:r>
      <w:r>
        <w:t>变坡点防掉绳</w:t>
      </w:r>
      <w:r>
        <w:rPr>
          <w:rFonts w:hint="eastAsia" w:ascii="MS UI Gothic" w:eastAsia="MS UI Gothic"/>
          <w:w w:val="80"/>
        </w:rPr>
        <w:t xml:space="preserve">、 </w:t>
      </w:r>
      <w:r>
        <w:t>张紧力下降</w:t>
      </w:r>
      <w:r>
        <w:rPr>
          <w:rFonts w:hint="eastAsia" w:ascii="MS UI Gothic" w:eastAsia="MS UI Gothic"/>
          <w:w w:val="80"/>
        </w:rPr>
        <w:t xml:space="preserve">、 </w:t>
      </w:r>
      <w:r>
        <w:t>越位等保护</w:t>
      </w:r>
      <w:r>
        <w:rPr>
          <w:rFonts w:hint="eastAsia" w:ascii="MS UI Gothic" w:eastAsia="MS UI Gothic"/>
          <w:w w:val="80"/>
        </w:rPr>
        <w:t xml:space="preserve">ꎬ </w:t>
      </w:r>
      <w:r>
        <w:t>安全保护装置发生保护动作后</w:t>
      </w:r>
      <w:r>
        <w:rPr>
          <w:rFonts w:hint="eastAsia" w:ascii="MS UI Gothic" w:eastAsia="MS UI Gothic"/>
          <w:w w:val="80"/>
        </w:rPr>
        <w:t xml:space="preserve">ꎬ </w:t>
      </w:r>
      <w:r>
        <w:t>需经人工复位</w:t>
      </w:r>
      <w:r>
        <w:rPr>
          <w:rFonts w:hint="eastAsia" w:ascii="MS UI Gothic" w:eastAsia="MS UI Gothic"/>
          <w:w w:val="80"/>
        </w:rPr>
        <w:t xml:space="preserve">ꎬ </w:t>
      </w:r>
      <w:r>
        <w:t>方</w:t>
      </w:r>
    </w:p>
    <w:p>
      <w:pPr>
        <w:pStyle w:val="6"/>
        <w:spacing w:before="175"/>
        <w:ind w:firstLine="0"/>
        <w:jc w:val="left"/>
        <w:rPr>
          <w:rFonts w:hint="eastAsia" w:ascii="MS UI Gothic" w:eastAsia="MS UI Gothic"/>
        </w:rPr>
      </w:pPr>
      <w:r>
        <w:br w:type="column"/>
      </w:r>
      <w:r>
        <w:t>可重新启动</w:t>
      </w:r>
      <w:r>
        <w:rPr>
          <w:rFonts w:hint="eastAsia" w:ascii="MS UI Gothic" w:eastAsia="MS UI Gothic"/>
          <w:w w:val="80"/>
        </w:rPr>
        <w:t>ꎮ</w:t>
      </w:r>
    </w:p>
    <w:p>
      <w:pPr>
        <w:pStyle w:val="6"/>
        <w:spacing w:before="58"/>
        <w:ind w:left="543" w:firstLine="0"/>
        <w:jc w:val="left"/>
        <w:rPr>
          <w:rFonts w:hint="eastAsia" w:ascii="MS UI Gothic" w:eastAsia="MS UI Gothic"/>
        </w:rPr>
      </w:pPr>
      <w:r>
        <w:t>应当有断轴保护措施</w:t>
      </w:r>
      <w:r>
        <w:rPr>
          <w:rFonts w:hint="eastAsia" w:ascii="MS UI Gothic" w:eastAsia="MS UI Gothic"/>
          <w:w w:val="80"/>
        </w:rPr>
        <w:t>ꎮ</w:t>
      </w:r>
    </w:p>
    <w:p>
      <w:pPr>
        <w:pStyle w:val="6"/>
        <w:spacing w:before="56" w:line="292" w:lineRule="auto"/>
        <w:ind w:right="442"/>
        <w:rPr>
          <w:rFonts w:hint="eastAsia" w:ascii="MS UI Gothic" w:eastAsia="MS UI Gothic"/>
        </w:rPr>
      </w:pPr>
      <w:r>
        <w:t>减速器应当设置油温检测装置</w:t>
      </w:r>
      <w:r>
        <w:rPr>
          <w:rFonts w:hint="eastAsia" w:ascii="MS UI Gothic" w:eastAsia="MS UI Gothic"/>
          <w:w w:val="80"/>
        </w:rPr>
        <w:t xml:space="preserve">ꎬ </w:t>
      </w:r>
      <w:r>
        <w:t>当油温异常时能发出报警信号</w:t>
      </w:r>
      <w:r>
        <w:rPr>
          <w:rFonts w:hint="eastAsia" w:ascii="MS UI Gothic" w:eastAsia="MS UI Gothic"/>
          <w:w w:val="80"/>
        </w:rPr>
        <w:t xml:space="preserve">ꎮ </w:t>
      </w:r>
      <w:r>
        <w:t>沿线应当设置延时启动声光预警信号</w:t>
      </w:r>
      <w:r>
        <w:rPr>
          <w:rFonts w:hint="eastAsia" w:ascii="MS UI Gothic" w:eastAsia="MS UI Gothic"/>
          <w:w w:val="80"/>
        </w:rPr>
        <w:t xml:space="preserve">ꎮ </w:t>
      </w:r>
      <w:r>
        <w:t>各上下人地点应当设置信号通信装置</w:t>
      </w:r>
      <w:r>
        <w:rPr>
          <w:rFonts w:hint="eastAsia" w:ascii="MS UI Gothic" w:eastAsia="MS UI Gothic"/>
          <w:w w:val="80"/>
        </w:rPr>
        <w:t>ꎮ</w:t>
      </w:r>
    </w:p>
    <w:p>
      <w:pPr>
        <w:pStyle w:val="6"/>
        <w:spacing w:before="3" w:line="292" w:lineRule="auto"/>
        <w:ind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倾斜巷道中架空乘人装置与轨</w:t>
      </w:r>
      <w:r>
        <w:t>道提升系统同巷布置时</w:t>
      </w:r>
      <w:r>
        <w:rPr>
          <w:rFonts w:hint="eastAsia" w:ascii="MS UI Gothic" w:eastAsia="MS UI Gothic"/>
          <w:w w:val="80"/>
        </w:rPr>
        <w:t xml:space="preserve">ꎬ </w:t>
      </w:r>
      <w:r>
        <w:t>必须设置电气闭</w:t>
      </w:r>
      <w:r>
        <w:rPr>
          <w:w w:val="105"/>
        </w:rPr>
        <w:t>锁</w:t>
      </w:r>
      <w:r>
        <w:rPr>
          <w:rFonts w:hint="eastAsia" w:ascii="MS UI Gothic" w:eastAsia="MS UI Gothic"/>
          <w:w w:val="80"/>
        </w:rPr>
        <w:t xml:space="preserve">ꎬ ２ </w:t>
      </w:r>
      <w:r>
        <w:rPr>
          <w:w w:val="105"/>
        </w:rPr>
        <w:t>种设备不得同时运行</w:t>
      </w:r>
      <w:r>
        <w:rPr>
          <w:rFonts w:hint="eastAsia" w:ascii="MS UI Gothic" w:eastAsia="MS UI Gothic"/>
          <w:w w:val="80"/>
        </w:rPr>
        <w:t>ꎮ</w:t>
      </w:r>
    </w:p>
    <w:p>
      <w:pPr>
        <w:pStyle w:val="6"/>
        <w:spacing w:before="2"/>
        <w:ind w:left="543" w:firstLine="0"/>
        <w:jc w:val="left"/>
      </w:pPr>
      <w:r>
        <w:rPr>
          <w:w w:val="105"/>
        </w:rPr>
        <w:t>倾斜巷道中架空乘人装置与带式输送</w:t>
      </w:r>
    </w:p>
    <w:p>
      <w:pPr>
        <w:spacing w:after="0"/>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２９５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13" o:spid="_x0000_s1913" o:spt="203" style="height:2.15pt;width:398.25pt;" coordsize="7965,43">
            <o:lock v:ext="edit"/>
            <v:line id="_x0000_s1914" o:spid="_x0000_s1914" o:spt="20" style="position:absolute;left:0;top:39;height:0;width:7965;" stroked="t" coordsize="21600,21600">
              <v:path arrowok="t"/>
              <v:fill focussize="0,0"/>
              <v:stroke weight="0.388031496062992pt" color="#231F20"/>
              <v:imagedata o:title=""/>
              <o:lock v:ext="edit"/>
            </v:line>
            <v:line id="_x0000_s1915" o:spid="_x0000_s191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机同巷布置时</w:t>
      </w:r>
      <w:r>
        <w:rPr>
          <w:rFonts w:hint="eastAsia" w:ascii="MS UI Gothic" w:eastAsia="MS UI Gothic"/>
          <w:w w:val="80"/>
        </w:rPr>
        <w:t xml:space="preserve">ꎬ </w:t>
      </w:r>
      <w:r>
        <w:t>必须采取可靠的隔离措施</w:t>
      </w:r>
      <w:r>
        <w:rPr>
          <w:rFonts w:hint="eastAsia" w:ascii="MS UI Gothic" w:eastAsia="MS UI Gothic"/>
          <w:w w:val="80"/>
        </w:rPr>
        <w:t>ꎮ</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巷道应当设置照明</w:t>
      </w:r>
      <w:r>
        <w:rPr>
          <w:rFonts w:hint="eastAsia" w:ascii="MS UI Gothic" w:eastAsia="MS UI Gothic"/>
          <w:w w:val="80"/>
        </w:rPr>
        <w:t>ꎮ</w:t>
      </w:r>
    </w:p>
    <w:p>
      <w:pPr>
        <w:pStyle w:val="6"/>
        <w:spacing w:before="58"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九</w:t>
      </w:r>
      <w:r>
        <w:rPr>
          <w:rFonts w:hint="eastAsia" w:ascii="MS UI Gothic" w:eastAsia="MS UI Gothic"/>
          <w:spacing w:val="8"/>
          <w:w w:val="150"/>
        </w:rPr>
        <w:t xml:space="preserve">) </w:t>
      </w:r>
      <w:r>
        <w:rPr>
          <w:spacing w:val="-1"/>
          <w:w w:val="105"/>
        </w:rPr>
        <w:t xml:space="preserve">每日至少对整个装置进行 </w:t>
      </w:r>
      <w:r>
        <w:rPr>
          <w:rFonts w:hint="eastAsia" w:ascii="MS UI Gothic" w:eastAsia="MS UI Gothic"/>
          <w:spacing w:val="4"/>
          <w:w w:val="80"/>
        </w:rPr>
        <w:t xml:space="preserve">１ </w:t>
      </w:r>
      <w:r>
        <w:rPr>
          <w:w w:val="105"/>
        </w:rPr>
        <w:t>次</w:t>
      </w:r>
      <w:r>
        <w:rPr>
          <w:spacing w:val="1"/>
          <w:w w:val="105"/>
        </w:rPr>
        <w:t>检查</w:t>
      </w:r>
      <w:r>
        <w:rPr>
          <w:rFonts w:hint="eastAsia" w:ascii="MS UI Gothic" w:eastAsia="MS UI Gothic"/>
          <w:spacing w:val="-2"/>
          <w:w w:val="80"/>
        </w:rPr>
        <w:t xml:space="preserve">ꎬ </w:t>
      </w:r>
      <w:r>
        <w:rPr>
          <w:spacing w:val="-6"/>
          <w:w w:val="105"/>
        </w:rPr>
        <w:t xml:space="preserve">每年至少对整个装置进行 </w:t>
      </w:r>
      <w:r>
        <w:rPr>
          <w:rFonts w:hint="eastAsia" w:ascii="MS UI Gothic" w:eastAsia="MS UI Gothic"/>
          <w:spacing w:val="-12"/>
          <w:w w:val="80"/>
        </w:rPr>
        <w:t xml:space="preserve">１ </w:t>
      </w:r>
      <w:r>
        <w:rPr>
          <w:spacing w:val="3"/>
          <w:w w:val="105"/>
        </w:rPr>
        <w:t>次安全检测检验</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十</w:t>
      </w:r>
      <w:r>
        <w:rPr>
          <w:rFonts w:hint="eastAsia" w:ascii="MS UI Gothic" w:eastAsia="MS UI Gothic"/>
          <w:spacing w:val="6"/>
          <w:w w:val="105"/>
        </w:rPr>
        <w:t xml:space="preserve">) </w:t>
      </w:r>
      <w:r>
        <w:rPr>
          <w:spacing w:val="5"/>
          <w:w w:val="105"/>
        </w:rPr>
        <w:t>严禁同时运送携带爆炸物品的</w:t>
      </w:r>
      <w:r>
        <w:rPr>
          <w:spacing w:val="3"/>
          <w:w w:val="110"/>
        </w:rPr>
        <w:t>人员</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8"/>
          <w:w w:val="105"/>
        </w:rPr>
        <w:t>第三百八十四条 新建</w:t>
      </w:r>
      <w:r>
        <w:rPr>
          <w:rFonts w:hint="eastAsia" w:ascii="MS UI Gothic" w:eastAsia="MS UI Gothic"/>
          <w:spacing w:val="18"/>
          <w:w w:val="80"/>
        </w:rPr>
        <w:t xml:space="preserve">、 </w:t>
      </w:r>
      <w:r>
        <w:rPr>
          <w:spacing w:val="2"/>
          <w:w w:val="105"/>
        </w:rPr>
        <w:t>扩建矿井严</w:t>
      </w:r>
      <w:r>
        <w:rPr>
          <w:spacing w:val="3"/>
        </w:rPr>
        <w:t>禁采用普通轨斜井人车运输</w:t>
      </w:r>
      <w:r>
        <w:rPr>
          <w:rFonts w:hint="eastAsia" w:ascii="MS UI Gothic" w:eastAsia="MS UI Gothic"/>
          <w:spacing w:val="21"/>
          <w:w w:val="80"/>
        </w:rPr>
        <w:t xml:space="preserve">ꎮ </w:t>
      </w:r>
      <w:r>
        <w:rPr>
          <w:spacing w:val="2"/>
        </w:rPr>
        <w:t>生产矿井在</w:t>
      </w:r>
      <w:r>
        <w:rPr>
          <w:spacing w:val="3"/>
        </w:rPr>
        <w:t>用的普通轨斜井人车运输</w:t>
      </w:r>
      <w:r>
        <w:rPr>
          <w:rFonts w:hint="eastAsia" w:ascii="MS UI Gothic" w:eastAsia="MS UI Gothic"/>
          <w:spacing w:val="21"/>
          <w:w w:val="80"/>
        </w:rPr>
        <w:t xml:space="preserve">ꎬ </w:t>
      </w:r>
      <w:r>
        <w:rPr>
          <w:spacing w:val="2"/>
        </w:rPr>
        <w:t>必须遵守下列</w:t>
      </w:r>
      <w:r>
        <w:rPr>
          <w:spacing w:val="3"/>
          <w:w w:val="105"/>
        </w:rPr>
        <w:t>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车辆必须设置可靠的制动装</w:t>
      </w:r>
      <w:r>
        <w:t>置</w:t>
      </w:r>
      <w:r>
        <w:rPr>
          <w:rFonts w:hint="eastAsia" w:ascii="MS UI Gothic" w:eastAsia="MS UI Gothic"/>
          <w:w w:val="80"/>
        </w:rPr>
        <w:t xml:space="preserve">ꎮ </w:t>
      </w:r>
      <w:r>
        <w:t>断绳时</w:t>
      </w:r>
      <w:r>
        <w:rPr>
          <w:rFonts w:hint="eastAsia" w:ascii="MS UI Gothic" w:eastAsia="MS UI Gothic"/>
          <w:w w:val="80"/>
        </w:rPr>
        <w:t xml:space="preserve">ꎬ </w:t>
      </w:r>
      <w:r>
        <w:t>制动装置既能自动发生作</w:t>
      </w:r>
      <w:r>
        <w:rPr>
          <w:w w:val="105"/>
        </w:rPr>
        <w:t>用</w:t>
      </w:r>
      <w:r>
        <w:rPr>
          <w:rFonts w:hint="eastAsia" w:ascii="MS UI Gothic" w:eastAsia="MS UI Gothic"/>
          <w:w w:val="80"/>
        </w:rPr>
        <w:t xml:space="preserve">ꎬ </w:t>
      </w:r>
      <w:r>
        <w:rPr>
          <w:w w:val="105"/>
        </w:rPr>
        <w:t>也能人工操纵</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必须设置使跟车工在运行途中</w:t>
      </w:r>
      <w:r>
        <w:t>任何地点都能发送紧急停车信号的装置</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多水平运输时</w:t>
      </w:r>
      <w:r>
        <w:rPr>
          <w:rFonts w:hint="eastAsia" w:ascii="MS UI Gothic" w:eastAsia="MS UI Gothic"/>
          <w:w w:val="80"/>
        </w:rPr>
        <w:t xml:space="preserve">ꎬ </w:t>
      </w:r>
      <w:r>
        <w:rPr>
          <w:w w:val="105"/>
        </w:rPr>
        <w:t>从各水平发出的信号必须有区别</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人员上下地点应当悬挂信号</w:t>
      </w:r>
      <w:r>
        <w:t>牌</w:t>
      </w:r>
      <w:r>
        <w:rPr>
          <w:rFonts w:hint="eastAsia" w:ascii="MS UI Gothic" w:eastAsia="MS UI Gothic"/>
          <w:w w:val="80"/>
        </w:rPr>
        <w:t xml:space="preserve">ꎮ </w:t>
      </w:r>
      <w:r>
        <w:t>任一区段行车时</w:t>
      </w:r>
      <w:r>
        <w:rPr>
          <w:rFonts w:hint="eastAsia" w:ascii="MS UI Gothic" w:eastAsia="MS UI Gothic"/>
          <w:w w:val="80"/>
        </w:rPr>
        <w:t xml:space="preserve">ꎬ </w:t>
      </w:r>
      <w:r>
        <w:t>各水平必须有信号</w:t>
      </w:r>
      <w:r>
        <w:rPr>
          <w:w w:val="105"/>
        </w:rPr>
        <w:t>显示</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应当有跟车工</w:t>
      </w:r>
      <w:r>
        <w:rPr>
          <w:rFonts w:hint="eastAsia" w:ascii="MS UI Gothic" w:eastAsia="MS UI Gothic"/>
          <w:w w:val="80"/>
        </w:rPr>
        <w:t xml:space="preserve">ꎬ </w:t>
      </w:r>
      <w:r>
        <w:rPr>
          <w:w w:val="105"/>
        </w:rPr>
        <w:t>跟车工必须坐在设有手动制动装置把手的位置</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每班运送人员前</w:t>
      </w:r>
      <w:r>
        <w:rPr>
          <w:rFonts w:hint="eastAsia" w:ascii="MS UI Gothic" w:eastAsia="MS UI Gothic"/>
          <w:w w:val="80"/>
        </w:rPr>
        <w:t xml:space="preserve">ꎬ </w:t>
      </w:r>
      <w:r>
        <w:rPr>
          <w:w w:val="105"/>
        </w:rPr>
        <w:t>必须检查人车的连接装置</w:t>
      </w:r>
      <w:r>
        <w:rPr>
          <w:rFonts w:hint="eastAsia" w:ascii="MS UI Gothic" w:eastAsia="MS UI Gothic"/>
          <w:w w:val="80"/>
        </w:rPr>
        <w:t xml:space="preserve">、 </w:t>
      </w:r>
      <w:r>
        <w:rPr>
          <w:w w:val="105"/>
        </w:rPr>
        <w:t>保险链和制动装置</w:t>
      </w:r>
      <w:r>
        <w:rPr>
          <w:rFonts w:hint="eastAsia" w:ascii="MS UI Gothic" w:eastAsia="MS UI Gothic"/>
          <w:w w:val="80"/>
        </w:rPr>
        <w:t xml:space="preserve">ꎬ </w:t>
      </w:r>
      <w:r>
        <w:rPr>
          <w:w w:val="105"/>
        </w:rPr>
        <w:t>并先空载运行一次</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第三百八十五条 采用平巷人车运送</w:t>
      </w:r>
      <w:r>
        <w:rPr>
          <w:w w:val="110"/>
        </w:rPr>
        <w:t>人员时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32"/>
          <w:w w:val="115"/>
        </w:rPr>
        <w:t xml:space="preserve">( </w:t>
      </w:r>
      <w:r>
        <w:rPr>
          <w:spacing w:val="3"/>
          <w:w w:val="110"/>
        </w:rPr>
        <w:t>一</w:t>
      </w:r>
      <w:r>
        <w:rPr>
          <w:rFonts w:hint="eastAsia" w:ascii="MS UI Gothic" w:eastAsia="MS UI Gothic"/>
          <w:spacing w:val="-14"/>
          <w:w w:val="115"/>
        </w:rPr>
        <w:t xml:space="preserve">) </w:t>
      </w:r>
      <w:r>
        <w:rPr>
          <w:spacing w:val="5"/>
          <w:w w:val="110"/>
        </w:rPr>
        <w:t>每班发车前</w:t>
      </w:r>
      <w:r>
        <w:rPr>
          <w:rFonts w:hint="eastAsia" w:ascii="MS UI Gothic" w:eastAsia="MS UI Gothic"/>
          <w:spacing w:val="-6"/>
          <w:w w:val="80"/>
        </w:rPr>
        <w:t xml:space="preserve">ꎬ </w:t>
      </w:r>
      <w:r>
        <w:rPr>
          <w:spacing w:val="9"/>
          <w:w w:val="110"/>
        </w:rPr>
        <w:t>应当检查各车的</w:t>
      </w:r>
      <w:r>
        <w:rPr>
          <w:spacing w:val="8"/>
          <w:w w:val="110"/>
        </w:rPr>
        <w:t>连接装置</w:t>
      </w:r>
      <w:r>
        <w:rPr>
          <w:rFonts w:hint="eastAsia" w:ascii="MS UI Gothic" w:eastAsia="MS UI Gothic"/>
          <w:spacing w:val="15"/>
          <w:w w:val="80"/>
        </w:rPr>
        <w:t xml:space="preserve">、 </w:t>
      </w:r>
      <w:r>
        <w:rPr>
          <w:spacing w:val="12"/>
          <w:w w:val="110"/>
        </w:rPr>
        <w:t>轮轴</w:t>
      </w:r>
      <w:r>
        <w:rPr>
          <w:rFonts w:hint="eastAsia" w:ascii="MS UI Gothic" w:eastAsia="MS UI Gothic"/>
          <w:spacing w:val="15"/>
          <w:w w:val="80"/>
        </w:rPr>
        <w:t xml:space="preserve">、 </w:t>
      </w:r>
      <w:r>
        <w:rPr>
          <w:spacing w:val="-8"/>
          <w:w w:val="110"/>
        </w:rPr>
        <w:t xml:space="preserve">车门 </w:t>
      </w:r>
      <w:r>
        <w:rPr>
          <w:rFonts w:hint="eastAsia" w:ascii="MS UI Gothic" w:eastAsia="MS UI Gothic"/>
          <w:spacing w:val="-34"/>
          <w:w w:val="150"/>
        </w:rPr>
        <w:t xml:space="preserve">( </w:t>
      </w:r>
      <w:r>
        <w:rPr>
          <w:spacing w:val="21"/>
          <w:w w:val="110"/>
        </w:rPr>
        <w:t>防护链</w:t>
      </w:r>
      <w:r>
        <w:rPr>
          <w:rFonts w:hint="eastAsia" w:ascii="MS UI Gothic" w:eastAsia="MS UI Gothic"/>
          <w:spacing w:val="1"/>
          <w:w w:val="150"/>
        </w:rPr>
        <w:t xml:space="preserve">) </w:t>
      </w:r>
      <w:r>
        <w:rPr>
          <w:spacing w:val="11"/>
          <w:w w:val="110"/>
        </w:rPr>
        <w:t>和车</w:t>
      </w:r>
      <w:r>
        <w:rPr>
          <w:spacing w:val="3"/>
          <w:w w:val="110"/>
        </w:rPr>
        <w:t>闸等</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严禁同时运送易燃易爆或者腐蚀性的物品</w:t>
      </w:r>
      <w:r>
        <w:rPr>
          <w:rFonts w:hint="eastAsia" w:ascii="MS UI Gothic" w:eastAsia="MS UI Gothic"/>
          <w:w w:val="80"/>
        </w:rPr>
        <w:t xml:space="preserve">ꎬ </w:t>
      </w:r>
      <w:r>
        <w:rPr>
          <w:w w:val="105"/>
        </w:rPr>
        <w:t>或者附挂物料车</w:t>
      </w:r>
      <w:r>
        <w:rPr>
          <w:rFonts w:hint="eastAsia" w:ascii="MS UI Gothic" w:eastAsia="MS UI Gothic"/>
          <w:w w:val="80"/>
        </w:rPr>
        <w:t>ꎮ</w:t>
      </w:r>
    </w:p>
    <w:p>
      <w:pPr>
        <w:pStyle w:val="6"/>
        <w:spacing w:line="295" w:lineRule="auto"/>
        <w:ind w:left="860" w:firstLine="0"/>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5"/>
          <w:w w:val="150"/>
        </w:rPr>
        <w:t xml:space="preserve">) </w:t>
      </w:r>
      <w:r>
        <w:rPr>
          <w:spacing w:val="-5"/>
          <w:w w:val="105"/>
        </w:rPr>
        <w:t xml:space="preserve">列车行驶速度不得超过 </w:t>
      </w:r>
      <w:r>
        <w:rPr>
          <w:rFonts w:hint="eastAsia" w:ascii="MS UI Gothic" w:eastAsia="MS UI Gothic"/>
          <w:w w:val="80"/>
        </w:rPr>
        <w:t>４ ｍ</w:t>
      </w:r>
      <w:r>
        <w:rPr>
          <w:rFonts w:hint="eastAsia" w:ascii="MS UI Gothic" w:eastAsia="MS UI Gothic"/>
          <w:spacing w:val="-29"/>
          <w:w w:val="80"/>
        </w:rPr>
        <w:t xml:space="preserve"> </w:t>
      </w:r>
      <w:r>
        <w:rPr>
          <w:rFonts w:hint="eastAsia" w:ascii="MS UI Gothic" w:eastAsia="MS UI Gothic"/>
          <w:w w:val="65"/>
        </w:rPr>
        <w:t>/</w:t>
      </w:r>
      <w:r>
        <w:rPr>
          <w:rFonts w:hint="eastAsia" w:ascii="MS UI Gothic" w:eastAsia="MS UI Gothic"/>
          <w:spacing w:val="-10"/>
          <w:w w:val="65"/>
        </w:rPr>
        <w:t xml:space="preserve"> </w:t>
      </w:r>
      <w:r>
        <w:rPr>
          <w:rFonts w:hint="eastAsia" w:ascii="MS UI Gothic" w:eastAsia="MS UI Gothic"/>
          <w:spacing w:val="3"/>
          <w:w w:val="80"/>
        </w:rPr>
        <w:t>ｓ</w:t>
      </w:r>
      <w:r>
        <w:rPr>
          <w:rFonts w:hint="eastAsia" w:ascii="MS UI Gothic" w:eastAsia="MS UI Gothic"/>
          <w:w w:val="80"/>
        </w:rPr>
        <w:t>ꎮ</w:t>
      </w:r>
      <w:r>
        <w:rPr>
          <w:rFonts w:hint="eastAsia" w:ascii="MS UI Gothic" w:eastAsia="MS UI Gothic"/>
          <w:spacing w:val="-41"/>
          <w:w w:val="150"/>
        </w:rPr>
        <w:t xml:space="preserve">( </w:t>
      </w:r>
      <w:r>
        <w:rPr>
          <w:spacing w:val="7"/>
          <w:w w:val="105"/>
        </w:rPr>
        <w:t>四</w:t>
      </w:r>
      <w:r>
        <w:rPr>
          <w:rFonts w:hint="eastAsia" w:ascii="MS UI Gothic" w:eastAsia="MS UI Gothic"/>
          <w:spacing w:val="-12"/>
          <w:w w:val="150"/>
        </w:rPr>
        <w:t xml:space="preserve">) </w:t>
      </w:r>
      <w:r>
        <w:rPr>
          <w:spacing w:val="15"/>
          <w:w w:val="105"/>
        </w:rPr>
        <w:t>人员上下车地点应当有照明</w:t>
      </w:r>
      <w:r>
        <w:rPr>
          <w:rFonts w:hint="eastAsia" w:ascii="MS UI Gothic" w:eastAsia="MS UI Gothic"/>
          <w:spacing w:val="-13"/>
          <w:w w:val="80"/>
        </w:rPr>
        <w:t>ꎬ</w:t>
      </w:r>
    </w:p>
    <w:p>
      <w:pPr>
        <w:pStyle w:val="6"/>
        <w:spacing w:line="295" w:lineRule="auto"/>
        <w:ind w:left="440" w:right="1" w:firstLine="0"/>
        <w:rPr>
          <w:rFonts w:hint="eastAsia" w:ascii="MS UI Gothic" w:eastAsia="MS UI Gothic"/>
        </w:rPr>
      </w:pPr>
      <w:r>
        <w:t>架空线必须设置分段开关或者自动停送电开关</w:t>
      </w:r>
      <w:r>
        <w:rPr>
          <w:rFonts w:hint="eastAsia" w:ascii="MS UI Gothic" w:eastAsia="MS UI Gothic"/>
          <w:w w:val="80"/>
        </w:rPr>
        <w:t xml:space="preserve">ꎬ </w:t>
      </w:r>
      <w:r>
        <w:t>人员上下车时必须切断该区段架空</w:t>
      </w:r>
      <w:r>
        <w:rPr>
          <w:w w:val="105"/>
        </w:rPr>
        <w:t>线电源</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双轨巷道乘车场必须设置信号</w:t>
      </w:r>
      <w:r>
        <w:t>区间闭锁</w:t>
      </w:r>
      <w:r>
        <w:rPr>
          <w:rFonts w:hint="eastAsia" w:ascii="MS UI Gothic" w:eastAsia="MS UI Gothic"/>
          <w:w w:val="80"/>
        </w:rPr>
        <w:t xml:space="preserve">ꎬ </w:t>
      </w:r>
      <w:r>
        <w:t>人员上下车时</w:t>
      </w:r>
      <w:r>
        <w:rPr>
          <w:rFonts w:hint="eastAsia" w:ascii="MS UI Gothic" w:eastAsia="MS UI Gothic"/>
          <w:w w:val="80"/>
        </w:rPr>
        <w:t xml:space="preserve">ꎬ </w:t>
      </w:r>
      <w:r>
        <w:t>严禁其他车辆</w:t>
      </w:r>
      <w:r>
        <w:rPr>
          <w:w w:val="105"/>
        </w:rPr>
        <w:t>进入乘车场</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应当设跟车工</w:t>
      </w:r>
      <w:r>
        <w:rPr>
          <w:rFonts w:hint="eastAsia" w:ascii="MS UI Gothic" w:eastAsia="MS UI Gothic"/>
          <w:w w:val="80"/>
        </w:rPr>
        <w:t xml:space="preserve">ꎬ </w:t>
      </w:r>
      <w:r>
        <w:rPr>
          <w:w w:val="105"/>
        </w:rPr>
        <w:t>遇有紧急情况时立即向司机发出停车信号</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两车在车场会车时</w:t>
      </w:r>
      <w:r>
        <w:rPr>
          <w:rFonts w:hint="eastAsia" w:ascii="MS UI Gothic" w:eastAsia="MS UI Gothic"/>
          <w:w w:val="80"/>
        </w:rPr>
        <w:t xml:space="preserve">ꎬ </w:t>
      </w:r>
      <w:r>
        <w:rPr>
          <w:w w:val="105"/>
        </w:rPr>
        <w:t>驶入车辆应当停止运行</w:t>
      </w:r>
      <w:r>
        <w:rPr>
          <w:rFonts w:hint="eastAsia" w:ascii="MS UI Gothic" w:eastAsia="MS UI Gothic"/>
          <w:w w:val="80"/>
        </w:rPr>
        <w:t xml:space="preserve">ꎬ </w:t>
      </w:r>
      <w:r>
        <w:rPr>
          <w:w w:val="105"/>
        </w:rPr>
        <w:t>让驶出车辆先行</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第三百八十六条 人员乘坐人车时</w:t>
      </w:r>
      <w:r>
        <w:rPr>
          <w:rFonts w:hint="eastAsia" w:ascii="MS UI Gothic" w:eastAsia="MS UI Gothic"/>
          <w:w w:val="80"/>
        </w:rPr>
        <w:t>ꎬ</w:t>
      </w:r>
      <w:r>
        <w:rPr>
          <w:w w:val="110"/>
        </w:rPr>
        <w:t>必须遵守下列规定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听从司机及跟车工的指挥</w:t>
      </w:r>
      <w:r>
        <w:rPr>
          <w:rFonts w:hint="eastAsia" w:ascii="MS UI Gothic" w:eastAsia="MS UI Gothic"/>
          <w:w w:val="80"/>
        </w:rPr>
        <w:t xml:space="preserve">ꎬ </w:t>
      </w:r>
      <w:r>
        <w:rPr>
          <w:w w:val="105"/>
        </w:rPr>
        <w:t>开车前必须关闭车门或者挂上防护链</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人体及所携带的工具</w:t>
      </w:r>
      <w:r>
        <w:rPr>
          <w:rFonts w:hint="eastAsia" w:ascii="MS UI Gothic" w:eastAsia="MS UI Gothic"/>
          <w:w w:val="80"/>
        </w:rPr>
        <w:t xml:space="preserve">、 </w:t>
      </w:r>
      <w:r>
        <w:rPr>
          <w:w w:val="105"/>
        </w:rPr>
        <w:t>零部件</w:t>
      </w:r>
      <w:r>
        <w:rPr>
          <w:rFonts w:hint="eastAsia" w:ascii="MS UI Gothic" w:eastAsia="MS UI Gothic"/>
          <w:w w:val="80"/>
        </w:rPr>
        <w:t xml:space="preserve">ꎬ </w:t>
      </w:r>
      <w:r>
        <w:rPr>
          <w:w w:val="105"/>
        </w:rPr>
        <w:t>严禁露出车外</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列车行驶中及尚未停稳时</w:t>
      </w:r>
      <w:r>
        <w:rPr>
          <w:rFonts w:hint="eastAsia" w:ascii="MS UI Gothic" w:eastAsia="MS UI Gothic"/>
          <w:w w:val="80"/>
        </w:rPr>
        <w:t xml:space="preserve">ꎬ </w:t>
      </w:r>
      <w:r>
        <w:rPr>
          <w:w w:val="105"/>
        </w:rPr>
        <w:t>严禁上下车和在车内站立</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 xml:space="preserve">严禁在机车上或者任意 </w:t>
      </w:r>
      <w:r>
        <w:rPr>
          <w:rFonts w:hint="eastAsia" w:ascii="MS UI Gothic" w:eastAsia="MS UI Gothic"/>
          <w:w w:val="80"/>
        </w:rPr>
        <w:t xml:space="preserve">２ </w:t>
      </w:r>
      <w:r>
        <w:rPr>
          <w:w w:val="105"/>
        </w:rPr>
        <w:t>车厢之间搭乘</w:t>
      </w:r>
      <w:r>
        <w:rPr>
          <w:rFonts w:hint="eastAsia" w:ascii="MS UI Gothic" w:eastAsia="MS UI Gothic"/>
          <w:w w:val="80"/>
        </w:rPr>
        <w:t>ꎮ</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严禁扒车</w:t>
      </w:r>
      <w:r>
        <w:rPr>
          <w:rFonts w:hint="eastAsia" w:ascii="MS UI Gothic" w:eastAsia="MS UI Gothic"/>
          <w:w w:val="80"/>
        </w:rPr>
        <w:t xml:space="preserve">、 </w:t>
      </w:r>
      <w:r>
        <w:rPr>
          <w:w w:val="110"/>
        </w:rPr>
        <w:t>跳车和超员乘坐</w:t>
      </w:r>
      <w:r>
        <w:rPr>
          <w:rFonts w:hint="eastAsia" w:ascii="MS UI Gothic" w:eastAsia="MS UI Gothic"/>
          <w:w w:val="80"/>
        </w:rPr>
        <w:t>ꎮ</w:t>
      </w:r>
    </w:p>
    <w:p>
      <w:pPr>
        <w:pStyle w:val="6"/>
        <w:spacing w:before="46" w:line="295" w:lineRule="auto"/>
        <w:ind w:left="381" w:right="126"/>
        <w:rPr>
          <w:rFonts w:hint="eastAsia" w:ascii="MS UI Gothic" w:eastAsia="MS UI Gothic"/>
        </w:rPr>
      </w:pPr>
      <w:r>
        <w:rPr>
          <w:w w:val="105"/>
        </w:rPr>
        <w:t>第三百八十七条 倾斜井巷内使用串</w:t>
      </w:r>
      <w:r>
        <w:rPr>
          <w:w w:val="110"/>
        </w:rPr>
        <w:t>车提升时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在倾斜井巷内安设能够将运行中断绳</w:t>
      </w:r>
      <w:r>
        <w:rPr>
          <w:rFonts w:hint="eastAsia" w:ascii="MS UI Gothic" w:eastAsia="MS UI Gothic"/>
          <w:w w:val="80"/>
        </w:rPr>
        <w:t xml:space="preserve">、 </w:t>
      </w:r>
      <w:r>
        <w:rPr>
          <w:w w:val="105"/>
        </w:rPr>
        <w:t>脱钩的车辆阻止住的跑车防护装置</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在各车场安设能够防止带绳车辆误入非运行车场或者区段的阻车器</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在上部平车场入口安设能够控制车辆进入摘挂钩地点的阻车器</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在上部平车场接近变坡点处</w:t>
      </w:r>
      <w:r>
        <w:rPr>
          <w:rFonts w:hint="eastAsia" w:ascii="MS UI Gothic" w:eastAsia="MS UI Gothic"/>
          <w:w w:val="80"/>
        </w:rPr>
        <w:t>ꎬ</w:t>
      </w:r>
      <w:r>
        <w:t>安设能够阻止未连挂的车辆滑入斜巷的阻</w:t>
      </w:r>
      <w:r>
        <w:rPr>
          <w:w w:val="105"/>
        </w:rPr>
        <w:t>车器</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 xml:space="preserve">在变坡点下方略大于 </w:t>
      </w:r>
      <w:r>
        <w:rPr>
          <w:rFonts w:hint="eastAsia" w:ascii="MS UI Gothic" w:eastAsia="MS UI Gothic"/>
          <w:w w:val="80"/>
        </w:rPr>
        <w:t xml:space="preserve">１ </w:t>
      </w:r>
      <w:r>
        <w:rPr>
          <w:w w:val="105"/>
        </w:rPr>
        <w:t>列车长</w:t>
      </w:r>
      <w:r>
        <w:t>度的地点</w:t>
      </w:r>
      <w:r>
        <w:rPr>
          <w:rFonts w:hint="eastAsia" w:ascii="MS UI Gothic" w:eastAsia="MS UI Gothic"/>
          <w:w w:val="80"/>
        </w:rPr>
        <w:t xml:space="preserve">ꎬ </w:t>
      </w:r>
      <w:r>
        <w:t>设置能够防止未连挂的车辆继</w:t>
      </w:r>
      <w:r>
        <w:rPr>
          <w:w w:val="105"/>
        </w:rPr>
        <w:t>续往下跑车的挡车栏</w:t>
      </w:r>
      <w:r>
        <w:rPr>
          <w:rFonts w:hint="eastAsia" w:ascii="MS UI Gothic" w:eastAsia="MS UI Gothic"/>
          <w:w w:val="80"/>
        </w:rPr>
        <w:t>ꎮ</w:t>
      </w:r>
    </w:p>
    <w:p>
      <w:pPr>
        <w:pStyle w:val="6"/>
        <w:spacing w:line="295" w:lineRule="auto"/>
        <w:ind w:left="381" w:right="126"/>
        <w:rPr>
          <w:rFonts w:hint="eastAsia" w:ascii="MS UI Gothic" w:eastAsia="MS UI Gothic"/>
        </w:rPr>
      </w:pPr>
      <w:r>
        <w:t>上述挡车装置必须经常关闭</w:t>
      </w:r>
      <w:r>
        <w:rPr>
          <w:rFonts w:hint="eastAsia" w:ascii="MS UI Gothic" w:eastAsia="MS UI Gothic"/>
          <w:w w:val="80"/>
        </w:rPr>
        <w:t xml:space="preserve">ꎬ </w:t>
      </w:r>
      <w:r>
        <w:t>放车时方准打开</w:t>
      </w:r>
      <w:r>
        <w:rPr>
          <w:rFonts w:hint="eastAsia" w:ascii="MS UI Gothic" w:eastAsia="MS UI Gothic"/>
          <w:w w:val="80"/>
        </w:rPr>
        <w:t xml:space="preserve">ꎮ </w:t>
      </w:r>
      <w:r>
        <w:t>兼作行驶人车的倾斜井巷</w:t>
      </w:r>
      <w:r>
        <w:rPr>
          <w:rFonts w:hint="eastAsia" w:ascii="MS UI Gothic" w:eastAsia="MS UI Gothic"/>
          <w:w w:val="80"/>
        </w:rPr>
        <w:t xml:space="preserve">ꎬ </w:t>
      </w:r>
      <w:r>
        <w:t>在提升人员时</w:t>
      </w:r>
      <w:r>
        <w:rPr>
          <w:rFonts w:hint="eastAsia" w:ascii="MS UI Gothic" w:eastAsia="MS UI Gothic"/>
          <w:w w:val="80"/>
        </w:rPr>
        <w:t xml:space="preserve">ꎬ </w:t>
      </w:r>
      <w:r>
        <w:t>倾斜井巷中的挡车装置和跑车防护装置必须是常开状态并闭锁</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第三百八十八条 倾斜井巷使用提升机或者绞车提升时</w:t>
      </w:r>
      <w:r>
        <w:rPr>
          <w:rFonts w:hint="eastAsia" w:ascii="MS UI Gothic" w:eastAsia="MS UI Gothic"/>
          <w:w w:val="80"/>
        </w:rPr>
        <w:t xml:space="preserve">ꎬ </w:t>
      </w:r>
      <w:r>
        <w:rPr>
          <w:w w:val="105"/>
        </w:rPr>
        <w:t>必须遵守下列规定</w:t>
      </w:r>
      <w:r>
        <w:rPr>
          <w:rFonts w:hint="eastAsia" w:ascii="MS UI Gothic" w:eastAsia="MS UI Gothic"/>
          <w:w w:val="105"/>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２９６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16" o:spid="_x0000_s1916" o:spt="203" style="height:2.15pt;width:398.25pt;" coordsize="7965,43">
            <o:lock v:ext="edit"/>
            <v:line id="_x0000_s1917" o:spid="_x0000_s1917" o:spt="20" style="position:absolute;left:0;top:39;height:0;width:7965;" stroked="t" coordsize="21600,21600">
              <v:path arrowok="t"/>
              <v:fill focussize="0,0"/>
              <v:stroke weight="0.388031496062992pt" color="#231F20"/>
              <v:imagedata o:title=""/>
              <o:lock v:ext="edit"/>
            </v:line>
            <v:line id="_x0000_s1918" o:spid="_x0000_s191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采取轨道防滑措施</w:t>
      </w:r>
      <w:r>
        <w:rPr>
          <w:rFonts w:hint="eastAsia" w:ascii="MS UI Gothic" w:eastAsia="MS UI Gothic"/>
          <w:w w:val="80"/>
        </w:rPr>
        <w:t>ꎮ</w:t>
      </w:r>
    </w:p>
    <w:p>
      <w:pPr>
        <w:pStyle w:val="6"/>
        <w:spacing w:before="58" w:line="295" w:lineRule="auto"/>
        <w:ind w:right="38"/>
        <w:rPr>
          <w:rFonts w:hint="eastAsia" w:ascii="MS UI Gothic" w:eastAsia="MS UI Gothic"/>
        </w:rPr>
      </w:pPr>
      <w:r>
        <w:rPr>
          <w:rFonts w:hint="eastAsia" w:ascii="MS UI Gothic" w:eastAsia="MS UI Gothic"/>
          <w:spacing w:val="19"/>
          <w:w w:val="150"/>
        </w:rPr>
        <w:t>(</w:t>
      </w:r>
      <w:r>
        <w:rPr>
          <w:spacing w:val="3"/>
          <w:w w:val="110"/>
        </w:rPr>
        <w:t>二</w:t>
      </w:r>
      <w:r>
        <w:rPr>
          <w:rFonts w:hint="eastAsia" w:ascii="MS UI Gothic" w:eastAsia="MS UI Gothic"/>
          <w:spacing w:val="-22"/>
          <w:w w:val="150"/>
        </w:rPr>
        <w:t xml:space="preserve">) </w:t>
      </w:r>
      <w:r>
        <w:rPr>
          <w:spacing w:val="-5"/>
          <w:w w:val="110"/>
        </w:rPr>
        <w:t xml:space="preserve">按设计要求设置托绳轮 </w:t>
      </w:r>
      <w:r>
        <w:rPr>
          <w:rFonts w:hint="eastAsia" w:ascii="MS UI Gothic" w:eastAsia="MS UI Gothic"/>
          <w:spacing w:val="-41"/>
          <w:w w:val="150"/>
        </w:rPr>
        <w:t xml:space="preserve">( </w:t>
      </w:r>
      <w:r>
        <w:rPr>
          <w:spacing w:val="7"/>
          <w:w w:val="110"/>
        </w:rPr>
        <w:t>辊</w:t>
      </w:r>
      <w:r>
        <w:rPr>
          <w:rFonts w:hint="eastAsia" w:ascii="MS UI Gothic" w:eastAsia="MS UI Gothic"/>
          <w:spacing w:val="-42"/>
          <w:w w:val="150"/>
        </w:rPr>
        <w:t xml:space="preserve">) </w:t>
      </w:r>
      <w:r>
        <w:rPr>
          <w:rFonts w:hint="eastAsia" w:ascii="MS UI Gothic" w:eastAsia="MS UI Gothic"/>
          <w:w w:val="80"/>
        </w:rPr>
        <w:t>ꎬ</w:t>
      </w:r>
      <w:r>
        <w:rPr>
          <w:spacing w:val="3"/>
          <w:w w:val="110"/>
        </w:rPr>
        <w:t>并保持转动灵活</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45"/>
        </w:rPr>
        <w:t xml:space="preserve">( </w:t>
      </w:r>
      <w:r>
        <w:t>三</w:t>
      </w:r>
      <w:r>
        <w:rPr>
          <w:rFonts w:hint="eastAsia" w:ascii="MS UI Gothic" w:eastAsia="MS UI Gothic"/>
          <w:w w:val="145"/>
        </w:rPr>
        <w:t xml:space="preserve">) </w:t>
      </w:r>
      <w:r>
        <w:t>井巷上端的过卷距离</w:t>
      </w:r>
      <w:r>
        <w:rPr>
          <w:rFonts w:hint="eastAsia" w:ascii="MS UI Gothic" w:eastAsia="MS UI Gothic"/>
          <w:w w:val="80"/>
        </w:rPr>
        <w:t xml:space="preserve">ꎬ </w:t>
      </w:r>
      <w:r>
        <w:t>应当根据巷道倾角</w:t>
      </w:r>
      <w:r>
        <w:rPr>
          <w:rFonts w:hint="eastAsia" w:ascii="MS UI Gothic" w:eastAsia="MS UI Gothic"/>
        </w:rPr>
        <w:t xml:space="preserve">、 </w:t>
      </w:r>
      <w:r>
        <w:t>设计载荷</w:t>
      </w:r>
      <w:r>
        <w:rPr>
          <w:rFonts w:hint="eastAsia" w:ascii="MS UI Gothic" w:eastAsia="MS UI Gothic"/>
        </w:rPr>
        <w:t xml:space="preserve">、 </w:t>
      </w:r>
      <w:r>
        <w:t>最大提升速度和实际制动力等参量计算确定</w:t>
      </w:r>
      <w:r>
        <w:rPr>
          <w:rFonts w:hint="eastAsia" w:ascii="MS UI Gothic" w:eastAsia="MS UI Gothic"/>
          <w:w w:val="80"/>
        </w:rPr>
        <w:t xml:space="preserve">ꎬ </w:t>
      </w:r>
      <w:r>
        <w:t xml:space="preserve">并有 </w:t>
      </w:r>
      <w:r>
        <w:rPr>
          <w:rFonts w:hint="eastAsia" w:ascii="MS UI Gothic" w:eastAsia="MS UI Gothic"/>
        </w:rPr>
        <w:t xml:space="preserve">１ ５ </w:t>
      </w:r>
      <w:r>
        <w:t>倍的备用系数</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串车提升的各车场设有信号硐</w:t>
      </w:r>
      <w:r>
        <w:t>室及躲避硐</w:t>
      </w:r>
      <w:r>
        <w:rPr>
          <w:rFonts w:hint="eastAsia" w:ascii="MS UI Gothic" w:eastAsia="MS UI Gothic"/>
          <w:w w:val="80"/>
        </w:rPr>
        <w:t xml:space="preserve">ꎻ </w:t>
      </w:r>
      <w:r>
        <w:t>运人斜井各车场设有信号和</w:t>
      </w:r>
      <w:r>
        <w:rPr>
          <w:w w:val="105"/>
        </w:rPr>
        <w:t>候车硐室</w:t>
      </w:r>
      <w:r>
        <w:rPr>
          <w:rFonts w:hint="eastAsia" w:ascii="MS UI Gothic" w:eastAsia="MS UI Gothic"/>
          <w:w w:val="80"/>
        </w:rPr>
        <w:t xml:space="preserve">ꎬ </w:t>
      </w:r>
      <w:r>
        <w:rPr>
          <w:w w:val="105"/>
        </w:rPr>
        <w:t>候车硐室具有足够的空间</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提升信号参照本规程第四百零</w:t>
      </w:r>
      <w:r>
        <w:rPr>
          <w:w w:val="110"/>
        </w:rPr>
        <w:t>三条和第四百零四条规定</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t>六</w:t>
      </w:r>
      <w:r>
        <w:rPr>
          <w:rFonts w:hint="eastAsia" w:ascii="MS UI Gothic" w:eastAsia="MS UI Gothic"/>
          <w:w w:val="150"/>
        </w:rPr>
        <w:t xml:space="preserve">) </w:t>
      </w:r>
      <w:r>
        <w:t>运送物料时</w:t>
      </w:r>
      <w:r>
        <w:rPr>
          <w:rFonts w:hint="eastAsia" w:ascii="MS UI Gothic" w:eastAsia="MS UI Gothic"/>
          <w:w w:val="80"/>
        </w:rPr>
        <w:t xml:space="preserve">ꎬ </w:t>
      </w:r>
      <w:r>
        <w:t>开车前把钩工必须检查牵引车数</w:t>
      </w:r>
      <w:r>
        <w:rPr>
          <w:rFonts w:hint="eastAsia" w:ascii="MS UI Gothic" w:eastAsia="MS UI Gothic"/>
          <w:w w:val="80"/>
        </w:rPr>
        <w:t xml:space="preserve">、 </w:t>
      </w:r>
      <w:r>
        <w:t>各车的连接和装载情况</w:t>
      </w:r>
      <w:r>
        <w:rPr>
          <w:rFonts w:hint="eastAsia" w:ascii="MS UI Gothic" w:eastAsia="MS UI Gothic"/>
          <w:w w:val="80"/>
        </w:rPr>
        <w:t xml:space="preserve">ꎮ </w:t>
      </w:r>
      <w:r>
        <w:t>牵引车数超过规定</w:t>
      </w:r>
      <w:r>
        <w:rPr>
          <w:rFonts w:hint="eastAsia" w:ascii="MS UI Gothic" w:eastAsia="MS UI Gothic"/>
          <w:w w:val="80"/>
        </w:rPr>
        <w:t xml:space="preserve">ꎬ </w:t>
      </w:r>
      <w:r>
        <w:t>连接不良</w:t>
      </w:r>
      <w:r>
        <w:rPr>
          <w:rFonts w:hint="eastAsia" w:ascii="MS UI Gothic" w:eastAsia="MS UI Gothic"/>
          <w:w w:val="80"/>
        </w:rPr>
        <w:t xml:space="preserve">ꎬ </w:t>
      </w:r>
      <w:r>
        <w:t>或者装载物料超重</w:t>
      </w:r>
      <w:r>
        <w:rPr>
          <w:rFonts w:hint="eastAsia" w:ascii="MS UI Gothic" w:eastAsia="MS UI Gothic"/>
          <w:w w:val="80"/>
        </w:rPr>
        <w:t xml:space="preserve">、 </w:t>
      </w:r>
      <w:r>
        <w:t>超高</w:t>
      </w:r>
      <w:r>
        <w:rPr>
          <w:rFonts w:hint="eastAsia" w:ascii="MS UI Gothic" w:eastAsia="MS UI Gothic"/>
          <w:w w:val="80"/>
        </w:rPr>
        <w:t xml:space="preserve">、 </w:t>
      </w:r>
      <w:r>
        <w:t>超宽或者偏载严重有翻车危险时</w:t>
      </w:r>
      <w:r>
        <w:rPr>
          <w:rFonts w:hint="eastAsia" w:ascii="MS UI Gothic" w:eastAsia="MS UI Gothic"/>
          <w:w w:val="80"/>
        </w:rPr>
        <w:t xml:space="preserve">ꎬ </w:t>
      </w:r>
      <w:r>
        <w:t>严禁发出开车信号</w:t>
      </w:r>
      <w:r>
        <w:rPr>
          <w:rFonts w:hint="eastAsia" w:ascii="MS UI Gothic" w:eastAsia="MS UI Gothic"/>
          <w:w w:val="80"/>
        </w:rPr>
        <w:t>ꎮ</w:t>
      </w:r>
    </w:p>
    <w:p>
      <w:pPr>
        <w:pStyle w:val="6"/>
        <w:spacing w:line="252" w:lineRule="exact"/>
        <w:ind w:left="543"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提升时严禁蹬钩</w:t>
      </w:r>
      <w:r>
        <w:rPr>
          <w:rFonts w:hint="eastAsia" w:ascii="MS UI Gothic" w:eastAsia="MS UI Gothic"/>
          <w:w w:val="80"/>
        </w:rPr>
        <w:t xml:space="preserve">、 </w:t>
      </w:r>
      <w:r>
        <w:rPr>
          <w:w w:val="110"/>
        </w:rPr>
        <w:t>行人</w:t>
      </w:r>
      <w:r>
        <w:rPr>
          <w:rFonts w:hint="eastAsia" w:ascii="MS UI Gothic" w:eastAsia="MS UI Gothic"/>
          <w:w w:val="80"/>
        </w:rPr>
        <w:t>ꎮ</w:t>
      </w:r>
    </w:p>
    <w:p>
      <w:pPr>
        <w:pStyle w:val="6"/>
        <w:spacing w:before="50" w:line="295" w:lineRule="auto"/>
        <w:ind w:right="39"/>
        <w:rPr>
          <w:rFonts w:hint="eastAsia" w:ascii="MS UI Gothic" w:eastAsia="MS UI Gothic"/>
        </w:rPr>
      </w:pPr>
      <w:r>
        <w:rPr>
          <w:w w:val="105"/>
        </w:rPr>
        <w:t>第三百八十九条 人力推车必须遵守</w:t>
      </w:r>
      <w:r>
        <w:rPr>
          <w:w w:val="110"/>
        </w:rPr>
        <w:t>下列规定</w:t>
      </w:r>
      <w:r>
        <w:rPr>
          <w:rFonts w:hint="eastAsia" w:ascii="MS UI Gothic" w:eastAsia="MS UI Gothic"/>
          <w:w w:val="235"/>
        </w:rPr>
        <w:t>:</w:t>
      </w:r>
    </w:p>
    <w:p>
      <w:pPr>
        <w:pStyle w:val="6"/>
        <w:spacing w:line="295" w:lineRule="auto"/>
        <w:ind w:right="38"/>
        <w:rPr>
          <w:rFonts w:hint="eastAsia" w:ascii="MS UI Gothic" w:hAnsi="MS UI Gothic" w:eastAsia="MS UI Gothic"/>
        </w:rPr>
      </w:pPr>
      <w:r>
        <w:rPr>
          <w:rFonts w:hint="eastAsia" w:ascii="MS UI Gothic" w:hAnsi="MS UI Gothic" w:eastAsia="MS UI Gothic"/>
          <w:w w:val="145"/>
        </w:rPr>
        <w:t xml:space="preserve">( </w:t>
      </w:r>
      <w:r>
        <w:rPr>
          <w:w w:val="95"/>
        </w:rPr>
        <w:t>一</w:t>
      </w:r>
      <w:r>
        <w:rPr>
          <w:rFonts w:hint="eastAsia" w:ascii="MS UI Gothic" w:hAnsi="MS UI Gothic" w:eastAsia="MS UI Gothic"/>
          <w:w w:val="145"/>
        </w:rPr>
        <w:t xml:space="preserve">) </w:t>
      </w:r>
      <w:r>
        <w:rPr>
          <w:rFonts w:hint="eastAsia" w:ascii="MS UI Gothic" w:hAnsi="MS UI Gothic" w:eastAsia="MS UI Gothic"/>
          <w:w w:val="95"/>
        </w:rPr>
        <w:t xml:space="preserve">１ </w:t>
      </w:r>
      <w:r>
        <w:rPr>
          <w:w w:val="95"/>
        </w:rPr>
        <w:t xml:space="preserve">次只准推 </w:t>
      </w:r>
      <w:r>
        <w:rPr>
          <w:rFonts w:hint="eastAsia" w:ascii="MS UI Gothic" w:hAnsi="MS UI Gothic" w:eastAsia="MS UI Gothic"/>
          <w:w w:val="95"/>
        </w:rPr>
        <w:t xml:space="preserve">１ </w:t>
      </w:r>
      <w:r>
        <w:rPr>
          <w:w w:val="95"/>
        </w:rPr>
        <w:t>辆车</w:t>
      </w:r>
      <w:r>
        <w:rPr>
          <w:rFonts w:hint="eastAsia" w:ascii="MS UI Gothic" w:hAnsi="MS UI Gothic" w:eastAsia="MS UI Gothic"/>
          <w:w w:val="80"/>
        </w:rPr>
        <w:t xml:space="preserve">ꎮ </w:t>
      </w:r>
      <w:r>
        <w:rPr>
          <w:w w:val="95"/>
        </w:rPr>
        <w:t>严禁在矿车两侧推车</w:t>
      </w:r>
      <w:r>
        <w:rPr>
          <w:rFonts w:hint="eastAsia" w:ascii="MS UI Gothic" w:hAnsi="MS UI Gothic" w:eastAsia="MS UI Gothic"/>
          <w:w w:val="80"/>
        </w:rPr>
        <w:t xml:space="preserve">ꎮ </w:t>
      </w:r>
      <w:r>
        <w:rPr>
          <w:w w:val="95"/>
        </w:rPr>
        <w:t>同向推车的间距</w:t>
      </w:r>
      <w:r>
        <w:rPr>
          <w:rFonts w:hint="eastAsia" w:ascii="MS UI Gothic" w:hAnsi="MS UI Gothic" w:eastAsia="MS UI Gothic"/>
          <w:w w:val="80"/>
        </w:rPr>
        <w:t xml:space="preserve">ꎬ  </w:t>
      </w:r>
      <w:r>
        <w:rPr>
          <w:w w:val="95"/>
        </w:rPr>
        <w:t xml:space="preserve">在轨道坡度小于或者等于 </w:t>
      </w:r>
      <w:r>
        <w:rPr>
          <w:rFonts w:hint="eastAsia" w:ascii="MS UI Gothic" w:hAnsi="MS UI Gothic" w:eastAsia="MS UI Gothic"/>
          <w:w w:val="95"/>
        </w:rPr>
        <w:t>５</w:t>
      </w:r>
      <w:r>
        <w:rPr>
          <w:w w:val="95"/>
        </w:rPr>
        <w:t>‰时</w:t>
      </w:r>
      <w:r>
        <w:rPr>
          <w:rFonts w:hint="eastAsia" w:ascii="MS UI Gothic" w:hAnsi="MS UI Gothic" w:eastAsia="MS UI Gothic"/>
          <w:w w:val="80"/>
        </w:rPr>
        <w:t xml:space="preserve">ꎬ </w:t>
      </w:r>
      <w:r>
        <w:rPr>
          <w:w w:val="95"/>
        </w:rPr>
        <w:t xml:space="preserve">不得小于 </w:t>
      </w:r>
      <w:r>
        <w:rPr>
          <w:rFonts w:hint="eastAsia" w:ascii="MS UI Gothic" w:hAnsi="MS UI Gothic" w:eastAsia="MS UI Gothic"/>
          <w:w w:val="95"/>
        </w:rPr>
        <w:t>１０ ｍ</w:t>
      </w:r>
      <w:r>
        <w:rPr>
          <w:rFonts w:hint="eastAsia" w:ascii="MS UI Gothic" w:hAnsi="MS UI Gothic" w:eastAsia="MS UI Gothic"/>
          <w:w w:val="80"/>
        </w:rPr>
        <w:t>ꎻ</w:t>
      </w:r>
      <w:r>
        <w:rPr>
          <w:w w:val="95"/>
        </w:rPr>
        <w:t xml:space="preserve">坡度大于 </w:t>
      </w:r>
      <w:r>
        <w:rPr>
          <w:rFonts w:hint="eastAsia" w:ascii="MS UI Gothic" w:hAnsi="MS UI Gothic" w:eastAsia="MS UI Gothic"/>
          <w:w w:val="95"/>
        </w:rPr>
        <w:t>５</w:t>
      </w:r>
      <w:r>
        <w:rPr>
          <w:w w:val="95"/>
        </w:rPr>
        <w:t>‰时</w:t>
      </w:r>
      <w:r>
        <w:rPr>
          <w:rFonts w:hint="eastAsia" w:ascii="MS UI Gothic" w:hAnsi="MS UI Gothic" w:eastAsia="MS UI Gothic"/>
          <w:w w:val="80"/>
        </w:rPr>
        <w:t xml:space="preserve">ꎬ </w:t>
      </w:r>
      <w:r>
        <w:rPr>
          <w:w w:val="95"/>
        </w:rPr>
        <w:t xml:space="preserve">不得小于 </w:t>
      </w:r>
      <w:r>
        <w:rPr>
          <w:rFonts w:hint="eastAsia" w:ascii="MS UI Gothic" w:hAnsi="MS UI Gothic" w:eastAsia="MS UI Gothic"/>
          <w:w w:val="95"/>
        </w:rPr>
        <w:t>３０ ｍ</w:t>
      </w:r>
      <w:r>
        <w:rPr>
          <w:rFonts w:hint="eastAsia" w:ascii="MS UI Gothic" w:hAnsi="MS UI Gothic" w:eastAsia="MS UI Gothic"/>
          <w:w w:val="80"/>
        </w:rPr>
        <w:t>ꎮ</w:t>
      </w:r>
    </w:p>
    <w:p>
      <w:pPr>
        <w:pStyle w:val="6"/>
        <w:spacing w:line="295" w:lineRule="auto"/>
        <w:ind w:right="39"/>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推车时必须时刻注意前方</w:t>
      </w:r>
      <w:r>
        <w:rPr>
          <w:rFonts w:hint="eastAsia" w:ascii="MS UI Gothic" w:eastAsia="MS UI Gothic"/>
          <w:w w:val="80"/>
        </w:rPr>
        <w:t xml:space="preserve">ꎮ </w:t>
      </w:r>
      <w:r>
        <w:rPr>
          <w:w w:val="105"/>
        </w:rPr>
        <w:t>在开始推车</w:t>
      </w:r>
      <w:r>
        <w:rPr>
          <w:rFonts w:hint="eastAsia" w:ascii="MS UI Gothic" w:eastAsia="MS UI Gothic"/>
          <w:w w:val="80"/>
        </w:rPr>
        <w:t xml:space="preserve">、 </w:t>
      </w:r>
      <w:r>
        <w:rPr>
          <w:w w:val="105"/>
        </w:rPr>
        <w:t>停车</w:t>
      </w:r>
      <w:r>
        <w:rPr>
          <w:rFonts w:hint="eastAsia" w:ascii="MS UI Gothic" w:eastAsia="MS UI Gothic"/>
          <w:w w:val="80"/>
        </w:rPr>
        <w:t xml:space="preserve">、 </w:t>
      </w:r>
      <w:r>
        <w:rPr>
          <w:w w:val="105"/>
        </w:rPr>
        <w:t>掉道</w:t>
      </w:r>
      <w:r>
        <w:rPr>
          <w:rFonts w:hint="eastAsia" w:ascii="MS UI Gothic" w:eastAsia="MS UI Gothic"/>
          <w:w w:val="80"/>
        </w:rPr>
        <w:t xml:space="preserve">、 </w:t>
      </w:r>
      <w:r>
        <w:rPr>
          <w:w w:val="105"/>
        </w:rPr>
        <w:t>发现前方有人或</w:t>
      </w:r>
      <w:r>
        <w:t>者有障碍物</w:t>
      </w:r>
      <w:r>
        <w:rPr>
          <w:rFonts w:hint="eastAsia" w:ascii="MS UI Gothic" w:eastAsia="MS UI Gothic"/>
          <w:w w:val="80"/>
        </w:rPr>
        <w:t xml:space="preserve">ꎬ </w:t>
      </w:r>
      <w:r>
        <w:t>从坡度较大的地方向下推车</w:t>
      </w:r>
      <w:r>
        <w:rPr>
          <w:w w:val="105"/>
        </w:rPr>
        <w:t>以及接近道岔</w:t>
      </w:r>
      <w:r>
        <w:rPr>
          <w:rFonts w:hint="eastAsia" w:ascii="MS UI Gothic" w:eastAsia="MS UI Gothic"/>
          <w:w w:val="80"/>
        </w:rPr>
        <w:t xml:space="preserve">、 </w:t>
      </w:r>
      <w:r>
        <w:rPr>
          <w:w w:val="105"/>
        </w:rPr>
        <w:t>弯道</w:t>
      </w:r>
      <w:r>
        <w:rPr>
          <w:rFonts w:hint="eastAsia" w:ascii="MS UI Gothic" w:eastAsia="MS UI Gothic"/>
          <w:w w:val="80"/>
        </w:rPr>
        <w:t xml:space="preserve">、 </w:t>
      </w:r>
      <w:r>
        <w:rPr>
          <w:w w:val="105"/>
        </w:rPr>
        <w:t>巷道口</w:t>
      </w:r>
      <w:r>
        <w:rPr>
          <w:rFonts w:hint="eastAsia" w:ascii="MS UI Gothic" w:eastAsia="MS UI Gothic"/>
          <w:w w:val="80"/>
        </w:rPr>
        <w:t xml:space="preserve">、 </w:t>
      </w:r>
      <w:r>
        <w:rPr>
          <w:w w:val="105"/>
        </w:rPr>
        <w:t>风门</w:t>
      </w:r>
      <w:r>
        <w:rPr>
          <w:rFonts w:hint="eastAsia" w:ascii="MS UI Gothic" w:eastAsia="MS UI Gothic"/>
          <w:w w:val="80"/>
        </w:rPr>
        <w:t xml:space="preserve">、 </w:t>
      </w:r>
      <w:r>
        <w:rPr>
          <w:w w:val="105"/>
        </w:rPr>
        <w:t>硐</w:t>
      </w:r>
    </w:p>
    <w:p>
      <w:pPr>
        <w:pStyle w:val="6"/>
        <w:spacing w:line="237" w:lineRule="exact"/>
        <w:ind w:firstLine="0"/>
        <w:rPr>
          <w:rFonts w:hint="eastAsia" w:ascii="MS UI Gothic" w:eastAsia="MS UI Gothic"/>
        </w:rPr>
      </w:pPr>
      <w:r>
        <w:t>室出口时</w:t>
      </w:r>
      <w:r>
        <w:rPr>
          <w:rFonts w:hint="eastAsia" w:ascii="MS UI Gothic" w:eastAsia="MS UI Gothic"/>
          <w:w w:val="80"/>
        </w:rPr>
        <w:t xml:space="preserve">ꎬ </w:t>
      </w:r>
      <w:r>
        <w:t>推车人必须及时发出警号</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rFonts w:hint="eastAsia" w:ascii="MS UI Gothic" w:eastAsia="MS UI Gothic"/>
          <w:spacing w:val="-27"/>
          <w:w w:val="145"/>
        </w:rPr>
        <w:t xml:space="preserve">( </w:t>
      </w:r>
      <w:r>
        <w:rPr>
          <w:spacing w:val="3"/>
        </w:rPr>
        <w:t>二</w:t>
      </w:r>
      <w:r>
        <w:rPr>
          <w:rFonts w:hint="eastAsia" w:ascii="MS UI Gothic" w:eastAsia="MS UI Gothic"/>
          <w:spacing w:val="14"/>
          <w:w w:val="145"/>
        </w:rPr>
        <w:t xml:space="preserve">) </w:t>
      </w:r>
      <w:r>
        <w:rPr>
          <w:spacing w:val="5"/>
        </w:rPr>
        <w:t>安全制动和停车制动装置必须</w:t>
      </w:r>
      <w:r>
        <w:rPr>
          <w:spacing w:val="3"/>
        </w:rPr>
        <w:t>为失效安全型</w:t>
      </w:r>
      <w:r>
        <w:rPr>
          <w:rFonts w:hint="eastAsia" w:ascii="MS UI Gothic" w:eastAsia="MS UI Gothic"/>
          <w:spacing w:val="20"/>
          <w:w w:val="80"/>
        </w:rPr>
        <w:t xml:space="preserve">ꎬ </w:t>
      </w:r>
      <w:r>
        <w:rPr>
          <w:spacing w:val="2"/>
        </w:rPr>
        <w:t>制动力应当为额定牵引力</w:t>
      </w:r>
      <w:r>
        <w:rPr>
          <w:spacing w:val="-26"/>
        </w:rPr>
        <w:t xml:space="preserve">的 </w:t>
      </w:r>
      <w:r>
        <w:rPr>
          <w:rFonts w:hint="eastAsia" w:ascii="MS UI Gothic" w:eastAsia="MS UI Gothic"/>
        </w:rPr>
        <w:t>１</w:t>
      </w:r>
      <w:r>
        <w:rPr>
          <w:rFonts w:hint="eastAsia" w:ascii="MS UI Gothic" w:eastAsia="MS UI Gothic"/>
          <w:spacing w:val="-17"/>
        </w:rPr>
        <w:t xml:space="preserve"> ５ </w:t>
      </w:r>
      <w:r>
        <w:rPr>
          <w:rFonts w:hint="eastAsia" w:ascii="MS UI Gothic" w:eastAsia="MS UI Gothic"/>
          <w:w w:val="145"/>
        </w:rPr>
        <w:t>~</w:t>
      </w:r>
      <w:r>
        <w:rPr>
          <w:rFonts w:hint="eastAsia" w:ascii="MS UI Gothic" w:eastAsia="MS UI Gothic"/>
          <w:spacing w:val="-64"/>
          <w:w w:val="145"/>
        </w:rPr>
        <w:t xml:space="preserve"> </w:t>
      </w:r>
      <w:r>
        <w:rPr>
          <w:rFonts w:hint="eastAsia" w:ascii="MS UI Gothic" w:eastAsia="MS UI Gothic"/>
          <w:spacing w:val="-3"/>
        </w:rPr>
        <w:t xml:space="preserve">２ </w:t>
      </w:r>
      <w:r>
        <w:rPr>
          <w:spacing w:val="3"/>
        </w:rPr>
        <w:t>倍</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必须设置既可手动又能自动的</w:t>
      </w:r>
      <w:r>
        <w:rPr>
          <w:w w:val="110"/>
        </w:rPr>
        <w:t>安全闸</w:t>
      </w:r>
      <w:r>
        <w:rPr>
          <w:rFonts w:hint="eastAsia" w:ascii="MS UI Gothic" w:eastAsia="MS UI Gothic"/>
          <w:w w:val="80"/>
        </w:rPr>
        <w:t xml:space="preserve">ꎮ </w:t>
      </w:r>
      <w:r>
        <w:rPr>
          <w:w w:val="110"/>
        </w:rPr>
        <w:t>安全闸应当具备下列性能</w:t>
      </w:r>
      <w:r>
        <w:rPr>
          <w:rFonts w:hint="eastAsia" w:ascii="MS UI Gothic" w:eastAsia="MS UI Gothic"/>
          <w:w w:val="235"/>
        </w:rPr>
        <w:t>:</w:t>
      </w:r>
    </w:p>
    <w:p>
      <w:pPr>
        <w:pStyle w:val="6"/>
        <w:spacing w:line="295" w:lineRule="auto"/>
        <w:ind w:right="442" w:firstLine="413"/>
        <w:rPr>
          <w:rFonts w:hint="eastAsia" w:ascii="MS UI Gothic" w:eastAsia="MS UI Gothic"/>
        </w:rPr>
      </w:pPr>
      <w:r>
        <w:rPr>
          <w:rFonts w:hint="eastAsia" w:ascii="MS UI Gothic" w:eastAsia="MS UI Gothic"/>
          <w:w w:val="95"/>
        </w:rPr>
        <w:t xml:space="preserve">１  </w:t>
      </w:r>
      <w:r>
        <w:rPr>
          <w:w w:val="95"/>
        </w:rPr>
        <w:t xml:space="preserve">绳牵引式运输设备运行速度超过额定速度 </w:t>
      </w:r>
      <w:r>
        <w:rPr>
          <w:rFonts w:hint="eastAsia" w:ascii="MS UI Gothic" w:eastAsia="MS UI Gothic"/>
          <w:w w:val="95"/>
        </w:rPr>
        <w:t>３０</w:t>
      </w:r>
      <w:r>
        <w:rPr>
          <w:w w:val="95"/>
        </w:rPr>
        <w:t>％ 时</w:t>
      </w:r>
      <w:r>
        <w:rPr>
          <w:rFonts w:hint="eastAsia" w:ascii="MS UI Gothic" w:eastAsia="MS UI Gothic"/>
          <w:w w:val="90"/>
        </w:rPr>
        <w:t xml:space="preserve">ꎬ </w:t>
      </w:r>
      <w:r>
        <w:rPr>
          <w:w w:val="95"/>
        </w:rPr>
        <w:t xml:space="preserve">其他设备运行速度超过额定速度 </w:t>
      </w:r>
      <w:r>
        <w:rPr>
          <w:rFonts w:hint="eastAsia" w:ascii="MS UI Gothic" w:eastAsia="MS UI Gothic"/>
          <w:w w:val="95"/>
        </w:rPr>
        <w:t>１５</w:t>
      </w:r>
      <w:r>
        <w:rPr>
          <w:w w:val="95"/>
        </w:rPr>
        <w:t>％ 时</w:t>
      </w:r>
      <w:r>
        <w:rPr>
          <w:rFonts w:hint="eastAsia" w:ascii="MS UI Gothic" w:eastAsia="MS UI Gothic"/>
          <w:w w:val="90"/>
        </w:rPr>
        <w:t xml:space="preserve">ꎬ </w:t>
      </w:r>
      <w:r>
        <w:rPr>
          <w:w w:val="95"/>
        </w:rPr>
        <w:t>能自动施闸</w:t>
      </w:r>
      <w:r>
        <w:rPr>
          <w:rFonts w:hint="eastAsia" w:ascii="MS UI Gothic" w:eastAsia="MS UI Gothic"/>
          <w:w w:val="90"/>
        </w:rPr>
        <w:t xml:space="preserve">ꎻ </w:t>
      </w:r>
      <w:r>
        <w:rPr>
          <w:w w:val="95"/>
        </w:rPr>
        <w:t xml:space="preserve">施闸时的空动时间不大于 </w:t>
      </w:r>
      <w:r>
        <w:rPr>
          <w:rFonts w:hint="eastAsia" w:ascii="MS UI Gothic" w:eastAsia="MS UI Gothic"/>
          <w:w w:val="95"/>
        </w:rPr>
        <w:t>０ ７ ｓ</w:t>
      </w:r>
      <w:r>
        <w:rPr>
          <w:rFonts w:hint="eastAsia" w:ascii="MS UI Gothic" w:eastAsia="MS UI Gothic"/>
          <w:w w:val="90"/>
        </w:rPr>
        <w:t>ꎮ</w:t>
      </w:r>
    </w:p>
    <w:p>
      <w:pPr>
        <w:pStyle w:val="6"/>
        <w:spacing w:line="295" w:lineRule="auto"/>
        <w:ind w:right="442" w:firstLine="413"/>
        <w:rPr>
          <w:rFonts w:hint="eastAsia" w:ascii="MS UI Gothic" w:eastAsia="MS UI Gothic"/>
        </w:rPr>
      </w:pPr>
      <w:r>
        <w:rPr>
          <w:rFonts w:hint="eastAsia" w:ascii="MS UI Gothic" w:eastAsia="MS UI Gothic"/>
        </w:rPr>
        <w:t xml:space="preserve">２ </w:t>
      </w:r>
      <w:r>
        <w:t>在最大载荷最大坡度上以最大设计速度向下运行时</w:t>
      </w:r>
      <w:r>
        <w:rPr>
          <w:rFonts w:hint="eastAsia" w:ascii="MS UI Gothic" w:eastAsia="MS UI Gothic"/>
          <w:w w:val="85"/>
        </w:rPr>
        <w:t xml:space="preserve">ꎬ </w:t>
      </w:r>
      <w:r>
        <w:t xml:space="preserve">制动距离应当不超过相当于在这一速度下 </w:t>
      </w:r>
      <w:r>
        <w:rPr>
          <w:rFonts w:hint="eastAsia" w:ascii="MS UI Gothic" w:eastAsia="MS UI Gothic"/>
        </w:rPr>
        <w:t xml:space="preserve">６ ｓ </w:t>
      </w:r>
      <w:r>
        <w:t>的行程</w:t>
      </w:r>
      <w:r>
        <w:rPr>
          <w:rFonts w:hint="eastAsia" w:ascii="MS UI Gothic" w:eastAsia="MS UI Gothic"/>
          <w:w w:val="85"/>
        </w:rPr>
        <w:t>ꎮ</w:t>
      </w:r>
    </w:p>
    <w:p>
      <w:pPr>
        <w:pStyle w:val="6"/>
        <w:spacing w:line="285" w:lineRule="auto"/>
        <w:ind w:right="442" w:firstLine="413"/>
        <w:rPr>
          <w:rFonts w:hint="eastAsia" w:ascii="MS UI Gothic" w:eastAsia="MS UI Gothic"/>
          <w:sz w:val="12"/>
        </w:rPr>
      </w:pPr>
      <w:r>
        <w:rPr>
          <w:rFonts w:hint="eastAsia" w:ascii="MS UI Gothic" w:eastAsia="MS UI Gothic"/>
        </w:rPr>
        <w:t xml:space="preserve">３ </w:t>
      </w:r>
      <w:r>
        <w:t>在最小载荷最大坡度上向上运行时</w:t>
      </w:r>
      <w:r>
        <w:rPr>
          <w:rFonts w:hint="eastAsia" w:ascii="MS UI Gothic" w:eastAsia="MS UI Gothic"/>
          <w:w w:val="80"/>
        </w:rPr>
        <w:t xml:space="preserve">ꎬ </w:t>
      </w:r>
      <w:r>
        <w:t xml:space="preserve">制动减速度不大于 </w:t>
      </w:r>
      <w:r>
        <w:rPr>
          <w:rFonts w:hint="eastAsia" w:ascii="MS UI Gothic" w:eastAsia="MS UI Gothic"/>
        </w:rPr>
        <w:t xml:space="preserve">５ ｍ </w:t>
      </w:r>
      <w:r>
        <w:rPr>
          <w:rFonts w:hint="eastAsia" w:ascii="MS UI Gothic" w:eastAsia="MS UI Gothic"/>
          <w:w w:val="70"/>
        </w:rPr>
        <w:t xml:space="preserve">/ </w:t>
      </w:r>
      <w:r>
        <w:rPr>
          <w:rFonts w:hint="eastAsia" w:ascii="MS UI Gothic" w:eastAsia="MS UI Gothic"/>
          <w:w w:val="80"/>
        </w:rPr>
        <w:t>ｓ</w:t>
      </w:r>
      <w:r>
        <w:rPr>
          <w:rFonts w:hint="eastAsia" w:ascii="MS UI Gothic" w:eastAsia="MS UI Gothic"/>
          <w:w w:val="80"/>
          <w:position w:val="9"/>
          <w:sz w:val="12"/>
        </w:rPr>
        <w:t>２</w:t>
      </w:r>
    </w:p>
    <w:p>
      <w:pPr>
        <w:pStyle w:val="6"/>
        <w:spacing w:line="295" w:lineRule="auto"/>
        <w:ind w:right="442"/>
        <w:rPr>
          <w:rFonts w:hint="eastAsia" w:ascii="MS UI Gothic" w:eastAsia="MS UI Gothic"/>
        </w:rPr>
      </w:pPr>
      <w:r>
        <w:rPr>
          <w:rFonts w:hint="eastAsia" w:ascii="MS UI Gothic" w:eastAsia="MS UI Gothic"/>
          <w:w w:val="145"/>
        </w:rPr>
        <w:t xml:space="preserve">( </w:t>
      </w:r>
      <w:r>
        <w:t>四</w:t>
      </w:r>
      <w:r>
        <w:rPr>
          <w:rFonts w:hint="eastAsia" w:ascii="MS UI Gothic" w:eastAsia="MS UI Gothic"/>
          <w:w w:val="145"/>
        </w:rPr>
        <w:t xml:space="preserve">) </w:t>
      </w:r>
      <w:r>
        <w:t>胶套轮材料与钢轨的摩擦系数</w:t>
      </w:r>
      <w:r>
        <w:rPr>
          <w:rFonts w:hint="eastAsia" w:ascii="MS UI Gothic" w:eastAsia="MS UI Gothic"/>
          <w:w w:val="80"/>
        </w:rPr>
        <w:t xml:space="preserve">ꎬ </w:t>
      </w:r>
      <w:r>
        <w:t xml:space="preserve">不得小于 </w:t>
      </w:r>
      <w:r>
        <w:rPr>
          <w:rFonts w:hint="eastAsia" w:ascii="MS UI Gothic" w:eastAsia="MS UI Gothic"/>
        </w:rPr>
        <w:t>０ ４</w:t>
      </w:r>
      <w:r>
        <w:rPr>
          <w:rFonts w:hint="eastAsia" w:ascii="MS UI Gothic" w:eastAsia="MS UI Gothic"/>
          <w:w w:val="80"/>
        </w:rPr>
        <w:t>ꎮ</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柴油机和蓄电池单轨吊车</w:t>
      </w:r>
      <w:r>
        <w:rPr>
          <w:rFonts w:hint="eastAsia" w:ascii="MS UI Gothic" w:eastAsia="MS UI Gothic"/>
          <w:w w:val="80"/>
        </w:rPr>
        <w:t xml:space="preserve">、 </w:t>
      </w:r>
      <w:r>
        <w:rPr>
          <w:w w:val="105"/>
        </w:rPr>
        <w:t>齿</w:t>
      </w:r>
      <w:r>
        <w:t>轨车和胶套轮车的牵引机车或者头车上</w:t>
      </w:r>
      <w:r>
        <w:rPr>
          <w:rFonts w:hint="eastAsia" w:ascii="MS UI Gothic" w:eastAsia="MS UI Gothic"/>
          <w:w w:val="80"/>
        </w:rPr>
        <w:t>ꎬ</w:t>
      </w:r>
      <w:r>
        <w:t>必须设置车灯和喇叭</w:t>
      </w:r>
      <w:r>
        <w:rPr>
          <w:rFonts w:hint="eastAsia" w:ascii="MS UI Gothic" w:eastAsia="MS UI Gothic"/>
          <w:w w:val="80"/>
        </w:rPr>
        <w:t xml:space="preserve">ꎬ </w:t>
      </w:r>
      <w:r>
        <w:t>列车的尾部必须设</w:t>
      </w:r>
      <w:r>
        <w:rPr>
          <w:w w:val="105"/>
        </w:rPr>
        <w:t>置红灯</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柴油机和蓄电池单轨吊车</w:t>
      </w:r>
      <w:r>
        <w:rPr>
          <w:rFonts w:hint="eastAsia" w:ascii="MS UI Gothic" w:eastAsia="MS UI Gothic"/>
          <w:w w:val="80"/>
        </w:rPr>
        <w:t xml:space="preserve">ꎬ </w:t>
      </w:r>
      <w:r>
        <w:rPr>
          <w:w w:val="105"/>
        </w:rPr>
        <w:t xml:space="preserve">必须具备 </w:t>
      </w:r>
      <w:r>
        <w:rPr>
          <w:rFonts w:hint="eastAsia" w:ascii="MS UI Gothic" w:eastAsia="MS UI Gothic"/>
          <w:w w:val="80"/>
        </w:rPr>
        <w:t xml:space="preserve">２ </w:t>
      </w:r>
      <w:r>
        <w:rPr>
          <w:w w:val="105"/>
        </w:rPr>
        <w:t>路以上相对独立回油的制动系</w:t>
      </w:r>
      <w:r>
        <w:t>统</w:t>
      </w:r>
      <w:r>
        <w:rPr>
          <w:rFonts w:hint="eastAsia" w:ascii="MS UI Gothic" w:eastAsia="MS UI Gothic"/>
          <w:w w:val="80"/>
        </w:rPr>
        <w:t xml:space="preserve">ꎬ </w:t>
      </w:r>
      <w:r>
        <w:t>必须设置超速保护装置</w:t>
      </w:r>
      <w:r>
        <w:rPr>
          <w:rFonts w:hint="eastAsia" w:ascii="MS UI Gothic" w:eastAsia="MS UI Gothic"/>
          <w:w w:val="80"/>
        </w:rPr>
        <w:t xml:space="preserve">ꎮ </w:t>
      </w:r>
      <w:r>
        <w:t>司机应当配</w:t>
      </w:r>
      <w:r>
        <w:rPr>
          <w:w w:val="105"/>
        </w:rPr>
        <w:t>备通信装置</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spacing w:val="-42"/>
          <w:w w:val="150"/>
        </w:rPr>
        <w:t xml:space="preserve">( </w:t>
      </w:r>
      <w:r>
        <w:rPr>
          <w:spacing w:val="3"/>
          <w:w w:val="110"/>
        </w:rPr>
        <w:t>七</w:t>
      </w:r>
      <w:r>
        <w:rPr>
          <w:rFonts w:hint="eastAsia" w:ascii="MS UI Gothic" w:eastAsia="MS UI Gothic"/>
          <w:spacing w:val="-20"/>
          <w:w w:val="150"/>
        </w:rPr>
        <w:t xml:space="preserve">) </w:t>
      </w:r>
      <w:r>
        <w:rPr>
          <w:spacing w:val="5"/>
          <w:w w:val="110"/>
        </w:rPr>
        <w:t>无极绳连续牵引车</w:t>
      </w:r>
      <w:r>
        <w:rPr>
          <w:rFonts w:hint="eastAsia" w:ascii="MS UI Gothic" w:eastAsia="MS UI Gothic"/>
          <w:spacing w:val="-2"/>
          <w:w w:val="80"/>
        </w:rPr>
        <w:t xml:space="preserve">、 </w:t>
      </w:r>
      <w:r>
        <w:rPr>
          <w:spacing w:val="8"/>
          <w:w w:val="110"/>
        </w:rPr>
        <w:t>绳牵引卡</w:t>
      </w:r>
      <w:r>
        <w:rPr>
          <w:spacing w:val="3"/>
          <w:w w:val="105"/>
        </w:rPr>
        <w:t>轨车</w:t>
      </w:r>
      <w:r>
        <w:rPr>
          <w:rFonts w:hint="eastAsia" w:ascii="MS UI Gothic" w:eastAsia="MS UI Gothic"/>
          <w:w w:val="80"/>
        </w:rPr>
        <w:t xml:space="preserve">、 </w:t>
      </w:r>
      <w:r>
        <w:rPr>
          <w:spacing w:val="3"/>
          <w:w w:val="105"/>
        </w:rPr>
        <w:t>绳牵引单轨吊车</w:t>
      </w:r>
      <w:r>
        <w:rPr>
          <w:rFonts w:hint="eastAsia" w:ascii="MS UI Gothic" w:eastAsia="MS UI Gothic"/>
          <w:w w:val="80"/>
        </w:rPr>
        <w:t xml:space="preserve">ꎬ </w:t>
      </w:r>
      <w:r>
        <w:rPr>
          <w:spacing w:val="2"/>
          <w:w w:val="105"/>
        </w:rPr>
        <w:t>还应当符合下列</w:t>
      </w:r>
      <w:r>
        <w:rPr>
          <w:spacing w:val="3"/>
          <w:w w:val="110"/>
        </w:rPr>
        <w:t>要求</w:t>
      </w:r>
      <w:r>
        <w:rPr>
          <w:rFonts w:hint="eastAsia" w:ascii="MS UI Gothic" w:eastAsia="MS UI Gothic"/>
          <w:w w:val="235"/>
        </w:rPr>
        <w:t>:</w:t>
      </w:r>
    </w:p>
    <w:p>
      <w:pPr>
        <w:pStyle w:val="6"/>
        <w:spacing w:line="254" w:lineRule="exact"/>
        <w:ind w:left="538" w:firstLine="0"/>
      </w:pPr>
      <w:r>
        <w:rPr>
          <w:rFonts w:hint="eastAsia" w:ascii="MS UI Gothic" w:eastAsia="MS UI Gothic"/>
        </w:rPr>
        <w:t xml:space="preserve">１ </w:t>
      </w:r>
      <w:r>
        <w:t>必须设置越位</w:t>
      </w:r>
      <w:r>
        <w:rPr>
          <w:rFonts w:hint="eastAsia" w:ascii="MS UI Gothic" w:eastAsia="MS UI Gothic"/>
        </w:rPr>
        <w:t xml:space="preserve">、 </w:t>
      </w:r>
      <w:r>
        <w:t>超速</w:t>
      </w:r>
      <w:r>
        <w:rPr>
          <w:rFonts w:hint="eastAsia" w:ascii="MS UI Gothic" w:eastAsia="MS UI Gothic"/>
        </w:rPr>
        <w:t xml:space="preserve">、 </w:t>
      </w:r>
      <w:r>
        <w:t>张紧力下</w:t>
      </w:r>
    </w:p>
    <w:p>
      <w:pPr>
        <w:pStyle w:val="6"/>
        <w:spacing w:before="50" w:line="240" w:lineRule="exact"/>
        <w:ind w:firstLine="0"/>
        <w:jc w:val="left"/>
        <w:rPr>
          <w:rFonts w:hint="eastAsia" w:ascii="MS UI Gothic" w:eastAsia="MS UI Gothic"/>
        </w:rPr>
      </w:pPr>
      <w:r>
        <w:t>降等保护</w:t>
      </w:r>
      <w:r>
        <w:rPr>
          <w:rFonts w:hint="eastAsia" w:ascii="MS UI Gothic" w:eastAsia="MS UI Gothic"/>
          <w:w w:val="80"/>
        </w:rPr>
        <w:t>ꎮ</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69"/>
        <w:ind w:left="543" w:firstLine="0"/>
        <w:jc w:val="left"/>
      </w:pPr>
      <w:r>
        <w:rPr>
          <w:rFonts w:hint="eastAsia" w:ascii="MS UI Gothic" w:eastAsia="MS UI Gothic"/>
          <w:w w:val="110"/>
        </w:rPr>
        <w:t xml:space="preserve">( </w:t>
      </w:r>
      <w:r>
        <w:rPr>
          <w:w w:val="110"/>
        </w:rPr>
        <w:t>三</w:t>
      </w:r>
      <w:r>
        <w:rPr>
          <w:rFonts w:hint="eastAsia" w:ascii="MS UI Gothic" w:eastAsia="MS UI Gothic"/>
          <w:w w:val="110"/>
        </w:rPr>
        <w:t xml:space="preserve">) </w:t>
      </w:r>
      <w:r>
        <w:rPr>
          <w:w w:val="110"/>
        </w:rPr>
        <w:t>严禁放飞车和在巷道坡度大于</w:t>
      </w:r>
    </w:p>
    <w:p>
      <w:pPr>
        <w:pStyle w:val="6"/>
        <w:spacing w:before="58"/>
        <w:ind w:left="118" w:firstLine="0"/>
        <w:jc w:val="left"/>
        <w:rPr>
          <w:rFonts w:hint="eastAsia" w:ascii="MS UI Gothic" w:hAnsi="MS UI Gothic" w:eastAsia="MS UI Gothic"/>
        </w:rPr>
      </w:pPr>
      <w:r>
        <w:rPr>
          <w:rFonts w:hint="eastAsia" w:ascii="MS UI Gothic" w:hAnsi="MS UI Gothic" w:eastAsia="MS UI Gothic"/>
        </w:rPr>
        <w:t>７</w:t>
      </w:r>
      <w:r>
        <w:t>‰时人力推车</w:t>
      </w:r>
      <w:r>
        <w:rPr>
          <w:rFonts w:hint="eastAsia" w:ascii="MS UI Gothic" w:hAnsi="MS UI Gothic" w:eastAsia="MS UI Gothic"/>
          <w:w w:val="85"/>
        </w:rPr>
        <w:t>ꎮ</w:t>
      </w:r>
    </w:p>
    <w:p>
      <w:pPr>
        <w:pStyle w:val="6"/>
        <w:spacing w:before="58"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不得在能自动滑行的坡道上停</w:t>
      </w:r>
      <w:r>
        <w:t>放车辆</w:t>
      </w:r>
      <w:r>
        <w:rPr>
          <w:rFonts w:hint="eastAsia" w:ascii="MS UI Gothic" w:eastAsia="MS UI Gothic"/>
          <w:w w:val="80"/>
        </w:rPr>
        <w:t xml:space="preserve">ꎬ </w:t>
      </w:r>
      <w:r>
        <w:t>确需停放时必须用可靠的制动器</w:t>
      </w:r>
      <w:r>
        <w:rPr>
          <w:w w:val="105"/>
        </w:rPr>
        <w:t>或者阻车器将车辆稳住</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第三百九十条 使用的单轨吊车</w:t>
      </w:r>
      <w:r>
        <w:rPr>
          <w:rFonts w:hint="eastAsia" w:ascii="MS UI Gothic" w:eastAsia="MS UI Gothic"/>
          <w:w w:val="80"/>
        </w:rPr>
        <w:t xml:space="preserve">、 </w:t>
      </w:r>
      <w:r>
        <w:rPr>
          <w:w w:val="105"/>
        </w:rPr>
        <w:t>卡轨车</w:t>
      </w:r>
      <w:r>
        <w:rPr>
          <w:rFonts w:hint="eastAsia" w:ascii="MS UI Gothic" w:eastAsia="MS UI Gothic"/>
          <w:w w:val="80"/>
        </w:rPr>
        <w:t xml:space="preserve">、 </w:t>
      </w:r>
      <w:r>
        <w:rPr>
          <w:w w:val="105"/>
        </w:rPr>
        <w:t>齿轨车</w:t>
      </w:r>
      <w:r>
        <w:rPr>
          <w:rFonts w:hint="eastAsia" w:ascii="MS UI Gothic" w:eastAsia="MS UI Gothic"/>
          <w:w w:val="80"/>
        </w:rPr>
        <w:t xml:space="preserve">、 </w:t>
      </w:r>
      <w:r>
        <w:rPr>
          <w:w w:val="105"/>
        </w:rPr>
        <w:t>胶套轮车</w:t>
      </w:r>
      <w:r>
        <w:rPr>
          <w:rFonts w:hint="eastAsia" w:ascii="MS UI Gothic" w:eastAsia="MS UI Gothic"/>
          <w:w w:val="80"/>
        </w:rPr>
        <w:t xml:space="preserve">、 </w:t>
      </w:r>
      <w:r>
        <w:rPr>
          <w:w w:val="105"/>
        </w:rPr>
        <w:t>无极绳连续牵引车</w:t>
      </w:r>
      <w:r>
        <w:rPr>
          <w:rFonts w:hint="eastAsia" w:ascii="MS UI Gothic" w:eastAsia="MS UI Gothic"/>
          <w:w w:val="80"/>
        </w:rPr>
        <w:t xml:space="preserve">ꎬ </w:t>
      </w:r>
      <w:r>
        <w:rPr>
          <w:w w:val="105"/>
        </w:rPr>
        <w:t>应当符合下列要求</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运行坡度</w:t>
      </w:r>
      <w:r>
        <w:rPr>
          <w:rFonts w:hint="eastAsia" w:ascii="MS UI Gothic" w:eastAsia="MS UI Gothic"/>
          <w:w w:val="80"/>
        </w:rPr>
        <w:t xml:space="preserve">、 </w:t>
      </w:r>
      <w:r>
        <w:rPr>
          <w:w w:val="105"/>
        </w:rPr>
        <w:t>速度和载重</w:t>
      </w:r>
      <w:r>
        <w:rPr>
          <w:rFonts w:hint="eastAsia" w:ascii="MS UI Gothic" w:eastAsia="MS UI Gothic"/>
          <w:w w:val="80"/>
        </w:rPr>
        <w:t xml:space="preserve">ꎬ </w:t>
      </w:r>
      <w:r>
        <w:rPr>
          <w:w w:val="105"/>
        </w:rPr>
        <w:t>不得超过设计规定值</w:t>
      </w:r>
      <w:r>
        <w:rPr>
          <w:rFonts w:hint="eastAsia" w:ascii="MS UI Gothic" w:eastAsia="MS UI Gothic"/>
          <w:w w:val="80"/>
        </w:rPr>
        <w:t>ꎮ</w:t>
      </w:r>
    </w:p>
    <w:p>
      <w:pPr>
        <w:pStyle w:val="6"/>
        <w:spacing w:before="69" w:line="295" w:lineRule="auto"/>
        <w:ind w:left="118" w:right="442" w:firstLine="413"/>
        <w:rPr>
          <w:rFonts w:hint="eastAsia" w:ascii="MS UI Gothic" w:eastAsia="MS UI Gothic"/>
        </w:rPr>
      </w:pPr>
      <w:r>
        <w:br w:type="column"/>
      </w:r>
      <w:r>
        <w:rPr>
          <w:rFonts w:hint="eastAsia" w:ascii="MS UI Gothic" w:eastAsia="MS UI Gothic"/>
        </w:rPr>
        <w:t xml:space="preserve">２ </w:t>
      </w:r>
      <w:r>
        <w:t>必须设置司机与相关岗位工之间的信号联络装置</w:t>
      </w:r>
      <w:r>
        <w:rPr>
          <w:rFonts w:hint="eastAsia" w:ascii="MS UI Gothic" w:eastAsia="MS UI Gothic"/>
          <w:w w:val="85"/>
        </w:rPr>
        <w:t xml:space="preserve">ꎻ </w:t>
      </w:r>
      <w:r>
        <w:t>设有跟车工时</w:t>
      </w:r>
      <w:r>
        <w:rPr>
          <w:rFonts w:hint="eastAsia" w:ascii="MS UI Gothic" w:eastAsia="MS UI Gothic"/>
          <w:w w:val="85"/>
        </w:rPr>
        <w:t xml:space="preserve">ꎬ </w:t>
      </w:r>
      <w:r>
        <w:t>必须设置跟车工与牵引绞车司机联络用的信号和通信装置</w:t>
      </w:r>
      <w:r>
        <w:rPr>
          <w:rFonts w:hint="eastAsia" w:ascii="MS UI Gothic" w:eastAsia="MS UI Gothic"/>
          <w:w w:val="85"/>
        </w:rPr>
        <w:t xml:space="preserve">ꎮ </w:t>
      </w:r>
      <w:r>
        <w:t>在驱动部</w:t>
      </w:r>
      <w:r>
        <w:rPr>
          <w:rFonts w:hint="eastAsia" w:ascii="MS UI Gothic" w:eastAsia="MS UI Gothic"/>
        </w:rPr>
        <w:t xml:space="preserve">、 </w:t>
      </w:r>
      <w:r>
        <w:t>各车场</w:t>
      </w:r>
      <w:r>
        <w:rPr>
          <w:rFonts w:hint="eastAsia" w:ascii="MS UI Gothic" w:eastAsia="MS UI Gothic"/>
          <w:w w:val="85"/>
        </w:rPr>
        <w:t xml:space="preserve">ꎬ </w:t>
      </w:r>
      <w:r>
        <w:t>应当设置行车报警和信号装置</w:t>
      </w:r>
      <w:r>
        <w:rPr>
          <w:rFonts w:hint="eastAsia" w:ascii="MS UI Gothic" w:eastAsia="MS UI Gothic"/>
          <w:w w:val="85"/>
        </w:rPr>
        <w:t>ꎮ</w:t>
      </w:r>
    </w:p>
    <w:p>
      <w:pPr>
        <w:pStyle w:val="6"/>
        <w:spacing w:line="295" w:lineRule="auto"/>
        <w:ind w:left="118" w:right="442" w:firstLine="413"/>
        <w:rPr>
          <w:rFonts w:hint="eastAsia" w:ascii="MS UI Gothic" w:eastAsia="MS UI Gothic"/>
        </w:rPr>
      </w:pPr>
      <w:r>
        <w:rPr>
          <w:rFonts w:hint="eastAsia" w:ascii="MS UI Gothic" w:eastAsia="MS UI Gothic"/>
        </w:rPr>
        <w:t xml:space="preserve">３ </w:t>
      </w:r>
      <w:r>
        <w:t>运送人员时</w:t>
      </w:r>
      <w:r>
        <w:rPr>
          <w:rFonts w:hint="eastAsia" w:ascii="MS UI Gothic" w:eastAsia="MS UI Gothic"/>
          <w:w w:val="85"/>
        </w:rPr>
        <w:t xml:space="preserve">ꎬ </w:t>
      </w:r>
      <w:r>
        <w:t>必须设置卡轨或者护轨装置</w:t>
      </w:r>
      <w:r>
        <w:rPr>
          <w:rFonts w:hint="eastAsia" w:ascii="MS UI Gothic" w:eastAsia="MS UI Gothic"/>
          <w:w w:val="85"/>
        </w:rPr>
        <w:t xml:space="preserve">ꎬ </w:t>
      </w:r>
      <w:r>
        <w:t>采用具有制动功能的专用乘人装置</w:t>
      </w:r>
      <w:r>
        <w:rPr>
          <w:rFonts w:hint="eastAsia" w:ascii="MS UI Gothic" w:eastAsia="MS UI Gothic"/>
          <w:w w:val="85"/>
        </w:rPr>
        <w:t xml:space="preserve">ꎬ </w:t>
      </w:r>
      <w:r>
        <w:t>必须设置跟车工</w:t>
      </w:r>
      <w:r>
        <w:rPr>
          <w:rFonts w:hint="eastAsia" w:ascii="MS UI Gothic" w:eastAsia="MS UI Gothic"/>
          <w:w w:val="85"/>
        </w:rPr>
        <w:t xml:space="preserve">ꎮ </w:t>
      </w:r>
      <w:r>
        <w:t>制动装置必须定期试验</w:t>
      </w:r>
      <w:r>
        <w:rPr>
          <w:rFonts w:hint="eastAsia" w:ascii="MS UI Gothic" w:eastAsia="MS UI Gothic"/>
          <w:w w:val="85"/>
        </w:rPr>
        <w:t>ꎮ</w:t>
      </w:r>
    </w:p>
    <w:p>
      <w:pPr>
        <w:pStyle w:val="6"/>
        <w:spacing w:line="253" w:lineRule="exact"/>
        <w:ind w:left="532" w:firstLine="0"/>
        <w:rPr>
          <w:rFonts w:hint="eastAsia" w:ascii="MS UI Gothic" w:eastAsia="MS UI Gothic"/>
        </w:rPr>
      </w:pPr>
      <w:r>
        <w:rPr>
          <w:rFonts w:hint="eastAsia" w:ascii="MS UI Gothic" w:eastAsia="MS UI Gothic"/>
        </w:rPr>
        <w:t xml:space="preserve">４ </w:t>
      </w:r>
      <w:r>
        <w:t>运行时绳道内严禁有人</w:t>
      </w:r>
      <w:r>
        <w:rPr>
          <w:rFonts w:hint="eastAsia" w:ascii="MS UI Gothic" w:eastAsia="MS UI Gothic"/>
          <w:w w:val="85"/>
        </w:rPr>
        <w:t>ꎮ</w:t>
      </w:r>
    </w:p>
    <w:p>
      <w:pPr>
        <w:spacing w:after="0" w:line="253" w:lineRule="exact"/>
        <w:rPr>
          <w:rFonts w:hint="eastAsia" w:ascii="MS UI Gothic" w:eastAsia="MS UI Gothic"/>
        </w:rPr>
        <w:sectPr>
          <w:type w:val="continuous"/>
          <w:pgSz w:w="10500" w:h="14750"/>
          <w:pgMar w:top="1400" w:right="980" w:bottom="280" w:left="980" w:header="720" w:footer="720" w:gutter="0"/>
          <w:cols w:equalWidth="0" w:num="2">
            <w:col w:w="3934" w:space="264"/>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２９７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19" o:spid="_x0000_s1919" o:spt="203" style="height:2.15pt;width:398.25pt;" coordsize="7965,43">
            <o:lock v:ext="edit"/>
            <v:line id="_x0000_s1920" o:spid="_x0000_s1920" o:spt="20" style="position:absolute;left:0;top:39;height:0;width:7965;" stroked="t" coordsize="21600,21600">
              <v:path arrowok="t"/>
              <v:fill focussize="0,0"/>
              <v:stroke weight="0.388031496062992pt" color="#231F20"/>
              <v:imagedata o:title=""/>
              <o:lock v:ext="edit"/>
            </v:line>
            <v:line id="_x0000_s1921" o:spid="_x0000_s192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413"/>
        <w:rPr>
          <w:rFonts w:hint="eastAsia" w:ascii="MS UI Gothic" w:eastAsia="MS UI Gothic"/>
        </w:rPr>
      </w:pPr>
      <w:r>
        <w:rPr>
          <w:rFonts w:hint="eastAsia" w:ascii="MS UI Gothic" w:eastAsia="MS UI Gothic"/>
        </w:rPr>
        <w:t xml:space="preserve">５ </w:t>
      </w:r>
      <w:r>
        <w:t>车辆脱轨后复轨时</w:t>
      </w:r>
      <w:r>
        <w:rPr>
          <w:rFonts w:hint="eastAsia" w:ascii="MS UI Gothic" w:eastAsia="MS UI Gothic"/>
          <w:w w:val="85"/>
        </w:rPr>
        <w:t xml:space="preserve">ꎬ </w:t>
      </w:r>
      <w:r>
        <w:t>必须先释放牵引钢丝绳的弹性张力</w:t>
      </w:r>
      <w:r>
        <w:rPr>
          <w:rFonts w:hint="eastAsia" w:ascii="MS UI Gothic" w:eastAsia="MS UI Gothic"/>
          <w:w w:val="85"/>
        </w:rPr>
        <w:t xml:space="preserve">ꎮ </w:t>
      </w:r>
      <w:r>
        <w:t>人员严禁在脱轨车辆的前方或者后方工作</w:t>
      </w:r>
      <w:r>
        <w:rPr>
          <w:rFonts w:hint="eastAsia" w:ascii="MS UI Gothic" w:eastAsia="MS UI Gothic"/>
          <w:w w:val="85"/>
        </w:rPr>
        <w:t>ꎮ</w:t>
      </w:r>
    </w:p>
    <w:p>
      <w:pPr>
        <w:pStyle w:val="6"/>
        <w:spacing w:line="295" w:lineRule="auto"/>
        <w:ind w:left="440" w:right="1"/>
        <w:rPr>
          <w:rFonts w:hint="eastAsia" w:ascii="MS UI Gothic" w:eastAsia="MS UI Gothic"/>
        </w:rPr>
      </w:pPr>
      <w:r>
        <w:rPr>
          <w:w w:val="105"/>
        </w:rPr>
        <w:t>第三百九十一条 采用单轨吊车运输</w:t>
      </w:r>
      <w:r>
        <w:rPr>
          <w:w w:val="110"/>
        </w:rPr>
        <w:t>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440"/>
        <w:rPr>
          <w:rFonts w:hint="eastAsia" w:ascii="MS UI Gothic" w:hAnsi="MS UI Gothic" w:eastAsia="MS UI Gothic"/>
        </w:rPr>
      </w:pPr>
      <w:r>
        <w:rPr>
          <w:rFonts w:hint="eastAsia" w:ascii="MS UI Gothic" w:hAnsi="MS UI Gothic" w:eastAsia="MS UI Gothic"/>
          <w:w w:val="140"/>
        </w:rPr>
        <w:t xml:space="preserve">( </w:t>
      </w:r>
      <w:r>
        <w:t>一</w:t>
      </w:r>
      <w:r>
        <w:rPr>
          <w:rFonts w:hint="eastAsia" w:ascii="MS UI Gothic" w:hAnsi="MS UI Gothic" w:eastAsia="MS UI Gothic"/>
          <w:w w:val="140"/>
        </w:rPr>
        <w:t xml:space="preserve">) </w:t>
      </w:r>
      <w:r>
        <w:t>柴油机单轨吊车运行巷道坡度</w:t>
      </w:r>
      <w:r>
        <w:rPr>
          <w:w w:val="90"/>
        </w:rPr>
        <w:t xml:space="preserve">不大于 </w:t>
      </w:r>
      <w:r>
        <w:rPr>
          <w:rFonts w:hint="eastAsia" w:ascii="MS UI Gothic" w:hAnsi="MS UI Gothic" w:eastAsia="MS UI Gothic"/>
          <w:w w:val="85"/>
        </w:rPr>
        <w:t xml:space="preserve">２５°ꎬ </w:t>
      </w:r>
      <w:r>
        <w:rPr>
          <w:w w:val="90"/>
        </w:rPr>
        <w:t xml:space="preserve">蓄电池单轨吊车不大于 </w:t>
      </w:r>
      <w:r>
        <w:rPr>
          <w:rFonts w:hint="eastAsia" w:ascii="MS UI Gothic" w:hAnsi="MS UI Gothic" w:eastAsia="MS UI Gothic"/>
          <w:w w:val="85"/>
        </w:rPr>
        <w:t>１５°ꎬ</w:t>
      </w:r>
      <w:r>
        <w:t xml:space="preserve">钢丝绳单轨吊车不大于 </w:t>
      </w:r>
      <w:r>
        <w:rPr>
          <w:rFonts w:hint="eastAsia" w:ascii="MS UI Gothic" w:hAnsi="MS UI Gothic" w:eastAsia="MS UI Gothic"/>
          <w:w w:val="85"/>
        </w:rPr>
        <w:t>２５°ꎮ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必须根据起吊重物的最大载荷</w:t>
      </w:r>
      <w:r>
        <w:t>设计起吊梁和吊挂轨道</w:t>
      </w:r>
      <w:r>
        <w:rPr>
          <w:rFonts w:hint="eastAsia" w:ascii="MS UI Gothic" w:eastAsia="MS UI Gothic"/>
          <w:w w:val="80"/>
        </w:rPr>
        <w:t xml:space="preserve">ꎬ </w:t>
      </w:r>
      <w:r>
        <w:t>其安装与铺设应</w:t>
      </w:r>
      <w:r>
        <w:rPr>
          <w:w w:val="105"/>
        </w:rPr>
        <w:t>当保证单轨吊车的安全运行</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单轨吊车运行中应当设置跟车工</w:t>
      </w:r>
      <w:r>
        <w:rPr>
          <w:rFonts w:hint="eastAsia" w:ascii="MS UI Gothic" w:eastAsia="MS UI Gothic"/>
          <w:w w:val="80"/>
        </w:rPr>
        <w:t xml:space="preserve">ꎮ </w:t>
      </w:r>
      <w:r>
        <w:t>起吊或者下放设备</w:t>
      </w:r>
      <w:r>
        <w:rPr>
          <w:rFonts w:hint="eastAsia" w:ascii="MS UI Gothic" w:eastAsia="MS UI Gothic"/>
          <w:w w:val="80"/>
        </w:rPr>
        <w:t xml:space="preserve">、 </w:t>
      </w:r>
      <w:r>
        <w:t>材料时</w:t>
      </w:r>
      <w:r>
        <w:rPr>
          <w:rFonts w:hint="eastAsia" w:ascii="MS UI Gothic" w:eastAsia="MS UI Gothic"/>
          <w:w w:val="80"/>
        </w:rPr>
        <w:t xml:space="preserve">ꎬ </w:t>
      </w:r>
      <w:r>
        <w:t>人员严禁在起吊梁两侧</w:t>
      </w:r>
      <w:r>
        <w:rPr>
          <w:rFonts w:hint="eastAsia" w:ascii="MS UI Gothic" w:eastAsia="MS UI Gothic"/>
          <w:w w:val="80"/>
        </w:rPr>
        <w:t xml:space="preserve">ꎻ </w:t>
      </w:r>
      <w:r>
        <w:t>机车过风门</w:t>
      </w:r>
      <w:r>
        <w:rPr>
          <w:rFonts w:hint="eastAsia" w:ascii="MS UI Gothic" w:eastAsia="MS UI Gothic"/>
          <w:w w:val="80"/>
        </w:rPr>
        <w:t xml:space="preserve">、 </w:t>
      </w:r>
      <w:r>
        <w:t>道岔</w:t>
      </w:r>
      <w:r>
        <w:rPr>
          <w:rFonts w:hint="eastAsia" w:ascii="MS UI Gothic" w:eastAsia="MS UI Gothic"/>
          <w:w w:val="80"/>
        </w:rPr>
        <w:t xml:space="preserve">、 </w:t>
      </w:r>
      <w:r>
        <w:t>弯道时</w:t>
      </w:r>
      <w:r>
        <w:rPr>
          <w:rFonts w:hint="eastAsia" w:ascii="MS UI Gothic" w:eastAsia="MS UI Gothic"/>
          <w:w w:val="80"/>
        </w:rPr>
        <w:t xml:space="preserve">ꎬ </w:t>
      </w:r>
      <w:r>
        <w:t>必须确认安全</w:t>
      </w:r>
      <w:r>
        <w:rPr>
          <w:rFonts w:hint="eastAsia" w:ascii="MS UI Gothic" w:eastAsia="MS UI Gothic"/>
          <w:w w:val="80"/>
        </w:rPr>
        <w:t xml:space="preserve">ꎬ </w:t>
      </w:r>
      <w:r>
        <w:t>方可缓慢通过</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采用柴油机</w:t>
      </w:r>
      <w:r>
        <w:rPr>
          <w:rFonts w:hint="eastAsia" w:ascii="MS UI Gothic" w:eastAsia="MS UI Gothic"/>
          <w:w w:val="80"/>
        </w:rPr>
        <w:t xml:space="preserve">、 </w:t>
      </w:r>
      <w:r>
        <w:rPr>
          <w:w w:val="105"/>
        </w:rPr>
        <w:t>蓄电池单轨吊车</w:t>
      </w:r>
      <w:r>
        <w:t>运送人员时</w:t>
      </w:r>
      <w:r>
        <w:rPr>
          <w:rFonts w:hint="eastAsia" w:ascii="MS UI Gothic" w:eastAsia="MS UI Gothic"/>
          <w:w w:val="80"/>
        </w:rPr>
        <w:t xml:space="preserve">ꎬ </w:t>
      </w:r>
      <w:r>
        <w:t>必须使用人车车厢</w:t>
      </w:r>
      <w:r>
        <w:rPr>
          <w:rFonts w:hint="eastAsia" w:ascii="MS UI Gothic" w:eastAsia="MS UI Gothic"/>
          <w:w w:val="80"/>
        </w:rPr>
        <w:t xml:space="preserve">ꎻ </w:t>
      </w:r>
      <w:r>
        <w:t>两端必须设置制动装置</w:t>
      </w:r>
      <w:r>
        <w:rPr>
          <w:rFonts w:hint="eastAsia" w:ascii="MS UI Gothic" w:eastAsia="MS UI Gothic"/>
          <w:w w:val="80"/>
        </w:rPr>
        <w:t xml:space="preserve">ꎬ </w:t>
      </w:r>
      <w:r>
        <w:t>两侧必须设置防护</w:t>
      </w:r>
      <w:r>
        <w:rPr>
          <w:w w:val="105"/>
        </w:rPr>
        <w:t>装置</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采用钢丝绳牵引单轨吊车运输时</w:t>
      </w:r>
      <w:r>
        <w:rPr>
          <w:rFonts w:hint="eastAsia" w:ascii="MS UI Gothic" w:eastAsia="MS UI Gothic"/>
          <w:w w:val="80"/>
        </w:rPr>
        <w:t xml:space="preserve">ꎬ </w:t>
      </w:r>
      <w:r>
        <w:rPr>
          <w:w w:val="105"/>
        </w:rPr>
        <w:t>严禁在巷道弯道内侧设置人行道</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单轨吊车的检修工作应当在平</w:t>
      </w:r>
      <w:r>
        <w:t>巷内进行</w:t>
      </w:r>
      <w:r>
        <w:rPr>
          <w:rFonts w:hint="eastAsia" w:ascii="MS UI Gothic" w:eastAsia="MS UI Gothic"/>
          <w:w w:val="80"/>
        </w:rPr>
        <w:t xml:space="preserve">ꎮ </w:t>
      </w:r>
      <w:r>
        <w:t>若必须在斜巷内处理故障时</w:t>
      </w:r>
      <w:r>
        <w:rPr>
          <w:rFonts w:hint="eastAsia" w:ascii="MS UI Gothic" w:eastAsia="MS UI Gothic"/>
          <w:w w:val="80"/>
        </w:rPr>
        <w:t>ꎬ</w:t>
      </w:r>
      <w:r>
        <w:rPr>
          <w:w w:val="105"/>
        </w:rPr>
        <w:t>应当制定安全措施</w:t>
      </w:r>
      <w:r>
        <w:rPr>
          <w:rFonts w:hint="eastAsia" w:ascii="MS UI Gothic" w:eastAsia="MS UI Gothic"/>
          <w:w w:val="80"/>
        </w:rPr>
        <w:t>ꎮ</w:t>
      </w:r>
    </w:p>
    <w:p>
      <w:pPr>
        <w:pStyle w:val="6"/>
        <w:spacing w:line="254" w:lineRule="exact"/>
        <w:ind w:left="860" w:firstLine="0"/>
        <w:rPr>
          <w:rFonts w:hint="eastAsia" w:ascii="MS UI Gothic" w:eastAsia="MS UI Gothic"/>
        </w:rPr>
      </w:pPr>
      <w:r>
        <w:rPr>
          <w:rFonts w:hint="eastAsia" w:ascii="MS UI Gothic" w:eastAsia="MS UI Gothic"/>
          <w:spacing w:val="-43"/>
          <w:w w:val="150"/>
        </w:rPr>
        <w:t xml:space="preserve">( </w:t>
      </w:r>
      <w:r>
        <w:rPr>
          <w:spacing w:val="3"/>
          <w:w w:val="110"/>
        </w:rPr>
        <w:t>七</w:t>
      </w:r>
      <w:r>
        <w:rPr>
          <w:rFonts w:hint="eastAsia" w:ascii="MS UI Gothic" w:eastAsia="MS UI Gothic"/>
          <w:spacing w:val="-25"/>
          <w:w w:val="150"/>
        </w:rPr>
        <w:t xml:space="preserve">) </w:t>
      </w:r>
      <w:r>
        <w:rPr>
          <w:spacing w:val="3"/>
          <w:w w:val="110"/>
        </w:rPr>
        <w:t>有防止淋水侵蚀轨道的措施</w:t>
      </w:r>
      <w:r>
        <w:rPr>
          <w:rFonts w:hint="eastAsia" w:ascii="MS UI Gothic" w:eastAsia="MS UI Gothic"/>
          <w:w w:val="80"/>
        </w:rPr>
        <w:t>ꎮ</w:t>
      </w:r>
    </w:p>
    <w:p>
      <w:pPr>
        <w:pStyle w:val="6"/>
        <w:spacing w:before="41" w:line="295" w:lineRule="auto"/>
        <w:ind w:left="440" w:right="1"/>
        <w:rPr>
          <w:rFonts w:hint="eastAsia" w:ascii="MS UI Gothic" w:eastAsia="MS UI Gothic"/>
        </w:rPr>
      </w:pPr>
      <w:r>
        <w:rPr>
          <w:w w:val="105"/>
        </w:rPr>
        <w:t>第三百九十二条 采用无轨胶轮车运</w:t>
      </w:r>
      <w:r>
        <w:rPr>
          <w:w w:val="110"/>
        </w:rPr>
        <w:t>输时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严禁非防爆</w:t>
      </w:r>
      <w:r>
        <w:rPr>
          <w:rFonts w:hint="eastAsia" w:ascii="MS UI Gothic" w:eastAsia="MS UI Gothic"/>
          <w:w w:val="80"/>
        </w:rPr>
        <w:t xml:space="preserve">、 </w:t>
      </w:r>
      <w:r>
        <w:rPr>
          <w:w w:val="105"/>
        </w:rPr>
        <w:t>不完好无轨胶轮车下井运行</w:t>
      </w:r>
      <w:r>
        <w:rPr>
          <w:rFonts w:hint="eastAsia" w:ascii="MS UI Gothic" w:eastAsia="MS UI Gothic"/>
          <w:w w:val="80"/>
        </w:rPr>
        <w:t>ꎮ</w:t>
      </w:r>
    </w:p>
    <w:p>
      <w:pPr>
        <w:pStyle w:val="6"/>
        <w:spacing w:line="295" w:lineRule="auto"/>
        <w:ind w:left="440" w:right="1"/>
        <w:jc w:val="left"/>
        <w:rPr>
          <w:rFonts w:hint="eastAsia" w:ascii="MS UI Gothic" w:hAnsi="MS UI Gothic" w:eastAsia="MS UI Gothic"/>
        </w:rPr>
      </w:pPr>
      <w:r>
        <w:rPr>
          <w:rFonts w:hint="eastAsia" w:ascii="MS UI Gothic" w:hAnsi="MS UI Gothic" w:eastAsia="MS UI Gothic"/>
          <w:spacing w:val="-42"/>
          <w:w w:val="150"/>
        </w:rPr>
        <w:t xml:space="preserve">( </w:t>
      </w:r>
      <w:r>
        <w:rPr>
          <w:spacing w:val="3"/>
          <w:w w:val="110"/>
        </w:rPr>
        <w:t>二</w:t>
      </w:r>
      <w:r>
        <w:rPr>
          <w:rFonts w:hint="eastAsia" w:ascii="MS UI Gothic" w:hAnsi="MS UI Gothic" w:eastAsia="MS UI Gothic"/>
          <w:spacing w:val="-19"/>
          <w:w w:val="150"/>
        </w:rPr>
        <w:t xml:space="preserve">) </w:t>
      </w:r>
      <w:r>
        <w:rPr>
          <w:spacing w:val="-9"/>
          <w:w w:val="110"/>
        </w:rPr>
        <w:t xml:space="preserve">驾驶员持有 </w:t>
      </w:r>
      <w:r>
        <w:rPr>
          <w:rFonts w:hint="eastAsia" w:ascii="MS UI Gothic" w:hAnsi="MS UI Gothic" w:eastAsia="MS UI Gothic"/>
          <w:spacing w:val="-28"/>
          <w:w w:val="110"/>
        </w:rPr>
        <w:t xml:space="preserve">“ </w:t>
      </w:r>
      <w:r>
        <w:rPr>
          <w:spacing w:val="7"/>
          <w:w w:val="110"/>
        </w:rPr>
        <w:t>中华人民共和国</w:t>
      </w:r>
      <w:r>
        <w:rPr>
          <w:spacing w:val="3"/>
          <w:w w:val="110"/>
        </w:rPr>
        <w:t>机动车驾驶证</w:t>
      </w:r>
      <w:r>
        <w:rPr>
          <w:rFonts w:hint="eastAsia" w:ascii="MS UI Gothic" w:hAnsi="MS UI Gothic" w:eastAsia="MS UI Gothic"/>
          <w:spacing w:val="-24"/>
          <w:w w:val="110"/>
        </w:rPr>
        <w:t xml:space="preserve">” </w:t>
      </w:r>
      <w:r>
        <w:rPr>
          <w:rFonts w:hint="eastAsia" w:ascii="MS UI Gothic" w:hAnsi="MS UI Gothic" w:eastAsia="MS UI Gothic"/>
          <w:w w:val="80"/>
        </w:rPr>
        <w:t>ꎮ</w:t>
      </w:r>
    </w:p>
    <w:p>
      <w:pPr>
        <w:pStyle w:val="6"/>
        <w:spacing w:line="295" w:lineRule="auto"/>
        <w:ind w:left="440" w:right="1"/>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建立无轨胶轮车入井运行和检</w:t>
      </w:r>
      <w:r>
        <w:rPr>
          <w:w w:val="110"/>
        </w:rPr>
        <w:t>查制度</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设置工作制动</w:t>
      </w:r>
      <w:r>
        <w:rPr>
          <w:rFonts w:hint="eastAsia" w:ascii="MS UI Gothic" w:eastAsia="MS UI Gothic"/>
          <w:w w:val="80"/>
        </w:rPr>
        <w:t xml:space="preserve">、 </w:t>
      </w:r>
      <w:r>
        <w:rPr>
          <w:w w:val="105"/>
        </w:rPr>
        <w:t>紧急制动和停</w:t>
      </w:r>
      <w:r>
        <w:t>车制动</w:t>
      </w:r>
      <w:r>
        <w:rPr>
          <w:rFonts w:hint="eastAsia" w:ascii="MS UI Gothic" w:eastAsia="MS UI Gothic"/>
          <w:w w:val="80"/>
        </w:rPr>
        <w:t xml:space="preserve">ꎬ </w:t>
      </w:r>
      <w:r>
        <w:t>工作制动必须采用湿式制动器</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必须设置车前照明灯和尾部红色信号灯</w:t>
      </w:r>
      <w:r>
        <w:rPr>
          <w:rFonts w:hint="eastAsia" w:ascii="MS UI Gothic" w:eastAsia="MS UI Gothic"/>
          <w:w w:val="80"/>
        </w:rPr>
        <w:t xml:space="preserve">ꎬ </w:t>
      </w:r>
      <w:r>
        <w:rPr>
          <w:w w:val="105"/>
        </w:rPr>
        <w:t>配备灭火器和警示牌</w:t>
      </w:r>
      <w:r>
        <w:rPr>
          <w:rFonts w:hint="eastAsia" w:ascii="MS UI Gothic" w:eastAsia="MS UI Gothic"/>
          <w:w w:val="80"/>
        </w:rPr>
        <w:t>ꎮ</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5"/>
        </w:rPr>
        <w:t>六</w:t>
      </w:r>
      <w:r>
        <w:rPr>
          <w:rFonts w:hint="eastAsia" w:ascii="MS UI Gothic" w:eastAsia="MS UI Gothic"/>
          <w:w w:val="150"/>
        </w:rPr>
        <w:t xml:space="preserve">) </w:t>
      </w:r>
      <w:r>
        <w:rPr>
          <w:w w:val="115"/>
        </w:rPr>
        <w:t>运行中应当符合下列要求</w:t>
      </w:r>
      <w:r>
        <w:rPr>
          <w:rFonts w:hint="eastAsia" w:ascii="MS UI Gothic" w:eastAsia="MS UI Gothic"/>
          <w:w w:val="235"/>
        </w:rPr>
        <w:t>:</w:t>
      </w:r>
    </w:p>
    <w:p>
      <w:pPr>
        <w:pStyle w:val="6"/>
        <w:spacing w:before="51"/>
        <w:ind w:left="854" w:firstLine="0"/>
        <w:jc w:val="left"/>
      </w:pPr>
      <w:r>
        <w:rPr>
          <w:rFonts w:hint="eastAsia" w:ascii="MS UI Gothic" w:eastAsia="MS UI Gothic"/>
        </w:rPr>
        <w:t xml:space="preserve">１ </w:t>
      </w:r>
      <w:r>
        <w:t>运送人员必须使用专用人车</w:t>
      </w:r>
      <w:r>
        <w:rPr>
          <w:rFonts w:hint="eastAsia" w:ascii="MS UI Gothic" w:eastAsia="MS UI Gothic"/>
          <w:w w:val="85"/>
        </w:rPr>
        <w:t xml:space="preserve">ꎬ </w:t>
      </w:r>
      <w:r>
        <w:t>严</w:t>
      </w:r>
    </w:p>
    <w:p>
      <w:pPr>
        <w:pStyle w:val="6"/>
        <w:spacing w:before="124"/>
        <w:ind w:left="381" w:firstLine="0"/>
        <w:jc w:val="left"/>
        <w:rPr>
          <w:rFonts w:hint="eastAsia" w:ascii="MS UI Gothic" w:eastAsia="MS UI Gothic"/>
        </w:rPr>
      </w:pPr>
      <w:r>
        <w:br w:type="column"/>
      </w:r>
      <w:r>
        <w:t>禁超员</w:t>
      </w:r>
      <w:r>
        <w:rPr>
          <w:rFonts w:hint="eastAsia" w:ascii="MS UI Gothic" w:eastAsia="MS UI Gothic"/>
          <w:w w:val="80"/>
        </w:rPr>
        <w:t>ꎻ</w:t>
      </w:r>
    </w:p>
    <w:p>
      <w:pPr>
        <w:pStyle w:val="6"/>
        <w:spacing w:before="58"/>
        <w:ind w:left="794" w:firstLine="0"/>
        <w:rPr>
          <w:rFonts w:hint="eastAsia" w:ascii="MS UI Gothic" w:eastAsia="MS UI Gothic"/>
        </w:rPr>
      </w:pPr>
      <w:r>
        <w:rPr>
          <w:rFonts w:hint="eastAsia" w:ascii="MS UI Gothic" w:eastAsia="MS UI Gothic"/>
          <w:w w:val="75"/>
        </w:rPr>
        <w:t>２</w:t>
      </w:r>
      <w:r>
        <w:rPr>
          <w:rFonts w:hint="eastAsia" w:ascii="MS UI Gothic" w:eastAsia="MS UI Gothic"/>
          <w:spacing w:val="-7"/>
        </w:rPr>
        <w:t xml:space="preserve">  </w:t>
      </w:r>
      <w:r>
        <w:rPr>
          <w:spacing w:val="-5"/>
          <w:w w:val="102"/>
        </w:rPr>
        <w:t>运行速度</w:t>
      </w:r>
      <w:r>
        <w:rPr>
          <w:rFonts w:hint="eastAsia" w:ascii="MS UI Gothic" w:eastAsia="MS UI Gothic"/>
          <w:w w:val="51"/>
        </w:rPr>
        <w:t>ꎬ</w:t>
      </w:r>
      <w:r>
        <w:rPr>
          <w:rFonts w:hint="eastAsia" w:ascii="MS UI Gothic" w:eastAsia="MS UI Gothic"/>
          <w:spacing w:val="-12"/>
        </w:rPr>
        <w:t xml:space="preserve">  </w:t>
      </w:r>
      <w:r>
        <w:rPr>
          <w:spacing w:val="-1"/>
          <w:w w:val="102"/>
        </w:rPr>
        <w:t>运人时不超过</w:t>
      </w:r>
      <w:r>
        <w:rPr>
          <w:spacing w:val="-54"/>
        </w:rPr>
        <w:t xml:space="preserve"> </w:t>
      </w:r>
      <w:r>
        <w:rPr>
          <w:rFonts w:hint="eastAsia" w:ascii="MS UI Gothic" w:eastAsia="MS UI Gothic"/>
          <w:spacing w:val="-6"/>
          <w:w w:val="75"/>
        </w:rPr>
        <w:t>２５</w:t>
      </w:r>
      <w:r>
        <w:rPr>
          <w:rFonts w:hint="eastAsia" w:ascii="MS UI Gothic" w:eastAsia="MS UI Gothic"/>
          <w:spacing w:val="10"/>
        </w:rPr>
        <w:t xml:space="preserve"> </w:t>
      </w:r>
      <w:r>
        <w:rPr>
          <w:rFonts w:hint="eastAsia" w:ascii="MS UI Gothic" w:eastAsia="MS UI Gothic"/>
          <w:spacing w:val="-6"/>
          <w:w w:val="86"/>
        </w:rPr>
        <w:t>ｋ</w:t>
      </w:r>
      <w:r>
        <w:rPr>
          <w:rFonts w:hint="eastAsia" w:ascii="MS UI Gothic" w:eastAsia="MS UI Gothic"/>
          <w:spacing w:val="22"/>
          <w:w w:val="79"/>
        </w:rPr>
        <w:t>ｍ</w:t>
      </w:r>
      <w:r>
        <w:rPr>
          <w:rFonts w:hint="eastAsia" w:ascii="MS UI Gothic" w:eastAsia="MS UI Gothic"/>
          <w:w w:val="34"/>
        </w:rPr>
        <w:t>/</w:t>
      </w:r>
      <w:r>
        <w:rPr>
          <w:rFonts w:hint="eastAsia" w:ascii="MS UI Gothic" w:eastAsia="MS UI Gothic"/>
          <w:spacing w:val="-16"/>
        </w:rPr>
        <w:t xml:space="preserve"> </w:t>
      </w:r>
      <w:r>
        <w:rPr>
          <w:rFonts w:hint="eastAsia" w:ascii="MS UI Gothic" w:eastAsia="MS UI Gothic"/>
          <w:w w:val="82"/>
        </w:rPr>
        <w:t>ｈ</w:t>
      </w:r>
      <w:r>
        <w:rPr>
          <w:rFonts w:hint="eastAsia" w:ascii="MS UI Gothic" w:eastAsia="MS UI Gothic"/>
          <w:w w:val="51"/>
        </w:rPr>
        <w:t>ꎬ</w:t>
      </w:r>
    </w:p>
    <w:p>
      <w:pPr>
        <w:pStyle w:val="6"/>
        <w:spacing w:before="58"/>
        <w:ind w:left="381" w:firstLine="0"/>
        <w:rPr>
          <w:rFonts w:hint="eastAsia" w:ascii="MS UI Gothic" w:eastAsia="MS UI Gothic"/>
        </w:rPr>
      </w:pPr>
      <w:r>
        <w:t xml:space="preserve">运送物料时不超过 </w:t>
      </w:r>
      <w:r>
        <w:rPr>
          <w:rFonts w:hint="eastAsia" w:ascii="MS UI Gothic" w:eastAsia="MS UI Gothic"/>
          <w:w w:val="95"/>
        </w:rPr>
        <w:t xml:space="preserve">４０ ｋｍ </w:t>
      </w:r>
      <w:r>
        <w:rPr>
          <w:rFonts w:hint="eastAsia" w:ascii="MS UI Gothic" w:eastAsia="MS UI Gothic"/>
          <w:w w:val="70"/>
        </w:rPr>
        <w:t xml:space="preserve">/ </w:t>
      </w:r>
      <w:r>
        <w:rPr>
          <w:rFonts w:hint="eastAsia" w:ascii="MS UI Gothic" w:eastAsia="MS UI Gothic"/>
          <w:w w:val="95"/>
        </w:rPr>
        <w:t>ｈ</w:t>
      </w:r>
      <w:r>
        <w:rPr>
          <w:rFonts w:hint="eastAsia" w:ascii="MS UI Gothic" w:eastAsia="MS UI Gothic"/>
          <w:w w:val="70"/>
        </w:rPr>
        <w:t>ꎻ</w:t>
      </w:r>
    </w:p>
    <w:p>
      <w:pPr>
        <w:pStyle w:val="6"/>
        <w:spacing w:before="58"/>
        <w:ind w:left="794" w:firstLine="0"/>
      </w:pPr>
      <w:r>
        <w:rPr>
          <w:rFonts w:hint="eastAsia" w:ascii="MS UI Gothic" w:eastAsia="MS UI Gothic"/>
        </w:rPr>
        <w:t xml:space="preserve">３ </w:t>
      </w:r>
      <w:r>
        <w:t>同向行驶车辆必须保持不小于</w:t>
      </w:r>
    </w:p>
    <w:p>
      <w:pPr>
        <w:pStyle w:val="6"/>
        <w:spacing w:before="59"/>
        <w:ind w:left="375" w:firstLine="0"/>
        <w:rPr>
          <w:rFonts w:hint="eastAsia" w:ascii="MS UI Gothic" w:eastAsia="MS UI Gothic"/>
        </w:rPr>
      </w:pPr>
      <w:r>
        <w:rPr>
          <w:rFonts w:hint="eastAsia" w:ascii="MS UI Gothic" w:eastAsia="MS UI Gothic"/>
          <w:w w:val="85"/>
        </w:rPr>
        <w:t xml:space="preserve">５０ ｍ </w:t>
      </w:r>
      <w:r>
        <w:t>的安全运行距离</w:t>
      </w:r>
      <w:r>
        <w:rPr>
          <w:rFonts w:hint="eastAsia" w:ascii="MS UI Gothic" w:eastAsia="MS UI Gothic"/>
          <w:w w:val="85"/>
        </w:rPr>
        <w:t>ꎻ</w:t>
      </w:r>
    </w:p>
    <w:p>
      <w:pPr>
        <w:pStyle w:val="6"/>
        <w:spacing w:before="58"/>
        <w:ind w:left="794" w:firstLine="0"/>
        <w:rPr>
          <w:rFonts w:hint="eastAsia" w:ascii="MS UI Gothic" w:eastAsia="MS UI Gothic"/>
        </w:rPr>
      </w:pPr>
      <w:r>
        <w:rPr>
          <w:rFonts w:hint="eastAsia" w:ascii="MS UI Gothic" w:eastAsia="MS UI Gothic"/>
        </w:rPr>
        <w:t xml:space="preserve">４ </w:t>
      </w:r>
      <w:r>
        <w:t>严禁车辆空挡滑行</w:t>
      </w:r>
      <w:r>
        <w:rPr>
          <w:rFonts w:hint="eastAsia" w:ascii="MS UI Gothic" w:eastAsia="MS UI Gothic"/>
          <w:w w:val="85"/>
        </w:rPr>
        <w:t>ꎻ</w:t>
      </w:r>
    </w:p>
    <w:p>
      <w:pPr>
        <w:pStyle w:val="6"/>
        <w:spacing w:before="58" w:line="295" w:lineRule="auto"/>
        <w:ind w:left="381" w:right="126" w:firstLine="413"/>
        <w:rPr>
          <w:rFonts w:hint="eastAsia" w:ascii="MS UI Gothic" w:eastAsia="MS UI Gothic"/>
        </w:rPr>
      </w:pPr>
      <w:r>
        <w:rPr>
          <w:rFonts w:hint="eastAsia" w:ascii="MS UI Gothic" w:eastAsia="MS UI Gothic"/>
        </w:rPr>
        <w:t xml:space="preserve">５ </w:t>
      </w:r>
      <w:r>
        <w:t>应当设置随车通信系统或者车辆位置监测系统</w:t>
      </w:r>
      <w:r>
        <w:rPr>
          <w:rFonts w:hint="eastAsia" w:ascii="MS UI Gothic" w:eastAsia="MS UI Gothic"/>
          <w:w w:val="85"/>
        </w:rPr>
        <w:t>ꎻ</w:t>
      </w:r>
    </w:p>
    <w:p>
      <w:pPr>
        <w:pStyle w:val="6"/>
        <w:spacing w:line="295" w:lineRule="auto"/>
        <w:ind w:left="381" w:right="126" w:firstLine="413"/>
        <w:rPr>
          <w:rFonts w:hint="eastAsia" w:ascii="MS UI Gothic" w:eastAsia="MS UI Gothic"/>
        </w:rPr>
      </w:pPr>
      <w:r>
        <w:rPr>
          <w:rFonts w:hint="eastAsia" w:ascii="MS UI Gothic" w:eastAsia="MS UI Gothic"/>
        </w:rPr>
        <w:t xml:space="preserve">６ </w:t>
      </w:r>
      <w:r>
        <w:t>严禁进入专用回风巷和微风</w:t>
      </w:r>
      <w:r>
        <w:rPr>
          <w:rFonts w:hint="eastAsia" w:ascii="MS UI Gothic" w:eastAsia="MS UI Gothic"/>
        </w:rPr>
        <w:t xml:space="preserve">、 </w:t>
      </w:r>
      <w:r>
        <w:t>无风区域</w:t>
      </w:r>
      <w:r>
        <w:rPr>
          <w:rFonts w:hint="eastAsia" w:ascii="MS UI Gothic" w:eastAsia="MS UI Gothic"/>
          <w:w w:val="85"/>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巷道路面</w:t>
      </w:r>
      <w:r>
        <w:rPr>
          <w:rFonts w:hint="eastAsia" w:ascii="MS UI Gothic" w:eastAsia="MS UI Gothic"/>
          <w:w w:val="80"/>
        </w:rPr>
        <w:t xml:space="preserve">、 </w:t>
      </w:r>
      <w:r>
        <w:rPr>
          <w:w w:val="105"/>
        </w:rPr>
        <w:t>坡度</w:t>
      </w:r>
      <w:r>
        <w:rPr>
          <w:rFonts w:hint="eastAsia" w:ascii="MS UI Gothic" w:eastAsia="MS UI Gothic"/>
          <w:w w:val="80"/>
        </w:rPr>
        <w:t xml:space="preserve">、 </w:t>
      </w:r>
      <w:r>
        <w:rPr>
          <w:w w:val="105"/>
        </w:rPr>
        <w:t>质量</w:t>
      </w:r>
      <w:r>
        <w:rPr>
          <w:rFonts w:hint="eastAsia" w:ascii="MS UI Gothic" w:eastAsia="MS UI Gothic"/>
          <w:w w:val="80"/>
        </w:rPr>
        <w:t xml:space="preserve">ꎬ </w:t>
      </w:r>
      <w:r>
        <w:rPr>
          <w:w w:val="105"/>
        </w:rPr>
        <w:t>应当满足车辆安全运行要求</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八</w:t>
      </w:r>
      <w:r>
        <w:rPr>
          <w:rFonts w:hint="eastAsia" w:ascii="MS UI Gothic" w:eastAsia="MS UI Gothic"/>
          <w:w w:val="105"/>
        </w:rPr>
        <w:t xml:space="preserve">) </w:t>
      </w:r>
      <w:r>
        <w:rPr>
          <w:w w:val="105"/>
        </w:rPr>
        <w:t>巷道和路面应当设置行车标识</w:t>
      </w:r>
      <w:r>
        <w:rPr>
          <w:w w:val="110"/>
        </w:rPr>
        <w:t>和交通管控信号</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21"/>
          <w:w w:val="105"/>
        </w:rPr>
        <w:t xml:space="preserve">( </w:t>
      </w:r>
      <w:r>
        <w:rPr>
          <w:spacing w:val="3"/>
          <w:w w:val="105"/>
        </w:rPr>
        <w:t>九</w:t>
      </w:r>
      <w:r>
        <w:rPr>
          <w:rFonts w:hint="eastAsia" w:ascii="MS UI Gothic" w:eastAsia="MS UI Gothic"/>
          <w:spacing w:val="5"/>
          <w:w w:val="105"/>
        </w:rPr>
        <w:t xml:space="preserve">) </w:t>
      </w:r>
      <w:r>
        <w:rPr>
          <w:spacing w:val="5"/>
          <w:w w:val="105"/>
        </w:rPr>
        <w:t>长坡段巷道内必须采取车辆失</w:t>
      </w:r>
      <w:r>
        <w:rPr>
          <w:spacing w:val="3"/>
          <w:w w:val="110"/>
        </w:rPr>
        <w:t>速安全措施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5"/>
          <w:w w:val="105"/>
        </w:rPr>
        <w:t>十</w:t>
      </w:r>
      <w:r>
        <w:rPr>
          <w:rFonts w:hint="eastAsia" w:ascii="MS UI Gothic" w:eastAsia="MS UI Gothic"/>
          <w:spacing w:val="12"/>
          <w:w w:val="150"/>
        </w:rPr>
        <w:t xml:space="preserve">) </w:t>
      </w:r>
      <w:r>
        <w:rPr>
          <w:spacing w:val="23"/>
          <w:w w:val="105"/>
        </w:rPr>
        <w:t>巷道转弯处应当设置防撞装</w:t>
      </w:r>
      <w:r>
        <w:rPr>
          <w:spacing w:val="3"/>
          <w:w w:val="105"/>
        </w:rPr>
        <w:t>置</w:t>
      </w:r>
      <w:r>
        <w:rPr>
          <w:rFonts w:hint="eastAsia" w:ascii="MS UI Gothic" w:eastAsia="MS UI Gothic"/>
          <w:spacing w:val="-1"/>
          <w:w w:val="80"/>
        </w:rPr>
        <w:t xml:space="preserve">ꎮ </w:t>
      </w:r>
      <w:r>
        <w:rPr>
          <w:spacing w:val="3"/>
          <w:w w:val="105"/>
        </w:rPr>
        <w:t>人员躲避硐室</w:t>
      </w:r>
      <w:r>
        <w:rPr>
          <w:rFonts w:hint="eastAsia" w:ascii="MS UI Gothic" w:eastAsia="MS UI Gothic"/>
          <w:w w:val="80"/>
        </w:rPr>
        <w:t xml:space="preserve">、 </w:t>
      </w:r>
      <w:r>
        <w:rPr>
          <w:spacing w:val="2"/>
          <w:w w:val="105"/>
        </w:rPr>
        <w:t>车辆躲避硐室附近应</w:t>
      </w:r>
      <w:r>
        <w:rPr>
          <w:spacing w:val="3"/>
          <w:w w:val="105"/>
        </w:rPr>
        <w:t>当设置标识</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井下行驶特殊车辆或者运送超长</w:t>
      </w:r>
      <w:r>
        <w:rPr>
          <w:rFonts w:hint="eastAsia" w:ascii="MS UI Gothic" w:eastAsia="MS UI Gothic"/>
          <w:w w:val="80"/>
        </w:rPr>
        <w:t xml:space="preserve">、 </w:t>
      </w:r>
      <w:r>
        <w:rPr>
          <w:w w:val="105"/>
        </w:rPr>
        <w:t>超宽物料时</w:t>
      </w:r>
      <w:r>
        <w:rPr>
          <w:rFonts w:hint="eastAsia" w:ascii="MS UI Gothic" w:eastAsia="MS UI Gothic"/>
          <w:w w:val="80"/>
        </w:rPr>
        <w:t xml:space="preserve">ꎬ </w:t>
      </w:r>
      <w:r>
        <w:rPr>
          <w:w w:val="105"/>
        </w:rPr>
        <w:t>必须制定安全措施</w:t>
      </w:r>
      <w:r>
        <w:rPr>
          <w:rFonts w:hint="eastAsia" w:ascii="MS UI Gothic" w:eastAsia="MS UI Gothic"/>
          <w:w w:val="80"/>
        </w:rPr>
        <w:t>ꎮ</w:t>
      </w:r>
    </w:p>
    <w:p>
      <w:pPr>
        <w:pStyle w:val="6"/>
        <w:tabs>
          <w:tab w:val="left" w:pos="2162"/>
        </w:tabs>
        <w:spacing w:before="145"/>
        <w:ind w:left="1324" w:firstLine="0"/>
        <w:jc w:val="left"/>
      </w:pPr>
      <w:r>
        <w:rPr>
          <w:spacing w:val="3"/>
          <w:w w:val="105"/>
        </w:rPr>
        <w:t>第二</w:t>
      </w:r>
      <w:r>
        <w:rPr>
          <w:w w:val="105"/>
        </w:rPr>
        <w:t>节</w:t>
      </w:r>
      <w:r>
        <w:rPr>
          <w:w w:val="105"/>
        </w:rPr>
        <w:tab/>
      </w:r>
      <w:r>
        <w:rPr>
          <w:w w:val="105"/>
        </w:rPr>
        <w:t>立</w:t>
      </w:r>
      <w:r>
        <w:rPr>
          <w:spacing w:val="-33"/>
          <w:w w:val="105"/>
        </w:rPr>
        <w:t xml:space="preserve"> </w:t>
      </w:r>
      <w:r>
        <w:rPr>
          <w:w w:val="105"/>
        </w:rPr>
        <w:t>井</w:t>
      </w:r>
      <w:r>
        <w:rPr>
          <w:spacing w:val="-33"/>
          <w:w w:val="105"/>
        </w:rPr>
        <w:t xml:space="preserve"> </w:t>
      </w:r>
      <w:r>
        <w:rPr>
          <w:w w:val="105"/>
        </w:rPr>
        <w:t>提</w:t>
      </w:r>
      <w:r>
        <w:rPr>
          <w:spacing w:val="-33"/>
          <w:w w:val="105"/>
        </w:rPr>
        <w:t xml:space="preserve"> </w:t>
      </w:r>
      <w:r>
        <w:rPr>
          <w:w w:val="105"/>
        </w:rPr>
        <w:t>升</w:t>
      </w:r>
    </w:p>
    <w:p>
      <w:pPr>
        <w:pStyle w:val="6"/>
        <w:spacing w:before="10"/>
        <w:ind w:left="0" w:firstLine="0"/>
        <w:jc w:val="left"/>
        <w:rPr>
          <w:sz w:val="16"/>
        </w:rPr>
      </w:pPr>
    </w:p>
    <w:p>
      <w:pPr>
        <w:pStyle w:val="6"/>
        <w:spacing w:line="295" w:lineRule="auto"/>
        <w:ind w:left="381" w:right="126"/>
        <w:rPr>
          <w:rFonts w:hint="eastAsia" w:ascii="MS UI Gothic" w:eastAsia="MS UI Gothic"/>
        </w:rPr>
      </w:pPr>
      <w:r>
        <w:rPr>
          <w:w w:val="105"/>
        </w:rPr>
        <w:t>第三百九十三条 立井提升容器和载</w:t>
      </w:r>
      <w:r>
        <w:rPr>
          <w:w w:val="110"/>
        </w:rPr>
        <w:t>荷</w:t>
      </w:r>
      <w:r>
        <w:rPr>
          <w:rFonts w:hint="eastAsia" w:ascii="MS UI Gothic" w:eastAsia="MS UI Gothic"/>
          <w:w w:val="80"/>
        </w:rPr>
        <w:t xml:space="preserve">ꎬ </w:t>
      </w:r>
      <w:r>
        <w:rPr>
          <w:w w:val="110"/>
        </w:rPr>
        <w:t>必须符合下列要求</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立井中升降人员应当使用罐</w:t>
      </w:r>
      <w:r>
        <w:t>笼</w:t>
      </w:r>
      <w:r>
        <w:rPr>
          <w:rFonts w:hint="eastAsia" w:ascii="MS UI Gothic" w:eastAsia="MS UI Gothic"/>
          <w:w w:val="80"/>
        </w:rPr>
        <w:t xml:space="preserve">ꎮ </w:t>
      </w:r>
      <w:r>
        <w:t>在井筒内作业或者因其他原因</w:t>
      </w:r>
      <w:r>
        <w:rPr>
          <w:rFonts w:hint="eastAsia" w:ascii="MS UI Gothic" w:eastAsia="MS UI Gothic"/>
          <w:w w:val="80"/>
        </w:rPr>
        <w:t xml:space="preserve">ꎬ </w:t>
      </w:r>
      <w:r>
        <w:t>需要使用普通箕斗或者救急罐升降人员时</w:t>
      </w:r>
      <w:r>
        <w:rPr>
          <w:rFonts w:hint="eastAsia" w:ascii="MS UI Gothic" w:eastAsia="MS UI Gothic"/>
          <w:w w:val="80"/>
        </w:rPr>
        <w:t xml:space="preserve">ꎬ </w:t>
      </w:r>
      <w:r>
        <w:t>必</w:t>
      </w:r>
      <w:r>
        <w:rPr>
          <w:w w:val="105"/>
        </w:rPr>
        <w:t>须制定安全措施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升降人员或者升降人员和物料</w:t>
      </w:r>
      <w:r>
        <w:t>的单绳提升罐笼必须装设可靠的防坠器</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罐笼和箕斗的最大提升载荷和</w:t>
      </w:r>
      <w:r>
        <w:t>最大提升载荷差应当在井口公布</w:t>
      </w:r>
      <w:r>
        <w:rPr>
          <w:rFonts w:hint="eastAsia" w:ascii="MS UI Gothic" w:eastAsia="MS UI Gothic"/>
          <w:w w:val="80"/>
        </w:rPr>
        <w:t xml:space="preserve">ꎬ </w:t>
      </w:r>
      <w:r>
        <w:t>严禁超</w:t>
      </w:r>
      <w:r>
        <w:rPr>
          <w:w w:val="105"/>
        </w:rPr>
        <w:t>载和超最大载荷差运行</w:t>
      </w:r>
      <w:r>
        <w:rPr>
          <w:rFonts w:hint="eastAsia" w:ascii="MS UI Gothic" w:eastAsia="MS UI Gothic"/>
          <w:w w:val="80"/>
        </w:rPr>
        <w:t>ꎮ</w:t>
      </w:r>
    </w:p>
    <w:p>
      <w:pPr>
        <w:pStyle w:val="6"/>
        <w:spacing w:line="254" w:lineRule="exact"/>
        <w:ind w:left="800"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箕斗提升必须采用定重装载</w:t>
      </w:r>
      <w:r>
        <w:rPr>
          <w:rFonts w:hint="eastAsia" w:ascii="MS UI Gothic" w:eastAsia="MS UI Gothic"/>
          <w:w w:val="80"/>
        </w:rPr>
        <w:t>ꎮ</w:t>
      </w:r>
    </w:p>
    <w:p>
      <w:pPr>
        <w:pStyle w:val="6"/>
        <w:spacing w:before="52" w:line="295" w:lineRule="auto"/>
        <w:ind w:left="381" w:right="126"/>
        <w:rPr>
          <w:rFonts w:hint="eastAsia" w:ascii="MS UI Gothic" w:eastAsia="MS UI Gothic"/>
        </w:rPr>
      </w:pPr>
      <w:r>
        <w:rPr>
          <w:w w:val="105"/>
        </w:rPr>
        <w:t>第三百九十四条 专为升降人员和升</w:t>
      </w:r>
      <w:r>
        <w:t>降人员与物料的罐笼</w:t>
      </w:r>
      <w:r>
        <w:rPr>
          <w:rFonts w:hint="eastAsia" w:ascii="MS UI Gothic" w:eastAsia="MS UI Gothic"/>
          <w:w w:val="80"/>
        </w:rPr>
        <w:t xml:space="preserve">ꎬ </w:t>
      </w:r>
      <w:r>
        <w:t>必须符合下列</w:t>
      </w:r>
      <w:r>
        <w:rPr>
          <w:w w:val="110"/>
        </w:rPr>
        <w:t>要求</w:t>
      </w:r>
      <w:r>
        <w:rPr>
          <w:rFonts w:hint="eastAsia" w:ascii="MS UI Gothic" w:eastAsia="MS UI Gothic"/>
          <w:w w:val="235"/>
        </w:rPr>
        <w:t>:</w:t>
      </w:r>
    </w:p>
    <w:p>
      <w:pPr>
        <w:pStyle w:val="6"/>
        <w:spacing w:line="254" w:lineRule="exact"/>
        <w:ind w:left="800" w:firstLine="0"/>
      </w:pPr>
      <w:r>
        <w:rPr>
          <w:rFonts w:hint="eastAsia" w:ascii="MS UI Gothic" w:eastAsia="MS UI Gothic"/>
          <w:w w:val="110"/>
        </w:rPr>
        <w:t xml:space="preserve">( </w:t>
      </w:r>
      <w:r>
        <w:rPr>
          <w:w w:val="110"/>
        </w:rPr>
        <w:t>一</w:t>
      </w:r>
      <w:r>
        <w:rPr>
          <w:rFonts w:hint="eastAsia" w:ascii="MS UI Gothic" w:eastAsia="MS UI Gothic"/>
          <w:w w:val="110"/>
        </w:rPr>
        <w:t xml:space="preserve">) </w:t>
      </w:r>
      <w:r>
        <w:rPr>
          <w:w w:val="110"/>
        </w:rPr>
        <w:t>乘人层顶部应当设置可以打开</w:t>
      </w:r>
    </w:p>
    <w:p>
      <w:pPr>
        <w:spacing w:after="0" w:line="254" w:lineRule="exac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２９８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22" o:spid="_x0000_s1922" o:spt="203" style="height:2.15pt;width:398.25pt;" coordsize="7965,43">
            <o:lock v:ext="edit"/>
            <v:line id="_x0000_s1923" o:spid="_x0000_s1923" o:spt="20" style="position:absolute;left:0;top:39;height:0;width:7965;" stroked="t" coordsize="21600,21600">
              <v:path arrowok="t"/>
              <v:fill focussize="0,0"/>
              <v:stroke weight="0.388031496062992pt" color="#231F20"/>
              <v:imagedata o:title=""/>
              <o:lock v:ext="edit"/>
            </v:line>
            <v:line id="_x0000_s1924" o:spid="_x0000_s192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rPr>
          <w:rFonts w:hint="eastAsia" w:ascii="MS UI Gothic" w:eastAsia="MS UI Gothic"/>
        </w:rPr>
      </w:pPr>
      <w:r>
        <w:t>的铁盖或者铁门</w:t>
      </w:r>
      <w:r>
        <w:rPr>
          <w:rFonts w:hint="eastAsia" w:ascii="MS UI Gothic" w:eastAsia="MS UI Gothic"/>
          <w:w w:val="80"/>
        </w:rPr>
        <w:t xml:space="preserve">ꎬ </w:t>
      </w:r>
      <w:r>
        <w:t>两侧装设扶手</w:t>
      </w:r>
      <w:r>
        <w:rPr>
          <w:rFonts w:hint="eastAsia" w:ascii="MS UI Gothic" w:eastAsia="MS UI Gothic"/>
          <w:w w:val="80"/>
        </w:rPr>
        <w:t>ꎮ</w:t>
      </w:r>
    </w:p>
    <w:p>
      <w:pPr>
        <w:pStyle w:val="6"/>
        <w:spacing w:before="58" w:line="295" w:lineRule="auto"/>
        <w:ind w:right="39"/>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罐底必须满铺钢板</w:t>
      </w:r>
      <w:r>
        <w:rPr>
          <w:rFonts w:hint="eastAsia" w:ascii="MS UI Gothic" w:eastAsia="MS UI Gothic"/>
          <w:w w:val="80"/>
        </w:rPr>
        <w:t xml:space="preserve">ꎬ </w:t>
      </w:r>
      <w:r>
        <w:t>如果需要设孔时</w:t>
      </w:r>
      <w:r>
        <w:rPr>
          <w:rFonts w:hint="eastAsia" w:ascii="MS UI Gothic" w:eastAsia="MS UI Gothic"/>
          <w:w w:val="80"/>
        </w:rPr>
        <w:t xml:space="preserve">ꎬ </w:t>
      </w:r>
      <w:r>
        <w:t>必须设置牢固可靠的门</w:t>
      </w:r>
      <w:r>
        <w:rPr>
          <w:rFonts w:hint="eastAsia" w:ascii="MS UI Gothic" w:eastAsia="MS UI Gothic"/>
          <w:w w:val="80"/>
        </w:rPr>
        <w:t xml:space="preserve">ꎻ </w:t>
      </w:r>
      <w:r>
        <w:t>两侧用钢板挡严</w:t>
      </w:r>
      <w:r>
        <w:rPr>
          <w:rFonts w:hint="eastAsia" w:ascii="MS UI Gothic" w:eastAsia="MS UI Gothic"/>
          <w:w w:val="80"/>
        </w:rPr>
        <w:t xml:space="preserve">ꎬ </w:t>
      </w:r>
      <w:r>
        <w:t>并不得有孔</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26"/>
          <w:w w:val="140"/>
        </w:rPr>
        <w:t xml:space="preserve">( </w:t>
      </w:r>
      <w:r>
        <w:rPr>
          <w:spacing w:val="5"/>
        </w:rPr>
        <w:t>三</w:t>
      </w:r>
      <w:r>
        <w:rPr>
          <w:rFonts w:hint="eastAsia" w:ascii="MS UI Gothic" w:eastAsia="MS UI Gothic"/>
          <w:spacing w:val="26"/>
          <w:w w:val="140"/>
        </w:rPr>
        <w:t xml:space="preserve">) </w:t>
      </w:r>
      <w:r>
        <w:rPr>
          <w:spacing w:val="23"/>
        </w:rPr>
        <w:t>进出口必须装设罐门或者罐</w:t>
      </w:r>
      <w:r>
        <w:rPr>
          <w:spacing w:val="3"/>
        </w:rPr>
        <w:t>帘</w:t>
      </w:r>
      <w:r>
        <w:rPr>
          <w:rFonts w:hint="eastAsia" w:ascii="MS UI Gothic" w:eastAsia="MS UI Gothic"/>
          <w:spacing w:val="14"/>
          <w:w w:val="85"/>
        </w:rPr>
        <w:t xml:space="preserve">ꎬ </w:t>
      </w:r>
      <w:r>
        <w:rPr>
          <w:spacing w:val="-7"/>
        </w:rPr>
        <w:t xml:space="preserve">高度不得小于 </w:t>
      </w:r>
      <w:r>
        <w:rPr>
          <w:rFonts w:hint="eastAsia" w:ascii="MS UI Gothic" w:eastAsia="MS UI Gothic"/>
          <w:w w:val="85"/>
        </w:rPr>
        <w:t xml:space="preserve">１ ２ </w:t>
      </w:r>
      <w:r>
        <w:rPr>
          <w:rFonts w:hint="eastAsia" w:ascii="MS UI Gothic" w:eastAsia="MS UI Gothic"/>
          <w:spacing w:val="4"/>
          <w:w w:val="85"/>
        </w:rPr>
        <w:t>ｍ</w:t>
      </w:r>
      <w:r>
        <w:rPr>
          <w:rFonts w:hint="eastAsia" w:ascii="MS UI Gothic" w:eastAsia="MS UI Gothic"/>
          <w:spacing w:val="16"/>
          <w:w w:val="85"/>
        </w:rPr>
        <w:t xml:space="preserve">ꎮ </w:t>
      </w:r>
      <w:r>
        <w:rPr>
          <w:spacing w:val="7"/>
        </w:rPr>
        <w:t>罐门或者罐帘</w:t>
      </w:r>
      <w:r>
        <w:rPr>
          <w:spacing w:val="-3"/>
        </w:rPr>
        <w:t xml:space="preserve">下部边缘至罐底的距离不得超过 </w:t>
      </w:r>
      <w:r>
        <w:rPr>
          <w:rFonts w:hint="eastAsia" w:ascii="MS UI Gothic" w:eastAsia="MS UI Gothic"/>
          <w:w w:val="85"/>
        </w:rPr>
        <w:t>２５０ ｍｍꎬ</w:t>
      </w:r>
      <w:r>
        <w:rPr>
          <w:spacing w:val="1"/>
        </w:rPr>
        <w:t xml:space="preserve">罐帘横杆的间距不得大于 </w:t>
      </w:r>
      <w:r>
        <w:rPr>
          <w:rFonts w:hint="eastAsia" w:ascii="MS UI Gothic" w:eastAsia="MS UI Gothic"/>
          <w:spacing w:val="5"/>
          <w:w w:val="85"/>
        </w:rPr>
        <w:t xml:space="preserve">２００ </w:t>
      </w:r>
      <w:r>
        <w:rPr>
          <w:rFonts w:hint="eastAsia" w:ascii="MS UI Gothic" w:eastAsia="MS UI Gothic"/>
          <w:w w:val="85"/>
        </w:rPr>
        <w:t>ｍｍ</w:t>
      </w:r>
      <w:r>
        <w:rPr>
          <w:rFonts w:hint="eastAsia" w:ascii="MS UI Gothic" w:eastAsia="MS UI Gothic"/>
          <w:spacing w:val="20"/>
          <w:w w:val="85"/>
        </w:rPr>
        <w:t xml:space="preserve">ꎮ </w:t>
      </w:r>
      <w:r>
        <w:rPr>
          <w:spacing w:val="6"/>
        </w:rPr>
        <w:t>罐门</w:t>
      </w:r>
      <w:r>
        <w:rPr>
          <w:spacing w:val="3"/>
        </w:rPr>
        <w:t>不得向外开</w:t>
      </w:r>
      <w:r>
        <w:rPr>
          <w:rFonts w:hint="eastAsia" w:ascii="MS UI Gothic" w:eastAsia="MS UI Gothic"/>
          <w:spacing w:val="24"/>
          <w:w w:val="85"/>
        </w:rPr>
        <w:t xml:space="preserve">ꎬ </w:t>
      </w:r>
      <w:r>
        <w:rPr>
          <w:spacing w:val="3"/>
        </w:rPr>
        <w:t>门轴必须防脱</w:t>
      </w:r>
      <w:r>
        <w:rPr>
          <w:rFonts w:hint="eastAsia" w:ascii="MS UI Gothic" w:eastAsia="MS UI Gothic"/>
          <w:w w:val="85"/>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提升矿车的罐笼内必须装有阻</w:t>
      </w:r>
      <w:r>
        <w:t>车器</w:t>
      </w:r>
      <w:r>
        <w:rPr>
          <w:rFonts w:hint="eastAsia" w:ascii="MS UI Gothic" w:eastAsia="MS UI Gothic"/>
          <w:w w:val="80"/>
        </w:rPr>
        <w:t xml:space="preserve">ꎮ </w:t>
      </w:r>
      <w:r>
        <w:t>升降无轨胶轮车时</w:t>
      </w:r>
      <w:r>
        <w:rPr>
          <w:rFonts w:hint="eastAsia" w:ascii="MS UI Gothic" w:eastAsia="MS UI Gothic"/>
          <w:w w:val="80"/>
        </w:rPr>
        <w:t xml:space="preserve">ꎬ </w:t>
      </w:r>
      <w:r>
        <w:t>必须设置专用</w:t>
      </w:r>
      <w:r>
        <w:rPr>
          <w:w w:val="105"/>
        </w:rPr>
        <w:t>定车或者锁车装置</w:t>
      </w:r>
      <w:r>
        <w:rPr>
          <w:rFonts w:hint="eastAsia" w:ascii="MS UI Gothic" w:eastAsia="MS UI Gothic"/>
          <w:w w:val="80"/>
        </w:rPr>
        <w:t>ꎮ</w:t>
      </w:r>
    </w:p>
    <w:p>
      <w:pPr>
        <w:pStyle w:val="6"/>
        <w:spacing w:line="295" w:lineRule="auto"/>
        <w:ind w:left="118" w:right="38" w:firstLine="425"/>
        <w:rPr>
          <w:rFonts w:hint="eastAsia" w:ascii="MS UI Gothic" w:eastAsia="MS UI Gothic"/>
        </w:rPr>
      </w:pPr>
      <w:r>
        <w:rPr>
          <w:rFonts w:hint="eastAsia" w:ascii="MS UI Gothic" w:eastAsia="MS UI Gothic"/>
          <w:w w:val="145"/>
        </w:rPr>
        <w:t xml:space="preserve">( </w:t>
      </w:r>
      <w:r>
        <w:t>五</w:t>
      </w:r>
      <w:r>
        <w:rPr>
          <w:rFonts w:hint="eastAsia" w:ascii="MS UI Gothic" w:eastAsia="MS UI Gothic"/>
          <w:w w:val="145"/>
        </w:rPr>
        <w:t xml:space="preserve">) </w:t>
      </w:r>
      <w:r>
        <w:t xml:space="preserve">单层罐笼和多层罐笼的最上层净高 </w:t>
      </w:r>
      <w:r>
        <w:rPr>
          <w:rFonts w:hint="eastAsia" w:ascii="MS UI Gothic" w:eastAsia="MS UI Gothic"/>
          <w:w w:val="145"/>
        </w:rPr>
        <w:t xml:space="preserve">( </w:t>
      </w:r>
      <w:r>
        <w:t>带弹簧的主拉杆除外</w:t>
      </w:r>
      <w:r>
        <w:rPr>
          <w:rFonts w:hint="eastAsia" w:ascii="MS UI Gothic" w:eastAsia="MS UI Gothic"/>
          <w:w w:val="145"/>
        </w:rPr>
        <w:t xml:space="preserve">) </w:t>
      </w:r>
      <w:r>
        <w:t>不得小于</w:t>
      </w:r>
      <w:r>
        <w:rPr>
          <w:rFonts w:hint="eastAsia" w:ascii="MS UI Gothic" w:eastAsia="MS UI Gothic"/>
        </w:rPr>
        <w:t>１ ９ ｍ</w:t>
      </w:r>
      <w:r>
        <w:rPr>
          <w:rFonts w:hint="eastAsia" w:ascii="MS UI Gothic" w:eastAsia="MS UI Gothic"/>
          <w:w w:val="80"/>
        </w:rPr>
        <w:t xml:space="preserve">ꎬ </w:t>
      </w:r>
      <w:r>
        <w:t xml:space="preserve">其他各层净高不得小于 </w:t>
      </w:r>
      <w:r>
        <w:rPr>
          <w:rFonts w:hint="eastAsia" w:ascii="MS UI Gothic" w:eastAsia="MS UI Gothic"/>
        </w:rPr>
        <w:t>１ ８ ｍ</w:t>
      </w:r>
      <w:r>
        <w:rPr>
          <w:rFonts w:hint="eastAsia" w:ascii="MS UI Gothic" w:eastAsia="MS UI Gothic"/>
          <w:w w:val="80"/>
        </w:rPr>
        <w:t>ꎮ</w:t>
      </w:r>
      <w:r>
        <w:t>带弹簧的主拉杆必须设保护套筒</w:t>
      </w:r>
      <w:r>
        <w:rPr>
          <w:rFonts w:hint="eastAsia" w:ascii="MS UI Gothic" w:eastAsia="MS UI Gothic"/>
          <w:w w:val="80"/>
        </w:rPr>
        <w:t>ꎮ</w:t>
      </w:r>
    </w:p>
    <w:p>
      <w:pPr>
        <w:pStyle w:val="6"/>
        <w:spacing w:line="290" w:lineRule="auto"/>
        <w:ind w:right="39"/>
        <w:rPr>
          <w:rFonts w:hint="eastAsia" w:ascii="MS UI Gothic" w:eastAsia="MS UI Gothic"/>
        </w:rPr>
      </w:pPr>
      <w:r>
        <w:rPr>
          <w:rFonts w:hint="eastAsia" w:ascii="MS UI Gothic" w:eastAsia="MS UI Gothic"/>
          <w:w w:val="145"/>
        </w:rPr>
        <w:t xml:space="preserve">( </w:t>
      </w:r>
      <w:r>
        <w:t>六</w:t>
      </w:r>
      <w:r>
        <w:rPr>
          <w:rFonts w:hint="eastAsia" w:ascii="MS UI Gothic" w:eastAsia="MS UI Gothic"/>
          <w:w w:val="145"/>
        </w:rPr>
        <w:t xml:space="preserve">) </w:t>
      </w:r>
      <w:r>
        <w:t xml:space="preserve">罐笼内每人占有的有效面积应当不小于 </w:t>
      </w:r>
      <w:r>
        <w:rPr>
          <w:rFonts w:hint="eastAsia" w:ascii="MS UI Gothic" w:eastAsia="MS UI Gothic"/>
          <w:w w:val="80"/>
        </w:rPr>
        <w:t>０ １８ ｍ</w:t>
      </w:r>
      <w:r>
        <w:rPr>
          <w:rFonts w:hint="eastAsia" w:ascii="MS UI Gothic" w:eastAsia="MS UI Gothic"/>
          <w:w w:val="80"/>
          <w:position w:val="9"/>
          <w:sz w:val="12"/>
        </w:rPr>
        <w:t xml:space="preserve">２ </w:t>
      </w:r>
      <w:r>
        <w:rPr>
          <w:rFonts w:hint="eastAsia" w:ascii="MS UI Gothic" w:eastAsia="MS UI Gothic"/>
          <w:w w:val="80"/>
        </w:rPr>
        <w:t xml:space="preserve">ꎮ </w:t>
      </w:r>
      <w:r>
        <w:t xml:space="preserve">罐笼每层内 </w:t>
      </w:r>
      <w:r>
        <w:rPr>
          <w:rFonts w:hint="eastAsia" w:ascii="MS UI Gothic" w:eastAsia="MS UI Gothic"/>
          <w:w w:val="80"/>
        </w:rPr>
        <w:t xml:space="preserve">１ </w:t>
      </w:r>
      <w:r>
        <w:t>次能容纳的人数应当明确规定</w:t>
      </w:r>
      <w:r>
        <w:rPr>
          <w:rFonts w:hint="eastAsia" w:ascii="MS UI Gothic" w:eastAsia="MS UI Gothic"/>
          <w:w w:val="80"/>
        </w:rPr>
        <w:t xml:space="preserve">ꎮ </w:t>
      </w:r>
      <w:r>
        <w:t>超过规定人数时</w:t>
      </w:r>
      <w:r>
        <w:rPr>
          <w:rFonts w:hint="eastAsia" w:ascii="MS UI Gothic" w:eastAsia="MS UI Gothic"/>
          <w:w w:val="80"/>
        </w:rPr>
        <w:t xml:space="preserve">ꎬ </w:t>
      </w:r>
      <w:r>
        <w:t>把钩工必须制止</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严禁在罐笼同一层内人员和物</w:t>
      </w:r>
      <w:r>
        <w:t>料混合提升</w:t>
      </w:r>
      <w:r>
        <w:rPr>
          <w:rFonts w:hint="eastAsia" w:ascii="MS UI Gothic" w:eastAsia="MS UI Gothic"/>
          <w:w w:val="80"/>
        </w:rPr>
        <w:t xml:space="preserve">ꎮ </w:t>
      </w:r>
      <w:r>
        <w:t>升降无轨胶轮车时</w:t>
      </w:r>
      <w:r>
        <w:rPr>
          <w:rFonts w:hint="eastAsia" w:ascii="MS UI Gothic" w:eastAsia="MS UI Gothic"/>
          <w:w w:val="80"/>
        </w:rPr>
        <w:t xml:space="preserve">ꎬ </w:t>
      </w:r>
      <w:r>
        <w:t>仅限司机一人留在车内</w:t>
      </w:r>
      <w:r>
        <w:rPr>
          <w:rFonts w:hint="eastAsia" w:ascii="MS UI Gothic" w:eastAsia="MS UI Gothic"/>
          <w:w w:val="80"/>
        </w:rPr>
        <w:t xml:space="preserve">ꎬ </w:t>
      </w:r>
      <w:r>
        <w:t>且按提升人员要求</w:t>
      </w:r>
      <w:r>
        <w:rPr>
          <w:w w:val="105"/>
        </w:rPr>
        <w:t>运行</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第三百九十五条 立井罐笼提升井口</w:t>
      </w:r>
      <w:r>
        <w:rPr>
          <w:rFonts w:hint="eastAsia" w:ascii="MS UI Gothic" w:eastAsia="MS UI Gothic"/>
          <w:w w:val="80"/>
        </w:rPr>
        <w:t xml:space="preserve">、 </w:t>
      </w:r>
      <w:r>
        <w:rPr>
          <w:w w:val="105"/>
        </w:rPr>
        <w:t>井底和各水平的安全门与罐笼位置</w:t>
      </w:r>
      <w:r>
        <w:rPr>
          <w:rFonts w:hint="eastAsia" w:ascii="MS UI Gothic" w:eastAsia="MS UI Gothic"/>
          <w:w w:val="80"/>
        </w:rPr>
        <w:t>、</w:t>
      </w:r>
      <w:r>
        <w:t>摇台或者锁罐装置</w:t>
      </w:r>
      <w:r>
        <w:rPr>
          <w:rFonts w:hint="eastAsia" w:ascii="MS UI Gothic" w:eastAsia="MS UI Gothic"/>
          <w:w w:val="80"/>
        </w:rPr>
        <w:t xml:space="preserve">、 </w:t>
      </w:r>
      <w:r>
        <w:t>阻车器之间的联锁</w:t>
      </w:r>
      <w:r>
        <w:rPr>
          <w:rFonts w:hint="eastAsia" w:ascii="MS UI Gothic" w:eastAsia="MS UI Gothic"/>
          <w:w w:val="80"/>
        </w:rPr>
        <w:t>ꎬ</w:t>
      </w:r>
      <w:r>
        <w:rPr>
          <w:w w:val="105"/>
        </w:rPr>
        <w:t>必须符合下列要求</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9"/>
          <w:w w:val="150"/>
        </w:rPr>
        <w:t xml:space="preserve">) </w:t>
      </w:r>
      <w:r>
        <w:rPr>
          <w:spacing w:val="3"/>
          <w:w w:val="105"/>
        </w:rPr>
        <w:t>井口</w:t>
      </w:r>
      <w:r>
        <w:rPr>
          <w:rFonts w:hint="eastAsia" w:ascii="MS UI Gothic" w:eastAsia="MS UI Gothic"/>
          <w:spacing w:val="22"/>
          <w:w w:val="80"/>
        </w:rPr>
        <w:t xml:space="preserve">、 </w:t>
      </w:r>
      <w:r>
        <w:rPr>
          <w:spacing w:val="8"/>
          <w:w w:val="105"/>
        </w:rPr>
        <w:t>井底和中间运输巷的安</w:t>
      </w:r>
      <w:r>
        <w:rPr>
          <w:spacing w:val="3"/>
          <w:w w:val="105"/>
        </w:rPr>
        <w:t>全门必须与罐位和提升信号联锁</w:t>
      </w:r>
      <w:r>
        <w:rPr>
          <w:rFonts w:hint="eastAsia" w:ascii="MS UI Gothic" w:eastAsia="MS UI Gothic"/>
          <w:spacing w:val="-47"/>
          <w:w w:val="235"/>
        </w:rPr>
        <w:t xml:space="preserve">: </w:t>
      </w:r>
      <w:r>
        <w:rPr>
          <w:spacing w:val="2"/>
          <w:w w:val="105"/>
        </w:rPr>
        <w:t>罐笼到</w:t>
      </w:r>
      <w:r>
        <w:rPr>
          <w:spacing w:val="3"/>
        </w:rPr>
        <w:t>位并发出停车信号后安全门才能打开</w:t>
      </w:r>
      <w:r>
        <w:rPr>
          <w:rFonts w:hint="eastAsia" w:ascii="MS UI Gothic" w:eastAsia="MS UI Gothic"/>
          <w:spacing w:val="21"/>
          <w:w w:val="80"/>
        </w:rPr>
        <w:t xml:space="preserve">ꎻ </w:t>
      </w:r>
      <w:r>
        <w:t>安</w:t>
      </w:r>
      <w:r>
        <w:rPr>
          <w:spacing w:val="3"/>
        </w:rPr>
        <w:t>全门未关闭</w:t>
      </w:r>
      <w:r>
        <w:rPr>
          <w:rFonts w:hint="eastAsia" w:ascii="MS UI Gothic" w:eastAsia="MS UI Gothic"/>
          <w:spacing w:val="21"/>
          <w:w w:val="80"/>
        </w:rPr>
        <w:t xml:space="preserve">ꎬ </w:t>
      </w:r>
      <w:r>
        <w:rPr>
          <w:spacing w:val="11"/>
        </w:rPr>
        <w:t>只能发出调平和换层信号</w:t>
      </w:r>
      <w:r>
        <w:rPr>
          <w:rFonts w:hint="eastAsia" w:ascii="MS UI Gothic" w:eastAsia="MS UI Gothic"/>
          <w:w w:val="80"/>
        </w:rPr>
        <w:t>ꎬ</w:t>
      </w:r>
      <w:r>
        <w:rPr>
          <w:spacing w:val="3"/>
        </w:rPr>
        <w:t>但发不出开车信号</w:t>
      </w:r>
      <w:r>
        <w:rPr>
          <w:rFonts w:hint="eastAsia" w:ascii="MS UI Gothic" w:eastAsia="MS UI Gothic"/>
          <w:spacing w:val="21"/>
          <w:w w:val="80"/>
        </w:rPr>
        <w:t xml:space="preserve">ꎻ </w:t>
      </w:r>
      <w:r>
        <w:rPr>
          <w:spacing w:val="2"/>
        </w:rPr>
        <w:t>安全门关闭后才能发</w:t>
      </w:r>
      <w:r>
        <w:rPr>
          <w:spacing w:val="3"/>
        </w:rPr>
        <w:t>出开车信号</w:t>
      </w:r>
      <w:r>
        <w:rPr>
          <w:rFonts w:hint="eastAsia" w:ascii="MS UI Gothic" w:eastAsia="MS UI Gothic"/>
          <w:spacing w:val="23"/>
          <w:w w:val="80"/>
        </w:rPr>
        <w:t xml:space="preserve">ꎻ </w:t>
      </w:r>
      <w:r>
        <w:rPr>
          <w:spacing w:val="3"/>
        </w:rPr>
        <w:t>发出开车信号后</w:t>
      </w:r>
      <w:r>
        <w:rPr>
          <w:rFonts w:hint="eastAsia" w:ascii="MS UI Gothic" w:eastAsia="MS UI Gothic"/>
          <w:spacing w:val="23"/>
          <w:w w:val="80"/>
        </w:rPr>
        <w:t xml:space="preserve">ꎬ </w:t>
      </w:r>
      <w:r>
        <w:rPr>
          <w:spacing w:val="2"/>
        </w:rPr>
        <w:t>安全门不</w:t>
      </w:r>
      <w:r>
        <w:rPr>
          <w:spacing w:val="3"/>
          <w:w w:val="105"/>
        </w:rPr>
        <w:t>能打开</w:t>
      </w:r>
      <w:r>
        <w:rPr>
          <w:rFonts w:hint="eastAsia" w:ascii="MS UI Gothic" w:eastAsia="MS UI Gothic"/>
          <w:w w:val="80"/>
        </w:rPr>
        <w:t>ꎮ</w:t>
      </w:r>
    </w:p>
    <w:p>
      <w:pPr>
        <w:pStyle w:val="6"/>
        <w:spacing w:line="295" w:lineRule="auto"/>
        <w:ind w:right="39"/>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井口</w:t>
      </w:r>
      <w:r>
        <w:rPr>
          <w:rFonts w:hint="eastAsia" w:ascii="MS UI Gothic" w:eastAsia="MS UI Gothic"/>
          <w:w w:val="80"/>
        </w:rPr>
        <w:t xml:space="preserve">、 </w:t>
      </w:r>
      <w:r>
        <w:rPr>
          <w:w w:val="105"/>
        </w:rPr>
        <w:t>井底和中间运输巷都应</w:t>
      </w:r>
      <w:r>
        <w:t>当设置摇台或者锁罐装置</w:t>
      </w:r>
      <w:r>
        <w:rPr>
          <w:rFonts w:hint="eastAsia" w:ascii="MS UI Gothic" w:eastAsia="MS UI Gothic"/>
          <w:w w:val="80"/>
        </w:rPr>
        <w:t xml:space="preserve">ꎬ </w:t>
      </w:r>
      <w:r>
        <w:t>并与罐笼停止</w:t>
      </w:r>
      <w:r>
        <w:rPr>
          <w:w w:val="105"/>
        </w:rPr>
        <w:t>位置</w:t>
      </w:r>
      <w:r>
        <w:rPr>
          <w:rFonts w:hint="eastAsia" w:ascii="MS UI Gothic" w:eastAsia="MS UI Gothic"/>
          <w:w w:val="80"/>
        </w:rPr>
        <w:t xml:space="preserve">、 </w:t>
      </w:r>
      <w:r>
        <w:rPr>
          <w:w w:val="105"/>
        </w:rPr>
        <w:t>阻车器和提升信号系统联锁</w:t>
      </w:r>
      <w:r>
        <w:rPr>
          <w:rFonts w:hint="eastAsia" w:ascii="MS UI Gothic" w:eastAsia="MS UI Gothic"/>
          <w:w w:val="235"/>
        </w:rPr>
        <w:t xml:space="preserve">: </w:t>
      </w:r>
      <w:r>
        <w:rPr>
          <w:w w:val="105"/>
        </w:rPr>
        <w:t>罐笼</w:t>
      </w:r>
      <w:r>
        <w:t>未到位</w:t>
      </w:r>
      <w:r>
        <w:rPr>
          <w:rFonts w:hint="eastAsia" w:ascii="MS UI Gothic" w:eastAsia="MS UI Gothic"/>
          <w:w w:val="80"/>
        </w:rPr>
        <w:t xml:space="preserve">ꎬ </w:t>
      </w:r>
      <w:r>
        <w:t>放不下摇台或者锁罐装置</w:t>
      </w:r>
      <w:r>
        <w:rPr>
          <w:rFonts w:hint="eastAsia" w:ascii="MS UI Gothic" w:eastAsia="MS UI Gothic"/>
          <w:w w:val="80"/>
        </w:rPr>
        <w:t xml:space="preserve">ꎬ </w:t>
      </w:r>
      <w:r>
        <w:t>打不</w:t>
      </w:r>
    </w:p>
    <w:p>
      <w:pPr>
        <w:pStyle w:val="6"/>
        <w:spacing w:before="123" w:line="295" w:lineRule="auto"/>
        <w:ind w:right="442" w:firstLine="0"/>
        <w:rPr>
          <w:rFonts w:hint="eastAsia" w:ascii="MS UI Gothic" w:eastAsia="MS UI Gothic"/>
        </w:rPr>
      </w:pPr>
      <w:r>
        <w:br w:type="column"/>
      </w:r>
      <w:r>
        <w:t>开阻车器</w:t>
      </w:r>
      <w:r>
        <w:rPr>
          <w:rFonts w:hint="eastAsia" w:ascii="MS UI Gothic" w:eastAsia="MS UI Gothic"/>
          <w:w w:val="80"/>
        </w:rPr>
        <w:t xml:space="preserve">ꎻ </w:t>
      </w:r>
      <w:r>
        <w:t>摇台或者锁罐装置未抬起</w:t>
      </w:r>
      <w:r>
        <w:rPr>
          <w:rFonts w:hint="eastAsia" w:ascii="MS UI Gothic" w:eastAsia="MS UI Gothic"/>
          <w:w w:val="80"/>
        </w:rPr>
        <w:t xml:space="preserve">ꎬ </w:t>
      </w:r>
      <w:r>
        <w:t>阻车器未关闭</w:t>
      </w:r>
      <w:r>
        <w:rPr>
          <w:rFonts w:hint="eastAsia" w:ascii="MS UI Gothic" w:eastAsia="MS UI Gothic"/>
          <w:w w:val="80"/>
        </w:rPr>
        <w:t xml:space="preserve">ꎬ </w:t>
      </w:r>
      <w:r>
        <w:t>发不出开车信号</w:t>
      </w:r>
      <w:r>
        <w:rPr>
          <w:rFonts w:hint="eastAsia" w:ascii="MS UI Gothic" w:eastAsia="MS UI Gothic"/>
          <w:w w:val="80"/>
        </w:rPr>
        <w:t>ꎮ</w:t>
      </w:r>
    </w:p>
    <w:p>
      <w:pPr>
        <w:pStyle w:val="6"/>
        <w:spacing w:line="295" w:lineRule="auto"/>
        <w:ind w:right="440"/>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立井井口和井底使用罐座时</w:t>
      </w:r>
      <w:r>
        <w:rPr>
          <w:rFonts w:hint="eastAsia" w:ascii="MS UI Gothic" w:eastAsia="MS UI Gothic"/>
          <w:w w:val="80"/>
        </w:rPr>
        <w:t>ꎬ</w:t>
      </w:r>
      <w:r>
        <w:t>必须设置闭锁装置</w:t>
      </w:r>
      <w:r>
        <w:rPr>
          <w:rFonts w:hint="eastAsia" w:ascii="MS UI Gothic" w:eastAsia="MS UI Gothic"/>
          <w:w w:val="80"/>
        </w:rPr>
        <w:t xml:space="preserve">ꎬ </w:t>
      </w:r>
      <w:r>
        <w:t>罐座未打开</w:t>
      </w:r>
      <w:r>
        <w:rPr>
          <w:rFonts w:hint="eastAsia" w:ascii="MS UI Gothic" w:eastAsia="MS UI Gothic"/>
          <w:w w:val="80"/>
        </w:rPr>
        <w:t xml:space="preserve">ꎬ </w:t>
      </w:r>
      <w:r>
        <w:t>发不出开车信号</w:t>
      </w:r>
      <w:r>
        <w:rPr>
          <w:rFonts w:hint="eastAsia" w:ascii="MS UI Gothic" w:eastAsia="MS UI Gothic"/>
          <w:w w:val="80"/>
        </w:rPr>
        <w:t xml:space="preserve">ꎮ </w:t>
      </w:r>
      <w:r>
        <w:t>升降人员时</w:t>
      </w:r>
      <w:r>
        <w:rPr>
          <w:rFonts w:hint="eastAsia" w:ascii="MS UI Gothic" w:eastAsia="MS UI Gothic"/>
          <w:w w:val="80"/>
        </w:rPr>
        <w:t xml:space="preserve">ꎬ </w:t>
      </w:r>
      <w:r>
        <w:t>严禁使用罐座</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第三百九十六条 提升容器的罐耳与</w:t>
      </w:r>
      <w:r>
        <w:rPr>
          <w:w w:val="110"/>
        </w:rPr>
        <w:t>罐道之间的间隙</w:t>
      </w:r>
      <w:r>
        <w:rPr>
          <w:rFonts w:hint="eastAsia" w:ascii="MS UI Gothic" w:eastAsia="MS UI Gothic"/>
          <w:w w:val="80"/>
        </w:rPr>
        <w:t xml:space="preserve">ꎬ </w:t>
      </w:r>
      <w:r>
        <w:rPr>
          <w:w w:val="110"/>
        </w:rPr>
        <w:t>应当符合下列要求</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10"/>
        </w:rPr>
        <w:t xml:space="preserve">( </w:t>
      </w:r>
      <w:r>
        <w:rPr>
          <w:w w:val="110"/>
        </w:rPr>
        <w:t>一</w:t>
      </w:r>
      <w:r>
        <w:rPr>
          <w:rFonts w:hint="eastAsia" w:ascii="MS UI Gothic" w:eastAsia="MS UI Gothic"/>
          <w:w w:val="110"/>
        </w:rPr>
        <w:t xml:space="preserve">) </w:t>
      </w:r>
      <w:r>
        <w:rPr>
          <w:w w:val="110"/>
        </w:rPr>
        <w:t>安装时</w:t>
      </w:r>
      <w:r>
        <w:rPr>
          <w:rFonts w:hint="eastAsia" w:ascii="MS UI Gothic" w:eastAsia="MS UI Gothic"/>
          <w:w w:val="80"/>
        </w:rPr>
        <w:t xml:space="preserve">ꎬ </w:t>
      </w:r>
      <w:r>
        <w:rPr>
          <w:w w:val="110"/>
        </w:rPr>
        <w:t>罐耳与罐道之间所留</w:t>
      </w:r>
      <w:r>
        <w:rPr>
          <w:w w:val="115"/>
        </w:rPr>
        <w:t>间隙应当符合下列要求</w:t>
      </w:r>
      <w:r>
        <w:rPr>
          <w:rFonts w:hint="eastAsia" w:ascii="MS UI Gothic" w:eastAsia="MS UI Gothic"/>
          <w:w w:val="235"/>
        </w:rPr>
        <w:t>:</w:t>
      </w:r>
    </w:p>
    <w:p>
      <w:pPr>
        <w:pStyle w:val="6"/>
        <w:spacing w:line="295" w:lineRule="auto"/>
        <w:ind w:left="118" w:right="442"/>
        <w:rPr>
          <w:rFonts w:hint="eastAsia" w:ascii="MS UI Gothic" w:eastAsia="MS UI Gothic"/>
        </w:rPr>
      </w:pPr>
      <w:r>
        <w:rPr>
          <w:rFonts w:hint="eastAsia" w:ascii="MS UI Gothic" w:eastAsia="MS UI Gothic"/>
        </w:rPr>
        <w:t xml:space="preserve">１ </w:t>
      </w:r>
      <w:r>
        <w:t xml:space="preserve">使用滑动罐耳的刚性罐道每侧不得超过 </w:t>
      </w:r>
      <w:r>
        <w:rPr>
          <w:rFonts w:hint="eastAsia" w:ascii="MS UI Gothic" w:eastAsia="MS UI Gothic"/>
        </w:rPr>
        <w:t>５ ｍｍ</w:t>
      </w:r>
      <w:r>
        <w:rPr>
          <w:rFonts w:hint="eastAsia" w:ascii="MS UI Gothic" w:eastAsia="MS UI Gothic"/>
          <w:w w:val="85"/>
        </w:rPr>
        <w:t xml:space="preserve">ꎬ </w:t>
      </w:r>
      <w:r>
        <w:t>木罐道每侧不得超过</w:t>
      </w:r>
      <w:r>
        <w:rPr>
          <w:rFonts w:hint="eastAsia" w:ascii="MS UI Gothic" w:eastAsia="MS UI Gothic"/>
        </w:rPr>
        <w:t>１０ ｍｍ</w:t>
      </w:r>
      <w:r>
        <w:rPr>
          <w:rFonts w:hint="eastAsia" w:ascii="MS UI Gothic" w:eastAsia="MS UI Gothic"/>
          <w:w w:val="85"/>
        </w:rPr>
        <w:t>ꎮ</w:t>
      </w:r>
    </w:p>
    <w:p>
      <w:pPr>
        <w:pStyle w:val="6"/>
        <w:spacing w:line="295" w:lineRule="auto"/>
        <w:ind w:right="442" w:firstLine="413"/>
        <w:rPr>
          <w:rFonts w:hint="eastAsia" w:ascii="MS UI Gothic" w:eastAsia="MS UI Gothic"/>
        </w:rPr>
      </w:pPr>
      <w:r>
        <w:rPr>
          <w:rFonts w:hint="eastAsia" w:ascii="MS UI Gothic" w:eastAsia="MS UI Gothic"/>
        </w:rPr>
        <w:t xml:space="preserve">２ </w:t>
      </w:r>
      <w:r>
        <w:t xml:space="preserve">钢丝绳罐道的罐耳滑套直径与钢丝绳直径之差不得大于 </w:t>
      </w:r>
      <w:r>
        <w:rPr>
          <w:rFonts w:hint="eastAsia" w:ascii="MS UI Gothic" w:eastAsia="MS UI Gothic"/>
        </w:rPr>
        <w:t>５ ｍｍ</w:t>
      </w:r>
      <w:r>
        <w:rPr>
          <w:rFonts w:hint="eastAsia" w:ascii="MS UI Gothic" w:eastAsia="MS UI Gothic"/>
          <w:w w:val="85"/>
        </w:rPr>
        <w:t>ꎮ</w:t>
      </w:r>
    </w:p>
    <w:p>
      <w:pPr>
        <w:pStyle w:val="6"/>
        <w:spacing w:line="295" w:lineRule="auto"/>
        <w:ind w:left="118" w:right="442"/>
        <w:rPr>
          <w:rFonts w:hint="eastAsia" w:ascii="MS UI Gothic" w:eastAsia="MS UI Gothic"/>
        </w:rPr>
      </w:pPr>
      <w:r>
        <w:rPr>
          <w:rFonts w:hint="eastAsia" w:ascii="MS UI Gothic" w:eastAsia="MS UI Gothic"/>
        </w:rPr>
        <w:t xml:space="preserve">３ </w:t>
      </w:r>
      <w:r>
        <w:t>采用滚轮罐耳的矩形钢罐道的辅助滑动罐耳</w:t>
      </w:r>
      <w:r>
        <w:rPr>
          <w:rFonts w:hint="eastAsia" w:ascii="MS UI Gothic" w:eastAsia="MS UI Gothic"/>
          <w:w w:val="85"/>
        </w:rPr>
        <w:t xml:space="preserve">ꎬ </w:t>
      </w:r>
      <w:r>
        <w:t xml:space="preserve">每侧间隙应当保持 </w:t>
      </w:r>
      <w:r>
        <w:rPr>
          <w:rFonts w:hint="eastAsia" w:ascii="MS UI Gothic" w:eastAsia="MS UI Gothic"/>
        </w:rPr>
        <w:t xml:space="preserve">１０ </w:t>
      </w:r>
      <w:r>
        <w:rPr>
          <w:rFonts w:hint="eastAsia" w:ascii="MS UI Gothic" w:eastAsia="MS UI Gothic"/>
          <w:w w:val="115"/>
        </w:rPr>
        <w:t xml:space="preserve">~ </w:t>
      </w:r>
      <w:r>
        <w:rPr>
          <w:rFonts w:hint="eastAsia" w:ascii="MS UI Gothic" w:eastAsia="MS UI Gothic"/>
        </w:rPr>
        <w:t>１５ ｍｍ</w:t>
      </w:r>
      <w:r>
        <w:rPr>
          <w:rFonts w:hint="eastAsia" w:ascii="MS UI Gothic" w:eastAsia="MS UI Gothic"/>
          <w:w w:val="85"/>
        </w:rPr>
        <w:t>ꎮ</w:t>
      </w:r>
    </w:p>
    <w:p>
      <w:pPr>
        <w:pStyle w:val="6"/>
        <w:spacing w:line="295" w:lineRule="auto"/>
        <w:ind w:right="442"/>
        <w:rPr>
          <w:rFonts w:hint="eastAsia" w:ascii="MS UI Gothic" w:eastAsia="MS UI Gothic"/>
        </w:rPr>
      </w:pPr>
      <w:r>
        <w:rPr>
          <w:rFonts w:hint="eastAsia" w:ascii="MS UI Gothic" w:eastAsia="MS UI Gothic"/>
          <w:w w:val="120"/>
        </w:rPr>
        <w:t xml:space="preserve">( </w:t>
      </w:r>
      <w:r>
        <w:rPr>
          <w:w w:val="110"/>
        </w:rPr>
        <w:t>二</w:t>
      </w:r>
      <w:r>
        <w:rPr>
          <w:rFonts w:hint="eastAsia" w:ascii="MS UI Gothic" w:eastAsia="MS UI Gothic"/>
          <w:w w:val="120"/>
        </w:rPr>
        <w:t xml:space="preserve">) </w:t>
      </w:r>
      <w:r>
        <w:rPr>
          <w:w w:val="110"/>
        </w:rPr>
        <w:t>使用时</w:t>
      </w:r>
      <w:r>
        <w:rPr>
          <w:rFonts w:hint="eastAsia" w:ascii="MS UI Gothic" w:eastAsia="MS UI Gothic"/>
          <w:w w:val="80"/>
        </w:rPr>
        <w:t xml:space="preserve">ꎬ </w:t>
      </w:r>
      <w:r>
        <w:rPr>
          <w:w w:val="110"/>
        </w:rPr>
        <w:t>罐耳和罐道的磨损量</w:t>
      </w:r>
      <w:r>
        <w:rPr>
          <w:w w:val="105"/>
        </w:rPr>
        <w:t>或者总间隙达到下列限值时</w:t>
      </w:r>
      <w:r>
        <w:rPr>
          <w:rFonts w:hint="eastAsia" w:ascii="MS UI Gothic" w:eastAsia="MS UI Gothic"/>
          <w:w w:val="80"/>
        </w:rPr>
        <w:t xml:space="preserve">ꎬ </w:t>
      </w:r>
      <w:r>
        <w:rPr>
          <w:w w:val="105"/>
        </w:rPr>
        <w:t>必须更换</w:t>
      </w:r>
      <w:r>
        <w:rPr>
          <w:rFonts w:hint="eastAsia" w:ascii="MS UI Gothic" w:eastAsia="MS UI Gothic"/>
          <w:w w:val="105"/>
        </w:rPr>
        <w:t>:</w:t>
      </w:r>
    </w:p>
    <w:p>
      <w:pPr>
        <w:pStyle w:val="6"/>
        <w:spacing w:line="255" w:lineRule="exact"/>
        <w:ind w:left="538" w:firstLine="0"/>
        <w:rPr>
          <w:rFonts w:hint="eastAsia" w:ascii="MS UI Gothic" w:eastAsia="MS UI Gothic"/>
        </w:rPr>
      </w:pPr>
      <w:r>
        <w:rPr>
          <w:rFonts w:hint="eastAsia" w:ascii="MS UI Gothic" w:eastAsia="MS UI Gothic"/>
        </w:rPr>
        <w:t xml:space="preserve">１ </w:t>
      </w:r>
      <w:r>
        <w:t xml:space="preserve">木罐道任一侧磨损量超过 </w:t>
      </w:r>
      <w:r>
        <w:rPr>
          <w:rFonts w:hint="eastAsia" w:ascii="MS UI Gothic" w:eastAsia="MS UI Gothic"/>
        </w:rPr>
        <w:t>１５ ｍｍ</w:t>
      </w:r>
    </w:p>
    <w:p>
      <w:pPr>
        <w:pStyle w:val="6"/>
        <w:spacing w:before="45"/>
        <w:ind w:firstLine="0"/>
        <w:rPr>
          <w:rFonts w:hint="eastAsia" w:ascii="MS UI Gothic" w:eastAsia="MS UI Gothic"/>
        </w:rPr>
      </w:pPr>
      <w:r>
        <w:t xml:space="preserve">或者总间隙超过 </w:t>
      </w:r>
      <w:r>
        <w:rPr>
          <w:rFonts w:hint="eastAsia" w:ascii="MS UI Gothic" w:eastAsia="MS UI Gothic"/>
        </w:rPr>
        <w:t>４０ ｍｍ</w:t>
      </w:r>
      <w:r>
        <w:rPr>
          <w:rFonts w:hint="eastAsia" w:ascii="MS UI Gothic" w:eastAsia="MS UI Gothic"/>
          <w:w w:val="85"/>
        </w:rPr>
        <w:t>ꎮ</w:t>
      </w:r>
    </w:p>
    <w:p>
      <w:pPr>
        <w:pStyle w:val="6"/>
        <w:spacing w:before="58"/>
        <w:ind w:left="0" w:right="442" w:firstLine="0"/>
        <w:jc w:val="right"/>
      </w:pPr>
      <w:r>
        <w:rPr>
          <w:rFonts w:hint="eastAsia" w:ascii="MS UI Gothic" w:eastAsia="MS UI Gothic"/>
        </w:rPr>
        <w:t>２</w:t>
      </w:r>
      <w:r>
        <w:rPr>
          <w:rFonts w:hint="eastAsia" w:ascii="MS UI Gothic" w:eastAsia="MS UI Gothic"/>
          <w:spacing w:val="10"/>
        </w:rPr>
        <w:t xml:space="preserve">  </w:t>
      </w:r>
      <w:r>
        <w:rPr>
          <w:spacing w:val="12"/>
        </w:rPr>
        <w:t>钢轨罐道轨头任一侧磨损量超过</w:t>
      </w:r>
    </w:p>
    <w:p>
      <w:pPr>
        <w:pStyle w:val="6"/>
        <w:spacing w:before="58"/>
        <w:ind w:left="0" w:right="442" w:firstLine="0"/>
        <w:jc w:val="right"/>
      </w:pPr>
      <w:r>
        <w:rPr>
          <w:rFonts w:hint="eastAsia" w:ascii="MS UI Gothic" w:eastAsia="MS UI Gothic"/>
          <w:spacing w:val="-13"/>
        </w:rPr>
        <w:t xml:space="preserve">８ </w:t>
      </w:r>
      <w:r>
        <w:rPr>
          <w:rFonts w:hint="eastAsia" w:ascii="MS UI Gothic" w:eastAsia="MS UI Gothic"/>
        </w:rPr>
        <w:t>ｍｍ</w:t>
      </w:r>
      <w:r>
        <w:rPr>
          <w:rFonts w:hint="eastAsia" w:ascii="MS UI Gothic" w:eastAsia="MS UI Gothic"/>
          <w:spacing w:val="-1"/>
          <w:w w:val="85"/>
        </w:rPr>
        <w:t xml:space="preserve">ꎬ </w:t>
      </w:r>
      <w:r>
        <w:rPr>
          <w:spacing w:val="11"/>
        </w:rPr>
        <w:t>或者轨腰磨损量超过原有厚度的</w:t>
      </w:r>
    </w:p>
    <w:p>
      <w:pPr>
        <w:pStyle w:val="6"/>
        <w:spacing w:before="58" w:line="295" w:lineRule="auto"/>
        <w:ind w:left="118" w:right="440" w:firstLine="0"/>
        <w:rPr>
          <w:rFonts w:hint="eastAsia" w:ascii="MS UI Gothic" w:eastAsia="MS UI Gothic"/>
        </w:rPr>
      </w:pPr>
      <w:r>
        <w:rPr>
          <w:rFonts w:hint="eastAsia" w:ascii="MS UI Gothic" w:eastAsia="MS UI Gothic"/>
          <w:w w:val="95"/>
        </w:rPr>
        <w:t>２５</w:t>
      </w:r>
      <w:r>
        <w:rPr>
          <w:spacing w:val="-38"/>
          <w:w w:val="95"/>
        </w:rPr>
        <w:t xml:space="preserve">％ </w:t>
      </w:r>
      <w:r>
        <w:rPr>
          <w:rFonts w:hint="eastAsia" w:ascii="MS UI Gothic" w:eastAsia="MS UI Gothic"/>
          <w:spacing w:val="1"/>
          <w:w w:val="90"/>
        </w:rPr>
        <w:t xml:space="preserve">ꎻ </w:t>
      </w:r>
      <w:r>
        <w:rPr>
          <w:spacing w:val="11"/>
          <w:w w:val="95"/>
        </w:rPr>
        <w:t xml:space="preserve">罐耳的任一侧磨损量超过 </w:t>
      </w:r>
      <w:r>
        <w:rPr>
          <w:rFonts w:hint="eastAsia" w:ascii="MS UI Gothic" w:eastAsia="MS UI Gothic"/>
          <w:spacing w:val="-1"/>
          <w:w w:val="95"/>
        </w:rPr>
        <w:t xml:space="preserve">８ </w:t>
      </w:r>
      <w:r>
        <w:rPr>
          <w:rFonts w:hint="eastAsia" w:ascii="MS UI Gothic" w:eastAsia="MS UI Gothic"/>
          <w:w w:val="95"/>
        </w:rPr>
        <w:t>ｍｍ</w:t>
      </w:r>
      <w:r>
        <w:rPr>
          <w:rFonts w:hint="eastAsia" w:ascii="MS UI Gothic" w:eastAsia="MS UI Gothic"/>
          <w:w w:val="90"/>
        </w:rPr>
        <w:t>ꎬ</w:t>
      </w:r>
      <w:r>
        <w:rPr>
          <w:spacing w:val="2"/>
          <w:w w:val="95"/>
        </w:rPr>
        <w:t xml:space="preserve">或者在同一侧罐耳和罐道的总磨损量超过  </w:t>
      </w:r>
      <w:r>
        <w:rPr>
          <w:rFonts w:hint="eastAsia" w:ascii="MS UI Gothic" w:eastAsia="MS UI Gothic"/>
          <w:spacing w:val="8"/>
          <w:w w:val="95"/>
        </w:rPr>
        <w:t xml:space="preserve">１０ </w:t>
      </w:r>
      <w:r>
        <w:rPr>
          <w:rFonts w:hint="eastAsia" w:ascii="MS UI Gothic" w:eastAsia="MS UI Gothic"/>
          <w:w w:val="95"/>
        </w:rPr>
        <w:t>ｍｍ</w:t>
      </w:r>
      <w:r>
        <w:rPr>
          <w:rFonts w:hint="eastAsia" w:ascii="MS UI Gothic" w:eastAsia="MS UI Gothic"/>
          <w:spacing w:val="8"/>
          <w:w w:val="90"/>
        </w:rPr>
        <w:t xml:space="preserve">ꎬ </w:t>
      </w:r>
      <w:r>
        <w:rPr>
          <w:spacing w:val="21"/>
          <w:w w:val="95"/>
        </w:rPr>
        <w:t>或者罐耳与罐道的总间隙超过</w:t>
      </w:r>
      <w:r>
        <w:rPr>
          <w:rFonts w:hint="eastAsia" w:ascii="MS UI Gothic" w:eastAsia="MS UI Gothic"/>
          <w:spacing w:val="18"/>
          <w:w w:val="95"/>
        </w:rPr>
        <w:t xml:space="preserve">２０ </w:t>
      </w:r>
      <w:r>
        <w:rPr>
          <w:rFonts w:hint="eastAsia" w:ascii="MS UI Gothic" w:eastAsia="MS UI Gothic"/>
          <w:w w:val="95"/>
        </w:rPr>
        <w:t>ｍｍ</w:t>
      </w:r>
      <w:r>
        <w:rPr>
          <w:rFonts w:hint="eastAsia" w:ascii="MS UI Gothic" w:eastAsia="MS UI Gothic"/>
          <w:w w:val="90"/>
        </w:rPr>
        <w:t>ꎮ</w:t>
      </w:r>
    </w:p>
    <w:p>
      <w:pPr>
        <w:pStyle w:val="6"/>
        <w:spacing w:line="295" w:lineRule="auto"/>
        <w:ind w:right="442" w:firstLine="413"/>
        <w:rPr>
          <w:rFonts w:hint="eastAsia" w:ascii="MS UI Gothic" w:eastAsia="MS UI Gothic"/>
        </w:rPr>
      </w:pPr>
      <w:r>
        <w:rPr>
          <w:rFonts w:hint="eastAsia" w:ascii="MS UI Gothic" w:eastAsia="MS UI Gothic"/>
          <w:w w:val="95"/>
        </w:rPr>
        <w:t xml:space="preserve">３  </w:t>
      </w:r>
      <w:r>
        <w:rPr>
          <w:w w:val="95"/>
        </w:rPr>
        <w:t xml:space="preserve">矩形钢罐道任一侧的磨损量超过原有厚度的 </w:t>
      </w:r>
      <w:r>
        <w:rPr>
          <w:rFonts w:hint="eastAsia" w:ascii="MS UI Gothic" w:eastAsia="MS UI Gothic"/>
          <w:w w:val="95"/>
        </w:rPr>
        <w:t>５０</w:t>
      </w:r>
      <w:r>
        <w:rPr>
          <w:w w:val="95"/>
        </w:rPr>
        <w:t xml:space="preserve">％ </w:t>
      </w:r>
      <w:r>
        <w:rPr>
          <w:rFonts w:hint="eastAsia" w:ascii="MS UI Gothic" w:eastAsia="MS UI Gothic"/>
          <w:w w:val="90"/>
        </w:rPr>
        <w:t>ꎮ</w:t>
      </w:r>
    </w:p>
    <w:p>
      <w:pPr>
        <w:pStyle w:val="6"/>
        <w:spacing w:line="255" w:lineRule="exact"/>
        <w:ind w:left="538" w:firstLine="0"/>
      </w:pPr>
      <w:r>
        <w:rPr>
          <w:rFonts w:hint="eastAsia" w:ascii="MS UI Gothic" w:eastAsia="MS UI Gothic"/>
        </w:rPr>
        <w:t>４</w:t>
      </w:r>
      <w:r>
        <w:rPr>
          <w:rFonts w:hint="eastAsia" w:ascii="MS UI Gothic" w:eastAsia="MS UI Gothic"/>
          <w:spacing w:val="52"/>
        </w:rPr>
        <w:t xml:space="preserve"> </w:t>
      </w:r>
      <w:r>
        <w:rPr>
          <w:spacing w:val="12"/>
        </w:rPr>
        <w:t>钢丝绳罐道与滑套的总间隙超过</w:t>
      </w:r>
    </w:p>
    <w:p>
      <w:pPr>
        <w:pStyle w:val="6"/>
        <w:spacing w:before="55"/>
        <w:ind w:left="118" w:firstLine="0"/>
        <w:rPr>
          <w:rFonts w:hint="eastAsia" w:ascii="MS UI Gothic" w:eastAsia="MS UI Gothic"/>
        </w:rPr>
      </w:pPr>
      <w:r>
        <w:rPr>
          <w:rFonts w:hint="eastAsia" w:ascii="MS UI Gothic" w:eastAsia="MS UI Gothic"/>
          <w:w w:val="80"/>
        </w:rPr>
        <w:t>１５ ｍｍ ꎮ</w:t>
      </w:r>
    </w:p>
    <w:p>
      <w:pPr>
        <w:pStyle w:val="6"/>
        <w:spacing w:before="58" w:line="295" w:lineRule="auto"/>
        <w:ind w:right="442"/>
        <w:rPr>
          <w:rFonts w:hint="eastAsia" w:ascii="MS UI Gothic" w:eastAsia="MS UI Gothic"/>
        </w:rPr>
      </w:pPr>
      <w:r>
        <w:t>第三百九十七条 立井提升容器间及提升容器与井壁</w:t>
      </w:r>
      <w:r>
        <w:rPr>
          <w:rFonts w:hint="eastAsia" w:ascii="MS UI Gothic" w:eastAsia="MS UI Gothic"/>
          <w:w w:val="80"/>
        </w:rPr>
        <w:t xml:space="preserve">、 </w:t>
      </w:r>
      <w:r>
        <w:t>罐道梁</w:t>
      </w:r>
      <w:r>
        <w:rPr>
          <w:rFonts w:hint="eastAsia" w:ascii="MS UI Gothic" w:eastAsia="MS UI Gothic"/>
          <w:w w:val="80"/>
        </w:rPr>
        <w:t xml:space="preserve">、 </w:t>
      </w:r>
      <w:r>
        <w:t>井梁之间的最小间隙</w:t>
      </w:r>
      <w:r>
        <w:rPr>
          <w:rFonts w:hint="eastAsia" w:ascii="MS UI Gothic" w:eastAsia="MS UI Gothic"/>
          <w:w w:val="80"/>
        </w:rPr>
        <w:t xml:space="preserve">ꎬ </w:t>
      </w:r>
      <w:r>
        <w:t xml:space="preserve">必须符合表 </w:t>
      </w:r>
      <w:r>
        <w:rPr>
          <w:rFonts w:hint="eastAsia" w:ascii="MS UI Gothic" w:eastAsia="MS UI Gothic"/>
          <w:w w:val="80"/>
        </w:rPr>
        <w:t xml:space="preserve">７ </w:t>
      </w:r>
      <w:r>
        <w:t>要求</w:t>
      </w:r>
      <w:r>
        <w:rPr>
          <w:rFonts w:hint="eastAsia" w:ascii="MS UI Gothic" w:eastAsia="MS UI Gothic"/>
          <w:w w:val="80"/>
        </w:rPr>
        <w:t>ꎮ</w:t>
      </w:r>
    </w:p>
    <w:p>
      <w:pPr>
        <w:pStyle w:val="6"/>
        <w:spacing w:line="295" w:lineRule="auto"/>
        <w:ind w:right="442"/>
        <w:rPr>
          <w:rFonts w:hint="eastAsia" w:ascii="MS UI Gothic" w:eastAsia="MS UI Gothic"/>
        </w:rPr>
      </w:pPr>
      <w:r>
        <w:t>提升容器在安装或者检修后</w:t>
      </w:r>
      <w:r>
        <w:rPr>
          <w:rFonts w:hint="eastAsia" w:ascii="MS UI Gothic" w:eastAsia="MS UI Gothic"/>
          <w:w w:val="80"/>
        </w:rPr>
        <w:t xml:space="preserve">ꎬ </w:t>
      </w:r>
      <w:r>
        <w:t>第一次开车前必须检查各个间隙</w:t>
      </w:r>
      <w:r>
        <w:rPr>
          <w:rFonts w:hint="eastAsia" w:ascii="MS UI Gothic" w:eastAsia="MS UI Gothic"/>
          <w:w w:val="80"/>
        </w:rPr>
        <w:t xml:space="preserve">ꎬ </w:t>
      </w:r>
      <w:r>
        <w:t>不符合要求时不得开车</w:t>
      </w:r>
      <w:r>
        <w:rPr>
          <w:rFonts w:hint="eastAsia" w:ascii="MS UI Gothic" w:eastAsia="MS UI Gothic"/>
          <w:w w:val="80"/>
        </w:rPr>
        <w:t>ꎮ</w:t>
      </w:r>
    </w:p>
    <w:p>
      <w:pPr>
        <w:pStyle w:val="6"/>
        <w:spacing w:line="295" w:lineRule="auto"/>
        <w:ind w:right="442"/>
        <w:rPr>
          <w:rFonts w:hint="eastAsia" w:ascii="MS UI Gothic" w:eastAsia="MS UI Gothic"/>
        </w:rPr>
      </w:pPr>
      <w:r>
        <w:t>采用钢丝绳罐道</w:t>
      </w:r>
      <w:r>
        <w:rPr>
          <w:rFonts w:hint="eastAsia" w:ascii="MS UI Gothic" w:eastAsia="MS UI Gothic"/>
          <w:w w:val="80"/>
        </w:rPr>
        <w:t xml:space="preserve">ꎬ </w:t>
      </w:r>
      <w:r>
        <w:t xml:space="preserve">当提升容器之间的间隙小于表 </w:t>
      </w:r>
      <w:r>
        <w:rPr>
          <w:rFonts w:hint="eastAsia" w:ascii="MS UI Gothic" w:eastAsia="MS UI Gothic"/>
        </w:rPr>
        <w:t xml:space="preserve">７ </w:t>
      </w:r>
      <w:r>
        <w:t>要求时</w:t>
      </w:r>
      <w:r>
        <w:rPr>
          <w:rFonts w:hint="eastAsia" w:ascii="MS UI Gothic" w:eastAsia="MS UI Gothic"/>
          <w:w w:val="80"/>
        </w:rPr>
        <w:t xml:space="preserve">ꎬ </w:t>
      </w:r>
      <w:r>
        <w:t>必须设防撞绳</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２９９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25" o:spid="_x0000_s1925" o:spt="203" style="height:2.15pt;width:398.25pt;" coordsize="7965,43">
            <o:lock v:ext="edit"/>
            <v:line id="_x0000_s1926" o:spid="_x0000_s1926" o:spt="20" style="position:absolute;left:0;top:39;height:0;width:7965;" stroked="t" coordsize="21600,21600">
              <v:path arrowok="t"/>
              <v:fill focussize="0,0"/>
              <v:stroke weight="0.388031496062992pt" color="#231F20"/>
              <v:imagedata o:title=""/>
              <o:lock v:ext="edit"/>
            </v:line>
            <v:line id="_x0000_s1927" o:spid="_x0000_s192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rPr>
          <w:w w:val="105"/>
        </w:rPr>
        <w:t>第三百九十八条 钢丝绳罐道应当优先选用密封式钢丝绳</w:t>
      </w:r>
      <w:r>
        <w:rPr>
          <w:rFonts w:hint="eastAsia" w:ascii="MS UI Gothic" w:eastAsia="MS UI Gothic"/>
          <w:w w:val="80"/>
        </w:rPr>
        <w:t>ꎮ</w:t>
      </w:r>
    </w:p>
    <w:p>
      <w:pPr>
        <w:pStyle w:val="6"/>
        <w:spacing w:line="295" w:lineRule="auto"/>
        <w:ind w:left="440"/>
      </w:pPr>
      <w:r>
        <w:t xml:space="preserve">每个提升容器 </w:t>
      </w:r>
      <w:r>
        <w:rPr>
          <w:rFonts w:hint="eastAsia" w:ascii="MS UI Gothic" w:eastAsia="MS UI Gothic"/>
          <w:spacing w:val="-30"/>
          <w:w w:val="140"/>
        </w:rPr>
        <w:t xml:space="preserve">( </w:t>
      </w:r>
      <w:r>
        <w:rPr>
          <w:spacing w:val="3"/>
        </w:rPr>
        <w:t>平衡锤</w:t>
      </w:r>
      <w:r>
        <w:rPr>
          <w:rFonts w:hint="eastAsia" w:ascii="MS UI Gothic" w:eastAsia="MS UI Gothic"/>
          <w:spacing w:val="35"/>
          <w:w w:val="140"/>
        </w:rPr>
        <w:t xml:space="preserve">) </w:t>
      </w:r>
      <w:r>
        <w:rPr>
          <w:spacing w:val="-20"/>
        </w:rPr>
        <w:t xml:space="preserve">有 </w:t>
      </w:r>
      <w:r>
        <w:rPr>
          <w:rFonts w:hint="eastAsia" w:ascii="MS UI Gothic" w:eastAsia="MS UI Gothic"/>
          <w:spacing w:val="7"/>
          <w:w w:val="95"/>
        </w:rPr>
        <w:t xml:space="preserve">４ </w:t>
      </w:r>
      <w:r>
        <w:rPr>
          <w:spacing w:val="2"/>
        </w:rPr>
        <w:t>根罐道</w:t>
      </w:r>
      <w:r>
        <w:rPr>
          <w:spacing w:val="3"/>
        </w:rPr>
        <w:t>绳时</w:t>
      </w:r>
      <w:r>
        <w:rPr>
          <w:rFonts w:hint="eastAsia" w:ascii="MS UI Gothic" w:eastAsia="MS UI Gothic"/>
          <w:spacing w:val="6"/>
          <w:w w:val="75"/>
        </w:rPr>
        <w:t xml:space="preserve">ꎬ </w:t>
      </w:r>
      <w:r>
        <w:rPr>
          <w:spacing w:val="2"/>
        </w:rPr>
        <w:t>每根罐道绳的最小刚性系数不得小</w:t>
      </w:r>
      <w:r>
        <w:rPr>
          <w:spacing w:val="-35"/>
        </w:rPr>
        <w:t xml:space="preserve">于 </w:t>
      </w:r>
      <w:r>
        <w:rPr>
          <w:rFonts w:hint="eastAsia" w:ascii="MS UI Gothic" w:eastAsia="MS UI Gothic"/>
          <w:spacing w:val="-11"/>
          <w:w w:val="95"/>
        </w:rPr>
        <w:t xml:space="preserve">５００ Ｎ </w:t>
      </w:r>
      <w:r>
        <w:rPr>
          <w:rFonts w:hint="eastAsia" w:ascii="MS UI Gothic" w:eastAsia="MS UI Gothic"/>
          <w:w w:val="75"/>
        </w:rPr>
        <w:t xml:space="preserve">/ </w:t>
      </w:r>
      <w:r>
        <w:rPr>
          <w:rFonts w:hint="eastAsia" w:ascii="MS UI Gothic" w:eastAsia="MS UI Gothic"/>
          <w:spacing w:val="4"/>
          <w:w w:val="95"/>
        </w:rPr>
        <w:t>ｍ</w:t>
      </w:r>
      <w:r>
        <w:rPr>
          <w:rFonts w:hint="eastAsia" w:ascii="MS UI Gothic" w:eastAsia="MS UI Gothic"/>
          <w:spacing w:val="7"/>
          <w:w w:val="75"/>
        </w:rPr>
        <w:t xml:space="preserve">ꎬ </w:t>
      </w:r>
      <w:r>
        <w:rPr>
          <w:spacing w:val="2"/>
        </w:rPr>
        <w:t>各罐道绳张紧力之差不得小</w:t>
      </w:r>
      <w:r>
        <w:rPr>
          <w:spacing w:val="-5"/>
        </w:rPr>
        <w:t xml:space="preserve">于平均张紧力的 </w:t>
      </w:r>
      <w:r>
        <w:rPr>
          <w:rFonts w:hint="eastAsia" w:ascii="MS UI Gothic" w:eastAsia="MS UI Gothic"/>
          <w:spacing w:val="2"/>
          <w:w w:val="95"/>
        </w:rPr>
        <w:t>５</w:t>
      </w:r>
      <w:r>
        <w:rPr>
          <w:spacing w:val="-33"/>
          <w:w w:val="95"/>
        </w:rPr>
        <w:t xml:space="preserve">％ </w:t>
      </w:r>
      <w:r>
        <w:rPr>
          <w:rFonts w:hint="eastAsia" w:ascii="MS UI Gothic" w:eastAsia="MS UI Gothic"/>
          <w:spacing w:val="19"/>
          <w:w w:val="75"/>
        </w:rPr>
        <w:t xml:space="preserve">ꎬ </w:t>
      </w:r>
      <w:r>
        <w:rPr>
          <w:spacing w:val="11"/>
        </w:rPr>
        <w:t>内侧张紧力大</w:t>
      </w:r>
      <w:r>
        <w:rPr>
          <w:rFonts w:hint="eastAsia" w:ascii="MS UI Gothic" w:eastAsia="MS UI Gothic"/>
          <w:spacing w:val="19"/>
          <w:w w:val="75"/>
        </w:rPr>
        <w:t xml:space="preserve">ꎬ </w:t>
      </w:r>
      <w:r>
        <w:t>外</w:t>
      </w:r>
    </w:p>
    <w:p>
      <w:pPr>
        <w:pStyle w:val="6"/>
        <w:spacing w:before="124"/>
        <w:ind w:left="383" w:firstLine="0"/>
        <w:jc w:val="left"/>
        <w:rPr>
          <w:rFonts w:hint="eastAsia" w:ascii="MS UI Gothic" w:eastAsia="MS UI Gothic"/>
        </w:rPr>
      </w:pPr>
      <w:r>
        <w:br w:type="column"/>
      </w:r>
      <w:r>
        <w:t>侧张紧力小</w:t>
      </w:r>
      <w:r>
        <w:rPr>
          <w:rFonts w:hint="eastAsia" w:ascii="MS UI Gothic" w:eastAsia="MS UI Gothic"/>
          <w:w w:val="80"/>
        </w:rPr>
        <w:t>ꎮ</w:t>
      </w:r>
    </w:p>
    <w:p>
      <w:pPr>
        <w:pStyle w:val="6"/>
        <w:spacing w:before="58" w:line="295" w:lineRule="auto"/>
        <w:ind w:left="377" w:right="124" w:firstLine="425"/>
        <w:rPr>
          <w:rFonts w:hint="eastAsia" w:ascii="MS UI Gothic" w:eastAsia="MS UI Gothic"/>
        </w:rPr>
      </w:pPr>
      <w:r>
        <w:rPr>
          <w:w w:val="95"/>
        </w:rPr>
        <w:t xml:space="preserve">每个提升容器 </w:t>
      </w:r>
      <w:r>
        <w:rPr>
          <w:rFonts w:hint="eastAsia" w:ascii="MS UI Gothic" w:eastAsia="MS UI Gothic"/>
          <w:w w:val="140"/>
        </w:rPr>
        <w:t xml:space="preserve">( </w:t>
      </w:r>
      <w:r>
        <w:rPr>
          <w:w w:val="95"/>
        </w:rPr>
        <w:t>平衡锤</w:t>
      </w:r>
      <w:r>
        <w:rPr>
          <w:rFonts w:hint="eastAsia" w:ascii="MS UI Gothic" w:eastAsia="MS UI Gothic"/>
          <w:w w:val="140"/>
        </w:rPr>
        <w:t xml:space="preserve">) </w:t>
      </w:r>
      <w:r>
        <w:rPr>
          <w:w w:val="95"/>
        </w:rPr>
        <w:t xml:space="preserve">有 </w:t>
      </w:r>
      <w:r>
        <w:rPr>
          <w:rFonts w:hint="eastAsia" w:ascii="MS UI Gothic" w:eastAsia="MS UI Gothic"/>
          <w:w w:val="95"/>
        </w:rPr>
        <w:t xml:space="preserve">２ </w:t>
      </w:r>
      <w:r>
        <w:rPr>
          <w:w w:val="95"/>
        </w:rPr>
        <w:t>根罐道绳时</w:t>
      </w:r>
      <w:r>
        <w:rPr>
          <w:rFonts w:hint="eastAsia" w:ascii="MS UI Gothic" w:eastAsia="MS UI Gothic"/>
          <w:w w:val="75"/>
        </w:rPr>
        <w:t xml:space="preserve">ꎬ </w:t>
      </w:r>
      <w:r>
        <w:rPr>
          <w:w w:val="95"/>
        </w:rPr>
        <w:t>每根罐道绳的刚性系数不得小于</w:t>
      </w:r>
      <w:r>
        <w:rPr>
          <w:rFonts w:hint="eastAsia" w:ascii="MS UI Gothic" w:eastAsia="MS UI Gothic"/>
          <w:w w:val="95"/>
        </w:rPr>
        <w:t xml:space="preserve">１０００ Ｎ </w:t>
      </w:r>
      <w:r>
        <w:rPr>
          <w:rFonts w:hint="eastAsia" w:ascii="MS UI Gothic" w:eastAsia="MS UI Gothic"/>
          <w:w w:val="75"/>
        </w:rPr>
        <w:t xml:space="preserve">/ </w:t>
      </w:r>
      <w:r>
        <w:rPr>
          <w:rFonts w:hint="eastAsia" w:ascii="MS UI Gothic" w:eastAsia="MS UI Gothic"/>
          <w:w w:val="95"/>
        </w:rPr>
        <w:t>ｍ</w:t>
      </w:r>
      <w:r>
        <w:rPr>
          <w:rFonts w:hint="eastAsia" w:ascii="MS UI Gothic" w:eastAsia="MS UI Gothic"/>
          <w:w w:val="75"/>
        </w:rPr>
        <w:t xml:space="preserve">ꎬ </w:t>
      </w:r>
      <w:r>
        <w:rPr>
          <w:w w:val="95"/>
        </w:rPr>
        <w:t>各罐道绳的张紧力应当相等</w:t>
      </w:r>
      <w:r>
        <w:rPr>
          <w:rFonts w:hint="eastAsia" w:ascii="MS UI Gothic" w:eastAsia="MS UI Gothic"/>
          <w:w w:val="75"/>
        </w:rPr>
        <w:t>ꎮ</w:t>
      </w:r>
      <w:r>
        <w:rPr>
          <w:w w:val="95"/>
        </w:rPr>
        <w:t xml:space="preserve">单绳提升的 </w:t>
      </w:r>
      <w:r>
        <w:rPr>
          <w:rFonts w:hint="eastAsia" w:ascii="MS UI Gothic" w:eastAsia="MS UI Gothic"/>
          <w:w w:val="95"/>
        </w:rPr>
        <w:t xml:space="preserve">２ </w:t>
      </w:r>
      <w:r>
        <w:rPr>
          <w:w w:val="95"/>
        </w:rPr>
        <w:t>根主提升钢丝绳必须采用同一捻向或者阻旋转钢丝绳</w:t>
      </w:r>
      <w:r>
        <w:rPr>
          <w:rFonts w:hint="eastAsia" w:ascii="MS UI Gothic" w:eastAsia="MS UI Gothic"/>
          <w:w w:val="7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7"/>
        <w:ind w:left="0" w:firstLine="0"/>
        <w:jc w:val="left"/>
        <w:rPr>
          <w:rFonts w:ascii="MS UI Gothic"/>
          <w:sz w:val="10"/>
        </w:rPr>
      </w:pPr>
    </w:p>
    <w:p>
      <w:pPr>
        <w:pStyle w:val="6"/>
        <w:spacing w:before="174"/>
        <w:ind w:left="311" w:firstLine="0"/>
        <w:jc w:val="center"/>
        <w:rPr>
          <w:rFonts w:hint="eastAsia" w:ascii="MS UI Gothic" w:eastAsia="MS UI Gothic"/>
        </w:rPr>
      </w:pPr>
      <w:r>
        <w:rPr>
          <w:w w:val="95"/>
        </w:rPr>
        <w:t xml:space="preserve">表 </w:t>
      </w:r>
      <w:r>
        <w:rPr>
          <w:rFonts w:hint="eastAsia" w:ascii="MS UI Gothic" w:eastAsia="MS UI Gothic"/>
          <w:w w:val="95"/>
        </w:rPr>
        <w:t xml:space="preserve">７ </w:t>
      </w:r>
      <w:r>
        <w:rPr>
          <w:w w:val="95"/>
        </w:rPr>
        <w:t>立井提升容器间及提升容器与井壁</w:t>
      </w:r>
      <w:r>
        <w:rPr>
          <w:rFonts w:hint="eastAsia" w:ascii="Microsoft Yi Baiti" w:eastAsia="Microsoft Yi Baiti"/>
          <w:w w:val="95"/>
        </w:rPr>
        <w:t xml:space="preserve">、 </w:t>
      </w:r>
      <w:r>
        <w:rPr>
          <w:w w:val="95"/>
        </w:rPr>
        <w:t>罐道梁</w:t>
      </w:r>
      <w:r>
        <w:rPr>
          <w:rFonts w:hint="eastAsia" w:ascii="Microsoft Yi Baiti" w:eastAsia="Microsoft Yi Baiti"/>
          <w:w w:val="95"/>
        </w:rPr>
        <w:t xml:space="preserve">、 </w:t>
      </w:r>
      <w:r>
        <w:rPr>
          <w:w w:val="95"/>
        </w:rPr>
        <w:t xml:space="preserve">井梁间的最小间值 </w:t>
      </w:r>
      <w:r>
        <w:rPr>
          <w:rFonts w:hint="eastAsia" w:ascii="MS UI Gothic" w:eastAsia="MS UI Gothic"/>
          <w:w w:val="95"/>
        </w:rPr>
        <w:t>ｍｍ</w:t>
      </w:r>
    </w:p>
    <w:p>
      <w:pPr>
        <w:pStyle w:val="6"/>
        <w:spacing w:before="1"/>
        <w:ind w:left="0" w:firstLine="0"/>
        <w:jc w:val="left"/>
        <w:rPr>
          <w:rFonts w:ascii="MS UI Gothic"/>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955"/>
        <w:gridCol w:w="955"/>
        <w:gridCol w:w="955"/>
        <w:gridCol w:w="955"/>
        <w:gridCol w:w="955"/>
        <w:gridCol w:w="955"/>
        <w:gridCol w:w="2236"/>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1910" w:type="dxa"/>
            <w:gridSpan w:val="2"/>
            <w:tcBorders>
              <w:bottom w:val="single" w:color="231F20" w:sz="4" w:space="0"/>
              <w:right w:val="single" w:color="231F20" w:sz="4" w:space="0"/>
            </w:tcBorders>
          </w:tcPr>
          <w:p>
            <w:pPr>
              <w:pStyle w:val="11"/>
              <w:spacing w:before="4"/>
              <w:rPr>
                <w:rFonts w:ascii="MS UI Gothic"/>
                <w:sz w:val="16"/>
              </w:rPr>
            </w:pPr>
          </w:p>
          <w:p>
            <w:pPr>
              <w:pStyle w:val="11"/>
              <w:ind w:left="397"/>
              <w:rPr>
                <w:sz w:val="15"/>
              </w:rPr>
            </w:pPr>
            <w:r>
              <w:rPr>
                <w:w w:val="105"/>
                <w:sz w:val="15"/>
              </w:rPr>
              <w:t>罐道和井梁布置</w:t>
            </w:r>
          </w:p>
        </w:tc>
        <w:tc>
          <w:tcPr>
            <w:tcW w:w="955" w:type="dxa"/>
            <w:tcBorders>
              <w:left w:val="single" w:color="231F20" w:sz="4" w:space="0"/>
              <w:bottom w:val="single" w:color="231F20" w:sz="4" w:space="0"/>
              <w:right w:val="single" w:color="231F20" w:sz="4" w:space="0"/>
            </w:tcBorders>
          </w:tcPr>
          <w:p>
            <w:pPr>
              <w:pStyle w:val="11"/>
              <w:spacing w:before="10" w:line="260" w:lineRule="atLeast"/>
              <w:ind w:left="242" w:right="146" w:hanging="80"/>
              <w:rPr>
                <w:sz w:val="15"/>
              </w:rPr>
            </w:pPr>
            <w:r>
              <w:rPr>
                <w:w w:val="105"/>
                <w:sz w:val="15"/>
              </w:rPr>
              <w:t>容器与容器之间</w:t>
            </w:r>
          </w:p>
        </w:tc>
        <w:tc>
          <w:tcPr>
            <w:tcW w:w="955" w:type="dxa"/>
            <w:tcBorders>
              <w:left w:val="single" w:color="231F20" w:sz="4" w:space="0"/>
              <w:bottom w:val="single" w:color="231F20" w:sz="4" w:space="0"/>
              <w:right w:val="single" w:color="231F20" w:sz="4" w:space="0"/>
            </w:tcBorders>
          </w:tcPr>
          <w:p>
            <w:pPr>
              <w:pStyle w:val="11"/>
              <w:spacing w:before="10" w:line="260" w:lineRule="atLeast"/>
              <w:ind w:left="242" w:right="147" w:hanging="80"/>
              <w:rPr>
                <w:sz w:val="15"/>
              </w:rPr>
            </w:pPr>
            <w:r>
              <w:rPr>
                <w:w w:val="105"/>
                <w:sz w:val="15"/>
              </w:rPr>
              <w:t>容器与井壁之间</w:t>
            </w:r>
          </w:p>
        </w:tc>
        <w:tc>
          <w:tcPr>
            <w:tcW w:w="955" w:type="dxa"/>
            <w:tcBorders>
              <w:left w:val="single" w:color="231F20" w:sz="4" w:space="0"/>
              <w:bottom w:val="single" w:color="231F20" w:sz="4" w:space="0"/>
              <w:right w:val="single" w:color="231F20" w:sz="4" w:space="0"/>
            </w:tcBorders>
          </w:tcPr>
          <w:p>
            <w:pPr>
              <w:pStyle w:val="11"/>
              <w:spacing w:before="10" w:line="260" w:lineRule="atLeast"/>
              <w:ind w:left="163" w:right="147"/>
              <w:rPr>
                <w:sz w:val="15"/>
              </w:rPr>
            </w:pPr>
            <w:r>
              <w:rPr>
                <w:w w:val="105"/>
                <w:sz w:val="15"/>
              </w:rPr>
              <w:t>容器与罐道梁之间</w:t>
            </w:r>
          </w:p>
        </w:tc>
        <w:tc>
          <w:tcPr>
            <w:tcW w:w="955" w:type="dxa"/>
            <w:tcBorders>
              <w:left w:val="single" w:color="231F20" w:sz="4" w:space="0"/>
              <w:bottom w:val="single" w:color="231F20" w:sz="4" w:space="0"/>
              <w:right w:val="single" w:color="231F20" w:sz="4" w:space="0"/>
            </w:tcBorders>
          </w:tcPr>
          <w:p>
            <w:pPr>
              <w:pStyle w:val="11"/>
              <w:spacing w:before="10" w:line="260" w:lineRule="atLeast"/>
              <w:ind w:left="242" w:right="147" w:hanging="80"/>
              <w:rPr>
                <w:sz w:val="15"/>
              </w:rPr>
            </w:pPr>
            <w:r>
              <w:rPr>
                <w:w w:val="105"/>
                <w:sz w:val="15"/>
              </w:rPr>
              <w:t>容器与井梁之间</w:t>
            </w:r>
          </w:p>
        </w:tc>
        <w:tc>
          <w:tcPr>
            <w:tcW w:w="2236" w:type="dxa"/>
            <w:tcBorders>
              <w:left w:val="single" w:color="231F20" w:sz="4" w:space="0"/>
              <w:bottom w:val="single" w:color="231F20" w:sz="4" w:space="0"/>
            </w:tcBorders>
          </w:tcPr>
          <w:p>
            <w:pPr>
              <w:pStyle w:val="11"/>
              <w:spacing w:before="4"/>
              <w:rPr>
                <w:rFonts w:ascii="MS UI Gothic"/>
                <w:sz w:val="16"/>
              </w:rPr>
            </w:pPr>
          </w:p>
          <w:p>
            <w:pPr>
              <w:pStyle w:val="11"/>
              <w:ind w:left="169" w:right="152"/>
              <w:jc w:val="center"/>
              <w:rPr>
                <w:sz w:val="15"/>
              </w:rPr>
            </w:pPr>
            <w:r>
              <w:rPr>
                <w:w w:val="105"/>
                <w:sz w:val="15"/>
              </w:rPr>
              <w:t>备  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910" w:type="dxa"/>
            <w:gridSpan w:val="2"/>
            <w:tcBorders>
              <w:top w:val="single" w:color="231F20" w:sz="4" w:space="0"/>
              <w:bottom w:val="single" w:color="231F20" w:sz="4" w:space="0"/>
              <w:right w:val="single" w:color="231F20" w:sz="4" w:space="0"/>
            </w:tcBorders>
          </w:tcPr>
          <w:p>
            <w:pPr>
              <w:pStyle w:val="11"/>
              <w:spacing w:before="15" w:line="260" w:lineRule="atLeast"/>
              <w:ind w:left="556" w:right="544" w:firstLine="79"/>
              <w:rPr>
                <w:sz w:val="15"/>
              </w:rPr>
            </w:pPr>
            <w:r>
              <w:rPr>
                <w:w w:val="105"/>
                <w:sz w:val="15"/>
              </w:rPr>
              <w:t>罐道布置在容器一侧</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361"/>
              <w:rPr>
                <w:rFonts w:hint="eastAsia" w:ascii="MS UI Gothic" w:eastAsia="MS UI Gothic"/>
                <w:sz w:val="15"/>
              </w:rPr>
            </w:pPr>
            <w:r>
              <w:rPr>
                <w:rFonts w:hint="eastAsia" w:ascii="MS UI Gothic" w:eastAsia="MS UI Gothic"/>
                <w:w w:val="85"/>
                <w:sz w:val="15"/>
              </w:rPr>
              <w:t>２００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0" w:right="130"/>
              <w:jc w:val="center"/>
              <w:rPr>
                <w:rFonts w:hint="eastAsia" w:ascii="MS UI Gothic" w:eastAsia="MS UI Gothic"/>
                <w:sz w:val="15"/>
              </w:rPr>
            </w:pPr>
            <w:r>
              <w:rPr>
                <w:rFonts w:hint="eastAsia" w:ascii="MS UI Gothic" w:eastAsia="MS UI Gothic"/>
                <w:w w:val="85"/>
                <w:sz w:val="15"/>
              </w:rPr>
              <w:t>１５０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39" w:right="130"/>
              <w:jc w:val="center"/>
              <w:rPr>
                <w:rFonts w:hint="eastAsia" w:ascii="MS UI Gothic" w:eastAsia="MS UI Gothic"/>
                <w:sz w:val="15"/>
              </w:rPr>
            </w:pPr>
            <w:r>
              <w:rPr>
                <w:rFonts w:hint="eastAsia" w:ascii="MS UI Gothic" w:eastAsia="MS UI Gothic"/>
                <w:w w:val="85"/>
                <w:sz w:val="15"/>
              </w:rPr>
              <w:t>４０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349"/>
              <w:jc w:val="right"/>
              <w:rPr>
                <w:rFonts w:hint="eastAsia" w:ascii="MS UI Gothic" w:eastAsia="MS UI Gothic"/>
                <w:sz w:val="15"/>
              </w:rPr>
            </w:pPr>
            <w:r>
              <w:rPr>
                <w:rFonts w:hint="eastAsia" w:ascii="MS UI Gothic" w:eastAsia="MS UI Gothic"/>
                <w:w w:val="75"/>
                <w:sz w:val="15"/>
              </w:rPr>
              <w:t>１５０</w:t>
            </w:r>
          </w:p>
        </w:tc>
        <w:tc>
          <w:tcPr>
            <w:tcW w:w="2236" w:type="dxa"/>
            <w:tcBorders>
              <w:top w:val="single" w:color="231F20" w:sz="4" w:space="0"/>
              <w:left w:val="single" w:color="231F20" w:sz="4" w:space="0"/>
              <w:bottom w:val="single" w:color="231F20" w:sz="4" w:space="0"/>
            </w:tcBorders>
          </w:tcPr>
          <w:p>
            <w:pPr>
              <w:pStyle w:val="11"/>
              <w:spacing w:before="214"/>
              <w:ind w:left="247" w:right="152"/>
              <w:jc w:val="center"/>
              <w:rPr>
                <w:rFonts w:hint="eastAsia" w:ascii="MS UI Gothic" w:eastAsia="MS UI Gothic"/>
                <w:sz w:val="15"/>
              </w:rPr>
            </w:pPr>
            <w:r>
              <w:rPr>
                <w:sz w:val="15"/>
              </w:rPr>
              <w:t xml:space="preserve">罐耳与罐道卡子之间为 </w:t>
            </w:r>
            <w:r>
              <w:rPr>
                <w:rFonts w:hint="eastAsia" w:ascii="MS UI Gothic" w:eastAsia="MS UI Gothic"/>
                <w:sz w:val="15"/>
              </w:rPr>
              <w:t>２０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955" w:type="dxa"/>
            <w:tcBorders>
              <w:top w:val="single" w:color="231F20" w:sz="4" w:space="0"/>
              <w:bottom w:val="single" w:color="231F20" w:sz="4" w:space="0"/>
              <w:right w:val="single" w:color="231F20" w:sz="4" w:space="0"/>
            </w:tcBorders>
          </w:tcPr>
          <w:p>
            <w:pPr>
              <w:pStyle w:val="11"/>
              <w:spacing w:before="11"/>
              <w:rPr>
                <w:rFonts w:ascii="MS UI Gothic"/>
                <w:sz w:val="18"/>
              </w:rPr>
            </w:pPr>
          </w:p>
          <w:p>
            <w:pPr>
              <w:pStyle w:val="11"/>
              <w:spacing w:line="328" w:lineRule="auto"/>
              <w:ind w:left="158" w:right="67" w:hanging="80"/>
              <w:rPr>
                <w:sz w:val="15"/>
              </w:rPr>
            </w:pPr>
            <w:r>
              <w:rPr>
                <w:w w:val="105"/>
                <w:sz w:val="15"/>
              </w:rPr>
              <w:t>罐道布置在容器两侧</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11"/>
              <w:rPr>
                <w:rFonts w:ascii="MS UI Gothic"/>
                <w:sz w:val="18"/>
              </w:rPr>
            </w:pPr>
          </w:p>
          <w:p>
            <w:pPr>
              <w:pStyle w:val="11"/>
              <w:spacing w:line="328" w:lineRule="auto"/>
              <w:ind w:left="243" w:right="226"/>
              <w:rPr>
                <w:sz w:val="15"/>
              </w:rPr>
            </w:pPr>
            <w:r>
              <w:rPr>
                <w:w w:val="105"/>
                <w:sz w:val="15"/>
              </w:rPr>
              <w:t>木罐道钢罐道</w:t>
            </w:r>
          </w:p>
        </w:tc>
        <w:tc>
          <w:tcPr>
            <w:tcW w:w="955" w:type="dxa"/>
            <w:tcBorders>
              <w:top w:val="single" w:color="231F20" w:sz="4" w:space="0"/>
              <w:left w:val="single" w:color="231F20" w:sz="4" w:space="0"/>
              <w:bottom w:val="single" w:color="231F20" w:sz="4" w:space="0"/>
              <w:right w:val="single" w:color="231F20" w:sz="4" w:space="0"/>
            </w:tcBorders>
          </w:tcPr>
          <w:p>
            <w:pPr>
              <w:pStyle w:val="11"/>
              <w:rPr>
                <w:rFonts w:ascii="Times New Roman"/>
                <w:sz w:val="18"/>
              </w:rPr>
            </w:pP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41"/>
              <w:ind w:left="140" w:right="130"/>
              <w:jc w:val="center"/>
              <w:rPr>
                <w:rFonts w:hint="eastAsia" w:ascii="MS UI Gothic" w:eastAsia="MS UI Gothic"/>
                <w:sz w:val="15"/>
              </w:rPr>
            </w:pPr>
            <w:r>
              <w:rPr>
                <w:rFonts w:hint="eastAsia" w:ascii="MS UI Gothic" w:eastAsia="MS UI Gothic"/>
                <w:w w:val="85"/>
                <w:sz w:val="15"/>
              </w:rPr>
              <w:t>２００</w:t>
            </w:r>
          </w:p>
          <w:p>
            <w:pPr>
              <w:pStyle w:val="11"/>
              <w:spacing w:before="72"/>
              <w:ind w:left="140" w:right="130"/>
              <w:jc w:val="center"/>
              <w:rPr>
                <w:rFonts w:hint="eastAsia" w:ascii="MS UI Gothic" w:eastAsia="MS UI Gothic"/>
                <w:sz w:val="15"/>
              </w:rPr>
            </w:pPr>
            <w:r>
              <w:rPr>
                <w:rFonts w:hint="eastAsia" w:ascii="MS UI Gothic" w:eastAsia="MS UI Gothic"/>
                <w:w w:val="85"/>
                <w:sz w:val="15"/>
              </w:rPr>
              <w:t>１５０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41"/>
              <w:ind w:left="139" w:right="130"/>
              <w:jc w:val="center"/>
              <w:rPr>
                <w:rFonts w:hint="eastAsia" w:ascii="MS UI Gothic" w:eastAsia="MS UI Gothic"/>
                <w:sz w:val="15"/>
              </w:rPr>
            </w:pPr>
            <w:r>
              <w:rPr>
                <w:rFonts w:hint="eastAsia" w:ascii="MS UI Gothic" w:eastAsia="MS UI Gothic"/>
                <w:w w:val="85"/>
                <w:sz w:val="15"/>
              </w:rPr>
              <w:t>５０</w:t>
            </w:r>
          </w:p>
          <w:p>
            <w:pPr>
              <w:pStyle w:val="11"/>
              <w:spacing w:before="72"/>
              <w:ind w:left="139" w:right="130"/>
              <w:jc w:val="center"/>
              <w:rPr>
                <w:rFonts w:hint="eastAsia" w:ascii="MS UI Gothic" w:eastAsia="MS UI Gothic"/>
                <w:sz w:val="15"/>
              </w:rPr>
            </w:pPr>
            <w:r>
              <w:rPr>
                <w:rFonts w:hint="eastAsia" w:ascii="MS UI Gothic" w:eastAsia="MS UI Gothic"/>
                <w:w w:val="85"/>
                <w:sz w:val="15"/>
              </w:rPr>
              <w:t>４０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41"/>
              <w:ind w:left="139" w:right="130"/>
              <w:jc w:val="center"/>
              <w:rPr>
                <w:rFonts w:hint="eastAsia" w:ascii="MS UI Gothic" w:eastAsia="MS UI Gothic"/>
                <w:sz w:val="15"/>
              </w:rPr>
            </w:pPr>
            <w:r>
              <w:rPr>
                <w:rFonts w:hint="eastAsia" w:ascii="MS UI Gothic" w:eastAsia="MS UI Gothic"/>
                <w:w w:val="85"/>
                <w:sz w:val="15"/>
              </w:rPr>
              <w:t>２００</w:t>
            </w:r>
          </w:p>
          <w:p>
            <w:pPr>
              <w:pStyle w:val="11"/>
              <w:spacing w:before="72"/>
              <w:ind w:left="139" w:right="130"/>
              <w:jc w:val="center"/>
              <w:rPr>
                <w:rFonts w:hint="eastAsia" w:ascii="MS UI Gothic" w:eastAsia="MS UI Gothic"/>
                <w:sz w:val="15"/>
              </w:rPr>
            </w:pPr>
            <w:r>
              <w:rPr>
                <w:rFonts w:hint="eastAsia" w:ascii="MS UI Gothic" w:eastAsia="MS UI Gothic"/>
                <w:w w:val="85"/>
                <w:sz w:val="15"/>
              </w:rPr>
              <w:t>１５０</w:t>
            </w:r>
          </w:p>
        </w:tc>
        <w:tc>
          <w:tcPr>
            <w:tcW w:w="2236" w:type="dxa"/>
            <w:tcBorders>
              <w:top w:val="single" w:color="231F20" w:sz="4" w:space="0"/>
              <w:left w:val="single" w:color="231F20" w:sz="4" w:space="0"/>
              <w:bottom w:val="single" w:color="231F20" w:sz="4" w:space="0"/>
            </w:tcBorders>
          </w:tcPr>
          <w:p>
            <w:pPr>
              <w:pStyle w:val="11"/>
              <w:spacing w:before="241" w:line="328" w:lineRule="auto"/>
              <w:ind w:left="108" w:right="88" w:firstLine="159"/>
              <w:rPr>
                <w:rFonts w:hint="eastAsia" w:ascii="MS UI Gothic" w:eastAsia="MS UI Gothic"/>
                <w:sz w:val="15"/>
              </w:rPr>
            </w:pPr>
            <w:r>
              <w:rPr>
                <w:sz w:val="15"/>
              </w:rPr>
              <w:t>有卸载滑轮的容器</w:t>
            </w:r>
            <w:r>
              <w:rPr>
                <w:rFonts w:hint="eastAsia" w:ascii="MS UI Gothic" w:eastAsia="MS UI Gothic"/>
                <w:w w:val="85"/>
                <w:sz w:val="15"/>
              </w:rPr>
              <w:t xml:space="preserve">ꎬ </w:t>
            </w:r>
            <w:r>
              <w:rPr>
                <w:sz w:val="15"/>
              </w:rPr>
              <w:t xml:space="preserve">滑轮与罐道梁间隙增加 </w:t>
            </w:r>
            <w:r>
              <w:rPr>
                <w:rFonts w:hint="eastAsia" w:ascii="MS UI Gothic" w:eastAsia="MS UI Gothic"/>
                <w:sz w:val="15"/>
              </w:rPr>
              <w:t>２５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955" w:type="dxa"/>
            <w:tcBorders>
              <w:top w:val="single" w:color="231F20" w:sz="4" w:space="0"/>
              <w:bottom w:val="single" w:color="231F20" w:sz="4" w:space="0"/>
              <w:right w:val="single" w:color="231F20" w:sz="4" w:space="0"/>
            </w:tcBorders>
          </w:tcPr>
          <w:p>
            <w:pPr>
              <w:pStyle w:val="11"/>
              <w:spacing w:before="11"/>
              <w:rPr>
                <w:rFonts w:ascii="MS UI Gothic"/>
                <w:sz w:val="18"/>
              </w:rPr>
            </w:pPr>
          </w:p>
          <w:p>
            <w:pPr>
              <w:pStyle w:val="11"/>
              <w:spacing w:line="328" w:lineRule="auto"/>
              <w:ind w:left="158" w:right="67" w:hanging="80"/>
              <w:rPr>
                <w:sz w:val="15"/>
              </w:rPr>
            </w:pPr>
            <w:r>
              <w:rPr>
                <w:w w:val="105"/>
                <w:sz w:val="15"/>
              </w:rPr>
              <w:t>罐道布置在容器正面</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11"/>
              <w:rPr>
                <w:rFonts w:ascii="MS UI Gothic"/>
                <w:sz w:val="18"/>
              </w:rPr>
            </w:pPr>
          </w:p>
          <w:p>
            <w:pPr>
              <w:pStyle w:val="11"/>
              <w:spacing w:line="328" w:lineRule="auto"/>
              <w:ind w:left="243" w:right="226"/>
              <w:rPr>
                <w:sz w:val="15"/>
              </w:rPr>
            </w:pPr>
            <w:r>
              <w:rPr>
                <w:w w:val="105"/>
                <w:sz w:val="15"/>
              </w:rPr>
              <w:t>木罐道钢罐道</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41"/>
              <w:ind w:left="140" w:right="130"/>
              <w:jc w:val="center"/>
              <w:rPr>
                <w:rFonts w:hint="eastAsia" w:ascii="MS UI Gothic" w:eastAsia="MS UI Gothic"/>
                <w:sz w:val="15"/>
              </w:rPr>
            </w:pPr>
            <w:r>
              <w:rPr>
                <w:rFonts w:hint="eastAsia" w:ascii="MS UI Gothic" w:eastAsia="MS UI Gothic"/>
                <w:w w:val="85"/>
                <w:sz w:val="15"/>
              </w:rPr>
              <w:t>２００</w:t>
            </w:r>
          </w:p>
          <w:p>
            <w:pPr>
              <w:pStyle w:val="11"/>
              <w:spacing w:before="72"/>
              <w:ind w:left="140" w:right="130"/>
              <w:jc w:val="center"/>
              <w:rPr>
                <w:rFonts w:hint="eastAsia" w:ascii="MS UI Gothic" w:eastAsia="MS UI Gothic"/>
                <w:sz w:val="15"/>
              </w:rPr>
            </w:pPr>
            <w:r>
              <w:rPr>
                <w:rFonts w:hint="eastAsia" w:ascii="MS UI Gothic" w:eastAsia="MS UI Gothic"/>
                <w:w w:val="85"/>
                <w:sz w:val="15"/>
              </w:rPr>
              <w:t>２００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41"/>
              <w:ind w:left="140" w:right="130"/>
              <w:jc w:val="center"/>
              <w:rPr>
                <w:rFonts w:hint="eastAsia" w:ascii="MS UI Gothic" w:eastAsia="MS UI Gothic"/>
                <w:sz w:val="15"/>
              </w:rPr>
            </w:pPr>
            <w:r>
              <w:rPr>
                <w:rFonts w:hint="eastAsia" w:ascii="MS UI Gothic" w:eastAsia="MS UI Gothic"/>
                <w:w w:val="85"/>
                <w:sz w:val="15"/>
              </w:rPr>
              <w:t>２００</w:t>
            </w:r>
          </w:p>
          <w:p>
            <w:pPr>
              <w:pStyle w:val="11"/>
              <w:spacing w:before="72"/>
              <w:ind w:left="140" w:right="130"/>
              <w:jc w:val="center"/>
              <w:rPr>
                <w:rFonts w:hint="eastAsia" w:ascii="MS UI Gothic" w:eastAsia="MS UI Gothic"/>
                <w:sz w:val="15"/>
              </w:rPr>
            </w:pPr>
            <w:r>
              <w:rPr>
                <w:rFonts w:hint="eastAsia" w:ascii="MS UI Gothic" w:eastAsia="MS UI Gothic"/>
                <w:w w:val="85"/>
                <w:sz w:val="15"/>
              </w:rPr>
              <w:t>１５０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41"/>
              <w:ind w:left="139" w:right="130"/>
              <w:jc w:val="center"/>
              <w:rPr>
                <w:rFonts w:hint="eastAsia" w:ascii="MS UI Gothic" w:eastAsia="MS UI Gothic"/>
                <w:sz w:val="15"/>
              </w:rPr>
            </w:pPr>
            <w:r>
              <w:rPr>
                <w:rFonts w:hint="eastAsia" w:ascii="MS UI Gothic" w:eastAsia="MS UI Gothic"/>
                <w:w w:val="85"/>
                <w:sz w:val="15"/>
              </w:rPr>
              <w:t>５０</w:t>
            </w:r>
          </w:p>
          <w:p>
            <w:pPr>
              <w:pStyle w:val="11"/>
              <w:spacing w:before="72"/>
              <w:ind w:left="139" w:right="130"/>
              <w:jc w:val="center"/>
              <w:rPr>
                <w:rFonts w:hint="eastAsia" w:ascii="MS UI Gothic" w:eastAsia="MS UI Gothic"/>
                <w:sz w:val="15"/>
              </w:rPr>
            </w:pPr>
            <w:r>
              <w:rPr>
                <w:rFonts w:hint="eastAsia" w:ascii="MS UI Gothic" w:eastAsia="MS UI Gothic"/>
                <w:w w:val="85"/>
                <w:sz w:val="15"/>
              </w:rPr>
              <w:t>４０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41"/>
              <w:ind w:left="139" w:right="130"/>
              <w:jc w:val="center"/>
              <w:rPr>
                <w:rFonts w:hint="eastAsia" w:ascii="MS UI Gothic" w:eastAsia="MS UI Gothic"/>
                <w:sz w:val="15"/>
              </w:rPr>
            </w:pPr>
            <w:r>
              <w:rPr>
                <w:rFonts w:hint="eastAsia" w:ascii="MS UI Gothic" w:eastAsia="MS UI Gothic"/>
                <w:w w:val="85"/>
                <w:sz w:val="15"/>
              </w:rPr>
              <w:t>２００</w:t>
            </w:r>
          </w:p>
          <w:p>
            <w:pPr>
              <w:pStyle w:val="11"/>
              <w:spacing w:before="72"/>
              <w:ind w:left="139" w:right="130"/>
              <w:jc w:val="center"/>
              <w:rPr>
                <w:rFonts w:hint="eastAsia" w:ascii="MS UI Gothic" w:eastAsia="MS UI Gothic"/>
                <w:sz w:val="15"/>
              </w:rPr>
            </w:pPr>
            <w:r>
              <w:rPr>
                <w:rFonts w:hint="eastAsia" w:ascii="MS UI Gothic" w:eastAsia="MS UI Gothic"/>
                <w:w w:val="85"/>
                <w:sz w:val="15"/>
              </w:rPr>
              <w:t>１５０</w:t>
            </w:r>
          </w:p>
        </w:tc>
        <w:tc>
          <w:tcPr>
            <w:tcW w:w="2236" w:type="dxa"/>
            <w:tcBorders>
              <w:top w:val="single" w:color="231F20" w:sz="4" w:space="0"/>
              <w:left w:val="single" w:color="231F20" w:sz="4" w:space="0"/>
              <w:bottom w:val="single" w:color="231F20" w:sz="4" w:space="0"/>
            </w:tcBorders>
          </w:tcPr>
          <w:p>
            <w:pPr>
              <w:pStyle w:val="11"/>
              <w:rPr>
                <w:rFonts w:ascii="Times New Roman"/>
                <w:sz w:val="1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1910" w:type="dxa"/>
            <w:gridSpan w:val="2"/>
            <w:tcBorders>
              <w:top w:val="single" w:color="231F20" w:sz="4" w:space="0"/>
              <w:right w:val="single" w:color="231F20" w:sz="4" w:space="0"/>
            </w:tcBorders>
          </w:tcPr>
          <w:p>
            <w:pPr>
              <w:pStyle w:val="11"/>
              <w:spacing w:before="9"/>
              <w:rPr>
                <w:rFonts w:ascii="MS UI Gothic"/>
                <w:sz w:val="16"/>
              </w:rPr>
            </w:pPr>
          </w:p>
          <w:p>
            <w:pPr>
              <w:pStyle w:val="11"/>
              <w:ind w:left="556"/>
              <w:rPr>
                <w:sz w:val="15"/>
              </w:rPr>
            </w:pPr>
            <w:r>
              <w:rPr>
                <w:w w:val="105"/>
                <w:sz w:val="15"/>
              </w:rPr>
              <w:t>钢丝绳罐道</w:t>
            </w:r>
          </w:p>
        </w:tc>
        <w:tc>
          <w:tcPr>
            <w:tcW w:w="955" w:type="dxa"/>
            <w:tcBorders>
              <w:top w:val="single" w:color="231F20" w:sz="4" w:space="0"/>
              <w:left w:val="single" w:color="231F20" w:sz="4" w:space="0"/>
              <w:right w:val="single" w:color="231F20" w:sz="4" w:space="0"/>
            </w:tcBorders>
          </w:tcPr>
          <w:p>
            <w:pPr>
              <w:pStyle w:val="11"/>
              <w:spacing w:before="214"/>
              <w:ind w:left="361"/>
              <w:rPr>
                <w:rFonts w:hint="eastAsia" w:ascii="MS UI Gothic" w:eastAsia="MS UI Gothic"/>
                <w:sz w:val="15"/>
              </w:rPr>
            </w:pPr>
            <w:r>
              <w:rPr>
                <w:rFonts w:hint="eastAsia" w:ascii="MS UI Gothic" w:eastAsia="MS UI Gothic"/>
                <w:w w:val="85"/>
                <w:sz w:val="15"/>
              </w:rPr>
              <w:t>５００</w:t>
            </w:r>
          </w:p>
        </w:tc>
        <w:tc>
          <w:tcPr>
            <w:tcW w:w="955" w:type="dxa"/>
            <w:tcBorders>
              <w:top w:val="single" w:color="231F20" w:sz="4" w:space="0"/>
              <w:left w:val="single" w:color="231F20" w:sz="4" w:space="0"/>
              <w:right w:val="single" w:color="231F20" w:sz="4" w:space="0"/>
            </w:tcBorders>
          </w:tcPr>
          <w:p>
            <w:pPr>
              <w:pStyle w:val="11"/>
              <w:spacing w:before="214"/>
              <w:ind w:left="140" w:right="130"/>
              <w:jc w:val="center"/>
              <w:rPr>
                <w:rFonts w:hint="eastAsia" w:ascii="MS UI Gothic" w:eastAsia="MS UI Gothic"/>
                <w:sz w:val="15"/>
              </w:rPr>
            </w:pPr>
            <w:r>
              <w:rPr>
                <w:rFonts w:hint="eastAsia" w:ascii="MS UI Gothic" w:eastAsia="MS UI Gothic"/>
                <w:w w:val="85"/>
                <w:sz w:val="15"/>
              </w:rPr>
              <w:t>３５０</w:t>
            </w:r>
          </w:p>
        </w:tc>
        <w:tc>
          <w:tcPr>
            <w:tcW w:w="955" w:type="dxa"/>
            <w:tcBorders>
              <w:top w:val="single" w:color="231F20" w:sz="4" w:space="0"/>
              <w:left w:val="single" w:color="231F20" w:sz="4" w:space="0"/>
              <w:right w:val="single" w:color="231F20" w:sz="4" w:space="0"/>
            </w:tcBorders>
          </w:tcPr>
          <w:p>
            <w:pPr>
              <w:pStyle w:val="11"/>
              <w:rPr>
                <w:rFonts w:ascii="Times New Roman"/>
                <w:sz w:val="18"/>
              </w:rPr>
            </w:pPr>
          </w:p>
        </w:tc>
        <w:tc>
          <w:tcPr>
            <w:tcW w:w="955" w:type="dxa"/>
            <w:tcBorders>
              <w:top w:val="single" w:color="231F20" w:sz="4" w:space="0"/>
              <w:left w:val="single" w:color="231F20" w:sz="4" w:space="0"/>
              <w:right w:val="single" w:color="231F20" w:sz="4" w:space="0"/>
            </w:tcBorders>
          </w:tcPr>
          <w:p>
            <w:pPr>
              <w:pStyle w:val="11"/>
              <w:spacing w:before="214"/>
              <w:ind w:right="349"/>
              <w:jc w:val="right"/>
              <w:rPr>
                <w:rFonts w:hint="eastAsia" w:ascii="MS UI Gothic" w:eastAsia="MS UI Gothic"/>
                <w:sz w:val="15"/>
              </w:rPr>
            </w:pPr>
            <w:r>
              <w:rPr>
                <w:rFonts w:hint="eastAsia" w:ascii="MS UI Gothic" w:eastAsia="MS UI Gothic"/>
                <w:w w:val="75"/>
                <w:sz w:val="15"/>
              </w:rPr>
              <w:t>３５０</w:t>
            </w:r>
          </w:p>
        </w:tc>
        <w:tc>
          <w:tcPr>
            <w:tcW w:w="2236" w:type="dxa"/>
            <w:tcBorders>
              <w:top w:val="single" w:color="231F20" w:sz="4" w:space="0"/>
              <w:left w:val="single" w:color="231F20" w:sz="4" w:space="0"/>
            </w:tcBorders>
          </w:tcPr>
          <w:p>
            <w:pPr>
              <w:pStyle w:val="11"/>
              <w:spacing w:before="15" w:line="260" w:lineRule="atLeast"/>
              <w:ind w:left="108" w:right="88" w:firstLine="159"/>
              <w:rPr>
                <w:rFonts w:hint="eastAsia" w:ascii="MS UI Gothic" w:eastAsia="MS UI Gothic"/>
                <w:sz w:val="15"/>
              </w:rPr>
            </w:pPr>
            <w:r>
              <w:rPr>
                <w:w w:val="95"/>
                <w:sz w:val="15"/>
              </w:rPr>
              <w:t>设防撞绳时</w:t>
            </w:r>
            <w:r>
              <w:rPr>
                <w:rFonts w:hint="eastAsia" w:ascii="MS UI Gothic" w:eastAsia="MS UI Gothic"/>
                <w:w w:val="90"/>
                <w:sz w:val="15"/>
              </w:rPr>
              <w:t xml:space="preserve">ꎬ </w:t>
            </w:r>
            <w:r>
              <w:rPr>
                <w:w w:val="95"/>
                <w:sz w:val="15"/>
              </w:rPr>
              <w:t xml:space="preserve">容器之间最小间隙为 </w:t>
            </w:r>
            <w:r>
              <w:rPr>
                <w:rFonts w:hint="eastAsia" w:ascii="MS UI Gothic" w:eastAsia="MS UI Gothic"/>
                <w:w w:val="95"/>
                <w:sz w:val="15"/>
              </w:rPr>
              <w:t>２００</w:t>
            </w:r>
          </w:p>
        </w:tc>
      </w:tr>
    </w:tbl>
    <w:p>
      <w:pPr>
        <w:pStyle w:val="6"/>
        <w:spacing w:before="3"/>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174" w:line="292" w:lineRule="auto"/>
        <w:ind w:left="440" w:firstLine="471"/>
        <w:rPr>
          <w:rFonts w:hint="eastAsia" w:ascii="MS UI Gothic" w:eastAsia="MS UI Gothic"/>
        </w:rPr>
      </w:pPr>
      <w:r>
        <w:t xml:space="preserve">第三百九十九条 应当每年检查 </w:t>
      </w:r>
      <w:r>
        <w:rPr>
          <w:rFonts w:hint="eastAsia" w:ascii="MS UI Gothic" w:eastAsia="MS UI Gothic"/>
          <w:w w:val="80"/>
        </w:rPr>
        <w:t xml:space="preserve">１ </w:t>
      </w:r>
      <w:r>
        <w:t>次金属井架</w:t>
      </w:r>
      <w:r>
        <w:rPr>
          <w:rFonts w:hint="eastAsia" w:ascii="MS UI Gothic" w:eastAsia="MS UI Gothic"/>
          <w:w w:val="80"/>
        </w:rPr>
        <w:t xml:space="preserve">、 </w:t>
      </w:r>
      <w:r>
        <w:t>井筒罐道梁和其他装备的固定和锈蚀情况</w:t>
      </w:r>
      <w:r>
        <w:rPr>
          <w:rFonts w:hint="eastAsia" w:ascii="MS UI Gothic" w:eastAsia="MS UI Gothic"/>
          <w:w w:val="80"/>
        </w:rPr>
        <w:t xml:space="preserve">ꎬ </w:t>
      </w:r>
      <w:r>
        <w:t>发现松动及时加固</w:t>
      </w:r>
      <w:r>
        <w:rPr>
          <w:rFonts w:hint="eastAsia" w:ascii="MS UI Gothic" w:eastAsia="MS UI Gothic"/>
          <w:w w:val="80"/>
        </w:rPr>
        <w:t xml:space="preserve">ꎬ </w:t>
      </w:r>
      <w:r>
        <w:t>发现防腐层剥落及时补刷防腐剂</w:t>
      </w:r>
      <w:r>
        <w:rPr>
          <w:rFonts w:hint="eastAsia" w:ascii="MS UI Gothic" w:eastAsia="MS UI Gothic"/>
          <w:w w:val="80"/>
        </w:rPr>
        <w:t xml:space="preserve">ꎮ </w:t>
      </w:r>
      <w:r>
        <w:t>检查和处理结果应当详细记录</w:t>
      </w:r>
      <w:r>
        <w:rPr>
          <w:rFonts w:hint="eastAsia" w:ascii="MS UI Gothic" w:eastAsia="MS UI Gothic"/>
          <w:w w:val="80"/>
        </w:rPr>
        <w:t>ꎮ</w:t>
      </w:r>
    </w:p>
    <w:p>
      <w:pPr>
        <w:pStyle w:val="6"/>
        <w:spacing w:line="290" w:lineRule="auto"/>
        <w:ind w:left="440"/>
        <w:rPr>
          <w:rFonts w:hint="eastAsia" w:ascii="MS UI Gothic" w:eastAsia="MS UI Gothic"/>
        </w:rPr>
      </w:pPr>
      <w:r>
        <w:t>建井用金属井架</w:t>
      </w:r>
      <w:r>
        <w:rPr>
          <w:rFonts w:hint="eastAsia" w:ascii="MS UI Gothic" w:eastAsia="MS UI Gothic"/>
          <w:w w:val="80"/>
        </w:rPr>
        <w:t xml:space="preserve">ꎬ </w:t>
      </w:r>
      <w:r>
        <w:t>每次移设后都应当涂防腐剂</w:t>
      </w:r>
      <w:r>
        <w:rPr>
          <w:rFonts w:hint="eastAsia" w:ascii="MS UI Gothic" w:eastAsia="MS UI Gothic"/>
          <w:w w:val="80"/>
        </w:rPr>
        <w:t>ꎮ</w:t>
      </w:r>
    </w:p>
    <w:p>
      <w:pPr>
        <w:pStyle w:val="6"/>
        <w:spacing w:line="292" w:lineRule="auto"/>
        <w:ind w:left="440"/>
        <w:rPr>
          <w:rFonts w:hint="eastAsia" w:ascii="MS UI Gothic" w:eastAsia="MS UI Gothic"/>
        </w:rPr>
      </w:pPr>
      <w:r>
        <w:t xml:space="preserve">第四百条 提升系统各部分每天必须由专职人员至少检查 </w:t>
      </w:r>
      <w:r>
        <w:rPr>
          <w:rFonts w:hint="eastAsia" w:ascii="MS UI Gothic" w:eastAsia="MS UI Gothic"/>
          <w:w w:val="80"/>
        </w:rPr>
        <w:t xml:space="preserve">１ </w:t>
      </w:r>
      <w:r>
        <w:t>次</w:t>
      </w:r>
      <w:r>
        <w:rPr>
          <w:rFonts w:hint="eastAsia" w:ascii="MS UI Gothic" w:eastAsia="MS UI Gothic"/>
          <w:w w:val="80"/>
        </w:rPr>
        <w:t xml:space="preserve">ꎬ </w:t>
      </w:r>
      <w:r>
        <w:t xml:space="preserve">每月还必须组织有关人员至少进行 </w:t>
      </w:r>
      <w:r>
        <w:rPr>
          <w:rFonts w:hint="eastAsia" w:ascii="MS UI Gothic" w:eastAsia="MS UI Gothic"/>
          <w:w w:val="80"/>
        </w:rPr>
        <w:t xml:space="preserve">１ </w:t>
      </w:r>
      <w:r>
        <w:t>次全面检查</w:t>
      </w:r>
      <w:r>
        <w:rPr>
          <w:rFonts w:hint="eastAsia" w:ascii="MS UI Gothic" w:eastAsia="MS UI Gothic"/>
          <w:w w:val="80"/>
        </w:rPr>
        <w:t xml:space="preserve">ꎮ </w:t>
      </w:r>
      <w:r>
        <w:t>检查中发现问题</w:t>
      </w:r>
      <w:r>
        <w:rPr>
          <w:rFonts w:hint="eastAsia" w:ascii="MS UI Gothic" w:eastAsia="MS UI Gothic"/>
          <w:w w:val="80"/>
        </w:rPr>
        <w:t xml:space="preserve">ꎬ </w:t>
      </w:r>
      <w:r>
        <w:t>必须立即处理</w:t>
      </w:r>
      <w:r>
        <w:rPr>
          <w:rFonts w:hint="eastAsia" w:ascii="MS UI Gothic" w:eastAsia="MS UI Gothic"/>
          <w:w w:val="80"/>
        </w:rPr>
        <w:t xml:space="preserve">ꎬ </w:t>
      </w:r>
      <w:r>
        <w:t>检查和处理结果都应当详细记录</w:t>
      </w:r>
      <w:r>
        <w:rPr>
          <w:rFonts w:hint="eastAsia" w:ascii="MS UI Gothic" w:eastAsia="MS UI Gothic"/>
          <w:w w:val="80"/>
        </w:rPr>
        <w:t>ꎮ</w:t>
      </w:r>
    </w:p>
    <w:p>
      <w:pPr>
        <w:pStyle w:val="6"/>
        <w:spacing w:line="290" w:lineRule="auto"/>
        <w:ind w:left="440"/>
        <w:rPr>
          <w:rFonts w:hint="eastAsia" w:ascii="MS UI Gothic" w:eastAsia="MS UI Gothic"/>
        </w:rPr>
      </w:pPr>
      <w:r>
        <w:rPr>
          <w:w w:val="105"/>
        </w:rPr>
        <w:t>第四百零一条 检修人员站在罐笼或</w:t>
      </w:r>
      <w:r>
        <w:rPr>
          <w:w w:val="110"/>
        </w:rPr>
        <w:t>箕斗顶上工作时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2" w:lineRule="auto"/>
        <w:ind w:left="440"/>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在罐笼或箕斗顶上</w:t>
      </w:r>
      <w:r>
        <w:rPr>
          <w:rFonts w:hint="eastAsia" w:ascii="MS UI Gothic" w:eastAsia="MS UI Gothic"/>
          <w:w w:val="80"/>
        </w:rPr>
        <w:t xml:space="preserve">ꎬ </w:t>
      </w:r>
      <w:r>
        <w:rPr>
          <w:w w:val="105"/>
        </w:rPr>
        <w:t>必须装设保险伞和栏杆</w:t>
      </w:r>
      <w:r>
        <w:rPr>
          <w:rFonts w:hint="eastAsia" w:ascii="MS UI Gothic" w:eastAsia="MS UI Gothic"/>
          <w:w w:val="80"/>
        </w:rPr>
        <w:t>ꎮ</w:t>
      </w:r>
    </w:p>
    <w:p>
      <w:pPr>
        <w:pStyle w:val="6"/>
        <w:spacing w:line="254" w:lineRule="exact"/>
        <w:ind w:left="860"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必须系好保险带</w:t>
      </w:r>
      <w:r>
        <w:rPr>
          <w:rFonts w:hint="eastAsia" w:ascii="MS UI Gothic" w:eastAsia="MS UI Gothic"/>
          <w:w w:val="80"/>
        </w:rPr>
        <w:t>ꎮ</w:t>
      </w:r>
    </w:p>
    <w:p>
      <w:pPr>
        <w:pStyle w:val="6"/>
        <w:spacing w:before="55"/>
        <w:ind w:left="860" w:firstLine="0"/>
        <w:jc w:val="left"/>
        <w:rPr>
          <w:rFonts w:hint="eastAsia" w:ascii="MS UI Gothic" w:eastAsia="MS UI Gothic"/>
        </w:rPr>
      </w:pPr>
      <w:r>
        <w:rPr>
          <w:rFonts w:hint="eastAsia" w:ascii="MS UI Gothic" w:eastAsia="MS UI Gothic"/>
          <w:w w:val="110"/>
        </w:rPr>
        <w:t>(</w:t>
      </w:r>
      <w:r>
        <w:rPr>
          <w:w w:val="110"/>
        </w:rPr>
        <w:t>三</w:t>
      </w:r>
      <w:r>
        <w:rPr>
          <w:rFonts w:hint="eastAsia" w:ascii="MS UI Gothic" w:eastAsia="MS UI Gothic"/>
          <w:w w:val="110"/>
        </w:rPr>
        <w:t xml:space="preserve">) </w:t>
      </w:r>
      <w:r>
        <w:rPr>
          <w:w w:val="110"/>
        </w:rPr>
        <w:t>提升容器的速度</w:t>
      </w:r>
      <w:r>
        <w:rPr>
          <w:rFonts w:hint="eastAsia" w:ascii="MS UI Gothic" w:eastAsia="MS UI Gothic"/>
          <w:w w:val="85"/>
        </w:rPr>
        <w:t xml:space="preserve">ꎬ </w:t>
      </w:r>
      <w:r>
        <w:rPr>
          <w:w w:val="110"/>
        </w:rPr>
        <w:t>一般为</w:t>
      </w:r>
      <w:r>
        <w:rPr>
          <w:rFonts w:hint="eastAsia" w:ascii="MS UI Gothic" w:eastAsia="MS UI Gothic"/>
          <w:w w:val="85"/>
        </w:rPr>
        <w:t xml:space="preserve">０ ３ </w:t>
      </w:r>
      <w:r>
        <w:rPr>
          <w:rFonts w:hint="eastAsia" w:ascii="MS UI Gothic" w:eastAsia="MS UI Gothic"/>
          <w:w w:val="110"/>
        </w:rPr>
        <w:t>~</w:t>
      </w:r>
    </w:p>
    <w:p>
      <w:pPr>
        <w:pStyle w:val="6"/>
        <w:spacing w:before="174"/>
        <w:ind w:left="377" w:firstLine="0"/>
        <w:jc w:val="left"/>
        <w:rPr>
          <w:rFonts w:hint="eastAsia" w:ascii="MS UI Gothic" w:eastAsia="MS UI Gothic"/>
        </w:rPr>
      </w:pPr>
      <w:r>
        <w:br w:type="column"/>
      </w:r>
      <w:r>
        <w:rPr>
          <w:rFonts w:hint="eastAsia" w:ascii="MS UI Gothic" w:eastAsia="MS UI Gothic"/>
          <w:w w:val="95"/>
        </w:rPr>
        <w:t xml:space="preserve">０ ５ ｍ </w:t>
      </w:r>
      <w:r>
        <w:rPr>
          <w:rFonts w:hint="eastAsia" w:ascii="MS UI Gothic" w:eastAsia="MS UI Gothic"/>
          <w:w w:val="70"/>
        </w:rPr>
        <w:t xml:space="preserve">/ </w:t>
      </w:r>
      <w:r>
        <w:rPr>
          <w:rFonts w:hint="eastAsia" w:ascii="MS UI Gothic" w:eastAsia="MS UI Gothic"/>
          <w:w w:val="95"/>
        </w:rPr>
        <w:t>ｓ</w:t>
      </w:r>
      <w:r>
        <w:rPr>
          <w:rFonts w:hint="eastAsia" w:ascii="MS UI Gothic" w:eastAsia="MS UI Gothic"/>
          <w:w w:val="70"/>
        </w:rPr>
        <w:t xml:space="preserve">ꎬ </w:t>
      </w:r>
      <w:r>
        <w:rPr>
          <w:w w:val="95"/>
        </w:rPr>
        <w:t xml:space="preserve">最大不得超过 </w:t>
      </w:r>
      <w:r>
        <w:rPr>
          <w:rFonts w:hint="eastAsia" w:ascii="MS UI Gothic" w:eastAsia="MS UI Gothic"/>
          <w:w w:val="95"/>
        </w:rPr>
        <w:t xml:space="preserve">２ ｍ </w:t>
      </w:r>
      <w:r>
        <w:rPr>
          <w:rFonts w:hint="eastAsia" w:ascii="MS UI Gothic" w:eastAsia="MS UI Gothic"/>
          <w:w w:val="70"/>
        </w:rPr>
        <w:t xml:space="preserve">/ </w:t>
      </w:r>
      <w:r>
        <w:rPr>
          <w:rFonts w:hint="eastAsia" w:ascii="MS UI Gothic" w:eastAsia="MS UI Gothic"/>
          <w:w w:val="95"/>
        </w:rPr>
        <w:t>ｓ</w:t>
      </w:r>
      <w:r>
        <w:rPr>
          <w:rFonts w:hint="eastAsia" w:ascii="MS UI Gothic" w:eastAsia="MS UI Gothic"/>
          <w:w w:val="70"/>
        </w:rPr>
        <w:t>ꎮ</w:t>
      </w:r>
    </w:p>
    <w:p>
      <w:pPr>
        <w:pStyle w:val="6"/>
        <w:spacing w:before="57"/>
        <w:ind w:left="802"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检修用信号必须安全可靠</w:t>
      </w:r>
      <w:r>
        <w:rPr>
          <w:rFonts w:hint="eastAsia" w:ascii="MS UI Gothic" w:eastAsia="MS UI Gothic"/>
          <w:w w:val="80"/>
        </w:rPr>
        <w:t>ꎮ</w:t>
      </w:r>
    </w:p>
    <w:p>
      <w:pPr>
        <w:pStyle w:val="6"/>
        <w:spacing w:before="56" w:line="290" w:lineRule="auto"/>
        <w:ind w:left="383" w:right="126"/>
        <w:rPr>
          <w:rFonts w:hint="eastAsia" w:ascii="MS UI Gothic" w:eastAsia="MS UI Gothic"/>
        </w:rPr>
      </w:pPr>
      <w:r>
        <w:rPr>
          <w:w w:val="105"/>
        </w:rPr>
        <w:t>第四百零二条 罐笼提升的井口和井底车场必须有把钩工</w:t>
      </w:r>
      <w:r>
        <w:rPr>
          <w:rFonts w:hint="eastAsia" w:ascii="MS UI Gothic" w:eastAsia="MS UI Gothic"/>
          <w:w w:val="80"/>
        </w:rPr>
        <w:t>ꎮ</w:t>
      </w:r>
    </w:p>
    <w:p>
      <w:pPr>
        <w:pStyle w:val="6"/>
        <w:spacing w:before="3" w:line="292" w:lineRule="auto"/>
        <w:ind w:left="383" w:right="124"/>
        <w:rPr>
          <w:rFonts w:hint="eastAsia" w:ascii="MS UI Gothic" w:eastAsia="MS UI Gothic"/>
        </w:rPr>
      </w:pPr>
      <w:r>
        <w:t>人员上下井时</w:t>
      </w:r>
      <w:r>
        <w:rPr>
          <w:rFonts w:hint="eastAsia" w:ascii="MS UI Gothic" w:eastAsia="MS UI Gothic"/>
          <w:w w:val="80"/>
        </w:rPr>
        <w:t xml:space="preserve">ꎬ </w:t>
      </w:r>
      <w:r>
        <w:t>必须遵守乘罐制度</w:t>
      </w:r>
      <w:r>
        <w:rPr>
          <w:rFonts w:hint="eastAsia" w:ascii="MS UI Gothic" w:eastAsia="MS UI Gothic"/>
          <w:w w:val="80"/>
        </w:rPr>
        <w:t>ꎬ</w:t>
      </w:r>
      <w:r>
        <w:t>听从把钩工指挥</w:t>
      </w:r>
      <w:r>
        <w:rPr>
          <w:rFonts w:hint="eastAsia" w:ascii="MS UI Gothic" w:eastAsia="MS UI Gothic"/>
          <w:w w:val="80"/>
        </w:rPr>
        <w:t xml:space="preserve">ꎮ </w:t>
      </w:r>
      <w:r>
        <w:t>开车信号发出后严禁进出罐笼</w:t>
      </w:r>
      <w:r>
        <w:rPr>
          <w:rFonts w:hint="eastAsia" w:ascii="MS UI Gothic" w:eastAsia="MS UI Gothic"/>
          <w:w w:val="80"/>
        </w:rPr>
        <w:t>ꎮ</w:t>
      </w:r>
    </w:p>
    <w:p>
      <w:pPr>
        <w:pStyle w:val="6"/>
        <w:spacing w:line="292" w:lineRule="auto"/>
        <w:ind w:left="383" w:right="126"/>
        <w:rPr>
          <w:rFonts w:hint="eastAsia" w:ascii="MS UI Gothic" w:eastAsia="MS UI Gothic"/>
        </w:rPr>
      </w:pPr>
      <w:r>
        <w:t>第四百零三条 每一提升装置</w:t>
      </w:r>
      <w:r>
        <w:rPr>
          <w:rFonts w:hint="eastAsia" w:ascii="MS UI Gothic" w:eastAsia="MS UI Gothic"/>
          <w:w w:val="80"/>
        </w:rPr>
        <w:t xml:space="preserve">ꎬ </w:t>
      </w:r>
      <w:r>
        <w:t>必须装有从井底信号工发给井口信号工和从井口信号工发给司机的信号装置</w:t>
      </w:r>
      <w:r>
        <w:rPr>
          <w:rFonts w:hint="eastAsia" w:ascii="MS UI Gothic" w:eastAsia="MS UI Gothic"/>
          <w:w w:val="80"/>
        </w:rPr>
        <w:t xml:space="preserve">ꎮ </w:t>
      </w:r>
      <w:r>
        <w:t>井口信号装置必须与提升机的控制回路相闭锁</w:t>
      </w:r>
      <w:r>
        <w:rPr>
          <w:rFonts w:hint="eastAsia" w:ascii="MS UI Gothic" w:eastAsia="MS UI Gothic"/>
          <w:w w:val="80"/>
        </w:rPr>
        <w:t xml:space="preserve">ꎬ </w:t>
      </w:r>
      <w:r>
        <w:t>只有在井口信号工发出信号后</w:t>
      </w:r>
      <w:r>
        <w:rPr>
          <w:rFonts w:hint="eastAsia" w:ascii="MS UI Gothic" w:eastAsia="MS UI Gothic"/>
          <w:w w:val="80"/>
        </w:rPr>
        <w:t xml:space="preserve">ꎬ </w:t>
      </w:r>
      <w:r>
        <w:t>提升机才能启动</w:t>
      </w:r>
      <w:r>
        <w:rPr>
          <w:rFonts w:hint="eastAsia" w:ascii="MS UI Gothic" w:eastAsia="MS UI Gothic"/>
          <w:w w:val="80"/>
        </w:rPr>
        <w:t xml:space="preserve">ꎮ </w:t>
      </w:r>
      <w:r>
        <w:t>除常用的信号装置外</w:t>
      </w:r>
      <w:r>
        <w:rPr>
          <w:rFonts w:hint="eastAsia" w:ascii="MS UI Gothic" w:eastAsia="MS UI Gothic"/>
          <w:w w:val="80"/>
        </w:rPr>
        <w:t xml:space="preserve">ꎬ </w:t>
      </w:r>
      <w:r>
        <w:t>还必须有备用信号装置</w:t>
      </w:r>
      <w:r>
        <w:rPr>
          <w:rFonts w:hint="eastAsia" w:ascii="MS UI Gothic" w:eastAsia="MS UI Gothic"/>
          <w:w w:val="80"/>
        </w:rPr>
        <w:t xml:space="preserve">ꎮ </w:t>
      </w:r>
      <w:r>
        <w:t>井底车场与井口之间</w:t>
      </w:r>
      <w:r>
        <w:rPr>
          <w:rFonts w:hint="eastAsia" w:ascii="MS UI Gothic" w:eastAsia="MS UI Gothic"/>
          <w:w w:val="80"/>
        </w:rPr>
        <w:t xml:space="preserve">、 </w:t>
      </w:r>
      <w:r>
        <w:t>井口与司机操控台之间</w:t>
      </w:r>
      <w:r>
        <w:rPr>
          <w:rFonts w:hint="eastAsia" w:ascii="MS UI Gothic" w:eastAsia="MS UI Gothic"/>
          <w:w w:val="80"/>
        </w:rPr>
        <w:t xml:space="preserve">ꎬ </w:t>
      </w:r>
      <w:r>
        <w:t>除有上述信号装置外</w:t>
      </w:r>
      <w:r>
        <w:rPr>
          <w:rFonts w:hint="eastAsia" w:ascii="MS UI Gothic" w:eastAsia="MS UI Gothic"/>
          <w:w w:val="80"/>
        </w:rPr>
        <w:t xml:space="preserve">ꎬ </w:t>
      </w:r>
      <w:r>
        <w:t>还必须装设直通电话</w:t>
      </w:r>
      <w:r>
        <w:rPr>
          <w:rFonts w:hint="eastAsia" w:ascii="MS UI Gothic" w:eastAsia="MS UI Gothic"/>
          <w:w w:val="80"/>
        </w:rPr>
        <w:t>ꎮ</w:t>
      </w:r>
    </w:p>
    <w:p>
      <w:pPr>
        <w:pStyle w:val="6"/>
        <w:spacing w:line="292" w:lineRule="auto"/>
        <w:ind w:left="383" w:right="126" w:firstLine="413"/>
        <w:rPr>
          <w:rFonts w:hint="eastAsia" w:ascii="MS UI Gothic" w:eastAsia="MS UI Gothic"/>
        </w:rPr>
      </w:pPr>
      <w:r>
        <w:rPr>
          <w:rFonts w:hint="eastAsia" w:ascii="MS UI Gothic" w:eastAsia="MS UI Gothic"/>
          <w:w w:val="80"/>
        </w:rPr>
        <w:t xml:space="preserve">１ </w:t>
      </w:r>
      <w:r>
        <w:t>套提升装置服务多个水平时</w:t>
      </w:r>
      <w:r>
        <w:rPr>
          <w:rFonts w:hint="eastAsia" w:ascii="MS UI Gothic" w:eastAsia="MS UI Gothic"/>
          <w:w w:val="80"/>
        </w:rPr>
        <w:t xml:space="preserve">ꎬ </w:t>
      </w:r>
      <w:r>
        <w:t>从各水平发出的信号必须有区别</w:t>
      </w:r>
      <w:r>
        <w:rPr>
          <w:rFonts w:hint="eastAsia" w:ascii="MS UI Gothic" w:eastAsia="MS UI Gothic"/>
          <w:w w:val="80"/>
        </w:rPr>
        <w:t>ꎮ</w:t>
      </w:r>
    </w:p>
    <w:p>
      <w:pPr>
        <w:spacing w:after="0" w:line="292"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３００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28" o:spid="_x0000_s1928" o:spt="203" style="height:2.15pt;width:398.25pt;" coordsize="7965,43">
            <o:lock v:ext="edit"/>
            <v:line id="_x0000_s1929" o:spid="_x0000_s1929" o:spt="20" style="position:absolute;left:0;top:39;height:0;width:7965;" stroked="t" coordsize="21600,21600">
              <v:path arrowok="t"/>
              <v:fill focussize="0,0"/>
              <v:stroke weight="0.388031496062992pt" color="#231F20"/>
              <v:imagedata o:title=""/>
              <o:lock v:ext="edit"/>
            </v:line>
            <v:line id="_x0000_s1930" o:spid="_x0000_s19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5" w:line="295" w:lineRule="auto"/>
        <w:ind w:right="38"/>
        <w:rPr>
          <w:rFonts w:hint="eastAsia" w:ascii="MS UI Gothic" w:eastAsia="MS UI Gothic"/>
        </w:rPr>
      </w:pPr>
      <w:r>
        <w:rPr>
          <w:w w:val="105"/>
        </w:rPr>
        <w:t>第四百零四条 井底车场的信号必须</w:t>
      </w:r>
      <w:r>
        <w:t>经由井口信号工转发</w:t>
      </w:r>
      <w:r>
        <w:rPr>
          <w:rFonts w:hint="eastAsia" w:ascii="MS UI Gothic" w:eastAsia="MS UI Gothic"/>
          <w:w w:val="80"/>
        </w:rPr>
        <w:t xml:space="preserve">ꎬ </w:t>
      </w:r>
      <w:r>
        <w:t>不得越过井口信号工直接向提升机司机发送开车信号</w:t>
      </w:r>
      <w:r>
        <w:rPr>
          <w:rFonts w:hint="eastAsia" w:ascii="MS UI Gothic" w:eastAsia="MS UI Gothic"/>
          <w:w w:val="80"/>
        </w:rPr>
        <w:t xml:space="preserve">ꎻ </w:t>
      </w:r>
      <w:r>
        <w:t>但有</w:t>
      </w:r>
      <w:r>
        <w:rPr>
          <w:w w:val="105"/>
        </w:rPr>
        <w:t>下列情况之一时</w:t>
      </w:r>
      <w:r>
        <w:rPr>
          <w:rFonts w:hint="eastAsia" w:ascii="MS UI Gothic" w:eastAsia="MS UI Gothic"/>
          <w:w w:val="80"/>
        </w:rPr>
        <w:t xml:space="preserve">ꎬ </w:t>
      </w:r>
      <w:r>
        <w:rPr>
          <w:w w:val="105"/>
        </w:rPr>
        <w:t>不受此限</w:t>
      </w:r>
      <w:r>
        <w:rPr>
          <w:rFonts w:hint="eastAsia" w:ascii="MS UI Gothic" w:eastAsia="MS UI Gothic"/>
          <w:w w:val="235"/>
        </w:rPr>
        <w:t>:</w:t>
      </w:r>
    </w:p>
    <w:p>
      <w:pPr>
        <w:pStyle w:val="6"/>
        <w:spacing w:line="295" w:lineRule="auto"/>
        <w:ind w:left="543" w:right="1045" w:firstLine="0"/>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发送紧急停车信号</w:t>
      </w:r>
      <w:r>
        <w:rPr>
          <w:rFonts w:hint="eastAsia" w:ascii="MS UI Gothic" w:eastAsia="MS UI Gothic"/>
          <w:w w:val="80"/>
        </w:rPr>
        <w:t>ꎮ</w:t>
      </w: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箕斗提升</w:t>
      </w:r>
      <w:r>
        <w:rPr>
          <w:rFonts w:hint="eastAsia" w:ascii="MS UI Gothic" w:eastAsia="MS UI Gothic"/>
          <w:w w:val="80"/>
        </w:rPr>
        <w:t>ꎮ</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5"/>
        </w:rPr>
        <w:t>三</w:t>
      </w:r>
      <w:r>
        <w:rPr>
          <w:rFonts w:hint="eastAsia" w:ascii="MS UI Gothic" w:eastAsia="MS UI Gothic"/>
          <w:w w:val="150"/>
        </w:rPr>
        <w:t xml:space="preserve">) </w:t>
      </w:r>
      <w:r>
        <w:rPr>
          <w:w w:val="115"/>
        </w:rPr>
        <w:t>单容器提升</w:t>
      </w:r>
      <w:r>
        <w:rPr>
          <w:rFonts w:hint="eastAsia" w:ascii="MS UI Gothic" w:eastAsia="MS UI Gothic"/>
          <w:w w:val="80"/>
        </w:rPr>
        <w:t>ꎮ</w:t>
      </w:r>
    </w:p>
    <w:p>
      <w:pPr>
        <w:pStyle w:val="6"/>
        <w:spacing w:before="55" w:line="295" w:lineRule="auto"/>
        <w:ind w:right="38"/>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井上下信号联锁的自动化提升</w:t>
      </w:r>
      <w:r>
        <w:rPr>
          <w:w w:val="110"/>
        </w:rPr>
        <w:t>系统</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第四百零五条 用多层罐笼升降人员</w:t>
      </w:r>
      <w:r>
        <w:rPr>
          <w:spacing w:val="3"/>
          <w:w w:val="105"/>
        </w:rPr>
        <w:t>或者物料时</w:t>
      </w:r>
      <w:r>
        <w:rPr>
          <w:rFonts w:hint="eastAsia" w:ascii="MS UI Gothic" w:eastAsia="MS UI Gothic"/>
          <w:spacing w:val="-2"/>
          <w:w w:val="80"/>
        </w:rPr>
        <w:t xml:space="preserve">ꎬ </w:t>
      </w:r>
      <w:r>
        <w:rPr>
          <w:spacing w:val="3"/>
          <w:w w:val="105"/>
        </w:rPr>
        <w:t>井上</w:t>
      </w:r>
      <w:r>
        <w:rPr>
          <w:rFonts w:hint="eastAsia" w:ascii="MS UI Gothic" w:eastAsia="MS UI Gothic"/>
          <w:spacing w:val="-1"/>
          <w:w w:val="80"/>
        </w:rPr>
        <w:t xml:space="preserve">、 </w:t>
      </w:r>
      <w:r>
        <w:rPr>
          <w:spacing w:val="2"/>
          <w:w w:val="105"/>
        </w:rPr>
        <w:t>下各层出车平台都必</w:t>
      </w:r>
      <w:r>
        <w:rPr>
          <w:spacing w:val="3"/>
        </w:rPr>
        <w:t>须设有信号工</w:t>
      </w:r>
      <w:r>
        <w:rPr>
          <w:rFonts w:hint="eastAsia" w:ascii="MS UI Gothic" w:eastAsia="MS UI Gothic"/>
          <w:spacing w:val="23"/>
          <w:w w:val="80"/>
        </w:rPr>
        <w:t xml:space="preserve">ꎮ </w:t>
      </w:r>
      <w:r>
        <w:rPr>
          <w:spacing w:val="3"/>
        </w:rPr>
        <w:t>各信号工发送信号时</w:t>
      </w:r>
      <w:r>
        <w:rPr>
          <w:rFonts w:hint="eastAsia" w:ascii="MS UI Gothic" w:eastAsia="MS UI Gothic"/>
          <w:spacing w:val="23"/>
          <w:w w:val="80"/>
        </w:rPr>
        <w:t xml:space="preserve">ꎬ </w:t>
      </w:r>
      <w:r>
        <w:t>必</w:t>
      </w:r>
      <w:r>
        <w:rPr>
          <w:spacing w:val="3"/>
          <w:w w:val="105"/>
        </w:rPr>
        <w:t>须遵守下列规定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井下各水平的总信号工收齐该</w:t>
      </w:r>
      <w:r>
        <w:rPr>
          <w:spacing w:val="3"/>
        </w:rPr>
        <w:t>水平各层信号工的信号后</w:t>
      </w:r>
      <w:r>
        <w:rPr>
          <w:rFonts w:hint="eastAsia" w:ascii="MS UI Gothic" w:eastAsia="MS UI Gothic"/>
          <w:spacing w:val="21"/>
          <w:w w:val="80"/>
        </w:rPr>
        <w:t xml:space="preserve">ꎬ </w:t>
      </w:r>
      <w:r>
        <w:rPr>
          <w:spacing w:val="2"/>
        </w:rPr>
        <w:t>方可向井口总</w:t>
      </w:r>
      <w:r>
        <w:rPr>
          <w:spacing w:val="3"/>
          <w:w w:val="105"/>
        </w:rPr>
        <w:t>信号工发出信号</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井口总信号工收齐井口各层信</w:t>
      </w:r>
      <w:r>
        <w:t>号工信号并接到井下水平总信号工信号</w:t>
      </w:r>
      <w:r>
        <w:rPr>
          <w:w w:val="105"/>
        </w:rPr>
        <w:t>后</w:t>
      </w:r>
      <w:r>
        <w:rPr>
          <w:rFonts w:hint="eastAsia" w:ascii="MS UI Gothic" w:eastAsia="MS UI Gothic"/>
          <w:w w:val="80"/>
        </w:rPr>
        <w:t xml:space="preserve">ꎬ </w:t>
      </w:r>
      <w:r>
        <w:rPr>
          <w:w w:val="105"/>
        </w:rPr>
        <w:t>才可向提升机司机发出信号</w:t>
      </w:r>
      <w:r>
        <w:rPr>
          <w:rFonts w:hint="eastAsia" w:ascii="MS UI Gothic" w:eastAsia="MS UI Gothic"/>
          <w:w w:val="80"/>
        </w:rPr>
        <w:t>ꎮ</w:t>
      </w:r>
    </w:p>
    <w:p>
      <w:pPr>
        <w:pStyle w:val="6"/>
        <w:spacing w:line="295" w:lineRule="auto"/>
        <w:ind w:right="38"/>
        <w:jc w:val="left"/>
        <w:rPr>
          <w:rFonts w:hint="eastAsia" w:ascii="MS UI Gothic" w:eastAsia="MS UI Gothic"/>
        </w:rPr>
      </w:pPr>
      <w:r>
        <w:t>信号系统必须设有保证按上述顺序发</w:t>
      </w:r>
      <w:r>
        <w:rPr>
          <w:w w:val="105"/>
        </w:rPr>
        <w:t>出信号的闭锁装置</w:t>
      </w:r>
      <w:r>
        <w:rPr>
          <w:rFonts w:hint="eastAsia" w:ascii="MS UI Gothic" w:eastAsia="MS UI Gothic"/>
          <w:w w:val="80"/>
        </w:rPr>
        <w:t>ꎮ</w:t>
      </w:r>
    </w:p>
    <w:p>
      <w:pPr>
        <w:pStyle w:val="6"/>
        <w:spacing w:before="85" w:line="295" w:lineRule="auto"/>
        <w:ind w:right="442" w:firstLine="425"/>
        <w:rPr>
          <w:rFonts w:hint="eastAsia" w:ascii="MS UI Gothic" w:eastAsia="MS UI Gothic"/>
        </w:rPr>
      </w:pPr>
      <w:r>
        <w:br w:type="column"/>
      </w:r>
      <w:r>
        <w:t>第四百零六条   在提升速度大于</w:t>
      </w:r>
      <w:r>
        <w:rPr>
          <w:rFonts w:hint="eastAsia" w:ascii="MS UI Gothic" w:eastAsia="MS UI Gothic"/>
        </w:rPr>
        <w:t xml:space="preserve">３ ｍ </w:t>
      </w:r>
      <w:r>
        <w:rPr>
          <w:rFonts w:hint="eastAsia" w:ascii="MS UI Gothic" w:eastAsia="MS UI Gothic"/>
          <w:w w:val="70"/>
        </w:rPr>
        <w:t xml:space="preserve">/ </w:t>
      </w:r>
      <w:r>
        <w:rPr>
          <w:rFonts w:hint="eastAsia" w:ascii="MS UI Gothic" w:eastAsia="MS UI Gothic"/>
        </w:rPr>
        <w:t>ｓ</w:t>
      </w:r>
      <w:r>
        <w:t>的提升系统内</w:t>
      </w:r>
      <w:r>
        <w:rPr>
          <w:rFonts w:hint="eastAsia" w:ascii="MS UI Gothic" w:eastAsia="MS UI Gothic"/>
          <w:w w:val="70"/>
        </w:rPr>
        <w:t xml:space="preserve">ꎬ </w:t>
      </w:r>
      <w:r>
        <w:t>必须设防撞梁和托罐装置</w:t>
      </w:r>
      <w:r>
        <w:rPr>
          <w:rFonts w:hint="eastAsia" w:ascii="MS UI Gothic" w:eastAsia="MS UI Gothic"/>
          <w:w w:val="70"/>
        </w:rPr>
        <w:t xml:space="preserve">ꎮ </w:t>
      </w:r>
      <w:r>
        <w:t>防撞梁必须能够挡住过卷后上升的容器或者平衡锤</w:t>
      </w:r>
      <w:r>
        <w:rPr>
          <w:rFonts w:hint="eastAsia" w:ascii="MS UI Gothic" w:eastAsia="MS UI Gothic"/>
          <w:w w:val="70"/>
        </w:rPr>
        <w:t xml:space="preserve">ꎬ </w:t>
      </w:r>
      <w:r>
        <w:t>并不得兼作他用</w:t>
      </w:r>
      <w:r>
        <w:rPr>
          <w:rFonts w:hint="eastAsia" w:ascii="MS UI Gothic" w:eastAsia="MS UI Gothic"/>
          <w:w w:val="70"/>
        </w:rPr>
        <w:t xml:space="preserve">ꎻ </w:t>
      </w:r>
      <w:r>
        <w:t>托罐装置必须能够将撞击防撞梁后再下落的容器 或者配重托住</w:t>
      </w:r>
      <w:r>
        <w:rPr>
          <w:rFonts w:hint="eastAsia" w:ascii="MS UI Gothic" w:eastAsia="MS UI Gothic"/>
          <w:w w:val="70"/>
        </w:rPr>
        <w:t xml:space="preserve">ꎬ </w:t>
      </w:r>
      <w:r>
        <w:t xml:space="preserve">并保证其下落的距离不超过 </w:t>
      </w:r>
      <w:r>
        <w:rPr>
          <w:rFonts w:hint="eastAsia" w:ascii="MS UI Gothic" w:eastAsia="MS UI Gothic"/>
        </w:rPr>
        <w:t>０ ５ ｍ</w:t>
      </w:r>
      <w:r>
        <w:rPr>
          <w:rFonts w:hint="eastAsia" w:ascii="MS UI Gothic" w:eastAsia="MS UI Gothic"/>
          <w:w w:val="70"/>
        </w:rPr>
        <w:t>ꎮ</w:t>
      </w:r>
    </w:p>
    <w:p>
      <w:pPr>
        <w:pStyle w:val="6"/>
        <w:spacing w:line="295" w:lineRule="auto"/>
        <w:ind w:left="130" w:right="442"/>
        <w:rPr>
          <w:rFonts w:hint="eastAsia" w:ascii="MS UI Gothic" w:eastAsia="MS UI Gothic"/>
        </w:rPr>
      </w:pPr>
      <w:r>
        <w:rPr>
          <w:w w:val="105"/>
        </w:rPr>
        <w:t>第四百零七条 立井提升装置的过卷</w:t>
      </w:r>
      <w:r>
        <w:rPr>
          <w:w w:val="110"/>
        </w:rPr>
        <w:t>和过放应当符合下列要求</w:t>
      </w:r>
      <w:r>
        <w:rPr>
          <w:rFonts w:hint="eastAsia" w:ascii="MS UI Gothic" w:eastAsia="MS UI Gothic"/>
          <w:w w:val="235"/>
        </w:rPr>
        <w:t>:</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罐笼和箕斗提升</w:t>
      </w:r>
      <w:r>
        <w:rPr>
          <w:rFonts w:hint="eastAsia" w:ascii="MS UI Gothic" w:eastAsia="MS UI Gothic"/>
          <w:w w:val="80"/>
        </w:rPr>
        <w:t xml:space="preserve">ꎬ </w:t>
      </w:r>
      <w:r>
        <w:rPr>
          <w:w w:val="105"/>
        </w:rPr>
        <w:t xml:space="preserve">过卷和过放距离不得小于表 </w:t>
      </w:r>
      <w:r>
        <w:rPr>
          <w:rFonts w:hint="eastAsia" w:ascii="MS UI Gothic" w:eastAsia="MS UI Gothic"/>
          <w:w w:val="80"/>
        </w:rPr>
        <w:t xml:space="preserve">８ </w:t>
      </w:r>
      <w:r>
        <w:rPr>
          <w:w w:val="105"/>
        </w:rPr>
        <w:t>所列数值</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3"/>
          <w:w w:val="150"/>
        </w:rPr>
        <w:t xml:space="preserve">) </w:t>
      </w:r>
      <w:r>
        <w:rPr>
          <w:spacing w:val="5"/>
          <w:w w:val="105"/>
        </w:rPr>
        <w:t>在过卷和过放距离内</w:t>
      </w:r>
      <w:r>
        <w:rPr>
          <w:rFonts w:hint="eastAsia" w:ascii="MS UI Gothic" w:eastAsia="MS UI Gothic"/>
          <w:spacing w:val="13"/>
          <w:w w:val="80"/>
        </w:rPr>
        <w:t xml:space="preserve">ꎬ </w:t>
      </w:r>
      <w:r>
        <w:rPr>
          <w:spacing w:val="7"/>
          <w:w w:val="105"/>
        </w:rPr>
        <w:t>应当安</w:t>
      </w:r>
      <w:r>
        <w:rPr>
          <w:spacing w:val="3"/>
        </w:rPr>
        <w:t>设性能可靠的缓冲装置</w:t>
      </w:r>
      <w:r>
        <w:rPr>
          <w:rFonts w:hint="eastAsia" w:ascii="MS UI Gothic" w:eastAsia="MS UI Gothic"/>
          <w:spacing w:val="3"/>
          <w:w w:val="80"/>
        </w:rPr>
        <w:t xml:space="preserve">ꎮ </w:t>
      </w:r>
      <w:r>
        <w:rPr>
          <w:spacing w:val="6"/>
        </w:rPr>
        <w:t>缓冲装置应当能</w:t>
      </w:r>
      <w:r>
        <w:rPr>
          <w:spacing w:val="-7"/>
          <w:w w:val="105"/>
        </w:rPr>
        <w:t xml:space="preserve">将全速过卷 </w:t>
      </w:r>
      <w:r>
        <w:rPr>
          <w:rFonts w:hint="eastAsia" w:ascii="MS UI Gothic" w:eastAsia="MS UI Gothic"/>
          <w:spacing w:val="-38"/>
          <w:w w:val="150"/>
        </w:rPr>
        <w:t xml:space="preserve">( </w:t>
      </w:r>
      <w:r>
        <w:rPr>
          <w:spacing w:val="3"/>
          <w:w w:val="105"/>
        </w:rPr>
        <w:t>过放</w:t>
      </w:r>
      <w:r>
        <w:rPr>
          <w:rFonts w:hint="eastAsia" w:ascii="MS UI Gothic" w:eastAsia="MS UI Gothic"/>
          <w:spacing w:val="5"/>
          <w:w w:val="150"/>
        </w:rPr>
        <w:t xml:space="preserve">) </w:t>
      </w:r>
      <w:r>
        <w:rPr>
          <w:spacing w:val="2"/>
          <w:w w:val="105"/>
        </w:rPr>
        <w:t>的容器或者平衡锤平</w:t>
      </w:r>
      <w:r>
        <w:rPr>
          <w:spacing w:val="21"/>
        </w:rPr>
        <w:t>稳地停住</w:t>
      </w:r>
      <w:r>
        <w:rPr>
          <w:rFonts w:hint="eastAsia" w:ascii="MS UI Gothic" w:eastAsia="MS UI Gothic"/>
          <w:spacing w:val="1"/>
          <w:w w:val="80"/>
        </w:rPr>
        <w:t xml:space="preserve">ꎬ </w:t>
      </w:r>
      <w:r>
        <w:rPr>
          <w:spacing w:val="30"/>
        </w:rPr>
        <w:t>并保证不再反向下滑或者</w:t>
      </w:r>
      <w:r>
        <w:rPr>
          <w:spacing w:val="3"/>
          <w:w w:val="105"/>
        </w:rPr>
        <w:t>反弹</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spacing w:val="-34"/>
          <w:w w:val="120"/>
        </w:rPr>
        <w:t xml:space="preserve">( </w:t>
      </w:r>
      <w:r>
        <w:rPr>
          <w:spacing w:val="5"/>
          <w:w w:val="110"/>
        </w:rPr>
        <w:t>三</w:t>
      </w:r>
      <w:r>
        <w:rPr>
          <w:rFonts w:hint="eastAsia" w:ascii="MS UI Gothic" w:eastAsia="MS UI Gothic"/>
          <w:spacing w:val="-13"/>
          <w:w w:val="120"/>
        </w:rPr>
        <w:t xml:space="preserve">) </w:t>
      </w:r>
      <w:r>
        <w:rPr>
          <w:spacing w:val="23"/>
          <w:w w:val="110"/>
        </w:rPr>
        <w:t>过放距离内不得积水和堆积</w:t>
      </w:r>
      <w:r>
        <w:rPr>
          <w:spacing w:val="3"/>
          <w:w w:val="110"/>
        </w:rPr>
        <w:t>杂物</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 xml:space="preserve">缓冲托罐装置必须每年至少进行 </w:t>
      </w:r>
      <w:r>
        <w:rPr>
          <w:rFonts w:hint="eastAsia" w:ascii="MS UI Gothic" w:eastAsia="MS UI Gothic"/>
          <w:w w:val="80"/>
        </w:rPr>
        <w:t xml:space="preserve">１ </w:t>
      </w:r>
      <w:r>
        <w:rPr>
          <w:w w:val="105"/>
        </w:rPr>
        <w:t>次检查和保养</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2"/>
            <w:col w:w="4354"/>
          </w:cols>
        </w:sectPr>
      </w:pPr>
    </w:p>
    <w:p>
      <w:pPr>
        <w:pStyle w:val="6"/>
        <w:spacing w:before="1"/>
        <w:ind w:left="0" w:firstLine="0"/>
        <w:jc w:val="left"/>
        <w:rPr>
          <w:rFonts w:ascii="MS UI Gothic"/>
          <w:sz w:val="10"/>
        </w:rPr>
      </w:pPr>
    </w:p>
    <w:p>
      <w:pPr>
        <w:pStyle w:val="6"/>
        <w:spacing w:before="174"/>
        <w:ind w:left="310" w:right="628" w:firstLine="0"/>
        <w:jc w:val="center"/>
      </w:pPr>
      <w:r>
        <w:rPr>
          <w:spacing w:val="-28"/>
          <w:w w:val="95"/>
        </w:rPr>
        <w:t xml:space="preserve">表 </w:t>
      </w:r>
      <w:r>
        <w:rPr>
          <w:rFonts w:hint="eastAsia" w:ascii="MS UI Gothic" w:eastAsia="MS UI Gothic"/>
          <w:spacing w:val="25"/>
          <w:w w:val="95"/>
        </w:rPr>
        <w:t xml:space="preserve">８ </w:t>
      </w:r>
      <w:r>
        <w:rPr>
          <w:spacing w:val="2"/>
          <w:w w:val="95"/>
        </w:rPr>
        <w:t>立井提升装置的过卷和过放距离</w:t>
      </w:r>
    </w:p>
    <w:p>
      <w:pPr>
        <w:pStyle w:val="6"/>
        <w:spacing w:before="1"/>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3024"/>
        <w:gridCol w:w="955"/>
        <w:gridCol w:w="955"/>
        <w:gridCol w:w="955"/>
        <w:gridCol w:w="955"/>
        <w:gridCol w:w="1122"/>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3024" w:type="dxa"/>
            <w:tcBorders>
              <w:bottom w:val="single" w:color="231F20" w:sz="4" w:space="0"/>
              <w:right w:val="single" w:color="231F20" w:sz="4" w:space="0"/>
            </w:tcBorders>
          </w:tcPr>
          <w:p>
            <w:pPr>
              <w:pStyle w:val="11"/>
              <w:spacing w:before="38"/>
              <w:ind w:left="766" w:right="769"/>
              <w:jc w:val="center"/>
              <w:rPr>
                <w:rFonts w:hint="eastAsia" w:ascii="MS UI Gothic" w:eastAsia="MS UI Gothic"/>
                <w:sz w:val="15"/>
              </w:rPr>
            </w:pPr>
            <w:r>
              <w:rPr>
                <w:spacing w:val="7"/>
                <w:w w:val="103"/>
                <w:sz w:val="15"/>
              </w:rPr>
              <w:t>提升速度</w:t>
            </w:r>
            <w:r>
              <w:rPr>
                <w:rFonts w:hint="eastAsia" w:ascii="MS UI Gothic" w:eastAsia="MS UI Gothic"/>
                <w:w w:val="34"/>
                <w:sz w:val="15"/>
              </w:rPr>
              <w:t>/</w:t>
            </w:r>
            <w:r>
              <w:rPr>
                <w:rFonts w:hint="eastAsia" w:ascii="MS UI Gothic" w:eastAsia="MS UI Gothic"/>
                <w:spacing w:val="11"/>
                <w:sz w:val="15"/>
              </w:rPr>
              <w:t xml:space="preserve">  </w:t>
            </w:r>
            <w:r>
              <w:rPr>
                <w:rFonts w:hint="eastAsia" w:ascii="MS UI Gothic" w:eastAsia="MS UI Gothic"/>
                <w:w w:val="169"/>
                <w:sz w:val="15"/>
              </w:rPr>
              <w:t>(</w:t>
            </w:r>
            <w:r>
              <w:rPr>
                <w:rFonts w:hint="eastAsia" w:ascii="MS UI Gothic" w:eastAsia="MS UI Gothic"/>
                <w:spacing w:val="-29"/>
                <w:sz w:val="15"/>
              </w:rPr>
              <w:t xml:space="preserve"> </w:t>
            </w:r>
            <w:r>
              <w:rPr>
                <w:rFonts w:hint="eastAsia" w:ascii="MS UI Gothic" w:eastAsia="MS UI Gothic"/>
                <w:spacing w:val="2"/>
                <w:w w:val="79"/>
                <w:sz w:val="15"/>
              </w:rPr>
              <w:t>ｍ</w:t>
            </w:r>
            <w:r>
              <w:rPr>
                <w:rFonts w:hint="eastAsia" w:ascii="MS UI Gothic" w:eastAsia="MS UI Gothic"/>
                <w:spacing w:val="7"/>
                <w:w w:val="70"/>
                <w:sz w:val="15"/>
              </w:rPr>
              <w:t>ｓ</w:t>
            </w:r>
            <w:r>
              <w:rPr>
                <w:rFonts w:hint="eastAsia" w:ascii="MS UI Gothic" w:eastAsia="MS UI Gothic"/>
                <w:spacing w:val="7"/>
                <w:w w:val="56"/>
                <w:position w:val="7"/>
                <w:sz w:val="10"/>
              </w:rPr>
              <w:t>－</w:t>
            </w:r>
            <w:r>
              <w:rPr>
                <w:rFonts w:hint="eastAsia" w:ascii="MS UI Gothic" w:eastAsia="MS UI Gothic"/>
                <w:w w:val="75"/>
                <w:position w:val="6"/>
                <w:sz w:val="10"/>
              </w:rPr>
              <w:t>１</w:t>
            </w:r>
            <w:r>
              <w:rPr>
                <w:rFonts w:hint="eastAsia" w:ascii="MS UI Gothic" w:eastAsia="MS UI Gothic"/>
                <w:spacing w:val="-13"/>
                <w:position w:val="6"/>
                <w:sz w:val="10"/>
              </w:rPr>
              <w:t xml:space="preserve"> </w:t>
            </w:r>
            <w:r>
              <w:rPr>
                <w:rFonts w:hint="eastAsia" w:ascii="MS UI Gothic" w:eastAsia="MS UI Gothic"/>
                <w:w w:val="169"/>
                <w:sz w:val="15"/>
              </w:rPr>
              <w:t>)</w:t>
            </w:r>
          </w:p>
        </w:tc>
        <w:tc>
          <w:tcPr>
            <w:tcW w:w="955" w:type="dxa"/>
            <w:tcBorders>
              <w:left w:val="single" w:color="231F20" w:sz="4" w:space="0"/>
              <w:bottom w:val="single" w:color="231F20" w:sz="4" w:space="0"/>
              <w:right w:val="single" w:color="231F20" w:sz="4" w:space="0"/>
            </w:tcBorders>
          </w:tcPr>
          <w:p>
            <w:pPr>
              <w:pStyle w:val="11"/>
              <w:spacing w:before="50"/>
              <w:ind w:left="363"/>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３</w:t>
            </w:r>
          </w:p>
        </w:tc>
        <w:tc>
          <w:tcPr>
            <w:tcW w:w="955" w:type="dxa"/>
            <w:tcBorders>
              <w:left w:val="single" w:color="231F20" w:sz="4" w:space="0"/>
              <w:bottom w:val="single" w:color="231F20" w:sz="4" w:space="0"/>
              <w:right w:val="single" w:color="231F20" w:sz="4" w:space="0"/>
            </w:tcBorders>
          </w:tcPr>
          <w:p>
            <w:pPr>
              <w:pStyle w:val="11"/>
              <w:spacing w:before="50"/>
              <w:ind w:left="10"/>
              <w:jc w:val="center"/>
              <w:rPr>
                <w:rFonts w:hint="eastAsia" w:ascii="MS UI Gothic" w:eastAsia="MS UI Gothic"/>
                <w:sz w:val="15"/>
              </w:rPr>
            </w:pPr>
            <w:r>
              <w:rPr>
                <w:rFonts w:hint="eastAsia" w:ascii="MS UI Gothic" w:eastAsia="MS UI Gothic"/>
                <w:w w:val="75"/>
                <w:sz w:val="15"/>
              </w:rPr>
              <w:t>４</w:t>
            </w:r>
          </w:p>
        </w:tc>
        <w:tc>
          <w:tcPr>
            <w:tcW w:w="955" w:type="dxa"/>
            <w:tcBorders>
              <w:left w:val="single" w:color="231F20" w:sz="4" w:space="0"/>
              <w:bottom w:val="single" w:color="231F20" w:sz="4" w:space="0"/>
              <w:right w:val="single" w:color="231F20" w:sz="4" w:space="0"/>
            </w:tcBorders>
          </w:tcPr>
          <w:p>
            <w:pPr>
              <w:pStyle w:val="11"/>
              <w:spacing w:before="50"/>
              <w:ind w:left="9"/>
              <w:jc w:val="center"/>
              <w:rPr>
                <w:rFonts w:hint="eastAsia" w:ascii="MS UI Gothic" w:eastAsia="MS UI Gothic"/>
                <w:sz w:val="15"/>
              </w:rPr>
            </w:pPr>
            <w:r>
              <w:rPr>
                <w:rFonts w:hint="eastAsia" w:ascii="MS UI Gothic" w:eastAsia="MS UI Gothic"/>
                <w:w w:val="75"/>
                <w:sz w:val="15"/>
              </w:rPr>
              <w:t>６</w:t>
            </w:r>
          </w:p>
        </w:tc>
        <w:tc>
          <w:tcPr>
            <w:tcW w:w="955" w:type="dxa"/>
            <w:tcBorders>
              <w:left w:val="single" w:color="231F20" w:sz="4" w:space="0"/>
              <w:bottom w:val="single" w:color="231F20" w:sz="4" w:space="0"/>
              <w:right w:val="single" w:color="231F20" w:sz="4" w:space="0"/>
            </w:tcBorders>
          </w:tcPr>
          <w:p>
            <w:pPr>
              <w:pStyle w:val="11"/>
              <w:spacing w:before="50"/>
              <w:ind w:left="9"/>
              <w:jc w:val="center"/>
              <w:rPr>
                <w:rFonts w:hint="eastAsia" w:ascii="MS UI Gothic" w:eastAsia="MS UI Gothic"/>
                <w:sz w:val="15"/>
              </w:rPr>
            </w:pPr>
            <w:r>
              <w:rPr>
                <w:rFonts w:hint="eastAsia" w:ascii="MS UI Gothic" w:eastAsia="MS UI Gothic"/>
                <w:w w:val="75"/>
                <w:sz w:val="15"/>
              </w:rPr>
              <w:t>８</w:t>
            </w:r>
          </w:p>
        </w:tc>
        <w:tc>
          <w:tcPr>
            <w:tcW w:w="1122" w:type="dxa"/>
            <w:tcBorders>
              <w:left w:val="single" w:color="231F20" w:sz="4" w:space="0"/>
              <w:bottom w:val="single" w:color="231F20" w:sz="4" w:space="0"/>
            </w:tcBorders>
          </w:tcPr>
          <w:p>
            <w:pPr>
              <w:pStyle w:val="11"/>
              <w:spacing w:before="50"/>
              <w:ind w:left="309" w:right="292"/>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3024" w:type="dxa"/>
            <w:tcBorders>
              <w:top w:val="single" w:color="231F20" w:sz="4" w:space="0"/>
              <w:right w:val="single" w:color="231F20" w:sz="4" w:space="0"/>
            </w:tcBorders>
          </w:tcPr>
          <w:p>
            <w:pPr>
              <w:pStyle w:val="11"/>
              <w:spacing w:before="55"/>
              <w:ind w:left="766" w:right="755"/>
              <w:jc w:val="center"/>
              <w:rPr>
                <w:rFonts w:hint="eastAsia" w:ascii="MS UI Gothic" w:eastAsia="MS UI Gothic"/>
                <w:sz w:val="15"/>
              </w:rPr>
            </w:pPr>
            <w:r>
              <w:rPr>
                <w:sz w:val="15"/>
              </w:rPr>
              <w:t>过卷</w:t>
            </w:r>
            <w:r>
              <w:rPr>
                <w:rFonts w:hint="eastAsia" w:ascii="MS UI Gothic" w:eastAsia="MS UI Gothic"/>
                <w:sz w:val="15"/>
              </w:rPr>
              <w:t xml:space="preserve">、 </w:t>
            </w:r>
            <w:r>
              <w:rPr>
                <w:sz w:val="15"/>
              </w:rPr>
              <w:t>过放距离</w:t>
            </w:r>
            <w:r>
              <w:rPr>
                <w:rFonts w:hint="eastAsia" w:ascii="MS UI Gothic" w:eastAsia="MS UI Gothic"/>
                <w:w w:val="65"/>
                <w:sz w:val="15"/>
              </w:rPr>
              <w:t xml:space="preserve">/ </w:t>
            </w:r>
            <w:r>
              <w:rPr>
                <w:rFonts w:hint="eastAsia" w:ascii="MS UI Gothic" w:eastAsia="MS UI Gothic"/>
                <w:sz w:val="15"/>
              </w:rPr>
              <w:t>ｍ</w:t>
            </w:r>
          </w:p>
        </w:tc>
        <w:tc>
          <w:tcPr>
            <w:tcW w:w="955" w:type="dxa"/>
            <w:tcBorders>
              <w:top w:val="single" w:color="231F20" w:sz="4" w:space="0"/>
              <w:left w:val="single" w:color="231F20" w:sz="4" w:space="0"/>
              <w:right w:val="single" w:color="231F20" w:sz="4" w:space="0"/>
            </w:tcBorders>
          </w:tcPr>
          <w:p>
            <w:pPr>
              <w:pStyle w:val="11"/>
              <w:spacing w:before="55"/>
              <w:ind w:left="361"/>
              <w:rPr>
                <w:rFonts w:hint="eastAsia" w:ascii="MS UI Gothic" w:eastAsia="MS UI Gothic"/>
                <w:sz w:val="15"/>
              </w:rPr>
            </w:pPr>
            <w:r>
              <w:rPr>
                <w:rFonts w:hint="eastAsia" w:ascii="MS UI Gothic" w:eastAsia="MS UI Gothic"/>
                <w:w w:val="90"/>
                <w:sz w:val="15"/>
              </w:rPr>
              <w:t>４ ０</w:t>
            </w:r>
          </w:p>
        </w:tc>
        <w:tc>
          <w:tcPr>
            <w:tcW w:w="955" w:type="dxa"/>
            <w:tcBorders>
              <w:top w:val="single" w:color="231F20" w:sz="4" w:space="0"/>
              <w:left w:val="single" w:color="231F20" w:sz="4" w:space="0"/>
              <w:right w:val="single" w:color="231F20" w:sz="4" w:space="0"/>
            </w:tcBorders>
          </w:tcPr>
          <w:p>
            <w:pPr>
              <w:pStyle w:val="11"/>
              <w:spacing w:before="55"/>
              <w:ind w:left="140" w:right="130"/>
              <w:jc w:val="center"/>
              <w:rPr>
                <w:rFonts w:hint="eastAsia" w:ascii="MS UI Gothic" w:eastAsia="MS UI Gothic"/>
                <w:sz w:val="15"/>
              </w:rPr>
            </w:pPr>
            <w:r>
              <w:rPr>
                <w:rFonts w:hint="eastAsia" w:ascii="MS UI Gothic" w:eastAsia="MS UI Gothic"/>
                <w:w w:val="90"/>
                <w:sz w:val="15"/>
              </w:rPr>
              <w:t>４ ７５</w:t>
            </w:r>
          </w:p>
        </w:tc>
        <w:tc>
          <w:tcPr>
            <w:tcW w:w="955" w:type="dxa"/>
            <w:tcBorders>
              <w:top w:val="single" w:color="231F20" w:sz="4" w:space="0"/>
              <w:left w:val="single" w:color="231F20" w:sz="4" w:space="0"/>
              <w:right w:val="single" w:color="231F20" w:sz="4" w:space="0"/>
            </w:tcBorders>
          </w:tcPr>
          <w:p>
            <w:pPr>
              <w:pStyle w:val="11"/>
              <w:spacing w:before="55"/>
              <w:ind w:left="139" w:right="130"/>
              <w:jc w:val="center"/>
              <w:rPr>
                <w:rFonts w:hint="eastAsia" w:ascii="MS UI Gothic" w:eastAsia="MS UI Gothic"/>
                <w:sz w:val="15"/>
              </w:rPr>
            </w:pPr>
            <w:r>
              <w:rPr>
                <w:rFonts w:hint="eastAsia" w:ascii="MS UI Gothic" w:eastAsia="MS UI Gothic"/>
                <w:w w:val="90"/>
                <w:sz w:val="15"/>
              </w:rPr>
              <w:t>６ ５</w:t>
            </w:r>
          </w:p>
        </w:tc>
        <w:tc>
          <w:tcPr>
            <w:tcW w:w="955" w:type="dxa"/>
            <w:tcBorders>
              <w:top w:val="single" w:color="231F20" w:sz="4" w:space="0"/>
              <w:left w:val="single" w:color="231F20" w:sz="4" w:space="0"/>
              <w:right w:val="single" w:color="231F20" w:sz="4" w:space="0"/>
            </w:tcBorders>
          </w:tcPr>
          <w:p>
            <w:pPr>
              <w:pStyle w:val="11"/>
              <w:spacing w:before="55"/>
              <w:ind w:left="139" w:right="130"/>
              <w:jc w:val="center"/>
              <w:rPr>
                <w:rFonts w:hint="eastAsia" w:ascii="MS UI Gothic" w:eastAsia="MS UI Gothic"/>
                <w:sz w:val="15"/>
              </w:rPr>
            </w:pPr>
            <w:r>
              <w:rPr>
                <w:rFonts w:hint="eastAsia" w:ascii="MS UI Gothic" w:eastAsia="MS UI Gothic"/>
                <w:w w:val="90"/>
                <w:sz w:val="15"/>
              </w:rPr>
              <w:t>８ ２５</w:t>
            </w:r>
          </w:p>
        </w:tc>
        <w:tc>
          <w:tcPr>
            <w:tcW w:w="1122" w:type="dxa"/>
            <w:tcBorders>
              <w:top w:val="single" w:color="231F20" w:sz="4" w:space="0"/>
              <w:left w:val="single" w:color="231F20" w:sz="4" w:space="0"/>
            </w:tcBorders>
          </w:tcPr>
          <w:p>
            <w:pPr>
              <w:pStyle w:val="11"/>
              <w:spacing w:before="55"/>
              <w:ind w:left="309" w:right="292"/>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r>
    </w:tbl>
    <w:p>
      <w:pPr>
        <w:spacing w:before="78"/>
        <w:ind w:left="283" w:right="0" w:firstLine="0"/>
        <w:jc w:val="left"/>
        <w:rPr>
          <w:rFonts w:hint="eastAsia" w:ascii="MS UI Gothic" w:hAnsi="MS UI Gothic" w:eastAsia="MS UI Gothic"/>
          <w:sz w:val="15"/>
        </w:rPr>
      </w:pPr>
      <w:r>
        <w:rPr>
          <w:rFonts w:hint="eastAsia" w:ascii="MS UI Gothic" w:hAnsi="MS UI Gothic" w:eastAsia="MS UI Gothic"/>
          <w:w w:val="190"/>
          <w:sz w:val="15"/>
        </w:rPr>
        <w:t>∗</w:t>
      </w:r>
      <w:r>
        <w:rPr>
          <w:w w:val="105"/>
          <w:sz w:val="15"/>
        </w:rPr>
        <w:t xml:space="preserve">提升速度为表 </w:t>
      </w:r>
      <w:r>
        <w:rPr>
          <w:rFonts w:hint="eastAsia" w:ascii="MS UI Gothic" w:hAnsi="MS UI Gothic" w:eastAsia="MS UI Gothic"/>
          <w:w w:val="80"/>
          <w:sz w:val="15"/>
        </w:rPr>
        <w:t xml:space="preserve">８ </w:t>
      </w:r>
      <w:r>
        <w:rPr>
          <w:w w:val="105"/>
          <w:sz w:val="15"/>
        </w:rPr>
        <w:t>中所列速度的中间值时</w:t>
      </w:r>
      <w:r>
        <w:rPr>
          <w:rFonts w:hint="eastAsia" w:ascii="MS UI Gothic" w:hAnsi="MS UI Gothic" w:eastAsia="MS UI Gothic"/>
          <w:w w:val="80"/>
          <w:sz w:val="15"/>
        </w:rPr>
        <w:t xml:space="preserve">ꎬ </w:t>
      </w:r>
      <w:r>
        <w:rPr>
          <w:w w:val="105"/>
          <w:sz w:val="15"/>
        </w:rPr>
        <w:t>用插值法计算</w:t>
      </w:r>
      <w:r>
        <w:rPr>
          <w:rFonts w:hint="eastAsia" w:ascii="MS UI Gothic" w:hAnsi="MS UI Gothic" w:eastAsia="MS UI Gothic"/>
          <w:w w:val="80"/>
          <w:sz w:val="15"/>
        </w:rPr>
        <w:t>ꎮ</w:t>
      </w:r>
    </w:p>
    <w:p>
      <w:pPr>
        <w:pStyle w:val="6"/>
        <w:spacing w:before="11"/>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2"/>
        <w:ind w:left="0" w:firstLine="0"/>
        <w:jc w:val="left"/>
        <w:rPr>
          <w:rFonts w:ascii="MS UI Gothic"/>
          <w:sz w:val="25"/>
        </w:rPr>
      </w:pPr>
    </w:p>
    <w:p>
      <w:pPr>
        <w:pStyle w:val="6"/>
        <w:tabs>
          <w:tab w:val="left" w:pos="1591"/>
        </w:tabs>
        <w:ind w:left="753" w:firstLine="0"/>
        <w:jc w:val="left"/>
      </w:pPr>
      <w:r>
        <w:rPr>
          <w:spacing w:val="3"/>
          <w:w w:val="105"/>
        </w:rPr>
        <w:t>第三</w:t>
      </w:r>
      <w:r>
        <w:rPr>
          <w:w w:val="105"/>
        </w:rPr>
        <w:t>节</w:t>
      </w:r>
      <w:r>
        <w:rPr>
          <w:w w:val="105"/>
        </w:rPr>
        <w:tab/>
      </w:r>
      <w:r>
        <w:rPr>
          <w:spacing w:val="3"/>
          <w:w w:val="105"/>
        </w:rPr>
        <w:t>钢丝绳和连接装</w:t>
      </w:r>
      <w:r>
        <w:rPr>
          <w:w w:val="105"/>
        </w:rPr>
        <w:t>置</w:t>
      </w:r>
    </w:p>
    <w:p>
      <w:pPr>
        <w:pStyle w:val="6"/>
        <w:spacing w:before="10"/>
        <w:ind w:left="0" w:firstLine="0"/>
        <w:jc w:val="left"/>
        <w:rPr>
          <w:sz w:val="16"/>
        </w:rPr>
      </w:pPr>
    </w:p>
    <w:p>
      <w:pPr>
        <w:pStyle w:val="6"/>
        <w:tabs>
          <w:tab w:val="left" w:pos="2011"/>
        </w:tabs>
        <w:ind w:left="543" w:firstLine="0"/>
        <w:jc w:val="left"/>
      </w:pPr>
      <w:r>
        <w:rPr>
          <w:spacing w:val="3"/>
          <w:w w:val="105"/>
        </w:rPr>
        <w:t>第四百零八</w:t>
      </w:r>
      <w:r>
        <w:rPr>
          <w:w w:val="105"/>
        </w:rPr>
        <w:t>条</w:t>
      </w:r>
      <w:r>
        <w:rPr>
          <w:w w:val="105"/>
        </w:rPr>
        <w:tab/>
      </w:r>
      <w:r>
        <w:rPr>
          <w:spacing w:val="3"/>
        </w:rPr>
        <w:t>各种用途钢丝绳的</w:t>
      </w:r>
      <w:r>
        <w:rPr>
          <w:spacing w:val="-13"/>
        </w:rPr>
        <w:t>安</w:t>
      </w:r>
    </w:p>
    <w:p>
      <w:pPr>
        <w:pStyle w:val="6"/>
        <w:spacing w:before="175"/>
        <w:ind w:left="383" w:firstLine="0"/>
        <w:jc w:val="left"/>
        <w:rPr>
          <w:rFonts w:hint="eastAsia" w:ascii="MS UI Gothic" w:eastAsia="MS UI Gothic"/>
        </w:rPr>
      </w:pPr>
      <w:r>
        <w:br w:type="column"/>
      </w:r>
      <w:r>
        <w:rPr>
          <w:spacing w:val="3"/>
          <w:w w:val="105"/>
        </w:rPr>
        <w:t>全系数</w:t>
      </w:r>
      <w:r>
        <w:rPr>
          <w:rFonts w:hint="eastAsia" w:ascii="MS UI Gothic" w:eastAsia="MS UI Gothic"/>
          <w:spacing w:val="6"/>
          <w:w w:val="80"/>
        </w:rPr>
        <w:t xml:space="preserve">ꎬ </w:t>
      </w:r>
      <w:r>
        <w:rPr>
          <w:spacing w:val="3"/>
          <w:w w:val="105"/>
        </w:rPr>
        <w:t>必须符合下列要求</w:t>
      </w:r>
      <w:r>
        <w:rPr>
          <w:rFonts w:hint="eastAsia" w:ascii="MS UI Gothic" w:eastAsia="MS UI Gothic"/>
          <w:w w:val="105"/>
        </w:rPr>
        <w:t>:</w:t>
      </w:r>
    </w:p>
    <w:p>
      <w:pPr>
        <w:pStyle w:val="6"/>
        <w:spacing w:before="58" w:line="295" w:lineRule="auto"/>
        <w:ind w:left="383" w:right="442"/>
        <w:jc w:val="left"/>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各种用途钢丝绳悬挂时的安全</w:t>
      </w:r>
      <w:r>
        <w:rPr>
          <w:spacing w:val="3"/>
          <w:w w:val="105"/>
        </w:rPr>
        <w:t>系数</w:t>
      </w:r>
      <w:r>
        <w:rPr>
          <w:rFonts w:hint="eastAsia" w:ascii="MS UI Gothic" w:eastAsia="MS UI Gothic"/>
          <w:spacing w:val="22"/>
          <w:w w:val="80"/>
        </w:rPr>
        <w:t xml:space="preserve">ꎬ </w:t>
      </w:r>
      <w:r>
        <w:rPr>
          <w:spacing w:val="-9"/>
          <w:w w:val="105"/>
        </w:rPr>
        <w:t xml:space="preserve">必须符合表 </w:t>
      </w:r>
      <w:r>
        <w:rPr>
          <w:rFonts w:hint="eastAsia" w:ascii="MS UI Gothic" w:eastAsia="MS UI Gothic"/>
          <w:spacing w:val="1"/>
          <w:w w:val="80"/>
        </w:rPr>
        <w:t xml:space="preserve">９ </w:t>
      </w:r>
      <w:r>
        <w:rPr>
          <w:spacing w:val="3"/>
          <w:w w:val="105"/>
        </w:rPr>
        <w:t>的要求</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894" w:space="40"/>
            <w:col w:w="4606"/>
          </w:cols>
        </w:sectPr>
      </w:pPr>
    </w:p>
    <w:p>
      <w:pPr>
        <w:pStyle w:val="6"/>
        <w:spacing w:before="10"/>
        <w:ind w:left="0" w:firstLine="0"/>
        <w:jc w:val="left"/>
        <w:rPr>
          <w:rFonts w:ascii="MS UI Gothic"/>
          <w:sz w:val="10"/>
        </w:rPr>
      </w:pPr>
    </w:p>
    <w:p>
      <w:pPr>
        <w:pStyle w:val="6"/>
        <w:spacing w:before="175"/>
        <w:ind w:left="310" w:right="628" w:firstLine="0"/>
        <w:jc w:val="center"/>
      </w:pPr>
      <w:r>
        <w:rPr>
          <w:w w:val="95"/>
        </w:rPr>
        <w:t xml:space="preserve">表 </w:t>
      </w:r>
      <w:r>
        <w:rPr>
          <w:rFonts w:hint="eastAsia" w:ascii="MS UI Gothic" w:eastAsia="MS UI Gothic"/>
          <w:w w:val="95"/>
        </w:rPr>
        <w:t xml:space="preserve">９  </w:t>
      </w:r>
      <w:r>
        <w:rPr>
          <w:w w:val="95"/>
        </w:rPr>
        <w:t>钢丝绳安全系数最小值</w:t>
      </w:r>
    </w:p>
    <w:p>
      <w:pPr>
        <w:pStyle w:val="6"/>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273"/>
        <w:gridCol w:w="1910"/>
        <w:gridCol w:w="1910"/>
        <w:gridCol w:w="287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5093" w:type="dxa"/>
            <w:gridSpan w:val="3"/>
            <w:tcBorders>
              <w:bottom w:val="single" w:color="231F20" w:sz="4" w:space="0"/>
              <w:right w:val="single" w:color="231F20" w:sz="4" w:space="0"/>
            </w:tcBorders>
          </w:tcPr>
          <w:p>
            <w:pPr>
              <w:pStyle w:val="11"/>
              <w:spacing w:before="50"/>
              <w:ind w:left="1972" w:right="1963"/>
              <w:jc w:val="center"/>
              <w:rPr>
                <w:sz w:val="15"/>
              </w:rPr>
            </w:pPr>
            <w:r>
              <w:rPr>
                <w:w w:val="105"/>
                <w:sz w:val="15"/>
              </w:rPr>
              <w:t>用  途  分  类</w:t>
            </w:r>
          </w:p>
        </w:tc>
        <w:tc>
          <w:tcPr>
            <w:tcW w:w="2873" w:type="dxa"/>
            <w:tcBorders>
              <w:left w:val="single" w:color="231F20" w:sz="4" w:space="0"/>
              <w:bottom w:val="single" w:color="231F20" w:sz="4" w:space="0"/>
            </w:tcBorders>
          </w:tcPr>
          <w:p>
            <w:pPr>
              <w:pStyle w:val="11"/>
              <w:spacing w:before="50"/>
              <w:ind w:left="723"/>
              <w:rPr>
                <w:sz w:val="15"/>
              </w:rPr>
            </w:pPr>
            <w:r>
              <w:rPr>
                <w:w w:val="115"/>
                <w:sz w:val="15"/>
              </w:rPr>
              <w:t>安全系数</w:t>
            </w:r>
            <w:r>
              <w:rPr>
                <w:rFonts w:hint="eastAsia" w:ascii="MS UI Gothic" w:hAnsi="MS UI Gothic" w:eastAsia="MS UI Gothic"/>
                <w:w w:val="190"/>
                <w:sz w:val="15"/>
              </w:rPr>
              <w:t>∗</w:t>
            </w:r>
            <w:r>
              <w:rPr>
                <w:w w:val="115"/>
                <w:sz w:val="15"/>
              </w:rPr>
              <w:t>的最小值</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273" w:type="dxa"/>
            <w:vMerge w:val="restart"/>
            <w:tcBorders>
              <w:top w:val="single" w:color="231F20" w:sz="4" w:space="0"/>
              <w:right w:val="single" w:color="231F20" w:sz="4" w:space="0"/>
            </w:tcBorders>
          </w:tcPr>
          <w:p>
            <w:pPr>
              <w:pStyle w:val="11"/>
              <w:rPr>
                <w:sz w:val="18"/>
              </w:rPr>
            </w:pPr>
          </w:p>
          <w:p>
            <w:pPr>
              <w:pStyle w:val="11"/>
              <w:spacing w:before="5"/>
              <w:rPr>
                <w:sz w:val="15"/>
              </w:rPr>
            </w:pPr>
          </w:p>
          <w:p>
            <w:pPr>
              <w:pStyle w:val="11"/>
              <w:spacing w:line="328" w:lineRule="auto"/>
              <w:ind w:left="317" w:right="305" w:firstLine="159"/>
              <w:rPr>
                <w:sz w:val="15"/>
              </w:rPr>
            </w:pPr>
            <w:r>
              <w:rPr>
                <w:w w:val="105"/>
                <w:sz w:val="15"/>
              </w:rPr>
              <w:t>单 绳 缠绕式提升装置</w:t>
            </w:r>
          </w:p>
        </w:tc>
        <w:tc>
          <w:tcPr>
            <w:tcW w:w="3820" w:type="dxa"/>
            <w:gridSpan w:val="2"/>
            <w:tcBorders>
              <w:top w:val="single" w:color="231F20" w:sz="4" w:space="0"/>
              <w:left w:val="single" w:color="231F20" w:sz="4" w:space="0"/>
              <w:bottom w:val="single" w:color="231F20" w:sz="4" w:space="0"/>
              <w:right w:val="single" w:color="231F20" w:sz="4" w:space="0"/>
            </w:tcBorders>
          </w:tcPr>
          <w:p>
            <w:pPr>
              <w:pStyle w:val="11"/>
              <w:spacing w:before="55"/>
              <w:ind w:left="1419" w:right="1405"/>
              <w:jc w:val="center"/>
              <w:rPr>
                <w:sz w:val="15"/>
              </w:rPr>
            </w:pPr>
            <w:r>
              <w:rPr>
                <w:w w:val="105"/>
                <w:sz w:val="15"/>
              </w:rPr>
              <w:t>专为升降人员</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eastAsia="MS UI Gothic"/>
                <w:sz w:val="15"/>
              </w:rPr>
            </w:pPr>
            <w:r>
              <w:rPr>
                <w:rFonts w:hint="eastAsia" w:ascii="MS UI Gothic" w:eastAsia="MS UI Gothic"/>
                <w:w w:val="75"/>
                <w:sz w:val="15"/>
              </w:rPr>
              <w:t>９</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98" w:hRule="atLeast"/>
        </w:trPr>
        <w:tc>
          <w:tcPr>
            <w:tcW w:w="1273" w:type="dxa"/>
            <w:vMerge w:val="continue"/>
            <w:tcBorders>
              <w:top w:val="nil"/>
              <w:right w:val="single" w:color="231F20" w:sz="4" w:space="0"/>
            </w:tcBorders>
          </w:tcPr>
          <w:p>
            <w:pPr>
              <w:rPr>
                <w:sz w:val="2"/>
                <w:szCs w:val="2"/>
              </w:rPr>
            </w:pPr>
          </w:p>
        </w:tc>
        <w:tc>
          <w:tcPr>
            <w:tcW w:w="1910" w:type="dxa"/>
            <w:vMerge w:val="restart"/>
            <w:tcBorders>
              <w:top w:val="single" w:color="231F20" w:sz="4" w:space="0"/>
              <w:left w:val="single" w:color="231F20" w:sz="4" w:space="0"/>
              <w:bottom w:val="single" w:color="231F20" w:sz="4" w:space="0"/>
              <w:right w:val="single" w:color="231F20" w:sz="4" w:space="0"/>
            </w:tcBorders>
          </w:tcPr>
          <w:p>
            <w:pPr>
              <w:pStyle w:val="11"/>
              <w:spacing w:before="6"/>
              <w:rPr>
                <w:sz w:val="18"/>
              </w:rPr>
            </w:pPr>
          </w:p>
          <w:p>
            <w:pPr>
              <w:pStyle w:val="11"/>
              <w:spacing w:line="328" w:lineRule="auto"/>
              <w:ind w:left="720" w:right="624" w:hanging="80"/>
              <w:rPr>
                <w:sz w:val="15"/>
              </w:rPr>
            </w:pPr>
            <w:r>
              <w:rPr>
                <w:w w:val="105"/>
                <w:sz w:val="15"/>
              </w:rPr>
              <w:t>升降人员和物料</w:t>
            </w:r>
          </w:p>
        </w:tc>
        <w:tc>
          <w:tcPr>
            <w:tcW w:w="1910" w:type="dxa"/>
            <w:tcBorders>
              <w:top w:val="single" w:color="231F20" w:sz="4" w:space="0"/>
              <w:left w:val="single" w:color="231F20" w:sz="4" w:space="0"/>
              <w:bottom w:val="single" w:color="231F20" w:sz="4" w:space="0"/>
              <w:right w:val="single" w:color="231F20" w:sz="4" w:space="0"/>
            </w:tcBorders>
          </w:tcPr>
          <w:p>
            <w:pPr>
              <w:pStyle w:val="11"/>
              <w:spacing w:before="50"/>
              <w:ind w:left="344" w:right="330"/>
              <w:jc w:val="center"/>
              <w:rPr>
                <w:sz w:val="15"/>
              </w:rPr>
            </w:pPr>
            <w:r>
              <w:rPr>
                <w:w w:val="105"/>
                <w:sz w:val="15"/>
              </w:rPr>
              <w:t>升降人员时</w:t>
            </w:r>
          </w:p>
        </w:tc>
        <w:tc>
          <w:tcPr>
            <w:tcW w:w="2873" w:type="dxa"/>
            <w:tcBorders>
              <w:top w:val="single" w:color="231F20" w:sz="4" w:space="0"/>
              <w:left w:val="single" w:color="231F20" w:sz="4" w:space="0"/>
              <w:bottom w:val="single" w:color="231F20" w:sz="4" w:space="0"/>
            </w:tcBorders>
          </w:tcPr>
          <w:p>
            <w:pPr>
              <w:pStyle w:val="11"/>
              <w:spacing w:before="50"/>
              <w:ind w:left="264"/>
              <w:rPr>
                <w:rFonts w:hint="eastAsia" w:ascii="MS UI Gothic" w:eastAsia="MS UI Gothic"/>
                <w:sz w:val="15"/>
              </w:rPr>
            </w:pPr>
            <w:r>
              <w:rPr>
                <w:rFonts w:hint="eastAsia" w:ascii="MS UI Gothic" w:eastAsia="MS UI Gothic"/>
                <w:w w:val="75"/>
                <w:sz w:val="15"/>
              </w:rPr>
              <w:t>９</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98" w:hRule="atLeast"/>
        </w:trPr>
        <w:tc>
          <w:tcPr>
            <w:tcW w:w="1273" w:type="dxa"/>
            <w:vMerge w:val="continue"/>
            <w:tcBorders>
              <w:top w:val="nil"/>
              <w:right w:val="single" w:color="231F20" w:sz="4" w:space="0"/>
            </w:tcBorders>
          </w:tcPr>
          <w:p>
            <w:pPr>
              <w:rPr>
                <w:sz w:val="2"/>
                <w:szCs w:val="2"/>
              </w:rPr>
            </w:pPr>
          </w:p>
        </w:tc>
        <w:tc>
          <w:tcPr>
            <w:tcW w:w="1910" w:type="dxa"/>
            <w:vMerge w:val="continue"/>
            <w:tcBorders>
              <w:top w:val="nil"/>
              <w:left w:val="single" w:color="231F20" w:sz="4" w:space="0"/>
              <w:bottom w:val="single" w:color="231F20" w:sz="4" w:space="0"/>
              <w:right w:val="single" w:color="231F20" w:sz="4" w:space="0"/>
            </w:tcBorders>
          </w:tcPr>
          <w:p>
            <w:pPr>
              <w:rPr>
                <w:sz w:val="2"/>
                <w:szCs w:val="2"/>
              </w:rPr>
            </w:pPr>
          </w:p>
        </w:tc>
        <w:tc>
          <w:tcPr>
            <w:tcW w:w="1910" w:type="dxa"/>
            <w:tcBorders>
              <w:top w:val="single" w:color="231F20" w:sz="4" w:space="0"/>
              <w:left w:val="single" w:color="231F20" w:sz="4" w:space="0"/>
              <w:bottom w:val="single" w:color="231F20" w:sz="4" w:space="0"/>
              <w:right w:val="single" w:color="231F20" w:sz="4" w:space="0"/>
            </w:tcBorders>
          </w:tcPr>
          <w:p>
            <w:pPr>
              <w:pStyle w:val="11"/>
              <w:spacing w:before="50"/>
              <w:ind w:left="344" w:right="330"/>
              <w:jc w:val="center"/>
              <w:rPr>
                <w:rFonts w:hint="eastAsia" w:ascii="MS UI Gothic" w:hAnsi="MS UI Gothic" w:eastAsia="MS UI Gothic"/>
                <w:sz w:val="15"/>
              </w:rPr>
            </w:pPr>
            <w:r>
              <w:rPr>
                <w:w w:val="120"/>
                <w:sz w:val="15"/>
              </w:rPr>
              <w:t>混合提升时</w:t>
            </w:r>
            <w:r>
              <w:rPr>
                <w:rFonts w:hint="eastAsia" w:ascii="MS UI Gothic" w:hAnsi="MS UI Gothic" w:eastAsia="MS UI Gothic"/>
                <w:w w:val="190"/>
                <w:sz w:val="15"/>
              </w:rPr>
              <w:t>∗∗</w:t>
            </w:r>
          </w:p>
        </w:tc>
        <w:tc>
          <w:tcPr>
            <w:tcW w:w="2873" w:type="dxa"/>
            <w:tcBorders>
              <w:top w:val="single" w:color="231F20" w:sz="4" w:space="0"/>
              <w:left w:val="single" w:color="231F20" w:sz="4" w:space="0"/>
              <w:bottom w:val="single" w:color="231F20" w:sz="4" w:space="0"/>
            </w:tcBorders>
          </w:tcPr>
          <w:p>
            <w:pPr>
              <w:pStyle w:val="11"/>
              <w:spacing w:before="50"/>
              <w:ind w:left="264"/>
              <w:rPr>
                <w:rFonts w:hint="eastAsia" w:ascii="MS UI Gothic" w:eastAsia="MS UI Gothic"/>
                <w:sz w:val="15"/>
              </w:rPr>
            </w:pPr>
            <w:r>
              <w:rPr>
                <w:rFonts w:hint="eastAsia" w:ascii="MS UI Gothic" w:eastAsia="MS UI Gothic"/>
                <w:w w:val="75"/>
                <w:sz w:val="15"/>
              </w:rPr>
              <w:t>９</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98" w:hRule="atLeast"/>
        </w:trPr>
        <w:tc>
          <w:tcPr>
            <w:tcW w:w="1273" w:type="dxa"/>
            <w:vMerge w:val="continue"/>
            <w:tcBorders>
              <w:top w:val="nil"/>
              <w:right w:val="single" w:color="231F20" w:sz="4" w:space="0"/>
            </w:tcBorders>
          </w:tcPr>
          <w:p>
            <w:pPr>
              <w:rPr>
                <w:sz w:val="2"/>
                <w:szCs w:val="2"/>
              </w:rPr>
            </w:pPr>
          </w:p>
        </w:tc>
        <w:tc>
          <w:tcPr>
            <w:tcW w:w="1910" w:type="dxa"/>
            <w:vMerge w:val="continue"/>
            <w:tcBorders>
              <w:top w:val="nil"/>
              <w:left w:val="single" w:color="231F20" w:sz="4" w:space="0"/>
              <w:bottom w:val="single" w:color="231F20" w:sz="4" w:space="0"/>
              <w:right w:val="single" w:color="231F20" w:sz="4" w:space="0"/>
            </w:tcBorders>
          </w:tcPr>
          <w:p>
            <w:pPr>
              <w:rPr>
                <w:sz w:val="2"/>
                <w:szCs w:val="2"/>
              </w:rPr>
            </w:pPr>
          </w:p>
        </w:tc>
        <w:tc>
          <w:tcPr>
            <w:tcW w:w="1910" w:type="dxa"/>
            <w:tcBorders>
              <w:top w:val="single" w:color="231F20" w:sz="4" w:space="0"/>
              <w:left w:val="single" w:color="231F20" w:sz="4" w:space="0"/>
              <w:bottom w:val="single" w:color="231F20" w:sz="4" w:space="0"/>
              <w:right w:val="single" w:color="231F20" w:sz="4" w:space="0"/>
            </w:tcBorders>
          </w:tcPr>
          <w:p>
            <w:pPr>
              <w:pStyle w:val="11"/>
              <w:spacing w:before="50"/>
              <w:ind w:left="344" w:right="330"/>
              <w:jc w:val="center"/>
              <w:rPr>
                <w:sz w:val="15"/>
              </w:rPr>
            </w:pPr>
            <w:r>
              <w:rPr>
                <w:w w:val="105"/>
                <w:sz w:val="15"/>
              </w:rPr>
              <w:t>升降物料时</w:t>
            </w:r>
          </w:p>
        </w:tc>
        <w:tc>
          <w:tcPr>
            <w:tcW w:w="2873" w:type="dxa"/>
            <w:tcBorders>
              <w:top w:val="single" w:color="231F20" w:sz="4" w:space="0"/>
              <w:left w:val="single" w:color="231F20" w:sz="4" w:space="0"/>
              <w:bottom w:val="single" w:color="231F20" w:sz="4" w:space="0"/>
            </w:tcBorders>
          </w:tcPr>
          <w:p>
            <w:pPr>
              <w:pStyle w:val="11"/>
              <w:spacing w:before="50"/>
              <w:ind w:left="264"/>
              <w:rPr>
                <w:rFonts w:hint="eastAsia" w:ascii="MS UI Gothic" w:eastAsia="MS UI Gothic"/>
                <w:sz w:val="15"/>
              </w:rPr>
            </w:pPr>
            <w:r>
              <w:rPr>
                <w:rFonts w:hint="eastAsia" w:ascii="MS UI Gothic" w:eastAsia="MS UI Gothic"/>
                <w:w w:val="90"/>
                <w:sz w:val="15"/>
              </w:rPr>
              <w:t>７ 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98" w:hRule="atLeast"/>
        </w:trPr>
        <w:tc>
          <w:tcPr>
            <w:tcW w:w="1273" w:type="dxa"/>
            <w:vMerge w:val="continue"/>
            <w:tcBorders>
              <w:top w:val="nil"/>
              <w:right w:val="single" w:color="231F20" w:sz="4" w:space="0"/>
            </w:tcBorders>
          </w:tcPr>
          <w:p>
            <w:pPr>
              <w:rPr>
                <w:sz w:val="2"/>
                <w:szCs w:val="2"/>
              </w:rPr>
            </w:pPr>
          </w:p>
        </w:tc>
        <w:tc>
          <w:tcPr>
            <w:tcW w:w="3820" w:type="dxa"/>
            <w:gridSpan w:val="2"/>
            <w:tcBorders>
              <w:top w:val="single" w:color="231F20" w:sz="4" w:space="0"/>
              <w:left w:val="single" w:color="231F20" w:sz="4" w:space="0"/>
              <w:right w:val="single" w:color="231F20" w:sz="4" w:space="0"/>
            </w:tcBorders>
          </w:tcPr>
          <w:p>
            <w:pPr>
              <w:pStyle w:val="11"/>
              <w:spacing w:before="50"/>
              <w:ind w:left="1419" w:right="1405"/>
              <w:jc w:val="center"/>
              <w:rPr>
                <w:sz w:val="15"/>
              </w:rPr>
            </w:pPr>
            <w:r>
              <w:rPr>
                <w:w w:val="105"/>
                <w:sz w:val="15"/>
              </w:rPr>
              <w:t>专为升降物料</w:t>
            </w:r>
          </w:p>
        </w:tc>
        <w:tc>
          <w:tcPr>
            <w:tcW w:w="2873" w:type="dxa"/>
            <w:tcBorders>
              <w:top w:val="single" w:color="231F20" w:sz="4" w:space="0"/>
              <w:left w:val="single" w:color="231F20" w:sz="4" w:space="0"/>
            </w:tcBorders>
          </w:tcPr>
          <w:p>
            <w:pPr>
              <w:pStyle w:val="11"/>
              <w:spacing w:before="50"/>
              <w:ind w:left="264"/>
              <w:rPr>
                <w:rFonts w:hint="eastAsia" w:ascii="MS UI Gothic" w:eastAsia="MS UI Gothic"/>
                <w:sz w:val="15"/>
              </w:rPr>
            </w:pPr>
            <w:r>
              <w:rPr>
                <w:rFonts w:hint="eastAsia" w:ascii="MS UI Gothic" w:eastAsia="MS UI Gothic"/>
                <w:w w:val="90"/>
                <w:sz w:val="15"/>
              </w:rPr>
              <w:t>６ ５</w:t>
            </w:r>
          </w:p>
        </w:tc>
      </w:tr>
    </w:tbl>
    <w:p>
      <w:pPr>
        <w:spacing w:after="0"/>
        <w:rPr>
          <w:rFonts w:hint="eastAsia" w:ascii="MS UI Gothic" w:eastAsia="MS UI Gothic"/>
          <w:sz w:val="15"/>
        </w:rPr>
        <w:sectPr>
          <w:type w:val="continuous"/>
          <w:pgSz w:w="10500" w:h="14750"/>
          <w:pgMar w:top="1400" w:right="980" w:bottom="280" w:left="980" w:header="720" w:footer="720" w:gutter="0"/>
        </w:sectPr>
      </w:pPr>
    </w:p>
    <w:p>
      <w:pPr>
        <w:spacing w:before="192"/>
        <w:ind w:left="3705" w:right="2" w:firstLine="0"/>
        <w:jc w:val="center"/>
        <w:rPr>
          <w:sz w:val="17"/>
        </w:rPr>
      </w:pPr>
      <w:r>
        <w:rPr>
          <w:spacing w:val="3"/>
          <w:sz w:val="17"/>
        </w:rPr>
        <w:t>四</w:t>
      </w:r>
      <w:r>
        <w:rPr>
          <w:rFonts w:hint="eastAsia" w:ascii="Microsoft Yi Baiti" w:eastAsia="Microsoft Yi Baiti"/>
          <w:spacing w:val="9"/>
          <w:sz w:val="17"/>
        </w:rPr>
        <w:t xml:space="preserve">、 </w:t>
      </w:r>
      <w:r>
        <w:rPr>
          <w:spacing w:val="-20"/>
          <w:sz w:val="17"/>
        </w:rPr>
        <w:t>安 全 生 产 法</w:t>
      </w:r>
    </w:p>
    <w:p>
      <w:pPr>
        <w:pStyle w:val="6"/>
        <w:spacing w:before="8"/>
        <w:ind w:left="0" w:firstLine="0"/>
        <w:jc w:val="left"/>
        <w:rPr>
          <w:sz w:val="23"/>
        </w:rPr>
      </w:pPr>
    </w:p>
    <w:p>
      <w:pPr>
        <w:pStyle w:val="6"/>
        <w:ind w:left="3690" w:right="2" w:firstLine="0"/>
        <w:jc w:val="center"/>
        <w:rPr>
          <w:rFonts w:hint="eastAsia" w:ascii="Microsoft Yi Baiti" w:eastAsia="Microsoft Yi Baiti"/>
        </w:rPr>
      </w:pPr>
      <w:r>
        <w:rPr>
          <w:w w:val="90"/>
        </w:rPr>
        <w:t xml:space="preserve">表 </w:t>
      </w:r>
      <w:r>
        <w:rPr>
          <w:rFonts w:hint="eastAsia" w:ascii="MS UI Gothic" w:eastAsia="MS UI Gothic"/>
          <w:w w:val="90"/>
        </w:rPr>
        <w:t xml:space="preserve">９ </w:t>
      </w:r>
      <w:r>
        <w:rPr>
          <w:rFonts w:hint="eastAsia" w:ascii="Microsoft Yi Baiti" w:eastAsia="Microsoft Yi Baiti"/>
          <w:w w:val="90"/>
        </w:rPr>
        <w:t xml:space="preserve">( </w:t>
      </w:r>
      <w:r>
        <w:rPr>
          <w:w w:val="90"/>
        </w:rPr>
        <w:t>续</w:t>
      </w:r>
      <w:r>
        <w:rPr>
          <w:rFonts w:hint="eastAsia" w:ascii="Microsoft Yi Baiti" w:eastAsia="Microsoft Yi Baiti"/>
          <w:w w:val="90"/>
        </w:rPr>
        <w:t>)</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３０１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
        <w:ind w:left="0" w:firstLine="0"/>
        <w:jc w:val="left"/>
        <w:rPr>
          <w:rFonts w:ascii="MS UI Gothic"/>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273"/>
        <w:gridCol w:w="1910"/>
        <w:gridCol w:w="1910"/>
        <w:gridCol w:w="287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5093" w:type="dxa"/>
            <w:gridSpan w:val="3"/>
            <w:tcBorders>
              <w:bottom w:val="single" w:color="231F20" w:sz="4" w:space="0"/>
              <w:right w:val="single" w:color="231F20" w:sz="4" w:space="0"/>
            </w:tcBorders>
          </w:tcPr>
          <w:p>
            <w:pPr>
              <w:pStyle w:val="11"/>
              <w:spacing w:before="50"/>
              <w:ind w:left="1972" w:right="1963"/>
              <w:jc w:val="center"/>
              <w:rPr>
                <w:sz w:val="15"/>
              </w:rPr>
            </w:pPr>
            <w:r>
              <w:rPr>
                <w:w w:val="105"/>
                <w:sz w:val="15"/>
              </w:rPr>
              <w:t>用  途  分  类</w:t>
            </w:r>
          </w:p>
        </w:tc>
        <w:tc>
          <w:tcPr>
            <w:tcW w:w="2873" w:type="dxa"/>
            <w:tcBorders>
              <w:left w:val="single" w:color="231F20" w:sz="4" w:space="0"/>
              <w:bottom w:val="single" w:color="231F20" w:sz="4" w:space="0"/>
            </w:tcBorders>
          </w:tcPr>
          <w:p>
            <w:pPr>
              <w:pStyle w:val="11"/>
              <w:spacing w:before="50"/>
              <w:ind w:left="723"/>
              <w:rPr>
                <w:sz w:val="15"/>
              </w:rPr>
            </w:pPr>
            <w:r>
              <w:rPr>
                <w:w w:val="115"/>
                <w:sz w:val="15"/>
              </w:rPr>
              <w:t>安全系数</w:t>
            </w:r>
            <w:r>
              <w:rPr>
                <w:rFonts w:hint="eastAsia" w:ascii="MS UI Gothic" w:hAnsi="MS UI Gothic" w:eastAsia="MS UI Gothic"/>
                <w:w w:val="190"/>
                <w:sz w:val="15"/>
              </w:rPr>
              <w:t>∗</w:t>
            </w:r>
            <w:r>
              <w:rPr>
                <w:w w:val="115"/>
                <w:sz w:val="15"/>
              </w:rPr>
              <w:t>的最小值</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tcBorders>
              <w:top w:val="single" w:color="231F20" w:sz="4" w:space="0"/>
              <w:bottom w:val="single" w:color="231F20" w:sz="4" w:space="0"/>
              <w:right w:val="single" w:color="231F20" w:sz="4" w:space="0"/>
            </w:tcBorders>
          </w:tcPr>
          <w:p>
            <w:pPr>
              <w:pStyle w:val="11"/>
              <w:spacing w:before="55"/>
              <w:ind w:left="317"/>
              <w:rPr>
                <w:sz w:val="15"/>
              </w:rPr>
            </w:pPr>
            <w:r>
              <w:rPr>
                <w:w w:val="105"/>
                <w:sz w:val="15"/>
              </w:rPr>
              <w:t>摩擦轮式</w:t>
            </w:r>
          </w:p>
        </w:tc>
        <w:tc>
          <w:tcPr>
            <w:tcW w:w="3820" w:type="dxa"/>
            <w:gridSpan w:val="2"/>
            <w:tcBorders>
              <w:top w:val="single" w:color="231F20" w:sz="4" w:space="0"/>
              <w:left w:val="single" w:color="231F20" w:sz="4" w:space="0"/>
              <w:bottom w:val="single" w:color="231F20" w:sz="4" w:space="0"/>
              <w:right w:val="single" w:color="231F20" w:sz="4" w:space="0"/>
            </w:tcBorders>
          </w:tcPr>
          <w:p>
            <w:pPr>
              <w:pStyle w:val="11"/>
              <w:spacing w:before="55"/>
              <w:ind w:left="1419" w:right="1405"/>
              <w:jc w:val="center"/>
              <w:rPr>
                <w:sz w:val="15"/>
              </w:rPr>
            </w:pPr>
            <w:r>
              <w:rPr>
                <w:w w:val="105"/>
                <w:sz w:val="15"/>
              </w:rPr>
              <w:t>专为升降人员</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hAnsi="MS UI Gothic" w:eastAsia="MS UI Gothic"/>
                <w:sz w:val="15"/>
              </w:rPr>
            </w:pPr>
            <w:r>
              <w:rPr>
                <w:rFonts w:hint="eastAsia" w:ascii="MS UI Gothic" w:hAnsi="MS UI Gothic" w:eastAsia="MS UI Gothic"/>
                <w:spacing w:val="-1"/>
                <w:w w:val="75"/>
                <w:sz w:val="15"/>
              </w:rPr>
              <w:t>９</w:t>
            </w:r>
            <w:r>
              <w:rPr>
                <w:rFonts w:hint="eastAsia" w:ascii="MS UI Gothic" w:hAnsi="MS UI Gothic" w:eastAsia="MS UI Gothic"/>
                <w:spacing w:val="-7"/>
                <w:sz w:val="15"/>
              </w:rPr>
              <w:t xml:space="preserve"> </w:t>
            </w:r>
            <w:r>
              <w:rPr>
                <w:rFonts w:hint="eastAsia" w:ascii="MS UI Gothic" w:hAnsi="MS UI Gothic" w:eastAsia="MS UI Gothic"/>
                <w:spacing w:val="3"/>
                <w:w w:val="75"/>
                <w:sz w:val="15"/>
              </w:rPr>
              <w:t>２</w:t>
            </w:r>
            <w:r>
              <w:rPr>
                <w:rFonts w:hint="eastAsia" w:ascii="MS UI Gothic" w:hAnsi="MS UI Gothic" w:eastAsia="MS UI Gothic"/>
                <w:spacing w:val="3"/>
                <w:w w:val="154"/>
                <w:sz w:val="15"/>
              </w:rPr>
              <w:t>—</w:t>
            </w:r>
            <w:r>
              <w:rPr>
                <w:rFonts w:hint="eastAsia" w:ascii="MS UI Gothic" w:hAnsi="MS UI Gothic" w:eastAsia="MS UI Gothic"/>
                <w:spacing w:val="-4"/>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００</w:t>
            </w:r>
            <w:r>
              <w:rPr>
                <w:rFonts w:hint="eastAsia" w:ascii="MS UI Gothic" w:hAnsi="MS UI Gothic" w:eastAsia="MS UI Gothic"/>
                <w:w w:val="75"/>
                <w:sz w:val="15"/>
              </w:rPr>
              <w:t>０５</w:t>
            </w:r>
            <w:r>
              <w:rPr>
                <w:rFonts w:hint="eastAsia" w:ascii="MS UI Gothic" w:hAnsi="MS UI Gothic" w:eastAsia="MS UI Gothic"/>
                <w:spacing w:val="10"/>
                <w:sz w:val="15"/>
              </w:rPr>
              <w:t xml:space="preserve"> </w:t>
            </w:r>
            <w:r>
              <w:rPr>
                <w:rFonts w:hint="eastAsia" w:ascii="MS UI Gothic" w:hAnsi="MS UI Gothic" w:eastAsia="MS UI Gothic"/>
                <w:spacing w:val="2"/>
                <w:w w:val="97"/>
                <w:sz w:val="15"/>
              </w:rPr>
              <w:t>Ｈ</w:t>
            </w:r>
            <w:r>
              <w:rPr>
                <w:rFonts w:hint="eastAsia" w:ascii="MS UI Gothic" w:hAnsi="MS UI Gothic" w:eastAsia="MS UI Gothic"/>
                <w:spacing w:val="3"/>
                <w:w w:val="207"/>
                <w:sz w:val="15"/>
              </w:rPr>
              <w:t>∗∗</w:t>
            </w:r>
            <w:r>
              <w:rPr>
                <w:rFonts w:hint="eastAsia" w:ascii="MS UI Gothic" w:hAnsi="MS UI Gothic" w:eastAsia="MS UI Gothic"/>
                <w:w w:val="207"/>
                <w:sz w:val="15"/>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restart"/>
            <w:tcBorders>
              <w:top w:val="single" w:color="231F20" w:sz="4" w:space="0"/>
              <w:bottom w:val="single" w:color="231F20" w:sz="4" w:space="0"/>
              <w:right w:val="single" w:color="231F20" w:sz="4" w:space="0"/>
            </w:tcBorders>
          </w:tcPr>
          <w:p>
            <w:pPr>
              <w:pStyle w:val="11"/>
              <w:rPr>
                <w:rFonts w:ascii="MS UI Gothic"/>
                <w:sz w:val="18"/>
              </w:rPr>
            </w:pPr>
          </w:p>
          <w:p>
            <w:pPr>
              <w:pStyle w:val="11"/>
              <w:spacing w:before="7"/>
              <w:rPr>
                <w:rFonts w:ascii="MS UI Gothic"/>
                <w:sz w:val="23"/>
              </w:rPr>
            </w:pPr>
          </w:p>
          <w:p>
            <w:pPr>
              <w:pStyle w:val="11"/>
              <w:ind w:left="317"/>
              <w:rPr>
                <w:sz w:val="15"/>
              </w:rPr>
            </w:pPr>
            <w:r>
              <w:rPr>
                <w:w w:val="105"/>
                <w:sz w:val="15"/>
              </w:rPr>
              <w:t>提升装置</w:t>
            </w:r>
          </w:p>
        </w:tc>
        <w:tc>
          <w:tcPr>
            <w:tcW w:w="1910" w:type="dxa"/>
            <w:vMerge w:val="restart"/>
            <w:tcBorders>
              <w:top w:val="single" w:color="231F20" w:sz="4" w:space="0"/>
              <w:left w:val="single" w:color="231F20" w:sz="4" w:space="0"/>
              <w:bottom w:val="single" w:color="231F20" w:sz="4" w:space="0"/>
              <w:right w:val="single" w:color="231F20" w:sz="4" w:space="0"/>
            </w:tcBorders>
          </w:tcPr>
          <w:p>
            <w:pPr>
              <w:pStyle w:val="11"/>
              <w:rPr>
                <w:rFonts w:ascii="MS UI Gothic"/>
                <w:sz w:val="18"/>
              </w:rPr>
            </w:pPr>
          </w:p>
          <w:p>
            <w:pPr>
              <w:pStyle w:val="11"/>
              <w:spacing w:before="143"/>
              <w:ind w:left="402"/>
              <w:rPr>
                <w:sz w:val="15"/>
              </w:rPr>
            </w:pPr>
            <w:r>
              <w:rPr>
                <w:w w:val="105"/>
                <w:sz w:val="15"/>
              </w:rPr>
              <w:t>升降人员和物料</w:t>
            </w:r>
          </w:p>
        </w:tc>
        <w:tc>
          <w:tcPr>
            <w:tcW w:w="1910" w:type="dxa"/>
            <w:tcBorders>
              <w:top w:val="single" w:color="231F20" w:sz="4" w:space="0"/>
              <w:left w:val="single" w:color="231F20" w:sz="4" w:space="0"/>
              <w:bottom w:val="single" w:color="231F20" w:sz="4" w:space="0"/>
              <w:right w:val="single" w:color="231F20" w:sz="4" w:space="0"/>
            </w:tcBorders>
          </w:tcPr>
          <w:p>
            <w:pPr>
              <w:pStyle w:val="11"/>
              <w:spacing w:before="55"/>
              <w:ind w:left="344" w:right="330"/>
              <w:jc w:val="center"/>
              <w:rPr>
                <w:sz w:val="15"/>
              </w:rPr>
            </w:pPr>
            <w:r>
              <w:rPr>
                <w:w w:val="105"/>
                <w:sz w:val="15"/>
              </w:rPr>
              <w:t>升降人员时</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hAnsi="MS UI Gothic" w:eastAsia="MS UI Gothic"/>
                <w:sz w:val="15"/>
              </w:rPr>
            </w:pPr>
            <w:r>
              <w:rPr>
                <w:rFonts w:hint="eastAsia" w:ascii="MS UI Gothic" w:hAnsi="MS UI Gothic" w:eastAsia="MS UI Gothic"/>
                <w:spacing w:val="-1"/>
                <w:w w:val="75"/>
                <w:sz w:val="15"/>
              </w:rPr>
              <w:t>９</w:t>
            </w:r>
            <w:r>
              <w:rPr>
                <w:rFonts w:hint="eastAsia" w:ascii="MS UI Gothic" w:hAnsi="MS UI Gothic" w:eastAsia="MS UI Gothic"/>
                <w:spacing w:val="-7"/>
                <w:sz w:val="15"/>
              </w:rPr>
              <w:t xml:space="preserve"> </w:t>
            </w:r>
            <w:r>
              <w:rPr>
                <w:rFonts w:hint="eastAsia" w:ascii="MS UI Gothic" w:hAnsi="MS UI Gothic" w:eastAsia="MS UI Gothic"/>
                <w:spacing w:val="3"/>
                <w:w w:val="75"/>
                <w:sz w:val="15"/>
              </w:rPr>
              <w:t>２</w:t>
            </w:r>
            <w:r>
              <w:rPr>
                <w:rFonts w:hint="eastAsia" w:ascii="MS UI Gothic" w:hAnsi="MS UI Gothic" w:eastAsia="MS UI Gothic"/>
                <w:spacing w:val="3"/>
                <w:w w:val="154"/>
                <w:sz w:val="15"/>
              </w:rPr>
              <w:t>—</w:t>
            </w:r>
            <w:r>
              <w:rPr>
                <w:rFonts w:hint="eastAsia" w:ascii="MS UI Gothic" w:hAnsi="MS UI Gothic" w:eastAsia="MS UI Gothic"/>
                <w:spacing w:val="-4"/>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００</w:t>
            </w:r>
            <w:r>
              <w:rPr>
                <w:rFonts w:hint="eastAsia" w:ascii="MS UI Gothic" w:hAnsi="MS UI Gothic" w:eastAsia="MS UI Gothic"/>
                <w:w w:val="75"/>
                <w:sz w:val="15"/>
              </w:rPr>
              <w:t>０５</w:t>
            </w:r>
            <w:r>
              <w:rPr>
                <w:rFonts w:hint="eastAsia" w:ascii="MS UI Gothic" w:hAnsi="MS UI Gothic" w:eastAsia="MS UI Gothic"/>
                <w:spacing w:val="10"/>
                <w:sz w:val="15"/>
              </w:rPr>
              <w:t xml:space="preserve"> </w:t>
            </w:r>
            <w:r>
              <w:rPr>
                <w:rFonts w:hint="eastAsia" w:ascii="MS UI Gothic" w:hAnsi="MS UI Gothic" w:eastAsia="MS UI Gothic"/>
                <w:w w:val="97"/>
                <w:sz w:val="15"/>
              </w:rPr>
              <w:t>Ｈ</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continue"/>
            <w:tcBorders>
              <w:top w:val="nil"/>
              <w:bottom w:val="single" w:color="231F20" w:sz="4" w:space="0"/>
              <w:right w:val="single" w:color="231F20" w:sz="4" w:space="0"/>
            </w:tcBorders>
          </w:tcPr>
          <w:p>
            <w:pPr>
              <w:rPr>
                <w:sz w:val="2"/>
                <w:szCs w:val="2"/>
              </w:rPr>
            </w:pPr>
          </w:p>
        </w:tc>
        <w:tc>
          <w:tcPr>
            <w:tcW w:w="1910" w:type="dxa"/>
            <w:vMerge w:val="continue"/>
            <w:tcBorders>
              <w:top w:val="nil"/>
              <w:left w:val="single" w:color="231F20" w:sz="4" w:space="0"/>
              <w:bottom w:val="single" w:color="231F20" w:sz="4" w:space="0"/>
              <w:right w:val="single" w:color="231F20" w:sz="4" w:space="0"/>
            </w:tcBorders>
          </w:tcPr>
          <w:p>
            <w:pPr>
              <w:rPr>
                <w:sz w:val="2"/>
                <w:szCs w:val="2"/>
              </w:rPr>
            </w:pPr>
          </w:p>
        </w:tc>
        <w:tc>
          <w:tcPr>
            <w:tcW w:w="1910" w:type="dxa"/>
            <w:tcBorders>
              <w:top w:val="single" w:color="231F20" w:sz="4" w:space="0"/>
              <w:left w:val="single" w:color="231F20" w:sz="4" w:space="0"/>
              <w:bottom w:val="single" w:color="231F20" w:sz="4" w:space="0"/>
              <w:right w:val="single" w:color="231F20" w:sz="4" w:space="0"/>
            </w:tcBorders>
          </w:tcPr>
          <w:p>
            <w:pPr>
              <w:pStyle w:val="11"/>
              <w:spacing w:before="55"/>
              <w:ind w:left="344" w:right="330"/>
              <w:jc w:val="center"/>
              <w:rPr>
                <w:rFonts w:hint="eastAsia" w:ascii="MS UI Gothic" w:hAnsi="MS UI Gothic" w:eastAsia="MS UI Gothic"/>
                <w:sz w:val="15"/>
              </w:rPr>
            </w:pPr>
            <w:r>
              <w:rPr>
                <w:w w:val="120"/>
                <w:sz w:val="15"/>
              </w:rPr>
              <w:t>混合提升时</w:t>
            </w:r>
            <w:r>
              <w:rPr>
                <w:rFonts w:hint="eastAsia" w:ascii="MS UI Gothic" w:hAnsi="MS UI Gothic" w:eastAsia="MS UI Gothic"/>
                <w:w w:val="190"/>
                <w:sz w:val="15"/>
              </w:rPr>
              <w:t>∗∗</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hAnsi="MS UI Gothic" w:eastAsia="MS UI Gothic"/>
                <w:sz w:val="15"/>
              </w:rPr>
            </w:pPr>
            <w:r>
              <w:rPr>
                <w:rFonts w:hint="eastAsia" w:ascii="MS UI Gothic" w:hAnsi="MS UI Gothic" w:eastAsia="MS UI Gothic"/>
                <w:spacing w:val="-1"/>
                <w:w w:val="75"/>
                <w:sz w:val="15"/>
              </w:rPr>
              <w:t>９</w:t>
            </w:r>
            <w:r>
              <w:rPr>
                <w:rFonts w:hint="eastAsia" w:ascii="MS UI Gothic" w:hAnsi="MS UI Gothic" w:eastAsia="MS UI Gothic"/>
                <w:spacing w:val="-7"/>
                <w:sz w:val="15"/>
              </w:rPr>
              <w:t xml:space="preserve"> </w:t>
            </w:r>
            <w:r>
              <w:rPr>
                <w:rFonts w:hint="eastAsia" w:ascii="MS UI Gothic" w:hAnsi="MS UI Gothic" w:eastAsia="MS UI Gothic"/>
                <w:spacing w:val="3"/>
                <w:w w:val="75"/>
                <w:sz w:val="15"/>
              </w:rPr>
              <w:t>２</w:t>
            </w:r>
            <w:r>
              <w:rPr>
                <w:rFonts w:hint="eastAsia" w:ascii="MS UI Gothic" w:hAnsi="MS UI Gothic" w:eastAsia="MS UI Gothic"/>
                <w:spacing w:val="3"/>
                <w:w w:val="154"/>
                <w:sz w:val="15"/>
              </w:rPr>
              <w:t>—</w:t>
            </w:r>
            <w:r>
              <w:rPr>
                <w:rFonts w:hint="eastAsia" w:ascii="MS UI Gothic" w:hAnsi="MS UI Gothic" w:eastAsia="MS UI Gothic"/>
                <w:spacing w:val="-4"/>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００</w:t>
            </w:r>
            <w:r>
              <w:rPr>
                <w:rFonts w:hint="eastAsia" w:ascii="MS UI Gothic" w:hAnsi="MS UI Gothic" w:eastAsia="MS UI Gothic"/>
                <w:w w:val="75"/>
                <w:sz w:val="15"/>
              </w:rPr>
              <w:t>０５</w:t>
            </w:r>
            <w:r>
              <w:rPr>
                <w:rFonts w:hint="eastAsia" w:ascii="MS UI Gothic" w:hAnsi="MS UI Gothic" w:eastAsia="MS UI Gothic"/>
                <w:spacing w:val="10"/>
                <w:sz w:val="15"/>
              </w:rPr>
              <w:t xml:space="preserve"> </w:t>
            </w:r>
            <w:r>
              <w:rPr>
                <w:rFonts w:hint="eastAsia" w:ascii="MS UI Gothic" w:hAnsi="MS UI Gothic" w:eastAsia="MS UI Gothic"/>
                <w:w w:val="97"/>
                <w:sz w:val="15"/>
              </w:rPr>
              <w:t>Ｈ</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continue"/>
            <w:tcBorders>
              <w:top w:val="nil"/>
              <w:bottom w:val="single" w:color="231F20" w:sz="4" w:space="0"/>
              <w:right w:val="single" w:color="231F20" w:sz="4" w:space="0"/>
            </w:tcBorders>
          </w:tcPr>
          <w:p>
            <w:pPr>
              <w:rPr>
                <w:sz w:val="2"/>
                <w:szCs w:val="2"/>
              </w:rPr>
            </w:pPr>
          </w:p>
        </w:tc>
        <w:tc>
          <w:tcPr>
            <w:tcW w:w="1910" w:type="dxa"/>
            <w:vMerge w:val="continue"/>
            <w:tcBorders>
              <w:top w:val="nil"/>
              <w:left w:val="single" w:color="231F20" w:sz="4" w:space="0"/>
              <w:bottom w:val="single" w:color="231F20" w:sz="4" w:space="0"/>
              <w:right w:val="single" w:color="231F20" w:sz="4" w:space="0"/>
            </w:tcBorders>
          </w:tcPr>
          <w:p>
            <w:pPr>
              <w:rPr>
                <w:sz w:val="2"/>
                <w:szCs w:val="2"/>
              </w:rPr>
            </w:pPr>
          </w:p>
        </w:tc>
        <w:tc>
          <w:tcPr>
            <w:tcW w:w="1910" w:type="dxa"/>
            <w:tcBorders>
              <w:top w:val="single" w:color="231F20" w:sz="4" w:space="0"/>
              <w:left w:val="single" w:color="231F20" w:sz="4" w:space="0"/>
              <w:bottom w:val="single" w:color="231F20" w:sz="4" w:space="0"/>
              <w:right w:val="single" w:color="231F20" w:sz="4" w:space="0"/>
            </w:tcBorders>
          </w:tcPr>
          <w:p>
            <w:pPr>
              <w:pStyle w:val="11"/>
              <w:spacing w:before="55"/>
              <w:ind w:left="344" w:right="330"/>
              <w:jc w:val="center"/>
              <w:rPr>
                <w:sz w:val="15"/>
              </w:rPr>
            </w:pPr>
            <w:r>
              <w:rPr>
                <w:w w:val="105"/>
                <w:sz w:val="15"/>
              </w:rPr>
              <w:t>升降物料时</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hAnsi="MS UI Gothic" w:eastAsia="MS UI Gothic"/>
                <w:sz w:val="15"/>
              </w:rPr>
            </w:pPr>
            <w:r>
              <w:rPr>
                <w:rFonts w:hint="eastAsia" w:ascii="MS UI Gothic" w:hAnsi="MS UI Gothic" w:eastAsia="MS UI Gothic"/>
                <w:spacing w:val="-1"/>
                <w:w w:val="75"/>
                <w:sz w:val="15"/>
              </w:rPr>
              <w:t>８</w:t>
            </w:r>
            <w:r>
              <w:rPr>
                <w:rFonts w:hint="eastAsia" w:ascii="MS UI Gothic" w:hAnsi="MS UI Gothic" w:eastAsia="MS UI Gothic"/>
                <w:spacing w:val="-7"/>
                <w:sz w:val="15"/>
              </w:rPr>
              <w:t xml:space="preserve"> </w:t>
            </w:r>
            <w:r>
              <w:rPr>
                <w:rFonts w:hint="eastAsia" w:ascii="MS UI Gothic" w:hAnsi="MS UI Gothic" w:eastAsia="MS UI Gothic"/>
                <w:spacing w:val="3"/>
                <w:w w:val="75"/>
                <w:sz w:val="15"/>
              </w:rPr>
              <w:t>２</w:t>
            </w:r>
            <w:r>
              <w:rPr>
                <w:rFonts w:hint="eastAsia" w:ascii="MS UI Gothic" w:hAnsi="MS UI Gothic" w:eastAsia="MS UI Gothic"/>
                <w:spacing w:val="3"/>
                <w:w w:val="154"/>
                <w:sz w:val="15"/>
              </w:rPr>
              <w:t>—</w:t>
            </w:r>
            <w:r>
              <w:rPr>
                <w:rFonts w:hint="eastAsia" w:ascii="MS UI Gothic" w:hAnsi="MS UI Gothic" w:eastAsia="MS UI Gothic"/>
                <w:spacing w:val="-4"/>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００</w:t>
            </w:r>
            <w:r>
              <w:rPr>
                <w:rFonts w:hint="eastAsia" w:ascii="MS UI Gothic" w:hAnsi="MS UI Gothic" w:eastAsia="MS UI Gothic"/>
                <w:w w:val="75"/>
                <w:sz w:val="15"/>
              </w:rPr>
              <w:t>０５</w:t>
            </w:r>
            <w:r>
              <w:rPr>
                <w:rFonts w:hint="eastAsia" w:ascii="MS UI Gothic" w:hAnsi="MS UI Gothic" w:eastAsia="MS UI Gothic"/>
                <w:spacing w:val="10"/>
                <w:sz w:val="15"/>
              </w:rPr>
              <w:t xml:space="preserve"> </w:t>
            </w:r>
            <w:r>
              <w:rPr>
                <w:rFonts w:hint="eastAsia" w:ascii="MS UI Gothic" w:hAnsi="MS UI Gothic" w:eastAsia="MS UI Gothic"/>
                <w:w w:val="97"/>
                <w:sz w:val="15"/>
              </w:rPr>
              <w:t>Ｈ</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continue"/>
            <w:tcBorders>
              <w:top w:val="nil"/>
              <w:bottom w:val="single" w:color="231F20" w:sz="4" w:space="0"/>
              <w:right w:val="single" w:color="231F20" w:sz="4" w:space="0"/>
            </w:tcBorders>
          </w:tcPr>
          <w:p>
            <w:pPr>
              <w:rPr>
                <w:sz w:val="2"/>
                <w:szCs w:val="2"/>
              </w:rPr>
            </w:pPr>
          </w:p>
        </w:tc>
        <w:tc>
          <w:tcPr>
            <w:tcW w:w="3820" w:type="dxa"/>
            <w:gridSpan w:val="2"/>
            <w:tcBorders>
              <w:top w:val="single" w:color="231F20" w:sz="4" w:space="0"/>
              <w:left w:val="single" w:color="231F20" w:sz="4" w:space="0"/>
              <w:bottom w:val="single" w:color="231F20" w:sz="4" w:space="0"/>
              <w:right w:val="single" w:color="231F20" w:sz="4" w:space="0"/>
            </w:tcBorders>
          </w:tcPr>
          <w:p>
            <w:pPr>
              <w:pStyle w:val="11"/>
              <w:spacing w:before="55"/>
              <w:ind w:left="1419" w:right="1405"/>
              <w:jc w:val="center"/>
              <w:rPr>
                <w:sz w:val="15"/>
              </w:rPr>
            </w:pPr>
            <w:r>
              <w:rPr>
                <w:w w:val="105"/>
                <w:sz w:val="15"/>
              </w:rPr>
              <w:t>专为升降物料</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hAnsi="MS UI Gothic" w:eastAsia="MS UI Gothic"/>
                <w:sz w:val="15"/>
              </w:rPr>
            </w:pPr>
            <w:r>
              <w:rPr>
                <w:rFonts w:hint="eastAsia" w:ascii="MS UI Gothic" w:hAnsi="MS UI Gothic" w:eastAsia="MS UI Gothic"/>
                <w:spacing w:val="-1"/>
                <w:w w:val="75"/>
                <w:sz w:val="15"/>
              </w:rPr>
              <w:t>７</w:t>
            </w:r>
            <w:r>
              <w:rPr>
                <w:rFonts w:hint="eastAsia" w:ascii="MS UI Gothic" w:hAnsi="MS UI Gothic" w:eastAsia="MS UI Gothic"/>
                <w:spacing w:val="-7"/>
                <w:sz w:val="15"/>
              </w:rPr>
              <w:t xml:space="preserve"> </w:t>
            </w:r>
            <w:r>
              <w:rPr>
                <w:rFonts w:hint="eastAsia" w:ascii="MS UI Gothic" w:hAnsi="MS UI Gothic" w:eastAsia="MS UI Gothic"/>
                <w:spacing w:val="3"/>
                <w:w w:val="75"/>
                <w:sz w:val="15"/>
              </w:rPr>
              <w:t>２</w:t>
            </w:r>
            <w:r>
              <w:rPr>
                <w:rFonts w:hint="eastAsia" w:ascii="MS UI Gothic" w:hAnsi="MS UI Gothic" w:eastAsia="MS UI Gothic"/>
                <w:spacing w:val="3"/>
                <w:w w:val="154"/>
                <w:sz w:val="15"/>
              </w:rPr>
              <w:t>—</w:t>
            </w:r>
            <w:r>
              <w:rPr>
                <w:rFonts w:hint="eastAsia" w:ascii="MS UI Gothic" w:hAnsi="MS UI Gothic" w:eastAsia="MS UI Gothic"/>
                <w:spacing w:val="-4"/>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００</w:t>
            </w:r>
            <w:r>
              <w:rPr>
                <w:rFonts w:hint="eastAsia" w:ascii="MS UI Gothic" w:hAnsi="MS UI Gothic" w:eastAsia="MS UI Gothic"/>
                <w:w w:val="75"/>
                <w:sz w:val="15"/>
              </w:rPr>
              <w:t>０５</w:t>
            </w:r>
            <w:r>
              <w:rPr>
                <w:rFonts w:hint="eastAsia" w:ascii="MS UI Gothic" w:hAnsi="MS UI Gothic" w:eastAsia="MS UI Gothic"/>
                <w:spacing w:val="10"/>
                <w:sz w:val="15"/>
              </w:rPr>
              <w:t xml:space="preserve"> </w:t>
            </w:r>
            <w:r>
              <w:rPr>
                <w:rFonts w:hint="eastAsia" w:ascii="MS UI Gothic" w:hAnsi="MS UI Gothic" w:eastAsia="MS UI Gothic"/>
                <w:w w:val="97"/>
                <w:sz w:val="15"/>
              </w:rPr>
              <w:t>Ｈ</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restart"/>
            <w:tcBorders>
              <w:top w:val="single" w:color="231F20" w:sz="4" w:space="0"/>
              <w:bottom w:val="single" w:color="231F20" w:sz="4" w:space="0"/>
              <w:right w:val="single" w:color="231F20" w:sz="4" w:space="0"/>
            </w:tcBorders>
          </w:tcPr>
          <w:p>
            <w:pPr>
              <w:pStyle w:val="11"/>
              <w:rPr>
                <w:rFonts w:ascii="MS UI Gothic"/>
                <w:sz w:val="18"/>
              </w:rPr>
            </w:pPr>
          </w:p>
          <w:p>
            <w:pPr>
              <w:pStyle w:val="11"/>
              <w:spacing w:before="3"/>
              <w:rPr>
                <w:rFonts w:ascii="MS UI Gothic"/>
                <w:sz w:val="13"/>
              </w:rPr>
            </w:pPr>
          </w:p>
          <w:p>
            <w:pPr>
              <w:pStyle w:val="11"/>
              <w:spacing w:line="328" w:lineRule="auto"/>
              <w:ind w:left="79" w:right="66"/>
              <w:rPr>
                <w:sz w:val="15"/>
              </w:rPr>
            </w:pPr>
            <w:r>
              <w:rPr>
                <w:sz w:val="15"/>
              </w:rPr>
              <w:t>倾斜钢丝绳牵引带式输送机运人</w:t>
            </w:r>
          </w:p>
        </w:tc>
        <w:tc>
          <w:tcPr>
            <w:tcW w:w="3820" w:type="dxa"/>
            <w:gridSpan w:val="2"/>
            <w:tcBorders>
              <w:top w:val="single" w:color="231F20" w:sz="4" w:space="0"/>
              <w:left w:val="single" w:color="231F20" w:sz="4" w:space="0"/>
              <w:bottom w:val="single" w:color="231F20" w:sz="4" w:space="0"/>
              <w:right w:val="single" w:color="231F20" w:sz="4" w:space="0"/>
            </w:tcBorders>
          </w:tcPr>
          <w:p>
            <w:pPr>
              <w:pStyle w:val="11"/>
              <w:spacing w:before="9"/>
              <w:rPr>
                <w:rFonts w:ascii="MS UI Gothic"/>
                <w:sz w:val="16"/>
              </w:rPr>
            </w:pPr>
          </w:p>
          <w:p>
            <w:pPr>
              <w:pStyle w:val="11"/>
              <w:ind w:left="1419" w:right="1405"/>
              <w:jc w:val="center"/>
              <w:rPr>
                <w:sz w:val="15"/>
              </w:rPr>
            </w:pPr>
            <w:r>
              <w:rPr>
                <w:w w:val="105"/>
                <w:sz w:val="15"/>
              </w:rPr>
              <w:t>运人</w:t>
            </w:r>
          </w:p>
        </w:tc>
        <w:tc>
          <w:tcPr>
            <w:tcW w:w="2873" w:type="dxa"/>
            <w:tcBorders>
              <w:top w:val="single" w:color="231F20" w:sz="4" w:space="0"/>
              <w:left w:val="single" w:color="231F20" w:sz="4" w:space="0"/>
              <w:bottom w:val="single" w:color="231F20" w:sz="4" w:space="0"/>
            </w:tcBorders>
          </w:tcPr>
          <w:p>
            <w:pPr>
              <w:pStyle w:val="11"/>
              <w:spacing w:before="82"/>
              <w:ind w:left="264"/>
              <w:rPr>
                <w:rFonts w:hint="eastAsia" w:ascii="MS UI Gothic" w:hAnsi="MS UI Gothic" w:eastAsia="MS UI Gothic"/>
                <w:sz w:val="15"/>
              </w:rPr>
            </w:pPr>
            <w:r>
              <w:rPr>
                <w:rFonts w:hint="eastAsia" w:ascii="MS UI Gothic" w:hAnsi="MS UI Gothic" w:eastAsia="MS UI Gothic"/>
                <w:spacing w:val="-1"/>
                <w:w w:val="75"/>
                <w:sz w:val="15"/>
              </w:rPr>
              <w:t>６</w:t>
            </w:r>
            <w:r>
              <w:rPr>
                <w:rFonts w:hint="eastAsia" w:ascii="MS UI Gothic" w:hAnsi="MS UI Gothic" w:eastAsia="MS UI Gothic"/>
                <w:spacing w:val="-7"/>
                <w:sz w:val="15"/>
              </w:rPr>
              <w:t xml:space="preserve"> </w:t>
            </w:r>
            <w:r>
              <w:rPr>
                <w:rFonts w:hint="eastAsia" w:ascii="MS UI Gothic" w:hAnsi="MS UI Gothic" w:eastAsia="MS UI Gothic"/>
                <w:spacing w:val="3"/>
                <w:w w:val="75"/>
                <w:sz w:val="15"/>
              </w:rPr>
              <w:t>５</w:t>
            </w:r>
            <w:r>
              <w:rPr>
                <w:rFonts w:hint="eastAsia" w:ascii="MS UI Gothic" w:hAnsi="MS UI Gothic" w:eastAsia="MS UI Gothic"/>
                <w:spacing w:val="3"/>
                <w:w w:val="154"/>
                <w:sz w:val="15"/>
              </w:rPr>
              <w:t>—</w:t>
            </w:r>
            <w:r>
              <w:rPr>
                <w:rFonts w:hint="eastAsia" w:ascii="MS UI Gothic" w:hAnsi="MS UI Gothic" w:eastAsia="MS UI Gothic"/>
                <w:spacing w:val="-4"/>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００</w:t>
            </w:r>
            <w:r>
              <w:rPr>
                <w:rFonts w:hint="eastAsia" w:ascii="MS UI Gothic" w:hAnsi="MS UI Gothic" w:eastAsia="MS UI Gothic"/>
                <w:w w:val="75"/>
                <w:sz w:val="15"/>
              </w:rPr>
              <w:t>１</w:t>
            </w:r>
            <w:r>
              <w:rPr>
                <w:rFonts w:hint="eastAsia" w:ascii="MS UI Gothic" w:hAnsi="MS UI Gothic" w:eastAsia="MS UI Gothic"/>
                <w:spacing w:val="10"/>
                <w:sz w:val="15"/>
              </w:rPr>
              <w:t xml:space="preserve"> </w:t>
            </w:r>
            <w:r>
              <w:rPr>
                <w:rFonts w:hint="eastAsia" w:ascii="MS UI Gothic" w:hAnsi="MS UI Gothic" w:eastAsia="MS UI Gothic"/>
                <w:spacing w:val="2"/>
                <w:w w:val="91"/>
                <w:sz w:val="15"/>
              </w:rPr>
              <w:t>Ｌ</w:t>
            </w:r>
            <w:r>
              <w:rPr>
                <w:rFonts w:hint="eastAsia" w:ascii="MS UI Gothic" w:hAnsi="MS UI Gothic" w:eastAsia="MS UI Gothic"/>
                <w:spacing w:val="3"/>
                <w:w w:val="207"/>
                <w:sz w:val="15"/>
              </w:rPr>
              <w:t>∗∗</w:t>
            </w:r>
            <w:r>
              <w:rPr>
                <w:rFonts w:hint="eastAsia" w:ascii="MS UI Gothic" w:hAnsi="MS UI Gothic" w:eastAsia="MS UI Gothic"/>
                <w:w w:val="207"/>
                <w:sz w:val="15"/>
              </w:rPr>
              <w:t>∗</w:t>
            </w:r>
          </w:p>
          <w:p>
            <w:pPr>
              <w:pStyle w:val="11"/>
              <w:spacing w:before="72"/>
              <w:ind w:left="267"/>
              <w:rPr>
                <w:rFonts w:hint="eastAsia" w:ascii="MS UI Gothic" w:eastAsia="MS UI Gothic"/>
                <w:sz w:val="15"/>
              </w:rPr>
            </w:pPr>
            <w:r>
              <w:rPr>
                <w:sz w:val="15"/>
              </w:rPr>
              <w:t xml:space="preserve">但不得小于 </w:t>
            </w:r>
            <w:r>
              <w:rPr>
                <w:rFonts w:hint="eastAsia" w:ascii="MS UI Gothic" w:eastAsia="MS UI Gothic"/>
                <w:sz w:val="15"/>
              </w:rPr>
              <w:t>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continue"/>
            <w:tcBorders>
              <w:top w:val="nil"/>
              <w:bottom w:val="single" w:color="231F20" w:sz="4" w:space="0"/>
              <w:right w:val="single" w:color="231F20" w:sz="4" w:space="0"/>
            </w:tcBorders>
          </w:tcPr>
          <w:p>
            <w:pPr>
              <w:rPr>
                <w:sz w:val="2"/>
                <w:szCs w:val="2"/>
              </w:rPr>
            </w:pPr>
          </w:p>
        </w:tc>
        <w:tc>
          <w:tcPr>
            <w:tcW w:w="3820" w:type="dxa"/>
            <w:gridSpan w:val="2"/>
            <w:tcBorders>
              <w:top w:val="single" w:color="231F20" w:sz="4" w:space="0"/>
              <w:left w:val="single" w:color="231F20" w:sz="4" w:space="0"/>
              <w:bottom w:val="single" w:color="231F20" w:sz="4" w:space="0"/>
              <w:right w:val="single" w:color="231F20" w:sz="4" w:space="0"/>
            </w:tcBorders>
          </w:tcPr>
          <w:p>
            <w:pPr>
              <w:pStyle w:val="11"/>
              <w:spacing w:before="9"/>
              <w:rPr>
                <w:rFonts w:ascii="MS UI Gothic"/>
                <w:sz w:val="16"/>
              </w:rPr>
            </w:pPr>
          </w:p>
          <w:p>
            <w:pPr>
              <w:pStyle w:val="11"/>
              <w:ind w:left="1419" w:right="1405"/>
              <w:jc w:val="center"/>
              <w:rPr>
                <w:sz w:val="15"/>
              </w:rPr>
            </w:pPr>
            <w:r>
              <w:rPr>
                <w:w w:val="105"/>
                <w:sz w:val="15"/>
              </w:rPr>
              <w:t>运物</w:t>
            </w:r>
          </w:p>
        </w:tc>
        <w:tc>
          <w:tcPr>
            <w:tcW w:w="2873" w:type="dxa"/>
            <w:tcBorders>
              <w:top w:val="single" w:color="231F20" w:sz="4" w:space="0"/>
              <w:left w:val="single" w:color="231F20" w:sz="4" w:space="0"/>
              <w:bottom w:val="single" w:color="231F20" w:sz="4" w:space="0"/>
            </w:tcBorders>
          </w:tcPr>
          <w:p>
            <w:pPr>
              <w:pStyle w:val="11"/>
              <w:spacing w:before="82"/>
              <w:ind w:left="264"/>
              <w:rPr>
                <w:rFonts w:hint="eastAsia" w:ascii="MS UI Gothic" w:hAnsi="MS UI Gothic" w:eastAsia="MS UI Gothic"/>
                <w:sz w:val="15"/>
              </w:rPr>
            </w:pPr>
            <w:r>
              <w:rPr>
                <w:rFonts w:hint="eastAsia" w:ascii="MS UI Gothic" w:hAnsi="MS UI Gothic" w:eastAsia="MS UI Gothic"/>
                <w:spacing w:val="3"/>
                <w:w w:val="75"/>
                <w:sz w:val="15"/>
              </w:rPr>
              <w:t>５</w:t>
            </w:r>
            <w:r>
              <w:rPr>
                <w:rFonts w:hint="eastAsia" w:ascii="MS UI Gothic" w:hAnsi="MS UI Gothic" w:eastAsia="MS UI Gothic"/>
                <w:spacing w:val="3"/>
                <w:w w:val="154"/>
                <w:sz w:val="15"/>
              </w:rPr>
              <w:t>—</w:t>
            </w:r>
            <w:r>
              <w:rPr>
                <w:rFonts w:hint="eastAsia" w:ascii="MS UI Gothic" w:hAnsi="MS UI Gothic" w:eastAsia="MS UI Gothic"/>
                <w:spacing w:val="-4"/>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０</w:t>
            </w:r>
            <w:r>
              <w:rPr>
                <w:rFonts w:hint="eastAsia" w:ascii="MS UI Gothic" w:hAnsi="MS UI Gothic" w:eastAsia="MS UI Gothic"/>
                <w:w w:val="75"/>
                <w:sz w:val="15"/>
              </w:rPr>
              <w:t>０１</w:t>
            </w:r>
            <w:r>
              <w:rPr>
                <w:rFonts w:hint="eastAsia" w:ascii="MS UI Gothic" w:hAnsi="MS UI Gothic" w:eastAsia="MS UI Gothic"/>
                <w:spacing w:val="10"/>
                <w:sz w:val="15"/>
              </w:rPr>
              <w:t xml:space="preserve"> </w:t>
            </w:r>
            <w:r>
              <w:rPr>
                <w:rFonts w:hint="eastAsia" w:ascii="MS UI Gothic" w:hAnsi="MS UI Gothic" w:eastAsia="MS UI Gothic"/>
                <w:w w:val="91"/>
                <w:sz w:val="15"/>
              </w:rPr>
              <w:t>Ｌ</w:t>
            </w:r>
          </w:p>
          <w:p>
            <w:pPr>
              <w:pStyle w:val="11"/>
              <w:spacing w:before="72"/>
              <w:ind w:left="267"/>
              <w:rPr>
                <w:rFonts w:hint="eastAsia" w:ascii="MS UI Gothic" w:eastAsia="MS UI Gothic"/>
                <w:sz w:val="15"/>
              </w:rPr>
            </w:pPr>
            <w:r>
              <w:rPr>
                <w:sz w:val="15"/>
              </w:rPr>
              <w:t xml:space="preserve">但不得小于 </w:t>
            </w:r>
            <w:r>
              <w:rPr>
                <w:rFonts w:hint="eastAsia" w:ascii="MS UI Gothic" w:eastAsia="MS UI Gothic"/>
                <w:sz w:val="15"/>
              </w:rPr>
              <w:t>４</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restart"/>
            <w:tcBorders>
              <w:top w:val="single" w:color="231F20" w:sz="4" w:space="0"/>
              <w:bottom w:val="single" w:color="231F20" w:sz="4" w:space="0"/>
              <w:right w:val="single" w:color="231F20" w:sz="4" w:space="0"/>
            </w:tcBorders>
          </w:tcPr>
          <w:p>
            <w:pPr>
              <w:pStyle w:val="11"/>
              <w:rPr>
                <w:rFonts w:ascii="MS UI Gothic"/>
                <w:sz w:val="18"/>
              </w:rPr>
            </w:pPr>
          </w:p>
          <w:p>
            <w:pPr>
              <w:pStyle w:val="11"/>
              <w:spacing w:before="7"/>
              <w:rPr>
                <w:rFonts w:ascii="MS UI Gothic"/>
                <w:sz w:val="23"/>
              </w:rPr>
            </w:pPr>
          </w:p>
          <w:p>
            <w:pPr>
              <w:pStyle w:val="11"/>
              <w:ind w:left="79"/>
              <w:rPr>
                <w:sz w:val="15"/>
              </w:rPr>
            </w:pPr>
            <w:r>
              <w:rPr>
                <w:w w:val="105"/>
                <w:sz w:val="15"/>
              </w:rPr>
              <w:t>倾斜无极绳绞车</w:t>
            </w:r>
          </w:p>
        </w:tc>
        <w:tc>
          <w:tcPr>
            <w:tcW w:w="3820" w:type="dxa"/>
            <w:gridSpan w:val="2"/>
            <w:tcBorders>
              <w:top w:val="single" w:color="231F20" w:sz="4" w:space="0"/>
              <w:left w:val="single" w:color="231F20" w:sz="4" w:space="0"/>
              <w:bottom w:val="single" w:color="231F20" w:sz="4" w:space="0"/>
              <w:right w:val="single" w:color="231F20" w:sz="4" w:space="0"/>
            </w:tcBorders>
          </w:tcPr>
          <w:p>
            <w:pPr>
              <w:pStyle w:val="11"/>
              <w:spacing w:before="9"/>
              <w:rPr>
                <w:rFonts w:ascii="MS UI Gothic"/>
                <w:sz w:val="16"/>
              </w:rPr>
            </w:pPr>
          </w:p>
          <w:p>
            <w:pPr>
              <w:pStyle w:val="11"/>
              <w:ind w:left="1419" w:right="1405"/>
              <w:jc w:val="center"/>
              <w:rPr>
                <w:sz w:val="15"/>
              </w:rPr>
            </w:pPr>
            <w:r>
              <w:rPr>
                <w:w w:val="105"/>
                <w:sz w:val="15"/>
              </w:rPr>
              <w:t>运人</w:t>
            </w:r>
          </w:p>
        </w:tc>
        <w:tc>
          <w:tcPr>
            <w:tcW w:w="2873" w:type="dxa"/>
            <w:tcBorders>
              <w:top w:val="single" w:color="231F20" w:sz="4" w:space="0"/>
              <w:left w:val="single" w:color="231F20" w:sz="4" w:space="0"/>
              <w:bottom w:val="single" w:color="231F20" w:sz="4" w:space="0"/>
            </w:tcBorders>
          </w:tcPr>
          <w:p>
            <w:pPr>
              <w:pStyle w:val="11"/>
              <w:spacing w:before="82"/>
              <w:ind w:left="264"/>
              <w:rPr>
                <w:rFonts w:hint="eastAsia" w:ascii="MS UI Gothic" w:hAnsi="MS UI Gothic" w:eastAsia="MS UI Gothic"/>
                <w:sz w:val="15"/>
              </w:rPr>
            </w:pPr>
            <w:r>
              <w:rPr>
                <w:rFonts w:hint="eastAsia" w:ascii="MS UI Gothic" w:hAnsi="MS UI Gothic" w:eastAsia="MS UI Gothic"/>
                <w:spacing w:val="-1"/>
                <w:w w:val="75"/>
                <w:sz w:val="15"/>
              </w:rPr>
              <w:t>６</w:t>
            </w:r>
            <w:r>
              <w:rPr>
                <w:rFonts w:hint="eastAsia" w:ascii="MS UI Gothic" w:hAnsi="MS UI Gothic" w:eastAsia="MS UI Gothic"/>
                <w:spacing w:val="-7"/>
                <w:sz w:val="15"/>
              </w:rPr>
              <w:t xml:space="preserve"> </w:t>
            </w:r>
            <w:r>
              <w:rPr>
                <w:rFonts w:hint="eastAsia" w:ascii="MS UI Gothic" w:hAnsi="MS UI Gothic" w:eastAsia="MS UI Gothic"/>
                <w:spacing w:val="3"/>
                <w:w w:val="75"/>
                <w:sz w:val="15"/>
              </w:rPr>
              <w:t>５</w:t>
            </w:r>
            <w:r>
              <w:rPr>
                <w:rFonts w:hint="eastAsia" w:ascii="MS UI Gothic" w:hAnsi="MS UI Gothic" w:eastAsia="MS UI Gothic"/>
                <w:spacing w:val="3"/>
                <w:w w:val="154"/>
                <w:sz w:val="15"/>
              </w:rPr>
              <w:t>—</w:t>
            </w:r>
            <w:r>
              <w:rPr>
                <w:rFonts w:hint="eastAsia" w:ascii="MS UI Gothic" w:hAnsi="MS UI Gothic" w:eastAsia="MS UI Gothic"/>
                <w:spacing w:val="-4"/>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００</w:t>
            </w:r>
            <w:r>
              <w:rPr>
                <w:rFonts w:hint="eastAsia" w:ascii="MS UI Gothic" w:hAnsi="MS UI Gothic" w:eastAsia="MS UI Gothic"/>
                <w:w w:val="75"/>
                <w:sz w:val="15"/>
              </w:rPr>
              <w:t>１</w:t>
            </w:r>
            <w:r>
              <w:rPr>
                <w:rFonts w:hint="eastAsia" w:ascii="MS UI Gothic" w:hAnsi="MS UI Gothic" w:eastAsia="MS UI Gothic"/>
                <w:spacing w:val="10"/>
                <w:sz w:val="15"/>
              </w:rPr>
              <w:t xml:space="preserve"> </w:t>
            </w:r>
            <w:r>
              <w:rPr>
                <w:rFonts w:hint="eastAsia" w:ascii="MS UI Gothic" w:hAnsi="MS UI Gothic" w:eastAsia="MS UI Gothic"/>
                <w:w w:val="91"/>
                <w:sz w:val="15"/>
              </w:rPr>
              <w:t>Ｌ</w:t>
            </w:r>
          </w:p>
          <w:p>
            <w:pPr>
              <w:pStyle w:val="11"/>
              <w:spacing w:before="72"/>
              <w:ind w:left="267"/>
              <w:rPr>
                <w:rFonts w:hint="eastAsia" w:ascii="MS UI Gothic" w:eastAsia="MS UI Gothic"/>
                <w:sz w:val="15"/>
              </w:rPr>
            </w:pPr>
            <w:r>
              <w:rPr>
                <w:spacing w:val="-5"/>
                <w:sz w:val="15"/>
              </w:rPr>
              <w:t xml:space="preserve">但不得小于 </w:t>
            </w:r>
            <w:r>
              <w:rPr>
                <w:rFonts w:hint="eastAsia" w:ascii="MS UI Gothic" w:eastAsia="MS UI Gothic"/>
                <w:sz w:val="15"/>
              </w:rPr>
              <w:t>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continue"/>
            <w:tcBorders>
              <w:top w:val="nil"/>
              <w:bottom w:val="single" w:color="231F20" w:sz="4" w:space="0"/>
              <w:right w:val="single" w:color="231F20" w:sz="4" w:space="0"/>
            </w:tcBorders>
          </w:tcPr>
          <w:p>
            <w:pPr>
              <w:rPr>
                <w:sz w:val="2"/>
                <w:szCs w:val="2"/>
              </w:rPr>
            </w:pPr>
          </w:p>
        </w:tc>
        <w:tc>
          <w:tcPr>
            <w:tcW w:w="3820" w:type="dxa"/>
            <w:gridSpan w:val="2"/>
            <w:tcBorders>
              <w:top w:val="single" w:color="231F20" w:sz="4" w:space="0"/>
              <w:left w:val="single" w:color="231F20" w:sz="4" w:space="0"/>
              <w:bottom w:val="single" w:color="231F20" w:sz="4" w:space="0"/>
              <w:right w:val="single" w:color="231F20" w:sz="4" w:space="0"/>
            </w:tcBorders>
          </w:tcPr>
          <w:p>
            <w:pPr>
              <w:pStyle w:val="11"/>
              <w:spacing w:before="9"/>
              <w:rPr>
                <w:rFonts w:ascii="MS UI Gothic"/>
                <w:sz w:val="16"/>
              </w:rPr>
            </w:pPr>
          </w:p>
          <w:p>
            <w:pPr>
              <w:pStyle w:val="11"/>
              <w:ind w:left="1419" w:right="1405"/>
              <w:jc w:val="center"/>
              <w:rPr>
                <w:sz w:val="15"/>
              </w:rPr>
            </w:pPr>
            <w:r>
              <w:rPr>
                <w:w w:val="105"/>
                <w:sz w:val="15"/>
              </w:rPr>
              <w:t>运物</w:t>
            </w:r>
          </w:p>
        </w:tc>
        <w:tc>
          <w:tcPr>
            <w:tcW w:w="2873" w:type="dxa"/>
            <w:tcBorders>
              <w:top w:val="single" w:color="231F20" w:sz="4" w:space="0"/>
              <w:left w:val="single" w:color="231F20" w:sz="4" w:space="0"/>
              <w:bottom w:val="single" w:color="231F20" w:sz="4" w:space="0"/>
            </w:tcBorders>
          </w:tcPr>
          <w:p>
            <w:pPr>
              <w:pStyle w:val="11"/>
              <w:spacing w:before="82"/>
              <w:ind w:left="264"/>
              <w:rPr>
                <w:rFonts w:hint="eastAsia" w:ascii="MS UI Gothic" w:hAnsi="MS UI Gothic" w:eastAsia="MS UI Gothic"/>
                <w:sz w:val="15"/>
              </w:rPr>
            </w:pPr>
            <w:r>
              <w:rPr>
                <w:rFonts w:hint="eastAsia" w:ascii="MS UI Gothic" w:hAnsi="MS UI Gothic" w:eastAsia="MS UI Gothic"/>
                <w:spacing w:val="3"/>
                <w:w w:val="75"/>
                <w:sz w:val="15"/>
              </w:rPr>
              <w:t>５</w:t>
            </w:r>
            <w:r>
              <w:rPr>
                <w:rFonts w:hint="eastAsia" w:ascii="MS UI Gothic" w:hAnsi="MS UI Gothic" w:eastAsia="MS UI Gothic"/>
                <w:spacing w:val="3"/>
                <w:w w:val="154"/>
                <w:sz w:val="15"/>
              </w:rPr>
              <w:t>—</w:t>
            </w:r>
            <w:r>
              <w:rPr>
                <w:rFonts w:hint="eastAsia" w:ascii="MS UI Gothic" w:hAnsi="MS UI Gothic" w:eastAsia="MS UI Gothic"/>
                <w:spacing w:val="-4"/>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０</w:t>
            </w:r>
            <w:r>
              <w:rPr>
                <w:rFonts w:hint="eastAsia" w:ascii="MS UI Gothic" w:hAnsi="MS UI Gothic" w:eastAsia="MS UI Gothic"/>
                <w:w w:val="75"/>
                <w:sz w:val="15"/>
              </w:rPr>
              <w:t>０１</w:t>
            </w:r>
            <w:r>
              <w:rPr>
                <w:rFonts w:hint="eastAsia" w:ascii="MS UI Gothic" w:hAnsi="MS UI Gothic" w:eastAsia="MS UI Gothic"/>
                <w:spacing w:val="10"/>
                <w:sz w:val="15"/>
              </w:rPr>
              <w:t xml:space="preserve"> </w:t>
            </w:r>
            <w:r>
              <w:rPr>
                <w:rFonts w:hint="eastAsia" w:ascii="MS UI Gothic" w:hAnsi="MS UI Gothic" w:eastAsia="MS UI Gothic"/>
                <w:w w:val="91"/>
                <w:sz w:val="15"/>
              </w:rPr>
              <w:t>Ｌ</w:t>
            </w:r>
          </w:p>
          <w:p>
            <w:pPr>
              <w:pStyle w:val="11"/>
              <w:spacing w:before="72"/>
              <w:ind w:left="267"/>
              <w:rPr>
                <w:rFonts w:hint="eastAsia" w:ascii="MS UI Gothic" w:eastAsia="MS UI Gothic"/>
                <w:sz w:val="15"/>
              </w:rPr>
            </w:pPr>
            <w:r>
              <w:rPr>
                <w:sz w:val="15"/>
              </w:rPr>
              <w:t xml:space="preserve">但不得小于 </w:t>
            </w:r>
            <w:r>
              <w:rPr>
                <w:rFonts w:hint="eastAsia" w:ascii="MS UI Gothic" w:eastAsia="MS UI Gothic"/>
                <w:sz w:val="15"/>
              </w:rPr>
              <w:t>３ 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093" w:type="dxa"/>
            <w:gridSpan w:val="3"/>
            <w:tcBorders>
              <w:top w:val="single" w:color="231F20" w:sz="4" w:space="0"/>
              <w:bottom w:val="single" w:color="231F20" w:sz="4" w:space="0"/>
              <w:right w:val="single" w:color="231F20" w:sz="4" w:space="0"/>
            </w:tcBorders>
          </w:tcPr>
          <w:p>
            <w:pPr>
              <w:pStyle w:val="11"/>
              <w:spacing w:before="55"/>
              <w:ind w:left="263"/>
              <w:rPr>
                <w:sz w:val="15"/>
              </w:rPr>
            </w:pPr>
            <w:r>
              <w:rPr>
                <w:w w:val="105"/>
                <w:sz w:val="15"/>
              </w:rPr>
              <w:t>架空乘人装置</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eastAsia="MS UI Gothic"/>
                <w:sz w:val="15"/>
              </w:rPr>
            </w:pPr>
            <w:r>
              <w:rPr>
                <w:rFonts w:hint="eastAsia" w:ascii="MS UI Gothic" w:eastAsia="MS UI Gothic"/>
                <w:w w:val="75"/>
                <w:sz w:val="15"/>
              </w:rPr>
              <w:t>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093" w:type="dxa"/>
            <w:gridSpan w:val="3"/>
            <w:tcBorders>
              <w:top w:val="single" w:color="231F20" w:sz="4" w:space="0"/>
              <w:bottom w:val="single" w:color="231F20" w:sz="4" w:space="0"/>
              <w:right w:val="single" w:color="231F20" w:sz="4" w:space="0"/>
            </w:tcBorders>
          </w:tcPr>
          <w:p>
            <w:pPr>
              <w:pStyle w:val="11"/>
              <w:spacing w:before="55"/>
              <w:ind w:left="263"/>
              <w:rPr>
                <w:sz w:val="15"/>
              </w:rPr>
            </w:pPr>
            <w:r>
              <w:rPr>
                <w:w w:val="105"/>
                <w:sz w:val="15"/>
              </w:rPr>
              <w:t>悬挂安全梯用的钢丝绳</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eastAsia="MS UI Gothic"/>
                <w:sz w:val="15"/>
              </w:rPr>
            </w:pPr>
            <w:r>
              <w:rPr>
                <w:rFonts w:hint="eastAsia" w:ascii="MS UI Gothic" w:eastAsia="MS UI Gothic"/>
                <w:w w:val="75"/>
                <w:sz w:val="15"/>
              </w:rPr>
              <w:t>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093" w:type="dxa"/>
            <w:gridSpan w:val="3"/>
            <w:tcBorders>
              <w:top w:val="single" w:color="231F20" w:sz="4" w:space="0"/>
              <w:bottom w:val="single" w:color="231F20" w:sz="4" w:space="0"/>
              <w:right w:val="single" w:color="231F20" w:sz="4" w:space="0"/>
            </w:tcBorders>
          </w:tcPr>
          <w:p>
            <w:pPr>
              <w:pStyle w:val="11"/>
              <w:spacing w:before="55"/>
              <w:ind w:left="263"/>
              <w:rPr>
                <w:sz w:val="15"/>
              </w:rPr>
            </w:pPr>
            <w:r>
              <w:rPr>
                <w:sz w:val="15"/>
              </w:rPr>
              <w:t>罐道绳</w:t>
            </w:r>
            <w:r>
              <w:rPr>
                <w:rFonts w:hint="eastAsia" w:ascii="MS UI Gothic" w:eastAsia="MS UI Gothic"/>
                <w:sz w:val="15"/>
              </w:rPr>
              <w:t xml:space="preserve">、 </w:t>
            </w:r>
            <w:r>
              <w:rPr>
                <w:sz w:val="15"/>
              </w:rPr>
              <w:t>防撞绳</w:t>
            </w:r>
            <w:r>
              <w:rPr>
                <w:rFonts w:hint="eastAsia" w:ascii="MS UI Gothic" w:eastAsia="MS UI Gothic"/>
                <w:sz w:val="15"/>
              </w:rPr>
              <w:t xml:space="preserve">、 </w:t>
            </w:r>
            <w:r>
              <w:rPr>
                <w:sz w:val="15"/>
              </w:rPr>
              <w:t>起重用的钢丝绳</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eastAsia="MS UI Gothic"/>
                <w:sz w:val="15"/>
              </w:rPr>
            </w:pPr>
            <w:r>
              <w:rPr>
                <w:rFonts w:hint="eastAsia" w:ascii="MS UI Gothic" w:eastAsia="MS UI Gothic"/>
                <w:w w:val="75"/>
                <w:sz w:val="15"/>
              </w:rPr>
              <w:t>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093" w:type="dxa"/>
            <w:gridSpan w:val="3"/>
            <w:tcBorders>
              <w:top w:val="single" w:color="231F20" w:sz="4" w:space="0"/>
              <w:bottom w:val="single" w:color="231F20" w:sz="4" w:space="0"/>
              <w:right w:val="single" w:color="231F20" w:sz="4" w:space="0"/>
            </w:tcBorders>
          </w:tcPr>
          <w:p>
            <w:pPr>
              <w:pStyle w:val="11"/>
              <w:spacing w:before="55"/>
              <w:ind w:left="263"/>
              <w:rPr>
                <w:sz w:val="15"/>
              </w:rPr>
            </w:pPr>
            <w:r>
              <w:rPr>
                <w:sz w:val="15"/>
              </w:rPr>
              <w:t>悬挂吊盘</w:t>
            </w:r>
            <w:r>
              <w:rPr>
                <w:rFonts w:hint="eastAsia" w:ascii="MS UI Gothic" w:eastAsia="MS UI Gothic"/>
                <w:sz w:val="15"/>
              </w:rPr>
              <w:t xml:space="preserve">、 </w:t>
            </w:r>
            <w:r>
              <w:rPr>
                <w:sz w:val="15"/>
              </w:rPr>
              <w:t>水泵</w:t>
            </w:r>
            <w:r>
              <w:rPr>
                <w:rFonts w:hint="eastAsia" w:ascii="MS UI Gothic" w:eastAsia="MS UI Gothic"/>
                <w:sz w:val="15"/>
              </w:rPr>
              <w:t xml:space="preserve">、 </w:t>
            </w:r>
            <w:r>
              <w:rPr>
                <w:sz w:val="15"/>
              </w:rPr>
              <w:t>排水管</w:t>
            </w:r>
            <w:r>
              <w:rPr>
                <w:rFonts w:hint="eastAsia" w:ascii="MS UI Gothic" w:eastAsia="MS UI Gothic"/>
                <w:sz w:val="15"/>
              </w:rPr>
              <w:t xml:space="preserve">、 </w:t>
            </w:r>
            <w:r>
              <w:rPr>
                <w:sz w:val="15"/>
              </w:rPr>
              <w:t>抓岩机等用的钢丝绳</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eastAsia="MS UI Gothic"/>
                <w:sz w:val="15"/>
              </w:rPr>
            </w:pPr>
            <w:r>
              <w:rPr>
                <w:rFonts w:hint="eastAsia" w:ascii="MS UI Gothic" w:eastAsia="MS UI Gothic"/>
                <w:w w:val="75"/>
                <w:sz w:val="15"/>
              </w:rPr>
              <w:t>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093" w:type="dxa"/>
            <w:gridSpan w:val="3"/>
            <w:tcBorders>
              <w:top w:val="single" w:color="231F20" w:sz="4" w:space="0"/>
              <w:bottom w:val="single" w:color="231F20" w:sz="4" w:space="0"/>
              <w:right w:val="single" w:color="231F20" w:sz="4" w:space="0"/>
            </w:tcBorders>
          </w:tcPr>
          <w:p>
            <w:pPr>
              <w:pStyle w:val="11"/>
              <w:spacing w:before="55"/>
              <w:ind w:left="263"/>
              <w:rPr>
                <w:sz w:val="15"/>
              </w:rPr>
            </w:pPr>
            <w:r>
              <w:rPr>
                <w:sz w:val="15"/>
              </w:rPr>
              <w:t>悬挂风筒</w:t>
            </w:r>
            <w:r>
              <w:rPr>
                <w:rFonts w:hint="eastAsia" w:ascii="MS UI Gothic" w:eastAsia="MS UI Gothic"/>
                <w:sz w:val="15"/>
              </w:rPr>
              <w:t xml:space="preserve">、 </w:t>
            </w:r>
            <w:r>
              <w:rPr>
                <w:sz w:val="15"/>
              </w:rPr>
              <w:t>风管</w:t>
            </w:r>
            <w:r>
              <w:rPr>
                <w:rFonts w:hint="eastAsia" w:ascii="MS UI Gothic" w:eastAsia="MS UI Gothic"/>
                <w:sz w:val="15"/>
              </w:rPr>
              <w:t xml:space="preserve">、 </w:t>
            </w:r>
            <w:r>
              <w:rPr>
                <w:sz w:val="15"/>
              </w:rPr>
              <w:t>供水管</w:t>
            </w:r>
            <w:r>
              <w:rPr>
                <w:rFonts w:hint="eastAsia" w:ascii="MS UI Gothic" w:eastAsia="MS UI Gothic"/>
                <w:sz w:val="15"/>
              </w:rPr>
              <w:t xml:space="preserve">、 </w:t>
            </w:r>
            <w:r>
              <w:rPr>
                <w:sz w:val="15"/>
              </w:rPr>
              <w:t>注浆管</w:t>
            </w:r>
            <w:r>
              <w:rPr>
                <w:rFonts w:hint="eastAsia" w:ascii="MS UI Gothic" w:eastAsia="MS UI Gothic"/>
                <w:sz w:val="15"/>
              </w:rPr>
              <w:t xml:space="preserve">、 </w:t>
            </w:r>
            <w:r>
              <w:rPr>
                <w:sz w:val="15"/>
              </w:rPr>
              <w:t>输料管</w:t>
            </w:r>
            <w:r>
              <w:rPr>
                <w:rFonts w:hint="eastAsia" w:ascii="MS UI Gothic" w:eastAsia="MS UI Gothic"/>
                <w:sz w:val="15"/>
              </w:rPr>
              <w:t xml:space="preserve">、 </w:t>
            </w:r>
            <w:r>
              <w:rPr>
                <w:sz w:val="15"/>
              </w:rPr>
              <w:t>电缆用的钢丝绳</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eastAsia="MS UI Gothic"/>
                <w:sz w:val="15"/>
              </w:rPr>
            </w:pPr>
            <w:r>
              <w:rPr>
                <w:rFonts w:hint="eastAsia" w:ascii="MS UI Gothic" w:eastAsia="MS UI Gothic"/>
                <w:w w:val="75"/>
                <w:sz w:val="15"/>
              </w:rPr>
              <w:t>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093" w:type="dxa"/>
            <w:gridSpan w:val="3"/>
            <w:tcBorders>
              <w:top w:val="single" w:color="231F20" w:sz="4" w:space="0"/>
              <w:bottom w:val="single" w:color="231F20" w:sz="4" w:space="0"/>
              <w:right w:val="single" w:color="231F20" w:sz="4" w:space="0"/>
            </w:tcBorders>
          </w:tcPr>
          <w:p>
            <w:pPr>
              <w:pStyle w:val="11"/>
              <w:spacing w:before="55"/>
              <w:ind w:left="263"/>
              <w:rPr>
                <w:sz w:val="15"/>
              </w:rPr>
            </w:pPr>
            <w:r>
              <w:rPr>
                <w:w w:val="105"/>
                <w:sz w:val="15"/>
              </w:rPr>
              <w:t>拉紧装置用的钢丝绳</w:t>
            </w:r>
          </w:p>
        </w:tc>
        <w:tc>
          <w:tcPr>
            <w:tcW w:w="2873" w:type="dxa"/>
            <w:tcBorders>
              <w:top w:val="single" w:color="231F20" w:sz="4" w:space="0"/>
              <w:left w:val="single" w:color="231F20" w:sz="4" w:space="0"/>
              <w:bottom w:val="single" w:color="231F20" w:sz="4" w:space="0"/>
            </w:tcBorders>
          </w:tcPr>
          <w:p>
            <w:pPr>
              <w:pStyle w:val="11"/>
              <w:spacing w:before="55"/>
              <w:ind w:left="264"/>
              <w:rPr>
                <w:rFonts w:hint="eastAsia" w:ascii="MS UI Gothic" w:eastAsia="MS UI Gothic"/>
                <w:sz w:val="15"/>
              </w:rPr>
            </w:pPr>
            <w:r>
              <w:rPr>
                <w:rFonts w:hint="eastAsia" w:ascii="MS UI Gothic" w:eastAsia="MS UI Gothic"/>
                <w:w w:val="75"/>
                <w:sz w:val="15"/>
              </w:rPr>
              <w:t>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5093" w:type="dxa"/>
            <w:gridSpan w:val="3"/>
            <w:tcBorders>
              <w:top w:val="single" w:color="231F20" w:sz="4" w:space="0"/>
              <w:right w:val="single" w:color="231F20" w:sz="4" w:space="0"/>
            </w:tcBorders>
          </w:tcPr>
          <w:p>
            <w:pPr>
              <w:pStyle w:val="11"/>
              <w:spacing w:before="55"/>
              <w:ind w:left="263"/>
              <w:rPr>
                <w:rFonts w:hint="eastAsia" w:ascii="MS UI Gothic" w:eastAsia="MS UI Gothic"/>
                <w:sz w:val="15"/>
              </w:rPr>
            </w:pPr>
            <w:r>
              <w:rPr>
                <w:w w:val="110"/>
                <w:sz w:val="15"/>
              </w:rPr>
              <w:t xml:space="preserve">防坠器的制动绳和缓冲绳 </w:t>
            </w:r>
            <w:r>
              <w:rPr>
                <w:rFonts w:hint="eastAsia" w:ascii="MS UI Gothic" w:eastAsia="MS UI Gothic"/>
                <w:w w:val="150"/>
                <w:sz w:val="15"/>
              </w:rPr>
              <w:t xml:space="preserve">( </w:t>
            </w:r>
            <w:r>
              <w:rPr>
                <w:w w:val="110"/>
                <w:sz w:val="15"/>
              </w:rPr>
              <w:t>按动载荷计算</w:t>
            </w:r>
            <w:r>
              <w:rPr>
                <w:rFonts w:hint="eastAsia" w:ascii="MS UI Gothic" w:eastAsia="MS UI Gothic"/>
                <w:w w:val="150"/>
                <w:sz w:val="15"/>
              </w:rPr>
              <w:t>)</w:t>
            </w:r>
          </w:p>
        </w:tc>
        <w:tc>
          <w:tcPr>
            <w:tcW w:w="2873" w:type="dxa"/>
            <w:tcBorders>
              <w:top w:val="single" w:color="231F20" w:sz="4" w:space="0"/>
              <w:left w:val="single" w:color="231F20" w:sz="4" w:space="0"/>
            </w:tcBorders>
          </w:tcPr>
          <w:p>
            <w:pPr>
              <w:pStyle w:val="11"/>
              <w:spacing w:before="55"/>
              <w:ind w:left="264"/>
              <w:rPr>
                <w:rFonts w:hint="eastAsia" w:ascii="MS UI Gothic" w:eastAsia="MS UI Gothic"/>
                <w:sz w:val="15"/>
              </w:rPr>
            </w:pPr>
            <w:r>
              <w:rPr>
                <w:rFonts w:hint="eastAsia" w:ascii="MS UI Gothic" w:eastAsia="MS UI Gothic"/>
                <w:w w:val="75"/>
                <w:sz w:val="15"/>
              </w:rPr>
              <w:t>３</w:t>
            </w:r>
          </w:p>
        </w:tc>
      </w:tr>
    </w:tbl>
    <w:p>
      <w:pPr>
        <w:spacing w:before="78" w:line="328" w:lineRule="auto"/>
        <w:ind w:left="440" w:right="126" w:firstLine="159"/>
        <w:jc w:val="left"/>
        <w:rPr>
          <w:rFonts w:hint="eastAsia" w:ascii="MS UI Gothic" w:hAnsi="MS UI Gothic" w:eastAsia="MS UI Gothic"/>
          <w:sz w:val="15"/>
        </w:rPr>
      </w:pPr>
      <w:r>
        <w:rPr>
          <w:rFonts w:hint="eastAsia" w:ascii="MS UI Gothic" w:hAnsi="MS UI Gothic" w:eastAsia="MS UI Gothic"/>
          <w:w w:val="190"/>
          <w:sz w:val="15"/>
        </w:rPr>
        <w:t xml:space="preserve">∗ </w:t>
      </w:r>
      <w:r>
        <w:rPr>
          <w:w w:val="105"/>
          <w:sz w:val="15"/>
        </w:rPr>
        <w:t>钢丝绳的安全系数</w:t>
      </w:r>
      <w:r>
        <w:rPr>
          <w:rFonts w:hint="eastAsia" w:ascii="MS UI Gothic" w:hAnsi="MS UI Gothic" w:eastAsia="MS UI Gothic"/>
          <w:w w:val="80"/>
          <w:sz w:val="15"/>
        </w:rPr>
        <w:t xml:space="preserve">ꎬ </w:t>
      </w:r>
      <w:r>
        <w:rPr>
          <w:w w:val="105"/>
          <w:sz w:val="15"/>
        </w:rPr>
        <w:t xml:space="preserve">等于实测的合格钢丝拉断力的总和与其所承受的最大静拉力 </w:t>
      </w:r>
      <w:r>
        <w:rPr>
          <w:rFonts w:hint="eastAsia" w:ascii="MS UI Gothic" w:hAnsi="MS UI Gothic" w:eastAsia="MS UI Gothic"/>
          <w:w w:val="150"/>
          <w:sz w:val="15"/>
        </w:rPr>
        <w:t xml:space="preserve">( </w:t>
      </w:r>
      <w:r>
        <w:rPr>
          <w:w w:val="105"/>
          <w:sz w:val="15"/>
        </w:rPr>
        <w:t>包括绳端载荷和钢丝绳自重所引起的静拉力</w:t>
      </w:r>
      <w:r>
        <w:rPr>
          <w:rFonts w:hint="eastAsia" w:ascii="MS UI Gothic" w:hAnsi="MS UI Gothic" w:eastAsia="MS UI Gothic"/>
          <w:w w:val="150"/>
          <w:sz w:val="15"/>
        </w:rPr>
        <w:t xml:space="preserve">) </w:t>
      </w:r>
      <w:r>
        <w:rPr>
          <w:w w:val="105"/>
          <w:sz w:val="15"/>
        </w:rPr>
        <w:t>之比</w:t>
      </w:r>
      <w:r>
        <w:rPr>
          <w:rFonts w:hint="eastAsia" w:ascii="MS UI Gothic" w:hAnsi="MS UI Gothic" w:eastAsia="MS UI Gothic"/>
          <w:w w:val="80"/>
          <w:sz w:val="15"/>
        </w:rPr>
        <w:t>ꎻ</w:t>
      </w:r>
    </w:p>
    <w:p>
      <w:pPr>
        <w:spacing w:before="1"/>
        <w:ind w:left="759" w:right="0" w:firstLine="0"/>
        <w:jc w:val="left"/>
        <w:rPr>
          <w:rFonts w:hint="eastAsia" w:ascii="MS UI Gothic" w:hAnsi="MS UI Gothic" w:eastAsia="MS UI Gothic"/>
          <w:sz w:val="15"/>
        </w:rPr>
      </w:pPr>
      <w:r>
        <w:rPr>
          <w:rFonts w:hint="eastAsia" w:ascii="MS UI Gothic" w:hAnsi="MS UI Gothic" w:eastAsia="MS UI Gothic"/>
          <w:w w:val="190"/>
          <w:sz w:val="15"/>
        </w:rPr>
        <w:t xml:space="preserve">∗∗ </w:t>
      </w:r>
      <w:r>
        <w:rPr>
          <w:w w:val="105"/>
          <w:sz w:val="15"/>
        </w:rPr>
        <w:t>混合提升指多层罐笼同一次在不同层内提升人员和物料</w:t>
      </w:r>
      <w:r>
        <w:rPr>
          <w:rFonts w:hint="eastAsia" w:ascii="MS UI Gothic" w:hAnsi="MS UI Gothic" w:eastAsia="MS UI Gothic"/>
          <w:w w:val="85"/>
          <w:sz w:val="15"/>
        </w:rPr>
        <w:t>ꎻ</w:t>
      </w:r>
    </w:p>
    <w:p>
      <w:pPr>
        <w:spacing w:before="72"/>
        <w:ind w:left="759" w:right="0" w:firstLine="0"/>
        <w:jc w:val="left"/>
        <w:rPr>
          <w:rFonts w:hint="eastAsia" w:ascii="MS UI Gothic" w:hAnsi="MS UI Gothic" w:eastAsia="MS UI Gothic"/>
          <w:sz w:val="15"/>
        </w:rPr>
      </w:pPr>
      <w:r>
        <w:rPr>
          <w:rFonts w:hint="eastAsia" w:ascii="MS UI Gothic" w:hAnsi="MS UI Gothic" w:eastAsia="MS UI Gothic"/>
          <w:spacing w:val="3"/>
          <w:w w:val="207"/>
          <w:sz w:val="15"/>
        </w:rPr>
        <w:t>∗∗∗</w:t>
      </w:r>
      <w:r>
        <w:rPr>
          <w:rFonts w:hint="eastAsia" w:ascii="MS UI Gothic" w:hAnsi="MS UI Gothic" w:eastAsia="MS UI Gothic"/>
          <w:w w:val="97"/>
          <w:sz w:val="15"/>
        </w:rPr>
        <w:t>Ｈ</w:t>
      </w:r>
      <w:r>
        <w:rPr>
          <w:rFonts w:hint="eastAsia" w:ascii="MS UI Gothic" w:hAnsi="MS UI Gothic" w:eastAsia="MS UI Gothic"/>
          <w:spacing w:val="9"/>
          <w:sz w:val="15"/>
        </w:rPr>
        <w:t xml:space="preserve"> </w:t>
      </w:r>
      <w:r>
        <w:rPr>
          <w:spacing w:val="3"/>
          <w:w w:val="103"/>
          <w:sz w:val="15"/>
        </w:rPr>
        <w:t>为钢丝绳悬挂长度</w:t>
      </w:r>
      <w:r>
        <w:rPr>
          <w:rFonts w:hint="eastAsia" w:ascii="MS UI Gothic" w:hAnsi="MS UI Gothic" w:eastAsia="MS UI Gothic"/>
          <w:w w:val="51"/>
          <w:sz w:val="15"/>
        </w:rPr>
        <w:t>ꎬ</w:t>
      </w:r>
      <w:r>
        <w:rPr>
          <w:rFonts w:hint="eastAsia" w:ascii="MS UI Gothic" w:hAnsi="MS UI Gothic" w:eastAsia="MS UI Gothic"/>
          <w:spacing w:val="-5"/>
          <w:sz w:val="15"/>
        </w:rPr>
        <w:t xml:space="preserve">  </w:t>
      </w:r>
      <w:r>
        <w:rPr>
          <w:rFonts w:hint="eastAsia" w:ascii="MS UI Gothic" w:hAnsi="MS UI Gothic" w:eastAsia="MS UI Gothic"/>
          <w:spacing w:val="2"/>
          <w:w w:val="79"/>
          <w:sz w:val="15"/>
        </w:rPr>
        <w:t>ｍ</w:t>
      </w:r>
      <w:r>
        <w:rPr>
          <w:rFonts w:hint="eastAsia" w:ascii="MS UI Gothic" w:hAnsi="MS UI Gothic" w:eastAsia="MS UI Gothic"/>
          <w:w w:val="51"/>
          <w:sz w:val="15"/>
        </w:rPr>
        <w:t>ꎻ</w:t>
      </w:r>
    </w:p>
    <w:p>
      <w:pPr>
        <w:spacing w:before="72"/>
        <w:ind w:left="759" w:right="0" w:firstLine="0"/>
        <w:jc w:val="left"/>
        <w:rPr>
          <w:rFonts w:hint="eastAsia" w:ascii="MS UI Gothic" w:hAnsi="MS UI Gothic" w:eastAsia="MS UI Gothic"/>
          <w:sz w:val="15"/>
        </w:rPr>
      </w:pPr>
      <w:r>
        <w:rPr>
          <w:rFonts w:hint="eastAsia" w:ascii="MS UI Gothic" w:hAnsi="MS UI Gothic" w:eastAsia="MS UI Gothic"/>
          <w:spacing w:val="3"/>
          <w:w w:val="207"/>
          <w:sz w:val="15"/>
        </w:rPr>
        <w:t>∗∗∗∗</w:t>
      </w:r>
      <w:r>
        <w:rPr>
          <w:rFonts w:hint="eastAsia" w:ascii="MS UI Gothic" w:hAnsi="MS UI Gothic" w:eastAsia="MS UI Gothic"/>
          <w:w w:val="91"/>
          <w:sz w:val="15"/>
        </w:rPr>
        <w:t>Ｌ</w:t>
      </w:r>
      <w:r>
        <w:rPr>
          <w:rFonts w:hint="eastAsia" w:ascii="MS UI Gothic" w:hAnsi="MS UI Gothic" w:eastAsia="MS UI Gothic"/>
          <w:spacing w:val="9"/>
          <w:sz w:val="15"/>
        </w:rPr>
        <w:t xml:space="preserve"> </w:t>
      </w:r>
      <w:r>
        <w:rPr>
          <w:spacing w:val="3"/>
          <w:w w:val="103"/>
          <w:sz w:val="15"/>
        </w:rPr>
        <w:t>为由驱动轮到尾部绳轮的长度</w:t>
      </w:r>
      <w:r>
        <w:rPr>
          <w:rFonts w:hint="eastAsia" w:ascii="MS UI Gothic" w:hAnsi="MS UI Gothic" w:eastAsia="MS UI Gothic"/>
          <w:w w:val="51"/>
          <w:sz w:val="15"/>
        </w:rPr>
        <w:t>ꎬ</w:t>
      </w:r>
      <w:r>
        <w:rPr>
          <w:rFonts w:hint="eastAsia" w:ascii="MS UI Gothic" w:hAnsi="MS UI Gothic" w:eastAsia="MS UI Gothic"/>
          <w:spacing w:val="-5"/>
          <w:sz w:val="15"/>
        </w:rPr>
        <w:t xml:space="preserve">  </w:t>
      </w:r>
      <w:r>
        <w:rPr>
          <w:rFonts w:hint="eastAsia" w:ascii="MS UI Gothic" w:hAnsi="MS UI Gothic" w:eastAsia="MS UI Gothic"/>
          <w:spacing w:val="2"/>
          <w:w w:val="79"/>
          <w:sz w:val="15"/>
        </w:rPr>
        <w:t>ｍ</w:t>
      </w:r>
      <w:r>
        <w:rPr>
          <w:rFonts w:hint="eastAsia" w:ascii="MS UI Gothic" w:hAnsi="MS UI Gothic" w:eastAsia="MS UI Gothic"/>
          <w:w w:val="51"/>
          <w:sz w:val="15"/>
        </w:rPr>
        <w:t>ꎮ</w:t>
      </w:r>
    </w:p>
    <w:p>
      <w:pPr>
        <w:pStyle w:val="6"/>
        <w:spacing w:before="11"/>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75" w:line="295" w:lineRule="auto"/>
        <w:ind w:left="440"/>
        <w:rPr>
          <w:rFonts w:hint="eastAsia" w:ascii="MS UI Gothic" w:eastAsia="MS UI Gothic"/>
        </w:rPr>
      </w:pPr>
      <w:r>
        <w:pict>
          <v:shape id="_x0000_s1931" o:spid="_x0000_s1931" style="position:absolute;left:0pt;margin-left:0pt;margin-top:748.3pt;height:1.75pt;width:398.25pt;mso-position-horizontal-relative:page;mso-position-vertical-relative:page;z-index:252022784;mso-width-relative:page;mso-height-relative:page;" filled="f" stroked="t" coordorigin="0,14966" coordsize="7965,35" path="m1419,1480l9384,1480m1419,1445l9384,1445e">
            <v:path arrowok="t"/>
            <v:fill on="f" focussize="0,0"/>
            <v:stroke weight="0.388031496062992pt" color="#231F20"/>
            <v:imagedata o:title=""/>
            <o:lock v:ext="edit"/>
          </v:shape>
        </w:pict>
      </w: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在用的缠绕式提升钢丝绳在定</w:t>
      </w:r>
      <w:r>
        <w:t>期检验时</w:t>
      </w:r>
      <w:r>
        <w:rPr>
          <w:rFonts w:hint="eastAsia" w:ascii="MS UI Gothic" w:eastAsia="MS UI Gothic"/>
          <w:w w:val="80"/>
        </w:rPr>
        <w:t xml:space="preserve">ꎬ </w:t>
      </w:r>
      <w:r>
        <w:t>安全系数小于下列规定值时</w:t>
      </w:r>
      <w:r>
        <w:rPr>
          <w:rFonts w:hint="eastAsia" w:ascii="MS UI Gothic" w:eastAsia="MS UI Gothic"/>
          <w:w w:val="80"/>
        </w:rPr>
        <w:t>ꎬ</w:t>
      </w:r>
      <w:r>
        <w:rPr>
          <w:w w:val="110"/>
        </w:rPr>
        <w:t>应当及时更换</w:t>
      </w:r>
      <w:r>
        <w:rPr>
          <w:rFonts w:hint="eastAsia" w:ascii="MS UI Gothic" w:eastAsia="MS UI Gothic"/>
          <w:w w:val="235"/>
        </w:rPr>
        <w:t>:</w:t>
      </w:r>
    </w:p>
    <w:p>
      <w:pPr>
        <w:pStyle w:val="6"/>
        <w:spacing w:line="254" w:lineRule="exact"/>
        <w:ind w:left="854" w:firstLine="0"/>
        <w:rPr>
          <w:rFonts w:hint="eastAsia" w:ascii="MS UI Gothic" w:eastAsia="MS UI Gothic"/>
        </w:rPr>
      </w:pPr>
      <w:r>
        <w:rPr>
          <w:rFonts w:hint="eastAsia" w:ascii="MS UI Gothic" w:eastAsia="MS UI Gothic"/>
        </w:rPr>
        <w:t xml:space="preserve">１ </w:t>
      </w:r>
      <w:r>
        <w:t xml:space="preserve">专为升降人员用的小于 </w:t>
      </w:r>
      <w:r>
        <w:rPr>
          <w:rFonts w:hint="eastAsia" w:ascii="MS UI Gothic" w:eastAsia="MS UI Gothic"/>
        </w:rPr>
        <w:t>７</w:t>
      </w:r>
      <w:r>
        <w:rPr>
          <w:rFonts w:hint="eastAsia" w:ascii="MS UI Gothic" w:eastAsia="MS UI Gothic"/>
          <w:w w:val="85"/>
        </w:rPr>
        <w:t>ꎮ</w:t>
      </w:r>
    </w:p>
    <w:p>
      <w:pPr>
        <w:pStyle w:val="6"/>
        <w:spacing w:before="58"/>
        <w:ind w:left="854" w:firstLine="0"/>
      </w:pPr>
      <w:r>
        <w:rPr>
          <w:rFonts w:hint="eastAsia" w:ascii="MS UI Gothic" w:eastAsia="MS UI Gothic"/>
        </w:rPr>
        <w:t xml:space="preserve">２ </w:t>
      </w:r>
      <w:r>
        <w:rPr>
          <w:w w:val="105"/>
        </w:rPr>
        <w:t>升降人员和物料用的钢丝绳</w:t>
      </w:r>
      <w:r>
        <w:rPr>
          <w:rFonts w:hint="eastAsia" w:ascii="MS UI Gothic" w:eastAsia="MS UI Gothic"/>
          <w:w w:val="105"/>
        </w:rPr>
        <w:t xml:space="preserve">: </w:t>
      </w:r>
      <w:r>
        <w:rPr>
          <w:w w:val="105"/>
        </w:rPr>
        <w:t>升</w:t>
      </w:r>
    </w:p>
    <w:p>
      <w:pPr>
        <w:pStyle w:val="6"/>
        <w:spacing w:before="175"/>
        <w:ind w:left="381" w:firstLine="0"/>
        <w:jc w:val="left"/>
        <w:rPr>
          <w:rFonts w:hint="eastAsia" w:ascii="MS UI Gothic" w:eastAsia="MS UI Gothic"/>
        </w:rPr>
      </w:pPr>
      <w:r>
        <w:br w:type="column"/>
      </w:r>
      <w:r>
        <w:t xml:space="preserve">降人员时小于 </w:t>
      </w:r>
      <w:r>
        <w:rPr>
          <w:rFonts w:hint="eastAsia" w:ascii="MS UI Gothic" w:eastAsia="MS UI Gothic"/>
        </w:rPr>
        <w:t>７</w:t>
      </w:r>
      <w:r>
        <w:rPr>
          <w:rFonts w:hint="eastAsia" w:ascii="MS UI Gothic" w:eastAsia="MS UI Gothic"/>
          <w:w w:val="80"/>
        </w:rPr>
        <w:t xml:space="preserve">ꎬ </w:t>
      </w:r>
      <w:r>
        <w:t xml:space="preserve">升降物 料时小于 </w:t>
      </w:r>
      <w:r>
        <w:rPr>
          <w:rFonts w:hint="eastAsia" w:ascii="MS UI Gothic" w:eastAsia="MS UI Gothic"/>
        </w:rPr>
        <w:t>６</w:t>
      </w:r>
      <w:r>
        <w:rPr>
          <w:rFonts w:hint="eastAsia" w:ascii="MS UI Gothic" w:eastAsia="MS UI Gothic"/>
          <w:w w:val="80"/>
        </w:rPr>
        <w:t>ꎮ</w:t>
      </w:r>
    </w:p>
    <w:p>
      <w:pPr>
        <w:pStyle w:val="6"/>
        <w:spacing w:before="58" w:line="295" w:lineRule="auto"/>
        <w:ind w:left="381" w:right="126" w:firstLine="413"/>
        <w:jc w:val="left"/>
        <w:rPr>
          <w:rFonts w:hint="eastAsia" w:ascii="MS UI Gothic" w:eastAsia="MS UI Gothic"/>
        </w:rPr>
      </w:pPr>
      <w:r>
        <w:rPr>
          <w:rFonts w:hint="eastAsia" w:ascii="MS UI Gothic" w:eastAsia="MS UI Gothic"/>
        </w:rPr>
        <w:t xml:space="preserve">３ </w:t>
      </w:r>
      <w:r>
        <w:t xml:space="preserve">专为升降物料和悬挂吊盘用的小于 </w:t>
      </w:r>
      <w:r>
        <w:rPr>
          <w:rFonts w:hint="eastAsia" w:ascii="MS UI Gothic" w:eastAsia="MS UI Gothic"/>
        </w:rPr>
        <w:t>５</w:t>
      </w:r>
      <w:r>
        <w:rPr>
          <w:rFonts w:hint="eastAsia" w:ascii="MS UI Gothic" w:eastAsia="MS UI Gothic"/>
          <w:w w:val="85"/>
        </w:rPr>
        <w:t>ꎮ</w:t>
      </w:r>
    </w:p>
    <w:p>
      <w:pPr>
        <w:pStyle w:val="6"/>
        <w:tabs>
          <w:tab w:val="left" w:pos="2267"/>
        </w:tabs>
        <w:spacing w:line="295" w:lineRule="auto"/>
        <w:ind w:left="381" w:right="126"/>
        <w:jc w:val="left"/>
        <w:rPr>
          <w:rFonts w:hint="eastAsia" w:ascii="MS UI Gothic" w:eastAsia="MS UI Gothic"/>
        </w:rPr>
      </w:pPr>
      <w:r>
        <w:rPr>
          <w:spacing w:val="3"/>
        </w:rPr>
        <w:t>第四百零九</w:t>
      </w:r>
      <w:r>
        <w:t>条</w:t>
      </w:r>
      <w:r>
        <w:tab/>
      </w:r>
      <w:r>
        <w:rPr>
          <w:spacing w:val="3"/>
        </w:rPr>
        <w:t>各种用途钢丝绳的</w:t>
      </w:r>
      <w:r>
        <w:t>韧</w:t>
      </w:r>
      <w:r>
        <w:rPr>
          <w:spacing w:val="3"/>
        </w:rPr>
        <w:t>性指标</w:t>
      </w:r>
      <w:r>
        <w:rPr>
          <w:rFonts w:hint="eastAsia" w:ascii="MS UI Gothic" w:eastAsia="MS UI Gothic"/>
          <w:w w:val="85"/>
        </w:rPr>
        <w:t>ꎬ</w:t>
      </w:r>
      <w:r>
        <w:rPr>
          <w:rFonts w:hint="eastAsia" w:ascii="MS UI Gothic" w:eastAsia="MS UI Gothic"/>
          <w:spacing w:val="44"/>
          <w:w w:val="85"/>
        </w:rPr>
        <w:t xml:space="preserve"> </w:t>
      </w:r>
      <w:r>
        <w:rPr>
          <w:spacing w:val="3"/>
        </w:rPr>
        <w:t>必须符合</w:t>
      </w:r>
      <w:r>
        <w:t>表</w:t>
      </w:r>
      <w:r>
        <w:rPr>
          <w:spacing w:val="-55"/>
        </w:rPr>
        <w:t xml:space="preserve"> </w:t>
      </w:r>
      <w:r>
        <w:rPr>
          <w:rFonts w:hint="eastAsia" w:ascii="MS UI Gothic" w:eastAsia="MS UI Gothic"/>
          <w:w w:val="85"/>
        </w:rPr>
        <w:t>１０</w:t>
      </w:r>
      <w:r>
        <w:rPr>
          <w:rFonts w:hint="eastAsia" w:ascii="MS UI Gothic" w:eastAsia="MS UI Gothic"/>
          <w:spacing w:val="1"/>
          <w:w w:val="85"/>
        </w:rPr>
        <w:t xml:space="preserve"> </w:t>
      </w:r>
      <w:r>
        <w:rPr>
          <w:spacing w:val="3"/>
        </w:rPr>
        <w:t>的要求</w:t>
      </w:r>
      <w:r>
        <w:rPr>
          <w:rFonts w:hint="eastAsia" w:ascii="MS UI Gothic" w:eastAsia="MS UI Gothic"/>
          <w:w w:val="85"/>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1932" o:spid="_x0000_s1932" style="position:absolute;left:0pt;margin-left:0pt;margin-top:700.1pt;height:1.75pt;width:398.25pt;mso-position-horizontal-relative:page;z-index:252023808;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３０２</w:t>
      </w:r>
    </w:p>
    <w:p>
      <w:pPr>
        <w:spacing w:before="192"/>
        <w:ind w:left="215" w:right="2695" w:firstLine="0"/>
        <w:jc w:val="center"/>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ind w:left="215" w:right="2681" w:firstLine="0"/>
        <w:jc w:val="center"/>
      </w:pPr>
      <w:r>
        <w:rPr>
          <w:w w:val="95"/>
        </w:rPr>
        <w:t xml:space="preserve">表 </w:t>
      </w:r>
      <w:r>
        <w:rPr>
          <w:rFonts w:hint="eastAsia" w:ascii="MS UI Gothic" w:eastAsia="MS UI Gothic"/>
          <w:w w:val="95"/>
        </w:rPr>
        <w:t xml:space="preserve">１０ </w:t>
      </w:r>
      <w:r>
        <w:rPr>
          <w:w w:val="95"/>
        </w:rPr>
        <w:t>不同钢丝绳的韧性指标</w:t>
      </w:r>
    </w:p>
    <w:p>
      <w:pPr>
        <w:spacing w:after="0"/>
        <w:jc w:val="center"/>
        <w:sectPr>
          <w:pgSz w:w="10500" w:h="14750"/>
          <w:pgMar w:top="960" w:right="980" w:bottom="280" w:left="980" w:header="720" w:footer="720" w:gutter="0"/>
          <w:cols w:equalWidth="0" w:num="2">
            <w:col w:w="1050" w:space="1096"/>
            <w:col w:w="6394"/>
          </w:cols>
        </w:sectPr>
      </w:pPr>
    </w:p>
    <w:p>
      <w:pPr>
        <w:pStyle w:val="6"/>
        <w:spacing w:before="1"/>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273"/>
        <w:gridCol w:w="1273"/>
        <w:gridCol w:w="2228"/>
        <w:gridCol w:w="1273"/>
        <w:gridCol w:w="1917"/>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273" w:type="dxa"/>
            <w:vMerge w:val="restart"/>
            <w:tcBorders>
              <w:bottom w:val="single" w:color="231F20" w:sz="4" w:space="0"/>
              <w:right w:val="single" w:color="231F20" w:sz="4" w:space="0"/>
            </w:tcBorders>
          </w:tcPr>
          <w:p>
            <w:pPr>
              <w:pStyle w:val="11"/>
              <w:spacing w:before="4"/>
              <w:rPr>
                <w:sz w:val="16"/>
              </w:rPr>
            </w:pPr>
          </w:p>
          <w:p>
            <w:pPr>
              <w:pStyle w:val="11"/>
              <w:ind w:left="238"/>
              <w:rPr>
                <w:sz w:val="15"/>
              </w:rPr>
            </w:pPr>
            <w:r>
              <w:rPr>
                <w:w w:val="105"/>
                <w:sz w:val="15"/>
              </w:rPr>
              <w:t>钢丝绳用途</w:t>
            </w:r>
          </w:p>
        </w:tc>
        <w:tc>
          <w:tcPr>
            <w:tcW w:w="1273" w:type="dxa"/>
            <w:vMerge w:val="restart"/>
            <w:tcBorders>
              <w:left w:val="single" w:color="231F20" w:sz="4" w:space="0"/>
              <w:bottom w:val="single" w:color="231F20" w:sz="4" w:space="0"/>
              <w:right w:val="single" w:color="231F20" w:sz="4" w:space="0"/>
            </w:tcBorders>
          </w:tcPr>
          <w:p>
            <w:pPr>
              <w:pStyle w:val="11"/>
              <w:spacing w:before="4"/>
              <w:rPr>
                <w:sz w:val="16"/>
              </w:rPr>
            </w:pPr>
          </w:p>
          <w:p>
            <w:pPr>
              <w:pStyle w:val="11"/>
              <w:ind w:left="243"/>
              <w:rPr>
                <w:sz w:val="15"/>
              </w:rPr>
            </w:pPr>
            <w:r>
              <w:rPr>
                <w:w w:val="105"/>
                <w:sz w:val="15"/>
              </w:rPr>
              <w:t>钢丝绳种类</w:t>
            </w:r>
          </w:p>
        </w:tc>
        <w:tc>
          <w:tcPr>
            <w:tcW w:w="3501" w:type="dxa"/>
            <w:gridSpan w:val="2"/>
            <w:tcBorders>
              <w:left w:val="single" w:color="231F20" w:sz="4" w:space="0"/>
              <w:bottom w:val="single" w:color="231F20" w:sz="4" w:space="0"/>
              <w:right w:val="single" w:color="231F20" w:sz="4" w:space="0"/>
            </w:tcBorders>
          </w:tcPr>
          <w:p>
            <w:pPr>
              <w:pStyle w:val="11"/>
              <w:spacing w:before="50"/>
              <w:ind w:left="1039"/>
              <w:rPr>
                <w:sz w:val="15"/>
              </w:rPr>
            </w:pPr>
            <w:r>
              <w:rPr>
                <w:w w:val="105"/>
                <w:sz w:val="15"/>
              </w:rPr>
              <w:t>钢丝绳韧性指标下限</w:t>
            </w:r>
          </w:p>
        </w:tc>
        <w:tc>
          <w:tcPr>
            <w:tcW w:w="1917" w:type="dxa"/>
            <w:vMerge w:val="restart"/>
            <w:tcBorders>
              <w:left w:val="single" w:color="231F20" w:sz="4" w:space="0"/>
              <w:bottom w:val="single" w:color="231F20" w:sz="4" w:space="0"/>
            </w:tcBorders>
          </w:tcPr>
          <w:p>
            <w:pPr>
              <w:pStyle w:val="11"/>
              <w:spacing w:before="4"/>
              <w:rPr>
                <w:sz w:val="16"/>
              </w:rPr>
            </w:pPr>
          </w:p>
          <w:p>
            <w:pPr>
              <w:pStyle w:val="11"/>
              <w:tabs>
                <w:tab w:val="left" w:pos="1122"/>
              </w:tabs>
              <w:ind w:left="645"/>
              <w:rPr>
                <w:sz w:val="15"/>
              </w:rPr>
            </w:pPr>
            <w:r>
              <w:rPr>
                <w:w w:val="105"/>
                <w:sz w:val="15"/>
              </w:rPr>
              <w:t>说</w:t>
            </w:r>
            <w:r>
              <w:rPr>
                <w:w w:val="105"/>
                <w:sz w:val="15"/>
              </w:rPr>
              <w:tab/>
            </w:r>
            <w:r>
              <w:rPr>
                <w:w w:val="105"/>
                <w:sz w:val="15"/>
              </w:rPr>
              <w:t>明</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continue"/>
            <w:tcBorders>
              <w:top w:val="nil"/>
              <w:bottom w:val="single" w:color="231F20" w:sz="4" w:space="0"/>
              <w:right w:val="single" w:color="231F20" w:sz="4" w:space="0"/>
            </w:tcBorders>
          </w:tcPr>
          <w:p>
            <w:pPr>
              <w:rPr>
                <w:sz w:val="2"/>
                <w:szCs w:val="2"/>
              </w:rPr>
            </w:pPr>
          </w:p>
        </w:tc>
        <w:tc>
          <w:tcPr>
            <w:tcW w:w="1273" w:type="dxa"/>
            <w:vMerge w:val="continue"/>
            <w:tcBorders>
              <w:top w:val="nil"/>
              <w:left w:val="single" w:color="231F20" w:sz="4" w:space="0"/>
              <w:bottom w:val="single" w:color="231F20" w:sz="4" w:space="0"/>
              <w:right w:val="single" w:color="231F20" w:sz="4" w:space="0"/>
            </w:tcBorders>
          </w:tcPr>
          <w:p>
            <w:pPr>
              <w:rPr>
                <w:sz w:val="2"/>
                <w:szCs w:val="2"/>
              </w:rPr>
            </w:pP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55"/>
              <w:ind w:right="943"/>
              <w:jc w:val="right"/>
              <w:rPr>
                <w:sz w:val="15"/>
              </w:rPr>
            </w:pPr>
            <w:r>
              <w:rPr>
                <w:sz w:val="15"/>
              </w:rPr>
              <w:t>新绳</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5"/>
              <w:ind w:left="224" w:right="209"/>
              <w:jc w:val="center"/>
              <w:rPr>
                <w:sz w:val="15"/>
              </w:rPr>
            </w:pPr>
            <w:r>
              <w:rPr>
                <w:w w:val="105"/>
                <w:sz w:val="15"/>
              </w:rPr>
              <w:t>在用绳</w:t>
            </w:r>
          </w:p>
        </w:tc>
        <w:tc>
          <w:tcPr>
            <w:tcW w:w="1917"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restart"/>
            <w:tcBorders>
              <w:top w:val="single" w:color="231F20" w:sz="4" w:space="0"/>
              <w:bottom w:val="single" w:color="231F20" w:sz="4" w:space="0"/>
              <w:right w:val="single" w:color="231F20" w:sz="4" w:space="0"/>
            </w:tcBorders>
          </w:tcPr>
          <w:p>
            <w:pPr>
              <w:pStyle w:val="11"/>
              <w:rPr>
                <w:sz w:val="18"/>
              </w:rPr>
            </w:pPr>
          </w:p>
          <w:p>
            <w:pPr>
              <w:pStyle w:val="11"/>
              <w:rPr>
                <w:sz w:val="18"/>
              </w:rPr>
            </w:pPr>
          </w:p>
          <w:p>
            <w:pPr>
              <w:pStyle w:val="11"/>
              <w:spacing w:before="126" w:line="328" w:lineRule="auto"/>
              <w:ind w:left="104" w:right="93" w:firstLine="180"/>
              <w:jc w:val="both"/>
              <w:rPr>
                <w:sz w:val="15"/>
              </w:rPr>
            </w:pPr>
            <w:r>
              <w:rPr>
                <w:spacing w:val="16"/>
                <w:w w:val="105"/>
                <w:sz w:val="15"/>
              </w:rPr>
              <w:t>升降人员或</w:t>
            </w:r>
            <w:r>
              <w:rPr>
                <w:spacing w:val="-8"/>
                <w:w w:val="105"/>
                <w:sz w:val="15"/>
              </w:rPr>
              <w:t>升 降 人 员 和</w:t>
            </w:r>
            <w:r>
              <w:rPr>
                <w:spacing w:val="1"/>
                <w:w w:val="105"/>
                <w:sz w:val="15"/>
              </w:rPr>
              <w:t>物料</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9"/>
              <w:rPr>
                <w:sz w:val="16"/>
              </w:rPr>
            </w:pPr>
          </w:p>
          <w:p>
            <w:pPr>
              <w:pStyle w:val="11"/>
              <w:ind w:left="224" w:right="209"/>
              <w:jc w:val="center"/>
              <w:rPr>
                <w:sz w:val="15"/>
              </w:rPr>
            </w:pPr>
            <w:r>
              <w:rPr>
                <w:w w:val="105"/>
                <w:sz w:val="15"/>
              </w:rPr>
              <w:t>光面绳</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57"/>
              <w:rPr>
                <w:sz w:val="15"/>
              </w:rPr>
            </w:pPr>
            <w:r>
              <w:rPr>
                <w:rFonts w:hint="eastAsia" w:ascii="MS UI Gothic" w:eastAsia="MS UI Gothic"/>
                <w:sz w:val="15"/>
              </w:rPr>
              <w:t xml:space="preserve">ＭＴ ７１６ </w:t>
            </w:r>
            <w:r>
              <w:rPr>
                <w:sz w:val="15"/>
              </w:rPr>
              <w:t>中光面钢丝绳韧性指标</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80"/>
              <w:rPr>
                <w:sz w:val="15"/>
              </w:rPr>
            </w:pPr>
            <w:r>
              <w:rPr>
                <w:sz w:val="15"/>
              </w:rPr>
              <w:t xml:space="preserve">新绳韧性指标的 </w:t>
            </w:r>
            <w:r>
              <w:rPr>
                <w:rFonts w:hint="eastAsia" w:ascii="MS UI Gothic" w:eastAsia="MS UI Gothic"/>
                <w:sz w:val="15"/>
              </w:rPr>
              <w:t>９０</w:t>
            </w:r>
            <w:r>
              <w:rPr>
                <w:sz w:val="15"/>
              </w:rPr>
              <w:t>％</w:t>
            </w:r>
          </w:p>
        </w:tc>
        <w:tc>
          <w:tcPr>
            <w:tcW w:w="1917" w:type="dxa"/>
            <w:vMerge w:val="restart"/>
            <w:tcBorders>
              <w:top w:val="single" w:color="231F20" w:sz="4" w:space="0"/>
              <w:left w:val="single" w:color="231F20" w:sz="4" w:space="0"/>
              <w:bottom w:val="single" w:color="231F20" w:sz="4" w:space="0"/>
            </w:tcBorders>
          </w:tcPr>
          <w:p>
            <w:pPr>
              <w:pStyle w:val="11"/>
              <w:rPr>
                <w:sz w:val="36"/>
              </w:rPr>
            </w:pPr>
          </w:p>
          <w:p>
            <w:pPr>
              <w:pStyle w:val="11"/>
              <w:rPr>
                <w:sz w:val="36"/>
              </w:rPr>
            </w:pPr>
          </w:p>
          <w:p>
            <w:pPr>
              <w:pStyle w:val="11"/>
              <w:rPr>
                <w:sz w:val="36"/>
              </w:rPr>
            </w:pPr>
          </w:p>
          <w:p>
            <w:pPr>
              <w:pStyle w:val="11"/>
              <w:spacing w:before="290"/>
              <w:ind w:left="268"/>
              <w:rPr>
                <w:sz w:val="15"/>
              </w:rPr>
            </w:pPr>
            <w:r>
              <w:rPr>
                <w:sz w:val="15"/>
              </w:rPr>
              <w:t xml:space="preserve">在用绳按 </w:t>
            </w:r>
            <w:r>
              <w:rPr>
                <w:rFonts w:hint="eastAsia" w:ascii="MS UI Gothic" w:eastAsia="MS UI Gothic"/>
                <w:sz w:val="15"/>
              </w:rPr>
              <w:t xml:space="preserve">ＭＴ ７１７ </w:t>
            </w:r>
            <w:r>
              <w:rPr>
                <w:sz w:val="15"/>
              </w:rPr>
              <w:t>标准</w:t>
            </w:r>
          </w:p>
          <w:p>
            <w:pPr>
              <w:pStyle w:val="11"/>
              <w:spacing w:before="72"/>
              <w:ind w:left="109"/>
              <w:rPr>
                <w:rFonts w:hint="eastAsia" w:ascii="MS UI Gothic" w:eastAsia="MS UI Gothic"/>
                <w:sz w:val="15"/>
              </w:rPr>
            </w:pPr>
            <w:r>
              <w:rPr>
                <w:rFonts w:hint="eastAsia" w:ascii="MS UI Gothic" w:eastAsia="MS UI Gothic"/>
                <w:w w:val="150"/>
                <w:sz w:val="15"/>
              </w:rPr>
              <w:t xml:space="preserve">( </w:t>
            </w:r>
            <w:r>
              <w:rPr>
                <w:w w:val="115"/>
                <w:sz w:val="15"/>
              </w:rPr>
              <w:t>面接触绳除外</w:t>
            </w:r>
            <w:r>
              <w:rPr>
                <w:rFonts w:hint="eastAsia" w:ascii="MS UI Gothic" w:eastAsia="MS UI Gothic"/>
                <w:w w:val="150"/>
                <w:sz w:val="15"/>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continue"/>
            <w:tcBorders>
              <w:top w:val="nil"/>
              <w:bottom w:val="single" w:color="231F20" w:sz="4" w:space="0"/>
              <w:right w:val="single" w:color="231F20" w:sz="4" w:space="0"/>
            </w:tcBorders>
          </w:tcPr>
          <w:p>
            <w:pPr>
              <w:rPr>
                <w:sz w:val="2"/>
                <w:szCs w:val="2"/>
              </w:rPr>
            </w:pP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9"/>
              <w:rPr>
                <w:sz w:val="16"/>
              </w:rPr>
            </w:pPr>
          </w:p>
          <w:p>
            <w:pPr>
              <w:pStyle w:val="11"/>
              <w:ind w:left="224" w:right="209"/>
              <w:jc w:val="center"/>
              <w:rPr>
                <w:sz w:val="15"/>
              </w:rPr>
            </w:pPr>
            <w:r>
              <w:rPr>
                <w:w w:val="105"/>
                <w:sz w:val="15"/>
              </w:rPr>
              <w:t>镀锌绳</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41" w:firstLine="161"/>
              <w:rPr>
                <w:sz w:val="15"/>
              </w:rPr>
            </w:pPr>
            <w:r>
              <w:rPr>
                <w:rFonts w:hint="eastAsia" w:ascii="MS UI Gothic" w:eastAsia="MS UI Gothic"/>
                <w:sz w:val="15"/>
              </w:rPr>
              <w:t xml:space="preserve">ＭＴ ７１６ </w:t>
            </w:r>
            <w:r>
              <w:rPr>
                <w:sz w:val="15"/>
              </w:rPr>
              <w:t xml:space="preserve">中 </w:t>
            </w:r>
            <w:r>
              <w:rPr>
                <w:rFonts w:hint="eastAsia" w:ascii="MS UI Gothic" w:eastAsia="MS UI Gothic"/>
                <w:sz w:val="15"/>
              </w:rPr>
              <w:t xml:space="preserve">ＡＢ </w:t>
            </w:r>
            <w:r>
              <w:rPr>
                <w:sz w:val="15"/>
              </w:rPr>
              <w:t>类镀锌钢丝韧性指标</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80"/>
              <w:rPr>
                <w:sz w:val="15"/>
              </w:rPr>
            </w:pPr>
            <w:r>
              <w:rPr>
                <w:sz w:val="15"/>
              </w:rPr>
              <w:t xml:space="preserve">新绳韧性指标的 </w:t>
            </w:r>
            <w:r>
              <w:rPr>
                <w:rFonts w:hint="eastAsia" w:ascii="MS UI Gothic" w:eastAsia="MS UI Gothic"/>
                <w:sz w:val="15"/>
              </w:rPr>
              <w:t>８５</w:t>
            </w:r>
            <w:r>
              <w:rPr>
                <w:sz w:val="15"/>
              </w:rPr>
              <w:t>％</w:t>
            </w:r>
          </w:p>
        </w:tc>
        <w:tc>
          <w:tcPr>
            <w:tcW w:w="1917"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continue"/>
            <w:tcBorders>
              <w:top w:val="nil"/>
              <w:bottom w:val="single" w:color="231F20" w:sz="4" w:space="0"/>
              <w:right w:val="single" w:color="231F20" w:sz="4" w:space="0"/>
            </w:tcBorders>
          </w:tcPr>
          <w:p>
            <w:pPr>
              <w:rPr>
                <w:sz w:val="2"/>
                <w:szCs w:val="2"/>
              </w:rPr>
            </w:pP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9"/>
              <w:rPr>
                <w:sz w:val="16"/>
              </w:rPr>
            </w:pPr>
          </w:p>
          <w:p>
            <w:pPr>
              <w:pStyle w:val="11"/>
              <w:ind w:left="224" w:right="209"/>
              <w:jc w:val="center"/>
              <w:rPr>
                <w:sz w:val="15"/>
              </w:rPr>
            </w:pPr>
            <w:r>
              <w:rPr>
                <w:w w:val="105"/>
                <w:sz w:val="15"/>
              </w:rPr>
              <w:t>面接触绳</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82"/>
              <w:ind w:left="276"/>
              <w:rPr>
                <w:sz w:val="15"/>
              </w:rPr>
            </w:pPr>
            <w:r>
              <w:rPr>
                <w:rFonts w:hint="eastAsia" w:ascii="MS UI Gothic" w:hAnsi="MS UI Gothic" w:eastAsia="MS UI Gothic"/>
                <w:spacing w:val="-1"/>
                <w:w w:val="89"/>
                <w:sz w:val="15"/>
              </w:rPr>
              <w:t>Ｇ</w:t>
            </w:r>
            <w:r>
              <w:rPr>
                <w:rFonts w:hint="eastAsia" w:ascii="MS UI Gothic" w:hAnsi="MS UI Gothic" w:eastAsia="MS UI Gothic"/>
                <w:w w:val="81"/>
                <w:sz w:val="15"/>
              </w:rPr>
              <w:t>Ｂ</w:t>
            </w:r>
            <w:r>
              <w:rPr>
                <w:rFonts w:hint="eastAsia" w:ascii="MS UI Gothic" w:hAnsi="MS UI Gothic" w:eastAsia="MS UI Gothic"/>
                <w:spacing w:val="-23"/>
                <w:sz w:val="15"/>
              </w:rPr>
              <w:t xml:space="preserve"> </w:t>
            </w:r>
            <w:r>
              <w:rPr>
                <w:rFonts w:hint="eastAsia" w:ascii="MS UI Gothic" w:hAnsi="MS UI Gothic" w:eastAsia="MS UI Gothic"/>
                <w:w w:val="34"/>
                <w:sz w:val="15"/>
              </w:rPr>
              <w:t>/</w:t>
            </w:r>
            <w:r>
              <w:rPr>
                <w:rFonts w:hint="eastAsia" w:ascii="MS UI Gothic" w:hAnsi="MS UI Gothic" w:eastAsia="MS UI Gothic"/>
                <w:spacing w:val="-12"/>
                <w:sz w:val="15"/>
              </w:rPr>
              <w:t xml:space="preserve"> </w:t>
            </w:r>
            <w:r>
              <w:rPr>
                <w:rFonts w:hint="eastAsia" w:ascii="MS UI Gothic" w:hAnsi="MS UI Gothic" w:eastAsia="MS UI Gothic"/>
                <w:w w:val="93"/>
                <w:sz w:val="15"/>
              </w:rPr>
              <w:t>Ｔ</w:t>
            </w:r>
            <w:r>
              <w:rPr>
                <w:rFonts w:hint="eastAsia" w:ascii="MS UI Gothic" w:hAnsi="MS UI Gothic" w:eastAsia="MS UI Gothic"/>
                <w:spacing w:val="19"/>
                <w:sz w:val="15"/>
              </w:rPr>
              <w:t xml:space="preserve"> </w:t>
            </w:r>
            <w:r>
              <w:rPr>
                <w:rFonts w:hint="eastAsia" w:ascii="MS UI Gothic" w:hAnsi="MS UI Gothic" w:eastAsia="MS UI Gothic"/>
                <w:spacing w:val="-1"/>
                <w:w w:val="75"/>
                <w:sz w:val="15"/>
              </w:rPr>
              <w:t>１６２６９</w:t>
            </w:r>
            <w:r>
              <w:rPr>
                <w:rFonts w:hint="eastAsia" w:ascii="MS UI Gothic" w:hAnsi="MS UI Gothic" w:eastAsia="MS UI Gothic"/>
                <w:spacing w:val="3"/>
                <w:w w:val="154"/>
                <w:sz w:val="15"/>
              </w:rPr>
              <w:t>—</w:t>
            </w:r>
            <w:r>
              <w:rPr>
                <w:rFonts w:hint="eastAsia" w:ascii="MS UI Gothic" w:hAnsi="MS UI Gothic" w:eastAsia="MS UI Gothic"/>
                <w:spacing w:val="-2"/>
                <w:w w:val="75"/>
                <w:sz w:val="15"/>
              </w:rPr>
              <w:t>１９９６</w:t>
            </w:r>
            <w:r>
              <w:rPr>
                <w:rFonts w:hint="eastAsia" w:ascii="MS UI Gothic" w:hAnsi="MS UI Gothic" w:eastAsia="MS UI Gothic"/>
                <w:spacing w:val="10"/>
                <w:sz w:val="15"/>
              </w:rPr>
              <w:t xml:space="preserve"> </w:t>
            </w:r>
            <w:r>
              <w:rPr>
                <w:spacing w:val="11"/>
                <w:w w:val="103"/>
                <w:sz w:val="15"/>
              </w:rPr>
              <w:t>中钢丝</w:t>
            </w:r>
          </w:p>
          <w:p>
            <w:pPr>
              <w:pStyle w:val="11"/>
              <w:spacing w:before="72"/>
              <w:ind w:left="109"/>
              <w:rPr>
                <w:sz w:val="15"/>
              </w:rPr>
            </w:pPr>
            <w:r>
              <w:rPr>
                <w:w w:val="105"/>
                <w:sz w:val="15"/>
              </w:rPr>
              <w:t>韧性指标</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80"/>
              <w:rPr>
                <w:sz w:val="15"/>
              </w:rPr>
            </w:pPr>
            <w:r>
              <w:rPr>
                <w:sz w:val="15"/>
              </w:rPr>
              <w:t xml:space="preserve">新绳韧性指标的 </w:t>
            </w:r>
            <w:r>
              <w:rPr>
                <w:rFonts w:hint="eastAsia" w:ascii="MS UI Gothic" w:eastAsia="MS UI Gothic"/>
                <w:sz w:val="15"/>
              </w:rPr>
              <w:t>９０</w:t>
            </w:r>
            <w:r>
              <w:rPr>
                <w:sz w:val="15"/>
              </w:rPr>
              <w:t>％</w:t>
            </w:r>
          </w:p>
        </w:tc>
        <w:tc>
          <w:tcPr>
            <w:tcW w:w="1917"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restart"/>
            <w:tcBorders>
              <w:top w:val="single" w:color="231F20" w:sz="4" w:space="0"/>
              <w:bottom w:val="single" w:color="231F20" w:sz="4" w:space="0"/>
              <w:right w:val="single" w:color="231F20" w:sz="4" w:space="0"/>
            </w:tcBorders>
          </w:tcPr>
          <w:p>
            <w:pPr>
              <w:pStyle w:val="11"/>
              <w:rPr>
                <w:sz w:val="18"/>
              </w:rPr>
            </w:pPr>
          </w:p>
          <w:p>
            <w:pPr>
              <w:pStyle w:val="11"/>
              <w:rPr>
                <w:sz w:val="18"/>
              </w:rPr>
            </w:pPr>
          </w:p>
          <w:p>
            <w:pPr>
              <w:pStyle w:val="11"/>
              <w:rPr>
                <w:sz w:val="18"/>
              </w:rPr>
            </w:pPr>
          </w:p>
          <w:p>
            <w:pPr>
              <w:pStyle w:val="11"/>
              <w:spacing w:before="159"/>
              <w:ind w:left="263"/>
              <w:rPr>
                <w:sz w:val="15"/>
              </w:rPr>
            </w:pPr>
            <w:r>
              <w:rPr>
                <w:w w:val="105"/>
                <w:sz w:val="15"/>
              </w:rPr>
              <w:t>升降物料</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9"/>
              <w:rPr>
                <w:sz w:val="16"/>
              </w:rPr>
            </w:pPr>
          </w:p>
          <w:p>
            <w:pPr>
              <w:pStyle w:val="11"/>
              <w:ind w:left="224" w:right="209"/>
              <w:jc w:val="center"/>
              <w:rPr>
                <w:sz w:val="15"/>
              </w:rPr>
            </w:pPr>
            <w:r>
              <w:rPr>
                <w:w w:val="105"/>
                <w:sz w:val="15"/>
              </w:rPr>
              <w:t>光面绳</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57"/>
              <w:rPr>
                <w:sz w:val="15"/>
              </w:rPr>
            </w:pPr>
            <w:r>
              <w:rPr>
                <w:rFonts w:hint="eastAsia" w:ascii="MS UI Gothic" w:eastAsia="MS UI Gothic"/>
                <w:sz w:val="15"/>
              </w:rPr>
              <w:t xml:space="preserve">ＭＴ ７１６ </w:t>
            </w:r>
            <w:r>
              <w:rPr>
                <w:sz w:val="15"/>
              </w:rPr>
              <w:t>中光面钢丝绳韧性指标</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80"/>
              <w:rPr>
                <w:sz w:val="15"/>
              </w:rPr>
            </w:pPr>
            <w:r>
              <w:rPr>
                <w:sz w:val="15"/>
              </w:rPr>
              <w:t xml:space="preserve">新绳韧性指标的 </w:t>
            </w:r>
            <w:r>
              <w:rPr>
                <w:rFonts w:hint="eastAsia" w:ascii="MS UI Gothic" w:eastAsia="MS UI Gothic"/>
                <w:sz w:val="15"/>
              </w:rPr>
              <w:t>８０</w:t>
            </w:r>
            <w:r>
              <w:rPr>
                <w:sz w:val="15"/>
              </w:rPr>
              <w:t>％</w:t>
            </w:r>
          </w:p>
        </w:tc>
        <w:tc>
          <w:tcPr>
            <w:tcW w:w="1917"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continue"/>
            <w:tcBorders>
              <w:top w:val="nil"/>
              <w:bottom w:val="single" w:color="231F20" w:sz="4" w:space="0"/>
              <w:right w:val="single" w:color="231F20" w:sz="4" w:space="0"/>
            </w:tcBorders>
          </w:tcPr>
          <w:p>
            <w:pPr>
              <w:rPr>
                <w:sz w:val="2"/>
                <w:szCs w:val="2"/>
              </w:rPr>
            </w:pP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9"/>
              <w:rPr>
                <w:sz w:val="16"/>
              </w:rPr>
            </w:pPr>
          </w:p>
          <w:p>
            <w:pPr>
              <w:pStyle w:val="11"/>
              <w:ind w:left="224" w:right="209"/>
              <w:jc w:val="center"/>
              <w:rPr>
                <w:sz w:val="15"/>
              </w:rPr>
            </w:pPr>
            <w:r>
              <w:rPr>
                <w:w w:val="105"/>
                <w:sz w:val="15"/>
              </w:rPr>
              <w:t>镀锌绳</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25" w:firstLine="159"/>
              <w:rPr>
                <w:sz w:val="15"/>
              </w:rPr>
            </w:pPr>
            <w:r>
              <w:rPr>
                <w:rFonts w:hint="eastAsia" w:ascii="MS UI Gothic" w:eastAsia="MS UI Gothic"/>
                <w:sz w:val="15"/>
              </w:rPr>
              <w:t xml:space="preserve">ＭＴ ７１６ </w:t>
            </w:r>
            <w:r>
              <w:rPr>
                <w:sz w:val="15"/>
              </w:rPr>
              <w:t xml:space="preserve">中 </w:t>
            </w:r>
            <w:r>
              <w:rPr>
                <w:rFonts w:hint="eastAsia" w:ascii="MS UI Gothic" w:eastAsia="MS UI Gothic"/>
                <w:sz w:val="15"/>
              </w:rPr>
              <w:t xml:space="preserve">Ａ </w:t>
            </w:r>
            <w:r>
              <w:rPr>
                <w:sz w:val="15"/>
              </w:rPr>
              <w:t>类镀锌钢丝韧性指标</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80"/>
              <w:rPr>
                <w:sz w:val="15"/>
              </w:rPr>
            </w:pPr>
            <w:r>
              <w:rPr>
                <w:sz w:val="15"/>
              </w:rPr>
              <w:t xml:space="preserve">新绳韧性指标的 </w:t>
            </w:r>
            <w:r>
              <w:rPr>
                <w:rFonts w:hint="eastAsia" w:ascii="MS UI Gothic" w:eastAsia="MS UI Gothic"/>
                <w:sz w:val="15"/>
              </w:rPr>
              <w:t>８０</w:t>
            </w:r>
            <w:r>
              <w:rPr>
                <w:sz w:val="15"/>
              </w:rPr>
              <w:t>％</w:t>
            </w:r>
          </w:p>
        </w:tc>
        <w:tc>
          <w:tcPr>
            <w:tcW w:w="1917"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273" w:type="dxa"/>
            <w:vMerge w:val="continue"/>
            <w:tcBorders>
              <w:top w:val="nil"/>
              <w:bottom w:val="single" w:color="231F20" w:sz="4" w:space="0"/>
              <w:right w:val="single" w:color="231F20" w:sz="4" w:space="0"/>
            </w:tcBorders>
          </w:tcPr>
          <w:p>
            <w:pPr>
              <w:rPr>
                <w:sz w:val="2"/>
                <w:szCs w:val="2"/>
              </w:rPr>
            </w:pP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9"/>
              <w:rPr>
                <w:sz w:val="16"/>
              </w:rPr>
            </w:pPr>
          </w:p>
          <w:p>
            <w:pPr>
              <w:pStyle w:val="11"/>
              <w:ind w:left="224" w:right="209"/>
              <w:jc w:val="center"/>
              <w:rPr>
                <w:sz w:val="15"/>
              </w:rPr>
            </w:pPr>
            <w:r>
              <w:rPr>
                <w:w w:val="105"/>
                <w:sz w:val="15"/>
              </w:rPr>
              <w:t>面接触绳</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82"/>
              <w:ind w:left="276"/>
              <w:rPr>
                <w:sz w:val="15"/>
              </w:rPr>
            </w:pPr>
            <w:r>
              <w:rPr>
                <w:rFonts w:hint="eastAsia" w:ascii="MS UI Gothic" w:hAnsi="MS UI Gothic" w:eastAsia="MS UI Gothic"/>
                <w:spacing w:val="-1"/>
                <w:w w:val="89"/>
                <w:sz w:val="15"/>
              </w:rPr>
              <w:t>Ｇ</w:t>
            </w:r>
            <w:r>
              <w:rPr>
                <w:rFonts w:hint="eastAsia" w:ascii="MS UI Gothic" w:hAnsi="MS UI Gothic" w:eastAsia="MS UI Gothic"/>
                <w:w w:val="81"/>
                <w:sz w:val="15"/>
              </w:rPr>
              <w:t>Ｂ</w:t>
            </w:r>
            <w:r>
              <w:rPr>
                <w:rFonts w:hint="eastAsia" w:ascii="MS UI Gothic" w:hAnsi="MS UI Gothic" w:eastAsia="MS UI Gothic"/>
                <w:spacing w:val="-23"/>
                <w:sz w:val="15"/>
              </w:rPr>
              <w:t xml:space="preserve"> </w:t>
            </w:r>
            <w:r>
              <w:rPr>
                <w:rFonts w:hint="eastAsia" w:ascii="MS UI Gothic" w:hAnsi="MS UI Gothic" w:eastAsia="MS UI Gothic"/>
                <w:w w:val="34"/>
                <w:sz w:val="15"/>
              </w:rPr>
              <w:t>/</w:t>
            </w:r>
            <w:r>
              <w:rPr>
                <w:rFonts w:hint="eastAsia" w:ascii="MS UI Gothic" w:hAnsi="MS UI Gothic" w:eastAsia="MS UI Gothic"/>
                <w:spacing w:val="-12"/>
                <w:sz w:val="15"/>
              </w:rPr>
              <w:t xml:space="preserve"> </w:t>
            </w:r>
            <w:r>
              <w:rPr>
                <w:rFonts w:hint="eastAsia" w:ascii="MS UI Gothic" w:hAnsi="MS UI Gothic" w:eastAsia="MS UI Gothic"/>
                <w:w w:val="93"/>
                <w:sz w:val="15"/>
              </w:rPr>
              <w:t>Ｔ</w:t>
            </w:r>
            <w:r>
              <w:rPr>
                <w:rFonts w:hint="eastAsia" w:ascii="MS UI Gothic" w:hAnsi="MS UI Gothic" w:eastAsia="MS UI Gothic"/>
                <w:spacing w:val="19"/>
                <w:sz w:val="15"/>
              </w:rPr>
              <w:t xml:space="preserve"> </w:t>
            </w:r>
            <w:r>
              <w:rPr>
                <w:rFonts w:hint="eastAsia" w:ascii="MS UI Gothic" w:hAnsi="MS UI Gothic" w:eastAsia="MS UI Gothic"/>
                <w:spacing w:val="-1"/>
                <w:w w:val="75"/>
                <w:sz w:val="15"/>
              </w:rPr>
              <w:t>１６２６９</w:t>
            </w:r>
            <w:r>
              <w:rPr>
                <w:rFonts w:hint="eastAsia" w:ascii="MS UI Gothic" w:hAnsi="MS UI Gothic" w:eastAsia="MS UI Gothic"/>
                <w:spacing w:val="3"/>
                <w:w w:val="154"/>
                <w:sz w:val="15"/>
              </w:rPr>
              <w:t>—</w:t>
            </w:r>
            <w:r>
              <w:rPr>
                <w:rFonts w:hint="eastAsia" w:ascii="MS UI Gothic" w:hAnsi="MS UI Gothic" w:eastAsia="MS UI Gothic"/>
                <w:spacing w:val="-2"/>
                <w:w w:val="75"/>
                <w:sz w:val="15"/>
              </w:rPr>
              <w:t>１９９６</w:t>
            </w:r>
            <w:r>
              <w:rPr>
                <w:rFonts w:hint="eastAsia" w:ascii="MS UI Gothic" w:hAnsi="MS UI Gothic" w:eastAsia="MS UI Gothic"/>
                <w:spacing w:val="10"/>
                <w:sz w:val="15"/>
              </w:rPr>
              <w:t xml:space="preserve"> </w:t>
            </w:r>
            <w:r>
              <w:rPr>
                <w:spacing w:val="11"/>
                <w:w w:val="103"/>
                <w:sz w:val="15"/>
              </w:rPr>
              <w:t>中钢丝</w:t>
            </w:r>
          </w:p>
          <w:p>
            <w:pPr>
              <w:pStyle w:val="11"/>
              <w:spacing w:before="72"/>
              <w:ind w:left="109"/>
              <w:rPr>
                <w:sz w:val="15"/>
              </w:rPr>
            </w:pPr>
            <w:r>
              <w:rPr>
                <w:w w:val="105"/>
                <w:sz w:val="15"/>
              </w:rPr>
              <w:t>韧性指标</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80"/>
              <w:rPr>
                <w:sz w:val="15"/>
              </w:rPr>
            </w:pPr>
            <w:r>
              <w:rPr>
                <w:sz w:val="15"/>
              </w:rPr>
              <w:t xml:space="preserve">新绳韧性指标的 </w:t>
            </w:r>
            <w:r>
              <w:rPr>
                <w:rFonts w:hint="eastAsia" w:ascii="MS UI Gothic" w:eastAsia="MS UI Gothic"/>
                <w:sz w:val="15"/>
              </w:rPr>
              <w:t>８０</w:t>
            </w:r>
            <w:r>
              <w:rPr>
                <w:sz w:val="15"/>
              </w:rPr>
              <w:t>％</w:t>
            </w:r>
          </w:p>
        </w:tc>
        <w:tc>
          <w:tcPr>
            <w:tcW w:w="1917"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273" w:type="dxa"/>
            <w:tcBorders>
              <w:top w:val="single" w:color="231F20" w:sz="4" w:space="0"/>
              <w:right w:val="single" w:color="231F20" w:sz="4" w:space="0"/>
            </w:tcBorders>
          </w:tcPr>
          <w:p>
            <w:pPr>
              <w:pStyle w:val="11"/>
              <w:spacing w:before="55"/>
              <w:ind w:left="397"/>
              <w:rPr>
                <w:sz w:val="15"/>
              </w:rPr>
            </w:pPr>
            <w:r>
              <w:rPr>
                <w:w w:val="105"/>
                <w:sz w:val="15"/>
              </w:rPr>
              <w:t>罐道绳</w:t>
            </w:r>
          </w:p>
        </w:tc>
        <w:tc>
          <w:tcPr>
            <w:tcW w:w="1273" w:type="dxa"/>
            <w:tcBorders>
              <w:top w:val="single" w:color="231F20" w:sz="4" w:space="0"/>
              <w:left w:val="single" w:color="231F20" w:sz="4" w:space="0"/>
              <w:right w:val="single" w:color="231F20" w:sz="4" w:space="0"/>
            </w:tcBorders>
          </w:tcPr>
          <w:p>
            <w:pPr>
              <w:pStyle w:val="11"/>
              <w:spacing w:before="55"/>
              <w:ind w:left="224" w:right="209"/>
              <w:jc w:val="center"/>
              <w:rPr>
                <w:sz w:val="15"/>
              </w:rPr>
            </w:pPr>
            <w:r>
              <w:rPr>
                <w:w w:val="105"/>
                <w:sz w:val="15"/>
              </w:rPr>
              <w:t>密封绳</w:t>
            </w:r>
          </w:p>
        </w:tc>
        <w:tc>
          <w:tcPr>
            <w:tcW w:w="2228" w:type="dxa"/>
            <w:tcBorders>
              <w:top w:val="single" w:color="231F20" w:sz="4" w:space="0"/>
              <w:left w:val="single" w:color="231F20" w:sz="4" w:space="0"/>
              <w:right w:val="single" w:color="231F20" w:sz="4" w:space="0"/>
            </w:tcBorders>
          </w:tcPr>
          <w:p>
            <w:pPr>
              <w:pStyle w:val="11"/>
              <w:spacing w:before="55"/>
              <w:ind w:right="943"/>
              <w:jc w:val="right"/>
              <w:rPr>
                <w:sz w:val="15"/>
              </w:rPr>
            </w:pPr>
            <w:r>
              <w:rPr>
                <w:sz w:val="15"/>
              </w:rPr>
              <w:t>特级</w:t>
            </w:r>
          </w:p>
        </w:tc>
        <w:tc>
          <w:tcPr>
            <w:tcW w:w="1273" w:type="dxa"/>
            <w:tcBorders>
              <w:top w:val="single" w:color="231F20" w:sz="4" w:space="0"/>
              <w:left w:val="single" w:color="231F20" w:sz="4" w:space="0"/>
              <w:right w:val="single" w:color="231F20" w:sz="4" w:space="0"/>
            </w:tcBorders>
          </w:tcPr>
          <w:p>
            <w:pPr>
              <w:pStyle w:val="11"/>
              <w:spacing w:before="55"/>
              <w:ind w:left="224" w:right="209"/>
              <w:jc w:val="center"/>
              <w:rPr>
                <w:sz w:val="15"/>
              </w:rPr>
            </w:pPr>
            <w:r>
              <w:rPr>
                <w:w w:val="105"/>
                <w:sz w:val="15"/>
              </w:rPr>
              <w:t>普级</w:t>
            </w:r>
          </w:p>
        </w:tc>
        <w:tc>
          <w:tcPr>
            <w:tcW w:w="1917" w:type="dxa"/>
            <w:tcBorders>
              <w:top w:val="single" w:color="231F20" w:sz="4" w:space="0"/>
              <w:left w:val="single" w:color="231F20" w:sz="4" w:space="0"/>
            </w:tcBorders>
          </w:tcPr>
          <w:p>
            <w:pPr>
              <w:pStyle w:val="11"/>
              <w:spacing w:before="55"/>
              <w:ind w:left="319"/>
              <w:rPr>
                <w:sz w:val="15"/>
              </w:rPr>
            </w:pPr>
            <w:r>
              <w:rPr>
                <w:w w:val="95"/>
                <w:sz w:val="15"/>
              </w:rPr>
              <w:t xml:space="preserve">按 </w:t>
            </w:r>
            <w:r>
              <w:rPr>
                <w:rFonts w:hint="eastAsia" w:ascii="MS UI Gothic" w:eastAsia="MS UI Gothic"/>
                <w:w w:val="95"/>
                <w:sz w:val="15"/>
              </w:rPr>
              <w:t xml:space="preserve">ＹＢ </w:t>
            </w:r>
            <w:r>
              <w:rPr>
                <w:rFonts w:hint="eastAsia" w:ascii="MS UI Gothic" w:eastAsia="MS UI Gothic"/>
                <w:w w:val="75"/>
                <w:sz w:val="15"/>
              </w:rPr>
              <w:t xml:space="preserve">/ </w:t>
            </w:r>
            <w:r>
              <w:rPr>
                <w:rFonts w:hint="eastAsia" w:ascii="MS UI Gothic" w:eastAsia="MS UI Gothic"/>
                <w:w w:val="95"/>
                <w:sz w:val="15"/>
              </w:rPr>
              <w:t xml:space="preserve">Ｔ ５２９５ </w:t>
            </w:r>
            <w:r>
              <w:rPr>
                <w:w w:val="95"/>
                <w:sz w:val="15"/>
              </w:rPr>
              <w:t>标准</w:t>
            </w:r>
          </w:p>
        </w:tc>
      </w:tr>
    </w:tbl>
    <w:p>
      <w:pPr>
        <w:pStyle w:val="6"/>
        <w:spacing w:before="2"/>
        <w:ind w:left="0" w:firstLine="0"/>
        <w:jc w:val="left"/>
        <w:rPr>
          <w:sz w:val="8"/>
        </w:rPr>
      </w:pPr>
    </w:p>
    <w:p>
      <w:pPr>
        <w:spacing w:after="0"/>
        <w:jc w:val="left"/>
        <w:rPr>
          <w:sz w:val="8"/>
        </w:rPr>
        <w:sectPr>
          <w:type w:val="continuous"/>
          <w:pgSz w:w="10500" w:h="14750"/>
          <w:pgMar w:top="1400" w:right="980" w:bottom="280" w:left="980" w:header="720" w:footer="720" w:gutter="0"/>
        </w:sectPr>
      </w:pPr>
    </w:p>
    <w:p>
      <w:pPr>
        <w:pStyle w:val="6"/>
        <w:spacing w:before="175" w:line="292" w:lineRule="auto"/>
        <w:ind w:right="39"/>
        <w:rPr>
          <w:rFonts w:hint="eastAsia" w:ascii="MS UI Gothic" w:eastAsia="MS UI Gothic"/>
        </w:rPr>
      </w:pPr>
      <w:r>
        <w:rPr>
          <w:w w:val="105"/>
        </w:rPr>
        <w:t>第四百一十条 新钢丝绳的使用与管</w:t>
      </w:r>
      <w:r>
        <w:rPr>
          <w:w w:val="110"/>
        </w:rPr>
        <w:t>理</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2"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钢丝绳到货后</w:t>
      </w:r>
      <w:r>
        <w:rPr>
          <w:rFonts w:hint="eastAsia" w:ascii="MS UI Gothic" w:eastAsia="MS UI Gothic"/>
          <w:w w:val="80"/>
        </w:rPr>
        <w:t xml:space="preserve">ꎬ </w:t>
      </w:r>
      <w:r>
        <w:rPr>
          <w:w w:val="105"/>
        </w:rPr>
        <w:t>应当进行性能</w:t>
      </w:r>
      <w:r>
        <w:t>检验</w:t>
      </w:r>
      <w:r>
        <w:rPr>
          <w:rFonts w:hint="eastAsia" w:ascii="MS UI Gothic" w:eastAsia="MS UI Gothic"/>
          <w:w w:val="80"/>
        </w:rPr>
        <w:t xml:space="preserve">ꎮ </w:t>
      </w:r>
      <w:r>
        <w:t>合格后应当妥善保管备用</w:t>
      </w:r>
      <w:r>
        <w:rPr>
          <w:rFonts w:hint="eastAsia" w:ascii="MS UI Gothic" w:eastAsia="MS UI Gothic"/>
          <w:w w:val="80"/>
        </w:rPr>
        <w:t xml:space="preserve">ꎬ </w:t>
      </w:r>
      <w:r>
        <w:t>防止损</w:t>
      </w:r>
      <w:r>
        <w:rPr>
          <w:w w:val="105"/>
        </w:rPr>
        <w:t>坏或者锈蚀</w:t>
      </w:r>
      <w:r>
        <w:rPr>
          <w:rFonts w:hint="eastAsia" w:ascii="MS UI Gothic" w:eastAsia="MS UI Gothic"/>
          <w:w w:val="80"/>
        </w:rPr>
        <w:t>ꎮ</w:t>
      </w:r>
    </w:p>
    <w:p>
      <w:pPr>
        <w:pStyle w:val="6"/>
        <w:spacing w:line="292"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每根钢丝绳的出厂合格证</w:t>
      </w:r>
      <w:r>
        <w:rPr>
          <w:rFonts w:hint="eastAsia" w:ascii="MS UI Gothic" w:eastAsia="MS UI Gothic"/>
          <w:w w:val="80"/>
        </w:rPr>
        <w:t xml:space="preserve">、  </w:t>
      </w:r>
      <w:r>
        <w:rPr>
          <w:w w:val="105"/>
        </w:rPr>
        <w:t>验收检验报告等原始资料应当保存完整</w:t>
      </w:r>
      <w:r>
        <w:rPr>
          <w:rFonts w:hint="eastAsia" w:ascii="MS UI Gothic" w:eastAsia="MS UI Gothic"/>
          <w:w w:val="80"/>
        </w:rPr>
        <w:t>ꎮ</w:t>
      </w:r>
    </w:p>
    <w:p>
      <w:pPr>
        <w:pStyle w:val="6"/>
        <w:spacing w:line="292"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 xml:space="preserve">存放时间超过 </w:t>
      </w:r>
      <w:r>
        <w:rPr>
          <w:rFonts w:hint="eastAsia" w:ascii="MS UI Gothic" w:eastAsia="MS UI Gothic"/>
          <w:w w:val="80"/>
        </w:rPr>
        <w:t xml:space="preserve">１ </w:t>
      </w:r>
      <w:r>
        <w:rPr>
          <w:w w:val="105"/>
        </w:rPr>
        <w:t>年的钢丝绳</w:t>
      </w:r>
      <w:r>
        <w:rPr>
          <w:rFonts w:hint="eastAsia" w:ascii="MS UI Gothic" w:eastAsia="MS UI Gothic"/>
          <w:w w:val="80"/>
        </w:rPr>
        <w:t>ꎬ</w:t>
      </w:r>
      <w:r>
        <w:t>在悬挂前必须再进行性能检测</w:t>
      </w:r>
      <w:r>
        <w:rPr>
          <w:rFonts w:hint="eastAsia" w:ascii="MS UI Gothic" w:eastAsia="MS UI Gothic"/>
          <w:w w:val="80"/>
        </w:rPr>
        <w:t xml:space="preserve">ꎬ </w:t>
      </w:r>
      <w:r>
        <w:t>合格后方</w:t>
      </w:r>
      <w:r>
        <w:rPr>
          <w:w w:val="105"/>
        </w:rPr>
        <w:t>可使用</w:t>
      </w:r>
      <w:r>
        <w:rPr>
          <w:rFonts w:hint="eastAsia" w:ascii="MS UI Gothic" w:eastAsia="MS UI Gothic"/>
          <w:w w:val="80"/>
        </w:rPr>
        <w:t>ꎮ</w:t>
      </w:r>
    </w:p>
    <w:p>
      <w:pPr>
        <w:pStyle w:val="6"/>
        <w:spacing w:line="292" w:lineRule="auto"/>
        <w:ind w:right="39"/>
        <w:rPr>
          <w:rFonts w:hint="eastAsia" w:ascii="MS UI Gothic" w:eastAsia="MS UI Gothic"/>
        </w:rPr>
      </w:pPr>
      <w:r>
        <w:rPr>
          <w:rFonts w:hint="eastAsia" w:ascii="MS UI Gothic" w:eastAsia="MS UI Gothic"/>
          <w:spacing w:val="-39"/>
          <w:w w:val="150"/>
        </w:rPr>
        <w:t xml:space="preserve">( </w:t>
      </w:r>
      <w:r>
        <w:rPr>
          <w:spacing w:val="3"/>
          <w:w w:val="105"/>
        </w:rPr>
        <w:t>四</w:t>
      </w:r>
      <w:r>
        <w:rPr>
          <w:rFonts w:hint="eastAsia" w:ascii="MS UI Gothic" w:eastAsia="MS UI Gothic"/>
          <w:spacing w:val="-4"/>
          <w:w w:val="150"/>
        </w:rPr>
        <w:t xml:space="preserve">) </w:t>
      </w:r>
      <w:r>
        <w:rPr>
          <w:spacing w:val="5"/>
          <w:w w:val="105"/>
        </w:rPr>
        <w:t>钢丝绳悬挂前</w:t>
      </w:r>
      <w:r>
        <w:rPr>
          <w:rFonts w:hint="eastAsia" w:ascii="MS UI Gothic" w:eastAsia="MS UI Gothic"/>
          <w:spacing w:val="13"/>
          <w:w w:val="80"/>
        </w:rPr>
        <w:t xml:space="preserve">ꎬ </w:t>
      </w:r>
      <w:r>
        <w:rPr>
          <w:spacing w:val="9"/>
          <w:w w:val="105"/>
        </w:rPr>
        <w:t>必须对每根钢</w:t>
      </w:r>
      <w:r>
        <w:rPr>
          <w:spacing w:val="4"/>
          <w:w w:val="105"/>
        </w:rPr>
        <w:t>丝做拉断</w:t>
      </w:r>
      <w:r>
        <w:rPr>
          <w:rFonts w:hint="eastAsia" w:ascii="MS UI Gothic" w:eastAsia="MS UI Gothic"/>
          <w:spacing w:val="8"/>
          <w:w w:val="80"/>
        </w:rPr>
        <w:t xml:space="preserve">、 </w:t>
      </w:r>
      <w:r>
        <w:rPr>
          <w:spacing w:val="-11"/>
          <w:w w:val="105"/>
        </w:rPr>
        <w:t xml:space="preserve">弯曲和扭转 </w:t>
      </w:r>
      <w:r>
        <w:rPr>
          <w:rFonts w:hint="eastAsia" w:ascii="MS UI Gothic" w:eastAsia="MS UI Gothic"/>
          <w:spacing w:val="-7"/>
          <w:w w:val="80"/>
        </w:rPr>
        <w:t xml:space="preserve">３ </w:t>
      </w:r>
      <w:r>
        <w:rPr>
          <w:spacing w:val="3"/>
          <w:w w:val="105"/>
        </w:rPr>
        <w:t>种试验</w:t>
      </w:r>
      <w:r>
        <w:rPr>
          <w:rFonts w:hint="eastAsia" w:ascii="MS UI Gothic" w:eastAsia="MS UI Gothic"/>
          <w:spacing w:val="8"/>
          <w:w w:val="80"/>
        </w:rPr>
        <w:t xml:space="preserve">ꎬ </w:t>
      </w:r>
      <w:r>
        <w:rPr>
          <w:spacing w:val="3"/>
          <w:w w:val="105"/>
        </w:rPr>
        <w:t>以公称直径为准对试验结果进行计算和判定</w:t>
      </w:r>
      <w:r>
        <w:rPr>
          <w:rFonts w:hint="eastAsia" w:ascii="MS UI Gothic" w:eastAsia="MS UI Gothic"/>
          <w:w w:val="235"/>
        </w:rPr>
        <w:t>:</w:t>
      </w:r>
    </w:p>
    <w:p>
      <w:pPr>
        <w:pStyle w:val="6"/>
        <w:spacing w:line="292" w:lineRule="auto"/>
        <w:ind w:right="38" w:firstLine="413"/>
        <w:rPr>
          <w:rFonts w:hint="eastAsia" w:ascii="MS UI Gothic" w:eastAsia="MS UI Gothic"/>
        </w:rPr>
      </w:pPr>
      <w:r>
        <w:rPr>
          <w:rFonts w:hint="eastAsia" w:ascii="MS UI Gothic" w:eastAsia="MS UI Gothic"/>
          <w:w w:val="95"/>
        </w:rPr>
        <w:t>１</w:t>
      </w:r>
      <w:r>
        <w:rPr>
          <w:rFonts w:hint="eastAsia" w:ascii="MS UI Gothic" w:eastAsia="MS UI Gothic"/>
          <w:spacing w:val="21"/>
          <w:w w:val="95"/>
        </w:rPr>
        <w:t xml:space="preserve">  </w:t>
      </w:r>
      <w:r>
        <w:rPr>
          <w:spacing w:val="12"/>
          <w:w w:val="95"/>
        </w:rPr>
        <w:t>不合格钢丝的断面积与钢丝总断</w:t>
      </w:r>
      <w:r>
        <w:rPr>
          <w:spacing w:val="3"/>
          <w:w w:val="95"/>
        </w:rPr>
        <w:t xml:space="preserve">面积之比达到 </w:t>
      </w:r>
      <w:r>
        <w:rPr>
          <w:rFonts w:hint="eastAsia" w:ascii="MS UI Gothic" w:eastAsia="MS UI Gothic"/>
          <w:spacing w:val="2"/>
          <w:w w:val="95"/>
        </w:rPr>
        <w:t>６</w:t>
      </w:r>
      <w:r>
        <w:rPr>
          <w:spacing w:val="-29"/>
          <w:w w:val="95"/>
        </w:rPr>
        <w:t xml:space="preserve">％ </w:t>
      </w:r>
      <w:r>
        <w:rPr>
          <w:rFonts w:hint="eastAsia" w:ascii="MS UI Gothic" w:eastAsia="MS UI Gothic"/>
          <w:spacing w:val="3"/>
          <w:w w:val="90"/>
        </w:rPr>
        <w:t xml:space="preserve">ꎬ </w:t>
      </w:r>
      <w:r>
        <w:rPr>
          <w:spacing w:val="17"/>
          <w:w w:val="95"/>
        </w:rPr>
        <w:t>不得用作升降人员</w:t>
      </w:r>
      <w:r>
        <w:rPr>
          <w:rFonts w:hint="eastAsia" w:ascii="MS UI Gothic" w:eastAsia="MS UI Gothic"/>
          <w:w w:val="90"/>
        </w:rPr>
        <w:t>ꎻ</w:t>
      </w:r>
      <w:r>
        <w:rPr>
          <w:spacing w:val="-16"/>
          <w:w w:val="95"/>
        </w:rPr>
        <w:t xml:space="preserve">达到 </w:t>
      </w:r>
      <w:r>
        <w:rPr>
          <w:rFonts w:hint="eastAsia" w:ascii="MS UI Gothic" w:eastAsia="MS UI Gothic"/>
          <w:w w:val="95"/>
        </w:rPr>
        <w:t>１０</w:t>
      </w:r>
      <w:r>
        <w:rPr>
          <w:spacing w:val="-31"/>
          <w:w w:val="95"/>
        </w:rPr>
        <w:t xml:space="preserve">％ </w:t>
      </w:r>
      <w:r>
        <w:rPr>
          <w:rFonts w:hint="eastAsia" w:ascii="MS UI Gothic" w:eastAsia="MS UI Gothic"/>
          <w:spacing w:val="21"/>
          <w:w w:val="90"/>
        </w:rPr>
        <w:t xml:space="preserve">ꎬ </w:t>
      </w:r>
      <w:r>
        <w:rPr>
          <w:spacing w:val="3"/>
          <w:w w:val="95"/>
        </w:rPr>
        <w:t>不得用作升降物料</w:t>
      </w:r>
      <w:r>
        <w:rPr>
          <w:rFonts w:hint="eastAsia" w:ascii="MS UI Gothic" w:eastAsia="MS UI Gothic"/>
          <w:w w:val="90"/>
        </w:rPr>
        <w:t>ꎮ</w:t>
      </w:r>
    </w:p>
    <w:p>
      <w:pPr>
        <w:pStyle w:val="6"/>
        <w:spacing w:line="292" w:lineRule="auto"/>
        <w:ind w:right="39" w:firstLine="413"/>
        <w:rPr>
          <w:rFonts w:hint="eastAsia" w:ascii="MS UI Gothic" w:eastAsia="MS UI Gothic"/>
        </w:rPr>
      </w:pPr>
      <w:r>
        <w:rPr>
          <w:rFonts w:hint="eastAsia" w:ascii="MS UI Gothic" w:eastAsia="MS UI Gothic"/>
        </w:rPr>
        <w:t xml:space="preserve">２ </w:t>
      </w:r>
      <w:r>
        <w:t>钢丝绳的安全系数小于本规程第四百零八条的规定时</w:t>
      </w:r>
      <w:r>
        <w:rPr>
          <w:rFonts w:hint="eastAsia" w:ascii="MS UI Gothic" w:eastAsia="MS UI Gothic"/>
          <w:w w:val="85"/>
        </w:rPr>
        <w:t xml:space="preserve">ꎬ </w:t>
      </w:r>
      <w:r>
        <w:t>该钢丝绳不得使用</w:t>
      </w:r>
      <w:r>
        <w:rPr>
          <w:rFonts w:hint="eastAsia" w:ascii="MS UI Gothic" w:eastAsia="MS UI Gothic"/>
          <w:w w:val="85"/>
        </w:rPr>
        <w:t>ꎮ</w:t>
      </w:r>
    </w:p>
    <w:p>
      <w:pPr>
        <w:pStyle w:val="6"/>
        <w:spacing w:line="290" w:lineRule="auto"/>
        <w:ind w:right="39"/>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主要提升装置必须有检验合格</w:t>
      </w:r>
      <w:r>
        <w:rPr>
          <w:w w:val="110"/>
        </w:rPr>
        <w:t>的备用钢丝绳</w:t>
      </w:r>
      <w:r>
        <w:rPr>
          <w:rFonts w:hint="eastAsia" w:ascii="MS UI Gothic" w:eastAsia="MS UI Gothic"/>
          <w:w w:val="80"/>
        </w:rPr>
        <w:t>ꎮ</w:t>
      </w:r>
    </w:p>
    <w:p>
      <w:pPr>
        <w:pStyle w:val="6"/>
        <w:ind w:left="543" w:firstLine="0"/>
      </w:pPr>
      <w:r>
        <w:rPr>
          <w:rFonts w:hint="eastAsia" w:ascii="MS UI Gothic" w:eastAsia="MS UI Gothic"/>
          <w:w w:val="110"/>
        </w:rPr>
        <w:t xml:space="preserve">( </w:t>
      </w:r>
      <w:r>
        <w:rPr>
          <w:w w:val="110"/>
        </w:rPr>
        <w:t>六</w:t>
      </w:r>
      <w:r>
        <w:rPr>
          <w:rFonts w:hint="eastAsia" w:ascii="MS UI Gothic" w:eastAsia="MS UI Gothic"/>
          <w:w w:val="110"/>
        </w:rPr>
        <w:t xml:space="preserve">) </w:t>
      </w:r>
      <w:r>
        <w:rPr>
          <w:w w:val="110"/>
        </w:rPr>
        <w:t>专用于斜井提升物料且直径不</w:t>
      </w:r>
    </w:p>
    <w:p>
      <w:pPr>
        <w:pStyle w:val="6"/>
        <w:spacing w:before="175" w:line="292" w:lineRule="auto"/>
        <w:ind w:left="130" w:right="442" w:firstLine="0"/>
        <w:rPr>
          <w:rFonts w:hint="eastAsia" w:ascii="MS UI Gothic" w:eastAsia="MS UI Gothic"/>
        </w:rPr>
      </w:pPr>
      <w:r>
        <w:br w:type="column"/>
      </w:r>
      <w:r>
        <w:rPr>
          <w:w w:val="105"/>
        </w:rPr>
        <w:t xml:space="preserve">大于 </w:t>
      </w:r>
      <w:r>
        <w:rPr>
          <w:rFonts w:hint="eastAsia" w:ascii="MS UI Gothic" w:eastAsia="MS UI Gothic"/>
          <w:w w:val="85"/>
        </w:rPr>
        <w:t xml:space="preserve">１８ ｍｍ </w:t>
      </w:r>
      <w:r>
        <w:rPr>
          <w:w w:val="105"/>
        </w:rPr>
        <w:t>的钢丝绳</w:t>
      </w:r>
      <w:r>
        <w:rPr>
          <w:rFonts w:hint="eastAsia" w:ascii="MS UI Gothic" w:eastAsia="MS UI Gothic"/>
          <w:w w:val="85"/>
        </w:rPr>
        <w:t xml:space="preserve">ꎬ </w:t>
      </w:r>
      <w:r>
        <w:rPr>
          <w:w w:val="105"/>
        </w:rPr>
        <w:t>有产品合格证和</w:t>
      </w:r>
      <w:r>
        <w:t>检测检验报告等</w:t>
      </w:r>
      <w:r>
        <w:rPr>
          <w:rFonts w:hint="eastAsia" w:ascii="MS UI Gothic" w:eastAsia="MS UI Gothic"/>
          <w:w w:val="85"/>
        </w:rPr>
        <w:t xml:space="preserve">ꎬ </w:t>
      </w:r>
      <w:r>
        <w:t>外观检查无锈蚀和损伤</w:t>
      </w:r>
      <w:r>
        <w:rPr>
          <w:w w:val="105"/>
        </w:rPr>
        <w:t>的</w:t>
      </w:r>
      <w:r>
        <w:rPr>
          <w:rFonts w:hint="eastAsia" w:ascii="MS UI Gothic" w:eastAsia="MS UI Gothic"/>
          <w:w w:val="85"/>
        </w:rPr>
        <w:t xml:space="preserve">ꎬ </w:t>
      </w:r>
      <w:r>
        <w:rPr>
          <w:w w:val="105"/>
        </w:rPr>
        <w:t xml:space="preserve">可以不进行 </w:t>
      </w:r>
      <w:r>
        <w:rPr>
          <w:rFonts w:hint="eastAsia" w:ascii="MS UI Gothic" w:eastAsia="MS UI Gothic"/>
          <w:w w:val="145"/>
        </w:rPr>
        <w:t xml:space="preserve">( </w:t>
      </w:r>
      <w:r>
        <w:rPr>
          <w:w w:val="105"/>
        </w:rPr>
        <w:t>一</w:t>
      </w:r>
      <w:r>
        <w:rPr>
          <w:rFonts w:hint="eastAsia" w:ascii="MS UI Gothic" w:eastAsia="MS UI Gothic"/>
          <w:w w:val="145"/>
        </w:rPr>
        <w:t xml:space="preserve">) ( </w:t>
      </w:r>
      <w:r>
        <w:rPr>
          <w:w w:val="105"/>
        </w:rPr>
        <w:t>三</w:t>
      </w:r>
      <w:r>
        <w:rPr>
          <w:rFonts w:hint="eastAsia" w:ascii="MS UI Gothic" w:eastAsia="MS UI Gothic"/>
          <w:w w:val="145"/>
        </w:rPr>
        <w:t xml:space="preserve">) </w:t>
      </w:r>
      <w:r>
        <w:rPr>
          <w:w w:val="105"/>
        </w:rPr>
        <w:t>所要求的检验</w:t>
      </w:r>
      <w:r>
        <w:rPr>
          <w:rFonts w:hint="eastAsia" w:ascii="MS UI Gothic" w:eastAsia="MS UI Gothic"/>
          <w:w w:val="85"/>
        </w:rPr>
        <w:t>ꎮ</w:t>
      </w:r>
    </w:p>
    <w:p>
      <w:pPr>
        <w:pStyle w:val="6"/>
        <w:spacing w:line="290" w:lineRule="auto"/>
        <w:ind w:left="130" w:right="442"/>
        <w:rPr>
          <w:rFonts w:hint="eastAsia" w:ascii="MS UI Gothic" w:eastAsia="MS UI Gothic"/>
        </w:rPr>
      </w:pPr>
      <w:r>
        <w:rPr>
          <w:w w:val="105"/>
        </w:rPr>
        <w:t>第四百一十一条 在用钢丝绳的检验</w:t>
      </w:r>
      <w:r>
        <w:rPr>
          <w:rFonts w:hint="eastAsia" w:ascii="MS UI Gothic" w:eastAsia="MS UI Gothic"/>
          <w:w w:val="80"/>
        </w:rPr>
        <w:t xml:space="preserve">、 </w:t>
      </w:r>
      <w:r>
        <w:rPr>
          <w:w w:val="105"/>
        </w:rPr>
        <w:t>检查与维护</w:t>
      </w:r>
      <w:r>
        <w:rPr>
          <w:rFonts w:hint="eastAsia" w:ascii="MS UI Gothic" w:eastAsia="MS UI Gothic"/>
          <w:w w:val="80"/>
        </w:rPr>
        <w:t xml:space="preserve">ꎬ </w:t>
      </w:r>
      <w:r>
        <w:rPr>
          <w:w w:val="105"/>
        </w:rPr>
        <w:t>应当遵守下列规定</w:t>
      </w:r>
      <w:r>
        <w:rPr>
          <w:rFonts w:hint="eastAsia" w:ascii="MS UI Gothic" w:eastAsia="MS UI Gothic"/>
          <w:w w:val="235"/>
        </w:rPr>
        <w:t>:</w:t>
      </w:r>
    </w:p>
    <w:p>
      <w:pPr>
        <w:pStyle w:val="6"/>
        <w:spacing w:line="292" w:lineRule="auto"/>
        <w:ind w:right="442" w:firstLine="425"/>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升降人员或者升降人员和物料</w:t>
      </w:r>
      <w:r>
        <w:t>用的缠绕式提升钢丝绳</w:t>
      </w:r>
      <w:r>
        <w:rPr>
          <w:rFonts w:hint="eastAsia" w:ascii="MS UI Gothic" w:eastAsia="MS UI Gothic"/>
          <w:w w:val="80"/>
        </w:rPr>
        <w:t xml:space="preserve">ꎬ </w:t>
      </w:r>
      <w:r>
        <w:t>自悬挂使用后每</w:t>
      </w:r>
      <w:r>
        <w:rPr>
          <w:rFonts w:hint="eastAsia" w:ascii="MS UI Gothic" w:eastAsia="MS UI Gothic"/>
          <w:w w:val="80"/>
        </w:rPr>
        <w:t xml:space="preserve">６ </w:t>
      </w:r>
      <w:r>
        <w:rPr>
          <w:w w:val="105"/>
        </w:rPr>
        <w:t xml:space="preserve">个月进行 </w:t>
      </w:r>
      <w:r>
        <w:rPr>
          <w:rFonts w:hint="eastAsia" w:ascii="MS UI Gothic" w:eastAsia="MS UI Gothic"/>
          <w:w w:val="80"/>
        </w:rPr>
        <w:t xml:space="preserve">１ </w:t>
      </w:r>
      <w:r>
        <w:rPr>
          <w:w w:val="105"/>
        </w:rPr>
        <w:t>次性能检验</w:t>
      </w:r>
      <w:r>
        <w:rPr>
          <w:rFonts w:hint="eastAsia" w:ascii="MS UI Gothic" w:eastAsia="MS UI Gothic"/>
          <w:w w:val="80"/>
        </w:rPr>
        <w:t xml:space="preserve">ꎻ </w:t>
      </w:r>
      <w:r>
        <w:rPr>
          <w:w w:val="105"/>
        </w:rPr>
        <w:t>悬挂吊盘的钢</w:t>
      </w:r>
    </w:p>
    <w:p>
      <w:pPr>
        <w:pStyle w:val="6"/>
        <w:spacing w:line="254" w:lineRule="exact"/>
        <w:ind w:left="130" w:firstLine="0"/>
        <w:rPr>
          <w:rFonts w:hint="eastAsia" w:ascii="MS UI Gothic" w:eastAsia="MS UI Gothic"/>
        </w:rPr>
      </w:pPr>
      <w:r>
        <w:t>丝绳</w:t>
      </w:r>
      <w:r>
        <w:rPr>
          <w:rFonts w:hint="eastAsia" w:ascii="MS UI Gothic" w:eastAsia="MS UI Gothic"/>
          <w:w w:val="85"/>
        </w:rPr>
        <w:t xml:space="preserve">ꎬ </w:t>
      </w:r>
      <w:r>
        <w:t xml:space="preserve">每 </w:t>
      </w:r>
      <w:r>
        <w:rPr>
          <w:rFonts w:hint="eastAsia" w:ascii="MS UI Gothic" w:eastAsia="MS UI Gothic"/>
          <w:w w:val="85"/>
        </w:rPr>
        <w:t xml:space="preserve">１２ </w:t>
      </w:r>
      <w:r>
        <w:t xml:space="preserve">个月检验 </w:t>
      </w:r>
      <w:r>
        <w:rPr>
          <w:rFonts w:hint="eastAsia" w:ascii="MS UI Gothic" w:eastAsia="MS UI Gothic"/>
          <w:w w:val="85"/>
        </w:rPr>
        <w:t xml:space="preserve">１ </w:t>
      </w:r>
      <w:r>
        <w:t>次</w:t>
      </w:r>
      <w:r>
        <w:rPr>
          <w:rFonts w:hint="eastAsia" w:ascii="MS UI Gothic" w:eastAsia="MS UI Gothic"/>
          <w:w w:val="85"/>
        </w:rPr>
        <w:t>ꎮ</w:t>
      </w:r>
    </w:p>
    <w:p>
      <w:pPr>
        <w:pStyle w:val="6"/>
        <w:spacing w:before="54" w:line="292" w:lineRule="auto"/>
        <w:ind w:left="130" w:right="442"/>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升降物料用的缠绕式提升钢丝绳</w:t>
      </w:r>
      <w:r>
        <w:rPr>
          <w:rFonts w:hint="eastAsia" w:ascii="MS UI Gothic" w:eastAsia="MS UI Gothic"/>
          <w:w w:val="80"/>
        </w:rPr>
        <w:t xml:space="preserve">ꎬ </w:t>
      </w:r>
      <w:r>
        <w:t xml:space="preserve">悬挂使用 </w:t>
      </w:r>
      <w:r>
        <w:rPr>
          <w:rFonts w:hint="eastAsia" w:ascii="MS UI Gothic" w:eastAsia="MS UI Gothic"/>
          <w:w w:val="80"/>
        </w:rPr>
        <w:t xml:space="preserve">１２ </w:t>
      </w:r>
      <w:r>
        <w:t>个月内必须进行第一次性能检验</w:t>
      </w:r>
      <w:r>
        <w:rPr>
          <w:rFonts w:hint="eastAsia" w:ascii="MS UI Gothic" w:eastAsia="MS UI Gothic"/>
          <w:w w:val="80"/>
        </w:rPr>
        <w:t xml:space="preserve">ꎬ </w:t>
      </w:r>
      <w:r>
        <w:t xml:space="preserve">以后每 </w:t>
      </w:r>
      <w:r>
        <w:rPr>
          <w:rFonts w:hint="eastAsia" w:ascii="MS UI Gothic" w:eastAsia="MS UI Gothic"/>
          <w:w w:val="80"/>
        </w:rPr>
        <w:t xml:space="preserve">６ </w:t>
      </w:r>
      <w:r>
        <w:t xml:space="preserve">个月检验 </w:t>
      </w:r>
      <w:r>
        <w:rPr>
          <w:rFonts w:hint="eastAsia" w:ascii="MS UI Gothic" w:eastAsia="MS UI Gothic"/>
          <w:w w:val="80"/>
        </w:rPr>
        <w:t xml:space="preserve">１ </w:t>
      </w:r>
      <w:r>
        <w:t>次</w:t>
      </w:r>
      <w:r>
        <w:rPr>
          <w:rFonts w:hint="eastAsia" w:ascii="MS UI Gothic" w:eastAsia="MS UI Gothic"/>
          <w:w w:val="80"/>
        </w:rPr>
        <w:t>ꎮ</w:t>
      </w:r>
    </w:p>
    <w:p>
      <w:pPr>
        <w:pStyle w:val="6"/>
        <w:spacing w:line="292" w:lineRule="auto"/>
        <w:ind w:left="130" w:right="442"/>
        <w:rPr>
          <w:rFonts w:hint="eastAsia" w:ascii="MS UI Gothic" w:eastAsia="MS UI Gothic"/>
        </w:rPr>
      </w:pPr>
      <w:r>
        <w:rPr>
          <w:rFonts w:hint="eastAsia" w:ascii="MS UI Gothic" w:eastAsia="MS UI Gothic"/>
          <w:spacing w:val="-38"/>
          <w:w w:val="150"/>
        </w:rPr>
        <w:t xml:space="preserve">( </w:t>
      </w:r>
      <w:r>
        <w:rPr>
          <w:spacing w:val="5"/>
          <w:w w:val="105"/>
        </w:rPr>
        <w:t>三</w:t>
      </w:r>
      <w:r>
        <w:rPr>
          <w:rFonts w:hint="eastAsia" w:ascii="MS UI Gothic" w:eastAsia="MS UI Gothic"/>
          <w:spacing w:val="12"/>
          <w:w w:val="150"/>
        </w:rPr>
        <w:t xml:space="preserve">) </w:t>
      </w:r>
      <w:r>
        <w:rPr>
          <w:spacing w:val="23"/>
          <w:w w:val="105"/>
        </w:rPr>
        <w:t>缠绕式提升钢丝绳的定期检</w:t>
      </w:r>
      <w:r>
        <w:rPr>
          <w:spacing w:val="3"/>
          <w:w w:val="105"/>
        </w:rPr>
        <w:t>验</w:t>
      </w:r>
      <w:r>
        <w:rPr>
          <w:rFonts w:hint="eastAsia" w:ascii="MS UI Gothic" w:eastAsia="MS UI Gothic"/>
          <w:spacing w:val="-1"/>
          <w:w w:val="80"/>
        </w:rPr>
        <w:t xml:space="preserve">ꎬ </w:t>
      </w:r>
      <w:r>
        <w:rPr>
          <w:spacing w:val="-4"/>
          <w:w w:val="105"/>
        </w:rPr>
        <w:t xml:space="preserve">可以只做每根钢丝的拉断和弯曲 </w:t>
      </w:r>
      <w:r>
        <w:rPr>
          <w:rFonts w:hint="eastAsia" w:ascii="MS UI Gothic" w:eastAsia="MS UI Gothic"/>
          <w:spacing w:val="-11"/>
          <w:w w:val="80"/>
        </w:rPr>
        <w:t xml:space="preserve">２ </w:t>
      </w:r>
      <w:r>
        <w:rPr>
          <w:w w:val="105"/>
        </w:rPr>
        <w:t>种</w:t>
      </w:r>
      <w:r>
        <w:rPr>
          <w:spacing w:val="3"/>
        </w:rPr>
        <w:t>试验</w:t>
      </w:r>
      <w:r>
        <w:rPr>
          <w:rFonts w:hint="eastAsia" w:ascii="MS UI Gothic" w:eastAsia="MS UI Gothic"/>
          <w:spacing w:val="23"/>
          <w:w w:val="80"/>
        </w:rPr>
        <w:t xml:space="preserve">ꎮ </w:t>
      </w:r>
      <w:r>
        <w:rPr>
          <w:spacing w:val="3"/>
        </w:rPr>
        <w:t>试验结果</w:t>
      </w:r>
      <w:r>
        <w:rPr>
          <w:rFonts w:hint="eastAsia" w:ascii="MS UI Gothic" w:eastAsia="MS UI Gothic"/>
          <w:spacing w:val="23"/>
          <w:w w:val="80"/>
        </w:rPr>
        <w:t xml:space="preserve">ꎬ </w:t>
      </w:r>
      <w:r>
        <w:rPr>
          <w:spacing w:val="2"/>
        </w:rPr>
        <w:t>以公称直径为准进行计</w:t>
      </w:r>
      <w:r>
        <w:rPr>
          <w:spacing w:val="3"/>
        </w:rPr>
        <w:t>算和判定</w:t>
      </w:r>
      <w:r>
        <w:rPr>
          <w:rFonts w:hint="eastAsia" w:ascii="MS UI Gothic" w:eastAsia="MS UI Gothic"/>
          <w:spacing w:val="23"/>
          <w:w w:val="80"/>
        </w:rPr>
        <w:t xml:space="preserve">ꎮ </w:t>
      </w:r>
      <w:r>
        <w:rPr>
          <w:spacing w:val="3"/>
        </w:rPr>
        <w:t>出现下列情况的钢丝绳</w:t>
      </w:r>
      <w:r>
        <w:rPr>
          <w:rFonts w:hint="eastAsia" w:ascii="MS UI Gothic" w:eastAsia="MS UI Gothic"/>
          <w:spacing w:val="23"/>
          <w:w w:val="80"/>
        </w:rPr>
        <w:t xml:space="preserve">ꎬ </w:t>
      </w:r>
      <w:r>
        <w:rPr>
          <w:spacing w:val="1"/>
        </w:rPr>
        <w:t>必须</w:t>
      </w:r>
      <w:r>
        <w:rPr>
          <w:spacing w:val="3"/>
          <w:w w:val="105"/>
        </w:rPr>
        <w:t>停止使用</w:t>
      </w:r>
      <w:r>
        <w:rPr>
          <w:rFonts w:hint="eastAsia" w:ascii="MS UI Gothic" w:eastAsia="MS UI Gothic"/>
          <w:w w:val="235"/>
        </w:rPr>
        <w:t>:</w:t>
      </w:r>
    </w:p>
    <w:p>
      <w:pPr>
        <w:pStyle w:val="6"/>
        <w:spacing w:line="292" w:lineRule="auto"/>
        <w:ind w:left="130" w:right="442" w:firstLine="413"/>
        <w:rPr>
          <w:rFonts w:hint="eastAsia" w:ascii="MS UI Gothic" w:eastAsia="MS UI Gothic"/>
        </w:rPr>
      </w:pPr>
      <w:r>
        <w:rPr>
          <w:rFonts w:hint="eastAsia" w:ascii="MS UI Gothic" w:eastAsia="MS UI Gothic"/>
          <w:w w:val="95"/>
        </w:rPr>
        <w:t xml:space="preserve">１  </w:t>
      </w:r>
      <w:r>
        <w:rPr>
          <w:w w:val="95"/>
        </w:rPr>
        <w:t xml:space="preserve">不合格钢丝的断面积与钢丝总断面积之比达到 </w:t>
      </w:r>
      <w:r>
        <w:rPr>
          <w:rFonts w:hint="eastAsia" w:ascii="MS UI Gothic" w:eastAsia="MS UI Gothic"/>
          <w:w w:val="95"/>
        </w:rPr>
        <w:t>１５</w:t>
      </w:r>
      <w:r>
        <w:rPr>
          <w:w w:val="95"/>
        </w:rPr>
        <w:t>％ 时</w:t>
      </w:r>
      <w:r>
        <w:rPr>
          <w:rFonts w:hint="eastAsia" w:ascii="MS UI Gothic" w:eastAsia="MS UI Gothic"/>
          <w:w w:val="90"/>
        </w:rPr>
        <w:t>ꎻ</w:t>
      </w:r>
    </w:p>
    <w:p>
      <w:pPr>
        <w:pStyle w:val="6"/>
        <w:spacing w:line="292" w:lineRule="auto"/>
        <w:ind w:left="130" w:right="442" w:firstLine="413"/>
        <w:rPr>
          <w:rFonts w:hint="eastAsia" w:ascii="MS UI Gothic" w:eastAsia="MS UI Gothic"/>
        </w:rPr>
      </w:pPr>
      <w:r>
        <w:rPr>
          <w:rFonts w:hint="eastAsia" w:ascii="MS UI Gothic" w:eastAsia="MS UI Gothic"/>
        </w:rPr>
        <w:t xml:space="preserve">２ </w:t>
      </w:r>
      <w:r>
        <w:t>钢丝绳的安全系数小于本规程第四百零八条规定时</w:t>
      </w:r>
      <w:r>
        <w:rPr>
          <w:rFonts w:hint="eastAsia" w:ascii="MS UI Gothic" w:eastAsia="MS UI Gothic"/>
          <w:w w:val="85"/>
        </w:rPr>
        <w:t>ꎮ</w:t>
      </w:r>
    </w:p>
    <w:p>
      <w:pPr>
        <w:spacing w:after="0" w:line="292" w:lineRule="auto"/>
        <w:rPr>
          <w:rFonts w:hint="eastAsia" w:ascii="MS UI Gothic" w:eastAsia="MS UI Gothic"/>
        </w:rPr>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３０３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33" o:spid="_x0000_s1933" o:spt="203" style="height:2.15pt;width:398.25pt;" coordsize="7965,43">
            <o:lock v:ext="edit"/>
            <v:line id="_x0000_s1934" o:spid="_x0000_s1934" o:spt="20" style="position:absolute;left:0;top:39;height:0;width:7965;" stroked="t" coordsize="21600,21600">
              <v:path arrowok="t"/>
              <v:fill focussize="0,0"/>
              <v:stroke weight="0.388031496062992pt" color="#231F20"/>
              <v:imagedata o:title=""/>
              <o:lock v:ext="edit"/>
            </v:line>
            <v:line id="_x0000_s1935" o:spid="_x0000_s193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pict>
          <v:shape id="_x0000_s1936" o:spid="_x0000_s1936" o:spt="202" type="#_x0000_t202" style="position:absolute;left:0pt;margin-left:92pt;margin-top:65.35pt;height:24.35pt;width:5.15pt;mso-position-horizontal-relative:page;z-index:-27573760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rPr>
                  </w:pPr>
                  <w:r>
                    <w:rPr>
                      <w:rFonts w:ascii="MS UI Gothic"/>
                      <w:w w:val="168"/>
                    </w:rPr>
                    <w:t>(</w:t>
                  </w:r>
                </w:p>
              </w:txbxContent>
            </v:textbox>
          </v:shape>
        </w:pict>
      </w:r>
      <w:r>
        <w:rPr>
          <w:rFonts w:hint="eastAsia" w:ascii="MS UI Gothic" w:eastAsia="MS UI Gothic"/>
          <w:w w:val="145"/>
        </w:rPr>
        <w:t xml:space="preserve">( </w:t>
      </w:r>
      <w:r>
        <w:rPr>
          <w:w w:val="105"/>
        </w:rPr>
        <w:t>四</w:t>
      </w:r>
      <w:r>
        <w:rPr>
          <w:rFonts w:hint="eastAsia" w:ascii="MS UI Gothic" w:eastAsia="MS UI Gothic"/>
          <w:w w:val="145"/>
        </w:rPr>
        <w:t xml:space="preserve">) </w:t>
      </w:r>
      <w:r>
        <w:rPr>
          <w:w w:val="105"/>
        </w:rPr>
        <w:t>摩擦式提升钢丝绳</w:t>
      </w:r>
      <w:r>
        <w:rPr>
          <w:rFonts w:hint="eastAsia" w:ascii="MS UI Gothic" w:eastAsia="MS UI Gothic"/>
          <w:w w:val="85"/>
        </w:rPr>
        <w:t xml:space="preserve">、 </w:t>
      </w:r>
      <w:r>
        <w:rPr>
          <w:w w:val="105"/>
        </w:rPr>
        <w:t>架空乘人</w:t>
      </w:r>
      <w:r>
        <w:t>装置钢丝绳</w:t>
      </w:r>
      <w:r>
        <w:rPr>
          <w:rFonts w:hint="eastAsia" w:ascii="MS UI Gothic" w:eastAsia="MS UI Gothic"/>
          <w:w w:val="85"/>
        </w:rPr>
        <w:t xml:space="preserve">、 </w:t>
      </w:r>
      <w:r>
        <w:t xml:space="preserve">平衡钢丝绳以及专用于斜井提升物料且直径不大于 </w:t>
      </w:r>
      <w:r>
        <w:rPr>
          <w:rFonts w:hint="eastAsia" w:ascii="MS UI Gothic" w:eastAsia="MS UI Gothic"/>
          <w:w w:val="85"/>
        </w:rPr>
        <w:t xml:space="preserve">１８ ｍｍ </w:t>
      </w:r>
      <w:r>
        <w:t>的钢丝绳</w:t>
      </w:r>
      <w:r>
        <w:rPr>
          <w:rFonts w:hint="eastAsia" w:ascii="MS UI Gothic" w:eastAsia="MS UI Gothic"/>
          <w:w w:val="85"/>
        </w:rPr>
        <w:t>ꎬ</w:t>
      </w:r>
      <w:r>
        <w:rPr>
          <w:w w:val="105"/>
        </w:rPr>
        <w:t xml:space="preserve">不受 </w:t>
      </w:r>
      <w:r>
        <w:rPr>
          <w:rFonts w:hint="eastAsia" w:ascii="MS UI Gothic" w:eastAsia="MS UI Gothic"/>
          <w:w w:val="145"/>
        </w:rPr>
        <w:t xml:space="preserve">( </w:t>
      </w:r>
      <w:r>
        <w:rPr>
          <w:w w:val="105"/>
        </w:rPr>
        <w:t>一</w:t>
      </w:r>
      <w:r>
        <w:rPr>
          <w:rFonts w:hint="eastAsia" w:ascii="MS UI Gothic" w:eastAsia="MS UI Gothic"/>
          <w:w w:val="145"/>
        </w:rPr>
        <w:t xml:space="preserve">) ( </w:t>
      </w:r>
      <w:r>
        <w:rPr>
          <w:w w:val="105"/>
        </w:rPr>
        <w:t>二</w:t>
      </w:r>
      <w:r>
        <w:rPr>
          <w:rFonts w:hint="eastAsia" w:ascii="MS UI Gothic" w:eastAsia="MS UI Gothic"/>
          <w:w w:val="145"/>
        </w:rPr>
        <w:t xml:space="preserve">) </w:t>
      </w:r>
      <w:r>
        <w:rPr>
          <w:w w:val="105"/>
        </w:rPr>
        <w:t>限制</w:t>
      </w:r>
      <w:r>
        <w:rPr>
          <w:rFonts w:hint="eastAsia" w:ascii="MS UI Gothic" w:eastAsia="MS UI Gothic"/>
          <w:w w:val="85"/>
        </w:rPr>
        <w:t>ꎮ</w:t>
      </w:r>
    </w:p>
    <w:p>
      <w:pPr>
        <w:pStyle w:val="6"/>
        <w:spacing w:line="295" w:lineRule="auto"/>
        <w:ind w:left="440" w:firstLine="553"/>
        <w:rPr>
          <w:rFonts w:hint="eastAsia" w:ascii="MS UI Gothic" w:eastAsia="MS UI Gothic"/>
        </w:rPr>
      </w:pPr>
      <w:r>
        <w:rPr>
          <w:spacing w:val="19"/>
          <w:w w:val="105"/>
        </w:rPr>
        <w:t>五</w:t>
      </w:r>
      <w:r>
        <w:rPr>
          <w:rFonts w:hint="eastAsia" w:ascii="MS UI Gothic" w:eastAsia="MS UI Gothic"/>
          <w:spacing w:val="11"/>
          <w:w w:val="150"/>
        </w:rPr>
        <w:t xml:space="preserve">) </w:t>
      </w:r>
      <w:r>
        <w:rPr>
          <w:spacing w:val="20"/>
          <w:w w:val="105"/>
        </w:rPr>
        <w:t xml:space="preserve">提升钢丝绳必须每天检查 </w:t>
      </w:r>
      <w:r>
        <w:rPr>
          <w:rFonts w:hint="eastAsia" w:ascii="MS UI Gothic" w:eastAsia="MS UI Gothic"/>
          <w:spacing w:val="-13"/>
          <w:w w:val="80"/>
        </w:rPr>
        <w:t xml:space="preserve">１ </w:t>
      </w:r>
      <w:r>
        <w:rPr>
          <w:spacing w:val="3"/>
          <w:w w:val="105"/>
        </w:rPr>
        <w:t>次</w:t>
      </w:r>
      <w:r>
        <w:rPr>
          <w:rFonts w:hint="eastAsia" w:ascii="MS UI Gothic" w:eastAsia="MS UI Gothic"/>
          <w:spacing w:val="8"/>
          <w:w w:val="80"/>
        </w:rPr>
        <w:t xml:space="preserve">ꎬ </w:t>
      </w:r>
      <w:r>
        <w:rPr>
          <w:spacing w:val="3"/>
          <w:w w:val="105"/>
        </w:rPr>
        <w:t>平衡钢丝绳</w:t>
      </w:r>
      <w:r>
        <w:rPr>
          <w:rFonts w:hint="eastAsia" w:ascii="MS UI Gothic" w:eastAsia="MS UI Gothic"/>
          <w:spacing w:val="8"/>
          <w:w w:val="80"/>
        </w:rPr>
        <w:t xml:space="preserve">、 </w:t>
      </w:r>
      <w:r>
        <w:rPr>
          <w:spacing w:val="3"/>
          <w:w w:val="105"/>
        </w:rPr>
        <w:t>罐道绳</w:t>
      </w:r>
      <w:r>
        <w:rPr>
          <w:rFonts w:hint="eastAsia" w:ascii="MS UI Gothic" w:eastAsia="MS UI Gothic"/>
          <w:spacing w:val="8"/>
          <w:w w:val="80"/>
        </w:rPr>
        <w:t xml:space="preserve">、 </w:t>
      </w:r>
      <w:r>
        <w:rPr>
          <w:spacing w:val="2"/>
          <w:w w:val="105"/>
        </w:rPr>
        <w:t>防坠器制动绳</w:t>
      </w:r>
      <w:r>
        <w:rPr>
          <w:rFonts w:hint="eastAsia" w:ascii="MS UI Gothic" w:eastAsia="MS UI Gothic"/>
          <w:spacing w:val="-38"/>
          <w:w w:val="150"/>
        </w:rPr>
        <w:t xml:space="preserve">( </w:t>
      </w:r>
      <w:r>
        <w:rPr>
          <w:spacing w:val="18"/>
          <w:w w:val="105"/>
        </w:rPr>
        <w:t>包括缓冲绳</w:t>
      </w:r>
      <w:r>
        <w:rPr>
          <w:rFonts w:hint="eastAsia" w:ascii="MS UI Gothic" w:eastAsia="MS UI Gothic"/>
          <w:spacing w:val="21"/>
          <w:w w:val="150"/>
        </w:rPr>
        <w:t>)</w:t>
      </w:r>
      <w:r>
        <w:rPr>
          <w:rFonts w:hint="eastAsia" w:ascii="MS UI Gothic" w:eastAsia="MS UI Gothic"/>
          <w:spacing w:val="19"/>
          <w:w w:val="80"/>
        </w:rPr>
        <w:t xml:space="preserve">、 </w:t>
      </w:r>
      <w:r>
        <w:rPr>
          <w:spacing w:val="23"/>
          <w:w w:val="105"/>
        </w:rPr>
        <w:t>架空乘人装置钢丝绳</w:t>
      </w:r>
      <w:r>
        <w:rPr>
          <w:rFonts w:hint="eastAsia" w:ascii="MS UI Gothic" w:eastAsia="MS UI Gothic"/>
          <w:spacing w:val="-14"/>
          <w:w w:val="80"/>
        </w:rPr>
        <w:t>、</w:t>
      </w:r>
      <w:r>
        <w:rPr>
          <w:spacing w:val="2"/>
        </w:rPr>
        <w:t>钢丝绳牵引带式输送机钢丝绳和井筒悬吊</w:t>
      </w:r>
      <w:r>
        <w:rPr>
          <w:spacing w:val="-7"/>
          <w:w w:val="105"/>
        </w:rPr>
        <w:t xml:space="preserve">钢丝绳必须每周至少检查 </w:t>
      </w:r>
      <w:r>
        <w:rPr>
          <w:rFonts w:hint="eastAsia" w:ascii="MS UI Gothic" w:eastAsia="MS UI Gothic"/>
          <w:spacing w:val="-12"/>
          <w:w w:val="80"/>
        </w:rPr>
        <w:t xml:space="preserve">１ </w:t>
      </w:r>
      <w:r>
        <w:rPr>
          <w:spacing w:val="3"/>
          <w:w w:val="105"/>
        </w:rPr>
        <w:t>次</w:t>
      </w:r>
      <w:r>
        <w:rPr>
          <w:rFonts w:hint="eastAsia" w:ascii="MS UI Gothic" w:eastAsia="MS UI Gothic"/>
          <w:spacing w:val="-2"/>
          <w:w w:val="80"/>
        </w:rPr>
        <w:t xml:space="preserve">ꎮ </w:t>
      </w:r>
      <w:r>
        <w:rPr>
          <w:spacing w:val="3"/>
          <w:w w:val="105"/>
        </w:rPr>
        <w:t>对易损坏</w:t>
      </w:r>
      <w:r>
        <w:rPr>
          <w:spacing w:val="2"/>
        </w:rPr>
        <w:t>和断丝或者锈蚀较多的一段应当停车详细</w:t>
      </w:r>
      <w:r>
        <w:rPr>
          <w:spacing w:val="3"/>
        </w:rPr>
        <w:t>检查</w:t>
      </w:r>
      <w:r>
        <w:rPr>
          <w:rFonts w:hint="eastAsia" w:ascii="MS UI Gothic" w:eastAsia="MS UI Gothic"/>
          <w:spacing w:val="20"/>
          <w:w w:val="80"/>
        </w:rPr>
        <w:t xml:space="preserve">ꎮ </w:t>
      </w:r>
      <w:r>
        <w:rPr>
          <w:spacing w:val="17"/>
        </w:rPr>
        <w:t>断丝的突出部分应当在检查时剪</w:t>
      </w:r>
      <w:r>
        <w:rPr>
          <w:spacing w:val="3"/>
        </w:rPr>
        <w:t>下</w:t>
      </w:r>
      <w:r>
        <w:rPr>
          <w:rFonts w:hint="eastAsia" w:ascii="MS UI Gothic" w:eastAsia="MS UI Gothic"/>
          <w:spacing w:val="18"/>
          <w:w w:val="80"/>
        </w:rPr>
        <w:t xml:space="preserve">ꎮ </w:t>
      </w:r>
      <w:r>
        <w:rPr>
          <w:spacing w:val="31"/>
        </w:rPr>
        <w:t>检查结果应当记入钢丝绳检查记</w:t>
      </w:r>
      <w:r>
        <w:rPr>
          <w:spacing w:val="3"/>
          <w:w w:val="105"/>
        </w:rPr>
        <w:t>录簿</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对使用中的钢丝绳</w:t>
      </w:r>
      <w:r>
        <w:rPr>
          <w:rFonts w:hint="eastAsia" w:ascii="MS UI Gothic" w:eastAsia="MS UI Gothic"/>
          <w:w w:val="80"/>
        </w:rPr>
        <w:t xml:space="preserve">ꎬ </w:t>
      </w:r>
      <w:r>
        <w:rPr>
          <w:w w:val="105"/>
        </w:rPr>
        <w:t>应当根据</w:t>
      </w:r>
      <w:r>
        <w:t>井巷条件及锈蚀情况</w:t>
      </w:r>
      <w:r>
        <w:rPr>
          <w:rFonts w:hint="eastAsia" w:ascii="MS UI Gothic" w:eastAsia="MS UI Gothic"/>
          <w:w w:val="80"/>
        </w:rPr>
        <w:t xml:space="preserve">ꎬ </w:t>
      </w:r>
      <w:r>
        <w:t>采取防腐措施</w:t>
      </w:r>
      <w:r>
        <w:rPr>
          <w:rFonts w:hint="eastAsia" w:ascii="MS UI Gothic" w:eastAsia="MS UI Gothic"/>
          <w:w w:val="80"/>
        </w:rPr>
        <w:t xml:space="preserve">ꎮ </w:t>
      </w:r>
      <w:r>
        <w:t>摩</w:t>
      </w:r>
      <w:r>
        <w:rPr>
          <w:w w:val="105"/>
        </w:rPr>
        <w:t>擦提升钢丝绳的摩擦传动段应当涂</w:t>
      </w:r>
      <w:r>
        <w:rPr>
          <w:rFonts w:hint="eastAsia" w:ascii="MS UI Gothic" w:eastAsia="MS UI Gothic"/>
          <w:w w:val="80"/>
        </w:rPr>
        <w:t xml:space="preserve">、 </w:t>
      </w:r>
      <w:r>
        <w:rPr>
          <w:w w:val="105"/>
        </w:rPr>
        <w:t>浸专用的钢丝绳增摩脂</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平衡钢丝绳的长度必须与提升</w:t>
      </w:r>
      <w:r>
        <w:t>容器过卷高度相适应</w:t>
      </w:r>
      <w:r>
        <w:rPr>
          <w:rFonts w:hint="eastAsia" w:ascii="MS UI Gothic" w:eastAsia="MS UI Gothic"/>
          <w:w w:val="80"/>
        </w:rPr>
        <w:t xml:space="preserve">ꎬ </w:t>
      </w:r>
      <w:r>
        <w:t>防止过卷时损坏平衡钢丝绳</w:t>
      </w:r>
      <w:r>
        <w:rPr>
          <w:rFonts w:hint="eastAsia" w:ascii="MS UI Gothic" w:eastAsia="MS UI Gothic"/>
          <w:w w:val="80"/>
        </w:rPr>
        <w:t xml:space="preserve">ꎮ </w:t>
      </w:r>
      <w:r>
        <w:t>使用圆形平衡钢丝绳时</w:t>
      </w:r>
      <w:r>
        <w:rPr>
          <w:rFonts w:hint="eastAsia" w:ascii="MS UI Gothic" w:eastAsia="MS UI Gothic"/>
          <w:w w:val="80"/>
        </w:rPr>
        <w:t xml:space="preserve">ꎬ </w:t>
      </w:r>
      <w:r>
        <w:t>必须</w:t>
      </w:r>
      <w:r>
        <w:rPr>
          <w:w w:val="105"/>
        </w:rPr>
        <w:t>有避免平衡钢丝绳扭结的装置</w:t>
      </w:r>
      <w:r>
        <w:rPr>
          <w:rFonts w:hint="eastAsia" w:ascii="MS UI Gothic" w:eastAsia="MS UI Gothic"/>
          <w:w w:val="80"/>
        </w:rPr>
        <w:t>ꎮ</w:t>
      </w:r>
    </w:p>
    <w:p>
      <w:pPr>
        <w:pStyle w:val="6"/>
        <w:spacing w:line="253" w:lineRule="exact"/>
        <w:ind w:left="860" w:firstLine="0"/>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严禁平衡钢丝绳浸泡水中</w:t>
      </w:r>
      <w:r>
        <w:rPr>
          <w:rFonts w:hint="eastAsia" w:ascii="MS UI Gothic" w:eastAsia="MS UI Gothic"/>
          <w:w w:val="80"/>
        </w:rPr>
        <w:t>ꎮ</w:t>
      </w:r>
    </w:p>
    <w:p>
      <w:pPr>
        <w:pStyle w:val="6"/>
        <w:spacing w:before="124" w:line="295" w:lineRule="auto"/>
        <w:ind w:left="381" w:right="126"/>
        <w:rPr>
          <w:rFonts w:hint="eastAsia" w:ascii="MS UI Gothic" w:hAnsi="MS UI Gothic" w:eastAsia="MS UI Gothic"/>
        </w:rPr>
      </w:pPr>
      <w:r>
        <w:br w:type="column"/>
      </w:r>
      <w:r>
        <w:rPr>
          <w:rFonts w:hint="eastAsia" w:ascii="MS UI Gothic" w:hAnsi="MS UI Gothic" w:eastAsia="MS UI Gothic"/>
          <w:w w:val="140"/>
        </w:rPr>
        <w:t xml:space="preserve">( </w:t>
      </w:r>
      <w:r>
        <w:rPr>
          <w:w w:val="105"/>
        </w:rPr>
        <w:t>九</w:t>
      </w:r>
      <w:r>
        <w:rPr>
          <w:rFonts w:hint="eastAsia" w:ascii="MS UI Gothic" w:hAnsi="MS UI Gothic" w:eastAsia="MS UI Gothic"/>
          <w:w w:val="140"/>
        </w:rPr>
        <w:t xml:space="preserve">) </w:t>
      </w:r>
      <w:r>
        <w:rPr>
          <w:w w:val="105"/>
        </w:rPr>
        <w:t>多绳提升的任意一根钢丝绳的张力与平均张力之差不得超过</w:t>
      </w:r>
      <w:r>
        <w:rPr>
          <w:rFonts w:hint="eastAsia" w:ascii="MS UI Gothic" w:hAnsi="MS UI Gothic" w:eastAsia="MS UI Gothic"/>
          <w:w w:val="90"/>
        </w:rPr>
        <w:t>±１０</w:t>
      </w:r>
      <w:r>
        <w:rPr>
          <w:w w:val="90"/>
        </w:rPr>
        <w:t xml:space="preserve">％ </w:t>
      </w:r>
      <w:r>
        <w:rPr>
          <w:rFonts w:hint="eastAsia" w:ascii="MS UI Gothic" w:hAnsi="MS UI Gothic" w:eastAsia="MS UI Gothic"/>
          <w:w w:val="90"/>
        </w:rPr>
        <w:t>ꎮ</w:t>
      </w:r>
    </w:p>
    <w:p>
      <w:pPr>
        <w:pStyle w:val="6"/>
        <w:spacing w:line="295" w:lineRule="auto"/>
        <w:ind w:left="381" w:right="126"/>
        <w:rPr>
          <w:rFonts w:hint="eastAsia" w:ascii="MS UI Gothic" w:eastAsia="MS UI Gothic"/>
        </w:rPr>
      </w:pPr>
      <w:r>
        <w:rPr>
          <w:w w:val="105"/>
        </w:rPr>
        <w:t>第四百一十二条 钢丝绳的报废和更</w:t>
      </w:r>
      <w:r>
        <w:rPr>
          <w:w w:val="110"/>
        </w:rPr>
        <w:t>换</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钢丝绳的报废类型</w:t>
      </w:r>
      <w:r>
        <w:rPr>
          <w:rFonts w:hint="eastAsia" w:ascii="MS UI Gothic" w:eastAsia="MS UI Gothic"/>
          <w:w w:val="80"/>
        </w:rPr>
        <w:t xml:space="preserve">、 </w:t>
      </w:r>
      <w:r>
        <w:t xml:space="preserve">内容及标准应当符合表 </w:t>
      </w:r>
      <w:r>
        <w:rPr>
          <w:rFonts w:hint="eastAsia" w:ascii="MS UI Gothic" w:eastAsia="MS UI Gothic"/>
          <w:w w:val="80"/>
        </w:rPr>
        <w:t xml:space="preserve">１１ </w:t>
      </w:r>
      <w:r>
        <w:t>的要求</w:t>
      </w:r>
      <w:r>
        <w:rPr>
          <w:rFonts w:hint="eastAsia" w:ascii="MS UI Gothic" w:eastAsia="MS UI Gothic"/>
          <w:w w:val="80"/>
        </w:rPr>
        <w:t xml:space="preserve">ꎮ </w:t>
      </w:r>
      <w:r>
        <w:t>达到其中一项的</w:t>
      </w:r>
      <w:r>
        <w:rPr>
          <w:rFonts w:hint="eastAsia" w:ascii="MS UI Gothic" w:eastAsia="MS UI Gothic"/>
          <w:w w:val="80"/>
        </w:rPr>
        <w:t xml:space="preserve">ꎬ </w:t>
      </w:r>
      <w:r>
        <w:t>必须报废</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更换摩擦式提升机钢丝绳时</w:t>
      </w:r>
      <w:r>
        <w:rPr>
          <w:rFonts w:hint="eastAsia" w:ascii="MS UI Gothic" w:eastAsia="MS UI Gothic"/>
          <w:w w:val="80"/>
        </w:rPr>
        <w:t>ꎬ</w:t>
      </w:r>
      <w:r>
        <w:rPr>
          <w:w w:val="105"/>
        </w:rPr>
        <w:t>必须同时更换全部钢丝绳</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第四百一十三条 钢丝绳在运行中遭受到卡罐</w:t>
      </w:r>
      <w:r>
        <w:rPr>
          <w:rFonts w:hint="eastAsia" w:ascii="MS UI Gothic" w:eastAsia="MS UI Gothic"/>
          <w:w w:val="80"/>
        </w:rPr>
        <w:t xml:space="preserve">、 </w:t>
      </w:r>
      <w:r>
        <w:rPr>
          <w:w w:val="105"/>
        </w:rPr>
        <w:t>突然停车等猛烈拉力时</w:t>
      </w:r>
      <w:r>
        <w:rPr>
          <w:rFonts w:hint="eastAsia" w:ascii="MS UI Gothic" w:eastAsia="MS UI Gothic"/>
          <w:w w:val="80"/>
        </w:rPr>
        <w:t xml:space="preserve">ꎬ </w:t>
      </w:r>
      <w:r>
        <w:rPr>
          <w:w w:val="105"/>
        </w:rPr>
        <w:t>必须</w:t>
      </w:r>
      <w:r>
        <w:t>立即停车检查</w:t>
      </w:r>
      <w:r>
        <w:rPr>
          <w:rFonts w:hint="eastAsia" w:ascii="MS UI Gothic" w:eastAsia="MS UI Gothic"/>
          <w:w w:val="80"/>
        </w:rPr>
        <w:t xml:space="preserve">ꎬ </w:t>
      </w:r>
      <w:r>
        <w:t>发现下列情况之一者</w:t>
      </w:r>
      <w:r>
        <w:rPr>
          <w:rFonts w:hint="eastAsia" w:ascii="MS UI Gothic" w:eastAsia="MS UI Gothic"/>
          <w:w w:val="80"/>
        </w:rPr>
        <w:t xml:space="preserve">ꎬ </w:t>
      </w:r>
      <w:r>
        <w:t>必</w:t>
      </w:r>
      <w:r>
        <w:rPr>
          <w:w w:val="105"/>
        </w:rPr>
        <w:t>须将受损段剁掉或者更换全绳</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7"/>
          <w:w w:val="135"/>
        </w:rPr>
        <w:t xml:space="preserve">( </w:t>
      </w:r>
      <w:r>
        <w:rPr>
          <w:spacing w:val="29"/>
          <w:w w:val="110"/>
        </w:rPr>
        <w:t>一</w:t>
      </w:r>
      <w:r>
        <w:rPr>
          <w:rFonts w:hint="eastAsia" w:ascii="MS UI Gothic" w:eastAsia="MS UI Gothic"/>
          <w:spacing w:val="-14"/>
          <w:w w:val="135"/>
        </w:rPr>
        <w:t xml:space="preserve">) </w:t>
      </w:r>
      <w:r>
        <w:rPr>
          <w:spacing w:val="40"/>
          <w:w w:val="110"/>
        </w:rPr>
        <w:t>钢丝绳产生严重扭曲或者</w:t>
      </w:r>
      <w:r>
        <w:rPr>
          <w:spacing w:val="3"/>
          <w:w w:val="110"/>
        </w:rPr>
        <w:t>变形</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断丝超过本规程第四百一十二</w:t>
      </w:r>
      <w:r>
        <w:rPr>
          <w:w w:val="110"/>
        </w:rPr>
        <w:t>条的规定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直径减小量超过本规程第四百</w:t>
      </w:r>
      <w:r>
        <w:rPr>
          <w:w w:val="110"/>
        </w:rPr>
        <w:t>一十二条的规定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45"/>
        </w:rPr>
        <w:t xml:space="preserve">( </w:t>
      </w:r>
      <w:r>
        <w:rPr>
          <w:w w:val="105"/>
        </w:rPr>
        <w:t>四</w:t>
      </w:r>
      <w:r>
        <w:rPr>
          <w:rFonts w:hint="eastAsia" w:ascii="MS UI Gothic" w:eastAsia="MS UI Gothic"/>
          <w:w w:val="145"/>
        </w:rPr>
        <w:t xml:space="preserve">) </w:t>
      </w:r>
      <w:r>
        <w:rPr>
          <w:w w:val="105"/>
        </w:rPr>
        <w:t xml:space="preserve">遭受猛烈拉力的一段的长度伸长 </w:t>
      </w:r>
      <w:r>
        <w:rPr>
          <w:rFonts w:hint="eastAsia" w:ascii="MS UI Gothic" w:eastAsia="MS UI Gothic"/>
          <w:w w:val="85"/>
        </w:rPr>
        <w:t>０ ５</w:t>
      </w:r>
      <w:r>
        <w:rPr>
          <w:w w:val="85"/>
        </w:rPr>
        <w:t xml:space="preserve">％ </w:t>
      </w:r>
      <w:r>
        <w:rPr>
          <w:w w:val="105"/>
        </w:rPr>
        <w:t>以上</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5"/>
        <w:ind w:left="0" w:firstLine="0"/>
        <w:jc w:val="left"/>
        <w:rPr>
          <w:rFonts w:ascii="MS UI Gothic"/>
          <w:sz w:val="14"/>
        </w:rPr>
      </w:pPr>
    </w:p>
    <w:p>
      <w:pPr>
        <w:pStyle w:val="6"/>
        <w:spacing w:before="175"/>
        <w:ind w:left="312" w:firstLine="0"/>
        <w:jc w:val="center"/>
      </w:pPr>
      <w:r>
        <w:rPr>
          <w:w w:val="95"/>
        </w:rPr>
        <w:t xml:space="preserve">表 </w:t>
      </w:r>
      <w:r>
        <w:rPr>
          <w:rFonts w:hint="eastAsia" w:ascii="MS UI Gothic" w:eastAsia="MS UI Gothic"/>
          <w:w w:val="95"/>
        </w:rPr>
        <w:t xml:space="preserve">１１ </w:t>
      </w:r>
      <w:r>
        <w:rPr>
          <w:w w:val="95"/>
        </w:rPr>
        <w:t>钢丝绳的报废类型</w:t>
      </w:r>
      <w:r>
        <w:rPr>
          <w:rFonts w:hint="eastAsia" w:ascii="Microsoft Yi Baiti" w:eastAsia="Microsoft Yi Baiti"/>
          <w:w w:val="95"/>
        </w:rPr>
        <w:t xml:space="preserve">、 </w:t>
      </w:r>
      <w:r>
        <w:rPr>
          <w:w w:val="95"/>
        </w:rPr>
        <w:t>内容及标准</w:t>
      </w:r>
    </w:p>
    <w:p>
      <w:pPr>
        <w:pStyle w:val="6"/>
        <w:ind w:left="0" w:firstLine="0"/>
        <w:jc w:val="left"/>
        <w:rPr>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77"/>
        <w:gridCol w:w="1114"/>
        <w:gridCol w:w="1273"/>
        <w:gridCol w:w="796"/>
        <w:gridCol w:w="4305"/>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477" w:type="dxa"/>
            <w:tcBorders>
              <w:bottom w:val="single" w:color="231F20" w:sz="4" w:space="0"/>
              <w:right w:val="single" w:color="231F20" w:sz="4" w:space="0"/>
            </w:tcBorders>
          </w:tcPr>
          <w:p>
            <w:pPr>
              <w:pStyle w:val="11"/>
              <w:spacing w:before="50"/>
              <w:ind w:left="79"/>
              <w:rPr>
                <w:sz w:val="15"/>
              </w:rPr>
            </w:pPr>
            <w:r>
              <w:rPr>
                <w:w w:val="105"/>
                <w:sz w:val="15"/>
              </w:rPr>
              <w:t>项目</w:t>
            </w:r>
          </w:p>
        </w:tc>
        <w:tc>
          <w:tcPr>
            <w:tcW w:w="2387" w:type="dxa"/>
            <w:gridSpan w:val="2"/>
            <w:tcBorders>
              <w:left w:val="single" w:color="231F20" w:sz="4" w:space="0"/>
              <w:bottom w:val="single" w:color="231F20" w:sz="4" w:space="0"/>
              <w:right w:val="single" w:color="231F20" w:sz="4" w:space="0"/>
            </w:tcBorders>
          </w:tcPr>
          <w:p>
            <w:pPr>
              <w:pStyle w:val="11"/>
              <w:spacing w:before="50"/>
              <w:ind w:left="800"/>
              <w:rPr>
                <w:sz w:val="15"/>
              </w:rPr>
            </w:pPr>
            <w:r>
              <w:rPr>
                <w:w w:val="105"/>
                <w:sz w:val="15"/>
              </w:rPr>
              <w:t>钢丝绳类别</w:t>
            </w:r>
          </w:p>
        </w:tc>
        <w:tc>
          <w:tcPr>
            <w:tcW w:w="796" w:type="dxa"/>
            <w:tcBorders>
              <w:left w:val="single" w:color="231F20" w:sz="4" w:space="0"/>
              <w:bottom w:val="single" w:color="231F20" w:sz="4" w:space="0"/>
              <w:right w:val="single" w:color="231F20" w:sz="4" w:space="0"/>
            </w:tcBorders>
          </w:tcPr>
          <w:p>
            <w:pPr>
              <w:pStyle w:val="11"/>
              <w:spacing w:before="50"/>
              <w:ind w:left="25" w:right="10"/>
              <w:jc w:val="center"/>
              <w:rPr>
                <w:sz w:val="15"/>
              </w:rPr>
            </w:pPr>
            <w:r>
              <w:rPr>
                <w:w w:val="105"/>
                <w:sz w:val="15"/>
              </w:rPr>
              <w:t>报废标准</w:t>
            </w:r>
          </w:p>
        </w:tc>
        <w:tc>
          <w:tcPr>
            <w:tcW w:w="4305" w:type="dxa"/>
            <w:tcBorders>
              <w:left w:val="single" w:color="231F20" w:sz="4" w:space="0"/>
              <w:bottom w:val="single" w:color="231F20" w:sz="4" w:space="0"/>
            </w:tcBorders>
          </w:tcPr>
          <w:p>
            <w:pPr>
              <w:pStyle w:val="11"/>
              <w:spacing w:before="50"/>
              <w:ind w:left="20"/>
              <w:jc w:val="center"/>
              <w:rPr>
                <w:sz w:val="15"/>
              </w:rPr>
            </w:pPr>
            <w:r>
              <w:rPr>
                <w:w w:val="105"/>
                <w:sz w:val="15"/>
              </w:rPr>
              <w:t>说  明</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477" w:type="dxa"/>
            <w:vMerge w:val="restart"/>
            <w:tcBorders>
              <w:top w:val="single" w:color="231F20" w:sz="4" w:space="0"/>
              <w:right w:val="single" w:color="231F20" w:sz="4" w:space="0"/>
            </w:tcBorders>
          </w:tcPr>
          <w:p>
            <w:pPr>
              <w:pStyle w:val="11"/>
              <w:rPr>
                <w:sz w:val="18"/>
              </w:rPr>
            </w:pPr>
          </w:p>
          <w:p>
            <w:pPr>
              <w:pStyle w:val="11"/>
              <w:rPr>
                <w:sz w:val="18"/>
              </w:rPr>
            </w:pPr>
          </w:p>
          <w:p>
            <w:pPr>
              <w:pStyle w:val="11"/>
              <w:spacing w:before="1"/>
              <w:rPr>
                <w:sz w:val="20"/>
              </w:rPr>
            </w:pPr>
          </w:p>
          <w:p>
            <w:pPr>
              <w:pStyle w:val="11"/>
              <w:spacing w:line="328" w:lineRule="auto"/>
              <w:ind w:left="79" w:right="66"/>
              <w:rPr>
                <w:sz w:val="15"/>
              </w:rPr>
            </w:pPr>
            <w:r>
              <w:rPr>
                <w:w w:val="105"/>
                <w:sz w:val="15"/>
              </w:rPr>
              <w:t>使用期限</w:t>
            </w:r>
          </w:p>
        </w:tc>
        <w:tc>
          <w:tcPr>
            <w:tcW w:w="1114" w:type="dxa"/>
            <w:vMerge w:val="restart"/>
            <w:tcBorders>
              <w:top w:val="single" w:color="231F20" w:sz="4" w:space="0"/>
              <w:left w:val="single" w:color="231F20" w:sz="4" w:space="0"/>
              <w:bottom w:val="single" w:color="231F20" w:sz="4" w:space="0"/>
              <w:right w:val="single" w:color="231F20" w:sz="4" w:space="0"/>
            </w:tcBorders>
          </w:tcPr>
          <w:p>
            <w:pPr>
              <w:pStyle w:val="11"/>
              <w:spacing w:before="9"/>
              <w:rPr>
                <w:sz w:val="16"/>
              </w:rPr>
            </w:pPr>
          </w:p>
          <w:p>
            <w:pPr>
              <w:pStyle w:val="11"/>
              <w:ind w:left="84"/>
              <w:rPr>
                <w:sz w:val="15"/>
              </w:rPr>
            </w:pPr>
            <w:r>
              <w:rPr>
                <w:w w:val="105"/>
                <w:sz w:val="15"/>
              </w:rPr>
              <w:t>摩擦式提升机</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5"/>
              <w:ind w:left="225" w:right="209"/>
              <w:jc w:val="center"/>
              <w:rPr>
                <w:sz w:val="15"/>
              </w:rPr>
            </w:pPr>
            <w:r>
              <w:rPr>
                <w:w w:val="105"/>
                <w:sz w:val="15"/>
              </w:rPr>
              <w:t>提升钢丝绳</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55"/>
              <w:ind w:left="22" w:right="10"/>
              <w:jc w:val="center"/>
              <w:rPr>
                <w:sz w:val="15"/>
              </w:rPr>
            </w:pPr>
            <w:r>
              <w:rPr>
                <w:rFonts w:hint="eastAsia" w:ascii="MS UI Gothic" w:eastAsia="MS UI Gothic"/>
                <w:sz w:val="15"/>
              </w:rPr>
              <w:t xml:space="preserve">２ </w:t>
            </w:r>
            <w:r>
              <w:rPr>
                <w:sz w:val="15"/>
              </w:rPr>
              <w:t>年</w:t>
            </w:r>
          </w:p>
        </w:tc>
        <w:tc>
          <w:tcPr>
            <w:tcW w:w="4305" w:type="dxa"/>
            <w:vMerge w:val="restart"/>
            <w:tcBorders>
              <w:top w:val="single" w:color="231F20" w:sz="4" w:space="0"/>
              <w:left w:val="single" w:color="231F20" w:sz="4" w:space="0"/>
              <w:bottom w:val="single" w:color="231F20" w:sz="4" w:space="0"/>
            </w:tcBorders>
          </w:tcPr>
          <w:p>
            <w:pPr>
              <w:pStyle w:val="11"/>
              <w:spacing w:before="15" w:line="260" w:lineRule="atLeast"/>
              <w:ind w:left="109" w:right="87" w:firstLine="159"/>
              <w:rPr>
                <w:sz w:val="15"/>
              </w:rPr>
            </w:pPr>
            <w:r>
              <w:rPr>
                <w:sz w:val="15"/>
              </w:rPr>
              <w:t>如果钢丝绳的断丝</w:t>
            </w:r>
            <w:r>
              <w:rPr>
                <w:rFonts w:hint="eastAsia" w:ascii="MS UI Gothic" w:eastAsia="MS UI Gothic"/>
                <w:w w:val="80"/>
                <w:sz w:val="15"/>
              </w:rPr>
              <w:t xml:space="preserve">、 </w:t>
            </w:r>
            <w:r>
              <w:rPr>
                <w:sz w:val="15"/>
              </w:rPr>
              <w:t>直径缩小和锈蚀程度不超过本表断丝</w:t>
            </w:r>
            <w:r>
              <w:rPr>
                <w:rFonts w:hint="eastAsia" w:ascii="MS UI Gothic" w:eastAsia="MS UI Gothic"/>
                <w:w w:val="80"/>
                <w:sz w:val="15"/>
              </w:rPr>
              <w:t xml:space="preserve">、 </w:t>
            </w:r>
            <w:r>
              <w:rPr>
                <w:sz w:val="15"/>
              </w:rPr>
              <w:t>直径缩小</w:t>
            </w:r>
            <w:r>
              <w:rPr>
                <w:rFonts w:hint="eastAsia" w:ascii="MS UI Gothic" w:eastAsia="MS UI Gothic"/>
                <w:w w:val="80"/>
                <w:sz w:val="15"/>
              </w:rPr>
              <w:t xml:space="preserve">、 </w:t>
            </w:r>
            <w:r>
              <w:rPr>
                <w:sz w:val="15"/>
              </w:rPr>
              <w:t>锈蚀类型的规定</w:t>
            </w:r>
            <w:r>
              <w:rPr>
                <w:rFonts w:hint="eastAsia" w:ascii="MS UI Gothic" w:eastAsia="MS UI Gothic"/>
                <w:w w:val="80"/>
                <w:sz w:val="15"/>
              </w:rPr>
              <w:t xml:space="preserve">ꎬ </w:t>
            </w:r>
            <w:r>
              <w:rPr>
                <w:sz w:val="15"/>
              </w:rPr>
              <w:t xml:space="preserve">可继续使用 </w:t>
            </w:r>
            <w:r>
              <w:rPr>
                <w:rFonts w:hint="eastAsia" w:ascii="MS UI Gothic" w:eastAsia="MS UI Gothic"/>
                <w:w w:val="80"/>
                <w:sz w:val="15"/>
              </w:rPr>
              <w:t xml:space="preserve">１ </w:t>
            </w:r>
            <w:r>
              <w:rPr>
                <w:sz w:val="15"/>
              </w:rPr>
              <w:t>年</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98" w:hRule="atLeast"/>
        </w:trPr>
        <w:tc>
          <w:tcPr>
            <w:tcW w:w="477" w:type="dxa"/>
            <w:vMerge w:val="continue"/>
            <w:tcBorders>
              <w:top w:val="nil"/>
              <w:right w:val="single" w:color="231F20" w:sz="4" w:space="0"/>
            </w:tcBorders>
          </w:tcPr>
          <w:p>
            <w:pPr>
              <w:rPr>
                <w:sz w:val="2"/>
                <w:szCs w:val="2"/>
              </w:rPr>
            </w:pPr>
          </w:p>
        </w:tc>
        <w:tc>
          <w:tcPr>
            <w:tcW w:w="1114" w:type="dxa"/>
            <w:vMerge w:val="continue"/>
            <w:tcBorders>
              <w:top w:val="nil"/>
              <w:left w:val="single" w:color="231F20" w:sz="4" w:space="0"/>
              <w:bottom w:val="single" w:color="231F20" w:sz="4" w:space="0"/>
              <w:right w:val="single" w:color="231F20" w:sz="4" w:space="0"/>
            </w:tcBorders>
          </w:tcPr>
          <w:p>
            <w:pPr>
              <w:rPr>
                <w:sz w:val="2"/>
                <w:szCs w:val="2"/>
              </w:rPr>
            </w:pP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0"/>
              <w:ind w:left="225" w:right="209"/>
              <w:jc w:val="center"/>
              <w:rPr>
                <w:sz w:val="15"/>
              </w:rPr>
            </w:pPr>
            <w:r>
              <w:rPr>
                <w:w w:val="105"/>
                <w:sz w:val="15"/>
              </w:rPr>
              <w:t>平衡钢丝绳</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50"/>
              <w:ind w:left="22" w:right="10"/>
              <w:jc w:val="center"/>
              <w:rPr>
                <w:sz w:val="15"/>
              </w:rPr>
            </w:pPr>
            <w:r>
              <w:rPr>
                <w:rFonts w:hint="eastAsia" w:ascii="MS UI Gothic" w:eastAsia="MS UI Gothic"/>
                <w:sz w:val="15"/>
              </w:rPr>
              <w:t xml:space="preserve">４ </w:t>
            </w:r>
            <w:r>
              <w:rPr>
                <w:sz w:val="15"/>
              </w:rPr>
              <w:t>年</w:t>
            </w:r>
          </w:p>
        </w:tc>
        <w:tc>
          <w:tcPr>
            <w:tcW w:w="4305"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16" w:hRule="atLeast"/>
        </w:trPr>
        <w:tc>
          <w:tcPr>
            <w:tcW w:w="477" w:type="dxa"/>
            <w:vMerge w:val="continue"/>
            <w:tcBorders>
              <w:top w:val="nil"/>
              <w:right w:val="single" w:color="231F20" w:sz="4" w:space="0"/>
            </w:tcBorders>
          </w:tcPr>
          <w:p>
            <w:pPr>
              <w:rPr>
                <w:sz w:val="2"/>
                <w:szCs w:val="2"/>
              </w:rPr>
            </w:pPr>
          </w:p>
        </w:tc>
        <w:tc>
          <w:tcPr>
            <w:tcW w:w="2387" w:type="dxa"/>
            <w:gridSpan w:val="2"/>
            <w:tcBorders>
              <w:top w:val="single" w:color="231F20" w:sz="4" w:space="0"/>
              <w:left w:val="single" w:color="231F20" w:sz="4" w:space="0"/>
              <w:bottom w:val="single" w:color="231F20" w:sz="4" w:space="0"/>
              <w:right w:val="single" w:color="231F20" w:sz="4" w:space="0"/>
            </w:tcBorders>
          </w:tcPr>
          <w:p>
            <w:pPr>
              <w:pStyle w:val="11"/>
              <w:spacing w:before="10" w:line="260" w:lineRule="atLeast"/>
              <w:ind w:left="109" w:right="91" w:firstLine="159"/>
              <w:rPr>
                <w:sz w:val="15"/>
              </w:rPr>
            </w:pPr>
            <w:r>
              <w:rPr>
                <w:sz w:val="15"/>
              </w:rPr>
              <w:t>井筒中悬挂水泵</w:t>
            </w:r>
            <w:r>
              <w:rPr>
                <w:rFonts w:hint="eastAsia" w:ascii="MS UI Gothic" w:eastAsia="MS UI Gothic"/>
                <w:sz w:val="15"/>
              </w:rPr>
              <w:t xml:space="preserve">、 </w:t>
            </w:r>
            <w:r>
              <w:rPr>
                <w:sz w:val="15"/>
              </w:rPr>
              <w:t>抓岩机的钢丝绳</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209"/>
              <w:ind w:left="22" w:right="10"/>
              <w:jc w:val="center"/>
              <w:rPr>
                <w:sz w:val="15"/>
              </w:rPr>
            </w:pPr>
            <w:r>
              <w:rPr>
                <w:rFonts w:hint="eastAsia" w:ascii="MS UI Gothic" w:eastAsia="MS UI Gothic"/>
                <w:sz w:val="15"/>
              </w:rPr>
              <w:t xml:space="preserve">１ </w:t>
            </w:r>
            <w:r>
              <w:rPr>
                <w:sz w:val="15"/>
              </w:rPr>
              <w:t>年</w:t>
            </w:r>
          </w:p>
        </w:tc>
        <w:tc>
          <w:tcPr>
            <w:tcW w:w="4305" w:type="dxa"/>
            <w:vMerge w:val="restart"/>
            <w:tcBorders>
              <w:top w:val="single" w:color="231F20" w:sz="4" w:space="0"/>
              <w:left w:val="single" w:color="231F20" w:sz="4" w:space="0"/>
            </w:tcBorders>
          </w:tcPr>
          <w:p>
            <w:pPr>
              <w:pStyle w:val="11"/>
              <w:spacing w:before="11"/>
              <w:rPr>
                <w:sz w:val="30"/>
              </w:rPr>
            </w:pPr>
          </w:p>
          <w:p>
            <w:pPr>
              <w:pStyle w:val="11"/>
              <w:spacing w:line="328" w:lineRule="auto"/>
              <w:ind w:left="109" w:right="87" w:firstLine="159"/>
              <w:rPr>
                <w:sz w:val="15"/>
              </w:rPr>
            </w:pPr>
            <w:r>
              <w:rPr>
                <w:sz w:val="15"/>
              </w:rPr>
              <w:t>到期后经检查鉴定</w:t>
            </w:r>
            <w:r>
              <w:rPr>
                <w:rFonts w:hint="eastAsia" w:ascii="MS UI Gothic" w:eastAsia="MS UI Gothic"/>
                <w:w w:val="80"/>
                <w:sz w:val="15"/>
              </w:rPr>
              <w:t xml:space="preserve">ꎬ </w:t>
            </w:r>
            <w:r>
              <w:rPr>
                <w:sz w:val="15"/>
              </w:rPr>
              <w:t>锈蚀程度不超过本表锈蚀类型的规定</w:t>
            </w:r>
            <w:r>
              <w:rPr>
                <w:rFonts w:hint="eastAsia" w:ascii="MS UI Gothic" w:eastAsia="MS UI Gothic"/>
                <w:w w:val="80"/>
                <w:sz w:val="15"/>
              </w:rPr>
              <w:t xml:space="preserve">ꎬ </w:t>
            </w:r>
            <w:r>
              <w:rPr>
                <w:sz w:val="15"/>
              </w:rPr>
              <w:t>可以继续使用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16" w:hRule="atLeast"/>
        </w:trPr>
        <w:tc>
          <w:tcPr>
            <w:tcW w:w="477" w:type="dxa"/>
            <w:vMerge w:val="continue"/>
            <w:tcBorders>
              <w:top w:val="nil"/>
              <w:right w:val="single" w:color="231F20" w:sz="4" w:space="0"/>
            </w:tcBorders>
          </w:tcPr>
          <w:p>
            <w:pPr>
              <w:rPr>
                <w:sz w:val="2"/>
                <w:szCs w:val="2"/>
              </w:rPr>
            </w:pPr>
          </w:p>
        </w:tc>
        <w:tc>
          <w:tcPr>
            <w:tcW w:w="2387" w:type="dxa"/>
            <w:gridSpan w:val="2"/>
            <w:tcBorders>
              <w:top w:val="single" w:color="231F20" w:sz="4" w:space="0"/>
              <w:left w:val="single" w:color="231F20" w:sz="4" w:space="0"/>
              <w:right w:val="single" w:color="231F20" w:sz="4" w:space="0"/>
            </w:tcBorders>
          </w:tcPr>
          <w:p>
            <w:pPr>
              <w:pStyle w:val="11"/>
              <w:spacing w:before="10" w:line="260" w:lineRule="atLeast"/>
              <w:ind w:left="109" w:right="91" w:firstLine="159"/>
              <w:rPr>
                <w:sz w:val="15"/>
              </w:rPr>
            </w:pPr>
            <w:r>
              <w:rPr>
                <w:sz w:val="15"/>
              </w:rPr>
              <w:t>悬挂风管</w:t>
            </w:r>
            <w:r>
              <w:rPr>
                <w:rFonts w:hint="eastAsia" w:ascii="MS UI Gothic" w:eastAsia="MS UI Gothic"/>
                <w:sz w:val="15"/>
              </w:rPr>
              <w:t xml:space="preserve">、 </w:t>
            </w:r>
            <w:r>
              <w:rPr>
                <w:sz w:val="15"/>
              </w:rPr>
              <w:t>输料管</w:t>
            </w:r>
            <w:r>
              <w:rPr>
                <w:rFonts w:hint="eastAsia" w:ascii="MS UI Gothic" w:eastAsia="MS UI Gothic"/>
                <w:sz w:val="15"/>
              </w:rPr>
              <w:t xml:space="preserve">、 </w:t>
            </w:r>
            <w:r>
              <w:rPr>
                <w:sz w:val="15"/>
              </w:rPr>
              <w:t>安全梯和电缆的钢丝绳</w:t>
            </w:r>
          </w:p>
        </w:tc>
        <w:tc>
          <w:tcPr>
            <w:tcW w:w="796" w:type="dxa"/>
            <w:tcBorders>
              <w:top w:val="single" w:color="231F20" w:sz="4" w:space="0"/>
              <w:left w:val="single" w:color="231F20" w:sz="4" w:space="0"/>
              <w:right w:val="single" w:color="231F20" w:sz="4" w:space="0"/>
            </w:tcBorders>
          </w:tcPr>
          <w:p>
            <w:pPr>
              <w:pStyle w:val="11"/>
              <w:spacing w:before="209"/>
              <w:ind w:left="22" w:right="10"/>
              <w:jc w:val="center"/>
              <w:rPr>
                <w:sz w:val="15"/>
              </w:rPr>
            </w:pPr>
            <w:r>
              <w:rPr>
                <w:rFonts w:hint="eastAsia" w:ascii="MS UI Gothic" w:eastAsia="MS UI Gothic"/>
                <w:sz w:val="15"/>
              </w:rPr>
              <w:t xml:space="preserve">２ </w:t>
            </w:r>
            <w:r>
              <w:rPr>
                <w:sz w:val="15"/>
              </w:rPr>
              <w:t>年</w:t>
            </w:r>
          </w:p>
        </w:tc>
        <w:tc>
          <w:tcPr>
            <w:tcW w:w="4305" w:type="dxa"/>
            <w:vMerge w:val="continue"/>
            <w:tcBorders>
              <w:top w:val="nil"/>
              <w:left w:val="single" w:color="231F20" w:sz="4" w:space="0"/>
            </w:tcBorders>
          </w:tcPr>
          <w:p>
            <w:pPr>
              <w:rPr>
                <w:sz w:val="2"/>
                <w:szCs w:val="2"/>
              </w:rPr>
            </w:pPr>
          </w:p>
        </w:tc>
      </w:tr>
    </w:tbl>
    <w:p>
      <w:pPr>
        <w:spacing w:after="0"/>
        <w:rPr>
          <w:sz w:val="2"/>
          <w:szCs w:val="2"/>
        </w:rPr>
        <w:sectPr>
          <w:type w:val="continuous"/>
          <w:pgSz w:w="10500" w:h="14750"/>
          <w:pgMar w:top="1400" w:right="980" w:bottom="280" w:left="980" w:header="720" w:footer="720" w:gutter="0"/>
        </w:sectPr>
      </w:pPr>
    </w:p>
    <w:p>
      <w:pPr>
        <w:pStyle w:val="6"/>
        <w:spacing w:before="159"/>
        <w:ind w:left="280" w:firstLine="0"/>
        <w:jc w:val="left"/>
        <w:rPr>
          <w:rFonts w:hint="eastAsia" w:ascii="MS UI Gothic" w:eastAsia="MS UI Gothic"/>
        </w:rPr>
      </w:pPr>
      <w:r>
        <w:pict>
          <v:shape id="_x0000_s1937" o:spid="_x0000_s1937" style="position:absolute;left:0pt;margin-left:0pt;margin-top:700.1pt;height:1.75pt;width:398.25pt;mso-position-horizontal-relative:page;z-index:252026880;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３０４</w:t>
      </w:r>
    </w:p>
    <w:p>
      <w:pPr>
        <w:spacing w:before="192"/>
        <w:ind w:left="215" w:right="2695" w:firstLine="0"/>
        <w:jc w:val="center"/>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ind w:left="215" w:right="2695" w:firstLine="0"/>
        <w:jc w:val="center"/>
        <w:rPr>
          <w:rFonts w:hint="eastAsia" w:ascii="Microsoft Yi Baiti" w:eastAsia="Microsoft Yi Baiti"/>
        </w:rPr>
      </w:pPr>
      <w:r>
        <w:rPr>
          <w:w w:val="90"/>
        </w:rPr>
        <w:t xml:space="preserve">表 </w:t>
      </w:r>
      <w:r>
        <w:rPr>
          <w:rFonts w:hint="eastAsia" w:ascii="MS UI Gothic" w:eastAsia="MS UI Gothic"/>
          <w:w w:val="90"/>
        </w:rPr>
        <w:t xml:space="preserve">１１ </w:t>
      </w:r>
      <w:r>
        <w:rPr>
          <w:rFonts w:hint="eastAsia" w:ascii="Microsoft Yi Baiti" w:eastAsia="Microsoft Yi Baiti"/>
          <w:w w:val="90"/>
        </w:rPr>
        <w:t xml:space="preserve">( </w:t>
      </w:r>
      <w:r>
        <w:rPr>
          <w:w w:val="90"/>
        </w:rPr>
        <w:t>续</w:t>
      </w:r>
      <w:r>
        <w:rPr>
          <w:rFonts w:hint="eastAsia" w:ascii="Microsoft Yi Baiti" w:eastAsia="Microsoft Yi Baiti"/>
          <w:w w:val="90"/>
        </w:rPr>
        <w:t>)</w:t>
      </w:r>
    </w:p>
    <w:p>
      <w:pPr>
        <w:spacing w:after="0"/>
        <w:jc w:val="center"/>
        <w:rPr>
          <w:rFonts w:hint="eastAsia" w:ascii="Microsoft Yi Baiti" w:eastAsia="Microsoft Yi Baiti"/>
        </w:rPr>
        <w:sectPr>
          <w:pgSz w:w="10500" w:h="14750"/>
          <w:pgMar w:top="960" w:right="980" w:bottom="280" w:left="980" w:header="720" w:footer="720" w:gutter="0"/>
          <w:cols w:equalWidth="0" w:num="2">
            <w:col w:w="1050" w:space="1096"/>
            <w:col w:w="6394"/>
          </w:cols>
        </w:sectPr>
      </w:pPr>
    </w:p>
    <w:p>
      <w:pPr>
        <w:pStyle w:val="6"/>
        <w:spacing w:before="6"/>
        <w:ind w:left="0" w:firstLine="0"/>
        <w:jc w:val="left"/>
        <w:rPr>
          <w:rFonts w:ascii="Microsoft Yi Baiti"/>
          <w:sz w:val="7"/>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77"/>
        <w:gridCol w:w="2387"/>
        <w:gridCol w:w="796"/>
        <w:gridCol w:w="4305"/>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477" w:type="dxa"/>
            <w:tcBorders>
              <w:bottom w:val="single" w:color="231F20" w:sz="4" w:space="0"/>
              <w:right w:val="single" w:color="231F20" w:sz="4" w:space="0"/>
            </w:tcBorders>
          </w:tcPr>
          <w:p>
            <w:pPr>
              <w:pStyle w:val="11"/>
              <w:spacing w:before="50"/>
              <w:ind w:left="58" w:right="48"/>
              <w:jc w:val="center"/>
              <w:rPr>
                <w:sz w:val="15"/>
              </w:rPr>
            </w:pPr>
            <w:r>
              <w:rPr>
                <w:w w:val="105"/>
                <w:sz w:val="15"/>
              </w:rPr>
              <w:t>项目</w:t>
            </w:r>
          </w:p>
        </w:tc>
        <w:tc>
          <w:tcPr>
            <w:tcW w:w="2387" w:type="dxa"/>
            <w:tcBorders>
              <w:left w:val="single" w:color="231F20" w:sz="4" w:space="0"/>
              <w:bottom w:val="single" w:color="231F20" w:sz="4" w:space="0"/>
              <w:right w:val="single" w:color="231F20" w:sz="4" w:space="0"/>
            </w:tcBorders>
          </w:tcPr>
          <w:p>
            <w:pPr>
              <w:pStyle w:val="11"/>
              <w:spacing w:before="50"/>
              <w:ind w:left="800"/>
              <w:rPr>
                <w:sz w:val="15"/>
              </w:rPr>
            </w:pPr>
            <w:r>
              <w:rPr>
                <w:w w:val="105"/>
                <w:sz w:val="15"/>
              </w:rPr>
              <w:t>钢丝绳类别</w:t>
            </w:r>
          </w:p>
        </w:tc>
        <w:tc>
          <w:tcPr>
            <w:tcW w:w="796" w:type="dxa"/>
            <w:tcBorders>
              <w:left w:val="single" w:color="231F20" w:sz="4" w:space="0"/>
              <w:bottom w:val="single" w:color="231F20" w:sz="4" w:space="0"/>
              <w:right w:val="single" w:color="231F20" w:sz="4" w:space="0"/>
            </w:tcBorders>
          </w:tcPr>
          <w:p>
            <w:pPr>
              <w:pStyle w:val="11"/>
              <w:spacing w:before="50"/>
              <w:ind w:left="25" w:right="10"/>
              <w:jc w:val="center"/>
              <w:rPr>
                <w:sz w:val="15"/>
              </w:rPr>
            </w:pPr>
            <w:r>
              <w:rPr>
                <w:w w:val="105"/>
                <w:sz w:val="15"/>
              </w:rPr>
              <w:t>报废标准</w:t>
            </w:r>
          </w:p>
        </w:tc>
        <w:tc>
          <w:tcPr>
            <w:tcW w:w="4305" w:type="dxa"/>
            <w:tcBorders>
              <w:left w:val="single" w:color="231F20" w:sz="4" w:space="0"/>
              <w:bottom w:val="single" w:color="231F20" w:sz="4" w:space="0"/>
            </w:tcBorders>
          </w:tcPr>
          <w:p>
            <w:pPr>
              <w:pStyle w:val="11"/>
              <w:spacing w:before="50"/>
              <w:ind w:left="20"/>
              <w:jc w:val="center"/>
              <w:rPr>
                <w:sz w:val="15"/>
              </w:rPr>
            </w:pPr>
            <w:r>
              <w:rPr>
                <w:w w:val="105"/>
                <w:sz w:val="15"/>
              </w:rPr>
              <w:t>说  明</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477" w:type="dxa"/>
            <w:vMerge w:val="restart"/>
            <w:tcBorders>
              <w:top w:val="single" w:color="231F20" w:sz="4" w:space="0"/>
              <w:bottom w:val="single" w:color="231F20" w:sz="4" w:space="0"/>
              <w:right w:val="single" w:color="231F20" w:sz="4" w:space="0"/>
            </w:tcBorders>
          </w:tcPr>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spacing w:before="142"/>
              <w:ind w:left="79"/>
              <w:rPr>
                <w:sz w:val="15"/>
              </w:rPr>
            </w:pPr>
            <w:r>
              <w:rPr>
                <w:w w:val="105"/>
                <w:sz w:val="15"/>
              </w:rPr>
              <w:t>断丝</w:t>
            </w:r>
          </w:p>
        </w:tc>
        <w:tc>
          <w:tcPr>
            <w:tcW w:w="2387"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59"/>
              <w:rPr>
                <w:sz w:val="15"/>
              </w:rPr>
            </w:pPr>
            <w:r>
              <w:rPr>
                <w:sz w:val="15"/>
              </w:rPr>
              <w:t>断丝升降人员或者升降人员</w:t>
            </w:r>
            <w:r>
              <w:rPr>
                <w:w w:val="105"/>
                <w:sz w:val="15"/>
              </w:rPr>
              <w:t>和物料用钢丝绳</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214"/>
              <w:ind w:left="216" w:right="226"/>
              <w:jc w:val="center"/>
              <w:rPr>
                <w:sz w:val="15"/>
              </w:rPr>
            </w:pPr>
            <w:r>
              <w:rPr>
                <w:rFonts w:hint="eastAsia" w:ascii="MS UI Gothic" w:eastAsia="MS UI Gothic"/>
                <w:w w:val="85"/>
                <w:sz w:val="15"/>
              </w:rPr>
              <w:t>５</w:t>
            </w:r>
            <w:r>
              <w:rPr>
                <w:w w:val="85"/>
                <w:sz w:val="15"/>
              </w:rPr>
              <w:t>％</w:t>
            </w:r>
          </w:p>
        </w:tc>
        <w:tc>
          <w:tcPr>
            <w:tcW w:w="4305" w:type="dxa"/>
            <w:vMerge w:val="restart"/>
            <w:tcBorders>
              <w:top w:val="single" w:color="231F20" w:sz="4" w:space="0"/>
              <w:left w:val="single" w:color="231F20" w:sz="4" w:space="0"/>
              <w:bottom w:val="single" w:color="231F20" w:sz="4" w:space="0"/>
            </w:tcBorders>
          </w:tcPr>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rPr>
                <w:rFonts w:ascii="Microsoft Yi Baiti"/>
                <w:sz w:val="19"/>
              </w:rPr>
            </w:pPr>
          </w:p>
          <w:p>
            <w:pPr>
              <w:pStyle w:val="11"/>
              <w:spacing w:line="328" w:lineRule="auto"/>
              <w:ind w:left="109" w:right="87" w:firstLine="159"/>
              <w:rPr>
                <w:sz w:val="15"/>
              </w:rPr>
            </w:pPr>
            <w:r>
              <w:rPr>
                <w:sz w:val="15"/>
              </w:rPr>
              <w:t xml:space="preserve">各种股捻钢丝绳在 </w:t>
            </w:r>
            <w:r>
              <w:rPr>
                <w:rFonts w:hint="eastAsia" w:ascii="MS UI Gothic" w:eastAsia="MS UI Gothic"/>
                <w:sz w:val="15"/>
              </w:rPr>
              <w:t xml:space="preserve">１ </w:t>
            </w:r>
            <w:r>
              <w:rPr>
                <w:sz w:val="15"/>
              </w:rPr>
              <w:t>个捻距内断丝断面积与钢丝总断面积之比</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899" w:hRule="atLeast"/>
        </w:trPr>
        <w:tc>
          <w:tcPr>
            <w:tcW w:w="477" w:type="dxa"/>
            <w:vMerge w:val="continue"/>
            <w:tcBorders>
              <w:top w:val="nil"/>
              <w:bottom w:val="single" w:color="231F20" w:sz="4" w:space="0"/>
              <w:right w:val="single" w:color="231F20" w:sz="4" w:space="0"/>
            </w:tcBorders>
          </w:tcPr>
          <w:p>
            <w:pPr>
              <w:rPr>
                <w:sz w:val="2"/>
                <w:szCs w:val="2"/>
              </w:rPr>
            </w:pPr>
          </w:p>
        </w:tc>
        <w:tc>
          <w:tcPr>
            <w:tcW w:w="2387" w:type="dxa"/>
            <w:tcBorders>
              <w:top w:val="single" w:color="231F20" w:sz="4" w:space="0"/>
              <w:left w:val="single" w:color="231F20" w:sz="4" w:space="0"/>
              <w:bottom w:val="single" w:color="231F20" w:sz="4" w:space="0"/>
              <w:right w:val="single" w:color="231F20" w:sz="4" w:space="0"/>
            </w:tcBorders>
          </w:tcPr>
          <w:p>
            <w:pPr>
              <w:pStyle w:val="11"/>
              <w:spacing w:before="6"/>
              <w:rPr>
                <w:rFonts w:ascii="Microsoft Yi Baiti"/>
                <w:sz w:val="18"/>
              </w:rPr>
            </w:pPr>
          </w:p>
          <w:p>
            <w:pPr>
              <w:pStyle w:val="11"/>
              <w:spacing w:line="328" w:lineRule="auto"/>
              <w:ind w:left="109" w:right="89" w:firstLine="159"/>
              <w:jc w:val="both"/>
              <w:rPr>
                <w:sz w:val="15"/>
              </w:rPr>
            </w:pPr>
            <w:r>
              <w:rPr>
                <w:sz w:val="15"/>
              </w:rPr>
              <w:t>专为升降物料用的钢丝绳</w:t>
            </w:r>
            <w:r>
              <w:rPr>
                <w:rFonts w:hint="eastAsia" w:ascii="MS UI Gothic" w:eastAsia="MS UI Gothic"/>
                <w:sz w:val="15"/>
              </w:rPr>
              <w:t>、</w:t>
            </w:r>
            <w:r>
              <w:rPr>
                <w:w w:val="105"/>
                <w:sz w:val="15"/>
              </w:rPr>
              <w:t>平衡钢丝绳</w:t>
            </w:r>
            <w:r>
              <w:rPr>
                <w:rFonts w:hint="eastAsia" w:ascii="MS UI Gothic" w:eastAsia="MS UI Gothic"/>
                <w:sz w:val="15"/>
              </w:rPr>
              <w:t xml:space="preserve">、 </w:t>
            </w:r>
            <w:r>
              <w:rPr>
                <w:w w:val="105"/>
                <w:sz w:val="15"/>
              </w:rPr>
              <w:t xml:space="preserve">防坠器的制动钢丝绳 </w:t>
            </w:r>
            <w:r>
              <w:rPr>
                <w:rFonts w:hint="eastAsia" w:ascii="MS UI Gothic" w:eastAsia="MS UI Gothic"/>
                <w:w w:val="150"/>
                <w:sz w:val="15"/>
              </w:rPr>
              <w:t xml:space="preserve">( </w:t>
            </w:r>
            <w:r>
              <w:rPr>
                <w:w w:val="105"/>
                <w:sz w:val="15"/>
              </w:rPr>
              <w:t>包括缓冲绳</w:t>
            </w:r>
            <w:r>
              <w:rPr>
                <w:rFonts w:hint="eastAsia" w:ascii="MS UI Gothic" w:eastAsia="MS UI Gothic"/>
                <w:w w:val="150"/>
                <w:sz w:val="15"/>
              </w:rPr>
              <w:t>)</w:t>
            </w:r>
            <w:r>
              <w:rPr>
                <w:rFonts w:hint="eastAsia" w:ascii="MS UI Gothic" w:eastAsia="MS UI Gothic"/>
                <w:sz w:val="15"/>
              </w:rPr>
              <w:t xml:space="preserve">、 </w:t>
            </w:r>
            <w:r>
              <w:rPr>
                <w:w w:val="105"/>
                <w:sz w:val="15"/>
              </w:rPr>
              <w:t>兼作运</w:t>
            </w:r>
            <w:r>
              <w:rPr>
                <w:sz w:val="15"/>
              </w:rPr>
              <w:t>人的钢丝绳牵引带式输送机的钢丝绳和架空乘人装置的钢</w:t>
            </w:r>
            <w:r>
              <w:rPr>
                <w:w w:val="105"/>
                <w:sz w:val="15"/>
              </w:rPr>
              <w:t>丝绳</w:t>
            </w:r>
          </w:p>
        </w:tc>
        <w:tc>
          <w:tcPr>
            <w:tcW w:w="796" w:type="dxa"/>
            <w:tcBorders>
              <w:top w:val="single" w:color="231F20" w:sz="4" w:space="0"/>
              <w:left w:val="single" w:color="231F20" w:sz="4" w:space="0"/>
              <w:bottom w:val="single" w:color="231F20" w:sz="4" w:space="0"/>
              <w:right w:val="single" w:color="231F20" w:sz="4" w:space="0"/>
            </w:tcBorders>
          </w:tcPr>
          <w:p>
            <w:pPr>
              <w:pStyle w:val="11"/>
              <w:rPr>
                <w:rFonts w:ascii="Microsoft Yi Baiti"/>
                <w:sz w:val="36"/>
              </w:rPr>
            </w:pPr>
          </w:p>
          <w:p>
            <w:pPr>
              <w:pStyle w:val="11"/>
              <w:spacing w:before="9"/>
              <w:rPr>
                <w:rFonts w:ascii="Microsoft Yi Baiti"/>
                <w:sz w:val="46"/>
              </w:rPr>
            </w:pPr>
          </w:p>
          <w:p>
            <w:pPr>
              <w:pStyle w:val="11"/>
              <w:ind w:left="11" w:right="21"/>
              <w:jc w:val="center"/>
              <w:rPr>
                <w:sz w:val="15"/>
              </w:rPr>
            </w:pPr>
            <w:r>
              <w:rPr>
                <w:rFonts w:hint="eastAsia" w:ascii="MS UI Gothic" w:eastAsia="MS UI Gothic"/>
                <w:w w:val="85"/>
                <w:sz w:val="15"/>
              </w:rPr>
              <w:t>１０</w:t>
            </w:r>
            <w:r>
              <w:rPr>
                <w:w w:val="85"/>
                <w:sz w:val="15"/>
              </w:rPr>
              <w:t>％</w:t>
            </w:r>
          </w:p>
        </w:tc>
        <w:tc>
          <w:tcPr>
            <w:tcW w:w="4305"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477" w:type="dxa"/>
            <w:vMerge w:val="continue"/>
            <w:tcBorders>
              <w:top w:val="nil"/>
              <w:bottom w:val="single" w:color="231F20" w:sz="4" w:space="0"/>
              <w:right w:val="single" w:color="231F20" w:sz="4" w:space="0"/>
            </w:tcBorders>
          </w:tcPr>
          <w:p>
            <w:pPr>
              <w:rPr>
                <w:sz w:val="2"/>
                <w:szCs w:val="2"/>
              </w:rPr>
            </w:pPr>
          </w:p>
        </w:tc>
        <w:tc>
          <w:tcPr>
            <w:tcW w:w="2387"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w w:val="105"/>
                <w:sz w:val="15"/>
              </w:rPr>
              <w:t>罐道钢丝绳</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55"/>
              <w:ind w:left="11" w:right="21"/>
              <w:jc w:val="center"/>
              <w:rPr>
                <w:sz w:val="15"/>
              </w:rPr>
            </w:pPr>
            <w:r>
              <w:rPr>
                <w:rFonts w:hint="eastAsia" w:ascii="MS UI Gothic" w:eastAsia="MS UI Gothic"/>
                <w:w w:val="85"/>
                <w:sz w:val="15"/>
              </w:rPr>
              <w:t>１５</w:t>
            </w:r>
            <w:r>
              <w:rPr>
                <w:w w:val="85"/>
                <w:sz w:val="15"/>
              </w:rPr>
              <w:t>％</w:t>
            </w:r>
          </w:p>
        </w:tc>
        <w:tc>
          <w:tcPr>
            <w:tcW w:w="4305"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477" w:type="dxa"/>
            <w:vMerge w:val="continue"/>
            <w:tcBorders>
              <w:top w:val="nil"/>
              <w:bottom w:val="single" w:color="231F20" w:sz="4" w:space="0"/>
              <w:right w:val="single" w:color="231F20" w:sz="4" w:space="0"/>
            </w:tcBorders>
          </w:tcPr>
          <w:p>
            <w:pPr>
              <w:rPr>
                <w:sz w:val="2"/>
                <w:szCs w:val="2"/>
              </w:rPr>
            </w:pPr>
          </w:p>
        </w:tc>
        <w:tc>
          <w:tcPr>
            <w:tcW w:w="2387" w:type="dxa"/>
            <w:tcBorders>
              <w:top w:val="single" w:color="231F20" w:sz="4" w:space="0"/>
              <w:left w:val="single" w:color="231F20" w:sz="4" w:space="0"/>
              <w:bottom w:val="single" w:color="231F20" w:sz="4" w:space="0"/>
              <w:right w:val="single" w:color="231F20" w:sz="4" w:space="0"/>
            </w:tcBorders>
          </w:tcPr>
          <w:p>
            <w:pPr>
              <w:pStyle w:val="11"/>
              <w:spacing w:before="110" w:line="328" w:lineRule="auto"/>
              <w:ind w:left="109" w:right="91" w:firstLine="159"/>
              <w:jc w:val="both"/>
              <w:rPr>
                <w:sz w:val="15"/>
              </w:rPr>
            </w:pPr>
            <w:r>
              <w:rPr>
                <w:sz w:val="15"/>
              </w:rPr>
              <w:t>无极绳运输和专为运物料的钢丝绳牵引带式输送机用的钢</w:t>
            </w:r>
            <w:r>
              <w:rPr>
                <w:w w:val="105"/>
                <w:sz w:val="15"/>
              </w:rPr>
              <w:t>丝绳</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4"/>
              <w:rPr>
                <w:rFonts w:ascii="Microsoft Yi Baiti"/>
                <w:sz w:val="36"/>
              </w:rPr>
            </w:pPr>
          </w:p>
          <w:p>
            <w:pPr>
              <w:pStyle w:val="11"/>
              <w:ind w:left="11" w:right="21"/>
              <w:jc w:val="center"/>
              <w:rPr>
                <w:sz w:val="15"/>
              </w:rPr>
            </w:pPr>
            <w:r>
              <w:rPr>
                <w:rFonts w:hint="eastAsia" w:ascii="MS UI Gothic" w:eastAsia="MS UI Gothic"/>
                <w:w w:val="85"/>
                <w:sz w:val="15"/>
              </w:rPr>
              <w:t>２５</w:t>
            </w:r>
            <w:r>
              <w:rPr>
                <w:w w:val="85"/>
                <w:sz w:val="15"/>
              </w:rPr>
              <w:t>％</w:t>
            </w:r>
          </w:p>
        </w:tc>
        <w:tc>
          <w:tcPr>
            <w:tcW w:w="4305"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477" w:type="dxa"/>
            <w:vMerge w:val="restart"/>
            <w:tcBorders>
              <w:top w:val="single" w:color="231F20" w:sz="4" w:space="0"/>
              <w:bottom w:val="single" w:color="231F20" w:sz="4" w:space="0"/>
              <w:right w:val="single" w:color="231F20" w:sz="4" w:space="0"/>
            </w:tcBorders>
          </w:tcPr>
          <w:p>
            <w:pPr>
              <w:pStyle w:val="11"/>
              <w:rPr>
                <w:rFonts w:ascii="Microsoft Yi Baiti"/>
                <w:sz w:val="18"/>
              </w:rPr>
            </w:pPr>
          </w:p>
          <w:p>
            <w:pPr>
              <w:pStyle w:val="11"/>
              <w:rPr>
                <w:rFonts w:ascii="Microsoft Yi Baiti"/>
                <w:sz w:val="21"/>
              </w:rPr>
            </w:pPr>
          </w:p>
          <w:p>
            <w:pPr>
              <w:pStyle w:val="11"/>
              <w:spacing w:line="328" w:lineRule="auto"/>
              <w:ind w:left="79" w:right="66"/>
              <w:rPr>
                <w:sz w:val="15"/>
              </w:rPr>
            </w:pPr>
            <w:r>
              <w:rPr>
                <w:w w:val="105"/>
                <w:sz w:val="15"/>
              </w:rPr>
              <w:t>直径缩小</w:t>
            </w:r>
          </w:p>
        </w:tc>
        <w:tc>
          <w:tcPr>
            <w:tcW w:w="2387"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109" w:right="91" w:firstLine="159"/>
              <w:rPr>
                <w:sz w:val="15"/>
              </w:rPr>
            </w:pPr>
            <w:r>
              <w:rPr>
                <w:sz w:val="15"/>
              </w:rPr>
              <w:t>提升钢丝绳</w:t>
            </w:r>
            <w:r>
              <w:rPr>
                <w:rFonts w:hint="eastAsia" w:ascii="MS UI Gothic" w:eastAsia="MS UI Gothic"/>
                <w:sz w:val="15"/>
              </w:rPr>
              <w:t xml:space="preserve">、 </w:t>
            </w:r>
            <w:r>
              <w:rPr>
                <w:sz w:val="15"/>
              </w:rPr>
              <w:t>架空乘人装置或者制动钢丝绳</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214"/>
              <w:ind w:left="11" w:right="21"/>
              <w:jc w:val="center"/>
              <w:rPr>
                <w:sz w:val="15"/>
              </w:rPr>
            </w:pPr>
            <w:r>
              <w:rPr>
                <w:rFonts w:hint="eastAsia" w:ascii="MS UI Gothic" w:eastAsia="MS UI Gothic"/>
                <w:w w:val="85"/>
                <w:sz w:val="15"/>
              </w:rPr>
              <w:t>１０</w:t>
            </w:r>
            <w:r>
              <w:rPr>
                <w:w w:val="85"/>
                <w:sz w:val="15"/>
              </w:rPr>
              <w:t>％</w:t>
            </w:r>
          </w:p>
        </w:tc>
        <w:tc>
          <w:tcPr>
            <w:tcW w:w="4305" w:type="dxa"/>
            <w:vMerge w:val="restart"/>
            <w:tcBorders>
              <w:top w:val="single" w:color="231F20" w:sz="4" w:space="0"/>
              <w:left w:val="single" w:color="231F20" w:sz="4" w:space="0"/>
              <w:bottom w:val="single" w:color="231F20" w:sz="4" w:space="0"/>
            </w:tcBorders>
          </w:tcPr>
          <w:p>
            <w:pPr>
              <w:pStyle w:val="11"/>
              <w:spacing w:before="269"/>
              <w:ind w:left="264"/>
              <w:rPr>
                <w:sz w:val="15"/>
              </w:rPr>
            </w:pPr>
            <w:r>
              <w:rPr>
                <w:rFonts w:hint="eastAsia" w:ascii="MS UI Gothic" w:eastAsia="MS UI Gothic"/>
                <w:sz w:val="15"/>
              </w:rPr>
              <w:t xml:space="preserve">１ </w:t>
            </w:r>
            <w:r>
              <w:rPr>
                <w:sz w:val="15"/>
              </w:rPr>
              <w:t>以钢丝绳公称直径为准计算的直径减小量</w:t>
            </w:r>
          </w:p>
          <w:p>
            <w:pPr>
              <w:pStyle w:val="11"/>
              <w:spacing w:before="71"/>
              <w:ind w:left="262"/>
              <w:rPr>
                <w:sz w:val="15"/>
              </w:rPr>
            </w:pPr>
            <w:r>
              <w:rPr>
                <w:rFonts w:hint="eastAsia" w:ascii="MS UI Gothic" w:eastAsia="MS UI Gothic"/>
                <w:w w:val="95"/>
                <w:sz w:val="15"/>
              </w:rPr>
              <w:t xml:space="preserve">２ </w:t>
            </w:r>
            <w:r>
              <w:rPr>
                <w:w w:val="95"/>
                <w:sz w:val="15"/>
              </w:rPr>
              <w:t>使用密封式钢丝绳时</w:t>
            </w:r>
            <w:r>
              <w:rPr>
                <w:rFonts w:hint="eastAsia" w:ascii="MS UI Gothic" w:eastAsia="MS UI Gothic"/>
                <w:w w:val="90"/>
                <w:sz w:val="15"/>
              </w:rPr>
              <w:t xml:space="preserve">ꎬ </w:t>
            </w:r>
            <w:r>
              <w:rPr>
                <w:w w:val="95"/>
                <w:sz w:val="15"/>
              </w:rPr>
              <w:t xml:space="preserve">外层钢丝厚度磨损量达到 </w:t>
            </w:r>
            <w:r>
              <w:rPr>
                <w:rFonts w:hint="eastAsia" w:ascii="MS UI Gothic" w:eastAsia="MS UI Gothic"/>
                <w:w w:val="95"/>
                <w:sz w:val="15"/>
              </w:rPr>
              <w:t>５０</w:t>
            </w:r>
            <w:r>
              <w:rPr>
                <w:w w:val="95"/>
                <w:sz w:val="15"/>
              </w:rPr>
              <w:t>％</w:t>
            </w:r>
          </w:p>
          <w:p>
            <w:pPr>
              <w:pStyle w:val="11"/>
              <w:spacing w:before="72"/>
              <w:ind w:left="109"/>
              <w:rPr>
                <w:sz w:val="15"/>
              </w:rPr>
            </w:pPr>
            <w:r>
              <w:rPr>
                <w:sz w:val="15"/>
              </w:rPr>
              <w:t>时</w:t>
            </w:r>
            <w:r>
              <w:rPr>
                <w:rFonts w:hint="eastAsia" w:ascii="MS UI Gothic" w:eastAsia="MS UI Gothic"/>
                <w:w w:val="80"/>
                <w:sz w:val="15"/>
              </w:rPr>
              <w:t xml:space="preserve">ꎬ </w:t>
            </w:r>
            <w:r>
              <w:rPr>
                <w:sz w:val="15"/>
              </w:rPr>
              <w:t>应当更换</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477" w:type="dxa"/>
            <w:vMerge w:val="continue"/>
            <w:tcBorders>
              <w:top w:val="nil"/>
              <w:bottom w:val="single" w:color="231F20" w:sz="4" w:space="0"/>
              <w:right w:val="single" w:color="231F20" w:sz="4" w:space="0"/>
            </w:tcBorders>
          </w:tcPr>
          <w:p>
            <w:pPr>
              <w:rPr>
                <w:sz w:val="2"/>
                <w:szCs w:val="2"/>
              </w:rPr>
            </w:pPr>
          </w:p>
        </w:tc>
        <w:tc>
          <w:tcPr>
            <w:tcW w:w="2387" w:type="dxa"/>
            <w:tcBorders>
              <w:top w:val="single" w:color="231F20" w:sz="4" w:space="0"/>
              <w:left w:val="single" w:color="231F20" w:sz="4" w:space="0"/>
              <w:bottom w:val="single" w:color="231F20" w:sz="4" w:space="0"/>
              <w:right w:val="single" w:color="231F20" w:sz="4" w:space="0"/>
            </w:tcBorders>
          </w:tcPr>
          <w:p>
            <w:pPr>
              <w:pStyle w:val="11"/>
              <w:spacing w:before="9"/>
              <w:rPr>
                <w:rFonts w:ascii="Microsoft Yi Baiti"/>
                <w:sz w:val="20"/>
              </w:rPr>
            </w:pPr>
          </w:p>
          <w:p>
            <w:pPr>
              <w:pStyle w:val="11"/>
              <w:ind w:left="268"/>
              <w:rPr>
                <w:sz w:val="15"/>
              </w:rPr>
            </w:pPr>
            <w:r>
              <w:rPr>
                <w:w w:val="105"/>
                <w:sz w:val="15"/>
              </w:rPr>
              <w:t>罐道钢丝绳</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214"/>
              <w:ind w:left="11" w:right="21"/>
              <w:jc w:val="center"/>
              <w:rPr>
                <w:sz w:val="15"/>
              </w:rPr>
            </w:pPr>
            <w:r>
              <w:rPr>
                <w:rFonts w:hint="eastAsia" w:ascii="MS UI Gothic" w:eastAsia="MS UI Gothic"/>
                <w:w w:val="85"/>
                <w:sz w:val="15"/>
              </w:rPr>
              <w:t>１５</w:t>
            </w:r>
            <w:r>
              <w:rPr>
                <w:w w:val="85"/>
                <w:sz w:val="15"/>
              </w:rPr>
              <w:t>％</w:t>
            </w:r>
          </w:p>
        </w:tc>
        <w:tc>
          <w:tcPr>
            <w:tcW w:w="4305"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576" w:hRule="atLeast"/>
        </w:trPr>
        <w:tc>
          <w:tcPr>
            <w:tcW w:w="477" w:type="dxa"/>
            <w:tcBorders>
              <w:top w:val="single" w:color="231F20" w:sz="4" w:space="0"/>
              <w:right w:val="single" w:color="231F20" w:sz="4" w:space="0"/>
            </w:tcBorders>
          </w:tcPr>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spacing w:before="137"/>
              <w:ind w:left="58" w:right="48"/>
              <w:jc w:val="center"/>
              <w:rPr>
                <w:sz w:val="15"/>
              </w:rPr>
            </w:pPr>
            <w:r>
              <w:rPr>
                <w:w w:val="105"/>
                <w:sz w:val="15"/>
              </w:rPr>
              <w:t>锈蚀</w:t>
            </w:r>
          </w:p>
        </w:tc>
        <w:tc>
          <w:tcPr>
            <w:tcW w:w="3183" w:type="dxa"/>
            <w:gridSpan w:val="2"/>
            <w:tcBorders>
              <w:top w:val="single" w:color="231F20" w:sz="4" w:space="0"/>
              <w:left w:val="single" w:color="231F20" w:sz="4" w:space="0"/>
              <w:right w:val="single" w:color="231F20" w:sz="4" w:space="0"/>
            </w:tcBorders>
          </w:tcPr>
          <w:p>
            <w:pPr>
              <w:pStyle w:val="11"/>
              <w:rPr>
                <w:rFonts w:ascii="Microsoft Yi Baiti"/>
                <w:sz w:val="18"/>
              </w:rPr>
            </w:pPr>
          </w:p>
          <w:p>
            <w:pPr>
              <w:pStyle w:val="11"/>
              <w:rPr>
                <w:rFonts w:ascii="Microsoft Yi Baiti"/>
                <w:sz w:val="18"/>
              </w:rPr>
            </w:pPr>
          </w:p>
          <w:p>
            <w:pPr>
              <w:pStyle w:val="11"/>
              <w:rPr>
                <w:rFonts w:ascii="Microsoft Yi Baiti"/>
                <w:sz w:val="18"/>
              </w:rPr>
            </w:pPr>
          </w:p>
          <w:p>
            <w:pPr>
              <w:pStyle w:val="11"/>
              <w:spacing w:before="137"/>
              <w:ind w:left="268"/>
              <w:rPr>
                <w:sz w:val="15"/>
              </w:rPr>
            </w:pPr>
            <w:r>
              <w:rPr>
                <w:w w:val="105"/>
                <w:sz w:val="15"/>
              </w:rPr>
              <w:t>各类钢丝绳</w:t>
            </w:r>
          </w:p>
        </w:tc>
        <w:tc>
          <w:tcPr>
            <w:tcW w:w="4305" w:type="dxa"/>
            <w:tcBorders>
              <w:top w:val="single" w:color="231F20" w:sz="4" w:space="0"/>
              <w:left w:val="single" w:color="231F20" w:sz="4" w:space="0"/>
            </w:tcBorders>
          </w:tcPr>
          <w:p>
            <w:pPr>
              <w:pStyle w:val="11"/>
              <w:spacing w:before="10"/>
              <w:rPr>
                <w:rFonts w:ascii="Microsoft Yi Baiti"/>
                <w:sz w:val="15"/>
              </w:rPr>
            </w:pPr>
          </w:p>
          <w:p>
            <w:pPr>
              <w:pStyle w:val="11"/>
              <w:spacing w:line="328" w:lineRule="auto"/>
              <w:ind w:left="109" w:right="87" w:firstLine="155"/>
              <w:jc w:val="both"/>
              <w:rPr>
                <w:sz w:val="15"/>
              </w:rPr>
            </w:pPr>
            <w:r>
              <w:rPr>
                <w:rFonts w:hint="eastAsia" w:ascii="MS UI Gothic" w:eastAsia="MS UI Gothic"/>
                <w:sz w:val="15"/>
              </w:rPr>
              <w:t xml:space="preserve">１ </w:t>
            </w:r>
            <w:r>
              <w:rPr>
                <w:sz w:val="15"/>
              </w:rPr>
              <w:t>钢丝出现变黑</w:t>
            </w:r>
            <w:r>
              <w:rPr>
                <w:rFonts w:hint="eastAsia" w:ascii="MS UI Gothic" w:eastAsia="MS UI Gothic"/>
                <w:sz w:val="15"/>
              </w:rPr>
              <w:t xml:space="preserve">、 </w:t>
            </w:r>
            <w:r>
              <w:rPr>
                <w:sz w:val="15"/>
              </w:rPr>
              <w:t>锈皮</w:t>
            </w:r>
            <w:r>
              <w:rPr>
                <w:rFonts w:hint="eastAsia" w:ascii="MS UI Gothic" w:eastAsia="MS UI Gothic"/>
                <w:sz w:val="15"/>
              </w:rPr>
              <w:t xml:space="preserve">、 </w:t>
            </w:r>
            <w:r>
              <w:rPr>
                <w:sz w:val="15"/>
              </w:rPr>
              <w:t>点蚀麻坑等损伤时</w:t>
            </w:r>
            <w:r>
              <w:rPr>
                <w:rFonts w:hint="eastAsia" w:ascii="MS UI Gothic" w:eastAsia="MS UI Gothic"/>
                <w:w w:val="85"/>
                <w:sz w:val="15"/>
              </w:rPr>
              <w:t xml:space="preserve">ꎬ </w:t>
            </w:r>
            <w:r>
              <w:rPr>
                <w:sz w:val="15"/>
              </w:rPr>
              <w:t>不得再用作升降人员</w:t>
            </w:r>
          </w:p>
          <w:p>
            <w:pPr>
              <w:pStyle w:val="11"/>
              <w:spacing w:before="1" w:line="328" w:lineRule="auto"/>
              <w:ind w:left="109" w:right="87" w:firstLine="155"/>
              <w:jc w:val="both"/>
              <w:rPr>
                <w:sz w:val="15"/>
              </w:rPr>
            </w:pPr>
            <w:r>
              <w:rPr>
                <w:rFonts w:hint="eastAsia" w:ascii="MS UI Gothic" w:eastAsia="MS UI Gothic"/>
                <w:sz w:val="15"/>
              </w:rPr>
              <w:t xml:space="preserve">２ </w:t>
            </w:r>
            <w:r>
              <w:rPr>
                <w:sz w:val="15"/>
              </w:rPr>
              <w:t>钢丝绳锈蚀严重</w:t>
            </w:r>
            <w:r>
              <w:rPr>
                <w:rFonts w:hint="eastAsia" w:ascii="MS UI Gothic" w:eastAsia="MS UI Gothic"/>
                <w:w w:val="85"/>
                <w:sz w:val="15"/>
              </w:rPr>
              <w:t xml:space="preserve">ꎬ </w:t>
            </w:r>
            <w:r>
              <w:rPr>
                <w:sz w:val="15"/>
              </w:rPr>
              <w:t>或者点蚀麻坑形成沟纹</w:t>
            </w:r>
            <w:r>
              <w:rPr>
                <w:rFonts w:hint="eastAsia" w:ascii="MS UI Gothic" w:eastAsia="MS UI Gothic"/>
                <w:w w:val="85"/>
                <w:sz w:val="15"/>
              </w:rPr>
              <w:t xml:space="preserve">ꎬ </w:t>
            </w:r>
            <w:r>
              <w:rPr>
                <w:sz w:val="15"/>
              </w:rPr>
              <w:t>或者外层钢丝松动时</w:t>
            </w:r>
            <w:r>
              <w:rPr>
                <w:rFonts w:hint="eastAsia" w:ascii="MS UI Gothic" w:eastAsia="MS UI Gothic"/>
                <w:w w:val="85"/>
                <w:sz w:val="15"/>
              </w:rPr>
              <w:t xml:space="preserve">ꎬ </w:t>
            </w:r>
            <w:r>
              <w:rPr>
                <w:sz w:val="15"/>
              </w:rPr>
              <w:t>不论断丝数多少或者绳径是否变化</w:t>
            </w:r>
            <w:r>
              <w:rPr>
                <w:rFonts w:hint="eastAsia" w:ascii="MS UI Gothic" w:eastAsia="MS UI Gothic"/>
                <w:w w:val="85"/>
                <w:sz w:val="15"/>
              </w:rPr>
              <w:t xml:space="preserve">ꎬ </w:t>
            </w:r>
            <w:r>
              <w:rPr>
                <w:sz w:val="15"/>
              </w:rPr>
              <w:t>应当立即更换</w:t>
            </w:r>
          </w:p>
        </w:tc>
      </w:tr>
    </w:tbl>
    <w:p>
      <w:pPr>
        <w:pStyle w:val="6"/>
        <w:spacing w:before="2"/>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175" w:line="288" w:lineRule="auto"/>
        <w:ind w:right="39"/>
        <w:jc w:val="left"/>
        <w:rPr>
          <w:rFonts w:hint="eastAsia" w:ascii="MS UI Gothic" w:eastAsia="MS UI Gothic"/>
        </w:rPr>
      </w:pPr>
      <w:r>
        <w:t>在钢丝绳使用期间</w:t>
      </w:r>
      <w:r>
        <w:rPr>
          <w:rFonts w:hint="eastAsia" w:ascii="MS UI Gothic" w:eastAsia="MS UI Gothic"/>
          <w:w w:val="80"/>
        </w:rPr>
        <w:t xml:space="preserve">ꎬ </w:t>
      </w:r>
      <w:r>
        <w:t>断丝数突然增加或者伸长突然加快</w:t>
      </w:r>
      <w:r>
        <w:rPr>
          <w:rFonts w:hint="eastAsia" w:ascii="MS UI Gothic" w:eastAsia="MS UI Gothic"/>
          <w:w w:val="80"/>
        </w:rPr>
        <w:t xml:space="preserve">ꎬ </w:t>
      </w:r>
      <w:r>
        <w:t>必须立即更换</w:t>
      </w:r>
      <w:r>
        <w:rPr>
          <w:rFonts w:hint="eastAsia" w:ascii="MS UI Gothic" w:eastAsia="MS UI Gothic"/>
          <w:w w:val="80"/>
        </w:rPr>
        <w:t>ꎮ</w:t>
      </w:r>
    </w:p>
    <w:p>
      <w:pPr>
        <w:pStyle w:val="6"/>
        <w:tabs>
          <w:tab w:val="left" w:pos="2267"/>
        </w:tabs>
        <w:spacing w:before="2" w:line="288" w:lineRule="auto"/>
        <w:ind w:right="38"/>
        <w:jc w:val="left"/>
        <w:rPr>
          <w:rFonts w:hint="eastAsia" w:ascii="MS UI Gothic" w:eastAsia="MS UI Gothic"/>
        </w:rPr>
      </w:pPr>
      <w:r>
        <w:rPr>
          <w:spacing w:val="3"/>
          <w:w w:val="105"/>
        </w:rPr>
        <w:t>第四百</w:t>
      </w:r>
      <w:r>
        <w:rPr>
          <w:spacing w:val="7"/>
          <w:w w:val="105"/>
        </w:rPr>
        <w:t>一</w:t>
      </w:r>
      <w:r>
        <w:rPr>
          <w:spacing w:val="13"/>
          <w:w w:val="105"/>
        </w:rPr>
        <w:t>十四</w:t>
      </w:r>
      <w:r>
        <w:rPr>
          <w:w w:val="105"/>
        </w:rPr>
        <w:t>条</w:t>
      </w:r>
      <w:r>
        <w:rPr>
          <w:w w:val="105"/>
        </w:rPr>
        <w:tab/>
      </w:r>
      <w:r>
        <w:rPr>
          <w:spacing w:val="13"/>
          <w:w w:val="95"/>
        </w:rPr>
        <w:t>有接头的钢丝</w:t>
      </w:r>
      <w:r>
        <w:rPr>
          <w:spacing w:val="3"/>
          <w:w w:val="95"/>
        </w:rPr>
        <w:t>绳</w:t>
      </w:r>
      <w:r>
        <w:rPr>
          <w:rFonts w:hint="eastAsia" w:ascii="MS UI Gothic" w:eastAsia="MS UI Gothic"/>
          <w:spacing w:val="-14"/>
          <w:w w:val="80"/>
        </w:rPr>
        <w:t>ꎬ</w:t>
      </w:r>
      <w:r>
        <w:rPr>
          <w:spacing w:val="3"/>
          <w:w w:val="110"/>
        </w:rPr>
        <w:t>仅限于下列设备中使用</w:t>
      </w:r>
      <w:r>
        <w:rPr>
          <w:rFonts w:hint="eastAsia" w:ascii="MS UI Gothic" w:eastAsia="MS UI Gothic"/>
          <w:w w:val="235"/>
        </w:rPr>
        <w:t>:</w:t>
      </w:r>
    </w:p>
    <w:p>
      <w:pPr>
        <w:pStyle w:val="6"/>
        <w:spacing w:before="2" w:line="288" w:lineRule="auto"/>
        <w:ind w:left="543" w:right="1466" w:firstLine="0"/>
        <w:jc w:val="left"/>
        <w:rPr>
          <w:rFonts w:hint="eastAsia" w:ascii="MS UI Gothic" w:eastAsia="MS UI Gothic"/>
        </w:rPr>
      </w:pPr>
      <w:r>
        <w:rPr>
          <w:rFonts w:hint="eastAsia" w:ascii="MS UI Gothic" w:eastAsia="MS UI Gothic"/>
          <w:spacing w:val="-35"/>
          <w:w w:val="125"/>
        </w:rPr>
        <w:t xml:space="preserve">( </w:t>
      </w:r>
      <w:r>
        <w:rPr>
          <w:spacing w:val="3"/>
          <w:w w:val="110"/>
        </w:rPr>
        <w:t>一</w:t>
      </w:r>
      <w:r>
        <w:rPr>
          <w:rFonts w:hint="eastAsia" w:ascii="MS UI Gothic" w:eastAsia="MS UI Gothic"/>
          <w:spacing w:val="-17"/>
          <w:w w:val="125"/>
        </w:rPr>
        <w:t xml:space="preserve">) </w:t>
      </w:r>
      <w:r>
        <w:rPr>
          <w:spacing w:val="3"/>
          <w:w w:val="110"/>
        </w:rPr>
        <w:t>平巷运输设备</w:t>
      </w:r>
      <w:r>
        <w:rPr>
          <w:rFonts w:hint="eastAsia" w:ascii="MS UI Gothic" w:eastAsia="MS UI Gothic"/>
          <w:w w:val="80"/>
        </w:rPr>
        <w:t>ꎮ</w:t>
      </w:r>
      <w:r>
        <w:rPr>
          <w:rFonts w:hint="eastAsia" w:ascii="MS UI Gothic" w:eastAsia="MS UI Gothic"/>
          <w:spacing w:val="-39"/>
          <w:w w:val="150"/>
        </w:rPr>
        <w:t xml:space="preserve">( </w:t>
      </w:r>
      <w:r>
        <w:rPr>
          <w:spacing w:val="3"/>
          <w:w w:val="110"/>
        </w:rPr>
        <w:t>二</w:t>
      </w:r>
      <w:r>
        <w:rPr>
          <w:rFonts w:hint="eastAsia" w:ascii="MS UI Gothic" w:eastAsia="MS UI Gothic"/>
          <w:spacing w:val="-4"/>
          <w:w w:val="150"/>
        </w:rPr>
        <w:t xml:space="preserve">) </w:t>
      </w:r>
      <w:r>
        <w:rPr>
          <w:spacing w:val="3"/>
          <w:w w:val="110"/>
        </w:rPr>
        <w:t>无极绳绞车</w:t>
      </w:r>
      <w:r>
        <w:rPr>
          <w:rFonts w:hint="eastAsia" w:ascii="MS UI Gothic" w:eastAsia="MS UI Gothic"/>
          <w:w w:val="80"/>
        </w:rPr>
        <w:t>ꎮ</w:t>
      </w:r>
    </w:p>
    <w:p>
      <w:pPr>
        <w:pStyle w:val="6"/>
        <w:spacing w:before="2"/>
        <w:ind w:left="543"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架空乘人装置</w:t>
      </w:r>
      <w:r>
        <w:rPr>
          <w:rFonts w:hint="eastAsia" w:ascii="MS UI Gothic" w:eastAsia="MS UI Gothic"/>
          <w:w w:val="80"/>
        </w:rPr>
        <w:t>ꎮ</w:t>
      </w:r>
    </w:p>
    <w:p>
      <w:pPr>
        <w:pStyle w:val="6"/>
        <w:spacing w:before="52" w:line="288" w:lineRule="auto"/>
        <w:ind w:left="118" w:right="39" w:firstLine="425"/>
        <w:rPr>
          <w:rFonts w:hint="eastAsia" w:ascii="MS UI Gothic" w:eastAsia="MS UI Gothic"/>
        </w:rPr>
      </w:pPr>
      <w:r>
        <w:rPr>
          <w:rFonts w:hint="eastAsia" w:ascii="MS UI Gothic" w:eastAsia="MS UI Gothic"/>
          <w:w w:val="140"/>
        </w:rPr>
        <w:t xml:space="preserve">( </w:t>
      </w:r>
      <w:r>
        <w:rPr>
          <w:w w:val="105"/>
        </w:rPr>
        <w:t>四</w:t>
      </w:r>
      <w:r>
        <w:rPr>
          <w:rFonts w:hint="eastAsia" w:ascii="MS UI Gothic" w:eastAsia="MS UI Gothic"/>
          <w:w w:val="140"/>
        </w:rPr>
        <w:t xml:space="preserve">) </w:t>
      </w:r>
      <w:r>
        <w:rPr>
          <w:w w:val="105"/>
        </w:rPr>
        <w:t>钢丝绳牵引带式输送机</w:t>
      </w:r>
      <w:r>
        <w:rPr>
          <w:rFonts w:hint="eastAsia" w:ascii="MS UI Gothic" w:eastAsia="MS UI Gothic"/>
          <w:w w:val="90"/>
        </w:rPr>
        <w:t xml:space="preserve">ꎮ </w:t>
      </w:r>
      <w:r>
        <w:rPr>
          <w:w w:val="105"/>
        </w:rPr>
        <w:t>钢丝</w:t>
      </w:r>
      <w:r>
        <w:t>绳接头的插接长度不得小于钢丝绳直径的</w:t>
      </w:r>
      <w:r>
        <w:rPr>
          <w:rFonts w:hint="eastAsia" w:ascii="MS UI Gothic" w:eastAsia="MS UI Gothic"/>
          <w:w w:val="90"/>
        </w:rPr>
        <w:t xml:space="preserve">１０００ </w:t>
      </w:r>
      <w:r>
        <w:rPr>
          <w:w w:val="105"/>
        </w:rPr>
        <w:t>倍</w:t>
      </w:r>
      <w:r>
        <w:rPr>
          <w:rFonts w:hint="eastAsia" w:ascii="MS UI Gothic" w:eastAsia="MS UI Gothic"/>
          <w:w w:val="90"/>
        </w:rPr>
        <w:t>ꎮ</w:t>
      </w:r>
    </w:p>
    <w:p>
      <w:pPr>
        <w:pStyle w:val="6"/>
        <w:spacing w:before="4" w:line="288" w:lineRule="auto"/>
        <w:ind w:right="39"/>
      </w:pPr>
      <w:r>
        <w:t>第四百一十五条 新安装或者大修后的防坠器</w:t>
      </w:r>
      <w:r>
        <w:rPr>
          <w:rFonts w:hint="eastAsia" w:ascii="MS UI Gothic" w:eastAsia="MS UI Gothic"/>
          <w:w w:val="80"/>
        </w:rPr>
        <w:t xml:space="preserve">ꎬ </w:t>
      </w:r>
      <w:r>
        <w:t>必须进行脱钩试验</w:t>
      </w:r>
      <w:r>
        <w:rPr>
          <w:rFonts w:hint="eastAsia" w:ascii="MS UI Gothic" w:eastAsia="MS UI Gothic"/>
          <w:w w:val="80"/>
        </w:rPr>
        <w:t xml:space="preserve">ꎬ </w:t>
      </w:r>
      <w:r>
        <w:t>合格后方可使用</w:t>
      </w:r>
      <w:r>
        <w:rPr>
          <w:rFonts w:hint="eastAsia" w:ascii="MS UI Gothic" w:eastAsia="MS UI Gothic"/>
          <w:w w:val="80"/>
        </w:rPr>
        <w:t xml:space="preserve">ꎮ </w:t>
      </w:r>
      <w:r>
        <w:t>对使用中的立井罐笼防坠器</w:t>
      </w:r>
      <w:r>
        <w:rPr>
          <w:rFonts w:hint="eastAsia" w:ascii="MS UI Gothic" w:eastAsia="MS UI Gothic"/>
          <w:w w:val="80"/>
        </w:rPr>
        <w:t xml:space="preserve">ꎬ </w:t>
      </w:r>
      <w:r>
        <w:t xml:space="preserve">应当每 </w:t>
      </w:r>
      <w:r>
        <w:rPr>
          <w:rFonts w:hint="eastAsia" w:ascii="MS UI Gothic" w:eastAsia="MS UI Gothic"/>
          <w:w w:val="80"/>
        </w:rPr>
        <w:t xml:space="preserve">６ </w:t>
      </w:r>
      <w:r>
        <w:t xml:space="preserve">个月进行 </w:t>
      </w:r>
      <w:r>
        <w:rPr>
          <w:rFonts w:hint="eastAsia" w:ascii="MS UI Gothic" w:eastAsia="MS UI Gothic"/>
          <w:w w:val="80"/>
        </w:rPr>
        <w:t xml:space="preserve">１ </w:t>
      </w:r>
      <w:r>
        <w:t>次不脱钩试验</w:t>
      </w:r>
      <w:r>
        <w:rPr>
          <w:rFonts w:hint="eastAsia" w:ascii="MS UI Gothic" w:eastAsia="MS UI Gothic"/>
          <w:w w:val="80"/>
        </w:rPr>
        <w:t xml:space="preserve">ꎬ </w:t>
      </w:r>
      <w:r>
        <w:t xml:space="preserve">每年进行 </w:t>
      </w:r>
      <w:r>
        <w:rPr>
          <w:rFonts w:hint="eastAsia" w:ascii="MS UI Gothic" w:eastAsia="MS UI Gothic"/>
          <w:w w:val="80"/>
        </w:rPr>
        <w:t xml:space="preserve">１ </w:t>
      </w:r>
      <w:r>
        <w:t>次脱钩试验</w:t>
      </w:r>
      <w:r>
        <w:rPr>
          <w:rFonts w:hint="eastAsia" w:ascii="MS UI Gothic" w:eastAsia="MS UI Gothic"/>
          <w:w w:val="80"/>
        </w:rPr>
        <w:t xml:space="preserve">ꎮ </w:t>
      </w:r>
      <w:r>
        <w:t>对使用中的斜井人车防</w:t>
      </w:r>
    </w:p>
    <w:p>
      <w:pPr>
        <w:pStyle w:val="6"/>
        <w:spacing w:before="175" w:line="288" w:lineRule="auto"/>
        <w:ind w:left="118" w:right="440" w:firstLine="0"/>
        <w:rPr>
          <w:rFonts w:hint="eastAsia" w:ascii="MS UI Gothic" w:eastAsia="MS UI Gothic"/>
        </w:rPr>
      </w:pPr>
      <w:r>
        <w:br w:type="column"/>
      </w:r>
      <w:r>
        <w:t>坠器</w:t>
      </w:r>
      <w:r>
        <w:rPr>
          <w:rFonts w:hint="eastAsia" w:ascii="MS UI Gothic" w:eastAsia="MS UI Gothic"/>
          <w:w w:val="80"/>
        </w:rPr>
        <w:t xml:space="preserve">ꎬ </w:t>
      </w:r>
      <w:r>
        <w:t xml:space="preserve">应当每班进行 </w:t>
      </w:r>
      <w:r>
        <w:rPr>
          <w:rFonts w:hint="eastAsia" w:ascii="MS UI Gothic" w:eastAsia="MS UI Gothic"/>
          <w:w w:val="80"/>
        </w:rPr>
        <w:t xml:space="preserve">１ </w:t>
      </w:r>
      <w:r>
        <w:t>次手动落闸试验</w:t>
      </w:r>
      <w:r>
        <w:rPr>
          <w:rFonts w:hint="eastAsia" w:ascii="MS UI Gothic" w:eastAsia="MS UI Gothic"/>
          <w:w w:val="80"/>
        </w:rPr>
        <w:t>、</w:t>
      </w:r>
      <w:r>
        <w:t xml:space="preserve">每月进行 </w:t>
      </w:r>
      <w:r>
        <w:rPr>
          <w:rFonts w:hint="eastAsia" w:ascii="MS UI Gothic" w:eastAsia="MS UI Gothic"/>
          <w:w w:val="80"/>
        </w:rPr>
        <w:t xml:space="preserve">１ </w:t>
      </w:r>
      <w:r>
        <w:t>次静止松绳落闸试验</w:t>
      </w:r>
      <w:r>
        <w:rPr>
          <w:rFonts w:hint="eastAsia" w:ascii="MS UI Gothic" w:eastAsia="MS UI Gothic"/>
          <w:w w:val="80"/>
        </w:rPr>
        <w:t xml:space="preserve">、 </w:t>
      </w:r>
      <w:r>
        <w:t xml:space="preserve">每年进行 </w:t>
      </w:r>
      <w:r>
        <w:rPr>
          <w:rFonts w:hint="eastAsia" w:ascii="MS UI Gothic" w:eastAsia="MS UI Gothic"/>
          <w:w w:val="80"/>
        </w:rPr>
        <w:t xml:space="preserve">１ </w:t>
      </w:r>
      <w:r>
        <w:t>次重载全速脱钩试验</w:t>
      </w:r>
      <w:r>
        <w:rPr>
          <w:rFonts w:hint="eastAsia" w:ascii="MS UI Gothic" w:eastAsia="MS UI Gothic"/>
          <w:w w:val="80"/>
        </w:rPr>
        <w:t xml:space="preserve">ꎮ </w:t>
      </w:r>
      <w:r>
        <w:t>防坠器的各个连接和传动部分</w:t>
      </w:r>
      <w:r>
        <w:rPr>
          <w:rFonts w:hint="eastAsia" w:ascii="MS UI Gothic" w:eastAsia="MS UI Gothic"/>
          <w:w w:val="80"/>
        </w:rPr>
        <w:t xml:space="preserve">ꎬ </w:t>
      </w:r>
      <w:r>
        <w:t>必须处于灵活状态</w:t>
      </w:r>
      <w:r>
        <w:rPr>
          <w:rFonts w:hint="eastAsia" w:ascii="MS UI Gothic" w:eastAsia="MS UI Gothic"/>
          <w:w w:val="80"/>
        </w:rPr>
        <w:t>ꎮ</w:t>
      </w:r>
    </w:p>
    <w:p>
      <w:pPr>
        <w:pStyle w:val="6"/>
        <w:spacing w:before="4" w:line="288" w:lineRule="auto"/>
        <w:ind w:left="118" w:right="442"/>
        <w:rPr>
          <w:rFonts w:hint="eastAsia" w:ascii="MS UI Gothic" w:eastAsia="MS UI Gothic"/>
        </w:rPr>
      </w:pPr>
      <w:r>
        <w:rPr>
          <w:w w:val="105"/>
        </w:rPr>
        <w:t>第四百一十六条 立井和斜井使用的</w:t>
      </w:r>
      <w:r>
        <w:t>连接装置的性能指标和投用前的试验</w:t>
      </w:r>
      <w:r>
        <w:rPr>
          <w:rFonts w:hint="eastAsia" w:ascii="MS UI Gothic" w:eastAsia="MS UI Gothic"/>
          <w:w w:val="80"/>
        </w:rPr>
        <w:t xml:space="preserve">ꎬ </w:t>
      </w:r>
      <w:r>
        <w:t>必</w:t>
      </w:r>
      <w:r>
        <w:rPr>
          <w:w w:val="105"/>
        </w:rPr>
        <w:t>须符合下列要求</w:t>
      </w:r>
      <w:r>
        <w:rPr>
          <w:rFonts w:hint="eastAsia" w:ascii="MS UI Gothic" w:eastAsia="MS UI Gothic"/>
          <w:w w:val="235"/>
        </w:rPr>
        <w:t>:</w:t>
      </w:r>
    </w:p>
    <w:p>
      <w:pPr>
        <w:pStyle w:val="6"/>
        <w:spacing w:before="3" w:line="288" w:lineRule="auto"/>
        <w:ind w:left="118" w:right="442"/>
        <w:rPr>
          <w:rFonts w:hint="eastAsia" w:ascii="MS UI Gothic" w:eastAsia="MS UI Gothic"/>
        </w:rPr>
      </w:pPr>
      <w:r>
        <w:rPr>
          <w:rFonts w:hint="eastAsia" w:ascii="MS UI Gothic" w:eastAsia="MS UI Gothic"/>
          <w:w w:val="145"/>
        </w:rPr>
        <w:t xml:space="preserve">( </w:t>
      </w:r>
      <w:r>
        <w:rPr>
          <w:w w:val="105"/>
        </w:rPr>
        <w:t>一</w:t>
      </w:r>
      <w:r>
        <w:rPr>
          <w:rFonts w:hint="eastAsia" w:ascii="MS UI Gothic" w:eastAsia="MS UI Gothic"/>
          <w:w w:val="145"/>
        </w:rPr>
        <w:t xml:space="preserve">) </w:t>
      </w:r>
      <w:r>
        <w:rPr>
          <w:w w:val="105"/>
        </w:rPr>
        <w:t xml:space="preserve">各类连接装置的安全系数必须符合表 </w:t>
      </w:r>
      <w:r>
        <w:rPr>
          <w:rFonts w:hint="eastAsia" w:ascii="MS UI Gothic" w:eastAsia="MS UI Gothic"/>
          <w:w w:val="85"/>
        </w:rPr>
        <w:t xml:space="preserve">１２ </w:t>
      </w:r>
      <w:r>
        <w:rPr>
          <w:w w:val="105"/>
        </w:rPr>
        <w:t>的要求</w:t>
      </w:r>
      <w:r>
        <w:rPr>
          <w:rFonts w:hint="eastAsia" w:ascii="MS UI Gothic" w:eastAsia="MS UI Gothic"/>
          <w:w w:val="85"/>
        </w:rPr>
        <w:t>ꎮ</w:t>
      </w:r>
    </w:p>
    <w:p>
      <w:pPr>
        <w:pStyle w:val="6"/>
        <w:spacing w:before="2" w:line="288" w:lineRule="auto"/>
        <w:ind w:left="118" w:right="442"/>
        <w:rPr>
          <w:rFonts w:hint="eastAsia" w:ascii="MS UI Gothic" w:eastAsia="MS UI Gothic"/>
        </w:rPr>
      </w:pPr>
      <w:r>
        <w:rPr>
          <w:rFonts w:hint="eastAsia" w:ascii="MS UI Gothic" w:eastAsia="MS UI Gothic"/>
          <w:w w:val="120"/>
        </w:rPr>
        <w:t xml:space="preserve">( </w:t>
      </w:r>
      <w:r>
        <w:rPr>
          <w:w w:val="110"/>
        </w:rPr>
        <w:t>二</w:t>
      </w:r>
      <w:r>
        <w:rPr>
          <w:rFonts w:hint="eastAsia" w:ascii="MS UI Gothic" w:eastAsia="MS UI Gothic"/>
          <w:w w:val="120"/>
        </w:rPr>
        <w:t xml:space="preserve">) </w:t>
      </w:r>
      <w:r>
        <w:rPr>
          <w:w w:val="110"/>
        </w:rPr>
        <w:t>各种环链的安全系数</w:t>
      </w:r>
      <w:r>
        <w:rPr>
          <w:rFonts w:hint="eastAsia" w:ascii="MS UI Gothic" w:eastAsia="MS UI Gothic"/>
          <w:w w:val="80"/>
        </w:rPr>
        <w:t xml:space="preserve">ꎬ </w:t>
      </w:r>
      <w:r>
        <w:rPr>
          <w:w w:val="110"/>
        </w:rPr>
        <w:t>必须以</w:t>
      </w:r>
      <w:r>
        <w:t>曲梁理论计算的应力为准</w:t>
      </w:r>
      <w:r>
        <w:rPr>
          <w:rFonts w:hint="eastAsia" w:ascii="MS UI Gothic" w:eastAsia="MS UI Gothic"/>
          <w:w w:val="80"/>
        </w:rPr>
        <w:t xml:space="preserve">ꎬ </w:t>
      </w:r>
      <w:r>
        <w:t>并同时符合下</w:t>
      </w:r>
      <w:r>
        <w:rPr>
          <w:w w:val="110"/>
        </w:rPr>
        <w:t>列要求</w:t>
      </w:r>
      <w:r>
        <w:rPr>
          <w:rFonts w:hint="eastAsia" w:ascii="MS UI Gothic" w:eastAsia="MS UI Gothic"/>
          <w:w w:val="235"/>
        </w:rPr>
        <w:t>:</w:t>
      </w:r>
    </w:p>
    <w:p>
      <w:pPr>
        <w:pStyle w:val="6"/>
        <w:spacing w:before="2" w:line="288" w:lineRule="auto"/>
        <w:ind w:left="118" w:right="440" w:firstLine="413"/>
        <w:rPr>
          <w:rFonts w:hint="eastAsia" w:ascii="MS UI Gothic" w:eastAsia="MS UI Gothic"/>
        </w:rPr>
      </w:pPr>
      <w:r>
        <w:rPr>
          <w:rFonts w:hint="eastAsia" w:ascii="MS UI Gothic" w:eastAsia="MS UI Gothic"/>
        </w:rPr>
        <w:t xml:space="preserve">１ </w:t>
      </w:r>
      <w:r>
        <w:t>按材料屈服强度计算的安全系数</w:t>
      </w:r>
      <w:r>
        <w:rPr>
          <w:rFonts w:hint="eastAsia" w:ascii="MS UI Gothic" w:eastAsia="MS UI Gothic"/>
          <w:w w:val="85"/>
        </w:rPr>
        <w:t>ꎬ</w:t>
      </w:r>
      <w:r>
        <w:t xml:space="preserve">不小于 </w:t>
      </w:r>
      <w:r>
        <w:rPr>
          <w:rFonts w:hint="eastAsia" w:ascii="MS UI Gothic" w:eastAsia="MS UI Gothic"/>
        </w:rPr>
        <w:t>２ ５</w:t>
      </w:r>
      <w:r>
        <w:rPr>
          <w:rFonts w:hint="eastAsia" w:ascii="MS UI Gothic" w:eastAsia="MS UI Gothic"/>
          <w:w w:val="85"/>
        </w:rPr>
        <w:t>ꎻ</w:t>
      </w:r>
    </w:p>
    <w:p>
      <w:pPr>
        <w:pStyle w:val="6"/>
        <w:spacing w:before="2"/>
        <w:ind w:left="532" w:firstLine="0"/>
      </w:pPr>
      <w:r>
        <w:rPr>
          <w:rFonts w:hint="eastAsia" w:ascii="MS UI Gothic" w:eastAsia="MS UI Gothic"/>
        </w:rPr>
        <w:t>２</w:t>
      </w:r>
      <w:r>
        <w:rPr>
          <w:rFonts w:hint="eastAsia" w:ascii="MS UI Gothic" w:eastAsia="MS UI Gothic"/>
          <w:spacing w:val="52"/>
        </w:rPr>
        <w:t xml:space="preserve"> </w:t>
      </w:r>
      <w:r>
        <w:rPr>
          <w:spacing w:val="12"/>
        </w:rPr>
        <w:t>以模拟使用状态拉断力计算的安</w:t>
      </w:r>
    </w:p>
    <w:p>
      <w:pPr>
        <w:spacing w:after="0"/>
        <w:sectPr>
          <w:type w:val="continuous"/>
          <w:pgSz w:w="10500" w:h="14750"/>
          <w:pgMar w:top="1400" w:right="980" w:bottom="280" w:left="980" w:header="720" w:footer="720" w:gutter="0"/>
          <w:cols w:equalWidth="0" w:num="2">
            <w:col w:w="3936" w:space="262"/>
            <w:col w:w="4342"/>
          </w:cols>
        </w:sectPr>
      </w:pPr>
    </w:p>
    <w:p>
      <w:pPr>
        <w:pStyle w:val="6"/>
        <w:spacing w:before="8"/>
        <w:ind w:left="0" w:firstLine="0"/>
        <w:jc w:val="left"/>
        <w:rPr>
          <w:sz w:val="55"/>
        </w:rPr>
      </w:pPr>
    </w:p>
    <w:p>
      <w:pPr>
        <w:pStyle w:val="6"/>
        <w:ind w:left="440" w:firstLine="0"/>
        <w:jc w:val="left"/>
        <w:rPr>
          <w:rFonts w:hint="eastAsia" w:ascii="MS UI Gothic" w:eastAsia="MS UI Gothic"/>
        </w:rPr>
      </w:pPr>
      <w:r>
        <w:pict>
          <v:shape id="_x0000_s1938" o:spid="_x0000_s1938" style="position:absolute;left:0pt;margin-left:0pt;margin-top:664.5pt;height:1.75pt;width:398.25pt;mso-position-horizontal-relative:page;z-index:252027904;mso-width-relative:page;mso-height-relative:page;" filled="f" stroked="t" coordorigin="0,13290" coordsize="7965,35" path="m1419,-196l9384,-196m1419,-231l9384,-231e">
            <v:path arrowok="t"/>
            <v:fill on="f" focussize="0,0"/>
            <v:stroke weight="0.388031496062992pt" color="#231F20"/>
            <v:imagedata o:title=""/>
            <o:lock v:ext="edit"/>
          </v:shape>
        </w:pict>
      </w:r>
      <w:r>
        <w:rPr>
          <w:spacing w:val="3"/>
        </w:rPr>
        <w:t>全系数</w:t>
      </w:r>
      <w:r>
        <w:rPr>
          <w:rFonts w:hint="eastAsia" w:ascii="MS UI Gothic" w:eastAsia="MS UI Gothic"/>
          <w:spacing w:val="-6"/>
          <w:w w:val="85"/>
        </w:rPr>
        <w:t xml:space="preserve">ꎬ </w:t>
      </w:r>
      <w:r>
        <w:rPr>
          <w:spacing w:val="-20"/>
        </w:rPr>
        <w:t xml:space="preserve">不小于 </w:t>
      </w:r>
      <w:r>
        <w:rPr>
          <w:rFonts w:hint="eastAsia" w:ascii="MS UI Gothic" w:eastAsia="MS UI Gothic"/>
          <w:spacing w:val="1"/>
          <w:w w:val="85"/>
        </w:rPr>
        <w:t>１３ꎮ</w:t>
      </w:r>
    </w:p>
    <w:p>
      <w:pPr>
        <w:spacing w:before="192"/>
        <w:ind w:left="427" w:right="25" w:firstLine="0"/>
        <w:jc w:val="center"/>
        <w:rPr>
          <w:sz w:val="17"/>
        </w:rPr>
      </w:pPr>
      <w:r>
        <w:br w:type="column"/>
      </w:r>
      <w:r>
        <w:rPr>
          <w:sz w:val="17"/>
        </w:rPr>
        <w:t>四</w:t>
      </w:r>
      <w:r>
        <w:rPr>
          <w:rFonts w:hint="eastAsia" w:ascii="Microsoft Yi Baiti" w:eastAsia="Microsoft Yi Baiti"/>
          <w:sz w:val="17"/>
        </w:rPr>
        <w:t xml:space="preserve">、 </w:t>
      </w:r>
      <w:r>
        <w:rPr>
          <w:sz w:val="17"/>
        </w:rPr>
        <w:t>安 全 生 产 法</w:t>
      </w:r>
    </w:p>
    <w:p>
      <w:pPr>
        <w:pStyle w:val="6"/>
        <w:ind w:left="0" w:firstLine="0"/>
        <w:jc w:val="left"/>
        <w:rPr>
          <w:sz w:val="24"/>
        </w:rPr>
      </w:pPr>
    </w:p>
    <w:p>
      <w:pPr>
        <w:pStyle w:val="6"/>
        <w:ind w:left="0" w:firstLine="0"/>
        <w:jc w:val="left"/>
        <w:rPr>
          <w:sz w:val="24"/>
        </w:rPr>
      </w:pPr>
    </w:p>
    <w:p>
      <w:pPr>
        <w:pStyle w:val="6"/>
        <w:spacing w:before="9"/>
        <w:ind w:left="0" w:firstLine="0"/>
        <w:jc w:val="left"/>
        <w:rPr>
          <w:sz w:val="24"/>
        </w:rPr>
      </w:pPr>
    </w:p>
    <w:p>
      <w:pPr>
        <w:pStyle w:val="6"/>
        <w:ind w:left="427" w:right="27" w:firstLine="0"/>
        <w:jc w:val="center"/>
      </w:pPr>
      <w:r>
        <w:rPr>
          <w:w w:val="90"/>
        </w:rPr>
        <w:t xml:space="preserve">表 </w:t>
      </w:r>
      <w:r>
        <w:rPr>
          <w:rFonts w:hint="eastAsia" w:ascii="MS UI Gothic" w:eastAsia="MS UI Gothic"/>
          <w:w w:val="90"/>
        </w:rPr>
        <w:t xml:space="preserve">１２ </w:t>
      </w:r>
      <w:r>
        <w:rPr>
          <w:w w:val="90"/>
        </w:rPr>
        <w:t>各类连接装置的安全系数最小值</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３０５</w:t>
      </w:r>
    </w:p>
    <w:p>
      <w:pPr>
        <w:spacing w:after="0"/>
        <w:jc w:val="left"/>
        <w:rPr>
          <w:rFonts w:hint="eastAsia" w:ascii="MS UI Gothic" w:eastAsia="MS UI Gothic"/>
        </w:rPr>
        <w:sectPr>
          <w:pgSz w:w="10500" w:h="14750"/>
          <w:pgMar w:top="960" w:right="980" w:bottom="280" w:left="980" w:header="720" w:footer="720" w:gutter="0"/>
          <w:cols w:equalWidth="0" w:num="3">
            <w:col w:w="2310" w:space="118"/>
            <w:col w:w="3585" w:space="1059"/>
            <w:col w:w="1468"/>
          </w:cols>
        </w:sectPr>
      </w:pPr>
    </w:p>
    <w:p>
      <w:pPr>
        <w:pStyle w:val="6"/>
        <w:spacing w:before="1"/>
        <w:ind w:left="0" w:firstLine="0"/>
        <w:jc w:val="left"/>
        <w:rPr>
          <w:rFonts w:ascii="MS UI Gothic"/>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570"/>
        <w:gridCol w:w="1273"/>
        <w:gridCol w:w="1122"/>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6843" w:type="dxa"/>
            <w:gridSpan w:val="2"/>
            <w:tcBorders>
              <w:bottom w:val="single" w:color="231F20" w:sz="4" w:space="0"/>
              <w:right w:val="single" w:color="231F20" w:sz="4" w:space="0"/>
            </w:tcBorders>
          </w:tcPr>
          <w:p>
            <w:pPr>
              <w:pStyle w:val="11"/>
              <w:spacing w:before="4"/>
              <w:rPr>
                <w:rFonts w:ascii="MS UI Gothic"/>
                <w:sz w:val="16"/>
              </w:rPr>
            </w:pPr>
          </w:p>
          <w:p>
            <w:pPr>
              <w:pStyle w:val="11"/>
              <w:tabs>
                <w:tab w:val="left" w:pos="487"/>
              </w:tabs>
              <w:ind w:left="10"/>
              <w:jc w:val="center"/>
              <w:rPr>
                <w:sz w:val="15"/>
              </w:rPr>
            </w:pPr>
            <w:r>
              <w:rPr>
                <w:w w:val="105"/>
                <w:sz w:val="15"/>
              </w:rPr>
              <w:t>用</w:t>
            </w:r>
            <w:r>
              <w:rPr>
                <w:w w:val="105"/>
                <w:sz w:val="15"/>
              </w:rPr>
              <w:tab/>
            </w:r>
            <w:r>
              <w:rPr>
                <w:w w:val="105"/>
                <w:sz w:val="15"/>
              </w:rPr>
              <w:t>途</w:t>
            </w:r>
          </w:p>
        </w:tc>
        <w:tc>
          <w:tcPr>
            <w:tcW w:w="1122" w:type="dxa"/>
            <w:tcBorders>
              <w:left w:val="single" w:color="231F20" w:sz="4" w:space="0"/>
              <w:bottom w:val="single" w:color="231F20" w:sz="4" w:space="0"/>
            </w:tcBorders>
          </w:tcPr>
          <w:p>
            <w:pPr>
              <w:pStyle w:val="11"/>
              <w:spacing w:before="10" w:line="260" w:lineRule="atLeast"/>
              <w:ind w:left="326" w:right="225" w:hanging="80"/>
              <w:rPr>
                <w:sz w:val="15"/>
              </w:rPr>
            </w:pPr>
            <w:r>
              <w:rPr>
                <w:w w:val="105"/>
                <w:sz w:val="15"/>
              </w:rPr>
              <w:t>安全系数最小值</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843" w:type="dxa"/>
            <w:gridSpan w:val="2"/>
            <w:tcBorders>
              <w:top w:val="single" w:color="231F20" w:sz="4" w:space="0"/>
              <w:bottom w:val="single" w:color="231F20" w:sz="4" w:space="0"/>
              <w:right w:val="single" w:color="231F20" w:sz="4" w:space="0"/>
            </w:tcBorders>
          </w:tcPr>
          <w:p>
            <w:pPr>
              <w:pStyle w:val="11"/>
              <w:spacing w:before="55"/>
              <w:ind w:left="263"/>
              <w:rPr>
                <w:sz w:val="15"/>
              </w:rPr>
            </w:pPr>
            <w:r>
              <w:rPr>
                <w:w w:val="105"/>
                <w:sz w:val="15"/>
              </w:rPr>
              <w:t>专门升降人员的提升容器连接装置</w:t>
            </w:r>
          </w:p>
        </w:tc>
        <w:tc>
          <w:tcPr>
            <w:tcW w:w="1122" w:type="dxa"/>
            <w:tcBorders>
              <w:top w:val="single" w:color="231F20" w:sz="4" w:space="0"/>
              <w:left w:val="single" w:color="231F20" w:sz="4" w:space="0"/>
              <w:bottom w:val="single" w:color="231F20" w:sz="4" w:space="0"/>
            </w:tcBorders>
          </w:tcPr>
          <w:p>
            <w:pPr>
              <w:pStyle w:val="11"/>
              <w:spacing w:before="55"/>
              <w:ind w:left="307" w:right="292"/>
              <w:jc w:val="center"/>
              <w:rPr>
                <w:rFonts w:hint="eastAsia" w:ascii="MS UI Gothic" w:eastAsia="MS UI Gothic"/>
                <w:sz w:val="15"/>
              </w:rPr>
            </w:pPr>
            <w:r>
              <w:rPr>
                <w:rFonts w:hint="eastAsia" w:ascii="MS UI Gothic" w:eastAsia="MS UI Gothic"/>
                <w:w w:val="85"/>
                <w:sz w:val="15"/>
              </w:rPr>
              <w:t>１３</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570" w:type="dxa"/>
            <w:vMerge w:val="restart"/>
            <w:tcBorders>
              <w:top w:val="single" w:color="231F20" w:sz="4" w:space="0"/>
              <w:bottom w:val="single" w:color="231F20" w:sz="4" w:space="0"/>
              <w:right w:val="single" w:color="231F20" w:sz="4" w:space="0"/>
            </w:tcBorders>
          </w:tcPr>
          <w:p>
            <w:pPr>
              <w:pStyle w:val="11"/>
              <w:spacing w:before="9"/>
              <w:rPr>
                <w:rFonts w:ascii="MS UI Gothic"/>
                <w:sz w:val="16"/>
              </w:rPr>
            </w:pPr>
          </w:p>
          <w:p>
            <w:pPr>
              <w:pStyle w:val="11"/>
              <w:ind w:left="263"/>
              <w:rPr>
                <w:sz w:val="15"/>
              </w:rPr>
            </w:pPr>
            <w:r>
              <w:rPr>
                <w:w w:val="105"/>
                <w:sz w:val="15"/>
              </w:rPr>
              <w:t>升降人员和物料的提升容器连接装置</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5"/>
              <w:ind w:left="224" w:right="209"/>
              <w:jc w:val="center"/>
              <w:rPr>
                <w:sz w:val="15"/>
              </w:rPr>
            </w:pPr>
            <w:r>
              <w:rPr>
                <w:w w:val="105"/>
                <w:sz w:val="15"/>
              </w:rPr>
              <w:t>升降人员时</w:t>
            </w:r>
          </w:p>
        </w:tc>
        <w:tc>
          <w:tcPr>
            <w:tcW w:w="1122" w:type="dxa"/>
            <w:tcBorders>
              <w:top w:val="single" w:color="231F20" w:sz="4" w:space="0"/>
              <w:left w:val="single" w:color="231F20" w:sz="4" w:space="0"/>
              <w:bottom w:val="single" w:color="231F20" w:sz="4" w:space="0"/>
            </w:tcBorders>
          </w:tcPr>
          <w:p>
            <w:pPr>
              <w:pStyle w:val="11"/>
              <w:spacing w:before="55"/>
              <w:ind w:left="307" w:right="292"/>
              <w:jc w:val="center"/>
              <w:rPr>
                <w:rFonts w:hint="eastAsia" w:ascii="MS UI Gothic" w:eastAsia="MS UI Gothic"/>
                <w:sz w:val="15"/>
              </w:rPr>
            </w:pPr>
            <w:r>
              <w:rPr>
                <w:rFonts w:hint="eastAsia" w:ascii="MS UI Gothic" w:eastAsia="MS UI Gothic"/>
                <w:w w:val="85"/>
                <w:sz w:val="15"/>
              </w:rPr>
              <w:t>１３</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570" w:type="dxa"/>
            <w:vMerge w:val="continue"/>
            <w:tcBorders>
              <w:top w:val="nil"/>
              <w:bottom w:val="single" w:color="231F20" w:sz="4" w:space="0"/>
              <w:right w:val="single" w:color="231F20" w:sz="4" w:space="0"/>
            </w:tcBorders>
          </w:tcPr>
          <w:p>
            <w:pPr>
              <w:rPr>
                <w:sz w:val="2"/>
                <w:szCs w:val="2"/>
              </w:rPr>
            </w:pP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5"/>
              <w:ind w:left="224" w:right="209"/>
              <w:jc w:val="center"/>
              <w:rPr>
                <w:sz w:val="15"/>
              </w:rPr>
            </w:pPr>
            <w:r>
              <w:rPr>
                <w:w w:val="105"/>
                <w:sz w:val="15"/>
              </w:rPr>
              <w:t>升降物料时</w:t>
            </w:r>
          </w:p>
        </w:tc>
        <w:tc>
          <w:tcPr>
            <w:tcW w:w="1122" w:type="dxa"/>
            <w:tcBorders>
              <w:top w:val="single" w:color="231F20" w:sz="4" w:space="0"/>
              <w:left w:val="single" w:color="231F20" w:sz="4" w:space="0"/>
              <w:bottom w:val="single" w:color="231F20" w:sz="4" w:space="0"/>
            </w:tcBorders>
          </w:tcPr>
          <w:p>
            <w:pPr>
              <w:pStyle w:val="11"/>
              <w:spacing w:before="55"/>
              <w:ind w:left="307" w:right="292"/>
              <w:jc w:val="center"/>
              <w:rPr>
                <w:rFonts w:hint="eastAsia" w:ascii="MS UI Gothic" w:eastAsia="MS UI Gothic"/>
                <w:sz w:val="15"/>
              </w:rPr>
            </w:pPr>
            <w:r>
              <w:rPr>
                <w:rFonts w:hint="eastAsia" w:ascii="MS UI Gothic" w:eastAsia="MS UI Gothic"/>
                <w:w w:val="85"/>
                <w:sz w:val="15"/>
              </w:rPr>
              <w:t>１０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843" w:type="dxa"/>
            <w:gridSpan w:val="2"/>
            <w:tcBorders>
              <w:top w:val="single" w:color="231F20" w:sz="4" w:space="0"/>
              <w:bottom w:val="single" w:color="231F20" w:sz="4" w:space="0"/>
              <w:right w:val="single" w:color="231F20" w:sz="4" w:space="0"/>
            </w:tcBorders>
          </w:tcPr>
          <w:p>
            <w:pPr>
              <w:pStyle w:val="11"/>
              <w:spacing w:before="55"/>
              <w:ind w:left="263"/>
              <w:rPr>
                <w:sz w:val="15"/>
              </w:rPr>
            </w:pPr>
            <w:r>
              <w:rPr>
                <w:w w:val="105"/>
                <w:sz w:val="15"/>
              </w:rPr>
              <w:t>专为升降物料的提升容器的连接装置</w:t>
            </w:r>
          </w:p>
        </w:tc>
        <w:tc>
          <w:tcPr>
            <w:tcW w:w="1122" w:type="dxa"/>
            <w:tcBorders>
              <w:top w:val="single" w:color="231F20" w:sz="4" w:space="0"/>
              <w:left w:val="single" w:color="231F20" w:sz="4" w:space="0"/>
              <w:bottom w:val="single" w:color="231F20" w:sz="4" w:space="0"/>
            </w:tcBorders>
          </w:tcPr>
          <w:p>
            <w:pPr>
              <w:pStyle w:val="11"/>
              <w:spacing w:before="55"/>
              <w:ind w:left="307" w:right="292"/>
              <w:jc w:val="center"/>
              <w:rPr>
                <w:rFonts w:hint="eastAsia" w:ascii="MS UI Gothic" w:eastAsia="MS UI Gothic"/>
                <w:sz w:val="15"/>
              </w:rPr>
            </w:pPr>
            <w:r>
              <w:rPr>
                <w:rFonts w:hint="eastAsia" w:ascii="MS UI Gothic" w:eastAsia="MS UI Gothic"/>
                <w:w w:val="85"/>
                <w:sz w:val="15"/>
              </w:rPr>
              <w:t>１０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843" w:type="dxa"/>
            <w:gridSpan w:val="2"/>
            <w:tcBorders>
              <w:top w:val="single" w:color="231F20" w:sz="4" w:space="0"/>
              <w:bottom w:val="single" w:color="231F20" w:sz="4" w:space="0"/>
              <w:right w:val="single" w:color="231F20" w:sz="4" w:space="0"/>
            </w:tcBorders>
          </w:tcPr>
          <w:p>
            <w:pPr>
              <w:pStyle w:val="11"/>
              <w:spacing w:before="55"/>
              <w:ind w:left="263"/>
              <w:rPr>
                <w:sz w:val="15"/>
              </w:rPr>
            </w:pPr>
            <w:r>
              <w:rPr>
                <w:w w:val="105"/>
                <w:sz w:val="15"/>
              </w:rPr>
              <w:t>斜井人车的连接装置</w:t>
            </w:r>
          </w:p>
        </w:tc>
        <w:tc>
          <w:tcPr>
            <w:tcW w:w="1122" w:type="dxa"/>
            <w:tcBorders>
              <w:top w:val="single" w:color="231F20" w:sz="4" w:space="0"/>
              <w:left w:val="single" w:color="231F20" w:sz="4" w:space="0"/>
              <w:bottom w:val="single" w:color="231F20" w:sz="4" w:space="0"/>
            </w:tcBorders>
          </w:tcPr>
          <w:p>
            <w:pPr>
              <w:pStyle w:val="11"/>
              <w:spacing w:before="55"/>
              <w:ind w:left="307" w:right="292"/>
              <w:jc w:val="center"/>
              <w:rPr>
                <w:rFonts w:hint="eastAsia" w:ascii="MS UI Gothic" w:eastAsia="MS UI Gothic"/>
                <w:sz w:val="15"/>
              </w:rPr>
            </w:pPr>
            <w:r>
              <w:rPr>
                <w:rFonts w:hint="eastAsia" w:ascii="MS UI Gothic" w:eastAsia="MS UI Gothic"/>
                <w:w w:val="85"/>
                <w:sz w:val="15"/>
              </w:rPr>
              <w:t>１３</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843" w:type="dxa"/>
            <w:gridSpan w:val="2"/>
            <w:tcBorders>
              <w:top w:val="single" w:color="231F20" w:sz="4" w:space="0"/>
              <w:bottom w:val="single" w:color="231F20" w:sz="4" w:space="0"/>
              <w:right w:val="single" w:color="231F20" w:sz="4" w:space="0"/>
            </w:tcBorders>
          </w:tcPr>
          <w:p>
            <w:pPr>
              <w:pStyle w:val="11"/>
              <w:spacing w:before="55"/>
              <w:ind w:left="263"/>
              <w:rPr>
                <w:sz w:val="15"/>
              </w:rPr>
            </w:pPr>
            <w:r>
              <w:rPr>
                <w:sz w:val="15"/>
              </w:rPr>
              <w:t>矿车的车梁</w:t>
            </w:r>
            <w:r>
              <w:rPr>
                <w:rFonts w:hint="eastAsia" w:ascii="MS UI Gothic" w:eastAsia="MS UI Gothic"/>
                <w:sz w:val="15"/>
              </w:rPr>
              <w:t xml:space="preserve">、 </w:t>
            </w:r>
            <w:r>
              <w:rPr>
                <w:sz w:val="15"/>
              </w:rPr>
              <w:t>碰头和连接插销</w:t>
            </w:r>
          </w:p>
        </w:tc>
        <w:tc>
          <w:tcPr>
            <w:tcW w:w="1122" w:type="dxa"/>
            <w:tcBorders>
              <w:top w:val="single" w:color="231F20" w:sz="4" w:space="0"/>
              <w:left w:val="single" w:color="231F20" w:sz="4" w:space="0"/>
              <w:bottom w:val="single" w:color="231F20" w:sz="4" w:space="0"/>
            </w:tcBorders>
          </w:tcPr>
          <w:p>
            <w:pPr>
              <w:pStyle w:val="11"/>
              <w:spacing w:before="55"/>
              <w:ind w:left="15"/>
              <w:jc w:val="center"/>
              <w:rPr>
                <w:rFonts w:hint="eastAsia" w:ascii="MS UI Gothic" w:eastAsia="MS UI Gothic"/>
                <w:sz w:val="15"/>
              </w:rPr>
            </w:pPr>
            <w:r>
              <w:rPr>
                <w:rFonts w:hint="eastAsia" w:ascii="MS UI Gothic" w:eastAsia="MS UI Gothic"/>
                <w:w w:val="75"/>
                <w:sz w:val="15"/>
              </w:rPr>
              <w:t>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843" w:type="dxa"/>
            <w:gridSpan w:val="2"/>
            <w:tcBorders>
              <w:top w:val="single" w:color="231F20" w:sz="4" w:space="0"/>
              <w:bottom w:val="single" w:color="231F20" w:sz="4" w:space="0"/>
              <w:right w:val="single" w:color="231F20" w:sz="4" w:space="0"/>
            </w:tcBorders>
          </w:tcPr>
          <w:p>
            <w:pPr>
              <w:pStyle w:val="11"/>
              <w:spacing w:before="55"/>
              <w:ind w:left="263"/>
              <w:rPr>
                <w:sz w:val="15"/>
              </w:rPr>
            </w:pPr>
            <w:r>
              <w:rPr>
                <w:w w:val="105"/>
                <w:sz w:val="15"/>
              </w:rPr>
              <w:t>无极绳的连接装置</w:t>
            </w:r>
          </w:p>
        </w:tc>
        <w:tc>
          <w:tcPr>
            <w:tcW w:w="1122" w:type="dxa"/>
            <w:tcBorders>
              <w:top w:val="single" w:color="231F20" w:sz="4" w:space="0"/>
              <w:left w:val="single" w:color="231F20" w:sz="4" w:space="0"/>
              <w:bottom w:val="single" w:color="231F20" w:sz="4" w:space="0"/>
            </w:tcBorders>
          </w:tcPr>
          <w:p>
            <w:pPr>
              <w:pStyle w:val="11"/>
              <w:spacing w:before="55"/>
              <w:ind w:left="15"/>
              <w:jc w:val="center"/>
              <w:rPr>
                <w:rFonts w:hint="eastAsia" w:ascii="MS UI Gothic" w:eastAsia="MS UI Gothic"/>
                <w:sz w:val="15"/>
              </w:rPr>
            </w:pPr>
            <w:r>
              <w:rPr>
                <w:rFonts w:hint="eastAsia" w:ascii="MS UI Gothic" w:eastAsia="MS UI Gothic"/>
                <w:w w:val="75"/>
                <w:sz w:val="15"/>
              </w:rPr>
              <w:t>８</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843" w:type="dxa"/>
            <w:gridSpan w:val="2"/>
            <w:tcBorders>
              <w:top w:val="single" w:color="231F20" w:sz="4" w:space="0"/>
              <w:bottom w:val="single" w:color="231F20" w:sz="4" w:space="0"/>
              <w:right w:val="single" w:color="231F20" w:sz="4" w:space="0"/>
            </w:tcBorders>
          </w:tcPr>
          <w:p>
            <w:pPr>
              <w:pStyle w:val="11"/>
              <w:spacing w:before="55"/>
              <w:ind w:left="263"/>
              <w:rPr>
                <w:sz w:val="15"/>
              </w:rPr>
            </w:pPr>
            <w:r>
              <w:rPr>
                <w:w w:val="105"/>
                <w:sz w:val="15"/>
              </w:rPr>
              <w:t>吊桶的连接装置</w:t>
            </w:r>
          </w:p>
        </w:tc>
        <w:tc>
          <w:tcPr>
            <w:tcW w:w="1122" w:type="dxa"/>
            <w:tcBorders>
              <w:top w:val="single" w:color="231F20" w:sz="4" w:space="0"/>
              <w:left w:val="single" w:color="231F20" w:sz="4" w:space="0"/>
              <w:bottom w:val="single" w:color="231F20" w:sz="4" w:space="0"/>
            </w:tcBorders>
          </w:tcPr>
          <w:p>
            <w:pPr>
              <w:pStyle w:val="11"/>
              <w:spacing w:before="55"/>
              <w:ind w:left="307" w:right="292"/>
              <w:jc w:val="center"/>
              <w:rPr>
                <w:rFonts w:hint="eastAsia" w:ascii="MS UI Gothic" w:eastAsia="MS UI Gothic"/>
                <w:sz w:val="15"/>
              </w:rPr>
            </w:pPr>
            <w:r>
              <w:rPr>
                <w:rFonts w:hint="eastAsia" w:ascii="MS UI Gothic" w:eastAsia="MS UI Gothic"/>
                <w:w w:val="85"/>
                <w:sz w:val="15"/>
              </w:rPr>
              <w:t>１３</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843" w:type="dxa"/>
            <w:gridSpan w:val="2"/>
            <w:tcBorders>
              <w:top w:val="single" w:color="231F20" w:sz="4" w:space="0"/>
              <w:bottom w:val="single" w:color="231F20" w:sz="4" w:space="0"/>
              <w:right w:val="single" w:color="231F20" w:sz="4" w:space="0"/>
            </w:tcBorders>
          </w:tcPr>
          <w:p>
            <w:pPr>
              <w:pStyle w:val="11"/>
              <w:spacing w:before="55"/>
              <w:ind w:left="263"/>
              <w:rPr>
                <w:sz w:val="15"/>
              </w:rPr>
            </w:pPr>
            <w:r>
              <w:rPr>
                <w:sz w:val="15"/>
              </w:rPr>
              <w:t>凿井用吊盘</w:t>
            </w:r>
            <w:r>
              <w:rPr>
                <w:rFonts w:hint="eastAsia" w:ascii="MS UI Gothic" w:eastAsia="MS UI Gothic"/>
                <w:sz w:val="15"/>
              </w:rPr>
              <w:t xml:space="preserve">、 </w:t>
            </w:r>
            <w:r>
              <w:rPr>
                <w:sz w:val="15"/>
              </w:rPr>
              <w:t>安全 梯</w:t>
            </w:r>
            <w:r>
              <w:rPr>
                <w:rFonts w:hint="eastAsia" w:ascii="MS UI Gothic" w:eastAsia="MS UI Gothic"/>
                <w:sz w:val="15"/>
              </w:rPr>
              <w:t xml:space="preserve">、 </w:t>
            </w:r>
            <w:r>
              <w:rPr>
                <w:sz w:val="15"/>
              </w:rPr>
              <w:t>水泵</w:t>
            </w:r>
            <w:r>
              <w:rPr>
                <w:rFonts w:hint="eastAsia" w:ascii="MS UI Gothic" w:eastAsia="MS UI Gothic"/>
                <w:sz w:val="15"/>
              </w:rPr>
              <w:t xml:space="preserve">、 </w:t>
            </w:r>
            <w:r>
              <w:rPr>
                <w:sz w:val="15"/>
              </w:rPr>
              <w:t>抓岩机的悬挂装置</w:t>
            </w:r>
          </w:p>
        </w:tc>
        <w:tc>
          <w:tcPr>
            <w:tcW w:w="1122" w:type="dxa"/>
            <w:tcBorders>
              <w:top w:val="single" w:color="231F20" w:sz="4" w:space="0"/>
              <w:left w:val="single" w:color="231F20" w:sz="4" w:space="0"/>
              <w:bottom w:val="single" w:color="231F20" w:sz="4" w:space="0"/>
            </w:tcBorders>
          </w:tcPr>
          <w:p>
            <w:pPr>
              <w:pStyle w:val="11"/>
              <w:spacing w:before="55"/>
              <w:ind w:left="307" w:right="292"/>
              <w:jc w:val="center"/>
              <w:rPr>
                <w:rFonts w:hint="eastAsia" w:ascii="MS UI Gothic" w:eastAsia="MS UI Gothic"/>
                <w:sz w:val="15"/>
              </w:rPr>
            </w:pPr>
            <w:r>
              <w:rPr>
                <w:rFonts w:hint="eastAsia" w:ascii="MS UI Gothic" w:eastAsia="MS UI Gothic"/>
                <w:w w:val="85"/>
                <w:sz w:val="15"/>
              </w:rPr>
              <w:t>１０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6843" w:type="dxa"/>
            <w:gridSpan w:val="2"/>
            <w:tcBorders>
              <w:top w:val="single" w:color="231F20" w:sz="4" w:space="0"/>
              <w:bottom w:val="single" w:color="231F20" w:sz="4" w:space="0"/>
              <w:right w:val="single" w:color="231F20" w:sz="4" w:space="0"/>
            </w:tcBorders>
          </w:tcPr>
          <w:p>
            <w:pPr>
              <w:pStyle w:val="11"/>
              <w:spacing w:before="55"/>
              <w:ind w:left="263"/>
              <w:rPr>
                <w:sz w:val="15"/>
              </w:rPr>
            </w:pPr>
            <w:r>
              <w:rPr>
                <w:sz w:val="15"/>
              </w:rPr>
              <w:t>凿井用风管</w:t>
            </w:r>
            <w:r>
              <w:rPr>
                <w:rFonts w:hint="eastAsia" w:ascii="MS UI Gothic" w:eastAsia="MS UI Gothic"/>
                <w:sz w:val="15"/>
              </w:rPr>
              <w:t xml:space="preserve">、 </w:t>
            </w:r>
            <w:r>
              <w:rPr>
                <w:sz w:val="15"/>
              </w:rPr>
              <w:t>水管</w:t>
            </w:r>
            <w:r>
              <w:rPr>
                <w:rFonts w:hint="eastAsia" w:ascii="MS UI Gothic" w:eastAsia="MS UI Gothic"/>
                <w:sz w:val="15"/>
              </w:rPr>
              <w:t xml:space="preserve">、 </w:t>
            </w:r>
            <w:r>
              <w:rPr>
                <w:sz w:val="15"/>
              </w:rPr>
              <w:t>风筒</w:t>
            </w:r>
            <w:r>
              <w:rPr>
                <w:rFonts w:hint="eastAsia" w:ascii="MS UI Gothic" w:eastAsia="MS UI Gothic"/>
                <w:sz w:val="15"/>
              </w:rPr>
              <w:t xml:space="preserve">、 </w:t>
            </w:r>
            <w:r>
              <w:rPr>
                <w:sz w:val="15"/>
              </w:rPr>
              <w:t>注浆管的悬挂装置</w:t>
            </w:r>
          </w:p>
        </w:tc>
        <w:tc>
          <w:tcPr>
            <w:tcW w:w="1122" w:type="dxa"/>
            <w:tcBorders>
              <w:top w:val="single" w:color="231F20" w:sz="4" w:space="0"/>
              <w:left w:val="single" w:color="231F20" w:sz="4" w:space="0"/>
              <w:bottom w:val="single" w:color="231F20" w:sz="4" w:space="0"/>
            </w:tcBorders>
          </w:tcPr>
          <w:p>
            <w:pPr>
              <w:pStyle w:val="11"/>
              <w:spacing w:before="55"/>
              <w:ind w:left="15"/>
              <w:jc w:val="center"/>
              <w:rPr>
                <w:rFonts w:hint="eastAsia" w:ascii="MS UI Gothic" w:eastAsia="MS UI Gothic"/>
                <w:sz w:val="15"/>
              </w:rPr>
            </w:pPr>
            <w:r>
              <w:rPr>
                <w:rFonts w:hint="eastAsia" w:ascii="MS UI Gothic" w:eastAsia="MS UI Gothic"/>
                <w:w w:val="75"/>
                <w:sz w:val="15"/>
              </w:rPr>
              <w:t>８</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5570" w:type="dxa"/>
            <w:vMerge w:val="restart"/>
            <w:tcBorders>
              <w:top w:val="single" w:color="231F20" w:sz="4" w:space="0"/>
              <w:right w:val="single" w:color="231F20" w:sz="4" w:space="0"/>
            </w:tcBorders>
          </w:tcPr>
          <w:p>
            <w:pPr>
              <w:pStyle w:val="11"/>
              <w:spacing w:before="214"/>
              <w:ind w:left="263"/>
              <w:rPr>
                <w:sz w:val="15"/>
              </w:rPr>
            </w:pPr>
            <w:r>
              <w:rPr>
                <w:sz w:val="15"/>
              </w:rPr>
              <w:t>倾斜井巷中使用的单轨吊车</w:t>
            </w:r>
            <w:r>
              <w:rPr>
                <w:rFonts w:hint="eastAsia" w:ascii="MS UI Gothic" w:eastAsia="MS UI Gothic"/>
                <w:sz w:val="15"/>
              </w:rPr>
              <w:t xml:space="preserve">、 </w:t>
            </w:r>
            <w:r>
              <w:rPr>
                <w:sz w:val="15"/>
              </w:rPr>
              <w:t>卡轨车和齿轨车的连接装置</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5"/>
              <w:ind w:left="224" w:right="209"/>
              <w:jc w:val="center"/>
              <w:rPr>
                <w:sz w:val="15"/>
              </w:rPr>
            </w:pPr>
            <w:r>
              <w:rPr>
                <w:w w:val="105"/>
                <w:sz w:val="15"/>
              </w:rPr>
              <w:t>运人时</w:t>
            </w:r>
          </w:p>
        </w:tc>
        <w:tc>
          <w:tcPr>
            <w:tcW w:w="1122" w:type="dxa"/>
            <w:tcBorders>
              <w:top w:val="single" w:color="231F20" w:sz="4" w:space="0"/>
              <w:left w:val="single" w:color="231F20" w:sz="4" w:space="0"/>
              <w:bottom w:val="single" w:color="231F20" w:sz="4" w:space="0"/>
            </w:tcBorders>
          </w:tcPr>
          <w:p>
            <w:pPr>
              <w:pStyle w:val="11"/>
              <w:spacing w:before="55"/>
              <w:ind w:left="307" w:right="292"/>
              <w:jc w:val="center"/>
              <w:rPr>
                <w:rFonts w:hint="eastAsia" w:ascii="MS UI Gothic" w:eastAsia="MS UI Gothic"/>
                <w:sz w:val="15"/>
              </w:rPr>
            </w:pPr>
            <w:r>
              <w:rPr>
                <w:rFonts w:hint="eastAsia" w:ascii="MS UI Gothic" w:eastAsia="MS UI Gothic"/>
                <w:w w:val="85"/>
                <w:sz w:val="15"/>
              </w:rPr>
              <w:t>１３</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98" w:hRule="atLeast"/>
        </w:trPr>
        <w:tc>
          <w:tcPr>
            <w:tcW w:w="5570" w:type="dxa"/>
            <w:vMerge w:val="continue"/>
            <w:tcBorders>
              <w:top w:val="nil"/>
              <w:right w:val="single" w:color="231F20" w:sz="4" w:space="0"/>
            </w:tcBorders>
          </w:tcPr>
          <w:p>
            <w:pPr>
              <w:rPr>
                <w:sz w:val="2"/>
                <w:szCs w:val="2"/>
              </w:rPr>
            </w:pPr>
          </w:p>
        </w:tc>
        <w:tc>
          <w:tcPr>
            <w:tcW w:w="1273" w:type="dxa"/>
            <w:tcBorders>
              <w:top w:val="single" w:color="231F20" w:sz="4" w:space="0"/>
              <w:left w:val="single" w:color="231F20" w:sz="4" w:space="0"/>
              <w:right w:val="single" w:color="231F20" w:sz="4" w:space="0"/>
            </w:tcBorders>
          </w:tcPr>
          <w:p>
            <w:pPr>
              <w:pStyle w:val="11"/>
              <w:spacing w:before="50"/>
              <w:ind w:left="224" w:right="209"/>
              <w:jc w:val="center"/>
              <w:rPr>
                <w:sz w:val="15"/>
              </w:rPr>
            </w:pPr>
            <w:r>
              <w:rPr>
                <w:w w:val="105"/>
                <w:sz w:val="15"/>
              </w:rPr>
              <w:t>运物时</w:t>
            </w:r>
          </w:p>
        </w:tc>
        <w:tc>
          <w:tcPr>
            <w:tcW w:w="1122" w:type="dxa"/>
            <w:tcBorders>
              <w:top w:val="single" w:color="231F20" w:sz="4" w:space="0"/>
              <w:left w:val="single" w:color="231F20" w:sz="4" w:space="0"/>
            </w:tcBorders>
          </w:tcPr>
          <w:p>
            <w:pPr>
              <w:pStyle w:val="11"/>
              <w:spacing w:before="50"/>
              <w:ind w:left="307" w:right="292"/>
              <w:jc w:val="center"/>
              <w:rPr>
                <w:rFonts w:hint="eastAsia" w:ascii="MS UI Gothic" w:eastAsia="MS UI Gothic"/>
                <w:sz w:val="15"/>
              </w:rPr>
            </w:pPr>
            <w:r>
              <w:rPr>
                <w:rFonts w:hint="eastAsia" w:ascii="MS UI Gothic" w:eastAsia="MS UI Gothic"/>
                <w:w w:val="85"/>
                <w:sz w:val="15"/>
              </w:rPr>
              <w:t>１０</w:t>
            </w:r>
          </w:p>
        </w:tc>
      </w:tr>
    </w:tbl>
    <w:p>
      <w:pPr>
        <w:spacing w:before="78"/>
        <w:ind w:left="600" w:right="0" w:firstLine="0"/>
        <w:jc w:val="left"/>
        <w:rPr>
          <w:rFonts w:hint="eastAsia" w:ascii="MS UI Gothic" w:eastAsia="MS UI Gothic"/>
          <w:sz w:val="15"/>
        </w:rPr>
      </w:pPr>
      <w:r>
        <w:rPr>
          <w:w w:val="110"/>
          <w:sz w:val="15"/>
        </w:rPr>
        <w:t>注</w:t>
      </w:r>
      <w:r>
        <w:rPr>
          <w:rFonts w:hint="eastAsia" w:ascii="MS UI Gothic" w:eastAsia="MS UI Gothic"/>
          <w:w w:val="235"/>
          <w:sz w:val="15"/>
        </w:rPr>
        <w:t xml:space="preserve">: </w:t>
      </w:r>
      <w:r>
        <w:rPr>
          <w:w w:val="110"/>
          <w:sz w:val="15"/>
        </w:rPr>
        <w:t>连接装置的安全系数等于主要受力部件的破断力与其所承受的最大静载荷之比</w:t>
      </w:r>
      <w:r>
        <w:rPr>
          <w:rFonts w:hint="eastAsia" w:ascii="MS UI Gothic" w:eastAsia="MS UI Gothic"/>
          <w:w w:val="80"/>
          <w:sz w:val="15"/>
        </w:rPr>
        <w:t>ꎮ</w:t>
      </w:r>
    </w:p>
    <w:p>
      <w:pPr>
        <w:pStyle w:val="6"/>
        <w:spacing w:before="11"/>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75" w:line="295" w:lineRule="auto"/>
        <w:ind w:left="440" w:right="1"/>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各种连接装置主要受力件的冲</w:t>
      </w:r>
      <w:r>
        <w:rPr>
          <w:w w:val="115"/>
        </w:rPr>
        <w:t>击功必须符合下列要求</w:t>
      </w:r>
      <w:r>
        <w:rPr>
          <w:rFonts w:hint="eastAsia" w:ascii="MS UI Gothic" w:eastAsia="MS UI Gothic"/>
          <w:w w:val="235"/>
        </w:rPr>
        <w:t>:</w:t>
      </w:r>
    </w:p>
    <w:p>
      <w:pPr>
        <w:pStyle w:val="6"/>
        <w:spacing w:line="255" w:lineRule="exact"/>
        <w:ind w:left="854" w:firstLine="0"/>
        <w:jc w:val="left"/>
        <w:rPr>
          <w:rFonts w:hint="eastAsia" w:ascii="MS UI Gothic" w:hAnsi="MS UI Gothic" w:eastAsia="MS UI Gothic"/>
        </w:rPr>
      </w:pPr>
      <w:r>
        <w:rPr>
          <w:rFonts w:hint="eastAsia" w:ascii="MS UI Gothic" w:hAnsi="MS UI Gothic" w:eastAsia="MS UI Gothic"/>
          <w:w w:val="75"/>
        </w:rPr>
        <w:t>１</w:t>
      </w:r>
      <w:r>
        <w:rPr>
          <w:rFonts w:hint="eastAsia" w:ascii="MS UI Gothic" w:hAnsi="MS UI Gothic" w:eastAsia="MS UI Gothic"/>
          <w:spacing w:val="-7"/>
        </w:rPr>
        <w:t xml:space="preserve">  </w:t>
      </w:r>
      <w:r>
        <w:rPr>
          <w:spacing w:val="1"/>
          <w:w w:val="102"/>
        </w:rPr>
        <w:t>常温</w:t>
      </w:r>
      <w:r>
        <w:rPr>
          <w:spacing w:val="8"/>
        </w:rPr>
        <w:t xml:space="preserve"> </w:t>
      </w:r>
      <w:r>
        <w:rPr>
          <w:rFonts w:hint="eastAsia" w:ascii="MS UI Gothic" w:hAnsi="MS UI Gothic" w:eastAsia="MS UI Gothic"/>
          <w:spacing w:val="15"/>
          <w:w w:val="168"/>
        </w:rPr>
        <w:t>(</w:t>
      </w:r>
      <w:r>
        <w:rPr>
          <w:rFonts w:hint="eastAsia" w:ascii="MS UI Gothic" w:hAnsi="MS UI Gothic" w:eastAsia="MS UI Gothic"/>
          <w:w w:val="75"/>
        </w:rPr>
        <w:t>１５</w:t>
      </w:r>
      <w:r>
        <w:rPr>
          <w:rFonts w:hint="eastAsia" w:ascii="MS UI Gothic" w:hAnsi="MS UI Gothic" w:eastAsia="MS UI Gothic"/>
          <w:spacing w:val="14"/>
        </w:rPr>
        <w:t xml:space="preserve"> </w:t>
      </w:r>
      <w:r>
        <w:rPr>
          <w:rFonts w:hint="eastAsia" w:ascii="MS UI Gothic" w:hAnsi="MS UI Gothic" w:eastAsia="MS UI Gothic"/>
          <w:w w:val="89"/>
        </w:rPr>
        <w:t>℃</w:t>
      </w:r>
      <w:r>
        <w:rPr>
          <w:rFonts w:hint="eastAsia" w:ascii="MS UI Gothic" w:hAnsi="MS UI Gothic" w:eastAsia="MS UI Gothic"/>
          <w:spacing w:val="-31"/>
        </w:rPr>
        <w:t xml:space="preserve"> </w:t>
      </w:r>
      <w:r>
        <w:rPr>
          <w:rFonts w:hint="eastAsia" w:ascii="MS UI Gothic" w:hAnsi="MS UI Gothic" w:eastAsia="MS UI Gothic"/>
          <w:w w:val="168"/>
        </w:rPr>
        <w:t>)</w:t>
      </w:r>
      <w:r>
        <w:rPr>
          <w:rFonts w:hint="eastAsia" w:ascii="MS UI Gothic" w:hAnsi="MS UI Gothic" w:eastAsia="MS UI Gothic"/>
          <w:spacing w:val="2"/>
        </w:rPr>
        <w:t xml:space="preserve">  </w:t>
      </w:r>
      <w:r>
        <w:rPr>
          <w:spacing w:val="2"/>
          <w:w w:val="102"/>
        </w:rPr>
        <w:t>下不小于</w:t>
      </w:r>
      <w:r>
        <w:rPr>
          <w:spacing w:val="-50"/>
        </w:rPr>
        <w:t xml:space="preserve"> </w:t>
      </w:r>
      <w:r>
        <w:rPr>
          <w:rFonts w:hint="eastAsia" w:ascii="MS UI Gothic" w:hAnsi="MS UI Gothic" w:eastAsia="MS UI Gothic"/>
          <w:w w:val="75"/>
        </w:rPr>
        <w:t>１００</w:t>
      </w:r>
      <w:r>
        <w:rPr>
          <w:rFonts w:hint="eastAsia" w:ascii="MS UI Gothic" w:hAnsi="MS UI Gothic" w:eastAsia="MS UI Gothic"/>
          <w:spacing w:val="14"/>
        </w:rPr>
        <w:t xml:space="preserve"> </w:t>
      </w:r>
      <w:r>
        <w:rPr>
          <w:rFonts w:hint="eastAsia" w:ascii="MS UI Gothic" w:hAnsi="MS UI Gothic" w:eastAsia="MS UI Gothic"/>
          <w:spacing w:val="3"/>
          <w:w w:val="66"/>
        </w:rPr>
        <w:t>Ｊ</w:t>
      </w:r>
      <w:r>
        <w:rPr>
          <w:rFonts w:hint="eastAsia" w:ascii="MS UI Gothic" w:hAnsi="MS UI Gothic" w:eastAsia="MS UI Gothic"/>
          <w:w w:val="51"/>
        </w:rPr>
        <w:t>ꎻ</w:t>
      </w:r>
    </w:p>
    <w:p>
      <w:pPr>
        <w:pStyle w:val="6"/>
        <w:spacing w:before="48"/>
        <w:ind w:left="854" w:firstLine="0"/>
        <w:jc w:val="left"/>
        <w:rPr>
          <w:rFonts w:hint="eastAsia" w:ascii="MS UI Gothic" w:hAnsi="MS UI Gothic" w:eastAsia="MS UI Gothic"/>
        </w:rPr>
      </w:pPr>
      <w:r>
        <w:rPr>
          <w:rFonts w:hint="eastAsia" w:ascii="MS UI Gothic" w:hAnsi="MS UI Gothic" w:eastAsia="MS UI Gothic"/>
          <w:w w:val="75"/>
        </w:rPr>
        <w:t>２</w:t>
      </w:r>
      <w:r>
        <w:rPr>
          <w:rFonts w:hint="eastAsia" w:ascii="MS UI Gothic" w:hAnsi="MS UI Gothic" w:eastAsia="MS UI Gothic"/>
          <w:spacing w:val="-7"/>
        </w:rPr>
        <w:t xml:space="preserve">  </w:t>
      </w:r>
      <w:r>
        <w:rPr>
          <w:spacing w:val="1"/>
          <w:w w:val="102"/>
        </w:rPr>
        <w:t>低温</w:t>
      </w:r>
      <w:r>
        <w:rPr>
          <w:spacing w:val="8"/>
        </w:rPr>
        <w:t xml:space="preserve"> </w:t>
      </w:r>
      <w:r>
        <w:rPr>
          <w:rFonts w:hint="eastAsia" w:ascii="MS UI Gothic" w:hAnsi="MS UI Gothic" w:eastAsia="MS UI Gothic"/>
          <w:spacing w:val="27"/>
          <w:w w:val="168"/>
        </w:rPr>
        <w:t>(</w:t>
      </w:r>
      <w:r>
        <w:rPr>
          <w:rFonts w:hint="eastAsia" w:ascii="MS UI Gothic" w:hAnsi="MS UI Gothic" w:eastAsia="MS UI Gothic"/>
          <w:spacing w:val="11"/>
          <w:w w:val="56"/>
          <w:position w:val="1"/>
        </w:rPr>
        <w:t>－</w:t>
      </w:r>
      <w:r>
        <w:rPr>
          <w:rFonts w:hint="eastAsia" w:ascii="MS UI Gothic" w:hAnsi="MS UI Gothic" w:eastAsia="MS UI Gothic"/>
          <w:w w:val="75"/>
        </w:rPr>
        <w:t>３０</w:t>
      </w:r>
      <w:r>
        <w:rPr>
          <w:rFonts w:hint="eastAsia" w:ascii="MS UI Gothic" w:hAnsi="MS UI Gothic" w:eastAsia="MS UI Gothic"/>
          <w:spacing w:val="14"/>
        </w:rPr>
        <w:t xml:space="preserve"> </w:t>
      </w:r>
      <w:r>
        <w:rPr>
          <w:rFonts w:hint="eastAsia" w:ascii="MS UI Gothic" w:hAnsi="MS UI Gothic" w:eastAsia="MS UI Gothic"/>
          <w:w w:val="89"/>
        </w:rPr>
        <w:t>℃</w:t>
      </w:r>
      <w:r>
        <w:rPr>
          <w:rFonts w:hint="eastAsia" w:ascii="MS UI Gothic" w:hAnsi="MS UI Gothic" w:eastAsia="MS UI Gothic"/>
          <w:spacing w:val="-31"/>
        </w:rPr>
        <w:t xml:space="preserve"> </w:t>
      </w:r>
      <w:r>
        <w:rPr>
          <w:rFonts w:hint="eastAsia" w:ascii="MS UI Gothic" w:hAnsi="MS UI Gothic" w:eastAsia="MS UI Gothic"/>
          <w:w w:val="168"/>
        </w:rPr>
        <w:t>)</w:t>
      </w:r>
      <w:r>
        <w:rPr>
          <w:rFonts w:hint="eastAsia" w:ascii="MS UI Gothic" w:hAnsi="MS UI Gothic" w:eastAsia="MS UI Gothic"/>
          <w:spacing w:val="2"/>
        </w:rPr>
        <w:t xml:space="preserve">  </w:t>
      </w:r>
      <w:r>
        <w:rPr>
          <w:spacing w:val="2"/>
          <w:w w:val="102"/>
        </w:rPr>
        <w:t>下不小于</w:t>
      </w:r>
      <w:r>
        <w:rPr>
          <w:spacing w:val="-50"/>
        </w:rPr>
        <w:t xml:space="preserve"> </w:t>
      </w:r>
      <w:r>
        <w:rPr>
          <w:rFonts w:hint="eastAsia" w:ascii="MS UI Gothic" w:hAnsi="MS UI Gothic" w:eastAsia="MS UI Gothic"/>
          <w:w w:val="75"/>
        </w:rPr>
        <w:t>７０</w:t>
      </w:r>
      <w:r>
        <w:rPr>
          <w:rFonts w:hint="eastAsia" w:ascii="MS UI Gothic" w:hAnsi="MS UI Gothic" w:eastAsia="MS UI Gothic"/>
          <w:spacing w:val="14"/>
        </w:rPr>
        <w:t xml:space="preserve"> </w:t>
      </w:r>
      <w:r>
        <w:rPr>
          <w:rFonts w:hint="eastAsia" w:ascii="MS UI Gothic" w:hAnsi="MS UI Gothic" w:eastAsia="MS UI Gothic"/>
          <w:spacing w:val="3"/>
          <w:w w:val="66"/>
        </w:rPr>
        <w:t>Ｊ</w:t>
      </w:r>
      <w:r>
        <w:rPr>
          <w:rFonts w:hint="eastAsia" w:ascii="MS UI Gothic" w:hAnsi="MS UI Gothic" w:eastAsia="MS UI Gothic"/>
          <w:w w:val="51"/>
        </w:rPr>
        <w:t>ꎮ</w:t>
      </w:r>
    </w:p>
    <w:p>
      <w:pPr>
        <w:pStyle w:val="6"/>
        <w:spacing w:before="58" w:line="295" w:lineRule="auto"/>
        <w:ind w:left="440" w:right="1"/>
        <w:rPr>
          <w:rFonts w:hint="eastAsia" w:ascii="MS UI Gothic" w:eastAsia="MS UI Gothic"/>
        </w:rPr>
      </w:pPr>
      <w:r>
        <w:rPr>
          <w:rFonts w:hint="eastAsia" w:ascii="MS UI Gothic" w:eastAsia="MS UI Gothic"/>
          <w:w w:val="115"/>
        </w:rPr>
        <w:t xml:space="preserve">( </w:t>
      </w:r>
      <w:r>
        <w:rPr>
          <w:w w:val="110"/>
        </w:rPr>
        <w:t>四</w:t>
      </w:r>
      <w:r>
        <w:rPr>
          <w:rFonts w:hint="eastAsia" w:ascii="MS UI Gothic" w:eastAsia="MS UI Gothic"/>
          <w:w w:val="115"/>
        </w:rPr>
        <w:t xml:space="preserve">) </w:t>
      </w:r>
      <w:r>
        <w:rPr>
          <w:w w:val="110"/>
        </w:rPr>
        <w:t>各种保险链以及矿车的连接环</w:t>
      </w:r>
      <w:r>
        <w:rPr>
          <w:rFonts w:hint="eastAsia" w:ascii="MS UI Gothic" w:eastAsia="MS UI Gothic"/>
          <w:w w:val="80"/>
        </w:rPr>
        <w:t xml:space="preserve">、 </w:t>
      </w:r>
      <w:r>
        <w:rPr>
          <w:w w:val="110"/>
        </w:rPr>
        <w:t>链和插销等</w:t>
      </w:r>
      <w:r>
        <w:rPr>
          <w:rFonts w:hint="eastAsia" w:ascii="MS UI Gothic" w:eastAsia="MS UI Gothic"/>
          <w:w w:val="80"/>
        </w:rPr>
        <w:t xml:space="preserve">ꎬ </w:t>
      </w:r>
      <w:r>
        <w:rPr>
          <w:w w:val="110"/>
        </w:rPr>
        <w:t>必须符合下列要求</w:t>
      </w:r>
      <w:r>
        <w:rPr>
          <w:rFonts w:hint="eastAsia" w:ascii="MS UI Gothic" w:eastAsia="MS UI Gothic"/>
          <w:w w:val="235"/>
        </w:rPr>
        <w:t>:</w:t>
      </w:r>
    </w:p>
    <w:p>
      <w:pPr>
        <w:pStyle w:val="6"/>
        <w:spacing w:line="295" w:lineRule="auto"/>
        <w:ind w:left="440" w:right="1" w:firstLine="413"/>
        <w:rPr>
          <w:rFonts w:hint="eastAsia" w:ascii="MS UI Gothic" w:eastAsia="MS UI Gothic"/>
        </w:rPr>
      </w:pPr>
      <w:r>
        <w:rPr>
          <w:rFonts w:hint="eastAsia" w:ascii="MS UI Gothic" w:eastAsia="MS UI Gothic"/>
        </w:rPr>
        <w:t xml:space="preserve">１ </w:t>
      </w:r>
      <w:r>
        <w:t>批量生产的</w:t>
      </w:r>
      <w:r>
        <w:rPr>
          <w:rFonts w:hint="eastAsia" w:ascii="MS UI Gothic" w:eastAsia="MS UI Gothic"/>
          <w:w w:val="85"/>
        </w:rPr>
        <w:t xml:space="preserve">ꎬ </w:t>
      </w:r>
      <w:r>
        <w:t>必须做抽样拉断试验</w:t>
      </w:r>
      <w:r>
        <w:rPr>
          <w:rFonts w:hint="eastAsia" w:ascii="MS UI Gothic" w:eastAsia="MS UI Gothic"/>
          <w:w w:val="85"/>
        </w:rPr>
        <w:t xml:space="preserve">ꎬ </w:t>
      </w:r>
      <w:r>
        <w:t>不符合要求时不得使用</w:t>
      </w:r>
      <w:r>
        <w:rPr>
          <w:rFonts w:hint="eastAsia" w:ascii="MS UI Gothic" w:eastAsia="MS UI Gothic"/>
          <w:w w:val="85"/>
        </w:rPr>
        <w:t>ꎻ</w:t>
      </w:r>
    </w:p>
    <w:p>
      <w:pPr>
        <w:pStyle w:val="6"/>
        <w:spacing w:line="295" w:lineRule="auto"/>
        <w:ind w:left="435"/>
        <w:rPr>
          <w:rFonts w:hint="eastAsia" w:ascii="MS UI Gothic" w:eastAsia="MS UI Gothic"/>
        </w:rPr>
      </w:pPr>
      <w:r>
        <w:rPr>
          <w:rFonts w:hint="eastAsia" w:ascii="MS UI Gothic" w:eastAsia="MS UI Gothic"/>
          <w:w w:val="85"/>
        </w:rPr>
        <w:t xml:space="preserve">２ </w:t>
      </w:r>
      <w:r>
        <w:t xml:space="preserve">初次使用前和使用后每隔 </w:t>
      </w:r>
      <w:r>
        <w:rPr>
          <w:rFonts w:hint="eastAsia" w:ascii="MS UI Gothic" w:eastAsia="MS UI Gothic"/>
          <w:w w:val="85"/>
        </w:rPr>
        <w:t xml:space="preserve">２ </w:t>
      </w:r>
      <w:r>
        <w:t>年</w:t>
      </w:r>
      <w:r>
        <w:rPr>
          <w:rFonts w:hint="eastAsia" w:ascii="MS UI Gothic" w:eastAsia="MS UI Gothic"/>
          <w:w w:val="85"/>
        </w:rPr>
        <w:t>ꎬ</w:t>
      </w:r>
      <w:r>
        <w:t xml:space="preserve">必须逐个以 </w:t>
      </w:r>
      <w:r>
        <w:rPr>
          <w:rFonts w:hint="eastAsia" w:ascii="MS UI Gothic" w:eastAsia="MS UI Gothic"/>
          <w:w w:val="85"/>
        </w:rPr>
        <w:t xml:space="preserve">２ </w:t>
      </w:r>
      <w:r>
        <w:t>倍于其最大静荷重的拉力进行试验</w:t>
      </w:r>
      <w:r>
        <w:rPr>
          <w:rFonts w:hint="eastAsia" w:ascii="MS UI Gothic" w:eastAsia="MS UI Gothic"/>
          <w:w w:val="85"/>
        </w:rPr>
        <w:t xml:space="preserve">ꎬ </w:t>
      </w:r>
      <w:r>
        <w:t>发现裂纹或者永久伸长量超过</w:t>
      </w:r>
      <w:r>
        <w:rPr>
          <w:rFonts w:hint="eastAsia" w:ascii="MS UI Gothic" w:eastAsia="MS UI Gothic"/>
          <w:w w:val="85"/>
        </w:rPr>
        <w:t>０ ２</w:t>
      </w:r>
      <w:r>
        <w:rPr>
          <w:w w:val="85"/>
        </w:rPr>
        <w:t xml:space="preserve">％ </w:t>
      </w:r>
      <w:r>
        <w:t>时</w:t>
      </w:r>
      <w:r>
        <w:rPr>
          <w:rFonts w:hint="eastAsia" w:ascii="MS UI Gothic" w:eastAsia="MS UI Gothic"/>
          <w:w w:val="85"/>
        </w:rPr>
        <w:t xml:space="preserve">ꎬ </w:t>
      </w:r>
      <w:r>
        <w:t>不得使用</w:t>
      </w:r>
      <w:r>
        <w:rPr>
          <w:rFonts w:hint="eastAsia" w:ascii="MS UI Gothic" w:eastAsia="MS UI Gothic"/>
          <w:w w:val="85"/>
        </w:rPr>
        <w:t>ꎮ</w:t>
      </w:r>
    </w:p>
    <w:p>
      <w:pPr>
        <w:pStyle w:val="6"/>
        <w:spacing w:line="295" w:lineRule="auto"/>
        <w:ind w:left="435" w:firstLine="425"/>
        <w:rPr>
          <w:rFonts w:hint="eastAsia" w:ascii="MS UI Gothic" w:eastAsia="MS UI Gothic"/>
        </w:rPr>
      </w:pPr>
      <w:r>
        <w:rPr>
          <w:rFonts w:hint="eastAsia" w:ascii="MS UI Gothic" w:eastAsia="MS UI Gothic"/>
          <w:w w:val="150"/>
        </w:rPr>
        <w:t xml:space="preserve">( </w:t>
      </w:r>
      <w:r>
        <w:t>五</w:t>
      </w:r>
      <w:r>
        <w:rPr>
          <w:rFonts w:hint="eastAsia" w:ascii="MS UI Gothic" w:eastAsia="MS UI Gothic"/>
          <w:w w:val="150"/>
        </w:rPr>
        <w:t xml:space="preserve">) </w:t>
      </w:r>
      <w:r>
        <w:t>立井提升容器与提升钢丝绳的连接</w:t>
      </w:r>
      <w:r>
        <w:rPr>
          <w:rFonts w:hint="eastAsia" w:ascii="MS UI Gothic" w:eastAsia="MS UI Gothic"/>
          <w:w w:val="80"/>
        </w:rPr>
        <w:t xml:space="preserve">ꎬ </w:t>
      </w:r>
      <w:r>
        <w:t>应当采用楔形连接装置</w:t>
      </w:r>
      <w:r>
        <w:rPr>
          <w:rFonts w:hint="eastAsia" w:ascii="MS UI Gothic" w:eastAsia="MS UI Gothic"/>
          <w:w w:val="80"/>
        </w:rPr>
        <w:t xml:space="preserve">ꎮ </w:t>
      </w:r>
      <w:r>
        <w:t>每次更换钢丝绳时</w:t>
      </w:r>
      <w:r>
        <w:rPr>
          <w:rFonts w:hint="eastAsia" w:ascii="MS UI Gothic" w:eastAsia="MS UI Gothic"/>
          <w:w w:val="80"/>
        </w:rPr>
        <w:t xml:space="preserve">ꎬ </w:t>
      </w:r>
      <w:r>
        <w:t>必须对连接装置的主要受力部件进行探伤检验</w:t>
      </w:r>
      <w:r>
        <w:rPr>
          <w:rFonts w:hint="eastAsia" w:ascii="MS UI Gothic" w:eastAsia="MS UI Gothic"/>
          <w:w w:val="80"/>
        </w:rPr>
        <w:t xml:space="preserve">ꎬ </w:t>
      </w:r>
      <w:r>
        <w:t>合格后方可继续使用</w:t>
      </w:r>
      <w:r>
        <w:rPr>
          <w:rFonts w:hint="eastAsia" w:ascii="MS UI Gothic" w:eastAsia="MS UI Gothic"/>
          <w:w w:val="80"/>
        </w:rPr>
        <w:t>ꎮ</w:t>
      </w:r>
      <w:r>
        <w:t>楔形连接装置的累计使用期限</w:t>
      </w:r>
      <w:r>
        <w:rPr>
          <w:rFonts w:hint="eastAsia" w:ascii="MS UI Gothic" w:eastAsia="MS UI Gothic"/>
          <w:w w:val="230"/>
        </w:rPr>
        <w:t xml:space="preserve">: </w:t>
      </w:r>
      <w:r>
        <w:t xml:space="preserve">单绳提升不得超过 </w:t>
      </w:r>
      <w:r>
        <w:rPr>
          <w:rFonts w:hint="eastAsia" w:ascii="MS UI Gothic" w:eastAsia="MS UI Gothic"/>
          <w:w w:val="80"/>
        </w:rPr>
        <w:t xml:space="preserve">１０ </w:t>
      </w:r>
      <w:r>
        <w:t>年</w:t>
      </w:r>
      <w:r>
        <w:rPr>
          <w:rFonts w:hint="eastAsia" w:ascii="MS UI Gothic" w:eastAsia="MS UI Gothic"/>
          <w:w w:val="80"/>
        </w:rPr>
        <w:t xml:space="preserve">ꎻ </w:t>
      </w:r>
      <w:r>
        <w:t>多绳提升不得超过</w:t>
      </w:r>
      <w:r>
        <w:rPr>
          <w:rFonts w:hint="eastAsia" w:ascii="MS UI Gothic" w:eastAsia="MS UI Gothic"/>
          <w:w w:val="80"/>
        </w:rPr>
        <w:t xml:space="preserve">１５ </w:t>
      </w:r>
      <w:r>
        <w:t>年</w:t>
      </w:r>
      <w:r>
        <w:rPr>
          <w:rFonts w:hint="eastAsia" w:ascii="MS UI Gothic" w:eastAsia="MS UI Gothic"/>
          <w:w w:val="80"/>
        </w:rPr>
        <w:t>ꎮ</w:t>
      </w:r>
    </w:p>
    <w:p>
      <w:pPr>
        <w:pStyle w:val="6"/>
        <w:spacing w:before="175" w:line="295" w:lineRule="auto"/>
        <w:ind w:left="381" w:right="126"/>
        <w:rPr>
          <w:rFonts w:hint="eastAsia" w:ascii="MS UI Gothic" w:eastAsia="MS UI Gothic"/>
        </w:rPr>
      </w:pPr>
      <w:r>
        <w:br w:type="column"/>
      </w: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倾斜井巷运输时</w:t>
      </w:r>
      <w:r>
        <w:rPr>
          <w:rFonts w:hint="eastAsia" w:ascii="MS UI Gothic" w:eastAsia="MS UI Gothic"/>
          <w:w w:val="80"/>
        </w:rPr>
        <w:t xml:space="preserve">ꎬ </w:t>
      </w:r>
      <w:r>
        <w:rPr>
          <w:w w:val="105"/>
        </w:rPr>
        <w:t>矿车之间的连接</w:t>
      </w:r>
      <w:r>
        <w:rPr>
          <w:rFonts w:hint="eastAsia" w:ascii="MS UI Gothic" w:eastAsia="MS UI Gothic"/>
          <w:w w:val="80"/>
        </w:rPr>
        <w:t xml:space="preserve">、 </w:t>
      </w:r>
      <w:r>
        <w:rPr>
          <w:w w:val="105"/>
        </w:rPr>
        <w:t>矿车与钢丝绳之间的连接</w:t>
      </w:r>
      <w:r>
        <w:rPr>
          <w:rFonts w:hint="eastAsia" w:ascii="MS UI Gothic" w:eastAsia="MS UI Gothic"/>
          <w:w w:val="80"/>
        </w:rPr>
        <w:t xml:space="preserve">ꎬ </w:t>
      </w:r>
      <w:r>
        <w:rPr>
          <w:w w:val="105"/>
        </w:rPr>
        <w:t>必须使</w:t>
      </w:r>
      <w:r>
        <w:t>用不能自行脱落的连接装置</w:t>
      </w:r>
      <w:r>
        <w:rPr>
          <w:rFonts w:hint="eastAsia" w:ascii="MS UI Gothic" w:eastAsia="MS UI Gothic"/>
          <w:w w:val="80"/>
        </w:rPr>
        <w:t xml:space="preserve">ꎬ </w:t>
      </w:r>
      <w:r>
        <w:t>并加装保</w:t>
      </w:r>
      <w:r>
        <w:rPr>
          <w:w w:val="105"/>
        </w:rPr>
        <w:t>险绳</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七</w:t>
      </w:r>
      <w:r>
        <w:rPr>
          <w:rFonts w:hint="eastAsia" w:ascii="MS UI Gothic" w:eastAsia="MS UI Gothic"/>
          <w:spacing w:val="3"/>
          <w:w w:val="150"/>
        </w:rPr>
        <w:t xml:space="preserve">) </w:t>
      </w:r>
      <w:r>
        <w:rPr>
          <w:spacing w:val="5"/>
          <w:w w:val="105"/>
        </w:rPr>
        <w:t>倾斜井巷运输用的钢丝绳连接</w:t>
      </w:r>
      <w:r>
        <w:rPr>
          <w:spacing w:val="4"/>
          <w:w w:val="105"/>
        </w:rPr>
        <w:t>装置</w:t>
      </w:r>
      <w:r>
        <w:rPr>
          <w:rFonts w:hint="eastAsia" w:ascii="MS UI Gothic" w:eastAsia="MS UI Gothic"/>
          <w:w w:val="80"/>
        </w:rPr>
        <w:t xml:space="preserve">ꎬ </w:t>
      </w:r>
      <w:r>
        <w:rPr>
          <w:spacing w:val="3"/>
          <w:w w:val="105"/>
        </w:rPr>
        <w:t>在每次换钢丝绳时</w:t>
      </w:r>
      <w:r>
        <w:rPr>
          <w:rFonts w:hint="eastAsia" w:ascii="MS UI Gothic" w:eastAsia="MS UI Gothic"/>
          <w:w w:val="80"/>
        </w:rPr>
        <w:t xml:space="preserve">ꎬ </w:t>
      </w:r>
      <w:r>
        <w:rPr>
          <w:spacing w:val="-19"/>
          <w:w w:val="105"/>
        </w:rPr>
        <w:t xml:space="preserve">必须用 </w:t>
      </w:r>
      <w:r>
        <w:rPr>
          <w:rFonts w:hint="eastAsia" w:ascii="MS UI Gothic" w:eastAsia="MS UI Gothic"/>
          <w:spacing w:val="-11"/>
          <w:w w:val="80"/>
        </w:rPr>
        <w:t xml:space="preserve">２ </w:t>
      </w:r>
      <w:r>
        <w:rPr>
          <w:spacing w:val="3"/>
          <w:w w:val="105"/>
        </w:rPr>
        <w:t>倍于其最大静荷重的拉力进行试验</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八</w:t>
      </w:r>
      <w:r>
        <w:rPr>
          <w:rFonts w:hint="eastAsia" w:ascii="MS UI Gothic" w:eastAsia="MS UI Gothic"/>
          <w:spacing w:val="3"/>
          <w:w w:val="150"/>
        </w:rPr>
        <w:t xml:space="preserve">) </w:t>
      </w:r>
      <w:r>
        <w:rPr>
          <w:spacing w:val="5"/>
          <w:w w:val="105"/>
        </w:rPr>
        <w:t>倾斜井巷运输用的矿车连接装</w:t>
      </w:r>
      <w:r>
        <w:rPr>
          <w:spacing w:val="3"/>
          <w:w w:val="105"/>
        </w:rPr>
        <w:t>置</w:t>
      </w:r>
      <w:r>
        <w:rPr>
          <w:rFonts w:hint="eastAsia" w:ascii="MS UI Gothic" w:eastAsia="MS UI Gothic"/>
          <w:spacing w:val="8"/>
          <w:w w:val="80"/>
        </w:rPr>
        <w:t xml:space="preserve">ꎬ </w:t>
      </w:r>
      <w:r>
        <w:rPr>
          <w:spacing w:val="-7"/>
          <w:w w:val="105"/>
        </w:rPr>
        <w:t xml:space="preserve">必须至少每年进行 </w:t>
      </w:r>
      <w:r>
        <w:rPr>
          <w:rFonts w:hint="eastAsia" w:ascii="MS UI Gothic" w:eastAsia="MS UI Gothic"/>
          <w:spacing w:val="-7"/>
          <w:w w:val="80"/>
        </w:rPr>
        <w:t xml:space="preserve">１ </w:t>
      </w:r>
      <w:r>
        <w:rPr>
          <w:spacing w:val="-37"/>
          <w:w w:val="105"/>
        </w:rPr>
        <w:t xml:space="preserve">次 </w:t>
      </w:r>
      <w:r>
        <w:rPr>
          <w:rFonts w:hint="eastAsia" w:ascii="MS UI Gothic" w:eastAsia="MS UI Gothic"/>
          <w:spacing w:val="-7"/>
          <w:w w:val="80"/>
        </w:rPr>
        <w:t xml:space="preserve">２ </w:t>
      </w:r>
      <w:r>
        <w:rPr>
          <w:spacing w:val="3"/>
          <w:w w:val="105"/>
        </w:rPr>
        <w:t>倍于其最大静荷重的拉力试验</w:t>
      </w:r>
      <w:r>
        <w:rPr>
          <w:rFonts w:hint="eastAsia" w:ascii="MS UI Gothic" w:eastAsia="MS UI Gothic"/>
          <w:w w:val="80"/>
        </w:rPr>
        <w:t>ꎮ</w:t>
      </w:r>
    </w:p>
    <w:p>
      <w:pPr>
        <w:pStyle w:val="6"/>
        <w:tabs>
          <w:tab w:val="left" w:pos="2162"/>
        </w:tabs>
        <w:spacing w:before="149"/>
        <w:ind w:left="1324" w:firstLine="0"/>
        <w:jc w:val="left"/>
      </w:pPr>
      <w:r>
        <w:rPr>
          <w:spacing w:val="3"/>
          <w:w w:val="105"/>
        </w:rPr>
        <w:t>第四</w:t>
      </w:r>
      <w:r>
        <w:rPr>
          <w:w w:val="105"/>
        </w:rPr>
        <w:t>节</w:t>
      </w:r>
      <w:r>
        <w:rPr>
          <w:w w:val="105"/>
        </w:rPr>
        <w:tab/>
      </w:r>
      <w:r>
        <w:rPr>
          <w:w w:val="105"/>
        </w:rPr>
        <w:t>提</w:t>
      </w:r>
      <w:r>
        <w:rPr>
          <w:spacing w:val="-33"/>
          <w:w w:val="105"/>
        </w:rPr>
        <w:t xml:space="preserve"> </w:t>
      </w:r>
      <w:r>
        <w:rPr>
          <w:w w:val="105"/>
        </w:rPr>
        <w:t>升</w:t>
      </w:r>
      <w:r>
        <w:rPr>
          <w:spacing w:val="-33"/>
          <w:w w:val="105"/>
        </w:rPr>
        <w:t xml:space="preserve"> </w:t>
      </w:r>
      <w:r>
        <w:rPr>
          <w:w w:val="105"/>
        </w:rPr>
        <w:t>装</w:t>
      </w:r>
      <w:r>
        <w:rPr>
          <w:spacing w:val="-33"/>
          <w:w w:val="105"/>
        </w:rPr>
        <w:t xml:space="preserve"> </w:t>
      </w:r>
      <w:r>
        <w:rPr>
          <w:w w:val="105"/>
        </w:rPr>
        <w:t>置</w:t>
      </w:r>
    </w:p>
    <w:p>
      <w:pPr>
        <w:pStyle w:val="6"/>
        <w:spacing w:before="10"/>
        <w:ind w:left="0" w:firstLine="0"/>
        <w:jc w:val="left"/>
        <w:rPr>
          <w:sz w:val="16"/>
        </w:rPr>
      </w:pPr>
    </w:p>
    <w:p>
      <w:pPr>
        <w:pStyle w:val="6"/>
        <w:spacing w:line="295" w:lineRule="auto"/>
        <w:ind w:left="375" w:right="124" w:firstLine="425"/>
        <w:rPr>
          <w:rFonts w:hint="eastAsia" w:ascii="MS UI Gothic" w:eastAsia="MS UI Gothic"/>
        </w:rPr>
      </w:pPr>
      <w:r>
        <w:t>第四百一十七条 提升装置的天轮</w:t>
      </w:r>
      <w:r>
        <w:rPr>
          <w:rFonts w:hint="eastAsia" w:ascii="MS UI Gothic" w:eastAsia="MS UI Gothic"/>
        </w:rPr>
        <w:t>、</w:t>
      </w:r>
      <w:r>
        <w:t>卷筒</w:t>
      </w:r>
      <w:r>
        <w:rPr>
          <w:rFonts w:hint="eastAsia" w:ascii="MS UI Gothic" w:eastAsia="MS UI Gothic"/>
        </w:rPr>
        <w:t xml:space="preserve">、 </w:t>
      </w:r>
      <w:r>
        <w:t>摩擦轮</w:t>
      </w:r>
      <w:r>
        <w:rPr>
          <w:rFonts w:hint="eastAsia" w:ascii="MS UI Gothic" w:eastAsia="MS UI Gothic"/>
        </w:rPr>
        <w:t xml:space="preserve">、 </w:t>
      </w:r>
      <w:r>
        <w:t>导向轮和导向滚等的最小直径与钢丝绳直径之比值</w:t>
      </w:r>
      <w:r>
        <w:rPr>
          <w:rFonts w:hint="eastAsia" w:ascii="MS UI Gothic" w:eastAsia="MS UI Gothic"/>
          <w:w w:val="85"/>
        </w:rPr>
        <w:t xml:space="preserve">ꎬ </w:t>
      </w:r>
      <w:r>
        <w:t>应当符合表</w:t>
      </w:r>
      <w:r>
        <w:rPr>
          <w:rFonts w:hint="eastAsia" w:ascii="MS UI Gothic" w:eastAsia="MS UI Gothic"/>
          <w:w w:val="85"/>
        </w:rPr>
        <w:t xml:space="preserve">１３ </w:t>
      </w:r>
      <w:r>
        <w:t>的要求</w:t>
      </w:r>
      <w:r>
        <w:rPr>
          <w:rFonts w:hint="eastAsia" w:ascii="MS UI Gothic" w:eastAsia="MS UI Gothic"/>
          <w:w w:val="85"/>
        </w:rPr>
        <w:t>ꎮ</w:t>
      </w:r>
    </w:p>
    <w:p>
      <w:pPr>
        <w:pStyle w:val="6"/>
        <w:spacing w:line="295" w:lineRule="auto"/>
        <w:ind w:left="381" w:right="126"/>
        <w:rPr>
          <w:rFonts w:hint="eastAsia" w:ascii="MS UI Gothic" w:eastAsia="MS UI Gothic"/>
        </w:rPr>
      </w:pPr>
      <w:r>
        <w:rPr>
          <w:w w:val="105"/>
        </w:rPr>
        <w:t>第四百一十八条 各种提升装置的卷</w:t>
      </w:r>
      <w:r>
        <w:t>筒上缠绕的钢丝绳层数</w:t>
      </w:r>
      <w:r>
        <w:rPr>
          <w:rFonts w:hint="eastAsia" w:ascii="MS UI Gothic" w:eastAsia="MS UI Gothic"/>
          <w:w w:val="80"/>
        </w:rPr>
        <w:t xml:space="preserve">ꎬ </w:t>
      </w:r>
      <w:r>
        <w:t>必须符合下列</w:t>
      </w:r>
      <w:r>
        <w:rPr>
          <w:w w:val="110"/>
        </w:rPr>
        <w:t>要求</w:t>
      </w:r>
      <w:r>
        <w:rPr>
          <w:rFonts w:hint="eastAsia" w:ascii="MS UI Gothic" w:eastAsia="MS UI Gothic"/>
          <w:w w:val="235"/>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３０６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39" o:spid="_x0000_s1939" o:spt="203" style="height:2.15pt;width:398.25pt;" coordsize="7965,43">
            <o:lock v:ext="edit"/>
            <v:line id="_x0000_s1940" o:spid="_x0000_s1940" o:spt="20" style="position:absolute;left:0;top:39;height:0;width:7965;" stroked="t" coordsize="21600,21600">
              <v:path arrowok="t"/>
              <v:fill focussize="0,0"/>
              <v:stroke weight="0.388031496062992pt" color="#231F20"/>
              <v:imagedata o:title=""/>
              <o:lock v:ext="edit"/>
            </v:line>
            <v:line id="_x0000_s1941" o:spid="_x0000_s194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立井中升降人员或者升降人员</w:t>
      </w:r>
      <w:r>
        <w:rPr>
          <w:spacing w:val="-9"/>
          <w:w w:val="105"/>
        </w:rPr>
        <w:t xml:space="preserve">和物料的不超过 </w:t>
      </w:r>
      <w:r>
        <w:rPr>
          <w:rFonts w:hint="eastAsia" w:ascii="MS UI Gothic" w:eastAsia="MS UI Gothic"/>
          <w:spacing w:val="-12"/>
          <w:w w:val="80"/>
        </w:rPr>
        <w:t xml:space="preserve">１ </w:t>
      </w:r>
      <w:r>
        <w:rPr>
          <w:spacing w:val="3"/>
          <w:w w:val="105"/>
        </w:rPr>
        <w:t>层</w:t>
      </w:r>
      <w:r>
        <w:rPr>
          <w:rFonts w:hint="eastAsia" w:ascii="MS UI Gothic" w:eastAsia="MS UI Gothic"/>
          <w:spacing w:val="-2"/>
          <w:w w:val="80"/>
        </w:rPr>
        <w:t xml:space="preserve">ꎬ </w:t>
      </w:r>
      <w:r>
        <w:rPr>
          <w:spacing w:val="2"/>
          <w:w w:val="105"/>
        </w:rPr>
        <w:t>专为升降物料的不</w:t>
      </w:r>
      <w:r>
        <w:rPr>
          <w:spacing w:val="-19"/>
          <w:w w:val="105"/>
        </w:rPr>
        <w:t xml:space="preserve">超过 </w:t>
      </w:r>
      <w:r>
        <w:rPr>
          <w:rFonts w:hint="eastAsia" w:ascii="MS UI Gothic" w:eastAsia="MS UI Gothic"/>
          <w:spacing w:val="4"/>
          <w:w w:val="80"/>
        </w:rPr>
        <w:t xml:space="preserve">２ </w:t>
      </w:r>
      <w:r>
        <w:rPr>
          <w:spacing w:val="3"/>
          <w:w w:val="105"/>
        </w:rPr>
        <w:t>层</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倾斜井巷中升降人员或者升降</w:t>
      </w:r>
      <w:r>
        <w:rPr>
          <w:spacing w:val="-7"/>
          <w:w w:val="105"/>
        </w:rPr>
        <w:t xml:space="preserve">人员和物料的不超过 </w:t>
      </w:r>
      <w:r>
        <w:rPr>
          <w:rFonts w:hint="eastAsia" w:ascii="MS UI Gothic" w:eastAsia="MS UI Gothic"/>
          <w:spacing w:val="-12"/>
          <w:w w:val="80"/>
        </w:rPr>
        <w:t xml:space="preserve">２ </w:t>
      </w:r>
      <w:r>
        <w:rPr>
          <w:spacing w:val="3"/>
          <w:w w:val="105"/>
        </w:rPr>
        <w:t>层</w:t>
      </w:r>
      <w:r>
        <w:rPr>
          <w:rFonts w:hint="eastAsia" w:ascii="MS UI Gothic" w:eastAsia="MS UI Gothic"/>
          <w:spacing w:val="-2"/>
          <w:w w:val="80"/>
        </w:rPr>
        <w:t xml:space="preserve">ꎬ </w:t>
      </w:r>
      <w:r>
        <w:rPr>
          <w:spacing w:val="2"/>
          <w:w w:val="105"/>
        </w:rPr>
        <w:t>升降物料的不</w:t>
      </w:r>
      <w:r>
        <w:rPr>
          <w:spacing w:val="-19"/>
          <w:w w:val="105"/>
        </w:rPr>
        <w:t xml:space="preserve">超过 </w:t>
      </w:r>
      <w:r>
        <w:rPr>
          <w:rFonts w:hint="eastAsia" w:ascii="MS UI Gothic" w:eastAsia="MS UI Gothic"/>
          <w:spacing w:val="4"/>
          <w:w w:val="80"/>
        </w:rPr>
        <w:t xml:space="preserve">３ </w:t>
      </w:r>
      <w:r>
        <w:rPr>
          <w:spacing w:val="3"/>
          <w:w w:val="105"/>
        </w:rPr>
        <w:t>层</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建井期间升降人员和物料的不</w:t>
      </w:r>
      <w:r>
        <w:rPr>
          <w:spacing w:val="-19"/>
          <w:w w:val="105"/>
        </w:rPr>
        <w:t xml:space="preserve">超过 </w:t>
      </w:r>
      <w:r>
        <w:rPr>
          <w:rFonts w:hint="eastAsia" w:ascii="MS UI Gothic" w:eastAsia="MS UI Gothic"/>
          <w:spacing w:val="4"/>
          <w:w w:val="80"/>
        </w:rPr>
        <w:t xml:space="preserve">２ </w:t>
      </w:r>
      <w:r>
        <w:rPr>
          <w:spacing w:val="3"/>
          <w:w w:val="105"/>
        </w:rPr>
        <w:t>层</w:t>
      </w:r>
      <w:r>
        <w:rPr>
          <w:rFonts w:hint="eastAsia" w:ascii="MS UI Gothic" w:eastAsia="MS UI Gothic"/>
          <w:w w:val="80"/>
        </w:rPr>
        <w:t>ꎮ</w:t>
      </w:r>
    </w:p>
    <w:p>
      <w:pPr>
        <w:pStyle w:val="6"/>
        <w:spacing w:line="295" w:lineRule="auto"/>
        <w:ind w:right="38"/>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现有生产矿井在用的绞车</w:t>
      </w:r>
      <w:r>
        <w:rPr>
          <w:rFonts w:hint="eastAsia" w:ascii="MS UI Gothic" w:eastAsia="MS UI Gothic"/>
          <w:w w:val="80"/>
        </w:rPr>
        <w:t xml:space="preserve">ꎬ </w:t>
      </w:r>
      <w:r>
        <w:rPr>
          <w:w w:val="105"/>
        </w:rPr>
        <w:t>如</w:t>
      </w:r>
      <w:r>
        <w:t>果在滚筒上装设过渡绳楔</w:t>
      </w:r>
      <w:r>
        <w:rPr>
          <w:rFonts w:hint="eastAsia" w:ascii="MS UI Gothic" w:eastAsia="MS UI Gothic"/>
          <w:w w:val="80"/>
        </w:rPr>
        <w:t xml:space="preserve">ꎬ </w:t>
      </w:r>
      <w:r>
        <w:t>滚筒强度满足</w:t>
      </w:r>
    </w:p>
    <w:p>
      <w:pPr>
        <w:pStyle w:val="6"/>
        <w:spacing w:before="123" w:line="295" w:lineRule="auto"/>
        <w:ind w:right="442" w:firstLine="0"/>
        <w:rPr>
          <w:rFonts w:hint="eastAsia" w:ascii="MS UI Gothic" w:eastAsia="MS UI Gothic"/>
        </w:rPr>
      </w:pPr>
      <w:r>
        <w:br w:type="column"/>
      </w:r>
      <w:r>
        <w:rPr>
          <w:spacing w:val="2"/>
        </w:rPr>
        <w:t>要求且滚筒边缘高度符合本规程第四百一</w:t>
      </w:r>
      <w:r>
        <w:rPr>
          <w:spacing w:val="3"/>
          <w:w w:val="110"/>
        </w:rPr>
        <w:t>十九条要求</w:t>
      </w:r>
      <w:r>
        <w:rPr>
          <w:rFonts w:hint="eastAsia" w:ascii="MS UI Gothic" w:eastAsia="MS UI Gothic"/>
          <w:spacing w:val="9"/>
          <w:w w:val="80"/>
        </w:rPr>
        <w:t xml:space="preserve">ꎬ </w:t>
      </w:r>
      <w:r>
        <w:rPr>
          <w:spacing w:val="-7"/>
          <w:w w:val="110"/>
        </w:rPr>
        <w:t xml:space="preserve">可按本条 </w:t>
      </w:r>
      <w:r>
        <w:rPr>
          <w:rFonts w:hint="eastAsia" w:ascii="MS UI Gothic" w:eastAsia="MS UI Gothic"/>
          <w:spacing w:val="-39"/>
          <w:w w:val="150"/>
        </w:rPr>
        <w:t xml:space="preserve">( </w:t>
      </w:r>
      <w:r>
        <w:rPr>
          <w:spacing w:val="3"/>
          <w:w w:val="110"/>
        </w:rPr>
        <w:t>一</w:t>
      </w:r>
      <w:r>
        <w:rPr>
          <w:rFonts w:hint="eastAsia" w:ascii="MS UI Gothic" w:eastAsia="MS UI Gothic"/>
          <w:spacing w:val="-21"/>
          <w:w w:val="150"/>
        </w:rPr>
        <w:t xml:space="preserve">) ( </w:t>
      </w:r>
      <w:r>
        <w:rPr>
          <w:spacing w:val="7"/>
          <w:w w:val="110"/>
        </w:rPr>
        <w:t>二</w:t>
      </w:r>
      <w:r>
        <w:rPr>
          <w:rFonts w:hint="eastAsia" w:ascii="MS UI Gothic" w:eastAsia="MS UI Gothic"/>
          <w:spacing w:val="-4"/>
          <w:w w:val="150"/>
        </w:rPr>
        <w:t xml:space="preserve">) </w:t>
      </w:r>
      <w:r>
        <w:rPr>
          <w:spacing w:val="3"/>
          <w:w w:val="110"/>
        </w:rPr>
        <w:t>所规</w:t>
      </w:r>
      <w:r>
        <w:rPr>
          <w:spacing w:val="-8"/>
          <w:w w:val="110"/>
        </w:rPr>
        <w:t xml:space="preserve">定的层数增加 </w:t>
      </w:r>
      <w:r>
        <w:rPr>
          <w:rFonts w:hint="eastAsia" w:ascii="MS UI Gothic" w:eastAsia="MS UI Gothic"/>
          <w:spacing w:val="2"/>
          <w:w w:val="80"/>
        </w:rPr>
        <w:t xml:space="preserve">１ </w:t>
      </w:r>
      <w:r>
        <w:rPr>
          <w:spacing w:val="3"/>
          <w:w w:val="110"/>
        </w:rPr>
        <w:t>层</w:t>
      </w:r>
      <w:r>
        <w:rPr>
          <w:rFonts w:hint="eastAsia" w:ascii="MS UI Gothic" w:eastAsia="MS UI Gothic"/>
          <w:w w:val="80"/>
        </w:rPr>
        <w:t>ꎮ</w:t>
      </w:r>
    </w:p>
    <w:p>
      <w:pPr>
        <w:pStyle w:val="6"/>
        <w:spacing w:line="295" w:lineRule="auto"/>
        <w:ind w:right="440"/>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 xml:space="preserve">移动式或者辅助性专为升降物料的 </w:t>
      </w:r>
      <w:r>
        <w:rPr>
          <w:rFonts w:hint="eastAsia" w:ascii="MS UI Gothic" w:eastAsia="MS UI Gothic"/>
          <w:w w:val="105"/>
        </w:rPr>
        <w:t xml:space="preserve">( </w:t>
      </w:r>
      <w:r>
        <w:rPr>
          <w:w w:val="105"/>
        </w:rPr>
        <w:t>包括矸石山和向天桥上提升等</w:t>
      </w:r>
      <w:r>
        <w:rPr>
          <w:rFonts w:hint="eastAsia" w:ascii="MS UI Gothic" w:eastAsia="MS UI Gothic"/>
          <w:w w:val="105"/>
        </w:rPr>
        <w:t xml:space="preserve">) </w:t>
      </w:r>
      <w:r>
        <w:rPr>
          <w:rFonts w:hint="eastAsia" w:ascii="MS UI Gothic" w:eastAsia="MS UI Gothic"/>
          <w:w w:val="80"/>
        </w:rPr>
        <w:t>ꎬ</w:t>
      </w:r>
      <w:r>
        <w:rPr>
          <w:w w:val="115"/>
        </w:rPr>
        <w:t xml:space="preserve">不受本条 </w:t>
      </w:r>
      <w:r>
        <w:rPr>
          <w:rFonts w:hint="eastAsia" w:ascii="MS UI Gothic" w:eastAsia="MS UI Gothic"/>
          <w:w w:val="150"/>
        </w:rPr>
        <w:t xml:space="preserve">( </w:t>
      </w:r>
      <w:r>
        <w:rPr>
          <w:w w:val="115"/>
        </w:rPr>
        <w:t>一</w:t>
      </w:r>
      <w:r>
        <w:rPr>
          <w:rFonts w:hint="eastAsia" w:ascii="MS UI Gothic" w:eastAsia="MS UI Gothic"/>
          <w:w w:val="150"/>
        </w:rPr>
        <w:t xml:space="preserve">) ( </w:t>
      </w:r>
      <w:r>
        <w:rPr>
          <w:w w:val="115"/>
        </w:rPr>
        <w:t>二</w:t>
      </w:r>
      <w:r>
        <w:rPr>
          <w:rFonts w:hint="eastAsia" w:ascii="MS UI Gothic" w:eastAsia="MS UI Gothic"/>
          <w:w w:val="150"/>
        </w:rPr>
        <w:t xml:space="preserve">) ( </w:t>
      </w:r>
      <w:r>
        <w:rPr>
          <w:w w:val="115"/>
        </w:rPr>
        <w:t>三</w:t>
      </w:r>
      <w:r>
        <w:rPr>
          <w:rFonts w:hint="eastAsia" w:ascii="MS UI Gothic" w:eastAsia="MS UI Gothic"/>
          <w:w w:val="150"/>
        </w:rPr>
        <w:t xml:space="preserve">) </w:t>
      </w:r>
      <w:r>
        <w:rPr>
          <w:w w:val="115"/>
        </w:rPr>
        <w:t>的限制</w:t>
      </w:r>
      <w:r>
        <w:rPr>
          <w:rFonts w:hint="eastAsia" w:ascii="MS UI Gothic" w:eastAsia="MS UI Gothic"/>
          <w:w w:val="80"/>
        </w:rPr>
        <w:t>ꎮ</w:t>
      </w:r>
    </w:p>
    <w:p>
      <w:pPr>
        <w:pStyle w:val="6"/>
        <w:spacing w:line="295" w:lineRule="auto"/>
        <w:ind w:right="442"/>
        <w:rPr>
          <w:rFonts w:hint="eastAsia" w:ascii="MS UI Gothic" w:eastAsia="MS UI Gothic"/>
        </w:rPr>
      </w:pPr>
      <w:r>
        <w:rPr>
          <w:spacing w:val="-6"/>
          <w:w w:val="105"/>
        </w:rPr>
        <w:t xml:space="preserve">第四百一十九条缠绕 </w:t>
      </w:r>
      <w:r>
        <w:rPr>
          <w:rFonts w:hint="eastAsia" w:ascii="MS UI Gothic" w:eastAsia="MS UI Gothic"/>
          <w:spacing w:val="-4"/>
          <w:w w:val="80"/>
        </w:rPr>
        <w:t xml:space="preserve">２ </w:t>
      </w:r>
      <w:r>
        <w:rPr>
          <w:spacing w:val="-16"/>
          <w:w w:val="105"/>
        </w:rPr>
        <w:t xml:space="preserve">层或者 </w:t>
      </w:r>
      <w:r>
        <w:rPr>
          <w:rFonts w:hint="eastAsia" w:ascii="MS UI Gothic" w:eastAsia="MS UI Gothic"/>
          <w:spacing w:val="-5"/>
          <w:w w:val="80"/>
        </w:rPr>
        <w:t xml:space="preserve">２ </w:t>
      </w:r>
      <w:r>
        <w:rPr>
          <w:spacing w:val="3"/>
          <w:w w:val="105"/>
        </w:rPr>
        <w:t>层以上钢丝绳的卷筒</w:t>
      </w:r>
      <w:r>
        <w:rPr>
          <w:rFonts w:hint="eastAsia" w:ascii="MS UI Gothic" w:eastAsia="MS UI Gothic"/>
          <w:spacing w:val="15"/>
          <w:w w:val="80"/>
        </w:rPr>
        <w:t xml:space="preserve">ꎬ </w:t>
      </w:r>
      <w:r>
        <w:rPr>
          <w:spacing w:val="3"/>
          <w:w w:val="105"/>
        </w:rPr>
        <w:t>必须符合下列要求</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卷筒边缘高出最外层钢丝绳的高度</w:t>
      </w:r>
      <w:r>
        <w:rPr>
          <w:rFonts w:hint="eastAsia" w:ascii="MS UI Gothic" w:eastAsia="MS UI Gothic"/>
          <w:w w:val="80"/>
        </w:rPr>
        <w:t xml:space="preserve">ꎬ </w:t>
      </w:r>
      <w:r>
        <w:t xml:space="preserve">至少为钢丝绳直径的 </w:t>
      </w:r>
      <w:r>
        <w:rPr>
          <w:rFonts w:hint="eastAsia" w:ascii="MS UI Gothic" w:eastAsia="MS UI Gothic"/>
        </w:rPr>
        <w:t xml:space="preserve">２ ５ </w:t>
      </w:r>
      <w:r>
        <w:t>倍</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4"/>
        <w:ind w:left="0" w:firstLine="0"/>
        <w:jc w:val="left"/>
        <w:rPr>
          <w:rFonts w:ascii="MS UI Gothic"/>
          <w:sz w:val="10"/>
        </w:rPr>
      </w:pPr>
    </w:p>
    <w:p>
      <w:pPr>
        <w:pStyle w:val="6"/>
        <w:spacing w:before="174"/>
        <w:ind w:left="479" w:firstLine="0"/>
        <w:jc w:val="left"/>
      </w:pPr>
      <w:r>
        <w:rPr>
          <w:w w:val="95"/>
        </w:rPr>
        <w:t xml:space="preserve">表 </w:t>
      </w:r>
      <w:r>
        <w:rPr>
          <w:rFonts w:hint="eastAsia" w:ascii="MS UI Gothic" w:eastAsia="MS UI Gothic"/>
          <w:w w:val="95"/>
        </w:rPr>
        <w:t xml:space="preserve">１３ </w:t>
      </w:r>
      <w:r>
        <w:rPr>
          <w:w w:val="95"/>
        </w:rPr>
        <w:t>提升装置的天轮</w:t>
      </w:r>
      <w:r>
        <w:rPr>
          <w:rFonts w:hint="eastAsia" w:ascii="Microsoft Yi Baiti" w:eastAsia="Microsoft Yi Baiti"/>
          <w:w w:val="95"/>
        </w:rPr>
        <w:t xml:space="preserve">、 </w:t>
      </w:r>
      <w:r>
        <w:rPr>
          <w:w w:val="95"/>
        </w:rPr>
        <w:t>卷筒</w:t>
      </w:r>
      <w:r>
        <w:rPr>
          <w:rFonts w:hint="eastAsia" w:ascii="Microsoft Yi Baiti" w:eastAsia="Microsoft Yi Baiti"/>
          <w:w w:val="95"/>
        </w:rPr>
        <w:t xml:space="preserve">、 </w:t>
      </w:r>
      <w:r>
        <w:rPr>
          <w:w w:val="95"/>
        </w:rPr>
        <w:t>摩擦轮</w:t>
      </w:r>
      <w:r>
        <w:rPr>
          <w:rFonts w:hint="eastAsia" w:ascii="Microsoft Yi Baiti" w:eastAsia="Microsoft Yi Baiti"/>
          <w:w w:val="95"/>
        </w:rPr>
        <w:t xml:space="preserve">、 </w:t>
      </w:r>
      <w:r>
        <w:rPr>
          <w:w w:val="95"/>
        </w:rPr>
        <w:t>导向轮和导向滚等的最小直径与钢丝绳直径之比值</w:t>
      </w:r>
    </w:p>
    <w:p>
      <w:pPr>
        <w:pStyle w:val="6"/>
        <w:spacing w:before="1"/>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864"/>
        <w:gridCol w:w="2068"/>
        <w:gridCol w:w="636"/>
        <w:gridCol w:w="954"/>
        <w:gridCol w:w="1439"/>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5568" w:type="dxa"/>
            <w:gridSpan w:val="3"/>
            <w:tcBorders>
              <w:bottom w:val="single" w:color="231F20" w:sz="4" w:space="0"/>
              <w:right w:val="single" w:color="231F20" w:sz="4" w:space="0"/>
            </w:tcBorders>
          </w:tcPr>
          <w:p>
            <w:pPr>
              <w:pStyle w:val="11"/>
              <w:tabs>
                <w:tab w:val="left" w:pos="489"/>
              </w:tabs>
              <w:spacing w:before="50"/>
              <w:ind w:left="12"/>
              <w:jc w:val="center"/>
              <w:rPr>
                <w:sz w:val="15"/>
              </w:rPr>
            </w:pPr>
            <w:r>
              <w:rPr>
                <w:w w:val="105"/>
                <w:sz w:val="15"/>
              </w:rPr>
              <w:t>用</w:t>
            </w:r>
            <w:r>
              <w:rPr>
                <w:w w:val="105"/>
                <w:sz w:val="15"/>
              </w:rPr>
              <w:tab/>
            </w:r>
            <w:r>
              <w:rPr>
                <w:w w:val="105"/>
                <w:sz w:val="15"/>
              </w:rPr>
              <w:t>途</w:t>
            </w:r>
          </w:p>
        </w:tc>
        <w:tc>
          <w:tcPr>
            <w:tcW w:w="954" w:type="dxa"/>
            <w:tcBorders>
              <w:left w:val="single" w:color="231F20" w:sz="4" w:space="0"/>
              <w:bottom w:val="single" w:color="231F20" w:sz="4" w:space="0"/>
              <w:right w:val="single" w:color="231F20" w:sz="4" w:space="0"/>
            </w:tcBorders>
          </w:tcPr>
          <w:p>
            <w:pPr>
              <w:pStyle w:val="11"/>
              <w:spacing w:before="50"/>
              <w:ind w:left="146" w:right="127"/>
              <w:jc w:val="center"/>
              <w:rPr>
                <w:sz w:val="15"/>
              </w:rPr>
            </w:pPr>
            <w:r>
              <w:rPr>
                <w:w w:val="105"/>
                <w:sz w:val="15"/>
              </w:rPr>
              <w:t>最小比值</w:t>
            </w:r>
          </w:p>
        </w:tc>
        <w:tc>
          <w:tcPr>
            <w:tcW w:w="1439" w:type="dxa"/>
            <w:tcBorders>
              <w:left w:val="single" w:color="231F20" w:sz="4" w:space="0"/>
              <w:bottom w:val="single" w:color="231F20" w:sz="4" w:space="0"/>
            </w:tcBorders>
          </w:tcPr>
          <w:p>
            <w:pPr>
              <w:pStyle w:val="11"/>
              <w:spacing w:before="50"/>
              <w:ind w:left="488"/>
              <w:rPr>
                <w:sz w:val="15"/>
              </w:rPr>
            </w:pPr>
            <w:r>
              <w:rPr>
                <w:w w:val="105"/>
                <w:sz w:val="15"/>
              </w:rPr>
              <w:t>说 明</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4932" w:type="dxa"/>
            <w:gridSpan w:val="2"/>
            <w:vMerge w:val="restart"/>
            <w:tcBorders>
              <w:top w:val="single" w:color="231F20" w:sz="4" w:space="0"/>
              <w:bottom w:val="single" w:color="231F20" w:sz="4" w:space="0"/>
              <w:right w:val="single" w:color="231F20" w:sz="4" w:space="0"/>
            </w:tcBorders>
          </w:tcPr>
          <w:p>
            <w:pPr>
              <w:pStyle w:val="11"/>
              <w:spacing w:before="15" w:line="260" w:lineRule="atLeast"/>
              <w:ind w:left="104" w:right="90" w:firstLine="159"/>
              <w:rPr>
                <w:sz w:val="15"/>
              </w:rPr>
            </w:pPr>
            <w:r>
              <w:rPr>
                <w:sz w:val="15"/>
              </w:rPr>
              <w:t>落地式摩擦提升装置的摩擦轮及天轮</w:t>
            </w:r>
            <w:r>
              <w:rPr>
                <w:rFonts w:hint="eastAsia" w:ascii="MS UI Gothic" w:hAnsi="MS UI Gothic" w:eastAsia="MS UI Gothic"/>
                <w:w w:val="95"/>
                <w:sz w:val="15"/>
              </w:rPr>
              <w:t xml:space="preserve">、 </w:t>
            </w:r>
            <w:r>
              <w:rPr>
                <w:sz w:val="15"/>
              </w:rPr>
              <w:t xml:space="preserve">围抱角大于 </w:t>
            </w:r>
            <w:r>
              <w:rPr>
                <w:rFonts w:hint="eastAsia" w:ascii="MS UI Gothic" w:hAnsi="MS UI Gothic" w:eastAsia="MS UI Gothic"/>
                <w:w w:val="95"/>
                <w:sz w:val="15"/>
              </w:rPr>
              <w:t xml:space="preserve">１８０° </w:t>
            </w:r>
            <w:r>
              <w:rPr>
                <w:sz w:val="15"/>
              </w:rPr>
              <w:t>的塔式摩擦提升装置的摩擦轮</w:t>
            </w:r>
          </w:p>
        </w:tc>
        <w:tc>
          <w:tcPr>
            <w:tcW w:w="636" w:type="dxa"/>
            <w:tcBorders>
              <w:top w:val="single" w:color="231F20" w:sz="4" w:space="0"/>
              <w:left w:val="single" w:color="231F20" w:sz="4" w:space="0"/>
              <w:bottom w:val="single" w:color="231F20" w:sz="4" w:space="0"/>
              <w:right w:val="single" w:color="231F20" w:sz="4" w:space="0"/>
            </w:tcBorders>
          </w:tcPr>
          <w:p>
            <w:pPr>
              <w:pStyle w:val="11"/>
              <w:spacing w:before="55"/>
              <w:ind w:left="144" w:right="126"/>
              <w:jc w:val="center"/>
              <w:rPr>
                <w:sz w:val="15"/>
              </w:rPr>
            </w:pPr>
            <w:r>
              <w:rPr>
                <w:w w:val="105"/>
                <w:sz w:val="15"/>
              </w:rPr>
              <w:t>井上</w:t>
            </w:r>
          </w:p>
        </w:tc>
        <w:tc>
          <w:tcPr>
            <w:tcW w:w="954" w:type="dxa"/>
            <w:tcBorders>
              <w:top w:val="single" w:color="231F20" w:sz="4" w:space="0"/>
              <w:left w:val="single" w:color="231F20" w:sz="4" w:space="0"/>
              <w:bottom w:val="single" w:color="231F20" w:sz="4" w:space="0"/>
            </w:tcBorders>
          </w:tcPr>
          <w:p>
            <w:pPr>
              <w:pStyle w:val="11"/>
              <w:spacing w:before="55"/>
              <w:ind w:left="372" w:right="352"/>
              <w:jc w:val="center"/>
              <w:rPr>
                <w:rFonts w:hint="eastAsia" w:ascii="MS UI Gothic" w:eastAsia="MS UI Gothic"/>
                <w:sz w:val="15"/>
              </w:rPr>
            </w:pPr>
            <w:r>
              <w:rPr>
                <w:rFonts w:hint="eastAsia" w:ascii="MS UI Gothic" w:eastAsia="MS UI Gothic"/>
                <w:w w:val="85"/>
                <w:sz w:val="15"/>
              </w:rPr>
              <w:t>９０</w:t>
            </w:r>
          </w:p>
        </w:tc>
        <w:tc>
          <w:tcPr>
            <w:tcW w:w="1439" w:type="dxa"/>
            <w:vMerge w:val="restart"/>
            <w:tcBorders>
              <w:top w:val="single" w:color="231F20" w:sz="4" w:space="0"/>
              <w:bottom w:val="single" w:color="231F20" w:sz="4" w:space="0"/>
            </w:tcBorders>
          </w:tcPr>
          <w:p>
            <w:pPr>
              <w:pStyle w:val="11"/>
              <w:rPr>
                <w:sz w:val="36"/>
              </w:rPr>
            </w:pPr>
          </w:p>
          <w:p>
            <w:pPr>
              <w:pStyle w:val="11"/>
              <w:rPr>
                <w:sz w:val="36"/>
              </w:rPr>
            </w:pPr>
          </w:p>
          <w:p>
            <w:pPr>
              <w:pStyle w:val="11"/>
              <w:spacing w:before="7"/>
              <w:rPr>
                <w:sz w:val="52"/>
              </w:rPr>
            </w:pPr>
          </w:p>
          <w:p>
            <w:pPr>
              <w:pStyle w:val="11"/>
              <w:spacing w:line="328" w:lineRule="auto"/>
              <w:ind w:left="107" w:right="81" w:firstLine="178"/>
              <w:jc w:val="both"/>
              <w:rPr>
                <w:sz w:val="15"/>
              </w:rPr>
            </w:pPr>
            <w:r>
              <w:rPr>
                <w:w w:val="95"/>
                <w:sz w:val="15"/>
              </w:rPr>
              <w:t>在这些提升装置中</w:t>
            </w:r>
            <w:r>
              <w:rPr>
                <w:rFonts w:hint="eastAsia" w:ascii="MS UI Gothic" w:eastAsia="MS UI Gothic"/>
                <w:w w:val="90"/>
                <w:sz w:val="15"/>
              </w:rPr>
              <w:t xml:space="preserve">ꎬ </w:t>
            </w:r>
            <w:r>
              <w:rPr>
                <w:w w:val="95"/>
                <w:sz w:val="15"/>
              </w:rPr>
              <w:t>如使用密封式提升钢丝绳</w:t>
            </w:r>
            <w:r>
              <w:rPr>
                <w:rFonts w:hint="eastAsia" w:ascii="MS UI Gothic" w:eastAsia="MS UI Gothic"/>
                <w:w w:val="90"/>
                <w:sz w:val="15"/>
              </w:rPr>
              <w:t>ꎬ</w:t>
            </w:r>
            <w:r>
              <w:rPr>
                <w:w w:val="95"/>
                <w:sz w:val="15"/>
              </w:rPr>
              <w:t xml:space="preserve">应当将各相应的比值增加 </w:t>
            </w:r>
            <w:r>
              <w:rPr>
                <w:rFonts w:hint="eastAsia" w:ascii="MS UI Gothic" w:eastAsia="MS UI Gothic"/>
                <w:w w:val="95"/>
                <w:sz w:val="15"/>
              </w:rPr>
              <w:t>２０</w:t>
            </w:r>
            <w:r>
              <w:rPr>
                <w:w w:val="95"/>
                <w:sz w:val="15"/>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4932" w:type="dxa"/>
            <w:gridSpan w:val="2"/>
            <w:vMerge w:val="continue"/>
            <w:tcBorders>
              <w:top w:val="nil"/>
              <w:bottom w:val="single" w:color="231F20" w:sz="4" w:space="0"/>
              <w:right w:val="single" w:color="231F20" w:sz="4" w:space="0"/>
            </w:tcBorders>
          </w:tcPr>
          <w:p>
            <w:pPr>
              <w:rPr>
                <w:sz w:val="2"/>
                <w:szCs w:val="2"/>
              </w:rPr>
            </w:pPr>
          </w:p>
        </w:tc>
        <w:tc>
          <w:tcPr>
            <w:tcW w:w="636" w:type="dxa"/>
            <w:tcBorders>
              <w:top w:val="single" w:color="231F20" w:sz="4" w:space="0"/>
              <w:left w:val="single" w:color="231F20" w:sz="4" w:space="0"/>
              <w:bottom w:val="single" w:color="231F20" w:sz="4" w:space="0"/>
              <w:right w:val="single" w:color="231F20" w:sz="4" w:space="0"/>
            </w:tcBorders>
          </w:tcPr>
          <w:p>
            <w:pPr>
              <w:pStyle w:val="11"/>
              <w:spacing w:before="55"/>
              <w:ind w:left="144" w:right="126"/>
              <w:jc w:val="center"/>
              <w:rPr>
                <w:sz w:val="15"/>
              </w:rPr>
            </w:pPr>
            <w:r>
              <w:rPr>
                <w:w w:val="105"/>
                <w:sz w:val="15"/>
              </w:rPr>
              <w:t>井下</w:t>
            </w:r>
          </w:p>
        </w:tc>
        <w:tc>
          <w:tcPr>
            <w:tcW w:w="954" w:type="dxa"/>
            <w:tcBorders>
              <w:top w:val="single" w:color="231F20" w:sz="4" w:space="0"/>
              <w:left w:val="single" w:color="231F20" w:sz="4" w:space="0"/>
              <w:bottom w:val="single" w:color="231F20" w:sz="4" w:space="0"/>
            </w:tcBorders>
          </w:tcPr>
          <w:p>
            <w:pPr>
              <w:pStyle w:val="11"/>
              <w:spacing w:before="55"/>
              <w:ind w:left="372" w:right="352"/>
              <w:jc w:val="center"/>
              <w:rPr>
                <w:rFonts w:hint="eastAsia" w:ascii="MS UI Gothic" w:eastAsia="MS UI Gothic"/>
                <w:sz w:val="15"/>
              </w:rPr>
            </w:pPr>
            <w:r>
              <w:rPr>
                <w:rFonts w:hint="eastAsia" w:ascii="MS UI Gothic" w:eastAsia="MS UI Gothic"/>
                <w:w w:val="85"/>
                <w:sz w:val="15"/>
              </w:rPr>
              <w:t>８０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4932" w:type="dxa"/>
            <w:gridSpan w:val="2"/>
            <w:vMerge w:val="restart"/>
            <w:tcBorders>
              <w:top w:val="single" w:color="231F20" w:sz="4" w:space="0"/>
              <w:bottom w:val="single" w:color="231F20" w:sz="4" w:space="0"/>
              <w:right w:val="single" w:color="231F20" w:sz="4" w:space="0"/>
            </w:tcBorders>
          </w:tcPr>
          <w:p>
            <w:pPr>
              <w:pStyle w:val="11"/>
              <w:spacing w:before="214"/>
              <w:ind w:left="263"/>
              <w:rPr>
                <w:sz w:val="15"/>
              </w:rPr>
            </w:pPr>
            <w:r>
              <w:rPr>
                <w:sz w:val="15"/>
              </w:rPr>
              <w:t xml:space="preserve">围抱角为 </w:t>
            </w:r>
            <w:r>
              <w:rPr>
                <w:rFonts w:hint="eastAsia" w:ascii="MS UI Gothic" w:hAnsi="MS UI Gothic" w:eastAsia="MS UI Gothic"/>
                <w:w w:val="95"/>
                <w:sz w:val="15"/>
              </w:rPr>
              <w:t xml:space="preserve">１８０° </w:t>
            </w:r>
            <w:r>
              <w:rPr>
                <w:sz w:val="15"/>
              </w:rPr>
              <w:t>的塔式摩擦提升装置的摩擦轮</w:t>
            </w:r>
          </w:p>
        </w:tc>
        <w:tc>
          <w:tcPr>
            <w:tcW w:w="636" w:type="dxa"/>
            <w:tcBorders>
              <w:top w:val="single" w:color="231F20" w:sz="4" w:space="0"/>
              <w:left w:val="single" w:color="231F20" w:sz="4" w:space="0"/>
              <w:bottom w:val="single" w:color="231F20" w:sz="4" w:space="0"/>
              <w:right w:val="single" w:color="231F20" w:sz="4" w:space="0"/>
            </w:tcBorders>
          </w:tcPr>
          <w:p>
            <w:pPr>
              <w:pStyle w:val="11"/>
              <w:spacing w:before="55"/>
              <w:ind w:left="144" w:right="126"/>
              <w:jc w:val="center"/>
              <w:rPr>
                <w:sz w:val="15"/>
              </w:rPr>
            </w:pPr>
            <w:r>
              <w:rPr>
                <w:w w:val="105"/>
                <w:sz w:val="15"/>
              </w:rPr>
              <w:t>井上</w:t>
            </w:r>
          </w:p>
        </w:tc>
        <w:tc>
          <w:tcPr>
            <w:tcW w:w="954" w:type="dxa"/>
            <w:tcBorders>
              <w:top w:val="single" w:color="231F20" w:sz="4" w:space="0"/>
              <w:left w:val="single" w:color="231F20" w:sz="4" w:space="0"/>
              <w:bottom w:val="single" w:color="231F20" w:sz="4" w:space="0"/>
            </w:tcBorders>
          </w:tcPr>
          <w:p>
            <w:pPr>
              <w:pStyle w:val="11"/>
              <w:spacing w:before="55"/>
              <w:ind w:left="372" w:right="352"/>
              <w:jc w:val="center"/>
              <w:rPr>
                <w:rFonts w:hint="eastAsia" w:ascii="MS UI Gothic" w:eastAsia="MS UI Gothic"/>
                <w:sz w:val="15"/>
              </w:rPr>
            </w:pPr>
            <w:r>
              <w:rPr>
                <w:rFonts w:hint="eastAsia" w:ascii="MS UI Gothic" w:eastAsia="MS UI Gothic"/>
                <w:w w:val="85"/>
                <w:sz w:val="15"/>
              </w:rPr>
              <w:t>８０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4932" w:type="dxa"/>
            <w:gridSpan w:val="2"/>
            <w:vMerge w:val="continue"/>
            <w:tcBorders>
              <w:top w:val="nil"/>
              <w:bottom w:val="single" w:color="231F20" w:sz="4" w:space="0"/>
              <w:right w:val="single" w:color="231F20" w:sz="4" w:space="0"/>
            </w:tcBorders>
          </w:tcPr>
          <w:p>
            <w:pPr>
              <w:rPr>
                <w:sz w:val="2"/>
                <w:szCs w:val="2"/>
              </w:rPr>
            </w:pPr>
          </w:p>
        </w:tc>
        <w:tc>
          <w:tcPr>
            <w:tcW w:w="636" w:type="dxa"/>
            <w:tcBorders>
              <w:top w:val="single" w:color="231F20" w:sz="4" w:space="0"/>
              <w:left w:val="single" w:color="231F20" w:sz="4" w:space="0"/>
              <w:bottom w:val="single" w:color="231F20" w:sz="4" w:space="0"/>
              <w:right w:val="single" w:color="231F20" w:sz="4" w:space="0"/>
            </w:tcBorders>
          </w:tcPr>
          <w:p>
            <w:pPr>
              <w:pStyle w:val="11"/>
              <w:spacing w:before="55"/>
              <w:ind w:left="144" w:right="126"/>
              <w:jc w:val="center"/>
              <w:rPr>
                <w:sz w:val="15"/>
              </w:rPr>
            </w:pPr>
            <w:r>
              <w:rPr>
                <w:w w:val="105"/>
                <w:sz w:val="15"/>
              </w:rPr>
              <w:t>井下</w:t>
            </w:r>
          </w:p>
        </w:tc>
        <w:tc>
          <w:tcPr>
            <w:tcW w:w="954" w:type="dxa"/>
            <w:tcBorders>
              <w:top w:val="single" w:color="231F20" w:sz="4" w:space="0"/>
              <w:left w:val="single" w:color="231F20" w:sz="4" w:space="0"/>
              <w:bottom w:val="single" w:color="231F20" w:sz="4" w:space="0"/>
            </w:tcBorders>
          </w:tcPr>
          <w:p>
            <w:pPr>
              <w:pStyle w:val="11"/>
              <w:spacing w:before="55"/>
              <w:ind w:left="372" w:right="352"/>
              <w:jc w:val="center"/>
              <w:rPr>
                <w:rFonts w:hint="eastAsia" w:ascii="MS UI Gothic" w:eastAsia="MS UI Gothic"/>
                <w:sz w:val="15"/>
              </w:rPr>
            </w:pPr>
            <w:r>
              <w:rPr>
                <w:rFonts w:hint="eastAsia" w:ascii="MS UI Gothic" w:eastAsia="MS UI Gothic"/>
                <w:w w:val="85"/>
                <w:sz w:val="15"/>
              </w:rPr>
              <w:t>７０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568" w:type="dxa"/>
            <w:gridSpan w:val="3"/>
            <w:tcBorders>
              <w:top w:val="single" w:color="231F20" w:sz="4" w:space="0"/>
              <w:bottom w:val="single" w:color="231F20" w:sz="4" w:space="0"/>
              <w:right w:val="single" w:color="231F20" w:sz="4" w:space="0"/>
            </w:tcBorders>
          </w:tcPr>
          <w:p>
            <w:pPr>
              <w:pStyle w:val="11"/>
              <w:spacing w:before="55"/>
              <w:ind w:left="263"/>
              <w:rPr>
                <w:sz w:val="15"/>
              </w:rPr>
            </w:pPr>
            <w:r>
              <w:rPr>
                <w:w w:val="105"/>
                <w:sz w:val="15"/>
              </w:rPr>
              <w:t>摩擦提升装置的导向轮</w:t>
            </w:r>
          </w:p>
        </w:tc>
        <w:tc>
          <w:tcPr>
            <w:tcW w:w="954" w:type="dxa"/>
            <w:tcBorders>
              <w:top w:val="single" w:color="231F20" w:sz="4" w:space="0"/>
              <w:left w:val="single" w:color="231F20" w:sz="4" w:space="0"/>
              <w:bottom w:val="single" w:color="231F20" w:sz="4" w:space="0"/>
              <w:right w:val="single" w:color="231F20" w:sz="4" w:space="0"/>
            </w:tcBorders>
          </w:tcPr>
          <w:p>
            <w:pPr>
              <w:pStyle w:val="11"/>
              <w:spacing w:before="55"/>
              <w:ind w:left="142" w:right="127"/>
              <w:jc w:val="center"/>
              <w:rPr>
                <w:rFonts w:hint="eastAsia" w:ascii="MS UI Gothic" w:eastAsia="MS UI Gothic"/>
                <w:sz w:val="15"/>
              </w:rPr>
            </w:pPr>
            <w:r>
              <w:rPr>
                <w:rFonts w:hint="eastAsia" w:ascii="MS UI Gothic" w:eastAsia="MS UI Gothic"/>
                <w:w w:val="85"/>
                <w:sz w:val="15"/>
              </w:rPr>
              <w:t>８０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568" w:type="dxa"/>
            <w:gridSpan w:val="3"/>
            <w:tcBorders>
              <w:top w:val="single" w:color="231F20" w:sz="4" w:space="0"/>
              <w:bottom w:val="single" w:color="231F20" w:sz="4" w:space="0"/>
              <w:right w:val="single" w:color="231F20" w:sz="4" w:space="0"/>
            </w:tcBorders>
          </w:tcPr>
          <w:p>
            <w:pPr>
              <w:pStyle w:val="11"/>
              <w:spacing w:before="55"/>
              <w:ind w:left="263"/>
              <w:rPr>
                <w:sz w:val="15"/>
              </w:rPr>
            </w:pPr>
            <w:r>
              <w:rPr>
                <w:sz w:val="15"/>
              </w:rPr>
              <w:t xml:space="preserve">地面缠绕式提升装置的卷筒和围抱大于 </w:t>
            </w:r>
            <w:r>
              <w:rPr>
                <w:rFonts w:hint="eastAsia" w:ascii="MS UI Gothic" w:hAnsi="MS UI Gothic" w:eastAsia="MS UI Gothic"/>
                <w:w w:val="95"/>
                <w:sz w:val="15"/>
              </w:rPr>
              <w:t xml:space="preserve">９０° </w:t>
            </w:r>
            <w:r>
              <w:rPr>
                <w:sz w:val="15"/>
              </w:rPr>
              <w:t>的天轮角</w:t>
            </w:r>
          </w:p>
        </w:tc>
        <w:tc>
          <w:tcPr>
            <w:tcW w:w="954" w:type="dxa"/>
            <w:tcBorders>
              <w:top w:val="single" w:color="231F20" w:sz="4" w:space="0"/>
              <w:left w:val="single" w:color="231F20" w:sz="4" w:space="0"/>
              <w:bottom w:val="single" w:color="231F20" w:sz="4" w:space="0"/>
              <w:right w:val="single" w:color="231F20" w:sz="4" w:space="0"/>
            </w:tcBorders>
          </w:tcPr>
          <w:p>
            <w:pPr>
              <w:pStyle w:val="11"/>
              <w:spacing w:before="55"/>
              <w:ind w:left="142" w:right="127"/>
              <w:jc w:val="center"/>
              <w:rPr>
                <w:rFonts w:hint="eastAsia" w:ascii="MS UI Gothic" w:eastAsia="MS UI Gothic"/>
                <w:sz w:val="15"/>
              </w:rPr>
            </w:pPr>
            <w:r>
              <w:rPr>
                <w:rFonts w:hint="eastAsia" w:ascii="MS UI Gothic" w:eastAsia="MS UI Gothic"/>
                <w:w w:val="85"/>
                <w:sz w:val="15"/>
              </w:rPr>
              <w:t>８０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568" w:type="dxa"/>
            <w:gridSpan w:val="3"/>
            <w:tcBorders>
              <w:top w:val="single" w:color="231F20" w:sz="4" w:space="0"/>
              <w:bottom w:val="single" w:color="231F20" w:sz="4" w:space="0"/>
              <w:right w:val="single" w:color="231F20" w:sz="4" w:space="0"/>
            </w:tcBorders>
          </w:tcPr>
          <w:p>
            <w:pPr>
              <w:pStyle w:val="11"/>
              <w:spacing w:before="55"/>
              <w:ind w:left="263"/>
              <w:rPr>
                <w:sz w:val="15"/>
              </w:rPr>
            </w:pPr>
            <w:r>
              <w:rPr>
                <w:sz w:val="15"/>
              </w:rPr>
              <w:t xml:space="preserve">地面缠绕式提升装置围抱角小于 </w:t>
            </w:r>
            <w:r>
              <w:rPr>
                <w:rFonts w:hint="eastAsia" w:ascii="MS UI Gothic" w:hAnsi="MS UI Gothic" w:eastAsia="MS UI Gothic"/>
                <w:w w:val="95"/>
                <w:sz w:val="15"/>
              </w:rPr>
              <w:t xml:space="preserve">９０° </w:t>
            </w:r>
            <w:r>
              <w:rPr>
                <w:sz w:val="15"/>
              </w:rPr>
              <w:t>的天轮</w:t>
            </w:r>
          </w:p>
        </w:tc>
        <w:tc>
          <w:tcPr>
            <w:tcW w:w="954" w:type="dxa"/>
            <w:tcBorders>
              <w:top w:val="single" w:color="231F20" w:sz="4" w:space="0"/>
              <w:left w:val="single" w:color="231F20" w:sz="4" w:space="0"/>
              <w:bottom w:val="single" w:color="231F20" w:sz="4" w:space="0"/>
              <w:right w:val="single" w:color="231F20" w:sz="4" w:space="0"/>
            </w:tcBorders>
          </w:tcPr>
          <w:p>
            <w:pPr>
              <w:pStyle w:val="11"/>
              <w:spacing w:before="55"/>
              <w:ind w:left="142" w:right="127"/>
              <w:jc w:val="center"/>
              <w:rPr>
                <w:rFonts w:hint="eastAsia" w:ascii="MS UI Gothic" w:eastAsia="MS UI Gothic"/>
                <w:sz w:val="15"/>
              </w:rPr>
            </w:pPr>
            <w:r>
              <w:rPr>
                <w:rFonts w:hint="eastAsia" w:ascii="MS UI Gothic" w:eastAsia="MS UI Gothic"/>
                <w:w w:val="85"/>
                <w:sz w:val="15"/>
              </w:rPr>
              <w:t>６０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5568" w:type="dxa"/>
            <w:gridSpan w:val="3"/>
            <w:tcBorders>
              <w:top w:val="single" w:color="231F20" w:sz="4" w:space="0"/>
              <w:bottom w:val="single" w:color="231F20" w:sz="4" w:space="0"/>
              <w:right w:val="single" w:color="231F20" w:sz="4" w:space="0"/>
            </w:tcBorders>
          </w:tcPr>
          <w:p>
            <w:pPr>
              <w:pStyle w:val="11"/>
              <w:spacing w:before="15" w:line="260" w:lineRule="atLeast"/>
              <w:ind w:left="104" w:right="90" w:firstLine="157"/>
              <w:rPr>
                <w:sz w:val="15"/>
              </w:rPr>
            </w:pPr>
            <w:r>
              <w:rPr>
                <w:sz w:val="15"/>
              </w:rPr>
              <w:t>井下缠绕式提升机和凿井提升机的卷筒</w:t>
            </w:r>
            <w:r>
              <w:rPr>
                <w:rFonts w:hint="eastAsia" w:ascii="MS UI Gothic" w:hAnsi="MS UI Gothic" w:eastAsia="MS UI Gothic"/>
                <w:w w:val="85"/>
                <w:sz w:val="15"/>
              </w:rPr>
              <w:t xml:space="preserve">ꎬ  </w:t>
            </w:r>
            <w:r>
              <w:rPr>
                <w:sz w:val="15"/>
              </w:rPr>
              <w:t>井下架空乘人装置的主导轮和尾导轮</w:t>
            </w:r>
            <w:r>
              <w:rPr>
                <w:rFonts w:hint="eastAsia" w:ascii="MS UI Gothic" w:hAnsi="MS UI Gothic" w:eastAsia="MS UI Gothic"/>
                <w:w w:val="85"/>
                <w:sz w:val="15"/>
              </w:rPr>
              <w:t xml:space="preserve">、 </w:t>
            </w:r>
            <w:r>
              <w:rPr>
                <w:sz w:val="15"/>
              </w:rPr>
              <w:t xml:space="preserve">围抱角大于 </w:t>
            </w:r>
            <w:r>
              <w:rPr>
                <w:rFonts w:hint="eastAsia" w:ascii="MS UI Gothic" w:hAnsi="MS UI Gothic" w:eastAsia="MS UI Gothic"/>
                <w:w w:val="85"/>
                <w:sz w:val="15"/>
              </w:rPr>
              <w:t xml:space="preserve">９０° </w:t>
            </w:r>
            <w:r>
              <w:rPr>
                <w:sz w:val="15"/>
              </w:rPr>
              <w:t>的天轮</w:t>
            </w:r>
          </w:p>
        </w:tc>
        <w:tc>
          <w:tcPr>
            <w:tcW w:w="954" w:type="dxa"/>
            <w:tcBorders>
              <w:top w:val="single" w:color="231F20" w:sz="4" w:space="0"/>
              <w:left w:val="single" w:color="231F20" w:sz="4" w:space="0"/>
              <w:bottom w:val="single" w:color="231F20" w:sz="4" w:space="0"/>
              <w:right w:val="single" w:color="231F20" w:sz="4" w:space="0"/>
            </w:tcBorders>
          </w:tcPr>
          <w:p>
            <w:pPr>
              <w:pStyle w:val="11"/>
              <w:spacing w:before="214"/>
              <w:ind w:left="142" w:right="127"/>
              <w:jc w:val="center"/>
              <w:rPr>
                <w:rFonts w:hint="eastAsia" w:ascii="MS UI Gothic" w:eastAsia="MS UI Gothic"/>
                <w:sz w:val="15"/>
              </w:rPr>
            </w:pPr>
            <w:r>
              <w:rPr>
                <w:rFonts w:hint="eastAsia" w:ascii="MS UI Gothic" w:eastAsia="MS UI Gothic"/>
                <w:w w:val="85"/>
                <w:sz w:val="15"/>
              </w:rPr>
              <w:t>６０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568" w:type="dxa"/>
            <w:gridSpan w:val="3"/>
            <w:tcBorders>
              <w:top w:val="single" w:color="231F20" w:sz="4" w:space="0"/>
              <w:bottom w:val="single" w:color="231F20" w:sz="4" w:space="0"/>
              <w:right w:val="single" w:color="231F20" w:sz="4" w:space="0"/>
            </w:tcBorders>
          </w:tcPr>
          <w:p>
            <w:pPr>
              <w:pStyle w:val="11"/>
              <w:spacing w:before="55"/>
              <w:ind w:left="263"/>
              <w:rPr>
                <w:sz w:val="15"/>
              </w:rPr>
            </w:pPr>
            <w:r>
              <w:rPr>
                <w:sz w:val="15"/>
              </w:rPr>
              <w:t>井下缠绕式提升机</w:t>
            </w:r>
            <w:r>
              <w:rPr>
                <w:rFonts w:hint="eastAsia" w:ascii="MS UI Gothic" w:hAnsi="MS UI Gothic" w:eastAsia="MS UI Gothic"/>
                <w:w w:val="95"/>
                <w:sz w:val="15"/>
              </w:rPr>
              <w:t xml:space="preserve">、 </w:t>
            </w:r>
            <w:r>
              <w:rPr>
                <w:sz w:val="15"/>
              </w:rPr>
              <w:t xml:space="preserve">凿井提升机和井下架空乘人装置围抱角小于 </w:t>
            </w:r>
            <w:r>
              <w:rPr>
                <w:rFonts w:hint="eastAsia" w:ascii="MS UI Gothic" w:hAnsi="MS UI Gothic" w:eastAsia="MS UI Gothic"/>
                <w:w w:val="95"/>
                <w:sz w:val="15"/>
              </w:rPr>
              <w:t xml:space="preserve">９０° </w:t>
            </w:r>
            <w:r>
              <w:rPr>
                <w:sz w:val="15"/>
              </w:rPr>
              <w:t>的天轮</w:t>
            </w:r>
          </w:p>
        </w:tc>
        <w:tc>
          <w:tcPr>
            <w:tcW w:w="954" w:type="dxa"/>
            <w:tcBorders>
              <w:top w:val="single" w:color="231F20" w:sz="4" w:space="0"/>
              <w:left w:val="single" w:color="231F20" w:sz="4" w:space="0"/>
              <w:bottom w:val="single" w:color="231F20" w:sz="4" w:space="0"/>
              <w:right w:val="single" w:color="231F20" w:sz="4" w:space="0"/>
            </w:tcBorders>
          </w:tcPr>
          <w:p>
            <w:pPr>
              <w:pStyle w:val="11"/>
              <w:spacing w:before="55"/>
              <w:ind w:left="142" w:right="127"/>
              <w:jc w:val="center"/>
              <w:rPr>
                <w:rFonts w:hint="eastAsia" w:ascii="MS UI Gothic" w:eastAsia="MS UI Gothic"/>
                <w:sz w:val="15"/>
              </w:rPr>
            </w:pPr>
            <w:r>
              <w:rPr>
                <w:rFonts w:hint="eastAsia" w:ascii="MS UI Gothic" w:eastAsia="MS UI Gothic"/>
                <w:w w:val="85"/>
                <w:sz w:val="15"/>
              </w:rPr>
              <w:t>４０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864" w:type="dxa"/>
            <w:vMerge w:val="restart"/>
            <w:tcBorders>
              <w:top w:val="single" w:color="231F20" w:sz="4" w:space="0"/>
              <w:bottom w:val="single" w:color="231F20" w:sz="4" w:space="0"/>
              <w:right w:val="single" w:color="231F20" w:sz="4" w:space="0"/>
            </w:tcBorders>
          </w:tcPr>
          <w:p>
            <w:pPr>
              <w:pStyle w:val="11"/>
              <w:rPr>
                <w:sz w:val="18"/>
              </w:rPr>
            </w:pPr>
          </w:p>
          <w:p>
            <w:pPr>
              <w:pStyle w:val="11"/>
              <w:spacing w:before="143"/>
              <w:ind w:left="263"/>
              <w:rPr>
                <w:sz w:val="15"/>
              </w:rPr>
            </w:pPr>
            <w:r>
              <w:rPr>
                <w:w w:val="105"/>
                <w:sz w:val="15"/>
              </w:rPr>
              <w:t>斜井提升的游动天轮</w:t>
            </w:r>
          </w:p>
        </w:tc>
        <w:tc>
          <w:tcPr>
            <w:tcW w:w="2704" w:type="dxa"/>
            <w:gridSpan w:val="2"/>
            <w:tcBorders>
              <w:top w:val="single" w:color="231F20" w:sz="4" w:space="0"/>
              <w:left w:val="single" w:color="231F20" w:sz="4" w:space="0"/>
              <w:bottom w:val="single" w:color="231F20" w:sz="4" w:space="0"/>
              <w:right w:val="single" w:color="231F20" w:sz="4" w:space="0"/>
            </w:tcBorders>
          </w:tcPr>
          <w:p>
            <w:pPr>
              <w:pStyle w:val="11"/>
              <w:spacing w:before="55"/>
              <w:ind w:left="269"/>
              <w:rPr>
                <w:rFonts w:hint="eastAsia" w:ascii="MS UI Gothic" w:hAnsi="MS UI Gothic" w:eastAsia="MS UI Gothic"/>
                <w:sz w:val="15"/>
              </w:rPr>
            </w:pPr>
            <w:r>
              <w:rPr>
                <w:sz w:val="15"/>
              </w:rPr>
              <w:t xml:space="preserve">围抱角大于 </w:t>
            </w:r>
            <w:r>
              <w:rPr>
                <w:rFonts w:hint="eastAsia" w:ascii="MS UI Gothic" w:hAnsi="MS UI Gothic" w:eastAsia="MS UI Gothic"/>
                <w:w w:val="95"/>
                <w:sz w:val="15"/>
              </w:rPr>
              <w:t>６０°</w:t>
            </w:r>
          </w:p>
        </w:tc>
        <w:tc>
          <w:tcPr>
            <w:tcW w:w="954" w:type="dxa"/>
            <w:tcBorders>
              <w:top w:val="single" w:color="231F20" w:sz="4" w:space="0"/>
              <w:left w:val="single" w:color="231F20" w:sz="4" w:space="0"/>
              <w:bottom w:val="single" w:color="231F20" w:sz="4" w:space="0"/>
            </w:tcBorders>
          </w:tcPr>
          <w:p>
            <w:pPr>
              <w:pStyle w:val="11"/>
              <w:spacing w:before="55"/>
              <w:ind w:left="372" w:right="352"/>
              <w:jc w:val="center"/>
              <w:rPr>
                <w:rFonts w:hint="eastAsia" w:ascii="MS UI Gothic" w:eastAsia="MS UI Gothic"/>
                <w:sz w:val="15"/>
              </w:rPr>
            </w:pPr>
            <w:r>
              <w:rPr>
                <w:rFonts w:hint="eastAsia" w:ascii="MS UI Gothic" w:eastAsia="MS UI Gothic"/>
                <w:w w:val="85"/>
                <w:sz w:val="15"/>
              </w:rPr>
              <w:t>６０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864" w:type="dxa"/>
            <w:vMerge w:val="continue"/>
            <w:tcBorders>
              <w:top w:val="nil"/>
              <w:bottom w:val="single" w:color="231F20" w:sz="4" w:space="0"/>
              <w:right w:val="single" w:color="231F20" w:sz="4" w:space="0"/>
            </w:tcBorders>
          </w:tcPr>
          <w:p>
            <w:pPr>
              <w:rPr>
                <w:sz w:val="2"/>
                <w:szCs w:val="2"/>
              </w:rPr>
            </w:pPr>
          </w:p>
        </w:tc>
        <w:tc>
          <w:tcPr>
            <w:tcW w:w="2704" w:type="dxa"/>
            <w:gridSpan w:val="2"/>
            <w:tcBorders>
              <w:top w:val="single" w:color="231F20" w:sz="4" w:space="0"/>
              <w:left w:val="single" w:color="231F20" w:sz="4" w:space="0"/>
              <w:bottom w:val="single" w:color="231F20" w:sz="4" w:space="0"/>
              <w:right w:val="single" w:color="231F20" w:sz="4" w:space="0"/>
            </w:tcBorders>
          </w:tcPr>
          <w:p>
            <w:pPr>
              <w:pStyle w:val="11"/>
              <w:spacing w:before="55"/>
              <w:ind w:left="269"/>
              <w:rPr>
                <w:rFonts w:hint="eastAsia" w:ascii="MS UI Gothic" w:hAnsi="MS UI Gothic" w:eastAsia="MS UI Gothic"/>
                <w:sz w:val="15"/>
              </w:rPr>
            </w:pPr>
            <w:r>
              <w:rPr>
                <w:w w:val="110"/>
                <w:sz w:val="15"/>
              </w:rPr>
              <w:t xml:space="preserve">围抱角在 </w:t>
            </w:r>
            <w:r>
              <w:rPr>
                <w:rFonts w:hint="eastAsia" w:ascii="MS UI Gothic" w:hAnsi="MS UI Gothic" w:eastAsia="MS UI Gothic"/>
                <w:w w:val="90"/>
                <w:sz w:val="15"/>
              </w:rPr>
              <w:t xml:space="preserve">３５° </w:t>
            </w:r>
            <w:r>
              <w:rPr>
                <w:rFonts w:hint="eastAsia" w:ascii="MS UI Gothic" w:hAnsi="MS UI Gothic" w:eastAsia="MS UI Gothic"/>
                <w:w w:val="110"/>
                <w:sz w:val="15"/>
              </w:rPr>
              <w:t xml:space="preserve">~ </w:t>
            </w:r>
            <w:r>
              <w:rPr>
                <w:rFonts w:hint="eastAsia" w:ascii="MS UI Gothic" w:hAnsi="MS UI Gothic" w:eastAsia="MS UI Gothic"/>
                <w:w w:val="90"/>
                <w:sz w:val="15"/>
              </w:rPr>
              <w:t>６０°</w:t>
            </w:r>
          </w:p>
        </w:tc>
        <w:tc>
          <w:tcPr>
            <w:tcW w:w="954" w:type="dxa"/>
            <w:tcBorders>
              <w:top w:val="single" w:color="231F20" w:sz="4" w:space="0"/>
              <w:left w:val="single" w:color="231F20" w:sz="4" w:space="0"/>
              <w:bottom w:val="single" w:color="231F20" w:sz="4" w:space="0"/>
            </w:tcBorders>
          </w:tcPr>
          <w:p>
            <w:pPr>
              <w:pStyle w:val="11"/>
              <w:spacing w:before="55"/>
              <w:ind w:left="372" w:right="352"/>
              <w:jc w:val="center"/>
              <w:rPr>
                <w:rFonts w:hint="eastAsia" w:ascii="MS UI Gothic" w:eastAsia="MS UI Gothic"/>
                <w:sz w:val="15"/>
              </w:rPr>
            </w:pPr>
            <w:r>
              <w:rPr>
                <w:rFonts w:hint="eastAsia" w:ascii="MS UI Gothic" w:eastAsia="MS UI Gothic"/>
                <w:w w:val="85"/>
                <w:sz w:val="15"/>
              </w:rPr>
              <w:t>４０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864" w:type="dxa"/>
            <w:vMerge w:val="continue"/>
            <w:tcBorders>
              <w:top w:val="nil"/>
              <w:bottom w:val="single" w:color="231F20" w:sz="4" w:space="0"/>
              <w:right w:val="single" w:color="231F20" w:sz="4" w:space="0"/>
            </w:tcBorders>
          </w:tcPr>
          <w:p>
            <w:pPr>
              <w:rPr>
                <w:sz w:val="2"/>
                <w:szCs w:val="2"/>
              </w:rPr>
            </w:pPr>
          </w:p>
        </w:tc>
        <w:tc>
          <w:tcPr>
            <w:tcW w:w="2704" w:type="dxa"/>
            <w:gridSpan w:val="2"/>
            <w:tcBorders>
              <w:top w:val="single" w:color="231F20" w:sz="4" w:space="0"/>
              <w:left w:val="single" w:color="231F20" w:sz="4" w:space="0"/>
              <w:bottom w:val="single" w:color="231F20" w:sz="4" w:space="0"/>
              <w:right w:val="single" w:color="231F20" w:sz="4" w:space="0"/>
            </w:tcBorders>
          </w:tcPr>
          <w:p>
            <w:pPr>
              <w:pStyle w:val="11"/>
              <w:spacing w:before="55"/>
              <w:ind w:left="269"/>
              <w:rPr>
                <w:rFonts w:hint="eastAsia" w:ascii="MS UI Gothic" w:hAnsi="MS UI Gothic" w:eastAsia="MS UI Gothic"/>
                <w:sz w:val="15"/>
              </w:rPr>
            </w:pPr>
            <w:r>
              <w:rPr>
                <w:sz w:val="15"/>
              </w:rPr>
              <w:t xml:space="preserve">围抱角小于 </w:t>
            </w:r>
            <w:r>
              <w:rPr>
                <w:rFonts w:hint="eastAsia" w:ascii="MS UI Gothic" w:hAnsi="MS UI Gothic" w:eastAsia="MS UI Gothic"/>
                <w:w w:val="95"/>
                <w:sz w:val="15"/>
              </w:rPr>
              <w:t>３５°</w:t>
            </w:r>
          </w:p>
        </w:tc>
        <w:tc>
          <w:tcPr>
            <w:tcW w:w="954" w:type="dxa"/>
            <w:tcBorders>
              <w:top w:val="single" w:color="231F20" w:sz="4" w:space="0"/>
              <w:left w:val="single" w:color="231F20" w:sz="4" w:space="0"/>
              <w:bottom w:val="single" w:color="231F20" w:sz="4" w:space="0"/>
            </w:tcBorders>
          </w:tcPr>
          <w:p>
            <w:pPr>
              <w:pStyle w:val="11"/>
              <w:spacing w:before="55"/>
              <w:ind w:left="372" w:right="352"/>
              <w:jc w:val="center"/>
              <w:rPr>
                <w:rFonts w:hint="eastAsia" w:ascii="MS UI Gothic" w:eastAsia="MS UI Gothic"/>
                <w:sz w:val="15"/>
              </w:rPr>
            </w:pPr>
            <w:r>
              <w:rPr>
                <w:rFonts w:hint="eastAsia" w:ascii="MS UI Gothic" w:eastAsia="MS UI Gothic"/>
                <w:w w:val="85"/>
                <w:sz w:val="15"/>
              </w:rPr>
              <w:t>２０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568" w:type="dxa"/>
            <w:gridSpan w:val="3"/>
            <w:tcBorders>
              <w:top w:val="single" w:color="231F20" w:sz="4" w:space="0"/>
              <w:bottom w:val="single" w:color="231F20" w:sz="4" w:space="0"/>
              <w:right w:val="single" w:color="231F20" w:sz="4" w:space="0"/>
            </w:tcBorders>
          </w:tcPr>
          <w:p>
            <w:pPr>
              <w:pStyle w:val="11"/>
              <w:spacing w:before="55"/>
              <w:ind w:left="263"/>
              <w:rPr>
                <w:sz w:val="15"/>
              </w:rPr>
            </w:pPr>
            <w:r>
              <w:rPr>
                <w:w w:val="105"/>
                <w:sz w:val="15"/>
              </w:rPr>
              <w:t>矸石山绞车的卷筒和天轮</w:t>
            </w:r>
          </w:p>
        </w:tc>
        <w:tc>
          <w:tcPr>
            <w:tcW w:w="954" w:type="dxa"/>
            <w:tcBorders>
              <w:top w:val="single" w:color="231F20" w:sz="4" w:space="0"/>
              <w:left w:val="single" w:color="231F20" w:sz="4" w:space="0"/>
              <w:bottom w:val="single" w:color="231F20" w:sz="4" w:space="0"/>
              <w:right w:val="single" w:color="231F20" w:sz="4" w:space="0"/>
            </w:tcBorders>
          </w:tcPr>
          <w:p>
            <w:pPr>
              <w:pStyle w:val="11"/>
              <w:spacing w:before="55"/>
              <w:ind w:left="142" w:right="127"/>
              <w:jc w:val="center"/>
              <w:rPr>
                <w:rFonts w:hint="eastAsia" w:ascii="MS UI Gothic" w:eastAsia="MS UI Gothic"/>
                <w:sz w:val="15"/>
              </w:rPr>
            </w:pPr>
            <w:r>
              <w:rPr>
                <w:rFonts w:hint="eastAsia" w:ascii="MS UI Gothic" w:eastAsia="MS UI Gothic"/>
                <w:w w:val="85"/>
                <w:sz w:val="15"/>
              </w:rPr>
              <w:t>５０</w:t>
            </w:r>
          </w:p>
        </w:tc>
        <w:tc>
          <w:tcPr>
            <w:tcW w:w="1439" w:type="dxa"/>
            <w:vMerge w:val="continue"/>
            <w:tcBorders>
              <w:top w:val="nil"/>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39" w:hRule="atLeast"/>
        </w:trPr>
        <w:tc>
          <w:tcPr>
            <w:tcW w:w="5568" w:type="dxa"/>
            <w:gridSpan w:val="3"/>
            <w:tcBorders>
              <w:top w:val="single" w:color="231F20" w:sz="4" w:space="0"/>
              <w:right w:val="single" w:color="231F20" w:sz="4" w:space="0"/>
            </w:tcBorders>
          </w:tcPr>
          <w:p>
            <w:pPr>
              <w:pStyle w:val="11"/>
              <w:spacing w:before="110" w:line="328" w:lineRule="auto"/>
              <w:ind w:left="104" w:right="90" w:firstLine="157"/>
              <w:jc w:val="both"/>
              <w:rPr>
                <w:sz w:val="15"/>
              </w:rPr>
            </w:pPr>
            <w:r>
              <w:rPr>
                <w:sz w:val="15"/>
              </w:rPr>
              <w:t>悬挂水泵</w:t>
            </w:r>
            <w:r>
              <w:rPr>
                <w:rFonts w:hint="eastAsia" w:ascii="MS UI Gothic" w:eastAsia="MS UI Gothic"/>
                <w:w w:val="80"/>
                <w:sz w:val="15"/>
              </w:rPr>
              <w:t xml:space="preserve">、  </w:t>
            </w:r>
            <w:r>
              <w:rPr>
                <w:sz w:val="15"/>
              </w:rPr>
              <w:t>吊盘</w:t>
            </w:r>
            <w:r>
              <w:rPr>
                <w:rFonts w:hint="eastAsia" w:ascii="MS UI Gothic" w:eastAsia="MS UI Gothic"/>
                <w:w w:val="80"/>
                <w:sz w:val="15"/>
              </w:rPr>
              <w:t xml:space="preserve">、  </w:t>
            </w:r>
            <w:r>
              <w:rPr>
                <w:sz w:val="15"/>
              </w:rPr>
              <w:t>管子用的卷筒和天轮</w:t>
            </w:r>
            <w:r>
              <w:rPr>
                <w:rFonts w:hint="eastAsia" w:ascii="MS UI Gothic" w:eastAsia="MS UI Gothic"/>
                <w:w w:val="80"/>
                <w:sz w:val="15"/>
              </w:rPr>
              <w:t xml:space="preserve">ꎬ  </w:t>
            </w:r>
            <w:r>
              <w:rPr>
                <w:sz w:val="15"/>
              </w:rPr>
              <w:t>凿井时运输物料的提升机卷筒和天轮</w:t>
            </w:r>
            <w:r>
              <w:rPr>
                <w:rFonts w:hint="eastAsia" w:ascii="MS UI Gothic" w:eastAsia="MS UI Gothic"/>
                <w:w w:val="80"/>
                <w:sz w:val="15"/>
              </w:rPr>
              <w:t xml:space="preserve">ꎬ </w:t>
            </w:r>
            <w:r>
              <w:rPr>
                <w:sz w:val="15"/>
              </w:rPr>
              <w:t>倾斜井巷提升机的游动轮</w:t>
            </w:r>
            <w:r>
              <w:rPr>
                <w:rFonts w:hint="eastAsia" w:ascii="MS UI Gothic" w:eastAsia="MS UI Gothic"/>
                <w:w w:val="80"/>
                <w:sz w:val="15"/>
              </w:rPr>
              <w:t xml:space="preserve">ꎬ  </w:t>
            </w:r>
            <w:r>
              <w:rPr>
                <w:sz w:val="15"/>
              </w:rPr>
              <w:t>矸石山绞车的压绳轮以及无极绳运输的导向滚等</w:t>
            </w:r>
          </w:p>
        </w:tc>
        <w:tc>
          <w:tcPr>
            <w:tcW w:w="954" w:type="dxa"/>
            <w:tcBorders>
              <w:top w:val="single" w:color="231F20" w:sz="4" w:space="0"/>
              <w:left w:val="single" w:color="231F20" w:sz="4" w:space="0"/>
              <w:right w:val="single" w:color="231F20" w:sz="4" w:space="0"/>
            </w:tcBorders>
          </w:tcPr>
          <w:p>
            <w:pPr>
              <w:pStyle w:val="11"/>
              <w:spacing w:before="2"/>
              <w:rPr>
                <w:sz w:val="29"/>
              </w:rPr>
            </w:pPr>
          </w:p>
          <w:p>
            <w:pPr>
              <w:pStyle w:val="11"/>
              <w:ind w:left="142" w:right="127"/>
              <w:jc w:val="center"/>
              <w:rPr>
                <w:rFonts w:hint="eastAsia" w:ascii="MS UI Gothic" w:eastAsia="MS UI Gothic"/>
                <w:sz w:val="15"/>
              </w:rPr>
            </w:pPr>
            <w:r>
              <w:rPr>
                <w:rFonts w:hint="eastAsia" w:ascii="MS UI Gothic" w:eastAsia="MS UI Gothic"/>
                <w:w w:val="85"/>
                <w:sz w:val="15"/>
              </w:rPr>
              <w:t>２０</w:t>
            </w:r>
          </w:p>
        </w:tc>
        <w:tc>
          <w:tcPr>
            <w:tcW w:w="1439" w:type="dxa"/>
            <w:tcBorders>
              <w:top w:val="single" w:color="231F20" w:sz="4" w:space="0"/>
              <w:left w:val="single" w:color="231F20" w:sz="4" w:space="0"/>
            </w:tcBorders>
          </w:tcPr>
          <w:p>
            <w:pPr>
              <w:pStyle w:val="11"/>
              <w:rPr>
                <w:rFonts w:ascii="Times New Roman"/>
                <w:sz w:val="18"/>
              </w:rPr>
            </w:pPr>
          </w:p>
        </w:tc>
      </w:tr>
    </w:tbl>
    <w:p>
      <w:pPr>
        <w:pStyle w:val="6"/>
        <w:spacing w:before="3"/>
        <w:ind w:left="0" w:firstLine="0"/>
        <w:jc w:val="left"/>
        <w:rPr>
          <w:sz w:val="8"/>
        </w:rPr>
      </w:pPr>
    </w:p>
    <w:p>
      <w:pPr>
        <w:spacing w:after="0"/>
        <w:jc w:val="left"/>
        <w:rPr>
          <w:sz w:val="8"/>
        </w:rPr>
        <w:sectPr>
          <w:type w:val="continuous"/>
          <w:pgSz w:w="10500" w:h="14750"/>
          <w:pgMar w:top="1400" w:right="980" w:bottom="280" w:left="980" w:header="720" w:footer="720" w:gutter="0"/>
        </w:sectPr>
      </w:pPr>
    </w:p>
    <w:p>
      <w:pPr>
        <w:pStyle w:val="6"/>
        <w:spacing w:before="174" w:line="295" w:lineRule="auto"/>
        <w:ind w:right="39"/>
        <w:rPr>
          <w:rFonts w:hint="eastAsia" w:ascii="MS UI Gothic" w:eastAsia="MS UI Gothic"/>
        </w:rPr>
      </w:pPr>
      <w:r>
        <w:rPr>
          <w:rFonts w:hint="eastAsia" w:ascii="MS UI Gothic" w:eastAsia="MS UI Gothic"/>
          <w:spacing w:val="-34"/>
          <w:w w:val="125"/>
        </w:rPr>
        <w:t xml:space="preserve">( </w:t>
      </w:r>
      <w:r>
        <w:rPr>
          <w:spacing w:val="29"/>
          <w:w w:val="110"/>
        </w:rPr>
        <w:t>二</w:t>
      </w:r>
      <w:r>
        <w:rPr>
          <w:rFonts w:hint="eastAsia" w:ascii="MS UI Gothic" w:eastAsia="MS UI Gothic"/>
          <w:spacing w:val="-11"/>
          <w:w w:val="125"/>
        </w:rPr>
        <w:t xml:space="preserve">) </w:t>
      </w:r>
      <w:r>
        <w:rPr>
          <w:spacing w:val="41"/>
          <w:w w:val="110"/>
        </w:rPr>
        <w:t>卷筒上必须设有带绳槽的</w:t>
      </w:r>
      <w:r>
        <w:rPr>
          <w:spacing w:val="3"/>
          <w:w w:val="110"/>
        </w:rPr>
        <w:t>衬垫</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钢丝绳由下层转到上层的临界</w:t>
      </w:r>
      <w:r>
        <w:rPr>
          <w:spacing w:val="-21"/>
          <w:w w:val="105"/>
        </w:rPr>
        <w:t xml:space="preserve">段 </w:t>
      </w:r>
      <w:r>
        <w:rPr>
          <w:rFonts w:hint="eastAsia" w:ascii="MS UI Gothic" w:eastAsia="MS UI Gothic"/>
          <w:spacing w:val="-37"/>
          <w:w w:val="150"/>
        </w:rPr>
        <w:t xml:space="preserve">( </w:t>
      </w:r>
      <w:r>
        <w:rPr>
          <w:spacing w:val="-10"/>
          <w:w w:val="105"/>
        </w:rPr>
        <w:t xml:space="preserve">相当于绳圈 </w:t>
      </w:r>
      <w:r>
        <w:rPr>
          <w:rFonts w:hint="eastAsia" w:ascii="MS UI Gothic" w:eastAsia="MS UI Gothic"/>
          <w:spacing w:val="-12"/>
          <w:w w:val="80"/>
        </w:rPr>
        <w:t xml:space="preserve">１ </w:t>
      </w:r>
      <w:r>
        <w:rPr>
          <w:rFonts w:hint="eastAsia" w:ascii="MS UI Gothic" w:eastAsia="MS UI Gothic"/>
          <w:w w:val="65"/>
        </w:rPr>
        <w:t>/</w:t>
      </w:r>
      <w:r>
        <w:rPr>
          <w:rFonts w:hint="eastAsia" w:ascii="MS UI Gothic" w:eastAsia="MS UI Gothic"/>
          <w:spacing w:val="-8"/>
          <w:w w:val="65"/>
        </w:rPr>
        <w:t xml:space="preserve"> </w:t>
      </w:r>
      <w:r>
        <w:rPr>
          <w:rFonts w:hint="eastAsia" w:ascii="MS UI Gothic" w:eastAsia="MS UI Gothic"/>
          <w:spacing w:val="-1"/>
          <w:w w:val="80"/>
        </w:rPr>
        <w:t xml:space="preserve">４ </w:t>
      </w:r>
      <w:r>
        <w:rPr>
          <w:spacing w:val="3"/>
          <w:w w:val="105"/>
        </w:rPr>
        <w:t>长的部分</w:t>
      </w:r>
      <w:r>
        <w:rPr>
          <w:rFonts w:hint="eastAsia" w:ascii="MS UI Gothic" w:eastAsia="MS UI Gothic"/>
          <w:spacing w:val="5"/>
          <w:w w:val="150"/>
        </w:rPr>
        <w:t xml:space="preserve">) </w:t>
      </w:r>
      <w:r>
        <w:rPr>
          <w:spacing w:val="2"/>
          <w:w w:val="105"/>
        </w:rPr>
        <w:t>必须经常</w:t>
      </w:r>
      <w:r>
        <w:rPr>
          <w:spacing w:val="3"/>
          <w:w w:val="105"/>
        </w:rPr>
        <w:t>检查</w:t>
      </w:r>
      <w:r>
        <w:rPr>
          <w:rFonts w:hint="eastAsia" w:ascii="MS UI Gothic" w:eastAsia="MS UI Gothic"/>
          <w:spacing w:val="-1"/>
          <w:w w:val="80"/>
        </w:rPr>
        <w:t xml:space="preserve">ꎬ </w:t>
      </w:r>
      <w:r>
        <w:rPr>
          <w:spacing w:val="-6"/>
          <w:w w:val="105"/>
        </w:rPr>
        <w:t xml:space="preserve">并每季度将钢丝绳移动 </w:t>
      </w:r>
      <w:r>
        <w:rPr>
          <w:rFonts w:hint="eastAsia" w:ascii="MS UI Gothic" w:eastAsia="MS UI Gothic"/>
          <w:spacing w:val="-18"/>
          <w:w w:val="80"/>
        </w:rPr>
        <w:t xml:space="preserve">１ </w:t>
      </w:r>
      <w:r>
        <w:rPr>
          <w:rFonts w:hint="eastAsia" w:ascii="MS UI Gothic" w:eastAsia="MS UI Gothic"/>
          <w:w w:val="65"/>
        </w:rPr>
        <w:t>/</w:t>
      </w:r>
      <w:r>
        <w:rPr>
          <w:rFonts w:hint="eastAsia" w:ascii="MS UI Gothic" w:eastAsia="MS UI Gothic"/>
          <w:spacing w:val="-22"/>
          <w:w w:val="65"/>
        </w:rPr>
        <w:t xml:space="preserve"> </w:t>
      </w:r>
      <w:r>
        <w:rPr>
          <w:rFonts w:hint="eastAsia" w:ascii="MS UI Gothic" w:eastAsia="MS UI Gothic"/>
          <w:spacing w:val="-11"/>
          <w:w w:val="80"/>
        </w:rPr>
        <w:t xml:space="preserve">４ </w:t>
      </w:r>
      <w:r>
        <w:rPr>
          <w:spacing w:val="3"/>
          <w:w w:val="105"/>
        </w:rPr>
        <w:t>绳圈的位置</w:t>
      </w:r>
      <w:r>
        <w:rPr>
          <w:rFonts w:hint="eastAsia" w:ascii="MS UI Gothic" w:eastAsia="MS UI Gothic"/>
          <w:w w:val="80"/>
        </w:rPr>
        <w:t>ꎮ</w:t>
      </w:r>
    </w:p>
    <w:p>
      <w:pPr>
        <w:pStyle w:val="6"/>
        <w:spacing w:line="253" w:lineRule="exact"/>
        <w:ind w:left="543" w:firstLine="0"/>
        <w:jc w:val="left"/>
        <w:rPr>
          <w:rFonts w:hint="eastAsia" w:ascii="MS UI Gothic" w:eastAsia="MS UI Gothic"/>
        </w:rPr>
      </w:pPr>
      <w:r>
        <w:t>对现有不带绳槽衬垫的在用提升机</w:t>
      </w:r>
      <w:r>
        <w:rPr>
          <w:rFonts w:hint="eastAsia" w:ascii="MS UI Gothic" w:eastAsia="MS UI Gothic"/>
          <w:w w:val="80"/>
        </w:rPr>
        <w:t>ꎬ</w:t>
      </w:r>
    </w:p>
    <w:p>
      <w:pPr>
        <w:pStyle w:val="6"/>
        <w:spacing w:before="174" w:line="295" w:lineRule="auto"/>
        <w:ind w:right="442" w:firstLine="0"/>
        <w:jc w:val="left"/>
        <w:rPr>
          <w:rFonts w:hint="eastAsia" w:ascii="MS UI Gothic" w:eastAsia="MS UI Gothic"/>
        </w:rPr>
      </w:pPr>
      <w:r>
        <w:br w:type="column"/>
      </w:r>
      <w:r>
        <w:t xml:space="preserve">只要在卷筒板上刻有绳槽或者用 </w:t>
      </w:r>
      <w:r>
        <w:rPr>
          <w:rFonts w:hint="eastAsia" w:ascii="MS UI Gothic" w:eastAsia="MS UI Gothic"/>
          <w:w w:val="80"/>
        </w:rPr>
        <w:t xml:space="preserve">１ </w:t>
      </w:r>
      <w:r>
        <w:t>层钢丝绳作底绳</w:t>
      </w:r>
      <w:r>
        <w:rPr>
          <w:rFonts w:hint="eastAsia" w:ascii="MS UI Gothic" w:eastAsia="MS UI Gothic"/>
          <w:w w:val="80"/>
        </w:rPr>
        <w:t xml:space="preserve">ꎬ </w:t>
      </w:r>
      <w:r>
        <w:t>可继续使用</w:t>
      </w:r>
      <w:r>
        <w:rPr>
          <w:rFonts w:hint="eastAsia" w:ascii="MS UI Gothic" w:eastAsia="MS UI Gothic"/>
          <w:w w:val="80"/>
        </w:rPr>
        <w:t>ꎮ</w:t>
      </w:r>
    </w:p>
    <w:p>
      <w:pPr>
        <w:pStyle w:val="6"/>
        <w:tabs>
          <w:tab w:val="left" w:pos="2011"/>
        </w:tabs>
        <w:spacing w:line="295" w:lineRule="auto"/>
        <w:ind w:right="442"/>
        <w:jc w:val="left"/>
        <w:rPr>
          <w:rFonts w:hint="eastAsia" w:ascii="MS UI Gothic" w:eastAsia="MS UI Gothic"/>
        </w:rPr>
      </w:pPr>
      <w:r>
        <w:rPr>
          <w:spacing w:val="3"/>
          <w:w w:val="105"/>
        </w:rPr>
        <w:t>第四百二十</w:t>
      </w:r>
      <w:r>
        <w:rPr>
          <w:w w:val="105"/>
        </w:rPr>
        <w:t>条</w:t>
      </w:r>
      <w:r>
        <w:rPr>
          <w:w w:val="105"/>
        </w:rPr>
        <w:tab/>
      </w:r>
      <w:r>
        <w:rPr>
          <w:spacing w:val="3"/>
        </w:rPr>
        <w:t>钢丝绳绳头固定在</w:t>
      </w:r>
      <w:r>
        <w:rPr>
          <w:spacing w:val="-11"/>
        </w:rPr>
        <w:t>卷</w:t>
      </w:r>
      <w:r>
        <w:rPr>
          <w:spacing w:val="3"/>
          <w:w w:val="110"/>
        </w:rPr>
        <w:t>筒上时</w:t>
      </w:r>
      <w:r>
        <w:rPr>
          <w:rFonts w:hint="eastAsia" w:ascii="MS UI Gothic" w:eastAsia="MS UI Gothic"/>
          <w:w w:val="80"/>
        </w:rPr>
        <w:t>ꎬ</w:t>
      </w:r>
      <w:r>
        <w:rPr>
          <w:rFonts w:hint="eastAsia" w:ascii="MS UI Gothic" w:eastAsia="MS UI Gothic"/>
          <w:spacing w:val="40"/>
          <w:w w:val="80"/>
        </w:rPr>
        <w:t xml:space="preserve"> </w:t>
      </w:r>
      <w:r>
        <w:rPr>
          <w:spacing w:val="3"/>
          <w:w w:val="110"/>
        </w:rPr>
        <w:t>应当符合下列要求</w:t>
      </w:r>
      <w:r>
        <w:rPr>
          <w:rFonts w:hint="eastAsia" w:ascii="MS UI Gothic" w:eastAsia="MS UI Gothic"/>
          <w:w w:val="235"/>
        </w:rPr>
        <w:t>:</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必须有特备的容绳或者卡绳装置</w:t>
      </w:r>
      <w:r>
        <w:rPr>
          <w:rFonts w:hint="eastAsia" w:ascii="MS UI Gothic" w:eastAsia="MS UI Gothic"/>
          <w:w w:val="80"/>
        </w:rPr>
        <w:t xml:space="preserve">ꎬ </w:t>
      </w:r>
      <w:r>
        <w:rPr>
          <w:w w:val="105"/>
        </w:rPr>
        <w:t>严禁系在卷筒轴上</w:t>
      </w:r>
      <w:r>
        <w:rPr>
          <w:rFonts w:hint="eastAsia" w:ascii="MS UI Gothic" w:eastAsia="MS UI Gothic"/>
          <w:w w:val="80"/>
        </w:rPr>
        <w:t>ꎮ</w:t>
      </w:r>
    </w:p>
    <w:p>
      <w:pPr>
        <w:pStyle w:val="6"/>
        <w:spacing w:line="255" w:lineRule="exact"/>
        <w:ind w:left="543" w:firstLine="0"/>
        <w:jc w:val="left"/>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绳孔不得有锐利的边缘</w:t>
      </w:r>
      <w:r>
        <w:rPr>
          <w:rFonts w:hint="eastAsia" w:ascii="MS UI Gothic" w:eastAsia="MS UI Gothic"/>
          <w:w w:val="80"/>
        </w:rPr>
        <w:t xml:space="preserve">ꎬ </w:t>
      </w:r>
      <w:r>
        <w:rPr>
          <w:w w:val="110"/>
        </w:rPr>
        <w:t>钢丝</w:t>
      </w:r>
    </w:p>
    <w:p>
      <w:pPr>
        <w:spacing w:after="0" w:line="255"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３０７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42" o:spid="_x0000_s1942" o:spt="203" style="height:2.15pt;width:398.25pt;" coordsize="7965,43">
            <o:lock v:ext="edit"/>
            <v:line id="_x0000_s1943" o:spid="_x0000_s1943" o:spt="20" style="position:absolute;left:0;top:39;height:0;width:7965;" stroked="t" coordsize="21600,21600">
              <v:path arrowok="t"/>
              <v:fill focussize="0,0"/>
              <v:stroke weight="0.388031496062992pt" color="#231F20"/>
              <v:imagedata o:title=""/>
              <o:lock v:ext="edit"/>
            </v:line>
            <v:line id="_x0000_s1944" o:spid="_x0000_s194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绳的弯曲不得形成锐角</w:t>
      </w:r>
      <w:r>
        <w:rPr>
          <w:rFonts w:hint="eastAsia" w:ascii="MS UI Gothic" w:eastAsia="MS UI Gothic"/>
          <w:w w:val="80"/>
        </w:rPr>
        <w:t>ꎮ</w:t>
      </w:r>
    </w:p>
    <w:p>
      <w:pPr>
        <w:pStyle w:val="6"/>
        <w:spacing w:before="58"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2"/>
          <w:w w:val="150"/>
        </w:rPr>
        <w:t xml:space="preserve">) </w:t>
      </w:r>
      <w:r>
        <w:rPr>
          <w:spacing w:val="-2"/>
          <w:w w:val="105"/>
        </w:rPr>
        <w:t xml:space="preserve">卷筒上应当缠留 </w:t>
      </w:r>
      <w:r>
        <w:rPr>
          <w:rFonts w:hint="eastAsia" w:ascii="MS UI Gothic" w:eastAsia="MS UI Gothic"/>
          <w:spacing w:val="1"/>
          <w:w w:val="80"/>
        </w:rPr>
        <w:t xml:space="preserve">３ </w:t>
      </w:r>
      <w:r>
        <w:rPr>
          <w:spacing w:val="7"/>
          <w:w w:val="105"/>
        </w:rPr>
        <w:t>圈绳</w:t>
      </w:r>
      <w:r>
        <w:rPr>
          <w:rFonts w:hint="eastAsia" w:ascii="MS UI Gothic" w:eastAsia="MS UI Gothic"/>
          <w:spacing w:val="18"/>
          <w:w w:val="80"/>
        </w:rPr>
        <w:t xml:space="preserve">ꎬ </w:t>
      </w:r>
      <w:r>
        <w:rPr>
          <w:spacing w:val="5"/>
          <w:w w:val="105"/>
        </w:rPr>
        <w:t>以减</w:t>
      </w:r>
      <w:r>
        <w:rPr>
          <w:spacing w:val="12"/>
        </w:rPr>
        <w:t>轻固定处的张力</w:t>
      </w:r>
      <w:r>
        <w:rPr>
          <w:rFonts w:hint="eastAsia" w:ascii="MS UI Gothic" w:eastAsia="MS UI Gothic"/>
          <w:spacing w:val="24"/>
          <w:w w:val="80"/>
        </w:rPr>
        <w:t xml:space="preserve">ꎬ </w:t>
      </w:r>
      <w:r>
        <w:rPr>
          <w:spacing w:val="15"/>
        </w:rPr>
        <w:t>还必须留有定期检验</w:t>
      </w:r>
      <w:r>
        <w:rPr>
          <w:spacing w:val="3"/>
          <w:w w:val="105"/>
        </w:rPr>
        <w:t>用绳</w:t>
      </w:r>
      <w:r>
        <w:rPr>
          <w:rFonts w:hint="eastAsia" w:ascii="MS UI Gothic" w:eastAsia="MS UI Gothic"/>
          <w:w w:val="80"/>
        </w:rPr>
        <w:t>ꎮ</w:t>
      </w:r>
    </w:p>
    <w:p>
      <w:pPr>
        <w:pStyle w:val="6"/>
        <w:spacing w:line="295" w:lineRule="auto"/>
        <w:ind w:left="440"/>
        <w:rPr>
          <w:rFonts w:hint="eastAsia" w:ascii="MS UI Gothic" w:eastAsia="MS UI Gothic"/>
        </w:rPr>
      </w:pPr>
      <w:r>
        <w:t>第四百二十一条 通过天轮的钢丝绳必须低于天轮的边缘</w:t>
      </w:r>
      <w:r>
        <w:rPr>
          <w:rFonts w:hint="eastAsia" w:ascii="MS UI Gothic" w:eastAsia="MS UI Gothic"/>
          <w:w w:val="80"/>
        </w:rPr>
        <w:t xml:space="preserve">ꎬ </w:t>
      </w:r>
      <w:r>
        <w:t>其高差</w:t>
      </w:r>
      <w:r>
        <w:rPr>
          <w:rFonts w:hint="eastAsia" w:ascii="MS UI Gothic" w:eastAsia="MS UI Gothic"/>
          <w:w w:val="230"/>
        </w:rPr>
        <w:t xml:space="preserve">: </w:t>
      </w:r>
      <w:r>
        <w:t xml:space="preserve">提升用天轮不得小于钢丝绳直径的 </w:t>
      </w:r>
      <w:r>
        <w:rPr>
          <w:rFonts w:hint="eastAsia" w:ascii="MS UI Gothic" w:eastAsia="MS UI Gothic"/>
        </w:rPr>
        <w:t xml:space="preserve">１ ５ </w:t>
      </w:r>
      <w:r>
        <w:t>倍</w:t>
      </w:r>
      <w:r>
        <w:rPr>
          <w:rFonts w:hint="eastAsia" w:ascii="MS UI Gothic" w:eastAsia="MS UI Gothic"/>
          <w:w w:val="80"/>
        </w:rPr>
        <w:t xml:space="preserve">ꎬ </w:t>
      </w:r>
      <w:r>
        <w:t xml:space="preserve">悬吊用天轮不得小于钢丝绳直径的 </w:t>
      </w:r>
      <w:r>
        <w:rPr>
          <w:rFonts w:hint="eastAsia" w:ascii="MS UI Gothic" w:eastAsia="MS UI Gothic"/>
        </w:rPr>
        <w:t xml:space="preserve">１ </w:t>
      </w:r>
      <w:r>
        <w:t>倍</w:t>
      </w:r>
      <w:r>
        <w:rPr>
          <w:rFonts w:hint="eastAsia" w:ascii="MS UI Gothic" w:eastAsia="MS UI Gothic"/>
          <w:w w:val="80"/>
        </w:rPr>
        <w:t>ꎮ</w:t>
      </w:r>
    </w:p>
    <w:p>
      <w:pPr>
        <w:pStyle w:val="6"/>
        <w:spacing w:line="295" w:lineRule="auto"/>
        <w:ind w:left="440"/>
        <w:rPr>
          <w:rFonts w:hint="eastAsia" w:ascii="MS UI Gothic" w:eastAsia="MS UI Gothic"/>
        </w:rPr>
      </w:pPr>
      <w:r>
        <w:t>天轮和摩擦轮绳槽衬垫磨损达到下列</w:t>
      </w:r>
      <w:r>
        <w:rPr>
          <w:w w:val="110"/>
        </w:rPr>
        <w:t>限值</w:t>
      </w:r>
      <w:r>
        <w:rPr>
          <w:rFonts w:hint="eastAsia" w:ascii="MS UI Gothic" w:eastAsia="MS UI Gothic"/>
          <w:w w:val="80"/>
        </w:rPr>
        <w:t xml:space="preserve">ꎬ </w:t>
      </w:r>
      <w:r>
        <w:rPr>
          <w:w w:val="110"/>
        </w:rPr>
        <w:t>必须更换</w:t>
      </w:r>
      <w:r>
        <w:rPr>
          <w:rFonts w:hint="eastAsia" w:ascii="MS UI Gothic" w:eastAsia="MS UI Gothic"/>
          <w:w w:val="235"/>
        </w:rPr>
        <w:t>:</w:t>
      </w:r>
    </w:p>
    <w:p>
      <w:pPr>
        <w:pStyle w:val="6"/>
        <w:spacing w:before="124" w:line="295" w:lineRule="auto"/>
        <w:ind w:left="383" w:right="126"/>
        <w:rPr>
          <w:rFonts w:hint="eastAsia" w:ascii="MS UI Gothic" w:eastAsia="MS UI Gothic"/>
        </w:rPr>
      </w:pPr>
      <w:r>
        <w:br w:type="column"/>
      </w:r>
      <w:r>
        <w:rPr>
          <w:rFonts w:hint="eastAsia" w:ascii="MS UI Gothic" w:eastAsia="MS UI Gothic"/>
          <w:w w:val="150"/>
        </w:rPr>
        <w:t xml:space="preserve">( </w:t>
      </w:r>
      <w:r>
        <w:t>一</w:t>
      </w:r>
      <w:r>
        <w:rPr>
          <w:rFonts w:hint="eastAsia" w:ascii="MS UI Gothic" w:eastAsia="MS UI Gothic"/>
          <w:w w:val="150"/>
        </w:rPr>
        <w:t xml:space="preserve">) </w:t>
      </w:r>
      <w:r>
        <w:t xml:space="preserve">天轮绳槽衬垫磨损达到 </w:t>
      </w:r>
      <w:r>
        <w:rPr>
          <w:rFonts w:hint="eastAsia" w:ascii="MS UI Gothic" w:eastAsia="MS UI Gothic"/>
          <w:w w:val="80"/>
        </w:rPr>
        <w:t xml:space="preserve">１ </w:t>
      </w:r>
      <w:r>
        <w:t>根钢丝绳直径的深度</w:t>
      </w:r>
      <w:r>
        <w:rPr>
          <w:rFonts w:hint="eastAsia" w:ascii="MS UI Gothic" w:eastAsia="MS UI Gothic"/>
          <w:w w:val="80"/>
        </w:rPr>
        <w:t xml:space="preserve">ꎬ </w:t>
      </w:r>
      <w:r>
        <w:t xml:space="preserve">或者沿侧面磨损达到钢丝绳直径的 </w:t>
      </w:r>
      <w:r>
        <w:rPr>
          <w:rFonts w:hint="eastAsia" w:ascii="MS UI Gothic" w:eastAsia="MS UI Gothic"/>
          <w:w w:val="80"/>
        </w:rPr>
        <w:t xml:space="preserve">１ </w:t>
      </w:r>
      <w:r>
        <w:rPr>
          <w:rFonts w:hint="eastAsia" w:ascii="MS UI Gothic" w:eastAsia="MS UI Gothic"/>
          <w:w w:val="65"/>
        </w:rPr>
        <w:t xml:space="preserve">/ </w:t>
      </w:r>
      <w:r>
        <w:rPr>
          <w:rFonts w:hint="eastAsia" w:ascii="MS UI Gothic" w:eastAsia="MS UI Gothic"/>
          <w:w w:val="80"/>
        </w:rPr>
        <w:t>２ꎮ</w:t>
      </w:r>
    </w:p>
    <w:p>
      <w:pPr>
        <w:pStyle w:val="6"/>
        <w:spacing w:line="295" w:lineRule="auto"/>
        <w:ind w:left="377" w:right="126" w:firstLine="425"/>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摩擦轮绳槽衬垫磨损剩余厚度小于钢丝绳直径</w:t>
      </w:r>
      <w:r>
        <w:rPr>
          <w:rFonts w:hint="eastAsia" w:ascii="MS UI Gothic" w:eastAsia="MS UI Gothic"/>
          <w:w w:val="85"/>
        </w:rPr>
        <w:t xml:space="preserve">ꎬ </w:t>
      </w:r>
      <w:r>
        <w:t>绳槽磨损深度超过</w:t>
      </w:r>
      <w:r>
        <w:rPr>
          <w:rFonts w:hint="eastAsia" w:ascii="MS UI Gothic" w:eastAsia="MS UI Gothic"/>
        </w:rPr>
        <w:t>７０ ｍｍ</w:t>
      </w:r>
      <w:r>
        <w:rPr>
          <w:rFonts w:hint="eastAsia" w:ascii="MS UI Gothic" w:eastAsia="MS UI Gothic"/>
          <w:w w:val="85"/>
        </w:rPr>
        <w:t>ꎮ</w:t>
      </w:r>
    </w:p>
    <w:p>
      <w:pPr>
        <w:pStyle w:val="6"/>
        <w:spacing w:line="295" w:lineRule="auto"/>
        <w:ind w:left="383" w:right="126"/>
        <w:rPr>
          <w:rFonts w:hint="eastAsia" w:ascii="MS UI Gothic" w:eastAsia="MS UI Gothic"/>
        </w:rPr>
      </w:pPr>
      <w:r>
        <w:rPr>
          <w:w w:val="105"/>
        </w:rPr>
        <w:t>第四百二十二条 矿井提升系统的加</w:t>
      </w:r>
      <w:r>
        <w:rPr>
          <w:rFonts w:hint="eastAsia" w:ascii="MS UI Gothic" w:eastAsia="MS UI Gothic"/>
          <w:w w:val="145"/>
        </w:rPr>
        <w:t xml:space="preserve">( </w:t>
      </w:r>
      <w:r>
        <w:rPr>
          <w:w w:val="105"/>
        </w:rPr>
        <w:t>减</w:t>
      </w:r>
      <w:r>
        <w:rPr>
          <w:rFonts w:hint="eastAsia" w:ascii="MS UI Gothic" w:eastAsia="MS UI Gothic"/>
          <w:w w:val="145"/>
        </w:rPr>
        <w:t xml:space="preserve">) </w:t>
      </w:r>
      <w:r>
        <w:rPr>
          <w:w w:val="105"/>
        </w:rPr>
        <w:t xml:space="preserve">速度和提升速度必须符合表 </w:t>
      </w:r>
      <w:r>
        <w:rPr>
          <w:rFonts w:hint="eastAsia" w:ascii="MS UI Gothic" w:eastAsia="MS UI Gothic"/>
          <w:w w:val="85"/>
        </w:rPr>
        <w:t xml:space="preserve">１４ </w:t>
      </w:r>
      <w:r>
        <w:rPr>
          <w:w w:val="105"/>
        </w:rPr>
        <w:t>的要求</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5"/>
        <w:ind w:left="0" w:firstLine="0"/>
        <w:jc w:val="left"/>
        <w:rPr>
          <w:rFonts w:ascii="MS UI Gothic"/>
          <w:sz w:val="10"/>
        </w:rPr>
      </w:pPr>
    </w:p>
    <w:p>
      <w:pPr>
        <w:pStyle w:val="6"/>
        <w:spacing w:before="174"/>
        <w:ind w:left="312" w:firstLine="0"/>
        <w:jc w:val="center"/>
      </w:pPr>
      <w:r>
        <w:rPr>
          <w:w w:val="95"/>
        </w:rPr>
        <w:t xml:space="preserve">表 </w:t>
      </w:r>
      <w:r>
        <w:rPr>
          <w:rFonts w:hint="eastAsia" w:ascii="MS UI Gothic" w:eastAsia="MS UI Gothic"/>
          <w:w w:val="95"/>
        </w:rPr>
        <w:t xml:space="preserve">１４ </w:t>
      </w:r>
      <w:r>
        <w:rPr>
          <w:w w:val="95"/>
        </w:rPr>
        <w:t xml:space="preserve">矿井提升系统的加 </w:t>
      </w:r>
      <w:r>
        <w:rPr>
          <w:rFonts w:hint="eastAsia" w:ascii="Microsoft Yi Baiti" w:eastAsia="Microsoft Yi Baiti"/>
          <w:w w:val="95"/>
        </w:rPr>
        <w:t xml:space="preserve">( </w:t>
      </w:r>
      <w:r>
        <w:rPr>
          <w:w w:val="95"/>
        </w:rPr>
        <w:t>减</w:t>
      </w:r>
      <w:r>
        <w:rPr>
          <w:rFonts w:hint="eastAsia" w:ascii="Microsoft Yi Baiti" w:eastAsia="Microsoft Yi Baiti"/>
          <w:w w:val="95"/>
        </w:rPr>
        <w:t xml:space="preserve">) </w:t>
      </w:r>
      <w:r>
        <w:rPr>
          <w:w w:val="95"/>
        </w:rPr>
        <w:t>速度和提升速度值</w:t>
      </w:r>
    </w:p>
    <w:p>
      <w:pPr>
        <w:pStyle w:val="6"/>
        <w:spacing w:before="1"/>
        <w:ind w:left="0" w:firstLine="0"/>
        <w:jc w:val="left"/>
        <w:rPr>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069"/>
        <w:gridCol w:w="1432"/>
        <w:gridCol w:w="1432"/>
        <w:gridCol w:w="1432"/>
        <w:gridCol w:w="1599"/>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069" w:type="dxa"/>
            <w:vMerge w:val="restart"/>
            <w:tcBorders>
              <w:bottom w:val="single" w:color="231F20" w:sz="4" w:space="0"/>
              <w:right w:val="single" w:color="231F20" w:sz="4" w:space="0"/>
            </w:tcBorders>
          </w:tcPr>
          <w:p>
            <w:pPr>
              <w:pStyle w:val="11"/>
              <w:spacing w:before="4"/>
              <w:rPr>
                <w:sz w:val="16"/>
              </w:rPr>
            </w:pPr>
          </w:p>
          <w:p>
            <w:pPr>
              <w:pStyle w:val="11"/>
              <w:ind w:left="113" w:right="103"/>
              <w:jc w:val="center"/>
              <w:rPr>
                <w:sz w:val="15"/>
              </w:rPr>
            </w:pPr>
            <w:r>
              <w:rPr>
                <w:w w:val="105"/>
                <w:sz w:val="15"/>
              </w:rPr>
              <w:t>项目</w:t>
            </w:r>
          </w:p>
        </w:tc>
        <w:tc>
          <w:tcPr>
            <w:tcW w:w="2864" w:type="dxa"/>
            <w:gridSpan w:val="2"/>
            <w:tcBorders>
              <w:left w:val="single" w:color="231F20" w:sz="4" w:space="0"/>
              <w:bottom w:val="single" w:color="231F20" w:sz="4" w:space="0"/>
              <w:right w:val="single" w:color="231F20" w:sz="4" w:space="0"/>
            </w:tcBorders>
          </w:tcPr>
          <w:p>
            <w:pPr>
              <w:pStyle w:val="11"/>
              <w:spacing w:before="50"/>
              <w:ind w:left="1099" w:right="1084"/>
              <w:jc w:val="center"/>
              <w:rPr>
                <w:sz w:val="15"/>
              </w:rPr>
            </w:pPr>
            <w:r>
              <w:rPr>
                <w:w w:val="105"/>
                <w:sz w:val="15"/>
              </w:rPr>
              <w:t>立井提升</w:t>
            </w:r>
          </w:p>
        </w:tc>
        <w:tc>
          <w:tcPr>
            <w:tcW w:w="3031" w:type="dxa"/>
            <w:gridSpan w:val="2"/>
            <w:tcBorders>
              <w:left w:val="single" w:color="231F20" w:sz="4" w:space="0"/>
              <w:bottom w:val="single" w:color="231F20" w:sz="4" w:space="0"/>
            </w:tcBorders>
          </w:tcPr>
          <w:p>
            <w:pPr>
              <w:pStyle w:val="11"/>
              <w:spacing w:before="50"/>
              <w:ind w:left="1183" w:right="1162"/>
              <w:jc w:val="center"/>
              <w:rPr>
                <w:sz w:val="15"/>
              </w:rPr>
            </w:pPr>
            <w:r>
              <w:rPr>
                <w:w w:val="105"/>
                <w:sz w:val="15"/>
              </w:rPr>
              <w:t>斜井提升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069" w:type="dxa"/>
            <w:vMerge w:val="continue"/>
            <w:tcBorders>
              <w:top w:val="nil"/>
              <w:bottom w:val="single" w:color="231F20" w:sz="4" w:space="0"/>
              <w:right w:val="single" w:color="231F20" w:sz="4" w:space="0"/>
            </w:tcBorders>
          </w:tcPr>
          <w:p>
            <w:pPr>
              <w:rPr>
                <w:sz w:val="2"/>
                <w:szCs w:val="2"/>
              </w:rPr>
            </w:pPr>
          </w:p>
        </w:tc>
        <w:tc>
          <w:tcPr>
            <w:tcW w:w="1432" w:type="dxa"/>
            <w:tcBorders>
              <w:top w:val="single" w:color="231F20" w:sz="4" w:space="0"/>
              <w:left w:val="single" w:color="231F20" w:sz="4" w:space="0"/>
              <w:bottom w:val="single" w:color="231F20" w:sz="4" w:space="0"/>
              <w:right w:val="single" w:color="231F20" w:sz="4" w:space="0"/>
            </w:tcBorders>
          </w:tcPr>
          <w:p>
            <w:pPr>
              <w:pStyle w:val="11"/>
              <w:spacing w:before="55"/>
              <w:ind w:left="314" w:right="299"/>
              <w:jc w:val="center"/>
              <w:rPr>
                <w:sz w:val="15"/>
              </w:rPr>
            </w:pPr>
            <w:r>
              <w:rPr>
                <w:w w:val="105"/>
                <w:sz w:val="15"/>
              </w:rPr>
              <w:t>升降人员</w:t>
            </w:r>
          </w:p>
        </w:tc>
        <w:tc>
          <w:tcPr>
            <w:tcW w:w="1432" w:type="dxa"/>
            <w:tcBorders>
              <w:top w:val="single" w:color="231F20" w:sz="4" w:space="0"/>
              <w:left w:val="single" w:color="231F20" w:sz="4" w:space="0"/>
              <w:bottom w:val="single" w:color="231F20" w:sz="4" w:space="0"/>
              <w:right w:val="single" w:color="231F20" w:sz="4" w:space="0"/>
            </w:tcBorders>
          </w:tcPr>
          <w:p>
            <w:pPr>
              <w:pStyle w:val="11"/>
              <w:spacing w:before="55"/>
              <w:ind w:left="402"/>
              <w:rPr>
                <w:sz w:val="15"/>
              </w:rPr>
            </w:pPr>
            <w:r>
              <w:rPr>
                <w:w w:val="105"/>
                <w:sz w:val="15"/>
              </w:rPr>
              <w:t>升降物料</w:t>
            </w:r>
          </w:p>
        </w:tc>
        <w:tc>
          <w:tcPr>
            <w:tcW w:w="1432" w:type="dxa"/>
            <w:tcBorders>
              <w:top w:val="single" w:color="231F20" w:sz="4" w:space="0"/>
              <w:left w:val="single" w:color="231F20" w:sz="4" w:space="0"/>
              <w:bottom w:val="single" w:color="231F20" w:sz="4" w:space="0"/>
              <w:right w:val="single" w:color="231F20" w:sz="4" w:space="0"/>
            </w:tcBorders>
          </w:tcPr>
          <w:p>
            <w:pPr>
              <w:pStyle w:val="11"/>
              <w:spacing w:before="55"/>
              <w:ind w:left="314" w:right="298"/>
              <w:jc w:val="center"/>
              <w:rPr>
                <w:sz w:val="15"/>
              </w:rPr>
            </w:pPr>
            <w:r>
              <w:rPr>
                <w:w w:val="105"/>
                <w:sz w:val="15"/>
              </w:rPr>
              <w:t>串车提升</w:t>
            </w:r>
          </w:p>
        </w:tc>
        <w:tc>
          <w:tcPr>
            <w:tcW w:w="1599" w:type="dxa"/>
            <w:tcBorders>
              <w:top w:val="single" w:color="231F20" w:sz="4" w:space="0"/>
              <w:left w:val="single" w:color="231F20" w:sz="4" w:space="0"/>
              <w:bottom w:val="single" w:color="231F20" w:sz="4" w:space="0"/>
            </w:tcBorders>
          </w:tcPr>
          <w:p>
            <w:pPr>
              <w:pStyle w:val="11"/>
              <w:spacing w:before="55"/>
              <w:ind w:left="486"/>
              <w:rPr>
                <w:sz w:val="15"/>
              </w:rPr>
            </w:pPr>
            <w:r>
              <w:rPr>
                <w:w w:val="105"/>
                <w:sz w:val="15"/>
              </w:rPr>
              <w:t>箕斗提升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069" w:type="dxa"/>
            <w:tcBorders>
              <w:top w:val="single" w:color="231F20" w:sz="4" w:space="0"/>
              <w:bottom w:val="single" w:color="231F20" w:sz="4" w:space="0"/>
              <w:right w:val="single" w:color="231F20" w:sz="4" w:space="0"/>
            </w:tcBorders>
          </w:tcPr>
          <w:p>
            <w:pPr>
              <w:pStyle w:val="11"/>
              <w:spacing w:before="43"/>
              <w:ind w:left="113" w:right="116"/>
              <w:jc w:val="center"/>
              <w:rPr>
                <w:rFonts w:hint="eastAsia" w:ascii="MS UI Gothic" w:eastAsia="MS UI Gothic"/>
                <w:sz w:val="15"/>
              </w:rPr>
            </w:pPr>
            <w:r>
              <w:rPr>
                <w:w w:val="103"/>
                <w:sz w:val="15"/>
              </w:rPr>
              <w:t>加</w:t>
            </w:r>
            <w:r>
              <w:rPr>
                <w:spacing w:val="8"/>
                <w:sz w:val="15"/>
              </w:rPr>
              <w:t xml:space="preserve"> </w:t>
            </w:r>
            <w:r>
              <w:rPr>
                <w:rFonts w:hint="eastAsia" w:ascii="MS UI Gothic" w:eastAsia="MS UI Gothic"/>
                <w:w w:val="169"/>
                <w:sz w:val="15"/>
              </w:rPr>
              <w:t>(</w:t>
            </w:r>
            <w:r>
              <w:rPr>
                <w:rFonts w:hint="eastAsia" w:ascii="MS UI Gothic" w:eastAsia="MS UI Gothic"/>
                <w:spacing w:val="-29"/>
                <w:sz w:val="15"/>
              </w:rPr>
              <w:t xml:space="preserve"> </w:t>
            </w:r>
            <w:r>
              <w:rPr>
                <w:spacing w:val="3"/>
                <w:w w:val="103"/>
                <w:sz w:val="15"/>
              </w:rPr>
              <w:t>减</w:t>
            </w:r>
            <w:r>
              <w:rPr>
                <w:rFonts w:hint="eastAsia" w:ascii="MS UI Gothic" w:eastAsia="MS UI Gothic"/>
                <w:w w:val="169"/>
                <w:sz w:val="15"/>
              </w:rPr>
              <w:t>)</w:t>
            </w:r>
            <w:r>
              <w:rPr>
                <w:rFonts w:hint="eastAsia" w:ascii="MS UI Gothic" w:eastAsia="MS UI Gothic"/>
                <w:spacing w:val="2"/>
                <w:sz w:val="15"/>
              </w:rPr>
              <w:t xml:space="preserve">  </w:t>
            </w:r>
            <w:r>
              <w:rPr>
                <w:spacing w:val="13"/>
                <w:w w:val="103"/>
                <w:sz w:val="15"/>
              </w:rPr>
              <w:t>速度</w:t>
            </w:r>
            <w:r>
              <w:rPr>
                <w:rFonts w:hint="eastAsia" w:ascii="MS UI Gothic" w:eastAsia="MS UI Gothic"/>
                <w:w w:val="34"/>
                <w:sz w:val="15"/>
              </w:rPr>
              <w:t>/</w:t>
            </w:r>
            <w:r>
              <w:rPr>
                <w:rFonts w:hint="eastAsia" w:ascii="MS UI Gothic" w:eastAsia="MS UI Gothic"/>
                <w:spacing w:val="11"/>
                <w:sz w:val="15"/>
              </w:rPr>
              <w:t xml:space="preserve">  </w:t>
            </w:r>
            <w:r>
              <w:rPr>
                <w:rFonts w:hint="eastAsia" w:ascii="MS UI Gothic" w:eastAsia="MS UI Gothic"/>
                <w:w w:val="169"/>
                <w:sz w:val="15"/>
              </w:rPr>
              <w:t>(</w:t>
            </w:r>
            <w:r>
              <w:rPr>
                <w:rFonts w:hint="eastAsia" w:ascii="MS UI Gothic" w:eastAsia="MS UI Gothic"/>
                <w:spacing w:val="-29"/>
                <w:sz w:val="15"/>
              </w:rPr>
              <w:t xml:space="preserve"> </w:t>
            </w:r>
            <w:r>
              <w:rPr>
                <w:rFonts w:hint="eastAsia" w:ascii="MS UI Gothic" w:eastAsia="MS UI Gothic"/>
                <w:spacing w:val="2"/>
                <w:w w:val="79"/>
                <w:sz w:val="15"/>
              </w:rPr>
              <w:t>ｍ</w:t>
            </w:r>
            <w:r>
              <w:rPr>
                <w:rFonts w:hint="eastAsia" w:ascii="MS UI Gothic" w:eastAsia="MS UI Gothic"/>
                <w:spacing w:val="7"/>
                <w:w w:val="70"/>
                <w:sz w:val="15"/>
              </w:rPr>
              <w:t>ｓ</w:t>
            </w:r>
            <w:r>
              <w:rPr>
                <w:rFonts w:hint="eastAsia" w:ascii="MS UI Gothic" w:eastAsia="MS UI Gothic"/>
                <w:spacing w:val="7"/>
                <w:w w:val="56"/>
                <w:position w:val="7"/>
                <w:sz w:val="10"/>
              </w:rPr>
              <w:t>－</w:t>
            </w:r>
            <w:r>
              <w:rPr>
                <w:rFonts w:hint="eastAsia" w:ascii="MS UI Gothic" w:eastAsia="MS UI Gothic"/>
                <w:w w:val="75"/>
                <w:position w:val="6"/>
                <w:sz w:val="10"/>
              </w:rPr>
              <w:t>２</w:t>
            </w:r>
            <w:r>
              <w:rPr>
                <w:rFonts w:hint="eastAsia" w:ascii="MS UI Gothic" w:eastAsia="MS UI Gothic"/>
                <w:spacing w:val="-13"/>
                <w:position w:val="6"/>
                <w:sz w:val="10"/>
              </w:rPr>
              <w:t xml:space="preserve"> </w:t>
            </w:r>
            <w:r>
              <w:rPr>
                <w:rFonts w:hint="eastAsia" w:ascii="MS UI Gothic" w:eastAsia="MS UI Gothic"/>
                <w:w w:val="169"/>
                <w:sz w:val="15"/>
              </w:rPr>
              <w:t>)</w:t>
            </w:r>
          </w:p>
        </w:tc>
        <w:tc>
          <w:tcPr>
            <w:tcW w:w="1432" w:type="dxa"/>
            <w:tcBorders>
              <w:top w:val="single" w:color="231F20" w:sz="4" w:space="0"/>
              <w:left w:val="single" w:color="231F20" w:sz="4" w:space="0"/>
              <w:bottom w:val="single" w:color="231F20" w:sz="4" w:space="0"/>
              <w:right w:val="single" w:color="231F20" w:sz="4" w:space="0"/>
            </w:tcBorders>
          </w:tcPr>
          <w:p>
            <w:pPr>
              <w:pStyle w:val="11"/>
              <w:spacing w:before="55"/>
              <w:ind w:left="314" w:right="299"/>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spacing w:val="-1"/>
                <w:w w:val="75"/>
                <w:sz w:val="15"/>
              </w:rPr>
              <w:t>７</w:t>
            </w:r>
            <w:r>
              <w:rPr>
                <w:rFonts w:hint="eastAsia" w:ascii="MS UI Gothic" w:hAnsi="MS UI Gothic" w:eastAsia="MS UI Gothic"/>
                <w:w w:val="75"/>
                <w:sz w:val="15"/>
              </w:rPr>
              <w:t>５</w:t>
            </w:r>
          </w:p>
        </w:tc>
        <w:tc>
          <w:tcPr>
            <w:tcW w:w="1432" w:type="dxa"/>
            <w:tcBorders>
              <w:top w:val="single" w:color="231F20" w:sz="4" w:space="0"/>
              <w:left w:val="single" w:color="231F20" w:sz="4" w:space="0"/>
              <w:bottom w:val="single" w:color="231F20" w:sz="4" w:space="0"/>
              <w:right w:val="single" w:color="231F20" w:sz="4" w:space="0"/>
            </w:tcBorders>
          </w:tcPr>
          <w:p>
            <w:pPr>
              <w:pStyle w:val="11"/>
              <w:rPr>
                <w:rFonts w:ascii="Times New Roman"/>
                <w:sz w:val="18"/>
              </w:rPr>
            </w:pPr>
          </w:p>
        </w:tc>
        <w:tc>
          <w:tcPr>
            <w:tcW w:w="1432" w:type="dxa"/>
            <w:tcBorders>
              <w:top w:val="single" w:color="231F20" w:sz="4" w:space="0"/>
              <w:left w:val="single" w:color="231F20" w:sz="4" w:space="0"/>
              <w:bottom w:val="single" w:color="231F20" w:sz="4" w:space="0"/>
              <w:right w:val="single" w:color="231F20" w:sz="4" w:space="0"/>
            </w:tcBorders>
          </w:tcPr>
          <w:p>
            <w:pPr>
              <w:pStyle w:val="11"/>
              <w:spacing w:before="55"/>
              <w:ind w:left="314" w:right="298"/>
              <w:jc w:val="center"/>
              <w:rPr>
                <w:rFonts w:hint="eastAsia" w:ascii="MS UI Gothic" w:hAnsi="MS UI Gothic" w:eastAsia="MS UI Gothic"/>
                <w:sz w:val="15"/>
              </w:rPr>
            </w:pPr>
            <w:r>
              <w:rPr>
                <w:rFonts w:hint="eastAsia" w:ascii="MS UI Gothic" w:hAnsi="MS UI Gothic" w:eastAsia="MS UI Gothic"/>
                <w:spacing w:val="-1"/>
                <w:w w:val="205"/>
                <w:sz w:val="15"/>
              </w:rPr>
              <w:t>≤</w:t>
            </w:r>
            <w:r>
              <w:rPr>
                <w:rFonts w:hint="eastAsia" w:ascii="MS UI Gothic" w:hAnsi="MS UI Gothic" w:eastAsia="MS UI Gothic"/>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1599" w:type="dxa"/>
            <w:tcBorders>
              <w:top w:val="single" w:color="231F20" w:sz="4" w:space="0"/>
              <w:left w:val="single" w:color="231F20" w:sz="4" w:space="0"/>
              <w:bottom w:val="single" w:color="231F20" w:sz="4" w:space="0"/>
            </w:tcBorders>
          </w:tcPr>
          <w:p>
            <w:pPr>
              <w:pStyle w:val="11"/>
              <w:rPr>
                <w:rFonts w:ascii="Times New Roman"/>
                <w:sz w:val="1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39" w:hRule="atLeast"/>
        </w:trPr>
        <w:tc>
          <w:tcPr>
            <w:tcW w:w="2069" w:type="dxa"/>
            <w:tcBorders>
              <w:top w:val="single" w:color="231F20" w:sz="4" w:space="0"/>
              <w:right w:val="single" w:color="231F20" w:sz="4" w:space="0"/>
            </w:tcBorders>
          </w:tcPr>
          <w:p>
            <w:pPr>
              <w:pStyle w:val="11"/>
              <w:spacing w:before="2"/>
              <w:rPr>
                <w:sz w:val="28"/>
              </w:rPr>
            </w:pPr>
          </w:p>
          <w:p>
            <w:pPr>
              <w:pStyle w:val="11"/>
              <w:ind w:left="113" w:right="116"/>
              <w:jc w:val="center"/>
              <w:rPr>
                <w:rFonts w:hint="eastAsia" w:ascii="MS UI Gothic" w:eastAsia="MS UI Gothic"/>
                <w:sz w:val="15"/>
              </w:rPr>
            </w:pPr>
            <w:r>
              <w:rPr>
                <w:spacing w:val="7"/>
                <w:w w:val="103"/>
                <w:sz w:val="15"/>
              </w:rPr>
              <w:t>提升速度</w:t>
            </w:r>
            <w:r>
              <w:rPr>
                <w:rFonts w:hint="eastAsia" w:ascii="MS UI Gothic" w:eastAsia="MS UI Gothic"/>
                <w:w w:val="34"/>
                <w:sz w:val="15"/>
              </w:rPr>
              <w:t>/</w:t>
            </w:r>
            <w:r>
              <w:rPr>
                <w:rFonts w:hint="eastAsia" w:ascii="MS UI Gothic" w:eastAsia="MS UI Gothic"/>
                <w:spacing w:val="11"/>
                <w:sz w:val="15"/>
              </w:rPr>
              <w:t xml:space="preserve">  </w:t>
            </w:r>
            <w:r>
              <w:rPr>
                <w:rFonts w:hint="eastAsia" w:ascii="MS UI Gothic" w:eastAsia="MS UI Gothic"/>
                <w:w w:val="169"/>
                <w:sz w:val="15"/>
              </w:rPr>
              <w:t>(</w:t>
            </w:r>
            <w:r>
              <w:rPr>
                <w:rFonts w:hint="eastAsia" w:ascii="MS UI Gothic" w:eastAsia="MS UI Gothic"/>
                <w:spacing w:val="-29"/>
                <w:sz w:val="15"/>
              </w:rPr>
              <w:t xml:space="preserve"> </w:t>
            </w:r>
            <w:r>
              <w:rPr>
                <w:rFonts w:hint="eastAsia" w:ascii="MS UI Gothic" w:eastAsia="MS UI Gothic"/>
                <w:spacing w:val="2"/>
                <w:w w:val="79"/>
                <w:sz w:val="15"/>
              </w:rPr>
              <w:t>ｍ</w:t>
            </w:r>
            <w:r>
              <w:rPr>
                <w:rFonts w:hint="eastAsia" w:ascii="MS UI Gothic" w:eastAsia="MS UI Gothic"/>
                <w:spacing w:val="7"/>
                <w:w w:val="70"/>
                <w:sz w:val="15"/>
              </w:rPr>
              <w:t>ｓ</w:t>
            </w:r>
            <w:r>
              <w:rPr>
                <w:rFonts w:hint="eastAsia" w:ascii="MS UI Gothic" w:eastAsia="MS UI Gothic"/>
                <w:spacing w:val="7"/>
                <w:w w:val="56"/>
                <w:position w:val="7"/>
                <w:sz w:val="10"/>
              </w:rPr>
              <w:t>－</w:t>
            </w:r>
            <w:r>
              <w:rPr>
                <w:rFonts w:hint="eastAsia" w:ascii="MS UI Gothic" w:eastAsia="MS UI Gothic"/>
                <w:w w:val="75"/>
                <w:position w:val="6"/>
                <w:sz w:val="10"/>
              </w:rPr>
              <w:t>１</w:t>
            </w:r>
            <w:r>
              <w:rPr>
                <w:rFonts w:hint="eastAsia" w:ascii="MS UI Gothic" w:eastAsia="MS UI Gothic"/>
                <w:spacing w:val="-13"/>
                <w:position w:val="6"/>
                <w:sz w:val="10"/>
              </w:rPr>
              <w:t xml:space="preserve"> </w:t>
            </w:r>
            <w:r>
              <w:rPr>
                <w:rFonts w:hint="eastAsia" w:ascii="MS UI Gothic" w:eastAsia="MS UI Gothic"/>
                <w:w w:val="169"/>
                <w:sz w:val="15"/>
              </w:rPr>
              <w:t>)</w:t>
            </w:r>
          </w:p>
        </w:tc>
        <w:tc>
          <w:tcPr>
            <w:tcW w:w="1432" w:type="dxa"/>
            <w:tcBorders>
              <w:top w:val="single" w:color="231F20" w:sz="4" w:space="0"/>
              <w:left w:val="single" w:color="231F20" w:sz="4" w:space="0"/>
              <w:right w:val="single" w:color="231F20" w:sz="4" w:space="0"/>
            </w:tcBorders>
          </w:tcPr>
          <w:p>
            <w:pPr>
              <w:pStyle w:val="11"/>
              <w:spacing w:before="261" w:line="328" w:lineRule="auto"/>
              <w:ind w:left="109" w:right="92" w:firstLine="166"/>
              <w:rPr>
                <w:rFonts w:hint="eastAsia" w:ascii="MS UI Gothic" w:hAnsi="MS UI Gothic" w:eastAsia="MS UI Gothic"/>
                <w:sz w:val="15"/>
              </w:rPr>
            </w:pPr>
            <w:r>
              <w:rPr>
                <w:spacing w:val="13"/>
                <w:w w:val="40"/>
                <w:sz w:val="15"/>
              </w:rPr>
              <w:t>ｖ</w:t>
            </w:r>
            <w:r>
              <w:rPr>
                <w:rFonts w:hint="eastAsia" w:ascii="MS UI Gothic" w:hAnsi="MS UI Gothic" w:eastAsia="MS UI Gothic"/>
                <w:spacing w:val="11"/>
                <w:w w:val="205"/>
                <w:sz w:val="15"/>
              </w:rPr>
              <w:t>≤</w:t>
            </w:r>
            <w:r>
              <w:rPr>
                <w:rFonts w:hint="eastAsia" w:ascii="MS UI Gothic" w:hAnsi="MS UI Gothic" w:eastAsia="MS UI Gothic"/>
                <w:spacing w:val="-1"/>
                <w:w w:val="75"/>
                <w:sz w:val="15"/>
              </w:rPr>
              <w:t>０</w:t>
            </w:r>
            <w:r>
              <w:rPr>
                <w:rFonts w:hint="eastAsia" w:ascii="MS UI Gothic" w:hAnsi="MS UI Gothic" w:eastAsia="MS UI Gothic"/>
                <w:sz w:val="15"/>
              </w:rPr>
              <w:t xml:space="preserve"> </w:t>
            </w:r>
            <w:r>
              <w:rPr>
                <w:rFonts w:hint="eastAsia" w:ascii="MS UI Gothic" w:hAnsi="MS UI Gothic" w:eastAsia="MS UI Gothic"/>
                <w:w w:val="75"/>
                <w:sz w:val="15"/>
              </w:rPr>
              <w:t>５</w:t>
            </w:r>
            <w:r>
              <w:rPr>
                <w:rFonts w:hint="eastAsia" w:ascii="MS UI Gothic" w:hAnsi="MS UI Gothic" w:eastAsia="MS UI Gothic"/>
                <w:spacing w:val="-3"/>
                <w:sz w:val="15"/>
              </w:rPr>
              <w:t xml:space="preserve">   </w:t>
            </w:r>
            <w:r>
              <w:rPr>
                <w:w w:val="69"/>
                <w:sz w:val="15"/>
              </w:rPr>
              <w:t>Ｈ</w:t>
            </w:r>
            <w:r>
              <w:rPr>
                <w:spacing w:val="-51"/>
                <w:sz w:val="15"/>
              </w:rPr>
              <w:t xml:space="preserve"> </w:t>
            </w:r>
            <w:r>
              <w:rPr>
                <w:rFonts w:hint="eastAsia" w:ascii="MS UI Gothic" w:hAnsi="MS UI Gothic" w:eastAsia="MS UI Gothic"/>
                <w:w w:val="51"/>
                <w:sz w:val="15"/>
              </w:rPr>
              <w:t>ꎬ</w:t>
            </w:r>
            <w:r>
              <w:rPr>
                <w:rFonts w:hint="eastAsia" w:ascii="MS UI Gothic" w:hAnsi="MS UI Gothic" w:eastAsia="MS UI Gothic"/>
                <w:spacing w:val="-3"/>
                <w:sz w:val="15"/>
              </w:rPr>
              <w:t xml:space="preserve">  </w:t>
            </w:r>
            <w:r>
              <w:rPr>
                <w:spacing w:val="-13"/>
                <w:w w:val="103"/>
                <w:sz w:val="15"/>
              </w:rPr>
              <w:t>且</w:t>
            </w:r>
            <w:r>
              <w:rPr>
                <w:spacing w:val="-10"/>
                <w:sz w:val="15"/>
              </w:rPr>
              <w:t xml:space="preserve">不超过 </w:t>
            </w:r>
            <w:r>
              <w:rPr>
                <w:rFonts w:hint="eastAsia" w:ascii="MS UI Gothic" w:hAnsi="MS UI Gothic" w:eastAsia="MS UI Gothic"/>
                <w:sz w:val="15"/>
              </w:rPr>
              <w:t>１２</w:t>
            </w:r>
          </w:p>
        </w:tc>
        <w:tc>
          <w:tcPr>
            <w:tcW w:w="1432" w:type="dxa"/>
            <w:tcBorders>
              <w:top w:val="single" w:color="231F20" w:sz="4" w:space="0"/>
              <w:left w:val="single" w:color="231F20" w:sz="4" w:space="0"/>
              <w:right w:val="single" w:color="231F20" w:sz="4" w:space="0"/>
            </w:tcBorders>
          </w:tcPr>
          <w:p>
            <w:pPr>
              <w:pStyle w:val="11"/>
              <w:spacing w:before="8"/>
              <w:rPr>
                <w:sz w:val="30"/>
              </w:rPr>
            </w:pPr>
          </w:p>
          <w:p>
            <w:pPr>
              <w:pStyle w:val="11"/>
              <w:ind w:left="371"/>
              <w:rPr>
                <w:sz w:val="15"/>
              </w:rPr>
            </w:pPr>
            <w:r>
              <w:rPr>
                <w:spacing w:val="1"/>
                <w:w w:val="40"/>
                <w:sz w:val="15"/>
              </w:rPr>
              <w:t>ｖ</w:t>
            </w: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６</w:t>
            </w:r>
            <w:r>
              <w:rPr>
                <w:rFonts w:hint="eastAsia" w:ascii="MS UI Gothic" w:hAnsi="MS UI Gothic" w:eastAsia="MS UI Gothic"/>
                <w:sz w:val="15"/>
              </w:rPr>
              <w:t xml:space="preserve">  </w:t>
            </w:r>
            <w:r>
              <w:rPr>
                <w:rFonts w:hint="eastAsia" w:ascii="MS UI Gothic" w:hAnsi="MS UI Gothic" w:eastAsia="MS UI Gothic"/>
                <w:spacing w:val="-19"/>
                <w:sz w:val="15"/>
              </w:rPr>
              <w:t xml:space="preserve"> </w:t>
            </w:r>
            <w:r>
              <w:rPr>
                <w:w w:val="69"/>
                <w:sz w:val="15"/>
              </w:rPr>
              <w:t>Ｈ</w:t>
            </w:r>
          </w:p>
        </w:tc>
        <w:tc>
          <w:tcPr>
            <w:tcW w:w="1432" w:type="dxa"/>
            <w:tcBorders>
              <w:top w:val="single" w:color="231F20" w:sz="4" w:space="0"/>
              <w:left w:val="single" w:color="231F20" w:sz="4" w:space="0"/>
              <w:right w:val="single" w:color="231F20" w:sz="4" w:space="0"/>
            </w:tcBorders>
          </w:tcPr>
          <w:p>
            <w:pPr>
              <w:pStyle w:val="11"/>
              <w:spacing w:before="2"/>
              <w:rPr>
                <w:sz w:val="29"/>
              </w:rPr>
            </w:pPr>
          </w:p>
          <w:p>
            <w:pPr>
              <w:pStyle w:val="11"/>
              <w:ind w:left="314" w:right="298"/>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５</w:t>
            </w:r>
          </w:p>
        </w:tc>
        <w:tc>
          <w:tcPr>
            <w:tcW w:w="1599" w:type="dxa"/>
            <w:tcBorders>
              <w:top w:val="single" w:color="231F20" w:sz="4" w:space="0"/>
              <w:left w:val="single" w:color="231F20" w:sz="4" w:space="0"/>
            </w:tcBorders>
          </w:tcPr>
          <w:p>
            <w:pPr>
              <w:pStyle w:val="11"/>
              <w:spacing w:before="109" w:line="328" w:lineRule="auto"/>
              <w:ind w:left="109" w:right="86" w:firstLine="159"/>
              <w:jc w:val="both"/>
              <w:rPr>
                <w:rFonts w:hint="eastAsia" w:ascii="MS UI Gothic" w:hAnsi="MS UI Gothic" w:eastAsia="MS UI Gothic"/>
                <w:sz w:val="15"/>
              </w:rPr>
            </w:pPr>
            <w:r>
              <w:rPr>
                <w:rFonts w:hint="eastAsia" w:ascii="MS UI Gothic" w:hAnsi="MS UI Gothic" w:eastAsia="MS UI Gothic"/>
                <w:spacing w:val="1"/>
                <w:w w:val="205"/>
                <w:sz w:val="15"/>
              </w:rPr>
              <w:t>≤</w:t>
            </w:r>
            <w:r>
              <w:rPr>
                <w:rFonts w:hint="eastAsia" w:ascii="MS UI Gothic" w:hAnsi="MS UI Gothic" w:eastAsia="MS UI Gothic"/>
                <w:spacing w:val="3"/>
                <w:w w:val="75"/>
                <w:sz w:val="15"/>
              </w:rPr>
              <w:t>７</w:t>
            </w:r>
            <w:r>
              <w:rPr>
                <w:rFonts w:hint="eastAsia" w:ascii="MS UI Gothic" w:hAnsi="MS UI Gothic" w:eastAsia="MS UI Gothic"/>
                <w:w w:val="51"/>
                <w:sz w:val="15"/>
              </w:rPr>
              <w:t>ꎬ</w:t>
            </w:r>
            <w:r>
              <w:rPr>
                <w:rFonts w:hint="eastAsia" w:ascii="MS UI Gothic" w:hAnsi="MS UI Gothic" w:eastAsia="MS UI Gothic"/>
                <w:spacing w:val="-3"/>
                <w:sz w:val="15"/>
              </w:rPr>
              <w:t xml:space="preserve">  </w:t>
            </w:r>
            <w:r>
              <w:rPr>
                <w:spacing w:val="6"/>
                <w:w w:val="103"/>
                <w:sz w:val="15"/>
              </w:rPr>
              <w:t>当铺设固定</w:t>
            </w:r>
            <w:r>
              <w:rPr>
                <w:spacing w:val="-9"/>
                <w:sz w:val="15"/>
              </w:rPr>
              <w:t xml:space="preserve">道床 且 钢 轨 </w:t>
            </w:r>
            <w:r>
              <w:rPr>
                <w:rFonts w:hint="eastAsia" w:ascii="MS UI Gothic" w:hAnsi="MS UI Gothic" w:eastAsia="MS UI Gothic"/>
                <w:spacing w:val="-21"/>
                <w:w w:val="185"/>
                <w:sz w:val="15"/>
              </w:rPr>
              <w:t xml:space="preserve">≥ </w:t>
            </w:r>
            <w:r>
              <w:rPr>
                <w:rFonts w:hint="eastAsia" w:ascii="MS UI Gothic" w:hAnsi="MS UI Gothic" w:eastAsia="MS UI Gothic"/>
                <w:spacing w:val="-7"/>
                <w:sz w:val="15"/>
              </w:rPr>
              <w:t xml:space="preserve">３８ </w:t>
            </w:r>
            <w:r>
              <w:rPr>
                <w:rFonts w:hint="eastAsia" w:ascii="MS UI Gothic" w:hAnsi="MS UI Gothic" w:eastAsia="MS UI Gothic"/>
                <w:spacing w:val="-1"/>
                <w:w w:val="87"/>
                <w:sz w:val="15"/>
              </w:rPr>
              <w:t>ｋ</w:t>
            </w:r>
            <w:r>
              <w:rPr>
                <w:rFonts w:hint="eastAsia" w:ascii="MS UI Gothic" w:hAnsi="MS UI Gothic" w:eastAsia="MS UI Gothic"/>
                <w:w w:val="79"/>
                <w:sz w:val="15"/>
              </w:rPr>
              <w:t>ｇ</w:t>
            </w:r>
            <w:r>
              <w:rPr>
                <w:rFonts w:hint="eastAsia" w:ascii="MS UI Gothic" w:hAnsi="MS UI Gothic" w:eastAsia="MS UI Gothic"/>
                <w:sz w:val="15"/>
              </w:rPr>
              <w:t xml:space="preserve"> </w:t>
            </w:r>
            <w:r>
              <w:rPr>
                <w:rFonts w:hint="eastAsia" w:ascii="MS UI Gothic" w:hAnsi="MS UI Gothic" w:eastAsia="MS UI Gothic"/>
                <w:w w:val="34"/>
                <w:sz w:val="15"/>
              </w:rPr>
              <w:t>/</w:t>
            </w:r>
            <w:r>
              <w:rPr>
                <w:rFonts w:hint="eastAsia" w:ascii="MS UI Gothic" w:hAnsi="MS UI Gothic" w:eastAsia="MS UI Gothic"/>
                <w:sz w:val="15"/>
              </w:rPr>
              <w:t xml:space="preserve"> </w:t>
            </w:r>
            <w:r>
              <w:rPr>
                <w:spacing w:val="3"/>
                <w:w w:val="103"/>
                <w:sz w:val="15"/>
              </w:rPr>
              <w:t>时</w:t>
            </w:r>
            <w:r>
              <w:rPr>
                <w:rFonts w:hint="eastAsia" w:ascii="MS UI Gothic" w:hAnsi="MS UI Gothic" w:eastAsia="MS UI Gothic"/>
                <w:w w:val="51"/>
                <w:sz w:val="15"/>
              </w:rPr>
              <w:t>ꎬ</w:t>
            </w:r>
            <w:r>
              <w:rPr>
                <w:rFonts w:hint="eastAsia" w:ascii="MS UI Gothic" w:hAnsi="MS UI Gothic" w:eastAsia="MS UI Gothic"/>
                <w:spacing w:val="-5"/>
                <w:sz w:val="15"/>
              </w:rPr>
              <w:t xml:space="preserve">  </w:t>
            </w:r>
            <w:r>
              <w:rPr>
                <w:rFonts w:hint="eastAsia" w:ascii="MS UI Gothic" w:hAnsi="MS UI Gothic" w:eastAsia="MS UI Gothic"/>
                <w:w w:val="205"/>
                <w:sz w:val="15"/>
              </w:rPr>
              <w:t>≤</w:t>
            </w:r>
            <w:r>
              <w:rPr>
                <w:rFonts w:hint="eastAsia" w:ascii="MS UI Gothic" w:hAnsi="MS UI Gothic" w:eastAsia="MS UI Gothic"/>
                <w:w w:val="75"/>
                <w:sz w:val="15"/>
              </w:rPr>
              <w:t>９</w:t>
            </w:r>
          </w:p>
        </w:tc>
      </w:tr>
    </w:tbl>
    <w:p>
      <w:pPr>
        <w:spacing w:after="0" w:line="328" w:lineRule="auto"/>
        <w:jc w:val="both"/>
        <w:rPr>
          <w:rFonts w:hint="eastAsia" w:ascii="MS UI Gothic" w:hAnsi="MS UI Gothic" w:eastAsia="MS UI Gothic"/>
          <w:sz w:val="15"/>
        </w:rPr>
        <w:sectPr>
          <w:type w:val="continuous"/>
          <w:pgSz w:w="10500" w:h="14750"/>
          <w:pgMar w:top="1400" w:right="980" w:bottom="280" w:left="980" w:header="720" w:footer="720" w:gutter="0"/>
        </w:sectPr>
      </w:pPr>
    </w:p>
    <w:p>
      <w:pPr>
        <w:spacing w:before="78"/>
        <w:ind w:left="600" w:right="0" w:firstLine="0"/>
        <w:jc w:val="left"/>
        <w:rPr>
          <w:rFonts w:hint="eastAsia" w:ascii="MS UI Gothic" w:hAnsi="MS UI Gothic" w:eastAsia="MS UI Gothic"/>
          <w:sz w:val="15"/>
        </w:rPr>
      </w:pPr>
      <w:r>
        <w:pict>
          <v:shape id="_x0000_s1945" o:spid="_x0000_s1945" style="position:absolute;left:0pt;margin-left:213.5pt;margin-top:-33.85pt;height:6.65pt;width:10.95pt;mso-position-horizontal-relative:page;z-index:-275732480;mso-width-relative:page;mso-height-relative:page;" filled="f" stroked="t" coordorigin="4271,-677" coordsize="219,133" path="m4271,-575l4282,-591,4308,-544,4363,-677,4489,-677e">
            <v:path arrowok="t"/>
            <v:fill on="f" focussize="0,0"/>
            <v:stroke weight="0.327007874015748pt" color="#231F20"/>
            <v:imagedata o:title=""/>
            <o:lock v:ext="edit"/>
          </v:shape>
        </w:pict>
      </w:r>
      <w:r>
        <w:pict>
          <v:shape id="_x0000_s1946" o:spid="_x0000_s1946" style="position:absolute;left:0pt;margin-left:288.15pt;margin-top:-27.25pt;height:6.65pt;width:10.95pt;mso-position-horizontal-relative:page;z-index:-275731456;mso-width-relative:page;mso-height-relative:page;" filled="f" stroked="t" coordorigin="5763,-545" coordsize="219,133" path="m5763,-443l5775,-459,5800,-412,5855,-545,5982,-545e">
            <v:path arrowok="t"/>
            <v:fill on="f" focussize="0,0"/>
            <v:stroke weight="0.327007874015748pt" color="#231F20"/>
            <v:imagedata o:title=""/>
            <o:lock v:ext="edit"/>
          </v:shape>
        </w:pict>
      </w:r>
      <w:r>
        <w:rPr>
          <w:spacing w:val="3"/>
          <w:w w:val="103"/>
          <w:sz w:val="15"/>
        </w:rPr>
        <w:t>注</w:t>
      </w:r>
      <w:r>
        <w:rPr>
          <w:rFonts w:hint="eastAsia" w:ascii="MS UI Gothic" w:hAnsi="MS UI Gothic" w:eastAsia="MS UI Gothic"/>
          <w:w w:val="254"/>
          <w:sz w:val="15"/>
        </w:rPr>
        <w:t>:</w:t>
      </w:r>
      <w:r>
        <w:rPr>
          <w:rFonts w:hint="eastAsia" w:ascii="MS UI Gothic" w:hAnsi="MS UI Gothic" w:eastAsia="MS UI Gothic"/>
          <w:spacing w:val="-5"/>
          <w:sz w:val="15"/>
        </w:rPr>
        <w:t xml:space="preserve">  </w:t>
      </w:r>
      <w:r>
        <w:rPr>
          <w:spacing w:val="1"/>
          <w:w w:val="40"/>
          <w:sz w:val="15"/>
        </w:rPr>
        <w:t>ｖ</w:t>
      </w:r>
      <w:r>
        <w:rPr>
          <w:rFonts w:hint="eastAsia" w:ascii="MS UI Gothic" w:hAnsi="MS UI Gothic" w:eastAsia="MS UI Gothic"/>
          <w:spacing w:val="-50"/>
          <w:w w:val="154"/>
          <w:sz w:val="15"/>
        </w:rPr>
        <w:t>———</w:t>
      </w:r>
      <w:r>
        <w:rPr>
          <w:spacing w:val="3"/>
          <w:w w:val="103"/>
          <w:sz w:val="15"/>
        </w:rPr>
        <w:t>最大提升速度</w:t>
      </w:r>
      <w:r>
        <w:rPr>
          <w:rFonts w:hint="eastAsia" w:ascii="MS UI Gothic" w:hAnsi="MS UI Gothic" w:eastAsia="MS UI Gothic"/>
          <w:w w:val="51"/>
          <w:sz w:val="15"/>
        </w:rPr>
        <w:t>ꎬ</w:t>
      </w:r>
      <w:r>
        <w:rPr>
          <w:rFonts w:hint="eastAsia" w:ascii="MS UI Gothic" w:hAnsi="MS UI Gothic" w:eastAsia="MS UI Gothic"/>
          <w:spacing w:val="-5"/>
          <w:sz w:val="15"/>
        </w:rPr>
        <w:t xml:space="preserve">  </w:t>
      </w:r>
      <w:r>
        <w:rPr>
          <w:rFonts w:hint="eastAsia" w:ascii="MS UI Gothic" w:hAnsi="MS UI Gothic" w:eastAsia="MS UI Gothic"/>
          <w:w w:val="79"/>
          <w:sz w:val="15"/>
        </w:rPr>
        <w:t>ｍ</w:t>
      </w:r>
      <w:r>
        <w:rPr>
          <w:rFonts w:hint="eastAsia" w:ascii="MS UI Gothic" w:hAnsi="MS UI Gothic" w:eastAsia="MS UI Gothic"/>
          <w:spacing w:val="-24"/>
          <w:sz w:val="15"/>
        </w:rPr>
        <w:t xml:space="preserve"> </w:t>
      </w:r>
      <w:r>
        <w:rPr>
          <w:rFonts w:hint="eastAsia" w:ascii="MS UI Gothic" w:hAnsi="MS UI Gothic" w:eastAsia="MS UI Gothic"/>
          <w:w w:val="34"/>
          <w:sz w:val="15"/>
        </w:rPr>
        <w:t>/</w:t>
      </w:r>
      <w:r>
        <w:rPr>
          <w:rFonts w:hint="eastAsia" w:ascii="MS UI Gothic" w:hAnsi="MS UI Gothic" w:eastAsia="MS UI Gothic"/>
          <w:spacing w:val="-12"/>
          <w:sz w:val="15"/>
        </w:rPr>
        <w:t xml:space="preserve"> </w:t>
      </w:r>
      <w:r>
        <w:rPr>
          <w:rFonts w:hint="eastAsia" w:ascii="MS UI Gothic" w:hAnsi="MS UI Gothic" w:eastAsia="MS UI Gothic"/>
          <w:spacing w:val="1"/>
          <w:w w:val="70"/>
          <w:sz w:val="15"/>
        </w:rPr>
        <w:t>ｓ</w:t>
      </w:r>
      <w:r>
        <w:rPr>
          <w:rFonts w:hint="eastAsia" w:ascii="MS UI Gothic" w:hAnsi="MS UI Gothic" w:eastAsia="MS UI Gothic"/>
          <w:w w:val="51"/>
          <w:sz w:val="15"/>
        </w:rPr>
        <w:t>ꎻ</w:t>
      </w:r>
      <w:r>
        <w:rPr>
          <w:rFonts w:hint="eastAsia" w:ascii="MS UI Gothic" w:hAnsi="MS UI Gothic" w:eastAsia="MS UI Gothic"/>
          <w:spacing w:val="-5"/>
          <w:sz w:val="15"/>
        </w:rPr>
        <w:t xml:space="preserve">  </w:t>
      </w:r>
      <w:r>
        <w:rPr>
          <w:spacing w:val="3"/>
          <w:w w:val="69"/>
          <w:sz w:val="15"/>
        </w:rPr>
        <w:t>Ｈ</w:t>
      </w:r>
      <w:r>
        <w:rPr>
          <w:rFonts w:hint="eastAsia" w:ascii="MS UI Gothic" w:hAnsi="MS UI Gothic" w:eastAsia="MS UI Gothic"/>
          <w:spacing w:val="-50"/>
          <w:w w:val="154"/>
          <w:sz w:val="15"/>
        </w:rPr>
        <w:t>———</w:t>
      </w:r>
      <w:r>
        <w:rPr>
          <w:spacing w:val="3"/>
          <w:w w:val="103"/>
          <w:sz w:val="15"/>
        </w:rPr>
        <w:t>提升高度</w:t>
      </w:r>
      <w:r>
        <w:rPr>
          <w:rFonts w:hint="eastAsia" w:ascii="MS UI Gothic" w:hAnsi="MS UI Gothic" w:eastAsia="MS UI Gothic"/>
          <w:w w:val="51"/>
          <w:sz w:val="15"/>
        </w:rPr>
        <w:t>ꎬ</w:t>
      </w:r>
      <w:r>
        <w:rPr>
          <w:rFonts w:hint="eastAsia" w:ascii="MS UI Gothic" w:hAnsi="MS UI Gothic" w:eastAsia="MS UI Gothic"/>
          <w:spacing w:val="-5"/>
          <w:sz w:val="15"/>
        </w:rPr>
        <w:t xml:space="preserve">  </w:t>
      </w:r>
      <w:r>
        <w:rPr>
          <w:rFonts w:hint="eastAsia" w:ascii="MS UI Gothic" w:hAnsi="MS UI Gothic" w:eastAsia="MS UI Gothic"/>
          <w:spacing w:val="2"/>
          <w:w w:val="79"/>
          <w:sz w:val="15"/>
        </w:rPr>
        <w:t>ｍ</w:t>
      </w:r>
      <w:r>
        <w:rPr>
          <w:rFonts w:hint="eastAsia" w:ascii="MS UI Gothic" w:hAnsi="MS UI Gothic" w:eastAsia="MS UI Gothic"/>
          <w:w w:val="51"/>
          <w:sz w:val="15"/>
        </w:rPr>
        <w:t>ꎮ</w:t>
      </w:r>
    </w:p>
    <w:p>
      <w:pPr>
        <w:pStyle w:val="6"/>
        <w:spacing w:before="6"/>
        <w:ind w:left="0" w:firstLine="0"/>
        <w:jc w:val="left"/>
        <w:rPr>
          <w:rFonts w:ascii="MS UI Gothic"/>
          <w:sz w:val="29"/>
        </w:rPr>
      </w:pPr>
    </w:p>
    <w:p>
      <w:pPr>
        <w:pStyle w:val="6"/>
        <w:spacing w:before="1" w:line="290" w:lineRule="auto"/>
        <w:ind w:left="440" w:right="29"/>
        <w:rPr>
          <w:rFonts w:hint="eastAsia" w:ascii="MS UI Gothic" w:eastAsia="MS UI Gothic"/>
        </w:rPr>
      </w:pPr>
      <w:r>
        <w:rPr>
          <w:w w:val="105"/>
        </w:rPr>
        <w:t>第四百二十三条 提升装置必须按下</w:t>
      </w:r>
      <w:r>
        <w:rPr>
          <w:w w:val="110"/>
        </w:rPr>
        <w:t>列要求装设安全保护</w:t>
      </w:r>
      <w:r>
        <w:rPr>
          <w:rFonts w:hint="eastAsia" w:ascii="MS UI Gothic" w:eastAsia="MS UI Gothic"/>
          <w:w w:val="235"/>
        </w:rPr>
        <w:t>:</w:t>
      </w:r>
    </w:p>
    <w:p>
      <w:pPr>
        <w:pStyle w:val="6"/>
        <w:spacing w:line="290" w:lineRule="auto"/>
        <w:ind w:left="435" w:right="29" w:firstLine="425"/>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过卷和过放保护</w:t>
      </w:r>
      <w:r>
        <w:rPr>
          <w:rFonts w:hint="eastAsia" w:ascii="MS UI Gothic" w:eastAsia="MS UI Gothic"/>
          <w:w w:val="230"/>
        </w:rPr>
        <w:t xml:space="preserve">: </w:t>
      </w:r>
      <w:r>
        <w:rPr>
          <w:w w:val="105"/>
        </w:rPr>
        <w:t>当提升容器</w:t>
      </w:r>
      <w:r>
        <w:t>超过正常终端停止位置或者出车平台</w:t>
      </w:r>
      <w:r>
        <w:rPr>
          <w:rFonts w:hint="eastAsia" w:ascii="MS UI Gothic" w:eastAsia="MS UI Gothic"/>
          <w:w w:val="80"/>
        </w:rPr>
        <w:t xml:space="preserve">０ ５ ｍ </w:t>
      </w:r>
      <w:r>
        <w:rPr>
          <w:w w:val="105"/>
        </w:rPr>
        <w:t>时</w:t>
      </w:r>
      <w:r>
        <w:rPr>
          <w:rFonts w:hint="eastAsia" w:ascii="MS UI Gothic" w:eastAsia="MS UI Gothic"/>
          <w:w w:val="80"/>
        </w:rPr>
        <w:t xml:space="preserve">ꎬ </w:t>
      </w:r>
      <w:r>
        <w:rPr>
          <w:w w:val="105"/>
        </w:rPr>
        <w:t>必须能自动断电</w:t>
      </w:r>
      <w:r>
        <w:rPr>
          <w:rFonts w:hint="eastAsia" w:ascii="MS UI Gothic" w:eastAsia="MS UI Gothic"/>
          <w:w w:val="80"/>
        </w:rPr>
        <w:t xml:space="preserve">ꎬ </w:t>
      </w:r>
      <w:r>
        <w:rPr>
          <w:w w:val="105"/>
        </w:rPr>
        <w:t>且使制动器实施安全制动</w:t>
      </w:r>
      <w:r>
        <w:rPr>
          <w:rFonts w:hint="eastAsia" w:ascii="MS UI Gothic" w:eastAsia="MS UI Gothic"/>
          <w:w w:val="80"/>
        </w:rPr>
        <w:t>ꎮ</w:t>
      </w:r>
    </w:p>
    <w:p>
      <w:pPr>
        <w:pStyle w:val="6"/>
        <w:spacing w:line="290" w:lineRule="auto"/>
        <w:ind w:left="440" w:right="2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超速保护</w:t>
      </w:r>
      <w:r>
        <w:rPr>
          <w:rFonts w:hint="eastAsia" w:ascii="MS UI Gothic" w:eastAsia="MS UI Gothic"/>
          <w:w w:val="225"/>
        </w:rPr>
        <w:t xml:space="preserve">: </w:t>
      </w:r>
      <w:r>
        <w:rPr>
          <w:w w:val="105"/>
        </w:rPr>
        <w:t xml:space="preserve">当提升速度超过最大速度 </w:t>
      </w:r>
      <w:r>
        <w:rPr>
          <w:rFonts w:hint="eastAsia" w:ascii="MS UI Gothic" w:eastAsia="MS UI Gothic"/>
          <w:w w:val="80"/>
        </w:rPr>
        <w:t>１５</w:t>
      </w:r>
      <w:r>
        <w:rPr>
          <w:w w:val="80"/>
        </w:rPr>
        <w:t xml:space="preserve">％ </w:t>
      </w:r>
      <w:r>
        <w:rPr>
          <w:w w:val="105"/>
        </w:rPr>
        <w:t>时</w:t>
      </w:r>
      <w:r>
        <w:rPr>
          <w:rFonts w:hint="eastAsia" w:ascii="MS UI Gothic" w:eastAsia="MS UI Gothic"/>
          <w:w w:val="80"/>
        </w:rPr>
        <w:t xml:space="preserve">ꎬ </w:t>
      </w:r>
      <w:r>
        <w:rPr>
          <w:w w:val="105"/>
        </w:rPr>
        <w:t>必须能自动断电</w:t>
      </w:r>
      <w:r>
        <w:rPr>
          <w:rFonts w:hint="eastAsia" w:ascii="MS UI Gothic" w:eastAsia="MS UI Gothic"/>
          <w:w w:val="80"/>
        </w:rPr>
        <w:t xml:space="preserve">ꎬ </w:t>
      </w:r>
      <w:r>
        <w:rPr>
          <w:w w:val="105"/>
        </w:rPr>
        <w:t>且使制动器实施安全制动</w:t>
      </w:r>
      <w:r>
        <w:rPr>
          <w:rFonts w:hint="eastAsia" w:ascii="MS UI Gothic" w:eastAsia="MS UI Gothic"/>
          <w:w w:val="80"/>
        </w:rPr>
        <w:t>ꎮ</w:t>
      </w:r>
    </w:p>
    <w:p>
      <w:pPr>
        <w:pStyle w:val="6"/>
        <w:spacing w:before="2"/>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过负荷和欠电压保护</w:t>
      </w:r>
      <w:r>
        <w:rPr>
          <w:rFonts w:hint="eastAsia" w:ascii="MS UI Gothic" w:eastAsia="MS UI Gothic"/>
          <w:w w:val="80"/>
        </w:rPr>
        <w:t>ꎮ</w:t>
      </w:r>
    </w:p>
    <w:p>
      <w:pPr>
        <w:pStyle w:val="6"/>
        <w:spacing w:before="54" w:line="290" w:lineRule="auto"/>
        <w:ind w:left="435" w:right="29" w:firstLine="425"/>
        <w:rPr>
          <w:rFonts w:hint="eastAsia" w:ascii="MS UI Gothic" w:eastAsia="MS UI Gothic"/>
        </w:rPr>
      </w:pPr>
      <w:r>
        <w:rPr>
          <w:rFonts w:hint="eastAsia" w:ascii="MS UI Gothic" w:eastAsia="MS UI Gothic"/>
          <w:spacing w:val="-34"/>
          <w:w w:val="150"/>
        </w:rPr>
        <w:t xml:space="preserve">( </w:t>
      </w:r>
      <w:r>
        <w:rPr>
          <w:spacing w:val="23"/>
        </w:rPr>
        <w:t>四</w:t>
      </w:r>
      <w:r>
        <w:rPr>
          <w:rFonts w:hint="eastAsia" w:ascii="MS UI Gothic" w:eastAsia="MS UI Gothic"/>
          <w:spacing w:val="42"/>
          <w:w w:val="150"/>
        </w:rPr>
        <w:t xml:space="preserve">) </w:t>
      </w:r>
      <w:r>
        <w:rPr>
          <w:spacing w:val="-18"/>
        </w:rPr>
        <w:t>限 速 保 护</w:t>
      </w:r>
      <w:r>
        <w:rPr>
          <w:rFonts w:hint="eastAsia" w:ascii="MS UI Gothic" w:eastAsia="MS UI Gothic"/>
          <w:spacing w:val="8"/>
          <w:w w:val="225"/>
        </w:rPr>
        <w:t xml:space="preserve">: </w:t>
      </w:r>
      <w:r>
        <w:rPr>
          <w:spacing w:val="-21"/>
        </w:rPr>
        <w:t>提 升 速 度 超 过</w:t>
      </w:r>
      <w:r>
        <w:rPr>
          <w:rFonts w:hint="eastAsia" w:ascii="MS UI Gothic" w:eastAsia="MS UI Gothic"/>
          <w:spacing w:val="9"/>
          <w:w w:val="80"/>
        </w:rPr>
        <w:t xml:space="preserve">３ </w:t>
      </w:r>
      <w:r>
        <w:rPr>
          <w:rFonts w:hint="eastAsia" w:ascii="MS UI Gothic" w:eastAsia="MS UI Gothic"/>
          <w:w w:val="80"/>
        </w:rPr>
        <w:t xml:space="preserve">ｍ </w:t>
      </w:r>
      <w:r>
        <w:rPr>
          <w:rFonts w:hint="eastAsia" w:ascii="MS UI Gothic" w:eastAsia="MS UI Gothic"/>
          <w:w w:val="65"/>
        </w:rPr>
        <w:t xml:space="preserve">/ </w:t>
      </w:r>
      <w:r>
        <w:rPr>
          <w:rFonts w:hint="eastAsia" w:ascii="MS UI Gothic" w:eastAsia="MS UI Gothic"/>
          <w:spacing w:val="3"/>
          <w:w w:val="80"/>
        </w:rPr>
        <w:t>ｓ</w:t>
      </w:r>
      <w:r>
        <w:rPr>
          <w:spacing w:val="8"/>
        </w:rPr>
        <w:t>的提升机应当装设限速保护</w:t>
      </w:r>
      <w:r>
        <w:rPr>
          <w:rFonts w:hint="eastAsia" w:ascii="MS UI Gothic" w:eastAsia="MS UI Gothic"/>
          <w:spacing w:val="2"/>
          <w:w w:val="80"/>
        </w:rPr>
        <w:t xml:space="preserve">ꎬ </w:t>
      </w:r>
      <w:r>
        <w:rPr>
          <w:spacing w:val="7"/>
        </w:rPr>
        <w:t>以保</w:t>
      </w:r>
      <w:r>
        <w:rPr>
          <w:spacing w:val="2"/>
        </w:rPr>
        <w:t>证提升容器或者平衡锤到达终端位置时的</w:t>
      </w:r>
      <w:r>
        <w:rPr>
          <w:spacing w:val="-8"/>
        </w:rPr>
        <w:t xml:space="preserve">速度不超过 </w:t>
      </w:r>
      <w:r>
        <w:rPr>
          <w:rFonts w:hint="eastAsia" w:ascii="MS UI Gothic" w:eastAsia="MS UI Gothic"/>
          <w:spacing w:val="13"/>
          <w:w w:val="80"/>
        </w:rPr>
        <w:t xml:space="preserve">２ </w:t>
      </w:r>
      <w:r>
        <w:rPr>
          <w:rFonts w:hint="eastAsia" w:ascii="MS UI Gothic" w:eastAsia="MS UI Gothic"/>
          <w:w w:val="80"/>
        </w:rPr>
        <w:t xml:space="preserve">ｍ </w:t>
      </w:r>
      <w:r>
        <w:rPr>
          <w:rFonts w:hint="eastAsia" w:ascii="MS UI Gothic" w:eastAsia="MS UI Gothic"/>
          <w:w w:val="65"/>
        </w:rPr>
        <w:t xml:space="preserve">/ </w:t>
      </w:r>
      <w:r>
        <w:rPr>
          <w:rFonts w:hint="eastAsia" w:ascii="MS UI Gothic" w:eastAsia="MS UI Gothic"/>
          <w:spacing w:val="3"/>
          <w:w w:val="80"/>
        </w:rPr>
        <w:t>ｓ</w:t>
      </w:r>
      <w:r>
        <w:rPr>
          <w:rFonts w:hint="eastAsia" w:ascii="MS UI Gothic" w:eastAsia="MS UI Gothic"/>
          <w:spacing w:val="1"/>
          <w:w w:val="80"/>
        </w:rPr>
        <w:t xml:space="preserve">ꎮ </w:t>
      </w:r>
      <w:r>
        <w:rPr>
          <w:spacing w:val="8"/>
        </w:rPr>
        <w:t>当减速段速度超过设</w:t>
      </w:r>
      <w:r>
        <w:rPr>
          <w:spacing w:val="-7"/>
        </w:rPr>
        <w:t xml:space="preserve">定值的 </w:t>
      </w:r>
      <w:r>
        <w:rPr>
          <w:rFonts w:hint="eastAsia" w:ascii="MS UI Gothic" w:eastAsia="MS UI Gothic"/>
          <w:w w:val="80"/>
        </w:rPr>
        <w:t>１０</w:t>
      </w:r>
      <w:r>
        <w:rPr>
          <w:spacing w:val="-17"/>
          <w:w w:val="80"/>
        </w:rPr>
        <w:t xml:space="preserve">％ </w:t>
      </w:r>
      <w:r>
        <w:rPr>
          <w:spacing w:val="3"/>
        </w:rPr>
        <w:t>时</w:t>
      </w:r>
      <w:r>
        <w:rPr>
          <w:rFonts w:hint="eastAsia" w:ascii="MS UI Gothic" w:eastAsia="MS UI Gothic"/>
          <w:spacing w:val="24"/>
          <w:w w:val="80"/>
        </w:rPr>
        <w:t xml:space="preserve">ꎬ </w:t>
      </w:r>
      <w:r>
        <w:rPr>
          <w:spacing w:val="16"/>
        </w:rPr>
        <w:t>必须能自动断电</w:t>
      </w:r>
      <w:r>
        <w:rPr>
          <w:rFonts w:hint="eastAsia" w:ascii="MS UI Gothic" w:eastAsia="MS UI Gothic"/>
          <w:spacing w:val="1"/>
          <w:w w:val="80"/>
        </w:rPr>
        <w:t xml:space="preserve">ꎬ </w:t>
      </w:r>
      <w:r>
        <w:rPr>
          <w:spacing w:val="10"/>
        </w:rPr>
        <w:t>且使</w:t>
      </w:r>
      <w:r>
        <w:rPr>
          <w:spacing w:val="3"/>
        </w:rPr>
        <w:t>制动器实施安全制动</w:t>
      </w:r>
      <w:r>
        <w:rPr>
          <w:rFonts w:hint="eastAsia" w:ascii="MS UI Gothic" w:eastAsia="MS UI Gothic"/>
          <w:w w:val="80"/>
        </w:rPr>
        <w:t>ꎮ</w:t>
      </w:r>
    </w:p>
    <w:p>
      <w:pPr>
        <w:pStyle w:val="6"/>
        <w:spacing w:line="290" w:lineRule="auto"/>
        <w:ind w:left="440" w:right="29"/>
        <w:rPr>
          <w:rFonts w:hint="eastAsia" w:ascii="MS UI Gothic" w:eastAsia="MS UI Gothic"/>
        </w:rPr>
      </w:pPr>
      <w:r>
        <w:rPr>
          <w:rFonts w:hint="eastAsia" w:ascii="MS UI Gothic" w:eastAsia="MS UI Gothic"/>
          <w:spacing w:val="-42"/>
          <w:w w:val="150"/>
        </w:rPr>
        <w:t xml:space="preserve">( </w:t>
      </w:r>
      <w:r>
        <w:rPr>
          <w:spacing w:val="3"/>
          <w:w w:val="110"/>
        </w:rPr>
        <w:t>五</w:t>
      </w:r>
      <w:r>
        <w:rPr>
          <w:rFonts w:hint="eastAsia" w:ascii="MS UI Gothic" w:eastAsia="MS UI Gothic"/>
          <w:spacing w:val="-19"/>
          <w:w w:val="150"/>
        </w:rPr>
        <w:t xml:space="preserve">) </w:t>
      </w:r>
      <w:r>
        <w:rPr>
          <w:spacing w:val="5"/>
          <w:w w:val="110"/>
        </w:rPr>
        <w:t>提升容器位置指示保护</w:t>
      </w:r>
      <w:r>
        <w:rPr>
          <w:rFonts w:hint="eastAsia" w:ascii="MS UI Gothic" w:eastAsia="MS UI Gothic"/>
          <w:spacing w:val="-48"/>
          <w:w w:val="235"/>
        </w:rPr>
        <w:t xml:space="preserve">: </w:t>
      </w:r>
      <w:r>
        <w:rPr>
          <w:spacing w:val="5"/>
          <w:w w:val="110"/>
        </w:rPr>
        <w:t>当位</w:t>
      </w:r>
      <w:r>
        <w:rPr>
          <w:spacing w:val="3"/>
        </w:rPr>
        <w:t>置指示失效时</w:t>
      </w:r>
      <w:r>
        <w:rPr>
          <w:rFonts w:hint="eastAsia" w:ascii="MS UI Gothic" w:eastAsia="MS UI Gothic"/>
          <w:spacing w:val="23"/>
          <w:w w:val="80"/>
        </w:rPr>
        <w:t xml:space="preserve">ꎬ </w:t>
      </w:r>
      <w:r>
        <w:rPr>
          <w:spacing w:val="3"/>
        </w:rPr>
        <w:t>能自动断电</w:t>
      </w:r>
      <w:r>
        <w:rPr>
          <w:rFonts w:hint="eastAsia" w:ascii="MS UI Gothic" w:eastAsia="MS UI Gothic"/>
          <w:spacing w:val="23"/>
          <w:w w:val="80"/>
        </w:rPr>
        <w:t xml:space="preserve">ꎬ </w:t>
      </w:r>
      <w:r>
        <w:rPr>
          <w:spacing w:val="2"/>
        </w:rPr>
        <w:t>且使制动器</w:t>
      </w:r>
      <w:r>
        <w:rPr>
          <w:spacing w:val="3"/>
          <w:w w:val="110"/>
        </w:rPr>
        <w:t>实施安全制动</w:t>
      </w:r>
      <w:r>
        <w:rPr>
          <w:rFonts w:hint="eastAsia" w:ascii="MS UI Gothic" w:eastAsia="MS UI Gothic"/>
          <w:w w:val="80"/>
        </w:rPr>
        <w:t>ꎮ</w:t>
      </w:r>
    </w:p>
    <w:p>
      <w:pPr>
        <w:pStyle w:val="6"/>
        <w:spacing w:before="8"/>
        <w:ind w:left="0" w:firstLine="0"/>
        <w:jc w:val="left"/>
        <w:rPr>
          <w:rFonts w:ascii="MS UI Gothic"/>
          <w:sz w:val="50"/>
        </w:rPr>
      </w:pPr>
      <w:r>
        <w:br w:type="column"/>
      </w:r>
    </w:p>
    <w:p>
      <w:pPr>
        <w:pStyle w:val="6"/>
        <w:spacing w:line="290" w:lineRule="auto"/>
        <w:ind w:left="352" w:right="126"/>
        <w:rPr>
          <w:rFonts w:hint="eastAsia" w:ascii="MS UI Gothic" w:eastAsia="MS UI Gothic"/>
        </w:rPr>
      </w:pPr>
      <w:r>
        <w:rPr>
          <w:rFonts w:hint="eastAsia" w:ascii="MS UI Gothic" w:eastAsia="MS UI Gothic"/>
          <w:spacing w:val="-42"/>
          <w:w w:val="150"/>
        </w:rPr>
        <w:t xml:space="preserve">( </w:t>
      </w:r>
      <w:r>
        <w:rPr>
          <w:spacing w:val="3"/>
          <w:w w:val="110"/>
        </w:rPr>
        <w:t>六</w:t>
      </w:r>
      <w:r>
        <w:rPr>
          <w:rFonts w:hint="eastAsia" w:ascii="MS UI Gothic" w:eastAsia="MS UI Gothic"/>
          <w:spacing w:val="-18"/>
          <w:w w:val="150"/>
        </w:rPr>
        <w:t xml:space="preserve">) </w:t>
      </w:r>
      <w:r>
        <w:rPr>
          <w:spacing w:val="5"/>
          <w:w w:val="110"/>
        </w:rPr>
        <w:t>闸瓦间隙保护</w:t>
      </w:r>
      <w:r>
        <w:rPr>
          <w:rFonts w:hint="eastAsia" w:ascii="MS UI Gothic" w:eastAsia="MS UI Gothic"/>
          <w:spacing w:val="-47"/>
          <w:w w:val="235"/>
        </w:rPr>
        <w:t xml:space="preserve">: </w:t>
      </w:r>
      <w:r>
        <w:rPr>
          <w:spacing w:val="9"/>
          <w:w w:val="110"/>
        </w:rPr>
        <w:t>当闸瓦间隙超</w:t>
      </w:r>
      <w:r>
        <w:rPr>
          <w:spacing w:val="3"/>
          <w:w w:val="105"/>
        </w:rPr>
        <w:t>过规定值时</w:t>
      </w:r>
      <w:r>
        <w:rPr>
          <w:rFonts w:hint="eastAsia" w:ascii="MS UI Gothic" w:eastAsia="MS UI Gothic"/>
          <w:spacing w:val="7"/>
          <w:w w:val="80"/>
        </w:rPr>
        <w:t xml:space="preserve">ꎬ </w:t>
      </w:r>
      <w:r>
        <w:rPr>
          <w:spacing w:val="3"/>
          <w:w w:val="105"/>
        </w:rPr>
        <w:t>能报警并闭锁下次开车</w:t>
      </w:r>
      <w:r>
        <w:rPr>
          <w:rFonts w:hint="eastAsia" w:ascii="MS UI Gothic" w:eastAsia="MS UI Gothic"/>
          <w:w w:val="80"/>
        </w:rPr>
        <w:t>ꎮ</w:t>
      </w:r>
    </w:p>
    <w:p>
      <w:pPr>
        <w:pStyle w:val="6"/>
        <w:spacing w:before="1" w:line="290" w:lineRule="auto"/>
        <w:ind w:left="352"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松绳保护</w:t>
      </w:r>
      <w:r>
        <w:rPr>
          <w:rFonts w:hint="eastAsia" w:ascii="MS UI Gothic" w:eastAsia="MS UI Gothic"/>
          <w:w w:val="235"/>
        </w:rPr>
        <w:t xml:space="preserve">: </w:t>
      </w:r>
      <w:r>
        <w:rPr>
          <w:w w:val="105"/>
        </w:rPr>
        <w:t>缠绕式提升机应当</w:t>
      </w:r>
      <w:r>
        <w:t>设置松绳保护装置并接入安全回路或者报警回路</w:t>
      </w:r>
      <w:r>
        <w:rPr>
          <w:rFonts w:hint="eastAsia" w:ascii="MS UI Gothic" w:eastAsia="MS UI Gothic"/>
          <w:w w:val="80"/>
        </w:rPr>
        <w:t xml:space="preserve">ꎮ </w:t>
      </w:r>
      <w:r>
        <w:t>箕斗提升时</w:t>
      </w:r>
      <w:r>
        <w:rPr>
          <w:rFonts w:hint="eastAsia" w:ascii="MS UI Gothic" w:eastAsia="MS UI Gothic"/>
          <w:w w:val="80"/>
        </w:rPr>
        <w:t xml:space="preserve">ꎬ </w:t>
      </w:r>
      <w:r>
        <w:t>松绳保护装置动作</w:t>
      </w:r>
      <w:r>
        <w:rPr>
          <w:w w:val="105"/>
        </w:rPr>
        <w:t>后</w:t>
      </w:r>
      <w:r>
        <w:rPr>
          <w:rFonts w:hint="eastAsia" w:ascii="MS UI Gothic" w:eastAsia="MS UI Gothic"/>
          <w:w w:val="80"/>
        </w:rPr>
        <w:t xml:space="preserve">ꎬ </w:t>
      </w:r>
      <w:r>
        <w:rPr>
          <w:w w:val="105"/>
        </w:rPr>
        <w:t>严禁受煤仓放煤</w:t>
      </w:r>
      <w:r>
        <w:rPr>
          <w:rFonts w:hint="eastAsia" w:ascii="MS UI Gothic" w:eastAsia="MS UI Gothic"/>
          <w:w w:val="80"/>
        </w:rPr>
        <w:t>ꎮ</w:t>
      </w:r>
    </w:p>
    <w:p>
      <w:pPr>
        <w:pStyle w:val="6"/>
        <w:spacing w:line="290" w:lineRule="auto"/>
        <w:ind w:left="352" w:right="126"/>
        <w:rPr>
          <w:rFonts w:hint="eastAsia" w:ascii="MS UI Gothic" w:eastAsia="MS UI Gothic"/>
        </w:rPr>
      </w:pPr>
      <w:r>
        <w:rPr>
          <w:rFonts w:hint="eastAsia" w:ascii="MS UI Gothic" w:eastAsia="MS UI Gothic"/>
          <w:spacing w:val="-42"/>
          <w:w w:val="150"/>
        </w:rPr>
        <w:t xml:space="preserve">( </w:t>
      </w:r>
      <w:r>
        <w:rPr>
          <w:spacing w:val="3"/>
          <w:w w:val="110"/>
        </w:rPr>
        <w:t>八</w:t>
      </w:r>
      <w:r>
        <w:rPr>
          <w:rFonts w:hint="eastAsia" w:ascii="MS UI Gothic" w:eastAsia="MS UI Gothic"/>
          <w:spacing w:val="-18"/>
          <w:w w:val="150"/>
        </w:rPr>
        <w:t xml:space="preserve">) </w:t>
      </w:r>
      <w:r>
        <w:rPr>
          <w:spacing w:val="5"/>
          <w:w w:val="110"/>
        </w:rPr>
        <w:t>仓位超限保护</w:t>
      </w:r>
      <w:r>
        <w:rPr>
          <w:rFonts w:hint="eastAsia" w:ascii="MS UI Gothic" w:eastAsia="MS UI Gothic"/>
          <w:spacing w:val="-47"/>
          <w:w w:val="235"/>
        </w:rPr>
        <w:t xml:space="preserve">: </w:t>
      </w:r>
      <w:r>
        <w:rPr>
          <w:spacing w:val="9"/>
          <w:w w:val="110"/>
        </w:rPr>
        <w:t>箕斗提升的井</w:t>
      </w:r>
      <w:r>
        <w:rPr>
          <w:spacing w:val="3"/>
        </w:rPr>
        <w:t>口煤仓仓位超限时</w:t>
      </w:r>
      <w:r>
        <w:rPr>
          <w:rFonts w:hint="eastAsia" w:ascii="MS UI Gothic" w:eastAsia="MS UI Gothic"/>
          <w:spacing w:val="23"/>
          <w:w w:val="80"/>
        </w:rPr>
        <w:t xml:space="preserve">ꎬ </w:t>
      </w:r>
      <w:r>
        <w:rPr>
          <w:spacing w:val="3"/>
        </w:rPr>
        <w:t>能报警并闭锁开车</w:t>
      </w:r>
      <w:r>
        <w:rPr>
          <w:rFonts w:hint="eastAsia" w:ascii="MS UI Gothic" w:eastAsia="MS UI Gothic"/>
          <w:w w:val="80"/>
        </w:rPr>
        <w:t>ꎮ</w:t>
      </w:r>
    </w:p>
    <w:p>
      <w:pPr>
        <w:pStyle w:val="6"/>
        <w:spacing w:line="290" w:lineRule="auto"/>
        <w:ind w:left="352" w:right="126"/>
        <w:rPr>
          <w:rFonts w:hint="eastAsia" w:ascii="MS UI Gothic" w:eastAsia="MS UI Gothic"/>
        </w:rPr>
      </w:pPr>
      <w:r>
        <w:rPr>
          <w:rFonts w:hint="eastAsia" w:ascii="MS UI Gothic" w:eastAsia="MS UI Gothic"/>
          <w:spacing w:val="-42"/>
          <w:w w:val="150"/>
        </w:rPr>
        <w:t xml:space="preserve">( </w:t>
      </w:r>
      <w:r>
        <w:rPr>
          <w:spacing w:val="3"/>
          <w:w w:val="110"/>
        </w:rPr>
        <w:t>九</w:t>
      </w:r>
      <w:r>
        <w:rPr>
          <w:rFonts w:hint="eastAsia" w:ascii="MS UI Gothic" w:eastAsia="MS UI Gothic"/>
          <w:spacing w:val="-18"/>
          <w:w w:val="150"/>
        </w:rPr>
        <w:t xml:space="preserve">) </w:t>
      </w:r>
      <w:r>
        <w:rPr>
          <w:spacing w:val="5"/>
          <w:w w:val="110"/>
        </w:rPr>
        <w:t>减速功能保护</w:t>
      </w:r>
      <w:r>
        <w:rPr>
          <w:rFonts w:hint="eastAsia" w:ascii="MS UI Gothic" w:eastAsia="MS UI Gothic"/>
          <w:spacing w:val="-47"/>
          <w:w w:val="235"/>
        </w:rPr>
        <w:t xml:space="preserve">: </w:t>
      </w:r>
      <w:r>
        <w:rPr>
          <w:spacing w:val="9"/>
          <w:w w:val="110"/>
        </w:rPr>
        <w:t>当提升容器或</w:t>
      </w:r>
      <w:r>
        <w:rPr>
          <w:spacing w:val="3"/>
        </w:rPr>
        <w:t>者平衡锤到达设计减速点时</w:t>
      </w:r>
      <w:r>
        <w:rPr>
          <w:rFonts w:hint="eastAsia" w:ascii="MS UI Gothic" w:eastAsia="MS UI Gothic"/>
          <w:spacing w:val="20"/>
          <w:w w:val="80"/>
        </w:rPr>
        <w:t xml:space="preserve">ꎬ </w:t>
      </w:r>
      <w:r>
        <w:rPr>
          <w:spacing w:val="2"/>
        </w:rPr>
        <w:t>能示警并开</w:t>
      </w:r>
      <w:r>
        <w:rPr>
          <w:spacing w:val="3"/>
          <w:w w:val="110"/>
        </w:rPr>
        <w:t>始减速</w:t>
      </w:r>
      <w:r>
        <w:rPr>
          <w:rFonts w:hint="eastAsia" w:ascii="MS UI Gothic" w:eastAsia="MS UI Gothic"/>
          <w:w w:val="80"/>
        </w:rPr>
        <w:t>ꎮ</w:t>
      </w:r>
    </w:p>
    <w:p>
      <w:pPr>
        <w:pStyle w:val="6"/>
        <w:spacing w:line="290" w:lineRule="auto"/>
        <w:ind w:left="352" w:right="126"/>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错向运行保护</w:t>
      </w:r>
      <w:r>
        <w:rPr>
          <w:rFonts w:hint="eastAsia" w:ascii="MS UI Gothic" w:eastAsia="MS UI Gothic"/>
          <w:w w:val="235"/>
        </w:rPr>
        <w:t xml:space="preserve">: </w:t>
      </w:r>
      <w:r>
        <w:rPr>
          <w:w w:val="105"/>
        </w:rPr>
        <w:t>当发生错向</w:t>
      </w:r>
      <w:r>
        <w:t>时</w:t>
      </w:r>
      <w:r>
        <w:rPr>
          <w:rFonts w:hint="eastAsia" w:ascii="MS UI Gothic" w:eastAsia="MS UI Gothic"/>
          <w:w w:val="80"/>
        </w:rPr>
        <w:t xml:space="preserve">ꎬ </w:t>
      </w:r>
      <w:r>
        <w:t>能自动断电</w:t>
      </w:r>
      <w:r>
        <w:rPr>
          <w:rFonts w:hint="eastAsia" w:ascii="MS UI Gothic" w:eastAsia="MS UI Gothic"/>
          <w:w w:val="80"/>
        </w:rPr>
        <w:t xml:space="preserve">ꎬ </w:t>
      </w:r>
      <w:r>
        <w:t>且使制动器实施安全制</w:t>
      </w:r>
      <w:r>
        <w:rPr>
          <w:w w:val="105"/>
        </w:rPr>
        <w:t>动</w:t>
      </w:r>
      <w:r>
        <w:rPr>
          <w:rFonts w:hint="eastAsia" w:ascii="MS UI Gothic" w:eastAsia="MS UI Gothic"/>
          <w:w w:val="80"/>
        </w:rPr>
        <w:t xml:space="preserve">ꎮ </w:t>
      </w:r>
      <w:r>
        <w:rPr>
          <w:w w:val="105"/>
        </w:rPr>
        <w:t>过卷保护</w:t>
      </w:r>
      <w:r>
        <w:rPr>
          <w:rFonts w:hint="eastAsia" w:ascii="MS UI Gothic" w:eastAsia="MS UI Gothic"/>
          <w:w w:val="80"/>
        </w:rPr>
        <w:t xml:space="preserve">、 </w:t>
      </w:r>
      <w:r>
        <w:rPr>
          <w:w w:val="105"/>
        </w:rPr>
        <w:t>超速保护</w:t>
      </w:r>
      <w:r>
        <w:rPr>
          <w:rFonts w:hint="eastAsia" w:ascii="MS UI Gothic" w:eastAsia="MS UI Gothic"/>
          <w:w w:val="80"/>
        </w:rPr>
        <w:t xml:space="preserve">、 </w:t>
      </w:r>
      <w:r>
        <w:rPr>
          <w:w w:val="105"/>
        </w:rPr>
        <w:t>限速保护和减</w:t>
      </w:r>
      <w:r>
        <w:t>速功能保护应当设置为相互独立的双线</w:t>
      </w:r>
      <w:r>
        <w:rPr>
          <w:w w:val="105"/>
        </w:rPr>
        <w:t>型式</w:t>
      </w:r>
      <w:r>
        <w:rPr>
          <w:rFonts w:hint="eastAsia" w:ascii="MS UI Gothic" w:eastAsia="MS UI Gothic"/>
          <w:w w:val="80"/>
        </w:rPr>
        <w:t>ꎮ</w:t>
      </w:r>
    </w:p>
    <w:p>
      <w:pPr>
        <w:pStyle w:val="6"/>
        <w:ind w:left="771" w:firstLine="0"/>
        <w:jc w:val="left"/>
        <w:rPr>
          <w:rFonts w:hint="eastAsia" w:ascii="MS UI Gothic" w:eastAsia="MS UI Gothic"/>
        </w:rPr>
      </w:pPr>
      <w:r>
        <w:t>缠绕式提升机应当加设定车装置</w:t>
      </w:r>
      <w:r>
        <w:rPr>
          <w:rFonts w:hint="eastAsia" w:ascii="MS UI Gothic" w:eastAsia="MS UI Gothic"/>
          <w:w w:val="80"/>
        </w:rPr>
        <w:t>ꎮ</w:t>
      </w:r>
    </w:p>
    <w:p>
      <w:pPr>
        <w:pStyle w:val="6"/>
        <w:spacing w:before="54" w:line="290" w:lineRule="auto"/>
        <w:ind w:left="352" w:right="126"/>
      </w:pPr>
      <w:r>
        <w:t>第四百二十四条 提升机必须装设可靠的提升容器位置指示器</w:t>
      </w:r>
      <w:r>
        <w:rPr>
          <w:rFonts w:hint="eastAsia" w:ascii="MS UI Gothic" w:eastAsia="MS UI Gothic"/>
        </w:rPr>
        <w:t xml:space="preserve">、 </w:t>
      </w:r>
      <w:r>
        <w:t>减速声光示警</w:t>
      </w:r>
    </w:p>
    <w:p>
      <w:pPr>
        <w:spacing w:after="0" w:line="290" w:lineRule="auto"/>
        <w:sectPr>
          <w:type w:val="continuous"/>
          <w:pgSz w:w="10500" w:h="14750"/>
          <w:pgMar w:top="1400" w:right="980" w:bottom="280" w:left="980" w:header="720" w:footer="720" w:gutter="0"/>
          <w:cols w:equalWidth="0" w:num="2">
            <w:col w:w="4241" w:space="40"/>
            <w:col w:w="4259"/>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３０８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47" o:spid="_x0000_s1947" o:spt="203" style="height:2.15pt;width:398.25pt;" coordsize="7965,43">
            <o:lock v:ext="edit"/>
            <v:line id="_x0000_s1948" o:spid="_x0000_s1948" o:spt="20" style="position:absolute;left:0;top:39;height:0;width:7965;" stroked="t" coordsize="21600,21600">
              <v:path arrowok="t"/>
              <v:fill focussize="0,0"/>
              <v:stroke weight="0.388031496062992pt" color="#231F20"/>
              <v:imagedata o:title=""/>
              <o:lock v:ext="edit"/>
            </v:line>
            <v:line id="_x0000_s1949" o:spid="_x0000_s194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jc w:val="left"/>
        <w:rPr>
          <w:rFonts w:hint="eastAsia" w:ascii="MS UI Gothic" w:eastAsia="MS UI Gothic"/>
        </w:rPr>
      </w:pPr>
      <w:r>
        <w:t>装置</w:t>
      </w:r>
      <w:r>
        <w:rPr>
          <w:rFonts w:hint="eastAsia" w:ascii="MS UI Gothic" w:eastAsia="MS UI Gothic"/>
          <w:w w:val="80"/>
        </w:rPr>
        <w:t xml:space="preserve">ꎬ </w:t>
      </w:r>
      <w:r>
        <w:t>必须设置机械制动和电气制动装置</w:t>
      </w:r>
      <w:r>
        <w:rPr>
          <w:rFonts w:hint="eastAsia" w:ascii="MS UI Gothic" w:eastAsia="MS UI Gothic"/>
          <w:w w:val="80"/>
        </w:rPr>
        <w:t>ꎮ</w:t>
      </w:r>
    </w:p>
    <w:p>
      <w:pPr>
        <w:pStyle w:val="6"/>
        <w:spacing w:line="255" w:lineRule="exact"/>
        <w:ind w:left="543" w:firstLine="0"/>
        <w:jc w:val="left"/>
        <w:rPr>
          <w:rFonts w:hint="eastAsia" w:ascii="MS UI Gothic" w:eastAsia="MS UI Gothic"/>
        </w:rPr>
      </w:pPr>
      <w:r>
        <w:t>严禁司机擅自离开工作岗位</w:t>
      </w:r>
      <w:r>
        <w:rPr>
          <w:rFonts w:hint="eastAsia" w:ascii="MS UI Gothic" w:eastAsia="MS UI Gothic"/>
          <w:w w:val="80"/>
        </w:rPr>
        <w:t>ꎮ</w:t>
      </w:r>
    </w:p>
    <w:p>
      <w:pPr>
        <w:pStyle w:val="6"/>
        <w:spacing w:before="58" w:line="295" w:lineRule="auto"/>
        <w:ind w:right="38"/>
        <w:rPr>
          <w:rFonts w:hint="eastAsia" w:ascii="MS UI Gothic" w:eastAsia="MS UI Gothic"/>
        </w:rPr>
      </w:pPr>
      <w:r>
        <w:rPr>
          <w:spacing w:val="4"/>
        </w:rPr>
        <w:t>第四百二十五条 机械制动装置应当</w:t>
      </w:r>
      <w:r>
        <w:rPr>
          <w:spacing w:val="23"/>
        </w:rPr>
        <w:t>采用弹簧式</w:t>
      </w:r>
      <w:r>
        <w:rPr>
          <w:rFonts w:hint="eastAsia" w:ascii="MS UI Gothic" w:eastAsia="MS UI Gothic"/>
          <w:spacing w:val="2"/>
          <w:w w:val="80"/>
        </w:rPr>
        <w:t xml:space="preserve">ꎬ </w:t>
      </w:r>
      <w:r>
        <w:rPr>
          <w:spacing w:val="30"/>
        </w:rPr>
        <w:t>能实现工作制动和安全</w:t>
      </w:r>
      <w:r>
        <w:rPr>
          <w:spacing w:val="3"/>
        </w:rPr>
        <w:t>制动</w:t>
      </w:r>
      <w:r>
        <w:rPr>
          <w:rFonts w:hint="eastAsia" w:ascii="MS UI Gothic" w:eastAsia="MS UI Gothic"/>
          <w:w w:val="80"/>
        </w:rPr>
        <w:t>ꎮ</w:t>
      </w:r>
    </w:p>
    <w:p>
      <w:pPr>
        <w:pStyle w:val="6"/>
        <w:spacing w:line="295" w:lineRule="auto"/>
        <w:ind w:right="38"/>
        <w:jc w:val="left"/>
        <w:rPr>
          <w:rFonts w:hint="eastAsia" w:ascii="MS UI Gothic" w:eastAsia="MS UI Gothic"/>
        </w:rPr>
      </w:pPr>
      <w:r>
        <w:rPr>
          <w:spacing w:val="2"/>
        </w:rPr>
        <w:t>工作制动必须采用可调节的机械制动</w:t>
      </w:r>
      <w:r>
        <w:rPr>
          <w:spacing w:val="3"/>
        </w:rPr>
        <w:t>装置</w:t>
      </w:r>
      <w:r>
        <w:rPr>
          <w:rFonts w:hint="eastAsia" w:ascii="MS UI Gothic" w:eastAsia="MS UI Gothic"/>
          <w:w w:val="80"/>
        </w:rPr>
        <w:t>ꎮ</w:t>
      </w:r>
    </w:p>
    <w:p>
      <w:pPr>
        <w:pStyle w:val="6"/>
        <w:spacing w:line="295" w:lineRule="auto"/>
        <w:ind w:right="38"/>
        <w:jc w:val="left"/>
        <w:rPr>
          <w:rFonts w:hint="eastAsia" w:ascii="MS UI Gothic" w:eastAsia="MS UI Gothic"/>
        </w:rPr>
      </w:pPr>
      <w:r>
        <w:rPr>
          <w:spacing w:val="29"/>
        </w:rPr>
        <w:t>安全制动必须有并联冗余的回油</w:t>
      </w:r>
      <w:r>
        <w:rPr>
          <w:spacing w:val="3"/>
        </w:rPr>
        <w:t>通道</w:t>
      </w:r>
      <w:r>
        <w:rPr>
          <w:rFonts w:hint="eastAsia" w:ascii="MS UI Gothic" w:eastAsia="MS UI Gothic"/>
          <w:w w:val="80"/>
        </w:rPr>
        <w:t>ꎮ</w:t>
      </w:r>
    </w:p>
    <w:p>
      <w:pPr>
        <w:pStyle w:val="6"/>
        <w:spacing w:line="295" w:lineRule="auto"/>
        <w:ind w:right="38"/>
        <w:jc w:val="left"/>
        <w:rPr>
          <w:rFonts w:hint="eastAsia" w:ascii="MS UI Gothic" w:eastAsia="MS UI Gothic"/>
        </w:rPr>
      </w:pPr>
      <w:r>
        <w:t>双滚筒提升机每个滚筒的制动装置必须能够独立控制</w:t>
      </w:r>
      <w:r>
        <w:rPr>
          <w:rFonts w:hint="eastAsia" w:ascii="MS UI Gothic" w:eastAsia="MS UI Gothic"/>
          <w:w w:val="80"/>
        </w:rPr>
        <w:t xml:space="preserve">ꎬ </w:t>
      </w:r>
      <w:r>
        <w:t>并具有调绳功能</w:t>
      </w:r>
      <w:r>
        <w:rPr>
          <w:rFonts w:hint="eastAsia" w:ascii="MS UI Gothic" w:eastAsia="MS UI Gothic"/>
          <w:w w:val="80"/>
        </w:rPr>
        <w:t>ꎮ</w:t>
      </w:r>
    </w:p>
    <w:p>
      <w:pPr>
        <w:pStyle w:val="6"/>
        <w:tabs>
          <w:tab w:val="left" w:pos="2220"/>
        </w:tabs>
        <w:spacing w:line="255" w:lineRule="exact"/>
        <w:ind w:left="543" w:firstLine="0"/>
        <w:jc w:val="left"/>
      </w:pPr>
      <w:r>
        <w:rPr>
          <w:spacing w:val="3"/>
          <w:w w:val="105"/>
        </w:rPr>
        <w:t>第四百二十六</w:t>
      </w:r>
      <w:r>
        <w:rPr>
          <w:w w:val="105"/>
        </w:rPr>
        <w:t>条</w:t>
      </w:r>
      <w:r>
        <w:rPr>
          <w:w w:val="105"/>
        </w:rPr>
        <w:tab/>
      </w:r>
      <w:r>
        <w:rPr>
          <w:spacing w:val="3"/>
        </w:rPr>
        <w:t>提升机机械制动</w:t>
      </w:r>
      <w:r>
        <w:t>装</w:t>
      </w:r>
    </w:p>
    <w:p>
      <w:pPr>
        <w:pStyle w:val="6"/>
        <w:spacing w:before="53" w:line="172" w:lineRule="exact"/>
        <w:ind w:firstLine="0"/>
        <w:jc w:val="left"/>
        <w:rPr>
          <w:rFonts w:hint="eastAsia" w:ascii="MS UI Gothic" w:eastAsia="MS UI Gothic"/>
        </w:rPr>
      </w:pPr>
      <w:r>
        <w:rPr>
          <w:w w:val="110"/>
        </w:rPr>
        <w:t>置的性能</w:t>
      </w:r>
      <w:r>
        <w:rPr>
          <w:rFonts w:hint="eastAsia" w:ascii="MS UI Gothic" w:eastAsia="MS UI Gothic"/>
          <w:w w:val="80"/>
        </w:rPr>
        <w:t xml:space="preserve">ꎬ </w:t>
      </w:r>
      <w:r>
        <w:rPr>
          <w:w w:val="110"/>
        </w:rPr>
        <w:t>必须符合下列要求</w:t>
      </w:r>
      <w:r>
        <w:rPr>
          <w:rFonts w:hint="eastAsia" w:ascii="MS UI Gothic" w:eastAsia="MS UI Gothic"/>
          <w:w w:val="235"/>
        </w:rPr>
        <w:t>:</w:t>
      </w:r>
    </w:p>
    <w:p>
      <w:pPr>
        <w:pStyle w:val="6"/>
        <w:spacing w:before="123" w:line="295" w:lineRule="auto"/>
        <w:ind w:right="442"/>
        <w:jc w:val="left"/>
        <w:rPr>
          <w:rFonts w:hint="eastAsia" w:ascii="MS UI Gothic" w:eastAsia="MS UI Gothic"/>
        </w:rPr>
      </w:pPr>
      <w:r>
        <w:br w:type="column"/>
      </w:r>
      <w:r>
        <w:rPr>
          <w:rFonts w:hint="eastAsia" w:ascii="MS UI Gothic" w:eastAsia="MS UI Gothic"/>
          <w:w w:val="145"/>
        </w:rPr>
        <w:t xml:space="preserve">( </w:t>
      </w:r>
      <w:r>
        <w:rPr>
          <w:w w:val="105"/>
        </w:rPr>
        <w:t>一</w:t>
      </w:r>
      <w:r>
        <w:rPr>
          <w:rFonts w:hint="eastAsia" w:ascii="MS UI Gothic" w:eastAsia="MS UI Gothic"/>
          <w:w w:val="145"/>
        </w:rPr>
        <w:t xml:space="preserve">) </w:t>
      </w:r>
      <w:r>
        <w:rPr>
          <w:w w:val="105"/>
        </w:rPr>
        <w:t xml:space="preserve">提升系统的安全制动减速度必须符合表 </w:t>
      </w:r>
      <w:r>
        <w:rPr>
          <w:rFonts w:hint="eastAsia" w:ascii="MS UI Gothic" w:eastAsia="MS UI Gothic"/>
          <w:w w:val="85"/>
        </w:rPr>
        <w:t xml:space="preserve">１５ </w:t>
      </w:r>
      <w:r>
        <w:rPr>
          <w:w w:val="105"/>
        </w:rPr>
        <w:t>的要求</w:t>
      </w:r>
      <w:r>
        <w:rPr>
          <w:rFonts w:hint="eastAsia" w:ascii="MS UI Gothic" w:eastAsia="MS UI Gothic"/>
          <w:w w:val="85"/>
        </w:rPr>
        <w:t>ꎮ</w:t>
      </w:r>
    </w:p>
    <w:p>
      <w:pPr>
        <w:pStyle w:val="6"/>
        <w:spacing w:before="220"/>
        <w:ind w:left="456" w:firstLine="0"/>
        <w:jc w:val="left"/>
      </w:pPr>
      <w:r>
        <w:rPr>
          <w:w w:val="95"/>
        </w:rPr>
        <w:t xml:space="preserve">表 </w:t>
      </w:r>
      <w:r>
        <w:rPr>
          <w:rFonts w:hint="eastAsia" w:ascii="MS UI Gothic" w:eastAsia="MS UI Gothic"/>
          <w:w w:val="95"/>
        </w:rPr>
        <w:t xml:space="preserve">１５ </w:t>
      </w:r>
      <w:r>
        <w:rPr>
          <w:w w:val="95"/>
        </w:rPr>
        <w:t>提升系统安全制动减速度规定值</w:t>
      </w:r>
    </w:p>
    <w:p>
      <w:pPr>
        <w:pStyle w:val="6"/>
        <w:spacing w:before="6"/>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069"/>
        <w:gridCol w:w="875"/>
        <w:gridCol w:w="828"/>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069" w:type="dxa"/>
            <w:tcBorders>
              <w:bottom w:val="single" w:color="231F20" w:sz="4" w:space="0"/>
              <w:right w:val="single" w:color="231F20" w:sz="4" w:space="0"/>
            </w:tcBorders>
          </w:tcPr>
          <w:p>
            <w:pPr>
              <w:pStyle w:val="11"/>
              <w:spacing w:before="50"/>
              <w:ind w:left="113" w:right="103"/>
              <w:jc w:val="center"/>
              <w:rPr>
                <w:sz w:val="15"/>
              </w:rPr>
            </w:pPr>
            <w:r>
              <w:rPr>
                <w:w w:val="105"/>
                <w:sz w:val="15"/>
              </w:rPr>
              <w:t>减速度</w:t>
            </w:r>
          </w:p>
        </w:tc>
        <w:tc>
          <w:tcPr>
            <w:tcW w:w="875" w:type="dxa"/>
            <w:tcBorders>
              <w:left w:val="single" w:color="231F20" w:sz="4" w:space="0"/>
              <w:bottom w:val="single" w:color="231F20" w:sz="4" w:space="0"/>
              <w:right w:val="single" w:color="231F20" w:sz="4" w:space="0"/>
            </w:tcBorders>
          </w:tcPr>
          <w:p>
            <w:pPr>
              <w:pStyle w:val="11"/>
              <w:spacing w:before="50"/>
              <w:ind w:left="210"/>
              <w:rPr>
                <w:rFonts w:hint="eastAsia" w:ascii="MS UI Gothic" w:hAnsi="MS UI Gothic" w:eastAsia="MS UI Gothic"/>
                <w:sz w:val="15"/>
              </w:rPr>
            </w:pPr>
            <w:r>
              <w:rPr>
                <w:spacing w:val="2"/>
                <w:w w:val="47"/>
                <w:sz w:val="15"/>
              </w:rPr>
              <w:t>θ</w:t>
            </w:r>
            <w:r>
              <w:rPr>
                <w:rFonts w:hint="eastAsia" w:ascii="MS UI Gothic" w:hAnsi="MS UI Gothic" w:eastAsia="MS UI Gothic"/>
                <w:w w:val="205"/>
                <w:sz w:val="15"/>
              </w:rPr>
              <w:t>≤</w:t>
            </w:r>
            <w:r>
              <w:rPr>
                <w:rFonts w:hint="eastAsia" w:ascii="MS UI Gothic" w:hAnsi="MS UI Gothic" w:eastAsia="MS UI Gothic"/>
                <w:spacing w:val="-1"/>
                <w:w w:val="75"/>
                <w:sz w:val="15"/>
              </w:rPr>
              <w:t>３</w:t>
            </w:r>
            <w:r>
              <w:rPr>
                <w:rFonts w:hint="eastAsia" w:ascii="MS UI Gothic" w:hAnsi="MS UI Gothic" w:eastAsia="MS UI Gothic"/>
                <w:spacing w:val="3"/>
                <w:w w:val="75"/>
                <w:sz w:val="15"/>
              </w:rPr>
              <w:t>０</w:t>
            </w:r>
            <w:r>
              <w:rPr>
                <w:rFonts w:hint="eastAsia" w:ascii="MS UI Gothic" w:hAnsi="MS UI Gothic" w:eastAsia="MS UI Gothic"/>
                <w:w w:val="41"/>
                <w:sz w:val="15"/>
              </w:rPr>
              <w:t>°</w:t>
            </w:r>
          </w:p>
        </w:tc>
        <w:tc>
          <w:tcPr>
            <w:tcW w:w="828" w:type="dxa"/>
            <w:tcBorders>
              <w:left w:val="single" w:color="231F20" w:sz="4" w:space="0"/>
              <w:bottom w:val="single" w:color="231F20" w:sz="4" w:space="0"/>
            </w:tcBorders>
          </w:tcPr>
          <w:p>
            <w:pPr>
              <w:pStyle w:val="11"/>
              <w:spacing w:before="50"/>
              <w:ind w:left="171" w:right="160"/>
              <w:jc w:val="center"/>
              <w:rPr>
                <w:rFonts w:hint="eastAsia" w:ascii="MS UI Gothic" w:hAnsi="MS UI Gothic" w:eastAsia="MS UI Gothic"/>
                <w:sz w:val="15"/>
              </w:rPr>
            </w:pPr>
            <w:r>
              <w:rPr>
                <w:spacing w:val="8"/>
                <w:w w:val="47"/>
                <w:sz w:val="15"/>
              </w:rPr>
              <w:t>θ</w:t>
            </w:r>
            <w:r>
              <w:rPr>
                <w:rFonts w:hint="eastAsia" w:ascii="MS UI Gothic" w:hAnsi="MS UI Gothic" w:eastAsia="MS UI Gothic"/>
                <w:spacing w:val="12"/>
                <w:w w:val="172"/>
                <w:sz w:val="15"/>
              </w:rPr>
              <w:t>&gt;</w:t>
            </w:r>
            <w:r>
              <w:rPr>
                <w:rFonts w:hint="eastAsia" w:ascii="MS UI Gothic" w:hAnsi="MS UI Gothic" w:eastAsia="MS UI Gothic"/>
                <w:w w:val="75"/>
                <w:sz w:val="15"/>
              </w:rPr>
              <w:t>３</w:t>
            </w:r>
            <w:r>
              <w:rPr>
                <w:rFonts w:hint="eastAsia" w:ascii="MS UI Gothic" w:hAnsi="MS UI Gothic" w:eastAsia="MS UI Gothic"/>
                <w:spacing w:val="3"/>
                <w:w w:val="75"/>
                <w:sz w:val="15"/>
              </w:rPr>
              <w:t>０</w:t>
            </w:r>
            <w:r>
              <w:rPr>
                <w:rFonts w:hint="eastAsia" w:ascii="MS UI Gothic" w:hAnsi="MS UI Gothic" w:eastAsia="MS UI Gothic"/>
                <w:w w:val="41"/>
                <w:sz w:val="15"/>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069" w:type="dxa"/>
            <w:tcBorders>
              <w:top w:val="single" w:color="231F20" w:sz="4" w:space="0"/>
              <w:bottom w:val="single" w:color="231F20" w:sz="4" w:space="0"/>
              <w:right w:val="single" w:color="231F20" w:sz="4" w:space="0"/>
            </w:tcBorders>
          </w:tcPr>
          <w:p>
            <w:pPr>
              <w:pStyle w:val="11"/>
              <w:spacing w:before="43"/>
              <w:ind w:left="113" w:right="116"/>
              <w:jc w:val="center"/>
              <w:rPr>
                <w:rFonts w:hint="eastAsia" w:ascii="MS UI Gothic" w:eastAsia="MS UI Gothic"/>
                <w:sz w:val="15"/>
              </w:rPr>
            </w:pPr>
            <w:r>
              <w:rPr>
                <w:spacing w:val="7"/>
                <w:w w:val="103"/>
                <w:sz w:val="15"/>
              </w:rPr>
              <w:t>提升减速度</w:t>
            </w:r>
            <w:r>
              <w:rPr>
                <w:rFonts w:hint="eastAsia" w:ascii="MS UI Gothic" w:eastAsia="MS UI Gothic"/>
                <w:w w:val="34"/>
                <w:sz w:val="15"/>
              </w:rPr>
              <w:t>/</w:t>
            </w:r>
            <w:r>
              <w:rPr>
                <w:rFonts w:hint="eastAsia" w:ascii="MS UI Gothic" w:eastAsia="MS UI Gothic"/>
                <w:spacing w:val="11"/>
                <w:sz w:val="15"/>
              </w:rPr>
              <w:t xml:space="preserve">  </w:t>
            </w:r>
            <w:r>
              <w:rPr>
                <w:rFonts w:hint="eastAsia" w:ascii="MS UI Gothic" w:eastAsia="MS UI Gothic"/>
                <w:w w:val="169"/>
                <w:sz w:val="15"/>
              </w:rPr>
              <w:t>(</w:t>
            </w:r>
            <w:r>
              <w:rPr>
                <w:rFonts w:hint="eastAsia" w:ascii="MS UI Gothic" w:eastAsia="MS UI Gothic"/>
                <w:spacing w:val="-29"/>
                <w:sz w:val="15"/>
              </w:rPr>
              <w:t xml:space="preserve"> </w:t>
            </w:r>
            <w:r>
              <w:rPr>
                <w:rFonts w:hint="eastAsia" w:ascii="MS UI Gothic" w:eastAsia="MS UI Gothic"/>
                <w:spacing w:val="2"/>
                <w:w w:val="79"/>
                <w:sz w:val="15"/>
              </w:rPr>
              <w:t>ｍ</w:t>
            </w:r>
            <w:r>
              <w:rPr>
                <w:rFonts w:hint="eastAsia" w:ascii="MS UI Gothic" w:eastAsia="MS UI Gothic"/>
                <w:spacing w:val="7"/>
                <w:w w:val="70"/>
                <w:sz w:val="15"/>
              </w:rPr>
              <w:t>ｓ</w:t>
            </w:r>
            <w:r>
              <w:rPr>
                <w:rFonts w:hint="eastAsia" w:ascii="MS UI Gothic" w:eastAsia="MS UI Gothic"/>
                <w:spacing w:val="7"/>
                <w:w w:val="56"/>
                <w:position w:val="7"/>
                <w:sz w:val="10"/>
              </w:rPr>
              <w:t>－</w:t>
            </w:r>
            <w:r>
              <w:rPr>
                <w:rFonts w:hint="eastAsia" w:ascii="MS UI Gothic" w:eastAsia="MS UI Gothic"/>
                <w:w w:val="75"/>
                <w:position w:val="6"/>
                <w:sz w:val="10"/>
              </w:rPr>
              <w:t>２</w:t>
            </w:r>
            <w:r>
              <w:rPr>
                <w:rFonts w:hint="eastAsia" w:ascii="MS UI Gothic" w:eastAsia="MS UI Gothic"/>
                <w:spacing w:val="-13"/>
                <w:position w:val="6"/>
                <w:sz w:val="10"/>
              </w:rPr>
              <w:t xml:space="preserve"> </w:t>
            </w:r>
            <w:r>
              <w:rPr>
                <w:rFonts w:hint="eastAsia" w:ascii="MS UI Gothic" w:eastAsia="MS UI Gothic"/>
                <w:w w:val="169"/>
                <w:sz w:val="15"/>
              </w:rPr>
              <w:t>)</w:t>
            </w:r>
          </w:p>
        </w:tc>
        <w:tc>
          <w:tcPr>
            <w:tcW w:w="875" w:type="dxa"/>
            <w:tcBorders>
              <w:top w:val="single" w:color="231F20" w:sz="4" w:space="0"/>
              <w:left w:val="single" w:color="231F20" w:sz="4" w:space="0"/>
              <w:bottom w:val="single" w:color="231F20" w:sz="4" w:space="0"/>
              <w:right w:val="single" w:color="231F20" w:sz="4" w:space="0"/>
            </w:tcBorders>
          </w:tcPr>
          <w:p>
            <w:pPr>
              <w:pStyle w:val="11"/>
              <w:spacing w:before="55"/>
              <w:ind w:left="182"/>
              <w:rPr>
                <w:rFonts w:hint="eastAsia" w:ascii="MS UI Gothic" w:hAnsi="MS UI Gothic" w:eastAsia="MS UI Gothic"/>
                <w:sz w:val="15"/>
              </w:rPr>
            </w:pPr>
            <w:r>
              <w:rPr>
                <w:rFonts w:hint="eastAsia" w:ascii="MS UI Gothic" w:hAnsi="MS UI Gothic" w:eastAsia="MS UI Gothic"/>
                <w:spacing w:val="3"/>
                <w:w w:val="205"/>
                <w:sz w:val="15"/>
              </w:rPr>
              <w:t>≤</w:t>
            </w:r>
            <w:r>
              <w:rPr>
                <w:spacing w:val="-1"/>
                <w:w w:val="57"/>
                <w:sz w:val="15"/>
              </w:rPr>
              <w:t>Ａ</w:t>
            </w:r>
            <w:r>
              <w:rPr>
                <w:w w:val="40"/>
                <w:sz w:val="15"/>
              </w:rPr>
              <w:t>ｃ</w:t>
            </w:r>
            <w:r>
              <w:rPr>
                <w:spacing w:val="-21"/>
                <w:sz w:val="15"/>
              </w:rPr>
              <w:t xml:space="preserve"> </w:t>
            </w:r>
            <w:r>
              <w:rPr>
                <w:rFonts w:hint="eastAsia" w:ascii="MS UI Gothic" w:hAnsi="MS UI Gothic" w:eastAsia="MS UI Gothic"/>
                <w:w w:val="207"/>
                <w:sz w:val="15"/>
              </w:rPr>
              <w:t>∗</w:t>
            </w:r>
          </w:p>
        </w:tc>
        <w:tc>
          <w:tcPr>
            <w:tcW w:w="828" w:type="dxa"/>
            <w:tcBorders>
              <w:top w:val="single" w:color="231F20" w:sz="4" w:space="0"/>
              <w:left w:val="single" w:color="231F20" w:sz="4" w:space="0"/>
              <w:bottom w:val="single" w:color="231F20" w:sz="4" w:space="0"/>
            </w:tcBorders>
          </w:tcPr>
          <w:p>
            <w:pPr>
              <w:pStyle w:val="11"/>
              <w:spacing w:before="55"/>
              <w:ind w:left="171" w:right="152"/>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069" w:type="dxa"/>
            <w:tcBorders>
              <w:top w:val="single" w:color="231F20" w:sz="4" w:space="0"/>
              <w:right w:val="single" w:color="231F20" w:sz="4" w:space="0"/>
            </w:tcBorders>
          </w:tcPr>
          <w:p>
            <w:pPr>
              <w:pStyle w:val="11"/>
              <w:spacing w:before="43"/>
              <w:ind w:left="113" w:right="116"/>
              <w:jc w:val="center"/>
              <w:rPr>
                <w:rFonts w:hint="eastAsia" w:ascii="MS UI Gothic" w:eastAsia="MS UI Gothic"/>
                <w:sz w:val="15"/>
              </w:rPr>
            </w:pPr>
            <w:r>
              <w:rPr>
                <w:spacing w:val="7"/>
                <w:w w:val="103"/>
                <w:sz w:val="15"/>
              </w:rPr>
              <w:t>下放减速度</w:t>
            </w:r>
            <w:r>
              <w:rPr>
                <w:rFonts w:hint="eastAsia" w:ascii="MS UI Gothic" w:eastAsia="MS UI Gothic"/>
                <w:w w:val="34"/>
                <w:sz w:val="15"/>
              </w:rPr>
              <w:t>/</w:t>
            </w:r>
            <w:r>
              <w:rPr>
                <w:rFonts w:hint="eastAsia" w:ascii="MS UI Gothic" w:eastAsia="MS UI Gothic"/>
                <w:spacing w:val="11"/>
                <w:sz w:val="15"/>
              </w:rPr>
              <w:t xml:space="preserve">  </w:t>
            </w:r>
            <w:r>
              <w:rPr>
                <w:rFonts w:hint="eastAsia" w:ascii="MS UI Gothic" w:eastAsia="MS UI Gothic"/>
                <w:w w:val="169"/>
                <w:sz w:val="15"/>
              </w:rPr>
              <w:t>(</w:t>
            </w:r>
            <w:r>
              <w:rPr>
                <w:rFonts w:hint="eastAsia" w:ascii="MS UI Gothic" w:eastAsia="MS UI Gothic"/>
                <w:spacing w:val="-29"/>
                <w:sz w:val="15"/>
              </w:rPr>
              <w:t xml:space="preserve"> </w:t>
            </w:r>
            <w:r>
              <w:rPr>
                <w:rFonts w:hint="eastAsia" w:ascii="MS UI Gothic" w:eastAsia="MS UI Gothic"/>
                <w:spacing w:val="2"/>
                <w:w w:val="79"/>
                <w:sz w:val="15"/>
              </w:rPr>
              <w:t>ｍ</w:t>
            </w:r>
            <w:r>
              <w:rPr>
                <w:rFonts w:hint="eastAsia" w:ascii="MS UI Gothic" w:eastAsia="MS UI Gothic"/>
                <w:spacing w:val="7"/>
                <w:w w:val="70"/>
                <w:sz w:val="15"/>
              </w:rPr>
              <w:t>ｓ</w:t>
            </w:r>
            <w:r>
              <w:rPr>
                <w:rFonts w:hint="eastAsia" w:ascii="MS UI Gothic" w:eastAsia="MS UI Gothic"/>
                <w:spacing w:val="7"/>
                <w:w w:val="56"/>
                <w:position w:val="7"/>
                <w:sz w:val="10"/>
              </w:rPr>
              <w:t>－</w:t>
            </w:r>
            <w:r>
              <w:rPr>
                <w:rFonts w:hint="eastAsia" w:ascii="MS UI Gothic" w:eastAsia="MS UI Gothic"/>
                <w:w w:val="75"/>
                <w:position w:val="6"/>
                <w:sz w:val="10"/>
              </w:rPr>
              <w:t>２</w:t>
            </w:r>
            <w:r>
              <w:rPr>
                <w:rFonts w:hint="eastAsia" w:ascii="MS UI Gothic" w:eastAsia="MS UI Gothic"/>
                <w:spacing w:val="-13"/>
                <w:position w:val="6"/>
                <w:sz w:val="10"/>
              </w:rPr>
              <w:t xml:space="preserve"> </w:t>
            </w:r>
            <w:r>
              <w:rPr>
                <w:rFonts w:hint="eastAsia" w:ascii="MS UI Gothic" w:eastAsia="MS UI Gothic"/>
                <w:w w:val="169"/>
                <w:sz w:val="15"/>
              </w:rPr>
              <w:t>)</w:t>
            </w:r>
          </w:p>
        </w:tc>
        <w:tc>
          <w:tcPr>
            <w:tcW w:w="875" w:type="dxa"/>
            <w:tcBorders>
              <w:top w:val="single" w:color="231F20" w:sz="4" w:space="0"/>
              <w:left w:val="single" w:color="231F20" w:sz="4" w:space="0"/>
              <w:right w:val="single" w:color="231F20" w:sz="4" w:space="0"/>
            </w:tcBorders>
          </w:tcPr>
          <w:p>
            <w:pPr>
              <w:pStyle w:val="11"/>
              <w:spacing w:before="55"/>
              <w:ind w:left="20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７５</w:t>
            </w:r>
          </w:p>
        </w:tc>
        <w:tc>
          <w:tcPr>
            <w:tcW w:w="828" w:type="dxa"/>
            <w:tcBorders>
              <w:top w:val="single" w:color="231F20" w:sz="4" w:space="0"/>
              <w:left w:val="single" w:color="231F20" w:sz="4" w:space="0"/>
            </w:tcBorders>
          </w:tcPr>
          <w:p>
            <w:pPr>
              <w:pStyle w:val="11"/>
              <w:spacing w:before="55"/>
              <w:ind w:left="171" w:right="152"/>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r>
    </w:tbl>
    <w:p>
      <w:pPr>
        <w:spacing w:before="80"/>
        <w:ind w:left="283" w:right="0" w:firstLine="0"/>
        <w:jc w:val="left"/>
        <w:rPr>
          <w:rFonts w:hint="eastAsia" w:ascii="MS UI Gothic" w:hAnsi="MS UI Gothic" w:eastAsia="MS UI Gothic"/>
          <w:sz w:val="15"/>
        </w:rPr>
      </w:pPr>
      <w:r>
        <w:rPr>
          <w:spacing w:val="3"/>
          <w:w w:val="103"/>
          <w:sz w:val="15"/>
        </w:rPr>
        <w:t>注</w:t>
      </w:r>
      <w:r>
        <w:rPr>
          <w:rFonts w:hint="eastAsia" w:ascii="MS UI Gothic" w:hAnsi="MS UI Gothic" w:eastAsia="MS UI Gothic"/>
          <w:w w:val="254"/>
          <w:sz w:val="15"/>
        </w:rPr>
        <w:t>:</w:t>
      </w:r>
      <w:r>
        <w:rPr>
          <w:rFonts w:hint="eastAsia" w:ascii="MS UI Gothic" w:hAnsi="MS UI Gothic" w:eastAsia="MS UI Gothic"/>
          <w:spacing w:val="-5"/>
          <w:sz w:val="15"/>
        </w:rPr>
        <w:t xml:space="preserve">  </w:t>
      </w:r>
      <w:r>
        <w:rPr>
          <w:rFonts w:hint="eastAsia" w:ascii="MS UI Gothic" w:hAnsi="MS UI Gothic" w:eastAsia="MS UI Gothic"/>
          <w:spacing w:val="3"/>
          <w:w w:val="207"/>
          <w:sz w:val="15"/>
        </w:rPr>
        <w:t>∗</w:t>
      </w:r>
      <w:r>
        <w:rPr>
          <w:spacing w:val="-1"/>
          <w:w w:val="57"/>
          <w:sz w:val="15"/>
        </w:rPr>
        <w:t>Ａ</w:t>
      </w:r>
      <w:r>
        <w:rPr>
          <w:w w:val="40"/>
          <w:sz w:val="15"/>
        </w:rPr>
        <w:t>ｃ</w:t>
      </w:r>
      <w:r>
        <w:rPr>
          <w:spacing w:val="-54"/>
          <w:sz w:val="15"/>
        </w:rPr>
        <w:t xml:space="preserve"> </w:t>
      </w:r>
      <w:r>
        <w:rPr>
          <w:rFonts w:hint="eastAsia" w:ascii="MS UI Gothic" w:hAnsi="MS UI Gothic" w:eastAsia="MS UI Gothic"/>
          <w:w w:val="56"/>
          <w:position w:val="1"/>
          <w:sz w:val="15"/>
        </w:rPr>
        <w:t>＝</w:t>
      </w:r>
      <w:r>
        <w:rPr>
          <w:rFonts w:hint="eastAsia" w:ascii="MS UI Gothic" w:hAnsi="MS UI Gothic" w:eastAsia="MS UI Gothic"/>
          <w:spacing w:val="-25"/>
          <w:position w:val="1"/>
          <w:sz w:val="15"/>
        </w:rPr>
        <w:t xml:space="preserve"> </w:t>
      </w:r>
      <w:r>
        <w:rPr>
          <w:w w:val="51"/>
          <w:sz w:val="15"/>
        </w:rPr>
        <w:t>ｇ</w:t>
      </w:r>
      <w:r>
        <w:rPr>
          <w:spacing w:val="8"/>
          <w:sz w:val="15"/>
        </w:rPr>
        <w:t xml:space="preserve"> </w:t>
      </w:r>
      <w:r>
        <w:rPr>
          <w:rFonts w:hint="eastAsia" w:ascii="MS UI Gothic" w:hAnsi="MS UI Gothic" w:eastAsia="MS UI Gothic"/>
          <w:w w:val="169"/>
          <w:sz w:val="15"/>
        </w:rPr>
        <w:t>(</w:t>
      </w:r>
      <w:r>
        <w:rPr>
          <w:rFonts w:hint="eastAsia" w:ascii="MS UI Gothic" w:hAnsi="MS UI Gothic" w:eastAsia="MS UI Gothic"/>
          <w:spacing w:val="-29"/>
          <w:sz w:val="15"/>
        </w:rPr>
        <w:t xml:space="preserve"> </w:t>
      </w:r>
      <w:r>
        <w:rPr>
          <w:rFonts w:hint="eastAsia" w:ascii="MS UI Gothic" w:hAnsi="MS UI Gothic" w:eastAsia="MS UI Gothic"/>
          <w:spacing w:val="-3"/>
          <w:w w:val="70"/>
          <w:sz w:val="15"/>
        </w:rPr>
        <w:t>ｓ</w:t>
      </w:r>
      <w:r>
        <w:rPr>
          <w:rFonts w:hint="eastAsia" w:ascii="MS UI Gothic" w:hAnsi="MS UI Gothic" w:eastAsia="MS UI Gothic"/>
          <w:spacing w:val="-1"/>
          <w:w w:val="115"/>
          <w:sz w:val="15"/>
        </w:rPr>
        <w:t>ｉ</w:t>
      </w:r>
      <w:r>
        <w:rPr>
          <w:rFonts w:hint="eastAsia" w:ascii="MS UI Gothic" w:hAnsi="MS UI Gothic" w:eastAsia="MS UI Gothic"/>
          <w:spacing w:val="3"/>
          <w:w w:val="83"/>
          <w:sz w:val="15"/>
        </w:rPr>
        <w:t>ｎ</w:t>
      </w:r>
      <w:r>
        <w:rPr>
          <w:spacing w:val="6"/>
          <w:w w:val="47"/>
          <w:sz w:val="15"/>
        </w:rPr>
        <w:t>θ</w:t>
      </w:r>
      <w:r>
        <w:rPr>
          <w:rFonts w:hint="eastAsia" w:ascii="MS UI Gothic" w:hAnsi="MS UI Gothic" w:eastAsia="MS UI Gothic"/>
          <w:spacing w:val="5"/>
          <w:w w:val="56"/>
          <w:position w:val="1"/>
          <w:sz w:val="15"/>
        </w:rPr>
        <w:t>＋</w:t>
      </w:r>
      <w:r>
        <w:rPr>
          <w:spacing w:val="3"/>
          <w:w w:val="28"/>
          <w:sz w:val="15"/>
        </w:rPr>
        <w:t>ｆ</w:t>
      </w:r>
      <w:r>
        <w:rPr>
          <w:rFonts w:hint="eastAsia" w:ascii="MS UI Gothic" w:hAnsi="MS UI Gothic" w:eastAsia="MS UI Gothic"/>
          <w:spacing w:val="-1"/>
          <w:w w:val="81"/>
          <w:sz w:val="15"/>
        </w:rPr>
        <w:t>ｃ</w:t>
      </w:r>
      <w:r>
        <w:rPr>
          <w:rFonts w:hint="eastAsia" w:ascii="MS UI Gothic" w:hAnsi="MS UI Gothic" w:eastAsia="MS UI Gothic"/>
          <w:spacing w:val="-1"/>
          <w:w w:val="75"/>
          <w:sz w:val="15"/>
        </w:rPr>
        <w:t>ｏ</w:t>
      </w:r>
      <w:r>
        <w:rPr>
          <w:rFonts w:hint="eastAsia" w:ascii="MS UI Gothic" w:hAnsi="MS UI Gothic" w:eastAsia="MS UI Gothic"/>
          <w:spacing w:val="1"/>
          <w:w w:val="70"/>
          <w:sz w:val="15"/>
        </w:rPr>
        <w:t>ｓ</w:t>
      </w:r>
      <w:r>
        <w:rPr>
          <w:spacing w:val="2"/>
          <w:w w:val="47"/>
          <w:sz w:val="15"/>
        </w:rPr>
        <w:t>θ</w:t>
      </w:r>
      <w:r>
        <w:rPr>
          <w:rFonts w:hint="eastAsia" w:ascii="MS UI Gothic" w:hAnsi="MS UI Gothic" w:eastAsia="MS UI Gothic"/>
          <w:w w:val="169"/>
          <w:sz w:val="15"/>
        </w:rPr>
        <w:t>)</w:t>
      </w:r>
    </w:p>
    <w:p>
      <w:pPr>
        <w:pStyle w:val="6"/>
        <w:spacing w:before="293"/>
        <w:ind w:left="543" w:firstLine="0"/>
        <w:jc w:val="left"/>
        <w:rPr>
          <w:rFonts w:hint="eastAsia" w:ascii="MS UI Gothic" w:eastAsia="MS UI Gothic"/>
        </w:rPr>
      </w:pPr>
      <w:r>
        <w:rPr>
          <w:w w:val="115"/>
        </w:rPr>
        <w:t>式中</w:t>
      </w:r>
      <w:r>
        <w:rPr>
          <w:rFonts w:hint="eastAsia" w:ascii="MS UI Gothic" w:eastAsia="MS UI Gothic"/>
          <w:w w:val="235"/>
        </w:rPr>
        <w:t>:</w:t>
      </w:r>
    </w:p>
    <w:p>
      <w:pPr>
        <w:pStyle w:val="6"/>
        <w:spacing w:before="54" w:line="297" w:lineRule="auto"/>
        <w:ind w:left="631" w:right="1395" w:hanging="88"/>
        <w:rPr>
          <w:rFonts w:hint="eastAsia" w:ascii="MS UI Gothic" w:hAnsi="MS UI Gothic" w:eastAsia="MS UI Gothic"/>
        </w:rPr>
      </w:pPr>
      <w:r>
        <w:rPr>
          <w:spacing w:val="-2"/>
          <w:w w:val="57"/>
        </w:rPr>
        <w:t>Ａ</w:t>
      </w:r>
      <w:r>
        <w:rPr>
          <w:spacing w:val="3"/>
          <w:w w:val="39"/>
        </w:rPr>
        <w:t>ｃ</w:t>
      </w:r>
      <w:r>
        <w:rPr>
          <w:rFonts w:hint="eastAsia" w:ascii="MS UI Gothic" w:hAnsi="MS UI Gothic" w:eastAsia="MS UI Gothic"/>
          <w:spacing w:val="-67"/>
          <w:w w:val="153"/>
        </w:rPr>
        <w:t>———</w:t>
      </w:r>
      <w:r>
        <w:rPr>
          <w:spacing w:val="3"/>
          <w:w w:val="102"/>
        </w:rPr>
        <w:t>自然减速度</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w w:val="79"/>
        </w:rPr>
        <w:t>ｍ</w:t>
      </w:r>
      <w:r>
        <w:rPr>
          <w:rFonts w:hint="eastAsia" w:ascii="MS UI Gothic" w:hAnsi="MS UI Gothic" w:eastAsia="MS UI Gothic"/>
          <w:spacing w:val="-31"/>
        </w:rPr>
        <w:t xml:space="preserve"> </w:t>
      </w:r>
      <w:r>
        <w:rPr>
          <w:rFonts w:hint="eastAsia" w:ascii="MS UI Gothic" w:hAnsi="MS UI Gothic" w:eastAsia="MS UI Gothic"/>
          <w:w w:val="34"/>
        </w:rPr>
        <w:t>/</w:t>
      </w:r>
      <w:r>
        <w:rPr>
          <w:rFonts w:hint="eastAsia" w:ascii="MS UI Gothic" w:hAnsi="MS UI Gothic" w:eastAsia="MS UI Gothic"/>
          <w:spacing w:val="-16"/>
        </w:rPr>
        <w:t xml:space="preserve"> </w:t>
      </w:r>
      <w:r>
        <w:rPr>
          <w:rFonts w:hint="eastAsia" w:ascii="MS UI Gothic" w:hAnsi="MS UI Gothic" w:eastAsia="MS UI Gothic"/>
          <w:spacing w:val="5"/>
          <w:w w:val="70"/>
        </w:rPr>
        <w:t>ｓ</w:t>
      </w:r>
      <w:r>
        <w:rPr>
          <w:rFonts w:hint="eastAsia" w:ascii="MS UI Gothic" w:hAnsi="MS UI Gothic" w:eastAsia="MS UI Gothic"/>
          <w:w w:val="72"/>
          <w:position w:val="9"/>
          <w:sz w:val="12"/>
        </w:rPr>
        <w:t>２</w:t>
      </w:r>
      <w:r>
        <w:rPr>
          <w:rFonts w:hint="eastAsia" w:ascii="MS UI Gothic" w:hAnsi="MS UI Gothic" w:eastAsia="MS UI Gothic"/>
          <w:spacing w:val="-19"/>
          <w:position w:val="9"/>
          <w:sz w:val="12"/>
        </w:rPr>
        <w:t xml:space="preserve"> </w:t>
      </w:r>
      <w:r>
        <w:rPr>
          <w:rFonts w:hint="eastAsia" w:ascii="MS UI Gothic" w:hAnsi="MS UI Gothic" w:eastAsia="MS UI Gothic"/>
          <w:w w:val="51"/>
        </w:rPr>
        <w:t xml:space="preserve">ꎻ </w:t>
      </w:r>
      <w:r>
        <w:rPr>
          <w:spacing w:val="5"/>
          <w:w w:val="51"/>
        </w:rPr>
        <w:t>ｇ</w:t>
      </w:r>
      <w:r>
        <w:rPr>
          <w:rFonts w:hint="eastAsia" w:ascii="MS UI Gothic" w:hAnsi="MS UI Gothic" w:eastAsia="MS UI Gothic"/>
          <w:spacing w:val="-67"/>
          <w:w w:val="153"/>
        </w:rPr>
        <w:t>———</w:t>
      </w:r>
      <w:r>
        <w:rPr>
          <w:spacing w:val="3"/>
          <w:w w:val="102"/>
        </w:rPr>
        <w:t>重力加速度</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w w:val="79"/>
        </w:rPr>
        <w:t>ｍ</w:t>
      </w:r>
      <w:r>
        <w:rPr>
          <w:rFonts w:hint="eastAsia" w:ascii="MS UI Gothic" w:hAnsi="MS UI Gothic" w:eastAsia="MS UI Gothic"/>
          <w:spacing w:val="-31"/>
        </w:rPr>
        <w:t xml:space="preserve"> </w:t>
      </w:r>
      <w:r>
        <w:rPr>
          <w:rFonts w:hint="eastAsia" w:ascii="MS UI Gothic" w:hAnsi="MS UI Gothic" w:eastAsia="MS UI Gothic"/>
          <w:w w:val="34"/>
        </w:rPr>
        <w:t>/</w:t>
      </w:r>
      <w:r>
        <w:rPr>
          <w:rFonts w:hint="eastAsia" w:ascii="MS UI Gothic" w:hAnsi="MS UI Gothic" w:eastAsia="MS UI Gothic"/>
          <w:spacing w:val="-16"/>
        </w:rPr>
        <w:t xml:space="preserve"> </w:t>
      </w:r>
      <w:r>
        <w:rPr>
          <w:rFonts w:hint="eastAsia" w:ascii="MS UI Gothic" w:hAnsi="MS UI Gothic" w:eastAsia="MS UI Gothic"/>
          <w:spacing w:val="5"/>
          <w:w w:val="70"/>
        </w:rPr>
        <w:t>ｓ</w:t>
      </w:r>
      <w:r>
        <w:rPr>
          <w:rFonts w:hint="eastAsia" w:ascii="MS UI Gothic" w:hAnsi="MS UI Gothic" w:eastAsia="MS UI Gothic"/>
          <w:w w:val="72"/>
          <w:position w:val="9"/>
          <w:sz w:val="12"/>
        </w:rPr>
        <w:t>２</w:t>
      </w:r>
      <w:r>
        <w:rPr>
          <w:rFonts w:hint="eastAsia" w:ascii="MS UI Gothic" w:hAnsi="MS UI Gothic" w:eastAsia="MS UI Gothic"/>
          <w:spacing w:val="-19"/>
          <w:position w:val="9"/>
          <w:sz w:val="12"/>
        </w:rPr>
        <w:t xml:space="preserve"> </w:t>
      </w:r>
      <w:r>
        <w:rPr>
          <w:rFonts w:hint="eastAsia" w:ascii="MS UI Gothic" w:hAnsi="MS UI Gothic" w:eastAsia="MS UI Gothic"/>
          <w:w w:val="51"/>
        </w:rPr>
        <w:t xml:space="preserve">ꎻ </w:t>
      </w:r>
      <w:r>
        <w:rPr>
          <w:spacing w:val="4"/>
          <w:w w:val="47"/>
        </w:rPr>
        <w:t>θ</w:t>
      </w:r>
      <w:r>
        <w:rPr>
          <w:rFonts w:hint="eastAsia" w:ascii="MS UI Gothic" w:hAnsi="MS UI Gothic" w:eastAsia="MS UI Gothic"/>
          <w:spacing w:val="-67"/>
          <w:w w:val="153"/>
        </w:rPr>
        <w:t>———</w:t>
      </w:r>
      <w:r>
        <w:rPr>
          <w:spacing w:val="3"/>
          <w:w w:val="102"/>
        </w:rPr>
        <w:t>井巷倾角</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spacing w:val="21"/>
          <w:w w:val="168"/>
        </w:rPr>
        <w:t>(</w:t>
      </w:r>
      <w:r>
        <w:rPr>
          <w:rFonts w:hint="eastAsia" w:ascii="MS UI Gothic" w:hAnsi="MS UI Gothic" w:eastAsia="MS UI Gothic"/>
          <w:spacing w:val="10"/>
          <w:w w:val="41"/>
        </w:rPr>
        <w:t>°</w:t>
      </w:r>
      <w:r>
        <w:rPr>
          <w:rFonts w:hint="eastAsia" w:ascii="MS UI Gothic" w:hAnsi="MS UI Gothic" w:eastAsia="MS UI Gothic"/>
          <w:w w:val="168"/>
        </w:rPr>
        <w:t>)</w:t>
      </w:r>
      <w:r>
        <w:rPr>
          <w:rFonts w:hint="eastAsia" w:ascii="MS UI Gothic" w:hAnsi="MS UI Gothic" w:eastAsia="MS UI Gothic"/>
          <w:spacing w:val="-40"/>
        </w:rPr>
        <w:t xml:space="preserve"> </w:t>
      </w:r>
      <w:r>
        <w:rPr>
          <w:rFonts w:hint="eastAsia" w:ascii="MS UI Gothic" w:hAnsi="MS UI Gothic" w:eastAsia="MS UI Gothic"/>
          <w:w w:val="51"/>
        </w:rPr>
        <w:t>ꎻ</w:t>
      </w:r>
    </w:p>
    <w:p>
      <w:pPr>
        <w:pStyle w:val="6"/>
        <w:spacing w:line="241" w:lineRule="exact"/>
        <w:ind w:left="677" w:firstLine="0"/>
        <w:jc w:val="left"/>
      </w:pPr>
      <w:r>
        <w:rPr>
          <w:spacing w:val="4"/>
          <w:w w:val="28"/>
        </w:rPr>
        <w:t>ｆ</w:t>
      </w:r>
      <w:r>
        <w:rPr>
          <w:rFonts w:hint="eastAsia" w:ascii="MS UI Gothic" w:hAnsi="MS UI Gothic" w:eastAsia="MS UI Gothic"/>
          <w:spacing w:val="-67"/>
          <w:w w:val="153"/>
        </w:rPr>
        <w:t>———</w:t>
      </w:r>
      <w:r>
        <w:rPr>
          <w:spacing w:val="3"/>
          <w:w w:val="102"/>
        </w:rPr>
        <w:t>绳端载荷的运行阻力系数</w:t>
      </w:r>
      <w:r>
        <w:rPr>
          <w:rFonts w:hint="eastAsia" w:ascii="MS UI Gothic" w:hAnsi="MS UI Gothic" w:eastAsia="MS UI Gothic"/>
          <w:w w:val="51"/>
        </w:rPr>
        <w:t>ꎬ</w:t>
      </w:r>
      <w:r>
        <w:rPr>
          <w:rFonts w:hint="eastAsia" w:ascii="MS UI Gothic" w:hAnsi="MS UI Gothic" w:eastAsia="MS UI Gothic"/>
          <w:spacing w:val="-6"/>
        </w:rPr>
        <w:t xml:space="preserve">  </w:t>
      </w:r>
      <w:r>
        <w:rPr>
          <w:w w:val="102"/>
        </w:rPr>
        <w:t>一</w:t>
      </w:r>
    </w:p>
    <w:p>
      <w:pPr>
        <w:spacing w:after="0" w:line="241" w:lineRule="exact"/>
        <w:jc w:val="left"/>
        <w:sectPr>
          <w:type w:val="continuous"/>
          <w:pgSz w:w="10500" w:h="14750"/>
          <w:pgMar w:top="1400" w:right="980" w:bottom="280" w:left="980" w:header="720" w:footer="720" w:gutter="0"/>
          <w:cols w:equalWidth="0" w:num="2">
            <w:col w:w="3934" w:space="258"/>
            <w:col w:w="4348"/>
          </w:cols>
        </w:sectPr>
      </w:pPr>
    </w:p>
    <w:p>
      <w:pPr>
        <w:pStyle w:val="6"/>
        <w:spacing w:before="88" w:line="310" w:lineRule="atLeast"/>
        <w:ind w:right="38"/>
        <w:jc w:val="left"/>
      </w:pPr>
      <w:r>
        <w:rPr>
          <w:rFonts w:hint="eastAsia" w:ascii="MS UI Gothic" w:eastAsia="MS UI Gothic"/>
          <w:spacing w:val="-42"/>
          <w:w w:val="150"/>
        </w:rPr>
        <w:t xml:space="preserve">( </w:t>
      </w:r>
      <w:r>
        <w:rPr>
          <w:spacing w:val="3"/>
          <w:w w:val="110"/>
        </w:rPr>
        <w:t>一</w:t>
      </w:r>
      <w:r>
        <w:rPr>
          <w:rFonts w:hint="eastAsia" w:ascii="MS UI Gothic" w:eastAsia="MS UI Gothic"/>
          <w:spacing w:val="-18"/>
          <w:w w:val="150"/>
        </w:rPr>
        <w:t xml:space="preserve">) </w:t>
      </w:r>
      <w:r>
        <w:rPr>
          <w:spacing w:val="5"/>
          <w:w w:val="110"/>
        </w:rPr>
        <w:t>制动闸空动时间</w:t>
      </w:r>
      <w:r>
        <w:rPr>
          <w:rFonts w:hint="eastAsia" w:ascii="MS UI Gothic" w:eastAsia="MS UI Gothic"/>
          <w:spacing w:val="-46"/>
          <w:w w:val="230"/>
        </w:rPr>
        <w:t xml:space="preserve">: </w:t>
      </w:r>
      <w:r>
        <w:rPr>
          <w:spacing w:val="8"/>
          <w:w w:val="110"/>
        </w:rPr>
        <w:t>盘式制动装</w:t>
      </w:r>
      <w:r>
        <w:rPr>
          <w:spacing w:val="-10"/>
          <w:w w:val="105"/>
        </w:rPr>
        <w:t xml:space="preserve">置不得超过 </w:t>
      </w:r>
      <w:r>
        <w:rPr>
          <w:rFonts w:hint="eastAsia" w:ascii="MS UI Gothic" w:eastAsia="MS UI Gothic"/>
          <w:w w:val="80"/>
        </w:rPr>
        <w:t>０</w:t>
      </w:r>
      <w:r>
        <w:rPr>
          <w:rFonts w:hint="eastAsia" w:ascii="MS UI Gothic" w:eastAsia="MS UI Gothic"/>
          <w:spacing w:val="-6"/>
          <w:w w:val="80"/>
        </w:rPr>
        <w:t xml:space="preserve"> ３ </w:t>
      </w:r>
      <w:r>
        <w:rPr>
          <w:rFonts w:hint="eastAsia" w:ascii="MS UI Gothic" w:eastAsia="MS UI Gothic"/>
          <w:spacing w:val="3"/>
          <w:w w:val="80"/>
        </w:rPr>
        <w:t>ｓ</w:t>
      </w:r>
      <w:r>
        <w:rPr>
          <w:rFonts w:hint="eastAsia" w:ascii="MS UI Gothic" w:eastAsia="MS UI Gothic"/>
          <w:spacing w:val="9"/>
          <w:w w:val="80"/>
        </w:rPr>
        <w:t xml:space="preserve">ꎬ </w:t>
      </w:r>
      <w:r>
        <w:rPr>
          <w:spacing w:val="11"/>
          <w:w w:val="105"/>
        </w:rPr>
        <w:t>径向制动装置不得超</w:t>
      </w:r>
    </w:p>
    <w:p>
      <w:pPr>
        <w:pStyle w:val="6"/>
        <w:spacing w:before="74"/>
        <w:ind w:left="738" w:firstLine="0"/>
        <w:jc w:val="left"/>
        <w:rPr>
          <w:rFonts w:hint="eastAsia" w:ascii="MS UI Gothic" w:eastAsia="MS UI Gothic"/>
        </w:rPr>
      </w:pPr>
      <w:r>
        <w:br w:type="column"/>
      </w:r>
      <w:r>
        <w:rPr>
          <w:w w:val="95"/>
        </w:rPr>
        <w:t xml:space="preserve">般取 </w:t>
      </w:r>
      <w:r>
        <w:rPr>
          <w:rFonts w:hint="eastAsia" w:ascii="MS UI Gothic" w:eastAsia="MS UI Gothic"/>
          <w:w w:val="95"/>
        </w:rPr>
        <w:t xml:space="preserve">０ ０１０ </w:t>
      </w:r>
      <w:r>
        <w:rPr>
          <w:rFonts w:hint="eastAsia" w:ascii="MS UI Gothic" w:eastAsia="MS UI Gothic"/>
          <w:w w:val="110"/>
        </w:rPr>
        <w:t xml:space="preserve">~ </w:t>
      </w:r>
      <w:r>
        <w:rPr>
          <w:rFonts w:hint="eastAsia" w:ascii="MS UI Gothic" w:eastAsia="MS UI Gothic"/>
          <w:w w:val="95"/>
        </w:rPr>
        <w:t>０ ０１５</w:t>
      </w:r>
      <w:r>
        <w:rPr>
          <w:rFonts w:hint="eastAsia" w:ascii="MS UI Gothic" w:eastAsia="MS UI Gothic"/>
          <w:w w:val="85"/>
        </w:rPr>
        <w:t>ꎮ</w:t>
      </w:r>
    </w:p>
    <w:p>
      <w:pPr>
        <w:pStyle w:val="6"/>
        <w:spacing w:before="60" w:line="244" w:lineRule="exact"/>
        <w:ind w:firstLine="0"/>
        <w:jc w:val="left"/>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摩擦式提升机安全制动时</w:t>
      </w:r>
      <w:r>
        <w:rPr>
          <w:rFonts w:hint="eastAsia" w:ascii="MS UI Gothic" w:eastAsia="MS UI Gothic"/>
          <w:w w:val="80"/>
        </w:rPr>
        <w:t xml:space="preserve">ꎬ </w:t>
      </w:r>
      <w:r>
        <w:rPr>
          <w:w w:val="110"/>
        </w:rPr>
        <w:t>除</w:t>
      </w:r>
    </w:p>
    <w:p>
      <w:pPr>
        <w:spacing w:after="0" w:line="244" w:lineRule="exact"/>
        <w:jc w:val="left"/>
        <w:sectPr>
          <w:type w:val="continuous"/>
          <w:pgSz w:w="10500" w:h="14750"/>
          <w:pgMar w:top="1400" w:right="980" w:bottom="280" w:left="980" w:header="720" w:footer="720" w:gutter="0"/>
          <w:cols w:equalWidth="0" w:num="2">
            <w:col w:w="3934" w:space="677"/>
            <w:col w:w="3929"/>
          </w:cols>
        </w:sectPr>
      </w:pPr>
    </w:p>
    <w:p>
      <w:pPr>
        <w:pStyle w:val="6"/>
        <w:spacing w:before="63"/>
        <w:ind w:firstLine="0"/>
        <w:jc w:val="left"/>
        <w:rPr>
          <w:rFonts w:hint="eastAsia" w:ascii="MS UI Gothic" w:eastAsia="MS UI Gothic"/>
        </w:rPr>
      </w:pPr>
      <w:r>
        <w:rPr>
          <w:w w:val="95"/>
        </w:rPr>
        <w:t xml:space="preserve">过 </w:t>
      </w:r>
      <w:r>
        <w:rPr>
          <w:rFonts w:hint="eastAsia" w:ascii="MS UI Gothic" w:eastAsia="MS UI Gothic"/>
          <w:w w:val="95"/>
        </w:rPr>
        <w:t>０ ５ ｓ</w:t>
      </w:r>
      <w:r>
        <w:rPr>
          <w:rFonts w:hint="eastAsia" w:ascii="MS UI Gothic" w:eastAsia="MS UI Gothic"/>
          <w:w w:val="85"/>
        </w:rPr>
        <w:t>ꎮ</w:t>
      </w:r>
    </w:p>
    <w:p>
      <w:pPr>
        <w:pStyle w:val="6"/>
        <w:spacing w:before="58" w:line="295" w:lineRule="auto"/>
        <w:ind w:right="38"/>
        <w:rPr>
          <w:rFonts w:hint="eastAsia" w:ascii="MS UI Gothic" w:eastAsia="MS UI Gothic"/>
        </w:rPr>
      </w:pPr>
      <w:r>
        <w:rPr>
          <w:rFonts w:hint="eastAsia" w:ascii="MS UI Gothic" w:eastAsia="MS UI Gothic"/>
          <w:w w:val="145"/>
        </w:rPr>
        <w:t xml:space="preserve">( </w:t>
      </w:r>
      <w:r>
        <w:rPr>
          <w:w w:val="105"/>
        </w:rPr>
        <w:t>二</w:t>
      </w:r>
      <w:r>
        <w:rPr>
          <w:rFonts w:hint="eastAsia" w:ascii="MS UI Gothic" w:eastAsia="MS UI Gothic"/>
          <w:w w:val="145"/>
        </w:rPr>
        <w:t xml:space="preserve">) </w:t>
      </w:r>
      <w:r>
        <w:rPr>
          <w:w w:val="105"/>
        </w:rPr>
        <w:t xml:space="preserve">盘形闸的闸瓦与闸盘之间的间隙不得超过 </w:t>
      </w:r>
      <w:r>
        <w:rPr>
          <w:rFonts w:hint="eastAsia" w:ascii="MS UI Gothic" w:eastAsia="MS UI Gothic"/>
          <w:w w:val="85"/>
        </w:rPr>
        <w:t>２ ｍｍꎮ</w:t>
      </w:r>
    </w:p>
    <w:p>
      <w:pPr>
        <w:pStyle w:val="6"/>
        <w:spacing w:line="295" w:lineRule="auto"/>
        <w:ind w:right="38"/>
        <w:rPr>
          <w:rFonts w:hint="eastAsia" w:ascii="MS UI Gothic" w:eastAsia="MS UI Gothic"/>
        </w:rPr>
      </w:pPr>
      <w:r>
        <w:rPr>
          <w:rFonts w:hint="eastAsia" w:ascii="MS UI Gothic" w:eastAsia="MS UI Gothic"/>
          <w:w w:val="110"/>
        </w:rPr>
        <w:t xml:space="preserve">( </w:t>
      </w:r>
      <w:r>
        <w:rPr>
          <w:w w:val="110"/>
        </w:rPr>
        <w:t>三</w:t>
      </w:r>
      <w:r>
        <w:rPr>
          <w:rFonts w:hint="eastAsia" w:ascii="MS UI Gothic" w:eastAsia="MS UI Gothic"/>
          <w:w w:val="110"/>
        </w:rPr>
        <w:t xml:space="preserve">) </w:t>
      </w:r>
      <w:r>
        <w:rPr>
          <w:w w:val="110"/>
        </w:rPr>
        <w:t>制动力矩倍数必须符合下列</w:t>
      </w:r>
      <w:r>
        <w:rPr>
          <w:w w:val="115"/>
        </w:rPr>
        <w:t>要求</w:t>
      </w:r>
      <w:r>
        <w:rPr>
          <w:rFonts w:hint="eastAsia" w:ascii="MS UI Gothic" w:eastAsia="MS UI Gothic"/>
          <w:w w:val="235"/>
        </w:rPr>
        <w:t>:</w:t>
      </w:r>
    </w:p>
    <w:p>
      <w:pPr>
        <w:pStyle w:val="6"/>
        <w:spacing w:line="295" w:lineRule="auto"/>
        <w:ind w:right="38" w:firstLine="413"/>
        <w:rPr>
          <w:rFonts w:hint="eastAsia" w:ascii="MS UI Gothic" w:eastAsia="MS UI Gothic"/>
        </w:rPr>
      </w:pPr>
      <w:r>
        <w:rPr>
          <w:rFonts w:hint="eastAsia" w:ascii="MS UI Gothic" w:eastAsia="MS UI Gothic"/>
        </w:rPr>
        <w:t>１</w:t>
      </w:r>
      <w:r>
        <w:rPr>
          <w:rFonts w:hint="eastAsia" w:ascii="MS UI Gothic" w:eastAsia="MS UI Gothic"/>
          <w:spacing w:val="18"/>
        </w:rPr>
        <w:t xml:space="preserve"> </w:t>
      </w:r>
      <w:r>
        <w:rPr>
          <w:spacing w:val="12"/>
        </w:rPr>
        <w:t>制动装置产生的制动力矩与实际</w:t>
      </w:r>
      <w:r>
        <w:rPr>
          <w:spacing w:val="8"/>
        </w:rPr>
        <w:t xml:space="preserve">提升最大载荷旋转力矩之比 </w:t>
      </w:r>
      <w:r>
        <w:rPr>
          <w:spacing w:val="7"/>
          <w:w w:val="85"/>
        </w:rPr>
        <w:t xml:space="preserve">Ｋ </w:t>
      </w:r>
      <w:r>
        <w:rPr>
          <w:spacing w:val="12"/>
        </w:rPr>
        <w:t>值不得小</w:t>
      </w:r>
      <w:r>
        <w:rPr>
          <w:spacing w:val="-20"/>
        </w:rPr>
        <w:t xml:space="preserve">于 </w:t>
      </w:r>
      <w:r>
        <w:rPr>
          <w:rFonts w:hint="eastAsia" w:ascii="MS UI Gothic" w:eastAsia="MS UI Gothic"/>
          <w:spacing w:val="5"/>
        </w:rPr>
        <w:t>３</w:t>
      </w:r>
      <w:r>
        <w:rPr>
          <w:rFonts w:hint="eastAsia" w:ascii="MS UI Gothic" w:eastAsia="MS UI Gothic"/>
          <w:w w:val="85"/>
        </w:rPr>
        <w:t>ꎮ</w:t>
      </w:r>
    </w:p>
    <w:p>
      <w:pPr>
        <w:pStyle w:val="6"/>
        <w:spacing w:line="295" w:lineRule="auto"/>
        <w:ind w:right="38" w:firstLine="413"/>
        <w:rPr>
          <w:rFonts w:hint="eastAsia" w:ascii="MS UI Gothic" w:eastAsia="MS UI Gothic"/>
        </w:rPr>
      </w:pPr>
      <w:r>
        <w:rPr>
          <w:rFonts w:hint="eastAsia" w:ascii="MS UI Gothic" w:eastAsia="MS UI Gothic"/>
        </w:rPr>
        <w:t>２</w:t>
      </w:r>
      <w:r>
        <w:rPr>
          <w:rFonts w:hint="eastAsia" w:ascii="MS UI Gothic" w:eastAsia="MS UI Gothic"/>
          <w:spacing w:val="31"/>
        </w:rPr>
        <w:t xml:space="preserve"> </w:t>
      </w:r>
      <w:r>
        <w:rPr>
          <w:spacing w:val="13"/>
        </w:rPr>
        <w:t>对质量模数较小的提升机</w:t>
      </w:r>
      <w:r>
        <w:rPr>
          <w:rFonts w:hint="eastAsia" w:ascii="MS UI Gothic" w:eastAsia="MS UI Gothic"/>
          <w:spacing w:val="23"/>
          <w:w w:val="85"/>
        </w:rPr>
        <w:t xml:space="preserve">ꎬ </w:t>
      </w:r>
      <w:r>
        <w:rPr>
          <w:spacing w:val="9"/>
        </w:rPr>
        <w:t>上提</w:t>
      </w:r>
      <w:r>
        <w:rPr>
          <w:spacing w:val="2"/>
        </w:rPr>
        <w:t>重载保险闸的制动减速度超过本规程规定</w:t>
      </w:r>
      <w:r>
        <w:rPr>
          <w:spacing w:val="4"/>
        </w:rPr>
        <w:t>值时</w:t>
      </w:r>
      <w:r>
        <w:rPr>
          <w:rFonts w:hint="eastAsia" w:ascii="MS UI Gothic" w:eastAsia="MS UI Gothic"/>
          <w:spacing w:val="21"/>
          <w:w w:val="85"/>
        </w:rPr>
        <w:t xml:space="preserve">ꎬ </w:t>
      </w:r>
      <w:r>
        <w:rPr>
          <w:spacing w:val="2"/>
          <w:w w:val="85"/>
        </w:rPr>
        <w:t xml:space="preserve">Ｋ </w:t>
      </w:r>
      <w:r>
        <w:rPr>
          <w:spacing w:val="34"/>
        </w:rPr>
        <w:t>值可以适当降低</w:t>
      </w:r>
      <w:r>
        <w:rPr>
          <w:rFonts w:hint="eastAsia" w:ascii="MS UI Gothic" w:eastAsia="MS UI Gothic"/>
          <w:spacing w:val="22"/>
          <w:w w:val="85"/>
        </w:rPr>
        <w:t xml:space="preserve">ꎬ </w:t>
      </w:r>
      <w:r>
        <w:rPr>
          <w:spacing w:val="30"/>
        </w:rPr>
        <w:t>但不得小</w:t>
      </w:r>
      <w:r>
        <w:rPr>
          <w:spacing w:val="-11"/>
        </w:rPr>
        <w:t xml:space="preserve">于 </w:t>
      </w:r>
      <w:r>
        <w:rPr>
          <w:rFonts w:hint="eastAsia" w:ascii="MS UI Gothic" w:eastAsia="MS UI Gothic"/>
          <w:spacing w:val="5"/>
        </w:rPr>
        <w:t>２</w:t>
      </w:r>
      <w:r>
        <w:rPr>
          <w:rFonts w:hint="eastAsia" w:ascii="MS UI Gothic" w:eastAsia="MS UI Gothic"/>
          <w:w w:val="85"/>
        </w:rPr>
        <w:t>ꎮ</w:t>
      </w:r>
    </w:p>
    <w:p>
      <w:pPr>
        <w:pStyle w:val="6"/>
        <w:spacing w:line="295" w:lineRule="auto"/>
        <w:ind w:right="38" w:firstLine="413"/>
        <w:rPr>
          <w:rFonts w:hint="eastAsia" w:ascii="MS UI Gothic" w:eastAsia="MS UI Gothic"/>
        </w:rPr>
      </w:pPr>
      <w:r>
        <w:rPr>
          <w:rFonts w:hint="eastAsia" w:ascii="MS UI Gothic" w:eastAsia="MS UI Gothic"/>
        </w:rPr>
        <w:t>３</w:t>
      </w:r>
      <w:r>
        <w:rPr>
          <w:rFonts w:hint="eastAsia" w:ascii="MS UI Gothic" w:eastAsia="MS UI Gothic"/>
          <w:spacing w:val="18"/>
        </w:rPr>
        <w:t xml:space="preserve"> </w:t>
      </w:r>
      <w:r>
        <w:rPr>
          <w:spacing w:val="12"/>
        </w:rPr>
        <w:t>在调整双滚筒提升机滚筒旋转的</w:t>
      </w:r>
      <w:r>
        <w:rPr>
          <w:spacing w:val="3"/>
        </w:rPr>
        <w:t>相对位置时</w:t>
      </w:r>
      <w:r>
        <w:rPr>
          <w:rFonts w:hint="eastAsia" w:ascii="MS UI Gothic" w:eastAsia="MS UI Gothic"/>
          <w:spacing w:val="21"/>
          <w:w w:val="80"/>
        </w:rPr>
        <w:t xml:space="preserve">ꎬ </w:t>
      </w:r>
      <w:r>
        <w:rPr>
          <w:spacing w:val="2"/>
        </w:rPr>
        <w:t>制动装置在各滚筒闸轮上所</w:t>
      </w:r>
      <w:r>
        <w:rPr>
          <w:spacing w:val="10"/>
        </w:rPr>
        <w:t>产生的力矩</w:t>
      </w:r>
      <w:r>
        <w:rPr>
          <w:rFonts w:hint="eastAsia" w:ascii="MS UI Gothic" w:eastAsia="MS UI Gothic"/>
          <w:w w:val="80"/>
        </w:rPr>
        <w:t xml:space="preserve">ꎬ  </w:t>
      </w:r>
      <w:r>
        <w:rPr>
          <w:spacing w:val="17"/>
        </w:rPr>
        <w:t xml:space="preserve">不得小于该滚筒所悬重量 </w:t>
      </w:r>
      <w:r>
        <w:rPr>
          <w:rFonts w:hint="eastAsia" w:ascii="MS UI Gothic" w:eastAsia="MS UI Gothic"/>
          <w:spacing w:val="-18"/>
          <w:w w:val="145"/>
        </w:rPr>
        <w:t xml:space="preserve">( </w:t>
      </w:r>
      <w:r>
        <w:rPr>
          <w:spacing w:val="4"/>
        </w:rPr>
        <w:t>钢丝绳重量与提升容器重量之和</w:t>
      </w:r>
      <w:r>
        <w:rPr>
          <w:rFonts w:hint="eastAsia" w:ascii="MS UI Gothic" w:eastAsia="MS UI Gothic"/>
          <w:spacing w:val="24"/>
          <w:w w:val="145"/>
        </w:rPr>
        <w:t xml:space="preserve">) </w:t>
      </w:r>
      <w:r>
        <w:rPr>
          <w:spacing w:val="4"/>
        </w:rPr>
        <w:t>形成</w:t>
      </w:r>
      <w:r>
        <w:rPr>
          <w:spacing w:val="-6"/>
        </w:rPr>
        <w:t xml:space="preserve">的旋转力矩的 </w:t>
      </w:r>
      <w:r>
        <w:rPr>
          <w:rFonts w:hint="eastAsia" w:ascii="MS UI Gothic" w:eastAsia="MS UI Gothic"/>
        </w:rPr>
        <w:t>１</w:t>
      </w:r>
      <w:r>
        <w:rPr>
          <w:rFonts w:hint="eastAsia" w:ascii="MS UI Gothic" w:eastAsia="MS UI Gothic"/>
          <w:spacing w:val="-6"/>
        </w:rPr>
        <w:t xml:space="preserve"> ２ </w:t>
      </w:r>
      <w:r>
        <w:rPr>
          <w:spacing w:val="3"/>
        </w:rPr>
        <w:t>倍</w:t>
      </w:r>
      <w:r>
        <w:rPr>
          <w:rFonts w:hint="eastAsia" w:ascii="MS UI Gothic" w:eastAsia="MS UI Gothic"/>
          <w:w w:val="80"/>
        </w:rPr>
        <w:t>ꎮ</w:t>
      </w:r>
    </w:p>
    <w:p>
      <w:pPr>
        <w:pStyle w:val="6"/>
        <w:spacing w:line="295" w:lineRule="auto"/>
        <w:ind w:left="118" w:right="38"/>
        <w:rPr>
          <w:rFonts w:hint="eastAsia" w:ascii="MS UI Gothic" w:eastAsia="MS UI Gothic"/>
        </w:rPr>
      </w:pPr>
      <w:r>
        <w:rPr>
          <w:rFonts w:hint="eastAsia" w:ascii="MS UI Gothic" w:eastAsia="MS UI Gothic"/>
          <w:w w:val="85"/>
        </w:rPr>
        <w:t xml:space="preserve">４ </w:t>
      </w:r>
      <w:r>
        <w:t>计算制动力矩时</w:t>
      </w:r>
      <w:r>
        <w:rPr>
          <w:rFonts w:hint="eastAsia" w:ascii="MS UI Gothic" w:eastAsia="MS UI Gothic"/>
          <w:w w:val="85"/>
        </w:rPr>
        <w:t xml:space="preserve">ꎬ </w:t>
      </w:r>
      <w:r>
        <w:t>闸轮和闸瓦的摩擦系数应当根据实测确定</w:t>
      </w:r>
      <w:r>
        <w:rPr>
          <w:rFonts w:hint="eastAsia" w:ascii="MS UI Gothic" w:eastAsia="MS UI Gothic"/>
          <w:w w:val="85"/>
        </w:rPr>
        <w:t xml:space="preserve">ꎬ </w:t>
      </w:r>
      <w:r>
        <w:t>一般采用</w:t>
      </w:r>
      <w:r>
        <w:rPr>
          <w:rFonts w:hint="eastAsia" w:ascii="MS UI Gothic" w:eastAsia="MS UI Gothic"/>
          <w:w w:val="85"/>
        </w:rPr>
        <w:t xml:space="preserve">０ ３０ </w:t>
      </w:r>
      <w:r>
        <w:rPr>
          <w:rFonts w:hint="eastAsia" w:ascii="MS UI Gothic" w:eastAsia="MS UI Gothic"/>
          <w:w w:val="115"/>
        </w:rPr>
        <w:t xml:space="preserve">~ </w:t>
      </w:r>
      <w:r>
        <w:rPr>
          <w:rFonts w:hint="eastAsia" w:ascii="MS UI Gothic" w:eastAsia="MS UI Gothic"/>
          <w:w w:val="85"/>
        </w:rPr>
        <w:t>０ ３５ꎮ</w:t>
      </w:r>
    </w:p>
    <w:p>
      <w:pPr>
        <w:pStyle w:val="6"/>
        <w:spacing w:line="295" w:lineRule="auto"/>
        <w:ind w:right="38"/>
        <w:rPr>
          <w:rFonts w:hint="eastAsia" w:ascii="MS UI Gothic" w:eastAsia="MS UI Gothic"/>
        </w:rPr>
      </w:pPr>
      <w:r>
        <w:rPr>
          <w:w w:val="105"/>
        </w:rPr>
        <w:t>第四百二十七条 各类提升机的制动</w:t>
      </w:r>
      <w:r>
        <w:t>装置发生作用时</w:t>
      </w:r>
      <w:r>
        <w:rPr>
          <w:rFonts w:hint="eastAsia" w:ascii="MS UI Gothic" w:eastAsia="MS UI Gothic"/>
          <w:w w:val="80"/>
        </w:rPr>
        <w:t xml:space="preserve">ꎬ </w:t>
      </w:r>
      <w:r>
        <w:t>提升系统的安全制动减</w:t>
      </w:r>
      <w:r>
        <w:rPr>
          <w:w w:val="105"/>
        </w:rPr>
        <w:t>速度</w:t>
      </w:r>
      <w:r>
        <w:rPr>
          <w:rFonts w:hint="eastAsia" w:ascii="MS UI Gothic" w:eastAsia="MS UI Gothic"/>
          <w:w w:val="80"/>
        </w:rPr>
        <w:t xml:space="preserve">ꎬ </w:t>
      </w:r>
      <w:r>
        <w:rPr>
          <w:w w:val="105"/>
        </w:rPr>
        <w:t>必须符合下列要求</w:t>
      </w:r>
      <w:r>
        <w:rPr>
          <w:rFonts w:hint="eastAsia" w:ascii="MS UI Gothic" w:eastAsia="MS UI Gothic"/>
          <w:w w:val="235"/>
        </w:rPr>
        <w:t>:</w:t>
      </w:r>
    </w:p>
    <w:p>
      <w:pPr>
        <w:pStyle w:val="6"/>
        <w:spacing w:before="1" w:line="295" w:lineRule="auto"/>
        <w:ind w:left="118" w:right="442" w:firstLine="0"/>
        <w:rPr>
          <w:rFonts w:hint="eastAsia" w:ascii="MS UI Gothic" w:eastAsia="MS UI Gothic"/>
        </w:rPr>
      </w:pPr>
      <w:r>
        <w:br w:type="column"/>
      </w:r>
      <w:r>
        <w:rPr>
          <w:w w:val="105"/>
        </w:rPr>
        <w:t xml:space="preserve">必须符合表 </w:t>
      </w:r>
      <w:r>
        <w:rPr>
          <w:rFonts w:hint="eastAsia" w:ascii="MS UI Gothic" w:eastAsia="MS UI Gothic"/>
          <w:w w:val="80"/>
        </w:rPr>
        <w:t xml:space="preserve">１５ </w:t>
      </w:r>
      <w:r>
        <w:rPr>
          <w:w w:val="105"/>
        </w:rPr>
        <w:t>的要求外</w:t>
      </w:r>
      <w:r>
        <w:rPr>
          <w:rFonts w:hint="eastAsia" w:ascii="MS UI Gothic" w:eastAsia="MS UI Gothic"/>
          <w:w w:val="80"/>
        </w:rPr>
        <w:t xml:space="preserve">ꎬ </w:t>
      </w:r>
      <w:r>
        <w:rPr>
          <w:w w:val="105"/>
        </w:rPr>
        <w:t>还必须符合下</w:t>
      </w:r>
      <w:r>
        <w:rPr>
          <w:w w:val="110"/>
        </w:rPr>
        <w:t>列防滑要求</w:t>
      </w:r>
      <w:r>
        <w:rPr>
          <w:rFonts w:hint="eastAsia" w:ascii="MS UI Gothic" w:eastAsia="MS UI Gothic"/>
          <w:w w:val="230"/>
        </w:rPr>
        <w:t>:</w:t>
      </w:r>
    </w:p>
    <w:p>
      <w:pPr>
        <w:pStyle w:val="6"/>
        <w:spacing w:before="2" w:line="297" w:lineRule="auto"/>
        <w:ind w:left="118" w:right="442" w:firstLine="413"/>
        <w:rPr>
          <w:rFonts w:hint="eastAsia" w:ascii="MS UI Gothic" w:eastAsia="MS UI Gothic"/>
        </w:rPr>
      </w:pPr>
      <w:r>
        <w:rPr>
          <w:rFonts w:hint="eastAsia" w:ascii="MS UI Gothic" w:eastAsia="MS UI Gothic"/>
          <w:w w:val="80"/>
        </w:rPr>
        <w:t xml:space="preserve">１ </w:t>
      </w:r>
      <w:r>
        <w:rPr>
          <w:w w:val="105"/>
        </w:rPr>
        <w:t xml:space="preserve">在各种载荷 </w:t>
      </w:r>
      <w:r>
        <w:rPr>
          <w:rFonts w:hint="eastAsia" w:ascii="MS UI Gothic" w:eastAsia="MS UI Gothic"/>
          <w:w w:val="145"/>
        </w:rPr>
        <w:t xml:space="preserve">( </w:t>
      </w:r>
      <w:r>
        <w:rPr>
          <w:w w:val="105"/>
        </w:rPr>
        <w:t>满载或者空载</w:t>
      </w:r>
      <w:r>
        <w:rPr>
          <w:rFonts w:hint="eastAsia" w:ascii="MS UI Gothic" w:eastAsia="MS UI Gothic"/>
          <w:w w:val="145"/>
        </w:rPr>
        <w:t xml:space="preserve">) </w:t>
      </w:r>
      <w:r>
        <w:rPr>
          <w:w w:val="105"/>
        </w:rPr>
        <w:t xml:space="preserve">和提升状态 </w:t>
      </w:r>
      <w:r>
        <w:rPr>
          <w:rFonts w:hint="eastAsia" w:ascii="MS UI Gothic" w:eastAsia="MS UI Gothic"/>
          <w:w w:val="145"/>
        </w:rPr>
        <w:t xml:space="preserve">( </w:t>
      </w:r>
      <w:r>
        <w:rPr>
          <w:w w:val="105"/>
        </w:rPr>
        <w:t>上提或者下放重物</w:t>
      </w:r>
      <w:r>
        <w:rPr>
          <w:rFonts w:hint="eastAsia" w:ascii="MS UI Gothic" w:eastAsia="MS UI Gothic"/>
          <w:w w:val="145"/>
        </w:rPr>
        <w:t xml:space="preserve">) </w:t>
      </w:r>
      <w:r>
        <w:rPr>
          <w:w w:val="105"/>
        </w:rPr>
        <w:t>下</w:t>
      </w:r>
      <w:r>
        <w:rPr>
          <w:rFonts w:hint="eastAsia" w:ascii="MS UI Gothic" w:eastAsia="MS UI Gothic"/>
          <w:w w:val="80"/>
        </w:rPr>
        <w:t xml:space="preserve">ꎬ </w:t>
      </w:r>
      <w:r>
        <w:rPr>
          <w:w w:val="105"/>
        </w:rPr>
        <w:t>制</w:t>
      </w:r>
      <w:r>
        <w:t>动装置所产生的制动减速度计算值不得超过滑动极限</w:t>
      </w:r>
      <w:r>
        <w:rPr>
          <w:rFonts w:hint="eastAsia" w:ascii="MS UI Gothic" w:eastAsia="MS UI Gothic"/>
          <w:w w:val="80"/>
        </w:rPr>
        <w:t xml:space="preserve">ꎮ </w:t>
      </w:r>
      <w:r>
        <w:t xml:space="preserve">钢丝绳与摩擦轮衬垫间摩擦系数的取值不得大于 </w:t>
      </w:r>
      <w:r>
        <w:rPr>
          <w:rFonts w:hint="eastAsia" w:ascii="MS UI Gothic" w:eastAsia="MS UI Gothic"/>
          <w:w w:val="80"/>
        </w:rPr>
        <w:t xml:space="preserve">０ ２５ꎮ </w:t>
      </w:r>
      <w:r>
        <w:t>由钢丝绳自重</w:t>
      </w:r>
      <w:r>
        <w:rPr>
          <w:w w:val="105"/>
        </w:rPr>
        <w:t>所引起的不平衡重必须计入</w:t>
      </w:r>
      <w:r>
        <w:rPr>
          <w:rFonts w:hint="eastAsia" w:ascii="MS UI Gothic" w:eastAsia="MS UI Gothic"/>
          <w:w w:val="80"/>
        </w:rPr>
        <w:t>ꎮ</w:t>
      </w:r>
    </w:p>
    <w:p>
      <w:pPr>
        <w:pStyle w:val="6"/>
        <w:spacing w:line="295" w:lineRule="auto"/>
        <w:ind w:left="118" w:right="442" w:firstLine="413"/>
        <w:rPr>
          <w:rFonts w:hint="eastAsia" w:ascii="MS UI Gothic" w:eastAsia="MS UI Gothic"/>
        </w:rPr>
      </w:pPr>
      <w:r>
        <w:rPr>
          <w:rFonts w:hint="eastAsia" w:ascii="MS UI Gothic" w:eastAsia="MS UI Gothic"/>
        </w:rPr>
        <w:t xml:space="preserve">２ </w:t>
      </w:r>
      <w:r>
        <w:t>在各种载荷和提升状态下</w:t>
      </w:r>
      <w:r>
        <w:rPr>
          <w:rFonts w:hint="eastAsia" w:ascii="MS UI Gothic" w:eastAsia="MS UI Gothic"/>
          <w:w w:val="85"/>
        </w:rPr>
        <w:t xml:space="preserve">ꎬ </w:t>
      </w:r>
      <w:r>
        <w:t>制动装置发生作用时</w:t>
      </w:r>
      <w:r>
        <w:rPr>
          <w:rFonts w:hint="eastAsia" w:ascii="MS UI Gothic" w:eastAsia="MS UI Gothic"/>
          <w:w w:val="85"/>
        </w:rPr>
        <w:t xml:space="preserve">ꎬ </w:t>
      </w:r>
      <w:r>
        <w:t>钢丝绳都不出现滑动</w:t>
      </w:r>
      <w:r>
        <w:rPr>
          <w:rFonts w:hint="eastAsia" w:ascii="MS UI Gothic" w:eastAsia="MS UI Gothic"/>
          <w:w w:val="85"/>
        </w:rPr>
        <w:t>ꎮ</w:t>
      </w:r>
    </w:p>
    <w:p>
      <w:pPr>
        <w:pStyle w:val="6"/>
        <w:spacing w:before="1" w:line="297" w:lineRule="auto"/>
        <w:ind w:left="118" w:right="442"/>
        <w:rPr>
          <w:rFonts w:hint="eastAsia" w:ascii="MS UI Gothic" w:eastAsia="MS UI Gothic"/>
        </w:rPr>
      </w:pPr>
      <w:r>
        <w:rPr>
          <w:spacing w:val="3"/>
          <w:w w:val="105"/>
        </w:rPr>
        <w:t>计算或者验算时</w:t>
      </w:r>
      <w:r>
        <w:rPr>
          <w:rFonts w:hint="eastAsia" w:ascii="MS UI Gothic" w:eastAsia="MS UI Gothic"/>
          <w:spacing w:val="14"/>
          <w:w w:val="80"/>
        </w:rPr>
        <w:t xml:space="preserve">ꎬ </w:t>
      </w:r>
      <w:r>
        <w:rPr>
          <w:spacing w:val="-10"/>
          <w:w w:val="105"/>
        </w:rPr>
        <w:t xml:space="preserve">以本条第 </w:t>
      </w:r>
      <w:r>
        <w:rPr>
          <w:rFonts w:hint="eastAsia" w:ascii="MS UI Gothic" w:eastAsia="MS UI Gothic"/>
          <w:spacing w:val="-38"/>
          <w:w w:val="150"/>
        </w:rPr>
        <w:t xml:space="preserve">( </w:t>
      </w:r>
      <w:r>
        <w:rPr>
          <w:spacing w:val="3"/>
          <w:w w:val="105"/>
        </w:rPr>
        <w:t>二</w:t>
      </w:r>
      <w:r>
        <w:rPr>
          <w:rFonts w:hint="eastAsia" w:ascii="MS UI Gothic" w:eastAsia="MS UI Gothic"/>
          <w:spacing w:val="1"/>
          <w:w w:val="150"/>
        </w:rPr>
        <w:t xml:space="preserve">) </w:t>
      </w:r>
      <w:r>
        <w:rPr>
          <w:w w:val="105"/>
        </w:rPr>
        <w:t>款</w:t>
      </w:r>
      <w:r>
        <w:rPr>
          <w:spacing w:val="-36"/>
          <w:w w:val="105"/>
        </w:rPr>
        <w:t xml:space="preserve">第 </w:t>
      </w:r>
      <w:r>
        <w:rPr>
          <w:rFonts w:hint="eastAsia" w:ascii="MS UI Gothic" w:eastAsia="MS UI Gothic"/>
          <w:spacing w:val="-5"/>
          <w:w w:val="80"/>
        </w:rPr>
        <w:t xml:space="preserve">１ </w:t>
      </w:r>
      <w:r>
        <w:rPr>
          <w:spacing w:val="5"/>
          <w:w w:val="105"/>
        </w:rPr>
        <w:t>项为准</w:t>
      </w:r>
      <w:r>
        <w:rPr>
          <w:rFonts w:hint="eastAsia" w:ascii="MS UI Gothic" w:eastAsia="MS UI Gothic"/>
          <w:spacing w:val="14"/>
          <w:w w:val="80"/>
        </w:rPr>
        <w:t xml:space="preserve">ꎻ </w:t>
      </w:r>
      <w:r>
        <w:rPr>
          <w:spacing w:val="9"/>
          <w:w w:val="105"/>
        </w:rPr>
        <w:t>在用设备</w:t>
      </w:r>
      <w:r>
        <w:rPr>
          <w:rFonts w:hint="eastAsia" w:ascii="MS UI Gothic" w:eastAsia="MS UI Gothic"/>
          <w:spacing w:val="14"/>
          <w:w w:val="80"/>
        </w:rPr>
        <w:t xml:space="preserve">ꎬ </w:t>
      </w:r>
      <w:r>
        <w:rPr>
          <w:spacing w:val="-3"/>
          <w:w w:val="105"/>
        </w:rPr>
        <w:t xml:space="preserve">以本条第 </w:t>
      </w:r>
      <w:r>
        <w:rPr>
          <w:rFonts w:hint="eastAsia" w:ascii="MS UI Gothic" w:eastAsia="MS UI Gothic"/>
          <w:spacing w:val="-36"/>
          <w:w w:val="150"/>
        </w:rPr>
        <w:t xml:space="preserve">( </w:t>
      </w:r>
      <w:r>
        <w:rPr>
          <w:spacing w:val="11"/>
          <w:w w:val="105"/>
        </w:rPr>
        <w:t>二</w:t>
      </w:r>
      <w:r>
        <w:rPr>
          <w:rFonts w:hint="eastAsia" w:ascii="MS UI Gothic" w:eastAsia="MS UI Gothic"/>
          <w:w w:val="150"/>
        </w:rPr>
        <w:t xml:space="preserve">) </w:t>
      </w:r>
      <w:r>
        <w:rPr>
          <w:spacing w:val="-19"/>
          <w:w w:val="105"/>
        </w:rPr>
        <w:t xml:space="preserve">款第 </w:t>
      </w:r>
      <w:r>
        <w:rPr>
          <w:rFonts w:hint="eastAsia" w:ascii="MS UI Gothic" w:eastAsia="MS UI Gothic"/>
          <w:spacing w:val="3"/>
          <w:w w:val="80"/>
        </w:rPr>
        <w:t xml:space="preserve">２ </w:t>
      </w:r>
      <w:r>
        <w:rPr>
          <w:spacing w:val="3"/>
          <w:w w:val="105"/>
        </w:rPr>
        <w:t>项为准</w:t>
      </w:r>
      <w:r>
        <w:rPr>
          <w:rFonts w:hint="eastAsia" w:ascii="MS UI Gothic" w:eastAsia="MS UI Gothic"/>
          <w:w w:val="80"/>
        </w:rPr>
        <w:t>ꎮ</w:t>
      </w:r>
    </w:p>
    <w:p>
      <w:pPr>
        <w:pStyle w:val="6"/>
        <w:spacing w:line="297" w:lineRule="auto"/>
        <w:ind w:left="118" w:right="442"/>
        <w:rPr>
          <w:rFonts w:hint="eastAsia" w:ascii="MS UI Gothic" w:eastAsia="MS UI Gothic"/>
        </w:rPr>
      </w:pPr>
      <w:r>
        <w:rPr>
          <w:w w:val="105"/>
        </w:rPr>
        <w:t>第四百二十八条 提升机操作必须遵</w:t>
      </w:r>
      <w:r>
        <w:rPr>
          <w:w w:val="110"/>
        </w:rPr>
        <w:t>守下列规定</w:t>
      </w:r>
      <w:r>
        <w:rPr>
          <w:rFonts w:hint="eastAsia" w:ascii="MS UI Gothic" w:eastAsia="MS UI Gothic"/>
          <w:w w:val="235"/>
        </w:rPr>
        <w:t>:</w:t>
      </w:r>
    </w:p>
    <w:p>
      <w:pPr>
        <w:pStyle w:val="6"/>
        <w:spacing w:line="297" w:lineRule="auto"/>
        <w:ind w:left="118"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主要提升装置应当配有正</w:t>
      </w:r>
      <w:r>
        <w:rPr>
          <w:rFonts w:hint="eastAsia" w:ascii="MS UI Gothic" w:eastAsia="MS UI Gothic"/>
          <w:w w:val="80"/>
        </w:rPr>
        <w:t xml:space="preserve">、 </w:t>
      </w:r>
      <w:r>
        <w:rPr>
          <w:w w:val="105"/>
        </w:rPr>
        <w:t>副</w:t>
      </w:r>
      <w:r>
        <w:t>司机</w:t>
      </w:r>
      <w:r>
        <w:rPr>
          <w:rFonts w:hint="eastAsia" w:ascii="MS UI Gothic" w:eastAsia="MS UI Gothic"/>
          <w:w w:val="80"/>
        </w:rPr>
        <w:t xml:space="preserve">ꎮ </w:t>
      </w:r>
      <w:r>
        <w:t>自动化运行的专用于提升物料的箕斗提升机</w:t>
      </w:r>
      <w:r>
        <w:rPr>
          <w:rFonts w:hint="eastAsia" w:ascii="MS UI Gothic" w:eastAsia="MS UI Gothic"/>
          <w:w w:val="80"/>
        </w:rPr>
        <w:t xml:space="preserve">ꎬ </w:t>
      </w:r>
      <w:r>
        <w:t>可不配备司机值守</w:t>
      </w:r>
      <w:r>
        <w:rPr>
          <w:rFonts w:hint="eastAsia" w:ascii="MS UI Gothic" w:eastAsia="MS UI Gothic"/>
          <w:w w:val="80"/>
        </w:rPr>
        <w:t xml:space="preserve">ꎬ </w:t>
      </w:r>
      <w:r>
        <w:t>但应当设</w:t>
      </w:r>
      <w:r>
        <w:rPr>
          <w:w w:val="105"/>
        </w:rPr>
        <w:t>图像监视并定时巡检</w:t>
      </w:r>
      <w:r>
        <w:rPr>
          <w:rFonts w:hint="eastAsia" w:ascii="MS UI Gothic" w:eastAsia="MS UI Gothic"/>
          <w:w w:val="80"/>
        </w:rPr>
        <w:t>ꎮ</w:t>
      </w:r>
    </w:p>
    <w:p>
      <w:pPr>
        <w:pStyle w:val="6"/>
        <w:spacing w:line="297" w:lineRule="auto"/>
        <w:ind w:left="118"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升降人员的主要提升装置在交</w:t>
      </w:r>
      <w:r>
        <w:t>接班升降人员的时间内</w:t>
      </w:r>
      <w:r>
        <w:rPr>
          <w:rFonts w:hint="eastAsia" w:ascii="MS UI Gothic" w:eastAsia="MS UI Gothic"/>
          <w:w w:val="80"/>
        </w:rPr>
        <w:t xml:space="preserve">ꎬ </w:t>
      </w:r>
      <w:r>
        <w:t>必须正司机操</w:t>
      </w:r>
      <w:r>
        <w:rPr>
          <w:w w:val="105"/>
        </w:rPr>
        <w:t>作</w:t>
      </w:r>
      <w:r>
        <w:rPr>
          <w:rFonts w:hint="eastAsia" w:ascii="MS UI Gothic" w:eastAsia="MS UI Gothic"/>
          <w:w w:val="80"/>
        </w:rPr>
        <w:t xml:space="preserve">ꎬ </w:t>
      </w:r>
      <w:r>
        <w:rPr>
          <w:w w:val="105"/>
        </w:rPr>
        <w:t>副司机监护</w:t>
      </w:r>
      <w:r>
        <w:rPr>
          <w:rFonts w:hint="eastAsia" w:ascii="MS UI Gothic" w:eastAsia="MS UI Gothic"/>
          <w:w w:val="80"/>
        </w:rPr>
        <w:t>ꎮ</w:t>
      </w:r>
    </w:p>
    <w:p>
      <w:pPr>
        <w:pStyle w:val="6"/>
        <w:spacing w:line="254" w:lineRule="exact"/>
        <w:ind w:left="538" w:firstLine="0"/>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每班升降人员前</w:t>
      </w:r>
      <w:r>
        <w:rPr>
          <w:rFonts w:hint="eastAsia" w:ascii="MS UI Gothic" w:eastAsia="MS UI Gothic"/>
          <w:w w:val="80"/>
        </w:rPr>
        <w:t xml:space="preserve">ꎬ </w:t>
      </w:r>
      <w:r>
        <w:rPr>
          <w:w w:val="110"/>
        </w:rPr>
        <w:t>应当先空载</w:t>
      </w:r>
    </w:p>
    <w:p>
      <w:pPr>
        <w:spacing w:after="0" w:line="254" w:lineRule="exact"/>
        <w:sectPr>
          <w:type w:val="continuous"/>
          <w:pgSz w:w="10500" w:h="14750"/>
          <w:pgMar w:top="1400" w:right="980" w:bottom="280" w:left="980" w:header="720" w:footer="720" w:gutter="0"/>
          <w:cols w:equalWidth="0" w:num="2">
            <w:col w:w="3934" w:space="264"/>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３０９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50" o:spid="_x0000_s1950" o:spt="203" style="height:2.15pt;width:398.25pt;" coordsize="7965,43">
            <o:lock v:ext="edit"/>
            <v:line id="_x0000_s1951" o:spid="_x0000_s1951" o:spt="20" style="position:absolute;left:0;top:39;height:0;width:7965;" stroked="t" coordsize="21600,21600">
              <v:path arrowok="t"/>
              <v:fill focussize="0,0"/>
              <v:stroke weight="0.388031496062992pt" color="#231F20"/>
              <v:imagedata o:title=""/>
              <o:lock v:ext="edit"/>
            </v:line>
            <v:line id="_x0000_s1952" o:spid="_x0000_s195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 xml:space="preserve">运行 </w:t>
      </w:r>
      <w:r>
        <w:rPr>
          <w:rFonts w:hint="eastAsia" w:ascii="MS UI Gothic" w:eastAsia="MS UI Gothic"/>
        </w:rPr>
        <w:t xml:space="preserve">１ </w:t>
      </w:r>
      <w:r>
        <w:t>次</w:t>
      </w:r>
      <w:r>
        <w:rPr>
          <w:rFonts w:hint="eastAsia" w:ascii="MS UI Gothic" w:eastAsia="MS UI Gothic"/>
          <w:w w:val="80"/>
        </w:rPr>
        <w:t xml:space="preserve">ꎬ </w:t>
      </w:r>
      <w:r>
        <w:t>检查提升机动作情况</w:t>
      </w:r>
      <w:r>
        <w:rPr>
          <w:rFonts w:hint="eastAsia" w:ascii="MS UI Gothic" w:eastAsia="MS UI Gothic"/>
          <w:w w:val="80"/>
        </w:rPr>
        <w:t xml:space="preserve">ꎻ </w:t>
      </w:r>
      <w:r>
        <w:t>但连续运转时</w:t>
      </w:r>
      <w:r>
        <w:rPr>
          <w:rFonts w:hint="eastAsia" w:ascii="MS UI Gothic" w:eastAsia="MS UI Gothic"/>
          <w:w w:val="80"/>
        </w:rPr>
        <w:t xml:space="preserve">ꎬ </w:t>
      </w:r>
      <w:r>
        <w:t>不受此限</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如发生故障</w:t>
      </w:r>
      <w:r>
        <w:rPr>
          <w:rFonts w:hint="eastAsia" w:ascii="MS UI Gothic" w:eastAsia="MS UI Gothic"/>
          <w:w w:val="80"/>
        </w:rPr>
        <w:t xml:space="preserve">ꎬ </w:t>
      </w:r>
      <w:r>
        <w:rPr>
          <w:w w:val="105"/>
        </w:rPr>
        <w:t>必须立即停止提升机运行</w:t>
      </w:r>
      <w:r>
        <w:rPr>
          <w:rFonts w:hint="eastAsia" w:ascii="MS UI Gothic" w:eastAsia="MS UI Gothic"/>
          <w:w w:val="80"/>
        </w:rPr>
        <w:t xml:space="preserve">ꎬ </w:t>
      </w:r>
      <w:r>
        <w:rPr>
          <w:w w:val="105"/>
        </w:rPr>
        <w:t>并向矿调度室报告</w:t>
      </w:r>
      <w:r>
        <w:rPr>
          <w:rFonts w:hint="eastAsia" w:ascii="MS UI Gothic" w:eastAsia="MS UI Gothic"/>
          <w:w w:val="80"/>
        </w:rPr>
        <w:t>ꎮ</w:t>
      </w:r>
    </w:p>
    <w:p>
      <w:pPr>
        <w:pStyle w:val="6"/>
        <w:spacing w:line="295" w:lineRule="auto"/>
        <w:ind w:left="435" w:right="1" w:firstLine="425"/>
      </w:pPr>
      <w:r>
        <w:rPr>
          <w:spacing w:val="4"/>
        </w:rPr>
        <w:t>第四百二十九条 新安装的矿井提升</w:t>
      </w:r>
      <w:r>
        <w:rPr>
          <w:spacing w:val="3"/>
        </w:rPr>
        <w:t>机</w:t>
      </w:r>
      <w:r>
        <w:rPr>
          <w:rFonts w:hint="eastAsia" w:ascii="MS UI Gothic" w:eastAsia="MS UI Gothic"/>
          <w:spacing w:val="23"/>
          <w:w w:val="80"/>
        </w:rPr>
        <w:t xml:space="preserve">ꎬ </w:t>
      </w:r>
      <w:r>
        <w:rPr>
          <w:spacing w:val="3"/>
        </w:rPr>
        <w:t>必须验收合格后方可投入运行</w:t>
      </w:r>
      <w:r>
        <w:rPr>
          <w:rFonts w:hint="eastAsia" w:ascii="MS UI Gothic" w:eastAsia="MS UI Gothic"/>
          <w:spacing w:val="23"/>
          <w:w w:val="80"/>
        </w:rPr>
        <w:t xml:space="preserve">ꎮ </w:t>
      </w:r>
      <w:r>
        <w:rPr>
          <w:spacing w:val="1"/>
        </w:rPr>
        <w:t>专门</w:t>
      </w:r>
      <w:r>
        <w:rPr>
          <w:spacing w:val="2"/>
        </w:rPr>
        <w:t xml:space="preserve">升降人员及混合提升的系统应当每年进行 </w:t>
      </w:r>
      <w:r>
        <w:rPr>
          <w:rFonts w:hint="eastAsia" w:ascii="MS UI Gothic" w:eastAsia="MS UI Gothic"/>
          <w:spacing w:val="7"/>
          <w:w w:val="80"/>
        </w:rPr>
        <w:t xml:space="preserve">１ </w:t>
      </w:r>
      <w:r>
        <w:rPr>
          <w:spacing w:val="3"/>
        </w:rPr>
        <w:t>次性能检测</w:t>
      </w:r>
      <w:r>
        <w:rPr>
          <w:rFonts w:hint="eastAsia" w:ascii="MS UI Gothic" w:eastAsia="MS UI Gothic"/>
          <w:spacing w:val="7"/>
          <w:w w:val="80"/>
        </w:rPr>
        <w:t xml:space="preserve">ꎬ </w:t>
      </w:r>
      <w:r>
        <w:t xml:space="preserve">其他提升系统每 </w:t>
      </w:r>
      <w:r>
        <w:rPr>
          <w:rFonts w:hint="eastAsia" w:ascii="MS UI Gothic" w:eastAsia="MS UI Gothic"/>
          <w:spacing w:val="10"/>
          <w:w w:val="80"/>
        </w:rPr>
        <w:t xml:space="preserve">３ </w:t>
      </w:r>
      <w:r>
        <w:rPr>
          <w:spacing w:val="6"/>
        </w:rPr>
        <w:t>年进行</w:t>
      </w:r>
    </w:p>
    <w:p>
      <w:pPr>
        <w:pStyle w:val="6"/>
        <w:spacing w:line="295" w:lineRule="auto"/>
        <w:ind w:left="440" w:right="1" w:hanging="6"/>
        <w:jc w:val="left"/>
        <w:rPr>
          <w:rFonts w:hint="eastAsia" w:ascii="MS UI Gothic" w:eastAsia="MS UI Gothic"/>
        </w:rPr>
      </w:pPr>
      <w:r>
        <w:rPr>
          <w:rFonts w:hint="eastAsia" w:ascii="MS UI Gothic" w:eastAsia="MS UI Gothic"/>
        </w:rPr>
        <w:t xml:space="preserve">１ </w:t>
      </w:r>
      <w:r>
        <w:t>次性能检测</w:t>
      </w:r>
      <w:r>
        <w:rPr>
          <w:rFonts w:hint="eastAsia" w:ascii="MS UI Gothic" w:eastAsia="MS UI Gothic"/>
          <w:w w:val="80"/>
        </w:rPr>
        <w:t xml:space="preserve">ꎬ </w:t>
      </w:r>
      <w:r>
        <w:t>检测合格后方可继续使用</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第四百三十条 提升装置管理必须具</w:t>
      </w:r>
      <w:r>
        <w:rPr>
          <w:w w:val="110"/>
        </w:rPr>
        <w:t>备下列资料</w:t>
      </w:r>
      <w:r>
        <w:rPr>
          <w:rFonts w:hint="eastAsia" w:ascii="MS UI Gothic" w:eastAsia="MS UI Gothic"/>
          <w:w w:val="80"/>
        </w:rPr>
        <w:t xml:space="preserve">ꎬ </w:t>
      </w:r>
      <w:r>
        <w:rPr>
          <w:w w:val="110"/>
        </w:rPr>
        <w:t>并妥善保管</w:t>
      </w:r>
      <w:r>
        <w:rPr>
          <w:rFonts w:hint="eastAsia" w:ascii="MS UI Gothic" w:eastAsia="MS UI Gothic"/>
          <w:w w:val="235"/>
        </w:rPr>
        <w:t>:</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提升机说明书</w:t>
      </w:r>
      <w:r>
        <w:rPr>
          <w:rFonts w:hint="eastAsia" w:ascii="MS UI Gothic" w:eastAsia="MS UI Gothic"/>
          <w:w w:val="80"/>
        </w:rPr>
        <w:t>ꎮ</w:t>
      </w:r>
    </w:p>
    <w:p>
      <w:pPr>
        <w:pStyle w:val="6"/>
        <w:spacing w:before="50"/>
        <w:ind w:left="860"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提升机总装配图</w:t>
      </w:r>
      <w:r>
        <w:rPr>
          <w:rFonts w:hint="eastAsia" w:ascii="MS UI Gothic" w:eastAsia="MS UI Gothic"/>
          <w:w w:val="80"/>
        </w:rPr>
        <w:t>ꎮ</w:t>
      </w:r>
    </w:p>
    <w:p>
      <w:pPr>
        <w:pStyle w:val="6"/>
        <w:spacing w:before="58" w:line="295" w:lineRule="auto"/>
        <w:ind w:left="440" w:right="1"/>
        <w:jc w:val="left"/>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0"/>
          <w:w w:val="110"/>
        </w:rPr>
        <w:t>制动装置结构图和制动系</w:t>
      </w:r>
      <w:r>
        <w:rPr>
          <w:spacing w:val="3"/>
          <w:w w:val="110"/>
        </w:rPr>
        <w:t>统图</w:t>
      </w:r>
      <w:r>
        <w:rPr>
          <w:rFonts w:hint="eastAsia" w:ascii="MS UI Gothic" w:eastAsia="MS UI Gothic"/>
          <w:w w:val="80"/>
        </w:rPr>
        <w:t>ꎮ</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5"/>
        </w:rPr>
        <w:t>四</w:t>
      </w:r>
      <w:r>
        <w:rPr>
          <w:rFonts w:hint="eastAsia" w:ascii="MS UI Gothic" w:eastAsia="MS UI Gothic"/>
          <w:w w:val="150"/>
        </w:rPr>
        <w:t xml:space="preserve">) </w:t>
      </w:r>
      <w:r>
        <w:rPr>
          <w:w w:val="115"/>
        </w:rPr>
        <w:t>电气系统图</w:t>
      </w:r>
      <w:r>
        <w:rPr>
          <w:rFonts w:hint="eastAsia" w:ascii="MS UI Gothic" w:eastAsia="MS UI Gothic"/>
          <w:w w:val="80"/>
        </w:rPr>
        <w:t>ꎮ</w:t>
      </w:r>
    </w:p>
    <w:p>
      <w:pPr>
        <w:pStyle w:val="6"/>
        <w:spacing w:before="58" w:line="295" w:lineRule="auto"/>
        <w:ind w:left="440" w:right="1"/>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提升机</w:t>
      </w:r>
      <w:r>
        <w:rPr>
          <w:rFonts w:hint="eastAsia" w:ascii="MS UI Gothic" w:eastAsia="MS UI Gothic"/>
          <w:w w:val="80"/>
        </w:rPr>
        <w:t xml:space="preserve">、 </w:t>
      </w:r>
      <w:r>
        <w:rPr>
          <w:w w:val="105"/>
        </w:rPr>
        <w:t>钢丝绳</w:t>
      </w:r>
      <w:r>
        <w:rPr>
          <w:rFonts w:hint="eastAsia" w:ascii="MS UI Gothic" w:eastAsia="MS UI Gothic"/>
          <w:w w:val="80"/>
        </w:rPr>
        <w:t xml:space="preserve">、 </w:t>
      </w:r>
      <w:r>
        <w:rPr>
          <w:w w:val="105"/>
        </w:rPr>
        <w:t>天轮</w:t>
      </w:r>
      <w:r>
        <w:rPr>
          <w:rFonts w:hint="eastAsia" w:ascii="MS UI Gothic" w:eastAsia="MS UI Gothic"/>
          <w:w w:val="80"/>
        </w:rPr>
        <w:t xml:space="preserve">、 </w:t>
      </w:r>
      <w:r>
        <w:rPr>
          <w:w w:val="105"/>
        </w:rPr>
        <w:t>提升容器</w:t>
      </w:r>
      <w:r>
        <w:rPr>
          <w:rFonts w:hint="eastAsia" w:ascii="MS UI Gothic" w:eastAsia="MS UI Gothic"/>
          <w:w w:val="80"/>
        </w:rPr>
        <w:t xml:space="preserve">、 </w:t>
      </w:r>
      <w:r>
        <w:rPr>
          <w:w w:val="105"/>
        </w:rPr>
        <w:t>防坠器和罐道等的检查记录簿</w:t>
      </w:r>
      <w:r>
        <w:rPr>
          <w:rFonts w:hint="eastAsia" w:ascii="MS UI Gothic" w:eastAsia="MS UI Gothic"/>
          <w:w w:val="80"/>
        </w:rPr>
        <w:t>ꎮ</w:t>
      </w:r>
    </w:p>
    <w:p>
      <w:pPr>
        <w:pStyle w:val="6"/>
        <w:spacing w:line="295" w:lineRule="auto"/>
        <w:ind w:left="860" w:right="168" w:firstLine="0"/>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钢丝绳的检验和更换记录簿</w:t>
      </w:r>
      <w:r>
        <w:rPr>
          <w:rFonts w:hint="eastAsia" w:ascii="MS UI Gothic" w:eastAsia="MS UI Gothic"/>
          <w:w w:val="80"/>
        </w:rPr>
        <w:t>ꎮ</w:t>
      </w: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安全保护装置试验记录簿</w:t>
      </w:r>
      <w:r>
        <w:rPr>
          <w:rFonts w:hint="eastAsia" w:ascii="MS UI Gothic" w:eastAsia="MS UI Gothic"/>
          <w:w w:val="80"/>
        </w:rPr>
        <w:t>ꎮ</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5"/>
        </w:rPr>
        <w:t>八</w:t>
      </w:r>
      <w:r>
        <w:rPr>
          <w:rFonts w:hint="eastAsia" w:ascii="MS UI Gothic" w:eastAsia="MS UI Gothic"/>
          <w:w w:val="150"/>
        </w:rPr>
        <w:t xml:space="preserve">) </w:t>
      </w:r>
      <w:r>
        <w:rPr>
          <w:w w:val="115"/>
        </w:rPr>
        <w:t>故障记录簿</w:t>
      </w:r>
      <w:r>
        <w:rPr>
          <w:rFonts w:hint="eastAsia" w:ascii="MS UI Gothic" w:eastAsia="MS UI Gothic"/>
          <w:w w:val="80"/>
        </w:rPr>
        <w:t>ꎮ</w:t>
      </w:r>
    </w:p>
    <w:p>
      <w:pPr>
        <w:pStyle w:val="6"/>
        <w:spacing w:before="57" w:line="295" w:lineRule="auto"/>
        <w:ind w:left="860" w:right="168" w:firstLine="0"/>
        <w:jc w:val="left"/>
        <w:rPr>
          <w:rFonts w:hint="eastAsia" w:ascii="MS UI Gothic" w:eastAsia="MS UI Gothic"/>
        </w:rPr>
      </w:pPr>
      <w:r>
        <w:rPr>
          <w:rFonts w:hint="eastAsia" w:ascii="MS UI Gothic" w:eastAsia="MS UI Gothic"/>
          <w:w w:val="105"/>
        </w:rPr>
        <w:t xml:space="preserve">( </w:t>
      </w:r>
      <w:r>
        <w:rPr>
          <w:w w:val="105"/>
        </w:rPr>
        <w:t>九</w:t>
      </w:r>
      <w:r>
        <w:rPr>
          <w:rFonts w:hint="eastAsia" w:ascii="MS UI Gothic" w:eastAsia="MS UI Gothic"/>
          <w:w w:val="105"/>
        </w:rPr>
        <w:t xml:space="preserve">) </w:t>
      </w:r>
      <w:r>
        <w:rPr>
          <w:w w:val="105"/>
        </w:rPr>
        <w:t>岗位责任制和设备完好标准</w:t>
      </w:r>
      <w:r>
        <w:rPr>
          <w:rFonts w:hint="eastAsia" w:ascii="MS UI Gothic" w:eastAsia="MS UI Gothic"/>
          <w:w w:val="80"/>
        </w:rPr>
        <w:t>ꎮ</w:t>
      </w:r>
      <w:r>
        <w:rPr>
          <w:rFonts w:hint="eastAsia" w:ascii="MS UI Gothic" w:eastAsia="MS UI Gothic"/>
          <w:w w:val="150"/>
        </w:rPr>
        <w:t xml:space="preserve">( </w:t>
      </w:r>
      <w:r>
        <w:rPr>
          <w:w w:val="110"/>
        </w:rPr>
        <w:t>十</w:t>
      </w:r>
      <w:r>
        <w:rPr>
          <w:rFonts w:hint="eastAsia" w:ascii="MS UI Gothic" w:eastAsia="MS UI Gothic"/>
          <w:w w:val="150"/>
        </w:rPr>
        <w:t xml:space="preserve">) </w:t>
      </w:r>
      <w:r>
        <w:rPr>
          <w:w w:val="110"/>
        </w:rPr>
        <w:t>司机交接班记录簿</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十一</w:t>
      </w:r>
      <w:r>
        <w:rPr>
          <w:rFonts w:hint="eastAsia" w:ascii="MS UI Gothic" w:eastAsia="MS UI Gothic"/>
          <w:spacing w:val="2"/>
          <w:w w:val="150"/>
        </w:rPr>
        <w:t xml:space="preserve">) </w:t>
      </w:r>
      <w:r>
        <w:rPr>
          <w:spacing w:val="6"/>
          <w:w w:val="105"/>
        </w:rPr>
        <w:t>操作规程</w:t>
      </w:r>
      <w:r>
        <w:rPr>
          <w:rFonts w:hint="eastAsia" w:ascii="MS UI Gothic" w:eastAsia="MS UI Gothic"/>
          <w:spacing w:val="19"/>
          <w:w w:val="80"/>
        </w:rPr>
        <w:t xml:space="preserve">ꎮ </w:t>
      </w:r>
      <w:r>
        <w:rPr>
          <w:spacing w:val="11"/>
          <w:w w:val="105"/>
        </w:rPr>
        <w:t>制动系统图</w:t>
      </w:r>
      <w:r>
        <w:rPr>
          <w:rFonts w:hint="eastAsia" w:ascii="MS UI Gothic" w:eastAsia="MS UI Gothic"/>
          <w:spacing w:val="18"/>
          <w:w w:val="80"/>
        </w:rPr>
        <w:t xml:space="preserve">、 </w:t>
      </w:r>
      <w:r>
        <w:rPr>
          <w:w w:val="105"/>
        </w:rPr>
        <w:t>电</w:t>
      </w:r>
      <w:r>
        <w:rPr>
          <w:spacing w:val="3"/>
          <w:w w:val="105"/>
        </w:rPr>
        <w:t>气系统图</w:t>
      </w:r>
      <w:r>
        <w:rPr>
          <w:rFonts w:hint="eastAsia" w:ascii="MS UI Gothic" w:eastAsia="MS UI Gothic"/>
          <w:spacing w:val="-5"/>
          <w:w w:val="80"/>
        </w:rPr>
        <w:t xml:space="preserve">、 </w:t>
      </w:r>
      <w:r>
        <w:rPr>
          <w:spacing w:val="2"/>
          <w:w w:val="105"/>
        </w:rPr>
        <w:t>提升装置的技术特征和岗位责</w:t>
      </w:r>
      <w:r>
        <w:rPr>
          <w:spacing w:val="3"/>
          <w:w w:val="105"/>
        </w:rPr>
        <w:t>任制等应当悬挂在提升机房内</w:t>
      </w:r>
      <w:r>
        <w:rPr>
          <w:rFonts w:hint="eastAsia" w:ascii="MS UI Gothic" w:eastAsia="MS UI Gothic"/>
          <w:w w:val="80"/>
        </w:rPr>
        <w:t>ꎮ</w:t>
      </w:r>
    </w:p>
    <w:p>
      <w:pPr>
        <w:pStyle w:val="6"/>
        <w:tabs>
          <w:tab w:val="left" w:pos="2222"/>
        </w:tabs>
        <w:spacing w:before="153"/>
        <w:ind w:left="1384" w:firstLine="0"/>
        <w:jc w:val="left"/>
      </w:pPr>
      <w:r>
        <w:rPr>
          <w:spacing w:val="3"/>
          <w:w w:val="105"/>
        </w:rPr>
        <w:t>第五</w:t>
      </w:r>
      <w:r>
        <w:rPr>
          <w:w w:val="105"/>
        </w:rPr>
        <w:t>节</w:t>
      </w:r>
      <w:r>
        <w:rPr>
          <w:w w:val="105"/>
        </w:rPr>
        <w:tab/>
      </w:r>
      <w:r>
        <w:rPr>
          <w:spacing w:val="3"/>
        </w:rPr>
        <w:t>空气压缩</w:t>
      </w:r>
      <w:r>
        <w:t>机</w:t>
      </w:r>
    </w:p>
    <w:p>
      <w:pPr>
        <w:pStyle w:val="6"/>
        <w:spacing w:before="10"/>
        <w:ind w:left="0" w:firstLine="0"/>
        <w:jc w:val="left"/>
        <w:rPr>
          <w:sz w:val="16"/>
        </w:rPr>
      </w:pPr>
    </w:p>
    <w:p>
      <w:pPr>
        <w:pStyle w:val="6"/>
        <w:spacing w:before="1" w:line="295" w:lineRule="auto"/>
        <w:ind w:left="440" w:right="1"/>
        <w:rPr>
          <w:rFonts w:hint="eastAsia" w:ascii="MS UI Gothic" w:eastAsia="MS UI Gothic"/>
        </w:rPr>
      </w:pPr>
      <w:r>
        <w:rPr>
          <w:spacing w:val="2"/>
          <w:w w:val="105"/>
        </w:rPr>
        <w:t>第四百三十一条 矿井应当在地面集</w:t>
      </w:r>
      <w:r>
        <w:rPr>
          <w:spacing w:val="3"/>
        </w:rPr>
        <w:t>中设置空气压缩机站</w:t>
      </w:r>
      <w:r>
        <w:rPr>
          <w:rFonts w:hint="eastAsia" w:ascii="MS UI Gothic" w:eastAsia="MS UI Gothic"/>
          <w:spacing w:val="5"/>
          <w:w w:val="80"/>
        </w:rPr>
        <w:t xml:space="preserve">ꎮ </w:t>
      </w:r>
      <w:r>
        <w:rPr>
          <w:spacing w:val="6"/>
        </w:rPr>
        <w:t>在井下设置空气压</w:t>
      </w:r>
      <w:r>
        <w:rPr>
          <w:spacing w:val="3"/>
          <w:w w:val="105"/>
        </w:rPr>
        <w:t>缩设备时</w:t>
      </w:r>
      <w:r>
        <w:rPr>
          <w:rFonts w:hint="eastAsia" w:ascii="MS UI Gothic" w:eastAsia="MS UI Gothic"/>
          <w:spacing w:val="23"/>
          <w:w w:val="80"/>
        </w:rPr>
        <w:t xml:space="preserve">ꎬ </w:t>
      </w:r>
      <w:r>
        <w:rPr>
          <w:spacing w:val="3"/>
          <w:w w:val="105"/>
        </w:rPr>
        <w:t>应当遵守下列规定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应当采用螺杆式空气压缩机</w:t>
      </w:r>
      <w:r>
        <w:rPr>
          <w:rFonts w:hint="eastAsia" w:ascii="MS UI Gothic" w:eastAsia="MS UI Gothic"/>
          <w:w w:val="80"/>
        </w:rPr>
        <w:t>ꎬ</w:t>
      </w:r>
      <w:r>
        <w:rPr>
          <w:w w:val="105"/>
        </w:rPr>
        <w:t>严禁使用滑片式空气压缩机</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2"/>
          <w:w w:val="150"/>
        </w:rPr>
        <w:t xml:space="preserve">) </w:t>
      </w:r>
      <w:r>
        <w:rPr>
          <w:spacing w:val="5"/>
          <w:w w:val="105"/>
        </w:rPr>
        <w:t>固定式空气压缩机和储气罐必</w:t>
      </w:r>
      <w:r>
        <w:rPr>
          <w:spacing w:val="-11"/>
          <w:w w:val="105"/>
        </w:rPr>
        <w:t xml:space="preserve">须分别设置在 </w:t>
      </w:r>
      <w:r>
        <w:rPr>
          <w:rFonts w:hint="eastAsia" w:ascii="MS UI Gothic" w:eastAsia="MS UI Gothic"/>
          <w:spacing w:val="-12"/>
          <w:w w:val="80"/>
        </w:rPr>
        <w:t xml:space="preserve">２ </w:t>
      </w:r>
      <w:r>
        <w:rPr>
          <w:spacing w:val="3"/>
          <w:w w:val="105"/>
        </w:rPr>
        <w:t>个独立硐室内</w:t>
      </w:r>
      <w:r>
        <w:rPr>
          <w:rFonts w:hint="eastAsia" w:ascii="MS UI Gothic" w:eastAsia="MS UI Gothic"/>
          <w:spacing w:val="-2"/>
          <w:w w:val="80"/>
        </w:rPr>
        <w:t xml:space="preserve">ꎬ </w:t>
      </w:r>
      <w:r>
        <w:rPr>
          <w:spacing w:val="3"/>
          <w:w w:val="105"/>
        </w:rPr>
        <w:t>并保证独立通风</w:t>
      </w:r>
      <w:r>
        <w:rPr>
          <w:rFonts w:hint="eastAsia" w:ascii="MS UI Gothic" w:eastAsia="MS UI Gothic"/>
          <w:w w:val="80"/>
        </w:rPr>
        <w:t>ꎮ</w:t>
      </w:r>
    </w:p>
    <w:p>
      <w:pPr>
        <w:pStyle w:val="6"/>
        <w:spacing w:line="295" w:lineRule="auto"/>
        <w:ind w:left="440" w:right="1"/>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移动式空气压缩机必须设置在</w:t>
      </w:r>
      <w:r>
        <w:t>采用不燃性材料支护且具有新鲜风流的巷</w:t>
      </w:r>
    </w:p>
    <w:p>
      <w:pPr>
        <w:spacing w:before="124"/>
        <w:ind w:left="381" w:right="0" w:firstLine="0"/>
        <w:jc w:val="left"/>
        <w:rPr>
          <w:rFonts w:hint="eastAsia" w:ascii="MS UI Gothic" w:eastAsia="MS UI Gothic"/>
          <w:sz w:val="20"/>
        </w:rPr>
      </w:pPr>
      <w:r>
        <w:br w:type="column"/>
      </w:r>
      <w:r>
        <w:rPr>
          <w:sz w:val="20"/>
        </w:rPr>
        <w:t>道中</w:t>
      </w:r>
      <w:r>
        <w:rPr>
          <w:rFonts w:hint="eastAsia" w:ascii="MS UI Gothic" w:eastAsia="MS UI Gothic"/>
          <w:w w:val="80"/>
          <w:sz w:val="20"/>
        </w:rPr>
        <w:t>ꎮ</w:t>
      </w:r>
    </w:p>
    <w:p>
      <w:pPr>
        <w:pStyle w:val="6"/>
        <w:spacing w:before="58" w:line="295" w:lineRule="auto"/>
        <w:ind w:left="800" w:right="924" w:firstLine="0"/>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应当设自动灭火装置</w:t>
      </w:r>
      <w:r>
        <w:rPr>
          <w:rFonts w:hint="eastAsia" w:ascii="MS UI Gothic" w:eastAsia="MS UI Gothic"/>
          <w:w w:val="80"/>
        </w:rPr>
        <w:t>ꎮ</w:t>
      </w: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运行时必须有人值守</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第四百三十二条 空气压缩机站设备</w:t>
      </w:r>
      <w:r>
        <w:rPr>
          <w:w w:val="110"/>
        </w:rPr>
        <w:t>必须符合下列要求</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设有压力表和安全阀</w:t>
      </w:r>
      <w:r>
        <w:rPr>
          <w:rFonts w:hint="eastAsia" w:ascii="MS UI Gothic" w:eastAsia="MS UI Gothic"/>
          <w:w w:val="80"/>
        </w:rPr>
        <w:t xml:space="preserve">ꎮ </w:t>
      </w:r>
      <w:r>
        <w:t>压力表和安全阀应当定期校准</w:t>
      </w:r>
      <w:r>
        <w:rPr>
          <w:rFonts w:hint="eastAsia" w:ascii="MS UI Gothic" w:eastAsia="MS UI Gothic"/>
          <w:w w:val="80"/>
        </w:rPr>
        <w:t xml:space="preserve">ꎮ </w:t>
      </w:r>
      <w:r>
        <w:t>安全阀和压力调节器应当动作可靠</w:t>
      </w:r>
      <w:r>
        <w:rPr>
          <w:rFonts w:hint="eastAsia" w:ascii="MS UI Gothic" w:eastAsia="MS UI Gothic"/>
          <w:w w:val="80"/>
        </w:rPr>
        <w:t xml:space="preserve">ꎬ </w:t>
      </w:r>
      <w:r>
        <w:t xml:space="preserve">安全阀动作压力不得超过额定压力的 </w:t>
      </w:r>
      <w:r>
        <w:rPr>
          <w:rFonts w:hint="eastAsia" w:ascii="MS UI Gothic" w:eastAsia="MS UI Gothic"/>
        </w:rPr>
        <w:t xml:space="preserve">１ １ </w:t>
      </w:r>
      <w:r>
        <w:t>倍</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rPr>
          <w:rFonts w:hint="eastAsia" w:ascii="MS UI Gothic" w:hAnsi="MS UI Gothic" w:eastAsia="MS UI Gothic"/>
          <w:spacing w:val="-36"/>
          <w:w w:val="140"/>
        </w:rPr>
        <w:t xml:space="preserve">( </w:t>
      </w:r>
      <w:r>
        <w:rPr>
          <w:spacing w:val="3"/>
          <w:w w:val="105"/>
        </w:rPr>
        <w:t>二</w:t>
      </w:r>
      <w:r>
        <w:rPr>
          <w:rFonts w:hint="eastAsia" w:ascii="MS UI Gothic" w:hAnsi="MS UI Gothic" w:eastAsia="MS UI Gothic"/>
          <w:spacing w:val="1"/>
          <w:w w:val="140"/>
        </w:rPr>
        <w:t xml:space="preserve">) </w:t>
      </w:r>
      <w:r>
        <w:rPr>
          <w:spacing w:val="-4"/>
          <w:w w:val="105"/>
        </w:rPr>
        <w:t xml:space="preserve">使用闪点不低于 </w:t>
      </w:r>
      <w:r>
        <w:rPr>
          <w:rFonts w:hint="eastAsia" w:ascii="MS UI Gothic" w:hAnsi="MS UI Gothic" w:eastAsia="MS UI Gothic"/>
          <w:spacing w:val="-7"/>
          <w:w w:val="95"/>
        </w:rPr>
        <w:t xml:space="preserve">２１５ ℃ </w:t>
      </w:r>
      <w:r>
        <w:rPr>
          <w:spacing w:val="6"/>
          <w:w w:val="105"/>
        </w:rPr>
        <w:t>的压缩</w:t>
      </w:r>
      <w:r>
        <w:rPr>
          <w:spacing w:val="3"/>
          <w:w w:val="105"/>
        </w:rPr>
        <w:t>机油</w:t>
      </w:r>
      <w:r>
        <w:rPr>
          <w:rFonts w:hint="eastAsia" w:ascii="MS UI Gothic" w:hAnsi="MS UI Gothic" w:eastAsia="MS UI Gothic"/>
          <w:w w:val="85"/>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使用油润滑的空气压缩机必须</w:t>
      </w:r>
      <w:r>
        <w:t>装设断油保护装置或者断油信号显示装置</w:t>
      </w:r>
      <w:r>
        <w:rPr>
          <w:rFonts w:hint="eastAsia" w:ascii="MS UI Gothic" w:eastAsia="MS UI Gothic"/>
          <w:w w:val="80"/>
        </w:rPr>
        <w:t xml:space="preserve">ꎮ </w:t>
      </w:r>
      <w:r>
        <w:t>水冷式空气压缩机必须装设断水保护</w:t>
      </w:r>
      <w:r>
        <w:rPr>
          <w:w w:val="105"/>
        </w:rPr>
        <w:t>装置或者断水信号显示装置</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第四百三十三条 空气压缩机站的储</w:t>
      </w:r>
      <w:r>
        <w:rPr>
          <w:w w:val="110"/>
        </w:rPr>
        <w:t>气罐必须符合下列要求</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储气罐上装有动作可靠的安全</w:t>
      </w:r>
      <w:r>
        <w:t>阀和放水阀</w:t>
      </w:r>
      <w:r>
        <w:rPr>
          <w:rFonts w:hint="eastAsia" w:ascii="MS UI Gothic" w:eastAsia="MS UI Gothic"/>
          <w:w w:val="80"/>
        </w:rPr>
        <w:t xml:space="preserve">ꎬ </w:t>
      </w:r>
      <w:r>
        <w:t>并有检查孔</w:t>
      </w:r>
      <w:r>
        <w:rPr>
          <w:rFonts w:hint="eastAsia" w:ascii="MS UI Gothic" w:eastAsia="MS UI Gothic"/>
          <w:w w:val="80"/>
        </w:rPr>
        <w:t xml:space="preserve">ꎮ </w:t>
      </w:r>
      <w:r>
        <w:t>定期清除风包</w:t>
      </w:r>
      <w:r>
        <w:rPr>
          <w:w w:val="105"/>
        </w:rPr>
        <w:t>内的油垢</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新安装或者检修后的储气罐</w:t>
      </w:r>
      <w:r>
        <w:rPr>
          <w:rFonts w:hint="eastAsia" w:ascii="MS UI Gothic" w:eastAsia="MS UI Gothic"/>
          <w:w w:val="80"/>
        </w:rPr>
        <w:t>ꎬ</w:t>
      </w:r>
      <w:r>
        <w:t xml:space="preserve">应当用 </w:t>
      </w:r>
      <w:r>
        <w:rPr>
          <w:rFonts w:hint="eastAsia" w:ascii="MS UI Gothic" w:eastAsia="MS UI Gothic"/>
        </w:rPr>
        <w:t xml:space="preserve">１ ５ </w:t>
      </w:r>
      <w:r>
        <w:t>倍空气压缩机工作压力做水压试验</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spacing w:val="-28"/>
          <w:w w:val="145"/>
        </w:rPr>
        <w:t xml:space="preserve">( </w:t>
      </w:r>
      <w:r>
        <w:rPr>
          <w:spacing w:val="3"/>
        </w:rPr>
        <w:t>三</w:t>
      </w:r>
      <w:r>
        <w:rPr>
          <w:rFonts w:hint="eastAsia" w:ascii="MS UI Gothic" w:eastAsia="MS UI Gothic"/>
          <w:spacing w:val="15"/>
          <w:w w:val="145"/>
        </w:rPr>
        <w:t xml:space="preserve">) </w:t>
      </w:r>
      <w:r>
        <w:rPr>
          <w:spacing w:val="5"/>
        </w:rPr>
        <w:t>在储气罐出口管路上必须加装</w:t>
      </w:r>
      <w:r>
        <w:rPr>
          <w:spacing w:val="3"/>
        </w:rPr>
        <w:t>释压阀</w:t>
      </w:r>
      <w:r>
        <w:rPr>
          <w:rFonts w:hint="eastAsia" w:ascii="MS UI Gothic" w:eastAsia="MS UI Gothic"/>
          <w:spacing w:val="19"/>
          <w:w w:val="80"/>
        </w:rPr>
        <w:t xml:space="preserve">ꎬ </w:t>
      </w:r>
      <w:r>
        <w:rPr>
          <w:spacing w:val="9"/>
        </w:rPr>
        <w:t>其口径不得小于出风管的直径</w:t>
      </w:r>
      <w:r>
        <w:rPr>
          <w:rFonts w:hint="eastAsia" w:ascii="MS UI Gothic" w:eastAsia="MS UI Gothic"/>
          <w:w w:val="80"/>
        </w:rPr>
        <w:t>ꎬ</w:t>
      </w:r>
      <w:r>
        <w:rPr>
          <w:spacing w:val="2"/>
        </w:rPr>
        <w:t>释放压力应当为空气压缩机最高工作压力</w:t>
      </w:r>
      <w:r>
        <w:rPr>
          <w:spacing w:val="-25"/>
        </w:rPr>
        <w:t xml:space="preserve">的 </w:t>
      </w:r>
      <w:r>
        <w:rPr>
          <w:rFonts w:hint="eastAsia" w:ascii="MS UI Gothic" w:eastAsia="MS UI Gothic"/>
          <w:w w:val="80"/>
        </w:rPr>
        <w:t>１</w:t>
      </w:r>
      <w:r>
        <w:rPr>
          <w:rFonts w:hint="eastAsia" w:ascii="MS UI Gothic" w:eastAsia="MS UI Gothic"/>
          <w:spacing w:val="-6"/>
          <w:w w:val="80"/>
        </w:rPr>
        <w:t xml:space="preserve"> ２５ </w:t>
      </w:r>
      <w:r>
        <w:rPr>
          <w:rFonts w:hint="eastAsia" w:ascii="MS UI Gothic" w:eastAsia="MS UI Gothic"/>
          <w:w w:val="145"/>
        </w:rPr>
        <w:t>~</w:t>
      </w:r>
      <w:r>
        <w:rPr>
          <w:rFonts w:hint="eastAsia" w:ascii="MS UI Gothic" w:eastAsia="MS UI Gothic"/>
          <w:spacing w:val="-63"/>
          <w:w w:val="145"/>
        </w:rPr>
        <w:t xml:space="preserve"> </w:t>
      </w:r>
      <w:r>
        <w:rPr>
          <w:rFonts w:hint="eastAsia" w:ascii="MS UI Gothic" w:eastAsia="MS UI Gothic"/>
          <w:w w:val="80"/>
        </w:rPr>
        <w:t>１</w:t>
      </w:r>
      <w:r>
        <w:rPr>
          <w:rFonts w:hint="eastAsia" w:ascii="MS UI Gothic" w:eastAsia="MS UI Gothic"/>
          <w:spacing w:val="2"/>
          <w:w w:val="80"/>
        </w:rPr>
        <w:t xml:space="preserve"> ４ </w:t>
      </w:r>
      <w:r>
        <w:rPr>
          <w:spacing w:val="3"/>
        </w:rPr>
        <w:t>倍</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避免阳光直晒地面空气压缩机</w:t>
      </w:r>
      <w:r>
        <w:rPr>
          <w:w w:val="110"/>
        </w:rPr>
        <w:t>站的储气罐</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第四百三十四条 空气压缩设备的保</w:t>
      </w:r>
      <w:r>
        <w:rPr>
          <w:w w:val="110"/>
        </w:rPr>
        <w:t>护</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left="381" w:right="126"/>
        <w:rPr>
          <w:rFonts w:hint="eastAsia" w:ascii="MS UI Gothic" w:hAnsi="MS UI Gothic" w:eastAsia="MS UI Gothic"/>
        </w:rPr>
      </w:pPr>
      <w:r>
        <w:rPr>
          <w:rFonts w:hint="eastAsia" w:ascii="MS UI Gothic" w:hAnsi="MS UI Gothic" w:eastAsia="MS UI Gothic"/>
          <w:spacing w:val="-26"/>
          <w:w w:val="140"/>
        </w:rPr>
        <w:t xml:space="preserve">( </w:t>
      </w:r>
      <w:r>
        <w:rPr>
          <w:spacing w:val="3"/>
        </w:rPr>
        <w:t>一</w:t>
      </w:r>
      <w:r>
        <w:rPr>
          <w:rFonts w:hint="eastAsia" w:ascii="MS UI Gothic" w:hAnsi="MS UI Gothic" w:eastAsia="MS UI Gothic"/>
          <w:spacing w:val="20"/>
          <w:w w:val="140"/>
        </w:rPr>
        <w:t xml:space="preserve">) </w:t>
      </w:r>
      <w:r>
        <w:rPr>
          <w:spacing w:val="5"/>
        </w:rPr>
        <w:t>螺杆式空气压缩机的排气温度</w:t>
      </w:r>
      <w:r>
        <w:rPr>
          <w:spacing w:val="-13"/>
        </w:rPr>
        <w:t xml:space="preserve">不得超过 </w:t>
      </w:r>
      <w:r>
        <w:rPr>
          <w:rFonts w:hint="eastAsia" w:ascii="MS UI Gothic" w:hAnsi="MS UI Gothic" w:eastAsia="MS UI Gothic"/>
          <w:spacing w:val="-9"/>
          <w:w w:val="95"/>
        </w:rPr>
        <w:t xml:space="preserve">１２０ ℃ </w:t>
      </w:r>
      <w:r>
        <w:rPr>
          <w:rFonts w:hint="eastAsia" w:ascii="MS UI Gothic" w:hAnsi="MS UI Gothic" w:eastAsia="MS UI Gothic"/>
          <w:spacing w:val="12"/>
          <w:w w:val="85"/>
        </w:rPr>
        <w:t xml:space="preserve">ꎬ </w:t>
      </w:r>
      <w:r>
        <w:rPr>
          <w:spacing w:val="2"/>
        </w:rPr>
        <w:t>离心式空气压缩机的排</w:t>
      </w:r>
      <w:r>
        <w:rPr>
          <w:spacing w:val="-7"/>
        </w:rPr>
        <w:t xml:space="preserve">气温度不得超过 </w:t>
      </w:r>
      <w:r>
        <w:rPr>
          <w:rFonts w:hint="eastAsia" w:ascii="MS UI Gothic" w:hAnsi="MS UI Gothic" w:eastAsia="MS UI Gothic"/>
          <w:spacing w:val="-9"/>
          <w:w w:val="95"/>
        </w:rPr>
        <w:t xml:space="preserve">１３０ ℃ </w:t>
      </w:r>
      <w:r>
        <w:rPr>
          <w:rFonts w:hint="eastAsia" w:ascii="MS UI Gothic" w:hAnsi="MS UI Gothic" w:eastAsia="MS UI Gothic"/>
          <w:spacing w:val="11"/>
          <w:w w:val="85"/>
        </w:rPr>
        <w:t xml:space="preserve">ꎮ </w:t>
      </w:r>
      <w:r>
        <w:rPr>
          <w:spacing w:val="2"/>
        </w:rPr>
        <w:t>必须装设温度保</w:t>
      </w:r>
      <w:r>
        <w:rPr>
          <w:spacing w:val="18"/>
        </w:rPr>
        <w:t>护装置</w:t>
      </w:r>
      <w:r>
        <w:rPr>
          <w:rFonts w:hint="eastAsia" w:ascii="MS UI Gothic" w:hAnsi="MS UI Gothic" w:eastAsia="MS UI Gothic"/>
          <w:spacing w:val="18"/>
          <w:w w:val="85"/>
        </w:rPr>
        <w:t xml:space="preserve">ꎬ </w:t>
      </w:r>
      <w:r>
        <w:rPr>
          <w:spacing w:val="31"/>
        </w:rPr>
        <w:t>在超温时能自动切断电源并</w:t>
      </w:r>
      <w:r>
        <w:rPr>
          <w:spacing w:val="3"/>
        </w:rPr>
        <w:t>报警</w:t>
      </w:r>
      <w:r>
        <w:rPr>
          <w:rFonts w:hint="eastAsia" w:ascii="MS UI Gothic" w:hAnsi="MS UI Gothic" w:eastAsia="MS UI Gothic"/>
          <w:w w:val="85"/>
        </w:rPr>
        <w:t>ꎮ</w:t>
      </w:r>
    </w:p>
    <w:p>
      <w:pPr>
        <w:pStyle w:val="6"/>
        <w:spacing w:line="295" w:lineRule="auto"/>
        <w:ind w:left="375" w:right="126" w:firstLine="425"/>
        <w:rPr>
          <w:rFonts w:hint="eastAsia" w:ascii="MS UI Gothic" w:hAnsi="MS UI Gothic" w:eastAsia="MS UI Gothic"/>
        </w:rPr>
      </w:pPr>
      <w:r>
        <w:rPr>
          <w:rFonts w:hint="eastAsia" w:ascii="MS UI Gothic" w:hAnsi="MS UI Gothic" w:eastAsia="MS UI Gothic"/>
          <w:w w:val="140"/>
        </w:rPr>
        <w:t xml:space="preserve">( </w:t>
      </w:r>
      <w:r>
        <w:t>二</w:t>
      </w:r>
      <w:r>
        <w:rPr>
          <w:rFonts w:hint="eastAsia" w:ascii="MS UI Gothic" w:hAnsi="MS UI Gothic" w:eastAsia="MS UI Gothic"/>
          <w:w w:val="140"/>
        </w:rPr>
        <w:t xml:space="preserve">) </w:t>
      </w:r>
      <w:r>
        <w:t>储气罐内的温度应当保持在</w:t>
      </w:r>
      <w:r>
        <w:rPr>
          <w:rFonts w:hint="eastAsia" w:ascii="MS UI Gothic" w:hAnsi="MS UI Gothic" w:eastAsia="MS UI Gothic"/>
          <w:w w:val="95"/>
        </w:rPr>
        <w:t xml:space="preserve">１２０ ℃ </w:t>
      </w:r>
      <w:r>
        <w:t>以下</w:t>
      </w:r>
      <w:r>
        <w:rPr>
          <w:rFonts w:hint="eastAsia" w:ascii="MS UI Gothic" w:hAnsi="MS UI Gothic" w:eastAsia="MS UI Gothic"/>
          <w:w w:val="85"/>
        </w:rPr>
        <w:t xml:space="preserve">ꎬ </w:t>
      </w:r>
      <w:r>
        <w:t>并装有超温保护装置</w:t>
      </w:r>
      <w:r>
        <w:rPr>
          <w:rFonts w:hint="eastAsia" w:ascii="MS UI Gothic" w:hAnsi="MS UI Gothic" w:eastAsia="MS UI Gothic"/>
          <w:w w:val="85"/>
        </w:rPr>
        <w:t xml:space="preserve">ꎬ </w:t>
      </w:r>
      <w:r>
        <w:t>在超温时能自动切断电源并报警</w:t>
      </w:r>
      <w:r>
        <w:rPr>
          <w:rFonts w:hint="eastAsia" w:ascii="MS UI Gothic" w:hAnsi="MS UI Gothic" w:eastAsia="MS UI Gothic"/>
          <w:w w:val="85"/>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３１０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53" o:spid="_x0000_s1953" o:spt="203" style="height:2.15pt;width:398.25pt;" coordsize="7965,43">
            <o:lock v:ext="edit"/>
            <v:line id="_x0000_s1954" o:spid="_x0000_s1954" o:spt="20" style="position:absolute;left:0;top:39;height:0;width:7965;" stroked="t" coordsize="21600,21600">
              <v:path arrowok="t"/>
              <v:fill focussize="0,0"/>
              <v:stroke weight="0.388031496062992pt" color="#231F20"/>
              <v:imagedata o:title=""/>
              <o:lock v:ext="edit"/>
            </v:line>
            <v:line id="_x0000_s1955" o:spid="_x0000_s195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2011"/>
          <w:tab w:val="left" w:pos="2639"/>
        </w:tabs>
        <w:ind w:left="1172" w:firstLine="0"/>
        <w:jc w:val="left"/>
      </w:pPr>
      <w:r>
        <w:rPr>
          <w:spacing w:val="3"/>
          <w:w w:val="105"/>
        </w:rPr>
        <w:t>第十</w:t>
      </w:r>
      <w:r>
        <w:rPr>
          <w:w w:val="105"/>
        </w:rPr>
        <w:t>章</w:t>
      </w:r>
      <w:r>
        <w:rPr>
          <w:w w:val="105"/>
        </w:rPr>
        <w:tab/>
      </w:r>
      <w:r>
        <w:rPr>
          <w:w w:val="105"/>
        </w:rPr>
        <w:t>电</w:t>
      </w:r>
      <w:r>
        <w:rPr>
          <w:w w:val="105"/>
        </w:rPr>
        <w:tab/>
      </w:r>
      <w:r>
        <w:rPr>
          <w:w w:val="105"/>
        </w:rPr>
        <w:t>气</w:t>
      </w:r>
    </w:p>
    <w:p>
      <w:pPr>
        <w:pStyle w:val="6"/>
        <w:spacing w:before="1"/>
        <w:ind w:left="0" w:firstLine="0"/>
        <w:jc w:val="left"/>
        <w:rPr>
          <w:sz w:val="29"/>
        </w:rPr>
      </w:pPr>
    </w:p>
    <w:p>
      <w:pPr>
        <w:pStyle w:val="6"/>
        <w:tabs>
          <w:tab w:val="left" w:pos="1906"/>
        </w:tabs>
        <w:ind w:left="1067" w:firstLine="0"/>
        <w:jc w:val="left"/>
      </w:pPr>
      <w:r>
        <w:rPr>
          <w:spacing w:val="3"/>
          <w:w w:val="105"/>
        </w:rPr>
        <w:t>第一</w:t>
      </w:r>
      <w:r>
        <w:rPr>
          <w:w w:val="105"/>
        </w:rPr>
        <w:t>节</w:t>
      </w:r>
      <w:r>
        <w:rPr>
          <w:w w:val="105"/>
        </w:rPr>
        <w:tab/>
      </w:r>
      <w:r>
        <w:rPr>
          <w:w w:val="105"/>
        </w:rPr>
        <w:t>一</w:t>
      </w:r>
      <w:r>
        <w:rPr>
          <w:spacing w:val="-34"/>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line="295" w:lineRule="auto"/>
        <w:ind w:right="39"/>
        <w:rPr>
          <w:rFonts w:hint="eastAsia" w:ascii="MS UI Gothic" w:eastAsia="MS UI Gothic"/>
        </w:rPr>
      </w:pPr>
      <w:r>
        <w:t>第四百三十五条 煤矿地面</w:t>
      </w:r>
      <w:r>
        <w:rPr>
          <w:rFonts w:hint="eastAsia" w:ascii="MS UI Gothic" w:eastAsia="MS UI Gothic"/>
          <w:w w:val="80"/>
        </w:rPr>
        <w:t xml:space="preserve">、 </w:t>
      </w:r>
      <w:r>
        <w:t>井下各种电气设备和电力系统的设计</w:t>
      </w:r>
      <w:r>
        <w:rPr>
          <w:rFonts w:hint="eastAsia" w:ascii="MS UI Gothic" w:eastAsia="MS UI Gothic"/>
          <w:w w:val="80"/>
        </w:rPr>
        <w:t xml:space="preserve">、 </w:t>
      </w:r>
      <w:r>
        <w:t>选型</w:t>
      </w:r>
      <w:r>
        <w:rPr>
          <w:rFonts w:hint="eastAsia" w:ascii="MS UI Gothic" w:eastAsia="MS UI Gothic"/>
          <w:w w:val="80"/>
        </w:rPr>
        <w:t xml:space="preserve">、 </w:t>
      </w:r>
      <w:r>
        <w:t>安装</w:t>
      </w:r>
      <w:r>
        <w:rPr>
          <w:rFonts w:hint="eastAsia" w:ascii="MS UI Gothic" w:eastAsia="MS UI Gothic"/>
          <w:w w:val="80"/>
        </w:rPr>
        <w:t xml:space="preserve">、 </w:t>
      </w:r>
      <w:r>
        <w:t>验收</w:t>
      </w:r>
      <w:r>
        <w:rPr>
          <w:rFonts w:hint="eastAsia" w:ascii="MS UI Gothic" w:eastAsia="MS UI Gothic"/>
          <w:w w:val="80"/>
        </w:rPr>
        <w:t xml:space="preserve">、 </w:t>
      </w:r>
      <w:r>
        <w:t>运行</w:t>
      </w:r>
      <w:r>
        <w:rPr>
          <w:rFonts w:hint="eastAsia" w:ascii="MS UI Gothic" w:eastAsia="MS UI Gothic"/>
          <w:w w:val="80"/>
        </w:rPr>
        <w:t xml:space="preserve">、 </w:t>
      </w:r>
      <w:r>
        <w:t>检修</w:t>
      </w:r>
      <w:r>
        <w:rPr>
          <w:rFonts w:hint="eastAsia" w:ascii="MS UI Gothic" w:eastAsia="MS UI Gothic"/>
          <w:w w:val="80"/>
        </w:rPr>
        <w:t xml:space="preserve">、  </w:t>
      </w:r>
      <w:r>
        <w:t>试验等必须按本规程执行</w:t>
      </w:r>
      <w:r>
        <w:rPr>
          <w:rFonts w:hint="eastAsia" w:ascii="MS UI Gothic" w:eastAsia="MS UI Gothic"/>
          <w:w w:val="80"/>
        </w:rPr>
        <w:t>ꎮ</w:t>
      </w:r>
    </w:p>
    <w:p>
      <w:pPr>
        <w:pStyle w:val="6"/>
        <w:spacing w:line="295" w:lineRule="auto"/>
        <w:ind w:right="38"/>
        <w:rPr>
          <w:rFonts w:hint="eastAsia" w:ascii="MS UI Gothic" w:eastAsia="MS UI Gothic"/>
        </w:rPr>
      </w:pPr>
      <w:r>
        <w:t xml:space="preserve">第四百三十六条 矿井应当有两回路电源线路 </w:t>
      </w:r>
      <w:r>
        <w:rPr>
          <w:rFonts w:hint="eastAsia" w:ascii="MS UI Gothic" w:eastAsia="MS UI Gothic"/>
          <w:w w:val="140"/>
        </w:rPr>
        <w:t xml:space="preserve">( </w:t>
      </w:r>
      <w:r>
        <w:t>即来自两个不同变电站或者来自不同电源进线的同一变电站的两段母线</w:t>
      </w:r>
      <w:r>
        <w:rPr>
          <w:rFonts w:hint="eastAsia" w:ascii="MS UI Gothic" w:eastAsia="MS UI Gothic"/>
          <w:w w:val="140"/>
        </w:rPr>
        <w:t xml:space="preserve">) </w:t>
      </w:r>
      <w:r>
        <w:rPr>
          <w:rFonts w:hint="eastAsia" w:ascii="MS UI Gothic" w:eastAsia="MS UI Gothic"/>
          <w:w w:val="85"/>
        </w:rPr>
        <w:t xml:space="preserve">ꎮ </w:t>
      </w:r>
      <w:r>
        <w:t>当任一回路发生故障停止供电时</w:t>
      </w:r>
      <w:r>
        <w:rPr>
          <w:rFonts w:hint="eastAsia" w:ascii="MS UI Gothic" w:eastAsia="MS UI Gothic"/>
          <w:w w:val="85"/>
        </w:rPr>
        <w:t>ꎬ</w:t>
      </w:r>
      <w:r>
        <w:t>另一回路应当担负矿井全部用电负荷</w:t>
      </w:r>
      <w:r>
        <w:rPr>
          <w:rFonts w:hint="eastAsia" w:ascii="MS UI Gothic" w:eastAsia="MS UI Gothic"/>
          <w:w w:val="85"/>
        </w:rPr>
        <w:t xml:space="preserve">ꎮ </w:t>
      </w:r>
      <w:r>
        <w:t>区域内不具备两回路供电条件的矿井采用单回路供电时</w:t>
      </w:r>
      <w:r>
        <w:rPr>
          <w:rFonts w:hint="eastAsia" w:ascii="MS UI Gothic" w:eastAsia="MS UI Gothic"/>
          <w:w w:val="85"/>
        </w:rPr>
        <w:t xml:space="preserve">ꎬ </w:t>
      </w:r>
      <w:r>
        <w:t>应当报安全生产许可证的发放部门审查</w:t>
      </w:r>
      <w:r>
        <w:rPr>
          <w:rFonts w:hint="eastAsia" w:ascii="MS UI Gothic" w:eastAsia="MS UI Gothic"/>
          <w:w w:val="85"/>
        </w:rPr>
        <w:t xml:space="preserve">ꎮ </w:t>
      </w:r>
      <w:r>
        <w:t>采用单回路供电时</w:t>
      </w:r>
      <w:r>
        <w:rPr>
          <w:rFonts w:hint="eastAsia" w:ascii="MS UI Gothic" w:eastAsia="MS UI Gothic"/>
          <w:w w:val="85"/>
        </w:rPr>
        <w:t xml:space="preserve">ꎬ </w:t>
      </w:r>
      <w:r>
        <w:t>必须有备用电源</w:t>
      </w:r>
      <w:r>
        <w:rPr>
          <w:rFonts w:hint="eastAsia" w:ascii="MS UI Gothic" w:eastAsia="MS UI Gothic"/>
          <w:w w:val="85"/>
        </w:rPr>
        <w:t xml:space="preserve">ꎮ </w:t>
      </w:r>
      <w:r>
        <w:t>备用电源的容量必须满足通风</w:t>
      </w:r>
      <w:r>
        <w:rPr>
          <w:rFonts w:hint="eastAsia" w:ascii="MS UI Gothic" w:eastAsia="MS UI Gothic"/>
        </w:rPr>
        <w:t xml:space="preserve">、 </w:t>
      </w:r>
      <w:r>
        <w:t>排水</w:t>
      </w:r>
      <w:r>
        <w:rPr>
          <w:rFonts w:hint="eastAsia" w:ascii="MS UI Gothic" w:eastAsia="MS UI Gothic"/>
        </w:rPr>
        <w:t xml:space="preserve">、 </w:t>
      </w:r>
      <w:r>
        <w:t>提升等要求</w:t>
      </w:r>
      <w:r>
        <w:rPr>
          <w:rFonts w:hint="eastAsia" w:ascii="MS UI Gothic" w:eastAsia="MS UI Gothic"/>
          <w:w w:val="85"/>
        </w:rPr>
        <w:t xml:space="preserve">ꎬ </w:t>
      </w:r>
      <w:r>
        <w:t xml:space="preserve">并保证主要通风机等在 </w:t>
      </w:r>
      <w:r>
        <w:rPr>
          <w:rFonts w:hint="eastAsia" w:ascii="MS UI Gothic" w:eastAsia="MS UI Gothic"/>
        </w:rPr>
        <w:t xml:space="preserve">１０ ｍｉｎ </w:t>
      </w:r>
      <w:r>
        <w:t>内可靠启动和运行</w:t>
      </w:r>
      <w:r>
        <w:rPr>
          <w:rFonts w:hint="eastAsia" w:ascii="MS UI Gothic" w:eastAsia="MS UI Gothic"/>
          <w:w w:val="85"/>
        </w:rPr>
        <w:t xml:space="preserve">ꎮ </w:t>
      </w:r>
      <w:r>
        <w:t>备用电源应当有专人负责管理和维护</w:t>
      </w:r>
      <w:r>
        <w:rPr>
          <w:rFonts w:hint="eastAsia" w:ascii="MS UI Gothic" w:eastAsia="MS UI Gothic"/>
          <w:w w:val="85"/>
        </w:rPr>
        <w:t xml:space="preserve">ꎬ </w:t>
      </w:r>
      <w:r>
        <w:t xml:space="preserve">每 </w:t>
      </w:r>
      <w:r>
        <w:rPr>
          <w:rFonts w:hint="eastAsia" w:ascii="MS UI Gothic" w:eastAsia="MS UI Gothic"/>
        </w:rPr>
        <w:t xml:space="preserve">１０ </w:t>
      </w:r>
      <w:r>
        <w:t>天至少进行一次启动和运行试验</w:t>
      </w:r>
      <w:r>
        <w:rPr>
          <w:rFonts w:hint="eastAsia" w:ascii="MS UI Gothic" w:eastAsia="MS UI Gothic"/>
          <w:w w:val="85"/>
        </w:rPr>
        <w:t xml:space="preserve">ꎬ </w:t>
      </w:r>
      <w:r>
        <w:t>试验期间不得影响矿井通风等</w:t>
      </w:r>
      <w:r>
        <w:rPr>
          <w:rFonts w:hint="eastAsia" w:ascii="MS UI Gothic" w:eastAsia="MS UI Gothic"/>
          <w:w w:val="85"/>
        </w:rPr>
        <w:t xml:space="preserve">ꎬ </w:t>
      </w:r>
      <w:r>
        <w:t>试验记录要存档备查</w:t>
      </w:r>
      <w:r>
        <w:rPr>
          <w:rFonts w:hint="eastAsia" w:ascii="MS UI Gothic" w:eastAsia="MS UI Gothic"/>
          <w:w w:val="85"/>
        </w:rPr>
        <w:t>ꎮ</w:t>
      </w:r>
    </w:p>
    <w:p>
      <w:pPr>
        <w:pStyle w:val="6"/>
        <w:spacing w:line="295" w:lineRule="auto"/>
        <w:ind w:right="39"/>
        <w:jc w:val="left"/>
        <w:rPr>
          <w:rFonts w:hint="eastAsia" w:ascii="MS UI Gothic" w:eastAsia="MS UI Gothic"/>
        </w:rPr>
      </w:pPr>
      <w:r>
        <w:t>矿井的两回路电源线路上都不得分接</w:t>
      </w:r>
      <w:r>
        <w:rPr>
          <w:w w:val="105"/>
        </w:rPr>
        <w:t>任何负荷</w:t>
      </w:r>
      <w:r>
        <w:rPr>
          <w:rFonts w:hint="eastAsia" w:ascii="MS UI Gothic" w:eastAsia="MS UI Gothic"/>
          <w:w w:val="80"/>
        </w:rPr>
        <w:t>ꎮ</w:t>
      </w:r>
    </w:p>
    <w:p>
      <w:pPr>
        <w:pStyle w:val="6"/>
        <w:spacing w:line="295" w:lineRule="auto"/>
        <w:ind w:right="39"/>
        <w:rPr>
          <w:rFonts w:hint="eastAsia" w:ascii="MS UI Gothic" w:eastAsia="MS UI Gothic"/>
        </w:rPr>
      </w:pPr>
      <w:r>
        <w:t>正常情况下</w:t>
      </w:r>
      <w:r>
        <w:rPr>
          <w:rFonts w:hint="eastAsia" w:ascii="MS UI Gothic" w:eastAsia="MS UI Gothic"/>
          <w:w w:val="90"/>
        </w:rPr>
        <w:t xml:space="preserve">ꎬ </w:t>
      </w:r>
      <w:r>
        <w:t>矿井电源应当采用分列运行方式</w:t>
      </w:r>
      <w:r>
        <w:rPr>
          <w:rFonts w:hint="eastAsia" w:ascii="MS UI Gothic" w:eastAsia="MS UI Gothic"/>
          <w:w w:val="90"/>
        </w:rPr>
        <w:t xml:space="preserve">ꎮ </w:t>
      </w:r>
      <w:r>
        <w:t>若一回路运行</w:t>
      </w:r>
      <w:r>
        <w:rPr>
          <w:rFonts w:hint="eastAsia" w:ascii="MS UI Gothic" w:eastAsia="MS UI Gothic"/>
          <w:w w:val="90"/>
        </w:rPr>
        <w:t xml:space="preserve">ꎬ </w:t>
      </w:r>
      <w:r>
        <w:t>另一回路必须带电备用</w:t>
      </w:r>
      <w:r>
        <w:rPr>
          <w:rFonts w:hint="eastAsia" w:ascii="MS UI Gothic" w:eastAsia="MS UI Gothic"/>
          <w:w w:val="90"/>
        </w:rPr>
        <w:t xml:space="preserve">ꎮ </w:t>
      </w:r>
      <w:r>
        <w:t>带电备用电源的变压器可以热备用</w:t>
      </w:r>
      <w:r>
        <w:rPr>
          <w:rFonts w:hint="eastAsia" w:ascii="MS UI Gothic" w:eastAsia="MS UI Gothic"/>
          <w:w w:val="90"/>
        </w:rPr>
        <w:t xml:space="preserve">ꎻ </w:t>
      </w:r>
      <w:r>
        <w:t>若冷备用</w:t>
      </w:r>
      <w:r>
        <w:rPr>
          <w:rFonts w:hint="eastAsia" w:ascii="MS UI Gothic" w:eastAsia="MS UI Gothic"/>
          <w:w w:val="90"/>
        </w:rPr>
        <w:t xml:space="preserve">ꎬ </w:t>
      </w:r>
      <w:r>
        <w:t>备用电源必须能及时投入</w:t>
      </w:r>
      <w:r>
        <w:rPr>
          <w:rFonts w:hint="eastAsia" w:ascii="MS UI Gothic" w:eastAsia="MS UI Gothic"/>
          <w:w w:val="90"/>
        </w:rPr>
        <w:t xml:space="preserve">ꎬ </w:t>
      </w:r>
      <w:r>
        <w:t xml:space="preserve">保证主要通风机在 </w:t>
      </w:r>
      <w:r>
        <w:rPr>
          <w:rFonts w:hint="eastAsia" w:ascii="MS UI Gothic" w:eastAsia="MS UI Gothic"/>
        </w:rPr>
        <w:t xml:space="preserve">１０ ｍｉｎ </w:t>
      </w:r>
      <w:r>
        <w:t>内启动和运行</w:t>
      </w:r>
      <w:r>
        <w:rPr>
          <w:rFonts w:hint="eastAsia" w:ascii="MS UI Gothic" w:eastAsia="MS UI Gothic"/>
          <w:w w:val="90"/>
        </w:rPr>
        <w:t>ꎮ</w:t>
      </w:r>
    </w:p>
    <w:p>
      <w:pPr>
        <w:pStyle w:val="6"/>
        <w:spacing w:line="295" w:lineRule="auto"/>
        <w:ind w:right="39" w:firstLine="413"/>
        <w:rPr>
          <w:rFonts w:hint="eastAsia" w:ascii="MS UI Gothic" w:eastAsia="MS UI Gothic"/>
        </w:rPr>
      </w:pPr>
      <w:r>
        <w:rPr>
          <w:rFonts w:hint="eastAsia" w:ascii="MS UI Gothic" w:eastAsia="MS UI Gothic"/>
          <w:w w:val="95"/>
        </w:rPr>
        <w:t xml:space="preserve">１０ ｋＶ </w:t>
      </w:r>
      <w:r>
        <w:t>及以下的矿井架空电源线路不得共杆架设</w:t>
      </w:r>
      <w:r>
        <w:rPr>
          <w:rFonts w:hint="eastAsia" w:ascii="MS UI Gothic" w:eastAsia="MS UI Gothic"/>
          <w:w w:val="85"/>
        </w:rPr>
        <w:t>ꎮ</w:t>
      </w:r>
    </w:p>
    <w:p>
      <w:pPr>
        <w:pStyle w:val="6"/>
        <w:spacing w:line="295" w:lineRule="auto"/>
        <w:ind w:right="39"/>
        <w:jc w:val="left"/>
        <w:rPr>
          <w:rFonts w:hint="eastAsia" w:ascii="MS UI Gothic" w:eastAsia="MS UI Gothic"/>
        </w:rPr>
      </w:pPr>
      <w:r>
        <w:t>矿井电源线路上严禁装设负荷定量器</w:t>
      </w:r>
      <w:r>
        <w:rPr>
          <w:w w:val="105"/>
        </w:rPr>
        <w:t>等各种限电断电装置</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第四百三十七条 矿井供电电能质量</w:t>
      </w:r>
      <w:r>
        <w:t>应当符合国家有关规定</w:t>
      </w:r>
      <w:r>
        <w:rPr>
          <w:rFonts w:hint="eastAsia" w:ascii="MS UI Gothic" w:eastAsia="MS UI Gothic"/>
          <w:w w:val="80"/>
        </w:rPr>
        <w:t xml:space="preserve">ꎻ </w:t>
      </w:r>
      <w:r>
        <w:t>电力电子设备或者变流设备的电磁兼容性应当符合国家标</w:t>
      </w:r>
      <w:r>
        <w:rPr>
          <w:w w:val="105"/>
        </w:rPr>
        <w:t>准</w:t>
      </w:r>
      <w:r>
        <w:rPr>
          <w:rFonts w:hint="eastAsia" w:ascii="MS UI Gothic" w:eastAsia="MS UI Gothic"/>
          <w:w w:val="80"/>
        </w:rPr>
        <w:t xml:space="preserve">、 </w:t>
      </w:r>
      <w:r>
        <w:rPr>
          <w:w w:val="105"/>
        </w:rPr>
        <w:t>规范要求</w:t>
      </w:r>
      <w:r>
        <w:rPr>
          <w:rFonts w:hint="eastAsia" w:ascii="MS UI Gothic" w:eastAsia="MS UI Gothic"/>
          <w:w w:val="80"/>
        </w:rPr>
        <w:t>ꎮ</w:t>
      </w:r>
    </w:p>
    <w:p>
      <w:pPr>
        <w:pStyle w:val="6"/>
        <w:spacing w:before="123"/>
        <w:ind w:left="543" w:firstLine="0"/>
        <w:jc w:val="left"/>
        <w:rPr>
          <w:rFonts w:hint="eastAsia" w:ascii="MS UI Gothic" w:eastAsia="MS UI Gothic"/>
        </w:rPr>
      </w:pPr>
      <w:r>
        <w:br w:type="column"/>
      </w:r>
      <w:r>
        <w:t>电气设备不应超过额定值运行</w:t>
      </w:r>
      <w:r>
        <w:rPr>
          <w:rFonts w:hint="eastAsia" w:ascii="MS UI Gothic" w:eastAsia="MS UI Gothic"/>
          <w:w w:val="80"/>
        </w:rPr>
        <w:t>ꎮ</w:t>
      </w:r>
    </w:p>
    <w:p>
      <w:pPr>
        <w:pStyle w:val="6"/>
        <w:spacing w:before="58" w:line="295" w:lineRule="auto"/>
        <w:ind w:right="442"/>
        <w:rPr>
          <w:rFonts w:hint="eastAsia" w:ascii="MS UI Gothic" w:eastAsia="MS UI Gothic"/>
        </w:rPr>
      </w:pPr>
      <w:r>
        <w:rPr>
          <w:spacing w:val="2"/>
          <w:w w:val="105"/>
        </w:rPr>
        <w:t>第四百三十八条 对井下各水平中央</w:t>
      </w:r>
      <w:r>
        <w:rPr>
          <w:spacing w:val="3"/>
          <w:w w:val="105"/>
        </w:rPr>
        <w:t xml:space="preserve">变 </w:t>
      </w:r>
      <w:r>
        <w:rPr>
          <w:rFonts w:hint="eastAsia" w:ascii="MS UI Gothic" w:eastAsia="MS UI Gothic"/>
          <w:spacing w:val="-35"/>
          <w:w w:val="150"/>
        </w:rPr>
        <w:t xml:space="preserve">( </w:t>
      </w:r>
      <w:r>
        <w:rPr>
          <w:spacing w:val="3"/>
          <w:w w:val="105"/>
        </w:rPr>
        <w:t>配</w:t>
      </w:r>
      <w:r>
        <w:rPr>
          <w:rFonts w:hint="eastAsia" w:ascii="MS UI Gothic" w:eastAsia="MS UI Gothic"/>
          <w:spacing w:val="23"/>
          <w:w w:val="150"/>
        </w:rPr>
        <w:t xml:space="preserve">) </w:t>
      </w:r>
      <w:r>
        <w:rPr>
          <w:spacing w:val="11"/>
          <w:w w:val="105"/>
        </w:rPr>
        <w:t xml:space="preserve">电所和采 </w:t>
      </w:r>
      <w:r>
        <w:rPr>
          <w:rFonts w:hint="eastAsia" w:ascii="MS UI Gothic" w:eastAsia="MS UI Gothic"/>
          <w:spacing w:val="-31"/>
          <w:w w:val="150"/>
        </w:rPr>
        <w:t xml:space="preserve">( </w:t>
      </w:r>
      <w:r>
        <w:rPr>
          <w:spacing w:val="11"/>
          <w:w w:val="105"/>
        </w:rPr>
        <w:t>盘</w:t>
      </w:r>
      <w:r>
        <w:rPr>
          <w:rFonts w:hint="eastAsia" w:ascii="MS UI Gothic" w:eastAsia="MS UI Gothic"/>
          <w:spacing w:val="23"/>
          <w:w w:val="150"/>
        </w:rPr>
        <w:t xml:space="preserve">) </w:t>
      </w:r>
      <w:r>
        <w:rPr>
          <w:w w:val="105"/>
        </w:rPr>
        <w:t xml:space="preserve">区变 </w:t>
      </w:r>
      <w:r>
        <w:rPr>
          <w:rFonts w:hint="eastAsia" w:ascii="MS UI Gothic" w:eastAsia="MS UI Gothic"/>
          <w:spacing w:val="-31"/>
          <w:w w:val="150"/>
        </w:rPr>
        <w:t xml:space="preserve">( </w:t>
      </w:r>
      <w:r>
        <w:rPr>
          <w:spacing w:val="13"/>
          <w:w w:val="105"/>
        </w:rPr>
        <w:t>配</w:t>
      </w:r>
      <w:r>
        <w:rPr>
          <w:rFonts w:hint="eastAsia" w:ascii="MS UI Gothic" w:eastAsia="MS UI Gothic"/>
          <w:spacing w:val="23"/>
          <w:w w:val="150"/>
        </w:rPr>
        <w:t xml:space="preserve">) </w:t>
      </w:r>
      <w:r>
        <w:rPr>
          <w:w w:val="105"/>
        </w:rPr>
        <w:t>电</w:t>
      </w:r>
      <w:r>
        <w:rPr>
          <w:spacing w:val="3"/>
          <w:w w:val="105"/>
        </w:rPr>
        <w:t>所</w:t>
      </w:r>
      <w:r>
        <w:rPr>
          <w:rFonts w:hint="eastAsia" w:ascii="MS UI Gothic" w:eastAsia="MS UI Gothic"/>
          <w:spacing w:val="-2"/>
          <w:w w:val="80"/>
        </w:rPr>
        <w:t xml:space="preserve">、 </w:t>
      </w:r>
      <w:r>
        <w:rPr>
          <w:spacing w:val="2"/>
          <w:w w:val="105"/>
        </w:rPr>
        <w:t>主排水泵房和下山开采的采区排水泵</w:t>
      </w:r>
      <w:r>
        <w:rPr>
          <w:spacing w:val="3"/>
        </w:rPr>
        <w:t>房供电线路</w:t>
      </w:r>
      <w:r>
        <w:rPr>
          <w:rFonts w:hint="eastAsia" w:ascii="MS UI Gothic" w:eastAsia="MS UI Gothic"/>
          <w:spacing w:val="23"/>
          <w:w w:val="80"/>
        </w:rPr>
        <w:t xml:space="preserve">ꎬ </w:t>
      </w:r>
      <w:r>
        <w:rPr>
          <w:spacing w:val="3"/>
        </w:rPr>
        <w:t>不得少于两回路</w:t>
      </w:r>
      <w:r>
        <w:rPr>
          <w:rFonts w:hint="eastAsia" w:ascii="MS UI Gothic" w:eastAsia="MS UI Gothic"/>
          <w:spacing w:val="23"/>
          <w:w w:val="80"/>
        </w:rPr>
        <w:t xml:space="preserve">ꎮ </w:t>
      </w:r>
      <w:r>
        <w:rPr>
          <w:spacing w:val="2"/>
        </w:rPr>
        <w:t>当任一回</w:t>
      </w:r>
      <w:r>
        <w:rPr>
          <w:spacing w:val="3"/>
        </w:rPr>
        <w:t>路停止供电时</w:t>
      </w:r>
      <w:r>
        <w:rPr>
          <w:rFonts w:hint="eastAsia" w:ascii="MS UI Gothic" w:eastAsia="MS UI Gothic"/>
          <w:spacing w:val="20"/>
          <w:w w:val="80"/>
        </w:rPr>
        <w:t xml:space="preserve">ꎬ </w:t>
      </w:r>
      <w:r>
        <w:rPr>
          <w:spacing w:val="2"/>
        </w:rPr>
        <w:t>其余回路应当承担全部用</w:t>
      </w:r>
      <w:r>
        <w:rPr>
          <w:spacing w:val="18"/>
        </w:rPr>
        <w:t>电负荷</w:t>
      </w:r>
      <w:r>
        <w:rPr>
          <w:rFonts w:hint="eastAsia" w:ascii="MS UI Gothic" w:eastAsia="MS UI Gothic"/>
          <w:spacing w:val="1"/>
          <w:w w:val="80"/>
        </w:rPr>
        <w:t xml:space="preserve">ꎮ  </w:t>
      </w:r>
      <w:r>
        <w:rPr>
          <w:spacing w:val="31"/>
        </w:rPr>
        <w:t>向局部通风机供电的井下变</w:t>
      </w:r>
      <w:r>
        <w:rPr>
          <w:rFonts w:hint="eastAsia" w:ascii="MS UI Gothic" w:eastAsia="MS UI Gothic"/>
          <w:spacing w:val="-21"/>
          <w:w w:val="150"/>
        </w:rPr>
        <w:t xml:space="preserve">( </w:t>
      </w:r>
      <w:r>
        <w:rPr>
          <w:spacing w:val="3"/>
          <w:w w:val="105"/>
        </w:rPr>
        <w:t>配</w:t>
      </w:r>
      <w:r>
        <w:rPr>
          <w:rFonts w:hint="eastAsia" w:ascii="MS UI Gothic" w:eastAsia="MS UI Gothic"/>
          <w:spacing w:val="9"/>
          <w:w w:val="150"/>
        </w:rPr>
        <w:t xml:space="preserve">) </w:t>
      </w:r>
      <w:r>
        <w:rPr>
          <w:spacing w:val="3"/>
          <w:w w:val="105"/>
        </w:rPr>
        <w:t>电所应当采用分列运行方式</w:t>
      </w:r>
      <w:r>
        <w:rPr>
          <w:rFonts w:hint="eastAsia" w:ascii="MS UI Gothic" w:eastAsia="MS UI Gothic"/>
          <w:w w:val="80"/>
        </w:rPr>
        <w:t>ꎮ</w:t>
      </w:r>
    </w:p>
    <w:p>
      <w:pPr>
        <w:pStyle w:val="6"/>
        <w:spacing w:line="295" w:lineRule="auto"/>
        <w:ind w:right="442"/>
        <w:rPr>
          <w:rFonts w:hint="eastAsia" w:ascii="MS UI Gothic" w:eastAsia="MS UI Gothic"/>
        </w:rPr>
      </w:pPr>
      <w:r>
        <w:rPr>
          <w:spacing w:val="3"/>
          <w:w w:val="105"/>
        </w:rPr>
        <w:t>主要通风机</w:t>
      </w:r>
      <w:r>
        <w:rPr>
          <w:rFonts w:hint="eastAsia" w:ascii="MS UI Gothic" w:eastAsia="MS UI Gothic"/>
          <w:spacing w:val="13"/>
          <w:w w:val="80"/>
        </w:rPr>
        <w:t xml:space="preserve">、 </w:t>
      </w:r>
      <w:r>
        <w:rPr>
          <w:spacing w:val="3"/>
          <w:w w:val="105"/>
        </w:rPr>
        <w:t>提升人员的提升机</w:t>
      </w:r>
      <w:r>
        <w:rPr>
          <w:rFonts w:hint="eastAsia" w:ascii="MS UI Gothic" w:eastAsia="MS UI Gothic"/>
          <w:spacing w:val="13"/>
          <w:w w:val="80"/>
        </w:rPr>
        <w:t xml:space="preserve">、 </w:t>
      </w:r>
      <w:r>
        <w:rPr>
          <w:w w:val="105"/>
        </w:rPr>
        <w:t>抽</w:t>
      </w:r>
      <w:r>
        <w:rPr>
          <w:spacing w:val="3"/>
          <w:w w:val="105"/>
        </w:rPr>
        <w:t>采瓦斯泵</w:t>
      </w:r>
      <w:r>
        <w:rPr>
          <w:rFonts w:hint="eastAsia" w:ascii="MS UI Gothic" w:eastAsia="MS UI Gothic"/>
          <w:spacing w:val="-2"/>
          <w:w w:val="80"/>
        </w:rPr>
        <w:t xml:space="preserve">、 </w:t>
      </w:r>
      <w:r>
        <w:rPr>
          <w:spacing w:val="2"/>
          <w:w w:val="105"/>
        </w:rPr>
        <w:t>地面安全监控中心等主要设备</w:t>
      </w:r>
      <w:r>
        <w:rPr>
          <w:spacing w:val="3"/>
          <w:w w:val="105"/>
        </w:rPr>
        <w:t>房</w:t>
      </w:r>
      <w:r>
        <w:rPr>
          <w:rFonts w:hint="eastAsia" w:ascii="MS UI Gothic" w:eastAsia="MS UI Gothic"/>
          <w:spacing w:val="13"/>
          <w:w w:val="80"/>
        </w:rPr>
        <w:t xml:space="preserve">ꎬ </w:t>
      </w:r>
      <w:r>
        <w:rPr>
          <w:spacing w:val="-3"/>
          <w:w w:val="105"/>
        </w:rPr>
        <w:t xml:space="preserve">应当各有两回路直接由变 </w:t>
      </w:r>
      <w:r>
        <w:rPr>
          <w:rFonts w:hint="eastAsia" w:ascii="MS UI Gothic" w:eastAsia="MS UI Gothic"/>
          <w:spacing w:val="-38"/>
          <w:w w:val="150"/>
        </w:rPr>
        <w:t xml:space="preserve">( </w:t>
      </w:r>
      <w:r>
        <w:rPr>
          <w:spacing w:val="3"/>
          <w:w w:val="105"/>
        </w:rPr>
        <w:t>配</w:t>
      </w:r>
      <w:r>
        <w:rPr>
          <w:rFonts w:hint="eastAsia" w:ascii="MS UI Gothic" w:eastAsia="MS UI Gothic"/>
          <w:spacing w:val="-1"/>
          <w:w w:val="150"/>
        </w:rPr>
        <w:t xml:space="preserve">) </w:t>
      </w:r>
      <w:r>
        <w:rPr>
          <w:spacing w:val="1"/>
          <w:w w:val="105"/>
        </w:rPr>
        <w:t>电所</w:t>
      </w:r>
      <w:r>
        <w:rPr>
          <w:spacing w:val="3"/>
        </w:rPr>
        <w:t>馈出的供电线路</w:t>
      </w:r>
      <w:r>
        <w:rPr>
          <w:rFonts w:hint="eastAsia" w:ascii="MS UI Gothic" w:eastAsia="MS UI Gothic"/>
          <w:spacing w:val="23"/>
          <w:w w:val="80"/>
        </w:rPr>
        <w:t xml:space="preserve">ꎻ </w:t>
      </w:r>
      <w:r>
        <w:rPr>
          <w:spacing w:val="3"/>
        </w:rPr>
        <w:t>受条件限制时</w:t>
      </w:r>
      <w:r>
        <w:rPr>
          <w:rFonts w:hint="eastAsia" w:ascii="MS UI Gothic" w:eastAsia="MS UI Gothic"/>
          <w:spacing w:val="23"/>
          <w:w w:val="80"/>
        </w:rPr>
        <w:t xml:space="preserve">ꎬ </w:t>
      </w:r>
      <w:r>
        <w:rPr>
          <w:spacing w:val="2"/>
        </w:rPr>
        <w:t>其中的</w:t>
      </w:r>
      <w:r>
        <w:rPr>
          <w:spacing w:val="3"/>
          <w:w w:val="105"/>
        </w:rPr>
        <w:t>一回路可引自上述设备房的配电装置</w:t>
      </w:r>
      <w:r>
        <w:rPr>
          <w:rFonts w:hint="eastAsia" w:ascii="MS UI Gothic" w:eastAsia="MS UI Gothic"/>
          <w:w w:val="80"/>
        </w:rPr>
        <w:t>ꎮ</w:t>
      </w:r>
    </w:p>
    <w:p>
      <w:pPr>
        <w:pStyle w:val="6"/>
        <w:spacing w:line="295" w:lineRule="auto"/>
        <w:ind w:right="440"/>
        <w:rPr>
          <w:rFonts w:hint="eastAsia" w:ascii="MS UI Gothic" w:eastAsia="MS UI Gothic"/>
        </w:rPr>
      </w:pPr>
      <w:r>
        <w:t>向突出矿井自救系统供风的压风机</w:t>
      </w:r>
      <w:r>
        <w:rPr>
          <w:rFonts w:hint="eastAsia" w:ascii="MS UI Gothic" w:eastAsia="MS UI Gothic"/>
          <w:w w:val="80"/>
        </w:rPr>
        <w:t>、</w:t>
      </w:r>
      <w:r>
        <w:t>井下移动瓦斯抽采泵应当各有两回路直接</w:t>
      </w:r>
      <w:r>
        <w:rPr>
          <w:w w:val="105"/>
        </w:rPr>
        <w:t xml:space="preserve">由变 </w:t>
      </w:r>
      <w:r>
        <w:rPr>
          <w:rFonts w:hint="eastAsia" w:ascii="MS UI Gothic" w:eastAsia="MS UI Gothic"/>
          <w:w w:val="150"/>
        </w:rPr>
        <w:t xml:space="preserve">( </w:t>
      </w:r>
      <w:r>
        <w:rPr>
          <w:w w:val="105"/>
        </w:rPr>
        <w:t>配</w:t>
      </w:r>
      <w:r>
        <w:rPr>
          <w:rFonts w:hint="eastAsia" w:ascii="MS UI Gothic" w:eastAsia="MS UI Gothic"/>
          <w:w w:val="150"/>
        </w:rPr>
        <w:t xml:space="preserve">) </w:t>
      </w:r>
      <w:r>
        <w:rPr>
          <w:w w:val="105"/>
        </w:rPr>
        <w:t>电所馈出的供电线路</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本条上述供电线路应当来自各自的变</w:t>
      </w:r>
      <w:r>
        <w:rPr>
          <w:spacing w:val="12"/>
        </w:rPr>
        <w:t>压器或者母线段</w:t>
      </w:r>
      <w:r>
        <w:rPr>
          <w:rFonts w:hint="eastAsia" w:ascii="MS UI Gothic" w:eastAsia="MS UI Gothic"/>
          <w:spacing w:val="23"/>
          <w:w w:val="80"/>
        </w:rPr>
        <w:t xml:space="preserve">ꎬ </w:t>
      </w:r>
      <w:r>
        <w:rPr>
          <w:spacing w:val="16"/>
        </w:rPr>
        <w:t>线路上不应分接任何</w:t>
      </w:r>
      <w:r>
        <w:rPr>
          <w:spacing w:val="3"/>
        </w:rPr>
        <w:t>负荷</w:t>
      </w:r>
      <w:r>
        <w:rPr>
          <w:rFonts w:hint="eastAsia" w:ascii="MS UI Gothic" w:eastAsia="MS UI Gothic"/>
          <w:w w:val="80"/>
        </w:rPr>
        <w:t>ꎮ</w:t>
      </w:r>
    </w:p>
    <w:p>
      <w:pPr>
        <w:pStyle w:val="6"/>
        <w:spacing w:line="295" w:lineRule="auto"/>
        <w:ind w:right="442"/>
        <w:rPr>
          <w:rFonts w:hint="eastAsia" w:ascii="MS UI Gothic" w:eastAsia="MS UI Gothic"/>
        </w:rPr>
      </w:pPr>
      <w:r>
        <w:rPr>
          <w:spacing w:val="13"/>
        </w:rPr>
        <w:t>本条上述设备的控制回路和辅助设</w:t>
      </w:r>
      <w:r>
        <w:rPr>
          <w:spacing w:val="3"/>
        </w:rPr>
        <w:t>备</w:t>
      </w:r>
      <w:r>
        <w:rPr>
          <w:rFonts w:hint="eastAsia" w:ascii="MS UI Gothic" w:eastAsia="MS UI Gothic"/>
          <w:spacing w:val="18"/>
          <w:w w:val="80"/>
        </w:rPr>
        <w:t xml:space="preserve">ꎬ </w:t>
      </w:r>
      <w:r>
        <w:rPr>
          <w:spacing w:val="14"/>
        </w:rPr>
        <w:t>必须有与主要设备同等可靠的备用</w:t>
      </w:r>
      <w:r>
        <w:rPr>
          <w:spacing w:val="3"/>
        </w:rPr>
        <w:t>电源</w:t>
      </w:r>
      <w:r>
        <w:rPr>
          <w:rFonts w:hint="eastAsia" w:ascii="MS UI Gothic" w:eastAsia="MS UI Gothic"/>
          <w:w w:val="80"/>
        </w:rPr>
        <w:t>ꎮ</w:t>
      </w:r>
    </w:p>
    <w:p>
      <w:pPr>
        <w:pStyle w:val="6"/>
        <w:spacing w:line="295" w:lineRule="auto"/>
        <w:ind w:right="442"/>
        <w:rPr>
          <w:rFonts w:hint="eastAsia" w:ascii="MS UI Gothic" w:eastAsia="MS UI Gothic"/>
        </w:rPr>
      </w:pPr>
      <w:r>
        <w:t>向采区供电的同一电源线路上</w:t>
      </w:r>
      <w:r>
        <w:rPr>
          <w:rFonts w:hint="eastAsia" w:ascii="MS UI Gothic" w:eastAsia="MS UI Gothic"/>
          <w:w w:val="80"/>
        </w:rPr>
        <w:t xml:space="preserve">ꎬ </w:t>
      </w:r>
      <w:r>
        <w:t xml:space="preserve">串接的采区变电所数量不得超过 </w:t>
      </w:r>
      <w:r>
        <w:rPr>
          <w:rFonts w:hint="eastAsia" w:ascii="MS UI Gothic" w:eastAsia="MS UI Gothic"/>
          <w:w w:val="80"/>
        </w:rPr>
        <w:t xml:space="preserve">３ </w:t>
      </w:r>
      <w:r>
        <w:t>个</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第四百三十九条 采区变电所应当设</w:t>
      </w:r>
      <w:r>
        <w:rPr>
          <w:spacing w:val="3"/>
        </w:rPr>
        <w:t>专人值班</w:t>
      </w:r>
      <w:r>
        <w:rPr>
          <w:rFonts w:hint="eastAsia" w:ascii="MS UI Gothic" w:eastAsia="MS UI Gothic"/>
          <w:spacing w:val="20"/>
          <w:w w:val="80"/>
        </w:rPr>
        <w:t xml:space="preserve">ꎮ </w:t>
      </w:r>
      <w:r>
        <w:rPr>
          <w:spacing w:val="2"/>
        </w:rPr>
        <w:t>无人值班的变电所必须关门加</w:t>
      </w:r>
      <w:r>
        <w:rPr>
          <w:spacing w:val="3"/>
        </w:rPr>
        <w:t>锁</w:t>
      </w:r>
      <w:r>
        <w:rPr>
          <w:rFonts w:hint="eastAsia" w:ascii="MS UI Gothic" w:eastAsia="MS UI Gothic"/>
          <w:spacing w:val="2"/>
          <w:w w:val="80"/>
        </w:rPr>
        <w:t xml:space="preserve">ꎬ </w:t>
      </w:r>
      <w:r>
        <w:rPr>
          <w:spacing w:val="3"/>
        </w:rPr>
        <w:t>并有巡检人员巡回检查</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实现地面集中监控并有图像监视的变</w:t>
      </w:r>
      <w:r>
        <w:rPr>
          <w:spacing w:val="3"/>
        </w:rPr>
        <w:t>电所可以不设专人值班</w:t>
      </w:r>
      <w:r>
        <w:rPr>
          <w:rFonts w:hint="eastAsia" w:ascii="MS UI Gothic" w:eastAsia="MS UI Gothic"/>
          <w:spacing w:val="20"/>
          <w:w w:val="80"/>
        </w:rPr>
        <w:t xml:space="preserve">ꎬ </w:t>
      </w:r>
      <w:r>
        <w:rPr>
          <w:spacing w:val="2"/>
        </w:rPr>
        <w:t>硐室必须关门加</w:t>
      </w:r>
      <w:r>
        <w:rPr>
          <w:spacing w:val="3"/>
        </w:rPr>
        <w:t>锁</w:t>
      </w:r>
      <w:r>
        <w:rPr>
          <w:rFonts w:hint="eastAsia" w:ascii="MS UI Gothic" w:eastAsia="MS UI Gothic"/>
          <w:spacing w:val="2"/>
          <w:w w:val="80"/>
        </w:rPr>
        <w:t xml:space="preserve">ꎬ </w:t>
      </w:r>
      <w:r>
        <w:rPr>
          <w:spacing w:val="3"/>
        </w:rPr>
        <w:t>并有巡检人员巡回检查</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第四百四十条 严禁井下配电变压器中性点直接接地</w:t>
      </w:r>
      <w:r>
        <w:rPr>
          <w:rFonts w:hint="eastAsia" w:ascii="MS UI Gothic" w:eastAsia="MS UI Gothic"/>
          <w:w w:val="80"/>
        </w:rPr>
        <w:t>ꎮ</w:t>
      </w:r>
    </w:p>
    <w:p>
      <w:pPr>
        <w:pStyle w:val="6"/>
        <w:spacing w:line="295" w:lineRule="auto"/>
        <w:ind w:right="442"/>
        <w:jc w:val="left"/>
        <w:rPr>
          <w:rFonts w:hint="eastAsia" w:ascii="MS UI Gothic" w:eastAsia="MS UI Gothic"/>
        </w:rPr>
      </w:pPr>
      <w:r>
        <w:t>严禁由地面中性点直接接地的变压器</w:t>
      </w:r>
      <w:r>
        <w:rPr>
          <w:w w:val="105"/>
        </w:rPr>
        <w:t>或者发电机直接向井下供电</w:t>
      </w:r>
      <w:r>
        <w:rPr>
          <w:rFonts w:hint="eastAsia" w:ascii="MS UI Gothic" w:eastAsia="MS UI Gothic"/>
          <w:w w:val="80"/>
        </w:rPr>
        <w:t>ꎮ</w:t>
      </w:r>
    </w:p>
    <w:p>
      <w:pPr>
        <w:pStyle w:val="6"/>
        <w:tabs>
          <w:tab w:val="left" w:pos="2220"/>
        </w:tabs>
        <w:spacing w:line="295" w:lineRule="auto"/>
        <w:ind w:right="442"/>
        <w:jc w:val="left"/>
        <w:rPr>
          <w:rFonts w:hint="eastAsia" w:ascii="MS UI Gothic" w:eastAsia="MS UI Gothic"/>
        </w:rPr>
      </w:pPr>
      <w:r>
        <w:rPr>
          <w:spacing w:val="3"/>
        </w:rPr>
        <w:t>第四百四十一</w:t>
      </w:r>
      <w:r>
        <w:t>条</w:t>
      </w:r>
      <w:r>
        <w:tab/>
      </w:r>
      <w:r>
        <w:rPr>
          <w:spacing w:val="3"/>
        </w:rPr>
        <w:t>选用井下电气设</w:t>
      </w:r>
      <w:r>
        <w:rPr>
          <w:spacing w:val="-11"/>
        </w:rPr>
        <w:t>备</w:t>
      </w:r>
      <w:r>
        <w:rPr>
          <w:spacing w:val="3"/>
        </w:rPr>
        <w:t>必须符合</w:t>
      </w:r>
      <w:r>
        <w:t>表</w:t>
      </w:r>
      <w:r>
        <w:rPr>
          <w:spacing w:val="-52"/>
        </w:rPr>
        <w:t xml:space="preserve"> </w:t>
      </w:r>
      <w:r>
        <w:rPr>
          <w:rFonts w:hint="eastAsia" w:ascii="MS UI Gothic" w:eastAsia="MS UI Gothic"/>
          <w:w w:val="85"/>
        </w:rPr>
        <w:t>１６</w:t>
      </w:r>
      <w:r>
        <w:rPr>
          <w:rFonts w:hint="eastAsia" w:ascii="MS UI Gothic" w:eastAsia="MS UI Gothic"/>
          <w:spacing w:val="5"/>
          <w:w w:val="85"/>
        </w:rPr>
        <w:t xml:space="preserve"> </w:t>
      </w:r>
      <w:r>
        <w:rPr>
          <w:spacing w:val="3"/>
        </w:rPr>
        <w:t>的要求</w:t>
      </w:r>
      <w:r>
        <w:rPr>
          <w:rFonts w:hint="eastAsia" w:ascii="MS UI Gothic" w:eastAsia="MS UI Gothic"/>
          <w:w w:val="85"/>
        </w:rPr>
        <w:t>ꎮ</w:t>
      </w:r>
    </w:p>
    <w:p>
      <w:pPr>
        <w:pStyle w:val="6"/>
        <w:spacing w:line="295" w:lineRule="auto"/>
        <w:ind w:right="442"/>
      </w:pPr>
      <w:r>
        <w:rPr>
          <w:w w:val="105"/>
        </w:rPr>
        <w:t>第四百四十二条 井下不得带电检修</w:t>
      </w:r>
      <w:r>
        <w:t>电气设备</w:t>
      </w:r>
      <w:r>
        <w:rPr>
          <w:rFonts w:hint="eastAsia" w:ascii="MS UI Gothic" w:eastAsia="MS UI Gothic"/>
          <w:w w:val="80"/>
        </w:rPr>
        <w:t xml:space="preserve">ꎮ </w:t>
      </w:r>
      <w:r>
        <w:t>严禁带电搬迁非本安型电气设</w:t>
      </w:r>
      <w:r>
        <w:rPr>
          <w:w w:val="105"/>
        </w:rPr>
        <w:t>备</w:t>
      </w:r>
      <w:r>
        <w:rPr>
          <w:rFonts w:hint="eastAsia" w:ascii="MS UI Gothic" w:eastAsia="MS UI Gothic"/>
          <w:w w:val="80"/>
        </w:rPr>
        <w:t xml:space="preserve">、 </w:t>
      </w:r>
      <w:r>
        <w:rPr>
          <w:w w:val="105"/>
        </w:rPr>
        <w:t>电缆</w:t>
      </w:r>
      <w:r>
        <w:rPr>
          <w:rFonts w:hint="eastAsia" w:ascii="MS UI Gothic" w:eastAsia="MS UI Gothic"/>
          <w:w w:val="80"/>
        </w:rPr>
        <w:t xml:space="preserve">ꎬ </w:t>
      </w:r>
      <w:r>
        <w:rPr>
          <w:w w:val="105"/>
        </w:rPr>
        <w:t>采用电缆供电的移动式用电设</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３１１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56" o:spid="_x0000_s1956" o:spt="203" style="height:2.15pt;width:398.25pt;" coordsize="7965,43">
            <o:lock v:ext="edit"/>
            <v:line id="_x0000_s1957" o:spid="_x0000_s1957" o:spt="20" style="position:absolute;left:0;top:39;height:0;width:7965;" stroked="t" coordsize="21600,21600">
              <v:path arrowok="t"/>
              <v:fill focussize="0,0"/>
              <v:stroke weight="0.388031496062992pt" color="#231F20"/>
              <v:imagedata o:title=""/>
              <o:lock v:ext="edit"/>
            </v:line>
            <v:line id="_x0000_s1958" o:spid="_x0000_s195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备不受此限</w:t>
      </w:r>
      <w:r>
        <w:rPr>
          <w:rFonts w:hint="eastAsia" w:ascii="MS UI Gothic" w:eastAsia="MS UI Gothic"/>
          <w:w w:val="80"/>
        </w:rPr>
        <w:t>ꎮ</w:t>
      </w:r>
    </w:p>
    <w:p>
      <w:pPr>
        <w:pStyle w:val="6"/>
        <w:spacing w:before="58" w:line="295" w:lineRule="auto"/>
        <w:ind w:left="440"/>
        <w:rPr>
          <w:rFonts w:hint="eastAsia" w:ascii="MS UI Gothic" w:hAnsi="MS UI Gothic" w:eastAsia="MS UI Gothic"/>
        </w:rPr>
      </w:pPr>
      <w:r>
        <w:rPr>
          <w:spacing w:val="14"/>
        </w:rPr>
        <w:t>检修或者搬迁前</w:t>
      </w:r>
      <w:r>
        <w:rPr>
          <w:rFonts w:hint="eastAsia" w:ascii="MS UI Gothic" w:hAnsi="MS UI Gothic" w:eastAsia="MS UI Gothic"/>
          <w:spacing w:val="13"/>
          <w:w w:val="85"/>
        </w:rPr>
        <w:t xml:space="preserve">ꎬ </w:t>
      </w:r>
      <w:r>
        <w:rPr>
          <w:spacing w:val="16"/>
        </w:rPr>
        <w:t>必须切断上级电</w:t>
      </w:r>
      <w:r>
        <w:rPr>
          <w:spacing w:val="3"/>
        </w:rPr>
        <w:t>源</w:t>
      </w:r>
      <w:r>
        <w:rPr>
          <w:rFonts w:hint="eastAsia" w:ascii="MS UI Gothic" w:hAnsi="MS UI Gothic" w:eastAsia="MS UI Gothic"/>
          <w:spacing w:val="17"/>
          <w:w w:val="85"/>
        </w:rPr>
        <w:t xml:space="preserve">ꎬ </w:t>
      </w:r>
      <w:r>
        <w:rPr>
          <w:spacing w:val="3"/>
        </w:rPr>
        <w:t>检查瓦斯</w:t>
      </w:r>
      <w:r>
        <w:rPr>
          <w:rFonts w:hint="eastAsia" w:ascii="MS UI Gothic" w:hAnsi="MS UI Gothic" w:eastAsia="MS UI Gothic"/>
          <w:spacing w:val="17"/>
          <w:w w:val="85"/>
        </w:rPr>
        <w:t xml:space="preserve">ꎬ </w:t>
      </w:r>
      <w:r>
        <w:rPr>
          <w:spacing w:val="2"/>
        </w:rPr>
        <w:t>在其巷道风流中甲烷浓度</w:t>
      </w:r>
      <w:r>
        <w:rPr>
          <w:spacing w:val="-22"/>
        </w:rPr>
        <w:t xml:space="preserve">低于 </w:t>
      </w:r>
      <w:r>
        <w:rPr>
          <w:rFonts w:hint="eastAsia" w:ascii="MS UI Gothic" w:hAnsi="MS UI Gothic" w:eastAsia="MS UI Gothic"/>
          <w:w w:val="95"/>
        </w:rPr>
        <w:t>１</w:t>
      </w:r>
      <w:r>
        <w:rPr>
          <w:rFonts w:hint="eastAsia" w:ascii="MS UI Gothic" w:hAnsi="MS UI Gothic" w:eastAsia="MS UI Gothic"/>
          <w:spacing w:val="-11"/>
          <w:w w:val="95"/>
        </w:rPr>
        <w:t xml:space="preserve"> ０</w:t>
      </w:r>
      <w:r>
        <w:rPr>
          <w:spacing w:val="-35"/>
          <w:w w:val="95"/>
        </w:rPr>
        <w:t xml:space="preserve">％ </w:t>
      </w:r>
      <w:r>
        <w:rPr>
          <w:spacing w:val="3"/>
        </w:rPr>
        <w:t>时</w:t>
      </w:r>
      <w:r>
        <w:rPr>
          <w:rFonts w:hint="eastAsia" w:ascii="MS UI Gothic" w:hAnsi="MS UI Gothic" w:eastAsia="MS UI Gothic"/>
          <w:spacing w:val="10"/>
          <w:w w:val="85"/>
        </w:rPr>
        <w:t xml:space="preserve">ꎬ </w:t>
      </w:r>
      <w:r>
        <w:rPr>
          <w:spacing w:val="10"/>
        </w:rPr>
        <w:t>再用与电源电压相适应的</w:t>
      </w:r>
      <w:r>
        <w:rPr>
          <w:spacing w:val="3"/>
        </w:rPr>
        <w:t>验电笔检验</w:t>
      </w:r>
      <w:r>
        <w:rPr>
          <w:rFonts w:hint="eastAsia" w:ascii="MS UI Gothic" w:hAnsi="MS UI Gothic" w:eastAsia="MS UI Gothic"/>
          <w:spacing w:val="17"/>
          <w:w w:val="85"/>
        </w:rPr>
        <w:t xml:space="preserve">ꎻ </w:t>
      </w:r>
      <w:r>
        <w:rPr>
          <w:spacing w:val="3"/>
        </w:rPr>
        <w:t>检验无电后</w:t>
      </w:r>
      <w:r>
        <w:rPr>
          <w:rFonts w:hint="eastAsia" w:ascii="MS UI Gothic" w:hAnsi="MS UI Gothic" w:eastAsia="MS UI Gothic"/>
          <w:spacing w:val="17"/>
          <w:w w:val="85"/>
        </w:rPr>
        <w:t xml:space="preserve">ꎬ </w:t>
      </w:r>
      <w:r>
        <w:rPr>
          <w:spacing w:val="2"/>
        </w:rPr>
        <w:t>方可进行导体</w:t>
      </w:r>
      <w:r>
        <w:rPr>
          <w:spacing w:val="3"/>
        </w:rPr>
        <w:t>对地放电</w:t>
      </w:r>
      <w:r>
        <w:rPr>
          <w:rFonts w:hint="eastAsia" w:ascii="MS UI Gothic" w:hAnsi="MS UI Gothic" w:eastAsia="MS UI Gothic"/>
          <w:spacing w:val="14"/>
          <w:w w:val="85"/>
        </w:rPr>
        <w:t xml:space="preserve">ꎮ </w:t>
      </w:r>
      <w:r>
        <w:rPr>
          <w:spacing w:val="2"/>
        </w:rPr>
        <w:t>开关把手在切断电源时必须闭</w:t>
      </w:r>
      <w:r>
        <w:rPr>
          <w:spacing w:val="3"/>
        </w:rPr>
        <w:t>锁</w:t>
      </w:r>
      <w:r>
        <w:rPr>
          <w:rFonts w:hint="eastAsia" w:ascii="MS UI Gothic" w:hAnsi="MS UI Gothic" w:eastAsia="MS UI Gothic"/>
          <w:spacing w:val="22"/>
          <w:w w:val="85"/>
        </w:rPr>
        <w:t xml:space="preserve">ꎬ </w:t>
      </w:r>
      <w:r>
        <w:rPr>
          <w:spacing w:val="-9"/>
        </w:rPr>
        <w:t xml:space="preserve">并悬挂 </w:t>
      </w:r>
      <w:r>
        <w:rPr>
          <w:rFonts w:hint="eastAsia" w:ascii="MS UI Gothic" w:hAnsi="MS UI Gothic" w:eastAsia="MS UI Gothic"/>
          <w:spacing w:val="-19"/>
          <w:w w:val="95"/>
        </w:rPr>
        <w:t xml:space="preserve">“ </w:t>
      </w:r>
      <w:r>
        <w:rPr>
          <w:spacing w:val="3"/>
        </w:rPr>
        <w:t>有人工作</w:t>
      </w:r>
      <w:r>
        <w:rPr>
          <w:rFonts w:hint="eastAsia" w:ascii="MS UI Gothic" w:hAnsi="MS UI Gothic" w:eastAsia="MS UI Gothic"/>
          <w:spacing w:val="22"/>
          <w:w w:val="85"/>
        </w:rPr>
        <w:t xml:space="preserve">ꎬ </w:t>
      </w:r>
      <w:r>
        <w:rPr>
          <w:spacing w:val="3"/>
        </w:rPr>
        <w:t>不准送电</w:t>
      </w:r>
      <w:r>
        <w:rPr>
          <w:rFonts w:hint="eastAsia" w:ascii="MS UI Gothic" w:hAnsi="MS UI Gothic" w:eastAsia="MS UI Gothic"/>
          <w:w w:val="95"/>
        </w:rPr>
        <w:t xml:space="preserve">”  </w:t>
      </w:r>
      <w:r>
        <w:rPr>
          <w:spacing w:val="1"/>
        </w:rPr>
        <w:t>字样</w:t>
      </w:r>
      <w:r>
        <w:rPr>
          <w:spacing w:val="3"/>
        </w:rPr>
        <w:t>的警示牌</w:t>
      </w:r>
      <w:r>
        <w:rPr>
          <w:rFonts w:hint="eastAsia" w:ascii="MS UI Gothic" w:hAnsi="MS UI Gothic" w:eastAsia="MS UI Gothic"/>
          <w:spacing w:val="14"/>
          <w:w w:val="85"/>
        </w:rPr>
        <w:t xml:space="preserve">ꎬ </w:t>
      </w:r>
      <w:r>
        <w:rPr>
          <w:spacing w:val="2"/>
        </w:rPr>
        <w:t>只有执行这项工作的人员才有</w:t>
      </w:r>
      <w:r>
        <w:rPr>
          <w:spacing w:val="3"/>
        </w:rPr>
        <w:t>权取下此牌送电</w:t>
      </w:r>
      <w:r>
        <w:rPr>
          <w:rFonts w:hint="eastAsia" w:ascii="MS UI Gothic" w:hAnsi="MS UI Gothic" w:eastAsia="MS UI Gothic"/>
          <w:w w:val="85"/>
        </w:rPr>
        <w:t>ꎮ</w:t>
      </w:r>
    </w:p>
    <w:p>
      <w:pPr>
        <w:pStyle w:val="6"/>
        <w:spacing w:before="124" w:line="295" w:lineRule="auto"/>
        <w:ind w:left="383" w:right="126"/>
        <w:rPr>
          <w:rFonts w:hint="eastAsia" w:ascii="MS UI Gothic" w:eastAsia="MS UI Gothic"/>
        </w:rPr>
      </w:pPr>
      <w:r>
        <w:br w:type="column"/>
      </w:r>
      <w:r>
        <w:rPr>
          <w:w w:val="105"/>
        </w:rPr>
        <w:t>第四百四十三条 操作井下电气设备</w:t>
      </w:r>
      <w:r>
        <w:rPr>
          <w:w w:val="110"/>
        </w:rPr>
        <w:t>应当遵守下列规定</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5"/>
          <w:w w:val="105"/>
        </w:rPr>
        <w:t xml:space="preserve">) </w:t>
      </w:r>
      <w:r>
        <w:rPr>
          <w:spacing w:val="5"/>
          <w:w w:val="105"/>
        </w:rPr>
        <w:t>非专职人员或者非值班电气人</w:t>
      </w:r>
      <w:r>
        <w:rPr>
          <w:spacing w:val="3"/>
          <w:w w:val="110"/>
        </w:rPr>
        <w:t>员不得操作电气设备</w:t>
      </w:r>
      <w:r>
        <w:rPr>
          <w:rFonts w:hint="eastAsia" w:ascii="MS UI Gothic" w:eastAsia="MS UI Gothic"/>
          <w:w w:val="80"/>
        </w:rPr>
        <w:t>ꎮ</w:t>
      </w:r>
    </w:p>
    <w:p>
      <w:pPr>
        <w:pStyle w:val="6"/>
        <w:spacing w:line="295" w:lineRule="auto"/>
        <w:ind w:left="383" w:right="124"/>
        <w:rPr>
          <w:rFonts w:hint="eastAsia" w:ascii="MS UI Gothic" w:eastAsia="MS UI Gothic"/>
        </w:rPr>
      </w:pPr>
      <w:r>
        <w:rPr>
          <w:rFonts w:hint="eastAsia" w:ascii="MS UI Gothic" w:eastAsia="MS UI Gothic"/>
          <w:spacing w:val="-41"/>
          <w:w w:val="150"/>
        </w:rPr>
        <w:t xml:space="preserve">( </w:t>
      </w:r>
      <w:r>
        <w:rPr>
          <w:spacing w:val="7"/>
          <w:w w:val="105"/>
        </w:rPr>
        <w:t>二</w:t>
      </w:r>
      <w:r>
        <w:rPr>
          <w:rFonts w:hint="eastAsia" w:ascii="MS UI Gothic" w:eastAsia="MS UI Gothic"/>
          <w:spacing w:val="-13"/>
          <w:w w:val="150"/>
        </w:rPr>
        <w:t xml:space="preserve">) </w:t>
      </w:r>
      <w:r>
        <w:rPr>
          <w:spacing w:val="15"/>
          <w:w w:val="105"/>
        </w:rPr>
        <w:t>操作高压电气设备主回路时</w:t>
      </w:r>
      <w:r>
        <w:rPr>
          <w:rFonts w:hint="eastAsia" w:ascii="MS UI Gothic" w:eastAsia="MS UI Gothic"/>
          <w:w w:val="80"/>
        </w:rPr>
        <w:t>ꎬ</w:t>
      </w:r>
      <w:r>
        <w:rPr>
          <w:spacing w:val="3"/>
        </w:rPr>
        <w:t>操作人员必须戴绝缘手套</w:t>
      </w:r>
      <w:r>
        <w:rPr>
          <w:rFonts w:hint="eastAsia" w:ascii="MS UI Gothic" w:eastAsia="MS UI Gothic"/>
          <w:spacing w:val="19"/>
          <w:w w:val="80"/>
        </w:rPr>
        <w:t xml:space="preserve">ꎬ </w:t>
      </w:r>
      <w:r>
        <w:rPr>
          <w:spacing w:val="2"/>
        </w:rPr>
        <w:t>并穿电工绝缘</w:t>
      </w:r>
      <w:r>
        <w:rPr>
          <w:spacing w:val="3"/>
          <w:w w:val="105"/>
        </w:rPr>
        <w:t>靴或者站在绝缘台上</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手持式电气设备的操作手柄和</w:t>
      </w:r>
      <w:r>
        <w:t>工作中必须接触的部分必须有良好绝缘</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5"/>
        <w:ind w:left="0" w:firstLine="0"/>
        <w:jc w:val="left"/>
        <w:rPr>
          <w:rFonts w:ascii="MS UI Gothic"/>
          <w:sz w:val="10"/>
        </w:rPr>
      </w:pPr>
    </w:p>
    <w:p>
      <w:pPr>
        <w:pStyle w:val="6"/>
        <w:spacing w:before="174"/>
        <w:ind w:left="310" w:firstLine="0"/>
        <w:jc w:val="center"/>
      </w:pPr>
      <w:r>
        <w:rPr>
          <w:w w:val="95"/>
        </w:rPr>
        <w:t xml:space="preserve">表 </w:t>
      </w:r>
      <w:r>
        <w:rPr>
          <w:rFonts w:hint="eastAsia" w:ascii="MS UI Gothic" w:eastAsia="MS UI Gothic"/>
          <w:w w:val="95"/>
        </w:rPr>
        <w:t xml:space="preserve">１６  </w:t>
      </w:r>
      <w:r>
        <w:rPr>
          <w:w w:val="95"/>
        </w:rPr>
        <w:t>井下电气设备选型</w:t>
      </w:r>
    </w:p>
    <w:p>
      <w:pPr>
        <w:pStyle w:val="6"/>
        <w:spacing w:before="1"/>
        <w:ind w:left="0" w:firstLine="0"/>
        <w:jc w:val="left"/>
        <w:rPr>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591"/>
        <w:gridCol w:w="1273"/>
        <w:gridCol w:w="796"/>
        <w:gridCol w:w="796"/>
        <w:gridCol w:w="796"/>
        <w:gridCol w:w="796"/>
        <w:gridCol w:w="1918"/>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591" w:type="dxa"/>
            <w:vMerge w:val="restart"/>
            <w:tcBorders>
              <w:bottom w:val="single" w:color="231F20" w:sz="4" w:space="0"/>
              <w:right w:val="single" w:color="231F20" w:sz="4" w:space="0"/>
            </w:tcBorders>
          </w:tcPr>
          <w:p>
            <w:pPr>
              <w:pStyle w:val="11"/>
              <w:rPr>
                <w:sz w:val="18"/>
              </w:rPr>
            </w:pPr>
          </w:p>
          <w:p>
            <w:pPr>
              <w:pStyle w:val="11"/>
              <w:rPr>
                <w:sz w:val="18"/>
              </w:rPr>
            </w:pPr>
          </w:p>
          <w:p>
            <w:pPr>
              <w:pStyle w:val="11"/>
              <w:rPr>
                <w:sz w:val="18"/>
              </w:rPr>
            </w:pPr>
          </w:p>
          <w:p>
            <w:pPr>
              <w:pStyle w:val="11"/>
              <w:spacing w:before="154"/>
              <w:ind w:left="477"/>
              <w:rPr>
                <w:sz w:val="15"/>
              </w:rPr>
            </w:pPr>
            <w:r>
              <w:rPr>
                <w:w w:val="105"/>
                <w:sz w:val="15"/>
              </w:rPr>
              <w:t>设备类别</w:t>
            </w:r>
          </w:p>
        </w:tc>
        <w:tc>
          <w:tcPr>
            <w:tcW w:w="1273" w:type="dxa"/>
            <w:vMerge w:val="restart"/>
            <w:tcBorders>
              <w:left w:val="single" w:color="231F20" w:sz="4" w:space="0"/>
              <w:bottom w:val="single" w:color="231F20" w:sz="4" w:space="0"/>
              <w:right w:val="single" w:color="231F20" w:sz="4" w:space="0"/>
            </w:tcBorders>
          </w:tcPr>
          <w:p>
            <w:pPr>
              <w:pStyle w:val="11"/>
              <w:rPr>
                <w:sz w:val="18"/>
              </w:rPr>
            </w:pPr>
          </w:p>
          <w:p>
            <w:pPr>
              <w:pStyle w:val="11"/>
              <w:rPr>
                <w:sz w:val="18"/>
              </w:rPr>
            </w:pPr>
          </w:p>
          <w:p>
            <w:pPr>
              <w:pStyle w:val="11"/>
              <w:spacing w:before="9"/>
              <w:rPr>
                <w:sz w:val="19"/>
              </w:rPr>
            </w:pPr>
          </w:p>
          <w:p>
            <w:pPr>
              <w:pStyle w:val="11"/>
              <w:spacing w:line="328" w:lineRule="auto"/>
              <w:ind w:left="109" w:right="91" w:firstLine="180"/>
              <w:rPr>
                <w:sz w:val="15"/>
              </w:rPr>
            </w:pPr>
            <w:r>
              <w:rPr>
                <w:w w:val="105"/>
                <w:sz w:val="15"/>
              </w:rPr>
              <w:t>突出矿井和瓦斯喷出区域</w:t>
            </w:r>
          </w:p>
        </w:tc>
        <w:tc>
          <w:tcPr>
            <w:tcW w:w="5102" w:type="dxa"/>
            <w:gridSpan w:val="5"/>
            <w:tcBorders>
              <w:left w:val="single" w:color="231F20" w:sz="4" w:space="0"/>
              <w:bottom w:val="single" w:color="231F20" w:sz="4" w:space="0"/>
            </w:tcBorders>
          </w:tcPr>
          <w:p>
            <w:pPr>
              <w:pStyle w:val="11"/>
              <w:spacing w:before="50"/>
              <w:ind w:left="1679"/>
              <w:rPr>
                <w:sz w:val="15"/>
              </w:rPr>
            </w:pPr>
            <w:r>
              <w:rPr>
                <w:sz w:val="15"/>
              </w:rPr>
              <w:t>高瓦斯矿井</w:t>
            </w:r>
            <w:r>
              <w:rPr>
                <w:rFonts w:hint="eastAsia" w:ascii="MS UI Gothic" w:eastAsia="MS UI Gothic"/>
                <w:sz w:val="15"/>
              </w:rPr>
              <w:t xml:space="preserve">、 </w:t>
            </w:r>
            <w:r>
              <w:rPr>
                <w:sz w:val="15"/>
              </w:rPr>
              <w:t>低瓦斯矿井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1591" w:type="dxa"/>
            <w:vMerge w:val="continue"/>
            <w:tcBorders>
              <w:top w:val="nil"/>
              <w:bottom w:val="single" w:color="231F20" w:sz="4" w:space="0"/>
              <w:right w:val="single" w:color="231F20" w:sz="4" w:space="0"/>
            </w:tcBorders>
          </w:tcPr>
          <w:p>
            <w:pPr>
              <w:rPr>
                <w:sz w:val="2"/>
                <w:szCs w:val="2"/>
              </w:rPr>
            </w:pPr>
          </w:p>
        </w:tc>
        <w:tc>
          <w:tcPr>
            <w:tcW w:w="1273" w:type="dxa"/>
            <w:vMerge w:val="continue"/>
            <w:tcBorders>
              <w:top w:val="nil"/>
              <w:left w:val="single" w:color="231F20" w:sz="4" w:space="0"/>
              <w:bottom w:val="single" w:color="231F20" w:sz="4" w:space="0"/>
              <w:right w:val="single" w:color="231F20" w:sz="4" w:space="0"/>
            </w:tcBorders>
          </w:tcPr>
          <w:p>
            <w:pPr>
              <w:rPr>
                <w:sz w:val="2"/>
                <w:szCs w:val="2"/>
              </w:rPr>
            </w:pPr>
          </w:p>
        </w:tc>
        <w:tc>
          <w:tcPr>
            <w:tcW w:w="1592" w:type="dxa"/>
            <w:gridSpan w:val="2"/>
            <w:tcBorders>
              <w:top w:val="single" w:color="231F20" w:sz="4" w:space="0"/>
              <w:left w:val="single" w:color="231F20" w:sz="4" w:space="0"/>
              <w:bottom w:val="single" w:color="231F20" w:sz="4" w:space="0"/>
              <w:right w:val="single" w:color="231F20" w:sz="4" w:space="0"/>
            </w:tcBorders>
          </w:tcPr>
          <w:p>
            <w:pPr>
              <w:pStyle w:val="11"/>
              <w:spacing w:before="109" w:line="328" w:lineRule="auto"/>
              <w:ind w:left="109" w:right="92" w:firstLine="174"/>
              <w:jc w:val="both"/>
              <w:rPr>
                <w:sz w:val="15"/>
              </w:rPr>
            </w:pPr>
            <w:r>
              <w:rPr>
                <w:sz w:val="15"/>
              </w:rPr>
              <w:t>井底车场</w:t>
            </w:r>
            <w:r>
              <w:rPr>
                <w:rFonts w:hint="eastAsia" w:ascii="MS UI Gothic" w:eastAsia="MS UI Gothic"/>
                <w:sz w:val="15"/>
              </w:rPr>
              <w:t xml:space="preserve">、 </w:t>
            </w:r>
            <w:r>
              <w:rPr>
                <w:sz w:val="15"/>
              </w:rPr>
              <w:t>中央变电所</w:t>
            </w:r>
            <w:r>
              <w:rPr>
                <w:rFonts w:hint="eastAsia" w:ascii="MS UI Gothic" w:eastAsia="MS UI Gothic"/>
                <w:sz w:val="15"/>
              </w:rPr>
              <w:t xml:space="preserve">、 </w:t>
            </w:r>
            <w:r>
              <w:rPr>
                <w:sz w:val="15"/>
              </w:rPr>
              <w:t>总进风巷和主要进风巷</w:t>
            </w:r>
          </w:p>
        </w:tc>
        <w:tc>
          <w:tcPr>
            <w:tcW w:w="796" w:type="dxa"/>
            <w:vMerge w:val="restart"/>
            <w:tcBorders>
              <w:top w:val="single" w:color="231F20" w:sz="4" w:space="0"/>
              <w:left w:val="single" w:color="231F20" w:sz="4" w:space="0"/>
              <w:bottom w:val="single" w:color="231F20" w:sz="4" w:space="0"/>
              <w:right w:val="single" w:color="231F20" w:sz="4" w:space="0"/>
            </w:tcBorders>
          </w:tcPr>
          <w:p>
            <w:pPr>
              <w:pStyle w:val="11"/>
              <w:rPr>
                <w:sz w:val="18"/>
              </w:rPr>
            </w:pPr>
          </w:p>
          <w:p>
            <w:pPr>
              <w:pStyle w:val="11"/>
              <w:spacing w:before="9"/>
              <w:rPr>
                <w:sz w:val="25"/>
              </w:rPr>
            </w:pPr>
          </w:p>
          <w:p>
            <w:pPr>
              <w:pStyle w:val="11"/>
              <w:spacing w:line="328" w:lineRule="auto"/>
              <w:ind w:left="243" w:right="146" w:hanging="80"/>
              <w:rPr>
                <w:sz w:val="15"/>
              </w:rPr>
            </w:pPr>
            <w:r>
              <w:rPr>
                <w:w w:val="105"/>
                <w:sz w:val="15"/>
              </w:rPr>
              <w:t>翻车机硐室</w:t>
            </w:r>
          </w:p>
        </w:tc>
        <w:tc>
          <w:tcPr>
            <w:tcW w:w="796" w:type="dxa"/>
            <w:vMerge w:val="restart"/>
            <w:tcBorders>
              <w:top w:val="single" w:color="231F20" w:sz="4" w:space="0"/>
              <w:left w:val="single" w:color="231F20" w:sz="4" w:space="0"/>
              <w:bottom w:val="single" w:color="231F20" w:sz="4" w:space="0"/>
              <w:right w:val="single" w:color="231F20" w:sz="4" w:space="0"/>
            </w:tcBorders>
          </w:tcPr>
          <w:p>
            <w:pPr>
              <w:pStyle w:val="11"/>
              <w:rPr>
                <w:sz w:val="18"/>
              </w:rPr>
            </w:pPr>
          </w:p>
          <w:p>
            <w:pPr>
              <w:pStyle w:val="11"/>
              <w:spacing w:before="9"/>
              <w:rPr>
                <w:sz w:val="25"/>
              </w:rPr>
            </w:pPr>
          </w:p>
          <w:p>
            <w:pPr>
              <w:pStyle w:val="11"/>
              <w:spacing w:line="328" w:lineRule="auto"/>
              <w:ind w:left="242" w:right="147" w:hanging="80"/>
              <w:rPr>
                <w:sz w:val="15"/>
              </w:rPr>
            </w:pPr>
            <w:r>
              <w:rPr>
                <w:w w:val="105"/>
                <w:sz w:val="15"/>
              </w:rPr>
              <w:t>采区进风巷</w:t>
            </w:r>
          </w:p>
        </w:tc>
        <w:tc>
          <w:tcPr>
            <w:tcW w:w="1918" w:type="dxa"/>
            <w:vMerge w:val="restart"/>
            <w:tcBorders>
              <w:top w:val="single" w:color="231F20" w:sz="4" w:space="0"/>
              <w:left w:val="single" w:color="231F20" w:sz="4" w:space="0"/>
              <w:bottom w:val="single" w:color="231F20" w:sz="4" w:space="0"/>
            </w:tcBorders>
          </w:tcPr>
          <w:p>
            <w:pPr>
              <w:pStyle w:val="11"/>
              <w:spacing w:before="1"/>
              <w:rPr>
                <w:sz w:val="23"/>
              </w:rPr>
            </w:pPr>
          </w:p>
          <w:p>
            <w:pPr>
              <w:pStyle w:val="11"/>
              <w:spacing w:line="328" w:lineRule="auto"/>
              <w:ind w:left="108" w:right="88" w:firstLine="164"/>
              <w:jc w:val="both"/>
              <w:rPr>
                <w:sz w:val="15"/>
              </w:rPr>
            </w:pPr>
            <w:r>
              <w:rPr>
                <w:sz w:val="15"/>
              </w:rPr>
              <w:t>总回风巷</w:t>
            </w:r>
            <w:r>
              <w:rPr>
                <w:rFonts w:hint="eastAsia" w:ascii="MS UI Gothic" w:eastAsia="MS UI Gothic"/>
                <w:sz w:val="15"/>
              </w:rPr>
              <w:t xml:space="preserve">、 </w:t>
            </w:r>
            <w:r>
              <w:rPr>
                <w:sz w:val="15"/>
              </w:rPr>
              <w:t>主要回风巷</w:t>
            </w:r>
            <w:r>
              <w:rPr>
                <w:rFonts w:hint="eastAsia" w:ascii="MS UI Gothic" w:eastAsia="MS UI Gothic"/>
                <w:sz w:val="15"/>
              </w:rPr>
              <w:t xml:space="preserve">、 </w:t>
            </w:r>
            <w:r>
              <w:rPr>
                <w:sz w:val="15"/>
              </w:rPr>
              <w:t>采区回风巷</w:t>
            </w:r>
            <w:r>
              <w:rPr>
                <w:rFonts w:hint="eastAsia" w:ascii="MS UI Gothic" w:eastAsia="MS UI Gothic"/>
                <w:sz w:val="15"/>
              </w:rPr>
              <w:t xml:space="preserve">、 </w:t>
            </w:r>
            <w:r>
              <w:rPr>
                <w:sz w:val="15"/>
              </w:rPr>
              <w:t>采掘工作面和工作面进</w:t>
            </w:r>
            <w:r>
              <w:rPr>
                <w:rFonts w:hint="eastAsia" w:ascii="MS UI Gothic" w:eastAsia="MS UI Gothic"/>
                <w:sz w:val="15"/>
              </w:rPr>
              <w:t xml:space="preserve">、 </w:t>
            </w:r>
            <w:r>
              <w:rPr>
                <w:sz w:val="15"/>
              </w:rPr>
              <w:t>回风巷</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1591" w:type="dxa"/>
            <w:vMerge w:val="continue"/>
            <w:tcBorders>
              <w:top w:val="nil"/>
              <w:bottom w:val="single" w:color="231F20" w:sz="4" w:space="0"/>
              <w:right w:val="single" w:color="231F20" w:sz="4" w:space="0"/>
            </w:tcBorders>
          </w:tcPr>
          <w:p>
            <w:pPr>
              <w:rPr>
                <w:sz w:val="2"/>
                <w:szCs w:val="2"/>
              </w:rPr>
            </w:pPr>
          </w:p>
        </w:tc>
        <w:tc>
          <w:tcPr>
            <w:tcW w:w="1273" w:type="dxa"/>
            <w:vMerge w:val="continue"/>
            <w:tcBorders>
              <w:top w:val="nil"/>
              <w:left w:val="single" w:color="231F20" w:sz="4" w:space="0"/>
              <w:bottom w:val="single" w:color="231F20" w:sz="4" w:space="0"/>
              <w:right w:val="single" w:color="231F20" w:sz="4" w:space="0"/>
            </w:tcBorders>
          </w:tcPr>
          <w:p>
            <w:pPr>
              <w:rPr>
                <w:sz w:val="2"/>
                <w:szCs w:val="2"/>
              </w:rPr>
            </w:pP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243" w:right="146" w:hanging="80"/>
              <w:rPr>
                <w:sz w:val="15"/>
              </w:rPr>
            </w:pPr>
            <w:r>
              <w:rPr>
                <w:w w:val="105"/>
                <w:sz w:val="15"/>
              </w:rPr>
              <w:t>低瓦斯矿井</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15" w:line="260" w:lineRule="atLeast"/>
              <w:ind w:left="243" w:right="146" w:hanging="80"/>
              <w:rPr>
                <w:sz w:val="15"/>
              </w:rPr>
            </w:pPr>
            <w:r>
              <w:rPr>
                <w:w w:val="105"/>
                <w:sz w:val="15"/>
              </w:rPr>
              <w:t>高瓦斯矿井</w:t>
            </w:r>
          </w:p>
        </w:tc>
        <w:tc>
          <w:tcPr>
            <w:tcW w:w="796" w:type="dxa"/>
            <w:vMerge w:val="continue"/>
            <w:tcBorders>
              <w:top w:val="nil"/>
              <w:left w:val="single" w:color="231F20" w:sz="4" w:space="0"/>
              <w:bottom w:val="single" w:color="231F20" w:sz="4" w:space="0"/>
              <w:right w:val="single" w:color="231F20" w:sz="4" w:space="0"/>
            </w:tcBorders>
          </w:tcPr>
          <w:p>
            <w:pPr>
              <w:rPr>
                <w:sz w:val="2"/>
                <w:szCs w:val="2"/>
              </w:rPr>
            </w:pPr>
          </w:p>
        </w:tc>
        <w:tc>
          <w:tcPr>
            <w:tcW w:w="796" w:type="dxa"/>
            <w:vMerge w:val="continue"/>
            <w:tcBorders>
              <w:top w:val="nil"/>
              <w:left w:val="single" w:color="231F20" w:sz="4" w:space="0"/>
              <w:bottom w:val="single" w:color="231F20" w:sz="4" w:space="0"/>
              <w:right w:val="single" w:color="231F20" w:sz="4" w:space="0"/>
            </w:tcBorders>
          </w:tcPr>
          <w:p>
            <w:pPr>
              <w:rPr>
                <w:sz w:val="2"/>
                <w:szCs w:val="2"/>
              </w:rPr>
            </w:pPr>
          </w:p>
        </w:tc>
        <w:tc>
          <w:tcPr>
            <w:tcW w:w="1918" w:type="dxa"/>
            <w:vMerge w:val="continue"/>
            <w:tcBorders>
              <w:top w:val="nil"/>
              <w:left w:val="single" w:color="231F20" w:sz="4" w:space="0"/>
              <w:bottom w:val="single" w:color="231F20" w:sz="4" w:space="0"/>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785" w:hRule="atLeast"/>
        </w:trPr>
        <w:tc>
          <w:tcPr>
            <w:tcW w:w="1591" w:type="dxa"/>
            <w:tcBorders>
              <w:top w:val="single" w:color="231F20" w:sz="4" w:space="0"/>
              <w:bottom w:val="single" w:color="231F20" w:sz="4" w:space="0"/>
              <w:right w:val="single" w:color="231F20" w:sz="4" w:space="0"/>
            </w:tcBorders>
          </w:tcPr>
          <w:p>
            <w:pPr>
              <w:pStyle w:val="11"/>
              <w:spacing w:before="8"/>
              <w:rPr>
                <w:sz w:val="12"/>
              </w:rPr>
            </w:pPr>
          </w:p>
          <w:p>
            <w:pPr>
              <w:pStyle w:val="11"/>
              <w:spacing w:line="328" w:lineRule="auto"/>
              <w:ind w:left="104" w:right="91" w:firstLine="155"/>
              <w:rPr>
                <w:sz w:val="15"/>
              </w:rPr>
            </w:pPr>
            <w:r>
              <w:rPr>
                <w:rFonts w:hint="eastAsia" w:ascii="MS UI Gothic" w:eastAsia="MS UI Gothic"/>
                <w:sz w:val="15"/>
              </w:rPr>
              <w:t xml:space="preserve">１ </w:t>
            </w:r>
            <w:r>
              <w:rPr>
                <w:sz w:val="15"/>
              </w:rPr>
              <w:t>高低压电机和电气设备</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ind w:left="290"/>
              <w:rPr>
                <w:sz w:val="15"/>
              </w:rPr>
            </w:pPr>
            <w:r>
              <w:rPr>
                <w:w w:val="105"/>
                <w:sz w:val="15"/>
              </w:rPr>
              <w:t>矿用防爆型</w:t>
            </w:r>
          </w:p>
          <w:p>
            <w:pPr>
              <w:pStyle w:val="11"/>
              <w:spacing w:before="72"/>
              <w:ind w:left="109"/>
              <w:rPr>
                <w:rFonts w:hint="eastAsia" w:ascii="MS UI Gothic" w:eastAsia="MS UI Gothic"/>
                <w:sz w:val="15"/>
              </w:rPr>
            </w:pPr>
            <w:r>
              <w:rPr>
                <w:rFonts w:hint="eastAsia" w:ascii="MS UI Gothic" w:eastAsia="MS UI Gothic"/>
                <w:w w:val="150"/>
                <w:sz w:val="15"/>
              </w:rPr>
              <w:t xml:space="preserve">( </w:t>
            </w:r>
            <w:r>
              <w:rPr>
                <w:w w:val="115"/>
                <w:sz w:val="15"/>
              </w:rPr>
              <w:t>增安型除外</w:t>
            </w:r>
            <w:r>
              <w:rPr>
                <w:rFonts w:hint="eastAsia" w:ascii="MS UI Gothic" w:eastAsia="MS UI Gothic"/>
                <w:w w:val="150"/>
                <w:sz w:val="15"/>
              </w:rPr>
              <w:t>)</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spacing w:line="328" w:lineRule="auto"/>
              <w:ind w:left="243" w:right="146" w:hanging="80"/>
              <w:rPr>
                <w:sz w:val="15"/>
              </w:rPr>
            </w:pPr>
            <w:r>
              <w:rPr>
                <w:w w:val="105"/>
                <w:sz w:val="15"/>
              </w:rPr>
              <w:t>矿用一般型</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spacing w:line="328" w:lineRule="auto"/>
              <w:ind w:left="243" w:right="146" w:hanging="80"/>
              <w:rPr>
                <w:sz w:val="15"/>
              </w:rPr>
            </w:pPr>
            <w:r>
              <w:rPr>
                <w:w w:val="105"/>
                <w:sz w:val="15"/>
              </w:rPr>
              <w:t>矿用一般型</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spacing w:line="328" w:lineRule="auto"/>
              <w:ind w:left="243" w:right="146" w:hanging="80"/>
              <w:rPr>
                <w:sz w:val="15"/>
              </w:rPr>
            </w:pPr>
            <w:r>
              <w:rPr>
                <w:w w:val="105"/>
                <w:sz w:val="15"/>
              </w:rPr>
              <w:t>矿用防爆型</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spacing w:line="328" w:lineRule="auto"/>
              <w:ind w:left="242" w:right="147" w:hanging="80"/>
              <w:rPr>
                <w:sz w:val="15"/>
              </w:rPr>
            </w:pPr>
            <w:r>
              <w:rPr>
                <w:w w:val="105"/>
                <w:sz w:val="15"/>
              </w:rPr>
              <w:t>矿用防爆型</w:t>
            </w:r>
          </w:p>
        </w:tc>
        <w:tc>
          <w:tcPr>
            <w:tcW w:w="1918" w:type="dxa"/>
            <w:tcBorders>
              <w:top w:val="single" w:color="231F20" w:sz="4" w:space="0"/>
              <w:left w:val="single" w:color="231F20" w:sz="4" w:space="0"/>
              <w:bottom w:val="single" w:color="231F20" w:sz="4" w:space="0"/>
            </w:tcBorders>
          </w:tcPr>
          <w:p>
            <w:pPr>
              <w:pStyle w:val="11"/>
              <w:spacing w:before="162" w:line="328" w:lineRule="auto"/>
              <w:ind w:left="108" w:right="88" w:firstLine="159"/>
              <w:rPr>
                <w:rFonts w:hint="eastAsia" w:ascii="MS UI Gothic" w:eastAsia="MS UI Gothic"/>
                <w:sz w:val="15"/>
              </w:rPr>
            </w:pPr>
            <w:r>
              <w:rPr>
                <w:w w:val="110"/>
                <w:sz w:val="15"/>
              </w:rPr>
              <w:t xml:space="preserve">矿用防爆型 </w:t>
            </w:r>
            <w:r>
              <w:rPr>
                <w:rFonts w:hint="eastAsia" w:ascii="MS UI Gothic" w:eastAsia="MS UI Gothic"/>
                <w:w w:val="110"/>
                <w:sz w:val="15"/>
              </w:rPr>
              <w:t xml:space="preserve">( </w:t>
            </w:r>
            <w:r>
              <w:rPr>
                <w:w w:val="110"/>
                <w:sz w:val="15"/>
              </w:rPr>
              <w:t>增安型</w:t>
            </w:r>
            <w:r>
              <w:rPr>
                <w:w w:val="115"/>
                <w:sz w:val="15"/>
              </w:rPr>
              <w:t>除外</w:t>
            </w:r>
            <w:r>
              <w:rPr>
                <w:rFonts w:hint="eastAsia" w:ascii="MS UI Gothic" w:eastAsia="MS UI Gothic"/>
                <w:w w:val="150"/>
                <w:sz w:val="15"/>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785" w:hRule="atLeast"/>
        </w:trPr>
        <w:tc>
          <w:tcPr>
            <w:tcW w:w="1591" w:type="dxa"/>
            <w:tcBorders>
              <w:top w:val="single" w:color="231F20" w:sz="4" w:space="0"/>
              <w:bottom w:val="single" w:color="231F20" w:sz="4" w:space="0"/>
              <w:right w:val="single" w:color="231F20" w:sz="4" w:space="0"/>
            </w:tcBorders>
          </w:tcPr>
          <w:p>
            <w:pPr>
              <w:pStyle w:val="11"/>
              <w:spacing w:before="294"/>
              <w:ind w:left="259"/>
              <w:rPr>
                <w:sz w:val="15"/>
              </w:rPr>
            </w:pPr>
            <w:r>
              <w:rPr>
                <w:rFonts w:hint="eastAsia" w:ascii="MS UI Gothic" w:eastAsia="MS UI Gothic"/>
                <w:sz w:val="15"/>
              </w:rPr>
              <w:t xml:space="preserve">２ </w:t>
            </w:r>
            <w:r>
              <w:rPr>
                <w:sz w:val="15"/>
              </w:rPr>
              <w:t>照 明灯具</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ind w:left="290"/>
              <w:rPr>
                <w:sz w:val="15"/>
              </w:rPr>
            </w:pPr>
            <w:r>
              <w:rPr>
                <w:w w:val="105"/>
                <w:sz w:val="15"/>
              </w:rPr>
              <w:t>矿用防爆型</w:t>
            </w:r>
          </w:p>
          <w:p>
            <w:pPr>
              <w:pStyle w:val="11"/>
              <w:spacing w:before="72"/>
              <w:ind w:left="109"/>
              <w:rPr>
                <w:rFonts w:hint="eastAsia" w:ascii="MS UI Gothic" w:eastAsia="MS UI Gothic"/>
                <w:sz w:val="15"/>
              </w:rPr>
            </w:pPr>
            <w:r>
              <w:rPr>
                <w:rFonts w:hint="eastAsia" w:ascii="MS UI Gothic" w:eastAsia="MS UI Gothic"/>
                <w:w w:val="150"/>
                <w:sz w:val="15"/>
              </w:rPr>
              <w:t xml:space="preserve">( </w:t>
            </w:r>
            <w:r>
              <w:rPr>
                <w:w w:val="115"/>
                <w:sz w:val="15"/>
              </w:rPr>
              <w:t>增安型除外</w:t>
            </w:r>
            <w:r>
              <w:rPr>
                <w:rFonts w:hint="eastAsia" w:ascii="MS UI Gothic" w:eastAsia="MS UI Gothic"/>
                <w:w w:val="150"/>
                <w:sz w:val="15"/>
              </w:rPr>
              <w:t>)</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spacing w:line="328" w:lineRule="auto"/>
              <w:ind w:left="243" w:right="146" w:hanging="80"/>
              <w:rPr>
                <w:sz w:val="15"/>
              </w:rPr>
            </w:pPr>
            <w:r>
              <w:rPr>
                <w:w w:val="105"/>
                <w:sz w:val="15"/>
              </w:rPr>
              <w:t>矿用一般型</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spacing w:line="328" w:lineRule="auto"/>
              <w:ind w:left="243" w:right="146" w:hanging="80"/>
              <w:rPr>
                <w:sz w:val="15"/>
              </w:rPr>
            </w:pPr>
            <w:r>
              <w:rPr>
                <w:w w:val="105"/>
                <w:sz w:val="15"/>
              </w:rPr>
              <w:t>矿用防爆型</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spacing w:line="328" w:lineRule="auto"/>
              <w:ind w:left="243" w:right="146" w:hanging="80"/>
              <w:rPr>
                <w:sz w:val="15"/>
              </w:rPr>
            </w:pPr>
            <w:r>
              <w:rPr>
                <w:w w:val="105"/>
                <w:sz w:val="15"/>
              </w:rPr>
              <w:t>矿用防爆型</w:t>
            </w:r>
          </w:p>
        </w:tc>
        <w:tc>
          <w:tcPr>
            <w:tcW w:w="796" w:type="dxa"/>
            <w:tcBorders>
              <w:top w:val="single" w:color="231F20" w:sz="4" w:space="0"/>
              <w:left w:val="single" w:color="231F20" w:sz="4" w:space="0"/>
              <w:bottom w:val="single" w:color="231F20" w:sz="4" w:space="0"/>
              <w:right w:val="single" w:color="231F20" w:sz="4" w:space="0"/>
            </w:tcBorders>
          </w:tcPr>
          <w:p>
            <w:pPr>
              <w:pStyle w:val="11"/>
              <w:spacing w:before="8"/>
              <w:rPr>
                <w:sz w:val="12"/>
              </w:rPr>
            </w:pPr>
          </w:p>
          <w:p>
            <w:pPr>
              <w:pStyle w:val="11"/>
              <w:spacing w:line="328" w:lineRule="auto"/>
              <w:ind w:left="242" w:right="147" w:hanging="80"/>
              <w:rPr>
                <w:sz w:val="15"/>
              </w:rPr>
            </w:pPr>
            <w:r>
              <w:rPr>
                <w:w w:val="105"/>
                <w:sz w:val="15"/>
              </w:rPr>
              <w:t>矿用防爆型</w:t>
            </w:r>
          </w:p>
        </w:tc>
        <w:tc>
          <w:tcPr>
            <w:tcW w:w="1918" w:type="dxa"/>
            <w:tcBorders>
              <w:top w:val="single" w:color="231F20" w:sz="4" w:space="0"/>
              <w:left w:val="single" w:color="231F20" w:sz="4" w:space="0"/>
              <w:bottom w:val="single" w:color="231F20" w:sz="4" w:space="0"/>
            </w:tcBorders>
          </w:tcPr>
          <w:p>
            <w:pPr>
              <w:pStyle w:val="11"/>
              <w:spacing w:before="162" w:line="328" w:lineRule="auto"/>
              <w:ind w:left="108" w:right="88" w:firstLine="159"/>
              <w:rPr>
                <w:rFonts w:hint="eastAsia" w:ascii="MS UI Gothic" w:eastAsia="MS UI Gothic"/>
                <w:sz w:val="15"/>
              </w:rPr>
            </w:pPr>
            <w:r>
              <w:rPr>
                <w:w w:val="110"/>
                <w:sz w:val="15"/>
              </w:rPr>
              <w:t xml:space="preserve">矿用防爆型 </w:t>
            </w:r>
            <w:r>
              <w:rPr>
                <w:rFonts w:hint="eastAsia" w:ascii="MS UI Gothic" w:eastAsia="MS UI Gothic"/>
                <w:w w:val="110"/>
                <w:sz w:val="15"/>
              </w:rPr>
              <w:t xml:space="preserve">( </w:t>
            </w:r>
            <w:r>
              <w:rPr>
                <w:w w:val="110"/>
                <w:sz w:val="15"/>
              </w:rPr>
              <w:t>增安型</w:t>
            </w:r>
            <w:r>
              <w:rPr>
                <w:w w:val="115"/>
                <w:sz w:val="15"/>
              </w:rPr>
              <w:t>除外</w:t>
            </w:r>
            <w:r>
              <w:rPr>
                <w:rFonts w:hint="eastAsia" w:ascii="MS UI Gothic" w:eastAsia="MS UI Gothic"/>
                <w:w w:val="150"/>
                <w:sz w:val="15"/>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780" w:hRule="atLeast"/>
        </w:trPr>
        <w:tc>
          <w:tcPr>
            <w:tcW w:w="1591" w:type="dxa"/>
            <w:tcBorders>
              <w:top w:val="single" w:color="231F20" w:sz="4" w:space="0"/>
              <w:right w:val="single" w:color="231F20" w:sz="4" w:space="0"/>
            </w:tcBorders>
          </w:tcPr>
          <w:p>
            <w:pPr>
              <w:pStyle w:val="11"/>
              <w:spacing w:before="162" w:line="328" w:lineRule="auto"/>
              <w:ind w:left="104" w:right="91" w:firstLine="161"/>
              <w:rPr>
                <w:sz w:val="15"/>
              </w:rPr>
            </w:pPr>
            <w:r>
              <w:rPr>
                <w:rFonts w:hint="eastAsia" w:ascii="MS UI Gothic" w:eastAsia="MS UI Gothic"/>
                <w:sz w:val="15"/>
              </w:rPr>
              <w:t xml:space="preserve">３ </w:t>
            </w:r>
            <w:r>
              <w:rPr>
                <w:sz w:val="15"/>
              </w:rPr>
              <w:t>通信</w:t>
            </w:r>
            <w:r>
              <w:rPr>
                <w:rFonts w:hint="eastAsia" w:ascii="MS UI Gothic" w:eastAsia="MS UI Gothic"/>
                <w:sz w:val="15"/>
              </w:rPr>
              <w:t xml:space="preserve">、 </w:t>
            </w:r>
            <w:r>
              <w:rPr>
                <w:sz w:val="15"/>
              </w:rPr>
              <w:t>自动控制的仪表</w:t>
            </w:r>
            <w:r>
              <w:rPr>
                <w:rFonts w:hint="eastAsia" w:ascii="MS UI Gothic" w:eastAsia="MS UI Gothic"/>
                <w:sz w:val="15"/>
              </w:rPr>
              <w:t xml:space="preserve">、 </w:t>
            </w:r>
            <w:r>
              <w:rPr>
                <w:sz w:val="15"/>
              </w:rPr>
              <w:t>仪器</w:t>
            </w:r>
          </w:p>
        </w:tc>
        <w:tc>
          <w:tcPr>
            <w:tcW w:w="1273" w:type="dxa"/>
            <w:tcBorders>
              <w:top w:val="single" w:color="231F20" w:sz="4" w:space="0"/>
              <w:left w:val="single" w:color="231F20" w:sz="4" w:space="0"/>
              <w:right w:val="single" w:color="231F20" w:sz="4" w:space="0"/>
            </w:tcBorders>
          </w:tcPr>
          <w:p>
            <w:pPr>
              <w:pStyle w:val="11"/>
              <w:spacing w:before="8"/>
              <w:rPr>
                <w:sz w:val="12"/>
              </w:rPr>
            </w:pPr>
          </w:p>
          <w:p>
            <w:pPr>
              <w:pStyle w:val="11"/>
              <w:ind w:left="290"/>
              <w:rPr>
                <w:sz w:val="15"/>
              </w:rPr>
            </w:pPr>
            <w:r>
              <w:rPr>
                <w:w w:val="105"/>
                <w:sz w:val="15"/>
              </w:rPr>
              <w:t>矿用防爆型</w:t>
            </w:r>
          </w:p>
          <w:p>
            <w:pPr>
              <w:pStyle w:val="11"/>
              <w:spacing w:before="72"/>
              <w:ind w:left="109"/>
              <w:rPr>
                <w:rFonts w:hint="eastAsia" w:ascii="MS UI Gothic" w:eastAsia="MS UI Gothic"/>
                <w:sz w:val="15"/>
              </w:rPr>
            </w:pPr>
            <w:r>
              <w:rPr>
                <w:rFonts w:hint="eastAsia" w:ascii="MS UI Gothic" w:eastAsia="MS UI Gothic"/>
                <w:w w:val="150"/>
                <w:sz w:val="15"/>
              </w:rPr>
              <w:t xml:space="preserve">( </w:t>
            </w:r>
            <w:r>
              <w:rPr>
                <w:w w:val="115"/>
                <w:sz w:val="15"/>
              </w:rPr>
              <w:t>增安型除外</w:t>
            </w:r>
            <w:r>
              <w:rPr>
                <w:rFonts w:hint="eastAsia" w:ascii="MS UI Gothic" w:eastAsia="MS UI Gothic"/>
                <w:w w:val="150"/>
                <w:sz w:val="15"/>
              </w:rPr>
              <w:t>)</w:t>
            </w:r>
          </w:p>
        </w:tc>
        <w:tc>
          <w:tcPr>
            <w:tcW w:w="796" w:type="dxa"/>
            <w:tcBorders>
              <w:top w:val="single" w:color="231F20" w:sz="4" w:space="0"/>
              <w:left w:val="single" w:color="231F20" w:sz="4" w:space="0"/>
              <w:right w:val="single" w:color="231F20" w:sz="4" w:space="0"/>
            </w:tcBorders>
          </w:tcPr>
          <w:p>
            <w:pPr>
              <w:pStyle w:val="11"/>
              <w:spacing w:before="8"/>
              <w:rPr>
                <w:sz w:val="12"/>
              </w:rPr>
            </w:pPr>
          </w:p>
          <w:p>
            <w:pPr>
              <w:pStyle w:val="11"/>
              <w:spacing w:line="328" w:lineRule="auto"/>
              <w:ind w:left="243" w:right="146" w:hanging="80"/>
              <w:rPr>
                <w:sz w:val="15"/>
              </w:rPr>
            </w:pPr>
            <w:r>
              <w:rPr>
                <w:w w:val="105"/>
                <w:sz w:val="15"/>
              </w:rPr>
              <w:t>矿用一般型</w:t>
            </w:r>
          </w:p>
        </w:tc>
        <w:tc>
          <w:tcPr>
            <w:tcW w:w="796" w:type="dxa"/>
            <w:tcBorders>
              <w:top w:val="single" w:color="231F20" w:sz="4" w:space="0"/>
              <w:left w:val="single" w:color="231F20" w:sz="4" w:space="0"/>
              <w:right w:val="single" w:color="231F20" w:sz="4" w:space="0"/>
            </w:tcBorders>
          </w:tcPr>
          <w:p>
            <w:pPr>
              <w:pStyle w:val="11"/>
              <w:spacing w:before="8"/>
              <w:rPr>
                <w:sz w:val="12"/>
              </w:rPr>
            </w:pPr>
          </w:p>
          <w:p>
            <w:pPr>
              <w:pStyle w:val="11"/>
              <w:spacing w:line="328" w:lineRule="auto"/>
              <w:ind w:left="243" w:right="146" w:hanging="80"/>
              <w:rPr>
                <w:sz w:val="15"/>
              </w:rPr>
            </w:pPr>
            <w:r>
              <w:rPr>
                <w:w w:val="105"/>
                <w:sz w:val="15"/>
              </w:rPr>
              <w:t>矿用防爆型</w:t>
            </w:r>
          </w:p>
        </w:tc>
        <w:tc>
          <w:tcPr>
            <w:tcW w:w="796" w:type="dxa"/>
            <w:tcBorders>
              <w:top w:val="single" w:color="231F20" w:sz="4" w:space="0"/>
              <w:left w:val="single" w:color="231F20" w:sz="4" w:space="0"/>
              <w:right w:val="single" w:color="231F20" w:sz="4" w:space="0"/>
            </w:tcBorders>
          </w:tcPr>
          <w:p>
            <w:pPr>
              <w:pStyle w:val="11"/>
              <w:spacing w:before="8"/>
              <w:rPr>
                <w:sz w:val="12"/>
              </w:rPr>
            </w:pPr>
          </w:p>
          <w:p>
            <w:pPr>
              <w:pStyle w:val="11"/>
              <w:spacing w:line="328" w:lineRule="auto"/>
              <w:ind w:left="243" w:right="146" w:hanging="80"/>
              <w:rPr>
                <w:sz w:val="15"/>
              </w:rPr>
            </w:pPr>
            <w:r>
              <w:rPr>
                <w:w w:val="105"/>
                <w:sz w:val="15"/>
              </w:rPr>
              <w:t>矿用防爆型</w:t>
            </w:r>
          </w:p>
        </w:tc>
        <w:tc>
          <w:tcPr>
            <w:tcW w:w="796" w:type="dxa"/>
            <w:tcBorders>
              <w:top w:val="single" w:color="231F20" w:sz="4" w:space="0"/>
              <w:left w:val="single" w:color="231F20" w:sz="4" w:space="0"/>
              <w:right w:val="single" w:color="231F20" w:sz="4" w:space="0"/>
            </w:tcBorders>
          </w:tcPr>
          <w:p>
            <w:pPr>
              <w:pStyle w:val="11"/>
              <w:spacing w:before="8"/>
              <w:rPr>
                <w:sz w:val="12"/>
              </w:rPr>
            </w:pPr>
          </w:p>
          <w:p>
            <w:pPr>
              <w:pStyle w:val="11"/>
              <w:spacing w:line="328" w:lineRule="auto"/>
              <w:ind w:left="242" w:right="147" w:hanging="80"/>
              <w:rPr>
                <w:sz w:val="15"/>
              </w:rPr>
            </w:pPr>
            <w:r>
              <w:rPr>
                <w:w w:val="105"/>
                <w:sz w:val="15"/>
              </w:rPr>
              <w:t>矿用防爆型</w:t>
            </w:r>
          </w:p>
        </w:tc>
        <w:tc>
          <w:tcPr>
            <w:tcW w:w="1918" w:type="dxa"/>
            <w:tcBorders>
              <w:top w:val="single" w:color="231F20" w:sz="4" w:space="0"/>
              <w:left w:val="single" w:color="231F20" w:sz="4" w:space="0"/>
            </w:tcBorders>
          </w:tcPr>
          <w:p>
            <w:pPr>
              <w:pStyle w:val="11"/>
              <w:spacing w:before="162" w:line="328" w:lineRule="auto"/>
              <w:ind w:left="108" w:right="88" w:firstLine="159"/>
              <w:rPr>
                <w:rFonts w:hint="eastAsia" w:ascii="MS UI Gothic" w:eastAsia="MS UI Gothic"/>
                <w:sz w:val="15"/>
              </w:rPr>
            </w:pPr>
            <w:r>
              <w:rPr>
                <w:w w:val="110"/>
                <w:sz w:val="15"/>
              </w:rPr>
              <w:t xml:space="preserve">矿用防爆型 </w:t>
            </w:r>
            <w:r>
              <w:rPr>
                <w:rFonts w:hint="eastAsia" w:ascii="MS UI Gothic" w:eastAsia="MS UI Gothic"/>
                <w:w w:val="110"/>
                <w:sz w:val="15"/>
              </w:rPr>
              <w:t xml:space="preserve">( </w:t>
            </w:r>
            <w:r>
              <w:rPr>
                <w:w w:val="110"/>
                <w:sz w:val="15"/>
              </w:rPr>
              <w:t>增安型</w:t>
            </w:r>
            <w:r>
              <w:rPr>
                <w:w w:val="115"/>
                <w:sz w:val="15"/>
              </w:rPr>
              <w:t>除外</w:t>
            </w:r>
            <w:r>
              <w:rPr>
                <w:rFonts w:hint="eastAsia" w:ascii="MS UI Gothic" w:eastAsia="MS UI Gothic"/>
                <w:w w:val="150"/>
                <w:sz w:val="15"/>
              </w:rPr>
              <w:t>)</w:t>
            </w:r>
          </w:p>
        </w:tc>
      </w:tr>
    </w:tbl>
    <w:p>
      <w:pPr>
        <w:spacing w:before="78" w:line="328" w:lineRule="auto"/>
        <w:ind w:left="1110" w:right="124" w:hanging="513"/>
        <w:jc w:val="left"/>
        <w:rPr>
          <w:rFonts w:hint="eastAsia" w:ascii="MS UI Gothic" w:eastAsia="MS UI Gothic"/>
          <w:sz w:val="15"/>
        </w:rPr>
      </w:pPr>
      <w:r>
        <w:rPr>
          <w:w w:val="105"/>
          <w:sz w:val="15"/>
        </w:rPr>
        <w:t>注</w:t>
      </w:r>
      <w:r>
        <w:rPr>
          <w:rFonts w:hint="eastAsia" w:ascii="MS UI Gothic" w:eastAsia="MS UI Gothic"/>
          <w:w w:val="235"/>
          <w:sz w:val="15"/>
        </w:rPr>
        <w:t xml:space="preserve">: </w:t>
      </w:r>
      <w:r>
        <w:rPr>
          <w:rFonts w:hint="eastAsia" w:ascii="MS UI Gothic" w:eastAsia="MS UI Gothic"/>
          <w:w w:val="80"/>
          <w:sz w:val="15"/>
        </w:rPr>
        <w:t xml:space="preserve">１ </w:t>
      </w:r>
      <w:r>
        <w:rPr>
          <w:w w:val="105"/>
          <w:sz w:val="15"/>
        </w:rPr>
        <w:t xml:space="preserve">使用架线电机车运输的巷道中及沿巷道的机电设备硐室内可以采用矿用一般型电气设备 </w:t>
      </w:r>
      <w:r>
        <w:rPr>
          <w:rFonts w:hint="eastAsia" w:ascii="MS UI Gothic" w:eastAsia="MS UI Gothic"/>
          <w:w w:val="150"/>
          <w:sz w:val="15"/>
        </w:rPr>
        <w:t xml:space="preserve">( </w:t>
      </w:r>
      <w:r>
        <w:rPr>
          <w:w w:val="105"/>
          <w:sz w:val="15"/>
        </w:rPr>
        <w:t>包括照明灯具</w:t>
      </w:r>
      <w:r>
        <w:rPr>
          <w:rFonts w:hint="eastAsia" w:ascii="MS UI Gothic" w:eastAsia="MS UI Gothic"/>
          <w:w w:val="80"/>
          <w:sz w:val="15"/>
        </w:rPr>
        <w:t>、</w:t>
      </w:r>
      <w:r>
        <w:rPr>
          <w:w w:val="105"/>
          <w:sz w:val="15"/>
        </w:rPr>
        <w:t>通信</w:t>
      </w:r>
      <w:r>
        <w:rPr>
          <w:rFonts w:hint="eastAsia" w:ascii="MS UI Gothic" w:eastAsia="MS UI Gothic"/>
          <w:w w:val="80"/>
          <w:sz w:val="15"/>
        </w:rPr>
        <w:t xml:space="preserve">、 </w:t>
      </w:r>
      <w:r>
        <w:rPr>
          <w:w w:val="105"/>
          <w:sz w:val="15"/>
        </w:rPr>
        <w:t>自动控制的仪表</w:t>
      </w:r>
      <w:r>
        <w:rPr>
          <w:rFonts w:hint="eastAsia" w:ascii="MS UI Gothic" w:eastAsia="MS UI Gothic"/>
          <w:w w:val="80"/>
          <w:sz w:val="15"/>
        </w:rPr>
        <w:t xml:space="preserve">、 </w:t>
      </w:r>
      <w:r>
        <w:rPr>
          <w:w w:val="105"/>
          <w:sz w:val="15"/>
        </w:rPr>
        <w:t>仪器</w:t>
      </w:r>
      <w:r>
        <w:rPr>
          <w:rFonts w:hint="eastAsia" w:ascii="MS UI Gothic" w:eastAsia="MS UI Gothic"/>
          <w:w w:val="150"/>
          <w:sz w:val="15"/>
        </w:rPr>
        <w:t xml:space="preserve">) </w:t>
      </w:r>
      <w:r>
        <w:rPr>
          <w:rFonts w:hint="eastAsia" w:ascii="MS UI Gothic" w:eastAsia="MS UI Gothic"/>
          <w:w w:val="80"/>
          <w:sz w:val="15"/>
        </w:rPr>
        <w:t>ꎮ</w:t>
      </w:r>
    </w:p>
    <w:p>
      <w:pPr>
        <w:spacing w:before="1"/>
        <w:ind w:left="912" w:right="0" w:firstLine="0"/>
        <w:jc w:val="left"/>
        <w:rPr>
          <w:rFonts w:hint="eastAsia" w:ascii="MS UI Gothic" w:eastAsia="MS UI Gothic"/>
          <w:sz w:val="15"/>
        </w:rPr>
      </w:pPr>
      <w:r>
        <w:rPr>
          <w:rFonts w:hint="eastAsia" w:ascii="MS UI Gothic" w:eastAsia="MS UI Gothic"/>
          <w:sz w:val="15"/>
        </w:rPr>
        <w:t xml:space="preserve">２ </w:t>
      </w:r>
      <w:r>
        <w:rPr>
          <w:sz w:val="15"/>
        </w:rPr>
        <w:t>突出矿井井底车场的主泵房内</w:t>
      </w:r>
      <w:r>
        <w:rPr>
          <w:rFonts w:hint="eastAsia" w:ascii="MS UI Gothic" w:eastAsia="MS UI Gothic"/>
          <w:w w:val="85"/>
          <w:sz w:val="15"/>
        </w:rPr>
        <w:t xml:space="preserve">ꎬ </w:t>
      </w:r>
      <w:r>
        <w:rPr>
          <w:sz w:val="15"/>
        </w:rPr>
        <w:t>可以使用矿用增安型电动机</w:t>
      </w:r>
      <w:r>
        <w:rPr>
          <w:rFonts w:hint="eastAsia" w:ascii="MS UI Gothic" w:eastAsia="MS UI Gothic"/>
          <w:w w:val="85"/>
          <w:sz w:val="15"/>
        </w:rPr>
        <w:t>ꎮ</w:t>
      </w:r>
    </w:p>
    <w:p>
      <w:pPr>
        <w:spacing w:before="72"/>
        <w:ind w:left="912" w:right="0" w:firstLine="0"/>
        <w:jc w:val="left"/>
        <w:rPr>
          <w:rFonts w:hint="eastAsia" w:ascii="MS UI Gothic" w:eastAsia="MS UI Gothic"/>
          <w:sz w:val="15"/>
        </w:rPr>
      </w:pPr>
      <w:r>
        <w:rPr>
          <w:rFonts w:hint="eastAsia" w:ascii="MS UI Gothic" w:eastAsia="MS UI Gothic"/>
          <w:sz w:val="15"/>
        </w:rPr>
        <w:t xml:space="preserve">３ </w:t>
      </w:r>
      <w:r>
        <w:rPr>
          <w:sz w:val="15"/>
        </w:rPr>
        <w:t>突出矿井应当采用本安型矿灯</w:t>
      </w:r>
      <w:r>
        <w:rPr>
          <w:rFonts w:hint="eastAsia" w:ascii="MS UI Gothic" w:eastAsia="MS UI Gothic"/>
          <w:w w:val="85"/>
          <w:sz w:val="15"/>
        </w:rPr>
        <w:t>ꎮ</w:t>
      </w:r>
    </w:p>
    <w:p>
      <w:pPr>
        <w:spacing w:before="72"/>
        <w:ind w:left="912" w:right="0" w:firstLine="0"/>
        <w:jc w:val="left"/>
        <w:rPr>
          <w:rFonts w:hint="eastAsia" w:ascii="MS UI Gothic" w:eastAsia="MS UI Gothic"/>
          <w:sz w:val="15"/>
        </w:rPr>
      </w:pPr>
      <w:r>
        <w:rPr>
          <w:rFonts w:hint="eastAsia" w:ascii="MS UI Gothic" w:eastAsia="MS UI Gothic"/>
          <w:sz w:val="15"/>
        </w:rPr>
        <w:t xml:space="preserve">４ </w:t>
      </w:r>
      <w:r>
        <w:rPr>
          <w:sz w:val="15"/>
        </w:rPr>
        <w:t>远距离传输的监测监控</w:t>
      </w:r>
      <w:r>
        <w:rPr>
          <w:rFonts w:hint="eastAsia" w:ascii="MS UI Gothic" w:eastAsia="MS UI Gothic"/>
          <w:sz w:val="15"/>
        </w:rPr>
        <w:t xml:space="preserve">、 </w:t>
      </w:r>
      <w:r>
        <w:rPr>
          <w:sz w:val="15"/>
        </w:rPr>
        <w:t>通信信号应当采用本安型</w:t>
      </w:r>
      <w:r>
        <w:rPr>
          <w:rFonts w:hint="eastAsia" w:ascii="MS UI Gothic" w:eastAsia="MS UI Gothic"/>
          <w:w w:val="85"/>
          <w:sz w:val="15"/>
        </w:rPr>
        <w:t xml:space="preserve">ꎬ </w:t>
      </w:r>
      <w:r>
        <w:rPr>
          <w:sz w:val="15"/>
        </w:rPr>
        <w:t>动力载波信号除外</w:t>
      </w:r>
      <w:r>
        <w:rPr>
          <w:rFonts w:hint="eastAsia" w:ascii="MS UI Gothic" w:eastAsia="MS UI Gothic"/>
          <w:w w:val="85"/>
          <w:sz w:val="15"/>
        </w:rPr>
        <w:t>ꎮ</w:t>
      </w:r>
    </w:p>
    <w:p>
      <w:pPr>
        <w:spacing w:before="72" w:line="328" w:lineRule="auto"/>
        <w:ind w:left="1108" w:right="126" w:hanging="196"/>
        <w:jc w:val="left"/>
        <w:rPr>
          <w:rFonts w:hint="eastAsia" w:ascii="MS UI Gothic" w:eastAsia="MS UI Gothic"/>
          <w:sz w:val="15"/>
        </w:rPr>
      </w:pPr>
      <w:r>
        <w:rPr>
          <w:rFonts w:hint="eastAsia" w:ascii="MS UI Gothic" w:eastAsia="MS UI Gothic"/>
          <w:sz w:val="15"/>
        </w:rPr>
        <w:t xml:space="preserve">５ </w:t>
      </w:r>
      <w:r>
        <w:rPr>
          <w:sz w:val="15"/>
        </w:rPr>
        <w:t xml:space="preserve">在爆炸性环境中使用的设备应当采用 </w:t>
      </w:r>
      <w:r>
        <w:rPr>
          <w:rFonts w:hint="eastAsia" w:ascii="MS UI Gothic" w:eastAsia="MS UI Gothic"/>
          <w:sz w:val="15"/>
        </w:rPr>
        <w:t xml:space="preserve">ＥＰＬＭａ </w:t>
      </w:r>
      <w:r>
        <w:rPr>
          <w:sz w:val="15"/>
        </w:rPr>
        <w:t>保护级别</w:t>
      </w:r>
      <w:r>
        <w:rPr>
          <w:rFonts w:hint="eastAsia" w:ascii="MS UI Gothic" w:eastAsia="MS UI Gothic"/>
          <w:w w:val="90"/>
          <w:sz w:val="15"/>
        </w:rPr>
        <w:t xml:space="preserve">ꎮ </w:t>
      </w:r>
      <w:r>
        <w:rPr>
          <w:sz w:val="15"/>
        </w:rPr>
        <w:t>非煤矿专用的便携式电气测量仪表</w:t>
      </w:r>
      <w:r>
        <w:rPr>
          <w:rFonts w:hint="eastAsia" w:ascii="MS UI Gothic" w:eastAsia="MS UI Gothic"/>
          <w:w w:val="90"/>
          <w:sz w:val="15"/>
        </w:rPr>
        <w:t xml:space="preserve">ꎬ  </w:t>
      </w:r>
      <w:r>
        <w:rPr>
          <w:sz w:val="15"/>
        </w:rPr>
        <w:t xml:space="preserve">必须在甲烷浓度 </w:t>
      </w:r>
      <w:r>
        <w:rPr>
          <w:rFonts w:hint="eastAsia" w:ascii="MS UI Gothic" w:eastAsia="MS UI Gothic"/>
          <w:sz w:val="15"/>
        </w:rPr>
        <w:t>１ ０</w:t>
      </w:r>
      <w:r>
        <w:rPr>
          <w:sz w:val="15"/>
        </w:rPr>
        <w:t>％ 以下的地点使用</w:t>
      </w:r>
      <w:r>
        <w:rPr>
          <w:rFonts w:hint="eastAsia" w:ascii="MS UI Gothic" w:eastAsia="MS UI Gothic"/>
          <w:w w:val="90"/>
          <w:sz w:val="15"/>
        </w:rPr>
        <w:t xml:space="preserve">ꎬ </w:t>
      </w:r>
      <w:r>
        <w:rPr>
          <w:sz w:val="15"/>
        </w:rPr>
        <w:t>并实时监测使用环境的甲烷浓度</w:t>
      </w:r>
      <w:r>
        <w:rPr>
          <w:rFonts w:hint="eastAsia" w:ascii="MS UI Gothic" w:eastAsia="MS UI Gothic"/>
          <w:w w:val="90"/>
          <w:sz w:val="15"/>
        </w:rPr>
        <w:t>ꎮ</w:t>
      </w:r>
    </w:p>
    <w:p>
      <w:pPr>
        <w:pStyle w:val="6"/>
        <w:spacing w:before="4"/>
        <w:ind w:left="0" w:firstLine="0"/>
        <w:jc w:val="left"/>
        <w:rPr>
          <w:rFonts w:ascii="MS UI Gothic"/>
          <w:sz w:val="10"/>
        </w:rPr>
      </w:pPr>
    </w:p>
    <w:p>
      <w:pPr>
        <w:spacing w:after="0"/>
        <w:jc w:val="left"/>
        <w:rPr>
          <w:rFonts w:ascii="MS UI Gothic"/>
          <w:sz w:val="10"/>
        </w:rPr>
        <w:sectPr>
          <w:type w:val="continuous"/>
          <w:pgSz w:w="10500" w:h="14750"/>
          <w:pgMar w:top="1400" w:right="980" w:bottom="280" w:left="980" w:header="720" w:footer="720" w:gutter="0"/>
        </w:sectPr>
      </w:pPr>
    </w:p>
    <w:p>
      <w:pPr>
        <w:pStyle w:val="6"/>
        <w:spacing w:before="175" w:line="300" w:lineRule="auto"/>
        <w:ind w:left="440"/>
        <w:rPr>
          <w:rFonts w:hint="eastAsia" w:ascii="MS UI Gothic" w:eastAsia="MS UI Gothic"/>
        </w:rPr>
      </w:pPr>
      <w:r>
        <w:rPr>
          <w:w w:val="105"/>
        </w:rPr>
        <w:t>第四百四十四条 容易碰到的</w:t>
      </w:r>
      <w:r>
        <w:rPr>
          <w:rFonts w:hint="eastAsia" w:ascii="MS UI Gothic" w:eastAsia="MS UI Gothic"/>
          <w:w w:val="80"/>
        </w:rPr>
        <w:t xml:space="preserve">、 </w:t>
      </w:r>
      <w:r>
        <w:rPr>
          <w:w w:val="105"/>
        </w:rPr>
        <w:t>裸露</w:t>
      </w:r>
      <w:r>
        <w:t>的带电体及机械外露的转动和传动部分必</w:t>
      </w:r>
      <w:r>
        <w:rPr>
          <w:w w:val="105"/>
        </w:rPr>
        <w:t>须加装护罩或者遮栏等防护设施</w:t>
      </w:r>
      <w:r>
        <w:rPr>
          <w:rFonts w:hint="eastAsia" w:ascii="MS UI Gothic" w:eastAsia="MS UI Gothic"/>
          <w:w w:val="80"/>
        </w:rPr>
        <w:t>ꎮ</w:t>
      </w:r>
    </w:p>
    <w:p>
      <w:pPr>
        <w:pStyle w:val="6"/>
        <w:spacing w:line="300" w:lineRule="auto"/>
        <w:ind w:left="440"/>
        <w:rPr>
          <w:rFonts w:hint="eastAsia" w:ascii="MS UI Gothic" w:eastAsia="MS UI Gothic"/>
        </w:rPr>
      </w:pPr>
      <w:r>
        <w:rPr>
          <w:w w:val="105"/>
        </w:rPr>
        <w:t>第四百四十五条 井下各级配电电压</w:t>
      </w:r>
      <w:r>
        <w:t>和各种电气设备的额定电压等级</w:t>
      </w:r>
      <w:r>
        <w:rPr>
          <w:rFonts w:hint="eastAsia" w:ascii="MS UI Gothic" w:eastAsia="MS UI Gothic"/>
          <w:w w:val="80"/>
        </w:rPr>
        <w:t xml:space="preserve">ꎬ </w:t>
      </w:r>
      <w:r>
        <w:t>应当符</w:t>
      </w:r>
      <w:r>
        <w:rPr>
          <w:w w:val="105"/>
        </w:rPr>
        <w:t>合下列要求</w:t>
      </w:r>
      <w:r>
        <w:rPr>
          <w:rFonts w:hint="eastAsia" w:ascii="MS UI Gothic" w:eastAsia="MS UI Gothic"/>
          <w:w w:val="235"/>
        </w:rPr>
        <w:t>:</w:t>
      </w:r>
    </w:p>
    <w:p>
      <w:pPr>
        <w:pStyle w:val="6"/>
        <w:spacing w:before="1"/>
        <w:ind w:left="860" w:firstLine="0"/>
        <w:jc w:val="left"/>
        <w:rPr>
          <w:rFonts w:hint="eastAsia" w:ascii="MS UI Gothic" w:eastAsia="MS UI Gothic"/>
        </w:rPr>
      </w:pPr>
      <w:r>
        <w:rPr>
          <w:rFonts w:hint="eastAsia" w:ascii="MS UI Gothic" w:eastAsia="MS UI Gothic"/>
          <w:w w:val="140"/>
        </w:rPr>
        <w:t xml:space="preserve">( </w:t>
      </w:r>
      <w:r>
        <w:rPr>
          <w:w w:val="95"/>
        </w:rPr>
        <w:t>一</w:t>
      </w:r>
      <w:r>
        <w:rPr>
          <w:rFonts w:hint="eastAsia" w:ascii="MS UI Gothic" w:eastAsia="MS UI Gothic"/>
          <w:w w:val="140"/>
        </w:rPr>
        <w:t xml:space="preserve">) </w:t>
      </w:r>
      <w:r>
        <w:rPr>
          <w:w w:val="95"/>
        </w:rPr>
        <w:t xml:space="preserve">高压不超过 </w:t>
      </w:r>
      <w:r>
        <w:rPr>
          <w:rFonts w:hint="eastAsia" w:ascii="MS UI Gothic" w:eastAsia="MS UI Gothic"/>
          <w:w w:val="95"/>
        </w:rPr>
        <w:t>１００００ Ｖ</w:t>
      </w:r>
      <w:r>
        <w:rPr>
          <w:rFonts w:hint="eastAsia" w:ascii="MS UI Gothic" w:eastAsia="MS UI Gothic"/>
          <w:w w:val="90"/>
        </w:rPr>
        <w:t>ꎮ</w:t>
      </w:r>
    </w:p>
    <w:p>
      <w:pPr>
        <w:pStyle w:val="6"/>
        <w:spacing w:before="175"/>
        <w:ind w:left="802" w:firstLine="0"/>
        <w:jc w:val="left"/>
        <w:rPr>
          <w:rFonts w:hint="eastAsia" w:ascii="MS UI Gothic" w:eastAsia="MS UI Gothic"/>
        </w:rPr>
      </w:pPr>
      <w:r>
        <w:br w:type="column"/>
      </w:r>
      <w:r>
        <w:rPr>
          <w:rFonts w:hint="eastAsia" w:ascii="MS UI Gothic" w:eastAsia="MS UI Gothic"/>
          <w:w w:val="140"/>
        </w:rPr>
        <w:t xml:space="preserve">( </w:t>
      </w:r>
      <w:r>
        <w:rPr>
          <w:w w:val="95"/>
        </w:rPr>
        <w:t>二</w:t>
      </w:r>
      <w:r>
        <w:rPr>
          <w:rFonts w:hint="eastAsia" w:ascii="MS UI Gothic" w:eastAsia="MS UI Gothic"/>
          <w:w w:val="140"/>
        </w:rPr>
        <w:t xml:space="preserve">) </w:t>
      </w:r>
      <w:r>
        <w:rPr>
          <w:w w:val="95"/>
        </w:rPr>
        <w:t xml:space="preserve">低压不超过 </w:t>
      </w:r>
      <w:r>
        <w:rPr>
          <w:rFonts w:hint="eastAsia" w:ascii="MS UI Gothic" w:eastAsia="MS UI Gothic"/>
          <w:w w:val="95"/>
        </w:rPr>
        <w:t>１１４０ Ｖ</w:t>
      </w:r>
      <w:r>
        <w:rPr>
          <w:rFonts w:hint="eastAsia" w:ascii="MS UI Gothic" w:eastAsia="MS UI Gothic"/>
          <w:w w:val="90"/>
        </w:rPr>
        <w:t>ꎮ</w:t>
      </w:r>
    </w:p>
    <w:p>
      <w:pPr>
        <w:pStyle w:val="6"/>
        <w:spacing w:before="64" w:line="300" w:lineRule="auto"/>
        <w:ind w:left="383" w:right="126"/>
        <w:jc w:val="left"/>
        <w:rPr>
          <w:rFonts w:hint="eastAsia" w:ascii="MS UI Gothic" w:eastAsia="MS UI Gothic"/>
        </w:rPr>
      </w:pPr>
      <w:r>
        <w:rPr>
          <w:rFonts w:hint="eastAsia" w:ascii="MS UI Gothic" w:eastAsia="MS UI Gothic"/>
          <w:w w:val="140"/>
        </w:rPr>
        <w:t xml:space="preserve">( </w:t>
      </w:r>
      <w:r>
        <w:rPr>
          <w:w w:val="95"/>
        </w:rPr>
        <w:t>三</w:t>
      </w:r>
      <w:r>
        <w:rPr>
          <w:rFonts w:hint="eastAsia" w:ascii="MS UI Gothic" w:eastAsia="MS UI Gothic"/>
          <w:w w:val="140"/>
        </w:rPr>
        <w:t xml:space="preserve">)  </w:t>
      </w:r>
      <w:r>
        <w:rPr>
          <w:w w:val="95"/>
        </w:rPr>
        <w:t xml:space="preserve">照明和手持式电气设备的供电额定电压不超过 </w:t>
      </w:r>
      <w:r>
        <w:rPr>
          <w:rFonts w:hint="eastAsia" w:ascii="MS UI Gothic" w:eastAsia="MS UI Gothic"/>
          <w:w w:val="95"/>
        </w:rPr>
        <w:t>１２７７ Ｖ</w:t>
      </w:r>
      <w:r>
        <w:rPr>
          <w:rFonts w:hint="eastAsia" w:ascii="MS UI Gothic" w:eastAsia="MS UI Gothic"/>
          <w:w w:val="90"/>
        </w:rPr>
        <w:t>ꎮ</w:t>
      </w:r>
    </w:p>
    <w:p>
      <w:pPr>
        <w:pStyle w:val="6"/>
        <w:spacing w:line="300" w:lineRule="auto"/>
        <w:ind w:left="383" w:right="126"/>
        <w:jc w:val="left"/>
        <w:rPr>
          <w:rFonts w:hint="eastAsia" w:ascii="MS UI Gothic" w:eastAsia="MS UI Gothic"/>
        </w:rPr>
      </w:pPr>
      <w:r>
        <w:rPr>
          <w:rFonts w:hint="eastAsia" w:ascii="MS UI Gothic" w:eastAsia="MS UI Gothic"/>
          <w:w w:val="145"/>
        </w:rPr>
        <w:t xml:space="preserve">( </w:t>
      </w:r>
      <w:r>
        <w:rPr>
          <w:w w:val="105"/>
        </w:rPr>
        <w:t>四</w:t>
      </w:r>
      <w:r>
        <w:rPr>
          <w:rFonts w:hint="eastAsia" w:ascii="MS UI Gothic" w:eastAsia="MS UI Gothic"/>
          <w:w w:val="145"/>
        </w:rPr>
        <w:t xml:space="preserve">) </w:t>
      </w:r>
      <w:r>
        <w:rPr>
          <w:w w:val="105"/>
        </w:rPr>
        <w:t xml:space="preserve">远距离控制线路的额定电压不超过 </w:t>
      </w:r>
      <w:r>
        <w:rPr>
          <w:rFonts w:hint="eastAsia" w:ascii="MS UI Gothic" w:eastAsia="MS UI Gothic"/>
          <w:w w:val="95"/>
        </w:rPr>
        <w:t>３６ Ｖ</w:t>
      </w:r>
      <w:r>
        <w:rPr>
          <w:rFonts w:hint="eastAsia" w:ascii="MS UI Gothic" w:eastAsia="MS UI Gothic"/>
          <w:w w:val="85"/>
        </w:rPr>
        <w:t>ꎮ</w:t>
      </w:r>
    </w:p>
    <w:p>
      <w:pPr>
        <w:pStyle w:val="6"/>
        <w:spacing w:before="1"/>
        <w:ind w:left="802" w:firstLine="0"/>
        <w:jc w:val="left"/>
      </w:pPr>
      <w:r>
        <w:rPr>
          <w:rFonts w:hint="eastAsia" w:ascii="MS UI Gothic" w:eastAsia="MS UI Gothic"/>
          <w:w w:val="110"/>
        </w:rPr>
        <w:t xml:space="preserve">( </w:t>
      </w:r>
      <w:r>
        <w:rPr>
          <w:w w:val="110"/>
        </w:rPr>
        <w:t>五</w:t>
      </w:r>
      <w:r>
        <w:rPr>
          <w:rFonts w:hint="eastAsia" w:ascii="MS UI Gothic" w:eastAsia="MS UI Gothic"/>
          <w:w w:val="110"/>
        </w:rPr>
        <w:t xml:space="preserve">) </w:t>
      </w:r>
      <w:r>
        <w:rPr>
          <w:w w:val="110"/>
        </w:rPr>
        <w:t>采掘工作面用电设备电压超过</w:t>
      </w:r>
    </w:p>
    <w:p>
      <w:pPr>
        <w:pStyle w:val="6"/>
        <w:spacing w:before="64"/>
        <w:ind w:left="377" w:firstLine="0"/>
        <w:jc w:val="left"/>
        <w:rPr>
          <w:rFonts w:hint="eastAsia" w:ascii="MS UI Gothic" w:eastAsia="MS UI Gothic"/>
        </w:rPr>
      </w:pPr>
      <w:r>
        <w:rPr>
          <w:rFonts w:hint="eastAsia" w:ascii="MS UI Gothic" w:eastAsia="MS UI Gothic"/>
          <w:w w:val="95"/>
        </w:rPr>
        <w:t xml:space="preserve">３３００ Ｖ </w:t>
      </w:r>
      <w:r>
        <w:rPr>
          <w:w w:val="95"/>
        </w:rPr>
        <w:t>时</w:t>
      </w:r>
      <w:r>
        <w:rPr>
          <w:rFonts w:hint="eastAsia" w:ascii="MS UI Gothic" w:eastAsia="MS UI Gothic"/>
          <w:w w:val="90"/>
        </w:rPr>
        <w:t xml:space="preserve">ꎬ </w:t>
      </w:r>
      <w:r>
        <w:rPr>
          <w:w w:val="95"/>
        </w:rPr>
        <w:t>必须制定专门的安全措施</w:t>
      </w:r>
      <w:r>
        <w:rPr>
          <w:rFonts w:hint="eastAsia" w:ascii="MS UI Gothic" w:eastAsia="MS UI Gothic"/>
          <w:w w:val="90"/>
        </w:rPr>
        <w:t>ꎮ</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３１２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59" o:spid="_x0000_s1959" o:spt="203" style="height:2.15pt;width:398.25pt;" coordsize="7965,43">
            <o:lock v:ext="edit"/>
            <v:line id="_x0000_s1960" o:spid="_x0000_s1960" o:spt="20" style="position:absolute;left:0;top:39;height:0;width:7965;" stroked="t" coordsize="21600,21600">
              <v:path arrowok="t"/>
              <v:fill focussize="0,0"/>
              <v:stroke weight="0.388031496062992pt" color="#231F20"/>
              <v:imagedata o:title=""/>
              <o:lock v:ext="edit"/>
            </v:line>
            <v:line id="_x0000_s1961" o:spid="_x0000_s196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5" w:line="295" w:lineRule="auto"/>
        <w:ind w:right="39"/>
        <w:rPr>
          <w:rFonts w:hint="eastAsia" w:ascii="MS UI Gothic" w:eastAsia="MS UI Gothic"/>
        </w:rPr>
      </w:pPr>
      <w:r>
        <w:t xml:space="preserve">第四百四十六条 井下配电系统同时存在 </w:t>
      </w:r>
      <w:r>
        <w:rPr>
          <w:rFonts w:hint="eastAsia" w:ascii="MS UI Gothic" w:eastAsia="MS UI Gothic"/>
          <w:w w:val="80"/>
        </w:rPr>
        <w:t xml:space="preserve">２ </w:t>
      </w:r>
      <w:r>
        <w:t xml:space="preserve">种或者 </w:t>
      </w:r>
      <w:r>
        <w:rPr>
          <w:rFonts w:hint="eastAsia" w:ascii="MS UI Gothic" w:eastAsia="MS UI Gothic"/>
          <w:w w:val="80"/>
        </w:rPr>
        <w:t xml:space="preserve">２ </w:t>
      </w:r>
      <w:r>
        <w:t>种以上电压时</w:t>
      </w:r>
      <w:r>
        <w:rPr>
          <w:rFonts w:hint="eastAsia" w:ascii="MS UI Gothic" w:eastAsia="MS UI Gothic"/>
          <w:w w:val="80"/>
        </w:rPr>
        <w:t xml:space="preserve">ꎬ </w:t>
      </w:r>
      <w:r>
        <w:t>配电设备上应当明显地标出其电压额定值</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第四百四十七条 矿井必须备有井上</w:t>
      </w:r>
      <w:r>
        <w:rPr>
          <w:rFonts w:hint="eastAsia" w:ascii="MS UI Gothic" w:eastAsia="MS UI Gothic"/>
          <w:w w:val="80"/>
        </w:rPr>
        <w:t xml:space="preserve">、 </w:t>
      </w:r>
      <w:r>
        <w:rPr>
          <w:w w:val="105"/>
        </w:rPr>
        <w:t>下配电系统图</w:t>
      </w:r>
      <w:r>
        <w:rPr>
          <w:rFonts w:hint="eastAsia" w:ascii="MS UI Gothic" w:eastAsia="MS UI Gothic"/>
          <w:w w:val="80"/>
        </w:rPr>
        <w:t xml:space="preserve">ꎬ </w:t>
      </w:r>
      <w:r>
        <w:rPr>
          <w:w w:val="105"/>
        </w:rPr>
        <w:t>井下电气设备布置示</w:t>
      </w:r>
      <w:r>
        <w:t>意图和供电线路平面敷设示意图</w:t>
      </w:r>
      <w:r>
        <w:rPr>
          <w:rFonts w:hint="eastAsia" w:ascii="MS UI Gothic" w:eastAsia="MS UI Gothic"/>
          <w:w w:val="80"/>
        </w:rPr>
        <w:t xml:space="preserve">ꎬ </w:t>
      </w:r>
      <w:r>
        <w:t>并随着</w:t>
      </w:r>
      <w:r>
        <w:rPr>
          <w:w w:val="105"/>
        </w:rPr>
        <w:t>情况变化定期填绘</w:t>
      </w:r>
      <w:r>
        <w:rPr>
          <w:rFonts w:hint="eastAsia" w:ascii="MS UI Gothic" w:eastAsia="MS UI Gothic"/>
          <w:w w:val="80"/>
        </w:rPr>
        <w:t xml:space="preserve">ꎮ </w:t>
      </w:r>
      <w:r>
        <w:rPr>
          <w:w w:val="105"/>
        </w:rPr>
        <w:t>图中应当注明</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电动机</w:t>
      </w:r>
      <w:r>
        <w:rPr>
          <w:rFonts w:hint="eastAsia" w:ascii="MS UI Gothic" w:eastAsia="MS UI Gothic"/>
          <w:w w:val="80"/>
        </w:rPr>
        <w:t xml:space="preserve">、 </w:t>
      </w:r>
      <w:r>
        <w:rPr>
          <w:w w:val="105"/>
        </w:rPr>
        <w:t>变压器</w:t>
      </w:r>
      <w:r>
        <w:rPr>
          <w:rFonts w:hint="eastAsia" w:ascii="MS UI Gothic" w:eastAsia="MS UI Gothic"/>
          <w:w w:val="80"/>
        </w:rPr>
        <w:t xml:space="preserve">、 </w:t>
      </w:r>
      <w:r>
        <w:rPr>
          <w:w w:val="105"/>
        </w:rPr>
        <w:t>配电设备等装设地点</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设备的型号</w:t>
      </w:r>
      <w:r>
        <w:rPr>
          <w:rFonts w:hint="eastAsia" w:ascii="MS UI Gothic" w:eastAsia="MS UI Gothic"/>
          <w:w w:val="80"/>
        </w:rPr>
        <w:t xml:space="preserve">、 </w:t>
      </w:r>
      <w:r>
        <w:rPr>
          <w:w w:val="105"/>
        </w:rPr>
        <w:t>容量</w:t>
      </w:r>
      <w:r>
        <w:rPr>
          <w:rFonts w:hint="eastAsia" w:ascii="MS UI Gothic" w:eastAsia="MS UI Gothic"/>
          <w:w w:val="80"/>
        </w:rPr>
        <w:t xml:space="preserve">、 </w:t>
      </w:r>
      <w:r>
        <w:rPr>
          <w:w w:val="105"/>
        </w:rPr>
        <w:t>电压</w:t>
      </w:r>
      <w:r>
        <w:rPr>
          <w:rFonts w:hint="eastAsia" w:ascii="MS UI Gothic" w:eastAsia="MS UI Gothic"/>
          <w:w w:val="80"/>
        </w:rPr>
        <w:t xml:space="preserve">、 </w:t>
      </w:r>
      <w:r>
        <w:rPr>
          <w:w w:val="105"/>
        </w:rPr>
        <w:t>电</w:t>
      </w:r>
      <w:r>
        <w:t>流等主要技术参数及其他技术性能指标</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馈出线的短路</w:t>
      </w:r>
      <w:r>
        <w:rPr>
          <w:rFonts w:hint="eastAsia" w:ascii="MS UI Gothic" w:eastAsia="MS UI Gothic"/>
          <w:w w:val="80"/>
        </w:rPr>
        <w:t xml:space="preserve">、  </w:t>
      </w:r>
      <w:r>
        <w:rPr>
          <w:w w:val="105"/>
        </w:rPr>
        <w:t>过负荷保护的</w:t>
      </w:r>
      <w:r>
        <w:t>整定值以及被保护干线和支线最远点两相</w:t>
      </w:r>
      <w:r>
        <w:rPr>
          <w:w w:val="105"/>
        </w:rPr>
        <w:t>短路电流值</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线路电缆的用途</w:t>
      </w:r>
      <w:r>
        <w:rPr>
          <w:rFonts w:hint="eastAsia" w:ascii="MS UI Gothic" w:eastAsia="MS UI Gothic"/>
          <w:w w:val="80"/>
        </w:rPr>
        <w:t xml:space="preserve">、 </w:t>
      </w:r>
      <w:r>
        <w:rPr>
          <w:w w:val="105"/>
        </w:rPr>
        <w:t>型号</w:t>
      </w:r>
      <w:r>
        <w:rPr>
          <w:rFonts w:hint="eastAsia" w:ascii="MS UI Gothic" w:eastAsia="MS UI Gothic"/>
          <w:w w:val="80"/>
        </w:rPr>
        <w:t xml:space="preserve">、 </w:t>
      </w:r>
      <w:r>
        <w:rPr>
          <w:w w:val="105"/>
        </w:rPr>
        <w:t>电压</w:t>
      </w:r>
      <w:r>
        <w:rPr>
          <w:rFonts w:hint="eastAsia" w:ascii="MS UI Gothic" w:eastAsia="MS UI Gothic"/>
          <w:w w:val="80"/>
        </w:rPr>
        <w:t xml:space="preserve">、 </w:t>
      </w:r>
      <w:r>
        <w:rPr>
          <w:w w:val="105"/>
        </w:rPr>
        <w:t>截面和长度</w:t>
      </w:r>
      <w:r>
        <w:rPr>
          <w:rFonts w:hint="eastAsia" w:ascii="MS UI Gothic" w:eastAsia="MS UI Gothic"/>
          <w:w w:val="80"/>
        </w:rPr>
        <w:t>ꎮ</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保护接地装置的安设地点</w:t>
      </w:r>
      <w:r>
        <w:rPr>
          <w:rFonts w:hint="eastAsia" w:ascii="MS UI Gothic" w:eastAsia="MS UI Gothic"/>
          <w:w w:val="80"/>
        </w:rPr>
        <w:t>ꎮ</w:t>
      </w:r>
    </w:p>
    <w:p>
      <w:pPr>
        <w:pStyle w:val="6"/>
        <w:spacing w:before="47" w:line="295" w:lineRule="auto"/>
        <w:ind w:right="39"/>
        <w:rPr>
          <w:rFonts w:hint="eastAsia" w:ascii="MS UI Gothic" w:eastAsia="MS UI Gothic"/>
        </w:rPr>
      </w:pPr>
      <w:r>
        <w:t>第四百四十八条 防爆电气设备到矿验收时</w:t>
      </w:r>
      <w:r>
        <w:rPr>
          <w:rFonts w:hint="eastAsia" w:ascii="MS UI Gothic" w:eastAsia="MS UI Gothic"/>
          <w:w w:val="80"/>
        </w:rPr>
        <w:t xml:space="preserve">ꎬ </w:t>
      </w:r>
      <w:r>
        <w:t>应当检查产品合格证</w:t>
      </w:r>
      <w:r>
        <w:rPr>
          <w:rFonts w:hint="eastAsia" w:ascii="MS UI Gothic" w:eastAsia="MS UI Gothic"/>
          <w:w w:val="80"/>
        </w:rPr>
        <w:t xml:space="preserve">、 </w:t>
      </w:r>
      <w:r>
        <w:t>煤矿矿用产品安全标志</w:t>
      </w:r>
      <w:r>
        <w:rPr>
          <w:rFonts w:hint="eastAsia" w:ascii="MS UI Gothic" w:eastAsia="MS UI Gothic"/>
          <w:w w:val="80"/>
        </w:rPr>
        <w:t xml:space="preserve">ꎬ </w:t>
      </w:r>
      <w:r>
        <w:t>并核查与安全标志审核的一致性</w:t>
      </w:r>
      <w:r>
        <w:rPr>
          <w:rFonts w:hint="eastAsia" w:ascii="MS UI Gothic" w:eastAsia="MS UI Gothic"/>
          <w:w w:val="80"/>
        </w:rPr>
        <w:t xml:space="preserve">ꎮ </w:t>
      </w:r>
      <w:r>
        <w:t>入井前</w:t>
      </w:r>
      <w:r>
        <w:rPr>
          <w:rFonts w:hint="eastAsia" w:ascii="MS UI Gothic" w:eastAsia="MS UI Gothic"/>
          <w:w w:val="80"/>
        </w:rPr>
        <w:t xml:space="preserve">ꎬ </w:t>
      </w:r>
      <w:r>
        <w:t>应当进行防爆检查</w:t>
      </w:r>
      <w:r>
        <w:rPr>
          <w:rFonts w:hint="eastAsia" w:ascii="MS UI Gothic" w:eastAsia="MS UI Gothic"/>
          <w:w w:val="80"/>
        </w:rPr>
        <w:t xml:space="preserve">ꎬ </w:t>
      </w:r>
      <w:r>
        <w:t>签发合格证后方准入井</w:t>
      </w:r>
      <w:r>
        <w:rPr>
          <w:rFonts w:hint="eastAsia" w:ascii="MS UI Gothic" w:eastAsia="MS UI Gothic"/>
          <w:w w:val="80"/>
        </w:rPr>
        <w:t>ꎮ</w:t>
      </w:r>
    </w:p>
    <w:p>
      <w:pPr>
        <w:pStyle w:val="6"/>
        <w:tabs>
          <w:tab w:val="left" w:pos="1696"/>
        </w:tabs>
        <w:spacing w:before="153"/>
        <w:ind w:left="858" w:firstLine="0"/>
        <w:jc w:val="left"/>
      </w:pPr>
      <w:r>
        <w:rPr>
          <w:spacing w:val="3"/>
          <w:w w:val="105"/>
        </w:rPr>
        <w:t>第二</w:t>
      </w:r>
      <w:r>
        <w:rPr>
          <w:w w:val="105"/>
        </w:rPr>
        <w:t>节</w:t>
      </w:r>
      <w:r>
        <w:rPr>
          <w:w w:val="105"/>
        </w:rPr>
        <w:tab/>
      </w:r>
      <w:r>
        <w:rPr>
          <w:spacing w:val="3"/>
          <w:w w:val="105"/>
        </w:rPr>
        <w:t>电气设备和保</w:t>
      </w:r>
      <w:r>
        <w:rPr>
          <w:w w:val="105"/>
        </w:rPr>
        <w:t>护</w:t>
      </w:r>
    </w:p>
    <w:p>
      <w:pPr>
        <w:pStyle w:val="6"/>
        <w:spacing w:before="10"/>
        <w:ind w:left="0" w:firstLine="0"/>
        <w:jc w:val="left"/>
        <w:rPr>
          <w:sz w:val="16"/>
        </w:rPr>
      </w:pPr>
    </w:p>
    <w:p>
      <w:pPr>
        <w:pStyle w:val="6"/>
        <w:spacing w:before="1" w:line="295" w:lineRule="auto"/>
        <w:ind w:right="39"/>
        <w:rPr>
          <w:rFonts w:hint="eastAsia" w:ascii="MS UI Gothic" w:eastAsia="MS UI Gothic"/>
        </w:rPr>
      </w:pPr>
      <w:r>
        <w:rPr>
          <w:w w:val="105"/>
        </w:rPr>
        <w:t>第四百四十九条 井下电力网的短路</w:t>
      </w:r>
      <w:r>
        <w:t>电流不得超过其控制用的断路器的开断能</w:t>
      </w:r>
      <w:r>
        <w:rPr>
          <w:w w:val="105"/>
        </w:rPr>
        <w:t>力</w:t>
      </w:r>
      <w:r>
        <w:rPr>
          <w:rFonts w:hint="eastAsia" w:ascii="MS UI Gothic" w:eastAsia="MS UI Gothic"/>
          <w:w w:val="80"/>
        </w:rPr>
        <w:t xml:space="preserve">ꎬ </w:t>
      </w:r>
      <w:r>
        <w:rPr>
          <w:w w:val="105"/>
        </w:rPr>
        <w:t>并校验电缆的热稳定性</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第四百五十条 井下严禁使用油浸式电气设备</w:t>
      </w:r>
      <w:r>
        <w:rPr>
          <w:rFonts w:hint="eastAsia" w:ascii="MS UI Gothic" w:eastAsia="MS UI Gothic"/>
          <w:w w:val="80"/>
        </w:rPr>
        <w:t>ꎮ</w:t>
      </w:r>
    </w:p>
    <w:p>
      <w:pPr>
        <w:pStyle w:val="6"/>
        <w:spacing w:line="295" w:lineRule="auto"/>
        <w:ind w:right="39" w:firstLine="413"/>
        <w:rPr>
          <w:rFonts w:hint="eastAsia" w:ascii="MS UI Gothic" w:eastAsia="MS UI Gothic"/>
        </w:rPr>
      </w:pPr>
      <w:r>
        <w:rPr>
          <w:rFonts w:hint="eastAsia" w:ascii="MS UI Gothic" w:eastAsia="MS UI Gothic"/>
        </w:rPr>
        <w:t xml:space="preserve">４０ ｋＷ </w:t>
      </w:r>
      <w:r>
        <w:t>及以上的电动机</w:t>
      </w:r>
      <w:r>
        <w:rPr>
          <w:rFonts w:hint="eastAsia" w:ascii="MS UI Gothic" w:eastAsia="MS UI Gothic"/>
          <w:w w:val="85"/>
        </w:rPr>
        <w:t xml:space="preserve">ꎬ </w:t>
      </w:r>
      <w:r>
        <w:t>应当采用真空电磁起动器控制</w:t>
      </w:r>
      <w:r>
        <w:rPr>
          <w:rFonts w:hint="eastAsia" w:ascii="MS UI Gothic" w:eastAsia="MS UI Gothic"/>
          <w:w w:val="85"/>
        </w:rPr>
        <w:t>ꎮ</w:t>
      </w:r>
    </w:p>
    <w:p>
      <w:pPr>
        <w:pStyle w:val="6"/>
        <w:spacing w:line="295" w:lineRule="auto"/>
        <w:ind w:right="38"/>
        <w:rPr>
          <w:rFonts w:hint="eastAsia" w:ascii="MS UI Gothic" w:eastAsia="MS UI Gothic"/>
        </w:rPr>
      </w:pPr>
      <w:r>
        <w:t>第四百五十一条  井下高压电动机</w:t>
      </w:r>
      <w:r>
        <w:rPr>
          <w:rFonts w:hint="eastAsia" w:ascii="MS UI Gothic" w:eastAsia="MS UI Gothic"/>
          <w:w w:val="80"/>
        </w:rPr>
        <w:t>、</w:t>
      </w:r>
      <w:r>
        <w:t>动力变压器的高压控制设备</w:t>
      </w:r>
      <w:r>
        <w:rPr>
          <w:rFonts w:hint="eastAsia" w:ascii="MS UI Gothic" w:eastAsia="MS UI Gothic"/>
          <w:w w:val="80"/>
        </w:rPr>
        <w:t xml:space="preserve">ꎬ </w:t>
      </w:r>
      <w:r>
        <w:t>应当具有短路</w:t>
      </w:r>
      <w:r>
        <w:rPr>
          <w:rFonts w:hint="eastAsia" w:ascii="MS UI Gothic" w:eastAsia="MS UI Gothic"/>
          <w:w w:val="80"/>
        </w:rPr>
        <w:t xml:space="preserve">、 </w:t>
      </w:r>
      <w:r>
        <w:t>过负荷</w:t>
      </w:r>
      <w:r>
        <w:rPr>
          <w:rFonts w:hint="eastAsia" w:ascii="MS UI Gothic" w:eastAsia="MS UI Gothic"/>
          <w:w w:val="80"/>
        </w:rPr>
        <w:t xml:space="preserve">、 </w:t>
      </w:r>
      <w:r>
        <w:t>接地和欠压释放保护</w:t>
      </w:r>
      <w:r>
        <w:rPr>
          <w:rFonts w:hint="eastAsia" w:ascii="MS UI Gothic" w:eastAsia="MS UI Gothic"/>
          <w:w w:val="80"/>
        </w:rPr>
        <w:t xml:space="preserve">ꎮ </w:t>
      </w:r>
      <w:r>
        <w:t>井下由采区变电所</w:t>
      </w:r>
      <w:r>
        <w:rPr>
          <w:rFonts w:hint="eastAsia" w:ascii="MS UI Gothic" w:eastAsia="MS UI Gothic"/>
          <w:w w:val="80"/>
        </w:rPr>
        <w:t xml:space="preserve">、 </w:t>
      </w:r>
      <w:r>
        <w:t>移动变电站或者配电点引出的馈电线上</w:t>
      </w:r>
      <w:r>
        <w:rPr>
          <w:rFonts w:hint="eastAsia" w:ascii="MS UI Gothic" w:eastAsia="MS UI Gothic"/>
          <w:w w:val="80"/>
        </w:rPr>
        <w:t xml:space="preserve">ꎬ </w:t>
      </w:r>
      <w:r>
        <w:t>必须具有短路</w:t>
      </w:r>
      <w:r>
        <w:rPr>
          <w:rFonts w:hint="eastAsia" w:ascii="MS UI Gothic" w:eastAsia="MS UI Gothic"/>
          <w:w w:val="80"/>
        </w:rPr>
        <w:t xml:space="preserve">、 </w:t>
      </w:r>
      <w:r>
        <w:t>过负荷和漏电保护</w:t>
      </w:r>
      <w:r>
        <w:rPr>
          <w:rFonts w:hint="eastAsia" w:ascii="MS UI Gothic" w:eastAsia="MS UI Gothic"/>
          <w:w w:val="80"/>
        </w:rPr>
        <w:t xml:space="preserve">ꎮ </w:t>
      </w:r>
      <w:r>
        <w:t>低压电动机的控制设备</w:t>
      </w:r>
      <w:r>
        <w:rPr>
          <w:rFonts w:hint="eastAsia" w:ascii="MS UI Gothic" w:eastAsia="MS UI Gothic"/>
          <w:w w:val="80"/>
        </w:rPr>
        <w:t xml:space="preserve">ꎬ </w:t>
      </w:r>
      <w:r>
        <w:t>必须具备短路</w:t>
      </w:r>
      <w:r>
        <w:rPr>
          <w:rFonts w:hint="eastAsia" w:ascii="MS UI Gothic" w:eastAsia="MS UI Gothic"/>
          <w:w w:val="80"/>
        </w:rPr>
        <w:t xml:space="preserve">、 </w:t>
      </w:r>
      <w:r>
        <w:t>过负荷</w:t>
      </w:r>
      <w:r>
        <w:rPr>
          <w:rFonts w:hint="eastAsia" w:ascii="MS UI Gothic" w:eastAsia="MS UI Gothic"/>
          <w:w w:val="80"/>
        </w:rPr>
        <w:t xml:space="preserve">、 </w:t>
      </w:r>
      <w:r>
        <w:t>单相断线</w:t>
      </w:r>
      <w:r>
        <w:rPr>
          <w:rFonts w:hint="eastAsia" w:ascii="MS UI Gothic" w:eastAsia="MS UI Gothic"/>
          <w:w w:val="80"/>
        </w:rPr>
        <w:t xml:space="preserve">、 </w:t>
      </w:r>
      <w:r>
        <w:t>漏电闭锁保护及远程控制功能</w:t>
      </w:r>
      <w:r>
        <w:rPr>
          <w:rFonts w:hint="eastAsia" w:ascii="MS UI Gothic" w:eastAsia="MS UI Gothic"/>
          <w:w w:val="80"/>
        </w:rPr>
        <w:t>ꎮ</w:t>
      </w:r>
    </w:p>
    <w:p>
      <w:pPr>
        <w:pStyle w:val="6"/>
        <w:spacing w:before="85" w:line="295" w:lineRule="auto"/>
        <w:ind w:right="442"/>
        <w:rPr>
          <w:rFonts w:hint="eastAsia" w:ascii="MS UI Gothic" w:eastAsia="MS UI Gothic"/>
        </w:rPr>
      </w:pPr>
      <w:r>
        <w:br w:type="column"/>
      </w:r>
      <w:r>
        <w:rPr>
          <w:w w:val="105"/>
        </w:rPr>
        <w:t>第四百五十二条  井下配电网路</w:t>
      </w:r>
      <w:r>
        <w:rPr>
          <w:rFonts w:hint="eastAsia" w:ascii="MS UI Gothic" w:eastAsia="MS UI Gothic"/>
          <w:w w:val="150"/>
        </w:rPr>
        <w:t xml:space="preserve">( </w:t>
      </w:r>
      <w:r>
        <w:rPr>
          <w:w w:val="105"/>
        </w:rPr>
        <w:t>变压器馈出线路</w:t>
      </w:r>
      <w:r>
        <w:rPr>
          <w:rFonts w:hint="eastAsia" w:ascii="MS UI Gothic" w:eastAsia="MS UI Gothic"/>
          <w:w w:val="80"/>
        </w:rPr>
        <w:t xml:space="preserve">、 </w:t>
      </w:r>
      <w:r>
        <w:rPr>
          <w:w w:val="105"/>
        </w:rPr>
        <w:t>电动机等</w:t>
      </w:r>
      <w:r>
        <w:rPr>
          <w:rFonts w:hint="eastAsia" w:ascii="MS UI Gothic" w:eastAsia="MS UI Gothic"/>
          <w:w w:val="150"/>
        </w:rPr>
        <w:t xml:space="preserve">) </w:t>
      </w:r>
      <w:r>
        <w:rPr>
          <w:w w:val="105"/>
        </w:rPr>
        <w:t>必须具有过流</w:t>
      </w:r>
      <w:r>
        <w:rPr>
          <w:rFonts w:hint="eastAsia" w:ascii="MS UI Gothic" w:eastAsia="MS UI Gothic"/>
          <w:w w:val="80"/>
        </w:rPr>
        <w:t xml:space="preserve">、 </w:t>
      </w:r>
      <w:r>
        <w:rPr>
          <w:w w:val="105"/>
        </w:rPr>
        <w:t>短路保护装置</w:t>
      </w:r>
      <w:r>
        <w:rPr>
          <w:rFonts w:hint="eastAsia" w:ascii="MS UI Gothic" w:eastAsia="MS UI Gothic"/>
          <w:w w:val="80"/>
        </w:rPr>
        <w:t xml:space="preserve">ꎻ </w:t>
      </w:r>
      <w:r>
        <w:rPr>
          <w:w w:val="105"/>
        </w:rPr>
        <w:t>必须用该配电网路</w:t>
      </w:r>
      <w:r>
        <w:t>的最大三相短路电流校验开关设备的分断</w:t>
      </w:r>
      <w:r>
        <w:rPr>
          <w:w w:val="105"/>
        </w:rPr>
        <w:t>能力和动</w:t>
      </w:r>
      <w:r>
        <w:rPr>
          <w:rFonts w:hint="eastAsia" w:ascii="MS UI Gothic" w:eastAsia="MS UI Gothic"/>
          <w:w w:val="80"/>
        </w:rPr>
        <w:t xml:space="preserve">、 </w:t>
      </w:r>
      <w:r>
        <w:rPr>
          <w:w w:val="105"/>
        </w:rPr>
        <w:t>热稳定性以及电缆的热稳定性</w:t>
      </w:r>
      <w:r>
        <w:rPr>
          <w:rFonts w:hint="eastAsia" w:ascii="MS UI Gothic" w:eastAsia="MS UI Gothic"/>
          <w:w w:val="80"/>
        </w:rPr>
        <w:t>ꎮ</w:t>
      </w:r>
    </w:p>
    <w:p>
      <w:pPr>
        <w:pStyle w:val="6"/>
        <w:spacing w:line="295" w:lineRule="auto"/>
        <w:ind w:right="442"/>
        <w:rPr>
          <w:rFonts w:hint="eastAsia" w:ascii="MS UI Gothic" w:eastAsia="MS UI Gothic"/>
        </w:rPr>
      </w:pPr>
      <w:r>
        <w:t>必须用最小两相短路电流校验保护装置的可靠动作系数</w:t>
      </w:r>
      <w:r>
        <w:rPr>
          <w:rFonts w:hint="eastAsia" w:ascii="MS UI Gothic" w:eastAsia="MS UI Gothic"/>
          <w:w w:val="80"/>
        </w:rPr>
        <w:t xml:space="preserve">ꎮ </w:t>
      </w:r>
      <w:r>
        <w:t>保护装置必须保证配电网路中最大容量的电气设备或者同时工</w:t>
      </w:r>
      <w:r>
        <w:rPr>
          <w:w w:val="105"/>
        </w:rPr>
        <w:t>作成组的电气设备能够起动</w:t>
      </w:r>
      <w:r>
        <w:rPr>
          <w:rFonts w:hint="eastAsia" w:ascii="MS UI Gothic" w:eastAsia="MS UI Gothic"/>
          <w:w w:val="80"/>
        </w:rPr>
        <w:t>ꎮ</w:t>
      </w:r>
    </w:p>
    <w:p>
      <w:pPr>
        <w:pStyle w:val="6"/>
        <w:spacing w:line="295" w:lineRule="auto"/>
        <w:ind w:right="442"/>
        <w:rPr>
          <w:rFonts w:hint="eastAsia" w:ascii="MS UI Gothic" w:eastAsia="MS UI Gothic"/>
        </w:rPr>
      </w:pPr>
      <w:r>
        <w:rPr>
          <w:w w:val="95"/>
        </w:rPr>
        <w:t xml:space="preserve">第四百五十三条 矿井 </w:t>
      </w:r>
      <w:r>
        <w:rPr>
          <w:rFonts w:hint="eastAsia" w:ascii="MS UI Gothic" w:eastAsia="MS UI Gothic"/>
          <w:w w:val="95"/>
        </w:rPr>
        <w:t xml:space="preserve">６０００ Ｖ </w:t>
      </w:r>
      <w:r>
        <w:rPr>
          <w:w w:val="95"/>
        </w:rPr>
        <w:t>及以上高压电网</w:t>
      </w:r>
      <w:r>
        <w:rPr>
          <w:rFonts w:hint="eastAsia" w:ascii="MS UI Gothic" w:eastAsia="MS UI Gothic"/>
          <w:w w:val="90"/>
        </w:rPr>
        <w:t xml:space="preserve">ꎬ  </w:t>
      </w:r>
      <w:r>
        <w:rPr>
          <w:w w:val="95"/>
        </w:rPr>
        <w:t>必须采取措施限制单相接地电容电流</w:t>
      </w:r>
      <w:r>
        <w:rPr>
          <w:rFonts w:hint="eastAsia" w:ascii="MS UI Gothic" w:eastAsia="MS UI Gothic"/>
          <w:w w:val="90"/>
        </w:rPr>
        <w:t xml:space="preserve">ꎬ </w:t>
      </w:r>
      <w:r>
        <w:rPr>
          <w:w w:val="95"/>
        </w:rPr>
        <w:t xml:space="preserve">生产矿井不超过 </w:t>
      </w:r>
      <w:r>
        <w:rPr>
          <w:rFonts w:hint="eastAsia" w:ascii="MS UI Gothic" w:eastAsia="MS UI Gothic"/>
          <w:w w:val="95"/>
        </w:rPr>
        <w:t>２０ Ａ</w:t>
      </w:r>
      <w:r>
        <w:rPr>
          <w:rFonts w:hint="eastAsia" w:ascii="MS UI Gothic" w:eastAsia="MS UI Gothic"/>
          <w:w w:val="90"/>
        </w:rPr>
        <w:t xml:space="preserve">ꎬ </w:t>
      </w:r>
      <w:r>
        <w:rPr>
          <w:w w:val="95"/>
        </w:rPr>
        <w:t xml:space="preserve">新建矿井不超过 </w:t>
      </w:r>
      <w:r>
        <w:rPr>
          <w:rFonts w:hint="eastAsia" w:ascii="MS UI Gothic" w:eastAsia="MS UI Gothic"/>
          <w:w w:val="95"/>
        </w:rPr>
        <w:t>１０ Ａ</w:t>
      </w:r>
      <w:r>
        <w:rPr>
          <w:rFonts w:hint="eastAsia" w:ascii="MS UI Gothic" w:eastAsia="MS UI Gothic"/>
          <w:w w:val="90"/>
        </w:rPr>
        <w:t>ꎮ</w:t>
      </w:r>
    </w:p>
    <w:p>
      <w:pPr>
        <w:pStyle w:val="6"/>
        <w:spacing w:line="295" w:lineRule="auto"/>
        <w:ind w:right="442"/>
        <w:rPr>
          <w:rFonts w:hint="eastAsia" w:ascii="MS UI Gothic" w:eastAsia="MS UI Gothic"/>
        </w:rPr>
      </w:pPr>
      <w:r>
        <w:t>井上</w:t>
      </w:r>
      <w:r>
        <w:rPr>
          <w:rFonts w:hint="eastAsia" w:ascii="MS UI Gothic" w:eastAsia="MS UI Gothic"/>
          <w:w w:val="80"/>
        </w:rPr>
        <w:t xml:space="preserve">、 </w:t>
      </w:r>
      <w:r>
        <w:t>下变电所的高压馈电线上</w:t>
      </w:r>
      <w:r>
        <w:rPr>
          <w:rFonts w:hint="eastAsia" w:ascii="MS UI Gothic" w:eastAsia="MS UI Gothic"/>
          <w:w w:val="80"/>
        </w:rPr>
        <w:t xml:space="preserve">ꎬ </w:t>
      </w:r>
      <w:r>
        <w:t>必须具备有选择性的单相接地保护</w:t>
      </w:r>
      <w:r>
        <w:rPr>
          <w:rFonts w:hint="eastAsia" w:ascii="MS UI Gothic" w:eastAsia="MS UI Gothic"/>
          <w:w w:val="80"/>
        </w:rPr>
        <w:t xml:space="preserve">ꎻ </w:t>
      </w:r>
      <w:r>
        <w:t>向移动变电站和电动机供电的高压馈电线上</w:t>
      </w:r>
      <w:r>
        <w:rPr>
          <w:rFonts w:hint="eastAsia" w:ascii="MS UI Gothic" w:eastAsia="MS UI Gothic"/>
          <w:w w:val="80"/>
        </w:rPr>
        <w:t xml:space="preserve">ꎬ </w:t>
      </w:r>
      <w:r>
        <w:t>必须具有选择性的动作于跳闸的单相接地保护</w:t>
      </w:r>
      <w:r>
        <w:rPr>
          <w:rFonts w:hint="eastAsia" w:ascii="MS UI Gothic" w:eastAsia="MS UI Gothic"/>
          <w:w w:val="80"/>
        </w:rPr>
        <w:t>ꎮ</w:t>
      </w:r>
    </w:p>
    <w:p>
      <w:pPr>
        <w:pStyle w:val="6"/>
        <w:spacing w:line="295" w:lineRule="auto"/>
        <w:ind w:right="442"/>
        <w:rPr>
          <w:rFonts w:hint="eastAsia" w:ascii="MS UI Gothic" w:eastAsia="MS UI Gothic"/>
        </w:rPr>
      </w:pPr>
      <w:r>
        <w:t>井下低压馈电线上</w:t>
      </w:r>
      <w:r>
        <w:rPr>
          <w:rFonts w:hint="eastAsia" w:ascii="MS UI Gothic" w:eastAsia="MS UI Gothic"/>
          <w:w w:val="80"/>
        </w:rPr>
        <w:t xml:space="preserve">ꎬ </w:t>
      </w:r>
      <w:r>
        <w:t>必须装设检漏保护装置或者有选择性的漏电保护装置</w:t>
      </w:r>
      <w:r>
        <w:rPr>
          <w:rFonts w:hint="eastAsia" w:ascii="MS UI Gothic" w:eastAsia="MS UI Gothic"/>
          <w:w w:val="80"/>
        </w:rPr>
        <w:t xml:space="preserve">ꎬ </w:t>
      </w:r>
      <w:r>
        <w:t>保证自动切断漏电的馈电线路</w:t>
      </w:r>
      <w:r>
        <w:rPr>
          <w:rFonts w:hint="eastAsia" w:ascii="MS UI Gothic" w:eastAsia="MS UI Gothic"/>
          <w:w w:val="80"/>
        </w:rPr>
        <w:t>ꎮ</w:t>
      </w:r>
    </w:p>
    <w:p>
      <w:pPr>
        <w:pStyle w:val="6"/>
        <w:spacing w:line="295" w:lineRule="auto"/>
        <w:ind w:right="442"/>
        <w:rPr>
          <w:rFonts w:hint="eastAsia" w:ascii="MS UI Gothic" w:eastAsia="MS UI Gothic"/>
        </w:rPr>
      </w:pPr>
      <w:r>
        <w:t xml:space="preserve">每天必须对低压漏电保护进行 </w:t>
      </w:r>
      <w:r>
        <w:rPr>
          <w:rFonts w:hint="eastAsia" w:ascii="MS UI Gothic" w:eastAsia="MS UI Gothic"/>
          <w:w w:val="80"/>
        </w:rPr>
        <w:t xml:space="preserve">１ </w:t>
      </w:r>
      <w:r>
        <w:t>次跳闸试验</w:t>
      </w:r>
      <w:r>
        <w:rPr>
          <w:rFonts w:hint="eastAsia" w:ascii="MS UI Gothic" w:eastAsia="MS UI Gothic"/>
          <w:w w:val="80"/>
        </w:rPr>
        <w:t>ꎮ</w:t>
      </w:r>
    </w:p>
    <w:p>
      <w:pPr>
        <w:pStyle w:val="6"/>
        <w:spacing w:line="295" w:lineRule="auto"/>
        <w:ind w:right="442"/>
        <w:rPr>
          <w:rFonts w:hint="eastAsia" w:ascii="MS UI Gothic" w:eastAsia="MS UI Gothic"/>
        </w:rPr>
      </w:pPr>
      <w:r>
        <w:t>煤电钻必须使用具有检漏</w:t>
      </w:r>
      <w:r>
        <w:rPr>
          <w:rFonts w:hint="eastAsia" w:ascii="MS UI Gothic" w:eastAsia="MS UI Gothic"/>
          <w:w w:val="80"/>
        </w:rPr>
        <w:t xml:space="preserve">、 </w:t>
      </w:r>
      <w:r>
        <w:t>漏电闭锁</w:t>
      </w:r>
      <w:r>
        <w:rPr>
          <w:rFonts w:hint="eastAsia" w:ascii="MS UI Gothic" w:eastAsia="MS UI Gothic"/>
          <w:w w:val="80"/>
        </w:rPr>
        <w:t xml:space="preserve">、 </w:t>
      </w:r>
      <w:r>
        <w:t>短路</w:t>
      </w:r>
      <w:r>
        <w:rPr>
          <w:rFonts w:hint="eastAsia" w:ascii="MS UI Gothic" w:eastAsia="MS UI Gothic"/>
          <w:w w:val="80"/>
        </w:rPr>
        <w:t xml:space="preserve">、 </w:t>
      </w:r>
      <w:r>
        <w:t>过负荷</w:t>
      </w:r>
      <w:r>
        <w:rPr>
          <w:rFonts w:hint="eastAsia" w:ascii="MS UI Gothic" w:eastAsia="MS UI Gothic"/>
          <w:w w:val="80"/>
        </w:rPr>
        <w:t xml:space="preserve">、 </w:t>
      </w:r>
      <w:r>
        <w:t>断相和远距离控制功能的综合保护装置</w:t>
      </w:r>
      <w:r>
        <w:rPr>
          <w:rFonts w:hint="eastAsia" w:ascii="MS UI Gothic" w:eastAsia="MS UI Gothic"/>
          <w:w w:val="80"/>
        </w:rPr>
        <w:t xml:space="preserve">ꎮ </w:t>
      </w:r>
      <w:r>
        <w:t>每班使用前</w:t>
      </w:r>
      <w:r>
        <w:rPr>
          <w:rFonts w:hint="eastAsia" w:ascii="MS UI Gothic" w:eastAsia="MS UI Gothic"/>
          <w:w w:val="80"/>
        </w:rPr>
        <w:t xml:space="preserve">ꎬ </w:t>
      </w:r>
      <w:r>
        <w:t xml:space="preserve">必须对煤电钻综合保护装置进行 </w:t>
      </w:r>
      <w:r>
        <w:rPr>
          <w:rFonts w:hint="eastAsia" w:ascii="MS UI Gothic" w:eastAsia="MS UI Gothic"/>
          <w:w w:val="80"/>
        </w:rPr>
        <w:t xml:space="preserve">１ </w:t>
      </w:r>
      <w:r>
        <w:t>次跳闸试验</w:t>
      </w:r>
      <w:r>
        <w:rPr>
          <w:rFonts w:hint="eastAsia" w:ascii="MS UI Gothic" w:eastAsia="MS UI Gothic"/>
          <w:w w:val="80"/>
        </w:rPr>
        <w:t>ꎮ</w:t>
      </w:r>
    </w:p>
    <w:p>
      <w:pPr>
        <w:pStyle w:val="6"/>
        <w:spacing w:line="295" w:lineRule="auto"/>
        <w:ind w:right="442"/>
        <w:rPr>
          <w:rFonts w:hint="eastAsia" w:ascii="MS UI Gothic" w:eastAsia="MS UI Gothic"/>
        </w:rPr>
      </w:pPr>
      <w:r>
        <w:t>突出矿井禁止使用煤电钻</w:t>
      </w:r>
      <w:r>
        <w:rPr>
          <w:rFonts w:hint="eastAsia" w:ascii="MS UI Gothic" w:eastAsia="MS UI Gothic"/>
          <w:w w:val="80"/>
        </w:rPr>
        <w:t xml:space="preserve">ꎬ </w:t>
      </w:r>
      <w:r>
        <w:t>煤层突出参数测定取样时不受此限</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第四百五十四条 直接向井下供电的</w:t>
      </w:r>
      <w:r>
        <w:rPr>
          <w:spacing w:val="3"/>
        </w:rPr>
        <w:t>馈电线路上</w:t>
      </w:r>
      <w:r>
        <w:rPr>
          <w:rFonts w:hint="eastAsia" w:ascii="MS UI Gothic" w:eastAsia="MS UI Gothic"/>
          <w:spacing w:val="23"/>
          <w:w w:val="80"/>
        </w:rPr>
        <w:t xml:space="preserve">ꎬ </w:t>
      </w:r>
      <w:r>
        <w:rPr>
          <w:spacing w:val="3"/>
        </w:rPr>
        <w:t>严禁装设自动重合闸</w:t>
      </w:r>
      <w:r>
        <w:rPr>
          <w:rFonts w:hint="eastAsia" w:ascii="MS UI Gothic" w:eastAsia="MS UI Gothic"/>
          <w:spacing w:val="23"/>
          <w:w w:val="80"/>
        </w:rPr>
        <w:t xml:space="preserve">ꎮ </w:t>
      </w:r>
      <w:r>
        <w:rPr>
          <w:spacing w:val="1"/>
        </w:rPr>
        <w:t>手动</w:t>
      </w:r>
      <w:r>
        <w:rPr>
          <w:spacing w:val="3"/>
        </w:rPr>
        <w:t>合闸时</w:t>
      </w:r>
      <w:r>
        <w:rPr>
          <w:rFonts w:hint="eastAsia" w:ascii="MS UI Gothic" w:eastAsia="MS UI Gothic"/>
          <w:spacing w:val="1"/>
          <w:w w:val="80"/>
        </w:rPr>
        <w:t xml:space="preserve">ꎬ </w:t>
      </w:r>
      <w:r>
        <w:rPr>
          <w:spacing w:val="3"/>
        </w:rPr>
        <w:t>必须事先同井下联系</w:t>
      </w:r>
      <w:r>
        <w:rPr>
          <w:rFonts w:hint="eastAsia" w:ascii="MS UI Gothic" w:eastAsia="MS UI Gothic"/>
          <w:w w:val="80"/>
        </w:rPr>
        <w:t>ꎮ</w:t>
      </w:r>
    </w:p>
    <w:p>
      <w:pPr>
        <w:pStyle w:val="6"/>
        <w:spacing w:line="295" w:lineRule="auto"/>
        <w:ind w:right="442"/>
        <w:rPr>
          <w:rFonts w:hint="eastAsia" w:ascii="MS UI Gothic" w:eastAsia="MS UI Gothic"/>
        </w:rPr>
      </w:pPr>
      <w:r>
        <w:rPr>
          <w:spacing w:val="8"/>
          <w:w w:val="105"/>
        </w:rPr>
        <w:t>第四百五十五条 井上</w:t>
      </w:r>
      <w:r>
        <w:rPr>
          <w:rFonts w:hint="eastAsia" w:ascii="MS UI Gothic" w:eastAsia="MS UI Gothic"/>
          <w:spacing w:val="19"/>
          <w:w w:val="80"/>
        </w:rPr>
        <w:t xml:space="preserve">、 </w:t>
      </w:r>
      <w:r>
        <w:rPr>
          <w:spacing w:val="2"/>
          <w:w w:val="105"/>
        </w:rPr>
        <w:t>下必须装设</w:t>
      </w:r>
      <w:r>
        <w:rPr>
          <w:spacing w:val="3"/>
          <w:w w:val="105"/>
        </w:rPr>
        <w:t>防雷电装置</w:t>
      </w:r>
      <w:r>
        <w:rPr>
          <w:rFonts w:hint="eastAsia" w:ascii="MS UI Gothic" w:eastAsia="MS UI Gothic"/>
          <w:spacing w:val="23"/>
          <w:w w:val="80"/>
        </w:rPr>
        <w:t xml:space="preserve">ꎬ </w:t>
      </w:r>
      <w:r>
        <w:rPr>
          <w:spacing w:val="3"/>
          <w:w w:val="105"/>
        </w:rPr>
        <w:t>并遵守下列规定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经由地面架空线路引入井下的</w:t>
      </w:r>
      <w:r>
        <w:t>供电线路和电机车架线</w:t>
      </w:r>
      <w:r>
        <w:rPr>
          <w:rFonts w:hint="eastAsia" w:ascii="MS UI Gothic" w:eastAsia="MS UI Gothic"/>
          <w:w w:val="80"/>
        </w:rPr>
        <w:t xml:space="preserve">ꎬ </w:t>
      </w:r>
      <w:r>
        <w:t>必须在入井处装</w:t>
      </w:r>
      <w:r>
        <w:rPr>
          <w:w w:val="105"/>
        </w:rPr>
        <w:t>设防雷电装置</w:t>
      </w:r>
      <w:r>
        <w:rPr>
          <w:rFonts w:hint="eastAsia" w:ascii="MS UI Gothic" w:eastAsia="MS UI Gothic"/>
          <w:w w:val="80"/>
        </w:rPr>
        <w:t>ꎮ</w:t>
      </w:r>
    </w:p>
    <w:p>
      <w:pPr>
        <w:pStyle w:val="6"/>
        <w:spacing w:line="254" w:lineRule="exact"/>
        <w:ind w:left="543" w:firstLine="0"/>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由地面直接入井的轨道</w:t>
      </w:r>
      <w:r>
        <w:rPr>
          <w:rFonts w:hint="eastAsia" w:ascii="MS UI Gothic" w:eastAsia="MS UI Gothic"/>
        </w:rPr>
        <w:t xml:space="preserve">、 </w:t>
      </w:r>
      <w:r>
        <w:rPr>
          <w:w w:val="110"/>
        </w:rPr>
        <w:t>金属</w:t>
      </w:r>
    </w:p>
    <w:p>
      <w:pPr>
        <w:spacing w:after="0" w:line="254"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３１３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62" o:spid="_x0000_s1962" o:spt="203" style="height:2.15pt;width:398.25pt;" coordsize="7965,43">
            <o:lock v:ext="edit"/>
            <v:line id="_x0000_s1963" o:spid="_x0000_s1963" o:spt="20" style="position:absolute;left:0;top:39;height:0;width:7965;" stroked="t" coordsize="21600,21600">
              <v:path arrowok="t"/>
              <v:fill focussize="0,0"/>
              <v:stroke weight="0.388031496062992pt" color="#231F20"/>
              <v:imagedata o:title=""/>
              <o:lock v:ext="edit"/>
            </v:line>
            <v:line id="_x0000_s1964" o:spid="_x0000_s196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rPr>
          <w:spacing w:val="12"/>
          <w:w w:val="105"/>
        </w:rPr>
        <w:t xml:space="preserve">架构及露天架空引入 </w:t>
      </w:r>
      <w:r>
        <w:rPr>
          <w:rFonts w:hint="eastAsia" w:ascii="MS UI Gothic" w:eastAsia="MS UI Gothic"/>
          <w:spacing w:val="-33"/>
          <w:w w:val="150"/>
        </w:rPr>
        <w:t xml:space="preserve">( </w:t>
      </w:r>
      <w:r>
        <w:rPr>
          <w:spacing w:val="19"/>
          <w:w w:val="105"/>
        </w:rPr>
        <w:t>出</w:t>
      </w:r>
      <w:r>
        <w:rPr>
          <w:rFonts w:hint="eastAsia" w:ascii="MS UI Gothic" w:eastAsia="MS UI Gothic"/>
          <w:spacing w:val="4"/>
          <w:w w:val="150"/>
        </w:rPr>
        <w:t xml:space="preserve">) </w:t>
      </w:r>
      <w:r>
        <w:rPr>
          <w:spacing w:val="21"/>
          <w:w w:val="105"/>
        </w:rPr>
        <w:t>井的管路</w:t>
      </w:r>
      <w:r>
        <w:rPr>
          <w:rFonts w:hint="eastAsia" w:ascii="MS UI Gothic" w:eastAsia="MS UI Gothic"/>
          <w:spacing w:val="-13"/>
          <w:w w:val="80"/>
        </w:rPr>
        <w:t>ꎬ</w:t>
      </w:r>
      <w:r>
        <w:rPr>
          <w:spacing w:val="-6"/>
          <w:w w:val="105"/>
        </w:rPr>
        <w:t xml:space="preserve">必须在井口附近对金属体设置不少于 </w:t>
      </w:r>
      <w:r>
        <w:rPr>
          <w:rFonts w:hint="eastAsia" w:ascii="MS UI Gothic" w:eastAsia="MS UI Gothic"/>
          <w:spacing w:val="-12"/>
          <w:w w:val="80"/>
        </w:rPr>
        <w:t xml:space="preserve">２ </w:t>
      </w:r>
      <w:r>
        <w:rPr>
          <w:w w:val="105"/>
        </w:rPr>
        <w:t>处</w:t>
      </w:r>
      <w:r>
        <w:rPr>
          <w:spacing w:val="3"/>
          <w:w w:val="105"/>
        </w:rPr>
        <w:t>的良好的集中接地</w:t>
      </w:r>
      <w:r>
        <w:rPr>
          <w:rFonts w:hint="eastAsia" w:ascii="MS UI Gothic" w:eastAsia="MS UI Gothic"/>
          <w:w w:val="80"/>
        </w:rPr>
        <w:t>ꎮ</w:t>
      </w:r>
    </w:p>
    <w:p>
      <w:pPr>
        <w:pStyle w:val="6"/>
        <w:tabs>
          <w:tab w:val="left" w:pos="1908"/>
        </w:tabs>
        <w:spacing w:before="155"/>
        <w:ind w:left="1069" w:firstLine="0"/>
        <w:jc w:val="left"/>
      </w:pPr>
      <w:r>
        <w:rPr>
          <w:spacing w:val="3"/>
          <w:w w:val="105"/>
        </w:rPr>
        <w:t>第三</w:t>
      </w:r>
      <w:r>
        <w:rPr>
          <w:w w:val="105"/>
        </w:rPr>
        <w:t>节</w:t>
      </w:r>
      <w:r>
        <w:rPr>
          <w:w w:val="105"/>
        </w:rPr>
        <w:tab/>
      </w:r>
      <w:r>
        <w:rPr>
          <w:spacing w:val="3"/>
          <w:w w:val="105"/>
        </w:rPr>
        <w:t>井下机电设备硐</w:t>
      </w:r>
      <w:r>
        <w:rPr>
          <w:w w:val="105"/>
        </w:rPr>
        <w:t>室</w:t>
      </w:r>
    </w:p>
    <w:p>
      <w:pPr>
        <w:pStyle w:val="6"/>
        <w:spacing w:before="10"/>
        <w:ind w:left="0" w:firstLine="0"/>
        <w:jc w:val="left"/>
        <w:rPr>
          <w:sz w:val="16"/>
        </w:rPr>
      </w:pPr>
    </w:p>
    <w:p>
      <w:pPr>
        <w:pStyle w:val="6"/>
        <w:spacing w:line="295" w:lineRule="auto"/>
        <w:ind w:left="440"/>
        <w:rPr>
          <w:rFonts w:hint="eastAsia" w:ascii="MS UI Gothic" w:eastAsia="MS UI Gothic"/>
        </w:rPr>
      </w:pPr>
      <w:r>
        <w:rPr>
          <w:w w:val="105"/>
        </w:rPr>
        <w:t>第四百五十六条 永久性井下中央变</w:t>
      </w:r>
      <w:r>
        <w:t>电所和井底车场内的其他机电设备硐室</w:t>
      </w:r>
      <w:r>
        <w:rPr>
          <w:rFonts w:hint="eastAsia" w:ascii="MS UI Gothic" w:eastAsia="MS UI Gothic"/>
          <w:w w:val="80"/>
        </w:rPr>
        <w:t>ꎬ</w:t>
      </w:r>
      <w:r>
        <w:t>应当采用砌碹或者其他可靠的方式支护</w:t>
      </w:r>
      <w:r>
        <w:rPr>
          <w:rFonts w:hint="eastAsia" w:ascii="MS UI Gothic" w:eastAsia="MS UI Gothic"/>
          <w:w w:val="80"/>
        </w:rPr>
        <w:t>ꎬ</w:t>
      </w:r>
      <w:r>
        <w:rPr>
          <w:w w:val="105"/>
        </w:rPr>
        <w:t>采区变电所应当用不燃性材料支护</w:t>
      </w:r>
      <w:r>
        <w:rPr>
          <w:rFonts w:hint="eastAsia" w:ascii="MS UI Gothic" w:eastAsia="MS UI Gothic"/>
          <w:w w:val="80"/>
        </w:rPr>
        <w:t>ꎮ</w:t>
      </w:r>
    </w:p>
    <w:p>
      <w:pPr>
        <w:pStyle w:val="6"/>
        <w:spacing w:line="295" w:lineRule="auto"/>
        <w:ind w:left="440"/>
        <w:rPr>
          <w:rFonts w:hint="eastAsia" w:ascii="MS UI Gothic" w:eastAsia="MS UI Gothic"/>
        </w:rPr>
      </w:pPr>
      <w:r>
        <w:t>硐室必须装设向外开的防火铁门</w:t>
      </w:r>
      <w:r>
        <w:rPr>
          <w:rFonts w:hint="eastAsia" w:ascii="MS UI Gothic" w:eastAsia="MS UI Gothic"/>
          <w:w w:val="80"/>
        </w:rPr>
        <w:t xml:space="preserve">ꎮ </w:t>
      </w:r>
      <w:r>
        <w:t>铁门全部敞开时</w:t>
      </w:r>
      <w:r>
        <w:rPr>
          <w:rFonts w:hint="eastAsia" w:ascii="MS UI Gothic" w:eastAsia="MS UI Gothic"/>
          <w:w w:val="80"/>
        </w:rPr>
        <w:t xml:space="preserve">ꎬ </w:t>
      </w:r>
      <w:r>
        <w:t>不得妨碍运输</w:t>
      </w:r>
      <w:r>
        <w:rPr>
          <w:rFonts w:hint="eastAsia" w:ascii="MS UI Gothic" w:eastAsia="MS UI Gothic"/>
          <w:w w:val="80"/>
        </w:rPr>
        <w:t xml:space="preserve">ꎮ </w:t>
      </w:r>
      <w:r>
        <w:t>铁门上应当装设便于关严的通风孔</w:t>
      </w:r>
      <w:r>
        <w:rPr>
          <w:rFonts w:hint="eastAsia" w:ascii="MS UI Gothic" w:eastAsia="MS UI Gothic"/>
          <w:w w:val="80"/>
        </w:rPr>
        <w:t xml:space="preserve">ꎮ </w:t>
      </w:r>
      <w:r>
        <w:t>装有铁门时</w:t>
      </w:r>
      <w:r>
        <w:rPr>
          <w:rFonts w:hint="eastAsia" w:ascii="MS UI Gothic" w:eastAsia="MS UI Gothic"/>
          <w:w w:val="80"/>
        </w:rPr>
        <w:t>ꎬ</w:t>
      </w:r>
      <w:r>
        <w:t>门内可加设向外开的铁栅栏门</w:t>
      </w:r>
      <w:r>
        <w:rPr>
          <w:rFonts w:hint="eastAsia" w:ascii="MS UI Gothic" w:eastAsia="MS UI Gothic"/>
          <w:w w:val="80"/>
        </w:rPr>
        <w:t xml:space="preserve">ꎬ </w:t>
      </w:r>
      <w:r>
        <w:t>但不得妨碍铁门的开闭</w:t>
      </w:r>
      <w:r>
        <w:rPr>
          <w:rFonts w:hint="eastAsia" w:ascii="MS UI Gothic" w:eastAsia="MS UI Gothic"/>
          <w:w w:val="80"/>
        </w:rPr>
        <w:t>ꎮ</w:t>
      </w:r>
    </w:p>
    <w:p>
      <w:pPr>
        <w:pStyle w:val="6"/>
        <w:spacing w:line="295" w:lineRule="auto"/>
        <w:ind w:left="440" w:right="1"/>
        <w:rPr>
          <w:rFonts w:hint="eastAsia" w:ascii="MS UI Gothic" w:eastAsia="MS UI Gothic"/>
        </w:rPr>
      </w:pPr>
      <w:r>
        <w:t xml:space="preserve">从硐室出口防火铁门起 </w:t>
      </w:r>
      <w:r>
        <w:rPr>
          <w:rFonts w:hint="eastAsia" w:ascii="MS UI Gothic" w:eastAsia="MS UI Gothic"/>
          <w:w w:val="80"/>
        </w:rPr>
        <w:t xml:space="preserve">５ ｍ </w:t>
      </w:r>
      <w:r>
        <w:t>内的巷道</w:t>
      </w:r>
      <w:r>
        <w:rPr>
          <w:rFonts w:hint="eastAsia" w:ascii="MS UI Gothic" w:eastAsia="MS UI Gothic"/>
          <w:w w:val="80"/>
        </w:rPr>
        <w:t xml:space="preserve">ꎬ </w:t>
      </w:r>
      <w:r>
        <w:t>应当砌碹或者用其他不燃性材料支护</w:t>
      </w:r>
      <w:r>
        <w:rPr>
          <w:rFonts w:hint="eastAsia" w:ascii="MS UI Gothic" w:eastAsia="MS UI Gothic"/>
          <w:w w:val="80"/>
        </w:rPr>
        <w:t xml:space="preserve">ꎮ </w:t>
      </w:r>
      <w:r>
        <w:t>硐室内必须设置足够数量的扑灭电气火灾的灭火器材</w:t>
      </w:r>
      <w:r>
        <w:rPr>
          <w:rFonts w:hint="eastAsia" w:ascii="MS UI Gothic" w:eastAsia="MS UI Gothic"/>
          <w:w w:val="80"/>
        </w:rPr>
        <w:t>ꎮ</w:t>
      </w:r>
    </w:p>
    <w:p>
      <w:pPr>
        <w:pStyle w:val="6"/>
        <w:spacing w:line="295" w:lineRule="auto"/>
        <w:ind w:left="440" w:right="1"/>
        <w:rPr>
          <w:rFonts w:hint="eastAsia" w:ascii="MS UI Gothic" w:eastAsia="MS UI Gothic"/>
        </w:rPr>
      </w:pPr>
      <w:r>
        <w:t>井下中央变电所和主要排水泵房的地面标高</w:t>
      </w:r>
      <w:r>
        <w:rPr>
          <w:rFonts w:hint="eastAsia" w:ascii="MS UI Gothic" w:eastAsia="MS UI Gothic"/>
          <w:w w:val="85"/>
        </w:rPr>
        <w:t xml:space="preserve">ꎬ </w:t>
      </w:r>
      <w:r>
        <w:t xml:space="preserve">应当分别比其出口与井底车场或者大巷连接处的底板标高高出 </w:t>
      </w:r>
      <w:r>
        <w:rPr>
          <w:rFonts w:hint="eastAsia" w:ascii="MS UI Gothic" w:eastAsia="MS UI Gothic"/>
        </w:rPr>
        <w:t>０ ５ ｍ</w:t>
      </w:r>
      <w:r>
        <w:rPr>
          <w:rFonts w:hint="eastAsia" w:ascii="MS UI Gothic" w:eastAsia="MS UI Gothic"/>
          <w:w w:val="85"/>
        </w:rPr>
        <w:t>ꎮ</w:t>
      </w:r>
    </w:p>
    <w:p>
      <w:pPr>
        <w:pStyle w:val="6"/>
        <w:spacing w:line="295" w:lineRule="auto"/>
        <w:ind w:left="440" w:right="1"/>
        <w:rPr>
          <w:rFonts w:hint="eastAsia" w:ascii="MS UI Gothic" w:eastAsia="MS UI Gothic"/>
        </w:rPr>
      </w:pPr>
      <w:r>
        <w:t>硐室不应有滴水</w:t>
      </w:r>
      <w:r>
        <w:rPr>
          <w:rFonts w:hint="eastAsia" w:ascii="MS UI Gothic" w:eastAsia="MS UI Gothic"/>
          <w:w w:val="80"/>
        </w:rPr>
        <w:t xml:space="preserve">ꎮ </w:t>
      </w:r>
      <w:r>
        <w:t>硐室的过道应当保持畅通</w:t>
      </w:r>
      <w:r>
        <w:rPr>
          <w:rFonts w:hint="eastAsia" w:ascii="MS UI Gothic" w:eastAsia="MS UI Gothic"/>
          <w:w w:val="80"/>
        </w:rPr>
        <w:t xml:space="preserve">ꎬ </w:t>
      </w:r>
      <w:r>
        <w:t>严禁存放无关的设备和物件</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第四百五十七条 采掘工作面配电点</w:t>
      </w:r>
      <w:r>
        <w:rPr>
          <w:spacing w:val="5"/>
        </w:rPr>
        <w:t>的位置和空间必须满足设备安装</w:t>
      </w:r>
      <w:r>
        <w:rPr>
          <w:rFonts w:hint="eastAsia" w:ascii="MS UI Gothic" w:eastAsia="MS UI Gothic"/>
          <w:spacing w:val="21"/>
          <w:w w:val="80"/>
        </w:rPr>
        <w:t xml:space="preserve">、 </w:t>
      </w:r>
      <w:r>
        <w:rPr>
          <w:spacing w:val="8"/>
        </w:rPr>
        <w:t>拆除</w:t>
      </w:r>
      <w:r>
        <w:rPr>
          <w:rFonts w:hint="eastAsia" w:ascii="MS UI Gothic" w:eastAsia="MS UI Gothic"/>
          <w:w w:val="80"/>
        </w:rPr>
        <w:t>、</w:t>
      </w:r>
      <w:r>
        <w:rPr>
          <w:spacing w:val="12"/>
        </w:rPr>
        <w:t>检修和运输等要求</w:t>
      </w:r>
      <w:r>
        <w:rPr>
          <w:rFonts w:hint="eastAsia" w:ascii="MS UI Gothic" w:eastAsia="MS UI Gothic"/>
          <w:w w:val="80"/>
        </w:rPr>
        <w:t xml:space="preserve">ꎬ </w:t>
      </w:r>
      <w:r>
        <w:rPr>
          <w:spacing w:val="16"/>
        </w:rPr>
        <w:t>并采用不燃性材料</w:t>
      </w:r>
      <w:r>
        <w:rPr>
          <w:spacing w:val="3"/>
        </w:rPr>
        <w:t>支护</w:t>
      </w:r>
      <w:r>
        <w:rPr>
          <w:rFonts w:hint="eastAsia" w:ascii="MS UI Gothic" w:eastAsia="MS UI Gothic"/>
          <w:w w:val="80"/>
        </w:rPr>
        <w:t>ꎮ</w:t>
      </w:r>
    </w:p>
    <w:p>
      <w:pPr>
        <w:pStyle w:val="6"/>
        <w:spacing w:line="295" w:lineRule="auto"/>
        <w:ind w:left="435" w:right="1" w:firstLine="425"/>
        <w:rPr>
          <w:rFonts w:hint="eastAsia" w:ascii="MS UI Gothic" w:eastAsia="MS UI Gothic"/>
        </w:rPr>
      </w:pPr>
      <w:r>
        <w:rPr>
          <w:spacing w:val="3"/>
        </w:rPr>
        <w:t>第四百五十八条  变电硐室长度超过</w:t>
      </w:r>
      <w:r>
        <w:rPr>
          <w:rFonts w:hint="eastAsia" w:ascii="MS UI Gothic" w:eastAsia="MS UI Gothic"/>
          <w:spacing w:val="7"/>
        </w:rPr>
        <w:t xml:space="preserve">６ </w:t>
      </w:r>
      <w:r>
        <w:rPr>
          <w:rFonts w:hint="eastAsia" w:ascii="MS UI Gothic" w:eastAsia="MS UI Gothic"/>
        </w:rPr>
        <w:t>ｍ</w:t>
      </w:r>
      <w:r>
        <w:rPr>
          <w:rFonts w:hint="eastAsia" w:ascii="MS UI Gothic" w:eastAsia="MS UI Gothic"/>
          <w:spacing w:val="33"/>
        </w:rPr>
        <w:t xml:space="preserve"> </w:t>
      </w:r>
      <w:r>
        <w:rPr>
          <w:spacing w:val="3"/>
        </w:rPr>
        <w:t>时</w:t>
      </w:r>
      <w:r>
        <w:rPr>
          <w:rFonts w:hint="eastAsia" w:ascii="MS UI Gothic" w:eastAsia="MS UI Gothic"/>
          <w:spacing w:val="3"/>
          <w:w w:val="80"/>
        </w:rPr>
        <w:t xml:space="preserve">ꎬ </w:t>
      </w:r>
      <w:r>
        <w:rPr>
          <w:spacing w:val="25"/>
        </w:rPr>
        <w:t xml:space="preserve">必须在硐室的两端各设 </w:t>
      </w:r>
      <w:r>
        <w:rPr>
          <w:rFonts w:hint="eastAsia" w:ascii="MS UI Gothic" w:eastAsia="MS UI Gothic"/>
          <w:spacing w:val="11"/>
        </w:rPr>
        <w:t xml:space="preserve">１ </w:t>
      </w:r>
      <w:r>
        <w:t>个</w:t>
      </w:r>
      <w:r>
        <w:rPr>
          <w:spacing w:val="3"/>
        </w:rPr>
        <w:t>出口</w:t>
      </w:r>
      <w:r>
        <w:rPr>
          <w:rFonts w:hint="eastAsia" w:ascii="MS UI Gothic" w:eastAsia="MS UI Gothic"/>
          <w:w w:val="80"/>
        </w:rPr>
        <w:t>ꎮ</w:t>
      </w:r>
    </w:p>
    <w:p>
      <w:pPr>
        <w:pStyle w:val="6"/>
        <w:spacing w:line="295" w:lineRule="auto"/>
        <w:ind w:left="440" w:right="1"/>
      </w:pPr>
      <w:r>
        <w:rPr>
          <w:spacing w:val="4"/>
        </w:rPr>
        <w:t>第四百五十九条 硐室内各种设备与</w:t>
      </w:r>
      <w:r>
        <w:rPr>
          <w:spacing w:val="-6"/>
        </w:rPr>
        <w:t xml:space="preserve">墙壁之间应当留出 </w:t>
      </w:r>
      <w:r>
        <w:rPr>
          <w:rFonts w:hint="eastAsia" w:ascii="MS UI Gothic" w:eastAsia="MS UI Gothic"/>
        </w:rPr>
        <w:t>０</w:t>
      </w:r>
      <w:r>
        <w:rPr>
          <w:rFonts w:hint="eastAsia" w:ascii="MS UI Gothic" w:eastAsia="MS UI Gothic"/>
          <w:spacing w:val="-13"/>
        </w:rPr>
        <w:t xml:space="preserve"> ５ </w:t>
      </w:r>
      <w:r>
        <w:rPr>
          <w:rFonts w:hint="eastAsia" w:ascii="MS UI Gothic" w:eastAsia="MS UI Gothic"/>
        </w:rPr>
        <w:t xml:space="preserve">ｍ </w:t>
      </w:r>
      <w:r>
        <w:rPr>
          <w:spacing w:val="3"/>
        </w:rPr>
        <w:t>以上的通道</w:t>
      </w:r>
      <w:r>
        <w:rPr>
          <w:rFonts w:hint="eastAsia" w:ascii="MS UI Gothic" w:eastAsia="MS UI Gothic"/>
          <w:spacing w:val="11"/>
          <w:w w:val="85"/>
        </w:rPr>
        <w:t xml:space="preserve">ꎬ </w:t>
      </w:r>
      <w:r>
        <w:t>各</w:t>
      </w:r>
      <w:r>
        <w:rPr>
          <w:spacing w:val="-8"/>
        </w:rPr>
        <w:t xml:space="preserve">种设备之间留出 </w:t>
      </w:r>
      <w:r>
        <w:rPr>
          <w:rFonts w:hint="eastAsia" w:ascii="MS UI Gothic" w:eastAsia="MS UI Gothic"/>
        </w:rPr>
        <w:t>０</w:t>
      </w:r>
      <w:r>
        <w:rPr>
          <w:rFonts w:hint="eastAsia" w:ascii="MS UI Gothic" w:eastAsia="MS UI Gothic"/>
          <w:spacing w:val="-14"/>
        </w:rPr>
        <w:t xml:space="preserve"> ８ </w:t>
      </w:r>
      <w:r>
        <w:rPr>
          <w:rFonts w:hint="eastAsia" w:ascii="MS UI Gothic" w:eastAsia="MS UI Gothic"/>
        </w:rPr>
        <w:t xml:space="preserve">ｍ </w:t>
      </w:r>
      <w:r>
        <w:rPr>
          <w:spacing w:val="3"/>
        </w:rPr>
        <w:t>以上的通道</w:t>
      </w:r>
      <w:r>
        <w:rPr>
          <w:rFonts w:hint="eastAsia" w:ascii="MS UI Gothic" w:eastAsia="MS UI Gothic"/>
          <w:spacing w:val="11"/>
          <w:w w:val="85"/>
        </w:rPr>
        <w:t xml:space="preserve">ꎮ </w:t>
      </w:r>
      <w:r>
        <w:rPr>
          <w:spacing w:val="1"/>
        </w:rPr>
        <w:t>对不</w:t>
      </w:r>
      <w:r>
        <w:rPr>
          <w:spacing w:val="3"/>
        </w:rPr>
        <w:t>需从两侧或者后面进行检修的设备</w:t>
      </w:r>
      <w:r>
        <w:rPr>
          <w:rFonts w:hint="eastAsia" w:ascii="MS UI Gothic" w:eastAsia="MS UI Gothic"/>
          <w:spacing w:val="14"/>
          <w:w w:val="85"/>
        </w:rPr>
        <w:t xml:space="preserve">ꎬ </w:t>
      </w:r>
      <w:r>
        <w:rPr>
          <w:spacing w:val="1"/>
        </w:rPr>
        <w:t>可以</w:t>
      </w:r>
    </w:p>
    <w:p>
      <w:pPr>
        <w:pStyle w:val="6"/>
        <w:spacing w:line="237" w:lineRule="exact"/>
        <w:ind w:left="440" w:firstLine="0"/>
        <w:jc w:val="left"/>
        <w:rPr>
          <w:rFonts w:hint="eastAsia" w:ascii="MS UI Gothic" w:eastAsia="MS UI Gothic"/>
        </w:rPr>
      </w:pPr>
      <w:r>
        <w:t>不留通道</w:t>
      </w:r>
      <w:r>
        <w:rPr>
          <w:rFonts w:hint="eastAsia" w:ascii="MS UI Gothic" w:eastAsia="MS UI Gothic"/>
          <w:w w:val="80"/>
        </w:rPr>
        <w:t>ꎮ</w:t>
      </w:r>
    </w:p>
    <w:p>
      <w:pPr>
        <w:pStyle w:val="6"/>
        <w:spacing w:before="124"/>
        <w:ind w:left="381" w:firstLine="0"/>
        <w:jc w:val="left"/>
        <w:rPr>
          <w:rFonts w:hint="eastAsia" w:ascii="MS UI Gothic" w:hAnsi="MS UI Gothic" w:eastAsia="MS UI Gothic"/>
        </w:rPr>
      </w:pPr>
      <w:r>
        <w:br w:type="column"/>
      </w:r>
      <w:r>
        <w:t xml:space="preserve">须醒目悬挂 </w:t>
      </w:r>
      <w:r>
        <w:rPr>
          <w:rFonts w:hint="eastAsia" w:ascii="MS UI Gothic" w:hAnsi="MS UI Gothic" w:eastAsia="MS UI Gothic"/>
        </w:rPr>
        <w:t xml:space="preserve">“ </w:t>
      </w:r>
      <w:r>
        <w:t>高压危险</w:t>
      </w:r>
      <w:r>
        <w:rPr>
          <w:rFonts w:hint="eastAsia" w:ascii="MS UI Gothic" w:hAnsi="MS UI Gothic" w:eastAsia="MS UI Gothic"/>
        </w:rPr>
        <w:t xml:space="preserve">” </w:t>
      </w:r>
      <w:r>
        <w:t>警示牌</w:t>
      </w:r>
      <w:r>
        <w:rPr>
          <w:rFonts w:hint="eastAsia" w:ascii="MS UI Gothic" w:hAnsi="MS UI Gothic" w:eastAsia="MS UI Gothic"/>
          <w:w w:val="80"/>
        </w:rPr>
        <w:t>ꎮ</w:t>
      </w:r>
    </w:p>
    <w:p>
      <w:pPr>
        <w:pStyle w:val="6"/>
        <w:spacing w:before="58" w:line="295" w:lineRule="auto"/>
        <w:ind w:left="381" w:right="126"/>
        <w:rPr>
          <w:rFonts w:hint="eastAsia" w:ascii="MS UI Gothic" w:eastAsia="MS UI Gothic"/>
        </w:rPr>
      </w:pPr>
      <w:r>
        <w:t>硐室内的设备</w:t>
      </w:r>
      <w:r>
        <w:rPr>
          <w:rFonts w:hint="eastAsia" w:ascii="MS UI Gothic" w:eastAsia="MS UI Gothic"/>
          <w:w w:val="80"/>
        </w:rPr>
        <w:t xml:space="preserve">ꎬ </w:t>
      </w:r>
      <w:r>
        <w:t>必须分别编号</w:t>
      </w:r>
      <w:r>
        <w:rPr>
          <w:rFonts w:hint="eastAsia" w:ascii="MS UI Gothic" w:eastAsia="MS UI Gothic"/>
          <w:w w:val="80"/>
        </w:rPr>
        <w:t xml:space="preserve">ꎬ </w:t>
      </w:r>
      <w:r>
        <w:t>标明用途</w:t>
      </w:r>
      <w:r>
        <w:rPr>
          <w:rFonts w:hint="eastAsia" w:ascii="MS UI Gothic" w:eastAsia="MS UI Gothic"/>
          <w:w w:val="80"/>
        </w:rPr>
        <w:t xml:space="preserve">ꎬ </w:t>
      </w:r>
      <w:r>
        <w:t>并有停送电的标志</w:t>
      </w:r>
      <w:r>
        <w:rPr>
          <w:rFonts w:hint="eastAsia" w:ascii="MS UI Gothic" w:eastAsia="MS UI Gothic"/>
          <w:w w:val="80"/>
        </w:rPr>
        <w:t>ꎮ</w:t>
      </w:r>
    </w:p>
    <w:p>
      <w:pPr>
        <w:pStyle w:val="6"/>
        <w:tabs>
          <w:tab w:val="left" w:pos="1953"/>
        </w:tabs>
        <w:spacing w:before="156"/>
        <w:ind w:left="1114" w:firstLine="0"/>
        <w:jc w:val="left"/>
      </w:pPr>
      <w:r>
        <w:rPr>
          <w:spacing w:val="3"/>
          <w:w w:val="105"/>
        </w:rPr>
        <w:t>第四</w:t>
      </w:r>
      <w:r>
        <w:rPr>
          <w:w w:val="105"/>
        </w:rPr>
        <w:t>节</w:t>
      </w:r>
      <w:r>
        <w:rPr>
          <w:w w:val="105"/>
        </w:rPr>
        <w:tab/>
      </w:r>
      <w:r>
        <w:rPr>
          <w:spacing w:val="3"/>
          <w:w w:val="105"/>
        </w:rPr>
        <w:t>输电线路及电</w:t>
      </w:r>
      <w:r>
        <w:rPr>
          <w:w w:val="105"/>
        </w:rPr>
        <w:t>缆</w:t>
      </w:r>
    </w:p>
    <w:p>
      <w:pPr>
        <w:pStyle w:val="6"/>
        <w:spacing w:before="10"/>
        <w:ind w:left="0" w:firstLine="0"/>
        <w:jc w:val="left"/>
        <w:rPr>
          <w:sz w:val="16"/>
        </w:rPr>
      </w:pPr>
    </w:p>
    <w:p>
      <w:pPr>
        <w:pStyle w:val="6"/>
        <w:spacing w:line="295" w:lineRule="auto"/>
        <w:ind w:left="381" w:right="126"/>
        <w:rPr>
          <w:rFonts w:hint="eastAsia" w:ascii="MS UI Gothic" w:eastAsia="MS UI Gothic"/>
        </w:rPr>
      </w:pPr>
      <w:r>
        <w:rPr>
          <w:w w:val="105"/>
        </w:rPr>
        <w:t>第四百六十一条 地面固定式架空高</w:t>
      </w:r>
      <w:r>
        <w:rPr>
          <w:w w:val="110"/>
        </w:rPr>
        <w:t>压电力线路应当符合下列要求</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在开采沉陷区架设线路时</w:t>
      </w:r>
      <w:r>
        <w:rPr>
          <w:rFonts w:hint="eastAsia" w:ascii="MS UI Gothic" w:eastAsia="MS UI Gothic"/>
          <w:w w:val="80"/>
        </w:rPr>
        <w:t xml:space="preserve">ꎬ </w:t>
      </w:r>
      <w:r>
        <w:rPr>
          <w:w w:val="105"/>
        </w:rPr>
        <w:t>两</w:t>
      </w:r>
      <w:r>
        <w:t>回电源线路之间有足够的安全距离</w:t>
      </w:r>
      <w:r>
        <w:rPr>
          <w:rFonts w:hint="eastAsia" w:ascii="MS UI Gothic" w:eastAsia="MS UI Gothic"/>
          <w:w w:val="80"/>
        </w:rPr>
        <w:t xml:space="preserve">ꎬ </w:t>
      </w:r>
      <w:r>
        <w:t>并采</w:t>
      </w:r>
      <w:r>
        <w:rPr>
          <w:w w:val="105"/>
        </w:rPr>
        <w:t>取必要的安全措施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架空线不得跨越易燃</w:t>
      </w:r>
      <w:r>
        <w:rPr>
          <w:rFonts w:hint="eastAsia" w:ascii="MS UI Gothic" w:eastAsia="MS UI Gothic"/>
          <w:w w:val="80"/>
        </w:rPr>
        <w:t xml:space="preserve">、  </w:t>
      </w:r>
      <w:r>
        <w:rPr>
          <w:w w:val="105"/>
        </w:rPr>
        <w:t>易爆物的仓储区域</w:t>
      </w:r>
      <w:r>
        <w:rPr>
          <w:rFonts w:hint="eastAsia" w:ascii="MS UI Gothic" w:eastAsia="MS UI Gothic"/>
          <w:w w:val="80"/>
        </w:rPr>
        <w:t xml:space="preserve">ꎬ </w:t>
      </w:r>
      <w:r>
        <w:rPr>
          <w:w w:val="105"/>
        </w:rPr>
        <w:t>与地面</w:t>
      </w:r>
      <w:r>
        <w:rPr>
          <w:rFonts w:hint="eastAsia" w:ascii="MS UI Gothic" w:eastAsia="MS UI Gothic"/>
          <w:w w:val="80"/>
        </w:rPr>
        <w:t xml:space="preserve">、 </w:t>
      </w:r>
      <w:r>
        <w:rPr>
          <w:w w:val="105"/>
        </w:rPr>
        <w:t>建筑物</w:t>
      </w:r>
      <w:r>
        <w:rPr>
          <w:rFonts w:hint="eastAsia" w:ascii="MS UI Gothic" w:eastAsia="MS UI Gothic"/>
          <w:w w:val="80"/>
        </w:rPr>
        <w:t xml:space="preserve">、 </w:t>
      </w:r>
      <w:r>
        <w:rPr>
          <w:w w:val="105"/>
        </w:rPr>
        <w:t>树木</w:t>
      </w:r>
      <w:r>
        <w:rPr>
          <w:rFonts w:hint="eastAsia" w:ascii="MS UI Gothic" w:eastAsia="MS UI Gothic"/>
          <w:w w:val="80"/>
        </w:rPr>
        <w:t xml:space="preserve">、 </w:t>
      </w:r>
      <w:r>
        <w:rPr>
          <w:w w:val="105"/>
        </w:rPr>
        <w:t>道路</w:t>
      </w:r>
      <w:r>
        <w:rPr>
          <w:rFonts w:hint="eastAsia" w:ascii="MS UI Gothic" w:eastAsia="MS UI Gothic"/>
          <w:w w:val="80"/>
        </w:rPr>
        <w:t xml:space="preserve">、 </w:t>
      </w:r>
      <w:r>
        <w:rPr>
          <w:w w:val="105"/>
        </w:rPr>
        <w:t>河流及其他架空线等间距应当符合国家有关规定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在多雷区的主要通风机房</w:t>
      </w:r>
      <w:r>
        <w:rPr>
          <w:rFonts w:hint="eastAsia" w:ascii="MS UI Gothic" w:eastAsia="MS UI Gothic"/>
          <w:w w:val="80"/>
        </w:rPr>
        <w:t xml:space="preserve">、  </w:t>
      </w:r>
      <w:r>
        <w:rPr>
          <w:w w:val="105"/>
        </w:rPr>
        <w:t>地</w:t>
      </w:r>
      <w:r>
        <w:t>面瓦斯抽采泵站的架空线路应当有全线避</w:t>
      </w:r>
      <w:r>
        <w:rPr>
          <w:w w:val="105"/>
        </w:rPr>
        <w:t>雷设施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架空线路</w:t>
      </w:r>
      <w:r>
        <w:rPr>
          <w:rFonts w:hint="eastAsia" w:ascii="MS UI Gothic" w:eastAsia="MS UI Gothic"/>
          <w:w w:val="80"/>
        </w:rPr>
        <w:t xml:space="preserve">、 </w:t>
      </w:r>
      <w:r>
        <w:rPr>
          <w:w w:val="105"/>
        </w:rPr>
        <w:t>杆塔或者线杆上应当有线路名称</w:t>
      </w:r>
      <w:r>
        <w:rPr>
          <w:rFonts w:hint="eastAsia" w:ascii="MS UI Gothic" w:eastAsia="MS UI Gothic"/>
          <w:w w:val="80"/>
        </w:rPr>
        <w:t xml:space="preserve">、 </w:t>
      </w:r>
      <w:r>
        <w:rPr>
          <w:w w:val="105"/>
        </w:rPr>
        <w:t>杆塔编号以及安全警示等标志</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5"/>
          <w:w w:val="105"/>
        </w:rPr>
        <w:t>第四百六十二条 在总回风巷</w:t>
      </w:r>
      <w:r>
        <w:rPr>
          <w:rFonts w:hint="eastAsia" w:ascii="MS UI Gothic" w:eastAsia="MS UI Gothic"/>
          <w:spacing w:val="19"/>
          <w:w w:val="80"/>
        </w:rPr>
        <w:t xml:space="preserve">、 </w:t>
      </w:r>
      <w:r>
        <w:rPr>
          <w:spacing w:val="1"/>
          <w:w w:val="105"/>
        </w:rPr>
        <w:t>专用</w:t>
      </w:r>
      <w:r>
        <w:rPr>
          <w:spacing w:val="-3"/>
          <w:w w:val="105"/>
        </w:rPr>
        <w:t xml:space="preserve">回风巷及机械提升的进风倾斜井巷 </w:t>
      </w:r>
      <w:r>
        <w:rPr>
          <w:rFonts w:hint="eastAsia" w:ascii="MS UI Gothic" w:eastAsia="MS UI Gothic"/>
          <w:spacing w:val="-40"/>
          <w:w w:val="150"/>
        </w:rPr>
        <w:t xml:space="preserve">( </w:t>
      </w:r>
      <w:r>
        <w:rPr>
          <w:spacing w:val="3"/>
          <w:w w:val="105"/>
        </w:rPr>
        <w:t>不包</w:t>
      </w:r>
      <w:r>
        <w:rPr>
          <w:spacing w:val="7"/>
          <w:w w:val="105"/>
        </w:rPr>
        <w:t>括输送机上</w:t>
      </w:r>
      <w:r>
        <w:rPr>
          <w:rFonts w:hint="eastAsia" w:ascii="MS UI Gothic" w:eastAsia="MS UI Gothic"/>
          <w:spacing w:val="21"/>
          <w:w w:val="80"/>
        </w:rPr>
        <w:t xml:space="preserve">、 </w:t>
      </w:r>
      <w:r>
        <w:rPr>
          <w:spacing w:val="16"/>
          <w:w w:val="105"/>
        </w:rPr>
        <w:t>下山</w:t>
      </w:r>
      <w:r>
        <w:rPr>
          <w:rFonts w:hint="eastAsia" w:ascii="MS UI Gothic" w:eastAsia="MS UI Gothic"/>
          <w:spacing w:val="8"/>
          <w:w w:val="150"/>
        </w:rPr>
        <w:t xml:space="preserve">) </w:t>
      </w:r>
      <w:r>
        <w:rPr>
          <w:spacing w:val="18"/>
          <w:w w:val="105"/>
        </w:rPr>
        <w:t>中不应敷设电力电</w:t>
      </w:r>
      <w:r>
        <w:rPr>
          <w:spacing w:val="3"/>
          <w:w w:val="105"/>
        </w:rPr>
        <w:t>缆</w:t>
      </w:r>
      <w:r>
        <w:rPr>
          <w:rFonts w:hint="eastAsia" w:ascii="MS UI Gothic" w:eastAsia="MS UI Gothic"/>
          <w:spacing w:val="2"/>
          <w:w w:val="80"/>
        </w:rPr>
        <w:t xml:space="preserve">ꎮ </w:t>
      </w:r>
      <w:r>
        <w:rPr>
          <w:spacing w:val="-3"/>
          <w:w w:val="105"/>
        </w:rPr>
        <w:t xml:space="preserve">确需在机械提升的进风倾斜井巷 </w:t>
      </w:r>
      <w:r>
        <w:rPr>
          <w:rFonts w:hint="eastAsia" w:ascii="MS UI Gothic" w:eastAsia="MS UI Gothic"/>
          <w:spacing w:val="-39"/>
          <w:w w:val="150"/>
        </w:rPr>
        <w:t xml:space="preserve">( </w:t>
      </w:r>
      <w:r>
        <w:rPr>
          <w:w w:val="105"/>
        </w:rPr>
        <w:t>不</w:t>
      </w:r>
      <w:r>
        <w:rPr>
          <w:spacing w:val="8"/>
          <w:w w:val="105"/>
        </w:rPr>
        <w:t>包括输送机上</w:t>
      </w:r>
      <w:r>
        <w:rPr>
          <w:rFonts w:hint="eastAsia" w:ascii="MS UI Gothic" w:eastAsia="MS UI Gothic"/>
          <w:spacing w:val="21"/>
          <w:w w:val="80"/>
        </w:rPr>
        <w:t xml:space="preserve">、 </w:t>
      </w:r>
      <w:r>
        <w:rPr>
          <w:spacing w:val="17"/>
          <w:w w:val="105"/>
        </w:rPr>
        <w:t>下山</w:t>
      </w:r>
      <w:r>
        <w:rPr>
          <w:rFonts w:hint="eastAsia" w:ascii="MS UI Gothic" w:eastAsia="MS UI Gothic"/>
          <w:spacing w:val="8"/>
          <w:w w:val="150"/>
        </w:rPr>
        <w:t xml:space="preserve">) </w:t>
      </w:r>
      <w:r>
        <w:rPr>
          <w:spacing w:val="18"/>
          <w:w w:val="105"/>
        </w:rPr>
        <w:t>中敷设电力电缆</w:t>
      </w:r>
      <w:r>
        <w:rPr>
          <w:spacing w:val="3"/>
        </w:rPr>
        <w:t>时</w:t>
      </w:r>
      <w:r>
        <w:rPr>
          <w:rFonts w:hint="eastAsia" w:ascii="MS UI Gothic" w:eastAsia="MS UI Gothic"/>
          <w:spacing w:val="23"/>
          <w:w w:val="80"/>
        </w:rPr>
        <w:t xml:space="preserve">ꎬ </w:t>
      </w:r>
      <w:r>
        <w:rPr>
          <w:spacing w:val="3"/>
        </w:rPr>
        <w:t>应当有可靠的保护措施</w:t>
      </w:r>
      <w:r>
        <w:rPr>
          <w:rFonts w:hint="eastAsia" w:ascii="MS UI Gothic" w:eastAsia="MS UI Gothic"/>
          <w:spacing w:val="23"/>
          <w:w w:val="80"/>
        </w:rPr>
        <w:t xml:space="preserve">ꎬ </w:t>
      </w:r>
      <w:r>
        <w:rPr>
          <w:spacing w:val="2"/>
        </w:rPr>
        <w:t>并经矿总工</w:t>
      </w:r>
      <w:r>
        <w:rPr>
          <w:spacing w:val="3"/>
          <w:w w:val="105"/>
        </w:rPr>
        <w:t>程师批准</w:t>
      </w:r>
      <w:r>
        <w:rPr>
          <w:rFonts w:hint="eastAsia" w:ascii="MS UI Gothic" w:eastAsia="MS UI Gothic"/>
          <w:w w:val="80"/>
        </w:rPr>
        <w:t>ꎮ</w:t>
      </w:r>
    </w:p>
    <w:p>
      <w:pPr>
        <w:pStyle w:val="6"/>
        <w:spacing w:line="295" w:lineRule="auto"/>
        <w:ind w:left="381" w:right="126"/>
        <w:rPr>
          <w:rFonts w:hint="eastAsia" w:ascii="MS UI Gothic" w:eastAsia="MS UI Gothic"/>
        </w:rPr>
      </w:pPr>
      <w:r>
        <w:t>溜放煤</w:t>
      </w:r>
      <w:r>
        <w:rPr>
          <w:rFonts w:hint="eastAsia" w:ascii="MS UI Gothic" w:eastAsia="MS UI Gothic"/>
        </w:rPr>
        <w:t xml:space="preserve">、 </w:t>
      </w:r>
      <w:r>
        <w:t>矸</w:t>
      </w:r>
      <w:r>
        <w:rPr>
          <w:rFonts w:hint="eastAsia" w:ascii="MS UI Gothic" w:eastAsia="MS UI Gothic"/>
        </w:rPr>
        <w:t xml:space="preserve">、 </w:t>
      </w:r>
      <w:r>
        <w:t>材料的溜道中严禁敷设电缆</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第四百六十三条 井下电缆的选用应</w:t>
      </w:r>
      <w:r>
        <w:rPr>
          <w:w w:val="110"/>
        </w:rPr>
        <w:t>当遵守下列规定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电缆主线芯的截面应当满足供</w:t>
      </w:r>
      <w:r>
        <w:t>电线路负荷的要求</w:t>
      </w:r>
      <w:r>
        <w:rPr>
          <w:rFonts w:hint="eastAsia" w:ascii="MS UI Gothic" w:eastAsia="MS UI Gothic"/>
          <w:w w:val="80"/>
        </w:rPr>
        <w:t xml:space="preserve">ꎮ </w:t>
      </w:r>
      <w:r>
        <w:t>电缆应当带有供保护</w:t>
      </w:r>
      <w:r>
        <w:rPr>
          <w:w w:val="105"/>
        </w:rPr>
        <w:t>接地用的足够截面的导体</w:t>
      </w:r>
      <w:r>
        <w:rPr>
          <w:rFonts w:hint="eastAsia" w:ascii="MS UI Gothic" w:eastAsia="MS UI Gothic"/>
          <w:w w:val="80"/>
        </w:rPr>
        <w:t>ꎮ</w:t>
      </w:r>
    </w:p>
    <w:p>
      <w:pPr>
        <w:pStyle w:val="6"/>
        <w:spacing w:line="238" w:lineRule="exact"/>
        <w:ind w:left="800" w:firstLine="0"/>
        <w:rPr>
          <w:rFonts w:hint="eastAsia" w:ascii="MS UI Gothic" w:eastAsia="MS UI Gothic"/>
        </w:rPr>
      </w:pPr>
      <w:r>
        <w:rPr>
          <w:rFonts w:hint="eastAsia" w:ascii="MS UI Gothic" w:eastAsia="MS UI Gothic"/>
          <w:w w:val="150"/>
        </w:rPr>
        <w:t xml:space="preserve">( </w:t>
      </w:r>
      <w:r>
        <w:rPr>
          <w:w w:val="115"/>
        </w:rPr>
        <w:t>二</w:t>
      </w:r>
      <w:r>
        <w:rPr>
          <w:rFonts w:hint="eastAsia" w:ascii="MS UI Gothic" w:eastAsia="MS UI Gothic"/>
          <w:w w:val="150"/>
        </w:rPr>
        <w:t xml:space="preserve">) </w:t>
      </w:r>
      <w:r>
        <w:rPr>
          <w:w w:val="115"/>
        </w:rPr>
        <w:t>对固定敷设的高压电缆</w:t>
      </w:r>
      <w:r>
        <w:rPr>
          <w:rFonts w:hint="eastAsia" w:ascii="MS UI Gothic" w:eastAsia="MS UI Gothic"/>
          <w:w w:val="235"/>
        </w:rPr>
        <w:t>:</w:t>
      </w:r>
    </w:p>
    <w:p>
      <w:pPr>
        <w:spacing w:after="0" w:line="238" w:lineRule="exac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tabs>
          <w:tab w:val="left" w:pos="2327"/>
        </w:tabs>
        <w:spacing w:before="54"/>
        <w:ind w:left="860" w:firstLine="0"/>
        <w:jc w:val="left"/>
      </w:pPr>
      <w:r>
        <w:rPr>
          <w:spacing w:val="3"/>
          <w:w w:val="105"/>
        </w:rPr>
        <w:t>第四百六十</w:t>
      </w:r>
      <w:r>
        <w:rPr>
          <w:w w:val="105"/>
        </w:rPr>
        <w:t>条</w:t>
      </w:r>
      <w:r>
        <w:rPr>
          <w:w w:val="105"/>
        </w:rPr>
        <w:tab/>
      </w:r>
      <w:r>
        <w:rPr>
          <w:spacing w:val="3"/>
        </w:rPr>
        <w:t>硐室入口处必须悬</w:t>
      </w:r>
      <w:r>
        <w:rPr>
          <w:spacing w:val="-13"/>
        </w:rPr>
        <w:t>挂</w:t>
      </w:r>
    </w:p>
    <w:p>
      <w:pPr>
        <w:pStyle w:val="6"/>
        <w:spacing w:before="58" w:line="240" w:lineRule="exact"/>
        <w:ind w:left="440" w:firstLine="0"/>
        <w:jc w:val="left"/>
      </w:pPr>
      <w:r>
        <w:rPr>
          <w:rFonts w:hint="eastAsia" w:ascii="MS UI Gothic" w:hAnsi="MS UI Gothic" w:eastAsia="MS UI Gothic"/>
          <w:spacing w:val="-19"/>
        </w:rPr>
        <w:t xml:space="preserve">“ </w:t>
      </w:r>
      <w:r>
        <w:rPr>
          <w:spacing w:val="4"/>
        </w:rPr>
        <w:t>非工作人员禁止入内</w:t>
      </w:r>
      <w:r>
        <w:rPr>
          <w:rFonts w:hint="eastAsia" w:ascii="MS UI Gothic" w:hAnsi="MS UI Gothic" w:eastAsia="MS UI Gothic"/>
          <w:spacing w:val="8"/>
        </w:rPr>
        <w:t xml:space="preserve">”  </w:t>
      </w:r>
      <w:r>
        <w:rPr>
          <w:spacing w:val="7"/>
        </w:rPr>
        <w:t>警示牌</w:t>
      </w:r>
      <w:r>
        <w:rPr>
          <w:rFonts w:hint="eastAsia" w:ascii="MS UI Gothic" w:hAnsi="MS UI Gothic" w:eastAsia="MS UI Gothic"/>
          <w:spacing w:val="9"/>
          <w:w w:val="80"/>
        </w:rPr>
        <w:t xml:space="preserve">ꎮ  </w:t>
      </w:r>
      <w:r>
        <w:rPr>
          <w:spacing w:val="7"/>
        </w:rPr>
        <w:t>硐室内</w:t>
      </w:r>
    </w:p>
    <w:p>
      <w:pPr>
        <w:pStyle w:val="6"/>
        <w:spacing w:before="3" w:line="314" w:lineRule="exact"/>
        <w:ind w:left="383" w:right="126" w:firstLine="413"/>
        <w:jc w:val="left"/>
      </w:pPr>
      <w:r>
        <w:br w:type="column"/>
      </w:r>
      <w:r>
        <w:rPr>
          <w:rFonts w:hint="eastAsia" w:ascii="MS UI Gothic" w:hAnsi="MS UI Gothic" w:eastAsia="MS UI Gothic"/>
          <w:w w:val="85"/>
        </w:rPr>
        <w:t xml:space="preserve">１ </w:t>
      </w:r>
      <w:r>
        <w:t xml:space="preserve">在立井井筒或者倾角为 </w:t>
      </w:r>
      <w:r>
        <w:rPr>
          <w:rFonts w:hint="eastAsia" w:ascii="MS UI Gothic" w:hAnsi="MS UI Gothic" w:eastAsia="MS UI Gothic"/>
          <w:w w:val="85"/>
        </w:rPr>
        <w:t>４５°</w:t>
      </w:r>
      <w:r>
        <w:t>及其以上的井巷内</w:t>
      </w:r>
      <w:r>
        <w:rPr>
          <w:rFonts w:hint="eastAsia" w:ascii="MS UI Gothic" w:hAnsi="MS UI Gothic" w:eastAsia="MS UI Gothic"/>
          <w:w w:val="85"/>
        </w:rPr>
        <w:t xml:space="preserve">ꎬ </w:t>
      </w:r>
      <w:r>
        <w:t>应当采用煤矿用粗钢丝铠装</w:t>
      </w:r>
    </w:p>
    <w:p>
      <w:pPr>
        <w:spacing w:after="0" w:line="314" w:lineRule="exact"/>
        <w:jc w:val="left"/>
        <w:sectPr>
          <w:type w:val="continuous"/>
          <w:pgSz w:w="10500" w:h="14750"/>
          <w:pgMar w:top="1400" w:right="980" w:bottom="280" w:left="980" w:header="720" w:footer="720" w:gutter="0"/>
          <w:cols w:equalWidth="0" w:num="2">
            <w:col w:w="4210" w:space="40"/>
            <w:col w:w="4290"/>
          </w:cols>
        </w:sectPr>
      </w:pPr>
    </w:p>
    <w:p>
      <w:pPr>
        <w:pStyle w:val="6"/>
        <w:spacing w:before="52" w:line="295" w:lineRule="auto"/>
        <w:ind w:left="440" w:firstLine="0"/>
        <w:jc w:val="left"/>
      </w:pPr>
      <w:r>
        <w:t>必须悬挂与实际相符的供电系统图</w:t>
      </w:r>
      <w:r>
        <w:rPr>
          <w:rFonts w:hint="eastAsia" w:ascii="MS UI Gothic" w:eastAsia="MS UI Gothic"/>
          <w:w w:val="80"/>
        </w:rPr>
        <w:t xml:space="preserve">ꎮ </w:t>
      </w:r>
      <w:r>
        <w:t>硐室内有高压电气设备时</w:t>
      </w:r>
      <w:r>
        <w:rPr>
          <w:rFonts w:hint="eastAsia" w:ascii="MS UI Gothic" w:eastAsia="MS UI Gothic"/>
          <w:w w:val="80"/>
        </w:rPr>
        <w:t xml:space="preserve">ꎬ </w:t>
      </w:r>
      <w:r>
        <w:t>入口处和硐室内必</w:t>
      </w:r>
    </w:p>
    <w:p>
      <w:pPr>
        <w:pStyle w:val="6"/>
        <w:spacing w:before="52"/>
        <w:ind w:left="383" w:firstLine="0"/>
        <w:jc w:val="left"/>
        <w:rPr>
          <w:rFonts w:hint="eastAsia" w:ascii="MS UI Gothic" w:eastAsia="MS UI Gothic"/>
        </w:rPr>
      </w:pPr>
      <w:r>
        <w:br w:type="column"/>
      </w:r>
      <w:r>
        <w:t>电力电缆</w:t>
      </w:r>
      <w:r>
        <w:rPr>
          <w:rFonts w:hint="eastAsia" w:ascii="MS UI Gothic" w:eastAsia="MS UI Gothic"/>
          <w:w w:val="80"/>
        </w:rPr>
        <w:t>ꎮ</w:t>
      </w:r>
    </w:p>
    <w:p>
      <w:pPr>
        <w:pStyle w:val="6"/>
        <w:spacing w:before="58"/>
        <w:ind w:left="796" w:firstLine="0"/>
        <w:jc w:val="left"/>
      </w:pPr>
      <w:r>
        <w:rPr>
          <w:rFonts w:hint="eastAsia" w:ascii="MS UI Gothic" w:hAnsi="MS UI Gothic" w:eastAsia="MS UI Gothic"/>
          <w:w w:val="85"/>
        </w:rPr>
        <w:t xml:space="preserve">２ </w:t>
      </w:r>
      <w:r>
        <w:t>在水平巷道或者倾角在</w:t>
      </w:r>
      <w:r>
        <w:rPr>
          <w:rFonts w:hint="eastAsia" w:ascii="MS UI Gothic" w:hAnsi="MS UI Gothic" w:eastAsia="MS UI Gothic"/>
          <w:w w:val="75"/>
        </w:rPr>
        <w:t xml:space="preserve">/ </w:t>
      </w:r>
      <w:r>
        <w:rPr>
          <w:rFonts w:hint="eastAsia" w:ascii="MS UI Gothic" w:hAnsi="MS UI Gothic" w:eastAsia="MS UI Gothic"/>
          <w:w w:val="85"/>
        </w:rPr>
        <w:t xml:space="preserve">４５° </w:t>
      </w:r>
      <w:r>
        <w:t>以下</w:t>
      </w:r>
    </w:p>
    <w:p>
      <w:pPr>
        <w:spacing w:after="0"/>
        <w:jc w:val="left"/>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３１４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65" o:spid="_x0000_s1965" o:spt="203" style="height:2.15pt;width:398.25pt;" coordsize="7965,43">
            <o:lock v:ext="edit"/>
            <v:line id="_x0000_s1966" o:spid="_x0000_s1966" o:spt="20" style="position:absolute;left:0;top:39;height:0;width:7965;" stroked="t" coordsize="21600,21600">
              <v:path arrowok="t"/>
              <v:fill focussize="0,0"/>
              <v:stroke weight="0.388031496062992pt" color="#231F20"/>
              <v:imagedata o:title=""/>
              <o:lock v:ext="edit"/>
            </v:line>
            <v:line id="_x0000_s1967" o:spid="_x0000_s196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的井巷内</w:t>
      </w:r>
      <w:r>
        <w:rPr>
          <w:rFonts w:hint="eastAsia" w:ascii="MS UI Gothic" w:eastAsia="MS UI Gothic"/>
          <w:w w:val="80"/>
        </w:rPr>
        <w:t xml:space="preserve">ꎬ </w:t>
      </w:r>
      <w:r>
        <w:t>应当采用煤矿用钢带或者细钢丝铠装电力电缆</w:t>
      </w:r>
      <w:r>
        <w:rPr>
          <w:rFonts w:hint="eastAsia" w:ascii="MS UI Gothic" w:eastAsia="MS UI Gothic"/>
          <w:w w:val="80"/>
        </w:rPr>
        <w:t>ꎮ</w:t>
      </w:r>
    </w:p>
    <w:p>
      <w:pPr>
        <w:pStyle w:val="6"/>
        <w:spacing w:line="295" w:lineRule="auto"/>
        <w:ind w:right="38" w:firstLine="413"/>
        <w:rPr>
          <w:rFonts w:hint="eastAsia" w:ascii="MS UI Gothic" w:eastAsia="MS UI Gothic"/>
        </w:rPr>
      </w:pPr>
      <w:r>
        <w:rPr>
          <w:rFonts w:hint="eastAsia" w:ascii="MS UI Gothic" w:eastAsia="MS UI Gothic"/>
        </w:rPr>
        <w:t xml:space="preserve">３ </w:t>
      </w:r>
      <w:r>
        <w:t>在进风斜井</w:t>
      </w:r>
      <w:r>
        <w:rPr>
          <w:rFonts w:hint="eastAsia" w:ascii="MS UI Gothic" w:eastAsia="MS UI Gothic"/>
        </w:rPr>
        <w:t xml:space="preserve">、 </w:t>
      </w:r>
      <w:r>
        <w:t>井底车场及其附近</w:t>
      </w:r>
      <w:r>
        <w:rPr>
          <w:rFonts w:hint="eastAsia" w:ascii="MS UI Gothic" w:eastAsia="MS UI Gothic"/>
        </w:rPr>
        <w:t>、</w:t>
      </w:r>
      <w:r>
        <w:t>中央变电所至采区变电所之间</w:t>
      </w:r>
      <w:r>
        <w:rPr>
          <w:rFonts w:hint="eastAsia" w:ascii="MS UI Gothic" w:eastAsia="MS UI Gothic"/>
          <w:w w:val="85"/>
        </w:rPr>
        <w:t xml:space="preserve">ꎬ </w:t>
      </w:r>
      <w:r>
        <w:t>可以采用铝芯电缆</w:t>
      </w:r>
      <w:r>
        <w:rPr>
          <w:rFonts w:hint="eastAsia" w:ascii="MS UI Gothic" w:eastAsia="MS UI Gothic"/>
          <w:w w:val="85"/>
        </w:rPr>
        <w:t xml:space="preserve">ꎻ </w:t>
      </w:r>
      <w:r>
        <w:t>其他地点必须采用铜芯电缆</w:t>
      </w:r>
      <w:r>
        <w:rPr>
          <w:rFonts w:hint="eastAsia" w:ascii="MS UI Gothic" w:eastAsia="MS UI Gothic"/>
          <w:w w:val="85"/>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固定敷设的低压电缆</w:t>
      </w:r>
      <w:r>
        <w:rPr>
          <w:rFonts w:hint="eastAsia" w:ascii="MS UI Gothic" w:eastAsia="MS UI Gothic"/>
          <w:w w:val="80"/>
        </w:rPr>
        <w:t xml:space="preserve">ꎬ </w:t>
      </w:r>
      <w:r>
        <w:rPr>
          <w:w w:val="105"/>
        </w:rPr>
        <w:t>应当采</w:t>
      </w:r>
      <w:r>
        <w:t>用煤矿用铠装或者非铠装电力电缆或者对</w:t>
      </w:r>
      <w:r>
        <w:rPr>
          <w:w w:val="105"/>
        </w:rPr>
        <w:t>应电压等级的煤矿用橡套软电缆</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非固定敷设的高低压电缆</w:t>
      </w:r>
      <w:r>
        <w:rPr>
          <w:rFonts w:hint="eastAsia" w:ascii="MS UI Gothic" w:eastAsia="MS UI Gothic"/>
          <w:w w:val="80"/>
        </w:rPr>
        <w:t xml:space="preserve">ꎬ </w:t>
      </w:r>
      <w:r>
        <w:rPr>
          <w:w w:val="105"/>
        </w:rPr>
        <w:t>必</w:t>
      </w:r>
      <w:r>
        <w:t>须采用煤矿用橡套软电缆</w:t>
      </w:r>
      <w:r>
        <w:rPr>
          <w:rFonts w:hint="eastAsia" w:ascii="MS UI Gothic" w:eastAsia="MS UI Gothic"/>
          <w:w w:val="80"/>
        </w:rPr>
        <w:t xml:space="preserve">ꎮ </w:t>
      </w:r>
      <w:r>
        <w:t>移动式和手持</w:t>
      </w:r>
      <w:r>
        <w:rPr>
          <w:w w:val="105"/>
        </w:rPr>
        <w:t>式电气设备应当使用专用橡套电缆</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第四百六十四条 电缆的敷设应当符</w:t>
      </w:r>
      <w:r>
        <w:rPr>
          <w:w w:val="110"/>
        </w:rPr>
        <w:t>合下列要求</w:t>
      </w:r>
      <w:r>
        <w:rPr>
          <w:rFonts w:hint="eastAsia" w:ascii="MS UI Gothic" w:eastAsia="MS UI Gothic"/>
          <w:w w:val="235"/>
        </w:rPr>
        <w:t>:</w:t>
      </w:r>
    </w:p>
    <w:p>
      <w:pPr>
        <w:pStyle w:val="6"/>
        <w:spacing w:line="295" w:lineRule="auto"/>
        <w:ind w:right="39"/>
        <w:rPr>
          <w:rFonts w:hint="eastAsia" w:ascii="MS UI Gothic" w:hAnsi="MS UI Gothic" w:eastAsia="MS UI Gothic"/>
        </w:rPr>
      </w:pPr>
      <w:r>
        <w:rPr>
          <w:rFonts w:hint="eastAsia" w:ascii="MS UI Gothic" w:hAnsi="MS UI Gothic" w:eastAsia="MS UI Gothic"/>
          <w:spacing w:val="-38"/>
          <w:w w:val="140"/>
        </w:rPr>
        <w:t xml:space="preserve">( </w:t>
      </w:r>
      <w:r>
        <w:rPr>
          <w:spacing w:val="3"/>
          <w:w w:val="105"/>
        </w:rPr>
        <w:t>一</w:t>
      </w:r>
      <w:r>
        <w:rPr>
          <w:rFonts w:hint="eastAsia" w:ascii="MS UI Gothic" w:hAnsi="MS UI Gothic" w:eastAsia="MS UI Gothic"/>
          <w:spacing w:val="-12"/>
          <w:w w:val="140"/>
        </w:rPr>
        <w:t xml:space="preserve">) </w:t>
      </w:r>
      <w:r>
        <w:rPr>
          <w:spacing w:val="2"/>
          <w:w w:val="105"/>
        </w:rPr>
        <w:t xml:space="preserve">在水平巷道或者倾角在 </w:t>
      </w:r>
      <w:r>
        <w:rPr>
          <w:rFonts w:hint="eastAsia" w:ascii="MS UI Gothic" w:hAnsi="MS UI Gothic" w:eastAsia="MS UI Gothic"/>
          <w:spacing w:val="-10"/>
          <w:w w:val="85"/>
        </w:rPr>
        <w:t xml:space="preserve">３０° </w:t>
      </w:r>
      <w:r>
        <w:rPr>
          <w:w w:val="105"/>
        </w:rPr>
        <w:t>以</w:t>
      </w:r>
      <w:r>
        <w:rPr>
          <w:spacing w:val="3"/>
          <w:w w:val="105"/>
        </w:rPr>
        <w:t>下的井巷中</w:t>
      </w:r>
      <w:r>
        <w:rPr>
          <w:rFonts w:hint="eastAsia" w:ascii="MS UI Gothic" w:hAnsi="MS UI Gothic" w:eastAsia="MS UI Gothic"/>
          <w:spacing w:val="11"/>
          <w:w w:val="85"/>
        </w:rPr>
        <w:t xml:space="preserve">ꎬ </w:t>
      </w:r>
      <w:r>
        <w:rPr>
          <w:spacing w:val="3"/>
          <w:w w:val="105"/>
        </w:rPr>
        <w:t>电缆应当用吊钩悬挂</w:t>
      </w:r>
      <w:r>
        <w:rPr>
          <w:rFonts w:hint="eastAsia" w:ascii="MS UI Gothic" w:hAnsi="MS UI Gothic" w:eastAsia="MS UI Gothic"/>
          <w:w w:val="85"/>
        </w:rPr>
        <w:t>ꎮ</w:t>
      </w:r>
    </w:p>
    <w:p>
      <w:pPr>
        <w:pStyle w:val="6"/>
        <w:spacing w:line="295" w:lineRule="auto"/>
        <w:ind w:right="39"/>
        <w:rPr>
          <w:rFonts w:hint="eastAsia" w:ascii="MS UI Gothic" w:hAnsi="MS UI Gothic" w:eastAsia="MS UI Gothic"/>
        </w:rPr>
      </w:pPr>
      <w:r>
        <w:rPr>
          <w:rFonts w:hint="eastAsia" w:ascii="MS UI Gothic" w:hAnsi="MS UI Gothic" w:eastAsia="MS UI Gothic"/>
          <w:spacing w:val="-33"/>
          <w:w w:val="140"/>
        </w:rPr>
        <w:t xml:space="preserve">( </w:t>
      </w:r>
      <w:r>
        <w:rPr>
          <w:spacing w:val="3"/>
        </w:rPr>
        <w:t>二</w:t>
      </w:r>
      <w:r>
        <w:rPr>
          <w:rFonts w:hint="eastAsia" w:ascii="MS UI Gothic" w:hAnsi="MS UI Gothic" w:eastAsia="MS UI Gothic"/>
          <w:spacing w:val="18"/>
          <w:w w:val="140"/>
        </w:rPr>
        <w:t xml:space="preserve">) </w:t>
      </w:r>
      <w:r>
        <w:rPr>
          <w:spacing w:val="5"/>
        </w:rPr>
        <w:t xml:space="preserve">在立井井筒或者倾角在 </w:t>
      </w:r>
      <w:r>
        <w:rPr>
          <w:rFonts w:hint="eastAsia" w:ascii="MS UI Gothic" w:hAnsi="MS UI Gothic" w:eastAsia="MS UI Gothic"/>
          <w:spacing w:val="-7"/>
          <w:w w:val="85"/>
        </w:rPr>
        <w:t xml:space="preserve">３０° </w:t>
      </w:r>
      <w:r>
        <w:t>及</w:t>
      </w:r>
      <w:r>
        <w:rPr>
          <w:spacing w:val="3"/>
        </w:rPr>
        <w:t>以上的井巷中</w:t>
      </w:r>
      <w:r>
        <w:rPr>
          <w:rFonts w:hint="eastAsia" w:ascii="MS UI Gothic" w:hAnsi="MS UI Gothic" w:eastAsia="MS UI Gothic"/>
          <w:spacing w:val="4"/>
          <w:w w:val="85"/>
        </w:rPr>
        <w:t xml:space="preserve">ꎬ </w:t>
      </w:r>
      <w:r>
        <w:rPr>
          <w:spacing w:val="3"/>
        </w:rPr>
        <w:t>电缆应当用夹子</w:t>
      </w:r>
      <w:r>
        <w:rPr>
          <w:rFonts w:hint="eastAsia" w:ascii="MS UI Gothic" w:hAnsi="MS UI Gothic" w:eastAsia="MS UI Gothic"/>
          <w:spacing w:val="4"/>
          <w:w w:val="85"/>
        </w:rPr>
        <w:t xml:space="preserve">、 </w:t>
      </w:r>
      <w:r>
        <w:rPr>
          <w:spacing w:val="2"/>
        </w:rPr>
        <w:t>卡箍或</w:t>
      </w:r>
      <w:r>
        <w:rPr>
          <w:spacing w:val="3"/>
        </w:rPr>
        <w:t>者其他夹持装置进行敷设</w:t>
      </w:r>
      <w:r>
        <w:rPr>
          <w:rFonts w:hint="eastAsia" w:ascii="MS UI Gothic" w:hAnsi="MS UI Gothic" w:eastAsia="MS UI Gothic"/>
          <w:spacing w:val="13"/>
          <w:w w:val="85"/>
        </w:rPr>
        <w:t xml:space="preserve">ꎮ </w:t>
      </w:r>
      <w:r>
        <w:rPr>
          <w:spacing w:val="2"/>
        </w:rPr>
        <w:t>夹持装置应当</w:t>
      </w:r>
      <w:r>
        <w:rPr>
          <w:spacing w:val="3"/>
        </w:rPr>
        <w:t>能承受电缆重量</w:t>
      </w:r>
      <w:r>
        <w:rPr>
          <w:rFonts w:hint="eastAsia" w:ascii="MS UI Gothic" w:hAnsi="MS UI Gothic" w:eastAsia="MS UI Gothic"/>
          <w:spacing w:val="22"/>
          <w:w w:val="85"/>
        </w:rPr>
        <w:t xml:space="preserve">ꎬ </w:t>
      </w:r>
      <w:r>
        <w:rPr>
          <w:spacing w:val="3"/>
        </w:rPr>
        <w:t>并不得损伤电缆</w:t>
      </w:r>
      <w:r>
        <w:rPr>
          <w:rFonts w:hint="eastAsia" w:ascii="MS UI Gothic" w:hAnsi="MS UI Gothic" w:eastAsia="MS UI Gothic"/>
          <w:w w:val="85"/>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水平巷道或者倾斜井巷中悬挂</w:t>
      </w:r>
      <w:r>
        <w:t>的电缆应当有适当的弛度</w:t>
      </w:r>
      <w:r>
        <w:rPr>
          <w:rFonts w:hint="eastAsia" w:ascii="MS UI Gothic" w:eastAsia="MS UI Gothic"/>
          <w:w w:val="80"/>
        </w:rPr>
        <w:t xml:space="preserve">ꎬ </w:t>
      </w:r>
      <w:r>
        <w:t>并能在意外受力时自由坠落</w:t>
      </w:r>
      <w:r>
        <w:rPr>
          <w:rFonts w:hint="eastAsia" w:ascii="MS UI Gothic" w:eastAsia="MS UI Gothic"/>
          <w:w w:val="80"/>
        </w:rPr>
        <w:t xml:space="preserve">ꎮ </w:t>
      </w:r>
      <w:r>
        <w:t>其悬挂高度应当保证电缆在矿车掉道时不受撞击</w:t>
      </w:r>
      <w:r>
        <w:rPr>
          <w:rFonts w:hint="eastAsia" w:ascii="MS UI Gothic" w:eastAsia="MS UI Gothic"/>
          <w:w w:val="80"/>
        </w:rPr>
        <w:t xml:space="preserve">ꎬ </w:t>
      </w:r>
      <w:r>
        <w:t>在电缆坠落时不</w:t>
      </w:r>
      <w:r>
        <w:rPr>
          <w:w w:val="105"/>
        </w:rPr>
        <w:t>落在轨道或者输送机上</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t>四</w:t>
      </w:r>
      <w:r>
        <w:rPr>
          <w:rFonts w:hint="eastAsia" w:ascii="MS UI Gothic" w:eastAsia="MS UI Gothic"/>
          <w:w w:val="150"/>
        </w:rPr>
        <w:t xml:space="preserve">) </w:t>
      </w:r>
      <w:r>
        <w:t>电缆悬挂点间距</w:t>
      </w:r>
      <w:r>
        <w:rPr>
          <w:rFonts w:hint="eastAsia" w:ascii="MS UI Gothic" w:eastAsia="MS UI Gothic"/>
          <w:w w:val="80"/>
        </w:rPr>
        <w:t xml:space="preserve">ꎬ </w:t>
      </w:r>
      <w:r>
        <w:t xml:space="preserve">在水平巷道或者倾斜井巷内不得超过 </w:t>
      </w:r>
      <w:r>
        <w:rPr>
          <w:rFonts w:hint="eastAsia" w:ascii="MS UI Gothic" w:eastAsia="MS UI Gothic"/>
          <w:w w:val="80"/>
        </w:rPr>
        <w:t xml:space="preserve">３ ｍꎬ </w:t>
      </w:r>
      <w:r>
        <w:t xml:space="preserve">在立井井筒内不得超过 </w:t>
      </w:r>
      <w:r>
        <w:rPr>
          <w:rFonts w:hint="eastAsia" w:ascii="MS UI Gothic" w:eastAsia="MS UI Gothic"/>
          <w:w w:val="80"/>
        </w:rPr>
        <w:t>６ ｍꎮ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沿钻孔敷设的电缆必须绑紧在钢丝绳上</w:t>
      </w:r>
      <w:r>
        <w:rPr>
          <w:rFonts w:hint="eastAsia" w:ascii="MS UI Gothic" w:eastAsia="MS UI Gothic"/>
          <w:w w:val="80"/>
        </w:rPr>
        <w:t xml:space="preserve">ꎬ </w:t>
      </w:r>
      <w:r>
        <w:rPr>
          <w:w w:val="105"/>
        </w:rPr>
        <w:t>钻孔必须加装套管</w:t>
      </w:r>
      <w:r>
        <w:rPr>
          <w:rFonts w:hint="eastAsia" w:ascii="MS UI Gothic" w:eastAsia="MS UI Gothic"/>
          <w:w w:val="80"/>
        </w:rPr>
        <w:t>ꎮ</w:t>
      </w:r>
    </w:p>
    <w:p>
      <w:pPr>
        <w:pStyle w:val="6"/>
        <w:spacing w:line="295" w:lineRule="auto"/>
        <w:ind w:right="38"/>
        <w:rPr>
          <w:rFonts w:hint="eastAsia" w:ascii="MS UI Gothic" w:hAnsi="MS UI Gothic" w:eastAsia="MS UI Gothic"/>
        </w:rPr>
      </w:pPr>
      <w:r>
        <w:rPr>
          <w:spacing w:val="4"/>
        </w:rPr>
        <w:t>第四百六十五条 电缆不应悬挂在管</w:t>
      </w:r>
      <w:r>
        <w:rPr>
          <w:spacing w:val="3"/>
        </w:rPr>
        <w:t>道上</w:t>
      </w:r>
      <w:r>
        <w:rPr>
          <w:rFonts w:hint="eastAsia" w:ascii="MS UI Gothic" w:hAnsi="MS UI Gothic" w:eastAsia="MS UI Gothic"/>
          <w:spacing w:val="22"/>
          <w:w w:val="80"/>
        </w:rPr>
        <w:t xml:space="preserve">ꎬ </w:t>
      </w:r>
      <w:r>
        <w:rPr>
          <w:spacing w:val="3"/>
        </w:rPr>
        <w:t>不得遭受淋水</w:t>
      </w:r>
      <w:r>
        <w:rPr>
          <w:rFonts w:hint="eastAsia" w:ascii="MS UI Gothic" w:hAnsi="MS UI Gothic" w:eastAsia="MS UI Gothic"/>
          <w:spacing w:val="8"/>
          <w:w w:val="80"/>
        </w:rPr>
        <w:t xml:space="preserve">ꎮ </w:t>
      </w:r>
      <w:r>
        <w:rPr>
          <w:spacing w:val="6"/>
        </w:rPr>
        <w:t>电缆上严禁悬挂任</w:t>
      </w:r>
      <w:r>
        <w:rPr>
          <w:spacing w:val="3"/>
        </w:rPr>
        <w:t>何物件</w:t>
      </w:r>
      <w:r>
        <w:rPr>
          <w:rFonts w:hint="eastAsia" w:ascii="MS UI Gothic" w:hAnsi="MS UI Gothic" w:eastAsia="MS UI Gothic"/>
          <w:spacing w:val="5"/>
          <w:w w:val="80"/>
        </w:rPr>
        <w:t xml:space="preserve">ꎮ </w:t>
      </w:r>
      <w:r>
        <w:rPr>
          <w:spacing w:val="3"/>
        </w:rPr>
        <w:t>电缆与压风管</w:t>
      </w:r>
      <w:r>
        <w:rPr>
          <w:rFonts w:hint="eastAsia" w:ascii="MS UI Gothic" w:hAnsi="MS UI Gothic" w:eastAsia="MS UI Gothic"/>
          <w:spacing w:val="23"/>
        </w:rPr>
        <w:t xml:space="preserve">、 </w:t>
      </w:r>
      <w:r>
        <w:rPr>
          <w:spacing w:val="2"/>
        </w:rPr>
        <w:t>供水管在巷道同</w:t>
      </w:r>
      <w:r>
        <w:rPr>
          <w:spacing w:val="3"/>
        </w:rPr>
        <w:t>一侧敷设时</w:t>
      </w:r>
      <w:r>
        <w:rPr>
          <w:rFonts w:hint="eastAsia" w:ascii="MS UI Gothic" w:hAnsi="MS UI Gothic" w:eastAsia="MS UI Gothic"/>
          <w:spacing w:val="23"/>
          <w:w w:val="80"/>
        </w:rPr>
        <w:t xml:space="preserve">ꎬ </w:t>
      </w:r>
      <w:r>
        <w:rPr>
          <w:spacing w:val="3"/>
        </w:rPr>
        <w:t>必须敷设在管子上方</w:t>
      </w:r>
      <w:r>
        <w:rPr>
          <w:rFonts w:hint="eastAsia" w:ascii="MS UI Gothic" w:hAnsi="MS UI Gothic" w:eastAsia="MS UI Gothic"/>
          <w:spacing w:val="23"/>
          <w:w w:val="80"/>
        </w:rPr>
        <w:t xml:space="preserve">ꎬ </w:t>
      </w:r>
      <w:r>
        <w:rPr>
          <w:spacing w:val="1"/>
        </w:rPr>
        <w:t>并保</w:t>
      </w:r>
      <w:r>
        <w:rPr>
          <w:spacing w:val="-34"/>
        </w:rPr>
        <w:t xml:space="preserve">持 </w:t>
      </w:r>
      <w:r>
        <w:rPr>
          <w:rFonts w:hint="eastAsia" w:ascii="MS UI Gothic" w:hAnsi="MS UI Gothic" w:eastAsia="MS UI Gothic"/>
        </w:rPr>
        <w:t>０</w:t>
      </w:r>
      <w:r>
        <w:rPr>
          <w:rFonts w:hint="eastAsia" w:ascii="MS UI Gothic" w:hAnsi="MS UI Gothic" w:eastAsia="MS UI Gothic"/>
          <w:spacing w:val="-13"/>
        </w:rPr>
        <w:t xml:space="preserve"> ３ </w:t>
      </w:r>
      <w:r>
        <w:rPr>
          <w:rFonts w:hint="eastAsia" w:ascii="MS UI Gothic" w:hAnsi="MS UI Gothic" w:eastAsia="MS UI Gothic"/>
        </w:rPr>
        <w:t xml:space="preserve">ｍ </w:t>
      </w:r>
      <w:r>
        <w:rPr>
          <w:spacing w:val="3"/>
        </w:rPr>
        <w:t>以上的距离</w:t>
      </w:r>
      <w:r>
        <w:rPr>
          <w:rFonts w:hint="eastAsia" w:ascii="MS UI Gothic" w:hAnsi="MS UI Gothic" w:eastAsia="MS UI Gothic"/>
          <w:spacing w:val="14"/>
          <w:w w:val="80"/>
        </w:rPr>
        <w:t xml:space="preserve">ꎮ </w:t>
      </w:r>
      <w:r>
        <w:rPr>
          <w:spacing w:val="2"/>
        </w:rPr>
        <w:t>在有瓦斯抽采管路</w:t>
      </w:r>
      <w:r>
        <w:rPr>
          <w:spacing w:val="3"/>
        </w:rPr>
        <w:t>的巷道内</w:t>
      </w:r>
      <w:r>
        <w:rPr>
          <w:rFonts w:hint="eastAsia" w:ascii="MS UI Gothic" w:hAnsi="MS UI Gothic" w:eastAsia="MS UI Gothic"/>
          <w:spacing w:val="13"/>
          <w:w w:val="80"/>
        </w:rPr>
        <w:t xml:space="preserve">ꎬ </w:t>
      </w:r>
      <w:r>
        <w:rPr>
          <w:spacing w:val="-6"/>
        </w:rPr>
        <w:t xml:space="preserve">电缆 </w:t>
      </w:r>
      <w:r>
        <w:rPr>
          <w:rFonts w:hint="eastAsia" w:ascii="MS UI Gothic" w:hAnsi="MS UI Gothic" w:eastAsia="MS UI Gothic"/>
          <w:spacing w:val="-32"/>
          <w:w w:val="145"/>
        </w:rPr>
        <w:t xml:space="preserve">( </w:t>
      </w:r>
      <w:r>
        <w:rPr>
          <w:spacing w:val="3"/>
        </w:rPr>
        <w:t>包括通信电缆</w:t>
      </w:r>
      <w:r>
        <w:rPr>
          <w:rFonts w:hint="eastAsia" w:ascii="MS UI Gothic" w:hAnsi="MS UI Gothic" w:eastAsia="MS UI Gothic"/>
          <w:spacing w:val="29"/>
          <w:w w:val="145"/>
        </w:rPr>
        <w:t xml:space="preserve">) </w:t>
      </w:r>
      <w:r>
        <w:rPr>
          <w:spacing w:val="2"/>
        </w:rPr>
        <w:t>必须与</w:t>
      </w:r>
      <w:r>
        <w:rPr>
          <w:spacing w:val="3"/>
        </w:rPr>
        <w:t>瓦斯抽采管路分挂在巷道两侧</w:t>
      </w:r>
      <w:r>
        <w:rPr>
          <w:rFonts w:hint="eastAsia" w:ascii="MS UI Gothic" w:hAnsi="MS UI Gothic" w:eastAsia="MS UI Gothic"/>
          <w:spacing w:val="21"/>
          <w:w w:val="80"/>
        </w:rPr>
        <w:t xml:space="preserve">ꎮ </w:t>
      </w:r>
      <w:r>
        <w:rPr>
          <w:spacing w:val="2"/>
        </w:rPr>
        <w:t>盘圈或者</w:t>
      </w:r>
      <w:r>
        <w:rPr>
          <w:spacing w:val="-17"/>
        </w:rPr>
        <w:t xml:space="preserve">盘 </w:t>
      </w:r>
      <w:r>
        <w:rPr>
          <w:rFonts w:hint="eastAsia" w:ascii="MS UI Gothic" w:hAnsi="MS UI Gothic" w:eastAsia="MS UI Gothic"/>
          <w:spacing w:val="7"/>
        </w:rPr>
        <w:t xml:space="preserve">“ ８” </w:t>
      </w:r>
      <w:r>
        <w:rPr>
          <w:spacing w:val="19"/>
        </w:rPr>
        <w:t>字形的电缆不得带电</w:t>
      </w:r>
      <w:r>
        <w:rPr>
          <w:rFonts w:hint="eastAsia" w:ascii="MS UI Gothic" w:hAnsi="MS UI Gothic" w:eastAsia="MS UI Gothic"/>
          <w:spacing w:val="18"/>
          <w:w w:val="80"/>
        </w:rPr>
        <w:t xml:space="preserve">ꎬ </w:t>
      </w:r>
      <w:r>
        <w:rPr>
          <w:spacing w:val="16"/>
        </w:rPr>
        <w:t>但给采</w:t>
      </w:r>
      <w:r>
        <w:rPr>
          <w:rFonts w:hint="eastAsia" w:ascii="MS UI Gothic" w:hAnsi="MS UI Gothic" w:eastAsia="MS UI Gothic"/>
        </w:rPr>
        <w:t>、</w:t>
      </w:r>
      <w:r>
        <w:rPr>
          <w:spacing w:val="3"/>
        </w:rPr>
        <w:t>掘等移动设备供电电缆及通信</w:t>
      </w:r>
      <w:r>
        <w:rPr>
          <w:rFonts w:hint="eastAsia" w:ascii="MS UI Gothic" w:hAnsi="MS UI Gothic" w:eastAsia="MS UI Gothic"/>
          <w:spacing w:val="20"/>
        </w:rPr>
        <w:t xml:space="preserve">、 </w:t>
      </w:r>
      <w:r>
        <w:rPr>
          <w:spacing w:val="2"/>
        </w:rPr>
        <w:t>信号电缆</w:t>
      </w:r>
      <w:r>
        <w:rPr>
          <w:spacing w:val="3"/>
        </w:rPr>
        <w:t>不受此限</w:t>
      </w:r>
      <w:r>
        <w:rPr>
          <w:rFonts w:hint="eastAsia" w:ascii="MS UI Gothic" w:hAnsi="MS UI Gothic" w:eastAsia="MS UI Gothic"/>
          <w:w w:val="80"/>
        </w:rPr>
        <w:t>ꎮ</w:t>
      </w:r>
    </w:p>
    <w:p>
      <w:pPr>
        <w:pStyle w:val="6"/>
        <w:spacing w:before="123" w:line="295" w:lineRule="auto"/>
        <w:ind w:left="130" w:right="442"/>
        <w:rPr>
          <w:rFonts w:hint="eastAsia" w:ascii="MS UI Gothic" w:eastAsia="MS UI Gothic"/>
        </w:rPr>
      </w:pPr>
      <w:r>
        <w:br w:type="column"/>
      </w:r>
      <w:r>
        <w:rPr>
          <w:spacing w:val="2"/>
        </w:rPr>
        <w:t>井筒和巷道内的通信和信号电缆应当</w:t>
      </w:r>
      <w:r>
        <w:rPr>
          <w:spacing w:val="3"/>
        </w:rPr>
        <w:t>与电力电缆分挂在井巷的两侧</w:t>
      </w:r>
      <w:r>
        <w:rPr>
          <w:rFonts w:hint="eastAsia" w:ascii="MS UI Gothic" w:eastAsia="MS UI Gothic"/>
          <w:spacing w:val="20"/>
          <w:w w:val="80"/>
        </w:rPr>
        <w:t xml:space="preserve">ꎬ </w:t>
      </w:r>
      <w:r>
        <w:rPr>
          <w:spacing w:val="2"/>
        </w:rPr>
        <w:t>如果受条</w:t>
      </w:r>
      <w:r>
        <w:rPr>
          <w:spacing w:val="3"/>
        </w:rPr>
        <w:t>件所限</w:t>
      </w:r>
      <w:r>
        <w:rPr>
          <w:rFonts w:hint="eastAsia" w:ascii="MS UI Gothic" w:eastAsia="MS UI Gothic"/>
          <w:spacing w:val="-8"/>
          <w:w w:val="230"/>
        </w:rPr>
        <w:t xml:space="preserve">: </w:t>
      </w:r>
      <w:r>
        <w:rPr>
          <w:spacing w:val="3"/>
        </w:rPr>
        <w:t>在井筒内</w:t>
      </w:r>
      <w:r>
        <w:rPr>
          <w:rFonts w:hint="eastAsia" w:ascii="MS UI Gothic" w:eastAsia="MS UI Gothic"/>
          <w:spacing w:val="13"/>
          <w:w w:val="80"/>
        </w:rPr>
        <w:t xml:space="preserve">ꎬ </w:t>
      </w:r>
      <w:r>
        <w:rPr>
          <w:spacing w:val="2"/>
        </w:rPr>
        <w:t>应当敷设在距电力电</w:t>
      </w:r>
      <w:r>
        <w:rPr>
          <w:spacing w:val="-35"/>
        </w:rPr>
        <w:t xml:space="preserve">缆 </w:t>
      </w:r>
      <w:r>
        <w:rPr>
          <w:rFonts w:hint="eastAsia" w:ascii="MS UI Gothic" w:eastAsia="MS UI Gothic"/>
        </w:rPr>
        <w:t>０</w:t>
      </w:r>
      <w:r>
        <w:rPr>
          <w:rFonts w:hint="eastAsia" w:ascii="MS UI Gothic" w:eastAsia="MS UI Gothic"/>
          <w:spacing w:val="-16"/>
        </w:rPr>
        <w:t xml:space="preserve"> ３ </w:t>
      </w:r>
      <w:r>
        <w:rPr>
          <w:rFonts w:hint="eastAsia" w:ascii="MS UI Gothic" w:eastAsia="MS UI Gothic"/>
        </w:rPr>
        <w:t xml:space="preserve">ｍ </w:t>
      </w:r>
      <w:r>
        <w:rPr>
          <w:spacing w:val="3"/>
        </w:rPr>
        <w:t>以外的地方</w:t>
      </w:r>
      <w:r>
        <w:rPr>
          <w:rFonts w:hint="eastAsia" w:ascii="MS UI Gothic" w:eastAsia="MS UI Gothic"/>
          <w:spacing w:val="11"/>
          <w:w w:val="80"/>
        </w:rPr>
        <w:t xml:space="preserve">ꎻ </w:t>
      </w:r>
      <w:r>
        <w:rPr>
          <w:spacing w:val="3"/>
        </w:rPr>
        <w:t>在巷道内</w:t>
      </w:r>
      <w:r>
        <w:rPr>
          <w:rFonts w:hint="eastAsia" w:ascii="MS UI Gothic" w:eastAsia="MS UI Gothic"/>
          <w:spacing w:val="10"/>
          <w:w w:val="80"/>
        </w:rPr>
        <w:t xml:space="preserve">ꎬ </w:t>
      </w:r>
      <w:r>
        <w:rPr>
          <w:spacing w:val="2"/>
        </w:rPr>
        <w:t>应当敷</w:t>
      </w:r>
      <w:r>
        <w:rPr>
          <w:spacing w:val="-5"/>
        </w:rPr>
        <w:t xml:space="preserve">设在电力电缆上方 </w:t>
      </w:r>
      <w:r>
        <w:rPr>
          <w:rFonts w:hint="eastAsia" w:ascii="MS UI Gothic" w:eastAsia="MS UI Gothic"/>
        </w:rPr>
        <w:t>０</w:t>
      </w:r>
      <w:r>
        <w:rPr>
          <w:rFonts w:hint="eastAsia" w:ascii="MS UI Gothic" w:eastAsia="MS UI Gothic"/>
          <w:spacing w:val="-7"/>
        </w:rPr>
        <w:t xml:space="preserve"> １ </w:t>
      </w:r>
      <w:r>
        <w:rPr>
          <w:rFonts w:hint="eastAsia" w:ascii="MS UI Gothic" w:eastAsia="MS UI Gothic"/>
        </w:rPr>
        <w:t xml:space="preserve">ｍ </w:t>
      </w:r>
      <w:r>
        <w:rPr>
          <w:spacing w:val="3"/>
        </w:rPr>
        <w:t>以上的地方</w:t>
      </w:r>
      <w:r>
        <w:rPr>
          <w:rFonts w:hint="eastAsia" w:ascii="MS UI Gothic" w:eastAsia="MS UI Gothic"/>
          <w:w w:val="80"/>
        </w:rPr>
        <w:t>ꎮ</w:t>
      </w:r>
    </w:p>
    <w:p>
      <w:pPr>
        <w:pStyle w:val="6"/>
        <w:spacing w:line="295" w:lineRule="auto"/>
        <w:ind w:right="442" w:firstLine="425"/>
        <w:rPr>
          <w:rFonts w:hint="eastAsia" w:ascii="MS UI Gothic" w:eastAsia="MS UI Gothic"/>
        </w:rPr>
      </w:pPr>
      <w:r>
        <w:t>高</w:t>
      </w:r>
      <w:r>
        <w:rPr>
          <w:rFonts w:hint="eastAsia" w:ascii="MS UI Gothic" w:eastAsia="MS UI Gothic"/>
        </w:rPr>
        <w:t xml:space="preserve">、 </w:t>
      </w:r>
      <w:r>
        <w:t>低压电力电缆敷设在巷道同一侧时</w:t>
      </w:r>
      <w:r>
        <w:rPr>
          <w:rFonts w:hint="eastAsia" w:ascii="MS UI Gothic" w:eastAsia="MS UI Gothic"/>
          <w:w w:val="85"/>
        </w:rPr>
        <w:t xml:space="preserve">ꎬ </w:t>
      </w:r>
      <w:r>
        <w:t>高</w:t>
      </w:r>
      <w:r>
        <w:rPr>
          <w:rFonts w:hint="eastAsia" w:ascii="MS UI Gothic" w:eastAsia="MS UI Gothic"/>
        </w:rPr>
        <w:t xml:space="preserve">、 </w:t>
      </w:r>
      <w:r>
        <w:t>低压电缆之间的距离应当大于</w:t>
      </w:r>
      <w:r>
        <w:rPr>
          <w:rFonts w:hint="eastAsia" w:ascii="MS UI Gothic" w:eastAsia="MS UI Gothic"/>
        </w:rPr>
        <w:t>０ １ ｍ</w:t>
      </w:r>
      <w:r>
        <w:rPr>
          <w:rFonts w:hint="eastAsia" w:ascii="MS UI Gothic" w:eastAsia="MS UI Gothic"/>
          <w:w w:val="85"/>
        </w:rPr>
        <w:t xml:space="preserve">ꎮ </w:t>
      </w:r>
      <w:r>
        <w:t>高压电缆之间</w:t>
      </w:r>
      <w:r>
        <w:rPr>
          <w:rFonts w:hint="eastAsia" w:ascii="MS UI Gothic" w:eastAsia="MS UI Gothic"/>
        </w:rPr>
        <w:t xml:space="preserve">、 </w:t>
      </w:r>
      <w:r>
        <w:t xml:space="preserve">低压电缆之间的距离不得小于 </w:t>
      </w:r>
      <w:r>
        <w:rPr>
          <w:rFonts w:hint="eastAsia" w:ascii="MS UI Gothic" w:eastAsia="MS UI Gothic"/>
        </w:rPr>
        <w:t>５０ ｍｍ</w:t>
      </w:r>
      <w:r>
        <w:rPr>
          <w:rFonts w:hint="eastAsia" w:ascii="MS UI Gothic" w:eastAsia="MS UI Gothic"/>
          <w:w w:val="85"/>
        </w:rPr>
        <w:t>ꎮ</w:t>
      </w:r>
    </w:p>
    <w:p>
      <w:pPr>
        <w:pStyle w:val="6"/>
        <w:spacing w:line="295" w:lineRule="auto"/>
        <w:ind w:left="130" w:right="442"/>
        <w:rPr>
          <w:rFonts w:hint="eastAsia" w:ascii="MS UI Gothic" w:eastAsia="MS UI Gothic"/>
        </w:rPr>
      </w:pPr>
      <w:r>
        <w:t>井下巷道内的电缆</w:t>
      </w:r>
      <w:r>
        <w:rPr>
          <w:rFonts w:hint="eastAsia" w:ascii="MS UI Gothic" w:eastAsia="MS UI Gothic"/>
          <w:w w:val="80"/>
        </w:rPr>
        <w:t xml:space="preserve">ꎬ </w:t>
      </w:r>
      <w:r>
        <w:t>沿线每隔一定距离</w:t>
      </w:r>
      <w:r>
        <w:rPr>
          <w:rFonts w:hint="eastAsia" w:ascii="MS UI Gothic" w:eastAsia="MS UI Gothic"/>
          <w:w w:val="80"/>
        </w:rPr>
        <w:t xml:space="preserve">、 </w:t>
      </w:r>
      <w:r>
        <w:t>拐弯或者分支点以及连接不同直径电缆的接线盒两端</w:t>
      </w:r>
      <w:r>
        <w:rPr>
          <w:rFonts w:hint="eastAsia" w:ascii="MS UI Gothic" w:eastAsia="MS UI Gothic"/>
          <w:w w:val="80"/>
        </w:rPr>
        <w:t xml:space="preserve">、 </w:t>
      </w:r>
      <w:r>
        <w:t>穿墙电缆的墙的两边都应当设置注有编号</w:t>
      </w:r>
      <w:r>
        <w:rPr>
          <w:rFonts w:hint="eastAsia" w:ascii="MS UI Gothic" w:eastAsia="MS UI Gothic"/>
          <w:w w:val="80"/>
        </w:rPr>
        <w:t xml:space="preserve">、 </w:t>
      </w:r>
      <w:r>
        <w:t>用途</w:t>
      </w:r>
      <w:r>
        <w:rPr>
          <w:rFonts w:hint="eastAsia" w:ascii="MS UI Gothic" w:eastAsia="MS UI Gothic"/>
          <w:w w:val="80"/>
        </w:rPr>
        <w:t xml:space="preserve">、 </w:t>
      </w:r>
      <w:r>
        <w:t>电压和截面的标志牌</w:t>
      </w:r>
      <w:r>
        <w:rPr>
          <w:rFonts w:hint="eastAsia" w:ascii="MS UI Gothic" w:eastAsia="MS UI Gothic"/>
          <w:w w:val="80"/>
        </w:rPr>
        <w:t>ꎮ</w:t>
      </w:r>
    </w:p>
    <w:p>
      <w:pPr>
        <w:pStyle w:val="6"/>
        <w:spacing w:line="295" w:lineRule="auto"/>
        <w:ind w:left="130" w:right="442"/>
        <w:rPr>
          <w:rFonts w:hint="eastAsia" w:ascii="MS UI Gothic" w:eastAsia="MS UI Gothic"/>
        </w:rPr>
      </w:pPr>
      <w:r>
        <w:t>第四百六十六条 立井井筒中敷设的电缆中间不得有接头</w:t>
      </w:r>
      <w:r>
        <w:rPr>
          <w:rFonts w:hint="eastAsia" w:ascii="MS UI Gothic" w:eastAsia="MS UI Gothic"/>
          <w:w w:val="80"/>
        </w:rPr>
        <w:t xml:space="preserve">ꎻ </w:t>
      </w:r>
      <w:r>
        <w:t>因井筒太深需设接头时</w:t>
      </w:r>
      <w:r>
        <w:rPr>
          <w:rFonts w:hint="eastAsia" w:ascii="MS UI Gothic" w:eastAsia="MS UI Gothic"/>
          <w:w w:val="80"/>
        </w:rPr>
        <w:t xml:space="preserve">ꎬ </w:t>
      </w:r>
      <w:r>
        <w:t>应当将接头设在中间水平巷道内</w:t>
      </w:r>
      <w:r>
        <w:rPr>
          <w:rFonts w:hint="eastAsia" w:ascii="MS UI Gothic" w:eastAsia="MS UI Gothic"/>
          <w:w w:val="80"/>
        </w:rPr>
        <w:t>ꎮ</w:t>
      </w:r>
    </w:p>
    <w:p>
      <w:pPr>
        <w:pStyle w:val="6"/>
        <w:spacing w:line="295" w:lineRule="auto"/>
        <w:ind w:left="130" w:right="442"/>
        <w:rPr>
          <w:rFonts w:hint="eastAsia" w:ascii="MS UI Gothic" w:eastAsia="MS UI Gothic"/>
        </w:rPr>
      </w:pPr>
      <w:r>
        <w:t>运行中因故需要增设接头而又无中间水平巷道可以利用时</w:t>
      </w:r>
      <w:r>
        <w:rPr>
          <w:rFonts w:hint="eastAsia" w:ascii="MS UI Gothic" w:eastAsia="MS UI Gothic"/>
          <w:w w:val="80"/>
        </w:rPr>
        <w:t xml:space="preserve">ꎬ </w:t>
      </w:r>
      <w:r>
        <w:t>可以在井筒中设置接线盒</w:t>
      </w:r>
      <w:r>
        <w:rPr>
          <w:rFonts w:hint="eastAsia" w:ascii="MS UI Gothic" w:eastAsia="MS UI Gothic"/>
          <w:w w:val="80"/>
        </w:rPr>
        <w:t xml:space="preserve">ꎮ </w:t>
      </w:r>
      <w:r>
        <w:t>接线盒应当放置在托架上</w:t>
      </w:r>
      <w:r>
        <w:rPr>
          <w:rFonts w:hint="eastAsia" w:ascii="MS UI Gothic" w:eastAsia="MS UI Gothic"/>
          <w:w w:val="80"/>
        </w:rPr>
        <w:t xml:space="preserve">ꎬ </w:t>
      </w:r>
      <w:r>
        <w:t>不应使接头承力</w:t>
      </w:r>
      <w:r>
        <w:rPr>
          <w:rFonts w:hint="eastAsia" w:ascii="MS UI Gothic" w:eastAsia="MS UI Gothic"/>
          <w:w w:val="80"/>
        </w:rPr>
        <w:t>ꎮ</w:t>
      </w:r>
    </w:p>
    <w:p>
      <w:pPr>
        <w:pStyle w:val="6"/>
        <w:spacing w:line="295" w:lineRule="auto"/>
        <w:ind w:left="130" w:right="442"/>
        <w:rPr>
          <w:rFonts w:hint="eastAsia" w:ascii="MS UI Gothic" w:eastAsia="MS UI Gothic"/>
        </w:rPr>
      </w:pPr>
      <w:r>
        <w:t>第四百六十七条 电缆穿过墙壁部分应当用套管保护</w:t>
      </w:r>
      <w:r>
        <w:rPr>
          <w:rFonts w:hint="eastAsia" w:ascii="MS UI Gothic" w:eastAsia="MS UI Gothic"/>
          <w:w w:val="80"/>
        </w:rPr>
        <w:t xml:space="preserve">ꎬ </w:t>
      </w:r>
      <w:r>
        <w:t>并严密封堵管口</w:t>
      </w:r>
      <w:r>
        <w:rPr>
          <w:rFonts w:hint="eastAsia" w:ascii="MS UI Gothic" w:eastAsia="MS UI Gothic"/>
          <w:w w:val="80"/>
        </w:rPr>
        <w:t>ꎮ</w:t>
      </w:r>
    </w:p>
    <w:p>
      <w:pPr>
        <w:pStyle w:val="6"/>
        <w:spacing w:line="295" w:lineRule="auto"/>
        <w:ind w:left="130" w:right="442"/>
        <w:rPr>
          <w:rFonts w:hint="eastAsia" w:ascii="MS UI Gothic" w:eastAsia="MS UI Gothic"/>
        </w:rPr>
      </w:pPr>
      <w:r>
        <w:rPr>
          <w:w w:val="105"/>
        </w:rPr>
        <w:t>第四百六十八条 电缆的连接应当符</w:t>
      </w:r>
      <w:r>
        <w:rPr>
          <w:w w:val="110"/>
        </w:rPr>
        <w:t>合下列要求</w:t>
      </w:r>
      <w:r>
        <w:rPr>
          <w:rFonts w:hint="eastAsia" w:ascii="MS UI Gothic" w:eastAsia="MS UI Gothic"/>
          <w:w w:val="235"/>
        </w:rPr>
        <w:t>:</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电缆与电气设备连接时</w:t>
      </w:r>
      <w:r>
        <w:rPr>
          <w:rFonts w:hint="eastAsia" w:ascii="MS UI Gothic" w:eastAsia="MS UI Gothic"/>
          <w:w w:val="80"/>
        </w:rPr>
        <w:t xml:space="preserve">ꎬ </w:t>
      </w:r>
      <w:r>
        <w:rPr>
          <w:w w:val="105"/>
        </w:rPr>
        <w:t xml:space="preserve">电缆线芯必须使用齿形压线板 </w:t>
      </w:r>
      <w:r>
        <w:rPr>
          <w:rFonts w:hint="eastAsia" w:ascii="MS UI Gothic" w:eastAsia="MS UI Gothic"/>
          <w:w w:val="150"/>
        </w:rPr>
        <w:t xml:space="preserve">( </w:t>
      </w:r>
      <w:r>
        <w:rPr>
          <w:w w:val="105"/>
        </w:rPr>
        <w:t>卡爪</w:t>
      </w:r>
      <w:r>
        <w:rPr>
          <w:rFonts w:hint="eastAsia" w:ascii="MS UI Gothic" w:eastAsia="MS UI Gothic"/>
          <w:w w:val="150"/>
        </w:rPr>
        <w:t>)</w:t>
      </w:r>
      <w:r>
        <w:rPr>
          <w:rFonts w:hint="eastAsia" w:ascii="MS UI Gothic" w:eastAsia="MS UI Gothic"/>
          <w:w w:val="80"/>
        </w:rPr>
        <w:t xml:space="preserve">、 </w:t>
      </w:r>
      <w:r>
        <w:rPr>
          <w:w w:val="105"/>
        </w:rPr>
        <w:t>线鼻</w:t>
      </w:r>
      <w:r>
        <w:t>子或者快速连接器与电气设备进行连接</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不同型电缆之间严禁直接连接</w:t>
      </w:r>
      <w:r>
        <w:rPr>
          <w:rFonts w:hint="eastAsia" w:ascii="MS UI Gothic" w:eastAsia="MS UI Gothic"/>
          <w:w w:val="80"/>
        </w:rPr>
        <w:t xml:space="preserve">ꎬ </w:t>
      </w:r>
      <w:r>
        <w:rPr>
          <w:w w:val="105"/>
        </w:rPr>
        <w:t>必须经过符合要求的接线盒</w:t>
      </w:r>
      <w:r>
        <w:rPr>
          <w:rFonts w:hint="eastAsia" w:ascii="MS UI Gothic" w:eastAsia="MS UI Gothic"/>
          <w:w w:val="80"/>
        </w:rPr>
        <w:t xml:space="preserve">、 </w:t>
      </w:r>
      <w:r>
        <w:rPr>
          <w:w w:val="105"/>
        </w:rPr>
        <w:t>连接器或者母线盒进行连接</w:t>
      </w:r>
      <w:r>
        <w:rPr>
          <w:rFonts w:hint="eastAsia" w:ascii="MS UI Gothic" w:eastAsia="MS UI Gothic"/>
          <w:w w:val="80"/>
        </w:rPr>
        <w:t>ꎮ</w:t>
      </w:r>
    </w:p>
    <w:p>
      <w:pPr>
        <w:pStyle w:val="6"/>
        <w:spacing w:line="295" w:lineRule="auto"/>
        <w:ind w:left="130" w:right="442"/>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同型电缆之间直接连接时必须</w:t>
      </w:r>
      <w:r>
        <w:rPr>
          <w:spacing w:val="3"/>
          <w:w w:val="115"/>
        </w:rPr>
        <w:t>遵守下列规定</w:t>
      </w:r>
      <w:r>
        <w:rPr>
          <w:rFonts w:hint="eastAsia" w:ascii="MS UI Gothic" w:eastAsia="MS UI Gothic"/>
          <w:w w:val="235"/>
        </w:rPr>
        <w:t>:</w:t>
      </w:r>
    </w:p>
    <w:p>
      <w:pPr>
        <w:pStyle w:val="6"/>
        <w:spacing w:line="295" w:lineRule="auto"/>
        <w:ind w:left="130" w:right="440" w:firstLine="413"/>
        <w:rPr>
          <w:rFonts w:hint="eastAsia" w:ascii="MS UI Gothic" w:eastAsia="MS UI Gothic"/>
        </w:rPr>
      </w:pPr>
      <w:r>
        <w:rPr>
          <w:rFonts w:hint="eastAsia" w:ascii="MS UI Gothic" w:eastAsia="MS UI Gothic"/>
        </w:rPr>
        <w:t>１</w:t>
      </w:r>
      <w:r>
        <w:rPr>
          <w:rFonts w:hint="eastAsia" w:ascii="MS UI Gothic" w:eastAsia="MS UI Gothic"/>
          <w:spacing w:val="54"/>
        </w:rPr>
        <w:t xml:space="preserve"> </w:t>
      </w:r>
      <w:r>
        <w:rPr>
          <w:spacing w:val="2"/>
        </w:rPr>
        <w:t xml:space="preserve">橡套电缆的修补连接 </w:t>
      </w:r>
      <w:r>
        <w:rPr>
          <w:rFonts w:hint="eastAsia" w:ascii="MS UI Gothic" w:eastAsia="MS UI Gothic"/>
          <w:spacing w:val="-30"/>
          <w:w w:val="145"/>
        </w:rPr>
        <w:t xml:space="preserve">( </w:t>
      </w:r>
      <w:r>
        <w:rPr>
          <w:spacing w:val="9"/>
        </w:rPr>
        <w:t>包括绝缘</w:t>
      </w:r>
      <w:r>
        <w:rPr>
          <w:rFonts w:hint="eastAsia" w:ascii="MS UI Gothic" w:eastAsia="MS UI Gothic"/>
        </w:rPr>
        <w:t>、</w:t>
      </w:r>
      <w:r>
        <w:rPr>
          <w:spacing w:val="11"/>
        </w:rPr>
        <w:t>护套已损坏的橡套电缆的修补</w:t>
      </w:r>
      <w:r>
        <w:rPr>
          <w:rFonts w:hint="eastAsia" w:ascii="MS UI Gothic" w:eastAsia="MS UI Gothic"/>
          <w:spacing w:val="23"/>
          <w:w w:val="145"/>
        </w:rPr>
        <w:t xml:space="preserve">) </w:t>
      </w:r>
      <w:r>
        <w:rPr>
          <w:spacing w:val="12"/>
        </w:rPr>
        <w:t>必须采</w:t>
      </w:r>
      <w:r>
        <w:rPr>
          <w:spacing w:val="2"/>
        </w:rPr>
        <w:t>用阻燃材料进行硫化热补或者与热补有同</w:t>
      </w:r>
      <w:r>
        <w:rPr>
          <w:spacing w:val="3"/>
        </w:rPr>
        <w:t>等效能的冷补</w:t>
      </w:r>
      <w:r>
        <w:rPr>
          <w:rFonts w:hint="eastAsia" w:ascii="MS UI Gothic" w:eastAsia="MS UI Gothic"/>
          <w:spacing w:val="19"/>
          <w:w w:val="80"/>
        </w:rPr>
        <w:t xml:space="preserve">ꎮ </w:t>
      </w:r>
      <w:r>
        <w:rPr>
          <w:spacing w:val="2"/>
        </w:rPr>
        <w:t>在地面热补或者冷补后的</w:t>
      </w:r>
      <w:r>
        <w:rPr>
          <w:spacing w:val="3"/>
        </w:rPr>
        <w:t>橡套电缆</w:t>
      </w:r>
      <w:r>
        <w:rPr>
          <w:rFonts w:hint="eastAsia" w:ascii="MS UI Gothic" w:eastAsia="MS UI Gothic"/>
          <w:spacing w:val="23"/>
          <w:w w:val="80"/>
        </w:rPr>
        <w:t xml:space="preserve">ꎬ </w:t>
      </w:r>
      <w:r>
        <w:rPr>
          <w:spacing w:val="3"/>
        </w:rPr>
        <w:t>必须经浸水耐压试验</w:t>
      </w:r>
      <w:r>
        <w:rPr>
          <w:rFonts w:hint="eastAsia" w:ascii="MS UI Gothic" w:eastAsia="MS UI Gothic"/>
          <w:spacing w:val="23"/>
          <w:w w:val="80"/>
        </w:rPr>
        <w:t xml:space="preserve">ꎬ </w:t>
      </w:r>
      <w:r>
        <w:rPr>
          <w:spacing w:val="2"/>
        </w:rPr>
        <w:t>合格后</w:t>
      </w:r>
      <w:r>
        <w:rPr>
          <w:spacing w:val="3"/>
        </w:rPr>
        <w:t>方可下井使用</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３１５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68" o:spid="_x0000_s1968" o:spt="203" style="height:2.15pt;width:398.25pt;" coordsize="7965,43">
            <o:lock v:ext="edit"/>
            <v:line id="_x0000_s1969" o:spid="_x0000_s1969" o:spt="20" style="position:absolute;left:0;top:39;height:0;width:7965;" stroked="t" coordsize="21600,21600">
              <v:path arrowok="t"/>
              <v:fill focussize="0,0"/>
              <v:stroke weight="0.388031496062992pt" color="#231F20"/>
              <v:imagedata o:title=""/>
              <o:lock v:ext="edit"/>
            </v:line>
            <v:line id="_x0000_s1970" o:spid="_x0000_s197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413"/>
        <w:rPr>
          <w:rFonts w:hint="eastAsia" w:ascii="MS UI Gothic" w:eastAsia="MS UI Gothic"/>
        </w:rPr>
      </w:pPr>
      <w:r>
        <w:rPr>
          <w:rFonts w:hint="eastAsia" w:ascii="MS UI Gothic" w:eastAsia="MS UI Gothic"/>
        </w:rPr>
        <w:t xml:space="preserve">２ </w:t>
      </w:r>
      <w:r>
        <w:t>塑料电缆连接处的机械强度以及电气</w:t>
      </w:r>
      <w:r>
        <w:rPr>
          <w:rFonts w:hint="eastAsia" w:ascii="MS UI Gothic" w:eastAsia="MS UI Gothic"/>
        </w:rPr>
        <w:t xml:space="preserve">、 </w:t>
      </w:r>
      <w:r>
        <w:t>防潮密封</w:t>
      </w:r>
      <w:r>
        <w:rPr>
          <w:rFonts w:hint="eastAsia" w:ascii="MS UI Gothic" w:eastAsia="MS UI Gothic"/>
        </w:rPr>
        <w:t xml:space="preserve">、 </w:t>
      </w:r>
      <w:r>
        <w:t>老化等性能</w:t>
      </w:r>
      <w:r>
        <w:rPr>
          <w:rFonts w:hint="eastAsia" w:ascii="MS UI Gothic" w:eastAsia="MS UI Gothic"/>
          <w:w w:val="85"/>
        </w:rPr>
        <w:t xml:space="preserve">ꎬ </w:t>
      </w:r>
      <w:r>
        <w:t>应当符合该型矿用电缆的技术标准</w:t>
      </w:r>
      <w:r>
        <w:rPr>
          <w:rFonts w:hint="eastAsia" w:ascii="MS UI Gothic" w:eastAsia="MS UI Gothic"/>
          <w:w w:val="85"/>
        </w:rPr>
        <w:t>ꎮ</w:t>
      </w:r>
    </w:p>
    <w:p>
      <w:pPr>
        <w:pStyle w:val="6"/>
        <w:tabs>
          <w:tab w:val="left" w:pos="2012"/>
        </w:tabs>
        <w:spacing w:before="155"/>
        <w:ind w:left="1174" w:firstLine="0"/>
        <w:jc w:val="left"/>
      </w:pPr>
      <w:r>
        <w:rPr>
          <w:spacing w:val="3"/>
          <w:w w:val="105"/>
        </w:rPr>
        <w:t>第五</w:t>
      </w:r>
      <w:r>
        <w:rPr>
          <w:w w:val="105"/>
        </w:rPr>
        <w:t>节</w:t>
      </w:r>
      <w:r>
        <w:rPr>
          <w:w w:val="105"/>
        </w:rPr>
        <w:tab/>
      </w:r>
      <w:r>
        <w:rPr>
          <w:spacing w:val="3"/>
          <w:w w:val="105"/>
        </w:rPr>
        <w:t>井下照明和信</w:t>
      </w:r>
      <w:r>
        <w:rPr>
          <w:w w:val="105"/>
        </w:rPr>
        <w:t>号</w:t>
      </w:r>
    </w:p>
    <w:p>
      <w:pPr>
        <w:pStyle w:val="6"/>
        <w:spacing w:before="10"/>
        <w:ind w:left="0" w:firstLine="0"/>
        <w:jc w:val="left"/>
        <w:rPr>
          <w:sz w:val="16"/>
        </w:rPr>
      </w:pPr>
    </w:p>
    <w:p>
      <w:pPr>
        <w:pStyle w:val="6"/>
        <w:spacing w:line="295" w:lineRule="auto"/>
        <w:ind w:left="440" w:right="1"/>
        <w:rPr>
          <w:rFonts w:hint="eastAsia" w:ascii="MS UI Gothic" w:eastAsia="MS UI Gothic"/>
        </w:rPr>
      </w:pPr>
      <w:r>
        <w:rPr>
          <w:w w:val="105"/>
        </w:rPr>
        <w:t>第四百六十九条 下列地点必须有足</w:t>
      </w:r>
      <w:r>
        <w:rPr>
          <w:w w:val="115"/>
        </w:rPr>
        <w:t>够照明</w:t>
      </w:r>
      <w:r>
        <w:rPr>
          <w:rFonts w:hint="eastAsia" w:ascii="MS UI Gothic" w:eastAsia="MS UI Gothic"/>
          <w:w w:val="235"/>
        </w:rPr>
        <w:t>:</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井底车场及其附近</w:t>
      </w:r>
      <w:r>
        <w:rPr>
          <w:rFonts w:hint="eastAsia" w:ascii="MS UI Gothic" w:eastAsia="MS UI Gothic"/>
          <w:w w:val="80"/>
        </w:rPr>
        <w:t>ꎮ</w:t>
      </w:r>
    </w:p>
    <w:p>
      <w:pPr>
        <w:pStyle w:val="6"/>
        <w:spacing w:before="58"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机电设备硐室</w:t>
      </w:r>
      <w:r>
        <w:rPr>
          <w:rFonts w:hint="eastAsia" w:ascii="MS UI Gothic" w:eastAsia="MS UI Gothic"/>
          <w:w w:val="80"/>
        </w:rPr>
        <w:t xml:space="preserve">、 </w:t>
      </w:r>
      <w:r>
        <w:rPr>
          <w:w w:val="105"/>
        </w:rPr>
        <w:t>调度室</w:t>
      </w:r>
      <w:r>
        <w:rPr>
          <w:rFonts w:hint="eastAsia" w:ascii="MS UI Gothic" w:eastAsia="MS UI Gothic"/>
          <w:w w:val="80"/>
        </w:rPr>
        <w:t xml:space="preserve">、 </w:t>
      </w:r>
      <w:r>
        <w:rPr>
          <w:w w:val="105"/>
        </w:rPr>
        <w:t>机车库</w:t>
      </w:r>
      <w:r>
        <w:rPr>
          <w:rFonts w:hint="eastAsia" w:ascii="MS UI Gothic" w:eastAsia="MS UI Gothic"/>
          <w:w w:val="80"/>
        </w:rPr>
        <w:t xml:space="preserve">、 </w:t>
      </w:r>
      <w:r>
        <w:rPr>
          <w:w w:val="105"/>
        </w:rPr>
        <w:t>爆炸物品库</w:t>
      </w:r>
      <w:r>
        <w:rPr>
          <w:rFonts w:hint="eastAsia" w:ascii="MS UI Gothic" w:eastAsia="MS UI Gothic"/>
          <w:w w:val="80"/>
        </w:rPr>
        <w:t xml:space="preserve">、 </w:t>
      </w:r>
      <w:r>
        <w:rPr>
          <w:w w:val="105"/>
        </w:rPr>
        <w:t>候车室</w:t>
      </w:r>
      <w:r>
        <w:rPr>
          <w:rFonts w:hint="eastAsia" w:ascii="MS UI Gothic" w:eastAsia="MS UI Gothic"/>
          <w:w w:val="80"/>
        </w:rPr>
        <w:t xml:space="preserve">、 </w:t>
      </w:r>
      <w:r>
        <w:rPr>
          <w:w w:val="105"/>
        </w:rPr>
        <w:t>信号站</w:t>
      </w:r>
      <w:r>
        <w:rPr>
          <w:rFonts w:hint="eastAsia" w:ascii="MS UI Gothic" w:eastAsia="MS UI Gothic"/>
          <w:w w:val="80"/>
        </w:rPr>
        <w:t xml:space="preserve">、 </w:t>
      </w:r>
      <w:r>
        <w:rPr>
          <w:w w:val="105"/>
        </w:rPr>
        <w:t>瓦斯抽采泵站等</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spacing w:val="-36"/>
          <w:w w:val="145"/>
        </w:rPr>
        <w:t xml:space="preserve">( </w:t>
      </w:r>
      <w:r>
        <w:rPr>
          <w:spacing w:val="3"/>
          <w:w w:val="105"/>
        </w:rPr>
        <w:t>三</w:t>
      </w:r>
      <w:r>
        <w:rPr>
          <w:rFonts w:hint="eastAsia" w:ascii="MS UI Gothic" w:eastAsia="MS UI Gothic"/>
          <w:spacing w:val="10"/>
          <w:w w:val="145"/>
        </w:rPr>
        <w:t xml:space="preserve">) </w:t>
      </w:r>
      <w:r>
        <w:rPr>
          <w:spacing w:val="5"/>
          <w:w w:val="105"/>
        </w:rPr>
        <w:t>使用机车的主要运输巷道</w:t>
      </w:r>
      <w:r>
        <w:rPr>
          <w:rFonts w:hint="eastAsia" w:ascii="MS UI Gothic" w:eastAsia="MS UI Gothic"/>
          <w:spacing w:val="22"/>
          <w:w w:val="85"/>
        </w:rPr>
        <w:t xml:space="preserve">、 </w:t>
      </w:r>
      <w:r>
        <w:rPr>
          <w:w w:val="105"/>
        </w:rPr>
        <w:t>兼</w:t>
      </w:r>
      <w:r>
        <w:rPr>
          <w:spacing w:val="3"/>
        </w:rPr>
        <w:t>作人行道的集中带式输送机巷道</w:t>
      </w:r>
      <w:r>
        <w:rPr>
          <w:rFonts w:hint="eastAsia" w:ascii="MS UI Gothic" w:eastAsia="MS UI Gothic"/>
          <w:spacing w:val="12"/>
          <w:w w:val="85"/>
        </w:rPr>
        <w:t xml:space="preserve">、 </w:t>
      </w:r>
      <w:r>
        <w:rPr>
          <w:spacing w:val="2"/>
        </w:rPr>
        <w:t>升降人员的绞车道以及升降物料和人行交替使用</w:t>
      </w:r>
      <w:r>
        <w:rPr>
          <w:spacing w:val="-14"/>
          <w:w w:val="105"/>
        </w:rPr>
        <w:t xml:space="preserve">的绞车道 </w:t>
      </w:r>
      <w:r>
        <w:rPr>
          <w:rFonts w:hint="eastAsia" w:ascii="MS UI Gothic" w:eastAsia="MS UI Gothic"/>
          <w:spacing w:val="-40"/>
          <w:w w:val="145"/>
        </w:rPr>
        <w:t xml:space="preserve">( </w:t>
      </w:r>
      <w:r>
        <w:rPr>
          <w:spacing w:val="-3"/>
          <w:w w:val="105"/>
        </w:rPr>
        <w:t xml:space="preserve">照明灯的间距不得大于 </w:t>
      </w:r>
      <w:r>
        <w:rPr>
          <w:rFonts w:hint="eastAsia" w:ascii="MS UI Gothic" w:eastAsia="MS UI Gothic"/>
          <w:spacing w:val="-7"/>
          <w:w w:val="85"/>
        </w:rPr>
        <w:t xml:space="preserve">３０ </w:t>
      </w:r>
      <w:r>
        <w:rPr>
          <w:rFonts w:hint="eastAsia" w:ascii="MS UI Gothic" w:eastAsia="MS UI Gothic"/>
          <w:spacing w:val="4"/>
          <w:w w:val="85"/>
        </w:rPr>
        <w:t>ｍ</w:t>
      </w:r>
      <w:r>
        <w:rPr>
          <w:rFonts w:hint="eastAsia" w:ascii="MS UI Gothic" w:eastAsia="MS UI Gothic"/>
          <w:w w:val="85"/>
        </w:rPr>
        <w:t>ꎬ</w:t>
      </w:r>
      <w:r>
        <w:rPr>
          <w:spacing w:val="2"/>
        </w:rPr>
        <w:t>无轨胶轮车主要运输巷道两侧安装有反光</w:t>
      </w:r>
      <w:r>
        <w:rPr>
          <w:spacing w:val="3"/>
          <w:w w:val="105"/>
        </w:rPr>
        <w:t>标识的不受此限</w:t>
      </w:r>
      <w:r>
        <w:rPr>
          <w:rFonts w:hint="eastAsia" w:ascii="MS UI Gothic" w:eastAsia="MS UI Gothic"/>
          <w:spacing w:val="-35"/>
          <w:w w:val="145"/>
        </w:rPr>
        <w:t xml:space="preserve">) </w:t>
      </w:r>
      <w:r>
        <w:rPr>
          <w:rFonts w:hint="eastAsia" w:asci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w w:val="115"/>
        </w:rPr>
        <w:t xml:space="preserve">( </w:t>
      </w:r>
      <w:r>
        <w:rPr>
          <w:w w:val="110"/>
        </w:rPr>
        <w:t>四</w:t>
      </w:r>
      <w:r>
        <w:rPr>
          <w:rFonts w:hint="eastAsia" w:ascii="MS UI Gothic" w:eastAsia="MS UI Gothic"/>
          <w:w w:val="115"/>
        </w:rPr>
        <w:t xml:space="preserve">) </w:t>
      </w:r>
      <w:r>
        <w:rPr>
          <w:w w:val="110"/>
        </w:rPr>
        <w:t>主要进风巷的交岔点和采区车场</w:t>
      </w:r>
      <w:r>
        <w:rPr>
          <w:rFonts w:hint="eastAsia" w:ascii="MS UI Gothic" w:eastAsia="MS UI Gothic"/>
          <w:w w:val="80"/>
        </w:rPr>
        <w:t>ꎮ</w:t>
      </w:r>
    </w:p>
    <w:p>
      <w:pPr>
        <w:pStyle w:val="6"/>
        <w:spacing w:line="255" w:lineRule="exact"/>
        <w:ind w:left="860" w:firstLine="0"/>
        <w:rPr>
          <w:rFonts w:hint="eastAsia" w:ascii="MS UI Gothic" w:eastAsia="MS UI Gothic"/>
        </w:rPr>
      </w:pPr>
      <w:r>
        <w:rPr>
          <w:rFonts w:hint="eastAsia" w:ascii="MS UI Gothic" w:eastAsia="MS UI Gothic"/>
          <w:spacing w:val="-43"/>
          <w:w w:val="150"/>
        </w:rPr>
        <w:t xml:space="preserve">( </w:t>
      </w:r>
      <w:r>
        <w:rPr>
          <w:spacing w:val="3"/>
          <w:w w:val="110"/>
        </w:rPr>
        <w:t>五</w:t>
      </w:r>
      <w:r>
        <w:rPr>
          <w:rFonts w:hint="eastAsia" w:ascii="MS UI Gothic" w:eastAsia="MS UI Gothic"/>
          <w:spacing w:val="-25"/>
          <w:w w:val="150"/>
        </w:rPr>
        <w:t xml:space="preserve">) </w:t>
      </w:r>
      <w:r>
        <w:rPr>
          <w:spacing w:val="3"/>
          <w:w w:val="110"/>
        </w:rPr>
        <w:t>从地面到井下的专用人行道</w:t>
      </w:r>
      <w:r>
        <w:rPr>
          <w:rFonts w:hint="eastAsia" w:ascii="MS UI Gothic" w:eastAsia="MS UI Gothic"/>
          <w:w w:val="80"/>
        </w:rPr>
        <w:t>ꎮ</w:t>
      </w:r>
    </w:p>
    <w:p>
      <w:pPr>
        <w:pStyle w:val="6"/>
        <w:spacing w:before="51" w:line="295" w:lineRule="auto"/>
        <w:ind w:left="440" w:right="1"/>
        <w:rPr>
          <w:rFonts w:hint="eastAsia" w:ascii="MS UI Gothic" w:eastAsia="MS UI Gothic"/>
        </w:rPr>
      </w:pPr>
      <w:r>
        <w:rPr>
          <w:rFonts w:hint="eastAsia" w:ascii="MS UI Gothic" w:eastAsia="MS UI Gothic"/>
          <w:w w:val="110"/>
        </w:rPr>
        <w:t>(</w:t>
      </w:r>
      <w:r>
        <w:rPr>
          <w:w w:val="110"/>
        </w:rPr>
        <w:t>六</w:t>
      </w:r>
      <w:r>
        <w:rPr>
          <w:rFonts w:hint="eastAsia" w:ascii="MS UI Gothic" w:eastAsia="MS UI Gothic"/>
          <w:w w:val="110"/>
        </w:rPr>
        <w:t xml:space="preserve">) </w:t>
      </w:r>
      <w:r>
        <w:rPr>
          <w:w w:val="110"/>
        </w:rPr>
        <w:t xml:space="preserve">综合机械化采煤工作面 </w:t>
      </w:r>
      <w:r>
        <w:rPr>
          <w:rFonts w:hint="eastAsia" w:ascii="MS UI Gothic" w:eastAsia="MS UI Gothic"/>
          <w:w w:val="110"/>
        </w:rPr>
        <w:t xml:space="preserve">( </w:t>
      </w:r>
      <w:r>
        <w:rPr>
          <w:w w:val="110"/>
        </w:rPr>
        <w:t>照明</w:t>
      </w:r>
      <w:r>
        <w:rPr>
          <w:w w:val="102"/>
        </w:rPr>
        <w:t>灯间距不得大于</w:t>
      </w:r>
      <w:r>
        <w:t xml:space="preserve"> </w:t>
      </w:r>
      <w:r>
        <w:rPr>
          <w:rFonts w:hint="eastAsia" w:ascii="MS UI Gothic" w:eastAsia="MS UI Gothic"/>
          <w:w w:val="75"/>
        </w:rPr>
        <w:t>１５</w:t>
      </w:r>
      <w:r>
        <w:rPr>
          <w:rFonts w:hint="eastAsia" w:ascii="MS UI Gothic" w:eastAsia="MS UI Gothic"/>
        </w:rPr>
        <w:t xml:space="preserve">  </w:t>
      </w:r>
      <w:r>
        <w:rPr>
          <w:rFonts w:hint="eastAsia" w:ascii="MS UI Gothic" w:eastAsia="MS UI Gothic"/>
          <w:w w:val="79"/>
        </w:rPr>
        <w:t>ｍ</w:t>
      </w:r>
      <w:r>
        <w:rPr>
          <w:rFonts w:hint="eastAsia" w:ascii="MS UI Gothic" w:eastAsia="MS UI Gothic"/>
          <w:w w:val="168"/>
        </w:rPr>
        <w:t>)</w:t>
      </w:r>
      <w:r>
        <w:rPr>
          <w:rFonts w:hint="eastAsia" w:ascii="MS UI Gothic" w:eastAsia="MS UI Gothic"/>
        </w:rPr>
        <w:t xml:space="preserve"> </w:t>
      </w:r>
      <w:r>
        <w:rPr>
          <w:rFonts w:hint="eastAsia" w:ascii="MS UI Gothic" w:eastAsia="MS UI Gothic"/>
          <w:w w:val="51"/>
        </w:rPr>
        <w:t>ꎮ</w:t>
      </w:r>
      <w:r>
        <w:rPr>
          <w:rFonts w:hint="eastAsia" w:ascii="MS UI Gothic" w:eastAsia="MS UI Gothic"/>
        </w:rPr>
        <w:t xml:space="preserve">  </w:t>
      </w:r>
      <w:r>
        <w:rPr>
          <w:w w:val="102"/>
        </w:rPr>
        <w:t>地面的通风机</w:t>
      </w:r>
      <w:r>
        <w:rPr>
          <w:w w:val="110"/>
        </w:rPr>
        <w:t>房</w:t>
      </w:r>
      <w:r>
        <w:rPr>
          <w:rFonts w:hint="eastAsia" w:ascii="MS UI Gothic" w:eastAsia="MS UI Gothic"/>
          <w:w w:val="85"/>
        </w:rPr>
        <w:t xml:space="preserve">、 </w:t>
      </w:r>
      <w:r>
        <w:rPr>
          <w:w w:val="110"/>
        </w:rPr>
        <w:t>绞车房</w:t>
      </w:r>
      <w:r>
        <w:rPr>
          <w:rFonts w:hint="eastAsia" w:ascii="MS UI Gothic" w:eastAsia="MS UI Gothic"/>
          <w:w w:val="85"/>
        </w:rPr>
        <w:t xml:space="preserve">、 </w:t>
      </w:r>
      <w:r>
        <w:rPr>
          <w:w w:val="110"/>
        </w:rPr>
        <w:t>压风机房</w:t>
      </w:r>
      <w:r>
        <w:rPr>
          <w:rFonts w:hint="eastAsia" w:ascii="MS UI Gothic" w:eastAsia="MS UI Gothic"/>
          <w:w w:val="85"/>
        </w:rPr>
        <w:t xml:space="preserve">、 </w:t>
      </w:r>
      <w:r>
        <w:rPr>
          <w:w w:val="110"/>
        </w:rPr>
        <w:t>变电所</w:t>
      </w:r>
      <w:r>
        <w:rPr>
          <w:rFonts w:hint="eastAsia" w:ascii="MS UI Gothic" w:eastAsia="MS UI Gothic"/>
          <w:w w:val="85"/>
        </w:rPr>
        <w:t xml:space="preserve">、 </w:t>
      </w:r>
      <w:r>
        <w:rPr>
          <w:w w:val="110"/>
        </w:rPr>
        <w:t>矿调度</w:t>
      </w:r>
      <w:r>
        <w:rPr>
          <w:w w:val="115"/>
        </w:rPr>
        <w:t>室等必须设有应急照明设施</w:t>
      </w:r>
      <w:r>
        <w:rPr>
          <w:rFonts w:hint="eastAsia" w:ascii="MS UI Gothic" w:eastAsia="MS UI Gothic"/>
          <w:w w:val="85"/>
        </w:rPr>
        <w:t>ꎮ</w:t>
      </w:r>
    </w:p>
    <w:p>
      <w:pPr>
        <w:pStyle w:val="6"/>
        <w:spacing w:line="295" w:lineRule="auto"/>
        <w:ind w:left="440" w:right="1"/>
        <w:rPr>
          <w:rFonts w:hint="eastAsia" w:ascii="MS UI Gothic" w:eastAsia="MS UI Gothic"/>
        </w:rPr>
      </w:pPr>
      <w:r>
        <w:rPr>
          <w:w w:val="105"/>
        </w:rPr>
        <w:t>第四百七十条 严禁用电机车架空线作照明电源</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第四百七十一条 矿灯的管理和使用</w:t>
      </w:r>
      <w:r>
        <w:rPr>
          <w:w w:val="110"/>
        </w:rPr>
        <w:t>应当遵守下列规定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40"/>
        </w:rPr>
        <w:t xml:space="preserve">( </w:t>
      </w:r>
      <w:r>
        <w:rPr>
          <w:w w:val="105"/>
        </w:rPr>
        <w:t>一</w:t>
      </w:r>
      <w:r>
        <w:rPr>
          <w:rFonts w:hint="eastAsia" w:ascii="MS UI Gothic" w:eastAsia="MS UI Gothic"/>
          <w:w w:val="140"/>
        </w:rPr>
        <w:t xml:space="preserve">) </w:t>
      </w:r>
      <w:r>
        <w:rPr>
          <w:w w:val="105"/>
        </w:rPr>
        <w:t>矿井完好的矿灯总数</w:t>
      </w:r>
      <w:r>
        <w:rPr>
          <w:rFonts w:hint="eastAsia" w:ascii="MS UI Gothic" w:eastAsia="MS UI Gothic"/>
          <w:w w:val="85"/>
        </w:rPr>
        <w:t xml:space="preserve">ꎬ </w:t>
      </w:r>
      <w:r>
        <w:rPr>
          <w:w w:val="105"/>
        </w:rPr>
        <w:t xml:space="preserve">至少应当比经常用灯的总人数多 </w:t>
      </w:r>
      <w:r>
        <w:rPr>
          <w:rFonts w:hint="eastAsia" w:ascii="MS UI Gothic" w:eastAsia="MS UI Gothic"/>
          <w:w w:val="85"/>
        </w:rPr>
        <w:t>１０</w:t>
      </w:r>
      <w:r>
        <w:rPr>
          <w:w w:val="85"/>
        </w:rPr>
        <w:t xml:space="preserve">％ </w:t>
      </w:r>
      <w:r>
        <w:rPr>
          <w:rFonts w:hint="eastAsia" w:asci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矿灯应当集中统一管理</w:t>
      </w:r>
      <w:r>
        <w:rPr>
          <w:rFonts w:hint="eastAsia" w:ascii="MS UI Gothic" w:eastAsia="MS UI Gothic"/>
          <w:w w:val="80"/>
        </w:rPr>
        <w:t xml:space="preserve">ꎮ </w:t>
      </w:r>
      <w:r>
        <w:rPr>
          <w:w w:val="105"/>
        </w:rPr>
        <w:t>每盏</w:t>
      </w:r>
      <w:r>
        <w:t>矿灯必须编号</w:t>
      </w:r>
      <w:r>
        <w:rPr>
          <w:rFonts w:hint="eastAsia" w:ascii="MS UI Gothic" w:eastAsia="MS UI Gothic"/>
          <w:w w:val="80"/>
        </w:rPr>
        <w:t xml:space="preserve">ꎬ </w:t>
      </w:r>
      <w:r>
        <w:t>经常使用矿灯的人员必须</w:t>
      </w:r>
      <w:r>
        <w:rPr>
          <w:w w:val="105"/>
        </w:rPr>
        <w:t>专人专灯</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45"/>
        </w:rPr>
        <w:t xml:space="preserve">( </w:t>
      </w:r>
      <w:r>
        <w:t>三</w:t>
      </w:r>
      <w:r>
        <w:rPr>
          <w:rFonts w:hint="eastAsia" w:ascii="MS UI Gothic" w:eastAsia="MS UI Gothic"/>
          <w:w w:val="145"/>
        </w:rPr>
        <w:t xml:space="preserve">) </w:t>
      </w:r>
      <w:r>
        <w:t>矿灯应当保持完好</w:t>
      </w:r>
      <w:r>
        <w:rPr>
          <w:rFonts w:hint="eastAsia" w:ascii="MS UI Gothic" w:eastAsia="MS UI Gothic"/>
          <w:w w:val="80"/>
        </w:rPr>
        <w:t xml:space="preserve">ꎬ </w:t>
      </w:r>
      <w:r>
        <w:t>出现亮度不够</w:t>
      </w:r>
      <w:r>
        <w:rPr>
          <w:rFonts w:hint="eastAsia" w:ascii="MS UI Gothic" w:eastAsia="MS UI Gothic"/>
          <w:w w:val="95"/>
        </w:rPr>
        <w:t xml:space="preserve">、 </w:t>
      </w:r>
      <w:r>
        <w:t>电线破损</w:t>
      </w:r>
      <w:r>
        <w:rPr>
          <w:rFonts w:hint="eastAsia" w:ascii="MS UI Gothic" w:eastAsia="MS UI Gothic"/>
          <w:w w:val="95"/>
        </w:rPr>
        <w:t xml:space="preserve">、 </w:t>
      </w:r>
      <w:r>
        <w:t>灯锁失效</w:t>
      </w:r>
      <w:r>
        <w:rPr>
          <w:rFonts w:hint="eastAsia" w:ascii="MS UI Gothic" w:eastAsia="MS UI Gothic"/>
          <w:w w:val="95"/>
        </w:rPr>
        <w:t xml:space="preserve">、 </w:t>
      </w:r>
      <w:r>
        <w:t>灯头密封不严</w:t>
      </w:r>
      <w:r>
        <w:rPr>
          <w:rFonts w:hint="eastAsia" w:ascii="MS UI Gothic" w:eastAsia="MS UI Gothic"/>
          <w:w w:val="95"/>
        </w:rPr>
        <w:t xml:space="preserve">、 </w:t>
      </w:r>
      <w:r>
        <w:t>灯头圈松动</w:t>
      </w:r>
      <w:r>
        <w:rPr>
          <w:rFonts w:hint="eastAsia" w:ascii="MS UI Gothic" w:eastAsia="MS UI Gothic"/>
          <w:w w:val="95"/>
        </w:rPr>
        <w:t xml:space="preserve">、 </w:t>
      </w:r>
      <w:r>
        <w:t>玻璃破裂等情况时</w:t>
      </w:r>
      <w:r>
        <w:rPr>
          <w:rFonts w:hint="eastAsia" w:ascii="MS UI Gothic" w:eastAsia="MS UI Gothic"/>
          <w:w w:val="80"/>
        </w:rPr>
        <w:t xml:space="preserve">ꎬ </w:t>
      </w:r>
      <w:r>
        <w:t>严禁发放</w:t>
      </w:r>
      <w:r>
        <w:rPr>
          <w:rFonts w:hint="eastAsia" w:ascii="MS UI Gothic" w:eastAsia="MS UI Gothic"/>
          <w:w w:val="80"/>
        </w:rPr>
        <w:t xml:space="preserve">ꎮ </w:t>
      </w:r>
      <w:r>
        <w:t>发出的矿灯</w:t>
      </w:r>
      <w:r>
        <w:rPr>
          <w:rFonts w:hint="eastAsia" w:ascii="MS UI Gothic" w:eastAsia="MS UI Gothic"/>
          <w:w w:val="80"/>
        </w:rPr>
        <w:t xml:space="preserve">ꎬ </w:t>
      </w:r>
      <w:r>
        <w:t xml:space="preserve">最低应当能连续正常使用 </w:t>
      </w:r>
      <w:r>
        <w:rPr>
          <w:rFonts w:hint="eastAsia" w:ascii="MS UI Gothic" w:eastAsia="MS UI Gothic"/>
          <w:w w:val="95"/>
        </w:rPr>
        <w:t>１１ ｈ</w:t>
      </w:r>
      <w:r>
        <w:rPr>
          <w:rFonts w:hint="eastAsia" w:ascii="MS UI Gothic" w:eastAsia="MS UI Gothic"/>
          <w:w w:val="80"/>
        </w:rPr>
        <w:t>ꎮ</w:t>
      </w:r>
    </w:p>
    <w:p>
      <w:pPr>
        <w:pStyle w:val="6"/>
        <w:spacing w:line="252" w:lineRule="exact"/>
        <w:ind w:left="860" w:firstLine="0"/>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严禁矿灯使用人员拆开</w:t>
      </w:r>
      <w:r>
        <w:rPr>
          <w:rFonts w:hint="eastAsia" w:ascii="MS UI Gothic" w:eastAsia="MS UI Gothic"/>
        </w:rPr>
        <w:t xml:space="preserve">、 </w:t>
      </w:r>
      <w:r>
        <w:rPr>
          <w:w w:val="110"/>
        </w:rPr>
        <w:t>敲</w:t>
      </w:r>
    </w:p>
    <w:p>
      <w:pPr>
        <w:pStyle w:val="6"/>
        <w:spacing w:before="124" w:line="295" w:lineRule="auto"/>
        <w:ind w:left="381" w:right="126" w:firstLine="0"/>
        <w:rPr>
          <w:rFonts w:hint="eastAsia" w:ascii="MS UI Gothic" w:eastAsia="MS UI Gothic"/>
        </w:rPr>
      </w:pPr>
      <w:r>
        <w:br w:type="column"/>
      </w:r>
      <w:r>
        <w:t>打</w:t>
      </w:r>
      <w:r>
        <w:rPr>
          <w:rFonts w:hint="eastAsia" w:ascii="MS UI Gothic" w:eastAsia="MS UI Gothic"/>
          <w:w w:val="80"/>
        </w:rPr>
        <w:t xml:space="preserve">、 </w:t>
      </w:r>
      <w:r>
        <w:t>撞击矿灯</w:t>
      </w:r>
      <w:r>
        <w:rPr>
          <w:rFonts w:hint="eastAsia" w:ascii="MS UI Gothic" w:eastAsia="MS UI Gothic"/>
          <w:w w:val="80"/>
        </w:rPr>
        <w:t xml:space="preserve">ꎮ </w:t>
      </w:r>
      <w:r>
        <w:t xml:space="preserve">人员出井后 </w:t>
      </w:r>
      <w:r>
        <w:rPr>
          <w:rFonts w:hint="eastAsia" w:ascii="MS UI Gothic" w:eastAsia="MS UI Gothic"/>
          <w:w w:val="150"/>
        </w:rPr>
        <w:t xml:space="preserve">( </w:t>
      </w:r>
      <w:r>
        <w:t>地面领用矿灯人员</w:t>
      </w:r>
      <w:r>
        <w:rPr>
          <w:rFonts w:hint="eastAsia" w:ascii="MS UI Gothic" w:eastAsia="MS UI Gothic"/>
          <w:w w:val="80"/>
        </w:rPr>
        <w:t xml:space="preserve">ꎬ </w:t>
      </w:r>
      <w:r>
        <w:t>在下班后</w:t>
      </w:r>
      <w:r>
        <w:rPr>
          <w:rFonts w:hint="eastAsia" w:ascii="MS UI Gothic" w:eastAsia="MS UI Gothic"/>
          <w:w w:val="150"/>
        </w:rPr>
        <w:t xml:space="preserve">) </w:t>
      </w:r>
      <w:r>
        <w:rPr>
          <w:rFonts w:hint="eastAsia" w:ascii="MS UI Gothic" w:eastAsia="MS UI Gothic"/>
          <w:w w:val="80"/>
        </w:rPr>
        <w:t xml:space="preserve">ꎬ </w:t>
      </w:r>
      <w:r>
        <w:t>必须立即将矿灯交还灯房</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t>五</w:t>
      </w:r>
      <w:r>
        <w:rPr>
          <w:rFonts w:hint="eastAsia" w:ascii="MS UI Gothic" w:eastAsia="MS UI Gothic"/>
          <w:w w:val="150"/>
        </w:rPr>
        <w:t xml:space="preserve">) </w:t>
      </w:r>
      <w:r>
        <w:t xml:space="preserve">在每次换班 </w:t>
      </w:r>
      <w:r>
        <w:rPr>
          <w:rFonts w:hint="eastAsia" w:ascii="MS UI Gothic" w:eastAsia="MS UI Gothic"/>
          <w:w w:val="80"/>
        </w:rPr>
        <w:t xml:space="preserve">２ </w:t>
      </w:r>
      <w:r>
        <w:rPr>
          <w:rFonts w:hint="eastAsia" w:ascii="MS UI Gothic" w:eastAsia="MS UI Gothic"/>
        </w:rPr>
        <w:t xml:space="preserve">ｈ </w:t>
      </w:r>
      <w:r>
        <w:t>内</w:t>
      </w:r>
      <w:r>
        <w:rPr>
          <w:rFonts w:hint="eastAsia" w:ascii="MS UI Gothic" w:eastAsia="MS UI Gothic"/>
          <w:w w:val="80"/>
        </w:rPr>
        <w:t xml:space="preserve">ꎬ </w:t>
      </w:r>
      <w:r>
        <w:t>必须把没有还灯人员的名单报告矿调度室</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矿灯应当使用免维护电池</w:t>
      </w:r>
      <w:r>
        <w:rPr>
          <w:rFonts w:hint="eastAsia" w:ascii="MS UI Gothic" w:eastAsia="MS UI Gothic"/>
          <w:w w:val="80"/>
        </w:rPr>
        <w:t xml:space="preserve">ꎬ </w:t>
      </w:r>
      <w:r>
        <w:rPr>
          <w:w w:val="105"/>
        </w:rPr>
        <w:t>并</w:t>
      </w:r>
      <w:r>
        <w:t>具有过流和短路保护功能</w:t>
      </w:r>
      <w:r>
        <w:rPr>
          <w:rFonts w:hint="eastAsia" w:ascii="MS UI Gothic" w:eastAsia="MS UI Gothic"/>
          <w:w w:val="80"/>
        </w:rPr>
        <w:t xml:space="preserve">ꎮ </w:t>
      </w:r>
      <w:r>
        <w:t>采用锂离子蓄</w:t>
      </w:r>
      <w:r>
        <w:rPr>
          <w:w w:val="105"/>
        </w:rPr>
        <w:t>电池的矿灯还应当具有防过充电</w:t>
      </w:r>
      <w:r>
        <w:rPr>
          <w:rFonts w:hint="eastAsia" w:ascii="MS UI Gothic" w:eastAsia="MS UI Gothic"/>
          <w:w w:val="80"/>
        </w:rPr>
        <w:t xml:space="preserve">、 </w:t>
      </w:r>
      <w:r>
        <w:rPr>
          <w:w w:val="105"/>
        </w:rPr>
        <w:t>过放电功能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加装其他功能的矿灯</w:t>
      </w:r>
      <w:r>
        <w:rPr>
          <w:rFonts w:hint="eastAsia" w:ascii="MS UI Gothic" w:eastAsia="MS UI Gothic"/>
          <w:w w:val="80"/>
        </w:rPr>
        <w:t xml:space="preserve">ꎬ </w:t>
      </w:r>
      <w:r>
        <w:rPr>
          <w:w w:val="105"/>
        </w:rPr>
        <w:t>必须保证矿灯的正常使用要求</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第四百七十二条 矿灯房应当符合下</w:t>
      </w:r>
      <w:r>
        <w:rPr>
          <w:w w:val="115"/>
        </w:rPr>
        <w:t>列要求</w:t>
      </w:r>
      <w:r>
        <w:rPr>
          <w:rFonts w:hint="eastAsia" w:ascii="MS UI Gothic" w:eastAsia="MS UI Gothic"/>
          <w:w w:val="235"/>
        </w:rPr>
        <w:t>:</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用不燃性材料建筑</w:t>
      </w:r>
      <w:r>
        <w:rPr>
          <w:rFonts w:hint="eastAsia" w:ascii="MS UI Gothic" w:eastAsia="MS UI Gothic"/>
          <w:w w:val="80"/>
        </w:rPr>
        <w:t>ꎮ</w:t>
      </w:r>
    </w:p>
    <w:p>
      <w:pPr>
        <w:pStyle w:val="6"/>
        <w:spacing w:before="49"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取暖用蒸汽或者热水管式设备</w:t>
      </w:r>
      <w:r>
        <w:rPr>
          <w:rFonts w:hint="eastAsia" w:ascii="MS UI Gothic" w:eastAsia="MS UI Gothic"/>
          <w:w w:val="80"/>
        </w:rPr>
        <w:t xml:space="preserve">ꎬ </w:t>
      </w:r>
      <w:r>
        <w:rPr>
          <w:w w:val="105"/>
        </w:rPr>
        <w:t>禁止采用明火取暖</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有良好的通风装置</w:t>
      </w:r>
      <w:r>
        <w:rPr>
          <w:rFonts w:hint="eastAsia" w:ascii="MS UI Gothic" w:eastAsia="MS UI Gothic"/>
          <w:w w:val="80"/>
        </w:rPr>
        <w:t xml:space="preserve">ꎬ </w:t>
      </w:r>
      <w:r>
        <w:rPr>
          <w:w w:val="105"/>
        </w:rPr>
        <w:t>灯房和仓库内严禁烟火</w:t>
      </w:r>
      <w:r>
        <w:rPr>
          <w:rFonts w:hint="eastAsia" w:ascii="MS UI Gothic" w:eastAsia="MS UI Gothic"/>
          <w:w w:val="80"/>
        </w:rPr>
        <w:t xml:space="preserve">ꎬ </w:t>
      </w:r>
      <w:r>
        <w:rPr>
          <w:w w:val="105"/>
        </w:rPr>
        <w:t>并备有灭火器材</w:t>
      </w:r>
      <w:r>
        <w:rPr>
          <w:rFonts w:hint="eastAsia" w:ascii="MS UI Gothic" w:eastAsia="MS UI Gothic"/>
          <w:w w:val="80"/>
        </w:rPr>
        <w:t>ꎮ</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有与矿灯匹配的充电装置</w:t>
      </w:r>
      <w:r>
        <w:rPr>
          <w:rFonts w:hint="eastAsia" w:ascii="MS UI Gothic" w:eastAsia="MS UI Gothic"/>
          <w:w w:val="80"/>
        </w:rPr>
        <w:t>ꎮ</w:t>
      </w:r>
    </w:p>
    <w:p>
      <w:pPr>
        <w:pStyle w:val="6"/>
        <w:spacing w:before="57" w:line="295" w:lineRule="auto"/>
        <w:ind w:left="381" w:right="126"/>
        <w:rPr>
          <w:rFonts w:hint="eastAsia" w:ascii="MS UI Gothic" w:eastAsia="MS UI Gothic"/>
        </w:rPr>
      </w:pPr>
      <w:r>
        <w:rPr>
          <w:w w:val="105"/>
        </w:rPr>
        <w:t>第四百七十三条 电气信号应当符合</w:t>
      </w:r>
      <w:r>
        <w:rPr>
          <w:w w:val="110"/>
        </w:rPr>
        <w:t>下列要求</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3"/>
          <w:w w:val="150"/>
        </w:rPr>
        <w:t xml:space="preserve">) </w:t>
      </w:r>
      <w:r>
        <w:rPr>
          <w:spacing w:val="5"/>
          <w:w w:val="105"/>
        </w:rPr>
        <w:t>矿井中的电气信号</w:t>
      </w:r>
      <w:r>
        <w:rPr>
          <w:rFonts w:hint="eastAsia" w:ascii="MS UI Gothic" w:eastAsia="MS UI Gothic"/>
          <w:spacing w:val="13"/>
          <w:w w:val="80"/>
        </w:rPr>
        <w:t xml:space="preserve">ꎬ </w:t>
      </w:r>
      <w:r>
        <w:rPr>
          <w:spacing w:val="8"/>
          <w:w w:val="105"/>
        </w:rPr>
        <w:t>除信号集</w:t>
      </w:r>
      <w:r>
        <w:rPr>
          <w:spacing w:val="3"/>
        </w:rPr>
        <w:t>中闭塞外应当能同时发声和发光</w:t>
      </w:r>
      <w:r>
        <w:rPr>
          <w:rFonts w:hint="eastAsia" w:ascii="MS UI Gothic" w:eastAsia="MS UI Gothic"/>
          <w:spacing w:val="20"/>
          <w:w w:val="80"/>
        </w:rPr>
        <w:t xml:space="preserve">ꎮ </w:t>
      </w:r>
      <w:r>
        <w:rPr>
          <w:spacing w:val="1"/>
        </w:rPr>
        <w:t>重要信</w:t>
      </w:r>
      <w:r>
        <w:rPr>
          <w:spacing w:val="23"/>
        </w:rPr>
        <w:t>号装置附近</w:t>
      </w:r>
      <w:r>
        <w:rPr>
          <w:rFonts w:hint="eastAsia" w:ascii="MS UI Gothic" w:eastAsia="MS UI Gothic"/>
          <w:spacing w:val="1"/>
          <w:w w:val="80"/>
        </w:rPr>
        <w:t xml:space="preserve">ꎬ </w:t>
      </w:r>
      <w:r>
        <w:rPr>
          <w:spacing w:val="30"/>
        </w:rPr>
        <w:t>应当标明信号的种类和</w:t>
      </w:r>
      <w:r>
        <w:rPr>
          <w:spacing w:val="3"/>
          <w:w w:val="105"/>
        </w:rPr>
        <w:t>用途</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升降人员和主要井口绞车的信</w:t>
      </w:r>
      <w:r>
        <w:rPr>
          <w:spacing w:val="3"/>
        </w:rPr>
        <w:t>号装置的直接供电线路上</w:t>
      </w:r>
      <w:r>
        <w:rPr>
          <w:rFonts w:hint="eastAsia" w:ascii="MS UI Gothic" w:eastAsia="MS UI Gothic"/>
          <w:spacing w:val="20"/>
          <w:w w:val="80"/>
        </w:rPr>
        <w:t xml:space="preserve">ꎬ </w:t>
      </w:r>
      <w:r>
        <w:rPr>
          <w:spacing w:val="2"/>
        </w:rPr>
        <w:t>严禁分接其他</w:t>
      </w:r>
      <w:r>
        <w:rPr>
          <w:spacing w:val="3"/>
          <w:w w:val="105"/>
        </w:rPr>
        <w:t>负荷</w:t>
      </w:r>
      <w:r>
        <w:rPr>
          <w:rFonts w:hint="eastAsia" w:ascii="MS UI Gothic" w:eastAsia="MS UI Gothic"/>
          <w:w w:val="80"/>
        </w:rPr>
        <w:t>ꎮ</w:t>
      </w:r>
    </w:p>
    <w:p>
      <w:pPr>
        <w:pStyle w:val="6"/>
        <w:spacing w:line="295" w:lineRule="auto"/>
        <w:ind w:left="381" w:right="126"/>
        <w:rPr>
          <w:rFonts w:hint="eastAsia" w:ascii="MS UI Gothic" w:eastAsia="MS UI Gothic"/>
        </w:rPr>
      </w:pPr>
      <w:r>
        <w:t>第四百七十四条 井下照明和信号的配电装置</w:t>
      </w:r>
      <w:r>
        <w:rPr>
          <w:rFonts w:hint="eastAsia" w:ascii="MS UI Gothic" w:eastAsia="MS UI Gothic"/>
          <w:w w:val="80"/>
        </w:rPr>
        <w:t xml:space="preserve">ꎬ </w:t>
      </w:r>
      <w:r>
        <w:t>应当具有短路</w:t>
      </w:r>
      <w:r>
        <w:rPr>
          <w:rFonts w:hint="eastAsia" w:ascii="MS UI Gothic" w:eastAsia="MS UI Gothic"/>
          <w:w w:val="80"/>
        </w:rPr>
        <w:t xml:space="preserve">、 </w:t>
      </w:r>
      <w:r>
        <w:t>过负荷和漏电保护的照明信号综合保护功能</w:t>
      </w:r>
      <w:r>
        <w:rPr>
          <w:rFonts w:hint="eastAsia" w:ascii="MS UI Gothic" w:eastAsia="MS UI Gothic"/>
          <w:w w:val="80"/>
        </w:rPr>
        <w:t>ꎮ</w:t>
      </w:r>
    </w:p>
    <w:p>
      <w:pPr>
        <w:pStyle w:val="6"/>
        <w:tabs>
          <w:tab w:val="left" w:pos="1638"/>
        </w:tabs>
        <w:spacing w:before="148"/>
        <w:ind w:left="800" w:firstLine="0"/>
        <w:jc w:val="left"/>
      </w:pPr>
      <w:r>
        <w:rPr>
          <w:spacing w:val="3"/>
          <w:w w:val="105"/>
        </w:rPr>
        <w:t>第六</w:t>
      </w:r>
      <w:r>
        <w:rPr>
          <w:w w:val="105"/>
        </w:rPr>
        <w:t>节</w:t>
      </w:r>
      <w:r>
        <w:rPr>
          <w:w w:val="105"/>
        </w:rPr>
        <w:tab/>
      </w:r>
      <w:r>
        <w:rPr>
          <w:spacing w:val="3"/>
          <w:w w:val="105"/>
        </w:rPr>
        <w:t>井下电气设备保护接</w:t>
      </w:r>
      <w:r>
        <w:rPr>
          <w:w w:val="105"/>
        </w:rPr>
        <w:t>地</w:t>
      </w:r>
    </w:p>
    <w:p>
      <w:pPr>
        <w:pStyle w:val="6"/>
        <w:spacing w:before="10"/>
        <w:ind w:left="0" w:firstLine="0"/>
        <w:jc w:val="left"/>
        <w:rPr>
          <w:sz w:val="16"/>
        </w:rPr>
      </w:pPr>
    </w:p>
    <w:p>
      <w:pPr>
        <w:pStyle w:val="6"/>
        <w:spacing w:line="295" w:lineRule="auto"/>
        <w:ind w:left="381" w:right="126"/>
        <w:rPr>
          <w:rFonts w:hint="eastAsia" w:ascii="MS UI Gothic" w:eastAsia="MS UI Gothic"/>
        </w:rPr>
      </w:pPr>
      <w:r>
        <w:rPr>
          <w:w w:val="105"/>
        </w:rPr>
        <w:t xml:space="preserve">第四百七十五条 电压在 </w:t>
      </w:r>
      <w:r>
        <w:rPr>
          <w:rFonts w:hint="eastAsia" w:ascii="MS UI Gothic" w:eastAsia="MS UI Gothic"/>
          <w:w w:val="85"/>
        </w:rPr>
        <w:t xml:space="preserve">３６ </w:t>
      </w:r>
      <w:r>
        <w:rPr>
          <w:rFonts w:hint="eastAsia" w:ascii="MS UI Gothic" w:eastAsia="MS UI Gothic"/>
          <w:w w:val="105"/>
        </w:rPr>
        <w:t xml:space="preserve">Ｖ </w:t>
      </w:r>
      <w:r>
        <w:rPr>
          <w:w w:val="105"/>
        </w:rPr>
        <w:t>以上</w:t>
      </w:r>
      <w:r>
        <w:t>和由于绝缘损坏可能带有危险电压的电气</w:t>
      </w:r>
      <w:r>
        <w:rPr>
          <w:w w:val="105"/>
        </w:rPr>
        <w:t>设备的金属外壳</w:t>
      </w:r>
      <w:r>
        <w:rPr>
          <w:rFonts w:hint="eastAsia" w:ascii="MS UI Gothic" w:eastAsia="MS UI Gothic"/>
          <w:w w:val="85"/>
        </w:rPr>
        <w:t xml:space="preserve">、 </w:t>
      </w:r>
      <w:r>
        <w:rPr>
          <w:w w:val="105"/>
        </w:rPr>
        <w:t>构架</w:t>
      </w:r>
      <w:r>
        <w:rPr>
          <w:rFonts w:hint="eastAsia" w:ascii="MS UI Gothic" w:eastAsia="MS UI Gothic"/>
          <w:w w:val="85"/>
        </w:rPr>
        <w:t xml:space="preserve">ꎬ </w:t>
      </w:r>
      <w:r>
        <w:rPr>
          <w:w w:val="105"/>
        </w:rPr>
        <w:t>铠装电缆的钢带</w:t>
      </w:r>
      <w:r>
        <w:rPr>
          <w:rFonts w:hint="eastAsia" w:ascii="MS UI Gothic" w:eastAsia="MS UI Gothic"/>
          <w:w w:val="145"/>
        </w:rPr>
        <w:t xml:space="preserve">( </w:t>
      </w:r>
      <w:r>
        <w:rPr>
          <w:w w:val="105"/>
        </w:rPr>
        <w:t>钢丝</w:t>
      </w:r>
      <w:r>
        <w:rPr>
          <w:rFonts w:hint="eastAsia" w:ascii="MS UI Gothic" w:eastAsia="MS UI Gothic"/>
          <w:w w:val="145"/>
        </w:rPr>
        <w:t>)</w:t>
      </w:r>
      <w:r>
        <w:rPr>
          <w:rFonts w:hint="eastAsia" w:ascii="MS UI Gothic" w:eastAsia="MS UI Gothic"/>
          <w:w w:val="85"/>
        </w:rPr>
        <w:t xml:space="preserve">、 </w:t>
      </w:r>
      <w:r>
        <w:rPr>
          <w:w w:val="105"/>
        </w:rPr>
        <w:t xml:space="preserve">铅皮 </w:t>
      </w:r>
      <w:r>
        <w:rPr>
          <w:rFonts w:hint="eastAsia" w:ascii="MS UI Gothic" w:eastAsia="MS UI Gothic"/>
          <w:w w:val="145"/>
        </w:rPr>
        <w:t xml:space="preserve">( </w:t>
      </w:r>
      <w:r>
        <w:rPr>
          <w:w w:val="105"/>
        </w:rPr>
        <w:t>屏蔽护套</w:t>
      </w:r>
      <w:r>
        <w:rPr>
          <w:rFonts w:hint="eastAsia" w:ascii="MS UI Gothic" w:eastAsia="MS UI Gothic"/>
          <w:w w:val="145"/>
        </w:rPr>
        <w:t xml:space="preserve">) </w:t>
      </w:r>
      <w:r>
        <w:rPr>
          <w:w w:val="105"/>
        </w:rPr>
        <w:t>等必须有保护接地</w:t>
      </w:r>
      <w:r>
        <w:rPr>
          <w:rFonts w:hint="eastAsia" w:ascii="MS UI Gothic" w:eastAsia="MS UI Gothic"/>
          <w:w w:val="85"/>
        </w:rPr>
        <w:t>ꎮ</w:t>
      </w:r>
    </w:p>
    <w:p>
      <w:pPr>
        <w:pStyle w:val="6"/>
        <w:tabs>
          <w:tab w:val="left" w:pos="2477"/>
        </w:tabs>
        <w:spacing w:line="252" w:lineRule="exact"/>
        <w:ind w:left="800" w:firstLine="0"/>
        <w:jc w:val="left"/>
      </w:pPr>
      <w:r>
        <w:rPr>
          <w:spacing w:val="3"/>
          <w:w w:val="105"/>
        </w:rPr>
        <w:t>第四百七十六</w:t>
      </w:r>
      <w:r>
        <w:rPr>
          <w:w w:val="105"/>
        </w:rPr>
        <w:t>条</w:t>
      </w:r>
      <w:r>
        <w:rPr>
          <w:w w:val="105"/>
        </w:rPr>
        <w:tab/>
      </w:r>
      <w:r>
        <w:rPr>
          <w:spacing w:val="3"/>
          <w:w w:val="105"/>
        </w:rPr>
        <w:t>任一组主接地极</w:t>
      </w:r>
      <w:r>
        <w:rPr>
          <w:w w:val="105"/>
        </w:rPr>
        <w:t>断</w:t>
      </w:r>
    </w:p>
    <w:p>
      <w:pPr>
        <w:spacing w:after="0" w:line="252"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３１６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71" o:spid="_x0000_s1971" o:spt="203" style="height:2.15pt;width:398.25pt;" coordsize="7965,43">
            <o:lock v:ext="edit"/>
            <v:line id="_x0000_s1972" o:spid="_x0000_s1972" o:spt="20" style="position:absolute;left:0;top:39;height:0;width:7965;" stroked="t" coordsize="21600,21600">
              <v:path arrowok="t"/>
              <v:fill focussize="0,0"/>
              <v:stroke weight="0.388031496062992pt" color="#231F20"/>
              <v:imagedata o:title=""/>
              <o:lock v:ext="edit"/>
            </v:line>
            <v:line id="_x0000_s1973" o:spid="_x0000_s197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hAnsi="MS UI Gothic" w:eastAsia="MS UI Gothic"/>
        </w:rPr>
      </w:pPr>
      <w:r>
        <w:t>开时</w:t>
      </w:r>
      <w:r>
        <w:rPr>
          <w:rFonts w:hint="eastAsia" w:ascii="MS UI Gothic" w:hAnsi="MS UI Gothic" w:eastAsia="MS UI Gothic"/>
          <w:w w:val="80"/>
        </w:rPr>
        <w:t xml:space="preserve">ꎬ </w:t>
      </w:r>
      <w:r>
        <w:t>井下总接地网上任一保护接地点的接地电阻值</w:t>
      </w:r>
      <w:r>
        <w:rPr>
          <w:rFonts w:hint="eastAsia" w:ascii="MS UI Gothic" w:hAnsi="MS UI Gothic" w:eastAsia="MS UI Gothic"/>
          <w:w w:val="80"/>
        </w:rPr>
        <w:t xml:space="preserve">ꎬ </w:t>
      </w:r>
      <w:r>
        <w:t xml:space="preserve">不得超过 </w:t>
      </w:r>
      <w:r>
        <w:rPr>
          <w:rFonts w:hint="eastAsia" w:ascii="MS UI Gothic" w:hAnsi="MS UI Gothic" w:eastAsia="MS UI Gothic"/>
          <w:w w:val="80"/>
        </w:rPr>
        <w:t xml:space="preserve">２ Ωꎮ </w:t>
      </w:r>
      <w:r>
        <w:t>每一移动式和手持式电气设备至局部接地极之间的保护接地用的电缆芯线和接地连接导线的电阻值</w:t>
      </w:r>
      <w:r>
        <w:rPr>
          <w:rFonts w:hint="eastAsia" w:ascii="MS UI Gothic" w:hAnsi="MS UI Gothic" w:eastAsia="MS UI Gothic"/>
          <w:w w:val="80"/>
        </w:rPr>
        <w:t xml:space="preserve">ꎬ </w:t>
      </w:r>
      <w:r>
        <w:t xml:space="preserve">不得超过 </w:t>
      </w:r>
      <w:r>
        <w:rPr>
          <w:rFonts w:hint="eastAsia" w:ascii="MS UI Gothic" w:hAnsi="MS UI Gothic" w:eastAsia="MS UI Gothic"/>
          <w:w w:val="80"/>
        </w:rPr>
        <w:t>１ Ωꎮ</w:t>
      </w:r>
    </w:p>
    <w:p>
      <w:pPr>
        <w:pStyle w:val="6"/>
        <w:spacing w:line="295" w:lineRule="auto"/>
        <w:ind w:right="38"/>
        <w:rPr>
          <w:rFonts w:hint="eastAsia" w:ascii="MS UI Gothic" w:eastAsia="MS UI Gothic"/>
        </w:rPr>
      </w:pPr>
      <w:r>
        <w:rPr>
          <w:w w:val="105"/>
        </w:rPr>
        <w:t xml:space="preserve">第四百七十七条 所有电气设备的保护接地装置 </w:t>
      </w:r>
      <w:r>
        <w:rPr>
          <w:rFonts w:hint="eastAsia" w:ascii="MS UI Gothic" w:eastAsia="MS UI Gothic"/>
          <w:w w:val="150"/>
        </w:rPr>
        <w:t xml:space="preserve">( </w:t>
      </w:r>
      <w:r>
        <w:rPr>
          <w:w w:val="105"/>
        </w:rPr>
        <w:t>包括电缆的铠装</w:t>
      </w:r>
      <w:r>
        <w:rPr>
          <w:rFonts w:hint="eastAsia" w:ascii="MS UI Gothic" w:eastAsia="MS UI Gothic"/>
          <w:w w:val="80"/>
        </w:rPr>
        <w:t xml:space="preserve">、 </w:t>
      </w:r>
      <w:r>
        <w:rPr>
          <w:w w:val="105"/>
        </w:rPr>
        <w:t>铅皮</w:t>
      </w:r>
      <w:r>
        <w:rPr>
          <w:rFonts w:hint="eastAsia" w:ascii="MS UI Gothic" w:eastAsia="MS UI Gothic"/>
          <w:w w:val="80"/>
        </w:rPr>
        <w:t xml:space="preserve">、 </w:t>
      </w:r>
      <w:r>
        <w:rPr>
          <w:w w:val="105"/>
        </w:rPr>
        <w:t>接地芯线</w:t>
      </w:r>
      <w:r>
        <w:rPr>
          <w:rFonts w:hint="eastAsia" w:ascii="MS UI Gothic" w:eastAsia="MS UI Gothic"/>
          <w:w w:val="150"/>
        </w:rPr>
        <w:t xml:space="preserve">) </w:t>
      </w:r>
      <w:r>
        <w:rPr>
          <w:w w:val="105"/>
        </w:rPr>
        <w:t>和局部接地装置</w:t>
      </w:r>
      <w:r>
        <w:rPr>
          <w:rFonts w:hint="eastAsia" w:ascii="MS UI Gothic" w:eastAsia="MS UI Gothic"/>
          <w:w w:val="80"/>
        </w:rPr>
        <w:t xml:space="preserve">ꎬ </w:t>
      </w:r>
      <w:r>
        <w:rPr>
          <w:w w:val="105"/>
        </w:rPr>
        <w:t xml:space="preserve">应当与主接地极连接成 </w:t>
      </w:r>
      <w:r>
        <w:rPr>
          <w:rFonts w:hint="eastAsia" w:ascii="MS UI Gothic" w:eastAsia="MS UI Gothic"/>
          <w:w w:val="80"/>
        </w:rPr>
        <w:t xml:space="preserve">１ </w:t>
      </w:r>
      <w:r>
        <w:rPr>
          <w:w w:val="105"/>
        </w:rPr>
        <w:t>个总接地网</w:t>
      </w:r>
      <w:r>
        <w:rPr>
          <w:rFonts w:hint="eastAsia" w:ascii="MS UI Gothic" w:eastAsia="MS UI Gothic"/>
          <w:w w:val="80"/>
        </w:rPr>
        <w:t>ꎮ</w:t>
      </w:r>
    </w:p>
    <w:p>
      <w:pPr>
        <w:pStyle w:val="6"/>
        <w:spacing w:line="290" w:lineRule="auto"/>
        <w:ind w:right="38"/>
        <w:jc w:val="right"/>
      </w:pPr>
      <w:r>
        <w:pict>
          <v:shape id="_x0000_s1974" o:spid="_x0000_s1974" o:spt="202" type="#_x0000_t202" style="position:absolute;left:0pt;margin-left:54.9pt;margin-top:12pt;height:24.35pt;width:5.15pt;mso-position-horizontal-relative:page;z-index:-27572121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t>主接地极应当在主</w:t>
      </w:r>
      <w:r>
        <w:rPr>
          <w:rFonts w:hint="eastAsia" w:ascii="MS UI Gothic" w:eastAsia="MS UI Gothic"/>
          <w:w w:val="85"/>
        </w:rPr>
        <w:t xml:space="preserve">、 </w:t>
      </w:r>
      <w:r>
        <w:t>副水仓中各埋设块</w:t>
      </w:r>
      <w:r>
        <w:rPr>
          <w:rFonts w:hint="eastAsia" w:ascii="MS UI Gothic" w:eastAsia="MS UI Gothic"/>
          <w:w w:val="85"/>
        </w:rPr>
        <w:t xml:space="preserve">ꎮ </w:t>
      </w:r>
      <w:r>
        <w:t>主接地极应当用耐腐蚀的钢板制成</w:t>
      </w:r>
      <w:r>
        <w:rPr>
          <w:rFonts w:hint="eastAsia" w:ascii="MS UI Gothic" w:eastAsia="MS UI Gothic"/>
          <w:w w:val="85"/>
        </w:rPr>
        <w:t xml:space="preserve">ꎬ </w:t>
      </w:r>
      <w:r>
        <w:t xml:space="preserve">其面积不得小于 </w:t>
      </w:r>
      <w:r>
        <w:rPr>
          <w:rFonts w:hint="eastAsia" w:ascii="MS UI Gothic" w:eastAsia="MS UI Gothic"/>
          <w:w w:val="85"/>
        </w:rPr>
        <w:t>０ ７５ ｍ</w:t>
      </w:r>
      <w:r>
        <w:rPr>
          <w:rFonts w:hint="eastAsia" w:ascii="MS UI Gothic" w:eastAsia="MS UI Gothic"/>
          <w:w w:val="85"/>
          <w:position w:val="9"/>
          <w:sz w:val="12"/>
        </w:rPr>
        <w:t xml:space="preserve">２ </w:t>
      </w:r>
      <w:r>
        <w:rPr>
          <w:rFonts w:hint="eastAsia" w:ascii="MS UI Gothic" w:eastAsia="MS UI Gothic"/>
          <w:w w:val="85"/>
        </w:rPr>
        <w:t xml:space="preserve">、 </w:t>
      </w:r>
      <w:r>
        <w:t>厚度不得</w:t>
      </w:r>
    </w:p>
    <w:p>
      <w:pPr>
        <w:pStyle w:val="6"/>
        <w:ind w:firstLine="0"/>
        <w:rPr>
          <w:rFonts w:hint="eastAsia" w:ascii="MS UI Gothic" w:eastAsia="MS UI Gothic"/>
        </w:rPr>
      </w:pPr>
      <w:r>
        <w:rPr>
          <w:w w:val="95"/>
        </w:rPr>
        <w:t xml:space="preserve">小于 </w:t>
      </w:r>
      <w:r>
        <w:rPr>
          <w:rFonts w:hint="eastAsia" w:ascii="MS UI Gothic" w:eastAsia="MS UI Gothic"/>
          <w:w w:val="95"/>
        </w:rPr>
        <w:t>５ ｍｍ</w:t>
      </w:r>
      <w:r>
        <w:rPr>
          <w:rFonts w:hint="eastAsia" w:ascii="MS UI Gothic" w:eastAsia="MS UI Gothic"/>
          <w:w w:val="85"/>
        </w:rPr>
        <w:t>ꎮ</w:t>
      </w:r>
    </w:p>
    <w:p>
      <w:pPr>
        <w:pStyle w:val="6"/>
        <w:spacing w:before="54" w:line="295" w:lineRule="auto"/>
        <w:ind w:right="38"/>
        <w:rPr>
          <w:rFonts w:hint="eastAsia" w:ascii="MS UI Gothic" w:hAnsi="MS UI Gothic" w:eastAsia="MS UI Gothic"/>
        </w:rPr>
      </w:pPr>
      <w:r>
        <w:t>在钻孔中敷设的电缆和地面直接分区供电的电缆</w:t>
      </w:r>
      <w:r>
        <w:rPr>
          <w:rFonts w:hint="eastAsia" w:ascii="MS UI Gothic" w:hAnsi="MS UI Gothic" w:eastAsia="MS UI Gothic"/>
          <w:w w:val="80"/>
        </w:rPr>
        <w:t xml:space="preserve">ꎬ </w:t>
      </w:r>
      <w:r>
        <w:t>不能与井下主接地极连接时</w:t>
      </w:r>
      <w:r>
        <w:rPr>
          <w:rFonts w:hint="eastAsia" w:ascii="MS UI Gothic" w:hAnsi="MS UI Gothic" w:eastAsia="MS UI Gothic"/>
          <w:w w:val="80"/>
        </w:rPr>
        <w:t xml:space="preserve">ꎬ </w:t>
      </w:r>
      <w:r>
        <w:t>应当单独形成分区总接地网</w:t>
      </w:r>
      <w:r>
        <w:rPr>
          <w:rFonts w:hint="eastAsia" w:ascii="MS UI Gothic" w:hAnsi="MS UI Gothic" w:eastAsia="MS UI Gothic"/>
          <w:w w:val="80"/>
        </w:rPr>
        <w:t xml:space="preserve">ꎬ </w:t>
      </w:r>
      <w:r>
        <w:t xml:space="preserve">其接地电阻值不得超过 </w:t>
      </w:r>
      <w:r>
        <w:rPr>
          <w:rFonts w:hint="eastAsia" w:ascii="MS UI Gothic" w:hAnsi="MS UI Gothic" w:eastAsia="MS UI Gothic"/>
          <w:w w:val="80"/>
        </w:rPr>
        <w:t>２ Ωꎮ</w:t>
      </w:r>
    </w:p>
    <w:p>
      <w:pPr>
        <w:pStyle w:val="6"/>
        <w:spacing w:line="295" w:lineRule="auto"/>
        <w:ind w:right="38"/>
        <w:rPr>
          <w:rFonts w:hint="eastAsia" w:ascii="MS UI Gothic" w:eastAsia="MS UI Gothic"/>
        </w:rPr>
      </w:pPr>
      <w:r>
        <w:rPr>
          <w:w w:val="105"/>
        </w:rPr>
        <w:t>第四百七十八条 下列地点应当装设</w:t>
      </w:r>
      <w:r>
        <w:rPr>
          <w:w w:val="110"/>
        </w:rPr>
        <w:t>局部接地极</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spacing w:val="-26"/>
          <w:w w:val="110"/>
        </w:rPr>
        <w:t xml:space="preserve">( </w:t>
      </w:r>
      <w:r>
        <w:rPr>
          <w:spacing w:val="3"/>
          <w:w w:val="110"/>
        </w:rPr>
        <w:t>一</w:t>
      </w:r>
      <w:r>
        <w:rPr>
          <w:rFonts w:hint="eastAsia" w:ascii="MS UI Gothic" w:eastAsia="MS UI Gothic"/>
          <w:spacing w:val="13"/>
          <w:w w:val="110"/>
        </w:rPr>
        <w:t xml:space="preserve">) </w:t>
      </w:r>
      <w:r>
        <w:rPr>
          <w:spacing w:val="-3"/>
          <w:w w:val="110"/>
        </w:rPr>
        <w:t xml:space="preserve">采区变电所 </w:t>
      </w:r>
      <w:r>
        <w:rPr>
          <w:rFonts w:hint="eastAsia" w:ascii="MS UI Gothic" w:eastAsia="MS UI Gothic"/>
          <w:spacing w:val="-24"/>
          <w:w w:val="110"/>
        </w:rPr>
        <w:t xml:space="preserve">( </w:t>
      </w:r>
      <w:r>
        <w:rPr>
          <w:spacing w:val="7"/>
          <w:w w:val="110"/>
        </w:rPr>
        <w:t>包括移动变电站</w:t>
      </w:r>
      <w:r>
        <w:rPr>
          <w:spacing w:val="3"/>
          <w:w w:val="115"/>
        </w:rPr>
        <w:t>和移动变压器</w:t>
      </w:r>
      <w:r>
        <w:rPr>
          <w:rFonts w:hint="eastAsia" w:ascii="MS UI Gothic" w:eastAsia="MS UI Gothic"/>
          <w:spacing w:val="-37"/>
          <w:w w:val="150"/>
        </w:rPr>
        <w:t xml:space="preserve">) </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装有电气设备的硐室和单独装</w:t>
      </w:r>
      <w:r>
        <w:rPr>
          <w:w w:val="110"/>
        </w:rPr>
        <w:t>设的高压电气设备</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8"/>
          <w:w w:val="150"/>
        </w:rPr>
        <w:t xml:space="preserve">) </w:t>
      </w:r>
      <w:r>
        <w:rPr>
          <w:spacing w:val="-2"/>
          <w:w w:val="105"/>
        </w:rPr>
        <w:t xml:space="preserve">低压配电点或者装有 </w:t>
      </w:r>
      <w:r>
        <w:rPr>
          <w:rFonts w:hint="eastAsia" w:ascii="MS UI Gothic" w:eastAsia="MS UI Gothic"/>
          <w:spacing w:val="5"/>
          <w:w w:val="80"/>
        </w:rPr>
        <w:t xml:space="preserve">３ </w:t>
      </w:r>
      <w:r>
        <w:rPr>
          <w:spacing w:val="7"/>
          <w:w w:val="105"/>
        </w:rPr>
        <w:t>台以上</w:t>
      </w:r>
      <w:r>
        <w:rPr>
          <w:spacing w:val="3"/>
          <w:w w:val="105"/>
        </w:rPr>
        <w:t>电气设备的地点</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3"/>
          <w:w w:val="150"/>
        </w:rPr>
        <w:t xml:space="preserve">) </w:t>
      </w:r>
      <w:r>
        <w:rPr>
          <w:spacing w:val="5"/>
          <w:w w:val="105"/>
        </w:rPr>
        <w:t>无低压配电点的采煤工作面的</w:t>
      </w:r>
      <w:r>
        <w:rPr>
          <w:spacing w:val="3"/>
          <w:w w:val="105"/>
        </w:rPr>
        <w:t>运输巷</w:t>
      </w:r>
      <w:r>
        <w:rPr>
          <w:rFonts w:hint="eastAsia" w:ascii="MS UI Gothic" w:eastAsia="MS UI Gothic"/>
          <w:spacing w:val="11"/>
          <w:w w:val="80"/>
        </w:rPr>
        <w:t xml:space="preserve">、 </w:t>
      </w:r>
      <w:r>
        <w:rPr>
          <w:spacing w:val="3"/>
          <w:w w:val="105"/>
        </w:rPr>
        <w:t>回风巷</w:t>
      </w:r>
      <w:r>
        <w:rPr>
          <w:rFonts w:hint="eastAsia" w:ascii="MS UI Gothic" w:eastAsia="MS UI Gothic"/>
          <w:spacing w:val="11"/>
          <w:w w:val="80"/>
        </w:rPr>
        <w:t xml:space="preserve">、 </w:t>
      </w:r>
      <w:r>
        <w:rPr>
          <w:spacing w:val="2"/>
          <w:w w:val="105"/>
        </w:rPr>
        <w:t>带式输送机巷以及由变</w:t>
      </w:r>
      <w:r>
        <w:rPr>
          <w:spacing w:val="-4"/>
          <w:w w:val="105"/>
        </w:rPr>
        <w:t xml:space="preserve">电所单独供电的掘进工作面 </w:t>
      </w:r>
      <w:r>
        <w:rPr>
          <w:rFonts w:hint="eastAsia" w:ascii="MS UI Gothic" w:eastAsia="MS UI Gothic"/>
          <w:spacing w:val="-41"/>
          <w:w w:val="150"/>
        </w:rPr>
        <w:t xml:space="preserve">( </w:t>
      </w:r>
      <w:r>
        <w:rPr>
          <w:spacing w:val="5"/>
          <w:w w:val="105"/>
        </w:rPr>
        <w:t>至少分别设</w:t>
      </w:r>
      <w:r>
        <w:rPr>
          <w:spacing w:val="-27"/>
          <w:w w:val="105"/>
        </w:rPr>
        <w:t xml:space="preserve">置 </w:t>
      </w:r>
      <w:r>
        <w:rPr>
          <w:rFonts w:hint="eastAsia" w:ascii="MS UI Gothic" w:eastAsia="MS UI Gothic"/>
          <w:spacing w:val="3"/>
          <w:w w:val="80"/>
        </w:rPr>
        <w:t xml:space="preserve">１ </w:t>
      </w:r>
      <w:r>
        <w:rPr>
          <w:spacing w:val="3"/>
          <w:w w:val="105"/>
        </w:rPr>
        <w:t>个局部接地极</w:t>
      </w:r>
      <w:r>
        <w:rPr>
          <w:rFonts w:hint="eastAsia" w:ascii="MS UI Gothic" w:eastAsia="MS UI Gothic"/>
          <w:spacing w:val="-36"/>
          <w:w w:val="150"/>
        </w:rPr>
        <w:t xml:space="preserve">) </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连接高压动力电缆的金属连接</w:t>
      </w:r>
      <w:r>
        <w:rPr>
          <w:w w:val="110"/>
        </w:rPr>
        <w:t>装置</w:t>
      </w:r>
      <w:r>
        <w:rPr>
          <w:rFonts w:hint="eastAsia" w:ascii="MS UI Gothic" w:eastAsia="MS UI Gothic"/>
          <w:w w:val="80"/>
        </w:rPr>
        <w:t>ꎮ</w:t>
      </w:r>
    </w:p>
    <w:p>
      <w:pPr>
        <w:pStyle w:val="6"/>
        <w:spacing w:line="295" w:lineRule="auto"/>
        <w:ind w:right="38"/>
        <w:jc w:val="left"/>
        <w:rPr>
          <w:rFonts w:hint="eastAsia" w:ascii="MS UI Gothic" w:eastAsia="MS UI Gothic"/>
        </w:rPr>
      </w:pPr>
      <w:r>
        <w:t>局部接地极可以设置于巷道水沟内或</w:t>
      </w:r>
      <w:r>
        <w:rPr>
          <w:w w:val="105"/>
        </w:rPr>
        <w:t>者其他就近的潮湿处</w:t>
      </w:r>
      <w:r>
        <w:rPr>
          <w:rFonts w:hint="eastAsia" w:ascii="MS UI Gothic" w:eastAsia="MS UI Gothic"/>
          <w:w w:val="80"/>
        </w:rPr>
        <w:t>ꎮ</w:t>
      </w:r>
    </w:p>
    <w:p>
      <w:pPr>
        <w:pStyle w:val="6"/>
        <w:spacing w:line="290" w:lineRule="auto"/>
        <w:ind w:right="38"/>
        <w:rPr>
          <w:rFonts w:hint="eastAsia" w:ascii="MS UI Gothic" w:eastAsia="MS UI Gothic"/>
        </w:rPr>
      </w:pPr>
      <w:r>
        <w:rPr>
          <w:spacing w:val="2"/>
        </w:rPr>
        <w:t>设置在水沟中的局部接地极应当用面</w:t>
      </w:r>
      <w:r>
        <w:rPr>
          <w:spacing w:val="-13"/>
        </w:rPr>
        <w:t xml:space="preserve">积不小于 </w:t>
      </w:r>
      <w:r>
        <w:rPr>
          <w:rFonts w:hint="eastAsia" w:ascii="MS UI Gothic" w:eastAsia="MS UI Gothic"/>
        </w:rPr>
        <w:t>０</w:t>
      </w:r>
      <w:r>
        <w:rPr>
          <w:rFonts w:hint="eastAsia" w:ascii="MS UI Gothic" w:eastAsia="MS UI Gothic"/>
          <w:spacing w:val="-17"/>
        </w:rPr>
        <w:t xml:space="preserve"> ６ </w:t>
      </w:r>
      <w:r>
        <w:rPr>
          <w:rFonts w:hint="eastAsia" w:ascii="MS UI Gothic" w:eastAsia="MS UI Gothic"/>
          <w:spacing w:val="3"/>
        </w:rPr>
        <w:t>ｍ</w:t>
      </w:r>
      <w:r>
        <w:rPr>
          <w:rFonts w:hint="eastAsia" w:ascii="MS UI Gothic" w:eastAsia="MS UI Gothic"/>
          <w:spacing w:val="-12"/>
          <w:position w:val="9"/>
          <w:sz w:val="12"/>
        </w:rPr>
        <w:t xml:space="preserve">２ </w:t>
      </w:r>
      <w:r>
        <w:rPr>
          <w:rFonts w:hint="eastAsia" w:ascii="MS UI Gothic" w:eastAsia="MS UI Gothic"/>
        </w:rPr>
        <w:t xml:space="preserve">、 </w:t>
      </w:r>
      <w:r>
        <w:rPr>
          <w:spacing w:val="-10"/>
        </w:rPr>
        <w:t xml:space="preserve">厚度不小于 </w:t>
      </w:r>
      <w:r>
        <w:rPr>
          <w:rFonts w:hint="eastAsia" w:ascii="MS UI Gothic" w:eastAsia="MS UI Gothic"/>
          <w:spacing w:val="-8"/>
        </w:rPr>
        <w:t xml:space="preserve">３ </w:t>
      </w:r>
      <w:r>
        <w:rPr>
          <w:rFonts w:hint="eastAsia" w:ascii="MS UI Gothic" w:eastAsia="MS UI Gothic"/>
        </w:rPr>
        <w:t>ｍｍ</w:t>
      </w:r>
      <w:r>
        <w:rPr>
          <w:rFonts w:hint="eastAsia" w:ascii="MS UI Gothic" w:eastAsia="MS UI Gothic"/>
          <w:spacing w:val="-26"/>
        </w:rPr>
        <w:t xml:space="preserve"> </w:t>
      </w:r>
      <w:r>
        <w:rPr>
          <w:spacing w:val="3"/>
        </w:rPr>
        <w:t>的钢板或者具有同等有效面积的钢管制成</w:t>
      </w:r>
      <w:r>
        <w:rPr>
          <w:rFonts w:hint="eastAsia" w:ascii="MS UI Gothic" w:eastAsia="MS UI Gothic"/>
          <w:spacing w:val="14"/>
          <w:w w:val="85"/>
        </w:rPr>
        <w:t xml:space="preserve">ꎬ </w:t>
      </w:r>
      <w:r>
        <w:t>并</w:t>
      </w:r>
      <w:r>
        <w:rPr>
          <w:spacing w:val="3"/>
        </w:rPr>
        <w:t>平放于水沟深处</w:t>
      </w:r>
      <w:r>
        <w:rPr>
          <w:rFonts w:hint="eastAsia" w:ascii="MS UI Gothic" w:eastAsia="MS UI Gothic"/>
          <w:w w:val="85"/>
        </w:rPr>
        <w:t>ꎮ</w:t>
      </w:r>
    </w:p>
    <w:p>
      <w:pPr>
        <w:pStyle w:val="6"/>
        <w:spacing w:line="295" w:lineRule="auto"/>
        <w:ind w:right="38"/>
        <w:rPr>
          <w:rFonts w:hint="eastAsia" w:ascii="MS UI Gothic" w:eastAsia="MS UI Gothic"/>
        </w:rPr>
      </w:pPr>
      <w:r>
        <w:rPr>
          <w:spacing w:val="3"/>
        </w:rPr>
        <w:t>设置在其他地点的局部接地极</w:t>
      </w:r>
      <w:r>
        <w:rPr>
          <w:rFonts w:hint="eastAsia" w:ascii="MS UI Gothic" w:eastAsia="MS UI Gothic"/>
          <w:spacing w:val="9"/>
          <w:w w:val="85"/>
        </w:rPr>
        <w:t xml:space="preserve">ꎬ </w:t>
      </w:r>
      <w:r>
        <w:rPr>
          <w:spacing w:val="1"/>
        </w:rPr>
        <w:t>可以</w:t>
      </w:r>
      <w:r>
        <w:rPr>
          <w:spacing w:val="-10"/>
        </w:rPr>
        <w:t xml:space="preserve">用直径不小于 </w:t>
      </w:r>
      <w:r>
        <w:rPr>
          <w:rFonts w:hint="eastAsia" w:ascii="MS UI Gothic" w:eastAsia="MS UI Gothic"/>
          <w:spacing w:val="-8"/>
        </w:rPr>
        <w:t xml:space="preserve">３５ </w:t>
      </w:r>
      <w:r>
        <w:rPr>
          <w:rFonts w:hint="eastAsia" w:ascii="MS UI Gothic" w:eastAsia="MS UI Gothic"/>
        </w:rPr>
        <w:t>ｍｍ</w:t>
      </w:r>
      <w:r>
        <w:rPr>
          <w:rFonts w:hint="eastAsia" w:ascii="MS UI Gothic" w:eastAsia="MS UI Gothic"/>
          <w:spacing w:val="-4"/>
        </w:rPr>
        <w:t xml:space="preserve">、 </w:t>
      </w:r>
      <w:r>
        <w:rPr>
          <w:spacing w:val="-7"/>
        </w:rPr>
        <w:t xml:space="preserve">长度不小于 </w:t>
      </w:r>
      <w:r>
        <w:rPr>
          <w:rFonts w:hint="eastAsia" w:ascii="MS UI Gothic" w:eastAsia="MS UI Gothic"/>
        </w:rPr>
        <w:t>１</w:t>
      </w:r>
      <w:r>
        <w:rPr>
          <w:rFonts w:hint="eastAsia" w:ascii="MS UI Gothic" w:eastAsia="MS UI Gothic"/>
          <w:spacing w:val="-19"/>
        </w:rPr>
        <w:t xml:space="preserve"> ５ </w:t>
      </w:r>
      <w:r>
        <w:rPr>
          <w:rFonts w:hint="eastAsia" w:ascii="MS UI Gothic" w:eastAsia="MS UI Gothic"/>
        </w:rPr>
        <w:t>ｍ</w:t>
      </w:r>
    </w:p>
    <w:p>
      <w:pPr>
        <w:pStyle w:val="6"/>
        <w:spacing w:before="123" w:line="295" w:lineRule="auto"/>
        <w:ind w:right="440" w:firstLine="5"/>
        <w:rPr>
          <w:rFonts w:hint="eastAsia" w:ascii="MS UI Gothic" w:eastAsia="MS UI Gothic"/>
        </w:rPr>
      </w:pPr>
      <w:r>
        <w:br w:type="column"/>
      </w:r>
      <w:r>
        <w:rPr>
          <w:spacing w:val="3"/>
        </w:rPr>
        <w:t>的钢管制成</w:t>
      </w:r>
      <w:r>
        <w:rPr>
          <w:rFonts w:hint="eastAsia" w:ascii="MS UI Gothic" w:eastAsia="MS UI Gothic"/>
          <w:spacing w:val="17"/>
          <w:w w:val="90"/>
        </w:rPr>
        <w:t xml:space="preserve">ꎬ </w:t>
      </w:r>
      <w:r>
        <w:rPr>
          <w:spacing w:val="-1"/>
        </w:rPr>
        <w:t xml:space="preserve">管上至少钻 </w:t>
      </w:r>
      <w:r>
        <w:rPr>
          <w:rFonts w:hint="eastAsia" w:ascii="MS UI Gothic" w:eastAsia="MS UI Gothic"/>
          <w:spacing w:val="-3"/>
        </w:rPr>
        <w:t xml:space="preserve">２０ </w:t>
      </w:r>
      <w:r>
        <w:rPr>
          <w:spacing w:val="10"/>
        </w:rPr>
        <w:t>个直径不小</w:t>
      </w:r>
      <w:r>
        <w:rPr>
          <w:spacing w:val="-35"/>
        </w:rPr>
        <w:t xml:space="preserve">于 </w:t>
      </w:r>
      <w:r>
        <w:rPr>
          <w:rFonts w:hint="eastAsia" w:ascii="MS UI Gothic" w:eastAsia="MS UI Gothic"/>
          <w:spacing w:val="-15"/>
        </w:rPr>
        <w:t xml:space="preserve">５ </w:t>
      </w:r>
      <w:r>
        <w:rPr>
          <w:rFonts w:hint="eastAsia" w:ascii="MS UI Gothic" w:eastAsia="MS UI Gothic"/>
        </w:rPr>
        <w:t>ｍｍ</w:t>
      </w:r>
      <w:r>
        <w:rPr>
          <w:rFonts w:hint="eastAsia" w:ascii="MS UI Gothic" w:eastAsia="MS UI Gothic"/>
          <w:spacing w:val="-32"/>
        </w:rPr>
        <w:t xml:space="preserve"> </w:t>
      </w:r>
      <w:r>
        <w:rPr>
          <w:spacing w:val="11"/>
        </w:rPr>
        <w:t>的透孔</w:t>
      </w:r>
      <w:r>
        <w:rPr>
          <w:rFonts w:hint="eastAsia" w:ascii="MS UI Gothic" w:eastAsia="MS UI Gothic"/>
          <w:spacing w:val="-3"/>
          <w:w w:val="90"/>
        </w:rPr>
        <w:t xml:space="preserve">ꎬ </w:t>
      </w:r>
      <w:r>
        <w:rPr>
          <w:spacing w:val="15"/>
        </w:rPr>
        <w:t>并全部垂直埋入底板</w:t>
      </w:r>
      <w:r>
        <w:rPr>
          <w:rFonts w:hint="eastAsia" w:ascii="MS UI Gothic" w:eastAsia="MS UI Gothic"/>
          <w:w w:val="90"/>
        </w:rPr>
        <w:t>ꎻ</w:t>
      </w:r>
      <w:r>
        <w:rPr>
          <w:spacing w:val="-7"/>
        </w:rPr>
        <w:t xml:space="preserve">也可用直径不小于 </w:t>
      </w:r>
      <w:r>
        <w:rPr>
          <w:rFonts w:hint="eastAsia" w:ascii="MS UI Gothic" w:eastAsia="MS UI Gothic"/>
          <w:spacing w:val="-7"/>
        </w:rPr>
        <w:t xml:space="preserve">２２ </w:t>
      </w:r>
      <w:r>
        <w:rPr>
          <w:rFonts w:hint="eastAsia" w:ascii="MS UI Gothic" w:eastAsia="MS UI Gothic"/>
        </w:rPr>
        <w:t>ｍｍ</w:t>
      </w:r>
      <w:r>
        <w:rPr>
          <w:rFonts w:hint="eastAsia" w:ascii="MS UI Gothic" w:eastAsia="MS UI Gothic"/>
          <w:spacing w:val="1"/>
        </w:rPr>
        <w:t xml:space="preserve">、 </w:t>
      </w:r>
      <w:r>
        <w:rPr>
          <w:spacing w:val="-17"/>
        </w:rPr>
        <w:t xml:space="preserve">长度为 </w:t>
      </w:r>
      <w:r>
        <w:rPr>
          <w:rFonts w:hint="eastAsia" w:ascii="MS UI Gothic" w:eastAsia="MS UI Gothic"/>
          <w:spacing w:val="-10"/>
        </w:rPr>
        <w:t xml:space="preserve">１ </w:t>
      </w:r>
      <w:r>
        <w:rPr>
          <w:rFonts w:hint="eastAsia" w:ascii="MS UI Gothic" w:eastAsia="MS UI Gothic"/>
        </w:rPr>
        <w:t>ｍ</w:t>
      </w:r>
      <w:r>
        <w:rPr>
          <w:rFonts w:hint="eastAsia" w:ascii="MS UI Gothic" w:eastAsia="MS UI Gothic"/>
          <w:spacing w:val="-27"/>
        </w:rPr>
        <w:t xml:space="preserve"> </w:t>
      </w:r>
      <w:r>
        <w:t>的</w:t>
      </w:r>
      <w:r>
        <w:rPr>
          <w:rFonts w:hint="eastAsia" w:ascii="MS UI Gothic" w:eastAsia="MS UI Gothic"/>
          <w:spacing w:val="-10"/>
        </w:rPr>
        <w:t xml:space="preserve">２ </w:t>
      </w:r>
      <w:r>
        <w:rPr>
          <w:spacing w:val="7"/>
        </w:rPr>
        <w:t>根钢管制成</w:t>
      </w:r>
      <w:r>
        <w:rPr>
          <w:rFonts w:hint="eastAsia" w:ascii="MS UI Gothic" w:eastAsia="MS UI Gothic"/>
          <w:spacing w:val="12"/>
          <w:w w:val="90"/>
        </w:rPr>
        <w:t xml:space="preserve">ꎬ </w:t>
      </w:r>
      <w:r>
        <w:rPr>
          <w:spacing w:val="2"/>
        </w:rPr>
        <w:t xml:space="preserve">每根管上钻 </w:t>
      </w:r>
      <w:r>
        <w:rPr>
          <w:rFonts w:hint="eastAsia" w:ascii="MS UI Gothic" w:eastAsia="MS UI Gothic"/>
          <w:spacing w:val="-3"/>
        </w:rPr>
        <w:t xml:space="preserve">１０ </w:t>
      </w:r>
      <w:r>
        <w:rPr>
          <w:spacing w:val="12"/>
        </w:rPr>
        <w:t>个直径不</w:t>
      </w:r>
      <w:r>
        <w:rPr>
          <w:spacing w:val="-23"/>
        </w:rPr>
        <w:t xml:space="preserve">小于 </w:t>
      </w:r>
      <w:r>
        <w:rPr>
          <w:rFonts w:hint="eastAsia" w:ascii="MS UI Gothic" w:eastAsia="MS UI Gothic"/>
        </w:rPr>
        <w:t>５ｍｍ</w:t>
      </w:r>
      <w:r>
        <w:rPr>
          <w:rFonts w:hint="eastAsia" w:ascii="MS UI Gothic" w:eastAsia="MS UI Gothic"/>
          <w:spacing w:val="-13"/>
        </w:rPr>
        <w:t xml:space="preserve"> </w:t>
      </w:r>
      <w:r>
        <w:rPr>
          <w:spacing w:val="12"/>
        </w:rPr>
        <w:t>的透孔</w:t>
      </w:r>
      <w:r>
        <w:rPr>
          <w:rFonts w:hint="eastAsia" w:ascii="MS UI Gothic" w:eastAsia="MS UI Gothic"/>
          <w:spacing w:val="4"/>
          <w:w w:val="90"/>
        </w:rPr>
        <w:t xml:space="preserve">ꎬ </w:t>
      </w:r>
      <w:r>
        <w:rPr>
          <w:rFonts w:hint="eastAsia" w:ascii="MS UI Gothic" w:eastAsia="MS UI Gothic"/>
          <w:spacing w:val="-9"/>
        </w:rPr>
        <w:t xml:space="preserve">２ </w:t>
      </w:r>
      <w:r>
        <w:rPr>
          <w:spacing w:val="14"/>
        </w:rPr>
        <w:t>根钢管相距不得小</w:t>
      </w:r>
      <w:r>
        <w:rPr>
          <w:spacing w:val="-28"/>
        </w:rPr>
        <w:t xml:space="preserve">于 </w:t>
      </w:r>
      <w:r>
        <w:rPr>
          <w:rFonts w:hint="eastAsia" w:ascii="MS UI Gothic" w:eastAsia="MS UI Gothic"/>
          <w:spacing w:val="-8"/>
        </w:rPr>
        <w:t xml:space="preserve">５ </w:t>
      </w:r>
      <w:r>
        <w:rPr>
          <w:rFonts w:hint="eastAsia" w:ascii="MS UI Gothic" w:eastAsia="MS UI Gothic"/>
          <w:spacing w:val="4"/>
        </w:rPr>
        <w:t>ｍ</w:t>
      </w:r>
      <w:r>
        <w:rPr>
          <w:rFonts w:hint="eastAsia" w:ascii="MS UI Gothic" w:eastAsia="MS UI Gothic"/>
          <w:spacing w:val="5"/>
          <w:w w:val="90"/>
        </w:rPr>
        <w:t xml:space="preserve">ꎬ </w:t>
      </w:r>
      <w:r>
        <w:rPr>
          <w:spacing w:val="3"/>
        </w:rPr>
        <w:t>并联后垂直埋入底板</w:t>
      </w:r>
      <w:r>
        <w:rPr>
          <w:rFonts w:hint="eastAsia" w:ascii="MS UI Gothic" w:eastAsia="MS UI Gothic"/>
          <w:spacing w:val="6"/>
          <w:w w:val="90"/>
        </w:rPr>
        <w:t xml:space="preserve">ꎬ </w:t>
      </w:r>
      <w:r>
        <w:rPr>
          <w:spacing w:val="6"/>
        </w:rPr>
        <w:t>垂直埋深</w:t>
      </w:r>
      <w:r>
        <w:rPr>
          <w:spacing w:val="-10"/>
        </w:rPr>
        <w:t xml:space="preserve">不得小于 </w:t>
      </w:r>
      <w:r>
        <w:rPr>
          <w:rFonts w:hint="eastAsia" w:ascii="MS UI Gothic" w:eastAsia="MS UI Gothic"/>
        </w:rPr>
        <w:t>０</w:t>
      </w:r>
      <w:r>
        <w:rPr>
          <w:rFonts w:hint="eastAsia" w:ascii="MS UI Gothic" w:eastAsia="MS UI Gothic"/>
          <w:spacing w:val="-2"/>
        </w:rPr>
        <w:t xml:space="preserve"> ７５ </w:t>
      </w:r>
      <w:r>
        <w:rPr>
          <w:rFonts w:hint="eastAsia" w:ascii="MS UI Gothic" w:eastAsia="MS UI Gothic"/>
          <w:spacing w:val="4"/>
        </w:rPr>
        <w:t>ｍ</w:t>
      </w:r>
      <w:r>
        <w:rPr>
          <w:rFonts w:hint="eastAsia" w:ascii="MS UI Gothic" w:eastAsia="MS UI Gothic"/>
          <w:w w:val="90"/>
        </w:rPr>
        <w:t>ꎮ</w:t>
      </w:r>
    </w:p>
    <w:p>
      <w:pPr>
        <w:pStyle w:val="6"/>
        <w:spacing w:line="288" w:lineRule="auto"/>
        <w:ind w:right="440" w:firstLine="425"/>
        <w:rPr>
          <w:rFonts w:hint="eastAsia" w:ascii="MS UI Gothic" w:eastAsia="MS UI Gothic"/>
        </w:rPr>
      </w:pPr>
      <w:r>
        <w:rPr>
          <w:w w:val="95"/>
        </w:rPr>
        <w:t>第四百七十九条   连接主接地极母线</w:t>
      </w:r>
      <w:r>
        <w:rPr>
          <w:rFonts w:hint="eastAsia" w:ascii="MS UI Gothic" w:eastAsia="MS UI Gothic"/>
          <w:w w:val="90"/>
        </w:rPr>
        <w:t xml:space="preserve">ꎬ </w:t>
      </w:r>
      <w:r>
        <w:rPr>
          <w:w w:val="95"/>
        </w:rPr>
        <w:t xml:space="preserve">应当采用截面不小于 </w:t>
      </w:r>
      <w:r>
        <w:rPr>
          <w:rFonts w:hint="eastAsia" w:ascii="MS UI Gothic" w:eastAsia="MS UI Gothic"/>
          <w:w w:val="95"/>
        </w:rPr>
        <w:t>５０ ｍｍ</w:t>
      </w:r>
      <w:r>
        <w:rPr>
          <w:rFonts w:hint="eastAsia" w:ascii="MS UI Gothic" w:eastAsia="MS UI Gothic"/>
          <w:w w:val="95"/>
          <w:position w:val="9"/>
          <w:sz w:val="12"/>
        </w:rPr>
        <w:t xml:space="preserve">２ </w:t>
      </w:r>
      <w:r>
        <w:rPr>
          <w:w w:val="95"/>
        </w:rPr>
        <w:t>的铜线</w:t>
      </w:r>
      <w:r>
        <w:rPr>
          <w:rFonts w:hint="eastAsia" w:ascii="MS UI Gothic" w:eastAsia="MS UI Gothic"/>
          <w:w w:val="90"/>
        </w:rPr>
        <w:t>ꎬ</w:t>
      </w:r>
      <w:r>
        <w:rPr>
          <w:w w:val="95"/>
        </w:rPr>
        <w:t xml:space="preserve">或者截面不小于 </w:t>
      </w:r>
      <w:r>
        <w:rPr>
          <w:rFonts w:hint="eastAsia" w:ascii="MS UI Gothic" w:eastAsia="MS UI Gothic"/>
          <w:w w:val="95"/>
        </w:rPr>
        <w:t>１００ ｍｍ</w:t>
      </w:r>
      <w:r>
        <w:rPr>
          <w:rFonts w:hint="eastAsia" w:ascii="MS UI Gothic" w:eastAsia="MS UI Gothic"/>
          <w:w w:val="95"/>
          <w:position w:val="9"/>
          <w:sz w:val="12"/>
        </w:rPr>
        <w:t xml:space="preserve">２ </w:t>
      </w:r>
      <w:r>
        <w:rPr>
          <w:w w:val="95"/>
        </w:rPr>
        <w:t>的耐腐蚀铁线</w:t>
      </w:r>
      <w:r>
        <w:rPr>
          <w:rFonts w:hint="eastAsia" w:ascii="MS UI Gothic" w:eastAsia="MS UI Gothic"/>
          <w:w w:val="90"/>
        </w:rPr>
        <w:t>ꎬ</w:t>
      </w:r>
      <w:r>
        <w:rPr>
          <w:w w:val="95"/>
        </w:rPr>
        <w:t xml:space="preserve">或者厚度不小于 </w:t>
      </w:r>
      <w:r>
        <w:rPr>
          <w:rFonts w:hint="eastAsia" w:ascii="MS UI Gothic" w:eastAsia="MS UI Gothic"/>
          <w:w w:val="95"/>
        </w:rPr>
        <w:t xml:space="preserve">４ ｍｍ、 </w:t>
      </w:r>
      <w:r>
        <w:rPr>
          <w:w w:val="95"/>
        </w:rPr>
        <w:t>截面不小于</w:t>
      </w:r>
      <w:r>
        <w:rPr>
          <w:rFonts w:hint="eastAsia" w:ascii="MS UI Gothic" w:eastAsia="MS UI Gothic"/>
          <w:w w:val="95"/>
        </w:rPr>
        <w:t>１００ ｍｍ</w:t>
      </w:r>
      <w:r>
        <w:rPr>
          <w:rFonts w:hint="eastAsia" w:ascii="MS UI Gothic" w:eastAsia="MS UI Gothic"/>
          <w:w w:val="95"/>
          <w:position w:val="9"/>
          <w:sz w:val="12"/>
        </w:rPr>
        <w:t xml:space="preserve">２ </w:t>
      </w:r>
      <w:r>
        <w:rPr>
          <w:w w:val="95"/>
        </w:rPr>
        <w:t>的耐腐蚀扁钢</w:t>
      </w:r>
      <w:r>
        <w:rPr>
          <w:rFonts w:hint="eastAsia" w:ascii="MS UI Gothic" w:eastAsia="MS UI Gothic"/>
          <w:w w:val="90"/>
        </w:rPr>
        <w:t>ꎮ</w:t>
      </w:r>
    </w:p>
    <w:p>
      <w:pPr>
        <w:pStyle w:val="6"/>
        <w:spacing w:line="290" w:lineRule="auto"/>
        <w:ind w:left="130" w:right="442"/>
        <w:rPr>
          <w:rFonts w:hint="eastAsia" w:ascii="MS UI Gothic" w:eastAsia="MS UI Gothic"/>
        </w:rPr>
      </w:pPr>
      <w:r>
        <w:rPr>
          <w:spacing w:val="3"/>
        </w:rPr>
        <w:t>电气设备的外壳与接地母线</w:t>
      </w:r>
      <w:r>
        <w:rPr>
          <w:rFonts w:hint="eastAsia" w:ascii="MS UI Gothic" w:eastAsia="MS UI Gothic"/>
          <w:spacing w:val="14"/>
        </w:rPr>
        <w:t xml:space="preserve">、 </w:t>
      </w:r>
      <w:r>
        <w:rPr>
          <w:spacing w:val="1"/>
        </w:rPr>
        <w:t>辅助接</w:t>
      </w:r>
      <w:r>
        <w:rPr>
          <w:spacing w:val="3"/>
        </w:rPr>
        <w:t>地母线或者局部接地极的连接</w:t>
      </w:r>
      <w:r>
        <w:rPr>
          <w:rFonts w:hint="eastAsia" w:ascii="MS UI Gothic" w:eastAsia="MS UI Gothic"/>
          <w:spacing w:val="6"/>
          <w:w w:val="90"/>
        </w:rPr>
        <w:t xml:space="preserve">ꎬ </w:t>
      </w:r>
      <w:r>
        <w:rPr>
          <w:spacing w:val="2"/>
        </w:rPr>
        <w:t>电缆连接</w:t>
      </w:r>
      <w:r>
        <w:rPr>
          <w:spacing w:val="3"/>
        </w:rPr>
        <w:t>装置两头的铠装</w:t>
      </w:r>
      <w:r>
        <w:rPr>
          <w:rFonts w:hint="eastAsia" w:ascii="MS UI Gothic" w:eastAsia="MS UI Gothic"/>
          <w:spacing w:val="19"/>
        </w:rPr>
        <w:t xml:space="preserve">、 </w:t>
      </w:r>
      <w:r>
        <w:rPr>
          <w:spacing w:val="3"/>
        </w:rPr>
        <w:t>铅皮的连接</w:t>
      </w:r>
      <w:r>
        <w:rPr>
          <w:rFonts w:hint="eastAsia" w:ascii="MS UI Gothic" w:eastAsia="MS UI Gothic"/>
          <w:spacing w:val="22"/>
          <w:w w:val="90"/>
        </w:rPr>
        <w:t xml:space="preserve">ꎬ </w:t>
      </w:r>
      <w:r>
        <w:rPr>
          <w:spacing w:val="2"/>
        </w:rPr>
        <w:t>应当采用</w:t>
      </w:r>
      <w:r>
        <w:rPr>
          <w:spacing w:val="-9"/>
        </w:rPr>
        <w:t xml:space="preserve">截面不小于 </w:t>
      </w:r>
      <w:r>
        <w:rPr>
          <w:rFonts w:hint="eastAsia" w:ascii="MS UI Gothic" w:eastAsia="MS UI Gothic"/>
          <w:spacing w:val="-6"/>
        </w:rPr>
        <w:t xml:space="preserve">２５ </w:t>
      </w:r>
      <w:r>
        <w:rPr>
          <w:rFonts w:hint="eastAsia" w:ascii="MS UI Gothic" w:eastAsia="MS UI Gothic"/>
        </w:rPr>
        <w:t>ｍｍ</w:t>
      </w:r>
      <w:r>
        <w:rPr>
          <w:rFonts w:hint="eastAsia" w:ascii="MS UI Gothic" w:eastAsia="MS UI Gothic"/>
          <w:spacing w:val="-10"/>
          <w:position w:val="9"/>
          <w:sz w:val="12"/>
        </w:rPr>
        <w:t xml:space="preserve">２ </w:t>
      </w:r>
      <w:r>
        <w:rPr>
          <w:spacing w:val="11"/>
        </w:rPr>
        <w:t>的铜线</w:t>
      </w:r>
      <w:r>
        <w:rPr>
          <w:rFonts w:hint="eastAsia" w:ascii="MS UI Gothic" w:eastAsia="MS UI Gothic"/>
          <w:w w:val="90"/>
        </w:rPr>
        <w:t xml:space="preserve">ꎬ </w:t>
      </w:r>
      <w:r>
        <w:rPr>
          <w:spacing w:val="12"/>
        </w:rPr>
        <w:t>或者截面不</w:t>
      </w:r>
      <w:r>
        <w:rPr>
          <w:spacing w:val="-17"/>
          <w:w w:val="95"/>
        </w:rPr>
        <w:t xml:space="preserve">小于 </w:t>
      </w:r>
      <w:r>
        <w:rPr>
          <w:rFonts w:hint="eastAsia" w:ascii="MS UI Gothic" w:eastAsia="MS UI Gothic"/>
          <w:w w:val="95"/>
        </w:rPr>
        <w:t>５０ｍｍ</w:t>
      </w:r>
      <w:r>
        <w:rPr>
          <w:rFonts w:hint="eastAsia" w:ascii="MS UI Gothic" w:eastAsia="MS UI Gothic"/>
          <w:spacing w:val="-8"/>
          <w:w w:val="95"/>
          <w:position w:val="9"/>
          <w:sz w:val="12"/>
        </w:rPr>
        <w:t xml:space="preserve">２ </w:t>
      </w:r>
      <w:r>
        <w:rPr>
          <w:spacing w:val="3"/>
          <w:w w:val="95"/>
        </w:rPr>
        <w:t>的耐腐蚀铁线</w:t>
      </w:r>
      <w:r>
        <w:rPr>
          <w:rFonts w:hint="eastAsia" w:ascii="MS UI Gothic" w:eastAsia="MS UI Gothic"/>
          <w:spacing w:val="3"/>
          <w:w w:val="90"/>
        </w:rPr>
        <w:t xml:space="preserve">ꎬ </w:t>
      </w:r>
      <w:r>
        <w:rPr>
          <w:spacing w:val="2"/>
          <w:w w:val="95"/>
        </w:rPr>
        <w:t>或者厚度不小</w:t>
      </w:r>
      <w:r>
        <w:rPr>
          <w:spacing w:val="-37"/>
        </w:rPr>
        <w:t xml:space="preserve">于 </w:t>
      </w:r>
      <w:r>
        <w:rPr>
          <w:rFonts w:hint="eastAsia" w:ascii="MS UI Gothic" w:eastAsia="MS UI Gothic"/>
          <w:spacing w:val="-5"/>
        </w:rPr>
        <w:t xml:space="preserve">４ </w:t>
      </w:r>
      <w:r>
        <w:rPr>
          <w:rFonts w:hint="eastAsia" w:ascii="MS UI Gothic" w:eastAsia="MS UI Gothic"/>
        </w:rPr>
        <w:t xml:space="preserve">ｍｍ、 </w:t>
      </w:r>
      <w:r>
        <w:rPr>
          <w:spacing w:val="3"/>
        </w:rPr>
        <w:t xml:space="preserve">截面不小于 </w:t>
      </w:r>
      <w:r>
        <w:rPr>
          <w:rFonts w:hint="eastAsia" w:ascii="MS UI Gothic" w:eastAsia="MS UI Gothic"/>
          <w:spacing w:val="-3"/>
        </w:rPr>
        <w:t xml:space="preserve">５０ </w:t>
      </w:r>
      <w:r>
        <w:rPr>
          <w:rFonts w:hint="eastAsia" w:ascii="MS UI Gothic" w:eastAsia="MS UI Gothic"/>
        </w:rPr>
        <w:t>ｍｍ</w:t>
      </w:r>
      <w:r>
        <w:rPr>
          <w:rFonts w:hint="eastAsia" w:ascii="MS UI Gothic" w:eastAsia="MS UI Gothic"/>
          <w:spacing w:val="-8"/>
          <w:position w:val="9"/>
          <w:sz w:val="12"/>
        </w:rPr>
        <w:t xml:space="preserve">２ </w:t>
      </w:r>
      <w:r>
        <w:rPr>
          <w:spacing w:val="14"/>
        </w:rPr>
        <w:t>的耐腐蚀</w:t>
      </w:r>
      <w:r>
        <w:rPr>
          <w:spacing w:val="3"/>
        </w:rPr>
        <w:t>扁钢</w:t>
      </w:r>
      <w:r>
        <w:rPr>
          <w:rFonts w:hint="eastAsia" w:ascii="MS UI Gothic" w:eastAsia="MS UI Gothic"/>
          <w:w w:val="90"/>
        </w:rPr>
        <w:t>ꎮ</w:t>
      </w:r>
    </w:p>
    <w:p>
      <w:pPr>
        <w:pStyle w:val="6"/>
        <w:spacing w:line="295" w:lineRule="auto"/>
        <w:ind w:left="130" w:right="442"/>
        <w:rPr>
          <w:rFonts w:hint="eastAsia" w:ascii="MS UI Gothic" w:eastAsia="MS UI Gothic"/>
        </w:rPr>
      </w:pPr>
      <w:r>
        <w:rPr>
          <w:spacing w:val="10"/>
        </w:rPr>
        <w:t>第四百八十条  橡套电缆的接地芯</w:t>
      </w:r>
      <w:r>
        <w:rPr>
          <w:spacing w:val="3"/>
        </w:rPr>
        <w:t>线</w:t>
      </w:r>
      <w:r>
        <w:rPr>
          <w:rFonts w:hint="eastAsia" w:ascii="MS UI Gothic" w:eastAsia="MS UI Gothic"/>
          <w:spacing w:val="22"/>
          <w:w w:val="80"/>
        </w:rPr>
        <w:t xml:space="preserve">ꎬ </w:t>
      </w:r>
      <w:r>
        <w:rPr>
          <w:spacing w:val="15"/>
        </w:rPr>
        <w:t>除用作监测接地回路外</w:t>
      </w:r>
      <w:r>
        <w:rPr>
          <w:rFonts w:hint="eastAsia" w:ascii="MS UI Gothic" w:eastAsia="MS UI Gothic"/>
          <w:spacing w:val="3"/>
          <w:w w:val="80"/>
        </w:rPr>
        <w:t xml:space="preserve">ꎬ </w:t>
      </w:r>
      <w:r>
        <w:rPr>
          <w:spacing w:val="17"/>
        </w:rPr>
        <w:t>不得兼作</w:t>
      </w:r>
      <w:r>
        <w:rPr>
          <w:spacing w:val="3"/>
        </w:rPr>
        <w:t>他用</w:t>
      </w:r>
      <w:r>
        <w:rPr>
          <w:rFonts w:hint="eastAsia" w:ascii="MS UI Gothic" w:eastAsia="MS UI Gothic"/>
          <w:w w:val="80"/>
        </w:rPr>
        <w:t>ꎮ</w:t>
      </w:r>
    </w:p>
    <w:p>
      <w:pPr>
        <w:pStyle w:val="6"/>
        <w:tabs>
          <w:tab w:val="left" w:pos="1597"/>
        </w:tabs>
        <w:spacing w:before="154" w:line="295" w:lineRule="auto"/>
        <w:ind w:left="1178" w:right="1071" w:hanging="420"/>
        <w:jc w:val="left"/>
      </w:pPr>
      <w:r>
        <w:rPr>
          <w:spacing w:val="3"/>
        </w:rPr>
        <w:t>第七</w:t>
      </w:r>
      <w:r>
        <w:t>节</w:t>
      </w:r>
      <w:r>
        <w:tab/>
      </w:r>
      <w:r>
        <w:rPr>
          <w:spacing w:val="3"/>
        </w:rPr>
        <w:t>电气设备</w:t>
      </w:r>
      <w:r>
        <w:rPr>
          <w:rFonts w:hint="eastAsia" w:ascii="Microsoft Yi Baiti" w:eastAsia="Microsoft Yi Baiti"/>
        </w:rPr>
        <w:t>、</w:t>
      </w:r>
      <w:r>
        <w:rPr>
          <w:rFonts w:hint="eastAsia" w:ascii="Microsoft Yi Baiti" w:eastAsia="Microsoft Yi Baiti"/>
          <w:spacing w:val="23"/>
        </w:rPr>
        <w:t xml:space="preserve"> </w:t>
      </w:r>
      <w:r>
        <w:rPr>
          <w:spacing w:val="3"/>
        </w:rPr>
        <w:t>电缆</w:t>
      </w:r>
      <w:r>
        <w:rPr>
          <w:spacing w:val="-11"/>
        </w:rPr>
        <w:t>的</w:t>
      </w:r>
      <w:r>
        <w:rPr>
          <w:spacing w:val="3"/>
        </w:rPr>
        <w:t>检查</w:t>
      </w:r>
      <w:r>
        <w:rPr>
          <w:rFonts w:hint="eastAsia" w:ascii="Microsoft Yi Baiti" w:eastAsia="Microsoft Yi Baiti"/>
        </w:rPr>
        <w:t>、</w:t>
      </w:r>
      <w:r>
        <w:rPr>
          <w:rFonts w:hint="eastAsia" w:ascii="Microsoft Yi Baiti" w:eastAsia="Microsoft Yi Baiti"/>
          <w:spacing w:val="19"/>
        </w:rPr>
        <w:t xml:space="preserve"> </w:t>
      </w:r>
      <w:r>
        <w:rPr>
          <w:spacing w:val="3"/>
        </w:rPr>
        <w:t>维护和调</w:t>
      </w:r>
      <w:r>
        <w:t>整</w:t>
      </w:r>
    </w:p>
    <w:p>
      <w:pPr>
        <w:pStyle w:val="6"/>
        <w:spacing w:before="156" w:line="295" w:lineRule="auto"/>
        <w:ind w:left="130" w:right="440"/>
        <w:rPr>
          <w:rFonts w:hint="eastAsia" w:ascii="MS UI Gothic" w:eastAsia="MS UI Gothic"/>
        </w:rPr>
      </w:pPr>
      <w:r>
        <w:t>第四百八十一条  电气设备的检查</w:t>
      </w:r>
      <w:r>
        <w:rPr>
          <w:rFonts w:hint="eastAsia" w:ascii="MS UI Gothic" w:eastAsia="MS UI Gothic"/>
          <w:w w:val="80"/>
        </w:rPr>
        <w:t>、</w:t>
      </w:r>
      <w:r>
        <w:t>维护和调整</w:t>
      </w:r>
      <w:r>
        <w:rPr>
          <w:rFonts w:hint="eastAsia" w:ascii="MS UI Gothic" w:eastAsia="MS UI Gothic"/>
          <w:w w:val="80"/>
        </w:rPr>
        <w:t xml:space="preserve">ꎬ </w:t>
      </w:r>
      <w:r>
        <w:t>必须由电气维修工进行</w:t>
      </w:r>
      <w:r>
        <w:rPr>
          <w:rFonts w:hint="eastAsia" w:ascii="MS UI Gothic" w:eastAsia="MS UI Gothic"/>
          <w:w w:val="80"/>
        </w:rPr>
        <w:t xml:space="preserve">ꎮ </w:t>
      </w:r>
      <w:r>
        <w:t>高压电气设备和线路的修理和调整工作</w:t>
      </w:r>
      <w:r>
        <w:rPr>
          <w:rFonts w:hint="eastAsia" w:ascii="MS UI Gothic" w:eastAsia="MS UI Gothic"/>
          <w:w w:val="80"/>
        </w:rPr>
        <w:t xml:space="preserve">ꎬ </w:t>
      </w:r>
      <w:r>
        <w:t>应当有工作票和施工措施</w:t>
      </w:r>
      <w:r>
        <w:rPr>
          <w:rFonts w:hint="eastAsia" w:ascii="MS UI Gothic" w:eastAsia="MS UI Gothic"/>
          <w:w w:val="80"/>
        </w:rPr>
        <w:t>ꎮ</w:t>
      </w:r>
    </w:p>
    <w:p>
      <w:pPr>
        <w:pStyle w:val="6"/>
        <w:spacing w:line="295" w:lineRule="auto"/>
        <w:ind w:left="130" w:right="442"/>
        <w:rPr>
          <w:rFonts w:hint="eastAsia" w:ascii="MS UI Gothic" w:eastAsia="MS UI Gothic"/>
        </w:rPr>
      </w:pPr>
      <w:r>
        <w:t>高压停</w:t>
      </w:r>
      <w:r>
        <w:rPr>
          <w:rFonts w:hint="eastAsia" w:ascii="MS UI Gothic" w:eastAsia="MS UI Gothic"/>
        </w:rPr>
        <w:t xml:space="preserve">、 </w:t>
      </w:r>
      <w:r>
        <w:t>送电的操作</w:t>
      </w:r>
      <w:r>
        <w:rPr>
          <w:rFonts w:hint="eastAsia" w:ascii="MS UI Gothic" w:eastAsia="MS UI Gothic"/>
          <w:w w:val="80"/>
        </w:rPr>
        <w:t xml:space="preserve">ꎬ </w:t>
      </w:r>
      <w:r>
        <w:t>可以根据书面申请或者其他联系方式</w:t>
      </w:r>
      <w:r>
        <w:rPr>
          <w:rFonts w:hint="eastAsia" w:ascii="MS UI Gothic" w:eastAsia="MS UI Gothic"/>
          <w:w w:val="80"/>
        </w:rPr>
        <w:t xml:space="preserve">ꎬ </w:t>
      </w:r>
      <w:r>
        <w:t>得到批准后</w:t>
      </w:r>
      <w:r>
        <w:rPr>
          <w:rFonts w:hint="eastAsia" w:ascii="MS UI Gothic" w:eastAsia="MS UI Gothic"/>
          <w:w w:val="80"/>
        </w:rPr>
        <w:t xml:space="preserve">ꎬ </w:t>
      </w:r>
      <w:r>
        <w:t>由专责电工执行</w:t>
      </w:r>
      <w:r>
        <w:rPr>
          <w:rFonts w:hint="eastAsia" w:ascii="MS UI Gothic" w:eastAsia="MS UI Gothic"/>
          <w:w w:val="80"/>
        </w:rPr>
        <w:t>ꎮ</w:t>
      </w:r>
    </w:p>
    <w:p>
      <w:pPr>
        <w:pStyle w:val="6"/>
        <w:spacing w:line="295" w:lineRule="auto"/>
        <w:ind w:left="130" w:right="442"/>
        <w:rPr>
          <w:rFonts w:hint="eastAsia" w:ascii="MS UI Gothic" w:eastAsia="MS UI Gothic"/>
        </w:rPr>
      </w:pPr>
      <w:r>
        <w:t>采区电工</w:t>
      </w:r>
      <w:r>
        <w:rPr>
          <w:rFonts w:hint="eastAsia" w:ascii="MS UI Gothic" w:eastAsia="MS UI Gothic"/>
          <w:w w:val="80"/>
        </w:rPr>
        <w:t xml:space="preserve">ꎬ </w:t>
      </w:r>
      <w:r>
        <w:t>在特殊情况下</w:t>
      </w:r>
      <w:r>
        <w:rPr>
          <w:rFonts w:hint="eastAsia" w:ascii="MS UI Gothic" w:eastAsia="MS UI Gothic"/>
          <w:w w:val="80"/>
        </w:rPr>
        <w:t xml:space="preserve">ꎬ </w:t>
      </w:r>
      <w:r>
        <w:t>可对采区变电所内高压电气设备进行停</w:t>
      </w:r>
      <w:r>
        <w:rPr>
          <w:rFonts w:hint="eastAsia" w:ascii="MS UI Gothic" w:eastAsia="MS UI Gothic"/>
          <w:w w:val="80"/>
        </w:rPr>
        <w:t xml:space="preserve">、 </w:t>
      </w:r>
      <w:r>
        <w:t>送电的操作</w:t>
      </w:r>
      <w:r>
        <w:rPr>
          <w:rFonts w:hint="eastAsia" w:ascii="MS UI Gothic" w:eastAsia="MS UI Gothic"/>
          <w:w w:val="80"/>
        </w:rPr>
        <w:t xml:space="preserve">ꎬ </w:t>
      </w:r>
      <w:r>
        <w:t>但不得打开电气设备进行修理</w:t>
      </w:r>
      <w:r>
        <w:rPr>
          <w:rFonts w:hint="eastAsia" w:ascii="MS UI Gothic" w:eastAsia="MS UI Gothic"/>
          <w:w w:val="80"/>
        </w:rPr>
        <w:t>ꎮ</w:t>
      </w:r>
    </w:p>
    <w:p>
      <w:pPr>
        <w:pStyle w:val="6"/>
        <w:spacing w:line="295" w:lineRule="auto"/>
        <w:ind w:left="130" w:right="442"/>
      </w:pPr>
      <w:r>
        <w:t>第四百八十二条 井下防爆电气设备的运行</w:t>
      </w:r>
      <w:r>
        <w:rPr>
          <w:rFonts w:hint="eastAsia" w:ascii="MS UI Gothic" w:eastAsia="MS UI Gothic"/>
          <w:w w:val="80"/>
        </w:rPr>
        <w:t xml:space="preserve">、 </w:t>
      </w:r>
      <w:r>
        <w:t>维护和修理</w:t>
      </w:r>
      <w:r>
        <w:rPr>
          <w:rFonts w:hint="eastAsia" w:ascii="MS UI Gothic" w:eastAsia="MS UI Gothic"/>
          <w:w w:val="80"/>
        </w:rPr>
        <w:t xml:space="preserve">ꎬ </w:t>
      </w:r>
      <w:r>
        <w:t>必须符合防爆性能的各项技术要求</w:t>
      </w:r>
      <w:r>
        <w:rPr>
          <w:rFonts w:hint="eastAsia" w:ascii="MS UI Gothic" w:eastAsia="MS UI Gothic"/>
          <w:w w:val="80"/>
        </w:rPr>
        <w:t xml:space="preserve">ꎮ </w:t>
      </w:r>
      <w:r>
        <w:t>防爆性能遭受破坏的电气设备</w:t>
      </w:r>
      <w:r>
        <w:rPr>
          <w:rFonts w:hint="eastAsia" w:ascii="MS UI Gothic" w:eastAsia="MS UI Gothic"/>
          <w:w w:val="80"/>
        </w:rPr>
        <w:t xml:space="preserve">ꎬ </w:t>
      </w:r>
      <w:r>
        <w:t>必须立即处理或者更换</w:t>
      </w:r>
      <w:r>
        <w:rPr>
          <w:rFonts w:hint="eastAsia" w:ascii="MS UI Gothic" w:eastAsia="MS UI Gothic"/>
          <w:w w:val="80"/>
        </w:rPr>
        <w:t xml:space="preserve">ꎬ </w:t>
      </w:r>
      <w:r>
        <w:t>严禁继</w:t>
      </w:r>
    </w:p>
    <w:p>
      <w:pPr>
        <w:spacing w:after="0" w:line="295" w:lineRule="auto"/>
        <w:sectPr>
          <w:type w:val="continuous"/>
          <w:pgSz w:w="10500" w:h="14750"/>
          <w:pgMar w:top="1400" w:right="980" w:bottom="280" w:left="980" w:header="720" w:footer="720" w:gutter="0"/>
          <w:cols w:equalWidth="0" w:num="2">
            <w:col w:w="3934" w:space="252"/>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３１７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75" o:spid="_x0000_s1975" o:spt="203" style="height:2.15pt;width:398.25pt;" coordsize="7965,43">
            <o:lock v:ext="edit"/>
            <v:line id="_x0000_s1976" o:spid="_x0000_s1976" o:spt="20" style="position:absolute;left:0;top:39;height:0;width:7965;" stroked="t" coordsize="21600,21600">
              <v:path arrowok="t"/>
              <v:fill focussize="0,0"/>
              <v:stroke weight="0.388031496062992pt" color="#231F20"/>
              <v:imagedata o:title=""/>
              <o:lock v:ext="edit"/>
            </v:line>
            <v:line id="_x0000_s1977" o:spid="_x0000_s197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续使用</w:t>
      </w:r>
      <w:r>
        <w:rPr>
          <w:rFonts w:hint="eastAsia" w:ascii="MS UI Gothic" w:eastAsia="MS UI Gothic"/>
          <w:w w:val="80"/>
        </w:rPr>
        <w:t>ꎮ</w:t>
      </w:r>
    </w:p>
    <w:p>
      <w:pPr>
        <w:pStyle w:val="6"/>
        <w:spacing w:before="58" w:line="295" w:lineRule="auto"/>
        <w:ind w:left="440"/>
        <w:rPr>
          <w:rFonts w:hint="eastAsia" w:ascii="MS UI Gothic" w:eastAsia="MS UI Gothic"/>
        </w:rPr>
      </w:pPr>
      <w:r>
        <w:t xml:space="preserve">第四百八十三条 矿井应当按表 </w:t>
      </w:r>
      <w:r>
        <w:rPr>
          <w:rFonts w:hint="eastAsia" w:ascii="MS UI Gothic" w:eastAsia="MS UI Gothic"/>
          <w:w w:val="85"/>
        </w:rPr>
        <w:t xml:space="preserve">１７ </w:t>
      </w:r>
      <w:r>
        <w:t>的要求对电气设备</w:t>
      </w:r>
      <w:r>
        <w:rPr>
          <w:rFonts w:hint="eastAsia" w:ascii="MS UI Gothic" w:eastAsia="MS UI Gothic"/>
        </w:rPr>
        <w:t xml:space="preserve">、 </w:t>
      </w:r>
      <w:r>
        <w:t>电缆进行检查和调整</w:t>
      </w:r>
      <w:r>
        <w:rPr>
          <w:rFonts w:hint="eastAsia" w:ascii="MS UI Gothic" w:eastAsia="MS UI Gothic"/>
          <w:w w:val="85"/>
        </w:rPr>
        <w:t>ꎮ</w:t>
      </w:r>
    </w:p>
    <w:p>
      <w:pPr>
        <w:pStyle w:val="6"/>
        <w:spacing w:before="124" w:line="295" w:lineRule="auto"/>
        <w:ind w:left="383" w:right="126"/>
        <w:rPr>
          <w:rFonts w:hint="eastAsia" w:ascii="MS UI Gothic" w:eastAsia="MS UI Gothic"/>
        </w:rPr>
      </w:pPr>
      <w:r>
        <w:br w:type="column"/>
      </w:r>
      <w:r>
        <w:t>检查和调整结果应当记入专用的记录簿内</w:t>
      </w:r>
      <w:r>
        <w:rPr>
          <w:rFonts w:hint="eastAsia" w:ascii="MS UI Gothic" w:eastAsia="MS UI Gothic"/>
          <w:w w:val="80"/>
        </w:rPr>
        <w:t xml:space="preserve">ꎮ </w:t>
      </w:r>
      <w:r>
        <w:t>检查和调整中发现的问题应当指派</w:t>
      </w:r>
      <w:r>
        <w:rPr>
          <w:w w:val="105"/>
        </w:rPr>
        <w:t>专人限期处理</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9"/>
        <w:ind w:left="0" w:firstLine="0"/>
        <w:jc w:val="left"/>
        <w:rPr>
          <w:rFonts w:ascii="MS UI Gothic"/>
          <w:sz w:val="10"/>
        </w:rPr>
      </w:pPr>
    </w:p>
    <w:p>
      <w:pPr>
        <w:pStyle w:val="6"/>
        <w:spacing w:before="175"/>
        <w:ind w:left="310" w:firstLine="0"/>
        <w:jc w:val="center"/>
      </w:pPr>
      <w:r>
        <w:rPr>
          <w:w w:val="95"/>
        </w:rPr>
        <w:t xml:space="preserve">表 </w:t>
      </w:r>
      <w:r>
        <w:rPr>
          <w:rFonts w:hint="eastAsia" w:ascii="MS UI Gothic" w:eastAsia="MS UI Gothic"/>
          <w:w w:val="95"/>
        </w:rPr>
        <w:t xml:space="preserve">１７ </w:t>
      </w:r>
      <w:r>
        <w:rPr>
          <w:w w:val="95"/>
        </w:rPr>
        <w:t>电气设备</w:t>
      </w:r>
      <w:r>
        <w:rPr>
          <w:rFonts w:hint="eastAsia" w:ascii="Microsoft Yi Baiti" w:eastAsia="Microsoft Yi Baiti"/>
          <w:w w:val="95"/>
        </w:rPr>
        <w:t xml:space="preserve">、 </w:t>
      </w:r>
      <w:r>
        <w:rPr>
          <w:w w:val="95"/>
        </w:rPr>
        <w:t>电缆的检查和调整</w:t>
      </w:r>
    </w:p>
    <w:p>
      <w:pPr>
        <w:pStyle w:val="6"/>
        <w:spacing w:before="1"/>
        <w:ind w:left="0" w:firstLine="0"/>
        <w:jc w:val="left"/>
        <w:rPr>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3183"/>
        <w:gridCol w:w="1592"/>
        <w:gridCol w:w="3191"/>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3183" w:type="dxa"/>
            <w:tcBorders>
              <w:bottom w:val="single" w:color="231F20" w:sz="4" w:space="0"/>
              <w:right w:val="single" w:color="231F20" w:sz="4" w:space="0"/>
            </w:tcBorders>
          </w:tcPr>
          <w:p>
            <w:pPr>
              <w:pStyle w:val="11"/>
              <w:tabs>
                <w:tab w:val="left" w:pos="487"/>
              </w:tabs>
              <w:spacing w:before="50"/>
              <w:ind w:left="10"/>
              <w:jc w:val="center"/>
              <w:rPr>
                <w:sz w:val="15"/>
              </w:rPr>
            </w:pPr>
            <w:r>
              <w:rPr>
                <w:w w:val="105"/>
                <w:sz w:val="15"/>
              </w:rPr>
              <w:t>项</w:t>
            </w:r>
            <w:r>
              <w:rPr>
                <w:w w:val="105"/>
                <w:sz w:val="15"/>
              </w:rPr>
              <w:tab/>
            </w:r>
            <w:r>
              <w:rPr>
                <w:w w:val="105"/>
                <w:sz w:val="15"/>
              </w:rPr>
              <w:t>目</w:t>
            </w:r>
          </w:p>
        </w:tc>
        <w:tc>
          <w:tcPr>
            <w:tcW w:w="1592" w:type="dxa"/>
            <w:tcBorders>
              <w:left w:val="single" w:color="231F20" w:sz="4" w:space="0"/>
              <w:bottom w:val="single" w:color="231F20" w:sz="4" w:space="0"/>
              <w:right w:val="single" w:color="231F20" w:sz="4" w:space="0"/>
            </w:tcBorders>
          </w:tcPr>
          <w:p>
            <w:pPr>
              <w:pStyle w:val="11"/>
              <w:spacing w:before="50"/>
              <w:ind w:left="481"/>
              <w:rPr>
                <w:sz w:val="15"/>
              </w:rPr>
            </w:pPr>
            <w:r>
              <w:rPr>
                <w:w w:val="105"/>
                <w:sz w:val="15"/>
              </w:rPr>
              <w:t>检查周期</w:t>
            </w:r>
          </w:p>
        </w:tc>
        <w:tc>
          <w:tcPr>
            <w:tcW w:w="3191" w:type="dxa"/>
            <w:tcBorders>
              <w:left w:val="single" w:color="231F20" w:sz="4" w:space="0"/>
              <w:bottom w:val="single" w:color="231F20" w:sz="4" w:space="0"/>
            </w:tcBorders>
          </w:tcPr>
          <w:p>
            <w:pPr>
              <w:pStyle w:val="11"/>
              <w:tabs>
                <w:tab w:val="left" w:pos="495"/>
              </w:tabs>
              <w:spacing w:before="50"/>
              <w:ind w:left="18"/>
              <w:jc w:val="center"/>
              <w:rPr>
                <w:sz w:val="15"/>
              </w:rPr>
            </w:pPr>
            <w:r>
              <w:rPr>
                <w:w w:val="105"/>
                <w:sz w:val="15"/>
              </w:rPr>
              <w:t>备</w:t>
            </w:r>
            <w:r>
              <w:rPr>
                <w:w w:val="105"/>
                <w:sz w:val="15"/>
              </w:rPr>
              <w:tab/>
            </w:r>
            <w:r>
              <w:rPr>
                <w:w w:val="105"/>
                <w:sz w:val="15"/>
              </w:rPr>
              <w:t>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183"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使用中的防爆电气设备的防爆性能检查</w:t>
            </w:r>
          </w:p>
        </w:tc>
        <w:tc>
          <w:tcPr>
            <w:tcW w:w="1592"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sz w:val="15"/>
              </w:rPr>
              <w:t xml:space="preserve">每月 </w:t>
            </w:r>
            <w:r>
              <w:rPr>
                <w:rFonts w:hint="eastAsia" w:ascii="MS UI Gothic" w:eastAsia="MS UI Gothic"/>
                <w:sz w:val="15"/>
              </w:rPr>
              <w:t xml:space="preserve">１ </w:t>
            </w:r>
            <w:r>
              <w:rPr>
                <w:sz w:val="15"/>
              </w:rPr>
              <w:t>次</w:t>
            </w:r>
          </w:p>
        </w:tc>
        <w:tc>
          <w:tcPr>
            <w:tcW w:w="3191" w:type="dxa"/>
            <w:tcBorders>
              <w:top w:val="single" w:color="231F20" w:sz="4" w:space="0"/>
              <w:left w:val="single" w:color="231F20" w:sz="4" w:space="0"/>
              <w:bottom w:val="single" w:color="231F20" w:sz="4" w:space="0"/>
            </w:tcBorders>
          </w:tcPr>
          <w:p>
            <w:pPr>
              <w:pStyle w:val="11"/>
              <w:spacing w:before="55"/>
              <w:ind w:left="267"/>
              <w:rPr>
                <w:sz w:val="15"/>
              </w:rPr>
            </w:pPr>
            <w:r>
              <w:rPr>
                <w:sz w:val="15"/>
              </w:rPr>
              <w:t xml:space="preserve">每日应由分片负责电工检查 </w:t>
            </w:r>
            <w:r>
              <w:rPr>
                <w:rFonts w:hint="eastAsia" w:ascii="MS UI Gothic" w:eastAsia="MS UI Gothic"/>
                <w:sz w:val="15"/>
              </w:rPr>
              <w:t xml:space="preserve">１ </w:t>
            </w:r>
            <w:r>
              <w:rPr>
                <w:sz w:val="15"/>
              </w:rPr>
              <w:t>次外部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183"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配电系统断电保护装置检查整定</w:t>
            </w:r>
          </w:p>
        </w:tc>
        <w:tc>
          <w:tcPr>
            <w:tcW w:w="1592"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sz w:val="15"/>
              </w:rPr>
              <w:t xml:space="preserve">每 </w:t>
            </w:r>
            <w:r>
              <w:rPr>
                <w:rFonts w:hint="eastAsia" w:ascii="MS UI Gothic" w:eastAsia="MS UI Gothic"/>
                <w:sz w:val="15"/>
              </w:rPr>
              <w:t xml:space="preserve">６ </w:t>
            </w:r>
            <w:r>
              <w:rPr>
                <w:sz w:val="15"/>
              </w:rPr>
              <w:t xml:space="preserve">个月 </w:t>
            </w:r>
            <w:r>
              <w:rPr>
                <w:rFonts w:hint="eastAsia" w:ascii="MS UI Gothic" w:eastAsia="MS UI Gothic"/>
                <w:sz w:val="15"/>
              </w:rPr>
              <w:t xml:space="preserve">１ </w:t>
            </w:r>
            <w:r>
              <w:rPr>
                <w:sz w:val="15"/>
              </w:rPr>
              <w:t>次</w:t>
            </w:r>
          </w:p>
        </w:tc>
        <w:tc>
          <w:tcPr>
            <w:tcW w:w="3191" w:type="dxa"/>
            <w:tcBorders>
              <w:top w:val="single" w:color="231F20" w:sz="4" w:space="0"/>
              <w:left w:val="single" w:color="231F20" w:sz="4" w:space="0"/>
              <w:bottom w:val="single" w:color="231F20" w:sz="4" w:space="0"/>
            </w:tcBorders>
          </w:tcPr>
          <w:p>
            <w:pPr>
              <w:pStyle w:val="11"/>
              <w:spacing w:before="55"/>
              <w:ind w:left="267"/>
              <w:rPr>
                <w:sz w:val="15"/>
              </w:rPr>
            </w:pPr>
            <w:r>
              <w:rPr>
                <w:w w:val="105"/>
                <w:sz w:val="15"/>
              </w:rPr>
              <w:t>负荷变化时应及时整定</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183"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高压电缆的泄漏和耐压试验</w:t>
            </w:r>
          </w:p>
        </w:tc>
        <w:tc>
          <w:tcPr>
            <w:tcW w:w="1592"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sz w:val="15"/>
              </w:rPr>
              <w:t xml:space="preserve">每年 </w:t>
            </w:r>
            <w:r>
              <w:rPr>
                <w:rFonts w:hint="eastAsia" w:ascii="MS UI Gothic" w:eastAsia="MS UI Gothic"/>
                <w:sz w:val="15"/>
              </w:rPr>
              <w:t xml:space="preserve">１ </w:t>
            </w:r>
            <w:r>
              <w:rPr>
                <w:sz w:val="15"/>
              </w:rPr>
              <w:t>次</w:t>
            </w:r>
          </w:p>
        </w:tc>
        <w:tc>
          <w:tcPr>
            <w:tcW w:w="3191" w:type="dxa"/>
            <w:tcBorders>
              <w:top w:val="single" w:color="231F20" w:sz="4" w:space="0"/>
              <w:left w:val="single" w:color="231F20" w:sz="4" w:space="0"/>
              <w:bottom w:val="single" w:color="231F20" w:sz="4" w:space="0"/>
            </w:tcBorders>
          </w:tcPr>
          <w:p>
            <w:pPr>
              <w:pStyle w:val="11"/>
              <w:rPr>
                <w:rFonts w:ascii="Times New Roman"/>
                <w:sz w:val="1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3183" w:type="dxa"/>
            <w:tcBorders>
              <w:top w:val="single" w:color="231F20" w:sz="4" w:space="0"/>
              <w:bottom w:val="single" w:color="231F20" w:sz="4" w:space="0"/>
              <w:right w:val="single" w:color="231F20" w:sz="4" w:space="0"/>
            </w:tcBorders>
          </w:tcPr>
          <w:p>
            <w:pPr>
              <w:pStyle w:val="11"/>
              <w:spacing w:before="9"/>
              <w:rPr>
                <w:sz w:val="16"/>
              </w:rPr>
            </w:pPr>
          </w:p>
          <w:p>
            <w:pPr>
              <w:pStyle w:val="11"/>
              <w:ind w:left="263"/>
              <w:rPr>
                <w:sz w:val="15"/>
              </w:rPr>
            </w:pPr>
            <w:r>
              <w:rPr>
                <w:w w:val="105"/>
                <w:sz w:val="15"/>
              </w:rPr>
              <w:t>主要电气设备绝缘电阻的检查</w:t>
            </w:r>
          </w:p>
        </w:tc>
        <w:tc>
          <w:tcPr>
            <w:tcW w:w="1592" w:type="dxa"/>
            <w:tcBorders>
              <w:top w:val="single" w:color="231F20" w:sz="4" w:space="0"/>
              <w:left w:val="single" w:color="231F20" w:sz="4" w:space="0"/>
              <w:bottom w:val="single" w:color="231F20" w:sz="4" w:space="0"/>
              <w:right w:val="single" w:color="231F20" w:sz="4" w:space="0"/>
            </w:tcBorders>
          </w:tcPr>
          <w:p>
            <w:pPr>
              <w:pStyle w:val="11"/>
              <w:spacing w:before="82"/>
              <w:ind w:left="276"/>
              <w:rPr>
                <w:sz w:val="15"/>
              </w:rPr>
            </w:pPr>
            <w:r>
              <w:rPr>
                <w:sz w:val="15"/>
              </w:rPr>
              <w:t xml:space="preserve">每 </w:t>
            </w:r>
            <w:r>
              <w:rPr>
                <w:rFonts w:hint="eastAsia" w:ascii="MS UI Gothic" w:eastAsia="MS UI Gothic"/>
                <w:sz w:val="15"/>
              </w:rPr>
              <w:t xml:space="preserve">６ </w:t>
            </w:r>
            <w:r>
              <w:rPr>
                <w:sz w:val="15"/>
              </w:rPr>
              <w:t>个月不少于</w:t>
            </w:r>
          </w:p>
          <w:p>
            <w:pPr>
              <w:pStyle w:val="11"/>
              <w:spacing w:before="72"/>
              <w:ind w:left="105"/>
              <w:rPr>
                <w:sz w:val="15"/>
              </w:rPr>
            </w:pPr>
            <w:r>
              <w:rPr>
                <w:rFonts w:hint="eastAsia" w:ascii="MS UI Gothic" w:eastAsia="MS UI Gothic"/>
                <w:sz w:val="15"/>
              </w:rPr>
              <w:t xml:space="preserve">１ </w:t>
            </w:r>
            <w:r>
              <w:rPr>
                <w:sz w:val="15"/>
              </w:rPr>
              <w:t>次</w:t>
            </w:r>
          </w:p>
        </w:tc>
        <w:tc>
          <w:tcPr>
            <w:tcW w:w="3191" w:type="dxa"/>
            <w:tcBorders>
              <w:top w:val="single" w:color="231F20" w:sz="4" w:space="0"/>
              <w:left w:val="single" w:color="231F20" w:sz="4" w:space="0"/>
              <w:bottom w:val="single" w:color="231F20" w:sz="4" w:space="0"/>
            </w:tcBorders>
          </w:tcPr>
          <w:p>
            <w:pPr>
              <w:pStyle w:val="11"/>
              <w:rPr>
                <w:rFonts w:ascii="Times New Roman"/>
                <w:sz w:val="1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3183" w:type="dxa"/>
            <w:tcBorders>
              <w:top w:val="single" w:color="231F20" w:sz="4" w:space="0"/>
              <w:bottom w:val="single" w:color="231F20" w:sz="4" w:space="0"/>
              <w:right w:val="single" w:color="231F20" w:sz="4" w:space="0"/>
            </w:tcBorders>
          </w:tcPr>
          <w:p>
            <w:pPr>
              <w:pStyle w:val="11"/>
              <w:spacing w:before="9"/>
              <w:rPr>
                <w:sz w:val="16"/>
              </w:rPr>
            </w:pPr>
          </w:p>
          <w:p>
            <w:pPr>
              <w:pStyle w:val="11"/>
              <w:ind w:left="263"/>
              <w:rPr>
                <w:sz w:val="15"/>
              </w:rPr>
            </w:pPr>
            <w:r>
              <w:rPr>
                <w:w w:val="105"/>
                <w:sz w:val="15"/>
              </w:rPr>
              <w:t>固定敷设电缆的绝缘和外部检查</w:t>
            </w:r>
          </w:p>
        </w:tc>
        <w:tc>
          <w:tcPr>
            <w:tcW w:w="1592" w:type="dxa"/>
            <w:tcBorders>
              <w:top w:val="single" w:color="231F20" w:sz="4" w:space="0"/>
              <w:left w:val="single" w:color="231F20" w:sz="4" w:space="0"/>
              <w:bottom w:val="single" w:color="231F20" w:sz="4" w:space="0"/>
              <w:right w:val="single" w:color="231F20" w:sz="4" w:space="0"/>
            </w:tcBorders>
          </w:tcPr>
          <w:p>
            <w:pPr>
              <w:pStyle w:val="11"/>
              <w:spacing w:before="214"/>
              <w:ind w:left="268"/>
              <w:rPr>
                <w:sz w:val="15"/>
              </w:rPr>
            </w:pPr>
            <w:r>
              <w:rPr>
                <w:sz w:val="15"/>
              </w:rPr>
              <w:t xml:space="preserve">每季 </w:t>
            </w:r>
            <w:r>
              <w:rPr>
                <w:rFonts w:hint="eastAsia" w:ascii="MS UI Gothic" w:eastAsia="MS UI Gothic"/>
                <w:sz w:val="15"/>
              </w:rPr>
              <w:t xml:space="preserve">１ </w:t>
            </w:r>
            <w:r>
              <w:rPr>
                <w:sz w:val="15"/>
              </w:rPr>
              <w:t>次</w:t>
            </w:r>
          </w:p>
        </w:tc>
        <w:tc>
          <w:tcPr>
            <w:tcW w:w="3191" w:type="dxa"/>
            <w:tcBorders>
              <w:top w:val="single" w:color="231F20" w:sz="4" w:space="0"/>
              <w:left w:val="single" w:color="231F20" w:sz="4" w:space="0"/>
              <w:bottom w:val="single" w:color="231F20" w:sz="4" w:space="0"/>
            </w:tcBorders>
          </w:tcPr>
          <w:p>
            <w:pPr>
              <w:pStyle w:val="11"/>
              <w:spacing w:before="14" w:line="260" w:lineRule="atLeast"/>
              <w:ind w:left="108" w:right="88" w:firstLine="159"/>
              <w:rPr>
                <w:sz w:val="15"/>
              </w:rPr>
            </w:pPr>
            <w:r>
              <w:rPr>
                <w:sz w:val="15"/>
              </w:rPr>
              <w:t xml:space="preserve">每周应由专责电工检查 </w:t>
            </w:r>
            <w:r>
              <w:rPr>
                <w:rFonts w:hint="eastAsia" w:ascii="MS UI Gothic" w:eastAsia="MS UI Gothic"/>
                <w:sz w:val="15"/>
              </w:rPr>
              <w:t xml:space="preserve">１ </w:t>
            </w:r>
            <w:r>
              <w:rPr>
                <w:sz w:val="15"/>
              </w:rPr>
              <w:t>次外部和悬挂情况</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3183" w:type="dxa"/>
            <w:tcBorders>
              <w:top w:val="single" w:color="231F20" w:sz="4" w:space="0"/>
              <w:bottom w:val="single" w:color="231F20" w:sz="4" w:space="0"/>
              <w:right w:val="single" w:color="231F20" w:sz="4" w:space="0"/>
            </w:tcBorders>
          </w:tcPr>
          <w:p>
            <w:pPr>
              <w:pStyle w:val="11"/>
              <w:spacing w:before="9"/>
              <w:rPr>
                <w:sz w:val="16"/>
              </w:rPr>
            </w:pPr>
          </w:p>
          <w:p>
            <w:pPr>
              <w:pStyle w:val="11"/>
              <w:ind w:left="263"/>
              <w:rPr>
                <w:sz w:val="15"/>
              </w:rPr>
            </w:pPr>
            <w:r>
              <w:rPr>
                <w:w w:val="105"/>
                <w:sz w:val="15"/>
              </w:rPr>
              <w:t>移动式电气设备的橡套电缆绝缘检查</w:t>
            </w:r>
          </w:p>
        </w:tc>
        <w:tc>
          <w:tcPr>
            <w:tcW w:w="1592" w:type="dxa"/>
            <w:tcBorders>
              <w:top w:val="single" w:color="231F20" w:sz="4" w:space="0"/>
              <w:left w:val="single" w:color="231F20" w:sz="4" w:space="0"/>
              <w:bottom w:val="single" w:color="231F20" w:sz="4" w:space="0"/>
              <w:right w:val="single" w:color="231F20" w:sz="4" w:space="0"/>
            </w:tcBorders>
          </w:tcPr>
          <w:p>
            <w:pPr>
              <w:pStyle w:val="11"/>
              <w:spacing w:before="214"/>
              <w:ind w:left="268"/>
              <w:rPr>
                <w:sz w:val="15"/>
              </w:rPr>
            </w:pPr>
            <w:r>
              <w:rPr>
                <w:sz w:val="15"/>
              </w:rPr>
              <w:t xml:space="preserve">每月 </w:t>
            </w:r>
            <w:r>
              <w:rPr>
                <w:rFonts w:hint="eastAsia" w:ascii="MS UI Gothic" w:eastAsia="MS UI Gothic"/>
                <w:sz w:val="15"/>
              </w:rPr>
              <w:t xml:space="preserve">１ </w:t>
            </w:r>
            <w:r>
              <w:rPr>
                <w:sz w:val="15"/>
              </w:rPr>
              <w:t>次</w:t>
            </w:r>
          </w:p>
        </w:tc>
        <w:tc>
          <w:tcPr>
            <w:tcW w:w="3191" w:type="dxa"/>
            <w:tcBorders>
              <w:top w:val="single" w:color="231F20" w:sz="4" w:space="0"/>
              <w:left w:val="single" w:color="231F20" w:sz="4" w:space="0"/>
              <w:bottom w:val="single" w:color="231F20" w:sz="4" w:space="0"/>
            </w:tcBorders>
          </w:tcPr>
          <w:p>
            <w:pPr>
              <w:pStyle w:val="11"/>
              <w:spacing w:before="15" w:line="260" w:lineRule="atLeast"/>
              <w:ind w:left="108" w:right="88" w:firstLine="159"/>
              <w:rPr>
                <w:sz w:val="15"/>
              </w:rPr>
            </w:pPr>
            <w:r>
              <w:rPr>
                <w:sz w:val="15"/>
              </w:rPr>
              <w:t xml:space="preserve">每班由当班司机或专责电工检查 </w:t>
            </w:r>
            <w:r>
              <w:rPr>
                <w:rFonts w:hint="eastAsia" w:ascii="MS UI Gothic" w:eastAsia="MS UI Gothic"/>
                <w:sz w:val="15"/>
              </w:rPr>
              <w:t xml:space="preserve">１ </w:t>
            </w:r>
            <w:r>
              <w:rPr>
                <w:sz w:val="15"/>
              </w:rPr>
              <w:t>次外皮有无破损</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183"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接地电网接地电阻值测定</w:t>
            </w:r>
          </w:p>
        </w:tc>
        <w:tc>
          <w:tcPr>
            <w:tcW w:w="1592"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sz w:val="15"/>
              </w:rPr>
              <w:t xml:space="preserve">每季 </w:t>
            </w:r>
            <w:r>
              <w:rPr>
                <w:rFonts w:hint="eastAsia" w:ascii="MS UI Gothic" w:eastAsia="MS UI Gothic"/>
                <w:sz w:val="15"/>
              </w:rPr>
              <w:t xml:space="preserve">１ </w:t>
            </w:r>
            <w:r>
              <w:rPr>
                <w:sz w:val="15"/>
              </w:rPr>
              <w:t>次</w:t>
            </w:r>
          </w:p>
        </w:tc>
        <w:tc>
          <w:tcPr>
            <w:tcW w:w="3191" w:type="dxa"/>
            <w:tcBorders>
              <w:top w:val="single" w:color="231F20" w:sz="4" w:space="0"/>
              <w:left w:val="single" w:color="231F20" w:sz="4" w:space="0"/>
              <w:bottom w:val="single" w:color="231F20" w:sz="4" w:space="0"/>
            </w:tcBorders>
          </w:tcPr>
          <w:p>
            <w:pPr>
              <w:pStyle w:val="11"/>
              <w:rPr>
                <w:rFonts w:ascii="Times New Roman"/>
                <w:sz w:val="1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3183" w:type="dxa"/>
            <w:tcBorders>
              <w:top w:val="single" w:color="231F20" w:sz="4" w:space="0"/>
              <w:right w:val="single" w:color="231F20" w:sz="4" w:space="0"/>
            </w:tcBorders>
          </w:tcPr>
          <w:p>
            <w:pPr>
              <w:pStyle w:val="11"/>
              <w:spacing w:before="15" w:line="260" w:lineRule="atLeast"/>
              <w:ind w:left="104" w:right="92" w:firstLine="159"/>
              <w:rPr>
                <w:sz w:val="15"/>
              </w:rPr>
            </w:pPr>
            <w:r>
              <w:rPr>
                <w:sz w:val="15"/>
              </w:rPr>
              <w:t>新安装的电气设备绝缘电阻和接地电阻</w:t>
            </w:r>
            <w:r>
              <w:rPr>
                <w:w w:val="105"/>
                <w:sz w:val="15"/>
              </w:rPr>
              <w:t>的测定</w:t>
            </w:r>
          </w:p>
        </w:tc>
        <w:tc>
          <w:tcPr>
            <w:tcW w:w="1592" w:type="dxa"/>
            <w:tcBorders>
              <w:top w:val="single" w:color="231F20" w:sz="4" w:space="0"/>
              <w:left w:val="single" w:color="231F20" w:sz="4" w:space="0"/>
              <w:right w:val="single" w:color="231F20" w:sz="4" w:space="0"/>
            </w:tcBorders>
          </w:tcPr>
          <w:p>
            <w:pPr>
              <w:pStyle w:val="11"/>
              <w:rPr>
                <w:rFonts w:ascii="Times New Roman"/>
                <w:sz w:val="18"/>
              </w:rPr>
            </w:pPr>
          </w:p>
        </w:tc>
        <w:tc>
          <w:tcPr>
            <w:tcW w:w="3191" w:type="dxa"/>
            <w:tcBorders>
              <w:top w:val="single" w:color="231F20" w:sz="4" w:space="0"/>
              <w:left w:val="single" w:color="231F20" w:sz="4" w:space="0"/>
            </w:tcBorders>
          </w:tcPr>
          <w:p>
            <w:pPr>
              <w:pStyle w:val="11"/>
              <w:spacing w:before="9"/>
              <w:rPr>
                <w:sz w:val="16"/>
              </w:rPr>
            </w:pPr>
          </w:p>
          <w:p>
            <w:pPr>
              <w:pStyle w:val="11"/>
              <w:ind w:left="267"/>
              <w:rPr>
                <w:sz w:val="15"/>
              </w:rPr>
            </w:pPr>
            <w:r>
              <w:rPr>
                <w:w w:val="105"/>
                <w:sz w:val="15"/>
              </w:rPr>
              <w:t>投入运行以前</w:t>
            </w:r>
          </w:p>
        </w:tc>
      </w:tr>
    </w:tbl>
    <w:p>
      <w:pPr>
        <w:pStyle w:val="6"/>
        <w:spacing w:before="2"/>
        <w:ind w:left="0" w:firstLine="0"/>
        <w:jc w:val="left"/>
        <w:rPr>
          <w:sz w:val="8"/>
        </w:rPr>
      </w:pPr>
    </w:p>
    <w:p>
      <w:pPr>
        <w:spacing w:after="0"/>
        <w:jc w:val="left"/>
        <w:rPr>
          <w:sz w:val="8"/>
        </w:rPr>
        <w:sectPr>
          <w:type w:val="continuous"/>
          <w:pgSz w:w="10500" w:h="14750"/>
          <w:pgMar w:top="1400" w:right="980" w:bottom="280" w:left="980" w:header="720" w:footer="720" w:gutter="0"/>
        </w:sectPr>
      </w:pPr>
    </w:p>
    <w:p>
      <w:pPr>
        <w:pStyle w:val="6"/>
        <w:spacing w:before="12"/>
        <w:ind w:left="0" w:firstLine="0"/>
        <w:jc w:val="left"/>
        <w:rPr>
          <w:sz w:val="25"/>
        </w:rPr>
      </w:pPr>
    </w:p>
    <w:p>
      <w:pPr>
        <w:pStyle w:val="6"/>
        <w:tabs>
          <w:tab w:val="left" w:pos="2117"/>
        </w:tabs>
        <w:ind w:left="1279" w:firstLine="0"/>
        <w:jc w:val="left"/>
      </w:pPr>
      <w:r>
        <w:rPr>
          <w:spacing w:val="3"/>
          <w:w w:val="105"/>
        </w:rPr>
        <w:t>第八</w:t>
      </w:r>
      <w:r>
        <w:rPr>
          <w:w w:val="105"/>
        </w:rPr>
        <w:t>节</w:t>
      </w:r>
      <w:r>
        <w:rPr>
          <w:w w:val="105"/>
        </w:rPr>
        <w:tab/>
      </w:r>
      <w:r>
        <w:rPr>
          <w:spacing w:val="3"/>
          <w:w w:val="105"/>
        </w:rPr>
        <w:t>井下电池电</w:t>
      </w:r>
      <w:r>
        <w:rPr>
          <w:w w:val="105"/>
        </w:rPr>
        <w:t>源</w:t>
      </w:r>
    </w:p>
    <w:p>
      <w:pPr>
        <w:pStyle w:val="6"/>
        <w:spacing w:before="10"/>
        <w:ind w:left="0" w:firstLine="0"/>
        <w:jc w:val="left"/>
        <w:rPr>
          <w:sz w:val="16"/>
        </w:rPr>
      </w:pPr>
    </w:p>
    <w:p>
      <w:pPr>
        <w:pStyle w:val="6"/>
        <w:tabs>
          <w:tab w:val="left" w:pos="2536"/>
        </w:tabs>
        <w:spacing w:line="288" w:lineRule="auto"/>
        <w:ind w:left="440"/>
        <w:jc w:val="left"/>
        <w:rPr>
          <w:rFonts w:hint="eastAsia" w:ascii="MS UI Gothic" w:eastAsia="MS UI Gothic"/>
        </w:rPr>
      </w:pPr>
      <w:r>
        <w:rPr>
          <w:spacing w:val="3"/>
          <w:w w:val="105"/>
        </w:rPr>
        <w:t>第四百八十四</w:t>
      </w:r>
      <w:r>
        <w:rPr>
          <w:w w:val="105"/>
        </w:rPr>
        <w:t>条</w:t>
      </w:r>
      <w:r>
        <w:rPr>
          <w:w w:val="105"/>
        </w:rPr>
        <w:tab/>
      </w:r>
      <w:r>
        <w:rPr>
          <w:spacing w:val="3"/>
          <w:w w:val="110"/>
        </w:rPr>
        <w:t>井下用</w:t>
      </w:r>
      <w:r>
        <w:rPr>
          <w:spacing w:val="7"/>
          <w:w w:val="110"/>
        </w:rPr>
        <w:t>电</w:t>
      </w:r>
      <w:r>
        <w:rPr>
          <w:w w:val="110"/>
        </w:rPr>
        <w:t>池</w:t>
      </w:r>
      <w:r>
        <w:rPr>
          <w:spacing w:val="-73"/>
          <w:w w:val="110"/>
        </w:rPr>
        <w:t xml:space="preserve"> </w:t>
      </w:r>
      <w:r>
        <w:rPr>
          <w:rFonts w:hint="eastAsia" w:ascii="MS UI Gothic" w:eastAsia="MS UI Gothic"/>
          <w:w w:val="110"/>
        </w:rPr>
        <w:t>(</w:t>
      </w:r>
      <w:r>
        <w:rPr>
          <w:rFonts w:hint="eastAsia" w:ascii="MS UI Gothic" w:eastAsia="MS UI Gothic"/>
          <w:spacing w:val="-55"/>
          <w:w w:val="110"/>
        </w:rPr>
        <w:t xml:space="preserve"> </w:t>
      </w:r>
      <w:r>
        <w:rPr>
          <w:spacing w:val="7"/>
          <w:w w:val="110"/>
        </w:rPr>
        <w:t>包</w:t>
      </w:r>
      <w:r>
        <w:rPr>
          <w:spacing w:val="-15"/>
          <w:w w:val="110"/>
        </w:rPr>
        <w:t>括</w:t>
      </w:r>
      <w:r>
        <w:rPr>
          <w:spacing w:val="3"/>
          <w:w w:val="115"/>
        </w:rPr>
        <w:t>原电池和蓄电池</w:t>
      </w:r>
      <w:r>
        <w:rPr>
          <w:rFonts w:hint="eastAsia" w:ascii="MS UI Gothic" w:eastAsia="MS UI Gothic"/>
          <w:w w:val="125"/>
        </w:rPr>
        <w:t>)</w:t>
      </w:r>
      <w:r>
        <w:rPr>
          <w:rFonts w:hint="eastAsia" w:ascii="MS UI Gothic" w:eastAsia="MS UI Gothic"/>
          <w:spacing w:val="-34"/>
          <w:w w:val="125"/>
        </w:rPr>
        <w:t xml:space="preserve"> </w:t>
      </w:r>
      <w:r>
        <w:rPr>
          <w:spacing w:val="3"/>
          <w:w w:val="115"/>
        </w:rPr>
        <w:t>应当符合下列要求</w:t>
      </w:r>
      <w:r>
        <w:rPr>
          <w:rFonts w:hint="eastAsia" w:ascii="MS UI Gothic" w:eastAsia="MS UI Gothic"/>
          <w:w w:val="125"/>
        </w:rPr>
        <w:t>:</w:t>
      </w:r>
    </w:p>
    <w:p>
      <w:pPr>
        <w:pStyle w:val="6"/>
        <w:spacing w:before="6" w:line="290" w:lineRule="auto"/>
        <w:ind w:left="440"/>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串联或者并联的电池组保持厂家</w:t>
      </w:r>
      <w:r>
        <w:rPr>
          <w:rFonts w:hint="eastAsia" w:ascii="MS UI Gothic" w:eastAsia="MS UI Gothic"/>
          <w:w w:val="80"/>
        </w:rPr>
        <w:t xml:space="preserve">、 </w:t>
      </w:r>
      <w:r>
        <w:rPr>
          <w:w w:val="105"/>
        </w:rPr>
        <w:t>型号</w:t>
      </w:r>
      <w:r>
        <w:rPr>
          <w:rFonts w:hint="eastAsia" w:ascii="MS UI Gothic" w:eastAsia="MS UI Gothic"/>
          <w:w w:val="80"/>
        </w:rPr>
        <w:t xml:space="preserve">、 </w:t>
      </w:r>
      <w:r>
        <w:rPr>
          <w:w w:val="105"/>
        </w:rPr>
        <w:t>规格的一致性</w:t>
      </w:r>
      <w:r>
        <w:rPr>
          <w:rFonts w:hint="eastAsia" w:ascii="MS UI Gothic" w:eastAsia="MS UI Gothic"/>
          <w:w w:val="80"/>
        </w:rPr>
        <w:t>ꎮ</w:t>
      </w:r>
    </w:p>
    <w:p>
      <w:pPr>
        <w:pStyle w:val="6"/>
        <w:spacing w:before="3" w:line="290" w:lineRule="auto"/>
        <w:ind w:left="440"/>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电池或者电池组安装在独立的</w:t>
      </w:r>
      <w:r>
        <w:rPr>
          <w:w w:val="110"/>
        </w:rPr>
        <w:t>电池腔内</w:t>
      </w:r>
      <w:r>
        <w:rPr>
          <w:rFonts w:hint="eastAsia" w:ascii="MS UI Gothic" w:eastAsia="MS UI Gothic"/>
          <w:w w:val="80"/>
        </w:rPr>
        <w:t>ꎮ</w:t>
      </w:r>
    </w:p>
    <w:p>
      <w:pPr>
        <w:pStyle w:val="6"/>
        <w:spacing w:before="3" w:line="290" w:lineRule="auto"/>
        <w:ind w:left="440"/>
        <w:jc w:val="left"/>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0"/>
          <w:w w:val="110"/>
        </w:rPr>
        <w:t>电池配置充放电安全保护</w:t>
      </w:r>
      <w:r>
        <w:rPr>
          <w:spacing w:val="3"/>
          <w:w w:val="110"/>
        </w:rPr>
        <w:t>装置</w:t>
      </w:r>
      <w:r>
        <w:rPr>
          <w:rFonts w:hint="eastAsia" w:ascii="MS UI Gothic" w:eastAsia="MS UI Gothic"/>
          <w:w w:val="80"/>
        </w:rPr>
        <w:t>ꎮ</w:t>
      </w:r>
    </w:p>
    <w:p>
      <w:pPr>
        <w:pStyle w:val="6"/>
        <w:tabs>
          <w:tab w:val="left" w:pos="2536"/>
        </w:tabs>
        <w:spacing w:before="3" w:line="290" w:lineRule="auto"/>
        <w:ind w:left="440"/>
        <w:jc w:val="left"/>
        <w:rPr>
          <w:rFonts w:hint="eastAsia" w:ascii="MS UI Gothic" w:eastAsia="MS UI Gothic"/>
        </w:rPr>
      </w:pPr>
      <w:r>
        <w:rPr>
          <w:spacing w:val="3"/>
          <w:w w:val="105"/>
        </w:rPr>
        <w:t>第四百八十五</w:t>
      </w:r>
      <w:r>
        <w:rPr>
          <w:w w:val="105"/>
        </w:rPr>
        <w:t>条</w:t>
      </w:r>
      <w:r>
        <w:rPr>
          <w:w w:val="105"/>
        </w:rPr>
        <w:tab/>
      </w:r>
      <w:r>
        <w:rPr>
          <w:spacing w:val="3"/>
        </w:rPr>
        <w:t>使用蓄电池的设</w:t>
      </w:r>
      <w:r>
        <w:rPr>
          <w:spacing w:val="-13"/>
        </w:rPr>
        <w:t>备</w:t>
      </w:r>
      <w:r>
        <w:rPr>
          <w:spacing w:val="3"/>
          <w:w w:val="110"/>
        </w:rPr>
        <w:t>充电应当符合下列要求</w:t>
      </w:r>
      <w:r>
        <w:rPr>
          <w:rFonts w:hint="eastAsia" w:ascii="MS UI Gothic" w:eastAsia="MS UI Gothic"/>
          <w:w w:val="235"/>
        </w:rPr>
        <w:t>:</w:t>
      </w:r>
    </w:p>
    <w:p>
      <w:pPr>
        <w:pStyle w:val="6"/>
        <w:spacing w:before="2"/>
        <w:ind w:left="86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充电设备与蓄电池匹配</w:t>
      </w:r>
      <w:r>
        <w:rPr>
          <w:rFonts w:hint="eastAsia" w:ascii="MS UI Gothic" w:eastAsia="MS UI Gothic"/>
          <w:w w:val="80"/>
        </w:rPr>
        <w:t>ꎮ</w:t>
      </w:r>
    </w:p>
    <w:p>
      <w:pPr>
        <w:pStyle w:val="6"/>
        <w:spacing w:before="55" w:line="292" w:lineRule="auto"/>
        <w:ind w:left="440"/>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充电设备接口具有防反向充电</w:t>
      </w:r>
      <w:r>
        <w:rPr>
          <w:w w:val="110"/>
        </w:rPr>
        <w:t>保护措施</w:t>
      </w:r>
      <w:r>
        <w:rPr>
          <w:rFonts w:hint="eastAsia" w:ascii="MS UI Gothic" w:eastAsia="MS UI Gothic"/>
          <w:w w:val="80"/>
        </w:rPr>
        <w:t>ꎮ</w:t>
      </w:r>
    </w:p>
    <w:p>
      <w:pPr>
        <w:pStyle w:val="6"/>
        <w:spacing w:line="254" w:lineRule="exact"/>
        <w:ind w:left="860"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便携式设备在地面充电</w:t>
      </w:r>
      <w:r>
        <w:rPr>
          <w:rFonts w:hint="eastAsia" w:ascii="MS UI Gothic" w:eastAsia="MS UI Gothic"/>
          <w:w w:val="80"/>
        </w:rPr>
        <w:t>ꎮ</w:t>
      </w:r>
    </w:p>
    <w:p>
      <w:pPr>
        <w:pStyle w:val="6"/>
        <w:spacing w:before="56" w:line="290" w:lineRule="auto"/>
        <w:ind w:left="440"/>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机车等移动设备在专用充电硐</w:t>
      </w:r>
      <w:r>
        <w:rPr>
          <w:w w:val="110"/>
        </w:rPr>
        <w:t>室或者地面充电</w:t>
      </w:r>
      <w:r>
        <w:rPr>
          <w:rFonts w:hint="eastAsia" w:ascii="MS UI Gothic" w:eastAsia="MS UI Gothic"/>
          <w:w w:val="80"/>
        </w:rPr>
        <w:t>ꎮ</w:t>
      </w:r>
    </w:p>
    <w:p>
      <w:pPr>
        <w:pStyle w:val="6"/>
        <w:spacing w:before="3"/>
        <w:ind w:left="860" w:firstLine="0"/>
        <w:jc w:val="left"/>
      </w:pPr>
      <w:r>
        <w:rPr>
          <w:rFonts w:hint="eastAsia" w:ascii="MS UI Gothic" w:eastAsia="MS UI Gothic"/>
          <w:spacing w:val="-42"/>
          <w:w w:val="150"/>
        </w:rPr>
        <w:t xml:space="preserve">( </w:t>
      </w:r>
      <w:r>
        <w:rPr>
          <w:spacing w:val="3"/>
          <w:w w:val="110"/>
        </w:rPr>
        <w:t>五</w:t>
      </w:r>
      <w:r>
        <w:rPr>
          <w:rFonts w:hint="eastAsia" w:ascii="MS UI Gothic" w:eastAsia="MS UI Gothic"/>
          <w:spacing w:val="-18"/>
          <w:w w:val="150"/>
        </w:rPr>
        <w:t xml:space="preserve">) </w:t>
      </w:r>
      <w:r>
        <w:rPr>
          <w:spacing w:val="3"/>
          <w:w w:val="110"/>
        </w:rPr>
        <w:t>监控</w:t>
      </w:r>
      <w:r>
        <w:rPr>
          <w:rFonts w:hint="eastAsia" w:ascii="MS UI Gothic" w:eastAsia="MS UI Gothic"/>
          <w:spacing w:val="-7"/>
        </w:rPr>
        <w:t xml:space="preserve">、 </w:t>
      </w:r>
      <w:r>
        <w:rPr>
          <w:spacing w:val="4"/>
          <w:w w:val="110"/>
        </w:rPr>
        <w:t>通信</w:t>
      </w:r>
      <w:r>
        <w:rPr>
          <w:rFonts w:hint="eastAsia" w:ascii="MS UI Gothic" w:eastAsia="MS UI Gothic"/>
          <w:spacing w:val="-6"/>
        </w:rPr>
        <w:t xml:space="preserve">、 </w:t>
      </w:r>
      <w:r>
        <w:rPr>
          <w:spacing w:val="11"/>
          <w:w w:val="110"/>
        </w:rPr>
        <w:t>避险等设备的备</w:t>
      </w:r>
    </w:p>
    <w:p>
      <w:pPr>
        <w:pStyle w:val="6"/>
        <w:spacing w:before="175" w:line="292" w:lineRule="auto"/>
        <w:ind w:left="383" w:right="126" w:firstLine="0"/>
        <w:jc w:val="left"/>
        <w:rPr>
          <w:rFonts w:hint="eastAsia" w:ascii="MS UI Gothic" w:eastAsia="MS UI Gothic"/>
        </w:rPr>
      </w:pPr>
      <w:r>
        <w:br w:type="column"/>
      </w:r>
      <w:r>
        <w:t>用电源可以就地充电</w:t>
      </w:r>
      <w:r>
        <w:rPr>
          <w:rFonts w:hint="eastAsia" w:ascii="MS UI Gothic" w:eastAsia="MS UI Gothic"/>
          <w:w w:val="80"/>
        </w:rPr>
        <w:t xml:space="preserve">ꎬ </w:t>
      </w:r>
      <w:r>
        <w:t>并有防过充等保护措施</w:t>
      </w:r>
      <w:r>
        <w:rPr>
          <w:rFonts w:hint="eastAsia" w:ascii="MS UI Gothic" w:eastAsia="MS UI Gothic"/>
          <w:w w:val="80"/>
        </w:rPr>
        <w:t>ꎮ</w:t>
      </w:r>
    </w:p>
    <w:p>
      <w:pPr>
        <w:pStyle w:val="6"/>
        <w:spacing w:line="292" w:lineRule="auto"/>
        <w:ind w:left="383" w:right="126"/>
        <w:rPr>
          <w:rFonts w:hint="eastAsia" w:ascii="MS UI Gothic" w:eastAsia="MS UI Gothic"/>
        </w:rPr>
      </w:pPr>
      <w:r>
        <w:rPr>
          <w:spacing w:val="2"/>
          <w:w w:val="105"/>
        </w:rPr>
        <w:t>第四百八十六条 禁止在井下充电硐</w:t>
      </w:r>
      <w:r>
        <w:rPr>
          <w:spacing w:val="6"/>
          <w:w w:val="105"/>
        </w:rPr>
        <w:t xml:space="preserve">室以外地点对电池 </w:t>
      </w:r>
      <w:r>
        <w:rPr>
          <w:rFonts w:hint="eastAsia" w:ascii="MS UI Gothic" w:eastAsia="MS UI Gothic"/>
          <w:spacing w:val="-33"/>
          <w:w w:val="150"/>
        </w:rPr>
        <w:t xml:space="preserve">( </w:t>
      </w:r>
      <w:r>
        <w:rPr>
          <w:spacing w:val="13"/>
          <w:w w:val="105"/>
        </w:rPr>
        <w:t>组</w:t>
      </w:r>
      <w:r>
        <w:rPr>
          <w:rFonts w:hint="eastAsia" w:ascii="MS UI Gothic" w:eastAsia="MS UI Gothic"/>
          <w:spacing w:val="12"/>
          <w:w w:val="150"/>
        </w:rPr>
        <w:t xml:space="preserve">) </w:t>
      </w:r>
      <w:r>
        <w:rPr>
          <w:spacing w:val="15"/>
          <w:w w:val="105"/>
        </w:rPr>
        <w:t>进行更换和维</w:t>
      </w:r>
      <w:r>
        <w:rPr>
          <w:spacing w:val="3"/>
          <w:w w:val="105"/>
        </w:rPr>
        <w:t>修</w:t>
      </w:r>
      <w:r>
        <w:rPr>
          <w:rFonts w:hint="eastAsia" w:ascii="MS UI Gothic" w:eastAsia="MS UI Gothic"/>
          <w:spacing w:val="13"/>
          <w:w w:val="80"/>
        </w:rPr>
        <w:t xml:space="preserve">ꎬ </w:t>
      </w:r>
      <w:r>
        <w:rPr>
          <w:spacing w:val="-6"/>
          <w:w w:val="105"/>
        </w:rPr>
        <w:t xml:space="preserve">本安设备中电池 </w:t>
      </w:r>
      <w:r>
        <w:rPr>
          <w:rFonts w:hint="eastAsia" w:ascii="MS UI Gothic" w:eastAsia="MS UI Gothic"/>
          <w:spacing w:val="-38"/>
          <w:w w:val="150"/>
        </w:rPr>
        <w:t xml:space="preserve">( </w:t>
      </w:r>
      <w:r>
        <w:rPr>
          <w:spacing w:val="3"/>
          <w:w w:val="105"/>
        </w:rPr>
        <w:t>组</w:t>
      </w:r>
      <w:r>
        <w:rPr>
          <w:rFonts w:hint="eastAsia" w:ascii="MS UI Gothic" w:eastAsia="MS UI Gothic"/>
          <w:spacing w:val="-1"/>
          <w:w w:val="150"/>
        </w:rPr>
        <w:t xml:space="preserve">) </w:t>
      </w:r>
      <w:r>
        <w:rPr>
          <w:spacing w:val="2"/>
          <w:w w:val="105"/>
        </w:rPr>
        <w:t>和限流器件通</w:t>
      </w:r>
      <w:r>
        <w:rPr>
          <w:spacing w:val="2"/>
        </w:rPr>
        <w:t>过浇封或者密闭封装构成一个整体替换的</w:t>
      </w:r>
      <w:r>
        <w:rPr>
          <w:spacing w:val="3"/>
          <w:w w:val="105"/>
        </w:rPr>
        <w:t>组件除外</w:t>
      </w:r>
      <w:r>
        <w:rPr>
          <w:rFonts w:hint="eastAsia" w:ascii="MS UI Gothic" w:eastAsia="MS UI Gothic"/>
          <w:w w:val="80"/>
        </w:rPr>
        <w:t>ꎮ</w:t>
      </w:r>
    </w:p>
    <w:p>
      <w:pPr>
        <w:pStyle w:val="6"/>
        <w:tabs>
          <w:tab w:val="left" w:pos="2269"/>
        </w:tabs>
        <w:spacing w:before="150"/>
        <w:ind w:left="1221" w:firstLine="0"/>
        <w:jc w:val="left"/>
      </w:pPr>
      <w:r>
        <w:rPr>
          <w:spacing w:val="3"/>
          <w:w w:val="105"/>
        </w:rPr>
        <w:t>第十一</w:t>
      </w:r>
      <w:r>
        <w:rPr>
          <w:w w:val="105"/>
        </w:rPr>
        <w:t>章</w:t>
      </w:r>
      <w:r>
        <w:rPr>
          <w:w w:val="105"/>
        </w:rPr>
        <w:tab/>
      </w:r>
      <w:r>
        <w:rPr>
          <w:spacing w:val="3"/>
          <w:w w:val="105"/>
        </w:rPr>
        <w:t>监控与通</w:t>
      </w:r>
      <w:r>
        <w:rPr>
          <w:w w:val="105"/>
        </w:rPr>
        <w:t>信</w:t>
      </w:r>
    </w:p>
    <w:p>
      <w:pPr>
        <w:pStyle w:val="6"/>
        <w:spacing w:before="4"/>
        <w:ind w:left="0" w:firstLine="0"/>
        <w:jc w:val="left"/>
        <w:rPr>
          <w:sz w:val="28"/>
        </w:rPr>
      </w:pPr>
    </w:p>
    <w:p>
      <w:pPr>
        <w:pStyle w:val="6"/>
        <w:tabs>
          <w:tab w:val="left" w:pos="2164"/>
        </w:tabs>
        <w:ind w:left="1326" w:firstLine="0"/>
        <w:jc w:val="left"/>
      </w:pPr>
      <w:r>
        <w:rPr>
          <w:spacing w:val="3"/>
          <w:w w:val="105"/>
        </w:rPr>
        <w:t>第一</w:t>
      </w:r>
      <w:r>
        <w:rPr>
          <w:w w:val="105"/>
        </w:rPr>
        <w:t>节</w:t>
      </w:r>
      <w:r>
        <w:rPr>
          <w:w w:val="105"/>
        </w:rPr>
        <w:tab/>
      </w:r>
      <w:r>
        <w:rPr>
          <w:w w:val="105"/>
        </w:rPr>
        <w:t>一</w:t>
      </w:r>
      <w:r>
        <w:rPr>
          <w:spacing w:val="-33"/>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line="290" w:lineRule="auto"/>
        <w:ind w:left="383" w:right="126"/>
        <w:rPr>
          <w:rFonts w:hint="eastAsia" w:ascii="MS UI Gothic" w:eastAsia="MS UI Gothic"/>
        </w:rPr>
      </w:pPr>
      <w:r>
        <w:rPr>
          <w:w w:val="105"/>
        </w:rPr>
        <w:t>第四百八十七条 所有矿井必须装备安全监控系统</w:t>
      </w:r>
      <w:r>
        <w:rPr>
          <w:rFonts w:hint="eastAsia" w:ascii="MS UI Gothic" w:eastAsia="MS UI Gothic"/>
          <w:w w:val="80"/>
        </w:rPr>
        <w:t xml:space="preserve">、 </w:t>
      </w:r>
      <w:r>
        <w:rPr>
          <w:w w:val="105"/>
        </w:rPr>
        <w:t>人员位置监测系统</w:t>
      </w:r>
      <w:r>
        <w:rPr>
          <w:rFonts w:hint="eastAsia" w:ascii="MS UI Gothic" w:eastAsia="MS UI Gothic"/>
          <w:w w:val="80"/>
        </w:rPr>
        <w:t xml:space="preserve">、 </w:t>
      </w:r>
      <w:r>
        <w:rPr>
          <w:w w:val="105"/>
        </w:rPr>
        <w:t>有线调度通信系统</w:t>
      </w:r>
      <w:r>
        <w:rPr>
          <w:rFonts w:hint="eastAsia" w:ascii="MS UI Gothic" w:eastAsia="MS UI Gothic"/>
          <w:w w:val="80"/>
        </w:rPr>
        <w:t>ꎮ</w:t>
      </w:r>
    </w:p>
    <w:p>
      <w:pPr>
        <w:pStyle w:val="6"/>
        <w:spacing w:before="4" w:line="292" w:lineRule="auto"/>
        <w:ind w:left="383" w:right="124"/>
      </w:pPr>
      <w:r>
        <w:t>第四百八十八条 编制采区设计</w:t>
      </w:r>
      <w:r>
        <w:rPr>
          <w:rFonts w:hint="eastAsia" w:ascii="MS UI Gothic" w:eastAsia="MS UI Gothic"/>
          <w:w w:val="80"/>
        </w:rPr>
        <w:t xml:space="preserve">、 </w:t>
      </w:r>
      <w:r>
        <w:t>采掘作业规程时</w:t>
      </w:r>
      <w:r>
        <w:rPr>
          <w:rFonts w:hint="eastAsia" w:ascii="MS UI Gothic" w:eastAsia="MS UI Gothic"/>
          <w:w w:val="80"/>
        </w:rPr>
        <w:t xml:space="preserve">ꎬ </w:t>
      </w:r>
      <w:r>
        <w:t>必须对安全监控</w:t>
      </w:r>
      <w:r>
        <w:rPr>
          <w:rFonts w:hint="eastAsia" w:ascii="MS UI Gothic" w:eastAsia="MS UI Gothic"/>
          <w:w w:val="80"/>
        </w:rPr>
        <w:t xml:space="preserve">、 </w:t>
      </w:r>
      <w:r>
        <w:t>人员位置监测</w:t>
      </w:r>
      <w:r>
        <w:rPr>
          <w:rFonts w:hint="eastAsia" w:ascii="MS UI Gothic" w:eastAsia="MS UI Gothic"/>
          <w:w w:val="80"/>
        </w:rPr>
        <w:t xml:space="preserve">、 </w:t>
      </w:r>
      <w:r>
        <w:t>有线调度通信设备的种类</w:t>
      </w:r>
      <w:r>
        <w:rPr>
          <w:rFonts w:hint="eastAsia" w:ascii="MS UI Gothic" w:eastAsia="MS UI Gothic"/>
          <w:w w:val="80"/>
        </w:rPr>
        <w:t xml:space="preserve">、 </w:t>
      </w:r>
      <w:r>
        <w:t>数量和位置</w:t>
      </w:r>
      <w:r>
        <w:rPr>
          <w:rFonts w:hint="eastAsia" w:ascii="MS UI Gothic" w:eastAsia="MS UI Gothic"/>
          <w:w w:val="80"/>
        </w:rPr>
        <w:t xml:space="preserve">ꎬ </w:t>
      </w:r>
      <w:r>
        <w:t>信号</w:t>
      </w:r>
      <w:r>
        <w:rPr>
          <w:rFonts w:hint="eastAsia" w:ascii="MS UI Gothic" w:eastAsia="MS UI Gothic"/>
          <w:w w:val="80"/>
        </w:rPr>
        <w:t xml:space="preserve">、 </w:t>
      </w:r>
      <w:r>
        <w:t>通信</w:t>
      </w:r>
      <w:r>
        <w:rPr>
          <w:rFonts w:hint="eastAsia" w:ascii="MS UI Gothic" w:eastAsia="MS UI Gothic"/>
          <w:w w:val="80"/>
        </w:rPr>
        <w:t xml:space="preserve">、 </w:t>
      </w:r>
      <w:r>
        <w:t>电源线缆的敷设</w:t>
      </w:r>
      <w:r>
        <w:rPr>
          <w:rFonts w:hint="eastAsia" w:ascii="MS UI Gothic" w:eastAsia="MS UI Gothic"/>
          <w:w w:val="80"/>
        </w:rPr>
        <w:t>ꎬ</w:t>
      </w:r>
      <w:r>
        <w:t>安全监控系统的断电区域等做出明确规</w:t>
      </w:r>
    </w:p>
    <w:p>
      <w:pPr>
        <w:spacing w:after="0" w:line="292" w:lineRule="auto"/>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３１８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78" o:spid="_x0000_s1978" o:spt="203" style="height:2.15pt;width:398.25pt;" coordsize="7965,43">
            <o:lock v:ext="edit"/>
            <v:line id="_x0000_s1979" o:spid="_x0000_s1979" o:spt="20" style="position:absolute;left:0;top:39;height:0;width:7965;" stroked="t" coordsize="21600,21600">
              <v:path arrowok="t"/>
              <v:fill focussize="0,0"/>
              <v:stroke weight="0.388031496062992pt" color="#231F20"/>
              <v:imagedata o:title=""/>
              <o:lock v:ext="edit"/>
            </v:line>
            <v:line id="_x0000_s1980" o:spid="_x0000_s198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定</w:t>
      </w:r>
      <w:r>
        <w:rPr>
          <w:rFonts w:hint="eastAsia" w:ascii="MS UI Gothic" w:eastAsia="MS UI Gothic"/>
          <w:w w:val="80"/>
        </w:rPr>
        <w:t xml:space="preserve">ꎬ </w:t>
      </w:r>
      <w:r>
        <w:t>绘制安全监控布置图和断电控制图</w:t>
      </w:r>
      <w:r>
        <w:rPr>
          <w:rFonts w:hint="eastAsia" w:ascii="MS UI Gothic" w:eastAsia="MS UI Gothic"/>
          <w:w w:val="80"/>
        </w:rPr>
        <w:t>、</w:t>
      </w:r>
      <w:r>
        <w:t>人员位置监测系统图</w:t>
      </w:r>
      <w:r>
        <w:rPr>
          <w:rFonts w:hint="eastAsia" w:ascii="MS UI Gothic" w:eastAsia="MS UI Gothic"/>
          <w:w w:val="80"/>
        </w:rPr>
        <w:t xml:space="preserve">、 </w:t>
      </w:r>
      <w:r>
        <w:t>井下通信系统图</w:t>
      </w:r>
      <w:r>
        <w:rPr>
          <w:rFonts w:hint="eastAsia" w:ascii="MS UI Gothic" w:eastAsia="MS UI Gothic"/>
          <w:w w:val="80"/>
        </w:rPr>
        <w:t>ꎬ</w:t>
      </w:r>
      <w:r>
        <w:t>并及时更新</w:t>
      </w:r>
      <w:r>
        <w:rPr>
          <w:rFonts w:hint="eastAsia" w:ascii="MS UI Gothic" w:eastAsia="MS UI Gothic"/>
          <w:w w:val="80"/>
        </w:rPr>
        <w:t>ꎮ</w:t>
      </w:r>
    </w:p>
    <w:p>
      <w:pPr>
        <w:pStyle w:val="6"/>
        <w:spacing w:line="295" w:lineRule="auto"/>
        <w:ind w:right="39"/>
        <w:rPr>
          <w:rFonts w:hint="eastAsia" w:ascii="MS UI Gothic" w:eastAsia="MS UI Gothic"/>
        </w:rPr>
      </w:pPr>
      <w:r>
        <w:rPr>
          <w:spacing w:val="-19"/>
        </w:rPr>
        <w:t xml:space="preserve">每 </w:t>
      </w:r>
      <w:r>
        <w:rPr>
          <w:rFonts w:hint="eastAsia" w:ascii="MS UI Gothic" w:eastAsia="MS UI Gothic"/>
          <w:spacing w:val="13"/>
          <w:w w:val="80"/>
        </w:rPr>
        <w:t xml:space="preserve">３ </w:t>
      </w:r>
      <w:r>
        <w:rPr>
          <w:spacing w:val="3"/>
        </w:rPr>
        <w:t>个月对安全监控</w:t>
      </w:r>
      <w:r>
        <w:rPr>
          <w:rFonts w:hint="eastAsia" w:ascii="MS UI Gothic" w:eastAsia="MS UI Gothic"/>
          <w:spacing w:val="20"/>
          <w:w w:val="80"/>
        </w:rPr>
        <w:t xml:space="preserve">、 </w:t>
      </w:r>
      <w:r>
        <w:rPr>
          <w:spacing w:val="2"/>
        </w:rPr>
        <w:t>人员位置监测</w:t>
      </w:r>
      <w:r>
        <w:rPr>
          <w:spacing w:val="3"/>
        </w:rPr>
        <w:t>等数据进行备份</w:t>
      </w:r>
      <w:r>
        <w:rPr>
          <w:rFonts w:hint="eastAsia" w:ascii="MS UI Gothic" w:eastAsia="MS UI Gothic"/>
          <w:spacing w:val="21"/>
          <w:w w:val="80"/>
        </w:rPr>
        <w:t xml:space="preserve">ꎬ </w:t>
      </w:r>
      <w:r>
        <w:rPr>
          <w:spacing w:val="2"/>
        </w:rPr>
        <w:t>备份的数据介质保存时</w:t>
      </w:r>
      <w:r>
        <w:rPr>
          <w:spacing w:val="-6"/>
        </w:rPr>
        <w:t xml:space="preserve">间应当不少于 </w:t>
      </w:r>
      <w:r>
        <w:rPr>
          <w:rFonts w:hint="eastAsia" w:ascii="MS UI Gothic" w:eastAsia="MS UI Gothic"/>
          <w:spacing w:val="6"/>
          <w:w w:val="80"/>
        </w:rPr>
        <w:t xml:space="preserve">２ </w:t>
      </w:r>
      <w:r>
        <w:rPr>
          <w:spacing w:val="3"/>
        </w:rPr>
        <w:t>年</w:t>
      </w:r>
      <w:r>
        <w:rPr>
          <w:rFonts w:hint="eastAsia" w:ascii="MS UI Gothic" w:eastAsia="MS UI Gothic"/>
          <w:spacing w:val="7"/>
          <w:w w:val="80"/>
        </w:rPr>
        <w:t xml:space="preserve">ꎮ </w:t>
      </w:r>
      <w:r>
        <w:rPr>
          <w:spacing w:val="3"/>
        </w:rPr>
        <w:t>图纸</w:t>
      </w:r>
      <w:r>
        <w:rPr>
          <w:rFonts w:hint="eastAsia" w:ascii="MS UI Gothic" w:eastAsia="MS UI Gothic"/>
          <w:spacing w:val="7"/>
          <w:w w:val="80"/>
        </w:rPr>
        <w:t xml:space="preserve">、 </w:t>
      </w:r>
      <w:r>
        <w:rPr>
          <w:spacing w:val="2"/>
        </w:rPr>
        <w:t>技术资料的保</w:t>
      </w:r>
      <w:r>
        <w:rPr>
          <w:spacing w:val="-4"/>
        </w:rPr>
        <w:t xml:space="preserve">存时间应当不少于 </w:t>
      </w:r>
      <w:r>
        <w:rPr>
          <w:rFonts w:hint="eastAsia" w:ascii="MS UI Gothic" w:eastAsia="MS UI Gothic"/>
          <w:spacing w:val="10"/>
          <w:w w:val="80"/>
        </w:rPr>
        <w:t xml:space="preserve">２ </w:t>
      </w:r>
      <w:r>
        <w:rPr>
          <w:spacing w:val="3"/>
        </w:rPr>
        <w:t>年</w:t>
      </w:r>
      <w:r>
        <w:rPr>
          <w:rFonts w:hint="eastAsia" w:ascii="MS UI Gothic" w:eastAsia="MS UI Gothic"/>
          <w:spacing w:val="10"/>
          <w:w w:val="80"/>
        </w:rPr>
        <w:t xml:space="preserve">ꎮ </w:t>
      </w:r>
      <w:r>
        <w:t xml:space="preserve">录音应当保存 </w:t>
      </w:r>
      <w:r>
        <w:rPr>
          <w:rFonts w:hint="eastAsia" w:ascii="MS UI Gothic" w:eastAsia="MS UI Gothic"/>
          <w:w w:val="80"/>
        </w:rPr>
        <w:t xml:space="preserve">３ </w:t>
      </w:r>
      <w:r>
        <w:rPr>
          <w:spacing w:val="3"/>
        </w:rPr>
        <w:t>个月以上</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第四百八十九条 矿用有线调度通信</w:t>
      </w:r>
      <w:r>
        <w:rPr>
          <w:spacing w:val="3"/>
        </w:rPr>
        <w:t>电缆必须专用</w:t>
      </w:r>
      <w:r>
        <w:rPr>
          <w:rFonts w:hint="eastAsia" w:ascii="MS UI Gothic" w:eastAsia="MS UI Gothic"/>
          <w:spacing w:val="21"/>
          <w:w w:val="80"/>
        </w:rPr>
        <w:t xml:space="preserve">ꎮ </w:t>
      </w:r>
      <w:r>
        <w:rPr>
          <w:spacing w:val="2"/>
        </w:rPr>
        <w:t>严禁安全监控系统与图像</w:t>
      </w:r>
      <w:r>
        <w:rPr>
          <w:spacing w:val="3"/>
        </w:rPr>
        <w:t>监视系统共用同一芯光纤</w:t>
      </w:r>
      <w:r>
        <w:rPr>
          <w:rFonts w:hint="eastAsia" w:ascii="MS UI Gothic" w:eastAsia="MS UI Gothic"/>
          <w:spacing w:val="21"/>
          <w:w w:val="80"/>
        </w:rPr>
        <w:t xml:space="preserve">ꎮ </w:t>
      </w:r>
      <w:r>
        <w:rPr>
          <w:spacing w:val="2"/>
        </w:rPr>
        <w:t>矿井安全监控</w:t>
      </w:r>
      <w:r>
        <w:rPr>
          <w:spacing w:val="3"/>
        </w:rPr>
        <w:t>系统主干线缆应当分设两条</w:t>
      </w:r>
      <w:r>
        <w:rPr>
          <w:rFonts w:hint="eastAsia" w:ascii="MS UI Gothic" w:eastAsia="MS UI Gothic"/>
          <w:spacing w:val="21"/>
          <w:w w:val="80"/>
        </w:rPr>
        <w:t xml:space="preserve">ꎬ </w:t>
      </w:r>
      <w:r>
        <w:rPr>
          <w:spacing w:val="2"/>
        </w:rPr>
        <w:t>从不同的井筒或者一个井筒保持一定间距的不同位置</w:t>
      </w:r>
      <w:r>
        <w:rPr>
          <w:spacing w:val="3"/>
          <w:w w:val="105"/>
        </w:rPr>
        <w:t>进入井下</w:t>
      </w:r>
      <w:r>
        <w:rPr>
          <w:rFonts w:hint="eastAsia" w:ascii="MS UI Gothic" w:eastAsia="MS UI Gothic"/>
          <w:w w:val="80"/>
        </w:rPr>
        <w:t>ꎮ</w:t>
      </w:r>
    </w:p>
    <w:p>
      <w:pPr>
        <w:pStyle w:val="6"/>
        <w:spacing w:line="295" w:lineRule="auto"/>
        <w:ind w:right="39"/>
        <w:rPr>
          <w:rFonts w:hint="eastAsia" w:ascii="MS UI Gothic" w:eastAsia="MS UI Gothic"/>
        </w:rPr>
      </w:pPr>
      <w:r>
        <w:t>设备应当满足电磁兼容要求</w:t>
      </w:r>
      <w:r>
        <w:rPr>
          <w:rFonts w:hint="eastAsia" w:ascii="MS UI Gothic" w:eastAsia="MS UI Gothic"/>
          <w:w w:val="80"/>
        </w:rPr>
        <w:t xml:space="preserve">ꎮ </w:t>
      </w:r>
      <w:r>
        <w:t>系统必须具有防雷电保护</w:t>
      </w:r>
      <w:r>
        <w:rPr>
          <w:rFonts w:hint="eastAsia" w:ascii="MS UI Gothic" w:eastAsia="MS UI Gothic"/>
          <w:w w:val="80"/>
        </w:rPr>
        <w:t xml:space="preserve">ꎬ </w:t>
      </w:r>
      <w:r>
        <w:t>入井线缆的入井口处必须具有防雷措施</w:t>
      </w:r>
      <w:r>
        <w:rPr>
          <w:rFonts w:hint="eastAsia" w:ascii="MS UI Gothic" w:eastAsia="MS UI Gothic"/>
          <w:w w:val="80"/>
        </w:rPr>
        <w:t>ꎮ</w:t>
      </w:r>
    </w:p>
    <w:p>
      <w:pPr>
        <w:pStyle w:val="6"/>
        <w:spacing w:line="295" w:lineRule="auto"/>
        <w:ind w:right="39"/>
        <w:rPr>
          <w:rFonts w:hint="eastAsia" w:ascii="MS UI Gothic" w:eastAsia="MS UI Gothic"/>
        </w:rPr>
      </w:pPr>
      <w:r>
        <w:t>系统必须连续运行</w:t>
      </w:r>
      <w:r>
        <w:rPr>
          <w:rFonts w:hint="eastAsia" w:ascii="MS UI Gothic" w:eastAsia="MS UI Gothic"/>
          <w:w w:val="80"/>
        </w:rPr>
        <w:t xml:space="preserve">ꎮ </w:t>
      </w:r>
      <w:r>
        <w:t>电网停电后</w:t>
      </w:r>
      <w:r>
        <w:rPr>
          <w:rFonts w:hint="eastAsia" w:ascii="MS UI Gothic" w:eastAsia="MS UI Gothic"/>
          <w:w w:val="80"/>
        </w:rPr>
        <w:t xml:space="preserve">ꎬ </w:t>
      </w:r>
      <w:r>
        <w:t xml:space="preserve">备用电源应当能保持系统连续工作时间不小于 </w:t>
      </w:r>
      <w:r>
        <w:rPr>
          <w:rFonts w:hint="eastAsia" w:ascii="MS UI Gothic" w:eastAsia="MS UI Gothic"/>
        </w:rPr>
        <w:t>２ ｈ</w:t>
      </w:r>
      <w:r>
        <w:rPr>
          <w:rFonts w:hint="eastAsia" w:ascii="MS UI Gothic" w:eastAsia="MS UI Gothic"/>
          <w:w w:val="80"/>
        </w:rPr>
        <w:t>ꎮ</w:t>
      </w:r>
    </w:p>
    <w:p>
      <w:pPr>
        <w:pStyle w:val="6"/>
        <w:spacing w:line="295" w:lineRule="auto"/>
        <w:ind w:right="39"/>
        <w:jc w:val="left"/>
        <w:rPr>
          <w:rFonts w:hint="eastAsia" w:ascii="MS UI Gothic" w:eastAsia="MS UI Gothic"/>
        </w:rPr>
      </w:pPr>
      <w:r>
        <w:t>监控网络应当通过网络安全设备与其</w:t>
      </w:r>
      <w:r>
        <w:rPr>
          <w:w w:val="105"/>
        </w:rPr>
        <w:t>他网络互通互联</w:t>
      </w:r>
      <w:r>
        <w:rPr>
          <w:rFonts w:hint="eastAsia" w:ascii="MS UI Gothic" w:eastAsia="MS UI Gothic"/>
          <w:w w:val="80"/>
        </w:rPr>
        <w:t>ꎮ</w:t>
      </w:r>
    </w:p>
    <w:p>
      <w:pPr>
        <w:pStyle w:val="6"/>
        <w:spacing w:line="295" w:lineRule="auto"/>
        <w:ind w:left="118" w:right="39" w:firstLine="425"/>
        <w:rPr>
          <w:rFonts w:hint="eastAsia" w:ascii="MS UI Gothic" w:eastAsia="MS UI Gothic"/>
        </w:rPr>
      </w:pPr>
      <w:r>
        <w:t>安全监控和人员位置监测系统主机及联网主机应当双机热备份</w:t>
      </w:r>
      <w:r>
        <w:rPr>
          <w:rFonts w:hint="eastAsia" w:ascii="MS UI Gothic" w:eastAsia="MS UI Gothic"/>
          <w:w w:val="90"/>
        </w:rPr>
        <w:t xml:space="preserve">ꎬ </w:t>
      </w:r>
      <w:r>
        <w:t>连续运行</w:t>
      </w:r>
      <w:r>
        <w:rPr>
          <w:rFonts w:hint="eastAsia" w:ascii="MS UI Gothic" w:eastAsia="MS UI Gothic"/>
          <w:w w:val="90"/>
        </w:rPr>
        <w:t xml:space="preserve">ꎮ </w:t>
      </w:r>
      <w:r>
        <w:t>当工作主机发生故障时</w:t>
      </w:r>
      <w:r>
        <w:rPr>
          <w:rFonts w:hint="eastAsia" w:ascii="MS UI Gothic" w:eastAsia="MS UI Gothic"/>
          <w:w w:val="90"/>
        </w:rPr>
        <w:t xml:space="preserve">ꎬ </w:t>
      </w:r>
      <w:r>
        <w:t>备份主机应当在</w:t>
      </w:r>
      <w:r>
        <w:rPr>
          <w:rFonts w:hint="eastAsia" w:ascii="MS UI Gothic" w:eastAsia="MS UI Gothic"/>
        </w:rPr>
        <w:t>５ ｍｉｎ</w:t>
      </w:r>
      <w:r>
        <w:t>内自动投入工作</w:t>
      </w:r>
      <w:r>
        <w:rPr>
          <w:rFonts w:hint="eastAsia" w:ascii="MS UI Gothic" w:eastAsia="MS UI Gothic"/>
          <w:w w:val="90"/>
        </w:rPr>
        <w:t>ꎮ</w:t>
      </w:r>
    </w:p>
    <w:p>
      <w:pPr>
        <w:pStyle w:val="6"/>
        <w:spacing w:line="295" w:lineRule="auto"/>
        <w:ind w:right="39"/>
        <w:rPr>
          <w:rFonts w:hint="eastAsia" w:ascii="MS UI Gothic" w:eastAsia="MS UI Gothic"/>
        </w:rPr>
      </w:pPr>
      <w:r>
        <w:t>当系统显示井下某一区域瓦斯超限并有可能波及其他区域时</w:t>
      </w:r>
      <w:r>
        <w:rPr>
          <w:rFonts w:hint="eastAsia" w:ascii="MS UI Gothic" w:eastAsia="MS UI Gothic"/>
          <w:w w:val="80"/>
        </w:rPr>
        <w:t xml:space="preserve">ꎬ </w:t>
      </w:r>
      <w:r>
        <w:t>矿井有关人员应当按瓦斯事故应急救援预案切断瓦斯可能</w:t>
      </w:r>
      <w:r>
        <w:rPr>
          <w:w w:val="105"/>
        </w:rPr>
        <w:t>波及区域的电源</w:t>
      </w:r>
      <w:r>
        <w:rPr>
          <w:rFonts w:hint="eastAsia" w:ascii="MS UI Gothic" w:eastAsia="MS UI Gothic"/>
          <w:w w:val="80"/>
        </w:rPr>
        <w:t>ꎮ</w:t>
      </w:r>
    </w:p>
    <w:p>
      <w:pPr>
        <w:pStyle w:val="6"/>
        <w:spacing w:line="295" w:lineRule="auto"/>
        <w:ind w:right="39"/>
        <w:rPr>
          <w:rFonts w:hint="eastAsia" w:ascii="MS UI Gothic" w:eastAsia="MS UI Gothic"/>
        </w:rPr>
      </w:pPr>
      <w:r>
        <w:t>安全监控和人员位置监测系统显示和控制终端</w:t>
      </w:r>
      <w:r>
        <w:rPr>
          <w:rFonts w:hint="eastAsia" w:ascii="MS UI Gothic" w:eastAsia="MS UI Gothic"/>
          <w:w w:val="85"/>
        </w:rPr>
        <w:t xml:space="preserve">、 </w:t>
      </w:r>
      <w:r>
        <w:t>有线调度通信系统调度台必须设置在矿调度室</w:t>
      </w:r>
      <w:r>
        <w:rPr>
          <w:rFonts w:hint="eastAsia" w:ascii="MS UI Gothic" w:eastAsia="MS UI Gothic"/>
          <w:w w:val="85"/>
        </w:rPr>
        <w:t xml:space="preserve">ꎬ </w:t>
      </w:r>
      <w:r>
        <w:t>全面反映监控信息</w:t>
      </w:r>
      <w:r>
        <w:rPr>
          <w:rFonts w:hint="eastAsia" w:ascii="MS UI Gothic" w:eastAsia="MS UI Gothic"/>
          <w:w w:val="85"/>
        </w:rPr>
        <w:t xml:space="preserve">ꎮ </w:t>
      </w:r>
      <w:r>
        <w:t xml:space="preserve">矿调度室必须 </w:t>
      </w:r>
      <w:r>
        <w:rPr>
          <w:rFonts w:hint="eastAsia" w:ascii="MS UI Gothic" w:eastAsia="MS UI Gothic"/>
          <w:w w:val="85"/>
        </w:rPr>
        <w:t xml:space="preserve">２４ ｈ </w:t>
      </w:r>
      <w:r>
        <w:t>有监控人员值班</w:t>
      </w:r>
      <w:r>
        <w:rPr>
          <w:rFonts w:hint="eastAsia" w:ascii="MS UI Gothic" w:eastAsia="MS UI Gothic"/>
          <w:w w:val="85"/>
        </w:rPr>
        <w:t>ꎮ</w:t>
      </w:r>
    </w:p>
    <w:p>
      <w:pPr>
        <w:pStyle w:val="6"/>
        <w:tabs>
          <w:tab w:val="left" w:pos="1906"/>
        </w:tabs>
        <w:spacing w:before="130"/>
        <w:ind w:left="1067" w:firstLine="0"/>
        <w:jc w:val="left"/>
      </w:pPr>
      <w:r>
        <w:rPr>
          <w:spacing w:val="3"/>
          <w:w w:val="105"/>
        </w:rPr>
        <w:t>第二</w:t>
      </w:r>
      <w:r>
        <w:rPr>
          <w:w w:val="105"/>
        </w:rPr>
        <w:t>节</w:t>
      </w:r>
      <w:r>
        <w:rPr>
          <w:w w:val="105"/>
        </w:rPr>
        <w:tab/>
      </w:r>
      <w:r>
        <w:rPr>
          <w:w w:val="105"/>
        </w:rPr>
        <w:t>安</w:t>
      </w:r>
      <w:r>
        <w:rPr>
          <w:spacing w:val="-34"/>
          <w:w w:val="105"/>
        </w:rPr>
        <w:t xml:space="preserve"> </w:t>
      </w:r>
      <w:r>
        <w:rPr>
          <w:w w:val="105"/>
        </w:rPr>
        <w:t>全</w:t>
      </w:r>
      <w:r>
        <w:rPr>
          <w:spacing w:val="-33"/>
          <w:w w:val="105"/>
        </w:rPr>
        <w:t xml:space="preserve"> </w:t>
      </w:r>
      <w:r>
        <w:rPr>
          <w:w w:val="105"/>
        </w:rPr>
        <w:t>监</w:t>
      </w:r>
      <w:r>
        <w:rPr>
          <w:spacing w:val="-33"/>
          <w:w w:val="105"/>
        </w:rPr>
        <w:t xml:space="preserve"> </w:t>
      </w:r>
      <w:r>
        <w:rPr>
          <w:w w:val="105"/>
        </w:rPr>
        <w:t>控</w:t>
      </w:r>
    </w:p>
    <w:p>
      <w:pPr>
        <w:pStyle w:val="6"/>
        <w:spacing w:before="10"/>
        <w:ind w:left="0" w:firstLine="0"/>
        <w:jc w:val="left"/>
        <w:rPr>
          <w:sz w:val="16"/>
        </w:rPr>
      </w:pPr>
    </w:p>
    <w:p>
      <w:pPr>
        <w:pStyle w:val="6"/>
        <w:spacing w:before="1" w:line="295" w:lineRule="auto"/>
        <w:ind w:right="39"/>
      </w:pPr>
      <w:r>
        <w:rPr>
          <w:w w:val="105"/>
        </w:rPr>
        <w:t>第四百九十条 安全监控设备必须具</w:t>
      </w:r>
      <w:r>
        <w:t>有故障闭锁功能</w:t>
      </w:r>
      <w:r>
        <w:rPr>
          <w:rFonts w:hint="eastAsia" w:ascii="MS UI Gothic" w:eastAsia="MS UI Gothic"/>
          <w:w w:val="80"/>
        </w:rPr>
        <w:t xml:space="preserve">ꎮ </w:t>
      </w:r>
      <w:r>
        <w:t>当与闭锁控制有关的设备未投入正常运行或者故障时</w:t>
      </w:r>
      <w:r>
        <w:rPr>
          <w:rFonts w:hint="eastAsia" w:ascii="MS UI Gothic" w:eastAsia="MS UI Gothic"/>
          <w:w w:val="80"/>
        </w:rPr>
        <w:t xml:space="preserve">ꎬ </w:t>
      </w:r>
      <w:r>
        <w:t>必须切断</w:t>
      </w:r>
    </w:p>
    <w:p>
      <w:pPr>
        <w:pStyle w:val="6"/>
        <w:spacing w:before="123" w:line="295" w:lineRule="auto"/>
        <w:ind w:right="442" w:firstLine="0"/>
        <w:rPr>
          <w:rFonts w:hint="eastAsia" w:ascii="MS UI Gothic" w:eastAsia="MS UI Gothic"/>
        </w:rPr>
      </w:pPr>
      <w:r>
        <w:br w:type="column"/>
      </w:r>
      <w:r>
        <w:t>该监控设备所监控区域的全部非本质安全型电气设备的电源并闭锁</w:t>
      </w:r>
      <w:r>
        <w:rPr>
          <w:rFonts w:hint="eastAsia" w:ascii="MS UI Gothic" w:eastAsia="MS UI Gothic"/>
          <w:w w:val="80"/>
        </w:rPr>
        <w:t xml:space="preserve">ꎻ </w:t>
      </w:r>
      <w:r>
        <w:t>当与闭锁控制有关的设备工作正常并稳定运行后</w:t>
      </w:r>
      <w:r>
        <w:rPr>
          <w:rFonts w:hint="eastAsia" w:ascii="MS UI Gothic" w:eastAsia="MS UI Gothic"/>
          <w:w w:val="80"/>
        </w:rPr>
        <w:t xml:space="preserve">ꎬ </w:t>
      </w:r>
      <w:r>
        <w:t>自动解锁</w:t>
      </w:r>
      <w:r>
        <w:rPr>
          <w:rFonts w:hint="eastAsia" w:ascii="MS UI Gothic" w:eastAsia="MS UI Gothic"/>
          <w:w w:val="80"/>
        </w:rPr>
        <w:t>ꎮ</w:t>
      </w:r>
    </w:p>
    <w:p>
      <w:pPr>
        <w:pStyle w:val="6"/>
        <w:spacing w:line="295" w:lineRule="auto"/>
        <w:ind w:right="442"/>
        <w:rPr>
          <w:rFonts w:hint="eastAsia" w:ascii="MS UI Gothic" w:eastAsia="MS UI Gothic"/>
        </w:rPr>
      </w:pPr>
      <w:r>
        <w:t>安全监控系统必须具备甲烷电闭锁和风电闭锁功能</w:t>
      </w:r>
      <w:r>
        <w:rPr>
          <w:rFonts w:hint="eastAsia" w:ascii="MS UI Gothic" w:eastAsia="MS UI Gothic"/>
          <w:w w:val="80"/>
        </w:rPr>
        <w:t xml:space="preserve">ꎮ </w:t>
      </w:r>
      <w:r>
        <w:t>当主机或者系统线缆发生故障时</w:t>
      </w:r>
      <w:r>
        <w:rPr>
          <w:rFonts w:hint="eastAsia" w:ascii="MS UI Gothic" w:eastAsia="MS UI Gothic"/>
          <w:w w:val="80"/>
        </w:rPr>
        <w:t xml:space="preserve">ꎬ </w:t>
      </w:r>
      <w:r>
        <w:t>必须保证实现甲烷电闭锁和风电闭锁的全部功能</w:t>
      </w:r>
      <w:r>
        <w:rPr>
          <w:rFonts w:hint="eastAsia" w:ascii="MS UI Gothic" w:eastAsia="MS UI Gothic"/>
          <w:w w:val="80"/>
        </w:rPr>
        <w:t xml:space="preserve">ꎮ </w:t>
      </w:r>
      <w:r>
        <w:t>系统必须具有断电</w:t>
      </w:r>
      <w:r>
        <w:rPr>
          <w:rFonts w:hint="eastAsia" w:ascii="MS UI Gothic" w:eastAsia="MS UI Gothic"/>
          <w:w w:val="80"/>
        </w:rPr>
        <w:t xml:space="preserve">、 </w:t>
      </w:r>
      <w:r>
        <w:t>馈电状态监测和报警功能</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第四百九十一条 安全监控设备的供</w:t>
      </w:r>
      <w:r>
        <w:t>电电源必须取自被控开关的电源侧或者专</w:t>
      </w:r>
      <w:r>
        <w:rPr>
          <w:w w:val="105"/>
        </w:rPr>
        <w:t>用电源</w:t>
      </w:r>
      <w:r>
        <w:rPr>
          <w:rFonts w:hint="eastAsia" w:ascii="MS UI Gothic" w:eastAsia="MS UI Gothic"/>
          <w:w w:val="80"/>
        </w:rPr>
        <w:t xml:space="preserve">ꎬ </w:t>
      </w:r>
      <w:r>
        <w:rPr>
          <w:w w:val="105"/>
        </w:rPr>
        <w:t>严禁接在被控开关的负荷侧</w:t>
      </w:r>
      <w:r>
        <w:rPr>
          <w:rFonts w:hint="eastAsia" w:ascii="MS UI Gothic" w:eastAsia="MS UI Gothic"/>
          <w:w w:val="80"/>
        </w:rPr>
        <w:t>ꎮ</w:t>
      </w:r>
    </w:p>
    <w:p>
      <w:pPr>
        <w:pStyle w:val="6"/>
        <w:spacing w:line="295" w:lineRule="auto"/>
        <w:ind w:right="442"/>
        <w:rPr>
          <w:rFonts w:hint="eastAsia" w:ascii="MS UI Gothic" w:eastAsia="MS UI Gothic"/>
        </w:rPr>
      </w:pPr>
      <w:r>
        <w:t>安装断电控制系统时</w:t>
      </w:r>
      <w:r>
        <w:rPr>
          <w:rFonts w:hint="eastAsia" w:ascii="MS UI Gothic" w:eastAsia="MS UI Gothic"/>
          <w:w w:val="80"/>
        </w:rPr>
        <w:t xml:space="preserve">ꎬ </w:t>
      </w:r>
      <w:r>
        <w:t>必须根据断电范围提供断电条件</w:t>
      </w:r>
      <w:r>
        <w:rPr>
          <w:rFonts w:hint="eastAsia" w:ascii="MS UI Gothic" w:eastAsia="MS UI Gothic"/>
          <w:w w:val="80"/>
        </w:rPr>
        <w:t xml:space="preserve">ꎬ </w:t>
      </w:r>
      <w:r>
        <w:t>并接通井下电源及控制线</w:t>
      </w:r>
      <w:r>
        <w:rPr>
          <w:rFonts w:hint="eastAsia" w:ascii="MS UI Gothic" w:eastAsia="MS UI Gothic"/>
          <w:w w:val="80"/>
        </w:rPr>
        <w:t>ꎮ</w:t>
      </w:r>
    </w:p>
    <w:p>
      <w:pPr>
        <w:pStyle w:val="6"/>
        <w:spacing w:line="295" w:lineRule="auto"/>
        <w:ind w:right="442"/>
        <w:rPr>
          <w:rFonts w:hint="eastAsia" w:ascii="MS UI Gothic" w:eastAsia="MS UI Gothic"/>
        </w:rPr>
      </w:pPr>
      <w:r>
        <w:t>改接或者拆除与安全监控设备关联的电气设备</w:t>
      </w:r>
      <w:r>
        <w:rPr>
          <w:rFonts w:hint="eastAsia" w:ascii="MS UI Gothic" w:eastAsia="MS UI Gothic"/>
          <w:w w:val="80"/>
        </w:rPr>
        <w:t xml:space="preserve">、 </w:t>
      </w:r>
      <w:r>
        <w:t>电源线和控制线时</w:t>
      </w:r>
      <w:r>
        <w:rPr>
          <w:rFonts w:hint="eastAsia" w:ascii="MS UI Gothic" w:eastAsia="MS UI Gothic"/>
          <w:w w:val="80"/>
        </w:rPr>
        <w:t xml:space="preserve">ꎬ </w:t>
      </w:r>
      <w:r>
        <w:t>必须与安全监控管理部门共同处理</w:t>
      </w:r>
      <w:r>
        <w:rPr>
          <w:rFonts w:hint="eastAsia" w:ascii="MS UI Gothic" w:eastAsia="MS UI Gothic"/>
          <w:w w:val="80"/>
        </w:rPr>
        <w:t xml:space="preserve">ꎮ </w:t>
      </w:r>
      <w:r>
        <w:t>检修与安全监控设备关联的电气设备</w:t>
      </w:r>
      <w:r>
        <w:rPr>
          <w:rFonts w:hint="eastAsia" w:ascii="MS UI Gothic" w:eastAsia="MS UI Gothic"/>
          <w:w w:val="80"/>
        </w:rPr>
        <w:t xml:space="preserve">ꎬ </w:t>
      </w:r>
      <w:r>
        <w:t>需要监控设备停止运行时</w:t>
      </w:r>
      <w:r>
        <w:rPr>
          <w:rFonts w:hint="eastAsia" w:ascii="MS UI Gothic" w:eastAsia="MS UI Gothic"/>
          <w:w w:val="80"/>
        </w:rPr>
        <w:t xml:space="preserve">ꎬ </w:t>
      </w:r>
      <w:r>
        <w:t>必须制定安全措施</w:t>
      </w:r>
      <w:r>
        <w:rPr>
          <w:rFonts w:hint="eastAsia" w:ascii="MS UI Gothic" w:eastAsia="MS UI Gothic"/>
          <w:w w:val="80"/>
        </w:rPr>
        <w:t xml:space="preserve">ꎬ </w:t>
      </w:r>
      <w:r>
        <w:t>并报矿总工程师审批</w:t>
      </w:r>
      <w:r>
        <w:rPr>
          <w:rFonts w:hint="eastAsia" w:ascii="MS UI Gothic" w:eastAsia="MS UI Gothic"/>
          <w:w w:val="80"/>
        </w:rPr>
        <w:t>ꎮ</w:t>
      </w:r>
    </w:p>
    <w:p>
      <w:pPr>
        <w:pStyle w:val="6"/>
        <w:spacing w:line="295" w:lineRule="auto"/>
        <w:ind w:right="442"/>
        <w:rPr>
          <w:rFonts w:hint="eastAsia" w:ascii="MS UI Gothic" w:eastAsia="MS UI Gothic"/>
        </w:rPr>
      </w:pPr>
      <w:r>
        <w:t>第四百九十二条 安全监控设备必须定期调校</w:t>
      </w:r>
      <w:r>
        <w:rPr>
          <w:rFonts w:hint="eastAsia" w:ascii="MS UI Gothic" w:eastAsia="MS UI Gothic"/>
        </w:rPr>
        <w:t xml:space="preserve">、 </w:t>
      </w:r>
      <w:r>
        <w:t>测试</w:t>
      </w:r>
      <w:r>
        <w:rPr>
          <w:rFonts w:hint="eastAsia" w:ascii="MS UI Gothic" w:eastAsia="MS UI Gothic"/>
          <w:w w:val="80"/>
        </w:rPr>
        <w:t xml:space="preserve">ꎬ </w:t>
      </w:r>
      <w:r>
        <w:t xml:space="preserve">每月至少 </w:t>
      </w:r>
      <w:r>
        <w:rPr>
          <w:rFonts w:hint="eastAsia" w:ascii="MS UI Gothic" w:eastAsia="MS UI Gothic"/>
        </w:rPr>
        <w:t xml:space="preserve">１ </w:t>
      </w:r>
      <w:r>
        <w:t>次</w:t>
      </w:r>
      <w:r>
        <w:rPr>
          <w:rFonts w:hint="eastAsia" w:ascii="MS UI Gothic" w:eastAsia="MS UI Gothic"/>
          <w:w w:val="80"/>
        </w:rPr>
        <w:t>ꎮ</w:t>
      </w:r>
    </w:p>
    <w:p>
      <w:pPr>
        <w:pStyle w:val="6"/>
        <w:spacing w:line="295" w:lineRule="auto"/>
        <w:ind w:left="118" w:right="440" w:firstLine="425"/>
        <w:rPr>
          <w:rFonts w:hint="eastAsia" w:ascii="MS UI Gothic" w:eastAsia="MS UI Gothic"/>
        </w:rPr>
      </w:pPr>
      <w:r>
        <w:t>采用载体催化元件的甲烷传感器必须使用校准气样和空气气样在设备设置地点调校</w:t>
      </w:r>
      <w:r>
        <w:rPr>
          <w:rFonts w:hint="eastAsia" w:ascii="MS UI Gothic" w:eastAsia="MS UI Gothic"/>
          <w:w w:val="85"/>
        </w:rPr>
        <w:t xml:space="preserve">ꎬ </w:t>
      </w:r>
      <w:r>
        <w:t>便携式甲烷检测报警仪在仪器维修室调校</w:t>
      </w:r>
      <w:r>
        <w:rPr>
          <w:rFonts w:hint="eastAsia" w:ascii="MS UI Gothic" w:eastAsia="MS UI Gothic"/>
          <w:w w:val="85"/>
        </w:rPr>
        <w:t xml:space="preserve">ꎬ </w:t>
      </w:r>
      <w:r>
        <w:t xml:space="preserve">每 </w:t>
      </w:r>
      <w:r>
        <w:rPr>
          <w:rFonts w:hint="eastAsia" w:ascii="MS UI Gothic" w:eastAsia="MS UI Gothic"/>
          <w:w w:val="85"/>
        </w:rPr>
        <w:t xml:space="preserve">１５ </w:t>
      </w:r>
      <w:r>
        <w:t xml:space="preserve">天至少 </w:t>
      </w:r>
      <w:r>
        <w:rPr>
          <w:rFonts w:hint="eastAsia" w:ascii="MS UI Gothic" w:eastAsia="MS UI Gothic"/>
          <w:w w:val="85"/>
        </w:rPr>
        <w:t xml:space="preserve">１ </w:t>
      </w:r>
      <w:r>
        <w:t>次</w:t>
      </w:r>
      <w:r>
        <w:rPr>
          <w:rFonts w:hint="eastAsia" w:ascii="MS UI Gothic" w:eastAsia="MS UI Gothic"/>
          <w:w w:val="85"/>
        </w:rPr>
        <w:t xml:space="preserve">ꎮ </w:t>
      </w:r>
      <w:r>
        <w:t xml:space="preserve">甲烷电闭锁和风电闭锁功能每 </w:t>
      </w:r>
      <w:r>
        <w:rPr>
          <w:rFonts w:hint="eastAsia" w:ascii="MS UI Gothic" w:eastAsia="MS UI Gothic"/>
          <w:w w:val="85"/>
        </w:rPr>
        <w:t xml:space="preserve">１５ </w:t>
      </w:r>
      <w:r>
        <w:t xml:space="preserve">天至少测试 </w:t>
      </w:r>
      <w:r>
        <w:rPr>
          <w:rFonts w:hint="eastAsia" w:ascii="MS UI Gothic" w:eastAsia="MS UI Gothic"/>
          <w:w w:val="85"/>
        </w:rPr>
        <w:t xml:space="preserve">１ </w:t>
      </w:r>
      <w:r>
        <w:t>次</w:t>
      </w:r>
      <w:r>
        <w:rPr>
          <w:rFonts w:hint="eastAsia" w:ascii="MS UI Gothic" w:eastAsia="MS UI Gothic"/>
          <w:w w:val="85"/>
        </w:rPr>
        <w:t>ꎮ</w:t>
      </w:r>
      <w:r>
        <w:t>可能造成局部通风机停电的</w:t>
      </w:r>
      <w:r>
        <w:rPr>
          <w:rFonts w:hint="eastAsia" w:ascii="MS UI Gothic" w:eastAsia="MS UI Gothic"/>
          <w:w w:val="85"/>
        </w:rPr>
        <w:t xml:space="preserve">ꎬ </w:t>
      </w:r>
      <w:r>
        <w:t>每半年测试</w:t>
      </w:r>
      <w:r>
        <w:rPr>
          <w:rFonts w:hint="eastAsia" w:ascii="MS UI Gothic" w:eastAsia="MS UI Gothic"/>
          <w:w w:val="85"/>
        </w:rPr>
        <w:t xml:space="preserve">１ </w:t>
      </w:r>
      <w:r>
        <w:t>次</w:t>
      </w:r>
      <w:r>
        <w:rPr>
          <w:rFonts w:hint="eastAsia" w:ascii="MS UI Gothic" w:eastAsia="MS UI Gothic"/>
          <w:w w:val="85"/>
        </w:rPr>
        <w:t>ꎮ</w:t>
      </w:r>
    </w:p>
    <w:p>
      <w:pPr>
        <w:pStyle w:val="6"/>
        <w:spacing w:line="295" w:lineRule="auto"/>
        <w:ind w:right="442"/>
        <w:rPr>
          <w:rFonts w:hint="eastAsia" w:ascii="MS UI Gothic" w:eastAsia="MS UI Gothic"/>
        </w:rPr>
      </w:pPr>
      <w:r>
        <w:t>安全监控设备发生故障时</w:t>
      </w:r>
      <w:r>
        <w:rPr>
          <w:rFonts w:hint="eastAsia" w:ascii="MS UI Gothic" w:eastAsia="MS UI Gothic"/>
          <w:w w:val="80"/>
        </w:rPr>
        <w:t xml:space="preserve">ꎬ </w:t>
      </w:r>
      <w:r>
        <w:t>必须及时处理</w:t>
      </w:r>
      <w:r>
        <w:rPr>
          <w:rFonts w:hint="eastAsia" w:ascii="MS UI Gothic" w:eastAsia="MS UI Gothic"/>
          <w:w w:val="80"/>
        </w:rPr>
        <w:t xml:space="preserve">ꎬ </w:t>
      </w:r>
      <w:r>
        <w:t>在故障处理期间必须采用人工监测等安全措施</w:t>
      </w:r>
      <w:r>
        <w:rPr>
          <w:rFonts w:hint="eastAsia" w:ascii="MS UI Gothic" w:eastAsia="MS UI Gothic"/>
          <w:w w:val="80"/>
        </w:rPr>
        <w:t xml:space="preserve">ꎬ </w:t>
      </w:r>
      <w:r>
        <w:t>并填写故障记录</w:t>
      </w:r>
      <w:r>
        <w:rPr>
          <w:rFonts w:hint="eastAsia" w:ascii="MS UI Gothic" w:eastAsia="MS UI Gothic"/>
          <w:w w:val="80"/>
        </w:rPr>
        <w:t>ꎮ</w:t>
      </w:r>
    </w:p>
    <w:p>
      <w:pPr>
        <w:pStyle w:val="6"/>
        <w:spacing w:line="295" w:lineRule="auto"/>
        <w:ind w:right="442"/>
      </w:pPr>
      <w:r>
        <w:rPr>
          <w:w w:val="105"/>
        </w:rPr>
        <w:t>第四百九十三条 必须每天检查安全</w:t>
      </w:r>
      <w:r>
        <w:t>监控设备及线缆是否正常</w:t>
      </w:r>
      <w:r>
        <w:rPr>
          <w:rFonts w:hint="eastAsia" w:ascii="MS UI Gothic" w:eastAsia="MS UI Gothic"/>
          <w:w w:val="80"/>
        </w:rPr>
        <w:t xml:space="preserve">ꎬ </w:t>
      </w:r>
      <w:r>
        <w:t>使用便携式光学甲烷检测仪或者便携式甲烷检测报警仪与甲烷传感器进行对照</w:t>
      </w:r>
      <w:r>
        <w:rPr>
          <w:rFonts w:hint="eastAsia" w:ascii="MS UI Gothic" w:eastAsia="MS UI Gothic"/>
          <w:w w:val="80"/>
        </w:rPr>
        <w:t xml:space="preserve">ꎬ </w:t>
      </w:r>
      <w:r>
        <w:t>并将记录和检查结果报矿值班员</w:t>
      </w:r>
      <w:r>
        <w:rPr>
          <w:rFonts w:hint="eastAsia" w:ascii="MS UI Gothic" w:eastAsia="MS UI Gothic"/>
          <w:w w:val="80"/>
        </w:rPr>
        <w:t xml:space="preserve">ꎻ </w:t>
      </w:r>
      <w:r>
        <w:t>当两者读数差大于允许误差时</w:t>
      </w:r>
      <w:r>
        <w:rPr>
          <w:rFonts w:hint="eastAsia" w:ascii="MS UI Gothic" w:eastAsia="MS UI Gothic"/>
          <w:w w:val="80"/>
        </w:rPr>
        <w:t xml:space="preserve">ꎬ </w:t>
      </w:r>
      <w:r>
        <w:t>应当以读数较大者为依据</w:t>
      </w:r>
      <w:r>
        <w:rPr>
          <w:rFonts w:hint="eastAsia" w:ascii="MS UI Gothic" w:eastAsia="MS UI Gothic"/>
          <w:w w:val="80"/>
        </w:rPr>
        <w:t xml:space="preserve">ꎬ </w:t>
      </w:r>
      <w:r>
        <w:t>采取</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３１９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81" o:spid="_x0000_s1981" o:spt="203" style="height:2.15pt;width:398.25pt;" coordsize="7965,43">
            <o:lock v:ext="edit"/>
            <v:line id="_x0000_s1982" o:spid="_x0000_s1982" o:spt="20" style="position:absolute;left:0;top:39;height:0;width:7965;" stroked="t" coordsize="21600,21600">
              <v:path arrowok="t"/>
              <v:fill focussize="0,0"/>
              <v:stroke weight="0.388031496062992pt" color="#231F20"/>
              <v:imagedata o:title=""/>
              <o:lock v:ext="edit"/>
            </v:line>
            <v:line id="_x0000_s1983" o:spid="_x0000_s198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 xml:space="preserve">安全措施并在 </w:t>
      </w:r>
      <w:r>
        <w:rPr>
          <w:rFonts w:hint="eastAsia" w:ascii="MS UI Gothic" w:eastAsia="MS UI Gothic"/>
        </w:rPr>
        <w:t xml:space="preserve">８ ｈ </w:t>
      </w:r>
      <w:r>
        <w:t xml:space="preserve">内对 </w:t>
      </w:r>
      <w:r>
        <w:rPr>
          <w:rFonts w:hint="eastAsia" w:ascii="MS UI Gothic" w:eastAsia="MS UI Gothic"/>
        </w:rPr>
        <w:t xml:space="preserve">２ </w:t>
      </w:r>
      <w:r>
        <w:t>种设备调校完毕</w:t>
      </w:r>
      <w:r>
        <w:rPr>
          <w:rFonts w:hint="eastAsia" w:ascii="MS UI Gothic" w:eastAsia="MS UI Gothic"/>
          <w:w w:val="80"/>
        </w:rPr>
        <w:t>ꎮ</w:t>
      </w:r>
    </w:p>
    <w:p>
      <w:pPr>
        <w:pStyle w:val="6"/>
        <w:spacing w:line="295" w:lineRule="auto"/>
        <w:ind w:left="440"/>
        <w:rPr>
          <w:rFonts w:hint="eastAsia" w:ascii="MS UI Gothic" w:eastAsia="MS UI Gothic"/>
        </w:rPr>
      </w:pPr>
      <w:r>
        <w:t>第四百九十四条 矿调度室值班人员应当监视监控信息</w:t>
      </w:r>
      <w:r>
        <w:rPr>
          <w:rFonts w:hint="eastAsia" w:ascii="MS UI Gothic" w:eastAsia="MS UI Gothic"/>
          <w:w w:val="80"/>
        </w:rPr>
        <w:t xml:space="preserve">ꎬ </w:t>
      </w:r>
      <w:r>
        <w:t>填写运行日志</w:t>
      </w:r>
      <w:r>
        <w:rPr>
          <w:rFonts w:hint="eastAsia" w:ascii="MS UI Gothic" w:eastAsia="MS UI Gothic"/>
          <w:w w:val="80"/>
        </w:rPr>
        <w:t xml:space="preserve">ꎬ </w:t>
      </w:r>
      <w:r>
        <w:t>打印安全监控日报表</w:t>
      </w:r>
      <w:r>
        <w:rPr>
          <w:rFonts w:hint="eastAsia" w:ascii="MS UI Gothic" w:eastAsia="MS UI Gothic"/>
          <w:w w:val="80"/>
        </w:rPr>
        <w:t xml:space="preserve">ꎬ </w:t>
      </w:r>
      <w:r>
        <w:t>并报矿总工程师和矿长审阅</w:t>
      </w:r>
      <w:r>
        <w:rPr>
          <w:rFonts w:hint="eastAsia" w:ascii="MS UI Gothic" w:eastAsia="MS UI Gothic"/>
          <w:w w:val="80"/>
        </w:rPr>
        <w:t xml:space="preserve">ꎮ </w:t>
      </w:r>
      <w:r>
        <w:t>系统发出报警</w:t>
      </w:r>
      <w:r>
        <w:rPr>
          <w:rFonts w:hint="eastAsia" w:ascii="MS UI Gothic" w:eastAsia="MS UI Gothic"/>
          <w:w w:val="80"/>
        </w:rPr>
        <w:t xml:space="preserve">、 </w:t>
      </w:r>
      <w:r>
        <w:t>断电</w:t>
      </w:r>
      <w:r>
        <w:rPr>
          <w:rFonts w:hint="eastAsia" w:ascii="MS UI Gothic" w:eastAsia="MS UI Gothic"/>
          <w:w w:val="80"/>
        </w:rPr>
        <w:t xml:space="preserve">、 </w:t>
      </w:r>
      <w:r>
        <w:t>馈电异常等信息时</w:t>
      </w:r>
      <w:r>
        <w:rPr>
          <w:rFonts w:hint="eastAsia" w:ascii="MS UI Gothic" w:eastAsia="MS UI Gothic"/>
          <w:w w:val="80"/>
        </w:rPr>
        <w:t xml:space="preserve">ꎬ </w:t>
      </w:r>
      <w:r>
        <w:t>应当采取措施</w:t>
      </w:r>
      <w:r>
        <w:rPr>
          <w:rFonts w:hint="eastAsia" w:ascii="MS UI Gothic" w:eastAsia="MS UI Gothic"/>
          <w:w w:val="80"/>
        </w:rPr>
        <w:t xml:space="preserve">ꎬ </w:t>
      </w:r>
      <w:r>
        <w:t>及时处理</w:t>
      </w:r>
      <w:r>
        <w:rPr>
          <w:rFonts w:hint="eastAsia" w:ascii="MS UI Gothic" w:eastAsia="MS UI Gothic"/>
          <w:w w:val="80"/>
        </w:rPr>
        <w:t xml:space="preserve">ꎬ </w:t>
      </w:r>
      <w:r>
        <w:t>并立即向值班矿领导汇报</w:t>
      </w:r>
      <w:r>
        <w:rPr>
          <w:rFonts w:hint="eastAsia" w:ascii="MS UI Gothic" w:eastAsia="MS UI Gothic"/>
          <w:w w:val="80"/>
        </w:rPr>
        <w:t xml:space="preserve">ꎻ </w:t>
      </w:r>
      <w:r>
        <w:t>处理过程和结果应当记录备案</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第四百九十五条 安全监控系统必须具备实时上传监控数据的功能</w:t>
      </w:r>
      <w:r>
        <w:rPr>
          <w:rFonts w:hint="eastAsia" w:ascii="MS UI Gothic" w:eastAsia="MS UI Gothic"/>
          <w:w w:val="80"/>
        </w:rPr>
        <w:t>ꎮ</w:t>
      </w:r>
    </w:p>
    <w:p>
      <w:pPr>
        <w:pStyle w:val="6"/>
        <w:spacing w:before="124" w:line="295" w:lineRule="auto"/>
        <w:ind w:left="383" w:right="126"/>
        <w:rPr>
          <w:rFonts w:hint="eastAsia" w:ascii="MS UI Gothic" w:eastAsia="MS UI Gothic"/>
        </w:rPr>
      </w:pPr>
      <w:r>
        <w:br w:type="column"/>
      </w:r>
      <w:r>
        <w:t>第四百九十六条 便携式甲烷检测仪的调校</w:t>
      </w:r>
      <w:r>
        <w:rPr>
          <w:rFonts w:hint="eastAsia" w:ascii="MS UI Gothic" w:eastAsia="MS UI Gothic"/>
          <w:w w:val="80"/>
        </w:rPr>
        <w:t xml:space="preserve">、 </w:t>
      </w:r>
      <w:r>
        <w:t>维护及收发必须由专职人员负责</w:t>
      </w:r>
      <w:r>
        <w:rPr>
          <w:rFonts w:hint="eastAsia" w:ascii="MS UI Gothic" w:eastAsia="MS UI Gothic"/>
          <w:w w:val="80"/>
        </w:rPr>
        <w:t xml:space="preserve">ꎬ </w:t>
      </w:r>
      <w:r>
        <w:t>不符合要求的严禁发放使用</w:t>
      </w:r>
      <w:r>
        <w:rPr>
          <w:rFonts w:hint="eastAsia" w:ascii="MS UI Gothic" w:eastAsia="MS UI Gothic"/>
          <w:w w:val="80"/>
        </w:rPr>
        <w:t>ꎮ</w:t>
      </w:r>
    </w:p>
    <w:p>
      <w:pPr>
        <w:pStyle w:val="6"/>
        <w:spacing w:line="295" w:lineRule="auto"/>
        <w:ind w:left="383" w:right="126"/>
        <w:rPr>
          <w:rFonts w:hint="eastAsia" w:ascii="MS UI Gothic" w:eastAsia="MS UI Gothic"/>
        </w:rPr>
      </w:pPr>
      <w:r>
        <w:t>第四百九十七条 配制甲烷校准气样的装备和方法必须符合国家有关标准</w:t>
      </w:r>
      <w:r>
        <w:rPr>
          <w:rFonts w:hint="eastAsia" w:ascii="MS UI Gothic" w:eastAsia="MS UI Gothic"/>
          <w:w w:val="90"/>
        </w:rPr>
        <w:t xml:space="preserve">ꎬ </w:t>
      </w:r>
      <w:r>
        <w:t xml:space="preserve">选用纯度不低于 </w:t>
      </w:r>
      <w:r>
        <w:rPr>
          <w:rFonts w:hint="eastAsia" w:ascii="MS UI Gothic" w:eastAsia="MS UI Gothic"/>
        </w:rPr>
        <w:t>９９ ９</w:t>
      </w:r>
      <w:r>
        <w:t>％ 的甲烷标准气体作原料气</w:t>
      </w:r>
      <w:r>
        <w:rPr>
          <w:rFonts w:hint="eastAsia" w:ascii="MS UI Gothic" w:eastAsia="MS UI Gothic"/>
          <w:w w:val="90"/>
        </w:rPr>
        <w:t xml:space="preserve">ꎮ </w:t>
      </w:r>
      <w:r>
        <w:t xml:space="preserve">配制好的甲烷校准气体不确定度应当小于 </w:t>
      </w:r>
      <w:r>
        <w:rPr>
          <w:rFonts w:hint="eastAsia" w:ascii="MS UI Gothic" w:eastAsia="MS UI Gothic"/>
        </w:rPr>
        <w:t>５</w:t>
      </w:r>
      <w:r>
        <w:t xml:space="preserve">％ </w:t>
      </w:r>
      <w:r>
        <w:rPr>
          <w:rFonts w:hint="eastAsia" w:ascii="MS UI Gothic" w:eastAsia="MS UI Gothic"/>
          <w:w w:val="90"/>
        </w:rPr>
        <w:t>ꎮ</w:t>
      </w:r>
    </w:p>
    <w:p>
      <w:pPr>
        <w:pStyle w:val="6"/>
        <w:spacing w:line="295" w:lineRule="auto"/>
        <w:ind w:left="383" w:right="126"/>
        <w:rPr>
          <w:rFonts w:hint="eastAsia" w:ascii="MS UI Gothic" w:eastAsia="MS UI Gothic"/>
        </w:rPr>
      </w:pPr>
      <w:r>
        <w:t xml:space="preserve">第四百九十八条 甲烷传感器 </w:t>
      </w:r>
      <w:r>
        <w:rPr>
          <w:rFonts w:hint="eastAsia" w:ascii="MS UI Gothic" w:eastAsia="MS UI Gothic"/>
          <w:w w:val="145"/>
        </w:rPr>
        <w:t xml:space="preserve">( </w:t>
      </w:r>
      <w:r>
        <w:t>便携仪</w:t>
      </w:r>
      <w:r>
        <w:rPr>
          <w:rFonts w:hint="eastAsia" w:ascii="MS UI Gothic" w:eastAsia="MS UI Gothic"/>
          <w:w w:val="145"/>
        </w:rPr>
        <w:t xml:space="preserve">) </w:t>
      </w:r>
      <w:r>
        <w:t>的设置地点</w:t>
      </w:r>
      <w:r>
        <w:rPr>
          <w:rFonts w:hint="eastAsia" w:ascii="MS UI Gothic" w:eastAsia="MS UI Gothic"/>
          <w:w w:val="80"/>
        </w:rPr>
        <w:t xml:space="preserve">ꎬ </w:t>
      </w:r>
      <w:r>
        <w:t>报警</w:t>
      </w:r>
      <w:r>
        <w:rPr>
          <w:rFonts w:hint="eastAsia" w:ascii="MS UI Gothic" w:eastAsia="MS UI Gothic"/>
          <w:w w:val="80"/>
        </w:rPr>
        <w:t xml:space="preserve">、 </w:t>
      </w:r>
      <w:r>
        <w:t>断电</w:t>
      </w:r>
      <w:r>
        <w:rPr>
          <w:rFonts w:hint="eastAsia" w:ascii="MS UI Gothic" w:eastAsia="MS UI Gothic"/>
          <w:w w:val="80"/>
        </w:rPr>
        <w:t xml:space="preserve">、 </w:t>
      </w:r>
      <w:r>
        <w:t xml:space="preserve">复电浓度和断电范围必须符合表 </w:t>
      </w:r>
      <w:r>
        <w:rPr>
          <w:rFonts w:hint="eastAsia" w:ascii="MS UI Gothic" w:eastAsia="MS UI Gothic"/>
          <w:w w:val="80"/>
        </w:rPr>
        <w:t xml:space="preserve">１８ </w:t>
      </w:r>
      <w:r>
        <w:t>的要求</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3"/>
        <w:ind w:left="0" w:firstLine="0"/>
        <w:jc w:val="left"/>
        <w:rPr>
          <w:rFonts w:ascii="MS UI Gothic"/>
          <w:sz w:val="10"/>
        </w:rPr>
      </w:pPr>
    </w:p>
    <w:p>
      <w:pPr>
        <w:pStyle w:val="6"/>
        <w:spacing w:before="175"/>
        <w:ind w:left="312" w:firstLine="0"/>
        <w:jc w:val="center"/>
      </w:pPr>
      <w:r>
        <w:rPr>
          <w:w w:val="95"/>
        </w:rPr>
        <w:t xml:space="preserve">表 </w:t>
      </w:r>
      <w:r>
        <w:rPr>
          <w:rFonts w:hint="eastAsia" w:ascii="MS UI Gothic" w:eastAsia="MS UI Gothic"/>
          <w:w w:val="95"/>
        </w:rPr>
        <w:t xml:space="preserve">１８ </w:t>
      </w:r>
      <w:r>
        <w:rPr>
          <w:w w:val="95"/>
        </w:rPr>
        <w:t xml:space="preserve">甲烷传感器 </w:t>
      </w:r>
      <w:r>
        <w:rPr>
          <w:rFonts w:hint="eastAsia" w:ascii="Microsoft Yi Baiti" w:eastAsia="Microsoft Yi Baiti"/>
          <w:w w:val="95"/>
        </w:rPr>
        <w:t xml:space="preserve">( </w:t>
      </w:r>
      <w:r>
        <w:rPr>
          <w:w w:val="95"/>
        </w:rPr>
        <w:t>便携仪</w:t>
      </w:r>
      <w:r>
        <w:rPr>
          <w:rFonts w:hint="eastAsia" w:ascii="Microsoft Yi Baiti" w:eastAsia="Microsoft Yi Baiti"/>
          <w:w w:val="95"/>
        </w:rPr>
        <w:t xml:space="preserve">) </w:t>
      </w:r>
      <w:r>
        <w:rPr>
          <w:w w:val="95"/>
        </w:rPr>
        <w:t>的设置地点</w:t>
      </w:r>
      <w:r>
        <w:rPr>
          <w:rFonts w:hint="eastAsia" w:ascii="Microsoft Yi Baiti" w:eastAsia="Microsoft Yi Baiti"/>
          <w:w w:val="95"/>
        </w:rPr>
        <w:t xml:space="preserve">ꎬ </w:t>
      </w:r>
      <w:r>
        <w:rPr>
          <w:w w:val="95"/>
        </w:rPr>
        <w:t>报警</w:t>
      </w:r>
      <w:r>
        <w:rPr>
          <w:rFonts w:hint="eastAsia" w:ascii="Microsoft Yi Baiti" w:eastAsia="Microsoft Yi Baiti"/>
          <w:w w:val="95"/>
        </w:rPr>
        <w:t xml:space="preserve">、 </w:t>
      </w:r>
      <w:r>
        <w:rPr>
          <w:w w:val="95"/>
        </w:rPr>
        <w:t>断电</w:t>
      </w:r>
      <w:r>
        <w:rPr>
          <w:rFonts w:hint="eastAsia" w:ascii="Microsoft Yi Baiti" w:eastAsia="Microsoft Yi Baiti"/>
          <w:w w:val="95"/>
        </w:rPr>
        <w:t xml:space="preserve">、 </w:t>
      </w:r>
      <w:r>
        <w:rPr>
          <w:w w:val="95"/>
        </w:rPr>
        <w:t>复电浓度和断电范围</w:t>
      </w:r>
    </w:p>
    <w:p>
      <w:pPr>
        <w:pStyle w:val="6"/>
        <w:ind w:left="0" w:firstLine="0"/>
        <w:jc w:val="left"/>
        <w:rPr>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387"/>
        <w:gridCol w:w="955"/>
        <w:gridCol w:w="955"/>
        <w:gridCol w:w="955"/>
        <w:gridCol w:w="271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2387" w:type="dxa"/>
            <w:tcBorders>
              <w:bottom w:val="single" w:color="231F20" w:sz="4" w:space="0"/>
              <w:right w:val="single" w:color="231F20" w:sz="4" w:space="0"/>
            </w:tcBorders>
          </w:tcPr>
          <w:p>
            <w:pPr>
              <w:pStyle w:val="11"/>
              <w:spacing w:before="4"/>
              <w:rPr>
                <w:sz w:val="16"/>
              </w:rPr>
            </w:pPr>
          </w:p>
          <w:p>
            <w:pPr>
              <w:pStyle w:val="11"/>
              <w:ind w:left="856" w:right="846"/>
              <w:jc w:val="center"/>
              <w:rPr>
                <w:sz w:val="15"/>
              </w:rPr>
            </w:pPr>
            <w:r>
              <w:rPr>
                <w:w w:val="105"/>
                <w:sz w:val="15"/>
              </w:rPr>
              <w:t>设置地点</w:t>
            </w:r>
          </w:p>
        </w:tc>
        <w:tc>
          <w:tcPr>
            <w:tcW w:w="955" w:type="dxa"/>
            <w:tcBorders>
              <w:left w:val="single" w:color="231F20" w:sz="4" w:space="0"/>
              <w:bottom w:val="single" w:color="231F20" w:sz="4" w:space="0"/>
              <w:right w:val="single" w:color="231F20" w:sz="4" w:space="0"/>
            </w:tcBorders>
          </w:tcPr>
          <w:p>
            <w:pPr>
              <w:pStyle w:val="11"/>
              <w:spacing w:before="62"/>
              <w:ind w:left="144" w:right="129"/>
              <w:jc w:val="center"/>
              <w:rPr>
                <w:sz w:val="15"/>
              </w:rPr>
            </w:pPr>
            <w:r>
              <w:rPr>
                <w:w w:val="105"/>
                <w:sz w:val="15"/>
              </w:rPr>
              <w:t>报警浓度</w:t>
            </w:r>
          </w:p>
          <w:p>
            <w:pPr>
              <w:pStyle w:val="11"/>
              <w:spacing w:before="72"/>
              <w:ind w:left="129" w:right="130"/>
              <w:jc w:val="center"/>
              <w:rPr>
                <w:rFonts w:hint="eastAsia" w:ascii="MS UI Gothic" w:eastAsia="MS UI Gothic"/>
                <w:sz w:val="15"/>
              </w:rPr>
            </w:pPr>
            <w:r>
              <w:rPr>
                <w:w w:val="85"/>
                <w:sz w:val="15"/>
              </w:rPr>
              <w:t xml:space="preserve">％ </w:t>
            </w:r>
            <w:r>
              <w:rPr>
                <w:rFonts w:hint="eastAsia" w:ascii="MS UI Gothic" w:eastAsia="MS UI Gothic"/>
                <w:w w:val="85"/>
                <w:sz w:val="15"/>
              </w:rPr>
              <w:t>ＣＨ</w:t>
            </w:r>
            <w:r>
              <w:rPr>
                <w:rFonts w:hint="eastAsia" w:ascii="MS UI Gothic" w:eastAsia="MS UI Gothic"/>
                <w:w w:val="85"/>
                <w:sz w:val="15"/>
                <w:vertAlign w:val="subscript"/>
              </w:rPr>
              <w:t>４</w:t>
            </w:r>
          </w:p>
        </w:tc>
        <w:tc>
          <w:tcPr>
            <w:tcW w:w="955" w:type="dxa"/>
            <w:tcBorders>
              <w:left w:val="single" w:color="231F20" w:sz="4" w:space="0"/>
              <w:bottom w:val="single" w:color="231F20" w:sz="4" w:space="0"/>
              <w:right w:val="single" w:color="231F20" w:sz="4" w:space="0"/>
            </w:tcBorders>
          </w:tcPr>
          <w:p>
            <w:pPr>
              <w:pStyle w:val="11"/>
              <w:spacing w:before="62"/>
              <w:ind w:left="144" w:right="130"/>
              <w:jc w:val="center"/>
              <w:rPr>
                <w:sz w:val="15"/>
              </w:rPr>
            </w:pPr>
            <w:r>
              <w:rPr>
                <w:w w:val="105"/>
                <w:sz w:val="15"/>
              </w:rPr>
              <w:t>断电浓度</w:t>
            </w:r>
          </w:p>
          <w:p>
            <w:pPr>
              <w:pStyle w:val="11"/>
              <w:spacing w:before="72"/>
              <w:ind w:left="129" w:right="130"/>
              <w:jc w:val="center"/>
              <w:rPr>
                <w:rFonts w:hint="eastAsia" w:ascii="MS UI Gothic" w:eastAsia="MS UI Gothic"/>
                <w:sz w:val="15"/>
              </w:rPr>
            </w:pPr>
            <w:r>
              <w:rPr>
                <w:w w:val="85"/>
                <w:sz w:val="15"/>
              </w:rPr>
              <w:t xml:space="preserve">％ </w:t>
            </w:r>
            <w:r>
              <w:rPr>
                <w:rFonts w:hint="eastAsia" w:ascii="MS UI Gothic" w:eastAsia="MS UI Gothic"/>
                <w:w w:val="85"/>
                <w:sz w:val="15"/>
              </w:rPr>
              <w:t>ＣＨ</w:t>
            </w:r>
            <w:r>
              <w:rPr>
                <w:rFonts w:hint="eastAsia" w:ascii="MS UI Gothic" w:eastAsia="MS UI Gothic"/>
                <w:w w:val="85"/>
                <w:sz w:val="15"/>
                <w:vertAlign w:val="subscript"/>
              </w:rPr>
              <w:t>４</w:t>
            </w:r>
          </w:p>
        </w:tc>
        <w:tc>
          <w:tcPr>
            <w:tcW w:w="955" w:type="dxa"/>
            <w:tcBorders>
              <w:left w:val="single" w:color="231F20" w:sz="4" w:space="0"/>
              <w:bottom w:val="single" w:color="231F20" w:sz="4" w:space="0"/>
              <w:right w:val="single" w:color="231F20" w:sz="4" w:space="0"/>
            </w:tcBorders>
          </w:tcPr>
          <w:p>
            <w:pPr>
              <w:pStyle w:val="11"/>
              <w:spacing w:before="62"/>
              <w:ind w:left="144" w:right="130"/>
              <w:jc w:val="center"/>
              <w:rPr>
                <w:sz w:val="15"/>
              </w:rPr>
            </w:pPr>
            <w:r>
              <w:rPr>
                <w:w w:val="105"/>
                <w:sz w:val="15"/>
              </w:rPr>
              <w:t>复电浓度</w:t>
            </w:r>
          </w:p>
          <w:p>
            <w:pPr>
              <w:pStyle w:val="11"/>
              <w:spacing w:before="72"/>
              <w:ind w:left="129" w:right="130"/>
              <w:jc w:val="center"/>
              <w:rPr>
                <w:rFonts w:hint="eastAsia" w:ascii="MS UI Gothic" w:eastAsia="MS UI Gothic"/>
                <w:sz w:val="15"/>
              </w:rPr>
            </w:pPr>
            <w:r>
              <w:rPr>
                <w:w w:val="85"/>
                <w:sz w:val="15"/>
              </w:rPr>
              <w:t xml:space="preserve">％ </w:t>
            </w:r>
            <w:r>
              <w:rPr>
                <w:rFonts w:hint="eastAsia" w:ascii="MS UI Gothic" w:eastAsia="MS UI Gothic"/>
                <w:w w:val="85"/>
                <w:sz w:val="15"/>
              </w:rPr>
              <w:t>ＣＨ</w:t>
            </w:r>
            <w:r>
              <w:rPr>
                <w:rFonts w:hint="eastAsia" w:ascii="MS UI Gothic" w:eastAsia="MS UI Gothic"/>
                <w:w w:val="85"/>
                <w:sz w:val="15"/>
                <w:vertAlign w:val="subscript"/>
              </w:rPr>
              <w:t>４</w:t>
            </w:r>
          </w:p>
        </w:tc>
        <w:tc>
          <w:tcPr>
            <w:tcW w:w="2713" w:type="dxa"/>
            <w:tcBorders>
              <w:left w:val="single" w:color="231F20" w:sz="4" w:space="0"/>
              <w:bottom w:val="single" w:color="231F20" w:sz="4" w:space="0"/>
            </w:tcBorders>
          </w:tcPr>
          <w:p>
            <w:pPr>
              <w:pStyle w:val="11"/>
              <w:spacing w:before="4"/>
              <w:rPr>
                <w:sz w:val="16"/>
              </w:rPr>
            </w:pPr>
          </w:p>
          <w:p>
            <w:pPr>
              <w:pStyle w:val="11"/>
              <w:ind w:left="943" w:right="924"/>
              <w:jc w:val="center"/>
              <w:rPr>
                <w:sz w:val="15"/>
              </w:rPr>
            </w:pPr>
            <w:r>
              <w:rPr>
                <w:w w:val="105"/>
                <w:sz w:val="15"/>
              </w:rPr>
              <w:t>断电范围</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9"/>
              <w:rPr>
                <w:sz w:val="16"/>
              </w:rPr>
            </w:pPr>
          </w:p>
          <w:p>
            <w:pPr>
              <w:pStyle w:val="11"/>
              <w:ind w:left="263"/>
              <w:rPr>
                <w:sz w:val="15"/>
              </w:rPr>
            </w:pPr>
            <w:r>
              <w:rPr>
                <w:w w:val="105"/>
                <w:sz w:val="15"/>
              </w:rPr>
              <w:t>采煤工作面回风隅角</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工作面及其回风巷内全部非本质</w:t>
            </w:r>
            <w:r>
              <w:rPr>
                <w:w w:val="105"/>
                <w:sz w:val="15"/>
              </w:rPr>
              <w:t>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5" w:line="260" w:lineRule="atLeast"/>
              <w:ind w:left="104" w:right="92" w:firstLine="159"/>
              <w:rPr>
                <w:sz w:val="15"/>
              </w:rPr>
            </w:pPr>
            <w:r>
              <w:rPr>
                <w:sz w:val="15"/>
              </w:rPr>
              <w:t>低瓦斯和高瓦斯矿井的采煤</w:t>
            </w:r>
            <w:r>
              <w:rPr>
                <w:w w:val="105"/>
                <w:sz w:val="15"/>
              </w:rPr>
              <w:t>工作面</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工作面及其回风巷内全部非本质</w:t>
            </w:r>
            <w:r>
              <w:rPr>
                <w:w w:val="105"/>
                <w:sz w:val="15"/>
              </w:rPr>
              <w:t>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9"/>
              <w:rPr>
                <w:sz w:val="16"/>
              </w:rPr>
            </w:pPr>
          </w:p>
          <w:p>
            <w:pPr>
              <w:pStyle w:val="11"/>
              <w:ind w:left="263"/>
              <w:rPr>
                <w:sz w:val="15"/>
              </w:rPr>
            </w:pPr>
            <w:r>
              <w:rPr>
                <w:w w:val="105"/>
                <w:sz w:val="15"/>
              </w:rPr>
              <w:t>突出矿井的采煤工作面</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工作面及其进</w:t>
            </w:r>
            <w:r>
              <w:rPr>
                <w:rFonts w:hint="eastAsia" w:ascii="MS UI Gothic" w:eastAsia="MS UI Gothic"/>
                <w:sz w:val="15"/>
              </w:rPr>
              <w:t xml:space="preserve">、 </w:t>
            </w:r>
            <w:r>
              <w:rPr>
                <w:sz w:val="15"/>
              </w:rPr>
              <w:t>回风巷内全部非本质安全型电气设备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9"/>
              <w:rPr>
                <w:sz w:val="16"/>
              </w:rPr>
            </w:pPr>
          </w:p>
          <w:p>
            <w:pPr>
              <w:pStyle w:val="11"/>
              <w:ind w:left="263"/>
              <w:rPr>
                <w:sz w:val="15"/>
              </w:rPr>
            </w:pPr>
            <w:r>
              <w:rPr>
                <w:w w:val="105"/>
                <w:sz w:val="15"/>
              </w:rPr>
              <w:t>采煤工作面回风巷</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工作面及其回风巷内全部非本质</w:t>
            </w:r>
            <w:r>
              <w:rPr>
                <w:w w:val="105"/>
                <w:sz w:val="15"/>
              </w:rPr>
              <w:t>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9"/>
              <w:rPr>
                <w:sz w:val="16"/>
              </w:rPr>
            </w:pPr>
          </w:p>
          <w:p>
            <w:pPr>
              <w:pStyle w:val="11"/>
              <w:ind w:left="104"/>
              <w:rPr>
                <w:sz w:val="15"/>
              </w:rPr>
            </w:pPr>
            <w:r>
              <w:rPr>
                <w:w w:val="105"/>
                <w:sz w:val="15"/>
              </w:rPr>
              <w:t>突出矿井的采煤工作面进风巷</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０</w:t>
            </w:r>
            <w:r>
              <w:rPr>
                <w:rFonts w:hint="eastAsia" w:ascii="MS UI Gothic" w:eastAsia="MS UI Gothic"/>
                <w:spacing w:val="-7"/>
                <w:sz w:val="15"/>
              </w:rPr>
              <w:t xml:space="preserve"> </w:t>
            </w:r>
            <w:r>
              <w:rPr>
                <w:rFonts w:hint="eastAsia" w:ascii="MS UI Gothic" w:eastAsia="MS UI Gothic"/>
                <w:w w:val="75"/>
                <w:sz w:val="15"/>
              </w:rPr>
              <w:t>５</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工作面及其进</w:t>
            </w:r>
            <w:r>
              <w:rPr>
                <w:rFonts w:hint="eastAsia" w:ascii="MS UI Gothic" w:eastAsia="MS UI Gothic"/>
                <w:sz w:val="15"/>
              </w:rPr>
              <w:t xml:space="preserve">、 </w:t>
            </w:r>
            <w:r>
              <w:rPr>
                <w:sz w:val="15"/>
              </w:rPr>
              <w:t>回风巷内全部非本质安全型电气设备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5" w:line="260" w:lineRule="atLeast"/>
              <w:ind w:left="104" w:right="92" w:firstLine="159"/>
              <w:rPr>
                <w:sz w:val="15"/>
              </w:rPr>
            </w:pPr>
            <w:r>
              <w:rPr>
                <w:sz w:val="15"/>
              </w:rPr>
              <w:t>采用串联通风的被串采煤工</w:t>
            </w:r>
            <w:r>
              <w:rPr>
                <w:w w:val="105"/>
                <w:sz w:val="15"/>
              </w:rPr>
              <w:t>作面进风巷</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０</w:t>
            </w:r>
            <w:r>
              <w:rPr>
                <w:rFonts w:hint="eastAsia" w:ascii="MS UI Gothic" w:eastAsia="MS UI Gothic"/>
                <w:spacing w:val="-7"/>
                <w:sz w:val="15"/>
              </w:rPr>
              <w:t xml:space="preserve"> </w:t>
            </w:r>
            <w:r>
              <w:rPr>
                <w:rFonts w:hint="eastAsia" w:ascii="MS UI Gothic" w:eastAsia="MS UI Gothic"/>
                <w:w w:val="75"/>
                <w:sz w:val="15"/>
              </w:rPr>
              <w:t>５</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被串采煤工作面及进</w:t>
            </w:r>
            <w:r>
              <w:rPr>
                <w:rFonts w:hint="eastAsia" w:ascii="MS UI Gothic" w:eastAsia="MS UI Gothic"/>
                <w:sz w:val="15"/>
              </w:rPr>
              <w:t xml:space="preserve">、 </w:t>
            </w:r>
            <w:r>
              <w:rPr>
                <w:sz w:val="15"/>
              </w:rPr>
              <w:t>回风巷内全部非本质安全型电气设备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5" w:line="260" w:lineRule="atLeast"/>
              <w:ind w:left="104" w:right="92" w:firstLine="159"/>
              <w:rPr>
                <w:sz w:val="15"/>
              </w:rPr>
            </w:pPr>
            <w:r>
              <w:rPr>
                <w:sz w:val="15"/>
              </w:rPr>
              <w:t>高瓦斯</w:t>
            </w:r>
            <w:r>
              <w:rPr>
                <w:rFonts w:hint="eastAsia" w:ascii="MS UI Gothic" w:eastAsia="MS UI Gothic"/>
                <w:sz w:val="15"/>
              </w:rPr>
              <w:t xml:space="preserve">、 </w:t>
            </w:r>
            <w:r>
              <w:rPr>
                <w:sz w:val="15"/>
              </w:rPr>
              <w:t>突出矿井采煤工作面回风巷中部</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工作面及其回风巷内全部非本质</w:t>
            </w:r>
            <w:r>
              <w:rPr>
                <w:w w:val="105"/>
                <w:sz w:val="15"/>
              </w:rPr>
              <w:t>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387"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采煤机</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55"/>
              <w:ind w:left="268"/>
              <w:rPr>
                <w:sz w:val="15"/>
              </w:rPr>
            </w:pPr>
            <w:r>
              <w:rPr>
                <w:w w:val="105"/>
                <w:sz w:val="15"/>
              </w:rPr>
              <w:t>采煤机电源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5" w:line="260" w:lineRule="atLeast"/>
              <w:ind w:left="104" w:right="92" w:firstLine="159"/>
              <w:rPr>
                <w:sz w:val="15"/>
              </w:rPr>
            </w:pPr>
            <w:r>
              <w:rPr>
                <w:sz w:val="15"/>
              </w:rPr>
              <w:t>煤巷</w:t>
            </w:r>
            <w:r>
              <w:rPr>
                <w:rFonts w:hint="eastAsia" w:ascii="MS UI Gothic" w:eastAsia="MS UI Gothic"/>
                <w:sz w:val="15"/>
              </w:rPr>
              <w:t xml:space="preserve">、 </w:t>
            </w:r>
            <w:r>
              <w:rPr>
                <w:sz w:val="15"/>
              </w:rPr>
              <w:t>半煤岩巷和有瓦斯涌出的岩巷掘进工作面</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掘进巷道内全部非本质安全型电</w:t>
            </w:r>
            <w:r>
              <w:rPr>
                <w:w w:val="105"/>
                <w:sz w:val="15"/>
              </w:rPr>
              <w:t>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5" w:line="260" w:lineRule="atLeast"/>
              <w:ind w:left="104" w:right="92" w:firstLine="159"/>
              <w:rPr>
                <w:sz w:val="15"/>
              </w:rPr>
            </w:pPr>
            <w:r>
              <w:rPr>
                <w:sz w:val="15"/>
              </w:rPr>
              <w:t>煤巷</w:t>
            </w:r>
            <w:r>
              <w:rPr>
                <w:rFonts w:hint="eastAsia" w:ascii="MS UI Gothic" w:eastAsia="MS UI Gothic"/>
                <w:sz w:val="15"/>
              </w:rPr>
              <w:t xml:space="preserve">、 </w:t>
            </w:r>
            <w:r>
              <w:rPr>
                <w:sz w:val="15"/>
              </w:rPr>
              <w:t>半煤岩巷和有瓦斯涌出的岩巷掘进工作面回风流中</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掘进巷道内全部非本质安全型电</w:t>
            </w:r>
            <w:r>
              <w:rPr>
                <w:w w:val="105"/>
                <w:sz w:val="15"/>
              </w:rPr>
              <w:t>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2387" w:type="dxa"/>
            <w:vMerge w:val="restart"/>
            <w:tcBorders>
              <w:top w:val="single" w:color="231F20" w:sz="4" w:space="0"/>
              <w:right w:val="single" w:color="231F20" w:sz="4" w:space="0"/>
            </w:tcBorders>
          </w:tcPr>
          <w:p>
            <w:pPr>
              <w:pStyle w:val="11"/>
              <w:spacing w:before="11"/>
              <w:rPr>
                <w:sz w:val="18"/>
              </w:rPr>
            </w:pPr>
          </w:p>
          <w:p>
            <w:pPr>
              <w:pStyle w:val="11"/>
              <w:spacing w:line="328" w:lineRule="auto"/>
              <w:ind w:left="104" w:right="92" w:firstLine="159"/>
              <w:rPr>
                <w:sz w:val="15"/>
              </w:rPr>
            </w:pPr>
            <w:r>
              <w:rPr>
                <w:sz w:val="15"/>
              </w:rPr>
              <w:t>采用串联通风的被串掘进工</w:t>
            </w:r>
            <w:r>
              <w:rPr>
                <w:w w:val="105"/>
                <w:sz w:val="15"/>
              </w:rPr>
              <w:t>作面局部通风机前</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０</w:t>
            </w:r>
            <w:r>
              <w:rPr>
                <w:rFonts w:hint="eastAsia" w:ascii="MS UI Gothic" w:eastAsia="MS UI Gothic"/>
                <w:spacing w:val="-7"/>
                <w:sz w:val="15"/>
              </w:rPr>
              <w:t xml:space="preserve"> </w:t>
            </w:r>
            <w:r>
              <w:rPr>
                <w:rFonts w:hint="eastAsia" w:ascii="MS UI Gothic" w:eastAsia="MS UI Gothic"/>
                <w:w w:val="75"/>
                <w:sz w:val="15"/>
              </w:rPr>
              <w:t>５</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被串掘进巷道内全部非本质安全</w:t>
            </w:r>
            <w:r>
              <w:rPr>
                <w:w w:val="105"/>
                <w:sz w:val="15"/>
              </w:rPr>
              <w:t>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98" w:hRule="atLeast"/>
        </w:trPr>
        <w:tc>
          <w:tcPr>
            <w:tcW w:w="2387" w:type="dxa"/>
            <w:vMerge w:val="continue"/>
            <w:tcBorders>
              <w:top w:val="nil"/>
              <w:right w:val="single" w:color="231F20" w:sz="4" w:space="0"/>
            </w:tcBorders>
          </w:tcPr>
          <w:p>
            <w:pPr>
              <w:rPr>
                <w:sz w:val="2"/>
                <w:szCs w:val="2"/>
              </w:rPr>
            </w:pPr>
          </w:p>
        </w:tc>
        <w:tc>
          <w:tcPr>
            <w:tcW w:w="955" w:type="dxa"/>
            <w:tcBorders>
              <w:top w:val="single" w:color="231F20" w:sz="4" w:space="0"/>
              <w:left w:val="single" w:color="231F20" w:sz="4" w:space="0"/>
              <w:right w:val="single" w:color="231F20" w:sz="4" w:space="0"/>
            </w:tcBorders>
          </w:tcPr>
          <w:p>
            <w:pPr>
              <w:pStyle w:val="11"/>
              <w:spacing w:before="50"/>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right w:val="single" w:color="231F20" w:sz="4" w:space="0"/>
            </w:tcBorders>
          </w:tcPr>
          <w:p>
            <w:pPr>
              <w:pStyle w:val="11"/>
              <w:spacing w:before="50"/>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right w:val="single" w:color="231F20" w:sz="4" w:space="0"/>
            </w:tcBorders>
          </w:tcPr>
          <w:p>
            <w:pPr>
              <w:pStyle w:val="11"/>
              <w:spacing w:before="50"/>
              <w:ind w:right="273"/>
              <w:jc w:val="right"/>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０</w:t>
            </w:r>
            <w:r>
              <w:rPr>
                <w:rFonts w:hint="eastAsia" w:ascii="MS UI Gothic" w:eastAsia="MS UI Gothic"/>
                <w:spacing w:val="-7"/>
                <w:sz w:val="15"/>
              </w:rPr>
              <w:t xml:space="preserve"> </w:t>
            </w:r>
            <w:r>
              <w:rPr>
                <w:rFonts w:hint="eastAsia" w:ascii="MS UI Gothic" w:eastAsia="MS UI Gothic"/>
                <w:w w:val="75"/>
                <w:sz w:val="15"/>
              </w:rPr>
              <w:t>５</w:t>
            </w:r>
          </w:p>
        </w:tc>
        <w:tc>
          <w:tcPr>
            <w:tcW w:w="2713" w:type="dxa"/>
            <w:tcBorders>
              <w:top w:val="single" w:color="231F20" w:sz="4" w:space="0"/>
              <w:left w:val="single" w:color="231F20" w:sz="4" w:space="0"/>
            </w:tcBorders>
          </w:tcPr>
          <w:p>
            <w:pPr>
              <w:pStyle w:val="11"/>
              <w:spacing w:before="50"/>
              <w:ind w:left="268"/>
              <w:rPr>
                <w:sz w:val="15"/>
              </w:rPr>
            </w:pPr>
            <w:r>
              <w:rPr>
                <w:w w:val="105"/>
                <w:sz w:val="15"/>
              </w:rPr>
              <w:t>被串掘进工作面局部通风机</w:t>
            </w:r>
          </w:p>
        </w:tc>
      </w:tr>
    </w:tbl>
    <w:p>
      <w:pPr>
        <w:spacing w:after="0"/>
        <w:rPr>
          <w:sz w:val="15"/>
        </w:rPr>
        <w:sectPr>
          <w:type w:val="continuous"/>
          <w:pgSz w:w="10500" w:h="14750"/>
          <w:pgMar w:top="1400" w:right="980" w:bottom="280" w:left="980" w:header="720" w:footer="720" w:gutter="0"/>
        </w:sectPr>
      </w:pPr>
    </w:p>
    <w:p>
      <w:pPr>
        <w:pStyle w:val="6"/>
        <w:spacing w:before="159"/>
        <w:ind w:left="280" w:firstLine="0"/>
        <w:jc w:val="left"/>
        <w:rPr>
          <w:rFonts w:hint="eastAsia" w:ascii="MS UI Gothic" w:eastAsia="MS UI Gothic"/>
        </w:rPr>
      </w:pPr>
      <w:r>
        <w:pict>
          <v:shape id="_x0000_s1984" o:spid="_x0000_s1984" style="position:absolute;left:0pt;margin-left:0pt;margin-top:700.1pt;height:1.75pt;width:398.25pt;mso-position-horizontal-relative:page;z-index:25204633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３２０</w:t>
      </w:r>
    </w:p>
    <w:p>
      <w:pPr>
        <w:spacing w:before="192"/>
        <w:ind w:left="215" w:right="2695" w:firstLine="0"/>
        <w:jc w:val="center"/>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ind w:left="215" w:right="2695" w:firstLine="0"/>
        <w:jc w:val="center"/>
        <w:rPr>
          <w:rFonts w:hint="eastAsia" w:ascii="Microsoft Yi Baiti" w:eastAsia="Microsoft Yi Baiti"/>
        </w:rPr>
      </w:pPr>
      <w:r>
        <w:rPr>
          <w:w w:val="90"/>
        </w:rPr>
        <w:t xml:space="preserve">表 </w:t>
      </w:r>
      <w:r>
        <w:rPr>
          <w:rFonts w:hint="eastAsia" w:ascii="MS UI Gothic" w:eastAsia="MS UI Gothic"/>
          <w:w w:val="90"/>
        </w:rPr>
        <w:t xml:space="preserve">１８ </w:t>
      </w:r>
      <w:r>
        <w:rPr>
          <w:rFonts w:hint="eastAsia" w:ascii="Microsoft Yi Baiti" w:eastAsia="Microsoft Yi Baiti"/>
          <w:w w:val="90"/>
        </w:rPr>
        <w:t xml:space="preserve">( </w:t>
      </w:r>
      <w:r>
        <w:rPr>
          <w:w w:val="90"/>
        </w:rPr>
        <w:t>续</w:t>
      </w:r>
      <w:r>
        <w:rPr>
          <w:rFonts w:hint="eastAsia" w:ascii="Microsoft Yi Baiti" w:eastAsia="Microsoft Yi Baiti"/>
          <w:w w:val="90"/>
        </w:rPr>
        <w:t>)</w:t>
      </w:r>
    </w:p>
    <w:p>
      <w:pPr>
        <w:spacing w:after="0"/>
        <w:jc w:val="center"/>
        <w:rPr>
          <w:rFonts w:hint="eastAsia" w:ascii="Microsoft Yi Baiti" w:eastAsia="Microsoft Yi Baiti"/>
        </w:rPr>
        <w:sectPr>
          <w:pgSz w:w="10500" w:h="14750"/>
          <w:pgMar w:top="960" w:right="980" w:bottom="280" w:left="980" w:header="720" w:footer="720" w:gutter="0"/>
          <w:cols w:equalWidth="0" w:num="2">
            <w:col w:w="1050" w:space="1096"/>
            <w:col w:w="6394"/>
          </w:cols>
        </w:sectPr>
      </w:pPr>
    </w:p>
    <w:p>
      <w:pPr>
        <w:pStyle w:val="6"/>
        <w:spacing w:before="6"/>
        <w:ind w:left="0" w:firstLine="0"/>
        <w:jc w:val="left"/>
        <w:rPr>
          <w:rFonts w:ascii="Microsoft Yi Baiti"/>
          <w:sz w:val="7"/>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387"/>
        <w:gridCol w:w="955"/>
        <w:gridCol w:w="955"/>
        <w:gridCol w:w="955"/>
        <w:gridCol w:w="271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2387" w:type="dxa"/>
            <w:tcBorders>
              <w:bottom w:val="single" w:color="231F20" w:sz="4" w:space="0"/>
              <w:right w:val="single" w:color="231F20" w:sz="4" w:space="0"/>
            </w:tcBorders>
          </w:tcPr>
          <w:p>
            <w:pPr>
              <w:pStyle w:val="11"/>
              <w:spacing w:before="4"/>
              <w:rPr>
                <w:rFonts w:ascii="Microsoft Yi Baiti"/>
                <w:sz w:val="20"/>
              </w:rPr>
            </w:pPr>
          </w:p>
          <w:p>
            <w:pPr>
              <w:pStyle w:val="11"/>
              <w:ind w:left="856" w:right="846"/>
              <w:jc w:val="center"/>
              <w:rPr>
                <w:sz w:val="15"/>
              </w:rPr>
            </w:pPr>
            <w:r>
              <w:rPr>
                <w:w w:val="105"/>
                <w:sz w:val="15"/>
              </w:rPr>
              <w:t>设置地点</w:t>
            </w:r>
          </w:p>
        </w:tc>
        <w:tc>
          <w:tcPr>
            <w:tcW w:w="955" w:type="dxa"/>
            <w:tcBorders>
              <w:left w:val="single" w:color="231F20" w:sz="4" w:space="0"/>
              <w:bottom w:val="single" w:color="231F20" w:sz="4" w:space="0"/>
              <w:right w:val="single" w:color="231F20" w:sz="4" w:space="0"/>
            </w:tcBorders>
          </w:tcPr>
          <w:p>
            <w:pPr>
              <w:pStyle w:val="11"/>
              <w:spacing w:before="62"/>
              <w:ind w:left="144" w:right="129"/>
              <w:jc w:val="center"/>
              <w:rPr>
                <w:sz w:val="15"/>
              </w:rPr>
            </w:pPr>
            <w:r>
              <w:rPr>
                <w:w w:val="105"/>
                <w:sz w:val="15"/>
              </w:rPr>
              <w:t>报警浓度</w:t>
            </w:r>
          </w:p>
          <w:p>
            <w:pPr>
              <w:pStyle w:val="11"/>
              <w:spacing w:before="72"/>
              <w:ind w:left="129" w:right="130"/>
              <w:jc w:val="center"/>
              <w:rPr>
                <w:rFonts w:hint="eastAsia" w:ascii="MS UI Gothic" w:eastAsia="MS UI Gothic"/>
                <w:sz w:val="15"/>
              </w:rPr>
            </w:pPr>
            <w:r>
              <w:rPr>
                <w:w w:val="85"/>
                <w:sz w:val="15"/>
              </w:rPr>
              <w:t xml:space="preserve">％ </w:t>
            </w:r>
            <w:r>
              <w:rPr>
                <w:rFonts w:hint="eastAsia" w:ascii="MS UI Gothic" w:eastAsia="MS UI Gothic"/>
                <w:w w:val="85"/>
                <w:sz w:val="15"/>
              </w:rPr>
              <w:t>ＣＨ</w:t>
            </w:r>
            <w:r>
              <w:rPr>
                <w:rFonts w:hint="eastAsia" w:ascii="MS UI Gothic" w:eastAsia="MS UI Gothic"/>
                <w:w w:val="85"/>
                <w:sz w:val="15"/>
                <w:vertAlign w:val="subscript"/>
              </w:rPr>
              <w:t>４</w:t>
            </w:r>
          </w:p>
        </w:tc>
        <w:tc>
          <w:tcPr>
            <w:tcW w:w="955" w:type="dxa"/>
            <w:tcBorders>
              <w:left w:val="single" w:color="231F20" w:sz="4" w:space="0"/>
              <w:bottom w:val="single" w:color="231F20" w:sz="4" w:space="0"/>
              <w:right w:val="single" w:color="231F20" w:sz="4" w:space="0"/>
            </w:tcBorders>
          </w:tcPr>
          <w:p>
            <w:pPr>
              <w:pStyle w:val="11"/>
              <w:spacing w:before="62"/>
              <w:ind w:left="144" w:right="130"/>
              <w:jc w:val="center"/>
              <w:rPr>
                <w:sz w:val="15"/>
              </w:rPr>
            </w:pPr>
            <w:r>
              <w:rPr>
                <w:w w:val="105"/>
                <w:sz w:val="15"/>
              </w:rPr>
              <w:t>断电浓度</w:t>
            </w:r>
          </w:p>
          <w:p>
            <w:pPr>
              <w:pStyle w:val="11"/>
              <w:spacing w:before="72"/>
              <w:ind w:left="129" w:right="130"/>
              <w:jc w:val="center"/>
              <w:rPr>
                <w:rFonts w:hint="eastAsia" w:ascii="MS UI Gothic" w:eastAsia="MS UI Gothic"/>
                <w:sz w:val="15"/>
              </w:rPr>
            </w:pPr>
            <w:r>
              <w:rPr>
                <w:w w:val="85"/>
                <w:sz w:val="15"/>
              </w:rPr>
              <w:t xml:space="preserve">％ </w:t>
            </w:r>
            <w:r>
              <w:rPr>
                <w:rFonts w:hint="eastAsia" w:ascii="MS UI Gothic" w:eastAsia="MS UI Gothic"/>
                <w:w w:val="85"/>
                <w:sz w:val="15"/>
              </w:rPr>
              <w:t>ＣＨ</w:t>
            </w:r>
            <w:r>
              <w:rPr>
                <w:rFonts w:hint="eastAsia" w:ascii="MS UI Gothic" w:eastAsia="MS UI Gothic"/>
                <w:w w:val="85"/>
                <w:sz w:val="15"/>
                <w:vertAlign w:val="subscript"/>
              </w:rPr>
              <w:t>４</w:t>
            </w:r>
          </w:p>
        </w:tc>
        <w:tc>
          <w:tcPr>
            <w:tcW w:w="955" w:type="dxa"/>
            <w:tcBorders>
              <w:left w:val="single" w:color="231F20" w:sz="4" w:space="0"/>
              <w:bottom w:val="single" w:color="231F20" w:sz="4" w:space="0"/>
              <w:right w:val="single" w:color="231F20" w:sz="4" w:space="0"/>
            </w:tcBorders>
          </w:tcPr>
          <w:p>
            <w:pPr>
              <w:pStyle w:val="11"/>
              <w:spacing w:before="62"/>
              <w:ind w:left="144" w:right="130"/>
              <w:jc w:val="center"/>
              <w:rPr>
                <w:sz w:val="15"/>
              </w:rPr>
            </w:pPr>
            <w:r>
              <w:rPr>
                <w:w w:val="105"/>
                <w:sz w:val="15"/>
              </w:rPr>
              <w:t>复电浓度</w:t>
            </w:r>
          </w:p>
          <w:p>
            <w:pPr>
              <w:pStyle w:val="11"/>
              <w:spacing w:before="72"/>
              <w:ind w:left="129" w:right="130"/>
              <w:jc w:val="center"/>
              <w:rPr>
                <w:rFonts w:hint="eastAsia" w:ascii="MS UI Gothic" w:eastAsia="MS UI Gothic"/>
                <w:sz w:val="15"/>
              </w:rPr>
            </w:pPr>
            <w:r>
              <w:rPr>
                <w:w w:val="85"/>
                <w:sz w:val="15"/>
              </w:rPr>
              <w:t xml:space="preserve">％ </w:t>
            </w:r>
            <w:r>
              <w:rPr>
                <w:rFonts w:hint="eastAsia" w:ascii="MS UI Gothic" w:eastAsia="MS UI Gothic"/>
                <w:w w:val="85"/>
                <w:sz w:val="15"/>
              </w:rPr>
              <w:t>ＣＨ</w:t>
            </w:r>
            <w:r>
              <w:rPr>
                <w:rFonts w:hint="eastAsia" w:ascii="MS UI Gothic" w:eastAsia="MS UI Gothic"/>
                <w:w w:val="85"/>
                <w:sz w:val="15"/>
                <w:vertAlign w:val="subscript"/>
              </w:rPr>
              <w:t>４</w:t>
            </w:r>
          </w:p>
        </w:tc>
        <w:tc>
          <w:tcPr>
            <w:tcW w:w="2713" w:type="dxa"/>
            <w:tcBorders>
              <w:left w:val="single" w:color="231F20" w:sz="4" w:space="0"/>
              <w:bottom w:val="single" w:color="231F20" w:sz="4" w:space="0"/>
            </w:tcBorders>
          </w:tcPr>
          <w:p>
            <w:pPr>
              <w:pStyle w:val="11"/>
              <w:spacing w:before="4"/>
              <w:rPr>
                <w:rFonts w:ascii="Microsoft Yi Baiti"/>
                <w:sz w:val="20"/>
              </w:rPr>
            </w:pPr>
          </w:p>
          <w:p>
            <w:pPr>
              <w:pStyle w:val="11"/>
              <w:ind w:left="943" w:right="924"/>
              <w:jc w:val="center"/>
              <w:rPr>
                <w:sz w:val="15"/>
              </w:rPr>
            </w:pPr>
            <w:r>
              <w:rPr>
                <w:w w:val="105"/>
                <w:sz w:val="15"/>
              </w:rPr>
              <w:t>断电范围</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2387" w:type="dxa"/>
            <w:tcBorders>
              <w:top w:val="single" w:color="231F20" w:sz="4" w:space="0"/>
              <w:bottom w:val="single" w:color="231F20" w:sz="4" w:space="0"/>
              <w:right w:val="single" w:color="231F20" w:sz="4" w:space="0"/>
            </w:tcBorders>
          </w:tcPr>
          <w:p>
            <w:pPr>
              <w:pStyle w:val="11"/>
              <w:spacing w:before="5"/>
              <w:rPr>
                <w:rFonts w:ascii="Microsoft Yi Baiti"/>
                <w:sz w:val="23"/>
              </w:rPr>
            </w:pPr>
          </w:p>
          <w:p>
            <w:pPr>
              <w:pStyle w:val="11"/>
              <w:spacing w:line="328" w:lineRule="auto"/>
              <w:ind w:left="104" w:right="92" w:firstLine="159"/>
              <w:rPr>
                <w:sz w:val="15"/>
              </w:rPr>
            </w:pPr>
            <w:r>
              <w:rPr>
                <w:sz w:val="15"/>
              </w:rPr>
              <w:t>高瓦斯矿井双巷掘进工作面</w:t>
            </w:r>
            <w:r>
              <w:rPr>
                <w:w w:val="105"/>
                <w:sz w:val="15"/>
              </w:rPr>
              <w:t>混合回风流处</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4"/>
              <w:rPr>
                <w:rFonts w:ascii="Microsoft Yi Baiti"/>
                <w:sz w:val="36"/>
              </w:rPr>
            </w:pPr>
          </w:p>
          <w:p>
            <w:pPr>
              <w:pStyle w:val="11"/>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4"/>
              <w:rPr>
                <w:rFonts w:ascii="Microsoft Yi Baiti"/>
                <w:sz w:val="36"/>
              </w:rPr>
            </w:pPr>
          </w:p>
          <w:p>
            <w:pPr>
              <w:pStyle w:val="11"/>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4"/>
              <w:rPr>
                <w:rFonts w:ascii="Microsoft Yi Baiti"/>
                <w:sz w:val="36"/>
              </w:rPr>
            </w:pPr>
          </w:p>
          <w:p>
            <w:pPr>
              <w:pStyle w:val="11"/>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09" w:line="328" w:lineRule="auto"/>
              <w:ind w:left="108" w:right="87" w:firstLine="159"/>
              <w:jc w:val="both"/>
              <w:rPr>
                <w:sz w:val="15"/>
              </w:rPr>
            </w:pPr>
            <w:r>
              <w:rPr>
                <w:sz w:val="15"/>
              </w:rPr>
              <w:t>除全风压供风的进风巷外</w:t>
            </w:r>
            <w:r>
              <w:rPr>
                <w:rFonts w:hint="eastAsia" w:ascii="MS UI Gothic" w:eastAsia="MS UI Gothic"/>
                <w:w w:val="80"/>
                <w:sz w:val="15"/>
              </w:rPr>
              <w:t xml:space="preserve">ꎬ </w:t>
            </w:r>
            <w:r>
              <w:rPr>
                <w:sz w:val="15"/>
              </w:rPr>
              <w:t>双掘进巷道内全部非本质安全型电气</w:t>
            </w:r>
            <w:r>
              <w:rPr>
                <w:w w:val="105"/>
                <w:sz w:val="15"/>
              </w:rPr>
              <w:t>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5" w:line="260" w:lineRule="atLeast"/>
              <w:ind w:left="104" w:right="92" w:firstLine="159"/>
              <w:rPr>
                <w:sz w:val="15"/>
              </w:rPr>
            </w:pPr>
            <w:r>
              <w:rPr>
                <w:sz w:val="15"/>
              </w:rPr>
              <w:t>高瓦斯和突出矿井掘进巷道</w:t>
            </w:r>
            <w:r>
              <w:rPr>
                <w:w w:val="105"/>
                <w:sz w:val="15"/>
              </w:rPr>
              <w:t>中部</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掘进巷道内全部非本质安全型电</w:t>
            </w:r>
            <w:r>
              <w:rPr>
                <w:w w:val="105"/>
                <w:sz w:val="15"/>
              </w:rPr>
              <w:t>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5" w:line="260" w:lineRule="atLeast"/>
              <w:ind w:left="104" w:right="92" w:firstLine="159"/>
              <w:rPr>
                <w:sz w:val="15"/>
              </w:rPr>
            </w:pPr>
            <w:r>
              <w:rPr>
                <w:sz w:val="15"/>
              </w:rPr>
              <w:t>掘进机</w:t>
            </w:r>
            <w:r>
              <w:rPr>
                <w:rFonts w:hint="eastAsia" w:ascii="MS UI Gothic" w:eastAsia="MS UI Gothic"/>
                <w:sz w:val="15"/>
              </w:rPr>
              <w:t xml:space="preserve">、 </w:t>
            </w:r>
            <w:r>
              <w:rPr>
                <w:sz w:val="15"/>
              </w:rPr>
              <w:t>连续采煤机</w:t>
            </w:r>
            <w:r>
              <w:rPr>
                <w:rFonts w:hint="eastAsia" w:ascii="MS UI Gothic" w:eastAsia="MS UI Gothic"/>
                <w:sz w:val="15"/>
              </w:rPr>
              <w:t xml:space="preserve">、 </w:t>
            </w:r>
            <w:r>
              <w:rPr>
                <w:sz w:val="15"/>
              </w:rPr>
              <w:t>锚杆钻车</w:t>
            </w:r>
            <w:r>
              <w:rPr>
                <w:rFonts w:hint="eastAsia" w:ascii="MS UI Gothic" w:eastAsia="MS UI Gothic"/>
                <w:sz w:val="15"/>
              </w:rPr>
              <w:t xml:space="preserve">、 </w:t>
            </w:r>
            <w:r>
              <w:rPr>
                <w:sz w:val="15"/>
              </w:rPr>
              <w:t>梭车</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5" w:firstLine="159"/>
              <w:rPr>
                <w:sz w:val="15"/>
              </w:rPr>
            </w:pPr>
            <w:r>
              <w:rPr>
                <w:sz w:val="15"/>
              </w:rPr>
              <w:t>掘进机</w:t>
            </w:r>
            <w:r>
              <w:rPr>
                <w:rFonts w:hint="eastAsia" w:ascii="MS UI Gothic" w:eastAsia="MS UI Gothic"/>
                <w:sz w:val="15"/>
              </w:rPr>
              <w:t xml:space="preserve">、 </w:t>
            </w:r>
            <w:r>
              <w:rPr>
                <w:sz w:val="15"/>
              </w:rPr>
              <w:t>连续采煤机</w:t>
            </w:r>
            <w:r>
              <w:rPr>
                <w:rFonts w:hint="eastAsia" w:ascii="MS UI Gothic" w:eastAsia="MS UI Gothic"/>
                <w:sz w:val="15"/>
              </w:rPr>
              <w:t xml:space="preserve">、 </w:t>
            </w:r>
            <w:r>
              <w:rPr>
                <w:sz w:val="15"/>
              </w:rPr>
              <w:t>锚杆钻车</w:t>
            </w:r>
            <w:r>
              <w:rPr>
                <w:rFonts w:hint="eastAsia" w:ascii="MS UI Gothic" w:eastAsia="MS UI Gothic"/>
                <w:sz w:val="15"/>
              </w:rPr>
              <w:t>、</w:t>
            </w:r>
            <w:r>
              <w:rPr>
                <w:sz w:val="15"/>
              </w:rPr>
              <w:t>梭车电源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9"/>
              <w:rPr>
                <w:rFonts w:ascii="Microsoft Yi Baiti"/>
                <w:sz w:val="20"/>
              </w:rPr>
            </w:pPr>
          </w:p>
          <w:p>
            <w:pPr>
              <w:pStyle w:val="11"/>
              <w:ind w:left="263"/>
              <w:rPr>
                <w:sz w:val="15"/>
              </w:rPr>
            </w:pPr>
            <w:r>
              <w:rPr>
                <w:w w:val="105"/>
                <w:sz w:val="15"/>
              </w:rPr>
              <w:t>采区回风巷</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采区回风巷内全部非本质安全型</w:t>
            </w:r>
            <w:r>
              <w:rPr>
                <w:w w:val="105"/>
                <w:sz w:val="15"/>
              </w:rPr>
              <w:t>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387"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一翼回风巷及总回风巷</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left="247"/>
              <w:rPr>
                <w:rFonts w:hint="eastAsia" w:ascii="MS UI Gothic" w:hAnsi="MS UI Gothic" w:eastAsia="MS UI Gothic"/>
                <w:sz w:val="15"/>
              </w:rPr>
            </w:pPr>
            <w:r>
              <w:rPr>
                <w:rFonts w:hint="eastAsia" w:ascii="MS UI Gothic" w:hAnsi="MS UI Gothic" w:eastAsia="MS UI Gothic"/>
                <w:spacing w:val="-1"/>
                <w:w w:val="205"/>
                <w:sz w:val="15"/>
              </w:rPr>
              <w:t>≥</w:t>
            </w:r>
            <w:r>
              <w:rPr>
                <w:rFonts w:hint="eastAsia" w:ascii="MS UI Gothic" w:hAnsi="MS UI Gothic" w:eastAsia="MS UI Gothic"/>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７５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left="14"/>
              <w:jc w:val="center"/>
              <w:rPr>
                <w:rFonts w:ascii="MS UI Gothic" w:hAnsi="MS UI Gothic"/>
                <w:sz w:val="15"/>
              </w:rPr>
            </w:pPr>
            <w:r>
              <w:rPr>
                <w:rFonts w:ascii="MS UI Gothic" w:hAnsi="MS UI Gothic"/>
                <w:w w:val="154"/>
                <w:sz w:val="15"/>
              </w:rPr>
              <w:t>—</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left="14"/>
              <w:jc w:val="center"/>
              <w:rPr>
                <w:rFonts w:ascii="MS UI Gothic" w:hAnsi="MS UI Gothic"/>
                <w:sz w:val="15"/>
              </w:rPr>
            </w:pPr>
            <w:r>
              <w:rPr>
                <w:rFonts w:ascii="MS UI Gothic" w:hAnsi="MS UI Gothic"/>
                <w:w w:val="154"/>
                <w:sz w:val="15"/>
              </w:rPr>
              <w:t>—</w:t>
            </w:r>
          </w:p>
        </w:tc>
        <w:tc>
          <w:tcPr>
            <w:tcW w:w="2713" w:type="dxa"/>
            <w:tcBorders>
              <w:top w:val="single" w:color="231F20" w:sz="4" w:space="0"/>
              <w:left w:val="single" w:color="231F20" w:sz="4" w:space="0"/>
              <w:bottom w:val="single" w:color="231F20" w:sz="4" w:space="0"/>
            </w:tcBorders>
          </w:tcPr>
          <w:p>
            <w:pPr>
              <w:pStyle w:val="11"/>
              <w:rPr>
                <w:rFonts w:ascii="Times New Roman"/>
                <w:sz w:val="16"/>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2387" w:type="dxa"/>
            <w:tcBorders>
              <w:top w:val="single" w:color="231F20" w:sz="4" w:space="0"/>
              <w:bottom w:val="single" w:color="231F20" w:sz="4" w:space="0"/>
              <w:right w:val="single" w:color="231F20" w:sz="4" w:space="0"/>
            </w:tcBorders>
          </w:tcPr>
          <w:p>
            <w:pPr>
              <w:pStyle w:val="11"/>
              <w:spacing w:before="5"/>
              <w:rPr>
                <w:rFonts w:ascii="Microsoft Yi Baiti"/>
                <w:sz w:val="23"/>
              </w:rPr>
            </w:pPr>
          </w:p>
          <w:p>
            <w:pPr>
              <w:pStyle w:val="11"/>
              <w:spacing w:line="328" w:lineRule="auto"/>
              <w:ind w:left="104" w:right="92" w:firstLine="159"/>
              <w:rPr>
                <w:sz w:val="15"/>
              </w:rPr>
            </w:pPr>
            <w:r>
              <w:rPr>
                <w:sz w:val="15"/>
              </w:rPr>
              <w:t>使用架线电机车的主要运输</w:t>
            </w:r>
            <w:r>
              <w:rPr>
                <w:w w:val="105"/>
                <w:sz w:val="15"/>
              </w:rPr>
              <w:t>巷道内装煤点处</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4"/>
              <w:rPr>
                <w:rFonts w:ascii="Microsoft Yi Baiti"/>
                <w:sz w:val="36"/>
              </w:rPr>
            </w:pPr>
          </w:p>
          <w:p>
            <w:pPr>
              <w:pStyle w:val="11"/>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4"/>
              <w:rPr>
                <w:rFonts w:ascii="Microsoft Yi Baiti"/>
                <w:sz w:val="36"/>
              </w:rPr>
            </w:pPr>
          </w:p>
          <w:p>
            <w:pPr>
              <w:pStyle w:val="11"/>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4"/>
              <w:rPr>
                <w:rFonts w:ascii="Microsoft Yi Baiti"/>
                <w:sz w:val="36"/>
              </w:rPr>
            </w:pPr>
          </w:p>
          <w:p>
            <w:pPr>
              <w:pStyle w:val="11"/>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０</w:t>
            </w:r>
            <w:r>
              <w:rPr>
                <w:rFonts w:hint="eastAsia" w:ascii="MS UI Gothic" w:eastAsia="MS UI Gothic"/>
                <w:spacing w:val="-7"/>
                <w:sz w:val="15"/>
              </w:rPr>
              <w:t xml:space="preserve"> </w:t>
            </w:r>
            <w:r>
              <w:rPr>
                <w:rFonts w:hint="eastAsia" w:ascii="MS UI Gothic" w:eastAsia="MS UI Gothic"/>
                <w:w w:val="75"/>
                <w:sz w:val="15"/>
              </w:rPr>
              <w:t>５</w:t>
            </w:r>
          </w:p>
        </w:tc>
        <w:tc>
          <w:tcPr>
            <w:tcW w:w="2713" w:type="dxa"/>
            <w:tcBorders>
              <w:top w:val="single" w:color="231F20" w:sz="4" w:space="0"/>
              <w:left w:val="single" w:color="231F20" w:sz="4" w:space="0"/>
              <w:bottom w:val="single" w:color="231F20" w:sz="4" w:space="0"/>
            </w:tcBorders>
          </w:tcPr>
          <w:p>
            <w:pPr>
              <w:pStyle w:val="11"/>
              <w:spacing w:before="109" w:line="328" w:lineRule="auto"/>
              <w:ind w:left="108" w:right="87" w:firstLine="159"/>
              <w:jc w:val="both"/>
              <w:rPr>
                <w:sz w:val="15"/>
              </w:rPr>
            </w:pPr>
            <w:r>
              <w:rPr>
                <w:sz w:val="15"/>
              </w:rPr>
              <w:t xml:space="preserve">装煤点处上风流 </w:t>
            </w:r>
            <w:r>
              <w:rPr>
                <w:rFonts w:hint="eastAsia" w:ascii="MS UI Gothic" w:eastAsia="MS UI Gothic"/>
                <w:sz w:val="15"/>
              </w:rPr>
              <w:t xml:space="preserve">１００ ｍ </w:t>
            </w:r>
            <w:r>
              <w:rPr>
                <w:sz w:val="15"/>
              </w:rPr>
              <w:t>内及其下风流的架空线电  源和全部非本质安全型电气设备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387"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矿用防爆型蓄电池电机车</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０</w:t>
            </w:r>
            <w:r>
              <w:rPr>
                <w:rFonts w:hint="eastAsia" w:ascii="MS UI Gothic" w:eastAsia="MS UI Gothic"/>
                <w:spacing w:val="-7"/>
                <w:sz w:val="15"/>
              </w:rPr>
              <w:t xml:space="preserve"> </w:t>
            </w:r>
            <w:r>
              <w:rPr>
                <w:rFonts w:hint="eastAsia" w:ascii="MS UI Gothic" w:eastAsia="MS UI Gothic"/>
                <w:w w:val="75"/>
                <w:sz w:val="15"/>
              </w:rPr>
              <w:t>５</w:t>
            </w:r>
          </w:p>
        </w:tc>
        <w:tc>
          <w:tcPr>
            <w:tcW w:w="2713" w:type="dxa"/>
            <w:tcBorders>
              <w:top w:val="single" w:color="231F20" w:sz="4" w:space="0"/>
              <w:left w:val="single" w:color="231F20" w:sz="4" w:space="0"/>
              <w:bottom w:val="single" w:color="231F20" w:sz="4" w:space="0"/>
            </w:tcBorders>
          </w:tcPr>
          <w:p>
            <w:pPr>
              <w:pStyle w:val="11"/>
              <w:spacing w:before="55"/>
              <w:ind w:left="268"/>
              <w:rPr>
                <w:sz w:val="15"/>
              </w:rPr>
            </w:pPr>
            <w:r>
              <w:rPr>
                <w:w w:val="105"/>
                <w:sz w:val="15"/>
              </w:rPr>
              <w:t>机车电源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5" w:line="260" w:lineRule="atLeast"/>
              <w:ind w:left="104" w:right="92" w:firstLine="159"/>
              <w:rPr>
                <w:sz w:val="15"/>
              </w:rPr>
            </w:pPr>
            <w:r>
              <w:rPr>
                <w:sz w:val="15"/>
              </w:rPr>
              <w:t>矿用防爆型柴油机 车</w:t>
            </w:r>
            <w:r>
              <w:rPr>
                <w:rFonts w:hint="eastAsia" w:ascii="MS UI Gothic" w:eastAsia="MS UI Gothic"/>
                <w:sz w:val="15"/>
              </w:rPr>
              <w:t xml:space="preserve">、 </w:t>
            </w:r>
            <w:r>
              <w:rPr>
                <w:sz w:val="15"/>
              </w:rPr>
              <w:t>无轨胶轮车</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０</w:t>
            </w:r>
            <w:r>
              <w:rPr>
                <w:rFonts w:hint="eastAsia" w:ascii="MS UI Gothic" w:eastAsia="MS UI Gothic"/>
                <w:spacing w:val="-7"/>
                <w:sz w:val="15"/>
              </w:rPr>
              <w:t xml:space="preserve"> </w:t>
            </w:r>
            <w:r>
              <w:rPr>
                <w:rFonts w:hint="eastAsia" w:ascii="MS UI Gothic" w:eastAsia="MS UI Gothic"/>
                <w:w w:val="75"/>
                <w:sz w:val="15"/>
              </w:rPr>
              <w:t>５</w:t>
            </w:r>
          </w:p>
        </w:tc>
        <w:tc>
          <w:tcPr>
            <w:tcW w:w="2713" w:type="dxa"/>
            <w:tcBorders>
              <w:top w:val="single" w:color="231F20" w:sz="4" w:space="0"/>
              <w:left w:val="single" w:color="231F20" w:sz="4" w:space="0"/>
              <w:bottom w:val="single" w:color="231F20" w:sz="4" w:space="0"/>
            </w:tcBorders>
          </w:tcPr>
          <w:p>
            <w:pPr>
              <w:pStyle w:val="11"/>
              <w:spacing w:before="9"/>
              <w:rPr>
                <w:rFonts w:ascii="Microsoft Yi Baiti"/>
                <w:sz w:val="20"/>
              </w:rPr>
            </w:pPr>
          </w:p>
          <w:p>
            <w:pPr>
              <w:pStyle w:val="11"/>
              <w:ind w:left="268"/>
              <w:rPr>
                <w:sz w:val="15"/>
              </w:rPr>
            </w:pPr>
            <w:r>
              <w:rPr>
                <w:w w:val="105"/>
                <w:sz w:val="15"/>
              </w:rPr>
              <w:t>车辆动力</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9"/>
              <w:rPr>
                <w:rFonts w:ascii="Microsoft Yi Baiti"/>
                <w:sz w:val="20"/>
              </w:rPr>
            </w:pPr>
          </w:p>
          <w:p>
            <w:pPr>
              <w:pStyle w:val="11"/>
              <w:ind w:left="263"/>
              <w:rPr>
                <w:sz w:val="15"/>
              </w:rPr>
            </w:pPr>
            <w:r>
              <w:rPr>
                <w:w w:val="105"/>
                <w:sz w:val="15"/>
              </w:rPr>
              <w:t>井下煤仓</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５</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煤仓附近的各类运输设备及其他</w:t>
            </w:r>
            <w:r>
              <w:rPr>
                <w:w w:val="105"/>
                <w:sz w:val="15"/>
              </w:rPr>
              <w:t>非本质安全型电气设备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5" w:line="260" w:lineRule="atLeast"/>
              <w:ind w:left="104" w:right="92" w:firstLine="159"/>
              <w:rPr>
                <w:sz w:val="15"/>
              </w:rPr>
            </w:pPr>
            <w:r>
              <w:rPr>
                <w:sz w:val="15"/>
              </w:rPr>
              <w:t>封闭的带式输送机地面走廊</w:t>
            </w:r>
            <w:r>
              <w:rPr>
                <w:w w:val="105"/>
                <w:sz w:val="15"/>
              </w:rPr>
              <w:t>内</w:t>
            </w:r>
            <w:r>
              <w:rPr>
                <w:rFonts w:hint="eastAsia" w:ascii="MS UI Gothic" w:eastAsia="MS UI Gothic"/>
                <w:w w:val="80"/>
                <w:sz w:val="15"/>
              </w:rPr>
              <w:t xml:space="preserve">ꎬ </w:t>
            </w:r>
            <w:r>
              <w:rPr>
                <w:w w:val="105"/>
                <w:sz w:val="15"/>
              </w:rPr>
              <w:t>带式输送机滚筒上方</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214"/>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５</w:t>
            </w:r>
          </w:p>
        </w:tc>
        <w:tc>
          <w:tcPr>
            <w:tcW w:w="2713" w:type="dxa"/>
            <w:tcBorders>
              <w:top w:val="single" w:color="231F20" w:sz="4" w:space="0"/>
              <w:left w:val="single" w:color="231F20" w:sz="4" w:space="0"/>
              <w:bottom w:val="single" w:color="231F20" w:sz="4" w:space="0"/>
            </w:tcBorders>
          </w:tcPr>
          <w:p>
            <w:pPr>
              <w:pStyle w:val="11"/>
              <w:spacing w:before="15" w:line="260" w:lineRule="atLeast"/>
              <w:ind w:left="108" w:right="87" w:firstLine="159"/>
              <w:rPr>
                <w:sz w:val="15"/>
              </w:rPr>
            </w:pPr>
            <w:r>
              <w:rPr>
                <w:sz w:val="15"/>
              </w:rPr>
              <w:t>带式输送机地面走廊内全部非本</w:t>
            </w:r>
            <w:r>
              <w:rPr>
                <w:w w:val="105"/>
                <w:sz w:val="15"/>
              </w:rPr>
              <w:t>质安全型电气设备</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387"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地面瓦斯抽采泵房内</w:t>
            </w:r>
          </w:p>
        </w:tc>
        <w:tc>
          <w:tcPr>
            <w:tcW w:w="955" w:type="dxa"/>
            <w:tcBorders>
              <w:top w:val="single" w:color="231F20" w:sz="4" w:space="0"/>
              <w:left w:val="single" w:color="231F20" w:sz="4" w:space="0"/>
              <w:bottom w:val="single" w:color="231F20" w:sz="4" w:space="0"/>
              <w:right w:val="single" w:color="231F20" w:sz="4" w:space="0"/>
            </w:tcBorders>
          </w:tcPr>
          <w:p>
            <w:pPr>
              <w:pStyle w:val="11"/>
              <w:spacing w:before="55"/>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０</w:t>
            </w:r>
            <w:r>
              <w:rPr>
                <w:rFonts w:hint="eastAsia" w:ascii="MS UI Gothic" w:hAnsi="MS UI Gothic" w:eastAsia="MS UI Gothic"/>
                <w:spacing w:val="-7"/>
                <w:sz w:val="15"/>
              </w:rPr>
              <w:t xml:space="preserve"> </w:t>
            </w:r>
            <w:r>
              <w:rPr>
                <w:rFonts w:hint="eastAsia" w:ascii="MS UI Gothic" w:hAnsi="MS UI Gothic" w:eastAsia="MS UI Gothic"/>
                <w:w w:val="75"/>
                <w:sz w:val="15"/>
              </w:rPr>
              <w:t>５</w:t>
            </w:r>
          </w:p>
        </w:tc>
        <w:tc>
          <w:tcPr>
            <w:tcW w:w="955" w:type="dxa"/>
            <w:tcBorders>
              <w:top w:val="single" w:color="231F20" w:sz="4" w:space="0"/>
              <w:left w:val="single" w:color="231F20" w:sz="4" w:space="0"/>
              <w:bottom w:val="single" w:color="231F20" w:sz="4" w:space="0"/>
              <w:right w:val="single" w:color="231F20" w:sz="4" w:space="0"/>
            </w:tcBorders>
          </w:tcPr>
          <w:p>
            <w:pPr>
              <w:pStyle w:val="11"/>
              <w:rPr>
                <w:rFonts w:ascii="Times New Roman"/>
                <w:sz w:val="16"/>
              </w:rPr>
            </w:pPr>
          </w:p>
        </w:tc>
        <w:tc>
          <w:tcPr>
            <w:tcW w:w="955" w:type="dxa"/>
            <w:tcBorders>
              <w:top w:val="single" w:color="231F20" w:sz="4" w:space="0"/>
              <w:left w:val="single" w:color="231F20" w:sz="4" w:space="0"/>
              <w:bottom w:val="single" w:color="231F20" w:sz="4" w:space="0"/>
              <w:right w:val="single" w:color="231F20" w:sz="4" w:space="0"/>
            </w:tcBorders>
          </w:tcPr>
          <w:p>
            <w:pPr>
              <w:pStyle w:val="11"/>
              <w:rPr>
                <w:rFonts w:ascii="Times New Roman"/>
                <w:sz w:val="16"/>
              </w:rPr>
            </w:pPr>
          </w:p>
        </w:tc>
        <w:tc>
          <w:tcPr>
            <w:tcW w:w="2713" w:type="dxa"/>
            <w:tcBorders>
              <w:top w:val="single" w:color="231F20" w:sz="4" w:space="0"/>
              <w:left w:val="single" w:color="231F20" w:sz="4" w:space="0"/>
              <w:bottom w:val="single" w:color="231F20" w:sz="4" w:space="0"/>
            </w:tcBorders>
          </w:tcPr>
          <w:p>
            <w:pPr>
              <w:pStyle w:val="11"/>
              <w:rPr>
                <w:rFonts w:ascii="Times New Roman"/>
                <w:sz w:val="16"/>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2387" w:type="dxa"/>
            <w:tcBorders>
              <w:top w:val="single" w:color="231F20" w:sz="4" w:space="0"/>
              <w:right w:val="single" w:color="231F20" w:sz="4" w:space="0"/>
            </w:tcBorders>
          </w:tcPr>
          <w:p>
            <w:pPr>
              <w:pStyle w:val="11"/>
              <w:spacing w:before="15" w:line="260" w:lineRule="atLeast"/>
              <w:ind w:left="104" w:right="92" w:firstLine="159"/>
              <w:rPr>
                <w:sz w:val="15"/>
              </w:rPr>
            </w:pPr>
            <w:r>
              <w:rPr>
                <w:sz w:val="15"/>
              </w:rPr>
              <w:t>井下临时瓦斯抽采泵站下风</w:t>
            </w:r>
            <w:r>
              <w:rPr>
                <w:w w:val="105"/>
                <w:sz w:val="15"/>
              </w:rPr>
              <w:t>侧栅栏外</w:t>
            </w:r>
          </w:p>
        </w:tc>
        <w:tc>
          <w:tcPr>
            <w:tcW w:w="955" w:type="dxa"/>
            <w:tcBorders>
              <w:top w:val="single" w:color="231F20" w:sz="4" w:space="0"/>
              <w:left w:val="single" w:color="231F20" w:sz="4" w:space="0"/>
              <w:right w:val="single" w:color="231F20" w:sz="4" w:space="0"/>
            </w:tcBorders>
          </w:tcPr>
          <w:p>
            <w:pPr>
              <w:pStyle w:val="11"/>
              <w:spacing w:before="214"/>
              <w:ind w:left="286"/>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right w:val="single" w:color="231F20" w:sz="4" w:space="0"/>
            </w:tcBorders>
          </w:tcPr>
          <w:p>
            <w:pPr>
              <w:pStyle w:val="11"/>
              <w:spacing w:before="214"/>
              <w:ind w:left="144" w:right="13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１</w:t>
            </w:r>
            <w:r>
              <w:rPr>
                <w:rFonts w:hint="eastAsia" w:ascii="MS UI Gothic" w:hAnsi="MS UI Gothic" w:eastAsia="MS UI Gothic"/>
                <w:spacing w:val="-7"/>
                <w:sz w:val="15"/>
              </w:rPr>
              <w:t xml:space="preserve"> </w:t>
            </w:r>
            <w:r>
              <w:rPr>
                <w:rFonts w:hint="eastAsia" w:ascii="MS UI Gothic" w:hAnsi="MS UI Gothic" w:eastAsia="MS UI Gothic"/>
                <w:w w:val="75"/>
                <w:sz w:val="15"/>
              </w:rPr>
              <w:t>０</w:t>
            </w:r>
          </w:p>
        </w:tc>
        <w:tc>
          <w:tcPr>
            <w:tcW w:w="955" w:type="dxa"/>
            <w:tcBorders>
              <w:top w:val="single" w:color="231F20" w:sz="4" w:space="0"/>
              <w:left w:val="single" w:color="231F20" w:sz="4" w:space="0"/>
              <w:right w:val="single" w:color="231F20" w:sz="4" w:space="0"/>
            </w:tcBorders>
          </w:tcPr>
          <w:p>
            <w:pPr>
              <w:pStyle w:val="11"/>
              <w:spacing w:before="214"/>
              <w:ind w:left="144" w:right="124"/>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r>
              <w:rPr>
                <w:rFonts w:hint="eastAsia" w:ascii="MS UI Gothic" w:eastAsia="MS UI Gothic"/>
                <w:spacing w:val="-7"/>
                <w:sz w:val="15"/>
              </w:rPr>
              <w:t xml:space="preserve"> </w:t>
            </w:r>
            <w:r>
              <w:rPr>
                <w:rFonts w:hint="eastAsia" w:ascii="MS UI Gothic" w:eastAsia="MS UI Gothic"/>
                <w:w w:val="75"/>
                <w:sz w:val="15"/>
              </w:rPr>
              <w:t>０</w:t>
            </w:r>
          </w:p>
        </w:tc>
        <w:tc>
          <w:tcPr>
            <w:tcW w:w="2713" w:type="dxa"/>
            <w:tcBorders>
              <w:top w:val="single" w:color="231F20" w:sz="4" w:space="0"/>
              <w:left w:val="single" w:color="231F20" w:sz="4" w:space="0"/>
            </w:tcBorders>
          </w:tcPr>
          <w:p>
            <w:pPr>
              <w:pStyle w:val="11"/>
              <w:spacing w:before="9"/>
              <w:rPr>
                <w:rFonts w:ascii="Microsoft Yi Baiti"/>
                <w:sz w:val="20"/>
              </w:rPr>
            </w:pPr>
          </w:p>
          <w:p>
            <w:pPr>
              <w:pStyle w:val="11"/>
              <w:ind w:left="268"/>
              <w:rPr>
                <w:sz w:val="15"/>
              </w:rPr>
            </w:pPr>
            <w:r>
              <w:rPr>
                <w:w w:val="105"/>
                <w:sz w:val="15"/>
              </w:rPr>
              <w:t>瓦斯抽采泵站电源</w:t>
            </w:r>
          </w:p>
        </w:tc>
      </w:tr>
    </w:tbl>
    <w:p>
      <w:pPr>
        <w:pStyle w:val="6"/>
        <w:spacing w:before="2"/>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175" w:line="295" w:lineRule="auto"/>
        <w:ind w:right="38"/>
        <w:rPr>
          <w:rFonts w:hint="eastAsia" w:ascii="MS UI Gothic" w:eastAsia="MS UI Gothic"/>
        </w:rPr>
      </w:pPr>
      <w:r>
        <w:rPr>
          <w:w w:val="105"/>
        </w:rPr>
        <w:t>第四百九十九条 井下下列地点必须</w:t>
      </w:r>
      <w:r>
        <w:rPr>
          <w:w w:val="110"/>
        </w:rPr>
        <w:t>设置甲烷传感器</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40"/>
        </w:rPr>
        <w:t xml:space="preserve">( </w:t>
      </w:r>
      <w:r>
        <w:rPr>
          <w:w w:val="95"/>
        </w:rPr>
        <w:t>一</w:t>
      </w:r>
      <w:r>
        <w:rPr>
          <w:rFonts w:hint="eastAsia" w:ascii="MS UI Gothic" w:eastAsia="MS UI Gothic"/>
          <w:w w:val="140"/>
        </w:rPr>
        <w:t xml:space="preserve">)  </w:t>
      </w:r>
      <w:r>
        <w:rPr>
          <w:w w:val="95"/>
        </w:rPr>
        <w:t>采煤工作面及其回风巷和回风隅角</w:t>
      </w:r>
      <w:r>
        <w:rPr>
          <w:rFonts w:hint="eastAsia" w:ascii="MS UI Gothic" w:eastAsia="MS UI Gothic"/>
          <w:w w:val="90"/>
        </w:rPr>
        <w:t xml:space="preserve">ꎬ  </w:t>
      </w:r>
      <w:r>
        <w:rPr>
          <w:w w:val="95"/>
        </w:rPr>
        <w:t xml:space="preserve">高瓦斯和突出矿井采煤工作面回风巷长度大于 </w:t>
      </w:r>
      <w:r>
        <w:rPr>
          <w:rFonts w:hint="eastAsia" w:ascii="MS UI Gothic" w:eastAsia="MS UI Gothic"/>
          <w:w w:val="95"/>
        </w:rPr>
        <w:t xml:space="preserve">１０００ ｍ </w:t>
      </w:r>
      <w:r>
        <w:rPr>
          <w:w w:val="95"/>
        </w:rPr>
        <w:t>时回风巷中部</w:t>
      </w:r>
      <w:r>
        <w:rPr>
          <w:rFonts w:hint="eastAsia" w:ascii="MS UI Gothic" w:eastAsia="MS UI Gothic"/>
          <w:w w:val="90"/>
        </w:rPr>
        <w:t>ꎮ</w:t>
      </w:r>
    </w:p>
    <w:p>
      <w:pPr>
        <w:pStyle w:val="6"/>
        <w:spacing w:line="295" w:lineRule="auto"/>
        <w:ind w:right="38"/>
        <w:rPr>
          <w:rFonts w:hint="eastAsia" w:ascii="MS UI Gothic" w:eastAsia="MS UI Gothic"/>
        </w:rPr>
      </w:pPr>
      <w:r>
        <w:rPr>
          <w:rFonts w:hint="eastAsia" w:ascii="MS UI Gothic" w:eastAsia="MS UI Gothic"/>
          <w:w w:val="140"/>
        </w:rPr>
        <w:t xml:space="preserve">( </w:t>
      </w:r>
      <w:r>
        <w:rPr>
          <w:w w:val="95"/>
        </w:rPr>
        <w:t>二</w:t>
      </w:r>
      <w:r>
        <w:rPr>
          <w:rFonts w:hint="eastAsia" w:ascii="MS UI Gothic" w:eastAsia="MS UI Gothic"/>
          <w:w w:val="140"/>
        </w:rPr>
        <w:t xml:space="preserve">) </w:t>
      </w:r>
      <w:r>
        <w:rPr>
          <w:w w:val="95"/>
        </w:rPr>
        <w:t>煤巷</w:t>
      </w:r>
      <w:r>
        <w:rPr>
          <w:rFonts w:hint="eastAsia" w:ascii="MS UI Gothic" w:eastAsia="MS UI Gothic"/>
          <w:w w:val="95"/>
        </w:rPr>
        <w:t xml:space="preserve">、  </w:t>
      </w:r>
      <w:r>
        <w:rPr>
          <w:w w:val="95"/>
        </w:rPr>
        <w:t>半煤岩巷和有瓦斯涌出的岩巷掘进工作面及其回风流中</w:t>
      </w:r>
      <w:r>
        <w:rPr>
          <w:rFonts w:hint="eastAsia" w:ascii="MS UI Gothic" w:eastAsia="MS UI Gothic"/>
          <w:w w:val="90"/>
        </w:rPr>
        <w:t xml:space="preserve">ꎬ  </w:t>
      </w:r>
      <w:r>
        <w:rPr>
          <w:w w:val="95"/>
        </w:rPr>
        <w:t xml:space="preserve">高瓦斯和突出矿井的掘进巷道长度大于 </w:t>
      </w:r>
      <w:r>
        <w:rPr>
          <w:rFonts w:hint="eastAsia" w:ascii="MS UI Gothic" w:eastAsia="MS UI Gothic"/>
          <w:w w:val="95"/>
        </w:rPr>
        <w:t xml:space="preserve">１０００ </w:t>
      </w:r>
      <w:r>
        <w:rPr>
          <w:w w:val="95"/>
        </w:rPr>
        <w:t>时掘进巷道中部</w:t>
      </w:r>
      <w:r>
        <w:rPr>
          <w:rFonts w:hint="eastAsia" w:ascii="MS UI Gothic" w:eastAsia="MS UI Gothic"/>
          <w:w w:val="90"/>
        </w:rPr>
        <w:t>ꎮ</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突出矿井采煤工作面进风巷</w:t>
      </w:r>
      <w:r>
        <w:rPr>
          <w:rFonts w:hint="eastAsia" w:ascii="MS UI Gothic" w:eastAsia="MS UI Gothic"/>
          <w:w w:val="80"/>
        </w:rPr>
        <w:t>ꎮ</w:t>
      </w:r>
    </w:p>
    <w:p>
      <w:pPr>
        <w:pStyle w:val="6"/>
        <w:spacing w:before="54"/>
        <w:ind w:left="543" w:firstLine="0"/>
      </w:pPr>
      <w:r>
        <w:rPr>
          <w:rFonts w:hint="eastAsia" w:ascii="MS UI Gothic" w:eastAsia="MS UI Gothic"/>
          <w:spacing w:val="-38"/>
          <w:w w:val="135"/>
        </w:rPr>
        <w:t xml:space="preserve">( </w:t>
      </w:r>
      <w:r>
        <w:rPr>
          <w:spacing w:val="3"/>
          <w:w w:val="110"/>
        </w:rPr>
        <w:t>四</w:t>
      </w:r>
      <w:r>
        <w:rPr>
          <w:rFonts w:hint="eastAsia" w:ascii="MS UI Gothic" w:eastAsia="MS UI Gothic"/>
          <w:spacing w:val="-20"/>
          <w:w w:val="135"/>
        </w:rPr>
        <w:t xml:space="preserve">) </w:t>
      </w:r>
      <w:r>
        <w:rPr>
          <w:spacing w:val="5"/>
          <w:w w:val="110"/>
        </w:rPr>
        <w:t>采用串联通风时</w:t>
      </w:r>
      <w:r>
        <w:rPr>
          <w:rFonts w:hint="eastAsia" w:ascii="MS UI Gothic" w:eastAsia="MS UI Gothic"/>
          <w:spacing w:val="-5"/>
          <w:w w:val="80"/>
        </w:rPr>
        <w:t xml:space="preserve">ꎬ </w:t>
      </w:r>
      <w:r>
        <w:rPr>
          <w:spacing w:val="8"/>
          <w:w w:val="110"/>
        </w:rPr>
        <w:t>被串采煤工</w:t>
      </w:r>
    </w:p>
    <w:p>
      <w:pPr>
        <w:pStyle w:val="6"/>
        <w:spacing w:before="175" w:line="295" w:lineRule="auto"/>
        <w:ind w:right="442" w:firstLine="0"/>
        <w:jc w:val="left"/>
        <w:rPr>
          <w:rFonts w:hint="eastAsia" w:ascii="MS UI Gothic" w:eastAsia="MS UI Gothic"/>
        </w:rPr>
      </w:pPr>
      <w:r>
        <w:br w:type="column"/>
      </w:r>
      <w:r>
        <w:rPr>
          <w:spacing w:val="3"/>
        </w:rPr>
        <w:t>作面的进风巷</w:t>
      </w:r>
      <w:r>
        <w:rPr>
          <w:rFonts w:hint="eastAsia" w:ascii="MS UI Gothic" w:eastAsia="MS UI Gothic"/>
          <w:spacing w:val="20"/>
          <w:w w:val="80"/>
        </w:rPr>
        <w:t xml:space="preserve">ꎻ </w:t>
      </w:r>
      <w:r>
        <w:rPr>
          <w:spacing w:val="2"/>
        </w:rPr>
        <w:t>被串掘进工作面的局部通</w:t>
      </w:r>
      <w:r>
        <w:rPr>
          <w:spacing w:val="3"/>
        </w:rPr>
        <w:t>风机前</w:t>
      </w:r>
      <w:r>
        <w:rPr>
          <w:rFonts w:hint="eastAsia" w:ascii="MS UI Gothic" w:eastAsia="MS UI Gothic"/>
          <w:w w:val="80"/>
        </w:rPr>
        <w:t>ꎮ</w:t>
      </w:r>
    </w:p>
    <w:p>
      <w:pPr>
        <w:pStyle w:val="6"/>
        <w:spacing w:line="295" w:lineRule="auto"/>
        <w:ind w:right="442"/>
        <w:jc w:val="left"/>
        <w:rPr>
          <w:rFonts w:hint="eastAsia" w:ascii="MS UI Gothic" w:eastAsia="MS UI Gothic"/>
        </w:rPr>
      </w:pPr>
      <w:r>
        <w:rPr>
          <w:rFonts w:hint="eastAsia" w:ascii="MS UI Gothic" w:eastAsia="MS UI Gothic"/>
          <w:spacing w:val="-37"/>
          <w:w w:val="150"/>
        </w:rPr>
        <w:t xml:space="preserve">( </w:t>
      </w:r>
      <w:r>
        <w:rPr>
          <w:spacing w:val="3"/>
          <w:w w:val="105"/>
        </w:rPr>
        <w:t>五</w:t>
      </w:r>
      <w:r>
        <w:rPr>
          <w:rFonts w:hint="eastAsia" w:ascii="MS UI Gothic" w:eastAsia="MS UI Gothic"/>
          <w:spacing w:val="11"/>
          <w:w w:val="150"/>
        </w:rPr>
        <w:t xml:space="preserve">) </w:t>
      </w:r>
      <w:r>
        <w:rPr>
          <w:spacing w:val="6"/>
          <w:w w:val="105"/>
        </w:rPr>
        <w:t>采区回风巷</w:t>
      </w:r>
      <w:r>
        <w:rPr>
          <w:rFonts w:hint="eastAsia" w:ascii="MS UI Gothic" w:eastAsia="MS UI Gothic"/>
          <w:spacing w:val="2"/>
          <w:w w:val="80"/>
        </w:rPr>
        <w:t xml:space="preserve">、 </w:t>
      </w:r>
      <w:r>
        <w:rPr>
          <w:spacing w:val="11"/>
          <w:w w:val="105"/>
        </w:rPr>
        <w:t>一翼回风巷</w:t>
      </w:r>
      <w:r>
        <w:rPr>
          <w:rFonts w:hint="eastAsia" w:ascii="MS UI Gothic" w:eastAsia="MS UI Gothic"/>
          <w:spacing w:val="2"/>
          <w:w w:val="80"/>
        </w:rPr>
        <w:t xml:space="preserve">、 </w:t>
      </w:r>
      <w:r>
        <w:rPr>
          <w:w w:val="105"/>
        </w:rPr>
        <w:t>总</w:t>
      </w:r>
      <w:r>
        <w:rPr>
          <w:spacing w:val="3"/>
          <w:w w:val="105"/>
        </w:rPr>
        <w:t>回风巷</w:t>
      </w:r>
      <w:r>
        <w:rPr>
          <w:rFonts w:hint="eastAsia" w:ascii="MS UI Gothic" w:eastAsia="MS UI Gothic"/>
          <w:w w:val="80"/>
        </w:rPr>
        <w:t>ꎮ</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使用架线电机车的主要运输巷</w:t>
      </w:r>
      <w:r>
        <w:rPr>
          <w:w w:val="110"/>
        </w:rPr>
        <w:t>道内装煤点处</w:t>
      </w:r>
      <w:r>
        <w:rPr>
          <w:rFonts w:hint="eastAsia" w:ascii="MS UI Gothic" w:eastAsia="MS UI Gothic"/>
          <w:w w:val="80"/>
        </w:rPr>
        <w:t>ꎮ</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煤仓上方</w:t>
      </w:r>
      <w:r>
        <w:rPr>
          <w:rFonts w:hint="eastAsia" w:ascii="MS UI Gothic" w:eastAsia="MS UI Gothic"/>
          <w:w w:val="80"/>
        </w:rPr>
        <w:t xml:space="preserve">、 </w:t>
      </w:r>
      <w:r>
        <w:rPr>
          <w:w w:val="105"/>
        </w:rPr>
        <w:t>封闭的带式输送机地面走廊</w:t>
      </w:r>
      <w:r>
        <w:rPr>
          <w:rFonts w:hint="eastAsia" w:ascii="MS UI Gothic" w:eastAsia="MS UI Gothic"/>
          <w:w w:val="80"/>
        </w:rPr>
        <w:t>ꎮ</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地面瓦斯抽采泵房内</w:t>
      </w:r>
      <w:r>
        <w:rPr>
          <w:rFonts w:hint="eastAsia" w:ascii="MS UI Gothic" w:eastAsia="MS UI Gothic"/>
          <w:w w:val="80"/>
        </w:rPr>
        <w:t>ꎮ</w:t>
      </w:r>
    </w:p>
    <w:p>
      <w:pPr>
        <w:pStyle w:val="6"/>
        <w:spacing w:before="53" w:line="295" w:lineRule="auto"/>
        <w:ind w:right="442"/>
        <w:jc w:val="left"/>
        <w:rPr>
          <w:rFonts w:hint="eastAsia" w:ascii="MS UI Gothic" w:eastAsia="MS UI Gothic"/>
        </w:rPr>
      </w:pPr>
      <w:r>
        <w:rPr>
          <w:rFonts w:hint="eastAsia" w:ascii="MS UI Gothic" w:eastAsia="MS UI Gothic"/>
          <w:w w:val="105"/>
        </w:rPr>
        <w:t xml:space="preserve">( </w:t>
      </w:r>
      <w:r>
        <w:rPr>
          <w:w w:val="105"/>
        </w:rPr>
        <w:t>九</w:t>
      </w:r>
      <w:r>
        <w:rPr>
          <w:rFonts w:hint="eastAsia" w:ascii="MS UI Gothic" w:eastAsia="MS UI Gothic"/>
          <w:w w:val="105"/>
        </w:rPr>
        <w:t xml:space="preserve">) </w:t>
      </w:r>
      <w:r>
        <w:rPr>
          <w:w w:val="105"/>
        </w:rPr>
        <w:t>井下临时瓦斯抽采泵站下风侧</w:t>
      </w:r>
      <w:r>
        <w:rPr>
          <w:w w:val="110"/>
        </w:rPr>
        <w:t>栅栏外</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３２１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85" o:spid="_x0000_s1985" o:spt="203" style="height:2.15pt;width:398.25pt;" coordsize="7965,43">
            <o:lock v:ext="edit"/>
            <v:line id="_x0000_s1986" o:spid="_x0000_s1986" o:spt="20" style="position:absolute;left:0;top:39;height:0;width:7965;" stroked="t" coordsize="21600,21600">
              <v:path arrowok="t"/>
              <v:fill focussize="0,0"/>
              <v:stroke weight="0.388031496062992pt" color="#231F20"/>
              <v:imagedata o:title=""/>
              <o:lock v:ext="edit"/>
            </v:line>
            <v:line id="_x0000_s1987" o:spid="_x0000_s198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jc w:val="left"/>
        <w:rPr>
          <w:rFonts w:hint="eastAsia" w:ascii="MS UI Gothic" w:eastAsia="MS UI Gothic"/>
        </w:rPr>
      </w:pPr>
      <w:r>
        <w:rPr>
          <w:rFonts w:hint="eastAsia" w:ascii="MS UI Gothic" w:eastAsia="MS UI Gothic"/>
          <w:spacing w:val="-38"/>
          <w:w w:val="150"/>
        </w:rPr>
        <w:t xml:space="preserve">( </w:t>
      </w:r>
      <w:r>
        <w:rPr>
          <w:spacing w:val="23"/>
          <w:w w:val="110"/>
        </w:rPr>
        <w:t>十</w:t>
      </w:r>
      <w:r>
        <w:rPr>
          <w:rFonts w:hint="eastAsia" w:ascii="MS UI Gothic" w:eastAsia="MS UI Gothic"/>
          <w:spacing w:val="19"/>
          <w:w w:val="150"/>
        </w:rPr>
        <w:t xml:space="preserve">) </w:t>
      </w:r>
      <w:r>
        <w:rPr>
          <w:spacing w:val="-33"/>
          <w:w w:val="110"/>
        </w:rPr>
        <w:t>瓦 斯 抽 采 泵 输 入</w:t>
      </w:r>
      <w:r>
        <w:rPr>
          <w:rFonts w:hint="eastAsia" w:ascii="MS UI Gothic" w:eastAsia="MS UI Gothic"/>
          <w:spacing w:val="7"/>
          <w:w w:val="80"/>
        </w:rPr>
        <w:t xml:space="preserve">、 </w:t>
      </w:r>
      <w:r>
        <w:rPr>
          <w:spacing w:val="-30"/>
          <w:w w:val="110"/>
        </w:rPr>
        <w:t>输 出 管</w:t>
      </w:r>
      <w:r>
        <w:rPr>
          <w:spacing w:val="3"/>
          <w:w w:val="110"/>
        </w:rPr>
        <w:t>路中</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第五百条 突出矿井在下列地点设置</w:t>
      </w:r>
      <w:r>
        <w:t>的传感器必须是全量程或者高低浓度甲烷</w:t>
      </w:r>
      <w:r>
        <w:rPr>
          <w:w w:val="110"/>
        </w:rPr>
        <w:t>传感器</w:t>
      </w:r>
      <w:r>
        <w:rPr>
          <w:rFonts w:hint="eastAsia" w:ascii="MS UI Gothic" w:eastAsia="MS UI Gothic"/>
          <w:w w:val="235"/>
        </w:rPr>
        <w:t>:</w:t>
      </w:r>
    </w:p>
    <w:p>
      <w:pPr>
        <w:pStyle w:val="6"/>
        <w:spacing w:line="254" w:lineRule="exact"/>
        <w:ind w:left="86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采煤工作面进</w:t>
      </w:r>
      <w:r>
        <w:rPr>
          <w:rFonts w:hint="eastAsia" w:ascii="MS UI Gothic" w:eastAsia="MS UI Gothic"/>
          <w:w w:val="80"/>
        </w:rPr>
        <w:t xml:space="preserve">、 </w:t>
      </w:r>
      <w:r>
        <w:rPr>
          <w:w w:val="110"/>
        </w:rPr>
        <w:t>回风巷</w:t>
      </w:r>
      <w:r>
        <w:rPr>
          <w:rFonts w:hint="eastAsia" w:ascii="MS UI Gothic" w:eastAsia="MS UI Gothic"/>
          <w:w w:val="80"/>
        </w:rPr>
        <w:t>ꎮ</w:t>
      </w:r>
    </w:p>
    <w:p>
      <w:pPr>
        <w:pStyle w:val="6"/>
        <w:spacing w:before="57" w:line="295" w:lineRule="auto"/>
        <w:ind w:left="440"/>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煤巷</w:t>
      </w:r>
      <w:r>
        <w:rPr>
          <w:rFonts w:hint="eastAsia" w:ascii="MS UI Gothic" w:eastAsia="MS UI Gothic"/>
          <w:w w:val="80"/>
        </w:rPr>
        <w:t xml:space="preserve">、 </w:t>
      </w:r>
      <w:r>
        <w:rPr>
          <w:w w:val="105"/>
        </w:rPr>
        <w:t>半煤岩巷和有瓦斯涌出的岩巷掘进工作面回风流中</w:t>
      </w:r>
      <w:r>
        <w:rPr>
          <w:rFonts w:hint="eastAsia" w:ascii="MS UI Gothic" w:eastAsia="MS UI Gothic"/>
          <w:w w:val="80"/>
        </w:rPr>
        <w:t>ꎮ</w:t>
      </w:r>
    </w:p>
    <w:p>
      <w:pPr>
        <w:pStyle w:val="6"/>
        <w:spacing w:line="295" w:lineRule="auto"/>
        <w:ind w:left="860" w:right="1598" w:firstLine="0"/>
        <w:jc w:val="left"/>
        <w:rPr>
          <w:rFonts w:hint="eastAsia" w:ascii="MS UI Gothic" w:eastAsia="MS UI Gothic"/>
        </w:rPr>
      </w:pPr>
      <w:r>
        <w:rPr>
          <w:rFonts w:hint="eastAsia" w:ascii="MS UI Gothic" w:eastAsia="MS UI Gothic"/>
          <w:w w:val="110"/>
        </w:rPr>
        <w:t xml:space="preserve">( </w:t>
      </w:r>
      <w:r>
        <w:rPr>
          <w:w w:val="110"/>
        </w:rPr>
        <w:t>三</w:t>
      </w:r>
      <w:r>
        <w:rPr>
          <w:rFonts w:hint="eastAsia" w:ascii="MS UI Gothic" w:eastAsia="MS UI Gothic"/>
          <w:w w:val="110"/>
        </w:rPr>
        <w:t xml:space="preserve">) </w:t>
      </w:r>
      <w:r>
        <w:rPr>
          <w:w w:val="110"/>
        </w:rPr>
        <w:t>采区回风巷</w:t>
      </w:r>
      <w:r>
        <w:rPr>
          <w:rFonts w:hint="eastAsia" w:ascii="MS UI Gothic" w:eastAsia="MS UI Gothic"/>
          <w:w w:val="80"/>
        </w:rPr>
        <w:t>ꎮ</w:t>
      </w:r>
      <w:r>
        <w:rPr>
          <w:rFonts w:hint="eastAsia" w:ascii="MS UI Gothic" w:eastAsia="MS UI Gothic"/>
          <w:w w:val="150"/>
        </w:rPr>
        <w:t xml:space="preserve">( </w:t>
      </w:r>
      <w:r>
        <w:rPr>
          <w:w w:val="115"/>
        </w:rPr>
        <w:t>四</w:t>
      </w:r>
      <w:r>
        <w:rPr>
          <w:rFonts w:hint="eastAsia" w:ascii="MS UI Gothic" w:eastAsia="MS UI Gothic"/>
          <w:w w:val="150"/>
        </w:rPr>
        <w:t xml:space="preserve">) </w:t>
      </w:r>
      <w:r>
        <w:rPr>
          <w:w w:val="115"/>
        </w:rPr>
        <w:t>总回风巷</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第五百零一条 井下下列设备必须设</w:t>
      </w:r>
      <w:r>
        <w:t>置甲烷断电仪或者便携式甲烷检测报</w:t>
      </w:r>
      <w:r>
        <w:rPr>
          <w:w w:val="110"/>
        </w:rPr>
        <w:t>警仪</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采煤机</w:t>
      </w:r>
      <w:r>
        <w:rPr>
          <w:rFonts w:hint="eastAsia" w:ascii="MS UI Gothic" w:eastAsia="MS UI Gothic"/>
          <w:w w:val="80"/>
        </w:rPr>
        <w:t xml:space="preserve">、 </w:t>
      </w:r>
      <w:r>
        <w:rPr>
          <w:w w:val="105"/>
        </w:rPr>
        <w:t>掘进机</w:t>
      </w:r>
      <w:r>
        <w:rPr>
          <w:rFonts w:hint="eastAsia" w:ascii="MS UI Gothic" w:eastAsia="MS UI Gothic"/>
          <w:w w:val="80"/>
        </w:rPr>
        <w:t xml:space="preserve">、 </w:t>
      </w:r>
      <w:r>
        <w:rPr>
          <w:w w:val="105"/>
        </w:rPr>
        <w:t>掘锚一体机</w:t>
      </w:r>
      <w:r>
        <w:rPr>
          <w:rFonts w:hint="eastAsia" w:ascii="MS UI Gothic" w:eastAsia="MS UI Gothic"/>
          <w:w w:val="80"/>
        </w:rPr>
        <w:t xml:space="preserve">、 </w:t>
      </w:r>
      <w:r>
        <w:rPr>
          <w:w w:val="105"/>
        </w:rPr>
        <w:t>连续采煤机</w:t>
      </w:r>
      <w:r>
        <w:rPr>
          <w:rFonts w:hint="eastAsia" w:ascii="MS UI Gothic" w:eastAsia="MS UI Gothic"/>
          <w:w w:val="80"/>
        </w:rPr>
        <w:t>ꎮ</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梭车</w:t>
      </w:r>
      <w:r>
        <w:rPr>
          <w:rFonts w:hint="eastAsia" w:ascii="MS UI Gothic" w:eastAsia="MS UI Gothic"/>
          <w:w w:val="80"/>
        </w:rPr>
        <w:t xml:space="preserve">、 </w:t>
      </w:r>
      <w:r>
        <w:rPr>
          <w:w w:val="110"/>
        </w:rPr>
        <w:t>锚杆钻车</w:t>
      </w:r>
      <w:r>
        <w:rPr>
          <w:rFonts w:hint="eastAsia" w:ascii="MS UI Gothic" w:eastAsia="MS UI Gothic"/>
          <w:w w:val="80"/>
        </w:rPr>
        <w:t>ꎮ</w:t>
      </w:r>
    </w:p>
    <w:p>
      <w:pPr>
        <w:pStyle w:val="6"/>
        <w:spacing w:before="52" w:line="295" w:lineRule="auto"/>
        <w:ind w:left="440"/>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采用防爆蓄电池或者防爆柴油</w:t>
      </w:r>
      <w:r>
        <w:rPr>
          <w:w w:val="110"/>
        </w:rPr>
        <w:t>机为动力装置的运输设备</w:t>
      </w:r>
      <w:r>
        <w:rPr>
          <w:rFonts w:hint="eastAsia" w:ascii="MS UI Gothic" w:eastAsia="MS UI Gothic"/>
          <w:w w:val="80"/>
        </w:rPr>
        <w:t>ꎮ</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其他需要安装的移动设备</w:t>
      </w:r>
      <w:r>
        <w:rPr>
          <w:rFonts w:hint="eastAsia" w:ascii="MS UI Gothic" w:eastAsia="MS UI Gothic"/>
          <w:w w:val="80"/>
        </w:rPr>
        <w:t>ꎮ</w:t>
      </w:r>
    </w:p>
    <w:p>
      <w:pPr>
        <w:pStyle w:val="6"/>
        <w:spacing w:before="58" w:line="295" w:lineRule="auto"/>
        <w:ind w:left="440"/>
        <w:rPr>
          <w:rFonts w:hint="eastAsia" w:ascii="MS UI Gothic" w:eastAsia="MS UI Gothic"/>
        </w:rPr>
      </w:pPr>
      <w:r>
        <w:t>第五百零二条 突出煤层采煤工作面进风巷</w:t>
      </w:r>
      <w:r>
        <w:rPr>
          <w:rFonts w:hint="eastAsia" w:ascii="MS UI Gothic" w:eastAsia="MS UI Gothic"/>
          <w:w w:val="80"/>
        </w:rPr>
        <w:t xml:space="preserve">、 </w:t>
      </w:r>
      <w:r>
        <w:t>掘进工作面进风的分风口必须设置风向传感器</w:t>
      </w:r>
      <w:r>
        <w:rPr>
          <w:rFonts w:hint="eastAsia" w:ascii="MS UI Gothic" w:eastAsia="MS UI Gothic"/>
          <w:w w:val="80"/>
        </w:rPr>
        <w:t xml:space="preserve">ꎮ </w:t>
      </w:r>
      <w:r>
        <w:t>当发生风流逆转时</w:t>
      </w:r>
      <w:r>
        <w:rPr>
          <w:rFonts w:hint="eastAsia" w:ascii="MS UI Gothic" w:eastAsia="MS UI Gothic"/>
          <w:w w:val="80"/>
        </w:rPr>
        <w:t xml:space="preserve">ꎬ </w:t>
      </w:r>
      <w:r>
        <w:t>发出声光报警信号</w:t>
      </w:r>
      <w:r>
        <w:rPr>
          <w:rFonts w:hint="eastAsia" w:ascii="MS UI Gothic" w:eastAsia="MS UI Gothic"/>
          <w:w w:val="80"/>
        </w:rPr>
        <w:t>ꎮ</w:t>
      </w:r>
    </w:p>
    <w:p>
      <w:pPr>
        <w:pStyle w:val="6"/>
        <w:spacing w:line="295" w:lineRule="auto"/>
        <w:ind w:left="440"/>
        <w:rPr>
          <w:rFonts w:hint="eastAsia" w:ascii="MS UI Gothic" w:eastAsia="MS UI Gothic"/>
        </w:rPr>
      </w:pPr>
      <w:r>
        <w:t>突出煤层采煤工作面回风巷和掘进巷道回风流中必须设置风速传感器</w:t>
      </w:r>
      <w:r>
        <w:rPr>
          <w:rFonts w:hint="eastAsia" w:ascii="MS UI Gothic" w:eastAsia="MS UI Gothic"/>
          <w:w w:val="80"/>
        </w:rPr>
        <w:t xml:space="preserve">ꎮ </w:t>
      </w:r>
      <w:r>
        <w:t>当风速低于或者超过本规程的规定值时</w:t>
      </w:r>
      <w:r>
        <w:rPr>
          <w:rFonts w:hint="eastAsia" w:ascii="MS UI Gothic" w:eastAsia="MS UI Gothic"/>
          <w:w w:val="80"/>
        </w:rPr>
        <w:t xml:space="preserve">ꎬ </w:t>
      </w:r>
      <w:r>
        <w:t>应当发</w:t>
      </w:r>
      <w:r>
        <w:rPr>
          <w:w w:val="105"/>
        </w:rPr>
        <w:t>出声光报警信号</w:t>
      </w:r>
      <w:r>
        <w:rPr>
          <w:rFonts w:hint="eastAsia" w:ascii="MS UI Gothic" w:eastAsia="MS UI Gothic"/>
          <w:w w:val="80"/>
        </w:rPr>
        <w:t>ꎮ</w:t>
      </w:r>
    </w:p>
    <w:p>
      <w:pPr>
        <w:pStyle w:val="6"/>
        <w:spacing w:line="295" w:lineRule="auto"/>
        <w:ind w:left="440"/>
        <w:rPr>
          <w:rFonts w:hint="eastAsia" w:ascii="MS UI Gothic" w:eastAsia="MS UI Gothic"/>
        </w:rPr>
      </w:pPr>
      <w:r>
        <w:t>第五百零三条 每一个采区</w:t>
      </w:r>
      <w:r>
        <w:rPr>
          <w:rFonts w:hint="eastAsia" w:ascii="MS UI Gothic" w:eastAsia="MS UI Gothic"/>
          <w:w w:val="80"/>
        </w:rPr>
        <w:t xml:space="preserve">、 </w:t>
      </w:r>
      <w:r>
        <w:t>一翼回风巷及总回风巷的测风站应当设置风速传感器</w:t>
      </w:r>
      <w:r>
        <w:rPr>
          <w:rFonts w:hint="eastAsia" w:ascii="MS UI Gothic" w:eastAsia="MS UI Gothic"/>
          <w:w w:val="80"/>
        </w:rPr>
        <w:t xml:space="preserve">ꎬ </w:t>
      </w:r>
      <w:r>
        <w:t>主要通风机的风硐应当设置压力传感器</w:t>
      </w:r>
      <w:r>
        <w:rPr>
          <w:rFonts w:hint="eastAsia" w:ascii="MS UI Gothic" w:eastAsia="MS UI Gothic"/>
          <w:w w:val="80"/>
        </w:rPr>
        <w:t xml:space="preserve">ꎻ </w:t>
      </w:r>
      <w:r>
        <w:t>瓦斯抽采泵站的抽采泵吸入管路中应当设置流量传感器</w:t>
      </w:r>
      <w:r>
        <w:rPr>
          <w:rFonts w:hint="eastAsia" w:ascii="MS UI Gothic" w:eastAsia="MS UI Gothic"/>
          <w:w w:val="80"/>
        </w:rPr>
        <w:t xml:space="preserve">、 </w:t>
      </w:r>
      <w:r>
        <w:t>温度传感器和压力传感器</w:t>
      </w:r>
      <w:r>
        <w:rPr>
          <w:rFonts w:hint="eastAsia" w:ascii="MS UI Gothic" w:eastAsia="MS UI Gothic"/>
          <w:w w:val="80"/>
        </w:rPr>
        <w:t xml:space="preserve">ꎬ </w:t>
      </w:r>
      <w:r>
        <w:t>利用瓦斯时</w:t>
      </w:r>
      <w:r>
        <w:rPr>
          <w:rFonts w:hint="eastAsia" w:ascii="MS UI Gothic" w:eastAsia="MS UI Gothic"/>
          <w:w w:val="80"/>
        </w:rPr>
        <w:t xml:space="preserve">ꎬ </w:t>
      </w:r>
      <w:r>
        <w:t>还应当在输出管路中设置流量传感器</w:t>
      </w:r>
      <w:r>
        <w:rPr>
          <w:rFonts w:hint="eastAsia" w:ascii="MS UI Gothic" w:eastAsia="MS UI Gothic"/>
          <w:w w:val="80"/>
        </w:rPr>
        <w:t xml:space="preserve">、 </w:t>
      </w:r>
      <w:r>
        <w:t>温度传感器和压力传感器</w:t>
      </w:r>
      <w:r>
        <w:rPr>
          <w:rFonts w:hint="eastAsia" w:ascii="MS UI Gothic" w:eastAsia="MS UI Gothic"/>
          <w:w w:val="80"/>
        </w:rPr>
        <w:t>ꎮ</w:t>
      </w:r>
    </w:p>
    <w:p>
      <w:pPr>
        <w:pStyle w:val="6"/>
        <w:spacing w:line="295" w:lineRule="auto"/>
        <w:ind w:left="440"/>
        <w:rPr>
          <w:rFonts w:hint="eastAsia" w:ascii="MS UI Gothic" w:eastAsia="MS UI Gothic"/>
        </w:rPr>
      </w:pPr>
      <w:r>
        <w:t>使用防爆柴油动力装置的矿井及开采容易自燃</w:t>
      </w:r>
      <w:r>
        <w:rPr>
          <w:rFonts w:hint="eastAsia" w:ascii="MS UI Gothic" w:eastAsia="MS UI Gothic"/>
          <w:w w:val="80"/>
        </w:rPr>
        <w:t xml:space="preserve">、 </w:t>
      </w:r>
      <w:r>
        <w:t>自燃煤层的矿井</w:t>
      </w:r>
      <w:r>
        <w:rPr>
          <w:rFonts w:hint="eastAsia" w:ascii="MS UI Gothic" w:eastAsia="MS UI Gothic"/>
          <w:w w:val="80"/>
        </w:rPr>
        <w:t xml:space="preserve">ꎬ </w:t>
      </w:r>
      <w:r>
        <w:t>应当设置一氧化碳传感器和温度传感器</w:t>
      </w:r>
      <w:r>
        <w:rPr>
          <w:rFonts w:hint="eastAsia" w:ascii="MS UI Gothic" w:eastAsia="MS UI Gothic"/>
          <w:w w:val="80"/>
        </w:rPr>
        <w:t>ꎮ</w:t>
      </w:r>
    </w:p>
    <w:p>
      <w:pPr>
        <w:pStyle w:val="6"/>
        <w:spacing w:line="254" w:lineRule="exact"/>
        <w:ind w:left="860" w:firstLine="0"/>
        <w:jc w:val="left"/>
      </w:pPr>
      <w:r>
        <w:t>主要通风机</w:t>
      </w:r>
      <w:r>
        <w:rPr>
          <w:rFonts w:hint="eastAsia" w:ascii="MS UI Gothic" w:eastAsia="MS UI Gothic"/>
        </w:rPr>
        <w:t xml:space="preserve">、 </w:t>
      </w:r>
      <w:r>
        <w:t>局部通风机应当设置设</w:t>
      </w:r>
    </w:p>
    <w:p>
      <w:pPr>
        <w:pStyle w:val="6"/>
        <w:spacing w:before="124"/>
        <w:ind w:left="383" w:firstLine="0"/>
        <w:jc w:val="left"/>
        <w:rPr>
          <w:rFonts w:hint="eastAsia" w:ascii="MS UI Gothic" w:eastAsia="MS UI Gothic"/>
        </w:rPr>
      </w:pPr>
      <w:r>
        <w:br w:type="column"/>
      </w:r>
      <w:r>
        <w:t>备开停传感器</w:t>
      </w:r>
      <w:r>
        <w:rPr>
          <w:rFonts w:hint="eastAsia" w:ascii="MS UI Gothic" w:eastAsia="MS UI Gothic"/>
          <w:w w:val="80"/>
        </w:rPr>
        <w:t>ꎮ</w:t>
      </w:r>
    </w:p>
    <w:p>
      <w:pPr>
        <w:pStyle w:val="6"/>
        <w:spacing w:before="58" w:line="295" w:lineRule="auto"/>
        <w:ind w:left="383" w:right="124"/>
        <w:rPr>
          <w:rFonts w:hint="eastAsia" w:ascii="MS UI Gothic" w:eastAsia="MS UI Gothic"/>
        </w:rPr>
      </w:pPr>
      <w:r>
        <w:t>主要风门应当设置风门开关传感器</w:t>
      </w:r>
      <w:r>
        <w:rPr>
          <w:rFonts w:hint="eastAsia" w:ascii="MS UI Gothic" w:eastAsia="MS UI Gothic"/>
          <w:w w:val="80"/>
        </w:rPr>
        <w:t>ꎬ</w:t>
      </w:r>
      <w:r>
        <w:t>当两道风门同时打开时</w:t>
      </w:r>
      <w:r>
        <w:rPr>
          <w:rFonts w:hint="eastAsia" w:ascii="MS UI Gothic" w:eastAsia="MS UI Gothic"/>
          <w:w w:val="80"/>
        </w:rPr>
        <w:t xml:space="preserve">ꎬ </w:t>
      </w:r>
      <w:r>
        <w:t>发出声光报警信号</w:t>
      </w:r>
      <w:r>
        <w:rPr>
          <w:rFonts w:hint="eastAsia" w:ascii="MS UI Gothic" w:eastAsia="MS UI Gothic"/>
          <w:w w:val="80"/>
        </w:rPr>
        <w:t xml:space="preserve">ꎮ </w:t>
      </w:r>
      <w:r>
        <w:t>甲烷电闭锁和风电闭锁的被控开关的负荷侧必须设置馈电状态传感器</w:t>
      </w:r>
      <w:r>
        <w:rPr>
          <w:rFonts w:hint="eastAsia" w:ascii="MS UI Gothic" w:eastAsia="MS UI Gothic"/>
          <w:w w:val="80"/>
        </w:rPr>
        <w:t>ꎮ</w:t>
      </w:r>
    </w:p>
    <w:p>
      <w:pPr>
        <w:pStyle w:val="6"/>
        <w:tabs>
          <w:tab w:val="left" w:pos="2059"/>
        </w:tabs>
        <w:spacing w:before="154"/>
        <w:ind w:left="1221" w:firstLine="0"/>
        <w:jc w:val="left"/>
      </w:pPr>
      <w:r>
        <w:rPr>
          <w:spacing w:val="3"/>
          <w:w w:val="105"/>
        </w:rPr>
        <w:t>第三</w:t>
      </w:r>
      <w:r>
        <w:rPr>
          <w:w w:val="105"/>
        </w:rPr>
        <w:t>节</w:t>
      </w:r>
      <w:r>
        <w:rPr>
          <w:w w:val="105"/>
        </w:rPr>
        <w:tab/>
      </w:r>
      <w:r>
        <w:rPr>
          <w:spacing w:val="3"/>
          <w:w w:val="105"/>
        </w:rPr>
        <w:t>人员位置监</w:t>
      </w:r>
      <w:r>
        <w:rPr>
          <w:w w:val="105"/>
        </w:rPr>
        <w:t>测</w:t>
      </w:r>
    </w:p>
    <w:p>
      <w:pPr>
        <w:pStyle w:val="6"/>
        <w:spacing w:before="10"/>
        <w:ind w:left="0" w:firstLine="0"/>
        <w:jc w:val="left"/>
        <w:rPr>
          <w:sz w:val="16"/>
        </w:rPr>
      </w:pPr>
    </w:p>
    <w:p>
      <w:pPr>
        <w:pStyle w:val="6"/>
        <w:spacing w:line="295" w:lineRule="auto"/>
        <w:ind w:left="383" w:right="126"/>
        <w:rPr>
          <w:rFonts w:hint="eastAsia" w:ascii="MS UI Gothic" w:eastAsia="MS UI Gothic"/>
        </w:rPr>
      </w:pPr>
      <w:r>
        <w:t>第五百零四条 下井人员必须携带标识卡</w:t>
      </w:r>
      <w:r>
        <w:rPr>
          <w:rFonts w:hint="eastAsia" w:ascii="MS UI Gothic" w:eastAsia="MS UI Gothic"/>
          <w:w w:val="80"/>
        </w:rPr>
        <w:t xml:space="preserve">ꎮ </w:t>
      </w:r>
      <w:r>
        <w:t>各个人员出入井口</w:t>
      </w:r>
      <w:r>
        <w:rPr>
          <w:rFonts w:hint="eastAsia" w:ascii="MS UI Gothic" w:eastAsia="MS UI Gothic"/>
          <w:w w:val="80"/>
        </w:rPr>
        <w:t xml:space="preserve">、 </w:t>
      </w:r>
      <w:r>
        <w:t>重点区域出入口</w:t>
      </w:r>
      <w:r>
        <w:rPr>
          <w:rFonts w:hint="eastAsia" w:ascii="MS UI Gothic" w:eastAsia="MS UI Gothic"/>
          <w:w w:val="80"/>
        </w:rPr>
        <w:t xml:space="preserve">、 </w:t>
      </w:r>
      <w:r>
        <w:t>限制区域等地点应当设置读卡分站</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第五百零五条 人员位置监测系统应</w:t>
      </w:r>
      <w:r>
        <w:t>当具备检测标识卡是否正常和唯一性的</w:t>
      </w:r>
      <w:r>
        <w:rPr>
          <w:w w:val="105"/>
        </w:rPr>
        <w:t>功能</w:t>
      </w:r>
      <w:r>
        <w:rPr>
          <w:rFonts w:hint="eastAsia" w:ascii="MS UI Gothic" w:eastAsia="MS UI Gothic"/>
          <w:w w:val="80"/>
        </w:rPr>
        <w:t>ꎮ</w:t>
      </w:r>
    </w:p>
    <w:p>
      <w:pPr>
        <w:pStyle w:val="6"/>
        <w:spacing w:line="295" w:lineRule="auto"/>
        <w:ind w:left="383" w:right="126"/>
        <w:rPr>
          <w:rFonts w:hint="eastAsia" w:ascii="MS UI Gothic" w:eastAsia="MS UI Gothic"/>
        </w:rPr>
      </w:pPr>
      <w:r>
        <w:t>第五百零六条 矿调度室值班员应当监视人员位置等信息</w:t>
      </w:r>
      <w:r>
        <w:rPr>
          <w:rFonts w:hint="eastAsia" w:ascii="MS UI Gothic" w:eastAsia="MS UI Gothic"/>
          <w:w w:val="80"/>
        </w:rPr>
        <w:t xml:space="preserve">ꎬ </w:t>
      </w:r>
      <w:r>
        <w:t>填写运行日志</w:t>
      </w:r>
      <w:r>
        <w:rPr>
          <w:rFonts w:hint="eastAsia" w:ascii="MS UI Gothic" w:eastAsia="MS UI Gothic"/>
          <w:w w:val="80"/>
        </w:rPr>
        <w:t>ꎮ</w:t>
      </w:r>
    </w:p>
    <w:p>
      <w:pPr>
        <w:pStyle w:val="6"/>
        <w:tabs>
          <w:tab w:val="left" w:pos="1954"/>
        </w:tabs>
        <w:spacing w:before="151"/>
        <w:ind w:left="1116" w:firstLine="0"/>
        <w:jc w:val="left"/>
      </w:pPr>
      <w:r>
        <w:rPr>
          <w:spacing w:val="3"/>
          <w:w w:val="105"/>
        </w:rPr>
        <w:t>第四</w:t>
      </w:r>
      <w:r>
        <w:rPr>
          <w:w w:val="105"/>
        </w:rPr>
        <w:t>节</w:t>
      </w:r>
      <w:r>
        <w:rPr>
          <w:w w:val="105"/>
        </w:rPr>
        <w:tab/>
      </w:r>
      <w:r>
        <w:rPr>
          <w:spacing w:val="3"/>
          <w:w w:val="105"/>
        </w:rPr>
        <w:t>通信与图像监</w:t>
      </w:r>
      <w:r>
        <w:rPr>
          <w:w w:val="105"/>
        </w:rPr>
        <w:t>视</w:t>
      </w:r>
    </w:p>
    <w:p>
      <w:pPr>
        <w:pStyle w:val="6"/>
        <w:spacing w:before="10"/>
        <w:ind w:left="0" w:firstLine="0"/>
        <w:jc w:val="left"/>
        <w:rPr>
          <w:sz w:val="16"/>
        </w:rPr>
      </w:pPr>
    </w:p>
    <w:p>
      <w:pPr>
        <w:pStyle w:val="6"/>
        <w:spacing w:before="1" w:line="295" w:lineRule="auto"/>
        <w:ind w:left="383" w:right="124"/>
        <w:rPr>
          <w:rFonts w:hint="eastAsia" w:ascii="MS UI Gothic" w:eastAsia="MS UI Gothic"/>
        </w:rPr>
      </w:pPr>
      <w:r>
        <w:rPr>
          <w:spacing w:val="2"/>
          <w:w w:val="105"/>
        </w:rPr>
        <w:t>第五百零七条 以下地点必须设有直</w:t>
      </w:r>
      <w:r>
        <w:rPr>
          <w:spacing w:val="3"/>
          <w:w w:val="105"/>
        </w:rPr>
        <w:t>通矿调度室的有线调度电话</w:t>
      </w:r>
      <w:r>
        <w:rPr>
          <w:rFonts w:hint="eastAsia" w:ascii="MS UI Gothic" w:eastAsia="MS UI Gothic"/>
          <w:spacing w:val="-45"/>
          <w:w w:val="235"/>
        </w:rPr>
        <w:t xml:space="preserve">: </w:t>
      </w:r>
      <w:r>
        <w:rPr>
          <w:spacing w:val="2"/>
          <w:w w:val="105"/>
        </w:rPr>
        <w:t>矿井地面变</w:t>
      </w:r>
      <w:r>
        <w:rPr>
          <w:spacing w:val="3"/>
          <w:w w:val="105"/>
        </w:rPr>
        <w:t>电所</w:t>
      </w:r>
      <w:r>
        <w:rPr>
          <w:rFonts w:hint="eastAsia" w:ascii="MS UI Gothic" w:eastAsia="MS UI Gothic"/>
          <w:spacing w:val="12"/>
          <w:w w:val="80"/>
        </w:rPr>
        <w:t xml:space="preserve">、 </w:t>
      </w:r>
      <w:r>
        <w:rPr>
          <w:spacing w:val="3"/>
          <w:w w:val="105"/>
        </w:rPr>
        <w:t>地面主要通风机房</w:t>
      </w:r>
      <w:r>
        <w:rPr>
          <w:rFonts w:hint="eastAsia" w:ascii="MS UI Gothic" w:eastAsia="MS UI Gothic"/>
          <w:spacing w:val="12"/>
          <w:w w:val="80"/>
        </w:rPr>
        <w:t xml:space="preserve">、 </w:t>
      </w:r>
      <w:r>
        <w:rPr>
          <w:spacing w:val="2"/>
          <w:w w:val="105"/>
        </w:rPr>
        <w:t>主副井提升机</w:t>
      </w:r>
      <w:r>
        <w:rPr>
          <w:spacing w:val="3"/>
          <w:w w:val="105"/>
        </w:rPr>
        <w:t>房</w:t>
      </w:r>
      <w:r>
        <w:rPr>
          <w:rFonts w:hint="eastAsia" w:ascii="MS UI Gothic" w:eastAsia="MS UI Gothic"/>
          <w:spacing w:val="17"/>
          <w:w w:val="80"/>
        </w:rPr>
        <w:t xml:space="preserve">、 </w:t>
      </w:r>
      <w:r>
        <w:rPr>
          <w:spacing w:val="3"/>
          <w:w w:val="105"/>
        </w:rPr>
        <w:t>压风机房</w:t>
      </w:r>
      <w:r>
        <w:rPr>
          <w:rFonts w:hint="eastAsia" w:ascii="MS UI Gothic" w:eastAsia="MS UI Gothic"/>
          <w:spacing w:val="17"/>
          <w:w w:val="80"/>
        </w:rPr>
        <w:t xml:space="preserve">、 </w:t>
      </w:r>
      <w:r>
        <w:rPr>
          <w:spacing w:val="3"/>
          <w:w w:val="105"/>
        </w:rPr>
        <w:t>井下主要水泵房</w:t>
      </w:r>
      <w:r>
        <w:rPr>
          <w:rFonts w:hint="eastAsia" w:ascii="MS UI Gothic" w:eastAsia="MS UI Gothic"/>
          <w:spacing w:val="17"/>
          <w:w w:val="80"/>
        </w:rPr>
        <w:t xml:space="preserve">、 </w:t>
      </w:r>
      <w:r>
        <w:rPr>
          <w:spacing w:val="2"/>
          <w:w w:val="105"/>
        </w:rPr>
        <w:t>井下中</w:t>
      </w:r>
      <w:r>
        <w:rPr>
          <w:spacing w:val="3"/>
          <w:w w:val="105"/>
        </w:rPr>
        <w:t>央变电所</w:t>
      </w:r>
      <w:r>
        <w:rPr>
          <w:rFonts w:hint="eastAsia" w:ascii="MS UI Gothic" w:eastAsia="MS UI Gothic"/>
          <w:spacing w:val="17"/>
          <w:w w:val="80"/>
        </w:rPr>
        <w:t xml:space="preserve">、 </w:t>
      </w:r>
      <w:r>
        <w:rPr>
          <w:spacing w:val="3"/>
          <w:w w:val="105"/>
        </w:rPr>
        <w:t>井底车场</w:t>
      </w:r>
      <w:r>
        <w:rPr>
          <w:rFonts w:hint="eastAsia" w:ascii="MS UI Gothic" w:eastAsia="MS UI Gothic"/>
          <w:spacing w:val="17"/>
          <w:w w:val="80"/>
        </w:rPr>
        <w:t xml:space="preserve">、 </w:t>
      </w:r>
      <w:r>
        <w:rPr>
          <w:spacing w:val="3"/>
          <w:w w:val="105"/>
        </w:rPr>
        <w:t>运输调度室</w:t>
      </w:r>
      <w:r>
        <w:rPr>
          <w:rFonts w:hint="eastAsia" w:ascii="MS UI Gothic" w:eastAsia="MS UI Gothic"/>
          <w:spacing w:val="17"/>
          <w:w w:val="80"/>
        </w:rPr>
        <w:t xml:space="preserve">、 </w:t>
      </w:r>
      <w:r>
        <w:rPr>
          <w:spacing w:val="1"/>
          <w:w w:val="105"/>
        </w:rPr>
        <w:t>采区</w:t>
      </w:r>
      <w:r>
        <w:rPr>
          <w:spacing w:val="3"/>
          <w:w w:val="105"/>
        </w:rPr>
        <w:t>变电所</w:t>
      </w:r>
      <w:r>
        <w:rPr>
          <w:rFonts w:hint="eastAsia" w:ascii="MS UI Gothic" w:eastAsia="MS UI Gothic"/>
          <w:spacing w:val="17"/>
          <w:w w:val="80"/>
        </w:rPr>
        <w:t xml:space="preserve">、 </w:t>
      </w:r>
      <w:r>
        <w:rPr>
          <w:spacing w:val="3"/>
          <w:w w:val="105"/>
        </w:rPr>
        <w:t>上下山绞车房</w:t>
      </w:r>
      <w:r>
        <w:rPr>
          <w:rFonts w:hint="eastAsia" w:ascii="MS UI Gothic" w:eastAsia="MS UI Gothic"/>
          <w:spacing w:val="17"/>
          <w:w w:val="80"/>
        </w:rPr>
        <w:t xml:space="preserve">、 </w:t>
      </w:r>
      <w:r>
        <w:rPr>
          <w:spacing w:val="3"/>
          <w:w w:val="105"/>
        </w:rPr>
        <w:t>水泵房</w:t>
      </w:r>
      <w:r>
        <w:rPr>
          <w:rFonts w:hint="eastAsia" w:ascii="MS UI Gothic" w:eastAsia="MS UI Gothic"/>
          <w:spacing w:val="17"/>
          <w:w w:val="80"/>
        </w:rPr>
        <w:t xml:space="preserve">、 </w:t>
      </w:r>
      <w:r>
        <w:rPr>
          <w:spacing w:val="2"/>
          <w:w w:val="105"/>
        </w:rPr>
        <w:t>带式输</w:t>
      </w:r>
      <w:r>
        <w:rPr>
          <w:spacing w:val="4"/>
        </w:rPr>
        <w:t>送机集中控制硐室等主要机电设备硐室</w:t>
      </w:r>
      <w:r>
        <w:rPr>
          <w:rFonts w:hint="eastAsia" w:ascii="MS UI Gothic" w:eastAsia="MS UI Gothic"/>
          <w:w w:val="80"/>
        </w:rPr>
        <w:t>、</w:t>
      </w:r>
      <w:r>
        <w:rPr>
          <w:spacing w:val="3"/>
          <w:w w:val="105"/>
        </w:rPr>
        <w:t>采煤工作面</w:t>
      </w:r>
      <w:r>
        <w:rPr>
          <w:rFonts w:hint="eastAsia" w:ascii="MS UI Gothic" w:eastAsia="MS UI Gothic"/>
          <w:spacing w:val="12"/>
          <w:w w:val="80"/>
        </w:rPr>
        <w:t xml:space="preserve">、 </w:t>
      </w:r>
      <w:r>
        <w:rPr>
          <w:spacing w:val="3"/>
          <w:w w:val="105"/>
        </w:rPr>
        <w:t>掘进工作面</w:t>
      </w:r>
      <w:r>
        <w:rPr>
          <w:rFonts w:hint="eastAsia" w:ascii="MS UI Gothic" w:eastAsia="MS UI Gothic"/>
          <w:spacing w:val="12"/>
          <w:w w:val="80"/>
        </w:rPr>
        <w:t xml:space="preserve">、 </w:t>
      </w:r>
      <w:r>
        <w:rPr>
          <w:spacing w:val="2"/>
          <w:w w:val="105"/>
        </w:rPr>
        <w:t>突出煤层采掘</w:t>
      </w:r>
      <w:r>
        <w:rPr>
          <w:spacing w:val="3"/>
          <w:w w:val="105"/>
        </w:rPr>
        <w:t>工作面附近</w:t>
      </w:r>
      <w:r>
        <w:rPr>
          <w:rFonts w:hint="eastAsia" w:ascii="MS UI Gothic" w:eastAsia="MS UI Gothic"/>
          <w:w w:val="80"/>
        </w:rPr>
        <w:t xml:space="preserve">、 </w:t>
      </w:r>
      <w:r>
        <w:rPr>
          <w:spacing w:val="11"/>
          <w:w w:val="105"/>
        </w:rPr>
        <w:t>爆破时撤离人员集中地点</w:t>
      </w:r>
      <w:r>
        <w:rPr>
          <w:rFonts w:hint="eastAsia" w:ascii="MS UI Gothic" w:eastAsia="MS UI Gothic"/>
          <w:w w:val="80"/>
        </w:rPr>
        <w:t>、</w:t>
      </w:r>
      <w:r>
        <w:rPr>
          <w:spacing w:val="3"/>
          <w:w w:val="105"/>
        </w:rPr>
        <w:t>突出矿井井下爆破起爆点</w:t>
      </w:r>
      <w:r>
        <w:rPr>
          <w:rFonts w:hint="eastAsia" w:ascii="MS UI Gothic" w:eastAsia="MS UI Gothic"/>
          <w:spacing w:val="-2"/>
          <w:w w:val="80"/>
        </w:rPr>
        <w:t xml:space="preserve">、 </w:t>
      </w:r>
      <w:r>
        <w:rPr>
          <w:spacing w:val="2"/>
          <w:w w:val="105"/>
        </w:rPr>
        <w:t>采区和水平最</w:t>
      </w:r>
      <w:r>
        <w:rPr>
          <w:spacing w:val="3"/>
          <w:w w:val="105"/>
        </w:rPr>
        <w:t>高点</w:t>
      </w:r>
      <w:r>
        <w:rPr>
          <w:rFonts w:hint="eastAsia" w:ascii="MS UI Gothic" w:eastAsia="MS UI Gothic"/>
          <w:spacing w:val="17"/>
          <w:w w:val="80"/>
        </w:rPr>
        <w:t xml:space="preserve">、 </w:t>
      </w:r>
      <w:r>
        <w:rPr>
          <w:spacing w:val="3"/>
          <w:w w:val="105"/>
        </w:rPr>
        <w:t>避难硐室</w:t>
      </w:r>
      <w:r>
        <w:rPr>
          <w:rFonts w:hint="eastAsia" w:ascii="MS UI Gothic" w:eastAsia="MS UI Gothic"/>
          <w:spacing w:val="17"/>
          <w:w w:val="80"/>
        </w:rPr>
        <w:t xml:space="preserve">、 </w:t>
      </w:r>
      <w:r>
        <w:rPr>
          <w:spacing w:val="3"/>
          <w:w w:val="105"/>
        </w:rPr>
        <w:t>瓦斯抽采泵房</w:t>
      </w:r>
      <w:r>
        <w:rPr>
          <w:rFonts w:hint="eastAsia" w:ascii="MS UI Gothic" w:eastAsia="MS UI Gothic"/>
          <w:spacing w:val="17"/>
          <w:w w:val="80"/>
        </w:rPr>
        <w:t xml:space="preserve">、 </w:t>
      </w:r>
      <w:r>
        <w:rPr>
          <w:spacing w:val="2"/>
          <w:w w:val="105"/>
        </w:rPr>
        <w:t>爆炸物</w:t>
      </w:r>
      <w:r>
        <w:rPr>
          <w:spacing w:val="3"/>
          <w:w w:val="105"/>
        </w:rPr>
        <w:t>品库等</w:t>
      </w:r>
      <w:r>
        <w:rPr>
          <w:rFonts w:hint="eastAsia" w:ascii="MS UI Gothic" w:eastAsia="MS UI Gothic"/>
          <w:w w:val="80"/>
        </w:rPr>
        <w:t>ꎮ</w:t>
      </w:r>
    </w:p>
    <w:p>
      <w:pPr>
        <w:pStyle w:val="6"/>
        <w:spacing w:line="295" w:lineRule="auto"/>
        <w:ind w:left="383" w:right="126"/>
        <w:rPr>
          <w:rFonts w:hint="eastAsia" w:ascii="MS UI Gothic" w:eastAsia="MS UI Gothic"/>
        </w:rPr>
      </w:pPr>
      <w:r>
        <w:t>有线调度通信系统应当具有选呼</w:t>
      </w:r>
      <w:r>
        <w:rPr>
          <w:rFonts w:hint="eastAsia" w:ascii="MS UI Gothic" w:eastAsia="MS UI Gothic"/>
        </w:rPr>
        <w:t xml:space="preserve">、 </w:t>
      </w:r>
      <w:r>
        <w:t>急呼</w:t>
      </w:r>
      <w:r>
        <w:rPr>
          <w:rFonts w:hint="eastAsia" w:ascii="MS UI Gothic" w:eastAsia="MS UI Gothic"/>
        </w:rPr>
        <w:t xml:space="preserve">、 </w:t>
      </w:r>
      <w:r>
        <w:t>全呼</w:t>
      </w:r>
      <w:r>
        <w:rPr>
          <w:rFonts w:hint="eastAsia" w:ascii="MS UI Gothic" w:eastAsia="MS UI Gothic"/>
        </w:rPr>
        <w:t xml:space="preserve">、 </w:t>
      </w:r>
      <w:r>
        <w:t>强插</w:t>
      </w:r>
      <w:r>
        <w:rPr>
          <w:rFonts w:hint="eastAsia" w:ascii="MS UI Gothic" w:eastAsia="MS UI Gothic"/>
        </w:rPr>
        <w:t xml:space="preserve">、 </w:t>
      </w:r>
      <w:r>
        <w:t>强拆</w:t>
      </w:r>
      <w:r>
        <w:rPr>
          <w:rFonts w:hint="eastAsia" w:ascii="MS UI Gothic" w:eastAsia="MS UI Gothic"/>
        </w:rPr>
        <w:t xml:space="preserve">、 </w:t>
      </w:r>
      <w:r>
        <w:t>监听</w:t>
      </w:r>
      <w:r>
        <w:rPr>
          <w:rFonts w:hint="eastAsia" w:ascii="MS UI Gothic" w:eastAsia="MS UI Gothic"/>
        </w:rPr>
        <w:t xml:space="preserve">、 </w:t>
      </w:r>
      <w:r>
        <w:t>录音等功能</w:t>
      </w:r>
      <w:r>
        <w:rPr>
          <w:rFonts w:hint="eastAsia" w:ascii="MS UI Gothic" w:eastAsia="MS UI Gothic"/>
          <w:w w:val="80"/>
        </w:rPr>
        <w:t>ꎮ</w:t>
      </w:r>
    </w:p>
    <w:p>
      <w:pPr>
        <w:pStyle w:val="6"/>
        <w:spacing w:line="295" w:lineRule="auto"/>
        <w:ind w:left="377" w:right="126" w:firstLine="425"/>
        <w:rPr>
          <w:rFonts w:hint="eastAsia" w:ascii="MS UI Gothic" w:eastAsia="MS UI Gothic"/>
        </w:rPr>
      </w:pPr>
      <w:r>
        <w:t xml:space="preserve">有线调度通信系统的调度电话至调度交换机 </w:t>
      </w:r>
      <w:r>
        <w:rPr>
          <w:rFonts w:hint="eastAsia" w:ascii="MS UI Gothic" w:eastAsia="MS UI Gothic"/>
          <w:w w:val="145"/>
        </w:rPr>
        <w:t xml:space="preserve">( </w:t>
      </w:r>
      <w:r>
        <w:t>含安全栅</w:t>
      </w:r>
      <w:r>
        <w:rPr>
          <w:rFonts w:hint="eastAsia" w:ascii="MS UI Gothic" w:eastAsia="MS UI Gothic"/>
          <w:w w:val="145"/>
        </w:rPr>
        <w:t xml:space="preserve">) </w:t>
      </w:r>
      <w:r>
        <w:t>必须采用矿用通信电缆直接连接</w:t>
      </w:r>
      <w:r>
        <w:rPr>
          <w:rFonts w:hint="eastAsia" w:ascii="MS UI Gothic" w:eastAsia="MS UI Gothic"/>
          <w:w w:val="85"/>
        </w:rPr>
        <w:t xml:space="preserve">ꎬ </w:t>
      </w:r>
      <w:r>
        <w:t>严禁利用大地作回路</w:t>
      </w:r>
      <w:r>
        <w:rPr>
          <w:rFonts w:hint="eastAsia" w:ascii="MS UI Gothic" w:eastAsia="MS UI Gothic"/>
          <w:w w:val="85"/>
        </w:rPr>
        <w:t xml:space="preserve">ꎮ </w:t>
      </w:r>
      <w:r>
        <w:t>严禁调度电话由井下就地供电</w:t>
      </w:r>
      <w:r>
        <w:rPr>
          <w:rFonts w:hint="eastAsia" w:ascii="MS UI Gothic" w:eastAsia="MS UI Gothic"/>
          <w:w w:val="85"/>
        </w:rPr>
        <w:t xml:space="preserve">ꎬ </w:t>
      </w:r>
      <w:r>
        <w:t>或者经有源中继器接调度交换机</w:t>
      </w:r>
      <w:r>
        <w:rPr>
          <w:rFonts w:hint="eastAsia" w:ascii="MS UI Gothic" w:eastAsia="MS UI Gothic"/>
          <w:w w:val="85"/>
        </w:rPr>
        <w:t xml:space="preserve">ꎮ </w:t>
      </w:r>
      <w:r>
        <w:t>调度电话至调度交换机的无中继器通信距离应当不 小 于</w:t>
      </w:r>
      <w:r>
        <w:rPr>
          <w:rFonts w:hint="eastAsia" w:ascii="MS UI Gothic" w:eastAsia="MS UI Gothic"/>
          <w:w w:val="85"/>
        </w:rPr>
        <w:t xml:space="preserve">１０ </w:t>
      </w:r>
      <w:r>
        <w:rPr>
          <w:rFonts w:hint="eastAsia" w:ascii="MS UI Gothic" w:eastAsia="MS UI Gothic"/>
        </w:rPr>
        <w:t>ｋｍ</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３２２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88" o:spid="_x0000_s1988" o:spt="203" style="height:2.15pt;width:398.25pt;" coordsize="7965,43">
            <o:lock v:ext="edit"/>
            <v:line id="_x0000_s1989" o:spid="_x0000_s1989" o:spt="20" style="position:absolute;left:0;top:39;height:0;width:7965;" stroked="t" coordsize="21600,21600">
              <v:path arrowok="t"/>
              <v:fill focussize="0,0"/>
              <v:stroke weight="0.388031496062992pt" color="#231F20"/>
              <v:imagedata o:title=""/>
              <o:lock v:ext="edit"/>
            </v:line>
            <v:line id="_x0000_s1990" o:spid="_x0000_s199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5" w:line="295" w:lineRule="auto"/>
        <w:ind w:right="39"/>
        <w:rPr>
          <w:rFonts w:hint="eastAsia" w:ascii="MS UI Gothic" w:eastAsia="MS UI Gothic"/>
        </w:rPr>
      </w:pPr>
      <w:r>
        <w:rPr>
          <w:w w:val="105"/>
        </w:rPr>
        <w:t>第五百零八条 矿井移动通信系统应</w:t>
      </w:r>
      <w:r>
        <w:rPr>
          <w:w w:val="110"/>
        </w:rPr>
        <w:t>当具有下列功能</w:t>
      </w:r>
      <w:r>
        <w:rPr>
          <w:rFonts w:hint="eastAsia" w:ascii="MS UI Gothic" w:eastAsia="MS UI Gothic"/>
          <w:w w:val="235"/>
        </w:rPr>
        <w:t>:</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选呼</w:t>
      </w:r>
      <w:r>
        <w:rPr>
          <w:rFonts w:hint="eastAsia" w:ascii="MS UI Gothic" w:eastAsia="MS UI Gothic"/>
          <w:w w:val="80"/>
        </w:rPr>
        <w:t xml:space="preserve">、 </w:t>
      </w:r>
      <w:r>
        <w:rPr>
          <w:w w:val="105"/>
        </w:rPr>
        <w:t>组呼</w:t>
      </w:r>
      <w:r>
        <w:rPr>
          <w:rFonts w:hint="eastAsia" w:ascii="MS UI Gothic" w:eastAsia="MS UI Gothic"/>
          <w:w w:val="80"/>
        </w:rPr>
        <w:t xml:space="preserve">、 </w:t>
      </w:r>
      <w:r>
        <w:rPr>
          <w:w w:val="105"/>
        </w:rPr>
        <w:t>全呼等</w:t>
      </w:r>
      <w:r>
        <w:rPr>
          <w:rFonts w:hint="eastAsia" w:ascii="MS UI Gothic" w:eastAsia="MS UI Gothic"/>
          <w:w w:val="80"/>
        </w:rPr>
        <w:t>ꎮ</w:t>
      </w:r>
    </w:p>
    <w:p>
      <w:pPr>
        <w:pStyle w:val="6"/>
        <w:spacing w:before="58" w:line="295" w:lineRule="auto"/>
        <w:ind w:right="39"/>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移动台与移动台</w:t>
      </w:r>
      <w:r>
        <w:rPr>
          <w:rFonts w:hint="eastAsia" w:ascii="MS UI Gothic" w:eastAsia="MS UI Gothic"/>
          <w:w w:val="80"/>
        </w:rPr>
        <w:t xml:space="preserve">、  </w:t>
      </w:r>
      <w:r>
        <w:rPr>
          <w:w w:val="105"/>
        </w:rPr>
        <w:t>移动台与固定电话之间互联互通</w:t>
      </w:r>
      <w:r>
        <w:rPr>
          <w:rFonts w:hint="eastAsia" w:ascii="MS UI Gothic" w:eastAsia="MS UI Gothic"/>
          <w:w w:val="80"/>
        </w:rPr>
        <w:t>ꎮ</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5"/>
        </w:rPr>
        <w:t>三</w:t>
      </w:r>
      <w:r>
        <w:rPr>
          <w:rFonts w:hint="eastAsia" w:ascii="MS UI Gothic" w:eastAsia="MS UI Gothic"/>
          <w:w w:val="150"/>
        </w:rPr>
        <w:t xml:space="preserve">) </w:t>
      </w:r>
      <w:r>
        <w:rPr>
          <w:w w:val="115"/>
        </w:rPr>
        <w:t>短信收发</w:t>
      </w:r>
      <w:r>
        <w:rPr>
          <w:rFonts w:hint="eastAsia" w:ascii="MS UI Gothic" w:eastAsia="MS UI Gothic"/>
          <w:w w:val="80"/>
        </w:rPr>
        <w:t>ꎮ</w:t>
      </w:r>
    </w:p>
    <w:p>
      <w:pPr>
        <w:pStyle w:val="6"/>
        <w:spacing w:before="58" w:line="295" w:lineRule="auto"/>
        <w:ind w:left="543" w:right="837" w:firstLine="0"/>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通信记录存储和查询</w:t>
      </w:r>
      <w:r>
        <w:rPr>
          <w:rFonts w:hint="eastAsia" w:ascii="MS UI Gothic" w:eastAsia="MS UI Gothic"/>
          <w:w w:val="80"/>
        </w:rPr>
        <w:t>ꎮ</w:t>
      </w: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录音和查询</w:t>
      </w:r>
      <w:r>
        <w:rPr>
          <w:rFonts w:hint="eastAsia" w:ascii="MS UI Gothic" w:eastAsia="MS UI Gothic"/>
          <w:w w:val="80"/>
        </w:rPr>
        <w:t>ꎮ</w:t>
      </w:r>
    </w:p>
    <w:p>
      <w:pPr>
        <w:pStyle w:val="6"/>
        <w:spacing w:line="295" w:lineRule="auto"/>
        <w:ind w:right="39"/>
        <w:rPr>
          <w:rFonts w:hint="eastAsia" w:ascii="MS UI Gothic" w:eastAsia="MS UI Gothic"/>
        </w:rPr>
      </w:pPr>
      <w:r>
        <w:t>第五百零九条 安装图像监视系统的矿井</w:t>
      </w:r>
      <w:r>
        <w:rPr>
          <w:rFonts w:hint="eastAsia" w:ascii="MS UI Gothic" w:eastAsia="MS UI Gothic"/>
          <w:w w:val="80"/>
        </w:rPr>
        <w:t xml:space="preserve">ꎬ </w:t>
      </w:r>
      <w:r>
        <w:t>应当在矿调度室设置集中显示装置</w:t>
      </w:r>
      <w:r>
        <w:rPr>
          <w:rFonts w:hint="eastAsia" w:ascii="MS UI Gothic" w:eastAsia="MS UI Gothic"/>
          <w:w w:val="80"/>
        </w:rPr>
        <w:t xml:space="preserve">ꎬ </w:t>
      </w:r>
      <w:r>
        <w:t>并具有存储和查询功能</w:t>
      </w:r>
      <w:r>
        <w:rPr>
          <w:rFonts w:hint="eastAsia" w:ascii="MS UI Gothic" w:eastAsia="MS UI Gothic"/>
          <w:w w:val="80"/>
        </w:rPr>
        <w:t>ꎮ</w:t>
      </w:r>
    </w:p>
    <w:p>
      <w:pPr>
        <w:pStyle w:val="6"/>
        <w:tabs>
          <w:tab w:val="left" w:pos="1906"/>
        </w:tabs>
        <w:spacing w:before="154"/>
        <w:ind w:left="1067" w:firstLine="0"/>
        <w:jc w:val="left"/>
      </w:pPr>
      <w:r>
        <w:rPr>
          <w:spacing w:val="3"/>
          <w:w w:val="105"/>
        </w:rPr>
        <w:t>第四</w:t>
      </w:r>
      <w:r>
        <w:rPr>
          <w:w w:val="105"/>
        </w:rPr>
        <w:t>编</w:t>
      </w:r>
      <w:r>
        <w:rPr>
          <w:w w:val="105"/>
        </w:rPr>
        <w:tab/>
      </w:r>
      <w:r>
        <w:rPr>
          <w:w w:val="105"/>
        </w:rPr>
        <w:t>露</w:t>
      </w:r>
      <w:r>
        <w:rPr>
          <w:spacing w:val="-38"/>
          <w:w w:val="105"/>
        </w:rPr>
        <w:t xml:space="preserve"> </w:t>
      </w:r>
      <w:r>
        <w:rPr>
          <w:w w:val="105"/>
        </w:rPr>
        <w:t>天</w:t>
      </w:r>
      <w:r>
        <w:rPr>
          <w:spacing w:val="-38"/>
          <w:w w:val="105"/>
        </w:rPr>
        <w:t xml:space="preserve"> </w:t>
      </w:r>
      <w:r>
        <w:rPr>
          <w:w w:val="105"/>
        </w:rPr>
        <w:t>煤</w:t>
      </w:r>
      <w:r>
        <w:rPr>
          <w:spacing w:val="-38"/>
          <w:w w:val="105"/>
        </w:rPr>
        <w:t xml:space="preserve"> </w:t>
      </w:r>
      <w:r>
        <w:rPr>
          <w:w w:val="105"/>
        </w:rPr>
        <w:t>矿</w:t>
      </w:r>
    </w:p>
    <w:p>
      <w:pPr>
        <w:pStyle w:val="6"/>
        <w:ind w:left="0" w:firstLine="0"/>
        <w:jc w:val="left"/>
        <w:rPr>
          <w:sz w:val="29"/>
        </w:rPr>
      </w:pPr>
    </w:p>
    <w:p>
      <w:pPr>
        <w:pStyle w:val="6"/>
        <w:tabs>
          <w:tab w:val="left" w:pos="1906"/>
        </w:tabs>
        <w:spacing w:before="1"/>
        <w:ind w:left="1067" w:firstLine="0"/>
        <w:jc w:val="left"/>
      </w:pPr>
      <w:r>
        <w:rPr>
          <w:spacing w:val="3"/>
          <w:w w:val="105"/>
        </w:rPr>
        <w:t>第一</w:t>
      </w:r>
      <w:r>
        <w:rPr>
          <w:w w:val="105"/>
        </w:rPr>
        <w:t>章</w:t>
      </w:r>
      <w:r>
        <w:rPr>
          <w:w w:val="105"/>
        </w:rPr>
        <w:tab/>
      </w:r>
      <w:r>
        <w:rPr>
          <w:w w:val="105"/>
        </w:rPr>
        <w:t>一</w:t>
      </w:r>
      <w:r>
        <w:rPr>
          <w:spacing w:val="-38"/>
          <w:w w:val="105"/>
        </w:rPr>
        <w:t xml:space="preserve"> </w:t>
      </w:r>
      <w:r>
        <w:rPr>
          <w:w w:val="105"/>
        </w:rPr>
        <w:t>般</w:t>
      </w:r>
      <w:r>
        <w:rPr>
          <w:spacing w:val="-38"/>
          <w:w w:val="105"/>
        </w:rPr>
        <w:t xml:space="preserve"> </w:t>
      </w:r>
      <w:r>
        <w:rPr>
          <w:w w:val="105"/>
        </w:rPr>
        <w:t>规</w:t>
      </w:r>
      <w:r>
        <w:rPr>
          <w:spacing w:val="-38"/>
          <w:w w:val="105"/>
        </w:rPr>
        <w:t xml:space="preserve"> </w:t>
      </w:r>
      <w:r>
        <w:rPr>
          <w:w w:val="105"/>
        </w:rPr>
        <w:t>定</w:t>
      </w:r>
    </w:p>
    <w:p>
      <w:pPr>
        <w:pStyle w:val="6"/>
        <w:spacing w:before="215" w:line="295" w:lineRule="auto"/>
        <w:ind w:right="39"/>
        <w:rPr>
          <w:rFonts w:hint="eastAsia" w:ascii="MS UI Gothic" w:eastAsia="MS UI Gothic"/>
        </w:rPr>
      </w:pPr>
      <w:r>
        <w:t>第五百一十条 多工种</w:t>
      </w:r>
      <w:r>
        <w:rPr>
          <w:rFonts w:hint="eastAsia" w:ascii="MS UI Gothic" w:eastAsia="MS UI Gothic"/>
          <w:w w:val="80"/>
        </w:rPr>
        <w:t xml:space="preserve">、 </w:t>
      </w:r>
      <w:r>
        <w:t>多设备联合作业时</w:t>
      </w:r>
      <w:r>
        <w:rPr>
          <w:rFonts w:hint="eastAsia" w:ascii="MS UI Gothic" w:eastAsia="MS UI Gothic"/>
          <w:w w:val="80"/>
        </w:rPr>
        <w:t xml:space="preserve">ꎬ </w:t>
      </w:r>
      <w:r>
        <w:t>必须制定安全措施</w:t>
      </w:r>
      <w:r>
        <w:rPr>
          <w:rFonts w:hint="eastAsia" w:ascii="MS UI Gothic" w:eastAsia="MS UI Gothic"/>
          <w:w w:val="80"/>
        </w:rPr>
        <w:t xml:space="preserve">ꎬ </w:t>
      </w:r>
      <w:r>
        <w:t>并符合相关技术标准</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第五百一十一条 采用铁路运输的露</w:t>
      </w:r>
      <w:r>
        <w:t>天采场主要区段的上下平盘之间应当设人行通路或者梯子</w:t>
      </w:r>
      <w:r>
        <w:rPr>
          <w:rFonts w:hint="eastAsia" w:ascii="MS UI Gothic" w:eastAsia="MS UI Gothic"/>
          <w:w w:val="80"/>
        </w:rPr>
        <w:t xml:space="preserve">ꎬ </w:t>
      </w:r>
      <w:r>
        <w:t>并按有关规定在梯子两</w:t>
      </w:r>
      <w:r>
        <w:rPr>
          <w:w w:val="105"/>
        </w:rPr>
        <w:t>侧设置安全护栏</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第五百一十二条 在露天煤矿内行走</w:t>
      </w:r>
      <w:r>
        <w:rPr>
          <w:w w:val="110"/>
        </w:rPr>
        <w:t>的人员必须遵守下列规定</w:t>
      </w:r>
      <w:r>
        <w:rPr>
          <w:rFonts w:hint="eastAsia" w:ascii="MS UI Gothic" w:eastAsia="MS UI Gothic"/>
          <w:w w:val="235"/>
        </w:rPr>
        <w:t>:</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必须走人行通路或者梯子</w:t>
      </w:r>
      <w:r>
        <w:rPr>
          <w:rFonts w:hint="eastAsia" w:ascii="MS UI Gothic" w:eastAsia="MS UI Gothic"/>
          <w:w w:val="80"/>
        </w:rPr>
        <w:t>ꎮ</w:t>
      </w:r>
    </w:p>
    <w:p>
      <w:pPr>
        <w:pStyle w:val="6"/>
        <w:spacing w:before="52"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因工作需要沿铁路线和矿山道</w:t>
      </w:r>
      <w:r>
        <w:t>路行走的人员</w:t>
      </w:r>
      <w:r>
        <w:rPr>
          <w:rFonts w:hint="eastAsia" w:ascii="MS UI Gothic" w:eastAsia="MS UI Gothic"/>
          <w:w w:val="80"/>
        </w:rPr>
        <w:t xml:space="preserve">ꎬ </w:t>
      </w:r>
      <w:r>
        <w:t>必须时刻注意前后方向来</w:t>
      </w:r>
      <w:r>
        <w:rPr>
          <w:w w:val="105"/>
        </w:rPr>
        <w:t>车</w:t>
      </w:r>
      <w:r>
        <w:rPr>
          <w:rFonts w:hint="eastAsia" w:ascii="MS UI Gothic" w:eastAsia="MS UI Gothic"/>
          <w:w w:val="105"/>
        </w:rPr>
        <w:t xml:space="preserve"> </w:t>
      </w:r>
      <w:r>
        <w:rPr>
          <w:w w:val="105"/>
        </w:rPr>
        <w:t>躲车时</w:t>
      </w:r>
      <w:r>
        <w:rPr>
          <w:rFonts w:hint="eastAsia" w:ascii="MS UI Gothic" w:eastAsia="MS UI Gothic"/>
          <w:w w:val="80"/>
        </w:rPr>
        <w:t xml:space="preserve">ꎬ </w:t>
      </w:r>
      <w:r>
        <w:rPr>
          <w:w w:val="105"/>
        </w:rPr>
        <w:t>必须躲到安全地点</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横过铁路线或者矿山道路时</w:t>
      </w:r>
      <w:r>
        <w:rPr>
          <w:rFonts w:hint="eastAsia" w:ascii="MS UI Gothic" w:eastAsia="MS UI Gothic"/>
          <w:w w:val="80"/>
        </w:rPr>
        <w:t>ꎬ</w:t>
      </w:r>
      <w:r>
        <w:rPr>
          <w:w w:val="105"/>
        </w:rPr>
        <w:t>必须止步瞭望</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跨越带式输送机时</w:t>
      </w:r>
      <w:r>
        <w:rPr>
          <w:rFonts w:hint="eastAsia" w:ascii="MS UI Gothic" w:eastAsia="MS UI Gothic"/>
          <w:w w:val="80"/>
        </w:rPr>
        <w:t xml:space="preserve">ꎬ </w:t>
      </w:r>
      <w:r>
        <w:rPr>
          <w:w w:val="105"/>
        </w:rPr>
        <w:t>必须沿着装有栏杆的栈桥通过</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严禁在有塌落危险的坡顶</w:t>
      </w:r>
      <w:r>
        <w:rPr>
          <w:rFonts w:hint="eastAsia" w:ascii="MS UI Gothic" w:eastAsia="MS UI Gothic"/>
          <w:w w:val="80"/>
        </w:rPr>
        <w:t xml:space="preserve">、  </w:t>
      </w:r>
      <w:r>
        <w:rPr>
          <w:w w:val="105"/>
        </w:rPr>
        <w:t>坡底行走或者逗留</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第五百一十三条 严禁非作业人员和车辆未经批准进入作业区</w:t>
      </w:r>
      <w:r>
        <w:rPr>
          <w:rFonts w:hint="eastAsia" w:ascii="MS UI Gothic" w:eastAsia="MS UI Gothic"/>
          <w:w w:val="80"/>
        </w:rPr>
        <w:t>ꎮ</w:t>
      </w:r>
    </w:p>
    <w:p>
      <w:pPr>
        <w:pStyle w:val="6"/>
        <w:spacing w:line="295" w:lineRule="auto"/>
        <w:ind w:right="39"/>
      </w:pPr>
      <w:r>
        <w:t>第五百一十四条 采场内有危险的火区</w:t>
      </w:r>
      <w:r>
        <w:rPr>
          <w:rFonts w:hint="eastAsia" w:ascii="MS UI Gothic" w:eastAsia="MS UI Gothic"/>
          <w:w w:val="80"/>
        </w:rPr>
        <w:t xml:space="preserve">、 </w:t>
      </w:r>
      <w:r>
        <w:t>老空区</w:t>
      </w:r>
      <w:r>
        <w:rPr>
          <w:rFonts w:hint="eastAsia" w:ascii="MS UI Gothic" w:eastAsia="MS UI Gothic"/>
          <w:w w:val="80"/>
        </w:rPr>
        <w:t xml:space="preserve">、 </w:t>
      </w:r>
      <w:r>
        <w:t>滑坡区等地点</w:t>
      </w:r>
      <w:r>
        <w:rPr>
          <w:rFonts w:hint="eastAsia" w:ascii="MS UI Gothic" w:eastAsia="MS UI Gothic"/>
          <w:w w:val="80"/>
        </w:rPr>
        <w:t xml:space="preserve">ꎬ </w:t>
      </w:r>
      <w:r>
        <w:t>应当充填或者设置栅栏</w:t>
      </w:r>
      <w:r>
        <w:rPr>
          <w:rFonts w:hint="eastAsia" w:ascii="MS UI Gothic" w:eastAsia="MS UI Gothic"/>
          <w:w w:val="80"/>
        </w:rPr>
        <w:t xml:space="preserve">ꎬ </w:t>
      </w:r>
      <w:r>
        <w:t>并设置警示标志</w:t>
      </w:r>
      <w:r>
        <w:rPr>
          <w:rFonts w:hint="eastAsia" w:ascii="MS UI Gothic" w:eastAsia="MS UI Gothic"/>
          <w:w w:val="80"/>
        </w:rPr>
        <w:t xml:space="preserve">ꎻ </w:t>
      </w:r>
      <w:r>
        <w:t>地面</w:t>
      </w:r>
      <w:r>
        <w:rPr>
          <w:rFonts w:hint="eastAsia" w:ascii="MS UI Gothic" w:eastAsia="MS UI Gothic"/>
          <w:w w:val="80"/>
        </w:rPr>
        <w:t xml:space="preserve">、 </w:t>
      </w:r>
      <w:r>
        <w:t>采</w:t>
      </w:r>
    </w:p>
    <w:p>
      <w:pPr>
        <w:pStyle w:val="6"/>
        <w:spacing w:before="85" w:line="295" w:lineRule="auto"/>
        <w:ind w:right="440" w:firstLine="0"/>
        <w:rPr>
          <w:rFonts w:hint="eastAsia" w:ascii="MS UI Gothic" w:eastAsia="MS UI Gothic"/>
        </w:rPr>
      </w:pPr>
      <w:r>
        <w:br w:type="column"/>
      </w:r>
      <w:r>
        <w:t>场及排土场内临时设置变压器时应当设围栏</w:t>
      </w:r>
      <w:r>
        <w:rPr>
          <w:rFonts w:hint="eastAsia" w:ascii="MS UI Gothic" w:eastAsia="MS UI Gothic"/>
          <w:w w:val="80"/>
        </w:rPr>
        <w:t xml:space="preserve">ꎬ </w:t>
      </w:r>
      <w:r>
        <w:t>配电柜</w:t>
      </w:r>
      <w:r>
        <w:rPr>
          <w:rFonts w:hint="eastAsia" w:ascii="MS UI Gothic" w:eastAsia="MS UI Gothic"/>
          <w:w w:val="80"/>
        </w:rPr>
        <w:t xml:space="preserve">、 </w:t>
      </w:r>
      <w:r>
        <w:t>箱</w:t>
      </w:r>
      <w:r>
        <w:rPr>
          <w:rFonts w:hint="eastAsia" w:ascii="MS UI Gothic" w:eastAsia="MS UI Gothic"/>
          <w:w w:val="80"/>
        </w:rPr>
        <w:t xml:space="preserve">、 </w:t>
      </w:r>
      <w:r>
        <w:t>盘应当加锁</w:t>
      </w:r>
      <w:r>
        <w:rPr>
          <w:rFonts w:hint="eastAsia" w:ascii="MS UI Gothic" w:eastAsia="MS UI Gothic"/>
          <w:w w:val="80"/>
        </w:rPr>
        <w:t xml:space="preserve">ꎬ </w:t>
      </w:r>
      <w:r>
        <w:t>并设置明显的防触电标志</w:t>
      </w:r>
      <w:r>
        <w:rPr>
          <w:rFonts w:hint="eastAsia" w:ascii="MS UI Gothic" w:eastAsia="MS UI Gothic"/>
          <w:w w:val="80"/>
        </w:rPr>
        <w:t xml:space="preserve">ꎻ </w:t>
      </w:r>
      <w:r>
        <w:t>设备停放场</w:t>
      </w:r>
      <w:r>
        <w:rPr>
          <w:rFonts w:hint="eastAsia" w:ascii="MS UI Gothic" w:eastAsia="MS UI Gothic"/>
          <w:w w:val="80"/>
        </w:rPr>
        <w:t xml:space="preserve">、 </w:t>
      </w:r>
      <w:r>
        <w:t>炸药厂</w:t>
      </w:r>
      <w:r>
        <w:rPr>
          <w:rFonts w:hint="eastAsia" w:ascii="MS UI Gothic" w:eastAsia="MS UI Gothic"/>
          <w:w w:val="80"/>
        </w:rPr>
        <w:t>、</w:t>
      </w:r>
      <w:r>
        <w:t>爆炸物品库</w:t>
      </w:r>
      <w:r>
        <w:rPr>
          <w:rFonts w:hint="eastAsia" w:ascii="MS UI Gothic" w:eastAsia="MS UI Gothic"/>
          <w:w w:val="80"/>
        </w:rPr>
        <w:t xml:space="preserve">、 </w:t>
      </w:r>
      <w:r>
        <w:t>油库</w:t>
      </w:r>
      <w:r>
        <w:rPr>
          <w:rFonts w:hint="eastAsia" w:ascii="MS UI Gothic" w:eastAsia="MS UI Gothic"/>
          <w:w w:val="80"/>
        </w:rPr>
        <w:t xml:space="preserve">、 </w:t>
      </w:r>
      <w:r>
        <w:t>加油站和物资仓库等易燃易爆场所</w:t>
      </w:r>
      <w:r>
        <w:rPr>
          <w:rFonts w:hint="eastAsia" w:ascii="MS UI Gothic" w:eastAsia="MS UI Gothic"/>
          <w:w w:val="80"/>
        </w:rPr>
        <w:t xml:space="preserve">ꎬ </w:t>
      </w:r>
      <w:r>
        <w:t>必须设置防爆</w:t>
      </w:r>
      <w:r>
        <w:rPr>
          <w:rFonts w:hint="eastAsia" w:ascii="MS UI Gothic" w:eastAsia="MS UI Gothic"/>
          <w:w w:val="80"/>
        </w:rPr>
        <w:t xml:space="preserve">、 </w:t>
      </w:r>
      <w:r>
        <w:t>防火和危险警示标志</w:t>
      </w:r>
      <w:r>
        <w:rPr>
          <w:rFonts w:hint="eastAsia" w:ascii="MS UI Gothic" w:eastAsia="MS UI Gothic"/>
          <w:w w:val="80"/>
        </w:rPr>
        <w:t xml:space="preserve">ꎻ </w:t>
      </w:r>
      <w:r>
        <w:t>矿山道路必须设置限速</w:t>
      </w:r>
      <w:r>
        <w:rPr>
          <w:rFonts w:hint="eastAsia" w:ascii="MS UI Gothic" w:eastAsia="MS UI Gothic"/>
          <w:w w:val="80"/>
        </w:rPr>
        <w:t xml:space="preserve">、 </w:t>
      </w:r>
      <w:r>
        <w:t>道口等路标</w:t>
      </w:r>
      <w:r>
        <w:rPr>
          <w:rFonts w:hint="eastAsia" w:ascii="MS UI Gothic" w:eastAsia="MS UI Gothic"/>
          <w:w w:val="80"/>
        </w:rPr>
        <w:t xml:space="preserve">ꎬ </w:t>
      </w:r>
      <w:r>
        <w:t>特殊路段设警示标志</w:t>
      </w:r>
      <w:r>
        <w:rPr>
          <w:rFonts w:hint="eastAsia" w:ascii="MS UI Gothic" w:eastAsia="MS UI Gothic"/>
          <w:w w:val="80"/>
        </w:rPr>
        <w:t xml:space="preserve">ꎻ </w:t>
      </w:r>
      <w:r>
        <w:t>汽车运输为左侧通行的</w:t>
      </w:r>
      <w:r>
        <w:rPr>
          <w:rFonts w:hint="eastAsia" w:ascii="MS UI Gothic" w:eastAsia="MS UI Gothic"/>
          <w:w w:val="80"/>
        </w:rPr>
        <w:t xml:space="preserve">ꎬ </w:t>
      </w:r>
      <w:r>
        <w:t>在过渡区段内必须设置醒目的换向标志</w:t>
      </w:r>
      <w:r>
        <w:rPr>
          <w:rFonts w:hint="eastAsia" w:ascii="MS UI Gothic" w:eastAsia="MS UI Gothic"/>
          <w:w w:val="80"/>
        </w:rPr>
        <w:t>ꎮ</w:t>
      </w:r>
    </w:p>
    <w:p>
      <w:pPr>
        <w:pStyle w:val="6"/>
        <w:spacing w:line="295" w:lineRule="auto"/>
        <w:ind w:left="543" w:right="442" w:firstLine="0"/>
      </w:pPr>
      <w:r>
        <w:t>严禁擅自移动和损坏各种安全标志</w:t>
      </w:r>
      <w:r>
        <w:rPr>
          <w:rFonts w:hint="eastAsia" w:ascii="MS UI Gothic" w:eastAsia="MS UI Gothic"/>
          <w:w w:val="80"/>
        </w:rPr>
        <w:t>ꎮ</w:t>
      </w:r>
      <w:r>
        <w:t>在运输线路两侧堆放物料时</w:t>
      </w:r>
      <w:r>
        <w:rPr>
          <w:rFonts w:hint="eastAsia" w:ascii="MS UI Gothic" w:eastAsia="MS UI Gothic"/>
          <w:w w:val="80"/>
        </w:rPr>
        <w:t xml:space="preserve">ꎬ </w:t>
      </w:r>
      <w:r>
        <w:t>不得影</w:t>
      </w:r>
    </w:p>
    <w:p>
      <w:pPr>
        <w:pStyle w:val="6"/>
        <w:spacing w:line="255" w:lineRule="exact"/>
        <w:ind w:firstLine="0"/>
        <w:jc w:val="left"/>
        <w:rPr>
          <w:rFonts w:hint="eastAsia" w:ascii="MS UI Gothic" w:eastAsia="MS UI Gothic"/>
        </w:rPr>
      </w:pPr>
      <w:r>
        <w:t>响行车安全</w:t>
      </w:r>
      <w:r>
        <w:rPr>
          <w:rFonts w:hint="eastAsia" w:ascii="MS UI Gothic" w:eastAsia="MS UI Gothic"/>
          <w:w w:val="80"/>
        </w:rPr>
        <w:t>ꎮ</w:t>
      </w:r>
    </w:p>
    <w:p>
      <w:pPr>
        <w:pStyle w:val="6"/>
        <w:spacing w:before="51" w:line="295" w:lineRule="auto"/>
        <w:ind w:right="442"/>
        <w:rPr>
          <w:rFonts w:hint="eastAsia" w:ascii="MS UI Gothic" w:eastAsia="MS UI Gothic"/>
        </w:rPr>
      </w:pPr>
      <w:r>
        <w:rPr>
          <w:w w:val="105"/>
        </w:rPr>
        <w:t>第五百一十五条 在下列区域不得建</w:t>
      </w:r>
      <w:r>
        <w:rPr>
          <w:w w:val="115"/>
        </w:rPr>
        <w:t xml:space="preserve">永久性建 </w:t>
      </w:r>
      <w:r>
        <w:rPr>
          <w:rFonts w:hint="eastAsia" w:ascii="MS UI Gothic" w:eastAsia="MS UI Gothic"/>
          <w:w w:val="150"/>
        </w:rPr>
        <w:t xml:space="preserve">( </w:t>
      </w:r>
      <w:r>
        <w:rPr>
          <w:w w:val="115"/>
        </w:rPr>
        <w:t>构</w:t>
      </w:r>
      <w:r>
        <w:rPr>
          <w:rFonts w:hint="eastAsia" w:ascii="MS UI Gothic" w:eastAsia="MS UI Gothic"/>
          <w:w w:val="150"/>
        </w:rPr>
        <w:t xml:space="preserve">) </w:t>
      </w:r>
      <w:r>
        <w:rPr>
          <w:w w:val="115"/>
        </w:rPr>
        <w:t>筑物</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20"/>
        </w:rPr>
        <w:t xml:space="preserve">( </w:t>
      </w:r>
      <w:r>
        <w:rPr>
          <w:w w:val="110"/>
        </w:rPr>
        <w:t>一</w:t>
      </w:r>
      <w:r>
        <w:rPr>
          <w:rFonts w:hint="eastAsia" w:ascii="MS UI Gothic" w:eastAsia="MS UI Gothic"/>
          <w:w w:val="120"/>
        </w:rPr>
        <w:t xml:space="preserve">) </w:t>
      </w:r>
      <w:r>
        <w:rPr>
          <w:w w:val="110"/>
        </w:rPr>
        <w:t>距采场最终境界的安全距离以内</w:t>
      </w:r>
      <w:r>
        <w:rPr>
          <w:rFonts w:hint="eastAsia" w:ascii="MS UI Gothic" w:eastAsia="MS UI Gothic"/>
          <w:w w:val="80"/>
        </w:rPr>
        <w:t>ꎮ</w:t>
      </w:r>
    </w:p>
    <w:p>
      <w:pPr>
        <w:pStyle w:val="6"/>
        <w:spacing w:line="295" w:lineRule="auto"/>
        <w:ind w:left="543" w:right="821" w:firstLine="0"/>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爆炸物品库爆炸危险区内</w:t>
      </w:r>
      <w:r>
        <w:rPr>
          <w:rFonts w:hint="eastAsia" w:ascii="MS UI Gothic" w:eastAsia="MS UI Gothic"/>
          <w:w w:val="80"/>
        </w:rPr>
        <w:t>ꎮ</w:t>
      </w: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不稳定的排土场内</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爆破</w:t>
      </w:r>
      <w:r>
        <w:rPr>
          <w:rFonts w:hint="eastAsia" w:ascii="MS UI Gothic" w:eastAsia="MS UI Gothic"/>
          <w:w w:val="80"/>
        </w:rPr>
        <w:t xml:space="preserve">、 </w:t>
      </w:r>
      <w:r>
        <w:rPr>
          <w:w w:val="105"/>
        </w:rPr>
        <w:t>岩体变形</w:t>
      </w:r>
      <w:r>
        <w:rPr>
          <w:rFonts w:hint="eastAsia" w:ascii="MS UI Gothic" w:eastAsia="MS UI Gothic"/>
          <w:w w:val="80"/>
        </w:rPr>
        <w:t xml:space="preserve">、 </w:t>
      </w:r>
      <w:r>
        <w:rPr>
          <w:w w:val="105"/>
        </w:rPr>
        <w:t>塌陷</w:t>
      </w:r>
      <w:r>
        <w:rPr>
          <w:rFonts w:hint="eastAsia" w:ascii="MS UI Gothic" w:eastAsia="MS UI Gothic"/>
          <w:w w:val="80"/>
        </w:rPr>
        <w:t xml:space="preserve">、 </w:t>
      </w:r>
      <w:r>
        <w:rPr>
          <w:w w:val="105"/>
        </w:rPr>
        <w:t>滑坡危险区域内</w:t>
      </w:r>
      <w:r>
        <w:rPr>
          <w:rFonts w:hint="eastAsia" w:ascii="MS UI Gothic" w:eastAsia="MS UI Gothic"/>
          <w:w w:val="80"/>
        </w:rPr>
        <w:t>ꎮ</w:t>
      </w:r>
    </w:p>
    <w:p>
      <w:pPr>
        <w:pStyle w:val="6"/>
        <w:spacing w:line="295" w:lineRule="auto"/>
        <w:ind w:right="442"/>
        <w:rPr>
          <w:rFonts w:hint="eastAsia" w:ascii="MS UI Gothic" w:eastAsia="MS UI Gothic"/>
        </w:rPr>
      </w:pPr>
      <w:r>
        <w:t>第五百一十六条 机械设备内必须备有完好的绝缘防护用品和工具</w:t>
      </w:r>
      <w:r>
        <w:rPr>
          <w:rFonts w:hint="eastAsia" w:ascii="MS UI Gothic" w:eastAsia="MS UI Gothic"/>
          <w:w w:val="80"/>
        </w:rPr>
        <w:t xml:space="preserve">ꎬ </w:t>
      </w:r>
      <w:r>
        <w:t>并定期进行电气绝缘性能试验</w:t>
      </w:r>
      <w:r>
        <w:rPr>
          <w:rFonts w:hint="eastAsia" w:ascii="MS UI Gothic" w:eastAsia="MS UI Gothic"/>
          <w:w w:val="80"/>
        </w:rPr>
        <w:t xml:space="preserve">ꎬ </w:t>
      </w:r>
      <w:r>
        <w:t>不合格的及时更换</w:t>
      </w:r>
      <w:r>
        <w:rPr>
          <w:rFonts w:hint="eastAsia" w:ascii="MS UI Gothic" w:eastAsia="MS UI Gothic"/>
          <w:w w:val="80"/>
        </w:rPr>
        <w:t>ꎮ</w:t>
      </w:r>
    </w:p>
    <w:p>
      <w:pPr>
        <w:pStyle w:val="6"/>
        <w:spacing w:line="295" w:lineRule="auto"/>
        <w:ind w:right="442"/>
        <w:rPr>
          <w:rFonts w:hint="eastAsia" w:ascii="MS UI Gothic" w:eastAsia="MS UI Gothic"/>
        </w:rPr>
      </w:pPr>
      <w:r>
        <w:t>第五百一十七条 采掘</w:t>
      </w:r>
      <w:r>
        <w:rPr>
          <w:rFonts w:hint="eastAsia" w:ascii="MS UI Gothic" w:eastAsia="MS UI Gothic"/>
          <w:w w:val="80"/>
        </w:rPr>
        <w:t xml:space="preserve">、 </w:t>
      </w:r>
      <w:r>
        <w:t>运输</w:t>
      </w:r>
      <w:r>
        <w:rPr>
          <w:rFonts w:hint="eastAsia" w:ascii="MS UI Gothic" w:eastAsia="MS UI Gothic"/>
          <w:w w:val="80"/>
        </w:rPr>
        <w:t xml:space="preserve">、  </w:t>
      </w:r>
      <w:r>
        <w:t>排土等机械设备作业时</w:t>
      </w:r>
      <w:r>
        <w:rPr>
          <w:rFonts w:hint="eastAsia" w:ascii="MS UI Gothic" w:eastAsia="MS UI Gothic"/>
          <w:w w:val="80"/>
        </w:rPr>
        <w:t xml:space="preserve">ꎬ </w:t>
      </w:r>
      <w:r>
        <w:t>严禁检修和维护</w:t>
      </w:r>
      <w:r>
        <w:rPr>
          <w:rFonts w:hint="eastAsia" w:ascii="MS UI Gothic" w:eastAsia="MS UI Gothic"/>
          <w:w w:val="80"/>
        </w:rPr>
        <w:t xml:space="preserve">ꎬ </w:t>
      </w:r>
      <w:r>
        <w:t>严禁人员上下设备</w:t>
      </w:r>
      <w:r>
        <w:rPr>
          <w:rFonts w:hint="eastAsia" w:ascii="MS UI Gothic" w:eastAsia="MS UI Gothic"/>
          <w:w w:val="80"/>
        </w:rPr>
        <w:t xml:space="preserve">ꎻ </w:t>
      </w:r>
      <w:r>
        <w:t>在危及人身安全的作业范围内</w:t>
      </w:r>
      <w:r>
        <w:rPr>
          <w:rFonts w:hint="eastAsia" w:ascii="MS UI Gothic" w:eastAsia="MS UI Gothic"/>
          <w:w w:val="80"/>
        </w:rPr>
        <w:t xml:space="preserve">ꎬ </w:t>
      </w:r>
      <w:r>
        <w:t>严禁人员和设备停留或者通过</w:t>
      </w:r>
      <w:r>
        <w:rPr>
          <w:rFonts w:hint="eastAsia" w:ascii="MS UI Gothic" w:eastAsia="MS UI Gothic"/>
          <w:w w:val="80"/>
        </w:rPr>
        <w:t>ꎮ</w:t>
      </w:r>
    </w:p>
    <w:p>
      <w:pPr>
        <w:pStyle w:val="6"/>
        <w:spacing w:line="295" w:lineRule="auto"/>
        <w:ind w:right="442"/>
        <w:rPr>
          <w:rFonts w:hint="eastAsia" w:ascii="MS UI Gothic" w:eastAsia="MS UI Gothic"/>
        </w:rPr>
      </w:pPr>
      <w:r>
        <w:t>移动设备应当在平盘安全区内走行或者停留</w:t>
      </w:r>
      <w:r>
        <w:rPr>
          <w:rFonts w:hint="eastAsia" w:ascii="MS UI Gothic" w:eastAsia="MS UI Gothic"/>
          <w:w w:val="80"/>
        </w:rPr>
        <w:t xml:space="preserve">ꎬ </w:t>
      </w:r>
      <w:r>
        <w:t>否则必须采取安全措施</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第五百一十八条 设备走行道路和作</w:t>
      </w:r>
      <w:r>
        <w:t>业场地坡度不得大于设备允许的最大坡度</w:t>
      </w:r>
      <w:r>
        <w:rPr>
          <w:rFonts w:hint="eastAsia" w:ascii="MS UI Gothic" w:eastAsia="MS UI Gothic"/>
          <w:w w:val="80"/>
        </w:rPr>
        <w:t xml:space="preserve">ꎬ </w:t>
      </w:r>
      <w:r>
        <w:t>转弯半径不得小于设备允许的最小转</w:t>
      </w:r>
      <w:r>
        <w:rPr>
          <w:w w:val="105"/>
        </w:rPr>
        <w:t>弯半径</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第五百一十九条 遇到特殊天气状况</w:t>
      </w:r>
      <w:r>
        <w:rPr>
          <w:w w:val="110"/>
        </w:rPr>
        <w:t>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在大雾</w:t>
      </w:r>
      <w:r>
        <w:rPr>
          <w:rFonts w:hint="eastAsia" w:ascii="MS UI Gothic" w:eastAsia="MS UI Gothic"/>
          <w:w w:val="80"/>
        </w:rPr>
        <w:t xml:space="preserve">、 </w:t>
      </w:r>
      <w:r>
        <w:rPr>
          <w:w w:val="105"/>
        </w:rPr>
        <w:t>雨雪等能见度低的情况下作业时</w:t>
      </w:r>
      <w:r>
        <w:rPr>
          <w:rFonts w:hint="eastAsia" w:ascii="MS UI Gothic" w:eastAsia="MS UI Gothic"/>
          <w:w w:val="80"/>
        </w:rPr>
        <w:t xml:space="preserve">ꎬ </w:t>
      </w:r>
      <w:r>
        <w:rPr>
          <w:w w:val="105"/>
        </w:rPr>
        <w:t>必须制定安全技术措施</w:t>
      </w:r>
      <w:r>
        <w:rPr>
          <w:rFonts w:hint="eastAsia" w:ascii="MS UI Gothic" w:eastAsia="MS UI Gothic"/>
          <w:w w:val="80"/>
        </w:rPr>
        <w:t>ꎮ</w:t>
      </w:r>
    </w:p>
    <w:p>
      <w:pPr>
        <w:pStyle w:val="6"/>
        <w:spacing w:line="255" w:lineRule="exact"/>
        <w:ind w:left="543" w:firstLine="0"/>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暴雨期间</w:t>
      </w:r>
      <w:r>
        <w:rPr>
          <w:rFonts w:hint="eastAsia" w:ascii="MS UI Gothic" w:eastAsia="MS UI Gothic"/>
          <w:w w:val="80"/>
        </w:rPr>
        <w:t xml:space="preserve">ꎬ </w:t>
      </w:r>
      <w:r>
        <w:rPr>
          <w:w w:val="110"/>
        </w:rPr>
        <w:t>处在有水淹或者片</w:t>
      </w:r>
    </w:p>
    <w:p>
      <w:pPr>
        <w:spacing w:after="0" w:line="255"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３２３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91" o:spid="_x0000_s1991" o:spt="203" style="height:2.15pt;width:398.25pt;" coordsize="7965,43">
            <o:lock v:ext="edit"/>
            <v:line id="_x0000_s1992" o:spid="_x0000_s1992" o:spt="20" style="position:absolute;left:0;top:39;height:0;width:7965;" stroked="t" coordsize="21600,21600">
              <v:path arrowok="t"/>
              <v:fill focussize="0,0"/>
              <v:stroke weight="0.388031496062992pt" color="#231F20"/>
              <v:imagedata o:title=""/>
              <o:lock v:ext="edit"/>
            </v:line>
            <v:line id="_x0000_s1993" o:spid="_x0000_s199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帮危险区域的设备</w:t>
      </w:r>
      <w:r>
        <w:rPr>
          <w:rFonts w:hint="eastAsia" w:ascii="MS UI Gothic" w:eastAsia="MS UI Gothic"/>
          <w:w w:val="80"/>
        </w:rPr>
        <w:t xml:space="preserve">ꎬ </w:t>
      </w:r>
      <w:r>
        <w:t>必须撤离到安全地带</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8"/>
          <w:w w:val="150"/>
        </w:rPr>
        <w:t xml:space="preserve">) </w:t>
      </w:r>
      <w:r>
        <w:rPr>
          <w:spacing w:val="-20"/>
          <w:w w:val="105"/>
        </w:rPr>
        <w:t xml:space="preserve">遇有 </w:t>
      </w:r>
      <w:r>
        <w:rPr>
          <w:rFonts w:hint="eastAsia" w:ascii="MS UI Gothic" w:eastAsia="MS UI Gothic"/>
          <w:spacing w:val="3"/>
          <w:w w:val="80"/>
        </w:rPr>
        <w:t xml:space="preserve">６ </w:t>
      </w:r>
      <w:r>
        <w:rPr>
          <w:spacing w:val="8"/>
          <w:w w:val="105"/>
        </w:rPr>
        <w:t>级及以上大风时禁止露</w:t>
      </w:r>
      <w:r>
        <w:rPr>
          <w:spacing w:val="3"/>
          <w:w w:val="105"/>
        </w:rPr>
        <w:t>天起重和高处作业</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spacing w:val="-37"/>
          <w:w w:val="150"/>
        </w:rPr>
        <w:t xml:space="preserve">( </w:t>
      </w:r>
      <w:r>
        <w:rPr>
          <w:spacing w:val="3"/>
          <w:w w:val="105"/>
        </w:rPr>
        <w:t>四</w:t>
      </w:r>
      <w:r>
        <w:rPr>
          <w:rFonts w:hint="eastAsia" w:ascii="MS UI Gothic" w:eastAsia="MS UI Gothic"/>
          <w:spacing w:val="8"/>
          <w:w w:val="150"/>
        </w:rPr>
        <w:t xml:space="preserve">) </w:t>
      </w:r>
      <w:r>
        <w:rPr>
          <w:spacing w:val="-20"/>
          <w:w w:val="105"/>
        </w:rPr>
        <w:t xml:space="preserve">遇有 </w:t>
      </w:r>
      <w:r>
        <w:rPr>
          <w:rFonts w:hint="eastAsia" w:ascii="MS UI Gothic" w:eastAsia="MS UI Gothic"/>
          <w:spacing w:val="3"/>
          <w:w w:val="80"/>
        </w:rPr>
        <w:t xml:space="preserve">８ </w:t>
      </w:r>
      <w:r>
        <w:rPr>
          <w:spacing w:val="8"/>
          <w:w w:val="105"/>
        </w:rPr>
        <w:t>级及以上大风时禁止轮</w:t>
      </w:r>
      <w:r>
        <w:rPr>
          <w:spacing w:val="3"/>
          <w:w w:val="105"/>
        </w:rPr>
        <w:t>斗挖掘机</w:t>
      </w:r>
      <w:r>
        <w:rPr>
          <w:rFonts w:hint="eastAsia" w:ascii="MS UI Gothic" w:eastAsia="MS UI Gothic"/>
          <w:spacing w:val="21"/>
          <w:w w:val="80"/>
        </w:rPr>
        <w:t xml:space="preserve">、 </w:t>
      </w:r>
      <w:r>
        <w:rPr>
          <w:spacing w:val="3"/>
          <w:w w:val="105"/>
        </w:rPr>
        <w:t>排土机和转载机作业</w:t>
      </w:r>
      <w:r>
        <w:rPr>
          <w:rFonts w:hint="eastAsia" w:ascii="MS UI Gothic" w:eastAsia="MS UI Gothic"/>
          <w:w w:val="80"/>
        </w:rPr>
        <w:t>ꎮ</w:t>
      </w:r>
    </w:p>
    <w:p>
      <w:pPr>
        <w:pStyle w:val="6"/>
        <w:spacing w:line="295" w:lineRule="auto"/>
        <w:ind w:left="440"/>
        <w:rPr>
          <w:rFonts w:hint="eastAsia" w:ascii="MS UI Gothic" w:eastAsia="MS UI Gothic"/>
        </w:rPr>
      </w:pPr>
      <w:r>
        <w:t xml:space="preserve">第五百二十条 作业人员在 </w:t>
      </w:r>
      <w:r>
        <w:rPr>
          <w:rFonts w:hint="eastAsia" w:ascii="MS UI Gothic" w:eastAsia="MS UI Gothic"/>
          <w:w w:val="80"/>
        </w:rPr>
        <w:t xml:space="preserve">２ ｍ </w:t>
      </w:r>
      <w:r>
        <w:t>及以上的高处作业时</w:t>
      </w:r>
      <w:r>
        <w:rPr>
          <w:rFonts w:hint="eastAsia" w:ascii="MS UI Gothic" w:eastAsia="MS UI Gothic"/>
          <w:w w:val="80"/>
        </w:rPr>
        <w:t xml:space="preserve">ꎬ </w:t>
      </w:r>
      <w:r>
        <w:t>必须系安全带或者设置安全网</w:t>
      </w:r>
      <w:r>
        <w:rPr>
          <w:rFonts w:hint="eastAsia" w:ascii="MS UI Gothic" w:eastAsia="MS UI Gothic"/>
          <w:w w:val="80"/>
        </w:rPr>
        <w:t>ꎮ</w:t>
      </w:r>
    </w:p>
    <w:p>
      <w:pPr>
        <w:pStyle w:val="6"/>
        <w:tabs>
          <w:tab w:val="left" w:pos="2222"/>
        </w:tabs>
        <w:spacing w:before="150"/>
        <w:ind w:left="1384" w:firstLine="0"/>
        <w:jc w:val="left"/>
      </w:pPr>
      <w:r>
        <w:rPr>
          <w:spacing w:val="3"/>
          <w:w w:val="105"/>
        </w:rPr>
        <w:t>第二</w:t>
      </w:r>
      <w:r>
        <w:rPr>
          <w:w w:val="105"/>
        </w:rPr>
        <w:t>章</w:t>
      </w:r>
      <w:r>
        <w:rPr>
          <w:w w:val="105"/>
        </w:rPr>
        <w:tab/>
      </w:r>
      <w:r>
        <w:rPr>
          <w:w w:val="105"/>
        </w:rPr>
        <w:t>钻</w:t>
      </w:r>
      <w:r>
        <w:rPr>
          <w:spacing w:val="-38"/>
          <w:w w:val="105"/>
        </w:rPr>
        <w:t xml:space="preserve"> </w:t>
      </w:r>
      <w:r>
        <w:rPr>
          <w:w w:val="105"/>
        </w:rPr>
        <w:t>孔</w:t>
      </w:r>
      <w:r>
        <w:rPr>
          <w:spacing w:val="-38"/>
          <w:w w:val="105"/>
        </w:rPr>
        <w:t xml:space="preserve"> </w:t>
      </w:r>
      <w:r>
        <w:rPr>
          <w:w w:val="105"/>
        </w:rPr>
        <w:t>爆</w:t>
      </w:r>
      <w:r>
        <w:rPr>
          <w:spacing w:val="-38"/>
          <w:w w:val="105"/>
        </w:rPr>
        <w:t xml:space="preserve"> </w:t>
      </w:r>
      <w:r>
        <w:rPr>
          <w:w w:val="105"/>
        </w:rPr>
        <w:t>破</w:t>
      </w:r>
    </w:p>
    <w:p>
      <w:pPr>
        <w:pStyle w:val="6"/>
        <w:spacing w:before="1"/>
        <w:ind w:left="0" w:firstLine="0"/>
        <w:jc w:val="left"/>
        <w:rPr>
          <w:sz w:val="29"/>
        </w:rPr>
      </w:pPr>
    </w:p>
    <w:p>
      <w:pPr>
        <w:pStyle w:val="6"/>
        <w:tabs>
          <w:tab w:val="left" w:pos="2222"/>
        </w:tabs>
        <w:ind w:left="1384" w:firstLine="0"/>
        <w:jc w:val="left"/>
      </w:pPr>
      <w:r>
        <w:rPr>
          <w:spacing w:val="3"/>
          <w:w w:val="105"/>
        </w:rPr>
        <w:t>第一</w:t>
      </w:r>
      <w:r>
        <w:rPr>
          <w:w w:val="105"/>
        </w:rPr>
        <w:t>节</w:t>
      </w:r>
      <w:r>
        <w:rPr>
          <w:w w:val="105"/>
        </w:rPr>
        <w:tab/>
      </w:r>
      <w:r>
        <w:rPr>
          <w:w w:val="105"/>
        </w:rPr>
        <w:t>一</w:t>
      </w:r>
      <w:r>
        <w:rPr>
          <w:spacing w:val="-38"/>
          <w:w w:val="105"/>
        </w:rPr>
        <w:t xml:space="preserve"> </w:t>
      </w:r>
      <w:r>
        <w:rPr>
          <w:w w:val="105"/>
        </w:rPr>
        <w:t>般</w:t>
      </w:r>
      <w:r>
        <w:rPr>
          <w:spacing w:val="-38"/>
          <w:w w:val="105"/>
        </w:rPr>
        <w:t xml:space="preserve"> </w:t>
      </w:r>
      <w:r>
        <w:rPr>
          <w:w w:val="105"/>
        </w:rPr>
        <w:t>规</w:t>
      </w:r>
      <w:r>
        <w:rPr>
          <w:spacing w:val="-38"/>
          <w:w w:val="105"/>
        </w:rPr>
        <w:t xml:space="preserve"> </w:t>
      </w:r>
      <w:r>
        <w:rPr>
          <w:w w:val="105"/>
        </w:rPr>
        <w:t>定</w:t>
      </w:r>
    </w:p>
    <w:p>
      <w:pPr>
        <w:pStyle w:val="6"/>
        <w:spacing w:before="10"/>
        <w:ind w:left="0" w:firstLine="0"/>
        <w:jc w:val="left"/>
        <w:rPr>
          <w:sz w:val="16"/>
        </w:rPr>
      </w:pPr>
    </w:p>
    <w:p>
      <w:pPr>
        <w:pStyle w:val="6"/>
        <w:spacing w:line="295" w:lineRule="auto"/>
        <w:ind w:left="440"/>
      </w:pPr>
      <w:r>
        <w:t>第五百二十一条 露天煤矿钻孔</w:t>
      </w:r>
      <w:r>
        <w:rPr>
          <w:rFonts w:hint="eastAsia" w:ascii="MS UI Gothic" w:eastAsia="MS UI Gothic"/>
          <w:w w:val="80"/>
        </w:rPr>
        <w:t xml:space="preserve">、 </w:t>
      </w:r>
      <w:r>
        <w:t>爆破作业必须编制钻孔</w:t>
      </w:r>
      <w:r>
        <w:rPr>
          <w:rFonts w:hint="eastAsia" w:ascii="MS UI Gothic" w:eastAsia="MS UI Gothic"/>
          <w:w w:val="80"/>
        </w:rPr>
        <w:t xml:space="preserve">、 </w:t>
      </w:r>
      <w:r>
        <w:t>爆破设计及安全技术措施</w:t>
      </w:r>
      <w:r>
        <w:rPr>
          <w:rFonts w:hint="eastAsia" w:ascii="MS UI Gothic" w:eastAsia="MS UI Gothic"/>
          <w:w w:val="80"/>
        </w:rPr>
        <w:t xml:space="preserve">ꎬ </w:t>
      </w:r>
      <w:r>
        <w:t>并经矿总工程师批准</w:t>
      </w:r>
      <w:r>
        <w:rPr>
          <w:rFonts w:hint="eastAsia" w:ascii="MS UI Gothic" w:eastAsia="MS UI Gothic"/>
          <w:w w:val="80"/>
        </w:rPr>
        <w:t xml:space="preserve">ꎮ </w:t>
      </w:r>
      <w:r>
        <w:t>钻孔</w:t>
      </w:r>
      <w:r>
        <w:rPr>
          <w:rFonts w:hint="eastAsia" w:ascii="MS UI Gothic" w:eastAsia="MS UI Gothic"/>
          <w:w w:val="80"/>
        </w:rPr>
        <w:t xml:space="preserve">、 </w:t>
      </w:r>
      <w:r>
        <w:t>爆</w:t>
      </w:r>
    </w:p>
    <w:p>
      <w:pPr>
        <w:pStyle w:val="6"/>
        <w:spacing w:before="124" w:line="295" w:lineRule="auto"/>
        <w:ind w:left="383" w:right="126" w:firstLine="0"/>
        <w:rPr>
          <w:rFonts w:hint="eastAsia" w:ascii="MS UI Gothic" w:eastAsia="MS UI Gothic"/>
        </w:rPr>
      </w:pPr>
      <w:r>
        <w:br w:type="column"/>
      </w:r>
      <w:r>
        <w:t>破作业必须按设计进行</w:t>
      </w:r>
      <w:r>
        <w:rPr>
          <w:rFonts w:hint="eastAsia" w:ascii="MS UI Gothic" w:eastAsia="MS UI Gothic"/>
          <w:w w:val="80"/>
        </w:rPr>
        <w:t xml:space="preserve">ꎬ </w:t>
      </w:r>
      <w:r>
        <w:t>爆破前应当绘制爆破警戒范围图</w:t>
      </w:r>
      <w:r>
        <w:rPr>
          <w:rFonts w:hint="eastAsia" w:ascii="MS UI Gothic" w:eastAsia="MS UI Gothic"/>
          <w:w w:val="80"/>
        </w:rPr>
        <w:t xml:space="preserve">ꎬ </w:t>
      </w:r>
      <w:r>
        <w:t>并实地标出警戒点的位置</w:t>
      </w:r>
      <w:r>
        <w:rPr>
          <w:rFonts w:hint="eastAsia" w:ascii="MS UI Gothic" w:eastAsia="MS UI Gothic"/>
          <w:w w:val="80"/>
        </w:rPr>
        <w:t>ꎮ</w:t>
      </w:r>
    </w:p>
    <w:p>
      <w:pPr>
        <w:pStyle w:val="6"/>
        <w:spacing w:line="295" w:lineRule="auto"/>
        <w:ind w:left="383" w:right="124"/>
        <w:rPr>
          <w:rFonts w:hint="eastAsia" w:ascii="MS UI Gothic" w:hAnsi="MS UI Gothic" w:eastAsia="MS UI Gothic"/>
        </w:rPr>
      </w:pPr>
      <w:r>
        <w:t>第五百二十二条  爆炸物品的购买</w:t>
      </w:r>
      <w:r>
        <w:rPr>
          <w:rFonts w:hint="eastAsia" w:ascii="MS UI Gothic" w:hAnsi="MS UI Gothic" w:eastAsia="MS UI Gothic"/>
          <w:w w:val="80"/>
        </w:rPr>
        <w:t>、</w:t>
      </w:r>
      <w:r>
        <w:t>运输</w:t>
      </w:r>
      <w:r>
        <w:rPr>
          <w:rFonts w:hint="eastAsia" w:ascii="MS UI Gothic" w:hAnsi="MS UI Gothic" w:eastAsia="MS UI Gothic"/>
          <w:w w:val="80"/>
        </w:rPr>
        <w:t xml:space="preserve">、 </w:t>
      </w:r>
      <w:r>
        <w:t>贮存</w:t>
      </w:r>
      <w:r>
        <w:rPr>
          <w:rFonts w:hint="eastAsia" w:ascii="MS UI Gothic" w:hAnsi="MS UI Gothic" w:eastAsia="MS UI Gothic"/>
          <w:w w:val="80"/>
        </w:rPr>
        <w:t xml:space="preserve">、 </w:t>
      </w:r>
      <w:r>
        <w:t>使用和销毁</w:t>
      </w:r>
      <w:r>
        <w:rPr>
          <w:rFonts w:hint="eastAsia" w:ascii="MS UI Gothic" w:hAnsi="MS UI Gothic" w:eastAsia="MS UI Gothic"/>
          <w:w w:val="80"/>
        </w:rPr>
        <w:t xml:space="preserve">ꎬ </w:t>
      </w:r>
      <w:r>
        <w:t>永久性爆炸物品库建筑结构及各种防护措施</w:t>
      </w:r>
      <w:r>
        <w:rPr>
          <w:rFonts w:hint="eastAsia" w:ascii="MS UI Gothic" w:hAnsi="MS UI Gothic" w:eastAsia="MS UI Gothic"/>
          <w:w w:val="80"/>
        </w:rPr>
        <w:t xml:space="preserve">ꎬ </w:t>
      </w:r>
      <w:r>
        <w:t>库区的内</w:t>
      </w:r>
      <w:r>
        <w:rPr>
          <w:rFonts w:hint="eastAsia" w:ascii="MS UI Gothic" w:hAnsi="MS UI Gothic" w:eastAsia="MS UI Gothic"/>
          <w:w w:val="80"/>
        </w:rPr>
        <w:t xml:space="preserve">、 </w:t>
      </w:r>
      <w:r>
        <w:t xml:space="preserve">外部安全距离等必须符合 </w:t>
      </w:r>
      <w:r>
        <w:rPr>
          <w:rFonts w:hint="eastAsia" w:ascii="MS UI Gothic" w:hAnsi="MS UI Gothic" w:eastAsia="MS UI Gothic"/>
          <w:w w:val="80"/>
        </w:rPr>
        <w:t xml:space="preserve">« </w:t>
      </w:r>
      <w:r>
        <w:t>民用爆炸物品安全管理条例</w:t>
      </w:r>
      <w:r>
        <w:rPr>
          <w:rFonts w:hint="eastAsia" w:ascii="MS UI Gothic" w:hAnsi="MS UI Gothic" w:eastAsia="MS UI Gothic"/>
          <w:w w:val="80"/>
        </w:rPr>
        <w:t xml:space="preserve">» </w:t>
      </w:r>
      <w:r>
        <w:t>等国家有关法规和标准的规定</w:t>
      </w:r>
      <w:r>
        <w:rPr>
          <w:rFonts w:hint="eastAsia" w:ascii="MS UI Gothic" w:hAnsi="MS UI Gothic" w:eastAsia="MS UI Gothic"/>
          <w:w w:val="80"/>
        </w:rPr>
        <w:t>ꎮ</w:t>
      </w:r>
    </w:p>
    <w:p>
      <w:pPr>
        <w:pStyle w:val="6"/>
        <w:spacing w:line="295" w:lineRule="auto"/>
        <w:ind w:left="383" w:right="126"/>
        <w:rPr>
          <w:rFonts w:hint="eastAsia" w:ascii="MS UI Gothic" w:hAnsi="MS UI Gothic" w:eastAsia="MS UI Gothic"/>
        </w:rPr>
      </w:pPr>
      <w:r>
        <w:t>露天煤矿爆破作业</w:t>
      </w:r>
      <w:r>
        <w:rPr>
          <w:rFonts w:hint="eastAsia" w:ascii="MS UI Gothic" w:hAnsi="MS UI Gothic" w:eastAsia="MS UI Gothic"/>
          <w:w w:val="80"/>
        </w:rPr>
        <w:t xml:space="preserve">ꎬ </w:t>
      </w:r>
      <w:r>
        <w:t xml:space="preserve">必须遵守 </w:t>
      </w:r>
      <w:r>
        <w:rPr>
          <w:rFonts w:hint="eastAsia" w:ascii="MS UI Gothic" w:hAnsi="MS UI Gothic" w:eastAsia="MS UI Gothic"/>
        </w:rPr>
        <w:t xml:space="preserve">« </w:t>
      </w:r>
      <w:r>
        <w:t>爆破安全规程</w:t>
      </w:r>
      <w:r>
        <w:rPr>
          <w:rFonts w:hint="eastAsia" w:ascii="MS UI Gothic" w:hAnsi="MS UI Gothic" w:eastAsia="MS UI Gothic"/>
        </w:rPr>
        <w:t xml:space="preserve">» </w:t>
      </w:r>
      <w:r>
        <w:rPr>
          <w:rFonts w:hint="eastAsia" w:ascii="MS UI Gothic" w:hAnsi="MS UI Gothic" w:eastAsia="MS UI Gothic"/>
          <w:w w:val="80"/>
        </w:rPr>
        <w:t>ꎮ</w:t>
      </w:r>
    </w:p>
    <w:p>
      <w:pPr>
        <w:pStyle w:val="6"/>
        <w:tabs>
          <w:tab w:val="left" w:pos="2269"/>
          <w:tab w:val="left" w:pos="2898"/>
        </w:tabs>
        <w:spacing w:before="148"/>
        <w:ind w:left="1431" w:firstLine="0"/>
        <w:jc w:val="left"/>
      </w:pPr>
      <w:r>
        <w:rPr>
          <w:spacing w:val="3"/>
          <w:w w:val="105"/>
        </w:rPr>
        <w:t>第二</w:t>
      </w:r>
      <w:r>
        <w:rPr>
          <w:w w:val="105"/>
        </w:rPr>
        <w:t>节</w:t>
      </w:r>
      <w:r>
        <w:rPr>
          <w:w w:val="105"/>
        </w:rPr>
        <w:tab/>
      </w:r>
      <w:r>
        <w:rPr>
          <w:w w:val="105"/>
        </w:rPr>
        <w:t>钻</w:t>
      </w:r>
      <w:r>
        <w:rPr>
          <w:w w:val="105"/>
        </w:rPr>
        <w:tab/>
      </w:r>
      <w:r>
        <w:rPr>
          <w:w w:val="105"/>
        </w:rPr>
        <w:t>孔</w:t>
      </w:r>
    </w:p>
    <w:p>
      <w:pPr>
        <w:pStyle w:val="6"/>
        <w:spacing w:before="11"/>
        <w:ind w:left="0" w:firstLine="0"/>
        <w:jc w:val="left"/>
        <w:rPr>
          <w:sz w:val="16"/>
        </w:rPr>
      </w:pPr>
    </w:p>
    <w:p>
      <w:pPr>
        <w:pStyle w:val="6"/>
        <w:spacing w:line="295" w:lineRule="auto"/>
        <w:ind w:left="383" w:right="126"/>
        <w:rPr>
          <w:rFonts w:hint="eastAsia" w:ascii="MS UI Gothic" w:eastAsia="MS UI Gothic"/>
        </w:rPr>
      </w:pPr>
      <w:r>
        <w:t>第五百二十三条 钻孔设备进行钻孔作业和走行时</w:t>
      </w:r>
      <w:r>
        <w:rPr>
          <w:rFonts w:hint="eastAsia" w:ascii="MS UI Gothic" w:eastAsia="MS UI Gothic"/>
          <w:w w:val="85"/>
        </w:rPr>
        <w:t xml:space="preserve">ꎬ </w:t>
      </w:r>
      <w:r>
        <w:t xml:space="preserve">履带边缘与坡顶线的距离应当符合表 </w:t>
      </w:r>
      <w:r>
        <w:rPr>
          <w:rFonts w:hint="eastAsia" w:ascii="MS UI Gothic" w:eastAsia="MS UI Gothic"/>
          <w:w w:val="85"/>
        </w:rPr>
        <w:t xml:space="preserve">１９ </w:t>
      </w:r>
      <w:r>
        <w:t>的要求</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9"/>
        <w:ind w:left="0" w:firstLine="0"/>
        <w:jc w:val="left"/>
        <w:rPr>
          <w:rFonts w:ascii="MS UI Gothic"/>
          <w:sz w:val="10"/>
        </w:rPr>
      </w:pPr>
    </w:p>
    <w:p>
      <w:pPr>
        <w:pStyle w:val="6"/>
        <w:spacing w:before="175"/>
        <w:ind w:left="313" w:firstLine="0"/>
        <w:jc w:val="center"/>
        <w:rPr>
          <w:rFonts w:hint="eastAsia" w:ascii="MS UI Gothic" w:eastAsia="MS UI Gothic"/>
        </w:rPr>
      </w:pPr>
      <w:r>
        <w:rPr>
          <w:w w:val="95"/>
        </w:rPr>
        <w:t xml:space="preserve">表 </w:t>
      </w:r>
      <w:r>
        <w:rPr>
          <w:rFonts w:hint="eastAsia" w:ascii="MS UI Gothic" w:eastAsia="MS UI Gothic"/>
          <w:w w:val="95"/>
        </w:rPr>
        <w:t xml:space="preserve">１９ </w:t>
      </w:r>
      <w:r>
        <w:rPr>
          <w:w w:val="95"/>
        </w:rPr>
        <w:t xml:space="preserve">钻孔设备履带边缘与坡顶线的安全距离 </w:t>
      </w:r>
      <w:r>
        <w:rPr>
          <w:rFonts w:hint="eastAsia" w:ascii="MS UI Gothic" w:eastAsia="MS UI Gothic"/>
          <w:w w:val="95"/>
        </w:rPr>
        <w:t>ｍ</w:t>
      </w:r>
    </w:p>
    <w:p>
      <w:pPr>
        <w:pStyle w:val="6"/>
        <w:ind w:left="0" w:firstLine="0"/>
        <w:jc w:val="left"/>
        <w:rPr>
          <w:rFonts w:ascii="MS UI Gothic"/>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069"/>
        <w:gridCol w:w="1432"/>
        <w:gridCol w:w="1432"/>
        <w:gridCol w:w="1432"/>
        <w:gridCol w:w="1599"/>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069" w:type="dxa"/>
            <w:tcBorders>
              <w:bottom w:val="single" w:color="231F20" w:sz="4" w:space="0"/>
              <w:right w:val="single" w:color="231F20" w:sz="4" w:space="0"/>
            </w:tcBorders>
          </w:tcPr>
          <w:p>
            <w:pPr>
              <w:pStyle w:val="11"/>
              <w:spacing w:before="50"/>
              <w:ind w:left="113" w:right="103"/>
              <w:jc w:val="center"/>
              <w:rPr>
                <w:sz w:val="15"/>
              </w:rPr>
            </w:pPr>
            <w:r>
              <w:rPr>
                <w:w w:val="105"/>
                <w:sz w:val="15"/>
              </w:rPr>
              <w:t>台阶高度</w:t>
            </w:r>
          </w:p>
        </w:tc>
        <w:tc>
          <w:tcPr>
            <w:tcW w:w="1432" w:type="dxa"/>
            <w:tcBorders>
              <w:left w:val="single" w:color="231F20" w:sz="4" w:space="0"/>
              <w:bottom w:val="single" w:color="231F20" w:sz="4" w:space="0"/>
              <w:right w:val="single" w:color="231F20" w:sz="4" w:space="0"/>
            </w:tcBorders>
          </w:tcPr>
          <w:p>
            <w:pPr>
              <w:pStyle w:val="11"/>
              <w:spacing w:before="50"/>
              <w:ind w:left="611"/>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４</w:t>
            </w:r>
          </w:p>
        </w:tc>
        <w:tc>
          <w:tcPr>
            <w:tcW w:w="1432" w:type="dxa"/>
            <w:tcBorders>
              <w:left w:val="single" w:color="231F20" w:sz="4" w:space="0"/>
              <w:bottom w:val="single" w:color="231F20" w:sz="4" w:space="0"/>
              <w:right w:val="single" w:color="231F20" w:sz="4" w:space="0"/>
            </w:tcBorders>
          </w:tcPr>
          <w:p>
            <w:pPr>
              <w:pStyle w:val="11"/>
              <w:spacing w:before="50"/>
              <w:ind w:left="313" w:right="304"/>
              <w:jc w:val="center"/>
              <w:rPr>
                <w:rFonts w:hint="eastAsia" w:ascii="MS UI Gothic" w:eastAsia="MS UI Gothic"/>
                <w:sz w:val="15"/>
              </w:rPr>
            </w:pPr>
            <w:r>
              <w:rPr>
                <w:rFonts w:hint="eastAsia" w:ascii="MS UI Gothic" w:eastAsia="MS UI Gothic"/>
                <w:w w:val="95"/>
                <w:sz w:val="15"/>
              </w:rPr>
              <w:t xml:space="preserve">４ </w:t>
            </w:r>
            <w:r>
              <w:rPr>
                <w:rFonts w:hint="eastAsia" w:ascii="MS UI Gothic" w:eastAsia="MS UI Gothic"/>
                <w:w w:val="115"/>
                <w:sz w:val="15"/>
              </w:rPr>
              <w:t xml:space="preserve">~ </w:t>
            </w:r>
            <w:r>
              <w:rPr>
                <w:rFonts w:hint="eastAsia" w:ascii="MS UI Gothic" w:eastAsia="MS UI Gothic"/>
                <w:w w:val="95"/>
                <w:sz w:val="15"/>
              </w:rPr>
              <w:t>１０</w:t>
            </w:r>
          </w:p>
        </w:tc>
        <w:tc>
          <w:tcPr>
            <w:tcW w:w="1432" w:type="dxa"/>
            <w:tcBorders>
              <w:left w:val="single" w:color="231F20" w:sz="4" w:space="0"/>
              <w:bottom w:val="single" w:color="231F20" w:sz="4" w:space="0"/>
              <w:right w:val="single" w:color="231F20" w:sz="4" w:space="0"/>
            </w:tcBorders>
          </w:tcPr>
          <w:p>
            <w:pPr>
              <w:pStyle w:val="11"/>
              <w:spacing w:before="50"/>
              <w:ind w:left="314" w:right="304"/>
              <w:jc w:val="center"/>
              <w:rPr>
                <w:rFonts w:hint="eastAsia" w:ascii="MS UI Gothic" w:eastAsia="MS UI Gothic"/>
                <w:sz w:val="15"/>
              </w:rPr>
            </w:pPr>
            <w:r>
              <w:rPr>
                <w:rFonts w:hint="eastAsia" w:ascii="MS UI Gothic" w:eastAsia="MS UI Gothic"/>
                <w:w w:val="95"/>
                <w:sz w:val="15"/>
              </w:rPr>
              <w:t xml:space="preserve">１０ </w:t>
            </w:r>
            <w:r>
              <w:rPr>
                <w:rFonts w:hint="eastAsia" w:ascii="MS UI Gothic" w:eastAsia="MS UI Gothic"/>
                <w:w w:val="115"/>
                <w:sz w:val="15"/>
              </w:rPr>
              <w:t xml:space="preserve">~ </w:t>
            </w:r>
            <w:r>
              <w:rPr>
                <w:rFonts w:hint="eastAsia" w:ascii="MS UI Gothic" w:eastAsia="MS UI Gothic"/>
                <w:w w:val="95"/>
                <w:sz w:val="15"/>
              </w:rPr>
              <w:t>１５</w:t>
            </w:r>
          </w:p>
        </w:tc>
        <w:tc>
          <w:tcPr>
            <w:tcW w:w="1599" w:type="dxa"/>
            <w:tcBorders>
              <w:left w:val="single" w:color="231F20" w:sz="4" w:space="0"/>
              <w:bottom w:val="single" w:color="231F20" w:sz="4" w:space="0"/>
            </w:tcBorders>
          </w:tcPr>
          <w:p>
            <w:pPr>
              <w:pStyle w:val="11"/>
              <w:spacing w:before="50"/>
              <w:ind w:left="495" w:right="474"/>
              <w:jc w:val="center"/>
              <w:rPr>
                <w:rFonts w:hint="eastAsia" w:ascii="MS UI Gothic" w:hAnsi="MS UI Gothic" w:eastAsia="MS UI Gothic"/>
                <w:sz w:val="15"/>
              </w:rPr>
            </w:pPr>
            <w:r>
              <w:rPr>
                <w:rFonts w:hint="eastAsia" w:ascii="MS UI Gothic" w:hAnsi="MS UI Gothic" w:eastAsia="MS UI Gothic"/>
                <w:spacing w:val="-1"/>
                <w:w w:val="205"/>
                <w:sz w:val="15"/>
              </w:rPr>
              <w:t>≥</w:t>
            </w:r>
            <w:r>
              <w:rPr>
                <w:rFonts w:hint="eastAsia" w:ascii="MS UI Gothic" w:hAnsi="MS UI Gothic" w:eastAsia="MS UI Gothic"/>
                <w:w w:val="75"/>
                <w:sz w:val="15"/>
              </w:rPr>
              <w:t>１５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069" w:type="dxa"/>
            <w:tcBorders>
              <w:top w:val="single" w:color="231F20" w:sz="4" w:space="0"/>
              <w:right w:val="single" w:color="231F20" w:sz="4" w:space="0"/>
            </w:tcBorders>
          </w:tcPr>
          <w:p>
            <w:pPr>
              <w:pStyle w:val="11"/>
              <w:spacing w:before="55"/>
              <w:ind w:left="113" w:right="103"/>
              <w:jc w:val="center"/>
              <w:rPr>
                <w:sz w:val="15"/>
              </w:rPr>
            </w:pPr>
            <w:r>
              <w:rPr>
                <w:w w:val="105"/>
                <w:sz w:val="15"/>
              </w:rPr>
              <w:t>安全距离</w:t>
            </w:r>
          </w:p>
        </w:tc>
        <w:tc>
          <w:tcPr>
            <w:tcW w:w="1432" w:type="dxa"/>
            <w:tcBorders>
              <w:top w:val="single" w:color="231F20" w:sz="4" w:space="0"/>
              <w:left w:val="single" w:color="231F20" w:sz="4" w:space="0"/>
              <w:right w:val="single" w:color="231F20" w:sz="4" w:space="0"/>
            </w:tcBorders>
          </w:tcPr>
          <w:p>
            <w:pPr>
              <w:pStyle w:val="11"/>
              <w:spacing w:before="55"/>
              <w:ind w:left="574"/>
              <w:rPr>
                <w:rFonts w:hint="eastAsia" w:ascii="MS UI Gothic" w:eastAsia="MS UI Gothic"/>
                <w:sz w:val="15"/>
              </w:rPr>
            </w:pPr>
            <w:r>
              <w:rPr>
                <w:rFonts w:hint="eastAsia" w:ascii="MS UI Gothic" w:eastAsia="MS UI Gothic"/>
                <w:sz w:val="15"/>
              </w:rPr>
              <w:t xml:space="preserve">１ </w:t>
            </w:r>
            <w:r>
              <w:rPr>
                <w:rFonts w:hint="eastAsia" w:ascii="MS UI Gothic" w:eastAsia="MS UI Gothic"/>
                <w:w w:val="120"/>
                <w:sz w:val="15"/>
              </w:rPr>
              <w:t xml:space="preserve">~ </w:t>
            </w:r>
            <w:r>
              <w:rPr>
                <w:rFonts w:hint="eastAsia" w:ascii="MS UI Gothic" w:eastAsia="MS UI Gothic"/>
                <w:sz w:val="15"/>
              </w:rPr>
              <w:t>２</w:t>
            </w:r>
          </w:p>
        </w:tc>
        <w:tc>
          <w:tcPr>
            <w:tcW w:w="1432" w:type="dxa"/>
            <w:tcBorders>
              <w:top w:val="single" w:color="231F20" w:sz="4" w:space="0"/>
              <w:left w:val="single" w:color="231F20" w:sz="4" w:space="0"/>
              <w:right w:val="single" w:color="231F20" w:sz="4" w:space="0"/>
            </w:tcBorders>
          </w:tcPr>
          <w:p>
            <w:pPr>
              <w:pStyle w:val="11"/>
              <w:spacing w:before="55"/>
              <w:ind w:left="313" w:right="304"/>
              <w:jc w:val="center"/>
              <w:rPr>
                <w:rFonts w:hint="eastAsia" w:ascii="MS UI Gothic" w:eastAsia="MS UI Gothic"/>
                <w:sz w:val="15"/>
              </w:rPr>
            </w:pPr>
            <w:r>
              <w:rPr>
                <w:rFonts w:hint="eastAsia" w:ascii="MS UI Gothic" w:eastAsia="MS UI Gothic"/>
                <w:sz w:val="15"/>
              </w:rPr>
              <w:t xml:space="preserve">２ </w:t>
            </w:r>
            <w:r>
              <w:rPr>
                <w:rFonts w:hint="eastAsia" w:ascii="MS UI Gothic" w:eastAsia="MS UI Gothic"/>
                <w:w w:val="115"/>
                <w:sz w:val="15"/>
              </w:rPr>
              <w:t xml:space="preserve">~ </w:t>
            </w:r>
            <w:r>
              <w:rPr>
                <w:rFonts w:hint="eastAsia" w:ascii="MS UI Gothic" w:eastAsia="MS UI Gothic"/>
                <w:sz w:val="15"/>
              </w:rPr>
              <w:t>２ ５</w:t>
            </w:r>
          </w:p>
        </w:tc>
        <w:tc>
          <w:tcPr>
            <w:tcW w:w="1432" w:type="dxa"/>
            <w:tcBorders>
              <w:top w:val="single" w:color="231F20" w:sz="4" w:space="0"/>
              <w:left w:val="single" w:color="231F20" w:sz="4" w:space="0"/>
              <w:right w:val="single" w:color="231F20" w:sz="4" w:space="0"/>
            </w:tcBorders>
          </w:tcPr>
          <w:p>
            <w:pPr>
              <w:pStyle w:val="11"/>
              <w:spacing w:before="55"/>
              <w:ind w:left="314" w:right="304"/>
              <w:jc w:val="center"/>
              <w:rPr>
                <w:rFonts w:hint="eastAsia" w:ascii="MS UI Gothic" w:eastAsia="MS UI Gothic"/>
                <w:sz w:val="15"/>
              </w:rPr>
            </w:pPr>
            <w:r>
              <w:rPr>
                <w:rFonts w:hint="eastAsia" w:ascii="MS UI Gothic" w:eastAsia="MS UI Gothic"/>
                <w:sz w:val="15"/>
              </w:rPr>
              <w:t xml:space="preserve">２ ５ </w:t>
            </w:r>
            <w:r>
              <w:rPr>
                <w:rFonts w:hint="eastAsia" w:ascii="MS UI Gothic" w:eastAsia="MS UI Gothic"/>
                <w:w w:val="115"/>
                <w:sz w:val="15"/>
              </w:rPr>
              <w:t xml:space="preserve">~ </w:t>
            </w:r>
            <w:r>
              <w:rPr>
                <w:rFonts w:hint="eastAsia" w:ascii="MS UI Gothic" w:eastAsia="MS UI Gothic"/>
                <w:sz w:val="15"/>
              </w:rPr>
              <w:t>３ ５</w:t>
            </w:r>
          </w:p>
        </w:tc>
        <w:tc>
          <w:tcPr>
            <w:tcW w:w="1599" w:type="dxa"/>
            <w:tcBorders>
              <w:top w:val="single" w:color="231F20" w:sz="4" w:space="0"/>
              <w:left w:val="single" w:color="231F20" w:sz="4" w:space="0"/>
            </w:tcBorders>
          </w:tcPr>
          <w:p>
            <w:pPr>
              <w:pStyle w:val="11"/>
              <w:spacing w:before="55"/>
              <w:ind w:left="495" w:right="480"/>
              <w:jc w:val="center"/>
              <w:rPr>
                <w:rFonts w:hint="eastAsia" w:ascii="MS UI Gothic" w:eastAsia="MS UI Gothic"/>
                <w:sz w:val="15"/>
              </w:rPr>
            </w:pPr>
            <w:r>
              <w:rPr>
                <w:rFonts w:hint="eastAsia" w:ascii="MS UI Gothic" w:eastAsia="MS UI Gothic"/>
                <w:sz w:val="15"/>
              </w:rPr>
              <w:t xml:space="preserve">３ ５ </w:t>
            </w:r>
            <w:r>
              <w:rPr>
                <w:rFonts w:hint="eastAsia" w:ascii="MS UI Gothic" w:eastAsia="MS UI Gothic"/>
                <w:w w:val="115"/>
                <w:sz w:val="15"/>
              </w:rPr>
              <w:t xml:space="preserve">~ </w:t>
            </w:r>
            <w:r>
              <w:rPr>
                <w:rFonts w:hint="eastAsia" w:ascii="MS UI Gothic" w:eastAsia="MS UI Gothic"/>
                <w:sz w:val="15"/>
              </w:rPr>
              <w:t>６</w:t>
            </w:r>
          </w:p>
        </w:tc>
      </w:tr>
    </w:tbl>
    <w:p>
      <w:pPr>
        <w:pStyle w:val="6"/>
        <w:spacing w:before="3"/>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175" w:line="295" w:lineRule="auto"/>
        <w:ind w:left="440" w:right="1"/>
        <w:rPr>
          <w:rFonts w:hint="eastAsia" w:ascii="MS UI Gothic" w:hAnsi="MS UI Gothic" w:eastAsia="MS UI Gothic"/>
        </w:rPr>
      </w:pPr>
      <w:r>
        <w:t>钻凿坡顶线第一排孔时</w:t>
      </w:r>
      <w:r>
        <w:rPr>
          <w:rFonts w:hint="eastAsia" w:ascii="MS UI Gothic" w:hAnsi="MS UI Gothic" w:eastAsia="MS UI Gothic"/>
          <w:w w:val="85"/>
        </w:rPr>
        <w:t xml:space="preserve">ꎬ </w:t>
      </w:r>
      <w:r>
        <w:t xml:space="preserve">钻孔设备应当垂直于台阶坡顶线或者调角布置 </w:t>
      </w:r>
      <w:r>
        <w:rPr>
          <w:rFonts w:hint="eastAsia" w:ascii="MS UI Gothic" w:hAnsi="MS UI Gothic" w:eastAsia="MS UI Gothic"/>
          <w:w w:val="140"/>
        </w:rPr>
        <w:t xml:space="preserve">( </w:t>
      </w:r>
      <w:r>
        <w:t>夹</w:t>
      </w:r>
      <w:r>
        <w:rPr>
          <w:w w:val="102"/>
        </w:rPr>
        <w:t>角应当不小于</w:t>
      </w:r>
      <w:r>
        <w:t xml:space="preserve"> </w:t>
      </w:r>
      <w:r>
        <w:rPr>
          <w:rFonts w:hint="eastAsia" w:ascii="MS UI Gothic" w:hAnsi="MS UI Gothic" w:eastAsia="MS UI Gothic"/>
          <w:w w:val="75"/>
        </w:rPr>
        <w:t>４５</w:t>
      </w:r>
      <w:r>
        <w:rPr>
          <w:rFonts w:hint="eastAsia" w:ascii="MS UI Gothic" w:hAnsi="MS UI Gothic" w:eastAsia="MS UI Gothic"/>
          <w:w w:val="41"/>
        </w:rPr>
        <w:t>°</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51"/>
        </w:rPr>
        <w:t>ꎻ</w:t>
      </w:r>
      <w:r>
        <w:rPr>
          <w:rFonts w:hint="eastAsia" w:ascii="MS UI Gothic" w:hAnsi="MS UI Gothic" w:eastAsia="MS UI Gothic"/>
        </w:rPr>
        <w:t xml:space="preserve">  </w:t>
      </w:r>
      <w:r>
        <w:rPr>
          <w:w w:val="102"/>
        </w:rPr>
        <w:t>有顺层滑坡危险区</w:t>
      </w:r>
      <w:r>
        <w:t>的</w:t>
      </w:r>
      <w:r>
        <w:rPr>
          <w:rFonts w:hint="eastAsia" w:ascii="MS UI Gothic" w:hAnsi="MS UI Gothic" w:eastAsia="MS UI Gothic"/>
          <w:w w:val="85"/>
        </w:rPr>
        <w:t xml:space="preserve">ꎬ </w:t>
      </w:r>
      <w:r>
        <w:t>必须压碴钻孔</w:t>
      </w:r>
      <w:r>
        <w:rPr>
          <w:rFonts w:hint="eastAsia" w:ascii="MS UI Gothic" w:hAnsi="MS UI Gothic" w:eastAsia="MS UI Gothic"/>
          <w:w w:val="85"/>
        </w:rPr>
        <w:t xml:space="preserve">ꎻ </w:t>
      </w:r>
      <w:r>
        <w:t>钻凿坡底线第一排孔时</w:t>
      </w:r>
      <w:r>
        <w:rPr>
          <w:rFonts w:hint="eastAsia" w:ascii="MS UI Gothic" w:hAnsi="MS UI Gothic" w:eastAsia="MS UI Gothic"/>
          <w:w w:val="85"/>
        </w:rPr>
        <w:t xml:space="preserve">ꎬ </w:t>
      </w:r>
      <w:r>
        <w:t>应当有专人监护</w:t>
      </w:r>
      <w:r>
        <w:rPr>
          <w:rFonts w:hint="eastAsia" w:ascii="MS UI Gothic" w:hAnsi="MS UI Gothic" w:eastAsia="MS UI Gothic"/>
          <w:w w:val="85"/>
        </w:rPr>
        <w:t>ꎮ</w:t>
      </w:r>
    </w:p>
    <w:p>
      <w:pPr>
        <w:pStyle w:val="6"/>
        <w:spacing w:line="295" w:lineRule="auto"/>
        <w:ind w:left="440" w:right="1"/>
        <w:rPr>
          <w:rFonts w:hint="eastAsia" w:ascii="MS UI Gothic" w:eastAsia="MS UI Gothic"/>
        </w:rPr>
      </w:pPr>
      <w:r>
        <w:t>第五百二十四条 钻孔设备在有采空区的工作面钻孔时</w:t>
      </w:r>
      <w:r>
        <w:rPr>
          <w:rFonts w:hint="eastAsia" w:ascii="MS UI Gothic" w:eastAsia="MS UI Gothic"/>
          <w:w w:val="80"/>
        </w:rPr>
        <w:t xml:space="preserve">ꎬ </w:t>
      </w:r>
      <w:r>
        <w:t>必须制定安全技术措施</w:t>
      </w:r>
      <w:r>
        <w:rPr>
          <w:rFonts w:hint="eastAsia" w:ascii="MS UI Gothic" w:eastAsia="MS UI Gothic"/>
          <w:w w:val="80"/>
        </w:rPr>
        <w:t xml:space="preserve">ꎬ </w:t>
      </w:r>
      <w:r>
        <w:t>并在专业人员指挥下进行</w:t>
      </w:r>
      <w:r>
        <w:rPr>
          <w:rFonts w:hint="eastAsia" w:ascii="MS UI Gothic" w:eastAsia="MS UI Gothic"/>
          <w:w w:val="80"/>
        </w:rPr>
        <w:t>ꎮ</w:t>
      </w:r>
    </w:p>
    <w:p>
      <w:pPr>
        <w:pStyle w:val="6"/>
        <w:tabs>
          <w:tab w:val="left" w:pos="2327"/>
          <w:tab w:val="left" w:pos="2956"/>
        </w:tabs>
        <w:spacing w:before="150"/>
        <w:ind w:left="1488" w:firstLine="0"/>
        <w:jc w:val="left"/>
      </w:pPr>
      <w:r>
        <w:rPr>
          <w:spacing w:val="3"/>
          <w:w w:val="105"/>
        </w:rPr>
        <w:t>第三</w:t>
      </w:r>
      <w:r>
        <w:rPr>
          <w:w w:val="105"/>
        </w:rPr>
        <w:t>节</w:t>
      </w:r>
      <w:r>
        <w:rPr>
          <w:w w:val="105"/>
        </w:rPr>
        <w:tab/>
      </w:r>
      <w:r>
        <w:rPr>
          <w:w w:val="105"/>
        </w:rPr>
        <w:t>爆</w:t>
      </w:r>
      <w:r>
        <w:rPr>
          <w:w w:val="105"/>
        </w:rPr>
        <w:tab/>
      </w:r>
      <w:r>
        <w:rPr>
          <w:w w:val="105"/>
        </w:rPr>
        <w:t>破</w:t>
      </w:r>
    </w:p>
    <w:p>
      <w:pPr>
        <w:pStyle w:val="6"/>
        <w:spacing w:before="11"/>
        <w:ind w:left="0" w:firstLine="0"/>
        <w:jc w:val="left"/>
        <w:rPr>
          <w:sz w:val="16"/>
        </w:rPr>
      </w:pPr>
    </w:p>
    <w:p>
      <w:pPr>
        <w:pStyle w:val="6"/>
        <w:spacing w:line="295" w:lineRule="auto"/>
        <w:ind w:left="440"/>
        <w:rPr>
          <w:rFonts w:hint="eastAsia" w:ascii="MS UI Gothic" w:eastAsia="MS UI Gothic"/>
        </w:rPr>
      </w:pPr>
      <w:r>
        <w:t>第五百二十五条  爆炸物品的领用</w:t>
      </w:r>
      <w:r>
        <w:rPr>
          <w:rFonts w:hint="eastAsia" w:ascii="MS UI Gothic" w:eastAsia="MS UI Gothic"/>
          <w:w w:val="80"/>
        </w:rPr>
        <w:t>、</w:t>
      </w:r>
      <w:r>
        <w:t>保管和使用必须严格执行账</w:t>
      </w:r>
      <w:r>
        <w:rPr>
          <w:rFonts w:hint="eastAsia" w:ascii="MS UI Gothic" w:eastAsia="MS UI Gothic"/>
          <w:w w:val="80"/>
        </w:rPr>
        <w:t xml:space="preserve">、 </w:t>
      </w:r>
      <w:r>
        <w:t>卡</w:t>
      </w:r>
      <w:r>
        <w:rPr>
          <w:rFonts w:hint="eastAsia" w:ascii="MS UI Gothic" w:eastAsia="MS UI Gothic"/>
          <w:w w:val="80"/>
        </w:rPr>
        <w:t xml:space="preserve">、 </w:t>
      </w:r>
      <w:r>
        <w:t>物一致的管理制度</w:t>
      </w:r>
      <w:r>
        <w:rPr>
          <w:rFonts w:hint="eastAsia" w:ascii="MS UI Gothic" w:eastAsia="MS UI Gothic"/>
          <w:w w:val="80"/>
        </w:rPr>
        <w:t>ꎮ</w:t>
      </w:r>
    </w:p>
    <w:p>
      <w:pPr>
        <w:pStyle w:val="6"/>
        <w:spacing w:line="295" w:lineRule="auto"/>
        <w:ind w:left="440" w:right="1"/>
        <w:jc w:val="left"/>
        <w:rPr>
          <w:rFonts w:hint="eastAsia" w:ascii="MS UI Gothic" w:eastAsia="MS UI Gothic"/>
        </w:rPr>
      </w:pPr>
      <w:r>
        <w:t>严禁发放和使用变质失效以及过期的</w:t>
      </w:r>
      <w:r>
        <w:rPr>
          <w:w w:val="105"/>
        </w:rPr>
        <w:t>爆炸物品</w:t>
      </w:r>
      <w:r>
        <w:rPr>
          <w:rFonts w:hint="eastAsia" w:ascii="MS UI Gothic" w:eastAsia="MS UI Gothic"/>
          <w:w w:val="80"/>
        </w:rPr>
        <w:t>ꎮ</w:t>
      </w:r>
    </w:p>
    <w:p>
      <w:pPr>
        <w:pStyle w:val="6"/>
        <w:spacing w:line="295" w:lineRule="auto"/>
        <w:ind w:left="440" w:right="1"/>
        <w:rPr>
          <w:rFonts w:hint="eastAsia" w:ascii="MS UI Gothic" w:eastAsia="MS UI Gothic"/>
        </w:rPr>
      </w:pPr>
      <w:r>
        <w:t>爆破后剩余的爆炸物品</w:t>
      </w:r>
      <w:r>
        <w:rPr>
          <w:rFonts w:hint="eastAsia" w:ascii="MS UI Gothic" w:eastAsia="MS UI Gothic"/>
          <w:w w:val="80"/>
        </w:rPr>
        <w:t xml:space="preserve">ꎬ </w:t>
      </w:r>
      <w:r>
        <w:t>必须当天退回爆炸物品库</w:t>
      </w:r>
      <w:r>
        <w:rPr>
          <w:rFonts w:hint="eastAsia" w:ascii="MS UI Gothic" w:eastAsia="MS UI Gothic"/>
          <w:w w:val="80"/>
        </w:rPr>
        <w:t xml:space="preserve">ꎬ </w:t>
      </w:r>
      <w:r>
        <w:t>严禁私自存放和销毁</w:t>
      </w:r>
      <w:r>
        <w:rPr>
          <w:rFonts w:hint="eastAsia" w:ascii="MS UI Gothic" w:eastAsia="MS UI Gothic"/>
          <w:w w:val="80"/>
        </w:rPr>
        <w:t>ꎮ</w:t>
      </w:r>
    </w:p>
    <w:p>
      <w:pPr>
        <w:pStyle w:val="6"/>
        <w:tabs>
          <w:tab w:val="left" w:pos="2536"/>
        </w:tabs>
        <w:spacing w:line="255" w:lineRule="exact"/>
        <w:ind w:left="860" w:firstLine="0"/>
        <w:jc w:val="left"/>
      </w:pPr>
      <w:r>
        <w:rPr>
          <w:spacing w:val="3"/>
          <w:w w:val="105"/>
        </w:rPr>
        <w:t>第五百二十六</w:t>
      </w:r>
      <w:r>
        <w:rPr>
          <w:w w:val="105"/>
        </w:rPr>
        <w:t>条</w:t>
      </w:r>
      <w:r>
        <w:rPr>
          <w:w w:val="105"/>
        </w:rPr>
        <w:tab/>
      </w:r>
      <w:r>
        <w:rPr>
          <w:spacing w:val="3"/>
        </w:rPr>
        <w:t>爆炸物品车到达</w:t>
      </w:r>
      <w:r>
        <w:rPr>
          <w:spacing w:val="-12"/>
        </w:rPr>
        <w:t>爆</w:t>
      </w:r>
    </w:p>
    <w:p>
      <w:pPr>
        <w:pStyle w:val="6"/>
        <w:spacing w:before="175" w:line="295" w:lineRule="auto"/>
        <w:ind w:left="381" w:right="126" w:firstLine="0"/>
        <w:jc w:val="left"/>
        <w:rPr>
          <w:rFonts w:hint="eastAsia" w:ascii="MS UI Gothic" w:eastAsia="MS UI Gothic"/>
        </w:rPr>
      </w:pPr>
      <w:r>
        <w:br w:type="column"/>
      </w:r>
      <w:r>
        <w:t>破地点后</w:t>
      </w:r>
      <w:r>
        <w:rPr>
          <w:rFonts w:hint="eastAsia" w:ascii="MS UI Gothic" w:eastAsia="MS UI Gothic"/>
          <w:w w:val="80"/>
        </w:rPr>
        <w:t xml:space="preserve">ꎬ </w:t>
      </w:r>
      <w:r>
        <w:t>爆破区域负责人应当对爆炸物品进行检查验收</w:t>
      </w:r>
      <w:r>
        <w:rPr>
          <w:rFonts w:hint="eastAsia" w:ascii="MS UI Gothic" w:eastAsia="MS UI Gothic"/>
          <w:w w:val="80"/>
        </w:rPr>
        <w:t xml:space="preserve">ꎬ </w:t>
      </w:r>
      <w:r>
        <w:t>无误后双方签字</w:t>
      </w:r>
      <w:r>
        <w:rPr>
          <w:rFonts w:hint="eastAsia" w:ascii="MS UI Gothic" w:eastAsia="MS UI Gothic"/>
          <w:w w:val="80"/>
        </w:rPr>
        <w:t>ꎮ</w:t>
      </w:r>
    </w:p>
    <w:p>
      <w:pPr>
        <w:pStyle w:val="6"/>
        <w:spacing w:line="295" w:lineRule="auto"/>
        <w:ind w:left="381" w:right="126"/>
        <w:rPr>
          <w:rFonts w:hint="eastAsia" w:ascii="MS UI Gothic" w:eastAsia="MS UI Gothic"/>
        </w:rPr>
      </w:pPr>
      <w:r>
        <w:t>在爆破区域内放置和使用爆炸物品的地点</w:t>
      </w:r>
      <w:r>
        <w:rPr>
          <w:rFonts w:hint="eastAsia" w:ascii="MS UI Gothic" w:eastAsia="MS UI Gothic"/>
          <w:w w:val="85"/>
        </w:rPr>
        <w:t xml:space="preserve">ꎬ ２０ ｍ </w:t>
      </w:r>
      <w:r>
        <w:t xml:space="preserve">以内严禁烟火 </w:t>
      </w:r>
      <w:r>
        <w:rPr>
          <w:rFonts w:hint="eastAsia" w:ascii="MS UI Gothic" w:eastAsia="MS UI Gothic"/>
          <w:w w:val="85"/>
        </w:rPr>
        <w:t xml:space="preserve">１０ ｍ </w:t>
      </w:r>
      <w:r>
        <w:t>以内严禁非工作人员进入</w:t>
      </w:r>
      <w:r>
        <w:rPr>
          <w:rFonts w:hint="eastAsia" w:ascii="MS UI Gothic" w:eastAsia="MS UI Gothic"/>
          <w:w w:val="85"/>
        </w:rPr>
        <w:t>ꎮ</w:t>
      </w:r>
    </w:p>
    <w:p>
      <w:pPr>
        <w:pStyle w:val="6"/>
        <w:spacing w:line="254" w:lineRule="exact"/>
        <w:ind w:left="800" w:firstLine="0"/>
        <w:jc w:val="left"/>
      </w:pPr>
      <w:r>
        <w:rPr>
          <w:w w:val="105"/>
        </w:rPr>
        <w:t>加工起爆药卷必须距放置炸药的地点</w:t>
      </w:r>
    </w:p>
    <w:p>
      <w:pPr>
        <w:pStyle w:val="6"/>
        <w:spacing w:before="56"/>
        <w:ind w:left="375" w:firstLine="0"/>
        <w:jc w:val="left"/>
      </w:pPr>
      <w:r>
        <w:rPr>
          <w:rFonts w:hint="eastAsia" w:ascii="MS UI Gothic" w:eastAsia="MS UI Gothic"/>
        </w:rPr>
        <w:t xml:space="preserve">５ ｍ </w:t>
      </w:r>
      <w:r>
        <w:t>以外</w:t>
      </w:r>
      <w:r>
        <w:rPr>
          <w:rFonts w:hint="eastAsia" w:ascii="MS UI Gothic" w:eastAsia="MS UI Gothic"/>
          <w:w w:val="80"/>
        </w:rPr>
        <w:t xml:space="preserve">ꎬ </w:t>
      </w:r>
      <w:r>
        <w:t>加工好的起</w:t>
      </w:r>
    </w:p>
    <w:p>
      <w:pPr>
        <w:pStyle w:val="6"/>
        <w:spacing w:before="58"/>
        <w:ind w:left="800" w:firstLine="0"/>
        <w:jc w:val="left"/>
        <w:rPr>
          <w:rFonts w:hint="eastAsia" w:ascii="MS UI Gothic" w:eastAsia="MS UI Gothic"/>
        </w:rPr>
      </w:pPr>
      <w:r>
        <w:t xml:space="preserve">爆药卷必须放在距炮孔炸药 </w:t>
      </w:r>
      <w:r>
        <w:rPr>
          <w:rFonts w:hint="eastAsia" w:ascii="MS UI Gothic" w:eastAsia="MS UI Gothic"/>
        </w:rPr>
        <w:t>２ ｍ</w:t>
      </w:r>
    </w:p>
    <w:p>
      <w:pPr>
        <w:pStyle w:val="6"/>
        <w:spacing w:before="58"/>
        <w:ind w:left="381" w:firstLine="0"/>
        <w:jc w:val="left"/>
        <w:rPr>
          <w:rFonts w:hint="eastAsia" w:ascii="MS UI Gothic" w:eastAsia="MS UI Gothic"/>
        </w:rPr>
      </w:pPr>
      <w:r>
        <w:t>以外</w:t>
      </w:r>
      <w:r>
        <w:rPr>
          <w:rFonts w:hint="eastAsia" w:ascii="MS UI Gothic" w:eastAsia="MS UI Gothic"/>
          <w:w w:val="80"/>
        </w:rPr>
        <w:t>ꎮ</w:t>
      </w:r>
    </w:p>
    <w:p>
      <w:pPr>
        <w:pStyle w:val="6"/>
        <w:spacing w:before="59" w:line="295" w:lineRule="auto"/>
        <w:ind w:left="381" w:right="126"/>
        <w:rPr>
          <w:rFonts w:hint="eastAsia" w:ascii="MS UI Gothic" w:eastAsia="MS UI Gothic"/>
        </w:rPr>
      </w:pPr>
      <w:r>
        <w:rPr>
          <w:w w:val="105"/>
        </w:rPr>
        <w:t>第五百二十七条 炮孔装药和充填必</w:t>
      </w:r>
      <w:r>
        <w:rPr>
          <w:w w:val="110"/>
        </w:rPr>
        <w:t>须遵守下列规定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装药前在爆破区边界设置明显</w:t>
      </w:r>
      <w:r>
        <w:t>标志</w:t>
      </w:r>
      <w:r>
        <w:rPr>
          <w:rFonts w:hint="eastAsia" w:ascii="MS UI Gothic" w:eastAsia="MS UI Gothic"/>
          <w:w w:val="80"/>
        </w:rPr>
        <w:t xml:space="preserve">ꎬ </w:t>
      </w:r>
      <w:r>
        <w:t>严禁与工作无关的人员和车辆进入</w:t>
      </w:r>
      <w:r>
        <w:rPr>
          <w:w w:val="105"/>
        </w:rPr>
        <w:t>爆破区</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3"/>
          <w:w w:val="150"/>
        </w:rPr>
        <w:t xml:space="preserve">) </w:t>
      </w:r>
      <w:r>
        <w:rPr>
          <w:spacing w:val="4"/>
          <w:w w:val="105"/>
        </w:rPr>
        <w:t>装药时</w:t>
      </w:r>
      <w:r>
        <w:rPr>
          <w:rFonts w:hint="eastAsia" w:ascii="MS UI Gothic" w:eastAsia="MS UI Gothic"/>
          <w:spacing w:val="13"/>
          <w:w w:val="80"/>
        </w:rPr>
        <w:t xml:space="preserve">ꎬ </w:t>
      </w:r>
      <w:r>
        <w:rPr>
          <w:spacing w:val="8"/>
          <w:w w:val="105"/>
        </w:rPr>
        <w:t>每个炮孔同时操作的</w:t>
      </w:r>
      <w:r>
        <w:rPr>
          <w:spacing w:val="-11"/>
          <w:w w:val="105"/>
        </w:rPr>
        <w:t xml:space="preserve">人员不得超过 </w:t>
      </w:r>
      <w:r>
        <w:rPr>
          <w:rFonts w:hint="eastAsia" w:ascii="MS UI Gothic" w:eastAsia="MS UI Gothic"/>
          <w:spacing w:val="-11"/>
          <w:w w:val="80"/>
        </w:rPr>
        <w:t xml:space="preserve">３ </w:t>
      </w:r>
      <w:r>
        <w:rPr>
          <w:spacing w:val="3"/>
          <w:w w:val="105"/>
        </w:rPr>
        <w:t>人</w:t>
      </w:r>
      <w:r>
        <w:rPr>
          <w:rFonts w:hint="eastAsia" w:ascii="MS UI Gothic" w:eastAsia="MS UI Gothic"/>
          <w:spacing w:val="-1"/>
          <w:w w:val="80"/>
        </w:rPr>
        <w:t xml:space="preserve">ꎻ </w:t>
      </w:r>
      <w:r>
        <w:rPr>
          <w:spacing w:val="2"/>
          <w:w w:val="105"/>
        </w:rPr>
        <w:t>严禁向炮孔内投掷起</w:t>
      </w:r>
      <w:r>
        <w:rPr>
          <w:spacing w:val="13"/>
        </w:rPr>
        <w:t>爆具和受冲击易爆的炸药</w:t>
      </w:r>
      <w:r>
        <w:rPr>
          <w:rFonts w:hint="eastAsia" w:ascii="MS UI Gothic" w:eastAsia="MS UI Gothic"/>
          <w:spacing w:val="23"/>
          <w:w w:val="80"/>
        </w:rPr>
        <w:t xml:space="preserve">ꎻ </w:t>
      </w:r>
      <w:r>
        <w:rPr>
          <w:spacing w:val="16"/>
        </w:rPr>
        <w:t>严禁使用塑</w:t>
      </w:r>
      <w:r>
        <w:rPr>
          <w:spacing w:val="3"/>
          <w:w w:val="105"/>
        </w:rPr>
        <w:t>料</w:t>
      </w:r>
      <w:r>
        <w:rPr>
          <w:rFonts w:hint="eastAsia" w:ascii="MS UI Gothic" w:eastAsia="MS UI Gothic"/>
          <w:spacing w:val="21"/>
          <w:w w:val="80"/>
        </w:rPr>
        <w:t xml:space="preserve">、 </w:t>
      </w:r>
      <w:r>
        <w:rPr>
          <w:spacing w:val="3"/>
          <w:w w:val="105"/>
        </w:rPr>
        <w:t>金属或者带金属包头的炮杆</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３２４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1994" o:spid="_x0000_s1994" o:spt="203" style="height:2.15pt;width:398.25pt;" coordsize="7965,43">
            <o:lock v:ext="edit"/>
            <v:line id="_x0000_s1995" o:spid="_x0000_s1995" o:spt="20" style="position:absolute;left:0;top:39;height:0;width:7965;" stroked="t" coordsize="21600,21600">
              <v:path arrowok="t"/>
              <v:fill focussize="0,0"/>
              <v:stroke weight="0.388031496062992pt" color="#231F20"/>
              <v:imagedata o:title=""/>
              <o:lock v:ext="edit"/>
            </v:line>
            <v:line id="_x0000_s1996" o:spid="_x0000_s199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炮孔卡堵或者雷管脚线</w:t>
      </w:r>
      <w:r>
        <w:rPr>
          <w:rFonts w:hint="eastAsia" w:ascii="MS UI Gothic" w:eastAsia="MS UI Gothic"/>
          <w:w w:val="80"/>
        </w:rPr>
        <w:t xml:space="preserve">、  </w:t>
      </w:r>
      <w:r>
        <w:rPr>
          <w:w w:val="105"/>
        </w:rPr>
        <w:t>导爆</w:t>
      </w:r>
      <w:r>
        <w:t>管及导爆索损坏时应当及时处理</w:t>
      </w:r>
      <w:r>
        <w:rPr>
          <w:rFonts w:hint="eastAsia" w:ascii="MS UI Gothic" w:eastAsia="MS UI Gothic"/>
          <w:w w:val="80"/>
        </w:rPr>
        <w:t xml:space="preserve">ꎻ </w:t>
      </w:r>
      <w:r>
        <w:t>无法处</w:t>
      </w:r>
      <w:r>
        <w:rPr>
          <w:w w:val="105"/>
        </w:rPr>
        <w:t>理时必须插上标志</w:t>
      </w:r>
      <w:r>
        <w:rPr>
          <w:rFonts w:hint="eastAsia" w:ascii="MS UI Gothic" w:eastAsia="MS UI Gothic"/>
          <w:w w:val="80"/>
        </w:rPr>
        <w:t xml:space="preserve">ꎬ </w:t>
      </w:r>
      <w:r>
        <w:rPr>
          <w:w w:val="105"/>
        </w:rPr>
        <w:t>按拒爆处理</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36"/>
          <w:w w:val="130"/>
        </w:rPr>
        <w:t xml:space="preserve">( </w:t>
      </w:r>
      <w:r>
        <w:rPr>
          <w:spacing w:val="29"/>
          <w:w w:val="110"/>
        </w:rPr>
        <w:t>四</w:t>
      </w:r>
      <w:r>
        <w:rPr>
          <w:rFonts w:hint="eastAsia" w:ascii="MS UI Gothic" w:eastAsia="MS UI Gothic"/>
          <w:spacing w:val="-13"/>
          <w:w w:val="130"/>
        </w:rPr>
        <w:t xml:space="preserve">) </w:t>
      </w:r>
      <w:r>
        <w:rPr>
          <w:spacing w:val="40"/>
          <w:w w:val="110"/>
        </w:rPr>
        <w:t>机械化装药时由专人现场</w:t>
      </w:r>
      <w:r>
        <w:rPr>
          <w:spacing w:val="3"/>
          <w:w w:val="110"/>
        </w:rPr>
        <w:t>指挥</w:t>
      </w:r>
      <w:r>
        <w:rPr>
          <w:rFonts w:hint="eastAsia" w:ascii="MS UI Gothic" w:eastAsia="MS UI Gothic"/>
          <w:w w:val="80"/>
        </w:rPr>
        <w:t>ꎮ</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 xml:space="preserve">预装药炮孔在当班进行充填 </w:t>
      </w:r>
    </w:p>
    <w:p>
      <w:pPr>
        <w:pStyle w:val="6"/>
        <w:spacing w:before="56"/>
        <w:ind w:firstLine="0"/>
        <w:jc w:val="left"/>
        <w:rPr>
          <w:rFonts w:hint="eastAsia" w:ascii="MS UI Gothic" w:eastAsia="MS UI Gothic"/>
        </w:rPr>
      </w:pPr>
      <w:r>
        <w:t>预装药期间严禁连接起爆网络</w:t>
      </w:r>
      <w:r>
        <w:rPr>
          <w:rFonts w:hint="eastAsia" w:ascii="MS UI Gothic" w:eastAsia="MS UI Gothic"/>
          <w:w w:val="80"/>
        </w:rPr>
        <w:t>ꎮ</w:t>
      </w:r>
    </w:p>
    <w:p>
      <w:pPr>
        <w:pStyle w:val="6"/>
        <w:spacing w:before="58" w:line="295" w:lineRule="auto"/>
        <w:ind w:right="38"/>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装药完成撤出人员后方可连接</w:t>
      </w:r>
      <w:r>
        <w:rPr>
          <w:w w:val="110"/>
        </w:rPr>
        <w:t>起爆网络</w:t>
      </w:r>
      <w:r>
        <w:rPr>
          <w:rFonts w:hint="eastAsia" w:ascii="MS UI Gothic" w:eastAsia="MS UI Gothic"/>
          <w:w w:val="80"/>
        </w:rPr>
        <w:t>ꎮ</w:t>
      </w:r>
    </w:p>
    <w:p>
      <w:pPr>
        <w:pStyle w:val="6"/>
        <w:tabs>
          <w:tab w:val="left" w:pos="2220"/>
        </w:tabs>
        <w:spacing w:line="295" w:lineRule="auto"/>
        <w:ind w:right="38"/>
        <w:jc w:val="left"/>
        <w:rPr>
          <w:rFonts w:hint="eastAsia" w:ascii="MS UI Gothic" w:eastAsia="MS UI Gothic"/>
        </w:rPr>
      </w:pPr>
      <w:r>
        <w:rPr>
          <w:spacing w:val="3"/>
          <w:w w:val="105"/>
        </w:rPr>
        <w:t>第五百二十八</w:t>
      </w:r>
      <w:r>
        <w:rPr>
          <w:w w:val="105"/>
        </w:rPr>
        <w:t>条</w:t>
      </w:r>
      <w:r>
        <w:rPr>
          <w:w w:val="105"/>
        </w:rPr>
        <w:tab/>
      </w:r>
      <w:r>
        <w:rPr>
          <w:spacing w:val="3"/>
        </w:rPr>
        <w:t>爆破安全警戒必</w:t>
      </w:r>
      <w:r>
        <w:rPr>
          <w:spacing w:val="-12"/>
        </w:rPr>
        <w:t>须</w:t>
      </w:r>
      <w:r>
        <w:rPr>
          <w:spacing w:val="3"/>
          <w:w w:val="110"/>
        </w:rPr>
        <w:t>遵守下列规定</w:t>
      </w:r>
      <w:r>
        <w:rPr>
          <w:rFonts w:hint="eastAsia" w:ascii="MS UI Gothic" w:eastAsia="MS UI Gothic"/>
          <w:w w:val="235"/>
        </w:rPr>
        <w:t>:</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必须有安全警戒负责人</w:t>
      </w:r>
      <w:r>
        <w:rPr>
          <w:rFonts w:hint="eastAsia" w:ascii="MS UI Gothic" w:eastAsia="MS UI Gothic"/>
          <w:w w:val="80"/>
        </w:rPr>
        <w:t xml:space="preserve">ꎬ </w:t>
      </w:r>
      <w:r>
        <w:rPr>
          <w:w w:val="105"/>
        </w:rPr>
        <w:t>并向爆破区周围派出警戒人员</w:t>
      </w:r>
      <w:r>
        <w:rPr>
          <w:rFonts w:hint="eastAsia" w:ascii="MS UI Gothic" w:eastAsia="MS UI Gothic"/>
          <w:w w:val="80"/>
        </w:rPr>
        <w:t>ꎮ</w:t>
      </w:r>
    </w:p>
    <w:p>
      <w:pPr>
        <w:pStyle w:val="6"/>
        <w:spacing w:line="295" w:lineRule="auto"/>
        <w:ind w:right="38"/>
        <w:jc w:val="left"/>
        <w:rPr>
          <w:rFonts w:hint="eastAsia" w:ascii="MS UI Gothic" w:hAnsi="MS UI Gothic" w:eastAsia="MS UI Gothic"/>
        </w:rPr>
      </w:pPr>
      <w:r>
        <w:rPr>
          <w:rFonts w:hint="eastAsia" w:ascii="MS UI Gothic" w:hAnsi="MS UI Gothic" w:eastAsia="MS UI Gothic"/>
          <w:w w:val="105"/>
        </w:rPr>
        <w:t xml:space="preserve">( </w:t>
      </w:r>
      <w:r>
        <w:rPr>
          <w:w w:val="105"/>
        </w:rPr>
        <w:t>二</w:t>
      </w:r>
      <w:r>
        <w:rPr>
          <w:rFonts w:hint="eastAsia" w:ascii="MS UI Gothic" w:hAnsi="MS UI Gothic" w:eastAsia="MS UI Gothic"/>
          <w:w w:val="105"/>
        </w:rPr>
        <w:t xml:space="preserve">) </w:t>
      </w:r>
      <w:r>
        <w:rPr>
          <w:w w:val="105"/>
        </w:rPr>
        <w:t>爆破区域负责人与警戒人员之</w:t>
      </w:r>
      <w:r>
        <w:rPr>
          <w:w w:val="110"/>
        </w:rPr>
        <w:t xml:space="preserve">间实行 </w:t>
      </w:r>
      <w:r>
        <w:rPr>
          <w:rFonts w:hint="eastAsia" w:ascii="MS UI Gothic" w:hAnsi="MS UI Gothic" w:eastAsia="MS UI Gothic"/>
          <w:w w:val="110"/>
        </w:rPr>
        <w:t xml:space="preserve">“ </w:t>
      </w:r>
      <w:r>
        <w:rPr>
          <w:w w:val="110"/>
        </w:rPr>
        <w:t>三联系制</w:t>
      </w:r>
      <w:r>
        <w:rPr>
          <w:rFonts w:hint="eastAsia" w:ascii="MS UI Gothic" w:hAnsi="MS UI Gothic" w:eastAsia="MS UI Gothic"/>
          <w:w w:val="110"/>
        </w:rPr>
        <w:t xml:space="preserve">” </w:t>
      </w:r>
      <w:r>
        <w:rPr>
          <w:rFonts w:hint="eastAsia" w:ascii="MS UI Gothic" w:hAnsi="MS UI Gothic" w:eastAsia="MS UI Gothic"/>
          <w:w w:val="80"/>
        </w:rPr>
        <w:t>ꎮ</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因爆破中断生产时</w:t>
      </w:r>
      <w:r>
        <w:rPr>
          <w:rFonts w:hint="eastAsia" w:ascii="MS UI Gothic" w:eastAsia="MS UI Gothic"/>
          <w:w w:val="80"/>
        </w:rPr>
        <w:t xml:space="preserve">ꎬ </w:t>
      </w:r>
      <w:r>
        <w:rPr>
          <w:w w:val="105"/>
        </w:rPr>
        <w:t>立即报告矿调度室</w:t>
      </w:r>
      <w:r>
        <w:rPr>
          <w:rFonts w:hint="eastAsia" w:ascii="MS UI Gothic" w:eastAsia="MS UI Gothic"/>
          <w:w w:val="80"/>
        </w:rPr>
        <w:t xml:space="preserve">ꎬ </w:t>
      </w:r>
      <w:r>
        <w:rPr>
          <w:w w:val="105"/>
        </w:rPr>
        <w:t>采取措施后方可解除警戒</w:t>
      </w:r>
      <w:r>
        <w:rPr>
          <w:rFonts w:hint="eastAsia" w:ascii="MS UI Gothic" w:eastAsia="MS UI Gothic"/>
          <w:w w:val="80"/>
        </w:rPr>
        <w:t>ꎮ</w:t>
      </w:r>
    </w:p>
    <w:p>
      <w:pPr>
        <w:pStyle w:val="6"/>
        <w:spacing w:line="255" w:lineRule="exact"/>
        <w:ind w:left="543" w:firstLine="0"/>
      </w:pPr>
      <w:r>
        <w:rPr>
          <w:w w:val="105"/>
        </w:rPr>
        <w:t>第五百二十九条 安全警戒距离应当</w:t>
      </w:r>
    </w:p>
    <w:p>
      <w:pPr>
        <w:pStyle w:val="6"/>
        <w:spacing w:before="123"/>
        <w:ind w:left="130" w:firstLine="0"/>
        <w:jc w:val="left"/>
        <w:rPr>
          <w:rFonts w:hint="eastAsia" w:ascii="MS UI Gothic" w:eastAsia="MS UI Gothic"/>
        </w:rPr>
      </w:pPr>
      <w:r>
        <w:br w:type="column"/>
      </w:r>
      <w:r>
        <w:rPr>
          <w:w w:val="115"/>
        </w:rPr>
        <w:t>符合下列要求</w:t>
      </w:r>
      <w:r>
        <w:rPr>
          <w:rFonts w:hint="eastAsia" w:ascii="MS UI Gothic" w:eastAsia="MS UI Gothic"/>
          <w:w w:val="235"/>
        </w:rPr>
        <w:t>:</w:t>
      </w:r>
    </w:p>
    <w:p>
      <w:pPr>
        <w:pStyle w:val="6"/>
        <w:spacing w:before="58" w:line="295" w:lineRule="auto"/>
        <w:ind w:left="130" w:right="440"/>
        <w:rPr>
          <w:rFonts w:hint="eastAsia" w:ascii="MS UI Gothic" w:eastAsia="MS UI Gothic"/>
        </w:rPr>
      </w:pPr>
      <w:r>
        <w:rPr>
          <w:rFonts w:hint="eastAsia" w:ascii="MS UI Gothic" w:eastAsia="MS UI Gothic"/>
          <w:w w:val="168"/>
        </w:rPr>
        <w:t>(</w:t>
      </w:r>
      <w:r>
        <w:rPr>
          <w:rFonts w:hint="eastAsia" w:ascii="MS UI Gothic" w:eastAsia="MS UI Gothic"/>
        </w:rPr>
        <w:t xml:space="preserve"> </w:t>
      </w:r>
      <w:r>
        <w:rPr>
          <w:w w:val="102"/>
        </w:rPr>
        <w:t>一</w:t>
      </w:r>
      <w:r>
        <w:rPr>
          <w:rFonts w:hint="eastAsia" w:ascii="MS UI Gothic" w:eastAsia="MS UI Gothic"/>
          <w:w w:val="168"/>
        </w:rPr>
        <w:t>)</w:t>
      </w:r>
      <w:r>
        <w:rPr>
          <w:rFonts w:hint="eastAsia" w:ascii="MS UI Gothic" w:eastAsia="MS UI Gothic"/>
        </w:rPr>
        <w:t xml:space="preserve">  </w:t>
      </w:r>
      <w:r>
        <w:rPr>
          <w:w w:val="102"/>
        </w:rPr>
        <w:t>抛掷爆破</w:t>
      </w:r>
      <w:r>
        <w:t xml:space="preserve"> </w:t>
      </w:r>
      <w:r>
        <w:rPr>
          <w:rFonts w:hint="eastAsia" w:ascii="MS UI Gothic" w:eastAsia="MS UI Gothic"/>
          <w:w w:val="168"/>
        </w:rPr>
        <w:t>(</w:t>
      </w:r>
      <w:r>
        <w:rPr>
          <w:rFonts w:hint="eastAsia" w:ascii="MS UI Gothic" w:eastAsia="MS UI Gothic"/>
        </w:rPr>
        <w:t xml:space="preserve"> </w:t>
      </w:r>
      <w:r>
        <w:rPr>
          <w:w w:val="102"/>
        </w:rPr>
        <w:t>孔深小于</w:t>
      </w:r>
      <w:r>
        <w:t xml:space="preserve"> </w:t>
      </w:r>
      <w:r>
        <w:rPr>
          <w:rFonts w:hint="eastAsia" w:ascii="MS UI Gothic" w:eastAsia="MS UI Gothic"/>
          <w:w w:val="75"/>
        </w:rPr>
        <w:t>４５</w:t>
      </w:r>
      <w:r>
        <w:rPr>
          <w:rFonts w:hint="eastAsia" w:ascii="MS UI Gothic" w:eastAsia="MS UI Gothic"/>
        </w:rPr>
        <w:t xml:space="preserve">  </w:t>
      </w:r>
      <w:r>
        <w:rPr>
          <w:rFonts w:hint="eastAsia" w:ascii="MS UI Gothic" w:eastAsia="MS UI Gothic"/>
          <w:w w:val="79"/>
        </w:rPr>
        <w:t>ｍ</w:t>
      </w:r>
      <w:r>
        <w:rPr>
          <w:rFonts w:hint="eastAsia" w:ascii="MS UI Gothic" w:eastAsia="MS UI Gothic"/>
          <w:w w:val="168"/>
        </w:rPr>
        <w:t>)</w:t>
      </w:r>
      <w:r>
        <w:rPr>
          <w:rFonts w:hint="eastAsia" w:ascii="MS UI Gothic" w:eastAsia="MS UI Gothic"/>
          <w:w w:val="253"/>
        </w:rPr>
        <w:t>:</w:t>
      </w:r>
      <w:r>
        <w:t xml:space="preserve">爆破区正向不得小于 </w:t>
      </w:r>
      <w:r>
        <w:rPr>
          <w:rFonts w:hint="eastAsia" w:ascii="MS UI Gothic" w:eastAsia="MS UI Gothic"/>
          <w:w w:val="90"/>
        </w:rPr>
        <w:t xml:space="preserve">１０００ ｍꎬ </w:t>
      </w:r>
      <w:r>
        <w:t>其余方向</w:t>
      </w:r>
      <w:r>
        <w:rPr>
          <w:w w:val="105"/>
        </w:rPr>
        <w:t xml:space="preserve">不得小于 </w:t>
      </w:r>
      <w:r>
        <w:rPr>
          <w:rFonts w:hint="eastAsia" w:ascii="MS UI Gothic" w:eastAsia="MS UI Gothic"/>
          <w:w w:val="90"/>
        </w:rPr>
        <w:t>６００ ｍꎮ</w:t>
      </w:r>
    </w:p>
    <w:p>
      <w:pPr>
        <w:pStyle w:val="6"/>
        <w:spacing w:line="254" w:lineRule="exact"/>
        <w:ind w:left="549" w:firstLine="0"/>
      </w:pPr>
      <w:r>
        <w:rPr>
          <w:rFonts w:hint="eastAsia" w:ascii="MS UI Gothic" w:eastAsia="MS UI Gothic"/>
          <w:spacing w:val="-42"/>
          <w:w w:val="150"/>
        </w:rPr>
        <w:t xml:space="preserve">( </w:t>
      </w:r>
      <w:r>
        <w:rPr>
          <w:spacing w:val="31"/>
          <w:w w:val="115"/>
        </w:rPr>
        <w:t>二</w:t>
      </w:r>
      <w:r>
        <w:rPr>
          <w:rFonts w:hint="eastAsia" w:ascii="MS UI Gothic" w:eastAsia="MS UI Gothic"/>
          <w:spacing w:val="-18"/>
          <w:w w:val="150"/>
        </w:rPr>
        <w:t xml:space="preserve">) </w:t>
      </w:r>
      <w:r>
        <w:rPr>
          <w:spacing w:val="23"/>
          <w:w w:val="115"/>
        </w:rPr>
        <w:t xml:space="preserve">深孔松动爆破 </w:t>
      </w:r>
      <w:r>
        <w:rPr>
          <w:rFonts w:hint="eastAsia" w:ascii="MS UI Gothic" w:eastAsia="MS UI Gothic"/>
          <w:spacing w:val="-37"/>
          <w:w w:val="150"/>
        </w:rPr>
        <w:t xml:space="preserve">( </w:t>
      </w:r>
      <w:r>
        <w:rPr>
          <w:spacing w:val="36"/>
          <w:w w:val="115"/>
        </w:rPr>
        <w:t>孔深大于</w:t>
      </w:r>
    </w:p>
    <w:p>
      <w:pPr>
        <w:pStyle w:val="6"/>
        <w:spacing w:before="58"/>
        <w:ind w:firstLine="0"/>
      </w:pPr>
      <w:r>
        <w:rPr>
          <w:rFonts w:hint="eastAsia" w:ascii="MS UI Gothic" w:eastAsia="MS UI Gothic"/>
          <w:w w:val="75"/>
        </w:rPr>
        <w:t>５</w:t>
      </w:r>
      <w:r>
        <w:rPr>
          <w:rFonts w:hint="eastAsia" w:ascii="MS UI Gothic" w:eastAsia="MS UI Gothic"/>
          <w:spacing w:val="14"/>
        </w:rPr>
        <w:t xml:space="preserve"> </w:t>
      </w:r>
      <w:r>
        <w:rPr>
          <w:rFonts w:hint="eastAsia" w:ascii="MS UI Gothic" w:eastAsia="MS UI Gothic"/>
          <w:spacing w:val="10"/>
          <w:w w:val="79"/>
        </w:rPr>
        <w:t>ｍ</w:t>
      </w:r>
      <w:r>
        <w:rPr>
          <w:rFonts w:hint="eastAsia" w:ascii="MS UI Gothic" w:eastAsia="MS UI Gothic"/>
          <w:spacing w:val="21"/>
          <w:w w:val="168"/>
        </w:rPr>
        <w:t>)</w:t>
      </w:r>
      <w:r>
        <w:rPr>
          <w:rFonts w:hint="eastAsia" w:ascii="MS UI Gothic" w:eastAsia="MS UI Gothic"/>
          <w:w w:val="253"/>
        </w:rPr>
        <w:t>:</w:t>
      </w:r>
      <w:r>
        <w:rPr>
          <w:rFonts w:hint="eastAsia" w:ascii="MS UI Gothic" w:eastAsia="MS UI Gothic"/>
          <w:spacing w:val="3"/>
        </w:rPr>
        <w:t xml:space="preserve">  </w:t>
      </w:r>
      <w:r>
        <w:rPr>
          <w:spacing w:val="30"/>
          <w:w w:val="102"/>
        </w:rPr>
        <w:t>距爆破区边缘</w:t>
      </w:r>
      <w:r>
        <w:rPr>
          <w:rFonts w:hint="eastAsia" w:ascii="MS UI Gothic" w:eastAsia="MS UI Gothic"/>
          <w:w w:val="51"/>
        </w:rPr>
        <w:t>ꎬ</w:t>
      </w:r>
      <w:r>
        <w:rPr>
          <w:rFonts w:hint="eastAsia" w:ascii="MS UI Gothic" w:eastAsia="MS UI Gothic"/>
          <w:spacing w:val="3"/>
        </w:rPr>
        <w:t xml:space="preserve">  </w:t>
      </w:r>
      <w:r>
        <w:rPr>
          <w:spacing w:val="31"/>
          <w:w w:val="102"/>
        </w:rPr>
        <w:t>软岩不得小于</w:t>
      </w:r>
    </w:p>
    <w:p>
      <w:pPr>
        <w:pStyle w:val="6"/>
        <w:spacing w:before="58"/>
        <w:ind w:firstLine="0"/>
        <w:rPr>
          <w:rFonts w:hint="eastAsia" w:ascii="MS UI Gothic" w:eastAsia="MS UI Gothic"/>
        </w:rPr>
      </w:pPr>
      <w:r>
        <w:rPr>
          <w:rFonts w:hint="eastAsia" w:ascii="MS UI Gothic" w:eastAsia="MS UI Gothic"/>
          <w:w w:val="95"/>
        </w:rPr>
        <w:t xml:space="preserve">１００ ｍ、 </w:t>
      </w:r>
      <w:r>
        <w:rPr>
          <w:w w:val="95"/>
        </w:rPr>
        <w:t xml:space="preserve">硬岩不得小于 </w:t>
      </w:r>
      <w:r>
        <w:rPr>
          <w:rFonts w:hint="eastAsia" w:ascii="MS UI Gothic" w:eastAsia="MS UI Gothic"/>
          <w:w w:val="95"/>
        </w:rPr>
        <w:t>２００ ｍ</w:t>
      </w:r>
      <w:r>
        <w:rPr>
          <w:rFonts w:hint="eastAsia" w:ascii="MS UI Gothic" w:eastAsia="MS UI Gothic"/>
          <w:w w:val="90"/>
        </w:rPr>
        <w:t>ꎮ</w:t>
      </w:r>
    </w:p>
    <w:p>
      <w:pPr>
        <w:pStyle w:val="6"/>
        <w:spacing w:before="59"/>
        <w:ind w:left="549" w:firstLine="0"/>
        <w:jc w:val="left"/>
        <w:rPr>
          <w:rFonts w:hint="eastAsia" w:ascii="MS UI Gothic" w:eastAsia="MS UI Gothic"/>
        </w:rPr>
      </w:pPr>
      <w:r>
        <w:rPr>
          <w:rFonts w:hint="eastAsia" w:ascii="MS UI Gothic" w:eastAsia="MS UI Gothic"/>
          <w:w w:val="168"/>
        </w:rPr>
        <w:t>(</w:t>
      </w:r>
      <w:r>
        <w:rPr>
          <w:rFonts w:hint="eastAsia" w:ascii="MS UI Gothic" w:eastAsia="MS UI Gothic"/>
          <w:spacing w:val="-40"/>
        </w:rPr>
        <w:t xml:space="preserve"> </w:t>
      </w:r>
      <w:r>
        <w:rPr>
          <w:spacing w:val="11"/>
          <w:w w:val="102"/>
        </w:rPr>
        <w:t>三</w:t>
      </w:r>
      <w:r>
        <w:rPr>
          <w:rFonts w:hint="eastAsia" w:ascii="MS UI Gothic" w:eastAsia="MS UI Gothic"/>
          <w:w w:val="168"/>
        </w:rPr>
        <w:t>)</w:t>
      </w:r>
      <w:r>
        <w:rPr>
          <w:rFonts w:hint="eastAsia" w:ascii="MS UI Gothic" w:eastAsia="MS UI Gothic"/>
          <w:spacing w:val="9"/>
        </w:rPr>
        <w:t xml:space="preserve">  </w:t>
      </w:r>
      <w:r>
        <w:rPr>
          <w:spacing w:val="20"/>
          <w:w w:val="102"/>
        </w:rPr>
        <w:t>浅孔爆破</w:t>
      </w:r>
      <w:r>
        <w:rPr>
          <w:spacing w:val="24"/>
        </w:rPr>
        <w:t xml:space="preserve"> </w:t>
      </w:r>
      <w:r>
        <w:rPr>
          <w:rFonts w:hint="eastAsia" w:ascii="MS UI Gothic" w:eastAsia="MS UI Gothic"/>
          <w:w w:val="168"/>
        </w:rPr>
        <w:t>(</w:t>
      </w:r>
      <w:r>
        <w:rPr>
          <w:rFonts w:hint="eastAsia" w:ascii="MS UI Gothic" w:eastAsia="MS UI Gothic"/>
          <w:spacing w:val="-25"/>
        </w:rPr>
        <w:t xml:space="preserve"> </w:t>
      </w:r>
      <w:r>
        <w:rPr>
          <w:spacing w:val="20"/>
          <w:w w:val="102"/>
        </w:rPr>
        <w:t>孔深小于</w:t>
      </w:r>
      <w:r>
        <w:rPr>
          <w:spacing w:val="-17"/>
        </w:rPr>
        <w:t xml:space="preserve"> </w:t>
      </w:r>
      <w:r>
        <w:rPr>
          <w:rFonts w:hint="eastAsia" w:ascii="MS UI Gothic" w:eastAsia="MS UI Gothic"/>
          <w:w w:val="75"/>
        </w:rPr>
        <w:t>５</w:t>
      </w:r>
      <w:r>
        <w:rPr>
          <w:rFonts w:hint="eastAsia" w:ascii="MS UI Gothic" w:eastAsia="MS UI Gothic"/>
          <w:spacing w:val="-7"/>
        </w:rPr>
        <w:t xml:space="preserve">  </w:t>
      </w:r>
      <w:r>
        <w:rPr>
          <w:rFonts w:hint="eastAsia" w:ascii="MS UI Gothic" w:eastAsia="MS UI Gothic"/>
          <w:spacing w:val="22"/>
          <w:w w:val="79"/>
        </w:rPr>
        <w:t>ｍ</w:t>
      </w:r>
      <w:r>
        <w:rPr>
          <w:rFonts w:hint="eastAsia" w:ascii="MS UI Gothic" w:eastAsia="MS UI Gothic"/>
          <w:spacing w:val="21"/>
          <w:w w:val="168"/>
        </w:rPr>
        <w:t>)</w:t>
      </w:r>
      <w:r>
        <w:rPr>
          <w:rFonts w:hint="eastAsia" w:ascii="MS UI Gothic" w:eastAsia="MS UI Gothic"/>
          <w:w w:val="253"/>
        </w:rPr>
        <w:t>:</w:t>
      </w:r>
    </w:p>
    <w:p>
      <w:pPr>
        <w:pStyle w:val="6"/>
        <w:spacing w:before="58"/>
        <w:ind w:left="130" w:firstLine="0"/>
        <w:jc w:val="left"/>
        <w:rPr>
          <w:rFonts w:hint="eastAsia" w:ascii="MS UI Gothic" w:eastAsia="MS UI Gothic"/>
        </w:rPr>
      </w:pPr>
      <w:r>
        <w:rPr>
          <w:w w:val="95"/>
        </w:rPr>
        <w:t>无充填预裂爆破</w:t>
      </w:r>
      <w:r>
        <w:rPr>
          <w:rFonts w:hint="eastAsia" w:ascii="MS UI Gothic" w:eastAsia="MS UI Gothic"/>
          <w:w w:val="90"/>
        </w:rPr>
        <w:t xml:space="preserve">ꎬ </w:t>
      </w:r>
      <w:r>
        <w:rPr>
          <w:w w:val="95"/>
        </w:rPr>
        <w:t xml:space="preserve">不得小于 </w:t>
      </w:r>
      <w:r>
        <w:rPr>
          <w:rFonts w:hint="eastAsia" w:ascii="MS UI Gothic" w:eastAsia="MS UI Gothic"/>
          <w:w w:val="95"/>
        </w:rPr>
        <w:t>３００ ｍ</w:t>
      </w:r>
      <w:r>
        <w:rPr>
          <w:rFonts w:hint="eastAsia" w:ascii="MS UI Gothic" w:eastAsia="MS UI Gothic"/>
          <w:w w:val="90"/>
        </w:rPr>
        <w:t>ꎮ</w:t>
      </w:r>
    </w:p>
    <w:p>
      <w:pPr>
        <w:pStyle w:val="6"/>
        <w:spacing w:before="58"/>
        <w:ind w:left="549" w:firstLine="0"/>
        <w:jc w:val="left"/>
      </w:pPr>
      <w:r>
        <w:rPr>
          <w:rFonts w:hint="eastAsia" w:ascii="MS UI Gothic" w:eastAsia="MS UI Gothic"/>
          <w:w w:val="150"/>
        </w:rPr>
        <w:t xml:space="preserve">( </w:t>
      </w:r>
      <w:r>
        <w:rPr>
          <w:w w:val="115"/>
        </w:rPr>
        <w:t>四</w:t>
      </w:r>
      <w:r>
        <w:rPr>
          <w:rFonts w:hint="eastAsia" w:ascii="MS UI Gothic" w:eastAsia="MS UI Gothic"/>
          <w:w w:val="150"/>
        </w:rPr>
        <w:t xml:space="preserve">) </w:t>
      </w:r>
      <w:r>
        <w:rPr>
          <w:w w:val="115"/>
        </w:rPr>
        <w:t>二次爆破</w:t>
      </w:r>
      <w:r>
        <w:rPr>
          <w:rFonts w:hint="eastAsia" w:ascii="MS UI Gothic" w:eastAsia="MS UI Gothic"/>
          <w:w w:val="235"/>
        </w:rPr>
        <w:t xml:space="preserve">: </w:t>
      </w:r>
      <w:r>
        <w:rPr>
          <w:w w:val="115"/>
        </w:rPr>
        <w:t>炮眼爆破不得小于</w:t>
      </w:r>
    </w:p>
    <w:p>
      <w:pPr>
        <w:pStyle w:val="6"/>
        <w:spacing w:before="58"/>
        <w:ind w:firstLine="0"/>
        <w:rPr>
          <w:rFonts w:hint="eastAsia" w:ascii="MS UI Gothic" w:eastAsia="MS UI Gothic"/>
        </w:rPr>
      </w:pPr>
      <w:r>
        <w:rPr>
          <w:rFonts w:hint="eastAsia" w:ascii="MS UI Gothic" w:eastAsia="MS UI Gothic"/>
          <w:w w:val="80"/>
        </w:rPr>
        <w:t>２００ ｍꎮ</w:t>
      </w:r>
    </w:p>
    <w:p>
      <w:pPr>
        <w:pStyle w:val="6"/>
        <w:spacing w:before="58" w:line="295" w:lineRule="auto"/>
        <w:ind w:left="130" w:right="442"/>
        <w:rPr>
          <w:rFonts w:hint="eastAsia" w:ascii="MS UI Gothic" w:eastAsia="MS UI Gothic"/>
        </w:rPr>
      </w:pPr>
      <w:r>
        <w:t>第五百三十条 起爆前</w:t>
      </w:r>
      <w:r>
        <w:rPr>
          <w:rFonts w:hint="eastAsia" w:ascii="MS UI Gothic" w:eastAsia="MS UI Gothic"/>
          <w:w w:val="80"/>
        </w:rPr>
        <w:t xml:space="preserve">ꎬ </w:t>
      </w:r>
      <w:r>
        <w:t>必须将所有人员撤至安全地点</w:t>
      </w:r>
      <w:r>
        <w:rPr>
          <w:rFonts w:hint="eastAsia" w:ascii="MS UI Gothic" w:eastAsia="MS UI Gothic"/>
          <w:w w:val="80"/>
        </w:rPr>
        <w:t xml:space="preserve">ꎮ </w:t>
      </w:r>
      <w:r>
        <w:t>接触爆炸物品的人员必须穿戴抗静电保护用品</w:t>
      </w:r>
      <w:r>
        <w:rPr>
          <w:rFonts w:hint="eastAsia" w:ascii="MS UI Gothic" w:eastAsia="MS UI Gothic"/>
          <w:w w:val="80"/>
        </w:rPr>
        <w:t>ꎮ</w:t>
      </w:r>
    </w:p>
    <w:p>
      <w:pPr>
        <w:pStyle w:val="6"/>
        <w:spacing w:line="295" w:lineRule="auto"/>
        <w:ind w:left="130" w:right="442"/>
        <w:rPr>
          <w:rFonts w:hint="eastAsia" w:ascii="MS UI Gothic" w:eastAsia="MS UI Gothic"/>
        </w:rPr>
      </w:pPr>
      <w:r>
        <w:t>第五百三十一条 设备</w:t>
      </w:r>
      <w:r>
        <w:rPr>
          <w:rFonts w:hint="eastAsia" w:ascii="MS UI Gothic" w:eastAsia="MS UI Gothic"/>
        </w:rPr>
        <w:t xml:space="preserve">、 </w:t>
      </w:r>
      <w:r>
        <w:t xml:space="preserve">设施距松动爆破区外端的安全距离应当符合表 </w:t>
      </w:r>
      <w:r>
        <w:rPr>
          <w:rFonts w:hint="eastAsia" w:ascii="MS UI Gothic" w:eastAsia="MS UI Gothic"/>
          <w:w w:val="85"/>
        </w:rPr>
        <w:t xml:space="preserve">２０ </w:t>
      </w:r>
      <w:r>
        <w:t>的要求</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2"/>
            <w:col w:w="4354"/>
          </w:cols>
        </w:sectPr>
      </w:pPr>
    </w:p>
    <w:p>
      <w:pPr>
        <w:pStyle w:val="6"/>
        <w:spacing w:before="12"/>
        <w:ind w:left="0" w:firstLine="0"/>
        <w:jc w:val="left"/>
        <w:rPr>
          <w:rFonts w:ascii="MS UI Gothic"/>
          <w:sz w:val="14"/>
        </w:rPr>
      </w:pPr>
    </w:p>
    <w:p>
      <w:pPr>
        <w:pStyle w:val="6"/>
        <w:spacing w:before="175"/>
        <w:ind w:left="310" w:right="626" w:firstLine="0"/>
        <w:jc w:val="center"/>
        <w:rPr>
          <w:rFonts w:hint="eastAsia" w:ascii="MS UI Gothic" w:eastAsia="MS UI Gothic"/>
        </w:rPr>
      </w:pPr>
      <w:r>
        <w:rPr>
          <w:w w:val="95"/>
        </w:rPr>
        <w:t xml:space="preserve">表 </w:t>
      </w:r>
      <w:r>
        <w:rPr>
          <w:rFonts w:hint="eastAsia" w:ascii="MS UI Gothic" w:eastAsia="MS UI Gothic"/>
          <w:w w:val="95"/>
        </w:rPr>
        <w:t xml:space="preserve">２０ </w:t>
      </w:r>
      <w:r>
        <w:rPr>
          <w:w w:val="95"/>
        </w:rPr>
        <w:t>设备</w:t>
      </w:r>
      <w:r>
        <w:rPr>
          <w:rFonts w:hint="eastAsia" w:ascii="Microsoft Yi Baiti" w:eastAsia="Microsoft Yi Baiti"/>
          <w:w w:val="95"/>
        </w:rPr>
        <w:t xml:space="preserve">、 </w:t>
      </w:r>
      <w:r>
        <w:rPr>
          <w:w w:val="95"/>
        </w:rPr>
        <w:t xml:space="preserve">设施距松动爆破区外端的安全距离 </w:t>
      </w:r>
      <w:r>
        <w:rPr>
          <w:rFonts w:hint="eastAsia" w:ascii="MS UI Gothic" w:eastAsia="MS UI Gothic"/>
          <w:w w:val="95"/>
        </w:rPr>
        <w:t>ｍ</w:t>
      </w:r>
    </w:p>
    <w:p>
      <w:pPr>
        <w:pStyle w:val="6"/>
        <w:ind w:left="0" w:firstLine="0"/>
        <w:jc w:val="left"/>
        <w:rPr>
          <w:rFonts w:ascii="MS UI Gothic"/>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387"/>
        <w:gridCol w:w="1273"/>
        <w:gridCol w:w="1273"/>
        <w:gridCol w:w="3031"/>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1" w:hRule="atLeast"/>
        </w:trPr>
        <w:tc>
          <w:tcPr>
            <w:tcW w:w="2387" w:type="dxa"/>
            <w:tcBorders>
              <w:bottom w:val="single" w:color="231F20" w:sz="4" w:space="0"/>
              <w:right w:val="single" w:color="231F20" w:sz="4" w:space="0"/>
            </w:tcBorders>
          </w:tcPr>
          <w:p>
            <w:pPr>
              <w:pStyle w:val="11"/>
              <w:spacing w:before="4"/>
              <w:rPr>
                <w:rFonts w:ascii="MS UI Gothic"/>
                <w:sz w:val="16"/>
              </w:rPr>
            </w:pPr>
          </w:p>
          <w:p>
            <w:pPr>
              <w:pStyle w:val="11"/>
              <w:ind w:left="856" w:right="846"/>
              <w:jc w:val="center"/>
              <w:rPr>
                <w:sz w:val="15"/>
              </w:rPr>
            </w:pPr>
            <w:r>
              <w:rPr>
                <w:w w:val="105"/>
                <w:sz w:val="15"/>
              </w:rPr>
              <w:t>设备名称</w:t>
            </w:r>
          </w:p>
        </w:tc>
        <w:tc>
          <w:tcPr>
            <w:tcW w:w="1273" w:type="dxa"/>
            <w:tcBorders>
              <w:left w:val="single" w:color="231F20" w:sz="4" w:space="0"/>
              <w:bottom w:val="single" w:color="231F20" w:sz="4" w:space="0"/>
              <w:right w:val="single" w:color="231F20" w:sz="4" w:space="0"/>
            </w:tcBorders>
          </w:tcPr>
          <w:p>
            <w:pPr>
              <w:pStyle w:val="11"/>
              <w:spacing w:before="4"/>
              <w:rPr>
                <w:rFonts w:ascii="MS UI Gothic"/>
                <w:sz w:val="16"/>
              </w:rPr>
            </w:pPr>
          </w:p>
          <w:p>
            <w:pPr>
              <w:pStyle w:val="11"/>
              <w:ind w:left="224" w:right="209"/>
              <w:jc w:val="center"/>
              <w:rPr>
                <w:sz w:val="15"/>
              </w:rPr>
            </w:pPr>
            <w:r>
              <w:rPr>
                <w:w w:val="105"/>
                <w:sz w:val="15"/>
              </w:rPr>
              <w:t>深孔爆破</w:t>
            </w:r>
          </w:p>
        </w:tc>
        <w:tc>
          <w:tcPr>
            <w:tcW w:w="1273" w:type="dxa"/>
            <w:tcBorders>
              <w:left w:val="single" w:color="231F20" w:sz="4" w:space="0"/>
              <w:bottom w:val="single" w:color="231F20" w:sz="4" w:space="0"/>
              <w:right w:val="single" w:color="231F20" w:sz="4" w:space="0"/>
            </w:tcBorders>
          </w:tcPr>
          <w:p>
            <w:pPr>
              <w:pStyle w:val="11"/>
              <w:spacing w:before="9" w:line="260" w:lineRule="atLeast"/>
              <w:ind w:left="402" w:right="305" w:hanging="80"/>
              <w:rPr>
                <w:sz w:val="15"/>
              </w:rPr>
            </w:pPr>
            <w:r>
              <w:rPr>
                <w:w w:val="105"/>
                <w:sz w:val="15"/>
              </w:rPr>
              <w:t>浅孔及二次爆破</w:t>
            </w:r>
          </w:p>
        </w:tc>
        <w:tc>
          <w:tcPr>
            <w:tcW w:w="3031" w:type="dxa"/>
            <w:tcBorders>
              <w:left w:val="single" w:color="231F20" w:sz="4" w:space="0"/>
              <w:bottom w:val="single" w:color="231F20" w:sz="4" w:space="0"/>
            </w:tcBorders>
          </w:tcPr>
          <w:p>
            <w:pPr>
              <w:pStyle w:val="11"/>
              <w:spacing w:before="4"/>
              <w:rPr>
                <w:rFonts w:ascii="MS UI Gothic"/>
                <w:sz w:val="16"/>
              </w:rPr>
            </w:pPr>
          </w:p>
          <w:p>
            <w:pPr>
              <w:pStyle w:val="11"/>
              <w:ind w:left="1183" w:right="1162"/>
              <w:jc w:val="center"/>
              <w:rPr>
                <w:sz w:val="15"/>
              </w:rPr>
            </w:pPr>
            <w:r>
              <w:rPr>
                <w:w w:val="105"/>
                <w:sz w:val="15"/>
              </w:rPr>
              <w:t>备  注</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387" w:type="dxa"/>
            <w:tcBorders>
              <w:top w:val="single" w:color="231F20" w:sz="4" w:space="0"/>
              <w:bottom w:val="single" w:color="231F20" w:sz="4" w:space="0"/>
              <w:right w:val="single" w:color="231F20" w:sz="4" w:space="0"/>
            </w:tcBorders>
          </w:tcPr>
          <w:p>
            <w:pPr>
              <w:pStyle w:val="11"/>
              <w:spacing w:before="55"/>
              <w:ind w:left="263"/>
              <w:rPr>
                <w:sz w:val="15"/>
              </w:rPr>
            </w:pPr>
            <w:r>
              <w:rPr>
                <w:sz w:val="15"/>
              </w:rPr>
              <w:t>挖掘机</w:t>
            </w:r>
            <w:r>
              <w:rPr>
                <w:rFonts w:hint="eastAsia" w:ascii="MS UI Gothic" w:eastAsia="MS UI Gothic"/>
                <w:sz w:val="15"/>
              </w:rPr>
              <w:t xml:space="preserve">、 </w:t>
            </w:r>
            <w:r>
              <w:rPr>
                <w:sz w:val="15"/>
              </w:rPr>
              <w:t>钻孔机</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5"/>
              <w:ind w:left="220" w:right="209"/>
              <w:jc w:val="center"/>
              <w:rPr>
                <w:rFonts w:hint="eastAsia" w:ascii="MS UI Gothic" w:eastAsia="MS UI Gothic"/>
                <w:sz w:val="15"/>
              </w:rPr>
            </w:pPr>
            <w:r>
              <w:rPr>
                <w:rFonts w:hint="eastAsia" w:ascii="MS UI Gothic" w:eastAsia="MS UI Gothic"/>
                <w:w w:val="85"/>
                <w:sz w:val="15"/>
              </w:rPr>
              <w:t>３０</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5"/>
              <w:ind w:left="559"/>
              <w:rPr>
                <w:rFonts w:hint="eastAsia" w:ascii="MS UI Gothic" w:eastAsia="MS UI Gothic"/>
                <w:sz w:val="15"/>
              </w:rPr>
            </w:pPr>
            <w:r>
              <w:rPr>
                <w:rFonts w:hint="eastAsia" w:ascii="MS UI Gothic" w:eastAsia="MS UI Gothic"/>
                <w:w w:val="85"/>
                <w:sz w:val="15"/>
              </w:rPr>
              <w:t>４０</w:t>
            </w:r>
          </w:p>
        </w:tc>
        <w:tc>
          <w:tcPr>
            <w:tcW w:w="3031" w:type="dxa"/>
            <w:tcBorders>
              <w:top w:val="single" w:color="231F20" w:sz="4" w:space="0"/>
              <w:left w:val="single" w:color="231F20" w:sz="4" w:space="0"/>
              <w:bottom w:val="single" w:color="231F20" w:sz="4" w:space="0"/>
            </w:tcBorders>
          </w:tcPr>
          <w:p>
            <w:pPr>
              <w:pStyle w:val="11"/>
              <w:spacing w:before="55"/>
              <w:ind w:left="268"/>
              <w:rPr>
                <w:sz w:val="15"/>
              </w:rPr>
            </w:pPr>
            <w:r>
              <w:rPr>
                <w:w w:val="105"/>
                <w:sz w:val="15"/>
              </w:rPr>
              <w:t>司机室背向爆破区</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387"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风泵车</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5"/>
              <w:ind w:left="220" w:right="209"/>
              <w:jc w:val="center"/>
              <w:rPr>
                <w:rFonts w:hint="eastAsia" w:ascii="MS UI Gothic" w:eastAsia="MS UI Gothic"/>
                <w:sz w:val="15"/>
              </w:rPr>
            </w:pPr>
            <w:r>
              <w:rPr>
                <w:rFonts w:hint="eastAsia" w:ascii="MS UI Gothic" w:eastAsia="MS UI Gothic"/>
                <w:w w:val="85"/>
                <w:sz w:val="15"/>
              </w:rPr>
              <w:t>４０</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55"/>
              <w:ind w:left="559"/>
              <w:rPr>
                <w:rFonts w:hint="eastAsia" w:ascii="MS UI Gothic" w:eastAsia="MS UI Gothic"/>
                <w:sz w:val="15"/>
              </w:rPr>
            </w:pPr>
            <w:r>
              <w:rPr>
                <w:rFonts w:hint="eastAsia" w:ascii="MS UI Gothic" w:eastAsia="MS UI Gothic"/>
                <w:w w:val="85"/>
                <w:sz w:val="15"/>
              </w:rPr>
              <w:t>５０</w:t>
            </w:r>
          </w:p>
        </w:tc>
        <w:tc>
          <w:tcPr>
            <w:tcW w:w="3031" w:type="dxa"/>
            <w:tcBorders>
              <w:top w:val="single" w:color="231F20" w:sz="4" w:space="0"/>
              <w:left w:val="single" w:color="231F20" w:sz="4" w:space="0"/>
              <w:bottom w:val="single" w:color="231F20" w:sz="4" w:space="0"/>
            </w:tcBorders>
          </w:tcPr>
          <w:p>
            <w:pPr>
              <w:pStyle w:val="11"/>
              <w:spacing w:before="55"/>
              <w:ind w:left="268"/>
              <w:rPr>
                <w:sz w:val="15"/>
              </w:rPr>
            </w:pPr>
            <w:r>
              <w:rPr>
                <w:w w:val="105"/>
                <w:sz w:val="15"/>
              </w:rPr>
              <w:t>小于此距离应当采取保护措施</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26" w:hRule="atLeast"/>
        </w:trPr>
        <w:tc>
          <w:tcPr>
            <w:tcW w:w="2387" w:type="dxa"/>
            <w:tcBorders>
              <w:top w:val="single" w:color="231F20" w:sz="4" w:space="0"/>
              <w:bottom w:val="single" w:color="231F20" w:sz="4" w:space="0"/>
              <w:right w:val="single" w:color="231F20" w:sz="4" w:space="0"/>
            </w:tcBorders>
          </w:tcPr>
          <w:p>
            <w:pPr>
              <w:pStyle w:val="11"/>
              <w:spacing w:before="14" w:line="260" w:lineRule="atLeast"/>
              <w:ind w:left="104" w:right="90" w:firstLine="163"/>
              <w:rPr>
                <w:sz w:val="15"/>
              </w:rPr>
            </w:pPr>
            <w:r>
              <w:rPr>
                <w:sz w:val="15"/>
              </w:rPr>
              <w:t>信号箱</w:t>
            </w:r>
            <w:r>
              <w:rPr>
                <w:rFonts w:hint="eastAsia" w:ascii="MS UI Gothic" w:eastAsia="MS UI Gothic"/>
                <w:sz w:val="15"/>
              </w:rPr>
              <w:t xml:space="preserve">、 </w:t>
            </w:r>
            <w:r>
              <w:rPr>
                <w:sz w:val="15"/>
              </w:rPr>
              <w:t>电气柜</w:t>
            </w:r>
            <w:r>
              <w:rPr>
                <w:rFonts w:hint="eastAsia" w:ascii="MS UI Gothic" w:eastAsia="MS UI Gothic"/>
                <w:sz w:val="15"/>
              </w:rPr>
              <w:t xml:space="preserve">、 </w:t>
            </w:r>
            <w:r>
              <w:rPr>
                <w:sz w:val="15"/>
              </w:rPr>
              <w:t>变压器</w:t>
            </w:r>
            <w:r>
              <w:rPr>
                <w:rFonts w:hint="eastAsia" w:ascii="MS UI Gothic" w:eastAsia="MS UI Gothic"/>
                <w:sz w:val="15"/>
              </w:rPr>
              <w:t>、</w:t>
            </w:r>
            <w:r>
              <w:rPr>
                <w:sz w:val="15"/>
              </w:rPr>
              <w:t>移动变电站</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214"/>
              <w:ind w:left="220" w:right="209"/>
              <w:jc w:val="center"/>
              <w:rPr>
                <w:rFonts w:hint="eastAsia" w:ascii="MS UI Gothic" w:eastAsia="MS UI Gothic"/>
                <w:sz w:val="15"/>
              </w:rPr>
            </w:pPr>
            <w:r>
              <w:rPr>
                <w:rFonts w:hint="eastAsia" w:ascii="MS UI Gothic" w:eastAsia="MS UI Gothic"/>
                <w:w w:val="85"/>
                <w:sz w:val="15"/>
              </w:rPr>
              <w:t>３０</w:t>
            </w:r>
          </w:p>
        </w:tc>
        <w:tc>
          <w:tcPr>
            <w:tcW w:w="1273" w:type="dxa"/>
            <w:tcBorders>
              <w:top w:val="single" w:color="231F20" w:sz="4" w:space="0"/>
              <w:left w:val="single" w:color="231F20" w:sz="4" w:space="0"/>
              <w:bottom w:val="single" w:color="231F20" w:sz="4" w:space="0"/>
              <w:right w:val="single" w:color="231F20" w:sz="4" w:space="0"/>
            </w:tcBorders>
          </w:tcPr>
          <w:p>
            <w:pPr>
              <w:pStyle w:val="11"/>
              <w:spacing w:before="214"/>
              <w:ind w:left="559"/>
              <w:rPr>
                <w:rFonts w:hint="eastAsia" w:ascii="MS UI Gothic" w:eastAsia="MS UI Gothic"/>
                <w:sz w:val="15"/>
              </w:rPr>
            </w:pPr>
            <w:r>
              <w:rPr>
                <w:rFonts w:hint="eastAsia" w:ascii="MS UI Gothic" w:eastAsia="MS UI Gothic"/>
                <w:w w:val="85"/>
                <w:sz w:val="15"/>
              </w:rPr>
              <w:t>３０</w:t>
            </w:r>
          </w:p>
        </w:tc>
        <w:tc>
          <w:tcPr>
            <w:tcW w:w="3031" w:type="dxa"/>
            <w:tcBorders>
              <w:top w:val="single" w:color="231F20" w:sz="4" w:space="0"/>
              <w:left w:val="single" w:color="231F20" w:sz="4" w:space="0"/>
              <w:bottom w:val="single" w:color="231F20" w:sz="4" w:space="0"/>
            </w:tcBorders>
          </w:tcPr>
          <w:p>
            <w:pPr>
              <w:pStyle w:val="11"/>
              <w:spacing w:before="9"/>
              <w:rPr>
                <w:rFonts w:ascii="MS UI Gothic"/>
                <w:sz w:val="16"/>
              </w:rPr>
            </w:pPr>
          </w:p>
          <w:p>
            <w:pPr>
              <w:pStyle w:val="11"/>
              <w:ind w:left="268"/>
              <w:rPr>
                <w:sz w:val="15"/>
              </w:rPr>
            </w:pPr>
            <w:r>
              <w:rPr>
                <w:w w:val="105"/>
                <w:sz w:val="15"/>
              </w:rPr>
              <w:t>小于此距离应当采取保护措施</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387" w:type="dxa"/>
            <w:tcBorders>
              <w:top w:val="single" w:color="231F20" w:sz="4" w:space="0"/>
              <w:right w:val="single" w:color="231F20" w:sz="4" w:space="0"/>
            </w:tcBorders>
          </w:tcPr>
          <w:p>
            <w:pPr>
              <w:pStyle w:val="11"/>
              <w:spacing w:before="55"/>
              <w:ind w:left="263"/>
              <w:rPr>
                <w:sz w:val="15"/>
              </w:rPr>
            </w:pPr>
            <w:r>
              <w:rPr>
                <w:w w:val="105"/>
                <w:sz w:val="15"/>
              </w:rPr>
              <w:t>高压电缆</w:t>
            </w:r>
          </w:p>
        </w:tc>
        <w:tc>
          <w:tcPr>
            <w:tcW w:w="1273" w:type="dxa"/>
            <w:tcBorders>
              <w:top w:val="single" w:color="231F20" w:sz="4" w:space="0"/>
              <w:left w:val="single" w:color="231F20" w:sz="4" w:space="0"/>
              <w:right w:val="single" w:color="231F20" w:sz="4" w:space="0"/>
            </w:tcBorders>
          </w:tcPr>
          <w:p>
            <w:pPr>
              <w:pStyle w:val="11"/>
              <w:spacing w:before="55"/>
              <w:ind w:left="220" w:right="209"/>
              <w:jc w:val="center"/>
              <w:rPr>
                <w:rFonts w:hint="eastAsia" w:ascii="MS UI Gothic" w:eastAsia="MS UI Gothic"/>
                <w:sz w:val="15"/>
              </w:rPr>
            </w:pPr>
            <w:r>
              <w:rPr>
                <w:rFonts w:hint="eastAsia" w:ascii="MS UI Gothic" w:eastAsia="MS UI Gothic"/>
                <w:w w:val="85"/>
                <w:sz w:val="15"/>
              </w:rPr>
              <w:t>４０</w:t>
            </w:r>
          </w:p>
        </w:tc>
        <w:tc>
          <w:tcPr>
            <w:tcW w:w="1273" w:type="dxa"/>
            <w:tcBorders>
              <w:top w:val="single" w:color="231F20" w:sz="4" w:space="0"/>
              <w:left w:val="single" w:color="231F20" w:sz="4" w:space="0"/>
              <w:right w:val="single" w:color="231F20" w:sz="4" w:space="0"/>
            </w:tcBorders>
          </w:tcPr>
          <w:p>
            <w:pPr>
              <w:pStyle w:val="11"/>
              <w:spacing w:before="55"/>
              <w:ind w:left="559"/>
              <w:rPr>
                <w:rFonts w:hint="eastAsia" w:ascii="MS UI Gothic" w:eastAsia="MS UI Gothic"/>
                <w:sz w:val="15"/>
              </w:rPr>
            </w:pPr>
            <w:r>
              <w:rPr>
                <w:rFonts w:hint="eastAsia" w:ascii="MS UI Gothic" w:eastAsia="MS UI Gothic"/>
                <w:w w:val="85"/>
                <w:sz w:val="15"/>
              </w:rPr>
              <w:t>５０</w:t>
            </w:r>
          </w:p>
        </w:tc>
        <w:tc>
          <w:tcPr>
            <w:tcW w:w="3031" w:type="dxa"/>
            <w:tcBorders>
              <w:top w:val="single" w:color="231F20" w:sz="4" w:space="0"/>
              <w:left w:val="single" w:color="231F20" w:sz="4" w:space="0"/>
            </w:tcBorders>
          </w:tcPr>
          <w:p>
            <w:pPr>
              <w:pStyle w:val="11"/>
              <w:spacing w:before="55"/>
              <w:ind w:left="109"/>
              <w:rPr>
                <w:sz w:val="15"/>
              </w:rPr>
            </w:pPr>
            <w:r>
              <w:rPr>
                <w:w w:val="105"/>
                <w:sz w:val="15"/>
              </w:rPr>
              <w:t>小于此距离应当拆除或者采取保护措施</w:t>
            </w:r>
          </w:p>
        </w:tc>
      </w:tr>
    </w:tbl>
    <w:p>
      <w:pPr>
        <w:pStyle w:val="6"/>
        <w:spacing w:before="3"/>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175" w:line="292" w:lineRule="auto"/>
        <w:ind w:left="118" w:right="38" w:firstLine="425"/>
        <w:rPr>
          <w:rFonts w:hint="eastAsia" w:ascii="MS UI Gothic" w:eastAsia="MS UI Gothic"/>
        </w:rPr>
      </w:pPr>
      <w:r>
        <w:t>机车</w:t>
      </w:r>
      <w:r>
        <w:rPr>
          <w:rFonts w:hint="eastAsia" w:ascii="MS UI Gothic" w:eastAsia="MS UI Gothic"/>
          <w:w w:val="85"/>
        </w:rPr>
        <w:t xml:space="preserve">、 </w:t>
      </w:r>
      <w:r>
        <w:t>矿用卡车等机动设备处于警戒范围内且不能撤离时</w:t>
      </w:r>
      <w:r>
        <w:rPr>
          <w:rFonts w:hint="eastAsia" w:ascii="MS UI Gothic" w:eastAsia="MS UI Gothic"/>
          <w:w w:val="85"/>
        </w:rPr>
        <w:t xml:space="preserve">ꎬ </w:t>
      </w:r>
      <w:r>
        <w:t>应当采取就地保护措施</w:t>
      </w:r>
      <w:r>
        <w:rPr>
          <w:rFonts w:hint="eastAsia" w:ascii="MS UI Gothic" w:eastAsia="MS UI Gothic"/>
          <w:w w:val="85"/>
        </w:rPr>
        <w:t xml:space="preserve">ꎮ </w:t>
      </w:r>
      <w:r>
        <w:t xml:space="preserve">与电杆距离不得小于 </w:t>
      </w:r>
      <w:r>
        <w:rPr>
          <w:rFonts w:hint="eastAsia" w:ascii="MS UI Gothic" w:eastAsia="MS UI Gothic"/>
          <w:w w:val="85"/>
        </w:rPr>
        <w:t xml:space="preserve">５ ｍꎻ </w:t>
      </w:r>
      <w:r>
        <w:t xml:space="preserve">在 </w:t>
      </w:r>
      <w:r>
        <w:rPr>
          <w:rFonts w:hint="eastAsia" w:ascii="MS UI Gothic" w:eastAsia="MS UI Gothic"/>
          <w:w w:val="85"/>
        </w:rPr>
        <w:t xml:space="preserve">５ </w:t>
      </w:r>
      <w:r>
        <w:rPr>
          <w:rFonts w:hint="eastAsia" w:ascii="MS UI Gothic" w:eastAsia="MS UI Gothic"/>
          <w:w w:val="115"/>
        </w:rPr>
        <w:t xml:space="preserve">~ </w:t>
      </w:r>
      <w:r>
        <w:rPr>
          <w:rFonts w:hint="eastAsia" w:ascii="MS UI Gothic" w:eastAsia="MS UI Gothic"/>
          <w:w w:val="85"/>
        </w:rPr>
        <w:t xml:space="preserve">１０ ｍ </w:t>
      </w:r>
      <w:r>
        <w:t>时</w:t>
      </w:r>
      <w:r>
        <w:rPr>
          <w:rFonts w:hint="eastAsia" w:ascii="MS UI Gothic" w:eastAsia="MS UI Gothic"/>
          <w:w w:val="85"/>
        </w:rPr>
        <w:t xml:space="preserve">ꎬ </w:t>
      </w:r>
      <w:r>
        <w:t>必须采用减震爆破</w:t>
      </w:r>
      <w:r>
        <w:rPr>
          <w:rFonts w:hint="eastAsia" w:ascii="MS UI Gothic" w:eastAsia="MS UI Gothic"/>
          <w:w w:val="85"/>
        </w:rPr>
        <w:t>ꎮ</w:t>
      </w:r>
    </w:p>
    <w:p>
      <w:pPr>
        <w:pStyle w:val="6"/>
        <w:spacing w:line="292" w:lineRule="auto"/>
        <w:ind w:left="118" w:right="38" w:firstLine="425"/>
        <w:rPr>
          <w:rFonts w:hint="eastAsia" w:ascii="MS UI Gothic" w:eastAsia="MS UI Gothic"/>
        </w:rPr>
      </w:pPr>
      <w:r>
        <w:t>第五百三十二条 设备</w:t>
      </w:r>
      <w:r>
        <w:rPr>
          <w:rFonts w:hint="eastAsia" w:ascii="MS UI Gothic" w:eastAsia="MS UI Gothic"/>
          <w:w w:val="80"/>
        </w:rPr>
        <w:t xml:space="preserve">、 </w:t>
      </w:r>
      <w:r>
        <w:t>设施距抛掷爆破区外端的安全距离</w:t>
      </w:r>
      <w:r>
        <w:rPr>
          <w:rFonts w:hint="eastAsia" w:ascii="MS UI Gothic" w:eastAsia="MS UI Gothic"/>
          <w:w w:val="225"/>
        </w:rPr>
        <w:t xml:space="preserve">: </w:t>
      </w:r>
      <w:r>
        <w:t xml:space="preserve">爆破区正向不得小于 </w:t>
      </w:r>
      <w:r>
        <w:rPr>
          <w:rFonts w:hint="eastAsia" w:ascii="MS UI Gothic" w:eastAsia="MS UI Gothic"/>
          <w:w w:val="80"/>
        </w:rPr>
        <w:t xml:space="preserve">６００ ｍꎻ </w:t>
      </w:r>
      <w:r>
        <w:t xml:space="preserve">两侧有自由面方向及背向不得小于 </w:t>
      </w:r>
      <w:r>
        <w:rPr>
          <w:rFonts w:hint="eastAsia" w:ascii="MS UI Gothic" w:eastAsia="MS UI Gothic"/>
          <w:w w:val="80"/>
        </w:rPr>
        <w:t xml:space="preserve">３００ ｍꎻ </w:t>
      </w:r>
      <w:r>
        <w:t>无自由面方向不得小于</w:t>
      </w:r>
      <w:r>
        <w:rPr>
          <w:rFonts w:hint="eastAsia" w:ascii="MS UI Gothic" w:eastAsia="MS UI Gothic"/>
          <w:w w:val="80"/>
        </w:rPr>
        <w:t>２００ ｍꎮ</w:t>
      </w:r>
    </w:p>
    <w:p>
      <w:pPr>
        <w:pStyle w:val="6"/>
        <w:spacing w:line="292" w:lineRule="auto"/>
        <w:ind w:right="38"/>
      </w:pPr>
      <w:r>
        <w:rPr>
          <w:w w:val="105"/>
        </w:rPr>
        <w:t>第五百三十三条 爆破危险区的架空输电线</w:t>
      </w:r>
      <w:r>
        <w:rPr>
          <w:rFonts w:hint="eastAsia" w:ascii="MS UI Gothic" w:eastAsia="MS UI Gothic"/>
          <w:w w:val="80"/>
        </w:rPr>
        <w:t xml:space="preserve">、 </w:t>
      </w:r>
      <w:r>
        <w:rPr>
          <w:w w:val="105"/>
        </w:rPr>
        <w:t>电缆和移动变电站等</w:t>
      </w:r>
      <w:r>
        <w:rPr>
          <w:rFonts w:hint="eastAsia" w:ascii="MS UI Gothic" w:eastAsia="MS UI Gothic"/>
          <w:w w:val="80"/>
        </w:rPr>
        <w:t xml:space="preserve">ꎬ </w:t>
      </w:r>
      <w:r>
        <w:rPr>
          <w:w w:val="105"/>
        </w:rPr>
        <w:t>在爆破时</w:t>
      </w:r>
    </w:p>
    <w:p>
      <w:pPr>
        <w:pStyle w:val="6"/>
        <w:spacing w:before="175" w:line="292" w:lineRule="auto"/>
        <w:ind w:left="118" w:right="442" w:firstLine="0"/>
        <w:jc w:val="left"/>
        <w:rPr>
          <w:rFonts w:hint="eastAsia" w:ascii="MS UI Gothic" w:eastAsia="MS UI Gothic"/>
        </w:rPr>
      </w:pPr>
      <w:r>
        <w:br w:type="column"/>
      </w:r>
      <w:r>
        <w:t>应当停电</w:t>
      </w:r>
      <w:r>
        <w:rPr>
          <w:rFonts w:hint="eastAsia" w:ascii="MS UI Gothic" w:eastAsia="MS UI Gothic"/>
          <w:w w:val="80"/>
        </w:rPr>
        <w:t xml:space="preserve">ꎮ </w:t>
      </w:r>
      <w:r>
        <w:t>恢复送电前</w:t>
      </w:r>
      <w:r>
        <w:rPr>
          <w:rFonts w:hint="eastAsia" w:ascii="MS UI Gothic" w:eastAsia="MS UI Gothic"/>
          <w:w w:val="80"/>
        </w:rPr>
        <w:t xml:space="preserve">ꎬ </w:t>
      </w:r>
      <w:r>
        <w:t>必须对这些线路进行检查</w:t>
      </w:r>
      <w:r>
        <w:rPr>
          <w:rFonts w:hint="eastAsia" w:ascii="MS UI Gothic" w:eastAsia="MS UI Gothic"/>
          <w:w w:val="80"/>
        </w:rPr>
        <w:t xml:space="preserve">ꎬ </w:t>
      </w:r>
      <w:r>
        <w:t>确认无损后方可送电</w:t>
      </w:r>
      <w:r>
        <w:rPr>
          <w:rFonts w:hint="eastAsia" w:ascii="MS UI Gothic" w:eastAsia="MS UI Gothic"/>
          <w:w w:val="80"/>
        </w:rPr>
        <w:t>ꎮ</w:t>
      </w:r>
    </w:p>
    <w:p>
      <w:pPr>
        <w:pStyle w:val="6"/>
        <w:tabs>
          <w:tab w:val="left" w:pos="2214"/>
        </w:tabs>
        <w:spacing w:line="290" w:lineRule="auto"/>
        <w:ind w:left="118" w:right="442"/>
        <w:jc w:val="left"/>
        <w:rPr>
          <w:rFonts w:hint="eastAsia" w:ascii="MS UI Gothic" w:eastAsia="MS UI Gothic"/>
        </w:rPr>
      </w:pPr>
      <w:r>
        <w:rPr>
          <w:spacing w:val="3"/>
          <w:w w:val="105"/>
        </w:rPr>
        <w:t>第五百三十四</w:t>
      </w:r>
      <w:r>
        <w:rPr>
          <w:w w:val="105"/>
        </w:rPr>
        <w:t>条</w:t>
      </w:r>
      <w:r>
        <w:rPr>
          <w:w w:val="105"/>
        </w:rPr>
        <w:tab/>
      </w:r>
      <w:r>
        <w:rPr>
          <w:spacing w:val="3"/>
        </w:rPr>
        <w:t>爆破地震安全距</w:t>
      </w:r>
      <w:r>
        <w:rPr>
          <w:spacing w:val="-11"/>
        </w:rPr>
        <w:t>离</w:t>
      </w:r>
      <w:r>
        <w:rPr>
          <w:spacing w:val="3"/>
          <w:w w:val="110"/>
        </w:rPr>
        <w:t>应当符合下列要求</w:t>
      </w:r>
      <w:r>
        <w:rPr>
          <w:rFonts w:hint="eastAsia" w:ascii="MS UI Gothic" w:eastAsia="MS UI Gothic"/>
          <w:w w:val="235"/>
        </w:rPr>
        <w:t>:</w:t>
      </w:r>
    </w:p>
    <w:p>
      <w:pPr>
        <w:pStyle w:val="6"/>
        <w:spacing w:before="2" w:line="292" w:lineRule="auto"/>
        <w:ind w:left="118" w:right="442"/>
        <w:jc w:val="left"/>
        <w:rPr>
          <w:rFonts w:hint="eastAsia" w:ascii="MS UI Gothic" w:eastAsia="MS UI Gothic"/>
        </w:rPr>
      </w:pPr>
      <w:r>
        <w:rPr>
          <w:rFonts w:hint="eastAsia" w:ascii="MS UI Gothic" w:eastAsia="MS UI Gothic"/>
          <w:spacing w:val="19"/>
          <w:w w:val="150"/>
        </w:rPr>
        <w:t>(</w:t>
      </w:r>
      <w:r>
        <w:rPr>
          <w:spacing w:val="3"/>
          <w:w w:val="115"/>
        </w:rPr>
        <w:t>一</w:t>
      </w:r>
      <w:r>
        <w:rPr>
          <w:rFonts w:hint="eastAsia" w:ascii="MS UI Gothic" w:eastAsia="MS UI Gothic"/>
          <w:spacing w:val="-22"/>
          <w:w w:val="150"/>
        </w:rPr>
        <w:t xml:space="preserve">) </w:t>
      </w:r>
      <w:r>
        <w:rPr>
          <w:spacing w:val="-17"/>
          <w:w w:val="115"/>
        </w:rPr>
        <w:t xml:space="preserve">各类建 </w:t>
      </w:r>
      <w:r>
        <w:rPr>
          <w:rFonts w:hint="eastAsia" w:ascii="MS UI Gothic" w:eastAsia="MS UI Gothic"/>
          <w:spacing w:val="-42"/>
          <w:w w:val="150"/>
        </w:rPr>
        <w:t xml:space="preserve">( </w:t>
      </w:r>
      <w:r>
        <w:rPr>
          <w:spacing w:val="3"/>
          <w:w w:val="115"/>
        </w:rPr>
        <w:t>构</w:t>
      </w:r>
      <w:r>
        <w:rPr>
          <w:rFonts w:hint="eastAsia" w:ascii="MS UI Gothic" w:eastAsia="MS UI Gothic"/>
          <w:spacing w:val="-21"/>
          <w:w w:val="150"/>
        </w:rPr>
        <w:t xml:space="preserve">) </w:t>
      </w:r>
      <w:r>
        <w:rPr>
          <w:spacing w:val="6"/>
          <w:w w:val="115"/>
        </w:rPr>
        <w:t>筑物地面质点的</w:t>
      </w:r>
      <w:r>
        <w:rPr>
          <w:spacing w:val="3"/>
          <w:w w:val="115"/>
        </w:rPr>
        <w:t>安全振动速度不应超过下列数值</w:t>
      </w:r>
      <w:r>
        <w:rPr>
          <w:rFonts w:hint="eastAsia" w:ascii="MS UI Gothic" w:eastAsia="MS UI Gothic"/>
          <w:w w:val="235"/>
        </w:rPr>
        <w:t>:</w:t>
      </w:r>
    </w:p>
    <w:p>
      <w:pPr>
        <w:pStyle w:val="6"/>
        <w:spacing w:line="254" w:lineRule="exact"/>
        <w:ind w:left="532" w:firstLine="0"/>
        <w:jc w:val="left"/>
        <w:rPr>
          <w:rFonts w:hint="eastAsia" w:ascii="MS UI Gothic" w:eastAsia="MS UI Gothic"/>
        </w:rPr>
      </w:pPr>
      <w:r>
        <w:rPr>
          <w:rFonts w:hint="eastAsia" w:ascii="MS UI Gothic" w:eastAsia="MS UI Gothic"/>
          <w:w w:val="95"/>
        </w:rPr>
        <w:t>１</w:t>
      </w:r>
      <w:r>
        <w:rPr>
          <w:rFonts w:hint="eastAsia" w:ascii="MS UI Gothic" w:eastAsia="MS UI Gothic"/>
          <w:spacing w:val="2"/>
          <w:w w:val="95"/>
        </w:rPr>
        <w:t xml:space="preserve"> </w:t>
      </w:r>
      <w:r>
        <w:rPr>
          <w:spacing w:val="3"/>
          <w:w w:val="95"/>
        </w:rPr>
        <w:t>重要工业厂房</w:t>
      </w:r>
      <w:r>
        <w:rPr>
          <w:rFonts w:hint="eastAsia" w:ascii="MS UI Gothic" w:eastAsia="MS UI Gothic"/>
          <w:spacing w:val="6"/>
          <w:w w:val="70"/>
        </w:rPr>
        <w:t xml:space="preserve">ꎬ </w:t>
      </w:r>
      <w:r>
        <w:rPr>
          <w:rFonts w:hint="eastAsia" w:ascii="MS UI Gothic" w:eastAsia="MS UI Gothic"/>
          <w:w w:val="95"/>
        </w:rPr>
        <w:t>０</w:t>
      </w:r>
      <w:r>
        <w:rPr>
          <w:rFonts w:hint="eastAsia" w:ascii="MS UI Gothic" w:eastAsia="MS UI Gothic"/>
          <w:spacing w:val="-16"/>
          <w:w w:val="95"/>
        </w:rPr>
        <w:t xml:space="preserve"> ４ </w:t>
      </w:r>
      <w:r>
        <w:rPr>
          <w:rFonts w:hint="eastAsia" w:ascii="MS UI Gothic" w:eastAsia="MS UI Gothic"/>
          <w:w w:val="95"/>
        </w:rPr>
        <w:t>ｃｍ</w:t>
      </w:r>
      <w:r>
        <w:rPr>
          <w:rFonts w:hint="eastAsia" w:ascii="MS UI Gothic" w:eastAsia="MS UI Gothic"/>
          <w:spacing w:val="-41"/>
          <w:w w:val="95"/>
        </w:rPr>
        <w:t xml:space="preserve"> </w:t>
      </w:r>
      <w:r>
        <w:rPr>
          <w:rFonts w:hint="eastAsia" w:ascii="MS UI Gothic" w:eastAsia="MS UI Gothic"/>
          <w:w w:val="70"/>
        </w:rPr>
        <w:t>/</w:t>
      </w:r>
      <w:r>
        <w:rPr>
          <w:rFonts w:hint="eastAsia" w:ascii="MS UI Gothic" w:eastAsia="MS UI Gothic"/>
          <w:spacing w:val="-18"/>
          <w:w w:val="70"/>
        </w:rPr>
        <w:t xml:space="preserve"> </w:t>
      </w:r>
      <w:r>
        <w:rPr>
          <w:rFonts w:hint="eastAsia" w:ascii="MS UI Gothic" w:eastAsia="MS UI Gothic"/>
          <w:spacing w:val="3"/>
          <w:w w:val="95"/>
        </w:rPr>
        <w:t>ｓ</w:t>
      </w:r>
      <w:r>
        <w:rPr>
          <w:rFonts w:hint="eastAsia" w:ascii="MS UI Gothic" w:eastAsia="MS UI Gothic"/>
          <w:w w:val="70"/>
        </w:rPr>
        <w:t>ꎻ</w:t>
      </w:r>
    </w:p>
    <w:p>
      <w:pPr>
        <w:pStyle w:val="6"/>
        <w:spacing w:before="56"/>
        <w:ind w:left="532" w:firstLine="0"/>
        <w:jc w:val="left"/>
        <w:rPr>
          <w:rFonts w:hint="eastAsia" w:ascii="MS UI Gothic" w:eastAsia="MS UI Gothic"/>
        </w:rPr>
      </w:pPr>
      <w:r>
        <w:rPr>
          <w:rFonts w:hint="eastAsia" w:ascii="MS UI Gothic" w:eastAsia="MS UI Gothic"/>
          <w:w w:val="75"/>
        </w:rPr>
        <w:t>２</w:t>
      </w:r>
      <w:r>
        <w:rPr>
          <w:rFonts w:hint="eastAsia" w:ascii="MS UI Gothic" w:eastAsia="MS UI Gothic"/>
          <w:spacing w:val="-7"/>
        </w:rPr>
        <w:t xml:space="preserve">  </w:t>
      </w:r>
      <w:r>
        <w:rPr>
          <w:spacing w:val="-22"/>
          <w:w w:val="102"/>
        </w:rPr>
        <w:t>土窑洞</w:t>
      </w:r>
      <w:r>
        <w:rPr>
          <w:rFonts w:hint="eastAsia" w:ascii="MS UI Gothic" w:eastAsia="MS UI Gothic"/>
          <w:w w:val="77"/>
        </w:rPr>
        <w:t>、</w:t>
      </w:r>
      <w:r>
        <w:rPr>
          <w:rFonts w:hint="eastAsia" w:ascii="MS UI Gothic" w:eastAsia="MS UI Gothic"/>
          <w:spacing w:val="20"/>
        </w:rPr>
        <w:t xml:space="preserve"> </w:t>
      </w:r>
      <w:r>
        <w:rPr>
          <w:spacing w:val="-22"/>
          <w:w w:val="102"/>
        </w:rPr>
        <w:t>土坯房</w:t>
      </w:r>
      <w:r>
        <w:rPr>
          <w:rFonts w:hint="eastAsia" w:ascii="MS UI Gothic" w:eastAsia="MS UI Gothic"/>
          <w:w w:val="77"/>
        </w:rPr>
        <w:t>、</w:t>
      </w:r>
      <w:r>
        <w:rPr>
          <w:rFonts w:hint="eastAsia" w:ascii="MS UI Gothic" w:eastAsia="MS UI Gothic"/>
          <w:spacing w:val="20"/>
        </w:rPr>
        <w:t xml:space="preserve"> </w:t>
      </w:r>
      <w:r>
        <w:rPr>
          <w:spacing w:val="-22"/>
          <w:w w:val="102"/>
        </w:rPr>
        <w:t>毛石房</w:t>
      </w:r>
      <w:r>
        <w:rPr>
          <w:rFonts w:hint="eastAsia" w:ascii="MS UI Gothic" w:eastAsia="MS UI Gothic"/>
          <w:w w:val="51"/>
        </w:rPr>
        <w:t>ꎬ</w:t>
      </w:r>
      <w:r>
        <w:rPr>
          <w:rFonts w:hint="eastAsia" w:ascii="MS UI Gothic" w:eastAsia="MS UI Gothic"/>
          <w:spacing w:val="14"/>
        </w:rPr>
        <w:t xml:space="preserve"> </w:t>
      </w:r>
      <w:r>
        <w:rPr>
          <w:rFonts w:hint="eastAsia" w:ascii="MS UI Gothic" w:eastAsia="MS UI Gothic"/>
          <w:spacing w:val="-26"/>
          <w:w w:val="75"/>
        </w:rPr>
        <w:t>１</w:t>
      </w:r>
      <w:r>
        <w:rPr>
          <w:rFonts w:hint="eastAsia" w:ascii="MS UI Gothic" w:eastAsia="MS UI Gothic"/>
          <w:spacing w:val="-35"/>
        </w:rPr>
        <w:t xml:space="preserve"> </w:t>
      </w:r>
      <w:r>
        <w:rPr>
          <w:rFonts w:hint="eastAsia" w:ascii="MS UI Gothic" w:eastAsia="MS UI Gothic"/>
          <w:w w:val="75"/>
        </w:rPr>
        <w:t>０</w:t>
      </w:r>
      <w:r>
        <w:rPr>
          <w:rFonts w:hint="eastAsia" w:ascii="MS UI Gothic" w:eastAsia="MS UI Gothic"/>
          <w:spacing w:val="-11"/>
        </w:rPr>
        <w:t xml:space="preserve"> </w:t>
      </w:r>
      <w:r>
        <w:rPr>
          <w:rFonts w:hint="eastAsia" w:ascii="MS UI Gothic" w:eastAsia="MS UI Gothic"/>
          <w:spacing w:val="-10"/>
          <w:w w:val="81"/>
        </w:rPr>
        <w:t>ｃ</w:t>
      </w:r>
      <w:r>
        <w:rPr>
          <w:rFonts w:hint="eastAsia" w:ascii="MS UI Gothic" w:eastAsia="MS UI Gothic"/>
          <w:spacing w:val="12"/>
          <w:w w:val="79"/>
        </w:rPr>
        <w:t>ｍ</w:t>
      </w:r>
      <w:r>
        <w:rPr>
          <w:rFonts w:hint="eastAsia" w:ascii="MS UI Gothic" w:eastAsia="MS UI Gothic"/>
          <w:w w:val="34"/>
        </w:rPr>
        <w:t>/</w:t>
      </w:r>
      <w:r>
        <w:rPr>
          <w:rFonts w:hint="eastAsia" w:ascii="MS UI Gothic" w:eastAsia="MS UI Gothic"/>
          <w:spacing w:val="-16"/>
        </w:rPr>
        <w:t xml:space="preserve"> </w:t>
      </w:r>
      <w:r>
        <w:rPr>
          <w:rFonts w:hint="eastAsia" w:ascii="MS UI Gothic" w:eastAsia="MS UI Gothic"/>
          <w:spacing w:val="-7"/>
          <w:w w:val="70"/>
        </w:rPr>
        <w:t>ｓ</w:t>
      </w:r>
      <w:r>
        <w:rPr>
          <w:rFonts w:hint="eastAsia" w:ascii="MS UI Gothic" w:eastAsia="MS UI Gothic"/>
          <w:w w:val="51"/>
        </w:rPr>
        <w:t>ꎻ</w:t>
      </w:r>
    </w:p>
    <w:p>
      <w:pPr>
        <w:pStyle w:val="6"/>
        <w:spacing w:before="57" w:line="290" w:lineRule="auto"/>
        <w:ind w:left="118" w:right="442" w:firstLine="413"/>
        <w:jc w:val="left"/>
        <w:rPr>
          <w:rFonts w:hint="eastAsia" w:ascii="MS UI Gothic" w:eastAsia="MS UI Gothic"/>
        </w:rPr>
      </w:pPr>
      <w:r>
        <w:rPr>
          <w:rFonts w:hint="eastAsia" w:ascii="MS UI Gothic" w:eastAsia="MS UI Gothic"/>
        </w:rPr>
        <w:t xml:space="preserve">３ </w:t>
      </w:r>
      <w:r>
        <w:t>一般砖房</w:t>
      </w:r>
      <w:r>
        <w:rPr>
          <w:rFonts w:hint="eastAsia" w:ascii="MS UI Gothic" w:eastAsia="MS UI Gothic"/>
        </w:rPr>
        <w:t xml:space="preserve">、 </w:t>
      </w:r>
      <w:r>
        <w:t>非抗震的大型砌块建筑物</w:t>
      </w:r>
      <w:r>
        <w:rPr>
          <w:rFonts w:hint="eastAsia" w:ascii="MS UI Gothic" w:eastAsia="MS UI Gothic"/>
          <w:w w:val="70"/>
        </w:rPr>
        <w:t xml:space="preserve">ꎬ </w:t>
      </w:r>
      <w:r>
        <w:rPr>
          <w:rFonts w:hint="eastAsia" w:ascii="MS UI Gothic" w:eastAsia="MS UI Gothic"/>
        </w:rPr>
        <w:t xml:space="preserve">２ </w:t>
      </w:r>
      <w:r>
        <w:rPr>
          <w:rFonts w:hint="eastAsia" w:ascii="MS UI Gothic" w:eastAsia="MS UI Gothic"/>
          <w:w w:val="115"/>
        </w:rPr>
        <w:t xml:space="preserve">~ </w:t>
      </w:r>
      <w:r>
        <w:rPr>
          <w:rFonts w:hint="eastAsia" w:ascii="MS UI Gothic" w:eastAsia="MS UI Gothic"/>
        </w:rPr>
        <w:t xml:space="preserve">３ ｃｍ </w:t>
      </w:r>
      <w:r>
        <w:rPr>
          <w:rFonts w:hint="eastAsia" w:ascii="MS UI Gothic" w:eastAsia="MS UI Gothic"/>
          <w:w w:val="70"/>
        </w:rPr>
        <w:t xml:space="preserve">/ </w:t>
      </w:r>
      <w:r>
        <w:rPr>
          <w:rFonts w:hint="eastAsia" w:ascii="MS UI Gothic" w:eastAsia="MS UI Gothic"/>
        </w:rPr>
        <w:t>ｓ</w:t>
      </w:r>
      <w:r>
        <w:rPr>
          <w:rFonts w:hint="eastAsia" w:ascii="MS UI Gothic" w:eastAsia="MS UI Gothic"/>
          <w:w w:val="70"/>
        </w:rPr>
        <w:t>ꎻ</w:t>
      </w:r>
    </w:p>
    <w:p>
      <w:pPr>
        <w:pStyle w:val="6"/>
        <w:spacing w:before="2"/>
        <w:ind w:left="532" w:firstLine="0"/>
        <w:jc w:val="left"/>
        <w:rPr>
          <w:rFonts w:hint="eastAsia" w:ascii="MS UI Gothic" w:eastAsia="MS UI Gothic"/>
        </w:rPr>
      </w:pPr>
      <w:r>
        <w:rPr>
          <w:rFonts w:hint="eastAsia" w:ascii="MS UI Gothic" w:eastAsia="MS UI Gothic"/>
          <w:w w:val="95"/>
        </w:rPr>
        <w:t xml:space="preserve">４ </w:t>
      </w:r>
      <w:r>
        <w:rPr>
          <w:w w:val="95"/>
        </w:rPr>
        <w:t>钢筋混凝土框架房屋</w:t>
      </w:r>
      <w:r>
        <w:rPr>
          <w:rFonts w:hint="eastAsia" w:ascii="MS UI Gothic" w:eastAsia="MS UI Gothic"/>
          <w:w w:val="70"/>
        </w:rPr>
        <w:t xml:space="preserve">ꎬ </w:t>
      </w:r>
      <w:r>
        <w:rPr>
          <w:rFonts w:hint="eastAsia" w:ascii="MS UI Gothic" w:eastAsia="MS UI Gothic"/>
          <w:w w:val="95"/>
        </w:rPr>
        <w:t xml:space="preserve">５ ｃｍ </w:t>
      </w:r>
      <w:r>
        <w:rPr>
          <w:rFonts w:hint="eastAsia" w:ascii="MS UI Gothic" w:eastAsia="MS UI Gothic"/>
          <w:w w:val="70"/>
        </w:rPr>
        <w:t xml:space="preserve">/ </w:t>
      </w:r>
      <w:r>
        <w:rPr>
          <w:rFonts w:hint="eastAsia" w:ascii="MS UI Gothic" w:eastAsia="MS UI Gothic"/>
          <w:w w:val="95"/>
        </w:rPr>
        <w:t>ｓ</w:t>
      </w:r>
      <w:r>
        <w:rPr>
          <w:rFonts w:hint="eastAsia" w:ascii="MS UI Gothic" w:eastAsia="MS UI Gothic"/>
          <w:w w:val="70"/>
        </w:rPr>
        <w:t>ꎻ</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3934" w:space="264"/>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３２５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1997" o:spid="_x0000_s1997" o:spt="203" style="height:2.15pt;width:398.25pt;" coordsize="7965,43">
            <o:lock v:ext="edit"/>
            <v:line id="_x0000_s1998" o:spid="_x0000_s1998" o:spt="20" style="position:absolute;left:0;top:39;height:0;width:7965;" stroked="t" coordsize="21600,21600">
              <v:path arrowok="t"/>
              <v:fill focussize="0,0"/>
              <v:stroke weight="0.388031496062992pt" color="#231F20"/>
              <v:imagedata o:title=""/>
              <o:lock v:ext="edit"/>
            </v:line>
            <v:line id="_x0000_s1999" o:spid="_x0000_s199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854" w:firstLine="0"/>
        <w:jc w:val="left"/>
        <w:rPr>
          <w:rFonts w:hint="eastAsia" w:ascii="MS UI Gothic" w:eastAsia="MS UI Gothic"/>
        </w:rPr>
      </w:pPr>
      <w:r>
        <w:rPr>
          <w:rFonts w:hint="eastAsia" w:ascii="MS UI Gothic" w:eastAsia="MS UI Gothic"/>
          <w:w w:val="80"/>
        </w:rPr>
        <w:t>５</w:t>
      </w:r>
      <w:r>
        <w:rPr>
          <w:rFonts w:hint="eastAsia" w:ascii="MS UI Gothic" w:eastAsia="MS UI Gothic"/>
          <w:spacing w:val="24"/>
          <w:w w:val="80"/>
        </w:rPr>
        <w:t xml:space="preserve"> </w:t>
      </w:r>
      <w:r>
        <w:rPr>
          <w:spacing w:val="3"/>
          <w:w w:val="95"/>
        </w:rPr>
        <w:t>水工隧道</w:t>
      </w:r>
      <w:r>
        <w:rPr>
          <w:rFonts w:hint="eastAsia" w:ascii="MS UI Gothic" w:eastAsia="MS UI Gothic"/>
          <w:spacing w:val="4"/>
          <w:w w:val="80"/>
        </w:rPr>
        <w:t xml:space="preserve">ꎬ １０ </w:t>
      </w:r>
      <w:r>
        <w:rPr>
          <w:rFonts w:hint="eastAsia" w:ascii="MS UI Gothic" w:eastAsia="MS UI Gothic"/>
          <w:w w:val="80"/>
        </w:rPr>
        <w:t>ｃｍ</w:t>
      </w:r>
      <w:r>
        <w:rPr>
          <w:rFonts w:hint="eastAsia" w:ascii="MS UI Gothic" w:eastAsia="MS UI Gothic"/>
          <w:spacing w:val="-29"/>
          <w:w w:val="80"/>
        </w:rPr>
        <w:t xml:space="preserve"> </w:t>
      </w:r>
      <w:r>
        <w:rPr>
          <w:rFonts w:hint="eastAsia" w:ascii="MS UI Gothic" w:eastAsia="MS UI Gothic"/>
          <w:w w:val="70"/>
        </w:rPr>
        <w:t>/</w:t>
      </w:r>
      <w:r>
        <w:rPr>
          <w:rFonts w:hint="eastAsia" w:ascii="MS UI Gothic" w:eastAsia="MS UI Gothic"/>
          <w:spacing w:val="-12"/>
          <w:w w:val="70"/>
        </w:rPr>
        <w:t xml:space="preserve"> </w:t>
      </w:r>
      <w:r>
        <w:rPr>
          <w:rFonts w:hint="eastAsia" w:ascii="MS UI Gothic" w:eastAsia="MS UI Gothic"/>
          <w:spacing w:val="3"/>
          <w:w w:val="80"/>
        </w:rPr>
        <w:t>ｓ</w:t>
      </w:r>
      <w:r>
        <w:rPr>
          <w:rFonts w:hint="eastAsia" w:ascii="MS UI Gothic" w:eastAsia="MS UI Gothic"/>
          <w:w w:val="80"/>
        </w:rPr>
        <w:t>ꎻ</w:t>
      </w:r>
    </w:p>
    <w:p>
      <w:pPr>
        <w:pStyle w:val="6"/>
        <w:spacing w:before="58"/>
        <w:ind w:left="854" w:firstLine="0"/>
        <w:jc w:val="left"/>
        <w:rPr>
          <w:rFonts w:hint="eastAsia" w:ascii="MS UI Gothic" w:eastAsia="MS UI Gothic"/>
        </w:rPr>
      </w:pPr>
      <w:r>
        <w:rPr>
          <w:rFonts w:hint="eastAsia" w:ascii="MS UI Gothic" w:eastAsia="MS UI Gothic"/>
          <w:w w:val="80"/>
        </w:rPr>
        <w:t>５</w:t>
      </w:r>
      <w:r>
        <w:rPr>
          <w:rFonts w:hint="eastAsia" w:ascii="MS UI Gothic" w:eastAsia="MS UI Gothic"/>
          <w:spacing w:val="24"/>
          <w:w w:val="80"/>
        </w:rPr>
        <w:t xml:space="preserve"> </w:t>
      </w:r>
      <w:r>
        <w:rPr>
          <w:spacing w:val="3"/>
          <w:w w:val="95"/>
        </w:rPr>
        <w:t>交通涵洞</w:t>
      </w:r>
      <w:r>
        <w:rPr>
          <w:rFonts w:hint="eastAsia" w:ascii="MS UI Gothic" w:eastAsia="MS UI Gothic"/>
          <w:spacing w:val="4"/>
          <w:w w:val="80"/>
        </w:rPr>
        <w:t xml:space="preserve">ꎬ １５ </w:t>
      </w:r>
      <w:r>
        <w:rPr>
          <w:rFonts w:hint="eastAsia" w:ascii="MS UI Gothic" w:eastAsia="MS UI Gothic"/>
          <w:w w:val="80"/>
        </w:rPr>
        <w:t>ｃｍ</w:t>
      </w:r>
      <w:r>
        <w:rPr>
          <w:rFonts w:hint="eastAsia" w:ascii="MS UI Gothic" w:eastAsia="MS UI Gothic"/>
          <w:spacing w:val="-29"/>
          <w:w w:val="80"/>
        </w:rPr>
        <w:t xml:space="preserve"> </w:t>
      </w:r>
      <w:r>
        <w:rPr>
          <w:rFonts w:hint="eastAsia" w:ascii="MS UI Gothic" w:eastAsia="MS UI Gothic"/>
          <w:w w:val="70"/>
        </w:rPr>
        <w:t>/</w:t>
      </w:r>
      <w:r>
        <w:rPr>
          <w:rFonts w:hint="eastAsia" w:ascii="MS UI Gothic" w:eastAsia="MS UI Gothic"/>
          <w:spacing w:val="-12"/>
          <w:w w:val="70"/>
        </w:rPr>
        <w:t xml:space="preserve"> </w:t>
      </w:r>
      <w:r>
        <w:rPr>
          <w:rFonts w:hint="eastAsia" w:ascii="MS UI Gothic" w:eastAsia="MS UI Gothic"/>
          <w:spacing w:val="3"/>
          <w:w w:val="80"/>
        </w:rPr>
        <w:t>ｓ</w:t>
      </w:r>
      <w:r>
        <w:rPr>
          <w:rFonts w:hint="eastAsia" w:ascii="MS UI Gothic" w:eastAsia="MS UI Gothic"/>
          <w:w w:val="80"/>
        </w:rPr>
        <w:t>ꎻ</w:t>
      </w:r>
    </w:p>
    <w:p>
      <w:pPr>
        <w:pStyle w:val="6"/>
        <w:spacing w:before="58" w:line="295" w:lineRule="auto"/>
        <w:ind w:left="440" w:firstLine="413"/>
        <w:rPr>
          <w:rFonts w:hint="eastAsia" w:ascii="MS UI Gothic" w:eastAsia="MS UI Gothic"/>
        </w:rPr>
      </w:pPr>
      <w:r>
        <w:rPr>
          <w:rFonts w:hint="eastAsia" w:ascii="MS UI Gothic" w:eastAsia="MS UI Gothic"/>
          <w:w w:val="80"/>
        </w:rPr>
        <w:t xml:space="preserve">７ </w:t>
      </w:r>
      <w:r>
        <w:t>围岩不稳定有良好支护的矿山巷道</w:t>
      </w:r>
      <w:r>
        <w:rPr>
          <w:rFonts w:hint="eastAsia" w:ascii="MS UI Gothic" w:eastAsia="MS UI Gothic"/>
          <w:w w:val="80"/>
        </w:rPr>
        <w:t xml:space="preserve">ꎬ １０ ｃｍ </w:t>
      </w:r>
      <w:r>
        <w:rPr>
          <w:rFonts w:hint="eastAsia" w:ascii="MS UI Gothic" w:eastAsia="MS UI Gothic"/>
          <w:w w:val="70"/>
        </w:rPr>
        <w:t xml:space="preserve">/ </w:t>
      </w:r>
      <w:r>
        <w:rPr>
          <w:rFonts w:hint="eastAsia" w:ascii="MS UI Gothic" w:eastAsia="MS UI Gothic"/>
          <w:w w:val="80"/>
        </w:rPr>
        <w:t xml:space="preserve">ｓꎻ </w:t>
      </w:r>
      <w:r>
        <w:t>围岩中等稳定有良好支护的矿山巷道</w:t>
      </w:r>
      <w:r>
        <w:rPr>
          <w:rFonts w:hint="eastAsia" w:ascii="MS UI Gothic" w:eastAsia="MS UI Gothic"/>
          <w:w w:val="80"/>
        </w:rPr>
        <w:t xml:space="preserve">ꎬ １５ ｃｍ </w:t>
      </w:r>
      <w:r>
        <w:rPr>
          <w:rFonts w:hint="eastAsia" w:ascii="MS UI Gothic" w:eastAsia="MS UI Gothic"/>
          <w:w w:val="70"/>
        </w:rPr>
        <w:t xml:space="preserve">/ </w:t>
      </w:r>
      <w:r>
        <w:rPr>
          <w:rFonts w:hint="eastAsia" w:ascii="MS UI Gothic" w:eastAsia="MS UI Gothic"/>
          <w:w w:val="80"/>
        </w:rPr>
        <w:t xml:space="preserve">ｓꎻ </w:t>
      </w:r>
      <w:r>
        <w:t>围岩稳定无支护的矿山巷道</w:t>
      </w:r>
      <w:r>
        <w:rPr>
          <w:rFonts w:hint="eastAsia" w:ascii="MS UI Gothic" w:eastAsia="MS UI Gothic"/>
          <w:w w:val="80"/>
        </w:rPr>
        <w:t xml:space="preserve">ꎬ ２０ ｃｍ </w:t>
      </w:r>
      <w:r>
        <w:rPr>
          <w:rFonts w:hint="eastAsia" w:ascii="MS UI Gothic" w:eastAsia="MS UI Gothic"/>
          <w:w w:val="70"/>
        </w:rPr>
        <w:t xml:space="preserve">/ </w:t>
      </w:r>
      <w:r>
        <w:rPr>
          <w:rFonts w:hint="eastAsia" w:ascii="MS UI Gothic" w:eastAsia="MS UI Gothic"/>
          <w:w w:val="80"/>
        </w:rPr>
        <w:t>ｓꎮ</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爆破地震安全距离应当按下式</w:t>
      </w:r>
      <w:r>
        <w:rPr>
          <w:w w:val="115"/>
        </w:rPr>
        <w:t>计算</w:t>
      </w:r>
      <w:r>
        <w:rPr>
          <w:rFonts w:hint="eastAsia" w:ascii="MS UI Gothic" w:eastAsia="MS UI Gothic"/>
          <w:w w:val="235"/>
        </w:rPr>
        <w:t>:</w:t>
      </w:r>
    </w:p>
    <w:p>
      <w:pPr>
        <w:spacing w:before="0" w:line="255" w:lineRule="exact"/>
        <w:ind w:left="1516" w:right="0" w:firstLine="0"/>
        <w:jc w:val="both"/>
        <w:rPr>
          <w:sz w:val="12"/>
        </w:rPr>
      </w:pPr>
      <w:r>
        <w:rPr>
          <w:w w:val="62"/>
          <w:sz w:val="20"/>
        </w:rPr>
        <w:t>Ｒ</w:t>
      </w:r>
      <w:r>
        <w:rPr>
          <w:spacing w:val="-24"/>
          <w:sz w:val="20"/>
        </w:rPr>
        <w:t xml:space="preserve"> </w:t>
      </w:r>
      <w:r>
        <w:rPr>
          <w:w w:val="56"/>
          <w:position w:val="1"/>
          <w:sz w:val="20"/>
        </w:rPr>
        <w:t>＝</w:t>
      </w:r>
      <w:r>
        <w:rPr>
          <w:spacing w:val="-39"/>
          <w:position w:val="1"/>
          <w:sz w:val="20"/>
        </w:rPr>
        <w:t xml:space="preserve"> </w:t>
      </w:r>
      <w:r>
        <w:rPr>
          <w:rFonts w:hint="eastAsia" w:ascii="MS UI Gothic" w:eastAsia="MS UI Gothic"/>
          <w:w w:val="168"/>
          <w:sz w:val="20"/>
        </w:rPr>
        <w:t>(</w:t>
      </w:r>
      <w:r>
        <w:rPr>
          <w:rFonts w:hint="eastAsia" w:ascii="MS UI Gothic" w:eastAsia="MS UI Gothic"/>
          <w:spacing w:val="-40"/>
          <w:sz w:val="20"/>
        </w:rPr>
        <w:t xml:space="preserve"> </w:t>
      </w:r>
      <w:r>
        <w:rPr>
          <w:w w:val="45"/>
          <w:sz w:val="20"/>
        </w:rPr>
        <w:t>ｋ</w:t>
      </w:r>
      <w:r>
        <w:rPr>
          <w:spacing w:val="-70"/>
          <w:sz w:val="20"/>
        </w:rPr>
        <w:t xml:space="preserve"> </w:t>
      </w:r>
      <w:r>
        <w:rPr>
          <w:w w:val="34"/>
          <w:sz w:val="20"/>
        </w:rPr>
        <w:t>/</w:t>
      </w:r>
      <w:r>
        <w:rPr>
          <w:spacing w:val="-55"/>
          <w:sz w:val="20"/>
        </w:rPr>
        <w:t xml:space="preserve"> </w:t>
      </w:r>
      <w:r>
        <w:rPr>
          <w:spacing w:val="3"/>
          <w:w w:val="39"/>
          <w:sz w:val="20"/>
        </w:rPr>
        <w:t>ｖ</w:t>
      </w:r>
      <w:r>
        <w:rPr>
          <w:rFonts w:hint="eastAsia" w:ascii="MS UI Gothic" w:eastAsia="MS UI Gothic"/>
          <w:w w:val="168"/>
          <w:sz w:val="20"/>
        </w:rPr>
        <w:t>)</w:t>
      </w:r>
      <w:r>
        <w:rPr>
          <w:rFonts w:hint="eastAsia" w:ascii="MS UI Gothic" w:eastAsia="MS UI Gothic"/>
          <w:spacing w:val="-38"/>
          <w:sz w:val="20"/>
        </w:rPr>
        <w:t xml:space="preserve"> </w:t>
      </w:r>
      <w:r>
        <w:rPr>
          <w:rFonts w:hint="eastAsia" w:ascii="MS UI Gothic" w:eastAsia="MS UI Gothic"/>
          <w:w w:val="72"/>
          <w:position w:val="9"/>
          <w:sz w:val="12"/>
        </w:rPr>
        <w:t>１</w:t>
      </w:r>
      <w:r>
        <w:rPr>
          <w:rFonts w:hint="eastAsia" w:ascii="MS UI Gothic" w:eastAsia="MS UI Gothic"/>
          <w:spacing w:val="-23"/>
          <w:position w:val="9"/>
          <w:sz w:val="12"/>
        </w:rPr>
        <w:t xml:space="preserve"> </w:t>
      </w:r>
      <w:r>
        <w:rPr>
          <w:w w:val="32"/>
          <w:position w:val="9"/>
          <w:sz w:val="12"/>
        </w:rPr>
        <w:t>/</w:t>
      </w:r>
      <w:r>
        <w:rPr>
          <w:spacing w:val="-34"/>
          <w:position w:val="9"/>
          <w:sz w:val="12"/>
        </w:rPr>
        <w:t xml:space="preserve"> </w:t>
      </w:r>
      <w:r>
        <w:rPr>
          <w:w w:val="49"/>
          <w:position w:val="9"/>
          <w:sz w:val="12"/>
        </w:rPr>
        <w:t>ａ</w:t>
      </w:r>
      <w:r>
        <w:rPr>
          <w:spacing w:val="-42"/>
          <w:position w:val="9"/>
          <w:sz w:val="12"/>
        </w:rPr>
        <w:t xml:space="preserve"> </w:t>
      </w:r>
      <w:r>
        <w:rPr>
          <w:spacing w:val="8"/>
          <w:w w:val="68"/>
          <w:sz w:val="20"/>
        </w:rPr>
        <w:t>Ｑ</w:t>
      </w:r>
      <w:r>
        <w:rPr>
          <w:w w:val="71"/>
          <w:position w:val="9"/>
          <w:sz w:val="12"/>
        </w:rPr>
        <w:t>ｍ</w:t>
      </w:r>
    </w:p>
    <w:p>
      <w:pPr>
        <w:pStyle w:val="6"/>
        <w:spacing w:before="55"/>
        <w:ind w:left="860" w:firstLine="0"/>
        <w:jc w:val="left"/>
        <w:rPr>
          <w:rFonts w:hint="eastAsia" w:ascii="MS UI Gothic" w:eastAsia="MS UI Gothic"/>
        </w:rPr>
      </w:pPr>
      <w:r>
        <w:rPr>
          <w:w w:val="115"/>
        </w:rPr>
        <w:t>式中</w:t>
      </w:r>
      <w:r>
        <w:rPr>
          <w:rFonts w:hint="eastAsia" w:ascii="MS UI Gothic" w:eastAsia="MS UI Gothic"/>
          <w:w w:val="235"/>
        </w:rPr>
        <w:t>:</w:t>
      </w:r>
    </w:p>
    <w:p>
      <w:pPr>
        <w:pStyle w:val="6"/>
        <w:spacing w:before="58"/>
        <w:ind w:left="860" w:firstLine="0"/>
        <w:jc w:val="left"/>
        <w:rPr>
          <w:rFonts w:hint="eastAsia" w:ascii="MS UI Gothic" w:hAnsi="MS UI Gothic" w:eastAsia="MS UI Gothic"/>
        </w:rPr>
      </w:pPr>
      <w:r>
        <w:rPr>
          <w:spacing w:val="6"/>
          <w:w w:val="62"/>
        </w:rPr>
        <w:t>Ｒ</w:t>
      </w:r>
      <w:r>
        <w:rPr>
          <w:rFonts w:hint="eastAsia" w:ascii="MS UI Gothic" w:hAnsi="MS UI Gothic" w:eastAsia="MS UI Gothic"/>
          <w:spacing w:val="-67"/>
          <w:w w:val="153"/>
        </w:rPr>
        <w:t>———</w:t>
      </w:r>
      <w:r>
        <w:rPr>
          <w:spacing w:val="3"/>
          <w:w w:val="102"/>
        </w:rPr>
        <w:t>爆破地震安全距离</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spacing w:val="4"/>
          <w:w w:val="79"/>
        </w:rPr>
        <w:t>ｍ</w:t>
      </w:r>
      <w:r>
        <w:rPr>
          <w:rFonts w:hint="eastAsia" w:ascii="MS UI Gothic" w:hAnsi="MS UI Gothic" w:eastAsia="MS UI Gothic"/>
          <w:w w:val="51"/>
        </w:rPr>
        <w:t>ꎻ</w:t>
      </w:r>
    </w:p>
    <w:p>
      <w:pPr>
        <w:pStyle w:val="6"/>
        <w:spacing w:before="59" w:line="295" w:lineRule="auto"/>
        <w:ind w:left="1411" w:hanging="561"/>
        <w:jc w:val="left"/>
        <w:rPr>
          <w:rFonts w:hint="eastAsia" w:ascii="MS UI Gothic" w:hAnsi="MS UI Gothic" w:eastAsia="MS UI Gothic"/>
        </w:rPr>
      </w:pPr>
      <w:r>
        <w:rPr>
          <w:spacing w:val="4"/>
          <w:w w:val="68"/>
        </w:rPr>
        <w:t>Ｑ</w:t>
      </w:r>
      <w:r>
        <w:rPr>
          <w:rFonts w:hint="eastAsia" w:ascii="MS UI Gothic" w:hAnsi="MS UI Gothic" w:eastAsia="MS UI Gothic"/>
          <w:spacing w:val="-67"/>
          <w:w w:val="153"/>
        </w:rPr>
        <w:t>———</w:t>
      </w:r>
      <w:r>
        <w:rPr>
          <w:spacing w:val="1"/>
          <w:w w:val="102"/>
        </w:rPr>
        <w:t>药量</w:t>
      </w:r>
      <w:r>
        <w:rPr>
          <w:spacing w:val="1"/>
        </w:rPr>
        <w:t xml:space="preserve"> </w:t>
      </w:r>
      <w:r>
        <w:rPr>
          <w:rFonts w:hint="eastAsia" w:ascii="MS UI Gothic" w:hAnsi="MS UI Gothic" w:eastAsia="MS UI Gothic"/>
          <w:w w:val="168"/>
        </w:rPr>
        <w:t>(</w:t>
      </w:r>
      <w:r>
        <w:rPr>
          <w:rFonts w:hint="eastAsia" w:ascii="MS UI Gothic" w:hAnsi="MS UI Gothic" w:eastAsia="MS UI Gothic"/>
        </w:rPr>
        <w:t xml:space="preserve"> </w:t>
      </w:r>
      <w:r>
        <w:rPr>
          <w:spacing w:val="8"/>
          <w:w w:val="102"/>
        </w:rPr>
        <w:t>齐发爆破取总量</w:t>
      </w:r>
      <w:r>
        <w:rPr>
          <w:rFonts w:hint="eastAsia" w:ascii="MS UI Gothic" w:hAnsi="MS UI Gothic" w:eastAsia="MS UI Gothic"/>
          <w:w w:val="51"/>
        </w:rPr>
        <w:t>ꎬ</w:t>
      </w:r>
      <w:r>
        <w:rPr>
          <w:rFonts w:hint="eastAsia" w:ascii="MS UI Gothic" w:hAnsi="MS UI Gothic" w:eastAsia="MS UI Gothic"/>
          <w:spacing w:val="-5"/>
        </w:rPr>
        <w:t xml:space="preserve">  </w:t>
      </w:r>
      <w:r>
        <w:rPr>
          <w:w w:val="102"/>
        </w:rPr>
        <w:t>延期</w:t>
      </w:r>
      <w:r>
        <w:rPr>
          <w:spacing w:val="3"/>
        </w:rPr>
        <w:t>爆破取最大一段药量</w:t>
      </w:r>
      <w:r>
        <w:rPr>
          <w:rFonts w:hint="eastAsia" w:ascii="MS UI Gothic" w:hAnsi="MS UI Gothic" w:eastAsia="MS UI Gothic"/>
          <w:spacing w:val="-36"/>
          <w:w w:val="140"/>
        </w:rPr>
        <w:t xml:space="preserve">) </w:t>
      </w:r>
      <w:r>
        <w:rPr>
          <w:rFonts w:hint="eastAsia" w:ascii="MS UI Gothic" w:hAnsi="MS UI Gothic" w:eastAsia="MS UI Gothic"/>
          <w:spacing w:val="10"/>
          <w:w w:val="90"/>
        </w:rPr>
        <w:t xml:space="preserve">ꎬ </w:t>
      </w:r>
      <w:r>
        <w:rPr>
          <w:rFonts w:hint="eastAsia" w:ascii="MS UI Gothic" w:hAnsi="MS UI Gothic" w:eastAsia="MS UI Gothic"/>
        </w:rPr>
        <w:t>ｋｇ</w:t>
      </w:r>
      <w:r>
        <w:rPr>
          <w:rFonts w:hint="eastAsia" w:ascii="MS UI Gothic" w:hAnsi="MS UI Gothic" w:eastAsia="MS UI Gothic"/>
          <w:w w:val="90"/>
        </w:rPr>
        <w:t>ꎻ</w:t>
      </w:r>
    </w:p>
    <w:p>
      <w:pPr>
        <w:pStyle w:val="6"/>
        <w:spacing w:line="255" w:lineRule="exact"/>
        <w:ind w:left="908" w:firstLine="0"/>
        <w:jc w:val="left"/>
        <w:rPr>
          <w:rFonts w:hint="eastAsia" w:ascii="MS UI Gothic" w:hAnsi="MS UI Gothic" w:eastAsia="MS UI Gothic"/>
        </w:rPr>
      </w:pPr>
      <w:r>
        <w:rPr>
          <w:spacing w:val="3"/>
          <w:w w:val="39"/>
        </w:rPr>
        <w:t>ｖ</w:t>
      </w:r>
      <w:r>
        <w:rPr>
          <w:rFonts w:hint="eastAsia" w:ascii="MS UI Gothic" w:hAnsi="MS UI Gothic" w:eastAsia="MS UI Gothic"/>
          <w:spacing w:val="-67"/>
          <w:w w:val="153"/>
        </w:rPr>
        <w:t>———</w:t>
      </w:r>
      <w:r>
        <w:rPr>
          <w:spacing w:val="3"/>
          <w:w w:val="102"/>
        </w:rPr>
        <w:t>安全质点振动速度</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spacing w:val="-1"/>
          <w:w w:val="81"/>
        </w:rPr>
        <w:t>ｃ</w:t>
      </w:r>
      <w:r>
        <w:rPr>
          <w:rFonts w:hint="eastAsia" w:ascii="MS UI Gothic" w:hAnsi="MS UI Gothic" w:eastAsia="MS UI Gothic"/>
          <w:w w:val="79"/>
        </w:rPr>
        <w:t>ｍ</w:t>
      </w:r>
      <w:r>
        <w:rPr>
          <w:rFonts w:hint="eastAsia" w:ascii="MS UI Gothic" w:hAnsi="MS UI Gothic" w:eastAsia="MS UI Gothic"/>
          <w:spacing w:val="-31"/>
        </w:rPr>
        <w:t xml:space="preserve"> </w:t>
      </w:r>
      <w:r>
        <w:rPr>
          <w:rFonts w:hint="eastAsia" w:ascii="MS UI Gothic" w:hAnsi="MS UI Gothic" w:eastAsia="MS UI Gothic"/>
          <w:w w:val="34"/>
        </w:rPr>
        <w:t>/</w:t>
      </w:r>
      <w:r>
        <w:rPr>
          <w:rFonts w:hint="eastAsia" w:ascii="MS UI Gothic" w:hAnsi="MS UI Gothic" w:eastAsia="MS UI Gothic"/>
          <w:spacing w:val="-16"/>
        </w:rPr>
        <w:t xml:space="preserve"> </w:t>
      </w:r>
      <w:r>
        <w:rPr>
          <w:rFonts w:hint="eastAsia" w:ascii="MS UI Gothic" w:hAnsi="MS UI Gothic" w:eastAsia="MS UI Gothic"/>
          <w:spacing w:val="3"/>
          <w:w w:val="70"/>
        </w:rPr>
        <w:t>ｓ</w:t>
      </w:r>
      <w:r>
        <w:rPr>
          <w:rFonts w:hint="eastAsia" w:ascii="MS UI Gothic" w:hAnsi="MS UI Gothic" w:eastAsia="MS UI Gothic"/>
          <w:w w:val="51"/>
        </w:rPr>
        <w:t>ꎻ</w:t>
      </w:r>
    </w:p>
    <w:p>
      <w:pPr>
        <w:pStyle w:val="6"/>
        <w:spacing w:before="48"/>
        <w:ind w:left="838" w:firstLine="0"/>
        <w:jc w:val="left"/>
        <w:rPr>
          <w:rFonts w:hint="eastAsia" w:ascii="MS UI Gothic" w:hAnsi="MS UI Gothic" w:eastAsia="MS UI Gothic"/>
        </w:rPr>
      </w:pPr>
      <w:r>
        <w:rPr>
          <w:spacing w:val="4"/>
          <w:w w:val="74"/>
        </w:rPr>
        <w:t>ｍ</w:t>
      </w:r>
      <w:r>
        <w:rPr>
          <w:rFonts w:hint="eastAsia" w:ascii="MS UI Gothic" w:hAnsi="MS UI Gothic" w:eastAsia="MS UI Gothic"/>
          <w:spacing w:val="-67"/>
          <w:w w:val="153"/>
        </w:rPr>
        <w:t>———</w:t>
      </w:r>
      <w:r>
        <w:rPr>
          <w:spacing w:val="3"/>
          <w:w w:val="102"/>
        </w:rPr>
        <w:t>药量指数</w:t>
      </w:r>
      <w:r>
        <w:rPr>
          <w:rFonts w:hint="eastAsia" w:ascii="MS UI Gothic" w:hAnsi="MS UI Gothic" w:eastAsia="MS UI Gothic"/>
          <w:w w:val="51"/>
        </w:rPr>
        <w:t>ꎬ</w:t>
      </w:r>
      <w:r>
        <w:rPr>
          <w:rFonts w:hint="eastAsia" w:ascii="MS UI Gothic" w:hAnsi="MS UI Gothic" w:eastAsia="MS UI Gothic"/>
          <w:spacing w:val="-8"/>
        </w:rPr>
        <w:t xml:space="preserve">  </w:t>
      </w:r>
      <w:r>
        <w:rPr>
          <w:w w:val="102"/>
        </w:rPr>
        <w:t>取</w:t>
      </w:r>
      <w:r>
        <w:rPr>
          <w:spacing w:val="-44"/>
        </w:rPr>
        <w:t xml:space="preserve"> </w:t>
      </w:r>
      <w:r>
        <w:rPr>
          <w:w w:val="74"/>
        </w:rPr>
        <w:t>ｍ</w:t>
      </w:r>
      <w:r>
        <w:rPr>
          <w:spacing w:val="-70"/>
        </w:rPr>
        <w:t xml:space="preserve"> </w:t>
      </w:r>
      <w:r>
        <w:rPr>
          <w:rFonts w:hint="eastAsia" w:ascii="MS UI Gothic" w:hAnsi="MS UI Gothic" w:eastAsia="MS UI Gothic"/>
          <w:w w:val="56"/>
          <w:position w:val="1"/>
        </w:rPr>
        <w:t>＝</w:t>
      </w:r>
      <w:r>
        <w:rPr>
          <w:rFonts w:hint="eastAsia" w:ascii="MS UI Gothic" w:hAnsi="MS UI Gothic" w:eastAsia="MS UI Gothic"/>
          <w:spacing w:val="-27"/>
          <w:position w:val="1"/>
        </w:rPr>
        <w:t xml:space="preserve"> </w:t>
      </w:r>
      <w:r>
        <w:rPr>
          <w:rFonts w:hint="eastAsia" w:ascii="MS UI Gothic" w:hAnsi="MS UI Gothic" w:eastAsia="MS UI Gothic"/>
          <w:w w:val="75"/>
        </w:rPr>
        <w:t>１</w:t>
      </w:r>
      <w:r>
        <w:rPr>
          <w:rFonts w:hint="eastAsia" w:ascii="MS UI Gothic" w:hAnsi="MS UI Gothic" w:eastAsia="MS UI Gothic"/>
          <w:spacing w:val="-30"/>
        </w:rPr>
        <w:t xml:space="preserve"> </w:t>
      </w:r>
      <w:r>
        <w:rPr>
          <w:rFonts w:hint="eastAsia" w:ascii="MS UI Gothic" w:hAnsi="MS UI Gothic" w:eastAsia="MS UI Gothic"/>
          <w:w w:val="34"/>
        </w:rPr>
        <w:t>/</w:t>
      </w:r>
      <w:r>
        <w:rPr>
          <w:rFonts w:hint="eastAsia" w:ascii="MS UI Gothic" w:hAnsi="MS UI Gothic" w:eastAsia="MS UI Gothic"/>
          <w:spacing w:val="-22"/>
        </w:rPr>
        <w:t xml:space="preserve"> </w:t>
      </w:r>
      <w:r>
        <w:rPr>
          <w:rFonts w:hint="eastAsia" w:ascii="MS UI Gothic" w:hAnsi="MS UI Gothic" w:eastAsia="MS UI Gothic"/>
          <w:spacing w:val="5"/>
          <w:w w:val="75"/>
        </w:rPr>
        <w:t>３</w:t>
      </w:r>
      <w:r>
        <w:rPr>
          <w:rFonts w:hint="eastAsia" w:ascii="MS UI Gothic" w:hAnsi="MS UI Gothic" w:eastAsia="MS UI Gothic"/>
          <w:w w:val="51"/>
        </w:rPr>
        <w:t>ꎻ</w:t>
      </w:r>
    </w:p>
    <w:p>
      <w:pPr>
        <w:pStyle w:val="6"/>
        <w:spacing w:before="58" w:line="295" w:lineRule="auto"/>
        <w:ind w:left="1411" w:hanging="835"/>
        <w:rPr>
          <w:rFonts w:hint="eastAsia" w:ascii="MS UI Gothic" w:hAnsi="MS UI Gothic" w:eastAsia="MS UI Gothic"/>
        </w:rPr>
      </w:pPr>
      <w:r>
        <w:pict>
          <v:shape id="_x0000_s2000" o:spid="_x0000_s2000" o:spt="202" type="#_x0000_t202" style="position:absolute;left:0pt;margin-left:92pt;margin-top:30.6pt;height:24.35pt;width:151.8pt;mso-position-horizontal-relative:page;z-index:-275710976;mso-width-relative:page;mso-height-relative:page;" filled="f" stroked="f" coordsize="21600,21600">
            <v:path/>
            <v:fill on="f" focussize="0,0"/>
            <v:stroke on="f" joinstyle="miter"/>
            <v:imagedata o:title=""/>
            <o:lock v:ext="edit"/>
            <v:textbox inset="0mm,0mm,0mm,0mm">
              <w:txbxContent>
                <w:p>
                  <w:pPr>
                    <w:pStyle w:val="6"/>
                    <w:tabs>
                      <w:tab w:val="left" w:pos="333"/>
                      <w:tab w:val="left" w:pos="2932"/>
                    </w:tabs>
                    <w:spacing w:before="74"/>
                    <w:ind w:left="0" w:firstLine="0"/>
                    <w:jc w:val="left"/>
                    <w:rPr>
                      <w:rFonts w:hint="eastAsia" w:ascii="MS UI Gothic" w:eastAsia="MS UI Gothic"/>
                    </w:rPr>
                  </w:pPr>
                  <w:r>
                    <w:rPr>
                      <w:rFonts w:hint="eastAsia" w:ascii="MS UI Gothic" w:eastAsia="MS UI Gothic"/>
                      <w:w w:val="155"/>
                    </w:rPr>
                    <w:t>(</w:t>
                  </w:r>
                  <w:r>
                    <w:rPr>
                      <w:rFonts w:hint="eastAsia" w:ascii="MS UI Gothic" w:eastAsia="MS UI Gothic"/>
                      <w:w w:val="155"/>
                    </w:rPr>
                    <w:tab/>
                  </w:r>
                  <w:r>
                    <w:rPr>
                      <w:rFonts w:hint="eastAsia" w:ascii="MS UI Gothic" w:eastAsia="MS UI Gothic"/>
                      <w:w w:val="155"/>
                    </w:rPr>
                    <w:t>)</w:t>
                  </w:r>
                  <w:r>
                    <w:rPr>
                      <w:rFonts w:hint="eastAsia" w:ascii="MS UI Gothic" w:eastAsia="MS UI Gothic"/>
                      <w:w w:val="155"/>
                    </w:rPr>
                    <w:tab/>
                  </w:r>
                  <w:r>
                    <w:rPr>
                      <w:rFonts w:hint="eastAsia" w:ascii="MS UI Gothic" w:eastAsia="MS UI Gothic"/>
                      <w:spacing w:val="-20"/>
                      <w:w w:val="85"/>
                    </w:rPr>
                    <w:t>、</w:t>
                  </w:r>
                </w:p>
              </w:txbxContent>
            </v:textbox>
          </v:shape>
        </w:pict>
      </w:r>
      <w:r>
        <w:rPr>
          <w:spacing w:val="5"/>
          <w:w w:val="45"/>
        </w:rPr>
        <w:t>ｋ</w:t>
      </w:r>
      <w:r>
        <w:rPr>
          <w:rFonts w:hint="eastAsia" w:ascii="MS UI Gothic" w:hAnsi="MS UI Gothic" w:eastAsia="MS UI Gothic"/>
          <w:w w:val="77"/>
        </w:rPr>
        <w:t>、</w:t>
      </w:r>
      <w:r>
        <w:rPr>
          <w:rFonts w:hint="eastAsia" w:ascii="MS UI Gothic" w:hAnsi="MS UI Gothic" w:eastAsia="MS UI Gothic"/>
          <w:spacing w:val="-8"/>
        </w:rPr>
        <w:t xml:space="preserve">  </w:t>
      </w:r>
      <w:r>
        <w:rPr>
          <w:spacing w:val="5"/>
          <w:w w:val="51"/>
        </w:rPr>
        <w:t>ａ</w:t>
      </w:r>
      <w:r>
        <w:rPr>
          <w:rFonts w:hint="eastAsia" w:ascii="MS UI Gothic" w:hAnsi="MS UI Gothic" w:eastAsia="MS UI Gothic"/>
          <w:spacing w:val="-67"/>
          <w:w w:val="153"/>
        </w:rPr>
        <w:t>———</w:t>
      </w:r>
      <w:r>
        <w:rPr>
          <w:spacing w:val="6"/>
          <w:w w:val="102"/>
        </w:rPr>
        <w:t>与爆破地点地形</w:t>
      </w:r>
      <w:r>
        <w:rPr>
          <w:rFonts w:hint="eastAsia" w:ascii="MS UI Gothic" w:hAnsi="MS UI Gothic" w:eastAsia="MS UI Gothic"/>
          <w:w w:val="77"/>
        </w:rPr>
        <w:t>、</w:t>
      </w:r>
      <w:r>
        <w:rPr>
          <w:rFonts w:hint="eastAsia" w:ascii="MS UI Gothic" w:hAnsi="MS UI Gothic" w:eastAsia="MS UI Gothic"/>
          <w:spacing w:val="-5"/>
        </w:rPr>
        <w:t xml:space="preserve">  </w:t>
      </w:r>
      <w:r>
        <w:rPr>
          <w:spacing w:val="10"/>
          <w:w w:val="102"/>
        </w:rPr>
        <w:t>地质条件有</w:t>
      </w:r>
      <w:r>
        <w:rPr>
          <w:spacing w:val="3"/>
          <w:w w:val="115"/>
        </w:rPr>
        <w:t>关的系数和衰减指数</w:t>
      </w:r>
      <w:r>
        <w:rPr>
          <w:rFonts w:hint="eastAsia" w:ascii="MS UI Gothic" w:hAnsi="MS UI Gothic" w:eastAsia="MS UI Gothic"/>
          <w:w w:val="85"/>
        </w:rPr>
        <w:t>ꎮ</w:t>
      </w:r>
    </w:p>
    <w:p>
      <w:pPr>
        <w:pStyle w:val="6"/>
        <w:spacing w:line="295" w:lineRule="auto"/>
        <w:ind w:left="440" w:firstLine="543"/>
        <w:rPr>
          <w:rFonts w:hint="eastAsia" w:ascii="MS UI Gothic" w:eastAsia="MS UI Gothic"/>
        </w:rPr>
      </w:pPr>
      <w:r>
        <w:rPr>
          <w:w w:val="105"/>
        </w:rPr>
        <w:t xml:space="preserve">三 在特殊建 </w:t>
      </w:r>
      <w:r>
        <w:rPr>
          <w:rFonts w:hint="eastAsia" w:ascii="MS UI Gothic" w:eastAsia="MS UI Gothic"/>
          <w:w w:val="150"/>
        </w:rPr>
        <w:t xml:space="preserve">( </w:t>
      </w:r>
      <w:r>
        <w:rPr>
          <w:w w:val="105"/>
        </w:rPr>
        <w:t>构</w:t>
      </w:r>
      <w:r>
        <w:rPr>
          <w:rFonts w:hint="eastAsia" w:ascii="MS UI Gothic" w:eastAsia="MS UI Gothic"/>
          <w:w w:val="150"/>
        </w:rPr>
        <w:t xml:space="preserve">) </w:t>
      </w:r>
      <w:r>
        <w:rPr>
          <w:w w:val="105"/>
        </w:rPr>
        <w:t>筑物附近 爆</w:t>
      </w:r>
      <w:r>
        <w:t>破条件复杂和爆破震动对边坡稳定有影响的地区进行爆破时</w:t>
      </w:r>
      <w:r>
        <w:rPr>
          <w:rFonts w:hint="eastAsia" w:ascii="MS UI Gothic" w:eastAsia="MS UI Gothic"/>
          <w:w w:val="80"/>
        </w:rPr>
        <w:t xml:space="preserve">ꎬ </w:t>
      </w:r>
      <w:r>
        <w:t>必须进行爆破地震效</w:t>
      </w:r>
      <w:r>
        <w:rPr>
          <w:w w:val="105"/>
        </w:rPr>
        <w:t>应的监测或者试验</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第五百三十五条 爆破作业必须在白</w:t>
      </w:r>
      <w:r>
        <w:rPr>
          <w:spacing w:val="3"/>
        </w:rPr>
        <w:t>天进行</w:t>
      </w:r>
      <w:r>
        <w:rPr>
          <w:rFonts w:hint="eastAsia" w:ascii="MS UI Gothic" w:eastAsia="MS UI Gothic"/>
          <w:w w:val="80"/>
        </w:rPr>
        <w:t xml:space="preserve">ꎬ </w:t>
      </w:r>
      <w:r>
        <w:rPr>
          <w:spacing w:val="19"/>
        </w:rPr>
        <w:t>严禁在雷雨时进行</w:t>
      </w:r>
      <w:r>
        <w:rPr>
          <w:rFonts w:hint="eastAsia" w:ascii="MS UI Gothic" w:eastAsia="MS UI Gothic"/>
          <w:spacing w:val="4"/>
          <w:w w:val="80"/>
        </w:rPr>
        <w:t xml:space="preserve">ꎻ </w:t>
      </w:r>
      <w:r>
        <w:rPr>
          <w:spacing w:val="14"/>
        </w:rPr>
        <w:t>严禁裸露</w:t>
      </w:r>
      <w:r>
        <w:rPr>
          <w:spacing w:val="3"/>
        </w:rPr>
        <w:t>爆破</w:t>
      </w:r>
      <w:r>
        <w:rPr>
          <w:rFonts w:hint="eastAsia" w:ascii="MS UI Gothic" w:eastAsia="MS UI Gothic"/>
          <w:w w:val="80"/>
        </w:rPr>
        <w:t>ꎮ</w:t>
      </w:r>
    </w:p>
    <w:p>
      <w:pPr>
        <w:pStyle w:val="6"/>
        <w:spacing w:line="295" w:lineRule="auto"/>
        <w:ind w:left="440"/>
        <w:rPr>
          <w:rFonts w:hint="eastAsia" w:ascii="MS UI Gothic" w:eastAsia="MS UI Gothic"/>
        </w:rPr>
      </w:pPr>
      <w:r>
        <w:rPr>
          <w:spacing w:val="6"/>
          <w:w w:val="105"/>
        </w:rPr>
        <w:t>第五百三十六条 在高温区</w:t>
      </w:r>
      <w:r>
        <w:rPr>
          <w:rFonts w:hint="eastAsia" w:ascii="MS UI Gothic" w:eastAsia="MS UI Gothic"/>
          <w:spacing w:val="18"/>
          <w:w w:val="80"/>
        </w:rPr>
        <w:t xml:space="preserve">、 </w:t>
      </w:r>
      <w:r>
        <w:rPr>
          <w:spacing w:val="2"/>
          <w:w w:val="105"/>
        </w:rPr>
        <w:t>自然发</w:t>
      </w:r>
      <w:r>
        <w:rPr>
          <w:spacing w:val="27"/>
        </w:rPr>
        <w:t>火区进行爆破作业时</w:t>
      </w:r>
      <w:r>
        <w:rPr>
          <w:rFonts w:hint="eastAsia" w:ascii="MS UI Gothic" w:eastAsia="MS UI Gothic"/>
          <w:spacing w:val="3"/>
          <w:w w:val="80"/>
        </w:rPr>
        <w:t xml:space="preserve">ꎬ </w:t>
      </w:r>
      <w:r>
        <w:rPr>
          <w:spacing w:val="30"/>
        </w:rPr>
        <w:t>必须遵守下列</w:t>
      </w:r>
      <w:r>
        <w:rPr>
          <w:spacing w:val="3"/>
          <w:w w:val="105"/>
        </w:rPr>
        <w:t>规定</w:t>
      </w:r>
      <w:r>
        <w:rPr>
          <w:rFonts w:hint="eastAsia" w:ascii="MS UI Gothic" w:eastAsia="MS UI Gothic"/>
          <w:w w:val="235"/>
        </w:rPr>
        <w:t>:</w:t>
      </w:r>
    </w:p>
    <w:p>
      <w:pPr>
        <w:pStyle w:val="6"/>
        <w:spacing w:line="295" w:lineRule="auto"/>
        <w:ind w:left="440"/>
        <w:rPr>
          <w:rFonts w:hint="eastAsia" w:ascii="MS UI Gothic" w:hAnsi="MS UI Gothic" w:eastAsia="MS UI Gothic"/>
        </w:rPr>
      </w:pPr>
      <w:r>
        <w:rPr>
          <w:rFonts w:hint="eastAsia" w:ascii="MS UI Gothic" w:hAnsi="MS UI Gothic" w:eastAsia="MS UI Gothic"/>
          <w:spacing w:val="-35"/>
          <w:w w:val="145"/>
        </w:rPr>
        <w:t xml:space="preserve">( </w:t>
      </w:r>
      <w:r>
        <w:rPr>
          <w:spacing w:val="3"/>
          <w:w w:val="105"/>
        </w:rPr>
        <w:t>一</w:t>
      </w:r>
      <w:r>
        <w:rPr>
          <w:rFonts w:hint="eastAsia" w:ascii="MS UI Gothic" w:hAnsi="MS UI Gothic" w:eastAsia="MS UI Gothic"/>
          <w:spacing w:val="12"/>
          <w:w w:val="145"/>
        </w:rPr>
        <w:t xml:space="preserve">) </w:t>
      </w:r>
      <w:r>
        <w:rPr>
          <w:spacing w:val="-5"/>
          <w:w w:val="105"/>
        </w:rPr>
        <w:t xml:space="preserve">测试孔内温度 </w:t>
      </w:r>
      <w:r>
        <w:rPr>
          <w:rFonts w:hint="eastAsia" w:ascii="MS UI Gothic" w:hAnsi="MS UI Gothic" w:eastAsia="MS UI Gothic"/>
          <w:w w:val="95"/>
        </w:rPr>
        <w:t xml:space="preserve"> </w:t>
      </w:r>
      <w:r>
        <w:rPr>
          <w:spacing w:val="9"/>
          <w:w w:val="105"/>
        </w:rPr>
        <w:t>有明火的炮孔</w:t>
      </w:r>
      <w:r>
        <w:rPr>
          <w:spacing w:val="-8"/>
          <w:w w:val="105"/>
        </w:rPr>
        <w:t xml:space="preserve">或者孔内温度在 </w:t>
      </w:r>
      <w:r>
        <w:rPr>
          <w:rFonts w:hint="eastAsia" w:ascii="MS UI Gothic" w:hAnsi="MS UI Gothic" w:eastAsia="MS UI Gothic"/>
          <w:spacing w:val="-16"/>
          <w:w w:val="95"/>
        </w:rPr>
        <w:t xml:space="preserve">８０ ℃ </w:t>
      </w:r>
      <w:r>
        <w:rPr>
          <w:spacing w:val="9"/>
          <w:w w:val="105"/>
        </w:rPr>
        <w:t>以上的高温炮孔采</w:t>
      </w:r>
      <w:r>
        <w:rPr>
          <w:spacing w:val="3"/>
          <w:w w:val="105"/>
        </w:rPr>
        <w:t>取灭火</w:t>
      </w:r>
      <w:r>
        <w:rPr>
          <w:rFonts w:hint="eastAsia" w:ascii="MS UI Gothic" w:hAnsi="MS UI Gothic" w:eastAsia="MS UI Gothic"/>
          <w:spacing w:val="21"/>
          <w:w w:val="95"/>
        </w:rPr>
        <w:t xml:space="preserve">、 </w:t>
      </w:r>
      <w:r>
        <w:rPr>
          <w:spacing w:val="3"/>
          <w:w w:val="105"/>
        </w:rPr>
        <w:t>降温措施</w:t>
      </w:r>
      <w:r>
        <w:rPr>
          <w:rFonts w:hint="eastAsia" w:ascii="MS UI Gothic" w:hAns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高温孔经降温处理合格后方可</w:t>
      </w:r>
      <w:r>
        <w:rPr>
          <w:w w:val="110"/>
        </w:rPr>
        <w:t>装药起爆</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高温孔应当采用热感度低的炸药</w:t>
      </w:r>
      <w:r>
        <w:rPr>
          <w:rFonts w:hint="eastAsia" w:ascii="MS UI Gothic" w:eastAsia="MS UI Gothic"/>
          <w:w w:val="80"/>
        </w:rPr>
        <w:t xml:space="preserve">ꎬ </w:t>
      </w:r>
      <w:r>
        <w:rPr>
          <w:w w:val="105"/>
        </w:rPr>
        <w:t>或者将炸药</w:t>
      </w:r>
      <w:r>
        <w:rPr>
          <w:rFonts w:hint="eastAsia" w:ascii="MS UI Gothic" w:eastAsia="MS UI Gothic"/>
          <w:w w:val="80"/>
        </w:rPr>
        <w:t xml:space="preserve">、 </w:t>
      </w:r>
      <w:r>
        <w:rPr>
          <w:w w:val="105"/>
        </w:rPr>
        <w:t>雷管作隔热包装</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第五百三十七条 爆破后检查必须遵</w:t>
      </w:r>
      <w:r>
        <w:rPr>
          <w:w w:val="110"/>
        </w:rPr>
        <w:t>守下列规定</w:t>
      </w:r>
      <w:r>
        <w:rPr>
          <w:rFonts w:hint="eastAsia" w:ascii="MS UI Gothic" w:eastAsia="MS UI Gothic"/>
          <w:w w:val="235"/>
        </w:rPr>
        <w:t>:</w:t>
      </w:r>
    </w:p>
    <w:p>
      <w:pPr>
        <w:pStyle w:val="6"/>
        <w:spacing w:line="255" w:lineRule="exact"/>
        <w:ind w:left="860" w:firstLine="0"/>
        <w:jc w:val="left"/>
        <w:rPr>
          <w:rFonts w:hint="eastAsia" w:ascii="MS UI Gothic" w:eastAsia="MS UI Gothic"/>
        </w:rPr>
      </w:pPr>
      <w:r>
        <w:rPr>
          <w:rFonts w:hint="eastAsia" w:ascii="MS UI Gothic" w:eastAsia="MS UI Gothic"/>
          <w:w w:val="140"/>
        </w:rPr>
        <w:t xml:space="preserve">( </w:t>
      </w:r>
      <w:r>
        <w:t>一</w:t>
      </w:r>
      <w:r>
        <w:rPr>
          <w:rFonts w:hint="eastAsia" w:ascii="MS UI Gothic" w:eastAsia="MS UI Gothic"/>
          <w:w w:val="140"/>
        </w:rPr>
        <w:t xml:space="preserve">) </w:t>
      </w:r>
      <w:r>
        <w:t xml:space="preserve">爆破后 </w:t>
      </w:r>
      <w:r>
        <w:rPr>
          <w:rFonts w:hint="eastAsia" w:ascii="MS UI Gothic" w:eastAsia="MS UI Gothic"/>
        </w:rPr>
        <w:t xml:space="preserve">５ ｍｉｎ </w:t>
      </w:r>
      <w:r>
        <w:t>内</w:t>
      </w:r>
      <w:r>
        <w:rPr>
          <w:rFonts w:hint="eastAsia" w:ascii="MS UI Gothic" w:eastAsia="MS UI Gothic"/>
          <w:w w:val="85"/>
        </w:rPr>
        <w:t xml:space="preserve">ꎬ </w:t>
      </w:r>
      <w:r>
        <w:t>严禁检查</w:t>
      </w:r>
      <w:r>
        <w:rPr>
          <w:rFonts w:hint="eastAsia" w:ascii="MS UI Gothic" w:eastAsia="MS UI Gothic"/>
          <w:w w:val="85"/>
        </w:rPr>
        <w:t>ꎮ</w:t>
      </w:r>
    </w:p>
    <w:p>
      <w:pPr>
        <w:pStyle w:val="6"/>
        <w:spacing w:before="43"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发现拒爆</w:t>
      </w:r>
      <w:r>
        <w:rPr>
          <w:rFonts w:hint="eastAsia" w:ascii="MS UI Gothic" w:eastAsia="MS UI Gothic"/>
          <w:w w:val="80"/>
        </w:rPr>
        <w:t xml:space="preserve">ꎬ </w:t>
      </w:r>
      <w:r>
        <w:rPr>
          <w:w w:val="105"/>
        </w:rPr>
        <w:t>必须向爆破区负责人报告</w:t>
      </w:r>
      <w:r>
        <w:rPr>
          <w:rFonts w:hint="eastAsia" w:ascii="MS UI Gothic" w:eastAsia="MS UI Gothic"/>
          <w:w w:val="80"/>
        </w:rPr>
        <w:t>ꎮ</w:t>
      </w:r>
    </w:p>
    <w:p>
      <w:pPr>
        <w:pStyle w:val="6"/>
        <w:spacing w:before="124" w:line="295" w:lineRule="auto"/>
        <w:ind w:left="383" w:right="126"/>
        <w:rPr>
          <w:rFonts w:hint="eastAsia" w:ascii="MS UI Gothic" w:eastAsia="MS UI Gothic"/>
        </w:rPr>
      </w:pPr>
      <w:r>
        <w:br w:type="column"/>
      </w: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发现残余爆炸物品必须收集上缴</w:t>
      </w:r>
      <w:r>
        <w:rPr>
          <w:rFonts w:hint="eastAsia" w:ascii="MS UI Gothic" w:eastAsia="MS UI Gothic"/>
          <w:w w:val="80"/>
        </w:rPr>
        <w:t xml:space="preserve">ꎬ </w:t>
      </w:r>
      <w:r>
        <w:rPr>
          <w:w w:val="105"/>
        </w:rPr>
        <w:t>集中销毁</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第五百三十八条 发生拒爆和熄爆</w:t>
      </w:r>
      <w:r>
        <w:t>时</w:t>
      </w:r>
      <w:r>
        <w:rPr>
          <w:rFonts w:hint="eastAsia" w:ascii="MS UI Gothic" w:eastAsia="MS UI Gothic"/>
          <w:w w:val="80"/>
        </w:rPr>
        <w:t xml:space="preserve">ꎬ </w:t>
      </w:r>
      <w:r>
        <w:t>应当分析原因</w:t>
      </w:r>
      <w:r>
        <w:rPr>
          <w:rFonts w:hint="eastAsia" w:ascii="MS UI Gothic" w:eastAsia="MS UI Gothic"/>
          <w:w w:val="80"/>
        </w:rPr>
        <w:t xml:space="preserve">ꎬ </w:t>
      </w:r>
      <w:r>
        <w:t>采取措施</w:t>
      </w:r>
      <w:r>
        <w:rPr>
          <w:rFonts w:hint="eastAsia" w:ascii="MS UI Gothic" w:eastAsia="MS UI Gothic"/>
          <w:w w:val="80"/>
        </w:rPr>
        <w:t xml:space="preserve">ꎬ </w:t>
      </w:r>
      <w:r>
        <w:t>并遵守下</w:t>
      </w:r>
      <w:r>
        <w:rPr>
          <w:w w:val="105"/>
        </w:rPr>
        <w:t>列规定</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在危险区边界设警戒</w:t>
      </w:r>
      <w:r>
        <w:rPr>
          <w:rFonts w:hint="eastAsia" w:ascii="MS UI Gothic" w:eastAsia="MS UI Gothic"/>
          <w:w w:val="80"/>
        </w:rPr>
        <w:t xml:space="preserve">ꎬ </w:t>
      </w:r>
      <w:r>
        <w:rPr>
          <w:w w:val="105"/>
        </w:rPr>
        <w:t>严禁非作业人员进入警戒区</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因地面网路连接错误或者地面</w:t>
      </w:r>
      <w:r>
        <w:t>网路断爆出现拒爆</w:t>
      </w:r>
      <w:r>
        <w:rPr>
          <w:rFonts w:hint="eastAsia" w:ascii="MS UI Gothic" w:eastAsia="MS UI Gothic"/>
          <w:w w:val="80"/>
        </w:rPr>
        <w:t xml:space="preserve">ꎬ </w:t>
      </w:r>
      <w:r>
        <w:t>可以再次连线起爆</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45"/>
        </w:rPr>
        <w:t xml:space="preserve">( </w:t>
      </w:r>
      <w:r>
        <w:rPr>
          <w:w w:val="105"/>
        </w:rPr>
        <w:t>三</w:t>
      </w:r>
      <w:r>
        <w:rPr>
          <w:rFonts w:hint="eastAsia" w:ascii="MS UI Gothic" w:eastAsia="MS UI Gothic"/>
          <w:w w:val="145"/>
        </w:rPr>
        <w:t xml:space="preserve">) </w:t>
      </w:r>
      <w:r>
        <w:rPr>
          <w:w w:val="105"/>
        </w:rPr>
        <w:t>严禁在原钻孔位钻孔</w:t>
      </w:r>
      <w:r>
        <w:rPr>
          <w:rFonts w:hint="eastAsia" w:ascii="MS UI Gothic" w:eastAsia="MS UI Gothic"/>
          <w:w w:val="80"/>
        </w:rPr>
        <w:t xml:space="preserve">ꎬ </w:t>
      </w:r>
      <w:r>
        <w:rPr>
          <w:w w:val="105"/>
        </w:rPr>
        <w:t xml:space="preserve">必须在距拒爆孔 </w:t>
      </w:r>
      <w:r>
        <w:rPr>
          <w:rFonts w:hint="eastAsia" w:ascii="MS UI Gothic" w:eastAsia="MS UI Gothic"/>
          <w:w w:val="80"/>
        </w:rPr>
        <w:t xml:space="preserve">１０ </w:t>
      </w:r>
      <w:r>
        <w:rPr>
          <w:w w:val="105"/>
        </w:rPr>
        <w:t>倍孔径处重新钻与原孔同样的炮孔装药爆破</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上述方法不能处理时</w:t>
      </w:r>
      <w:r>
        <w:rPr>
          <w:rFonts w:hint="eastAsia" w:ascii="MS UI Gothic" w:eastAsia="MS UI Gothic"/>
          <w:w w:val="80"/>
        </w:rPr>
        <w:t xml:space="preserve">ꎬ </w:t>
      </w:r>
      <w:r>
        <w:rPr>
          <w:w w:val="105"/>
        </w:rPr>
        <w:t>应当报</w:t>
      </w:r>
      <w:r>
        <w:t>告矿调度室</w:t>
      </w:r>
      <w:r>
        <w:rPr>
          <w:rFonts w:hint="eastAsia" w:ascii="MS UI Gothic" w:eastAsia="MS UI Gothic"/>
          <w:w w:val="80"/>
        </w:rPr>
        <w:t xml:space="preserve">ꎬ </w:t>
      </w:r>
      <w:r>
        <w:t>并指定专业人员研究处理</w:t>
      </w:r>
      <w:r>
        <w:rPr>
          <w:rFonts w:hint="eastAsia" w:ascii="MS UI Gothic" w:eastAsia="MS UI Gothic"/>
          <w:w w:val="80"/>
        </w:rPr>
        <w:t>ꎮ</w:t>
      </w:r>
    </w:p>
    <w:p>
      <w:pPr>
        <w:pStyle w:val="6"/>
        <w:tabs>
          <w:tab w:val="left" w:pos="1092"/>
          <w:tab w:val="left" w:pos="1721"/>
        </w:tabs>
        <w:spacing w:before="146"/>
        <w:ind w:left="254" w:firstLine="0"/>
        <w:jc w:val="center"/>
      </w:pPr>
      <w:r>
        <w:rPr>
          <w:spacing w:val="3"/>
          <w:w w:val="105"/>
        </w:rPr>
        <w:t>第三</w:t>
      </w:r>
      <w:r>
        <w:rPr>
          <w:w w:val="105"/>
        </w:rPr>
        <w:t>章</w:t>
      </w:r>
      <w:r>
        <w:rPr>
          <w:w w:val="105"/>
        </w:rPr>
        <w:tab/>
      </w:r>
      <w:r>
        <w:rPr>
          <w:w w:val="105"/>
        </w:rPr>
        <w:t>采</w:t>
      </w:r>
      <w:r>
        <w:rPr>
          <w:w w:val="105"/>
        </w:rPr>
        <w:tab/>
      </w:r>
      <w:r>
        <w:rPr>
          <w:w w:val="105"/>
        </w:rPr>
        <w:t>装</w:t>
      </w:r>
    </w:p>
    <w:p>
      <w:pPr>
        <w:pStyle w:val="6"/>
        <w:spacing w:before="1"/>
        <w:ind w:left="0" w:firstLine="0"/>
        <w:jc w:val="left"/>
        <w:rPr>
          <w:sz w:val="29"/>
        </w:rPr>
      </w:pPr>
    </w:p>
    <w:p>
      <w:pPr>
        <w:pStyle w:val="6"/>
        <w:tabs>
          <w:tab w:val="left" w:pos="1092"/>
        </w:tabs>
        <w:ind w:left="254" w:firstLine="0"/>
        <w:jc w:val="center"/>
      </w:pPr>
      <w:r>
        <w:rPr>
          <w:spacing w:val="3"/>
          <w:w w:val="105"/>
        </w:rPr>
        <w:t>第一</w:t>
      </w:r>
      <w:r>
        <w:rPr>
          <w:w w:val="105"/>
        </w:rPr>
        <w:t>节</w:t>
      </w:r>
      <w:r>
        <w:rPr>
          <w:w w:val="105"/>
        </w:rPr>
        <w:tab/>
      </w:r>
      <w:r>
        <w:rPr>
          <w:w w:val="105"/>
        </w:rPr>
        <w:t>一</w:t>
      </w:r>
      <w:r>
        <w:rPr>
          <w:spacing w:val="-33"/>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line="295" w:lineRule="auto"/>
        <w:ind w:left="383" w:right="126"/>
        <w:rPr>
          <w:rFonts w:hint="eastAsia" w:ascii="MS UI Gothic" w:eastAsia="MS UI Gothic"/>
        </w:rPr>
      </w:pPr>
      <w:r>
        <w:t>第五百三十九条 露天采场最终边坡的台阶坡面角和边坡角</w:t>
      </w:r>
      <w:r>
        <w:rPr>
          <w:rFonts w:hint="eastAsia" w:ascii="MS UI Gothic" w:eastAsia="MS UI Gothic"/>
          <w:w w:val="80"/>
        </w:rPr>
        <w:t xml:space="preserve">ꎬ </w:t>
      </w:r>
      <w:r>
        <w:t>必须符合最终边坡设计要求</w:t>
      </w:r>
      <w:r>
        <w:rPr>
          <w:rFonts w:hint="eastAsia" w:ascii="MS UI Gothic" w:eastAsia="MS UI Gothic"/>
          <w:w w:val="80"/>
        </w:rPr>
        <w:t>ꎮ</w:t>
      </w:r>
    </w:p>
    <w:p>
      <w:pPr>
        <w:pStyle w:val="6"/>
        <w:spacing w:line="295" w:lineRule="auto"/>
        <w:ind w:left="383" w:right="124"/>
        <w:rPr>
          <w:rFonts w:hint="eastAsia" w:ascii="MS UI Gothic" w:eastAsia="MS UI Gothic"/>
        </w:rPr>
      </w:pPr>
      <w:r>
        <w:t>第五百四十条 最小工作平盘宽度</w:t>
      </w:r>
      <w:r>
        <w:rPr>
          <w:rFonts w:hint="eastAsia" w:ascii="MS UI Gothic" w:eastAsia="MS UI Gothic"/>
          <w:w w:val="80"/>
        </w:rPr>
        <w:t>ꎬ</w:t>
      </w:r>
      <w:r>
        <w:t>必须保证采掘</w:t>
      </w:r>
      <w:r>
        <w:rPr>
          <w:rFonts w:hint="eastAsia" w:ascii="MS UI Gothic" w:eastAsia="MS UI Gothic"/>
          <w:w w:val="80"/>
        </w:rPr>
        <w:t xml:space="preserve">、 </w:t>
      </w:r>
      <w:r>
        <w:t>运输设备的安全运行和供电通信线路</w:t>
      </w:r>
      <w:r>
        <w:rPr>
          <w:rFonts w:hint="eastAsia" w:ascii="MS UI Gothic" w:eastAsia="MS UI Gothic"/>
          <w:w w:val="80"/>
        </w:rPr>
        <w:t xml:space="preserve">、 </w:t>
      </w:r>
      <w:r>
        <w:t>供排水系统</w:t>
      </w:r>
      <w:r>
        <w:rPr>
          <w:rFonts w:hint="eastAsia" w:ascii="MS UI Gothic" w:eastAsia="MS UI Gothic"/>
          <w:w w:val="80"/>
        </w:rPr>
        <w:t xml:space="preserve">、 </w:t>
      </w:r>
      <w:r>
        <w:t>安全挡墙等的正常布置</w:t>
      </w:r>
      <w:r>
        <w:rPr>
          <w:rFonts w:hint="eastAsia" w:ascii="MS UI Gothic" w:eastAsia="MS UI Gothic"/>
          <w:w w:val="80"/>
        </w:rPr>
        <w:t>ꎮ</w:t>
      </w:r>
    </w:p>
    <w:p>
      <w:pPr>
        <w:pStyle w:val="6"/>
        <w:tabs>
          <w:tab w:val="left" w:pos="1092"/>
        </w:tabs>
        <w:spacing w:before="152"/>
        <w:ind w:left="254" w:firstLine="0"/>
        <w:jc w:val="center"/>
      </w:pPr>
      <w:r>
        <w:rPr>
          <w:spacing w:val="3"/>
          <w:w w:val="105"/>
        </w:rPr>
        <w:t>第二</w:t>
      </w:r>
      <w:r>
        <w:rPr>
          <w:w w:val="105"/>
        </w:rPr>
        <w:t>节</w:t>
      </w:r>
      <w:r>
        <w:rPr>
          <w:w w:val="105"/>
        </w:rPr>
        <w:tab/>
      </w:r>
      <w:r>
        <w:rPr>
          <w:spacing w:val="3"/>
          <w:w w:val="105"/>
        </w:rPr>
        <w:t>单斗挖掘机采</w:t>
      </w:r>
      <w:r>
        <w:rPr>
          <w:w w:val="105"/>
        </w:rPr>
        <w:t>装</w:t>
      </w:r>
    </w:p>
    <w:p>
      <w:pPr>
        <w:pStyle w:val="6"/>
        <w:spacing w:before="10"/>
        <w:ind w:left="0" w:firstLine="0"/>
        <w:jc w:val="left"/>
        <w:rPr>
          <w:sz w:val="16"/>
        </w:rPr>
      </w:pPr>
    </w:p>
    <w:p>
      <w:pPr>
        <w:pStyle w:val="6"/>
        <w:spacing w:line="295" w:lineRule="auto"/>
        <w:ind w:left="383" w:right="126"/>
        <w:rPr>
          <w:rFonts w:hint="eastAsia" w:ascii="MS UI Gothic" w:eastAsia="MS UI Gothic"/>
        </w:rPr>
      </w:pPr>
      <w:r>
        <w:rPr>
          <w:w w:val="105"/>
        </w:rPr>
        <w:t>第五百四十一条 单斗挖掘机行走和</w:t>
      </w:r>
      <w:r>
        <w:rPr>
          <w:w w:val="110"/>
        </w:rPr>
        <w:t>升降段应当符合下列要求</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20"/>
        </w:rPr>
        <w:t xml:space="preserve">( </w:t>
      </w:r>
      <w:r>
        <w:rPr>
          <w:w w:val="110"/>
        </w:rPr>
        <w:t>一</w:t>
      </w:r>
      <w:r>
        <w:rPr>
          <w:rFonts w:hint="eastAsia" w:ascii="MS UI Gothic" w:eastAsia="MS UI Gothic"/>
          <w:w w:val="120"/>
        </w:rPr>
        <w:t xml:space="preserve">) </w:t>
      </w:r>
      <w:r>
        <w:rPr>
          <w:w w:val="110"/>
        </w:rPr>
        <w:t>行走前检查行走机构及制动系统</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根据不同的台阶高度</w:t>
      </w:r>
      <w:r>
        <w:rPr>
          <w:rFonts w:hint="eastAsia" w:ascii="MS UI Gothic" w:eastAsia="MS UI Gothic"/>
          <w:w w:val="80"/>
        </w:rPr>
        <w:t xml:space="preserve">、 </w:t>
      </w:r>
      <w:r>
        <w:rPr>
          <w:w w:val="105"/>
        </w:rPr>
        <w:t>坡面</w:t>
      </w:r>
      <w:r>
        <w:t>角</w:t>
      </w:r>
      <w:r>
        <w:rPr>
          <w:rFonts w:hint="eastAsia" w:ascii="MS UI Gothic" w:eastAsia="MS UI Gothic"/>
          <w:w w:val="80"/>
        </w:rPr>
        <w:t xml:space="preserve">ꎬ </w:t>
      </w:r>
      <w:r>
        <w:t>使挖掘机的行走路线与坡底线和坡顶</w:t>
      </w:r>
      <w:r>
        <w:rPr>
          <w:w w:val="105"/>
        </w:rPr>
        <w:t>线保持一定的安全距离</w:t>
      </w:r>
      <w:r>
        <w:rPr>
          <w:rFonts w:hint="eastAsia" w:ascii="MS UI Gothic" w:eastAsia="MS UI Gothic"/>
          <w:w w:val="80"/>
        </w:rPr>
        <w:t>ꎮ</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挖掘机应当在平整</w:t>
      </w:r>
      <w:r>
        <w:rPr>
          <w:rFonts w:hint="eastAsia" w:ascii="MS UI Gothic" w:eastAsia="MS UI Gothic"/>
          <w:w w:val="80"/>
        </w:rPr>
        <w:t xml:space="preserve">、  </w:t>
      </w:r>
      <w:r>
        <w:rPr>
          <w:w w:val="105"/>
        </w:rPr>
        <w:t>坚实的台</w:t>
      </w:r>
      <w:r>
        <w:t>阶上行走</w:t>
      </w:r>
      <w:r>
        <w:rPr>
          <w:rFonts w:hint="eastAsia" w:ascii="MS UI Gothic" w:eastAsia="MS UI Gothic"/>
          <w:w w:val="80"/>
        </w:rPr>
        <w:t xml:space="preserve">ꎬ </w:t>
      </w:r>
      <w:r>
        <w:t>当道路松软或者含水有沉陷危</w:t>
      </w:r>
      <w:r>
        <w:rPr>
          <w:w w:val="105"/>
        </w:rPr>
        <w:t>险时</w:t>
      </w:r>
      <w:r>
        <w:rPr>
          <w:rFonts w:hint="eastAsia" w:ascii="MS UI Gothic" w:eastAsia="MS UI Gothic"/>
          <w:w w:val="80"/>
        </w:rPr>
        <w:t xml:space="preserve">ꎬ </w:t>
      </w:r>
      <w:r>
        <w:rPr>
          <w:w w:val="105"/>
        </w:rPr>
        <w:t>必须采取安全措施</w:t>
      </w:r>
      <w:r>
        <w:rPr>
          <w:rFonts w:hint="eastAsia" w:ascii="MS UI Gothic" w:eastAsia="MS UI Gothic"/>
          <w:w w:val="80"/>
        </w:rPr>
        <w:t>ꎮ</w:t>
      </w:r>
    </w:p>
    <w:p>
      <w:pPr>
        <w:pStyle w:val="6"/>
        <w:spacing w:line="295" w:lineRule="auto"/>
        <w:ind w:left="383" w:right="124"/>
        <w:rPr>
          <w:rFonts w:hint="eastAsia" w:ascii="MS UI Gothic" w:eastAsia="MS UI Gothic"/>
        </w:rPr>
      </w:pPr>
      <w:r>
        <w:rPr>
          <w:rFonts w:hint="eastAsia" w:ascii="MS UI Gothic" w:eastAsia="MS UI Gothic"/>
          <w:w w:val="140"/>
        </w:rPr>
        <w:t xml:space="preserve">( </w:t>
      </w:r>
      <w:r>
        <w:t>四</w:t>
      </w:r>
      <w:r>
        <w:rPr>
          <w:rFonts w:hint="eastAsia" w:ascii="MS UI Gothic" w:eastAsia="MS UI Gothic"/>
          <w:w w:val="140"/>
        </w:rPr>
        <w:t xml:space="preserve">) </w:t>
      </w:r>
      <w:r>
        <w:t xml:space="preserve">挖掘机升降段或者行走距离超过 </w:t>
      </w:r>
      <w:r>
        <w:rPr>
          <w:rFonts w:hint="eastAsia" w:ascii="MS UI Gothic" w:eastAsia="MS UI Gothic"/>
          <w:w w:val="85"/>
        </w:rPr>
        <w:t xml:space="preserve">３００ ｍ </w:t>
      </w:r>
      <w:r>
        <w:t>时</w:t>
      </w:r>
      <w:r>
        <w:rPr>
          <w:rFonts w:hint="eastAsia" w:ascii="MS UI Gothic" w:eastAsia="MS UI Gothic"/>
          <w:w w:val="85"/>
        </w:rPr>
        <w:t xml:space="preserve">ꎬ </w:t>
      </w:r>
      <w:r>
        <w:t>必须设专人指挥</w:t>
      </w:r>
      <w:r>
        <w:rPr>
          <w:rFonts w:hint="eastAsia" w:ascii="MS UI Gothic" w:eastAsia="MS UI Gothic"/>
          <w:w w:val="85"/>
        </w:rPr>
        <w:t xml:space="preserve">ꎻ </w:t>
      </w:r>
      <w:r>
        <w:t>行走时</w:t>
      </w:r>
      <w:r>
        <w:rPr>
          <w:rFonts w:hint="eastAsia" w:ascii="MS UI Gothic" w:eastAsia="MS UI Gothic"/>
          <w:w w:val="85"/>
        </w:rPr>
        <w:t>ꎬ</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３２６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01" o:spid="_x0000_s2001" o:spt="203" style="height:2.15pt;width:398.25pt;" coordsize="7965,43">
            <o:lock v:ext="edit"/>
            <v:line id="_x0000_s2002" o:spid="_x0000_s2002" o:spt="20" style="position:absolute;left:0;top:39;height:0;width:7965;" stroked="t" coordsize="21600,21600">
              <v:path arrowok="t"/>
              <v:fill focussize="0,0"/>
              <v:stroke weight="0.388031496062992pt" color="#231F20"/>
              <v:imagedata o:title=""/>
              <o:lock v:ext="edit"/>
            </v:line>
            <v:line id="_x0000_s2003" o:spid="_x0000_s200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主动轴应当在后</w:t>
      </w:r>
      <w:r>
        <w:rPr>
          <w:rFonts w:hint="eastAsia" w:ascii="MS UI Gothic" w:eastAsia="MS UI Gothic"/>
          <w:w w:val="80"/>
        </w:rPr>
        <w:t xml:space="preserve">ꎬ </w:t>
      </w:r>
      <w:r>
        <w:t>悬臂对正行走中心</w:t>
      </w:r>
      <w:r>
        <w:rPr>
          <w:rFonts w:hint="eastAsia" w:ascii="MS UI Gothic" w:eastAsia="MS UI Gothic"/>
          <w:w w:val="80"/>
        </w:rPr>
        <w:t xml:space="preserve">ꎬ </w:t>
      </w:r>
      <w:r>
        <w:t>及时调整方向</w:t>
      </w:r>
      <w:r>
        <w:rPr>
          <w:rFonts w:hint="eastAsia" w:ascii="MS UI Gothic" w:eastAsia="MS UI Gothic"/>
          <w:w w:val="80"/>
        </w:rPr>
        <w:t xml:space="preserve">ꎬ </w:t>
      </w:r>
      <w:r>
        <w:t>严禁原地大角度扭车</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挖掘机行走时</w:t>
      </w:r>
      <w:r>
        <w:rPr>
          <w:rFonts w:hint="eastAsia" w:ascii="MS UI Gothic" w:eastAsia="MS UI Gothic"/>
          <w:w w:val="80"/>
        </w:rPr>
        <w:t xml:space="preserve">ꎬ </w:t>
      </w:r>
      <w:r>
        <w:rPr>
          <w:w w:val="105"/>
        </w:rPr>
        <w:t xml:space="preserve">靠铁道线路侧的履带边缘距线路中心不得小于 </w:t>
      </w:r>
      <w:r>
        <w:rPr>
          <w:rFonts w:hint="eastAsia" w:ascii="MS UI Gothic" w:eastAsia="MS UI Gothic"/>
          <w:w w:val="80"/>
        </w:rPr>
        <w:t xml:space="preserve">３ ｍꎬ </w:t>
      </w:r>
      <w:r>
        <w:rPr>
          <w:w w:val="105"/>
        </w:rPr>
        <w:t>过</w:t>
      </w:r>
      <w:r>
        <w:t>高压线和铁道等障碍物时</w:t>
      </w:r>
      <w:r>
        <w:rPr>
          <w:rFonts w:hint="eastAsia" w:ascii="MS UI Gothic" w:eastAsia="MS UI Gothic"/>
          <w:w w:val="80"/>
        </w:rPr>
        <w:t xml:space="preserve">ꎬ </w:t>
      </w:r>
      <w:r>
        <w:t>要有相应的安</w:t>
      </w:r>
      <w:r>
        <w:rPr>
          <w:w w:val="105"/>
        </w:rPr>
        <w:t>全措施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挖掘机升降段之前应当预先采</w:t>
      </w:r>
      <w:r>
        <w:t>取防止下滑的措施</w:t>
      </w:r>
      <w:r>
        <w:rPr>
          <w:rFonts w:hint="eastAsia" w:ascii="MS UI Gothic" w:eastAsia="MS UI Gothic"/>
          <w:w w:val="80"/>
        </w:rPr>
        <w:t xml:space="preserve">ꎮ </w:t>
      </w:r>
      <w:r>
        <w:t>爬坡时</w:t>
      </w:r>
      <w:r>
        <w:rPr>
          <w:rFonts w:hint="eastAsia" w:ascii="MS UI Gothic" w:eastAsia="MS UI Gothic"/>
          <w:w w:val="80"/>
        </w:rPr>
        <w:t xml:space="preserve">ꎬ </w:t>
      </w:r>
      <w:r>
        <w:t>不得超过挖</w:t>
      </w:r>
      <w:r>
        <w:rPr>
          <w:w w:val="105"/>
        </w:rPr>
        <w:t>掘机规定的最大允许坡度</w:t>
      </w:r>
      <w:r>
        <w:rPr>
          <w:rFonts w:hint="eastAsia" w:ascii="MS UI Gothic" w:eastAsia="MS UI Gothic"/>
          <w:w w:val="80"/>
        </w:rPr>
        <w:t>ꎮ</w:t>
      </w:r>
    </w:p>
    <w:p>
      <w:pPr>
        <w:pStyle w:val="6"/>
        <w:spacing w:line="295" w:lineRule="auto"/>
        <w:ind w:right="39"/>
        <w:rPr>
          <w:rFonts w:hint="eastAsia" w:ascii="MS UI Gothic" w:eastAsia="MS UI Gothic"/>
        </w:rPr>
      </w:pPr>
      <w:r>
        <w:t>第五百四十二条 轮斗挖掘机作业和行走线路处在饱和水台阶上时</w:t>
      </w:r>
      <w:r>
        <w:rPr>
          <w:rFonts w:hint="eastAsia" w:ascii="MS UI Gothic" w:eastAsia="MS UI Gothic"/>
          <w:w w:val="80"/>
        </w:rPr>
        <w:t xml:space="preserve">ꎬ </w:t>
      </w:r>
      <w:r>
        <w:t>必须有疏排水措施</w:t>
      </w:r>
      <w:r>
        <w:rPr>
          <w:rFonts w:hint="eastAsia" w:ascii="MS UI Gothic" w:eastAsia="MS UI Gothic"/>
          <w:w w:val="80"/>
        </w:rPr>
        <w:t xml:space="preserve">ꎬ </w:t>
      </w:r>
      <w:r>
        <w:t>否则严禁作业和走行</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第五百四十三条 挖掘机采装的台阶</w:t>
      </w:r>
      <w:r>
        <w:rPr>
          <w:w w:val="110"/>
        </w:rPr>
        <w:t>高度应当符合下列要求</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不需爆破的岩土台阶高度不得</w:t>
      </w:r>
      <w:r>
        <w:rPr>
          <w:w w:val="110"/>
        </w:rPr>
        <w:t>大于最大挖掘高度</w:t>
      </w:r>
      <w:r>
        <w:rPr>
          <w:rFonts w:hint="eastAsia" w:ascii="MS UI Gothic" w:eastAsia="MS UI Gothic"/>
          <w:w w:val="80"/>
        </w:rPr>
        <w:t>ꎮ</w:t>
      </w:r>
    </w:p>
    <w:p>
      <w:pPr>
        <w:pStyle w:val="6"/>
        <w:spacing w:line="295" w:lineRule="auto"/>
        <w:ind w:left="118" w:right="39" w:firstLine="425"/>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需爆破的煤</w:t>
      </w:r>
      <w:r>
        <w:rPr>
          <w:rFonts w:hint="eastAsia" w:ascii="MS UI Gothic" w:eastAsia="MS UI Gothic"/>
        </w:rPr>
        <w:t xml:space="preserve">、 </w:t>
      </w:r>
      <w:r>
        <w:t>岩台阶</w:t>
      </w:r>
      <w:r>
        <w:rPr>
          <w:rFonts w:hint="eastAsia" w:ascii="MS UI Gothic" w:eastAsia="MS UI Gothic"/>
          <w:w w:val="80"/>
        </w:rPr>
        <w:t xml:space="preserve">ꎬ </w:t>
      </w:r>
      <w:r>
        <w:t xml:space="preserve">爆破后爆堆高度不得大于最大挖掘高度的 </w:t>
      </w:r>
      <w:r>
        <w:rPr>
          <w:rFonts w:hint="eastAsia" w:ascii="MS UI Gothic" w:eastAsia="MS UI Gothic"/>
        </w:rPr>
        <w:t xml:space="preserve">１ １ </w:t>
      </w:r>
      <w:r>
        <w:rPr>
          <w:rFonts w:hint="eastAsia" w:ascii="MS UI Gothic" w:eastAsia="MS UI Gothic"/>
          <w:w w:val="145"/>
        </w:rPr>
        <w:t xml:space="preserve">~ </w:t>
      </w:r>
      <w:r>
        <w:rPr>
          <w:rFonts w:hint="eastAsia" w:ascii="MS UI Gothic" w:eastAsia="MS UI Gothic"/>
        </w:rPr>
        <w:t xml:space="preserve">１ ２ </w:t>
      </w:r>
      <w:r>
        <w:t>倍</w:t>
      </w:r>
      <w:r>
        <w:rPr>
          <w:rFonts w:hint="eastAsia" w:ascii="MS UI Gothic" w:eastAsia="MS UI Gothic"/>
          <w:w w:val="80"/>
        </w:rPr>
        <w:t xml:space="preserve">ꎬ </w:t>
      </w:r>
      <w:r>
        <w:t>台阶顶部不得有悬浮大块</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上装车台阶高度不得大于最大</w:t>
      </w:r>
      <w:r>
        <w:t>卸载高度与运输容器高度及卸载安全高度</w:t>
      </w:r>
      <w:r>
        <w:rPr>
          <w:w w:val="105"/>
        </w:rPr>
        <w:t>之和的差</w:t>
      </w:r>
      <w:r>
        <w:rPr>
          <w:rFonts w:hint="eastAsia" w:ascii="MS UI Gothic" w:eastAsia="MS UI Gothic"/>
          <w:w w:val="80"/>
        </w:rPr>
        <w:t>ꎮ</w:t>
      </w:r>
    </w:p>
    <w:p>
      <w:pPr>
        <w:pStyle w:val="6"/>
        <w:spacing w:line="295" w:lineRule="auto"/>
        <w:ind w:left="118" w:right="39" w:firstLine="425"/>
        <w:rPr>
          <w:rFonts w:hint="eastAsia" w:ascii="MS UI Gothic" w:eastAsia="MS UI Gothic"/>
        </w:rPr>
      </w:pPr>
      <w:r>
        <w:t>第五百四十四条 单斗挖掘机尾部与台阶坡面</w:t>
      </w:r>
      <w:r>
        <w:rPr>
          <w:rFonts w:hint="eastAsia" w:ascii="MS UI Gothic" w:eastAsia="MS UI Gothic"/>
          <w:w w:val="80"/>
        </w:rPr>
        <w:t xml:space="preserve">、  </w:t>
      </w:r>
      <w:r>
        <w:t>运输设备之间的距离不得小于</w:t>
      </w:r>
      <w:r>
        <w:rPr>
          <w:rFonts w:hint="eastAsia" w:ascii="MS UI Gothic" w:eastAsia="MS UI Gothic"/>
          <w:w w:val="80"/>
        </w:rPr>
        <w:t xml:space="preserve">１ ｍꎮ </w:t>
      </w:r>
      <w:r>
        <w:t>停止作业时</w:t>
      </w:r>
      <w:r>
        <w:rPr>
          <w:rFonts w:hint="eastAsia" w:ascii="MS UI Gothic" w:eastAsia="MS UI Gothic"/>
          <w:w w:val="80"/>
        </w:rPr>
        <w:t xml:space="preserve">ꎬ </w:t>
      </w:r>
      <w:r>
        <w:t>上下设备梯子应当背离台阶</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第五百四十五条 单斗挖掘机向列车</w:t>
      </w:r>
      <w:r>
        <w:rPr>
          <w:w w:val="110"/>
        </w:rPr>
        <w:t>装载时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left="104" w:right="38"/>
        <w:jc w:val="right"/>
        <w:rPr>
          <w:rFonts w:hint="eastAsia" w:ascii="MS UI Gothic" w:eastAsia="MS UI Gothic"/>
        </w:rPr>
      </w:pPr>
      <w:r>
        <w:rPr>
          <w:rFonts w:hint="eastAsia" w:ascii="MS UI Gothic" w:eastAsia="MS UI Gothic"/>
          <w:w w:val="140"/>
        </w:rPr>
        <w:t xml:space="preserve">( </w:t>
      </w:r>
      <w:r>
        <w:t>一</w:t>
      </w:r>
      <w:r>
        <w:rPr>
          <w:rFonts w:hint="eastAsia" w:ascii="MS UI Gothic" w:eastAsia="MS UI Gothic"/>
          <w:w w:val="140"/>
        </w:rPr>
        <w:t xml:space="preserve">) </w:t>
      </w:r>
      <w:r>
        <w:t xml:space="preserve">列车驶入工作面 </w:t>
      </w:r>
      <w:r>
        <w:rPr>
          <w:rFonts w:hint="eastAsia" w:ascii="MS UI Gothic" w:eastAsia="MS UI Gothic"/>
          <w:w w:val="85"/>
        </w:rPr>
        <w:t xml:space="preserve">１００ ｍ </w:t>
      </w:r>
      <w:r>
        <w:t>内</w:t>
      </w:r>
      <w:r>
        <w:rPr>
          <w:rFonts w:hint="eastAsia" w:ascii="MS UI Gothic" w:eastAsia="MS UI Gothic"/>
          <w:w w:val="85"/>
        </w:rPr>
        <w:t xml:space="preserve">ꎬ </w:t>
      </w:r>
      <w:r>
        <w:t xml:space="preserve">驶出工作面 </w:t>
      </w:r>
      <w:r>
        <w:rPr>
          <w:rFonts w:hint="eastAsia" w:ascii="MS UI Gothic" w:eastAsia="MS UI Gothic"/>
          <w:w w:val="85"/>
        </w:rPr>
        <w:t xml:space="preserve">２０ ｍ </w:t>
      </w:r>
      <w:r>
        <w:t>内</w:t>
      </w:r>
      <w:r>
        <w:rPr>
          <w:rFonts w:hint="eastAsia" w:ascii="MS UI Gothic" w:eastAsia="MS UI Gothic"/>
          <w:w w:val="85"/>
        </w:rPr>
        <w:t xml:space="preserve">ꎬ </w:t>
      </w:r>
      <w:r>
        <w:t>挖掘机必须停止作业</w:t>
      </w:r>
      <w:r>
        <w:rPr>
          <w:rFonts w:hint="eastAsia" w:ascii="MS UI Gothic" w:eastAsia="MS UI Gothic"/>
          <w:w w:val="85"/>
        </w:rPr>
        <w:t>ꎮ</w:t>
      </w:r>
      <w:r>
        <w:rPr>
          <w:rFonts w:hint="eastAsia" w:ascii="MS UI Gothic" w:eastAsia="MS UI Gothic"/>
          <w:w w:val="51"/>
        </w:rPr>
        <w:t xml:space="preserve"> </w:t>
      </w:r>
      <w:r>
        <w:rPr>
          <w:rFonts w:hint="eastAsia" w:ascii="MS UI Gothic" w:eastAsia="MS UI Gothic"/>
          <w:w w:val="140"/>
        </w:rPr>
        <w:t xml:space="preserve">( </w:t>
      </w:r>
      <w:r>
        <w:t>二</w:t>
      </w:r>
      <w:r>
        <w:rPr>
          <w:rFonts w:hint="eastAsia" w:ascii="MS UI Gothic" w:eastAsia="MS UI Gothic"/>
          <w:w w:val="140"/>
        </w:rPr>
        <w:t xml:space="preserve">) </w:t>
      </w:r>
      <w:r>
        <w:t>列车驶入工作面</w:t>
      </w:r>
      <w:r>
        <w:rPr>
          <w:rFonts w:hint="eastAsia" w:ascii="MS UI Gothic" w:eastAsia="MS UI Gothic"/>
          <w:w w:val="85"/>
        </w:rPr>
        <w:t xml:space="preserve">ꎬ </w:t>
      </w:r>
      <w:r>
        <w:t>待车停稳</w:t>
      </w:r>
      <w:r>
        <w:rPr>
          <w:rFonts w:hint="eastAsia" w:ascii="MS UI Gothic" w:eastAsia="MS UI Gothic"/>
          <w:w w:val="85"/>
        </w:rPr>
        <w:t>ꎬ</w:t>
      </w:r>
    </w:p>
    <w:p>
      <w:pPr>
        <w:pStyle w:val="6"/>
        <w:spacing w:line="254" w:lineRule="exact"/>
        <w:ind w:firstLine="0"/>
        <w:jc w:val="left"/>
        <w:rPr>
          <w:rFonts w:hint="eastAsia" w:ascii="MS UI Gothic" w:eastAsia="MS UI Gothic"/>
        </w:rPr>
      </w:pPr>
      <w:r>
        <w:t>经助手与司旗联系后</w:t>
      </w:r>
      <w:r>
        <w:rPr>
          <w:rFonts w:hint="eastAsia" w:ascii="MS UI Gothic" w:eastAsia="MS UI Gothic"/>
          <w:w w:val="80"/>
        </w:rPr>
        <w:t xml:space="preserve">ꎬ </w:t>
      </w:r>
      <w:r>
        <w:t>方可装车</w:t>
      </w:r>
      <w:r>
        <w:rPr>
          <w:rFonts w:hint="eastAsia" w:ascii="MS UI Gothic" w:eastAsia="MS UI Gothic"/>
          <w:w w:val="80"/>
        </w:rPr>
        <w:t>ꎮ</w:t>
      </w:r>
    </w:p>
    <w:p>
      <w:pPr>
        <w:pStyle w:val="6"/>
        <w:spacing w:before="26" w:line="295" w:lineRule="auto"/>
        <w:ind w:left="543" w:right="39" w:firstLine="0"/>
        <w:jc w:val="left"/>
      </w:pPr>
      <w:r>
        <w:rPr>
          <w:rFonts w:hint="eastAsia" w:ascii="MS UI Gothic" w:eastAsia="MS UI Gothic"/>
          <w:spacing w:val="-40"/>
          <w:w w:val="145"/>
        </w:rPr>
        <w:t xml:space="preserve">( </w:t>
      </w:r>
      <w:r>
        <w:rPr>
          <w:spacing w:val="3"/>
          <w:w w:val="110"/>
        </w:rPr>
        <w:t>三</w:t>
      </w:r>
      <w:r>
        <w:rPr>
          <w:rFonts w:hint="eastAsia" w:ascii="MS UI Gothic" w:eastAsia="MS UI Gothic"/>
          <w:spacing w:val="-15"/>
          <w:w w:val="145"/>
        </w:rPr>
        <w:t xml:space="preserve">) </w:t>
      </w:r>
      <w:r>
        <w:rPr>
          <w:spacing w:val="-6"/>
          <w:w w:val="110"/>
        </w:rPr>
        <w:t xml:space="preserve">物料最大块度不得超过 </w:t>
      </w:r>
      <w:r>
        <w:rPr>
          <w:rFonts w:hint="eastAsia" w:ascii="MS UI Gothic" w:eastAsia="MS UI Gothic"/>
          <w:spacing w:val="-9"/>
          <w:w w:val="85"/>
        </w:rPr>
        <w:t xml:space="preserve">３ </w:t>
      </w:r>
      <w:r>
        <w:rPr>
          <w:rFonts w:hint="eastAsia" w:ascii="MS UI Gothic" w:eastAsia="MS UI Gothic"/>
          <w:spacing w:val="3"/>
          <w:w w:val="85"/>
        </w:rPr>
        <w:t>ｍ</w:t>
      </w:r>
      <w:r>
        <w:rPr>
          <w:rFonts w:hint="eastAsia" w:ascii="MS UI Gothic" w:eastAsia="MS UI Gothic"/>
          <w:spacing w:val="-10"/>
          <w:w w:val="85"/>
          <w:position w:val="9"/>
          <w:sz w:val="12"/>
        </w:rPr>
        <w:t xml:space="preserve">３ </w:t>
      </w:r>
      <w:r>
        <w:rPr>
          <w:rFonts w:hint="eastAsia" w:ascii="MS UI Gothic" w:eastAsia="MS UI Gothic"/>
          <w:w w:val="85"/>
        </w:rPr>
        <w:t>ꎮ</w:t>
      </w:r>
      <w:r>
        <w:rPr>
          <w:rFonts w:hint="eastAsia" w:ascii="MS UI Gothic" w:eastAsia="MS UI Gothic"/>
          <w:spacing w:val="-41"/>
          <w:w w:val="145"/>
        </w:rPr>
        <w:t xml:space="preserve">( </w:t>
      </w:r>
      <w:r>
        <w:rPr>
          <w:spacing w:val="3"/>
          <w:w w:val="110"/>
        </w:rPr>
        <w:t>四</w:t>
      </w:r>
      <w:r>
        <w:rPr>
          <w:rFonts w:hint="eastAsia" w:ascii="MS UI Gothic" w:eastAsia="MS UI Gothic"/>
          <w:spacing w:val="-20"/>
          <w:w w:val="145"/>
        </w:rPr>
        <w:t xml:space="preserve">) </w:t>
      </w:r>
      <w:r>
        <w:rPr>
          <w:spacing w:val="5"/>
          <w:w w:val="110"/>
        </w:rPr>
        <w:t>严禁勺斗压</w:t>
      </w:r>
      <w:r>
        <w:rPr>
          <w:rFonts w:hint="eastAsia" w:ascii="MS UI Gothic" w:eastAsia="MS UI Gothic"/>
          <w:spacing w:val="-5"/>
          <w:w w:val="85"/>
        </w:rPr>
        <w:t xml:space="preserve">、 </w:t>
      </w:r>
      <w:r>
        <w:rPr>
          <w:spacing w:val="9"/>
          <w:w w:val="110"/>
        </w:rPr>
        <w:t>碰自翻车车帮或</w:t>
      </w:r>
    </w:p>
    <w:p>
      <w:pPr>
        <w:pStyle w:val="6"/>
        <w:spacing w:line="295" w:lineRule="auto"/>
        <w:ind w:right="39" w:firstLine="0"/>
        <w:jc w:val="left"/>
        <w:rPr>
          <w:rFonts w:hint="eastAsia" w:ascii="MS UI Gothic" w:eastAsia="MS UI Gothic"/>
        </w:rPr>
      </w:pPr>
      <w:r>
        <w:t>者跨越机车和尾车顶部</w:t>
      </w:r>
      <w:r>
        <w:rPr>
          <w:rFonts w:hint="eastAsia" w:ascii="MS UI Gothic" w:eastAsia="MS UI Gothic"/>
          <w:w w:val="80"/>
        </w:rPr>
        <w:t xml:space="preserve">ꎮ </w:t>
      </w:r>
      <w:r>
        <w:t>严禁高吊勺斗装车</w:t>
      </w:r>
      <w:r>
        <w:rPr>
          <w:rFonts w:hint="eastAsia" w:ascii="MS UI Gothic" w:eastAsia="MS UI Gothic"/>
          <w:w w:val="80"/>
        </w:rPr>
        <w:t>ꎮ</w:t>
      </w:r>
    </w:p>
    <w:p>
      <w:pPr>
        <w:pStyle w:val="6"/>
        <w:spacing w:line="295" w:lineRule="auto"/>
        <w:ind w:right="39"/>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遇到大块物料掉落影响机车运行时</w:t>
      </w:r>
      <w:r>
        <w:rPr>
          <w:rFonts w:hint="eastAsia" w:ascii="MS UI Gothic" w:eastAsia="MS UI Gothic"/>
          <w:w w:val="80"/>
        </w:rPr>
        <w:t xml:space="preserve">ꎬ </w:t>
      </w:r>
      <w:r>
        <w:rPr>
          <w:w w:val="105"/>
        </w:rPr>
        <w:t>必须处理后方可作业</w:t>
      </w:r>
      <w:r>
        <w:rPr>
          <w:rFonts w:hint="eastAsia" w:ascii="MS UI Gothic" w:eastAsia="MS UI Gothic"/>
          <w:w w:val="80"/>
        </w:rPr>
        <w:t>ꎮ</w:t>
      </w:r>
    </w:p>
    <w:p>
      <w:pPr>
        <w:pStyle w:val="6"/>
        <w:tabs>
          <w:tab w:val="left" w:pos="2220"/>
        </w:tabs>
        <w:spacing w:line="255" w:lineRule="exact"/>
        <w:ind w:left="543" w:firstLine="0"/>
        <w:jc w:val="left"/>
      </w:pPr>
      <w:r>
        <w:rPr>
          <w:spacing w:val="3"/>
          <w:w w:val="105"/>
        </w:rPr>
        <w:t>第五百四十六</w:t>
      </w:r>
      <w:r>
        <w:rPr>
          <w:w w:val="105"/>
        </w:rPr>
        <w:t>条</w:t>
      </w:r>
      <w:r>
        <w:rPr>
          <w:w w:val="105"/>
        </w:rPr>
        <w:tab/>
      </w:r>
      <w:r>
        <w:rPr>
          <w:spacing w:val="3"/>
        </w:rPr>
        <w:t>单斗挖掘机向矿</w:t>
      </w:r>
      <w:r>
        <w:t>用</w:t>
      </w:r>
    </w:p>
    <w:p>
      <w:pPr>
        <w:pStyle w:val="6"/>
        <w:spacing w:before="123"/>
        <w:ind w:firstLine="0"/>
        <w:rPr>
          <w:rFonts w:hint="eastAsia" w:ascii="MS UI Gothic" w:eastAsia="MS UI Gothic"/>
        </w:rPr>
      </w:pPr>
      <w:r>
        <w:br w:type="column"/>
      </w:r>
      <w:r>
        <w:rPr>
          <w:w w:val="110"/>
        </w:rPr>
        <w:t>卡车装载时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before="58"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勺斗容积和物料块度与卡车载</w:t>
      </w:r>
      <w:r>
        <w:rPr>
          <w:w w:val="110"/>
        </w:rPr>
        <w:t>重相适应</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单面装车作业时</w:t>
      </w:r>
      <w:r>
        <w:rPr>
          <w:rFonts w:hint="eastAsia" w:ascii="MS UI Gothic" w:eastAsia="MS UI Gothic"/>
          <w:w w:val="80"/>
        </w:rPr>
        <w:t xml:space="preserve">ꎬ </w:t>
      </w:r>
      <w:r>
        <w:rPr>
          <w:w w:val="105"/>
        </w:rPr>
        <w:t>只有在挖掘</w:t>
      </w:r>
      <w:r>
        <w:t>机司机发出进车信号</w:t>
      </w:r>
      <w:r>
        <w:rPr>
          <w:rFonts w:hint="eastAsia" w:ascii="MS UI Gothic" w:eastAsia="MS UI Gothic"/>
          <w:w w:val="80"/>
        </w:rPr>
        <w:t xml:space="preserve">ꎬ </w:t>
      </w:r>
      <w:r>
        <w:t>卡车开到装车位置停稳并发出装车信号后</w:t>
      </w:r>
      <w:r>
        <w:rPr>
          <w:rFonts w:hint="eastAsia" w:ascii="MS UI Gothic" w:eastAsia="MS UI Gothic"/>
          <w:w w:val="80"/>
        </w:rPr>
        <w:t xml:space="preserve">ꎬ </w:t>
      </w:r>
      <w:r>
        <w:t>方可装车</w:t>
      </w:r>
      <w:r>
        <w:rPr>
          <w:rFonts w:hint="eastAsia" w:ascii="MS UI Gothic" w:eastAsia="MS UI Gothic"/>
          <w:w w:val="80"/>
        </w:rPr>
        <w:t xml:space="preserve">ꎮ </w:t>
      </w:r>
      <w:r>
        <w:t>双面装车作业时</w:t>
      </w:r>
      <w:r>
        <w:rPr>
          <w:rFonts w:hint="eastAsia" w:ascii="MS UI Gothic" w:eastAsia="MS UI Gothic"/>
          <w:w w:val="80"/>
        </w:rPr>
        <w:t xml:space="preserve">ꎬ </w:t>
      </w:r>
      <w:r>
        <w:t>正面装车卡车可提前进入装车位置</w:t>
      </w:r>
      <w:r>
        <w:rPr>
          <w:rFonts w:hint="eastAsia" w:ascii="MS UI Gothic" w:eastAsia="MS UI Gothic"/>
          <w:w w:val="80"/>
        </w:rPr>
        <w:t xml:space="preserve">ꎻ </w:t>
      </w:r>
      <w:r>
        <w:t>反面装车应当由勺斗引导卡车进</w:t>
      </w:r>
      <w:r>
        <w:rPr>
          <w:w w:val="105"/>
        </w:rPr>
        <w:t>入装车位置</w:t>
      </w:r>
      <w:r>
        <w:rPr>
          <w:rFonts w:hint="eastAsia" w:ascii="MS UI Gothic" w:eastAsia="MS UI Gothic"/>
          <w:w w:val="80"/>
        </w:rPr>
        <w:t>ꎮ</w:t>
      </w:r>
    </w:p>
    <w:p>
      <w:pPr>
        <w:pStyle w:val="6"/>
        <w:spacing w:line="251"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挖掘机不得跨电缆装车</w:t>
      </w:r>
      <w:r>
        <w:rPr>
          <w:rFonts w:hint="eastAsia" w:ascii="MS UI Gothic" w:eastAsia="MS UI Gothic"/>
          <w:w w:val="80"/>
        </w:rPr>
        <w:t>ꎮ</w:t>
      </w:r>
    </w:p>
    <w:p>
      <w:pPr>
        <w:pStyle w:val="6"/>
        <w:spacing w:before="57" w:line="295" w:lineRule="auto"/>
        <w:ind w:right="442"/>
        <w:rPr>
          <w:rFonts w:hint="eastAsia" w:ascii="MS UI Gothic" w:eastAsia="MS UI Gothic"/>
        </w:rPr>
      </w:pPr>
      <w:r>
        <w:rPr>
          <w:rFonts w:hint="eastAsia" w:ascii="MS UI Gothic" w:eastAsia="MS UI Gothic"/>
          <w:w w:val="145"/>
        </w:rPr>
        <w:t xml:space="preserve">( </w:t>
      </w:r>
      <w:r>
        <w:t>四</w:t>
      </w:r>
      <w:r>
        <w:rPr>
          <w:rFonts w:hint="eastAsia" w:ascii="MS UI Gothic" w:eastAsia="MS UI Gothic"/>
          <w:w w:val="145"/>
        </w:rPr>
        <w:t xml:space="preserve">) </w:t>
      </w:r>
      <w:r>
        <w:t>装载第一勺斗时</w:t>
      </w:r>
      <w:r>
        <w:rPr>
          <w:rFonts w:hint="eastAsia" w:ascii="MS UI Gothic" w:eastAsia="MS UI Gothic"/>
          <w:w w:val="80"/>
        </w:rPr>
        <w:t xml:space="preserve">ꎬ </w:t>
      </w:r>
      <w:r>
        <w:t>不得装大块</w:t>
      </w:r>
      <w:r>
        <w:rPr>
          <w:rFonts w:hint="eastAsia" w:ascii="MS UI Gothic" w:eastAsia="MS UI Gothic"/>
          <w:w w:val="80"/>
        </w:rPr>
        <w:t xml:space="preserve">ꎻ </w:t>
      </w:r>
      <w:r>
        <w:t>卸料时尽量放低勺斗</w:t>
      </w:r>
      <w:r>
        <w:rPr>
          <w:rFonts w:hint="eastAsia" w:ascii="MS UI Gothic" w:eastAsia="MS UI Gothic"/>
          <w:w w:val="80"/>
        </w:rPr>
        <w:t xml:space="preserve">ꎬ </w:t>
      </w:r>
      <w:r>
        <w:t xml:space="preserve">其插销距车厢底板不得超过 </w:t>
      </w:r>
      <w:r>
        <w:rPr>
          <w:rFonts w:hint="eastAsia" w:ascii="MS UI Gothic" w:eastAsia="MS UI Gothic"/>
        </w:rPr>
        <w:t>０ ５ ｍ</w:t>
      </w:r>
      <w:r>
        <w:rPr>
          <w:rFonts w:hint="eastAsia" w:ascii="MS UI Gothic" w:eastAsia="MS UI Gothic"/>
          <w:w w:val="80"/>
        </w:rPr>
        <w:t xml:space="preserve">ꎮ </w:t>
      </w:r>
      <w:r>
        <w:t>严禁高吊勺斗装车</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装入卡车里的物料超出车厢外部</w:t>
      </w:r>
      <w:r>
        <w:rPr>
          <w:rFonts w:hint="eastAsia" w:ascii="MS UI Gothic" w:eastAsia="MS UI Gothic"/>
          <w:w w:val="80"/>
        </w:rPr>
        <w:t xml:space="preserve">、 </w:t>
      </w:r>
      <w:r>
        <w:rPr>
          <w:w w:val="105"/>
        </w:rPr>
        <w:t>影响安全时</w:t>
      </w:r>
      <w:r>
        <w:rPr>
          <w:rFonts w:hint="eastAsia" w:ascii="MS UI Gothic" w:eastAsia="MS UI Gothic"/>
          <w:w w:val="80"/>
        </w:rPr>
        <w:t xml:space="preserve">ꎬ </w:t>
      </w:r>
      <w:r>
        <w:rPr>
          <w:w w:val="105"/>
        </w:rPr>
        <w:t>必须妥善处理后</w:t>
      </w:r>
      <w:r>
        <w:rPr>
          <w:rFonts w:hint="eastAsia" w:ascii="MS UI Gothic" w:eastAsia="MS UI Gothic"/>
          <w:w w:val="80"/>
        </w:rPr>
        <w:t xml:space="preserve">ꎬ </w:t>
      </w:r>
      <w:r>
        <w:rPr>
          <w:w w:val="105"/>
        </w:rPr>
        <w:t>才准发出车信号</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装车时严禁勺斗从卡车驾驶室</w:t>
      </w:r>
      <w:r>
        <w:rPr>
          <w:w w:val="110"/>
        </w:rPr>
        <w:t>上方越过</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装入车内的物料要均匀</w:t>
      </w:r>
      <w:r>
        <w:rPr>
          <w:rFonts w:hint="eastAsia" w:ascii="MS UI Gothic" w:eastAsia="MS UI Gothic"/>
          <w:w w:val="80"/>
        </w:rPr>
        <w:t xml:space="preserve">ꎬ </w:t>
      </w:r>
      <w:r>
        <w:rPr>
          <w:w w:val="105"/>
        </w:rPr>
        <w:t>严禁单侧偏装</w:t>
      </w:r>
      <w:r>
        <w:rPr>
          <w:rFonts w:hint="eastAsia" w:ascii="MS UI Gothic" w:eastAsia="MS UI Gothic"/>
          <w:w w:val="80"/>
        </w:rPr>
        <w:t xml:space="preserve">、 </w:t>
      </w:r>
      <w:r>
        <w:rPr>
          <w:w w:val="105"/>
        </w:rPr>
        <w:t>超装</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第五百四十七条 单斗挖掘机向自移</w:t>
      </w:r>
      <w:r>
        <w:rPr>
          <w:w w:val="110"/>
        </w:rPr>
        <w:t>式破碎机装载时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卸载时</w:t>
      </w:r>
      <w:r>
        <w:rPr>
          <w:rFonts w:hint="eastAsia" w:ascii="MS UI Gothic" w:eastAsia="MS UI Gothic"/>
          <w:w w:val="80"/>
        </w:rPr>
        <w:t xml:space="preserve">ꎬ </w:t>
      </w:r>
      <w:r>
        <w:t xml:space="preserve">勺斗斗底板下缘距受料斗不得超过 </w:t>
      </w:r>
      <w:r>
        <w:rPr>
          <w:rFonts w:hint="eastAsia" w:ascii="MS UI Gothic" w:eastAsia="MS UI Gothic"/>
        </w:rPr>
        <w:t>０ ８ ｍ</w:t>
      </w:r>
      <w:r>
        <w:rPr>
          <w:rFonts w:hint="eastAsia" w:ascii="MS UI Gothic" w:eastAsia="MS UI Gothic"/>
          <w:w w:val="80"/>
        </w:rPr>
        <w:t xml:space="preserve">ꎮ </w:t>
      </w:r>
      <w:r>
        <w:t>严禁高吊铲斗卸载</w:t>
      </w:r>
      <w:r>
        <w:rPr>
          <w:rFonts w:hint="eastAsia" w:ascii="MS UI Gothic" w:eastAsia="MS UI Gothic"/>
          <w:w w:val="80"/>
        </w:rPr>
        <w:t>ꎮ</w:t>
      </w:r>
    </w:p>
    <w:p>
      <w:pPr>
        <w:pStyle w:val="6"/>
        <w:spacing w:line="295" w:lineRule="auto"/>
        <w:ind w:left="118" w:right="442" w:firstLine="425"/>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自移式破碎机突出部位距单斗挖掘机机尾回转范围距离不得 小 于</w:t>
      </w:r>
      <w:r>
        <w:rPr>
          <w:rFonts w:hint="eastAsia" w:ascii="MS UI Gothic" w:eastAsia="MS UI Gothic"/>
          <w:w w:val="85"/>
        </w:rPr>
        <w:t xml:space="preserve">１ </w:t>
      </w:r>
      <w:r>
        <w:rPr>
          <w:rFonts w:hint="eastAsia" w:ascii="MS UI Gothic" w:eastAsia="MS UI Gothic"/>
        </w:rPr>
        <w:t>０ ｍ</w:t>
      </w:r>
      <w:r>
        <w:rPr>
          <w:rFonts w:hint="eastAsia" w:ascii="MS UI Gothic" w:eastAsia="MS UI Gothic"/>
          <w:w w:val="85"/>
        </w:rPr>
        <w:t>ꎮ</w:t>
      </w:r>
    </w:p>
    <w:p>
      <w:pPr>
        <w:pStyle w:val="6"/>
        <w:spacing w:line="295" w:lineRule="auto"/>
        <w:ind w:right="442"/>
        <w:rPr>
          <w:rFonts w:hint="eastAsia" w:ascii="MS UI Gothic" w:eastAsia="MS UI Gothic"/>
        </w:rPr>
      </w:pPr>
      <w:r>
        <w:rPr>
          <w:w w:val="105"/>
        </w:rPr>
        <w:t>第五百四十八条 操作单斗挖掘机或</w:t>
      </w:r>
      <w:r>
        <w:rPr>
          <w:w w:val="110"/>
        </w:rPr>
        <w:t>者反铲时</w:t>
      </w:r>
      <w:r>
        <w:rPr>
          <w:rFonts w:hint="eastAsia" w:ascii="MS UI Gothic" w:eastAsia="MS UI Gothic"/>
          <w:w w:val="80"/>
        </w:rPr>
        <w:t xml:space="preserve">ꎬ </w:t>
      </w:r>
      <w:r>
        <w:rPr>
          <w:w w:val="110"/>
        </w:rPr>
        <w:t>必须遵守下列规定</w:t>
      </w:r>
      <w:r>
        <w:rPr>
          <w:rFonts w:hint="eastAsia" w:ascii="MS UI Gothic" w:eastAsia="MS UI Gothic"/>
          <w:w w:val="235"/>
        </w:rPr>
        <w:t>:</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严禁用勺斗载人</w:t>
      </w:r>
      <w:r>
        <w:rPr>
          <w:rFonts w:hint="eastAsia" w:ascii="MS UI Gothic" w:eastAsia="MS UI Gothic"/>
          <w:w w:val="80"/>
        </w:rPr>
        <w:t xml:space="preserve">、 </w:t>
      </w:r>
      <w:r>
        <w:rPr>
          <w:w w:val="105"/>
        </w:rPr>
        <w:t>砸大块和起吊重物</w:t>
      </w:r>
      <w:r>
        <w:rPr>
          <w:rFonts w:hint="eastAsia" w:ascii="MS UI Gothic" w:eastAsia="MS UI Gothic"/>
          <w:w w:val="80"/>
        </w:rPr>
        <w:t>ꎮ</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勺斗回转时</w:t>
      </w:r>
      <w:r>
        <w:rPr>
          <w:rFonts w:hint="eastAsia" w:ascii="MS UI Gothic" w:eastAsia="MS UI Gothic"/>
          <w:w w:val="80"/>
        </w:rPr>
        <w:t xml:space="preserve">ꎬ </w:t>
      </w:r>
      <w:r>
        <w:rPr>
          <w:w w:val="105"/>
        </w:rPr>
        <w:t>必须离开采掘工作面</w:t>
      </w:r>
      <w:r>
        <w:rPr>
          <w:rFonts w:hint="eastAsia" w:ascii="MS UI Gothic" w:eastAsia="MS UI Gothic"/>
          <w:w w:val="80"/>
        </w:rPr>
        <w:t xml:space="preserve">ꎬ </w:t>
      </w:r>
      <w:r>
        <w:rPr>
          <w:w w:val="105"/>
        </w:rPr>
        <w:t>严禁跨越接触网</w:t>
      </w:r>
      <w:r>
        <w:rPr>
          <w:rFonts w:hint="eastAsia" w:ascii="MS UI Gothic" w:eastAsia="MS UI Gothic"/>
          <w:w w:val="80"/>
        </w:rPr>
        <w:t>ꎮ</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在回转或者挖掘过程中</w:t>
      </w:r>
      <w:r>
        <w:rPr>
          <w:rFonts w:hint="eastAsia" w:ascii="MS UI Gothic" w:eastAsia="MS UI Gothic"/>
          <w:w w:val="80"/>
        </w:rPr>
        <w:t xml:space="preserve">ꎬ </w:t>
      </w:r>
      <w:r>
        <w:rPr>
          <w:w w:val="105"/>
        </w:rPr>
        <w:t>严禁勺斗突然变换方向</w:t>
      </w:r>
      <w:r>
        <w:rPr>
          <w:rFonts w:hint="eastAsia" w:ascii="MS UI Gothic" w:eastAsia="MS UI Gothic"/>
          <w:w w:val="80"/>
        </w:rPr>
        <w:t>ꎮ</w:t>
      </w:r>
    </w:p>
    <w:p>
      <w:pPr>
        <w:pStyle w:val="6"/>
        <w:spacing w:line="295" w:lineRule="auto"/>
        <w:ind w:right="442"/>
        <w:jc w:val="left"/>
        <w:rPr>
          <w:rFonts w:hint="eastAsia" w:ascii="MS UI Gothic" w:eastAsia="MS UI Gothic"/>
        </w:rPr>
      </w:pPr>
      <w:r>
        <w:rPr>
          <w:rFonts w:hint="eastAsia" w:ascii="MS UI Gothic" w:eastAsia="MS UI Gothic"/>
          <w:spacing w:val="-37"/>
          <w:w w:val="150"/>
        </w:rPr>
        <w:t xml:space="preserve">( </w:t>
      </w:r>
      <w:r>
        <w:rPr>
          <w:spacing w:val="23"/>
          <w:w w:val="105"/>
        </w:rPr>
        <w:t>四</w:t>
      </w:r>
      <w:r>
        <w:rPr>
          <w:rFonts w:hint="eastAsia" w:ascii="MS UI Gothic" w:eastAsia="MS UI Gothic"/>
          <w:spacing w:val="24"/>
          <w:w w:val="150"/>
        </w:rPr>
        <w:t xml:space="preserve">) </w:t>
      </w:r>
      <w:r>
        <w:rPr>
          <w:spacing w:val="-27"/>
          <w:w w:val="105"/>
        </w:rPr>
        <w:t>遇 坚 硬 岩 体 时</w:t>
      </w:r>
      <w:r>
        <w:rPr>
          <w:rFonts w:hint="eastAsia" w:ascii="MS UI Gothic" w:eastAsia="MS UI Gothic"/>
          <w:spacing w:val="12"/>
          <w:w w:val="80"/>
        </w:rPr>
        <w:t xml:space="preserve">ꎬ </w:t>
      </w:r>
      <w:r>
        <w:rPr>
          <w:spacing w:val="-28"/>
          <w:w w:val="105"/>
        </w:rPr>
        <w:t>严 禁 强 行</w:t>
      </w:r>
      <w:r>
        <w:rPr>
          <w:spacing w:val="3"/>
          <w:w w:val="105"/>
        </w:rPr>
        <w:t>挖掘</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３２７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04" o:spid="_x0000_s2004" o:spt="203" style="height:2.15pt;width:398.25pt;" coordsize="7965,43">
            <o:lock v:ext="edit"/>
            <v:line id="_x0000_s2005" o:spid="_x0000_s2005" o:spt="20" style="position:absolute;left:0;top:39;height:0;width:7965;" stroked="t" coordsize="21600,21600">
              <v:path arrowok="t"/>
              <v:fill focussize="0,0"/>
              <v:stroke weight="0.388031496062992pt" color="#231F20"/>
              <v:imagedata o:title=""/>
              <o:lock v:ext="edit"/>
            </v:line>
            <v:line id="_x0000_s2006" o:spid="_x0000_s200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反铲上挖作业时</w:t>
      </w:r>
      <w:r>
        <w:rPr>
          <w:rFonts w:hint="eastAsia" w:ascii="MS UI Gothic" w:eastAsia="MS UI Gothic"/>
          <w:w w:val="80"/>
        </w:rPr>
        <w:t xml:space="preserve">ꎬ </w:t>
      </w:r>
      <w:r>
        <w:rPr>
          <w:w w:val="105"/>
        </w:rPr>
        <w:t>应当采取安全技术措施</w:t>
      </w:r>
      <w:r>
        <w:rPr>
          <w:rFonts w:hint="eastAsia" w:ascii="MS UI Gothic" w:eastAsia="MS UI Gothic"/>
          <w:w w:val="105"/>
        </w:rPr>
        <w:t xml:space="preserve"> </w:t>
      </w:r>
      <w:r>
        <w:rPr>
          <w:w w:val="105"/>
        </w:rPr>
        <w:t>下挖作业时</w:t>
      </w:r>
      <w:r>
        <w:rPr>
          <w:rFonts w:hint="eastAsia" w:ascii="MS UI Gothic" w:eastAsia="MS UI Gothic"/>
          <w:w w:val="80"/>
        </w:rPr>
        <w:t xml:space="preserve">ꎬ </w:t>
      </w:r>
      <w:r>
        <w:rPr>
          <w:w w:val="105"/>
        </w:rPr>
        <w:t>履带不得平行于采掘面</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严禁装载铁器等异物和拒爆的火药</w:t>
      </w:r>
      <w:r>
        <w:rPr>
          <w:rFonts w:hint="eastAsia" w:ascii="MS UI Gothic" w:eastAsia="MS UI Gothic"/>
          <w:w w:val="80"/>
        </w:rPr>
        <w:t xml:space="preserve">、 </w:t>
      </w:r>
      <w:r>
        <w:rPr>
          <w:w w:val="105"/>
        </w:rPr>
        <w:t>雷管等</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 xml:space="preserve">第五百四十九条 </w:t>
      </w:r>
      <w:r>
        <w:rPr>
          <w:rFonts w:hint="eastAsia" w:ascii="MS UI Gothic" w:eastAsia="MS UI Gothic"/>
          <w:w w:val="80"/>
        </w:rPr>
        <w:t xml:space="preserve">２ </w:t>
      </w:r>
      <w:r>
        <w:rPr>
          <w:w w:val="105"/>
        </w:rPr>
        <w:t>台以上单斗挖掘机在同一台阶或者相邻上</w:t>
      </w:r>
      <w:r>
        <w:rPr>
          <w:rFonts w:hint="eastAsia" w:ascii="MS UI Gothic" w:eastAsia="MS UI Gothic"/>
          <w:w w:val="80"/>
        </w:rPr>
        <w:t xml:space="preserve">、 </w:t>
      </w:r>
      <w:r>
        <w:rPr>
          <w:w w:val="105"/>
        </w:rPr>
        <w:t>下台阶作业时</w:t>
      </w:r>
      <w:r>
        <w:rPr>
          <w:rFonts w:hint="eastAsia" w:ascii="MS UI Gothic" w:eastAsia="MS UI Gothic"/>
          <w:w w:val="80"/>
        </w:rPr>
        <w:t xml:space="preserve">ꎬ </w:t>
      </w:r>
      <w:r>
        <w:rPr>
          <w:w w:val="105"/>
        </w:rPr>
        <w:t>必须遵守下列规定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公路运输时</w:t>
      </w:r>
      <w:r>
        <w:rPr>
          <w:rFonts w:hint="eastAsia" w:ascii="MS UI Gothic" w:eastAsia="MS UI Gothic"/>
          <w:w w:val="80"/>
        </w:rPr>
        <w:t xml:space="preserve">ꎬ </w:t>
      </w:r>
      <w:r>
        <w:t xml:space="preserve">两者间距不得小于最大挖掘半径的 </w:t>
      </w:r>
      <w:r>
        <w:rPr>
          <w:rFonts w:hint="eastAsia" w:ascii="MS UI Gothic" w:eastAsia="MS UI Gothic"/>
        </w:rPr>
        <w:t xml:space="preserve">２ ５ </w:t>
      </w:r>
      <w:r>
        <w:t>倍</w:t>
      </w:r>
      <w:r>
        <w:rPr>
          <w:rFonts w:hint="eastAsia" w:ascii="MS UI Gothic" w:eastAsia="MS UI Gothic"/>
          <w:w w:val="80"/>
        </w:rPr>
        <w:t xml:space="preserve">ꎬ </w:t>
      </w:r>
      <w:r>
        <w:t>并制定安全措施</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在同一铁道线路进行装车作业时</w:t>
      </w:r>
      <w:r>
        <w:rPr>
          <w:rFonts w:hint="eastAsia" w:ascii="MS UI Gothic" w:eastAsia="MS UI Gothic"/>
          <w:w w:val="80"/>
        </w:rPr>
        <w:t xml:space="preserve">ꎬ </w:t>
      </w:r>
      <w:r>
        <w:rPr>
          <w:w w:val="105"/>
        </w:rPr>
        <w:t>必须制定安全措施</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在相邻的上</w:t>
      </w:r>
      <w:r>
        <w:rPr>
          <w:rFonts w:hint="eastAsia" w:ascii="MS UI Gothic" w:eastAsia="MS UI Gothic"/>
          <w:w w:val="80"/>
        </w:rPr>
        <w:t xml:space="preserve">、 </w:t>
      </w:r>
      <w:r>
        <w:rPr>
          <w:w w:val="105"/>
        </w:rPr>
        <w:t>下台阶作业时</w:t>
      </w:r>
      <w:r>
        <w:rPr>
          <w:rFonts w:hint="eastAsia" w:ascii="MS UI Gothic" w:eastAsia="MS UI Gothic"/>
          <w:w w:val="80"/>
        </w:rPr>
        <w:t>ꎬ</w:t>
      </w:r>
      <w:r>
        <w:rPr>
          <w:w w:val="105"/>
        </w:rPr>
        <w:t>两者的相对位置影响上下台阶的设备</w:t>
      </w:r>
      <w:r>
        <w:rPr>
          <w:rFonts w:hint="eastAsia" w:ascii="MS UI Gothic" w:eastAsia="MS UI Gothic"/>
          <w:w w:val="80"/>
        </w:rPr>
        <w:t xml:space="preserve">、 </w:t>
      </w:r>
      <w:r>
        <w:rPr>
          <w:w w:val="105"/>
        </w:rPr>
        <w:t>设施安全时</w:t>
      </w:r>
      <w:r>
        <w:rPr>
          <w:rFonts w:hint="eastAsia" w:ascii="MS UI Gothic" w:eastAsia="MS UI Gothic"/>
          <w:w w:val="80"/>
        </w:rPr>
        <w:t xml:space="preserve">ꎬ </w:t>
      </w:r>
      <w:r>
        <w:rPr>
          <w:w w:val="105"/>
        </w:rPr>
        <w:t>必须制定安全措施</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第五百五十条 挖掘机在挖掘过程中</w:t>
      </w:r>
      <w:r>
        <w:t>有下列情况之一时</w:t>
      </w:r>
      <w:r>
        <w:rPr>
          <w:rFonts w:hint="eastAsia" w:ascii="MS UI Gothic" w:eastAsia="MS UI Gothic"/>
          <w:w w:val="80"/>
        </w:rPr>
        <w:t xml:space="preserve">ꎬ </w:t>
      </w:r>
      <w:r>
        <w:t>必须停止作业</w:t>
      </w:r>
      <w:r>
        <w:rPr>
          <w:rFonts w:hint="eastAsia" w:ascii="MS UI Gothic" w:eastAsia="MS UI Gothic"/>
          <w:w w:val="80"/>
        </w:rPr>
        <w:t xml:space="preserve">ꎬ </w:t>
      </w:r>
      <w:r>
        <w:t>撤到</w:t>
      </w:r>
      <w:r>
        <w:rPr>
          <w:w w:val="105"/>
        </w:rPr>
        <w:t>安全地点</w:t>
      </w:r>
      <w:r>
        <w:rPr>
          <w:rFonts w:hint="eastAsia" w:ascii="MS UI Gothic" w:eastAsia="MS UI Gothic"/>
          <w:w w:val="80"/>
        </w:rPr>
        <w:t xml:space="preserve">ꎬ </w:t>
      </w:r>
      <w:r>
        <w:rPr>
          <w:w w:val="105"/>
        </w:rPr>
        <w:t>并报告调度室检查处理</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36"/>
          <w:w w:val="130"/>
        </w:rPr>
        <w:t xml:space="preserve">( </w:t>
      </w:r>
      <w:r>
        <w:rPr>
          <w:spacing w:val="29"/>
          <w:w w:val="110"/>
        </w:rPr>
        <w:t>一</w:t>
      </w:r>
      <w:r>
        <w:rPr>
          <w:rFonts w:hint="eastAsia" w:ascii="MS UI Gothic" w:eastAsia="MS UI Gothic"/>
          <w:spacing w:val="-13"/>
          <w:w w:val="130"/>
        </w:rPr>
        <w:t xml:space="preserve">) </w:t>
      </w:r>
      <w:r>
        <w:rPr>
          <w:spacing w:val="40"/>
          <w:w w:val="110"/>
        </w:rPr>
        <w:t>发现台阶崩落或者有滑动</w:t>
      </w:r>
      <w:r>
        <w:rPr>
          <w:spacing w:val="3"/>
          <w:w w:val="110"/>
        </w:rPr>
        <w:t>迹象</w:t>
      </w:r>
      <w:r>
        <w:rPr>
          <w:rFonts w:hint="eastAsia" w:ascii="MS UI Gothic" w:eastAsia="MS UI Gothic"/>
          <w:w w:val="80"/>
        </w:rPr>
        <w:t>ꎮ</w:t>
      </w:r>
    </w:p>
    <w:p>
      <w:pPr>
        <w:pStyle w:val="6"/>
        <w:spacing w:line="295" w:lineRule="auto"/>
        <w:ind w:left="860" w:right="168" w:firstLine="0"/>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工作面有伞檐或者大块物料</w:t>
      </w:r>
      <w:r>
        <w:rPr>
          <w:rFonts w:hint="eastAsia" w:ascii="MS UI Gothic" w:eastAsia="MS UI Gothic"/>
          <w:w w:val="80"/>
        </w:rPr>
        <w:t>ꎮ</w:t>
      </w: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暴露出未爆炸药包或者雷管</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遇塌陷危险的采空区或者自然</w:t>
      </w:r>
      <w:r>
        <w:rPr>
          <w:w w:val="110"/>
        </w:rPr>
        <w:t>发火区</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遇有松软岩层</w:t>
      </w:r>
      <w:r>
        <w:rPr>
          <w:rFonts w:hint="eastAsia" w:ascii="MS UI Gothic" w:eastAsia="MS UI Gothic"/>
          <w:w w:val="80"/>
        </w:rPr>
        <w:t xml:space="preserve">ꎬ </w:t>
      </w:r>
      <w:r>
        <w:rPr>
          <w:w w:val="105"/>
        </w:rPr>
        <w:t>可能造成挖掘机下沉或者掘沟遇水被淹</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发现不明地下管线或者其他不</w:t>
      </w:r>
      <w:r>
        <w:rPr>
          <w:w w:val="110"/>
        </w:rPr>
        <w:t>明障碍物</w:t>
      </w:r>
      <w:r>
        <w:rPr>
          <w:rFonts w:hint="eastAsia" w:ascii="MS UI Gothic" w:eastAsia="MS UI Gothic"/>
          <w:w w:val="80"/>
        </w:rPr>
        <w:t>ꎮ</w:t>
      </w:r>
    </w:p>
    <w:p>
      <w:pPr>
        <w:pStyle w:val="6"/>
        <w:spacing w:line="295" w:lineRule="auto"/>
        <w:ind w:left="440" w:right="1"/>
        <w:rPr>
          <w:rFonts w:hint="eastAsia" w:ascii="MS UI Gothic" w:eastAsia="MS UI Gothic"/>
        </w:rPr>
      </w:pPr>
      <w:r>
        <w:t>第五百五十一条 单斗挖掘机雨天作业电缆发生故障时</w:t>
      </w:r>
      <w:r>
        <w:rPr>
          <w:rFonts w:hint="eastAsia" w:ascii="MS UI Gothic" w:eastAsia="MS UI Gothic"/>
          <w:w w:val="80"/>
        </w:rPr>
        <w:t xml:space="preserve">ꎬ </w:t>
      </w:r>
      <w:r>
        <w:t>应当及时向矿调度室报告</w:t>
      </w:r>
      <w:r>
        <w:rPr>
          <w:rFonts w:hint="eastAsia" w:ascii="MS UI Gothic" w:eastAsia="MS UI Gothic"/>
          <w:w w:val="80"/>
        </w:rPr>
        <w:t xml:space="preserve">ꎮ </w:t>
      </w:r>
      <w:r>
        <w:t>故障排除后</w:t>
      </w:r>
      <w:r>
        <w:rPr>
          <w:rFonts w:hint="eastAsia" w:ascii="MS UI Gothic" w:eastAsia="MS UI Gothic"/>
          <w:w w:val="80"/>
        </w:rPr>
        <w:t xml:space="preserve">ꎬ </w:t>
      </w:r>
      <w:r>
        <w:t>确认柱上开关无电时</w:t>
      </w:r>
      <w:r>
        <w:rPr>
          <w:rFonts w:hint="eastAsia" w:ascii="MS UI Gothic" w:eastAsia="MS UI Gothic"/>
          <w:w w:val="80"/>
        </w:rPr>
        <w:t xml:space="preserve">ꎬ </w:t>
      </w:r>
      <w:r>
        <w:t>方可停送电</w:t>
      </w:r>
      <w:r>
        <w:rPr>
          <w:rFonts w:hint="eastAsia" w:ascii="MS UI Gothic" w:eastAsia="MS UI Gothic"/>
          <w:w w:val="80"/>
        </w:rPr>
        <w:t>ꎮ</w:t>
      </w:r>
    </w:p>
    <w:p>
      <w:pPr>
        <w:pStyle w:val="6"/>
        <w:tabs>
          <w:tab w:val="left" w:pos="2327"/>
          <w:tab w:val="left" w:pos="2956"/>
        </w:tabs>
        <w:spacing w:before="131"/>
        <w:ind w:left="1488" w:firstLine="0"/>
        <w:jc w:val="left"/>
      </w:pPr>
      <w:r>
        <w:rPr>
          <w:spacing w:val="3"/>
          <w:w w:val="105"/>
        </w:rPr>
        <w:t>第三</w:t>
      </w:r>
      <w:r>
        <w:rPr>
          <w:w w:val="105"/>
        </w:rPr>
        <w:t>节</w:t>
      </w:r>
      <w:r>
        <w:rPr>
          <w:w w:val="105"/>
        </w:rPr>
        <w:tab/>
      </w:r>
      <w:r>
        <w:rPr>
          <w:w w:val="105"/>
        </w:rPr>
        <w:t>破</w:t>
      </w:r>
      <w:r>
        <w:rPr>
          <w:w w:val="105"/>
        </w:rPr>
        <w:tab/>
      </w:r>
      <w:r>
        <w:rPr>
          <w:w w:val="105"/>
        </w:rPr>
        <w:t>碎</w:t>
      </w:r>
    </w:p>
    <w:p>
      <w:pPr>
        <w:pStyle w:val="6"/>
        <w:spacing w:before="10"/>
        <w:ind w:left="0" w:firstLine="0"/>
        <w:jc w:val="left"/>
        <w:rPr>
          <w:sz w:val="16"/>
        </w:rPr>
      </w:pPr>
    </w:p>
    <w:p>
      <w:pPr>
        <w:pStyle w:val="6"/>
        <w:spacing w:line="295" w:lineRule="auto"/>
        <w:ind w:left="440" w:right="1"/>
        <w:rPr>
          <w:rFonts w:hint="eastAsia" w:ascii="MS UI Gothic" w:eastAsia="MS UI Gothic"/>
        </w:rPr>
      </w:pPr>
      <w:r>
        <w:rPr>
          <w:w w:val="105"/>
        </w:rPr>
        <w:t>第五百五十二条 破碎站设置应当遵</w:t>
      </w:r>
      <w:r>
        <w:rPr>
          <w:w w:val="110"/>
        </w:rPr>
        <w:t>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避开沉降</w:t>
      </w:r>
      <w:r>
        <w:rPr>
          <w:rFonts w:hint="eastAsia" w:ascii="MS UI Gothic" w:eastAsia="MS UI Gothic"/>
          <w:w w:val="80"/>
        </w:rPr>
        <w:t xml:space="preserve">、 </w:t>
      </w:r>
      <w:r>
        <w:rPr>
          <w:w w:val="105"/>
        </w:rPr>
        <w:t>塌陷</w:t>
      </w:r>
      <w:r>
        <w:rPr>
          <w:rFonts w:hint="eastAsia" w:ascii="MS UI Gothic" w:eastAsia="MS UI Gothic"/>
          <w:w w:val="80"/>
        </w:rPr>
        <w:t xml:space="preserve">、 </w:t>
      </w:r>
      <w:r>
        <w:rPr>
          <w:w w:val="105"/>
        </w:rPr>
        <w:t>滑坡危险的不良地段</w:t>
      </w:r>
      <w:r>
        <w:rPr>
          <w:rFonts w:hint="eastAsia" w:ascii="MS UI Gothic" w:eastAsia="MS UI Gothic"/>
          <w:w w:val="80"/>
        </w:rPr>
        <w:t>ꎮ</w:t>
      </w:r>
    </w:p>
    <w:p>
      <w:pPr>
        <w:pStyle w:val="6"/>
        <w:spacing w:before="124" w:line="295" w:lineRule="auto"/>
        <w:ind w:left="381" w:right="124"/>
        <w:jc w:val="left"/>
        <w:rPr>
          <w:rFonts w:hint="eastAsia" w:ascii="MS UI Gothic" w:eastAsia="MS UI Gothic"/>
        </w:rPr>
      </w:pPr>
      <w:r>
        <w:br w:type="column"/>
      </w:r>
      <w:r>
        <w:rPr>
          <w:rFonts w:hint="eastAsia" w:ascii="MS UI Gothic" w:eastAsia="MS UI Gothic"/>
          <w:spacing w:val="-33"/>
          <w:w w:val="150"/>
        </w:rPr>
        <w:t xml:space="preserve">( </w:t>
      </w:r>
      <w:r>
        <w:rPr>
          <w:spacing w:val="36"/>
          <w:w w:val="110"/>
        </w:rPr>
        <w:t>二</w:t>
      </w:r>
      <w:r>
        <w:rPr>
          <w:rFonts w:hint="eastAsia" w:ascii="MS UI Gothic" w:eastAsia="MS UI Gothic"/>
          <w:spacing w:val="19"/>
          <w:w w:val="150"/>
        </w:rPr>
        <w:t xml:space="preserve">) </w:t>
      </w:r>
      <w:r>
        <w:rPr>
          <w:spacing w:val="-33"/>
          <w:w w:val="110"/>
        </w:rPr>
        <w:t>卸 车 平 台 应 当 便 于 卸 载</w:t>
      </w:r>
      <w:r>
        <w:rPr>
          <w:rFonts w:hint="eastAsia" w:ascii="MS UI Gothic" w:eastAsia="MS UI Gothic"/>
          <w:spacing w:val="-14"/>
          <w:w w:val="80"/>
        </w:rPr>
        <w:t>、</w:t>
      </w:r>
      <w:r>
        <w:rPr>
          <w:spacing w:val="3"/>
          <w:w w:val="110"/>
        </w:rPr>
        <w:t>调车</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卸车平台应当设矿用卡车卸料</w:t>
      </w:r>
      <w:r>
        <w:t>的安全限位车挡及防止物料滚落的安全防</w:t>
      </w:r>
      <w:r>
        <w:rPr>
          <w:w w:val="105"/>
        </w:rPr>
        <w:t>护挡墙</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卸车平台应当有良好的照明系统</w:t>
      </w:r>
      <w:r>
        <w:rPr>
          <w:rFonts w:hint="eastAsia" w:ascii="MS UI Gothic" w:eastAsia="MS UI Gothic"/>
          <w:w w:val="80"/>
        </w:rPr>
        <w:t xml:space="preserve">ꎬ </w:t>
      </w:r>
      <w:r>
        <w:rPr>
          <w:w w:val="105"/>
        </w:rPr>
        <w:t>并有卸料指示信号安全装置</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移动式破碎站履带外缘距工作</w:t>
      </w:r>
      <w:r>
        <w:t>平盘坡底线和下台阶坡顶线距离必须符合</w:t>
      </w:r>
      <w:r>
        <w:rPr>
          <w:w w:val="105"/>
        </w:rPr>
        <w:t>设计</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第五百五十三条 破碎站作业应当遵</w:t>
      </w:r>
      <w:r>
        <w:rPr>
          <w:w w:val="110"/>
        </w:rPr>
        <w:t>守下列规定</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处理和吊运大块物料时</w:t>
      </w:r>
      <w:r>
        <w:rPr>
          <w:rFonts w:hint="eastAsia" w:ascii="MS UI Gothic" w:eastAsia="MS UI Gothic"/>
          <w:w w:val="80"/>
        </w:rPr>
        <w:t xml:space="preserve">ꎬ </w:t>
      </w:r>
      <w:r>
        <w:rPr>
          <w:w w:val="105"/>
        </w:rPr>
        <w:t>非作业人员必须撤到安全地点</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清理破碎机堵料时</w:t>
      </w:r>
      <w:r>
        <w:rPr>
          <w:rFonts w:hint="eastAsia" w:ascii="MS UI Gothic" w:eastAsia="MS UI Gothic"/>
          <w:w w:val="80"/>
        </w:rPr>
        <w:t xml:space="preserve">ꎬ </w:t>
      </w:r>
      <w:r>
        <w:rPr>
          <w:w w:val="105"/>
        </w:rPr>
        <w:t>必须采取防止系统突然启动的安全保护措施</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第五百五十四条 自移式破碎机必须设置卸料臂防撞检测</w:t>
      </w:r>
      <w:r>
        <w:rPr>
          <w:rFonts w:hint="eastAsia" w:ascii="MS UI Gothic" w:eastAsia="MS UI Gothic"/>
          <w:w w:val="80"/>
        </w:rPr>
        <w:t xml:space="preserve">、 </w:t>
      </w:r>
      <w:r>
        <w:rPr>
          <w:w w:val="105"/>
        </w:rPr>
        <w:t>过负荷保护和各旋转部件防护装置</w:t>
      </w:r>
      <w:r>
        <w:rPr>
          <w:rFonts w:hint="eastAsia" w:ascii="MS UI Gothic" w:eastAsia="MS UI Gothic"/>
          <w:w w:val="80"/>
        </w:rPr>
        <w:t>ꎮ</w:t>
      </w:r>
    </w:p>
    <w:p>
      <w:pPr>
        <w:pStyle w:val="6"/>
        <w:tabs>
          <w:tab w:val="left" w:pos="1953"/>
        </w:tabs>
        <w:spacing w:before="142"/>
        <w:ind w:left="1114" w:firstLine="0"/>
        <w:jc w:val="left"/>
      </w:pPr>
      <w:r>
        <w:rPr>
          <w:spacing w:val="3"/>
          <w:w w:val="105"/>
        </w:rPr>
        <w:t>第四</w:t>
      </w:r>
      <w:r>
        <w:rPr>
          <w:w w:val="105"/>
        </w:rPr>
        <w:t>节</w:t>
      </w:r>
      <w:r>
        <w:rPr>
          <w:w w:val="105"/>
        </w:rPr>
        <w:tab/>
      </w:r>
      <w:r>
        <w:rPr>
          <w:spacing w:val="3"/>
          <w:w w:val="105"/>
        </w:rPr>
        <w:t>轮斗挖掘机采</w:t>
      </w:r>
      <w:r>
        <w:rPr>
          <w:w w:val="105"/>
        </w:rPr>
        <w:t>装</w:t>
      </w:r>
    </w:p>
    <w:p>
      <w:pPr>
        <w:pStyle w:val="6"/>
        <w:spacing w:before="10"/>
        <w:ind w:left="0" w:firstLine="0"/>
        <w:jc w:val="left"/>
        <w:rPr>
          <w:sz w:val="16"/>
        </w:rPr>
      </w:pPr>
    </w:p>
    <w:p>
      <w:pPr>
        <w:pStyle w:val="6"/>
        <w:spacing w:line="295" w:lineRule="auto"/>
        <w:ind w:left="381" w:right="126"/>
        <w:rPr>
          <w:rFonts w:hint="eastAsia" w:ascii="MS UI Gothic" w:eastAsia="MS UI Gothic"/>
        </w:rPr>
      </w:pPr>
      <w:r>
        <w:rPr>
          <w:w w:val="105"/>
        </w:rPr>
        <w:t>第五百五十五条 轮斗挖掘机作业必</w:t>
      </w:r>
      <w:r>
        <w:rPr>
          <w:w w:val="110"/>
        </w:rPr>
        <w:t>须遵守下列规定</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spacing w:val="-37"/>
          <w:w w:val="135"/>
        </w:rPr>
        <w:t xml:space="preserve">( </w:t>
      </w:r>
      <w:r>
        <w:rPr>
          <w:spacing w:val="29"/>
          <w:w w:val="110"/>
        </w:rPr>
        <w:t>一</w:t>
      </w:r>
      <w:r>
        <w:rPr>
          <w:rFonts w:hint="eastAsia" w:ascii="MS UI Gothic" w:eastAsia="MS UI Gothic"/>
          <w:spacing w:val="-14"/>
          <w:w w:val="135"/>
        </w:rPr>
        <w:t xml:space="preserve">) </w:t>
      </w:r>
      <w:r>
        <w:rPr>
          <w:spacing w:val="40"/>
          <w:w w:val="110"/>
        </w:rPr>
        <w:t>严禁斗轮工作装置带负荷</w:t>
      </w:r>
      <w:r>
        <w:rPr>
          <w:spacing w:val="3"/>
          <w:w w:val="110"/>
        </w:rPr>
        <w:t>启动</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spacing w:val="-21"/>
          <w:w w:val="105"/>
        </w:rPr>
        <w:t xml:space="preserve">( </w:t>
      </w:r>
      <w:r>
        <w:rPr>
          <w:spacing w:val="3"/>
          <w:w w:val="105"/>
        </w:rPr>
        <w:t>二</w:t>
      </w:r>
      <w:r>
        <w:rPr>
          <w:rFonts w:hint="eastAsia" w:ascii="MS UI Gothic" w:eastAsia="MS UI Gothic"/>
          <w:spacing w:val="5"/>
          <w:w w:val="105"/>
        </w:rPr>
        <w:t xml:space="preserve">) </w:t>
      </w:r>
      <w:r>
        <w:rPr>
          <w:spacing w:val="5"/>
          <w:w w:val="105"/>
        </w:rPr>
        <w:t>严禁挖掘卡堵和损坏输送带的</w:t>
      </w:r>
      <w:r>
        <w:rPr>
          <w:spacing w:val="3"/>
          <w:w w:val="110"/>
        </w:rPr>
        <w:t>异物</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3"/>
          <w:w w:val="150"/>
        </w:rPr>
        <w:t xml:space="preserve">) </w:t>
      </w:r>
      <w:r>
        <w:rPr>
          <w:spacing w:val="5"/>
          <w:w w:val="105"/>
        </w:rPr>
        <w:t>调整位置时</w:t>
      </w:r>
      <w:r>
        <w:rPr>
          <w:rFonts w:hint="eastAsia" w:ascii="MS UI Gothic" w:eastAsia="MS UI Gothic"/>
          <w:spacing w:val="13"/>
          <w:w w:val="80"/>
        </w:rPr>
        <w:t xml:space="preserve">ꎬ </w:t>
      </w:r>
      <w:r>
        <w:rPr>
          <w:spacing w:val="9"/>
          <w:w w:val="105"/>
        </w:rPr>
        <w:t>必须设地面指挥</w:t>
      </w:r>
      <w:r>
        <w:rPr>
          <w:spacing w:val="3"/>
          <w:w w:val="105"/>
        </w:rPr>
        <w:t>人员</w:t>
      </w:r>
      <w:r>
        <w:rPr>
          <w:rFonts w:hint="eastAsia" w:ascii="MS UI Gothic" w:eastAsia="MS UI Gothic"/>
          <w:w w:val="80"/>
        </w:rPr>
        <w:t>ꎮ</w:t>
      </w:r>
    </w:p>
    <w:p>
      <w:pPr>
        <w:pStyle w:val="6"/>
        <w:tabs>
          <w:tab w:val="left" w:pos="2477"/>
        </w:tabs>
        <w:spacing w:line="295" w:lineRule="auto"/>
        <w:ind w:left="381" w:right="126"/>
        <w:jc w:val="left"/>
      </w:pPr>
      <w:r>
        <w:rPr>
          <w:spacing w:val="3"/>
          <w:w w:val="105"/>
        </w:rPr>
        <w:t>第五百五十六</w:t>
      </w:r>
      <w:r>
        <w:rPr>
          <w:w w:val="105"/>
        </w:rPr>
        <w:t>条</w:t>
      </w:r>
      <w:r>
        <w:rPr>
          <w:w w:val="105"/>
        </w:rPr>
        <w:tab/>
      </w:r>
      <w:r>
        <w:rPr>
          <w:spacing w:val="3"/>
          <w:w w:val="105"/>
        </w:rPr>
        <w:t>采用轮斗挖掘机</w:t>
      </w:r>
      <w:r>
        <w:rPr>
          <w:rFonts w:hint="eastAsia" w:ascii="MS UI Gothic" w:hAnsi="MS UI Gothic" w:eastAsia="MS UI Gothic"/>
          <w:spacing w:val="-12"/>
          <w:w w:val="105"/>
        </w:rPr>
        <w:t xml:space="preserve">— </w:t>
      </w:r>
      <w:r>
        <w:rPr>
          <w:spacing w:val="3"/>
          <w:w w:val="110"/>
        </w:rPr>
        <w:t>带式输送机</w:t>
      </w:r>
      <w:r>
        <w:rPr>
          <w:rFonts w:hint="eastAsia" w:ascii="MS UI Gothic" w:hAnsi="MS UI Gothic" w:eastAsia="MS UI Gothic"/>
          <w:spacing w:val="3"/>
          <w:w w:val="135"/>
        </w:rPr>
        <w:t>—</w:t>
      </w:r>
      <w:r>
        <w:rPr>
          <w:spacing w:val="3"/>
          <w:w w:val="110"/>
        </w:rPr>
        <w:t>排土机</w:t>
      </w:r>
      <w:r>
        <w:rPr>
          <w:w w:val="110"/>
        </w:rPr>
        <w:t>连</w:t>
      </w:r>
    </w:p>
    <w:p>
      <w:pPr>
        <w:pStyle w:val="6"/>
        <w:spacing w:line="295" w:lineRule="auto"/>
        <w:ind w:left="381" w:right="126"/>
        <w:jc w:val="left"/>
        <w:rPr>
          <w:rFonts w:hint="eastAsia" w:ascii="MS UI Gothic" w:eastAsia="MS UI Gothic"/>
        </w:rPr>
      </w:pPr>
      <w:r>
        <w:t>续开采工艺系统时</w:t>
      </w:r>
      <w:r>
        <w:rPr>
          <w:rFonts w:hint="eastAsia" w:ascii="MS UI Gothic" w:eastAsia="MS UI Gothic"/>
          <w:w w:val="80"/>
        </w:rPr>
        <w:t xml:space="preserve">ꎬ </w:t>
      </w:r>
      <w:r>
        <w:t>应当遵守下列</w:t>
      </w:r>
      <w:r>
        <w:rPr>
          <w:w w:val="110"/>
        </w:rPr>
        <w:t>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紧急停机开关必须在可能发生</w:t>
      </w:r>
      <w:r>
        <w:t>重大设备事故或者危及人身安全的紧急情</w:t>
      </w:r>
      <w:r>
        <w:rPr>
          <w:w w:val="105"/>
        </w:rPr>
        <w:t>况下方可使用</w:t>
      </w:r>
      <w:r>
        <w:rPr>
          <w:rFonts w:hint="eastAsia" w:ascii="MS UI Gothic" w:eastAsia="MS UI Gothic"/>
          <w:w w:val="80"/>
        </w:rPr>
        <w:t>ꎮ</w:t>
      </w:r>
    </w:p>
    <w:p>
      <w:pPr>
        <w:pStyle w:val="6"/>
        <w:spacing w:line="295" w:lineRule="auto"/>
        <w:ind w:left="381" w:right="126"/>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各单机间应当实行安全闭锁控</w:t>
      </w:r>
      <w:r>
        <w:t>制</w:t>
      </w:r>
      <w:r>
        <w:rPr>
          <w:rFonts w:hint="eastAsia" w:ascii="MS UI Gothic" w:eastAsia="MS UI Gothic"/>
          <w:w w:val="80"/>
        </w:rPr>
        <w:t xml:space="preserve">ꎬ </w:t>
      </w:r>
      <w:r>
        <w:t>单机发生故障时</w:t>
      </w:r>
      <w:r>
        <w:rPr>
          <w:rFonts w:hint="eastAsia" w:ascii="MS UI Gothic" w:eastAsia="MS UI Gothic"/>
          <w:w w:val="80"/>
        </w:rPr>
        <w:t xml:space="preserve">ꎬ </w:t>
      </w:r>
      <w:r>
        <w:t>必须立即停车</w:t>
      </w:r>
      <w:r>
        <w:rPr>
          <w:rFonts w:hint="eastAsia" w:ascii="MS UI Gothic" w:eastAsia="MS UI Gothic"/>
          <w:w w:val="80"/>
        </w:rPr>
        <w:t xml:space="preserve">ꎬ </w:t>
      </w:r>
      <w:r>
        <w:t>同时向集中控制室汇报</w:t>
      </w:r>
      <w:r>
        <w:rPr>
          <w:rFonts w:hint="eastAsia" w:ascii="MS UI Gothic" w:eastAsia="MS UI Gothic"/>
          <w:w w:val="80"/>
        </w:rPr>
        <w:t xml:space="preserve">ꎮ </w:t>
      </w:r>
      <w:r>
        <w:t>严禁擅自处理</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2007" o:spid="_x0000_s2007" style="position:absolute;left:0pt;margin-left:0pt;margin-top:700.1pt;height:1.75pt;width:398.25pt;mso-position-horizontal-relative:page;z-index:252055552;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３２８</w:t>
      </w:r>
    </w:p>
    <w:p>
      <w:pPr>
        <w:pStyle w:val="6"/>
        <w:spacing w:before="297" w:line="240" w:lineRule="exact"/>
        <w:ind w:firstLine="0"/>
        <w:jc w:val="left"/>
        <w:rPr>
          <w:rFonts w:hint="eastAsia" w:ascii="MS UI Gothic" w:eastAsia="MS UI Gothic"/>
        </w:rPr>
      </w:pPr>
      <w:r>
        <w:t>故障</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pPr>
      <w:r>
        <w:rPr>
          <w:w w:val="105"/>
        </w:rPr>
        <w:t>组人员和配合作业的辅助设备进出拉斗铲</w:t>
      </w:r>
    </w:p>
    <w:p>
      <w:pPr>
        <w:spacing w:after="0" w:line="240" w:lineRule="exact"/>
        <w:jc w:val="left"/>
        <w:sectPr>
          <w:pgSz w:w="10500" w:h="14750"/>
          <w:pgMar w:top="960" w:right="980" w:bottom="280" w:left="980" w:header="720" w:footer="720" w:gutter="0"/>
          <w:cols w:equalWidth="0" w:num="2">
            <w:col w:w="1050" w:space="1251"/>
            <w:col w:w="6239"/>
          </w:cols>
        </w:sectPr>
      </w:pPr>
    </w:p>
    <w:p>
      <w:pPr>
        <w:pStyle w:val="6"/>
        <w:spacing w:before="1"/>
        <w:ind w:left="0" w:firstLine="0"/>
        <w:jc w:val="left"/>
        <w:rPr>
          <w:sz w:val="18"/>
        </w:rPr>
      </w:pPr>
    </w:p>
    <w:p>
      <w:pPr>
        <w:pStyle w:val="6"/>
        <w:tabs>
          <w:tab w:val="left" w:pos="1906"/>
        </w:tabs>
        <w:ind w:left="1067" w:firstLine="0"/>
        <w:jc w:val="left"/>
      </w:pPr>
      <w:r>
        <w:rPr>
          <w:spacing w:val="3"/>
          <w:w w:val="105"/>
        </w:rPr>
        <w:t>第五</w:t>
      </w:r>
      <w:r>
        <w:rPr>
          <w:w w:val="105"/>
        </w:rPr>
        <w:t>节</w:t>
      </w:r>
      <w:r>
        <w:rPr>
          <w:w w:val="105"/>
        </w:rPr>
        <w:tab/>
      </w:r>
      <w:r>
        <w:rPr>
          <w:spacing w:val="3"/>
          <w:w w:val="105"/>
        </w:rPr>
        <w:t>拉斗铲作</w:t>
      </w:r>
      <w:r>
        <w:rPr>
          <w:w w:val="105"/>
        </w:rPr>
        <w:t>业</w:t>
      </w:r>
    </w:p>
    <w:p>
      <w:pPr>
        <w:pStyle w:val="6"/>
        <w:spacing w:before="10"/>
        <w:ind w:left="0" w:firstLine="0"/>
        <w:jc w:val="left"/>
        <w:rPr>
          <w:sz w:val="16"/>
        </w:rPr>
      </w:pPr>
    </w:p>
    <w:p>
      <w:pPr>
        <w:pStyle w:val="6"/>
        <w:tabs>
          <w:tab w:val="left" w:pos="2220"/>
        </w:tabs>
        <w:spacing w:line="295" w:lineRule="auto"/>
        <w:ind w:right="39"/>
        <w:jc w:val="left"/>
        <w:rPr>
          <w:rFonts w:hint="eastAsia" w:ascii="MS UI Gothic" w:eastAsia="MS UI Gothic"/>
        </w:rPr>
      </w:pPr>
      <w:r>
        <w:rPr>
          <w:spacing w:val="3"/>
          <w:w w:val="105"/>
        </w:rPr>
        <w:t>第五百五十七</w:t>
      </w:r>
      <w:r>
        <w:rPr>
          <w:w w:val="105"/>
        </w:rPr>
        <w:t>条</w:t>
      </w:r>
      <w:r>
        <w:rPr>
          <w:w w:val="105"/>
        </w:rPr>
        <w:tab/>
      </w:r>
      <w:r>
        <w:rPr>
          <w:spacing w:val="3"/>
        </w:rPr>
        <w:t>拉斗铲行走必须</w:t>
      </w:r>
      <w:r>
        <w:rPr>
          <w:spacing w:val="-11"/>
        </w:rPr>
        <w:t>遵</w:t>
      </w:r>
      <w:r>
        <w:rPr>
          <w:spacing w:val="3"/>
          <w:w w:val="110"/>
        </w:rPr>
        <w:t>守下列规定</w:t>
      </w:r>
      <w:r>
        <w:rPr>
          <w:rFonts w:hint="eastAsia" w:ascii="MS UI Gothic" w:eastAsia="MS UI Gothic"/>
          <w:w w:val="235"/>
        </w:rPr>
        <w:t>:</w:t>
      </w:r>
    </w:p>
    <w:p>
      <w:pPr>
        <w:pStyle w:val="6"/>
        <w:spacing w:line="295" w:lineRule="auto"/>
        <w:ind w:right="39"/>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行走和调整作业位置时</w:t>
      </w:r>
      <w:r>
        <w:rPr>
          <w:rFonts w:hint="eastAsia" w:ascii="MS UI Gothic" w:eastAsia="MS UI Gothic"/>
          <w:w w:val="80"/>
        </w:rPr>
        <w:t xml:space="preserve">ꎬ </w:t>
      </w:r>
      <w:r>
        <w:rPr>
          <w:w w:val="105"/>
        </w:rPr>
        <w:t>路面必须平整</w:t>
      </w:r>
      <w:r>
        <w:rPr>
          <w:rFonts w:hint="eastAsia" w:ascii="MS UI Gothic" w:eastAsia="MS UI Gothic"/>
          <w:w w:val="80"/>
        </w:rPr>
        <w:t xml:space="preserve">ꎬ </w:t>
      </w:r>
      <w:r>
        <w:rPr>
          <w:w w:val="105"/>
        </w:rPr>
        <w:t>不得有凸起的岩石</w:t>
      </w:r>
      <w:r>
        <w:rPr>
          <w:rFonts w:hint="eastAsia" w:ascii="MS UI Gothic" w:eastAsia="MS UI Gothic"/>
          <w:w w:val="80"/>
        </w:rPr>
        <w:t>ꎮ</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变坡点必须设缓坡段</w:t>
      </w:r>
      <w:r>
        <w:rPr>
          <w:rFonts w:hint="eastAsia" w:ascii="MS UI Gothic" w:eastAsia="MS UI Gothic"/>
          <w:w w:val="80"/>
        </w:rPr>
        <w:t>ꎮ</w:t>
      </w:r>
    </w:p>
    <w:p>
      <w:pPr>
        <w:pStyle w:val="6"/>
        <w:spacing w:before="57" w:line="295" w:lineRule="auto"/>
        <w:ind w:right="39"/>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当行走路面处于路堤时</w:t>
      </w:r>
      <w:r>
        <w:rPr>
          <w:rFonts w:hint="eastAsia" w:ascii="MS UI Gothic" w:eastAsia="MS UI Gothic"/>
          <w:w w:val="80"/>
        </w:rPr>
        <w:t xml:space="preserve">ꎬ </w:t>
      </w:r>
      <w:r>
        <w:rPr>
          <w:w w:val="105"/>
        </w:rPr>
        <w:t>距路边缘安全距离应当符合设计</w:t>
      </w:r>
      <w:r>
        <w:rPr>
          <w:rFonts w:hint="eastAsia" w:ascii="MS UI Gothic" w:eastAsia="MS UI Gothic"/>
          <w:w w:val="80"/>
        </w:rPr>
        <w:t>ꎮ</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地面必须设专人指挥</w:t>
      </w:r>
      <w:r>
        <w:rPr>
          <w:rFonts w:hint="eastAsia" w:ascii="MS UI Gothic" w:eastAsia="MS UI Gothic"/>
          <w:w w:val="80"/>
        </w:rPr>
        <w:t xml:space="preserve">、 </w:t>
      </w:r>
      <w:r>
        <w:rPr>
          <w:w w:val="105"/>
        </w:rPr>
        <w:t>监护</w:t>
      </w:r>
      <w:r>
        <w:rPr>
          <w:rFonts w:hint="eastAsia" w:ascii="MS UI Gothic" w:eastAsia="MS UI Gothic"/>
          <w:w w:val="80"/>
        </w:rPr>
        <w:t>ꎬ</w:t>
      </w:r>
      <w:r>
        <w:rPr>
          <w:w w:val="105"/>
        </w:rPr>
        <w:t>同时做好呼唤应答</w:t>
      </w:r>
      <w:r>
        <w:rPr>
          <w:rFonts w:hint="eastAsia" w:ascii="MS UI Gothic" w:eastAsia="MS UI Gothic"/>
          <w:w w:val="80"/>
        </w:rPr>
        <w:t>ꎮ</w:t>
      </w:r>
    </w:p>
    <w:p>
      <w:pPr>
        <w:pStyle w:val="6"/>
        <w:spacing w:line="295" w:lineRule="auto"/>
        <w:ind w:right="39"/>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行走靴不同步时</w:t>
      </w:r>
      <w:r>
        <w:rPr>
          <w:rFonts w:hint="eastAsia" w:ascii="MS UI Gothic" w:eastAsia="MS UI Gothic"/>
          <w:w w:val="80"/>
        </w:rPr>
        <w:t xml:space="preserve">ꎬ </w:t>
      </w:r>
      <w:r>
        <w:rPr>
          <w:w w:val="105"/>
        </w:rPr>
        <w:t>必须重新确定行进路线或者处理路面</w:t>
      </w:r>
      <w:r>
        <w:rPr>
          <w:rFonts w:hint="eastAsia" w:ascii="MS UI Gothic" w:eastAsia="MS UI Gothic"/>
          <w:w w:val="80"/>
        </w:rPr>
        <w:t>ꎮ</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严禁使用行走靴移动电缆</w:t>
      </w:r>
      <w:r>
        <w:rPr>
          <w:rFonts w:hint="eastAsia" w:ascii="MS UI Gothic" w:eastAsia="MS UI Gothic"/>
          <w:w w:val="80"/>
        </w:rPr>
        <w:t>ꎮ</w:t>
      </w:r>
    </w:p>
    <w:p>
      <w:pPr>
        <w:pStyle w:val="6"/>
        <w:tabs>
          <w:tab w:val="left" w:pos="2220"/>
        </w:tabs>
        <w:spacing w:before="55"/>
        <w:ind w:left="543" w:firstLine="0"/>
        <w:jc w:val="left"/>
      </w:pPr>
      <w:r>
        <w:rPr>
          <w:spacing w:val="3"/>
        </w:rPr>
        <w:t>第五百五十八</w:t>
      </w:r>
      <w:r>
        <w:t>条</w:t>
      </w:r>
      <w:r>
        <w:tab/>
      </w:r>
      <w:r>
        <w:rPr>
          <w:spacing w:val="3"/>
        </w:rPr>
        <w:t>拉斗铲作业时</w:t>
      </w:r>
      <w:r>
        <w:rPr>
          <w:rFonts w:hint="eastAsia" w:ascii="MS UI Gothic" w:eastAsia="MS UI Gothic"/>
          <w:w w:val="80"/>
        </w:rPr>
        <w:t>ꎬ</w:t>
      </w:r>
      <w:r>
        <w:rPr>
          <w:rFonts w:hint="eastAsia" w:ascii="MS UI Gothic" w:eastAsia="MS UI Gothic"/>
          <w:spacing w:val="45"/>
          <w:w w:val="80"/>
        </w:rPr>
        <w:t xml:space="preserve"> </w:t>
      </w:r>
      <w:r>
        <w:t>机</w:t>
      </w:r>
    </w:p>
    <w:p>
      <w:pPr>
        <w:pStyle w:val="6"/>
        <w:spacing w:before="74" w:line="295" w:lineRule="auto"/>
        <w:ind w:right="442" w:firstLine="0"/>
        <w:rPr>
          <w:rFonts w:hint="eastAsia" w:ascii="MS UI Gothic" w:eastAsia="MS UI Gothic"/>
        </w:rPr>
      </w:pPr>
      <w:r>
        <w:br w:type="column"/>
      </w:r>
      <w:r>
        <w:t>作业范围必须做好呼唤应答</w:t>
      </w:r>
      <w:r>
        <w:rPr>
          <w:rFonts w:hint="eastAsia" w:ascii="MS UI Gothic" w:eastAsia="MS UI Gothic"/>
          <w:w w:val="80"/>
        </w:rPr>
        <w:t xml:space="preserve">ꎬ </w:t>
      </w:r>
      <w:r>
        <w:t>严禁铲斗拖地回转</w:t>
      </w:r>
      <w:r>
        <w:rPr>
          <w:rFonts w:hint="eastAsia" w:ascii="MS UI Gothic" w:eastAsia="MS UI Gothic"/>
          <w:w w:val="80"/>
        </w:rPr>
        <w:t xml:space="preserve">、 </w:t>
      </w:r>
      <w:r>
        <w:t>在空中急停和在其他设备上方通过</w:t>
      </w:r>
      <w:r>
        <w:rPr>
          <w:rFonts w:hint="eastAsia" w:ascii="MS UI Gothic" w:eastAsia="MS UI Gothic"/>
          <w:w w:val="80"/>
        </w:rPr>
        <w:t>ꎮ</w:t>
      </w:r>
    </w:p>
    <w:p>
      <w:pPr>
        <w:pStyle w:val="6"/>
        <w:tabs>
          <w:tab w:val="left" w:pos="2011"/>
          <w:tab w:val="left" w:pos="2639"/>
        </w:tabs>
        <w:spacing w:before="155"/>
        <w:ind w:left="1172" w:firstLine="0"/>
        <w:jc w:val="left"/>
      </w:pPr>
      <w:r>
        <w:rPr>
          <w:spacing w:val="3"/>
          <w:w w:val="105"/>
        </w:rPr>
        <w:t>第四</w:t>
      </w:r>
      <w:r>
        <w:rPr>
          <w:w w:val="105"/>
        </w:rPr>
        <w:t>章</w:t>
      </w:r>
      <w:r>
        <w:rPr>
          <w:w w:val="105"/>
        </w:rPr>
        <w:tab/>
      </w:r>
      <w:r>
        <w:rPr>
          <w:w w:val="105"/>
        </w:rPr>
        <w:t>运</w:t>
      </w:r>
      <w:r>
        <w:rPr>
          <w:w w:val="105"/>
        </w:rPr>
        <w:tab/>
      </w:r>
      <w:r>
        <w:rPr>
          <w:w w:val="105"/>
        </w:rPr>
        <w:t>输</w:t>
      </w:r>
    </w:p>
    <w:p>
      <w:pPr>
        <w:pStyle w:val="6"/>
        <w:spacing w:before="1"/>
        <w:ind w:left="0" w:firstLine="0"/>
        <w:jc w:val="left"/>
        <w:rPr>
          <w:sz w:val="29"/>
        </w:rPr>
      </w:pPr>
    </w:p>
    <w:p>
      <w:pPr>
        <w:pStyle w:val="6"/>
        <w:tabs>
          <w:tab w:val="left" w:pos="1906"/>
        </w:tabs>
        <w:ind w:left="1067" w:firstLine="0"/>
        <w:jc w:val="left"/>
      </w:pPr>
      <w:r>
        <w:rPr>
          <w:spacing w:val="3"/>
          <w:w w:val="105"/>
        </w:rPr>
        <w:t>第一</w:t>
      </w:r>
      <w:r>
        <w:rPr>
          <w:w w:val="105"/>
        </w:rPr>
        <w:t>节</w:t>
      </w:r>
      <w:r>
        <w:rPr>
          <w:w w:val="105"/>
        </w:rPr>
        <w:tab/>
      </w:r>
      <w:r>
        <w:rPr>
          <w:w w:val="105"/>
        </w:rPr>
        <w:t>铁</w:t>
      </w:r>
      <w:r>
        <w:rPr>
          <w:spacing w:val="-33"/>
          <w:w w:val="105"/>
        </w:rPr>
        <w:t xml:space="preserve"> </w:t>
      </w:r>
      <w:r>
        <w:rPr>
          <w:w w:val="105"/>
        </w:rPr>
        <w:t>路</w:t>
      </w:r>
      <w:r>
        <w:rPr>
          <w:spacing w:val="-33"/>
          <w:w w:val="105"/>
        </w:rPr>
        <w:t xml:space="preserve"> </w:t>
      </w:r>
      <w:r>
        <w:rPr>
          <w:w w:val="105"/>
        </w:rPr>
        <w:t>运</w:t>
      </w:r>
      <w:r>
        <w:rPr>
          <w:spacing w:val="-33"/>
          <w:w w:val="105"/>
        </w:rPr>
        <w:t xml:space="preserve"> </w:t>
      </w:r>
      <w:r>
        <w:rPr>
          <w:w w:val="105"/>
        </w:rPr>
        <w:t>输</w:t>
      </w:r>
    </w:p>
    <w:p>
      <w:pPr>
        <w:pStyle w:val="6"/>
        <w:spacing w:before="10"/>
        <w:ind w:left="0" w:firstLine="0"/>
        <w:jc w:val="left"/>
        <w:rPr>
          <w:sz w:val="16"/>
        </w:rPr>
      </w:pPr>
    </w:p>
    <w:p>
      <w:pPr>
        <w:pStyle w:val="6"/>
        <w:spacing w:line="295" w:lineRule="auto"/>
        <w:ind w:right="442"/>
        <w:rPr>
          <w:rFonts w:hint="eastAsia" w:ascii="MS UI Gothic" w:eastAsia="MS UI Gothic"/>
        </w:rPr>
      </w:pPr>
      <w:r>
        <w:rPr>
          <w:spacing w:val="23"/>
        </w:rPr>
        <w:t>第五百五十九条   铁路附近的建</w:t>
      </w:r>
      <w:r>
        <w:rPr>
          <w:rFonts w:hint="eastAsia" w:ascii="MS UI Gothic" w:eastAsia="MS UI Gothic"/>
          <w:spacing w:val="-21"/>
          <w:w w:val="145"/>
        </w:rPr>
        <w:t xml:space="preserve">( </w:t>
      </w:r>
      <w:r>
        <w:rPr>
          <w:spacing w:val="3"/>
        </w:rPr>
        <w:t>构</w:t>
      </w:r>
      <w:r>
        <w:rPr>
          <w:rFonts w:hint="eastAsia" w:ascii="MS UI Gothic" w:eastAsia="MS UI Gothic"/>
          <w:spacing w:val="29"/>
          <w:w w:val="145"/>
        </w:rPr>
        <w:t xml:space="preserve">) </w:t>
      </w:r>
      <w:r>
        <w:rPr>
          <w:spacing w:val="5"/>
        </w:rPr>
        <w:t>筑物和设备接近限界</w:t>
      </w:r>
      <w:r>
        <w:rPr>
          <w:rFonts w:hint="eastAsia" w:ascii="MS UI Gothic" w:eastAsia="MS UI Gothic"/>
          <w:spacing w:val="12"/>
          <w:w w:val="85"/>
        </w:rPr>
        <w:t xml:space="preserve">ꎬ </w:t>
      </w:r>
      <w:r>
        <w:rPr>
          <w:spacing w:val="7"/>
        </w:rPr>
        <w:t>必须符合国</w:t>
      </w:r>
      <w:r>
        <w:rPr>
          <w:spacing w:val="3"/>
        </w:rPr>
        <w:t>家铁路技术管理规程</w:t>
      </w:r>
      <w:r>
        <w:rPr>
          <w:rFonts w:hint="eastAsia" w:ascii="MS UI Gothic" w:eastAsia="MS UI Gothic"/>
          <w:spacing w:val="25"/>
          <w:w w:val="85"/>
        </w:rPr>
        <w:t xml:space="preserve">ꎮ </w:t>
      </w:r>
      <w:r>
        <w:rPr>
          <w:spacing w:val="3"/>
        </w:rPr>
        <w:t>桥梁</w:t>
      </w:r>
      <w:r>
        <w:rPr>
          <w:rFonts w:hint="eastAsia" w:ascii="MS UI Gothic" w:eastAsia="MS UI Gothic"/>
          <w:spacing w:val="21"/>
        </w:rPr>
        <w:t xml:space="preserve">、 </w:t>
      </w:r>
      <w:r>
        <w:rPr>
          <w:spacing w:val="2"/>
        </w:rPr>
        <w:t>隧道应当按</w:t>
      </w:r>
      <w:r>
        <w:rPr>
          <w:spacing w:val="3"/>
        </w:rPr>
        <w:t>规定设置人行道</w:t>
      </w:r>
      <w:r>
        <w:rPr>
          <w:rFonts w:hint="eastAsia" w:ascii="MS UI Gothic" w:eastAsia="MS UI Gothic"/>
          <w:spacing w:val="21"/>
        </w:rPr>
        <w:t xml:space="preserve">、 </w:t>
      </w:r>
      <w:r>
        <w:rPr>
          <w:spacing w:val="3"/>
        </w:rPr>
        <w:t>避车台</w:t>
      </w:r>
      <w:r>
        <w:rPr>
          <w:rFonts w:hint="eastAsia" w:ascii="MS UI Gothic" w:eastAsia="MS UI Gothic"/>
          <w:spacing w:val="22"/>
        </w:rPr>
        <w:t xml:space="preserve">、 </w:t>
      </w:r>
      <w:r>
        <w:rPr>
          <w:spacing w:val="3"/>
        </w:rPr>
        <w:t>避车洞</w:t>
      </w:r>
      <w:r>
        <w:rPr>
          <w:rFonts w:hint="eastAsia" w:ascii="MS UI Gothic" w:eastAsia="MS UI Gothic"/>
          <w:spacing w:val="22"/>
        </w:rPr>
        <w:t xml:space="preserve">、 </w:t>
      </w:r>
      <w:r>
        <w:rPr>
          <w:spacing w:val="1"/>
        </w:rPr>
        <w:t>电缆</w:t>
      </w:r>
      <w:r>
        <w:rPr>
          <w:spacing w:val="3"/>
        </w:rPr>
        <w:t>沟及必要的检查和防火设施</w:t>
      </w:r>
      <w:r>
        <w:rPr>
          <w:rFonts w:hint="eastAsia" w:ascii="MS UI Gothic" w:eastAsia="MS UI Gothic"/>
          <w:spacing w:val="13"/>
          <w:w w:val="85"/>
        </w:rPr>
        <w:t xml:space="preserve">ꎬ </w:t>
      </w:r>
      <w:r>
        <w:rPr>
          <w:spacing w:val="2"/>
        </w:rPr>
        <w:t>立体交叉处</w:t>
      </w:r>
      <w:r>
        <w:rPr>
          <w:spacing w:val="6"/>
        </w:rPr>
        <w:t>的桥梁两侧设防护设施</w:t>
      </w:r>
      <w:r>
        <w:rPr>
          <w:rFonts w:hint="eastAsia" w:ascii="MS UI Gothic" w:eastAsia="MS UI Gothic"/>
          <w:spacing w:val="57"/>
        </w:rPr>
        <w:t xml:space="preserve"> </w:t>
      </w:r>
      <w:r>
        <w:rPr>
          <w:spacing w:val="2"/>
        </w:rPr>
        <w:t>运输线路上各种机车运行的限制坡度和曲线半径应当符合</w:t>
      </w:r>
      <w:r>
        <w:rPr>
          <w:spacing w:val="-25"/>
        </w:rPr>
        <w:t xml:space="preserve">表 </w:t>
      </w:r>
      <w:r>
        <w:rPr>
          <w:rFonts w:hint="eastAsia" w:ascii="MS UI Gothic" w:eastAsia="MS UI Gothic"/>
          <w:spacing w:val="1"/>
          <w:w w:val="85"/>
        </w:rPr>
        <w:t xml:space="preserve">２１ </w:t>
      </w:r>
      <w:r>
        <w:rPr>
          <w:spacing w:val="3"/>
        </w:rPr>
        <w:t>的要求</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6"/>
        <w:ind w:left="0" w:firstLine="0"/>
        <w:jc w:val="left"/>
        <w:rPr>
          <w:rFonts w:ascii="MS UI Gothic"/>
          <w:sz w:val="10"/>
        </w:rPr>
      </w:pPr>
    </w:p>
    <w:p>
      <w:pPr>
        <w:pStyle w:val="6"/>
        <w:spacing w:before="174"/>
        <w:ind w:left="310" w:right="631" w:firstLine="0"/>
        <w:jc w:val="center"/>
      </w:pPr>
      <w:r>
        <w:rPr>
          <w:w w:val="95"/>
        </w:rPr>
        <w:t xml:space="preserve">表 </w:t>
      </w:r>
      <w:r>
        <w:rPr>
          <w:rFonts w:hint="eastAsia" w:ascii="MS UI Gothic" w:eastAsia="MS UI Gothic"/>
          <w:w w:val="95"/>
        </w:rPr>
        <w:t xml:space="preserve">２１ </w:t>
      </w:r>
      <w:r>
        <w:rPr>
          <w:w w:val="95"/>
        </w:rPr>
        <w:t>铁道线路的限制坡度和曲线半径</w:t>
      </w:r>
    </w:p>
    <w:p>
      <w:pPr>
        <w:pStyle w:val="6"/>
        <w:spacing w:before="1"/>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194"/>
        <w:gridCol w:w="1194"/>
        <w:gridCol w:w="1274"/>
        <w:gridCol w:w="1274"/>
        <w:gridCol w:w="1274"/>
        <w:gridCol w:w="1759"/>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194" w:type="dxa"/>
            <w:vMerge w:val="restart"/>
            <w:tcBorders>
              <w:bottom w:val="single" w:color="231F20" w:sz="4" w:space="0"/>
              <w:right w:val="single" w:color="231F20" w:sz="4" w:space="0"/>
            </w:tcBorders>
          </w:tcPr>
          <w:p>
            <w:pPr>
              <w:pStyle w:val="11"/>
              <w:spacing w:before="4"/>
              <w:rPr>
                <w:sz w:val="16"/>
              </w:rPr>
            </w:pPr>
          </w:p>
          <w:p>
            <w:pPr>
              <w:pStyle w:val="11"/>
              <w:ind w:left="277"/>
              <w:rPr>
                <w:sz w:val="15"/>
              </w:rPr>
            </w:pPr>
            <w:r>
              <w:rPr>
                <w:w w:val="105"/>
                <w:sz w:val="15"/>
              </w:rPr>
              <w:t>机车种类</w:t>
            </w:r>
          </w:p>
        </w:tc>
        <w:tc>
          <w:tcPr>
            <w:tcW w:w="1194" w:type="dxa"/>
            <w:vMerge w:val="restart"/>
            <w:tcBorders>
              <w:left w:val="single" w:color="231F20" w:sz="4" w:space="0"/>
              <w:bottom w:val="single" w:color="231F20" w:sz="4" w:space="0"/>
              <w:right w:val="single" w:color="231F20" w:sz="4" w:space="0"/>
            </w:tcBorders>
          </w:tcPr>
          <w:p>
            <w:pPr>
              <w:pStyle w:val="11"/>
              <w:spacing w:before="209"/>
              <w:ind w:left="163"/>
              <w:rPr>
                <w:sz w:val="15"/>
              </w:rPr>
            </w:pPr>
            <w:r>
              <w:rPr>
                <w:sz w:val="15"/>
              </w:rPr>
              <w:t>限制坡度</w:t>
            </w:r>
            <w:r>
              <w:rPr>
                <w:rFonts w:hint="eastAsia" w:ascii="MS UI Gothic" w:hAnsi="MS UI Gothic" w:eastAsia="MS UI Gothic"/>
                <w:w w:val="65"/>
                <w:sz w:val="15"/>
              </w:rPr>
              <w:t xml:space="preserve">/ </w:t>
            </w:r>
            <w:r>
              <w:rPr>
                <w:sz w:val="15"/>
              </w:rPr>
              <w:t>‰</w:t>
            </w:r>
          </w:p>
        </w:tc>
        <w:tc>
          <w:tcPr>
            <w:tcW w:w="5581" w:type="dxa"/>
            <w:gridSpan w:val="4"/>
            <w:tcBorders>
              <w:left w:val="single" w:color="231F20" w:sz="4" w:space="0"/>
              <w:bottom w:val="single" w:color="231F20" w:sz="4" w:space="0"/>
            </w:tcBorders>
          </w:tcPr>
          <w:p>
            <w:pPr>
              <w:pStyle w:val="11"/>
              <w:spacing w:before="50"/>
              <w:ind w:left="2361" w:right="2345"/>
              <w:jc w:val="center"/>
              <w:rPr>
                <w:rFonts w:hint="eastAsia" w:ascii="MS UI Gothic" w:eastAsia="MS UI Gothic"/>
                <w:sz w:val="15"/>
              </w:rPr>
            </w:pPr>
            <w:r>
              <w:rPr>
                <w:sz w:val="15"/>
              </w:rPr>
              <w:t>曲线半径</w:t>
            </w:r>
            <w:r>
              <w:rPr>
                <w:rFonts w:hint="eastAsia" w:ascii="MS UI Gothic" w:eastAsia="MS UI Gothic"/>
                <w:w w:val="65"/>
                <w:sz w:val="15"/>
              </w:rPr>
              <w:t xml:space="preserve">/ </w:t>
            </w:r>
            <w:r>
              <w:rPr>
                <w:rFonts w:hint="eastAsia" w:ascii="MS UI Gothic" w:eastAsia="MS UI Gothic"/>
                <w:sz w:val="15"/>
              </w:rPr>
              <w:t>ｍ</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194" w:type="dxa"/>
            <w:vMerge w:val="continue"/>
            <w:tcBorders>
              <w:top w:val="nil"/>
              <w:bottom w:val="single" w:color="231F20" w:sz="4" w:space="0"/>
              <w:right w:val="single" w:color="231F20" w:sz="4" w:space="0"/>
            </w:tcBorders>
          </w:tcPr>
          <w:p>
            <w:pPr>
              <w:rPr>
                <w:sz w:val="2"/>
                <w:szCs w:val="2"/>
              </w:rPr>
            </w:pPr>
          </w:p>
        </w:tc>
        <w:tc>
          <w:tcPr>
            <w:tcW w:w="1194" w:type="dxa"/>
            <w:vMerge w:val="continue"/>
            <w:tcBorders>
              <w:top w:val="nil"/>
              <w:left w:val="single" w:color="231F20" w:sz="4" w:space="0"/>
              <w:bottom w:val="single" w:color="231F20" w:sz="4" w:space="0"/>
              <w:right w:val="single" w:color="231F20" w:sz="4" w:space="0"/>
            </w:tcBorders>
          </w:tcPr>
          <w:p>
            <w:pPr>
              <w:rPr>
                <w:sz w:val="2"/>
                <w:szCs w:val="2"/>
              </w:rPr>
            </w:pPr>
          </w:p>
        </w:tc>
        <w:tc>
          <w:tcPr>
            <w:tcW w:w="1274" w:type="dxa"/>
            <w:tcBorders>
              <w:top w:val="single" w:color="231F20" w:sz="4" w:space="0"/>
              <w:left w:val="single" w:color="231F20" w:sz="4" w:space="0"/>
              <w:bottom w:val="single" w:color="231F20" w:sz="4" w:space="0"/>
              <w:right w:val="single" w:color="231F20" w:sz="4" w:space="0"/>
            </w:tcBorders>
          </w:tcPr>
          <w:p>
            <w:pPr>
              <w:pStyle w:val="11"/>
              <w:spacing w:before="55"/>
              <w:ind w:left="401"/>
              <w:rPr>
                <w:sz w:val="15"/>
              </w:rPr>
            </w:pPr>
            <w:r>
              <w:rPr>
                <w:w w:val="105"/>
                <w:sz w:val="15"/>
              </w:rPr>
              <w:t>固定线</w:t>
            </w:r>
          </w:p>
        </w:tc>
        <w:tc>
          <w:tcPr>
            <w:tcW w:w="1274" w:type="dxa"/>
            <w:tcBorders>
              <w:top w:val="single" w:color="231F20" w:sz="4" w:space="0"/>
              <w:left w:val="single" w:color="231F20" w:sz="4" w:space="0"/>
              <w:bottom w:val="single" w:color="231F20" w:sz="4" w:space="0"/>
              <w:right w:val="single" w:color="231F20" w:sz="4" w:space="0"/>
            </w:tcBorders>
          </w:tcPr>
          <w:p>
            <w:pPr>
              <w:pStyle w:val="11"/>
              <w:spacing w:before="55"/>
              <w:ind w:left="202" w:right="192"/>
              <w:jc w:val="center"/>
              <w:rPr>
                <w:sz w:val="15"/>
              </w:rPr>
            </w:pPr>
            <w:r>
              <w:rPr>
                <w:w w:val="105"/>
                <w:sz w:val="15"/>
              </w:rPr>
              <w:t>半固定线</w:t>
            </w:r>
          </w:p>
        </w:tc>
        <w:tc>
          <w:tcPr>
            <w:tcW w:w="1274" w:type="dxa"/>
            <w:tcBorders>
              <w:top w:val="single" w:color="231F20" w:sz="4" w:space="0"/>
              <w:left w:val="single" w:color="231F20" w:sz="4" w:space="0"/>
              <w:bottom w:val="single" w:color="231F20" w:sz="4" w:space="0"/>
              <w:right w:val="single" w:color="231F20" w:sz="4" w:space="0"/>
            </w:tcBorders>
          </w:tcPr>
          <w:p>
            <w:pPr>
              <w:pStyle w:val="11"/>
              <w:spacing w:before="55"/>
              <w:ind w:left="201" w:right="193"/>
              <w:jc w:val="center"/>
              <w:rPr>
                <w:sz w:val="15"/>
              </w:rPr>
            </w:pPr>
            <w:r>
              <w:rPr>
                <w:w w:val="105"/>
                <w:sz w:val="15"/>
              </w:rPr>
              <w:t>装车线</w:t>
            </w:r>
          </w:p>
        </w:tc>
        <w:tc>
          <w:tcPr>
            <w:tcW w:w="1759" w:type="dxa"/>
            <w:tcBorders>
              <w:top w:val="single" w:color="231F20" w:sz="4" w:space="0"/>
              <w:left w:val="single" w:color="231F20" w:sz="4" w:space="0"/>
              <w:bottom w:val="single" w:color="231F20" w:sz="4" w:space="0"/>
            </w:tcBorders>
          </w:tcPr>
          <w:p>
            <w:pPr>
              <w:pStyle w:val="11"/>
              <w:spacing w:before="55"/>
              <w:ind w:left="621" w:right="609"/>
              <w:jc w:val="center"/>
              <w:rPr>
                <w:sz w:val="15"/>
              </w:rPr>
            </w:pPr>
            <w:r>
              <w:rPr>
                <w:w w:val="105"/>
                <w:sz w:val="15"/>
              </w:rPr>
              <w:t>排土线</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194" w:type="dxa"/>
            <w:tcBorders>
              <w:top w:val="single" w:color="231F20" w:sz="4" w:space="0"/>
              <w:bottom w:val="single" w:color="231F20" w:sz="4" w:space="0"/>
              <w:right w:val="single" w:color="231F20" w:sz="4" w:space="0"/>
            </w:tcBorders>
          </w:tcPr>
          <w:p>
            <w:pPr>
              <w:pStyle w:val="11"/>
              <w:spacing w:before="55"/>
              <w:ind w:left="277"/>
              <w:rPr>
                <w:sz w:val="15"/>
              </w:rPr>
            </w:pPr>
            <w:r>
              <w:rPr>
                <w:w w:val="105"/>
                <w:sz w:val="15"/>
              </w:rPr>
              <w:t>蒸汽机车</w:t>
            </w:r>
          </w:p>
        </w:tc>
        <w:tc>
          <w:tcPr>
            <w:tcW w:w="1194" w:type="dxa"/>
            <w:tcBorders>
              <w:top w:val="single" w:color="231F20" w:sz="4" w:space="0"/>
              <w:left w:val="single" w:color="231F20" w:sz="4" w:space="0"/>
              <w:bottom w:val="single" w:color="231F20" w:sz="4" w:space="0"/>
              <w:right w:val="single" w:color="231F20" w:sz="4" w:space="0"/>
            </w:tcBorders>
          </w:tcPr>
          <w:p>
            <w:pPr>
              <w:pStyle w:val="11"/>
              <w:spacing w:before="55"/>
              <w:ind w:left="442"/>
              <w:rPr>
                <w:rFonts w:hint="eastAsia" w:ascii="MS UI Gothic" w:hAnsi="MS UI Gothic" w:eastAsia="MS UI Gothic"/>
                <w:sz w:val="15"/>
              </w:rPr>
            </w:pPr>
            <w:r>
              <w:rPr>
                <w:rFonts w:hint="eastAsia" w:ascii="MS UI Gothic" w:hAnsi="MS UI Gothic" w:eastAsia="MS UI Gothic"/>
                <w:spacing w:val="-1"/>
                <w:w w:val="205"/>
                <w:sz w:val="15"/>
              </w:rPr>
              <w:t>≤</w:t>
            </w:r>
            <w:r>
              <w:rPr>
                <w:rFonts w:hint="eastAsia" w:ascii="MS UI Gothic" w:hAnsi="MS UI Gothic" w:eastAsia="MS UI Gothic"/>
                <w:w w:val="75"/>
                <w:sz w:val="15"/>
              </w:rPr>
              <w:t>２５</w:t>
            </w:r>
          </w:p>
        </w:tc>
        <w:tc>
          <w:tcPr>
            <w:tcW w:w="1274" w:type="dxa"/>
            <w:tcBorders>
              <w:top w:val="single" w:color="231F20" w:sz="4" w:space="0"/>
              <w:left w:val="single" w:color="231F20" w:sz="4" w:space="0"/>
              <w:bottom w:val="single" w:color="231F20" w:sz="4" w:space="0"/>
              <w:right w:val="single" w:color="231F20" w:sz="4" w:space="0"/>
            </w:tcBorders>
          </w:tcPr>
          <w:p>
            <w:pPr>
              <w:pStyle w:val="11"/>
              <w:spacing w:before="55"/>
              <w:ind w:left="444"/>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２</w:t>
            </w:r>
            <w:r>
              <w:rPr>
                <w:rFonts w:hint="eastAsia" w:ascii="MS UI Gothic" w:hAnsi="MS UI Gothic" w:eastAsia="MS UI Gothic"/>
                <w:w w:val="75"/>
                <w:sz w:val="15"/>
              </w:rPr>
              <w:t>００</w:t>
            </w:r>
          </w:p>
        </w:tc>
        <w:tc>
          <w:tcPr>
            <w:tcW w:w="1274" w:type="dxa"/>
            <w:tcBorders>
              <w:top w:val="single" w:color="231F20" w:sz="4" w:space="0"/>
              <w:left w:val="single" w:color="231F20" w:sz="4" w:space="0"/>
              <w:bottom w:val="single" w:color="231F20" w:sz="4" w:space="0"/>
              <w:right w:val="single" w:color="231F20" w:sz="4" w:space="0"/>
            </w:tcBorders>
          </w:tcPr>
          <w:p>
            <w:pPr>
              <w:pStyle w:val="11"/>
              <w:spacing w:before="55"/>
              <w:ind w:left="202" w:right="192"/>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５０</w:t>
            </w:r>
          </w:p>
        </w:tc>
        <w:tc>
          <w:tcPr>
            <w:tcW w:w="1274" w:type="dxa"/>
            <w:tcBorders>
              <w:top w:val="single" w:color="231F20" w:sz="4" w:space="0"/>
              <w:left w:val="single" w:color="231F20" w:sz="4" w:space="0"/>
              <w:bottom w:val="single" w:color="231F20" w:sz="4" w:space="0"/>
            </w:tcBorders>
          </w:tcPr>
          <w:p>
            <w:pPr>
              <w:pStyle w:val="11"/>
              <w:spacing w:before="55"/>
              <w:ind w:left="422" w:right="409"/>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５０</w:t>
            </w:r>
          </w:p>
        </w:tc>
        <w:tc>
          <w:tcPr>
            <w:tcW w:w="1759" w:type="dxa"/>
            <w:vMerge w:val="restart"/>
            <w:tcBorders>
              <w:top w:val="single" w:color="231F20" w:sz="4" w:space="0"/>
            </w:tcBorders>
          </w:tcPr>
          <w:p>
            <w:pPr>
              <w:pStyle w:val="11"/>
              <w:rPr>
                <w:sz w:val="18"/>
              </w:rPr>
            </w:pPr>
          </w:p>
          <w:p>
            <w:pPr>
              <w:pStyle w:val="11"/>
              <w:rPr>
                <w:sz w:val="18"/>
              </w:rPr>
            </w:pPr>
          </w:p>
          <w:p>
            <w:pPr>
              <w:pStyle w:val="11"/>
              <w:spacing w:before="3"/>
              <w:rPr>
                <w:sz w:val="22"/>
              </w:rPr>
            </w:pPr>
          </w:p>
          <w:p>
            <w:pPr>
              <w:pStyle w:val="11"/>
              <w:ind w:left="298"/>
              <w:rPr>
                <w:sz w:val="15"/>
              </w:rPr>
            </w:pPr>
            <w:r>
              <w:rPr>
                <w:spacing w:val="-21"/>
                <w:w w:val="105"/>
                <w:sz w:val="15"/>
              </w:rPr>
              <w:t>向 曲 线 内 侧 排 弃</w:t>
            </w:r>
          </w:p>
          <w:p>
            <w:pPr>
              <w:pStyle w:val="11"/>
              <w:spacing w:before="72" w:line="328" w:lineRule="auto"/>
              <w:ind w:left="100" w:right="91"/>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３００</w:t>
            </w:r>
            <w:r>
              <w:rPr>
                <w:rFonts w:hint="eastAsia" w:ascii="MS UI Gothic" w:hAnsi="MS UI Gothic" w:eastAsia="MS UI Gothic"/>
                <w:w w:val="51"/>
                <w:sz w:val="15"/>
              </w:rPr>
              <w:t>ꎻ</w:t>
            </w:r>
            <w:r>
              <w:rPr>
                <w:rFonts w:hint="eastAsia" w:ascii="MS UI Gothic" w:hAnsi="MS UI Gothic" w:eastAsia="MS UI Gothic"/>
                <w:spacing w:val="-5"/>
                <w:sz w:val="15"/>
              </w:rPr>
              <w:t xml:space="preserve">  </w:t>
            </w:r>
            <w:r>
              <w:rPr>
                <w:spacing w:val="7"/>
                <w:w w:val="103"/>
                <w:sz w:val="15"/>
              </w:rPr>
              <w:t>向曲线外侧排</w:t>
            </w:r>
            <w:r>
              <w:rPr>
                <w:spacing w:val="3"/>
                <w:w w:val="103"/>
                <w:sz w:val="15"/>
              </w:rPr>
              <w:t>弃</w:t>
            </w:r>
            <w:r>
              <w:rPr>
                <w:rFonts w:hint="eastAsia" w:ascii="MS UI Gothic" w:hAnsi="MS UI Gothic" w:eastAsia="MS UI Gothic"/>
                <w:w w:val="205"/>
                <w:sz w:val="15"/>
              </w:rPr>
              <w:t>≥</w:t>
            </w:r>
            <w:r>
              <w:rPr>
                <w:rFonts w:hint="eastAsia" w:ascii="MS UI Gothic" w:hAnsi="MS UI Gothic" w:eastAsia="MS UI Gothic"/>
                <w:spacing w:val="-1"/>
                <w:w w:val="75"/>
                <w:sz w:val="15"/>
              </w:rPr>
              <w:t>２００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34" w:hRule="atLeast"/>
        </w:trPr>
        <w:tc>
          <w:tcPr>
            <w:tcW w:w="1194" w:type="dxa"/>
            <w:tcBorders>
              <w:top w:val="single" w:color="231F20" w:sz="4" w:space="0"/>
              <w:bottom w:val="single" w:color="231F20" w:sz="4" w:space="0"/>
              <w:right w:val="single" w:color="231F20" w:sz="4" w:space="0"/>
            </w:tcBorders>
          </w:tcPr>
          <w:p>
            <w:pPr>
              <w:pStyle w:val="11"/>
              <w:rPr>
                <w:sz w:val="18"/>
              </w:rPr>
            </w:pPr>
          </w:p>
          <w:p>
            <w:pPr>
              <w:pStyle w:val="11"/>
              <w:spacing w:before="138"/>
              <w:ind w:left="277"/>
              <w:rPr>
                <w:sz w:val="15"/>
              </w:rPr>
            </w:pPr>
            <w:r>
              <w:rPr>
                <w:w w:val="105"/>
                <w:sz w:val="15"/>
              </w:rPr>
              <w:t>电力机车</w:t>
            </w:r>
          </w:p>
        </w:tc>
        <w:tc>
          <w:tcPr>
            <w:tcW w:w="1194" w:type="dxa"/>
            <w:tcBorders>
              <w:top w:val="single" w:color="231F20" w:sz="4" w:space="0"/>
              <w:left w:val="single" w:color="231F20" w:sz="4" w:space="0"/>
              <w:bottom w:val="single" w:color="231F20" w:sz="4" w:space="0"/>
              <w:right w:val="single" w:color="231F20" w:sz="4" w:space="0"/>
            </w:tcBorders>
          </w:tcPr>
          <w:p>
            <w:pPr>
              <w:pStyle w:val="11"/>
              <w:spacing w:before="10"/>
              <w:rPr>
                <w:sz w:val="28"/>
              </w:rPr>
            </w:pPr>
          </w:p>
          <w:p>
            <w:pPr>
              <w:pStyle w:val="11"/>
              <w:ind w:left="442"/>
              <w:rPr>
                <w:rFonts w:hint="eastAsia" w:ascii="MS UI Gothic" w:hAnsi="MS UI Gothic" w:eastAsia="MS UI Gothic"/>
                <w:sz w:val="15"/>
              </w:rPr>
            </w:pPr>
            <w:r>
              <w:rPr>
                <w:rFonts w:hint="eastAsia" w:ascii="MS UI Gothic" w:hAnsi="MS UI Gothic" w:eastAsia="MS UI Gothic"/>
                <w:spacing w:val="-1"/>
                <w:w w:val="205"/>
                <w:sz w:val="15"/>
              </w:rPr>
              <w:t>≤</w:t>
            </w:r>
            <w:r>
              <w:rPr>
                <w:rFonts w:hint="eastAsia" w:ascii="MS UI Gothic" w:hAnsi="MS UI Gothic" w:eastAsia="MS UI Gothic"/>
                <w:w w:val="75"/>
                <w:sz w:val="15"/>
              </w:rPr>
              <w:t>３０</w:t>
            </w:r>
          </w:p>
        </w:tc>
        <w:tc>
          <w:tcPr>
            <w:tcW w:w="1274" w:type="dxa"/>
            <w:tcBorders>
              <w:top w:val="single" w:color="231F20" w:sz="4" w:space="0"/>
              <w:left w:val="single" w:color="231F20" w:sz="4" w:space="0"/>
              <w:bottom w:val="single" w:color="231F20" w:sz="4" w:space="0"/>
              <w:right w:val="single" w:color="231F20" w:sz="4" w:space="0"/>
            </w:tcBorders>
          </w:tcPr>
          <w:p>
            <w:pPr>
              <w:pStyle w:val="11"/>
              <w:spacing w:before="104"/>
              <w:ind w:left="202" w:right="19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８０</w:t>
            </w:r>
          </w:p>
          <w:p>
            <w:pPr>
              <w:pStyle w:val="11"/>
              <w:spacing w:before="72"/>
              <w:ind w:left="202" w:right="192"/>
              <w:jc w:val="center"/>
              <w:rPr>
                <w:sz w:val="15"/>
              </w:rPr>
            </w:pPr>
            <w:r>
              <w:rPr>
                <w:rFonts w:hint="eastAsia" w:ascii="MS UI Gothic" w:eastAsia="MS UI Gothic"/>
                <w:w w:val="150"/>
                <w:sz w:val="15"/>
              </w:rPr>
              <w:t xml:space="preserve">( </w:t>
            </w:r>
            <w:r>
              <w:rPr>
                <w:w w:val="115"/>
                <w:sz w:val="15"/>
              </w:rPr>
              <w:t>困难情况</w:t>
            </w:r>
          </w:p>
          <w:p>
            <w:pPr>
              <w:pStyle w:val="11"/>
              <w:spacing w:before="72"/>
              <w:ind w:left="192" w:right="193"/>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５</w:t>
            </w:r>
            <w:r>
              <w:rPr>
                <w:rFonts w:hint="eastAsia" w:ascii="MS UI Gothic" w:hAnsi="MS UI Gothic" w:eastAsia="MS UI Gothic"/>
                <w:spacing w:val="3"/>
                <w:w w:val="75"/>
                <w:sz w:val="15"/>
              </w:rPr>
              <w:t>０</w:t>
            </w:r>
            <w:r>
              <w:rPr>
                <w:rFonts w:hint="eastAsia" w:ascii="MS UI Gothic" w:hAnsi="MS UI Gothic" w:eastAsia="MS UI Gothic"/>
                <w:w w:val="169"/>
                <w:sz w:val="15"/>
              </w:rPr>
              <w:t>)</w:t>
            </w:r>
          </w:p>
        </w:tc>
        <w:tc>
          <w:tcPr>
            <w:tcW w:w="1274" w:type="dxa"/>
            <w:tcBorders>
              <w:top w:val="single" w:color="231F20" w:sz="4" w:space="0"/>
              <w:left w:val="single" w:color="231F20" w:sz="4" w:space="0"/>
              <w:bottom w:val="single" w:color="231F20" w:sz="4" w:space="0"/>
              <w:right w:val="single" w:color="231F20" w:sz="4" w:space="0"/>
            </w:tcBorders>
          </w:tcPr>
          <w:p>
            <w:pPr>
              <w:pStyle w:val="11"/>
              <w:spacing w:before="10"/>
              <w:rPr>
                <w:sz w:val="28"/>
              </w:rPr>
            </w:pPr>
          </w:p>
          <w:p>
            <w:pPr>
              <w:pStyle w:val="11"/>
              <w:ind w:left="202" w:right="192"/>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２０</w:t>
            </w:r>
          </w:p>
        </w:tc>
        <w:tc>
          <w:tcPr>
            <w:tcW w:w="1274" w:type="dxa"/>
            <w:tcBorders>
              <w:top w:val="single" w:color="231F20" w:sz="4" w:space="0"/>
              <w:left w:val="single" w:color="231F20" w:sz="4" w:space="0"/>
              <w:bottom w:val="single" w:color="231F20" w:sz="4" w:space="0"/>
            </w:tcBorders>
          </w:tcPr>
          <w:p>
            <w:pPr>
              <w:pStyle w:val="11"/>
              <w:spacing w:before="10"/>
              <w:rPr>
                <w:sz w:val="28"/>
              </w:rPr>
            </w:pPr>
          </w:p>
          <w:p>
            <w:pPr>
              <w:pStyle w:val="11"/>
              <w:ind w:left="422" w:right="409"/>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１０</w:t>
            </w:r>
          </w:p>
        </w:tc>
        <w:tc>
          <w:tcPr>
            <w:tcW w:w="1759" w:type="dxa"/>
            <w:vMerge w:val="continue"/>
            <w:tcBorders>
              <w:top w:val="nil"/>
            </w:tcBorders>
          </w:tcPr>
          <w:p>
            <w:pPr>
              <w:rPr>
                <w:sz w:val="2"/>
                <w:szCs w:val="2"/>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34" w:hRule="atLeast"/>
        </w:trPr>
        <w:tc>
          <w:tcPr>
            <w:tcW w:w="1194" w:type="dxa"/>
            <w:tcBorders>
              <w:top w:val="single" w:color="231F20" w:sz="4" w:space="0"/>
              <w:right w:val="single" w:color="231F20" w:sz="4" w:space="0"/>
            </w:tcBorders>
          </w:tcPr>
          <w:p>
            <w:pPr>
              <w:pStyle w:val="11"/>
              <w:rPr>
                <w:sz w:val="18"/>
              </w:rPr>
            </w:pPr>
          </w:p>
          <w:p>
            <w:pPr>
              <w:pStyle w:val="11"/>
              <w:spacing w:before="138"/>
              <w:ind w:left="277"/>
              <w:rPr>
                <w:sz w:val="15"/>
              </w:rPr>
            </w:pPr>
            <w:r>
              <w:rPr>
                <w:w w:val="105"/>
                <w:sz w:val="15"/>
              </w:rPr>
              <w:t>内燃机车</w:t>
            </w:r>
          </w:p>
        </w:tc>
        <w:tc>
          <w:tcPr>
            <w:tcW w:w="1194" w:type="dxa"/>
            <w:tcBorders>
              <w:top w:val="single" w:color="231F20" w:sz="4" w:space="0"/>
              <w:left w:val="single" w:color="231F20" w:sz="4" w:space="0"/>
              <w:right w:val="single" w:color="231F20" w:sz="4" w:space="0"/>
            </w:tcBorders>
          </w:tcPr>
          <w:p>
            <w:pPr>
              <w:pStyle w:val="11"/>
              <w:spacing w:before="9"/>
              <w:rPr>
                <w:sz w:val="28"/>
              </w:rPr>
            </w:pPr>
          </w:p>
          <w:p>
            <w:pPr>
              <w:pStyle w:val="11"/>
              <w:spacing w:before="1"/>
              <w:ind w:left="442"/>
              <w:rPr>
                <w:rFonts w:hint="eastAsia" w:ascii="MS UI Gothic" w:hAnsi="MS UI Gothic" w:eastAsia="MS UI Gothic"/>
                <w:sz w:val="15"/>
              </w:rPr>
            </w:pPr>
            <w:r>
              <w:rPr>
                <w:rFonts w:hint="eastAsia" w:ascii="MS UI Gothic" w:hAnsi="MS UI Gothic" w:eastAsia="MS UI Gothic"/>
                <w:spacing w:val="-1"/>
                <w:w w:val="205"/>
                <w:sz w:val="15"/>
              </w:rPr>
              <w:t>≤</w:t>
            </w:r>
            <w:r>
              <w:rPr>
                <w:rFonts w:hint="eastAsia" w:ascii="MS UI Gothic" w:hAnsi="MS UI Gothic" w:eastAsia="MS UI Gothic"/>
                <w:w w:val="75"/>
                <w:sz w:val="15"/>
              </w:rPr>
              <w:t>３０</w:t>
            </w:r>
          </w:p>
        </w:tc>
        <w:tc>
          <w:tcPr>
            <w:tcW w:w="1274" w:type="dxa"/>
            <w:tcBorders>
              <w:top w:val="single" w:color="231F20" w:sz="4" w:space="0"/>
              <w:left w:val="single" w:color="231F20" w:sz="4" w:space="0"/>
              <w:right w:val="single" w:color="231F20" w:sz="4" w:space="0"/>
            </w:tcBorders>
          </w:tcPr>
          <w:p>
            <w:pPr>
              <w:pStyle w:val="11"/>
              <w:spacing w:before="104"/>
              <w:ind w:left="202" w:right="190"/>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８０</w:t>
            </w:r>
          </w:p>
          <w:p>
            <w:pPr>
              <w:pStyle w:val="11"/>
              <w:spacing w:before="72"/>
              <w:ind w:left="202" w:right="192"/>
              <w:jc w:val="center"/>
              <w:rPr>
                <w:sz w:val="15"/>
              </w:rPr>
            </w:pPr>
            <w:r>
              <w:rPr>
                <w:rFonts w:hint="eastAsia" w:ascii="MS UI Gothic" w:eastAsia="MS UI Gothic"/>
                <w:w w:val="150"/>
                <w:sz w:val="15"/>
              </w:rPr>
              <w:t xml:space="preserve">( </w:t>
            </w:r>
            <w:r>
              <w:rPr>
                <w:w w:val="115"/>
                <w:sz w:val="15"/>
              </w:rPr>
              <w:t>困难情况</w:t>
            </w:r>
          </w:p>
          <w:p>
            <w:pPr>
              <w:pStyle w:val="11"/>
              <w:spacing w:before="72"/>
              <w:ind w:left="192" w:right="193"/>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５</w:t>
            </w:r>
            <w:r>
              <w:rPr>
                <w:rFonts w:hint="eastAsia" w:ascii="MS UI Gothic" w:hAnsi="MS UI Gothic" w:eastAsia="MS UI Gothic"/>
                <w:spacing w:val="3"/>
                <w:w w:val="75"/>
                <w:sz w:val="15"/>
              </w:rPr>
              <w:t>０</w:t>
            </w:r>
            <w:r>
              <w:rPr>
                <w:rFonts w:hint="eastAsia" w:ascii="MS UI Gothic" w:hAnsi="MS UI Gothic" w:eastAsia="MS UI Gothic"/>
                <w:w w:val="169"/>
                <w:sz w:val="15"/>
              </w:rPr>
              <w:t>)</w:t>
            </w:r>
          </w:p>
        </w:tc>
        <w:tc>
          <w:tcPr>
            <w:tcW w:w="1274" w:type="dxa"/>
            <w:tcBorders>
              <w:top w:val="single" w:color="231F20" w:sz="4" w:space="0"/>
              <w:left w:val="single" w:color="231F20" w:sz="4" w:space="0"/>
              <w:right w:val="single" w:color="231F20" w:sz="4" w:space="0"/>
            </w:tcBorders>
          </w:tcPr>
          <w:p>
            <w:pPr>
              <w:pStyle w:val="11"/>
              <w:spacing w:before="104"/>
              <w:ind w:left="202" w:right="192"/>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２０</w:t>
            </w:r>
          </w:p>
          <w:p>
            <w:pPr>
              <w:pStyle w:val="11"/>
              <w:spacing w:before="72"/>
              <w:ind w:left="201" w:right="193"/>
              <w:jc w:val="center"/>
              <w:rPr>
                <w:sz w:val="15"/>
              </w:rPr>
            </w:pPr>
            <w:r>
              <w:rPr>
                <w:rFonts w:hint="eastAsia" w:ascii="MS UI Gothic" w:eastAsia="MS UI Gothic"/>
                <w:w w:val="150"/>
                <w:sz w:val="15"/>
              </w:rPr>
              <w:t xml:space="preserve">( </w:t>
            </w:r>
            <w:r>
              <w:rPr>
                <w:w w:val="115"/>
                <w:sz w:val="15"/>
              </w:rPr>
              <w:t>困难情况</w:t>
            </w:r>
          </w:p>
          <w:p>
            <w:pPr>
              <w:pStyle w:val="11"/>
              <w:spacing w:before="72"/>
              <w:ind w:left="191" w:right="193"/>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spacing w:val="-1"/>
                <w:w w:val="75"/>
                <w:sz w:val="15"/>
              </w:rPr>
              <w:t>１</w:t>
            </w:r>
            <w:r>
              <w:rPr>
                <w:rFonts w:hint="eastAsia" w:ascii="MS UI Gothic" w:hAnsi="MS UI Gothic" w:eastAsia="MS UI Gothic"/>
                <w:w w:val="75"/>
                <w:sz w:val="15"/>
              </w:rPr>
              <w:t>１</w:t>
            </w:r>
            <w:r>
              <w:rPr>
                <w:rFonts w:hint="eastAsia" w:ascii="MS UI Gothic" w:hAnsi="MS UI Gothic" w:eastAsia="MS UI Gothic"/>
                <w:spacing w:val="3"/>
                <w:w w:val="75"/>
                <w:sz w:val="15"/>
              </w:rPr>
              <w:t>０</w:t>
            </w:r>
            <w:r>
              <w:rPr>
                <w:rFonts w:hint="eastAsia" w:ascii="MS UI Gothic" w:hAnsi="MS UI Gothic" w:eastAsia="MS UI Gothic"/>
                <w:w w:val="169"/>
                <w:sz w:val="15"/>
              </w:rPr>
              <w:t>)</w:t>
            </w:r>
          </w:p>
        </w:tc>
        <w:tc>
          <w:tcPr>
            <w:tcW w:w="1274" w:type="dxa"/>
            <w:tcBorders>
              <w:top w:val="single" w:color="231F20" w:sz="4" w:space="0"/>
              <w:left w:val="single" w:color="231F20" w:sz="4" w:space="0"/>
            </w:tcBorders>
          </w:tcPr>
          <w:p>
            <w:pPr>
              <w:pStyle w:val="11"/>
              <w:rPr>
                <w:rFonts w:ascii="Times New Roman"/>
                <w:sz w:val="18"/>
              </w:rPr>
            </w:pPr>
          </w:p>
        </w:tc>
        <w:tc>
          <w:tcPr>
            <w:tcW w:w="1759" w:type="dxa"/>
            <w:vMerge w:val="continue"/>
            <w:tcBorders>
              <w:top w:val="nil"/>
            </w:tcBorders>
          </w:tcPr>
          <w:p>
            <w:pPr>
              <w:rPr>
                <w:sz w:val="2"/>
                <w:szCs w:val="2"/>
              </w:rPr>
            </w:pPr>
          </w:p>
        </w:tc>
      </w:tr>
    </w:tbl>
    <w:p>
      <w:pPr>
        <w:pStyle w:val="6"/>
        <w:spacing w:before="3"/>
        <w:ind w:left="0" w:firstLine="0"/>
        <w:jc w:val="left"/>
        <w:rPr>
          <w:sz w:val="8"/>
        </w:rPr>
      </w:pPr>
    </w:p>
    <w:p>
      <w:pPr>
        <w:spacing w:after="0"/>
        <w:jc w:val="left"/>
        <w:rPr>
          <w:sz w:val="8"/>
        </w:rPr>
        <w:sectPr>
          <w:type w:val="continuous"/>
          <w:pgSz w:w="10500" w:h="14750"/>
          <w:pgMar w:top="1400" w:right="980" w:bottom="280" w:left="980" w:header="720" w:footer="720" w:gutter="0"/>
        </w:sectPr>
      </w:pPr>
    </w:p>
    <w:p>
      <w:pPr>
        <w:pStyle w:val="6"/>
        <w:spacing w:before="174" w:line="295" w:lineRule="auto"/>
        <w:ind w:right="38" w:firstLine="471"/>
        <w:rPr>
          <w:rFonts w:hint="eastAsia" w:ascii="MS UI Gothic" w:eastAsia="MS UI Gothic"/>
        </w:rPr>
      </w:pPr>
      <w:r>
        <w:t>第五百六十条 路基必须填筑坚实</w:t>
      </w:r>
      <w:r>
        <w:rPr>
          <w:rFonts w:hint="eastAsia" w:ascii="MS UI Gothic" w:eastAsia="MS UI Gothic"/>
          <w:w w:val="80"/>
        </w:rPr>
        <w:t>ꎬ</w:t>
      </w:r>
      <w:r>
        <w:t>并保持稳定和完好</w:t>
      </w:r>
      <w:r>
        <w:rPr>
          <w:rFonts w:hint="eastAsia" w:ascii="MS UI Gothic" w:eastAsia="MS UI Gothic"/>
          <w:w w:val="80"/>
        </w:rPr>
        <w:t>ꎮ</w:t>
      </w:r>
    </w:p>
    <w:p>
      <w:pPr>
        <w:pStyle w:val="6"/>
        <w:spacing w:line="295" w:lineRule="auto"/>
        <w:ind w:left="118" w:right="39" w:firstLine="425"/>
      </w:pPr>
      <w:r>
        <w:t xml:space="preserve">装车线路的中心线至坡底线或者爆堆边缘的距离不得小于 </w:t>
      </w:r>
      <w:r>
        <w:rPr>
          <w:rFonts w:hint="eastAsia" w:ascii="MS UI Gothic" w:eastAsia="MS UI Gothic"/>
          <w:w w:val="80"/>
        </w:rPr>
        <w:t xml:space="preserve">３ ｍꎻ </w:t>
      </w:r>
      <w:r>
        <w:t>上装车线应当根据台阶稳定情况确定</w:t>
      </w:r>
      <w:r>
        <w:rPr>
          <w:rFonts w:hint="eastAsia" w:ascii="MS UI Gothic" w:eastAsia="MS UI Gothic"/>
          <w:w w:val="80"/>
        </w:rPr>
        <w:t xml:space="preserve">ꎬ  </w:t>
      </w:r>
      <w:r>
        <w:t>但不得小于</w:t>
      </w:r>
      <w:r>
        <w:rPr>
          <w:rFonts w:hint="eastAsia" w:ascii="MS UI Gothic" w:eastAsia="MS UI Gothic"/>
          <w:w w:val="80"/>
        </w:rPr>
        <w:t xml:space="preserve">３ ｍꎮ </w:t>
      </w:r>
      <w:r>
        <w:t>排土线路中心至坡顶线的距离不得</w:t>
      </w:r>
    </w:p>
    <w:p>
      <w:pPr>
        <w:pStyle w:val="6"/>
        <w:spacing w:before="174" w:line="295" w:lineRule="auto"/>
        <w:ind w:left="118" w:right="442" w:firstLine="5"/>
        <w:rPr>
          <w:rFonts w:hint="eastAsia" w:ascii="MS UI Gothic" w:eastAsia="MS UI Gothic"/>
        </w:rPr>
      </w:pPr>
      <w:r>
        <w:br w:type="column"/>
      </w:r>
      <w:r>
        <w:t xml:space="preserve">小于 </w:t>
      </w:r>
      <w:r>
        <w:rPr>
          <w:rFonts w:hint="eastAsia" w:ascii="MS UI Gothic" w:eastAsia="MS UI Gothic"/>
          <w:w w:val="85"/>
        </w:rPr>
        <w:t xml:space="preserve">１ ５ ｍꎬ </w:t>
      </w:r>
      <w:r>
        <w:t xml:space="preserve">至受土坑坡顶线的距离不得小于 </w:t>
      </w:r>
      <w:r>
        <w:rPr>
          <w:rFonts w:hint="eastAsia" w:ascii="MS UI Gothic" w:eastAsia="MS UI Gothic"/>
          <w:w w:val="85"/>
        </w:rPr>
        <w:t xml:space="preserve">１ ４ｍꎬ </w:t>
      </w:r>
      <w:r>
        <w:t>线路终端外必须留有不小于</w:t>
      </w:r>
      <w:r>
        <w:rPr>
          <w:rFonts w:hint="eastAsia" w:ascii="MS UI Gothic" w:eastAsia="MS UI Gothic"/>
          <w:w w:val="85"/>
        </w:rPr>
        <w:t>３０ ｍ</w:t>
      </w:r>
      <w:r>
        <w:t>的安全距离</w:t>
      </w:r>
      <w:r>
        <w:rPr>
          <w:rFonts w:hint="eastAsia" w:ascii="MS UI Gothic" w:eastAsia="MS UI Gothic"/>
          <w:w w:val="85"/>
        </w:rPr>
        <w:t>ꎮ</w:t>
      </w:r>
    </w:p>
    <w:p>
      <w:pPr>
        <w:pStyle w:val="6"/>
        <w:spacing w:line="295" w:lineRule="auto"/>
        <w:ind w:right="442"/>
        <w:rPr>
          <w:rFonts w:hint="eastAsia" w:ascii="MS UI Gothic" w:eastAsia="MS UI Gothic"/>
        </w:rPr>
      </w:pPr>
      <w:r>
        <w:rPr>
          <w:spacing w:val="2"/>
          <w:w w:val="105"/>
        </w:rPr>
        <w:t>第五百六十一条 铁道线路直线地段</w:t>
      </w:r>
      <w:r>
        <w:rPr>
          <w:spacing w:val="-19"/>
          <w:w w:val="105"/>
        </w:rPr>
        <w:t xml:space="preserve">轨距为 </w:t>
      </w:r>
      <w:r>
        <w:rPr>
          <w:rFonts w:hint="eastAsia" w:ascii="MS UI Gothic" w:eastAsia="MS UI Gothic"/>
          <w:spacing w:val="-3"/>
          <w:w w:val="85"/>
        </w:rPr>
        <w:t xml:space="preserve">１４３５ </w:t>
      </w:r>
      <w:r>
        <w:rPr>
          <w:rFonts w:hint="eastAsia" w:ascii="MS UI Gothic" w:eastAsia="MS UI Gothic"/>
          <w:w w:val="85"/>
        </w:rPr>
        <w:t>ｍｍ</w:t>
      </w:r>
      <w:r>
        <w:rPr>
          <w:rFonts w:hint="eastAsia" w:ascii="MS UI Gothic" w:eastAsia="MS UI Gothic"/>
          <w:spacing w:val="-3"/>
          <w:w w:val="85"/>
        </w:rPr>
        <w:t xml:space="preserve">ꎬ </w:t>
      </w:r>
      <w:r>
        <w:rPr>
          <w:spacing w:val="4"/>
          <w:w w:val="105"/>
        </w:rPr>
        <w:t xml:space="preserve">曲线地段轨距按表 </w:t>
      </w:r>
      <w:r>
        <w:rPr>
          <w:rFonts w:hint="eastAsia" w:ascii="MS UI Gothic" w:eastAsia="MS UI Gothic"/>
          <w:w w:val="85"/>
        </w:rPr>
        <w:t xml:space="preserve">２２ </w:t>
      </w:r>
      <w:r>
        <w:rPr>
          <w:spacing w:val="3"/>
          <w:w w:val="105"/>
        </w:rPr>
        <w:t>的要求加宽</w:t>
      </w:r>
      <w:r>
        <w:rPr>
          <w:rFonts w:hint="eastAsia" w:ascii="MS UI Gothic" w:eastAsia="MS UI Gothic"/>
          <w:w w:val="225"/>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7"/>
        <w:ind w:left="0" w:firstLine="0"/>
        <w:jc w:val="left"/>
        <w:rPr>
          <w:rFonts w:ascii="MS UI Gothic"/>
          <w:sz w:val="10"/>
        </w:rPr>
      </w:pPr>
    </w:p>
    <w:p>
      <w:pPr>
        <w:pStyle w:val="6"/>
        <w:spacing w:before="175"/>
        <w:ind w:left="310" w:right="628" w:firstLine="0"/>
        <w:jc w:val="center"/>
      </w:pPr>
      <w:r>
        <w:rPr>
          <w:w w:val="95"/>
        </w:rPr>
        <w:t xml:space="preserve">表 </w:t>
      </w:r>
      <w:r>
        <w:rPr>
          <w:rFonts w:hint="eastAsia" w:ascii="MS UI Gothic" w:eastAsia="MS UI Gothic"/>
          <w:w w:val="95"/>
        </w:rPr>
        <w:t xml:space="preserve">２２ </w:t>
      </w:r>
      <w:r>
        <w:rPr>
          <w:w w:val="95"/>
        </w:rPr>
        <w:t>铁道线路曲线地段轨距加宽值</w:t>
      </w:r>
    </w:p>
    <w:p>
      <w:pPr>
        <w:pStyle w:val="6"/>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3501"/>
        <w:gridCol w:w="4464"/>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3501" w:type="dxa"/>
            <w:tcBorders>
              <w:bottom w:val="single" w:color="231F20" w:sz="4" w:space="0"/>
              <w:right w:val="single" w:color="231F20" w:sz="4" w:space="0"/>
            </w:tcBorders>
          </w:tcPr>
          <w:p>
            <w:pPr>
              <w:pStyle w:val="11"/>
              <w:spacing w:before="50"/>
              <w:ind w:left="9"/>
              <w:jc w:val="center"/>
              <w:rPr>
                <w:rFonts w:hint="eastAsia" w:ascii="MS UI Gothic" w:eastAsia="MS UI Gothic"/>
                <w:sz w:val="15"/>
              </w:rPr>
            </w:pPr>
            <w:r>
              <w:rPr>
                <w:sz w:val="15"/>
              </w:rPr>
              <w:t xml:space="preserve">曲线半径 </w:t>
            </w:r>
            <w:r>
              <w:rPr>
                <w:w w:val="65"/>
                <w:sz w:val="15"/>
              </w:rPr>
              <w:t xml:space="preserve">Ｒ </w:t>
            </w:r>
            <w:r>
              <w:rPr>
                <w:rFonts w:hint="eastAsia" w:ascii="MS UI Gothic" w:eastAsia="MS UI Gothic"/>
                <w:w w:val="65"/>
                <w:sz w:val="15"/>
              </w:rPr>
              <w:t xml:space="preserve">/ </w:t>
            </w:r>
            <w:r>
              <w:rPr>
                <w:rFonts w:hint="eastAsia" w:ascii="MS UI Gothic" w:eastAsia="MS UI Gothic"/>
                <w:sz w:val="15"/>
              </w:rPr>
              <w:t>ｍ</w:t>
            </w:r>
          </w:p>
        </w:tc>
        <w:tc>
          <w:tcPr>
            <w:tcW w:w="4464" w:type="dxa"/>
            <w:tcBorders>
              <w:left w:val="single" w:color="231F20" w:sz="4" w:space="0"/>
              <w:bottom w:val="single" w:color="231F20" w:sz="4" w:space="0"/>
            </w:tcBorders>
          </w:tcPr>
          <w:p>
            <w:pPr>
              <w:pStyle w:val="11"/>
              <w:spacing w:before="50"/>
              <w:ind w:left="1589" w:right="1570"/>
              <w:jc w:val="center"/>
              <w:rPr>
                <w:rFonts w:hint="eastAsia" w:ascii="MS UI Gothic" w:eastAsia="MS UI Gothic"/>
                <w:sz w:val="15"/>
              </w:rPr>
            </w:pPr>
            <w:r>
              <w:rPr>
                <w:sz w:val="15"/>
              </w:rPr>
              <w:t>轨距加宽值</w:t>
            </w:r>
            <w:r>
              <w:rPr>
                <w:rFonts w:hint="eastAsia" w:ascii="MS UI Gothic" w:eastAsia="MS UI Gothic"/>
                <w:w w:val="75"/>
                <w:sz w:val="15"/>
              </w:rPr>
              <w:t xml:space="preserve">/ </w:t>
            </w:r>
            <w:r>
              <w:rPr>
                <w:rFonts w:hint="eastAsia" w:ascii="MS UI Gothic" w:eastAsia="MS UI Gothic"/>
                <w:sz w:val="15"/>
              </w:rPr>
              <w:t>ｍｍ</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3501" w:type="dxa"/>
            <w:tcBorders>
              <w:top w:val="single" w:color="231F20" w:sz="4" w:space="0"/>
              <w:right w:val="single" w:color="231F20" w:sz="4" w:space="0"/>
            </w:tcBorders>
          </w:tcPr>
          <w:p>
            <w:pPr>
              <w:pStyle w:val="11"/>
              <w:spacing w:before="55"/>
              <w:ind w:left="8"/>
              <w:jc w:val="center"/>
              <w:rPr>
                <w:rFonts w:hint="eastAsia" w:ascii="MS UI Gothic" w:hAnsi="MS UI Gothic" w:eastAsia="MS UI Gothic"/>
                <w:sz w:val="15"/>
              </w:rPr>
            </w:pPr>
            <w:r>
              <w:rPr>
                <w:spacing w:val="4"/>
                <w:w w:val="63"/>
                <w:sz w:val="15"/>
              </w:rPr>
              <w:t>Ｒ</w:t>
            </w:r>
            <w:r>
              <w:rPr>
                <w:rFonts w:hint="eastAsia" w:ascii="MS UI Gothic" w:hAnsi="MS UI Gothic" w:eastAsia="MS UI Gothic"/>
                <w:w w:val="205"/>
                <w:sz w:val="15"/>
              </w:rPr>
              <w:t>≥</w:t>
            </w:r>
            <w:r>
              <w:rPr>
                <w:rFonts w:hint="eastAsia" w:ascii="MS UI Gothic" w:hAnsi="MS UI Gothic" w:eastAsia="MS UI Gothic"/>
                <w:spacing w:val="-1"/>
                <w:w w:val="75"/>
                <w:sz w:val="15"/>
              </w:rPr>
              <w:t>３</w:t>
            </w:r>
            <w:r>
              <w:rPr>
                <w:rFonts w:hint="eastAsia" w:ascii="MS UI Gothic" w:hAnsi="MS UI Gothic" w:eastAsia="MS UI Gothic"/>
                <w:w w:val="75"/>
                <w:sz w:val="15"/>
              </w:rPr>
              <w:t>５０</w:t>
            </w:r>
          </w:p>
        </w:tc>
        <w:tc>
          <w:tcPr>
            <w:tcW w:w="4464" w:type="dxa"/>
            <w:tcBorders>
              <w:top w:val="single" w:color="231F20" w:sz="4" w:space="0"/>
              <w:left w:val="single" w:color="231F20" w:sz="4" w:space="0"/>
            </w:tcBorders>
          </w:tcPr>
          <w:p>
            <w:pPr>
              <w:pStyle w:val="11"/>
              <w:spacing w:before="55"/>
              <w:ind w:left="16"/>
              <w:jc w:val="center"/>
              <w:rPr>
                <w:rFonts w:hint="eastAsia" w:ascii="MS UI Gothic" w:eastAsia="MS UI Gothic"/>
                <w:sz w:val="15"/>
              </w:rPr>
            </w:pPr>
            <w:r>
              <w:rPr>
                <w:rFonts w:hint="eastAsia" w:ascii="MS UI Gothic" w:eastAsia="MS UI Gothic"/>
                <w:w w:val="75"/>
                <w:sz w:val="15"/>
              </w:rPr>
              <w:t>０</w:t>
            </w:r>
          </w:p>
        </w:tc>
      </w:tr>
    </w:tbl>
    <w:p>
      <w:pPr>
        <w:spacing w:after="0"/>
        <w:jc w:val="center"/>
        <w:rPr>
          <w:rFonts w:hint="eastAsia" w:ascii="MS UI Gothic" w:eastAsia="MS UI Gothic"/>
          <w:sz w:val="15"/>
        </w:rPr>
        <w:sectPr>
          <w:type w:val="continuous"/>
          <w:pgSz w:w="10500" w:h="14750"/>
          <w:pgMar w:top="1400" w:right="980" w:bottom="280" w:left="980" w:header="720" w:footer="720" w:gutter="0"/>
        </w:sectPr>
      </w:pPr>
    </w:p>
    <w:p>
      <w:pPr>
        <w:spacing w:before="192"/>
        <w:ind w:left="3705" w:right="2" w:firstLine="0"/>
        <w:jc w:val="center"/>
        <w:rPr>
          <w:sz w:val="17"/>
        </w:rPr>
      </w:pPr>
      <w:r>
        <w:rPr>
          <w:spacing w:val="3"/>
          <w:sz w:val="17"/>
        </w:rPr>
        <w:t>四</w:t>
      </w:r>
      <w:r>
        <w:rPr>
          <w:rFonts w:hint="eastAsia" w:ascii="Microsoft Yi Baiti" w:eastAsia="Microsoft Yi Baiti"/>
          <w:spacing w:val="9"/>
          <w:sz w:val="17"/>
        </w:rPr>
        <w:t xml:space="preserve">、 </w:t>
      </w:r>
      <w:r>
        <w:rPr>
          <w:spacing w:val="-20"/>
          <w:sz w:val="17"/>
        </w:rPr>
        <w:t>安 全 生 产 法</w:t>
      </w:r>
    </w:p>
    <w:p>
      <w:pPr>
        <w:pStyle w:val="6"/>
        <w:spacing w:before="8"/>
        <w:ind w:left="0" w:firstLine="0"/>
        <w:jc w:val="left"/>
        <w:rPr>
          <w:sz w:val="23"/>
        </w:rPr>
      </w:pPr>
    </w:p>
    <w:p>
      <w:pPr>
        <w:pStyle w:val="6"/>
        <w:ind w:left="3688" w:right="2" w:firstLine="0"/>
        <w:jc w:val="center"/>
        <w:rPr>
          <w:rFonts w:hint="eastAsia" w:ascii="Microsoft Yi Baiti" w:eastAsia="Microsoft Yi Baiti"/>
        </w:rPr>
      </w:pPr>
      <w:r>
        <w:rPr>
          <w:w w:val="90"/>
        </w:rPr>
        <w:t xml:space="preserve">表 </w:t>
      </w:r>
      <w:r>
        <w:rPr>
          <w:rFonts w:hint="eastAsia" w:ascii="MS UI Gothic" w:eastAsia="MS UI Gothic"/>
          <w:w w:val="90"/>
        </w:rPr>
        <w:t xml:space="preserve">２２ </w:t>
      </w:r>
      <w:r>
        <w:rPr>
          <w:rFonts w:hint="eastAsia" w:ascii="Microsoft Yi Baiti" w:eastAsia="Microsoft Yi Baiti"/>
          <w:w w:val="90"/>
        </w:rPr>
        <w:t xml:space="preserve">( </w:t>
      </w:r>
      <w:r>
        <w:rPr>
          <w:w w:val="90"/>
        </w:rPr>
        <w:t>续</w:t>
      </w:r>
      <w:r>
        <w:rPr>
          <w:rFonts w:hint="eastAsia" w:ascii="Microsoft Yi Baiti" w:eastAsia="Microsoft Yi Baiti"/>
          <w:w w:val="90"/>
        </w:rPr>
        <w:t>)</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３２９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
        <w:ind w:left="0" w:firstLine="0"/>
        <w:jc w:val="left"/>
        <w:rPr>
          <w:rFonts w:ascii="MS UI Gothic"/>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3501"/>
        <w:gridCol w:w="4464"/>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3501" w:type="dxa"/>
            <w:tcBorders>
              <w:bottom w:val="single" w:color="231F20" w:sz="4" w:space="0"/>
              <w:right w:val="single" w:color="231F20" w:sz="4" w:space="0"/>
            </w:tcBorders>
          </w:tcPr>
          <w:p>
            <w:pPr>
              <w:pStyle w:val="11"/>
              <w:spacing w:before="50"/>
              <w:ind w:left="9"/>
              <w:jc w:val="center"/>
              <w:rPr>
                <w:rFonts w:hint="eastAsia" w:ascii="MS UI Gothic" w:eastAsia="MS UI Gothic"/>
                <w:sz w:val="15"/>
              </w:rPr>
            </w:pPr>
            <w:r>
              <w:rPr>
                <w:sz w:val="15"/>
              </w:rPr>
              <w:t xml:space="preserve">曲线半径 </w:t>
            </w:r>
            <w:r>
              <w:rPr>
                <w:w w:val="65"/>
                <w:sz w:val="15"/>
              </w:rPr>
              <w:t xml:space="preserve">Ｒ </w:t>
            </w:r>
            <w:r>
              <w:rPr>
                <w:rFonts w:hint="eastAsia" w:ascii="MS UI Gothic" w:eastAsia="MS UI Gothic"/>
                <w:w w:val="65"/>
                <w:sz w:val="15"/>
              </w:rPr>
              <w:t xml:space="preserve">/ </w:t>
            </w:r>
            <w:r>
              <w:rPr>
                <w:rFonts w:hint="eastAsia" w:ascii="MS UI Gothic" w:eastAsia="MS UI Gothic"/>
                <w:sz w:val="15"/>
              </w:rPr>
              <w:t>ｍ</w:t>
            </w:r>
          </w:p>
        </w:tc>
        <w:tc>
          <w:tcPr>
            <w:tcW w:w="4464" w:type="dxa"/>
            <w:tcBorders>
              <w:left w:val="single" w:color="231F20" w:sz="4" w:space="0"/>
              <w:bottom w:val="single" w:color="231F20" w:sz="4" w:space="0"/>
            </w:tcBorders>
          </w:tcPr>
          <w:p>
            <w:pPr>
              <w:pStyle w:val="11"/>
              <w:spacing w:before="50"/>
              <w:ind w:left="1589" w:right="1570"/>
              <w:jc w:val="center"/>
              <w:rPr>
                <w:rFonts w:hint="eastAsia" w:ascii="MS UI Gothic" w:eastAsia="MS UI Gothic"/>
                <w:sz w:val="15"/>
              </w:rPr>
            </w:pPr>
            <w:r>
              <w:rPr>
                <w:sz w:val="15"/>
              </w:rPr>
              <w:t>轨距加宽值</w:t>
            </w:r>
            <w:r>
              <w:rPr>
                <w:rFonts w:hint="eastAsia" w:ascii="MS UI Gothic" w:eastAsia="MS UI Gothic"/>
                <w:w w:val="75"/>
                <w:sz w:val="15"/>
              </w:rPr>
              <w:t xml:space="preserve">/ </w:t>
            </w:r>
            <w:r>
              <w:rPr>
                <w:rFonts w:hint="eastAsia" w:ascii="MS UI Gothic" w:eastAsia="MS UI Gothic"/>
                <w:sz w:val="15"/>
              </w:rPr>
              <w:t>ｍｍ</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501" w:type="dxa"/>
            <w:tcBorders>
              <w:top w:val="single" w:color="231F20" w:sz="4" w:space="0"/>
              <w:bottom w:val="single" w:color="231F20" w:sz="4" w:space="0"/>
              <w:right w:val="single" w:color="231F20" w:sz="4" w:space="0"/>
            </w:tcBorders>
          </w:tcPr>
          <w:p>
            <w:pPr>
              <w:pStyle w:val="11"/>
              <w:spacing w:before="55"/>
              <w:ind w:left="6"/>
              <w:jc w:val="center"/>
              <w:rPr>
                <w:rFonts w:hint="eastAsia" w:ascii="MS UI Gothic" w:hAnsi="MS UI Gothic" w:eastAsia="MS UI Gothic"/>
                <w:sz w:val="15"/>
              </w:rPr>
            </w:pPr>
            <w:r>
              <w:rPr>
                <w:rFonts w:hint="eastAsia" w:ascii="MS UI Gothic" w:hAnsi="MS UI Gothic" w:eastAsia="MS UI Gothic"/>
                <w:spacing w:val="-1"/>
                <w:w w:val="75"/>
                <w:sz w:val="15"/>
              </w:rPr>
              <w:t>３</w:t>
            </w:r>
            <w:r>
              <w:rPr>
                <w:rFonts w:hint="eastAsia" w:ascii="MS UI Gothic" w:hAnsi="MS UI Gothic" w:eastAsia="MS UI Gothic"/>
                <w:w w:val="75"/>
                <w:sz w:val="15"/>
              </w:rPr>
              <w:t>５</w:t>
            </w:r>
            <w:r>
              <w:rPr>
                <w:rFonts w:hint="eastAsia" w:ascii="MS UI Gothic" w:hAnsi="MS UI Gothic" w:eastAsia="MS UI Gothic"/>
                <w:spacing w:val="9"/>
                <w:w w:val="75"/>
                <w:sz w:val="15"/>
              </w:rPr>
              <w:t>０</w:t>
            </w:r>
            <w:r>
              <w:rPr>
                <w:rFonts w:hint="eastAsia" w:ascii="MS UI Gothic" w:hAnsi="MS UI Gothic" w:eastAsia="MS UI Gothic"/>
                <w:spacing w:val="6"/>
                <w:w w:val="172"/>
                <w:sz w:val="15"/>
              </w:rPr>
              <w:t>&gt;</w:t>
            </w:r>
            <w:r>
              <w:rPr>
                <w:spacing w:val="4"/>
                <w:w w:val="63"/>
                <w:sz w:val="15"/>
              </w:rPr>
              <w:t>Ｒ</w:t>
            </w:r>
            <w:r>
              <w:rPr>
                <w:rFonts w:hint="eastAsia" w:ascii="MS UI Gothic" w:hAnsi="MS UI Gothic" w:eastAsia="MS UI Gothic"/>
                <w:w w:val="205"/>
                <w:sz w:val="15"/>
              </w:rPr>
              <w:t>≥</w:t>
            </w:r>
            <w:r>
              <w:rPr>
                <w:rFonts w:hint="eastAsia" w:ascii="MS UI Gothic" w:hAnsi="MS UI Gothic" w:eastAsia="MS UI Gothic"/>
                <w:w w:val="75"/>
                <w:sz w:val="15"/>
              </w:rPr>
              <w:t>３</w:t>
            </w:r>
            <w:r>
              <w:rPr>
                <w:rFonts w:hint="eastAsia" w:ascii="MS UI Gothic" w:hAnsi="MS UI Gothic" w:eastAsia="MS UI Gothic"/>
                <w:spacing w:val="-1"/>
                <w:w w:val="75"/>
                <w:sz w:val="15"/>
              </w:rPr>
              <w:t>０</w:t>
            </w:r>
            <w:r>
              <w:rPr>
                <w:rFonts w:hint="eastAsia" w:ascii="MS UI Gothic" w:hAnsi="MS UI Gothic" w:eastAsia="MS UI Gothic"/>
                <w:w w:val="75"/>
                <w:sz w:val="15"/>
              </w:rPr>
              <w:t>０</w:t>
            </w:r>
          </w:p>
        </w:tc>
        <w:tc>
          <w:tcPr>
            <w:tcW w:w="4464" w:type="dxa"/>
            <w:tcBorders>
              <w:top w:val="single" w:color="231F20" w:sz="4" w:space="0"/>
              <w:left w:val="single" w:color="231F20" w:sz="4" w:space="0"/>
              <w:bottom w:val="single" w:color="231F20" w:sz="4" w:space="0"/>
            </w:tcBorders>
          </w:tcPr>
          <w:p>
            <w:pPr>
              <w:pStyle w:val="11"/>
              <w:spacing w:before="55"/>
              <w:ind w:left="16"/>
              <w:jc w:val="center"/>
              <w:rPr>
                <w:rFonts w:hint="eastAsia" w:ascii="MS UI Gothic" w:eastAsia="MS UI Gothic"/>
                <w:sz w:val="15"/>
              </w:rPr>
            </w:pPr>
            <w:r>
              <w:rPr>
                <w:rFonts w:hint="eastAsia" w:ascii="MS UI Gothic" w:eastAsia="MS UI Gothic"/>
                <w:w w:val="75"/>
                <w:sz w:val="15"/>
              </w:rPr>
              <w:t>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3501" w:type="dxa"/>
            <w:tcBorders>
              <w:top w:val="single" w:color="231F20" w:sz="4" w:space="0"/>
              <w:bottom w:val="single" w:color="231F20" w:sz="4" w:space="0"/>
              <w:right w:val="single" w:color="231F20" w:sz="4" w:space="0"/>
            </w:tcBorders>
          </w:tcPr>
          <w:p>
            <w:pPr>
              <w:pStyle w:val="11"/>
              <w:spacing w:before="55"/>
              <w:ind w:left="6"/>
              <w:jc w:val="center"/>
              <w:rPr>
                <w:rFonts w:hint="eastAsia" w:ascii="MS UI Gothic" w:eastAsia="MS UI Gothic"/>
                <w:sz w:val="15"/>
              </w:rPr>
            </w:pPr>
            <w:r>
              <w:rPr>
                <w:rFonts w:hint="eastAsia" w:ascii="MS UI Gothic" w:eastAsia="MS UI Gothic"/>
                <w:spacing w:val="-1"/>
                <w:w w:val="75"/>
                <w:sz w:val="15"/>
              </w:rPr>
              <w:t>３</w:t>
            </w:r>
            <w:r>
              <w:rPr>
                <w:rFonts w:hint="eastAsia" w:ascii="MS UI Gothic" w:eastAsia="MS UI Gothic"/>
                <w:w w:val="75"/>
                <w:sz w:val="15"/>
              </w:rPr>
              <w:t>０</w:t>
            </w:r>
            <w:r>
              <w:rPr>
                <w:rFonts w:hint="eastAsia" w:ascii="MS UI Gothic" w:eastAsia="MS UI Gothic"/>
                <w:spacing w:val="9"/>
                <w:w w:val="75"/>
                <w:sz w:val="15"/>
              </w:rPr>
              <w:t>０</w:t>
            </w:r>
            <w:r>
              <w:rPr>
                <w:rFonts w:hint="eastAsia" w:ascii="MS UI Gothic" w:eastAsia="MS UI Gothic"/>
                <w:spacing w:val="6"/>
                <w:w w:val="172"/>
                <w:sz w:val="15"/>
              </w:rPr>
              <w:t>&gt;</w:t>
            </w:r>
            <w:r>
              <w:rPr>
                <w:spacing w:val="9"/>
                <w:w w:val="63"/>
                <w:sz w:val="15"/>
              </w:rPr>
              <w:t>Ｒ</w:t>
            </w:r>
            <w:r>
              <w:rPr>
                <w:rFonts w:hint="eastAsia" w:ascii="MS UI Gothic" w:eastAsia="MS UI Gothic"/>
                <w:spacing w:val="12"/>
                <w:w w:val="172"/>
                <w:sz w:val="15"/>
              </w:rPr>
              <w:t>&gt;</w:t>
            </w:r>
            <w:r>
              <w:rPr>
                <w:rFonts w:hint="eastAsia" w:ascii="MS UI Gothic" w:eastAsia="MS UI Gothic"/>
                <w:w w:val="75"/>
                <w:sz w:val="15"/>
              </w:rPr>
              <w:t>２</w:t>
            </w:r>
            <w:r>
              <w:rPr>
                <w:rFonts w:hint="eastAsia" w:ascii="MS UI Gothic" w:eastAsia="MS UI Gothic"/>
                <w:spacing w:val="-1"/>
                <w:w w:val="75"/>
                <w:sz w:val="15"/>
              </w:rPr>
              <w:t>０</w:t>
            </w:r>
            <w:r>
              <w:rPr>
                <w:rFonts w:hint="eastAsia" w:ascii="MS UI Gothic" w:eastAsia="MS UI Gothic"/>
                <w:w w:val="75"/>
                <w:sz w:val="15"/>
              </w:rPr>
              <w:t>０</w:t>
            </w:r>
          </w:p>
        </w:tc>
        <w:tc>
          <w:tcPr>
            <w:tcW w:w="4464" w:type="dxa"/>
            <w:tcBorders>
              <w:top w:val="single" w:color="231F20" w:sz="4" w:space="0"/>
              <w:left w:val="single" w:color="231F20" w:sz="4" w:space="0"/>
              <w:bottom w:val="single" w:color="231F20" w:sz="4" w:space="0"/>
            </w:tcBorders>
          </w:tcPr>
          <w:p>
            <w:pPr>
              <w:pStyle w:val="11"/>
              <w:spacing w:before="55"/>
              <w:ind w:left="1589" w:right="1573"/>
              <w:jc w:val="center"/>
              <w:rPr>
                <w:rFonts w:hint="eastAsia" w:ascii="MS UI Gothic" w:eastAsia="MS UI Gothic"/>
                <w:sz w:val="15"/>
              </w:rPr>
            </w:pPr>
            <w:r>
              <w:rPr>
                <w:rFonts w:hint="eastAsia" w:ascii="MS UI Gothic" w:eastAsia="MS UI Gothic"/>
                <w:w w:val="85"/>
                <w:sz w:val="15"/>
              </w:rPr>
              <w:t>１５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3501" w:type="dxa"/>
            <w:tcBorders>
              <w:top w:val="single" w:color="231F20" w:sz="4" w:space="0"/>
              <w:right w:val="single" w:color="231F20" w:sz="4" w:space="0"/>
            </w:tcBorders>
          </w:tcPr>
          <w:p>
            <w:pPr>
              <w:pStyle w:val="11"/>
              <w:spacing w:before="55"/>
              <w:ind w:left="8"/>
              <w:jc w:val="center"/>
              <w:rPr>
                <w:rFonts w:hint="eastAsia" w:ascii="MS UI Gothic" w:hAnsi="MS UI Gothic" w:eastAsia="MS UI Gothic"/>
                <w:sz w:val="15"/>
              </w:rPr>
            </w:pPr>
            <w:r>
              <w:rPr>
                <w:spacing w:val="4"/>
                <w:w w:val="63"/>
                <w:sz w:val="15"/>
              </w:rPr>
              <w:t>Ｒ</w:t>
            </w:r>
            <w:r>
              <w:rPr>
                <w:rFonts w:hint="eastAsia" w:ascii="MS UI Gothic" w:hAnsi="MS UI Gothic" w:eastAsia="MS UI Gothic"/>
                <w:w w:val="205"/>
                <w:sz w:val="15"/>
              </w:rPr>
              <w:t>≤</w:t>
            </w:r>
            <w:r>
              <w:rPr>
                <w:rFonts w:hint="eastAsia" w:ascii="MS UI Gothic" w:hAnsi="MS UI Gothic" w:eastAsia="MS UI Gothic"/>
                <w:spacing w:val="-1"/>
                <w:w w:val="75"/>
                <w:sz w:val="15"/>
              </w:rPr>
              <w:t>２</w:t>
            </w:r>
            <w:r>
              <w:rPr>
                <w:rFonts w:hint="eastAsia" w:ascii="MS UI Gothic" w:hAnsi="MS UI Gothic" w:eastAsia="MS UI Gothic"/>
                <w:w w:val="75"/>
                <w:sz w:val="15"/>
              </w:rPr>
              <w:t>００</w:t>
            </w:r>
          </w:p>
        </w:tc>
        <w:tc>
          <w:tcPr>
            <w:tcW w:w="4464" w:type="dxa"/>
            <w:tcBorders>
              <w:top w:val="single" w:color="231F20" w:sz="4" w:space="0"/>
              <w:left w:val="single" w:color="231F20" w:sz="4" w:space="0"/>
            </w:tcBorders>
          </w:tcPr>
          <w:p>
            <w:pPr>
              <w:pStyle w:val="11"/>
              <w:spacing w:before="55"/>
              <w:ind w:left="1589" w:right="1573"/>
              <w:jc w:val="center"/>
              <w:rPr>
                <w:rFonts w:hint="eastAsia" w:ascii="MS UI Gothic" w:eastAsia="MS UI Gothic"/>
                <w:sz w:val="15"/>
              </w:rPr>
            </w:pPr>
            <w:r>
              <w:rPr>
                <w:rFonts w:hint="eastAsia" w:ascii="MS UI Gothic" w:eastAsia="MS UI Gothic"/>
                <w:w w:val="85"/>
                <w:sz w:val="15"/>
              </w:rPr>
              <w:t>２０</w:t>
            </w:r>
          </w:p>
        </w:tc>
      </w:tr>
    </w:tbl>
    <w:p>
      <w:pPr>
        <w:pStyle w:val="6"/>
        <w:spacing w:before="2"/>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175" w:line="295" w:lineRule="auto"/>
        <w:ind w:left="440" w:right="1"/>
        <w:rPr>
          <w:rFonts w:hint="eastAsia" w:ascii="MS UI Gothic" w:eastAsia="MS UI Gothic"/>
        </w:rPr>
      </w:pPr>
      <w:r>
        <w:pict>
          <v:shape id="_x0000_s2008" o:spid="_x0000_s2008" style="position:absolute;left:0pt;margin-left:0pt;margin-top:748.3pt;height:1.75pt;width:398.25pt;mso-position-horizontal-relative:page;mso-position-vertical-relative:page;z-index:252056576;mso-width-relative:page;mso-height-relative:page;" filled="f" stroked="t" coordorigin="0,14966" coordsize="7965,35" path="m1419,1480l9384,1480m1419,1445l9384,1445e">
            <v:path arrowok="t"/>
            <v:fill on="f" focussize="0,0"/>
            <v:stroke weight="0.388031496062992pt" color="#231F20"/>
            <v:imagedata o:title=""/>
            <o:lock v:ext="edit"/>
          </v:shape>
        </w:pict>
      </w:r>
      <w:r>
        <w:t xml:space="preserve">第五百六十二条 直线地段线路 </w:t>
      </w:r>
      <w:r>
        <w:rPr>
          <w:rFonts w:hint="eastAsia" w:ascii="MS UI Gothic" w:eastAsia="MS UI Gothic"/>
          <w:w w:val="80"/>
        </w:rPr>
        <w:t xml:space="preserve">２ </w:t>
      </w:r>
      <w:r>
        <w:t>股钢轨顶面应当保持同一水平</w:t>
      </w:r>
      <w:r>
        <w:rPr>
          <w:rFonts w:hint="eastAsia" w:ascii="MS UI Gothic" w:eastAsia="MS UI Gothic"/>
          <w:w w:val="80"/>
        </w:rPr>
        <w:t xml:space="preserve">ꎮ </w:t>
      </w:r>
      <w:r>
        <w:t>道岔应当铺设在直线地段</w:t>
      </w:r>
      <w:r>
        <w:rPr>
          <w:rFonts w:hint="eastAsia" w:ascii="MS UI Gothic" w:eastAsia="MS UI Gothic"/>
          <w:w w:val="80"/>
        </w:rPr>
        <w:t xml:space="preserve">ꎬ </w:t>
      </w:r>
      <w:r>
        <w:t>不得设在竖曲线地段</w:t>
      </w:r>
      <w:r>
        <w:rPr>
          <w:rFonts w:hint="eastAsia" w:ascii="MS UI Gothic" w:eastAsia="MS UI Gothic"/>
          <w:w w:val="80"/>
        </w:rPr>
        <w:t xml:space="preserve">ꎮ </w:t>
      </w:r>
      <w:r>
        <w:t>道岔应当保持完好</w:t>
      </w:r>
      <w:r>
        <w:rPr>
          <w:rFonts w:hint="eastAsia" w:ascii="MS UI Gothic" w:eastAsia="MS UI Gothic"/>
          <w:w w:val="80"/>
        </w:rPr>
        <w:t>ꎮ</w:t>
      </w:r>
    </w:p>
    <w:p>
      <w:pPr>
        <w:pStyle w:val="6"/>
        <w:spacing w:line="295" w:lineRule="auto"/>
        <w:ind w:left="440" w:right="1"/>
        <w:jc w:val="left"/>
        <w:rPr>
          <w:rFonts w:hint="eastAsia" w:ascii="MS UI Gothic" w:eastAsia="MS UI Gothic"/>
        </w:rPr>
      </w:pPr>
      <w:r>
        <w:t>曲线地段外轨的超高度的计算公式</w:t>
      </w:r>
      <w:r>
        <w:rPr>
          <w:w w:val="115"/>
        </w:rPr>
        <w:t>如下</w:t>
      </w:r>
      <w:r>
        <w:rPr>
          <w:rFonts w:hint="eastAsia" w:ascii="MS UI Gothic" w:eastAsia="MS UI Gothic"/>
          <w:w w:val="235"/>
        </w:rPr>
        <w:t>:</w:t>
      </w:r>
    </w:p>
    <w:p>
      <w:pPr>
        <w:pStyle w:val="6"/>
        <w:spacing w:line="255" w:lineRule="exact"/>
        <w:ind w:left="1764" w:firstLine="0"/>
        <w:jc w:val="left"/>
      </w:pPr>
      <w:r>
        <w:rPr>
          <w:w w:val="70"/>
        </w:rPr>
        <w:t xml:space="preserve">ｈ </w:t>
      </w:r>
      <w:r>
        <w:rPr>
          <w:w w:val="70"/>
          <w:position w:val="1"/>
        </w:rPr>
        <w:t xml:space="preserve">＝ </w:t>
      </w:r>
      <w:r>
        <w:rPr>
          <w:rFonts w:hint="eastAsia" w:ascii="MS UI Gothic" w:eastAsia="MS UI Gothic"/>
          <w:w w:val="70"/>
        </w:rPr>
        <w:t xml:space="preserve">７ </w:t>
      </w:r>
      <w:r>
        <w:rPr>
          <w:rFonts w:hint="eastAsia" w:ascii="MS UI Gothic" w:eastAsia="MS UI Gothic"/>
          <w:spacing w:val="3"/>
          <w:w w:val="70"/>
        </w:rPr>
        <w:t>６</w:t>
      </w:r>
      <w:r>
        <w:rPr>
          <w:spacing w:val="3"/>
          <w:w w:val="70"/>
        </w:rPr>
        <w:t>ｖ</w:t>
      </w:r>
      <w:r>
        <w:rPr>
          <w:rFonts w:hint="eastAsia" w:ascii="MS UI Gothic" w:eastAsia="MS UI Gothic"/>
          <w:spacing w:val="3"/>
          <w:w w:val="70"/>
          <w:position w:val="9"/>
          <w:sz w:val="12"/>
        </w:rPr>
        <w:t xml:space="preserve">２ </w:t>
      </w:r>
      <w:r>
        <w:rPr>
          <w:w w:val="70"/>
        </w:rPr>
        <w:t>/</w:t>
      </w:r>
      <w:r>
        <w:rPr>
          <w:spacing w:val="-54"/>
          <w:w w:val="70"/>
        </w:rPr>
        <w:t xml:space="preserve"> </w:t>
      </w:r>
      <w:r>
        <w:rPr>
          <w:w w:val="70"/>
        </w:rPr>
        <w:t>Ｒ</w:t>
      </w:r>
    </w:p>
    <w:p>
      <w:pPr>
        <w:pStyle w:val="6"/>
        <w:spacing w:before="55"/>
        <w:ind w:left="860" w:firstLine="0"/>
        <w:jc w:val="left"/>
        <w:rPr>
          <w:rFonts w:hint="eastAsia" w:ascii="MS UI Gothic" w:eastAsia="MS UI Gothic"/>
        </w:rPr>
      </w:pPr>
      <w:r>
        <w:rPr>
          <w:w w:val="115"/>
        </w:rPr>
        <w:t>式中</w:t>
      </w:r>
      <w:r>
        <w:rPr>
          <w:rFonts w:hint="eastAsia" w:ascii="MS UI Gothic" w:eastAsia="MS UI Gothic"/>
          <w:w w:val="235"/>
        </w:rPr>
        <w:t>:</w:t>
      </w:r>
    </w:p>
    <w:p>
      <w:pPr>
        <w:pStyle w:val="6"/>
        <w:spacing w:before="58"/>
        <w:ind w:left="860" w:firstLine="0"/>
        <w:jc w:val="left"/>
        <w:rPr>
          <w:rFonts w:hint="eastAsia" w:ascii="MS UI Gothic" w:hAnsi="MS UI Gothic" w:eastAsia="MS UI Gothic"/>
        </w:rPr>
      </w:pPr>
      <w:r>
        <w:rPr>
          <w:spacing w:val="5"/>
          <w:w w:val="51"/>
        </w:rPr>
        <w:t>ｈ</w:t>
      </w:r>
      <w:r>
        <w:rPr>
          <w:rFonts w:hint="eastAsia" w:ascii="MS UI Gothic" w:hAnsi="MS UI Gothic" w:eastAsia="MS UI Gothic"/>
          <w:spacing w:val="-67"/>
          <w:w w:val="153"/>
        </w:rPr>
        <w:t>———</w:t>
      </w:r>
      <w:r>
        <w:rPr>
          <w:spacing w:val="3"/>
          <w:w w:val="102"/>
        </w:rPr>
        <w:t>外轨的超高度</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spacing w:val="-1"/>
          <w:w w:val="79"/>
        </w:rPr>
        <w:t>ｍ</w:t>
      </w:r>
      <w:r>
        <w:rPr>
          <w:rFonts w:hint="eastAsia" w:ascii="MS UI Gothic" w:hAnsi="MS UI Gothic" w:eastAsia="MS UI Gothic"/>
          <w:spacing w:val="4"/>
          <w:w w:val="79"/>
        </w:rPr>
        <w:t>ｍ</w:t>
      </w:r>
      <w:r>
        <w:rPr>
          <w:rFonts w:hint="eastAsia" w:ascii="MS UI Gothic" w:hAnsi="MS UI Gothic" w:eastAsia="MS UI Gothic"/>
          <w:w w:val="51"/>
        </w:rPr>
        <w:t>ꎻ</w:t>
      </w:r>
    </w:p>
    <w:p>
      <w:pPr>
        <w:pStyle w:val="6"/>
        <w:spacing w:before="58"/>
        <w:ind w:left="885" w:firstLine="0"/>
        <w:jc w:val="left"/>
        <w:rPr>
          <w:rFonts w:hint="eastAsia" w:ascii="MS UI Gothic" w:hAnsi="MS UI Gothic" w:eastAsia="MS UI Gothic"/>
        </w:rPr>
      </w:pPr>
      <w:r>
        <w:rPr>
          <w:spacing w:val="3"/>
          <w:w w:val="39"/>
        </w:rPr>
        <w:t>ｖ</w:t>
      </w:r>
      <w:r>
        <w:rPr>
          <w:rFonts w:hint="eastAsia" w:ascii="MS UI Gothic" w:hAnsi="MS UI Gothic" w:eastAsia="MS UI Gothic"/>
          <w:spacing w:val="-67"/>
          <w:w w:val="153"/>
        </w:rPr>
        <w:t>———</w:t>
      </w:r>
      <w:r>
        <w:rPr>
          <w:spacing w:val="3"/>
          <w:w w:val="102"/>
        </w:rPr>
        <w:t>实际最高行车速度</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w w:val="86"/>
        </w:rPr>
        <w:t>ｋ</w:t>
      </w:r>
      <w:r>
        <w:rPr>
          <w:rFonts w:hint="eastAsia" w:ascii="MS UI Gothic" w:hAnsi="MS UI Gothic" w:eastAsia="MS UI Gothic"/>
          <w:w w:val="79"/>
        </w:rPr>
        <w:t>ｍ</w:t>
      </w:r>
      <w:r>
        <w:rPr>
          <w:rFonts w:hint="eastAsia" w:ascii="MS UI Gothic" w:hAnsi="MS UI Gothic" w:eastAsia="MS UI Gothic"/>
          <w:spacing w:val="-31"/>
        </w:rPr>
        <w:t xml:space="preserve"> </w:t>
      </w:r>
      <w:r>
        <w:rPr>
          <w:rFonts w:hint="eastAsia" w:ascii="MS UI Gothic" w:hAnsi="MS UI Gothic" w:eastAsia="MS UI Gothic"/>
          <w:w w:val="34"/>
        </w:rPr>
        <w:t>/</w:t>
      </w:r>
      <w:r>
        <w:rPr>
          <w:rFonts w:hint="eastAsia" w:ascii="MS UI Gothic" w:hAnsi="MS UI Gothic" w:eastAsia="MS UI Gothic"/>
          <w:spacing w:val="-16"/>
        </w:rPr>
        <w:t xml:space="preserve"> </w:t>
      </w:r>
      <w:r>
        <w:rPr>
          <w:rFonts w:hint="eastAsia" w:ascii="MS UI Gothic" w:hAnsi="MS UI Gothic" w:eastAsia="MS UI Gothic"/>
          <w:spacing w:val="5"/>
          <w:w w:val="82"/>
        </w:rPr>
        <w:t>ｈ</w:t>
      </w:r>
      <w:r>
        <w:rPr>
          <w:rFonts w:hint="eastAsia" w:ascii="MS UI Gothic" w:hAnsi="MS UI Gothic" w:eastAsia="MS UI Gothic"/>
          <w:w w:val="51"/>
        </w:rPr>
        <w:t>ꎻ</w:t>
      </w:r>
    </w:p>
    <w:p>
      <w:pPr>
        <w:pStyle w:val="6"/>
        <w:spacing w:before="58"/>
        <w:ind w:left="836" w:firstLine="0"/>
        <w:jc w:val="left"/>
        <w:rPr>
          <w:rFonts w:hint="eastAsia" w:ascii="MS UI Gothic" w:hAnsi="MS UI Gothic" w:eastAsia="MS UI Gothic"/>
        </w:rPr>
      </w:pPr>
      <w:r>
        <w:rPr>
          <w:spacing w:val="6"/>
          <w:w w:val="62"/>
        </w:rPr>
        <w:t>Ｒ</w:t>
      </w:r>
      <w:r>
        <w:rPr>
          <w:rFonts w:hint="eastAsia" w:ascii="MS UI Gothic" w:hAnsi="MS UI Gothic" w:eastAsia="MS UI Gothic"/>
          <w:spacing w:val="-67"/>
          <w:w w:val="153"/>
        </w:rPr>
        <w:t>———</w:t>
      </w:r>
      <w:r>
        <w:rPr>
          <w:spacing w:val="3"/>
          <w:w w:val="102"/>
        </w:rPr>
        <w:t>曲线半径</w:t>
      </w:r>
      <w:r>
        <w:rPr>
          <w:rFonts w:hint="eastAsia" w:ascii="MS UI Gothic" w:hAnsi="MS UI Gothic" w:eastAsia="MS UI Gothic"/>
          <w:w w:val="51"/>
        </w:rPr>
        <w:t>ꎬ</w:t>
      </w:r>
      <w:r>
        <w:rPr>
          <w:rFonts w:hint="eastAsia" w:ascii="MS UI Gothic" w:hAnsi="MS UI Gothic" w:eastAsia="MS UI Gothic"/>
          <w:spacing w:val="-8"/>
        </w:rPr>
        <w:t xml:space="preserve">  </w:t>
      </w:r>
      <w:r>
        <w:rPr>
          <w:rFonts w:hint="eastAsia" w:ascii="MS UI Gothic" w:hAnsi="MS UI Gothic" w:eastAsia="MS UI Gothic"/>
          <w:spacing w:val="4"/>
          <w:w w:val="79"/>
        </w:rPr>
        <w:t>ｍ</w:t>
      </w:r>
      <w:r>
        <w:rPr>
          <w:rFonts w:hint="eastAsia" w:ascii="MS UI Gothic" w:hAnsi="MS UI Gothic" w:eastAsia="MS UI Gothic"/>
          <w:w w:val="51"/>
        </w:rPr>
        <w:t>ꎮ</w:t>
      </w:r>
    </w:p>
    <w:p>
      <w:pPr>
        <w:pStyle w:val="6"/>
        <w:spacing w:before="58"/>
        <w:ind w:left="860" w:firstLine="0"/>
        <w:jc w:val="left"/>
      </w:pPr>
      <w:r>
        <w:t>双线地段外轨最大超高不得超过</w:t>
      </w:r>
    </w:p>
    <w:p>
      <w:pPr>
        <w:pStyle w:val="6"/>
        <w:spacing w:before="59"/>
        <w:ind w:left="435" w:firstLine="0"/>
        <w:rPr>
          <w:rFonts w:hint="eastAsia" w:ascii="MS UI Gothic" w:eastAsia="MS UI Gothic"/>
        </w:rPr>
      </w:pPr>
      <w:r>
        <w:rPr>
          <w:rFonts w:hint="eastAsia" w:ascii="MS UI Gothic" w:eastAsia="MS UI Gothic"/>
          <w:w w:val="95"/>
        </w:rPr>
        <w:t>１５０ ｍｍ</w:t>
      </w:r>
      <w:r>
        <w:rPr>
          <w:rFonts w:hint="eastAsia" w:ascii="MS UI Gothic" w:eastAsia="MS UI Gothic"/>
          <w:w w:val="90"/>
        </w:rPr>
        <w:t xml:space="preserve">ꎬ </w:t>
      </w:r>
      <w:r>
        <w:rPr>
          <w:w w:val="95"/>
        </w:rPr>
        <w:t xml:space="preserve">单线不得超过 </w:t>
      </w:r>
      <w:r>
        <w:rPr>
          <w:rFonts w:hint="eastAsia" w:ascii="MS UI Gothic" w:eastAsia="MS UI Gothic"/>
          <w:w w:val="95"/>
        </w:rPr>
        <w:t>１２５ ｍｍ</w:t>
      </w:r>
      <w:r>
        <w:rPr>
          <w:rFonts w:hint="eastAsia" w:ascii="MS UI Gothic" w:eastAsia="MS UI Gothic"/>
          <w:w w:val="90"/>
        </w:rPr>
        <w:t>ꎮ</w:t>
      </w:r>
    </w:p>
    <w:p>
      <w:pPr>
        <w:pStyle w:val="6"/>
        <w:tabs>
          <w:tab w:val="left" w:pos="2641"/>
        </w:tabs>
        <w:spacing w:before="58" w:line="295" w:lineRule="auto"/>
        <w:ind w:left="440" w:right="1"/>
        <w:jc w:val="left"/>
        <w:rPr>
          <w:rFonts w:hint="eastAsia" w:ascii="MS UI Gothic" w:eastAsia="MS UI Gothic"/>
        </w:rPr>
      </w:pPr>
      <w:r>
        <w:rPr>
          <w:spacing w:val="3"/>
          <w:w w:val="105"/>
        </w:rPr>
        <w:t>第五</w:t>
      </w:r>
      <w:r>
        <w:rPr>
          <w:spacing w:val="15"/>
          <w:w w:val="105"/>
        </w:rPr>
        <w:t>百</w:t>
      </w:r>
      <w:r>
        <w:rPr>
          <w:spacing w:val="19"/>
          <w:w w:val="105"/>
        </w:rPr>
        <w:t>六</w:t>
      </w:r>
      <w:r>
        <w:rPr>
          <w:spacing w:val="21"/>
          <w:w w:val="105"/>
        </w:rPr>
        <w:t>十三</w:t>
      </w:r>
      <w:r>
        <w:rPr>
          <w:w w:val="105"/>
        </w:rPr>
        <w:t>条</w:t>
      </w:r>
      <w:r>
        <w:rPr>
          <w:w w:val="105"/>
        </w:rPr>
        <w:tab/>
      </w:r>
      <w:r>
        <w:rPr>
          <w:spacing w:val="21"/>
        </w:rPr>
        <w:t>铁路与公路交</w:t>
      </w:r>
      <w:r>
        <w:rPr>
          <w:spacing w:val="-17"/>
        </w:rPr>
        <w:t>叉</w:t>
      </w:r>
      <w:r>
        <w:rPr>
          <w:spacing w:val="3"/>
          <w:w w:val="110"/>
        </w:rPr>
        <w:t>时</w:t>
      </w:r>
      <w:r>
        <w:rPr>
          <w:rFonts w:hint="eastAsia" w:ascii="MS UI Gothic" w:eastAsia="MS UI Gothic"/>
          <w:w w:val="80"/>
        </w:rPr>
        <w:t>ꎬ</w:t>
      </w:r>
      <w:r>
        <w:rPr>
          <w:rFonts w:hint="eastAsia" w:ascii="MS UI Gothic" w:eastAsia="MS UI Gothic"/>
          <w:spacing w:val="45"/>
          <w:w w:val="80"/>
        </w:rPr>
        <w:t xml:space="preserve"> </w:t>
      </w:r>
      <w:r>
        <w:rPr>
          <w:spacing w:val="3"/>
          <w:w w:val="110"/>
        </w:rPr>
        <w:t>应当符合下列要求</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根据通过的人流和车流量按规</w:t>
      </w:r>
      <w:r>
        <w:rPr>
          <w:w w:val="110"/>
        </w:rPr>
        <w:t>定设置平面或者立体交叉</w:t>
      </w:r>
      <w:r>
        <w:rPr>
          <w:rFonts w:hint="eastAsia" w:ascii="MS UI Gothic" w:eastAsia="MS UI Gothic"/>
          <w:w w:val="80"/>
        </w:rPr>
        <w:t>ꎮ</w:t>
      </w:r>
    </w:p>
    <w:p>
      <w:pPr>
        <w:pStyle w:val="6"/>
        <w:spacing w:line="295" w:lineRule="auto"/>
        <w:ind w:left="440"/>
        <w:rPr>
          <w:rFonts w:hint="eastAsia" w:ascii="MS UI Gothic" w:hAnsi="MS UI Gothic" w:eastAsia="MS UI Gothic"/>
        </w:rPr>
      </w:pPr>
      <w:r>
        <w:rPr>
          <w:rFonts w:hint="eastAsia" w:ascii="MS UI Gothic" w:hAnsi="MS UI Gothic" w:eastAsia="MS UI Gothic"/>
          <w:w w:val="140"/>
        </w:rPr>
        <w:t xml:space="preserve">( </w:t>
      </w:r>
      <w:r>
        <w:t>二</w:t>
      </w:r>
      <w:r>
        <w:rPr>
          <w:rFonts w:hint="eastAsia" w:ascii="MS UI Gothic" w:hAnsi="MS UI Gothic" w:eastAsia="MS UI Gothic"/>
          <w:w w:val="140"/>
        </w:rPr>
        <w:t xml:space="preserve">) </w:t>
      </w:r>
      <w:r>
        <w:t>平交道口有良好的瞭望条件</w:t>
      </w:r>
      <w:r>
        <w:rPr>
          <w:rFonts w:hint="eastAsia" w:ascii="MS UI Gothic" w:hAnsi="MS UI Gothic" w:eastAsia="MS UI Gothic"/>
          <w:w w:val="85"/>
        </w:rPr>
        <w:t>ꎬ</w:t>
      </w:r>
      <w:r>
        <w:t>并按规定设置道口警标和司机鸣笛标</w:t>
      </w:r>
      <w:r>
        <w:rPr>
          <w:rFonts w:hint="eastAsia" w:ascii="MS UI Gothic" w:hAnsi="MS UI Gothic" w:eastAsia="MS UI Gothic"/>
          <w:w w:val="85"/>
        </w:rPr>
        <w:t xml:space="preserve">、 </w:t>
      </w:r>
      <w:r>
        <w:t>护栏和限界标志</w:t>
      </w:r>
      <w:r>
        <w:rPr>
          <w:rFonts w:hint="eastAsia" w:ascii="MS UI Gothic" w:hAnsi="MS UI Gothic" w:eastAsia="MS UI Gothic"/>
          <w:w w:val="85"/>
        </w:rPr>
        <w:t xml:space="preserve">ꎻ </w:t>
      </w:r>
      <w:r>
        <w:t>按标准铺设道口</w:t>
      </w:r>
      <w:r>
        <w:rPr>
          <w:rFonts w:hint="eastAsia" w:ascii="MS UI Gothic" w:hAnsi="MS UI Gothic" w:eastAsia="MS UI Gothic"/>
          <w:w w:val="85"/>
        </w:rPr>
        <w:t xml:space="preserve">ꎬ </w:t>
      </w:r>
      <w:r>
        <w:t>其宽度与公路路面相同</w:t>
      </w:r>
      <w:r>
        <w:rPr>
          <w:rFonts w:hint="eastAsia" w:ascii="MS UI Gothic" w:hAnsi="MS UI Gothic" w:eastAsia="MS UI Gothic"/>
          <w:w w:val="85"/>
        </w:rPr>
        <w:t xml:space="preserve">ꎻ </w:t>
      </w:r>
      <w:r>
        <w:t>公路与铁路采用正交</w:t>
      </w:r>
      <w:r>
        <w:rPr>
          <w:rFonts w:hint="eastAsia" w:ascii="MS UI Gothic" w:hAnsi="MS UI Gothic" w:eastAsia="MS UI Gothic"/>
          <w:w w:val="85"/>
        </w:rPr>
        <w:t>ꎬ</w:t>
      </w:r>
      <w:r>
        <w:t>不能正交时</w:t>
      </w:r>
      <w:r>
        <w:rPr>
          <w:rFonts w:hint="eastAsia" w:ascii="MS UI Gothic" w:hAnsi="MS UI Gothic" w:eastAsia="MS UI Gothic"/>
          <w:w w:val="85"/>
        </w:rPr>
        <w:t xml:space="preserve">ꎬ </w:t>
      </w:r>
      <w:r>
        <w:t xml:space="preserve">其交角不得小于 </w:t>
      </w:r>
      <w:r>
        <w:rPr>
          <w:rFonts w:hint="eastAsia" w:ascii="MS UI Gothic" w:hAnsi="MS UI Gothic" w:eastAsia="MS UI Gothic"/>
          <w:w w:val="85"/>
        </w:rPr>
        <w:t>４５°ꎮ</w:t>
      </w:r>
    </w:p>
    <w:p>
      <w:pPr>
        <w:pStyle w:val="6"/>
        <w:spacing w:line="295" w:lineRule="auto"/>
        <w:ind w:left="440" w:right="1"/>
        <w:rPr>
          <w:rFonts w:hint="eastAsia" w:ascii="MS UI Gothic" w:eastAsia="MS UI Gothic"/>
        </w:rPr>
      </w:pPr>
      <w:r>
        <w:rPr>
          <w:rFonts w:hint="eastAsia" w:ascii="MS UI Gothic" w:eastAsia="MS UI Gothic"/>
          <w:w w:val="115"/>
        </w:rPr>
        <w:t xml:space="preserve">( </w:t>
      </w:r>
      <w:r>
        <w:rPr>
          <w:w w:val="110"/>
        </w:rPr>
        <w:t>三</w:t>
      </w:r>
      <w:r>
        <w:rPr>
          <w:rFonts w:hint="eastAsia" w:ascii="MS UI Gothic" w:eastAsia="MS UI Gothic"/>
          <w:w w:val="115"/>
        </w:rPr>
        <w:t xml:space="preserve">) </w:t>
      </w:r>
      <w:r>
        <w:rPr>
          <w:w w:val="110"/>
        </w:rPr>
        <w:t>道口按级别设置安全标志和设施</w:t>
      </w:r>
      <w:r>
        <w:rPr>
          <w:rFonts w:hint="eastAsia" w:ascii="MS UI Gothic" w:eastAsia="MS UI Gothic"/>
          <w:w w:val="80"/>
        </w:rPr>
        <w:t>ꎮ</w:t>
      </w:r>
    </w:p>
    <w:p>
      <w:pPr>
        <w:pStyle w:val="6"/>
        <w:spacing w:line="255" w:lineRule="exact"/>
        <w:ind w:left="860" w:firstLine="0"/>
      </w:pPr>
      <w:r>
        <w:rPr>
          <w:rFonts w:hint="eastAsia" w:ascii="MS UI Gothic" w:eastAsia="MS UI Gothic"/>
          <w:spacing w:val="-21"/>
          <w:w w:val="105"/>
        </w:rPr>
        <w:t xml:space="preserve">( </w:t>
      </w:r>
      <w:r>
        <w:rPr>
          <w:spacing w:val="5"/>
          <w:w w:val="105"/>
        </w:rPr>
        <w:t>四</w:t>
      </w:r>
      <w:r>
        <w:rPr>
          <w:rFonts w:hint="eastAsia" w:ascii="MS UI Gothic" w:eastAsia="MS UI Gothic"/>
          <w:spacing w:val="10"/>
          <w:w w:val="105"/>
        </w:rPr>
        <w:t xml:space="preserve">)  </w:t>
      </w:r>
      <w:r>
        <w:rPr>
          <w:spacing w:val="23"/>
          <w:w w:val="105"/>
        </w:rPr>
        <w:t>道口两侧平台长度不得小于</w:t>
      </w:r>
    </w:p>
    <w:p>
      <w:pPr>
        <w:pStyle w:val="6"/>
        <w:spacing w:before="51"/>
        <w:ind w:left="435" w:firstLine="0"/>
      </w:pPr>
      <w:r>
        <w:rPr>
          <w:rFonts w:hint="eastAsia" w:ascii="MS UI Gothic" w:eastAsia="MS UI Gothic"/>
          <w:spacing w:val="3"/>
          <w:w w:val="85"/>
        </w:rPr>
        <w:t xml:space="preserve">１０ </w:t>
      </w:r>
      <w:r>
        <w:rPr>
          <w:rFonts w:hint="eastAsia" w:ascii="MS UI Gothic" w:eastAsia="MS UI Gothic"/>
          <w:spacing w:val="4"/>
          <w:w w:val="85"/>
        </w:rPr>
        <w:t>ｍ</w:t>
      </w:r>
      <w:r>
        <w:rPr>
          <w:rFonts w:hint="eastAsia" w:ascii="MS UI Gothic" w:eastAsia="MS UI Gothic"/>
          <w:spacing w:val="21"/>
          <w:w w:val="85"/>
        </w:rPr>
        <w:t xml:space="preserve">ꎬ </w:t>
      </w:r>
      <w:r>
        <w:rPr>
          <w:spacing w:val="33"/>
        </w:rPr>
        <w:t>衔接平台的道路坡度不得大于</w:t>
      </w:r>
    </w:p>
    <w:p>
      <w:pPr>
        <w:pStyle w:val="6"/>
        <w:spacing w:before="58"/>
        <w:ind w:left="435" w:firstLine="0"/>
        <w:rPr>
          <w:rFonts w:hint="eastAsia" w:ascii="MS UI Gothic" w:eastAsia="MS UI Gothic"/>
        </w:rPr>
      </w:pPr>
      <w:r>
        <w:rPr>
          <w:rFonts w:hint="eastAsia" w:ascii="MS UI Gothic" w:eastAsia="MS UI Gothic"/>
          <w:w w:val="85"/>
        </w:rPr>
        <w:t>５</w:t>
      </w:r>
      <w:r>
        <w:rPr>
          <w:w w:val="85"/>
        </w:rPr>
        <w:t xml:space="preserve">％ </w:t>
      </w:r>
      <w:r>
        <w:rPr>
          <w:rFonts w:hint="eastAsia" w:ascii="MS UI Gothic" w:eastAsia="MS UI Gothic"/>
          <w:w w:val="85"/>
        </w:rPr>
        <w:t xml:space="preserve">ꎻ </w:t>
      </w:r>
      <w:r>
        <w:t>否则制定安全措施</w:t>
      </w:r>
      <w:r>
        <w:rPr>
          <w:rFonts w:hint="eastAsia" w:ascii="MS UI Gothic" w:eastAsia="MS UI Gothic"/>
          <w:w w:val="85"/>
        </w:rPr>
        <w:t>ꎮ</w:t>
      </w:r>
    </w:p>
    <w:p>
      <w:pPr>
        <w:pStyle w:val="6"/>
        <w:spacing w:before="58" w:line="295" w:lineRule="auto"/>
        <w:ind w:left="440" w:right="1"/>
        <w:rPr>
          <w:rFonts w:hint="eastAsia" w:ascii="MS UI Gothic" w:eastAsia="MS UI Gothic"/>
        </w:rPr>
      </w:pPr>
      <w:r>
        <w:rPr>
          <w:rFonts w:hint="eastAsia" w:ascii="MS UI Gothic" w:eastAsia="MS UI Gothic"/>
          <w:w w:val="140"/>
        </w:rPr>
        <w:t xml:space="preserve">( </w:t>
      </w:r>
      <w:r>
        <w:t>五</w:t>
      </w:r>
      <w:r>
        <w:rPr>
          <w:rFonts w:hint="eastAsia" w:ascii="MS UI Gothic" w:eastAsia="MS UI Gothic"/>
          <w:w w:val="140"/>
        </w:rPr>
        <w:t xml:space="preserve">) </w:t>
      </w:r>
      <w:r>
        <w:t>车站</w:t>
      </w:r>
      <w:r>
        <w:rPr>
          <w:rFonts w:hint="eastAsia" w:ascii="MS UI Gothic" w:eastAsia="MS UI Gothic"/>
          <w:w w:val="85"/>
        </w:rPr>
        <w:t xml:space="preserve">、 </w:t>
      </w:r>
      <w:r>
        <w:t xml:space="preserve">曲线半径在 </w:t>
      </w:r>
      <w:r>
        <w:rPr>
          <w:rFonts w:hint="eastAsia" w:ascii="MS UI Gothic" w:eastAsia="MS UI Gothic"/>
          <w:w w:val="85"/>
        </w:rPr>
        <w:t xml:space="preserve">２００ ｍ </w:t>
      </w:r>
      <w:r>
        <w:t>以下的线路段和通视条件不良的路堑不设道口</w:t>
      </w:r>
      <w:r>
        <w:rPr>
          <w:rFonts w:hint="eastAsia" w:ascii="MS UI Gothic" w:eastAsia="MS UI Gothic"/>
          <w:w w:val="85"/>
        </w:rPr>
        <w:t xml:space="preserve">、 </w:t>
      </w:r>
      <w:r>
        <w:t>道岔部位严禁设道口</w:t>
      </w:r>
      <w:r>
        <w:rPr>
          <w:rFonts w:hint="eastAsia" w:ascii="MS UI Gothic" w:eastAsia="MS UI Gothic"/>
          <w:w w:val="85"/>
        </w:rPr>
        <w:t>ꎮ</w:t>
      </w:r>
    </w:p>
    <w:p>
      <w:pPr>
        <w:pStyle w:val="6"/>
        <w:spacing w:line="295" w:lineRule="auto"/>
        <w:ind w:left="440" w:right="1"/>
        <w:rPr>
          <w:rFonts w:hint="eastAsia" w:ascii="MS UI Gothic" w:eastAsia="MS UI Gothic"/>
        </w:rPr>
      </w:pPr>
      <w:r>
        <w:t>重型设备通过道口</w:t>
      </w:r>
      <w:r>
        <w:rPr>
          <w:rFonts w:hint="eastAsia" w:ascii="MS UI Gothic" w:eastAsia="MS UI Gothic"/>
          <w:w w:val="80"/>
        </w:rPr>
        <w:t xml:space="preserve">ꎬ </w:t>
      </w:r>
      <w:r>
        <w:t>必须得到煤矿企业批准</w:t>
      </w:r>
      <w:r>
        <w:rPr>
          <w:rFonts w:hint="eastAsia" w:ascii="MS UI Gothic" w:eastAsia="MS UI Gothic"/>
          <w:w w:val="80"/>
        </w:rPr>
        <w:t>ꎮ</w:t>
      </w:r>
    </w:p>
    <w:p>
      <w:pPr>
        <w:pStyle w:val="6"/>
        <w:spacing w:before="12"/>
        <w:ind w:left="0" w:firstLine="0"/>
        <w:jc w:val="left"/>
        <w:rPr>
          <w:rFonts w:ascii="MS UI Gothic"/>
          <w:sz w:val="25"/>
        </w:rPr>
      </w:pPr>
      <w:r>
        <w:br w:type="column"/>
      </w:r>
    </w:p>
    <w:p>
      <w:pPr>
        <w:pStyle w:val="6"/>
        <w:tabs>
          <w:tab w:val="left" w:pos="2162"/>
        </w:tabs>
        <w:ind w:left="1324" w:firstLine="0"/>
        <w:jc w:val="left"/>
      </w:pPr>
      <w:r>
        <w:rPr>
          <w:spacing w:val="3"/>
          <w:w w:val="105"/>
        </w:rPr>
        <w:t>第二</w:t>
      </w:r>
      <w:r>
        <w:rPr>
          <w:w w:val="105"/>
        </w:rPr>
        <w:t>节</w:t>
      </w:r>
      <w:r>
        <w:rPr>
          <w:w w:val="105"/>
        </w:rPr>
        <w:tab/>
      </w:r>
      <w:r>
        <w:rPr>
          <w:w w:val="105"/>
        </w:rPr>
        <w:t>公</w:t>
      </w:r>
      <w:r>
        <w:rPr>
          <w:spacing w:val="-33"/>
          <w:w w:val="105"/>
        </w:rPr>
        <w:t xml:space="preserve"> </w:t>
      </w:r>
      <w:r>
        <w:rPr>
          <w:w w:val="105"/>
        </w:rPr>
        <w:t>路</w:t>
      </w:r>
      <w:r>
        <w:rPr>
          <w:spacing w:val="-33"/>
          <w:w w:val="105"/>
        </w:rPr>
        <w:t xml:space="preserve"> </w:t>
      </w:r>
      <w:r>
        <w:rPr>
          <w:w w:val="105"/>
        </w:rPr>
        <w:t>运</w:t>
      </w:r>
      <w:r>
        <w:rPr>
          <w:spacing w:val="-33"/>
          <w:w w:val="105"/>
        </w:rPr>
        <w:t xml:space="preserve"> </w:t>
      </w:r>
      <w:r>
        <w:rPr>
          <w:w w:val="105"/>
        </w:rPr>
        <w:t>输</w:t>
      </w:r>
    </w:p>
    <w:p>
      <w:pPr>
        <w:pStyle w:val="6"/>
        <w:spacing w:before="10"/>
        <w:ind w:left="0" w:firstLine="0"/>
        <w:jc w:val="left"/>
        <w:rPr>
          <w:sz w:val="16"/>
        </w:rPr>
      </w:pPr>
    </w:p>
    <w:p>
      <w:pPr>
        <w:pStyle w:val="6"/>
        <w:spacing w:line="292" w:lineRule="auto"/>
        <w:ind w:left="381" w:right="124"/>
        <w:rPr>
          <w:rFonts w:hint="eastAsia" w:ascii="MS UI Gothic" w:eastAsia="MS UI Gothic"/>
        </w:rPr>
      </w:pPr>
      <w:r>
        <w:t>第五百六十四条 矿用卡车作业时</w:t>
      </w:r>
      <w:r>
        <w:rPr>
          <w:rFonts w:hint="eastAsia" w:ascii="MS UI Gothic" w:eastAsia="MS UI Gothic"/>
          <w:w w:val="80"/>
        </w:rPr>
        <w:t>ꎬ</w:t>
      </w:r>
      <w:r>
        <w:t>其制动</w:t>
      </w:r>
      <w:r>
        <w:rPr>
          <w:rFonts w:hint="eastAsia" w:ascii="MS UI Gothic" w:eastAsia="MS UI Gothic"/>
          <w:w w:val="80"/>
        </w:rPr>
        <w:t xml:space="preserve">、 </w:t>
      </w:r>
      <w:r>
        <w:t>转向系统和安全装置必须完好</w:t>
      </w:r>
      <w:r>
        <w:rPr>
          <w:rFonts w:hint="eastAsia" w:ascii="MS UI Gothic" w:eastAsia="MS UI Gothic"/>
          <w:w w:val="80"/>
        </w:rPr>
        <w:t>ꎮ</w:t>
      </w:r>
      <w:r>
        <w:t>应当定期检验其可靠性</w:t>
      </w:r>
      <w:r>
        <w:rPr>
          <w:rFonts w:hint="eastAsia" w:ascii="MS UI Gothic" w:eastAsia="MS UI Gothic"/>
          <w:w w:val="80"/>
        </w:rPr>
        <w:t xml:space="preserve">ꎬ </w:t>
      </w:r>
      <w:r>
        <w:t>大型自卸车设示宽灯或者标志</w:t>
      </w:r>
      <w:r>
        <w:rPr>
          <w:rFonts w:hint="eastAsia" w:ascii="MS UI Gothic" w:eastAsia="MS UI Gothic"/>
          <w:w w:val="80"/>
        </w:rPr>
        <w:t>ꎮ</w:t>
      </w:r>
    </w:p>
    <w:p>
      <w:pPr>
        <w:pStyle w:val="6"/>
        <w:spacing w:before="5" w:line="295" w:lineRule="auto"/>
        <w:ind w:left="381" w:right="126"/>
        <w:rPr>
          <w:rFonts w:hint="eastAsia" w:ascii="MS UI Gothic" w:eastAsia="MS UI Gothic"/>
        </w:rPr>
      </w:pPr>
      <w:r>
        <w:rPr>
          <w:w w:val="105"/>
        </w:rPr>
        <w:t>第五百六十五条 矿场道路应当符合</w:t>
      </w:r>
      <w:r>
        <w:rPr>
          <w:w w:val="110"/>
        </w:rPr>
        <w:t>下列要求</w:t>
      </w:r>
      <w:r>
        <w:rPr>
          <w:rFonts w:hint="eastAsia" w:ascii="MS UI Gothic" w:eastAsia="MS UI Gothic"/>
          <w:w w:val="235"/>
        </w:rPr>
        <w:t>:</w:t>
      </w:r>
    </w:p>
    <w:p>
      <w:pPr>
        <w:pStyle w:val="6"/>
        <w:spacing w:line="292"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宽度符合通行</w:t>
      </w:r>
      <w:r>
        <w:rPr>
          <w:rFonts w:hint="eastAsia" w:ascii="MS UI Gothic" w:eastAsia="MS UI Gothic"/>
          <w:w w:val="80"/>
        </w:rPr>
        <w:t xml:space="preserve">、  </w:t>
      </w:r>
      <w:r>
        <w:rPr>
          <w:w w:val="105"/>
        </w:rPr>
        <w:t>会车等安全要求</w:t>
      </w:r>
      <w:r>
        <w:rPr>
          <w:rFonts w:hint="eastAsia" w:ascii="MS UI Gothic" w:eastAsia="MS UI Gothic"/>
          <w:w w:val="105"/>
        </w:rPr>
        <w:t xml:space="preserve"> </w:t>
      </w:r>
      <w:r>
        <w:rPr>
          <w:w w:val="105"/>
        </w:rPr>
        <w:t>受采掘条件限制</w:t>
      </w:r>
      <w:r>
        <w:rPr>
          <w:rFonts w:hint="eastAsia" w:ascii="MS UI Gothic" w:eastAsia="MS UI Gothic"/>
          <w:w w:val="80"/>
        </w:rPr>
        <w:t xml:space="preserve">、 </w:t>
      </w:r>
      <w:r>
        <w:rPr>
          <w:w w:val="105"/>
        </w:rPr>
        <w:t>达不到规定的宽度</w:t>
      </w:r>
      <w:r>
        <w:t>时</w:t>
      </w:r>
      <w:r>
        <w:rPr>
          <w:rFonts w:hint="eastAsia" w:ascii="MS UI Gothic" w:eastAsia="MS UI Gothic"/>
          <w:w w:val="80"/>
        </w:rPr>
        <w:t xml:space="preserve">ꎬ </w:t>
      </w:r>
      <w:r>
        <w:t>必须视道路距离设置相应数量的会</w:t>
      </w:r>
      <w:r>
        <w:rPr>
          <w:w w:val="105"/>
        </w:rPr>
        <w:t>车线</w:t>
      </w:r>
      <w:r>
        <w:rPr>
          <w:rFonts w:hint="eastAsia" w:ascii="MS UI Gothic" w:eastAsia="MS UI Gothic"/>
          <w:w w:val="80"/>
        </w:rPr>
        <w:t>ꎮ</w:t>
      </w:r>
    </w:p>
    <w:p>
      <w:pPr>
        <w:pStyle w:val="6"/>
        <w:spacing w:before="4" w:line="292" w:lineRule="auto"/>
        <w:ind w:left="381" w:right="126"/>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必须设置安全挡墙</w:t>
      </w:r>
      <w:r>
        <w:rPr>
          <w:rFonts w:hint="eastAsia" w:ascii="MS UI Gothic" w:eastAsia="MS UI Gothic"/>
          <w:w w:val="80"/>
        </w:rPr>
        <w:t xml:space="preserve">ꎬ </w:t>
      </w:r>
      <w:r>
        <w:t xml:space="preserve">高度为矿用卡车轮胎直径的 </w:t>
      </w:r>
      <w:r>
        <w:rPr>
          <w:rFonts w:hint="eastAsia" w:ascii="MS UI Gothic" w:eastAsia="MS UI Gothic"/>
          <w:w w:val="80"/>
        </w:rPr>
        <w:t xml:space="preserve">２ </w:t>
      </w:r>
      <w:r>
        <w:rPr>
          <w:rFonts w:hint="eastAsia" w:ascii="MS UI Gothic" w:eastAsia="MS UI Gothic"/>
          <w:w w:val="65"/>
        </w:rPr>
        <w:t xml:space="preserve">/ </w:t>
      </w:r>
      <w:r>
        <w:rPr>
          <w:rFonts w:hint="eastAsia" w:ascii="MS UI Gothic" w:eastAsia="MS UI Gothic"/>
          <w:w w:val="80"/>
        </w:rPr>
        <w:t xml:space="preserve">５ </w:t>
      </w:r>
      <w:r>
        <w:rPr>
          <w:rFonts w:hint="eastAsia" w:ascii="MS UI Gothic" w:eastAsia="MS UI Gothic"/>
          <w:w w:val="120"/>
        </w:rPr>
        <w:t xml:space="preserve">~ </w:t>
      </w:r>
      <w:r>
        <w:rPr>
          <w:rFonts w:hint="eastAsia" w:ascii="MS UI Gothic" w:eastAsia="MS UI Gothic"/>
          <w:w w:val="80"/>
        </w:rPr>
        <w:t xml:space="preserve">３ </w:t>
      </w:r>
      <w:r>
        <w:rPr>
          <w:rFonts w:hint="eastAsia" w:ascii="MS UI Gothic" w:eastAsia="MS UI Gothic"/>
          <w:w w:val="65"/>
        </w:rPr>
        <w:t xml:space="preserve">/ </w:t>
      </w:r>
      <w:r>
        <w:rPr>
          <w:rFonts w:hint="eastAsia" w:ascii="MS UI Gothic" w:eastAsia="MS UI Gothic"/>
          <w:w w:val="80"/>
        </w:rPr>
        <w:t>５ꎮ</w:t>
      </w:r>
    </w:p>
    <w:p>
      <w:pPr>
        <w:pStyle w:val="6"/>
        <w:spacing w:before="1"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长距离坡道运输系统</w:t>
      </w:r>
      <w:r>
        <w:rPr>
          <w:rFonts w:hint="eastAsia" w:ascii="MS UI Gothic" w:eastAsia="MS UI Gothic"/>
          <w:w w:val="80"/>
        </w:rPr>
        <w:t xml:space="preserve">ꎬ </w:t>
      </w:r>
      <w:r>
        <w:rPr>
          <w:w w:val="105"/>
        </w:rPr>
        <w:t>应当在适当位置设置缓坡道</w:t>
      </w:r>
      <w:r>
        <w:rPr>
          <w:rFonts w:hint="eastAsia" w:ascii="MS UI Gothic" w:eastAsia="MS UI Gothic"/>
          <w:w w:val="80"/>
        </w:rPr>
        <w:t>ꎮ</w:t>
      </w:r>
    </w:p>
    <w:p>
      <w:pPr>
        <w:pStyle w:val="6"/>
        <w:spacing w:line="292" w:lineRule="auto"/>
        <w:ind w:left="381" w:right="124"/>
        <w:rPr>
          <w:rFonts w:hint="eastAsia" w:ascii="MS UI Gothic" w:eastAsia="MS UI Gothic"/>
        </w:rPr>
      </w:pPr>
      <w:r>
        <w:rPr>
          <w:w w:val="105"/>
        </w:rPr>
        <w:t>第五百六十六条 严禁矿用卡车在矿</w:t>
      </w:r>
      <w:r>
        <w:t>内各种道路上超速行驶</w:t>
      </w:r>
      <w:r>
        <w:rPr>
          <w:rFonts w:hint="eastAsia" w:ascii="MS UI Gothic" w:eastAsia="MS UI Gothic"/>
          <w:w w:val="80"/>
        </w:rPr>
        <w:t xml:space="preserve">ꎻ </w:t>
      </w:r>
      <w:r>
        <w:t>同类汽车正常行</w:t>
      </w:r>
      <w:r>
        <w:rPr>
          <w:w w:val="105"/>
        </w:rPr>
        <w:t>驶不得超车</w:t>
      </w:r>
      <w:r>
        <w:rPr>
          <w:rFonts w:hint="eastAsia" w:ascii="MS UI Gothic" w:eastAsia="MS UI Gothic"/>
          <w:w w:val="80"/>
        </w:rPr>
        <w:t xml:space="preserve">ꎻ </w:t>
      </w:r>
      <w:r>
        <w:rPr>
          <w:w w:val="105"/>
        </w:rPr>
        <w:t xml:space="preserve">特殊路况 </w:t>
      </w:r>
      <w:r>
        <w:rPr>
          <w:rFonts w:hint="eastAsia" w:ascii="MS UI Gothic" w:eastAsia="MS UI Gothic"/>
          <w:w w:val="150"/>
        </w:rPr>
        <w:t xml:space="preserve">( </w:t>
      </w:r>
      <w:r>
        <w:rPr>
          <w:w w:val="105"/>
        </w:rPr>
        <w:t>修路</w:t>
      </w:r>
      <w:r>
        <w:rPr>
          <w:rFonts w:hint="eastAsia" w:ascii="MS UI Gothic" w:eastAsia="MS UI Gothic"/>
          <w:w w:val="80"/>
        </w:rPr>
        <w:t xml:space="preserve">、 </w:t>
      </w:r>
      <w:r>
        <w:rPr>
          <w:w w:val="105"/>
        </w:rPr>
        <w:t>弯道</w:t>
      </w:r>
      <w:r>
        <w:rPr>
          <w:rFonts w:hint="eastAsia" w:ascii="MS UI Gothic" w:eastAsia="MS UI Gothic"/>
          <w:w w:val="80"/>
        </w:rPr>
        <w:t>、</w:t>
      </w:r>
      <w:r>
        <w:rPr>
          <w:w w:val="105"/>
        </w:rPr>
        <w:t>单行道等</w:t>
      </w:r>
      <w:r>
        <w:rPr>
          <w:rFonts w:hint="eastAsia" w:ascii="MS UI Gothic" w:eastAsia="MS UI Gothic"/>
          <w:w w:val="150"/>
        </w:rPr>
        <w:t xml:space="preserve">) </w:t>
      </w:r>
      <w:r>
        <w:rPr>
          <w:w w:val="105"/>
        </w:rPr>
        <w:t>下</w:t>
      </w:r>
      <w:r>
        <w:rPr>
          <w:rFonts w:hint="eastAsia" w:ascii="MS UI Gothic" w:eastAsia="MS UI Gothic"/>
          <w:w w:val="80"/>
        </w:rPr>
        <w:t xml:space="preserve">ꎬ </w:t>
      </w:r>
      <w:r>
        <w:rPr>
          <w:w w:val="105"/>
        </w:rPr>
        <w:t>任何车辆都不得超车</w:t>
      </w:r>
      <w:r>
        <w:rPr>
          <w:rFonts w:hint="eastAsia" w:ascii="MS UI Gothic" w:eastAsia="MS UI Gothic"/>
          <w:w w:val="80"/>
        </w:rPr>
        <w:t>ꎻ</w:t>
      </w:r>
      <w:r>
        <w:t>除正在维护道路的设备和应急救援车辆</w:t>
      </w:r>
      <w:r>
        <w:rPr>
          <w:w w:val="105"/>
        </w:rPr>
        <w:t>外</w:t>
      </w:r>
      <w:r>
        <w:rPr>
          <w:rFonts w:hint="eastAsia" w:ascii="MS UI Gothic" w:eastAsia="MS UI Gothic"/>
          <w:w w:val="80"/>
        </w:rPr>
        <w:t xml:space="preserve">ꎬ </w:t>
      </w:r>
      <w:r>
        <w:rPr>
          <w:w w:val="105"/>
        </w:rPr>
        <w:t>各种车辆应为矿用卡车让行</w:t>
      </w:r>
      <w:r>
        <w:rPr>
          <w:rFonts w:hint="eastAsia" w:ascii="MS UI Gothic" w:eastAsia="MS UI Gothic"/>
          <w:w w:val="80"/>
        </w:rPr>
        <w:t>ꎮ</w:t>
      </w:r>
    </w:p>
    <w:p>
      <w:pPr>
        <w:pStyle w:val="6"/>
        <w:spacing w:before="6" w:line="292" w:lineRule="auto"/>
        <w:ind w:left="381" w:right="126"/>
        <w:rPr>
          <w:rFonts w:hint="eastAsia" w:ascii="MS UI Gothic" w:eastAsia="MS UI Gothic"/>
        </w:rPr>
      </w:pPr>
      <w:r>
        <w:t>冬季应当及时清除路面上的积雪或者结冰</w:t>
      </w:r>
      <w:r>
        <w:rPr>
          <w:rFonts w:hint="eastAsia" w:ascii="MS UI Gothic" w:eastAsia="MS UI Gothic"/>
          <w:w w:val="85"/>
        </w:rPr>
        <w:t xml:space="preserve">ꎬ </w:t>
      </w:r>
      <w:r>
        <w:t>并采取防滑措施</w:t>
      </w:r>
      <w:r>
        <w:rPr>
          <w:rFonts w:hint="eastAsia" w:ascii="MS UI Gothic" w:eastAsia="MS UI Gothic"/>
          <w:w w:val="85"/>
        </w:rPr>
        <w:t xml:space="preserve">ꎻ </w:t>
      </w:r>
      <w:r>
        <w:t>前</w:t>
      </w:r>
      <w:r>
        <w:rPr>
          <w:rFonts w:hint="eastAsia" w:ascii="MS UI Gothic" w:eastAsia="MS UI Gothic"/>
          <w:w w:val="85"/>
        </w:rPr>
        <w:t xml:space="preserve">、 </w:t>
      </w:r>
      <w:r>
        <w:t xml:space="preserve">后车距不得小于 </w:t>
      </w:r>
      <w:r>
        <w:rPr>
          <w:rFonts w:hint="eastAsia" w:ascii="MS UI Gothic" w:eastAsia="MS UI Gothic"/>
          <w:w w:val="85"/>
        </w:rPr>
        <w:t xml:space="preserve">５０ ｍꎻ </w:t>
      </w:r>
      <w:r>
        <w:t>行驶时不得急刹车</w:t>
      </w:r>
      <w:r>
        <w:rPr>
          <w:rFonts w:hint="eastAsia" w:ascii="MS UI Gothic" w:eastAsia="MS UI Gothic"/>
          <w:w w:val="85"/>
        </w:rPr>
        <w:t xml:space="preserve">、 </w:t>
      </w:r>
      <w:r>
        <w:t>急转弯或者超车</w:t>
      </w:r>
      <w:r>
        <w:rPr>
          <w:rFonts w:hint="eastAsia" w:ascii="MS UI Gothic" w:eastAsia="MS UI Gothic"/>
          <w:w w:val="85"/>
        </w:rPr>
        <w:t>ꎮ</w:t>
      </w:r>
    </w:p>
    <w:p>
      <w:pPr>
        <w:pStyle w:val="6"/>
        <w:spacing w:before="5" w:line="292" w:lineRule="auto"/>
        <w:ind w:left="381" w:right="126"/>
        <w:rPr>
          <w:rFonts w:hint="eastAsia" w:ascii="MS UI Gothic" w:eastAsia="MS UI Gothic"/>
        </w:rPr>
      </w:pPr>
      <w:r>
        <w:t>第五百六十七条 矿用卡车在运输道路上出现故障且无法行走时</w:t>
      </w:r>
      <w:r>
        <w:rPr>
          <w:rFonts w:hint="eastAsia" w:ascii="MS UI Gothic" w:eastAsia="MS UI Gothic"/>
          <w:w w:val="85"/>
        </w:rPr>
        <w:t xml:space="preserve">ꎬ </w:t>
      </w:r>
      <w:r>
        <w:t>必须开启全部制动和警示灯</w:t>
      </w:r>
      <w:r>
        <w:rPr>
          <w:rFonts w:hint="eastAsia" w:ascii="MS UI Gothic" w:eastAsia="MS UI Gothic"/>
          <w:w w:val="85"/>
        </w:rPr>
        <w:t xml:space="preserve">ꎬ </w:t>
      </w:r>
      <w:r>
        <w:t>并采取防止溜车的安全措施</w:t>
      </w:r>
      <w:r>
        <w:rPr>
          <w:rFonts w:hint="eastAsia" w:ascii="MS UI Gothic" w:eastAsia="MS UI Gothic"/>
          <w:w w:val="85"/>
        </w:rPr>
        <w:t xml:space="preserve">ꎻ </w:t>
      </w:r>
      <w:r>
        <w:t xml:space="preserve">同时必须在车体前后 </w:t>
      </w:r>
      <w:r>
        <w:rPr>
          <w:rFonts w:hint="eastAsia" w:ascii="MS UI Gothic" w:eastAsia="MS UI Gothic"/>
          <w:w w:val="85"/>
        </w:rPr>
        <w:t xml:space="preserve">３０ ｍ </w:t>
      </w:r>
      <w:r>
        <w:t>外设置醒目的安全警示标志</w:t>
      </w:r>
      <w:r>
        <w:rPr>
          <w:rFonts w:hint="eastAsia" w:ascii="MS UI Gothic" w:eastAsia="MS UI Gothic"/>
          <w:w w:val="85"/>
        </w:rPr>
        <w:t xml:space="preserve">ꎬ </w:t>
      </w:r>
      <w:r>
        <w:t>并采取防护措施</w:t>
      </w:r>
      <w:r>
        <w:rPr>
          <w:rFonts w:hint="eastAsia" w:ascii="MS UI Gothic" w:eastAsia="MS UI Gothic"/>
          <w:w w:val="85"/>
        </w:rPr>
        <w:t>ꎮ</w:t>
      </w:r>
    </w:p>
    <w:p>
      <w:pPr>
        <w:pStyle w:val="6"/>
        <w:spacing w:before="7" w:line="295" w:lineRule="auto"/>
        <w:ind w:left="381" w:right="126"/>
      </w:pPr>
      <w:r>
        <w:t>雾天或者烟尘影响视线时</w:t>
      </w:r>
      <w:r>
        <w:rPr>
          <w:rFonts w:hint="eastAsia" w:ascii="MS UI Gothic" w:eastAsia="MS UI Gothic"/>
          <w:w w:val="80"/>
        </w:rPr>
        <w:t xml:space="preserve">ꎬ </w:t>
      </w:r>
      <w:r>
        <w:t>必须开启雾灯或者大灯</w:t>
      </w:r>
      <w:r>
        <w:rPr>
          <w:rFonts w:hint="eastAsia" w:ascii="MS UI Gothic" w:eastAsia="MS UI Gothic"/>
          <w:w w:val="80"/>
        </w:rPr>
        <w:t xml:space="preserve">ꎬ </w:t>
      </w:r>
      <w:r>
        <w:t>前</w:t>
      </w:r>
      <w:r>
        <w:rPr>
          <w:rFonts w:hint="eastAsia" w:ascii="MS UI Gothic" w:eastAsia="MS UI Gothic"/>
          <w:w w:val="80"/>
        </w:rPr>
        <w:t xml:space="preserve">、 </w:t>
      </w:r>
      <w:r>
        <w:t>后车距不得小于</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３３０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09" o:spid="_x0000_s2009" o:spt="203" style="height:2.15pt;width:398.25pt;" coordsize="7965,43">
            <o:lock v:ext="edit"/>
            <v:line id="_x0000_s2010" o:spid="_x0000_s2010" o:spt="20" style="position:absolute;left:0;top:39;height:0;width:7965;" stroked="t" coordsize="21600,21600">
              <v:path arrowok="t"/>
              <v:fill focussize="0,0"/>
              <v:stroke weight="0.388031496062992pt" color="#231F20"/>
              <v:imagedata o:title=""/>
              <o:lock v:ext="edit"/>
            </v:line>
            <v:line id="_x0000_s2011" o:spid="_x0000_s201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hanging="6"/>
        <w:jc w:val="left"/>
        <w:rPr>
          <w:rFonts w:hint="eastAsia" w:ascii="MS UI Gothic" w:eastAsia="MS UI Gothic"/>
        </w:rPr>
      </w:pPr>
      <w:r>
        <w:rPr>
          <w:rFonts w:hint="eastAsia" w:ascii="MS UI Gothic" w:eastAsia="MS UI Gothic"/>
          <w:w w:val="85"/>
        </w:rPr>
        <w:t xml:space="preserve">３０ ｍꎻ </w:t>
      </w:r>
      <w:r>
        <w:t xml:space="preserve">能见度不足 </w:t>
      </w:r>
      <w:r>
        <w:rPr>
          <w:rFonts w:hint="eastAsia" w:ascii="MS UI Gothic" w:eastAsia="MS UI Gothic"/>
          <w:w w:val="85"/>
        </w:rPr>
        <w:t xml:space="preserve">３０ ｍ </w:t>
      </w:r>
      <w:r>
        <w:t>或者雨</w:t>
      </w:r>
      <w:r>
        <w:rPr>
          <w:rFonts w:hint="eastAsia" w:ascii="MS UI Gothic" w:eastAsia="MS UI Gothic"/>
          <w:w w:val="85"/>
        </w:rPr>
        <w:t xml:space="preserve">、 </w:t>
      </w:r>
      <w:r>
        <w:t>雪天气危及行车安全时</w:t>
      </w:r>
      <w:r>
        <w:rPr>
          <w:rFonts w:hint="eastAsia" w:ascii="MS UI Gothic" w:eastAsia="MS UI Gothic"/>
          <w:w w:val="85"/>
        </w:rPr>
        <w:t xml:space="preserve">ꎬ </w:t>
      </w:r>
      <w:r>
        <w:t>必须停止作业</w:t>
      </w:r>
      <w:r>
        <w:rPr>
          <w:rFonts w:hint="eastAsia" w:ascii="MS UI Gothic" w:eastAsia="MS UI Gothic"/>
          <w:w w:val="85"/>
        </w:rPr>
        <w:t>ꎮ</w:t>
      </w:r>
    </w:p>
    <w:p>
      <w:pPr>
        <w:pStyle w:val="6"/>
        <w:spacing w:line="295" w:lineRule="auto"/>
        <w:ind w:right="38"/>
        <w:rPr>
          <w:rFonts w:hint="eastAsia" w:ascii="MS UI Gothic" w:eastAsia="MS UI Gothic"/>
        </w:rPr>
      </w:pPr>
      <w:r>
        <w:t>第五百六十八条 矿用卡车不得在矿山道路拖挂其他车辆</w:t>
      </w:r>
      <w:r>
        <w:rPr>
          <w:rFonts w:hint="eastAsia" w:ascii="MS UI Gothic" w:eastAsia="MS UI Gothic"/>
          <w:w w:val="80"/>
        </w:rPr>
        <w:t xml:space="preserve">ꎻ </w:t>
      </w:r>
      <w:r>
        <w:t>必须拖挂时</w:t>
      </w:r>
      <w:r>
        <w:rPr>
          <w:rFonts w:hint="eastAsia" w:ascii="MS UI Gothic" w:eastAsia="MS UI Gothic"/>
          <w:w w:val="80"/>
        </w:rPr>
        <w:t xml:space="preserve">ꎬ </w:t>
      </w:r>
      <w:r>
        <w:t>应当采取安全措施</w:t>
      </w:r>
      <w:r>
        <w:rPr>
          <w:rFonts w:hint="eastAsia" w:ascii="MS UI Gothic" w:eastAsia="MS UI Gothic"/>
          <w:w w:val="80"/>
        </w:rPr>
        <w:t xml:space="preserve">ꎬ </w:t>
      </w:r>
      <w:r>
        <w:t>并设专人指挥监护</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第五百六十九条 矿用卡车在工作面</w:t>
      </w:r>
      <w:r>
        <w:rPr>
          <w:w w:val="110"/>
        </w:rPr>
        <w:t>装车必须遵守下列规定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待进入装车位置的卡车必须停</w:t>
      </w:r>
      <w:r>
        <w:t>在挖掘机最大回转半径范围之外</w:t>
      </w:r>
      <w:r>
        <w:rPr>
          <w:rFonts w:hint="eastAsia" w:ascii="MS UI Gothic" w:eastAsia="MS UI Gothic"/>
          <w:w w:val="80"/>
        </w:rPr>
        <w:t xml:space="preserve">ꎻ </w:t>
      </w:r>
      <w:r>
        <w:t>正在装车的卡车必须停在挖掘机尾部回转半径</w:t>
      </w:r>
      <w:r>
        <w:rPr>
          <w:w w:val="105"/>
        </w:rPr>
        <w:t>之外</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正在装载的卡车必须制动</w:t>
      </w:r>
      <w:r>
        <w:rPr>
          <w:rFonts w:hint="eastAsia" w:ascii="MS UI Gothic" w:eastAsia="MS UI Gothic"/>
          <w:w w:val="80"/>
        </w:rPr>
        <w:t xml:space="preserve">ꎬ </w:t>
      </w:r>
      <w:r>
        <w:rPr>
          <w:w w:val="105"/>
        </w:rPr>
        <w:t>司</w:t>
      </w:r>
      <w:r>
        <w:t>机不得将身体的任何部位伸出驾驶室外</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卡车必须在挖掘机发出信号后</w:t>
      </w:r>
      <w:r>
        <w:rPr>
          <w:rFonts w:hint="eastAsia" w:ascii="MS UI Gothic" w:eastAsia="MS UI Gothic"/>
          <w:w w:val="80"/>
        </w:rPr>
        <w:t xml:space="preserve">ꎬ </w:t>
      </w:r>
      <w:r>
        <w:rPr>
          <w:w w:val="105"/>
        </w:rPr>
        <w:t>方可进入或者驶出装车地点</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卡车排队等待装车时</w:t>
      </w:r>
      <w:r>
        <w:rPr>
          <w:rFonts w:hint="eastAsia" w:ascii="MS UI Gothic" w:eastAsia="MS UI Gothic"/>
          <w:w w:val="80"/>
        </w:rPr>
        <w:t xml:space="preserve">ꎬ </w:t>
      </w:r>
      <w:r>
        <w:rPr>
          <w:w w:val="105"/>
        </w:rPr>
        <w:t>车与车之间必须保持一定的安全距离</w:t>
      </w:r>
      <w:r>
        <w:rPr>
          <w:rFonts w:hint="eastAsia" w:ascii="MS UI Gothic" w:eastAsia="MS UI Gothic"/>
          <w:w w:val="80"/>
        </w:rPr>
        <w:t>ꎮ</w:t>
      </w:r>
    </w:p>
    <w:p>
      <w:pPr>
        <w:pStyle w:val="6"/>
        <w:tabs>
          <w:tab w:val="left" w:pos="1696"/>
        </w:tabs>
        <w:spacing w:before="144"/>
        <w:ind w:left="858" w:firstLine="0"/>
        <w:jc w:val="left"/>
      </w:pPr>
      <w:r>
        <w:rPr>
          <w:spacing w:val="3"/>
          <w:w w:val="105"/>
        </w:rPr>
        <w:t>第三</w:t>
      </w:r>
      <w:r>
        <w:rPr>
          <w:w w:val="105"/>
        </w:rPr>
        <w:t>节</w:t>
      </w:r>
      <w:r>
        <w:rPr>
          <w:w w:val="105"/>
        </w:rPr>
        <w:tab/>
      </w:r>
      <w:r>
        <w:rPr>
          <w:spacing w:val="3"/>
          <w:w w:val="105"/>
        </w:rPr>
        <w:t>带式输送机运</w:t>
      </w:r>
      <w:r>
        <w:rPr>
          <w:w w:val="105"/>
        </w:rPr>
        <w:t>输</w:t>
      </w:r>
    </w:p>
    <w:p>
      <w:pPr>
        <w:pStyle w:val="6"/>
        <w:spacing w:before="10"/>
        <w:ind w:left="0" w:firstLine="0"/>
        <w:jc w:val="left"/>
        <w:rPr>
          <w:sz w:val="16"/>
        </w:rPr>
      </w:pPr>
    </w:p>
    <w:p>
      <w:pPr>
        <w:pStyle w:val="6"/>
        <w:spacing w:line="295" w:lineRule="auto"/>
        <w:ind w:right="38"/>
        <w:rPr>
          <w:rFonts w:hint="eastAsia" w:ascii="MS UI Gothic" w:eastAsia="MS UI Gothic"/>
        </w:rPr>
      </w:pPr>
      <w:r>
        <w:rPr>
          <w:w w:val="105"/>
        </w:rPr>
        <w:t>第五百七十条 采用带式输送机运输</w:t>
      </w:r>
      <w:r>
        <w:rPr>
          <w:w w:val="110"/>
        </w:rPr>
        <w:t>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right="38"/>
        <w:rPr>
          <w:rFonts w:hint="eastAsia" w:ascii="MS UI Gothic" w:hAnsi="MS UI Gothic" w:eastAsia="MS UI Gothic"/>
        </w:rPr>
      </w:pPr>
      <w:r>
        <w:rPr>
          <w:rFonts w:hint="eastAsia" w:ascii="MS UI Gothic" w:hAnsi="MS UI Gothic" w:eastAsia="MS UI Gothic"/>
          <w:w w:val="140"/>
        </w:rPr>
        <w:t xml:space="preserve">( </w:t>
      </w:r>
      <w:r>
        <w:t>一</w:t>
      </w:r>
      <w:r>
        <w:rPr>
          <w:rFonts w:hint="eastAsia" w:ascii="MS UI Gothic" w:hAnsi="MS UI Gothic" w:eastAsia="MS UI Gothic"/>
          <w:w w:val="140"/>
        </w:rPr>
        <w:t xml:space="preserve">) </w:t>
      </w:r>
      <w:r>
        <w:t>带式输送机运输物料的最大倾角</w:t>
      </w:r>
      <w:r>
        <w:rPr>
          <w:rFonts w:hint="eastAsia" w:ascii="MS UI Gothic" w:hAnsi="MS UI Gothic" w:eastAsia="MS UI Gothic"/>
          <w:w w:val="85"/>
        </w:rPr>
        <w:t xml:space="preserve">ꎬ </w:t>
      </w:r>
      <w:r>
        <w:t xml:space="preserve">上行不得大于 </w:t>
      </w:r>
      <w:r>
        <w:rPr>
          <w:rFonts w:hint="eastAsia" w:ascii="MS UI Gothic" w:hAnsi="MS UI Gothic" w:eastAsia="MS UI Gothic"/>
          <w:w w:val="85"/>
        </w:rPr>
        <w:t xml:space="preserve">１６°ꎬ </w:t>
      </w:r>
      <w:r>
        <w:t>严寒地区不得大</w:t>
      </w:r>
      <w:r>
        <w:rPr>
          <w:w w:val="95"/>
        </w:rPr>
        <w:t xml:space="preserve">于 </w:t>
      </w:r>
      <w:r>
        <w:rPr>
          <w:rFonts w:hint="eastAsia" w:ascii="MS UI Gothic" w:hAnsi="MS UI Gothic" w:eastAsia="MS UI Gothic"/>
          <w:w w:val="85"/>
        </w:rPr>
        <w:t xml:space="preserve">１４°ꎻ </w:t>
      </w:r>
      <w:r>
        <w:rPr>
          <w:w w:val="95"/>
        </w:rPr>
        <w:t xml:space="preserve">下行不得大于 </w:t>
      </w:r>
      <w:r>
        <w:rPr>
          <w:rFonts w:hint="eastAsia" w:ascii="MS UI Gothic" w:hAnsi="MS UI Gothic" w:eastAsia="MS UI Gothic"/>
          <w:w w:val="85"/>
        </w:rPr>
        <w:t xml:space="preserve">１２°ꎬ </w:t>
      </w:r>
      <w:r>
        <w:rPr>
          <w:w w:val="95"/>
        </w:rPr>
        <w:t>特种带式输</w:t>
      </w:r>
      <w:r>
        <w:t>送机不受此限</w:t>
      </w:r>
      <w:r>
        <w:rPr>
          <w:rFonts w:hint="eastAsia" w:ascii="MS UI Gothic" w:hAnsi="MS UI Gothic" w:eastAsia="MS UI Gothic"/>
          <w:w w:val="85"/>
        </w:rPr>
        <w:t>ꎮ</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输送带安全系数取值参照本规</w:t>
      </w:r>
      <w:r>
        <w:rPr>
          <w:w w:val="110"/>
        </w:rPr>
        <w:t>程第三百七十四条</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带式输送机的运输能力应当与</w:t>
      </w:r>
      <w:r>
        <w:rPr>
          <w:w w:val="110"/>
        </w:rPr>
        <w:t>前置设备能力相匹配</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第五百七十一条 带式输送机必须设</w:t>
      </w:r>
      <w:r>
        <w:rPr>
          <w:w w:val="110"/>
        </w:rPr>
        <w:t>置下列安全保护</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11"/>
          <w:w w:val="150"/>
        </w:rPr>
        <w:t xml:space="preserve">) </w:t>
      </w:r>
      <w:r>
        <w:rPr>
          <w:spacing w:val="7"/>
          <w:w w:val="105"/>
        </w:rPr>
        <w:t>拉绳开关和防跑偏</w:t>
      </w:r>
      <w:r>
        <w:rPr>
          <w:rFonts w:hint="eastAsia" w:ascii="MS UI Gothic" w:eastAsia="MS UI Gothic"/>
          <w:spacing w:val="2"/>
          <w:w w:val="80"/>
        </w:rPr>
        <w:t xml:space="preserve">、 </w:t>
      </w:r>
      <w:r>
        <w:rPr>
          <w:spacing w:val="8"/>
          <w:w w:val="105"/>
        </w:rPr>
        <w:t>打滑</w:t>
      </w:r>
      <w:r>
        <w:rPr>
          <w:rFonts w:hint="eastAsia" w:ascii="MS UI Gothic" w:eastAsia="MS UI Gothic"/>
          <w:spacing w:val="2"/>
          <w:w w:val="80"/>
        </w:rPr>
        <w:t xml:space="preserve">、 </w:t>
      </w:r>
      <w:r>
        <w:rPr>
          <w:w w:val="105"/>
        </w:rPr>
        <w:t>堵</w:t>
      </w:r>
      <w:r>
        <w:rPr>
          <w:spacing w:val="3"/>
          <w:w w:val="105"/>
        </w:rPr>
        <w:t>塞等</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5"/>
          <w:w w:val="105"/>
        </w:rPr>
        <w:t>二</w:t>
      </w:r>
      <w:r>
        <w:rPr>
          <w:rFonts w:hint="eastAsia" w:ascii="MS UI Gothic" w:eastAsia="MS UI Gothic"/>
          <w:spacing w:val="11"/>
          <w:w w:val="150"/>
        </w:rPr>
        <w:t xml:space="preserve">) </w:t>
      </w:r>
      <w:r>
        <w:rPr>
          <w:spacing w:val="23"/>
          <w:w w:val="105"/>
        </w:rPr>
        <w:t>上运时应当设制动器和逆止</w:t>
      </w:r>
      <w:r>
        <w:rPr>
          <w:spacing w:val="3"/>
        </w:rPr>
        <w:t>器</w:t>
      </w:r>
      <w:r>
        <w:rPr>
          <w:rFonts w:hint="eastAsia" w:ascii="MS UI Gothic" w:eastAsia="MS UI Gothic"/>
          <w:spacing w:val="19"/>
          <w:w w:val="80"/>
        </w:rPr>
        <w:t xml:space="preserve">ꎬ </w:t>
      </w:r>
      <w:r>
        <w:rPr>
          <w:spacing w:val="14"/>
        </w:rPr>
        <w:t>下运时应当设软制动和防超速保护</w:t>
      </w:r>
      <w:r>
        <w:rPr>
          <w:spacing w:val="3"/>
          <w:w w:val="105"/>
        </w:rPr>
        <w:t>装置</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机头</w:t>
      </w:r>
      <w:r>
        <w:rPr>
          <w:rFonts w:hint="eastAsia" w:ascii="MS UI Gothic" w:eastAsia="MS UI Gothic"/>
          <w:w w:val="80"/>
        </w:rPr>
        <w:t xml:space="preserve">、 </w:t>
      </w:r>
      <w:r>
        <w:rPr>
          <w:w w:val="105"/>
        </w:rPr>
        <w:t>机尾</w:t>
      </w:r>
      <w:r>
        <w:rPr>
          <w:rFonts w:hint="eastAsia" w:ascii="MS UI Gothic" w:eastAsia="MS UI Gothic"/>
          <w:w w:val="80"/>
        </w:rPr>
        <w:t xml:space="preserve">、 </w:t>
      </w:r>
      <w:r>
        <w:rPr>
          <w:w w:val="105"/>
        </w:rPr>
        <w:t>驱动滚筒和改向滚筒处应当设防护栏</w:t>
      </w:r>
      <w:r>
        <w:rPr>
          <w:rFonts w:hint="eastAsia" w:ascii="MS UI Gothic" w:eastAsia="MS UI Gothic"/>
          <w:w w:val="80"/>
        </w:rPr>
        <w:t>ꎮ</w:t>
      </w:r>
    </w:p>
    <w:p>
      <w:pPr>
        <w:pStyle w:val="6"/>
        <w:tabs>
          <w:tab w:val="left" w:pos="2220"/>
        </w:tabs>
        <w:spacing w:line="255" w:lineRule="exact"/>
        <w:ind w:left="543" w:firstLine="0"/>
        <w:jc w:val="left"/>
      </w:pPr>
      <w:r>
        <w:rPr>
          <w:spacing w:val="3"/>
          <w:w w:val="105"/>
        </w:rPr>
        <w:t>第五百七十二</w:t>
      </w:r>
      <w:r>
        <w:rPr>
          <w:w w:val="105"/>
        </w:rPr>
        <w:t>条</w:t>
      </w:r>
      <w:r>
        <w:rPr>
          <w:w w:val="105"/>
        </w:rPr>
        <w:tab/>
      </w:r>
      <w:r>
        <w:rPr>
          <w:spacing w:val="3"/>
        </w:rPr>
        <w:t>带式输送机设置</w:t>
      </w:r>
      <w:r>
        <w:t>应</w:t>
      </w:r>
    </w:p>
    <w:p>
      <w:pPr>
        <w:pStyle w:val="6"/>
        <w:spacing w:before="123"/>
        <w:ind w:left="118" w:firstLine="0"/>
        <w:jc w:val="left"/>
        <w:rPr>
          <w:rFonts w:hint="eastAsia" w:ascii="MS UI Gothic" w:eastAsia="MS UI Gothic"/>
        </w:rPr>
      </w:pPr>
      <w:r>
        <w:br w:type="column"/>
      </w:r>
      <w:r>
        <w:rPr>
          <w:w w:val="115"/>
        </w:rPr>
        <w:t>当遵守下列规定</w:t>
      </w:r>
      <w:r>
        <w:rPr>
          <w:rFonts w:hint="eastAsia" w:ascii="MS UI Gothic" w:eastAsia="MS UI Gothic"/>
          <w:w w:val="235"/>
        </w:rPr>
        <w:t>:</w:t>
      </w:r>
    </w:p>
    <w:p>
      <w:pPr>
        <w:pStyle w:val="6"/>
        <w:spacing w:before="58" w:line="295" w:lineRule="auto"/>
        <w:ind w:left="118"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避开采空区和工程地质不良地段</w:t>
      </w:r>
      <w:r>
        <w:rPr>
          <w:rFonts w:hint="eastAsia" w:ascii="MS UI Gothic" w:eastAsia="MS UI Gothic"/>
          <w:w w:val="80"/>
        </w:rPr>
        <w:t xml:space="preserve">ꎬ </w:t>
      </w:r>
      <w:r>
        <w:rPr>
          <w:w w:val="105"/>
        </w:rPr>
        <w:t>特殊情况下必须采取安全措施</w:t>
      </w:r>
      <w:r>
        <w:rPr>
          <w:rFonts w:hint="eastAsia" w:ascii="MS UI Gothic" w:eastAsia="MS UI Gothic"/>
          <w:w w:val="80"/>
        </w:rPr>
        <w:t>ꎮ</w:t>
      </w:r>
    </w:p>
    <w:p>
      <w:pPr>
        <w:pStyle w:val="6"/>
        <w:spacing w:line="295" w:lineRule="auto"/>
        <w:ind w:left="118" w:right="442"/>
        <w:rPr>
          <w:rFonts w:hint="eastAsia" w:ascii="MS UI Gothic" w:hAnsi="MS UI Gothic" w:eastAsia="MS UI Gothic"/>
        </w:rPr>
      </w:pPr>
      <w:r>
        <w:rPr>
          <w:rFonts w:hint="eastAsia" w:ascii="MS UI Gothic" w:hAnsi="MS UI Gothic" w:eastAsia="MS UI Gothic"/>
          <w:w w:val="145"/>
        </w:rPr>
        <w:t xml:space="preserve">( </w:t>
      </w:r>
      <w:r>
        <w:t>二</w:t>
      </w:r>
      <w:r>
        <w:rPr>
          <w:rFonts w:hint="eastAsia" w:ascii="MS UI Gothic" w:hAnsi="MS UI Gothic" w:eastAsia="MS UI Gothic"/>
          <w:w w:val="145"/>
        </w:rPr>
        <w:t xml:space="preserve">) </w:t>
      </w:r>
      <w:r>
        <w:t>带式输送机栈桥应当设人行通道</w:t>
      </w:r>
      <w:r>
        <w:rPr>
          <w:rFonts w:hint="eastAsia" w:ascii="MS UI Gothic" w:hAnsi="MS UI Gothic" w:eastAsia="MS UI Gothic"/>
          <w:w w:val="80"/>
        </w:rPr>
        <w:t xml:space="preserve">ꎬ </w:t>
      </w:r>
      <w:r>
        <w:t xml:space="preserve">坡度大于 </w:t>
      </w:r>
      <w:r>
        <w:rPr>
          <w:rFonts w:hint="eastAsia" w:ascii="MS UI Gothic" w:hAnsi="MS UI Gothic" w:eastAsia="MS UI Gothic"/>
          <w:w w:val="80"/>
        </w:rPr>
        <w:t xml:space="preserve">５° </w:t>
      </w:r>
      <w:r>
        <w:t>的人行通道应当有防滑措施</w:t>
      </w:r>
      <w:r>
        <w:rPr>
          <w:rFonts w:hint="eastAsia" w:ascii="MS UI Gothic" w:hAns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跨越设备或者人行道时</w:t>
      </w:r>
      <w:r>
        <w:rPr>
          <w:rFonts w:hint="eastAsia" w:ascii="MS UI Gothic" w:eastAsia="MS UI Gothic"/>
          <w:w w:val="80"/>
        </w:rPr>
        <w:t xml:space="preserve">ꎬ </w:t>
      </w:r>
      <w:r>
        <w:rPr>
          <w:w w:val="105"/>
        </w:rPr>
        <w:t>必须设置防物料撒落的安全保护设施</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除移置式带式输送机外</w:t>
      </w:r>
      <w:r>
        <w:rPr>
          <w:rFonts w:hint="eastAsia" w:ascii="MS UI Gothic" w:eastAsia="MS UI Gothic"/>
          <w:w w:val="80"/>
        </w:rPr>
        <w:t xml:space="preserve">ꎬ </w:t>
      </w:r>
      <w:r>
        <w:rPr>
          <w:w w:val="105"/>
        </w:rPr>
        <w:t>露天设置的带式输送机应当设防护设施</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在转载点和机头处应当设置消</w:t>
      </w:r>
      <w:r>
        <w:rPr>
          <w:w w:val="110"/>
        </w:rPr>
        <w:t>防设施</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带式输送机沿线应当设检修通</w:t>
      </w:r>
      <w:r>
        <w:rPr>
          <w:w w:val="110"/>
        </w:rPr>
        <w:t>道和防排水设施</w:t>
      </w:r>
      <w:r>
        <w:rPr>
          <w:rFonts w:hint="eastAsia" w:ascii="MS UI Gothic" w:eastAsia="MS UI Gothic"/>
          <w:w w:val="80"/>
        </w:rPr>
        <w:t>ꎮ</w:t>
      </w:r>
    </w:p>
    <w:p>
      <w:pPr>
        <w:pStyle w:val="6"/>
        <w:spacing w:line="295" w:lineRule="auto"/>
        <w:ind w:left="118" w:right="442"/>
        <w:rPr>
          <w:rFonts w:hint="eastAsia" w:ascii="MS UI Gothic" w:eastAsia="MS UI Gothic"/>
        </w:rPr>
      </w:pPr>
      <w:r>
        <w:t>第五百七十三条 带式输送机启动时应当有声光报警装置</w:t>
      </w:r>
      <w:r>
        <w:rPr>
          <w:rFonts w:hint="eastAsia" w:ascii="MS UI Gothic" w:eastAsia="MS UI Gothic"/>
          <w:w w:val="80"/>
        </w:rPr>
        <w:t xml:space="preserve">ꎬ </w:t>
      </w:r>
      <w:r>
        <w:t>运行时严禁运送工具</w:t>
      </w:r>
      <w:r>
        <w:rPr>
          <w:rFonts w:hint="eastAsia" w:ascii="MS UI Gothic" w:eastAsia="MS UI Gothic"/>
          <w:w w:val="80"/>
        </w:rPr>
        <w:t xml:space="preserve">、 </w:t>
      </w:r>
      <w:r>
        <w:t>材料</w:t>
      </w:r>
      <w:r>
        <w:rPr>
          <w:rFonts w:hint="eastAsia" w:ascii="MS UI Gothic" w:eastAsia="MS UI Gothic"/>
          <w:w w:val="80"/>
        </w:rPr>
        <w:t xml:space="preserve">、 </w:t>
      </w:r>
      <w:r>
        <w:t>设备和人员</w:t>
      </w:r>
      <w:r>
        <w:rPr>
          <w:rFonts w:hint="eastAsia" w:ascii="MS UI Gothic" w:eastAsia="MS UI Gothic"/>
          <w:w w:val="80"/>
        </w:rPr>
        <w:t xml:space="preserve">ꎮ </w:t>
      </w:r>
      <w:r>
        <w:t>停机前后必须巡查托辊和输送带的运行情况</w:t>
      </w:r>
      <w:r>
        <w:rPr>
          <w:rFonts w:hint="eastAsia" w:ascii="MS UI Gothic" w:eastAsia="MS UI Gothic"/>
          <w:w w:val="80"/>
        </w:rPr>
        <w:t xml:space="preserve">ꎬ </w:t>
      </w:r>
      <w:r>
        <w:t>发现异常及时处理</w:t>
      </w:r>
      <w:r>
        <w:rPr>
          <w:rFonts w:hint="eastAsia" w:ascii="MS UI Gothic" w:eastAsia="MS UI Gothic"/>
          <w:w w:val="80"/>
        </w:rPr>
        <w:t xml:space="preserve"> </w:t>
      </w:r>
      <w:r>
        <w:t>检修时应当停机闭锁</w:t>
      </w:r>
      <w:r>
        <w:rPr>
          <w:rFonts w:hint="eastAsia" w:ascii="MS UI Gothic" w:eastAsia="MS UI Gothic"/>
          <w:w w:val="80"/>
        </w:rPr>
        <w:t>ꎮ</w:t>
      </w:r>
    </w:p>
    <w:p>
      <w:pPr>
        <w:pStyle w:val="6"/>
        <w:tabs>
          <w:tab w:val="left" w:pos="2005"/>
          <w:tab w:val="left" w:pos="2633"/>
        </w:tabs>
        <w:spacing w:before="143"/>
        <w:ind w:left="1166" w:firstLine="0"/>
        <w:jc w:val="left"/>
      </w:pPr>
      <w:r>
        <w:rPr>
          <w:spacing w:val="3"/>
          <w:w w:val="105"/>
        </w:rPr>
        <w:t>第五</w:t>
      </w:r>
      <w:r>
        <w:rPr>
          <w:w w:val="105"/>
        </w:rPr>
        <w:t>章</w:t>
      </w:r>
      <w:r>
        <w:rPr>
          <w:w w:val="105"/>
        </w:rPr>
        <w:tab/>
      </w:r>
      <w:r>
        <w:rPr>
          <w:w w:val="105"/>
        </w:rPr>
        <w:t>排</w:t>
      </w:r>
      <w:r>
        <w:rPr>
          <w:w w:val="105"/>
        </w:rPr>
        <w:tab/>
      </w:r>
      <w:r>
        <w:rPr>
          <w:w w:val="105"/>
        </w:rPr>
        <w:t>土</w:t>
      </w:r>
    </w:p>
    <w:p>
      <w:pPr>
        <w:pStyle w:val="6"/>
        <w:spacing w:before="215" w:line="295" w:lineRule="auto"/>
        <w:ind w:left="118" w:right="440"/>
        <w:rPr>
          <w:rFonts w:hint="eastAsia" w:ascii="MS UI Gothic" w:eastAsia="MS UI Gothic"/>
        </w:rPr>
      </w:pPr>
      <w:r>
        <w:rPr>
          <w:spacing w:val="11"/>
        </w:rPr>
        <w:t>第五百七十四条  排土场位置的选</w:t>
      </w:r>
      <w:r>
        <w:rPr>
          <w:spacing w:val="3"/>
        </w:rPr>
        <w:t>择</w:t>
      </w:r>
      <w:r>
        <w:rPr>
          <w:rFonts w:hint="eastAsia" w:ascii="MS UI Gothic" w:eastAsia="MS UI Gothic"/>
          <w:spacing w:val="23"/>
          <w:w w:val="80"/>
        </w:rPr>
        <w:t xml:space="preserve">ꎬ </w:t>
      </w:r>
      <w:r>
        <w:rPr>
          <w:spacing w:val="3"/>
        </w:rPr>
        <w:t>应当保证排弃土岩时</w:t>
      </w:r>
      <w:r>
        <w:rPr>
          <w:rFonts w:hint="eastAsia" w:ascii="MS UI Gothic" w:eastAsia="MS UI Gothic"/>
          <w:spacing w:val="23"/>
          <w:w w:val="80"/>
        </w:rPr>
        <w:t xml:space="preserve">ꎬ </w:t>
      </w:r>
      <w:r>
        <w:rPr>
          <w:spacing w:val="2"/>
        </w:rPr>
        <w:t>不致因大块滚</w:t>
      </w:r>
      <w:r>
        <w:rPr>
          <w:spacing w:val="3"/>
        </w:rPr>
        <w:t>落</w:t>
      </w:r>
      <w:r>
        <w:rPr>
          <w:rFonts w:hint="eastAsia" w:ascii="MS UI Gothic" w:eastAsia="MS UI Gothic"/>
          <w:spacing w:val="14"/>
          <w:w w:val="80"/>
        </w:rPr>
        <w:t xml:space="preserve">、 </w:t>
      </w:r>
      <w:r>
        <w:rPr>
          <w:spacing w:val="4"/>
        </w:rPr>
        <w:t>滑坡</w:t>
      </w:r>
      <w:r>
        <w:rPr>
          <w:rFonts w:hint="eastAsia" w:ascii="MS UI Gothic" w:eastAsia="MS UI Gothic"/>
          <w:spacing w:val="17"/>
          <w:w w:val="80"/>
        </w:rPr>
        <w:t xml:space="preserve">、 </w:t>
      </w:r>
      <w:r>
        <w:rPr>
          <w:spacing w:val="11"/>
        </w:rPr>
        <w:t>塌方等威胁采场</w:t>
      </w:r>
      <w:r>
        <w:rPr>
          <w:rFonts w:hint="eastAsia" w:ascii="MS UI Gothic" w:eastAsia="MS UI Gothic"/>
          <w:spacing w:val="17"/>
          <w:w w:val="80"/>
        </w:rPr>
        <w:t xml:space="preserve">、 </w:t>
      </w:r>
      <w:r>
        <w:rPr>
          <w:spacing w:val="11"/>
        </w:rPr>
        <w:t>工业场地</w:t>
      </w:r>
      <w:r>
        <w:rPr>
          <w:rFonts w:hint="eastAsia" w:ascii="MS UI Gothic" w:eastAsia="MS UI Gothic"/>
          <w:w w:val="80"/>
        </w:rPr>
        <w:t>、</w:t>
      </w:r>
      <w:r>
        <w:rPr>
          <w:spacing w:val="29"/>
        </w:rPr>
        <w:t>居民区</w:t>
      </w:r>
      <w:r>
        <w:rPr>
          <w:rFonts w:hint="eastAsia" w:ascii="MS UI Gothic" w:eastAsia="MS UI Gothic"/>
          <w:spacing w:val="1"/>
          <w:w w:val="80"/>
        </w:rPr>
        <w:t xml:space="preserve">、  </w:t>
      </w:r>
      <w:r>
        <w:rPr>
          <w:spacing w:val="22"/>
        </w:rPr>
        <w:t>铁路</w:t>
      </w:r>
      <w:r>
        <w:rPr>
          <w:rFonts w:hint="eastAsia" w:ascii="MS UI Gothic" w:eastAsia="MS UI Gothic"/>
          <w:spacing w:val="1"/>
          <w:w w:val="80"/>
        </w:rPr>
        <w:t xml:space="preserve">、  </w:t>
      </w:r>
      <w:r>
        <w:rPr>
          <w:spacing w:val="22"/>
        </w:rPr>
        <w:t>公路</w:t>
      </w:r>
      <w:r>
        <w:rPr>
          <w:rFonts w:hint="eastAsia" w:ascii="MS UI Gothic" w:eastAsia="MS UI Gothic"/>
          <w:spacing w:val="1"/>
          <w:w w:val="80"/>
        </w:rPr>
        <w:t xml:space="preserve">、  </w:t>
      </w:r>
      <w:r>
        <w:rPr>
          <w:spacing w:val="35"/>
        </w:rPr>
        <w:t>农田和水域的</w:t>
      </w:r>
      <w:r>
        <w:rPr>
          <w:spacing w:val="3"/>
        </w:rPr>
        <w:t>安全</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3"/>
        </w:rPr>
        <w:t>排土场位置选定后</w:t>
      </w:r>
      <w:r>
        <w:rPr>
          <w:rFonts w:hint="eastAsia" w:ascii="MS UI Gothic" w:eastAsia="MS UI Gothic"/>
          <w:spacing w:val="15"/>
          <w:w w:val="80"/>
        </w:rPr>
        <w:t xml:space="preserve">ꎬ </w:t>
      </w:r>
      <w:r>
        <w:rPr>
          <w:spacing w:val="2"/>
        </w:rPr>
        <w:t>应当进行地质测</w:t>
      </w:r>
      <w:r>
        <w:rPr>
          <w:spacing w:val="6"/>
        </w:rPr>
        <w:t>绘和工程</w:t>
      </w:r>
      <w:r>
        <w:rPr>
          <w:rFonts w:hint="eastAsia" w:ascii="MS UI Gothic" w:eastAsia="MS UI Gothic"/>
          <w:spacing w:val="14"/>
          <w:w w:val="80"/>
        </w:rPr>
        <w:t xml:space="preserve">、 </w:t>
      </w:r>
      <w:r>
        <w:rPr>
          <w:spacing w:val="19"/>
        </w:rPr>
        <w:t>水文地质勘探</w:t>
      </w:r>
      <w:r>
        <w:rPr>
          <w:rFonts w:hint="eastAsia" w:ascii="MS UI Gothic" w:eastAsia="MS UI Gothic"/>
          <w:spacing w:val="16"/>
          <w:w w:val="80"/>
        </w:rPr>
        <w:t xml:space="preserve">ꎬ </w:t>
      </w:r>
      <w:r>
        <w:rPr>
          <w:spacing w:val="18"/>
        </w:rPr>
        <w:t>以确定排土</w:t>
      </w:r>
      <w:r>
        <w:rPr>
          <w:spacing w:val="3"/>
        </w:rPr>
        <w:t>参数</w:t>
      </w:r>
      <w:r>
        <w:rPr>
          <w:rFonts w:hint="eastAsia" w:ascii="MS UI Gothic" w:eastAsia="MS UI Gothic"/>
          <w:w w:val="80"/>
        </w:rPr>
        <w:t>ꎮ</w:t>
      </w:r>
    </w:p>
    <w:p>
      <w:pPr>
        <w:pStyle w:val="6"/>
        <w:spacing w:line="295" w:lineRule="auto"/>
        <w:ind w:left="118" w:right="442"/>
        <w:rPr>
          <w:rFonts w:hint="eastAsia" w:ascii="MS UI Gothic" w:eastAsia="MS UI Gothic"/>
        </w:rPr>
      </w:pPr>
      <w:r>
        <w:t>第五百七十五条 当出现滑坡征兆或者其他危险时</w:t>
      </w:r>
      <w:r>
        <w:rPr>
          <w:rFonts w:hint="eastAsia" w:ascii="MS UI Gothic" w:eastAsia="MS UI Gothic"/>
          <w:w w:val="80"/>
        </w:rPr>
        <w:t xml:space="preserve">ꎬ </w:t>
      </w:r>
      <w:r>
        <w:t>必须停止排土作业</w:t>
      </w:r>
      <w:r>
        <w:rPr>
          <w:rFonts w:hint="eastAsia" w:ascii="MS UI Gothic" w:eastAsia="MS UI Gothic"/>
          <w:w w:val="80"/>
        </w:rPr>
        <w:t xml:space="preserve">ꎬ </w:t>
      </w:r>
      <w:r>
        <w:t>采取安全措施</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第五百七十六条 铁路排土线路必须</w:t>
      </w:r>
      <w:r>
        <w:rPr>
          <w:w w:val="110"/>
        </w:rPr>
        <w:t>符合下列要求</w:t>
      </w:r>
      <w:r>
        <w:rPr>
          <w:rFonts w:hint="eastAsia" w:ascii="MS UI Gothic" w:eastAsia="MS UI Gothic"/>
          <w:w w:val="235"/>
        </w:rPr>
        <w:t>:</w:t>
      </w:r>
    </w:p>
    <w:p>
      <w:pPr>
        <w:pStyle w:val="6"/>
        <w:spacing w:line="295" w:lineRule="auto"/>
        <w:ind w:left="118"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路基面向场地内侧按段高形成</w:t>
      </w:r>
      <w:r>
        <w:rPr>
          <w:w w:val="110"/>
        </w:rPr>
        <w:t>反坡</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排土线设置移动停车位置标志</w:t>
      </w:r>
      <w:r>
        <w:rPr>
          <w:w w:val="110"/>
        </w:rPr>
        <w:t>和停车标志</w:t>
      </w:r>
      <w:r>
        <w:rPr>
          <w:rFonts w:hint="eastAsia" w:ascii="MS UI Gothic" w:eastAsia="MS UI Gothic"/>
          <w:w w:val="80"/>
        </w:rPr>
        <w:t>ꎮ</w:t>
      </w:r>
    </w:p>
    <w:p>
      <w:pPr>
        <w:pStyle w:val="6"/>
        <w:tabs>
          <w:tab w:val="left" w:pos="2214"/>
        </w:tabs>
        <w:spacing w:line="255" w:lineRule="exact"/>
        <w:ind w:left="538" w:firstLine="0"/>
        <w:jc w:val="left"/>
      </w:pPr>
      <w:r>
        <w:rPr>
          <w:spacing w:val="3"/>
          <w:w w:val="105"/>
        </w:rPr>
        <w:t>第五百七十七</w:t>
      </w:r>
      <w:r>
        <w:rPr>
          <w:w w:val="105"/>
        </w:rPr>
        <w:t>条</w:t>
      </w:r>
      <w:r>
        <w:rPr>
          <w:w w:val="105"/>
        </w:rPr>
        <w:tab/>
      </w:r>
      <w:r>
        <w:rPr>
          <w:spacing w:val="3"/>
          <w:w w:val="105"/>
        </w:rPr>
        <w:t>列车在排土线路</w:t>
      </w:r>
      <w:r>
        <w:rPr>
          <w:w w:val="105"/>
        </w:rPr>
        <w:t>的</w:t>
      </w:r>
    </w:p>
    <w:p>
      <w:pPr>
        <w:spacing w:after="0" w:line="255" w:lineRule="exact"/>
        <w:jc w:val="left"/>
        <w:sectPr>
          <w:type w:val="continuous"/>
          <w:pgSz w:w="10500" w:h="14750"/>
          <w:pgMar w:top="1400" w:right="980" w:bottom="280" w:left="980" w:header="720" w:footer="720" w:gutter="0"/>
          <w:cols w:equalWidth="0" w:num="2">
            <w:col w:w="3934" w:space="264"/>
            <w:col w:w="4342"/>
          </w:cols>
        </w:sectPr>
      </w:pPr>
    </w:p>
    <w:p>
      <w:pPr>
        <w:spacing w:before="192"/>
        <w:ind w:left="3703" w:right="0" w:firstLine="0"/>
        <w:jc w:val="lef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tabs>
          <w:tab w:val="left" w:pos="4632"/>
        </w:tabs>
        <w:spacing w:line="240" w:lineRule="exact"/>
        <w:ind w:left="440" w:firstLine="0"/>
        <w:jc w:val="left"/>
        <w:rPr>
          <w:rFonts w:hint="eastAsia" w:ascii="MS UI Gothic" w:eastAsia="MS UI Gothic"/>
        </w:rPr>
      </w:pPr>
      <w:r>
        <w:pict>
          <v:shape id="_x0000_s2012" o:spid="_x0000_s2012" style="position:absolute;left:0pt;margin-left:0pt;margin-top:664.5pt;height:1.75pt;width:398.25pt;mso-position-horizontal-relative:page;z-index:252058624;mso-width-relative:page;mso-height-relative:page;" filled="f" stroked="t" coordorigin="0,13290" coordsize="7965,35" path="m1419,-196l9384,-196m1419,-231l9384,-231e">
            <v:path arrowok="t"/>
            <v:fill on="f" focussize="0,0"/>
            <v:stroke weight="0.388031496062992pt" color="#231F20"/>
            <v:imagedata o:title=""/>
            <o:lock v:ext="edit"/>
          </v:shape>
        </w:pict>
      </w:r>
      <w:r>
        <w:rPr>
          <w:spacing w:val="3"/>
          <w:w w:val="105"/>
        </w:rPr>
        <w:t>卸车地段应当符合下列要求</w:t>
      </w:r>
      <w:r>
        <w:rPr>
          <w:rFonts w:hint="eastAsia" w:ascii="MS UI Gothic" w:eastAsia="MS UI Gothic"/>
          <w:w w:val="105"/>
        </w:rPr>
        <w:t>:</w:t>
      </w:r>
      <w:r>
        <w:rPr>
          <w:rFonts w:hint="eastAsia" w:ascii="MS UI Gothic" w:eastAsia="MS UI Gothic"/>
          <w:w w:val="105"/>
        </w:rPr>
        <w:tab/>
      </w:r>
      <w:r>
        <w:rPr>
          <w:spacing w:val="3"/>
        </w:rPr>
        <w:t>间必须保持足够的安全距离</w:t>
      </w:r>
      <w:r>
        <w:rPr>
          <w:rFonts w:hint="eastAsia" w:ascii="MS UI Gothic" w:eastAsia="MS UI Gothic"/>
          <w:w w:val="80"/>
        </w:rPr>
        <w:t>ꎮ</w:t>
      </w:r>
    </w:p>
    <w:p>
      <w:pPr>
        <w:pStyle w:val="6"/>
        <w:spacing w:before="159"/>
        <w:ind w:left="221" w:firstLine="0"/>
        <w:jc w:val="left"/>
        <w:rPr>
          <w:rFonts w:hint="eastAsia" w:ascii="MS UI Gothic" w:eastAsia="MS UI Gothic"/>
        </w:rPr>
      </w:pPr>
      <w:r>
        <w:br w:type="column"/>
      </w:r>
      <w:r>
        <w:rPr>
          <w:rFonts w:hint="eastAsia" w:ascii="MS UI Gothic" w:eastAsia="MS UI Gothic"/>
          <w:spacing w:val="1"/>
          <w:w w:val="75"/>
        </w:rPr>
        <w:t>３３１</w:t>
      </w:r>
    </w:p>
    <w:p>
      <w:pPr>
        <w:spacing w:after="0"/>
        <w:jc w:val="left"/>
        <w:rPr>
          <w:rFonts w:hint="eastAsia" w:ascii="MS UI Gothic" w:eastAsia="MS UI Gothic"/>
        </w:rPr>
        <w:sectPr>
          <w:pgSz w:w="10500" w:h="14750"/>
          <w:pgMar w:top="960" w:right="980" w:bottom="280" w:left="980" w:header="720" w:footer="720" w:gutter="0"/>
          <w:cols w:equalWidth="0" w:num="2">
            <w:col w:w="7251" w:space="40"/>
            <w:col w:w="1249"/>
          </w:cols>
        </w:sectPr>
      </w:pPr>
    </w:p>
    <w:p>
      <w:pPr>
        <w:pStyle w:val="6"/>
        <w:spacing w:before="74" w:line="295" w:lineRule="auto"/>
        <w:ind w:left="440" w:right="1"/>
        <w:rPr>
          <w:rFonts w:hint="eastAsia" w:ascii="MS UI Gothic" w:eastAsia="MS UI Gothic"/>
        </w:rPr>
      </w:pPr>
      <w:r>
        <w:rPr>
          <w:rFonts w:hint="eastAsia" w:ascii="MS UI Gothic" w:eastAsia="MS UI Gothic"/>
          <w:spacing w:val="-31"/>
          <w:w w:val="145"/>
        </w:rPr>
        <w:t xml:space="preserve">( </w:t>
      </w:r>
      <w:r>
        <w:rPr>
          <w:spacing w:val="3"/>
        </w:rPr>
        <w:t>一</w:t>
      </w:r>
      <w:r>
        <w:rPr>
          <w:rFonts w:hint="eastAsia" w:ascii="MS UI Gothic" w:eastAsia="MS UI Gothic"/>
          <w:spacing w:val="36"/>
          <w:w w:val="145"/>
        </w:rPr>
        <w:t xml:space="preserve">) </w:t>
      </w:r>
      <w:r>
        <w:rPr>
          <w:spacing w:val="5"/>
        </w:rPr>
        <w:t>列车进入排土线后</w:t>
      </w:r>
      <w:r>
        <w:rPr>
          <w:rFonts w:hint="eastAsia" w:ascii="MS UI Gothic" w:eastAsia="MS UI Gothic"/>
          <w:spacing w:val="12"/>
          <w:w w:val="65"/>
        </w:rPr>
        <w:t xml:space="preserve">ꎬ </w:t>
      </w:r>
      <w:r>
        <w:rPr>
          <w:spacing w:val="8"/>
        </w:rPr>
        <w:t>由排土人</w:t>
      </w:r>
      <w:r>
        <w:rPr>
          <w:spacing w:val="3"/>
        </w:rPr>
        <w:t>员指挥列车运行</w:t>
      </w:r>
      <w:r>
        <w:rPr>
          <w:rFonts w:hint="eastAsia" w:ascii="MS UI Gothic" w:eastAsia="MS UI Gothic"/>
          <w:spacing w:val="3"/>
          <w:w w:val="65"/>
        </w:rPr>
        <w:t xml:space="preserve">ꎮ </w:t>
      </w:r>
      <w:r>
        <w:rPr>
          <w:spacing w:val="2"/>
        </w:rPr>
        <w:t>机械排土线的列车运行</w:t>
      </w:r>
      <w:r>
        <w:rPr>
          <w:spacing w:val="-8"/>
        </w:rPr>
        <w:t xml:space="preserve">速度不得超过 </w:t>
      </w:r>
      <w:r>
        <w:rPr>
          <w:rFonts w:hint="eastAsia" w:ascii="MS UI Gothic" w:eastAsia="MS UI Gothic"/>
          <w:spacing w:val="-1"/>
          <w:w w:val="95"/>
        </w:rPr>
        <w:t xml:space="preserve">２０ </w:t>
      </w:r>
      <w:r>
        <w:rPr>
          <w:rFonts w:hint="eastAsia" w:ascii="MS UI Gothic" w:eastAsia="MS UI Gothic"/>
          <w:w w:val="95"/>
        </w:rPr>
        <w:t>ｋｍ</w:t>
      </w:r>
      <w:r>
        <w:rPr>
          <w:rFonts w:hint="eastAsia" w:ascii="MS UI Gothic" w:eastAsia="MS UI Gothic"/>
          <w:spacing w:val="-36"/>
          <w:w w:val="95"/>
        </w:rPr>
        <w:t xml:space="preserve"> </w:t>
      </w:r>
      <w:r>
        <w:rPr>
          <w:rFonts w:hint="eastAsia" w:ascii="MS UI Gothic" w:eastAsia="MS UI Gothic"/>
          <w:w w:val="65"/>
        </w:rPr>
        <w:t>/</w:t>
      </w:r>
      <w:r>
        <w:rPr>
          <w:rFonts w:hint="eastAsia" w:ascii="MS UI Gothic" w:eastAsia="MS UI Gothic"/>
          <w:spacing w:val="-8"/>
          <w:w w:val="65"/>
        </w:rPr>
        <w:t xml:space="preserve"> </w:t>
      </w:r>
      <w:r>
        <w:rPr>
          <w:rFonts w:hint="eastAsia" w:ascii="MS UI Gothic" w:eastAsia="MS UI Gothic"/>
          <w:spacing w:val="5"/>
          <w:w w:val="95"/>
        </w:rPr>
        <w:t>ｈ</w:t>
      </w:r>
      <w:r>
        <w:rPr>
          <w:rFonts w:hint="eastAsia" w:ascii="MS UI Gothic" w:eastAsia="MS UI Gothic"/>
          <w:w w:val="65"/>
        </w:rPr>
        <w:t xml:space="preserve">ꎻ  </w:t>
      </w:r>
      <w:r>
        <w:rPr>
          <w:spacing w:val="7"/>
        </w:rPr>
        <w:t>人工排土线不得</w:t>
      </w:r>
      <w:r>
        <w:rPr>
          <w:spacing w:val="3"/>
        </w:rPr>
        <w:t xml:space="preserve">超过 </w:t>
      </w:r>
      <w:r>
        <w:rPr>
          <w:rFonts w:hint="eastAsia" w:ascii="MS UI Gothic" w:eastAsia="MS UI Gothic"/>
          <w:spacing w:val="15"/>
          <w:w w:val="95"/>
        </w:rPr>
        <w:t xml:space="preserve">１５ </w:t>
      </w:r>
      <w:r>
        <w:rPr>
          <w:rFonts w:hint="eastAsia" w:ascii="MS UI Gothic" w:eastAsia="MS UI Gothic"/>
          <w:w w:val="95"/>
        </w:rPr>
        <w:t>ｋｍ</w:t>
      </w:r>
      <w:r>
        <w:rPr>
          <w:rFonts w:hint="eastAsia" w:ascii="MS UI Gothic" w:eastAsia="MS UI Gothic"/>
          <w:spacing w:val="-35"/>
          <w:w w:val="95"/>
        </w:rPr>
        <w:t xml:space="preserve"> </w:t>
      </w:r>
      <w:r>
        <w:rPr>
          <w:rFonts w:hint="eastAsia" w:ascii="MS UI Gothic" w:eastAsia="MS UI Gothic"/>
          <w:w w:val="65"/>
        </w:rPr>
        <w:t>/</w:t>
      </w:r>
      <w:r>
        <w:rPr>
          <w:rFonts w:hint="eastAsia" w:ascii="MS UI Gothic" w:eastAsia="MS UI Gothic"/>
          <w:spacing w:val="-5"/>
          <w:w w:val="65"/>
        </w:rPr>
        <w:t xml:space="preserve"> </w:t>
      </w:r>
      <w:r>
        <w:rPr>
          <w:rFonts w:hint="eastAsia" w:ascii="MS UI Gothic" w:eastAsia="MS UI Gothic"/>
          <w:spacing w:val="5"/>
          <w:w w:val="95"/>
        </w:rPr>
        <w:t>ｈ</w:t>
      </w:r>
      <w:r>
        <w:rPr>
          <w:rFonts w:hint="eastAsia" w:ascii="MS UI Gothic" w:eastAsia="MS UI Gothic"/>
          <w:spacing w:val="12"/>
          <w:w w:val="65"/>
        </w:rPr>
        <w:t xml:space="preserve">ꎻ </w:t>
      </w:r>
      <w:r>
        <w:rPr>
          <w:spacing w:val="38"/>
        </w:rPr>
        <w:t>接近路端时</w:t>
      </w:r>
      <w:r>
        <w:rPr>
          <w:rFonts w:hint="eastAsia" w:ascii="MS UI Gothic" w:eastAsia="MS UI Gothic"/>
          <w:spacing w:val="12"/>
          <w:w w:val="65"/>
        </w:rPr>
        <w:t xml:space="preserve">ꎬ </w:t>
      </w:r>
      <w:r>
        <w:rPr>
          <w:spacing w:val="28"/>
        </w:rPr>
        <w:t>不得超</w:t>
      </w:r>
      <w:r>
        <w:t>过</w:t>
      </w:r>
      <w:r>
        <w:rPr>
          <w:rFonts w:hint="eastAsia" w:ascii="MS UI Gothic" w:eastAsia="MS UI Gothic"/>
          <w:spacing w:val="6"/>
          <w:w w:val="95"/>
        </w:rPr>
        <w:t xml:space="preserve">５ </w:t>
      </w:r>
      <w:r>
        <w:rPr>
          <w:rFonts w:hint="eastAsia" w:ascii="MS UI Gothic" w:eastAsia="MS UI Gothic"/>
          <w:w w:val="95"/>
        </w:rPr>
        <w:t>ｋｍ</w:t>
      </w:r>
      <w:r>
        <w:rPr>
          <w:rFonts w:hint="eastAsia" w:ascii="MS UI Gothic" w:eastAsia="MS UI Gothic"/>
          <w:spacing w:val="-29"/>
          <w:w w:val="95"/>
        </w:rPr>
        <w:t xml:space="preserve"> </w:t>
      </w:r>
      <w:r>
        <w:rPr>
          <w:rFonts w:hint="eastAsia" w:ascii="MS UI Gothic" w:eastAsia="MS UI Gothic"/>
          <w:w w:val="65"/>
        </w:rPr>
        <w:t>/</w:t>
      </w:r>
      <w:r>
        <w:rPr>
          <w:rFonts w:hint="eastAsia" w:ascii="MS UI Gothic" w:eastAsia="MS UI Gothic"/>
          <w:spacing w:val="3"/>
          <w:w w:val="65"/>
        </w:rPr>
        <w:t xml:space="preserve"> </w:t>
      </w:r>
      <w:r>
        <w:rPr>
          <w:rFonts w:hint="eastAsia" w:ascii="MS UI Gothic" w:eastAsia="MS UI Gothic"/>
          <w:spacing w:val="5"/>
          <w:w w:val="95"/>
        </w:rPr>
        <w:t>ｈ</w:t>
      </w:r>
      <w:r>
        <w:rPr>
          <w:rFonts w:hint="eastAsia" w:ascii="MS UI Gothic" w:eastAsia="MS UI Gothic"/>
          <w:w w:val="65"/>
        </w:rPr>
        <w:t>ꎮ</w:t>
      </w:r>
    </w:p>
    <w:p>
      <w:pPr>
        <w:pStyle w:val="6"/>
        <w:spacing w:line="252" w:lineRule="exact"/>
        <w:ind w:left="86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严禁运行中卸土</w:t>
      </w:r>
      <w:r>
        <w:rPr>
          <w:rFonts w:hint="eastAsia" w:ascii="MS UI Gothic" w:eastAsia="MS UI Gothic"/>
          <w:w w:val="80"/>
        </w:rPr>
        <w:t>ꎮ</w:t>
      </w:r>
    </w:p>
    <w:p>
      <w:pPr>
        <w:pStyle w:val="6"/>
        <w:spacing w:before="59" w:line="295" w:lineRule="auto"/>
        <w:ind w:left="440" w:right="1"/>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新移设线路</w:t>
      </w:r>
      <w:r>
        <w:rPr>
          <w:rFonts w:hint="eastAsia" w:ascii="MS UI Gothic" w:eastAsia="MS UI Gothic"/>
          <w:w w:val="80"/>
        </w:rPr>
        <w:t xml:space="preserve">ꎬ </w:t>
      </w:r>
      <w:r>
        <w:rPr>
          <w:w w:val="105"/>
        </w:rPr>
        <w:t>首次列车严禁牵引进入</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2"/>
          <w:w w:val="150"/>
        </w:rPr>
        <w:t xml:space="preserve">) </w:t>
      </w:r>
      <w:r>
        <w:rPr>
          <w:spacing w:val="-14"/>
          <w:w w:val="105"/>
        </w:rPr>
        <w:t xml:space="preserve">翻车时 </w:t>
      </w:r>
      <w:r>
        <w:rPr>
          <w:rFonts w:hint="eastAsia" w:ascii="MS UI Gothic" w:eastAsia="MS UI Gothic"/>
          <w:w w:val="80"/>
        </w:rPr>
        <w:t xml:space="preserve">２ </w:t>
      </w:r>
      <w:r>
        <w:rPr>
          <w:spacing w:val="8"/>
          <w:w w:val="105"/>
        </w:rPr>
        <w:t>人操作</w:t>
      </w:r>
      <w:r>
        <w:rPr>
          <w:rFonts w:hint="eastAsia" w:ascii="MS UI Gothic" w:eastAsia="MS UI Gothic"/>
          <w:spacing w:val="18"/>
          <w:w w:val="80"/>
        </w:rPr>
        <w:t xml:space="preserve">ꎬ </w:t>
      </w:r>
      <w:r>
        <w:rPr>
          <w:spacing w:val="8"/>
          <w:w w:val="105"/>
        </w:rPr>
        <w:t>操作人员位</w:t>
      </w:r>
      <w:r>
        <w:rPr>
          <w:spacing w:val="3"/>
          <w:w w:val="105"/>
        </w:rPr>
        <w:t>于车厢内侧</w:t>
      </w:r>
      <w:r>
        <w:rPr>
          <w:rFonts w:hint="eastAsia" w:ascii="MS UI Gothic" w:eastAsia="MS UI Gothic"/>
          <w:w w:val="80"/>
        </w:rPr>
        <w:t>ꎮ</w:t>
      </w:r>
    </w:p>
    <w:p>
      <w:pPr>
        <w:pStyle w:val="6"/>
        <w:spacing w:line="295" w:lineRule="auto"/>
        <w:ind w:left="440"/>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采用机械化作业清扫自翻车</w:t>
      </w:r>
      <w:r>
        <w:rPr>
          <w:rFonts w:hint="eastAsia" w:ascii="MS UI Gothic" w:eastAsia="MS UI Gothic"/>
          <w:w w:val="80"/>
        </w:rPr>
        <w:t>ꎬ</w:t>
      </w:r>
      <w:r>
        <w:rPr>
          <w:w w:val="105"/>
        </w:rPr>
        <w:t>人工清扫必须制定安全措施</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卸车完毕</w:t>
      </w:r>
      <w:r>
        <w:rPr>
          <w:rFonts w:hint="eastAsia" w:ascii="MS UI Gothic" w:eastAsia="MS UI Gothic"/>
          <w:w w:val="80"/>
        </w:rPr>
        <w:t xml:space="preserve">ꎬ </w:t>
      </w:r>
      <w:r>
        <w:rPr>
          <w:w w:val="105"/>
        </w:rPr>
        <w:t>在排土人员发出出车信号后</w:t>
      </w:r>
      <w:r>
        <w:rPr>
          <w:rFonts w:hint="eastAsia" w:ascii="MS UI Gothic" w:eastAsia="MS UI Gothic"/>
          <w:w w:val="80"/>
        </w:rPr>
        <w:t xml:space="preserve">ꎬ </w:t>
      </w:r>
      <w:r>
        <w:rPr>
          <w:w w:val="105"/>
        </w:rPr>
        <w:t>列车方可驶出排土线</w:t>
      </w:r>
      <w:r>
        <w:rPr>
          <w:rFonts w:hint="eastAsia" w:ascii="MS UI Gothic" w:eastAsia="MS UI Gothic"/>
          <w:w w:val="80"/>
        </w:rPr>
        <w:t>ꎮ</w:t>
      </w:r>
    </w:p>
    <w:p>
      <w:pPr>
        <w:pStyle w:val="6"/>
        <w:tabs>
          <w:tab w:val="left" w:pos="2536"/>
        </w:tabs>
        <w:spacing w:line="295" w:lineRule="auto"/>
        <w:ind w:left="440" w:right="1"/>
        <w:jc w:val="left"/>
        <w:rPr>
          <w:rFonts w:hint="eastAsia" w:ascii="MS UI Gothic" w:eastAsia="MS UI Gothic"/>
        </w:rPr>
      </w:pPr>
      <w:r>
        <w:rPr>
          <w:spacing w:val="3"/>
          <w:w w:val="105"/>
        </w:rPr>
        <w:t>第五百七十八</w:t>
      </w:r>
      <w:r>
        <w:rPr>
          <w:w w:val="105"/>
        </w:rPr>
        <w:t>条</w:t>
      </w:r>
      <w:r>
        <w:rPr>
          <w:w w:val="105"/>
        </w:rPr>
        <w:tab/>
      </w:r>
      <w:r>
        <w:rPr>
          <w:spacing w:val="3"/>
        </w:rPr>
        <w:t>单斗挖掘机排土</w:t>
      </w:r>
      <w:r>
        <w:rPr>
          <w:spacing w:val="-13"/>
        </w:rPr>
        <w:t>应</w:t>
      </w:r>
      <w:r>
        <w:rPr>
          <w:spacing w:val="3"/>
          <w:w w:val="110"/>
        </w:rPr>
        <w:t>当遵守下列规定</w:t>
      </w:r>
      <w:r>
        <w:rPr>
          <w:rFonts w:hint="eastAsia" w:ascii="MS UI Gothic" w:eastAsia="MS UI Gothic"/>
          <w:w w:val="235"/>
        </w:rPr>
        <w:t>:</w:t>
      </w:r>
    </w:p>
    <w:p>
      <w:pPr>
        <w:pStyle w:val="6"/>
        <w:spacing w:line="255" w:lineRule="exact"/>
        <w:ind w:left="860" w:firstLine="0"/>
        <w:jc w:val="left"/>
        <w:rPr>
          <w:rFonts w:hint="eastAsia" w:ascii="MS UI Gothic" w:hAnsi="MS UI Gothic" w:eastAsia="MS UI Gothic"/>
        </w:rPr>
      </w:pPr>
      <w:r>
        <w:rPr>
          <w:rFonts w:hint="eastAsia" w:ascii="MS UI Gothic" w:hAnsi="MS UI Gothic" w:eastAsia="MS UI Gothic"/>
        </w:rPr>
        <w:t xml:space="preserve">( </w:t>
      </w:r>
      <w:r>
        <w:t>一</w:t>
      </w:r>
      <w:r>
        <w:rPr>
          <w:rFonts w:hint="eastAsia" w:ascii="MS UI Gothic" w:hAnsi="MS UI Gothic" w:eastAsia="MS UI Gothic"/>
        </w:rPr>
        <w:t xml:space="preserve">) </w:t>
      </w:r>
      <w:r>
        <w:t xml:space="preserve">受土坑的坡面角不得大于 </w:t>
      </w:r>
      <w:r>
        <w:rPr>
          <w:rFonts w:hint="eastAsia" w:ascii="MS UI Gothic" w:hAnsi="MS UI Gothic" w:eastAsia="MS UI Gothic"/>
          <w:w w:val="85"/>
        </w:rPr>
        <w:t>７０°ꎬ</w:t>
      </w:r>
    </w:p>
    <w:p>
      <w:pPr>
        <w:pStyle w:val="6"/>
        <w:spacing w:before="51"/>
        <w:ind w:left="440" w:firstLine="0"/>
        <w:jc w:val="left"/>
        <w:rPr>
          <w:rFonts w:hint="eastAsia" w:ascii="MS UI Gothic" w:eastAsia="MS UI Gothic"/>
        </w:rPr>
      </w:pPr>
      <w:r>
        <w:t>严禁超挖</w:t>
      </w:r>
      <w:r>
        <w:rPr>
          <w:rFonts w:hint="eastAsia" w:ascii="MS UI Gothic" w:eastAsia="MS UI Gothic"/>
          <w:w w:val="80"/>
        </w:rPr>
        <w:t>ꎮ</w:t>
      </w:r>
    </w:p>
    <w:p>
      <w:pPr>
        <w:pStyle w:val="6"/>
        <w:spacing w:before="58" w:line="295" w:lineRule="auto"/>
        <w:ind w:left="440" w:right="1"/>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挖掘机至站立台阶坡顶线的安</w:t>
      </w:r>
      <w:r>
        <w:rPr>
          <w:w w:val="115"/>
        </w:rPr>
        <w:t>全距离</w:t>
      </w:r>
      <w:r>
        <w:rPr>
          <w:rFonts w:hint="eastAsia" w:ascii="MS UI Gothic" w:eastAsia="MS UI Gothic"/>
          <w:w w:val="235"/>
        </w:rPr>
        <w:t>:</w:t>
      </w:r>
    </w:p>
    <w:p>
      <w:pPr>
        <w:pStyle w:val="6"/>
        <w:spacing w:line="255" w:lineRule="exact"/>
        <w:ind w:left="854" w:firstLine="0"/>
        <w:jc w:val="left"/>
        <w:rPr>
          <w:rFonts w:hint="eastAsia" w:ascii="MS UI Gothic" w:eastAsia="MS UI Gothic"/>
        </w:rPr>
      </w:pPr>
      <w:r>
        <w:rPr>
          <w:rFonts w:hint="eastAsia" w:ascii="MS UI Gothic" w:eastAsia="MS UI Gothic"/>
          <w:w w:val="85"/>
        </w:rPr>
        <w:t xml:space="preserve">１ </w:t>
      </w:r>
      <w:r>
        <w:rPr>
          <w:spacing w:val="-10"/>
        </w:rPr>
        <w:t xml:space="preserve">台阶高度 </w:t>
      </w:r>
      <w:r>
        <w:rPr>
          <w:rFonts w:hint="eastAsia" w:ascii="MS UI Gothic" w:eastAsia="MS UI Gothic"/>
          <w:spacing w:val="5"/>
          <w:w w:val="85"/>
        </w:rPr>
        <w:t xml:space="preserve">１０ </w:t>
      </w:r>
      <w:r>
        <w:rPr>
          <w:rFonts w:hint="eastAsia" w:ascii="MS UI Gothic" w:eastAsia="MS UI Gothic"/>
          <w:w w:val="85"/>
        </w:rPr>
        <w:t xml:space="preserve">ｍ </w:t>
      </w:r>
      <w:r>
        <w:rPr>
          <w:spacing w:val="-13"/>
        </w:rPr>
        <w:t xml:space="preserve">以下为 </w:t>
      </w:r>
      <w:r>
        <w:rPr>
          <w:rFonts w:hint="eastAsia" w:ascii="MS UI Gothic" w:eastAsia="MS UI Gothic"/>
          <w:spacing w:val="8"/>
          <w:w w:val="85"/>
        </w:rPr>
        <w:t xml:space="preserve">６ </w:t>
      </w:r>
      <w:r>
        <w:rPr>
          <w:rFonts w:hint="eastAsia" w:ascii="MS UI Gothic" w:eastAsia="MS UI Gothic"/>
          <w:spacing w:val="4"/>
          <w:w w:val="85"/>
        </w:rPr>
        <w:t>ｍ</w:t>
      </w:r>
      <w:r>
        <w:rPr>
          <w:rFonts w:hint="eastAsia" w:ascii="MS UI Gothic" w:eastAsia="MS UI Gothic"/>
          <w:w w:val="85"/>
        </w:rPr>
        <w:t>ꎻ</w:t>
      </w:r>
    </w:p>
    <w:p>
      <w:pPr>
        <w:pStyle w:val="6"/>
        <w:spacing w:before="59"/>
        <w:ind w:left="854" w:firstLine="0"/>
        <w:jc w:val="left"/>
        <w:rPr>
          <w:rFonts w:hint="eastAsia" w:ascii="MS UI Gothic" w:eastAsia="MS UI Gothic"/>
        </w:rPr>
      </w:pPr>
      <w:r>
        <w:rPr>
          <w:rFonts w:hint="eastAsia" w:ascii="MS UI Gothic" w:eastAsia="MS UI Gothic"/>
          <w:w w:val="85"/>
        </w:rPr>
        <w:t xml:space="preserve">２ </w:t>
      </w:r>
      <w:r>
        <w:rPr>
          <w:spacing w:val="-10"/>
        </w:rPr>
        <w:t xml:space="preserve">台阶高度 </w:t>
      </w:r>
      <w:r>
        <w:rPr>
          <w:rFonts w:hint="eastAsia" w:ascii="MS UI Gothic" w:eastAsia="MS UI Gothic"/>
          <w:spacing w:val="-9"/>
          <w:w w:val="85"/>
        </w:rPr>
        <w:t xml:space="preserve">１１ </w:t>
      </w:r>
      <w:r>
        <w:rPr>
          <w:rFonts w:hint="eastAsia" w:ascii="MS UI Gothic" w:eastAsia="MS UI Gothic"/>
          <w:w w:val="115"/>
        </w:rPr>
        <w:t xml:space="preserve">~ </w:t>
      </w:r>
      <w:r>
        <w:rPr>
          <w:rFonts w:hint="eastAsia" w:ascii="MS UI Gothic" w:eastAsia="MS UI Gothic"/>
          <w:spacing w:val="5"/>
          <w:w w:val="85"/>
        </w:rPr>
        <w:t xml:space="preserve">１５ </w:t>
      </w:r>
      <w:r>
        <w:rPr>
          <w:rFonts w:hint="eastAsia" w:ascii="MS UI Gothic" w:eastAsia="MS UI Gothic"/>
          <w:w w:val="85"/>
        </w:rPr>
        <w:t xml:space="preserve">ｍ </w:t>
      </w:r>
      <w:r>
        <w:rPr>
          <w:spacing w:val="-28"/>
        </w:rPr>
        <w:t xml:space="preserve">为 </w:t>
      </w:r>
      <w:r>
        <w:rPr>
          <w:rFonts w:hint="eastAsia" w:ascii="MS UI Gothic" w:eastAsia="MS UI Gothic"/>
          <w:spacing w:val="7"/>
          <w:w w:val="85"/>
        </w:rPr>
        <w:t xml:space="preserve">８ </w:t>
      </w:r>
      <w:r>
        <w:rPr>
          <w:rFonts w:hint="eastAsia" w:ascii="MS UI Gothic" w:eastAsia="MS UI Gothic"/>
          <w:spacing w:val="4"/>
          <w:w w:val="85"/>
        </w:rPr>
        <w:t>ｍ</w:t>
      </w:r>
      <w:r>
        <w:rPr>
          <w:rFonts w:hint="eastAsia" w:ascii="MS UI Gothic" w:eastAsia="MS UI Gothic"/>
          <w:w w:val="85"/>
        </w:rPr>
        <w:t>ꎻ</w:t>
      </w:r>
    </w:p>
    <w:p>
      <w:pPr>
        <w:pStyle w:val="6"/>
        <w:spacing w:before="58"/>
        <w:ind w:left="854" w:firstLine="0"/>
        <w:jc w:val="left"/>
        <w:rPr>
          <w:rFonts w:hint="eastAsia" w:ascii="MS UI Gothic" w:eastAsia="MS UI Gothic"/>
        </w:rPr>
      </w:pPr>
      <w:r>
        <w:rPr>
          <w:rFonts w:hint="eastAsia" w:ascii="MS UI Gothic" w:eastAsia="MS UI Gothic"/>
          <w:w w:val="85"/>
        </w:rPr>
        <w:t xml:space="preserve">３ </w:t>
      </w:r>
      <w:r>
        <w:rPr>
          <w:spacing w:val="-10"/>
        </w:rPr>
        <w:t xml:space="preserve">台阶高度 </w:t>
      </w:r>
      <w:r>
        <w:rPr>
          <w:rFonts w:hint="eastAsia" w:ascii="MS UI Gothic" w:eastAsia="MS UI Gothic"/>
          <w:spacing w:val="-10"/>
          <w:w w:val="85"/>
        </w:rPr>
        <w:t xml:space="preserve">１６ </w:t>
      </w:r>
      <w:r>
        <w:rPr>
          <w:rFonts w:hint="eastAsia" w:ascii="MS UI Gothic" w:eastAsia="MS UI Gothic"/>
          <w:w w:val="115"/>
        </w:rPr>
        <w:t xml:space="preserve">~ </w:t>
      </w:r>
      <w:r>
        <w:rPr>
          <w:rFonts w:hint="eastAsia" w:ascii="MS UI Gothic" w:eastAsia="MS UI Gothic"/>
          <w:spacing w:val="4"/>
          <w:w w:val="85"/>
        </w:rPr>
        <w:t xml:space="preserve">２０ </w:t>
      </w:r>
      <w:r>
        <w:rPr>
          <w:rFonts w:hint="eastAsia" w:ascii="MS UI Gothic" w:eastAsia="MS UI Gothic"/>
          <w:w w:val="85"/>
        </w:rPr>
        <w:t xml:space="preserve">ｍ </w:t>
      </w:r>
      <w:r>
        <w:rPr>
          <w:spacing w:val="-28"/>
        </w:rPr>
        <w:t xml:space="preserve">为 </w:t>
      </w:r>
      <w:r>
        <w:rPr>
          <w:rFonts w:hint="eastAsia" w:ascii="MS UI Gothic" w:eastAsia="MS UI Gothic"/>
          <w:spacing w:val="4"/>
          <w:w w:val="85"/>
        </w:rPr>
        <w:t>１１ ｍ</w:t>
      </w:r>
      <w:r>
        <w:rPr>
          <w:rFonts w:hint="eastAsia" w:ascii="MS UI Gothic" w:eastAsia="MS UI Gothic"/>
          <w:w w:val="85"/>
        </w:rPr>
        <w:t>ꎻ</w:t>
      </w:r>
    </w:p>
    <w:p>
      <w:pPr>
        <w:pStyle w:val="6"/>
        <w:spacing w:before="58" w:line="295" w:lineRule="auto"/>
        <w:ind w:left="440" w:right="1" w:firstLine="413"/>
        <w:jc w:val="left"/>
        <w:rPr>
          <w:rFonts w:hint="eastAsia" w:ascii="MS UI Gothic" w:eastAsia="MS UI Gothic"/>
        </w:rPr>
      </w:pPr>
      <w:r>
        <w:rPr>
          <w:rFonts w:hint="eastAsia" w:ascii="MS UI Gothic" w:eastAsia="MS UI Gothic"/>
          <w:w w:val="85"/>
        </w:rPr>
        <w:t xml:space="preserve">４ </w:t>
      </w:r>
      <w:r>
        <w:t xml:space="preserve">台阶高度超过 </w:t>
      </w:r>
      <w:r>
        <w:rPr>
          <w:rFonts w:hint="eastAsia" w:ascii="MS UI Gothic" w:eastAsia="MS UI Gothic"/>
          <w:w w:val="85"/>
        </w:rPr>
        <w:t xml:space="preserve">２０ ｍ </w:t>
      </w:r>
      <w:r>
        <w:t>时必须制定安全措施</w:t>
      </w:r>
      <w:r>
        <w:rPr>
          <w:rFonts w:hint="eastAsia" w:ascii="MS UI Gothic" w:eastAsia="MS UI Gothic"/>
          <w:w w:val="85"/>
        </w:rPr>
        <w:t>ꎮ</w:t>
      </w:r>
    </w:p>
    <w:p>
      <w:pPr>
        <w:pStyle w:val="6"/>
        <w:tabs>
          <w:tab w:val="left" w:pos="2536"/>
        </w:tabs>
        <w:spacing w:line="295" w:lineRule="auto"/>
        <w:ind w:left="440" w:right="1"/>
        <w:jc w:val="left"/>
        <w:rPr>
          <w:rFonts w:hint="eastAsia" w:ascii="MS UI Gothic" w:eastAsia="MS UI Gothic"/>
        </w:rPr>
      </w:pPr>
      <w:r>
        <w:rPr>
          <w:spacing w:val="3"/>
          <w:w w:val="105"/>
        </w:rPr>
        <w:t>第五百七十九</w:t>
      </w:r>
      <w:r>
        <w:rPr>
          <w:w w:val="105"/>
        </w:rPr>
        <w:t>条</w:t>
      </w:r>
      <w:r>
        <w:rPr>
          <w:w w:val="105"/>
        </w:rPr>
        <w:tab/>
      </w:r>
      <w:r>
        <w:rPr>
          <w:spacing w:val="3"/>
        </w:rPr>
        <w:t>矿用卡车排土场</w:t>
      </w:r>
      <w:r>
        <w:rPr>
          <w:spacing w:val="-13"/>
        </w:rPr>
        <w:t>及</w:t>
      </w:r>
      <w:r>
        <w:rPr>
          <w:spacing w:val="3"/>
          <w:w w:val="110"/>
        </w:rPr>
        <w:t>排弃作业应当遵守下列规定</w:t>
      </w:r>
      <w:r>
        <w:rPr>
          <w:rFonts w:hint="eastAsia" w:ascii="MS UI Gothic" w:eastAsia="MS UI Gothic"/>
          <w:w w:val="235"/>
        </w:rPr>
        <w:t>:</w:t>
      </w:r>
    </w:p>
    <w:p>
      <w:pPr>
        <w:pStyle w:val="6"/>
        <w:spacing w:line="295" w:lineRule="auto"/>
        <w:ind w:left="435" w:firstLine="425"/>
        <w:rPr>
          <w:rFonts w:hint="eastAsia" w:ascii="MS UI Gothic" w:eastAsia="MS UI Gothic"/>
        </w:rPr>
      </w:pPr>
      <w:r>
        <w:rPr>
          <w:rFonts w:hint="eastAsia" w:ascii="MS UI Gothic" w:eastAsia="MS UI Gothic"/>
          <w:spacing w:val="-31"/>
          <w:w w:val="140"/>
        </w:rPr>
        <w:t xml:space="preserve">( </w:t>
      </w:r>
      <w:r>
        <w:rPr>
          <w:spacing w:val="3"/>
        </w:rPr>
        <w:t>一</w:t>
      </w:r>
      <w:r>
        <w:rPr>
          <w:rFonts w:hint="eastAsia" w:ascii="MS UI Gothic" w:eastAsia="MS UI Gothic"/>
          <w:spacing w:val="30"/>
          <w:w w:val="140"/>
        </w:rPr>
        <w:t xml:space="preserve">) </w:t>
      </w:r>
      <w:r>
        <w:rPr>
          <w:spacing w:val="5"/>
        </w:rPr>
        <w:t>排土场卸载区</w:t>
      </w:r>
      <w:r>
        <w:rPr>
          <w:rFonts w:hint="eastAsia" w:ascii="MS UI Gothic" w:eastAsia="MS UI Gothic"/>
          <w:spacing w:val="12"/>
          <w:w w:val="85"/>
        </w:rPr>
        <w:t xml:space="preserve">ꎬ </w:t>
      </w:r>
      <w:r>
        <w:rPr>
          <w:spacing w:val="9"/>
        </w:rPr>
        <w:t>必须有连续的</w:t>
      </w:r>
      <w:r>
        <w:rPr>
          <w:spacing w:val="3"/>
        </w:rPr>
        <w:t>安全挡墙</w:t>
      </w:r>
      <w:r>
        <w:rPr>
          <w:rFonts w:hint="eastAsia" w:ascii="MS UI Gothic" w:eastAsia="MS UI Gothic"/>
          <w:spacing w:val="22"/>
          <w:w w:val="85"/>
        </w:rPr>
        <w:t xml:space="preserve">ꎬ </w:t>
      </w:r>
      <w:r>
        <w:rPr>
          <w:spacing w:val="-5"/>
        </w:rPr>
        <w:t xml:space="preserve">车型小于 </w:t>
      </w:r>
      <w:r>
        <w:rPr>
          <w:rFonts w:hint="eastAsia" w:ascii="MS UI Gothic" w:eastAsia="MS UI Gothic"/>
          <w:spacing w:val="6"/>
          <w:w w:val="85"/>
        </w:rPr>
        <w:t xml:space="preserve">２４０ </w:t>
      </w:r>
      <w:r>
        <w:rPr>
          <w:rFonts w:hint="eastAsia" w:ascii="MS UI Gothic" w:eastAsia="MS UI Gothic"/>
          <w:w w:val="85"/>
        </w:rPr>
        <w:t>ｔ</w:t>
      </w:r>
      <w:r>
        <w:rPr>
          <w:rFonts w:hint="eastAsia" w:ascii="MS UI Gothic" w:eastAsia="MS UI Gothic"/>
          <w:spacing w:val="9"/>
          <w:w w:val="85"/>
        </w:rPr>
        <w:t xml:space="preserve"> </w:t>
      </w:r>
      <w:r>
        <w:rPr>
          <w:spacing w:val="9"/>
        </w:rPr>
        <w:t>时安全挡墙高</w:t>
      </w:r>
      <w:r>
        <w:rPr>
          <w:spacing w:val="-3"/>
        </w:rPr>
        <w:t xml:space="preserve">度不得低于轮胎直径的 </w:t>
      </w:r>
      <w:r>
        <w:rPr>
          <w:rFonts w:hint="eastAsia" w:ascii="MS UI Gothic" w:eastAsia="MS UI Gothic"/>
          <w:w w:val="85"/>
        </w:rPr>
        <w:t>０</w:t>
      </w:r>
      <w:r>
        <w:rPr>
          <w:rFonts w:hint="eastAsia" w:ascii="MS UI Gothic" w:eastAsia="MS UI Gothic"/>
          <w:spacing w:val="1"/>
          <w:w w:val="85"/>
        </w:rPr>
        <w:t xml:space="preserve"> ４ </w:t>
      </w:r>
      <w:r>
        <w:rPr>
          <w:spacing w:val="3"/>
        </w:rPr>
        <w:t>倍</w:t>
      </w:r>
      <w:r>
        <w:rPr>
          <w:rFonts w:hint="eastAsia" w:ascii="MS UI Gothic" w:eastAsia="MS UI Gothic"/>
          <w:spacing w:val="25"/>
          <w:w w:val="85"/>
        </w:rPr>
        <w:t xml:space="preserve">ꎬ </w:t>
      </w:r>
      <w:r>
        <w:rPr>
          <w:spacing w:val="3"/>
        </w:rPr>
        <w:t>车型大于</w:t>
      </w:r>
      <w:r>
        <w:rPr>
          <w:rFonts w:hint="eastAsia" w:ascii="MS UI Gothic" w:eastAsia="MS UI Gothic"/>
          <w:spacing w:val="14"/>
          <w:w w:val="85"/>
        </w:rPr>
        <w:t xml:space="preserve">２４０ </w:t>
      </w:r>
      <w:r>
        <w:rPr>
          <w:rFonts w:hint="eastAsia" w:ascii="MS UI Gothic" w:eastAsia="MS UI Gothic"/>
          <w:w w:val="85"/>
        </w:rPr>
        <w:t>ｔ</w:t>
      </w:r>
      <w:r>
        <w:rPr>
          <w:rFonts w:hint="eastAsia" w:ascii="MS UI Gothic" w:eastAsia="MS UI Gothic"/>
          <w:spacing w:val="23"/>
          <w:w w:val="85"/>
        </w:rPr>
        <w:t xml:space="preserve"> </w:t>
      </w:r>
      <w:r>
        <w:rPr>
          <w:spacing w:val="9"/>
        </w:rPr>
        <w:t>时安全挡墙高度不得低于轮胎直径</w:t>
      </w:r>
      <w:r>
        <w:rPr>
          <w:spacing w:val="-29"/>
        </w:rPr>
        <w:t xml:space="preserve">的 </w:t>
      </w:r>
      <w:r>
        <w:rPr>
          <w:rFonts w:hint="eastAsia" w:ascii="MS UI Gothic" w:eastAsia="MS UI Gothic"/>
          <w:w w:val="85"/>
        </w:rPr>
        <w:t>０</w:t>
      </w:r>
      <w:r>
        <w:rPr>
          <w:rFonts w:hint="eastAsia" w:ascii="MS UI Gothic" w:eastAsia="MS UI Gothic"/>
          <w:spacing w:val="-9"/>
          <w:w w:val="85"/>
        </w:rPr>
        <w:t xml:space="preserve"> ３５ </w:t>
      </w:r>
      <w:r>
        <w:rPr>
          <w:spacing w:val="3"/>
        </w:rPr>
        <w:t>倍</w:t>
      </w:r>
      <w:r>
        <w:rPr>
          <w:rFonts w:hint="eastAsia" w:ascii="MS UI Gothic" w:eastAsia="MS UI Gothic"/>
          <w:spacing w:val="9"/>
          <w:w w:val="85"/>
        </w:rPr>
        <w:t xml:space="preserve">ꎮ </w:t>
      </w:r>
      <w:r>
        <w:rPr>
          <w:spacing w:val="3"/>
        </w:rPr>
        <w:t>不同车型在同一地点排土时</w:t>
      </w:r>
      <w:r>
        <w:rPr>
          <w:rFonts w:hint="eastAsia" w:ascii="MS UI Gothic" w:eastAsia="MS UI Gothic"/>
          <w:w w:val="85"/>
        </w:rPr>
        <w:t>ꎬ</w:t>
      </w:r>
      <w:r>
        <w:rPr>
          <w:spacing w:val="3"/>
        </w:rPr>
        <w:t>必须按最大车型的要求修筑安全挡墙</w:t>
      </w:r>
      <w:r>
        <w:rPr>
          <w:rFonts w:hint="eastAsia" w:ascii="MS UI Gothic" w:eastAsia="MS UI Gothic"/>
          <w:spacing w:val="13"/>
          <w:w w:val="85"/>
        </w:rPr>
        <w:t xml:space="preserve">ꎬ </w:t>
      </w:r>
      <w:r>
        <w:t>特</w:t>
      </w:r>
      <w:r>
        <w:rPr>
          <w:spacing w:val="3"/>
        </w:rPr>
        <w:t>殊情况下必须制定安全措施</w:t>
      </w:r>
      <w:r>
        <w:rPr>
          <w:rFonts w:hint="eastAsia" w:ascii="MS UI Gothic" w:eastAsia="MS UI Gothic"/>
          <w:w w:val="85"/>
        </w:rPr>
        <w:t>ꎮ</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排土工作面向坡顶线方向应当</w:t>
      </w:r>
      <w:r>
        <w:rPr>
          <w:w w:val="115"/>
        </w:rPr>
        <w:t xml:space="preserve">保持 </w:t>
      </w:r>
      <w:r>
        <w:rPr>
          <w:rFonts w:hint="eastAsia" w:ascii="MS UI Gothic" w:eastAsia="MS UI Gothic"/>
          <w:w w:val="85"/>
        </w:rPr>
        <w:t>３</w:t>
      </w:r>
      <w:r>
        <w:rPr>
          <w:w w:val="85"/>
        </w:rPr>
        <w:t xml:space="preserve">％ </w:t>
      </w:r>
      <w:r>
        <w:rPr>
          <w:rFonts w:hint="eastAsia" w:ascii="MS UI Gothic" w:eastAsia="MS UI Gothic"/>
          <w:w w:val="115"/>
        </w:rPr>
        <w:t xml:space="preserve">~ </w:t>
      </w:r>
      <w:r>
        <w:rPr>
          <w:rFonts w:hint="eastAsia" w:ascii="MS UI Gothic" w:eastAsia="MS UI Gothic"/>
          <w:w w:val="85"/>
        </w:rPr>
        <w:t>５</w:t>
      </w:r>
      <w:r>
        <w:rPr>
          <w:w w:val="85"/>
        </w:rPr>
        <w:t xml:space="preserve">％ </w:t>
      </w:r>
      <w:r>
        <w:rPr>
          <w:w w:val="115"/>
        </w:rPr>
        <w:t>的反坡</w:t>
      </w:r>
      <w:r>
        <w:rPr>
          <w:rFonts w:hint="eastAsia" w:ascii="MS UI Gothic" w:eastAsia="MS UI Gothic"/>
          <w:w w:val="85"/>
        </w:rPr>
        <w:t>ꎮ</w:t>
      </w:r>
    </w:p>
    <w:p>
      <w:pPr>
        <w:pStyle w:val="6"/>
        <w:spacing w:line="295" w:lineRule="auto"/>
        <w:ind w:left="440" w:right="1"/>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应当按规定顺序排弃土岩</w:t>
      </w:r>
      <w:r>
        <w:rPr>
          <w:rFonts w:hint="eastAsia" w:ascii="MS UI Gothic" w:eastAsia="MS UI Gothic"/>
          <w:w w:val="80"/>
        </w:rPr>
        <w:t xml:space="preserve">ꎬ </w:t>
      </w:r>
      <w:r>
        <w:rPr>
          <w:w w:val="105"/>
        </w:rPr>
        <w:t>在</w:t>
      </w:r>
      <w:r>
        <w:t>同一地段进行卸车和排土作业时</w:t>
      </w:r>
      <w:r>
        <w:rPr>
          <w:rFonts w:hint="eastAsia" w:ascii="MS UI Gothic" w:eastAsia="MS UI Gothic"/>
          <w:w w:val="80"/>
        </w:rPr>
        <w:t xml:space="preserve">ꎬ </w:t>
      </w:r>
      <w:r>
        <w:t>设备之</w:t>
      </w:r>
    </w:p>
    <w:p>
      <w:pPr>
        <w:pStyle w:val="6"/>
        <w:spacing w:before="74" w:line="295" w:lineRule="auto"/>
        <w:ind w:left="381" w:right="126"/>
        <w:rPr>
          <w:rFonts w:hint="eastAsia" w:ascii="MS UI Gothic" w:eastAsia="MS UI Gothic"/>
        </w:rPr>
      </w:pPr>
      <w:r>
        <w:br w:type="column"/>
      </w: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卸载物料时</w:t>
      </w:r>
      <w:r>
        <w:rPr>
          <w:rFonts w:hint="eastAsia" w:ascii="MS UI Gothic" w:eastAsia="MS UI Gothic"/>
          <w:w w:val="80"/>
        </w:rPr>
        <w:t xml:space="preserve">ꎬ </w:t>
      </w:r>
      <w:r>
        <w:rPr>
          <w:w w:val="105"/>
        </w:rPr>
        <w:t>矿用卡车应当垂直排土工作线</w:t>
      </w:r>
      <w:r>
        <w:rPr>
          <w:rFonts w:hint="eastAsia" w:ascii="MS UI Gothic" w:eastAsia="MS UI Gothic"/>
          <w:w w:val="80"/>
        </w:rPr>
        <w:t xml:space="preserve">ꎻ </w:t>
      </w:r>
      <w:r>
        <w:rPr>
          <w:w w:val="105"/>
        </w:rPr>
        <w:t>严禁高速倒车</w:t>
      </w:r>
      <w:r>
        <w:rPr>
          <w:rFonts w:hint="eastAsia" w:ascii="MS UI Gothic" w:eastAsia="MS UI Gothic"/>
          <w:w w:val="80"/>
        </w:rPr>
        <w:t xml:space="preserve">、 </w:t>
      </w:r>
      <w:r>
        <w:rPr>
          <w:w w:val="105"/>
        </w:rPr>
        <w:t>冲撞安全挡墙</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第五百八十条 推土机</w:t>
      </w:r>
      <w:r>
        <w:rPr>
          <w:rFonts w:hint="eastAsia" w:ascii="MS UI Gothic" w:eastAsia="MS UI Gothic"/>
        </w:rPr>
        <w:t xml:space="preserve">、 </w:t>
      </w:r>
      <w:r>
        <w:rPr>
          <w:w w:val="105"/>
        </w:rPr>
        <w:t>装载机排土</w:t>
      </w:r>
      <w:r>
        <w:rPr>
          <w:w w:val="110"/>
        </w:rPr>
        <w:t>必须遵守下列规定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司机必须随时观察排土台阶的</w:t>
      </w:r>
      <w:r>
        <w:rPr>
          <w:w w:val="110"/>
        </w:rPr>
        <w:t>稳定情况</w:t>
      </w:r>
      <w:r>
        <w:rPr>
          <w:rFonts w:hint="eastAsia" w:ascii="MS UI Gothic" w:eastAsia="MS UI Gothic"/>
          <w:w w:val="80"/>
        </w:rPr>
        <w:t>ꎮ</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严禁平行于坡顶线作业</w:t>
      </w:r>
      <w:r>
        <w:rPr>
          <w:rFonts w:hint="eastAsia" w:ascii="MS UI Gothic" w:eastAsia="MS UI Gothic"/>
          <w:w w:val="80"/>
        </w:rPr>
        <w:t>ꎮ</w:t>
      </w:r>
    </w:p>
    <w:p>
      <w:pPr>
        <w:pStyle w:val="6"/>
        <w:spacing w:before="55" w:line="295" w:lineRule="auto"/>
        <w:ind w:left="381"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与矿用卡车之间保持足够的安</w:t>
      </w:r>
      <w:r>
        <w:rPr>
          <w:w w:val="110"/>
        </w:rPr>
        <w:t>全距离</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20"/>
        </w:rPr>
        <w:t xml:space="preserve">( </w:t>
      </w:r>
      <w:r>
        <w:rPr>
          <w:w w:val="110"/>
        </w:rPr>
        <w:t>四</w:t>
      </w:r>
      <w:r>
        <w:rPr>
          <w:rFonts w:hint="eastAsia" w:ascii="MS UI Gothic" w:eastAsia="MS UI Gothic"/>
          <w:w w:val="120"/>
        </w:rPr>
        <w:t xml:space="preserve">) </w:t>
      </w:r>
      <w:r>
        <w:rPr>
          <w:w w:val="110"/>
        </w:rPr>
        <w:t>严禁以高速冲击的方式铲推物料</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第五百八十一条 排土机排土必须遵</w:t>
      </w:r>
      <w:r>
        <w:rPr>
          <w:w w:val="110"/>
        </w:rPr>
        <w:t>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排土机必须在稳定的平盘上作</w:t>
      </w:r>
      <w:r>
        <w:t>业</w:t>
      </w:r>
      <w:r>
        <w:rPr>
          <w:rFonts w:hint="eastAsia" w:ascii="MS UI Gothic" w:eastAsia="MS UI Gothic"/>
          <w:w w:val="80"/>
        </w:rPr>
        <w:t xml:space="preserve">ꎬ </w:t>
      </w:r>
      <w:r>
        <w:t>外侧履带与台阶坡顶线之间必须保持</w:t>
      </w:r>
      <w:r>
        <w:rPr>
          <w:w w:val="105"/>
        </w:rPr>
        <w:t>一定的安全距离</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工作场地和行走道路的坡度必</w:t>
      </w:r>
      <w:r>
        <w:rPr>
          <w:w w:val="110"/>
        </w:rPr>
        <w:t>须符合排土机的技术要求</w:t>
      </w:r>
      <w:r>
        <w:rPr>
          <w:rFonts w:hint="eastAsia" w:ascii="MS UI Gothic" w:eastAsia="MS UI Gothic"/>
          <w:w w:val="80"/>
        </w:rPr>
        <w:t>ꎮ</w:t>
      </w:r>
    </w:p>
    <w:p>
      <w:pPr>
        <w:pStyle w:val="6"/>
        <w:spacing w:line="295" w:lineRule="auto"/>
        <w:ind w:left="381" w:right="126"/>
        <w:rPr>
          <w:rFonts w:hint="eastAsia" w:ascii="MS UI Gothic" w:eastAsia="MS UI Gothic"/>
        </w:rPr>
      </w:pPr>
      <w:r>
        <w:t>第五百八十二条 排土场卸载区应当有通信设施或者联络信号</w:t>
      </w:r>
      <w:r>
        <w:rPr>
          <w:rFonts w:hint="eastAsia" w:ascii="MS UI Gothic" w:eastAsia="MS UI Gothic"/>
          <w:w w:val="80"/>
        </w:rPr>
        <w:t xml:space="preserve">ꎬ </w:t>
      </w:r>
      <w:r>
        <w:t>夜间应当有照明</w:t>
      </w:r>
      <w:r>
        <w:rPr>
          <w:rFonts w:hint="eastAsia" w:ascii="MS UI Gothic" w:eastAsia="MS UI Gothic"/>
          <w:w w:val="80"/>
        </w:rPr>
        <w:t>ꎮ</w:t>
      </w:r>
    </w:p>
    <w:p>
      <w:pPr>
        <w:pStyle w:val="6"/>
        <w:tabs>
          <w:tab w:val="left" w:pos="2267"/>
          <w:tab w:val="left" w:pos="2896"/>
        </w:tabs>
        <w:spacing w:before="146"/>
        <w:ind w:left="1429" w:firstLine="0"/>
        <w:jc w:val="left"/>
      </w:pPr>
      <w:r>
        <w:rPr>
          <w:spacing w:val="3"/>
          <w:w w:val="105"/>
        </w:rPr>
        <w:t>第六</w:t>
      </w:r>
      <w:r>
        <w:rPr>
          <w:w w:val="105"/>
        </w:rPr>
        <w:t>章</w:t>
      </w:r>
      <w:r>
        <w:rPr>
          <w:w w:val="105"/>
        </w:rPr>
        <w:tab/>
      </w:r>
      <w:r>
        <w:rPr>
          <w:w w:val="105"/>
        </w:rPr>
        <w:t>边</w:t>
      </w:r>
      <w:r>
        <w:rPr>
          <w:w w:val="105"/>
        </w:rPr>
        <w:tab/>
      </w:r>
      <w:r>
        <w:rPr>
          <w:w w:val="105"/>
        </w:rPr>
        <w:t>坡</w:t>
      </w:r>
    </w:p>
    <w:p>
      <w:pPr>
        <w:pStyle w:val="6"/>
        <w:spacing w:before="215" w:line="295" w:lineRule="auto"/>
        <w:ind w:left="381" w:right="126"/>
        <w:rPr>
          <w:rFonts w:hint="eastAsia" w:ascii="MS UI Gothic" w:eastAsia="MS UI Gothic"/>
        </w:rPr>
      </w:pPr>
      <w:r>
        <w:rPr>
          <w:w w:val="105"/>
        </w:rPr>
        <w:t>第五百八十三条 露天煤矿应当进行专门的边坡工程</w:t>
      </w:r>
      <w:r>
        <w:rPr>
          <w:rFonts w:hint="eastAsia" w:ascii="MS UI Gothic" w:eastAsia="MS UI Gothic"/>
          <w:w w:val="80"/>
        </w:rPr>
        <w:t xml:space="preserve">、 </w:t>
      </w:r>
      <w:r>
        <w:rPr>
          <w:w w:val="105"/>
        </w:rPr>
        <w:t>地质勘探工程和稳定性分析评价</w:t>
      </w:r>
      <w:r>
        <w:rPr>
          <w:rFonts w:hint="eastAsia" w:ascii="MS UI Gothic" w:eastAsia="MS UI Gothic"/>
          <w:w w:val="80"/>
        </w:rPr>
        <w:t>ꎮ</w:t>
      </w:r>
    </w:p>
    <w:p>
      <w:pPr>
        <w:pStyle w:val="6"/>
        <w:spacing w:line="295" w:lineRule="auto"/>
        <w:ind w:left="381" w:right="126"/>
        <w:rPr>
          <w:rFonts w:hint="eastAsia" w:ascii="MS UI Gothic" w:eastAsia="MS UI Gothic"/>
        </w:rPr>
      </w:pPr>
      <w:r>
        <w:t>应当定期巡视采场及排土场边坡</w:t>
      </w:r>
      <w:r>
        <w:rPr>
          <w:rFonts w:hint="eastAsia" w:ascii="MS UI Gothic" w:eastAsia="MS UI Gothic"/>
          <w:w w:val="80"/>
        </w:rPr>
        <w:t xml:space="preserve">ꎬ </w:t>
      </w:r>
      <w:r>
        <w:t>发现有滑坡征兆时</w:t>
      </w:r>
      <w:r>
        <w:rPr>
          <w:rFonts w:hint="eastAsia" w:ascii="MS UI Gothic" w:eastAsia="MS UI Gothic"/>
          <w:w w:val="80"/>
        </w:rPr>
        <w:t xml:space="preserve">ꎬ </w:t>
      </w:r>
      <w:r>
        <w:t>必须设明显标志牌</w:t>
      </w:r>
      <w:r>
        <w:rPr>
          <w:rFonts w:hint="eastAsia" w:ascii="MS UI Gothic" w:eastAsia="MS UI Gothic"/>
          <w:w w:val="80"/>
        </w:rPr>
        <w:t xml:space="preserve"> </w:t>
      </w:r>
      <w:r>
        <w:t>对设有运输道路</w:t>
      </w:r>
      <w:r>
        <w:rPr>
          <w:rFonts w:hint="eastAsia" w:ascii="MS UI Gothic" w:eastAsia="MS UI Gothic"/>
          <w:w w:val="80"/>
        </w:rPr>
        <w:t xml:space="preserve">、 </w:t>
      </w:r>
      <w:r>
        <w:t>采运机械和重要设施的边坡</w:t>
      </w:r>
      <w:r>
        <w:rPr>
          <w:rFonts w:hint="eastAsia" w:ascii="MS UI Gothic" w:eastAsia="MS UI Gothic"/>
          <w:w w:val="80"/>
        </w:rPr>
        <w:t xml:space="preserve">ꎬ </w:t>
      </w:r>
      <w:r>
        <w:t>必须及时采取安全措施</w:t>
      </w:r>
      <w:r>
        <w:rPr>
          <w:rFonts w:hint="eastAsia" w:ascii="MS UI Gothic" w:eastAsia="MS UI Gothic"/>
          <w:w w:val="80"/>
        </w:rPr>
        <w:t>ꎮ</w:t>
      </w:r>
    </w:p>
    <w:p>
      <w:pPr>
        <w:pStyle w:val="6"/>
        <w:spacing w:line="295" w:lineRule="auto"/>
        <w:ind w:left="381" w:right="126"/>
        <w:rPr>
          <w:rFonts w:hint="eastAsia" w:ascii="MS UI Gothic" w:eastAsia="MS UI Gothic"/>
        </w:rPr>
      </w:pPr>
      <w:r>
        <w:t>发生滑坡后</w:t>
      </w:r>
      <w:r>
        <w:rPr>
          <w:rFonts w:hint="eastAsia" w:ascii="MS UI Gothic" w:eastAsia="MS UI Gothic"/>
          <w:w w:val="80"/>
        </w:rPr>
        <w:t xml:space="preserve">ꎬ </w:t>
      </w:r>
      <w:r>
        <w:t>应当立即对滑坡区采取安全措施</w:t>
      </w:r>
      <w:r>
        <w:rPr>
          <w:rFonts w:hint="eastAsia" w:ascii="MS UI Gothic" w:eastAsia="MS UI Gothic"/>
          <w:w w:val="80"/>
        </w:rPr>
        <w:t xml:space="preserve">ꎬ </w:t>
      </w:r>
      <w:r>
        <w:t>并进行专门的勘查</w:t>
      </w:r>
      <w:r>
        <w:rPr>
          <w:rFonts w:hint="eastAsia" w:ascii="MS UI Gothic" w:eastAsia="MS UI Gothic"/>
          <w:w w:val="80"/>
        </w:rPr>
        <w:t xml:space="preserve">、 </w:t>
      </w:r>
      <w:r>
        <w:t>评价与治理工程设计</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第五百八十四条 非工作帮形成一定</w:t>
      </w:r>
      <w:r>
        <w:t>范围的到界台阶后</w:t>
      </w:r>
      <w:r>
        <w:rPr>
          <w:rFonts w:hint="eastAsia" w:ascii="MS UI Gothic" w:eastAsia="MS UI Gothic"/>
          <w:w w:val="80"/>
        </w:rPr>
        <w:t xml:space="preserve">ꎬ </w:t>
      </w:r>
      <w:r>
        <w:t>应当定期进行边坡稳定分析和评价</w:t>
      </w:r>
      <w:r>
        <w:rPr>
          <w:rFonts w:hint="eastAsia" w:ascii="MS UI Gothic" w:eastAsia="MS UI Gothic"/>
          <w:w w:val="80"/>
        </w:rPr>
        <w:t xml:space="preserve">ꎬ </w:t>
      </w:r>
      <w:r>
        <w:t>对影响生产安全的不稳定</w:t>
      </w:r>
      <w:r>
        <w:rPr>
          <w:w w:val="105"/>
        </w:rPr>
        <w:t>边坡必须采取安全措施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３３２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13" o:spid="_x0000_s2013" o:spt="203" style="height:2.15pt;width:398.25pt;" coordsize="7965,43">
            <o:lock v:ext="edit"/>
            <v:line id="_x0000_s2014" o:spid="_x0000_s2014" o:spt="20" style="position:absolute;left:0;top:39;height:0;width:7965;" stroked="t" coordsize="21600,21600">
              <v:path arrowok="t"/>
              <v:fill focussize="0,0"/>
              <v:stroke weight="0.388031496062992pt" color="#231F20"/>
              <v:imagedata o:title=""/>
              <o:lock v:ext="edit"/>
            </v:line>
            <v:line id="_x0000_s2015" o:spid="_x0000_s201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5" w:line="295" w:lineRule="auto"/>
        <w:ind w:right="38"/>
        <w:rPr>
          <w:rFonts w:hint="eastAsia" w:ascii="MS UI Gothic" w:eastAsia="MS UI Gothic"/>
        </w:rPr>
      </w:pPr>
      <w:r>
        <w:t>第五百八十五条 工作帮边坡在临近最终设计的边坡之前</w:t>
      </w:r>
      <w:r>
        <w:rPr>
          <w:rFonts w:hint="eastAsia" w:ascii="MS UI Gothic" w:eastAsia="MS UI Gothic"/>
          <w:w w:val="80"/>
        </w:rPr>
        <w:t xml:space="preserve">ꎬ </w:t>
      </w:r>
      <w:r>
        <w:t>必须对其进行稳定性分析和评价</w:t>
      </w:r>
      <w:r>
        <w:rPr>
          <w:rFonts w:hint="eastAsia" w:ascii="MS UI Gothic" w:eastAsia="MS UI Gothic"/>
          <w:w w:val="80"/>
        </w:rPr>
        <w:t xml:space="preserve">ꎮ </w:t>
      </w:r>
      <w:r>
        <w:t>当原设计的最终边坡达不到稳定的安全系数时</w:t>
      </w:r>
      <w:r>
        <w:rPr>
          <w:rFonts w:hint="eastAsia" w:ascii="MS UI Gothic" w:eastAsia="MS UI Gothic"/>
          <w:w w:val="80"/>
        </w:rPr>
        <w:t xml:space="preserve">ꎬ </w:t>
      </w:r>
      <w:r>
        <w:t>应当修改设计或者采取治理措施</w:t>
      </w:r>
      <w:r>
        <w:rPr>
          <w:rFonts w:hint="eastAsia" w:ascii="MS UI Gothic" w:eastAsia="MS UI Gothic"/>
          <w:w w:val="80"/>
        </w:rPr>
        <w:t>ꎮ</w:t>
      </w:r>
    </w:p>
    <w:p>
      <w:pPr>
        <w:pStyle w:val="6"/>
        <w:spacing w:line="295" w:lineRule="auto"/>
        <w:ind w:right="38"/>
        <w:rPr>
          <w:rFonts w:hint="eastAsia" w:ascii="MS UI Gothic" w:eastAsia="MS UI Gothic"/>
        </w:rPr>
      </w:pPr>
      <w:r>
        <w:t>第五百八十六条 露天煤矿的长远和年度采矿工程设计</w:t>
      </w:r>
      <w:r>
        <w:rPr>
          <w:rFonts w:hint="eastAsia" w:ascii="MS UI Gothic" w:eastAsia="MS UI Gothic"/>
          <w:w w:val="80"/>
        </w:rPr>
        <w:t xml:space="preserve">ꎬ </w:t>
      </w:r>
      <w:r>
        <w:t>必须进行边坡稳定性验算</w:t>
      </w:r>
      <w:r>
        <w:rPr>
          <w:rFonts w:hint="eastAsia" w:ascii="MS UI Gothic" w:eastAsia="MS UI Gothic"/>
          <w:w w:val="80"/>
        </w:rPr>
        <w:t xml:space="preserve">ꎮ </w:t>
      </w:r>
      <w:r>
        <w:t>达不到边坡稳定要求时</w:t>
      </w:r>
      <w:r>
        <w:rPr>
          <w:rFonts w:hint="eastAsia" w:ascii="MS UI Gothic" w:eastAsia="MS UI Gothic"/>
          <w:w w:val="80"/>
        </w:rPr>
        <w:t xml:space="preserve">ꎬ </w:t>
      </w:r>
      <w:r>
        <w:t>应当修改采矿设计或者制定安全措施</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第五百八十七条 采场最终边坡管理</w:t>
      </w:r>
      <w:r>
        <w:rPr>
          <w:w w:val="110"/>
        </w:rPr>
        <w:t>应当遵守下列规定</w:t>
      </w:r>
      <w:r>
        <w:rPr>
          <w:rFonts w:hint="eastAsia" w:ascii="MS UI Gothic" w:eastAsia="MS UI Gothic"/>
          <w:w w:val="235"/>
        </w:rPr>
        <w:t>:</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采掘作业必须按设计进行</w:t>
      </w:r>
      <w:r>
        <w:rPr>
          <w:rFonts w:hint="eastAsia" w:ascii="MS UI Gothic" w:eastAsia="MS UI Gothic"/>
          <w:w w:val="80"/>
        </w:rPr>
        <w:t xml:space="preserve">ꎬ </w:t>
      </w:r>
      <w:r>
        <w:rPr>
          <w:w w:val="105"/>
        </w:rPr>
        <w:t>坡底线严禁超挖</w:t>
      </w:r>
      <w:r>
        <w:rPr>
          <w:rFonts w:hint="eastAsia" w:ascii="MS UI Gothic" w:eastAsia="MS UI Gothic"/>
          <w:w w:val="80"/>
        </w:rPr>
        <w:t>ꎮ</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临近到界台阶时</w:t>
      </w:r>
      <w:r>
        <w:rPr>
          <w:rFonts w:hint="eastAsia" w:ascii="MS UI Gothic" w:eastAsia="MS UI Gothic"/>
          <w:w w:val="80"/>
        </w:rPr>
        <w:t xml:space="preserve">ꎬ </w:t>
      </w:r>
      <w:r>
        <w:rPr>
          <w:w w:val="105"/>
        </w:rPr>
        <w:t>应当采用控制爆破</w:t>
      </w:r>
      <w:r>
        <w:rPr>
          <w:rFonts w:hint="eastAsia" w:ascii="MS UI Gothic" w:eastAsia="MS UI Gothic"/>
          <w:w w:val="80"/>
        </w:rPr>
        <w:t>ꎮ</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最终煤台阶必须采取防止煤风化</w:t>
      </w:r>
      <w:r>
        <w:rPr>
          <w:rFonts w:hint="eastAsia" w:ascii="MS UI Gothic" w:eastAsia="MS UI Gothic"/>
          <w:w w:val="80"/>
        </w:rPr>
        <w:t xml:space="preserve">、 </w:t>
      </w:r>
      <w:r>
        <w:rPr>
          <w:w w:val="105"/>
        </w:rPr>
        <w:t>自然发火及沿煤层底板滑坡的措施</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第五百八十八条 排土场边坡管理必</w:t>
      </w:r>
      <w:r>
        <w:rPr>
          <w:w w:val="110"/>
        </w:rPr>
        <w:t>须遵守下列规定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定期对排土场边坡进行稳定性分析</w:t>
      </w:r>
      <w:r>
        <w:rPr>
          <w:rFonts w:hint="eastAsia" w:ascii="MS UI Gothic" w:eastAsia="MS UI Gothic"/>
          <w:w w:val="80"/>
        </w:rPr>
        <w:t xml:space="preserve">ꎬ </w:t>
      </w:r>
      <w:r>
        <w:rPr>
          <w:w w:val="105"/>
        </w:rPr>
        <w:t>必要时采取防治措施</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内排土场建设前</w:t>
      </w:r>
      <w:r>
        <w:rPr>
          <w:rFonts w:hint="eastAsia" w:ascii="MS UI Gothic" w:eastAsia="MS UI Gothic"/>
          <w:w w:val="80"/>
        </w:rPr>
        <w:t xml:space="preserve">ꎬ </w:t>
      </w:r>
      <w:r>
        <w:rPr>
          <w:w w:val="105"/>
        </w:rPr>
        <w:t>查明基底形态</w:t>
      </w:r>
      <w:r>
        <w:rPr>
          <w:rFonts w:hint="eastAsia" w:ascii="MS UI Gothic" w:eastAsia="MS UI Gothic"/>
          <w:w w:val="80"/>
        </w:rPr>
        <w:t xml:space="preserve">、 </w:t>
      </w:r>
      <w:r>
        <w:rPr>
          <w:w w:val="105"/>
        </w:rPr>
        <w:t>岩层的赋存状态及岩石物理力学性</w:t>
      </w:r>
      <w:r>
        <w:t>质</w:t>
      </w:r>
      <w:r>
        <w:rPr>
          <w:rFonts w:hint="eastAsia" w:ascii="MS UI Gothic" w:eastAsia="MS UI Gothic"/>
          <w:w w:val="80"/>
        </w:rPr>
        <w:t xml:space="preserve">ꎬ </w:t>
      </w:r>
      <w:r>
        <w:t>测定排弃物料的力学参数</w:t>
      </w:r>
      <w:r>
        <w:rPr>
          <w:rFonts w:hint="eastAsia" w:ascii="MS UI Gothic" w:eastAsia="MS UI Gothic"/>
          <w:w w:val="80"/>
        </w:rPr>
        <w:t xml:space="preserve">ꎬ </w:t>
      </w:r>
      <w:r>
        <w:t>进行排土场设计和边坡稳定计算</w:t>
      </w:r>
      <w:r>
        <w:rPr>
          <w:rFonts w:hint="eastAsia" w:ascii="MS UI Gothic" w:eastAsia="MS UI Gothic"/>
          <w:w w:val="80"/>
        </w:rPr>
        <w:t xml:space="preserve">ꎬ </w:t>
      </w:r>
      <w:r>
        <w:t>清除基底上不利</w:t>
      </w:r>
      <w:r>
        <w:rPr>
          <w:w w:val="105"/>
        </w:rPr>
        <w:t>于边坡稳定的松软土岩</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内排土场最下部台阶的坡底与</w:t>
      </w:r>
      <w:r>
        <w:t>采掘台阶坡底之间必须留有足够的安全</w:t>
      </w:r>
      <w:r>
        <w:rPr>
          <w:w w:val="105"/>
        </w:rPr>
        <w:t>距离</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排土场必须采取有效的防排水措施</w:t>
      </w:r>
      <w:r>
        <w:rPr>
          <w:rFonts w:hint="eastAsia" w:ascii="MS UI Gothic" w:eastAsia="MS UI Gothic"/>
          <w:w w:val="80"/>
        </w:rPr>
        <w:t xml:space="preserve">ꎬ </w:t>
      </w:r>
      <w:r>
        <w:rPr>
          <w:w w:val="105"/>
        </w:rPr>
        <w:t>防止或者减少水流入排土场</w:t>
      </w:r>
      <w:r>
        <w:rPr>
          <w:rFonts w:hint="eastAsia" w:ascii="MS UI Gothic" w:eastAsia="MS UI Gothic"/>
          <w:w w:val="80"/>
        </w:rPr>
        <w:t>ꎮ</w:t>
      </w:r>
    </w:p>
    <w:p>
      <w:pPr>
        <w:pStyle w:val="6"/>
        <w:tabs>
          <w:tab w:val="left" w:pos="1696"/>
        </w:tabs>
        <w:spacing w:before="133"/>
        <w:ind w:left="858" w:firstLine="0"/>
        <w:jc w:val="left"/>
      </w:pPr>
      <w:r>
        <w:rPr>
          <w:spacing w:val="3"/>
          <w:w w:val="105"/>
        </w:rPr>
        <w:t>第七</w:t>
      </w:r>
      <w:r>
        <w:rPr>
          <w:w w:val="105"/>
        </w:rPr>
        <w:t>章</w:t>
      </w:r>
      <w:r>
        <w:rPr>
          <w:w w:val="105"/>
        </w:rPr>
        <w:tab/>
      </w:r>
      <w:r>
        <w:rPr>
          <w:spacing w:val="3"/>
          <w:w w:val="105"/>
        </w:rPr>
        <w:t>防治水和防灭</w:t>
      </w:r>
      <w:r>
        <w:rPr>
          <w:w w:val="105"/>
        </w:rPr>
        <w:t>火</w:t>
      </w:r>
    </w:p>
    <w:p>
      <w:pPr>
        <w:pStyle w:val="6"/>
        <w:ind w:left="0" w:firstLine="0"/>
        <w:jc w:val="left"/>
        <w:rPr>
          <w:sz w:val="29"/>
        </w:rPr>
      </w:pPr>
    </w:p>
    <w:p>
      <w:pPr>
        <w:pStyle w:val="6"/>
        <w:tabs>
          <w:tab w:val="left" w:pos="1801"/>
          <w:tab w:val="left" w:pos="2325"/>
          <w:tab w:val="left" w:pos="2849"/>
        </w:tabs>
        <w:spacing w:before="1"/>
        <w:ind w:left="963" w:firstLine="0"/>
        <w:jc w:val="left"/>
      </w:pPr>
      <w:r>
        <w:rPr>
          <w:spacing w:val="3"/>
          <w:w w:val="105"/>
        </w:rPr>
        <w:t>第一</w:t>
      </w:r>
      <w:r>
        <w:rPr>
          <w:w w:val="105"/>
        </w:rPr>
        <w:t>节</w:t>
      </w:r>
      <w:r>
        <w:rPr>
          <w:w w:val="105"/>
        </w:rPr>
        <w:tab/>
      </w:r>
      <w:r>
        <w:rPr>
          <w:w w:val="105"/>
        </w:rPr>
        <w:t>防</w:t>
      </w:r>
      <w:r>
        <w:rPr>
          <w:w w:val="105"/>
        </w:rPr>
        <w:tab/>
      </w:r>
      <w:r>
        <w:rPr>
          <w:w w:val="105"/>
        </w:rPr>
        <w:t>治</w:t>
      </w:r>
      <w:r>
        <w:rPr>
          <w:w w:val="105"/>
        </w:rPr>
        <w:tab/>
      </w:r>
      <w:r>
        <w:rPr>
          <w:w w:val="105"/>
        </w:rPr>
        <w:t>水</w:t>
      </w:r>
    </w:p>
    <w:p>
      <w:pPr>
        <w:pStyle w:val="6"/>
        <w:spacing w:before="10"/>
        <w:ind w:left="0" w:firstLine="0"/>
        <w:jc w:val="left"/>
        <w:rPr>
          <w:sz w:val="16"/>
        </w:rPr>
      </w:pPr>
    </w:p>
    <w:p>
      <w:pPr>
        <w:pStyle w:val="6"/>
        <w:spacing w:line="295" w:lineRule="auto"/>
        <w:ind w:right="38"/>
        <w:rPr>
          <w:rFonts w:hint="eastAsia" w:ascii="MS UI Gothic" w:eastAsia="MS UI Gothic"/>
        </w:rPr>
      </w:pPr>
      <w:r>
        <w:t>第五百八十九条 每年雨季前必须对防排水设施作全面检查</w:t>
      </w:r>
      <w:r>
        <w:rPr>
          <w:rFonts w:hint="eastAsia" w:ascii="MS UI Gothic" w:eastAsia="MS UI Gothic"/>
          <w:w w:val="80"/>
        </w:rPr>
        <w:t xml:space="preserve">ꎬ </w:t>
      </w:r>
      <w:r>
        <w:t>并制定当年的防排水措施</w:t>
      </w:r>
      <w:r>
        <w:rPr>
          <w:rFonts w:hint="eastAsia" w:ascii="MS UI Gothic" w:eastAsia="MS UI Gothic"/>
          <w:w w:val="80"/>
        </w:rPr>
        <w:t xml:space="preserve">ꎮ </w:t>
      </w:r>
      <w:r>
        <w:t>检修防排水设施</w:t>
      </w:r>
      <w:r>
        <w:rPr>
          <w:rFonts w:hint="eastAsia" w:ascii="MS UI Gothic" w:eastAsia="MS UI Gothic"/>
          <w:w w:val="80"/>
        </w:rPr>
        <w:t xml:space="preserve">、 </w:t>
      </w:r>
      <w:r>
        <w:t>新建的重要防排水工程必须在雨季前完工</w:t>
      </w:r>
      <w:r>
        <w:rPr>
          <w:rFonts w:hint="eastAsia" w:ascii="MS UI Gothic" w:eastAsia="MS UI Gothic"/>
          <w:w w:val="80"/>
        </w:rPr>
        <w:t>ꎮ</w:t>
      </w:r>
    </w:p>
    <w:p>
      <w:pPr>
        <w:pStyle w:val="6"/>
        <w:spacing w:before="85" w:line="295" w:lineRule="auto"/>
        <w:ind w:right="442"/>
        <w:rPr>
          <w:rFonts w:hint="eastAsia" w:ascii="MS UI Gothic" w:eastAsia="MS UI Gothic"/>
        </w:rPr>
      </w:pPr>
      <w:r>
        <w:br w:type="column"/>
      </w:r>
      <w:r>
        <w:t>第五百九十条 对低于当地历史最高洪水位的设施</w:t>
      </w:r>
      <w:r>
        <w:rPr>
          <w:rFonts w:hint="eastAsia" w:ascii="MS UI Gothic" w:eastAsia="MS UI Gothic"/>
          <w:w w:val="80"/>
        </w:rPr>
        <w:t xml:space="preserve">ꎬ </w:t>
      </w:r>
      <w:r>
        <w:t>必须按规定采取修筑堤坝</w:t>
      </w:r>
      <w:r>
        <w:rPr>
          <w:rFonts w:hint="eastAsia" w:ascii="MS UI Gothic" w:eastAsia="MS UI Gothic"/>
          <w:w w:val="80"/>
        </w:rPr>
        <w:t xml:space="preserve">、 </w:t>
      </w:r>
      <w:r>
        <w:t>沟渠</w:t>
      </w:r>
      <w:r>
        <w:rPr>
          <w:rFonts w:hint="eastAsia" w:ascii="MS UI Gothic" w:eastAsia="MS UI Gothic"/>
          <w:w w:val="80"/>
        </w:rPr>
        <w:t xml:space="preserve">ꎬ </w:t>
      </w:r>
      <w:r>
        <w:t>疏通水沟等防洪措施</w:t>
      </w:r>
      <w:r>
        <w:rPr>
          <w:rFonts w:hint="eastAsia" w:ascii="MS UI Gothic" w:eastAsia="MS UI Gothic"/>
          <w:w w:val="80"/>
        </w:rPr>
        <w:t>ꎮ</w:t>
      </w:r>
    </w:p>
    <w:p>
      <w:pPr>
        <w:pStyle w:val="6"/>
        <w:spacing w:line="295" w:lineRule="auto"/>
        <w:ind w:right="442"/>
        <w:rPr>
          <w:rFonts w:hint="eastAsia" w:ascii="MS UI Gothic" w:eastAsia="MS UI Gothic"/>
        </w:rPr>
      </w:pPr>
      <w:r>
        <w:t>第五百九十一条 地表及边坡上的防排水设施应当避开有滑坡危险的地段</w:t>
      </w:r>
      <w:r>
        <w:rPr>
          <w:rFonts w:hint="eastAsia" w:ascii="MS UI Gothic" w:eastAsia="MS UI Gothic"/>
          <w:w w:val="80"/>
        </w:rPr>
        <w:t xml:space="preserve"> </w:t>
      </w:r>
      <w:r>
        <w:t>排水沟应当经常检查</w:t>
      </w:r>
      <w:r>
        <w:rPr>
          <w:rFonts w:hint="eastAsia" w:ascii="MS UI Gothic" w:eastAsia="MS UI Gothic"/>
          <w:w w:val="80"/>
        </w:rPr>
        <w:t xml:space="preserve">、 </w:t>
      </w:r>
      <w:r>
        <w:t>清淤</w:t>
      </w:r>
      <w:r>
        <w:rPr>
          <w:rFonts w:hint="eastAsia" w:ascii="MS UI Gothic" w:eastAsia="MS UI Gothic"/>
          <w:w w:val="80"/>
        </w:rPr>
        <w:t xml:space="preserve">ꎬ </w:t>
      </w:r>
      <w:r>
        <w:t>不应渗漏</w:t>
      </w:r>
      <w:r>
        <w:rPr>
          <w:rFonts w:hint="eastAsia" w:ascii="MS UI Gothic" w:eastAsia="MS UI Gothic"/>
          <w:w w:val="80"/>
        </w:rPr>
        <w:t xml:space="preserve">、 </w:t>
      </w:r>
      <w:r>
        <w:t>倒灌或者漫流</w:t>
      </w:r>
      <w:r>
        <w:rPr>
          <w:rFonts w:hint="eastAsia" w:ascii="MS UI Gothic" w:eastAsia="MS UI Gothic"/>
          <w:w w:val="80"/>
        </w:rPr>
        <w:t xml:space="preserve"> </w:t>
      </w:r>
      <w:r>
        <w:t>当采场内有滑坡区时</w:t>
      </w:r>
      <w:r>
        <w:rPr>
          <w:rFonts w:hint="eastAsia" w:ascii="MS UI Gothic" w:eastAsia="MS UI Gothic"/>
          <w:w w:val="80"/>
        </w:rPr>
        <w:t xml:space="preserve">ꎬ </w:t>
      </w:r>
      <w:r>
        <w:t>应当在滑坡区周围采取截水措施</w:t>
      </w:r>
      <w:r>
        <w:rPr>
          <w:rFonts w:hint="eastAsia" w:ascii="MS UI Gothic" w:eastAsia="MS UI Gothic"/>
          <w:w w:val="80"/>
        </w:rPr>
        <w:t xml:space="preserve">ꎻ </w:t>
      </w:r>
      <w:r>
        <w:t>当水沟经过有变形</w:t>
      </w:r>
      <w:r>
        <w:rPr>
          <w:rFonts w:hint="eastAsia" w:ascii="MS UI Gothic" w:eastAsia="MS UI Gothic"/>
          <w:w w:val="80"/>
        </w:rPr>
        <w:t xml:space="preserve">、 </w:t>
      </w:r>
      <w:r>
        <w:t>裂缝的边坡地段时</w:t>
      </w:r>
      <w:r>
        <w:rPr>
          <w:rFonts w:hint="eastAsia" w:ascii="MS UI Gothic" w:eastAsia="MS UI Gothic"/>
          <w:w w:val="80"/>
        </w:rPr>
        <w:t xml:space="preserve">ꎬ </w:t>
      </w:r>
      <w:r>
        <w:t>应当采取防渗措施</w:t>
      </w:r>
      <w:r>
        <w:rPr>
          <w:rFonts w:hint="eastAsia" w:ascii="MS UI Gothic" w:eastAsia="MS UI Gothic"/>
          <w:w w:val="80"/>
        </w:rPr>
        <w:t>ꎮ</w:t>
      </w:r>
    </w:p>
    <w:p>
      <w:pPr>
        <w:pStyle w:val="6"/>
        <w:spacing w:line="295" w:lineRule="auto"/>
        <w:ind w:right="440"/>
        <w:rPr>
          <w:rFonts w:hint="eastAsia" w:ascii="MS UI Gothic" w:eastAsia="MS UI Gothic"/>
        </w:rPr>
      </w:pPr>
      <w:r>
        <w:t>排土场应当保持平整</w:t>
      </w:r>
      <w:r>
        <w:rPr>
          <w:rFonts w:hint="eastAsia" w:ascii="MS UI Gothic" w:eastAsia="MS UI Gothic"/>
          <w:w w:val="80"/>
        </w:rPr>
        <w:t xml:space="preserve">ꎬ </w:t>
      </w:r>
      <w:r>
        <w:t>不得有积水</w:t>
      </w:r>
      <w:r>
        <w:rPr>
          <w:rFonts w:hint="eastAsia" w:ascii="MS UI Gothic" w:eastAsia="MS UI Gothic"/>
          <w:w w:val="80"/>
        </w:rPr>
        <w:t>ꎬ</w:t>
      </w:r>
      <w:r>
        <w:t>周围应当修筑可靠的截泥</w:t>
      </w:r>
      <w:r>
        <w:rPr>
          <w:rFonts w:hint="eastAsia" w:ascii="MS UI Gothic" w:eastAsia="MS UI Gothic"/>
          <w:w w:val="80"/>
        </w:rPr>
        <w:t xml:space="preserve">、 </w:t>
      </w:r>
      <w:r>
        <w:t>防洪和排水设施</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95"/>
        </w:rPr>
        <w:t>第五百九十二条   用露天采场深部做</w:t>
      </w:r>
      <w:r>
        <w:rPr>
          <w:spacing w:val="3"/>
          <w:w w:val="95"/>
        </w:rPr>
        <w:t>储水池排水时</w:t>
      </w:r>
      <w:r>
        <w:rPr>
          <w:rFonts w:hint="eastAsia" w:ascii="MS UI Gothic" w:eastAsia="MS UI Gothic"/>
          <w:spacing w:val="19"/>
          <w:w w:val="90"/>
        </w:rPr>
        <w:t xml:space="preserve">ꎬ </w:t>
      </w:r>
      <w:r>
        <w:rPr>
          <w:spacing w:val="3"/>
          <w:w w:val="95"/>
        </w:rPr>
        <w:t>必须采取安全措施</w:t>
      </w:r>
      <w:r>
        <w:rPr>
          <w:rFonts w:hint="eastAsia" w:ascii="MS UI Gothic" w:eastAsia="MS UI Gothic"/>
          <w:spacing w:val="19"/>
          <w:w w:val="90"/>
        </w:rPr>
        <w:t xml:space="preserve">ꎬ </w:t>
      </w:r>
      <w:r>
        <w:rPr>
          <w:spacing w:val="1"/>
          <w:w w:val="95"/>
        </w:rPr>
        <w:t>备用</w:t>
      </w:r>
      <w:r>
        <w:rPr>
          <w:spacing w:val="34"/>
          <w:w w:val="95"/>
        </w:rPr>
        <w:t>水泵的能力不得小于工作水泵 能 力</w:t>
      </w:r>
      <w:r>
        <w:rPr>
          <w:spacing w:val="-24"/>
          <w:w w:val="95"/>
        </w:rPr>
        <w:t xml:space="preserve">的 </w:t>
      </w:r>
      <w:r>
        <w:rPr>
          <w:rFonts w:hint="eastAsia" w:ascii="MS UI Gothic" w:eastAsia="MS UI Gothic"/>
          <w:w w:val="95"/>
        </w:rPr>
        <w:t>５０</w:t>
      </w:r>
      <w:r>
        <w:rPr>
          <w:spacing w:val="-31"/>
          <w:w w:val="95"/>
        </w:rPr>
        <w:t xml:space="preserve">％ </w:t>
      </w:r>
      <w:r>
        <w:rPr>
          <w:rFonts w:hint="eastAsia" w:ascii="MS UI Gothic" w:eastAsia="MS UI Gothic"/>
          <w:w w:val="90"/>
        </w:rPr>
        <w:t>ꎮ</w:t>
      </w:r>
    </w:p>
    <w:p>
      <w:pPr>
        <w:pStyle w:val="6"/>
        <w:spacing w:line="295" w:lineRule="auto"/>
        <w:ind w:right="442"/>
        <w:rPr>
          <w:rFonts w:hint="eastAsia" w:ascii="MS UI Gothic" w:eastAsia="MS UI Gothic"/>
        </w:rPr>
      </w:pPr>
      <w:r>
        <w:t>第五百九十三条 地层含水影响采矿工程正常进行时</w:t>
      </w:r>
      <w:r>
        <w:rPr>
          <w:rFonts w:hint="eastAsia" w:ascii="MS UI Gothic" w:eastAsia="MS UI Gothic"/>
          <w:w w:val="80"/>
        </w:rPr>
        <w:t xml:space="preserve">ꎬ </w:t>
      </w:r>
      <w:r>
        <w:t>应当进行疏干</w:t>
      </w:r>
      <w:r>
        <w:rPr>
          <w:rFonts w:hint="eastAsia" w:ascii="MS UI Gothic" w:eastAsia="MS UI Gothic"/>
          <w:w w:val="80"/>
        </w:rPr>
        <w:t xml:space="preserve">ꎬ </w:t>
      </w:r>
      <w:r>
        <w:t>疏干工程应当超前于采矿工程</w:t>
      </w:r>
      <w:r>
        <w:rPr>
          <w:rFonts w:hint="eastAsia" w:ascii="MS UI Gothic" w:eastAsia="MS UI Gothic"/>
          <w:w w:val="80"/>
        </w:rPr>
        <w:t>ꎮ</w:t>
      </w:r>
    </w:p>
    <w:p>
      <w:pPr>
        <w:pStyle w:val="6"/>
        <w:spacing w:line="295" w:lineRule="auto"/>
        <w:ind w:right="442"/>
        <w:rPr>
          <w:rFonts w:hint="eastAsia" w:ascii="MS UI Gothic" w:eastAsia="MS UI Gothic"/>
        </w:rPr>
      </w:pPr>
      <w:r>
        <w:rPr>
          <w:w w:val="105"/>
        </w:rPr>
        <w:t>因疏干地层含水地面出现裂缝</w:t>
      </w:r>
      <w:r>
        <w:rPr>
          <w:rFonts w:hint="eastAsia" w:ascii="MS UI Gothic" w:eastAsia="MS UI Gothic"/>
          <w:w w:val="80"/>
        </w:rPr>
        <w:t xml:space="preserve">、 </w:t>
      </w:r>
      <w:r>
        <w:rPr>
          <w:w w:val="105"/>
        </w:rPr>
        <w:t>塌陷时</w:t>
      </w:r>
      <w:r>
        <w:rPr>
          <w:rFonts w:hint="eastAsia" w:ascii="MS UI Gothic" w:eastAsia="MS UI Gothic"/>
          <w:w w:val="80"/>
        </w:rPr>
        <w:t xml:space="preserve">ꎬ </w:t>
      </w:r>
      <w:r>
        <w:rPr>
          <w:w w:val="105"/>
        </w:rPr>
        <w:t>应当圈定范围加以防护</w:t>
      </w:r>
      <w:r>
        <w:rPr>
          <w:rFonts w:hint="eastAsia" w:ascii="MS UI Gothic" w:eastAsia="MS UI Gothic"/>
          <w:w w:val="80"/>
        </w:rPr>
        <w:t xml:space="preserve">、 </w:t>
      </w:r>
      <w:r>
        <w:rPr>
          <w:w w:val="105"/>
        </w:rPr>
        <w:t>设置警示标志</w:t>
      </w:r>
      <w:r>
        <w:rPr>
          <w:rFonts w:hint="eastAsia" w:ascii="MS UI Gothic" w:eastAsia="MS UI Gothic"/>
          <w:w w:val="80"/>
        </w:rPr>
        <w:t xml:space="preserve">ꎬ </w:t>
      </w:r>
      <w:r>
        <w:rPr>
          <w:w w:val="105"/>
        </w:rPr>
        <w:t>并采取安全措施</w:t>
      </w:r>
      <w:r>
        <w:rPr>
          <w:rFonts w:hint="eastAsia" w:ascii="MS UI Gothic" w:eastAsia="MS UI Gothic"/>
          <w:w w:val="80"/>
        </w:rPr>
        <w:t xml:space="preserve">ꎻ </w:t>
      </w:r>
      <w:r>
        <w:rPr>
          <w:rFonts w:hint="eastAsia" w:ascii="MS UI Gothic" w:eastAsia="MS UI Gothic"/>
          <w:w w:val="150"/>
        </w:rPr>
        <w:t xml:space="preserve">( </w:t>
      </w:r>
      <w:r>
        <w:rPr>
          <w:w w:val="105"/>
        </w:rPr>
        <w:t>半</w:t>
      </w:r>
      <w:r>
        <w:rPr>
          <w:rFonts w:hint="eastAsia" w:ascii="MS UI Gothic" w:eastAsia="MS UI Gothic"/>
          <w:w w:val="150"/>
        </w:rPr>
        <w:t xml:space="preserve">) </w:t>
      </w:r>
      <w:r>
        <w:rPr>
          <w:w w:val="105"/>
        </w:rPr>
        <w:t>地下疏干泵房应当设通风装置</w:t>
      </w:r>
      <w:r>
        <w:rPr>
          <w:rFonts w:hint="eastAsia" w:ascii="MS UI Gothic" w:eastAsia="MS UI Gothic"/>
          <w:w w:val="80"/>
        </w:rPr>
        <w:t>ꎮ</w:t>
      </w:r>
    </w:p>
    <w:p>
      <w:pPr>
        <w:pStyle w:val="6"/>
        <w:spacing w:line="295" w:lineRule="auto"/>
        <w:ind w:right="440"/>
        <w:rPr>
          <w:rFonts w:hint="eastAsia" w:ascii="MS UI Gothic" w:eastAsia="MS UI Gothic"/>
        </w:rPr>
      </w:pPr>
      <w:r>
        <w:t>第五百九十四条 地下水影响较大和已进行疏干排水工程的边坡</w:t>
      </w:r>
      <w:r>
        <w:rPr>
          <w:rFonts w:hint="eastAsia" w:ascii="MS UI Gothic" w:eastAsia="MS UI Gothic"/>
          <w:w w:val="80"/>
        </w:rPr>
        <w:t xml:space="preserve">ꎬ </w:t>
      </w:r>
      <w:r>
        <w:t>应当进行地下水位</w:t>
      </w:r>
      <w:r>
        <w:rPr>
          <w:rFonts w:hint="eastAsia" w:ascii="MS UI Gothic" w:eastAsia="MS UI Gothic"/>
          <w:w w:val="80"/>
        </w:rPr>
        <w:t xml:space="preserve">、 </w:t>
      </w:r>
      <w:r>
        <w:t>水压及涌水量的观测</w:t>
      </w:r>
      <w:r>
        <w:rPr>
          <w:rFonts w:hint="eastAsia" w:ascii="MS UI Gothic" w:eastAsia="MS UI Gothic"/>
          <w:w w:val="80"/>
        </w:rPr>
        <w:t xml:space="preserve">ꎬ </w:t>
      </w:r>
      <w:r>
        <w:t>分析地下水对边坡稳定的影响程度及疏干的效果</w:t>
      </w:r>
      <w:r>
        <w:rPr>
          <w:rFonts w:hint="eastAsia" w:ascii="MS UI Gothic" w:eastAsia="MS UI Gothic"/>
          <w:w w:val="80"/>
        </w:rPr>
        <w:t>ꎬ</w:t>
      </w:r>
      <w:r>
        <w:t>并制定地下水治理措施</w:t>
      </w:r>
      <w:r>
        <w:rPr>
          <w:rFonts w:hint="eastAsia" w:ascii="MS UI Gothic" w:eastAsia="MS UI Gothic"/>
          <w:w w:val="80"/>
        </w:rPr>
        <w:t>ꎮ</w:t>
      </w:r>
    </w:p>
    <w:p>
      <w:pPr>
        <w:pStyle w:val="6"/>
        <w:spacing w:line="295" w:lineRule="auto"/>
        <w:ind w:right="442"/>
        <w:rPr>
          <w:rFonts w:hint="eastAsia" w:ascii="MS UI Gothic" w:eastAsia="MS UI Gothic"/>
        </w:rPr>
      </w:pPr>
      <w:r>
        <w:t>因地下水水位升高</w:t>
      </w:r>
      <w:r>
        <w:rPr>
          <w:rFonts w:hint="eastAsia" w:ascii="MS UI Gothic" w:eastAsia="MS UI Gothic"/>
          <w:w w:val="80"/>
        </w:rPr>
        <w:t xml:space="preserve">ꎬ </w:t>
      </w:r>
      <w:r>
        <w:t>可能造成排土场或者采场滑坡时</w:t>
      </w:r>
      <w:r>
        <w:rPr>
          <w:rFonts w:hint="eastAsia" w:ascii="MS UI Gothic" w:eastAsia="MS UI Gothic"/>
          <w:w w:val="80"/>
        </w:rPr>
        <w:t xml:space="preserve">ꎬ </w:t>
      </w:r>
      <w:r>
        <w:t>必须进行地下水疏干</w:t>
      </w:r>
      <w:r>
        <w:rPr>
          <w:rFonts w:hint="eastAsia" w:ascii="MS UI Gothic" w:eastAsia="MS UI Gothic"/>
          <w:w w:val="80"/>
        </w:rPr>
        <w:t>ꎮ</w:t>
      </w:r>
    </w:p>
    <w:p>
      <w:pPr>
        <w:pStyle w:val="6"/>
        <w:tabs>
          <w:tab w:val="left" w:pos="1801"/>
          <w:tab w:val="left" w:pos="2325"/>
          <w:tab w:val="left" w:pos="2849"/>
        </w:tabs>
        <w:spacing w:before="133"/>
        <w:ind w:left="963" w:firstLine="0"/>
        <w:jc w:val="left"/>
      </w:pPr>
      <w:r>
        <w:rPr>
          <w:spacing w:val="3"/>
          <w:w w:val="105"/>
        </w:rPr>
        <w:t>第二</w:t>
      </w:r>
      <w:r>
        <w:rPr>
          <w:w w:val="105"/>
        </w:rPr>
        <w:t>节</w:t>
      </w:r>
      <w:r>
        <w:rPr>
          <w:w w:val="105"/>
        </w:rPr>
        <w:tab/>
      </w:r>
      <w:r>
        <w:rPr>
          <w:w w:val="105"/>
        </w:rPr>
        <w:t>防</w:t>
      </w:r>
      <w:r>
        <w:rPr>
          <w:w w:val="105"/>
        </w:rPr>
        <w:tab/>
      </w:r>
      <w:r>
        <w:rPr>
          <w:w w:val="105"/>
        </w:rPr>
        <w:t>灭</w:t>
      </w:r>
      <w:r>
        <w:rPr>
          <w:w w:val="105"/>
        </w:rPr>
        <w:tab/>
      </w:r>
      <w:r>
        <w:rPr>
          <w:w w:val="105"/>
        </w:rPr>
        <w:t>火</w:t>
      </w:r>
    </w:p>
    <w:p>
      <w:pPr>
        <w:pStyle w:val="6"/>
        <w:spacing w:before="10"/>
        <w:ind w:left="0" w:firstLine="0"/>
        <w:jc w:val="left"/>
        <w:rPr>
          <w:sz w:val="16"/>
        </w:rPr>
      </w:pPr>
    </w:p>
    <w:p>
      <w:pPr>
        <w:pStyle w:val="6"/>
        <w:spacing w:line="295" w:lineRule="auto"/>
        <w:ind w:right="440"/>
        <w:rPr>
          <w:rFonts w:hint="eastAsia" w:ascii="MS UI Gothic" w:eastAsia="MS UI Gothic"/>
        </w:rPr>
      </w:pPr>
      <w:r>
        <w:t>第五百九十五条 必须制定地面和采场内的防灭火措施</w:t>
      </w:r>
      <w:r>
        <w:rPr>
          <w:rFonts w:hint="eastAsia" w:ascii="MS UI Gothic" w:eastAsia="MS UI Gothic"/>
          <w:w w:val="80"/>
        </w:rPr>
        <w:t xml:space="preserve">ꎮ </w:t>
      </w:r>
      <w:r>
        <w:t>所有建筑物</w:t>
      </w:r>
      <w:r>
        <w:rPr>
          <w:rFonts w:hint="eastAsia" w:ascii="MS UI Gothic" w:eastAsia="MS UI Gothic"/>
          <w:w w:val="80"/>
        </w:rPr>
        <w:t xml:space="preserve">、 </w:t>
      </w:r>
      <w:r>
        <w:t>煤堆</w:t>
      </w:r>
      <w:r>
        <w:rPr>
          <w:rFonts w:hint="eastAsia" w:ascii="MS UI Gothic" w:eastAsia="MS UI Gothic"/>
          <w:w w:val="80"/>
        </w:rPr>
        <w:t>、</w:t>
      </w:r>
      <w:r>
        <w:t>排土场</w:t>
      </w:r>
      <w:r>
        <w:rPr>
          <w:rFonts w:hint="eastAsia" w:ascii="MS UI Gothic" w:eastAsia="MS UI Gothic"/>
          <w:w w:val="80"/>
        </w:rPr>
        <w:t xml:space="preserve">、 </w:t>
      </w:r>
      <w:r>
        <w:t>仓库</w:t>
      </w:r>
      <w:r>
        <w:rPr>
          <w:rFonts w:hint="eastAsia" w:ascii="MS UI Gothic" w:eastAsia="MS UI Gothic"/>
          <w:w w:val="80"/>
        </w:rPr>
        <w:t xml:space="preserve">、 </w:t>
      </w:r>
      <w:r>
        <w:t>油库</w:t>
      </w:r>
      <w:r>
        <w:rPr>
          <w:rFonts w:hint="eastAsia" w:ascii="MS UI Gothic" w:eastAsia="MS UI Gothic"/>
          <w:w w:val="80"/>
        </w:rPr>
        <w:t xml:space="preserve">、 </w:t>
      </w:r>
      <w:r>
        <w:t>爆炸物品库</w:t>
      </w:r>
      <w:r>
        <w:rPr>
          <w:rFonts w:hint="eastAsia" w:ascii="MS UI Gothic" w:eastAsia="MS UI Gothic"/>
          <w:w w:val="80"/>
        </w:rPr>
        <w:t xml:space="preserve">、  </w:t>
      </w:r>
      <w:r>
        <w:t>木料厂等处的防火措施和制度必须符合国家有关法律</w:t>
      </w:r>
      <w:r>
        <w:rPr>
          <w:rFonts w:hint="eastAsia" w:ascii="MS UI Gothic" w:eastAsia="MS UI Gothic"/>
          <w:w w:val="80"/>
        </w:rPr>
        <w:t xml:space="preserve">、 </w:t>
      </w:r>
      <w:r>
        <w:t>法规和标准的规定</w:t>
      </w:r>
      <w:r>
        <w:rPr>
          <w:rFonts w:hint="eastAsia" w:ascii="MS UI Gothic" w:eastAsia="MS UI Gothic"/>
          <w:w w:val="80"/>
        </w:rPr>
        <w:t>ꎮ</w:t>
      </w:r>
    </w:p>
    <w:p>
      <w:pPr>
        <w:pStyle w:val="6"/>
        <w:spacing w:line="252" w:lineRule="exact"/>
        <w:ind w:left="543" w:firstLine="0"/>
        <w:jc w:val="left"/>
      </w:pPr>
      <w:r>
        <w:t>露天煤矿内的采掘</w:t>
      </w:r>
      <w:r>
        <w:rPr>
          <w:rFonts w:hint="eastAsia" w:ascii="MS UI Gothic" w:eastAsia="MS UI Gothic"/>
        </w:rPr>
        <w:t xml:space="preserve">、 </w:t>
      </w:r>
      <w:r>
        <w:t>运输</w:t>
      </w:r>
      <w:r>
        <w:rPr>
          <w:rFonts w:hint="eastAsia" w:ascii="MS UI Gothic" w:eastAsia="MS UI Gothic"/>
        </w:rPr>
        <w:t xml:space="preserve">、 </w:t>
      </w:r>
      <w:r>
        <w:t>排土等主</w:t>
      </w:r>
    </w:p>
    <w:p>
      <w:pPr>
        <w:spacing w:after="0" w:line="252"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３３３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16" o:spid="_x0000_s2016" o:spt="203" style="height:2.15pt;width:398.25pt;" coordsize="7965,43">
            <o:lock v:ext="edit"/>
            <v:line id="_x0000_s2017" o:spid="_x0000_s2017" o:spt="20" style="position:absolute;left:0;top:39;height:0;width:7965;" stroked="t" coordsize="21600,21600">
              <v:path arrowok="t"/>
              <v:fill focussize="0,0"/>
              <v:stroke weight="0.388031496062992pt" color="#231F20"/>
              <v:imagedata o:title=""/>
              <o:lock v:ext="edit"/>
            </v:line>
            <v:line id="_x0000_s2018" o:spid="_x0000_s201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要设备</w:t>
      </w:r>
      <w:r>
        <w:rPr>
          <w:rFonts w:hint="eastAsia" w:ascii="MS UI Gothic" w:eastAsia="MS UI Gothic"/>
          <w:w w:val="80"/>
        </w:rPr>
        <w:t xml:space="preserve">ꎬ </w:t>
      </w:r>
      <w:r>
        <w:t>必须配备灭火器材</w:t>
      </w:r>
      <w:r>
        <w:rPr>
          <w:rFonts w:hint="eastAsia" w:ascii="MS UI Gothic" w:eastAsia="MS UI Gothic"/>
          <w:w w:val="80"/>
        </w:rPr>
        <w:t xml:space="preserve">ꎬ </w:t>
      </w:r>
      <w:r>
        <w:t>并定期检查和更换</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第五百九十六条 开采有自然发火倾</w:t>
      </w:r>
      <w:r>
        <w:t>向的煤层或者开采范围内存在火区时</w:t>
      </w:r>
      <w:r>
        <w:rPr>
          <w:rFonts w:hint="eastAsia" w:ascii="MS UI Gothic" w:eastAsia="MS UI Gothic"/>
          <w:w w:val="80"/>
        </w:rPr>
        <w:t xml:space="preserve">ꎬ </w:t>
      </w:r>
      <w:r>
        <w:t>必</w:t>
      </w:r>
      <w:r>
        <w:rPr>
          <w:w w:val="105"/>
        </w:rPr>
        <w:t>须制定防灭火措施</w:t>
      </w:r>
      <w:r>
        <w:rPr>
          <w:rFonts w:hint="eastAsia" w:ascii="MS UI Gothic" w:eastAsia="MS UI Gothic"/>
          <w:w w:val="80"/>
        </w:rPr>
        <w:t>ꎮ</w:t>
      </w:r>
    </w:p>
    <w:p>
      <w:pPr>
        <w:pStyle w:val="6"/>
        <w:tabs>
          <w:tab w:val="left" w:pos="1277"/>
          <w:tab w:val="left" w:pos="1906"/>
        </w:tabs>
        <w:spacing w:before="153"/>
        <w:ind w:left="439" w:firstLine="0"/>
        <w:jc w:val="center"/>
      </w:pPr>
      <w:r>
        <w:rPr>
          <w:spacing w:val="3"/>
          <w:w w:val="105"/>
        </w:rPr>
        <w:t>第八</w:t>
      </w:r>
      <w:r>
        <w:rPr>
          <w:w w:val="105"/>
        </w:rPr>
        <w:t>章</w:t>
      </w:r>
      <w:r>
        <w:rPr>
          <w:w w:val="105"/>
        </w:rPr>
        <w:tab/>
      </w:r>
      <w:r>
        <w:rPr>
          <w:w w:val="105"/>
        </w:rPr>
        <w:t>电</w:t>
      </w:r>
      <w:r>
        <w:rPr>
          <w:w w:val="105"/>
        </w:rPr>
        <w:tab/>
      </w:r>
      <w:r>
        <w:rPr>
          <w:w w:val="105"/>
        </w:rPr>
        <w:t>气</w:t>
      </w:r>
    </w:p>
    <w:p>
      <w:pPr>
        <w:pStyle w:val="6"/>
        <w:spacing w:before="1"/>
        <w:ind w:left="0" w:firstLine="0"/>
        <w:jc w:val="left"/>
        <w:rPr>
          <w:sz w:val="29"/>
        </w:rPr>
      </w:pPr>
    </w:p>
    <w:p>
      <w:pPr>
        <w:pStyle w:val="6"/>
        <w:tabs>
          <w:tab w:val="left" w:pos="1277"/>
        </w:tabs>
        <w:ind w:left="439" w:firstLine="0"/>
        <w:jc w:val="center"/>
      </w:pPr>
      <w:r>
        <w:rPr>
          <w:spacing w:val="3"/>
          <w:w w:val="105"/>
        </w:rPr>
        <w:t>第一</w:t>
      </w:r>
      <w:r>
        <w:rPr>
          <w:w w:val="105"/>
        </w:rPr>
        <w:t>节</w:t>
      </w:r>
      <w:r>
        <w:rPr>
          <w:w w:val="105"/>
        </w:rPr>
        <w:tab/>
      </w:r>
      <w:r>
        <w:rPr>
          <w:w w:val="105"/>
        </w:rPr>
        <w:t>一</w:t>
      </w:r>
      <w:r>
        <w:rPr>
          <w:spacing w:val="-34"/>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before="1" w:line="295" w:lineRule="auto"/>
        <w:ind w:left="440"/>
        <w:rPr>
          <w:rFonts w:hint="eastAsia" w:ascii="MS UI Gothic" w:eastAsia="MS UI Gothic"/>
        </w:rPr>
      </w:pPr>
      <w:r>
        <w:t>第五百九十七条 露天煤矿的各种电气设备</w:t>
      </w:r>
      <w:r>
        <w:rPr>
          <w:rFonts w:hint="eastAsia" w:ascii="MS UI Gothic" w:eastAsia="MS UI Gothic"/>
          <w:w w:val="80"/>
        </w:rPr>
        <w:t xml:space="preserve">、 </w:t>
      </w:r>
      <w:r>
        <w:t>电力和通信系统的设计</w:t>
      </w:r>
      <w:r>
        <w:rPr>
          <w:rFonts w:hint="eastAsia" w:ascii="MS UI Gothic" w:eastAsia="MS UI Gothic"/>
          <w:w w:val="80"/>
        </w:rPr>
        <w:t xml:space="preserve">、 </w:t>
      </w:r>
      <w:r>
        <w:t>安装</w:t>
      </w:r>
      <w:r>
        <w:rPr>
          <w:rFonts w:hint="eastAsia" w:ascii="MS UI Gothic" w:eastAsia="MS UI Gothic"/>
          <w:w w:val="80"/>
        </w:rPr>
        <w:t>、</w:t>
      </w:r>
      <w:r>
        <w:t>验收</w:t>
      </w:r>
      <w:r>
        <w:rPr>
          <w:rFonts w:hint="eastAsia" w:ascii="MS UI Gothic" w:eastAsia="MS UI Gothic"/>
          <w:w w:val="80"/>
        </w:rPr>
        <w:t xml:space="preserve">、 </w:t>
      </w:r>
      <w:r>
        <w:t>运行</w:t>
      </w:r>
      <w:r>
        <w:rPr>
          <w:rFonts w:hint="eastAsia" w:ascii="MS UI Gothic" w:eastAsia="MS UI Gothic"/>
          <w:w w:val="80"/>
        </w:rPr>
        <w:t xml:space="preserve">、 </w:t>
      </w:r>
      <w:r>
        <w:t>检修</w:t>
      </w:r>
      <w:r>
        <w:rPr>
          <w:rFonts w:hint="eastAsia" w:ascii="MS UI Gothic" w:eastAsia="MS UI Gothic"/>
          <w:w w:val="80"/>
        </w:rPr>
        <w:t xml:space="preserve">、 </w:t>
      </w:r>
      <w:r>
        <w:t>试验等工作</w:t>
      </w:r>
      <w:r>
        <w:rPr>
          <w:rFonts w:hint="eastAsia" w:ascii="MS UI Gothic" w:eastAsia="MS UI Gothic"/>
          <w:w w:val="80"/>
        </w:rPr>
        <w:t xml:space="preserve">ꎬ  </w:t>
      </w:r>
      <w:r>
        <w:t>必须符合国家有关规定</w:t>
      </w:r>
      <w:r>
        <w:rPr>
          <w:rFonts w:hint="eastAsia" w:ascii="MS UI Gothic" w:eastAsia="MS UI Gothic"/>
          <w:w w:val="80"/>
        </w:rPr>
        <w:t>ꎮ</w:t>
      </w:r>
    </w:p>
    <w:p>
      <w:pPr>
        <w:pStyle w:val="6"/>
        <w:spacing w:line="295" w:lineRule="auto"/>
        <w:ind w:left="440" w:right="1"/>
        <w:rPr>
          <w:rFonts w:hint="eastAsia" w:ascii="MS UI Gothic" w:eastAsia="MS UI Gothic"/>
        </w:rPr>
      </w:pPr>
      <w:r>
        <w:t>第五百九十八条 采场内的主排水泵站必须设置备用电源</w:t>
      </w:r>
      <w:r>
        <w:rPr>
          <w:rFonts w:hint="eastAsia" w:ascii="MS UI Gothic" w:eastAsia="MS UI Gothic"/>
          <w:w w:val="80"/>
        </w:rPr>
        <w:t xml:space="preserve">ꎬ </w:t>
      </w:r>
      <w:r>
        <w:t>当供电线路发生故障时</w:t>
      </w:r>
      <w:r>
        <w:rPr>
          <w:rFonts w:hint="eastAsia" w:ascii="MS UI Gothic" w:eastAsia="MS UI Gothic"/>
          <w:w w:val="80"/>
        </w:rPr>
        <w:t xml:space="preserve">ꎬ </w:t>
      </w:r>
      <w:r>
        <w:t>备用电源必须能担负最大排水负荷</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95"/>
        </w:rPr>
        <w:t xml:space="preserve">第五百九十九条   向采场内的移动式高压电动设备供电的变压器严禁中性点直  </w:t>
      </w:r>
      <w:r>
        <w:rPr>
          <w:spacing w:val="3"/>
          <w:w w:val="95"/>
        </w:rPr>
        <w:t>接接地</w:t>
      </w:r>
      <w:r>
        <w:rPr>
          <w:rFonts w:hint="eastAsia" w:ascii="MS UI Gothic" w:eastAsia="MS UI Gothic"/>
          <w:spacing w:val="16"/>
          <w:w w:val="90"/>
        </w:rPr>
        <w:t xml:space="preserve">ꎻ  </w:t>
      </w:r>
      <w:r>
        <w:rPr>
          <w:spacing w:val="2"/>
          <w:w w:val="95"/>
        </w:rPr>
        <w:t>当采用中性点经限流电阻接地方</w:t>
      </w:r>
      <w:r>
        <w:rPr>
          <w:spacing w:val="3"/>
          <w:w w:val="95"/>
        </w:rPr>
        <w:t>式供电时</w:t>
      </w:r>
      <w:r>
        <w:rPr>
          <w:rFonts w:hint="eastAsia" w:ascii="MS UI Gothic" w:eastAsia="MS UI Gothic"/>
          <w:spacing w:val="16"/>
          <w:w w:val="90"/>
        </w:rPr>
        <w:t xml:space="preserve">ꎬ  </w:t>
      </w:r>
      <w:r>
        <w:rPr>
          <w:spacing w:val="2"/>
          <w:w w:val="95"/>
        </w:rPr>
        <w:t>且流经单相接地故障点的电流</w:t>
      </w:r>
      <w:r>
        <w:rPr>
          <w:spacing w:val="-5"/>
          <w:w w:val="95"/>
        </w:rPr>
        <w:t xml:space="preserve">应当限制在 </w:t>
      </w:r>
      <w:r>
        <w:rPr>
          <w:rFonts w:hint="eastAsia" w:ascii="MS UI Gothic" w:eastAsia="MS UI Gothic"/>
          <w:spacing w:val="6"/>
          <w:w w:val="95"/>
        </w:rPr>
        <w:t xml:space="preserve">２００ Ａ </w:t>
      </w:r>
      <w:r>
        <w:rPr>
          <w:spacing w:val="3"/>
          <w:w w:val="95"/>
        </w:rPr>
        <w:t>以内</w:t>
      </w:r>
      <w:r>
        <w:rPr>
          <w:rFonts w:hint="eastAsia" w:ascii="MS UI Gothic" w:eastAsia="MS UI Gothic"/>
          <w:spacing w:val="9"/>
          <w:w w:val="90"/>
        </w:rPr>
        <w:t xml:space="preserve">ꎬ </w:t>
      </w:r>
      <w:r>
        <w:rPr>
          <w:spacing w:val="2"/>
          <w:w w:val="95"/>
        </w:rPr>
        <w:t>必须装设两段式</w:t>
      </w:r>
      <w:r>
        <w:rPr>
          <w:spacing w:val="3"/>
          <w:w w:val="95"/>
        </w:rPr>
        <w:t>中性点零序电流保护</w:t>
      </w:r>
      <w:r>
        <w:rPr>
          <w:rFonts w:hint="eastAsia" w:ascii="MS UI Gothic" w:eastAsia="MS UI Gothic"/>
          <w:spacing w:val="16"/>
          <w:w w:val="90"/>
        </w:rPr>
        <w:t xml:space="preserve">ꎮ  </w:t>
      </w:r>
      <w:r>
        <w:rPr>
          <w:spacing w:val="2"/>
          <w:w w:val="95"/>
        </w:rPr>
        <w:t>中性点直接接地的</w:t>
      </w:r>
      <w:r>
        <w:rPr>
          <w:spacing w:val="3"/>
          <w:w w:val="95"/>
        </w:rPr>
        <w:t>变压器还应当装设单相接地保护</w:t>
      </w:r>
      <w:r>
        <w:rPr>
          <w:rFonts w:hint="eastAsia" w:ascii="MS UI Gothic" w:eastAsia="MS UI Gothic"/>
          <w:w w:val="90"/>
        </w:rPr>
        <w:t>ꎮ</w:t>
      </w:r>
    </w:p>
    <w:p>
      <w:pPr>
        <w:pStyle w:val="6"/>
        <w:spacing w:line="295" w:lineRule="auto"/>
        <w:ind w:left="440" w:right="1"/>
        <w:rPr>
          <w:rFonts w:hint="eastAsia" w:ascii="MS UI Gothic" w:eastAsia="MS UI Gothic"/>
        </w:rPr>
      </w:pPr>
      <w:r>
        <w:t>第六百条 执行电气检修作业</w:t>
      </w:r>
      <w:r>
        <w:rPr>
          <w:rFonts w:hint="eastAsia" w:ascii="MS UI Gothic" w:eastAsia="MS UI Gothic"/>
          <w:w w:val="80"/>
        </w:rPr>
        <w:t xml:space="preserve">ꎬ </w:t>
      </w:r>
      <w:r>
        <w:t>必须停电</w:t>
      </w:r>
      <w:r>
        <w:rPr>
          <w:rFonts w:hint="eastAsia" w:ascii="MS UI Gothic" w:eastAsia="MS UI Gothic"/>
        </w:rPr>
        <w:t xml:space="preserve">、 </w:t>
      </w:r>
      <w:r>
        <w:t>验电</w:t>
      </w:r>
      <w:r>
        <w:rPr>
          <w:rFonts w:hint="eastAsia" w:ascii="MS UI Gothic" w:eastAsia="MS UI Gothic"/>
        </w:rPr>
        <w:t xml:space="preserve">、 </w:t>
      </w:r>
      <w:r>
        <w:t>放电</w:t>
      </w:r>
      <w:r>
        <w:rPr>
          <w:rFonts w:hint="eastAsia" w:ascii="MS UI Gothic" w:eastAsia="MS UI Gothic"/>
          <w:w w:val="80"/>
        </w:rPr>
        <w:t xml:space="preserve">ꎬ </w:t>
      </w:r>
      <w:r>
        <w:t>挂接三相短路接地线</w:t>
      </w:r>
      <w:r>
        <w:rPr>
          <w:rFonts w:hint="eastAsia" w:ascii="MS UI Gothic" w:eastAsia="MS UI Gothic"/>
          <w:w w:val="80"/>
        </w:rPr>
        <w:t xml:space="preserve">ꎬ </w:t>
      </w:r>
      <w:r>
        <w:t>装设遮栏并悬挂标示牌</w:t>
      </w:r>
      <w:r>
        <w:rPr>
          <w:rFonts w:hint="eastAsia" w:ascii="MS UI Gothic" w:eastAsia="MS UI Gothic"/>
          <w:w w:val="80"/>
        </w:rPr>
        <w:t>ꎮ</w:t>
      </w:r>
    </w:p>
    <w:p>
      <w:pPr>
        <w:pStyle w:val="6"/>
        <w:tabs>
          <w:tab w:val="left" w:pos="1277"/>
        </w:tabs>
        <w:spacing w:before="142"/>
        <w:ind w:left="439" w:firstLine="0"/>
        <w:jc w:val="center"/>
      </w:pPr>
      <w:r>
        <w:rPr>
          <w:spacing w:val="3"/>
          <w:w w:val="105"/>
        </w:rPr>
        <w:t>第二</w:t>
      </w:r>
      <w:r>
        <w:rPr>
          <w:w w:val="105"/>
        </w:rPr>
        <w:t>节</w:t>
      </w:r>
      <w:r>
        <w:rPr>
          <w:w w:val="105"/>
        </w:rPr>
        <w:tab/>
      </w:r>
      <w:r>
        <w:rPr>
          <w:spacing w:val="3"/>
          <w:w w:val="105"/>
        </w:rPr>
        <w:t>变电</w:t>
      </w:r>
      <w:r>
        <w:rPr>
          <w:w w:val="105"/>
        </w:rPr>
        <w:t>所</w:t>
      </w:r>
      <w:r>
        <w:rPr>
          <w:spacing w:val="-6"/>
          <w:w w:val="105"/>
        </w:rPr>
        <w:t xml:space="preserve"> </w:t>
      </w:r>
      <w:r>
        <w:rPr>
          <w:rFonts w:hint="eastAsia" w:ascii="Microsoft Yi Baiti" w:eastAsia="Microsoft Yi Baiti"/>
          <w:w w:val="105"/>
        </w:rPr>
        <w:t>(</w:t>
      </w:r>
      <w:r>
        <w:rPr>
          <w:rFonts w:hint="eastAsia" w:ascii="Microsoft Yi Baiti" w:eastAsia="Microsoft Yi Baiti"/>
          <w:spacing w:val="-73"/>
          <w:w w:val="105"/>
        </w:rPr>
        <w:t xml:space="preserve"> </w:t>
      </w:r>
      <w:r>
        <w:rPr>
          <w:spacing w:val="3"/>
          <w:w w:val="105"/>
        </w:rPr>
        <w:t>站</w:t>
      </w:r>
      <w:r>
        <w:rPr>
          <w:rFonts w:hint="eastAsia" w:ascii="Microsoft Yi Baiti" w:eastAsia="Microsoft Yi Baiti"/>
          <w:w w:val="105"/>
        </w:rPr>
        <w:t>)</w:t>
      </w:r>
      <w:r>
        <w:rPr>
          <w:rFonts w:hint="eastAsia" w:ascii="Microsoft Yi Baiti" w:eastAsia="Microsoft Yi Baiti"/>
          <w:spacing w:val="23"/>
          <w:w w:val="105"/>
        </w:rPr>
        <w:t xml:space="preserve"> </w:t>
      </w:r>
      <w:r>
        <w:rPr>
          <w:spacing w:val="3"/>
          <w:w w:val="105"/>
        </w:rPr>
        <w:t>和配电设</w:t>
      </w:r>
      <w:r>
        <w:rPr>
          <w:w w:val="105"/>
        </w:rPr>
        <w:t>备</w:t>
      </w:r>
    </w:p>
    <w:p>
      <w:pPr>
        <w:pStyle w:val="6"/>
        <w:spacing w:before="216" w:line="295" w:lineRule="auto"/>
        <w:ind w:left="440" w:right="17"/>
        <w:rPr>
          <w:rFonts w:hint="eastAsia" w:ascii="MS UI Gothic" w:eastAsia="MS UI Gothic"/>
        </w:rPr>
      </w:pPr>
      <w:r>
        <w:rPr>
          <w:spacing w:val="5"/>
          <w:w w:val="115"/>
        </w:rPr>
        <w:t xml:space="preserve">第六百零一条 变电站 </w:t>
      </w:r>
      <w:r>
        <w:rPr>
          <w:rFonts w:hint="eastAsia" w:ascii="MS UI Gothic" w:eastAsia="MS UI Gothic"/>
          <w:spacing w:val="-39"/>
          <w:w w:val="150"/>
        </w:rPr>
        <w:t xml:space="preserve">( </w:t>
      </w:r>
      <w:r>
        <w:rPr>
          <w:spacing w:val="23"/>
          <w:w w:val="115"/>
        </w:rPr>
        <w:t>移动站</w:t>
      </w:r>
      <w:r>
        <w:rPr>
          <w:rFonts w:hint="eastAsia" w:ascii="MS UI Gothic" w:eastAsia="MS UI Gothic"/>
          <w:spacing w:val="-12"/>
          <w:w w:val="150"/>
        </w:rPr>
        <w:t xml:space="preserve">) </w:t>
      </w:r>
      <w:r>
        <w:rPr>
          <w:spacing w:val="3"/>
          <w:w w:val="115"/>
        </w:rPr>
        <w:t>设置应当遵守下列规定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27"/>
          <w:w w:val="145"/>
        </w:rPr>
        <w:t xml:space="preserve">( </w:t>
      </w:r>
      <w:r>
        <w:rPr>
          <w:spacing w:val="3"/>
        </w:rPr>
        <w:t>一</w:t>
      </w:r>
      <w:r>
        <w:rPr>
          <w:rFonts w:hint="eastAsia" w:ascii="MS UI Gothic" w:eastAsia="MS UI Gothic"/>
          <w:spacing w:val="18"/>
          <w:w w:val="145"/>
        </w:rPr>
        <w:t xml:space="preserve">) </w:t>
      </w:r>
      <w:r>
        <w:rPr>
          <w:spacing w:val="5"/>
        </w:rPr>
        <w:t>采场变电站应当使用不燃性材</w:t>
      </w:r>
      <w:r>
        <w:rPr>
          <w:spacing w:val="3"/>
        </w:rPr>
        <w:t>料修建</w:t>
      </w:r>
      <w:r>
        <w:rPr>
          <w:rFonts w:hint="eastAsia" w:ascii="MS UI Gothic" w:eastAsia="MS UI Gothic"/>
          <w:spacing w:val="21"/>
          <w:w w:val="80"/>
        </w:rPr>
        <w:t xml:space="preserve">ꎬ </w:t>
      </w:r>
      <w:r>
        <w:rPr>
          <w:spacing w:val="2"/>
        </w:rPr>
        <w:t>站内变电装置与墙的距离不得小</w:t>
      </w:r>
      <w:r>
        <w:rPr>
          <w:spacing w:val="-36"/>
        </w:rPr>
        <w:t xml:space="preserve">于 </w:t>
      </w:r>
      <w:r>
        <w:rPr>
          <w:rFonts w:hint="eastAsia" w:ascii="MS UI Gothic" w:eastAsia="MS UI Gothic"/>
        </w:rPr>
        <w:t>０</w:t>
      </w:r>
      <w:r>
        <w:rPr>
          <w:rFonts w:hint="eastAsia" w:ascii="MS UI Gothic" w:eastAsia="MS UI Gothic"/>
          <w:spacing w:val="-17"/>
        </w:rPr>
        <w:t xml:space="preserve"> ８ </w:t>
      </w:r>
      <w:r>
        <w:rPr>
          <w:rFonts w:hint="eastAsia" w:ascii="MS UI Gothic" w:eastAsia="MS UI Gothic"/>
          <w:spacing w:val="4"/>
        </w:rPr>
        <w:t>ｍ</w:t>
      </w:r>
      <w:r>
        <w:rPr>
          <w:rFonts w:hint="eastAsia" w:ascii="MS UI Gothic" w:eastAsia="MS UI Gothic"/>
          <w:spacing w:val="5"/>
          <w:w w:val="80"/>
        </w:rPr>
        <w:t xml:space="preserve">ꎬ </w:t>
      </w:r>
      <w:r>
        <w:rPr>
          <w:spacing w:val="-1"/>
        </w:rPr>
        <w:t xml:space="preserve">距顶部不得小于 </w:t>
      </w:r>
      <w:r>
        <w:rPr>
          <w:rFonts w:hint="eastAsia" w:ascii="MS UI Gothic" w:eastAsia="MS UI Gothic"/>
          <w:spacing w:val="-8"/>
        </w:rPr>
        <w:t xml:space="preserve">１ </w:t>
      </w:r>
      <w:r>
        <w:rPr>
          <w:rFonts w:hint="eastAsia" w:ascii="MS UI Gothic" w:eastAsia="MS UI Gothic"/>
          <w:spacing w:val="4"/>
        </w:rPr>
        <w:t>ｍ</w:t>
      </w:r>
      <w:r>
        <w:rPr>
          <w:rFonts w:hint="eastAsia" w:ascii="MS UI Gothic" w:eastAsia="MS UI Gothic"/>
          <w:spacing w:val="6"/>
          <w:w w:val="80"/>
        </w:rPr>
        <w:t xml:space="preserve">ꎮ </w:t>
      </w:r>
      <w:r>
        <w:rPr>
          <w:spacing w:val="8"/>
        </w:rPr>
        <w:t>变电站</w:t>
      </w:r>
      <w:r>
        <w:rPr>
          <w:spacing w:val="3"/>
        </w:rPr>
        <w:t>的门应当向外开</w:t>
      </w:r>
      <w:r>
        <w:rPr>
          <w:rFonts w:hint="eastAsia" w:ascii="MS UI Gothic" w:eastAsia="MS UI Gothic"/>
          <w:spacing w:val="1"/>
          <w:w w:val="80"/>
        </w:rPr>
        <w:t xml:space="preserve">ꎬ </w:t>
      </w:r>
      <w:r>
        <w:rPr>
          <w:spacing w:val="3"/>
        </w:rPr>
        <w:t>门口悬挂警示牌</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采场变电站</w:t>
      </w:r>
      <w:r>
        <w:rPr>
          <w:rFonts w:hint="eastAsia" w:ascii="MS UI Gothic" w:eastAsia="MS UI Gothic"/>
          <w:w w:val="80"/>
        </w:rPr>
        <w:t xml:space="preserve">、 </w:t>
      </w:r>
      <w:r>
        <w:rPr>
          <w:w w:val="105"/>
        </w:rPr>
        <w:t>非全封闭式移动变电站</w:t>
      </w:r>
      <w:r>
        <w:rPr>
          <w:rFonts w:hint="eastAsia" w:ascii="MS UI Gothic" w:eastAsia="MS UI Gothic"/>
          <w:w w:val="80"/>
        </w:rPr>
        <w:t xml:space="preserve">ꎬ </w:t>
      </w:r>
      <w:r>
        <w:rPr>
          <w:w w:val="105"/>
        </w:rPr>
        <w:t>四周应当设有围墙或者栅栏</w:t>
      </w:r>
      <w:r>
        <w:rPr>
          <w:rFonts w:hint="eastAsia" w:ascii="MS UI Gothic" w:eastAsia="MS UI Gothic"/>
          <w:w w:val="80"/>
        </w:rPr>
        <w:t>ꎮ</w:t>
      </w:r>
    </w:p>
    <w:p>
      <w:pPr>
        <w:pStyle w:val="6"/>
        <w:spacing w:line="255" w:lineRule="exact"/>
        <w:ind w:left="860" w:firstLine="0"/>
        <w:rPr>
          <w:rFonts w:hint="eastAsia" w:ascii="MS UI Gothic" w:eastAsia="MS UI Gothic"/>
        </w:rPr>
      </w:pPr>
      <w:r>
        <w:rPr>
          <w:rFonts w:hint="eastAsia" w:ascii="MS UI Gothic" w:eastAsia="MS UI Gothic"/>
          <w:w w:val="135"/>
        </w:rPr>
        <w:t xml:space="preserve">( </w:t>
      </w:r>
      <w:r>
        <w:rPr>
          <w:w w:val="110"/>
        </w:rPr>
        <w:t>三</w:t>
      </w:r>
      <w:r>
        <w:rPr>
          <w:rFonts w:hint="eastAsia" w:ascii="MS UI Gothic" w:eastAsia="MS UI Gothic"/>
          <w:w w:val="135"/>
        </w:rPr>
        <w:t xml:space="preserve">) </w:t>
      </w:r>
      <w:r>
        <w:rPr>
          <w:w w:val="110"/>
        </w:rPr>
        <w:t>必须对变电站</w:t>
      </w:r>
      <w:r>
        <w:rPr>
          <w:rFonts w:hint="eastAsia" w:ascii="MS UI Gothic" w:eastAsia="MS UI Gothic"/>
        </w:rPr>
        <w:t xml:space="preserve">、 </w:t>
      </w:r>
      <w:r>
        <w:rPr>
          <w:w w:val="110"/>
        </w:rPr>
        <w:t>移动变电站</w:t>
      </w:r>
      <w:r>
        <w:rPr>
          <w:rFonts w:hint="eastAsia" w:ascii="MS UI Gothic" w:eastAsia="MS UI Gothic"/>
        </w:rPr>
        <w:t>、</w:t>
      </w:r>
    </w:p>
    <w:p>
      <w:pPr>
        <w:pStyle w:val="6"/>
        <w:spacing w:before="124" w:line="295" w:lineRule="auto"/>
        <w:ind w:left="381" w:right="124" w:firstLine="0"/>
        <w:rPr>
          <w:rFonts w:hint="eastAsia" w:ascii="MS UI Gothic" w:eastAsia="MS UI Gothic"/>
        </w:rPr>
      </w:pPr>
      <w:r>
        <w:br w:type="column"/>
      </w:r>
      <w:r>
        <w:t>开关箱</w:t>
      </w:r>
      <w:r>
        <w:rPr>
          <w:rFonts w:hint="eastAsia" w:ascii="MS UI Gothic" w:eastAsia="MS UI Gothic"/>
        </w:rPr>
        <w:t xml:space="preserve">、 </w:t>
      </w:r>
      <w:r>
        <w:t>分支箱统一编号</w:t>
      </w:r>
      <w:r>
        <w:rPr>
          <w:rFonts w:hint="eastAsia" w:ascii="MS UI Gothic" w:eastAsia="MS UI Gothic"/>
          <w:w w:val="80"/>
        </w:rPr>
        <w:t xml:space="preserve">ꎬ </w:t>
      </w:r>
      <w:r>
        <w:t>门必须加锁</w:t>
      </w:r>
      <w:r>
        <w:rPr>
          <w:rFonts w:hint="eastAsia" w:ascii="MS UI Gothic" w:eastAsia="MS UI Gothic"/>
          <w:w w:val="80"/>
        </w:rPr>
        <w:t>ꎬ</w:t>
      </w:r>
      <w:r>
        <w:t>并设安全警示标志</w:t>
      </w:r>
      <w:r>
        <w:rPr>
          <w:rFonts w:hint="eastAsia" w:ascii="MS UI Gothic" w:eastAsia="MS UI Gothic"/>
          <w:w w:val="80"/>
        </w:rPr>
        <w:t xml:space="preserve">ꎮ </w:t>
      </w:r>
      <w:r>
        <w:t>变电站内的设备应当编号</w:t>
      </w:r>
      <w:r>
        <w:rPr>
          <w:rFonts w:hint="eastAsia" w:ascii="MS UI Gothic" w:eastAsia="MS UI Gothic"/>
          <w:w w:val="80"/>
        </w:rPr>
        <w:t xml:space="preserve">ꎬ </w:t>
      </w:r>
      <w:r>
        <w:t>并注明负荷名称</w:t>
      </w:r>
      <w:r>
        <w:rPr>
          <w:rFonts w:hint="eastAsia" w:ascii="MS UI Gothic" w:eastAsia="MS UI Gothic"/>
          <w:w w:val="80"/>
        </w:rPr>
        <w:t xml:space="preserve">ꎬ </w:t>
      </w:r>
      <w:r>
        <w:t>必须设有停</w:t>
      </w:r>
      <w:r>
        <w:rPr>
          <w:rFonts w:hint="eastAsia" w:ascii="MS UI Gothic" w:eastAsia="MS UI Gothic"/>
        </w:rPr>
        <w:t xml:space="preserve">、 </w:t>
      </w:r>
      <w:r>
        <w:t>送电标志</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w w:val="120"/>
        </w:rPr>
        <w:t xml:space="preserve">( </w:t>
      </w:r>
      <w:r>
        <w:rPr>
          <w:w w:val="110"/>
        </w:rPr>
        <w:t>四</w:t>
      </w:r>
      <w:r>
        <w:rPr>
          <w:rFonts w:hint="eastAsia" w:ascii="MS UI Gothic" w:eastAsia="MS UI Gothic"/>
          <w:w w:val="120"/>
        </w:rPr>
        <w:t xml:space="preserve">) </w:t>
      </w:r>
      <w:r>
        <w:rPr>
          <w:w w:val="110"/>
        </w:rPr>
        <w:t>移动变电站箱体应当有保护接地</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无人值班的变电站</w:t>
      </w:r>
      <w:r>
        <w:rPr>
          <w:rFonts w:hint="eastAsia" w:ascii="MS UI Gothic" w:eastAsia="MS UI Gothic"/>
          <w:w w:val="80"/>
        </w:rPr>
        <w:t xml:space="preserve">、  </w:t>
      </w:r>
      <w:r>
        <w:rPr>
          <w:w w:val="105"/>
        </w:rPr>
        <w:t xml:space="preserve">移动变电站至少每 </w:t>
      </w:r>
      <w:r>
        <w:rPr>
          <w:rFonts w:hint="eastAsia" w:ascii="MS UI Gothic" w:eastAsia="MS UI Gothic"/>
          <w:w w:val="80"/>
        </w:rPr>
        <w:t xml:space="preserve">２ </w:t>
      </w:r>
      <w:r>
        <w:rPr>
          <w:w w:val="105"/>
        </w:rPr>
        <w:t>周巡视一次</w:t>
      </w:r>
      <w:r>
        <w:rPr>
          <w:rFonts w:hint="eastAsia" w:ascii="MS UI Gothic" w:eastAsia="MS UI Gothic"/>
          <w:w w:val="80"/>
        </w:rPr>
        <w:t>ꎮ</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变电站室内必须配备合格的检</w:t>
      </w:r>
      <w:r>
        <w:rPr>
          <w:w w:val="110"/>
        </w:rPr>
        <w:t>测和绝缘用具</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第六百零二条 移动变电站进线户外</w:t>
      </w:r>
      <w:r>
        <w:t>主隔离开关必须上锁</w:t>
      </w:r>
      <w:r>
        <w:rPr>
          <w:rFonts w:hint="eastAsia" w:ascii="MS UI Gothic" w:eastAsia="MS UI Gothic"/>
          <w:w w:val="80"/>
        </w:rPr>
        <w:t xml:space="preserve">ꎬ </w:t>
      </w:r>
      <w:r>
        <w:t>馈出侧隔离开关与断路器之间必须有可靠的机械或者电气</w:t>
      </w:r>
      <w:r>
        <w:rPr>
          <w:w w:val="105"/>
        </w:rPr>
        <w:t>闭锁</w:t>
      </w:r>
      <w:r>
        <w:rPr>
          <w:rFonts w:hint="eastAsia" w:ascii="MS UI Gothic" w:eastAsia="MS UI Gothic"/>
          <w:w w:val="80"/>
        </w:rPr>
        <w:t>ꎮ</w:t>
      </w:r>
    </w:p>
    <w:p>
      <w:pPr>
        <w:pStyle w:val="6"/>
        <w:tabs>
          <w:tab w:val="left" w:pos="1848"/>
        </w:tabs>
        <w:spacing w:before="146"/>
        <w:ind w:left="1009" w:firstLine="0"/>
        <w:jc w:val="left"/>
      </w:pPr>
      <w:r>
        <w:rPr>
          <w:spacing w:val="3"/>
          <w:w w:val="105"/>
        </w:rPr>
        <w:t>第三</w:t>
      </w:r>
      <w:r>
        <w:rPr>
          <w:w w:val="105"/>
        </w:rPr>
        <w:t>节</w:t>
      </w:r>
      <w:r>
        <w:rPr>
          <w:w w:val="105"/>
        </w:rPr>
        <w:tab/>
      </w:r>
      <w:r>
        <w:rPr>
          <w:spacing w:val="3"/>
          <w:w w:val="105"/>
        </w:rPr>
        <w:t>架空输电线和电</w:t>
      </w:r>
      <w:r>
        <w:rPr>
          <w:w w:val="105"/>
        </w:rPr>
        <w:t>缆</w:t>
      </w:r>
    </w:p>
    <w:p>
      <w:pPr>
        <w:pStyle w:val="6"/>
        <w:spacing w:before="10"/>
        <w:ind w:left="0" w:firstLine="0"/>
        <w:jc w:val="left"/>
        <w:rPr>
          <w:sz w:val="16"/>
        </w:rPr>
      </w:pPr>
    </w:p>
    <w:p>
      <w:pPr>
        <w:pStyle w:val="6"/>
        <w:spacing w:line="295" w:lineRule="auto"/>
        <w:ind w:left="381" w:right="126"/>
        <w:rPr>
          <w:rFonts w:hint="eastAsia" w:ascii="MS UI Gothic" w:eastAsia="MS UI Gothic"/>
        </w:rPr>
      </w:pPr>
      <w:r>
        <w:rPr>
          <w:w w:val="105"/>
        </w:rPr>
        <w:t>第六百零三条 采场内架空线路敷设</w:t>
      </w:r>
      <w:r>
        <w:rPr>
          <w:w w:val="110"/>
        </w:rPr>
        <w:t>应当遵守下列规定</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固定供电线路和通信线路应当</w:t>
      </w:r>
      <w:r>
        <w:rPr>
          <w:w w:val="110"/>
        </w:rPr>
        <w:t>设置在稳定的边坡上</w:t>
      </w:r>
      <w:r>
        <w:rPr>
          <w:rFonts w:hint="eastAsia" w:ascii="MS UI Gothic" w:eastAsia="MS UI Gothic"/>
          <w:w w:val="80"/>
        </w:rPr>
        <w:t>ꎮ</w:t>
      </w:r>
    </w:p>
    <w:p>
      <w:pPr>
        <w:pStyle w:val="6"/>
        <w:spacing w:line="255" w:lineRule="exact"/>
        <w:ind w:left="800" w:firstLine="0"/>
        <w:jc w:val="left"/>
      </w:pPr>
      <w:r>
        <w:rPr>
          <w:rFonts w:hint="eastAsia" w:ascii="MS UI Gothic" w:eastAsia="MS UI Gothic"/>
          <w:spacing w:val="-21"/>
          <w:w w:val="105"/>
        </w:rPr>
        <w:t xml:space="preserve">( </w:t>
      </w:r>
      <w:r>
        <w:rPr>
          <w:spacing w:val="3"/>
          <w:w w:val="105"/>
        </w:rPr>
        <w:t>二</w:t>
      </w:r>
      <w:r>
        <w:rPr>
          <w:rFonts w:hint="eastAsia" w:ascii="MS UI Gothic" w:eastAsia="MS UI Gothic"/>
          <w:spacing w:val="4"/>
          <w:w w:val="105"/>
        </w:rPr>
        <w:t xml:space="preserve">)  </w:t>
      </w:r>
      <w:r>
        <w:rPr>
          <w:spacing w:val="5"/>
          <w:w w:val="105"/>
        </w:rPr>
        <w:t>高压架空输电线截面不得小于</w:t>
      </w:r>
    </w:p>
    <w:p>
      <w:pPr>
        <w:pStyle w:val="6"/>
        <w:spacing w:before="47"/>
        <w:ind w:left="375" w:firstLine="0"/>
        <w:jc w:val="left"/>
      </w:pPr>
      <w:r>
        <w:rPr>
          <w:rFonts w:hint="eastAsia" w:ascii="MS UI Gothic" w:eastAsia="MS UI Gothic"/>
          <w:spacing w:val="5"/>
          <w:w w:val="95"/>
        </w:rPr>
        <w:t xml:space="preserve">３５ </w:t>
      </w:r>
      <w:r>
        <w:rPr>
          <w:rFonts w:hint="eastAsia" w:ascii="MS UI Gothic" w:eastAsia="MS UI Gothic"/>
          <w:w w:val="95"/>
        </w:rPr>
        <w:t>ｍｍ</w:t>
      </w:r>
      <w:r>
        <w:rPr>
          <w:rFonts w:hint="eastAsia" w:ascii="MS UI Gothic" w:eastAsia="MS UI Gothic"/>
          <w:spacing w:val="-9"/>
          <w:w w:val="95"/>
          <w:position w:val="9"/>
          <w:sz w:val="12"/>
        </w:rPr>
        <w:t xml:space="preserve">２ </w:t>
      </w:r>
      <w:r>
        <w:rPr>
          <w:rFonts w:hint="eastAsia" w:ascii="MS UI Gothic" w:eastAsia="MS UI Gothic"/>
          <w:spacing w:val="25"/>
          <w:w w:val="90"/>
        </w:rPr>
        <w:t xml:space="preserve">ꎬ </w:t>
      </w:r>
      <w:r>
        <w:rPr>
          <w:spacing w:val="15"/>
          <w:w w:val="95"/>
        </w:rPr>
        <w:t>低压架空输电线截面不得小于</w:t>
      </w:r>
    </w:p>
    <w:p>
      <w:pPr>
        <w:pStyle w:val="6"/>
        <w:spacing w:before="48" w:line="295" w:lineRule="auto"/>
        <w:ind w:left="381" w:right="126" w:hanging="6"/>
        <w:rPr>
          <w:rFonts w:hint="eastAsia" w:ascii="MS UI Gothic" w:eastAsia="MS UI Gothic"/>
        </w:rPr>
      </w:pPr>
      <w:r>
        <w:rPr>
          <w:rFonts w:hint="eastAsia" w:ascii="MS UI Gothic" w:eastAsia="MS UI Gothic"/>
          <w:w w:val="95"/>
        </w:rPr>
        <w:t>２５ ｍｍ</w:t>
      </w:r>
      <w:r>
        <w:rPr>
          <w:rFonts w:hint="eastAsia" w:ascii="MS UI Gothic" w:eastAsia="MS UI Gothic"/>
          <w:w w:val="95"/>
          <w:position w:val="9"/>
          <w:sz w:val="12"/>
        </w:rPr>
        <w:t xml:space="preserve">２ </w:t>
      </w:r>
      <w:r>
        <w:rPr>
          <w:rFonts w:hint="eastAsia" w:ascii="MS UI Gothic" w:eastAsia="MS UI Gothic"/>
          <w:w w:val="90"/>
        </w:rPr>
        <w:t xml:space="preserve">ꎮ </w:t>
      </w:r>
      <w:r>
        <w:rPr>
          <w:w w:val="95"/>
        </w:rPr>
        <w:t>由架空线向移动式高压电气设</w:t>
      </w:r>
      <w:r>
        <w:t>备和移动变电站供电的分支线路应当采用橡套电缆</w:t>
      </w:r>
      <w:r>
        <w:rPr>
          <w:rFonts w:hint="eastAsia" w:ascii="MS UI Gothic" w:eastAsia="MS UI Gothic"/>
          <w:w w:val="90"/>
        </w:rPr>
        <w:t>ꎮ</w:t>
      </w:r>
    </w:p>
    <w:p>
      <w:pPr>
        <w:pStyle w:val="6"/>
        <w:spacing w:line="295" w:lineRule="auto"/>
        <w:ind w:left="375" w:right="124" w:firstLine="425"/>
        <w:rPr>
          <w:rFonts w:hint="eastAsia" w:ascii="MS UI Gothic" w:eastAsia="MS UI Gothic"/>
        </w:rPr>
      </w:pPr>
      <w:r>
        <w:pict>
          <v:shape id="_x0000_s2019" o:spid="_x0000_s2019" o:spt="202" type="#_x0000_t202" style="position:absolute;left:0pt;margin-left:280.6pt;margin-top:12pt;height:24.35pt;width:5.15pt;mso-position-horizontal-relative:page;z-index:-27570176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rPr>
                  </w:pPr>
                  <w:r>
                    <w:rPr>
                      <w:rFonts w:ascii="MS UI Gothic"/>
                      <w:w w:val="168"/>
                    </w:rPr>
                    <w:t>(</w:t>
                  </w:r>
                </w:p>
              </w:txbxContent>
            </v:textbox>
          </v:shape>
        </w:pict>
      </w:r>
      <w:r>
        <w:rPr>
          <w:rFonts w:hint="eastAsia" w:ascii="MS UI Gothic" w:eastAsia="MS UI Gothic"/>
          <w:w w:val="140"/>
        </w:rPr>
        <w:t xml:space="preserve">( </w:t>
      </w:r>
      <w:r>
        <w:rPr>
          <w:w w:val="105"/>
        </w:rPr>
        <w:t>三</w:t>
      </w:r>
      <w:r>
        <w:rPr>
          <w:rFonts w:hint="eastAsia" w:ascii="MS UI Gothic" w:eastAsia="MS UI Gothic"/>
          <w:w w:val="140"/>
        </w:rPr>
        <w:t xml:space="preserve">) </w:t>
      </w:r>
      <w:r>
        <w:rPr>
          <w:w w:val="105"/>
        </w:rPr>
        <w:t>架设在同一电杆上的高低压输配</w:t>
      </w:r>
      <w:r>
        <w:rPr>
          <w:rFonts w:hint="eastAsia" w:ascii="MS UI Gothic" w:eastAsia="MS UI Gothic"/>
          <w:w w:val="140"/>
        </w:rPr>
        <w:t xml:space="preserve">) </w:t>
      </w:r>
      <w:r>
        <w:rPr>
          <w:w w:val="105"/>
        </w:rPr>
        <w:t>电线路不得多于两回</w:t>
      </w:r>
      <w:r>
        <w:rPr>
          <w:rFonts w:hint="eastAsia" w:ascii="MS UI Gothic" w:eastAsia="MS UI Gothic"/>
          <w:w w:val="85"/>
        </w:rPr>
        <w:t xml:space="preserve">ꎻ </w:t>
      </w:r>
      <w:r>
        <w:rPr>
          <w:w w:val="105"/>
        </w:rPr>
        <w:t>对于直线</w:t>
      </w:r>
      <w:r>
        <w:t>杆</w:t>
      </w:r>
      <w:r>
        <w:rPr>
          <w:rFonts w:hint="eastAsia" w:ascii="MS UI Gothic" w:eastAsia="MS UI Gothic"/>
          <w:w w:val="85"/>
        </w:rPr>
        <w:t xml:space="preserve">ꎬ </w:t>
      </w:r>
      <w:r>
        <w:t xml:space="preserve">上下横担的距离不得小于 </w:t>
      </w:r>
      <w:r>
        <w:rPr>
          <w:rFonts w:hint="eastAsia" w:ascii="MS UI Gothic" w:eastAsia="MS UI Gothic"/>
          <w:w w:val="85"/>
        </w:rPr>
        <w:t>８００ ｍｍꎻ</w:t>
      </w:r>
      <w:r>
        <w:t>对于转角杆</w:t>
      </w:r>
      <w:r>
        <w:rPr>
          <w:rFonts w:hint="eastAsia" w:ascii="MS UI Gothic" w:eastAsia="MS UI Gothic"/>
          <w:w w:val="85"/>
        </w:rPr>
        <w:t xml:space="preserve">ꎬ </w:t>
      </w:r>
      <w:r>
        <w:t>上下横担的距离不得小于</w:t>
      </w:r>
      <w:r>
        <w:rPr>
          <w:rFonts w:hint="eastAsia" w:ascii="MS UI Gothic" w:eastAsia="MS UI Gothic"/>
          <w:w w:val="75"/>
        </w:rPr>
        <w:t>５００</w:t>
      </w:r>
      <w:r>
        <w:rPr>
          <w:rFonts w:hint="eastAsia" w:ascii="MS UI Gothic" w:eastAsia="MS UI Gothic"/>
        </w:rPr>
        <w:t xml:space="preserve"> </w:t>
      </w:r>
      <w:r>
        <w:rPr>
          <w:rFonts w:hint="eastAsia" w:ascii="MS UI Gothic" w:eastAsia="MS UI Gothic"/>
          <w:w w:val="79"/>
        </w:rPr>
        <w:t>ｍｍ</w:t>
      </w:r>
      <w:r>
        <w:rPr>
          <w:rFonts w:hint="eastAsia" w:ascii="MS UI Gothic" w:eastAsia="MS UI Gothic"/>
        </w:rPr>
        <w:t xml:space="preserve">  </w:t>
      </w:r>
      <w:r>
        <w:rPr>
          <w:rFonts w:hint="eastAsia" w:ascii="MS UI Gothic" w:eastAsia="MS UI Gothic"/>
          <w:w w:val="168"/>
        </w:rPr>
        <w:t>(</w:t>
      </w:r>
      <w:r>
        <w:rPr>
          <w:rFonts w:hint="eastAsia" w:ascii="MS UI Gothic" w:eastAsia="MS UI Gothic"/>
          <w:w w:val="75"/>
        </w:rPr>
        <w:t>１０</w:t>
      </w:r>
      <w:r>
        <w:rPr>
          <w:rFonts w:hint="eastAsia" w:ascii="MS UI Gothic" w:eastAsia="MS UI Gothic"/>
        </w:rPr>
        <w:t xml:space="preserve"> </w:t>
      </w:r>
      <w:r>
        <w:rPr>
          <w:rFonts w:hint="eastAsia" w:ascii="MS UI Gothic" w:eastAsia="MS UI Gothic"/>
          <w:w w:val="86"/>
        </w:rPr>
        <w:t>ｋ</w:t>
      </w:r>
      <w:r>
        <w:rPr>
          <w:rFonts w:hint="eastAsia" w:ascii="MS UI Gothic" w:eastAsia="MS UI Gothic"/>
          <w:w w:val="95"/>
        </w:rPr>
        <w:t>Ｖ</w:t>
      </w:r>
      <w:r>
        <w:rPr>
          <w:rFonts w:hint="eastAsia" w:ascii="MS UI Gothic" w:eastAsia="MS UI Gothic"/>
        </w:rPr>
        <w:t xml:space="preserve"> </w:t>
      </w:r>
      <w:r>
        <w:rPr>
          <w:w w:val="102"/>
        </w:rPr>
        <w:t>线路及以下</w:t>
      </w:r>
      <w:r>
        <w:rPr>
          <w:rFonts w:hint="eastAsia" w:ascii="MS UI Gothic" w:eastAsia="MS UI Gothic"/>
          <w:w w:val="168"/>
        </w:rPr>
        <w:t>)</w:t>
      </w:r>
      <w:r>
        <w:rPr>
          <w:rFonts w:hint="eastAsia" w:ascii="MS UI Gothic" w:eastAsia="MS UI Gothic"/>
        </w:rPr>
        <w:t xml:space="preserve"> </w:t>
      </w:r>
      <w:r>
        <w:rPr>
          <w:rFonts w:hint="eastAsia" w:ascii="MS UI Gothic" w:eastAsia="MS UI Gothic"/>
          <w:w w:val="51"/>
        </w:rPr>
        <w:t>ꎮ</w:t>
      </w:r>
      <w:r>
        <w:rPr>
          <w:rFonts w:hint="eastAsia" w:ascii="MS UI Gothic" w:eastAsia="MS UI Gothic"/>
        </w:rPr>
        <w:t xml:space="preserve">  </w:t>
      </w:r>
      <w:r>
        <w:rPr>
          <w:w w:val="102"/>
        </w:rPr>
        <w:t>同一电杆</w:t>
      </w:r>
      <w:r>
        <w:t>上的高压线路</w:t>
      </w:r>
      <w:r>
        <w:rPr>
          <w:rFonts w:hint="eastAsia" w:ascii="MS UI Gothic" w:eastAsia="MS UI Gothic"/>
          <w:w w:val="85"/>
        </w:rPr>
        <w:t xml:space="preserve">ꎬ </w:t>
      </w:r>
      <w:r>
        <w:t>应当由同一电压等级的电源供电</w:t>
      </w:r>
      <w:r>
        <w:rPr>
          <w:rFonts w:hint="eastAsia" w:ascii="MS UI Gothic" w:eastAsia="MS UI Gothic"/>
          <w:w w:val="85"/>
        </w:rPr>
        <w:t xml:space="preserve">ꎮ </w:t>
      </w:r>
      <w:r>
        <w:t>垂直向采场供电的配电线路</w:t>
      </w:r>
      <w:r>
        <w:rPr>
          <w:rFonts w:hint="eastAsia" w:ascii="MS UI Gothic" w:eastAsia="MS UI Gothic"/>
          <w:w w:val="85"/>
        </w:rPr>
        <w:t xml:space="preserve">ꎬ </w:t>
      </w:r>
      <w:r>
        <w:t>同</w:t>
      </w:r>
      <w:r>
        <w:rPr>
          <w:w w:val="105"/>
        </w:rPr>
        <w:t>一杆上只能架设一回</w:t>
      </w:r>
      <w:r>
        <w:rPr>
          <w:rFonts w:hint="eastAsia" w:ascii="MS UI Gothic" w:eastAsia="MS UI Gothic"/>
          <w:w w:val="85"/>
        </w:rPr>
        <w:t>ꎮ</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架空线下严禁停放矿用设备</w:t>
      </w:r>
      <w:r>
        <w:rPr>
          <w:rFonts w:hint="eastAsia" w:ascii="MS UI Gothic" w:eastAsia="MS UI Gothic"/>
          <w:w w:val="80"/>
        </w:rPr>
        <w:t>ꎬ</w:t>
      </w:r>
      <w:r>
        <w:rPr>
          <w:w w:val="105"/>
        </w:rPr>
        <w:t>严禁堆置剥离物和煤炭等物料</w:t>
      </w:r>
      <w:r>
        <w:rPr>
          <w:rFonts w:hint="eastAsia" w:ascii="MS UI Gothic" w:eastAsia="MS UI Gothic"/>
          <w:w w:val="80"/>
        </w:rPr>
        <w:t>ꎮ</w:t>
      </w:r>
    </w:p>
    <w:p>
      <w:pPr>
        <w:pStyle w:val="6"/>
        <w:spacing w:line="295" w:lineRule="auto"/>
        <w:ind w:left="381" w:right="126"/>
        <w:rPr>
          <w:rFonts w:hint="eastAsia" w:ascii="MS UI Gothic" w:eastAsia="MS UI Gothic"/>
        </w:rPr>
      </w:pPr>
      <w:r>
        <w:t>第六百零四条 在最大下垂度的情况下</w:t>
      </w:r>
      <w:r>
        <w:rPr>
          <w:rFonts w:hint="eastAsia" w:ascii="MS UI Gothic" w:eastAsia="MS UI Gothic"/>
          <w:w w:val="85"/>
        </w:rPr>
        <w:t xml:space="preserve">ꎬ </w:t>
      </w:r>
      <w:r>
        <w:t xml:space="preserve">架空线路到地面和接触网的垂直距离必须符合表 </w:t>
      </w:r>
      <w:r>
        <w:rPr>
          <w:rFonts w:hint="eastAsia" w:ascii="MS UI Gothic" w:eastAsia="MS UI Gothic"/>
          <w:w w:val="85"/>
        </w:rPr>
        <w:t xml:space="preserve">２３ </w:t>
      </w:r>
      <w:r>
        <w:t>的要求</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2020" o:spid="_x0000_s2020" style="position:absolute;left:0pt;margin-left:0pt;margin-top:700.1pt;height:1.75pt;width:398.25pt;mso-position-horizontal-relative:page;z-index:252062720;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３３４</w:t>
      </w:r>
    </w:p>
    <w:p>
      <w:pPr>
        <w:spacing w:before="192"/>
        <w:ind w:left="309"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ind w:left="280" w:firstLine="0"/>
        <w:jc w:val="left"/>
        <w:rPr>
          <w:rFonts w:hint="eastAsia" w:ascii="MS UI Gothic" w:eastAsia="MS UI Gothic"/>
        </w:rPr>
      </w:pPr>
      <w:r>
        <w:rPr>
          <w:w w:val="95"/>
        </w:rPr>
        <w:t xml:space="preserve">表 </w:t>
      </w:r>
      <w:r>
        <w:rPr>
          <w:rFonts w:hint="eastAsia" w:ascii="MS UI Gothic" w:eastAsia="MS UI Gothic"/>
          <w:w w:val="95"/>
        </w:rPr>
        <w:t xml:space="preserve">２３ </w:t>
      </w:r>
      <w:r>
        <w:rPr>
          <w:w w:val="95"/>
        </w:rPr>
        <w:t xml:space="preserve">架空线与地面及设施的安全距离 </w:t>
      </w:r>
      <w:r>
        <w:rPr>
          <w:rFonts w:hint="eastAsia" w:ascii="MS UI Gothic" w:eastAsia="MS UI Gothic"/>
          <w:w w:val="95"/>
        </w:rPr>
        <w:t>ｍ</w:t>
      </w:r>
    </w:p>
    <w:p>
      <w:pPr>
        <w:spacing w:after="0"/>
        <w:jc w:val="left"/>
        <w:rPr>
          <w:rFonts w:hint="eastAsia" w:ascii="MS UI Gothic" w:eastAsia="MS UI Gothic"/>
        </w:rPr>
        <w:sectPr>
          <w:pgSz w:w="10500" w:h="14750"/>
          <w:pgMar w:top="960" w:right="980" w:bottom="280" w:left="980" w:header="720" w:footer="720" w:gutter="0"/>
          <w:cols w:equalWidth="0" w:num="2">
            <w:col w:w="1050" w:space="1067"/>
            <w:col w:w="6423"/>
          </w:cols>
        </w:sectPr>
      </w:pPr>
    </w:p>
    <w:p>
      <w:pPr>
        <w:pStyle w:val="6"/>
        <w:spacing w:before="1"/>
        <w:ind w:left="0" w:firstLine="0"/>
        <w:jc w:val="left"/>
        <w:rPr>
          <w:rFonts w:ascii="MS UI Gothic"/>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411"/>
        <w:gridCol w:w="876"/>
        <w:gridCol w:w="876"/>
        <w:gridCol w:w="804"/>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5411" w:type="dxa"/>
            <w:tcBorders>
              <w:bottom w:val="single" w:color="231F20" w:sz="4" w:space="0"/>
              <w:right w:val="single" w:color="231F20" w:sz="4" w:space="0"/>
            </w:tcBorders>
          </w:tcPr>
          <w:p>
            <w:pPr>
              <w:pStyle w:val="11"/>
              <w:spacing w:before="50"/>
              <w:ind w:left="263"/>
              <w:rPr>
                <w:rFonts w:hint="eastAsia" w:ascii="MS UI Gothic" w:eastAsia="MS UI Gothic"/>
                <w:sz w:val="15"/>
              </w:rPr>
            </w:pPr>
            <w:r>
              <w:rPr>
                <w:sz w:val="15"/>
              </w:rPr>
              <w:t>电压等级</w:t>
            </w:r>
            <w:r>
              <w:rPr>
                <w:rFonts w:hint="eastAsia" w:ascii="MS UI Gothic" w:eastAsia="MS UI Gothic"/>
                <w:w w:val="70"/>
                <w:sz w:val="15"/>
              </w:rPr>
              <w:t xml:space="preserve">/ </w:t>
            </w:r>
            <w:r>
              <w:rPr>
                <w:rFonts w:hint="eastAsia" w:ascii="MS UI Gothic" w:eastAsia="MS UI Gothic"/>
                <w:sz w:val="15"/>
              </w:rPr>
              <w:t>ｋＶ</w:t>
            </w:r>
          </w:p>
        </w:tc>
        <w:tc>
          <w:tcPr>
            <w:tcW w:w="876" w:type="dxa"/>
            <w:tcBorders>
              <w:left w:val="single" w:color="231F20" w:sz="4" w:space="0"/>
              <w:bottom w:val="single" w:color="231F20" w:sz="4" w:space="0"/>
              <w:right w:val="single" w:color="231F20" w:sz="4" w:space="0"/>
            </w:tcBorders>
          </w:tcPr>
          <w:p>
            <w:pPr>
              <w:pStyle w:val="11"/>
              <w:spacing w:before="50"/>
              <w:ind w:left="283" w:right="266"/>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w:t>
            </w:r>
          </w:p>
        </w:tc>
        <w:tc>
          <w:tcPr>
            <w:tcW w:w="876" w:type="dxa"/>
            <w:tcBorders>
              <w:left w:val="single" w:color="231F20" w:sz="4" w:space="0"/>
              <w:bottom w:val="single" w:color="231F20" w:sz="4" w:space="0"/>
              <w:right w:val="single" w:color="231F20" w:sz="4" w:space="0"/>
            </w:tcBorders>
          </w:tcPr>
          <w:p>
            <w:pPr>
              <w:pStyle w:val="11"/>
              <w:spacing w:before="50"/>
              <w:ind w:left="257"/>
              <w:rPr>
                <w:rFonts w:hint="eastAsia" w:ascii="MS UI Gothic" w:eastAsia="MS UI Gothic"/>
                <w:sz w:val="15"/>
              </w:rPr>
            </w:pPr>
            <w:r>
              <w:rPr>
                <w:rFonts w:hint="eastAsia" w:ascii="MS UI Gothic" w:eastAsia="MS UI Gothic"/>
                <w:w w:val="95"/>
                <w:sz w:val="15"/>
              </w:rPr>
              <w:t xml:space="preserve">１ </w:t>
            </w:r>
            <w:r>
              <w:rPr>
                <w:rFonts w:hint="eastAsia" w:ascii="MS UI Gothic" w:eastAsia="MS UI Gothic"/>
                <w:w w:val="115"/>
                <w:sz w:val="15"/>
              </w:rPr>
              <w:t xml:space="preserve">~ </w:t>
            </w:r>
            <w:r>
              <w:rPr>
                <w:rFonts w:hint="eastAsia" w:ascii="MS UI Gothic" w:eastAsia="MS UI Gothic"/>
                <w:w w:val="95"/>
                <w:sz w:val="15"/>
              </w:rPr>
              <w:t>１０</w:t>
            </w:r>
          </w:p>
        </w:tc>
        <w:tc>
          <w:tcPr>
            <w:tcW w:w="804" w:type="dxa"/>
            <w:tcBorders>
              <w:left w:val="single" w:color="231F20" w:sz="4" w:space="0"/>
              <w:bottom w:val="single" w:color="231F20" w:sz="4" w:space="0"/>
            </w:tcBorders>
          </w:tcPr>
          <w:p>
            <w:pPr>
              <w:pStyle w:val="11"/>
              <w:spacing w:before="50"/>
              <w:ind w:left="247" w:right="235"/>
              <w:jc w:val="center"/>
              <w:rPr>
                <w:rFonts w:hint="eastAsia" w:ascii="MS UI Gothic" w:eastAsia="MS UI Gothic"/>
                <w:sz w:val="15"/>
              </w:rPr>
            </w:pPr>
            <w:r>
              <w:rPr>
                <w:rFonts w:hint="eastAsia" w:ascii="MS UI Gothic" w:eastAsia="MS UI Gothic"/>
                <w:w w:val="85"/>
                <w:sz w:val="15"/>
              </w:rPr>
              <w:t>３５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411"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采场和排土场</w:t>
            </w:r>
          </w:p>
        </w:tc>
        <w:tc>
          <w:tcPr>
            <w:tcW w:w="876" w:type="dxa"/>
            <w:tcBorders>
              <w:top w:val="single" w:color="231F20" w:sz="4" w:space="0"/>
              <w:left w:val="single" w:color="231F20" w:sz="4" w:space="0"/>
              <w:bottom w:val="single" w:color="231F20" w:sz="4" w:space="0"/>
              <w:right w:val="single" w:color="231F20" w:sz="4" w:space="0"/>
            </w:tcBorders>
          </w:tcPr>
          <w:p>
            <w:pPr>
              <w:pStyle w:val="11"/>
              <w:spacing w:before="55"/>
              <w:ind w:left="8"/>
              <w:jc w:val="center"/>
              <w:rPr>
                <w:rFonts w:hint="eastAsia" w:ascii="MS UI Gothic" w:eastAsia="MS UI Gothic"/>
                <w:sz w:val="15"/>
              </w:rPr>
            </w:pPr>
            <w:r>
              <w:rPr>
                <w:rFonts w:hint="eastAsia" w:ascii="MS UI Gothic" w:eastAsia="MS UI Gothic"/>
                <w:w w:val="75"/>
                <w:sz w:val="15"/>
              </w:rPr>
              <w:t>６</w:t>
            </w:r>
          </w:p>
        </w:tc>
        <w:tc>
          <w:tcPr>
            <w:tcW w:w="876" w:type="dxa"/>
            <w:tcBorders>
              <w:top w:val="single" w:color="231F20" w:sz="4" w:space="0"/>
              <w:left w:val="single" w:color="231F20" w:sz="4" w:space="0"/>
              <w:bottom w:val="single" w:color="231F20" w:sz="4" w:space="0"/>
              <w:right w:val="single" w:color="231F20" w:sz="4" w:space="0"/>
            </w:tcBorders>
          </w:tcPr>
          <w:p>
            <w:pPr>
              <w:pStyle w:val="11"/>
              <w:spacing w:before="55"/>
              <w:ind w:left="319"/>
              <w:rPr>
                <w:rFonts w:hint="eastAsia" w:ascii="MS UI Gothic" w:eastAsia="MS UI Gothic"/>
                <w:sz w:val="15"/>
              </w:rPr>
            </w:pPr>
            <w:r>
              <w:rPr>
                <w:rFonts w:hint="eastAsia" w:ascii="MS UI Gothic" w:eastAsia="MS UI Gothic"/>
                <w:w w:val="90"/>
                <w:sz w:val="15"/>
              </w:rPr>
              <w:t>６ ５</w:t>
            </w:r>
          </w:p>
        </w:tc>
        <w:tc>
          <w:tcPr>
            <w:tcW w:w="804" w:type="dxa"/>
            <w:tcBorders>
              <w:top w:val="single" w:color="231F20" w:sz="4" w:space="0"/>
              <w:left w:val="single" w:color="231F20" w:sz="4" w:space="0"/>
              <w:bottom w:val="single" w:color="231F20" w:sz="4" w:space="0"/>
            </w:tcBorders>
          </w:tcPr>
          <w:p>
            <w:pPr>
              <w:pStyle w:val="11"/>
              <w:spacing w:before="55"/>
              <w:ind w:left="12"/>
              <w:jc w:val="center"/>
              <w:rPr>
                <w:rFonts w:hint="eastAsia" w:ascii="MS UI Gothic" w:eastAsia="MS UI Gothic"/>
                <w:sz w:val="15"/>
              </w:rPr>
            </w:pPr>
            <w:r>
              <w:rPr>
                <w:rFonts w:hint="eastAsia" w:ascii="MS UI Gothic" w:eastAsia="MS UI Gothic"/>
                <w:w w:val="75"/>
                <w:sz w:val="15"/>
              </w:rPr>
              <w:t>７</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411"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人难以通行和地面运输必须通行的地点</w:t>
            </w:r>
          </w:p>
        </w:tc>
        <w:tc>
          <w:tcPr>
            <w:tcW w:w="876" w:type="dxa"/>
            <w:tcBorders>
              <w:top w:val="single" w:color="231F20" w:sz="4" w:space="0"/>
              <w:left w:val="single" w:color="231F20" w:sz="4" w:space="0"/>
              <w:bottom w:val="single" w:color="231F20" w:sz="4" w:space="0"/>
              <w:right w:val="single" w:color="231F20" w:sz="4" w:space="0"/>
            </w:tcBorders>
          </w:tcPr>
          <w:p>
            <w:pPr>
              <w:pStyle w:val="11"/>
              <w:spacing w:before="55"/>
              <w:ind w:left="8"/>
              <w:jc w:val="center"/>
              <w:rPr>
                <w:rFonts w:hint="eastAsia" w:ascii="MS UI Gothic" w:eastAsia="MS UI Gothic"/>
                <w:sz w:val="15"/>
              </w:rPr>
            </w:pPr>
            <w:r>
              <w:rPr>
                <w:rFonts w:hint="eastAsia" w:ascii="MS UI Gothic" w:eastAsia="MS UI Gothic"/>
                <w:w w:val="75"/>
                <w:sz w:val="15"/>
              </w:rPr>
              <w:t>５</w:t>
            </w:r>
          </w:p>
        </w:tc>
        <w:tc>
          <w:tcPr>
            <w:tcW w:w="876" w:type="dxa"/>
            <w:tcBorders>
              <w:top w:val="single" w:color="231F20" w:sz="4" w:space="0"/>
              <w:left w:val="single" w:color="231F20" w:sz="4" w:space="0"/>
              <w:bottom w:val="single" w:color="231F20" w:sz="4" w:space="0"/>
              <w:right w:val="single" w:color="231F20" w:sz="4" w:space="0"/>
            </w:tcBorders>
          </w:tcPr>
          <w:p>
            <w:pPr>
              <w:pStyle w:val="11"/>
              <w:spacing w:before="55"/>
              <w:ind w:left="319"/>
              <w:rPr>
                <w:rFonts w:hint="eastAsia" w:ascii="MS UI Gothic" w:eastAsia="MS UI Gothic"/>
                <w:sz w:val="15"/>
              </w:rPr>
            </w:pPr>
            <w:r>
              <w:rPr>
                <w:rFonts w:hint="eastAsia" w:ascii="MS UI Gothic" w:eastAsia="MS UI Gothic"/>
                <w:w w:val="90"/>
                <w:sz w:val="15"/>
              </w:rPr>
              <w:t>５ ５</w:t>
            </w:r>
          </w:p>
        </w:tc>
        <w:tc>
          <w:tcPr>
            <w:tcW w:w="804" w:type="dxa"/>
            <w:tcBorders>
              <w:top w:val="single" w:color="231F20" w:sz="4" w:space="0"/>
              <w:left w:val="single" w:color="231F20" w:sz="4" w:space="0"/>
              <w:bottom w:val="single" w:color="231F20" w:sz="4" w:space="0"/>
            </w:tcBorders>
          </w:tcPr>
          <w:p>
            <w:pPr>
              <w:pStyle w:val="11"/>
              <w:spacing w:before="55"/>
              <w:ind w:left="12"/>
              <w:jc w:val="center"/>
              <w:rPr>
                <w:rFonts w:hint="eastAsia" w:ascii="MS UI Gothic" w:eastAsia="MS UI Gothic"/>
                <w:sz w:val="15"/>
              </w:rPr>
            </w:pPr>
            <w:r>
              <w:rPr>
                <w:rFonts w:hint="eastAsia" w:ascii="MS UI Gothic" w:eastAsia="MS UI Gothic"/>
                <w:w w:val="75"/>
                <w:sz w:val="15"/>
              </w:rPr>
              <w:t>６</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411"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台阶坡面</w:t>
            </w:r>
          </w:p>
        </w:tc>
        <w:tc>
          <w:tcPr>
            <w:tcW w:w="876" w:type="dxa"/>
            <w:tcBorders>
              <w:top w:val="single" w:color="231F20" w:sz="4" w:space="0"/>
              <w:left w:val="single" w:color="231F20" w:sz="4" w:space="0"/>
              <w:bottom w:val="single" w:color="231F20" w:sz="4" w:space="0"/>
              <w:right w:val="single" w:color="231F20" w:sz="4" w:space="0"/>
            </w:tcBorders>
          </w:tcPr>
          <w:p>
            <w:pPr>
              <w:pStyle w:val="11"/>
              <w:spacing w:before="55"/>
              <w:ind w:left="8"/>
              <w:jc w:val="center"/>
              <w:rPr>
                <w:rFonts w:hint="eastAsia" w:ascii="MS UI Gothic" w:eastAsia="MS UI Gothic"/>
                <w:sz w:val="15"/>
              </w:rPr>
            </w:pPr>
            <w:r>
              <w:rPr>
                <w:rFonts w:hint="eastAsia" w:ascii="MS UI Gothic" w:eastAsia="MS UI Gothic"/>
                <w:w w:val="75"/>
                <w:sz w:val="15"/>
              </w:rPr>
              <w:t>３</w:t>
            </w:r>
          </w:p>
        </w:tc>
        <w:tc>
          <w:tcPr>
            <w:tcW w:w="876" w:type="dxa"/>
            <w:tcBorders>
              <w:top w:val="single" w:color="231F20" w:sz="4" w:space="0"/>
              <w:left w:val="single" w:color="231F20" w:sz="4" w:space="0"/>
              <w:bottom w:val="single" w:color="231F20" w:sz="4" w:space="0"/>
              <w:right w:val="single" w:color="231F20" w:sz="4" w:space="0"/>
            </w:tcBorders>
          </w:tcPr>
          <w:p>
            <w:pPr>
              <w:pStyle w:val="11"/>
              <w:spacing w:before="55"/>
              <w:ind w:left="319"/>
              <w:rPr>
                <w:rFonts w:hint="eastAsia" w:ascii="MS UI Gothic" w:eastAsia="MS UI Gothic"/>
                <w:sz w:val="15"/>
              </w:rPr>
            </w:pPr>
            <w:r>
              <w:rPr>
                <w:rFonts w:hint="eastAsia" w:ascii="MS UI Gothic" w:eastAsia="MS UI Gothic"/>
                <w:w w:val="90"/>
                <w:sz w:val="15"/>
              </w:rPr>
              <w:t>４ ５</w:t>
            </w:r>
          </w:p>
        </w:tc>
        <w:tc>
          <w:tcPr>
            <w:tcW w:w="804" w:type="dxa"/>
            <w:tcBorders>
              <w:top w:val="single" w:color="231F20" w:sz="4" w:space="0"/>
              <w:left w:val="single" w:color="231F20" w:sz="4" w:space="0"/>
              <w:bottom w:val="single" w:color="231F20" w:sz="4" w:space="0"/>
            </w:tcBorders>
          </w:tcPr>
          <w:p>
            <w:pPr>
              <w:pStyle w:val="11"/>
              <w:spacing w:before="55"/>
              <w:ind w:left="12"/>
              <w:jc w:val="center"/>
              <w:rPr>
                <w:rFonts w:hint="eastAsia" w:ascii="MS UI Gothic" w:eastAsia="MS UI Gothic"/>
                <w:sz w:val="15"/>
              </w:rPr>
            </w:pPr>
            <w:r>
              <w:rPr>
                <w:rFonts w:hint="eastAsia" w:ascii="MS UI Gothic" w:eastAsia="MS UI Gothic"/>
                <w:w w:val="75"/>
                <w:sz w:val="15"/>
              </w:rPr>
              <w:t>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5411" w:type="dxa"/>
            <w:tcBorders>
              <w:top w:val="single" w:color="231F20" w:sz="4" w:space="0"/>
              <w:bottom w:val="single" w:color="231F20" w:sz="4" w:space="0"/>
              <w:right w:val="single" w:color="231F20" w:sz="4" w:space="0"/>
            </w:tcBorders>
          </w:tcPr>
          <w:p>
            <w:pPr>
              <w:pStyle w:val="11"/>
              <w:spacing w:before="55"/>
              <w:ind w:left="263"/>
              <w:rPr>
                <w:sz w:val="15"/>
              </w:rPr>
            </w:pPr>
            <w:r>
              <w:rPr>
                <w:w w:val="105"/>
                <w:sz w:val="15"/>
              </w:rPr>
              <w:t>配电线和接触网的平面交叉点</w:t>
            </w:r>
          </w:p>
        </w:tc>
        <w:tc>
          <w:tcPr>
            <w:tcW w:w="876" w:type="dxa"/>
            <w:tcBorders>
              <w:top w:val="single" w:color="231F20" w:sz="4" w:space="0"/>
              <w:left w:val="single" w:color="231F20" w:sz="4" w:space="0"/>
              <w:bottom w:val="single" w:color="231F20" w:sz="4" w:space="0"/>
              <w:right w:val="single" w:color="231F20" w:sz="4" w:space="0"/>
            </w:tcBorders>
          </w:tcPr>
          <w:p>
            <w:pPr>
              <w:pStyle w:val="11"/>
              <w:spacing w:before="55"/>
              <w:ind w:left="8"/>
              <w:jc w:val="center"/>
              <w:rPr>
                <w:rFonts w:hint="eastAsia" w:ascii="MS UI Gothic" w:eastAsia="MS UI Gothic"/>
                <w:sz w:val="15"/>
              </w:rPr>
            </w:pPr>
            <w:r>
              <w:rPr>
                <w:rFonts w:hint="eastAsia" w:ascii="MS UI Gothic" w:eastAsia="MS UI Gothic"/>
                <w:w w:val="75"/>
                <w:sz w:val="15"/>
              </w:rPr>
              <w:t>２</w:t>
            </w:r>
          </w:p>
        </w:tc>
        <w:tc>
          <w:tcPr>
            <w:tcW w:w="876" w:type="dxa"/>
            <w:tcBorders>
              <w:top w:val="single" w:color="231F20" w:sz="4" w:space="0"/>
              <w:left w:val="single" w:color="231F20" w:sz="4" w:space="0"/>
              <w:bottom w:val="single" w:color="231F20" w:sz="4" w:space="0"/>
              <w:right w:val="single" w:color="231F20" w:sz="4" w:space="0"/>
            </w:tcBorders>
          </w:tcPr>
          <w:p>
            <w:pPr>
              <w:pStyle w:val="11"/>
              <w:spacing w:before="55"/>
              <w:ind w:left="6"/>
              <w:jc w:val="center"/>
              <w:rPr>
                <w:rFonts w:hint="eastAsia" w:ascii="MS UI Gothic" w:eastAsia="MS UI Gothic"/>
                <w:sz w:val="15"/>
              </w:rPr>
            </w:pPr>
            <w:r>
              <w:rPr>
                <w:rFonts w:hint="eastAsia" w:ascii="MS UI Gothic" w:eastAsia="MS UI Gothic"/>
                <w:w w:val="75"/>
                <w:sz w:val="15"/>
              </w:rPr>
              <w:t>２</w:t>
            </w:r>
          </w:p>
        </w:tc>
        <w:tc>
          <w:tcPr>
            <w:tcW w:w="804" w:type="dxa"/>
            <w:tcBorders>
              <w:top w:val="single" w:color="231F20" w:sz="4" w:space="0"/>
              <w:left w:val="single" w:color="231F20" w:sz="4" w:space="0"/>
              <w:bottom w:val="single" w:color="231F20" w:sz="4" w:space="0"/>
            </w:tcBorders>
          </w:tcPr>
          <w:p>
            <w:pPr>
              <w:pStyle w:val="11"/>
              <w:spacing w:before="55"/>
              <w:ind w:left="12"/>
              <w:jc w:val="center"/>
              <w:rPr>
                <w:rFonts w:hint="eastAsia" w:ascii="MS UI Gothic" w:eastAsia="MS UI Gothic"/>
                <w:sz w:val="15"/>
              </w:rPr>
            </w:pPr>
            <w:r>
              <w:rPr>
                <w:rFonts w:hint="eastAsia" w:ascii="MS UI Gothic" w:eastAsia="MS UI Gothic"/>
                <w:w w:val="75"/>
                <w:sz w:val="15"/>
              </w:rPr>
              <w:t>３</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5411" w:type="dxa"/>
            <w:tcBorders>
              <w:top w:val="single" w:color="231F20" w:sz="4" w:space="0"/>
              <w:right w:val="single" w:color="231F20" w:sz="4" w:space="0"/>
            </w:tcBorders>
          </w:tcPr>
          <w:p>
            <w:pPr>
              <w:pStyle w:val="11"/>
              <w:spacing w:before="55"/>
              <w:ind w:left="263"/>
              <w:rPr>
                <w:sz w:val="15"/>
              </w:rPr>
            </w:pPr>
            <w:r>
              <w:rPr>
                <w:w w:val="105"/>
                <w:sz w:val="15"/>
              </w:rPr>
              <w:t>铁路与配电线路的平面交叉点</w:t>
            </w:r>
          </w:p>
        </w:tc>
        <w:tc>
          <w:tcPr>
            <w:tcW w:w="876" w:type="dxa"/>
            <w:tcBorders>
              <w:top w:val="single" w:color="231F20" w:sz="4" w:space="0"/>
              <w:left w:val="single" w:color="231F20" w:sz="4" w:space="0"/>
              <w:right w:val="single" w:color="231F20" w:sz="4" w:space="0"/>
            </w:tcBorders>
          </w:tcPr>
          <w:p>
            <w:pPr>
              <w:pStyle w:val="11"/>
              <w:spacing w:before="55"/>
              <w:ind w:left="283" w:right="275"/>
              <w:jc w:val="center"/>
              <w:rPr>
                <w:rFonts w:hint="eastAsia" w:ascii="MS UI Gothic" w:eastAsia="MS UI Gothic"/>
                <w:sz w:val="15"/>
              </w:rPr>
            </w:pPr>
            <w:r>
              <w:rPr>
                <w:rFonts w:hint="eastAsia" w:ascii="MS UI Gothic" w:eastAsia="MS UI Gothic"/>
                <w:w w:val="90"/>
                <w:sz w:val="15"/>
              </w:rPr>
              <w:t>７ ５</w:t>
            </w:r>
          </w:p>
        </w:tc>
        <w:tc>
          <w:tcPr>
            <w:tcW w:w="876" w:type="dxa"/>
            <w:tcBorders>
              <w:top w:val="single" w:color="231F20" w:sz="4" w:space="0"/>
              <w:left w:val="single" w:color="231F20" w:sz="4" w:space="0"/>
              <w:right w:val="single" w:color="231F20" w:sz="4" w:space="0"/>
            </w:tcBorders>
          </w:tcPr>
          <w:p>
            <w:pPr>
              <w:pStyle w:val="11"/>
              <w:spacing w:before="55"/>
              <w:ind w:left="319"/>
              <w:rPr>
                <w:rFonts w:hint="eastAsia" w:ascii="MS UI Gothic" w:eastAsia="MS UI Gothic"/>
                <w:sz w:val="15"/>
              </w:rPr>
            </w:pPr>
            <w:r>
              <w:rPr>
                <w:rFonts w:hint="eastAsia" w:ascii="MS UI Gothic" w:eastAsia="MS UI Gothic"/>
                <w:w w:val="90"/>
                <w:sz w:val="15"/>
              </w:rPr>
              <w:t>７ ５</w:t>
            </w:r>
          </w:p>
        </w:tc>
        <w:tc>
          <w:tcPr>
            <w:tcW w:w="804" w:type="dxa"/>
            <w:tcBorders>
              <w:top w:val="single" w:color="231F20" w:sz="4" w:space="0"/>
              <w:left w:val="single" w:color="231F20" w:sz="4" w:space="0"/>
            </w:tcBorders>
          </w:tcPr>
          <w:p>
            <w:pPr>
              <w:pStyle w:val="11"/>
              <w:spacing w:before="55"/>
              <w:ind w:left="247" w:right="235"/>
              <w:jc w:val="center"/>
              <w:rPr>
                <w:rFonts w:hint="eastAsia" w:ascii="MS UI Gothic" w:eastAsia="MS UI Gothic"/>
                <w:sz w:val="15"/>
              </w:rPr>
            </w:pPr>
            <w:r>
              <w:rPr>
                <w:rFonts w:hint="eastAsia" w:ascii="MS UI Gothic" w:eastAsia="MS UI Gothic"/>
                <w:w w:val="90"/>
                <w:sz w:val="15"/>
              </w:rPr>
              <w:t>７ ５</w:t>
            </w:r>
          </w:p>
        </w:tc>
      </w:tr>
    </w:tbl>
    <w:p>
      <w:pPr>
        <w:pStyle w:val="6"/>
        <w:spacing w:before="2"/>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175" w:line="295" w:lineRule="auto"/>
        <w:ind w:left="118" w:right="38" w:firstLine="425"/>
        <w:rPr>
          <w:rFonts w:hint="eastAsia" w:ascii="MS UI Gothic" w:eastAsia="MS UI Gothic"/>
        </w:rPr>
      </w:pPr>
      <w:r>
        <w:rPr>
          <w:w w:val="105"/>
        </w:rPr>
        <w:t>第六百零五条 移动金属塔架和大型</w:t>
      </w:r>
      <w:r>
        <w:t>设备通过架空线以及在架空输配电线附近</w:t>
      </w:r>
      <w:r>
        <w:rPr>
          <w:w w:val="105"/>
        </w:rPr>
        <w:t>作业的机械设备</w:t>
      </w:r>
      <w:r>
        <w:rPr>
          <w:rFonts w:hint="eastAsia" w:ascii="MS UI Gothic" w:eastAsia="MS UI Gothic"/>
          <w:w w:val="85"/>
        </w:rPr>
        <w:t xml:space="preserve">ꎬ </w:t>
      </w:r>
      <w:r>
        <w:rPr>
          <w:w w:val="105"/>
        </w:rPr>
        <w:t xml:space="preserve">其最高 </w:t>
      </w:r>
      <w:r>
        <w:rPr>
          <w:rFonts w:hint="eastAsia" w:ascii="MS UI Gothic" w:eastAsia="MS UI Gothic"/>
          <w:w w:val="145"/>
        </w:rPr>
        <w:t xml:space="preserve">( </w:t>
      </w:r>
      <w:r>
        <w:rPr>
          <w:w w:val="105"/>
        </w:rPr>
        <w:t>最远</w:t>
      </w:r>
      <w:r>
        <w:rPr>
          <w:rFonts w:hint="eastAsia" w:ascii="MS UI Gothic" w:eastAsia="MS UI Gothic"/>
          <w:w w:val="145"/>
        </w:rPr>
        <w:t xml:space="preserve">) </w:t>
      </w:r>
      <w:r>
        <w:rPr>
          <w:w w:val="105"/>
        </w:rPr>
        <w:t xml:space="preserve">点至电线的垂直 </w:t>
      </w:r>
      <w:r>
        <w:rPr>
          <w:rFonts w:hint="eastAsia" w:ascii="MS UI Gothic" w:eastAsia="MS UI Gothic"/>
          <w:w w:val="145"/>
        </w:rPr>
        <w:t xml:space="preserve">( </w:t>
      </w:r>
      <w:r>
        <w:rPr>
          <w:w w:val="105"/>
        </w:rPr>
        <w:t>水平</w:t>
      </w:r>
      <w:r>
        <w:rPr>
          <w:rFonts w:hint="eastAsia" w:ascii="MS UI Gothic" w:eastAsia="MS UI Gothic"/>
          <w:w w:val="145"/>
        </w:rPr>
        <w:t xml:space="preserve">) </w:t>
      </w:r>
      <w:r>
        <w:rPr>
          <w:w w:val="105"/>
        </w:rPr>
        <w:t>距离</w:t>
      </w:r>
      <w:r>
        <w:rPr>
          <w:rFonts w:hint="eastAsia" w:ascii="MS UI Gothic" w:eastAsia="MS UI Gothic"/>
          <w:w w:val="85"/>
        </w:rPr>
        <w:t xml:space="preserve">ꎬ </w:t>
      </w:r>
      <w:r>
        <w:rPr>
          <w:w w:val="105"/>
        </w:rPr>
        <w:t>应当符合表</w:t>
      </w:r>
      <w:r>
        <w:rPr>
          <w:rFonts w:hint="eastAsia" w:ascii="MS UI Gothic" w:eastAsia="MS UI Gothic"/>
          <w:w w:val="85"/>
        </w:rPr>
        <w:t xml:space="preserve">２４ </w:t>
      </w:r>
      <w:r>
        <w:rPr>
          <w:w w:val="105"/>
        </w:rPr>
        <w:t>的要求</w:t>
      </w:r>
      <w:r>
        <w:rPr>
          <w:rFonts w:hint="eastAsia" w:ascii="MS UI Gothic" w:eastAsia="MS UI Gothic"/>
          <w:w w:val="85"/>
        </w:rPr>
        <w:t>ꎮ</w:t>
      </w:r>
    </w:p>
    <w:p>
      <w:pPr>
        <w:pStyle w:val="6"/>
        <w:spacing w:before="219"/>
        <w:ind w:left="637" w:firstLine="0"/>
        <w:jc w:val="left"/>
      </w:pPr>
      <w:r>
        <w:rPr>
          <w:spacing w:val="-35"/>
          <w:w w:val="90"/>
        </w:rPr>
        <w:t xml:space="preserve">表 </w:t>
      </w:r>
      <w:r>
        <w:rPr>
          <w:rFonts w:hint="eastAsia" w:ascii="MS UI Gothic" w:eastAsia="MS UI Gothic"/>
          <w:spacing w:val="12"/>
          <w:w w:val="90"/>
        </w:rPr>
        <w:t xml:space="preserve">２４ </w:t>
      </w:r>
      <w:r>
        <w:rPr>
          <w:spacing w:val="2"/>
          <w:w w:val="90"/>
        </w:rPr>
        <w:t>设备距离架空线的安全距离</w:t>
      </w:r>
    </w:p>
    <w:p>
      <w:pPr>
        <w:pStyle w:val="6"/>
        <w:spacing w:before="7"/>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910"/>
        <w:gridCol w:w="186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910" w:type="dxa"/>
            <w:tcBorders>
              <w:bottom w:val="single" w:color="231F20" w:sz="4" w:space="0"/>
              <w:right w:val="single" w:color="231F20" w:sz="4" w:space="0"/>
            </w:tcBorders>
          </w:tcPr>
          <w:p>
            <w:pPr>
              <w:pStyle w:val="11"/>
              <w:spacing w:before="50"/>
              <w:ind w:left="492" w:right="482"/>
              <w:jc w:val="center"/>
              <w:rPr>
                <w:rFonts w:hint="eastAsia" w:ascii="MS UI Gothic" w:eastAsia="MS UI Gothic"/>
                <w:sz w:val="15"/>
              </w:rPr>
            </w:pPr>
            <w:r>
              <w:rPr>
                <w:sz w:val="15"/>
              </w:rPr>
              <w:t>电压等级</w:t>
            </w:r>
            <w:r>
              <w:rPr>
                <w:rFonts w:hint="eastAsia" w:ascii="MS UI Gothic" w:eastAsia="MS UI Gothic"/>
                <w:w w:val="70"/>
                <w:sz w:val="15"/>
              </w:rPr>
              <w:t xml:space="preserve">/ </w:t>
            </w:r>
            <w:r>
              <w:rPr>
                <w:rFonts w:hint="eastAsia" w:ascii="MS UI Gothic" w:eastAsia="MS UI Gothic"/>
                <w:sz w:val="15"/>
              </w:rPr>
              <w:t>ｋＶ</w:t>
            </w:r>
          </w:p>
        </w:tc>
        <w:tc>
          <w:tcPr>
            <w:tcW w:w="1863" w:type="dxa"/>
            <w:tcBorders>
              <w:left w:val="single" w:color="231F20" w:sz="4" w:space="0"/>
              <w:bottom w:val="single" w:color="231F20" w:sz="4" w:space="0"/>
            </w:tcBorders>
          </w:tcPr>
          <w:p>
            <w:pPr>
              <w:pStyle w:val="11"/>
              <w:spacing w:before="50"/>
              <w:ind w:left="504" w:right="483"/>
              <w:jc w:val="center"/>
              <w:rPr>
                <w:rFonts w:hint="eastAsia" w:ascii="MS UI Gothic" w:eastAsia="MS UI Gothic"/>
                <w:sz w:val="15"/>
              </w:rPr>
            </w:pPr>
            <w:r>
              <w:rPr>
                <w:sz w:val="15"/>
              </w:rPr>
              <w:t>最小距离</w:t>
            </w:r>
            <w:r>
              <w:rPr>
                <w:rFonts w:hint="eastAsia" w:ascii="MS UI Gothic" w:eastAsia="MS UI Gothic"/>
                <w:w w:val="65"/>
                <w:sz w:val="15"/>
              </w:rPr>
              <w:t xml:space="preserve">/ </w:t>
            </w:r>
            <w:r>
              <w:rPr>
                <w:rFonts w:hint="eastAsia" w:ascii="MS UI Gothic" w:eastAsia="MS UI Gothic"/>
                <w:sz w:val="15"/>
              </w:rPr>
              <w:t>ｍ</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910" w:type="dxa"/>
            <w:tcBorders>
              <w:top w:val="single" w:color="231F20" w:sz="4" w:space="0"/>
              <w:bottom w:val="single" w:color="231F20" w:sz="4" w:space="0"/>
              <w:right w:val="single" w:color="231F20" w:sz="4" w:space="0"/>
            </w:tcBorders>
          </w:tcPr>
          <w:p>
            <w:pPr>
              <w:pStyle w:val="11"/>
              <w:spacing w:before="55"/>
              <w:ind w:left="491" w:right="482"/>
              <w:jc w:val="center"/>
              <w:rPr>
                <w:rFonts w:hint="eastAsia" w:ascii="MS UI Gothic" w:hAnsi="MS UI Gothic" w:eastAsia="MS UI Gothic"/>
                <w:sz w:val="15"/>
              </w:rPr>
            </w:pPr>
            <w:r>
              <w:rPr>
                <w:rFonts w:hint="eastAsia" w:ascii="MS UI Gothic" w:hAnsi="MS UI Gothic" w:eastAsia="MS UI Gothic"/>
                <w:w w:val="205"/>
                <w:sz w:val="15"/>
              </w:rPr>
              <w:t>≤</w:t>
            </w:r>
            <w:r>
              <w:rPr>
                <w:rFonts w:hint="eastAsia" w:ascii="MS UI Gothic" w:hAnsi="MS UI Gothic" w:eastAsia="MS UI Gothic"/>
                <w:w w:val="75"/>
                <w:sz w:val="15"/>
              </w:rPr>
              <w:t>６</w:t>
            </w:r>
          </w:p>
        </w:tc>
        <w:tc>
          <w:tcPr>
            <w:tcW w:w="1863" w:type="dxa"/>
            <w:tcBorders>
              <w:top w:val="single" w:color="231F20" w:sz="4" w:space="0"/>
              <w:left w:val="single" w:color="231F20" w:sz="4" w:space="0"/>
              <w:bottom w:val="single" w:color="231F20" w:sz="4" w:space="0"/>
            </w:tcBorders>
          </w:tcPr>
          <w:p>
            <w:pPr>
              <w:pStyle w:val="11"/>
              <w:spacing w:before="55"/>
              <w:ind w:left="498" w:right="483"/>
              <w:jc w:val="center"/>
              <w:rPr>
                <w:rFonts w:hint="eastAsia" w:ascii="MS UI Gothic" w:eastAsia="MS UI Gothic"/>
                <w:sz w:val="15"/>
              </w:rPr>
            </w:pPr>
            <w:r>
              <w:rPr>
                <w:rFonts w:hint="eastAsia" w:ascii="MS UI Gothic" w:eastAsia="MS UI Gothic"/>
                <w:w w:val="90"/>
                <w:sz w:val="15"/>
              </w:rPr>
              <w:t>０ ７</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910" w:type="dxa"/>
            <w:tcBorders>
              <w:top w:val="single" w:color="231F20" w:sz="4" w:space="0"/>
              <w:bottom w:val="single" w:color="231F20" w:sz="4" w:space="0"/>
              <w:right w:val="single" w:color="231F20" w:sz="4" w:space="0"/>
            </w:tcBorders>
          </w:tcPr>
          <w:p>
            <w:pPr>
              <w:pStyle w:val="11"/>
              <w:spacing w:before="55"/>
              <w:ind w:left="488" w:right="482"/>
              <w:jc w:val="center"/>
              <w:rPr>
                <w:rFonts w:hint="eastAsia" w:ascii="MS UI Gothic" w:eastAsia="MS UI Gothic"/>
                <w:sz w:val="15"/>
              </w:rPr>
            </w:pPr>
            <w:r>
              <w:rPr>
                <w:rFonts w:hint="eastAsia" w:ascii="MS UI Gothic" w:eastAsia="MS UI Gothic"/>
                <w:w w:val="85"/>
                <w:sz w:val="15"/>
              </w:rPr>
              <w:t>１０</w:t>
            </w:r>
          </w:p>
        </w:tc>
        <w:tc>
          <w:tcPr>
            <w:tcW w:w="1863" w:type="dxa"/>
            <w:tcBorders>
              <w:top w:val="single" w:color="231F20" w:sz="4" w:space="0"/>
              <w:left w:val="single" w:color="231F20" w:sz="4" w:space="0"/>
              <w:bottom w:val="single" w:color="231F20" w:sz="4" w:space="0"/>
            </w:tcBorders>
          </w:tcPr>
          <w:p>
            <w:pPr>
              <w:pStyle w:val="11"/>
              <w:spacing w:before="55"/>
              <w:ind w:left="498" w:right="483"/>
              <w:jc w:val="center"/>
              <w:rPr>
                <w:rFonts w:hint="eastAsia" w:ascii="MS UI Gothic" w:eastAsia="MS UI Gothic"/>
                <w:sz w:val="15"/>
              </w:rPr>
            </w:pPr>
            <w:r>
              <w:rPr>
                <w:rFonts w:hint="eastAsia" w:ascii="MS UI Gothic" w:eastAsia="MS UI Gothic"/>
                <w:w w:val="90"/>
                <w:sz w:val="15"/>
              </w:rPr>
              <w:t>１ 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910" w:type="dxa"/>
            <w:tcBorders>
              <w:top w:val="single" w:color="231F20" w:sz="4" w:space="0"/>
              <w:bottom w:val="single" w:color="231F20" w:sz="4" w:space="0"/>
              <w:right w:val="single" w:color="231F20" w:sz="4" w:space="0"/>
            </w:tcBorders>
          </w:tcPr>
          <w:p>
            <w:pPr>
              <w:pStyle w:val="11"/>
              <w:spacing w:before="55"/>
              <w:ind w:left="488" w:right="482"/>
              <w:jc w:val="center"/>
              <w:rPr>
                <w:rFonts w:hint="eastAsia" w:ascii="MS UI Gothic" w:eastAsia="MS UI Gothic"/>
                <w:sz w:val="15"/>
              </w:rPr>
            </w:pPr>
            <w:r>
              <w:rPr>
                <w:rFonts w:hint="eastAsia" w:ascii="MS UI Gothic" w:eastAsia="MS UI Gothic"/>
                <w:w w:val="85"/>
                <w:sz w:val="15"/>
              </w:rPr>
              <w:t>３５</w:t>
            </w:r>
          </w:p>
        </w:tc>
        <w:tc>
          <w:tcPr>
            <w:tcW w:w="1863" w:type="dxa"/>
            <w:tcBorders>
              <w:top w:val="single" w:color="231F20" w:sz="4" w:space="0"/>
              <w:left w:val="single" w:color="231F20" w:sz="4" w:space="0"/>
              <w:bottom w:val="single" w:color="231F20" w:sz="4" w:space="0"/>
            </w:tcBorders>
          </w:tcPr>
          <w:p>
            <w:pPr>
              <w:pStyle w:val="11"/>
              <w:spacing w:before="55"/>
              <w:ind w:left="498" w:right="483"/>
              <w:jc w:val="center"/>
              <w:rPr>
                <w:rFonts w:hint="eastAsia" w:ascii="MS UI Gothic" w:eastAsia="MS UI Gothic"/>
                <w:sz w:val="15"/>
              </w:rPr>
            </w:pPr>
            <w:r>
              <w:rPr>
                <w:rFonts w:hint="eastAsia" w:ascii="MS UI Gothic" w:eastAsia="MS UI Gothic"/>
                <w:w w:val="90"/>
                <w:sz w:val="15"/>
              </w:rPr>
              <w:t>２ 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910" w:type="dxa"/>
            <w:tcBorders>
              <w:top w:val="single" w:color="231F20" w:sz="4" w:space="0"/>
              <w:bottom w:val="single" w:color="231F20" w:sz="4" w:space="0"/>
              <w:right w:val="single" w:color="231F20" w:sz="4" w:space="0"/>
            </w:tcBorders>
          </w:tcPr>
          <w:p>
            <w:pPr>
              <w:pStyle w:val="11"/>
              <w:spacing w:before="55"/>
              <w:ind w:left="488" w:right="482"/>
              <w:jc w:val="center"/>
              <w:rPr>
                <w:rFonts w:hint="eastAsia" w:ascii="MS UI Gothic" w:eastAsia="MS UI Gothic"/>
                <w:sz w:val="15"/>
              </w:rPr>
            </w:pPr>
            <w:r>
              <w:rPr>
                <w:rFonts w:hint="eastAsia" w:ascii="MS UI Gothic" w:eastAsia="MS UI Gothic"/>
                <w:w w:val="85"/>
                <w:sz w:val="15"/>
              </w:rPr>
              <w:t>６６</w:t>
            </w:r>
          </w:p>
        </w:tc>
        <w:tc>
          <w:tcPr>
            <w:tcW w:w="1863" w:type="dxa"/>
            <w:tcBorders>
              <w:top w:val="single" w:color="231F20" w:sz="4" w:space="0"/>
              <w:left w:val="single" w:color="231F20" w:sz="4" w:space="0"/>
              <w:bottom w:val="single" w:color="231F20" w:sz="4" w:space="0"/>
            </w:tcBorders>
          </w:tcPr>
          <w:p>
            <w:pPr>
              <w:pStyle w:val="11"/>
              <w:spacing w:before="55"/>
              <w:ind w:left="498" w:right="483"/>
              <w:jc w:val="center"/>
              <w:rPr>
                <w:rFonts w:hint="eastAsia" w:ascii="MS UI Gothic" w:eastAsia="MS UI Gothic"/>
                <w:sz w:val="15"/>
              </w:rPr>
            </w:pPr>
            <w:r>
              <w:rPr>
                <w:rFonts w:hint="eastAsia" w:ascii="MS UI Gothic" w:eastAsia="MS UI Gothic"/>
                <w:w w:val="90"/>
                <w:sz w:val="15"/>
              </w:rPr>
              <w:t>３ 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910" w:type="dxa"/>
            <w:tcBorders>
              <w:top w:val="single" w:color="231F20" w:sz="4" w:space="0"/>
              <w:right w:val="single" w:color="231F20" w:sz="4" w:space="0"/>
            </w:tcBorders>
          </w:tcPr>
          <w:p>
            <w:pPr>
              <w:pStyle w:val="11"/>
              <w:spacing w:before="55"/>
              <w:ind w:left="488" w:right="482"/>
              <w:jc w:val="center"/>
              <w:rPr>
                <w:rFonts w:hint="eastAsia" w:ascii="MS UI Gothic" w:eastAsia="MS UI Gothic"/>
                <w:sz w:val="15"/>
              </w:rPr>
            </w:pPr>
            <w:r>
              <w:rPr>
                <w:rFonts w:hint="eastAsia" w:ascii="MS UI Gothic" w:eastAsia="MS UI Gothic"/>
                <w:w w:val="85"/>
                <w:sz w:val="15"/>
              </w:rPr>
              <w:t>１１０</w:t>
            </w:r>
          </w:p>
        </w:tc>
        <w:tc>
          <w:tcPr>
            <w:tcW w:w="1863" w:type="dxa"/>
            <w:tcBorders>
              <w:top w:val="single" w:color="231F20" w:sz="4" w:space="0"/>
              <w:left w:val="single" w:color="231F20" w:sz="4" w:space="0"/>
            </w:tcBorders>
          </w:tcPr>
          <w:p>
            <w:pPr>
              <w:pStyle w:val="11"/>
              <w:spacing w:before="55"/>
              <w:ind w:left="498" w:right="483"/>
              <w:jc w:val="center"/>
              <w:rPr>
                <w:rFonts w:hint="eastAsia" w:ascii="MS UI Gothic" w:eastAsia="MS UI Gothic"/>
                <w:sz w:val="15"/>
              </w:rPr>
            </w:pPr>
            <w:r>
              <w:rPr>
                <w:rFonts w:hint="eastAsia" w:ascii="MS UI Gothic" w:eastAsia="MS UI Gothic"/>
                <w:w w:val="90"/>
                <w:sz w:val="15"/>
              </w:rPr>
              <w:t>３ ５</w:t>
            </w:r>
          </w:p>
        </w:tc>
      </w:tr>
    </w:tbl>
    <w:p>
      <w:pPr>
        <w:pStyle w:val="6"/>
        <w:spacing w:before="283" w:line="295" w:lineRule="auto"/>
        <w:ind w:right="38"/>
        <w:rPr>
          <w:rFonts w:hint="eastAsia" w:ascii="MS UI Gothic" w:eastAsia="MS UI Gothic"/>
        </w:rPr>
      </w:pPr>
      <w:r>
        <w:rPr>
          <w:spacing w:val="4"/>
        </w:rPr>
        <w:t>第六百零六条 挖掘机作业不得影响</w:t>
      </w:r>
      <w:r>
        <w:rPr>
          <w:spacing w:val="3"/>
        </w:rPr>
        <w:t>和破坏电缆线</w:t>
      </w:r>
      <w:r>
        <w:rPr>
          <w:rFonts w:hint="eastAsia" w:ascii="MS UI Gothic" w:eastAsia="MS UI Gothic"/>
          <w:spacing w:val="19"/>
          <w:w w:val="80"/>
        </w:rPr>
        <w:t xml:space="preserve">、 </w:t>
      </w:r>
      <w:r>
        <w:rPr>
          <w:spacing w:val="2"/>
        </w:rPr>
        <w:t>电杆或者其他支架基础的</w:t>
      </w:r>
      <w:r>
        <w:rPr>
          <w:spacing w:val="3"/>
        </w:rPr>
        <w:t>安全</w:t>
      </w:r>
      <w:r>
        <w:rPr>
          <w:rFonts w:hint="eastAsia" w:ascii="MS UI Gothic" w:eastAsia="MS UI Gothic"/>
          <w:spacing w:val="1"/>
          <w:w w:val="80"/>
        </w:rPr>
        <w:t xml:space="preserve">ꎬ </w:t>
      </w:r>
      <w:r>
        <w:rPr>
          <w:spacing w:val="3"/>
        </w:rPr>
        <w:t>不得损伤接地导体和接地线</w:t>
      </w:r>
      <w:r>
        <w:rPr>
          <w:rFonts w:hint="eastAsia" w:ascii="MS UI Gothic" w:eastAsia="MS UI Gothic"/>
          <w:w w:val="80"/>
        </w:rPr>
        <w:t>ꎮ</w:t>
      </w:r>
    </w:p>
    <w:p>
      <w:pPr>
        <w:pStyle w:val="6"/>
        <w:spacing w:before="4" w:line="297" w:lineRule="auto"/>
        <w:ind w:right="38"/>
        <w:rPr>
          <w:rFonts w:hint="eastAsia" w:ascii="MS UI Gothic" w:eastAsia="MS UI Gothic"/>
        </w:rPr>
      </w:pPr>
      <w:r>
        <w:t xml:space="preserve">第六百零七条 台阶上 </w:t>
      </w:r>
      <w:r>
        <w:rPr>
          <w:rFonts w:hint="eastAsia" w:ascii="MS UI Gothic" w:eastAsia="MS UI Gothic"/>
          <w:w w:val="95"/>
        </w:rPr>
        <w:t xml:space="preserve">６ </w:t>
      </w:r>
      <w:r>
        <w:rPr>
          <w:rFonts w:hint="eastAsia" w:ascii="MS UI Gothic" w:eastAsia="MS UI Gothic"/>
          <w:w w:val="115"/>
        </w:rPr>
        <w:t xml:space="preserve">~ </w:t>
      </w:r>
      <w:r>
        <w:rPr>
          <w:rFonts w:hint="eastAsia" w:ascii="MS UI Gothic" w:eastAsia="MS UI Gothic"/>
          <w:w w:val="95"/>
        </w:rPr>
        <w:t xml:space="preserve">１０ ｋＶ </w:t>
      </w:r>
      <w:r>
        <w:t>的架空输配电线最边上的导线</w:t>
      </w:r>
      <w:r>
        <w:rPr>
          <w:rFonts w:hint="eastAsia" w:ascii="MS UI Gothic" w:eastAsia="MS UI Gothic"/>
          <w:w w:val="85"/>
        </w:rPr>
        <w:t xml:space="preserve">ꎬ </w:t>
      </w:r>
      <w:r>
        <w:t>在没有偏差的情况下</w:t>
      </w:r>
      <w:r>
        <w:rPr>
          <w:rFonts w:hint="eastAsia" w:ascii="MS UI Gothic" w:eastAsia="MS UI Gothic"/>
          <w:w w:val="85"/>
        </w:rPr>
        <w:t xml:space="preserve">ꎬ </w:t>
      </w:r>
      <w:r>
        <w:t xml:space="preserve">至接触网最近边的水平距离不应小于 </w:t>
      </w:r>
      <w:r>
        <w:rPr>
          <w:rFonts w:hint="eastAsia" w:ascii="MS UI Gothic" w:eastAsia="MS UI Gothic"/>
          <w:w w:val="95"/>
        </w:rPr>
        <w:t>２ ５ ｍ</w:t>
      </w:r>
      <w:r>
        <w:rPr>
          <w:rFonts w:hint="eastAsia" w:ascii="MS UI Gothic" w:eastAsia="MS UI Gothic"/>
          <w:w w:val="85"/>
        </w:rPr>
        <w:t xml:space="preserve">ꎬ </w:t>
      </w:r>
      <w:r>
        <w:t xml:space="preserve">至铁路路肩的水平距离不应小于 </w:t>
      </w:r>
      <w:r>
        <w:rPr>
          <w:rFonts w:hint="eastAsia" w:ascii="MS UI Gothic" w:eastAsia="MS UI Gothic"/>
          <w:w w:val="95"/>
        </w:rPr>
        <w:t>２ ｍ</w:t>
      </w:r>
      <w:r>
        <w:rPr>
          <w:rFonts w:hint="eastAsia" w:ascii="MS UI Gothic" w:eastAsia="MS UI Gothic"/>
          <w:w w:val="85"/>
        </w:rPr>
        <w:t>ꎮ</w:t>
      </w:r>
    </w:p>
    <w:p>
      <w:pPr>
        <w:pStyle w:val="6"/>
        <w:spacing w:line="295" w:lineRule="auto"/>
        <w:ind w:right="38"/>
        <w:rPr>
          <w:rFonts w:hint="eastAsia" w:ascii="MS UI Gothic" w:eastAsia="MS UI Gothic"/>
        </w:rPr>
      </w:pPr>
      <w:r>
        <w:t xml:space="preserve">第六百零八条 电压小于 </w:t>
      </w:r>
      <w:r>
        <w:rPr>
          <w:rFonts w:hint="eastAsia" w:ascii="MS UI Gothic" w:eastAsia="MS UI Gothic"/>
          <w:w w:val="95"/>
        </w:rPr>
        <w:t xml:space="preserve">１０ ｋＶ </w:t>
      </w:r>
      <w:r>
        <w:t>的输配电线</w:t>
      </w:r>
      <w:r>
        <w:rPr>
          <w:rFonts w:hint="eastAsia" w:ascii="MS UI Gothic" w:eastAsia="MS UI Gothic"/>
          <w:w w:val="85"/>
        </w:rPr>
        <w:t xml:space="preserve">ꎬ </w:t>
      </w:r>
      <w:r>
        <w:t>允许采用移动电杆</w:t>
      </w:r>
      <w:r>
        <w:rPr>
          <w:rFonts w:hint="eastAsia" w:ascii="MS UI Gothic" w:eastAsia="MS UI Gothic"/>
          <w:w w:val="85"/>
        </w:rPr>
        <w:t xml:space="preserve">ꎬ </w:t>
      </w:r>
      <w:r>
        <w:t xml:space="preserve">移动电杆之间的距离不应大于 </w:t>
      </w:r>
      <w:r>
        <w:rPr>
          <w:rFonts w:hint="eastAsia" w:ascii="MS UI Gothic" w:eastAsia="MS UI Gothic"/>
          <w:w w:val="95"/>
        </w:rPr>
        <w:t>５０ ｍ</w:t>
      </w:r>
      <w:r>
        <w:rPr>
          <w:rFonts w:hint="eastAsia" w:ascii="MS UI Gothic" w:eastAsia="MS UI Gothic"/>
          <w:w w:val="85"/>
        </w:rPr>
        <w:t xml:space="preserve">ꎬ </w:t>
      </w:r>
      <w:r>
        <w:t>特殊情况应当根据计算确定</w:t>
      </w:r>
      <w:r>
        <w:rPr>
          <w:rFonts w:hint="eastAsia" w:ascii="MS UI Gothic" w:eastAsia="MS UI Gothic"/>
          <w:w w:val="85"/>
        </w:rPr>
        <w:t>ꎮ</w:t>
      </w:r>
    </w:p>
    <w:p>
      <w:pPr>
        <w:pStyle w:val="6"/>
        <w:spacing w:line="295" w:lineRule="auto"/>
        <w:ind w:right="38"/>
        <w:rPr>
          <w:rFonts w:hint="eastAsia" w:ascii="MS UI Gothic" w:eastAsia="MS UI Gothic"/>
        </w:rPr>
      </w:pPr>
      <w:r>
        <w:rPr>
          <w:w w:val="105"/>
        </w:rPr>
        <w:t>第六百零九条 敷设橡套电缆应当符</w:t>
      </w:r>
      <w:r>
        <w:rPr>
          <w:w w:val="110"/>
        </w:rPr>
        <w:t>合下列要求</w:t>
      </w:r>
      <w:r>
        <w:rPr>
          <w:rFonts w:hint="eastAsia" w:ascii="MS UI Gothic" w:eastAsia="MS UI Gothic"/>
          <w:w w:val="235"/>
        </w:rPr>
        <w:t>:</w:t>
      </w:r>
    </w:p>
    <w:p>
      <w:pPr>
        <w:pStyle w:val="6"/>
        <w:spacing w:before="1"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避开火区</w:t>
      </w:r>
      <w:r>
        <w:rPr>
          <w:rFonts w:hint="eastAsia" w:ascii="MS UI Gothic" w:eastAsia="MS UI Gothic"/>
          <w:w w:val="80"/>
        </w:rPr>
        <w:t xml:space="preserve">、 </w:t>
      </w:r>
      <w:r>
        <w:rPr>
          <w:w w:val="105"/>
        </w:rPr>
        <w:t>水塘</w:t>
      </w:r>
      <w:r>
        <w:rPr>
          <w:rFonts w:hint="eastAsia" w:ascii="MS UI Gothic" w:eastAsia="MS UI Gothic"/>
          <w:w w:val="80"/>
        </w:rPr>
        <w:t xml:space="preserve">、 </w:t>
      </w:r>
      <w:r>
        <w:rPr>
          <w:w w:val="105"/>
        </w:rPr>
        <w:t>水仓和可能出现滑坡的地段</w:t>
      </w:r>
      <w:r>
        <w:rPr>
          <w:rFonts w:hint="eastAsia" w:ascii="MS UI Gothic" w:eastAsia="MS UI Gothic"/>
          <w:w w:val="80"/>
        </w:rPr>
        <w:t>ꎮ</w:t>
      </w:r>
    </w:p>
    <w:p>
      <w:pPr>
        <w:pStyle w:val="6"/>
        <w:spacing w:before="3"/>
        <w:ind w:left="543" w:firstLine="0"/>
        <w:jc w:val="left"/>
      </w:pPr>
      <w:r>
        <w:rPr>
          <w:rFonts w:hint="eastAsia" w:ascii="MS UI Gothic" w:eastAsia="MS UI Gothic"/>
          <w:w w:val="110"/>
        </w:rPr>
        <w:t xml:space="preserve">( </w:t>
      </w:r>
      <w:r>
        <w:rPr>
          <w:w w:val="110"/>
        </w:rPr>
        <w:t>二</w:t>
      </w:r>
      <w:r>
        <w:rPr>
          <w:rFonts w:hint="eastAsia" w:ascii="MS UI Gothic" w:eastAsia="MS UI Gothic"/>
          <w:w w:val="110"/>
        </w:rPr>
        <w:t xml:space="preserve">) </w:t>
      </w:r>
      <w:r>
        <w:rPr>
          <w:w w:val="110"/>
        </w:rPr>
        <w:t>跨台阶敷设电缆应当避开有伞</w:t>
      </w:r>
    </w:p>
    <w:p>
      <w:pPr>
        <w:pStyle w:val="6"/>
        <w:spacing w:before="175"/>
        <w:ind w:left="118" w:firstLine="0"/>
        <w:rPr>
          <w:rFonts w:hint="eastAsia" w:ascii="MS UI Gothic" w:eastAsia="MS UI Gothic"/>
        </w:rPr>
      </w:pPr>
      <w:r>
        <w:br w:type="column"/>
      </w:r>
      <w:r>
        <w:t>檐</w:t>
      </w:r>
      <w:r>
        <w:rPr>
          <w:rFonts w:hint="eastAsia" w:ascii="MS UI Gothic" w:eastAsia="MS UI Gothic"/>
        </w:rPr>
        <w:t xml:space="preserve">、 </w:t>
      </w:r>
      <w:r>
        <w:t>浮石</w:t>
      </w:r>
      <w:r>
        <w:rPr>
          <w:rFonts w:hint="eastAsia" w:ascii="MS UI Gothic" w:eastAsia="MS UI Gothic"/>
        </w:rPr>
        <w:t xml:space="preserve">、 </w:t>
      </w:r>
      <w:r>
        <w:t>裂缝等的地段</w:t>
      </w:r>
      <w:r>
        <w:rPr>
          <w:rFonts w:hint="eastAsia" w:ascii="MS UI Gothic" w:eastAsia="MS UI Gothic"/>
          <w:w w:val="80"/>
        </w:rPr>
        <w:t>ꎮ</w:t>
      </w:r>
    </w:p>
    <w:p>
      <w:pPr>
        <w:pStyle w:val="6"/>
        <w:spacing w:before="58" w:line="292" w:lineRule="auto"/>
        <w:ind w:left="118"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新投入的高压电缆</w:t>
      </w:r>
      <w:r>
        <w:rPr>
          <w:rFonts w:hint="eastAsia" w:ascii="MS UI Gothic" w:eastAsia="MS UI Gothic"/>
          <w:w w:val="80"/>
        </w:rPr>
        <w:t xml:space="preserve">ꎬ </w:t>
      </w:r>
      <w:r>
        <w:rPr>
          <w:w w:val="105"/>
        </w:rPr>
        <w:t>使用前必</w:t>
      </w:r>
      <w:r>
        <w:t>须进行绝缘试验</w:t>
      </w:r>
      <w:r>
        <w:rPr>
          <w:rFonts w:hint="eastAsia" w:ascii="MS UI Gothic" w:eastAsia="MS UI Gothic"/>
          <w:w w:val="80"/>
        </w:rPr>
        <w:t xml:space="preserve">ꎻ </w:t>
      </w:r>
      <w:r>
        <w:t>修复后的高压电缆必须进行绝缘试验</w:t>
      </w:r>
      <w:r>
        <w:rPr>
          <w:rFonts w:hint="eastAsia" w:ascii="MS UI Gothic" w:eastAsia="MS UI Gothic"/>
          <w:w w:val="80"/>
        </w:rPr>
        <w:t xml:space="preserve">ꎻ </w:t>
      </w:r>
      <w:r>
        <w:t>运行高压电缆每年雷雨前</w:t>
      </w:r>
      <w:r>
        <w:rPr>
          <w:w w:val="105"/>
        </w:rPr>
        <w:t>应当进行预防性试验</w:t>
      </w:r>
      <w:r>
        <w:rPr>
          <w:rFonts w:hint="eastAsia" w:ascii="MS UI Gothic" w:eastAsia="MS UI Gothic"/>
          <w:w w:val="80"/>
        </w:rPr>
        <w:t>ꎮ</w:t>
      </w:r>
    </w:p>
    <w:p>
      <w:pPr>
        <w:pStyle w:val="6"/>
        <w:spacing w:before="5" w:line="292" w:lineRule="auto"/>
        <w:ind w:left="118" w:right="442"/>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4"/>
          <w:w w:val="150"/>
        </w:rPr>
        <w:t xml:space="preserve">) </w:t>
      </w:r>
      <w:r>
        <w:rPr>
          <w:spacing w:val="5"/>
          <w:w w:val="105"/>
        </w:rPr>
        <w:t>电缆接头应当采用热缩或者冷</w:t>
      </w:r>
      <w:r>
        <w:rPr>
          <w:spacing w:val="18"/>
        </w:rPr>
        <w:t>补修复</w:t>
      </w:r>
      <w:r>
        <w:rPr>
          <w:rFonts w:hint="eastAsia" w:ascii="MS UI Gothic" w:eastAsia="MS UI Gothic"/>
          <w:spacing w:val="1"/>
          <w:w w:val="80"/>
        </w:rPr>
        <w:t xml:space="preserve">ꎬ </w:t>
      </w:r>
      <w:r>
        <w:rPr>
          <w:spacing w:val="31"/>
        </w:rPr>
        <w:t>其强度和导电性能不低于原</w:t>
      </w:r>
      <w:r>
        <w:rPr>
          <w:spacing w:val="3"/>
          <w:w w:val="105"/>
        </w:rPr>
        <w:t>要求</w:t>
      </w:r>
      <w:r>
        <w:rPr>
          <w:rFonts w:hint="eastAsia" w:ascii="MS UI Gothic" w:eastAsia="MS UI Gothic"/>
          <w:w w:val="80"/>
        </w:rPr>
        <w:t>ꎮ</w:t>
      </w:r>
    </w:p>
    <w:p>
      <w:pPr>
        <w:pStyle w:val="6"/>
        <w:spacing w:before="2" w:line="295" w:lineRule="auto"/>
        <w:ind w:left="118" w:right="442"/>
        <w:rPr>
          <w:rFonts w:hint="eastAsia" w:ascii="MS UI Gothic" w:eastAsia="MS UI Gothic"/>
        </w:rPr>
      </w:pPr>
      <w:r>
        <w:rPr>
          <w:rFonts w:hint="eastAsia" w:ascii="MS UI Gothic" w:eastAsia="MS UI Gothic"/>
          <w:spacing w:val="-39"/>
          <w:w w:val="150"/>
        </w:rPr>
        <w:t xml:space="preserve">( </w:t>
      </w:r>
      <w:r>
        <w:rPr>
          <w:spacing w:val="3"/>
          <w:w w:val="110"/>
        </w:rPr>
        <w:t>五</w:t>
      </w:r>
      <w:r>
        <w:rPr>
          <w:rFonts w:hint="eastAsia" w:ascii="MS UI Gothic" w:eastAsia="MS UI Gothic"/>
          <w:spacing w:val="-1"/>
          <w:w w:val="150"/>
        </w:rPr>
        <w:t xml:space="preserve">) </w:t>
      </w:r>
      <w:r>
        <w:rPr>
          <w:spacing w:val="-4"/>
          <w:w w:val="110"/>
        </w:rPr>
        <w:t xml:space="preserve">缠绕在卷筒 </w:t>
      </w:r>
      <w:r>
        <w:rPr>
          <w:rFonts w:hint="eastAsia" w:ascii="MS UI Gothic" w:eastAsia="MS UI Gothic"/>
          <w:spacing w:val="-39"/>
          <w:w w:val="150"/>
        </w:rPr>
        <w:t xml:space="preserve">( </w:t>
      </w:r>
      <w:r>
        <w:rPr>
          <w:spacing w:val="3"/>
          <w:w w:val="110"/>
        </w:rPr>
        <w:t>盘</w:t>
      </w:r>
      <w:r>
        <w:rPr>
          <w:rFonts w:hint="eastAsia" w:ascii="MS UI Gothic" w:eastAsia="MS UI Gothic"/>
          <w:w w:val="150"/>
        </w:rPr>
        <w:t xml:space="preserve">) </w:t>
      </w:r>
      <w:r>
        <w:rPr>
          <w:spacing w:val="7"/>
          <w:w w:val="110"/>
        </w:rPr>
        <w:t>上电缆载流</w:t>
      </w:r>
      <w:r>
        <w:rPr>
          <w:spacing w:val="27"/>
        </w:rPr>
        <w:t>量的计算符合相关要求</w:t>
      </w:r>
      <w:r>
        <w:rPr>
          <w:rFonts w:hint="eastAsia" w:ascii="MS UI Gothic" w:eastAsia="MS UI Gothic"/>
          <w:spacing w:val="2"/>
          <w:w w:val="80"/>
        </w:rPr>
        <w:t xml:space="preserve">ꎬ </w:t>
      </w:r>
      <w:r>
        <w:rPr>
          <w:spacing w:val="28"/>
        </w:rPr>
        <w:t>温升不超过</w:t>
      </w:r>
      <w:r>
        <w:rPr>
          <w:spacing w:val="3"/>
          <w:w w:val="110"/>
        </w:rPr>
        <w:t>要求</w:t>
      </w:r>
      <w:r>
        <w:rPr>
          <w:rFonts w:hint="eastAsia" w:ascii="MS UI Gothic" w:eastAsia="MS UI Gothic"/>
          <w:w w:val="80"/>
        </w:rPr>
        <w:t>ꎮ</w:t>
      </w:r>
    </w:p>
    <w:p>
      <w:pPr>
        <w:pStyle w:val="6"/>
        <w:spacing w:line="295" w:lineRule="auto"/>
        <w:ind w:left="118" w:right="442"/>
        <w:rPr>
          <w:rFonts w:hint="eastAsia" w:ascii="MS UI Gothic" w:eastAsia="MS UI Gothic"/>
        </w:rPr>
      </w:pPr>
      <w:r>
        <w:rPr>
          <w:rFonts w:hint="eastAsia" w:ascii="MS UI Gothic" w:eastAsia="MS UI Gothic"/>
          <w:spacing w:val="-38"/>
          <w:w w:val="150"/>
        </w:rPr>
        <w:t xml:space="preserve">( </w:t>
      </w:r>
      <w:r>
        <w:rPr>
          <w:spacing w:val="3"/>
          <w:w w:val="105"/>
        </w:rPr>
        <w:t>六</w:t>
      </w:r>
      <w:r>
        <w:rPr>
          <w:rFonts w:hint="eastAsia" w:ascii="MS UI Gothic" w:eastAsia="MS UI Gothic"/>
          <w:spacing w:val="3"/>
          <w:w w:val="150"/>
        </w:rPr>
        <w:t xml:space="preserve">) </w:t>
      </w:r>
      <w:r>
        <w:rPr>
          <w:spacing w:val="7"/>
          <w:w w:val="105"/>
        </w:rPr>
        <w:t>电缆穿越铁路</w:t>
      </w:r>
      <w:r>
        <w:rPr>
          <w:rFonts w:hint="eastAsia" w:ascii="MS UI Gothic" w:eastAsia="MS UI Gothic"/>
          <w:spacing w:val="19"/>
          <w:w w:val="80"/>
        </w:rPr>
        <w:t xml:space="preserve">、 </w:t>
      </w:r>
      <w:r>
        <w:rPr>
          <w:spacing w:val="9"/>
          <w:w w:val="105"/>
        </w:rPr>
        <w:t>公路时</w:t>
      </w:r>
      <w:r>
        <w:rPr>
          <w:rFonts w:hint="eastAsia" w:ascii="MS UI Gothic" w:eastAsia="MS UI Gothic"/>
          <w:spacing w:val="19"/>
          <w:w w:val="80"/>
        </w:rPr>
        <w:t xml:space="preserve">ꎬ </w:t>
      </w:r>
      <w:r>
        <w:rPr>
          <w:spacing w:val="6"/>
          <w:w w:val="105"/>
        </w:rPr>
        <w:t>必须</w:t>
      </w:r>
      <w:r>
        <w:rPr>
          <w:spacing w:val="3"/>
          <w:w w:val="105"/>
        </w:rPr>
        <w:t>采取防护措施</w:t>
      </w:r>
      <w:r>
        <w:rPr>
          <w:rFonts w:hint="eastAsia" w:ascii="MS UI Gothic" w:eastAsia="MS UI Gothic"/>
          <w:spacing w:val="14"/>
          <w:w w:val="80"/>
        </w:rPr>
        <w:t xml:space="preserve">ꎬ </w:t>
      </w:r>
      <w:r>
        <w:rPr>
          <w:spacing w:val="3"/>
          <w:w w:val="105"/>
        </w:rPr>
        <w:t>严禁设备碾压电缆</w:t>
      </w:r>
      <w:r>
        <w:rPr>
          <w:rFonts w:hint="eastAsia" w:ascii="MS UI Gothic" w:eastAsia="MS UI Gothic"/>
          <w:w w:val="80"/>
        </w:rPr>
        <w:t>ꎮ</w:t>
      </w:r>
    </w:p>
    <w:p>
      <w:pPr>
        <w:pStyle w:val="6"/>
        <w:tabs>
          <w:tab w:val="left" w:pos="1481"/>
        </w:tabs>
        <w:spacing w:before="149"/>
        <w:ind w:left="642" w:firstLine="0"/>
        <w:jc w:val="left"/>
      </w:pPr>
      <w:r>
        <w:rPr>
          <w:spacing w:val="3"/>
          <w:w w:val="105"/>
        </w:rPr>
        <w:t>第四</w:t>
      </w:r>
      <w:r>
        <w:rPr>
          <w:w w:val="105"/>
        </w:rPr>
        <w:t>节</w:t>
      </w:r>
      <w:r>
        <w:rPr>
          <w:w w:val="105"/>
        </w:rPr>
        <w:tab/>
      </w:r>
      <w:r>
        <w:rPr>
          <w:spacing w:val="3"/>
        </w:rPr>
        <w:t>电气设备保护和接</w:t>
      </w:r>
      <w:r>
        <w:t>地</w:t>
      </w:r>
    </w:p>
    <w:p>
      <w:pPr>
        <w:pStyle w:val="6"/>
        <w:spacing w:before="10"/>
        <w:ind w:left="0" w:firstLine="0"/>
        <w:jc w:val="left"/>
        <w:rPr>
          <w:sz w:val="16"/>
        </w:rPr>
      </w:pPr>
    </w:p>
    <w:p>
      <w:pPr>
        <w:pStyle w:val="6"/>
        <w:spacing w:line="292" w:lineRule="auto"/>
        <w:ind w:left="118" w:right="440"/>
        <w:rPr>
          <w:rFonts w:hint="eastAsia" w:ascii="MS UI Gothic" w:eastAsia="MS UI Gothic"/>
        </w:rPr>
      </w:pPr>
      <w:r>
        <w:t>第六百一十条 高压配电线路应当装设过负荷</w:t>
      </w:r>
      <w:r>
        <w:rPr>
          <w:rFonts w:hint="eastAsia" w:ascii="MS UI Gothic" w:eastAsia="MS UI Gothic"/>
          <w:w w:val="80"/>
        </w:rPr>
        <w:t xml:space="preserve">、 </w:t>
      </w:r>
      <w:r>
        <w:t>短路</w:t>
      </w:r>
      <w:r>
        <w:rPr>
          <w:rFonts w:hint="eastAsia" w:ascii="MS UI Gothic" w:eastAsia="MS UI Gothic"/>
          <w:w w:val="80"/>
        </w:rPr>
        <w:t xml:space="preserve">、 </w:t>
      </w:r>
      <w:r>
        <w:t>漏电保护</w:t>
      </w:r>
      <w:r>
        <w:rPr>
          <w:rFonts w:hint="eastAsia" w:ascii="MS UI Gothic" w:eastAsia="MS UI Gothic"/>
          <w:w w:val="80"/>
        </w:rPr>
        <w:t xml:space="preserve">ꎻ </w:t>
      </w:r>
      <w:r>
        <w:t xml:space="preserve">低压配电线路应当装设短路和单相接地 </w:t>
      </w:r>
      <w:r>
        <w:rPr>
          <w:rFonts w:hint="eastAsia" w:ascii="MS UI Gothic" w:eastAsia="MS UI Gothic"/>
          <w:w w:val="150"/>
        </w:rPr>
        <w:t xml:space="preserve">( </w:t>
      </w:r>
      <w:r>
        <w:t>漏电</w:t>
      </w:r>
      <w:r>
        <w:rPr>
          <w:rFonts w:hint="eastAsia" w:ascii="MS UI Gothic" w:eastAsia="MS UI Gothic"/>
          <w:w w:val="150"/>
        </w:rPr>
        <w:t xml:space="preserve">) </w:t>
      </w:r>
      <w:r>
        <w:t>保护</w:t>
      </w:r>
      <w:r>
        <w:rPr>
          <w:rFonts w:hint="eastAsia" w:ascii="MS UI Gothic" w:eastAsia="MS UI Gothic"/>
          <w:w w:val="80"/>
        </w:rPr>
        <w:t xml:space="preserve">ꎻ </w:t>
      </w:r>
      <w:r>
        <w:t>高压电动机应当装设短路</w:t>
      </w:r>
      <w:r>
        <w:rPr>
          <w:rFonts w:hint="eastAsia" w:ascii="MS UI Gothic" w:eastAsia="MS UI Gothic"/>
          <w:w w:val="80"/>
        </w:rPr>
        <w:t xml:space="preserve">、 </w:t>
      </w:r>
      <w:r>
        <w:t>过负荷</w:t>
      </w:r>
      <w:r>
        <w:rPr>
          <w:rFonts w:hint="eastAsia" w:ascii="MS UI Gothic" w:eastAsia="MS UI Gothic"/>
          <w:w w:val="80"/>
        </w:rPr>
        <w:t>、</w:t>
      </w:r>
      <w:r>
        <w:t>漏电和欠压释放保护</w:t>
      </w:r>
      <w:r>
        <w:rPr>
          <w:rFonts w:hint="eastAsia" w:ascii="MS UI Gothic" w:eastAsia="MS UI Gothic"/>
          <w:w w:val="80"/>
        </w:rPr>
        <w:t xml:space="preserve">ꎻ </w:t>
      </w:r>
      <w:r>
        <w:t>低压电动机应当装设过流</w:t>
      </w:r>
      <w:r>
        <w:rPr>
          <w:rFonts w:hint="eastAsia" w:ascii="MS UI Gothic" w:eastAsia="MS UI Gothic"/>
          <w:w w:val="80"/>
        </w:rPr>
        <w:t xml:space="preserve">、 </w:t>
      </w:r>
      <w:r>
        <w:t>短路保护</w:t>
      </w:r>
      <w:r>
        <w:rPr>
          <w:rFonts w:hint="eastAsia" w:ascii="MS UI Gothic" w:eastAsia="MS UI Gothic"/>
          <w:w w:val="80"/>
        </w:rPr>
        <w:t xml:space="preserve">ꎻ </w:t>
      </w:r>
      <w:r>
        <w:t>中性点接地的变压器必须装设接地保护</w:t>
      </w:r>
      <w:r>
        <w:rPr>
          <w:rFonts w:hint="eastAsia" w:ascii="MS UI Gothic" w:eastAsia="MS UI Gothic"/>
          <w:w w:val="80"/>
        </w:rPr>
        <w:t xml:space="preserve">ꎻ </w:t>
      </w:r>
      <w:r>
        <w:t>低压电力系统的变压器中性点直接接地时</w:t>
      </w:r>
      <w:r>
        <w:rPr>
          <w:rFonts w:hint="eastAsia" w:ascii="MS UI Gothic" w:eastAsia="MS UI Gothic"/>
          <w:w w:val="80"/>
        </w:rPr>
        <w:t xml:space="preserve">ꎬ </w:t>
      </w:r>
      <w:r>
        <w:t>必须装设接地保护</w:t>
      </w:r>
      <w:r>
        <w:rPr>
          <w:rFonts w:hint="eastAsia" w:ascii="MS UI Gothic" w:eastAsia="MS UI Gothic"/>
          <w:w w:val="80"/>
        </w:rPr>
        <w:t>ꎮ</w:t>
      </w:r>
    </w:p>
    <w:p>
      <w:pPr>
        <w:pStyle w:val="6"/>
        <w:spacing w:before="8" w:line="292" w:lineRule="auto"/>
        <w:ind w:left="118" w:right="440"/>
        <w:rPr>
          <w:rFonts w:hint="eastAsia" w:ascii="MS UI Gothic" w:eastAsia="MS UI Gothic"/>
        </w:rPr>
      </w:pPr>
      <w:r>
        <w:rPr>
          <w:w w:val="105"/>
        </w:rPr>
        <w:t xml:space="preserve">第六百一十一条 变 </w:t>
      </w:r>
      <w:r>
        <w:rPr>
          <w:rFonts w:hint="eastAsia" w:ascii="MS UI Gothic" w:eastAsia="MS UI Gothic"/>
          <w:w w:val="150"/>
        </w:rPr>
        <w:t xml:space="preserve">( </w:t>
      </w:r>
      <w:r>
        <w:rPr>
          <w:w w:val="105"/>
        </w:rPr>
        <w:t>配</w:t>
      </w:r>
      <w:r>
        <w:rPr>
          <w:rFonts w:hint="eastAsia" w:ascii="MS UI Gothic" w:eastAsia="MS UI Gothic"/>
          <w:w w:val="150"/>
        </w:rPr>
        <w:t xml:space="preserve">) </w:t>
      </w:r>
      <w:r>
        <w:rPr>
          <w:w w:val="105"/>
        </w:rPr>
        <w:t>电设施</w:t>
      </w:r>
      <w:r>
        <w:rPr>
          <w:rFonts w:hint="eastAsia" w:ascii="MS UI Gothic" w:eastAsia="MS UI Gothic"/>
          <w:w w:val="80"/>
        </w:rPr>
        <w:t>、</w:t>
      </w:r>
      <w:r>
        <w:rPr>
          <w:w w:val="105"/>
        </w:rPr>
        <w:t>油库</w:t>
      </w:r>
      <w:r>
        <w:rPr>
          <w:rFonts w:hint="eastAsia" w:ascii="MS UI Gothic" w:eastAsia="MS UI Gothic"/>
          <w:w w:val="80"/>
        </w:rPr>
        <w:t xml:space="preserve">、 </w:t>
      </w:r>
      <w:r>
        <w:rPr>
          <w:w w:val="105"/>
        </w:rPr>
        <w:t>爆炸物品库</w:t>
      </w:r>
      <w:r>
        <w:rPr>
          <w:rFonts w:hint="eastAsia" w:ascii="MS UI Gothic" w:eastAsia="MS UI Gothic"/>
          <w:w w:val="80"/>
        </w:rPr>
        <w:t xml:space="preserve">、 </w:t>
      </w:r>
      <w:r>
        <w:rPr>
          <w:w w:val="105"/>
        </w:rPr>
        <w:t>高大或者易受雷击的</w:t>
      </w:r>
      <w:r>
        <w:t>建筑</w:t>
      </w:r>
      <w:r>
        <w:rPr>
          <w:rFonts w:hint="eastAsia" w:ascii="MS UI Gothic" w:eastAsia="MS UI Gothic"/>
          <w:w w:val="80"/>
        </w:rPr>
        <w:t xml:space="preserve">ꎬ </w:t>
      </w:r>
      <w:r>
        <w:t>必须装设防雷电装置</w:t>
      </w:r>
      <w:r>
        <w:rPr>
          <w:rFonts w:hint="eastAsia" w:ascii="MS UI Gothic" w:eastAsia="MS UI Gothic"/>
          <w:w w:val="80"/>
        </w:rPr>
        <w:t xml:space="preserve">ꎬ </w:t>
      </w:r>
      <w:r>
        <w:t>每年雨季前</w:t>
      </w:r>
      <w:r>
        <w:rPr>
          <w:w w:val="105"/>
        </w:rPr>
        <w:t xml:space="preserve">检验 </w:t>
      </w:r>
      <w:r>
        <w:rPr>
          <w:rFonts w:hint="eastAsia" w:ascii="MS UI Gothic" w:eastAsia="MS UI Gothic"/>
          <w:w w:val="80"/>
        </w:rPr>
        <w:t xml:space="preserve">１ </w:t>
      </w:r>
      <w:r>
        <w:rPr>
          <w:w w:val="105"/>
        </w:rPr>
        <w:t>次</w:t>
      </w:r>
      <w:r>
        <w:rPr>
          <w:rFonts w:hint="eastAsia" w:ascii="MS UI Gothic" w:eastAsia="MS UI Gothic"/>
          <w:w w:val="80"/>
        </w:rPr>
        <w:t>ꎮ</w:t>
      </w:r>
    </w:p>
    <w:p>
      <w:pPr>
        <w:pStyle w:val="6"/>
        <w:spacing w:before="4" w:line="295" w:lineRule="auto"/>
        <w:ind w:left="118" w:right="442"/>
        <w:rPr>
          <w:rFonts w:hint="eastAsia" w:ascii="MS UI Gothic" w:eastAsia="MS UI Gothic"/>
        </w:rPr>
      </w:pPr>
      <w:r>
        <w:rPr>
          <w:w w:val="105"/>
        </w:rPr>
        <w:t>第六百一十二条 电气保护检验应当</w:t>
      </w:r>
      <w:r>
        <w:rPr>
          <w:w w:val="110"/>
        </w:rPr>
        <w:t>遵守下列规定</w:t>
      </w:r>
      <w:r>
        <w:rPr>
          <w:rFonts w:hint="eastAsia" w:ascii="MS UI Gothic" w:eastAsia="MS UI Gothic"/>
          <w:w w:val="235"/>
        </w:rPr>
        <w:t>:</w:t>
      </w:r>
    </w:p>
    <w:p>
      <w:pPr>
        <w:pStyle w:val="6"/>
        <w:spacing w:line="255" w:lineRule="exact"/>
        <w:ind w:left="538" w:firstLine="0"/>
        <w:jc w:val="left"/>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电气保护装置使用前必须按规</w:t>
      </w:r>
    </w:p>
    <w:p>
      <w:pPr>
        <w:spacing w:after="0" w:line="255" w:lineRule="exact"/>
        <w:jc w:val="left"/>
        <w:sectPr>
          <w:type w:val="continuous"/>
          <w:pgSz w:w="10500" w:h="14750"/>
          <w:pgMar w:top="1400" w:right="980" w:bottom="280" w:left="980" w:header="720" w:footer="720" w:gutter="0"/>
          <w:cols w:equalWidth="0" w:num="2">
            <w:col w:w="3934" w:space="264"/>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３３５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21" o:spid="_x0000_s2021" o:spt="203" style="height:2.15pt;width:398.25pt;" coordsize="7965,43">
            <o:lock v:ext="edit"/>
            <v:line id="_x0000_s2022" o:spid="_x0000_s2022" o:spt="20" style="position:absolute;left:0;top:39;height:0;width:7965;" stroked="t" coordsize="21600,21600">
              <v:path arrowok="t"/>
              <v:fill focussize="0,0"/>
              <v:stroke weight="0.388031496062992pt" color="#231F20"/>
              <v:imagedata o:title=""/>
              <o:lock v:ext="edit"/>
            </v:line>
            <v:line id="_x0000_s2023" o:spid="_x0000_s202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rPr>
          <w:rFonts w:hint="eastAsia" w:ascii="MS UI Gothic" w:eastAsia="MS UI Gothic"/>
        </w:rPr>
      </w:pPr>
      <w:r>
        <w:t>定进行检验</w:t>
      </w:r>
      <w:r>
        <w:rPr>
          <w:rFonts w:hint="eastAsia" w:ascii="MS UI Gothic" w:eastAsia="MS UI Gothic"/>
          <w:w w:val="80"/>
        </w:rPr>
        <w:t xml:space="preserve">ꎬ </w:t>
      </w:r>
      <w:r>
        <w:t>并做好记录</w:t>
      </w:r>
      <w:r>
        <w:rPr>
          <w:rFonts w:hint="eastAsia" w:ascii="MS UI Gothic" w:eastAsia="MS UI Gothic"/>
          <w:w w:val="80"/>
        </w:rPr>
        <w:t>ꎮ</w:t>
      </w:r>
    </w:p>
    <w:p>
      <w:pPr>
        <w:pStyle w:val="6"/>
        <w:spacing w:before="58" w:line="295" w:lineRule="auto"/>
        <w:ind w:left="440"/>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 xml:space="preserve">运行中每年至少对保护做 </w:t>
      </w:r>
      <w:r>
        <w:rPr>
          <w:rFonts w:hint="eastAsia" w:ascii="MS UI Gothic" w:eastAsia="MS UI Gothic"/>
          <w:w w:val="80"/>
        </w:rPr>
        <w:t xml:space="preserve">１ </w:t>
      </w:r>
      <w:r>
        <w:t>次检验</w:t>
      </w:r>
      <w:r>
        <w:rPr>
          <w:rFonts w:hint="eastAsia" w:ascii="MS UI Gothic" w:eastAsia="MS UI Gothic"/>
          <w:w w:val="80"/>
        </w:rPr>
        <w:t xml:space="preserve">ꎬ </w:t>
      </w:r>
      <w:r>
        <w:t xml:space="preserve">漏电保护 </w:t>
      </w:r>
      <w:r>
        <w:rPr>
          <w:rFonts w:hint="eastAsia" w:ascii="MS UI Gothic" w:eastAsia="MS UI Gothic"/>
          <w:w w:val="80"/>
        </w:rPr>
        <w:t xml:space="preserve">６ </w:t>
      </w:r>
      <w:r>
        <w:t xml:space="preserve">个月 </w:t>
      </w:r>
      <w:r>
        <w:rPr>
          <w:rFonts w:hint="eastAsia" w:ascii="MS UI Gothic" w:eastAsia="MS UI Gothic"/>
          <w:w w:val="80"/>
        </w:rPr>
        <w:t xml:space="preserve">１ </w:t>
      </w:r>
      <w:r>
        <w:t>次</w:t>
      </w:r>
      <w:r>
        <w:rPr>
          <w:rFonts w:hint="eastAsia" w:ascii="MS UI Gothic" w:eastAsia="MS UI Gothic"/>
          <w:w w:val="80"/>
        </w:rPr>
        <w:t xml:space="preserve">ꎬ </w:t>
      </w:r>
      <w:r>
        <w:t>负荷调整</w:t>
      </w:r>
      <w:r>
        <w:rPr>
          <w:rFonts w:hint="eastAsia" w:ascii="MS UI Gothic" w:eastAsia="MS UI Gothic"/>
          <w:w w:val="80"/>
        </w:rPr>
        <w:t>、</w:t>
      </w:r>
      <w:r>
        <w:t>线路变动应当及时检验</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 xml:space="preserve">接地系统每月检查 </w:t>
      </w:r>
      <w:r>
        <w:rPr>
          <w:rFonts w:hint="eastAsia" w:ascii="MS UI Gothic" w:eastAsia="MS UI Gothic"/>
          <w:w w:val="80"/>
        </w:rPr>
        <w:t xml:space="preserve">１ </w:t>
      </w:r>
      <w:r>
        <w:t>次</w:t>
      </w:r>
      <w:r>
        <w:rPr>
          <w:rFonts w:hint="eastAsia" w:ascii="MS UI Gothic" w:eastAsia="MS UI Gothic"/>
          <w:w w:val="80"/>
        </w:rPr>
        <w:t xml:space="preserve">ꎬ </w:t>
      </w:r>
      <w:r>
        <w:t xml:space="preserve">每年至少检测 </w:t>
      </w:r>
      <w:r>
        <w:rPr>
          <w:rFonts w:hint="eastAsia" w:ascii="MS UI Gothic" w:eastAsia="MS UI Gothic"/>
          <w:w w:val="80"/>
        </w:rPr>
        <w:t xml:space="preserve">１ </w:t>
      </w:r>
      <w:r>
        <w:t>次</w:t>
      </w:r>
      <w:r>
        <w:rPr>
          <w:rFonts w:hint="eastAsia" w:ascii="MS UI Gothic" w:eastAsia="MS UI Gothic"/>
          <w:w w:val="80"/>
        </w:rPr>
        <w:t xml:space="preserve">ꎬ </w:t>
      </w:r>
      <w:r>
        <w:t>并做好记录</w:t>
      </w:r>
      <w:r>
        <w:rPr>
          <w:rFonts w:hint="eastAsia" w:ascii="MS UI Gothic" w:eastAsia="MS UI Gothic"/>
          <w:w w:val="80"/>
        </w:rPr>
        <w:t>ꎮ</w:t>
      </w:r>
    </w:p>
    <w:p>
      <w:pPr>
        <w:pStyle w:val="6"/>
        <w:spacing w:line="295" w:lineRule="auto"/>
        <w:ind w:left="440" w:right="1"/>
        <w:rPr>
          <w:rFonts w:hint="eastAsia" w:ascii="MS UI Gothic" w:eastAsia="MS UI Gothic"/>
        </w:rPr>
      </w:pPr>
      <w:r>
        <w:t>第六百一十三条 采场必须选用户外型电气设备</w:t>
      </w:r>
      <w:r>
        <w:rPr>
          <w:rFonts w:hint="eastAsia" w:ascii="MS UI Gothic" w:eastAsia="MS UI Gothic"/>
          <w:w w:val="80"/>
        </w:rPr>
        <w:t xml:space="preserve">ꎬ </w:t>
      </w:r>
      <w:r>
        <w:t>所有高</w:t>
      </w:r>
      <w:r>
        <w:rPr>
          <w:rFonts w:hint="eastAsia" w:ascii="MS UI Gothic" w:eastAsia="MS UI Gothic"/>
          <w:w w:val="80"/>
        </w:rPr>
        <w:t xml:space="preserve">、 </w:t>
      </w:r>
      <w:r>
        <w:t>低压电气设备裸露导电体必须有安全防护</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 xml:space="preserve">第六百一十四条 变电所 </w:t>
      </w:r>
      <w:r>
        <w:rPr>
          <w:rFonts w:hint="eastAsia" w:ascii="MS UI Gothic" w:eastAsia="MS UI Gothic"/>
          <w:w w:val="150"/>
        </w:rPr>
        <w:t xml:space="preserve">( </w:t>
      </w:r>
      <w:r>
        <w:rPr>
          <w:w w:val="105"/>
        </w:rPr>
        <w:t>站</w:t>
      </w:r>
      <w:r>
        <w:rPr>
          <w:rFonts w:hint="eastAsia" w:ascii="MS UI Gothic" w:eastAsia="MS UI Gothic"/>
          <w:w w:val="150"/>
        </w:rPr>
        <w:t xml:space="preserve">) </w:t>
      </w:r>
      <w:r>
        <w:rPr>
          <w:w w:val="105"/>
        </w:rPr>
        <w:t xml:space="preserve">的各种继电保护装置每 </w:t>
      </w:r>
      <w:r>
        <w:rPr>
          <w:rFonts w:hint="eastAsia" w:ascii="MS UI Gothic" w:eastAsia="MS UI Gothic"/>
          <w:w w:val="80"/>
        </w:rPr>
        <w:t xml:space="preserve">２ </w:t>
      </w:r>
      <w:r>
        <w:rPr>
          <w:w w:val="105"/>
        </w:rPr>
        <w:t xml:space="preserve">年至少做 </w:t>
      </w:r>
      <w:r>
        <w:rPr>
          <w:rFonts w:hint="eastAsia" w:ascii="MS UI Gothic" w:eastAsia="MS UI Gothic"/>
          <w:w w:val="80"/>
        </w:rPr>
        <w:t xml:space="preserve">１ </w:t>
      </w:r>
      <w:r>
        <w:rPr>
          <w:w w:val="105"/>
        </w:rPr>
        <w:t>次试验</w:t>
      </w:r>
      <w:r>
        <w:rPr>
          <w:rFonts w:hint="eastAsia" w:ascii="MS UI Gothic" w:eastAsia="MS UI Gothic"/>
          <w:w w:val="80"/>
        </w:rPr>
        <w:t>ꎮ</w:t>
      </w:r>
    </w:p>
    <w:p>
      <w:pPr>
        <w:pStyle w:val="6"/>
        <w:spacing w:line="295" w:lineRule="auto"/>
        <w:ind w:left="440" w:right="1"/>
        <w:rPr>
          <w:rFonts w:hint="eastAsia" w:ascii="MS UI Gothic" w:eastAsia="MS UI Gothic"/>
        </w:rPr>
      </w:pPr>
      <w:r>
        <w:t>第六百一十五条  变电所开关跳闸后</w:t>
      </w:r>
      <w:r>
        <w:rPr>
          <w:rFonts w:hint="eastAsia" w:ascii="MS UI Gothic" w:eastAsia="MS UI Gothic"/>
          <w:w w:val="80"/>
        </w:rPr>
        <w:t xml:space="preserve">ꎬ </w:t>
      </w:r>
      <w:r>
        <w:t>应当立即报告调度人员</w:t>
      </w:r>
      <w:r>
        <w:rPr>
          <w:rFonts w:hint="eastAsia" w:ascii="MS UI Gothic" w:eastAsia="MS UI Gothic"/>
          <w:w w:val="80"/>
        </w:rPr>
        <w:t xml:space="preserve">ꎬ </w:t>
      </w:r>
      <w:r>
        <w:t>经查询</w:t>
      </w:r>
      <w:r>
        <w:rPr>
          <w:rFonts w:hint="eastAsia" w:ascii="MS UI Gothic" w:eastAsia="MS UI Gothic"/>
          <w:w w:val="80"/>
        </w:rPr>
        <w:t xml:space="preserve">ꎬ </w:t>
      </w:r>
      <w:r>
        <w:t xml:space="preserve">可试送 </w:t>
      </w:r>
      <w:r>
        <w:rPr>
          <w:rFonts w:hint="eastAsia" w:ascii="MS UI Gothic" w:eastAsia="MS UI Gothic"/>
        </w:rPr>
        <w:t xml:space="preserve">１ </w:t>
      </w:r>
      <w:r>
        <w:t>次</w:t>
      </w:r>
      <w:r>
        <w:rPr>
          <w:rFonts w:hint="eastAsia" w:ascii="MS UI Gothic" w:eastAsia="MS UI Gothic"/>
          <w:w w:val="80"/>
        </w:rPr>
        <w:t xml:space="preserve">ꎻ </w:t>
      </w:r>
      <w:r>
        <w:t>若仍跳闸</w:t>
      </w:r>
      <w:r>
        <w:rPr>
          <w:rFonts w:hint="eastAsia" w:ascii="MS UI Gothic" w:eastAsia="MS UI Gothic"/>
          <w:w w:val="80"/>
        </w:rPr>
        <w:t xml:space="preserve">ꎬ </w:t>
      </w:r>
      <w:r>
        <w:t>不得强行送电</w:t>
      </w:r>
      <w:r>
        <w:rPr>
          <w:rFonts w:hint="eastAsia" w:ascii="MS UI Gothic" w:eastAsia="MS UI Gothic"/>
          <w:w w:val="80"/>
        </w:rPr>
        <w:t xml:space="preserve">ꎬ </w:t>
      </w:r>
      <w:r>
        <w:t>待查明原因</w:t>
      </w:r>
      <w:r>
        <w:rPr>
          <w:rFonts w:hint="eastAsia" w:ascii="MS UI Gothic" w:eastAsia="MS UI Gothic"/>
          <w:w w:val="80"/>
        </w:rPr>
        <w:t xml:space="preserve">ꎬ </w:t>
      </w:r>
      <w:r>
        <w:t>排除故障后</w:t>
      </w:r>
      <w:r>
        <w:rPr>
          <w:rFonts w:hint="eastAsia" w:ascii="MS UI Gothic" w:eastAsia="MS UI Gothic"/>
          <w:w w:val="80"/>
        </w:rPr>
        <w:t xml:space="preserve">ꎬ </w:t>
      </w:r>
      <w:r>
        <w:t>方可送电</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第六百一十六条 接地和接零应当符</w:t>
      </w:r>
      <w:r>
        <w:rPr>
          <w:w w:val="110"/>
        </w:rPr>
        <w:t>合下列要求</w:t>
      </w:r>
      <w:r>
        <w:rPr>
          <w:rFonts w:hint="eastAsia" w:ascii="MS UI Gothic" w:eastAsia="MS UI Gothic"/>
          <w:w w:val="235"/>
        </w:rPr>
        <w:t>:</w:t>
      </w:r>
    </w:p>
    <w:p>
      <w:pPr>
        <w:pStyle w:val="6"/>
        <w:spacing w:line="292" w:lineRule="auto"/>
        <w:ind w:left="440" w:right="1"/>
        <w:jc w:val="right"/>
      </w:pPr>
      <w:r>
        <w:rPr>
          <w:rFonts w:hint="eastAsia" w:ascii="MS UI Gothic" w:hAnsi="MS UI Gothic" w:eastAsia="MS UI Gothic"/>
          <w:spacing w:val="-14"/>
          <w:w w:val="140"/>
        </w:rPr>
        <w:t xml:space="preserve">( </w:t>
      </w:r>
      <w:r>
        <w:rPr>
          <w:spacing w:val="3"/>
          <w:w w:val="95"/>
        </w:rPr>
        <w:t>一</w:t>
      </w:r>
      <w:r>
        <w:rPr>
          <w:rFonts w:hint="eastAsia" w:ascii="MS UI Gothic" w:hAnsi="MS UI Gothic" w:eastAsia="MS UI Gothic"/>
          <w:w w:val="140"/>
        </w:rPr>
        <w:t xml:space="preserve">)  </w:t>
      </w:r>
      <w:r>
        <w:rPr>
          <w:spacing w:val="5"/>
          <w:w w:val="95"/>
        </w:rPr>
        <w:t>采场的架空线主接地极不得少</w:t>
      </w:r>
      <w:r>
        <w:rPr>
          <w:spacing w:val="-1"/>
          <w:w w:val="95"/>
        </w:rPr>
        <w:t xml:space="preserve">于 </w:t>
      </w:r>
      <w:r>
        <w:rPr>
          <w:rFonts w:hint="eastAsia" w:ascii="MS UI Gothic" w:hAnsi="MS UI Gothic" w:eastAsia="MS UI Gothic"/>
          <w:spacing w:val="24"/>
          <w:w w:val="95"/>
        </w:rPr>
        <w:t xml:space="preserve">２ </w:t>
      </w:r>
      <w:r>
        <w:rPr>
          <w:spacing w:val="3"/>
          <w:w w:val="95"/>
        </w:rPr>
        <w:t>组</w:t>
      </w:r>
      <w:r>
        <w:rPr>
          <w:rFonts w:hint="eastAsia" w:ascii="MS UI Gothic" w:hAnsi="MS UI Gothic" w:eastAsia="MS UI Gothic"/>
          <w:spacing w:val="6"/>
          <w:w w:val="75"/>
        </w:rPr>
        <w:t xml:space="preserve">ꎮ </w:t>
      </w:r>
      <w:r>
        <w:rPr>
          <w:spacing w:val="2"/>
          <w:w w:val="95"/>
        </w:rPr>
        <w:t>主接地极应当设在电阻率低的地</w:t>
      </w:r>
      <w:r>
        <w:rPr>
          <w:spacing w:val="3"/>
          <w:w w:val="95"/>
        </w:rPr>
        <w:t>方</w:t>
      </w:r>
      <w:r>
        <w:rPr>
          <w:rFonts w:hint="eastAsia" w:ascii="MS UI Gothic" w:hAnsi="MS UI Gothic" w:eastAsia="MS UI Gothic"/>
          <w:spacing w:val="17"/>
          <w:w w:val="75"/>
        </w:rPr>
        <w:t xml:space="preserve">ꎬ </w:t>
      </w:r>
      <w:r>
        <w:rPr>
          <w:spacing w:val="-1"/>
          <w:w w:val="95"/>
        </w:rPr>
        <w:t xml:space="preserve">每组接地电阻值不得大于 </w:t>
      </w:r>
      <w:r>
        <w:rPr>
          <w:rFonts w:hint="eastAsia" w:ascii="MS UI Gothic" w:hAnsi="MS UI Gothic" w:eastAsia="MS UI Gothic"/>
          <w:spacing w:val="18"/>
          <w:w w:val="95"/>
        </w:rPr>
        <w:t xml:space="preserve">４ </w:t>
      </w:r>
      <w:r>
        <w:rPr>
          <w:rFonts w:hint="eastAsia" w:ascii="MS UI Gothic" w:hAnsi="MS UI Gothic" w:eastAsia="MS UI Gothic"/>
          <w:spacing w:val="4"/>
          <w:w w:val="95"/>
        </w:rPr>
        <w:t>Ω</w:t>
      </w:r>
      <w:r>
        <w:rPr>
          <w:rFonts w:hint="eastAsia" w:ascii="MS UI Gothic" w:hAnsi="MS UI Gothic" w:eastAsia="MS UI Gothic"/>
          <w:spacing w:val="19"/>
          <w:w w:val="75"/>
        </w:rPr>
        <w:t xml:space="preserve">ꎬ </w:t>
      </w:r>
      <w:r>
        <w:rPr>
          <w:spacing w:val="3"/>
          <w:w w:val="95"/>
        </w:rPr>
        <w:t>在土</w:t>
      </w:r>
      <w:r>
        <w:rPr>
          <w:spacing w:val="-5"/>
          <w:w w:val="95"/>
        </w:rPr>
        <w:t xml:space="preserve">壤电阻率大于 </w:t>
      </w:r>
      <w:r>
        <w:rPr>
          <w:rFonts w:hint="eastAsia" w:ascii="MS UI Gothic" w:hAnsi="MS UI Gothic" w:eastAsia="MS UI Gothic"/>
          <w:spacing w:val="-2"/>
          <w:w w:val="95"/>
        </w:rPr>
        <w:t xml:space="preserve">１０００ </w:t>
      </w:r>
      <w:r>
        <w:rPr>
          <w:rFonts w:hint="eastAsia" w:ascii="MS UI Gothic" w:hAnsi="MS UI Gothic" w:eastAsia="MS UI Gothic"/>
          <w:w w:val="95"/>
        </w:rPr>
        <w:t>Ωｍｍ</w:t>
      </w:r>
      <w:r>
        <w:rPr>
          <w:rFonts w:hint="eastAsia" w:ascii="MS UI Gothic" w:hAnsi="MS UI Gothic" w:eastAsia="MS UI Gothic"/>
          <w:spacing w:val="-5"/>
          <w:w w:val="95"/>
          <w:position w:val="9"/>
          <w:sz w:val="12"/>
        </w:rPr>
        <w:t xml:space="preserve">２ </w:t>
      </w:r>
      <w:r>
        <w:rPr>
          <w:rFonts w:hint="eastAsia" w:ascii="MS UI Gothic" w:hAnsi="MS UI Gothic" w:eastAsia="MS UI Gothic"/>
          <w:w w:val="75"/>
        </w:rPr>
        <w:t xml:space="preserve">/ </w:t>
      </w:r>
      <w:r>
        <w:rPr>
          <w:rFonts w:hint="eastAsia" w:ascii="MS UI Gothic" w:hAnsi="MS UI Gothic" w:eastAsia="MS UI Gothic"/>
          <w:w w:val="95"/>
        </w:rPr>
        <w:t xml:space="preserve">ｍ </w:t>
      </w:r>
      <w:r>
        <w:rPr>
          <w:spacing w:val="7"/>
          <w:w w:val="95"/>
        </w:rPr>
        <w:t>的地区</w:t>
      </w:r>
      <w:r>
        <w:rPr>
          <w:rFonts w:hint="eastAsia" w:ascii="MS UI Gothic" w:hAnsi="MS UI Gothic" w:eastAsia="MS UI Gothic"/>
          <w:spacing w:val="10"/>
          <w:w w:val="75"/>
        </w:rPr>
        <w:t xml:space="preserve">ꎬ </w:t>
      </w:r>
      <w:r>
        <w:rPr>
          <w:w w:val="95"/>
        </w:rPr>
        <w:t>不</w:t>
      </w:r>
      <w:r>
        <w:rPr>
          <w:spacing w:val="-6"/>
          <w:w w:val="95"/>
        </w:rPr>
        <w:t xml:space="preserve">得超过 </w:t>
      </w:r>
      <w:r>
        <w:rPr>
          <w:rFonts w:hint="eastAsia" w:ascii="MS UI Gothic" w:hAnsi="MS UI Gothic" w:eastAsia="MS UI Gothic"/>
          <w:w w:val="95"/>
        </w:rPr>
        <w:t xml:space="preserve">３０ </w:t>
      </w:r>
      <w:r>
        <w:rPr>
          <w:rFonts w:hint="eastAsia" w:ascii="MS UI Gothic" w:hAnsi="MS UI Gothic" w:eastAsia="MS UI Gothic"/>
          <w:spacing w:val="4"/>
          <w:w w:val="95"/>
        </w:rPr>
        <w:t>Ω</w:t>
      </w:r>
      <w:r>
        <w:rPr>
          <w:rFonts w:hint="eastAsia" w:ascii="MS UI Gothic" w:hAnsi="MS UI Gothic" w:eastAsia="MS UI Gothic"/>
          <w:spacing w:val="7"/>
          <w:w w:val="75"/>
        </w:rPr>
        <w:t xml:space="preserve">ꎮ </w:t>
      </w:r>
      <w:r>
        <w:rPr>
          <w:spacing w:val="13"/>
          <w:w w:val="95"/>
        </w:rPr>
        <w:t>移动设备与架空线接地极</w:t>
      </w:r>
      <w:r>
        <w:rPr>
          <w:spacing w:val="1"/>
          <w:w w:val="95"/>
        </w:rPr>
        <w:t xml:space="preserve">之间的电阻值不得大于 </w:t>
      </w:r>
      <w:r>
        <w:rPr>
          <w:rFonts w:hint="eastAsia" w:ascii="MS UI Gothic" w:hAnsi="MS UI Gothic" w:eastAsia="MS UI Gothic"/>
          <w:spacing w:val="4"/>
          <w:w w:val="95"/>
        </w:rPr>
        <w:t>１ Ω</w:t>
      </w:r>
      <w:r>
        <w:rPr>
          <w:rFonts w:hint="eastAsia" w:ascii="MS UI Gothic" w:hAnsi="MS UI Gothic" w:eastAsia="MS UI Gothic"/>
          <w:spacing w:val="16"/>
          <w:w w:val="75"/>
        </w:rPr>
        <w:t xml:space="preserve">ꎬ </w:t>
      </w:r>
      <w:r>
        <w:rPr>
          <w:spacing w:val="5"/>
          <w:w w:val="95"/>
        </w:rPr>
        <w:t>接地线和设</w:t>
      </w:r>
      <w:r>
        <w:rPr>
          <w:spacing w:val="2"/>
          <w:w w:val="95"/>
        </w:rPr>
        <w:t xml:space="preserve">备的金属外壳的接触电压不得大于 </w:t>
      </w:r>
      <w:r>
        <w:rPr>
          <w:rFonts w:hint="eastAsia" w:ascii="MS UI Gothic" w:hAnsi="MS UI Gothic" w:eastAsia="MS UI Gothic"/>
          <w:spacing w:val="10"/>
          <w:w w:val="95"/>
        </w:rPr>
        <w:t>３６ Ｖ</w:t>
      </w:r>
      <w:r>
        <w:rPr>
          <w:rFonts w:hint="eastAsia" w:ascii="MS UI Gothic" w:hAnsi="MS UI Gothic" w:eastAsia="MS UI Gothic"/>
          <w:w w:val="75"/>
        </w:rPr>
        <w:t>ꎮ</w:t>
      </w:r>
      <w:r>
        <w:rPr>
          <w:rFonts w:hint="eastAsia" w:ascii="MS UI Gothic" w:hAnsi="MS UI Gothic" w:eastAsia="MS UI Gothic"/>
          <w:w w:val="51"/>
        </w:rPr>
        <w:t xml:space="preserve"> </w:t>
      </w:r>
      <w:r>
        <w:rPr>
          <w:rFonts w:hint="eastAsia" w:ascii="MS UI Gothic" w:hAnsi="MS UI Gothic" w:eastAsia="MS UI Gothic"/>
          <w:w w:val="140"/>
        </w:rPr>
        <w:t xml:space="preserve">( </w:t>
      </w:r>
      <w:r>
        <w:rPr>
          <w:spacing w:val="3"/>
          <w:w w:val="95"/>
        </w:rPr>
        <w:t>二</w:t>
      </w:r>
      <w:r>
        <w:rPr>
          <w:rFonts w:hint="eastAsia" w:ascii="MS UI Gothic" w:hAnsi="MS UI Gothic" w:eastAsia="MS UI Gothic"/>
          <w:spacing w:val="1"/>
          <w:w w:val="140"/>
        </w:rPr>
        <w:t xml:space="preserve">) </w:t>
      </w:r>
      <w:r>
        <w:rPr>
          <w:spacing w:val="5"/>
          <w:w w:val="95"/>
        </w:rPr>
        <w:t>高压架空线的接地线应当使用</w:t>
      </w:r>
    </w:p>
    <w:p>
      <w:pPr>
        <w:pStyle w:val="6"/>
        <w:spacing w:line="260" w:lineRule="exact"/>
        <w:ind w:left="440" w:firstLine="0"/>
        <w:rPr>
          <w:rFonts w:hint="eastAsia" w:ascii="MS UI Gothic" w:eastAsia="MS UI Gothic"/>
        </w:rPr>
      </w:pPr>
      <w:r>
        <w:t xml:space="preserve">截面大于 </w:t>
      </w:r>
      <w:r>
        <w:rPr>
          <w:rFonts w:hint="eastAsia" w:ascii="MS UI Gothic" w:eastAsia="MS UI Gothic"/>
        </w:rPr>
        <w:t>３５ ｍｍ</w:t>
      </w:r>
      <w:r>
        <w:rPr>
          <w:rFonts w:hint="eastAsia" w:ascii="MS UI Gothic" w:eastAsia="MS UI Gothic"/>
          <w:position w:val="9"/>
          <w:sz w:val="12"/>
        </w:rPr>
        <w:t xml:space="preserve">２ </w:t>
      </w:r>
      <w:r>
        <w:t>的钢绞线</w:t>
      </w:r>
      <w:r>
        <w:rPr>
          <w:rFonts w:hint="eastAsia" w:ascii="MS UI Gothic" w:eastAsia="MS UI Gothic"/>
          <w:w w:val="90"/>
        </w:rPr>
        <w:t>ꎮ</w:t>
      </w:r>
    </w:p>
    <w:p>
      <w:pPr>
        <w:pStyle w:val="6"/>
        <w:spacing w:before="45"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采用橡套电缆的专用接地芯线</w:t>
      </w:r>
      <w:r>
        <w:t>必须接地或者接零</w:t>
      </w:r>
      <w:r>
        <w:rPr>
          <w:rFonts w:hint="eastAsia" w:ascii="MS UI Gothic" w:eastAsia="MS UI Gothic"/>
          <w:w w:val="80"/>
        </w:rPr>
        <w:t xml:space="preserve">ꎬ </w:t>
      </w:r>
      <w:r>
        <w:t>严禁接地线作电</w:t>
      </w:r>
      <w:r>
        <w:rPr>
          <w:w w:val="105"/>
        </w:rPr>
        <w:t>源线</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spacing w:val="-36"/>
          <w:w w:val="145"/>
        </w:rPr>
        <w:t xml:space="preserve">( </w:t>
      </w:r>
      <w:r>
        <w:rPr>
          <w:spacing w:val="3"/>
          <w:w w:val="105"/>
        </w:rPr>
        <w:t>四</w:t>
      </w:r>
      <w:r>
        <w:rPr>
          <w:rFonts w:hint="eastAsia" w:ascii="MS UI Gothic" w:eastAsia="MS UI Gothic"/>
          <w:spacing w:val="6"/>
          <w:w w:val="145"/>
        </w:rPr>
        <w:t xml:space="preserve">) </w:t>
      </w:r>
      <w:r>
        <w:rPr>
          <w:rFonts w:hint="eastAsia" w:ascii="MS UI Gothic" w:eastAsia="MS UI Gothic"/>
          <w:spacing w:val="4"/>
          <w:w w:val="80"/>
        </w:rPr>
        <w:t xml:space="preserve">５０ </w:t>
      </w:r>
      <w:r>
        <w:rPr>
          <w:rFonts w:hint="eastAsia" w:ascii="MS UI Gothic" w:eastAsia="MS UI Gothic"/>
          <w:spacing w:val="-2"/>
          <w:w w:val="105"/>
        </w:rPr>
        <w:t xml:space="preserve">Ｖ </w:t>
      </w:r>
      <w:r>
        <w:rPr>
          <w:spacing w:val="2"/>
          <w:w w:val="105"/>
        </w:rPr>
        <w:t>以上的交流电气设备的金</w:t>
      </w:r>
      <w:r>
        <w:rPr>
          <w:spacing w:val="3"/>
          <w:w w:val="105"/>
        </w:rPr>
        <w:t>属外壳</w:t>
      </w:r>
      <w:r>
        <w:rPr>
          <w:rFonts w:hint="eastAsia" w:ascii="MS UI Gothic" w:eastAsia="MS UI Gothic"/>
          <w:w w:val="80"/>
        </w:rPr>
        <w:t xml:space="preserve">、 </w:t>
      </w:r>
      <w:r>
        <w:rPr>
          <w:spacing w:val="3"/>
          <w:w w:val="105"/>
        </w:rPr>
        <w:t>构架等必须接地</w:t>
      </w:r>
      <w:r>
        <w:rPr>
          <w:rFonts w:hint="eastAsia" w:ascii="MS UI Gothic" w:eastAsia="MS UI Gothic"/>
          <w:w w:val="80"/>
        </w:rPr>
        <w:t>ꎮ</w:t>
      </w:r>
    </w:p>
    <w:p>
      <w:pPr>
        <w:pStyle w:val="6"/>
        <w:spacing w:line="290" w:lineRule="auto"/>
        <w:ind w:left="440"/>
        <w:rPr>
          <w:rFonts w:hint="eastAsia" w:ascii="MS UI Gothic" w:eastAsia="MS UI Gothic"/>
        </w:rPr>
      </w:pPr>
      <w:r>
        <w:rPr>
          <w:rFonts w:hint="eastAsia" w:ascii="MS UI Gothic" w:eastAsia="MS UI Gothic"/>
          <w:w w:val="140"/>
        </w:rPr>
        <w:t xml:space="preserve">( </w:t>
      </w:r>
      <w:r>
        <w:t>五</w:t>
      </w:r>
      <w:r>
        <w:rPr>
          <w:rFonts w:hint="eastAsia" w:ascii="MS UI Gothic" w:eastAsia="MS UI Gothic"/>
          <w:w w:val="140"/>
        </w:rPr>
        <w:t xml:space="preserve">) </w:t>
      </w:r>
      <w:r>
        <w:t>连接电气设备与接地母线应当</w:t>
      </w:r>
      <w:r>
        <w:rPr>
          <w:w w:val="95"/>
        </w:rPr>
        <w:t xml:space="preserve">使用截面不小于 </w:t>
      </w:r>
      <w:r>
        <w:rPr>
          <w:rFonts w:hint="eastAsia" w:ascii="MS UI Gothic" w:eastAsia="MS UI Gothic"/>
          <w:w w:val="95"/>
        </w:rPr>
        <w:t>５０ ｍｍ</w:t>
      </w:r>
      <w:r>
        <w:rPr>
          <w:rFonts w:hint="eastAsia" w:ascii="MS UI Gothic" w:eastAsia="MS UI Gothic"/>
          <w:w w:val="95"/>
          <w:position w:val="9"/>
          <w:sz w:val="12"/>
        </w:rPr>
        <w:t xml:space="preserve">２ </w:t>
      </w:r>
      <w:r>
        <w:rPr>
          <w:w w:val="95"/>
        </w:rPr>
        <w:t>的耐腐蚀的铁线</w:t>
      </w:r>
      <w:r>
        <w:rPr>
          <w:rFonts w:hint="eastAsia" w:ascii="MS UI Gothic" w:eastAsia="MS UI Gothic"/>
          <w:w w:val="85"/>
        </w:rPr>
        <w:t>ꎬ</w:t>
      </w:r>
      <w:r>
        <w:t>严禁电气设备的接地线串联接地</w:t>
      </w:r>
      <w:r>
        <w:rPr>
          <w:rFonts w:hint="eastAsia" w:ascii="MS UI Gothic" w:eastAsia="MS UI Gothic"/>
          <w:w w:val="85"/>
        </w:rPr>
        <w:t xml:space="preserve">ꎬ </w:t>
      </w:r>
      <w:r>
        <w:t>严禁用金属管道或者电缆金属护套作为接地线</w:t>
      </w:r>
      <w:r>
        <w:rPr>
          <w:rFonts w:hint="eastAsia" w:ascii="MS UI Gothic" w:eastAsia="MS UI Gothic"/>
          <w:w w:val="85"/>
        </w:rPr>
        <w:t>ꎮ</w:t>
      </w:r>
    </w:p>
    <w:p>
      <w:pPr>
        <w:pStyle w:val="6"/>
        <w:spacing w:before="3" w:line="295" w:lineRule="auto"/>
        <w:ind w:left="440" w:right="1"/>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低压接地系统的架空线路的终</w:t>
      </w:r>
      <w:r>
        <w:t>端和支线的终端必须重复接地</w:t>
      </w:r>
      <w:r>
        <w:rPr>
          <w:rFonts w:hint="eastAsia" w:ascii="MS UI Gothic" w:eastAsia="MS UI Gothic"/>
          <w:w w:val="80"/>
        </w:rPr>
        <w:t xml:space="preserve">ꎬ </w:t>
      </w:r>
      <w:r>
        <w:t>交流线路零线的重复接地必须用独立的人工接地</w:t>
      </w:r>
    </w:p>
    <w:p>
      <w:pPr>
        <w:pStyle w:val="6"/>
        <w:spacing w:before="124"/>
        <w:ind w:left="381" w:firstLine="0"/>
        <w:jc w:val="left"/>
        <w:rPr>
          <w:rFonts w:hint="eastAsia" w:ascii="MS UI Gothic" w:eastAsia="MS UI Gothic"/>
        </w:rPr>
      </w:pPr>
      <w:r>
        <w:br w:type="column"/>
      </w:r>
      <w:r>
        <w:t>体</w:t>
      </w:r>
      <w:r>
        <w:rPr>
          <w:rFonts w:hint="eastAsia" w:ascii="MS UI Gothic" w:eastAsia="MS UI Gothic"/>
          <w:w w:val="80"/>
        </w:rPr>
        <w:t xml:space="preserve">ꎬ </w:t>
      </w:r>
      <w:r>
        <w:t>不得与地下金属管网相连接</w:t>
      </w:r>
      <w:r>
        <w:rPr>
          <w:rFonts w:hint="eastAsia" w:ascii="MS UI Gothic" w:eastAsia="MS UI Gothic"/>
          <w:w w:val="80"/>
        </w:rPr>
        <w:t>ꎮ</w:t>
      </w:r>
    </w:p>
    <w:p>
      <w:pPr>
        <w:pStyle w:val="6"/>
        <w:tabs>
          <w:tab w:val="left" w:pos="1429"/>
        </w:tabs>
        <w:spacing w:before="215"/>
        <w:ind w:left="590" w:firstLine="0"/>
        <w:jc w:val="left"/>
      </w:pPr>
      <w:r>
        <w:rPr>
          <w:spacing w:val="3"/>
        </w:rPr>
        <w:t>第五</w:t>
      </w:r>
      <w:r>
        <w:t>节</w:t>
      </w:r>
      <w:r>
        <w:tab/>
      </w:r>
      <w:r>
        <w:rPr>
          <w:spacing w:val="3"/>
        </w:rPr>
        <w:t>电气设备操作</w:t>
      </w:r>
      <w:r>
        <w:rPr>
          <w:rFonts w:hint="eastAsia" w:ascii="Microsoft Yi Baiti" w:eastAsia="Microsoft Yi Baiti"/>
        </w:rPr>
        <w:t>、</w:t>
      </w:r>
      <w:r>
        <w:rPr>
          <w:rFonts w:hint="eastAsia" w:ascii="Microsoft Yi Baiti" w:eastAsia="Microsoft Yi Baiti"/>
          <w:spacing w:val="24"/>
        </w:rPr>
        <w:t xml:space="preserve"> </w:t>
      </w:r>
      <w:r>
        <w:rPr>
          <w:spacing w:val="3"/>
        </w:rPr>
        <w:t>维护和调</w:t>
      </w:r>
      <w:r>
        <w:t>整</w:t>
      </w:r>
    </w:p>
    <w:p>
      <w:pPr>
        <w:pStyle w:val="6"/>
        <w:spacing w:before="216" w:line="295" w:lineRule="auto"/>
        <w:ind w:left="381" w:right="124"/>
      </w:pPr>
      <w:r>
        <w:t>第六百一十七条 严禁带电检修</w:t>
      </w:r>
      <w:r>
        <w:rPr>
          <w:rFonts w:hint="eastAsia" w:ascii="MS UI Gothic" w:eastAsia="MS UI Gothic"/>
          <w:w w:val="80"/>
        </w:rPr>
        <w:t xml:space="preserve">、 </w:t>
      </w:r>
      <w:r>
        <w:t>移动电气设备对设备进行带电调试</w:t>
      </w:r>
      <w:r>
        <w:rPr>
          <w:rFonts w:hint="eastAsia" w:ascii="MS UI Gothic" w:eastAsia="MS UI Gothic"/>
          <w:w w:val="80"/>
        </w:rPr>
        <w:t xml:space="preserve">、 </w:t>
      </w:r>
      <w:r>
        <w:t>测试</w:t>
      </w:r>
      <w:r>
        <w:rPr>
          <w:rFonts w:hint="eastAsia" w:ascii="MS UI Gothic" w:eastAsia="MS UI Gothic"/>
          <w:w w:val="80"/>
        </w:rPr>
        <w:t>、</w:t>
      </w:r>
      <w:r>
        <w:t>试验时</w:t>
      </w:r>
      <w:r>
        <w:rPr>
          <w:rFonts w:hint="eastAsia" w:ascii="MS UI Gothic" w:eastAsia="MS UI Gothic"/>
          <w:w w:val="80"/>
        </w:rPr>
        <w:t xml:space="preserve">ꎬ </w:t>
      </w:r>
      <w:r>
        <w:t>必须采取安全措施</w:t>
      </w:r>
    </w:p>
    <w:p>
      <w:pPr>
        <w:pStyle w:val="6"/>
        <w:spacing w:line="295" w:lineRule="auto"/>
        <w:ind w:left="381" w:right="126"/>
        <w:rPr>
          <w:rFonts w:hint="eastAsia" w:ascii="MS UI Gothic" w:eastAsia="MS UI Gothic"/>
        </w:rPr>
      </w:pPr>
      <w:r>
        <w:t>移动带电电缆时</w:t>
      </w:r>
      <w:r>
        <w:rPr>
          <w:rFonts w:hint="eastAsia" w:ascii="MS UI Gothic" w:eastAsia="MS UI Gothic"/>
          <w:w w:val="80"/>
        </w:rPr>
        <w:t xml:space="preserve">ꎬ </w:t>
      </w:r>
      <w:r>
        <w:t>必须检查确认电缆没有破损</w:t>
      </w:r>
      <w:r>
        <w:rPr>
          <w:rFonts w:hint="eastAsia" w:ascii="MS UI Gothic" w:eastAsia="MS UI Gothic"/>
          <w:w w:val="80"/>
        </w:rPr>
        <w:t xml:space="preserve">ꎬ </w:t>
      </w:r>
      <w:r>
        <w:t>并穿戴好绝缘防护用品采用快速插接式的高压电缆头严禁带电插拔</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第六百一十八条 操作电气设备必须</w:t>
      </w:r>
      <w:r>
        <w:rPr>
          <w:w w:val="110"/>
        </w:rPr>
        <w:t>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非专职和非值班人员</w:t>
      </w:r>
      <w:r>
        <w:rPr>
          <w:rFonts w:hint="eastAsia" w:ascii="MS UI Gothic" w:eastAsia="MS UI Gothic"/>
          <w:w w:val="80"/>
        </w:rPr>
        <w:t xml:space="preserve">ꎬ </w:t>
      </w:r>
      <w:r>
        <w:rPr>
          <w:w w:val="105"/>
        </w:rPr>
        <w:t>严禁操作电气设备</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操作高压电气设备回路时</w:t>
      </w:r>
      <w:r>
        <w:rPr>
          <w:rFonts w:hint="eastAsia" w:ascii="MS UI Gothic" w:eastAsia="MS UI Gothic"/>
          <w:w w:val="80"/>
        </w:rPr>
        <w:t xml:space="preserve">ꎬ </w:t>
      </w:r>
      <w:r>
        <w:rPr>
          <w:w w:val="105"/>
        </w:rPr>
        <w:t>操作人员必须戴绝缘手套</w:t>
      </w:r>
      <w:r>
        <w:rPr>
          <w:rFonts w:hint="eastAsia" w:ascii="MS UI Gothic" w:eastAsia="MS UI Gothic"/>
          <w:w w:val="80"/>
        </w:rPr>
        <w:t xml:space="preserve">、 </w:t>
      </w:r>
      <w:r>
        <w:rPr>
          <w:w w:val="105"/>
        </w:rPr>
        <w:t>穿电工绝缘靴或者站在绝缘台上</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手持式电气设备的操作柄和工</w:t>
      </w:r>
      <w:r>
        <w:t>作中必须接触的部分</w:t>
      </w:r>
      <w:r>
        <w:rPr>
          <w:rFonts w:hint="eastAsia" w:ascii="MS UI Gothic" w:eastAsia="MS UI Gothic"/>
          <w:w w:val="80"/>
        </w:rPr>
        <w:t xml:space="preserve">ꎬ </w:t>
      </w:r>
      <w:r>
        <w:t>必须有合格的</w:t>
      </w:r>
      <w:r>
        <w:rPr>
          <w:w w:val="105"/>
        </w:rPr>
        <w:t>绝缘</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操作人员身体任何部分与电气</w:t>
      </w:r>
      <w:r>
        <w:t>设备裸露带电部分的最小距离应当执行国</w:t>
      </w:r>
      <w:r>
        <w:rPr>
          <w:w w:val="105"/>
        </w:rPr>
        <w:t>家相关标准</w:t>
      </w:r>
      <w:r>
        <w:rPr>
          <w:rFonts w:hint="eastAsia" w:ascii="MS UI Gothic" w:eastAsia="MS UI Gothic"/>
          <w:w w:val="80"/>
        </w:rPr>
        <w:t>ꎮ</w:t>
      </w:r>
    </w:p>
    <w:p>
      <w:pPr>
        <w:pStyle w:val="6"/>
        <w:spacing w:line="295" w:lineRule="auto"/>
        <w:ind w:left="381" w:right="126"/>
        <w:rPr>
          <w:rFonts w:hint="eastAsia" w:ascii="MS UI Gothic" w:eastAsia="MS UI Gothic"/>
        </w:rPr>
      </w:pPr>
      <w:r>
        <w:t>第六百一十九条 检修多用户使用的输配电线路时</w:t>
      </w:r>
      <w:r>
        <w:rPr>
          <w:rFonts w:hint="eastAsia" w:ascii="MS UI Gothic" w:eastAsia="MS UI Gothic"/>
          <w:w w:val="80"/>
        </w:rPr>
        <w:t xml:space="preserve">ꎬ </w:t>
      </w:r>
      <w:r>
        <w:t>应当制定安全措施</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14"/>
          <w:w w:val="110"/>
        </w:rPr>
        <w:t xml:space="preserve">第六百二十条 采场内 </w:t>
      </w:r>
      <w:r>
        <w:rPr>
          <w:rFonts w:hint="eastAsia" w:ascii="MS UI Gothic" w:eastAsia="MS UI Gothic"/>
          <w:spacing w:val="-35"/>
          <w:w w:val="150"/>
        </w:rPr>
        <w:t xml:space="preserve">( </w:t>
      </w:r>
      <w:r>
        <w:rPr>
          <w:spacing w:val="20"/>
          <w:w w:val="110"/>
        </w:rPr>
        <w:t>变电站</w:t>
      </w:r>
      <w:r>
        <w:rPr>
          <w:rFonts w:hint="eastAsia" w:ascii="MS UI Gothic" w:eastAsia="MS UI Gothic"/>
          <w:spacing w:val="-13"/>
        </w:rPr>
        <w:t>、</w:t>
      </w:r>
      <w:r>
        <w:rPr>
          <w:spacing w:val="10"/>
          <w:w w:val="105"/>
        </w:rPr>
        <w:t>所及以下</w:t>
      </w:r>
      <w:r>
        <w:rPr>
          <w:rFonts w:hint="eastAsia" w:ascii="MS UI Gothic" w:eastAsia="MS UI Gothic"/>
          <w:spacing w:val="22"/>
          <w:w w:val="105"/>
        </w:rPr>
        <w:t xml:space="preserve">) </w:t>
      </w:r>
      <w:r>
        <w:rPr>
          <w:spacing w:val="15"/>
          <w:w w:val="105"/>
        </w:rPr>
        <w:t>配电线路的停送电作业应当</w:t>
      </w:r>
      <w:r>
        <w:rPr>
          <w:spacing w:val="3"/>
          <w:w w:val="110"/>
        </w:rPr>
        <w:t>遵守下列规定</w:t>
      </w:r>
      <w:r>
        <w:rPr>
          <w:rFonts w:hint="eastAsia" w:ascii="MS UI Gothic" w:eastAsia="MS UI Gothic"/>
          <w:w w:val="235"/>
        </w:rPr>
        <w:t>:</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计划停送电严格执行工作票</w:t>
      </w:r>
      <w:r>
        <w:rPr>
          <w:rFonts w:hint="eastAsia" w:ascii="MS UI Gothic" w:eastAsia="MS UI Gothic"/>
          <w:w w:val="80"/>
        </w:rPr>
        <w:t>、</w:t>
      </w:r>
      <w:r>
        <w:rPr>
          <w:w w:val="105"/>
        </w:rPr>
        <w:t>操作票制度</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非计划停送电</w:t>
      </w:r>
      <w:r>
        <w:rPr>
          <w:rFonts w:hint="eastAsia" w:ascii="MS UI Gothic" w:eastAsia="MS UI Gothic"/>
          <w:w w:val="80"/>
        </w:rPr>
        <w:t xml:space="preserve">ꎬ </w:t>
      </w:r>
      <w:r>
        <w:rPr>
          <w:w w:val="105"/>
        </w:rPr>
        <w:t>应当经调度同意后执行</w:t>
      </w:r>
      <w:r>
        <w:rPr>
          <w:rFonts w:hint="eastAsia" w:ascii="MS UI Gothic" w:eastAsia="MS UI Gothic"/>
          <w:w w:val="80"/>
        </w:rPr>
        <w:t xml:space="preserve">ꎬ </w:t>
      </w:r>
      <w:r>
        <w:rPr>
          <w:w w:val="105"/>
        </w:rPr>
        <w:t>并双方做好停送电记录</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事故停电</w:t>
      </w:r>
      <w:r>
        <w:rPr>
          <w:rFonts w:hint="eastAsia" w:ascii="MS UI Gothic" w:eastAsia="MS UI Gothic"/>
          <w:w w:val="80"/>
        </w:rPr>
        <w:t xml:space="preserve">ꎬ </w:t>
      </w:r>
      <w:r>
        <w:rPr>
          <w:w w:val="105"/>
        </w:rPr>
        <w:t>执行先停电</w:t>
      </w:r>
      <w:r>
        <w:rPr>
          <w:rFonts w:hint="eastAsia" w:ascii="MS UI Gothic" w:eastAsia="MS UI Gothic"/>
          <w:w w:val="80"/>
        </w:rPr>
        <w:t xml:space="preserve">ꎬ </w:t>
      </w:r>
      <w:r>
        <w:rPr>
          <w:w w:val="105"/>
        </w:rPr>
        <w:t>后履行停电手续</w:t>
      </w:r>
      <w:r>
        <w:rPr>
          <w:rFonts w:hint="eastAsia" w:ascii="MS UI Gothic" w:eastAsia="MS UI Gothic"/>
          <w:w w:val="80"/>
        </w:rPr>
        <w:t xml:space="preserve">ꎬ </w:t>
      </w:r>
      <w:r>
        <w:rPr>
          <w:w w:val="105"/>
        </w:rPr>
        <w:t>采取安全措施做好记录</w:t>
      </w:r>
      <w:r>
        <w:rPr>
          <w:rFonts w:hint="eastAsia" w:ascii="MS UI Gothic" w:eastAsia="MS UI Gothic"/>
          <w:w w:val="80"/>
        </w:rPr>
        <w:t>ꎮ</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严禁约时停送电</w:t>
      </w:r>
      <w:r>
        <w:rPr>
          <w:rFonts w:hint="eastAsia" w:ascii="MS UI Gothic" w:eastAsia="MS UI Gothic"/>
          <w:w w:val="80"/>
        </w:rPr>
        <w:t>ꎮ</w:t>
      </w:r>
    </w:p>
    <w:p>
      <w:pPr>
        <w:pStyle w:val="6"/>
        <w:spacing w:before="36" w:line="295" w:lineRule="auto"/>
        <w:ind w:left="381" w:right="126"/>
        <w:rPr>
          <w:rFonts w:hint="eastAsia" w:ascii="MS UI Gothic" w:eastAsia="MS UI Gothic"/>
        </w:rPr>
      </w:pPr>
      <w:r>
        <w:rPr>
          <w:w w:val="105"/>
        </w:rPr>
        <w:t>第六百二十一条 高压变配电设备和</w:t>
      </w:r>
      <w:r>
        <w:t>线路的检修及停送电</w:t>
      </w:r>
      <w:r>
        <w:rPr>
          <w:rFonts w:hint="eastAsia" w:ascii="MS UI Gothic" w:eastAsia="MS UI Gothic"/>
          <w:w w:val="80"/>
        </w:rPr>
        <w:t xml:space="preserve">ꎬ </w:t>
      </w:r>
      <w:r>
        <w:t>必须严格执行停电</w:t>
      </w:r>
      <w:r>
        <w:rPr>
          <w:w w:val="105"/>
        </w:rPr>
        <w:t>申请和工作票制度</w:t>
      </w:r>
      <w:r>
        <w:rPr>
          <w:rFonts w:hint="eastAsia" w:ascii="MS UI Gothic" w:eastAsia="MS UI Gothic"/>
          <w:w w:val="80"/>
        </w:rPr>
        <w:t>ꎮ</w:t>
      </w:r>
    </w:p>
    <w:p>
      <w:pPr>
        <w:pStyle w:val="6"/>
        <w:spacing w:line="295" w:lineRule="auto"/>
        <w:ind w:left="381" w:right="126"/>
        <w:rPr>
          <w:rFonts w:hint="eastAsia" w:ascii="MS UI Gothic" w:eastAsia="MS UI Gothic"/>
        </w:rPr>
      </w:pPr>
      <w:r>
        <w:t>停电线路维修作业必须遵守下列</w:t>
      </w:r>
      <w:r>
        <w:rPr>
          <w:w w:val="115"/>
        </w:rPr>
        <w:t>规定</w:t>
      </w:r>
      <w:r>
        <w:rPr>
          <w:rFonts w:hint="eastAsia" w:ascii="MS UI Gothic" w:eastAsia="MS UI Gothic"/>
          <w:w w:val="235"/>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３３６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24" o:spid="_x0000_s2024" o:spt="203" style="height:2.15pt;width:398.25pt;" coordsize="7965,43">
            <o:lock v:ext="edit"/>
            <v:line id="_x0000_s2025" o:spid="_x0000_s2025" o:spt="20" style="position:absolute;left:0;top:39;height:0;width:7965;" stroked="t" coordsize="21600,21600">
              <v:path arrowok="t"/>
              <v:fill focussize="0,0"/>
              <v:stroke weight="0.388031496062992pt" color="#231F20"/>
              <v:imagedata o:title=""/>
              <o:lock v:ext="edit"/>
            </v:line>
            <v:line id="_x0000_s2026" o:spid="_x0000_s202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必须由负责人统一指挥</w:t>
      </w:r>
      <w:r>
        <w:rPr>
          <w:rFonts w:hint="eastAsia" w:ascii="MS UI Gothic" w:eastAsia="MS UI Gothic"/>
          <w:w w:val="80"/>
        </w:rPr>
        <w:t>ꎮ</w:t>
      </w:r>
    </w:p>
    <w:p>
      <w:pPr>
        <w:pStyle w:val="6"/>
        <w:spacing w:before="58"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必须有明显的断开点</w:t>
      </w:r>
      <w:r>
        <w:rPr>
          <w:rFonts w:hint="eastAsia" w:ascii="MS UI Gothic" w:eastAsia="MS UI Gothic"/>
          <w:w w:val="80"/>
        </w:rPr>
        <w:t xml:space="preserve">ꎬ </w:t>
      </w:r>
      <w:r>
        <w:rPr>
          <w:w w:val="105"/>
        </w:rPr>
        <w:t>该线路</w:t>
      </w:r>
      <w:r>
        <w:t>断开的电源开关把手</w:t>
      </w:r>
      <w:r>
        <w:rPr>
          <w:rFonts w:hint="eastAsia" w:ascii="MS UI Gothic" w:eastAsia="MS UI Gothic"/>
          <w:w w:val="80"/>
        </w:rPr>
        <w:t xml:space="preserve">ꎬ </w:t>
      </w:r>
      <w:r>
        <w:t>必须专人看管或者</w:t>
      </w:r>
      <w:r>
        <w:rPr>
          <w:w w:val="105"/>
        </w:rPr>
        <w:t>加锁</w:t>
      </w:r>
      <w:r>
        <w:rPr>
          <w:rFonts w:hint="eastAsia" w:ascii="MS UI Gothic" w:eastAsia="MS UI Gothic"/>
          <w:w w:val="80"/>
        </w:rPr>
        <w:t xml:space="preserve">ꎬ </w:t>
      </w:r>
      <w:r>
        <w:rPr>
          <w:w w:val="105"/>
        </w:rPr>
        <w:t>并悬挂警示牌</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停电后必须验电</w:t>
      </w:r>
      <w:r>
        <w:rPr>
          <w:rFonts w:hint="eastAsia" w:ascii="MS UI Gothic" w:eastAsia="MS UI Gothic"/>
          <w:w w:val="80"/>
        </w:rPr>
        <w:t xml:space="preserve">ꎬ </w:t>
      </w:r>
      <w:r>
        <w:rPr>
          <w:w w:val="105"/>
        </w:rPr>
        <w:t>并挂好接地线</w:t>
      </w:r>
      <w:r>
        <w:rPr>
          <w:rFonts w:hint="eastAsia" w:ascii="MS UI Gothic" w:eastAsia="MS UI Gothic"/>
          <w:w w:val="80"/>
        </w:rPr>
        <w:t>ꎮ</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作业时必须有专人监护</w:t>
      </w:r>
      <w:r>
        <w:rPr>
          <w:rFonts w:hint="eastAsia" w:ascii="MS UI Gothic" w:eastAsia="MS UI Gothic"/>
          <w:w w:val="80"/>
        </w:rPr>
        <w:t>ꎮ</w:t>
      </w:r>
    </w:p>
    <w:p>
      <w:pPr>
        <w:pStyle w:val="6"/>
        <w:spacing w:before="56"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确认所有作业完毕后</w:t>
      </w:r>
      <w:r>
        <w:rPr>
          <w:rFonts w:hint="eastAsia" w:ascii="MS UI Gothic" w:eastAsia="MS UI Gothic"/>
          <w:w w:val="80"/>
        </w:rPr>
        <w:t xml:space="preserve">ꎬ </w:t>
      </w:r>
      <w:r>
        <w:rPr>
          <w:w w:val="105"/>
        </w:rPr>
        <w:t>摘除接</w:t>
      </w:r>
      <w:r>
        <w:t>地线和警示牌</w:t>
      </w:r>
      <w:r>
        <w:rPr>
          <w:rFonts w:hint="eastAsia" w:ascii="MS UI Gothic" w:eastAsia="MS UI Gothic"/>
          <w:w w:val="80"/>
        </w:rPr>
        <w:t xml:space="preserve">ꎬ </w:t>
      </w:r>
      <w:r>
        <w:t>由负责人检查无误后通知</w:t>
      </w:r>
      <w:r>
        <w:rPr>
          <w:w w:val="105"/>
        </w:rPr>
        <w:t>调度恢复送电</w:t>
      </w:r>
      <w:r>
        <w:rPr>
          <w:rFonts w:hint="eastAsia" w:ascii="MS UI Gothic" w:eastAsia="MS UI Gothic"/>
          <w:w w:val="80"/>
        </w:rPr>
        <w:t>ꎮ</w:t>
      </w:r>
    </w:p>
    <w:p>
      <w:pPr>
        <w:pStyle w:val="6"/>
        <w:spacing w:line="295" w:lineRule="auto"/>
        <w:ind w:right="38"/>
        <w:rPr>
          <w:rFonts w:hint="eastAsia" w:ascii="MS UI Gothic" w:eastAsia="MS UI Gothic"/>
        </w:rPr>
      </w:pPr>
      <w:r>
        <w:t>第六百二十二条 雷电或者雷雨时</w:t>
      </w:r>
      <w:r>
        <w:rPr>
          <w:rFonts w:hint="eastAsia" w:ascii="MS UI Gothic" w:eastAsia="MS UI Gothic"/>
          <w:w w:val="80"/>
        </w:rPr>
        <w:t>ꎬ</w:t>
      </w:r>
      <w:r>
        <w:t>严禁进行倒闸操作</w:t>
      </w:r>
      <w:r>
        <w:rPr>
          <w:rFonts w:hint="eastAsia" w:ascii="MS UI Gothic" w:eastAsia="MS UI Gothic"/>
          <w:w w:val="80"/>
        </w:rPr>
        <w:t xml:space="preserve">ꎬ </w:t>
      </w:r>
      <w:r>
        <w:t>严禁操作跌落开关</w:t>
      </w:r>
      <w:r>
        <w:rPr>
          <w:rFonts w:hint="eastAsia" w:ascii="MS UI Gothic" w:eastAsia="MS UI Gothic"/>
          <w:w w:val="80"/>
        </w:rPr>
        <w:t>ꎮ</w:t>
      </w:r>
    </w:p>
    <w:p>
      <w:pPr>
        <w:pStyle w:val="6"/>
        <w:tabs>
          <w:tab w:val="left" w:pos="1591"/>
        </w:tabs>
        <w:spacing w:before="153" w:line="295" w:lineRule="auto"/>
        <w:ind w:left="1277" w:right="668" w:hanging="524"/>
        <w:jc w:val="left"/>
      </w:pPr>
      <w:r>
        <w:rPr>
          <w:spacing w:val="3"/>
          <w:w w:val="105"/>
        </w:rPr>
        <w:t>第六</w:t>
      </w:r>
      <w:r>
        <w:rPr>
          <w:w w:val="105"/>
        </w:rPr>
        <w:t>节</w:t>
      </w:r>
      <w:r>
        <w:rPr>
          <w:w w:val="105"/>
        </w:rPr>
        <w:tab/>
      </w:r>
      <w:r>
        <w:rPr>
          <w:spacing w:val="3"/>
        </w:rPr>
        <w:t>爆炸物品库和炸</w:t>
      </w:r>
      <w:r>
        <w:rPr>
          <w:spacing w:val="-11"/>
        </w:rPr>
        <w:t>药</w:t>
      </w:r>
      <w:r>
        <w:rPr>
          <w:spacing w:val="3"/>
          <w:w w:val="105"/>
        </w:rPr>
        <w:t>加工区安全配</w:t>
      </w:r>
      <w:r>
        <w:rPr>
          <w:w w:val="105"/>
        </w:rPr>
        <w:t>电</w:t>
      </w:r>
    </w:p>
    <w:p>
      <w:pPr>
        <w:pStyle w:val="6"/>
        <w:spacing w:before="156" w:line="295" w:lineRule="auto"/>
        <w:ind w:right="39"/>
        <w:rPr>
          <w:rFonts w:hint="eastAsia" w:ascii="MS UI Gothic" w:eastAsia="MS UI Gothic"/>
        </w:rPr>
      </w:pPr>
      <w:r>
        <w:t xml:space="preserve">第六百二十三条 爆炸物品库房区和加工区的 </w:t>
      </w:r>
      <w:r>
        <w:rPr>
          <w:rFonts w:hint="eastAsia" w:ascii="MS UI Gothic" w:eastAsia="MS UI Gothic"/>
          <w:w w:val="95"/>
        </w:rPr>
        <w:t xml:space="preserve">１０ ｋＶ </w:t>
      </w:r>
      <w:r>
        <w:t>及以下的变电所</w:t>
      </w:r>
      <w:r>
        <w:rPr>
          <w:rFonts w:hint="eastAsia" w:ascii="MS UI Gothic" w:eastAsia="MS UI Gothic"/>
          <w:w w:val="85"/>
        </w:rPr>
        <w:t xml:space="preserve">ꎬ </w:t>
      </w:r>
      <w:r>
        <w:t>可采用户内式</w:t>
      </w:r>
      <w:r>
        <w:rPr>
          <w:rFonts w:hint="eastAsia" w:ascii="MS UI Gothic" w:eastAsia="MS UI Gothic"/>
          <w:w w:val="85"/>
        </w:rPr>
        <w:t xml:space="preserve">ꎬ </w:t>
      </w:r>
      <w:r>
        <w:t xml:space="preserve">但不应设在 </w:t>
      </w:r>
      <w:r>
        <w:rPr>
          <w:rFonts w:hint="eastAsia" w:ascii="MS UI Gothic" w:eastAsia="MS UI Gothic"/>
          <w:w w:val="95"/>
        </w:rPr>
        <w:t xml:space="preserve">Ａ </w:t>
      </w:r>
      <w:r>
        <w:t>级建筑物内</w:t>
      </w:r>
      <w:r>
        <w:rPr>
          <w:rFonts w:hint="eastAsia" w:ascii="MS UI Gothic" w:eastAsia="MS UI Gothic"/>
          <w:w w:val="85"/>
        </w:rPr>
        <w:t>ꎮ</w:t>
      </w:r>
    </w:p>
    <w:p>
      <w:pPr>
        <w:pStyle w:val="6"/>
        <w:spacing w:line="295" w:lineRule="auto"/>
        <w:ind w:right="39"/>
        <w:rPr>
          <w:rFonts w:hint="eastAsia" w:ascii="MS UI Gothic" w:eastAsia="MS UI Gothic"/>
        </w:rPr>
      </w:pPr>
      <w:r>
        <w:t xml:space="preserve">变电所与 </w:t>
      </w:r>
      <w:r>
        <w:rPr>
          <w:rFonts w:hint="eastAsia" w:ascii="MS UI Gothic" w:eastAsia="MS UI Gothic"/>
          <w:w w:val="95"/>
        </w:rPr>
        <w:t xml:space="preserve">Ａ </w:t>
      </w:r>
      <w:r>
        <w:t xml:space="preserve">级建筑物的距离不得小于 </w:t>
      </w:r>
      <w:r>
        <w:rPr>
          <w:rFonts w:hint="eastAsia" w:ascii="MS UI Gothic" w:eastAsia="MS UI Gothic"/>
          <w:w w:val="95"/>
        </w:rPr>
        <w:t>５０ ｍ</w:t>
      </w:r>
      <w:r>
        <w:rPr>
          <w:rFonts w:hint="eastAsia" w:ascii="MS UI Gothic" w:eastAsia="MS UI Gothic"/>
          <w:w w:val="85"/>
        </w:rPr>
        <w:t>ꎮ</w:t>
      </w:r>
    </w:p>
    <w:p>
      <w:pPr>
        <w:pStyle w:val="6"/>
        <w:spacing w:line="295" w:lineRule="auto"/>
        <w:ind w:right="39"/>
        <w:rPr>
          <w:rFonts w:hint="eastAsia" w:ascii="MS UI Gothic" w:eastAsia="MS UI Gothic"/>
        </w:rPr>
      </w:pPr>
      <w:r>
        <w:rPr>
          <w:spacing w:val="17"/>
          <w:w w:val="95"/>
        </w:rPr>
        <w:t xml:space="preserve">柱上变电亭与 </w:t>
      </w:r>
      <w:r>
        <w:rPr>
          <w:rFonts w:hint="eastAsia" w:ascii="MS UI Gothic" w:eastAsia="MS UI Gothic"/>
          <w:w w:val="95"/>
        </w:rPr>
        <w:t xml:space="preserve">Ａ </w:t>
      </w:r>
      <w:r>
        <w:rPr>
          <w:spacing w:val="14"/>
          <w:w w:val="95"/>
        </w:rPr>
        <w:t>级建筑物的距离不</w:t>
      </w:r>
      <w:r>
        <w:rPr>
          <w:spacing w:val="-13"/>
          <w:w w:val="95"/>
        </w:rPr>
        <w:t xml:space="preserve">得小于 </w:t>
      </w:r>
      <w:r>
        <w:rPr>
          <w:rFonts w:hint="eastAsia" w:ascii="MS UI Gothic" w:eastAsia="MS UI Gothic"/>
          <w:w w:val="95"/>
        </w:rPr>
        <w:t xml:space="preserve">１００ </w:t>
      </w:r>
      <w:r>
        <w:rPr>
          <w:rFonts w:hint="eastAsia" w:ascii="MS UI Gothic" w:eastAsia="MS UI Gothic"/>
          <w:spacing w:val="4"/>
          <w:w w:val="95"/>
        </w:rPr>
        <w:t>ｍ</w:t>
      </w:r>
      <w:r>
        <w:rPr>
          <w:rFonts w:hint="eastAsia" w:ascii="MS UI Gothic" w:eastAsia="MS UI Gothic"/>
          <w:spacing w:val="18"/>
          <w:w w:val="90"/>
        </w:rPr>
        <w:t xml:space="preserve">ꎬ </w:t>
      </w:r>
      <w:r>
        <w:rPr>
          <w:spacing w:val="50"/>
        </w:rPr>
        <w:t>与</w:t>
      </w:r>
      <w:r>
        <w:rPr>
          <w:rFonts w:hint="eastAsia" w:ascii="MS UI Gothic" w:eastAsia="MS UI Gothic"/>
          <w:spacing w:val="-4"/>
          <w:w w:val="95"/>
        </w:rPr>
        <w:t xml:space="preserve">Ｂ </w:t>
      </w:r>
      <w:r>
        <w:rPr>
          <w:spacing w:val="3"/>
          <w:w w:val="95"/>
        </w:rPr>
        <w:t>级</w:t>
      </w:r>
      <w:r>
        <w:rPr>
          <w:spacing w:val="50"/>
        </w:rPr>
        <w:t>和</w:t>
      </w:r>
      <w:r>
        <w:rPr>
          <w:rFonts w:hint="eastAsia" w:ascii="MS UI Gothic" w:eastAsia="MS UI Gothic"/>
          <w:spacing w:val="-5"/>
          <w:w w:val="95"/>
        </w:rPr>
        <w:t xml:space="preserve">Ｄ </w:t>
      </w:r>
      <w:r>
        <w:rPr>
          <w:spacing w:val="2"/>
          <w:w w:val="95"/>
        </w:rPr>
        <w:t>级建筑物不得</w:t>
      </w:r>
      <w:r>
        <w:rPr>
          <w:spacing w:val="-16"/>
          <w:w w:val="95"/>
        </w:rPr>
        <w:t xml:space="preserve">小于 </w:t>
      </w:r>
      <w:r>
        <w:rPr>
          <w:rFonts w:hint="eastAsia" w:ascii="MS UI Gothic" w:eastAsia="MS UI Gothic"/>
          <w:spacing w:val="4"/>
          <w:w w:val="95"/>
        </w:rPr>
        <w:t>５０ ｍ</w:t>
      </w:r>
      <w:r>
        <w:rPr>
          <w:rFonts w:hint="eastAsia" w:ascii="MS UI Gothic" w:eastAsia="MS UI Gothic"/>
          <w:w w:val="90"/>
        </w:rPr>
        <w:t>ꎮ</w:t>
      </w:r>
    </w:p>
    <w:p>
      <w:pPr>
        <w:pStyle w:val="6"/>
        <w:spacing w:line="295" w:lineRule="auto"/>
        <w:ind w:right="39"/>
        <w:rPr>
          <w:rFonts w:hint="eastAsia" w:ascii="MS UI Gothic" w:eastAsia="MS UI Gothic"/>
        </w:rPr>
      </w:pPr>
      <w:r>
        <w:t xml:space="preserve">第六百二十四条 </w:t>
      </w:r>
      <w:r>
        <w:rPr>
          <w:rFonts w:hint="eastAsia" w:ascii="MS UI Gothic" w:eastAsia="MS UI Gothic"/>
          <w:w w:val="95"/>
        </w:rPr>
        <w:t xml:space="preserve">１ </w:t>
      </w:r>
      <w:r>
        <w:rPr>
          <w:rFonts w:hint="eastAsia" w:ascii="MS UI Gothic" w:eastAsia="MS UI Gothic"/>
          <w:w w:val="115"/>
        </w:rPr>
        <w:t xml:space="preserve">~ </w:t>
      </w:r>
      <w:r>
        <w:rPr>
          <w:rFonts w:hint="eastAsia" w:ascii="MS UI Gothic" w:eastAsia="MS UI Gothic"/>
          <w:w w:val="95"/>
        </w:rPr>
        <w:t xml:space="preserve">１０ ｋＶ </w:t>
      </w:r>
      <w:r>
        <w:t>的室外架空线路</w:t>
      </w:r>
      <w:r>
        <w:rPr>
          <w:rFonts w:hint="eastAsia" w:ascii="MS UI Gothic" w:eastAsia="MS UI Gothic"/>
          <w:w w:val="80"/>
        </w:rPr>
        <w:t xml:space="preserve">ꎬ </w:t>
      </w:r>
      <w:r>
        <w:t>严禁跨越危险场所的建筑物</w:t>
      </w:r>
      <w:r>
        <w:rPr>
          <w:rFonts w:hint="eastAsia" w:ascii="MS UI Gothic" w:eastAsia="MS UI Gothic"/>
          <w:w w:val="80"/>
        </w:rPr>
        <w:t xml:space="preserve">ꎮ </w:t>
      </w:r>
      <w:r>
        <w:t>其边线与建筑物的水平距离</w:t>
      </w:r>
      <w:r>
        <w:rPr>
          <w:rFonts w:hint="eastAsia" w:ascii="MS UI Gothic" w:eastAsia="MS UI Gothic"/>
          <w:w w:val="80"/>
        </w:rPr>
        <w:t xml:space="preserve">ꎬ </w:t>
      </w:r>
      <w:r>
        <w:t>应当遵守下列规定</w:t>
      </w:r>
      <w:r>
        <w:rPr>
          <w:rFonts w:hint="eastAsia" w:ascii="MS UI Gothic" w:eastAsia="MS UI Gothic"/>
          <w:w w:val="230"/>
        </w:rPr>
        <w:t>:</w:t>
      </w:r>
    </w:p>
    <w:p>
      <w:pPr>
        <w:pStyle w:val="6"/>
        <w:spacing w:line="295" w:lineRule="auto"/>
        <w:ind w:left="118" w:right="38" w:firstLine="425"/>
        <w:rPr>
          <w:rFonts w:hint="eastAsia" w:ascii="MS UI Gothic" w:eastAsia="MS UI Gothic"/>
        </w:rPr>
      </w:pPr>
      <w:r>
        <w:rPr>
          <w:rFonts w:hint="eastAsia" w:ascii="MS UI Gothic" w:eastAsia="MS UI Gothic"/>
          <w:w w:val="145"/>
        </w:rPr>
        <w:t>(</w:t>
      </w:r>
      <w:r>
        <w:t>一</w:t>
      </w:r>
      <w:r>
        <w:rPr>
          <w:rFonts w:hint="eastAsia" w:ascii="MS UI Gothic" w:eastAsia="MS UI Gothic"/>
          <w:w w:val="145"/>
        </w:rPr>
        <w:t xml:space="preserve">) </w:t>
      </w:r>
      <w:r>
        <w:t xml:space="preserve">与 </w:t>
      </w:r>
      <w:r>
        <w:rPr>
          <w:rFonts w:hint="eastAsia" w:ascii="MS UI Gothic" w:eastAsia="MS UI Gothic"/>
          <w:w w:val="95"/>
        </w:rPr>
        <w:t xml:space="preserve">Ａ </w:t>
      </w:r>
      <w:r>
        <w:t xml:space="preserve">级和 </w:t>
      </w:r>
      <w:r>
        <w:rPr>
          <w:rFonts w:hint="eastAsia" w:ascii="MS UI Gothic" w:eastAsia="MS UI Gothic"/>
          <w:w w:val="95"/>
        </w:rPr>
        <w:t xml:space="preserve">Ｂ </w:t>
      </w:r>
      <w:r>
        <w:t>级建筑物的距离</w:t>
      </w:r>
      <w:r>
        <w:rPr>
          <w:rFonts w:hint="eastAsia" w:ascii="MS UI Gothic" w:eastAsia="MS UI Gothic"/>
          <w:w w:val="65"/>
        </w:rPr>
        <w:t>ꎬ</w:t>
      </w:r>
      <w:r>
        <w:t xml:space="preserve">不应小于电杆间距的 </w:t>
      </w:r>
      <w:r>
        <w:rPr>
          <w:rFonts w:hint="eastAsia" w:ascii="MS UI Gothic" w:eastAsia="MS UI Gothic"/>
          <w:w w:val="95"/>
        </w:rPr>
        <w:t xml:space="preserve">２ </w:t>
      </w:r>
      <w:r>
        <w:rPr>
          <w:rFonts w:hint="eastAsia" w:ascii="MS UI Gothic" w:eastAsia="MS UI Gothic"/>
          <w:w w:val="65"/>
        </w:rPr>
        <w:t xml:space="preserve">/ </w:t>
      </w:r>
      <w:r>
        <w:rPr>
          <w:rFonts w:hint="eastAsia" w:ascii="MS UI Gothic" w:eastAsia="MS UI Gothic"/>
          <w:w w:val="95"/>
        </w:rPr>
        <w:t xml:space="preserve">３ </w:t>
      </w:r>
      <w:r>
        <w:t>且不应小于</w:t>
      </w:r>
      <w:r>
        <w:rPr>
          <w:rFonts w:hint="eastAsia" w:ascii="MS UI Gothic" w:eastAsia="MS UI Gothic"/>
          <w:w w:val="95"/>
        </w:rPr>
        <w:t>３５ ｍ</w:t>
      </w:r>
      <w:r>
        <w:rPr>
          <w:rFonts w:hint="eastAsia" w:ascii="MS UI Gothic" w:eastAsia="MS UI Gothic"/>
          <w:w w:val="65"/>
        </w:rPr>
        <w:t xml:space="preserve">ꎻ </w:t>
      </w:r>
      <w:r>
        <w:t xml:space="preserve">与生产炸药的 </w:t>
      </w:r>
      <w:r>
        <w:rPr>
          <w:rFonts w:hint="eastAsia" w:ascii="MS UI Gothic" w:eastAsia="MS UI Gothic"/>
          <w:w w:val="95"/>
        </w:rPr>
        <w:t xml:space="preserve">Ａ </w:t>
      </w:r>
      <w:r>
        <w:t>级建筑物的距离</w:t>
      </w:r>
      <w:r>
        <w:rPr>
          <w:rFonts w:hint="eastAsia" w:ascii="MS UI Gothic" w:eastAsia="MS UI Gothic"/>
          <w:w w:val="65"/>
        </w:rPr>
        <w:t>ꎬ</w:t>
      </w:r>
      <w:r>
        <w:t xml:space="preserve">不应小于 </w:t>
      </w:r>
      <w:r>
        <w:rPr>
          <w:rFonts w:hint="eastAsia" w:ascii="MS UI Gothic" w:eastAsia="MS UI Gothic"/>
          <w:w w:val="95"/>
        </w:rPr>
        <w:t>５０ ｍ</w:t>
      </w:r>
      <w:r>
        <w:rPr>
          <w:rFonts w:hint="eastAsia" w:ascii="MS UI Gothic" w:eastAsia="MS UI Gothic"/>
          <w:w w:val="65"/>
        </w:rPr>
        <w:t>ꎮ</w:t>
      </w:r>
    </w:p>
    <w:p>
      <w:pPr>
        <w:pStyle w:val="6"/>
        <w:spacing w:line="295" w:lineRule="auto"/>
        <w:ind w:right="39"/>
        <w:rPr>
          <w:rFonts w:hint="eastAsia" w:ascii="MS UI Gothic" w:eastAsia="MS UI Gothic"/>
        </w:rPr>
      </w:pPr>
      <w:r>
        <w:rPr>
          <w:rFonts w:hint="eastAsia" w:ascii="MS UI Gothic" w:eastAsia="MS UI Gothic"/>
          <w:spacing w:val="-31"/>
          <w:w w:val="145"/>
        </w:rPr>
        <w:t xml:space="preserve">( </w:t>
      </w:r>
      <w:r>
        <w:rPr>
          <w:spacing w:val="3"/>
        </w:rPr>
        <w:t>二</w:t>
      </w:r>
      <w:r>
        <w:rPr>
          <w:rFonts w:hint="eastAsia" w:ascii="MS UI Gothic" w:eastAsia="MS UI Gothic"/>
          <w:spacing w:val="39"/>
          <w:w w:val="145"/>
        </w:rPr>
        <w:t xml:space="preserve">) </w:t>
      </w:r>
      <w:r>
        <w:rPr>
          <w:spacing w:val="-13"/>
        </w:rPr>
        <w:t xml:space="preserve">与 </w:t>
      </w:r>
      <w:r>
        <w:rPr>
          <w:rFonts w:hint="eastAsia" w:ascii="MS UI Gothic" w:eastAsia="MS UI Gothic"/>
          <w:spacing w:val="6"/>
        </w:rPr>
        <w:t xml:space="preserve">Ｄ </w:t>
      </w:r>
      <w:r>
        <w:rPr>
          <w:spacing w:val="3"/>
        </w:rPr>
        <w:t>级建筑物的距离不应小于</w:t>
      </w:r>
      <w:r>
        <w:rPr>
          <w:spacing w:val="-9"/>
        </w:rPr>
        <w:t xml:space="preserve">电杆高的 </w:t>
      </w:r>
      <w:r>
        <w:rPr>
          <w:rFonts w:hint="eastAsia" w:ascii="MS UI Gothic" w:eastAsia="MS UI Gothic"/>
          <w:w w:val="80"/>
        </w:rPr>
        <w:t xml:space="preserve">１ </w:t>
      </w:r>
      <w:r>
        <w:rPr>
          <w:rFonts w:hint="eastAsia" w:ascii="MS UI Gothic" w:eastAsia="MS UI Gothic"/>
          <w:spacing w:val="-3"/>
        </w:rPr>
        <w:t xml:space="preserve">５ </w:t>
      </w:r>
      <w:r>
        <w:rPr>
          <w:spacing w:val="3"/>
        </w:rPr>
        <w:t>倍</w:t>
      </w:r>
      <w:r>
        <w:rPr>
          <w:rFonts w:hint="eastAsia" w:ascii="MS UI Gothic" w:eastAsia="MS UI Gothic"/>
          <w:w w:val="80"/>
        </w:rPr>
        <w:t>ꎮ</w:t>
      </w:r>
    </w:p>
    <w:p>
      <w:pPr>
        <w:pStyle w:val="6"/>
        <w:spacing w:line="295" w:lineRule="auto"/>
        <w:ind w:left="118" w:right="39" w:firstLine="425"/>
        <w:rPr>
          <w:rFonts w:hint="eastAsia" w:ascii="MS UI Gothic" w:eastAsia="MS UI Gothic"/>
        </w:rPr>
      </w:pPr>
      <w:r>
        <w:rPr>
          <w:spacing w:val="19"/>
        </w:rPr>
        <w:t xml:space="preserve">第六百二十五条 变 </w:t>
      </w:r>
      <w:r>
        <w:rPr>
          <w:rFonts w:hint="eastAsia" w:ascii="MS UI Gothic" w:eastAsia="MS UI Gothic"/>
          <w:spacing w:val="-24"/>
          <w:w w:val="140"/>
        </w:rPr>
        <w:t xml:space="preserve">( </w:t>
      </w:r>
      <w:r>
        <w:rPr>
          <w:spacing w:val="15"/>
        </w:rPr>
        <w:t>配</w:t>
      </w:r>
      <w:r>
        <w:rPr>
          <w:rFonts w:hint="eastAsia" w:ascii="MS UI Gothic" w:eastAsia="MS UI Gothic"/>
          <w:spacing w:val="38"/>
          <w:w w:val="140"/>
        </w:rPr>
        <w:t xml:space="preserve">) </w:t>
      </w:r>
      <w:r>
        <w:rPr>
          <w:spacing w:val="12"/>
        </w:rPr>
        <w:t>电所至</w:t>
      </w:r>
      <w:r>
        <w:rPr>
          <w:spacing w:val="21"/>
        </w:rPr>
        <w:t xml:space="preserve">有爆炸危险的工房 </w:t>
      </w:r>
      <w:r>
        <w:rPr>
          <w:rFonts w:hint="eastAsia" w:ascii="MS UI Gothic" w:eastAsia="MS UI Gothic"/>
          <w:spacing w:val="-26"/>
          <w:w w:val="140"/>
        </w:rPr>
        <w:t xml:space="preserve">( </w:t>
      </w:r>
      <w:r>
        <w:rPr>
          <w:spacing w:val="25"/>
        </w:rPr>
        <w:t>库房</w:t>
      </w:r>
      <w:r>
        <w:rPr>
          <w:rFonts w:hint="eastAsia" w:ascii="MS UI Gothic" w:eastAsia="MS UI Gothic"/>
          <w:spacing w:val="26"/>
          <w:w w:val="140"/>
        </w:rPr>
        <w:t xml:space="preserve">) </w:t>
      </w:r>
      <w:r>
        <w:rPr>
          <w:spacing w:val="-8"/>
        </w:rPr>
        <w:t xml:space="preserve">的 </w:t>
      </w:r>
      <w:r>
        <w:rPr>
          <w:rFonts w:hint="eastAsia" w:ascii="MS UI Gothic" w:eastAsia="MS UI Gothic"/>
          <w:spacing w:val="2"/>
          <w:w w:val="95"/>
        </w:rPr>
        <w:t xml:space="preserve">３８０ Ｖ </w:t>
      </w:r>
      <w:r>
        <w:rPr>
          <w:rFonts w:hint="eastAsia" w:ascii="MS UI Gothic" w:eastAsia="MS UI Gothic"/>
          <w:w w:val="75"/>
        </w:rPr>
        <w:t xml:space="preserve">/ </w:t>
      </w:r>
      <w:r>
        <w:rPr>
          <w:rFonts w:hint="eastAsia" w:ascii="MS UI Gothic" w:eastAsia="MS UI Gothic"/>
          <w:w w:val="95"/>
        </w:rPr>
        <w:t xml:space="preserve">２２０ Ｖ </w:t>
      </w:r>
      <w:r>
        <w:rPr>
          <w:spacing w:val="3"/>
        </w:rPr>
        <w:t>级配电线路</w:t>
      </w:r>
      <w:r>
        <w:rPr>
          <w:rFonts w:hint="eastAsia" w:ascii="MS UI Gothic" w:eastAsia="MS UI Gothic"/>
          <w:spacing w:val="21"/>
          <w:w w:val="75"/>
        </w:rPr>
        <w:t xml:space="preserve">ꎬ </w:t>
      </w:r>
      <w:r>
        <w:rPr>
          <w:spacing w:val="5"/>
        </w:rPr>
        <w:t>必须采用金属铠装交</w:t>
      </w:r>
      <w:r>
        <w:rPr>
          <w:spacing w:val="3"/>
        </w:rPr>
        <w:t>联电缆</w:t>
      </w:r>
      <w:r>
        <w:rPr>
          <w:rFonts w:hint="eastAsia" w:ascii="MS UI Gothic" w:eastAsia="MS UI Gothic"/>
          <w:spacing w:val="15"/>
          <w:w w:val="75"/>
        </w:rPr>
        <w:t xml:space="preserve">ꎬ </w:t>
      </w:r>
      <w:r>
        <w:rPr>
          <w:spacing w:val="-2"/>
        </w:rPr>
        <w:t xml:space="preserve">其额定电压不低于 </w:t>
      </w:r>
      <w:r>
        <w:rPr>
          <w:rFonts w:hint="eastAsia" w:ascii="MS UI Gothic" w:eastAsia="MS UI Gothic"/>
          <w:w w:val="95"/>
        </w:rPr>
        <w:t>５００ Ｖ</w:t>
      </w:r>
      <w:r>
        <w:rPr>
          <w:rFonts w:hint="eastAsia" w:ascii="MS UI Gothic" w:eastAsia="MS UI Gothic"/>
          <w:spacing w:val="17"/>
          <w:w w:val="75"/>
        </w:rPr>
        <w:t xml:space="preserve">ꎬ </w:t>
      </w:r>
      <w:r>
        <w:rPr>
          <w:spacing w:val="5"/>
        </w:rPr>
        <w:t>中性</w:t>
      </w:r>
      <w:r>
        <w:rPr>
          <w:spacing w:val="27"/>
        </w:rPr>
        <w:t>线的额定电压与相线相同</w:t>
      </w:r>
      <w:r>
        <w:rPr>
          <w:rFonts w:hint="eastAsia" w:ascii="MS UI Gothic" w:eastAsia="MS UI Gothic"/>
          <w:spacing w:val="11"/>
          <w:w w:val="75"/>
        </w:rPr>
        <w:t xml:space="preserve">ꎬ </w:t>
      </w:r>
      <w:r>
        <w:rPr>
          <w:spacing w:val="27"/>
        </w:rPr>
        <w:t>并在地下</w:t>
      </w:r>
      <w:r>
        <w:rPr>
          <w:spacing w:val="3"/>
        </w:rPr>
        <w:t>敷设</w:t>
      </w:r>
      <w:r>
        <w:rPr>
          <w:rFonts w:hint="eastAsia" w:ascii="MS UI Gothic" w:eastAsia="MS UI Gothic"/>
          <w:w w:val="75"/>
        </w:rPr>
        <w:t>ꎮ</w:t>
      </w:r>
    </w:p>
    <w:p>
      <w:pPr>
        <w:pStyle w:val="6"/>
        <w:spacing w:before="123" w:line="295" w:lineRule="auto"/>
        <w:ind w:right="440"/>
        <w:rPr>
          <w:rFonts w:hint="eastAsia" w:ascii="MS UI Gothic" w:hAnsi="MS UI Gothic" w:eastAsia="MS UI Gothic"/>
        </w:rPr>
      </w:pPr>
      <w:r>
        <w:br w:type="column"/>
      </w:r>
      <w:r>
        <w:t xml:space="preserve">电缆埋地长度不应小于 </w:t>
      </w:r>
      <w:r>
        <w:rPr>
          <w:rFonts w:hint="eastAsia" w:ascii="MS UI Gothic" w:hAnsi="MS UI Gothic" w:eastAsia="MS UI Gothic"/>
          <w:w w:val="85"/>
        </w:rPr>
        <w:t xml:space="preserve">１５ </w:t>
      </w:r>
      <w:r>
        <w:rPr>
          <w:rFonts w:hint="eastAsia" w:ascii="MS UI Gothic" w:hAnsi="MS UI Gothic" w:eastAsia="MS UI Gothic"/>
        </w:rPr>
        <w:t>ｍ</w:t>
      </w:r>
      <w:r>
        <w:rPr>
          <w:rFonts w:hint="eastAsia" w:ascii="MS UI Gothic" w:hAnsi="MS UI Gothic" w:eastAsia="MS UI Gothic"/>
          <w:w w:val="85"/>
        </w:rPr>
        <w:t xml:space="preserve">ꎮ </w:t>
      </w:r>
      <w:r>
        <w:t>电缆的入户端金属外皮或者装电缆的钢管应当接地</w:t>
      </w:r>
      <w:r>
        <w:rPr>
          <w:rFonts w:hint="eastAsia" w:ascii="MS UI Gothic" w:hAnsi="MS UI Gothic" w:eastAsia="MS UI Gothic"/>
          <w:w w:val="85"/>
        </w:rPr>
        <w:t xml:space="preserve">ꎮ </w:t>
      </w:r>
      <w:r>
        <w:t>在电缆与架空线的连接处应当装设防雷电装置</w:t>
      </w:r>
      <w:r>
        <w:rPr>
          <w:rFonts w:hint="eastAsia" w:ascii="MS UI Gothic" w:hAnsi="MS UI Gothic" w:eastAsia="MS UI Gothic"/>
          <w:w w:val="85"/>
        </w:rPr>
        <w:t xml:space="preserve">ꎮ </w:t>
      </w:r>
      <w:r>
        <w:t>防雷电装置与电缆金属外皮</w:t>
      </w:r>
      <w:r>
        <w:rPr>
          <w:rFonts w:hint="eastAsia" w:ascii="MS UI Gothic" w:hAnsi="MS UI Gothic" w:eastAsia="MS UI Gothic"/>
        </w:rPr>
        <w:t xml:space="preserve">、 </w:t>
      </w:r>
      <w:r>
        <w:t>钢管</w:t>
      </w:r>
      <w:r>
        <w:rPr>
          <w:rFonts w:hint="eastAsia" w:ascii="MS UI Gothic" w:hAnsi="MS UI Gothic" w:eastAsia="MS UI Gothic"/>
        </w:rPr>
        <w:t xml:space="preserve">、 </w:t>
      </w:r>
      <w:r>
        <w:t>绝缘铁脚应当并联一起接地</w:t>
      </w:r>
      <w:r>
        <w:rPr>
          <w:rFonts w:hint="eastAsia" w:ascii="MS UI Gothic" w:hAnsi="MS UI Gothic" w:eastAsia="MS UI Gothic"/>
          <w:w w:val="85"/>
        </w:rPr>
        <w:t>ꎬ</w:t>
      </w:r>
      <w:r>
        <w:t xml:space="preserve">其接地电阻不应大于 </w:t>
      </w:r>
      <w:r>
        <w:rPr>
          <w:rFonts w:hint="eastAsia" w:ascii="MS UI Gothic" w:hAnsi="MS UI Gothic" w:eastAsia="MS UI Gothic"/>
          <w:w w:val="85"/>
        </w:rPr>
        <w:t xml:space="preserve">１０ </w:t>
      </w:r>
      <w:r>
        <w:rPr>
          <w:rFonts w:hint="eastAsia" w:ascii="MS UI Gothic" w:hAnsi="MS UI Gothic" w:eastAsia="MS UI Gothic"/>
        </w:rPr>
        <w:t>Ω</w:t>
      </w:r>
      <w:r>
        <w:rPr>
          <w:rFonts w:hint="eastAsia" w:ascii="MS UI Gothic" w:hAnsi="MS UI Gothic" w:eastAsia="MS UI Gothic"/>
          <w:w w:val="85"/>
        </w:rPr>
        <w:t>ꎮ</w:t>
      </w:r>
    </w:p>
    <w:p>
      <w:pPr>
        <w:pStyle w:val="6"/>
        <w:spacing w:line="251" w:lineRule="exact"/>
        <w:ind w:left="543" w:firstLine="0"/>
        <w:rPr>
          <w:rFonts w:hint="eastAsia" w:ascii="MS UI Gothic" w:hAnsi="MS UI Gothic" w:eastAsia="MS UI Gothic"/>
        </w:rPr>
      </w:pPr>
      <w:r>
        <w:rPr>
          <w:spacing w:val="2"/>
          <w:w w:val="102"/>
        </w:rPr>
        <w:t>低压配电应当采用</w:t>
      </w:r>
      <w:r>
        <w:rPr>
          <w:spacing w:val="-44"/>
        </w:rPr>
        <w:t xml:space="preserve"> </w:t>
      </w:r>
      <w:r>
        <w:rPr>
          <w:rFonts w:hint="eastAsia" w:ascii="MS UI Gothic" w:hAnsi="MS UI Gothic" w:eastAsia="MS UI Gothic"/>
          <w:spacing w:val="-2"/>
          <w:w w:val="92"/>
        </w:rPr>
        <w:t>Ｔ</w:t>
      </w:r>
      <w:r>
        <w:rPr>
          <w:rFonts w:hint="eastAsia" w:ascii="MS UI Gothic" w:hAnsi="MS UI Gothic" w:eastAsia="MS UI Gothic"/>
          <w:spacing w:val="4"/>
          <w:w w:val="89"/>
        </w:rPr>
        <w:t>Ｎ</w:t>
      </w:r>
      <w:r>
        <w:rPr>
          <w:rFonts w:hint="eastAsia" w:ascii="MS UI Gothic" w:hAnsi="MS UI Gothic" w:eastAsia="MS UI Gothic"/>
          <w:spacing w:val="3"/>
          <w:w w:val="153"/>
        </w:rPr>
        <w:t>—</w:t>
      </w:r>
      <w:r>
        <w:rPr>
          <w:rFonts w:hint="eastAsia" w:ascii="MS UI Gothic" w:hAnsi="MS UI Gothic" w:eastAsia="MS UI Gothic"/>
          <w:w w:val="69"/>
        </w:rPr>
        <w:t>Ｓ</w:t>
      </w:r>
      <w:r>
        <w:rPr>
          <w:rFonts w:hint="eastAsia" w:ascii="MS UI Gothic" w:hAnsi="MS UI Gothic" w:eastAsia="MS UI Gothic"/>
          <w:spacing w:val="-3"/>
        </w:rPr>
        <w:t xml:space="preserve"> </w:t>
      </w:r>
      <w:r>
        <w:rPr>
          <w:spacing w:val="3"/>
          <w:w w:val="102"/>
        </w:rPr>
        <w:t>系统</w:t>
      </w:r>
      <w:r>
        <w:rPr>
          <w:rFonts w:hint="eastAsia" w:ascii="MS UI Gothic" w:hAnsi="MS UI Gothic" w:eastAsia="MS UI Gothic"/>
          <w:w w:val="51"/>
        </w:rPr>
        <w:t>ꎮ</w:t>
      </w:r>
    </w:p>
    <w:p>
      <w:pPr>
        <w:pStyle w:val="6"/>
        <w:spacing w:before="58" w:line="295" w:lineRule="auto"/>
        <w:ind w:left="118" w:right="442" w:firstLine="425"/>
        <w:rPr>
          <w:rFonts w:hint="eastAsia" w:ascii="MS UI Gothic" w:hAnsi="MS UI Gothic" w:eastAsia="MS UI Gothic"/>
        </w:rPr>
      </w:pPr>
      <w:r>
        <w:rPr>
          <w:w w:val="95"/>
        </w:rPr>
        <w:t>第六百二十六条   有爆炸危险场所中的金属设备</w:t>
      </w:r>
      <w:r>
        <w:rPr>
          <w:rFonts w:hint="eastAsia" w:ascii="MS UI Gothic" w:hAnsi="MS UI Gothic" w:eastAsia="MS UI Gothic"/>
          <w:w w:val="95"/>
        </w:rPr>
        <w:t xml:space="preserve">、 </w:t>
      </w:r>
      <w:r>
        <w:rPr>
          <w:w w:val="95"/>
        </w:rPr>
        <w:t>管道和其他导电物体</w:t>
      </w:r>
      <w:r>
        <w:rPr>
          <w:rFonts w:hint="eastAsia" w:ascii="MS UI Gothic" w:hAnsi="MS UI Gothic" w:eastAsia="MS UI Gothic"/>
          <w:w w:val="90"/>
        </w:rPr>
        <w:t xml:space="preserve">ꎬ  </w:t>
      </w:r>
      <w:r>
        <w:rPr>
          <w:w w:val="95"/>
        </w:rPr>
        <w:t>均应当接地</w:t>
      </w:r>
      <w:r>
        <w:rPr>
          <w:rFonts w:hint="eastAsia" w:ascii="MS UI Gothic" w:hAnsi="MS UI Gothic" w:eastAsia="MS UI Gothic"/>
          <w:w w:val="90"/>
        </w:rPr>
        <w:t xml:space="preserve">ꎬ </w:t>
      </w:r>
      <w:r>
        <w:rPr>
          <w:w w:val="95"/>
        </w:rPr>
        <w:t>其防静电的接地电阻不得大于</w:t>
      </w:r>
      <w:r>
        <w:rPr>
          <w:rFonts w:hint="eastAsia" w:ascii="MS UI Gothic" w:hAnsi="MS UI Gothic" w:eastAsia="MS UI Gothic"/>
          <w:w w:val="95"/>
        </w:rPr>
        <w:t>１００ Ω</w:t>
      </w:r>
      <w:r>
        <w:rPr>
          <w:rFonts w:hint="eastAsia" w:ascii="MS UI Gothic" w:hAnsi="MS UI Gothic" w:eastAsia="MS UI Gothic"/>
          <w:w w:val="90"/>
        </w:rPr>
        <w:t xml:space="preserve">ꎮ </w:t>
      </w:r>
      <w:r>
        <w:rPr>
          <w:w w:val="95"/>
        </w:rPr>
        <w:t>该接地装置与电气设备的</w:t>
      </w:r>
      <w:r>
        <w:rPr>
          <w:rFonts w:hint="eastAsia" w:ascii="MS UI Gothic" w:hAnsi="MS UI Gothic" w:eastAsia="MS UI Gothic"/>
          <w:w w:val="95"/>
        </w:rPr>
        <w:t xml:space="preserve">、 </w:t>
      </w:r>
      <w:r>
        <w:rPr>
          <w:w w:val="95"/>
        </w:rPr>
        <w:t>防雷电的接地装置共用</w:t>
      </w:r>
      <w:r>
        <w:rPr>
          <w:rFonts w:hint="eastAsia" w:ascii="MS UI Gothic" w:hAnsi="MS UI Gothic" w:eastAsia="MS UI Gothic"/>
          <w:w w:val="90"/>
        </w:rPr>
        <w:t xml:space="preserve">ꎬ  </w:t>
      </w:r>
      <w:r>
        <w:rPr>
          <w:w w:val="95"/>
        </w:rPr>
        <w:t>此时接地电阻值取其中最小值</w:t>
      </w:r>
      <w:r>
        <w:rPr>
          <w:rFonts w:hint="eastAsia" w:ascii="MS UI Gothic" w:hAnsi="MS UI Gothic" w:eastAsia="MS UI Gothic"/>
          <w:w w:val="90"/>
        </w:rPr>
        <w:t xml:space="preserve">ꎮ </w:t>
      </w:r>
      <w:r>
        <w:rPr>
          <w:w w:val="95"/>
        </w:rPr>
        <w:t>根据具体情况</w:t>
      </w:r>
      <w:r>
        <w:rPr>
          <w:rFonts w:hint="eastAsia" w:ascii="MS UI Gothic" w:hAnsi="MS UI Gothic" w:eastAsia="MS UI Gothic"/>
          <w:w w:val="90"/>
        </w:rPr>
        <w:t xml:space="preserve">ꎬ </w:t>
      </w:r>
      <w:r>
        <w:rPr>
          <w:w w:val="95"/>
        </w:rPr>
        <w:t>还应当采用其他的防静电措施</w:t>
      </w:r>
      <w:r>
        <w:rPr>
          <w:rFonts w:hint="eastAsia" w:ascii="MS UI Gothic" w:hAnsi="MS UI Gothic" w:eastAsia="MS UI Gothic"/>
          <w:w w:val="90"/>
        </w:rPr>
        <w:t>ꎮ</w:t>
      </w:r>
    </w:p>
    <w:p>
      <w:pPr>
        <w:pStyle w:val="6"/>
        <w:tabs>
          <w:tab w:val="left" w:pos="1906"/>
        </w:tabs>
        <w:spacing w:before="152"/>
        <w:ind w:left="1067" w:firstLine="0"/>
        <w:jc w:val="left"/>
      </w:pPr>
      <w:r>
        <w:rPr>
          <w:spacing w:val="3"/>
          <w:w w:val="105"/>
        </w:rPr>
        <w:t>第七</w:t>
      </w:r>
      <w:r>
        <w:rPr>
          <w:w w:val="105"/>
        </w:rPr>
        <w:t>节</w:t>
      </w:r>
      <w:r>
        <w:rPr>
          <w:w w:val="105"/>
        </w:rPr>
        <w:tab/>
      </w:r>
      <w:r>
        <w:rPr>
          <w:spacing w:val="3"/>
          <w:w w:val="105"/>
        </w:rPr>
        <w:t>照明和通</w:t>
      </w:r>
      <w:r>
        <w:rPr>
          <w:w w:val="105"/>
        </w:rPr>
        <w:t>信</w:t>
      </w:r>
    </w:p>
    <w:p>
      <w:pPr>
        <w:pStyle w:val="6"/>
        <w:spacing w:before="10"/>
        <w:ind w:left="0" w:firstLine="0"/>
        <w:jc w:val="left"/>
        <w:rPr>
          <w:sz w:val="16"/>
        </w:rPr>
      </w:pPr>
    </w:p>
    <w:p>
      <w:pPr>
        <w:pStyle w:val="6"/>
        <w:spacing w:line="295" w:lineRule="auto"/>
        <w:ind w:right="442"/>
        <w:rPr>
          <w:rFonts w:hint="eastAsia" w:ascii="MS UI Gothic" w:eastAsia="MS UI Gothic"/>
        </w:rPr>
      </w:pPr>
      <w:r>
        <w:rPr>
          <w:w w:val="95"/>
        </w:rPr>
        <w:t xml:space="preserve">第六百二十七条   固定式照明灯具使用的电压不得超过 </w:t>
      </w:r>
      <w:r>
        <w:rPr>
          <w:rFonts w:hint="eastAsia" w:ascii="MS UI Gothic" w:eastAsia="MS UI Gothic"/>
          <w:w w:val="95"/>
        </w:rPr>
        <w:t>２２０ Ｖ</w:t>
      </w:r>
      <w:r>
        <w:rPr>
          <w:rFonts w:hint="eastAsia" w:ascii="MS UI Gothic" w:eastAsia="MS UI Gothic"/>
          <w:w w:val="90"/>
        </w:rPr>
        <w:t xml:space="preserve">ꎬ </w:t>
      </w:r>
      <w:r>
        <w:rPr>
          <w:w w:val="95"/>
        </w:rPr>
        <w:t xml:space="preserve">手灯或者移动式照明灯具的电压应当小于 </w:t>
      </w:r>
      <w:r>
        <w:rPr>
          <w:rFonts w:hint="eastAsia" w:ascii="MS UI Gothic" w:eastAsia="MS UI Gothic"/>
          <w:w w:val="95"/>
        </w:rPr>
        <w:t>３６ Ｖ</w:t>
      </w:r>
      <w:r>
        <w:rPr>
          <w:rFonts w:hint="eastAsia" w:ascii="MS UI Gothic" w:eastAsia="MS UI Gothic"/>
          <w:w w:val="90"/>
        </w:rPr>
        <w:t xml:space="preserve">ꎬ </w:t>
      </w:r>
      <w:r>
        <w:rPr>
          <w:w w:val="95"/>
        </w:rPr>
        <w:t xml:space="preserve">在金属容器内作业用的照明灯具的电压不得超  过 </w:t>
      </w:r>
      <w:r>
        <w:rPr>
          <w:rFonts w:hint="eastAsia" w:ascii="MS UI Gothic" w:eastAsia="MS UI Gothic"/>
          <w:w w:val="95"/>
        </w:rPr>
        <w:t>２４ Ｖ</w:t>
      </w:r>
      <w:r>
        <w:rPr>
          <w:rFonts w:hint="eastAsia" w:ascii="MS UI Gothic" w:eastAsia="MS UI Gothic"/>
          <w:w w:val="90"/>
        </w:rPr>
        <w:t>ꎮ</w:t>
      </w:r>
    </w:p>
    <w:p>
      <w:pPr>
        <w:pStyle w:val="6"/>
        <w:spacing w:line="295" w:lineRule="auto"/>
        <w:ind w:right="442"/>
        <w:rPr>
          <w:rFonts w:hint="eastAsia" w:ascii="MS UI Gothic" w:eastAsia="MS UI Gothic"/>
        </w:rPr>
      </w:pPr>
      <w:r>
        <w:t>在同一地点安装不同照明电压等级的电源插座时</w:t>
      </w:r>
      <w:r>
        <w:rPr>
          <w:rFonts w:hint="eastAsia" w:ascii="MS UI Gothic" w:eastAsia="MS UI Gothic"/>
          <w:w w:val="80"/>
        </w:rPr>
        <w:t xml:space="preserve">ꎬ </w:t>
      </w:r>
      <w:r>
        <w:t>应当有明显区别标志</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第六百二十八条 必须配置能够覆盖</w:t>
      </w:r>
      <w:r>
        <w:rPr>
          <w:spacing w:val="3"/>
        </w:rPr>
        <w:t>整个开采范围的无线对讲系统</w:t>
      </w:r>
      <w:r>
        <w:rPr>
          <w:rFonts w:hint="eastAsia" w:ascii="MS UI Gothic" w:eastAsia="MS UI Gothic"/>
          <w:spacing w:val="20"/>
          <w:w w:val="80"/>
        </w:rPr>
        <w:t xml:space="preserve">ꎬ </w:t>
      </w:r>
      <w:r>
        <w:rPr>
          <w:spacing w:val="2"/>
        </w:rPr>
        <w:t>有基站的</w:t>
      </w:r>
      <w:r>
        <w:rPr>
          <w:spacing w:val="3"/>
        </w:rPr>
        <w:t>必须配备不间断电源</w:t>
      </w:r>
      <w:r>
        <w:rPr>
          <w:rFonts w:hint="eastAsia" w:ascii="MS UI Gothic" w:eastAsia="MS UI Gothic"/>
          <w:spacing w:val="20"/>
          <w:w w:val="80"/>
        </w:rPr>
        <w:t xml:space="preserve">ꎬ </w:t>
      </w:r>
      <w:r>
        <w:rPr>
          <w:spacing w:val="2"/>
        </w:rPr>
        <w:t>同时配置其他的有</w:t>
      </w:r>
      <w:r>
        <w:rPr>
          <w:spacing w:val="3"/>
        </w:rPr>
        <w:t>线或者无线应急通信系统</w:t>
      </w:r>
      <w:r>
        <w:rPr>
          <w:rFonts w:hint="eastAsia" w:ascii="MS UI Gothic" w:eastAsia="MS UI Gothic"/>
          <w:spacing w:val="20"/>
          <w:w w:val="80"/>
        </w:rPr>
        <w:t xml:space="preserve">ꎻ </w:t>
      </w:r>
      <w:r>
        <w:rPr>
          <w:spacing w:val="2"/>
        </w:rPr>
        <w:t>调度室与附近</w:t>
      </w:r>
      <w:r>
        <w:rPr>
          <w:spacing w:val="3"/>
          <w:w w:val="105"/>
        </w:rPr>
        <w:t>急救中心</w:t>
      </w:r>
      <w:r>
        <w:rPr>
          <w:rFonts w:hint="eastAsia" w:ascii="MS UI Gothic" w:eastAsia="MS UI Gothic"/>
          <w:spacing w:val="11"/>
          <w:w w:val="80"/>
        </w:rPr>
        <w:t xml:space="preserve">、 </w:t>
      </w:r>
      <w:r>
        <w:rPr>
          <w:spacing w:val="3"/>
          <w:w w:val="105"/>
        </w:rPr>
        <w:t>消防机构</w:t>
      </w:r>
      <w:r>
        <w:rPr>
          <w:rFonts w:hint="eastAsia" w:ascii="MS UI Gothic" w:eastAsia="MS UI Gothic"/>
          <w:spacing w:val="12"/>
          <w:w w:val="80"/>
        </w:rPr>
        <w:t xml:space="preserve">、 </w:t>
      </w:r>
      <w:r>
        <w:rPr>
          <w:spacing w:val="2"/>
          <w:w w:val="105"/>
        </w:rPr>
        <w:t>上级生产指挥中心</w:t>
      </w:r>
      <w:r>
        <w:rPr>
          <w:spacing w:val="3"/>
          <w:w w:val="105"/>
        </w:rPr>
        <w:t>的通信联系必须装设有线电话</w:t>
      </w:r>
      <w:r>
        <w:rPr>
          <w:rFonts w:hint="eastAsia" w:ascii="MS UI Gothic" w:eastAsia="MS UI Gothic"/>
          <w:w w:val="80"/>
        </w:rPr>
        <w:t>ꎮ</w:t>
      </w:r>
    </w:p>
    <w:p>
      <w:pPr>
        <w:pStyle w:val="6"/>
        <w:tabs>
          <w:tab w:val="left" w:pos="1906"/>
        </w:tabs>
        <w:spacing w:before="147"/>
        <w:ind w:left="1067" w:firstLine="0"/>
        <w:jc w:val="left"/>
      </w:pPr>
      <w:r>
        <w:rPr>
          <w:spacing w:val="3"/>
          <w:w w:val="105"/>
        </w:rPr>
        <w:t>第九</w:t>
      </w:r>
      <w:r>
        <w:rPr>
          <w:w w:val="105"/>
        </w:rPr>
        <w:t>章</w:t>
      </w:r>
      <w:r>
        <w:rPr>
          <w:w w:val="105"/>
        </w:rPr>
        <w:tab/>
      </w:r>
      <w:r>
        <w:rPr>
          <w:w w:val="105"/>
        </w:rPr>
        <w:t>设</w:t>
      </w:r>
      <w:r>
        <w:rPr>
          <w:spacing w:val="-38"/>
          <w:w w:val="105"/>
        </w:rPr>
        <w:t xml:space="preserve"> </w:t>
      </w:r>
      <w:r>
        <w:rPr>
          <w:w w:val="105"/>
        </w:rPr>
        <w:t>备</w:t>
      </w:r>
      <w:r>
        <w:rPr>
          <w:spacing w:val="-38"/>
          <w:w w:val="105"/>
        </w:rPr>
        <w:t xml:space="preserve"> </w:t>
      </w:r>
      <w:r>
        <w:rPr>
          <w:w w:val="105"/>
        </w:rPr>
        <w:t>检</w:t>
      </w:r>
      <w:r>
        <w:rPr>
          <w:spacing w:val="-38"/>
          <w:w w:val="105"/>
        </w:rPr>
        <w:t xml:space="preserve"> </w:t>
      </w:r>
      <w:r>
        <w:rPr>
          <w:w w:val="105"/>
        </w:rPr>
        <w:t>修</w:t>
      </w:r>
    </w:p>
    <w:p>
      <w:pPr>
        <w:pStyle w:val="6"/>
        <w:spacing w:before="215" w:line="295" w:lineRule="auto"/>
        <w:ind w:right="442"/>
        <w:rPr>
          <w:rFonts w:hint="eastAsia" w:ascii="MS UI Gothic" w:eastAsia="MS UI Gothic"/>
        </w:rPr>
      </w:pPr>
      <w:r>
        <w:t>第六百二十九条 检修前</w:t>
      </w:r>
      <w:r>
        <w:rPr>
          <w:rFonts w:hint="eastAsia" w:ascii="MS UI Gothic" w:eastAsia="MS UI Gothic"/>
          <w:w w:val="80"/>
        </w:rPr>
        <w:t xml:space="preserve">ꎬ </w:t>
      </w:r>
      <w:r>
        <w:t>应当选择坚实平坦的地面停放</w:t>
      </w:r>
      <w:r>
        <w:rPr>
          <w:rFonts w:hint="eastAsia" w:ascii="MS UI Gothic" w:eastAsia="MS UI Gothic"/>
          <w:w w:val="80"/>
        </w:rPr>
        <w:t xml:space="preserve">ꎬ </w:t>
      </w:r>
      <w:r>
        <w:t>因故障不能移动的设备应当采取防止溜车措施</w:t>
      </w:r>
      <w:r>
        <w:rPr>
          <w:rFonts w:hint="eastAsia" w:ascii="MS UI Gothic" w:eastAsia="MS UI Gothic"/>
          <w:w w:val="80"/>
        </w:rPr>
        <w:t xml:space="preserve">ꎬ </w:t>
      </w:r>
      <w:r>
        <w:t>轮式设备必须安放止轮器</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第六百三十条 检修作业必须遵守下</w:t>
      </w:r>
      <w:r>
        <w:rPr>
          <w:w w:val="115"/>
        </w:rPr>
        <w:t>列规定</w:t>
      </w:r>
      <w:r>
        <w:rPr>
          <w:rFonts w:hint="eastAsia" w:ascii="MS UI Gothic" w:eastAsia="MS UI Gothic"/>
          <w:w w:val="235"/>
        </w:rPr>
        <w:t>:</w:t>
      </w:r>
    </w:p>
    <w:p>
      <w:pPr>
        <w:pStyle w:val="6"/>
        <w:spacing w:line="295" w:lineRule="auto"/>
        <w:ind w:right="442"/>
        <w:rPr>
          <w:rFonts w:hint="eastAsia" w:ascii="MS UI Gothic" w:hAnsi="MS UI Gothic" w:eastAsia="MS UI Gothic"/>
        </w:rPr>
      </w:pPr>
      <w:r>
        <w:rPr>
          <w:rFonts w:hint="eastAsia" w:ascii="MS UI Gothic" w:hAnsi="MS UI Gothic" w:eastAsia="MS UI Gothic"/>
          <w:w w:val="150"/>
        </w:rPr>
        <w:t xml:space="preserve">( </w:t>
      </w:r>
      <w:r>
        <w:rPr>
          <w:w w:val="105"/>
        </w:rPr>
        <w:t>一</w:t>
      </w:r>
      <w:r>
        <w:rPr>
          <w:rFonts w:hint="eastAsia" w:ascii="MS UI Gothic" w:hAnsi="MS UI Gothic" w:eastAsia="MS UI Gothic"/>
          <w:w w:val="150"/>
        </w:rPr>
        <w:t xml:space="preserve">) </w:t>
      </w:r>
      <w:r>
        <w:rPr>
          <w:w w:val="105"/>
        </w:rPr>
        <w:t>检修时必须执行挂牌制度</w:t>
      </w:r>
      <w:r>
        <w:rPr>
          <w:rFonts w:hint="eastAsia" w:ascii="MS UI Gothic" w:hAnsi="MS UI Gothic" w:eastAsia="MS UI Gothic"/>
          <w:w w:val="80"/>
        </w:rPr>
        <w:t xml:space="preserve">ꎬ </w:t>
      </w:r>
      <w:r>
        <w:rPr>
          <w:w w:val="105"/>
        </w:rPr>
        <w:t xml:space="preserve">在控制位置悬挂 </w:t>
      </w:r>
      <w:r>
        <w:rPr>
          <w:rFonts w:hint="eastAsia" w:ascii="MS UI Gothic" w:hAnsi="MS UI Gothic" w:eastAsia="MS UI Gothic"/>
          <w:w w:val="105"/>
        </w:rPr>
        <w:t xml:space="preserve">“ </w:t>
      </w:r>
      <w:r>
        <w:rPr>
          <w:w w:val="105"/>
        </w:rPr>
        <w:t>正在检修</w:t>
      </w:r>
      <w:r>
        <w:rPr>
          <w:rFonts w:hint="eastAsia" w:ascii="MS UI Gothic" w:hAnsi="MS UI Gothic" w:eastAsia="MS UI Gothic"/>
          <w:w w:val="80"/>
        </w:rPr>
        <w:t xml:space="preserve">ꎬ </w:t>
      </w:r>
      <w:r>
        <w:rPr>
          <w:w w:val="105"/>
        </w:rPr>
        <w:t>严禁启动</w:t>
      </w:r>
      <w:r>
        <w:rPr>
          <w:rFonts w:hint="eastAsia" w:ascii="MS UI Gothic" w:hAnsi="MS UI Gothic" w:eastAsia="MS UI Gothic"/>
          <w:w w:val="105"/>
        </w:rPr>
        <w:t>”</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8"/>
        <w:ind w:left="0" w:firstLine="0"/>
        <w:jc w:val="left"/>
        <w:rPr>
          <w:rFonts w:ascii="MS UI Gothic"/>
          <w:sz w:val="55"/>
        </w:rPr>
      </w:pPr>
    </w:p>
    <w:p>
      <w:pPr>
        <w:pStyle w:val="6"/>
        <w:spacing w:line="240" w:lineRule="exact"/>
        <w:ind w:left="440" w:firstLine="0"/>
        <w:jc w:val="left"/>
        <w:rPr>
          <w:rFonts w:hint="eastAsia" w:ascii="MS UI Gothic" w:eastAsia="MS UI Gothic"/>
        </w:rPr>
      </w:pPr>
      <w:r>
        <w:pict>
          <v:shape id="_x0000_s2027" o:spid="_x0000_s2027" style="position:absolute;left:0pt;margin-left:0pt;margin-top:664.5pt;height:1.75pt;width:398.25pt;mso-position-horizontal-relative:page;z-index:252065792;mso-width-relative:page;mso-height-relative:page;" filled="f" stroked="t" coordorigin="0,13290" coordsize="7965,35" path="m1419,-196l9384,-196m1419,-231l9384,-231e">
            <v:path arrowok="t"/>
            <v:fill on="f" focussize="0,0"/>
            <v:stroke weight="0.388031496062992pt" color="#231F20"/>
            <v:imagedata o:title=""/>
            <o:lock v:ext="edit"/>
          </v:shape>
        </w:pict>
      </w:r>
      <w:r>
        <w:rPr>
          <w:w w:val="95"/>
        </w:rPr>
        <w:t>警示牌</w:t>
      </w:r>
      <w:r>
        <w:rPr>
          <w:rFonts w:hint="eastAsia" w:ascii="MS UI Gothic" w:eastAsia="MS UI Gothic"/>
          <w:w w:val="80"/>
        </w:rPr>
        <w:t>ꎮ</w:t>
      </w:r>
    </w:p>
    <w:p>
      <w:pPr>
        <w:spacing w:before="192"/>
        <w:ind w:left="440" w:right="0" w:firstLine="0"/>
        <w:jc w:val="left"/>
        <w:rPr>
          <w:sz w:val="17"/>
        </w:rPr>
      </w:pPr>
      <w:r>
        <w:br w:type="column"/>
      </w: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spacing w:line="240" w:lineRule="exact"/>
        <w:ind w:left="1370" w:firstLine="0"/>
        <w:jc w:val="left"/>
        <w:rPr>
          <w:rFonts w:hint="eastAsia" w:ascii="MS UI Gothic" w:eastAsia="MS UI Gothic"/>
        </w:rPr>
      </w:pPr>
      <w:r>
        <w:t>合格</w:t>
      </w:r>
      <w:r>
        <w:rPr>
          <w:rFonts w:hint="eastAsia" w:ascii="MS UI Gothic" w:eastAsia="MS UI Gothic"/>
          <w:w w:val="80"/>
        </w:rPr>
        <w:t xml:space="preserve">ꎬ </w:t>
      </w:r>
      <w:r>
        <w:t>电焊机外壳接地</w:t>
      </w:r>
      <w:r>
        <w:rPr>
          <w:rFonts w:hint="eastAsia" w:ascii="MS UI Gothic" w:eastAsia="MS UI Gothic"/>
          <w:w w:val="80"/>
        </w:rPr>
        <w:t>ꎮ</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３３７</w:t>
      </w:r>
    </w:p>
    <w:p>
      <w:pPr>
        <w:spacing w:after="0"/>
        <w:jc w:val="left"/>
        <w:rPr>
          <w:rFonts w:hint="eastAsia" w:ascii="MS UI Gothic" w:eastAsia="MS UI Gothic"/>
        </w:rPr>
        <w:sectPr>
          <w:pgSz w:w="10500" w:h="14750"/>
          <w:pgMar w:top="960" w:right="980" w:bottom="280" w:left="980" w:header="720" w:footer="720" w:gutter="0"/>
          <w:cols w:equalWidth="0" w:num="3">
            <w:col w:w="1213" w:space="2049"/>
            <w:col w:w="3610" w:space="200"/>
            <w:col w:w="1468"/>
          </w:cols>
        </w:sectPr>
      </w:pPr>
    </w:p>
    <w:p>
      <w:pPr>
        <w:pStyle w:val="6"/>
        <w:spacing w:before="74"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检修时必须设专人协调指挥</w:t>
      </w:r>
      <w:r>
        <w:rPr>
          <w:rFonts w:hint="eastAsia" w:ascii="MS UI Gothic" w:eastAsia="MS UI Gothic"/>
          <w:w w:val="80"/>
        </w:rPr>
        <w:t>ꎬ</w:t>
      </w:r>
      <w:r>
        <w:t>多工种联合检修作业时</w:t>
      </w:r>
      <w:r>
        <w:rPr>
          <w:rFonts w:hint="eastAsia" w:ascii="MS UI Gothic" w:eastAsia="MS UI Gothic"/>
          <w:w w:val="80"/>
        </w:rPr>
        <w:t xml:space="preserve">ꎬ </w:t>
      </w:r>
      <w:r>
        <w:t>必须制定安全</w:t>
      </w:r>
      <w:r>
        <w:rPr>
          <w:w w:val="105"/>
        </w:rPr>
        <w:t>措施</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在设备的隐蔽处及通风不畅的</w:t>
      </w:r>
      <w:r>
        <w:t>空间内检修时</w:t>
      </w:r>
      <w:r>
        <w:rPr>
          <w:rFonts w:hint="eastAsia" w:ascii="MS UI Gothic" w:eastAsia="MS UI Gothic"/>
          <w:w w:val="80"/>
        </w:rPr>
        <w:t xml:space="preserve">ꎬ </w:t>
      </w:r>
      <w:r>
        <w:t>必须制定安全措施</w:t>
      </w:r>
      <w:r>
        <w:rPr>
          <w:rFonts w:hint="eastAsia" w:ascii="MS UI Gothic" w:eastAsia="MS UI Gothic"/>
          <w:w w:val="80"/>
        </w:rPr>
        <w:t xml:space="preserve">ꎬ </w:t>
      </w:r>
      <w:r>
        <w:t>并设</w:t>
      </w:r>
      <w:r>
        <w:rPr>
          <w:w w:val="105"/>
        </w:rPr>
        <w:t>专人监护</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四</w:t>
      </w:r>
      <w:r>
        <w:rPr>
          <w:rFonts w:hint="eastAsia" w:ascii="MS UI Gothic" w:eastAsia="MS UI Gothic"/>
          <w:w w:val="150"/>
        </w:rPr>
        <w:t xml:space="preserve">) </w:t>
      </w:r>
      <w:r>
        <w:t>检查和诊断运动</w:t>
      </w:r>
      <w:r>
        <w:rPr>
          <w:rFonts w:hint="eastAsia" w:ascii="MS UI Gothic" w:eastAsia="MS UI Gothic"/>
          <w:w w:val="80"/>
        </w:rPr>
        <w:t xml:space="preserve">、 </w:t>
      </w:r>
      <w:r>
        <w:t>铰接</w:t>
      </w:r>
      <w:r>
        <w:rPr>
          <w:rFonts w:hint="eastAsia" w:ascii="MS UI Gothic" w:eastAsia="MS UI Gothic"/>
          <w:w w:val="80"/>
        </w:rPr>
        <w:t xml:space="preserve">、  </w:t>
      </w:r>
      <w:r>
        <w:t>高温</w:t>
      </w:r>
      <w:r>
        <w:rPr>
          <w:rFonts w:hint="eastAsia" w:ascii="MS UI Gothic" w:eastAsia="MS UI Gothic"/>
          <w:w w:val="80"/>
        </w:rPr>
        <w:t xml:space="preserve">、 </w:t>
      </w:r>
      <w:r>
        <w:t>有压</w:t>
      </w:r>
      <w:r>
        <w:rPr>
          <w:rFonts w:hint="eastAsia" w:ascii="MS UI Gothic" w:eastAsia="MS UI Gothic"/>
          <w:w w:val="80"/>
        </w:rPr>
        <w:t xml:space="preserve">、 </w:t>
      </w:r>
      <w:r>
        <w:t>带电</w:t>
      </w:r>
      <w:r>
        <w:rPr>
          <w:rFonts w:hint="eastAsia" w:ascii="MS UI Gothic" w:eastAsia="MS UI Gothic"/>
          <w:w w:val="80"/>
        </w:rPr>
        <w:t xml:space="preserve">、 </w:t>
      </w:r>
      <w:r>
        <w:t>弹性储能等危险部位时</w:t>
      </w:r>
      <w:r>
        <w:rPr>
          <w:rFonts w:hint="eastAsia" w:ascii="MS UI Gothic" w:eastAsia="MS UI Gothic"/>
          <w:w w:val="80"/>
        </w:rPr>
        <w:t xml:space="preserve">ꎬ </w:t>
      </w:r>
      <w:r>
        <w:t>必须采取安全措施</w:t>
      </w:r>
      <w:r>
        <w:rPr>
          <w:rFonts w:hint="eastAsia" w:ascii="MS UI Gothic" w:eastAsia="MS UI Gothic"/>
          <w:w w:val="80"/>
        </w:rPr>
        <w:t xml:space="preserve">ꎬ </w:t>
      </w:r>
      <w:r>
        <w:t>检修前必须切断相应的动力源</w:t>
      </w:r>
      <w:r>
        <w:rPr>
          <w:rFonts w:hint="eastAsia" w:ascii="MS UI Gothic" w:eastAsia="MS UI Gothic"/>
          <w:w w:val="80"/>
        </w:rPr>
        <w:t xml:space="preserve">ꎬ </w:t>
      </w:r>
      <w:r>
        <w:t>释放压力</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在带式输送机上更换</w:t>
      </w:r>
      <w:r>
        <w:rPr>
          <w:rFonts w:hint="eastAsia" w:ascii="MS UI Gothic" w:eastAsia="MS UI Gothic"/>
          <w:w w:val="80"/>
        </w:rPr>
        <w:t xml:space="preserve">、 </w:t>
      </w:r>
      <w:r>
        <w:rPr>
          <w:w w:val="105"/>
        </w:rPr>
        <w:t>维修输送带时</w:t>
      </w:r>
      <w:r>
        <w:rPr>
          <w:rFonts w:hint="eastAsia" w:ascii="MS UI Gothic" w:eastAsia="MS UI Gothic"/>
          <w:w w:val="80"/>
        </w:rPr>
        <w:t xml:space="preserve">ꎬ </w:t>
      </w:r>
      <w:r>
        <w:rPr>
          <w:w w:val="105"/>
        </w:rPr>
        <w:t>应当制定安全措施</w:t>
      </w:r>
      <w:r>
        <w:rPr>
          <w:rFonts w:hint="eastAsia" w:ascii="MS UI Gothic" w:eastAsia="MS UI Gothic"/>
          <w:w w:val="80"/>
        </w:rPr>
        <w:t>ꎮ</w:t>
      </w:r>
    </w:p>
    <w:p>
      <w:pPr>
        <w:pStyle w:val="6"/>
        <w:spacing w:line="295" w:lineRule="auto"/>
        <w:ind w:left="440" w:right="1"/>
        <w:rPr>
          <w:rFonts w:hint="eastAsia" w:ascii="MS UI Gothic" w:eastAsia="MS UI Gothic"/>
        </w:rPr>
      </w:pPr>
      <w:r>
        <w:t>第六百三十一条 检修用电设备的高压进线和总隔离开关柜时</w:t>
      </w:r>
      <w:r>
        <w:rPr>
          <w:rFonts w:hint="eastAsia" w:ascii="MS UI Gothic" w:eastAsia="MS UI Gothic"/>
          <w:w w:val="80"/>
        </w:rPr>
        <w:t xml:space="preserve">ꎬ </w:t>
      </w:r>
      <w:r>
        <w:t>必须执行停送电制度</w:t>
      </w:r>
      <w:r>
        <w:rPr>
          <w:rFonts w:hint="eastAsia" w:ascii="MS UI Gothic" w:eastAsia="MS UI Gothic"/>
          <w:w w:val="80"/>
        </w:rPr>
        <w:t>ꎮ</w:t>
      </w:r>
    </w:p>
    <w:p>
      <w:pPr>
        <w:pStyle w:val="6"/>
        <w:spacing w:line="295" w:lineRule="auto"/>
        <w:ind w:left="440"/>
        <w:rPr>
          <w:rFonts w:hint="eastAsia" w:ascii="MS UI Gothic" w:eastAsia="MS UI Gothic"/>
        </w:rPr>
      </w:pPr>
      <w:r>
        <w:t>检修设备高压线路时</w:t>
      </w:r>
      <w:r>
        <w:rPr>
          <w:rFonts w:hint="eastAsia" w:ascii="MS UI Gothic" w:eastAsia="MS UI Gothic"/>
          <w:w w:val="80"/>
        </w:rPr>
        <w:t xml:space="preserve">ꎬ </w:t>
      </w:r>
      <w:r>
        <w:t>必须切断相应的断路器和拉开隔离开关</w:t>
      </w:r>
      <w:r>
        <w:rPr>
          <w:rFonts w:hint="eastAsia" w:ascii="MS UI Gothic" w:eastAsia="MS UI Gothic"/>
          <w:w w:val="80"/>
        </w:rPr>
        <w:t xml:space="preserve">ꎬ </w:t>
      </w:r>
      <w:r>
        <w:t>并进行验电</w:t>
      </w:r>
      <w:r>
        <w:rPr>
          <w:rFonts w:hint="eastAsia" w:ascii="MS UI Gothic" w:eastAsia="MS UI Gothic"/>
          <w:w w:val="80"/>
        </w:rPr>
        <w:t>、</w:t>
      </w:r>
      <w:r>
        <w:t>放电</w:t>
      </w:r>
      <w:r>
        <w:rPr>
          <w:rFonts w:hint="eastAsia" w:ascii="MS UI Gothic" w:eastAsia="MS UI Gothic"/>
          <w:w w:val="80"/>
        </w:rPr>
        <w:t xml:space="preserve">、 </w:t>
      </w:r>
      <w:r>
        <w:t>挂接短路接地线</w:t>
      </w:r>
      <w:r>
        <w:rPr>
          <w:rFonts w:hint="eastAsia" w:ascii="MS UI Gothic" w:eastAsia="MS UI Gothic"/>
          <w:w w:val="80"/>
        </w:rPr>
        <w:t>ꎮ</w:t>
      </w:r>
    </w:p>
    <w:p>
      <w:pPr>
        <w:pStyle w:val="6"/>
        <w:spacing w:line="290" w:lineRule="auto"/>
        <w:ind w:left="440"/>
        <w:rPr>
          <w:rFonts w:hint="eastAsia" w:ascii="MS UI Gothic" w:hAnsi="MS UI Gothic" w:eastAsia="MS UI Gothic"/>
        </w:rPr>
      </w:pPr>
      <w:r>
        <w:rPr>
          <w:spacing w:val="-16"/>
          <w:w w:val="105"/>
        </w:rPr>
        <w:t>第 六 百 三 十 二 条 拆 装 高 温</w:t>
      </w:r>
      <w:r>
        <w:rPr>
          <w:rFonts w:hint="eastAsia" w:ascii="MS UI Gothic" w:hAnsi="MS UI Gothic" w:eastAsia="MS UI Gothic"/>
          <w:spacing w:val="29"/>
          <w:w w:val="168"/>
        </w:rPr>
        <w:t>(</w:t>
      </w:r>
      <w:r>
        <w:rPr>
          <w:rFonts w:hint="eastAsia" w:ascii="MS UI Gothic" w:hAnsi="MS UI Gothic" w:eastAsia="MS UI Gothic"/>
          <w:spacing w:val="14"/>
          <w:w w:val="150"/>
        </w:rPr>
        <w:t>&gt;</w:t>
      </w:r>
      <w:r>
        <w:rPr>
          <w:rFonts w:hint="eastAsia" w:ascii="MS UI Gothic" w:hAnsi="MS UI Gothic" w:eastAsia="MS UI Gothic"/>
          <w:w w:val="75"/>
        </w:rPr>
        <w:t>４０</w:t>
      </w:r>
      <w:r>
        <w:rPr>
          <w:rFonts w:hint="eastAsia" w:ascii="MS UI Gothic" w:hAnsi="MS UI Gothic" w:eastAsia="MS UI Gothic"/>
          <w:spacing w:val="14"/>
        </w:rPr>
        <w:t xml:space="preserve"> </w:t>
      </w:r>
      <w:r>
        <w:rPr>
          <w:rFonts w:hint="eastAsia" w:ascii="MS UI Gothic" w:hAnsi="MS UI Gothic" w:eastAsia="MS UI Gothic"/>
          <w:w w:val="89"/>
        </w:rPr>
        <w:t>℃</w:t>
      </w:r>
      <w:r>
        <w:rPr>
          <w:rFonts w:hint="eastAsia" w:ascii="MS UI Gothic" w:hAnsi="MS UI Gothic" w:eastAsia="MS UI Gothic"/>
          <w:spacing w:val="-31"/>
        </w:rPr>
        <w:t xml:space="preserve"> </w:t>
      </w:r>
      <w:r>
        <w:rPr>
          <w:rFonts w:hint="eastAsia" w:ascii="MS UI Gothic" w:hAnsi="MS UI Gothic" w:eastAsia="MS UI Gothic"/>
          <w:w w:val="168"/>
        </w:rPr>
        <w:t>)</w:t>
      </w:r>
      <w:r>
        <w:rPr>
          <w:rFonts w:hint="eastAsia" w:ascii="MS UI Gothic" w:hAnsi="MS UI Gothic" w:eastAsia="MS UI Gothic"/>
          <w:spacing w:val="-40"/>
        </w:rPr>
        <w:t xml:space="preserve"> </w:t>
      </w:r>
      <w:r>
        <w:rPr>
          <w:spacing w:val="2"/>
          <w:w w:val="102"/>
        </w:rPr>
        <w:t>或者低温</w:t>
      </w:r>
      <w:r>
        <w:rPr>
          <w:spacing w:val="8"/>
        </w:rPr>
        <w:t xml:space="preserve"> </w:t>
      </w:r>
      <w:r>
        <w:rPr>
          <w:rFonts w:hint="eastAsia" w:ascii="MS UI Gothic" w:hAnsi="MS UI Gothic" w:eastAsia="MS UI Gothic"/>
          <w:w w:val="168"/>
        </w:rPr>
        <w:t>(</w:t>
      </w:r>
      <w:r>
        <w:rPr>
          <w:rFonts w:hint="eastAsia" w:ascii="MS UI Gothic" w:hAnsi="MS UI Gothic" w:eastAsia="MS UI Gothic"/>
          <w:spacing w:val="-30"/>
        </w:rPr>
        <w:t xml:space="preserve"> </w:t>
      </w:r>
      <w:r>
        <w:rPr>
          <w:rFonts w:hint="eastAsia" w:ascii="MS UI Gothic" w:hAnsi="MS UI Gothic" w:eastAsia="MS UI Gothic"/>
          <w:spacing w:val="22"/>
          <w:w w:val="150"/>
        </w:rPr>
        <w:t>&lt;</w:t>
      </w:r>
      <w:r>
        <w:rPr>
          <w:rFonts w:hint="eastAsia" w:ascii="MS UI Gothic" w:hAnsi="MS UI Gothic" w:eastAsia="MS UI Gothic"/>
          <w:w w:val="56"/>
          <w:position w:val="1"/>
        </w:rPr>
        <w:t>－</w:t>
      </w:r>
      <w:r>
        <w:rPr>
          <w:rFonts w:hint="eastAsia" w:ascii="MS UI Gothic" w:hAnsi="MS UI Gothic" w:eastAsia="MS UI Gothic"/>
          <w:spacing w:val="-43"/>
          <w:position w:val="1"/>
        </w:rPr>
        <w:t xml:space="preserve"> </w:t>
      </w:r>
      <w:r>
        <w:rPr>
          <w:rFonts w:hint="eastAsia" w:ascii="MS UI Gothic" w:hAnsi="MS UI Gothic" w:eastAsia="MS UI Gothic"/>
          <w:w w:val="75"/>
        </w:rPr>
        <w:t>１５</w:t>
      </w:r>
      <w:r>
        <w:rPr>
          <w:rFonts w:hint="eastAsia" w:ascii="MS UI Gothic" w:hAnsi="MS UI Gothic" w:eastAsia="MS UI Gothic"/>
          <w:spacing w:val="22"/>
        </w:rPr>
        <w:t xml:space="preserve"> </w:t>
      </w:r>
      <w:r>
        <w:rPr>
          <w:rFonts w:hint="eastAsia" w:ascii="MS UI Gothic" w:hAnsi="MS UI Gothic" w:eastAsia="MS UI Gothic"/>
          <w:w w:val="89"/>
        </w:rPr>
        <w:t>℃</w:t>
      </w:r>
      <w:r>
        <w:rPr>
          <w:rFonts w:hint="eastAsia" w:ascii="MS UI Gothic" w:hAnsi="MS UI Gothic" w:eastAsia="MS UI Gothic"/>
          <w:spacing w:val="-31"/>
        </w:rPr>
        <w:t xml:space="preserve"> </w:t>
      </w:r>
      <w:r>
        <w:rPr>
          <w:rFonts w:hint="eastAsia" w:ascii="MS UI Gothic" w:hAnsi="MS UI Gothic" w:eastAsia="MS UI Gothic"/>
          <w:w w:val="168"/>
        </w:rPr>
        <w:t>)</w:t>
      </w:r>
      <w:r>
        <w:rPr>
          <w:rFonts w:hint="eastAsia" w:ascii="MS UI Gothic" w:hAnsi="MS UI Gothic" w:eastAsia="MS UI Gothic"/>
          <w:spacing w:val="5"/>
        </w:rPr>
        <w:t xml:space="preserve">  </w:t>
      </w:r>
      <w:r>
        <w:rPr>
          <w:spacing w:val="7"/>
          <w:w w:val="102"/>
        </w:rPr>
        <w:t>部件时</w:t>
      </w:r>
      <w:r>
        <w:rPr>
          <w:rFonts w:hint="eastAsia" w:ascii="MS UI Gothic" w:hAnsi="MS UI Gothic" w:eastAsia="MS UI Gothic"/>
          <w:w w:val="51"/>
        </w:rPr>
        <w:t>ꎬ</w:t>
      </w:r>
      <w:r>
        <w:rPr>
          <w:spacing w:val="3"/>
        </w:rPr>
        <w:t>必须采取防护措施</w:t>
      </w:r>
      <w:r>
        <w:rPr>
          <w:rFonts w:hint="eastAsia" w:ascii="MS UI Gothic" w:hAnsi="MS UI Gothic" w:eastAsia="MS UI Gothic"/>
          <w:spacing w:val="10"/>
          <w:w w:val="90"/>
        </w:rPr>
        <w:t xml:space="preserve">ꎬ </w:t>
      </w:r>
      <w:r>
        <w:rPr>
          <w:spacing w:val="3"/>
        </w:rPr>
        <w:t>严禁人体直接接触</w:t>
      </w:r>
      <w:r>
        <w:rPr>
          <w:rFonts w:hint="eastAsia" w:ascii="MS UI Gothic" w:hAnsi="MS UI Gothic" w:eastAsia="MS UI Gothic"/>
          <w:w w:val="90"/>
        </w:rPr>
        <w:t>ꎮ</w:t>
      </w:r>
    </w:p>
    <w:p>
      <w:pPr>
        <w:pStyle w:val="6"/>
        <w:spacing w:line="295" w:lineRule="auto"/>
        <w:ind w:left="440" w:right="1"/>
        <w:rPr>
          <w:rFonts w:hint="eastAsia" w:ascii="MS UI Gothic" w:eastAsia="MS UI Gothic"/>
        </w:rPr>
      </w:pPr>
      <w:r>
        <w:rPr>
          <w:spacing w:val="-1"/>
          <w:w w:val="110"/>
        </w:rPr>
        <w:t>第六百三十三条 电焊</w:t>
      </w:r>
      <w:r>
        <w:rPr>
          <w:rFonts w:hint="eastAsia" w:ascii="MS UI Gothic" w:eastAsia="MS UI Gothic"/>
          <w:spacing w:val="-7"/>
        </w:rPr>
        <w:t xml:space="preserve">、 </w:t>
      </w:r>
      <w:r>
        <w:rPr>
          <w:spacing w:val="3"/>
          <w:w w:val="110"/>
        </w:rPr>
        <w:t>气焊</w:t>
      </w:r>
      <w:r>
        <w:rPr>
          <w:rFonts w:hint="eastAsia" w:ascii="MS UI Gothic" w:eastAsia="MS UI Gothic"/>
          <w:spacing w:val="-7"/>
        </w:rPr>
        <w:t xml:space="preserve">、 </w:t>
      </w:r>
      <w:r>
        <w:rPr>
          <w:spacing w:val="1"/>
          <w:w w:val="110"/>
        </w:rPr>
        <w:t>切割</w:t>
      </w:r>
      <w:r>
        <w:rPr>
          <w:spacing w:val="3"/>
          <w:w w:val="110"/>
        </w:rPr>
        <w:t>必须遵守下列规定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工作场地通风良好</w:t>
      </w:r>
      <w:r>
        <w:rPr>
          <w:rFonts w:hint="eastAsia" w:ascii="MS UI Gothic" w:eastAsia="MS UI Gothic"/>
          <w:w w:val="80"/>
        </w:rPr>
        <w:t xml:space="preserve">ꎬ </w:t>
      </w:r>
      <w:r>
        <w:rPr>
          <w:w w:val="105"/>
        </w:rPr>
        <w:t>无易燃</w:t>
      </w:r>
      <w:r>
        <w:rPr>
          <w:rFonts w:hint="eastAsia" w:ascii="MS UI Gothic" w:eastAsia="MS UI Gothic"/>
          <w:w w:val="80"/>
        </w:rPr>
        <w:t>、</w:t>
      </w:r>
      <w:r>
        <w:rPr>
          <w:w w:val="105"/>
        </w:rPr>
        <w:t>易爆物品</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 xml:space="preserve">各类气瓶要距明火 </w:t>
      </w:r>
      <w:r>
        <w:rPr>
          <w:rFonts w:hint="eastAsia" w:ascii="MS UI Gothic" w:eastAsia="MS UI Gothic"/>
          <w:w w:val="80"/>
        </w:rPr>
        <w:t xml:space="preserve">１０ ｍ </w:t>
      </w:r>
      <w:r>
        <w:t>以上</w:t>
      </w:r>
      <w:r>
        <w:rPr>
          <w:rFonts w:hint="eastAsia" w:ascii="MS UI Gothic" w:eastAsia="MS UI Gothic"/>
          <w:w w:val="80"/>
        </w:rPr>
        <w:t>ꎬ</w:t>
      </w:r>
      <w:r>
        <w:t xml:space="preserve">氧气瓶距乙炔瓶 </w:t>
      </w:r>
      <w:r>
        <w:rPr>
          <w:rFonts w:hint="eastAsia" w:ascii="MS UI Gothic" w:eastAsia="MS UI Gothic"/>
          <w:w w:val="80"/>
        </w:rPr>
        <w:t xml:space="preserve">５ ｍ </w:t>
      </w:r>
      <w:r>
        <w:t>以上</w:t>
      </w:r>
      <w:r>
        <w:rPr>
          <w:rFonts w:hint="eastAsia" w:ascii="MS UI Gothic" w:eastAsia="MS UI Gothic"/>
          <w:w w:val="80"/>
        </w:rPr>
        <w:t xml:space="preserve">ꎮ </w:t>
      </w:r>
      <w:r>
        <w:t>在重点防火</w:t>
      </w:r>
      <w:r>
        <w:rPr>
          <w:rFonts w:hint="eastAsia" w:ascii="MS UI Gothic" w:eastAsia="MS UI Gothic"/>
          <w:w w:val="80"/>
        </w:rPr>
        <w:t>、</w:t>
      </w:r>
      <w:r>
        <w:t>防爆区焊接作业时</w:t>
      </w:r>
      <w:r>
        <w:rPr>
          <w:rFonts w:hint="eastAsia" w:ascii="MS UI Gothic" w:eastAsia="MS UI Gothic"/>
          <w:w w:val="80"/>
        </w:rPr>
        <w:t xml:space="preserve">ꎬ </w:t>
      </w:r>
      <w:r>
        <w:t>办理用火审批单</w:t>
      </w:r>
      <w:r>
        <w:rPr>
          <w:rFonts w:hint="eastAsia" w:ascii="MS UI Gothic" w:eastAsia="MS UI Gothic"/>
          <w:w w:val="80"/>
        </w:rPr>
        <w:t xml:space="preserve">ꎬ </w:t>
      </w:r>
      <w:r>
        <w:t>并制定防火</w:t>
      </w:r>
      <w:r>
        <w:rPr>
          <w:rFonts w:hint="eastAsia" w:ascii="MS UI Gothic" w:eastAsia="MS UI Gothic"/>
          <w:w w:val="80"/>
        </w:rPr>
        <w:t xml:space="preserve">、 </w:t>
      </w:r>
      <w:r>
        <w:t>防爆措施</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在焊接或者切割盛放过易燃</w:t>
      </w:r>
      <w:r>
        <w:rPr>
          <w:rFonts w:hint="eastAsia" w:ascii="MS UI Gothic" w:eastAsia="MS UI Gothic"/>
          <w:w w:val="80"/>
        </w:rPr>
        <w:t>、</w:t>
      </w:r>
      <w:r>
        <w:t>易爆物品或者情况不明物品的容器时</w:t>
      </w:r>
      <w:r>
        <w:rPr>
          <w:rFonts w:hint="eastAsia" w:ascii="MS UI Gothic" w:eastAsia="MS UI Gothic"/>
          <w:w w:val="80"/>
        </w:rPr>
        <w:t xml:space="preserve">ꎬ </w:t>
      </w:r>
      <w:r>
        <w:t>应</w:t>
      </w:r>
      <w:r>
        <w:rPr>
          <w:w w:val="105"/>
        </w:rPr>
        <w:t>当制定安全措施</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t>四</w:t>
      </w:r>
      <w:r>
        <w:rPr>
          <w:rFonts w:hint="eastAsia" w:ascii="MS UI Gothic" w:eastAsia="MS UI Gothic"/>
          <w:w w:val="150"/>
        </w:rPr>
        <w:t xml:space="preserve">) </w:t>
      </w:r>
      <w:r>
        <w:t>进入设备或者容器内部焊接</w:t>
      </w:r>
      <w:r>
        <w:rPr>
          <w:rFonts w:hint="eastAsia" w:ascii="MS UI Gothic" w:eastAsia="MS UI Gothic"/>
          <w:w w:val="80"/>
        </w:rPr>
        <w:t>、</w:t>
      </w:r>
      <w:r>
        <w:t>切割时</w:t>
      </w:r>
      <w:r>
        <w:rPr>
          <w:rFonts w:hint="eastAsia" w:ascii="MS UI Gothic" w:eastAsia="MS UI Gothic"/>
          <w:w w:val="80"/>
        </w:rPr>
        <w:t xml:space="preserve">ꎬ </w:t>
      </w:r>
      <w:r>
        <w:t>在确认无易燃</w:t>
      </w:r>
      <w:r>
        <w:rPr>
          <w:rFonts w:hint="eastAsia" w:ascii="MS UI Gothic" w:eastAsia="MS UI Gothic"/>
          <w:w w:val="80"/>
        </w:rPr>
        <w:t xml:space="preserve">、 </w:t>
      </w:r>
      <w:r>
        <w:t>易爆气体或者物品</w:t>
      </w:r>
      <w:r>
        <w:rPr>
          <w:rFonts w:hint="eastAsia" w:ascii="MS UI Gothic" w:eastAsia="MS UI Gothic"/>
          <w:w w:val="80"/>
        </w:rPr>
        <w:t xml:space="preserve">ꎬ </w:t>
      </w:r>
      <w:r>
        <w:t>采取安全措施后</w:t>
      </w:r>
      <w:r>
        <w:rPr>
          <w:rFonts w:hint="eastAsia" w:ascii="MS UI Gothic" w:eastAsia="MS UI Gothic"/>
          <w:w w:val="80"/>
        </w:rPr>
        <w:t xml:space="preserve">ꎬ </w:t>
      </w:r>
      <w:r>
        <w:t>方可作业</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各种气瓶连接处</w:t>
      </w:r>
      <w:r>
        <w:rPr>
          <w:rFonts w:hint="eastAsia" w:ascii="MS UI Gothic" w:eastAsia="MS UI Gothic"/>
          <w:w w:val="80"/>
        </w:rPr>
        <w:t xml:space="preserve">、 </w:t>
      </w:r>
      <w:r>
        <w:rPr>
          <w:w w:val="105"/>
        </w:rPr>
        <w:t>胶管接头</w:t>
      </w:r>
      <w:r>
        <w:rPr>
          <w:rFonts w:hint="eastAsia" w:ascii="MS UI Gothic" w:eastAsia="MS UI Gothic"/>
          <w:w w:val="80"/>
        </w:rPr>
        <w:t>、</w:t>
      </w:r>
      <w:r>
        <w:rPr>
          <w:w w:val="105"/>
        </w:rPr>
        <w:t>减压器等</w:t>
      </w:r>
      <w:r>
        <w:rPr>
          <w:rFonts w:hint="eastAsia" w:ascii="MS UI Gothic" w:eastAsia="MS UI Gothic"/>
          <w:w w:val="80"/>
        </w:rPr>
        <w:t xml:space="preserve">ꎬ </w:t>
      </w:r>
      <w:r>
        <w:rPr>
          <w:w w:val="105"/>
        </w:rPr>
        <w:t>严禁沾染油脂</w:t>
      </w:r>
      <w:r>
        <w:rPr>
          <w:rFonts w:hint="eastAsia" w:ascii="MS UI Gothic" w:eastAsia="MS UI Gothic"/>
          <w:w w:val="80"/>
        </w:rPr>
        <w:t>ꎮ</w:t>
      </w:r>
    </w:p>
    <w:p>
      <w:pPr>
        <w:pStyle w:val="6"/>
        <w:spacing w:line="255" w:lineRule="exact"/>
        <w:ind w:left="860" w:firstLine="0"/>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电焊机及电焊用具的绝缘必须</w:t>
      </w:r>
    </w:p>
    <w:p>
      <w:pPr>
        <w:pStyle w:val="6"/>
        <w:tabs>
          <w:tab w:val="left" w:pos="2477"/>
        </w:tabs>
        <w:spacing w:before="74" w:line="295" w:lineRule="auto"/>
        <w:ind w:left="381" w:right="126"/>
        <w:jc w:val="left"/>
        <w:rPr>
          <w:rFonts w:hint="eastAsia" w:ascii="MS UI Gothic" w:eastAsia="MS UI Gothic"/>
        </w:rPr>
      </w:pPr>
      <w:r>
        <w:br w:type="column"/>
      </w:r>
      <w:r>
        <w:rPr>
          <w:spacing w:val="3"/>
          <w:w w:val="105"/>
        </w:rPr>
        <w:t>第六百三十四</w:t>
      </w:r>
      <w:r>
        <w:rPr>
          <w:w w:val="105"/>
        </w:rPr>
        <w:t>条</w:t>
      </w:r>
      <w:r>
        <w:rPr>
          <w:w w:val="105"/>
        </w:rPr>
        <w:tab/>
      </w:r>
      <w:r>
        <w:rPr>
          <w:spacing w:val="3"/>
        </w:rPr>
        <w:t>吊装作业必须遵</w:t>
      </w:r>
      <w:r>
        <w:rPr>
          <w:spacing w:val="-12"/>
        </w:rPr>
        <w:t>守</w:t>
      </w:r>
      <w:r>
        <w:rPr>
          <w:spacing w:val="3"/>
          <w:w w:val="110"/>
        </w:rPr>
        <w:t>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吊装作业区四周设置明显标志</w:t>
      </w:r>
      <w:r>
        <w:rPr>
          <w:rFonts w:hint="eastAsia" w:ascii="MS UI Gothic" w:eastAsia="MS UI Gothic"/>
          <w:w w:val="80"/>
        </w:rPr>
        <w:t xml:space="preserve">ꎬ </w:t>
      </w:r>
      <w:r>
        <w:rPr>
          <w:w w:val="105"/>
        </w:rPr>
        <w:t>夜间作业有足够的照明</w:t>
      </w:r>
      <w:r>
        <w:rPr>
          <w:rFonts w:hint="eastAsia" w:ascii="MS UI Gothic" w:eastAsia="MS UI Gothic"/>
          <w:w w:val="80"/>
        </w:rPr>
        <w:t>ꎮ</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严禁超载吊装和起吊重量不明</w:t>
      </w:r>
      <w:r>
        <w:t>的物体</w:t>
      </w:r>
      <w:r>
        <w:rPr>
          <w:rFonts w:hint="eastAsia" w:ascii="MS UI Gothic" w:eastAsia="MS UI Gothic"/>
          <w:w w:val="80"/>
        </w:rPr>
        <w:t xml:space="preserve">ꎻ </w:t>
      </w:r>
      <w:r>
        <w:t xml:space="preserve">严禁使用一根绳索挂 </w:t>
      </w:r>
      <w:r>
        <w:rPr>
          <w:rFonts w:hint="eastAsia" w:ascii="MS UI Gothic" w:eastAsia="MS UI Gothic"/>
          <w:w w:val="80"/>
        </w:rPr>
        <w:t xml:space="preserve">２ </w:t>
      </w:r>
      <w:r>
        <w:t>个吊点</w:t>
      </w:r>
      <w:r>
        <w:rPr>
          <w:rFonts w:hint="eastAsia" w:ascii="MS UI Gothic" w:eastAsia="MS UI Gothic"/>
          <w:w w:val="80"/>
        </w:rPr>
        <w:t>ꎻ</w:t>
      </w:r>
      <w:r>
        <w:rPr>
          <w:w w:val="105"/>
        </w:rPr>
        <w:t>严禁绳索与棱角直接接触</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40"/>
        </w:rPr>
        <w:t xml:space="preserve">( </w:t>
      </w:r>
      <w:r>
        <w:t>三</w:t>
      </w:r>
      <w:r>
        <w:rPr>
          <w:rFonts w:hint="eastAsia" w:ascii="MS UI Gothic" w:eastAsia="MS UI Gothic"/>
          <w:w w:val="140"/>
        </w:rPr>
        <w:t xml:space="preserve">) </w:t>
      </w:r>
      <w:r>
        <w:rPr>
          <w:rFonts w:hint="eastAsia" w:ascii="MS UI Gothic" w:eastAsia="MS UI Gothic"/>
          <w:w w:val="95"/>
        </w:rPr>
        <w:t xml:space="preserve">２ </w:t>
      </w:r>
      <w:r>
        <w:t>台及以上起重机起吊同一</w:t>
      </w:r>
      <w:r>
        <w:rPr>
          <w:w w:val="95"/>
        </w:rPr>
        <w:t>物</w:t>
      </w:r>
      <w:r>
        <w:t>体时</w:t>
      </w:r>
      <w:r>
        <w:rPr>
          <w:rFonts w:hint="eastAsia" w:ascii="MS UI Gothic" w:eastAsia="MS UI Gothic"/>
          <w:w w:val="85"/>
        </w:rPr>
        <w:t xml:space="preserve">ꎬ </w:t>
      </w:r>
      <w:r>
        <w:t>负载分配应当合理</w:t>
      </w:r>
      <w:r>
        <w:rPr>
          <w:rFonts w:hint="eastAsia" w:ascii="MS UI Gothic" w:eastAsia="MS UI Gothic"/>
          <w:w w:val="85"/>
        </w:rPr>
        <w:t xml:space="preserve">ꎬ </w:t>
      </w:r>
      <w:r>
        <w:t>单机载荷不</w:t>
      </w:r>
      <w:r>
        <w:rPr>
          <w:w w:val="95"/>
        </w:rPr>
        <w:t>得</w:t>
      </w:r>
      <w:r>
        <w:t>超过额定起重量</w:t>
      </w:r>
      <w:r>
        <w:rPr>
          <w:w w:val="95"/>
        </w:rPr>
        <w:t xml:space="preserve">的 </w:t>
      </w:r>
      <w:r>
        <w:rPr>
          <w:rFonts w:hint="eastAsia" w:ascii="MS UI Gothic" w:eastAsia="MS UI Gothic"/>
          <w:w w:val="95"/>
        </w:rPr>
        <w:t>８０</w:t>
      </w:r>
      <w:r>
        <w:rPr>
          <w:w w:val="95"/>
        </w:rPr>
        <w:t xml:space="preserve">％ </w:t>
      </w:r>
      <w:r>
        <w:rPr>
          <w:rFonts w:hint="eastAsia" w:ascii="MS UI Gothic" w:eastAsia="MS UI Gothic"/>
          <w:w w:val="85"/>
        </w:rPr>
        <w:t>ꎮ</w:t>
      </w:r>
    </w:p>
    <w:p>
      <w:pPr>
        <w:pStyle w:val="6"/>
        <w:tabs>
          <w:tab w:val="left" w:pos="2477"/>
        </w:tabs>
        <w:spacing w:line="295" w:lineRule="auto"/>
        <w:ind w:left="381" w:right="126"/>
        <w:jc w:val="left"/>
        <w:rPr>
          <w:rFonts w:hint="eastAsia" w:ascii="MS UI Gothic" w:eastAsia="MS UI Gothic"/>
        </w:rPr>
      </w:pPr>
      <w:r>
        <w:rPr>
          <w:spacing w:val="3"/>
          <w:w w:val="105"/>
        </w:rPr>
        <w:t>第六百三十五</w:t>
      </w:r>
      <w:r>
        <w:rPr>
          <w:w w:val="105"/>
        </w:rPr>
        <w:t>条</w:t>
      </w:r>
      <w:r>
        <w:rPr>
          <w:w w:val="105"/>
        </w:rPr>
        <w:tab/>
      </w:r>
      <w:r>
        <w:rPr>
          <w:spacing w:val="3"/>
        </w:rPr>
        <w:t>高处作业必须遵</w:t>
      </w:r>
      <w:r>
        <w:rPr>
          <w:spacing w:val="-12"/>
        </w:rPr>
        <w:t>守</w:t>
      </w:r>
      <w:r>
        <w:rPr>
          <w:spacing w:val="3"/>
          <w:w w:val="110"/>
        </w:rPr>
        <w:t>下列规定</w:t>
      </w:r>
      <w:r>
        <w:rPr>
          <w:rFonts w:hint="eastAsia" w:ascii="MS UI Gothic" w:eastAsia="MS UI Gothic"/>
          <w:w w:val="235"/>
        </w:rPr>
        <w:t>:</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使用登高工具和安全用具</w:t>
      </w:r>
      <w:r>
        <w:rPr>
          <w:rFonts w:hint="eastAsia" w:ascii="MS UI Gothic" w:eastAsia="MS UI Gothic"/>
          <w:w w:val="80"/>
        </w:rPr>
        <w:t>ꎮ</w:t>
      </w:r>
    </w:p>
    <w:p>
      <w:pPr>
        <w:pStyle w:val="6"/>
        <w:spacing w:before="50" w:line="295" w:lineRule="auto"/>
        <w:ind w:left="381" w:right="124"/>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使用梯子时</w:t>
      </w:r>
      <w:r>
        <w:rPr>
          <w:rFonts w:hint="eastAsia" w:ascii="MS UI Gothic" w:eastAsia="MS UI Gothic"/>
          <w:w w:val="80"/>
        </w:rPr>
        <w:t xml:space="preserve">ꎬ </w:t>
      </w:r>
      <w:r>
        <w:t>支承必须牢固</w:t>
      </w:r>
      <w:r>
        <w:rPr>
          <w:rFonts w:hint="eastAsia" w:ascii="MS UI Gothic" w:eastAsia="MS UI Gothic"/>
          <w:w w:val="80"/>
        </w:rPr>
        <w:t>ꎬ</w:t>
      </w:r>
      <w:r>
        <w:t>并有防滑措施</w:t>
      </w:r>
      <w:r>
        <w:rPr>
          <w:rFonts w:hint="eastAsia" w:ascii="MS UI Gothic" w:eastAsia="MS UI Gothic"/>
          <w:w w:val="80"/>
        </w:rPr>
        <w:t xml:space="preserve">ꎬ </w:t>
      </w:r>
      <w:r>
        <w:t>严禁垫高使用</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5"/>
          <w:w w:val="105"/>
        </w:rPr>
        <w:t>三</w:t>
      </w:r>
      <w:r>
        <w:rPr>
          <w:rFonts w:hint="eastAsia" w:ascii="MS UI Gothic" w:eastAsia="MS UI Gothic"/>
          <w:spacing w:val="12"/>
          <w:w w:val="150"/>
        </w:rPr>
        <w:t xml:space="preserve">) </w:t>
      </w:r>
      <w:r>
        <w:rPr>
          <w:spacing w:val="23"/>
          <w:w w:val="105"/>
        </w:rPr>
        <w:t>采取可靠的防止人员坠落措</w:t>
      </w:r>
      <w:r>
        <w:rPr>
          <w:spacing w:val="3"/>
        </w:rPr>
        <w:t>施</w:t>
      </w:r>
      <w:r>
        <w:rPr>
          <w:rFonts w:hint="eastAsia" w:ascii="MS UI Gothic" w:eastAsia="MS UI Gothic"/>
          <w:spacing w:val="18"/>
          <w:w w:val="80"/>
        </w:rPr>
        <w:t xml:space="preserve">ꎬ </w:t>
      </w:r>
      <w:r>
        <w:rPr>
          <w:spacing w:val="14"/>
        </w:rPr>
        <w:t>有条件时应当设置防护网或者防护</w:t>
      </w:r>
      <w:r>
        <w:rPr>
          <w:spacing w:val="3"/>
          <w:w w:val="105"/>
        </w:rPr>
        <w:t>围栏</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21"/>
          <w:w w:val="105"/>
        </w:rPr>
        <w:t xml:space="preserve">( </w:t>
      </w:r>
      <w:r>
        <w:rPr>
          <w:spacing w:val="3"/>
          <w:w w:val="105"/>
        </w:rPr>
        <w:t>四</w:t>
      </w:r>
      <w:r>
        <w:rPr>
          <w:rFonts w:hint="eastAsia" w:ascii="MS UI Gothic" w:eastAsia="MS UI Gothic"/>
          <w:spacing w:val="5"/>
          <w:w w:val="105"/>
        </w:rPr>
        <w:t xml:space="preserve">) </w:t>
      </w:r>
      <w:r>
        <w:rPr>
          <w:spacing w:val="5"/>
          <w:w w:val="105"/>
        </w:rPr>
        <w:t>人员站立位置及扶手采取防滑</w:t>
      </w:r>
      <w:r>
        <w:rPr>
          <w:spacing w:val="3"/>
          <w:w w:val="110"/>
        </w:rPr>
        <w:t>措施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防止物体坠落</w:t>
      </w:r>
      <w:r>
        <w:rPr>
          <w:rFonts w:hint="eastAsia" w:ascii="MS UI Gothic" w:eastAsia="MS UI Gothic"/>
          <w:w w:val="80"/>
        </w:rPr>
        <w:t xml:space="preserve">ꎬ </w:t>
      </w:r>
      <w:r>
        <w:rPr>
          <w:w w:val="105"/>
        </w:rPr>
        <w:t>严禁抛掷工具和器材</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在有坠落危险的下方严禁其他</w:t>
      </w:r>
      <w:r>
        <w:rPr>
          <w:w w:val="110"/>
        </w:rPr>
        <w:t>人员停留或者作业</w:t>
      </w:r>
      <w:r>
        <w:rPr>
          <w:rFonts w:hint="eastAsia" w:ascii="MS UI Gothic" w:eastAsia="MS UI Gothic"/>
          <w:w w:val="80"/>
        </w:rPr>
        <w:t>ꎮ</w:t>
      </w:r>
    </w:p>
    <w:p>
      <w:pPr>
        <w:pStyle w:val="6"/>
        <w:tabs>
          <w:tab w:val="left" w:pos="2477"/>
        </w:tabs>
        <w:spacing w:line="295" w:lineRule="auto"/>
        <w:ind w:left="381" w:right="126"/>
        <w:jc w:val="left"/>
        <w:rPr>
          <w:rFonts w:hint="eastAsia" w:ascii="MS UI Gothic" w:eastAsia="MS UI Gothic"/>
        </w:rPr>
      </w:pPr>
      <w:r>
        <w:rPr>
          <w:spacing w:val="3"/>
          <w:w w:val="105"/>
        </w:rPr>
        <w:t>第六百三十六</w:t>
      </w:r>
      <w:r>
        <w:rPr>
          <w:w w:val="105"/>
        </w:rPr>
        <w:t>条</w:t>
      </w:r>
      <w:r>
        <w:rPr>
          <w:w w:val="105"/>
        </w:rPr>
        <w:tab/>
      </w:r>
      <w:r>
        <w:rPr>
          <w:spacing w:val="3"/>
        </w:rPr>
        <w:t>检修矿用卡车必</w:t>
      </w:r>
      <w:r>
        <w:rPr>
          <w:spacing w:val="-12"/>
        </w:rPr>
        <w:t>须</w:t>
      </w:r>
      <w:r>
        <w:rPr>
          <w:spacing w:val="3"/>
          <w:w w:val="110"/>
        </w:rPr>
        <w:t>编制作业规程</w:t>
      </w:r>
      <w:r>
        <w:rPr>
          <w:rFonts w:hint="eastAsia" w:ascii="MS UI Gothic" w:eastAsia="MS UI Gothic"/>
          <w:w w:val="80"/>
        </w:rPr>
        <w:t>ꎬ</w:t>
      </w:r>
      <w:r>
        <w:rPr>
          <w:rFonts w:hint="eastAsia" w:ascii="MS UI Gothic" w:eastAsia="MS UI Gothic"/>
          <w:spacing w:val="28"/>
          <w:w w:val="80"/>
        </w:rPr>
        <w:t xml:space="preserve"> </w:t>
      </w:r>
      <w:r>
        <w:rPr>
          <w:spacing w:val="3"/>
          <w:w w:val="110"/>
        </w:rPr>
        <w:t>并遵守下列规定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厢斗举升维修过程中</w:t>
      </w:r>
      <w:r>
        <w:rPr>
          <w:rFonts w:hint="eastAsia" w:ascii="MS UI Gothic" w:eastAsia="MS UI Gothic"/>
          <w:w w:val="80"/>
        </w:rPr>
        <w:t xml:space="preserve">ꎬ </w:t>
      </w:r>
      <w:r>
        <w:rPr>
          <w:w w:val="105"/>
        </w:rPr>
        <w:t>设定警戒区</w:t>
      </w:r>
      <w:r>
        <w:rPr>
          <w:rFonts w:hint="eastAsia" w:ascii="MS UI Gothic" w:eastAsia="MS UI Gothic"/>
          <w:w w:val="80"/>
        </w:rPr>
        <w:t xml:space="preserve">ꎬ </w:t>
      </w:r>
      <w:r>
        <w:rPr>
          <w:w w:val="105"/>
        </w:rPr>
        <w:t>严禁人员进入</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厢斗举起后</w:t>
      </w:r>
      <w:r>
        <w:rPr>
          <w:rFonts w:hint="eastAsia" w:ascii="MS UI Gothic" w:eastAsia="MS UI Gothic"/>
          <w:w w:val="80"/>
        </w:rPr>
        <w:t xml:space="preserve">ꎬ </w:t>
      </w:r>
      <w:r>
        <w:rPr>
          <w:w w:val="105"/>
        </w:rPr>
        <w:t>采用刚性支撑或</w:t>
      </w:r>
      <w:r>
        <w:t>者安全索固定厢斗</w:t>
      </w:r>
      <w:r>
        <w:rPr>
          <w:rFonts w:hint="eastAsia" w:ascii="MS UI Gothic" w:eastAsia="MS UI Gothic"/>
          <w:w w:val="80"/>
        </w:rPr>
        <w:t xml:space="preserve">ꎬ </w:t>
      </w:r>
      <w:r>
        <w:t>严禁利用举升缸支撑</w:t>
      </w:r>
      <w:r>
        <w:rPr>
          <w:w w:val="105"/>
        </w:rPr>
        <w:t>作业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在车上进行焊接和切割作业</w:t>
      </w:r>
      <w:r>
        <w:t>时</w:t>
      </w:r>
      <w:r>
        <w:rPr>
          <w:rFonts w:hint="eastAsia" w:ascii="MS UI Gothic" w:eastAsia="MS UI Gothic"/>
          <w:w w:val="80"/>
        </w:rPr>
        <w:t xml:space="preserve">ꎬ </w:t>
      </w:r>
      <w:r>
        <w:t>要防止火花溅落到下方作业区或者油</w:t>
      </w:r>
      <w:r>
        <w:rPr>
          <w:w w:val="105"/>
        </w:rPr>
        <w:t>箱</w:t>
      </w:r>
      <w:r>
        <w:rPr>
          <w:rFonts w:hint="eastAsia" w:ascii="MS UI Gothic" w:eastAsia="MS UI Gothic"/>
          <w:w w:val="80"/>
        </w:rPr>
        <w:t xml:space="preserve">ꎬ </w:t>
      </w:r>
      <w:r>
        <w:rPr>
          <w:w w:val="105"/>
        </w:rPr>
        <w:t>必要时</w:t>
      </w:r>
      <w:r>
        <w:rPr>
          <w:rFonts w:hint="eastAsia" w:ascii="MS UI Gothic" w:eastAsia="MS UI Gothic"/>
          <w:w w:val="80"/>
        </w:rPr>
        <w:t xml:space="preserve">ꎬ </w:t>
      </w:r>
      <w:r>
        <w:rPr>
          <w:w w:val="105"/>
        </w:rPr>
        <w:t>应当采取防护措施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必须制定专门的检修轮胎安全</w:t>
      </w:r>
      <w:r>
        <w:rPr>
          <w:w w:val="110"/>
        </w:rPr>
        <w:t>技术措施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３３８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28" o:spid="_x0000_s2028" o:spt="203" style="height:2.15pt;width:398.25pt;" coordsize="7965,43">
            <o:lock v:ext="edit"/>
            <v:line id="_x0000_s2029" o:spid="_x0000_s2029" o:spt="20" style="position:absolute;left:0;top:39;height:0;width:7965;" stroked="t" coordsize="21600,21600">
              <v:path arrowok="t"/>
              <v:fill focussize="0,0"/>
              <v:stroke weight="0.388031496062992pt" color="#231F20"/>
              <v:imagedata o:title=""/>
              <o:lock v:ext="edit"/>
            </v:line>
            <v:line id="_x0000_s2030" o:spid="_x0000_s20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1696"/>
        </w:tabs>
        <w:ind w:left="858" w:firstLine="0"/>
        <w:jc w:val="left"/>
      </w:pPr>
      <w:r>
        <w:rPr>
          <w:spacing w:val="3"/>
          <w:w w:val="105"/>
        </w:rPr>
        <w:t>第五</w:t>
      </w:r>
      <w:r>
        <w:rPr>
          <w:w w:val="105"/>
        </w:rPr>
        <w:t>编</w:t>
      </w:r>
      <w:r>
        <w:rPr>
          <w:w w:val="105"/>
        </w:rPr>
        <w:tab/>
      </w:r>
      <w:r>
        <w:rPr>
          <w:spacing w:val="3"/>
        </w:rPr>
        <w:t>职业病危害防</w:t>
      </w:r>
      <w:r>
        <w:t>治</w:t>
      </w:r>
    </w:p>
    <w:p>
      <w:pPr>
        <w:pStyle w:val="6"/>
        <w:spacing w:before="1"/>
        <w:ind w:left="0" w:firstLine="0"/>
        <w:jc w:val="left"/>
        <w:rPr>
          <w:sz w:val="29"/>
        </w:rPr>
      </w:pPr>
    </w:p>
    <w:p>
      <w:pPr>
        <w:pStyle w:val="6"/>
        <w:tabs>
          <w:tab w:val="left" w:pos="1696"/>
        </w:tabs>
        <w:ind w:left="858" w:firstLine="0"/>
        <w:jc w:val="left"/>
      </w:pPr>
      <w:r>
        <w:rPr>
          <w:spacing w:val="3"/>
          <w:w w:val="105"/>
        </w:rPr>
        <w:t>第一</w:t>
      </w:r>
      <w:r>
        <w:rPr>
          <w:w w:val="105"/>
        </w:rPr>
        <w:t>章</w:t>
      </w:r>
      <w:r>
        <w:rPr>
          <w:w w:val="105"/>
        </w:rPr>
        <w:tab/>
      </w:r>
      <w:r>
        <w:rPr>
          <w:spacing w:val="3"/>
        </w:rPr>
        <w:t>职业病危害管</w:t>
      </w:r>
      <w:r>
        <w:t>理</w:t>
      </w:r>
    </w:p>
    <w:p>
      <w:pPr>
        <w:pStyle w:val="6"/>
        <w:spacing w:before="215" w:line="295" w:lineRule="auto"/>
        <w:ind w:right="38"/>
        <w:rPr>
          <w:rFonts w:hint="eastAsia" w:ascii="MS UI Gothic" w:eastAsia="MS UI Gothic"/>
        </w:rPr>
      </w:pPr>
      <w:r>
        <w:t>第六百三十七条 煤矿企业必须建立健全职业卫生档案</w:t>
      </w:r>
      <w:r>
        <w:rPr>
          <w:rFonts w:hint="eastAsia" w:ascii="MS UI Gothic" w:eastAsia="MS UI Gothic"/>
          <w:w w:val="80"/>
        </w:rPr>
        <w:t xml:space="preserve">ꎬ </w:t>
      </w:r>
      <w:r>
        <w:t>定期报告职业病危害因素</w:t>
      </w:r>
      <w:r>
        <w:rPr>
          <w:rFonts w:hint="eastAsia" w:ascii="MS UI Gothic" w:eastAsia="MS UI Gothic"/>
          <w:w w:val="80"/>
        </w:rPr>
        <w:t>ꎮ</w:t>
      </w:r>
    </w:p>
    <w:p>
      <w:pPr>
        <w:pStyle w:val="6"/>
        <w:spacing w:line="295" w:lineRule="auto"/>
        <w:ind w:right="38"/>
        <w:rPr>
          <w:rFonts w:hint="eastAsia" w:ascii="MS UI Gothic" w:eastAsia="MS UI Gothic"/>
        </w:rPr>
      </w:pPr>
      <w:r>
        <w:t>第六百三十八条 煤矿企业应当开展职业病危害因素日常监测</w:t>
      </w:r>
      <w:r>
        <w:rPr>
          <w:rFonts w:hint="eastAsia" w:ascii="MS UI Gothic" w:eastAsia="MS UI Gothic"/>
          <w:w w:val="80"/>
        </w:rPr>
        <w:t xml:space="preserve">ꎬ </w:t>
      </w:r>
      <w:r>
        <w:t>配备监测人员和设备</w:t>
      </w:r>
      <w:r>
        <w:rPr>
          <w:rFonts w:hint="eastAsia" w:ascii="MS UI Gothic" w:eastAsia="MS UI Gothic"/>
          <w:w w:val="80"/>
        </w:rPr>
        <w:t>ꎮ</w:t>
      </w:r>
    </w:p>
    <w:p>
      <w:pPr>
        <w:pStyle w:val="6"/>
        <w:spacing w:line="295" w:lineRule="auto"/>
        <w:ind w:right="38"/>
      </w:pPr>
      <w:r>
        <w:t>煤矿企业应当每年进行一次作业场所职业病危害因素检测</w:t>
      </w:r>
      <w:r>
        <w:rPr>
          <w:rFonts w:hint="eastAsia" w:ascii="MS UI Gothic" w:eastAsia="MS UI Gothic"/>
          <w:w w:val="80"/>
        </w:rPr>
        <w:t xml:space="preserve">ꎬ </w:t>
      </w:r>
      <w:r>
        <w:t xml:space="preserve">每 </w:t>
      </w:r>
      <w:r>
        <w:rPr>
          <w:rFonts w:hint="eastAsia" w:ascii="MS UI Gothic" w:eastAsia="MS UI Gothic"/>
          <w:w w:val="80"/>
        </w:rPr>
        <w:t xml:space="preserve">３ </w:t>
      </w:r>
      <w:r>
        <w:t>年进行一次职业病危害现状评价</w:t>
      </w:r>
      <w:r>
        <w:rPr>
          <w:rFonts w:hint="eastAsia" w:ascii="MS UI Gothic" w:eastAsia="MS UI Gothic"/>
          <w:w w:val="80"/>
        </w:rPr>
        <w:t xml:space="preserve">ꎮ </w:t>
      </w:r>
      <w:r>
        <w:t>检测</w:t>
      </w:r>
      <w:r>
        <w:rPr>
          <w:rFonts w:hint="eastAsia" w:ascii="MS UI Gothic" w:eastAsia="MS UI Gothic"/>
          <w:w w:val="80"/>
        </w:rPr>
        <w:t xml:space="preserve">、 </w:t>
      </w:r>
      <w:r>
        <w:t>评价结果存入煤矿企业职业卫生档案</w:t>
      </w:r>
      <w:r>
        <w:rPr>
          <w:rFonts w:hint="eastAsia" w:ascii="MS UI Gothic" w:eastAsia="MS UI Gothic"/>
          <w:w w:val="80"/>
        </w:rPr>
        <w:t xml:space="preserve">ꎬ </w:t>
      </w:r>
      <w:r>
        <w:t>定期向从业人员</w:t>
      </w:r>
    </w:p>
    <w:p>
      <w:pPr>
        <w:spacing w:before="123"/>
        <w:ind w:left="130" w:right="0" w:firstLine="0"/>
        <w:jc w:val="left"/>
        <w:rPr>
          <w:rFonts w:hint="eastAsia" w:ascii="MS UI Gothic" w:eastAsia="MS UI Gothic"/>
          <w:sz w:val="20"/>
        </w:rPr>
      </w:pPr>
      <w:r>
        <w:br w:type="column"/>
      </w:r>
      <w:r>
        <w:rPr>
          <w:spacing w:val="3"/>
          <w:w w:val="85"/>
          <w:sz w:val="20"/>
        </w:rPr>
        <w:t>公布</w:t>
      </w:r>
      <w:r>
        <w:rPr>
          <w:rFonts w:hint="eastAsia" w:ascii="MS UI Gothic" w:eastAsia="MS UI Gothic"/>
          <w:w w:val="80"/>
          <w:sz w:val="20"/>
        </w:rPr>
        <w:t>ꎮ</w:t>
      </w:r>
    </w:p>
    <w:p>
      <w:pPr>
        <w:pStyle w:val="6"/>
        <w:spacing w:before="58" w:line="295" w:lineRule="auto"/>
        <w:ind w:left="130" w:right="442"/>
        <w:rPr>
          <w:rFonts w:hint="eastAsia" w:ascii="MS UI Gothic" w:eastAsia="MS UI Gothic"/>
        </w:rPr>
      </w:pPr>
      <w:r>
        <w:rPr>
          <w:spacing w:val="2"/>
          <w:w w:val="105"/>
        </w:rPr>
        <w:t>第六百三十九条 煤矿企业应当为接</w:t>
      </w:r>
      <w:r>
        <w:rPr>
          <w:spacing w:val="2"/>
        </w:rPr>
        <w:t>触职业病危害因素的从业人员提供符合要</w:t>
      </w:r>
      <w:r>
        <w:rPr>
          <w:spacing w:val="3"/>
        </w:rPr>
        <w:t>求的个体防护用品</w:t>
      </w:r>
      <w:r>
        <w:rPr>
          <w:rFonts w:hint="eastAsia" w:ascii="MS UI Gothic" w:eastAsia="MS UI Gothic"/>
          <w:spacing w:val="20"/>
          <w:w w:val="80"/>
        </w:rPr>
        <w:t xml:space="preserve">ꎬ </w:t>
      </w:r>
      <w:r>
        <w:rPr>
          <w:spacing w:val="2"/>
        </w:rPr>
        <w:t>并指导和督促其正确</w:t>
      </w:r>
      <w:r>
        <w:rPr>
          <w:spacing w:val="3"/>
          <w:w w:val="105"/>
        </w:rPr>
        <w:t>使用</w:t>
      </w:r>
      <w:r>
        <w:rPr>
          <w:rFonts w:hint="eastAsia" w:ascii="MS UI Gothic" w:eastAsia="MS UI Gothic"/>
          <w:w w:val="80"/>
        </w:rPr>
        <w:t>ꎮ</w:t>
      </w:r>
    </w:p>
    <w:p>
      <w:pPr>
        <w:pStyle w:val="6"/>
        <w:spacing w:line="295" w:lineRule="auto"/>
        <w:ind w:left="130" w:right="442"/>
        <w:jc w:val="left"/>
        <w:rPr>
          <w:rFonts w:hint="eastAsia" w:ascii="MS UI Gothic" w:eastAsia="MS UI Gothic"/>
        </w:rPr>
      </w:pPr>
      <w:r>
        <w:t>作业人员必须正确使用防尘或者防毒</w:t>
      </w:r>
      <w:r>
        <w:rPr>
          <w:w w:val="105"/>
        </w:rPr>
        <w:t>等个体防护用品</w:t>
      </w:r>
      <w:r>
        <w:rPr>
          <w:rFonts w:hint="eastAsia" w:ascii="MS UI Gothic" w:eastAsia="MS UI Gothic"/>
          <w:w w:val="80"/>
        </w:rPr>
        <w:t>ꎮ</w:t>
      </w:r>
    </w:p>
    <w:p>
      <w:pPr>
        <w:pStyle w:val="6"/>
        <w:tabs>
          <w:tab w:val="left" w:pos="1912"/>
        </w:tabs>
        <w:spacing w:before="153"/>
        <w:ind w:left="1073" w:firstLine="0"/>
        <w:jc w:val="left"/>
      </w:pPr>
      <w:r>
        <w:rPr>
          <w:spacing w:val="3"/>
          <w:w w:val="105"/>
        </w:rPr>
        <w:t>第二</w:t>
      </w:r>
      <w:r>
        <w:rPr>
          <w:w w:val="105"/>
        </w:rPr>
        <w:t>章</w:t>
      </w:r>
      <w:r>
        <w:rPr>
          <w:w w:val="105"/>
        </w:rPr>
        <w:tab/>
      </w:r>
      <w:r>
        <w:rPr>
          <w:w w:val="105"/>
        </w:rPr>
        <w:t>粉</w:t>
      </w:r>
      <w:r>
        <w:rPr>
          <w:spacing w:val="-33"/>
          <w:w w:val="105"/>
        </w:rPr>
        <w:t xml:space="preserve"> </w:t>
      </w:r>
      <w:r>
        <w:rPr>
          <w:w w:val="105"/>
        </w:rPr>
        <w:t>尘</w:t>
      </w:r>
      <w:r>
        <w:rPr>
          <w:spacing w:val="-33"/>
          <w:w w:val="105"/>
        </w:rPr>
        <w:t xml:space="preserve"> </w:t>
      </w:r>
      <w:r>
        <w:rPr>
          <w:w w:val="105"/>
        </w:rPr>
        <w:t>防</w:t>
      </w:r>
      <w:r>
        <w:rPr>
          <w:spacing w:val="-33"/>
          <w:w w:val="105"/>
        </w:rPr>
        <w:t xml:space="preserve"> </w:t>
      </w:r>
      <w:r>
        <w:rPr>
          <w:w w:val="105"/>
        </w:rPr>
        <w:t>治</w:t>
      </w:r>
    </w:p>
    <w:p>
      <w:pPr>
        <w:pStyle w:val="6"/>
        <w:spacing w:before="215" w:line="295" w:lineRule="auto"/>
        <w:ind w:right="442" w:firstLine="425"/>
        <w:rPr>
          <w:rFonts w:hint="eastAsia" w:ascii="MS UI Gothic" w:eastAsia="MS UI Gothic"/>
        </w:rPr>
      </w:pPr>
      <w:r>
        <w:t>第六百四十条  作业场所空气中粉尘</w:t>
      </w:r>
      <w:r>
        <w:rPr>
          <w:rFonts w:hint="eastAsia" w:ascii="MS UI Gothic" w:eastAsia="MS UI Gothic"/>
          <w:w w:val="145"/>
        </w:rPr>
        <w:t xml:space="preserve">( </w:t>
      </w:r>
      <w:r>
        <w:t>总粉尘</w:t>
      </w:r>
      <w:r>
        <w:rPr>
          <w:rFonts w:hint="eastAsia" w:ascii="MS UI Gothic" w:eastAsia="MS UI Gothic"/>
          <w:w w:val="80"/>
        </w:rPr>
        <w:t xml:space="preserve">、 </w:t>
      </w:r>
      <w:r>
        <w:t>呼吸性粉尘</w:t>
      </w:r>
      <w:r>
        <w:rPr>
          <w:rFonts w:hint="eastAsia" w:ascii="MS UI Gothic" w:eastAsia="MS UI Gothic"/>
          <w:w w:val="145"/>
        </w:rPr>
        <w:t xml:space="preserve">)  </w:t>
      </w:r>
      <w:r>
        <w:t>浓度应当符合表</w:t>
      </w:r>
      <w:r>
        <w:rPr>
          <w:rFonts w:hint="eastAsia" w:ascii="MS UI Gothic" w:eastAsia="MS UI Gothic"/>
          <w:w w:val="80"/>
        </w:rPr>
        <w:t xml:space="preserve">２５ </w:t>
      </w:r>
      <w:r>
        <w:t>的要求</w:t>
      </w:r>
      <w:r>
        <w:rPr>
          <w:rFonts w:hint="eastAsia" w:ascii="MS UI Gothic" w:eastAsia="MS UI Gothic"/>
          <w:w w:val="80"/>
        </w:rPr>
        <w:t xml:space="preserve">ꎮ </w:t>
      </w:r>
      <w:r>
        <w:t>不符合要求的</w:t>
      </w:r>
      <w:r>
        <w:rPr>
          <w:rFonts w:hint="eastAsia" w:ascii="MS UI Gothic" w:eastAsia="MS UI Gothic"/>
          <w:w w:val="80"/>
        </w:rPr>
        <w:t xml:space="preserve">ꎬ </w:t>
      </w:r>
      <w:r>
        <w:t>应当采取有效措施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2"/>
            <w:col w:w="4354"/>
          </w:cols>
        </w:sectPr>
      </w:pPr>
    </w:p>
    <w:p>
      <w:pPr>
        <w:pStyle w:val="6"/>
        <w:spacing w:before="4"/>
        <w:ind w:left="0" w:firstLine="0"/>
        <w:jc w:val="left"/>
        <w:rPr>
          <w:rFonts w:ascii="MS UI Gothic"/>
          <w:sz w:val="10"/>
        </w:rPr>
      </w:pPr>
    </w:p>
    <w:p>
      <w:pPr>
        <w:pStyle w:val="6"/>
        <w:spacing w:before="175"/>
        <w:ind w:left="310" w:right="628" w:firstLine="0"/>
        <w:jc w:val="center"/>
      </w:pPr>
      <w:r>
        <w:rPr>
          <w:w w:val="95"/>
        </w:rPr>
        <w:t xml:space="preserve">表 </w:t>
      </w:r>
      <w:r>
        <w:rPr>
          <w:rFonts w:hint="eastAsia" w:ascii="MS UI Gothic" w:eastAsia="MS UI Gothic"/>
          <w:w w:val="95"/>
        </w:rPr>
        <w:t xml:space="preserve">２５ </w:t>
      </w:r>
      <w:r>
        <w:rPr>
          <w:w w:val="95"/>
        </w:rPr>
        <w:t>作业场所空气中粉尘浓度要求</w:t>
      </w:r>
    </w:p>
    <w:p>
      <w:pPr>
        <w:pStyle w:val="6"/>
        <w:ind w:left="0" w:firstLine="0"/>
        <w:jc w:val="left"/>
        <w:rPr>
          <w:sz w:val="6"/>
        </w:rPr>
      </w:pPr>
    </w:p>
    <w:tbl>
      <w:tblPr>
        <w:tblStyle w:val="7"/>
        <w:tblW w:w="0" w:type="auto"/>
        <w:tblInd w:w="135"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228"/>
        <w:gridCol w:w="2228"/>
        <w:gridCol w:w="1591"/>
        <w:gridCol w:w="1917"/>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228" w:type="dxa"/>
            <w:vMerge w:val="restart"/>
            <w:tcBorders>
              <w:bottom w:val="single" w:color="231F20" w:sz="4" w:space="0"/>
              <w:right w:val="single" w:color="231F20" w:sz="4" w:space="0"/>
            </w:tcBorders>
          </w:tcPr>
          <w:p>
            <w:pPr>
              <w:pStyle w:val="11"/>
              <w:spacing w:before="4"/>
              <w:rPr>
                <w:sz w:val="16"/>
              </w:rPr>
            </w:pPr>
          </w:p>
          <w:p>
            <w:pPr>
              <w:pStyle w:val="11"/>
              <w:ind w:left="509" w:right="499"/>
              <w:jc w:val="center"/>
              <w:rPr>
                <w:sz w:val="15"/>
              </w:rPr>
            </w:pPr>
            <w:r>
              <w:rPr>
                <w:w w:val="105"/>
                <w:sz w:val="15"/>
              </w:rPr>
              <w:t>粉尘种类</w:t>
            </w:r>
          </w:p>
        </w:tc>
        <w:tc>
          <w:tcPr>
            <w:tcW w:w="2228" w:type="dxa"/>
            <w:vMerge w:val="restart"/>
            <w:tcBorders>
              <w:left w:val="single" w:color="231F20" w:sz="4" w:space="0"/>
              <w:bottom w:val="single" w:color="231F20" w:sz="4" w:space="0"/>
              <w:right w:val="single" w:color="231F20" w:sz="4" w:space="0"/>
            </w:tcBorders>
          </w:tcPr>
          <w:p>
            <w:pPr>
              <w:pStyle w:val="11"/>
              <w:spacing w:before="194"/>
              <w:ind w:left="520"/>
              <w:rPr>
                <w:sz w:val="15"/>
              </w:rPr>
            </w:pPr>
            <w:r>
              <w:rPr>
                <w:spacing w:val="1"/>
                <w:w w:val="103"/>
                <w:sz w:val="15"/>
              </w:rPr>
              <w:t>游离</w:t>
            </w:r>
            <w:r>
              <w:rPr>
                <w:spacing w:val="-33"/>
                <w:sz w:val="15"/>
              </w:rPr>
              <w:t xml:space="preserve"> </w:t>
            </w:r>
            <w:r>
              <w:rPr>
                <w:rFonts w:hint="eastAsia" w:ascii="MS UI Gothic" w:eastAsia="MS UI Gothic"/>
                <w:spacing w:val="-1"/>
                <w:w w:val="69"/>
                <w:sz w:val="15"/>
              </w:rPr>
              <w:t>Ｓ</w:t>
            </w:r>
            <w:r>
              <w:rPr>
                <w:rFonts w:hint="eastAsia" w:ascii="MS UI Gothic" w:eastAsia="MS UI Gothic"/>
                <w:spacing w:val="-1"/>
                <w:w w:val="115"/>
                <w:sz w:val="15"/>
              </w:rPr>
              <w:t>ｉ</w:t>
            </w:r>
            <w:r>
              <w:rPr>
                <w:rFonts w:hint="eastAsia" w:ascii="MS UI Gothic" w:eastAsia="MS UI Gothic"/>
                <w:spacing w:val="5"/>
                <w:w w:val="85"/>
                <w:sz w:val="15"/>
              </w:rPr>
              <w:t>Ｏ</w:t>
            </w:r>
            <w:r>
              <w:rPr>
                <w:rFonts w:hint="eastAsia" w:ascii="MS UI Gothic" w:eastAsia="MS UI Gothic"/>
                <w:w w:val="54"/>
                <w:sz w:val="15"/>
                <w:vertAlign w:val="subscript"/>
              </w:rPr>
              <w:t>２</w:t>
            </w:r>
            <w:r>
              <w:rPr>
                <w:rFonts w:hint="eastAsia" w:ascii="MS UI Gothic" w:eastAsia="MS UI Gothic"/>
                <w:spacing w:val="-28"/>
                <w:sz w:val="15"/>
                <w:vertAlign w:val="baseline"/>
              </w:rPr>
              <w:t xml:space="preserve"> </w:t>
            </w:r>
            <w:r>
              <w:rPr>
                <w:spacing w:val="13"/>
                <w:w w:val="103"/>
                <w:sz w:val="15"/>
                <w:vertAlign w:val="baseline"/>
              </w:rPr>
              <w:t>含量</w:t>
            </w:r>
            <w:r>
              <w:rPr>
                <w:rFonts w:hint="eastAsia" w:ascii="MS UI Gothic" w:eastAsia="MS UI Gothic"/>
                <w:w w:val="34"/>
                <w:sz w:val="15"/>
                <w:vertAlign w:val="baseline"/>
              </w:rPr>
              <w:t>/</w:t>
            </w:r>
            <w:r>
              <w:rPr>
                <w:rFonts w:hint="eastAsia" w:ascii="MS UI Gothic" w:eastAsia="MS UI Gothic"/>
                <w:spacing w:val="-12"/>
                <w:sz w:val="15"/>
                <w:vertAlign w:val="baseline"/>
              </w:rPr>
              <w:t xml:space="preserve"> </w:t>
            </w:r>
            <w:r>
              <w:rPr>
                <w:w w:val="74"/>
                <w:sz w:val="15"/>
                <w:vertAlign w:val="baseline"/>
              </w:rPr>
              <w:t>％</w:t>
            </w:r>
          </w:p>
        </w:tc>
        <w:tc>
          <w:tcPr>
            <w:tcW w:w="3508" w:type="dxa"/>
            <w:gridSpan w:val="2"/>
            <w:tcBorders>
              <w:left w:val="single" w:color="231F20" w:sz="4" w:space="0"/>
              <w:bottom w:val="single" w:color="231F20" w:sz="4" w:space="0"/>
            </w:tcBorders>
          </w:tcPr>
          <w:p>
            <w:pPr>
              <w:pStyle w:val="11"/>
              <w:spacing w:before="38"/>
              <w:ind w:left="489"/>
              <w:rPr>
                <w:rFonts w:hint="eastAsia" w:ascii="MS UI Gothic" w:eastAsia="MS UI Gothic"/>
                <w:sz w:val="15"/>
              </w:rPr>
            </w:pPr>
            <w:r>
              <w:rPr>
                <w:spacing w:val="5"/>
                <w:w w:val="103"/>
                <w:sz w:val="15"/>
              </w:rPr>
              <w:t>时间加权平均容许浓度</w:t>
            </w:r>
            <w:r>
              <w:rPr>
                <w:rFonts w:hint="eastAsia" w:ascii="MS UI Gothic" w:eastAsia="MS UI Gothic"/>
                <w:w w:val="34"/>
                <w:sz w:val="15"/>
              </w:rPr>
              <w:t>/</w:t>
            </w:r>
            <w:r>
              <w:rPr>
                <w:rFonts w:hint="eastAsia" w:ascii="MS UI Gothic" w:eastAsia="MS UI Gothic"/>
                <w:spacing w:val="11"/>
                <w:sz w:val="15"/>
              </w:rPr>
              <w:t xml:space="preserve">  </w:t>
            </w:r>
            <w:r>
              <w:rPr>
                <w:rFonts w:hint="eastAsia" w:ascii="MS UI Gothic" w:eastAsia="MS UI Gothic"/>
                <w:w w:val="169"/>
                <w:sz w:val="15"/>
              </w:rPr>
              <w:t>(</w:t>
            </w:r>
            <w:r>
              <w:rPr>
                <w:rFonts w:hint="eastAsia" w:ascii="MS UI Gothic" w:eastAsia="MS UI Gothic"/>
                <w:spacing w:val="-29"/>
                <w:sz w:val="15"/>
              </w:rPr>
              <w:t xml:space="preserve"> </w:t>
            </w:r>
            <w:r>
              <w:rPr>
                <w:rFonts w:hint="eastAsia" w:ascii="MS UI Gothic" w:eastAsia="MS UI Gothic"/>
                <w:spacing w:val="-2"/>
                <w:w w:val="79"/>
                <w:sz w:val="15"/>
              </w:rPr>
              <w:t>ｍ</w:t>
            </w:r>
            <w:r>
              <w:rPr>
                <w:rFonts w:hint="eastAsia" w:ascii="MS UI Gothic" w:eastAsia="MS UI Gothic"/>
                <w:spacing w:val="2"/>
                <w:w w:val="79"/>
                <w:sz w:val="15"/>
              </w:rPr>
              <w:t>ｇ</w:t>
            </w:r>
            <w:r>
              <w:rPr>
                <w:rFonts w:hint="eastAsia" w:ascii="MS UI Gothic" w:eastAsia="MS UI Gothic"/>
                <w:spacing w:val="8"/>
                <w:w w:val="79"/>
                <w:sz w:val="15"/>
              </w:rPr>
              <w:t>ｍ</w:t>
            </w:r>
            <w:r>
              <w:rPr>
                <w:rFonts w:hint="eastAsia" w:ascii="MS UI Gothic" w:eastAsia="MS UI Gothic"/>
                <w:spacing w:val="7"/>
                <w:w w:val="56"/>
                <w:position w:val="7"/>
                <w:sz w:val="10"/>
              </w:rPr>
              <w:t>－</w:t>
            </w:r>
            <w:r>
              <w:rPr>
                <w:rFonts w:hint="eastAsia" w:ascii="MS UI Gothic" w:eastAsia="MS UI Gothic"/>
                <w:w w:val="75"/>
                <w:position w:val="6"/>
                <w:sz w:val="10"/>
              </w:rPr>
              <w:t>３</w:t>
            </w:r>
            <w:r>
              <w:rPr>
                <w:rFonts w:hint="eastAsia" w:ascii="MS UI Gothic" w:eastAsia="MS UI Gothic"/>
                <w:spacing w:val="-13"/>
                <w:position w:val="6"/>
                <w:sz w:val="10"/>
              </w:rPr>
              <w:t xml:space="preserve"> </w:t>
            </w:r>
            <w:r>
              <w:rPr>
                <w:rFonts w:hint="eastAsia" w:ascii="MS UI Gothic" w:eastAsia="MS UI Gothic"/>
                <w:w w:val="169"/>
                <w:sz w:val="15"/>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228" w:type="dxa"/>
            <w:vMerge w:val="continue"/>
            <w:tcBorders>
              <w:top w:val="nil"/>
              <w:bottom w:val="single" w:color="231F20" w:sz="4" w:space="0"/>
              <w:right w:val="single" w:color="231F20" w:sz="4" w:space="0"/>
            </w:tcBorders>
          </w:tcPr>
          <w:p>
            <w:pPr>
              <w:rPr>
                <w:sz w:val="2"/>
                <w:szCs w:val="2"/>
              </w:rPr>
            </w:pPr>
          </w:p>
        </w:tc>
        <w:tc>
          <w:tcPr>
            <w:tcW w:w="2228" w:type="dxa"/>
            <w:vMerge w:val="continue"/>
            <w:tcBorders>
              <w:top w:val="nil"/>
              <w:left w:val="single" w:color="231F20" w:sz="4" w:space="0"/>
              <w:bottom w:val="single" w:color="231F20" w:sz="4" w:space="0"/>
              <w:right w:val="single" w:color="231F20" w:sz="4" w:space="0"/>
            </w:tcBorders>
          </w:tcPr>
          <w:p>
            <w:pPr>
              <w:rPr>
                <w:sz w:val="2"/>
                <w:szCs w:val="2"/>
              </w:rPr>
            </w:pPr>
          </w:p>
        </w:tc>
        <w:tc>
          <w:tcPr>
            <w:tcW w:w="1591" w:type="dxa"/>
            <w:tcBorders>
              <w:top w:val="single" w:color="231F20" w:sz="4" w:space="0"/>
              <w:left w:val="single" w:color="231F20" w:sz="4" w:space="0"/>
              <w:bottom w:val="single" w:color="231F20" w:sz="4" w:space="0"/>
              <w:right w:val="single" w:color="231F20" w:sz="4" w:space="0"/>
            </w:tcBorders>
          </w:tcPr>
          <w:p>
            <w:pPr>
              <w:pStyle w:val="11"/>
              <w:spacing w:before="55"/>
              <w:ind w:left="620" w:right="605"/>
              <w:jc w:val="center"/>
              <w:rPr>
                <w:sz w:val="15"/>
              </w:rPr>
            </w:pPr>
            <w:r>
              <w:rPr>
                <w:w w:val="105"/>
                <w:sz w:val="15"/>
              </w:rPr>
              <w:t>总尘</w:t>
            </w:r>
          </w:p>
        </w:tc>
        <w:tc>
          <w:tcPr>
            <w:tcW w:w="1917" w:type="dxa"/>
            <w:tcBorders>
              <w:top w:val="single" w:color="231F20" w:sz="4" w:space="0"/>
              <w:left w:val="single" w:color="231F20" w:sz="4" w:space="0"/>
              <w:bottom w:val="single" w:color="231F20" w:sz="4" w:space="0"/>
            </w:tcBorders>
          </w:tcPr>
          <w:p>
            <w:pPr>
              <w:pStyle w:val="11"/>
              <w:spacing w:before="55"/>
              <w:ind w:left="784" w:right="763"/>
              <w:jc w:val="center"/>
              <w:rPr>
                <w:sz w:val="15"/>
              </w:rPr>
            </w:pPr>
            <w:r>
              <w:rPr>
                <w:w w:val="105"/>
                <w:sz w:val="15"/>
              </w:rPr>
              <w:t>呼尘</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228" w:type="dxa"/>
            <w:tcBorders>
              <w:top w:val="single" w:color="231F20" w:sz="4" w:space="0"/>
              <w:bottom w:val="single" w:color="231F20" w:sz="4" w:space="0"/>
              <w:right w:val="single" w:color="231F20" w:sz="4" w:space="0"/>
            </w:tcBorders>
          </w:tcPr>
          <w:p>
            <w:pPr>
              <w:pStyle w:val="11"/>
              <w:spacing w:before="55"/>
              <w:ind w:left="509" w:right="499"/>
              <w:jc w:val="center"/>
              <w:rPr>
                <w:sz w:val="15"/>
              </w:rPr>
            </w:pPr>
            <w:r>
              <w:rPr>
                <w:w w:val="105"/>
                <w:sz w:val="15"/>
              </w:rPr>
              <w:t>煤尘</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55"/>
              <w:ind w:left="143" w:right="123"/>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１０</w:t>
            </w:r>
          </w:p>
        </w:tc>
        <w:tc>
          <w:tcPr>
            <w:tcW w:w="1591" w:type="dxa"/>
            <w:tcBorders>
              <w:top w:val="single" w:color="231F20" w:sz="4" w:space="0"/>
              <w:left w:val="single" w:color="231F20" w:sz="4" w:space="0"/>
              <w:bottom w:val="single" w:color="231F20" w:sz="4" w:space="0"/>
              <w:right w:val="single" w:color="231F20" w:sz="4" w:space="0"/>
            </w:tcBorders>
          </w:tcPr>
          <w:p>
            <w:pPr>
              <w:pStyle w:val="11"/>
              <w:spacing w:before="55"/>
              <w:ind w:left="11"/>
              <w:jc w:val="center"/>
              <w:rPr>
                <w:rFonts w:hint="eastAsia" w:ascii="MS UI Gothic" w:eastAsia="MS UI Gothic"/>
                <w:sz w:val="15"/>
              </w:rPr>
            </w:pPr>
            <w:r>
              <w:rPr>
                <w:rFonts w:hint="eastAsia" w:ascii="MS UI Gothic" w:eastAsia="MS UI Gothic"/>
                <w:w w:val="75"/>
                <w:sz w:val="15"/>
              </w:rPr>
              <w:t>４</w:t>
            </w:r>
          </w:p>
        </w:tc>
        <w:tc>
          <w:tcPr>
            <w:tcW w:w="1917" w:type="dxa"/>
            <w:tcBorders>
              <w:top w:val="single" w:color="231F20" w:sz="4" w:space="0"/>
              <w:left w:val="single" w:color="231F20" w:sz="4" w:space="0"/>
              <w:bottom w:val="single" w:color="231F20" w:sz="4" w:space="0"/>
            </w:tcBorders>
          </w:tcPr>
          <w:p>
            <w:pPr>
              <w:pStyle w:val="11"/>
              <w:spacing w:before="55"/>
              <w:ind w:left="780" w:right="763"/>
              <w:jc w:val="center"/>
              <w:rPr>
                <w:rFonts w:hint="eastAsia" w:ascii="MS UI Gothic" w:eastAsia="MS UI Gothic"/>
                <w:sz w:val="15"/>
              </w:rPr>
            </w:pPr>
            <w:r>
              <w:rPr>
                <w:rFonts w:hint="eastAsia" w:ascii="MS UI Gothic" w:eastAsia="MS UI Gothic"/>
                <w:w w:val="90"/>
                <w:sz w:val="15"/>
              </w:rPr>
              <w:t>２ ５</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228" w:type="dxa"/>
            <w:vMerge w:val="restart"/>
            <w:tcBorders>
              <w:top w:val="single" w:color="231F20" w:sz="4" w:space="0"/>
              <w:bottom w:val="single" w:color="231F20" w:sz="4" w:space="0"/>
              <w:right w:val="single" w:color="231F20" w:sz="4" w:space="0"/>
            </w:tcBorders>
          </w:tcPr>
          <w:p>
            <w:pPr>
              <w:pStyle w:val="11"/>
              <w:rPr>
                <w:sz w:val="18"/>
              </w:rPr>
            </w:pPr>
          </w:p>
          <w:p>
            <w:pPr>
              <w:pStyle w:val="11"/>
              <w:spacing w:before="143"/>
              <w:ind w:left="509" w:right="499"/>
              <w:jc w:val="center"/>
              <w:rPr>
                <w:sz w:val="15"/>
              </w:rPr>
            </w:pPr>
            <w:r>
              <w:rPr>
                <w:w w:val="105"/>
                <w:sz w:val="15"/>
              </w:rPr>
              <w:t>矽尘</w:t>
            </w: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55"/>
              <w:ind w:left="143" w:right="134"/>
              <w:jc w:val="center"/>
              <w:rPr>
                <w:rFonts w:hint="eastAsia" w:ascii="MS UI Gothic" w:eastAsia="MS UI Gothic"/>
                <w:sz w:val="15"/>
              </w:rPr>
            </w:pPr>
            <w:r>
              <w:rPr>
                <w:rFonts w:hint="eastAsia" w:ascii="MS UI Gothic" w:eastAsia="MS UI Gothic"/>
                <w:w w:val="95"/>
                <w:sz w:val="15"/>
              </w:rPr>
              <w:t xml:space="preserve">１０ </w:t>
            </w:r>
            <w:r>
              <w:rPr>
                <w:rFonts w:hint="eastAsia" w:ascii="MS UI Gothic" w:eastAsia="MS UI Gothic"/>
                <w:w w:val="115"/>
                <w:sz w:val="15"/>
              </w:rPr>
              <w:t xml:space="preserve">~ </w:t>
            </w:r>
            <w:r>
              <w:rPr>
                <w:rFonts w:hint="eastAsia" w:ascii="MS UI Gothic" w:eastAsia="MS UI Gothic"/>
                <w:w w:val="95"/>
                <w:sz w:val="15"/>
              </w:rPr>
              <w:t>５０</w:t>
            </w:r>
          </w:p>
        </w:tc>
        <w:tc>
          <w:tcPr>
            <w:tcW w:w="1591" w:type="dxa"/>
            <w:tcBorders>
              <w:top w:val="single" w:color="231F20" w:sz="4" w:space="0"/>
              <w:left w:val="single" w:color="231F20" w:sz="4" w:space="0"/>
              <w:bottom w:val="single" w:color="231F20" w:sz="4" w:space="0"/>
              <w:right w:val="single" w:color="231F20" w:sz="4" w:space="0"/>
            </w:tcBorders>
          </w:tcPr>
          <w:p>
            <w:pPr>
              <w:pStyle w:val="11"/>
              <w:spacing w:before="55"/>
              <w:ind w:left="11"/>
              <w:jc w:val="center"/>
              <w:rPr>
                <w:rFonts w:hint="eastAsia" w:ascii="MS UI Gothic" w:eastAsia="MS UI Gothic"/>
                <w:sz w:val="15"/>
              </w:rPr>
            </w:pPr>
            <w:r>
              <w:rPr>
                <w:rFonts w:hint="eastAsia" w:ascii="MS UI Gothic" w:eastAsia="MS UI Gothic"/>
                <w:w w:val="75"/>
                <w:sz w:val="15"/>
              </w:rPr>
              <w:t>１</w:t>
            </w:r>
          </w:p>
        </w:tc>
        <w:tc>
          <w:tcPr>
            <w:tcW w:w="1917" w:type="dxa"/>
            <w:tcBorders>
              <w:top w:val="single" w:color="231F20" w:sz="4" w:space="0"/>
              <w:left w:val="single" w:color="231F20" w:sz="4" w:space="0"/>
              <w:bottom w:val="single" w:color="231F20" w:sz="4" w:space="0"/>
            </w:tcBorders>
          </w:tcPr>
          <w:p>
            <w:pPr>
              <w:pStyle w:val="11"/>
              <w:spacing w:before="55"/>
              <w:ind w:left="780" w:right="763"/>
              <w:jc w:val="center"/>
              <w:rPr>
                <w:rFonts w:hint="eastAsia" w:ascii="MS UI Gothic" w:eastAsia="MS UI Gothic"/>
                <w:sz w:val="15"/>
              </w:rPr>
            </w:pPr>
            <w:r>
              <w:rPr>
                <w:rFonts w:hint="eastAsia" w:ascii="MS UI Gothic" w:eastAsia="MS UI Gothic"/>
                <w:w w:val="90"/>
                <w:sz w:val="15"/>
              </w:rPr>
              <w:t>０ ７</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228" w:type="dxa"/>
            <w:vMerge w:val="continue"/>
            <w:tcBorders>
              <w:top w:val="nil"/>
              <w:bottom w:val="single" w:color="231F20" w:sz="4" w:space="0"/>
              <w:right w:val="single" w:color="231F20" w:sz="4" w:space="0"/>
            </w:tcBorders>
          </w:tcPr>
          <w:p>
            <w:pPr>
              <w:rPr>
                <w:sz w:val="2"/>
                <w:szCs w:val="2"/>
              </w:rPr>
            </w:pP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55"/>
              <w:ind w:left="143" w:right="134"/>
              <w:jc w:val="center"/>
              <w:rPr>
                <w:rFonts w:hint="eastAsia" w:ascii="MS UI Gothic" w:eastAsia="MS UI Gothic"/>
                <w:sz w:val="15"/>
              </w:rPr>
            </w:pPr>
            <w:r>
              <w:rPr>
                <w:rFonts w:hint="eastAsia" w:ascii="MS UI Gothic" w:eastAsia="MS UI Gothic"/>
                <w:w w:val="95"/>
                <w:sz w:val="15"/>
              </w:rPr>
              <w:t xml:space="preserve">５０ </w:t>
            </w:r>
            <w:r>
              <w:rPr>
                <w:rFonts w:hint="eastAsia" w:ascii="MS UI Gothic" w:eastAsia="MS UI Gothic"/>
                <w:w w:val="115"/>
                <w:sz w:val="15"/>
              </w:rPr>
              <w:t xml:space="preserve">~ </w:t>
            </w:r>
            <w:r>
              <w:rPr>
                <w:rFonts w:hint="eastAsia" w:ascii="MS UI Gothic" w:eastAsia="MS UI Gothic"/>
                <w:w w:val="95"/>
                <w:sz w:val="15"/>
              </w:rPr>
              <w:t>８０</w:t>
            </w:r>
          </w:p>
        </w:tc>
        <w:tc>
          <w:tcPr>
            <w:tcW w:w="1591" w:type="dxa"/>
            <w:tcBorders>
              <w:top w:val="single" w:color="231F20" w:sz="4" w:space="0"/>
              <w:left w:val="single" w:color="231F20" w:sz="4" w:space="0"/>
              <w:bottom w:val="single" w:color="231F20" w:sz="4" w:space="0"/>
              <w:right w:val="single" w:color="231F20" w:sz="4" w:space="0"/>
            </w:tcBorders>
          </w:tcPr>
          <w:p>
            <w:pPr>
              <w:pStyle w:val="11"/>
              <w:spacing w:before="55"/>
              <w:ind w:left="616" w:right="605"/>
              <w:jc w:val="center"/>
              <w:rPr>
                <w:rFonts w:hint="eastAsia" w:ascii="MS UI Gothic" w:eastAsia="MS UI Gothic"/>
                <w:sz w:val="15"/>
              </w:rPr>
            </w:pPr>
            <w:r>
              <w:rPr>
                <w:rFonts w:hint="eastAsia" w:ascii="MS UI Gothic" w:eastAsia="MS UI Gothic"/>
                <w:w w:val="90"/>
                <w:sz w:val="15"/>
              </w:rPr>
              <w:t>０ ７</w:t>
            </w:r>
          </w:p>
        </w:tc>
        <w:tc>
          <w:tcPr>
            <w:tcW w:w="1917" w:type="dxa"/>
            <w:tcBorders>
              <w:top w:val="single" w:color="231F20" w:sz="4" w:space="0"/>
              <w:left w:val="single" w:color="231F20" w:sz="4" w:space="0"/>
              <w:bottom w:val="single" w:color="231F20" w:sz="4" w:space="0"/>
            </w:tcBorders>
          </w:tcPr>
          <w:p>
            <w:pPr>
              <w:pStyle w:val="11"/>
              <w:spacing w:before="55"/>
              <w:ind w:left="780" w:right="763"/>
              <w:jc w:val="center"/>
              <w:rPr>
                <w:rFonts w:hint="eastAsia" w:ascii="MS UI Gothic" w:eastAsia="MS UI Gothic"/>
                <w:sz w:val="15"/>
              </w:rPr>
            </w:pPr>
            <w:r>
              <w:rPr>
                <w:rFonts w:hint="eastAsia" w:ascii="MS UI Gothic" w:eastAsia="MS UI Gothic"/>
                <w:w w:val="90"/>
                <w:sz w:val="15"/>
              </w:rPr>
              <w:t>０ ３</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2228" w:type="dxa"/>
            <w:vMerge w:val="continue"/>
            <w:tcBorders>
              <w:top w:val="nil"/>
              <w:bottom w:val="single" w:color="231F20" w:sz="4" w:space="0"/>
              <w:right w:val="single" w:color="231F20" w:sz="4" w:space="0"/>
            </w:tcBorders>
          </w:tcPr>
          <w:p>
            <w:pPr>
              <w:rPr>
                <w:sz w:val="2"/>
                <w:szCs w:val="2"/>
              </w:rPr>
            </w:pPr>
          </w:p>
        </w:tc>
        <w:tc>
          <w:tcPr>
            <w:tcW w:w="2228" w:type="dxa"/>
            <w:tcBorders>
              <w:top w:val="single" w:color="231F20" w:sz="4" w:space="0"/>
              <w:left w:val="single" w:color="231F20" w:sz="4" w:space="0"/>
              <w:bottom w:val="single" w:color="231F20" w:sz="4" w:space="0"/>
              <w:right w:val="single" w:color="231F20" w:sz="4" w:space="0"/>
            </w:tcBorders>
          </w:tcPr>
          <w:p>
            <w:pPr>
              <w:pStyle w:val="11"/>
              <w:spacing w:before="55"/>
              <w:ind w:left="143" w:right="128"/>
              <w:jc w:val="center"/>
              <w:rPr>
                <w:rFonts w:hint="eastAsia" w:ascii="MS UI Gothic" w:hAnsi="MS UI Gothic" w:eastAsia="MS UI Gothic"/>
                <w:sz w:val="15"/>
              </w:rPr>
            </w:pPr>
            <w:r>
              <w:rPr>
                <w:rFonts w:hint="eastAsia" w:ascii="MS UI Gothic" w:hAnsi="MS UI Gothic" w:eastAsia="MS UI Gothic"/>
                <w:spacing w:val="-1"/>
                <w:w w:val="205"/>
                <w:sz w:val="15"/>
              </w:rPr>
              <w:t>≥</w:t>
            </w:r>
            <w:r>
              <w:rPr>
                <w:rFonts w:hint="eastAsia" w:ascii="MS UI Gothic" w:hAnsi="MS UI Gothic" w:eastAsia="MS UI Gothic"/>
                <w:w w:val="75"/>
                <w:sz w:val="15"/>
              </w:rPr>
              <w:t>８０</w:t>
            </w:r>
          </w:p>
        </w:tc>
        <w:tc>
          <w:tcPr>
            <w:tcW w:w="1591" w:type="dxa"/>
            <w:tcBorders>
              <w:top w:val="single" w:color="231F20" w:sz="4" w:space="0"/>
              <w:left w:val="single" w:color="231F20" w:sz="4" w:space="0"/>
              <w:bottom w:val="single" w:color="231F20" w:sz="4" w:space="0"/>
              <w:right w:val="single" w:color="231F20" w:sz="4" w:space="0"/>
            </w:tcBorders>
          </w:tcPr>
          <w:p>
            <w:pPr>
              <w:pStyle w:val="11"/>
              <w:spacing w:before="55"/>
              <w:ind w:left="616" w:right="605"/>
              <w:jc w:val="center"/>
              <w:rPr>
                <w:rFonts w:hint="eastAsia" w:ascii="MS UI Gothic" w:eastAsia="MS UI Gothic"/>
                <w:sz w:val="15"/>
              </w:rPr>
            </w:pPr>
            <w:r>
              <w:rPr>
                <w:rFonts w:hint="eastAsia" w:ascii="MS UI Gothic" w:eastAsia="MS UI Gothic"/>
                <w:w w:val="90"/>
                <w:sz w:val="15"/>
              </w:rPr>
              <w:t>０ ５</w:t>
            </w:r>
          </w:p>
        </w:tc>
        <w:tc>
          <w:tcPr>
            <w:tcW w:w="1917" w:type="dxa"/>
            <w:tcBorders>
              <w:top w:val="single" w:color="231F20" w:sz="4" w:space="0"/>
              <w:left w:val="single" w:color="231F20" w:sz="4" w:space="0"/>
              <w:bottom w:val="single" w:color="231F20" w:sz="4" w:space="0"/>
            </w:tcBorders>
          </w:tcPr>
          <w:p>
            <w:pPr>
              <w:pStyle w:val="11"/>
              <w:spacing w:before="55"/>
              <w:ind w:left="780" w:right="763"/>
              <w:jc w:val="center"/>
              <w:rPr>
                <w:rFonts w:hint="eastAsia" w:ascii="MS UI Gothic" w:eastAsia="MS UI Gothic"/>
                <w:sz w:val="15"/>
              </w:rPr>
            </w:pPr>
            <w:r>
              <w:rPr>
                <w:rFonts w:hint="eastAsia" w:ascii="MS UI Gothic" w:eastAsia="MS UI Gothic"/>
                <w:w w:val="90"/>
                <w:sz w:val="15"/>
              </w:rPr>
              <w:t>０ ２</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2228" w:type="dxa"/>
            <w:tcBorders>
              <w:top w:val="single" w:color="231F20" w:sz="4" w:space="0"/>
              <w:right w:val="single" w:color="231F20" w:sz="4" w:space="0"/>
            </w:tcBorders>
          </w:tcPr>
          <w:p>
            <w:pPr>
              <w:pStyle w:val="11"/>
              <w:spacing w:before="55"/>
              <w:ind w:left="509" w:right="499"/>
              <w:jc w:val="center"/>
              <w:rPr>
                <w:sz w:val="15"/>
              </w:rPr>
            </w:pPr>
            <w:r>
              <w:rPr>
                <w:w w:val="105"/>
                <w:sz w:val="15"/>
              </w:rPr>
              <w:t>水泥尘</w:t>
            </w:r>
          </w:p>
        </w:tc>
        <w:tc>
          <w:tcPr>
            <w:tcW w:w="2228" w:type="dxa"/>
            <w:tcBorders>
              <w:top w:val="single" w:color="231F20" w:sz="4" w:space="0"/>
              <w:left w:val="single" w:color="231F20" w:sz="4" w:space="0"/>
              <w:right w:val="single" w:color="231F20" w:sz="4" w:space="0"/>
            </w:tcBorders>
          </w:tcPr>
          <w:p>
            <w:pPr>
              <w:pStyle w:val="11"/>
              <w:spacing w:before="55"/>
              <w:ind w:left="143" w:right="123"/>
              <w:jc w:val="center"/>
              <w:rPr>
                <w:rFonts w:hint="eastAsia" w:ascii="MS UI Gothic" w:eastAsia="MS UI Gothic"/>
                <w:sz w:val="15"/>
              </w:rPr>
            </w:pPr>
            <w:r>
              <w:rPr>
                <w:rFonts w:hint="eastAsia" w:ascii="MS UI Gothic" w:eastAsia="MS UI Gothic"/>
                <w:spacing w:val="12"/>
                <w:w w:val="172"/>
                <w:sz w:val="15"/>
              </w:rPr>
              <w:t>&lt;</w:t>
            </w:r>
            <w:r>
              <w:rPr>
                <w:rFonts w:hint="eastAsia" w:ascii="MS UI Gothic" w:eastAsia="MS UI Gothic"/>
                <w:w w:val="75"/>
                <w:sz w:val="15"/>
              </w:rPr>
              <w:t>１０</w:t>
            </w:r>
          </w:p>
        </w:tc>
        <w:tc>
          <w:tcPr>
            <w:tcW w:w="1591" w:type="dxa"/>
            <w:tcBorders>
              <w:top w:val="single" w:color="231F20" w:sz="4" w:space="0"/>
              <w:left w:val="single" w:color="231F20" w:sz="4" w:space="0"/>
              <w:right w:val="single" w:color="231F20" w:sz="4" w:space="0"/>
            </w:tcBorders>
          </w:tcPr>
          <w:p>
            <w:pPr>
              <w:pStyle w:val="11"/>
              <w:spacing w:before="55"/>
              <w:ind w:left="11"/>
              <w:jc w:val="center"/>
              <w:rPr>
                <w:rFonts w:hint="eastAsia" w:ascii="MS UI Gothic" w:eastAsia="MS UI Gothic"/>
                <w:sz w:val="15"/>
              </w:rPr>
            </w:pPr>
            <w:r>
              <w:rPr>
                <w:rFonts w:hint="eastAsia" w:ascii="MS UI Gothic" w:eastAsia="MS UI Gothic"/>
                <w:w w:val="75"/>
                <w:sz w:val="15"/>
              </w:rPr>
              <w:t>４</w:t>
            </w:r>
          </w:p>
        </w:tc>
        <w:tc>
          <w:tcPr>
            <w:tcW w:w="1917" w:type="dxa"/>
            <w:tcBorders>
              <w:top w:val="single" w:color="231F20" w:sz="4" w:space="0"/>
              <w:left w:val="single" w:color="231F20" w:sz="4" w:space="0"/>
            </w:tcBorders>
          </w:tcPr>
          <w:p>
            <w:pPr>
              <w:pStyle w:val="11"/>
              <w:spacing w:before="55"/>
              <w:ind w:left="780" w:right="763"/>
              <w:jc w:val="center"/>
              <w:rPr>
                <w:rFonts w:hint="eastAsia" w:ascii="MS UI Gothic" w:eastAsia="MS UI Gothic"/>
                <w:sz w:val="15"/>
              </w:rPr>
            </w:pPr>
            <w:r>
              <w:rPr>
                <w:rFonts w:hint="eastAsia" w:ascii="MS UI Gothic" w:eastAsia="MS UI Gothic"/>
                <w:w w:val="90"/>
                <w:sz w:val="15"/>
              </w:rPr>
              <w:t>１ ５</w:t>
            </w:r>
          </w:p>
        </w:tc>
      </w:tr>
    </w:tbl>
    <w:p>
      <w:pPr>
        <w:spacing w:before="79"/>
        <w:ind w:left="283" w:right="0" w:firstLine="0"/>
        <w:jc w:val="left"/>
        <w:rPr>
          <w:rFonts w:hint="eastAsia" w:ascii="MS UI Gothic" w:eastAsia="MS UI Gothic"/>
          <w:sz w:val="15"/>
        </w:rPr>
      </w:pPr>
      <w:r>
        <w:rPr>
          <w:w w:val="105"/>
          <w:sz w:val="15"/>
        </w:rPr>
        <w:t>注</w:t>
      </w:r>
      <w:r>
        <w:rPr>
          <w:rFonts w:hint="eastAsia" w:ascii="MS UI Gothic" w:eastAsia="MS UI Gothic"/>
          <w:w w:val="235"/>
          <w:sz w:val="15"/>
        </w:rPr>
        <w:t xml:space="preserve">: </w:t>
      </w:r>
      <w:r>
        <w:rPr>
          <w:w w:val="105"/>
          <w:sz w:val="15"/>
        </w:rPr>
        <w:t xml:space="preserve">时间加权平均容许浓度是以时间加权数规定的 </w:t>
      </w:r>
      <w:r>
        <w:rPr>
          <w:rFonts w:hint="eastAsia" w:ascii="MS UI Gothic" w:eastAsia="MS UI Gothic"/>
          <w:w w:val="95"/>
          <w:sz w:val="15"/>
        </w:rPr>
        <w:t xml:space="preserve">８ ｈ </w:t>
      </w:r>
      <w:r>
        <w:rPr>
          <w:w w:val="105"/>
          <w:sz w:val="15"/>
        </w:rPr>
        <w:t>工作日</w:t>
      </w:r>
      <w:r>
        <w:rPr>
          <w:rFonts w:hint="eastAsia" w:ascii="MS UI Gothic" w:eastAsia="MS UI Gothic"/>
          <w:w w:val="95"/>
          <w:sz w:val="15"/>
        </w:rPr>
        <w:t xml:space="preserve">、 ４０ ｈ </w:t>
      </w:r>
      <w:r>
        <w:rPr>
          <w:w w:val="105"/>
          <w:sz w:val="15"/>
        </w:rPr>
        <w:t>工作周的平均容许接触浓度</w:t>
      </w:r>
      <w:r>
        <w:rPr>
          <w:rFonts w:hint="eastAsia" w:ascii="MS UI Gothic" w:eastAsia="MS UI Gothic"/>
          <w:w w:val="80"/>
          <w:sz w:val="15"/>
        </w:rPr>
        <w:t>ꎮ</w:t>
      </w:r>
    </w:p>
    <w:p>
      <w:pPr>
        <w:pStyle w:val="6"/>
        <w:spacing w:before="11"/>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spacing w:before="174" w:line="295" w:lineRule="auto"/>
        <w:ind w:right="38"/>
        <w:rPr>
          <w:rFonts w:hint="eastAsia" w:ascii="MS UI Gothic" w:eastAsia="MS UI Gothic"/>
        </w:rPr>
      </w:pPr>
      <w:r>
        <w:t>第六百四十一条 粉尘监测应当采用定点监测</w:t>
      </w:r>
      <w:r>
        <w:rPr>
          <w:rFonts w:hint="eastAsia" w:ascii="MS UI Gothic" w:eastAsia="MS UI Gothic"/>
          <w:w w:val="80"/>
        </w:rPr>
        <w:t xml:space="preserve">、 </w:t>
      </w:r>
      <w:r>
        <w:t>个体监测方法</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第六百四十二条 煤矿必须对生产性</w:t>
      </w:r>
      <w:r>
        <w:rPr>
          <w:w w:val="110"/>
        </w:rPr>
        <w:t>粉尘进行监测</w:t>
      </w:r>
      <w:r>
        <w:rPr>
          <w:rFonts w:hint="eastAsia" w:ascii="MS UI Gothic" w:eastAsia="MS UI Gothic"/>
          <w:w w:val="80"/>
        </w:rPr>
        <w:t xml:space="preserve">ꎬ </w:t>
      </w:r>
      <w:r>
        <w:rPr>
          <w:w w:val="110"/>
        </w:rPr>
        <w:t>并遵守下列规定</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总粉尘浓度</w:t>
      </w:r>
      <w:r>
        <w:rPr>
          <w:rFonts w:hint="eastAsia" w:ascii="MS UI Gothic" w:eastAsia="MS UI Gothic"/>
          <w:w w:val="80"/>
        </w:rPr>
        <w:t xml:space="preserve">ꎬ </w:t>
      </w:r>
      <w:r>
        <w:t xml:space="preserve">井工煤矿每月测定 </w:t>
      </w:r>
      <w:r>
        <w:rPr>
          <w:rFonts w:hint="eastAsia" w:ascii="MS UI Gothic" w:eastAsia="MS UI Gothic"/>
          <w:w w:val="80"/>
        </w:rPr>
        <w:t xml:space="preserve">２ </w:t>
      </w:r>
      <w:r>
        <w:t>次</w:t>
      </w:r>
      <w:r>
        <w:rPr>
          <w:rFonts w:hint="eastAsia" w:ascii="MS UI Gothic" w:eastAsia="MS UI Gothic"/>
          <w:w w:val="80"/>
        </w:rPr>
        <w:t xml:space="preserve">ꎻ </w:t>
      </w:r>
      <w:r>
        <w:t xml:space="preserve">露天煤矿每月测定 </w:t>
      </w:r>
      <w:r>
        <w:rPr>
          <w:rFonts w:hint="eastAsia" w:ascii="MS UI Gothic" w:eastAsia="MS UI Gothic"/>
          <w:w w:val="80"/>
        </w:rPr>
        <w:t xml:space="preserve">１ </w:t>
      </w:r>
      <w:r>
        <w:t>次</w:t>
      </w:r>
      <w:r>
        <w:rPr>
          <w:rFonts w:hint="eastAsia" w:ascii="MS UI Gothic" w:eastAsia="MS UI Gothic"/>
          <w:w w:val="80"/>
        </w:rPr>
        <w:t xml:space="preserve">ꎮ </w:t>
      </w:r>
      <w:r>
        <w:t xml:space="preserve">粉尘分散度每 </w:t>
      </w:r>
      <w:r>
        <w:rPr>
          <w:rFonts w:hint="eastAsia" w:ascii="MS UI Gothic" w:eastAsia="MS UI Gothic"/>
          <w:w w:val="80"/>
        </w:rPr>
        <w:t xml:space="preserve">６ </w:t>
      </w:r>
      <w:r>
        <w:t xml:space="preserve">个月测定 </w:t>
      </w:r>
      <w:r>
        <w:rPr>
          <w:rFonts w:hint="eastAsia" w:ascii="MS UI Gothic" w:eastAsia="MS UI Gothic"/>
          <w:w w:val="80"/>
        </w:rPr>
        <w:t xml:space="preserve">１ </w:t>
      </w:r>
      <w:r>
        <w:t>次</w:t>
      </w:r>
      <w:r>
        <w:rPr>
          <w:rFonts w:hint="eastAsia" w:ascii="MS UI Gothic" w:eastAsia="MS UI Gothic"/>
          <w:w w:val="80"/>
        </w:rPr>
        <w:t>ꎮ</w:t>
      </w:r>
    </w:p>
    <w:p>
      <w:pPr>
        <w:pStyle w:val="6"/>
        <w:spacing w:line="295" w:lineRule="auto"/>
        <w:ind w:left="280" w:right="38" w:firstLine="263"/>
        <w:rPr>
          <w:rFonts w:hint="eastAsia" w:ascii="MS UI Gothic" w:eastAsia="MS UI Gothic"/>
        </w:rPr>
      </w:pPr>
      <w:r>
        <w:pict>
          <v:shape id="_x0000_s2031" o:spid="_x0000_s2031" o:spt="202" type="#_x0000_t202" style="position:absolute;left:0pt;margin-left:54.9pt;margin-top:12pt;height:24.35pt;width:5.15pt;mso-position-horizontal-relative:page;z-index:25206784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rFonts w:hint="eastAsia" w:ascii="MS UI Gothic" w:eastAsia="MS UI Gothic"/>
          <w:spacing w:val="-36"/>
          <w:w w:val="130"/>
        </w:rPr>
        <w:t xml:space="preserve">( </w:t>
      </w:r>
      <w:r>
        <w:rPr>
          <w:spacing w:val="29"/>
          <w:w w:val="110"/>
        </w:rPr>
        <w:t>二</w:t>
      </w:r>
      <w:r>
        <w:rPr>
          <w:rFonts w:hint="eastAsia" w:ascii="MS UI Gothic" w:eastAsia="MS UI Gothic"/>
          <w:spacing w:val="-13"/>
          <w:w w:val="130"/>
        </w:rPr>
        <w:t xml:space="preserve">) </w:t>
      </w:r>
      <w:r>
        <w:rPr>
          <w:spacing w:val="40"/>
          <w:w w:val="110"/>
        </w:rPr>
        <w:t>呼吸性粉尘浓度每月测定</w:t>
      </w:r>
      <w:r>
        <w:rPr>
          <w:spacing w:val="3"/>
          <w:w w:val="110"/>
        </w:rPr>
        <w:t>次</w:t>
      </w:r>
      <w:r>
        <w:rPr>
          <w:rFonts w:hint="eastAsia" w:ascii="MS UI Gothic" w:eastAsia="MS UI Gothic"/>
          <w:w w:val="80"/>
        </w:rPr>
        <w:t>ꎮ</w:t>
      </w:r>
    </w:p>
    <w:p>
      <w:pPr>
        <w:pStyle w:val="6"/>
        <w:spacing w:before="174" w:line="295" w:lineRule="auto"/>
        <w:ind w:left="118" w:right="442" w:firstLine="425"/>
        <w:rPr>
          <w:rFonts w:hint="eastAsia" w:ascii="MS UI Gothic" w:eastAsia="MS UI Gothic"/>
        </w:rPr>
      </w:pPr>
      <w:r>
        <w:br w:type="column"/>
      </w:r>
      <w:r>
        <w:rPr>
          <w:rFonts w:hint="eastAsia" w:ascii="MS UI Gothic" w:eastAsia="MS UI Gothic"/>
          <w:w w:val="140"/>
        </w:rPr>
        <w:t xml:space="preserve">( </w:t>
      </w:r>
      <w:r>
        <w:t>三</w:t>
      </w:r>
      <w:r>
        <w:rPr>
          <w:rFonts w:hint="eastAsia" w:ascii="MS UI Gothic" w:eastAsia="MS UI Gothic"/>
          <w:w w:val="140"/>
        </w:rPr>
        <w:t xml:space="preserve">) </w:t>
      </w:r>
      <w:r>
        <w:t xml:space="preserve">粉尘中游离 </w:t>
      </w:r>
      <w:r>
        <w:rPr>
          <w:rFonts w:hint="eastAsia" w:ascii="MS UI Gothic" w:eastAsia="MS UI Gothic"/>
        </w:rPr>
        <w:t xml:space="preserve">ＳｉＯ２ </w:t>
      </w:r>
      <w:r>
        <w:t xml:space="preserve">含量每 </w:t>
      </w:r>
      <w:r>
        <w:rPr>
          <w:rFonts w:hint="eastAsia" w:ascii="MS UI Gothic" w:eastAsia="MS UI Gothic"/>
        </w:rPr>
        <w:t xml:space="preserve">６ </w:t>
      </w:r>
      <w:r>
        <w:t xml:space="preserve">个月测定 </w:t>
      </w:r>
      <w:r>
        <w:rPr>
          <w:rFonts w:hint="eastAsia" w:ascii="MS UI Gothic" w:eastAsia="MS UI Gothic"/>
        </w:rPr>
        <w:t xml:space="preserve">１ </w:t>
      </w:r>
      <w:r>
        <w:t>次</w:t>
      </w:r>
      <w:r>
        <w:rPr>
          <w:rFonts w:hint="eastAsia" w:ascii="MS UI Gothic" w:eastAsia="MS UI Gothic"/>
          <w:w w:val="85"/>
        </w:rPr>
        <w:t xml:space="preserve">ꎬ </w:t>
      </w:r>
      <w:r>
        <w:t>在变更工作面时也必须测定</w:t>
      </w:r>
      <w:r>
        <w:rPr>
          <w:rFonts w:hint="eastAsia" w:ascii="MS UI Gothic" w:eastAsia="MS UI Gothic"/>
        </w:rPr>
        <w:t xml:space="preserve">１ </w:t>
      </w:r>
      <w:r>
        <w:t>次</w:t>
      </w:r>
      <w:r>
        <w:rPr>
          <w:rFonts w:hint="eastAsia" w:ascii="MS UI Gothic" w:eastAsia="MS UI Gothic"/>
          <w:w w:val="85"/>
        </w:rPr>
        <w:t>ꎮ</w:t>
      </w:r>
    </w:p>
    <w:p>
      <w:pPr>
        <w:pStyle w:val="6"/>
        <w:spacing w:line="295" w:lineRule="auto"/>
        <w:ind w:right="442"/>
        <w:rPr>
          <w:rFonts w:hint="eastAsia" w:ascii="MS UI Gothic" w:eastAsia="MS UI Gothic"/>
        </w:rPr>
      </w:pPr>
      <w:r>
        <w:rPr>
          <w:rFonts w:hint="eastAsia" w:ascii="MS UI Gothic" w:eastAsia="MS UI Gothic"/>
          <w:w w:val="140"/>
        </w:rPr>
        <w:t xml:space="preserve">( </w:t>
      </w:r>
      <w:r>
        <w:t>四</w:t>
      </w:r>
      <w:r>
        <w:rPr>
          <w:rFonts w:hint="eastAsia" w:ascii="MS UI Gothic" w:eastAsia="MS UI Gothic"/>
          <w:w w:val="140"/>
        </w:rPr>
        <w:t xml:space="preserve">) </w:t>
      </w:r>
      <w:r>
        <w:t xml:space="preserve">开采深度大于 </w:t>
      </w:r>
      <w:r>
        <w:rPr>
          <w:rFonts w:hint="eastAsia" w:ascii="MS UI Gothic" w:eastAsia="MS UI Gothic"/>
          <w:w w:val="85"/>
        </w:rPr>
        <w:t xml:space="preserve">２００ ｍ </w:t>
      </w:r>
      <w:r>
        <w:t>的露天煤矿</w:t>
      </w:r>
      <w:r>
        <w:rPr>
          <w:rFonts w:hint="eastAsia" w:ascii="MS UI Gothic" w:eastAsia="MS UI Gothic"/>
          <w:w w:val="85"/>
        </w:rPr>
        <w:t xml:space="preserve">ꎬ </w:t>
      </w:r>
      <w:r>
        <w:t>在气压较低的季节应当适当增加测定次数</w:t>
      </w:r>
      <w:r>
        <w:rPr>
          <w:rFonts w:hint="eastAsia" w:ascii="MS UI Gothic" w:eastAsia="MS UI Gothic"/>
          <w:w w:val="85"/>
        </w:rPr>
        <w:t>ꎮ</w:t>
      </w:r>
    </w:p>
    <w:p>
      <w:pPr>
        <w:pStyle w:val="6"/>
        <w:spacing w:line="295" w:lineRule="auto"/>
        <w:ind w:right="442"/>
        <w:rPr>
          <w:rFonts w:hint="eastAsia" w:ascii="MS UI Gothic" w:eastAsia="MS UI Gothic"/>
        </w:rPr>
      </w:pPr>
      <w:r>
        <w:t xml:space="preserve">第六百四十三条 粉尘监测采样点布置应当符合表 </w:t>
      </w:r>
      <w:r>
        <w:rPr>
          <w:rFonts w:hint="eastAsia" w:ascii="MS UI Gothic" w:eastAsia="MS UI Gothic"/>
          <w:w w:val="85"/>
        </w:rPr>
        <w:t xml:space="preserve">２６ </w:t>
      </w:r>
      <w:r>
        <w:t>的要求</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3320" w:right="0" w:firstLine="0"/>
        <w:jc w:val="center"/>
        <w:rPr>
          <w:sz w:val="17"/>
        </w:rPr>
      </w:pP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ind w:left="3320" w:firstLine="0"/>
        <w:jc w:val="center"/>
      </w:pPr>
      <w:r>
        <w:rPr>
          <w:w w:val="90"/>
        </w:rPr>
        <w:t xml:space="preserve">表 </w:t>
      </w:r>
      <w:r>
        <w:rPr>
          <w:rFonts w:hint="eastAsia" w:ascii="MS UI Gothic" w:eastAsia="MS UI Gothic"/>
          <w:w w:val="90"/>
        </w:rPr>
        <w:t xml:space="preserve">２６ </w:t>
      </w:r>
      <w:r>
        <w:rPr>
          <w:w w:val="90"/>
        </w:rPr>
        <w:t>粉尘监测采样点布置</w:t>
      </w:r>
    </w:p>
    <w:p>
      <w:pPr>
        <w:pStyle w:val="6"/>
        <w:spacing w:before="159"/>
        <w:ind w:left="1951" w:firstLine="0"/>
        <w:jc w:val="left"/>
        <w:rPr>
          <w:rFonts w:hint="eastAsia" w:ascii="MS UI Gothic" w:eastAsia="MS UI Gothic"/>
        </w:rPr>
      </w:pPr>
      <w:r>
        <w:br w:type="column"/>
      </w:r>
      <w:r>
        <w:rPr>
          <w:rFonts w:hint="eastAsia" w:ascii="MS UI Gothic" w:eastAsia="MS UI Gothic"/>
          <w:spacing w:val="1"/>
          <w:w w:val="75"/>
        </w:rPr>
        <w:t>３３９</w:t>
      </w:r>
    </w:p>
    <w:p>
      <w:pPr>
        <w:spacing w:after="0"/>
        <w:jc w:val="left"/>
        <w:rPr>
          <w:rFonts w:hint="eastAsia" w:ascii="MS UI Gothic" w:eastAsia="MS UI Gothic"/>
        </w:rPr>
        <w:sectPr>
          <w:pgSz w:w="10500" w:h="14750"/>
          <w:pgMar w:top="960" w:right="980" w:bottom="280" w:left="980" w:header="720" w:footer="720" w:gutter="0"/>
          <w:cols w:equalWidth="0" w:num="2">
            <w:col w:w="5522" w:space="40"/>
            <w:col w:w="2978"/>
          </w:cols>
        </w:sectPr>
      </w:pPr>
    </w:p>
    <w:p>
      <w:pPr>
        <w:pStyle w:val="6"/>
        <w:spacing w:before="1"/>
        <w:ind w:left="0" w:firstLine="0"/>
        <w:jc w:val="left"/>
        <w:rPr>
          <w:rFonts w:ascii="MS UI Gothic"/>
          <w:sz w:val="6"/>
        </w:rPr>
      </w:pPr>
    </w:p>
    <w:tbl>
      <w:tblPr>
        <w:tblStyle w:val="7"/>
        <w:tblW w:w="0" w:type="auto"/>
        <w:tblInd w:w="45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273"/>
        <w:gridCol w:w="3978"/>
        <w:gridCol w:w="271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273" w:type="dxa"/>
            <w:tcBorders>
              <w:bottom w:val="single" w:color="231F20" w:sz="4" w:space="0"/>
              <w:right w:val="single" w:color="231F20" w:sz="4" w:space="0"/>
            </w:tcBorders>
          </w:tcPr>
          <w:p>
            <w:pPr>
              <w:pStyle w:val="11"/>
              <w:spacing w:before="50"/>
              <w:ind w:left="141" w:right="131"/>
              <w:jc w:val="center"/>
              <w:rPr>
                <w:sz w:val="15"/>
              </w:rPr>
            </w:pPr>
            <w:r>
              <w:rPr>
                <w:w w:val="105"/>
                <w:sz w:val="15"/>
              </w:rPr>
              <w:t>类 别</w:t>
            </w:r>
          </w:p>
        </w:tc>
        <w:tc>
          <w:tcPr>
            <w:tcW w:w="3978" w:type="dxa"/>
            <w:tcBorders>
              <w:left w:val="single" w:color="231F20" w:sz="4" w:space="0"/>
              <w:bottom w:val="single" w:color="231F20" w:sz="4" w:space="0"/>
              <w:right w:val="single" w:color="231F20" w:sz="4" w:space="0"/>
            </w:tcBorders>
          </w:tcPr>
          <w:p>
            <w:pPr>
              <w:pStyle w:val="11"/>
              <w:spacing w:before="50"/>
              <w:ind w:left="1656" w:right="1641"/>
              <w:jc w:val="center"/>
              <w:rPr>
                <w:sz w:val="15"/>
              </w:rPr>
            </w:pPr>
            <w:r>
              <w:rPr>
                <w:w w:val="105"/>
                <w:sz w:val="15"/>
              </w:rPr>
              <w:t>生产工艺</w:t>
            </w:r>
          </w:p>
        </w:tc>
        <w:tc>
          <w:tcPr>
            <w:tcW w:w="2713" w:type="dxa"/>
            <w:tcBorders>
              <w:left w:val="single" w:color="231F20" w:sz="4" w:space="0"/>
              <w:bottom w:val="single" w:color="231F20" w:sz="4" w:space="0"/>
            </w:tcBorders>
          </w:tcPr>
          <w:p>
            <w:pPr>
              <w:pStyle w:val="11"/>
              <w:spacing w:before="50"/>
              <w:ind w:left="945" w:right="924"/>
              <w:jc w:val="center"/>
              <w:rPr>
                <w:sz w:val="15"/>
              </w:rPr>
            </w:pPr>
            <w:r>
              <w:rPr>
                <w:w w:val="105"/>
                <w:sz w:val="15"/>
              </w:rPr>
              <w:t>测尘点布置</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restart"/>
            <w:tcBorders>
              <w:top w:val="single" w:color="231F20" w:sz="4" w:space="0"/>
              <w:bottom w:val="single" w:color="231F20" w:sz="4" w:space="0"/>
              <w:right w:val="single" w:color="231F20" w:sz="4" w:space="0"/>
            </w:tcBorders>
          </w:tcPr>
          <w:p>
            <w:pPr>
              <w:pStyle w:val="11"/>
              <w:spacing w:before="9"/>
              <w:rPr>
                <w:rFonts w:ascii="MS UI Gothic"/>
                <w:sz w:val="16"/>
              </w:rPr>
            </w:pPr>
          </w:p>
          <w:p>
            <w:pPr>
              <w:pStyle w:val="11"/>
              <w:ind w:left="238"/>
              <w:rPr>
                <w:sz w:val="15"/>
              </w:rPr>
            </w:pPr>
            <w:r>
              <w:rPr>
                <w:w w:val="105"/>
                <w:sz w:val="15"/>
              </w:rPr>
              <w:t>采煤工作面</w:t>
            </w:r>
          </w:p>
        </w:tc>
        <w:tc>
          <w:tcPr>
            <w:tcW w:w="3978"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sz w:val="15"/>
              </w:rPr>
              <w:t>司机操作采煤机</w:t>
            </w:r>
            <w:r>
              <w:rPr>
                <w:rFonts w:hint="eastAsia" w:ascii="MS UI Gothic" w:eastAsia="MS UI Gothic"/>
                <w:sz w:val="15"/>
              </w:rPr>
              <w:t xml:space="preserve">、 </w:t>
            </w:r>
            <w:r>
              <w:rPr>
                <w:sz w:val="15"/>
              </w:rPr>
              <w:t>打眼</w:t>
            </w:r>
            <w:r>
              <w:rPr>
                <w:rFonts w:hint="eastAsia" w:ascii="MS UI Gothic" w:eastAsia="MS UI Gothic"/>
                <w:sz w:val="15"/>
              </w:rPr>
              <w:t xml:space="preserve">、 </w:t>
            </w:r>
            <w:r>
              <w:rPr>
                <w:sz w:val="15"/>
              </w:rPr>
              <w:t>人工落煤及攉煤</w:t>
            </w:r>
          </w:p>
        </w:tc>
        <w:tc>
          <w:tcPr>
            <w:tcW w:w="2713" w:type="dxa"/>
            <w:tcBorders>
              <w:top w:val="single" w:color="231F20" w:sz="4" w:space="0"/>
              <w:left w:val="single" w:color="231F20" w:sz="4" w:space="0"/>
              <w:bottom w:val="single" w:color="231F20" w:sz="4" w:space="0"/>
            </w:tcBorders>
          </w:tcPr>
          <w:p>
            <w:pPr>
              <w:pStyle w:val="11"/>
              <w:spacing w:before="55"/>
              <w:ind w:left="269"/>
              <w:rPr>
                <w:sz w:val="15"/>
              </w:rPr>
            </w:pPr>
            <w:r>
              <w:rPr>
                <w:w w:val="105"/>
                <w:sz w:val="15"/>
              </w:rPr>
              <w:t>工人作业地点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continue"/>
            <w:tcBorders>
              <w:top w:val="nil"/>
              <w:bottom w:val="single" w:color="231F20" w:sz="4" w:space="0"/>
              <w:right w:val="single" w:color="231F20" w:sz="4" w:space="0"/>
            </w:tcBorders>
          </w:tcPr>
          <w:p>
            <w:pPr>
              <w:rPr>
                <w:sz w:val="2"/>
                <w:szCs w:val="2"/>
              </w:rPr>
            </w:pPr>
          </w:p>
        </w:tc>
        <w:tc>
          <w:tcPr>
            <w:tcW w:w="3978"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w w:val="105"/>
                <w:sz w:val="15"/>
              </w:rPr>
              <w:t>多工序同时作业</w:t>
            </w:r>
          </w:p>
        </w:tc>
        <w:tc>
          <w:tcPr>
            <w:tcW w:w="2713" w:type="dxa"/>
            <w:tcBorders>
              <w:top w:val="single" w:color="231F20" w:sz="4" w:space="0"/>
              <w:left w:val="single" w:color="231F20" w:sz="4" w:space="0"/>
              <w:bottom w:val="single" w:color="231F20" w:sz="4" w:space="0"/>
            </w:tcBorders>
          </w:tcPr>
          <w:p>
            <w:pPr>
              <w:pStyle w:val="11"/>
              <w:spacing w:before="55"/>
              <w:ind w:left="269"/>
              <w:rPr>
                <w:sz w:val="15"/>
              </w:rPr>
            </w:pPr>
            <w:r>
              <w:rPr>
                <w:sz w:val="15"/>
              </w:rPr>
              <w:t xml:space="preserve">回风巷距工作面 </w:t>
            </w:r>
            <w:r>
              <w:rPr>
                <w:rFonts w:hint="eastAsia" w:ascii="MS UI Gothic" w:eastAsia="MS UI Gothic"/>
                <w:sz w:val="15"/>
              </w:rPr>
              <w:t xml:space="preserve">１０ </w:t>
            </w:r>
            <w:r>
              <w:rPr>
                <w:rFonts w:hint="eastAsia" w:ascii="MS UI Gothic" w:eastAsia="MS UI Gothic"/>
                <w:w w:val="115"/>
                <w:sz w:val="15"/>
              </w:rPr>
              <w:t xml:space="preserve">~ </w:t>
            </w:r>
            <w:r>
              <w:rPr>
                <w:rFonts w:hint="eastAsia" w:ascii="MS UI Gothic" w:eastAsia="MS UI Gothic"/>
                <w:sz w:val="15"/>
              </w:rPr>
              <w:t xml:space="preserve">１５ ｍ </w:t>
            </w:r>
            <w:r>
              <w:rPr>
                <w:sz w:val="15"/>
              </w:rPr>
              <w:t>处</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restart"/>
            <w:tcBorders>
              <w:top w:val="single" w:color="231F20" w:sz="4" w:space="0"/>
              <w:bottom w:val="single" w:color="231F20" w:sz="4" w:space="0"/>
              <w:right w:val="single" w:color="231F20" w:sz="4" w:space="0"/>
            </w:tcBorders>
          </w:tcPr>
          <w:p>
            <w:pPr>
              <w:pStyle w:val="11"/>
              <w:spacing w:before="9"/>
              <w:rPr>
                <w:rFonts w:ascii="MS UI Gothic"/>
                <w:sz w:val="16"/>
              </w:rPr>
            </w:pPr>
          </w:p>
          <w:p>
            <w:pPr>
              <w:pStyle w:val="11"/>
              <w:ind w:left="238"/>
              <w:rPr>
                <w:sz w:val="15"/>
              </w:rPr>
            </w:pPr>
            <w:r>
              <w:rPr>
                <w:w w:val="105"/>
                <w:sz w:val="15"/>
              </w:rPr>
              <w:t>掘进工作面</w:t>
            </w:r>
          </w:p>
        </w:tc>
        <w:tc>
          <w:tcPr>
            <w:tcW w:w="3978"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w w:val="105"/>
                <w:sz w:val="15"/>
              </w:rPr>
              <w:t>司机操作掘进机</w:t>
            </w:r>
            <w:r>
              <w:rPr>
                <w:rFonts w:hint="eastAsia" w:ascii="MS UI Gothic" w:eastAsia="MS UI Gothic"/>
                <w:sz w:val="15"/>
              </w:rPr>
              <w:t xml:space="preserve">、 </w:t>
            </w:r>
            <w:r>
              <w:rPr>
                <w:w w:val="105"/>
                <w:sz w:val="15"/>
              </w:rPr>
              <w:t>打眼</w:t>
            </w:r>
            <w:r>
              <w:rPr>
                <w:rFonts w:hint="eastAsia" w:ascii="MS UI Gothic" w:eastAsia="MS UI Gothic"/>
                <w:sz w:val="15"/>
              </w:rPr>
              <w:t xml:space="preserve">、 </w:t>
            </w:r>
            <w:r>
              <w:rPr>
                <w:w w:val="105"/>
                <w:sz w:val="15"/>
              </w:rPr>
              <w:t xml:space="preserve">装岩 </w:t>
            </w:r>
            <w:r>
              <w:rPr>
                <w:rFonts w:hint="eastAsia" w:ascii="MS UI Gothic" w:eastAsia="MS UI Gothic"/>
                <w:w w:val="150"/>
                <w:sz w:val="15"/>
              </w:rPr>
              <w:t xml:space="preserve">( </w:t>
            </w:r>
            <w:r>
              <w:rPr>
                <w:w w:val="105"/>
                <w:sz w:val="15"/>
              </w:rPr>
              <w:t>煤</w:t>
            </w:r>
            <w:r>
              <w:rPr>
                <w:rFonts w:hint="eastAsia" w:ascii="MS UI Gothic" w:eastAsia="MS UI Gothic"/>
                <w:w w:val="150"/>
                <w:sz w:val="15"/>
              </w:rPr>
              <w:t>)</w:t>
            </w:r>
            <w:r>
              <w:rPr>
                <w:rFonts w:hint="eastAsia" w:ascii="MS UI Gothic" w:eastAsia="MS UI Gothic"/>
                <w:sz w:val="15"/>
              </w:rPr>
              <w:t xml:space="preserve">、 </w:t>
            </w:r>
            <w:r>
              <w:rPr>
                <w:w w:val="105"/>
                <w:sz w:val="15"/>
              </w:rPr>
              <w:t>锚喷支护</w:t>
            </w:r>
          </w:p>
        </w:tc>
        <w:tc>
          <w:tcPr>
            <w:tcW w:w="2713" w:type="dxa"/>
            <w:tcBorders>
              <w:top w:val="single" w:color="231F20" w:sz="4" w:space="0"/>
              <w:left w:val="single" w:color="231F20" w:sz="4" w:space="0"/>
              <w:bottom w:val="single" w:color="231F20" w:sz="4" w:space="0"/>
            </w:tcBorders>
          </w:tcPr>
          <w:p>
            <w:pPr>
              <w:pStyle w:val="11"/>
              <w:spacing w:before="55"/>
              <w:ind w:left="269"/>
              <w:rPr>
                <w:sz w:val="15"/>
              </w:rPr>
            </w:pPr>
            <w:r>
              <w:rPr>
                <w:w w:val="105"/>
                <w:sz w:val="15"/>
              </w:rPr>
              <w:t>工人作业地点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continue"/>
            <w:tcBorders>
              <w:top w:val="nil"/>
              <w:bottom w:val="single" w:color="231F20" w:sz="4" w:space="0"/>
              <w:right w:val="single" w:color="231F20" w:sz="4" w:space="0"/>
            </w:tcBorders>
          </w:tcPr>
          <w:p>
            <w:pPr>
              <w:rPr>
                <w:sz w:val="2"/>
                <w:szCs w:val="2"/>
              </w:rPr>
            </w:pPr>
          </w:p>
        </w:tc>
        <w:tc>
          <w:tcPr>
            <w:tcW w:w="3978" w:type="dxa"/>
            <w:tcBorders>
              <w:top w:val="single" w:color="231F20" w:sz="4" w:space="0"/>
              <w:left w:val="single" w:color="231F20" w:sz="4" w:space="0"/>
              <w:bottom w:val="single" w:color="231F20" w:sz="4" w:space="0"/>
              <w:right w:val="single" w:color="231F20" w:sz="4" w:space="0"/>
            </w:tcBorders>
          </w:tcPr>
          <w:p>
            <w:pPr>
              <w:pStyle w:val="11"/>
              <w:spacing w:before="55"/>
              <w:ind w:left="268"/>
              <w:rPr>
                <w:rFonts w:hint="eastAsia" w:ascii="MS UI Gothic" w:eastAsia="MS UI Gothic"/>
                <w:sz w:val="15"/>
              </w:rPr>
            </w:pPr>
            <w:r>
              <w:rPr>
                <w:w w:val="115"/>
                <w:sz w:val="15"/>
              </w:rPr>
              <w:t xml:space="preserve">多工序同时作业 </w:t>
            </w:r>
            <w:r>
              <w:rPr>
                <w:rFonts w:hint="eastAsia" w:ascii="MS UI Gothic" w:eastAsia="MS UI Gothic"/>
                <w:w w:val="150"/>
                <w:sz w:val="15"/>
              </w:rPr>
              <w:t xml:space="preserve">( </w:t>
            </w:r>
            <w:r>
              <w:rPr>
                <w:w w:val="115"/>
                <w:sz w:val="15"/>
              </w:rPr>
              <w:t>爆破作业除外</w:t>
            </w:r>
            <w:r>
              <w:rPr>
                <w:rFonts w:hint="eastAsia" w:ascii="MS UI Gothic" w:eastAsia="MS UI Gothic"/>
                <w:w w:val="150"/>
                <w:sz w:val="15"/>
              </w:rPr>
              <w:t>)</w:t>
            </w:r>
          </w:p>
        </w:tc>
        <w:tc>
          <w:tcPr>
            <w:tcW w:w="2713" w:type="dxa"/>
            <w:tcBorders>
              <w:top w:val="single" w:color="231F20" w:sz="4" w:space="0"/>
              <w:left w:val="single" w:color="231F20" w:sz="4" w:space="0"/>
              <w:bottom w:val="single" w:color="231F20" w:sz="4" w:space="0"/>
            </w:tcBorders>
          </w:tcPr>
          <w:p>
            <w:pPr>
              <w:pStyle w:val="11"/>
              <w:spacing w:before="55"/>
              <w:ind w:left="269"/>
              <w:rPr>
                <w:sz w:val="15"/>
              </w:rPr>
            </w:pPr>
            <w:r>
              <w:rPr>
                <w:sz w:val="15"/>
              </w:rPr>
              <w:t xml:space="preserve">距掘进头 </w:t>
            </w:r>
            <w:r>
              <w:rPr>
                <w:rFonts w:hint="eastAsia" w:ascii="MS UI Gothic" w:eastAsia="MS UI Gothic"/>
                <w:sz w:val="15"/>
              </w:rPr>
              <w:t xml:space="preserve">１０ </w:t>
            </w:r>
            <w:r>
              <w:rPr>
                <w:rFonts w:hint="eastAsia" w:ascii="MS UI Gothic" w:eastAsia="MS UI Gothic"/>
                <w:w w:val="115"/>
                <w:sz w:val="15"/>
              </w:rPr>
              <w:t xml:space="preserve">~ </w:t>
            </w:r>
            <w:r>
              <w:rPr>
                <w:rFonts w:hint="eastAsia" w:ascii="MS UI Gothic" w:eastAsia="MS UI Gothic"/>
                <w:sz w:val="15"/>
              </w:rPr>
              <w:t xml:space="preserve">１５ ｍ </w:t>
            </w:r>
            <w:r>
              <w:rPr>
                <w:sz w:val="15"/>
              </w:rPr>
              <w:t>回风侧</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tcBorders>
              <w:top w:val="single" w:color="231F20" w:sz="4" w:space="0"/>
              <w:bottom w:val="single" w:color="231F20" w:sz="4" w:space="0"/>
              <w:right w:val="single" w:color="231F20" w:sz="4" w:space="0"/>
            </w:tcBorders>
          </w:tcPr>
          <w:p>
            <w:pPr>
              <w:pStyle w:val="11"/>
              <w:spacing w:before="55"/>
              <w:ind w:left="141" w:right="131"/>
              <w:jc w:val="center"/>
              <w:rPr>
                <w:sz w:val="15"/>
              </w:rPr>
            </w:pPr>
            <w:r>
              <w:rPr>
                <w:w w:val="105"/>
                <w:sz w:val="15"/>
              </w:rPr>
              <w:t>其他场所</w:t>
            </w:r>
          </w:p>
        </w:tc>
        <w:tc>
          <w:tcPr>
            <w:tcW w:w="3978"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sz w:val="15"/>
              </w:rPr>
              <w:t>翻罐笼作业</w:t>
            </w:r>
            <w:r>
              <w:rPr>
                <w:rFonts w:hint="eastAsia" w:ascii="MS UI Gothic" w:eastAsia="MS UI Gothic"/>
                <w:sz w:val="15"/>
              </w:rPr>
              <w:t xml:space="preserve">、 </w:t>
            </w:r>
            <w:r>
              <w:rPr>
                <w:sz w:val="15"/>
              </w:rPr>
              <w:t>巷道维修</w:t>
            </w:r>
            <w:r>
              <w:rPr>
                <w:rFonts w:hint="eastAsia" w:ascii="MS UI Gothic" w:eastAsia="MS UI Gothic"/>
                <w:sz w:val="15"/>
              </w:rPr>
              <w:t xml:space="preserve">、 </w:t>
            </w:r>
            <w:r>
              <w:rPr>
                <w:sz w:val="15"/>
              </w:rPr>
              <w:t>转载点</w:t>
            </w:r>
          </w:p>
        </w:tc>
        <w:tc>
          <w:tcPr>
            <w:tcW w:w="2713" w:type="dxa"/>
            <w:tcBorders>
              <w:top w:val="single" w:color="231F20" w:sz="4" w:space="0"/>
              <w:left w:val="single" w:color="231F20" w:sz="4" w:space="0"/>
              <w:bottom w:val="single" w:color="231F20" w:sz="4" w:space="0"/>
            </w:tcBorders>
          </w:tcPr>
          <w:p>
            <w:pPr>
              <w:pStyle w:val="11"/>
              <w:spacing w:before="55"/>
              <w:ind w:left="269"/>
              <w:rPr>
                <w:sz w:val="15"/>
              </w:rPr>
            </w:pPr>
            <w:r>
              <w:rPr>
                <w:w w:val="105"/>
                <w:sz w:val="15"/>
              </w:rPr>
              <w:t>工人作业地点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restart"/>
            <w:tcBorders>
              <w:top w:val="single" w:color="231F20" w:sz="4" w:space="0"/>
              <w:bottom w:val="single" w:color="231F20" w:sz="4" w:space="0"/>
              <w:right w:val="single" w:color="231F20" w:sz="4" w:space="0"/>
            </w:tcBorders>
          </w:tcPr>
          <w:p>
            <w:pPr>
              <w:pStyle w:val="11"/>
              <w:spacing w:before="9"/>
              <w:rPr>
                <w:rFonts w:ascii="MS UI Gothic"/>
                <w:sz w:val="16"/>
              </w:rPr>
            </w:pPr>
          </w:p>
          <w:p>
            <w:pPr>
              <w:pStyle w:val="11"/>
              <w:ind w:left="317"/>
              <w:rPr>
                <w:sz w:val="15"/>
              </w:rPr>
            </w:pPr>
            <w:r>
              <w:rPr>
                <w:w w:val="105"/>
                <w:sz w:val="15"/>
              </w:rPr>
              <w:t>露天煤矿</w:t>
            </w:r>
          </w:p>
        </w:tc>
        <w:tc>
          <w:tcPr>
            <w:tcW w:w="3978"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sz w:val="15"/>
              </w:rPr>
              <w:t>穿孔机作业</w:t>
            </w:r>
            <w:r>
              <w:rPr>
                <w:rFonts w:hint="eastAsia" w:ascii="MS UI Gothic" w:eastAsia="MS UI Gothic"/>
                <w:sz w:val="15"/>
              </w:rPr>
              <w:t xml:space="preserve">、 </w:t>
            </w:r>
            <w:r>
              <w:rPr>
                <w:sz w:val="15"/>
              </w:rPr>
              <w:t>挖掘机作业</w:t>
            </w:r>
          </w:p>
        </w:tc>
        <w:tc>
          <w:tcPr>
            <w:tcW w:w="2713" w:type="dxa"/>
            <w:tcBorders>
              <w:top w:val="single" w:color="231F20" w:sz="4" w:space="0"/>
              <w:left w:val="single" w:color="231F20" w:sz="4" w:space="0"/>
              <w:bottom w:val="single" w:color="231F20" w:sz="4" w:space="0"/>
            </w:tcBorders>
          </w:tcPr>
          <w:p>
            <w:pPr>
              <w:pStyle w:val="11"/>
              <w:spacing w:before="55"/>
              <w:ind w:left="269"/>
              <w:rPr>
                <w:sz w:val="15"/>
              </w:rPr>
            </w:pPr>
            <w:r>
              <w:rPr>
                <w:sz w:val="15"/>
              </w:rPr>
              <w:t xml:space="preserve">下风侧 </w:t>
            </w:r>
            <w:r>
              <w:rPr>
                <w:rFonts w:hint="eastAsia" w:ascii="MS UI Gothic" w:eastAsia="MS UI Gothic"/>
                <w:sz w:val="15"/>
              </w:rPr>
              <w:t xml:space="preserve">３ </w:t>
            </w:r>
            <w:r>
              <w:rPr>
                <w:rFonts w:hint="eastAsia" w:ascii="MS UI Gothic" w:eastAsia="MS UI Gothic"/>
                <w:w w:val="120"/>
                <w:sz w:val="15"/>
              </w:rPr>
              <w:t xml:space="preserve">~ </w:t>
            </w:r>
            <w:r>
              <w:rPr>
                <w:rFonts w:hint="eastAsia" w:ascii="MS UI Gothic" w:eastAsia="MS UI Gothic"/>
                <w:sz w:val="15"/>
              </w:rPr>
              <w:t xml:space="preserve">５ ｍ </w:t>
            </w:r>
            <w:r>
              <w:rPr>
                <w:sz w:val="15"/>
              </w:rPr>
              <w:t>处</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8" w:hRule="atLeast"/>
        </w:trPr>
        <w:tc>
          <w:tcPr>
            <w:tcW w:w="1273" w:type="dxa"/>
            <w:vMerge w:val="continue"/>
            <w:tcBorders>
              <w:top w:val="nil"/>
              <w:bottom w:val="single" w:color="231F20" w:sz="4" w:space="0"/>
              <w:right w:val="single" w:color="231F20" w:sz="4" w:space="0"/>
            </w:tcBorders>
          </w:tcPr>
          <w:p>
            <w:pPr>
              <w:rPr>
                <w:sz w:val="2"/>
                <w:szCs w:val="2"/>
              </w:rPr>
            </w:pPr>
          </w:p>
        </w:tc>
        <w:tc>
          <w:tcPr>
            <w:tcW w:w="3978" w:type="dxa"/>
            <w:tcBorders>
              <w:top w:val="single" w:color="231F20" w:sz="4" w:space="0"/>
              <w:left w:val="single" w:color="231F20" w:sz="4" w:space="0"/>
              <w:bottom w:val="single" w:color="231F20" w:sz="4" w:space="0"/>
              <w:right w:val="single" w:color="231F20" w:sz="4" w:space="0"/>
            </w:tcBorders>
          </w:tcPr>
          <w:p>
            <w:pPr>
              <w:pStyle w:val="11"/>
              <w:spacing w:before="55"/>
              <w:ind w:left="268"/>
              <w:rPr>
                <w:sz w:val="15"/>
              </w:rPr>
            </w:pPr>
            <w:r>
              <w:rPr>
                <w:sz w:val="15"/>
              </w:rPr>
              <w:t>司机操作穿孔机</w:t>
            </w:r>
            <w:r>
              <w:rPr>
                <w:rFonts w:hint="eastAsia" w:ascii="MS UI Gothic" w:eastAsia="MS UI Gothic"/>
                <w:sz w:val="15"/>
              </w:rPr>
              <w:t xml:space="preserve">、 </w:t>
            </w:r>
            <w:r>
              <w:rPr>
                <w:sz w:val="15"/>
              </w:rPr>
              <w:t>司机操作挖掘机</w:t>
            </w:r>
            <w:r>
              <w:rPr>
                <w:rFonts w:hint="eastAsia" w:ascii="MS UI Gothic" w:eastAsia="MS UI Gothic"/>
                <w:sz w:val="15"/>
              </w:rPr>
              <w:t xml:space="preserve">、 </w:t>
            </w:r>
            <w:r>
              <w:rPr>
                <w:sz w:val="15"/>
              </w:rPr>
              <w:t>汽车运输</w:t>
            </w:r>
          </w:p>
        </w:tc>
        <w:tc>
          <w:tcPr>
            <w:tcW w:w="2713" w:type="dxa"/>
            <w:tcBorders>
              <w:top w:val="single" w:color="231F20" w:sz="4" w:space="0"/>
              <w:left w:val="single" w:color="231F20" w:sz="4" w:space="0"/>
              <w:bottom w:val="single" w:color="231F20" w:sz="4" w:space="0"/>
            </w:tcBorders>
          </w:tcPr>
          <w:p>
            <w:pPr>
              <w:pStyle w:val="11"/>
              <w:spacing w:before="55"/>
              <w:ind w:left="269"/>
              <w:rPr>
                <w:sz w:val="15"/>
              </w:rPr>
            </w:pPr>
            <w:r>
              <w:rPr>
                <w:w w:val="105"/>
                <w:sz w:val="15"/>
              </w:rPr>
              <w:t>操作室内</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273" w:type="dxa"/>
            <w:tcBorders>
              <w:top w:val="single" w:color="231F20" w:sz="4" w:space="0"/>
              <w:right w:val="single" w:color="231F20" w:sz="4" w:space="0"/>
            </w:tcBorders>
          </w:tcPr>
          <w:p>
            <w:pPr>
              <w:pStyle w:val="11"/>
              <w:spacing w:before="55"/>
              <w:ind w:left="141" w:right="131"/>
              <w:jc w:val="center"/>
              <w:rPr>
                <w:sz w:val="15"/>
              </w:rPr>
            </w:pPr>
            <w:r>
              <w:rPr>
                <w:w w:val="105"/>
                <w:sz w:val="15"/>
              </w:rPr>
              <w:t>地面作业场所</w:t>
            </w:r>
          </w:p>
        </w:tc>
        <w:tc>
          <w:tcPr>
            <w:tcW w:w="3978" w:type="dxa"/>
            <w:tcBorders>
              <w:top w:val="single" w:color="231F20" w:sz="4" w:space="0"/>
              <w:left w:val="single" w:color="231F20" w:sz="4" w:space="0"/>
              <w:right w:val="single" w:color="231F20" w:sz="4" w:space="0"/>
            </w:tcBorders>
          </w:tcPr>
          <w:p>
            <w:pPr>
              <w:pStyle w:val="11"/>
              <w:spacing w:before="55"/>
              <w:ind w:left="268"/>
              <w:rPr>
                <w:sz w:val="15"/>
              </w:rPr>
            </w:pPr>
            <w:r>
              <w:rPr>
                <w:sz w:val="15"/>
              </w:rPr>
              <w:t>地面煤仓</w:t>
            </w:r>
            <w:r>
              <w:rPr>
                <w:rFonts w:hint="eastAsia" w:ascii="MS UI Gothic" w:eastAsia="MS UI Gothic"/>
                <w:sz w:val="15"/>
              </w:rPr>
              <w:t xml:space="preserve">、 </w:t>
            </w:r>
            <w:r>
              <w:rPr>
                <w:sz w:val="15"/>
              </w:rPr>
              <w:t>储煤场</w:t>
            </w:r>
            <w:r>
              <w:rPr>
                <w:rFonts w:hint="eastAsia" w:ascii="MS UI Gothic" w:eastAsia="MS UI Gothic"/>
                <w:sz w:val="15"/>
              </w:rPr>
              <w:t xml:space="preserve">、 </w:t>
            </w:r>
            <w:r>
              <w:rPr>
                <w:sz w:val="15"/>
              </w:rPr>
              <w:t>输送机运输等处进行生产作业</w:t>
            </w:r>
          </w:p>
        </w:tc>
        <w:tc>
          <w:tcPr>
            <w:tcW w:w="2713" w:type="dxa"/>
            <w:tcBorders>
              <w:top w:val="single" w:color="231F20" w:sz="4" w:space="0"/>
              <w:left w:val="single" w:color="231F20" w:sz="4" w:space="0"/>
            </w:tcBorders>
          </w:tcPr>
          <w:p>
            <w:pPr>
              <w:pStyle w:val="11"/>
              <w:spacing w:before="55"/>
              <w:ind w:left="269"/>
              <w:rPr>
                <w:sz w:val="15"/>
              </w:rPr>
            </w:pPr>
            <w:r>
              <w:rPr>
                <w:w w:val="105"/>
                <w:sz w:val="15"/>
              </w:rPr>
              <w:t>作业人员活动范围内</w:t>
            </w:r>
          </w:p>
        </w:tc>
      </w:tr>
    </w:tbl>
    <w:p>
      <w:pPr>
        <w:pStyle w:val="6"/>
        <w:spacing w:before="2"/>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175" w:line="295" w:lineRule="auto"/>
        <w:ind w:left="440" w:right="1"/>
        <w:rPr>
          <w:rFonts w:hint="eastAsia" w:ascii="MS UI Gothic" w:eastAsia="MS UI Gothic"/>
        </w:rPr>
      </w:pPr>
      <w:r>
        <w:pict>
          <v:shape id="_x0000_s2032" o:spid="_x0000_s2032" style="position:absolute;left:0pt;margin-left:0pt;margin-top:748.3pt;height:1.75pt;width:398.25pt;mso-position-horizontal-relative:page;mso-position-vertical-relative:page;z-index:252068864;mso-width-relative:page;mso-height-relative:page;" filled="f" stroked="t" coordorigin="0,14966" coordsize="7965,35" path="m1419,1480l9384,1480m1419,1445l9384,1445e">
            <v:path arrowok="t"/>
            <v:fill on="f" focussize="0,0"/>
            <v:stroke weight="0.388031496062992pt" color="#231F20"/>
            <v:imagedata o:title=""/>
            <o:lock v:ext="edit"/>
          </v:shape>
        </w:pict>
      </w:r>
      <w:r>
        <w:rPr>
          <w:w w:val="105"/>
        </w:rPr>
        <w:t>第六百四十四条 矿井必须建立消防</w:t>
      </w:r>
      <w:r>
        <w:rPr>
          <w:w w:val="110"/>
        </w:rPr>
        <w:t>防尘供水系统</w:t>
      </w:r>
      <w:r>
        <w:rPr>
          <w:rFonts w:hint="eastAsia" w:ascii="MS UI Gothic" w:eastAsia="MS UI Gothic"/>
          <w:w w:val="80"/>
        </w:rPr>
        <w:t xml:space="preserve">ꎬ </w:t>
      </w:r>
      <w:r>
        <w:rPr>
          <w:w w:val="110"/>
        </w:rPr>
        <w:t>并遵守下列规定</w:t>
      </w:r>
      <w:r>
        <w:rPr>
          <w:rFonts w:hint="eastAsia" w:ascii="MS UI Gothic" w:eastAsia="MS UI Gothic"/>
          <w:w w:val="235"/>
        </w:rPr>
        <w:t>:</w:t>
      </w:r>
    </w:p>
    <w:p>
      <w:pPr>
        <w:pStyle w:val="6"/>
        <w:spacing w:line="290" w:lineRule="auto"/>
        <w:ind w:left="435" w:right="1" w:firstLine="425"/>
        <w:rPr>
          <w:rFonts w:hint="eastAsia" w:ascii="MS UI Gothic" w:eastAsia="MS UI Gothic"/>
        </w:rPr>
      </w:pPr>
      <w:r>
        <w:rPr>
          <w:rFonts w:hint="eastAsia" w:ascii="MS UI Gothic" w:eastAsia="MS UI Gothic"/>
          <w:w w:val="140"/>
        </w:rPr>
        <w:t xml:space="preserve">( </w:t>
      </w:r>
      <w:r>
        <w:t>一</w:t>
      </w:r>
      <w:r>
        <w:rPr>
          <w:rFonts w:hint="eastAsia" w:ascii="MS UI Gothic" w:eastAsia="MS UI Gothic"/>
          <w:w w:val="140"/>
        </w:rPr>
        <w:t xml:space="preserve">) </w:t>
      </w:r>
      <w:r>
        <w:t>应当在地面建永久性消防防尘储水池</w:t>
      </w:r>
      <w:r>
        <w:rPr>
          <w:rFonts w:hint="eastAsia" w:ascii="MS UI Gothic" w:eastAsia="MS UI Gothic"/>
          <w:w w:val="85"/>
        </w:rPr>
        <w:t xml:space="preserve">ꎬ </w:t>
      </w:r>
      <w:r>
        <w:t>储水池必须经常保持不少于</w:t>
      </w:r>
      <w:r>
        <w:rPr>
          <w:rFonts w:hint="eastAsia" w:ascii="MS UI Gothic" w:eastAsia="MS UI Gothic"/>
          <w:w w:val="85"/>
        </w:rPr>
        <w:t>２００ ｍ</w:t>
      </w:r>
      <w:r>
        <w:rPr>
          <w:rFonts w:hint="eastAsia" w:ascii="MS UI Gothic" w:eastAsia="MS UI Gothic"/>
          <w:w w:val="85"/>
          <w:position w:val="9"/>
          <w:sz w:val="12"/>
        </w:rPr>
        <w:t xml:space="preserve">３ </w:t>
      </w:r>
      <w:r>
        <w:t>的水量</w:t>
      </w:r>
      <w:r>
        <w:rPr>
          <w:rFonts w:hint="eastAsia" w:ascii="MS UI Gothic" w:eastAsia="MS UI Gothic"/>
          <w:w w:val="85"/>
        </w:rPr>
        <w:t xml:space="preserve">ꎮ </w:t>
      </w:r>
      <w:r>
        <w:t>备用水池贮水量不得小于储水池的一半</w:t>
      </w:r>
      <w:r>
        <w:rPr>
          <w:rFonts w:hint="eastAsia" w:ascii="MS UI Gothic" w:eastAsia="MS UI Gothic"/>
          <w:w w:val="85"/>
        </w:rPr>
        <w:t>ꎮ</w:t>
      </w:r>
    </w:p>
    <w:p>
      <w:pPr>
        <w:pStyle w:val="6"/>
        <w:spacing w:line="292" w:lineRule="auto"/>
        <w:ind w:left="440"/>
        <w:rPr>
          <w:rFonts w:hint="eastAsia" w:ascii="MS UI Gothic" w:eastAsia="MS UI Gothic"/>
        </w:rPr>
      </w:pPr>
      <w:r>
        <w:rPr>
          <w:rFonts w:hint="eastAsia" w:ascii="MS UI Gothic" w:eastAsia="MS UI Gothic"/>
          <w:spacing w:val="-25"/>
          <w:w w:val="140"/>
        </w:rPr>
        <w:t xml:space="preserve">( </w:t>
      </w:r>
      <w:r>
        <w:rPr>
          <w:spacing w:val="3"/>
        </w:rPr>
        <w:t>二</w:t>
      </w:r>
      <w:r>
        <w:rPr>
          <w:rFonts w:hint="eastAsia" w:ascii="MS UI Gothic" w:eastAsia="MS UI Gothic"/>
          <w:spacing w:val="23"/>
          <w:w w:val="140"/>
        </w:rPr>
        <w:t xml:space="preserve">) </w:t>
      </w:r>
      <w:r>
        <w:rPr>
          <w:spacing w:val="5"/>
        </w:rPr>
        <w:t>防尘用水水质悬浮物的含量不</w:t>
      </w:r>
      <w:r>
        <w:rPr>
          <w:spacing w:val="-13"/>
        </w:rPr>
        <w:t xml:space="preserve">得超过 </w:t>
      </w:r>
      <w:r>
        <w:rPr>
          <w:rFonts w:hint="eastAsia" w:ascii="MS UI Gothic" w:eastAsia="MS UI Gothic"/>
          <w:spacing w:val="-6"/>
        </w:rPr>
        <w:t xml:space="preserve">３０ </w:t>
      </w:r>
      <w:r>
        <w:rPr>
          <w:rFonts w:hint="eastAsia" w:ascii="MS UI Gothic" w:eastAsia="MS UI Gothic"/>
        </w:rPr>
        <w:t>ｍｇ</w:t>
      </w:r>
      <w:r>
        <w:rPr>
          <w:rFonts w:hint="eastAsia" w:ascii="MS UI Gothic" w:eastAsia="MS UI Gothic"/>
          <w:spacing w:val="-49"/>
        </w:rPr>
        <w:t xml:space="preserve"> </w:t>
      </w:r>
      <w:r>
        <w:rPr>
          <w:rFonts w:hint="eastAsia" w:ascii="MS UI Gothic" w:eastAsia="MS UI Gothic"/>
          <w:w w:val="75"/>
        </w:rPr>
        <w:t>/</w:t>
      </w:r>
      <w:r>
        <w:rPr>
          <w:rFonts w:hint="eastAsia" w:ascii="MS UI Gothic" w:eastAsia="MS UI Gothic"/>
          <w:spacing w:val="-27"/>
          <w:w w:val="75"/>
        </w:rPr>
        <w:t xml:space="preserve"> </w:t>
      </w:r>
      <w:r>
        <w:rPr>
          <w:rFonts w:hint="eastAsia" w:ascii="MS UI Gothic" w:eastAsia="MS UI Gothic"/>
          <w:spacing w:val="4"/>
        </w:rPr>
        <w:t>Ｌ</w:t>
      </w:r>
      <w:r>
        <w:rPr>
          <w:rFonts w:hint="eastAsia" w:ascii="MS UI Gothic" w:eastAsia="MS UI Gothic"/>
          <w:spacing w:val="1"/>
          <w:w w:val="75"/>
        </w:rPr>
        <w:t xml:space="preserve">ꎬ </w:t>
      </w:r>
      <w:r>
        <w:rPr>
          <w:spacing w:val="7"/>
        </w:rPr>
        <w:t xml:space="preserve">粒径不大于 </w:t>
      </w:r>
      <w:r>
        <w:rPr>
          <w:rFonts w:hint="eastAsia" w:ascii="MS UI Gothic" w:eastAsia="MS UI Gothic"/>
        </w:rPr>
        <w:t>０</w:t>
      </w:r>
      <w:r>
        <w:rPr>
          <w:rFonts w:hint="eastAsia" w:ascii="MS UI Gothic" w:eastAsia="MS UI Gothic"/>
          <w:spacing w:val="-20"/>
        </w:rPr>
        <w:t xml:space="preserve"> ３ </w:t>
      </w:r>
      <w:r>
        <w:rPr>
          <w:rFonts w:hint="eastAsia" w:ascii="MS UI Gothic" w:eastAsia="MS UI Gothic"/>
        </w:rPr>
        <w:t>ｍｍ</w:t>
      </w:r>
      <w:r>
        <w:rPr>
          <w:rFonts w:hint="eastAsia" w:ascii="MS UI Gothic" w:eastAsia="MS UI Gothic"/>
          <w:spacing w:val="-13"/>
          <w:w w:val="75"/>
        </w:rPr>
        <w:t>ꎬ</w:t>
      </w:r>
      <w:r>
        <w:rPr>
          <w:spacing w:val="26"/>
        </w:rPr>
        <w:t>水的</w:t>
      </w:r>
      <w:r>
        <w:rPr>
          <w:rFonts w:hint="eastAsia" w:ascii="MS UI Gothic" w:eastAsia="MS UI Gothic"/>
        </w:rPr>
        <w:t>ｐ</w:t>
      </w:r>
      <w:r>
        <w:rPr>
          <w:rFonts w:hint="eastAsia" w:ascii="MS UI Gothic" w:eastAsia="MS UI Gothic"/>
          <w:spacing w:val="-4"/>
        </w:rPr>
        <w:t xml:space="preserve">Ｈ </w:t>
      </w:r>
      <w:r>
        <w:rPr>
          <w:spacing w:val="-21"/>
        </w:rPr>
        <w:t xml:space="preserve">值在 </w:t>
      </w:r>
      <w:r>
        <w:rPr>
          <w:rFonts w:hint="eastAsia" w:ascii="MS UI Gothic" w:eastAsia="MS UI Gothic"/>
          <w:spacing w:val="-20"/>
        </w:rPr>
        <w:t xml:space="preserve">６ </w:t>
      </w:r>
      <w:r>
        <w:rPr>
          <w:rFonts w:hint="eastAsia" w:ascii="MS UI Gothic" w:eastAsia="MS UI Gothic"/>
          <w:w w:val="140"/>
        </w:rPr>
        <w:t>~</w:t>
      </w:r>
      <w:r>
        <w:rPr>
          <w:rFonts w:hint="eastAsia" w:ascii="MS UI Gothic" w:eastAsia="MS UI Gothic"/>
          <w:spacing w:val="-65"/>
          <w:w w:val="140"/>
        </w:rPr>
        <w:t xml:space="preserve"> </w:t>
      </w:r>
      <w:r>
        <w:rPr>
          <w:rFonts w:hint="eastAsia" w:ascii="MS UI Gothic" w:eastAsia="MS UI Gothic"/>
          <w:spacing w:val="-7"/>
        </w:rPr>
        <w:t xml:space="preserve">９ </w:t>
      </w:r>
      <w:r>
        <w:rPr>
          <w:spacing w:val="3"/>
        </w:rPr>
        <w:t>范围内</w:t>
      </w:r>
      <w:r>
        <w:rPr>
          <w:rFonts w:hint="eastAsia" w:ascii="MS UI Gothic" w:eastAsia="MS UI Gothic"/>
          <w:spacing w:val="19"/>
          <w:w w:val="75"/>
        </w:rPr>
        <w:t xml:space="preserve">ꎬ </w:t>
      </w:r>
      <w:r>
        <w:rPr>
          <w:spacing w:val="2"/>
        </w:rPr>
        <w:t>水的碳酸盐硬</w:t>
      </w:r>
      <w:r>
        <w:rPr>
          <w:spacing w:val="-10"/>
        </w:rPr>
        <w:t xml:space="preserve">度不超过 </w:t>
      </w:r>
      <w:r>
        <w:rPr>
          <w:rFonts w:hint="eastAsia" w:ascii="MS UI Gothic" w:eastAsia="MS UI Gothic"/>
          <w:spacing w:val="3"/>
        </w:rPr>
        <w:t xml:space="preserve">３ </w:t>
      </w:r>
      <w:r>
        <w:rPr>
          <w:rFonts w:hint="eastAsia" w:ascii="MS UI Gothic" w:eastAsia="MS UI Gothic"/>
        </w:rPr>
        <w:t>ｍｍｏｌ</w:t>
      </w:r>
      <w:r>
        <w:rPr>
          <w:rFonts w:hint="eastAsia" w:ascii="MS UI Gothic" w:eastAsia="MS UI Gothic"/>
          <w:spacing w:val="-34"/>
        </w:rPr>
        <w:t xml:space="preserve"> </w:t>
      </w:r>
      <w:r>
        <w:rPr>
          <w:rFonts w:hint="eastAsia" w:ascii="MS UI Gothic" w:eastAsia="MS UI Gothic"/>
          <w:w w:val="75"/>
        </w:rPr>
        <w:t>/</w:t>
      </w:r>
      <w:r>
        <w:rPr>
          <w:rFonts w:hint="eastAsia" w:ascii="MS UI Gothic" w:eastAsia="MS UI Gothic"/>
          <w:spacing w:val="-5"/>
          <w:w w:val="75"/>
        </w:rPr>
        <w:t xml:space="preserve"> </w:t>
      </w:r>
      <w:r>
        <w:rPr>
          <w:rFonts w:hint="eastAsia" w:ascii="MS UI Gothic" w:eastAsia="MS UI Gothic"/>
          <w:spacing w:val="4"/>
        </w:rPr>
        <w:t>Ｌ</w:t>
      </w:r>
      <w:r>
        <w:rPr>
          <w:rFonts w:hint="eastAsia" w:ascii="MS UI Gothic" w:eastAsia="MS UI Gothic"/>
          <w:w w:val="75"/>
        </w:rPr>
        <w:t>ꎮ</w:t>
      </w:r>
    </w:p>
    <w:p>
      <w:pPr>
        <w:pStyle w:val="6"/>
        <w:spacing w:line="292" w:lineRule="auto"/>
        <w:ind w:left="440" w:right="1"/>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没有防尘供水管路的采掘工作面不得生产</w:t>
      </w:r>
      <w:r>
        <w:rPr>
          <w:rFonts w:hint="eastAsia" w:ascii="MS UI Gothic" w:eastAsia="MS UI Gothic"/>
          <w:w w:val="80"/>
        </w:rPr>
        <w:t xml:space="preserve">ꎮ </w:t>
      </w:r>
      <w:r>
        <w:t>主要运输巷</w:t>
      </w:r>
      <w:r>
        <w:rPr>
          <w:rFonts w:hint="eastAsia" w:ascii="MS UI Gothic" w:eastAsia="MS UI Gothic"/>
          <w:w w:val="80"/>
        </w:rPr>
        <w:t xml:space="preserve">、 </w:t>
      </w:r>
      <w:r>
        <w:t>带式输送机斜井与平巷</w:t>
      </w:r>
      <w:r>
        <w:rPr>
          <w:rFonts w:hint="eastAsia" w:ascii="MS UI Gothic" w:eastAsia="MS UI Gothic"/>
          <w:w w:val="80"/>
        </w:rPr>
        <w:t xml:space="preserve">、 </w:t>
      </w:r>
      <w:r>
        <w:t>上山与下山</w:t>
      </w:r>
      <w:r>
        <w:rPr>
          <w:rFonts w:hint="eastAsia" w:ascii="MS UI Gothic" w:eastAsia="MS UI Gothic"/>
          <w:w w:val="80"/>
        </w:rPr>
        <w:t xml:space="preserve">、 </w:t>
      </w:r>
      <w:r>
        <w:t>采区运输巷与回风巷</w:t>
      </w:r>
      <w:r>
        <w:rPr>
          <w:rFonts w:hint="eastAsia" w:ascii="MS UI Gothic" w:eastAsia="MS UI Gothic"/>
          <w:w w:val="80"/>
        </w:rPr>
        <w:t xml:space="preserve">、 </w:t>
      </w:r>
      <w:r>
        <w:t>采煤工作面运输巷与回风巷</w:t>
      </w:r>
      <w:r>
        <w:rPr>
          <w:rFonts w:hint="eastAsia" w:ascii="MS UI Gothic" w:eastAsia="MS UI Gothic"/>
          <w:w w:val="80"/>
        </w:rPr>
        <w:t xml:space="preserve">、 </w:t>
      </w:r>
      <w:r>
        <w:t>掘进巷道</w:t>
      </w:r>
      <w:r>
        <w:rPr>
          <w:rFonts w:hint="eastAsia" w:ascii="MS UI Gothic" w:eastAsia="MS UI Gothic"/>
          <w:w w:val="80"/>
        </w:rPr>
        <w:t xml:space="preserve">、 </w:t>
      </w:r>
      <w:r>
        <w:t>煤仓放煤口</w:t>
      </w:r>
      <w:r>
        <w:rPr>
          <w:rFonts w:hint="eastAsia" w:ascii="MS UI Gothic" w:eastAsia="MS UI Gothic"/>
          <w:w w:val="80"/>
        </w:rPr>
        <w:t xml:space="preserve">、 </w:t>
      </w:r>
      <w:r>
        <w:t>溜煤眼放煤口</w:t>
      </w:r>
      <w:r>
        <w:rPr>
          <w:rFonts w:hint="eastAsia" w:ascii="MS UI Gothic" w:eastAsia="MS UI Gothic"/>
          <w:w w:val="80"/>
        </w:rPr>
        <w:t xml:space="preserve">、 </w:t>
      </w:r>
      <w:r>
        <w:t>卸载点等地点必须敷设防尘供水管路</w:t>
      </w:r>
      <w:r>
        <w:rPr>
          <w:rFonts w:hint="eastAsia" w:ascii="MS UI Gothic" w:eastAsia="MS UI Gothic"/>
          <w:w w:val="80"/>
        </w:rPr>
        <w:t xml:space="preserve">ꎬ </w:t>
      </w:r>
      <w:r>
        <w:t>并安设支管和阀门</w:t>
      </w:r>
      <w:r>
        <w:rPr>
          <w:rFonts w:hint="eastAsia" w:ascii="MS UI Gothic" w:eastAsia="MS UI Gothic"/>
          <w:w w:val="80"/>
        </w:rPr>
        <w:t xml:space="preserve">ꎮ </w:t>
      </w:r>
      <w:r>
        <w:t>防尘用水应当过滤</w:t>
      </w:r>
      <w:r>
        <w:rPr>
          <w:rFonts w:hint="eastAsia" w:ascii="MS UI Gothic" w:eastAsia="MS UI Gothic"/>
          <w:w w:val="80"/>
        </w:rPr>
        <w:t xml:space="preserve">ꎮ </w:t>
      </w:r>
      <w:r>
        <w:t>水采矿井不受此限</w:t>
      </w:r>
      <w:r>
        <w:rPr>
          <w:rFonts w:hint="eastAsia" w:ascii="MS UI Gothic" w:eastAsia="MS UI Gothic"/>
          <w:w w:val="80"/>
        </w:rPr>
        <w:t>ꎮ</w:t>
      </w:r>
    </w:p>
    <w:p>
      <w:pPr>
        <w:pStyle w:val="6"/>
        <w:spacing w:before="4" w:line="292" w:lineRule="auto"/>
        <w:ind w:left="440" w:right="1"/>
        <w:rPr>
          <w:rFonts w:hint="eastAsia" w:ascii="MS UI Gothic" w:eastAsia="MS UI Gothic"/>
        </w:rPr>
      </w:pPr>
      <w:r>
        <w:rPr>
          <w:spacing w:val="2"/>
          <w:w w:val="105"/>
        </w:rPr>
        <w:t>第六百四十五条 井工煤矿采煤工作</w:t>
      </w:r>
      <w:r>
        <w:rPr>
          <w:spacing w:val="3"/>
        </w:rPr>
        <w:t>面应当采取煤层注水防尘措施</w:t>
      </w:r>
      <w:r>
        <w:rPr>
          <w:rFonts w:hint="eastAsia" w:ascii="MS UI Gothic" w:eastAsia="MS UI Gothic"/>
          <w:spacing w:val="21"/>
          <w:w w:val="80"/>
        </w:rPr>
        <w:t xml:space="preserve">ꎬ </w:t>
      </w:r>
      <w:r>
        <w:rPr>
          <w:spacing w:val="2"/>
        </w:rPr>
        <w:t>有下列情</w:t>
      </w:r>
      <w:r>
        <w:rPr>
          <w:spacing w:val="3"/>
          <w:w w:val="105"/>
        </w:rPr>
        <w:t>况之一的除外</w:t>
      </w:r>
      <w:r>
        <w:rPr>
          <w:rFonts w:hint="eastAsia" w:ascii="MS UI Gothic" w:eastAsia="MS UI Gothic"/>
          <w:w w:val="235"/>
        </w:rPr>
        <w:t>:</w:t>
      </w:r>
    </w:p>
    <w:p>
      <w:pPr>
        <w:pStyle w:val="6"/>
        <w:spacing w:before="1" w:line="292" w:lineRule="auto"/>
        <w:ind w:left="440" w:right="1"/>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4"/>
          <w:w w:val="150"/>
        </w:rPr>
        <w:t xml:space="preserve">) </w:t>
      </w:r>
      <w:r>
        <w:rPr>
          <w:spacing w:val="5"/>
          <w:w w:val="105"/>
        </w:rPr>
        <w:t>围岩有严重吸水膨胀性质</w:t>
      </w:r>
      <w:r>
        <w:rPr>
          <w:rFonts w:hint="eastAsia" w:ascii="MS UI Gothic" w:eastAsia="MS UI Gothic"/>
          <w:spacing w:val="13"/>
          <w:w w:val="80"/>
        </w:rPr>
        <w:t xml:space="preserve">ꎬ </w:t>
      </w:r>
      <w:r>
        <w:rPr>
          <w:w w:val="105"/>
        </w:rPr>
        <w:t>注</w:t>
      </w:r>
      <w:r>
        <w:rPr>
          <w:spacing w:val="3"/>
        </w:rPr>
        <w:t>水后易造成顶板垮塌或者底板变形</w:t>
      </w:r>
      <w:r>
        <w:rPr>
          <w:rFonts w:hint="eastAsia" w:ascii="MS UI Gothic" w:eastAsia="MS UI Gothic"/>
          <w:spacing w:val="21"/>
          <w:w w:val="80"/>
        </w:rPr>
        <w:t xml:space="preserve">ꎻ </w:t>
      </w:r>
      <w:r>
        <w:rPr>
          <w:spacing w:val="1"/>
        </w:rPr>
        <w:t>地质</w:t>
      </w:r>
      <w:r>
        <w:rPr>
          <w:spacing w:val="3"/>
          <w:w w:val="105"/>
        </w:rPr>
        <w:t>情况复杂</w:t>
      </w:r>
      <w:r>
        <w:rPr>
          <w:rFonts w:hint="eastAsia" w:ascii="MS UI Gothic" w:eastAsia="MS UI Gothic"/>
          <w:spacing w:val="-2"/>
          <w:w w:val="80"/>
        </w:rPr>
        <w:t xml:space="preserve">、 </w:t>
      </w:r>
      <w:r>
        <w:rPr>
          <w:spacing w:val="3"/>
          <w:w w:val="105"/>
        </w:rPr>
        <w:t>顶板破坏严重</w:t>
      </w:r>
      <w:r>
        <w:rPr>
          <w:rFonts w:hint="eastAsia" w:ascii="MS UI Gothic" w:eastAsia="MS UI Gothic"/>
          <w:spacing w:val="-2"/>
          <w:w w:val="80"/>
        </w:rPr>
        <w:t xml:space="preserve">ꎬ </w:t>
      </w:r>
      <w:r>
        <w:rPr>
          <w:spacing w:val="2"/>
          <w:w w:val="105"/>
        </w:rPr>
        <w:t>注水后影响采</w:t>
      </w:r>
      <w:r>
        <w:rPr>
          <w:spacing w:val="3"/>
          <w:w w:val="105"/>
        </w:rPr>
        <w:t>煤安全的煤层</w:t>
      </w:r>
      <w:r>
        <w:rPr>
          <w:rFonts w:hint="eastAsia" w:ascii="MS UI Gothic" w:eastAsia="MS UI Gothic"/>
          <w:w w:val="80"/>
        </w:rPr>
        <w:t>ꎮ</w:t>
      </w:r>
    </w:p>
    <w:p>
      <w:pPr>
        <w:pStyle w:val="6"/>
        <w:spacing w:before="3" w:line="292"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注水后会影响采煤安全或者造</w:t>
      </w:r>
      <w:r>
        <w:rPr>
          <w:w w:val="110"/>
        </w:rPr>
        <w:t>成劳动条件恶化的薄煤层</w:t>
      </w:r>
      <w:r>
        <w:rPr>
          <w:rFonts w:hint="eastAsia" w:ascii="MS UI Gothic" w:eastAsia="MS UI Gothic"/>
          <w:w w:val="80"/>
        </w:rPr>
        <w:t>ꎮ</w:t>
      </w:r>
    </w:p>
    <w:p>
      <w:pPr>
        <w:pStyle w:val="6"/>
        <w:spacing w:before="2"/>
        <w:ind w:left="860" w:firstLine="0"/>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原有自然水分或者防灭火灌浆</w:t>
      </w:r>
    </w:p>
    <w:p>
      <w:pPr>
        <w:pStyle w:val="6"/>
        <w:spacing w:before="175"/>
        <w:ind w:left="381" w:firstLine="0"/>
        <w:rPr>
          <w:rFonts w:hint="eastAsia" w:ascii="MS UI Gothic" w:eastAsia="MS UI Gothic"/>
        </w:rPr>
      </w:pPr>
      <w:r>
        <w:br w:type="column"/>
      </w:r>
      <w:r>
        <w:t xml:space="preserve">后水分大于 </w:t>
      </w:r>
      <w:r>
        <w:rPr>
          <w:rFonts w:hint="eastAsia" w:ascii="MS UI Gothic" w:eastAsia="MS UI Gothic"/>
          <w:w w:val="85"/>
        </w:rPr>
        <w:t>４</w:t>
      </w:r>
      <w:r>
        <w:rPr>
          <w:w w:val="85"/>
        </w:rPr>
        <w:t xml:space="preserve">％ </w:t>
      </w:r>
      <w:r>
        <w:t>的煤层</w:t>
      </w:r>
      <w:r>
        <w:rPr>
          <w:rFonts w:hint="eastAsia" w:ascii="MS UI Gothic" w:eastAsia="MS UI Gothic"/>
          <w:w w:val="85"/>
        </w:rPr>
        <w:t>ꎮ</w:t>
      </w:r>
    </w:p>
    <w:p>
      <w:pPr>
        <w:pStyle w:val="6"/>
        <w:spacing w:before="58"/>
        <w:ind w:left="800" w:firstLine="0"/>
        <w:rPr>
          <w:rFonts w:hint="eastAsia" w:ascii="MS UI Gothic" w:eastAsia="MS UI Gothic"/>
        </w:rPr>
      </w:pPr>
      <w:r>
        <w:rPr>
          <w:rFonts w:hint="eastAsia" w:ascii="MS UI Gothic" w:eastAsia="MS UI Gothic"/>
          <w:w w:val="145"/>
        </w:rPr>
        <w:t xml:space="preserve">( </w:t>
      </w:r>
      <w:r>
        <w:rPr>
          <w:w w:val="110"/>
        </w:rPr>
        <w:t>四</w:t>
      </w:r>
      <w:r>
        <w:rPr>
          <w:rFonts w:hint="eastAsia" w:ascii="MS UI Gothic" w:eastAsia="MS UI Gothic"/>
          <w:w w:val="145"/>
        </w:rPr>
        <w:t xml:space="preserve">) </w:t>
      </w:r>
      <w:r>
        <w:rPr>
          <w:w w:val="110"/>
        </w:rPr>
        <w:t xml:space="preserve">孔隙率小于 </w:t>
      </w:r>
      <w:r>
        <w:rPr>
          <w:rFonts w:hint="eastAsia" w:ascii="MS UI Gothic" w:eastAsia="MS UI Gothic"/>
          <w:w w:val="85"/>
        </w:rPr>
        <w:t>４</w:t>
      </w:r>
      <w:r>
        <w:rPr>
          <w:w w:val="85"/>
        </w:rPr>
        <w:t xml:space="preserve">％ </w:t>
      </w:r>
      <w:r>
        <w:rPr>
          <w:w w:val="110"/>
        </w:rPr>
        <w:t>的煤层</w:t>
      </w:r>
      <w:r>
        <w:rPr>
          <w:rFonts w:hint="eastAsia" w:ascii="MS UI Gothic" w:eastAsia="MS UI Gothic"/>
          <w:w w:val="85"/>
        </w:rPr>
        <w:t>ꎮ</w:t>
      </w:r>
    </w:p>
    <w:p>
      <w:pPr>
        <w:pStyle w:val="6"/>
        <w:spacing w:before="56"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煤层松软</w:t>
      </w:r>
      <w:r>
        <w:rPr>
          <w:rFonts w:hint="eastAsia" w:ascii="MS UI Gothic" w:eastAsia="MS UI Gothic"/>
          <w:w w:val="80"/>
        </w:rPr>
        <w:t xml:space="preserve">、 </w:t>
      </w:r>
      <w:r>
        <w:rPr>
          <w:w w:val="105"/>
        </w:rPr>
        <w:t>破碎</w:t>
      </w:r>
      <w:r>
        <w:rPr>
          <w:rFonts w:hint="eastAsia" w:ascii="MS UI Gothic" w:eastAsia="MS UI Gothic"/>
          <w:w w:val="80"/>
        </w:rPr>
        <w:t xml:space="preserve">ꎬ </w:t>
      </w:r>
      <w:r>
        <w:rPr>
          <w:w w:val="105"/>
        </w:rPr>
        <w:t>打钻孔时易塌孔</w:t>
      </w:r>
      <w:r>
        <w:rPr>
          <w:rFonts w:hint="eastAsia" w:ascii="MS UI Gothic" w:eastAsia="MS UI Gothic"/>
          <w:w w:val="80"/>
        </w:rPr>
        <w:t xml:space="preserve">、 </w:t>
      </w:r>
      <w:r>
        <w:rPr>
          <w:w w:val="105"/>
        </w:rPr>
        <w:t>难成孔的煤层</w:t>
      </w:r>
      <w:r>
        <w:rPr>
          <w:rFonts w:hint="eastAsia" w:ascii="MS UI Gothic" w:eastAsia="MS UI Gothic"/>
          <w:w w:val="80"/>
        </w:rPr>
        <w:t>ꎮ</w:t>
      </w:r>
    </w:p>
    <w:p>
      <w:pPr>
        <w:pStyle w:val="6"/>
        <w:spacing w:line="292"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采用下行垮落法开采近距离煤</w:t>
      </w:r>
      <w:r>
        <w:t>层群或者分层开采厚煤层</w:t>
      </w:r>
      <w:r>
        <w:rPr>
          <w:rFonts w:hint="eastAsia" w:ascii="MS UI Gothic" w:eastAsia="MS UI Gothic"/>
          <w:w w:val="80"/>
        </w:rPr>
        <w:t xml:space="preserve">ꎬ </w:t>
      </w:r>
      <w:r>
        <w:t>上层或者上分层的采空区采取灌水防尘措施时的下一层</w:t>
      </w:r>
      <w:r>
        <w:rPr>
          <w:w w:val="105"/>
        </w:rPr>
        <w:t>或者下一分层</w:t>
      </w:r>
      <w:r>
        <w:rPr>
          <w:rFonts w:hint="eastAsia" w:ascii="MS UI Gothic" w:eastAsia="MS UI Gothic"/>
          <w:w w:val="80"/>
        </w:rPr>
        <w:t>ꎮ</w:t>
      </w:r>
    </w:p>
    <w:p>
      <w:pPr>
        <w:pStyle w:val="6"/>
        <w:spacing w:line="292" w:lineRule="auto"/>
        <w:ind w:left="381" w:right="126"/>
        <w:rPr>
          <w:rFonts w:hint="eastAsia" w:ascii="MS UI Gothic" w:eastAsia="MS UI Gothic"/>
        </w:rPr>
      </w:pPr>
      <w:r>
        <w:t>第六百四十六条 井工煤矿炮采工作面应当采用湿式钻眼</w:t>
      </w:r>
      <w:r>
        <w:rPr>
          <w:rFonts w:hint="eastAsia" w:ascii="MS UI Gothic" w:eastAsia="MS UI Gothic"/>
          <w:w w:val="80"/>
        </w:rPr>
        <w:t xml:space="preserve">、 </w:t>
      </w:r>
      <w:r>
        <w:t>冲洗煤壁</w:t>
      </w:r>
      <w:r>
        <w:rPr>
          <w:rFonts w:hint="eastAsia" w:ascii="MS UI Gothic" w:eastAsia="MS UI Gothic"/>
          <w:w w:val="80"/>
        </w:rPr>
        <w:t xml:space="preserve">、  </w:t>
      </w:r>
      <w:r>
        <w:t>水炮泥</w:t>
      </w:r>
      <w:r>
        <w:rPr>
          <w:rFonts w:hint="eastAsia" w:ascii="MS UI Gothic" w:eastAsia="MS UI Gothic"/>
          <w:w w:val="80"/>
        </w:rPr>
        <w:t xml:space="preserve">、 </w:t>
      </w:r>
      <w:r>
        <w:t>出煤洒水等综合防尘措施</w:t>
      </w:r>
      <w:r>
        <w:rPr>
          <w:rFonts w:hint="eastAsia" w:ascii="MS UI Gothic" w:eastAsia="MS UI Gothic"/>
          <w:w w:val="80"/>
        </w:rPr>
        <w:t>ꎮ</w:t>
      </w:r>
    </w:p>
    <w:p>
      <w:pPr>
        <w:pStyle w:val="6"/>
        <w:spacing w:line="292" w:lineRule="auto"/>
        <w:ind w:left="381" w:right="124"/>
        <w:rPr>
          <w:rFonts w:hint="eastAsia" w:ascii="MS UI Gothic" w:eastAsia="MS UI Gothic"/>
        </w:rPr>
      </w:pPr>
      <w:r>
        <w:t>第六百四十七条  采煤机必须安装内</w:t>
      </w:r>
      <w:r>
        <w:rPr>
          <w:rFonts w:hint="eastAsia" w:ascii="MS UI Gothic" w:eastAsia="MS UI Gothic"/>
        </w:rPr>
        <w:t xml:space="preserve">、 </w:t>
      </w:r>
      <w:r>
        <w:t>外喷雾装置</w:t>
      </w:r>
      <w:r>
        <w:rPr>
          <w:rFonts w:hint="eastAsia" w:ascii="MS UI Gothic" w:eastAsia="MS UI Gothic"/>
          <w:w w:val="90"/>
        </w:rPr>
        <w:t xml:space="preserve">ꎮ </w:t>
      </w:r>
      <w:r>
        <w:t>割煤时必须喷雾降尘</w:t>
      </w:r>
      <w:r>
        <w:rPr>
          <w:rFonts w:hint="eastAsia" w:ascii="MS UI Gothic" w:eastAsia="MS UI Gothic"/>
          <w:w w:val="90"/>
        </w:rPr>
        <w:t>ꎬ</w:t>
      </w:r>
      <w:r>
        <w:t xml:space="preserve">内喷雾工作压力不得小于 </w:t>
      </w:r>
      <w:r>
        <w:rPr>
          <w:rFonts w:hint="eastAsia" w:ascii="MS UI Gothic" w:eastAsia="MS UI Gothic"/>
        </w:rPr>
        <w:t>２ ＭＰａ</w:t>
      </w:r>
      <w:r>
        <w:rPr>
          <w:rFonts w:hint="eastAsia" w:ascii="MS UI Gothic" w:eastAsia="MS UI Gothic"/>
          <w:w w:val="90"/>
        </w:rPr>
        <w:t xml:space="preserve">ꎬ </w:t>
      </w:r>
      <w:r>
        <w:t xml:space="preserve">外喷雾工作压力不得小于 </w:t>
      </w:r>
      <w:r>
        <w:rPr>
          <w:rFonts w:hint="eastAsia" w:ascii="MS UI Gothic" w:eastAsia="MS UI Gothic"/>
        </w:rPr>
        <w:t>４ ＭＰａ</w:t>
      </w:r>
      <w:r>
        <w:rPr>
          <w:rFonts w:hint="eastAsia" w:ascii="MS UI Gothic" w:eastAsia="MS UI Gothic"/>
          <w:w w:val="90"/>
        </w:rPr>
        <w:t xml:space="preserve">ꎬ </w:t>
      </w:r>
      <w:r>
        <w:t>喷雾流量应当与机型相匹配</w:t>
      </w:r>
      <w:r>
        <w:rPr>
          <w:rFonts w:hint="eastAsia" w:ascii="MS UI Gothic" w:eastAsia="MS UI Gothic"/>
          <w:w w:val="90"/>
        </w:rPr>
        <w:t xml:space="preserve">ꎮ </w:t>
      </w:r>
      <w:r>
        <w:t>无水或者喷雾装置不能正常使用时必须停机</w:t>
      </w:r>
      <w:r>
        <w:rPr>
          <w:rFonts w:hint="eastAsia" w:ascii="MS UI Gothic" w:eastAsia="MS UI Gothic"/>
          <w:w w:val="90"/>
        </w:rPr>
        <w:t xml:space="preserve">ꎻ </w:t>
      </w:r>
      <w:r>
        <w:t>液压支架和放顶煤工作面的放煤口</w:t>
      </w:r>
      <w:r>
        <w:rPr>
          <w:rFonts w:hint="eastAsia" w:ascii="MS UI Gothic" w:eastAsia="MS UI Gothic"/>
          <w:w w:val="90"/>
        </w:rPr>
        <w:t xml:space="preserve">ꎬ </w:t>
      </w:r>
      <w:r>
        <w:t>必须安装喷雾装置</w:t>
      </w:r>
      <w:r>
        <w:rPr>
          <w:rFonts w:hint="eastAsia" w:ascii="MS UI Gothic" w:eastAsia="MS UI Gothic"/>
          <w:w w:val="90"/>
        </w:rPr>
        <w:t xml:space="preserve">ꎬ </w:t>
      </w:r>
      <w:r>
        <w:t>降柱</w:t>
      </w:r>
      <w:r>
        <w:rPr>
          <w:rFonts w:hint="eastAsia" w:ascii="MS UI Gothic" w:eastAsia="MS UI Gothic"/>
        </w:rPr>
        <w:t xml:space="preserve">、 </w:t>
      </w:r>
      <w:r>
        <w:t>移架或者放煤时同步喷雾</w:t>
      </w:r>
      <w:r>
        <w:rPr>
          <w:rFonts w:hint="eastAsia" w:ascii="MS UI Gothic" w:eastAsia="MS UI Gothic"/>
          <w:w w:val="90"/>
        </w:rPr>
        <w:t xml:space="preserve">ꎮ </w:t>
      </w:r>
      <w:r>
        <w:t>破碎机必须安装防尘罩和喷雾装置或者除尘器</w:t>
      </w:r>
      <w:r>
        <w:rPr>
          <w:rFonts w:hint="eastAsia" w:ascii="MS UI Gothic" w:eastAsia="MS UI Gothic"/>
          <w:w w:val="90"/>
        </w:rPr>
        <w:t>ꎮ</w:t>
      </w:r>
    </w:p>
    <w:p>
      <w:pPr>
        <w:pStyle w:val="6"/>
        <w:spacing w:before="4" w:line="295" w:lineRule="auto"/>
        <w:ind w:left="381" w:right="126"/>
        <w:rPr>
          <w:rFonts w:hint="eastAsia" w:ascii="MS UI Gothic" w:eastAsia="MS UI Gothic"/>
        </w:rPr>
      </w:pPr>
      <w:r>
        <w:rPr>
          <w:w w:val="105"/>
        </w:rPr>
        <w:t>第六百四十八条 井工煤矿采煤工作面回风巷应当安设风流净化水幕</w:t>
      </w:r>
      <w:r>
        <w:rPr>
          <w:rFonts w:hint="eastAsia" w:ascii="MS UI Gothic" w:eastAsia="MS UI Gothic"/>
          <w:w w:val="80"/>
        </w:rPr>
        <w:t>ꎮ</w:t>
      </w:r>
    </w:p>
    <w:p>
      <w:pPr>
        <w:pStyle w:val="6"/>
        <w:spacing w:line="292" w:lineRule="auto"/>
        <w:ind w:left="381" w:right="126"/>
        <w:rPr>
          <w:rFonts w:hint="eastAsia" w:ascii="MS UI Gothic" w:eastAsia="MS UI Gothic"/>
        </w:rPr>
      </w:pPr>
      <w:r>
        <w:rPr>
          <w:w w:val="105"/>
        </w:rPr>
        <w:t>第六百四十九条 井工煤矿掘进井巷和硐室时</w:t>
      </w:r>
      <w:r>
        <w:rPr>
          <w:rFonts w:hint="eastAsia" w:ascii="MS UI Gothic" w:eastAsia="MS UI Gothic"/>
          <w:w w:val="80"/>
        </w:rPr>
        <w:t xml:space="preserve">ꎬ </w:t>
      </w:r>
      <w:r>
        <w:rPr>
          <w:w w:val="105"/>
        </w:rPr>
        <w:t>必须采取湿式钻眼</w:t>
      </w:r>
      <w:r>
        <w:rPr>
          <w:rFonts w:hint="eastAsia" w:ascii="MS UI Gothic" w:eastAsia="MS UI Gothic"/>
          <w:w w:val="80"/>
        </w:rPr>
        <w:t xml:space="preserve">、 </w:t>
      </w:r>
      <w:r>
        <w:rPr>
          <w:w w:val="105"/>
        </w:rPr>
        <w:t>冲洗井壁巷帮</w:t>
      </w:r>
      <w:r>
        <w:rPr>
          <w:rFonts w:hint="eastAsia" w:ascii="MS UI Gothic" w:eastAsia="MS UI Gothic"/>
          <w:w w:val="80"/>
        </w:rPr>
        <w:t xml:space="preserve">、 </w:t>
      </w:r>
      <w:r>
        <w:rPr>
          <w:w w:val="105"/>
        </w:rPr>
        <w:t>水炮泥</w:t>
      </w:r>
      <w:r>
        <w:rPr>
          <w:rFonts w:hint="eastAsia" w:ascii="MS UI Gothic" w:eastAsia="MS UI Gothic"/>
          <w:w w:val="80"/>
        </w:rPr>
        <w:t xml:space="preserve">、 </w:t>
      </w:r>
      <w:r>
        <w:rPr>
          <w:w w:val="105"/>
        </w:rPr>
        <w:t>爆破喷雾</w:t>
      </w:r>
      <w:r>
        <w:rPr>
          <w:rFonts w:hint="eastAsia" w:ascii="MS UI Gothic" w:eastAsia="MS UI Gothic"/>
          <w:w w:val="80"/>
        </w:rPr>
        <w:t xml:space="preserve">、 </w:t>
      </w:r>
      <w:r>
        <w:rPr>
          <w:w w:val="105"/>
        </w:rPr>
        <w:t xml:space="preserve">装岩 </w:t>
      </w:r>
      <w:r>
        <w:rPr>
          <w:rFonts w:hint="eastAsia" w:ascii="MS UI Gothic" w:eastAsia="MS UI Gothic"/>
          <w:w w:val="150"/>
        </w:rPr>
        <w:t xml:space="preserve">( </w:t>
      </w:r>
      <w:r>
        <w:rPr>
          <w:w w:val="105"/>
        </w:rPr>
        <w:t>煤</w:t>
      </w:r>
      <w:r>
        <w:rPr>
          <w:rFonts w:hint="eastAsia" w:ascii="MS UI Gothic" w:eastAsia="MS UI Gothic"/>
          <w:w w:val="150"/>
        </w:rPr>
        <w:t xml:space="preserve">) </w:t>
      </w:r>
      <w:r>
        <w:rPr>
          <w:w w:val="105"/>
        </w:rPr>
        <w:t>洒水和净化风流等综合防尘措施</w:t>
      </w:r>
      <w:r>
        <w:rPr>
          <w:rFonts w:hint="eastAsia" w:ascii="MS UI Gothic" w:eastAsia="MS UI Gothic"/>
          <w:w w:val="80"/>
        </w:rPr>
        <w:t>ꎮ</w:t>
      </w:r>
    </w:p>
    <w:p>
      <w:pPr>
        <w:pStyle w:val="6"/>
        <w:spacing w:line="295" w:lineRule="auto"/>
        <w:ind w:left="381" w:right="126"/>
      </w:pPr>
      <w:r>
        <w:rPr>
          <w:w w:val="105"/>
        </w:rPr>
        <w:t>第六百五十条 井工煤矿掘进机作业时</w:t>
      </w:r>
      <w:r>
        <w:rPr>
          <w:rFonts w:hint="eastAsia" w:ascii="MS UI Gothic" w:eastAsia="MS UI Gothic"/>
          <w:w w:val="80"/>
        </w:rPr>
        <w:t xml:space="preserve">ꎬ </w:t>
      </w:r>
      <w:r>
        <w:rPr>
          <w:w w:val="105"/>
        </w:rPr>
        <w:t>应当采用内</w:t>
      </w:r>
      <w:r>
        <w:rPr>
          <w:rFonts w:hint="eastAsia" w:ascii="MS UI Gothic" w:eastAsia="MS UI Gothic"/>
          <w:w w:val="80"/>
        </w:rPr>
        <w:t xml:space="preserve">、 </w:t>
      </w:r>
      <w:r>
        <w:rPr>
          <w:w w:val="105"/>
        </w:rPr>
        <w:t>外喷雾及通风除尘等综</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３４０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33" o:spid="_x0000_s2033" o:spt="203" style="height:2.15pt;width:398.25pt;" coordsize="7965,43">
            <o:lock v:ext="edit"/>
            <v:line id="_x0000_s2034" o:spid="_x0000_s2034" o:spt="20" style="position:absolute;left:0;top:39;height:0;width:7965;" stroked="t" coordsize="21600,21600">
              <v:path arrowok="t"/>
              <v:fill focussize="0,0"/>
              <v:stroke weight="0.388031496062992pt" color="#231F20"/>
              <v:imagedata o:title=""/>
              <o:lock v:ext="edit"/>
            </v:line>
            <v:line id="_x0000_s2035" o:spid="_x0000_s203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合措施</w:t>
      </w:r>
      <w:r>
        <w:rPr>
          <w:rFonts w:hint="eastAsia" w:ascii="MS UI Gothic" w:eastAsia="MS UI Gothic"/>
          <w:w w:val="80"/>
        </w:rPr>
        <w:t xml:space="preserve">ꎮ </w:t>
      </w:r>
      <w:r>
        <w:t>掘进机无水或者喷雾装置不能正常使用时</w:t>
      </w:r>
      <w:r>
        <w:rPr>
          <w:rFonts w:hint="eastAsia" w:ascii="MS UI Gothic" w:eastAsia="MS UI Gothic"/>
          <w:w w:val="80"/>
        </w:rPr>
        <w:t xml:space="preserve">ꎬ </w:t>
      </w:r>
      <w:r>
        <w:t>必须停机</w:t>
      </w:r>
      <w:r>
        <w:rPr>
          <w:rFonts w:hint="eastAsia" w:ascii="MS UI Gothic" w:eastAsia="MS UI Gothic"/>
          <w:w w:val="80"/>
        </w:rPr>
        <w:t>ꎮ</w:t>
      </w:r>
    </w:p>
    <w:p>
      <w:pPr>
        <w:pStyle w:val="6"/>
        <w:spacing w:line="295" w:lineRule="auto"/>
        <w:ind w:right="39"/>
        <w:rPr>
          <w:rFonts w:hint="eastAsia" w:ascii="MS UI Gothic" w:eastAsia="MS UI Gothic"/>
        </w:rPr>
      </w:pPr>
      <w:r>
        <w:t>第六百五十一条 井工煤矿在煤</w:t>
      </w:r>
      <w:r>
        <w:rPr>
          <w:rFonts w:hint="eastAsia" w:ascii="MS UI Gothic" w:eastAsia="MS UI Gothic"/>
          <w:w w:val="80"/>
        </w:rPr>
        <w:t xml:space="preserve">、 </w:t>
      </w:r>
      <w:r>
        <w:t>岩层中钻孔作业时</w:t>
      </w:r>
      <w:r>
        <w:rPr>
          <w:rFonts w:hint="eastAsia" w:ascii="MS UI Gothic" w:eastAsia="MS UI Gothic"/>
          <w:w w:val="80"/>
        </w:rPr>
        <w:t xml:space="preserve">ꎬ </w:t>
      </w:r>
      <w:r>
        <w:t>应当采取湿式降尘等措施</w:t>
      </w:r>
      <w:r>
        <w:rPr>
          <w:rFonts w:hint="eastAsia" w:ascii="MS UI Gothic" w:eastAsia="MS UI Gothic"/>
          <w:w w:val="80"/>
        </w:rPr>
        <w:t>ꎮ</w:t>
      </w:r>
    </w:p>
    <w:p>
      <w:pPr>
        <w:pStyle w:val="6"/>
        <w:spacing w:line="295" w:lineRule="auto"/>
        <w:ind w:right="38"/>
        <w:rPr>
          <w:rFonts w:hint="eastAsia" w:ascii="MS UI Gothic" w:eastAsia="MS UI Gothic"/>
        </w:rPr>
      </w:pPr>
      <w:r>
        <w:rPr>
          <w:spacing w:val="2"/>
        </w:rPr>
        <w:t>在冻结法凿井和在遇水膨胀的岩层中</w:t>
      </w:r>
      <w:r>
        <w:rPr>
          <w:spacing w:val="1"/>
          <w:w w:val="105"/>
        </w:rPr>
        <w:t xml:space="preserve">不能采用湿式钻眼 </w:t>
      </w:r>
      <w:r>
        <w:rPr>
          <w:rFonts w:hint="eastAsia" w:ascii="MS UI Gothic" w:eastAsia="MS UI Gothic"/>
          <w:spacing w:val="-36"/>
          <w:w w:val="150"/>
        </w:rPr>
        <w:t xml:space="preserve">( </w:t>
      </w:r>
      <w:r>
        <w:rPr>
          <w:spacing w:val="7"/>
          <w:w w:val="105"/>
        </w:rPr>
        <w:t>孔</w:t>
      </w:r>
      <w:r>
        <w:rPr>
          <w:rFonts w:hint="eastAsia" w:ascii="MS UI Gothic" w:eastAsia="MS UI Gothic"/>
          <w:spacing w:val="21"/>
          <w:w w:val="150"/>
        </w:rPr>
        <w:t>)</w:t>
      </w:r>
      <w:r>
        <w:rPr>
          <w:rFonts w:hint="eastAsia" w:ascii="MS UI Gothic" w:eastAsia="MS UI Gothic"/>
          <w:spacing w:val="21"/>
          <w:w w:val="80"/>
        </w:rPr>
        <w:t xml:space="preserve">、 </w:t>
      </w:r>
      <w:r>
        <w:rPr>
          <w:spacing w:val="7"/>
          <w:w w:val="105"/>
        </w:rPr>
        <w:t>突出煤层或者</w:t>
      </w:r>
      <w:r>
        <w:rPr>
          <w:spacing w:val="2"/>
        </w:rPr>
        <w:t>松软煤层中施工瓦斯抽采钻孔难以采取湿</w:t>
      </w:r>
      <w:r>
        <w:rPr>
          <w:spacing w:val="3"/>
          <w:w w:val="105"/>
        </w:rPr>
        <w:t>式钻孔作业时</w:t>
      </w:r>
      <w:r>
        <w:rPr>
          <w:rFonts w:hint="eastAsia" w:ascii="MS UI Gothic" w:eastAsia="MS UI Gothic"/>
          <w:spacing w:val="-7"/>
          <w:w w:val="80"/>
        </w:rPr>
        <w:t xml:space="preserve">ꎬ </w:t>
      </w:r>
      <w:r>
        <w:rPr>
          <w:spacing w:val="-8"/>
          <w:w w:val="105"/>
        </w:rPr>
        <w:t xml:space="preserve">可以采取干式钻孔 </w:t>
      </w:r>
      <w:r>
        <w:rPr>
          <w:rFonts w:hint="eastAsia" w:ascii="MS UI Gothic" w:eastAsia="MS UI Gothic"/>
          <w:spacing w:val="-43"/>
          <w:w w:val="150"/>
        </w:rPr>
        <w:t xml:space="preserve">( </w:t>
      </w:r>
      <w:r>
        <w:rPr>
          <w:spacing w:val="3"/>
          <w:w w:val="105"/>
        </w:rPr>
        <w:t>眼</w:t>
      </w:r>
      <w:r>
        <w:rPr>
          <w:rFonts w:hint="eastAsia" w:ascii="MS UI Gothic" w:eastAsia="MS UI Gothic"/>
          <w:spacing w:val="-42"/>
          <w:w w:val="150"/>
        </w:rPr>
        <w:t xml:space="preserve">) </w:t>
      </w:r>
      <w:r>
        <w:rPr>
          <w:rFonts w:hint="eastAsia" w:ascii="MS UI Gothic" w:eastAsia="MS UI Gothic"/>
          <w:w w:val="80"/>
        </w:rPr>
        <w:t>ꎬ</w:t>
      </w:r>
      <w:r>
        <w:rPr>
          <w:spacing w:val="3"/>
          <w:w w:val="105"/>
        </w:rPr>
        <w:t>并采取除尘器除尘等措施</w:t>
      </w:r>
      <w:r>
        <w:rPr>
          <w:rFonts w:hint="eastAsia" w:ascii="MS UI Gothic" w:eastAsia="MS UI Gothic"/>
          <w:w w:val="80"/>
        </w:rPr>
        <w:t>ꎮ</w:t>
      </w:r>
    </w:p>
    <w:p>
      <w:pPr>
        <w:pStyle w:val="6"/>
        <w:spacing w:line="295" w:lineRule="auto"/>
        <w:ind w:right="38"/>
        <w:rPr>
          <w:rFonts w:hint="eastAsia" w:ascii="MS UI Gothic" w:eastAsia="MS UI Gothic"/>
        </w:rPr>
      </w:pPr>
      <w:r>
        <w:rPr>
          <w:w w:val="105"/>
        </w:rPr>
        <w:t xml:space="preserve">第六百五十二条 井下煤仓 </w:t>
      </w:r>
      <w:r>
        <w:rPr>
          <w:rFonts w:hint="eastAsia" w:ascii="MS UI Gothic" w:eastAsia="MS UI Gothic"/>
          <w:w w:val="150"/>
        </w:rPr>
        <w:t xml:space="preserve">( </w:t>
      </w:r>
      <w:r>
        <w:rPr>
          <w:w w:val="105"/>
        </w:rPr>
        <w:t>溜煤眼</w:t>
      </w:r>
      <w:r>
        <w:rPr>
          <w:rFonts w:hint="eastAsia" w:ascii="MS UI Gothic" w:eastAsia="MS UI Gothic"/>
          <w:w w:val="150"/>
        </w:rPr>
        <w:t xml:space="preserve">) </w:t>
      </w:r>
      <w:r>
        <w:rPr>
          <w:w w:val="105"/>
        </w:rPr>
        <w:t>放煤口</w:t>
      </w:r>
      <w:r>
        <w:rPr>
          <w:rFonts w:hint="eastAsia" w:ascii="MS UI Gothic" w:eastAsia="MS UI Gothic"/>
          <w:w w:val="80"/>
        </w:rPr>
        <w:t xml:space="preserve">、 </w:t>
      </w:r>
      <w:r>
        <w:rPr>
          <w:w w:val="105"/>
        </w:rPr>
        <w:t>输送机转载点和卸载点</w:t>
      </w:r>
      <w:r>
        <w:rPr>
          <w:rFonts w:hint="eastAsia" w:ascii="MS UI Gothic" w:eastAsia="MS UI Gothic"/>
          <w:w w:val="80"/>
        </w:rPr>
        <w:t>ꎬ</w:t>
      </w:r>
      <w:r>
        <w:rPr>
          <w:w w:val="105"/>
        </w:rPr>
        <w:t>以及地面筛分厂</w:t>
      </w:r>
      <w:r>
        <w:rPr>
          <w:rFonts w:hint="eastAsia" w:ascii="MS UI Gothic" w:eastAsia="MS UI Gothic"/>
          <w:w w:val="80"/>
        </w:rPr>
        <w:t xml:space="preserve">、 </w:t>
      </w:r>
      <w:r>
        <w:rPr>
          <w:w w:val="105"/>
        </w:rPr>
        <w:t>破碎车间</w:t>
      </w:r>
      <w:r>
        <w:rPr>
          <w:rFonts w:hint="eastAsia" w:ascii="MS UI Gothic" w:eastAsia="MS UI Gothic"/>
          <w:w w:val="80"/>
        </w:rPr>
        <w:t xml:space="preserve">、 </w:t>
      </w:r>
      <w:r>
        <w:rPr>
          <w:w w:val="105"/>
        </w:rPr>
        <w:t>带式输送机走廊</w:t>
      </w:r>
      <w:r>
        <w:rPr>
          <w:rFonts w:hint="eastAsia" w:ascii="MS UI Gothic" w:eastAsia="MS UI Gothic"/>
          <w:w w:val="80"/>
        </w:rPr>
        <w:t xml:space="preserve">、 </w:t>
      </w:r>
      <w:r>
        <w:rPr>
          <w:w w:val="105"/>
        </w:rPr>
        <w:t>转载点等地点</w:t>
      </w:r>
      <w:r>
        <w:rPr>
          <w:rFonts w:hint="eastAsia" w:ascii="MS UI Gothic" w:eastAsia="MS UI Gothic"/>
          <w:w w:val="80"/>
        </w:rPr>
        <w:t xml:space="preserve">ꎬ </w:t>
      </w:r>
      <w:r>
        <w:rPr>
          <w:w w:val="105"/>
        </w:rPr>
        <w:t>必须安设喷雾装置</w:t>
      </w:r>
      <w:r>
        <w:t>或者除尘器</w:t>
      </w:r>
      <w:r>
        <w:rPr>
          <w:rFonts w:hint="eastAsia" w:ascii="MS UI Gothic" w:eastAsia="MS UI Gothic"/>
          <w:w w:val="80"/>
        </w:rPr>
        <w:t xml:space="preserve">ꎬ </w:t>
      </w:r>
      <w:r>
        <w:t>作业时进行喷雾降尘或者用</w:t>
      </w:r>
      <w:r>
        <w:rPr>
          <w:w w:val="105"/>
        </w:rPr>
        <w:t>除尘器除尘</w:t>
      </w:r>
      <w:r>
        <w:rPr>
          <w:rFonts w:hint="eastAsia" w:ascii="MS UI Gothic" w:eastAsia="MS UI Gothic"/>
          <w:w w:val="80"/>
        </w:rPr>
        <w:t>ꎮ</w:t>
      </w:r>
    </w:p>
    <w:p>
      <w:pPr>
        <w:pStyle w:val="6"/>
        <w:spacing w:line="295" w:lineRule="auto"/>
        <w:ind w:right="39"/>
        <w:rPr>
          <w:rFonts w:hint="eastAsia" w:ascii="MS UI Gothic" w:eastAsia="MS UI Gothic"/>
        </w:rPr>
      </w:pPr>
      <w:r>
        <w:rPr>
          <w:w w:val="95"/>
        </w:rPr>
        <w:t>第六百五十三条  喷射混凝土时</w:t>
      </w:r>
      <w:r>
        <w:rPr>
          <w:rFonts w:hint="eastAsia" w:ascii="MS UI Gothic" w:eastAsia="MS UI Gothic"/>
          <w:w w:val="90"/>
        </w:rPr>
        <w:t xml:space="preserve">ꎬ  </w:t>
      </w:r>
      <w:r>
        <w:rPr>
          <w:w w:val="95"/>
        </w:rPr>
        <w:t>应当采用潮喷或者湿喷工艺</w:t>
      </w:r>
      <w:r>
        <w:rPr>
          <w:rFonts w:hint="eastAsia" w:ascii="MS UI Gothic" w:eastAsia="MS UI Gothic"/>
          <w:w w:val="90"/>
        </w:rPr>
        <w:t xml:space="preserve">ꎬ  </w:t>
      </w:r>
      <w:r>
        <w:rPr>
          <w:w w:val="95"/>
        </w:rPr>
        <w:t>并配备除尘装置对上料口</w:t>
      </w:r>
      <w:r>
        <w:rPr>
          <w:rFonts w:hint="eastAsia" w:ascii="MS UI Gothic" w:eastAsia="MS UI Gothic"/>
          <w:w w:val="95"/>
        </w:rPr>
        <w:t xml:space="preserve">、  </w:t>
      </w:r>
      <w:r>
        <w:rPr>
          <w:w w:val="95"/>
        </w:rPr>
        <w:t>余气口除尘</w:t>
      </w:r>
      <w:r>
        <w:rPr>
          <w:rFonts w:hint="eastAsia" w:ascii="MS UI Gothic" w:eastAsia="MS UI Gothic"/>
          <w:w w:val="90"/>
        </w:rPr>
        <w:t xml:space="preserve">ꎮ  </w:t>
      </w:r>
      <w:r>
        <w:rPr>
          <w:w w:val="95"/>
        </w:rPr>
        <w:t xml:space="preserve">距离喷浆作业点下风流 </w:t>
      </w:r>
      <w:r>
        <w:rPr>
          <w:rFonts w:hint="eastAsia" w:ascii="MS UI Gothic" w:eastAsia="MS UI Gothic"/>
          <w:w w:val="95"/>
        </w:rPr>
        <w:t xml:space="preserve">１００ ｍ </w:t>
      </w:r>
      <w:r>
        <w:rPr>
          <w:w w:val="95"/>
        </w:rPr>
        <w:t>内</w:t>
      </w:r>
      <w:r>
        <w:rPr>
          <w:rFonts w:hint="eastAsia" w:ascii="MS UI Gothic" w:eastAsia="MS UI Gothic"/>
          <w:w w:val="90"/>
        </w:rPr>
        <w:t xml:space="preserve">ꎬ </w:t>
      </w:r>
      <w:r>
        <w:rPr>
          <w:w w:val="95"/>
        </w:rPr>
        <w:t>应当设置风流净化水幕</w:t>
      </w:r>
      <w:r>
        <w:rPr>
          <w:rFonts w:hint="eastAsia" w:ascii="MS UI Gothic" w:eastAsia="MS UI Gothic"/>
          <w:w w:val="90"/>
        </w:rPr>
        <w:t>ꎮ</w:t>
      </w:r>
    </w:p>
    <w:p>
      <w:pPr>
        <w:pStyle w:val="6"/>
        <w:spacing w:line="295" w:lineRule="auto"/>
        <w:ind w:right="39"/>
        <w:rPr>
          <w:rFonts w:hint="eastAsia" w:ascii="MS UI Gothic" w:eastAsia="MS UI Gothic"/>
        </w:rPr>
      </w:pPr>
      <w:r>
        <w:rPr>
          <w:w w:val="105"/>
        </w:rPr>
        <w:t>第六百五十四条 露天煤矿的防尘工</w:t>
      </w:r>
      <w:r>
        <w:rPr>
          <w:w w:val="110"/>
        </w:rPr>
        <w:t>作应当符合下列要求</w:t>
      </w:r>
      <w:r>
        <w:rPr>
          <w:rFonts w:hint="eastAsia" w:ascii="MS UI Gothic" w:eastAsia="MS UI Gothic"/>
          <w:w w:val="235"/>
        </w:rPr>
        <w:t>:</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 xml:space="preserve">设置加水站 </w:t>
      </w:r>
      <w:r>
        <w:rPr>
          <w:rFonts w:hint="eastAsia" w:ascii="MS UI Gothic" w:eastAsia="MS UI Gothic"/>
          <w:w w:val="150"/>
        </w:rPr>
        <w:t xml:space="preserve">( </w:t>
      </w:r>
      <w:r>
        <w:rPr>
          <w:w w:val="115"/>
        </w:rPr>
        <w:t>池</w:t>
      </w:r>
      <w:r>
        <w:rPr>
          <w:rFonts w:hint="eastAsia" w:ascii="MS UI Gothic" w:eastAsia="MS UI Gothic"/>
          <w:w w:val="150"/>
        </w:rPr>
        <w:t xml:space="preserve">) </w:t>
      </w:r>
      <w:r>
        <w:rPr>
          <w:rFonts w:hint="eastAsia" w:ascii="MS UI Gothic" w:eastAsia="MS UI Gothic"/>
          <w:w w:val="80"/>
        </w:rPr>
        <w:t>ꎮ</w:t>
      </w:r>
    </w:p>
    <w:p>
      <w:pPr>
        <w:pStyle w:val="6"/>
        <w:spacing w:before="42" w:line="295" w:lineRule="auto"/>
        <w:ind w:right="39"/>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穿孔作业采取捕尘或者除尘器</w:t>
      </w:r>
      <w:r>
        <w:rPr>
          <w:w w:val="110"/>
        </w:rPr>
        <w:t>除尘等措施</w:t>
      </w:r>
      <w:r>
        <w:rPr>
          <w:rFonts w:hint="eastAsia" w:ascii="MS UI Gothic" w:eastAsia="MS UI Gothic"/>
          <w:w w:val="80"/>
        </w:rPr>
        <w:t>ꎮ</w:t>
      </w:r>
    </w:p>
    <w:p>
      <w:pPr>
        <w:pStyle w:val="6"/>
        <w:spacing w:line="295" w:lineRule="auto"/>
        <w:ind w:right="39"/>
        <w:jc w:val="left"/>
        <w:rPr>
          <w:rFonts w:hint="eastAsia" w:ascii="MS UI Gothic" w:eastAsia="MS UI Gothic"/>
        </w:rPr>
      </w:pPr>
      <w:r>
        <w:rPr>
          <w:rFonts w:hint="eastAsia" w:ascii="MS UI Gothic" w:eastAsia="MS UI Gothic"/>
          <w:spacing w:val="-34"/>
          <w:w w:val="125"/>
        </w:rPr>
        <w:t xml:space="preserve">( </w:t>
      </w:r>
      <w:r>
        <w:rPr>
          <w:spacing w:val="29"/>
          <w:w w:val="110"/>
        </w:rPr>
        <w:t>三</w:t>
      </w:r>
      <w:r>
        <w:rPr>
          <w:rFonts w:hint="eastAsia" w:ascii="MS UI Gothic" w:eastAsia="MS UI Gothic"/>
          <w:spacing w:val="-11"/>
          <w:w w:val="125"/>
        </w:rPr>
        <w:t xml:space="preserve">) </w:t>
      </w:r>
      <w:r>
        <w:rPr>
          <w:spacing w:val="41"/>
          <w:w w:val="110"/>
        </w:rPr>
        <w:t>运输道路采取洒水等降尘</w:t>
      </w:r>
      <w:r>
        <w:rPr>
          <w:spacing w:val="3"/>
          <w:w w:val="110"/>
        </w:rPr>
        <w:t>措施</w:t>
      </w:r>
      <w:r>
        <w:rPr>
          <w:rFonts w:hint="eastAsia" w:ascii="MS UI Gothic" w:eastAsia="MS UI Gothic"/>
          <w:w w:val="80"/>
        </w:rPr>
        <w:t>ꎮ</w:t>
      </w:r>
    </w:p>
    <w:p>
      <w:pPr>
        <w:pStyle w:val="6"/>
        <w:spacing w:line="295" w:lineRule="auto"/>
        <w:ind w:right="39"/>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破碎站</w:t>
      </w:r>
      <w:r>
        <w:rPr>
          <w:rFonts w:hint="eastAsia" w:ascii="MS UI Gothic" w:eastAsia="MS UI Gothic"/>
          <w:w w:val="80"/>
        </w:rPr>
        <w:t xml:space="preserve">、 </w:t>
      </w:r>
      <w:r>
        <w:rPr>
          <w:w w:val="105"/>
        </w:rPr>
        <w:t>转载点等采用喷雾降尘或者除尘器除尘</w:t>
      </w:r>
      <w:r>
        <w:rPr>
          <w:rFonts w:hint="eastAsia" w:ascii="MS UI Gothic" w:eastAsia="MS UI Gothic"/>
          <w:w w:val="80"/>
        </w:rPr>
        <w:t>ꎮ</w:t>
      </w:r>
    </w:p>
    <w:p>
      <w:pPr>
        <w:pStyle w:val="6"/>
        <w:tabs>
          <w:tab w:val="left" w:pos="1906"/>
        </w:tabs>
        <w:spacing w:before="152"/>
        <w:ind w:left="1067" w:firstLine="0"/>
        <w:jc w:val="left"/>
      </w:pPr>
      <w:r>
        <w:rPr>
          <w:spacing w:val="3"/>
          <w:w w:val="105"/>
        </w:rPr>
        <w:t>第三</w:t>
      </w:r>
      <w:r>
        <w:rPr>
          <w:w w:val="105"/>
        </w:rPr>
        <w:t>章</w:t>
      </w:r>
      <w:r>
        <w:rPr>
          <w:w w:val="105"/>
        </w:rPr>
        <w:tab/>
      </w:r>
      <w:r>
        <w:rPr>
          <w:w w:val="105"/>
        </w:rPr>
        <w:t>热</w:t>
      </w:r>
      <w:r>
        <w:rPr>
          <w:spacing w:val="-34"/>
          <w:w w:val="105"/>
        </w:rPr>
        <w:t xml:space="preserve"> </w:t>
      </w:r>
      <w:r>
        <w:rPr>
          <w:w w:val="105"/>
        </w:rPr>
        <w:t>害</w:t>
      </w:r>
      <w:r>
        <w:rPr>
          <w:spacing w:val="-33"/>
          <w:w w:val="105"/>
        </w:rPr>
        <w:t xml:space="preserve"> </w:t>
      </w:r>
      <w:r>
        <w:rPr>
          <w:w w:val="105"/>
        </w:rPr>
        <w:t>防</w:t>
      </w:r>
      <w:r>
        <w:rPr>
          <w:spacing w:val="-33"/>
          <w:w w:val="105"/>
        </w:rPr>
        <w:t xml:space="preserve"> </w:t>
      </w:r>
      <w:r>
        <w:rPr>
          <w:w w:val="105"/>
        </w:rPr>
        <w:t>治</w:t>
      </w:r>
    </w:p>
    <w:p>
      <w:pPr>
        <w:pStyle w:val="6"/>
        <w:spacing w:before="215" w:line="295" w:lineRule="auto"/>
        <w:ind w:right="39"/>
        <w:rPr>
          <w:rFonts w:hint="eastAsia" w:ascii="MS UI Gothic" w:hAnsi="MS UI Gothic" w:eastAsia="MS UI Gothic"/>
        </w:rPr>
      </w:pPr>
      <w:r>
        <w:rPr>
          <w:spacing w:val="4"/>
        </w:rPr>
        <w:t>第六百五十五条 当采掘工作面空气</w:t>
      </w:r>
      <w:r>
        <w:rPr>
          <w:spacing w:val="-11"/>
        </w:rPr>
        <w:t xml:space="preserve">温度超过 </w:t>
      </w:r>
      <w:r>
        <w:rPr>
          <w:rFonts w:hint="eastAsia" w:ascii="MS UI Gothic" w:hAnsi="MS UI Gothic" w:eastAsia="MS UI Gothic"/>
          <w:spacing w:val="-4"/>
          <w:w w:val="95"/>
        </w:rPr>
        <w:t xml:space="preserve">２６ ℃ 、 </w:t>
      </w:r>
      <w:r>
        <w:rPr>
          <w:spacing w:val="-6"/>
        </w:rPr>
        <w:t xml:space="preserve">机电设备硐室超过 </w:t>
      </w:r>
      <w:r>
        <w:rPr>
          <w:rFonts w:hint="eastAsia" w:ascii="MS UI Gothic" w:hAnsi="MS UI Gothic" w:eastAsia="MS UI Gothic"/>
          <w:spacing w:val="-2"/>
          <w:w w:val="95"/>
        </w:rPr>
        <w:t xml:space="preserve">３０ ℃ </w:t>
      </w:r>
      <w:r>
        <w:rPr>
          <w:spacing w:val="3"/>
        </w:rPr>
        <w:t>时</w:t>
      </w:r>
      <w:r>
        <w:rPr>
          <w:rFonts w:hint="eastAsia" w:ascii="MS UI Gothic" w:hAnsi="MS UI Gothic" w:eastAsia="MS UI Gothic"/>
          <w:spacing w:val="13"/>
          <w:w w:val="85"/>
        </w:rPr>
        <w:t xml:space="preserve">ꎬ </w:t>
      </w:r>
      <w:r>
        <w:rPr>
          <w:spacing w:val="2"/>
        </w:rPr>
        <w:t>必须缩短超温地点工作人员的工作时</w:t>
      </w:r>
      <w:r>
        <w:rPr>
          <w:spacing w:val="3"/>
        </w:rPr>
        <w:t>间</w:t>
      </w:r>
      <w:r>
        <w:rPr>
          <w:rFonts w:hint="eastAsia" w:ascii="MS UI Gothic" w:hAnsi="MS UI Gothic" w:eastAsia="MS UI Gothic"/>
          <w:spacing w:val="24"/>
          <w:w w:val="85"/>
        </w:rPr>
        <w:t xml:space="preserve">ꎬ </w:t>
      </w:r>
      <w:r>
        <w:rPr>
          <w:spacing w:val="3"/>
        </w:rPr>
        <w:t>并给予高温保健待遇</w:t>
      </w:r>
      <w:r>
        <w:rPr>
          <w:rFonts w:hint="eastAsia" w:ascii="MS UI Gothic" w:hAnsi="MS UI Gothic" w:eastAsia="MS UI Gothic"/>
          <w:w w:val="85"/>
        </w:rPr>
        <w:t>ꎮ</w:t>
      </w:r>
    </w:p>
    <w:p>
      <w:pPr>
        <w:pStyle w:val="6"/>
        <w:spacing w:line="295" w:lineRule="auto"/>
        <w:ind w:right="38"/>
        <w:rPr>
          <w:rFonts w:hint="eastAsia" w:ascii="MS UI Gothic" w:hAnsi="MS UI Gothic" w:eastAsia="MS UI Gothic"/>
        </w:rPr>
      </w:pPr>
      <w:r>
        <w:rPr>
          <w:spacing w:val="-3"/>
        </w:rPr>
        <w:t xml:space="preserve">当采掘工作面的空气温度超过 </w:t>
      </w:r>
      <w:r>
        <w:rPr>
          <w:rFonts w:hint="eastAsia" w:ascii="MS UI Gothic" w:hAnsi="MS UI Gothic" w:eastAsia="MS UI Gothic"/>
          <w:spacing w:val="-5"/>
          <w:w w:val="95"/>
        </w:rPr>
        <w:t>３０ ℃ 、</w:t>
      </w:r>
      <w:r>
        <w:rPr>
          <w:spacing w:val="12"/>
        </w:rPr>
        <w:t xml:space="preserve">机电设备硐室超过 </w:t>
      </w:r>
      <w:r>
        <w:rPr>
          <w:rFonts w:hint="eastAsia" w:ascii="MS UI Gothic" w:hAnsi="MS UI Gothic" w:eastAsia="MS UI Gothic"/>
          <w:spacing w:val="3"/>
          <w:w w:val="95"/>
        </w:rPr>
        <w:t xml:space="preserve">３４ ℃ </w:t>
      </w:r>
      <w:r>
        <w:rPr>
          <w:spacing w:val="3"/>
        </w:rPr>
        <w:t>时</w:t>
      </w:r>
      <w:r>
        <w:rPr>
          <w:rFonts w:hint="eastAsia" w:ascii="MS UI Gothic" w:hAnsi="MS UI Gothic" w:eastAsia="MS UI Gothic"/>
          <w:spacing w:val="24"/>
          <w:w w:val="85"/>
        </w:rPr>
        <w:t xml:space="preserve">ꎬ </w:t>
      </w:r>
      <w:r>
        <w:rPr>
          <w:spacing w:val="18"/>
        </w:rPr>
        <w:t>必须停止</w:t>
      </w:r>
      <w:r>
        <w:rPr>
          <w:spacing w:val="3"/>
        </w:rPr>
        <w:t>作业</w:t>
      </w:r>
      <w:r>
        <w:rPr>
          <w:rFonts w:hint="eastAsia" w:ascii="MS UI Gothic" w:hAnsi="MS UI Gothic" w:eastAsia="MS UI Gothic"/>
          <w:w w:val="85"/>
        </w:rPr>
        <w:t>ꎮ</w:t>
      </w:r>
    </w:p>
    <w:p>
      <w:pPr>
        <w:pStyle w:val="6"/>
        <w:spacing w:before="123" w:line="295" w:lineRule="auto"/>
        <w:ind w:right="442"/>
        <w:rPr>
          <w:rFonts w:hint="eastAsia" w:ascii="MS UI Gothic" w:eastAsia="MS UI Gothic"/>
        </w:rPr>
      </w:pPr>
      <w:r>
        <w:br w:type="column"/>
      </w:r>
      <w:r>
        <w:t>新建</w:t>
      </w:r>
      <w:r>
        <w:rPr>
          <w:rFonts w:hint="eastAsia" w:ascii="MS UI Gothic" w:eastAsia="MS UI Gothic"/>
          <w:w w:val="80"/>
        </w:rPr>
        <w:t xml:space="preserve">、 </w:t>
      </w:r>
      <w:r>
        <w:t>改扩建矿井设计时</w:t>
      </w:r>
      <w:r>
        <w:rPr>
          <w:rFonts w:hint="eastAsia" w:ascii="MS UI Gothic" w:eastAsia="MS UI Gothic"/>
          <w:w w:val="80"/>
        </w:rPr>
        <w:t xml:space="preserve">ꎬ </w:t>
      </w:r>
      <w:r>
        <w:t>必须进行矿井风温预测计算</w:t>
      </w:r>
      <w:r>
        <w:rPr>
          <w:rFonts w:hint="eastAsia" w:ascii="MS UI Gothic" w:eastAsia="MS UI Gothic"/>
          <w:w w:val="80"/>
        </w:rPr>
        <w:t xml:space="preserve">ꎬ </w:t>
      </w:r>
      <w:r>
        <w:t>超温地点必须有降温设施</w:t>
      </w:r>
      <w:r>
        <w:rPr>
          <w:rFonts w:hint="eastAsia" w:ascii="MS UI Gothic" w:eastAsia="MS UI Gothic"/>
          <w:w w:val="80"/>
        </w:rPr>
        <w:t>ꎮ</w:t>
      </w:r>
    </w:p>
    <w:p>
      <w:pPr>
        <w:pStyle w:val="6"/>
        <w:spacing w:line="295" w:lineRule="auto"/>
        <w:ind w:right="442"/>
        <w:rPr>
          <w:rFonts w:hint="eastAsia" w:ascii="MS UI Gothic" w:eastAsia="MS UI Gothic"/>
        </w:rPr>
      </w:pPr>
      <w:r>
        <w:t>第六百五十六条 有热害的井工煤矿应当采取通风等非机械制冷降温措施</w:t>
      </w:r>
      <w:r>
        <w:rPr>
          <w:rFonts w:hint="eastAsia" w:ascii="MS UI Gothic" w:eastAsia="MS UI Gothic"/>
          <w:w w:val="80"/>
        </w:rPr>
        <w:t xml:space="preserve">ꎮ </w:t>
      </w:r>
      <w:r>
        <w:t>无法达到环境温度要求时</w:t>
      </w:r>
      <w:r>
        <w:rPr>
          <w:rFonts w:hint="eastAsia" w:ascii="MS UI Gothic" w:eastAsia="MS UI Gothic"/>
          <w:w w:val="80"/>
        </w:rPr>
        <w:t xml:space="preserve">ꎬ </w:t>
      </w:r>
      <w:r>
        <w:t>应当采用机械制冷降温措施</w:t>
      </w:r>
      <w:r>
        <w:rPr>
          <w:rFonts w:hint="eastAsia" w:ascii="MS UI Gothic" w:eastAsia="MS UI Gothic"/>
          <w:w w:val="80"/>
        </w:rPr>
        <w:t>ꎮ</w:t>
      </w:r>
    </w:p>
    <w:p>
      <w:pPr>
        <w:pStyle w:val="6"/>
        <w:tabs>
          <w:tab w:val="left" w:pos="1906"/>
        </w:tabs>
        <w:spacing w:before="152"/>
        <w:ind w:left="1067" w:firstLine="0"/>
        <w:jc w:val="left"/>
      </w:pPr>
      <w:r>
        <w:rPr>
          <w:spacing w:val="3"/>
          <w:w w:val="105"/>
        </w:rPr>
        <w:t>第四</w:t>
      </w:r>
      <w:r>
        <w:rPr>
          <w:w w:val="105"/>
        </w:rPr>
        <w:t>章</w:t>
      </w:r>
      <w:r>
        <w:rPr>
          <w:w w:val="105"/>
        </w:rPr>
        <w:tab/>
      </w:r>
      <w:r>
        <w:rPr>
          <w:w w:val="105"/>
        </w:rPr>
        <w:t>噪</w:t>
      </w:r>
      <w:r>
        <w:rPr>
          <w:spacing w:val="-33"/>
          <w:w w:val="105"/>
        </w:rPr>
        <w:t xml:space="preserve"> </w:t>
      </w:r>
      <w:r>
        <w:rPr>
          <w:w w:val="105"/>
        </w:rPr>
        <w:t>声</w:t>
      </w:r>
      <w:r>
        <w:rPr>
          <w:spacing w:val="-33"/>
          <w:w w:val="105"/>
        </w:rPr>
        <w:t xml:space="preserve"> </w:t>
      </w:r>
      <w:r>
        <w:rPr>
          <w:w w:val="105"/>
        </w:rPr>
        <w:t>防</w:t>
      </w:r>
      <w:r>
        <w:rPr>
          <w:spacing w:val="-33"/>
          <w:w w:val="105"/>
        </w:rPr>
        <w:t xml:space="preserve"> </w:t>
      </w:r>
      <w:r>
        <w:rPr>
          <w:w w:val="105"/>
        </w:rPr>
        <w:t>治</w:t>
      </w:r>
    </w:p>
    <w:p>
      <w:pPr>
        <w:pStyle w:val="6"/>
        <w:spacing w:before="215" w:line="295" w:lineRule="auto"/>
        <w:ind w:right="442"/>
        <w:rPr>
          <w:rFonts w:hint="eastAsia" w:ascii="MS UI Gothic" w:eastAsia="MS UI Gothic"/>
        </w:rPr>
      </w:pPr>
      <w:r>
        <w:rPr>
          <w:spacing w:val="4"/>
        </w:rPr>
        <w:t>第六百五十七条 作业人员每天连续</w:t>
      </w:r>
      <w:r>
        <w:rPr>
          <w:spacing w:val="-2"/>
        </w:rPr>
        <w:t xml:space="preserve">接触噪声时间达到或者超过 </w:t>
      </w:r>
      <w:r>
        <w:rPr>
          <w:rFonts w:hint="eastAsia" w:ascii="MS UI Gothic" w:eastAsia="MS UI Gothic"/>
          <w:spacing w:val="14"/>
          <w:w w:val="85"/>
        </w:rPr>
        <w:t xml:space="preserve">８ </w:t>
      </w:r>
      <w:r>
        <w:rPr>
          <w:rFonts w:hint="eastAsia" w:ascii="MS UI Gothic" w:eastAsia="MS UI Gothic"/>
          <w:w w:val="85"/>
        </w:rPr>
        <w:t xml:space="preserve">ｈ </w:t>
      </w:r>
      <w:r>
        <w:rPr>
          <w:spacing w:val="3"/>
        </w:rPr>
        <w:t>的</w:t>
      </w:r>
      <w:r>
        <w:rPr>
          <w:rFonts w:hint="eastAsia" w:ascii="MS UI Gothic" w:eastAsia="MS UI Gothic"/>
          <w:spacing w:val="2"/>
          <w:w w:val="85"/>
        </w:rPr>
        <w:t xml:space="preserve">ꎬ </w:t>
      </w:r>
      <w:r>
        <w:rPr>
          <w:spacing w:val="4"/>
        </w:rPr>
        <w:t>噪声</w:t>
      </w:r>
      <w:r>
        <w:rPr>
          <w:spacing w:val="-8"/>
        </w:rPr>
        <w:t xml:space="preserve">声级限值为 </w:t>
      </w:r>
      <w:r>
        <w:rPr>
          <w:rFonts w:hint="eastAsia" w:ascii="MS UI Gothic" w:eastAsia="MS UI Gothic"/>
          <w:spacing w:val="4"/>
          <w:w w:val="85"/>
        </w:rPr>
        <w:t xml:space="preserve">８５ </w:t>
      </w:r>
      <w:r>
        <w:rPr>
          <w:rFonts w:hint="eastAsia" w:ascii="MS UI Gothic" w:eastAsia="MS UI Gothic"/>
          <w:w w:val="85"/>
        </w:rPr>
        <w:t>ｄ</w:t>
      </w:r>
      <w:r>
        <w:rPr>
          <w:rFonts w:hint="eastAsia" w:ascii="MS UI Gothic" w:eastAsia="MS UI Gothic"/>
          <w:spacing w:val="1"/>
          <w:w w:val="85"/>
        </w:rPr>
        <w:t xml:space="preserve">Ｂ </w:t>
      </w:r>
      <w:r>
        <w:rPr>
          <w:rFonts w:hint="eastAsia" w:ascii="MS UI Gothic" w:eastAsia="MS UI Gothic"/>
          <w:spacing w:val="-34"/>
          <w:w w:val="145"/>
        </w:rPr>
        <w:t xml:space="preserve">( </w:t>
      </w:r>
      <w:r>
        <w:rPr>
          <w:rFonts w:hint="eastAsia" w:ascii="MS UI Gothic" w:eastAsia="MS UI Gothic"/>
          <w:spacing w:val="-18"/>
          <w:w w:val="120"/>
        </w:rPr>
        <w:t xml:space="preserve">Ａ) </w:t>
      </w:r>
      <w:r>
        <w:rPr>
          <w:rFonts w:hint="eastAsia" w:ascii="MS UI Gothic" w:eastAsia="MS UI Gothic"/>
          <w:spacing w:val="24"/>
          <w:w w:val="85"/>
        </w:rPr>
        <w:t xml:space="preserve">ꎮ </w:t>
      </w:r>
      <w:r>
        <w:rPr>
          <w:spacing w:val="2"/>
        </w:rPr>
        <w:t>每天接触噪声时</w:t>
      </w:r>
      <w:r>
        <w:rPr>
          <w:spacing w:val="-12"/>
        </w:rPr>
        <w:t xml:space="preserve">间不足 </w:t>
      </w:r>
      <w:r>
        <w:rPr>
          <w:rFonts w:hint="eastAsia" w:ascii="MS UI Gothic" w:eastAsia="MS UI Gothic"/>
          <w:spacing w:val="12"/>
          <w:w w:val="85"/>
        </w:rPr>
        <w:t xml:space="preserve">８ </w:t>
      </w:r>
      <w:r>
        <w:rPr>
          <w:rFonts w:hint="eastAsia" w:ascii="MS UI Gothic" w:eastAsia="MS UI Gothic"/>
          <w:w w:val="85"/>
        </w:rPr>
        <w:t xml:space="preserve">ｈ </w:t>
      </w:r>
      <w:r>
        <w:rPr>
          <w:spacing w:val="3"/>
        </w:rPr>
        <w:t>的</w:t>
      </w:r>
      <w:r>
        <w:rPr>
          <w:rFonts w:hint="eastAsia" w:ascii="MS UI Gothic" w:eastAsia="MS UI Gothic"/>
          <w:spacing w:val="1"/>
          <w:w w:val="85"/>
        </w:rPr>
        <w:t xml:space="preserve">ꎬ </w:t>
      </w:r>
      <w:r>
        <w:rPr>
          <w:spacing w:val="3"/>
        </w:rPr>
        <w:t>可以根据实际接触噪声的时间</w:t>
      </w:r>
      <w:r>
        <w:rPr>
          <w:rFonts w:hint="eastAsia" w:ascii="MS UI Gothic" w:eastAsia="MS UI Gothic"/>
          <w:spacing w:val="4"/>
          <w:w w:val="85"/>
        </w:rPr>
        <w:t xml:space="preserve">ꎬ </w:t>
      </w:r>
      <w:r>
        <w:rPr>
          <w:spacing w:val="3"/>
        </w:rPr>
        <w:t>按照接触噪声时间减半</w:t>
      </w:r>
      <w:r>
        <w:rPr>
          <w:rFonts w:hint="eastAsia" w:ascii="MS UI Gothic" w:eastAsia="MS UI Gothic"/>
          <w:spacing w:val="4"/>
          <w:w w:val="85"/>
        </w:rPr>
        <w:t xml:space="preserve">、 </w:t>
      </w:r>
      <w:r>
        <w:rPr>
          <w:spacing w:val="2"/>
        </w:rPr>
        <w:t>噪声声级</w:t>
      </w:r>
      <w:r>
        <w:rPr>
          <w:spacing w:val="-1"/>
        </w:rPr>
        <w:t xml:space="preserve">限值增加 </w:t>
      </w:r>
      <w:r>
        <w:rPr>
          <w:rFonts w:hint="eastAsia" w:ascii="MS UI Gothic" w:eastAsia="MS UI Gothic"/>
          <w:w w:val="85"/>
        </w:rPr>
        <w:t>３ ｄ</w:t>
      </w:r>
      <w:r>
        <w:rPr>
          <w:rFonts w:hint="eastAsia" w:ascii="MS UI Gothic" w:eastAsia="MS UI Gothic"/>
          <w:spacing w:val="16"/>
          <w:w w:val="85"/>
        </w:rPr>
        <w:t xml:space="preserve">Ｂ </w:t>
      </w:r>
      <w:r>
        <w:rPr>
          <w:rFonts w:hint="eastAsia" w:ascii="MS UI Gothic" w:eastAsia="MS UI Gothic"/>
          <w:spacing w:val="-27"/>
          <w:w w:val="145"/>
        </w:rPr>
        <w:t xml:space="preserve">( </w:t>
      </w:r>
      <w:r>
        <w:rPr>
          <w:rFonts w:hint="eastAsia" w:ascii="MS UI Gothic" w:eastAsia="MS UI Gothic"/>
          <w:spacing w:val="31"/>
          <w:w w:val="120"/>
        </w:rPr>
        <w:t xml:space="preserve">Ａ) </w:t>
      </w:r>
      <w:r>
        <w:rPr>
          <w:spacing w:val="15"/>
        </w:rPr>
        <w:t>的原则确定其声级</w:t>
      </w:r>
      <w:r>
        <w:rPr>
          <w:spacing w:val="3"/>
        </w:rPr>
        <w:t>限值</w:t>
      </w:r>
      <w:r>
        <w:rPr>
          <w:rFonts w:hint="eastAsia" w:ascii="MS UI Gothic" w:eastAsia="MS UI Gothic"/>
          <w:w w:val="85"/>
        </w:rPr>
        <w:t>ꎮ</w:t>
      </w:r>
    </w:p>
    <w:p>
      <w:pPr>
        <w:pStyle w:val="6"/>
        <w:spacing w:line="251" w:lineRule="exact"/>
        <w:ind w:left="543" w:firstLine="0"/>
        <w:rPr>
          <w:rFonts w:hint="eastAsia" w:ascii="MS UI Gothic" w:eastAsia="MS UI Gothic"/>
        </w:rPr>
      </w:pPr>
      <w:r>
        <w:t xml:space="preserve">第六百五十八条 每半年至少监测 </w:t>
      </w:r>
      <w:r>
        <w:rPr>
          <w:rFonts w:hint="eastAsia" w:ascii="MS UI Gothic" w:eastAsia="MS UI Gothic"/>
        </w:rPr>
        <w:t>１</w:t>
      </w:r>
    </w:p>
    <w:p>
      <w:pPr>
        <w:pStyle w:val="6"/>
        <w:spacing w:before="58"/>
        <w:ind w:firstLine="0"/>
        <w:jc w:val="left"/>
        <w:rPr>
          <w:rFonts w:hint="eastAsia" w:ascii="MS UI Gothic" w:eastAsia="MS UI Gothic"/>
        </w:rPr>
      </w:pPr>
      <w:r>
        <w:t>次噪声</w:t>
      </w:r>
      <w:r>
        <w:rPr>
          <w:rFonts w:hint="eastAsia" w:ascii="MS UI Gothic" w:eastAsia="MS UI Gothic"/>
          <w:w w:val="80"/>
        </w:rPr>
        <w:t>ꎮ</w:t>
      </w:r>
    </w:p>
    <w:p>
      <w:pPr>
        <w:pStyle w:val="6"/>
        <w:spacing w:before="58" w:line="295" w:lineRule="auto"/>
        <w:ind w:right="442"/>
        <w:rPr>
          <w:rFonts w:hint="eastAsia" w:ascii="MS UI Gothic" w:eastAsia="MS UI Gothic"/>
        </w:rPr>
      </w:pPr>
      <w:r>
        <w:t>井工煤矿噪声监测点应当布置在主要通风机</w:t>
      </w:r>
      <w:r>
        <w:rPr>
          <w:rFonts w:hint="eastAsia" w:ascii="MS UI Gothic" w:eastAsia="MS UI Gothic"/>
          <w:w w:val="80"/>
        </w:rPr>
        <w:t xml:space="preserve">、 </w:t>
      </w:r>
      <w:r>
        <w:t>空气压缩机</w:t>
      </w:r>
      <w:r>
        <w:rPr>
          <w:rFonts w:hint="eastAsia" w:ascii="MS UI Gothic" w:eastAsia="MS UI Gothic"/>
          <w:w w:val="80"/>
        </w:rPr>
        <w:t xml:space="preserve">、 </w:t>
      </w:r>
      <w:r>
        <w:t>局部通风机</w:t>
      </w:r>
      <w:r>
        <w:rPr>
          <w:rFonts w:hint="eastAsia" w:ascii="MS UI Gothic" w:eastAsia="MS UI Gothic"/>
          <w:w w:val="80"/>
        </w:rPr>
        <w:t xml:space="preserve">、 </w:t>
      </w:r>
      <w:r>
        <w:t>采煤机</w:t>
      </w:r>
      <w:r>
        <w:rPr>
          <w:rFonts w:hint="eastAsia" w:ascii="MS UI Gothic" w:eastAsia="MS UI Gothic"/>
          <w:w w:val="80"/>
        </w:rPr>
        <w:t xml:space="preserve">、 </w:t>
      </w:r>
      <w:r>
        <w:t>掘进机</w:t>
      </w:r>
      <w:r>
        <w:rPr>
          <w:rFonts w:hint="eastAsia" w:ascii="MS UI Gothic" w:eastAsia="MS UI Gothic"/>
          <w:w w:val="80"/>
        </w:rPr>
        <w:t xml:space="preserve">、 </w:t>
      </w:r>
      <w:r>
        <w:t>风动凿岩机</w:t>
      </w:r>
      <w:r>
        <w:rPr>
          <w:rFonts w:hint="eastAsia" w:ascii="MS UI Gothic" w:eastAsia="MS UI Gothic"/>
          <w:w w:val="80"/>
        </w:rPr>
        <w:t xml:space="preserve">、 </w:t>
      </w:r>
      <w:r>
        <w:t>破碎机</w:t>
      </w:r>
      <w:r>
        <w:rPr>
          <w:rFonts w:hint="eastAsia" w:ascii="MS UI Gothic" w:eastAsia="MS UI Gothic"/>
          <w:w w:val="80"/>
        </w:rPr>
        <w:t xml:space="preserve">、  </w:t>
      </w:r>
      <w:r>
        <w:t>主水泵等设备使用地点</w:t>
      </w:r>
      <w:r>
        <w:rPr>
          <w:rFonts w:hint="eastAsia" w:ascii="MS UI Gothic" w:eastAsia="MS UI Gothic"/>
          <w:w w:val="80"/>
        </w:rPr>
        <w:t>ꎮ</w:t>
      </w:r>
    </w:p>
    <w:p>
      <w:pPr>
        <w:pStyle w:val="6"/>
        <w:spacing w:line="295" w:lineRule="auto"/>
        <w:ind w:right="442"/>
        <w:rPr>
          <w:rFonts w:hint="eastAsia" w:ascii="MS UI Gothic" w:eastAsia="MS UI Gothic"/>
        </w:rPr>
      </w:pPr>
      <w:r>
        <w:t>露天煤矿噪声监测点应当布置在钻机</w:t>
      </w:r>
      <w:r>
        <w:rPr>
          <w:rFonts w:hint="eastAsia" w:ascii="MS UI Gothic" w:eastAsia="MS UI Gothic"/>
          <w:w w:val="80"/>
        </w:rPr>
        <w:t xml:space="preserve">、 </w:t>
      </w:r>
      <w:r>
        <w:t>挖掘机</w:t>
      </w:r>
      <w:r>
        <w:rPr>
          <w:rFonts w:hint="eastAsia" w:ascii="MS UI Gothic" w:eastAsia="MS UI Gothic"/>
          <w:w w:val="80"/>
        </w:rPr>
        <w:t xml:space="preserve">、 </w:t>
      </w:r>
      <w:r>
        <w:t>破碎机等设备使用地点</w:t>
      </w:r>
      <w:r>
        <w:rPr>
          <w:rFonts w:hint="eastAsia" w:ascii="MS UI Gothic" w:eastAsia="MS UI Gothic"/>
          <w:w w:val="80"/>
        </w:rPr>
        <w:t>ꎮ</w:t>
      </w:r>
    </w:p>
    <w:p>
      <w:pPr>
        <w:pStyle w:val="6"/>
        <w:spacing w:line="295" w:lineRule="auto"/>
        <w:ind w:right="440"/>
        <w:rPr>
          <w:rFonts w:hint="eastAsia" w:ascii="MS UI Gothic" w:eastAsia="MS UI Gothic"/>
        </w:rPr>
      </w:pPr>
      <w:r>
        <w:t>第六百五十九条 应当优先选用低噪声设备</w:t>
      </w:r>
      <w:r>
        <w:rPr>
          <w:rFonts w:hint="eastAsia" w:ascii="MS UI Gothic" w:eastAsia="MS UI Gothic"/>
          <w:w w:val="80"/>
        </w:rPr>
        <w:t xml:space="preserve">ꎬ </w:t>
      </w:r>
      <w:r>
        <w:t>采取隔声</w:t>
      </w:r>
      <w:r>
        <w:rPr>
          <w:rFonts w:hint="eastAsia" w:ascii="MS UI Gothic" w:eastAsia="MS UI Gothic"/>
          <w:w w:val="80"/>
        </w:rPr>
        <w:t xml:space="preserve">、 </w:t>
      </w:r>
      <w:r>
        <w:t>消声</w:t>
      </w:r>
      <w:r>
        <w:rPr>
          <w:rFonts w:hint="eastAsia" w:ascii="MS UI Gothic" w:eastAsia="MS UI Gothic"/>
          <w:w w:val="80"/>
        </w:rPr>
        <w:t xml:space="preserve">、 </w:t>
      </w:r>
      <w:r>
        <w:t>吸声</w:t>
      </w:r>
      <w:r>
        <w:rPr>
          <w:rFonts w:hint="eastAsia" w:ascii="MS UI Gothic" w:eastAsia="MS UI Gothic"/>
          <w:w w:val="80"/>
        </w:rPr>
        <w:t xml:space="preserve">、  </w:t>
      </w:r>
      <w:r>
        <w:t>减振</w:t>
      </w:r>
      <w:r>
        <w:rPr>
          <w:rFonts w:hint="eastAsia" w:ascii="MS UI Gothic" w:eastAsia="MS UI Gothic"/>
          <w:w w:val="80"/>
        </w:rPr>
        <w:t>、</w:t>
      </w:r>
      <w:r>
        <w:t>减少接触时间等措施降低噪声危害</w:t>
      </w:r>
      <w:r>
        <w:rPr>
          <w:rFonts w:hint="eastAsia" w:ascii="MS UI Gothic" w:eastAsia="MS UI Gothic"/>
          <w:w w:val="80"/>
        </w:rPr>
        <w:t>ꎮ</w:t>
      </w:r>
    </w:p>
    <w:p>
      <w:pPr>
        <w:pStyle w:val="6"/>
        <w:tabs>
          <w:tab w:val="left" w:pos="1801"/>
        </w:tabs>
        <w:spacing w:before="150"/>
        <w:ind w:left="963" w:firstLine="0"/>
        <w:jc w:val="left"/>
      </w:pPr>
      <w:r>
        <w:rPr>
          <w:spacing w:val="3"/>
          <w:w w:val="105"/>
        </w:rPr>
        <w:t>第五</w:t>
      </w:r>
      <w:r>
        <w:rPr>
          <w:w w:val="105"/>
        </w:rPr>
        <w:t>章</w:t>
      </w:r>
      <w:r>
        <w:rPr>
          <w:w w:val="105"/>
        </w:rPr>
        <w:tab/>
      </w:r>
      <w:r>
        <w:rPr>
          <w:spacing w:val="3"/>
          <w:w w:val="105"/>
        </w:rPr>
        <w:t>有害气体防</w:t>
      </w:r>
      <w:r>
        <w:rPr>
          <w:w w:val="105"/>
        </w:rPr>
        <w:t>治</w:t>
      </w:r>
    </w:p>
    <w:p>
      <w:pPr>
        <w:pStyle w:val="6"/>
        <w:spacing w:before="11"/>
        <w:ind w:left="0" w:firstLine="0"/>
        <w:jc w:val="left"/>
        <w:rPr>
          <w:sz w:val="16"/>
        </w:rPr>
      </w:pPr>
    </w:p>
    <w:p>
      <w:pPr>
        <w:pStyle w:val="6"/>
        <w:spacing w:line="295" w:lineRule="auto"/>
        <w:ind w:right="442"/>
        <w:rPr>
          <w:rFonts w:hint="eastAsia" w:ascii="MS UI Gothic" w:eastAsia="MS UI Gothic"/>
        </w:rPr>
      </w:pPr>
      <w:r>
        <w:rPr>
          <w:w w:val="105"/>
        </w:rPr>
        <w:t>第六百六十条 监测有害气体时应当</w:t>
      </w:r>
      <w:r>
        <w:t>选择有代表性的作业地点</w:t>
      </w:r>
      <w:r>
        <w:rPr>
          <w:rFonts w:hint="eastAsia" w:ascii="MS UI Gothic" w:eastAsia="MS UI Gothic"/>
          <w:w w:val="80"/>
        </w:rPr>
        <w:t xml:space="preserve">ꎬ </w:t>
      </w:r>
      <w:r>
        <w:t>其中包括空气</w:t>
      </w:r>
      <w:r>
        <w:rPr>
          <w:w w:val="105"/>
        </w:rPr>
        <w:t>中有害物质浓度最高</w:t>
      </w:r>
      <w:r>
        <w:rPr>
          <w:rFonts w:hint="eastAsia" w:ascii="MS UI Gothic" w:eastAsia="MS UI Gothic"/>
          <w:w w:val="80"/>
        </w:rPr>
        <w:t xml:space="preserve">、 </w:t>
      </w:r>
      <w:r>
        <w:rPr>
          <w:w w:val="105"/>
        </w:rPr>
        <w:t>作业人员接触时间</w:t>
      </w:r>
      <w:r>
        <w:t>最长的地点</w:t>
      </w:r>
      <w:r>
        <w:rPr>
          <w:rFonts w:hint="eastAsia" w:ascii="MS UI Gothic" w:eastAsia="MS UI Gothic"/>
          <w:w w:val="80"/>
        </w:rPr>
        <w:t xml:space="preserve">ꎮ </w:t>
      </w:r>
      <w:r>
        <w:t>应当在正常生产状态下</w:t>
      </w:r>
      <w:r>
        <w:rPr>
          <w:w w:val="105"/>
        </w:rPr>
        <w:t>采样</w:t>
      </w:r>
      <w:r>
        <w:rPr>
          <w:rFonts w:hint="eastAsia" w:ascii="MS UI Gothic" w:eastAsia="MS UI Gothic"/>
          <w:w w:val="80"/>
        </w:rPr>
        <w:t>ꎮ</w:t>
      </w:r>
    </w:p>
    <w:p>
      <w:pPr>
        <w:pStyle w:val="6"/>
        <w:spacing w:line="295" w:lineRule="auto"/>
        <w:ind w:right="442"/>
        <w:rPr>
          <w:rFonts w:hint="eastAsia" w:ascii="MS UI Gothic" w:eastAsia="MS UI Gothic"/>
        </w:rPr>
      </w:pPr>
      <w:r>
        <w:rPr>
          <w:spacing w:val="19"/>
        </w:rPr>
        <w:t>第六百六十一条 氧化氮</w:t>
      </w:r>
      <w:r>
        <w:rPr>
          <w:rFonts w:hint="eastAsia" w:ascii="MS UI Gothic" w:eastAsia="MS UI Gothic"/>
          <w:spacing w:val="4"/>
        </w:rPr>
        <w:t xml:space="preserve">、 </w:t>
      </w:r>
      <w:r>
        <w:rPr>
          <w:spacing w:val="11"/>
        </w:rPr>
        <w:t>一氧化</w:t>
      </w:r>
      <w:r>
        <w:rPr>
          <w:spacing w:val="3"/>
        </w:rPr>
        <w:t>碳</w:t>
      </w:r>
      <w:r>
        <w:rPr>
          <w:rFonts w:hint="eastAsia" w:ascii="MS UI Gothic" w:eastAsia="MS UI Gothic"/>
          <w:spacing w:val="16"/>
        </w:rPr>
        <w:t xml:space="preserve">、 </w:t>
      </w:r>
      <w:r>
        <w:rPr>
          <w:spacing w:val="3"/>
        </w:rPr>
        <w:t>氨</w:t>
      </w:r>
      <w:r>
        <w:rPr>
          <w:rFonts w:hint="eastAsia" w:ascii="MS UI Gothic" w:eastAsia="MS UI Gothic"/>
          <w:spacing w:val="16"/>
        </w:rPr>
        <w:t xml:space="preserve">、 </w:t>
      </w:r>
      <w:r>
        <w:rPr>
          <w:spacing w:val="11"/>
        </w:rPr>
        <w:t xml:space="preserve">二氧化硫至少每 </w:t>
      </w:r>
      <w:r>
        <w:rPr>
          <w:rFonts w:hint="eastAsia" w:ascii="MS UI Gothic" w:eastAsia="MS UI Gothic"/>
          <w:spacing w:val="7"/>
        </w:rPr>
        <w:t xml:space="preserve">３ </w:t>
      </w:r>
      <w:r>
        <w:rPr>
          <w:spacing w:val="8"/>
        </w:rPr>
        <w:t xml:space="preserve">个月监测 </w:t>
      </w:r>
      <w:r>
        <w:rPr>
          <w:rFonts w:hint="eastAsia" w:ascii="MS UI Gothic" w:eastAsia="MS UI Gothic"/>
        </w:rPr>
        <w:t xml:space="preserve">１ </w:t>
      </w:r>
      <w:r>
        <w:rPr>
          <w:spacing w:val="3"/>
        </w:rPr>
        <w:t>次</w:t>
      </w:r>
      <w:r>
        <w:rPr>
          <w:rFonts w:hint="eastAsia" w:ascii="MS UI Gothic" w:eastAsia="MS UI Gothic"/>
          <w:w w:val="80"/>
        </w:rPr>
        <w:t xml:space="preserve">ꎬ </w:t>
      </w:r>
      <w:r>
        <w:rPr>
          <w:spacing w:val="-4"/>
        </w:rPr>
        <w:t xml:space="preserve">硫化氢至少每月监测 </w:t>
      </w:r>
      <w:r>
        <w:rPr>
          <w:rFonts w:hint="eastAsia" w:ascii="MS UI Gothic" w:eastAsia="MS UI Gothic"/>
          <w:spacing w:val="-4"/>
        </w:rPr>
        <w:t xml:space="preserve">１ </w:t>
      </w:r>
      <w:r>
        <w:rPr>
          <w:spacing w:val="3"/>
        </w:rPr>
        <w:t>次</w:t>
      </w:r>
      <w:r>
        <w:rPr>
          <w:rFonts w:hint="eastAsia" w:ascii="MS UI Gothic" w:eastAsia="MS UI Gothic"/>
          <w:w w:val="80"/>
        </w:rPr>
        <w:t>ꎮ</w:t>
      </w:r>
    </w:p>
    <w:p>
      <w:pPr>
        <w:pStyle w:val="6"/>
        <w:spacing w:line="295" w:lineRule="auto"/>
        <w:ind w:right="442"/>
      </w:pPr>
      <w:r>
        <w:rPr>
          <w:w w:val="105"/>
        </w:rPr>
        <w:t>第六百六十二条 煤矿作业场所存在硫化氢</w:t>
      </w:r>
      <w:r>
        <w:rPr>
          <w:rFonts w:hint="eastAsia" w:ascii="MS UI Gothic" w:eastAsia="MS UI Gothic"/>
          <w:w w:val="80"/>
        </w:rPr>
        <w:t xml:space="preserve">、 </w:t>
      </w:r>
      <w:r>
        <w:rPr>
          <w:w w:val="105"/>
        </w:rPr>
        <w:t>二氧化硫等有害气体时</w:t>
      </w:r>
      <w:r>
        <w:rPr>
          <w:rFonts w:hint="eastAsia" w:ascii="MS UI Gothic" w:eastAsia="MS UI Gothic"/>
          <w:w w:val="80"/>
        </w:rPr>
        <w:t xml:space="preserve">ꎬ </w:t>
      </w:r>
      <w:r>
        <w:rPr>
          <w:w w:val="105"/>
        </w:rPr>
        <w:t>应当加</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３４１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36" o:spid="_x0000_s2036" o:spt="203" style="height:2.15pt;width:398.25pt;" coordsize="7965,43">
            <o:lock v:ext="edit"/>
            <v:line id="_x0000_s2037" o:spid="_x0000_s2037" o:spt="20" style="position:absolute;left:0;top:39;height:0;width:7965;" stroked="t" coordsize="21600,21600">
              <v:path arrowok="t"/>
              <v:fill focussize="0,0"/>
              <v:stroke weight="0.388031496062992pt" color="#231F20"/>
              <v:imagedata o:title=""/>
              <o:lock v:ext="edit"/>
            </v:line>
            <v:line id="_x0000_s2038" o:spid="_x0000_s203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强通风降低有害气体的浓度</w:t>
      </w:r>
      <w:r>
        <w:rPr>
          <w:rFonts w:hint="eastAsia" w:ascii="MS UI Gothic" w:eastAsia="MS UI Gothic"/>
          <w:w w:val="80"/>
        </w:rPr>
        <w:t xml:space="preserve">ꎮ </w:t>
      </w:r>
      <w:r>
        <w:t>在采用通风措施无法达到作业环境标准时</w:t>
      </w:r>
      <w:r>
        <w:rPr>
          <w:rFonts w:hint="eastAsia" w:ascii="MS UI Gothic" w:eastAsia="MS UI Gothic"/>
          <w:w w:val="80"/>
        </w:rPr>
        <w:t xml:space="preserve">ꎬ </w:t>
      </w:r>
      <w:r>
        <w:t>应当采用集中抽取净化</w:t>
      </w:r>
      <w:r>
        <w:rPr>
          <w:rFonts w:hint="eastAsia" w:ascii="MS UI Gothic" w:eastAsia="MS UI Gothic"/>
          <w:w w:val="80"/>
        </w:rPr>
        <w:t xml:space="preserve">、 </w:t>
      </w:r>
      <w:r>
        <w:t>化学吸收等措施降低硫化氢</w:t>
      </w:r>
      <w:r>
        <w:rPr>
          <w:rFonts w:hint="eastAsia" w:ascii="MS UI Gothic" w:eastAsia="MS UI Gothic"/>
          <w:w w:val="80"/>
        </w:rPr>
        <w:t xml:space="preserve">、 </w:t>
      </w:r>
      <w:r>
        <w:t>二氧化硫等有害气体的浓度</w:t>
      </w:r>
      <w:r>
        <w:rPr>
          <w:rFonts w:hint="eastAsia" w:ascii="MS UI Gothic" w:eastAsia="MS UI Gothic"/>
          <w:w w:val="80"/>
        </w:rPr>
        <w:t>ꎮ</w:t>
      </w:r>
    </w:p>
    <w:p>
      <w:pPr>
        <w:pStyle w:val="6"/>
        <w:tabs>
          <w:tab w:val="left" w:pos="2117"/>
        </w:tabs>
        <w:spacing w:before="154"/>
        <w:ind w:left="1279" w:firstLine="0"/>
        <w:jc w:val="left"/>
      </w:pPr>
      <w:r>
        <w:rPr>
          <w:spacing w:val="3"/>
          <w:w w:val="105"/>
        </w:rPr>
        <w:t>第六</w:t>
      </w:r>
      <w:r>
        <w:rPr>
          <w:w w:val="105"/>
        </w:rPr>
        <w:t>章</w:t>
      </w:r>
      <w:r>
        <w:rPr>
          <w:w w:val="105"/>
        </w:rPr>
        <w:tab/>
      </w:r>
      <w:r>
        <w:rPr>
          <w:spacing w:val="3"/>
          <w:w w:val="105"/>
        </w:rPr>
        <w:t>职业健康监</w:t>
      </w:r>
      <w:r>
        <w:rPr>
          <w:w w:val="105"/>
        </w:rPr>
        <w:t>护</w:t>
      </w:r>
    </w:p>
    <w:p>
      <w:pPr>
        <w:pStyle w:val="6"/>
        <w:spacing w:before="215" w:line="295" w:lineRule="auto"/>
        <w:ind w:left="440"/>
        <w:rPr>
          <w:rFonts w:hint="eastAsia" w:ascii="MS UI Gothic" w:eastAsia="MS UI Gothic"/>
        </w:rPr>
      </w:pPr>
      <w:r>
        <w:rPr>
          <w:spacing w:val="4"/>
        </w:rPr>
        <w:t>第六百六十三条 煤矿企业必须按照</w:t>
      </w:r>
      <w:r>
        <w:rPr>
          <w:spacing w:val="3"/>
        </w:rPr>
        <w:t>国家有关规定</w:t>
      </w:r>
      <w:r>
        <w:rPr>
          <w:rFonts w:hint="eastAsia" w:ascii="MS UI Gothic" w:eastAsia="MS UI Gothic"/>
          <w:spacing w:val="11"/>
          <w:w w:val="80"/>
        </w:rPr>
        <w:t xml:space="preserve">ꎬ </w:t>
      </w:r>
      <w:r>
        <w:rPr>
          <w:spacing w:val="3"/>
        </w:rPr>
        <w:t>对从业人员上岗前</w:t>
      </w:r>
      <w:r>
        <w:rPr>
          <w:rFonts w:hint="eastAsia" w:ascii="MS UI Gothic" w:eastAsia="MS UI Gothic"/>
          <w:spacing w:val="11"/>
          <w:w w:val="80"/>
        </w:rPr>
        <w:t xml:space="preserve">、 </w:t>
      </w:r>
      <w:r>
        <w:rPr>
          <w:spacing w:val="1"/>
        </w:rPr>
        <w:t>在岗</w:t>
      </w:r>
      <w:r>
        <w:rPr>
          <w:spacing w:val="3"/>
        </w:rPr>
        <w:t>期间和离岗时进行职业健康检查</w:t>
      </w:r>
      <w:r>
        <w:rPr>
          <w:rFonts w:hint="eastAsia" w:ascii="MS UI Gothic" w:eastAsia="MS UI Gothic"/>
          <w:spacing w:val="21"/>
          <w:w w:val="80"/>
        </w:rPr>
        <w:t xml:space="preserve">ꎬ </w:t>
      </w:r>
      <w:r>
        <w:rPr>
          <w:spacing w:val="2"/>
        </w:rPr>
        <w:t>建立职</w:t>
      </w:r>
      <w:r>
        <w:rPr>
          <w:spacing w:val="3"/>
        </w:rPr>
        <w:t>业健康档案</w:t>
      </w:r>
      <w:r>
        <w:rPr>
          <w:rFonts w:hint="eastAsia" w:ascii="MS UI Gothic" w:eastAsia="MS UI Gothic"/>
          <w:spacing w:val="21"/>
          <w:w w:val="80"/>
        </w:rPr>
        <w:t xml:space="preserve">ꎬ </w:t>
      </w:r>
      <w:r>
        <w:rPr>
          <w:spacing w:val="2"/>
        </w:rPr>
        <w:t>并将检查结果书面告知从业</w:t>
      </w:r>
      <w:r>
        <w:rPr>
          <w:spacing w:val="3"/>
        </w:rPr>
        <w:t>人员</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第六百六十四条 接触职业病危害从</w:t>
      </w:r>
      <w:r>
        <w:rPr>
          <w:spacing w:val="10"/>
        </w:rPr>
        <w:t>业人员的职业健康检查周期按下列规定</w:t>
      </w:r>
      <w:r>
        <w:rPr>
          <w:spacing w:val="3"/>
          <w:w w:val="110"/>
        </w:rPr>
        <w:t>执行</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接触粉尘以煤尘为主的在岗人员</w:t>
      </w:r>
      <w:r>
        <w:rPr>
          <w:rFonts w:hint="eastAsia" w:ascii="MS UI Gothic" w:eastAsia="MS UI Gothic"/>
          <w:w w:val="80"/>
        </w:rPr>
        <w:t xml:space="preserve">ꎬ </w:t>
      </w:r>
      <w:r>
        <w:rPr>
          <w:w w:val="105"/>
        </w:rPr>
        <w:t xml:space="preserve">每 </w:t>
      </w:r>
      <w:r>
        <w:rPr>
          <w:rFonts w:hint="eastAsia" w:ascii="MS UI Gothic" w:eastAsia="MS UI Gothic"/>
          <w:w w:val="80"/>
        </w:rPr>
        <w:t xml:space="preserve">２ </w:t>
      </w:r>
      <w:r>
        <w:rPr>
          <w:w w:val="105"/>
        </w:rPr>
        <w:t xml:space="preserve">年 </w:t>
      </w:r>
      <w:r>
        <w:rPr>
          <w:rFonts w:hint="eastAsia" w:ascii="MS UI Gothic" w:eastAsia="MS UI Gothic"/>
          <w:w w:val="80"/>
        </w:rPr>
        <w:t xml:space="preserve">１ </w:t>
      </w:r>
      <w:r>
        <w:rPr>
          <w:w w:val="105"/>
        </w:rPr>
        <w:t>次</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2"/>
          <w:w w:val="150"/>
        </w:rPr>
        <w:t xml:space="preserve">) </w:t>
      </w:r>
      <w:r>
        <w:rPr>
          <w:spacing w:val="5"/>
          <w:w w:val="105"/>
        </w:rPr>
        <w:t>接触粉尘以矽尘为主的在岗人</w:t>
      </w:r>
      <w:r>
        <w:rPr>
          <w:spacing w:val="3"/>
          <w:w w:val="105"/>
        </w:rPr>
        <w:t>员</w:t>
      </w:r>
      <w:r>
        <w:rPr>
          <w:rFonts w:hint="eastAsia" w:ascii="MS UI Gothic" w:eastAsia="MS UI Gothic"/>
          <w:spacing w:val="1"/>
          <w:w w:val="80"/>
        </w:rPr>
        <w:t xml:space="preserve">ꎬ </w:t>
      </w:r>
      <w:r>
        <w:rPr>
          <w:spacing w:val="-19"/>
          <w:w w:val="105"/>
        </w:rPr>
        <w:t xml:space="preserve">每年 </w:t>
      </w:r>
      <w:r>
        <w:rPr>
          <w:rFonts w:hint="eastAsia" w:ascii="MS UI Gothic" w:eastAsia="MS UI Gothic"/>
          <w:spacing w:val="3"/>
          <w:w w:val="80"/>
        </w:rPr>
        <w:t xml:space="preserve">１ </w:t>
      </w:r>
      <w:r>
        <w:rPr>
          <w:spacing w:val="3"/>
          <w:w w:val="105"/>
        </w:rPr>
        <w:t>次</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spacing w:val="-38"/>
          <w:w w:val="150"/>
        </w:rPr>
        <w:t xml:space="preserve">( </w:t>
      </w:r>
      <w:r>
        <w:rPr>
          <w:spacing w:val="5"/>
          <w:w w:val="105"/>
        </w:rPr>
        <w:t>三</w:t>
      </w:r>
      <w:r>
        <w:rPr>
          <w:rFonts w:hint="eastAsia" w:ascii="MS UI Gothic" w:eastAsia="MS UI Gothic"/>
          <w:spacing w:val="11"/>
          <w:w w:val="150"/>
        </w:rPr>
        <w:t xml:space="preserve">) </w:t>
      </w:r>
      <w:r>
        <w:rPr>
          <w:spacing w:val="23"/>
          <w:w w:val="105"/>
        </w:rPr>
        <w:t>经诊断的观察对象和尘肺患</w:t>
      </w:r>
      <w:r>
        <w:rPr>
          <w:spacing w:val="3"/>
          <w:w w:val="105"/>
        </w:rPr>
        <w:t>者</w:t>
      </w:r>
      <w:r>
        <w:rPr>
          <w:rFonts w:hint="eastAsia" w:ascii="MS UI Gothic" w:eastAsia="MS UI Gothic"/>
          <w:spacing w:val="1"/>
          <w:w w:val="80"/>
        </w:rPr>
        <w:t xml:space="preserve">ꎬ </w:t>
      </w:r>
      <w:r>
        <w:rPr>
          <w:spacing w:val="-19"/>
          <w:w w:val="105"/>
        </w:rPr>
        <w:t xml:space="preserve">每年 </w:t>
      </w:r>
      <w:r>
        <w:rPr>
          <w:rFonts w:hint="eastAsia" w:ascii="MS UI Gothic" w:eastAsia="MS UI Gothic"/>
          <w:spacing w:val="3"/>
          <w:w w:val="80"/>
        </w:rPr>
        <w:t xml:space="preserve">１ </w:t>
      </w:r>
      <w:r>
        <w:rPr>
          <w:spacing w:val="3"/>
          <w:w w:val="105"/>
        </w:rPr>
        <w:t>次</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t>四</w:t>
      </w:r>
      <w:r>
        <w:rPr>
          <w:rFonts w:hint="eastAsia" w:ascii="MS UI Gothic" w:eastAsia="MS UI Gothic"/>
          <w:w w:val="150"/>
        </w:rPr>
        <w:t xml:space="preserve">) </w:t>
      </w:r>
      <w:r>
        <w:t>接触噪声</w:t>
      </w:r>
      <w:r>
        <w:rPr>
          <w:rFonts w:hint="eastAsia" w:ascii="MS UI Gothic" w:eastAsia="MS UI Gothic"/>
          <w:w w:val="80"/>
        </w:rPr>
        <w:t xml:space="preserve">、 </w:t>
      </w:r>
      <w:r>
        <w:t>高温</w:t>
      </w:r>
      <w:r>
        <w:rPr>
          <w:rFonts w:hint="eastAsia" w:ascii="MS UI Gothic" w:eastAsia="MS UI Gothic"/>
          <w:w w:val="80"/>
        </w:rPr>
        <w:t xml:space="preserve">、 </w:t>
      </w:r>
      <w:r>
        <w:t>毒物</w:t>
      </w:r>
      <w:r>
        <w:rPr>
          <w:rFonts w:hint="eastAsia" w:ascii="MS UI Gothic" w:eastAsia="MS UI Gothic"/>
          <w:w w:val="80"/>
        </w:rPr>
        <w:t xml:space="preserve">、 </w:t>
      </w:r>
      <w:r>
        <w:t>放射线的在岗人员</w:t>
      </w:r>
      <w:r>
        <w:rPr>
          <w:rFonts w:hint="eastAsia" w:ascii="MS UI Gothic" w:eastAsia="MS UI Gothic"/>
          <w:w w:val="80"/>
        </w:rPr>
        <w:t xml:space="preserve">ꎬ </w:t>
      </w:r>
      <w:r>
        <w:t xml:space="preserve">每年 </w:t>
      </w:r>
      <w:r>
        <w:rPr>
          <w:rFonts w:hint="eastAsia" w:ascii="MS UI Gothic" w:eastAsia="MS UI Gothic"/>
          <w:w w:val="80"/>
        </w:rPr>
        <w:t xml:space="preserve">１ </w:t>
      </w:r>
      <w:r>
        <w:t>次</w:t>
      </w:r>
      <w:r>
        <w:rPr>
          <w:rFonts w:hint="eastAsia" w:ascii="MS UI Gothic" w:eastAsia="MS UI Gothic"/>
          <w:w w:val="80"/>
        </w:rPr>
        <w:t xml:space="preserve">ꎮ </w:t>
      </w:r>
      <w:r>
        <w:t>接触职业病危害作业的退休人员</w:t>
      </w:r>
      <w:r>
        <w:rPr>
          <w:rFonts w:hint="eastAsia" w:ascii="MS UI Gothic" w:eastAsia="MS UI Gothic"/>
          <w:w w:val="80"/>
        </w:rPr>
        <w:t xml:space="preserve">ꎬ </w:t>
      </w:r>
      <w:r>
        <w:t>按有关规定执行</w:t>
      </w:r>
      <w:r>
        <w:rPr>
          <w:rFonts w:hint="eastAsia" w:ascii="MS UI Gothic" w:eastAsia="MS UI Gothic"/>
          <w:w w:val="80"/>
        </w:rPr>
        <w:t>ꎮ</w:t>
      </w:r>
    </w:p>
    <w:p>
      <w:pPr>
        <w:pStyle w:val="6"/>
        <w:spacing w:line="295" w:lineRule="auto"/>
        <w:ind w:left="440"/>
        <w:rPr>
          <w:rFonts w:hint="eastAsia" w:ascii="MS UI Gothic" w:eastAsia="MS UI Gothic"/>
        </w:rPr>
      </w:pPr>
      <w:r>
        <w:t>第六百六十五条 对检查出有职业禁忌症和职业相关健康损害的从业人员</w:t>
      </w:r>
      <w:r>
        <w:rPr>
          <w:rFonts w:hint="eastAsia" w:ascii="MS UI Gothic" w:eastAsia="MS UI Gothic"/>
          <w:w w:val="80"/>
        </w:rPr>
        <w:t xml:space="preserve">ꎬ </w:t>
      </w:r>
      <w:r>
        <w:t>必须调离接害岗位</w:t>
      </w:r>
      <w:r>
        <w:rPr>
          <w:rFonts w:hint="eastAsia" w:ascii="MS UI Gothic" w:eastAsia="MS UI Gothic"/>
          <w:w w:val="80"/>
        </w:rPr>
        <w:t xml:space="preserve">ꎬ </w:t>
      </w:r>
      <w:r>
        <w:t>妥善安置</w:t>
      </w:r>
      <w:r>
        <w:rPr>
          <w:rFonts w:hint="eastAsia" w:ascii="MS UI Gothic" w:eastAsia="MS UI Gothic"/>
          <w:w w:val="80"/>
        </w:rPr>
        <w:t xml:space="preserve">ꎻ </w:t>
      </w:r>
      <w:r>
        <w:t>对已确诊的职业病人</w:t>
      </w:r>
      <w:r>
        <w:rPr>
          <w:rFonts w:hint="eastAsia" w:ascii="MS UI Gothic" w:eastAsia="MS UI Gothic"/>
          <w:w w:val="80"/>
        </w:rPr>
        <w:t xml:space="preserve">ꎬ </w:t>
      </w:r>
      <w:r>
        <w:t>应当及时给予治疗</w:t>
      </w:r>
      <w:r>
        <w:rPr>
          <w:rFonts w:hint="eastAsia" w:ascii="MS UI Gothic" w:eastAsia="MS UI Gothic"/>
          <w:w w:val="80"/>
        </w:rPr>
        <w:t xml:space="preserve">、 </w:t>
      </w:r>
      <w:r>
        <w:t>康复和定期检查</w:t>
      </w:r>
      <w:r>
        <w:rPr>
          <w:rFonts w:hint="eastAsia" w:ascii="MS UI Gothic" w:eastAsia="MS UI Gothic"/>
          <w:w w:val="80"/>
        </w:rPr>
        <w:t xml:space="preserve">ꎬ </w:t>
      </w:r>
      <w:r>
        <w:t>并做好职业病报告工作</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第六百六十六条 有下列病症之一</w:t>
      </w:r>
      <w:r>
        <w:rPr>
          <w:w w:val="110"/>
        </w:rPr>
        <w:t>的</w:t>
      </w:r>
      <w:r>
        <w:rPr>
          <w:rFonts w:hint="eastAsia" w:ascii="MS UI Gothic" w:eastAsia="MS UI Gothic"/>
          <w:w w:val="80"/>
        </w:rPr>
        <w:t xml:space="preserve">ꎬ </w:t>
      </w:r>
      <w:r>
        <w:rPr>
          <w:w w:val="110"/>
        </w:rPr>
        <w:t>不得从事接尘作业</w:t>
      </w:r>
      <w:r>
        <w:rPr>
          <w:rFonts w:hint="eastAsia" w:ascii="MS UI Gothic" w:eastAsia="MS UI Gothic"/>
          <w:w w:val="235"/>
        </w:rPr>
        <w:t>:</w:t>
      </w:r>
    </w:p>
    <w:p>
      <w:pPr>
        <w:pStyle w:val="6"/>
        <w:spacing w:line="295" w:lineRule="auto"/>
        <w:ind w:left="440"/>
        <w:jc w:val="left"/>
        <w:rPr>
          <w:rFonts w:hint="eastAsia" w:ascii="MS UI Gothic" w:eastAsia="MS UI Gothic"/>
        </w:rPr>
      </w:pPr>
      <w:r>
        <w:rPr>
          <w:rFonts w:hint="eastAsia" w:ascii="MS UI Gothic" w:eastAsia="MS UI Gothic"/>
          <w:spacing w:val="-36"/>
          <w:w w:val="130"/>
        </w:rPr>
        <w:t xml:space="preserve">( </w:t>
      </w:r>
      <w:r>
        <w:rPr>
          <w:spacing w:val="29"/>
          <w:w w:val="110"/>
        </w:rPr>
        <w:t>一</w:t>
      </w:r>
      <w:r>
        <w:rPr>
          <w:rFonts w:hint="eastAsia" w:ascii="MS UI Gothic" w:eastAsia="MS UI Gothic"/>
          <w:spacing w:val="-13"/>
          <w:w w:val="130"/>
        </w:rPr>
        <w:t xml:space="preserve">) </w:t>
      </w:r>
      <w:r>
        <w:rPr>
          <w:spacing w:val="40"/>
          <w:w w:val="110"/>
        </w:rPr>
        <w:t>活动性肺结核病及肺外结</w:t>
      </w:r>
      <w:r>
        <w:rPr>
          <w:spacing w:val="3"/>
          <w:w w:val="110"/>
        </w:rPr>
        <w:t>核病</w:t>
      </w:r>
      <w:r>
        <w:rPr>
          <w:rFonts w:hint="eastAsia" w:ascii="MS UI Gothic" w:eastAsia="MS UI Gothic"/>
          <w:w w:val="80"/>
        </w:rPr>
        <w:t>ꎮ</w:t>
      </w:r>
    </w:p>
    <w:p>
      <w:pPr>
        <w:pStyle w:val="6"/>
        <w:spacing w:line="295" w:lineRule="auto"/>
        <w:ind w:left="440"/>
        <w:jc w:val="left"/>
        <w:rPr>
          <w:rFonts w:hint="eastAsia" w:ascii="MS UI Gothic" w:eastAsia="MS UI Gothic"/>
        </w:rPr>
      </w:pPr>
      <w:r>
        <w:rPr>
          <w:rFonts w:hint="eastAsia" w:ascii="MS UI Gothic" w:eastAsia="MS UI Gothic"/>
          <w:spacing w:val="-32"/>
          <w:w w:val="115"/>
        </w:rPr>
        <w:t xml:space="preserve">( </w:t>
      </w:r>
      <w:r>
        <w:rPr>
          <w:spacing w:val="5"/>
          <w:w w:val="110"/>
        </w:rPr>
        <w:t>二</w:t>
      </w:r>
      <w:r>
        <w:rPr>
          <w:rFonts w:hint="eastAsia" w:ascii="MS UI Gothic" w:eastAsia="MS UI Gothic"/>
          <w:spacing w:val="-12"/>
          <w:w w:val="115"/>
        </w:rPr>
        <w:t xml:space="preserve">) </w:t>
      </w:r>
      <w:r>
        <w:rPr>
          <w:spacing w:val="23"/>
          <w:w w:val="110"/>
        </w:rPr>
        <w:t>严重的上呼吸道或者支气管</w:t>
      </w:r>
      <w:r>
        <w:rPr>
          <w:spacing w:val="3"/>
          <w:w w:val="110"/>
        </w:rPr>
        <w:t>疾病</w:t>
      </w:r>
      <w:r>
        <w:rPr>
          <w:rFonts w:hint="eastAsia" w:ascii="MS UI Gothic" w:eastAsia="MS UI Gothic"/>
          <w:w w:val="80"/>
        </w:rPr>
        <w:t>ꎮ</w:t>
      </w:r>
    </w:p>
    <w:p>
      <w:pPr>
        <w:pStyle w:val="6"/>
        <w:spacing w:line="295" w:lineRule="auto"/>
        <w:ind w:left="440"/>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显著影响肺功能的肺脏或者胸</w:t>
      </w:r>
      <w:r>
        <w:rPr>
          <w:w w:val="110"/>
        </w:rPr>
        <w:t>膜病变</w:t>
      </w:r>
      <w:r>
        <w:rPr>
          <w:rFonts w:hint="eastAsia" w:ascii="MS UI Gothic" w:eastAsia="MS UI Gothic"/>
          <w:w w:val="80"/>
        </w:rPr>
        <w:t>ꎮ</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心</w:t>
      </w:r>
      <w:r>
        <w:rPr>
          <w:rFonts w:hint="eastAsia" w:ascii="MS UI Gothic" w:eastAsia="MS UI Gothic"/>
          <w:w w:val="80"/>
        </w:rPr>
        <w:t xml:space="preserve">、 </w:t>
      </w:r>
      <w:r>
        <w:rPr>
          <w:w w:val="110"/>
        </w:rPr>
        <w:t>血管器质性疾病</w:t>
      </w:r>
      <w:r>
        <w:rPr>
          <w:rFonts w:hint="eastAsia" w:ascii="MS UI Gothic" w:eastAsia="MS UI Gothic"/>
          <w:w w:val="80"/>
        </w:rPr>
        <w:t>ꎮ</w:t>
      </w:r>
    </w:p>
    <w:p>
      <w:pPr>
        <w:pStyle w:val="6"/>
        <w:spacing w:before="36" w:line="295" w:lineRule="auto"/>
        <w:ind w:left="440"/>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经医疗鉴定</w:t>
      </w:r>
      <w:r>
        <w:rPr>
          <w:rFonts w:hint="eastAsia" w:ascii="MS UI Gothic" w:eastAsia="MS UI Gothic"/>
          <w:w w:val="80"/>
        </w:rPr>
        <w:t xml:space="preserve">ꎬ </w:t>
      </w:r>
      <w:r>
        <w:rPr>
          <w:w w:val="105"/>
        </w:rPr>
        <w:t>不适于从事粉尘作业的其他疾病</w:t>
      </w:r>
      <w:r>
        <w:rPr>
          <w:rFonts w:hint="eastAsia" w:ascii="MS UI Gothic" w:eastAsia="MS UI Gothic"/>
          <w:w w:val="80"/>
        </w:rPr>
        <w:t>ꎮ</w:t>
      </w:r>
    </w:p>
    <w:p>
      <w:pPr>
        <w:pStyle w:val="6"/>
        <w:tabs>
          <w:tab w:val="left" w:pos="2583"/>
        </w:tabs>
        <w:spacing w:before="124" w:line="295" w:lineRule="auto"/>
        <w:ind w:left="383" w:right="126"/>
        <w:jc w:val="left"/>
        <w:rPr>
          <w:rFonts w:hint="eastAsia" w:ascii="MS UI Gothic" w:eastAsia="MS UI Gothic"/>
        </w:rPr>
      </w:pPr>
      <w:r>
        <w:br w:type="column"/>
      </w:r>
      <w:r>
        <w:rPr>
          <w:spacing w:val="3"/>
          <w:w w:val="105"/>
        </w:rPr>
        <w:t>第六</w:t>
      </w:r>
      <w:r>
        <w:rPr>
          <w:spacing w:val="15"/>
          <w:w w:val="105"/>
        </w:rPr>
        <w:t>百</w:t>
      </w:r>
      <w:r>
        <w:rPr>
          <w:spacing w:val="19"/>
          <w:w w:val="105"/>
        </w:rPr>
        <w:t>六</w:t>
      </w:r>
      <w:r>
        <w:rPr>
          <w:spacing w:val="21"/>
          <w:w w:val="105"/>
        </w:rPr>
        <w:t>十七</w:t>
      </w:r>
      <w:r>
        <w:rPr>
          <w:w w:val="105"/>
        </w:rPr>
        <w:t>条</w:t>
      </w:r>
      <w:r>
        <w:rPr>
          <w:w w:val="105"/>
        </w:rPr>
        <w:tab/>
      </w:r>
      <w:r>
        <w:rPr>
          <w:spacing w:val="21"/>
        </w:rPr>
        <w:t>有下列病症之</w:t>
      </w:r>
      <w:r>
        <w:rPr>
          <w:spacing w:val="-15"/>
        </w:rPr>
        <w:t>一</w:t>
      </w:r>
      <w:r>
        <w:rPr>
          <w:spacing w:val="3"/>
          <w:w w:val="110"/>
        </w:rPr>
        <w:t>的</w:t>
      </w:r>
      <w:r>
        <w:rPr>
          <w:rFonts w:hint="eastAsia" w:ascii="MS UI Gothic" w:eastAsia="MS UI Gothic"/>
          <w:w w:val="80"/>
        </w:rPr>
        <w:t>ꎬ</w:t>
      </w:r>
      <w:r>
        <w:rPr>
          <w:rFonts w:hint="eastAsia" w:ascii="MS UI Gothic" w:eastAsia="MS UI Gothic"/>
          <w:spacing w:val="46"/>
          <w:w w:val="80"/>
        </w:rPr>
        <w:t xml:space="preserve"> </w:t>
      </w:r>
      <w:r>
        <w:rPr>
          <w:spacing w:val="3"/>
          <w:w w:val="110"/>
        </w:rPr>
        <w:t>不得从事井下工作</w:t>
      </w:r>
      <w:r>
        <w:rPr>
          <w:rFonts w:hint="eastAsia" w:ascii="MS UI Gothic" w:eastAsia="MS UI Gothic"/>
          <w:w w:val="235"/>
        </w:rPr>
        <w:t>:</w:t>
      </w:r>
    </w:p>
    <w:p>
      <w:pPr>
        <w:pStyle w:val="6"/>
        <w:spacing w:line="295" w:lineRule="auto"/>
        <w:ind w:left="383" w:right="126"/>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本规程第六百六十六条所列病</w:t>
      </w:r>
      <w:r>
        <w:rPr>
          <w:w w:val="110"/>
        </w:rPr>
        <w:t>症之一的</w:t>
      </w:r>
      <w:r>
        <w:rPr>
          <w:rFonts w:hint="eastAsia" w:ascii="MS UI Gothic" w:eastAsia="MS UI Gothic"/>
          <w:w w:val="80"/>
        </w:rPr>
        <w:t>ꎮ</w:t>
      </w:r>
    </w:p>
    <w:p>
      <w:pPr>
        <w:pStyle w:val="6"/>
        <w:spacing w:line="295" w:lineRule="auto"/>
        <w:ind w:left="802" w:right="990" w:firstLine="0"/>
        <w:jc w:val="left"/>
        <w:rPr>
          <w:rFonts w:hint="eastAsia" w:ascii="MS UI Gothic" w:eastAsia="MS UI Gothic"/>
        </w:rPr>
      </w:pPr>
      <w:r>
        <w:rPr>
          <w:rFonts w:hint="eastAsia" w:ascii="MS UI Gothic" w:eastAsia="MS UI Gothic"/>
          <w:spacing w:val="-43"/>
          <w:w w:val="150"/>
        </w:rPr>
        <w:t xml:space="preserve">( </w:t>
      </w:r>
      <w:r>
        <w:rPr>
          <w:spacing w:val="3"/>
          <w:w w:val="115"/>
        </w:rPr>
        <w:t>二</w:t>
      </w:r>
      <w:r>
        <w:rPr>
          <w:rFonts w:hint="eastAsia" w:ascii="MS UI Gothic" w:eastAsia="MS UI Gothic"/>
          <w:spacing w:val="-24"/>
          <w:w w:val="150"/>
        </w:rPr>
        <w:t xml:space="preserve">) </w:t>
      </w:r>
      <w:r>
        <w:rPr>
          <w:spacing w:val="-18"/>
          <w:w w:val="115"/>
        </w:rPr>
        <w:t xml:space="preserve">风湿病 </w:t>
      </w:r>
      <w:r>
        <w:rPr>
          <w:rFonts w:hint="eastAsia" w:ascii="MS UI Gothic" w:eastAsia="MS UI Gothic"/>
          <w:spacing w:val="-42"/>
          <w:w w:val="150"/>
        </w:rPr>
        <w:t xml:space="preserve">( </w:t>
      </w:r>
      <w:r>
        <w:rPr>
          <w:spacing w:val="3"/>
          <w:w w:val="115"/>
        </w:rPr>
        <w:t>反复活动</w:t>
      </w:r>
      <w:r>
        <w:rPr>
          <w:rFonts w:hint="eastAsia" w:ascii="MS UI Gothic" w:eastAsia="MS UI Gothic"/>
          <w:spacing w:val="-42"/>
          <w:w w:val="150"/>
        </w:rPr>
        <w:t xml:space="preserve">) </w:t>
      </w:r>
      <w:r>
        <w:rPr>
          <w:rFonts w:hint="eastAsia" w:ascii="MS UI Gothic" w:eastAsia="MS UI Gothic"/>
          <w:w w:val="80"/>
        </w:rPr>
        <w:t>ꎮ</w:t>
      </w:r>
      <w:r>
        <w:rPr>
          <w:rFonts w:hint="eastAsia" w:ascii="MS UI Gothic" w:eastAsia="MS UI Gothic"/>
          <w:spacing w:val="-39"/>
          <w:w w:val="150"/>
        </w:rPr>
        <w:t xml:space="preserve">( </w:t>
      </w:r>
      <w:r>
        <w:rPr>
          <w:spacing w:val="3"/>
          <w:w w:val="115"/>
        </w:rPr>
        <w:t>三</w:t>
      </w:r>
      <w:r>
        <w:rPr>
          <w:rFonts w:hint="eastAsia" w:ascii="MS UI Gothic" w:eastAsia="MS UI Gothic"/>
          <w:spacing w:val="-1"/>
          <w:w w:val="150"/>
        </w:rPr>
        <w:t xml:space="preserve">) </w:t>
      </w:r>
      <w:r>
        <w:rPr>
          <w:spacing w:val="3"/>
          <w:w w:val="115"/>
        </w:rPr>
        <w:t>严重的皮肤病</w:t>
      </w:r>
      <w:r>
        <w:rPr>
          <w:rFonts w:hint="eastAsia" w:ascii="MS UI Gothic" w:eastAsia="MS UI Gothic"/>
          <w:w w:val="80"/>
        </w:rPr>
        <w:t>ꎮ</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经医疗鉴定</w:t>
      </w:r>
      <w:r>
        <w:rPr>
          <w:rFonts w:hint="eastAsia" w:ascii="MS UI Gothic" w:eastAsia="MS UI Gothic"/>
          <w:w w:val="80"/>
        </w:rPr>
        <w:t xml:space="preserve">ꎬ </w:t>
      </w:r>
      <w:r>
        <w:rPr>
          <w:w w:val="105"/>
        </w:rPr>
        <w:t>不适于从事井下工作的其他疾病</w:t>
      </w:r>
      <w:r>
        <w:rPr>
          <w:rFonts w:hint="eastAsia" w:ascii="MS UI Gothic" w:eastAsia="MS UI Gothic"/>
          <w:w w:val="80"/>
        </w:rPr>
        <w:t>ꎮ</w:t>
      </w:r>
    </w:p>
    <w:p>
      <w:pPr>
        <w:pStyle w:val="6"/>
        <w:tabs>
          <w:tab w:val="left" w:pos="2478"/>
        </w:tabs>
        <w:spacing w:line="295" w:lineRule="auto"/>
        <w:ind w:left="383" w:right="126"/>
        <w:jc w:val="left"/>
        <w:rPr>
          <w:rFonts w:hint="eastAsia" w:ascii="MS UI Gothic" w:eastAsia="MS UI Gothic"/>
        </w:rPr>
      </w:pPr>
      <w:r>
        <w:rPr>
          <w:spacing w:val="3"/>
          <w:w w:val="105"/>
        </w:rPr>
        <w:t>第六百六十八</w:t>
      </w:r>
      <w:r>
        <w:rPr>
          <w:w w:val="105"/>
        </w:rPr>
        <w:t>条</w:t>
      </w:r>
      <w:r>
        <w:rPr>
          <w:w w:val="105"/>
        </w:rPr>
        <w:tab/>
      </w:r>
      <w:r>
        <w:rPr>
          <w:spacing w:val="3"/>
        </w:rPr>
        <w:t>癫痫病和精神分</w:t>
      </w:r>
      <w:r>
        <w:rPr>
          <w:spacing w:val="-11"/>
        </w:rPr>
        <w:t>裂</w:t>
      </w:r>
      <w:r>
        <w:rPr>
          <w:spacing w:val="3"/>
          <w:w w:val="105"/>
        </w:rPr>
        <w:t>症患者严禁从事煤矿生产工作</w:t>
      </w:r>
      <w:r>
        <w:rPr>
          <w:rFonts w:hint="eastAsia" w:ascii="MS UI Gothic" w:eastAsia="MS UI Gothic"/>
          <w:w w:val="80"/>
        </w:rPr>
        <w:t>ꎮ</w:t>
      </w:r>
    </w:p>
    <w:p>
      <w:pPr>
        <w:pStyle w:val="6"/>
        <w:tabs>
          <w:tab w:val="left" w:pos="1850"/>
          <w:tab w:val="left" w:pos="2478"/>
        </w:tabs>
        <w:spacing w:line="295" w:lineRule="auto"/>
        <w:ind w:left="383" w:right="126"/>
        <w:jc w:val="right"/>
      </w:pPr>
      <w:r>
        <w:rPr>
          <w:spacing w:val="3"/>
          <w:w w:val="105"/>
        </w:rPr>
        <w:t>第六百六十九</w:t>
      </w:r>
      <w:r>
        <w:rPr>
          <w:w w:val="105"/>
        </w:rPr>
        <w:t>条</w:t>
      </w:r>
      <w:r>
        <w:rPr>
          <w:w w:val="105"/>
        </w:rPr>
        <w:tab/>
      </w:r>
      <w:r>
        <w:rPr>
          <w:spacing w:val="3"/>
          <w:w w:val="105"/>
        </w:rPr>
        <w:t>患有高血压</w:t>
      </w:r>
      <w:r>
        <w:rPr>
          <w:rFonts w:hint="eastAsia" w:ascii="MS UI Gothic" w:eastAsia="MS UI Gothic"/>
          <w:w w:val="85"/>
        </w:rPr>
        <w:t>、</w:t>
      </w:r>
      <w:r>
        <w:rPr>
          <w:rFonts w:hint="eastAsia" w:ascii="MS UI Gothic" w:eastAsia="MS UI Gothic"/>
          <w:spacing w:val="14"/>
          <w:w w:val="85"/>
        </w:rPr>
        <w:t xml:space="preserve"> </w:t>
      </w:r>
      <w:r>
        <w:rPr>
          <w:spacing w:val="3"/>
          <w:w w:val="105"/>
        </w:rPr>
        <w:t>心</w:t>
      </w:r>
      <w:r>
        <w:rPr>
          <w:spacing w:val="-11"/>
          <w:w w:val="105"/>
        </w:rPr>
        <w:t>脏</w:t>
      </w:r>
      <w:r>
        <w:rPr>
          <w:spacing w:val="3"/>
        </w:rPr>
        <w:t>病</w:t>
      </w:r>
      <w:r>
        <w:rPr>
          <w:rFonts w:hint="eastAsia" w:ascii="MS UI Gothic" w:eastAsia="MS UI Gothic"/>
          <w:w w:val="85"/>
        </w:rPr>
        <w:t>、</w:t>
      </w:r>
      <w:r>
        <w:rPr>
          <w:rFonts w:hint="eastAsia" w:ascii="MS UI Gothic" w:eastAsia="MS UI Gothic"/>
          <w:spacing w:val="37"/>
          <w:w w:val="85"/>
        </w:rPr>
        <w:t xml:space="preserve"> </w:t>
      </w:r>
      <w:r>
        <w:rPr>
          <w:spacing w:val="3"/>
        </w:rPr>
        <w:t>高度近视等病症以及其他不适应高</w:t>
      </w:r>
      <w:r>
        <w:t>空</w:t>
      </w:r>
      <w:r>
        <w:rPr>
          <w:w w:val="102"/>
        </w:rPr>
        <w:t xml:space="preserve"> </w:t>
      </w:r>
      <w:r>
        <w:rPr>
          <w:rFonts w:hint="eastAsia" w:ascii="MS UI Gothic" w:eastAsia="MS UI Gothic"/>
          <w:spacing w:val="15"/>
          <w:w w:val="168"/>
        </w:rPr>
        <w:t>(</w:t>
      </w:r>
      <w:r>
        <w:rPr>
          <w:rFonts w:hint="eastAsia" w:ascii="MS UI Gothic" w:eastAsia="MS UI Gothic"/>
          <w:w w:val="75"/>
        </w:rPr>
        <w:t>２</w:t>
      </w:r>
      <w:r>
        <w:rPr>
          <w:rFonts w:hint="eastAsia" w:ascii="MS UI Gothic" w:eastAsia="MS UI Gothic"/>
          <w:spacing w:val="14"/>
        </w:rPr>
        <w:t xml:space="preserve"> </w:t>
      </w:r>
      <w:r>
        <w:rPr>
          <w:rFonts w:hint="eastAsia" w:ascii="MS UI Gothic" w:eastAsia="MS UI Gothic"/>
          <w:w w:val="79"/>
        </w:rPr>
        <w:t>ｍ</w:t>
      </w:r>
      <w:r>
        <w:rPr>
          <w:rFonts w:hint="eastAsia" w:ascii="MS UI Gothic" w:eastAsia="MS UI Gothic"/>
          <w:spacing w:val="-4"/>
        </w:rPr>
        <w:t xml:space="preserve"> </w:t>
      </w:r>
      <w:r>
        <w:rPr>
          <w:spacing w:val="3"/>
          <w:w w:val="102"/>
        </w:rPr>
        <w:t>以上</w:t>
      </w:r>
      <w:r>
        <w:rPr>
          <w:rFonts w:hint="eastAsia" w:ascii="MS UI Gothic" w:eastAsia="MS UI Gothic"/>
          <w:w w:val="168"/>
        </w:rPr>
        <w:t>)</w:t>
      </w:r>
      <w:r>
        <w:rPr>
          <w:rFonts w:hint="eastAsia" w:ascii="MS UI Gothic" w:eastAsia="MS UI Gothic"/>
        </w:rPr>
        <w:t xml:space="preserve"> </w:t>
      </w:r>
      <w:r>
        <w:rPr>
          <w:rFonts w:hint="eastAsia" w:ascii="MS UI Gothic" w:eastAsia="MS UI Gothic"/>
          <w:spacing w:val="4"/>
        </w:rPr>
        <w:t xml:space="preserve"> </w:t>
      </w:r>
      <w:r>
        <w:rPr>
          <w:spacing w:val="3"/>
          <w:w w:val="102"/>
        </w:rPr>
        <w:t>作业者</w:t>
      </w:r>
      <w:r>
        <w:rPr>
          <w:rFonts w:hint="eastAsia" w:ascii="MS UI Gothic" w:eastAsia="MS UI Gothic"/>
          <w:w w:val="51"/>
        </w:rPr>
        <w:t>ꎬ</w:t>
      </w:r>
      <w:r>
        <w:rPr>
          <w:rFonts w:hint="eastAsia" w:ascii="MS UI Gothic" w:eastAsia="MS UI Gothic"/>
        </w:rPr>
        <w:t xml:space="preserve"> </w:t>
      </w:r>
      <w:r>
        <w:rPr>
          <w:rFonts w:hint="eastAsia" w:ascii="MS UI Gothic" w:eastAsia="MS UI Gothic"/>
          <w:spacing w:val="-16"/>
        </w:rPr>
        <w:t xml:space="preserve"> </w:t>
      </w:r>
      <w:r>
        <w:rPr>
          <w:spacing w:val="3"/>
          <w:w w:val="102"/>
        </w:rPr>
        <w:t>不得从事高空作业</w:t>
      </w:r>
      <w:r>
        <w:rPr>
          <w:rFonts w:hint="eastAsia" w:ascii="MS UI Gothic" w:eastAsia="MS UI Gothic"/>
          <w:w w:val="51"/>
        </w:rPr>
        <w:t>ꎮ</w:t>
      </w:r>
      <w:r>
        <w:rPr>
          <w:spacing w:val="3"/>
          <w:w w:val="105"/>
        </w:rPr>
        <w:t>第六百七十</w:t>
      </w:r>
      <w:r>
        <w:rPr>
          <w:w w:val="105"/>
        </w:rPr>
        <w:t>条</w:t>
      </w:r>
      <w:r>
        <w:rPr>
          <w:w w:val="105"/>
        </w:rPr>
        <w:tab/>
      </w:r>
      <w:r>
        <w:rPr>
          <w:spacing w:val="3"/>
        </w:rPr>
        <w:t>从业人员需要进行</w:t>
      </w:r>
      <w:r>
        <w:t>职</w:t>
      </w:r>
    </w:p>
    <w:p>
      <w:pPr>
        <w:pStyle w:val="6"/>
        <w:spacing w:line="295" w:lineRule="auto"/>
        <w:ind w:left="383" w:right="126" w:firstLine="0"/>
        <w:rPr>
          <w:rFonts w:hint="eastAsia" w:ascii="MS UI Gothic" w:eastAsia="MS UI Gothic"/>
        </w:rPr>
      </w:pPr>
      <w:r>
        <w:rPr>
          <w:spacing w:val="3"/>
        </w:rPr>
        <w:t>业病诊断</w:t>
      </w:r>
      <w:r>
        <w:rPr>
          <w:rFonts w:hint="eastAsia" w:ascii="MS UI Gothic" w:eastAsia="MS UI Gothic"/>
          <w:spacing w:val="11"/>
          <w:w w:val="80"/>
        </w:rPr>
        <w:t xml:space="preserve">、 </w:t>
      </w:r>
      <w:r>
        <w:rPr>
          <w:spacing w:val="3"/>
        </w:rPr>
        <w:t>鉴定的</w:t>
      </w:r>
      <w:r>
        <w:rPr>
          <w:rFonts w:hint="eastAsia" w:ascii="MS UI Gothic" w:eastAsia="MS UI Gothic"/>
          <w:spacing w:val="11"/>
          <w:w w:val="80"/>
        </w:rPr>
        <w:t xml:space="preserve">ꎬ </w:t>
      </w:r>
      <w:r>
        <w:rPr>
          <w:spacing w:val="2"/>
        </w:rPr>
        <w:t>煤矿企业应当如实提</w:t>
      </w:r>
      <w:r>
        <w:rPr>
          <w:spacing w:val="3"/>
        </w:rPr>
        <w:t>供职业病诊断</w:t>
      </w:r>
      <w:r>
        <w:rPr>
          <w:rFonts w:hint="eastAsia" w:ascii="MS UI Gothic" w:eastAsia="MS UI Gothic"/>
          <w:spacing w:val="17"/>
          <w:w w:val="80"/>
        </w:rPr>
        <w:t xml:space="preserve">、 </w:t>
      </w:r>
      <w:r>
        <w:rPr>
          <w:spacing w:val="2"/>
        </w:rPr>
        <w:t>鉴定所需的从业人员职业</w:t>
      </w:r>
      <w:r>
        <w:rPr>
          <w:spacing w:val="3"/>
        </w:rPr>
        <w:t>史和职业病危害接触史</w:t>
      </w:r>
      <w:r>
        <w:rPr>
          <w:rFonts w:hint="eastAsia" w:ascii="MS UI Gothic" w:eastAsia="MS UI Gothic"/>
          <w:spacing w:val="17"/>
          <w:w w:val="80"/>
        </w:rPr>
        <w:t xml:space="preserve">、 </w:t>
      </w:r>
      <w:r>
        <w:rPr>
          <w:spacing w:val="2"/>
        </w:rPr>
        <w:t>工作场所职业病</w:t>
      </w:r>
      <w:r>
        <w:rPr>
          <w:spacing w:val="3"/>
        </w:rPr>
        <w:t>危害因素检测结果等资料</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4"/>
        </w:rPr>
        <w:t>第六百七十一条 煤矿企业应当为从</w:t>
      </w:r>
      <w:r>
        <w:rPr>
          <w:spacing w:val="3"/>
        </w:rPr>
        <w:t>业人员建立职业健康监护档案</w:t>
      </w:r>
      <w:r>
        <w:rPr>
          <w:rFonts w:hint="eastAsia" w:ascii="MS UI Gothic" w:eastAsia="MS UI Gothic"/>
          <w:spacing w:val="20"/>
          <w:w w:val="80"/>
        </w:rPr>
        <w:t xml:space="preserve">ꎬ </w:t>
      </w:r>
      <w:r>
        <w:rPr>
          <w:spacing w:val="2"/>
        </w:rPr>
        <w:t>并按照规</w:t>
      </w:r>
      <w:r>
        <w:rPr>
          <w:spacing w:val="3"/>
        </w:rPr>
        <w:t>定的期限妥善保存</w:t>
      </w:r>
      <w:r>
        <w:rPr>
          <w:rFonts w:hint="eastAsia" w:ascii="MS UI Gothic" w:eastAsia="MS UI Gothic"/>
          <w:spacing w:val="1"/>
          <w:w w:val="80"/>
        </w:rPr>
        <w:t xml:space="preserve">ꎮ </w:t>
      </w:r>
      <w:r>
        <w:rPr>
          <w:spacing w:val="6"/>
        </w:rPr>
        <w:t>从业人员离开煤矿企</w:t>
      </w:r>
      <w:r>
        <w:rPr>
          <w:spacing w:val="3"/>
        </w:rPr>
        <w:t>业时</w:t>
      </w:r>
      <w:r>
        <w:rPr>
          <w:rFonts w:hint="eastAsia" w:ascii="MS UI Gothic" w:eastAsia="MS UI Gothic"/>
          <w:spacing w:val="20"/>
          <w:w w:val="80"/>
        </w:rPr>
        <w:t xml:space="preserve">ꎬ </w:t>
      </w:r>
      <w:r>
        <w:rPr>
          <w:spacing w:val="2"/>
        </w:rPr>
        <w:t>有权索取本人职业健康监护档案复</w:t>
      </w:r>
      <w:r>
        <w:rPr>
          <w:spacing w:val="3"/>
        </w:rPr>
        <w:t>印件</w:t>
      </w:r>
      <w:r>
        <w:rPr>
          <w:rFonts w:hint="eastAsia" w:ascii="MS UI Gothic" w:eastAsia="MS UI Gothic"/>
          <w:spacing w:val="23"/>
          <w:w w:val="80"/>
        </w:rPr>
        <w:t xml:space="preserve">ꎬ </w:t>
      </w:r>
      <w:r>
        <w:rPr>
          <w:spacing w:val="3"/>
        </w:rPr>
        <w:t>煤矿企业必须如实</w:t>
      </w:r>
      <w:r>
        <w:rPr>
          <w:rFonts w:hint="eastAsia" w:ascii="MS UI Gothic" w:eastAsia="MS UI Gothic"/>
          <w:spacing w:val="23"/>
          <w:w w:val="80"/>
        </w:rPr>
        <w:t xml:space="preserve">、 </w:t>
      </w:r>
      <w:r>
        <w:rPr>
          <w:spacing w:val="3"/>
        </w:rPr>
        <w:t>无偿提供</w:t>
      </w:r>
      <w:r>
        <w:rPr>
          <w:rFonts w:hint="eastAsia" w:ascii="MS UI Gothic" w:eastAsia="MS UI Gothic"/>
          <w:spacing w:val="24"/>
          <w:w w:val="80"/>
        </w:rPr>
        <w:t xml:space="preserve">ꎬ </w:t>
      </w:r>
      <w:r>
        <w:t>并</w:t>
      </w:r>
      <w:r>
        <w:rPr>
          <w:spacing w:val="3"/>
        </w:rPr>
        <w:t>在所提供的复印件上签章</w:t>
      </w:r>
      <w:r>
        <w:rPr>
          <w:rFonts w:hint="eastAsia" w:ascii="MS UI Gothic" w:eastAsia="MS UI Gothic"/>
          <w:w w:val="80"/>
        </w:rPr>
        <w:t>ꎮ</w:t>
      </w:r>
    </w:p>
    <w:p>
      <w:pPr>
        <w:pStyle w:val="6"/>
        <w:tabs>
          <w:tab w:val="left" w:pos="2164"/>
        </w:tabs>
        <w:spacing w:before="138"/>
        <w:ind w:left="1326" w:firstLine="0"/>
        <w:jc w:val="left"/>
      </w:pPr>
      <w:r>
        <w:rPr>
          <w:spacing w:val="3"/>
          <w:w w:val="105"/>
        </w:rPr>
        <w:t>第六</w:t>
      </w:r>
      <w:r>
        <w:rPr>
          <w:w w:val="105"/>
        </w:rPr>
        <w:t>编</w:t>
      </w:r>
      <w:r>
        <w:rPr>
          <w:w w:val="105"/>
        </w:rPr>
        <w:tab/>
      </w:r>
      <w:r>
        <w:rPr>
          <w:w w:val="105"/>
        </w:rPr>
        <w:t>应</w:t>
      </w:r>
      <w:r>
        <w:rPr>
          <w:spacing w:val="-38"/>
          <w:w w:val="105"/>
        </w:rPr>
        <w:t xml:space="preserve"> </w:t>
      </w:r>
      <w:r>
        <w:rPr>
          <w:w w:val="105"/>
        </w:rPr>
        <w:t>急</w:t>
      </w:r>
      <w:r>
        <w:rPr>
          <w:spacing w:val="-38"/>
          <w:w w:val="105"/>
        </w:rPr>
        <w:t xml:space="preserve"> </w:t>
      </w:r>
      <w:r>
        <w:rPr>
          <w:w w:val="105"/>
        </w:rPr>
        <w:t>救</w:t>
      </w:r>
      <w:r>
        <w:rPr>
          <w:spacing w:val="-38"/>
          <w:w w:val="105"/>
        </w:rPr>
        <w:t xml:space="preserve"> </w:t>
      </w:r>
      <w:r>
        <w:rPr>
          <w:w w:val="105"/>
        </w:rPr>
        <w:t>援</w:t>
      </w:r>
    </w:p>
    <w:p>
      <w:pPr>
        <w:pStyle w:val="6"/>
        <w:spacing w:before="1"/>
        <w:ind w:left="0" w:firstLine="0"/>
        <w:jc w:val="left"/>
        <w:rPr>
          <w:sz w:val="29"/>
        </w:rPr>
      </w:pPr>
    </w:p>
    <w:p>
      <w:pPr>
        <w:pStyle w:val="6"/>
        <w:tabs>
          <w:tab w:val="left" w:pos="2164"/>
        </w:tabs>
        <w:ind w:left="1326" w:firstLine="0"/>
        <w:jc w:val="left"/>
      </w:pPr>
      <w:r>
        <w:rPr>
          <w:spacing w:val="3"/>
          <w:w w:val="105"/>
        </w:rPr>
        <w:t>第一</w:t>
      </w:r>
      <w:r>
        <w:rPr>
          <w:w w:val="105"/>
        </w:rPr>
        <w:t>章</w:t>
      </w:r>
      <w:r>
        <w:rPr>
          <w:w w:val="105"/>
        </w:rPr>
        <w:tab/>
      </w:r>
      <w:r>
        <w:rPr>
          <w:w w:val="105"/>
        </w:rPr>
        <w:t>一</w:t>
      </w:r>
      <w:r>
        <w:rPr>
          <w:spacing w:val="-38"/>
          <w:w w:val="105"/>
        </w:rPr>
        <w:t xml:space="preserve"> </w:t>
      </w:r>
      <w:r>
        <w:rPr>
          <w:w w:val="105"/>
        </w:rPr>
        <w:t>般</w:t>
      </w:r>
      <w:r>
        <w:rPr>
          <w:spacing w:val="-38"/>
          <w:w w:val="105"/>
        </w:rPr>
        <w:t xml:space="preserve"> </w:t>
      </w:r>
      <w:r>
        <w:rPr>
          <w:w w:val="105"/>
        </w:rPr>
        <w:t>规</w:t>
      </w:r>
      <w:r>
        <w:rPr>
          <w:spacing w:val="-38"/>
          <w:w w:val="105"/>
        </w:rPr>
        <w:t xml:space="preserve"> </w:t>
      </w:r>
      <w:r>
        <w:rPr>
          <w:w w:val="105"/>
        </w:rPr>
        <w:t>定</w:t>
      </w:r>
    </w:p>
    <w:p>
      <w:pPr>
        <w:pStyle w:val="6"/>
        <w:spacing w:before="215" w:line="295" w:lineRule="auto"/>
        <w:ind w:left="383" w:right="124"/>
        <w:rPr>
          <w:rFonts w:hint="eastAsia" w:ascii="MS UI Gothic" w:eastAsia="MS UI Gothic"/>
        </w:rPr>
      </w:pPr>
      <w:r>
        <w:t>第六百七十二条 煤矿企业应当落实应急管理主体责任</w:t>
      </w:r>
      <w:r>
        <w:rPr>
          <w:rFonts w:hint="eastAsia" w:ascii="MS UI Gothic" w:eastAsia="MS UI Gothic"/>
          <w:w w:val="80"/>
        </w:rPr>
        <w:t xml:space="preserve">ꎬ </w:t>
      </w:r>
      <w:r>
        <w:t>建立健全事故预警</w:t>
      </w:r>
      <w:r>
        <w:rPr>
          <w:rFonts w:hint="eastAsia" w:ascii="MS UI Gothic" w:eastAsia="MS UI Gothic"/>
          <w:w w:val="80"/>
        </w:rPr>
        <w:t>、</w:t>
      </w:r>
      <w:r>
        <w:t>应急值守</w:t>
      </w:r>
      <w:r>
        <w:rPr>
          <w:rFonts w:hint="eastAsia" w:ascii="MS UI Gothic" w:eastAsia="MS UI Gothic"/>
          <w:w w:val="80"/>
        </w:rPr>
        <w:t xml:space="preserve">、 </w:t>
      </w:r>
      <w:r>
        <w:t>信息报告</w:t>
      </w:r>
      <w:r>
        <w:rPr>
          <w:rFonts w:hint="eastAsia" w:ascii="MS UI Gothic" w:eastAsia="MS UI Gothic"/>
          <w:w w:val="80"/>
        </w:rPr>
        <w:t xml:space="preserve">、 </w:t>
      </w:r>
      <w:r>
        <w:t>现场处置</w:t>
      </w:r>
      <w:r>
        <w:rPr>
          <w:rFonts w:hint="eastAsia" w:ascii="MS UI Gothic" w:eastAsia="MS UI Gothic"/>
          <w:w w:val="80"/>
        </w:rPr>
        <w:t xml:space="preserve">、 </w:t>
      </w:r>
      <w:r>
        <w:t>应急投入</w:t>
      </w:r>
      <w:r>
        <w:rPr>
          <w:rFonts w:hint="eastAsia" w:ascii="MS UI Gothic" w:eastAsia="MS UI Gothic"/>
          <w:w w:val="80"/>
        </w:rPr>
        <w:t xml:space="preserve">、 </w:t>
      </w:r>
      <w:r>
        <w:t>救援装备和物资储备</w:t>
      </w:r>
      <w:r>
        <w:rPr>
          <w:rFonts w:hint="eastAsia" w:ascii="MS UI Gothic" w:eastAsia="MS UI Gothic"/>
          <w:w w:val="80"/>
        </w:rPr>
        <w:t xml:space="preserve">、 </w:t>
      </w:r>
      <w:r>
        <w:t>安全避险设施管理和使用等规章制度</w:t>
      </w:r>
      <w:r>
        <w:rPr>
          <w:rFonts w:hint="eastAsia" w:ascii="MS UI Gothic" w:eastAsia="MS UI Gothic"/>
          <w:w w:val="80"/>
        </w:rPr>
        <w:t xml:space="preserve">ꎬ </w:t>
      </w:r>
      <w:r>
        <w:t>主要负责人是应急管理和事故救援工作的第一责任人</w:t>
      </w:r>
      <w:r>
        <w:rPr>
          <w:rFonts w:hint="eastAsia" w:ascii="MS UI Gothic" w:eastAsia="MS UI Gothic"/>
          <w:w w:val="80"/>
        </w:rPr>
        <w:t>ꎮ</w:t>
      </w:r>
    </w:p>
    <w:p>
      <w:pPr>
        <w:pStyle w:val="6"/>
        <w:spacing w:line="295" w:lineRule="auto"/>
        <w:ind w:left="383" w:right="126"/>
        <w:rPr>
          <w:rFonts w:hint="eastAsia" w:ascii="MS UI Gothic" w:eastAsia="MS UI Gothic"/>
        </w:rPr>
      </w:pPr>
      <w:r>
        <w:t>第六百七十三条 矿井必须根据险情或者事故情况下矿工避险的实际需要</w:t>
      </w:r>
      <w:r>
        <w:rPr>
          <w:rFonts w:hint="eastAsia" w:ascii="MS UI Gothic" w:eastAsia="MS UI Gothic"/>
          <w:w w:val="80"/>
        </w:rPr>
        <w:t xml:space="preserve">ꎬ </w:t>
      </w:r>
      <w:r>
        <w:t>建立井下紧急撤离和避险设施</w:t>
      </w:r>
      <w:r>
        <w:rPr>
          <w:rFonts w:hint="eastAsia" w:ascii="MS UI Gothic" w:eastAsia="MS UI Gothic"/>
          <w:w w:val="80"/>
        </w:rPr>
        <w:t xml:space="preserve">ꎬ </w:t>
      </w:r>
      <w:r>
        <w:t>并与监测监控</w:t>
      </w:r>
      <w:r>
        <w:rPr>
          <w:rFonts w:hint="eastAsia" w:ascii="MS UI Gothic" w:eastAsia="MS UI Gothic"/>
          <w:w w:val="80"/>
        </w:rPr>
        <w:t xml:space="preserve">、 </w:t>
      </w:r>
      <w:r>
        <w:t>人员位置监测</w:t>
      </w:r>
      <w:r>
        <w:rPr>
          <w:rFonts w:hint="eastAsia" w:ascii="MS UI Gothic" w:eastAsia="MS UI Gothic"/>
          <w:w w:val="80"/>
        </w:rPr>
        <w:t xml:space="preserve">、 </w:t>
      </w:r>
      <w:r>
        <w:t>通信联络等系统结合</w:t>
      </w:r>
      <w:r>
        <w:rPr>
          <w:rFonts w:hint="eastAsia" w:ascii="MS UI Gothic" w:eastAsia="MS UI Gothic"/>
          <w:w w:val="80"/>
        </w:rPr>
        <w:t xml:space="preserve">ꎬ </w:t>
      </w:r>
      <w:r>
        <w:t>构成井下安全避险系统</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３４２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39" o:spid="_x0000_s2039" o:spt="203" style="height:2.15pt;width:398.25pt;" coordsize="7965,43">
            <o:lock v:ext="edit"/>
            <v:line id="_x0000_s2040" o:spid="_x0000_s2040" o:spt="20" style="position:absolute;left:0;top:39;height:0;width:7965;" stroked="t" coordsize="21600,21600">
              <v:path arrowok="t"/>
              <v:fill focussize="0,0"/>
              <v:stroke weight="0.388031496062992pt" color="#231F20"/>
              <v:imagedata o:title=""/>
              <o:lock v:ext="edit"/>
            </v:line>
            <v:line id="_x0000_s2041" o:spid="_x0000_s204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t>安全避险系统应当随采掘工作面的变化及时调整和完善</w:t>
      </w:r>
      <w:r>
        <w:rPr>
          <w:rFonts w:hint="eastAsia" w:ascii="MS UI Gothic" w:eastAsia="MS UI Gothic"/>
          <w:w w:val="80"/>
        </w:rPr>
        <w:t xml:space="preserve">ꎬ </w:t>
      </w:r>
      <w:r>
        <w:t>每年由矿总工程师组</w:t>
      </w:r>
      <w:r>
        <w:rPr>
          <w:w w:val="105"/>
        </w:rPr>
        <w:t>织开展有效性评估</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第六百七十四条 煤矿企业必须编制</w:t>
      </w:r>
      <w:r>
        <w:t>应急救援预案并组织评审</w:t>
      </w:r>
      <w:r>
        <w:rPr>
          <w:rFonts w:hint="eastAsia" w:ascii="MS UI Gothic" w:eastAsia="MS UI Gothic"/>
          <w:w w:val="80"/>
        </w:rPr>
        <w:t xml:space="preserve">ꎬ </w:t>
      </w:r>
      <w:r>
        <w:t>由本单位主要负责人批准后实施</w:t>
      </w:r>
      <w:r>
        <w:rPr>
          <w:rFonts w:hint="eastAsia" w:ascii="MS UI Gothic" w:eastAsia="MS UI Gothic"/>
          <w:w w:val="80"/>
        </w:rPr>
        <w:t xml:space="preserve">ꎻ </w:t>
      </w:r>
      <w:r>
        <w:t>应急救援预案应当与所在地县级以上地方人民政府组织制定的</w:t>
      </w:r>
      <w:r>
        <w:rPr>
          <w:w w:val="105"/>
        </w:rPr>
        <w:t>生产安全事故应急救援预案相衔接</w:t>
      </w:r>
      <w:r>
        <w:rPr>
          <w:rFonts w:hint="eastAsia" w:ascii="MS UI Gothic" w:eastAsia="MS UI Gothic"/>
          <w:w w:val="80"/>
        </w:rPr>
        <w:t>ꎮ</w:t>
      </w:r>
    </w:p>
    <w:p>
      <w:pPr>
        <w:pStyle w:val="6"/>
        <w:spacing w:line="295" w:lineRule="auto"/>
        <w:ind w:right="38"/>
        <w:rPr>
          <w:rFonts w:hint="eastAsia" w:ascii="MS UI Gothic" w:eastAsia="MS UI Gothic"/>
        </w:rPr>
      </w:pPr>
      <w:r>
        <w:t>应急救援预案的主要内容发生变化</w:t>
      </w:r>
      <w:r>
        <w:rPr>
          <w:rFonts w:hint="eastAsia" w:ascii="MS UI Gothic" w:eastAsia="MS UI Gothic"/>
          <w:w w:val="80"/>
        </w:rPr>
        <w:t>ꎬ</w:t>
      </w:r>
      <w:r>
        <w:t>或者在事故处置和应急演练中发现存在重大问题时</w:t>
      </w:r>
      <w:r>
        <w:rPr>
          <w:rFonts w:hint="eastAsia" w:ascii="MS UI Gothic" w:eastAsia="MS UI Gothic"/>
          <w:w w:val="80"/>
        </w:rPr>
        <w:t xml:space="preserve">ꎬ </w:t>
      </w:r>
      <w:r>
        <w:t>及时修订完善</w:t>
      </w:r>
      <w:r>
        <w:rPr>
          <w:rFonts w:hint="eastAsia" w:ascii="MS UI Gothic" w:eastAsia="MS UI Gothic"/>
          <w:w w:val="80"/>
        </w:rPr>
        <w:t>ꎮ</w:t>
      </w:r>
    </w:p>
    <w:p>
      <w:pPr>
        <w:pStyle w:val="6"/>
        <w:spacing w:line="295" w:lineRule="auto"/>
        <w:ind w:left="118" w:right="39" w:firstLine="425"/>
        <w:rPr>
          <w:rFonts w:hint="eastAsia" w:ascii="MS UI Gothic" w:eastAsia="MS UI Gothic"/>
        </w:rPr>
      </w:pPr>
      <w:r>
        <w:rPr>
          <w:spacing w:val="4"/>
        </w:rPr>
        <w:t>第六百七十五条 煤矿企业必须建立</w:t>
      </w:r>
      <w:r>
        <w:rPr>
          <w:spacing w:val="3"/>
        </w:rPr>
        <w:t>应急演练制度</w:t>
      </w:r>
      <w:r>
        <w:rPr>
          <w:rFonts w:hint="eastAsia" w:ascii="MS UI Gothic" w:eastAsia="MS UI Gothic"/>
          <w:spacing w:val="7"/>
          <w:w w:val="80"/>
        </w:rPr>
        <w:t xml:space="preserve">ꎮ </w:t>
      </w:r>
      <w:r>
        <w:rPr>
          <w:spacing w:val="3"/>
        </w:rPr>
        <w:t>应急演练计划</w:t>
      </w:r>
      <w:r>
        <w:rPr>
          <w:rFonts w:hint="eastAsia" w:ascii="MS UI Gothic" w:eastAsia="MS UI Gothic"/>
          <w:spacing w:val="7"/>
          <w:w w:val="80"/>
        </w:rPr>
        <w:t xml:space="preserve">、 </w:t>
      </w:r>
      <w:r>
        <w:rPr>
          <w:spacing w:val="3"/>
        </w:rPr>
        <w:t>方案</w:t>
      </w:r>
      <w:r>
        <w:rPr>
          <w:rFonts w:hint="eastAsia" w:ascii="MS UI Gothic" w:eastAsia="MS UI Gothic"/>
          <w:spacing w:val="7"/>
          <w:w w:val="80"/>
        </w:rPr>
        <w:t xml:space="preserve">、 </w:t>
      </w:r>
      <w:r>
        <w:t>记</w:t>
      </w:r>
      <w:r>
        <w:rPr>
          <w:spacing w:val="2"/>
        </w:rPr>
        <w:t xml:space="preserve">录和总结评估报告等资料保存期限不少于 </w:t>
      </w:r>
      <w:r>
        <w:rPr>
          <w:rFonts w:hint="eastAsia" w:ascii="MS UI Gothic" w:eastAsia="MS UI Gothic"/>
          <w:spacing w:val="5"/>
          <w:w w:val="80"/>
        </w:rPr>
        <w:t xml:space="preserve">２ </w:t>
      </w:r>
      <w:r>
        <w:rPr>
          <w:spacing w:val="3"/>
        </w:rPr>
        <w:t>年</w:t>
      </w:r>
      <w:r>
        <w:rPr>
          <w:rFonts w:hint="eastAsia" w:ascii="MS UI Gothic" w:eastAsia="MS UI Gothic"/>
          <w:w w:val="80"/>
        </w:rPr>
        <w:t>ꎮ</w:t>
      </w:r>
    </w:p>
    <w:p>
      <w:pPr>
        <w:pStyle w:val="6"/>
        <w:spacing w:line="295" w:lineRule="auto"/>
        <w:ind w:right="38"/>
        <w:rPr>
          <w:rFonts w:hint="eastAsia" w:ascii="MS UI Gothic" w:eastAsia="MS UI Gothic"/>
        </w:rPr>
      </w:pPr>
      <w:r>
        <w:t>第六百七十六条 所有煤矿必须有矿山救护队为其服务</w:t>
      </w:r>
      <w:r>
        <w:rPr>
          <w:rFonts w:hint="eastAsia" w:ascii="MS UI Gothic" w:eastAsia="MS UI Gothic"/>
          <w:w w:val="80"/>
        </w:rPr>
        <w:t xml:space="preserve">ꎮ </w:t>
      </w:r>
      <w:r>
        <w:t>井工煤矿企业应当设立矿山救护队</w:t>
      </w:r>
      <w:r>
        <w:rPr>
          <w:rFonts w:hint="eastAsia" w:ascii="MS UI Gothic" w:eastAsia="MS UI Gothic"/>
          <w:w w:val="80"/>
        </w:rPr>
        <w:t xml:space="preserve">ꎬ </w:t>
      </w:r>
      <w:r>
        <w:t>不具备设立矿山救护队条件的煤矿企业</w:t>
      </w:r>
      <w:r>
        <w:rPr>
          <w:rFonts w:hint="eastAsia" w:ascii="MS UI Gothic" w:eastAsia="MS UI Gothic"/>
          <w:w w:val="80"/>
        </w:rPr>
        <w:t xml:space="preserve">ꎬ </w:t>
      </w:r>
      <w:r>
        <w:t>所属煤矿应当设立兼职救护队</w:t>
      </w:r>
      <w:r>
        <w:rPr>
          <w:rFonts w:hint="eastAsia" w:ascii="MS UI Gothic" w:eastAsia="MS UI Gothic"/>
          <w:w w:val="80"/>
        </w:rPr>
        <w:t xml:space="preserve">ꎬ </w:t>
      </w:r>
      <w:r>
        <w:t>并与就近的救护队签订救护协议</w:t>
      </w:r>
      <w:r>
        <w:rPr>
          <w:rFonts w:hint="eastAsia" w:ascii="MS UI Gothic" w:eastAsia="MS UI Gothic"/>
          <w:w w:val="80"/>
        </w:rPr>
        <w:t>ꎻ</w:t>
      </w:r>
      <w:r>
        <w:t>否则</w:t>
      </w:r>
      <w:r>
        <w:rPr>
          <w:rFonts w:hint="eastAsia" w:ascii="MS UI Gothic" w:eastAsia="MS UI Gothic"/>
          <w:w w:val="80"/>
        </w:rPr>
        <w:t xml:space="preserve">ꎬ </w:t>
      </w:r>
      <w:r>
        <w:t>不得生产</w:t>
      </w:r>
      <w:r>
        <w:rPr>
          <w:rFonts w:hint="eastAsia" w:ascii="MS UI Gothic" w:eastAsia="MS UI Gothic"/>
          <w:w w:val="80"/>
        </w:rPr>
        <w:t>ꎮ</w:t>
      </w:r>
    </w:p>
    <w:p>
      <w:pPr>
        <w:pStyle w:val="6"/>
        <w:spacing w:line="295" w:lineRule="auto"/>
        <w:ind w:right="39"/>
        <w:rPr>
          <w:rFonts w:hint="eastAsia" w:ascii="MS UI Gothic" w:eastAsia="MS UI Gothic"/>
        </w:rPr>
      </w:pPr>
      <w:r>
        <w:t xml:space="preserve">矿山救护队到达服务煤矿的时间应当不超过 </w:t>
      </w:r>
      <w:r>
        <w:rPr>
          <w:rFonts w:hint="eastAsia" w:ascii="MS UI Gothic" w:eastAsia="MS UI Gothic"/>
        </w:rPr>
        <w:t>３０ ｍｉｎ</w:t>
      </w:r>
      <w:r>
        <w:rPr>
          <w:rFonts w:hint="eastAsia" w:ascii="MS UI Gothic" w:eastAsia="MS UI Gothic"/>
          <w:w w:val="90"/>
        </w:rPr>
        <w:t>ꎮ</w:t>
      </w:r>
    </w:p>
    <w:p>
      <w:pPr>
        <w:pStyle w:val="6"/>
        <w:spacing w:line="295" w:lineRule="auto"/>
        <w:ind w:right="39"/>
        <w:rPr>
          <w:rFonts w:hint="eastAsia" w:ascii="MS UI Gothic" w:eastAsia="MS UI Gothic"/>
        </w:rPr>
      </w:pPr>
      <w:r>
        <w:rPr>
          <w:w w:val="105"/>
        </w:rPr>
        <w:t>第六百七十七条 任何人不得调动矿山救护队</w:t>
      </w:r>
      <w:r>
        <w:rPr>
          <w:rFonts w:hint="eastAsia" w:ascii="MS UI Gothic" w:eastAsia="MS UI Gothic"/>
          <w:w w:val="80"/>
        </w:rPr>
        <w:t xml:space="preserve">、 </w:t>
      </w:r>
      <w:r>
        <w:rPr>
          <w:w w:val="105"/>
        </w:rPr>
        <w:t>救援装备和救护车辆从事与应</w:t>
      </w:r>
      <w:r>
        <w:t>急救援无关的工作</w:t>
      </w:r>
      <w:r>
        <w:rPr>
          <w:rFonts w:hint="eastAsia" w:ascii="MS UI Gothic" w:eastAsia="MS UI Gothic"/>
          <w:w w:val="80"/>
        </w:rPr>
        <w:t xml:space="preserve">ꎬ </w:t>
      </w:r>
      <w:r>
        <w:t>不得挪用紧急避险设</w:t>
      </w:r>
      <w:r>
        <w:rPr>
          <w:w w:val="105"/>
        </w:rPr>
        <w:t>施内的设备和物品</w:t>
      </w:r>
      <w:r>
        <w:rPr>
          <w:rFonts w:hint="eastAsia" w:ascii="MS UI Gothic" w:eastAsia="MS UI Gothic"/>
          <w:w w:val="80"/>
        </w:rPr>
        <w:t>ꎮ</w:t>
      </w:r>
    </w:p>
    <w:p>
      <w:pPr>
        <w:pStyle w:val="6"/>
        <w:spacing w:line="295" w:lineRule="auto"/>
        <w:ind w:right="39"/>
        <w:rPr>
          <w:rFonts w:hint="eastAsia" w:ascii="MS UI Gothic" w:eastAsia="MS UI Gothic"/>
        </w:rPr>
      </w:pPr>
      <w:r>
        <w:t>第六百七十八条 井工煤矿应当向矿山救护队提供采掘工程平面图</w:t>
      </w:r>
      <w:r>
        <w:rPr>
          <w:rFonts w:hint="eastAsia" w:ascii="MS UI Gothic" w:eastAsia="MS UI Gothic"/>
          <w:w w:val="80"/>
        </w:rPr>
        <w:t xml:space="preserve">、 </w:t>
      </w:r>
      <w:r>
        <w:t>矿井通风系统图</w:t>
      </w:r>
      <w:r>
        <w:rPr>
          <w:rFonts w:hint="eastAsia" w:ascii="MS UI Gothic" w:eastAsia="MS UI Gothic"/>
          <w:w w:val="80"/>
        </w:rPr>
        <w:t xml:space="preserve">、 </w:t>
      </w:r>
      <w:r>
        <w:t>井上下对照图</w:t>
      </w:r>
      <w:r>
        <w:rPr>
          <w:rFonts w:hint="eastAsia" w:ascii="MS UI Gothic" w:eastAsia="MS UI Gothic"/>
          <w:w w:val="80"/>
        </w:rPr>
        <w:t xml:space="preserve">、  </w:t>
      </w:r>
      <w:r>
        <w:t>井下避灾路线图</w:t>
      </w:r>
      <w:r>
        <w:rPr>
          <w:rFonts w:hint="eastAsia" w:ascii="MS UI Gothic" w:eastAsia="MS UI Gothic"/>
          <w:w w:val="80"/>
        </w:rPr>
        <w:t xml:space="preserve">、 </w:t>
      </w:r>
      <w:r>
        <w:t>灾害预防和处理计划</w:t>
      </w:r>
      <w:r>
        <w:rPr>
          <w:rFonts w:hint="eastAsia" w:ascii="MS UI Gothic" w:eastAsia="MS UI Gothic"/>
          <w:w w:val="80"/>
        </w:rPr>
        <w:t xml:space="preserve">ꎬ </w:t>
      </w:r>
      <w:r>
        <w:t>以及应急救援预案</w:t>
      </w:r>
      <w:r>
        <w:rPr>
          <w:rFonts w:hint="eastAsia" w:ascii="MS UI Gothic" w:eastAsia="MS UI Gothic"/>
          <w:w w:val="80"/>
        </w:rPr>
        <w:t xml:space="preserve">ꎻ </w:t>
      </w:r>
      <w:r>
        <w:t>露天煤矿应当向矿山救护队提供采剥</w:t>
      </w:r>
      <w:r>
        <w:rPr>
          <w:rFonts w:hint="eastAsia" w:ascii="MS UI Gothic" w:eastAsia="MS UI Gothic"/>
          <w:w w:val="80"/>
        </w:rPr>
        <w:t xml:space="preserve">、 </w:t>
      </w:r>
      <w:r>
        <w:t>排土工程平面图和运输系统图</w:t>
      </w:r>
      <w:r>
        <w:rPr>
          <w:rFonts w:hint="eastAsia" w:ascii="MS UI Gothic" w:eastAsia="MS UI Gothic"/>
          <w:w w:val="80"/>
        </w:rPr>
        <w:t xml:space="preserve">、 </w:t>
      </w:r>
      <w:r>
        <w:t>防排水系统图及排水设备布置图</w:t>
      </w:r>
      <w:r>
        <w:rPr>
          <w:rFonts w:hint="eastAsia" w:ascii="MS UI Gothic" w:eastAsia="MS UI Gothic"/>
          <w:w w:val="80"/>
        </w:rPr>
        <w:t xml:space="preserve">、 </w:t>
      </w:r>
      <w:r>
        <w:t>井工老空区与露天矿平面对照图</w:t>
      </w:r>
      <w:r>
        <w:rPr>
          <w:rFonts w:hint="eastAsia" w:ascii="MS UI Gothic" w:eastAsia="MS UI Gothic"/>
          <w:w w:val="80"/>
        </w:rPr>
        <w:t xml:space="preserve">ꎬ </w:t>
      </w:r>
      <w:r>
        <w:t>以及应急救援预案</w:t>
      </w:r>
      <w:r>
        <w:rPr>
          <w:rFonts w:hint="eastAsia" w:ascii="MS UI Gothic" w:eastAsia="MS UI Gothic"/>
          <w:w w:val="80"/>
        </w:rPr>
        <w:t xml:space="preserve">ꎮ </w:t>
      </w:r>
      <w:r>
        <w:t>提供的上述图纸和资料应当真实</w:t>
      </w:r>
      <w:r>
        <w:rPr>
          <w:rFonts w:hint="eastAsia" w:ascii="MS UI Gothic" w:eastAsia="MS UI Gothic"/>
          <w:w w:val="80"/>
        </w:rPr>
        <w:t xml:space="preserve">、 </w:t>
      </w:r>
      <w:r>
        <w:t>准确</w:t>
      </w:r>
      <w:r>
        <w:rPr>
          <w:rFonts w:hint="eastAsia" w:ascii="MS UI Gothic" w:eastAsia="MS UI Gothic"/>
          <w:w w:val="80"/>
        </w:rPr>
        <w:t xml:space="preserve">ꎬ </w:t>
      </w:r>
      <w:r>
        <w:t>且至少每季度为救护队更新一次</w:t>
      </w:r>
      <w:r>
        <w:rPr>
          <w:rFonts w:hint="eastAsia" w:ascii="MS UI Gothic" w:eastAsia="MS UI Gothic"/>
          <w:w w:val="80"/>
        </w:rPr>
        <w:t>ꎮ</w:t>
      </w:r>
    </w:p>
    <w:p>
      <w:pPr>
        <w:pStyle w:val="6"/>
        <w:spacing w:line="295" w:lineRule="auto"/>
        <w:ind w:right="39"/>
      </w:pPr>
      <w:r>
        <w:rPr>
          <w:w w:val="105"/>
        </w:rPr>
        <w:t>第六百七十九条 煤矿作业人员必须</w:t>
      </w:r>
      <w:r>
        <w:t>熟悉应急救援预案和避灾路线</w:t>
      </w:r>
      <w:r>
        <w:rPr>
          <w:rFonts w:hint="eastAsia" w:ascii="MS UI Gothic" w:eastAsia="MS UI Gothic"/>
          <w:w w:val="80"/>
        </w:rPr>
        <w:t xml:space="preserve">ꎬ </w:t>
      </w:r>
      <w:r>
        <w:t>具有自救</w:t>
      </w:r>
    </w:p>
    <w:p>
      <w:pPr>
        <w:pStyle w:val="6"/>
        <w:spacing w:before="123" w:line="295" w:lineRule="auto"/>
        <w:ind w:left="118" w:right="442" w:firstLine="0"/>
        <w:rPr>
          <w:rFonts w:hint="eastAsia" w:ascii="MS UI Gothic" w:eastAsia="MS UI Gothic"/>
        </w:rPr>
      </w:pPr>
      <w:r>
        <w:br w:type="column"/>
      </w:r>
      <w:r>
        <w:t>互救和安全避险知识</w:t>
      </w:r>
      <w:r>
        <w:rPr>
          <w:rFonts w:hint="eastAsia" w:ascii="MS UI Gothic" w:eastAsia="MS UI Gothic"/>
          <w:w w:val="80"/>
        </w:rPr>
        <w:t xml:space="preserve">ꎮ </w:t>
      </w:r>
      <w:r>
        <w:t>井下作业人员必须熟练掌握自救器和紧急避险设施的使用方法</w:t>
      </w:r>
      <w:r>
        <w:rPr>
          <w:rFonts w:hint="eastAsia" w:ascii="MS UI Gothic" w:eastAsia="MS UI Gothic"/>
          <w:w w:val="80"/>
        </w:rPr>
        <w:t>ꎮ</w:t>
      </w:r>
    </w:p>
    <w:p>
      <w:pPr>
        <w:pStyle w:val="6"/>
        <w:spacing w:line="295" w:lineRule="auto"/>
        <w:ind w:left="118" w:right="442"/>
        <w:rPr>
          <w:rFonts w:hint="eastAsia" w:ascii="MS UI Gothic" w:eastAsia="MS UI Gothic"/>
        </w:rPr>
      </w:pPr>
      <w:r>
        <w:t>班组长应当具备兼职救护队员的知识和能力</w:t>
      </w:r>
      <w:r>
        <w:rPr>
          <w:rFonts w:hint="eastAsia" w:ascii="MS UI Gothic" w:eastAsia="MS UI Gothic"/>
          <w:w w:val="80"/>
        </w:rPr>
        <w:t xml:space="preserve">ꎬ </w:t>
      </w:r>
      <w:r>
        <w:t>能够在发生险情后第一时间组织</w:t>
      </w:r>
      <w:r>
        <w:rPr>
          <w:w w:val="105"/>
        </w:rPr>
        <w:t>作业人员自救互救和安全避险</w:t>
      </w:r>
      <w:r>
        <w:rPr>
          <w:rFonts w:hint="eastAsia" w:ascii="MS UI Gothic" w:eastAsia="MS UI Gothic"/>
          <w:w w:val="80"/>
        </w:rPr>
        <w:t>ꎮ</w:t>
      </w:r>
    </w:p>
    <w:p>
      <w:pPr>
        <w:pStyle w:val="6"/>
        <w:spacing w:line="295" w:lineRule="auto"/>
        <w:ind w:left="118" w:right="442"/>
        <w:rPr>
          <w:rFonts w:hint="eastAsia" w:ascii="MS UI Gothic" w:eastAsia="MS UI Gothic"/>
        </w:rPr>
      </w:pPr>
      <w:r>
        <w:t>外来人员必须经过安全和应急基本知识培训</w:t>
      </w:r>
      <w:r>
        <w:rPr>
          <w:rFonts w:hint="eastAsia" w:ascii="MS UI Gothic" w:eastAsia="MS UI Gothic"/>
          <w:w w:val="80"/>
        </w:rPr>
        <w:t xml:space="preserve">ꎬ </w:t>
      </w:r>
      <w:r>
        <w:t>掌握自救器使用方法</w:t>
      </w:r>
      <w:r>
        <w:rPr>
          <w:rFonts w:hint="eastAsia" w:ascii="MS UI Gothic" w:eastAsia="MS UI Gothic"/>
          <w:w w:val="80"/>
        </w:rPr>
        <w:t xml:space="preserve">ꎬ </w:t>
      </w:r>
      <w:r>
        <w:t>并签字确认后方可入井</w:t>
      </w:r>
      <w:r>
        <w:rPr>
          <w:rFonts w:hint="eastAsia" w:ascii="MS UI Gothic" w:eastAsia="MS UI Gothic"/>
          <w:w w:val="80"/>
        </w:rPr>
        <w:t>ꎮ</w:t>
      </w:r>
    </w:p>
    <w:p>
      <w:pPr>
        <w:pStyle w:val="6"/>
        <w:spacing w:line="295" w:lineRule="auto"/>
        <w:ind w:left="118" w:right="442"/>
        <w:rPr>
          <w:rFonts w:hint="eastAsia" w:ascii="MS UI Gothic" w:eastAsia="MS UI Gothic"/>
        </w:rPr>
      </w:pPr>
      <w:r>
        <w:t>第六百八十条 煤矿发生险情或者事故后</w:t>
      </w:r>
      <w:r>
        <w:rPr>
          <w:rFonts w:hint="eastAsia" w:ascii="MS UI Gothic" w:eastAsia="MS UI Gothic"/>
          <w:w w:val="80"/>
        </w:rPr>
        <w:t xml:space="preserve">ꎬ </w:t>
      </w:r>
      <w:r>
        <w:t>现场人员应当进行自救</w:t>
      </w:r>
      <w:r>
        <w:rPr>
          <w:rFonts w:hint="eastAsia" w:ascii="MS UI Gothic" w:eastAsia="MS UI Gothic"/>
          <w:w w:val="80"/>
        </w:rPr>
        <w:t xml:space="preserve">、 </w:t>
      </w:r>
      <w:r>
        <w:t>互救</w:t>
      </w:r>
      <w:r>
        <w:rPr>
          <w:rFonts w:hint="eastAsia" w:ascii="MS UI Gothic" w:eastAsia="MS UI Gothic"/>
          <w:w w:val="80"/>
        </w:rPr>
        <w:t xml:space="preserve">ꎬ </w:t>
      </w:r>
      <w:r>
        <w:t>并报矿调度室</w:t>
      </w:r>
      <w:r>
        <w:rPr>
          <w:rFonts w:hint="eastAsia" w:ascii="MS UI Gothic" w:eastAsia="MS UI Gothic"/>
          <w:w w:val="80"/>
        </w:rPr>
        <w:t xml:space="preserve">ꎻ </w:t>
      </w:r>
      <w:r>
        <w:t>煤矿应当立即按照应急救援预案启动应急响应</w:t>
      </w:r>
      <w:r>
        <w:rPr>
          <w:rFonts w:hint="eastAsia" w:ascii="MS UI Gothic" w:eastAsia="MS UI Gothic"/>
          <w:w w:val="80"/>
        </w:rPr>
        <w:t xml:space="preserve">ꎬ </w:t>
      </w:r>
      <w:r>
        <w:t>组织涉险人员撤离险区</w:t>
      </w:r>
      <w:r>
        <w:rPr>
          <w:rFonts w:hint="eastAsia" w:ascii="MS UI Gothic" w:eastAsia="MS UI Gothic"/>
          <w:w w:val="80"/>
        </w:rPr>
        <w:t xml:space="preserve">ꎬ </w:t>
      </w:r>
      <w:r>
        <w:t>通知应急指挥人员</w:t>
      </w:r>
      <w:r>
        <w:rPr>
          <w:rFonts w:hint="eastAsia" w:ascii="MS UI Gothic" w:eastAsia="MS UI Gothic"/>
          <w:w w:val="80"/>
        </w:rPr>
        <w:t xml:space="preserve">、 </w:t>
      </w:r>
      <w:r>
        <w:t>矿山救护队和医疗救护人员等到现场救援</w:t>
      </w:r>
      <w:r>
        <w:rPr>
          <w:rFonts w:hint="eastAsia" w:ascii="MS UI Gothic" w:eastAsia="MS UI Gothic"/>
          <w:w w:val="80"/>
        </w:rPr>
        <w:t xml:space="preserve">ꎬ </w:t>
      </w:r>
      <w:r>
        <w:t>并上报事故信息</w:t>
      </w:r>
      <w:r>
        <w:rPr>
          <w:rFonts w:hint="eastAsia" w:ascii="MS UI Gothic" w:eastAsia="MS UI Gothic"/>
          <w:w w:val="80"/>
        </w:rPr>
        <w:t>ꎮ</w:t>
      </w:r>
    </w:p>
    <w:p>
      <w:pPr>
        <w:pStyle w:val="6"/>
        <w:spacing w:line="295" w:lineRule="auto"/>
        <w:ind w:left="118" w:right="442"/>
        <w:rPr>
          <w:rFonts w:hint="eastAsia" w:ascii="MS UI Gothic" w:eastAsia="MS UI Gothic"/>
        </w:rPr>
      </w:pPr>
      <w:r>
        <w:t>第六百八十一条 矿山救护队在接到事故报告电话</w:t>
      </w:r>
      <w:r>
        <w:rPr>
          <w:rFonts w:hint="eastAsia" w:ascii="MS UI Gothic" w:eastAsia="MS UI Gothic"/>
        </w:rPr>
        <w:t xml:space="preserve">、 </w:t>
      </w:r>
      <w:r>
        <w:t>值班人员发出警报后</w:t>
      </w:r>
      <w:r>
        <w:rPr>
          <w:rFonts w:hint="eastAsia" w:ascii="MS UI Gothic" w:eastAsia="MS UI Gothic"/>
          <w:w w:val="90"/>
        </w:rPr>
        <w:t xml:space="preserve">ꎬ </w:t>
      </w:r>
      <w:r>
        <w:t xml:space="preserve">必须在 </w:t>
      </w:r>
      <w:r>
        <w:rPr>
          <w:rFonts w:hint="eastAsia" w:ascii="MS UI Gothic" w:eastAsia="MS UI Gothic"/>
        </w:rPr>
        <w:t xml:space="preserve">１ ｍｉｎ </w:t>
      </w:r>
      <w:r>
        <w:t>内出动救援</w:t>
      </w:r>
      <w:r>
        <w:rPr>
          <w:rFonts w:hint="eastAsia" w:ascii="MS UI Gothic" w:eastAsia="MS UI Gothic"/>
          <w:w w:val="90"/>
        </w:rPr>
        <w:t>ꎮ</w:t>
      </w:r>
    </w:p>
    <w:p>
      <w:pPr>
        <w:pStyle w:val="6"/>
        <w:spacing w:line="295" w:lineRule="auto"/>
        <w:ind w:left="118" w:right="442"/>
        <w:rPr>
          <w:rFonts w:hint="eastAsia" w:ascii="MS UI Gothic" w:eastAsia="MS UI Gothic"/>
        </w:rPr>
      </w:pPr>
      <w:r>
        <w:t>第六百八十二条 发生事故的煤矿必须全力做好事故应急救援及相关工作</w:t>
      </w:r>
      <w:r>
        <w:rPr>
          <w:rFonts w:hint="eastAsia" w:ascii="MS UI Gothic" w:eastAsia="MS UI Gothic"/>
          <w:w w:val="80"/>
        </w:rPr>
        <w:t xml:space="preserve">ꎬ </w:t>
      </w:r>
      <w:r>
        <w:t>并报请当地政府和主管部门在通信</w:t>
      </w:r>
      <w:r>
        <w:rPr>
          <w:rFonts w:hint="eastAsia" w:ascii="MS UI Gothic" w:eastAsia="MS UI Gothic"/>
          <w:w w:val="80"/>
        </w:rPr>
        <w:t xml:space="preserve">、 </w:t>
      </w:r>
      <w:r>
        <w:t>交通运输</w:t>
      </w:r>
      <w:r>
        <w:rPr>
          <w:rFonts w:hint="eastAsia" w:ascii="MS UI Gothic" w:eastAsia="MS UI Gothic"/>
          <w:w w:val="80"/>
        </w:rPr>
        <w:t xml:space="preserve">、 </w:t>
      </w:r>
      <w:r>
        <w:t>医疗</w:t>
      </w:r>
      <w:r>
        <w:rPr>
          <w:rFonts w:hint="eastAsia" w:ascii="MS UI Gothic" w:eastAsia="MS UI Gothic"/>
          <w:w w:val="80"/>
        </w:rPr>
        <w:t xml:space="preserve">、 </w:t>
      </w:r>
      <w:r>
        <w:t>电力</w:t>
      </w:r>
      <w:r>
        <w:rPr>
          <w:rFonts w:hint="eastAsia" w:ascii="MS UI Gothic" w:eastAsia="MS UI Gothic"/>
          <w:w w:val="80"/>
        </w:rPr>
        <w:t xml:space="preserve">、 </w:t>
      </w:r>
      <w:r>
        <w:t>现场秩序维护等方面提供保障</w:t>
      </w:r>
      <w:r>
        <w:rPr>
          <w:rFonts w:hint="eastAsia" w:ascii="MS UI Gothic" w:eastAsia="MS UI Gothic"/>
          <w:w w:val="80"/>
        </w:rPr>
        <w:t>ꎮ</w:t>
      </w:r>
    </w:p>
    <w:p>
      <w:pPr>
        <w:pStyle w:val="6"/>
        <w:tabs>
          <w:tab w:val="left" w:pos="1900"/>
        </w:tabs>
        <w:spacing w:before="138"/>
        <w:ind w:left="1062" w:firstLine="0"/>
        <w:jc w:val="left"/>
      </w:pPr>
      <w:r>
        <w:rPr>
          <w:spacing w:val="3"/>
          <w:w w:val="105"/>
        </w:rPr>
        <w:t>第二</w:t>
      </w:r>
      <w:r>
        <w:rPr>
          <w:w w:val="105"/>
        </w:rPr>
        <w:t>章</w:t>
      </w:r>
      <w:r>
        <w:rPr>
          <w:w w:val="105"/>
        </w:rPr>
        <w:tab/>
      </w:r>
      <w:r>
        <w:rPr>
          <w:w w:val="105"/>
        </w:rPr>
        <w:t>安</w:t>
      </w:r>
      <w:r>
        <w:rPr>
          <w:spacing w:val="-33"/>
          <w:w w:val="105"/>
        </w:rPr>
        <w:t xml:space="preserve"> </w:t>
      </w:r>
      <w:r>
        <w:rPr>
          <w:w w:val="105"/>
        </w:rPr>
        <w:t>全</w:t>
      </w:r>
      <w:r>
        <w:rPr>
          <w:spacing w:val="-33"/>
          <w:w w:val="105"/>
        </w:rPr>
        <w:t xml:space="preserve"> </w:t>
      </w:r>
      <w:r>
        <w:rPr>
          <w:w w:val="105"/>
        </w:rPr>
        <w:t>避</w:t>
      </w:r>
      <w:r>
        <w:rPr>
          <w:spacing w:val="-33"/>
          <w:w w:val="105"/>
        </w:rPr>
        <w:t xml:space="preserve"> </w:t>
      </w:r>
      <w:r>
        <w:rPr>
          <w:w w:val="105"/>
        </w:rPr>
        <w:t>险</w:t>
      </w:r>
    </w:p>
    <w:p>
      <w:pPr>
        <w:pStyle w:val="6"/>
        <w:spacing w:before="216" w:line="295" w:lineRule="auto"/>
        <w:ind w:left="118" w:right="442"/>
        <w:rPr>
          <w:rFonts w:hint="eastAsia" w:ascii="MS UI Gothic" w:eastAsia="MS UI Gothic"/>
        </w:rPr>
      </w:pPr>
      <w:r>
        <w:t>第六百八十三条 煤矿发生险情或者事故时</w:t>
      </w:r>
      <w:r>
        <w:rPr>
          <w:rFonts w:hint="eastAsia" w:ascii="MS UI Gothic" w:eastAsia="MS UI Gothic"/>
          <w:w w:val="80"/>
        </w:rPr>
        <w:t xml:space="preserve">ꎬ </w:t>
      </w:r>
      <w:r>
        <w:t>井下人员应当按应急救援预案和应急指令撤离险区</w:t>
      </w:r>
      <w:r>
        <w:rPr>
          <w:rFonts w:hint="eastAsia" w:ascii="MS UI Gothic" w:eastAsia="MS UI Gothic"/>
          <w:w w:val="80"/>
        </w:rPr>
        <w:t xml:space="preserve">ꎬ </w:t>
      </w:r>
      <w:r>
        <w:t>在撤离受阻的情况下紧急避险待救</w:t>
      </w:r>
      <w:r>
        <w:rPr>
          <w:rFonts w:hint="eastAsia" w:ascii="MS UI Gothic" w:eastAsia="MS UI Gothic"/>
          <w:w w:val="80"/>
        </w:rPr>
        <w:t>ꎮ</w:t>
      </w:r>
    </w:p>
    <w:p>
      <w:pPr>
        <w:pStyle w:val="6"/>
        <w:spacing w:line="295" w:lineRule="auto"/>
        <w:ind w:left="118" w:right="440"/>
        <w:rPr>
          <w:rFonts w:hint="eastAsia" w:ascii="MS UI Gothic" w:eastAsia="MS UI Gothic"/>
        </w:rPr>
      </w:pPr>
      <w:r>
        <w:t>第六百八十四条 井下所有工作地点必须设置灾害事故避灾路线</w:t>
      </w:r>
      <w:r>
        <w:rPr>
          <w:rFonts w:hint="eastAsia" w:ascii="MS UI Gothic" w:eastAsia="MS UI Gothic"/>
          <w:w w:val="80"/>
        </w:rPr>
        <w:t xml:space="preserve">ꎮ </w:t>
      </w:r>
      <w:r>
        <w:t>避灾路线指示应当设置在不易受到碰撞的显著位置</w:t>
      </w:r>
      <w:r>
        <w:rPr>
          <w:rFonts w:hint="eastAsia" w:ascii="MS UI Gothic" w:eastAsia="MS UI Gothic"/>
          <w:w w:val="80"/>
        </w:rPr>
        <w:t>ꎬ</w:t>
      </w:r>
      <w:r>
        <w:t>在矿灯照明下清晰可见</w:t>
      </w:r>
      <w:r>
        <w:rPr>
          <w:rFonts w:hint="eastAsia" w:ascii="MS UI Gothic" w:eastAsia="MS UI Gothic"/>
          <w:w w:val="80"/>
        </w:rPr>
        <w:t xml:space="preserve">ꎬ </w:t>
      </w:r>
      <w:r>
        <w:t>并标注所在位置</w:t>
      </w:r>
      <w:r>
        <w:rPr>
          <w:rFonts w:hint="eastAsia" w:ascii="MS UI Gothic" w:eastAsia="MS UI Gothic"/>
          <w:w w:val="80"/>
        </w:rPr>
        <w:t>ꎮ</w:t>
      </w:r>
    </w:p>
    <w:p>
      <w:pPr>
        <w:pStyle w:val="6"/>
        <w:tabs>
          <w:tab w:val="left" w:pos="1795"/>
        </w:tabs>
        <w:spacing w:line="295" w:lineRule="auto"/>
        <w:ind w:left="118" w:right="440"/>
        <w:jc w:val="right"/>
      </w:pPr>
      <w:r>
        <w:t>巷</w:t>
      </w:r>
      <w:r>
        <w:rPr>
          <w:spacing w:val="3"/>
        </w:rPr>
        <w:t>道交</w:t>
      </w:r>
      <w:r>
        <w:rPr>
          <w:spacing w:val="13"/>
        </w:rPr>
        <w:t>叉口必须设置避灾路线标</w:t>
      </w:r>
      <w:r>
        <w:rPr>
          <w:spacing w:val="3"/>
        </w:rPr>
        <w:t>识</w:t>
      </w:r>
      <w:r>
        <w:rPr>
          <w:rFonts w:hint="eastAsia" w:ascii="MS UI Gothic" w:eastAsia="MS UI Gothic"/>
          <w:w w:val="80"/>
        </w:rPr>
        <w:t>ꎮ</w:t>
      </w:r>
      <w:r>
        <w:rPr>
          <w:spacing w:val="3"/>
        </w:rPr>
        <w:t>巷道内设置标识的间隔距离</w:t>
      </w:r>
      <w:r>
        <w:rPr>
          <w:rFonts w:hint="eastAsia" w:ascii="MS UI Gothic" w:eastAsia="MS UI Gothic"/>
          <w:w w:val="225"/>
        </w:rPr>
        <w:t>:</w:t>
      </w:r>
      <w:r>
        <w:rPr>
          <w:rFonts w:hint="eastAsia" w:ascii="MS UI Gothic" w:eastAsia="MS UI Gothic"/>
          <w:spacing w:val="77"/>
          <w:w w:val="225"/>
        </w:rPr>
        <w:t xml:space="preserve"> </w:t>
      </w:r>
      <w:r>
        <w:rPr>
          <w:spacing w:val="3"/>
        </w:rPr>
        <w:t>采区巷道</w:t>
      </w:r>
      <w:r>
        <w:t>不</w:t>
      </w:r>
      <w:r>
        <w:rPr>
          <w:spacing w:val="3"/>
        </w:rPr>
        <w:t>大</w:t>
      </w:r>
      <w:r>
        <w:t>于</w:t>
      </w:r>
      <w:r>
        <w:rPr>
          <w:spacing w:val="-67"/>
        </w:rPr>
        <w:t xml:space="preserve"> </w:t>
      </w:r>
      <w:r>
        <w:rPr>
          <w:rFonts w:hint="eastAsia" w:ascii="MS UI Gothic" w:eastAsia="MS UI Gothic"/>
          <w:w w:val="80"/>
        </w:rPr>
        <w:t>２００</w:t>
      </w:r>
      <w:r>
        <w:rPr>
          <w:rFonts w:hint="eastAsia" w:ascii="MS UI Gothic" w:eastAsia="MS UI Gothic"/>
          <w:spacing w:val="3"/>
          <w:w w:val="80"/>
        </w:rPr>
        <w:t xml:space="preserve"> </w:t>
      </w:r>
      <w:r>
        <w:rPr>
          <w:rFonts w:hint="eastAsia" w:ascii="MS UI Gothic" w:eastAsia="MS UI Gothic"/>
          <w:spacing w:val="4"/>
          <w:w w:val="80"/>
        </w:rPr>
        <w:t>ｍ</w:t>
      </w:r>
      <w:r>
        <w:rPr>
          <w:rFonts w:hint="eastAsia" w:ascii="MS UI Gothic" w:eastAsia="MS UI Gothic"/>
          <w:w w:val="80"/>
        </w:rPr>
        <w:t>ꎬ</w:t>
      </w:r>
      <w:r>
        <w:rPr>
          <w:rFonts w:hint="eastAsia" w:ascii="MS UI Gothic" w:eastAsia="MS UI Gothic"/>
          <w:spacing w:val="27"/>
          <w:w w:val="80"/>
        </w:rPr>
        <w:t xml:space="preserve"> </w:t>
      </w:r>
      <w:r>
        <w:rPr>
          <w:spacing w:val="3"/>
        </w:rPr>
        <w:t>矿井主要巷道不大</w:t>
      </w:r>
      <w:r>
        <w:t>于</w:t>
      </w:r>
      <w:r>
        <w:rPr>
          <w:spacing w:val="-66"/>
        </w:rPr>
        <w:t xml:space="preserve"> </w:t>
      </w:r>
      <w:r>
        <w:rPr>
          <w:rFonts w:hint="eastAsia" w:ascii="MS UI Gothic" w:eastAsia="MS UI Gothic"/>
          <w:w w:val="80"/>
        </w:rPr>
        <w:t>３００</w:t>
      </w:r>
      <w:r>
        <w:rPr>
          <w:rFonts w:hint="eastAsia" w:ascii="MS UI Gothic" w:eastAsia="MS UI Gothic"/>
          <w:spacing w:val="2"/>
          <w:w w:val="80"/>
        </w:rPr>
        <w:t xml:space="preserve"> </w:t>
      </w:r>
      <w:r>
        <w:rPr>
          <w:rFonts w:hint="eastAsia" w:ascii="MS UI Gothic" w:eastAsia="MS UI Gothic"/>
          <w:spacing w:val="4"/>
          <w:w w:val="80"/>
        </w:rPr>
        <w:t>ｍ</w:t>
      </w:r>
      <w:r>
        <w:rPr>
          <w:rFonts w:hint="eastAsia" w:ascii="MS UI Gothic" w:eastAsia="MS UI Gothic"/>
          <w:w w:val="80"/>
        </w:rPr>
        <w:t>ꎮ</w:t>
      </w:r>
      <w:r>
        <w:rPr>
          <w:spacing w:val="3"/>
        </w:rPr>
        <w:t>第六百八十五</w:t>
      </w:r>
      <w:r>
        <w:t>条</w:t>
      </w:r>
      <w:r>
        <w:tab/>
      </w:r>
      <w:r>
        <w:rPr>
          <w:spacing w:val="3"/>
        </w:rPr>
        <w:t>矿井应当设置井</w:t>
      </w:r>
      <w:r>
        <w:t>下</w:t>
      </w:r>
    </w:p>
    <w:p>
      <w:pPr>
        <w:spacing w:after="0" w:line="295" w:lineRule="auto"/>
        <w:jc w:val="right"/>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３４３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42" o:spid="_x0000_s2042" o:spt="203" style="height:2.15pt;width:398.25pt;" coordsize="7965,43">
            <o:lock v:ext="edit"/>
            <v:line id="_x0000_s2043" o:spid="_x0000_s2043" o:spt="20" style="position:absolute;left:0;top:39;height:0;width:7965;" stroked="t" coordsize="21600,21600">
              <v:path arrowok="t"/>
              <v:fill focussize="0,0"/>
              <v:stroke weight="0.388031496062992pt" color="#231F20"/>
              <v:imagedata o:title=""/>
              <o:lock v:ext="edit"/>
            </v:line>
            <v:line id="_x0000_s2044" o:spid="_x0000_s204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应急广播系统</w:t>
      </w:r>
      <w:r>
        <w:rPr>
          <w:rFonts w:hint="eastAsia" w:ascii="MS UI Gothic" w:eastAsia="MS UI Gothic"/>
          <w:w w:val="80"/>
        </w:rPr>
        <w:t xml:space="preserve">ꎬ </w:t>
      </w:r>
      <w:r>
        <w:t>保证井下人员能够清晰听见应急指令</w:t>
      </w:r>
      <w:r>
        <w:rPr>
          <w:rFonts w:hint="eastAsia" w:ascii="MS UI Gothic" w:eastAsia="MS UI Gothic"/>
          <w:w w:val="80"/>
        </w:rPr>
        <w:t>ꎮ</w:t>
      </w:r>
    </w:p>
    <w:p>
      <w:pPr>
        <w:pStyle w:val="6"/>
        <w:spacing w:line="295" w:lineRule="auto"/>
        <w:ind w:left="440" w:right="1"/>
        <w:rPr>
          <w:rFonts w:hint="eastAsia" w:ascii="MS UI Gothic" w:eastAsia="MS UI Gothic"/>
        </w:rPr>
      </w:pPr>
      <w:r>
        <w:t xml:space="preserve">第六百八十六条 入井人员必须随身携带额定防护时间不低于 </w:t>
      </w:r>
      <w:r>
        <w:rPr>
          <w:rFonts w:hint="eastAsia" w:ascii="MS UI Gothic" w:eastAsia="MS UI Gothic"/>
        </w:rPr>
        <w:t xml:space="preserve">３０ ｍｉｎ </w:t>
      </w:r>
      <w:r>
        <w:t>的隔绝式自救器</w:t>
      </w:r>
      <w:r>
        <w:rPr>
          <w:rFonts w:hint="eastAsia" w:ascii="MS UI Gothic" w:eastAsia="MS UI Gothic"/>
          <w:w w:val="90"/>
        </w:rPr>
        <w:t>ꎮ</w:t>
      </w:r>
    </w:p>
    <w:p>
      <w:pPr>
        <w:pStyle w:val="6"/>
        <w:spacing w:line="295" w:lineRule="auto"/>
        <w:ind w:left="440" w:right="1"/>
        <w:rPr>
          <w:rFonts w:hint="eastAsia" w:ascii="MS UI Gothic" w:eastAsia="MS UI Gothic"/>
        </w:rPr>
      </w:pPr>
      <w:r>
        <w:t>矿井应当根据需要在避灾路线上设置自救器补给站</w:t>
      </w:r>
      <w:r>
        <w:rPr>
          <w:rFonts w:hint="eastAsia" w:ascii="MS UI Gothic" w:eastAsia="MS UI Gothic"/>
          <w:w w:val="80"/>
        </w:rPr>
        <w:t xml:space="preserve">ꎮ </w:t>
      </w:r>
      <w:r>
        <w:t>补给站应当有清晰</w:t>
      </w:r>
      <w:r>
        <w:rPr>
          <w:rFonts w:hint="eastAsia" w:ascii="MS UI Gothic" w:eastAsia="MS UI Gothic"/>
          <w:w w:val="80"/>
        </w:rPr>
        <w:t xml:space="preserve">、 </w:t>
      </w:r>
      <w:r>
        <w:t>醒目的标识</w:t>
      </w:r>
      <w:r>
        <w:rPr>
          <w:rFonts w:hint="eastAsia" w:ascii="MS UI Gothic" w:eastAsia="MS UI Gothic"/>
          <w:w w:val="80"/>
        </w:rPr>
        <w:t>ꎮ</w:t>
      </w:r>
    </w:p>
    <w:p>
      <w:pPr>
        <w:pStyle w:val="6"/>
        <w:spacing w:line="295" w:lineRule="auto"/>
        <w:ind w:left="435" w:right="1" w:firstLine="425"/>
      </w:pPr>
      <w:r>
        <w:rPr>
          <w:w w:val="95"/>
        </w:rPr>
        <w:t>第六百八十七条   采区避灾路线上应当</w:t>
      </w:r>
      <w:r>
        <w:t>设置压风管</w:t>
      </w:r>
      <w:r>
        <w:rPr>
          <w:w w:val="95"/>
        </w:rPr>
        <w:t>路</w:t>
      </w:r>
      <w:r>
        <w:rPr>
          <w:rFonts w:hint="eastAsia" w:ascii="MS UI Gothic" w:eastAsia="MS UI Gothic"/>
          <w:w w:val="90"/>
        </w:rPr>
        <w:t xml:space="preserve">ꎬ </w:t>
      </w:r>
      <w:r>
        <w:t>主管路直径不小</w:t>
      </w:r>
      <w:r>
        <w:rPr>
          <w:w w:val="95"/>
        </w:rPr>
        <w:t>于</w:t>
      </w:r>
      <w:r>
        <w:rPr>
          <w:rFonts w:hint="eastAsia" w:ascii="MS UI Gothic" w:eastAsia="MS UI Gothic"/>
          <w:w w:val="95"/>
        </w:rPr>
        <w:t>１００ ｍｍ</w:t>
      </w:r>
      <w:r>
        <w:rPr>
          <w:rFonts w:hint="eastAsia" w:ascii="MS UI Gothic" w:eastAsia="MS UI Gothic"/>
          <w:w w:val="90"/>
        </w:rPr>
        <w:t xml:space="preserve">ꎬ </w:t>
      </w:r>
      <w:r>
        <w:rPr>
          <w:w w:val="95"/>
        </w:rPr>
        <w:t>采</w:t>
      </w:r>
      <w:r>
        <w:t>掘工作面管路直径不小</w:t>
      </w:r>
      <w:r>
        <w:rPr>
          <w:w w:val="95"/>
        </w:rPr>
        <w:t>于</w:t>
      </w:r>
    </w:p>
    <w:p>
      <w:pPr>
        <w:pStyle w:val="6"/>
        <w:spacing w:line="295" w:lineRule="auto"/>
        <w:ind w:left="440" w:right="1" w:hanging="6"/>
        <w:rPr>
          <w:rFonts w:hint="eastAsia" w:ascii="MS UI Gothic" w:eastAsia="MS UI Gothic"/>
        </w:rPr>
      </w:pPr>
      <w:r>
        <w:rPr>
          <w:rFonts w:hint="eastAsia" w:ascii="MS UI Gothic" w:eastAsia="MS UI Gothic"/>
          <w:w w:val="95"/>
        </w:rPr>
        <w:t>５０ ｍｍ</w:t>
      </w:r>
      <w:r>
        <w:rPr>
          <w:rFonts w:hint="eastAsia" w:ascii="MS UI Gothic" w:eastAsia="MS UI Gothic"/>
          <w:w w:val="90"/>
        </w:rPr>
        <w:t xml:space="preserve">ꎬ </w:t>
      </w:r>
      <w:r>
        <w:rPr>
          <w:w w:val="95"/>
        </w:rPr>
        <w:t xml:space="preserve">压风管路上设置的供气阀门间隔不大于 </w:t>
      </w:r>
      <w:r>
        <w:rPr>
          <w:rFonts w:hint="eastAsia" w:ascii="MS UI Gothic" w:eastAsia="MS UI Gothic"/>
          <w:w w:val="95"/>
        </w:rPr>
        <w:t>２００ ｍ</w:t>
      </w:r>
      <w:r>
        <w:rPr>
          <w:rFonts w:hint="eastAsia" w:ascii="MS UI Gothic" w:eastAsia="MS UI Gothic"/>
          <w:w w:val="90"/>
        </w:rPr>
        <w:t xml:space="preserve">ꎮ </w:t>
      </w:r>
      <w:r>
        <w:rPr>
          <w:w w:val="95"/>
        </w:rPr>
        <w:t>水文地质条件复杂和极复杂的矿井</w:t>
      </w:r>
      <w:r>
        <w:rPr>
          <w:rFonts w:hint="eastAsia" w:ascii="MS UI Gothic" w:eastAsia="MS UI Gothic"/>
          <w:w w:val="90"/>
        </w:rPr>
        <w:t xml:space="preserve">ꎬ </w:t>
      </w:r>
      <w:r>
        <w:rPr>
          <w:w w:val="95"/>
        </w:rPr>
        <w:t>应当在各水平</w:t>
      </w:r>
      <w:r>
        <w:rPr>
          <w:rFonts w:hint="eastAsia" w:ascii="MS UI Gothic" w:eastAsia="MS UI Gothic"/>
          <w:w w:val="95"/>
        </w:rPr>
        <w:t xml:space="preserve">、  </w:t>
      </w:r>
      <w:r>
        <w:rPr>
          <w:w w:val="95"/>
        </w:rPr>
        <w:t>采区和上山巷道</w:t>
      </w:r>
      <w:r>
        <w:t>最高处敷设压风管</w:t>
      </w:r>
      <w:r>
        <w:rPr>
          <w:w w:val="95"/>
        </w:rPr>
        <w:t>路</w:t>
      </w:r>
      <w:r>
        <w:rPr>
          <w:rFonts w:hint="eastAsia" w:ascii="MS UI Gothic" w:eastAsia="MS UI Gothic"/>
          <w:w w:val="90"/>
        </w:rPr>
        <w:t xml:space="preserve">ꎬ </w:t>
      </w:r>
      <w:r>
        <w:t>并设置供</w:t>
      </w:r>
      <w:r>
        <w:rPr>
          <w:w w:val="95"/>
        </w:rPr>
        <w:t>气阀门</w:t>
      </w:r>
      <w:r>
        <w:rPr>
          <w:rFonts w:hint="eastAsia" w:ascii="MS UI Gothic" w:eastAsia="MS UI Gothic"/>
          <w:w w:val="90"/>
        </w:rPr>
        <w:t>ꎮ</w:t>
      </w:r>
    </w:p>
    <w:p>
      <w:pPr>
        <w:pStyle w:val="6"/>
        <w:spacing w:line="295" w:lineRule="auto"/>
        <w:ind w:left="440"/>
        <w:jc w:val="left"/>
        <w:rPr>
          <w:rFonts w:hint="eastAsia" w:ascii="MS UI Gothic" w:eastAsia="MS UI Gothic"/>
        </w:rPr>
      </w:pPr>
      <w:r>
        <w:t>采区避灾路线上应当敷设供水管路</w:t>
      </w:r>
      <w:r>
        <w:rPr>
          <w:rFonts w:hint="eastAsia" w:ascii="MS UI Gothic" w:eastAsia="MS UI Gothic"/>
          <w:w w:val="80"/>
        </w:rPr>
        <w:t>ꎬ</w:t>
      </w:r>
      <w:r>
        <w:t>在供气阀门附近安装供水阀门</w:t>
      </w:r>
      <w:r>
        <w:rPr>
          <w:rFonts w:hint="eastAsia" w:ascii="MS UI Gothic" w:eastAsia="MS UI Gothic"/>
          <w:w w:val="80"/>
        </w:rPr>
        <w:t>ꎮ</w:t>
      </w:r>
    </w:p>
    <w:p>
      <w:pPr>
        <w:pStyle w:val="6"/>
        <w:spacing w:line="295" w:lineRule="auto"/>
        <w:ind w:left="440" w:right="1"/>
        <w:rPr>
          <w:rFonts w:hint="eastAsia" w:ascii="MS UI Gothic" w:eastAsia="MS UI Gothic"/>
        </w:rPr>
      </w:pPr>
      <w:r>
        <w:t>第六百八十八条 突出矿井</w:t>
      </w:r>
      <w:r>
        <w:rPr>
          <w:rFonts w:hint="eastAsia" w:ascii="MS UI Gothic" w:eastAsia="MS UI Gothic"/>
          <w:w w:val="80"/>
        </w:rPr>
        <w:t xml:space="preserve">ꎬ </w:t>
      </w:r>
      <w:r>
        <w:t xml:space="preserve">以及发生险情或者事故时井下人员依靠自救器或者 </w:t>
      </w:r>
      <w:r>
        <w:rPr>
          <w:rFonts w:hint="eastAsia" w:ascii="MS UI Gothic" w:eastAsia="MS UI Gothic"/>
          <w:w w:val="80"/>
        </w:rPr>
        <w:t xml:space="preserve">１ </w:t>
      </w:r>
      <w:r>
        <w:t>次自救器接力不能安全撤至地面的矿井</w:t>
      </w:r>
      <w:r>
        <w:rPr>
          <w:rFonts w:hint="eastAsia" w:ascii="MS UI Gothic" w:eastAsia="MS UI Gothic"/>
          <w:w w:val="80"/>
        </w:rPr>
        <w:t xml:space="preserve">ꎬ </w:t>
      </w:r>
      <w:r>
        <w:t>应当建设井下紧急避险设施</w:t>
      </w:r>
      <w:r>
        <w:rPr>
          <w:rFonts w:hint="eastAsia" w:ascii="MS UI Gothic" w:eastAsia="MS UI Gothic"/>
          <w:w w:val="80"/>
        </w:rPr>
        <w:t xml:space="preserve">ꎮ  </w:t>
      </w:r>
      <w:r>
        <w:t>紧急避险设施的布局</w:t>
      </w:r>
      <w:r>
        <w:rPr>
          <w:rFonts w:hint="eastAsia" w:ascii="MS UI Gothic" w:eastAsia="MS UI Gothic"/>
          <w:w w:val="80"/>
        </w:rPr>
        <w:t xml:space="preserve">、 </w:t>
      </w:r>
      <w:r>
        <w:t>类型</w:t>
      </w:r>
      <w:r>
        <w:rPr>
          <w:rFonts w:hint="eastAsia" w:ascii="MS UI Gothic" w:eastAsia="MS UI Gothic"/>
          <w:w w:val="80"/>
        </w:rPr>
        <w:t xml:space="preserve">、 </w:t>
      </w:r>
      <w:r>
        <w:t>技术性能等具体设计</w:t>
      </w:r>
      <w:r>
        <w:rPr>
          <w:rFonts w:hint="eastAsia" w:ascii="MS UI Gothic" w:eastAsia="MS UI Gothic"/>
          <w:w w:val="80"/>
        </w:rPr>
        <w:t xml:space="preserve">ꎬ </w:t>
      </w:r>
      <w:r>
        <w:t>应当经矿总工程师审批</w:t>
      </w:r>
      <w:r>
        <w:rPr>
          <w:rFonts w:hint="eastAsia" w:ascii="MS UI Gothic" w:eastAsia="MS UI Gothic"/>
          <w:w w:val="80"/>
        </w:rPr>
        <w:t>ꎮ</w:t>
      </w:r>
    </w:p>
    <w:p>
      <w:pPr>
        <w:pStyle w:val="6"/>
        <w:spacing w:line="295" w:lineRule="auto"/>
        <w:ind w:left="440" w:right="1"/>
        <w:rPr>
          <w:rFonts w:hint="eastAsia" w:ascii="MS UI Gothic" w:eastAsia="MS UI Gothic"/>
        </w:rPr>
      </w:pPr>
      <w:r>
        <w:t>紧急避险设施应当设置在避灾路线上</w:t>
      </w:r>
      <w:r>
        <w:rPr>
          <w:rFonts w:hint="eastAsia" w:ascii="MS UI Gothic" w:eastAsia="MS UI Gothic"/>
          <w:w w:val="80"/>
        </w:rPr>
        <w:t xml:space="preserve">ꎬ </w:t>
      </w:r>
      <w:r>
        <w:t>并有醒目标识</w:t>
      </w:r>
      <w:r>
        <w:rPr>
          <w:rFonts w:hint="eastAsia" w:ascii="MS UI Gothic" w:eastAsia="MS UI Gothic"/>
          <w:w w:val="80"/>
        </w:rPr>
        <w:t xml:space="preserve">ꎮ </w:t>
      </w:r>
      <w:r>
        <w:t>矿井避灾路线图中应当明确标注紧急避险设施的位置</w:t>
      </w:r>
      <w:r>
        <w:rPr>
          <w:rFonts w:hint="eastAsia" w:ascii="MS UI Gothic" w:eastAsia="MS UI Gothic"/>
          <w:w w:val="80"/>
        </w:rPr>
        <w:t xml:space="preserve">、 </w:t>
      </w:r>
      <w:r>
        <w:t>规格和种类</w:t>
      </w:r>
      <w:r>
        <w:rPr>
          <w:rFonts w:hint="eastAsia" w:ascii="MS UI Gothic" w:eastAsia="MS UI Gothic"/>
          <w:w w:val="80"/>
        </w:rPr>
        <w:t xml:space="preserve">ꎬ </w:t>
      </w:r>
      <w:r>
        <w:t>井巷中应当有紧急避险设施方位指示</w:t>
      </w:r>
      <w:r>
        <w:rPr>
          <w:rFonts w:hint="eastAsia" w:ascii="MS UI Gothic" w:eastAsia="MS UI Gothic"/>
          <w:w w:val="80"/>
        </w:rPr>
        <w:t>ꎮ</w:t>
      </w:r>
    </w:p>
    <w:p>
      <w:pPr>
        <w:pStyle w:val="6"/>
        <w:spacing w:line="295" w:lineRule="auto"/>
        <w:ind w:left="440" w:right="1"/>
        <w:rPr>
          <w:rFonts w:hint="eastAsia" w:ascii="MS UI Gothic" w:eastAsia="MS UI Gothic"/>
        </w:rPr>
      </w:pPr>
      <w:r>
        <w:t>第六百八十九条 突出矿井必须建设采区避难硐室</w:t>
      </w:r>
      <w:r>
        <w:rPr>
          <w:rFonts w:hint="eastAsia" w:ascii="MS UI Gothic" w:eastAsia="MS UI Gothic"/>
          <w:w w:val="85"/>
        </w:rPr>
        <w:t xml:space="preserve">ꎬ </w:t>
      </w:r>
      <w:r>
        <w:t>采区避难硐室必须接入矿井压风管路和供水管路</w:t>
      </w:r>
      <w:r>
        <w:rPr>
          <w:rFonts w:hint="eastAsia" w:ascii="MS UI Gothic" w:eastAsia="MS UI Gothic"/>
          <w:w w:val="85"/>
        </w:rPr>
        <w:t xml:space="preserve">ꎬ </w:t>
      </w:r>
      <w:r>
        <w:t>满足避险人员的避险需要</w:t>
      </w:r>
      <w:r>
        <w:rPr>
          <w:rFonts w:hint="eastAsia" w:ascii="MS UI Gothic" w:eastAsia="MS UI Gothic"/>
          <w:w w:val="85"/>
        </w:rPr>
        <w:t xml:space="preserve">ꎬ </w:t>
      </w:r>
      <w:r>
        <w:t xml:space="preserve">额定防护时间不低于 </w:t>
      </w:r>
      <w:r>
        <w:rPr>
          <w:rFonts w:hint="eastAsia" w:ascii="MS UI Gothic" w:eastAsia="MS UI Gothic"/>
          <w:w w:val="85"/>
        </w:rPr>
        <w:t>９６ ｈꎮ</w:t>
      </w:r>
    </w:p>
    <w:p>
      <w:pPr>
        <w:pStyle w:val="6"/>
        <w:spacing w:line="295" w:lineRule="auto"/>
        <w:ind w:left="440" w:right="1"/>
      </w:pPr>
      <w:r>
        <w:rPr>
          <w:spacing w:val="2"/>
          <w:w w:val="95"/>
        </w:rPr>
        <w:t xml:space="preserve">突出煤层的掘进巷道长度及采煤工作 </w:t>
      </w:r>
      <w:r>
        <w:rPr>
          <w:spacing w:val="-4"/>
          <w:w w:val="95"/>
        </w:rPr>
        <w:t xml:space="preserve">面推进长度超过 </w:t>
      </w:r>
      <w:r>
        <w:rPr>
          <w:rFonts w:hint="eastAsia" w:ascii="MS UI Gothic" w:eastAsia="MS UI Gothic"/>
          <w:spacing w:val="5"/>
          <w:w w:val="95"/>
        </w:rPr>
        <w:t xml:space="preserve">５００ </w:t>
      </w:r>
      <w:r>
        <w:rPr>
          <w:rFonts w:hint="eastAsia" w:ascii="MS UI Gothic" w:eastAsia="MS UI Gothic"/>
          <w:w w:val="95"/>
        </w:rPr>
        <w:t>ｍ</w:t>
      </w:r>
      <w:r>
        <w:rPr>
          <w:rFonts w:hint="eastAsia" w:ascii="MS UI Gothic" w:eastAsia="MS UI Gothic"/>
          <w:spacing w:val="6"/>
          <w:w w:val="95"/>
        </w:rPr>
        <w:t xml:space="preserve"> </w:t>
      </w:r>
      <w:r>
        <w:rPr>
          <w:spacing w:val="3"/>
          <w:w w:val="95"/>
        </w:rPr>
        <w:t>时</w:t>
      </w:r>
      <w:r>
        <w:rPr>
          <w:rFonts w:hint="eastAsia" w:ascii="MS UI Gothic" w:eastAsia="MS UI Gothic"/>
          <w:spacing w:val="3"/>
          <w:w w:val="90"/>
        </w:rPr>
        <w:t xml:space="preserve">ꎬ </w:t>
      </w:r>
      <w:r>
        <w:rPr>
          <w:spacing w:val="2"/>
          <w:w w:val="95"/>
        </w:rPr>
        <w:t>应当在距离工</w:t>
      </w:r>
      <w:r>
        <w:rPr>
          <w:spacing w:val="-8"/>
          <w:w w:val="95"/>
        </w:rPr>
        <w:t xml:space="preserve">作面 </w:t>
      </w:r>
      <w:r>
        <w:rPr>
          <w:rFonts w:hint="eastAsia" w:ascii="MS UI Gothic" w:eastAsia="MS UI Gothic"/>
          <w:spacing w:val="13"/>
          <w:w w:val="95"/>
        </w:rPr>
        <w:t xml:space="preserve">５００ </w:t>
      </w:r>
      <w:r>
        <w:rPr>
          <w:rFonts w:hint="eastAsia" w:ascii="MS UI Gothic" w:eastAsia="MS UI Gothic"/>
          <w:w w:val="95"/>
        </w:rPr>
        <w:t>ｍ</w:t>
      </w:r>
      <w:r>
        <w:rPr>
          <w:rFonts w:hint="eastAsia" w:ascii="MS UI Gothic" w:eastAsia="MS UI Gothic"/>
          <w:spacing w:val="51"/>
          <w:w w:val="95"/>
        </w:rPr>
        <w:t xml:space="preserve"> </w:t>
      </w:r>
      <w:r>
        <w:rPr>
          <w:spacing w:val="2"/>
          <w:w w:val="95"/>
        </w:rPr>
        <w:t>范围内建设临时避难硐室或者</w:t>
      </w:r>
      <w:r>
        <w:rPr>
          <w:spacing w:val="3"/>
          <w:w w:val="95"/>
        </w:rPr>
        <w:t>其他临时避险设施</w:t>
      </w:r>
      <w:r>
        <w:rPr>
          <w:rFonts w:hint="eastAsia" w:ascii="MS UI Gothic" w:eastAsia="MS UI Gothic"/>
          <w:spacing w:val="16"/>
          <w:w w:val="90"/>
        </w:rPr>
        <w:t xml:space="preserve">ꎮ  </w:t>
      </w:r>
      <w:r>
        <w:rPr>
          <w:spacing w:val="2"/>
          <w:w w:val="95"/>
        </w:rPr>
        <w:t>临时避难硐室必须设</w:t>
      </w:r>
      <w:r>
        <w:rPr>
          <w:spacing w:val="12"/>
          <w:w w:val="95"/>
        </w:rPr>
        <w:t>置向外开启的密闭门</w:t>
      </w:r>
      <w:r>
        <w:rPr>
          <w:rFonts w:hint="eastAsia" w:ascii="MS UI Gothic" w:eastAsia="MS UI Gothic"/>
          <w:spacing w:val="15"/>
          <w:w w:val="90"/>
        </w:rPr>
        <w:t xml:space="preserve">ꎬ  </w:t>
      </w:r>
      <w:r>
        <w:rPr>
          <w:spacing w:val="14"/>
          <w:w w:val="95"/>
        </w:rPr>
        <w:t>接入矿井压风管</w:t>
      </w:r>
      <w:r>
        <w:rPr>
          <w:spacing w:val="3"/>
          <w:w w:val="95"/>
        </w:rPr>
        <w:t>路</w:t>
      </w:r>
      <w:r>
        <w:rPr>
          <w:rFonts w:hint="eastAsia" w:ascii="MS UI Gothic" w:eastAsia="MS UI Gothic"/>
          <w:spacing w:val="20"/>
          <w:w w:val="90"/>
        </w:rPr>
        <w:t xml:space="preserve">ꎬ </w:t>
      </w:r>
      <w:r>
        <w:rPr>
          <w:spacing w:val="3"/>
          <w:w w:val="95"/>
        </w:rPr>
        <w:t>设置与矿调度室直通的电话</w:t>
      </w:r>
      <w:r>
        <w:rPr>
          <w:rFonts w:hint="eastAsia" w:ascii="MS UI Gothic" w:eastAsia="MS UI Gothic"/>
          <w:spacing w:val="20"/>
          <w:w w:val="90"/>
        </w:rPr>
        <w:t xml:space="preserve">ꎬ </w:t>
      </w:r>
      <w:r>
        <w:rPr>
          <w:spacing w:val="2"/>
          <w:w w:val="95"/>
        </w:rPr>
        <w:t>配备足</w:t>
      </w:r>
    </w:p>
    <w:p>
      <w:pPr>
        <w:pStyle w:val="6"/>
        <w:spacing w:before="124"/>
        <w:ind w:left="381" w:firstLine="0"/>
        <w:jc w:val="left"/>
        <w:rPr>
          <w:rFonts w:hint="eastAsia" w:ascii="MS UI Gothic" w:eastAsia="MS UI Gothic"/>
        </w:rPr>
      </w:pPr>
      <w:r>
        <w:br w:type="column"/>
      </w:r>
      <w:r>
        <w:t>量的饮用水及自救器</w:t>
      </w:r>
      <w:r>
        <w:rPr>
          <w:rFonts w:hint="eastAsia" w:ascii="MS UI Gothic" w:eastAsia="MS UI Gothic"/>
          <w:w w:val="80"/>
        </w:rPr>
        <w:t>ꎮ</w:t>
      </w:r>
    </w:p>
    <w:p>
      <w:pPr>
        <w:pStyle w:val="6"/>
        <w:spacing w:before="58" w:line="295" w:lineRule="auto"/>
        <w:ind w:left="375" w:right="126" w:firstLine="425"/>
        <w:rPr>
          <w:rFonts w:hint="eastAsia" w:ascii="MS UI Gothic" w:eastAsia="MS UI Gothic"/>
        </w:rPr>
      </w:pPr>
      <w:r>
        <w:rPr>
          <w:spacing w:val="2"/>
          <w:w w:val="95"/>
        </w:rPr>
        <w:t>第六百九十条   其他矿井应当建设采</w:t>
      </w:r>
      <w:r>
        <w:rPr>
          <w:spacing w:val="23"/>
          <w:w w:val="95"/>
        </w:rPr>
        <w:t>区避难硐室</w:t>
      </w:r>
      <w:r>
        <w:rPr>
          <w:rFonts w:hint="eastAsia" w:ascii="MS UI Gothic" w:eastAsia="MS UI Gothic"/>
          <w:spacing w:val="17"/>
          <w:w w:val="90"/>
        </w:rPr>
        <w:t xml:space="preserve">ꎬ </w:t>
      </w:r>
      <w:r>
        <w:rPr>
          <w:spacing w:val="30"/>
          <w:w w:val="95"/>
        </w:rPr>
        <w:t>或者在距离采掘工作面</w:t>
      </w:r>
      <w:r>
        <w:rPr>
          <w:rFonts w:hint="eastAsia" w:ascii="MS UI Gothic" w:eastAsia="MS UI Gothic"/>
          <w:spacing w:val="34"/>
          <w:w w:val="95"/>
        </w:rPr>
        <w:t xml:space="preserve">１０００ </w:t>
      </w:r>
      <w:r>
        <w:rPr>
          <w:rFonts w:hint="eastAsia" w:ascii="MS UI Gothic" w:eastAsia="MS UI Gothic"/>
          <w:w w:val="95"/>
        </w:rPr>
        <w:t>ｍ</w:t>
      </w:r>
      <w:r>
        <w:rPr>
          <w:rFonts w:hint="eastAsia" w:ascii="MS UI Gothic" w:eastAsia="MS UI Gothic"/>
          <w:spacing w:val="51"/>
          <w:w w:val="95"/>
        </w:rPr>
        <w:t xml:space="preserve"> </w:t>
      </w:r>
      <w:r>
        <w:rPr>
          <w:spacing w:val="10"/>
          <w:w w:val="95"/>
        </w:rPr>
        <w:t>范围内建设临时避难硐室或者其</w:t>
      </w:r>
      <w:r>
        <w:rPr>
          <w:spacing w:val="3"/>
          <w:w w:val="95"/>
        </w:rPr>
        <w:t>他临时避险设施</w:t>
      </w:r>
      <w:r>
        <w:rPr>
          <w:rFonts w:hint="eastAsia" w:ascii="MS UI Gothic" w:eastAsia="MS UI Gothic"/>
          <w:w w:val="90"/>
        </w:rPr>
        <w:t>ꎮ</w:t>
      </w:r>
    </w:p>
    <w:p>
      <w:pPr>
        <w:pStyle w:val="6"/>
        <w:spacing w:line="292" w:lineRule="auto"/>
        <w:ind w:left="381" w:right="126"/>
        <w:rPr>
          <w:rFonts w:hint="eastAsia" w:ascii="MS UI Gothic" w:eastAsia="MS UI Gothic"/>
        </w:rPr>
      </w:pPr>
      <w:r>
        <w:rPr>
          <w:spacing w:val="4"/>
        </w:rPr>
        <w:t>第六百九十一条 突出与冲击地压煤</w:t>
      </w:r>
      <w:r>
        <w:rPr>
          <w:spacing w:val="3"/>
        </w:rPr>
        <w:t>层</w:t>
      </w:r>
      <w:r>
        <w:rPr>
          <w:rFonts w:hint="eastAsia" w:ascii="MS UI Gothic" w:eastAsia="MS UI Gothic"/>
          <w:spacing w:val="13"/>
          <w:w w:val="75"/>
        </w:rPr>
        <w:t xml:space="preserve">ꎬ </w:t>
      </w:r>
      <w:r>
        <w:t xml:space="preserve">应当在距采掘工作面 </w:t>
      </w:r>
      <w:r>
        <w:rPr>
          <w:rFonts w:hint="eastAsia" w:ascii="MS UI Gothic" w:eastAsia="MS UI Gothic"/>
          <w:spacing w:val="-12"/>
        </w:rPr>
        <w:t xml:space="preserve">２５ </w:t>
      </w:r>
      <w:r>
        <w:rPr>
          <w:rFonts w:hint="eastAsia" w:ascii="MS UI Gothic" w:eastAsia="MS UI Gothic"/>
          <w:w w:val="115"/>
        </w:rPr>
        <w:t>~</w:t>
      </w:r>
      <w:r>
        <w:rPr>
          <w:rFonts w:hint="eastAsia" w:ascii="MS UI Gothic" w:eastAsia="MS UI Gothic"/>
          <w:spacing w:val="-43"/>
          <w:w w:val="115"/>
        </w:rPr>
        <w:t xml:space="preserve"> </w:t>
      </w:r>
      <w:r>
        <w:rPr>
          <w:rFonts w:hint="eastAsia" w:ascii="MS UI Gothic" w:eastAsia="MS UI Gothic"/>
        </w:rPr>
        <w:t xml:space="preserve">４０ ｍ </w:t>
      </w:r>
      <w:r>
        <w:rPr>
          <w:spacing w:val="6"/>
        </w:rPr>
        <w:t>的巷</w:t>
      </w:r>
      <w:r>
        <w:rPr>
          <w:spacing w:val="3"/>
        </w:rPr>
        <w:t>道内</w:t>
      </w:r>
      <w:r>
        <w:rPr>
          <w:rFonts w:hint="eastAsia" w:ascii="MS UI Gothic" w:eastAsia="MS UI Gothic"/>
          <w:spacing w:val="29"/>
        </w:rPr>
        <w:t xml:space="preserve">、 </w:t>
      </w:r>
      <w:r>
        <w:rPr>
          <w:spacing w:val="3"/>
        </w:rPr>
        <w:t>爆破地点</w:t>
      </w:r>
      <w:r>
        <w:rPr>
          <w:rFonts w:hint="eastAsia" w:ascii="MS UI Gothic" w:eastAsia="MS UI Gothic"/>
          <w:spacing w:val="29"/>
        </w:rPr>
        <w:t xml:space="preserve">、 </w:t>
      </w:r>
      <w:r>
        <w:rPr>
          <w:spacing w:val="2"/>
        </w:rPr>
        <w:t>撤离人员与警戒人员所</w:t>
      </w:r>
      <w:r>
        <w:rPr>
          <w:spacing w:val="3"/>
        </w:rPr>
        <w:t>在位置</w:t>
      </w:r>
      <w:r>
        <w:rPr>
          <w:rFonts w:hint="eastAsia" w:ascii="MS UI Gothic" w:eastAsia="MS UI Gothic"/>
          <w:spacing w:val="25"/>
        </w:rPr>
        <w:t xml:space="preserve">、 </w:t>
      </w:r>
      <w:r>
        <w:rPr>
          <w:spacing w:val="3"/>
        </w:rPr>
        <w:t>回风巷有人作业处等地点</w:t>
      </w:r>
      <w:r>
        <w:rPr>
          <w:rFonts w:hint="eastAsia" w:ascii="MS UI Gothic" w:eastAsia="MS UI Gothic"/>
          <w:spacing w:val="10"/>
          <w:w w:val="75"/>
        </w:rPr>
        <w:t xml:space="preserve">ꎬ </w:t>
      </w:r>
      <w:r>
        <w:rPr>
          <w:spacing w:val="1"/>
        </w:rPr>
        <w:t>至少</w:t>
      </w:r>
      <w:r>
        <w:rPr>
          <w:spacing w:val="-16"/>
        </w:rPr>
        <w:t xml:space="preserve">设置 </w:t>
      </w:r>
      <w:r>
        <w:rPr>
          <w:rFonts w:hint="eastAsia" w:ascii="MS UI Gothic" w:eastAsia="MS UI Gothic"/>
        </w:rPr>
        <w:t xml:space="preserve">１ </w:t>
      </w:r>
      <w:r>
        <w:rPr>
          <w:spacing w:val="3"/>
        </w:rPr>
        <w:t>组压风自救装置</w:t>
      </w:r>
      <w:r>
        <w:rPr>
          <w:rFonts w:hint="eastAsia" w:ascii="MS UI Gothic" w:eastAsia="MS UI Gothic"/>
          <w:spacing w:val="9"/>
          <w:w w:val="75"/>
        </w:rPr>
        <w:t xml:space="preserve">ꎻ </w:t>
      </w:r>
      <w:r>
        <w:rPr>
          <w:spacing w:val="2"/>
        </w:rPr>
        <w:t>在长距离的掘进</w:t>
      </w:r>
      <w:r>
        <w:rPr>
          <w:spacing w:val="3"/>
        </w:rPr>
        <w:t>巷道中</w:t>
      </w:r>
      <w:r>
        <w:rPr>
          <w:rFonts w:hint="eastAsia" w:ascii="MS UI Gothic" w:eastAsia="MS UI Gothic"/>
          <w:spacing w:val="4"/>
          <w:w w:val="75"/>
        </w:rPr>
        <w:t xml:space="preserve">ꎬ </w:t>
      </w:r>
      <w:r>
        <w:rPr>
          <w:spacing w:val="2"/>
        </w:rPr>
        <w:t>应当根据实际情况增加压风自救</w:t>
      </w:r>
      <w:r>
        <w:rPr>
          <w:spacing w:val="3"/>
        </w:rPr>
        <w:t>装置的设置组数</w:t>
      </w:r>
      <w:r>
        <w:rPr>
          <w:rFonts w:hint="eastAsia" w:ascii="MS UI Gothic" w:eastAsia="MS UI Gothic"/>
          <w:spacing w:val="4"/>
          <w:w w:val="75"/>
        </w:rPr>
        <w:t xml:space="preserve">ꎮ </w:t>
      </w:r>
      <w:r>
        <w:rPr>
          <w:spacing w:val="2"/>
        </w:rPr>
        <w:t>每组压风自救装置应当</w:t>
      </w:r>
      <w:r>
        <w:rPr>
          <w:spacing w:val="-17"/>
        </w:rPr>
        <w:t xml:space="preserve">可供 </w:t>
      </w:r>
      <w:r>
        <w:rPr>
          <w:rFonts w:hint="eastAsia" w:ascii="MS UI Gothic" w:eastAsia="MS UI Gothic"/>
          <w:spacing w:val="-18"/>
        </w:rPr>
        <w:t xml:space="preserve">５ </w:t>
      </w:r>
      <w:r>
        <w:rPr>
          <w:rFonts w:hint="eastAsia" w:ascii="MS UI Gothic" w:eastAsia="MS UI Gothic"/>
          <w:w w:val="115"/>
        </w:rPr>
        <w:t>~</w:t>
      </w:r>
      <w:r>
        <w:rPr>
          <w:rFonts w:hint="eastAsia" w:ascii="MS UI Gothic" w:eastAsia="MS UI Gothic"/>
          <w:spacing w:val="-34"/>
          <w:w w:val="115"/>
        </w:rPr>
        <w:t xml:space="preserve"> </w:t>
      </w:r>
      <w:r>
        <w:rPr>
          <w:rFonts w:hint="eastAsia" w:ascii="MS UI Gothic" w:eastAsia="MS UI Gothic"/>
          <w:spacing w:val="4"/>
        </w:rPr>
        <w:t xml:space="preserve">８ </w:t>
      </w:r>
      <w:r>
        <w:rPr>
          <w:spacing w:val="11"/>
        </w:rPr>
        <w:t>人使用</w:t>
      </w:r>
      <w:r>
        <w:rPr>
          <w:rFonts w:hint="eastAsia" w:ascii="MS UI Gothic" w:eastAsia="MS UI Gothic"/>
          <w:spacing w:val="8"/>
          <w:w w:val="75"/>
        </w:rPr>
        <w:t xml:space="preserve">ꎬ </w:t>
      </w:r>
      <w:r>
        <w:rPr>
          <w:spacing w:val="13"/>
        </w:rPr>
        <w:t>平均每人空气供给量</w:t>
      </w:r>
      <w:r>
        <w:rPr>
          <w:spacing w:val="-10"/>
        </w:rPr>
        <w:t xml:space="preserve">不得少于 </w:t>
      </w:r>
      <w:r>
        <w:rPr>
          <w:rFonts w:hint="eastAsia" w:ascii="MS UI Gothic" w:eastAsia="MS UI Gothic"/>
        </w:rPr>
        <w:t>０</w:t>
      </w:r>
      <w:r>
        <w:rPr>
          <w:rFonts w:hint="eastAsia" w:ascii="MS UI Gothic" w:eastAsia="MS UI Gothic"/>
          <w:spacing w:val="-4"/>
        </w:rPr>
        <w:t xml:space="preserve"> １ </w:t>
      </w:r>
      <w:r>
        <w:rPr>
          <w:rFonts w:hint="eastAsia" w:ascii="MS UI Gothic" w:eastAsia="MS UI Gothic"/>
          <w:spacing w:val="3"/>
        </w:rPr>
        <w:t>ｍ</w:t>
      </w:r>
      <w:r>
        <w:rPr>
          <w:rFonts w:hint="eastAsia" w:ascii="MS UI Gothic" w:eastAsia="MS UI Gothic"/>
          <w:spacing w:val="2"/>
          <w:position w:val="9"/>
          <w:sz w:val="12"/>
        </w:rPr>
        <w:t xml:space="preserve">３ </w:t>
      </w:r>
      <w:r>
        <w:rPr>
          <w:rFonts w:hint="eastAsia" w:ascii="MS UI Gothic" w:eastAsia="MS UI Gothic"/>
          <w:w w:val="75"/>
        </w:rPr>
        <w:t>/</w:t>
      </w:r>
      <w:r>
        <w:rPr>
          <w:rFonts w:hint="eastAsia" w:ascii="MS UI Gothic" w:eastAsia="MS UI Gothic"/>
          <w:spacing w:val="-6"/>
          <w:w w:val="75"/>
        </w:rPr>
        <w:t xml:space="preserve"> </w:t>
      </w:r>
      <w:r>
        <w:rPr>
          <w:rFonts w:hint="eastAsia" w:ascii="MS UI Gothic" w:eastAsia="MS UI Gothic"/>
        </w:rPr>
        <w:t>ｍｉｎ</w:t>
      </w:r>
      <w:r>
        <w:rPr>
          <w:rFonts w:hint="eastAsia" w:ascii="MS UI Gothic" w:eastAsia="MS UI Gothic"/>
          <w:w w:val="75"/>
        </w:rPr>
        <w:t>ꎮ</w:t>
      </w:r>
    </w:p>
    <w:p>
      <w:pPr>
        <w:pStyle w:val="6"/>
        <w:spacing w:before="3" w:line="295" w:lineRule="auto"/>
        <w:ind w:left="381" w:right="126"/>
        <w:rPr>
          <w:rFonts w:hint="eastAsia" w:ascii="MS UI Gothic" w:eastAsia="MS UI Gothic"/>
        </w:rPr>
      </w:pPr>
      <w:r>
        <w:rPr>
          <w:spacing w:val="2"/>
        </w:rPr>
        <w:t>其他矿井掘进工作面应当敷设压风管</w:t>
      </w:r>
      <w:r>
        <w:rPr>
          <w:spacing w:val="3"/>
        </w:rPr>
        <w:t>路</w:t>
      </w:r>
      <w:r>
        <w:rPr>
          <w:rFonts w:hint="eastAsia" w:ascii="MS UI Gothic" w:eastAsia="MS UI Gothic"/>
          <w:spacing w:val="2"/>
          <w:w w:val="80"/>
        </w:rPr>
        <w:t xml:space="preserve">ꎬ </w:t>
      </w:r>
      <w:r>
        <w:rPr>
          <w:spacing w:val="3"/>
        </w:rPr>
        <w:t>并设置供气阀门</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4"/>
        </w:rPr>
        <w:t>第六百九十二条 煤矿必须对紧急避</w:t>
      </w:r>
      <w:r>
        <w:rPr>
          <w:spacing w:val="5"/>
        </w:rPr>
        <w:t>险设施进行维护和管理</w:t>
      </w:r>
      <w:r>
        <w:rPr>
          <w:rFonts w:hint="eastAsia" w:ascii="MS UI Gothic" w:eastAsia="MS UI Gothic"/>
          <w:w w:val="80"/>
        </w:rPr>
        <w:t xml:space="preserve">ꎬ </w:t>
      </w:r>
      <w:r>
        <w:rPr>
          <w:spacing w:val="-2"/>
        </w:rPr>
        <w:t xml:space="preserve">每天巡检 </w:t>
      </w:r>
      <w:r>
        <w:rPr>
          <w:rFonts w:hint="eastAsia" w:ascii="MS UI Gothic" w:eastAsia="MS UI Gothic"/>
          <w:spacing w:val="5"/>
          <w:w w:val="80"/>
        </w:rPr>
        <w:t xml:space="preserve">１ </w:t>
      </w:r>
      <w:r>
        <w:rPr>
          <w:spacing w:val="3"/>
        </w:rPr>
        <w:t>次</w:t>
      </w:r>
      <w:r>
        <w:rPr>
          <w:rFonts w:hint="eastAsia" w:ascii="MS UI Gothic" w:eastAsia="MS UI Gothic"/>
          <w:w w:val="80"/>
        </w:rPr>
        <w:t>ꎻ</w:t>
      </w:r>
      <w:r>
        <w:rPr>
          <w:spacing w:val="3"/>
        </w:rPr>
        <w:t>建立技术档案及使用维护记录</w:t>
      </w:r>
      <w:r>
        <w:rPr>
          <w:rFonts w:hint="eastAsia" w:ascii="MS UI Gothic" w:eastAsia="MS UI Gothic"/>
          <w:w w:val="80"/>
        </w:rPr>
        <w:t>ꎮ</w:t>
      </w:r>
    </w:p>
    <w:p>
      <w:pPr>
        <w:pStyle w:val="6"/>
        <w:tabs>
          <w:tab w:val="left" w:pos="2162"/>
        </w:tabs>
        <w:spacing w:before="153"/>
        <w:ind w:left="1324" w:firstLine="0"/>
        <w:jc w:val="left"/>
      </w:pPr>
      <w:r>
        <w:rPr>
          <w:spacing w:val="3"/>
          <w:w w:val="105"/>
        </w:rPr>
        <w:t>第三</w:t>
      </w:r>
      <w:r>
        <w:rPr>
          <w:w w:val="105"/>
        </w:rPr>
        <w:t>章</w:t>
      </w:r>
      <w:r>
        <w:rPr>
          <w:w w:val="105"/>
        </w:rPr>
        <w:tab/>
      </w:r>
      <w:r>
        <w:rPr>
          <w:w w:val="105"/>
        </w:rPr>
        <w:t>救</w:t>
      </w:r>
      <w:r>
        <w:rPr>
          <w:spacing w:val="-38"/>
          <w:w w:val="105"/>
        </w:rPr>
        <w:t xml:space="preserve"> </w:t>
      </w:r>
      <w:r>
        <w:rPr>
          <w:w w:val="105"/>
        </w:rPr>
        <w:t>援</w:t>
      </w:r>
      <w:r>
        <w:rPr>
          <w:spacing w:val="-38"/>
          <w:w w:val="105"/>
        </w:rPr>
        <w:t xml:space="preserve"> </w:t>
      </w:r>
      <w:r>
        <w:rPr>
          <w:w w:val="105"/>
        </w:rPr>
        <w:t>队</w:t>
      </w:r>
      <w:r>
        <w:rPr>
          <w:spacing w:val="-38"/>
          <w:w w:val="105"/>
        </w:rPr>
        <w:t xml:space="preserve"> </w:t>
      </w:r>
      <w:r>
        <w:rPr>
          <w:w w:val="105"/>
        </w:rPr>
        <w:t>伍</w:t>
      </w:r>
    </w:p>
    <w:p>
      <w:pPr>
        <w:pStyle w:val="6"/>
        <w:spacing w:before="215" w:line="295" w:lineRule="auto"/>
        <w:ind w:left="381" w:right="126"/>
        <w:rPr>
          <w:rFonts w:hint="eastAsia" w:ascii="MS UI Gothic" w:eastAsia="MS UI Gothic"/>
        </w:rPr>
      </w:pPr>
      <w:r>
        <w:rPr>
          <w:w w:val="105"/>
        </w:rPr>
        <w:t>第六百九十三条 矿山救护队是处理矿山灾害事故的专业应急救援队伍</w:t>
      </w:r>
      <w:r>
        <w:rPr>
          <w:rFonts w:hint="eastAsia" w:ascii="MS UI Gothic" w:eastAsia="MS UI Gothic"/>
          <w:w w:val="80"/>
        </w:rPr>
        <w:t>ꎮ</w:t>
      </w:r>
    </w:p>
    <w:p>
      <w:pPr>
        <w:pStyle w:val="6"/>
        <w:spacing w:line="295" w:lineRule="auto"/>
        <w:ind w:left="381" w:right="126"/>
        <w:rPr>
          <w:rFonts w:hint="eastAsia" w:ascii="MS UI Gothic" w:eastAsia="MS UI Gothic"/>
        </w:rPr>
      </w:pPr>
      <w:r>
        <w:t>矿山救护队必须实行标准化</w:t>
      </w:r>
      <w:r>
        <w:rPr>
          <w:rFonts w:hint="eastAsia" w:ascii="MS UI Gothic" w:eastAsia="MS UI Gothic"/>
          <w:w w:val="85"/>
        </w:rPr>
        <w:t xml:space="preserve">、 </w:t>
      </w:r>
      <w:r>
        <w:t xml:space="preserve">军事化管理和 </w:t>
      </w:r>
      <w:r>
        <w:rPr>
          <w:rFonts w:hint="eastAsia" w:ascii="MS UI Gothic" w:eastAsia="MS UI Gothic"/>
          <w:w w:val="85"/>
        </w:rPr>
        <w:t xml:space="preserve">２４ ｈ </w:t>
      </w:r>
      <w:r>
        <w:t>值班</w:t>
      </w:r>
      <w:r>
        <w:rPr>
          <w:rFonts w:hint="eastAsia" w:ascii="MS UI Gothic" w:eastAsia="MS UI Gothic"/>
          <w:w w:val="85"/>
        </w:rPr>
        <w:t>ꎮ</w:t>
      </w:r>
    </w:p>
    <w:p>
      <w:pPr>
        <w:pStyle w:val="6"/>
        <w:spacing w:line="295" w:lineRule="auto"/>
        <w:ind w:left="381" w:right="126"/>
        <w:rPr>
          <w:rFonts w:hint="eastAsia" w:ascii="MS UI Gothic" w:eastAsia="MS UI Gothic"/>
        </w:rPr>
      </w:pPr>
      <w:r>
        <w:t xml:space="preserve">第六百九十四条 矿山救护大队应当由不少于 </w:t>
      </w:r>
      <w:r>
        <w:rPr>
          <w:rFonts w:hint="eastAsia" w:ascii="MS UI Gothic" w:eastAsia="MS UI Gothic"/>
          <w:w w:val="80"/>
        </w:rPr>
        <w:t xml:space="preserve">２ </w:t>
      </w:r>
      <w:r>
        <w:t>个中队组成</w:t>
      </w:r>
      <w:r>
        <w:rPr>
          <w:rFonts w:hint="eastAsia" w:ascii="MS UI Gothic" w:eastAsia="MS UI Gothic"/>
          <w:w w:val="80"/>
        </w:rPr>
        <w:t xml:space="preserve">ꎬ </w:t>
      </w:r>
      <w:r>
        <w:t xml:space="preserve">矿山救护中队应当由不少于 </w:t>
      </w:r>
      <w:r>
        <w:rPr>
          <w:rFonts w:hint="eastAsia" w:ascii="MS UI Gothic" w:eastAsia="MS UI Gothic"/>
          <w:w w:val="80"/>
        </w:rPr>
        <w:t xml:space="preserve">３ </w:t>
      </w:r>
      <w:r>
        <w:t>个救护小队组成</w:t>
      </w:r>
      <w:r>
        <w:rPr>
          <w:rFonts w:hint="eastAsia" w:ascii="MS UI Gothic" w:eastAsia="MS UI Gothic"/>
          <w:w w:val="80"/>
        </w:rPr>
        <w:t xml:space="preserve">ꎬ </w:t>
      </w:r>
      <w:r>
        <w:t xml:space="preserve">每个救护小队应当由不少于 </w:t>
      </w:r>
      <w:r>
        <w:rPr>
          <w:rFonts w:hint="eastAsia" w:ascii="MS UI Gothic" w:eastAsia="MS UI Gothic"/>
          <w:w w:val="80"/>
        </w:rPr>
        <w:t xml:space="preserve">９ </w:t>
      </w:r>
      <w:r>
        <w:t>人组成</w:t>
      </w:r>
      <w:r>
        <w:rPr>
          <w:rFonts w:hint="eastAsia" w:ascii="MS UI Gothic" w:eastAsia="MS UI Gothic"/>
          <w:w w:val="80"/>
        </w:rPr>
        <w:t>ꎮ</w:t>
      </w:r>
    </w:p>
    <w:p>
      <w:pPr>
        <w:pStyle w:val="6"/>
        <w:spacing w:line="295" w:lineRule="auto"/>
        <w:ind w:left="381" w:right="126"/>
        <w:rPr>
          <w:rFonts w:hint="eastAsia" w:ascii="MS UI Gothic" w:eastAsia="MS UI Gothic"/>
        </w:rPr>
      </w:pPr>
      <w:r>
        <w:t>第六百九十五条 矿山救护队大</w:t>
      </w:r>
      <w:r>
        <w:rPr>
          <w:rFonts w:hint="eastAsia" w:ascii="MS UI Gothic" w:eastAsia="MS UI Gothic"/>
          <w:w w:val="80"/>
        </w:rPr>
        <w:t xml:space="preserve">、 </w:t>
      </w:r>
      <w:r>
        <w:t>中队指挥员应当由熟悉矿山救援业务</w:t>
      </w:r>
      <w:r>
        <w:rPr>
          <w:rFonts w:hint="eastAsia" w:ascii="MS UI Gothic" w:eastAsia="MS UI Gothic"/>
          <w:w w:val="80"/>
        </w:rPr>
        <w:t xml:space="preserve">ꎬ </w:t>
      </w:r>
      <w:r>
        <w:t>具有相应煤矿专业知识</w:t>
      </w:r>
      <w:r>
        <w:rPr>
          <w:rFonts w:hint="eastAsia" w:ascii="MS UI Gothic" w:eastAsia="MS UI Gothic"/>
          <w:w w:val="80"/>
        </w:rPr>
        <w:t xml:space="preserve">ꎬ </w:t>
      </w:r>
      <w:r>
        <w:t>从事煤矿生产</w:t>
      </w:r>
      <w:r>
        <w:rPr>
          <w:rFonts w:hint="eastAsia" w:ascii="MS UI Gothic" w:eastAsia="MS UI Gothic"/>
          <w:w w:val="80"/>
        </w:rPr>
        <w:t xml:space="preserve">、 </w:t>
      </w:r>
      <w:r>
        <w:t>安全</w:t>
      </w:r>
      <w:r>
        <w:rPr>
          <w:rFonts w:hint="eastAsia" w:ascii="MS UI Gothic" w:eastAsia="MS UI Gothic"/>
          <w:w w:val="80"/>
        </w:rPr>
        <w:t xml:space="preserve">、 </w:t>
      </w:r>
      <w:r>
        <w:t xml:space="preserve">技术管理工作 </w:t>
      </w:r>
      <w:r>
        <w:rPr>
          <w:rFonts w:hint="eastAsia" w:ascii="MS UI Gothic" w:eastAsia="MS UI Gothic"/>
          <w:w w:val="80"/>
        </w:rPr>
        <w:t xml:space="preserve">５ </w:t>
      </w:r>
      <w:r>
        <w:t xml:space="preserve">年以上和矿山救援工作 </w:t>
      </w:r>
      <w:r>
        <w:rPr>
          <w:rFonts w:hint="eastAsia" w:ascii="MS UI Gothic" w:eastAsia="MS UI Gothic"/>
          <w:w w:val="80"/>
        </w:rPr>
        <w:t xml:space="preserve">３ </w:t>
      </w:r>
      <w:r>
        <w:t>年以上</w:t>
      </w:r>
      <w:r>
        <w:rPr>
          <w:rFonts w:hint="eastAsia" w:ascii="MS UI Gothic" w:eastAsia="MS UI Gothic"/>
          <w:w w:val="80"/>
        </w:rPr>
        <w:t xml:space="preserve">ꎬ </w:t>
      </w:r>
      <w:r>
        <w:t>并经过培训合格的人员担任</w:t>
      </w:r>
      <w:r>
        <w:rPr>
          <w:rFonts w:hint="eastAsia" w:ascii="MS UI Gothic" w:eastAsia="MS UI Gothic"/>
          <w:w w:val="80"/>
        </w:rPr>
        <w:t>ꎮ</w:t>
      </w:r>
    </w:p>
    <w:p>
      <w:pPr>
        <w:pStyle w:val="6"/>
        <w:spacing w:line="295" w:lineRule="auto"/>
        <w:ind w:left="381" w:right="126"/>
        <w:rPr>
          <w:rFonts w:hint="eastAsia" w:ascii="MS UI Gothic" w:eastAsia="MS UI Gothic"/>
        </w:rPr>
      </w:pPr>
      <w:r>
        <w:t xml:space="preserve">第六百九十六条 矿山救护大队指挥员年龄不应超过 </w:t>
      </w:r>
      <w:r>
        <w:rPr>
          <w:rFonts w:hint="eastAsia" w:ascii="MS UI Gothic" w:eastAsia="MS UI Gothic"/>
          <w:w w:val="80"/>
        </w:rPr>
        <w:t xml:space="preserve">５５ </w:t>
      </w:r>
      <w:r>
        <w:t>岁</w:t>
      </w:r>
      <w:r>
        <w:rPr>
          <w:rFonts w:hint="eastAsia" w:ascii="MS UI Gothic" w:eastAsia="MS UI Gothic"/>
          <w:w w:val="80"/>
        </w:rPr>
        <w:t xml:space="preserve">ꎬ </w:t>
      </w:r>
      <w:r>
        <w:t xml:space="preserve">救护中队指挥员不应超过 </w:t>
      </w:r>
      <w:r>
        <w:rPr>
          <w:rFonts w:hint="eastAsia" w:ascii="MS UI Gothic" w:eastAsia="MS UI Gothic"/>
          <w:w w:val="80"/>
        </w:rPr>
        <w:t xml:space="preserve">５０ </w:t>
      </w:r>
      <w:r>
        <w:t>岁</w:t>
      </w:r>
      <w:r>
        <w:rPr>
          <w:rFonts w:hint="eastAsia" w:ascii="MS UI Gothic" w:eastAsia="MS UI Gothic"/>
          <w:w w:val="80"/>
        </w:rPr>
        <w:t xml:space="preserve">ꎬ </w:t>
      </w:r>
      <w:r>
        <w:t xml:space="preserve">救护队员不应超过 </w:t>
      </w:r>
      <w:r>
        <w:rPr>
          <w:rFonts w:hint="eastAsia" w:ascii="MS UI Gothic" w:eastAsia="MS UI Gothic"/>
          <w:w w:val="80"/>
        </w:rPr>
        <w:t xml:space="preserve">４５ </w:t>
      </w:r>
      <w:r>
        <w:t>岁</w:t>
      </w:r>
      <w:r>
        <w:rPr>
          <w:rFonts w:hint="eastAsia" w:ascii="MS UI Gothic" w:eastAsia="MS UI Gothic"/>
          <w:w w:val="80"/>
        </w:rPr>
        <w:t xml:space="preserve">ꎬ </w:t>
      </w:r>
      <w:r>
        <w:t xml:space="preserve">其中 </w:t>
      </w:r>
      <w:r>
        <w:rPr>
          <w:rFonts w:hint="eastAsia" w:ascii="MS UI Gothic" w:eastAsia="MS UI Gothic"/>
          <w:w w:val="80"/>
        </w:rPr>
        <w:t xml:space="preserve">４０ </w:t>
      </w:r>
      <w:r>
        <w:t xml:space="preserve">岁以下队员应当保持在 </w:t>
      </w:r>
      <w:r>
        <w:rPr>
          <w:rFonts w:hint="eastAsia" w:ascii="MS UI Gothic" w:eastAsia="MS UI Gothic"/>
          <w:w w:val="80"/>
        </w:rPr>
        <w:t xml:space="preserve">２ </w:t>
      </w:r>
      <w:r>
        <w:rPr>
          <w:rFonts w:hint="eastAsia" w:ascii="MS UI Gothic" w:eastAsia="MS UI Gothic"/>
          <w:w w:val="70"/>
        </w:rPr>
        <w:t xml:space="preserve">/ </w:t>
      </w:r>
      <w:r>
        <w:rPr>
          <w:rFonts w:hint="eastAsia" w:ascii="MS UI Gothic" w:eastAsia="MS UI Gothic"/>
          <w:w w:val="80"/>
        </w:rPr>
        <w:t>３</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３４４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45" o:spid="_x0000_s2045" o:spt="203" style="height:2.15pt;width:398.25pt;" coordsize="7965,43">
            <o:lock v:ext="edit"/>
            <v:line id="_x0000_s2046" o:spid="_x0000_s2046" o:spt="20" style="position:absolute;left:0;top:39;height:0;width:7965;" stroked="t" coordsize="21600,21600">
              <v:path arrowok="t"/>
              <v:fill focussize="0,0"/>
              <v:stroke weight="0.388031496062992pt" color="#231F20"/>
              <v:imagedata o:title=""/>
              <o:lock v:ext="edit"/>
            </v:line>
            <v:line id="_x0000_s2047" o:spid="_x0000_s204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以上</w:t>
      </w:r>
      <w:r>
        <w:rPr>
          <w:rFonts w:hint="eastAsia" w:ascii="MS UI Gothic" w:eastAsia="MS UI Gothic"/>
          <w:w w:val="80"/>
        </w:rPr>
        <w:t xml:space="preserve">ꎮ </w:t>
      </w:r>
      <w:r>
        <w:t xml:space="preserve">指战员每年应当进行 </w:t>
      </w:r>
      <w:r>
        <w:rPr>
          <w:rFonts w:hint="eastAsia" w:ascii="MS UI Gothic" w:eastAsia="MS UI Gothic"/>
          <w:w w:val="80"/>
        </w:rPr>
        <w:t xml:space="preserve">１ </w:t>
      </w:r>
      <w:r>
        <w:t>次身体检查</w:t>
      </w:r>
      <w:r>
        <w:rPr>
          <w:rFonts w:hint="eastAsia" w:ascii="MS UI Gothic" w:eastAsia="MS UI Gothic"/>
          <w:w w:val="80"/>
        </w:rPr>
        <w:t xml:space="preserve">ꎬ </w:t>
      </w:r>
      <w:r>
        <w:t>对身体检查不合格或者超龄人员应当及时进行调整</w:t>
      </w:r>
      <w:r>
        <w:rPr>
          <w:rFonts w:hint="eastAsia" w:ascii="MS UI Gothic" w:eastAsia="MS UI Gothic"/>
          <w:w w:val="80"/>
        </w:rPr>
        <w:t>ꎮ</w:t>
      </w:r>
    </w:p>
    <w:p>
      <w:pPr>
        <w:pStyle w:val="6"/>
        <w:spacing w:line="295" w:lineRule="auto"/>
        <w:ind w:right="39"/>
        <w:rPr>
          <w:rFonts w:hint="eastAsia" w:ascii="MS UI Gothic" w:eastAsia="MS UI Gothic"/>
        </w:rPr>
      </w:pPr>
      <w:r>
        <w:t>第六百九十七条 新招收的矿山救护队员</w:t>
      </w:r>
      <w:r>
        <w:rPr>
          <w:rFonts w:hint="eastAsia" w:ascii="MS UI Gothic" w:eastAsia="MS UI Gothic"/>
          <w:w w:val="85"/>
        </w:rPr>
        <w:t xml:space="preserve">ꎬ </w:t>
      </w:r>
      <w:r>
        <w:t>应当具有高中及以上文化程度</w:t>
      </w:r>
      <w:r>
        <w:rPr>
          <w:rFonts w:hint="eastAsia" w:ascii="MS UI Gothic" w:eastAsia="MS UI Gothic"/>
          <w:w w:val="85"/>
        </w:rPr>
        <w:t xml:space="preserve">ꎬ </w:t>
      </w:r>
      <w:r>
        <w:t xml:space="preserve">年龄在 </w:t>
      </w:r>
      <w:r>
        <w:rPr>
          <w:rFonts w:hint="eastAsia" w:ascii="MS UI Gothic" w:eastAsia="MS UI Gothic"/>
          <w:w w:val="85"/>
        </w:rPr>
        <w:t xml:space="preserve">３０ </w:t>
      </w:r>
      <w:r>
        <w:t>周岁以下</w:t>
      </w:r>
      <w:r>
        <w:rPr>
          <w:rFonts w:hint="eastAsia" w:ascii="MS UI Gothic" w:eastAsia="MS UI Gothic"/>
          <w:w w:val="85"/>
        </w:rPr>
        <w:t xml:space="preserve">ꎬ </w:t>
      </w:r>
      <w:r>
        <w:t xml:space="preserve">从事井下工作 </w:t>
      </w:r>
      <w:r>
        <w:rPr>
          <w:rFonts w:hint="eastAsia" w:ascii="MS UI Gothic" w:eastAsia="MS UI Gothic"/>
        </w:rPr>
        <w:t xml:space="preserve">１ </w:t>
      </w:r>
      <w:r>
        <w:t>年以上</w:t>
      </w:r>
      <w:r>
        <w:rPr>
          <w:rFonts w:hint="eastAsia" w:ascii="MS UI Gothic" w:eastAsia="MS UI Gothic"/>
          <w:w w:val="85"/>
        </w:rPr>
        <w:t>ꎮ</w:t>
      </w:r>
    </w:p>
    <w:p>
      <w:pPr>
        <w:pStyle w:val="6"/>
        <w:spacing w:line="295" w:lineRule="auto"/>
        <w:ind w:right="39"/>
        <w:rPr>
          <w:rFonts w:hint="eastAsia" w:ascii="MS UI Gothic" w:eastAsia="MS UI Gothic"/>
        </w:rPr>
      </w:pPr>
      <w:r>
        <w:t xml:space="preserve">新招收的矿山救护队员必须通过 </w:t>
      </w:r>
      <w:r>
        <w:rPr>
          <w:rFonts w:hint="eastAsia" w:ascii="MS UI Gothic" w:eastAsia="MS UI Gothic"/>
          <w:w w:val="80"/>
        </w:rPr>
        <w:t xml:space="preserve">３ </w:t>
      </w:r>
      <w:r>
        <w:t xml:space="preserve">个月的基础培训和 </w:t>
      </w:r>
      <w:r>
        <w:rPr>
          <w:rFonts w:hint="eastAsia" w:ascii="MS UI Gothic" w:eastAsia="MS UI Gothic"/>
          <w:w w:val="80"/>
        </w:rPr>
        <w:t xml:space="preserve">３ </w:t>
      </w:r>
      <w:r>
        <w:t>个月的编队实习</w:t>
      </w:r>
      <w:r>
        <w:rPr>
          <w:rFonts w:hint="eastAsia" w:ascii="MS UI Gothic" w:eastAsia="MS UI Gothic"/>
          <w:w w:val="80"/>
        </w:rPr>
        <w:t xml:space="preserve">ꎬ </w:t>
      </w:r>
      <w:r>
        <w:t>并经综合考评合格后</w:t>
      </w:r>
      <w:r>
        <w:rPr>
          <w:rFonts w:hint="eastAsia" w:ascii="MS UI Gothic" w:eastAsia="MS UI Gothic"/>
          <w:w w:val="80"/>
        </w:rPr>
        <w:t xml:space="preserve">ꎬ </w:t>
      </w:r>
      <w:r>
        <w:t>才能成为正式队员</w:t>
      </w:r>
      <w:r>
        <w:rPr>
          <w:rFonts w:hint="eastAsia" w:ascii="MS UI Gothic" w:eastAsia="MS UI Gothic"/>
          <w:w w:val="80"/>
        </w:rPr>
        <w:t>ꎮ</w:t>
      </w:r>
    </w:p>
    <w:p>
      <w:pPr>
        <w:pStyle w:val="6"/>
        <w:spacing w:line="295" w:lineRule="auto"/>
        <w:ind w:right="39"/>
        <w:rPr>
          <w:rFonts w:hint="eastAsia" w:ascii="MS UI Gothic" w:eastAsia="MS UI Gothic"/>
        </w:rPr>
      </w:pPr>
      <w:r>
        <w:t>第六百九十八条 矿山救护队出动执行救援任务时</w:t>
      </w:r>
      <w:r>
        <w:rPr>
          <w:rFonts w:hint="eastAsia" w:ascii="MS UI Gothic" w:eastAsia="MS UI Gothic"/>
          <w:w w:val="80"/>
        </w:rPr>
        <w:t xml:space="preserve">ꎬ </w:t>
      </w:r>
      <w:r>
        <w:t>必须穿戴矿山救援防护服装</w:t>
      </w:r>
      <w:r>
        <w:rPr>
          <w:rFonts w:hint="eastAsia" w:ascii="MS UI Gothic" w:eastAsia="MS UI Gothic"/>
          <w:w w:val="80"/>
        </w:rPr>
        <w:t xml:space="preserve">ꎬ </w:t>
      </w:r>
      <w:r>
        <w:t>佩戴并按规定使用氧气呼吸器</w:t>
      </w:r>
      <w:r>
        <w:rPr>
          <w:rFonts w:hint="eastAsia" w:ascii="MS UI Gothic" w:eastAsia="MS UI Gothic"/>
          <w:w w:val="80"/>
        </w:rPr>
        <w:t xml:space="preserve">ꎬ </w:t>
      </w:r>
      <w:r>
        <w:t>携带相关装备</w:t>
      </w:r>
      <w:r>
        <w:rPr>
          <w:rFonts w:hint="eastAsia" w:ascii="MS UI Gothic" w:eastAsia="MS UI Gothic"/>
          <w:w w:val="80"/>
        </w:rPr>
        <w:t xml:space="preserve">、 </w:t>
      </w:r>
      <w:r>
        <w:t>仪器和用品</w:t>
      </w:r>
      <w:r>
        <w:rPr>
          <w:rFonts w:hint="eastAsia" w:ascii="MS UI Gothic" w:eastAsia="MS UI Gothic"/>
          <w:w w:val="80"/>
        </w:rPr>
        <w:t>ꎮ</w:t>
      </w:r>
    </w:p>
    <w:p>
      <w:pPr>
        <w:pStyle w:val="6"/>
        <w:tabs>
          <w:tab w:val="left" w:pos="1696"/>
        </w:tabs>
        <w:spacing w:before="146"/>
        <w:ind w:left="858" w:firstLine="0"/>
        <w:jc w:val="left"/>
      </w:pPr>
      <w:r>
        <w:rPr>
          <w:spacing w:val="3"/>
          <w:w w:val="105"/>
        </w:rPr>
        <w:t>第四</w:t>
      </w:r>
      <w:r>
        <w:rPr>
          <w:w w:val="105"/>
        </w:rPr>
        <w:t>章</w:t>
      </w:r>
      <w:r>
        <w:rPr>
          <w:w w:val="105"/>
        </w:rPr>
        <w:tab/>
      </w:r>
      <w:r>
        <w:rPr>
          <w:spacing w:val="3"/>
          <w:w w:val="105"/>
        </w:rPr>
        <w:t>救援装备与设</w:t>
      </w:r>
      <w:r>
        <w:rPr>
          <w:w w:val="105"/>
        </w:rPr>
        <w:t>施</w:t>
      </w:r>
    </w:p>
    <w:p>
      <w:pPr>
        <w:pStyle w:val="6"/>
        <w:spacing w:before="215" w:line="295" w:lineRule="auto"/>
        <w:ind w:right="39"/>
        <w:rPr>
          <w:rFonts w:hint="eastAsia" w:ascii="MS UI Gothic" w:eastAsia="MS UI Gothic"/>
        </w:rPr>
      </w:pPr>
      <w:r>
        <w:rPr>
          <w:spacing w:val="4"/>
        </w:rPr>
        <w:t>第六百九十九条 矿山救护队必须配</w:t>
      </w:r>
      <w:r>
        <w:rPr>
          <w:spacing w:val="3"/>
        </w:rPr>
        <w:t>备救援车辆及通信</w:t>
      </w:r>
      <w:r>
        <w:rPr>
          <w:rFonts w:hint="eastAsia" w:ascii="MS UI Gothic" w:eastAsia="MS UI Gothic"/>
          <w:spacing w:val="16"/>
          <w:w w:val="80"/>
        </w:rPr>
        <w:t xml:space="preserve">、 </w:t>
      </w:r>
      <w:r>
        <w:rPr>
          <w:spacing w:val="3"/>
        </w:rPr>
        <w:t>灭火</w:t>
      </w:r>
      <w:r>
        <w:rPr>
          <w:rFonts w:hint="eastAsia" w:ascii="MS UI Gothic" w:eastAsia="MS UI Gothic"/>
          <w:spacing w:val="16"/>
          <w:w w:val="80"/>
        </w:rPr>
        <w:t xml:space="preserve">、 </w:t>
      </w:r>
      <w:r>
        <w:rPr>
          <w:spacing w:val="3"/>
        </w:rPr>
        <w:t>侦察</w:t>
      </w:r>
      <w:r>
        <w:rPr>
          <w:rFonts w:hint="eastAsia" w:ascii="MS UI Gothic" w:eastAsia="MS UI Gothic"/>
          <w:spacing w:val="16"/>
          <w:w w:val="80"/>
        </w:rPr>
        <w:t xml:space="preserve">、 </w:t>
      </w:r>
      <w:r>
        <w:rPr>
          <w:spacing w:val="1"/>
        </w:rPr>
        <w:t>气体分</w:t>
      </w:r>
      <w:r>
        <w:rPr>
          <w:spacing w:val="3"/>
        </w:rPr>
        <w:t>析</w:t>
      </w:r>
      <w:r>
        <w:rPr>
          <w:rFonts w:hint="eastAsia" w:ascii="MS UI Gothic" w:eastAsia="MS UI Gothic"/>
          <w:spacing w:val="11"/>
          <w:w w:val="80"/>
        </w:rPr>
        <w:t xml:space="preserve">、 </w:t>
      </w:r>
      <w:r>
        <w:rPr>
          <w:spacing w:val="3"/>
        </w:rPr>
        <w:t>个体防护等救援装备</w:t>
      </w:r>
      <w:r>
        <w:rPr>
          <w:rFonts w:hint="eastAsia" w:ascii="MS UI Gothic" w:eastAsia="MS UI Gothic"/>
          <w:spacing w:val="11"/>
          <w:w w:val="80"/>
        </w:rPr>
        <w:t xml:space="preserve">ꎬ </w:t>
      </w:r>
      <w:r>
        <w:rPr>
          <w:spacing w:val="2"/>
        </w:rPr>
        <w:t>建有演习训练</w:t>
      </w:r>
      <w:r>
        <w:rPr>
          <w:spacing w:val="3"/>
        </w:rPr>
        <w:t>等设施</w:t>
      </w:r>
      <w:r>
        <w:rPr>
          <w:rFonts w:hint="eastAsia" w:ascii="MS UI Gothic" w:eastAsia="MS UI Gothic"/>
          <w:w w:val="80"/>
        </w:rPr>
        <w:t>ꎮ</w:t>
      </w:r>
    </w:p>
    <w:p>
      <w:pPr>
        <w:pStyle w:val="6"/>
        <w:spacing w:line="295" w:lineRule="auto"/>
        <w:ind w:right="38"/>
        <w:rPr>
          <w:rFonts w:hint="eastAsia" w:ascii="MS UI Gothic" w:eastAsia="MS UI Gothic"/>
        </w:rPr>
      </w:pPr>
      <w:r>
        <w:rPr>
          <w:spacing w:val="3"/>
        </w:rPr>
        <w:t>第七百条 矿山救护队技术装备</w:t>
      </w:r>
      <w:r>
        <w:rPr>
          <w:rFonts w:hint="eastAsia" w:ascii="MS UI Gothic" w:eastAsia="MS UI Gothic"/>
          <w:spacing w:val="16"/>
          <w:w w:val="80"/>
        </w:rPr>
        <w:t xml:space="preserve">、 </w:t>
      </w:r>
      <w:r>
        <w:t>救</w:t>
      </w:r>
      <w:r>
        <w:rPr>
          <w:spacing w:val="13"/>
        </w:rPr>
        <w:t>援车辆和设施必须由专人管理</w:t>
      </w:r>
      <w:r>
        <w:rPr>
          <w:rFonts w:hint="eastAsia" w:ascii="MS UI Gothic" w:eastAsia="MS UI Gothic"/>
          <w:spacing w:val="1"/>
          <w:w w:val="80"/>
        </w:rPr>
        <w:t xml:space="preserve">ꎬ </w:t>
      </w:r>
      <w:r>
        <w:rPr>
          <w:spacing w:val="14"/>
        </w:rPr>
        <w:t>定期检</w:t>
      </w:r>
      <w:r>
        <w:rPr>
          <w:spacing w:val="3"/>
        </w:rPr>
        <w:t>查</w:t>
      </w:r>
      <w:r>
        <w:rPr>
          <w:rFonts w:hint="eastAsia" w:ascii="MS UI Gothic" w:eastAsia="MS UI Gothic"/>
          <w:spacing w:val="21"/>
          <w:w w:val="80"/>
        </w:rPr>
        <w:t xml:space="preserve">、 </w:t>
      </w:r>
      <w:r>
        <w:rPr>
          <w:spacing w:val="3"/>
        </w:rPr>
        <w:t>维护和保养</w:t>
      </w:r>
      <w:r>
        <w:rPr>
          <w:rFonts w:hint="eastAsia" w:ascii="MS UI Gothic" w:eastAsia="MS UI Gothic"/>
          <w:w w:val="80"/>
        </w:rPr>
        <w:t xml:space="preserve">ꎬ </w:t>
      </w:r>
      <w:r>
        <w:rPr>
          <w:spacing w:val="13"/>
        </w:rPr>
        <w:t>保持战备和完好状态</w:t>
      </w:r>
      <w:r>
        <w:rPr>
          <w:rFonts w:hint="eastAsia" w:ascii="MS UI Gothic" w:eastAsia="MS UI Gothic"/>
          <w:w w:val="80"/>
        </w:rPr>
        <w:t>ꎮ</w:t>
      </w:r>
      <w:r>
        <w:rPr>
          <w:spacing w:val="3"/>
        </w:rPr>
        <w:t>技术装备不得露天存放</w:t>
      </w:r>
      <w:r>
        <w:rPr>
          <w:rFonts w:hint="eastAsia" w:ascii="MS UI Gothic" w:eastAsia="MS UI Gothic"/>
          <w:spacing w:val="21"/>
          <w:w w:val="80"/>
        </w:rPr>
        <w:t xml:space="preserve">ꎬ </w:t>
      </w:r>
      <w:r>
        <w:rPr>
          <w:spacing w:val="2"/>
        </w:rPr>
        <w:t>救援车辆必须专</w:t>
      </w:r>
      <w:r>
        <w:rPr>
          <w:spacing w:val="3"/>
        </w:rPr>
        <w:t>车专用</w:t>
      </w:r>
      <w:r>
        <w:rPr>
          <w:rFonts w:hint="eastAsia" w:ascii="MS UI Gothic" w:eastAsia="MS UI Gothic"/>
          <w:w w:val="80"/>
        </w:rPr>
        <w:t>ꎮ</w:t>
      </w:r>
    </w:p>
    <w:p>
      <w:pPr>
        <w:pStyle w:val="6"/>
        <w:spacing w:line="295" w:lineRule="auto"/>
        <w:ind w:right="39"/>
        <w:rPr>
          <w:rFonts w:hint="eastAsia" w:ascii="MS UI Gothic" w:eastAsia="MS UI Gothic"/>
        </w:rPr>
      </w:pPr>
      <w:r>
        <w:t>第七百零一条 煤矿企业应当根据矿井灾害特点</w:t>
      </w:r>
      <w:r>
        <w:rPr>
          <w:rFonts w:hint="eastAsia" w:ascii="MS UI Gothic" w:eastAsia="MS UI Gothic"/>
          <w:w w:val="80"/>
        </w:rPr>
        <w:t xml:space="preserve">ꎬ </w:t>
      </w:r>
      <w:r>
        <w:t>结合所在区域实际情况</w:t>
      </w:r>
      <w:r>
        <w:rPr>
          <w:rFonts w:hint="eastAsia" w:ascii="MS UI Gothic" w:eastAsia="MS UI Gothic"/>
          <w:w w:val="80"/>
        </w:rPr>
        <w:t xml:space="preserve">ꎬ </w:t>
      </w:r>
      <w:r>
        <w:t>储备必要的应急救援装备及物资</w:t>
      </w:r>
      <w:r>
        <w:rPr>
          <w:rFonts w:hint="eastAsia" w:ascii="MS UI Gothic" w:eastAsia="MS UI Gothic"/>
          <w:w w:val="80"/>
        </w:rPr>
        <w:t xml:space="preserve">ꎬ </w:t>
      </w:r>
      <w:r>
        <w:t>由主要负责人审批</w:t>
      </w:r>
      <w:r>
        <w:rPr>
          <w:rFonts w:hint="eastAsia" w:ascii="MS UI Gothic" w:eastAsia="MS UI Gothic"/>
          <w:w w:val="80"/>
        </w:rPr>
        <w:t xml:space="preserve">ꎮ </w:t>
      </w:r>
      <w:r>
        <w:t>重点加强潜水电泵及配套管线</w:t>
      </w:r>
      <w:r>
        <w:rPr>
          <w:rFonts w:hint="eastAsia" w:ascii="MS UI Gothic" w:eastAsia="MS UI Gothic"/>
          <w:w w:val="80"/>
        </w:rPr>
        <w:t xml:space="preserve">、 </w:t>
      </w:r>
      <w:r>
        <w:t>救援钻机及其配套设备</w:t>
      </w:r>
      <w:r>
        <w:rPr>
          <w:rFonts w:hint="eastAsia" w:ascii="MS UI Gothic" w:eastAsia="MS UI Gothic"/>
          <w:w w:val="80"/>
        </w:rPr>
        <w:t xml:space="preserve">、 </w:t>
      </w:r>
      <w:r>
        <w:t>快速掘进与支护设备</w:t>
      </w:r>
      <w:r>
        <w:rPr>
          <w:rFonts w:hint="eastAsia" w:ascii="MS UI Gothic" w:eastAsia="MS UI Gothic"/>
          <w:w w:val="80"/>
        </w:rPr>
        <w:t xml:space="preserve">、 </w:t>
      </w:r>
      <w:r>
        <w:t>应急通信装备等的储备</w:t>
      </w:r>
      <w:r>
        <w:rPr>
          <w:rFonts w:hint="eastAsia" w:ascii="MS UI Gothic" w:eastAsia="MS UI Gothic"/>
          <w:w w:val="80"/>
        </w:rPr>
        <w:t>ꎮ</w:t>
      </w:r>
    </w:p>
    <w:p>
      <w:pPr>
        <w:pStyle w:val="6"/>
        <w:spacing w:line="295" w:lineRule="auto"/>
        <w:ind w:right="39"/>
        <w:rPr>
          <w:rFonts w:hint="eastAsia" w:ascii="MS UI Gothic" w:eastAsia="MS UI Gothic"/>
        </w:rPr>
      </w:pPr>
      <w:r>
        <w:t>煤矿企业应当建立应急救援装备和物资台账</w:t>
      </w:r>
      <w:r>
        <w:rPr>
          <w:rFonts w:hint="eastAsia" w:ascii="MS UI Gothic" w:eastAsia="MS UI Gothic"/>
          <w:w w:val="80"/>
        </w:rPr>
        <w:t xml:space="preserve">ꎬ </w:t>
      </w:r>
      <w:r>
        <w:t>健全其储存</w:t>
      </w:r>
      <w:r>
        <w:rPr>
          <w:rFonts w:hint="eastAsia" w:ascii="MS UI Gothic" w:eastAsia="MS UI Gothic"/>
          <w:w w:val="80"/>
        </w:rPr>
        <w:t xml:space="preserve">、 </w:t>
      </w:r>
      <w:r>
        <w:t>维护保养和应急调用等管理制度</w:t>
      </w:r>
      <w:r>
        <w:rPr>
          <w:rFonts w:hint="eastAsia" w:ascii="MS UI Gothic" w:eastAsia="MS UI Gothic"/>
          <w:w w:val="80"/>
        </w:rPr>
        <w:t>ꎮ</w:t>
      </w:r>
    </w:p>
    <w:p>
      <w:pPr>
        <w:pStyle w:val="6"/>
        <w:spacing w:line="295" w:lineRule="auto"/>
        <w:ind w:right="39"/>
        <w:rPr>
          <w:rFonts w:hint="eastAsia" w:ascii="MS UI Gothic" w:eastAsia="MS UI Gothic"/>
        </w:rPr>
      </w:pPr>
      <w:r>
        <w:t>第七百零二条 救援装备</w:t>
      </w:r>
      <w:r>
        <w:rPr>
          <w:rFonts w:hint="eastAsia" w:ascii="MS UI Gothic" w:eastAsia="MS UI Gothic"/>
          <w:w w:val="80"/>
        </w:rPr>
        <w:t xml:space="preserve">、 </w:t>
      </w:r>
      <w:r>
        <w:t>器材</w:t>
      </w:r>
      <w:r>
        <w:rPr>
          <w:rFonts w:hint="eastAsia" w:ascii="MS UI Gothic" w:eastAsia="MS UI Gothic"/>
          <w:w w:val="80"/>
        </w:rPr>
        <w:t xml:space="preserve">、  </w:t>
      </w:r>
      <w:r>
        <w:t>物资</w:t>
      </w:r>
      <w:r>
        <w:rPr>
          <w:rFonts w:hint="eastAsia" w:ascii="MS UI Gothic" w:eastAsia="MS UI Gothic"/>
          <w:w w:val="80"/>
        </w:rPr>
        <w:t xml:space="preserve">、 </w:t>
      </w:r>
      <w:r>
        <w:t>防护用品和安全检测仪器</w:t>
      </w:r>
      <w:r>
        <w:rPr>
          <w:rFonts w:hint="eastAsia" w:ascii="MS UI Gothic" w:eastAsia="MS UI Gothic"/>
          <w:w w:val="80"/>
        </w:rPr>
        <w:t xml:space="preserve">、 </w:t>
      </w:r>
      <w:r>
        <w:t>仪表</w:t>
      </w:r>
      <w:r>
        <w:rPr>
          <w:rFonts w:hint="eastAsia" w:ascii="MS UI Gothic" w:eastAsia="MS UI Gothic"/>
          <w:w w:val="80"/>
        </w:rPr>
        <w:t xml:space="preserve">ꎬ </w:t>
      </w:r>
      <w:r>
        <w:t>必须符合国家标准或者行业标准</w:t>
      </w:r>
      <w:r>
        <w:rPr>
          <w:rFonts w:hint="eastAsia" w:ascii="MS UI Gothic" w:eastAsia="MS UI Gothic"/>
          <w:w w:val="80"/>
        </w:rPr>
        <w:t xml:space="preserve">ꎬ </w:t>
      </w:r>
      <w:r>
        <w:t>满足应急救援工作的特殊需要</w:t>
      </w:r>
      <w:r>
        <w:rPr>
          <w:rFonts w:hint="eastAsia" w:ascii="MS UI Gothic" w:eastAsia="MS UI Gothic"/>
          <w:w w:val="80"/>
        </w:rPr>
        <w:t>ꎮ</w:t>
      </w:r>
    </w:p>
    <w:p>
      <w:pPr>
        <w:pStyle w:val="6"/>
        <w:spacing w:before="11"/>
        <w:ind w:left="0" w:firstLine="0"/>
        <w:jc w:val="left"/>
        <w:rPr>
          <w:rFonts w:ascii="MS UI Gothic"/>
          <w:sz w:val="21"/>
        </w:rPr>
      </w:pPr>
      <w:r>
        <w:br w:type="column"/>
      </w:r>
    </w:p>
    <w:p>
      <w:pPr>
        <w:pStyle w:val="6"/>
        <w:tabs>
          <w:tab w:val="left" w:pos="1906"/>
        </w:tabs>
        <w:ind w:left="1067" w:firstLine="0"/>
        <w:jc w:val="left"/>
      </w:pPr>
      <w:r>
        <w:rPr>
          <w:spacing w:val="3"/>
          <w:w w:val="105"/>
        </w:rPr>
        <w:t>第五</w:t>
      </w:r>
      <w:r>
        <w:rPr>
          <w:w w:val="105"/>
        </w:rPr>
        <w:t>章</w:t>
      </w:r>
      <w:r>
        <w:rPr>
          <w:w w:val="105"/>
        </w:rPr>
        <w:tab/>
      </w:r>
      <w:r>
        <w:rPr>
          <w:w w:val="105"/>
        </w:rPr>
        <w:t>救</w:t>
      </w:r>
      <w:r>
        <w:rPr>
          <w:spacing w:val="-33"/>
          <w:w w:val="105"/>
        </w:rPr>
        <w:t xml:space="preserve"> </w:t>
      </w:r>
      <w:r>
        <w:rPr>
          <w:w w:val="105"/>
        </w:rPr>
        <w:t>援</w:t>
      </w:r>
      <w:r>
        <w:rPr>
          <w:spacing w:val="-33"/>
          <w:w w:val="105"/>
        </w:rPr>
        <w:t xml:space="preserve"> </w:t>
      </w:r>
      <w:r>
        <w:rPr>
          <w:w w:val="105"/>
        </w:rPr>
        <w:t>指</w:t>
      </w:r>
      <w:r>
        <w:rPr>
          <w:spacing w:val="-33"/>
          <w:w w:val="105"/>
        </w:rPr>
        <w:t xml:space="preserve"> </w:t>
      </w:r>
      <w:r>
        <w:rPr>
          <w:w w:val="105"/>
        </w:rPr>
        <w:t>挥</w:t>
      </w:r>
    </w:p>
    <w:p>
      <w:pPr>
        <w:pStyle w:val="6"/>
        <w:spacing w:before="216" w:line="295" w:lineRule="auto"/>
        <w:ind w:right="442"/>
        <w:rPr>
          <w:rFonts w:hint="eastAsia" w:ascii="MS UI Gothic" w:eastAsia="MS UI Gothic"/>
        </w:rPr>
      </w:pPr>
      <w:r>
        <w:t>第七百零三条  煤矿发生灾害事故后</w:t>
      </w:r>
      <w:r>
        <w:rPr>
          <w:rFonts w:hint="eastAsia" w:ascii="MS UI Gothic" w:eastAsia="MS UI Gothic"/>
          <w:w w:val="80"/>
        </w:rPr>
        <w:t xml:space="preserve">ꎬ </w:t>
      </w:r>
      <w:r>
        <w:t>必须立即成立救援指挥部</w:t>
      </w:r>
      <w:r>
        <w:rPr>
          <w:rFonts w:hint="eastAsia" w:ascii="MS UI Gothic" w:eastAsia="MS UI Gothic"/>
          <w:w w:val="80"/>
        </w:rPr>
        <w:t xml:space="preserve">ꎬ </w:t>
      </w:r>
      <w:r>
        <w:t>矿长任总指挥</w:t>
      </w:r>
      <w:r>
        <w:rPr>
          <w:rFonts w:hint="eastAsia" w:ascii="MS UI Gothic" w:eastAsia="MS UI Gothic"/>
          <w:w w:val="80"/>
        </w:rPr>
        <w:t xml:space="preserve">ꎮ </w:t>
      </w:r>
      <w:r>
        <w:t>矿山救护队指挥员必须作为救援指挥部成员</w:t>
      </w:r>
      <w:r>
        <w:rPr>
          <w:rFonts w:hint="eastAsia" w:ascii="MS UI Gothic" w:eastAsia="MS UI Gothic"/>
          <w:w w:val="80"/>
        </w:rPr>
        <w:t xml:space="preserve">ꎬ </w:t>
      </w:r>
      <w:r>
        <w:t>参与制定救援方案等重大决策</w:t>
      </w:r>
      <w:r>
        <w:rPr>
          <w:rFonts w:hint="eastAsia" w:ascii="MS UI Gothic" w:eastAsia="MS UI Gothic"/>
          <w:w w:val="80"/>
        </w:rPr>
        <w:t xml:space="preserve">ꎬ </w:t>
      </w:r>
      <w:r>
        <w:t>具体负责指挥矿山救护队实施救援工作</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第七百零四条 多支矿山救护队联合</w:t>
      </w:r>
      <w:r>
        <w:t>参加救援时</w:t>
      </w:r>
      <w:r>
        <w:rPr>
          <w:rFonts w:hint="eastAsia" w:ascii="MS UI Gothic" w:eastAsia="MS UI Gothic"/>
          <w:w w:val="80"/>
        </w:rPr>
        <w:t xml:space="preserve">ꎬ </w:t>
      </w:r>
      <w:r>
        <w:t>应当由服务于发生事故煤矿</w:t>
      </w:r>
      <w:r>
        <w:rPr>
          <w:w w:val="105"/>
        </w:rPr>
        <w:t>的矿山救护队指挥员负责协调</w:t>
      </w:r>
      <w:r>
        <w:rPr>
          <w:rFonts w:hint="eastAsia" w:ascii="MS UI Gothic" w:eastAsia="MS UI Gothic"/>
          <w:w w:val="80"/>
        </w:rPr>
        <w:t xml:space="preserve">、 </w:t>
      </w:r>
      <w:r>
        <w:rPr>
          <w:w w:val="105"/>
        </w:rPr>
        <w:t>指挥各矿</w:t>
      </w:r>
      <w:r>
        <w:t>山救护队实施救援</w:t>
      </w:r>
      <w:r>
        <w:rPr>
          <w:rFonts w:hint="eastAsia" w:ascii="MS UI Gothic" w:eastAsia="MS UI Gothic"/>
          <w:w w:val="80"/>
        </w:rPr>
        <w:t xml:space="preserve">ꎬ </w:t>
      </w:r>
      <w:r>
        <w:t>必要时也可以由救援</w:t>
      </w:r>
      <w:r>
        <w:rPr>
          <w:w w:val="105"/>
        </w:rPr>
        <w:t>指挥部另行指定</w:t>
      </w:r>
      <w:r>
        <w:rPr>
          <w:rFonts w:hint="eastAsia" w:ascii="MS UI Gothic" w:eastAsia="MS UI Gothic"/>
          <w:w w:val="80"/>
        </w:rPr>
        <w:t>ꎮ</w:t>
      </w:r>
    </w:p>
    <w:p>
      <w:pPr>
        <w:pStyle w:val="6"/>
        <w:spacing w:line="295" w:lineRule="auto"/>
        <w:ind w:right="442"/>
        <w:rPr>
          <w:rFonts w:hint="eastAsia" w:ascii="MS UI Gothic" w:eastAsia="MS UI Gothic"/>
        </w:rPr>
      </w:pPr>
      <w:r>
        <w:t>第七百零五条  矿井发生灾害事故后</w:t>
      </w:r>
      <w:r>
        <w:rPr>
          <w:rFonts w:hint="eastAsia" w:ascii="MS UI Gothic" w:eastAsia="MS UI Gothic"/>
          <w:w w:val="80"/>
        </w:rPr>
        <w:t xml:space="preserve">ꎬ </w:t>
      </w:r>
      <w:r>
        <w:t>必须首先组织矿山救护队进行灾区侦察</w:t>
      </w:r>
      <w:r>
        <w:rPr>
          <w:rFonts w:hint="eastAsia" w:ascii="MS UI Gothic" w:eastAsia="MS UI Gothic"/>
          <w:w w:val="80"/>
        </w:rPr>
        <w:t xml:space="preserve">ꎬ </w:t>
      </w:r>
      <w:r>
        <w:t>探明灾区情况</w:t>
      </w:r>
      <w:r>
        <w:rPr>
          <w:rFonts w:hint="eastAsia" w:ascii="MS UI Gothic" w:eastAsia="MS UI Gothic"/>
          <w:w w:val="80"/>
        </w:rPr>
        <w:t xml:space="preserve">ꎮ </w:t>
      </w:r>
      <w:r>
        <w:t>救援指挥部应当根据灾害性质</w:t>
      </w:r>
      <w:r>
        <w:rPr>
          <w:rFonts w:hint="eastAsia" w:ascii="MS UI Gothic" w:eastAsia="MS UI Gothic"/>
          <w:w w:val="80"/>
        </w:rPr>
        <w:t xml:space="preserve">ꎬ </w:t>
      </w:r>
      <w:r>
        <w:t>事故发生地点</w:t>
      </w:r>
      <w:r>
        <w:rPr>
          <w:rFonts w:hint="eastAsia" w:ascii="MS UI Gothic" w:eastAsia="MS UI Gothic"/>
          <w:w w:val="80"/>
        </w:rPr>
        <w:t xml:space="preserve">、 </w:t>
      </w:r>
      <w:r>
        <w:t>波及范围</w:t>
      </w:r>
      <w:r>
        <w:rPr>
          <w:rFonts w:hint="eastAsia" w:ascii="MS UI Gothic" w:eastAsia="MS UI Gothic"/>
          <w:w w:val="80"/>
        </w:rPr>
        <w:t xml:space="preserve">ꎬ </w:t>
      </w:r>
      <w:r>
        <w:t>灾区人员分布</w:t>
      </w:r>
      <w:r>
        <w:rPr>
          <w:rFonts w:hint="eastAsia" w:ascii="MS UI Gothic" w:eastAsia="MS UI Gothic"/>
          <w:w w:val="80"/>
        </w:rPr>
        <w:t xml:space="preserve">、 </w:t>
      </w:r>
      <w:r>
        <w:t>可能存在的危险因素</w:t>
      </w:r>
      <w:r>
        <w:rPr>
          <w:rFonts w:hint="eastAsia" w:ascii="MS UI Gothic" w:eastAsia="MS UI Gothic"/>
          <w:w w:val="80"/>
        </w:rPr>
        <w:t xml:space="preserve">ꎬ </w:t>
      </w:r>
      <w:r>
        <w:t>以及救援的人力和物力</w:t>
      </w:r>
      <w:r>
        <w:rPr>
          <w:rFonts w:hint="eastAsia" w:ascii="MS UI Gothic" w:eastAsia="MS UI Gothic"/>
          <w:w w:val="80"/>
        </w:rPr>
        <w:t xml:space="preserve">ꎬ </w:t>
      </w:r>
      <w:r>
        <w:t>制定抢救方案和安全保障措施</w:t>
      </w:r>
      <w:r>
        <w:rPr>
          <w:rFonts w:hint="eastAsia" w:ascii="MS UI Gothic" w:eastAsia="MS UI Gothic"/>
          <w:w w:val="80"/>
        </w:rPr>
        <w:t>ꎮ</w:t>
      </w:r>
    </w:p>
    <w:p>
      <w:pPr>
        <w:pStyle w:val="6"/>
        <w:spacing w:line="295" w:lineRule="auto"/>
        <w:ind w:right="442"/>
        <w:rPr>
          <w:rFonts w:hint="eastAsia" w:ascii="MS UI Gothic" w:eastAsia="MS UI Gothic"/>
        </w:rPr>
      </w:pPr>
      <w:r>
        <w:t>矿山救护队执行灾区侦察任务和实施救援时</w:t>
      </w:r>
      <w:r>
        <w:rPr>
          <w:rFonts w:hint="eastAsia" w:ascii="MS UI Gothic" w:eastAsia="MS UI Gothic"/>
          <w:w w:val="80"/>
        </w:rPr>
        <w:t xml:space="preserve">ꎬ </w:t>
      </w:r>
      <w:r>
        <w:t xml:space="preserve">必须至少有 </w:t>
      </w:r>
      <w:r>
        <w:rPr>
          <w:rFonts w:hint="eastAsia" w:ascii="MS UI Gothic" w:eastAsia="MS UI Gothic"/>
          <w:w w:val="80"/>
        </w:rPr>
        <w:t xml:space="preserve">１ </w:t>
      </w:r>
      <w:r>
        <w:t>名中队或者中队以上指挥员带队</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第七百零六条 在重特大事故或者复</w:t>
      </w:r>
      <w:r>
        <w:rPr>
          <w:spacing w:val="3"/>
        </w:rPr>
        <w:t>杂事故救援现场</w:t>
      </w:r>
      <w:r>
        <w:rPr>
          <w:rFonts w:hint="eastAsia" w:ascii="MS UI Gothic" w:eastAsia="MS UI Gothic"/>
          <w:spacing w:val="20"/>
          <w:w w:val="80"/>
        </w:rPr>
        <w:t xml:space="preserve">ꎬ </w:t>
      </w:r>
      <w:r>
        <w:rPr>
          <w:spacing w:val="2"/>
        </w:rPr>
        <w:t>应当设立地面基地和井</w:t>
      </w:r>
      <w:r>
        <w:rPr>
          <w:spacing w:val="3"/>
        </w:rPr>
        <w:t>下基地</w:t>
      </w:r>
      <w:r>
        <w:rPr>
          <w:rFonts w:hint="eastAsia" w:ascii="MS UI Gothic" w:eastAsia="MS UI Gothic"/>
          <w:spacing w:val="11"/>
          <w:w w:val="80"/>
        </w:rPr>
        <w:t xml:space="preserve">ꎬ </w:t>
      </w:r>
      <w:r>
        <w:rPr>
          <w:spacing w:val="3"/>
        </w:rPr>
        <w:t>安排矿山救护队指挥员</w:t>
      </w:r>
      <w:r>
        <w:rPr>
          <w:rFonts w:hint="eastAsia" w:ascii="MS UI Gothic" w:eastAsia="MS UI Gothic"/>
          <w:spacing w:val="11"/>
          <w:w w:val="80"/>
        </w:rPr>
        <w:t xml:space="preserve">、 </w:t>
      </w:r>
      <w:r>
        <w:rPr>
          <w:spacing w:val="1"/>
        </w:rPr>
        <w:t>待机小</w:t>
      </w:r>
      <w:r>
        <w:rPr>
          <w:spacing w:val="3"/>
        </w:rPr>
        <w:t>队和急救员值班</w:t>
      </w:r>
      <w:r>
        <w:rPr>
          <w:rFonts w:hint="eastAsia" w:ascii="MS UI Gothic" w:eastAsia="MS UI Gothic"/>
          <w:spacing w:val="20"/>
          <w:w w:val="80"/>
        </w:rPr>
        <w:t xml:space="preserve">ꎬ </w:t>
      </w:r>
      <w:r>
        <w:rPr>
          <w:spacing w:val="2"/>
        </w:rPr>
        <w:t>设置通往救援指挥部和</w:t>
      </w:r>
      <w:r>
        <w:rPr>
          <w:spacing w:val="23"/>
        </w:rPr>
        <w:t>灾区的电话</w:t>
      </w:r>
      <w:r>
        <w:rPr>
          <w:rFonts w:hint="eastAsia" w:ascii="MS UI Gothic" w:eastAsia="MS UI Gothic"/>
          <w:spacing w:val="1"/>
          <w:w w:val="80"/>
        </w:rPr>
        <w:t xml:space="preserve">ꎬ </w:t>
      </w:r>
      <w:r>
        <w:rPr>
          <w:spacing w:val="30"/>
        </w:rPr>
        <w:t>配备必要的救护装备和</w:t>
      </w:r>
      <w:r>
        <w:rPr>
          <w:spacing w:val="3"/>
        </w:rPr>
        <w:t>器材</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地面基地应当设置在靠近井口的安全</w:t>
      </w:r>
      <w:r>
        <w:rPr>
          <w:spacing w:val="10"/>
        </w:rPr>
        <w:t>地点</w:t>
      </w:r>
      <w:r>
        <w:rPr>
          <w:rFonts w:hint="eastAsia" w:ascii="MS UI Gothic" w:eastAsia="MS UI Gothic"/>
          <w:spacing w:val="1"/>
          <w:w w:val="80"/>
        </w:rPr>
        <w:t xml:space="preserve">ꎬ </w:t>
      </w:r>
      <w:r>
        <w:rPr>
          <w:spacing w:val="31"/>
        </w:rPr>
        <w:t>配备气体分析化验设备等相关</w:t>
      </w:r>
      <w:r>
        <w:rPr>
          <w:spacing w:val="3"/>
        </w:rPr>
        <w:t>装备</w:t>
      </w:r>
      <w:r>
        <w:rPr>
          <w:rFonts w:hint="eastAsia" w:ascii="MS UI Gothic" w:eastAsia="MS UI Gothic"/>
          <w:w w:val="80"/>
        </w:rPr>
        <w:t>ꎮ</w:t>
      </w:r>
    </w:p>
    <w:p>
      <w:pPr>
        <w:pStyle w:val="6"/>
        <w:spacing w:line="295" w:lineRule="auto"/>
        <w:ind w:right="442"/>
        <w:rPr>
          <w:rFonts w:hint="eastAsia" w:ascii="MS UI Gothic" w:eastAsia="MS UI Gothic"/>
        </w:rPr>
      </w:pPr>
      <w:r>
        <w:t>井下基地应当设置在靠近灾区的安全地点</w:t>
      </w:r>
      <w:r>
        <w:rPr>
          <w:rFonts w:hint="eastAsia" w:ascii="MS UI Gothic" w:eastAsia="MS UI Gothic"/>
          <w:w w:val="80"/>
        </w:rPr>
        <w:t xml:space="preserve">ꎬ </w:t>
      </w:r>
      <w:r>
        <w:t>设专人看守电话并做好记录</w:t>
      </w:r>
      <w:r>
        <w:rPr>
          <w:rFonts w:hint="eastAsia" w:ascii="MS UI Gothic" w:eastAsia="MS UI Gothic"/>
          <w:w w:val="80"/>
        </w:rPr>
        <w:t xml:space="preserve">ꎬ </w:t>
      </w:r>
      <w:r>
        <w:t>保持与救援指挥部</w:t>
      </w:r>
      <w:r>
        <w:rPr>
          <w:rFonts w:hint="eastAsia" w:ascii="MS UI Gothic" w:eastAsia="MS UI Gothic"/>
          <w:w w:val="80"/>
        </w:rPr>
        <w:t xml:space="preserve">、 </w:t>
      </w:r>
      <w:r>
        <w:t>灾区工作救护小队的联络</w:t>
      </w:r>
      <w:r>
        <w:rPr>
          <w:rFonts w:hint="eastAsia" w:ascii="MS UI Gothic" w:eastAsia="MS UI Gothic"/>
          <w:w w:val="80"/>
        </w:rPr>
        <w:t xml:space="preserve">ꎮ </w:t>
      </w:r>
      <w:r>
        <w:t>指派专人检测风流</w:t>
      </w:r>
      <w:r>
        <w:rPr>
          <w:rFonts w:hint="eastAsia" w:ascii="MS UI Gothic" w:eastAsia="MS UI Gothic"/>
          <w:w w:val="80"/>
        </w:rPr>
        <w:t xml:space="preserve">、 </w:t>
      </w:r>
      <w:r>
        <w:t>有害气体浓度及巷道支护等情况</w:t>
      </w:r>
      <w:r>
        <w:rPr>
          <w:rFonts w:hint="eastAsia" w:ascii="MS UI Gothic" w:eastAsia="MS UI Gothic"/>
          <w:w w:val="80"/>
        </w:rPr>
        <w:t>ꎮ</w:t>
      </w:r>
    </w:p>
    <w:p>
      <w:pPr>
        <w:pStyle w:val="6"/>
        <w:spacing w:line="295" w:lineRule="auto"/>
        <w:ind w:right="442"/>
      </w:pPr>
      <w:r>
        <w:t>第七百零七条 矿山救护队在救援过程中遇到突发情况</w:t>
      </w:r>
      <w:r>
        <w:rPr>
          <w:rFonts w:hint="eastAsia" w:ascii="MS UI Gothic" w:eastAsia="MS UI Gothic"/>
        </w:rPr>
        <w:t xml:space="preserve">、 </w:t>
      </w:r>
      <w:r>
        <w:t>危及救援人员生命安</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３４５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48" o:spid="_x0000_s2048" o:spt="203" style="height:2.15pt;width:398.25pt;" coordsize="7965,43">
            <o:lock v:ext="edit"/>
            <v:line id="_x0000_s2049" o:spid="_x0000_s2049" o:spt="20" style="position:absolute;left:0;top:39;height:0;width:7965;" stroked="t" coordsize="21600,21600">
              <v:path arrowok="t"/>
              <v:fill focussize="0,0"/>
              <v:stroke weight="0.388031496062992pt" color="#231F20"/>
              <v:imagedata o:title=""/>
              <o:lock v:ext="edit"/>
            </v:line>
            <v:line id="_x0000_s2050" o:spid="_x0000_s205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全时</w:t>
      </w:r>
      <w:r>
        <w:rPr>
          <w:rFonts w:hint="eastAsia" w:ascii="MS UI Gothic" w:eastAsia="MS UI Gothic"/>
          <w:w w:val="80"/>
        </w:rPr>
        <w:t xml:space="preserve">ꎬ </w:t>
      </w:r>
      <w:r>
        <w:t>带队指挥员有权作出撤出危险区域的决定</w:t>
      </w:r>
      <w:r>
        <w:rPr>
          <w:rFonts w:hint="eastAsia" w:ascii="MS UI Gothic" w:eastAsia="MS UI Gothic"/>
          <w:w w:val="80"/>
        </w:rPr>
        <w:t xml:space="preserve">ꎬ </w:t>
      </w:r>
      <w:r>
        <w:t>并及时报告井下基地及救援指挥部</w:t>
      </w:r>
      <w:r>
        <w:rPr>
          <w:rFonts w:hint="eastAsia" w:ascii="MS UI Gothic" w:eastAsia="MS UI Gothic"/>
          <w:w w:val="80"/>
        </w:rPr>
        <w:t>ꎮ</w:t>
      </w:r>
    </w:p>
    <w:p>
      <w:pPr>
        <w:pStyle w:val="6"/>
        <w:tabs>
          <w:tab w:val="left" w:pos="2222"/>
        </w:tabs>
        <w:spacing w:before="155"/>
        <w:ind w:left="1384" w:firstLine="0"/>
        <w:jc w:val="left"/>
      </w:pPr>
      <w:r>
        <w:rPr>
          <w:spacing w:val="3"/>
          <w:w w:val="105"/>
        </w:rPr>
        <w:t>第六</w:t>
      </w:r>
      <w:r>
        <w:rPr>
          <w:w w:val="105"/>
        </w:rPr>
        <w:t>章</w:t>
      </w:r>
      <w:r>
        <w:rPr>
          <w:w w:val="105"/>
        </w:rPr>
        <w:tab/>
      </w:r>
      <w:r>
        <w:rPr>
          <w:w w:val="105"/>
        </w:rPr>
        <w:t>灾</w:t>
      </w:r>
      <w:r>
        <w:rPr>
          <w:spacing w:val="-34"/>
          <w:w w:val="105"/>
        </w:rPr>
        <w:t xml:space="preserve"> </w:t>
      </w:r>
      <w:r>
        <w:rPr>
          <w:w w:val="105"/>
        </w:rPr>
        <w:t>变</w:t>
      </w:r>
      <w:r>
        <w:rPr>
          <w:spacing w:val="-33"/>
          <w:w w:val="105"/>
        </w:rPr>
        <w:t xml:space="preserve"> </w:t>
      </w:r>
      <w:r>
        <w:rPr>
          <w:w w:val="105"/>
        </w:rPr>
        <w:t>处</w:t>
      </w:r>
      <w:r>
        <w:rPr>
          <w:spacing w:val="-33"/>
          <w:w w:val="105"/>
        </w:rPr>
        <w:t xml:space="preserve"> </w:t>
      </w:r>
      <w:r>
        <w:rPr>
          <w:w w:val="105"/>
        </w:rPr>
        <w:t>理</w:t>
      </w:r>
    </w:p>
    <w:p>
      <w:pPr>
        <w:pStyle w:val="6"/>
        <w:spacing w:before="215" w:line="295" w:lineRule="auto"/>
        <w:ind w:left="440" w:right="1"/>
        <w:rPr>
          <w:rFonts w:hint="eastAsia" w:ascii="MS UI Gothic" w:eastAsia="MS UI Gothic"/>
        </w:rPr>
      </w:pPr>
      <w:r>
        <w:t>第七百零八条 处理灾变事故时</w:t>
      </w:r>
      <w:r>
        <w:rPr>
          <w:rFonts w:hint="eastAsia" w:ascii="MS UI Gothic" w:eastAsia="MS UI Gothic"/>
          <w:w w:val="80"/>
        </w:rPr>
        <w:t xml:space="preserve">ꎬ </w:t>
      </w:r>
      <w:r>
        <w:t>应当撤出灾区所有人员</w:t>
      </w:r>
      <w:r>
        <w:rPr>
          <w:rFonts w:hint="eastAsia" w:ascii="MS UI Gothic" w:eastAsia="MS UI Gothic"/>
          <w:w w:val="80"/>
        </w:rPr>
        <w:t xml:space="preserve">ꎬ </w:t>
      </w:r>
      <w:r>
        <w:t>准确统计井下人数</w:t>
      </w:r>
      <w:r>
        <w:rPr>
          <w:rFonts w:hint="eastAsia" w:ascii="MS UI Gothic" w:eastAsia="MS UI Gothic"/>
          <w:w w:val="80"/>
        </w:rPr>
        <w:t xml:space="preserve">ꎬ </w:t>
      </w:r>
      <w:r>
        <w:t>严格控制入井人数</w:t>
      </w:r>
      <w:r>
        <w:rPr>
          <w:rFonts w:hint="eastAsia" w:ascii="MS UI Gothic" w:eastAsia="MS UI Gothic"/>
          <w:w w:val="80"/>
        </w:rPr>
        <w:t xml:space="preserve">ꎻ </w:t>
      </w:r>
      <w:r>
        <w:t>提供救援需要的图纸和技术资料</w:t>
      </w:r>
      <w:r>
        <w:rPr>
          <w:rFonts w:hint="eastAsia" w:ascii="MS UI Gothic" w:eastAsia="MS UI Gothic"/>
          <w:w w:val="80"/>
        </w:rPr>
        <w:t xml:space="preserve">ꎻ </w:t>
      </w:r>
      <w:r>
        <w:t>组织人力</w:t>
      </w:r>
      <w:r>
        <w:rPr>
          <w:rFonts w:hint="eastAsia" w:ascii="MS UI Gothic" w:eastAsia="MS UI Gothic"/>
          <w:w w:val="80"/>
        </w:rPr>
        <w:t xml:space="preserve">、 </w:t>
      </w:r>
      <w:r>
        <w:t>调配装备和物资参加抢险救援</w:t>
      </w:r>
      <w:r>
        <w:rPr>
          <w:rFonts w:hint="eastAsia" w:ascii="MS UI Gothic" w:eastAsia="MS UI Gothic"/>
          <w:w w:val="80"/>
        </w:rPr>
        <w:t xml:space="preserve">ꎬ </w:t>
      </w:r>
      <w:r>
        <w:t>做好后勤保障工作</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10"/>
        </w:rPr>
        <w:t>第七百零九条  进入灾区的救护小</w:t>
      </w:r>
      <w:r>
        <w:rPr>
          <w:spacing w:val="3"/>
        </w:rPr>
        <w:t>队</w:t>
      </w:r>
      <w:r>
        <w:rPr>
          <w:rFonts w:hint="eastAsia" w:ascii="MS UI Gothic" w:eastAsia="MS UI Gothic"/>
          <w:spacing w:val="8"/>
          <w:w w:val="90"/>
        </w:rPr>
        <w:t xml:space="preserve">ꎬ </w:t>
      </w:r>
      <w:r>
        <w:rPr>
          <w:spacing w:val="-7"/>
        </w:rPr>
        <w:t xml:space="preserve">指战员不得少于 </w:t>
      </w:r>
      <w:r>
        <w:rPr>
          <w:rFonts w:hint="eastAsia" w:ascii="MS UI Gothic" w:eastAsia="MS UI Gothic"/>
          <w:spacing w:val="-10"/>
        </w:rPr>
        <w:t xml:space="preserve">６ </w:t>
      </w:r>
      <w:r>
        <w:rPr>
          <w:spacing w:val="3"/>
        </w:rPr>
        <w:t>人</w:t>
      </w:r>
      <w:r>
        <w:rPr>
          <w:rFonts w:hint="eastAsia" w:ascii="MS UI Gothic" w:eastAsia="MS UI Gothic"/>
          <w:spacing w:val="9"/>
          <w:w w:val="90"/>
        </w:rPr>
        <w:t xml:space="preserve">ꎬ </w:t>
      </w:r>
      <w:r>
        <w:rPr>
          <w:spacing w:val="2"/>
        </w:rPr>
        <w:t>必须保持在彼</w:t>
      </w:r>
      <w:r>
        <w:rPr>
          <w:spacing w:val="3"/>
        </w:rPr>
        <w:t>此能看到或者听到信号的范围内行动</w:t>
      </w:r>
      <w:r>
        <w:rPr>
          <w:rFonts w:hint="eastAsia" w:ascii="MS UI Gothic" w:eastAsia="MS UI Gothic"/>
          <w:spacing w:val="6"/>
          <w:w w:val="90"/>
        </w:rPr>
        <w:t xml:space="preserve">ꎬ </w:t>
      </w:r>
      <w:r>
        <w:t>任</w:t>
      </w:r>
      <w:r>
        <w:rPr>
          <w:spacing w:val="3"/>
        </w:rPr>
        <w:t>何情况下严禁任何指战员单独行动</w:t>
      </w:r>
      <w:r>
        <w:rPr>
          <w:rFonts w:hint="eastAsia" w:ascii="MS UI Gothic" w:eastAsia="MS UI Gothic"/>
          <w:spacing w:val="6"/>
          <w:w w:val="90"/>
        </w:rPr>
        <w:t xml:space="preserve">ꎮ </w:t>
      </w:r>
      <w:r>
        <w:rPr>
          <w:spacing w:val="1"/>
        </w:rPr>
        <w:t>所有</w:t>
      </w:r>
      <w:r>
        <w:rPr>
          <w:spacing w:val="3"/>
        </w:rPr>
        <w:t>指战员进入前必须检查氧气呼吸器</w:t>
      </w:r>
      <w:r>
        <w:rPr>
          <w:rFonts w:hint="eastAsia" w:ascii="MS UI Gothic" w:eastAsia="MS UI Gothic"/>
          <w:spacing w:val="6"/>
          <w:w w:val="90"/>
        </w:rPr>
        <w:t xml:space="preserve">ꎬ </w:t>
      </w:r>
      <w:r>
        <w:rPr>
          <w:spacing w:val="1"/>
        </w:rPr>
        <w:t>氧气</w:t>
      </w:r>
      <w:r>
        <w:rPr>
          <w:spacing w:val="-6"/>
        </w:rPr>
        <w:t xml:space="preserve">压力不得低于 </w:t>
      </w:r>
      <w:r>
        <w:rPr>
          <w:rFonts w:hint="eastAsia" w:ascii="MS UI Gothic" w:eastAsia="MS UI Gothic"/>
          <w:spacing w:val="-3"/>
        </w:rPr>
        <w:t>１８ ＭＰ</w:t>
      </w:r>
      <w:r>
        <w:rPr>
          <w:rFonts w:hint="eastAsia" w:ascii="MS UI Gothic" w:eastAsia="MS UI Gothic"/>
          <w:spacing w:val="4"/>
        </w:rPr>
        <w:t>ａ</w:t>
      </w:r>
      <w:r>
        <w:rPr>
          <w:rFonts w:hint="eastAsia" w:ascii="MS UI Gothic" w:eastAsia="MS UI Gothic"/>
          <w:spacing w:val="-1"/>
          <w:w w:val="90"/>
        </w:rPr>
        <w:t xml:space="preserve">ꎻ </w:t>
      </w:r>
      <w:r>
        <w:rPr>
          <w:spacing w:val="12"/>
        </w:rPr>
        <w:t>使用过程中氧气</w:t>
      </w:r>
      <w:r>
        <w:rPr>
          <w:spacing w:val="-5"/>
        </w:rPr>
        <w:t xml:space="preserve">呼吸器的压力不得低于 </w:t>
      </w:r>
      <w:r>
        <w:rPr>
          <w:rFonts w:hint="eastAsia" w:ascii="MS UI Gothic" w:eastAsia="MS UI Gothic"/>
          <w:spacing w:val="-2"/>
        </w:rPr>
        <w:t>５ ＭＰ</w:t>
      </w:r>
      <w:r>
        <w:rPr>
          <w:rFonts w:hint="eastAsia" w:ascii="MS UI Gothic" w:eastAsia="MS UI Gothic"/>
          <w:spacing w:val="4"/>
        </w:rPr>
        <w:t>ａ</w:t>
      </w:r>
      <w:r>
        <w:rPr>
          <w:rFonts w:hint="eastAsia" w:ascii="MS UI Gothic" w:eastAsia="MS UI Gothic"/>
          <w:spacing w:val="4"/>
          <w:w w:val="90"/>
        </w:rPr>
        <w:t xml:space="preserve">ꎮ </w:t>
      </w:r>
      <w:r>
        <w:rPr>
          <w:spacing w:val="5"/>
        </w:rPr>
        <w:t>发现有指</w:t>
      </w:r>
      <w:r>
        <w:rPr>
          <w:spacing w:val="2"/>
        </w:rPr>
        <w:t>战员身体不适或者氧气呼吸器发生故障难</w:t>
      </w:r>
      <w:r>
        <w:rPr>
          <w:spacing w:val="3"/>
        </w:rPr>
        <w:t>以排除时</w:t>
      </w:r>
      <w:r>
        <w:rPr>
          <w:rFonts w:hint="eastAsia" w:ascii="MS UI Gothic" w:eastAsia="MS UI Gothic"/>
          <w:spacing w:val="20"/>
          <w:w w:val="90"/>
        </w:rPr>
        <w:t xml:space="preserve">ꎬ </w:t>
      </w:r>
      <w:r>
        <w:rPr>
          <w:spacing w:val="3"/>
        </w:rPr>
        <w:t>全小队必须立即撤出</w:t>
      </w:r>
      <w:r>
        <w:rPr>
          <w:rFonts w:hint="eastAsia" w:ascii="MS UI Gothic" w:eastAsia="MS UI Gothic"/>
          <w:w w:val="90"/>
        </w:rPr>
        <w:t>ꎮ</w:t>
      </w:r>
    </w:p>
    <w:p>
      <w:pPr>
        <w:pStyle w:val="6"/>
        <w:spacing w:line="249" w:lineRule="exact"/>
        <w:ind w:left="860" w:firstLine="0"/>
        <w:rPr>
          <w:rFonts w:hint="eastAsia" w:ascii="MS UI Gothic" w:eastAsia="MS UI Gothic"/>
        </w:rPr>
      </w:pPr>
      <w:r>
        <w:t xml:space="preserve">指战员在灾区工作 </w:t>
      </w:r>
      <w:r>
        <w:rPr>
          <w:rFonts w:hint="eastAsia" w:ascii="MS UI Gothic" w:eastAsia="MS UI Gothic"/>
          <w:w w:val="80"/>
        </w:rPr>
        <w:t xml:space="preserve">１ </w:t>
      </w:r>
      <w:r>
        <w:t>个呼吸器班后</w:t>
      </w:r>
      <w:r>
        <w:rPr>
          <w:rFonts w:hint="eastAsia" w:ascii="MS UI Gothic" w:eastAsia="MS UI Gothic"/>
          <w:w w:val="80"/>
        </w:rPr>
        <w:t>ꎬ</w:t>
      </w:r>
    </w:p>
    <w:p>
      <w:pPr>
        <w:pStyle w:val="6"/>
        <w:spacing w:before="54"/>
        <w:ind w:left="440" w:firstLine="0"/>
        <w:rPr>
          <w:rFonts w:hint="eastAsia" w:ascii="MS UI Gothic" w:eastAsia="MS UI Gothic"/>
        </w:rPr>
      </w:pPr>
      <w:r>
        <w:t xml:space="preserve">应当至少休息 </w:t>
      </w:r>
      <w:r>
        <w:rPr>
          <w:rFonts w:hint="eastAsia" w:ascii="MS UI Gothic" w:eastAsia="MS UI Gothic"/>
        </w:rPr>
        <w:t>８ ｈ</w:t>
      </w:r>
      <w:r>
        <w:rPr>
          <w:rFonts w:hint="eastAsia" w:ascii="MS UI Gothic" w:eastAsia="MS UI Gothic"/>
          <w:w w:val="80"/>
        </w:rPr>
        <w:t>ꎮ</w:t>
      </w:r>
    </w:p>
    <w:p>
      <w:pPr>
        <w:pStyle w:val="6"/>
        <w:spacing w:before="58" w:line="295" w:lineRule="auto"/>
        <w:ind w:left="440" w:right="1"/>
        <w:rPr>
          <w:rFonts w:hint="eastAsia" w:ascii="MS UI Gothic" w:eastAsia="MS UI Gothic"/>
        </w:rPr>
      </w:pPr>
      <w:r>
        <w:rPr>
          <w:spacing w:val="2"/>
          <w:w w:val="105"/>
        </w:rPr>
        <w:t>第七百一十条 灾区侦察应当遵守下</w:t>
      </w:r>
      <w:r>
        <w:rPr>
          <w:spacing w:val="3"/>
          <w:w w:val="115"/>
        </w:rPr>
        <w:t>列规定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4"/>
          <w:w w:val="150"/>
        </w:rPr>
        <w:t xml:space="preserve">) </w:t>
      </w:r>
      <w:r>
        <w:rPr>
          <w:spacing w:val="5"/>
          <w:w w:val="105"/>
        </w:rPr>
        <w:t>侦察小队进入灾区前</w:t>
      </w:r>
      <w:r>
        <w:rPr>
          <w:rFonts w:hint="eastAsia" w:ascii="MS UI Gothic" w:eastAsia="MS UI Gothic"/>
          <w:spacing w:val="13"/>
          <w:w w:val="80"/>
        </w:rPr>
        <w:t xml:space="preserve">ꎬ </w:t>
      </w:r>
      <w:r>
        <w:rPr>
          <w:spacing w:val="7"/>
          <w:w w:val="105"/>
        </w:rPr>
        <w:t>应当考</w:t>
      </w:r>
      <w:r>
        <w:rPr>
          <w:spacing w:val="3"/>
        </w:rPr>
        <w:t>虑退路被堵后采取的措施</w:t>
      </w:r>
      <w:r>
        <w:rPr>
          <w:rFonts w:hint="eastAsia" w:ascii="MS UI Gothic" w:eastAsia="MS UI Gothic"/>
          <w:spacing w:val="21"/>
          <w:w w:val="80"/>
        </w:rPr>
        <w:t xml:space="preserve">ꎬ </w:t>
      </w:r>
      <w:r>
        <w:rPr>
          <w:spacing w:val="2"/>
        </w:rPr>
        <w:t>规定返回的时</w:t>
      </w:r>
      <w:r>
        <w:rPr>
          <w:spacing w:val="3"/>
        </w:rPr>
        <w:t>间</w:t>
      </w:r>
      <w:r>
        <w:rPr>
          <w:rFonts w:hint="eastAsia" w:ascii="MS UI Gothic" w:eastAsia="MS UI Gothic"/>
          <w:spacing w:val="18"/>
          <w:w w:val="80"/>
        </w:rPr>
        <w:t xml:space="preserve">ꎬ </w:t>
      </w:r>
      <w:r>
        <w:rPr>
          <w:spacing w:val="6"/>
        </w:rPr>
        <w:t>并用灾区电话与井下基地保持联络</w:t>
      </w:r>
      <w:r>
        <w:rPr>
          <w:rFonts w:hint="eastAsia" w:ascii="MS UI Gothic" w:eastAsia="MS UI Gothic"/>
          <w:w w:val="80"/>
        </w:rPr>
        <w:t>ꎮ</w:t>
      </w:r>
      <w:r>
        <w:rPr>
          <w:spacing w:val="3"/>
        </w:rPr>
        <w:t>小队应当按规定时间原路返回</w:t>
      </w:r>
      <w:r>
        <w:rPr>
          <w:rFonts w:hint="eastAsia" w:ascii="MS UI Gothic" w:eastAsia="MS UI Gothic"/>
          <w:spacing w:val="21"/>
          <w:w w:val="80"/>
        </w:rPr>
        <w:t xml:space="preserve">ꎬ </w:t>
      </w:r>
      <w:r>
        <w:rPr>
          <w:spacing w:val="2"/>
        </w:rPr>
        <w:t>如果不能</w:t>
      </w:r>
      <w:r>
        <w:rPr>
          <w:spacing w:val="3"/>
        </w:rPr>
        <w:t>按原路返回</w:t>
      </w:r>
      <w:r>
        <w:rPr>
          <w:rFonts w:hint="eastAsia" w:ascii="MS UI Gothic" w:eastAsia="MS UI Gothic"/>
          <w:spacing w:val="21"/>
          <w:w w:val="80"/>
        </w:rPr>
        <w:t xml:space="preserve">ꎬ </w:t>
      </w:r>
      <w:r>
        <w:rPr>
          <w:spacing w:val="2"/>
        </w:rPr>
        <w:t>应当经布置侦察任务的指挥</w:t>
      </w:r>
      <w:r>
        <w:rPr>
          <w:spacing w:val="3"/>
          <w:w w:val="105"/>
        </w:rPr>
        <w:t>员同意</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进入灾区时</w:t>
      </w:r>
      <w:r>
        <w:rPr>
          <w:rFonts w:hint="eastAsia" w:ascii="MS UI Gothic" w:eastAsia="MS UI Gothic"/>
          <w:w w:val="80"/>
        </w:rPr>
        <w:t xml:space="preserve">ꎬ </w:t>
      </w:r>
      <w:r>
        <w:t>小队长在队列之前</w:t>
      </w:r>
      <w:r>
        <w:rPr>
          <w:rFonts w:hint="eastAsia" w:ascii="MS UI Gothic" w:eastAsia="MS UI Gothic"/>
          <w:w w:val="80"/>
        </w:rPr>
        <w:t xml:space="preserve">ꎬ </w:t>
      </w:r>
      <w:r>
        <w:t>副小队长在队列之后</w:t>
      </w:r>
      <w:r>
        <w:rPr>
          <w:rFonts w:hint="eastAsia" w:ascii="MS UI Gothic" w:eastAsia="MS UI Gothic"/>
          <w:w w:val="80"/>
        </w:rPr>
        <w:t xml:space="preserve">ꎬ </w:t>
      </w:r>
      <w:r>
        <w:t>返回时则反之</w:t>
      </w:r>
      <w:r>
        <w:rPr>
          <w:rFonts w:hint="eastAsia" w:ascii="MS UI Gothic" w:eastAsia="MS UI Gothic"/>
          <w:w w:val="80"/>
        </w:rPr>
        <w:t xml:space="preserve">ꎮ </w:t>
      </w:r>
      <w:r>
        <w:t>行进中经过巷道交叉口时应当设置明显的路标</w:t>
      </w:r>
      <w:r>
        <w:rPr>
          <w:rFonts w:hint="eastAsia" w:ascii="MS UI Gothic" w:eastAsia="MS UI Gothic"/>
          <w:w w:val="80"/>
        </w:rPr>
        <w:t xml:space="preserve">ꎮ </w:t>
      </w:r>
      <w:r>
        <w:t>视线不清时</w:t>
      </w:r>
      <w:r>
        <w:rPr>
          <w:rFonts w:hint="eastAsia" w:ascii="MS UI Gothic" w:eastAsia="MS UI Gothic"/>
          <w:w w:val="80"/>
        </w:rPr>
        <w:t xml:space="preserve">ꎬ </w:t>
      </w:r>
      <w:r>
        <w:t>指战员之间要用联络绳联结</w:t>
      </w:r>
      <w:r>
        <w:rPr>
          <w:rFonts w:hint="eastAsia" w:ascii="MS UI Gothic" w:eastAsia="MS UI Gothic"/>
          <w:w w:val="80"/>
        </w:rPr>
        <w:t xml:space="preserve">ꎮ </w:t>
      </w:r>
      <w:r>
        <w:t>在搜索遇险遇难人员时</w:t>
      </w:r>
      <w:r>
        <w:rPr>
          <w:rFonts w:hint="eastAsia" w:ascii="MS UI Gothic" w:eastAsia="MS UI Gothic"/>
          <w:w w:val="80"/>
        </w:rPr>
        <w:t xml:space="preserve">ꎬ </w:t>
      </w:r>
      <w:r>
        <w:t>小队队形应当与巷道中线斜交前进</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指定人员分别检查通风</w:t>
      </w:r>
      <w:r>
        <w:rPr>
          <w:rFonts w:hint="eastAsia" w:ascii="MS UI Gothic" w:eastAsia="MS UI Gothic"/>
          <w:w w:val="80"/>
        </w:rPr>
        <w:t xml:space="preserve">、 </w:t>
      </w:r>
      <w:r>
        <w:t>气体浓度</w:t>
      </w:r>
      <w:r>
        <w:rPr>
          <w:rFonts w:hint="eastAsia" w:ascii="MS UI Gothic" w:eastAsia="MS UI Gothic"/>
          <w:w w:val="80"/>
        </w:rPr>
        <w:t xml:space="preserve">、 </w:t>
      </w:r>
      <w:r>
        <w:t>温度</w:t>
      </w:r>
      <w:r>
        <w:rPr>
          <w:rFonts w:hint="eastAsia" w:ascii="MS UI Gothic" w:eastAsia="MS UI Gothic"/>
          <w:w w:val="80"/>
        </w:rPr>
        <w:t xml:space="preserve">、 </w:t>
      </w:r>
      <w:r>
        <w:t>顶板等情况</w:t>
      </w:r>
      <w:r>
        <w:rPr>
          <w:rFonts w:hint="eastAsia" w:ascii="MS UI Gothic" w:eastAsia="MS UI Gothic"/>
          <w:w w:val="80"/>
        </w:rPr>
        <w:t xml:space="preserve">ꎬ </w:t>
      </w:r>
      <w:r>
        <w:t>做好记录</w:t>
      </w:r>
      <w:r>
        <w:rPr>
          <w:rFonts w:hint="eastAsia" w:ascii="MS UI Gothic" w:eastAsia="MS UI Gothic"/>
          <w:w w:val="80"/>
        </w:rPr>
        <w:t xml:space="preserve">ꎬ </w:t>
      </w:r>
      <w:r>
        <w:t>并标记在图纸上</w:t>
      </w:r>
      <w:r>
        <w:rPr>
          <w:rFonts w:hint="eastAsia" w:ascii="MS UI Gothic" w:eastAsia="MS UI Gothic"/>
          <w:w w:val="80"/>
        </w:rPr>
        <w:t>ꎮ</w:t>
      </w:r>
    </w:p>
    <w:p>
      <w:pPr>
        <w:pStyle w:val="6"/>
        <w:spacing w:line="254" w:lineRule="exact"/>
        <w:ind w:left="860" w:firstLine="0"/>
      </w:pPr>
      <w:r>
        <w:rPr>
          <w:rFonts w:hint="eastAsia" w:ascii="MS UI Gothic" w:eastAsia="MS UI Gothic"/>
          <w:w w:val="115"/>
        </w:rPr>
        <w:t xml:space="preserve">( </w:t>
      </w:r>
      <w:r>
        <w:rPr>
          <w:w w:val="110"/>
        </w:rPr>
        <w:t>四</w:t>
      </w:r>
      <w:r>
        <w:rPr>
          <w:rFonts w:hint="eastAsia" w:ascii="MS UI Gothic" w:eastAsia="MS UI Gothic"/>
          <w:w w:val="115"/>
        </w:rPr>
        <w:t xml:space="preserve">) </w:t>
      </w:r>
      <w:r>
        <w:rPr>
          <w:w w:val="110"/>
        </w:rPr>
        <w:t>坚持有巷必察</w:t>
      </w:r>
      <w:r>
        <w:rPr>
          <w:rFonts w:hint="eastAsia" w:ascii="MS UI Gothic" w:eastAsia="MS UI Gothic"/>
          <w:w w:val="80"/>
        </w:rPr>
        <w:t xml:space="preserve">ꎮ </w:t>
      </w:r>
      <w:r>
        <w:rPr>
          <w:w w:val="110"/>
        </w:rPr>
        <w:t>远距离和复杂</w:t>
      </w:r>
    </w:p>
    <w:p>
      <w:pPr>
        <w:pStyle w:val="6"/>
        <w:spacing w:before="124" w:line="295" w:lineRule="auto"/>
        <w:ind w:left="381" w:right="124" w:firstLine="0"/>
        <w:rPr>
          <w:rFonts w:hint="eastAsia" w:ascii="MS UI Gothic" w:eastAsia="MS UI Gothic"/>
        </w:rPr>
      </w:pPr>
      <w:r>
        <w:br w:type="column"/>
      </w:r>
      <w:r>
        <w:t>巷道</w:t>
      </w:r>
      <w:r>
        <w:rPr>
          <w:rFonts w:hint="eastAsia" w:ascii="MS UI Gothic" w:eastAsia="MS UI Gothic"/>
          <w:w w:val="80"/>
        </w:rPr>
        <w:t xml:space="preserve">ꎬ </w:t>
      </w:r>
      <w:r>
        <w:t>可组织几个小队分区段进行侦察</w:t>
      </w:r>
      <w:r>
        <w:rPr>
          <w:rFonts w:hint="eastAsia" w:ascii="MS UI Gothic" w:eastAsia="MS UI Gothic"/>
          <w:w w:val="80"/>
        </w:rPr>
        <w:t>ꎮ</w:t>
      </w:r>
      <w:r>
        <w:t>在所到巷道标注留名</w:t>
      </w:r>
      <w:r>
        <w:rPr>
          <w:rFonts w:hint="eastAsia" w:ascii="MS UI Gothic" w:eastAsia="MS UI Gothic"/>
          <w:w w:val="80"/>
        </w:rPr>
        <w:t xml:space="preserve">ꎬ </w:t>
      </w:r>
      <w:r>
        <w:t>并绘出侦察线路示意图</w:t>
      </w:r>
      <w:r>
        <w:rPr>
          <w:rFonts w:hint="eastAsia" w:ascii="MS UI Gothic" w:eastAsia="MS UI Gothic"/>
          <w:w w:val="80"/>
        </w:rPr>
        <w:t>ꎮ</w:t>
      </w:r>
    </w:p>
    <w:p>
      <w:pPr>
        <w:pStyle w:val="6"/>
        <w:spacing w:before="3" w:line="297" w:lineRule="auto"/>
        <w:ind w:left="381" w:right="124"/>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发现遇险人员应当全力抢救</w:t>
      </w:r>
      <w:r>
        <w:rPr>
          <w:rFonts w:hint="eastAsia" w:ascii="MS UI Gothic" w:eastAsia="MS UI Gothic"/>
          <w:w w:val="80"/>
        </w:rPr>
        <w:t>ꎬ</w:t>
      </w:r>
      <w:r>
        <w:t>并护送到新鲜风流处或者井下基地</w:t>
      </w:r>
      <w:r>
        <w:rPr>
          <w:rFonts w:hint="eastAsia" w:ascii="MS UI Gothic" w:eastAsia="MS UI Gothic"/>
          <w:w w:val="80"/>
        </w:rPr>
        <w:t xml:space="preserve">ꎮ </w:t>
      </w:r>
      <w:r>
        <w:t>在发</w:t>
      </w:r>
      <w:r>
        <w:rPr>
          <w:w w:val="105"/>
        </w:rPr>
        <w:t>现遇险</w:t>
      </w:r>
      <w:r>
        <w:rPr>
          <w:rFonts w:hint="eastAsia" w:ascii="MS UI Gothic" w:eastAsia="MS UI Gothic"/>
          <w:w w:val="80"/>
        </w:rPr>
        <w:t xml:space="preserve">、 </w:t>
      </w:r>
      <w:r>
        <w:rPr>
          <w:w w:val="105"/>
        </w:rPr>
        <w:t>遇难人员的地点要检查气体</w:t>
      </w:r>
      <w:r>
        <w:rPr>
          <w:rFonts w:hint="eastAsia" w:ascii="MS UI Gothic" w:eastAsia="MS UI Gothic"/>
          <w:w w:val="80"/>
        </w:rPr>
        <w:t xml:space="preserve">ꎬ </w:t>
      </w:r>
      <w:r>
        <w:rPr>
          <w:w w:val="105"/>
        </w:rPr>
        <w:t>并做好标记</w:t>
      </w:r>
      <w:r>
        <w:rPr>
          <w:rFonts w:hint="eastAsia" w:ascii="MS UI Gothic" w:eastAsia="MS UI Gothic"/>
          <w:w w:val="80"/>
        </w:rPr>
        <w:t>ꎮ</w:t>
      </w:r>
    </w:p>
    <w:p>
      <w:pPr>
        <w:pStyle w:val="6"/>
        <w:spacing w:line="297"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当侦察小队失去联系或者没按</w:t>
      </w:r>
      <w:r>
        <w:t>约定时间返回时</w:t>
      </w:r>
      <w:r>
        <w:rPr>
          <w:rFonts w:hint="eastAsia" w:ascii="MS UI Gothic" w:eastAsia="MS UI Gothic"/>
          <w:w w:val="80"/>
        </w:rPr>
        <w:t xml:space="preserve">ꎬ </w:t>
      </w:r>
      <w:r>
        <w:t>待机小队必须立即进入</w:t>
      </w:r>
      <w:r>
        <w:rPr>
          <w:w w:val="105"/>
        </w:rPr>
        <w:t>救援</w:t>
      </w:r>
      <w:r>
        <w:rPr>
          <w:rFonts w:hint="eastAsia" w:ascii="MS UI Gothic" w:eastAsia="MS UI Gothic"/>
          <w:w w:val="80"/>
        </w:rPr>
        <w:t xml:space="preserve">ꎬ </w:t>
      </w:r>
      <w:r>
        <w:rPr>
          <w:w w:val="105"/>
        </w:rPr>
        <w:t>并报告救援指挥部</w:t>
      </w:r>
      <w:r>
        <w:rPr>
          <w:rFonts w:hint="eastAsia" w:ascii="MS UI Gothic" w:eastAsia="MS UI Gothic"/>
          <w:w w:val="80"/>
        </w:rPr>
        <w:t>ꎮ</w:t>
      </w:r>
    </w:p>
    <w:p>
      <w:pPr>
        <w:pStyle w:val="6"/>
        <w:spacing w:line="297"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侦察结束后</w:t>
      </w:r>
      <w:r>
        <w:rPr>
          <w:rFonts w:hint="eastAsia" w:ascii="MS UI Gothic" w:eastAsia="MS UI Gothic"/>
          <w:w w:val="80"/>
        </w:rPr>
        <w:t xml:space="preserve">ꎬ </w:t>
      </w:r>
      <w:r>
        <w:rPr>
          <w:w w:val="105"/>
        </w:rPr>
        <w:t>带队指挥员必须</w:t>
      </w:r>
      <w:r>
        <w:t>立即向布置侦察任务的指挥员汇报侦察</w:t>
      </w:r>
      <w:r>
        <w:rPr>
          <w:w w:val="105"/>
        </w:rPr>
        <w:t>结果</w:t>
      </w:r>
      <w:r>
        <w:rPr>
          <w:rFonts w:hint="eastAsia" w:ascii="MS UI Gothic" w:eastAsia="MS UI Gothic"/>
          <w:w w:val="80"/>
        </w:rPr>
        <w:t>ꎮ</w:t>
      </w:r>
    </w:p>
    <w:p>
      <w:pPr>
        <w:pStyle w:val="6"/>
        <w:spacing w:line="295" w:lineRule="auto"/>
        <w:ind w:left="381" w:right="126"/>
        <w:rPr>
          <w:rFonts w:hint="eastAsia" w:ascii="MS UI Gothic" w:eastAsia="MS UI Gothic"/>
        </w:rPr>
      </w:pPr>
      <w:r>
        <w:t>第七百一十一条 矿山救护队在高温区进行救护工作时</w:t>
      </w:r>
      <w:r>
        <w:rPr>
          <w:rFonts w:hint="eastAsia" w:ascii="MS UI Gothic" w:eastAsia="MS UI Gothic"/>
          <w:w w:val="85"/>
        </w:rPr>
        <w:t xml:space="preserve">ꎬ </w:t>
      </w:r>
      <w:r>
        <w:t xml:space="preserve">救护指战员进入高温区的最长时间不得超过表 </w:t>
      </w:r>
      <w:r>
        <w:rPr>
          <w:rFonts w:hint="eastAsia" w:ascii="MS UI Gothic" w:eastAsia="MS UI Gothic"/>
          <w:w w:val="85"/>
        </w:rPr>
        <w:t xml:space="preserve">２７ </w:t>
      </w:r>
      <w:r>
        <w:t>的规定</w:t>
      </w:r>
      <w:r>
        <w:rPr>
          <w:rFonts w:hint="eastAsia" w:ascii="MS UI Gothic" w:eastAsia="MS UI Gothic"/>
          <w:w w:val="85"/>
        </w:rPr>
        <w:t>ꎮ</w:t>
      </w:r>
    </w:p>
    <w:p>
      <w:pPr>
        <w:pStyle w:val="6"/>
        <w:spacing w:before="211"/>
        <w:ind w:left="623" w:firstLine="0"/>
      </w:pPr>
      <w:r>
        <w:rPr>
          <w:w w:val="95"/>
        </w:rPr>
        <w:t xml:space="preserve">表 </w:t>
      </w:r>
      <w:r>
        <w:rPr>
          <w:rFonts w:hint="eastAsia" w:ascii="MS UI Gothic" w:eastAsia="MS UI Gothic"/>
          <w:w w:val="95"/>
        </w:rPr>
        <w:t xml:space="preserve">２７ </w:t>
      </w:r>
      <w:r>
        <w:rPr>
          <w:w w:val="95"/>
        </w:rPr>
        <w:t>救护指战员进入高温区的最长时间</w:t>
      </w:r>
    </w:p>
    <w:p>
      <w:pPr>
        <w:pStyle w:val="6"/>
        <w:spacing w:before="6"/>
        <w:ind w:left="0" w:firstLine="0"/>
        <w:jc w:val="left"/>
        <w:rPr>
          <w:sz w:val="6"/>
        </w:rPr>
      </w:pPr>
    </w:p>
    <w:tbl>
      <w:tblPr>
        <w:tblStyle w:val="7"/>
        <w:tblW w:w="0" w:type="auto"/>
        <w:tblInd w:w="39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432"/>
        <w:gridCol w:w="477"/>
        <w:gridCol w:w="477"/>
        <w:gridCol w:w="477"/>
        <w:gridCol w:w="477"/>
        <w:gridCol w:w="430"/>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432" w:type="dxa"/>
            <w:tcBorders>
              <w:bottom w:val="single" w:color="231F20" w:sz="4" w:space="0"/>
              <w:right w:val="single" w:color="231F20" w:sz="4" w:space="0"/>
            </w:tcBorders>
          </w:tcPr>
          <w:p>
            <w:pPr>
              <w:pStyle w:val="11"/>
              <w:spacing w:before="50"/>
              <w:ind w:left="193" w:right="202"/>
              <w:jc w:val="center"/>
              <w:rPr>
                <w:rFonts w:hint="eastAsia" w:ascii="MS UI Gothic" w:hAnsi="MS UI Gothic" w:eastAsia="MS UI Gothic"/>
                <w:sz w:val="15"/>
              </w:rPr>
            </w:pPr>
            <w:r>
              <w:rPr>
                <w:sz w:val="15"/>
              </w:rPr>
              <w:t>温度</w:t>
            </w:r>
            <w:r>
              <w:rPr>
                <w:rFonts w:hint="eastAsia" w:ascii="MS UI Gothic" w:hAnsi="MS UI Gothic" w:eastAsia="MS UI Gothic"/>
                <w:w w:val="65"/>
                <w:sz w:val="15"/>
              </w:rPr>
              <w:t xml:space="preserve">/ </w:t>
            </w:r>
            <w:r>
              <w:rPr>
                <w:rFonts w:hint="eastAsia" w:ascii="MS UI Gothic" w:hAnsi="MS UI Gothic" w:eastAsia="MS UI Gothic"/>
                <w:sz w:val="15"/>
              </w:rPr>
              <w:t>℃</w:t>
            </w:r>
          </w:p>
        </w:tc>
        <w:tc>
          <w:tcPr>
            <w:tcW w:w="477" w:type="dxa"/>
            <w:tcBorders>
              <w:left w:val="single" w:color="231F20" w:sz="4" w:space="0"/>
              <w:bottom w:val="single" w:color="231F20" w:sz="4" w:space="0"/>
              <w:right w:val="single" w:color="231F20" w:sz="4" w:space="0"/>
            </w:tcBorders>
          </w:tcPr>
          <w:p>
            <w:pPr>
              <w:pStyle w:val="11"/>
              <w:spacing w:before="50"/>
              <w:ind w:left="131" w:right="119"/>
              <w:jc w:val="center"/>
              <w:rPr>
                <w:rFonts w:hint="eastAsia" w:ascii="MS UI Gothic" w:eastAsia="MS UI Gothic"/>
                <w:sz w:val="15"/>
              </w:rPr>
            </w:pPr>
            <w:r>
              <w:rPr>
                <w:rFonts w:hint="eastAsia" w:ascii="MS UI Gothic" w:eastAsia="MS UI Gothic"/>
                <w:w w:val="85"/>
                <w:sz w:val="15"/>
              </w:rPr>
              <w:t>４０</w:t>
            </w:r>
          </w:p>
        </w:tc>
        <w:tc>
          <w:tcPr>
            <w:tcW w:w="477" w:type="dxa"/>
            <w:tcBorders>
              <w:left w:val="single" w:color="231F20" w:sz="4" w:space="0"/>
              <w:bottom w:val="single" w:color="231F20" w:sz="4" w:space="0"/>
              <w:right w:val="single" w:color="231F20" w:sz="4" w:space="0"/>
            </w:tcBorders>
          </w:tcPr>
          <w:p>
            <w:pPr>
              <w:pStyle w:val="11"/>
              <w:spacing w:before="50"/>
              <w:ind w:left="132" w:right="119"/>
              <w:jc w:val="center"/>
              <w:rPr>
                <w:rFonts w:hint="eastAsia" w:ascii="MS UI Gothic" w:eastAsia="MS UI Gothic"/>
                <w:sz w:val="15"/>
              </w:rPr>
            </w:pPr>
            <w:r>
              <w:rPr>
                <w:rFonts w:hint="eastAsia" w:ascii="MS UI Gothic" w:eastAsia="MS UI Gothic"/>
                <w:w w:val="85"/>
                <w:sz w:val="15"/>
              </w:rPr>
              <w:t>４５</w:t>
            </w:r>
          </w:p>
        </w:tc>
        <w:tc>
          <w:tcPr>
            <w:tcW w:w="477" w:type="dxa"/>
            <w:tcBorders>
              <w:left w:val="single" w:color="231F20" w:sz="4" w:space="0"/>
              <w:bottom w:val="single" w:color="231F20" w:sz="4" w:space="0"/>
              <w:right w:val="single" w:color="231F20" w:sz="4" w:space="0"/>
            </w:tcBorders>
          </w:tcPr>
          <w:p>
            <w:pPr>
              <w:pStyle w:val="11"/>
              <w:spacing w:before="50"/>
              <w:ind w:left="132" w:right="119"/>
              <w:jc w:val="center"/>
              <w:rPr>
                <w:rFonts w:hint="eastAsia" w:ascii="MS UI Gothic" w:eastAsia="MS UI Gothic"/>
                <w:sz w:val="15"/>
              </w:rPr>
            </w:pPr>
            <w:r>
              <w:rPr>
                <w:rFonts w:hint="eastAsia" w:ascii="MS UI Gothic" w:eastAsia="MS UI Gothic"/>
                <w:w w:val="85"/>
                <w:sz w:val="15"/>
              </w:rPr>
              <w:t>５０</w:t>
            </w:r>
          </w:p>
        </w:tc>
        <w:tc>
          <w:tcPr>
            <w:tcW w:w="477" w:type="dxa"/>
            <w:tcBorders>
              <w:left w:val="single" w:color="231F20" w:sz="4" w:space="0"/>
              <w:bottom w:val="single" w:color="231F20" w:sz="4" w:space="0"/>
              <w:right w:val="single" w:color="231F20" w:sz="4" w:space="0"/>
            </w:tcBorders>
          </w:tcPr>
          <w:p>
            <w:pPr>
              <w:pStyle w:val="11"/>
              <w:spacing w:before="50"/>
              <w:ind w:left="132" w:right="118"/>
              <w:jc w:val="center"/>
              <w:rPr>
                <w:rFonts w:hint="eastAsia" w:ascii="MS UI Gothic" w:eastAsia="MS UI Gothic"/>
                <w:sz w:val="15"/>
              </w:rPr>
            </w:pPr>
            <w:r>
              <w:rPr>
                <w:rFonts w:hint="eastAsia" w:ascii="MS UI Gothic" w:eastAsia="MS UI Gothic"/>
                <w:w w:val="85"/>
                <w:sz w:val="15"/>
              </w:rPr>
              <w:t>５５</w:t>
            </w:r>
          </w:p>
        </w:tc>
        <w:tc>
          <w:tcPr>
            <w:tcW w:w="430" w:type="dxa"/>
            <w:tcBorders>
              <w:left w:val="single" w:color="231F20" w:sz="4" w:space="0"/>
              <w:bottom w:val="single" w:color="231F20" w:sz="4" w:space="0"/>
            </w:tcBorders>
          </w:tcPr>
          <w:p>
            <w:pPr>
              <w:pStyle w:val="11"/>
              <w:spacing w:before="50"/>
              <w:ind w:left="23" w:right="2"/>
              <w:jc w:val="center"/>
              <w:rPr>
                <w:rFonts w:hint="eastAsia" w:ascii="MS UI Gothic" w:eastAsia="MS UI Gothic"/>
                <w:sz w:val="15"/>
              </w:rPr>
            </w:pPr>
            <w:r>
              <w:rPr>
                <w:rFonts w:hint="eastAsia" w:ascii="MS UI Gothic" w:eastAsia="MS UI Gothic"/>
                <w:w w:val="85"/>
                <w:sz w:val="15"/>
              </w:rPr>
              <w:t>６０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1432" w:type="dxa"/>
            <w:tcBorders>
              <w:top w:val="single" w:color="231F20" w:sz="4" w:space="0"/>
              <w:right w:val="single" w:color="231F20" w:sz="4" w:space="0"/>
            </w:tcBorders>
          </w:tcPr>
          <w:p>
            <w:pPr>
              <w:pStyle w:val="11"/>
              <w:spacing w:before="55"/>
              <w:ind w:left="212" w:right="202"/>
              <w:jc w:val="center"/>
              <w:rPr>
                <w:rFonts w:hint="eastAsia" w:ascii="MS UI Gothic" w:eastAsia="MS UI Gothic"/>
                <w:sz w:val="15"/>
              </w:rPr>
            </w:pPr>
            <w:r>
              <w:rPr>
                <w:sz w:val="15"/>
              </w:rPr>
              <w:t>进入时间</w:t>
            </w:r>
            <w:r>
              <w:rPr>
                <w:rFonts w:hint="eastAsia" w:ascii="MS UI Gothic" w:eastAsia="MS UI Gothic"/>
                <w:w w:val="75"/>
                <w:sz w:val="15"/>
              </w:rPr>
              <w:t xml:space="preserve">/ </w:t>
            </w:r>
            <w:r>
              <w:rPr>
                <w:rFonts w:hint="eastAsia" w:ascii="MS UI Gothic" w:eastAsia="MS UI Gothic"/>
                <w:sz w:val="15"/>
              </w:rPr>
              <w:t>ｍｉｎ</w:t>
            </w:r>
          </w:p>
        </w:tc>
        <w:tc>
          <w:tcPr>
            <w:tcW w:w="477" w:type="dxa"/>
            <w:tcBorders>
              <w:top w:val="single" w:color="231F20" w:sz="4" w:space="0"/>
              <w:left w:val="single" w:color="231F20" w:sz="4" w:space="0"/>
              <w:right w:val="single" w:color="231F20" w:sz="4" w:space="0"/>
            </w:tcBorders>
          </w:tcPr>
          <w:p>
            <w:pPr>
              <w:pStyle w:val="11"/>
              <w:spacing w:before="55"/>
              <w:ind w:left="131" w:right="119"/>
              <w:jc w:val="center"/>
              <w:rPr>
                <w:rFonts w:hint="eastAsia" w:ascii="MS UI Gothic" w:eastAsia="MS UI Gothic"/>
                <w:sz w:val="15"/>
              </w:rPr>
            </w:pPr>
            <w:r>
              <w:rPr>
                <w:rFonts w:hint="eastAsia" w:ascii="MS UI Gothic" w:eastAsia="MS UI Gothic"/>
                <w:w w:val="85"/>
                <w:sz w:val="15"/>
              </w:rPr>
              <w:t>２５</w:t>
            </w:r>
          </w:p>
        </w:tc>
        <w:tc>
          <w:tcPr>
            <w:tcW w:w="477" w:type="dxa"/>
            <w:tcBorders>
              <w:top w:val="single" w:color="231F20" w:sz="4" w:space="0"/>
              <w:left w:val="single" w:color="231F20" w:sz="4" w:space="0"/>
              <w:right w:val="single" w:color="231F20" w:sz="4" w:space="0"/>
            </w:tcBorders>
          </w:tcPr>
          <w:p>
            <w:pPr>
              <w:pStyle w:val="11"/>
              <w:spacing w:before="55"/>
              <w:ind w:left="132" w:right="119"/>
              <w:jc w:val="center"/>
              <w:rPr>
                <w:rFonts w:hint="eastAsia" w:ascii="MS UI Gothic" w:eastAsia="MS UI Gothic"/>
                <w:sz w:val="15"/>
              </w:rPr>
            </w:pPr>
            <w:r>
              <w:rPr>
                <w:rFonts w:hint="eastAsia" w:ascii="MS UI Gothic" w:eastAsia="MS UI Gothic"/>
                <w:w w:val="85"/>
                <w:sz w:val="15"/>
              </w:rPr>
              <w:t>２０</w:t>
            </w:r>
          </w:p>
        </w:tc>
        <w:tc>
          <w:tcPr>
            <w:tcW w:w="477" w:type="dxa"/>
            <w:tcBorders>
              <w:top w:val="single" w:color="231F20" w:sz="4" w:space="0"/>
              <w:left w:val="single" w:color="231F20" w:sz="4" w:space="0"/>
              <w:right w:val="single" w:color="231F20" w:sz="4" w:space="0"/>
            </w:tcBorders>
          </w:tcPr>
          <w:p>
            <w:pPr>
              <w:pStyle w:val="11"/>
              <w:spacing w:before="55"/>
              <w:ind w:left="132" w:right="119"/>
              <w:jc w:val="center"/>
              <w:rPr>
                <w:rFonts w:hint="eastAsia" w:ascii="MS UI Gothic" w:eastAsia="MS UI Gothic"/>
                <w:sz w:val="15"/>
              </w:rPr>
            </w:pPr>
            <w:r>
              <w:rPr>
                <w:rFonts w:hint="eastAsia" w:ascii="MS UI Gothic" w:eastAsia="MS UI Gothic"/>
                <w:w w:val="85"/>
                <w:sz w:val="15"/>
              </w:rPr>
              <w:t>１５</w:t>
            </w:r>
          </w:p>
        </w:tc>
        <w:tc>
          <w:tcPr>
            <w:tcW w:w="477" w:type="dxa"/>
            <w:tcBorders>
              <w:top w:val="single" w:color="231F20" w:sz="4" w:space="0"/>
              <w:left w:val="single" w:color="231F20" w:sz="4" w:space="0"/>
              <w:right w:val="single" w:color="231F20" w:sz="4" w:space="0"/>
            </w:tcBorders>
          </w:tcPr>
          <w:p>
            <w:pPr>
              <w:pStyle w:val="11"/>
              <w:spacing w:before="55"/>
              <w:ind w:left="132" w:right="118"/>
              <w:jc w:val="center"/>
              <w:rPr>
                <w:rFonts w:hint="eastAsia" w:ascii="MS UI Gothic" w:eastAsia="MS UI Gothic"/>
                <w:sz w:val="15"/>
              </w:rPr>
            </w:pPr>
            <w:r>
              <w:rPr>
                <w:rFonts w:hint="eastAsia" w:ascii="MS UI Gothic" w:eastAsia="MS UI Gothic"/>
                <w:w w:val="85"/>
                <w:sz w:val="15"/>
              </w:rPr>
              <w:t>１０</w:t>
            </w:r>
          </w:p>
        </w:tc>
        <w:tc>
          <w:tcPr>
            <w:tcW w:w="430" w:type="dxa"/>
            <w:tcBorders>
              <w:top w:val="single" w:color="231F20" w:sz="4" w:space="0"/>
              <w:left w:val="single" w:color="231F20" w:sz="4" w:space="0"/>
            </w:tcBorders>
          </w:tcPr>
          <w:p>
            <w:pPr>
              <w:pStyle w:val="11"/>
              <w:spacing w:before="55"/>
              <w:ind w:left="20"/>
              <w:jc w:val="center"/>
              <w:rPr>
                <w:rFonts w:hint="eastAsia" w:ascii="MS UI Gothic" w:eastAsia="MS UI Gothic"/>
                <w:sz w:val="15"/>
              </w:rPr>
            </w:pPr>
            <w:r>
              <w:rPr>
                <w:rFonts w:hint="eastAsia" w:ascii="MS UI Gothic" w:eastAsia="MS UI Gothic"/>
                <w:w w:val="75"/>
                <w:sz w:val="15"/>
              </w:rPr>
              <w:t>５</w:t>
            </w:r>
          </w:p>
        </w:tc>
      </w:tr>
    </w:tbl>
    <w:p>
      <w:pPr>
        <w:pStyle w:val="6"/>
        <w:spacing w:before="286" w:line="295" w:lineRule="auto"/>
        <w:ind w:left="381" w:right="126"/>
        <w:rPr>
          <w:rFonts w:hint="eastAsia" w:ascii="MS UI Gothic" w:eastAsia="MS UI Gothic"/>
        </w:rPr>
      </w:pPr>
      <w:r>
        <w:rPr>
          <w:w w:val="105"/>
        </w:rPr>
        <w:t>第七百一十二条 处理矿井火灾事</w:t>
      </w:r>
      <w:r>
        <w:rPr>
          <w:w w:val="110"/>
        </w:rPr>
        <w:t>故</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before="2" w:line="297"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控制烟雾的蔓延</w:t>
      </w:r>
      <w:r>
        <w:rPr>
          <w:rFonts w:hint="eastAsia" w:ascii="MS UI Gothic" w:eastAsia="MS UI Gothic"/>
          <w:w w:val="80"/>
        </w:rPr>
        <w:t xml:space="preserve">ꎬ </w:t>
      </w:r>
      <w:r>
        <w:rPr>
          <w:w w:val="105"/>
        </w:rPr>
        <w:t>防止火灾扩大</w:t>
      </w:r>
      <w:r>
        <w:rPr>
          <w:rFonts w:hint="eastAsia" w:ascii="MS UI Gothic" w:eastAsia="MS UI Gothic"/>
          <w:w w:val="80"/>
        </w:rPr>
        <w:t>ꎮ</w:t>
      </w:r>
    </w:p>
    <w:p>
      <w:pPr>
        <w:pStyle w:val="6"/>
        <w:spacing w:line="297" w:lineRule="auto"/>
        <w:ind w:left="381" w:right="126"/>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防止引起瓦斯</w:t>
      </w:r>
      <w:r>
        <w:rPr>
          <w:rFonts w:hint="eastAsia" w:ascii="MS UI Gothic" w:eastAsia="MS UI Gothic"/>
          <w:w w:val="80"/>
        </w:rPr>
        <w:t xml:space="preserve">、 </w:t>
      </w:r>
      <w:r>
        <w:t>煤尘爆炸</w:t>
      </w:r>
      <w:r>
        <w:rPr>
          <w:rFonts w:hint="eastAsia" w:ascii="MS UI Gothic" w:eastAsia="MS UI Gothic"/>
          <w:w w:val="80"/>
        </w:rPr>
        <w:t xml:space="preserve">ꎮ </w:t>
      </w:r>
      <w:r>
        <w:t>必须指定专人检查瓦斯和煤尘</w:t>
      </w:r>
      <w:r>
        <w:rPr>
          <w:rFonts w:hint="eastAsia" w:ascii="MS UI Gothic" w:eastAsia="MS UI Gothic"/>
          <w:w w:val="80"/>
        </w:rPr>
        <w:t xml:space="preserve">ꎬ </w:t>
      </w:r>
      <w:r>
        <w:t>观测灾区的气体和风流变化</w:t>
      </w:r>
      <w:r>
        <w:rPr>
          <w:rFonts w:hint="eastAsia" w:ascii="MS UI Gothic" w:eastAsia="MS UI Gothic"/>
          <w:w w:val="80"/>
        </w:rPr>
        <w:t xml:space="preserve">ꎮ </w:t>
      </w:r>
      <w:r>
        <w:t xml:space="preserve">当甲烷浓度达到 </w:t>
      </w:r>
      <w:r>
        <w:rPr>
          <w:rFonts w:hint="eastAsia" w:ascii="MS UI Gothic" w:eastAsia="MS UI Gothic"/>
          <w:w w:val="80"/>
        </w:rPr>
        <w:t>２ ０</w:t>
      </w:r>
      <w:r>
        <w:rPr>
          <w:w w:val="80"/>
        </w:rPr>
        <w:t xml:space="preserve">％ </w:t>
      </w:r>
      <w:r>
        <w:t>以上并继续增加时</w:t>
      </w:r>
      <w:r>
        <w:rPr>
          <w:rFonts w:hint="eastAsia" w:ascii="MS UI Gothic" w:eastAsia="MS UI Gothic"/>
          <w:w w:val="80"/>
        </w:rPr>
        <w:t xml:space="preserve">ꎬ </w:t>
      </w:r>
      <w:r>
        <w:t>全部人员立即撤离至安全地点并向指挥部报告</w:t>
      </w:r>
      <w:r>
        <w:rPr>
          <w:rFonts w:hint="eastAsia" w:ascii="MS UI Gothic" w:eastAsia="MS UI Gothic"/>
          <w:w w:val="80"/>
        </w:rPr>
        <w:t>ꎮ</w:t>
      </w:r>
    </w:p>
    <w:p>
      <w:pPr>
        <w:pStyle w:val="6"/>
        <w:spacing w:line="297"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处理上</w:t>
      </w:r>
      <w:r>
        <w:rPr>
          <w:rFonts w:hint="eastAsia" w:ascii="MS UI Gothic" w:eastAsia="MS UI Gothic"/>
          <w:w w:val="80"/>
        </w:rPr>
        <w:t xml:space="preserve">、 </w:t>
      </w:r>
      <w:r>
        <w:rPr>
          <w:w w:val="105"/>
        </w:rPr>
        <w:t>下山火灾时</w:t>
      </w:r>
      <w:r>
        <w:rPr>
          <w:rFonts w:hint="eastAsia" w:ascii="MS UI Gothic" w:eastAsia="MS UI Gothic"/>
          <w:w w:val="80"/>
        </w:rPr>
        <w:t xml:space="preserve">ꎬ </w:t>
      </w:r>
      <w:r>
        <w:rPr>
          <w:w w:val="105"/>
        </w:rPr>
        <w:t>必须采</w:t>
      </w:r>
      <w:r>
        <w:t>取措施</w:t>
      </w:r>
      <w:r>
        <w:rPr>
          <w:rFonts w:hint="eastAsia" w:ascii="MS UI Gothic" w:eastAsia="MS UI Gothic"/>
          <w:w w:val="80"/>
        </w:rPr>
        <w:t xml:space="preserve">ꎬ </w:t>
      </w:r>
      <w:r>
        <w:t>防止因火风压造成风流逆转和巷</w:t>
      </w:r>
      <w:r>
        <w:rPr>
          <w:w w:val="105"/>
        </w:rPr>
        <w:t>道垮塌造成风流受阻</w:t>
      </w:r>
      <w:r>
        <w:rPr>
          <w:rFonts w:hint="eastAsia" w:ascii="MS UI Gothic" w:eastAsia="MS UI Gothic"/>
          <w:w w:val="80"/>
        </w:rPr>
        <w:t>ꎮ</w:t>
      </w:r>
    </w:p>
    <w:p>
      <w:pPr>
        <w:pStyle w:val="6"/>
        <w:spacing w:line="297" w:lineRule="auto"/>
        <w:ind w:left="381" w:right="126"/>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处理进风井井口</w:t>
      </w:r>
      <w:r>
        <w:rPr>
          <w:rFonts w:hint="eastAsia" w:ascii="MS UI Gothic" w:eastAsia="MS UI Gothic"/>
          <w:w w:val="80"/>
        </w:rPr>
        <w:t xml:space="preserve">、 </w:t>
      </w:r>
      <w:r>
        <w:rPr>
          <w:w w:val="105"/>
        </w:rPr>
        <w:t>井筒</w:t>
      </w:r>
      <w:r>
        <w:rPr>
          <w:rFonts w:hint="eastAsia" w:ascii="MS UI Gothic" w:eastAsia="MS UI Gothic"/>
          <w:w w:val="80"/>
        </w:rPr>
        <w:t xml:space="preserve">、 </w:t>
      </w:r>
      <w:r>
        <w:rPr>
          <w:w w:val="105"/>
        </w:rPr>
        <w:t>井底车场</w:t>
      </w:r>
      <w:r>
        <w:rPr>
          <w:rFonts w:hint="eastAsia" w:ascii="MS UI Gothic" w:eastAsia="MS UI Gothic"/>
          <w:w w:val="80"/>
        </w:rPr>
        <w:t xml:space="preserve">、 </w:t>
      </w:r>
      <w:r>
        <w:rPr>
          <w:w w:val="105"/>
        </w:rPr>
        <w:t>主要进风巷和硐室火灾时</w:t>
      </w:r>
      <w:r>
        <w:rPr>
          <w:rFonts w:hint="eastAsia" w:ascii="MS UI Gothic" w:eastAsia="MS UI Gothic"/>
          <w:w w:val="80"/>
        </w:rPr>
        <w:t xml:space="preserve">ꎬ </w:t>
      </w:r>
      <w:r>
        <w:rPr>
          <w:w w:val="105"/>
        </w:rPr>
        <w:t>应当进</w:t>
      </w:r>
      <w:r>
        <w:t>行全矿井反风</w:t>
      </w:r>
      <w:r>
        <w:rPr>
          <w:rFonts w:hint="eastAsia" w:ascii="MS UI Gothic" w:eastAsia="MS UI Gothic"/>
          <w:w w:val="80"/>
        </w:rPr>
        <w:t xml:space="preserve">ꎮ </w:t>
      </w:r>
      <w:r>
        <w:t>反风前</w:t>
      </w:r>
      <w:r>
        <w:rPr>
          <w:rFonts w:hint="eastAsia" w:ascii="MS UI Gothic" w:eastAsia="MS UI Gothic"/>
          <w:w w:val="80"/>
        </w:rPr>
        <w:t xml:space="preserve">ꎬ </w:t>
      </w:r>
      <w:r>
        <w:t>必须将火源进风侧的人员撤出</w:t>
      </w:r>
      <w:r>
        <w:rPr>
          <w:rFonts w:hint="eastAsia" w:ascii="MS UI Gothic" w:eastAsia="MS UI Gothic"/>
          <w:w w:val="80"/>
        </w:rPr>
        <w:t xml:space="preserve">ꎬ </w:t>
      </w:r>
      <w:r>
        <w:t>并采取阻止火灾蔓延的措施</w:t>
      </w:r>
      <w:r>
        <w:rPr>
          <w:rFonts w:hint="eastAsia" w:ascii="MS UI Gothic" w:eastAsia="MS UI Gothic"/>
          <w:w w:val="80"/>
        </w:rPr>
        <w:t xml:space="preserve">ꎮ </w:t>
      </w:r>
      <w:r>
        <w:t>多台主要通风机联合通风的矿井反风时</w:t>
      </w:r>
      <w:r>
        <w:rPr>
          <w:rFonts w:hint="eastAsia" w:ascii="MS UI Gothic" w:eastAsia="MS UI Gothic"/>
          <w:w w:val="80"/>
        </w:rPr>
        <w:t xml:space="preserve">ꎬ </w:t>
      </w:r>
      <w:r>
        <w:t>要保证非事故区域的主要通风机先反</w:t>
      </w:r>
    </w:p>
    <w:p>
      <w:pPr>
        <w:spacing w:after="0" w:line="297"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３４６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51" o:spid="_x0000_s2051" o:spt="203" style="height:2.15pt;width:398.25pt;" coordsize="7965,43">
            <o:lock v:ext="edit"/>
            <v:line id="_x0000_s2052" o:spid="_x0000_s2052" o:spt="20" style="position:absolute;left:0;top:39;height:0;width:7965;" stroked="t" coordsize="21600,21600">
              <v:path arrowok="t"/>
              <v:fill focussize="0,0"/>
              <v:stroke weight="0.388031496062992pt" color="#231F20"/>
              <v:imagedata o:title=""/>
              <o:lock v:ext="edit"/>
            </v:line>
            <v:line id="_x0000_s2053" o:spid="_x0000_s205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风</w:t>
      </w:r>
      <w:r>
        <w:rPr>
          <w:rFonts w:hint="eastAsia" w:ascii="MS UI Gothic" w:eastAsia="MS UI Gothic"/>
          <w:w w:val="80"/>
        </w:rPr>
        <w:t xml:space="preserve">ꎬ </w:t>
      </w:r>
      <w:r>
        <w:t>事故区域的主要通风机后反风</w:t>
      </w:r>
      <w:r>
        <w:rPr>
          <w:rFonts w:hint="eastAsia" w:ascii="MS UI Gothic" w:eastAsia="MS UI Gothic"/>
          <w:w w:val="80"/>
        </w:rPr>
        <w:t xml:space="preserve">ꎮ </w:t>
      </w:r>
      <w:r>
        <w:t>采取风流短路措施时</w:t>
      </w:r>
      <w:r>
        <w:rPr>
          <w:rFonts w:hint="eastAsia" w:ascii="MS UI Gothic" w:eastAsia="MS UI Gothic"/>
          <w:w w:val="80"/>
        </w:rPr>
        <w:t xml:space="preserve">ꎬ </w:t>
      </w:r>
      <w:r>
        <w:t>必须将受影响区域内的人员全部撤出</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处理掘进工作面火灾时</w:t>
      </w:r>
      <w:r>
        <w:rPr>
          <w:rFonts w:hint="eastAsia" w:ascii="MS UI Gothic" w:eastAsia="MS UI Gothic"/>
          <w:w w:val="80"/>
        </w:rPr>
        <w:t xml:space="preserve">ꎬ </w:t>
      </w:r>
      <w:r>
        <w:rPr>
          <w:w w:val="105"/>
        </w:rPr>
        <w:t>应当</w:t>
      </w:r>
      <w:r>
        <w:t>保持原有的通风状态</w:t>
      </w:r>
      <w:r>
        <w:rPr>
          <w:rFonts w:hint="eastAsia" w:ascii="MS UI Gothic" w:eastAsia="MS UI Gothic"/>
          <w:w w:val="80"/>
        </w:rPr>
        <w:t xml:space="preserve">ꎬ </w:t>
      </w:r>
      <w:r>
        <w:t>进行侦察后再采取</w:t>
      </w:r>
      <w:r>
        <w:rPr>
          <w:w w:val="105"/>
        </w:rPr>
        <w:t>措施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t>六</w:t>
      </w:r>
      <w:r>
        <w:rPr>
          <w:rFonts w:hint="eastAsia" w:ascii="MS UI Gothic" w:eastAsia="MS UI Gothic"/>
          <w:w w:val="150"/>
        </w:rPr>
        <w:t xml:space="preserve">) </w:t>
      </w:r>
      <w:r>
        <w:t>处理爆炸物品库火灾时</w:t>
      </w:r>
      <w:r>
        <w:rPr>
          <w:rFonts w:hint="eastAsia" w:ascii="MS UI Gothic" w:eastAsia="MS UI Gothic"/>
          <w:w w:val="80"/>
        </w:rPr>
        <w:t xml:space="preserve">ꎬ </w:t>
      </w:r>
      <w:r>
        <w:t>应当首先将雷管运出</w:t>
      </w:r>
      <w:r>
        <w:rPr>
          <w:rFonts w:hint="eastAsia" w:ascii="MS UI Gothic" w:eastAsia="MS UI Gothic"/>
          <w:w w:val="80"/>
        </w:rPr>
        <w:t xml:space="preserve">ꎬ </w:t>
      </w:r>
      <w:r>
        <w:t>然后将其他爆炸物品运出</w:t>
      </w:r>
      <w:r>
        <w:rPr>
          <w:rFonts w:hint="eastAsia" w:ascii="MS UI Gothic" w:eastAsia="MS UI Gothic"/>
          <w:w w:val="80"/>
        </w:rPr>
        <w:t xml:space="preserve">ꎻ </w:t>
      </w:r>
      <w:r>
        <w:t>因高温或者爆炸危险不能运出时</w:t>
      </w:r>
      <w:r>
        <w:rPr>
          <w:rFonts w:hint="eastAsia" w:ascii="MS UI Gothic" w:eastAsia="MS UI Gothic"/>
          <w:w w:val="80"/>
        </w:rPr>
        <w:t xml:space="preserve">ꎬ </w:t>
      </w:r>
      <w:r>
        <w:t>应当关闭防火门</w:t>
      </w:r>
      <w:r>
        <w:rPr>
          <w:rFonts w:hint="eastAsia" w:ascii="MS UI Gothic" w:eastAsia="MS UI Gothic"/>
          <w:w w:val="80"/>
        </w:rPr>
        <w:t xml:space="preserve">ꎬ </w:t>
      </w:r>
      <w:r>
        <w:t>退至安全地点</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处理绞车房火灾时</w:t>
      </w:r>
      <w:r>
        <w:rPr>
          <w:rFonts w:hint="eastAsia" w:ascii="MS UI Gothic" w:eastAsia="MS UI Gothic"/>
          <w:w w:val="80"/>
        </w:rPr>
        <w:t xml:space="preserve">ꎬ </w:t>
      </w:r>
      <w:r>
        <w:rPr>
          <w:w w:val="105"/>
        </w:rPr>
        <w:t>应当将火</w:t>
      </w:r>
      <w:r>
        <w:t>源下方的矿车固定</w:t>
      </w:r>
      <w:r>
        <w:rPr>
          <w:rFonts w:hint="eastAsia" w:ascii="MS UI Gothic" w:eastAsia="MS UI Gothic"/>
          <w:w w:val="80"/>
        </w:rPr>
        <w:t xml:space="preserve">ꎬ </w:t>
      </w:r>
      <w:r>
        <w:t>防止烧断钢丝绳造成</w:t>
      </w:r>
      <w:r>
        <w:rPr>
          <w:w w:val="105"/>
        </w:rPr>
        <w:t>跑车伤人</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处理蓄电池电机车库火灾时</w:t>
      </w:r>
      <w:r>
        <w:rPr>
          <w:rFonts w:hint="eastAsia" w:ascii="MS UI Gothic" w:eastAsia="MS UI Gothic"/>
          <w:w w:val="80"/>
        </w:rPr>
        <w:t>ꎬ</w:t>
      </w:r>
      <w:r>
        <w:rPr>
          <w:w w:val="105"/>
        </w:rPr>
        <w:t>应当切断电源</w:t>
      </w:r>
      <w:r>
        <w:rPr>
          <w:rFonts w:hint="eastAsia" w:ascii="MS UI Gothic" w:eastAsia="MS UI Gothic"/>
          <w:w w:val="80"/>
        </w:rPr>
        <w:t xml:space="preserve">ꎬ </w:t>
      </w:r>
      <w:r>
        <w:rPr>
          <w:w w:val="105"/>
        </w:rPr>
        <w:t>采取措施</w:t>
      </w:r>
      <w:r>
        <w:rPr>
          <w:rFonts w:hint="eastAsia" w:ascii="MS UI Gothic" w:eastAsia="MS UI Gothic"/>
          <w:w w:val="80"/>
        </w:rPr>
        <w:t xml:space="preserve">ꎬ </w:t>
      </w:r>
      <w:r>
        <w:rPr>
          <w:w w:val="105"/>
        </w:rPr>
        <w:t>防止氢气爆炸</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t>九</w:t>
      </w:r>
      <w:r>
        <w:rPr>
          <w:rFonts w:hint="eastAsia" w:ascii="MS UI Gothic" w:eastAsia="MS UI Gothic"/>
          <w:w w:val="150"/>
        </w:rPr>
        <w:t xml:space="preserve">) </w:t>
      </w:r>
      <w:r>
        <w:t>灭火工作必须从火源进风侧进行</w:t>
      </w:r>
      <w:r>
        <w:rPr>
          <w:rFonts w:hint="eastAsia" w:ascii="MS UI Gothic" w:eastAsia="MS UI Gothic"/>
          <w:w w:val="80"/>
        </w:rPr>
        <w:t xml:space="preserve">ꎮ </w:t>
      </w:r>
      <w:r>
        <w:t>用水灭火时</w:t>
      </w:r>
      <w:r>
        <w:rPr>
          <w:rFonts w:hint="eastAsia" w:ascii="MS UI Gothic" w:eastAsia="MS UI Gothic"/>
          <w:w w:val="80"/>
        </w:rPr>
        <w:t xml:space="preserve">ꎬ </w:t>
      </w:r>
      <w:r>
        <w:t>水流应从火源外围喷射</w:t>
      </w:r>
      <w:r>
        <w:rPr>
          <w:rFonts w:hint="eastAsia" w:ascii="MS UI Gothic" w:eastAsia="MS UI Gothic"/>
          <w:w w:val="80"/>
        </w:rPr>
        <w:t xml:space="preserve">ꎬ </w:t>
      </w:r>
      <w:r>
        <w:t>逐步逼向火源的中心</w:t>
      </w:r>
      <w:r>
        <w:rPr>
          <w:rFonts w:hint="eastAsia" w:ascii="MS UI Gothic" w:eastAsia="MS UI Gothic"/>
          <w:w w:val="80"/>
        </w:rPr>
        <w:t xml:space="preserve">ꎻ </w:t>
      </w:r>
      <w:r>
        <w:t>必须有充足的风量和畅通的回风巷</w:t>
      </w:r>
      <w:r>
        <w:rPr>
          <w:rFonts w:hint="eastAsia" w:ascii="MS UI Gothic" w:eastAsia="MS UI Gothic"/>
          <w:w w:val="80"/>
        </w:rPr>
        <w:t xml:space="preserve">ꎬ </w:t>
      </w:r>
      <w:r>
        <w:t>防止水煤气爆炸</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第七百一十三条 封闭具有爆炸危险</w:t>
      </w:r>
      <w:r>
        <w:rPr>
          <w:w w:val="110"/>
        </w:rPr>
        <w:t>的火区时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先采取注入惰性气体等抑爆措施</w:t>
      </w:r>
      <w:r>
        <w:rPr>
          <w:rFonts w:hint="eastAsia" w:ascii="MS UI Gothic" w:eastAsia="MS UI Gothic"/>
          <w:w w:val="80"/>
        </w:rPr>
        <w:t xml:space="preserve">ꎬ </w:t>
      </w:r>
      <w:r>
        <w:rPr>
          <w:w w:val="105"/>
        </w:rPr>
        <w:t>然后在安全位置构筑进</w:t>
      </w:r>
      <w:r>
        <w:rPr>
          <w:rFonts w:hint="eastAsia" w:ascii="MS UI Gothic" w:eastAsia="MS UI Gothic"/>
          <w:w w:val="80"/>
        </w:rPr>
        <w:t xml:space="preserve">、 </w:t>
      </w:r>
      <w:r>
        <w:rPr>
          <w:w w:val="105"/>
        </w:rPr>
        <w:t>回风密闭</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封闭具有多条进</w:t>
      </w:r>
      <w:r>
        <w:rPr>
          <w:rFonts w:hint="eastAsia" w:ascii="MS UI Gothic" w:eastAsia="MS UI Gothic"/>
          <w:w w:val="80"/>
        </w:rPr>
        <w:t xml:space="preserve">、  </w:t>
      </w:r>
      <w:r>
        <w:rPr>
          <w:w w:val="105"/>
        </w:rPr>
        <w:t>回风通道的</w:t>
      </w:r>
      <w:r>
        <w:t>火区</w:t>
      </w:r>
      <w:r>
        <w:rPr>
          <w:rFonts w:hint="eastAsia" w:ascii="MS UI Gothic" w:eastAsia="MS UI Gothic"/>
          <w:w w:val="80"/>
        </w:rPr>
        <w:t xml:space="preserve">ꎬ </w:t>
      </w:r>
      <w:r>
        <w:t>应当同时封闭各条通道</w:t>
      </w:r>
      <w:r>
        <w:rPr>
          <w:rFonts w:hint="eastAsia" w:ascii="MS UI Gothic" w:eastAsia="MS UI Gothic"/>
          <w:w w:val="80"/>
        </w:rPr>
        <w:t xml:space="preserve">ꎻ </w:t>
      </w:r>
      <w:r>
        <w:t>不能实现同时封闭的</w:t>
      </w:r>
      <w:r>
        <w:rPr>
          <w:rFonts w:hint="eastAsia" w:ascii="MS UI Gothic" w:eastAsia="MS UI Gothic"/>
          <w:w w:val="80"/>
        </w:rPr>
        <w:t xml:space="preserve">ꎬ </w:t>
      </w:r>
      <w:r>
        <w:t>应当先封闭次要进回风通</w:t>
      </w:r>
      <w:r>
        <w:rPr>
          <w:w w:val="105"/>
        </w:rPr>
        <w:t>道</w:t>
      </w:r>
      <w:r>
        <w:rPr>
          <w:rFonts w:hint="eastAsia" w:ascii="MS UI Gothic" w:eastAsia="MS UI Gothic"/>
          <w:w w:val="80"/>
        </w:rPr>
        <w:t xml:space="preserve">ꎬ </w:t>
      </w:r>
      <w:r>
        <w:rPr>
          <w:w w:val="105"/>
        </w:rPr>
        <w:t>后封闭主要进回风通道</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加强火区封闭的施工组织管理</w:t>
      </w:r>
      <w:r>
        <w:rPr>
          <w:rFonts w:hint="eastAsia" w:ascii="MS UI Gothic" w:eastAsia="MS UI Gothic"/>
          <w:w w:val="80"/>
        </w:rPr>
        <w:t xml:space="preserve">ꎮ </w:t>
      </w:r>
      <w:r>
        <w:t>封闭过程中</w:t>
      </w:r>
      <w:r>
        <w:rPr>
          <w:rFonts w:hint="eastAsia" w:ascii="MS UI Gothic" w:eastAsia="MS UI Gothic"/>
          <w:w w:val="80"/>
        </w:rPr>
        <w:t xml:space="preserve">ꎬ </w:t>
      </w:r>
      <w:r>
        <w:t>密闭墙预留通风孔</w:t>
      </w:r>
      <w:r>
        <w:rPr>
          <w:rFonts w:hint="eastAsia" w:ascii="MS UI Gothic" w:eastAsia="MS UI Gothic"/>
          <w:w w:val="80"/>
        </w:rPr>
        <w:t xml:space="preserve">ꎬ </w:t>
      </w:r>
      <w:r>
        <w:t>封孔时进</w:t>
      </w:r>
      <w:r>
        <w:rPr>
          <w:rFonts w:hint="eastAsia" w:ascii="MS UI Gothic" w:eastAsia="MS UI Gothic"/>
          <w:w w:val="80"/>
        </w:rPr>
        <w:t xml:space="preserve">、 </w:t>
      </w:r>
      <w:r>
        <w:t>回风巷同时封闭</w:t>
      </w:r>
      <w:r>
        <w:rPr>
          <w:rFonts w:hint="eastAsia" w:ascii="MS UI Gothic" w:eastAsia="MS UI Gothic"/>
          <w:w w:val="80"/>
        </w:rPr>
        <w:t xml:space="preserve">ꎻ </w:t>
      </w:r>
      <w:r>
        <w:t>封闭完成后</w:t>
      </w:r>
      <w:r>
        <w:rPr>
          <w:rFonts w:hint="eastAsia" w:ascii="MS UI Gothic" w:eastAsia="MS UI Gothic"/>
          <w:w w:val="80"/>
        </w:rPr>
        <w:t>ꎬ</w:t>
      </w:r>
      <w:r>
        <w:t>所有人员必须立即撤出</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45"/>
        </w:rPr>
        <w:t xml:space="preserve">( </w:t>
      </w:r>
      <w:r>
        <w:t>四</w:t>
      </w:r>
      <w:r>
        <w:rPr>
          <w:rFonts w:hint="eastAsia" w:ascii="MS UI Gothic" w:eastAsia="MS UI Gothic"/>
          <w:w w:val="145"/>
        </w:rPr>
        <w:t xml:space="preserve">) </w:t>
      </w:r>
      <w:r>
        <w:t>检查或者加固密闭墙等工作</w:t>
      </w:r>
      <w:r>
        <w:rPr>
          <w:rFonts w:hint="eastAsia" w:ascii="MS UI Gothic" w:eastAsia="MS UI Gothic"/>
          <w:w w:val="80"/>
        </w:rPr>
        <w:t>ꎬ</w:t>
      </w:r>
      <w:r>
        <w:t xml:space="preserve">应当在火区封闭完成 </w:t>
      </w:r>
      <w:r>
        <w:rPr>
          <w:rFonts w:hint="eastAsia" w:ascii="MS UI Gothic" w:eastAsia="MS UI Gothic"/>
          <w:w w:val="80"/>
        </w:rPr>
        <w:t xml:space="preserve">２４ ｈ </w:t>
      </w:r>
      <w:r>
        <w:t>后实施</w:t>
      </w:r>
      <w:r>
        <w:rPr>
          <w:rFonts w:hint="eastAsia" w:ascii="MS UI Gothic" w:eastAsia="MS UI Gothic"/>
          <w:w w:val="80"/>
        </w:rPr>
        <w:t xml:space="preserve">ꎮ </w:t>
      </w:r>
      <w:r>
        <w:t>发现已封闭火区发生爆炸造成密闭墙破坏时</w:t>
      </w:r>
      <w:r>
        <w:rPr>
          <w:rFonts w:hint="eastAsia" w:ascii="MS UI Gothic" w:eastAsia="MS UI Gothic"/>
          <w:w w:val="80"/>
        </w:rPr>
        <w:t>ꎬ</w:t>
      </w:r>
      <w:r>
        <w:t>严禁调派救护队侦察或者恢复密闭墙</w:t>
      </w:r>
      <w:r>
        <w:rPr>
          <w:rFonts w:hint="eastAsia" w:ascii="MS UI Gothic" w:eastAsia="MS UI Gothic"/>
          <w:w w:val="80"/>
        </w:rPr>
        <w:t xml:space="preserve">ꎻ </w:t>
      </w:r>
      <w:r>
        <w:t>应当采取安全措施</w:t>
      </w:r>
      <w:r>
        <w:rPr>
          <w:rFonts w:hint="eastAsia" w:ascii="MS UI Gothic" w:eastAsia="MS UI Gothic"/>
          <w:w w:val="80"/>
        </w:rPr>
        <w:t xml:space="preserve">ꎬ </w:t>
      </w:r>
      <w:r>
        <w:t>实施远距离封闭</w:t>
      </w:r>
      <w:r>
        <w:rPr>
          <w:rFonts w:hint="eastAsia" w:ascii="MS UI Gothic" w:eastAsia="MS UI Gothic"/>
          <w:w w:val="80"/>
        </w:rPr>
        <w:t>ꎮ</w:t>
      </w:r>
    </w:p>
    <w:p>
      <w:pPr>
        <w:pStyle w:val="6"/>
        <w:spacing w:line="295" w:lineRule="auto"/>
        <w:ind w:right="57"/>
        <w:rPr>
          <w:rFonts w:hint="eastAsia" w:ascii="MS UI Gothic" w:eastAsia="MS UI Gothic"/>
        </w:rPr>
      </w:pPr>
      <w:r>
        <w:rPr>
          <w:w w:val="110"/>
        </w:rPr>
        <w:t xml:space="preserve">第七百一十四条 处理瓦斯 </w:t>
      </w:r>
      <w:r>
        <w:rPr>
          <w:rFonts w:hint="eastAsia" w:ascii="MS UI Gothic" w:eastAsia="MS UI Gothic"/>
          <w:spacing w:val="-38"/>
          <w:w w:val="150"/>
        </w:rPr>
        <w:t xml:space="preserve">( </w:t>
      </w:r>
      <w:r>
        <w:rPr>
          <w:spacing w:val="10"/>
          <w:w w:val="110"/>
        </w:rPr>
        <w:t>煤尘</w:t>
      </w:r>
      <w:r>
        <w:rPr>
          <w:rFonts w:hint="eastAsia" w:ascii="MS UI Gothic" w:eastAsia="MS UI Gothic"/>
          <w:w w:val="150"/>
        </w:rPr>
        <w:t xml:space="preserve">) </w:t>
      </w:r>
      <w:r>
        <w:rPr>
          <w:spacing w:val="3"/>
          <w:w w:val="110"/>
        </w:rPr>
        <w:t>爆炸事故时</w:t>
      </w:r>
      <w:r>
        <w:rPr>
          <w:rFonts w:hint="eastAsia" w:ascii="MS UI Gothic" w:eastAsia="MS UI Gothic"/>
          <w:spacing w:val="13"/>
          <w:w w:val="80"/>
        </w:rPr>
        <w:t xml:space="preserve">ꎬ </w:t>
      </w:r>
      <w:r>
        <w:rPr>
          <w:spacing w:val="3"/>
          <w:w w:val="110"/>
        </w:rPr>
        <w:t>应当遵守下列规定</w:t>
      </w:r>
      <w:r>
        <w:rPr>
          <w:rFonts w:hint="eastAsia" w:ascii="MS UI Gothic" w:eastAsia="MS UI Gothic"/>
          <w:w w:val="235"/>
        </w:rPr>
        <w:t>:</w:t>
      </w:r>
    </w:p>
    <w:p>
      <w:pPr>
        <w:pStyle w:val="6"/>
        <w:spacing w:before="123"/>
        <w:ind w:left="543" w:firstLine="0"/>
        <w:rPr>
          <w:rFonts w:hint="eastAsia" w:ascii="MS UI Gothic" w:eastAsia="MS UI Gothic"/>
        </w:rPr>
      </w:pPr>
      <w:r>
        <w:br w:type="column"/>
      </w: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立即切断灾区电源</w:t>
      </w:r>
      <w:r>
        <w:rPr>
          <w:rFonts w:hint="eastAsia" w:ascii="MS UI Gothic" w:eastAsia="MS UI Gothic"/>
          <w:w w:val="80"/>
        </w:rPr>
        <w:t>ꎮ</w:t>
      </w:r>
    </w:p>
    <w:p>
      <w:pPr>
        <w:pStyle w:val="6"/>
        <w:spacing w:before="58" w:line="295" w:lineRule="auto"/>
        <w:ind w:righ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检查灾区内有害气体的浓度</w:t>
      </w:r>
      <w:r>
        <w:rPr>
          <w:rFonts w:hint="eastAsia" w:ascii="MS UI Gothic" w:eastAsia="MS UI Gothic"/>
          <w:w w:val="80"/>
        </w:rPr>
        <w:t>、</w:t>
      </w:r>
      <w:r>
        <w:t>温度及通风设施破坏情况</w:t>
      </w:r>
      <w:r>
        <w:rPr>
          <w:rFonts w:hint="eastAsia" w:ascii="MS UI Gothic" w:eastAsia="MS UI Gothic"/>
          <w:w w:val="80"/>
        </w:rPr>
        <w:t xml:space="preserve">ꎬ </w:t>
      </w:r>
      <w:r>
        <w:t>发现有再次爆</w:t>
      </w:r>
      <w:r>
        <w:rPr>
          <w:w w:val="105"/>
        </w:rPr>
        <w:t>炸危险时</w:t>
      </w:r>
      <w:r>
        <w:rPr>
          <w:rFonts w:hint="eastAsia" w:ascii="MS UI Gothic" w:eastAsia="MS UI Gothic"/>
          <w:w w:val="80"/>
        </w:rPr>
        <w:t xml:space="preserve">ꎬ </w:t>
      </w:r>
      <w:r>
        <w:rPr>
          <w:w w:val="105"/>
        </w:rPr>
        <w:t>必须立即撤离至安全地点</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3"/>
          <w:w w:val="150"/>
        </w:rPr>
        <w:t xml:space="preserve">) </w:t>
      </w:r>
      <w:r>
        <w:rPr>
          <w:spacing w:val="5"/>
          <w:w w:val="105"/>
        </w:rPr>
        <w:t>进入灾区行动要谨慎</w:t>
      </w:r>
      <w:r>
        <w:rPr>
          <w:rFonts w:hint="eastAsia" w:ascii="MS UI Gothic" w:eastAsia="MS UI Gothic"/>
          <w:spacing w:val="13"/>
          <w:w w:val="80"/>
        </w:rPr>
        <w:t xml:space="preserve">ꎬ </w:t>
      </w:r>
      <w:r>
        <w:rPr>
          <w:spacing w:val="7"/>
          <w:w w:val="105"/>
        </w:rPr>
        <w:t>防止碰</w:t>
      </w:r>
      <w:r>
        <w:rPr>
          <w:spacing w:val="3"/>
          <w:w w:val="105"/>
        </w:rPr>
        <w:t>撞产生火花</w:t>
      </w:r>
      <w:r>
        <w:rPr>
          <w:rFonts w:hint="eastAsia" w:ascii="MS UI Gothic" w:eastAsia="MS UI Gothic"/>
          <w:spacing w:val="23"/>
          <w:w w:val="80"/>
        </w:rPr>
        <w:t xml:space="preserve">ꎬ </w:t>
      </w:r>
      <w:r>
        <w:rPr>
          <w:spacing w:val="3"/>
          <w:w w:val="105"/>
        </w:rPr>
        <w:t>引起爆炸</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4"/>
          <w:w w:val="150"/>
        </w:rPr>
        <w:t xml:space="preserve">) </w:t>
      </w:r>
      <w:r>
        <w:rPr>
          <w:spacing w:val="5"/>
          <w:w w:val="105"/>
        </w:rPr>
        <w:t>经侦察确认或者分析认定人员</w:t>
      </w:r>
      <w:r>
        <w:rPr>
          <w:spacing w:val="3"/>
        </w:rPr>
        <w:t>已经遇难</w:t>
      </w:r>
      <w:r>
        <w:rPr>
          <w:rFonts w:hint="eastAsia" w:ascii="MS UI Gothic" w:eastAsia="MS UI Gothic"/>
          <w:spacing w:val="23"/>
          <w:w w:val="80"/>
        </w:rPr>
        <w:t xml:space="preserve">ꎬ </w:t>
      </w:r>
      <w:r>
        <w:rPr>
          <w:spacing w:val="3"/>
        </w:rPr>
        <w:t>并且没有火源时</w:t>
      </w:r>
      <w:r>
        <w:rPr>
          <w:rFonts w:hint="eastAsia" w:ascii="MS UI Gothic" w:eastAsia="MS UI Gothic"/>
          <w:spacing w:val="23"/>
          <w:w w:val="80"/>
        </w:rPr>
        <w:t xml:space="preserve">ꎬ </w:t>
      </w:r>
      <w:r>
        <w:rPr>
          <w:spacing w:val="2"/>
        </w:rPr>
        <w:t>必须先恢复</w:t>
      </w:r>
      <w:r>
        <w:rPr>
          <w:spacing w:val="3"/>
          <w:w w:val="105"/>
        </w:rPr>
        <w:t>灾区通风</w:t>
      </w:r>
      <w:r>
        <w:rPr>
          <w:rFonts w:hint="eastAsia" w:ascii="MS UI Gothic" w:eastAsia="MS UI Gothic"/>
          <w:spacing w:val="23"/>
          <w:w w:val="80"/>
        </w:rPr>
        <w:t xml:space="preserve">ꎬ </w:t>
      </w:r>
      <w:r>
        <w:rPr>
          <w:spacing w:val="3"/>
          <w:w w:val="105"/>
        </w:rPr>
        <w:t>再进行处理</w:t>
      </w:r>
      <w:r>
        <w:rPr>
          <w:rFonts w:hint="eastAsia" w:ascii="MS UI Gothic" w:eastAsia="MS UI Gothic"/>
          <w:w w:val="80"/>
        </w:rPr>
        <w:t>ꎮ</w:t>
      </w:r>
    </w:p>
    <w:p>
      <w:pPr>
        <w:pStyle w:val="6"/>
        <w:spacing w:line="295" w:lineRule="auto"/>
        <w:ind w:right="442"/>
        <w:rPr>
          <w:rFonts w:hint="eastAsia" w:ascii="MS UI Gothic" w:eastAsia="MS UI Gothic"/>
        </w:rPr>
      </w:pPr>
      <w:r>
        <w:rPr>
          <w:w w:val="105"/>
        </w:rPr>
        <w:t xml:space="preserve">第七百一十五条 发生煤 </w:t>
      </w:r>
      <w:r>
        <w:rPr>
          <w:rFonts w:hint="eastAsia" w:ascii="MS UI Gothic" w:eastAsia="MS UI Gothic"/>
          <w:w w:val="150"/>
        </w:rPr>
        <w:t xml:space="preserve">( </w:t>
      </w:r>
      <w:r>
        <w:rPr>
          <w:w w:val="105"/>
        </w:rPr>
        <w:t>岩</w:t>
      </w:r>
      <w:r>
        <w:rPr>
          <w:rFonts w:hint="eastAsia" w:ascii="MS UI Gothic" w:eastAsia="MS UI Gothic"/>
          <w:w w:val="150"/>
        </w:rPr>
        <w:t xml:space="preserve">) </w:t>
      </w:r>
      <w:r>
        <w:rPr>
          <w:w w:val="105"/>
        </w:rPr>
        <w:t>与瓦</w:t>
      </w:r>
      <w:r>
        <w:t>斯突出事故</w:t>
      </w:r>
      <w:r>
        <w:rPr>
          <w:rFonts w:hint="eastAsia" w:ascii="MS UI Gothic" w:eastAsia="MS UI Gothic"/>
          <w:w w:val="80"/>
        </w:rPr>
        <w:t xml:space="preserve">ꎬ </w:t>
      </w:r>
      <w:r>
        <w:t>不得停风和反风</w:t>
      </w:r>
      <w:r>
        <w:rPr>
          <w:rFonts w:hint="eastAsia" w:ascii="MS UI Gothic" w:eastAsia="MS UI Gothic"/>
          <w:w w:val="80"/>
        </w:rPr>
        <w:t xml:space="preserve">ꎬ </w:t>
      </w:r>
      <w:r>
        <w:t>防止风流紊乱扩大灾情</w:t>
      </w:r>
      <w:r>
        <w:rPr>
          <w:rFonts w:hint="eastAsia" w:ascii="MS UI Gothic" w:eastAsia="MS UI Gothic"/>
          <w:w w:val="80"/>
        </w:rPr>
        <w:t xml:space="preserve">ꎮ </w:t>
      </w:r>
      <w:r>
        <w:t>通风系统及设施被破坏</w:t>
      </w:r>
      <w:r>
        <w:rPr>
          <w:w w:val="105"/>
        </w:rPr>
        <w:t>时</w:t>
      </w:r>
      <w:r>
        <w:rPr>
          <w:rFonts w:hint="eastAsia" w:ascii="MS UI Gothic" w:eastAsia="MS UI Gothic"/>
          <w:w w:val="80"/>
        </w:rPr>
        <w:t xml:space="preserve">ꎬ </w:t>
      </w:r>
      <w:r>
        <w:rPr>
          <w:w w:val="105"/>
        </w:rPr>
        <w:t>应当设置风障</w:t>
      </w:r>
      <w:r>
        <w:rPr>
          <w:rFonts w:hint="eastAsia" w:ascii="MS UI Gothic" w:eastAsia="MS UI Gothic"/>
          <w:w w:val="80"/>
        </w:rPr>
        <w:t xml:space="preserve">、 </w:t>
      </w:r>
      <w:r>
        <w:rPr>
          <w:w w:val="105"/>
        </w:rPr>
        <w:t>临时风门及安装局部通风机恢复通风</w:t>
      </w:r>
      <w:r>
        <w:rPr>
          <w:rFonts w:hint="eastAsia" w:ascii="MS UI Gothic" w:eastAsia="MS UI Gothic"/>
          <w:w w:val="80"/>
        </w:rPr>
        <w:t>ꎮ</w:t>
      </w:r>
    </w:p>
    <w:p>
      <w:pPr>
        <w:pStyle w:val="6"/>
        <w:spacing w:line="295" w:lineRule="auto"/>
        <w:ind w:right="442"/>
        <w:rPr>
          <w:rFonts w:hint="eastAsia" w:ascii="MS UI Gothic" w:eastAsia="MS UI Gothic"/>
        </w:rPr>
      </w:pPr>
      <w:r>
        <w:t>恢复突出区通风时</w:t>
      </w:r>
      <w:r>
        <w:rPr>
          <w:rFonts w:hint="eastAsia" w:ascii="MS UI Gothic" w:eastAsia="MS UI Gothic"/>
          <w:w w:val="85"/>
        </w:rPr>
        <w:t xml:space="preserve">ꎬ </w:t>
      </w:r>
      <w:r>
        <w:t>应当以最短的路线将瓦斯引入回风巷</w:t>
      </w:r>
      <w:r>
        <w:rPr>
          <w:rFonts w:hint="eastAsia" w:ascii="MS UI Gothic" w:eastAsia="MS UI Gothic"/>
          <w:w w:val="85"/>
        </w:rPr>
        <w:t xml:space="preserve">ꎮ </w:t>
      </w:r>
      <w:r>
        <w:t xml:space="preserve">回风井口 </w:t>
      </w:r>
      <w:r>
        <w:rPr>
          <w:rFonts w:hint="eastAsia" w:ascii="MS UI Gothic" w:eastAsia="MS UI Gothic"/>
          <w:w w:val="85"/>
        </w:rPr>
        <w:t xml:space="preserve">５０ ｍ </w:t>
      </w:r>
      <w:r>
        <w:t>范围内不得有火源</w:t>
      </w:r>
      <w:r>
        <w:rPr>
          <w:rFonts w:hint="eastAsia" w:ascii="MS UI Gothic" w:eastAsia="MS UI Gothic"/>
          <w:w w:val="85"/>
        </w:rPr>
        <w:t xml:space="preserve">ꎬ </w:t>
      </w:r>
      <w:r>
        <w:t>并设专人监视</w:t>
      </w:r>
      <w:r>
        <w:rPr>
          <w:rFonts w:hint="eastAsia" w:ascii="MS UI Gothic" w:eastAsia="MS UI Gothic"/>
          <w:w w:val="85"/>
        </w:rPr>
        <w:t>ꎮ</w:t>
      </w:r>
    </w:p>
    <w:p>
      <w:pPr>
        <w:pStyle w:val="6"/>
        <w:spacing w:line="295" w:lineRule="auto"/>
        <w:ind w:right="442"/>
        <w:rPr>
          <w:rFonts w:hint="eastAsia" w:ascii="MS UI Gothic" w:eastAsia="MS UI Gothic"/>
        </w:rPr>
      </w:pPr>
      <w:r>
        <w:rPr>
          <w:spacing w:val="29"/>
        </w:rPr>
        <w:t>是否停电应当根据井下实际情况</w:t>
      </w:r>
      <w:r>
        <w:rPr>
          <w:spacing w:val="3"/>
        </w:rPr>
        <w:t>决定</w:t>
      </w:r>
      <w:r>
        <w:rPr>
          <w:rFonts w:hint="eastAsia" w:ascii="MS UI Gothic" w:eastAsia="MS UI Gothic"/>
          <w:w w:val="80"/>
        </w:rPr>
        <w:t>ꎮ</w:t>
      </w:r>
    </w:p>
    <w:p>
      <w:pPr>
        <w:pStyle w:val="6"/>
        <w:spacing w:line="295" w:lineRule="auto"/>
        <w:ind w:right="442"/>
        <w:rPr>
          <w:rFonts w:hint="eastAsia" w:ascii="MS UI Gothic" w:eastAsia="MS UI Gothic"/>
        </w:rPr>
      </w:pPr>
      <w:r>
        <w:rPr>
          <w:spacing w:val="-5"/>
          <w:w w:val="105"/>
        </w:rPr>
        <w:t xml:space="preserve">处理煤 </w:t>
      </w:r>
      <w:r>
        <w:rPr>
          <w:rFonts w:hint="eastAsia" w:ascii="MS UI Gothic" w:eastAsia="MS UI Gothic"/>
          <w:spacing w:val="-32"/>
          <w:w w:val="150"/>
        </w:rPr>
        <w:t xml:space="preserve">( </w:t>
      </w:r>
      <w:r>
        <w:rPr>
          <w:spacing w:val="13"/>
          <w:w w:val="105"/>
        </w:rPr>
        <w:t>岩</w:t>
      </w:r>
      <w:r>
        <w:rPr>
          <w:rFonts w:hint="eastAsia" w:ascii="MS UI Gothic" w:eastAsia="MS UI Gothic"/>
          <w:spacing w:val="14"/>
          <w:w w:val="150"/>
        </w:rPr>
        <w:t xml:space="preserve">) </w:t>
      </w:r>
      <w:r>
        <w:rPr>
          <w:spacing w:val="19"/>
          <w:w w:val="105"/>
        </w:rPr>
        <w:t>与二氧化碳突出事故</w:t>
      </w:r>
      <w:r>
        <w:rPr>
          <w:spacing w:val="3"/>
        </w:rPr>
        <w:t>时</w:t>
      </w:r>
      <w:r>
        <w:rPr>
          <w:rFonts w:hint="eastAsia" w:ascii="MS UI Gothic" w:eastAsia="MS UI Gothic"/>
          <w:spacing w:val="23"/>
          <w:w w:val="80"/>
        </w:rPr>
        <w:t xml:space="preserve">ꎬ </w:t>
      </w:r>
      <w:r>
        <w:rPr>
          <w:spacing w:val="3"/>
        </w:rPr>
        <w:t>还必须加大灾区风量</w:t>
      </w:r>
      <w:r>
        <w:rPr>
          <w:rFonts w:hint="eastAsia" w:ascii="MS UI Gothic" w:eastAsia="MS UI Gothic"/>
          <w:spacing w:val="23"/>
          <w:w w:val="80"/>
        </w:rPr>
        <w:t xml:space="preserve">ꎬ </w:t>
      </w:r>
      <w:r>
        <w:rPr>
          <w:spacing w:val="2"/>
        </w:rPr>
        <w:t>迅速抢救遇险</w:t>
      </w:r>
      <w:r>
        <w:rPr>
          <w:spacing w:val="3"/>
        </w:rPr>
        <w:t>人员</w:t>
      </w:r>
      <w:r>
        <w:rPr>
          <w:rFonts w:hint="eastAsia" w:ascii="MS UI Gothic" w:eastAsia="MS UI Gothic"/>
          <w:spacing w:val="20"/>
          <w:w w:val="80"/>
        </w:rPr>
        <w:t xml:space="preserve">ꎮ </w:t>
      </w:r>
      <w:r>
        <w:rPr>
          <w:spacing w:val="2"/>
        </w:rPr>
        <w:t>矿山救护队进入灾区时要戴好防护</w:t>
      </w:r>
      <w:r>
        <w:rPr>
          <w:spacing w:val="3"/>
          <w:w w:val="105"/>
        </w:rPr>
        <w:t>眼镜</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第七百一十六条 处理水灾事故时</w:t>
      </w:r>
      <w:r>
        <w:rPr>
          <w:rFonts w:hint="eastAsia" w:ascii="MS UI Gothic" w:eastAsia="MS UI Gothic"/>
          <w:w w:val="80"/>
        </w:rPr>
        <w:t>ꎬ</w:t>
      </w:r>
      <w:r>
        <w:rPr>
          <w:w w:val="110"/>
        </w:rPr>
        <w:t>应当遵守下列规定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迅速了解和分析水源</w:t>
      </w:r>
      <w:r>
        <w:rPr>
          <w:rFonts w:hint="eastAsia" w:ascii="MS UI Gothic" w:eastAsia="MS UI Gothic"/>
          <w:w w:val="80"/>
        </w:rPr>
        <w:t xml:space="preserve">、 </w:t>
      </w:r>
      <w:r>
        <w:rPr>
          <w:w w:val="105"/>
        </w:rPr>
        <w:t>突水点</w:t>
      </w:r>
      <w:r>
        <w:rPr>
          <w:rFonts w:hint="eastAsia" w:ascii="MS UI Gothic" w:eastAsia="MS UI Gothic"/>
          <w:w w:val="80"/>
        </w:rPr>
        <w:t xml:space="preserve">、 </w:t>
      </w:r>
      <w:r>
        <w:rPr>
          <w:w w:val="105"/>
        </w:rPr>
        <w:t>影响范围</w:t>
      </w:r>
      <w:r>
        <w:rPr>
          <w:rFonts w:hint="eastAsia" w:ascii="MS UI Gothic" w:eastAsia="MS UI Gothic"/>
          <w:w w:val="80"/>
        </w:rPr>
        <w:t xml:space="preserve">、 </w:t>
      </w:r>
      <w:r>
        <w:rPr>
          <w:w w:val="105"/>
        </w:rPr>
        <w:t>事故前人员分布</w:t>
      </w:r>
      <w:r>
        <w:rPr>
          <w:rFonts w:hint="eastAsia" w:ascii="MS UI Gothic" w:eastAsia="MS UI Gothic"/>
          <w:w w:val="80"/>
        </w:rPr>
        <w:t xml:space="preserve">、 </w:t>
      </w:r>
      <w:r>
        <w:rPr>
          <w:w w:val="105"/>
        </w:rPr>
        <w:t>矿井具</w:t>
      </w:r>
      <w:r>
        <w:t>有生存条件的地点及其进入的通道等情</w:t>
      </w:r>
      <w:r>
        <w:rPr>
          <w:w w:val="105"/>
        </w:rPr>
        <w:t>况</w:t>
      </w:r>
      <w:r>
        <w:rPr>
          <w:rFonts w:hint="eastAsia" w:ascii="MS UI Gothic" w:eastAsia="MS UI Gothic"/>
          <w:w w:val="80"/>
        </w:rPr>
        <w:t xml:space="preserve">ꎮ </w:t>
      </w:r>
      <w:r>
        <w:rPr>
          <w:w w:val="105"/>
        </w:rPr>
        <w:t>根据被堵人员所在地点的空间</w:t>
      </w:r>
      <w:r>
        <w:rPr>
          <w:rFonts w:hint="eastAsia" w:ascii="MS UI Gothic" w:eastAsia="MS UI Gothic"/>
          <w:w w:val="80"/>
        </w:rPr>
        <w:t xml:space="preserve">、 </w:t>
      </w:r>
      <w:r>
        <w:rPr>
          <w:w w:val="105"/>
        </w:rPr>
        <w:t>氧气</w:t>
      </w:r>
      <w:r>
        <w:rPr>
          <w:rFonts w:hint="eastAsia" w:ascii="MS UI Gothic" w:eastAsia="MS UI Gothic"/>
          <w:w w:val="80"/>
        </w:rPr>
        <w:t xml:space="preserve">、 </w:t>
      </w:r>
      <w:r>
        <w:rPr>
          <w:w w:val="105"/>
        </w:rPr>
        <w:t>瓦斯浓度以及救出被困人员所需的大致时间制定相应救灾方案</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尽快恢复灾区通风</w:t>
      </w:r>
      <w:r>
        <w:rPr>
          <w:rFonts w:hint="eastAsia" w:ascii="MS UI Gothic" w:eastAsia="MS UI Gothic"/>
          <w:w w:val="80"/>
        </w:rPr>
        <w:t xml:space="preserve">ꎬ </w:t>
      </w:r>
      <w:r>
        <w:rPr>
          <w:w w:val="105"/>
        </w:rPr>
        <w:t>加强灾区</w:t>
      </w:r>
      <w:r>
        <w:t>气体检测</w:t>
      </w:r>
      <w:r>
        <w:rPr>
          <w:rFonts w:hint="eastAsia" w:ascii="MS UI Gothic" w:eastAsia="MS UI Gothic"/>
          <w:w w:val="80"/>
        </w:rPr>
        <w:t xml:space="preserve">ꎬ </w:t>
      </w:r>
      <w:r>
        <w:t>防止发生瓦斯爆炸和有害气体</w:t>
      </w:r>
      <w:r>
        <w:rPr>
          <w:w w:val="105"/>
        </w:rPr>
        <w:t>中毒</w:t>
      </w:r>
      <w:r>
        <w:rPr>
          <w:rFonts w:hint="eastAsia" w:ascii="MS UI Gothic" w:eastAsia="MS UI Gothic"/>
          <w:w w:val="80"/>
        </w:rPr>
        <w:t xml:space="preserve">、 </w:t>
      </w:r>
      <w:r>
        <w:rPr>
          <w:w w:val="105"/>
        </w:rPr>
        <w:t>窒息事故</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根据情况综合采取排水</w:t>
      </w:r>
      <w:r>
        <w:rPr>
          <w:rFonts w:hint="eastAsia" w:ascii="MS UI Gothic" w:eastAsia="MS UI Gothic"/>
          <w:w w:val="80"/>
        </w:rPr>
        <w:t xml:space="preserve">、 </w:t>
      </w:r>
      <w:r>
        <w:rPr>
          <w:w w:val="105"/>
        </w:rPr>
        <w:t>堵水和向井下人员被困位置打钻等措施</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排水后进行侦察抢险时</w:t>
      </w:r>
      <w:r>
        <w:rPr>
          <w:rFonts w:hint="eastAsia" w:ascii="MS UI Gothic" w:eastAsia="MS UI Gothic"/>
          <w:w w:val="80"/>
        </w:rPr>
        <w:t xml:space="preserve">ꎬ </w:t>
      </w:r>
      <w:r>
        <w:rPr>
          <w:w w:val="105"/>
        </w:rPr>
        <w:t>注意防止冒顶和二次突水事故的发生</w:t>
      </w:r>
      <w:r>
        <w:rPr>
          <w:rFonts w:hint="eastAsia" w:ascii="MS UI Gothic" w:eastAsia="MS UI Gothic"/>
          <w:w w:val="80"/>
        </w:rPr>
        <w:t>ꎮ</w:t>
      </w:r>
    </w:p>
    <w:p>
      <w:pPr>
        <w:pStyle w:val="6"/>
        <w:spacing w:line="255" w:lineRule="exact"/>
        <w:ind w:left="543" w:firstLine="0"/>
        <w:rPr>
          <w:rFonts w:hint="eastAsia" w:ascii="MS UI Gothic" w:eastAsia="MS UI Gothic"/>
        </w:rPr>
      </w:pPr>
      <w:r>
        <w:t>第七百一十七条 处理顶板事故时</w:t>
      </w:r>
      <w:r>
        <w:rPr>
          <w:rFonts w:hint="eastAsia" w:ascii="MS UI Gothic" w:eastAsia="MS UI Gothic"/>
          <w:w w:val="80"/>
        </w:rPr>
        <w:t>ꎬ</w:t>
      </w:r>
    </w:p>
    <w:p>
      <w:pPr>
        <w:spacing w:after="0" w:line="255" w:lineRule="exac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３４７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54" o:spid="_x0000_s2054" o:spt="203" style="height:2.15pt;width:398.25pt;" coordsize="7965,43">
            <o:lock v:ext="edit"/>
            <v:line id="_x0000_s2055" o:spid="_x0000_s2055" o:spt="20" style="position:absolute;left:0;top:39;height:0;width:7965;" stroked="t" coordsize="21600,21600">
              <v:path arrowok="t"/>
              <v:fill focussize="0,0"/>
              <v:stroke weight="0.388031496062992pt" color="#231F20"/>
              <v:imagedata o:title=""/>
              <o:lock v:ext="edit"/>
            </v:line>
            <v:line id="_x0000_s2056" o:spid="_x0000_s205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rPr>
          <w:w w:val="115"/>
        </w:rPr>
        <w:t>应当遵守下列规定</w:t>
      </w:r>
      <w:r>
        <w:rPr>
          <w:rFonts w:hint="eastAsia" w:ascii="MS UI Gothic" w:eastAsia="MS UI Gothic"/>
          <w:w w:val="235"/>
        </w:rPr>
        <w:t>:</w:t>
      </w:r>
    </w:p>
    <w:p>
      <w:pPr>
        <w:pStyle w:val="6"/>
        <w:spacing w:before="58"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迅速恢复冒顶区的通风</w:t>
      </w:r>
      <w:r>
        <w:rPr>
          <w:rFonts w:hint="eastAsia" w:ascii="MS UI Gothic" w:eastAsia="MS UI Gothic"/>
          <w:w w:val="80"/>
        </w:rPr>
        <w:t xml:space="preserve">ꎮ </w:t>
      </w:r>
      <w:r>
        <w:rPr>
          <w:w w:val="105"/>
        </w:rPr>
        <w:t>如不能恢复</w:t>
      </w:r>
      <w:r>
        <w:rPr>
          <w:rFonts w:hint="eastAsia" w:ascii="MS UI Gothic" w:eastAsia="MS UI Gothic"/>
          <w:w w:val="80"/>
        </w:rPr>
        <w:t xml:space="preserve">ꎬ </w:t>
      </w:r>
      <w:r>
        <w:rPr>
          <w:w w:val="105"/>
        </w:rPr>
        <w:t>应当利用压风管</w:t>
      </w:r>
      <w:r>
        <w:rPr>
          <w:rFonts w:hint="eastAsia" w:ascii="MS UI Gothic" w:eastAsia="MS UI Gothic"/>
          <w:w w:val="80"/>
        </w:rPr>
        <w:t xml:space="preserve">、 </w:t>
      </w:r>
      <w:r>
        <w:rPr>
          <w:w w:val="105"/>
        </w:rPr>
        <w:t>水管或者打钻向被困人员供给新鲜空气</w:t>
      </w:r>
      <w:r>
        <w:rPr>
          <w:rFonts w:hint="eastAsia" w:ascii="MS UI Gothic" w:eastAsia="MS UI Gothic"/>
          <w:w w:val="80"/>
        </w:rPr>
        <w:t xml:space="preserve">、 </w:t>
      </w:r>
      <w:r>
        <w:rPr>
          <w:w w:val="105"/>
        </w:rPr>
        <w:t>饮料和食物</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指定专人检查甲烷浓度</w:t>
      </w:r>
      <w:r>
        <w:rPr>
          <w:rFonts w:hint="eastAsia" w:ascii="MS UI Gothic" w:eastAsia="MS UI Gothic"/>
          <w:w w:val="80"/>
        </w:rPr>
        <w:t xml:space="preserve">、 </w:t>
      </w:r>
      <w:r>
        <w:rPr>
          <w:w w:val="105"/>
        </w:rPr>
        <w:t>观察</w:t>
      </w:r>
      <w:r>
        <w:t>顶板和周围支护情况</w:t>
      </w:r>
      <w:r>
        <w:rPr>
          <w:rFonts w:hint="eastAsia" w:ascii="MS UI Gothic" w:eastAsia="MS UI Gothic"/>
          <w:w w:val="80"/>
        </w:rPr>
        <w:t xml:space="preserve">ꎬ </w:t>
      </w:r>
      <w:r>
        <w:t>发现异常</w:t>
      </w:r>
      <w:r>
        <w:rPr>
          <w:rFonts w:hint="eastAsia" w:ascii="MS UI Gothic" w:eastAsia="MS UI Gothic"/>
          <w:w w:val="80"/>
        </w:rPr>
        <w:t xml:space="preserve">ꎬ </w:t>
      </w:r>
      <w:r>
        <w:t>立即撤</w:t>
      </w:r>
      <w:r>
        <w:rPr>
          <w:w w:val="105"/>
        </w:rPr>
        <w:t>出人员</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加强巷道支护</w:t>
      </w:r>
      <w:r>
        <w:rPr>
          <w:rFonts w:hint="eastAsia" w:ascii="MS UI Gothic" w:eastAsia="MS UI Gothic"/>
          <w:w w:val="80"/>
        </w:rPr>
        <w:t xml:space="preserve">ꎬ </w:t>
      </w:r>
      <w:r>
        <w:rPr>
          <w:w w:val="105"/>
        </w:rPr>
        <w:t>防止发生二次冒顶</w:t>
      </w:r>
      <w:r>
        <w:rPr>
          <w:rFonts w:hint="eastAsia" w:ascii="MS UI Gothic" w:eastAsia="MS UI Gothic"/>
          <w:w w:val="80"/>
        </w:rPr>
        <w:t xml:space="preserve">、 </w:t>
      </w:r>
      <w:r>
        <w:rPr>
          <w:w w:val="105"/>
        </w:rPr>
        <w:t>片帮</w:t>
      </w:r>
      <w:r>
        <w:rPr>
          <w:rFonts w:hint="eastAsia" w:ascii="MS UI Gothic" w:eastAsia="MS UI Gothic"/>
          <w:w w:val="80"/>
        </w:rPr>
        <w:t xml:space="preserve">ꎬ </w:t>
      </w:r>
      <w:r>
        <w:rPr>
          <w:w w:val="105"/>
        </w:rPr>
        <w:t>保证退路安全畅通</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第七百一十八条 处理冲击地压事故</w:t>
      </w:r>
      <w:r>
        <w:rPr>
          <w:w w:val="110"/>
        </w:rPr>
        <w:t>时</w:t>
      </w:r>
      <w:r>
        <w:rPr>
          <w:rFonts w:hint="eastAsia" w:ascii="MS UI Gothic" w:eastAsia="MS UI Gothic"/>
          <w:w w:val="80"/>
        </w:rPr>
        <w:t xml:space="preserve">ꎬ </w:t>
      </w:r>
      <w:r>
        <w:rPr>
          <w:w w:val="110"/>
        </w:rPr>
        <w:t>应当遵守下列规定</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分析再次发生冲击地压灾害的可能性</w:t>
      </w:r>
      <w:r>
        <w:rPr>
          <w:rFonts w:hint="eastAsia" w:ascii="MS UI Gothic" w:eastAsia="MS UI Gothic"/>
          <w:w w:val="80"/>
        </w:rPr>
        <w:t xml:space="preserve">ꎬ </w:t>
      </w:r>
      <w:r>
        <w:rPr>
          <w:w w:val="105"/>
        </w:rPr>
        <w:t>确定合理的救援方案和路线</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迅速恢复灾区的通风</w:t>
      </w:r>
      <w:r>
        <w:rPr>
          <w:rFonts w:hint="eastAsia" w:ascii="MS UI Gothic" w:eastAsia="MS UI Gothic"/>
          <w:w w:val="80"/>
        </w:rPr>
        <w:t xml:space="preserve">ꎮ </w:t>
      </w:r>
      <w:r>
        <w:rPr>
          <w:w w:val="105"/>
        </w:rPr>
        <w:t>恢复独</w:t>
      </w:r>
      <w:r>
        <w:t>头巷道通风时</w:t>
      </w:r>
      <w:r>
        <w:rPr>
          <w:rFonts w:hint="eastAsia" w:ascii="MS UI Gothic" w:eastAsia="MS UI Gothic"/>
          <w:w w:val="80"/>
        </w:rPr>
        <w:t xml:space="preserve">ꎬ </w:t>
      </w:r>
      <w:r>
        <w:t>应当按照排放瓦斯的要求</w:t>
      </w:r>
      <w:r>
        <w:rPr>
          <w:w w:val="105"/>
        </w:rPr>
        <w:t>进行</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加强巷道支护</w:t>
      </w:r>
      <w:r>
        <w:rPr>
          <w:rFonts w:hint="eastAsia" w:ascii="MS UI Gothic" w:eastAsia="MS UI Gothic"/>
          <w:w w:val="80"/>
        </w:rPr>
        <w:t xml:space="preserve">ꎬ </w:t>
      </w:r>
      <w:r>
        <w:rPr>
          <w:w w:val="105"/>
        </w:rPr>
        <w:t>保证安全作业空间</w:t>
      </w:r>
      <w:r>
        <w:rPr>
          <w:rFonts w:hint="eastAsia" w:ascii="MS UI Gothic" w:eastAsia="MS UI Gothic"/>
          <w:w w:val="80"/>
        </w:rPr>
        <w:t xml:space="preserve">ꎮ </w:t>
      </w:r>
      <w:r>
        <w:rPr>
          <w:w w:val="105"/>
        </w:rPr>
        <w:t>巷道破坏严重</w:t>
      </w:r>
      <w:r>
        <w:rPr>
          <w:rFonts w:hint="eastAsia" w:ascii="MS UI Gothic" w:eastAsia="MS UI Gothic"/>
          <w:w w:val="80"/>
        </w:rPr>
        <w:t xml:space="preserve">、 </w:t>
      </w:r>
      <w:r>
        <w:rPr>
          <w:w w:val="105"/>
        </w:rPr>
        <w:t>有冒顶危险时</w:t>
      </w:r>
      <w:r>
        <w:rPr>
          <w:rFonts w:hint="eastAsia" w:ascii="MS UI Gothic" w:eastAsia="MS UI Gothic"/>
          <w:w w:val="80"/>
        </w:rPr>
        <w:t xml:space="preserve">ꎬ </w:t>
      </w:r>
      <w:r>
        <w:rPr>
          <w:w w:val="105"/>
        </w:rPr>
        <w:t>必须采取防止二次冒顶的措施</w:t>
      </w:r>
      <w:r>
        <w:rPr>
          <w:rFonts w:hint="eastAsia" w:ascii="MS UI Gothic" w:eastAsia="MS UI Gothic"/>
          <w:w w:val="80"/>
        </w:rPr>
        <w:t>ꎮ</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设专人观察顶板及周围支护情况</w:t>
      </w:r>
      <w:r>
        <w:rPr>
          <w:rFonts w:hint="eastAsia" w:ascii="MS UI Gothic" w:eastAsia="MS UI Gothic"/>
          <w:w w:val="80"/>
        </w:rPr>
        <w:t xml:space="preserve">ꎬ </w:t>
      </w:r>
      <w:r>
        <w:rPr>
          <w:w w:val="105"/>
        </w:rPr>
        <w:t>检查通风</w:t>
      </w:r>
      <w:r>
        <w:rPr>
          <w:rFonts w:hint="eastAsia" w:ascii="MS UI Gothic" w:eastAsia="MS UI Gothic"/>
          <w:w w:val="80"/>
        </w:rPr>
        <w:t xml:space="preserve">、 </w:t>
      </w:r>
      <w:r>
        <w:rPr>
          <w:w w:val="105"/>
        </w:rPr>
        <w:t>瓦斯</w:t>
      </w:r>
      <w:r>
        <w:rPr>
          <w:rFonts w:hint="eastAsia" w:ascii="MS UI Gothic" w:eastAsia="MS UI Gothic"/>
          <w:w w:val="80"/>
        </w:rPr>
        <w:t xml:space="preserve">、 </w:t>
      </w:r>
      <w:r>
        <w:rPr>
          <w:w w:val="105"/>
        </w:rPr>
        <w:t>煤尘</w:t>
      </w:r>
      <w:r>
        <w:rPr>
          <w:rFonts w:hint="eastAsia" w:ascii="MS UI Gothic" w:eastAsia="MS UI Gothic"/>
          <w:w w:val="80"/>
        </w:rPr>
        <w:t xml:space="preserve">ꎬ </w:t>
      </w:r>
      <w:r>
        <w:rPr>
          <w:w w:val="105"/>
        </w:rPr>
        <w:t>防止发生次生事故</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第七百一十九条 处理露天矿边坡和排土场滑坡事故时</w:t>
      </w:r>
      <w:r>
        <w:rPr>
          <w:rFonts w:hint="eastAsia" w:ascii="MS UI Gothic" w:eastAsia="MS UI Gothic"/>
          <w:w w:val="80"/>
        </w:rPr>
        <w:t xml:space="preserve">ꎬ </w:t>
      </w:r>
      <w:r>
        <w:rPr>
          <w:w w:val="105"/>
        </w:rPr>
        <w:t>应当遵守下列规定</w:t>
      </w:r>
      <w:r>
        <w:rPr>
          <w:rFonts w:hint="eastAsia" w:ascii="MS UI Gothic" w:eastAsia="MS UI Gothic"/>
          <w:w w:val="105"/>
        </w:rPr>
        <w:t>:</w:t>
      </w:r>
    </w:p>
    <w:p>
      <w:pPr>
        <w:pStyle w:val="6"/>
        <w:spacing w:line="295" w:lineRule="auto"/>
        <w:ind w:left="440"/>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在事故现场设置警戒区域和警示牌</w:t>
      </w:r>
      <w:r>
        <w:rPr>
          <w:rFonts w:hint="eastAsia" w:ascii="MS UI Gothic" w:eastAsia="MS UI Gothic"/>
          <w:w w:val="80"/>
        </w:rPr>
        <w:t xml:space="preserve">ꎬ </w:t>
      </w:r>
      <w:r>
        <w:rPr>
          <w:w w:val="105"/>
        </w:rPr>
        <w:t>禁止人员进入警戒区域</w:t>
      </w:r>
      <w:r>
        <w:rPr>
          <w:rFonts w:hint="eastAsia" w:ascii="MS UI Gothic" w:eastAsia="MS UI Gothic"/>
          <w:w w:val="80"/>
        </w:rPr>
        <w:t>ꎮ</w:t>
      </w:r>
    </w:p>
    <w:p>
      <w:pPr>
        <w:pStyle w:val="6"/>
        <w:spacing w:line="295" w:lineRule="auto"/>
        <w:ind w:left="440"/>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救援人员和抢险设备必须从滑</w:t>
      </w:r>
      <w:r>
        <w:rPr>
          <w:w w:val="110"/>
        </w:rPr>
        <w:t>体两侧安全区域实施救援</w:t>
      </w:r>
      <w:r>
        <w:rPr>
          <w:rFonts w:hint="eastAsia" w:ascii="MS UI Gothic" w:eastAsia="MS UI Gothic"/>
          <w:w w:val="80"/>
        </w:rPr>
        <w:t>ꎮ</w:t>
      </w:r>
    </w:p>
    <w:p>
      <w:pPr>
        <w:pStyle w:val="6"/>
        <w:spacing w:line="295" w:lineRule="auto"/>
        <w:ind w:left="440"/>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应当对滑体进行观测</w:t>
      </w:r>
      <w:r>
        <w:rPr>
          <w:rFonts w:hint="eastAsia" w:ascii="MS UI Gothic" w:eastAsia="MS UI Gothic"/>
          <w:w w:val="80"/>
        </w:rPr>
        <w:t xml:space="preserve">ꎬ </w:t>
      </w:r>
      <w:r>
        <w:rPr>
          <w:w w:val="105"/>
        </w:rPr>
        <w:t>发现有威胁救援人员安全的情况时立即撤离</w:t>
      </w:r>
      <w:r>
        <w:rPr>
          <w:rFonts w:hint="eastAsia" w:ascii="MS UI Gothic" w:eastAsia="MS UI Gothic"/>
          <w:w w:val="80"/>
        </w:rPr>
        <w:t>ꎮ</w:t>
      </w:r>
    </w:p>
    <w:p>
      <w:pPr>
        <w:pStyle w:val="6"/>
        <w:tabs>
          <w:tab w:val="left" w:pos="1069"/>
        </w:tabs>
        <w:spacing w:before="134"/>
        <w:ind w:left="440" w:firstLine="0"/>
        <w:jc w:val="center"/>
      </w:pPr>
      <w:r>
        <w:rPr>
          <w:w w:val="105"/>
        </w:rPr>
        <w:t>附</w:t>
      </w:r>
      <w:r>
        <w:rPr>
          <w:w w:val="105"/>
        </w:rPr>
        <w:tab/>
      </w:r>
      <w:r>
        <w:rPr>
          <w:w w:val="105"/>
        </w:rPr>
        <w:t>则</w:t>
      </w:r>
    </w:p>
    <w:p>
      <w:pPr>
        <w:pStyle w:val="6"/>
        <w:spacing w:before="216"/>
        <w:ind w:left="860" w:firstLine="0"/>
        <w:rPr>
          <w:rFonts w:hint="eastAsia" w:ascii="MS UI Gothic" w:eastAsia="MS UI Gothic"/>
        </w:rPr>
      </w:pPr>
      <w:r>
        <w:rPr>
          <w:spacing w:val="2"/>
        </w:rPr>
        <w:t xml:space="preserve">第七百二十条 本规程自 </w:t>
      </w:r>
      <w:r>
        <w:rPr>
          <w:rFonts w:hint="eastAsia" w:ascii="MS UI Gothic" w:eastAsia="MS UI Gothic"/>
          <w:spacing w:val="-4"/>
        </w:rPr>
        <w:t xml:space="preserve">２０１６ </w:t>
      </w:r>
      <w:r>
        <w:rPr>
          <w:spacing w:val="-30"/>
        </w:rPr>
        <w:t xml:space="preserve">年 </w:t>
      </w:r>
      <w:r>
        <w:rPr>
          <w:rFonts w:hint="eastAsia" w:ascii="MS UI Gothic" w:eastAsia="MS UI Gothic"/>
          <w:spacing w:val="-6"/>
        </w:rPr>
        <w:t>１０</w:t>
      </w:r>
    </w:p>
    <w:p>
      <w:pPr>
        <w:pStyle w:val="6"/>
        <w:spacing w:before="58"/>
        <w:ind w:left="440" w:firstLine="0"/>
        <w:rPr>
          <w:rFonts w:hint="eastAsia" w:ascii="MS UI Gothic" w:eastAsia="MS UI Gothic"/>
        </w:rPr>
      </w:pPr>
      <w:r>
        <w:t xml:space="preserve">月 </w:t>
      </w:r>
      <w:r>
        <w:rPr>
          <w:rFonts w:hint="eastAsia" w:ascii="MS UI Gothic" w:eastAsia="MS UI Gothic"/>
        </w:rPr>
        <w:t xml:space="preserve">１ </w:t>
      </w:r>
      <w:r>
        <w:t>日起施行</w:t>
      </w:r>
      <w:r>
        <w:rPr>
          <w:rFonts w:hint="eastAsia" w:ascii="MS UI Gothic" w:eastAsia="MS UI Gothic"/>
          <w:w w:val="80"/>
        </w:rPr>
        <w:t>ꎮ</w:t>
      </w:r>
    </w:p>
    <w:p>
      <w:pPr>
        <w:pStyle w:val="6"/>
        <w:spacing w:before="58" w:line="295" w:lineRule="auto"/>
        <w:ind w:left="440"/>
      </w:pPr>
      <w:r>
        <w:rPr>
          <w:spacing w:val="9"/>
          <w:w w:val="105"/>
        </w:rPr>
        <w:t xml:space="preserve">第七百二十一条条款中出现的 </w:t>
      </w:r>
      <w:r>
        <w:rPr>
          <w:rFonts w:hint="eastAsia" w:ascii="MS UI Gothic" w:hAnsi="MS UI Gothic" w:eastAsia="MS UI Gothic"/>
          <w:spacing w:val="-22"/>
          <w:w w:val="105"/>
        </w:rPr>
        <w:t xml:space="preserve">“ </w:t>
      </w:r>
      <w:r>
        <w:rPr>
          <w:spacing w:val="-14"/>
          <w:w w:val="105"/>
        </w:rPr>
        <w:t>必</w:t>
      </w:r>
      <w:r>
        <w:rPr>
          <w:spacing w:val="3"/>
          <w:w w:val="105"/>
        </w:rPr>
        <w:t>须</w:t>
      </w:r>
      <w:r>
        <w:rPr>
          <w:rFonts w:hint="eastAsia" w:ascii="MS UI Gothic" w:hAnsi="MS UI Gothic" w:eastAsia="MS UI Gothic"/>
          <w:spacing w:val="-7"/>
          <w:w w:val="105"/>
        </w:rPr>
        <w:t xml:space="preserve">” “ </w:t>
      </w:r>
      <w:r>
        <w:rPr>
          <w:spacing w:val="7"/>
          <w:w w:val="105"/>
        </w:rPr>
        <w:t>严禁</w:t>
      </w:r>
      <w:r>
        <w:rPr>
          <w:rFonts w:hint="eastAsia" w:ascii="MS UI Gothic" w:hAnsi="MS UI Gothic" w:eastAsia="MS UI Gothic"/>
          <w:spacing w:val="-2"/>
          <w:w w:val="105"/>
        </w:rPr>
        <w:t xml:space="preserve">” “ </w:t>
      </w:r>
      <w:r>
        <w:rPr>
          <w:spacing w:val="14"/>
          <w:w w:val="105"/>
        </w:rPr>
        <w:t>应当</w:t>
      </w:r>
      <w:r>
        <w:rPr>
          <w:rFonts w:hint="eastAsia" w:ascii="MS UI Gothic" w:hAnsi="MS UI Gothic" w:eastAsia="MS UI Gothic"/>
          <w:spacing w:val="-3"/>
          <w:w w:val="105"/>
        </w:rPr>
        <w:t xml:space="preserve">” “ </w:t>
      </w:r>
      <w:r>
        <w:rPr>
          <w:spacing w:val="15"/>
          <w:w w:val="105"/>
        </w:rPr>
        <w:t>可以</w:t>
      </w:r>
      <w:r>
        <w:rPr>
          <w:rFonts w:hint="eastAsia" w:ascii="MS UI Gothic" w:hAnsi="MS UI Gothic" w:eastAsia="MS UI Gothic"/>
          <w:spacing w:val="29"/>
          <w:w w:val="105"/>
        </w:rPr>
        <w:t xml:space="preserve">” </w:t>
      </w:r>
      <w:r>
        <w:rPr>
          <w:spacing w:val="12"/>
          <w:w w:val="105"/>
        </w:rPr>
        <w:t>等说明如</w:t>
      </w:r>
      <w:r>
        <w:rPr>
          <w:spacing w:val="3"/>
          <w:w w:val="105"/>
        </w:rPr>
        <w:t>下</w:t>
      </w:r>
      <w:r>
        <w:rPr>
          <w:rFonts w:hint="eastAsia" w:ascii="MS UI Gothic" w:hAnsi="MS UI Gothic" w:eastAsia="MS UI Gothic"/>
          <w:spacing w:val="-46"/>
          <w:w w:val="235"/>
        </w:rPr>
        <w:t xml:space="preserve">: </w:t>
      </w:r>
      <w:r>
        <w:rPr>
          <w:spacing w:val="3"/>
          <w:w w:val="105"/>
        </w:rPr>
        <w:t>表示很严格</w:t>
      </w:r>
      <w:r>
        <w:rPr>
          <w:rFonts w:hint="eastAsia" w:ascii="MS UI Gothic" w:hAnsi="MS UI Gothic" w:eastAsia="MS UI Gothic"/>
          <w:spacing w:val="1"/>
          <w:w w:val="80"/>
        </w:rPr>
        <w:t xml:space="preserve">ꎬ </w:t>
      </w:r>
      <w:r>
        <w:rPr>
          <w:spacing w:val="3"/>
          <w:w w:val="105"/>
        </w:rPr>
        <w:t>非这样做不可的</w:t>
      </w:r>
      <w:r>
        <w:rPr>
          <w:rFonts w:hint="eastAsia" w:ascii="MS UI Gothic" w:hAnsi="MS UI Gothic" w:eastAsia="MS UI Gothic"/>
          <w:spacing w:val="1"/>
          <w:w w:val="80"/>
        </w:rPr>
        <w:t xml:space="preserve">ꎬ </w:t>
      </w:r>
      <w:r>
        <w:rPr>
          <w:spacing w:val="1"/>
          <w:w w:val="105"/>
        </w:rPr>
        <w:t>正面</w:t>
      </w:r>
      <w:r>
        <w:rPr>
          <w:spacing w:val="-12"/>
          <w:w w:val="105"/>
        </w:rPr>
        <w:t xml:space="preserve">词一般用 </w:t>
      </w:r>
      <w:r>
        <w:rPr>
          <w:rFonts w:hint="eastAsia" w:ascii="MS UI Gothic" w:hAnsi="MS UI Gothic" w:eastAsia="MS UI Gothic"/>
          <w:spacing w:val="-26"/>
          <w:w w:val="105"/>
        </w:rPr>
        <w:t xml:space="preserve">“ </w:t>
      </w:r>
      <w:r>
        <w:rPr>
          <w:spacing w:val="3"/>
          <w:w w:val="105"/>
        </w:rPr>
        <w:t>必须</w:t>
      </w:r>
      <w:r>
        <w:rPr>
          <w:rFonts w:hint="eastAsia" w:ascii="MS UI Gothic" w:hAnsi="MS UI Gothic" w:eastAsia="MS UI Gothic"/>
          <w:spacing w:val="-26"/>
          <w:w w:val="105"/>
        </w:rPr>
        <w:t xml:space="preserve">” </w:t>
      </w:r>
      <w:r>
        <w:rPr>
          <w:rFonts w:hint="eastAsia" w:ascii="MS UI Gothic" w:hAnsi="MS UI Gothic" w:eastAsia="MS UI Gothic"/>
          <w:spacing w:val="7"/>
          <w:w w:val="80"/>
        </w:rPr>
        <w:t xml:space="preserve">ꎬ </w:t>
      </w:r>
      <w:r>
        <w:rPr>
          <w:spacing w:val="-11"/>
          <w:w w:val="105"/>
        </w:rPr>
        <w:t xml:space="preserve">反面词用 </w:t>
      </w:r>
      <w:r>
        <w:rPr>
          <w:rFonts w:hint="eastAsia" w:ascii="MS UI Gothic" w:hAnsi="MS UI Gothic" w:eastAsia="MS UI Gothic"/>
          <w:spacing w:val="-26"/>
          <w:w w:val="105"/>
        </w:rPr>
        <w:t xml:space="preserve">“ </w:t>
      </w:r>
      <w:r>
        <w:rPr>
          <w:spacing w:val="3"/>
          <w:w w:val="105"/>
        </w:rPr>
        <w:t>严禁</w:t>
      </w:r>
      <w:r>
        <w:rPr>
          <w:rFonts w:hint="eastAsia" w:ascii="MS UI Gothic" w:hAnsi="MS UI Gothic" w:eastAsia="MS UI Gothic"/>
          <w:spacing w:val="-26"/>
          <w:w w:val="105"/>
        </w:rPr>
        <w:t xml:space="preserve">” </w:t>
      </w:r>
      <w:r>
        <w:rPr>
          <w:rFonts w:hint="eastAsia" w:ascii="MS UI Gothic" w:hAnsi="MS UI Gothic" w:eastAsia="MS UI Gothic"/>
          <w:spacing w:val="7"/>
          <w:w w:val="80"/>
        </w:rPr>
        <w:t xml:space="preserve">ꎻ </w:t>
      </w:r>
      <w:r>
        <w:rPr>
          <w:w w:val="105"/>
        </w:rPr>
        <w:t>表</w:t>
      </w:r>
      <w:r>
        <w:rPr>
          <w:spacing w:val="3"/>
        </w:rPr>
        <w:t>示严格</w:t>
      </w:r>
      <w:r>
        <w:rPr>
          <w:rFonts w:hint="eastAsia" w:ascii="MS UI Gothic" w:hAnsi="MS UI Gothic" w:eastAsia="MS UI Gothic"/>
          <w:spacing w:val="23"/>
          <w:w w:val="80"/>
        </w:rPr>
        <w:t xml:space="preserve">ꎬ </w:t>
      </w:r>
      <w:r>
        <w:rPr>
          <w:spacing w:val="3"/>
        </w:rPr>
        <w:t>在正常情况下均应这样做的</w:t>
      </w:r>
      <w:r>
        <w:rPr>
          <w:rFonts w:hint="eastAsia" w:ascii="MS UI Gothic" w:hAnsi="MS UI Gothic" w:eastAsia="MS UI Gothic"/>
          <w:spacing w:val="23"/>
          <w:w w:val="80"/>
        </w:rPr>
        <w:t xml:space="preserve">ꎬ </w:t>
      </w:r>
      <w:r>
        <w:t>正</w:t>
      </w:r>
    </w:p>
    <w:p>
      <w:pPr>
        <w:pStyle w:val="6"/>
        <w:spacing w:before="124" w:line="295" w:lineRule="auto"/>
        <w:ind w:left="383" w:right="126" w:firstLine="0"/>
        <w:rPr>
          <w:rFonts w:hint="eastAsia" w:ascii="MS UI Gothic" w:hAnsi="MS UI Gothic" w:eastAsia="MS UI Gothic"/>
        </w:rPr>
      </w:pPr>
      <w:r>
        <w:br w:type="column"/>
      </w:r>
      <w:r>
        <w:t xml:space="preserve">面词一般用 </w:t>
      </w:r>
      <w:r>
        <w:rPr>
          <w:rFonts w:hint="eastAsia" w:ascii="MS UI Gothic" w:hAnsi="MS UI Gothic" w:eastAsia="MS UI Gothic"/>
        </w:rPr>
        <w:t xml:space="preserve">“ </w:t>
      </w:r>
      <w:r>
        <w:t>应当</w:t>
      </w:r>
      <w:r>
        <w:rPr>
          <w:rFonts w:hint="eastAsia" w:ascii="MS UI Gothic" w:hAnsi="MS UI Gothic" w:eastAsia="MS UI Gothic"/>
        </w:rPr>
        <w:t xml:space="preserve">” </w:t>
      </w:r>
      <w:r>
        <w:rPr>
          <w:rFonts w:hint="eastAsia" w:ascii="MS UI Gothic" w:hAnsi="MS UI Gothic" w:eastAsia="MS UI Gothic"/>
          <w:w w:val="80"/>
        </w:rPr>
        <w:t xml:space="preserve">ꎬ </w:t>
      </w:r>
      <w:r>
        <w:t xml:space="preserve">反面词一般用 </w:t>
      </w:r>
      <w:r>
        <w:rPr>
          <w:rFonts w:hint="eastAsia" w:ascii="MS UI Gothic" w:hAnsi="MS UI Gothic" w:eastAsia="MS UI Gothic"/>
        </w:rPr>
        <w:t xml:space="preserve">“ </w:t>
      </w:r>
      <w:r>
        <w:t>不应或不得</w:t>
      </w:r>
      <w:r>
        <w:rPr>
          <w:rFonts w:hint="eastAsia" w:ascii="MS UI Gothic" w:hAnsi="MS UI Gothic" w:eastAsia="MS UI Gothic"/>
        </w:rPr>
        <w:t xml:space="preserve">” </w:t>
      </w:r>
      <w:r>
        <w:rPr>
          <w:rFonts w:hint="eastAsia" w:ascii="MS UI Gothic" w:hAnsi="MS UI Gothic" w:eastAsia="MS UI Gothic"/>
          <w:w w:val="80"/>
        </w:rPr>
        <w:t xml:space="preserve">ꎻ </w:t>
      </w:r>
      <w:r>
        <w:t>表示允许选择</w:t>
      </w:r>
      <w:r>
        <w:rPr>
          <w:rFonts w:hint="eastAsia" w:ascii="MS UI Gothic" w:hAnsi="MS UI Gothic" w:eastAsia="MS UI Gothic"/>
          <w:w w:val="80"/>
        </w:rPr>
        <w:t xml:space="preserve">ꎬ </w:t>
      </w:r>
      <w:r>
        <w:t>在一定条件下可以这样做的</w:t>
      </w:r>
      <w:r>
        <w:rPr>
          <w:rFonts w:hint="eastAsia" w:ascii="MS UI Gothic" w:hAnsi="MS UI Gothic" w:eastAsia="MS UI Gothic"/>
          <w:w w:val="80"/>
        </w:rPr>
        <w:t xml:space="preserve">ꎬ </w:t>
      </w:r>
      <w:r>
        <w:t xml:space="preserve">采用 </w:t>
      </w:r>
      <w:r>
        <w:rPr>
          <w:rFonts w:hint="eastAsia" w:ascii="MS UI Gothic" w:hAnsi="MS UI Gothic" w:eastAsia="MS UI Gothic"/>
        </w:rPr>
        <w:t xml:space="preserve">“ </w:t>
      </w:r>
      <w:r>
        <w:t>可以</w:t>
      </w:r>
      <w:r>
        <w:rPr>
          <w:rFonts w:hint="eastAsia" w:ascii="MS UI Gothic" w:hAnsi="MS UI Gothic" w:eastAsia="MS UI Gothic"/>
        </w:rPr>
        <w:t xml:space="preserve">” </w:t>
      </w:r>
      <w:r>
        <w:rPr>
          <w:rFonts w:hint="eastAsia" w:ascii="MS UI Gothic" w:hAnsi="MS UI Gothic" w:eastAsia="MS UI Gothic"/>
          <w:w w:val="80"/>
        </w:rPr>
        <w:t>ꎮ</w:t>
      </w:r>
    </w:p>
    <w:p>
      <w:pPr>
        <w:pStyle w:val="6"/>
        <w:tabs>
          <w:tab w:val="left" w:pos="1954"/>
        </w:tabs>
        <w:spacing w:before="155"/>
        <w:ind w:left="1326" w:firstLine="0"/>
        <w:jc w:val="left"/>
      </w:pPr>
      <w:r>
        <w:rPr>
          <w:spacing w:val="3"/>
          <w:w w:val="105"/>
        </w:rPr>
        <w:t>附</w:t>
      </w:r>
      <w:r>
        <w:rPr>
          <w:w w:val="105"/>
        </w:rPr>
        <w:t>录</w:t>
      </w:r>
      <w:r>
        <w:rPr>
          <w:w w:val="105"/>
        </w:rPr>
        <w:tab/>
      </w:r>
      <w:r>
        <w:rPr>
          <w:spacing w:val="3"/>
          <w:w w:val="105"/>
        </w:rPr>
        <w:t>主要名词解</w:t>
      </w:r>
      <w:r>
        <w:rPr>
          <w:w w:val="105"/>
        </w:rPr>
        <w:t>释</w:t>
      </w:r>
    </w:p>
    <w:p>
      <w:pPr>
        <w:pStyle w:val="6"/>
        <w:spacing w:before="10"/>
        <w:ind w:left="0" w:firstLine="0"/>
        <w:jc w:val="left"/>
        <w:rPr>
          <w:sz w:val="16"/>
        </w:rPr>
      </w:pPr>
    </w:p>
    <w:p>
      <w:pPr>
        <w:pStyle w:val="6"/>
        <w:spacing w:line="295" w:lineRule="auto"/>
        <w:ind w:left="383" w:right="126"/>
        <w:rPr>
          <w:rFonts w:hint="eastAsia" w:ascii="MS UI Gothic" w:eastAsia="MS UI Gothic"/>
        </w:rPr>
      </w:pPr>
      <w:r>
        <w:t xml:space="preserve">薄煤层 地下开采时厚度 </w:t>
      </w:r>
      <w:r>
        <w:rPr>
          <w:rFonts w:hint="eastAsia" w:ascii="MS UI Gothic" w:eastAsia="MS UI Gothic"/>
        </w:rPr>
        <w:t xml:space="preserve">１ ３ ｍ </w:t>
      </w:r>
      <w:r>
        <w:t>以下的煤层</w:t>
      </w:r>
      <w:r>
        <w:rPr>
          <w:rFonts w:hint="eastAsia" w:ascii="MS UI Gothic" w:eastAsia="MS UI Gothic"/>
          <w:w w:val="85"/>
        </w:rPr>
        <w:t xml:space="preserve">ꎻ </w:t>
      </w:r>
      <w:r>
        <w:t xml:space="preserve">露天开采时厚度 </w:t>
      </w:r>
      <w:r>
        <w:rPr>
          <w:rFonts w:hint="eastAsia" w:ascii="MS UI Gothic" w:eastAsia="MS UI Gothic"/>
        </w:rPr>
        <w:t xml:space="preserve">３ ５ ｍ </w:t>
      </w:r>
      <w:r>
        <w:t>以下的煤层</w:t>
      </w:r>
      <w:r>
        <w:rPr>
          <w:rFonts w:hint="eastAsia" w:ascii="MS UI Gothic" w:eastAsia="MS UI Gothic"/>
          <w:w w:val="85"/>
        </w:rPr>
        <w:t>ꎮ</w:t>
      </w:r>
    </w:p>
    <w:p>
      <w:pPr>
        <w:pStyle w:val="6"/>
        <w:spacing w:line="295" w:lineRule="auto"/>
        <w:ind w:left="377" w:right="155" w:firstLine="425"/>
        <w:rPr>
          <w:rFonts w:hint="eastAsia" w:ascii="MS UI Gothic" w:eastAsia="MS UI Gothic"/>
        </w:rPr>
      </w:pPr>
      <w:r>
        <w:t xml:space="preserve">中厚煤层 地下开采时厚度 </w:t>
      </w:r>
      <w:r>
        <w:rPr>
          <w:rFonts w:hint="eastAsia" w:ascii="MS UI Gothic" w:eastAsia="MS UI Gothic"/>
        </w:rPr>
        <w:t xml:space="preserve">１ ３ </w:t>
      </w:r>
      <w:r>
        <w:rPr>
          <w:rFonts w:hint="eastAsia" w:ascii="MS UI Gothic" w:eastAsia="MS UI Gothic"/>
          <w:w w:val="115"/>
        </w:rPr>
        <w:t xml:space="preserve">~ </w:t>
      </w:r>
      <w:r>
        <w:rPr>
          <w:rFonts w:hint="eastAsia" w:ascii="MS UI Gothic" w:eastAsia="MS UI Gothic"/>
        </w:rPr>
        <w:t xml:space="preserve">３ ５ ｍ </w:t>
      </w:r>
      <w:r>
        <w:t>的煤层</w:t>
      </w:r>
      <w:r>
        <w:rPr>
          <w:rFonts w:hint="eastAsia" w:ascii="MS UI Gothic" w:eastAsia="MS UI Gothic"/>
          <w:w w:val="85"/>
        </w:rPr>
        <w:t xml:space="preserve">ꎻ </w:t>
      </w:r>
      <w:r>
        <w:t xml:space="preserve">露天开采时厚度 </w:t>
      </w:r>
      <w:r>
        <w:rPr>
          <w:rFonts w:hint="eastAsia" w:ascii="MS UI Gothic" w:eastAsia="MS UI Gothic"/>
        </w:rPr>
        <w:t xml:space="preserve">３ ５ </w:t>
      </w:r>
      <w:r>
        <w:rPr>
          <w:rFonts w:hint="eastAsia" w:ascii="MS UI Gothic" w:eastAsia="MS UI Gothic"/>
          <w:w w:val="115"/>
        </w:rPr>
        <w:t>~</w:t>
      </w:r>
    </w:p>
    <w:p>
      <w:pPr>
        <w:pStyle w:val="6"/>
        <w:spacing w:line="255" w:lineRule="exact"/>
        <w:ind w:left="377" w:firstLine="0"/>
        <w:rPr>
          <w:rFonts w:hint="eastAsia" w:ascii="MS UI Gothic" w:eastAsia="MS UI Gothic"/>
        </w:rPr>
      </w:pPr>
      <w:r>
        <w:rPr>
          <w:rFonts w:hint="eastAsia" w:ascii="MS UI Gothic" w:eastAsia="MS UI Gothic"/>
          <w:w w:val="85"/>
        </w:rPr>
        <w:t xml:space="preserve">１０ ｍ </w:t>
      </w:r>
      <w:r>
        <w:rPr>
          <w:w w:val="95"/>
        </w:rPr>
        <w:t>的煤层</w:t>
      </w:r>
      <w:r>
        <w:rPr>
          <w:rFonts w:hint="eastAsia" w:ascii="MS UI Gothic" w:eastAsia="MS UI Gothic"/>
          <w:w w:val="85"/>
        </w:rPr>
        <w:t>ꎮ</w:t>
      </w:r>
    </w:p>
    <w:p>
      <w:pPr>
        <w:pStyle w:val="6"/>
        <w:spacing w:before="56" w:line="295" w:lineRule="auto"/>
        <w:ind w:left="383" w:right="126"/>
        <w:rPr>
          <w:rFonts w:hint="eastAsia" w:ascii="MS UI Gothic" w:eastAsia="MS UI Gothic"/>
        </w:rPr>
      </w:pPr>
      <w:r>
        <w:rPr>
          <w:spacing w:val="-3"/>
        </w:rPr>
        <w:t xml:space="preserve">厚煤层 地下开采时厚度 </w:t>
      </w:r>
      <w:r>
        <w:rPr>
          <w:rFonts w:hint="eastAsia" w:ascii="MS UI Gothic" w:eastAsia="MS UI Gothic"/>
          <w:w w:val="85"/>
        </w:rPr>
        <w:t>３</w:t>
      </w:r>
      <w:r>
        <w:rPr>
          <w:rFonts w:hint="eastAsia" w:ascii="MS UI Gothic" w:eastAsia="MS UI Gothic"/>
          <w:spacing w:val="7"/>
          <w:w w:val="85"/>
        </w:rPr>
        <w:t xml:space="preserve"> ５ </w:t>
      </w:r>
      <w:r>
        <w:rPr>
          <w:rFonts w:hint="eastAsia" w:ascii="MS UI Gothic" w:eastAsia="MS UI Gothic"/>
          <w:w w:val="85"/>
        </w:rPr>
        <w:t>ｍ</w:t>
      </w:r>
      <w:r>
        <w:rPr>
          <w:rFonts w:hint="eastAsia" w:ascii="MS UI Gothic" w:eastAsia="MS UI Gothic"/>
          <w:spacing w:val="17"/>
          <w:w w:val="85"/>
        </w:rPr>
        <w:t xml:space="preserve"> </w:t>
      </w:r>
      <w:r>
        <w:rPr>
          <w:spacing w:val="1"/>
        </w:rPr>
        <w:t>以上</w:t>
      </w:r>
      <w:r>
        <w:rPr>
          <w:spacing w:val="5"/>
        </w:rPr>
        <w:t>的煤层</w:t>
      </w:r>
      <w:r>
        <w:rPr>
          <w:rFonts w:hint="eastAsia" w:ascii="MS UI Gothic" w:eastAsia="MS UI Gothic"/>
          <w:spacing w:val="4"/>
          <w:w w:val="85"/>
        </w:rPr>
        <w:t xml:space="preserve">ꎻ </w:t>
      </w:r>
      <w:r>
        <w:rPr>
          <w:spacing w:val="15"/>
        </w:rPr>
        <w:t xml:space="preserve">露天开采时厚度 </w:t>
      </w:r>
      <w:r>
        <w:rPr>
          <w:rFonts w:hint="eastAsia" w:ascii="MS UI Gothic" w:eastAsia="MS UI Gothic"/>
          <w:spacing w:val="15"/>
          <w:w w:val="85"/>
        </w:rPr>
        <w:t xml:space="preserve">１０ </w:t>
      </w:r>
      <w:r>
        <w:rPr>
          <w:rFonts w:hint="eastAsia" w:ascii="MS UI Gothic" w:eastAsia="MS UI Gothic"/>
          <w:w w:val="85"/>
        </w:rPr>
        <w:t>ｍ</w:t>
      </w:r>
      <w:r>
        <w:rPr>
          <w:rFonts w:hint="eastAsia" w:ascii="MS UI Gothic" w:eastAsia="MS UI Gothic"/>
          <w:spacing w:val="44"/>
          <w:w w:val="85"/>
        </w:rPr>
        <w:t xml:space="preserve"> </w:t>
      </w:r>
      <w:r>
        <w:rPr>
          <w:spacing w:val="14"/>
        </w:rPr>
        <w:t>以上的</w:t>
      </w:r>
      <w:r>
        <w:rPr>
          <w:spacing w:val="3"/>
        </w:rPr>
        <w:t>煤层</w:t>
      </w:r>
      <w:r>
        <w:rPr>
          <w:rFonts w:hint="eastAsia" w:ascii="MS UI Gothic" w:eastAsia="MS UI Gothic"/>
          <w:w w:val="85"/>
        </w:rPr>
        <w:t>ꎮ</w:t>
      </w:r>
    </w:p>
    <w:p>
      <w:pPr>
        <w:pStyle w:val="6"/>
        <w:spacing w:line="295" w:lineRule="auto"/>
        <w:ind w:left="383" w:right="126"/>
        <w:rPr>
          <w:rFonts w:hint="eastAsia" w:ascii="MS UI Gothic" w:hAnsi="MS UI Gothic" w:eastAsia="MS UI Gothic"/>
        </w:rPr>
      </w:pPr>
      <w:r>
        <w:rPr>
          <w:spacing w:val="6"/>
        </w:rPr>
        <w:t xml:space="preserve">近水平煤层 地下开采时倾角 </w:t>
      </w:r>
      <w:r>
        <w:rPr>
          <w:rFonts w:hint="eastAsia" w:ascii="MS UI Gothic" w:hAnsi="MS UI Gothic" w:eastAsia="MS UI Gothic"/>
          <w:spacing w:val="-8"/>
          <w:w w:val="85"/>
        </w:rPr>
        <w:t xml:space="preserve">８° </w:t>
      </w:r>
      <w:r>
        <w:t>以</w:t>
      </w:r>
      <w:r>
        <w:rPr>
          <w:spacing w:val="22"/>
        </w:rPr>
        <w:t>下的煤层</w:t>
      </w:r>
      <w:r>
        <w:rPr>
          <w:rFonts w:hint="eastAsia" w:ascii="MS UI Gothic" w:hAnsi="MS UI Gothic" w:eastAsia="MS UI Gothic"/>
          <w:spacing w:val="17"/>
          <w:w w:val="85"/>
        </w:rPr>
        <w:t xml:space="preserve">ꎻ </w:t>
      </w:r>
      <w:r>
        <w:rPr>
          <w:spacing w:val="17"/>
        </w:rPr>
        <w:t xml:space="preserve">露天开采时倾角 </w:t>
      </w:r>
      <w:r>
        <w:rPr>
          <w:rFonts w:hint="eastAsia" w:ascii="MS UI Gothic" w:hAnsi="MS UI Gothic" w:eastAsia="MS UI Gothic"/>
          <w:spacing w:val="-6"/>
          <w:w w:val="85"/>
        </w:rPr>
        <w:t xml:space="preserve">５° </w:t>
      </w:r>
      <w:r>
        <w:rPr>
          <w:spacing w:val="16"/>
        </w:rPr>
        <w:t>以下的</w:t>
      </w:r>
      <w:r>
        <w:rPr>
          <w:spacing w:val="3"/>
        </w:rPr>
        <w:t>煤层</w:t>
      </w:r>
      <w:r>
        <w:rPr>
          <w:rFonts w:hint="eastAsia" w:ascii="MS UI Gothic" w:hAnsi="MS UI Gothic" w:eastAsia="MS UI Gothic"/>
          <w:w w:val="85"/>
        </w:rPr>
        <w:t>ꎮ</w:t>
      </w:r>
    </w:p>
    <w:p>
      <w:pPr>
        <w:pStyle w:val="6"/>
        <w:spacing w:line="254" w:lineRule="exact"/>
        <w:ind w:left="802" w:firstLine="0"/>
        <w:rPr>
          <w:rFonts w:hint="eastAsia" w:ascii="MS UI Gothic" w:hAnsi="MS UI Gothic" w:eastAsia="MS UI Gothic"/>
        </w:rPr>
      </w:pPr>
      <w:r>
        <w:pict>
          <v:shape id="_x0000_s2057" o:spid="_x0000_s2057" o:spt="202" type="#_x0000_t202" style="position:absolute;left:0pt;margin-left:280.35pt;margin-top:11.85pt;height:24.35pt;width:14.7pt;mso-position-horizontal-relative:page;z-index:-27568537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hAnsi="MS UI Gothic" w:eastAsia="MS UI Gothic"/>
                    </w:rPr>
                  </w:pPr>
                  <w:r>
                    <w:rPr>
                      <w:rFonts w:hint="eastAsia" w:ascii="MS UI Gothic" w:hAnsi="MS UI Gothic" w:eastAsia="MS UI Gothic"/>
                      <w:w w:val="60"/>
                    </w:rPr>
                    <w:t>２５°</w:t>
                  </w:r>
                </w:p>
              </w:txbxContent>
            </v:textbox>
          </v:shape>
        </w:pict>
      </w:r>
      <w:r>
        <w:t xml:space="preserve">缓倾斜煤层 地下开采时倾角 </w:t>
      </w:r>
      <w:r>
        <w:rPr>
          <w:rFonts w:hint="eastAsia" w:ascii="MS UI Gothic" w:hAnsi="MS UI Gothic" w:eastAsia="MS UI Gothic"/>
          <w:w w:val="85"/>
        </w:rPr>
        <w:t xml:space="preserve">８° </w:t>
      </w:r>
      <w:r>
        <w:rPr>
          <w:rFonts w:hint="eastAsia" w:ascii="MS UI Gothic" w:hAnsi="MS UI Gothic" w:eastAsia="MS UI Gothic"/>
          <w:w w:val="115"/>
        </w:rPr>
        <w:t>~</w:t>
      </w:r>
    </w:p>
    <w:p>
      <w:pPr>
        <w:pStyle w:val="6"/>
        <w:spacing w:before="56" w:line="295" w:lineRule="auto"/>
        <w:ind w:left="383" w:right="126" w:firstLine="306"/>
        <w:rPr>
          <w:rFonts w:hint="eastAsia" w:ascii="MS UI Gothic" w:hAnsi="MS UI Gothic" w:eastAsia="MS UI Gothic"/>
        </w:rPr>
      </w:pPr>
      <w:r>
        <w:rPr>
          <w:spacing w:val="15"/>
        </w:rPr>
        <w:t>的煤层</w:t>
      </w:r>
      <w:r>
        <w:rPr>
          <w:rFonts w:hint="eastAsia" w:ascii="MS UI Gothic" w:hAnsi="MS UI Gothic" w:eastAsia="MS UI Gothic"/>
          <w:spacing w:val="1"/>
          <w:w w:val="85"/>
        </w:rPr>
        <w:t xml:space="preserve">ꎻ </w:t>
      </w:r>
      <w:r>
        <w:rPr>
          <w:spacing w:val="7"/>
        </w:rPr>
        <w:t xml:space="preserve">露天开采时倾角 </w:t>
      </w:r>
      <w:r>
        <w:rPr>
          <w:rFonts w:hint="eastAsia" w:ascii="MS UI Gothic" w:hAnsi="MS UI Gothic" w:eastAsia="MS UI Gothic"/>
          <w:spacing w:val="-8"/>
          <w:w w:val="85"/>
        </w:rPr>
        <w:t xml:space="preserve">５° </w:t>
      </w:r>
      <w:r>
        <w:rPr>
          <w:rFonts w:hint="eastAsia" w:ascii="MS UI Gothic" w:hAnsi="MS UI Gothic" w:eastAsia="MS UI Gothic"/>
        </w:rPr>
        <w:t>~</w:t>
      </w:r>
      <w:r>
        <w:rPr>
          <w:rFonts w:hint="eastAsia" w:ascii="MS UI Gothic" w:hAnsi="MS UI Gothic" w:eastAsia="MS UI Gothic"/>
          <w:spacing w:val="-39"/>
        </w:rPr>
        <w:t xml:space="preserve"> </w:t>
      </w:r>
      <w:r>
        <w:rPr>
          <w:rFonts w:hint="eastAsia" w:ascii="MS UI Gothic" w:hAnsi="MS UI Gothic" w:eastAsia="MS UI Gothic"/>
          <w:spacing w:val="-10"/>
          <w:w w:val="85"/>
        </w:rPr>
        <w:t xml:space="preserve">１０° </w:t>
      </w:r>
      <w:r>
        <w:t>的</w:t>
      </w:r>
      <w:r>
        <w:rPr>
          <w:spacing w:val="3"/>
          <w:w w:val="110"/>
        </w:rPr>
        <w:t>煤层</w:t>
      </w:r>
      <w:r>
        <w:rPr>
          <w:rFonts w:hint="eastAsia" w:ascii="MS UI Gothic" w:hAnsi="MS UI Gothic" w:eastAsia="MS UI Gothic"/>
          <w:w w:val="85"/>
        </w:rPr>
        <w:t>ꎮ</w:t>
      </w:r>
    </w:p>
    <w:p>
      <w:pPr>
        <w:pStyle w:val="6"/>
        <w:spacing w:line="295" w:lineRule="auto"/>
        <w:ind w:left="383" w:right="126"/>
        <w:rPr>
          <w:rFonts w:hint="eastAsia" w:ascii="MS UI Gothic" w:hAnsi="MS UI Gothic" w:eastAsia="MS UI Gothic"/>
        </w:rPr>
      </w:pPr>
      <w:r>
        <w:rPr>
          <w:spacing w:val="-9"/>
          <w:w w:val="105"/>
        </w:rPr>
        <w:t xml:space="preserve">倾斜煤层 地下开采时倾角 </w:t>
      </w:r>
      <w:r>
        <w:rPr>
          <w:rFonts w:hint="eastAsia" w:ascii="MS UI Gothic" w:hAnsi="MS UI Gothic" w:eastAsia="MS UI Gothic"/>
          <w:spacing w:val="-10"/>
          <w:w w:val="85"/>
        </w:rPr>
        <w:t xml:space="preserve">２５° </w:t>
      </w:r>
      <w:r>
        <w:rPr>
          <w:rFonts w:hint="eastAsia" w:ascii="MS UI Gothic" w:hAnsi="MS UI Gothic" w:eastAsia="MS UI Gothic"/>
          <w:w w:val="105"/>
        </w:rPr>
        <w:t>~</w:t>
      </w:r>
      <w:r>
        <w:rPr>
          <w:rFonts w:hint="eastAsia" w:ascii="MS UI Gothic" w:hAnsi="MS UI Gothic" w:eastAsia="MS UI Gothic"/>
          <w:spacing w:val="-53"/>
          <w:w w:val="105"/>
        </w:rPr>
        <w:t xml:space="preserve"> </w:t>
      </w:r>
      <w:r>
        <w:rPr>
          <w:rFonts w:hint="eastAsia" w:ascii="MS UI Gothic" w:hAnsi="MS UI Gothic" w:eastAsia="MS UI Gothic"/>
          <w:w w:val="85"/>
        </w:rPr>
        <w:t xml:space="preserve">４５° </w:t>
      </w:r>
      <w:r>
        <w:rPr>
          <w:spacing w:val="16"/>
        </w:rPr>
        <w:t>的煤层</w:t>
      </w:r>
      <w:r>
        <w:rPr>
          <w:rFonts w:hint="eastAsia" w:ascii="MS UI Gothic" w:hAnsi="MS UI Gothic" w:eastAsia="MS UI Gothic"/>
          <w:spacing w:val="9"/>
          <w:w w:val="85"/>
        </w:rPr>
        <w:t xml:space="preserve">ꎻ </w:t>
      </w:r>
      <w:r>
        <w:rPr>
          <w:spacing w:val="20"/>
        </w:rPr>
        <w:t xml:space="preserve">露天开采时倾角 </w:t>
      </w:r>
      <w:r>
        <w:rPr>
          <w:rFonts w:hint="eastAsia" w:ascii="MS UI Gothic" w:hAnsi="MS UI Gothic" w:eastAsia="MS UI Gothic"/>
          <w:spacing w:val="-3"/>
          <w:w w:val="85"/>
        </w:rPr>
        <w:t xml:space="preserve">１０° </w:t>
      </w:r>
      <w:r>
        <w:rPr>
          <w:rFonts w:hint="eastAsia" w:ascii="MS UI Gothic" w:hAnsi="MS UI Gothic" w:eastAsia="MS UI Gothic"/>
        </w:rPr>
        <w:t>~</w:t>
      </w:r>
      <w:r>
        <w:rPr>
          <w:rFonts w:hint="eastAsia" w:ascii="MS UI Gothic" w:hAnsi="MS UI Gothic" w:eastAsia="MS UI Gothic"/>
          <w:spacing w:val="-20"/>
        </w:rPr>
        <w:t xml:space="preserve"> </w:t>
      </w:r>
      <w:r>
        <w:rPr>
          <w:rFonts w:hint="eastAsia" w:ascii="MS UI Gothic" w:hAnsi="MS UI Gothic" w:eastAsia="MS UI Gothic"/>
          <w:spacing w:val="-6"/>
          <w:w w:val="85"/>
        </w:rPr>
        <w:t xml:space="preserve">４５° </w:t>
      </w:r>
      <w:r>
        <w:t>的</w:t>
      </w:r>
      <w:r>
        <w:rPr>
          <w:spacing w:val="3"/>
          <w:w w:val="115"/>
        </w:rPr>
        <w:t>煤层</w:t>
      </w:r>
      <w:r>
        <w:rPr>
          <w:rFonts w:hint="eastAsia" w:ascii="MS UI Gothic" w:hAnsi="MS UI Gothic" w:eastAsia="MS UI Gothic"/>
          <w:w w:val="85"/>
        </w:rPr>
        <w:t>ꎮ</w:t>
      </w:r>
    </w:p>
    <w:p>
      <w:pPr>
        <w:pStyle w:val="6"/>
        <w:tabs>
          <w:tab w:val="left" w:pos="2059"/>
        </w:tabs>
        <w:spacing w:line="295" w:lineRule="auto"/>
        <w:ind w:left="383" w:right="126"/>
        <w:jc w:val="left"/>
        <w:rPr>
          <w:rFonts w:hint="eastAsia" w:ascii="MS UI Gothic" w:hAnsi="MS UI Gothic" w:eastAsia="MS UI Gothic"/>
        </w:rPr>
      </w:pPr>
      <w:r>
        <w:rPr>
          <w:spacing w:val="3"/>
        </w:rPr>
        <w:t>急倾斜煤</w:t>
      </w:r>
      <w:r>
        <w:t>层</w:t>
      </w:r>
      <w:r>
        <w:tab/>
      </w:r>
      <w:r>
        <w:rPr>
          <w:spacing w:val="3"/>
        </w:rPr>
        <w:t>地下或露天开采时倾</w:t>
      </w:r>
      <w:r>
        <w:t>角在</w:t>
      </w:r>
      <w:r>
        <w:rPr>
          <w:spacing w:val="-54"/>
        </w:rPr>
        <w:t xml:space="preserve"> </w:t>
      </w:r>
      <w:r>
        <w:rPr>
          <w:rFonts w:hint="eastAsia" w:ascii="MS UI Gothic" w:hAnsi="MS UI Gothic" w:eastAsia="MS UI Gothic"/>
          <w:spacing w:val="5"/>
          <w:w w:val="85"/>
        </w:rPr>
        <w:t>４５°</w:t>
      </w:r>
      <w:r>
        <w:rPr>
          <w:spacing w:val="3"/>
        </w:rPr>
        <w:t>以上的煤层</w:t>
      </w:r>
      <w:r>
        <w:rPr>
          <w:rFonts w:hint="eastAsia" w:ascii="MS UI Gothic" w:hAnsi="MS UI Gothic" w:eastAsia="MS UI Gothic"/>
          <w:w w:val="85"/>
        </w:rPr>
        <w:t>ꎮ</w:t>
      </w:r>
    </w:p>
    <w:p>
      <w:pPr>
        <w:pStyle w:val="6"/>
        <w:spacing w:line="295" w:lineRule="auto"/>
        <w:ind w:left="383" w:right="124"/>
        <w:rPr>
          <w:rFonts w:hint="eastAsia" w:ascii="MS UI Gothic" w:eastAsia="MS UI Gothic"/>
        </w:rPr>
      </w:pPr>
      <w:r>
        <w:t>近距离煤层 煤层群层间距离较小</w:t>
      </w:r>
      <w:r>
        <w:rPr>
          <w:rFonts w:hint="eastAsia" w:ascii="MS UI Gothic" w:eastAsia="MS UI Gothic"/>
          <w:w w:val="80"/>
        </w:rPr>
        <w:t>ꎬ</w:t>
      </w:r>
      <w:r>
        <w:t>开采时相互有较大影响的煤层</w:t>
      </w:r>
      <w:r>
        <w:rPr>
          <w:rFonts w:hint="eastAsia" w:ascii="MS UI Gothic" w:eastAsia="MS UI Gothic"/>
          <w:w w:val="80"/>
        </w:rPr>
        <w:t>ꎮ</w:t>
      </w:r>
    </w:p>
    <w:p>
      <w:pPr>
        <w:pStyle w:val="6"/>
        <w:tabs>
          <w:tab w:val="left" w:pos="1430"/>
        </w:tabs>
        <w:spacing w:line="295" w:lineRule="auto"/>
        <w:ind w:left="383" w:right="126"/>
        <w:jc w:val="left"/>
        <w:rPr>
          <w:rFonts w:hint="eastAsia" w:ascii="MS UI Gothic" w:eastAsia="MS UI Gothic"/>
        </w:rPr>
      </w:pPr>
      <w:r>
        <w:rPr>
          <w:spacing w:val="3"/>
          <w:w w:val="105"/>
        </w:rPr>
        <w:t>井</w:t>
      </w:r>
      <w:r>
        <w:rPr>
          <w:w w:val="105"/>
        </w:rPr>
        <w:t>巷</w:t>
      </w:r>
      <w:r>
        <w:rPr>
          <w:w w:val="105"/>
        </w:rPr>
        <w:tab/>
      </w:r>
      <w:r>
        <w:rPr>
          <w:spacing w:val="3"/>
        </w:rPr>
        <w:t>为进行采掘工作在煤层或岩</w:t>
      </w:r>
      <w:r>
        <w:t>层</w:t>
      </w:r>
      <w:r>
        <w:rPr>
          <w:spacing w:val="3"/>
          <w:w w:val="105"/>
        </w:rPr>
        <w:t>内所开凿的一切空硐</w:t>
      </w:r>
      <w:r>
        <w:rPr>
          <w:rFonts w:hint="eastAsia" w:ascii="MS UI Gothic" w:eastAsia="MS UI Gothic"/>
          <w:w w:val="80"/>
        </w:rPr>
        <w:t>ꎮ</w:t>
      </w:r>
    </w:p>
    <w:p>
      <w:pPr>
        <w:pStyle w:val="6"/>
        <w:tabs>
          <w:tab w:val="left" w:pos="1430"/>
        </w:tabs>
        <w:spacing w:line="295" w:lineRule="auto"/>
        <w:ind w:left="383" w:right="126"/>
        <w:jc w:val="left"/>
        <w:rPr>
          <w:rFonts w:hint="eastAsia" w:ascii="MS UI Gothic" w:eastAsia="MS UI Gothic"/>
        </w:rPr>
      </w:pPr>
      <w:r>
        <w:rPr>
          <w:spacing w:val="3"/>
          <w:w w:val="105"/>
        </w:rPr>
        <w:t>水</w:t>
      </w:r>
      <w:r>
        <w:rPr>
          <w:w w:val="105"/>
        </w:rPr>
        <w:t>平</w:t>
      </w:r>
      <w:r>
        <w:rPr>
          <w:w w:val="105"/>
        </w:rPr>
        <w:tab/>
      </w:r>
      <w:r>
        <w:rPr>
          <w:spacing w:val="3"/>
        </w:rPr>
        <w:t>沿煤层走向某一标高布置运</w:t>
      </w:r>
      <w:r>
        <w:t>输</w:t>
      </w:r>
      <w:r>
        <w:rPr>
          <w:spacing w:val="3"/>
          <w:w w:val="105"/>
        </w:rPr>
        <w:t>大巷或总回风巷的水平面</w:t>
      </w:r>
      <w:r>
        <w:rPr>
          <w:rFonts w:hint="eastAsia" w:ascii="MS UI Gothic" w:eastAsia="MS UI Gothic"/>
          <w:w w:val="80"/>
        </w:rPr>
        <w:t>ꎮ</w:t>
      </w:r>
    </w:p>
    <w:p>
      <w:pPr>
        <w:pStyle w:val="6"/>
        <w:tabs>
          <w:tab w:val="left" w:pos="1524"/>
        </w:tabs>
        <w:spacing w:line="295" w:lineRule="auto"/>
        <w:ind w:left="383" w:right="126"/>
        <w:jc w:val="left"/>
        <w:rPr>
          <w:rFonts w:hint="eastAsia" w:ascii="MS UI Gothic" w:eastAsia="MS UI Gothic"/>
        </w:rPr>
      </w:pPr>
      <w:r>
        <w:rPr>
          <w:spacing w:val="15"/>
        </w:rPr>
        <w:t>阶</w:t>
      </w:r>
      <w:r>
        <w:t>段</w:t>
      </w:r>
      <w:r>
        <w:tab/>
      </w:r>
      <w:r>
        <w:rPr>
          <w:spacing w:val="34"/>
        </w:rPr>
        <w:t>沿一</w:t>
      </w:r>
      <w:r>
        <w:rPr>
          <w:spacing w:val="36"/>
        </w:rPr>
        <w:t>定标高划分的一部</w:t>
      </w:r>
      <w:r>
        <w:t>分</w:t>
      </w:r>
      <w:r>
        <w:rPr>
          <w:spacing w:val="3"/>
        </w:rPr>
        <w:t>井田</w:t>
      </w:r>
      <w:r>
        <w:rPr>
          <w:rFonts w:hint="eastAsia" w:ascii="MS UI Gothic" w:eastAsia="MS UI Gothic"/>
          <w:w w:val="80"/>
        </w:rPr>
        <w:t>ꎮ</w:t>
      </w:r>
    </w:p>
    <w:p>
      <w:pPr>
        <w:pStyle w:val="6"/>
        <w:tabs>
          <w:tab w:val="left" w:pos="3491"/>
        </w:tabs>
        <w:spacing w:line="295" w:lineRule="auto"/>
        <w:ind w:left="383" w:right="126"/>
        <w:jc w:val="left"/>
        <w:rPr>
          <w:rFonts w:hint="eastAsia" w:ascii="MS UI Gothic" w:eastAsia="MS UI Gothic"/>
        </w:rPr>
      </w:pPr>
      <w:r>
        <w:rPr>
          <w:spacing w:val="3"/>
          <w:w w:val="105"/>
        </w:rPr>
        <w:t>区</w:t>
      </w:r>
      <w:r>
        <w:rPr>
          <w:w w:val="105"/>
        </w:rPr>
        <w:t>段</w:t>
      </w:r>
      <w:r>
        <w:rPr>
          <w:spacing w:val="-2"/>
          <w:w w:val="105"/>
        </w:rPr>
        <w:t xml:space="preserve"> </w:t>
      </w:r>
      <w:r>
        <w:rPr>
          <w:rFonts w:hint="eastAsia" w:ascii="MS UI Gothic" w:eastAsia="MS UI Gothic"/>
          <w:w w:val="150"/>
        </w:rPr>
        <w:t>(</w:t>
      </w:r>
      <w:r>
        <w:rPr>
          <w:rFonts w:hint="eastAsia" w:ascii="MS UI Gothic" w:eastAsia="MS UI Gothic"/>
          <w:spacing w:val="-63"/>
          <w:w w:val="150"/>
        </w:rPr>
        <w:t xml:space="preserve"> </w:t>
      </w:r>
      <w:r>
        <w:rPr>
          <w:spacing w:val="21"/>
          <w:w w:val="105"/>
        </w:rPr>
        <w:t>分阶</w:t>
      </w:r>
      <w:r>
        <w:rPr>
          <w:spacing w:val="3"/>
          <w:w w:val="105"/>
        </w:rPr>
        <w:t>段</w:t>
      </w:r>
      <w:r>
        <w:rPr>
          <w:rFonts w:hint="eastAsia" w:ascii="MS UI Gothic" w:eastAsia="MS UI Gothic"/>
          <w:w w:val="80"/>
        </w:rPr>
        <w:t xml:space="preserve">、 </w:t>
      </w:r>
      <w:r>
        <w:rPr>
          <w:rFonts w:hint="eastAsia" w:ascii="MS UI Gothic" w:eastAsia="MS UI Gothic"/>
          <w:spacing w:val="16"/>
          <w:w w:val="80"/>
        </w:rPr>
        <w:t xml:space="preserve"> </w:t>
      </w:r>
      <w:r>
        <w:rPr>
          <w:spacing w:val="21"/>
          <w:w w:val="105"/>
        </w:rPr>
        <w:t>小阶</w:t>
      </w:r>
      <w:r>
        <w:rPr>
          <w:spacing w:val="15"/>
          <w:w w:val="105"/>
        </w:rPr>
        <w:t>段</w:t>
      </w:r>
      <w:r>
        <w:rPr>
          <w:rFonts w:hint="eastAsia" w:ascii="MS UI Gothic" w:eastAsia="MS UI Gothic"/>
          <w:w w:val="150"/>
        </w:rPr>
        <w:t>)</w:t>
      </w:r>
      <w:r>
        <w:rPr>
          <w:rFonts w:hint="eastAsia" w:ascii="MS UI Gothic" w:eastAsia="MS UI Gothic"/>
          <w:w w:val="150"/>
        </w:rPr>
        <w:tab/>
      </w:r>
      <w:r>
        <w:rPr>
          <w:spacing w:val="21"/>
          <w:w w:val="105"/>
        </w:rPr>
        <w:t>在阶</w:t>
      </w:r>
      <w:r>
        <w:rPr>
          <w:spacing w:val="-16"/>
          <w:w w:val="105"/>
        </w:rPr>
        <w:t>段</w:t>
      </w:r>
      <w:r>
        <w:rPr>
          <w:spacing w:val="3"/>
          <w:w w:val="105"/>
        </w:rPr>
        <w:t>内沿倾斜方向划分的开采块段</w:t>
      </w:r>
      <w:r>
        <w:rPr>
          <w:rFonts w:hint="eastAsia" w:ascii="MS UI Gothic" w:eastAsia="MS UI Gothic"/>
          <w:w w:val="80"/>
        </w:rPr>
        <w:t>ꎮ</w:t>
      </w:r>
    </w:p>
    <w:p>
      <w:pPr>
        <w:pStyle w:val="6"/>
        <w:tabs>
          <w:tab w:val="left" w:pos="2059"/>
        </w:tabs>
        <w:spacing w:line="295" w:lineRule="auto"/>
        <w:ind w:left="383" w:right="126"/>
        <w:jc w:val="left"/>
        <w:rPr>
          <w:rFonts w:hint="eastAsia" w:ascii="MS UI Gothic" w:eastAsia="MS UI Gothic"/>
        </w:rPr>
      </w:pPr>
      <w:r>
        <w:rPr>
          <w:spacing w:val="3"/>
        </w:rPr>
        <w:t>主要运输</w:t>
      </w:r>
      <w:r>
        <w:t>巷</w:t>
      </w:r>
      <w:r>
        <w:tab/>
      </w:r>
      <w:r>
        <w:rPr>
          <w:spacing w:val="3"/>
        </w:rPr>
        <w:t>运输大巷</w:t>
      </w:r>
      <w:r>
        <w:rPr>
          <w:rFonts w:hint="eastAsia" w:ascii="MS UI Gothic" w:eastAsia="MS UI Gothic"/>
          <w:w w:val="80"/>
        </w:rPr>
        <w:t>、</w:t>
      </w:r>
      <w:r>
        <w:rPr>
          <w:rFonts w:hint="eastAsia" w:ascii="MS UI Gothic" w:eastAsia="MS UI Gothic"/>
          <w:spacing w:val="48"/>
          <w:w w:val="80"/>
        </w:rPr>
        <w:t xml:space="preserve"> </w:t>
      </w:r>
      <w:r>
        <w:rPr>
          <w:spacing w:val="3"/>
        </w:rPr>
        <w:t>运输石门</w:t>
      </w:r>
      <w:r>
        <w:t>和</w:t>
      </w:r>
      <w:r>
        <w:rPr>
          <w:spacing w:val="3"/>
        </w:rPr>
        <w:t>主要绞车道的总称</w:t>
      </w:r>
      <w:r>
        <w:rPr>
          <w:rFonts w:hint="eastAsia" w:ascii="MS UI Gothic" w:eastAsia="MS UI Gothic"/>
          <w:w w:val="80"/>
        </w:rPr>
        <w:t>ꎮ</w:t>
      </w:r>
    </w:p>
    <w:p>
      <w:pPr>
        <w:pStyle w:val="6"/>
        <w:tabs>
          <w:tab w:val="left" w:pos="2007"/>
        </w:tabs>
        <w:spacing w:line="295" w:lineRule="auto"/>
        <w:ind w:left="383" w:right="126"/>
        <w:jc w:val="left"/>
      </w:pPr>
      <w:r>
        <w:rPr>
          <w:spacing w:val="3"/>
          <w:w w:val="110"/>
        </w:rPr>
        <w:t>运</w:t>
      </w:r>
      <w:r>
        <w:rPr>
          <w:spacing w:val="7"/>
          <w:w w:val="110"/>
        </w:rPr>
        <w:t>输</w:t>
      </w:r>
      <w:r>
        <w:rPr>
          <w:spacing w:val="21"/>
          <w:w w:val="110"/>
        </w:rPr>
        <w:t>大</w:t>
      </w:r>
      <w:r>
        <w:rPr>
          <w:w w:val="110"/>
        </w:rPr>
        <w:t>巷</w:t>
      </w:r>
      <w:r>
        <w:rPr>
          <w:w w:val="110"/>
        </w:rPr>
        <w:tab/>
      </w:r>
      <w:r>
        <w:rPr>
          <w:rFonts w:hint="eastAsia" w:ascii="MS UI Gothic" w:eastAsia="MS UI Gothic"/>
          <w:w w:val="125"/>
        </w:rPr>
        <w:t>(</w:t>
      </w:r>
      <w:r>
        <w:rPr>
          <w:rFonts w:hint="eastAsia" w:ascii="MS UI Gothic" w:eastAsia="MS UI Gothic"/>
          <w:spacing w:val="-66"/>
          <w:w w:val="125"/>
        </w:rPr>
        <w:t xml:space="preserve"> </w:t>
      </w:r>
      <w:r>
        <w:rPr>
          <w:spacing w:val="23"/>
          <w:w w:val="110"/>
        </w:rPr>
        <w:t>阶段大</w:t>
      </w:r>
      <w:r>
        <w:rPr>
          <w:spacing w:val="3"/>
          <w:w w:val="110"/>
        </w:rPr>
        <w:t>巷</w:t>
      </w:r>
      <w:r>
        <w:rPr>
          <w:rFonts w:hint="eastAsia" w:ascii="MS UI Gothic" w:eastAsia="MS UI Gothic"/>
        </w:rPr>
        <w:t>、</w:t>
      </w:r>
      <w:r>
        <w:rPr>
          <w:rFonts w:hint="eastAsia" w:ascii="MS UI Gothic" w:eastAsia="MS UI Gothic"/>
          <w:spacing w:val="-21"/>
        </w:rPr>
        <w:t xml:space="preserve"> </w:t>
      </w:r>
      <w:r>
        <w:rPr>
          <w:spacing w:val="23"/>
          <w:w w:val="110"/>
        </w:rPr>
        <w:t>水平大</w:t>
      </w:r>
      <w:r>
        <w:rPr>
          <w:spacing w:val="-14"/>
          <w:w w:val="110"/>
        </w:rPr>
        <w:t>巷</w:t>
      </w:r>
      <w:r>
        <w:rPr>
          <w:spacing w:val="3"/>
          <w:w w:val="105"/>
        </w:rPr>
        <w:t>或</w:t>
      </w:r>
      <w:r>
        <w:rPr>
          <w:spacing w:val="11"/>
          <w:w w:val="105"/>
        </w:rPr>
        <w:t>主</w:t>
      </w:r>
      <w:r>
        <w:rPr>
          <w:spacing w:val="17"/>
          <w:w w:val="105"/>
        </w:rPr>
        <w:t>要平</w:t>
      </w:r>
      <w:r>
        <w:rPr>
          <w:spacing w:val="11"/>
          <w:w w:val="105"/>
        </w:rPr>
        <w:t>巷</w:t>
      </w:r>
      <w:r>
        <w:rPr>
          <w:rFonts w:hint="eastAsia" w:ascii="MS UI Gothic" w:eastAsia="MS UI Gothic"/>
          <w:w w:val="105"/>
        </w:rPr>
        <w:t>)</w:t>
      </w:r>
      <w:r>
        <w:rPr>
          <w:rFonts w:hint="eastAsia" w:ascii="MS UI Gothic" w:eastAsia="MS UI Gothic"/>
          <w:spacing w:val="44"/>
          <w:w w:val="105"/>
        </w:rPr>
        <w:t xml:space="preserve"> </w:t>
      </w:r>
      <w:r>
        <w:rPr>
          <w:spacing w:val="17"/>
          <w:w w:val="105"/>
        </w:rPr>
        <w:t>为整个开采水平或</w:t>
      </w:r>
      <w:r>
        <w:rPr>
          <w:spacing w:val="19"/>
          <w:w w:val="105"/>
        </w:rPr>
        <w:t>阶段</w:t>
      </w:r>
      <w:r>
        <w:rPr>
          <w:w w:val="105"/>
        </w:rPr>
        <w:t>运</w:t>
      </w:r>
    </w:p>
    <w:p>
      <w:pPr>
        <w:spacing w:after="0" w:line="295" w:lineRule="auto"/>
        <w:jc w:val="left"/>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３４８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58" o:spid="_x0000_s2058" o:spt="203" style="height:2.15pt;width:398.25pt;" coordsize="7965,43">
            <o:lock v:ext="edit"/>
            <v:line id="_x0000_s2059" o:spid="_x0000_s2059" o:spt="20" style="position:absolute;left:0;top:39;height:0;width:7965;" stroked="t" coordsize="21600,21600">
              <v:path arrowok="t"/>
              <v:fill focussize="0,0"/>
              <v:stroke weight="0.388031496062992pt" color="#231F20"/>
              <v:imagedata o:title=""/>
              <o:lock v:ext="edit"/>
            </v:line>
            <v:line id="_x0000_s2060" o:spid="_x0000_s206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输服务的水平巷道</w:t>
      </w:r>
      <w:r>
        <w:rPr>
          <w:rFonts w:hint="eastAsia" w:ascii="MS UI Gothic" w:eastAsia="MS UI Gothic"/>
          <w:w w:val="80"/>
        </w:rPr>
        <w:t xml:space="preserve">ꎮ </w:t>
      </w:r>
      <w:r>
        <w:t>开凿在岩层中的称岩石运输大巷</w:t>
      </w:r>
      <w:r>
        <w:rPr>
          <w:rFonts w:hint="eastAsia" w:ascii="MS UI Gothic" w:eastAsia="MS UI Gothic"/>
          <w:w w:val="80"/>
        </w:rPr>
        <w:t xml:space="preserve">ꎻ </w:t>
      </w:r>
      <w:r>
        <w:t>为几个煤层服务的称集中运输大巷</w:t>
      </w:r>
      <w:r>
        <w:rPr>
          <w:rFonts w:hint="eastAsia" w:ascii="MS UI Gothic" w:eastAsia="MS UI Gothic"/>
          <w:w w:val="80"/>
        </w:rPr>
        <w:t>ꎮ</w:t>
      </w:r>
    </w:p>
    <w:p>
      <w:pPr>
        <w:pStyle w:val="6"/>
        <w:spacing w:line="295" w:lineRule="auto"/>
        <w:ind w:right="39"/>
        <w:rPr>
          <w:rFonts w:hint="eastAsia" w:ascii="MS UI Gothic" w:eastAsia="MS UI Gothic"/>
        </w:rPr>
      </w:pPr>
      <w:r>
        <w:rPr>
          <w:w w:val="105"/>
        </w:rPr>
        <w:t>石门 与煤层走向正交或斜交的岩石水平巷道</w:t>
      </w:r>
      <w:r>
        <w:rPr>
          <w:rFonts w:hint="eastAsia" w:ascii="MS UI Gothic" w:eastAsia="MS UI Gothic"/>
          <w:w w:val="80"/>
        </w:rPr>
        <w:t>ꎮ</w:t>
      </w:r>
    </w:p>
    <w:p>
      <w:pPr>
        <w:pStyle w:val="6"/>
        <w:spacing w:line="295" w:lineRule="auto"/>
        <w:ind w:right="39"/>
        <w:rPr>
          <w:rFonts w:hint="eastAsia" w:ascii="MS UI Gothic" w:eastAsia="MS UI Gothic"/>
        </w:rPr>
      </w:pPr>
      <w:r>
        <w:rPr>
          <w:w w:val="105"/>
        </w:rPr>
        <w:t xml:space="preserve">主要绞车道 </w:t>
      </w:r>
      <w:r>
        <w:rPr>
          <w:rFonts w:hint="eastAsia" w:ascii="MS UI Gothic" w:eastAsia="MS UI Gothic"/>
          <w:w w:val="150"/>
        </w:rPr>
        <w:t xml:space="preserve">( </w:t>
      </w:r>
      <w:r>
        <w:rPr>
          <w:w w:val="105"/>
        </w:rPr>
        <w:t>中央上</w:t>
      </w:r>
      <w:r>
        <w:rPr>
          <w:rFonts w:hint="eastAsia" w:ascii="MS UI Gothic" w:eastAsia="MS UI Gothic"/>
          <w:w w:val="80"/>
        </w:rPr>
        <w:t xml:space="preserve">、 </w:t>
      </w:r>
      <w:r>
        <w:rPr>
          <w:w w:val="105"/>
        </w:rPr>
        <w:t>下山或集中上</w:t>
      </w:r>
      <w:r>
        <w:rPr>
          <w:rFonts w:hint="eastAsia" w:ascii="MS UI Gothic" w:eastAsia="MS UI Gothic"/>
          <w:w w:val="80"/>
        </w:rPr>
        <w:t xml:space="preserve">、 </w:t>
      </w:r>
      <w:r>
        <w:rPr>
          <w:w w:val="105"/>
        </w:rPr>
        <w:t>下山</w:t>
      </w:r>
      <w:r>
        <w:rPr>
          <w:rFonts w:hint="eastAsia" w:ascii="MS UI Gothic" w:eastAsia="MS UI Gothic"/>
          <w:w w:val="150"/>
        </w:rPr>
        <w:t xml:space="preserve">) </w:t>
      </w:r>
      <w:r>
        <w:rPr>
          <w:w w:val="105"/>
        </w:rPr>
        <w:t>不直接通到地面</w:t>
      </w:r>
      <w:r>
        <w:rPr>
          <w:rFonts w:hint="eastAsia" w:ascii="MS UI Gothic" w:eastAsia="MS UI Gothic"/>
          <w:w w:val="80"/>
        </w:rPr>
        <w:t xml:space="preserve">ꎬ </w:t>
      </w:r>
      <w:r>
        <w:rPr>
          <w:w w:val="105"/>
        </w:rPr>
        <w:t>为一个水</w:t>
      </w:r>
      <w:r>
        <w:t>平或几个采区服务并装有绞车的倾斜</w:t>
      </w:r>
      <w:r>
        <w:rPr>
          <w:w w:val="105"/>
        </w:rPr>
        <w:t>巷道</w:t>
      </w:r>
      <w:r>
        <w:rPr>
          <w:rFonts w:hint="eastAsia" w:ascii="MS UI Gothic" w:eastAsia="MS UI Gothic"/>
          <w:w w:val="80"/>
        </w:rPr>
        <w:t>ꎮ</w:t>
      </w:r>
    </w:p>
    <w:p>
      <w:pPr>
        <w:pStyle w:val="6"/>
        <w:spacing w:line="295" w:lineRule="auto"/>
        <w:ind w:right="39"/>
        <w:rPr>
          <w:rFonts w:hint="eastAsia" w:ascii="MS UI Gothic" w:eastAsia="MS UI Gothic"/>
        </w:rPr>
      </w:pPr>
      <w:r>
        <w:rPr>
          <w:spacing w:val="3"/>
        </w:rPr>
        <w:t>上山 在运输大巷向上</w:t>
      </w:r>
      <w:r>
        <w:rPr>
          <w:rFonts w:hint="eastAsia" w:ascii="MS UI Gothic" w:eastAsia="MS UI Gothic"/>
          <w:spacing w:val="8"/>
          <w:w w:val="80"/>
        </w:rPr>
        <w:t xml:space="preserve">ꎬ </w:t>
      </w:r>
      <w:r>
        <w:rPr>
          <w:spacing w:val="2"/>
        </w:rPr>
        <w:t>沿煤岩层开</w:t>
      </w:r>
      <w:r>
        <w:rPr>
          <w:spacing w:val="3"/>
        </w:rPr>
        <w:t>凿</w:t>
      </w:r>
      <w:r>
        <w:rPr>
          <w:rFonts w:hint="eastAsia" w:ascii="MS UI Gothic" w:eastAsia="MS UI Gothic"/>
          <w:spacing w:val="6"/>
          <w:w w:val="80"/>
        </w:rPr>
        <w:t xml:space="preserve">ꎬ </w:t>
      </w:r>
      <w:r>
        <w:rPr>
          <w:spacing w:val="-24"/>
        </w:rPr>
        <w:t xml:space="preserve">为 </w:t>
      </w:r>
      <w:r>
        <w:rPr>
          <w:rFonts w:hint="eastAsia" w:ascii="MS UI Gothic" w:eastAsia="MS UI Gothic"/>
          <w:spacing w:val="5"/>
          <w:w w:val="80"/>
        </w:rPr>
        <w:t xml:space="preserve">１ </w:t>
      </w:r>
      <w:r>
        <w:rPr>
          <w:spacing w:val="7"/>
        </w:rPr>
        <w:t>个采区服务的倾斜巷道</w:t>
      </w:r>
      <w:r>
        <w:rPr>
          <w:rFonts w:hint="eastAsia" w:ascii="MS UI Gothic" w:eastAsia="MS UI Gothic"/>
          <w:spacing w:val="52"/>
        </w:rPr>
        <w:t xml:space="preserve"> </w:t>
      </w:r>
      <w:r>
        <w:rPr>
          <w:spacing w:val="3"/>
        </w:rPr>
        <w:t>按用途和装备分为</w:t>
      </w:r>
      <w:r>
        <w:rPr>
          <w:rFonts w:hint="eastAsia" w:ascii="MS UI Gothic" w:eastAsia="MS UI Gothic"/>
          <w:spacing w:val="-6"/>
          <w:w w:val="235"/>
        </w:rPr>
        <w:t xml:space="preserve">: </w:t>
      </w:r>
      <w:r>
        <w:rPr>
          <w:spacing w:val="3"/>
        </w:rPr>
        <w:t>输送机上山</w:t>
      </w:r>
      <w:r>
        <w:rPr>
          <w:rFonts w:hint="eastAsia" w:ascii="MS UI Gothic" w:eastAsia="MS UI Gothic"/>
          <w:spacing w:val="18"/>
          <w:w w:val="80"/>
        </w:rPr>
        <w:t xml:space="preserve">、 </w:t>
      </w:r>
      <w:r>
        <w:rPr>
          <w:spacing w:val="3"/>
        </w:rPr>
        <w:t>轨道上山</w:t>
      </w:r>
      <w:r>
        <w:rPr>
          <w:rFonts w:hint="eastAsia" w:ascii="MS UI Gothic" w:eastAsia="MS UI Gothic"/>
          <w:spacing w:val="17"/>
          <w:w w:val="80"/>
        </w:rPr>
        <w:t xml:space="preserve">、 </w:t>
      </w:r>
      <w:r>
        <w:t>通</w:t>
      </w:r>
      <w:r>
        <w:rPr>
          <w:spacing w:val="3"/>
        </w:rPr>
        <w:t>风上山和人行上山等</w:t>
      </w:r>
      <w:r>
        <w:rPr>
          <w:rFonts w:hint="eastAsia" w:ascii="MS UI Gothic" w:eastAsia="MS UI Gothic"/>
          <w:w w:val="80"/>
        </w:rPr>
        <w:t>ꎮ</w:t>
      </w:r>
    </w:p>
    <w:p>
      <w:pPr>
        <w:pStyle w:val="6"/>
        <w:spacing w:line="295" w:lineRule="auto"/>
        <w:ind w:right="39"/>
        <w:rPr>
          <w:rFonts w:hint="eastAsia" w:ascii="MS UI Gothic" w:eastAsia="MS UI Gothic"/>
        </w:rPr>
      </w:pPr>
      <w:r>
        <w:rPr>
          <w:spacing w:val="3"/>
          <w:w w:val="105"/>
        </w:rPr>
        <w:t>下山 在运输大巷向下</w:t>
      </w:r>
      <w:r>
        <w:rPr>
          <w:rFonts w:hint="eastAsia" w:ascii="MS UI Gothic" w:eastAsia="MS UI Gothic"/>
          <w:spacing w:val="10"/>
          <w:w w:val="80"/>
        </w:rPr>
        <w:t xml:space="preserve">ꎬ </w:t>
      </w:r>
      <w:r>
        <w:rPr>
          <w:spacing w:val="2"/>
          <w:w w:val="105"/>
        </w:rPr>
        <w:t>沿煤岩层开</w:t>
      </w:r>
      <w:r>
        <w:rPr>
          <w:spacing w:val="3"/>
          <w:w w:val="105"/>
        </w:rPr>
        <w:t>凿</w:t>
      </w:r>
      <w:r>
        <w:rPr>
          <w:rFonts w:hint="eastAsia" w:ascii="MS UI Gothic" w:eastAsia="MS UI Gothic"/>
          <w:spacing w:val="-2"/>
          <w:w w:val="80"/>
        </w:rPr>
        <w:t xml:space="preserve">ꎬ </w:t>
      </w:r>
      <w:r>
        <w:rPr>
          <w:spacing w:val="-41"/>
          <w:w w:val="105"/>
        </w:rPr>
        <w:t xml:space="preserve">为 </w:t>
      </w:r>
      <w:r>
        <w:rPr>
          <w:rFonts w:hint="eastAsia" w:ascii="MS UI Gothic" w:eastAsia="MS UI Gothic"/>
          <w:spacing w:val="-12"/>
          <w:w w:val="80"/>
        </w:rPr>
        <w:t xml:space="preserve">１ </w:t>
      </w:r>
      <w:r>
        <w:rPr>
          <w:spacing w:val="3"/>
          <w:w w:val="105"/>
        </w:rPr>
        <w:t>个采区服务的倾斜巷道</w:t>
      </w:r>
      <w:r>
        <w:rPr>
          <w:rFonts w:hint="eastAsia" w:ascii="MS UI Gothic" w:eastAsia="MS UI Gothic"/>
          <w:spacing w:val="-1"/>
          <w:w w:val="80"/>
        </w:rPr>
        <w:t xml:space="preserve">ꎮ </w:t>
      </w:r>
      <w:r>
        <w:rPr>
          <w:spacing w:val="3"/>
          <w:w w:val="105"/>
        </w:rPr>
        <w:t>按用途和装备分为</w:t>
      </w:r>
      <w:r>
        <w:rPr>
          <w:rFonts w:hint="eastAsia" w:ascii="MS UI Gothic" w:eastAsia="MS UI Gothic"/>
          <w:spacing w:val="-29"/>
          <w:w w:val="235"/>
        </w:rPr>
        <w:t xml:space="preserve">: </w:t>
      </w:r>
      <w:r>
        <w:rPr>
          <w:spacing w:val="3"/>
          <w:w w:val="105"/>
        </w:rPr>
        <w:t>输送机下山</w:t>
      </w:r>
      <w:r>
        <w:rPr>
          <w:rFonts w:hint="eastAsia" w:ascii="MS UI Gothic" w:eastAsia="MS UI Gothic"/>
          <w:spacing w:val="18"/>
          <w:w w:val="80"/>
        </w:rPr>
        <w:t xml:space="preserve">、 </w:t>
      </w:r>
      <w:r>
        <w:rPr>
          <w:spacing w:val="3"/>
          <w:w w:val="105"/>
        </w:rPr>
        <w:t>轨道下山</w:t>
      </w:r>
      <w:r>
        <w:rPr>
          <w:rFonts w:hint="eastAsia" w:ascii="MS UI Gothic" w:eastAsia="MS UI Gothic"/>
          <w:spacing w:val="18"/>
          <w:w w:val="80"/>
        </w:rPr>
        <w:t xml:space="preserve">、 </w:t>
      </w:r>
      <w:r>
        <w:rPr>
          <w:w w:val="105"/>
        </w:rPr>
        <w:t>通</w:t>
      </w:r>
      <w:r>
        <w:rPr>
          <w:spacing w:val="3"/>
          <w:w w:val="105"/>
        </w:rPr>
        <w:t>风下山和人行下山等</w:t>
      </w:r>
      <w:r>
        <w:rPr>
          <w:rFonts w:hint="eastAsia" w:ascii="MS UI Gothic" w:eastAsia="MS UI Gothic"/>
          <w:w w:val="80"/>
        </w:rPr>
        <w:t>ꎮ</w:t>
      </w:r>
    </w:p>
    <w:p>
      <w:pPr>
        <w:pStyle w:val="6"/>
        <w:spacing w:line="295" w:lineRule="auto"/>
        <w:ind w:right="39"/>
        <w:rPr>
          <w:rFonts w:hint="eastAsia" w:ascii="MS UI Gothic" w:eastAsia="MS UI Gothic"/>
        </w:rPr>
      </w:pPr>
      <w:r>
        <w:rPr>
          <w:w w:val="105"/>
        </w:rPr>
        <w:t>采掘工作面 采煤工作面和掘进工作面的总称</w:t>
      </w:r>
      <w:r>
        <w:rPr>
          <w:rFonts w:hint="eastAsia" w:ascii="MS UI Gothic" w:eastAsia="MS UI Gothic"/>
          <w:w w:val="80"/>
        </w:rPr>
        <w:t>ꎮ</w:t>
      </w:r>
    </w:p>
    <w:p>
      <w:pPr>
        <w:pStyle w:val="6"/>
        <w:tabs>
          <w:tab w:val="left" w:pos="1172"/>
        </w:tabs>
        <w:spacing w:line="255" w:lineRule="exact"/>
        <w:ind w:left="543" w:firstLine="0"/>
        <w:jc w:val="left"/>
        <w:rPr>
          <w:rFonts w:hint="eastAsia" w:ascii="MS UI Gothic" w:eastAsia="MS UI Gothic"/>
        </w:rPr>
      </w:pPr>
      <w:r>
        <w:rPr>
          <w:spacing w:val="3"/>
        </w:rPr>
        <w:t>阶</w:t>
      </w:r>
      <w:r>
        <w:t>檐</w:t>
      </w:r>
      <w:r>
        <w:tab/>
      </w:r>
      <w:r>
        <w:rPr>
          <w:spacing w:val="3"/>
        </w:rPr>
        <w:t>台阶工作面中台阶的错距</w:t>
      </w:r>
      <w:r>
        <w:rPr>
          <w:rFonts w:hint="eastAsia" w:ascii="MS UI Gothic" w:eastAsia="MS UI Gothic"/>
          <w:w w:val="80"/>
        </w:rPr>
        <w:t>ꎮ</w:t>
      </w:r>
    </w:p>
    <w:p>
      <w:pPr>
        <w:pStyle w:val="6"/>
        <w:spacing w:before="45" w:line="295" w:lineRule="auto"/>
        <w:ind w:right="39"/>
        <w:rPr>
          <w:rFonts w:hint="eastAsia" w:ascii="MS UI Gothic" w:eastAsia="MS UI Gothic"/>
        </w:rPr>
      </w:pPr>
      <w:r>
        <w:t>老空 采空区</w:t>
      </w:r>
      <w:r>
        <w:rPr>
          <w:rFonts w:hint="eastAsia" w:ascii="MS UI Gothic" w:eastAsia="MS UI Gothic"/>
          <w:w w:val="80"/>
        </w:rPr>
        <w:t xml:space="preserve">、 </w:t>
      </w:r>
      <w:r>
        <w:t>老窑和已经报废的井巷的总称</w:t>
      </w:r>
      <w:r>
        <w:rPr>
          <w:rFonts w:hint="eastAsia" w:ascii="MS UI Gothic" w:eastAsia="MS UI Gothic"/>
          <w:w w:val="80"/>
        </w:rPr>
        <w:t>ꎮ</w:t>
      </w:r>
    </w:p>
    <w:p>
      <w:pPr>
        <w:pStyle w:val="6"/>
        <w:tabs>
          <w:tab w:val="left" w:pos="1382"/>
          <w:tab w:val="left" w:pos="1591"/>
        </w:tabs>
        <w:spacing w:line="295" w:lineRule="auto"/>
        <w:ind w:left="543" w:right="39" w:firstLine="0"/>
        <w:jc w:val="left"/>
      </w:pPr>
      <w:r>
        <w:rPr>
          <w:spacing w:val="3"/>
          <w:w w:val="105"/>
        </w:rPr>
        <w:t>采空</w:t>
      </w:r>
      <w:r>
        <w:rPr>
          <w:w w:val="105"/>
        </w:rPr>
        <w:t>区</w:t>
      </w:r>
      <w:r>
        <w:rPr>
          <w:w w:val="105"/>
        </w:rPr>
        <w:tab/>
      </w:r>
      <w:r>
        <w:rPr>
          <w:spacing w:val="3"/>
        </w:rPr>
        <w:t>回采以后不再维护的空间</w:t>
      </w:r>
      <w:r>
        <w:rPr>
          <w:rFonts w:hint="eastAsia" w:ascii="MS UI Gothic" w:eastAsia="MS UI Gothic"/>
          <w:w w:val="80"/>
        </w:rPr>
        <w:t>ꎮ</w:t>
      </w:r>
      <w:r>
        <w:rPr>
          <w:spacing w:val="3"/>
        </w:rPr>
        <w:t>锚喷支</w:t>
      </w:r>
      <w:r>
        <w:t>护</w:t>
      </w:r>
      <w:r>
        <w:tab/>
      </w:r>
      <w:r>
        <w:tab/>
      </w:r>
      <w:r>
        <w:rPr>
          <w:spacing w:val="3"/>
        </w:rPr>
        <w:t>联合使用锚杆和喷混凝</w:t>
      </w:r>
      <w:r>
        <w:t>土</w:t>
      </w:r>
    </w:p>
    <w:p>
      <w:pPr>
        <w:pStyle w:val="6"/>
        <w:spacing w:line="255" w:lineRule="exact"/>
        <w:ind w:firstLine="0"/>
        <w:jc w:val="left"/>
        <w:rPr>
          <w:rFonts w:hint="eastAsia" w:ascii="MS UI Gothic" w:eastAsia="MS UI Gothic"/>
        </w:rPr>
      </w:pPr>
      <w:r>
        <w:t>或喷浆的支护</w:t>
      </w:r>
      <w:r>
        <w:rPr>
          <w:rFonts w:hint="eastAsia" w:ascii="MS UI Gothic" w:eastAsia="MS UI Gothic"/>
          <w:w w:val="80"/>
        </w:rPr>
        <w:t>ꎮ</w:t>
      </w:r>
    </w:p>
    <w:p>
      <w:pPr>
        <w:pStyle w:val="6"/>
        <w:spacing w:before="56" w:line="295" w:lineRule="auto"/>
        <w:ind w:right="39"/>
        <w:rPr>
          <w:rFonts w:hint="eastAsia" w:ascii="MS UI Gothic" w:eastAsia="MS UI Gothic"/>
        </w:rPr>
      </w:pPr>
      <w:r>
        <w:rPr>
          <w:w w:val="105"/>
        </w:rPr>
        <w:t>喷体支护 喷射水泥砂浆和喷射混凝土作为井巷支护的总称</w:t>
      </w:r>
      <w:r>
        <w:rPr>
          <w:rFonts w:hint="eastAsia" w:ascii="MS UI Gothic" w:eastAsia="MS UI Gothic"/>
          <w:w w:val="80"/>
        </w:rPr>
        <w:t>ꎮ</w:t>
      </w:r>
    </w:p>
    <w:p>
      <w:pPr>
        <w:pStyle w:val="6"/>
        <w:spacing w:line="295" w:lineRule="auto"/>
        <w:ind w:right="39"/>
        <w:rPr>
          <w:rFonts w:hint="eastAsia" w:ascii="MS UI Gothic" w:eastAsia="MS UI Gothic"/>
        </w:rPr>
      </w:pPr>
      <w:r>
        <w:rPr>
          <w:w w:val="105"/>
        </w:rPr>
        <w:t>水力采煤 利用水力或水力机械开采</w:t>
      </w:r>
      <w:r>
        <w:t>和水力或机械运输提升的机械化采煤</w:t>
      </w:r>
      <w:r>
        <w:rPr>
          <w:w w:val="105"/>
        </w:rPr>
        <w:t>技术</w:t>
      </w:r>
      <w:r>
        <w:rPr>
          <w:rFonts w:hint="eastAsia" w:ascii="MS UI Gothic" w:eastAsia="MS UI Gothic"/>
          <w:w w:val="80"/>
        </w:rPr>
        <w:t>ꎮ</w:t>
      </w:r>
    </w:p>
    <w:p>
      <w:pPr>
        <w:pStyle w:val="6"/>
        <w:spacing w:line="295" w:lineRule="auto"/>
        <w:ind w:right="39"/>
        <w:rPr>
          <w:rFonts w:hint="eastAsia" w:ascii="MS UI Gothic" w:eastAsia="MS UI Gothic"/>
        </w:rPr>
      </w:pPr>
      <w:r>
        <w:t>冻结壁交圈 各相邻冻结孔的冻结圆柱逐步扩大</w:t>
      </w:r>
      <w:r>
        <w:rPr>
          <w:rFonts w:hint="eastAsia" w:ascii="MS UI Gothic" w:eastAsia="MS UI Gothic"/>
          <w:w w:val="80"/>
        </w:rPr>
        <w:t xml:space="preserve">ꎬ </w:t>
      </w:r>
      <w:r>
        <w:t>相互连接</w:t>
      </w:r>
      <w:r>
        <w:rPr>
          <w:rFonts w:hint="eastAsia" w:ascii="MS UI Gothic" w:eastAsia="MS UI Gothic"/>
          <w:w w:val="80"/>
        </w:rPr>
        <w:t xml:space="preserve">ꎬ </w:t>
      </w:r>
      <w:r>
        <w:t>开始形成封闭的冻结壁的现象</w:t>
      </w:r>
      <w:r>
        <w:rPr>
          <w:rFonts w:hint="eastAsia" w:ascii="MS UI Gothic" w:eastAsia="MS UI Gothic"/>
          <w:w w:val="80"/>
        </w:rPr>
        <w:t>ꎮ</w:t>
      </w:r>
    </w:p>
    <w:p>
      <w:pPr>
        <w:pStyle w:val="6"/>
        <w:spacing w:line="295" w:lineRule="auto"/>
        <w:ind w:right="38"/>
        <w:rPr>
          <w:rFonts w:hint="eastAsia" w:ascii="MS UI Gothic" w:eastAsia="MS UI Gothic"/>
        </w:rPr>
      </w:pPr>
      <w:r>
        <w:rPr>
          <w:w w:val="105"/>
        </w:rPr>
        <w:t>止浆岩帽 井巷工作面预注浆时</w:t>
      </w:r>
      <w:r>
        <w:rPr>
          <w:rFonts w:hint="eastAsia" w:ascii="MS UI Gothic" w:eastAsia="MS UI Gothic"/>
          <w:w w:val="80"/>
        </w:rPr>
        <w:t xml:space="preserve">ꎬ </w:t>
      </w:r>
      <w:r>
        <w:rPr>
          <w:w w:val="105"/>
        </w:rPr>
        <w:t>暂</w:t>
      </w:r>
      <w:r>
        <w:t>留在含水层上方或前方能够承受最大注浆</w:t>
      </w:r>
      <w:r>
        <w:rPr>
          <w:w w:val="105"/>
        </w:rPr>
        <w:t xml:space="preserve">压力 </w:t>
      </w:r>
      <w:r>
        <w:rPr>
          <w:rFonts w:hint="eastAsia" w:ascii="MS UI Gothic" w:eastAsia="MS UI Gothic"/>
          <w:w w:val="150"/>
        </w:rPr>
        <w:t xml:space="preserve">( </w:t>
      </w:r>
      <w:r>
        <w:rPr>
          <w:w w:val="105"/>
        </w:rPr>
        <w:t>压强</w:t>
      </w:r>
      <w:r>
        <w:rPr>
          <w:rFonts w:hint="eastAsia" w:ascii="MS UI Gothic" w:eastAsia="MS UI Gothic"/>
          <w:w w:val="150"/>
        </w:rPr>
        <w:t xml:space="preserve">) </w:t>
      </w:r>
      <w:r>
        <w:rPr>
          <w:w w:val="105"/>
        </w:rPr>
        <w:t>并防止向掘进工作面漏浆</w:t>
      </w:r>
      <w:r>
        <w:rPr>
          <w:rFonts w:hint="eastAsia" w:ascii="MS UI Gothic" w:eastAsia="MS UI Gothic"/>
          <w:w w:val="80"/>
        </w:rPr>
        <w:t>、</w:t>
      </w:r>
      <w:r>
        <w:rPr>
          <w:w w:val="105"/>
        </w:rPr>
        <w:t>跑浆的岩柱</w:t>
      </w:r>
      <w:r>
        <w:rPr>
          <w:rFonts w:hint="eastAsia" w:ascii="MS UI Gothic" w:eastAsia="MS UI Gothic"/>
          <w:w w:val="80"/>
        </w:rPr>
        <w:t>ꎮ</w:t>
      </w:r>
    </w:p>
    <w:p>
      <w:pPr>
        <w:pStyle w:val="6"/>
        <w:spacing w:line="295" w:lineRule="auto"/>
        <w:ind w:right="39"/>
      </w:pPr>
      <w:r>
        <w:t>混凝土止浆垫  井筒工作面预注浆时</w:t>
      </w:r>
      <w:r>
        <w:rPr>
          <w:rFonts w:hint="eastAsia" w:ascii="MS UI Gothic" w:eastAsia="MS UI Gothic"/>
          <w:w w:val="80"/>
        </w:rPr>
        <w:t xml:space="preserve">ꎬ </w:t>
      </w:r>
      <w:r>
        <w:t>预先在含水层上方构筑的</w:t>
      </w:r>
      <w:r>
        <w:rPr>
          <w:rFonts w:hint="eastAsia" w:ascii="MS UI Gothic" w:eastAsia="MS UI Gothic"/>
          <w:w w:val="80"/>
        </w:rPr>
        <w:t xml:space="preserve">ꎬ </w:t>
      </w:r>
      <w:r>
        <w:t>能够承受</w:t>
      </w:r>
    </w:p>
    <w:p>
      <w:pPr>
        <w:pStyle w:val="6"/>
        <w:spacing w:before="123" w:line="295" w:lineRule="auto"/>
        <w:ind w:right="442" w:firstLine="0"/>
        <w:rPr>
          <w:rFonts w:hint="eastAsia" w:ascii="MS UI Gothic" w:eastAsia="MS UI Gothic"/>
        </w:rPr>
      </w:pPr>
      <w:r>
        <w:br w:type="column"/>
      </w:r>
      <w:r>
        <w:rPr>
          <w:w w:val="105"/>
        </w:rPr>
        <w:t xml:space="preserve">最大注浆压力 </w:t>
      </w:r>
      <w:r>
        <w:rPr>
          <w:rFonts w:hint="eastAsia" w:ascii="MS UI Gothic" w:eastAsia="MS UI Gothic"/>
          <w:w w:val="150"/>
        </w:rPr>
        <w:t xml:space="preserve">( </w:t>
      </w:r>
      <w:r>
        <w:rPr>
          <w:w w:val="105"/>
        </w:rPr>
        <w:t>压强</w:t>
      </w:r>
      <w:r>
        <w:rPr>
          <w:rFonts w:hint="eastAsia" w:ascii="MS UI Gothic" w:eastAsia="MS UI Gothic"/>
          <w:w w:val="150"/>
        </w:rPr>
        <w:t xml:space="preserve">) </w:t>
      </w:r>
      <w:r>
        <w:rPr>
          <w:w w:val="105"/>
        </w:rPr>
        <w:t>并防止向掘进工作面漏跑浆的混凝土构筑物</w:t>
      </w:r>
      <w:r>
        <w:rPr>
          <w:rFonts w:hint="eastAsia" w:ascii="MS UI Gothic" w:eastAsia="MS UI Gothic"/>
          <w:w w:val="80"/>
        </w:rPr>
        <w:t>ꎮ</w:t>
      </w:r>
    </w:p>
    <w:p>
      <w:pPr>
        <w:pStyle w:val="6"/>
        <w:spacing w:line="295" w:lineRule="auto"/>
        <w:ind w:right="442"/>
        <w:rPr>
          <w:rFonts w:hint="eastAsia" w:ascii="MS UI Gothic" w:eastAsia="MS UI Gothic"/>
        </w:rPr>
      </w:pPr>
      <w:r>
        <w:rPr>
          <w:w w:val="105"/>
        </w:rPr>
        <w:t xml:space="preserve">冲击地压 </w:t>
      </w:r>
      <w:r>
        <w:rPr>
          <w:rFonts w:hint="eastAsia" w:ascii="MS UI Gothic" w:eastAsia="MS UI Gothic"/>
          <w:w w:val="150"/>
        </w:rPr>
        <w:t xml:space="preserve">( </w:t>
      </w:r>
      <w:r>
        <w:rPr>
          <w:w w:val="105"/>
        </w:rPr>
        <w:t>岩爆</w:t>
      </w:r>
      <w:r>
        <w:rPr>
          <w:rFonts w:hint="eastAsia" w:ascii="MS UI Gothic" w:eastAsia="MS UI Gothic"/>
          <w:w w:val="150"/>
        </w:rPr>
        <w:t xml:space="preserve">)  </w:t>
      </w:r>
      <w:r>
        <w:rPr>
          <w:w w:val="105"/>
        </w:rPr>
        <w:t xml:space="preserve">井巷或工作面周围煤 </w:t>
      </w:r>
      <w:r>
        <w:rPr>
          <w:rFonts w:hint="eastAsia" w:ascii="MS UI Gothic" w:eastAsia="MS UI Gothic"/>
          <w:w w:val="150"/>
        </w:rPr>
        <w:t xml:space="preserve">( </w:t>
      </w:r>
      <w:r>
        <w:rPr>
          <w:w w:val="105"/>
        </w:rPr>
        <w:t>岩</w:t>
      </w:r>
      <w:r>
        <w:rPr>
          <w:rFonts w:hint="eastAsia" w:ascii="MS UI Gothic" w:eastAsia="MS UI Gothic"/>
          <w:w w:val="150"/>
        </w:rPr>
        <w:t xml:space="preserve">) </w:t>
      </w:r>
      <w:r>
        <w:rPr>
          <w:w w:val="105"/>
        </w:rPr>
        <w:t>体</w:t>
      </w:r>
      <w:r>
        <w:rPr>
          <w:rFonts w:hint="eastAsia" w:ascii="MS UI Gothic" w:eastAsia="MS UI Gothic"/>
          <w:w w:val="80"/>
        </w:rPr>
        <w:t xml:space="preserve">ꎬ </w:t>
      </w:r>
      <w:r>
        <w:rPr>
          <w:w w:val="105"/>
        </w:rPr>
        <w:t>由于弹性变形能的瞬时释放而产生的突然</w:t>
      </w:r>
      <w:r>
        <w:rPr>
          <w:rFonts w:hint="eastAsia" w:ascii="MS UI Gothic" w:eastAsia="MS UI Gothic"/>
          <w:w w:val="80"/>
        </w:rPr>
        <w:t xml:space="preserve">、 </w:t>
      </w:r>
      <w:r>
        <w:rPr>
          <w:w w:val="105"/>
        </w:rPr>
        <w:t>剧烈破坏的动力现象</w:t>
      </w:r>
      <w:r>
        <w:rPr>
          <w:rFonts w:hint="eastAsia" w:ascii="MS UI Gothic" w:eastAsia="MS UI Gothic"/>
          <w:w w:val="80"/>
        </w:rPr>
        <w:t xml:space="preserve">ꎮ </w:t>
      </w:r>
      <w:r>
        <w:rPr>
          <w:w w:val="105"/>
        </w:rPr>
        <w:t>常伴有煤岩体抛出</w:t>
      </w:r>
      <w:r>
        <w:rPr>
          <w:rFonts w:hint="eastAsia" w:ascii="MS UI Gothic" w:eastAsia="MS UI Gothic"/>
          <w:w w:val="80"/>
        </w:rPr>
        <w:t xml:space="preserve">、 </w:t>
      </w:r>
      <w:r>
        <w:rPr>
          <w:w w:val="105"/>
        </w:rPr>
        <w:t>巨响及气浪等现象</w:t>
      </w:r>
      <w:r>
        <w:rPr>
          <w:rFonts w:hint="eastAsia" w:ascii="MS UI Gothic" w:eastAsia="MS UI Gothic"/>
          <w:w w:val="80"/>
        </w:rPr>
        <w:t>ꎮ</w:t>
      </w:r>
    </w:p>
    <w:p>
      <w:pPr>
        <w:pStyle w:val="6"/>
        <w:spacing w:line="295" w:lineRule="auto"/>
        <w:ind w:right="442"/>
        <w:rPr>
          <w:rFonts w:hint="eastAsia" w:ascii="MS UI Gothic" w:eastAsia="MS UI Gothic"/>
        </w:rPr>
      </w:pPr>
      <w:r>
        <w:rPr>
          <w:spacing w:val="5"/>
        </w:rPr>
        <w:t>主要风巷 总进风巷</w:t>
      </w:r>
      <w:r>
        <w:rPr>
          <w:rFonts w:hint="eastAsia" w:ascii="MS UI Gothic" w:eastAsia="MS UI Gothic"/>
          <w:spacing w:val="12"/>
          <w:w w:val="80"/>
        </w:rPr>
        <w:t xml:space="preserve">、 </w:t>
      </w:r>
      <w:r>
        <w:rPr>
          <w:spacing w:val="3"/>
        </w:rPr>
        <w:t>总回风巷</w:t>
      </w:r>
      <w:r>
        <w:rPr>
          <w:rFonts w:hint="eastAsia" w:ascii="MS UI Gothic" w:eastAsia="MS UI Gothic"/>
          <w:spacing w:val="8"/>
          <w:w w:val="80"/>
        </w:rPr>
        <w:t xml:space="preserve">、  </w:t>
      </w:r>
      <w:r>
        <w:t>主</w:t>
      </w:r>
      <w:r>
        <w:rPr>
          <w:spacing w:val="3"/>
        </w:rPr>
        <w:t>要进风巷和主要回风巷的总称</w:t>
      </w:r>
      <w:r>
        <w:rPr>
          <w:rFonts w:hint="eastAsia" w:ascii="MS UI Gothic" w:eastAsia="MS UI Gothic"/>
          <w:w w:val="80"/>
        </w:rPr>
        <w:t>ꎮ</w:t>
      </w:r>
    </w:p>
    <w:p>
      <w:pPr>
        <w:pStyle w:val="6"/>
        <w:spacing w:line="295" w:lineRule="auto"/>
        <w:ind w:right="440"/>
        <w:rPr>
          <w:rFonts w:hint="eastAsia" w:ascii="MS UI Gothic" w:eastAsia="MS UI Gothic"/>
        </w:rPr>
      </w:pPr>
      <w:r>
        <w:rPr>
          <w:spacing w:val="6"/>
        </w:rPr>
        <w:t>进风巷 进风风流所经过的巷道</w:t>
      </w:r>
      <w:r>
        <w:rPr>
          <w:rFonts w:hint="eastAsia" w:ascii="MS UI Gothic" w:eastAsia="MS UI Gothic"/>
          <w:spacing w:val="14"/>
        </w:rPr>
        <w:t xml:space="preserve"> </w:t>
      </w:r>
      <w:r>
        <w:t>为</w:t>
      </w:r>
      <w:r>
        <w:rPr>
          <w:spacing w:val="4"/>
        </w:rPr>
        <w:t>全矿井或矿井一翼进风用的叫总进风巷</w:t>
      </w:r>
      <w:r>
        <w:rPr>
          <w:rFonts w:hint="eastAsia" w:ascii="MS UI Gothic" w:eastAsia="MS UI Gothic"/>
          <w:w w:val="80"/>
        </w:rPr>
        <w:t>ꎻ</w:t>
      </w:r>
      <w:r>
        <w:rPr>
          <w:spacing w:val="3"/>
        </w:rPr>
        <w:t>为几个采区进风用的叫主要进风巷</w:t>
      </w:r>
      <w:r>
        <w:rPr>
          <w:rFonts w:hint="eastAsia" w:ascii="MS UI Gothic" w:eastAsia="MS UI Gothic"/>
          <w:spacing w:val="14"/>
          <w:w w:val="80"/>
        </w:rPr>
        <w:t xml:space="preserve">ꎻ </w:t>
      </w:r>
      <w:r>
        <w:rPr>
          <w:spacing w:val="-17"/>
        </w:rPr>
        <w:t xml:space="preserve">为 </w:t>
      </w:r>
      <w:r>
        <w:rPr>
          <w:rFonts w:hint="eastAsia" w:ascii="MS UI Gothic" w:eastAsia="MS UI Gothic"/>
          <w:w w:val="80"/>
        </w:rPr>
        <w:t xml:space="preserve">１ </w:t>
      </w:r>
      <w:r>
        <w:rPr>
          <w:spacing w:val="1"/>
        </w:rPr>
        <w:t>个采区进风用的叫采区进风巷</w:t>
      </w:r>
      <w:r>
        <w:rPr>
          <w:rFonts w:hint="eastAsia" w:ascii="MS UI Gothic" w:eastAsia="MS UI Gothic"/>
          <w:spacing w:val="10"/>
          <w:w w:val="80"/>
        </w:rPr>
        <w:t xml:space="preserve">ꎬ </w:t>
      </w:r>
      <w:r>
        <w:rPr>
          <w:spacing w:val="-22"/>
        </w:rPr>
        <w:t xml:space="preserve">为 </w:t>
      </w:r>
      <w:r>
        <w:rPr>
          <w:rFonts w:hint="eastAsia" w:ascii="MS UI Gothic" w:eastAsia="MS UI Gothic"/>
          <w:spacing w:val="8"/>
          <w:w w:val="80"/>
        </w:rPr>
        <w:t xml:space="preserve">１ </w:t>
      </w:r>
      <w:r>
        <w:rPr>
          <w:spacing w:val="3"/>
        </w:rPr>
        <w:t>个工作面进风用的叫工作面进风巷</w:t>
      </w:r>
      <w:r>
        <w:rPr>
          <w:rFonts w:hint="eastAsia" w:ascii="MS UI Gothic" w:eastAsia="MS UI Gothic"/>
          <w:w w:val="80"/>
        </w:rPr>
        <w:t>ꎮ</w:t>
      </w:r>
    </w:p>
    <w:p>
      <w:pPr>
        <w:pStyle w:val="6"/>
        <w:spacing w:line="295" w:lineRule="auto"/>
        <w:ind w:right="440"/>
        <w:rPr>
          <w:rFonts w:hint="eastAsia" w:ascii="MS UI Gothic" w:eastAsia="MS UI Gothic"/>
        </w:rPr>
      </w:pPr>
      <w:r>
        <w:rPr>
          <w:spacing w:val="6"/>
        </w:rPr>
        <w:t>回风巷 回风风流所经过的巷道</w:t>
      </w:r>
      <w:r>
        <w:rPr>
          <w:rFonts w:hint="eastAsia" w:ascii="MS UI Gothic" w:eastAsia="MS UI Gothic"/>
          <w:spacing w:val="14"/>
        </w:rPr>
        <w:t xml:space="preserve"> </w:t>
      </w:r>
      <w:r>
        <w:t>为</w:t>
      </w:r>
      <w:r>
        <w:rPr>
          <w:spacing w:val="4"/>
        </w:rPr>
        <w:t>全矿井或矿井一翼回风用的叫总回风巷</w:t>
      </w:r>
      <w:r>
        <w:rPr>
          <w:rFonts w:hint="eastAsia" w:ascii="MS UI Gothic" w:eastAsia="MS UI Gothic"/>
          <w:w w:val="80"/>
        </w:rPr>
        <w:t>ꎻ</w:t>
      </w:r>
      <w:r>
        <w:rPr>
          <w:spacing w:val="3"/>
        </w:rPr>
        <w:t>为几个采区回风用的叫主要回风巷</w:t>
      </w:r>
      <w:r>
        <w:rPr>
          <w:rFonts w:hint="eastAsia" w:ascii="MS UI Gothic" w:eastAsia="MS UI Gothic"/>
          <w:spacing w:val="14"/>
          <w:w w:val="80"/>
        </w:rPr>
        <w:t xml:space="preserve">ꎻ </w:t>
      </w:r>
      <w:r>
        <w:rPr>
          <w:spacing w:val="-17"/>
        </w:rPr>
        <w:t xml:space="preserve">为 </w:t>
      </w:r>
      <w:r>
        <w:rPr>
          <w:rFonts w:hint="eastAsia" w:ascii="MS UI Gothic" w:eastAsia="MS UI Gothic"/>
          <w:w w:val="80"/>
        </w:rPr>
        <w:t xml:space="preserve">１ </w:t>
      </w:r>
      <w:r>
        <w:rPr>
          <w:spacing w:val="1"/>
        </w:rPr>
        <w:t>个采区回风用的叫采区回风巷</w:t>
      </w:r>
      <w:r>
        <w:rPr>
          <w:rFonts w:hint="eastAsia" w:ascii="MS UI Gothic" w:eastAsia="MS UI Gothic"/>
          <w:spacing w:val="10"/>
          <w:w w:val="80"/>
        </w:rPr>
        <w:t xml:space="preserve">ꎻ </w:t>
      </w:r>
      <w:r>
        <w:rPr>
          <w:spacing w:val="-22"/>
        </w:rPr>
        <w:t xml:space="preserve">为 </w:t>
      </w:r>
      <w:r>
        <w:rPr>
          <w:rFonts w:hint="eastAsia" w:ascii="MS UI Gothic" w:eastAsia="MS UI Gothic"/>
          <w:spacing w:val="8"/>
          <w:w w:val="80"/>
        </w:rPr>
        <w:t xml:space="preserve">１ </w:t>
      </w:r>
      <w:r>
        <w:rPr>
          <w:spacing w:val="3"/>
        </w:rPr>
        <w:t>个工作面回风用的叫工作面回风巷</w:t>
      </w:r>
      <w:r>
        <w:rPr>
          <w:rFonts w:hint="eastAsia" w:ascii="MS UI Gothic" w:eastAsia="MS UI Gothic"/>
          <w:w w:val="80"/>
        </w:rPr>
        <w:t>ꎮ</w:t>
      </w:r>
    </w:p>
    <w:p>
      <w:pPr>
        <w:pStyle w:val="6"/>
        <w:spacing w:line="295" w:lineRule="auto"/>
        <w:ind w:right="442"/>
        <w:rPr>
          <w:rFonts w:hint="eastAsia" w:ascii="MS UI Gothic" w:eastAsia="MS UI Gothic"/>
        </w:rPr>
      </w:pPr>
      <w:r>
        <w:rPr>
          <w:w w:val="105"/>
        </w:rPr>
        <w:t>专用回风巷 在采区巷道中</w:t>
      </w:r>
      <w:r>
        <w:rPr>
          <w:rFonts w:hint="eastAsia" w:ascii="MS UI Gothic" w:eastAsia="MS UI Gothic"/>
          <w:w w:val="80"/>
        </w:rPr>
        <w:t xml:space="preserve">ꎬ </w:t>
      </w:r>
      <w:r>
        <w:rPr>
          <w:w w:val="105"/>
        </w:rPr>
        <w:t>专门用于回风</w:t>
      </w:r>
      <w:r>
        <w:rPr>
          <w:rFonts w:hint="eastAsia" w:ascii="MS UI Gothic" w:eastAsia="MS UI Gothic"/>
          <w:w w:val="80"/>
        </w:rPr>
        <w:t xml:space="preserve">ꎬ </w:t>
      </w:r>
      <w:r>
        <w:rPr>
          <w:w w:val="105"/>
        </w:rPr>
        <w:t>不得用于运料</w:t>
      </w:r>
      <w:r>
        <w:rPr>
          <w:rFonts w:hint="eastAsia" w:ascii="MS UI Gothic" w:eastAsia="MS UI Gothic"/>
          <w:w w:val="80"/>
        </w:rPr>
        <w:t xml:space="preserve">、 </w:t>
      </w:r>
      <w:r>
        <w:rPr>
          <w:w w:val="105"/>
        </w:rPr>
        <w:t xml:space="preserve">安设电气设备的巷道 </w:t>
      </w:r>
      <w:r>
        <w:rPr>
          <w:rFonts w:hint="eastAsia" w:ascii="MS UI Gothic" w:eastAsia="MS UI Gothic"/>
          <w:w w:val="105"/>
        </w:rPr>
        <w:t xml:space="preserve"> </w:t>
      </w:r>
      <w:r>
        <w:rPr>
          <w:w w:val="105"/>
        </w:rPr>
        <w:t xml:space="preserve">在煤 </w:t>
      </w:r>
      <w:r>
        <w:rPr>
          <w:rFonts w:hint="eastAsia" w:ascii="MS UI Gothic" w:eastAsia="MS UI Gothic"/>
          <w:w w:val="150"/>
        </w:rPr>
        <w:t xml:space="preserve">( </w:t>
      </w:r>
      <w:r>
        <w:rPr>
          <w:w w:val="105"/>
        </w:rPr>
        <w:t>岩</w:t>
      </w:r>
      <w:r>
        <w:rPr>
          <w:rFonts w:hint="eastAsia" w:ascii="MS UI Gothic" w:eastAsia="MS UI Gothic"/>
          <w:w w:val="150"/>
        </w:rPr>
        <w:t xml:space="preserve">) </w:t>
      </w:r>
      <w:r>
        <w:rPr>
          <w:w w:val="105"/>
        </w:rPr>
        <w:t xml:space="preserve">与瓦斯 </w:t>
      </w:r>
      <w:r>
        <w:rPr>
          <w:rFonts w:hint="eastAsia" w:ascii="MS UI Gothic" w:eastAsia="MS UI Gothic"/>
          <w:w w:val="150"/>
        </w:rPr>
        <w:t xml:space="preserve">( </w:t>
      </w:r>
      <w:r>
        <w:rPr>
          <w:w w:val="105"/>
        </w:rPr>
        <w:t>二氧化碳</w:t>
      </w:r>
      <w:r>
        <w:rPr>
          <w:rFonts w:hint="eastAsia" w:ascii="MS UI Gothic" w:eastAsia="MS UI Gothic"/>
          <w:w w:val="150"/>
        </w:rPr>
        <w:t xml:space="preserve">) </w:t>
      </w:r>
      <w:r>
        <w:rPr>
          <w:w w:val="105"/>
        </w:rPr>
        <w:t>突出区</w:t>
      </w:r>
      <w:r>
        <w:rPr>
          <w:rFonts w:hint="eastAsia" w:ascii="MS UI Gothic" w:eastAsia="MS UI Gothic"/>
          <w:w w:val="80"/>
        </w:rPr>
        <w:t xml:space="preserve">ꎬ </w:t>
      </w:r>
      <w:r>
        <w:rPr>
          <w:w w:val="105"/>
        </w:rPr>
        <w:t>专用回风巷内还不得行人</w:t>
      </w:r>
      <w:r>
        <w:rPr>
          <w:rFonts w:hint="eastAsia" w:ascii="MS UI Gothic" w:eastAsia="MS UI Gothic"/>
          <w:w w:val="80"/>
        </w:rPr>
        <w:t>ꎮ</w:t>
      </w:r>
    </w:p>
    <w:p>
      <w:pPr>
        <w:pStyle w:val="6"/>
        <w:spacing w:line="295" w:lineRule="auto"/>
        <w:ind w:right="442"/>
        <w:rPr>
          <w:rFonts w:hint="eastAsia" w:ascii="MS UI Gothic" w:eastAsia="MS UI Gothic"/>
        </w:rPr>
      </w:pPr>
      <w:r>
        <w:rPr>
          <w:w w:val="105"/>
        </w:rPr>
        <w:t>采煤工作面的风流 采煤工作面工作空间中的风流</w:t>
      </w:r>
      <w:r>
        <w:rPr>
          <w:rFonts w:hint="eastAsia" w:ascii="MS UI Gothic" w:eastAsia="MS UI Gothic"/>
          <w:w w:val="80"/>
        </w:rPr>
        <w:t>ꎮ</w:t>
      </w:r>
    </w:p>
    <w:p>
      <w:pPr>
        <w:pStyle w:val="6"/>
        <w:spacing w:line="295" w:lineRule="auto"/>
        <w:ind w:right="442"/>
        <w:rPr>
          <w:rFonts w:hint="eastAsia" w:ascii="MS UI Gothic" w:eastAsia="MS UI Gothic"/>
        </w:rPr>
      </w:pPr>
      <w:r>
        <w:rPr>
          <w:w w:val="105"/>
        </w:rPr>
        <w:t>掘进工作面的风流 掘进工作面到风筒出风口这一段巷道中的风流</w:t>
      </w:r>
      <w:r>
        <w:rPr>
          <w:rFonts w:hint="eastAsia" w:ascii="MS UI Gothic" w:eastAsia="MS UI Gothic"/>
          <w:w w:val="80"/>
        </w:rPr>
        <w:t>ꎮ</w:t>
      </w:r>
    </w:p>
    <w:p>
      <w:pPr>
        <w:pStyle w:val="6"/>
        <w:spacing w:line="295" w:lineRule="auto"/>
        <w:ind w:right="442"/>
        <w:rPr>
          <w:rFonts w:hint="eastAsia" w:ascii="MS UI Gothic" w:eastAsia="MS UI Gothic"/>
        </w:rPr>
      </w:pPr>
      <w:r>
        <w:rPr>
          <w:w w:val="105"/>
        </w:rPr>
        <w:t xml:space="preserve">分区通风 </w:t>
      </w:r>
      <w:r>
        <w:rPr>
          <w:rFonts w:hint="eastAsia" w:ascii="MS UI Gothic" w:eastAsia="MS UI Gothic"/>
          <w:w w:val="150"/>
        </w:rPr>
        <w:t xml:space="preserve">( </w:t>
      </w:r>
      <w:r>
        <w:rPr>
          <w:w w:val="105"/>
        </w:rPr>
        <w:t>并联通风</w:t>
      </w:r>
      <w:r>
        <w:rPr>
          <w:rFonts w:hint="eastAsia" w:ascii="MS UI Gothic" w:eastAsia="MS UI Gothic"/>
          <w:w w:val="150"/>
        </w:rPr>
        <w:t xml:space="preserve">)  </w:t>
      </w:r>
      <w:r>
        <w:rPr>
          <w:w w:val="105"/>
        </w:rPr>
        <w:t>井下各用</w:t>
      </w:r>
      <w:r>
        <w:t>风地点的回风直接进入采区回风巷或总回</w:t>
      </w:r>
      <w:r>
        <w:rPr>
          <w:w w:val="105"/>
        </w:rPr>
        <w:t>风巷的通风方式</w:t>
      </w:r>
      <w:r>
        <w:rPr>
          <w:rFonts w:hint="eastAsia" w:ascii="MS UI Gothic" w:eastAsia="MS UI Gothic"/>
          <w:w w:val="80"/>
        </w:rPr>
        <w:t>ꎮ</w:t>
      </w:r>
    </w:p>
    <w:p>
      <w:pPr>
        <w:pStyle w:val="6"/>
        <w:spacing w:line="295" w:lineRule="auto"/>
        <w:ind w:right="442"/>
        <w:rPr>
          <w:rFonts w:hint="eastAsia" w:ascii="MS UI Gothic" w:eastAsia="MS UI Gothic"/>
        </w:rPr>
      </w:pPr>
      <w:r>
        <w:rPr>
          <w:w w:val="105"/>
        </w:rPr>
        <w:t>串联通风 井下用风地点的回风再次进入其他用风地点的通风方式</w:t>
      </w:r>
      <w:r>
        <w:rPr>
          <w:rFonts w:hint="eastAsia" w:ascii="MS UI Gothic" w:eastAsia="MS UI Gothic"/>
          <w:w w:val="80"/>
        </w:rPr>
        <w:t>ꎮ</w:t>
      </w:r>
    </w:p>
    <w:p>
      <w:pPr>
        <w:pStyle w:val="6"/>
        <w:spacing w:line="295" w:lineRule="auto"/>
        <w:ind w:right="442"/>
        <w:rPr>
          <w:rFonts w:hint="eastAsia" w:ascii="MS UI Gothic" w:eastAsia="MS UI Gothic"/>
        </w:rPr>
      </w:pPr>
      <w:r>
        <w:t>扩散通风 利用空气中分子的自然扩散运动</w:t>
      </w:r>
      <w:r>
        <w:rPr>
          <w:rFonts w:hint="eastAsia" w:ascii="MS UI Gothic" w:eastAsia="MS UI Gothic"/>
          <w:w w:val="80"/>
        </w:rPr>
        <w:t xml:space="preserve">ꎬ </w:t>
      </w:r>
      <w:r>
        <w:t>对局部地点进行通风的方式</w:t>
      </w:r>
      <w:r>
        <w:rPr>
          <w:rFonts w:hint="eastAsia" w:ascii="MS UI Gothic" w:eastAsia="MS UI Gothic"/>
          <w:w w:val="80"/>
        </w:rPr>
        <w:t>ꎮ</w:t>
      </w:r>
    </w:p>
    <w:p>
      <w:pPr>
        <w:pStyle w:val="6"/>
        <w:spacing w:line="295" w:lineRule="auto"/>
        <w:ind w:right="442"/>
        <w:rPr>
          <w:rFonts w:hint="eastAsia" w:ascii="MS UI Gothic" w:eastAsia="MS UI Gothic"/>
        </w:rPr>
      </w:pPr>
      <w:r>
        <w:t>独立风流 从主要进风巷分出的</w:t>
      </w:r>
      <w:r>
        <w:rPr>
          <w:rFonts w:hint="eastAsia" w:ascii="MS UI Gothic" w:eastAsia="MS UI Gothic"/>
          <w:w w:val="80"/>
        </w:rPr>
        <w:t xml:space="preserve">ꎬ </w:t>
      </w:r>
      <w:r>
        <w:t>经过爆炸材料库或充电硐室后再进入主要回风巷的风流</w:t>
      </w:r>
      <w:r>
        <w:rPr>
          <w:rFonts w:hint="eastAsia" w:ascii="MS UI Gothic" w:eastAsia="MS UI Gothic"/>
          <w:w w:val="80"/>
        </w:rPr>
        <w:t>ꎮ</w:t>
      </w:r>
    </w:p>
    <w:p>
      <w:pPr>
        <w:pStyle w:val="6"/>
        <w:spacing w:line="295" w:lineRule="auto"/>
        <w:ind w:right="442"/>
        <w:rPr>
          <w:rFonts w:hint="eastAsia" w:ascii="MS UI Gothic" w:eastAsia="MS UI Gothic"/>
        </w:rPr>
      </w:pPr>
      <w:r>
        <w:rPr>
          <w:w w:val="105"/>
        </w:rPr>
        <w:t>全风压 通风系统中主要通风机出口侧和进口侧的总风压差</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３４９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61" o:spid="_x0000_s2061" o:spt="203" style="height:2.15pt;width:398.25pt;" coordsize="7965,43">
            <o:lock v:ext="edit"/>
            <v:line id="_x0000_s2062" o:spid="_x0000_s2062" o:spt="20" style="position:absolute;left:0;top:39;height:0;width:7965;" stroked="t" coordsize="21600,21600">
              <v:path arrowok="t"/>
              <v:fill focussize="0,0"/>
              <v:stroke weight="0.388031496062992pt" color="#231F20"/>
              <v:imagedata o:title=""/>
              <o:lock v:ext="edit"/>
            </v:line>
            <v:line id="_x0000_s2063" o:spid="_x0000_s206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t>火风压 井下发生火灾时</w:t>
      </w:r>
      <w:r>
        <w:rPr>
          <w:rFonts w:hint="eastAsia" w:ascii="MS UI Gothic" w:eastAsia="MS UI Gothic"/>
          <w:w w:val="80"/>
        </w:rPr>
        <w:t xml:space="preserve">ꎬ </w:t>
      </w:r>
      <w:r>
        <w:t>高温烟流流经有高差的井巷所产生的附加风压</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局部通风 利用局部通风机或主要通</w:t>
      </w:r>
      <w:r>
        <w:rPr>
          <w:spacing w:val="10"/>
        </w:rPr>
        <w:t>风机产生的风压对局部地点进行通风的</w:t>
      </w:r>
      <w:r>
        <w:rPr>
          <w:spacing w:val="3"/>
          <w:w w:val="105"/>
        </w:rPr>
        <w:t>方法</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3"/>
        </w:rPr>
        <w:t>循环风 局部通风机的回风</w:t>
      </w:r>
      <w:r>
        <w:rPr>
          <w:rFonts w:hint="eastAsia" w:ascii="MS UI Gothic" w:eastAsia="MS UI Gothic"/>
          <w:spacing w:val="8"/>
          <w:w w:val="80"/>
        </w:rPr>
        <w:t xml:space="preserve">ꎬ </w:t>
      </w:r>
      <w:r>
        <w:rPr>
          <w:spacing w:val="2"/>
        </w:rPr>
        <w:t>部分或</w:t>
      </w:r>
      <w:r>
        <w:rPr>
          <w:spacing w:val="10"/>
        </w:rPr>
        <w:t>全部再进入同一部局部通风机的进风风</w:t>
      </w:r>
      <w:r>
        <w:rPr>
          <w:spacing w:val="3"/>
        </w:rPr>
        <w:t>流中</w:t>
      </w:r>
      <w:r>
        <w:rPr>
          <w:rFonts w:hint="eastAsia" w:ascii="MS UI Gothic" w:eastAsia="MS UI Gothic"/>
          <w:w w:val="80"/>
        </w:rPr>
        <w:t>ꎮ</w:t>
      </w:r>
    </w:p>
    <w:p>
      <w:pPr>
        <w:pStyle w:val="6"/>
        <w:spacing w:line="295" w:lineRule="auto"/>
        <w:ind w:left="440" w:right="1"/>
        <w:rPr>
          <w:rFonts w:hint="eastAsia" w:ascii="MS UI Gothic" w:eastAsia="MS UI Gothic"/>
        </w:rPr>
      </w:pPr>
      <w:r>
        <w:t>主要通风机 安装在地面的</w:t>
      </w:r>
      <w:r>
        <w:rPr>
          <w:rFonts w:hint="eastAsia" w:ascii="MS UI Gothic" w:eastAsia="MS UI Gothic"/>
          <w:w w:val="80"/>
        </w:rPr>
        <w:t xml:space="preserve">ꎬ </w:t>
      </w:r>
      <w:r>
        <w:t>向全矿井</w:t>
      </w:r>
      <w:r>
        <w:rPr>
          <w:rFonts w:hint="eastAsia" w:ascii="MS UI Gothic" w:eastAsia="MS UI Gothic"/>
        </w:rPr>
        <w:t xml:space="preserve">、 </w:t>
      </w:r>
      <w:r>
        <w:t xml:space="preserve">一翼或 </w:t>
      </w:r>
      <w:r>
        <w:rPr>
          <w:rFonts w:hint="eastAsia" w:ascii="MS UI Gothic" w:eastAsia="MS UI Gothic"/>
        </w:rPr>
        <w:t xml:space="preserve">１ </w:t>
      </w:r>
      <w:r>
        <w:t>个分区供风的通风机</w:t>
      </w:r>
      <w:r>
        <w:rPr>
          <w:rFonts w:hint="eastAsia" w:ascii="MS UI Gothic" w:eastAsia="MS UI Gothic"/>
          <w:w w:val="80"/>
        </w:rPr>
        <w:t>ꎮ</w:t>
      </w:r>
    </w:p>
    <w:p>
      <w:pPr>
        <w:pStyle w:val="6"/>
        <w:spacing w:line="295" w:lineRule="auto"/>
        <w:ind w:left="440"/>
        <w:rPr>
          <w:rFonts w:hint="eastAsia" w:ascii="MS UI Gothic" w:eastAsia="MS UI Gothic"/>
        </w:rPr>
      </w:pPr>
      <w:r>
        <w:t>辅助通风机  某分区通风阻力过大</w:t>
      </w:r>
      <w:r>
        <w:rPr>
          <w:rFonts w:hint="eastAsia" w:ascii="MS UI Gothic" w:eastAsia="MS UI Gothic"/>
          <w:w w:val="80"/>
        </w:rPr>
        <w:t>、</w:t>
      </w:r>
      <w:r>
        <w:t>主要通风机不能供给足够风量时</w:t>
      </w:r>
      <w:r>
        <w:rPr>
          <w:rFonts w:hint="eastAsia" w:ascii="MS UI Gothic" w:eastAsia="MS UI Gothic"/>
          <w:w w:val="80"/>
        </w:rPr>
        <w:t xml:space="preserve">ꎬ </w:t>
      </w:r>
      <w:r>
        <w:t>为了增加风量而在该分区使用的通风机</w:t>
      </w:r>
      <w:r>
        <w:rPr>
          <w:rFonts w:hint="eastAsia" w:ascii="MS UI Gothic" w:eastAsia="MS UI Gothic"/>
          <w:w w:val="80"/>
        </w:rPr>
        <w:t>ꎮ</w:t>
      </w:r>
    </w:p>
    <w:p>
      <w:pPr>
        <w:pStyle w:val="6"/>
        <w:tabs>
          <w:tab w:val="left" w:pos="2117"/>
        </w:tabs>
        <w:spacing w:line="295" w:lineRule="auto"/>
        <w:ind w:left="440" w:right="1"/>
        <w:jc w:val="left"/>
        <w:rPr>
          <w:rFonts w:hint="eastAsia" w:ascii="MS UI Gothic" w:eastAsia="MS UI Gothic"/>
        </w:rPr>
      </w:pPr>
      <w:r>
        <w:rPr>
          <w:spacing w:val="3"/>
        </w:rPr>
        <w:t>局部通风</w:t>
      </w:r>
      <w:r>
        <w:t>机</w:t>
      </w:r>
      <w:r>
        <w:tab/>
      </w:r>
      <w:r>
        <w:rPr>
          <w:spacing w:val="3"/>
        </w:rPr>
        <w:t>向井下局部地点供风</w:t>
      </w:r>
      <w:r>
        <w:rPr>
          <w:spacing w:val="-11"/>
        </w:rPr>
        <w:t>的</w:t>
      </w:r>
      <w:r>
        <w:rPr>
          <w:spacing w:val="3"/>
        </w:rPr>
        <w:t>通风机</w:t>
      </w:r>
      <w:r>
        <w:rPr>
          <w:rFonts w:hint="eastAsia" w:ascii="MS UI Gothic" w:eastAsia="MS UI Gothic"/>
          <w:w w:val="80"/>
        </w:rPr>
        <w:t>ꎮ</w:t>
      </w:r>
    </w:p>
    <w:p>
      <w:pPr>
        <w:pStyle w:val="6"/>
        <w:tabs>
          <w:tab w:val="left" w:pos="1908"/>
        </w:tabs>
        <w:spacing w:line="295" w:lineRule="auto"/>
        <w:ind w:left="440" w:right="1"/>
        <w:jc w:val="left"/>
        <w:rPr>
          <w:rFonts w:hint="eastAsia" w:ascii="MS UI Gothic" w:eastAsia="MS UI Gothic"/>
        </w:rPr>
      </w:pPr>
      <w:r>
        <w:rPr>
          <w:spacing w:val="3"/>
          <w:w w:val="105"/>
        </w:rPr>
        <w:t>上行通</w:t>
      </w:r>
      <w:r>
        <w:rPr>
          <w:w w:val="105"/>
        </w:rPr>
        <w:t>风</w:t>
      </w:r>
      <w:r>
        <w:rPr>
          <w:w w:val="105"/>
        </w:rPr>
        <w:tab/>
      </w:r>
      <w:r>
        <w:rPr>
          <w:spacing w:val="3"/>
        </w:rPr>
        <w:t>风流沿采煤工作面由下</w:t>
      </w:r>
      <w:r>
        <w:rPr>
          <w:spacing w:val="-11"/>
        </w:rPr>
        <w:t>向</w:t>
      </w:r>
      <w:r>
        <w:rPr>
          <w:spacing w:val="3"/>
          <w:w w:val="105"/>
        </w:rPr>
        <w:t>上流动的通风方式</w:t>
      </w:r>
      <w:r>
        <w:rPr>
          <w:rFonts w:hint="eastAsia" w:ascii="MS UI Gothic" w:eastAsia="MS UI Gothic"/>
          <w:w w:val="80"/>
        </w:rPr>
        <w:t>ꎮ</w:t>
      </w:r>
    </w:p>
    <w:p>
      <w:pPr>
        <w:pStyle w:val="6"/>
        <w:tabs>
          <w:tab w:val="left" w:pos="1908"/>
        </w:tabs>
        <w:spacing w:line="295" w:lineRule="auto"/>
        <w:ind w:left="440" w:right="1"/>
        <w:jc w:val="left"/>
        <w:rPr>
          <w:rFonts w:hint="eastAsia" w:ascii="MS UI Gothic" w:eastAsia="MS UI Gothic"/>
        </w:rPr>
      </w:pPr>
      <w:r>
        <w:rPr>
          <w:spacing w:val="3"/>
          <w:w w:val="105"/>
        </w:rPr>
        <w:t>下行通</w:t>
      </w:r>
      <w:r>
        <w:rPr>
          <w:w w:val="105"/>
        </w:rPr>
        <w:t>风</w:t>
      </w:r>
      <w:r>
        <w:rPr>
          <w:w w:val="105"/>
        </w:rPr>
        <w:tab/>
      </w:r>
      <w:r>
        <w:rPr>
          <w:spacing w:val="3"/>
        </w:rPr>
        <w:t>风流沿采煤工作面由上</w:t>
      </w:r>
      <w:r>
        <w:rPr>
          <w:spacing w:val="-11"/>
        </w:rPr>
        <w:t>向</w:t>
      </w:r>
      <w:r>
        <w:rPr>
          <w:spacing w:val="3"/>
          <w:w w:val="105"/>
        </w:rPr>
        <w:t>下流动的通风方式</w:t>
      </w:r>
      <w:r>
        <w:rPr>
          <w:rFonts w:hint="eastAsia" w:ascii="MS UI Gothic" w:eastAsia="MS UI Gothic"/>
          <w:w w:val="80"/>
        </w:rPr>
        <w:t>ꎮ</w:t>
      </w:r>
    </w:p>
    <w:p>
      <w:pPr>
        <w:pStyle w:val="6"/>
        <w:tabs>
          <w:tab w:val="left" w:pos="1488"/>
        </w:tabs>
        <w:spacing w:line="295" w:lineRule="auto"/>
        <w:ind w:left="440" w:right="1"/>
        <w:jc w:val="left"/>
        <w:rPr>
          <w:rFonts w:hint="eastAsia" w:ascii="MS UI Gothic" w:eastAsia="MS UI Gothic"/>
        </w:rPr>
      </w:pPr>
      <w:r>
        <w:rPr>
          <w:spacing w:val="3"/>
        </w:rPr>
        <w:t>瓦</w:t>
      </w:r>
      <w:r>
        <w:t>斯</w:t>
      </w:r>
      <w:r>
        <w:tab/>
      </w:r>
      <w:r>
        <w:rPr>
          <w:spacing w:val="3"/>
        </w:rPr>
        <w:t>矿井中主要由煤层气构成的</w:t>
      </w:r>
      <w:r>
        <w:t>以</w:t>
      </w:r>
      <w:r>
        <w:rPr>
          <w:spacing w:val="3"/>
        </w:rPr>
        <w:t>甲烷为主的有害气体</w:t>
      </w:r>
      <w:r>
        <w:rPr>
          <w:rFonts w:hint="eastAsia" w:ascii="MS UI Gothic" w:eastAsia="MS UI Gothic"/>
          <w:w w:val="80"/>
        </w:rPr>
        <w:t>ꎮ</w:t>
      </w:r>
      <w:r>
        <w:rPr>
          <w:rFonts w:hint="eastAsia" w:ascii="MS UI Gothic" w:eastAsia="MS UI Gothic"/>
          <w:spacing w:val="46"/>
          <w:w w:val="80"/>
        </w:rPr>
        <w:t xml:space="preserve"> </w:t>
      </w:r>
      <w:r>
        <w:rPr>
          <w:spacing w:val="3"/>
        </w:rPr>
        <w:t>有时单独指甲烷</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7"/>
          <w:w w:val="110"/>
        </w:rPr>
        <w:t xml:space="preserve">瓦斯 </w:t>
      </w:r>
      <w:r>
        <w:rPr>
          <w:rFonts w:hint="eastAsia" w:ascii="MS UI Gothic" w:eastAsia="MS UI Gothic"/>
          <w:spacing w:val="-36"/>
          <w:w w:val="150"/>
        </w:rPr>
        <w:t xml:space="preserve">( </w:t>
      </w:r>
      <w:r>
        <w:rPr>
          <w:spacing w:val="16"/>
          <w:w w:val="110"/>
        </w:rPr>
        <w:t>二氧化碳</w:t>
      </w:r>
      <w:r>
        <w:rPr>
          <w:rFonts w:hint="eastAsia" w:ascii="MS UI Gothic" w:eastAsia="MS UI Gothic"/>
          <w:spacing w:val="9"/>
          <w:w w:val="150"/>
        </w:rPr>
        <w:t xml:space="preserve">) </w:t>
      </w:r>
      <w:r>
        <w:rPr>
          <w:spacing w:val="19"/>
          <w:w w:val="110"/>
        </w:rPr>
        <w:t xml:space="preserve">浓度 瓦斯 </w:t>
      </w:r>
      <w:r>
        <w:rPr>
          <w:rFonts w:hint="eastAsia" w:ascii="MS UI Gothic" w:eastAsia="MS UI Gothic"/>
          <w:spacing w:val="-33"/>
          <w:w w:val="150"/>
        </w:rPr>
        <w:t xml:space="preserve">( </w:t>
      </w:r>
      <w:r>
        <w:rPr>
          <w:spacing w:val="-12"/>
          <w:w w:val="110"/>
        </w:rPr>
        <w:t>二</w:t>
      </w:r>
      <w:r>
        <w:rPr>
          <w:spacing w:val="8"/>
          <w:w w:val="105"/>
        </w:rPr>
        <w:t>氧化碳</w:t>
      </w:r>
      <w:r>
        <w:rPr>
          <w:rFonts w:hint="eastAsia" w:ascii="MS UI Gothic" w:eastAsia="MS UI Gothic"/>
          <w:spacing w:val="22"/>
          <w:w w:val="105"/>
        </w:rPr>
        <w:t xml:space="preserve">) </w:t>
      </w:r>
      <w:r>
        <w:rPr>
          <w:spacing w:val="14"/>
          <w:w w:val="105"/>
        </w:rPr>
        <w:t>在空气中按体积计算占有的比</w:t>
      </w:r>
      <w:r>
        <w:rPr>
          <w:spacing w:val="3"/>
          <w:w w:val="110"/>
        </w:rPr>
        <w:t>率</w:t>
      </w:r>
      <w:r>
        <w:rPr>
          <w:rFonts w:hint="eastAsia" w:ascii="MS UI Gothic" w:eastAsia="MS UI Gothic"/>
          <w:w w:val="80"/>
        </w:rPr>
        <w:t xml:space="preserve">ꎬ </w:t>
      </w:r>
      <w:r>
        <w:rPr>
          <w:spacing w:val="3"/>
          <w:w w:val="110"/>
        </w:rPr>
        <w:t>以</w:t>
      </w:r>
      <w:r>
        <w:rPr>
          <w:spacing w:val="-23"/>
          <w:w w:val="80"/>
        </w:rPr>
        <w:t xml:space="preserve">％ </w:t>
      </w:r>
      <w:r>
        <w:rPr>
          <w:spacing w:val="3"/>
          <w:w w:val="110"/>
        </w:rPr>
        <w:t>表示</w:t>
      </w:r>
      <w:r>
        <w:rPr>
          <w:rFonts w:hint="eastAsia" w:ascii="MS UI Gothic" w:eastAsia="MS UI Gothic"/>
          <w:w w:val="80"/>
        </w:rPr>
        <w:t>ꎮ</w:t>
      </w:r>
    </w:p>
    <w:p>
      <w:pPr>
        <w:pStyle w:val="6"/>
        <w:spacing w:line="295" w:lineRule="auto"/>
        <w:ind w:left="440" w:right="1"/>
        <w:rPr>
          <w:rFonts w:hint="eastAsia" w:ascii="MS UI Gothic" w:eastAsia="MS UI Gothic"/>
        </w:rPr>
      </w:pPr>
      <w:r>
        <w:t>瓦斯涌出 由受采动影响的煤层</w:t>
      </w:r>
      <w:r>
        <w:rPr>
          <w:rFonts w:hint="eastAsia" w:ascii="MS UI Gothic" w:eastAsia="MS UI Gothic"/>
          <w:w w:val="80"/>
        </w:rPr>
        <w:t xml:space="preserve">、 </w:t>
      </w:r>
      <w:r>
        <w:t>岩层</w:t>
      </w:r>
      <w:r>
        <w:rPr>
          <w:rFonts w:hint="eastAsia" w:ascii="MS UI Gothic" w:eastAsia="MS UI Gothic"/>
          <w:w w:val="80"/>
        </w:rPr>
        <w:t xml:space="preserve">ꎬ </w:t>
      </w:r>
      <w:r>
        <w:t>以及由采落的煤</w:t>
      </w:r>
      <w:r>
        <w:rPr>
          <w:rFonts w:hint="eastAsia" w:ascii="MS UI Gothic" w:eastAsia="MS UI Gothic"/>
          <w:w w:val="80"/>
        </w:rPr>
        <w:t xml:space="preserve">、 </w:t>
      </w:r>
      <w:r>
        <w:t>矸石向井下空间均匀地放出瓦斯的现象</w:t>
      </w:r>
      <w:r>
        <w:rPr>
          <w:rFonts w:hint="eastAsia" w:ascii="MS UI Gothic" w:eastAsia="MS UI Gothic"/>
          <w:w w:val="80"/>
        </w:rPr>
        <w:t>ꎮ</w:t>
      </w:r>
    </w:p>
    <w:p>
      <w:pPr>
        <w:pStyle w:val="6"/>
        <w:spacing w:line="292" w:lineRule="auto"/>
        <w:ind w:left="440" w:right="1"/>
        <w:rPr>
          <w:rFonts w:hint="eastAsia" w:ascii="MS UI Gothic" w:eastAsia="MS UI Gothic"/>
        </w:rPr>
      </w:pPr>
      <w:r>
        <w:rPr>
          <w:spacing w:val="11"/>
        </w:rPr>
        <w:t xml:space="preserve">瓦斯 </w:t>
      </w:r>
      <w:r>
        <w:rPr>
          <w:rFonts w:hint="eastAsia" w:ascii="MS UI Gothic" w:eastAsia="MS UI Gothic"/>
          <w:spacing w:val="-25"/>
          <w:w w:val="140"/>
        </w:rPr>
        <w:t xml:space="preserve">( </w:t>
      </w:r>
      <w:r>
        <w:rPr>
          <w:spacing w:val="16"/>
        </w:rPr>
        <w:t>二氧化碳</w:t>
      </w:r>
      <w:r>
        <w:rPr>
          <w:rFonts w:hint="eastAsia" w:ascii="MS UI Gothic" w:eastAsia="MS UI Gothic"/>
          <w:spacing w:val="38"/>
          <w:w w:val="140"/>
        </w:rPr>
        <w:t xml:space="preserve">) </w:t>
      </w:r>
      <w:r>
        <w:rPr>
          <w:spacing w:val="21"/>
        </w:rPr>
        <w:t>喷出 从煤体或</w:t>
      </w:r>
      <w:r>
        <w:rPr>
          <w:spacing w:val="4"/>
        </w:rPr>
        <w:t>岩体裂隙</w:t>
      </w:r>
      <w:r>
        <w:rPr>
          <w:rFonts w:hint="eastAsia" w:ascii="MS UI Gothic" w:eastAsia="MS UI Gothic"/>
          <w:spacing w:val="11"/>
        </w:rPr>
        <w:t xml:space="preserve">、 </w:t>
      </w:r>
      <w:r>
        <w:rPr>
          <w:spacing w:val="20"/>
        </w:rPr>
        <w:t xml:space="preserve">孔洞或炮眼中大量瓦斯 </w:t>
      </w:r>
      <w:r>
        <w:rPr>
          <w:rFonts w:hint="eastAsia" w:ascii="MS UI Gothic" w:eastAsia="MS UI Gothic"/>
          <w:spacing w:val="-22"/>
          <w:w w:val="140"/>
        </w:rPr>
        <w:t xml:space="preserve">( </w:t>
      </w:r>
      <w:r>
        <w:rPr>
          <w:spacing w:val="-11"/>
        </w:rPr>
        <w:t>二</w:t>
      </w:r>
      <w:r>
        <w:rPr>
          <w:spacing w:val="1"/>
        </w:rPr>
        <w:t>氧化碳</w:t>
      </w:r>
      <w:r>
        <w:rPr>
          <w:rFonts w:hint="eastAsia" w:ascii="MS UI Gothic" w:eastAsia="MS UI Gothic"/>
          <w:spacing w:val="17"/>
          <w:w w:val="140"/>
        </w:rPr>
        <w:t xml:space="preserve">) </w:t>
      </w:r>
      <w:r>
        <w:rPr>
          <w:spacing w:val="-3"/>
        </w:rPr>
        <w:t xml:space="preserve">异常涌出的现象 </w:t>
      </w:r>
      <w:r>
        <w:rPr>
          <w:rFonts w:hint="eastAsia" w:ascii="MS UI Gothic" w:eastAsia="MS UI Gothic"/>
          <w:spacing w:val="51"/>
        </w:rPr>
        <w:t xml:space="preserve"> </w:t>
      </w:r>
      <w:r>
        <w:rPr>
          <w:spacing w:val="-23"/>
        </w:rPr>
        <w:t xml:space="preserve">在 </w:t>
      </w:r>
      <w:r>
        <w:rPr>
          <w:rFonts w:hint="eastAsia" w:ascii="MS UI Gothic" w:eastAsia="MS UI Gothic"/>
          <w:spacing w:val="6"/>
        </w:rPr>
        <w:t xml:space="preserve">２０ </w:t>
      </w:r>
      <w:r>
        <w:rPr>
          <w:rFonts w:hint="eastAsia" w:ascii="MS UI Gothic" w:eastAsia="MS UI Gothic"/>
        </w:rPr>
        <w:t xml:space="preserve">ｍ </w:t>
      </w:r>
      <w:r>
        <w:rPr>
          <w:spacing w:val="4"/>
        </w:rPr>
        <w:t>巷道</w:t>
      </w:r>
      <w:r>
        <w:rPr>
          <w:spacing w:val="3"/>
        </w:rPr>
        <w:t>范围内</w:t>
      </w:r>
      <w:r>
        <w:rPr>
          <w:rFonts w:hint="eastAsia" w:ascii="MS UI Gothic" w:eastAsia="MS UI Gothic"/>
          <w:spacing w:val="9"/>
          <w:w w:val="75"/>
        </w:rPr>
        <w:t xml:space="preserve">ꎬ </w:t>
      </w:r>
      <w:r>
        <w:rPr>
          <w:spacing w:val="-2"/>
        </w:rPr>
        <w:t xml:space="preserve">涌出瓦斯量大于或等于 </w:t>
      </w:r>
      <w:r>
        <w:rPr>
          <w:rFonts w:hint="eastAsia" w:ascii="MS UI Gothic" w:eastAsia="MS UI Gothic"/>
        </w:rPr>
        <w:t>１</w:t>
      </w:r>
      <w:r>
        <w:rPr>
          <w:rFonts w:hint="eastAsia" w:ascii="MS UI Gothic" w:eastAsia="MS UI Gothic"/>
          <w:spacing w:val="-13"/>
        </w:rPr>
        <w:t xml:space="preserve"> ０ </w:t>
      </w:r>
      <w:r>
        <w:rPr>
          <w:rFonts w:hint="eastAsia" w:ascii="MS UI Gothic" w:eastAsia="MS UI Gothic"/>
          <w:spacing w:val="3"/>
        </w:rPr>
        <w:t>ｍ</w:t>
      </w:r>
      <w:r>
        <w:rPr>
          <w:rFonts w:hint="eastAsia" w:ascii="MS UI Gothic" w:eastAsia="MS UI Gothic"/>
          <w:spacing w:val="-4"/>
          <w:position w:val="9"/>
          <w:sz w:val="12"/>
        </w:rPr>
        <w:t xml:space="preserve">３ </w:t>
      </w:r>
      <w:r>
        <w:rPr>
          <w:rFonts w:hint="eastAsia" w:ascii="MS UI Gothic" w:eastAsia="MS UI Gothic"/>
          <w:w w:val="75"/>
        </w:rPr>
        <w:t xml:space="preserve">/ </w:t>
      </w:r>
      <w:r>
        <w:rPr>
          <w:rFonts w:hint="eastAsia" w:ascii="MS UI Gothic" w:eastAsia="MS UI Gothic"/>
        </w:rPr>
        <w:t>ｍｉｎ</w:t>
      </w:r>
      <w:r>
        <w:rPr>
          <w:rFonts w:hint="eastAsia" w:ascii="MS UI Gothic" w:eastAsia="MS UI Gothic"/>
          <w:spacing w:val="14"/>
          <w:w w:val="75"/>
        </w:rPr>
        <w:t xml:space="preserve">ꎬ </w:t>
      </w:r>
      <w:r>
        <w:t xml:space="preserve">且持续时间在 </w:t>
      </w:r>
      <w:r>
        <w:rPr>
          <w:rFonts w:hint="eastAsia" w:ascii="MS UI Gothic" w:eastAsia="MS UI Gothic"/>
          <w:spacing w:val="1"/>
        </w:rPr>
        <w:t xml:space="preserve">８ </w:t>
      </w:r>
      <w:r>
        <w:rPr>
          <w:rFonts w:hint="eastAsia" w:ascii="MS UI Gothic" w:eastAsia="MS UI Gothic"/>
        </w:rPr>
        <w:t xml:space="preserve">ｈ </w:t>
      </w:r>
      <w:r>
        <w:rPr>
          <w:spacing w:val="11"/>
        </w:rPr>
        <w:t>以上时</w:t>
      </w:r>
      <w:r>
        <w:rPr>
          <w:rFonts w:hint="eastAsia" w:ascii="MS UI Gothic" w:eastAsia="MS UI Gothic"/>
          <w:spacing w:val="17"/>
          <w:w w:val="75"/>
        </w:rPr>
        <w:t xml:space="preserve">ꎬ </w:t>
      </w:r>
      <w:r>
        <w:rPr>
          <w:spacing w:val="11"/>
        </w:rPr>
        <w:t>该采掘</w:t>
      </w:r>
      <w:r>
        <w:rPr>
          <w:spacing w:val="30"/>
        </w:rPr>
        <w:t xml:space="preserve">区即定为瓦斯 </w:t>
      </w:r>
      <w:r>
        <w:rPr>
          <w:rFonts w:hint="eastAsia" w:ascii="MS UI Gothic" w:eastAsia="MS UI Gothic"/>
          <w:spacing w:val="-17"/>
          <w:w w:val="140"/>
        </w:rPr>
        <w:t xml:space="preserve">( </w:t>
      </w:r>
      <w:r>
        <w:rPr>
          <w:spacing w:val="29"/>
        </w:rPr>
        <w:t>二氧化碳</w:t>
      </w:r>
      <w:r>
        <w:rPr>
          <w:rFonts w:hint="eastAsia" w:ascii="MS UI Gothic" w:eastAsia="MS UI Gothic"/>
          <w:spacing w:val="12"/>
          <w:w w:val="140"/>
        </w:rPr>
        <w:t xml:space="preserve">) </w:t>
      </w:r>
      <w:r>
        <w:rPr>
          <w:spacing w:val="24"/>
        </w:rPr>
        <w:t>喷出危险</w:t>
      </w:r>
      <w:r>
        <w:rPr>
          <w:spacing w:val="3"/>
        </w:rPr>
        <w:t>区域</w:t>
      </w:r>
      <w:r>
        <w:rPr>
          <w:rFonts w:hint="eastAsia" w:ascii="MS UI Gothic" w:eastAsia="MS UI Gothic"/>
          <w:w w:val="75"/>
        </w:rPr>
        <w:t>ꎮ</w:t>
      </w:r>
    </w:p>
    <w:p>
      <w:pPr>
        <w:pStyle w:val="6"/>
        <w:tabs>
          <w:tab w:val="left" w:pos="2746"/>
        </w:tabs>
        <w:spacing w:line="295" w:lineRule="auto"/>
        <w:ind w:left="440" w:right="1"/>
        <w:jc w:val="left"/>
        <w:rPr>
          <w:rFonts w:hint="eastAsia" w:ascii="MS UI Gothic" w:eastAsia="MS UI Gothic"/>
        </w:rPr>
      </w:pPr>
      <w:r>
        <w:rPr>
          <w:spacing w:val="3"/>
          <w:w w:val="105"/>
        </w:rPr>
        <w:t>煤尘爆炸危险煤</w:t>
      </w:r>
      <w:r>
        <w:rPr>
          <w:w w:val="105"/>
        </w:rPr>
        <w:t>层</w:t>
      </w:r>
      <w:r>
        <w:rPr>
          <w:w w:val="105"/>
        </w:rPr>
        <w:tab/>
      </w:r>
      <w:r>
        <w:rPr>
          <w:spacing w:val="3"/>
        </w:rPr>
        <w:t>经煤尘爆炸性</w:t>
      </w:r>
      <w:r>
        <w:rPr>
          <w:spacing w:val="-14"/>
        </w:rPr>
        <w:t>试</w:t>
      </w:r>
      <w:r>
        <w:rPr>
          <w:spacing w:val="3"/>
          <w:w w:val="105"/>
        </w:rPr>
        <w:t>验鉴定证明其煤尘有爆炸性的煤层</w:t>
      </w:r>
      <w:r>
        <w:rPr>
          <w:rFonts w:hint="eastAsia" w:ascii="MS UI Gothic" w:eastAsia="MS UI Gothic"/>
          <w:w w:val="80"/>
        </w:rPr>
        <w:t>ꎮ</w:t>
      </w:r>
    </w:p>
    <w:p>
      <w:pPr>
        <w:pStyle w:val="6"/>
        <w:spacing w:line="295" w:lineRule="auto"/>
        <w:ind w:left="440" w:right="1"/>
        <w:rPr>
          <w:rFonts w:hint="eastAsia" w:ascii="MS UI Gothic" w:eastAsia="MS UI Gothic"/>
        </w:rPr>
      </w:pPr>
      <w:r>
        <w:t>岩粉 专门生产的</w:t>
      </w:r>
      <w:r>
        <w:rPr>
          <w:rFonts w:hint="eastAsia" w:ascii="MS UI Gothic" w:eastAsia="MS UI Gothic"/>
          <w:w w:val="80"/>
        </w:rPr>
        <w:t xml:space="preserve">、 </w:t>
      </w:r>
      <w:r>
        <w:t>用于防止爆炸及其传播的惰性粉末</w:t>
      </w:r>
      <w:r>
        <w:rPr>
          <w:rFonts w:hint="eastAsia" w:ascii="MS UI Gothic" w:eastAsia="MS UI Gothic"/>
          <w:w w:val="80"/>
        </w:rPr>
        <w:t>ꎮ</w:t>
      </w:r>
    </w:p>
    <w:p>
      <w:pPr>
        <w:pStyle w:val="6"/>
        <w:tabs>
          <w:tab w:val="left" w:pos="3103"/>
        </w:tabs>
        <w:spacing w:line="255" w:lineRule="exact"/>
        <w:ind w:left="860" w:firstLine="0"/>
        <w:jc w:val="left"/>
      </w:pPr>
      <w:r>
        <w:rPr>
          <w:w w:val="115"/>
        </w:rPr>
        <w:t>煤</w:t>
      </w:r>
      <w:r>
        <w:rPr>
          <w:spacing w:val="-48"/>
          <w:w w:val="115"/>
        </w:rPr>
        <w:t xml:space="preserve"> </w:t>
      </w:r>
      <w:r>
        <w:rPr>
          <w:rFonts w:hint="eastAsia" w:ascii="MS UI Gothic" w:eastAsia="MS UI Gothic"/>
          <w:w w:val="150"/>
        </w:rPr>
        <w:t>(</w:t>
      </w:r>
      <w:r>
        <w:rPr>
          <w:rFonts w:hint="eastAsia" w:ascii="MS UI Gothic" w:eastAsia="MS UI Gothic"/>
          <w:spacing w:val="-78"/>
          <w:w w:val="150"/>
        </w:rPr>
        <w:t xml:space="preserve"> </w:t>
      </w:r>
      <w:r>
        <w:rPr>
          <w:spacing w:val="13"/>
          <w:w w:val="115"/>
        </w:rPr>
        <w:t>岩</w:t>
      </w:r>
      <w:r>
        <w:rPr>
          <w:rFonts w:hint="eastAsia" w:ascii="MS UI Gothic" w:eastAsia="MS UI Gothic"/>
          <w:w w:val="150"/>
        </w:rPr>
        <w:t>)</w:t>
      </w:r>
      <w:r>
        <w:rPr>
          <w:rFonts w:hint="eastAsia" w:ascii="MS UI Gothic" w:eastAsia="MS UI Gothic"/>
          <w:spacing w:val="-7"/>
          <w:w w:val="150"/>
        </w:rPr>
        <w:t xml:space="preserve"> </w:t>
      </w:r>
      <w:r>
        <w:rPr>
          <w:spacing w:val="17"/>
          <w:w w:val="115"/>
        </w:rPr>
        <w:t>与瓦斯突</w:t>
      </w:r>
      <w:r>
        <w:rPr>
          <w:w w:val="115"/>
        </w:rPr>
        <w:t>出</w:t>
      </w:r>
      <w:r>
        <w:rPr>
          <w:w w:val="115"/>
        </w:rPr>
        <w:tab/>
      </w:r>
      <w:r>
        <w:rPr>
          <w:spacing w:val="19"/>
        </w:rPr>
        <w:t>在地应力</w:t>
      </w:r>
      <w:r>
        <w:rPr>
          <w:spacing w:val="-16"/>
        </w:rPr>
        <w:t>和</w:t>
      </w:r>
    </w:p>
    <w:p>
      <w:pPr>
        <w:pStyle w:val="6"/>
        <w:spacing w:before="124" w:line="295" w:lineRule="auto"/>
        <w:ind w:left="381" w:right="126" w:firstLine="0"/>
        <w:rPr>
          <w:rFonts w:hint="eastAsia" w:ascii="MS UI Gothic" w:eastAsia="MS UI Gothic"/>
        </w:rPr>
      </w:pPr>
      <w:r>
        <w:br w:type="column"/>
      </w:r>
      <w:r>
        <w:t>瓦斯的共同作用下</w:t>
      </w:r>
      <w:r>
        <w:rPr>
          <w:rFonts w:hint="eastAsia" w:ascii="MS UI Gothic" w:eastAsia="MS UI Gothic"/>
          <w:w w:val="80"/>
        </w:rPr>
        <w:t xml:space="preserve">ꎬ </w:t>
      </w:r>
      <w:r>
        <w:t>破碎的煤</w:t>
      </w:r>
      <w:r>
        <w:rPr>
          <w:rFonts w:hint="eastAsia" w:ascii="MS UI Gothic" w:eastAsia="MS UI Gothic"/>
          <w:w w:val="80"/>
        </w:rPr>
        <w:t xml:space="preserve">、 </w:t>
      </w:r>
      <w:r>
        <w:t>岩和瓦斯由煤体或岩体内突然向采掘空间抛出的异常的动力现象</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保护层 为消除或削弱相邻煤层的突</w:t>
      </w:r>
      <w:r>
        <w:rPr>
          <w:spacing w:val="24"/>
        </w:rPr>
        <w:t>出或冲击地压危险而先开采的煤层或</w:t>
      </w:r>
      <w:r>
        <w:rPr>
          <w:spacing w:val="3"/>
          <w:w w:val="105"/>
        </w:rPr>
        <w:t>矿层</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11"/>
          <w:w w:val="110"/>
        </w:rPr>
        <w:t xml:space="preserve">石门揭煤 石门自底 </w:t>
      </w:r>
      <w:r>
        <w:rPr>
          <w:rFonts w:hint="eastAsia" w:ascii="MS UI Gothic" w:eastAsia="MS UI Gothic"/>
          <w:spacing w:val="-34"/>
          <w:w w:val="150"/>
        </w:rPr>
        <w:t xml:space="preserve">( </w:t>
      </w:r>
      <w:r>
        <w:rPr>
          <w:spacing w:val="15"/>
          <w:w w:val="110"/>
        </w:rPr>
        <w:t>顶</w:t>
      </w:r>
      <w:r>
        <w:rPr>
          <w:rFonts w:hint="eastAsia" w:ascii="MS UI Gothic" w:eastAsia="MS UI Gothic"/>
          <w:spacing w:val="4"/>
          <w:w w:val="150"/>
        </w:rPr>
        <w:t xml:space="preserve">) </w:t>
      </w:r>
      <w:r>
        <w:rPr>
          <w:spacing w:val="9"/>
          <w:w w:val="110"/>
        </w:rPr>
        <w:t>板岩柱</w:t>
      </w:r>
      <w:r>
        <w:rPr>
          <w:spacing w:val="14"/>
          <w:w w:val="110"/>
        </w:rPr>
        <w:t xml:space="preserve">穿过煤层进入顶 </w:t>
      </w:r>
      <w:r>
        <w:rPr>
          <w:rFonts w:hint="eastAsia" w:ascii="MS UI Gothic" w:eastAsia="MS UI Gothic"/>
          <w:spacing w:val="-37"/>
          <w:w w:val="150"/>
        </w:rPr>
        <w:t xml:space="preserve">( </w:t>
      </w:r>
      <w:r>
        <w:rPr>
          <w:spacing w:val="21"/>
          <w:w w:val="110"/>
        </w:rPr>
        <w:t>底</w:t>
      </w:r>
      <w:r>
        <w:rPr>
          <w:rFonts w:hint="eastAsia" w:ascii="MS UI Gothic" w:eastAsia="MS UI Gothic"/>
          <w:spacing w:val="-13"/>
          <w:w w:val="150"/>
        </w:rPr>
        <w:t xml:space="preserve">) </w:t>
      </w:r>
      <w:r>
        <w:rPr>
          <w:spacing w:val="26"/>
          <w:w w:val="110"/>
        </w:rPr>
        <w:t>板的全部作业</w:t>
      </w:r>
      <w:r>
        <w:rPr>
          <w:spacing w:val="3"/>
          <w:w w:val="110"/>
        </w:rPr>
        <w:t>过程</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水淹区域 被水淹没的井巷和被水淹没的老空的总称</w:t>
      </w:r>
      <w:r>
        <w:rPr>
          <w:rFonts w:hint="eastAsia" w:ascii="MS UI Gothic" w:eastAsia="MS UI Gothic"/>
          <w:w w:val="80"/>
        </w:rPr>
        <w:t>ꎮ</w:t>
      </w:r>
    </w:p>
    <w:p>
      <w:pPr>
        <w:pStyle w:val="6"/>
        <w:spacing w:line="295" w:lineRule="auto"/>
        <w:ind w:left="381" w:right="126"/>
        <w:rPr>
          <w:rFonts w:hint="eastAsia" w:ascii="MS UI Gothic" w:eastAsia="MS UI Gothic"/>
        </w:rPr>
      </w:pPr>
      <w:r>
        <w:t>矿井正常涌水量 矿井开采期间</w:t>
      </w:r>
      <w:r>
        <w:rPr>
          <w:rFonts w:hint="eastAsia" w:ascii="MS UI Gothic" w:eastAsia="MS UI Gothic"/>
          <w:w w:val="80"/>
        </w:rPr>
        <w:t xml:space="preserve">ꎬ </w:t>
      </w:r>
      <w:r>
        <w:t>单位时间内流入矿井的水量</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矿井最大涌水量 矿井开采期间</w:t>
      </w:r>
      <w:r>
        <w:rPr>
          <w:rFonts w:hint="eastAsia" w:ascii="MS UI Gothic" w:eastAsia="MS UI Gothic"/>
          <w:spacing w:val="7"/>
          <w:w w:val="80"/>
        </w:rPr>
        <w:t xml:space="preserve">ꎬ </w:t>
      </w:r>
      <w:r>
        <w:t>正</w:t>
      </w:r>
      <w:r>
        <w:rPr>
          <w:spacing w:val="4"/>
        </w:rPr>
        <w:t>常情况下矿井涌水量的高峰值</w:t>
      </w:r>
      <w:r>
        <w:rPr>
          <w:rFonts w:hint="eastAsia" w:ascii="MS UI Gothic" w:eastAsia="MS UI Gothic"/>
          <w:spacing w:val="58"/>
        </w:rPr>
        <w:t xml:space="preserve"> </w:t>
      </w:r>
      <w:r>
        <w:rPr>
          <w:spacing w:val="3"/>
        </w:rPr>
        <w:t>主要与人为条件和降雨量有关</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安全水头值 隔水层能承受含水层的</w:t>
      </w:r>
      <w:r>
        <w:rPr>
          <w:spacing w:val="3"/>
          <w:w w:val="105"/>
        </w:rPr>
        <w:t>最大水头压力值</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10"/>
        </w:rPr>
        <w:t>不燃性材料  受到火焰或高温作用</w:t>
      </w:r>
      <w:r>
        <w:rPr>
          <w:spacing w:val="3"/>
        </w:rPr>
        <w:t>时</w:t>
      </w:r>
      <w:r>
        <w:rPr>
          <w:rFonts w:hint="eastAsia" w:ascii="MS UI Gothic" w:eastAsia="MS UI Gothic"/>
          <w:spacing w:val="23"/>
          <w:w w:val="80"/>
        </w:rPr>
        <w:t xml:space="preserve">ꎬ </w:t>
      </w:r>
      <w:r>
        <w:rPr>
          <w:spacing w:val="3"/>
        </w:rPr>
        <w:t>不着火</w:t>
      </w:r>
      <w:r>
        <w:rPr>
          <w:rFonts w:hint="eastAsia" w:ascii="MS UI Gothic" w:eastAsia="MS UI Gothic"/>
          <w:spacing w:val="23"/>
          <w:w w:val="80"/>
        </w:rPr>
        <w:t xml:space="preserve">、 </w:t>
      </w:r>
      <w:r>
        <w:rPr>
          <w:spacing w:val="3"/>
        </w:rPr>
        <w:t>不冒烟</w:t>
      </w:r>
      <w:r>
        <w:rPr>
          <w:rFonts w:hint="eastAsia" w:ascii="MS UI Gothic" w:eastAsia="MS UI Gothic"/>
          <w:spacing w:val="24"/>
          <w:w w:val="80"/>
        </w:rPr>
        <w:t xml:space="preserve">、 </w:t>
      </w:r>
      <w:r>
        <w:rPr>
          <w:spacing w:val="3"/>
        </w:rPr>
        <w:t>也不被烧焦者</w:t>
      </w:r>
      <w:r>
        <w:rPr>
          <w:rFonts w:hint="eastAsia" w:ascii="MS UI Gothic" w:eastAsia="MS UI Gothic"/>
          <w:spacing w:val="23"/>
          <w:w w:val="80"/>
        </w:rPr>
        <w:t xml:space="preserve">ꎬ </w:t>
      </w:r>
      <w:r>
        <w:t>包</w:t>
      </w:r>
      <w:r>
        <w:rPr>
          <w:spacing w:val="2"/>
        </w:rPr>
        <w:t>括所有天然和人工的无机材料以及建筑中</w:t>
      </w:r>
      <w:r>
        <w:rPr>
          <w:spacing w:val="3"/>
        </w:rPr>
        <w:t>所用的金属材料</w:t>
      </w:r>
      <w:r>
        <w:rPr>
          <w:rFonts w:hint="eastAsia" w:ascii="MS UI Gothic" w:eastAsia="MS UI Gothic"/>
          <w:w w:val="80"/>
        </w:rPr>
        <w:t>ꎮ</w:t>
      </w:r>
    </w:p>
    <w:p>
      <w:pPr>
        <w:pStyle w:val="6"/>
        <w:spacing w:line="295" w:lineRule="auto"/>
        <w:ind w:left="381" w:right="126"/>
        <w:rPr>
          <w:rFonts w:hint="eastAsia" w:ascii="MS UI Gothic" w:eastAsia="MS UI Gothic"/>
        </w:rPr>
      </w:pPr>
      <w:r>
        <w:t xml:space="preserve">永久性爆炸物品库 使用期限在 </w:t>
      </w:r>
      <w:r>
        <w:rPr>
          <w:rFonts w:hint="eastAsia" w:ascii="MS UI Gothic" w:eastAsia="MS UI Gothic"/>
          <w:w w:val="80"/>
        </w:rPr>
        <w:t xml:space="preserve">２ </w:t>
      </w:r>
      <w:r>
        <w:t>年以上的爆炸物品库</w:t>
      </w:r>
      <w:r>
        <w:rPr>
          <w:rFonts w:hint="eastAsia" w:ascii="MS UI Gothic" w:eastAsia="MS UI Gothic"/>
          <w:w w:val="80"/>
        </w:rPr>
        <w:t>ꎮ</w:t>
      </w:r>
    </w:p>
    <w:p>
      <w:pPr>
        <w:pStyle w:val="6"/>
        <w:spacing w:line="295" w:lineRule="auto"/>
        <w:ind w:left="381" w:right="126"/>
        <w:rPr>
          <w:rFonts w:hint="eastAsia" w:ascii="MS UI Gothic" w:eastAsia="MS UI Gothic"/>
        </w:rPr>
      </w:pPr>
      <w:r>
        <w:t>瞬发电雷管  通电后瞬时爆炸的电雷管</w:t>
      </w:r>
      <w:r>
        <w:rPr>
          <w:rFonts w:hint="eastAsia" w:ascii="MS UI Gothic" w:eastAsia="MS UI Gothic"/>
          <w:w w:val="80"/>
        </w:rPr>
        <w:t>ꎮ</w:t>
      </w:r>
    </w:p>
    <w:p>
      <w:pPr>
        <w:pStyle w:val="6"/>
        <w:spacing w:line="295" w:lineRule="auto"/>
        <w:ind w:left="381" w:right="126"/>
        <w:rPr>
          <w:rFonts w:hint="eastAsia" w:ascii="MS UI Gothic" w:eastAsia="MS UI Gothic"/>
        </w:rPr>
      </w:pPr>
      <w:r>
        <w:t>延期电雷管 通电后隔一定时间爆炸的电雷管</w:t>
      </w:r>
      <w:r>
        <w:rPr>
          <w:rFonts w:hint="eastAsia" w:ascii="MS UI Gothic" w:eastAsia="MS UI Gothic"/>
          <w:w w:val="80"/>
        </w:rPr>
        <w:t xml:space="preserve">ꎻ </w:t>
      </w:r>
      <w:r>
        <w:t>按延期间隔时间不同</w:t>
      </w:r>
      <w:r>
        <w:rPr>
          <w:rFonts w:hint="eastAsia" w:ascii="MS UI Gothic" w:eastAsia="MS UI Gothic"/>
          <w:w w:val="80"/>
        </w:rPr>
        <w:t xml:space="preserve">ꎬ </w:t>
      </w:r>
      <w:r>
        <w:t>分秒延期电雷管和毫秒延期电雷管</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最小抵抗线 从装药重心到自由面的</w:t>
      </w:r>
      <w:r>
        <w:rPr>
          <w:spacing w:val="3"/>
          <w:w w:val="105"/>
        </w:rPr>
        <w:t>最短距离</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正向起爆 起爆药包位于柱状装药的</w:t>
      </w:r>
      <w:r>
        <w:rPr>
          <w:spacing w:val="3"/>
        </w:rPr>
        <w:t>外端</w:t>
      </w:r>
      <w:r>
        <w:rPr>
          <w:rFonts w:hint="eastAsia" w:ascii="MS UI Gothic" w:eastAsia="MS UI Gothic"/>
          <w:spacing w:val="23"/>
          <w:w w:val="80"/>
        </w:rPr>
        <w:t xml:space="preserve">ꎬ </w:t>
      </w:r>
      <w:r>
        <w:rPr>
          <w:spacing w:val="3"/>
        </w:rPr>
        <w:t>靠近炮眼口</w:t>
      </w:r>
      <w:r>
        <w:rPr>
          <w:rFonts w:hint="eastAsia" w:ascii="MS UI Gothic" w:eastAsia="MS UI Gothic"/>
          <w:spacing w:val="23"/>
          <w:w w:val="80"/>
        </w:rPr>
        <w:t xml:space="preserve">ꎬ </w:t>
      </w:r>
      <w:r>
        <w:rPr>
          <w:spacing w:val="2"/>
        </w:rPr>
        <w:t>雷管底部朝向眼底的</w:t>
      </w:r>
      <w:r>
        <w:rPr>
          <w:spacing w:val="3"/>
        </w:rPr>
        <w:t>起爆方法</w:t>
      </w:r>
      <w:r>
        <w:rPr>
          <w:rFonts w:hint="eastAsia" w:ascii="MS UI Gothic" w:eastAsia="MS UI Gothic"/>
          <w:w w:val="80"/>
        </w:rPr>
        <w:t>ꎮ</w:t>
      </w:r>
    </w:p>
    <w:p>
      <w:pPr>
        <w:pStyle w:val="6"/>
        <w:spacing w:line="295" w:lineRule="auto"/>
        <w:ind w:left="381" w:right="126"/>
        <w:rPr>
          <w:rFonts w:hint="eastAsia" w:ascii="MS UI Gothic" w:eastAsia="MS UI Gothic"/>
        </w:rPr>
      </w:pPr>
      <w:r>
        <w:t>反向起爆 起爆药包位于柱状装药的里端</w:t>
      </w:r>
      <w:r>
        <w:rPr>
          <w:rFonts w:hint="eastAsia" w:ascii="MS UI Gothic" w:eastAsia="MS UI Gothic"/>
          <w:w w:val="80"/>
        </w:rPr>
        <w:t xml:space="preserve">ꎬ </w:t>
      </w:r>
      <w:r>
        <w:t>靠近或在炮眼底</w:t>
      </w:r>
      <w:r>
        <w:rPr>
          <w:rFonts w:hint="eastAsia" w:ascii="MS UI Gothic" w:eastAsia="MS UI Gothic"/>
          <w:w w:val="80"/>
        </w:rPr>
        <w:t xml:space="preserve">ꎬ </w:t>
      </w:r>
      <w:r>
        <w:t>雷管底部朝向炮眼口的起爆方法</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裸露爆破 在岩体表面上直接贴敷炸药或再盖上泥土进行爆破的方法</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３５０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64" o:spid="_x0000_s2064" o:spt="203" style="height:2.15pt;width:398.25pt;" coordsize="7965,43">
            <o:lock v:ext="edit"/>
            <v:line id="_x0000_s2065" o:spid="_x0000_s2065" o:spt="20" style="position:absolute;left:0;top:39;height:0;width:7965;" stroked="t" coordsize="21600,21600">
              <v:path arrowok="t"/>
              <v:fill focussize="0,0"/>
              <v:stroke weight="0.388031496062992pt" color="#231F20"/>
              <v:imagedata o:title=""/>
              <o:lock v:ext="edit"/>
            </v:line>
            <v:line id="_x0000_s2066" o:spid="_x0000_s206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tabs>
          <w:tab w:val="left" w:pos="2121"/>
        </w:tabs>
        <w:spacing w:before="123" w:line="295" w:lineRule="auto"/>
        <w:ind w:right="39"/>
        <w:jc w:val="left"/>
        <w:rPr>
          <w:rFonts w:hint="eastAsia" w:ascii="MS UI Gothic" w:eastAsia="MS UI Gothic"/>
        </w:rPr>
      </w:pPr>
      <w:r>
        <w:rPr>
          <w:spacing w:val="3"/>
          <w:w w:val="105"/>
        </w:rPr>
        <w:t>拒</w:t>
      </w:r>
      <w:r>
        <w:rPr>
          <w:w w:val="105"/>
        </w:rPr>
        <w:t>爆</w:t>
      </w:r>
      <w:r>
        <w:rPr>
          <w:spacing w:val="5"/>
          <w:w w:val="105"/>
        </w:rPr>
        <w:t xml:space="preserve"> </w:t>
      </w:r>
      <w:r>
        <w:rPr>
          <w:rFonts w:hint="eastAsia" w:ascii="MS UI Gothic" w:eastAsia="MS UI Gothic"/>
          <w:w w:val="150"/>
        </w:rPr>
        <w:t>(</w:t>
      </w:r>
      <w:r>
        <w:rPr>
          <w:rFonts w:hint="eastAsia" w:ascii="MS UI Gothic" w:eastAsia="MS UI Gothic"/>
          <w:spacing w:val="-62"/>
          <w:w w:val="150"/>
        </w:rPr>
        <w:t xml:space="preserve"> </w:t>
      </w:r>
      <w:r>
        <w:rPr>
          <w:spacing w:val="21"/>
          <w:w w:val="105"/>
        </w:rPr>
        <w:t>瞎</w:t>
      </w:r>
      <w:r>
        <w:rPr>
          <w:spacing w:val="15"/>
          <w:w w:val="105"/>
        </w:rPr>
        <w:t>炮</w:t>
      </w:r>
      <w:r>
        <w:rPr>
          <w:rFonts w:hint="eastAsia" w:ascii="MS UI Gothic" w:eastAsia="MS UI Gothic"/>
          <w:w w:val="150"/>
        </w:rPr>
        <w:t>)</w:t>
      </w:r>
      <w:r>
        <w:rPr>
          <w:rFonts w:hint="eastAsia" w:ascii="MS UI Gothic" w:eastAsia="MS UI Gothic"/>
          <w:w w:val="150"/>
        </w:rPr>
        <w:tab/>
      </w:r>
      <w:r>
        <w:rPr>
          <w:spacing w:val="21"/>
          <w:w w:val="105"/>
        </w:rPr>
        <w:t>起爆</w:t>
      </w:r>
      <w:r>
        <w:rPr>
          <w:spacing w:val="3"/>
          <w:w w:val="105"/>
        </w:rPr>
        <w:t>后</w:t>
      </w:r>
      <w:r>
        <w:rPr>
          <w:rFonts w:hint="eastAsia" w:ascii="MS UI Gothic" w:eastAsia="MS UI Gothic"/>
          <w:w w:val="80"/>
        </w:rPr>
        <w:t>ꎬ</w:t>
      </w:r>
      <w:r>
        <w:rPr>
          <w:rFonts w:hint="eastAsia" w:ascii="MS UI Gothic" w:eastAsia="MS UI Gothic"/>
          <w:spacing w:val="-4"/>
          <w:w w:val="80"/>
        </w:rPr>
        <w:t xml:space="preserve"> </w:t>
      </w:r>
      <w:r>
        <w:rPr>
          <w:spacing w:val="21"/>
          <w:w w:val="105"/>
        </w:rPr>
        <w:t>爆炸材</w:t>
      </w:r>
      <w:r>
        <w:rPr>
          <w:spacing w:val="-14"/>
          <w:w w:val="105"/>
        </w:rPr>
        <w:t>料</w:t>
      </w:r>
      <w:r>
        <w:rPr>
          <w:spacing w:val="3"/>
          <w:w w:val="105"/>
        </w:rPr>
        <w:t>未发生爆炸的现象</w:t>
      </w:r>
      <w:r>
        <w:rPr>
          <w:rFonts w:hint="eastAsia" w:ascii="MS UI Gothic" w:eastAsia="MS UI Gothic"/>
          <w:w w:val="80"/>
        </w:rPr>
        <w:t>ꎮ</w:t>
      </w:r>
    </w:p>
    <w:p>
      <w:pPr>
        <w:pStyle w:val="6"/>
        <w:tabs>
          <w:tab w:val="left" w:pos="2787"/>
        </w:tabs>
        <w:spacing w:line="295" w:lineRule="auto"/>
        <w:ind w:right="39"/>
        <w:jc w:val="left"/>
        <w:rPr>
          <w:rFonts w:hint="eastAsia" w:ascii="MS UI Gothic" w:eastAsia="MS UI Gothic"/>
        </w:rPr>
      </w:pPr>
      <w:r>
        <w:rPr>
          <w:spacing w:val="3"/>
          <w:w w:val="110"/>
        </w:rPr>
        <w:t>熄</w:t>
      </w:r>
      <w:r>
        <w:rPr>
          <w:w w:val="110"/>
        </w:rPr>
        <w:t>爆</w:t>
      </w:r>
      <w:r>
        <w:rPr>
          <w:spacing w:val="-29"/>
          <w:w w:val="110"/>
        </w:rPr>
        <w:t xml:space="preserve"> </w:t>
      </w:r>
      <w:r>
        <w:rPr>
          <w:rFonts w:hint="eastAsia" w:ascii="MS UI Gothic" w:eastAsia="MS UI Gothic"/>
          <w:w w:val="150"/>
        </w:rPr>
        <w:t>(</w:t>
      </w:r>
      <w:r>
        <w:rPr>
          <w:rFonts w:hint="eastAsia" w:ascii="MS UI Gothic" w:eastAsia="MS UI Gothic"/>
          <w:spacing w:val="-69"/>
          <w:w w:val="150"/>
        </w:rPr>
        <w:t xml:space="preserve"> </w:t>
      </w:r>
      <w:r>
        <w:rPr>
          <w:spacing w:val="17"/>
          <w:w w:val="110"/>
        </w:rPr>
        <w:t>不完全爆</w:t>
      </w:r>
      <w:r>
        <w:rPr>
          <w:spacing w:val="13"/>
          <w:w w:val="110"/>
        </w:rPr>
        <w:t>炸</w:t>
      </w:r>
      <w:r>
        <w:rPr>
          <w:rFonts w:hint="eastAsia" w:ascii="MS UI Gothic" w:eastAsia="MS UI Gothic"/>
          <w:w w:val="150"/>
        </w:rPr>
        <w:t>)</w:t>
      </w:r>
      <w:r>
        <w:rPr>
          <w:rFonts w:hint="eastAsia" w:ascii="MS UI Gothic" w:eastAsia="MS UI Gothic"/>
          <w:w w:val="150"/>
        </w:rPr>
        <w:tab/>
      </w:r>
      <w:r>
        <w:rPr>
          <w:spacing w:val="19"/>
        </w:rPr>
        <w:t>爆轰波不</w:t>
      </w:r>
      <w:r>
        <w:rPr>
          <w:spacing w:val="-16"/>
        </w:rPr>
        <w:t>能</w:t>
      </w:r>
      <w:r>
        <w:rPr>
          <w:spacing w:val="3"/>
          <w:w w:val="110"/>
        </w:rPr>
        <w:t>沿炸药继续传播而中止的现象</w:t>
      </w:r>
      <w:r>
        <w:rPr>
          <w:rFonts w:hint="eastAsia" w:ascii="MS UI Gothic" w:eastAsia="MS UI Gothic"/>
          <w:w w:val="80"/>
        </w:rPr>
        <w:t>ꎮ</w:t>
      </w:r>
    </w:p>
    <w:p>
      <w:pPr>
        <w:pStyle w:val="6"/>
        <w:tabs>
          <w:tab w:val="left" w:pos="1172"/>
        </w:tabs>
        <w:spacing w:line="295" w:lineRule="auto"/>
        <w:ind w:right="39"/>
        <w:jc w:val="left"/>
        <w:rPr>
          <w:rFonts w:hint="eastAsia" w:ascii="MS UI Gothic" w:eastAsia="MS UI Gothic"/>
        </w:rPr>
      </w:pPr>
      <w:r>
        <w:rPr>
          <w:spacing w:val="3"/>
        </w:rPr>
        <w:t>机</w:t>
      </w:r>
      <w:r>
        <w:t>车</w:t>
      </w:r>
      <w:r>
        <w:tab/>
      </w:r>
      <w:r>
        <w:rPr>
          <w:spacing w:val="3"/>
        </w:rPr>
        <w:t>架线电机车</w:t>
      </w:r>
      <w:r>
        <w:rPr>
          <w:rFonts w:hint="eastAsia" w:ascii="MS UI Gothic" w:eastAsia="MS UI Gothic"/>
          <w:w w:val="80"/>
        </w:rPr>
        <w:t>、</w:t>
      </w:r>
      <w:r>
        <w:rPr>
          <w:rFonts w:hint="eastAsia" w:ascii="MS UI Gothic" w:eastAsia="MS UI Gothic"/>
          <w:spacing w:val="34"/>
          <w:w w:val="80"/>
        </w:rPr>
        <w:t xml:space="preserve"> </w:t>
      </w:r>
      <w:r>
        <w:rPr>
          <w:spacing w:val="3"/>
        </w:rPr>
        <w:t>蒸汽机车</w:t>
      </w:r>
      <w:r>
        <w:rPr>
          <w:rFonts w:hint="eastAsia" w:ascii="MS UI Gothic" w:eastAsia="MS UI Gothic"/>
          <w:w w:val="80"/>
        </w:rPr>
        <w:t>、</w:t>
      </w:r>
      <w:r>
        <w:rPr>
          <w:rFonts w:hint="eastAsia" w:ascii="MS UI Gothic" w:eastAsia="MS UI Gothic"/>
          <w:spacing w:val="35"/>
          <w:w w:val="80"/>
        </w:rPr>
        <w:t xml:space="preserve"> </w:t>
      </w:r>
      <w:r>
        <w:rPr>
          <w:spacing w:val="3"/>
        </w:rPr>
        <w:t>蓄</w:t>
      </w:r>
      <w:r>
        <w:t>电</w:t>
      </w:r>
      <w:r>
        <w:rPr>
          <w:spacing w:val="3"/>
        </w:rPr>
        <w:t>池电机车和内燃机车的总称</w:t>
      </w:r>
      <w:r>
        <w:rPr>
          <w:rFonts w:hint="eastAsia" w:ascii="MS UI Gothic" w:eastAsia="MS UI Gothic"/>
          <w:w w:val="80"/>
        </w:rPr>
        <w:t>ꎮ</w:t>
      </w:r>
    </w:p>
    <w:p>
      <w:pPr>
        <w:pStyle w:val="6"/>
        <w:spacing w:line="295" w:lineRule="auto"/>
        <w:ind w:right="39"/>
        <w:rPr>
          <w:rFonts w:hint="eastAsia" w:ascii="MS UI Gothic" w:eastAsia="MS UI Gothic"/>
        </w:rPr>
      </w:pPr>
      <w:r>
        <w:t>电机车 架线电机车和蓄电池电机车的总称</w:t>
      </w:r>
      <w:r>
        <w:rPr>
          <w:rFonts w:hint="eastAsia" w:ascii="MS UI Gothic" w:eastAsia="MS UI Gothic"/>
          <w:w w:val="80"/>
        </w:rPr>
        <w:t>ꎮ</w:t>
      </w:r>
    </w:p>
    <w:p>
      <w:pPr>
        <w:pStyle w:val="6"/>
        <w:spacing w:line="295" w:lineRule="auto"/>
        <w:ind w:right="39"/>
        <w:rPr>
          <w:rFonts w:hint="eastAsia" w:ascii="MS UI Gothic" w:eastAsia="MS UI Gothic"/>
        </w:rPr>
      </w:pPr>
      <w:r>
        <w:rPr>
          <w:w w:val="105"/>
        </w:rPr>
        <w:t>单轨吊车 在悬吊的单轨上运行</w:t>
      </w:r>
      <w:r>
        <w:rPr>
          <w:rFonts w:hint="eastAsia" w:ascii="MS UI Gothic" w:eastAsia="MS UI Gothic"/>
          <w:w w:val="80"/>
        </w:rPr>
        <w:t xml:space="preserve">ꎬ </w:t>
      </w:r>
      <w:r>
        <w:rPr>
          <w:w w:val="105"/>
        </w:rPr>
        <w:t xml:space="preserve">由驱动车或牵引车 </w:t>
      </w:r>
      <w:r>
        <w:rPr>
          <w:rFonts w:hint="eastAsia" w:ascii="MS UI Gothic" w:eastAsia="MS UI Gothic"/>
          <w:w w:val="150"/>
        </w:rPr>
        <w:t xml:space="preserve">( </w:t>
      </w:r>
      <w:r>
        <w:rPr>
          <w:w w:val="105"/>
        </w:rPr>
        <w:t>钢丝绳牵引用</w:t>
      </w:r>
      <w:r>
        <w:rPr>
          <w:rFonts w:hint="eastAsia" w:ascii="MS UI Gothic" w:eastAsia="MS UI Gothic"/>
          <w:w w:val="150"/>
        </w:rPr>
        <w:t>)</w:t>
      </w:r>
      <w:r>
        <w:rPr>
          <w:rFonts w:hint="eastAsia" w:ascii="MS UI Gothic" w:eastAsia="MS UI Gothic"/>
          <w:w w:val="80"/>
        </w:rPr>
        <w:t xml:space="preserve">、 </w:t>
      </w:r>
      <w:r>
        <w:rPr>
          <w:w w:val="105"/>
        </w:rPr>
        <w:t>制动车</w:t>
      </w:r>
      <w:r>
        <w:rPr>
          <w:rFonts w:hint="eastAsia" w:ascii="MS UI Gothic" w:eastAsia="MS UI Gothic"/>
          <w:w w:val="80"/>
        </w:rPr>
        <w:t xml:space="preserve">、 </w:t>
      </w:r>
      <w:r>
        <w:rPr>
          <w:w w:val="105"/>
        </w:rPr>
        <w:t>承载车等组成的运输设备</w:t>
      </w:r>
      <w:r>
        <w:rPr>
          <w:rFonts w:hint="eastAsia" w:ascii="MS UI Gothic" w:eastAsia="MS UI Gothic"/>
          <w:w w:val="80"/>
        </w:rPr>
        <w:t>ꎮ</w:t>
      </w:r>
    </w:p>
    <w:p>
      <w:pPr>
        <w:pStyle w:val="6"/>
        <w:spacing w:line="295" w:lineRule="auto"/>
        <w:ind w:right="39"/>
        <w:rPr>
          <w:rFonts w:hint="eastAsia" w:ascii="MS UI Gothic" w:eastAsia="MS UI Gothic"/>
        </w:rPr>
      </w:pPr>
      <w:r>
        <w:t>卡轨车 装有卡轨轮</w:t>
      </w:r>
      <w:r>
        <w:rPr>
          <w:rFonts w:hint="eastAsia" w:ascii="MS UI Gothic" w:eastAsia="MS UI Gothic"/>
          <w:w w:val="80"/>
        </w:rPr>
        <w:t xml:space="preserve">ꎬ </w:t>
      </w:r>
      <w:r>
        <w:t>在轨道上行驶的车辆</w:t>
      </w:r>
      <w:r>
        <w:rPr>
          <w:rFonts w:hint="eastAsia" w:ascii="MS UI Gothic" w:eastAsia="MS UI Gothic"/>
          <w:w w:val="80"/>
        </w:rPr>
        <w:t>ꎮ</w:t>
      </w:r>
    </w:p>
    <w:p>
      <w:pPr>
        <w:pStyle w:val="6"/>
        <w:spacing w:line="295" w:lineRule="auto"/>
        <w:ind w:right="39"/>
        <w:rPr>
          <w:rFonts w:hint="eastAsia" w:ascii="MS UI Gothic" w:eastAsia="MS UI Gothic"/>
        </w:rPr>
      </w:pPr>
      <w:r>
        <w:rPr>
          <w:w w:val="105"/>
        </w:rPr>
        <w:t>齿轨机车 借助道床上的齿条与机车</w:t>
      </w:r>
      <w:r>
        <w:t>上的齿轮实现增加爬坡能力的矿用机车</w:t>
      </w:r>
      <w:r>
        <w:rPr>
          <w:rFonts w:hint="eastAsia" w:ascii="MS UI Gothic" w:eastAsia="MS UI Gothic"/>
          <w:w w:val="80"/>
        </w:rPr>
        <w:t>ꎮ</w:t>
      </w:r>
    </w:p>
    <w:p>
      <w:pPr>
        <w:pStyle w:val="6"/>
        <w:spacing w:line="295" w:lineRule="auto"/>
        <w:ind w:right="39"/>
        <w:rPr>
          <w:rFonts w:hint="eastAsia" w:ascii="MS UI Gothic" w:eastAsia="MS UI Gothic"/>
        </w:rPr>
      </w:pPr>
      <w:r>
        <w:rPr>
          <w:w w:val="105"/>
        </w:rPr>
        <w:t>胶套轮机车 钢车轮踏面包敷特种材</w:t>
      </w:r>
      <w:r>
        <w:t>料以加大粘着系数提高爬坡能力的矿用</w:t>
      </w:r>
      <w:r>
        <w:rPr>
          <w:w w:val="105"/>
        </w:rPr>
        <w:t>机车</w:t>
      </w:r>
      <w:r>
        <w:rPr>
          <w:rFonts w:hint="eastAsia" w:ascii="MS UI Gothic" w:eastAsia="MS UI Gothic"/>
          <w:w w:val="80"/>
        </w:rPr>
        <w:t>ꎮ</w:t>
      </w:r>
    </w:p>
    <w:p>
      <w:pPr>
        <w:pStyle w:val="6"/>
        <w:spacing w:line="295" w:lineRule="auto"/>
        <w:ind w:right="39"/>
        <w:rPr>
          <w:rFonts w:hint="eastAsia" w:ascii="MS UI Gothic" w:eastAsia="MS UI Gothic"/>
        </w:rPr>
      </w:pPr>
      <w:r>
        <w:t>提升装置 绞车</w:t>
      </w:r>
      <w:r>
        <w:rPr>
          <w:rFonts w:hint="eastAsia" w:ascii="MS UI Gothic" w:eastAsia="MS UI Gothic"/>
        </w:rPr>
        <w:t xml:space="preserve">、 </w:t>
      </w:r>
      <w:r>
        <w:t>摩擦轮</w:t>
      </w:r>
      <w:r>
        <w:rPr>
          <w:rFonts w:hint="eastAsia" w:ascii="MS UI Gothic" w:eastAsia="MS UI Gothic"/>
        </w:rPr>
        <w:t xml:space="preserve">、 </w:t>
      </w:r>
      <w:r>
        <w:t>天轮</w:t>
      </w:r>
      <w:r>
        <w:rPr>
          <w:rFonts w:hint="eastAsia" w:ascii="MS UI Gothic" w:eastAsia="MS UI Gothic"/>
        </w:rPr>
        <w:t xml:space="preserve">、 </w:t>
      </w:r>
      <w:r>
        <w:t>导向轮</w:t>
      </w:r>
      <w:r>
        <w:rPr>
          <w:rFonts w:hint="eastAsia" w:ascii="MS UI Gothic" w:eastAsia="MS UI Gothic"/>
        </w:rPr>
        <w:t xml:space="preserve">、 </w:t>
      </w:r>
      <w:r>
        <w:t>钢丝绳</w:t>
      </w:r>
      <w:r>
        <w:rPr>
          <w:rFonts w:hint="eastAsia" w:ascii="MS UI Gothic" w:eastAsia="MS UI Gothic"/>
        </w:rPr>
        <w:t xml:space="preserve">、 </w:t>
      </w:r>
      <w:r>
        <w:t>罐道</w:t>
      </w:r>
      <w:r>
        <w:rPr>
          <w:rFonts w:hint="eastAsia" w:ascii="MS UI Gothic" w:eastAsia="MS UI Gothic"/>
        </w:rPr>
        <w:t xml:space="preserve">、 </w:t>
      </w:r>
      <w:r>
        <w:t>提升容器和保险装置等的总称</w:t>
      </w:r>
      <w:r>
        <w:rPr>
          <w:rFonts w:hint="eastAsia" w:ascii="MS UI Gothic" w:eastAsia="MS UI Gothic"/>
          <w:w w:val="80"/>
        </w:rPr>
        <w:t>ꎮ</w:t>
      </w:r>
    </w:p>
    <w:p>
      <w:pPr>
        <w:pStyle w:val="6"/>
        <w:spacing w:line="295" w:lineRule="auto"/>
        <w:ind w:right="39"/>
        <w:rPr>
          <w:rFonts w:hint="eastAsia" w:ascii="MS UI Gothic" w:eastAsia="MS UI Gothic"/>
        </w:rPr>
      </w:pPr>
      <w:r>
        <w:rPr>
          <w:spacing w:val="4"/>
        </w:rPr>
        <w:t>主要提升装置 含有提人绞车及滚筒</w:t>
      </w:r>
      <w:r>
        <w:rPr>
          <w:spacing w:val="-11"/>
        </w:rPr>
        <w:t xml:space="preserve">直径 </w:t>
      </w:r>
      <w:r>
        <w:rPr>
          <w:rFonts w:hint="eastAsia" w:ascii="MS UI Gothic" w:eastAsia="MS UI Gothic"/>
          <w:spacing w:val="1"/>
          <w:w w:val="80"/>
        </w:rPr>
        <w:t xml:space="preserve">２ </w:t>
      </w:r>
      <w:r>
        <w:rPr>
          <w:rFonts w:hint="eastAsia" w:ascii="MS UI Gothic" w:eastAsia="MS UI Gothic"/>
          <w:w w:val="80"/>
        </w:rPr>
        <w:t>ｍ</w:t>
      </w:r>
      <w:r>
        <w:rPr>
          <w:rFonts w:hint="eastAsia" w:ascii="MS UI Gothic" w:eastAsia="MS UI Gothic"/>
          <w:spacing w:val="26"/>
          <w:w w:val="80"/>
        </w:rPr>
        <w:t xml:space="preserve"> </w:t>
      </w:r>
      <w:r>
        <w:rPr>
          <w:spacing w:val="15"/>
        </w:rPr>
        <w:t>以上的提升物料的绞车的提升</w:t>
      </w:r>
      <w:r>
        <w:rPr>
          <w:spacing w:val="3"/>
        </w:rPr>
        <w:t>装置</w:t>
      </w:r>
      <w:r>
        <w:rPr>
          <w:rFonts w:hint="eastAsia" w:ascii="MS UI Gothic" w:eastAsia="MS UI Gothic"/>
          <w:w w:val="80"/>
        </w:rPr>
        <w:t>ꎮ</w:t>
      </w:r>
    </w:p>
    <w:p>
      <w:pPr>
        <w:pStyle w:val="6"/>
        <w:spacing w:line="295" w:lineRule="auto"/>
        <w:ind w:right="38"/>
        <w:rPr>
          <w:rFonts w:hint="eastAsia" w:ascii="MS UI Gothic" w:eastAsia="MS UI Gothic"/>
        </w:rPr>
      </w:pPr>
      <w:r>
        <w:rPr>
          <w:spacing w:val="10"/>
        </w:rPr>
        <w:t>提升容器 升降人员和物料的容器</w:t>
      </w:r>
      <w:r>
        <w:rPr>
          <w:rFonts w:hint="eastAsia" w:ascii="MS UI Gothic" w:eastAsia="MS UI Gothic"/>
          <w:w w:val="80"/>
        </w:rPr>
        <w:t>ꎬ</w:t>
      </w:r>
      <w:r>
        <w:rPr>
          <w:spacing w:val="10"/>
        </w:rPr>
        <w:t>包括罐笼</w:t>
      </w:r>
      <w:r>
        <w:rPr>
          <w:rFonts w:hint="eastAsia" w:ascii="MS UI Gothic" w:eastAsia="MS UI Gothic"/>
          <w:spacing w:val="26"/>
        </w:rPr>
        <w:t xml:space="preserve">、 </w:t>
      </w:r>
      <w:r>
        <w:rPr>
          <w:spacing w:val="13"/>
        </w:rPr>
        <w:t>箕斗</w:t>
      </w:r>
      <w:r>
        <w:rPr>
          <w:rFonts w:hint="eastAsia" w:ascii="MS UI Gothic" w:eastAsia="MS UI Gothic"/>
          <w:spacing w:val="27"/>
        </w:rPr>
        <w:t xml:space="preserve">、 </w:t>
      </w:r>
      <w:r>
        <w:rPr>
          <w:spacing w:val="20"/>
        </w:rPr>
        <w:t>带乘人间的箕斗</w:t>
      </w:r>
      <w:r>
        <w:rPr>
          <w:rFonts w:hint="eastAsia" w:ascii="MS UI Gothic" w:eastAsia="MS UI Gothic"/>
          <w:spacing w:val="28"/>
        </w:rPr>
        <w:t xml:space="preserve">、 </w:t>
      </w:r>
      <w:r>
        <w:t>吊</w:t>
      </w:r>
      <w:r>
        <w:rPr>
          <w:spacing w:val="3"/>
        </w:rPr>
        <w:t>桶等</w:t>
      </w:r>
      <w:r>
        <w:rPr>
          <w:rFonts w:hint="eastAsia" w:ascii="MS UI Gothic" w:eastAsia="MS UI Gothic"/>
          <w:w w:val="80"/>
        </w:rPr>
        <w:t>ꎮ</w:t>
      </w:r>
    </w:p>
    <w:p>
      <w:pPr>
        <w:pStyle w:val="6"/>
        <w:spacing w:line="295" w:lineRule="auto"/>
        <w:ind w:right="38"/>
        <w:rPr>
          <w:rFonts w:hint="eastAsia" w:ascii="MS UI Gothic" w:eastAsia="MS UI Gothic"/>
        </w:rPr>
      </w:pPr>
      <w:r>
        <w:t>防坠器 钢丝绳或连接装置断裂时</w:t>
      </w:r>
      <w:r>
        <w:rPr>
          <w:rFonts w:hint="eastAsia" w:ascii="MS UI Gothic" w:eastAsia="MS UI Gothic"/>
          <w:w w:val="80"/>
        </w:rPr>
        <w:t>ꎬ</w:t>
      </w:r>
      <w:r>
        <w:t>防止提升容器坠落的保护装置</w:t>
      </w:r>
      <w:r>
        <w:rPr>
          <w:rFonts w:hint="eastAsia" w:ascii="MS UI Gothic" w:eastAsia="MS UI Gothic"/>
          <w:w w:val="80"/>
        </w:rPr>
        <w:t>ꎮ</w:t>
      </w:r>
    </w:p>
    <w:p>
      <w:pPr>
        <w:pStyle w:val="6"/>
        <w:spacing w:line="295" w:lineRule="auto"/>
        <w:ind w:right="39"/>
        <w:rPr>
          <w:rFonts w:hint="eastAsia" w:ascii="MS UI Gothic" w:eastAsia="MS UI Gothic"/>
        </w:rPr>
      </w:pPr>
      <w:r>
        <w:t>挡车装置  阻车器和挡车栏等的总称</w:t>
      </w:r>
      <w:r>
        <w:rPr>
          <w:rFonts w:hint="eastAsia" w:ascii="MS UI Gothic" w:eastAsia="MS UI Gothic"/>
          <w:w w:val="80"/>
        </w:rPr>
        <w:t>ꎮ</w:t>
      </w:r>
    </w:p>
    <w:p>
      <w:pPr>
        <w:pStyle w:val="6"/>
        <w:spacing w:line="295" w:lineRule="auto"/>
        <w:ind w:right="39"/>
        <w:rPr>
          <w:rFonts w:hint="eastAsia" w:ascii="MS UI Gothic" w:eastAsia="MS UI Gothic"/>
        </w:rPr>
      </w:pPr>
      <w:r>
        <w:t>挡车栏 安装在上</w:t>
      </w:r>
      <w:r>
        <w:rPr>
          <w:rFonts w:hint="eastAsia" w:ascii="MS UI Gothic" w:eastAsia="MS UI Gothic"/>
        </w:rPr>
        <w:t xml:space="preserve">、 </w:t>
      </w:r>
      <w:r>
        <w:t>下山</w:t>
      </w:r>
      <w:r>
        <w:rPr>
          <w:rFonts w:hint="eastAsia" w:ascii="MS UI Gothic" w:eastAsia="MS UI Gothic"/>
          <w:w w:val="80"/>
        </w:rPr>
        <w:t xml:space="preserve">ꎬ </w:t>
      </w:r>
      <w:r>
        <w:t>防止矿车跑车事故的安全装置</w:t>
      </w:r>
      <w:r>
        <w:rPr>
          <w:rFonts w:hint="eastAsia" w:ascii="MS UI Gothic" w:eastAsia="MS UI Gothic"/>
          <w:w w:val="80"/>
        </w:rPr>
        <w:t>ꎮ</w:t>
      </w:r>
    </w:p>
    <w:p>
      <w:pPr>
        <w:pStyle w:val="6"/>
        <w:spacing w:line="295" w:lineRule="auto"/>
        <w:ind w:right="39"/>
        <w:rPr>
          <w:rFonts w:hint="eastAsia" w:ascii="MS UI Gothic" w:eastAsia="MS UI Gothic"/>
        </w:rPr>
      </w:pPr>
      <w:r>
        <w:rPr>
          <w:w w:val="105"/>
        </w:rPr>
        <w:t xml:space="preserve">阻车器 </w:t>
      </w:r>
      <w:r>
        <w:rPr>
          <w:rFonts w:hint="eastAsia" w:ascii="MS UI Gothic" w:eastAsia="MS UI Gothic"/>
          <w:w w:val="150"/>
        </w:rPr>
        <w:t xml:space="preserve">( </w:t>
      </w:r>
      <w:r>
        <w:rPr>
          <w:w w:val="105"/>
        </w:rPr>
        <w:t>挡车器</w:t>
      </w:r>
      <w:r>
        <w:rPr>
          <w:rFonts w:hint="eastAsia" w:ascii="MS UI Gothic" w:eastAsia="MS UI Gothic"/>
          <w:w w:val="150"/>
        </w:rPr>
        <w:t xml:space="preserve">) </w:t>
      </w:r>
      <w:r>
        <w:rPr>
          <w:w w:val="105"/>
        </w:rPr>
        <w:t>装在轨道侧旁或罐笼</w:t>
      </w:r>
      <w:r>
        <w:rPr>
          <w:rFonts w:hint="eastAsia" w:ascii="MS UI Gothic" w:eastAsia="MS UI Gothic"/>
          <w:w w:val="80"/>
        </w:rPr>
        <w:t xml:space="preserve">、 </w:t>
      </w:r>
      <w:r>
        <w:rPr>
          <w:w w:val="105"/>
        </w:rPr>
        <w:t>翻车机内使矿车停车</w:t>
      </w:r>
      <w:r>
        <w:rPr>
          <w:rFonts w:hint="eastAsia" w:ascii="MS UI Gothic" w:eastAsia="MS UI Gothic"/>
          <w:w w:val="80"/>
        </w:rPr>
        <w:t xml:space="preserve">、 </w:t>
      </w:r>
      <w:r>
        <w:rPr>
          <w:w w:val="105"/>
        </w:rPr>
        <w:t>定位的装置</w:t>
      </w:r>
      <w:r>
        <w:rPr>
          <w:rFonts w:hint="eastAsia" w:ascii="MS UI Gothic" w:eastAsia="MS UI Gothic"/>
          <w:w w:val="80"/>
        </w:rPr>
        <w:t>ꎮ</w:t>
      </w:r>
    </w:p>
    <w:p>
      <w:pPr>
        <w:pStyle w:val="6"/>
        <w:spacing w:line="295" w:lineRule="auto"/>
        <w:ind w:right="39"/>
        <w:rPr>
          <w:rFonts w:hint="eastAsia" w:ascii="MS UI Gothic" w:eastAsia="MS UI Gothic"/>
        </w:rPr>
      </w:pPr>
      <w:r>
        <w:rPr>
          <w:w w:val="105"/>
        </w:rPr>
        <w:t>跑车防护装置 在倾斜井巷内安设的</w:t>
      </w:r>
      <w:r>
        <w:t>能够将运行中断绳或脱钩的车辆阻止住的</w:t>
      </w:r>
      <w:r>
        <w:rPr>
          <w:w w:val="105"/>
        </w:rPr>
        <w:t>装置或设施</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spacing w:val="3"/>
          <w:w w:val="105"/>
        </w:rPr>
        <w:t>最大内</w:t>
      </w:r>
      <w:r>
        <w:rPr>
          <w:rFonts w:hint="eastAsia" w:ascii="MS UI Gothic" w:eastAsia="MS UI Gothic"/>
          <w:spacing w:val="18"/>
          <w:w w:val="80"/>
        </w:rPr>
        <w:t xml:space="preserve">、 </w:t>
      </w:r>
      <w:r>
        <w:rPr>
          <w:spacing w:val="6"/>
          <w:w w:val="105"/>
        </w:rPr>
        <w:t>外偏角 钢丝绳从天轮中心</w:t>
      </w:r>
      <w:r>
        <w:rPr>
          <w:spacing w:val="2"/>
        </w:rPr>
        <w:t>垂直面到滚筒的直线同钢丝绳在滚筒上最</w:t>
      </w:r>
      <w:r>
        <w:rPr>
          <w:spacing w:val="3"/>
          <w:w w:val="105"/>
        </w:rPr>
        <w:t>内</w:t>
      </w:r>
      <w:r>
        <w:rPr>
          <w:rFonts w:hint="eastAsia" w:ascii="MS UI Gothic" w:eastAsia="MS UI Gothic"/>
          <w:spacing w:val="-2"/>
          <w:w w:val="80"/>
        </w:rPr>
        <w:t xml:space="preserve">、 </w:t>
      </w:r>
      <w:r>
        <w:rPr>
          <w:spacing w:val="14"/>
          <w:w w:val="105"/>
        </w:rPr>
        <w:t>最外位置到天轮中心的直线所成的</w:t>
      </w:r>
      <w:r>
        <w:rPr>
          <w:spacing w:val="3"/>
          <w:w w:val="105"/>
        </w:rPr>
        <w:t>角度</w:t>
      </w:r>
      <w:r>
        <w:rPr>
          <w:rFonts w:hint="eastAsia" w:ascii="MS UI Gothic" w:eastAsia="MS UI Gothic"/>
          <w:w w:val="80"/>
        </w:rPr>
        <w:t>ꎮ</w:t>
      </w:r>
    </w:p>
    <w:p>
      <w:pPr>
        <w:pStyle w:val="6"/>
        <w:spacing w:line="295" w:lineRule="auto"/>
        <w:ind w:right="442"/>
        <w:rPr>
          <w:rFonts w:hint="eastAsia" w:ascii="MS UI Gothic" w:eastAsia="MS UI Gothic"/>
        </w:rPr>
      </w:pPr>
      <w:r>
        <w:rPr>
          <w:spacing w:val="9"/>
        </w:rPr>
        <w:t>常用闸  绞车正常操作控制用的工</w:t>
      </w:r>
      <w:r>
        <w:rPr>
          <w:spacing w:val="3"/>
        </w:rPr>
        <w:t>作闸</w:t>
      </w:r>
      <w:r>
        <w:rPr>
          <w:rFonts w:hint="eastAsia" w:ascii="MS UI Gothic" w:eastAsia="MS UI Gothic"/>
          <w:w w:val="80"/>
        </w:rPr>
        <w:t>ꎮ</w:t>
      </w:r>
    </w:p>
    <w:p>
      <w:pPr>
        <w:pStyle w:val="6"/>
        <w:spacing w:line="295" w:lineRule="auto"/>
        <w:ind w:right="440"/>
        <w:rPr>
          <w:rFonts w:hint="eastAsia" w:ascii="MS UI Gothic" w:eastAsia="MS UI Gothic"/>
        </w:rPr>
      </w:pPr>
      <w:r>
        <w:t>保险闸 在提升系统发生异常现象</w:t>
      </w:r>
      <w:r>
        <w:rPr>
          <w:rFonts w:hint="eastAsia" w:ascii="MS UI Gothic" w:eastAsia="MS UI Gothic"/>
          <w:w w:val="80"/>
        </w:rPr>
        <w:t>ꎬ</w:t>
      </w:r>
      <w:r>
        <w:t>需要紧急停车时</w:t>
      </w:r>
      <w:r>
        <w:rPr>
          <w:rFonts w:hint="eastAsia" w:ascii="MS UI Gothic" w:eastAsia="MS UI Gothic"/>
          <w:w w:val="80"/>
        </w:rPr>
        <w:t xml:space="preserve">ꎬ </w:t>
      </w:r>
      <w:r>
        <w:t>能按预先给定的程序施行紧急制动装置</w:t>
      </w:r>
      <w:r>
        <w:rPr>
          <w:rFonts w:hint="eastAsia" w:ascii="MS UI Gothic" w:eastAsia="MS UI Gothic"/>
          <w:w w:val="80"/>
        </w:rPr>
        <w:t xml:space="preserve">ꎬ </w:t>
      </w:r>
      <w:r>
        <w:t>也叫紧急闸或安全闸</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罐道 提升容器在立井井筒中上下运</w:t>
      </w:r>
      <w:r>
        <w:t>行时的导向装置</w:t>
      </w:r>
      <w:r>
        <w:rPr>
          <w:rFonts w:hint="eastAsia" w:ascii="MS UI Gothic" w:eastAsia="MS UI Gothic"/>
          <w:w w:val="80"/>
        </w:rPr>
        <w:t xml:space="preserve">ꎬ </w:t>
      </w:r>
      <w:r>
        <w:t>罐道可分为刚性罐道</w:t>
      </w:r>
      <w:r>
        <w:rPr>
          <w:rFonts w:hint="eastAsia" w:ascii="MS UI Gothic" w:eastAsia="MS UI Gothic"/>
          <w:w w:val="150"/>
        </w:rPr>
        <w:t xml:space="preserve">( </w:t>
      </w:r>
      <w:r>
        <w:rPr>
          <w:w w:val="105"/>
        </w:rPr>
        <w:t>木罐道</w:t>
      </w:r>
      <w:r>
        <w:rPr>
          <w:rFonts w:hint="eastAsia" w:ascii="MS UI Gothic" w:eastAsia="MS UI Gothic"/>
          <w:w w:val="80"/>
        </w:rPr>
        <w:t xml:space="preserve">、 </w:t>
      </w:r>
      <w:r>
        <w:rPr>
          <w:w w:val="105"/>
        </w:rPr>
        <w:t>钢轨罐道</w:t>
      </w:r>
      <w:r>
        <w:rPr>
          <w:rFonts w:hint="eastAsia" w:ascii="MS UI Gothic" w:eastAsia="MS UI Gothic"/>
          <w:w w:val="80"/>
        </w:rPr>
        <w:t xml:space="preserve">、 </w:t>
      </w:r>
      <w:r>
        <w:rPr>
          <w:w w:val="105"/>
        </w:rPr>
        <w:t>组合钢罐道</w:t>
      </w:r>
      <w:r>
        <w:rPr>
          <w:rFonts w:hint="eastAsia" w:ascii="MS UI Gothic" w:eastAsia="MS UI Gothic"/>
          <w:w w:val="150"/>
        </w:rPr>
        <w:t xml:space="preserve">) </w:t>
      </w:r>
      <w:r>
        <w:rPr>
          <w:w w:val="105"/>
        </w:rPr>
        <w:t xml:space="preserve">和柔性罐道 </w:t>
      </w:r>
      <w:r>
        <w:rPr>
          <w:rFonts w:hint="eastAsia" w:ascii="MS UI Gothic" w:eastAsia="MS UI Gothic"/>
          <w:w w:val="150"/>
        </w:rPr>
        <w:t xml:space="preserve">( </w:t>
      </w:r>
      <w:r>
        <w:rPr>
          <w:w w:val="105"/>
        </w:rPr>
        <w:t>钢丝绳罐道</w:t>
      </w:r>
      <w:r>
        <w:rPr>
          <w:rFonts w:hint="eastAsia" w:ascii="MS UI Gothic" w:eastAsia="MS UI Gothic"/>
          <w:w w:val="150"/>
        </w:rPr>
        <w:t xml:space="preserve">) </w:t>
      </w:r>
      <w:r>
        <w:rPr>
          <w:rFonts w:hint="eastAsia" w:ascii="MS UI Gothic" w:eastAsia="MS UI Gothic"/>
          <w:w w:val="80"/>
        </w:rPr>
        <w:t>ꎮ</w:t>
      </w:r>
    </w:p>
    <w:p>
      <w:pPr>
        <w:pStyle w:val="6"/>
        <w:spacing w:line="295" w:lineRule="auto"/>
        <w:ind w:right="440"/>
        <w:rPr>
          <w:rFonts w:hint="eastAsia" w:ascii="MS UI Gothic" w:eastAsia="MS UI Gothic"/>
        </w:rPr>
      </w:pPr>
      <w:r>
        <w:rPr>
          <w:spacing w:val="-4"/>
          <w:w w:val="105"/>
        </w:rPr>
        <w:t xml:space="preserve">罐座 </w:t>
      </w:r>
      <w:r>
        <w:rPr>
          <w:rFonts w:hint="eastAsia" w:ascii="MS UI Gothic" w:eastAsia="MS UI Gothic"/>
          <w:spacing w:val="-37"/>
          <w:w w:val="150"/>
        </w:rPr>
        <w:t xml:space="preserve">( </w:t>
      </w:r>
      <w:r>
        <w:rPr>
          <w:spacing w:val="3"/>
          <w:w w:val="105"/>
        </w:rPr>
        <w:t>闸腿</w:t>
      </w:r>
      <w:r>
        <w:rPr>
          <w:rFonts w:hint="eastAsia" w:ascii="MS UI Gothic" w:eastAsia="MS UI Gothic"/>
          <w:spacing w:val="21"/>
          <w:w w:val="80"/>
        </w:rPr>
        <w:t xml:space="preserve">ꎬ </w:t>
      </w:r>
      <w:r>
        <w:rPr>
          <w:spacing w:val="9"/>
          <w:w w:val="105"/>
        </w:rPr>
        <w:t>罐托</w:t>
      </w:r>
      <w:r>
        <w:rPr>
          <w:rFonts w:hint="eastAsia" w:ascii="MS UI Gothic" w:eastAsia="MS UI Gothic"/>
          <w:spacing w:val="14"/>
          <w:w w:val="150"/>
        </w:rPr>
        <w:t xml:space="preserve">) </w:t>
      </w:r>
      <w:r>
        <w:rPr>
          <w:spacing w:val="11"/>
          <w:w w:val="105"/>
        </w:rPr>
        <w:t>罐笼在井底</w:t>
      </w:r>
      <w:r>
        <w:rPr>
          <w:rFonts w:hint="eastAsia" w:ascii="MS UI Gothic" w:eastAsia="MS UI Gothic"/>
          <w:w w:val="80"/>
        </w:rPr>
        <w:t>、</w:t>
      </w:r>
      <w:r>
        <w:rPr>
          <w:spacing w:val="3"/>
          <w:w w:val="105"/>
        </w:rPr>
        <w:t>井口装卸车时的托罐装置</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摇台 罐笼装卸车时与井口</w:t>
      </w:r>
      <w:r>
        <w:rPr>
          <w:rFonts w:hint="eastAsia" w:ascii="MS UI Gothic" w:eastAsia="MS UI Gothic"/>
          <w:spacing w:val="16"/>
          <w:w w:val="80"/>
        </w:rPr>
        <w:t xml:space="preserve">、 </w:t>
      </w:r>
      <w:r>
        <w:rPr>
          <w:spacing w:val="2"/>
        </w:rPr>
        <w:t>马头门</w:t>
      </w:r>
      <w:r>
        <w:rPr>
          <w:spacing w:val="3"/>
        </w:rPr>
        <w:t>处轨道联结用的活动平台</w:t>
      </w:r>
      <w:r>
        <w:rPr>
          <w:rFonts w:hint="eastAsia" w:ascii="MS UI Gothic" w:eastAsia="MS UI Gothic"/>
          <w:w w:val="80"/>
        </w:rPr>
        <w:t>ꎮ</w:t>
      </w:r>
    </w:p>
    <w:p>
      <w:pPr>
        <w:pStyle w:val="6"/>
        <w:spacing w:line="295" w:lineRule="auto"/>
        <w:ind w:right="442"/>
        <w:rPr>
          <w:rFonts w:hint="eastAsia" w:ascii="MS UI Gothic" w:eastAsia="MS UI Gothic"/>
        </w:rPr>
      </w:pPr>
      <w:r>
        <w:t>矿用防爆特殊型电机车 电动机</w:t>
      </w:r>
      <w:r>
        <w:rPr>
          <w:rFonts w:hint="eastAsia" w:ascii="MS UI Gothic" w:eastAsia="MS UI Gothic"/>
          <w:w w:val="80"/>
        </w:rPr>
        <w:t xml:space="preserve">、 </w:t>
      </w:r>
      <w:r>
        <w:t>控制器</w:t>
      </w:r>
      <w:r>
        <w:rPr>
          <w:rFonts w:hint="eastAsia" w:ascii="MS UI Gothic" w:eastAsia="MS UI Gothic"/>
          <w:w w:val="80"/>
        </w:rPr>
        <w:t xml:space="preserve">、 </w:t>
      </w:r>
      <w:r>
        <w:t>灯具</w:t>
      </w:r>
      <w:r>
        <w:rPr>
          <w:rFonts w:hint="eastAsia" w:ascii="MS UI Gothic" w:eastAsia="MS UI Gothic"/>
          <w:w w:val="80"/>
        </w:rPr>
        <w:t xml:space="preserve">、 </w:t>
      </w:r>
      <w:r>
        <w:t>电缆插销等为隔爆型</w:t>
      </w:r>
      <w:r>
        <w:rPr>
          <w:rFonts w:hint="eastAsia" w:ascii="MS UI Gothic" w:eastAsia="MS UI Gothic"/>
          <w:w w:val="80"/>
        </w:rPr>
        <w:t xml:space="preserve">ꎬ </w:t>
      </w:r>
      <w:r>
        <w:t>蓄电池采用特殊防爆措施的蓄电池电机车</w:t>
      </w:r>
      <w:r>
        <w:rPr>
          <w:rFonts w:hint="eastAsia" w:ascii="MS UI Gothic" w:eastAsia="MS UI Gothic"/>
          <w:w w:val="80"/>
        </w:rPr>
        <w:t>ꎮ</w:t>
      </w:r>
    </w:p>
    <w:p>
      <w:pPr>
        <w:pStyle w:val="6"/>
        <w:spacing w:line="295" w:lineRule="auto"/>
        <w:ind w:right="442"/>
        <w:rPr>
          <w:rFonts w:hint="eastAsia" w:ascii="MS UI Gothic" w:eastAsia="MS UI Gothic"/>
        </w:rPr>
      </w:pPr>
      <w:r>
        <w:rPr>
          <w:w w:val="105"/>
        </w:rPr>
        <w:t>机车制动距离 司机开始扳动闸轮或</w:t>
      </w:r>
      <w:r>
        <w:t>电闸手把到列车完全停止的运行距离</w:t>
      </w:r>
      <w:r>
        <w:rPr>
          <w:rFonts w:hint="eastAsia" w:ascii="MS UI Gothic" w:eastAsia="MS UI Gothic"/>
          <w:w w:val="80"/>
        </w:rPr>
        <w:t xml:space="preserve">ꎮ </w:t>
      </w:r>
      <w:r>
        <w:t>机车制动距离包括空行程距离和实际制动</w:t>
      </w:r>
      <w:r>
        <w:rPr>
          <w:w w:val="105"/>
        </w:rPr>
        <w:t>距离</w:t>
      </w:r>
      <w:r>
        <w:rPr>
          <w:rFonts w:hint="eastAsia" w:ascii="MS UI Gothic" w:eastAsia="MS UI Gothic"/>
          <w:w w:val="80"/>
        </w:rPr>
        <w:t>ꎮ</w:t>
      </w:r>
    </w:p>
    <w:p>
      <w:pPr>
        <w:pStyle w:val="6"/>
        <w:spacing w:line="295" w:lineRule="auto"/>
        <w:ind w:right="442"/>
        <w:rPr>
          <w:rFonts w:hint="eastAsia" w:ascii="MS UI Gothic" w:eastAsia="MS UI Gothic"/>
        </w:rPr>
      </w:pPr>
      <w:r>
        <w:rPr>
          <w:w w:val="105"/>
        </w:rPr>
        <w:t>架空乘人装置 在倾斜井巷中采用无</w:t>
      </w:r>
      <w:r>
        <w:t>极绳系统或架空轨道系统运送人员的一种</w:t>
      </w:r>
      <w:r>
        <w:rPr>
          <w:w w:val="105"/>
        </w:rPr>
        <w:t>乘人装置</w:t>
      </w:r>
      <w:r>
        <w:rPr>
          <w:rFonts w:hint="eastAsia" w:ascii="MS UI Gothic" w:eastAsia="MS UI Gothic"/>
          <w:w w:val="80"/>
        </w:rPr>
        <w:t xml:space="preserve">ꎬ </w:t>
      </w:r>
      <w:r>
        <w:rPr>
          <w:w w:val="105"/>
        </w:rPr>
        <w:t>包括行人辅助器</w:t>
      </w:r>
      <w:r>
        <w:rPr>
          <w:rFonts w:hint="eastAsia" w:ascii="MS UI Gothic" w:eastAsia="MS UI Gothic"/>
          <w:w w:val="80"/>
        </w:rPr>
        <w:t xml:space="preserve">、 </w:t>
      </w:r>
      <w:r>
        <w:rPr>
          <w:w w:val="105"/>
        </w:rPr>
        <w:t xml:space="preserve">蹬座 </w:t>
      </w:r>
      <w:r>
        <w:rPr>
          <w:rFonts w:hint="eastAsia" w:ascii="MS UI Gothic" w:eastAsia="MS UI Gothic"/>
          <w:w w:val="150"/>
        </w:rPr>
        <w:t xml:space="preserve">( </w:t>
      </w:r>
      <w:r>
        <w:rPr>
          <w:w w:val="105"/>
        </w:rPr>
        <w:t>猴车</w:t>
      </w:r>
      <w:r>
        <w:rPr>
          <w:rFonts w:hint="eastAsia" w:ascii="MS UI Gothic" w:eastAsia="MS UI Gothic"/>
          <w:w w:val="150"/>
        </w:rPr>
        <w:t xml:space="preserve">) </w:t>
      </w:r>
      <w:r>
        <w:rPr>
          <w:w w:val="105"/>
        </w:rPr>
        <w:t>和单轨吊车等各种型式的乘人装置</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移动式电气设备 在工作中必须不断</w:t>
      </w:r>
      <w:r>
        <w:t>移动位置</w:t>
      </w:r>
      <w:r>
        <w:rPr>
          <w:rFonts w:hint="eastAsia" w:ascii="MS UI Gothic" w:eastAsia="MS UI Gothic"/>
          <w:w w:val="80"/>
        </w:rPr>
        <w:t xml:space="preserve">ꎬ </w:t>
      </w:r>
      <w:r>
        <w:t>或安设时不需构筑专门基础并</w:t>
      </w:r>
      <w:r>
        <w:rPr>
          <w:w w:val="105"/>
        </w:rPr>
        <w:t>且经常变动其工作地点的电气设备</w:t>
      </w:r>
      <w:r>
        <w:rPr>
          <w:rFonts w:hint="eastAsia" w:ascii="MS UI Gothic" w:eastAsia="MS UI Gothic"/>
          <w:w w:val="80"/>
        </w:rPr>
        <w:t>ꎮ</w:t>
      </w:r>
    </w:p>
    <w:p>
      <w:pPr>
        <w:pStyle w:val="6"/>
        <w:spacing w:line="295" w:lineRule="auto"/>
        <w:ind w:right="442"/>
        <w:rPr>
          <w:rFonts w:hint="eastAsia" w:ascii="MS UI Gothic" w:eastAsia="MS UI Gothic"/>
        </w:rPr>
      </w:pPr>
      <w:r>
        <w:rPr>
          <w:w w:val="105"/>
        </w:rPr>
        <w:t>手持式电气设备 在工作中必须用人</w:t>
      </w:r>
      <w:r>
        <w:t>手保持和移动设备本体或协同工作的电气</w:t>
      </w:r>
      <w:r>
        <w:rPr>
          <w:w w:val="105"/>
        </w:rPr>
        <w:t>设备</w:t>
      </w:r>
      <w:r>
        <w:rPr>
          <w:rFonts w:hint="eastAsia" w:ascii="MS UI Gothic" w:eastAsia="MS UI Gothic"/>
          <w:w w:val="80"/>
        </w:rPr>
        <w:t>ꎮ</w:t>
      </w:r>
    </w:p>
    <w:p>
      <w:pPr>
        <w:pStyle w:val="6"/>
        <w:spacing w:line="295" w:lineRule="auto"/>
        <w:ind w:right="442"/>
        <w:rPr>
          <w:rFonts w:hint="eastAsia" w:ascii="MS UI Gothic" w:eastAsia="MS UI Gothic"/>
        </w:rPr>
      </w:pPr>
      <w:r>
        <w:rPr>
          <w:w w:val="105"/>
        </w:rPr>
        <w:t>固定式电气设备 除移动式和手持式以外的安设在专门基础上的电气设备</w:t>
      </w:r>
      <w:r>
        <w:rPr>
          <w:rFonts w:hint="eastAsia" w:ascii="MS UI Gothic" w:eastAsia="MS UI Gothic"/>
          <w:w w:val="80"/>
        </w:rPr>
        <w:t>ꎮ</w:t>
      </w:r>
    </w:p>
    <w:p>
      <w:pPr>
        <w:pStyle w:val="6"/>
        <w:spacing w:line="295" w:lineRule="auto"/>
        <w:ind w:right="442"/>
        <w:rPr>
          <w:rFonts w:hint="eastAsia" w:ascii="MS UI Gothic" w:eastAsia="MS UI Gothic"/>
        </w:rPr>
      </w:pPr>
      <w:r>
        <w:rPr>
          <w:w w:val="105"/>
        </w:rPr>
        <w:t>带电搬迁 设备在带电状态下进行搬</w:t>
      </w:r>
      <w:r>
        <w:rPr>
          <w:w w:val="110"/>
        </w:rPr>
        <w:t xml:space="preserve">动 </w:t>
      </w:r>
      <w:r>
        <w:rPr>
          <w:rFonts w:hint="eastAsia" w:ascii="MS UI Gothic" w:eastAsia="MS UI Gothic"/>
          <w:w w:val="150"/>
        </w:rPr>
        <w:t xml:space="preserve">( </w:t>
      </w:r>
      <w:r>
        <w:rPr>
          <w:w w:val="110"/>
        </w:rPr>
        <w:t>移动</w:t>
      </w:r>
      <w:r>
        <w:rPr>
          <w:rFonts w:hint="eastAsia" w:ascii="MS UI Gothic" w:eastAsia="MS UI Gothic"/>
          <w:w w:val="150"/>
        </w:rPr>
        <w:t xml:space="preserve">) </w:t>
      </w:r>
      <w:r>
        <w:rPr>
          <w:w w:val="110"/>
        </w:rPr>
        <w:t>安设位置的操作</w:t>
      </w:r>
      <w:r>
        <w:rPr>
          <w:rFonts w:hint="eastAsia" w:ascii="MS UI Gothic" w:eastAsia="MS UI Gothic"/>
          <w:w w:val="80"/>
        </w:rPr>
        <w:t>ꎮ</w:t>
      </w:r>
    </w:p>
    <w:p>
      <w:pPr>
        <w:pStyle w:val="6"/>
        <w:tabs>
          <w:tab w:val="left" w:pos="2639"/>
        </w:tabs>
        <w:spacing w:line="255" w:lineRule="exact"/>
        <w:ind w:left="543" w:firstLine="0"/>
        <w:jc w:val="left"/>
      </w:pPr>
      <w:r>
        <w:rPr>
          <w:spacing w:val="3"/>
          <w:w w:val="105"/>
        </w:rPr>
        <w:t>矿用一般型电气设</w:t>
      </w:r>
      <w:r>
        <w:rPr>
          <w:w w:val="105"/>
        </w:rPr>
        <w:t>备</w:t>
      </w:r>
      <w:r>
        <w:rPr>
          <w:w w:val="105"/>
        </w:rPr>
        <w:tab/>
      </w:r>
      <w:r>
        <w:rPr>
          <w:spacing w:val="3"/>
          <w:w w:val="105"/>
        </w:rPr>
        <w:t>专为煤矿井</w:t>
      </w:r>
      <w:r>
        <w:rPr>
          <w:w w:val="105"/>
        </w:rPr>
        <w:t>下</w:t>
      </w:r>
    </w:p>
    <w:p>
      <w:pPr>
        <w:spacing w:after="0" w:line="255"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３５１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67" o:spid="_x0000_s2067" o:spt="203" style="height:2.15pt;width:398.25pt;" coordsize="7965,43">
            <o:lock v:ext="edit"/>
            <v:line id="_x0000_s2068" o:spid="_x0000_s2068" o:spt="20" style="position:absolute;left:0;top:39;height:0;width:7965;" stroked="t" coordsize="21600,21600">
              <v:path arrowok="t"/>
              <v:fill focussize="0,0"/>
              <v:stroke weight="0.388031496062992pt" color="#231F20"/>
              <v:imagedata o:title=""/>
              <o:lock v:ext="edit"/>
            </v:line>
            <v:line id="_x0000_s2069" o:spid="_x0000_s206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rPr>
          <w:spacing w:val="3"/>
        </w:rPr>
        <w:t>条件生产的不防爆的一般型电气设备</w:t>
      </w:r>
      <w:r>
        <w:rPr>
          <w:rFonts w:hint="eastAsia" w:ascii="MS UI Gothic" w:eastAsia="MS UI Gothic"/>
          <w:spacing w:val="21"/>
          <w:w w:val="80"/>
        </w:rPr>
        <w:t xml:space="preserve">ꎬ </w:t>
      </w:r>
      <w:r>
        <w:t>这</w:t>
      </w:r>
      <w:r>
        <w:rPr>
          <w:spacing w:val="3"/>
        </w:rPr>
        <w:t>种设备与通用设备比较对介质温度</w:t>
      </w:r>
      <w:r>
        <w:rPr>
          <w:rFonts w:hint="eastAsia" w:ascii="MS UI Gothic" w:eastAsia="MS UI Gothic"/>
          <w:spacing w:val="20"/>
          <w:w w:val="80"/>
        </w:rPr>
        <w:t xml:space="preserve">、 </w:t>
      </w:r>
      <w:r>
        <w:rPr>
          <w:spacing w:val="1"/>
        </w:rPr>
        <w:t>耐潮</w:t>
      </w:r>
      <w:r>
        <w:rPr>
          <w:spacing w:val="3"/>
        </w:rPr>
        <w:t>性能</w:t>
      </w:r>
      <w:r>
        <w:rPr>
          <w:rFonts w:hint="eastAsia" w:ascii="MS UI Gothic" w:eastAsia="MS UI Gothic"/>
          <w:spacing w:val="16"/>
          <w:w w:val="80"/>
        </w:rPr>
        <w:t xml:space="preserve">、 </w:t>
      </w:r>
      <w:r>
        <w:rPr>
          <w:spacing w:val="3"/>
        </w:rPr>
        <w:t>外壳材质及强度</w:t>
      </w:r>
      <w:r>
        <w:rPr>
          <w:rFonts w:hint="eastAsia" w:ascii="MS UI Gothic" w:eastAsia="MS UI Gothic"/>
          <w:spacing w:val="16"/>
          <w:w w:val="80"/>
        </w:rPr>
        <w:t xml:space="preserve">、 </w:t>
      </w:r>
      <w:r>
        <w:rPr>
          <w:spacing w:val="3"/>
        </w:rPr>
        <w:t>进线装置</w:t>
      </w:r>
      <w:r>
        <w:rPr>
          <w:rFonts w:hint="eastAsia" w:ascii="MS UI Gothic" w:eastAsia="MS UI Gothic"/>
          <w:spacing w:val="16"/>
          <w:w w:val="80"/>
        </w:rPr>
        <w:t xml:space="preserve">、 </w:t>
      </w:r>
      <w:r>
        <w:rPr>
          <w:spacing w:val="1"/>
        </w:rPr>
        <w:t>接地</w:t>
      </w:r>
      <w:r>
        <w:rPr>
          <w:spacing w:val="3"/>
        </w:rPr>
        <w:t>端子都有适应煤矿具体条件的要求</w:t>
      </w:r>
      <w:r>
        <w:rPr>
          <w:rFonts w:hint="eastAsia" w:ascii="MS UI Gothic" w:eastAsia="MS UI Gothic"/>
          <w:spacing w:val="21"/>
          <w:w w:val="80"/>
        </w:rPr>
        <w:t xml:space="preserve">ꎬ </w:t>
      </w:r>
      <w:r>
        <w:rPr>
          <w:spacing w:val="1"/>
        </w:rPr>
        <w:t>而且</w:t>
      </w:r>
      <w:r>
        <w:rPr>
          <w:spacing w:val="2"/>
        </w:rPr>
        <w:t>能防止从外部直接触及带电部分及防止水</w:t>
      </w:r>
      <w:r>
        <w:rPr>
          <w:spacing w:val="3"/>
        </w:rPr>
        <w:t>滴垂直滴入</w:t>
      </w:r>
      <w:r>
        <w:rPr>
          <w:rFonts w:hint="eastAsia" w:ascii="MS UI Gothic" w:eastAsia="MS UI Gothic"/>
          <w:spacing w:val="21"/>
          <w:w w:val="80"/>
        </w:rPr>
        <w:t xml:space="preserve">ꎬ </w:t>
      </w:r>
      <w:r>
        <w:rPr>
          <w:spacing w:val="2"/>
        </w:rPr>
        <w:t>并对接线端子爬电距离和空</w:t>
      </w:r>
      <w:r>
        <w:rPr>
          <w:spacing w:val="3"/>
        </w:rPr>
        <w:t>气间隙有专门的规定</w:t>
      </w:r>
      <w:r>
        <w:rPr>
          <w:rFonts w:hint="eastAsia" w:ascii="MS UI Gothic" w:eastAsia="MS UI Gothic"/>
          <w:w w:val="80"/>
        </w:rPr>
        <w:t>ꎮ</w:t>
      </w:r>
    </w:p>
    <w:p>
      <w:pPr>
        <w:pStyle w:val="6"/>
        <w:spacing w:line="295" w:lineRule="auto"/>
        <w:ind w:left="435" w:right="1" w:firstLine="425"/>
        <w:rPr>
          <w:rFonts w:hint="eastAsia" w:ascii="MS UI Gothic" w:hAnsi="MS UI Gothic" w:eastAsia="MS UI Gothic"/>
        </w:rPr>
      </w:pPr>
      <w:r>
        <w:rPr>
          <w:spacing w:val="31"/>
        </w:rPr>
        <w:t xml:space="preserve">矿用防爆电气设备 系指按 </w:t>
      </w:r>
      <w:r>
        <w:rPr>
          <w:rFonts w:hint="eastAsia" w:ascii="MS UI Gothic" w:hAnsi="MS UI Gothic" w:eastAsia="MS UI Gothic"/>
        </w:rPr>
        <w:t xml:space="preserve">ＧＢ </w:t>
      </w:r>
      <w:r>
        <w:rPr>
          <w:rFonts w:hint="eastAsia" w:ascii="MS UI Gothic" w:hAnsi="MS UI Gothic" w:eastAsia="MS UI Gothic"/>
          <w:spacing w:val="-1"/>
          <w:w w:val="75"/>
        </w:rPr>
        <w:t>３８３６</w:t>
      </w:r>
      <w:r>
        <w:rPr>
          <w:rFonts w:hint="eastAsia" w:ascii="MS UI Gothic" w:hAnsi="MS UI Gothic" w:eastAsia="MS UI Gothic"/>
          <w:spacing w:val="-10"/>
        </w:rPr>
        <w:t xml:space="preserve"> </w:t>
      </w:r>
      <w:r>
        <w:rPr>
          <w:rFonts w:hint="eastAsia" w:ascii="MS UI Gothic" w:hAnsi="MS UI Gothic" w:eastAsia="MS UI Gothic"/>
          <w:spacing w:val="5"/>
          <w:w w:val="75"/>
        </w:rPr>
        <w:t>１</w:t>
      </w:r>
      <w:r>
        <w:rPr>
          <w:rFonts w:hint="eastAsia" w:ascii="MS UI Gothic" w:hAnsi="MS UI Gothic" w:eastAsia="MS UI Gothic"/>
          <w:spacing w:val="3"/>
          <w:w w:val="153"/>
        </w:rPr>
        <w:t>—</w:t>
      </w:r>
      <w:r>
        <w:rPr>
          <w:rFonts w:hint="eastAsia" w:ascii="MS UI Gothic" w:hAnsi="MS UI Gothic" w:eastAsia="MS UI Gothic"/>
          <w:spacing w:val="-3"/>
          <w:w w:val="75"/>
        </w:rPr>
        <w:t>２０００</w:t>
      </w:r>
      <w:r>
        <w:rPr>
          <w:rFonts w:hint="eastAsia" w:ascii="MS UI Gothic" w:hAnsi="MS UI Gothic" w:eastAsia="MS UI Gothic"/>
          <w:spacing w:val="-3"/>
        </w:rPr>
        <w:t xml:space="preserve"> </w:t>
      </w:r>
      <w:r>
        <w:rPr>
          <w:spacing w:val="16"/>
          <w:w w:val="102"/>
        </w:rPr>
        <w:t>标准生产的专供煤矿井下</w:t>
      </w:r>
      <w:r>
        <w:rPr>
          <w:spacing w:val="3"/>
        </w:rPr>
        <w:t>使用的防爆电气设备</w:t>
      </w:r>
      <w:r>
        <w:rPr>
          <w:rFonts w:hint="eastAsia" w:ascii="MS UI Gothic" w:hAnsi="MS UI Gothic" w:eastAsia="MS UI Gothic"/>
          <w:w w:val="90"/>
        </w:rPr>
        <w:t>ꎮ</w:t>
      </w:r>
    </w:p>
    <w:p>
      <w:pPr>
        <w:pStyle w:val="6"/>
        <w:spacing w:line="295" w:lineRule="auto"/>
        <w:ind w:left="440"/>
        <w:rPr>
          <w:rFonts w:hint="eastAsia" w:ascii="MS UI Gothic" w:hAnsi="MS UI Gothic" w:eastAsia="MS UI Gothic"/>
        </w:rPr>
      </w:pPr>
      <w:r>
        <w:rPr>
          <w:spacing w:val="13"/>
        </w:rPr>
        <w:t>本规程中采用的矿用防爆型电气设</w:t>
      </w:r>
      <w:r>
        <w:rPr>
          <w:spacing w:val="3"/>
          <w:w w:val="102"/>
        </w:rPr>
        <w:t>备</w:t>
      </w:r>
      <w:r>
        <w:rPr>
          <w:rFonts w:hint="eastAsia" w:ascii="MS UI Gothic" w:hAnsi="MS UI Gothic" w:eastAsia="MS UI Gothic"/>
          <w:w w:val="51"/>
        </w:rPr>
        <w:t>ꎬ</w:t>
      </w:r>
      <w:r>
        <w:rPr>
          <w:rFonts w:hint="eastAsia" w:ascii="MS UI Gothic" w:hAnsi="MS UI Gothic" w:eastAsia="MS UI Gothic"/>
          <w:spacing w:val="8"/>
        </w:rPr>
        <w:t xml:space="preserve"> </w:t>
      </w:r>
      <w:r>
        <w:rPr>
          <w:spacing w:val="2"/>
          <w:w w:val="102"/>
        </w:rPr>
        <w:t>除了符合</w:t>
      </w:r>
      <w:r>
        <w:rPr>
          <w:spacing w:val="-46"/>
        </w:rPr>
        <w:t xml:space="preserve"> </w:t>
      </w:r>
      <w:r>
        <w:rPr>
          <w:rFonts w:hint="eastAsia" w:ascii="MS UI Gothic" w:hAnsi="MS UI Gothic" w:eastAsia="MS UI Gothic"/>
          <w:spacing w:val="-2"/>
          <w:w w:val="88"/>
        </w:rPr>
        <w:t>Ｇ</w:t>
      </w:r>
      <w:r>
        <w:rPr>
          <w:rFonts w:hint="eastAsia" w:ascii="MS UI Gothic" w:hAnsi="MS UI Gothic" w:eastAsia="MS UI Gothic"/>
          <w:w w:val="80"/>
        </w:rPr>
        <w:t>Ｂ</w:t>
      </w:r>
      <w:r>
        <w:rPr>
          <w:rFonts w:hint="eastAsia" w:ascii="MS UI Gothic" w:hAnsi="MS UI Gothic" w:eastAsia="MS UI Gothic"/>
          <w:spacing w:val="-1"/>
          <w:w w:val="75"/>
        </w:rPr>
        <w:t>３８３６</w:t>
      </w:r>
      <w:r>
        <w:rPr>
          <w:rFonts w:hint="eastAsia" w:ascii="MS UI Gothic" w:hAnsi="MS UI Gothic" w:eastAsia="MS UI Gothic"/>
          <w:spacing w:val="-10"/>
        </w:rPr>
        <w:t xml:space="preserve"> </w:t>
      </w:r>
      <w:r>
        <w:rPr>
          <w:rFonts w:hint="eastAsia" w:ascii="MS UI Gothic" w:hAnsi="MS UI Gothic" w:eastAsia="MS UI Gothic"/>
          <w:spacing w:val="5"/>
          <w:w w:val="75"/>
        </w:rPr>
        <w:t>１</w:t>
      </w:r>
      <w:r>
        <w:rPr>
          <w:rFonts w:hint="eastAsia" w:ascii="MS UI Gothic" w:hAnsi="MS UI Gothic" w:eastAsia="MS UI Gothic"/>
          <w:spacing w:val="3"/>
          <w:w w:val="153"/>
        </w:rPr>
        <w:t>—</w:t>
      </w:r>
      <w:r>
        <w:rPr>
          <w:rFonts w:hint="eastAsia" w:ascii="MS UI Gothic" w:hAnsi="MS UI Gothic" w:eastAsia="MS UI Gothic"/>
          <w:spacing w:val="-2"/>
          <w:w w:val="75"/>
        </w:rPr>
        <w:t>２０００</w:t>
      </w:r>
      <w:r>
        <w:rPr>
          <w:rFonts w:hint="eastAsia" w:ascii="MS UI Gothic" w:hAnsi="MS UI Gothic" w:eastAsia="MS UI Gothic"/>
          <w:spacing w:val="-3"/>
        </w:rPr>
        <w:t xml:space="preserve"> </w:t>
      </w:r>
      <w:r>
        <w:rPr>
          <w:spacing w:val="3"/>
          <w:w w:val="102"/>
        </w:rPr>
        <w:t>的规定外</w:t>
      </w:r>
      <w:r>
        <w:rPr>
          <w:rFonts w:hint="eastAsia" w:ascii="MS UI Gothic" w:hAnsi="MS UI Gothic" w:eastAsia="MS UI Gothic"/>
          <w:w w:val="51"/>
        </w:rPr>
        <w:t>ꎬ</w:t>
      </w:r>
      <w:r>
        <w:rPr>
          <w:spacing w:val="2"/>
        </w:rPr>
        <w:t>还必须符合专用标准和其他有关标准的规</w:t>
      </w:r>
      <w:r>
        <w:rPr>
          <w:spacing w:val="3"/>
        </w:rPr>
        <w:t>定</w:t>
      </w:r>
      <w:r>
        <w:rPr>
          <w:rFonts w:hint="eastAsia" w:ascii="MS UI Gothic" w:hAnsi="MS UI Gothic" w:eastAsia="MS UI Gothic"/>
          <w:w w:val="85"/>
        </w:rPr>
        <w:t xml:space="preserve">ꎬ </w:t>
      </w:r>
      <w:r>
        <w:rPr>
          <w:spacing w:val="3"/>
        </w:rPr>
        <w:t>其型式包括</w:t>
      </w:r>
      <w:r>
        <w:rPr>
          <w:rFonts w:hint="eastAsia" w:ascii="MS UI Gothic" w:hAnsi="MS UI Gothic" w:eastAsia="MS UI Gothic"/>
          <w:w w:val="225"/>
        </w:rPr>
        <w:t>:</w:t>
      </w:r>
    </w:p>
    <w:p>
      <w:pPr>
        <w:pStyle w:val="6"/>
        <w:spacing w:line="295" w:lineRule="auto"/>
        <w:ind w:left="440" w:firstLine="413"/>
        <w:rPr>
          <w:rFonts w:hint="eastAsia" w:ascii="MS UI Gothic" w:eastAsia="MS UI Gothic"/>
        </w:rPr>
      </w:pPr>
      <w:r>
        <w:rPr>
          <w:rFonts w:hint="eastAsia" w:ascii="MS UI Gothic" w:eastAsia="MS UI Gothic"/>
        </w:rPr>
        <w:t>１</w:t>
      </w:r>
      <w:r>
        <w:rPr>
          <w:rFonts w:hint="eastAsia" w:ascii="MS UI Gothic" w:eastAsia="MS UI Gothic"/>
          <w:spacing w:val="53"/>
        </w:rPr>
        <w:t xml:space="preserve"> </w:t>
      </w:r>
      <w:r>
        <w:rPr>
          <w:spacing w:val="5"/>
        </w:rPr>
        <w:t xml:space="preserve">隔爆型电气设备 </w:t>
      </w:r>
      <w:r>
        <w:rPr>
          <w:rFonts w:hint="eastAsia" w:ascii="MS UI Gothic" w:eastAsia="MS UI Gothic"/>
        </w:rPr>
        <w:t xml:space="preserve">ｄ </w:t>
      </w:r>
      <w:r>
        <w:rPr>
          <w:spacing w:val="14"/>
        </w:rPr>
        <w:t>具有隔爆外壳</w:t>
      </w:r>
      <w:r>
        <w:rPr>
          <w:spacing w:val="3"/>
        </w:rPr>
        <w:t>的防爆电气设备</w:t>
      </w:r>
      <w:r>
        <w:rPr>
          <w:rFonts w:hint="eastAsia" w:ascii="MS UI Gothic" w:eastAsia="MS UI Gothic"/>
          <w:spacing w:val="14"/>
          <w:w w:val="85"/>
        </w:rPr>
        <w:t xml:space="preserve">ꎬ </w:t>
      </w:r>
      <w:r>
        <w:rPr>
          <w:spacing w:val="2"/>
        </w:rPr>
        <w:t>该外壳既能承受其内部</w:t>
      </w:r>
      <w:r>
        <w:rPr>
          <w:spacing w:val="4"/>
        </w:rPr>
        <w:t>爆炸性气体混合物引爆产生的爆炸压力</w:t>
      </w:r>
      <w:r>
        <w:rPr>
          <w:rFonts w:hint="eastAsia" w:ascii="MS UI Gothic" w:eastAsia="MS UI Gothic"/>
          <w:w w:val="85"/>
        </w:rPr>
        <w:t>ꎬ</w:t>
      </w:r>
      <w:r>
        <w:rPr>
          <w:spacing w:val="2"/>
        </w:rPr>
        <w:t>又能防止爆炸产物穿出隔爆间隙点燃外壳</w:t>
      </w:r>
      <w:r>
        <w:rPr>
          <w:spacing w:val="3"/>
        </w:rPr>
        <w:t>周围的爆炸性混合物</w:t>
      </w:r>
      <w:r>
        <w:rPr>
          <w:rFonts w:hint="eastAsia" w:ascii="MS UI Gothic" w:eastAsia="MS UI Gothic"/>
          <w:w w:val="85"/>
        </w:rPr>
        <w:t>ꎮ</w:t>
      </w:r>
    </w:p>
    <w:p>
      <w:pPr>
        <w:pStyle w:val="6"/>
        <w:spacing w:line="295" w:lineRule="auto"/>
        <w:ind w:left="440" w:right="1" w:firstLine="413"/>
        <w:rPr>
          <w:rFonts w:hint="eastAsia" w:ascii="MS UI Gothic" w:eastAsia="MS UI Gothic"/>
        </w:rPr>
      </w:pPr>
      <w:r>
        <w:rPr>
          <w:rFonts w:hint="eastAsia" w:ascii="MS UI Gothic" w:eastAsia="MS UI Gothic"/>
        </w:rPr>
        <w:t>２</w:t>
      </w:r>
      <w:r>
        <w:rPr>
          <w:rFonts w:hint="eastAsia" w:ascii="MS UI Gothic" w:eastAsia="MS UI Gothic"/>
          <w:spacing w:val="56"/>
        </w:rPr>
        <w:t xml:space="preserve"> </w:t>
      </w:r>
      <w:r>
        <w:rPr>
          <w:spacing w:val="7"/>
        </w:rPr>
        <w:t xml:space="preserve">增安型电气设备 </w:t>
      </w:r>
      <w:r>
        <w:rPr>
          <w:rFonts w:hint="eastAsia" w:ascii="MS UI Gothic" w:eastAsia="MS UI Gothic"/>
        </w:rPr>
        <w:t xml:space="preserve">ｅ </w:t>
      </w:r>
      <w:r>
        <w:rPr>
          <w:spacing w:val="10"/>
        </w:rPr>
        <w:t>在正常运行条</w:t>
      </w:r>
      <w:r>
        <w:rPr>
          <w:spacing w:val="3"/>
        </w:rPr>
        <w:t>件下不会产生电弧</w:t>
      </w:r>
      <w:r>
        <w:rPr>
          <w:rFonts w:hint="eastAsia" w:ascii="MS UI Gothic" w:eastAsia="MS UI Gothic"/>
          <w:spacing w:val="20"/>
        </w:rPr>
        <w:t xml:space="preserve">、 </w:t>
      </w:r>
      <w:r>
        <w:rPr>
          <w:spacing w:val="2"/>
        </w:rPr>
        <w:t>火花或可能点燃爆炸</w:t>
      </w:r>
      <w:r>
        <w:rPr>
          <w:spacing w:val="3"/>
        </w:rPr>
        <w:t>性混合物的高温的设备结构上</w:t>
      </w:r>
      <w:r>
        <w:rPr>
          <w:rFonts w:hint="eastAsia" w:ascii="MS UI Gothic" w:eastAsia="MS UI Gothic"/>
          <w:spacing w:val="14"/>
          <w:w w:val="85"/>
        </w:rPr>
        <w:t xml:space="preserve">ꎬ </w:t>
      </w:r>
      <w:r>
        <w:rPr>
          <w:spacing w:val="2"/>
        </w:rPr>
        <w:t>采取措施</w:t>
      </w:r>
      <w:r>
        <w:rPr>
          <w:spacing w:val="3"/>
        </w:rPr>
        <w:t>提高安全程度</w:t>
      </w:r>
      <w:r>
        <w:rPr>
          <w:rFonts w:hint="eastAsia" w:ascii="MS UI Gothic" w:eastAsia="MS UI Gothic"/>
          <w:spacing w:val="14"/>
          <w:w w:val="85"/>
        </w:rPr>
        <w:t xml:space="preserve">ꎬ </w:t>
      </w:r>
      <w:r>
        <w:rPr>
          <w:spacing w:val="2"/>
        </w:rPr>
        <w:t>以避免在正常和认可的过</w:t>
      </w:r>
      <w:r>
        <w:rPr>
          <w:spacing w:val="3"/>
        </w:rPr>
        <w:t>载条件下出现这些现象的电气设备</w:t>
      </w:r>
      <w:r>
        <w:rPr>
          <w:rFonts w:hint="eastAsia" w:ascii="MS UI Gothic" w:eastAsia="MS UI Gothic"/>
          <w:w w:val="85"/>
        </w:rPr>
        <w:t>ꎮ</w:t>
      </w:r>
    </w:p>
    <w:p>
      <w:pPr>
        <w:pStyle w:val="6"/>
        <w:spacing w:line="295" w:lineRule="auto"/>
        <w:ind w:left="440" w:right="1" w:firstLine="413"/>
        <w:rPr>
          <w:rFonts w:hint="eastAsia" w:ascii="MS UI Gothic" w:eastAsia="MS UI Gothic"/>
        </w:rPr>
      </w:pPr>
      <w:r>
        <w:rPr>
          <w:rFonts w:hint="eastAsia" w:ascii="MS UI Gothic" w:eastAsia="MS UI Gothic"/>
        </w:rPr>
        <w:t xml:space="preserve">３ </w:t>
      </w:r>
      <w:r>
        <w:t>本质安全型电气设备</w:t>
      </w:r>
      <w:r>
        <w:rPr>
          <w:rFonts w:hint="eastAsia" w:ascii="MS UI Gothic" w:eastAsia="MS UI Gothic"/>
        </w:rPr>
        <w:t xml:space="preserve">ｉ </w:t>
      </w:r>
      <w:r>
        <w:t>全部电路均为本质安全电路的电气设备</w:t>
      </w:r>
      <w:r>
        <w:rPr>
          <w:rFonts w:hint="eastAsia" w:ascii="MS UI Gothic" w:eastAsia="MS UI Gothic"/>
        </w:rPr>
        <w:t xml:space="preserve"> </w:t>
      </w:r>
      <w:r>
        <w:t>所谓本质安全电路</w:t>
      </w:r>
      <w:r>
        <w:rPr>
          <w:rFonts w:hint="eastAsia" w:ascii="MS UI Gothic" w:eastAsia="MS UI Gothic"/>
          <w:w w:val="85"/>
        </w:rPr>
        <w:t xml:space="preserve">ꎬ </w:t>
      </w:r>
      <w:r>
        <w:t>是指在规定的试验条件下</w:t>
      </w:r>
      <w:r>
        <w:rPr>
          <w:rFonts w:hint="eastAsia" w:ascii="MS UI Gothic" w:eastAsia="MS UI Gothic"/>
          <w:w w:val="85"/>
        </w:rPr>
        <w:t xml:space="preserve">ꎬ </w:t>
      </w:r>
      <w:r>
        <w:t>正常工作或规定的故障状态下产生的电火花和热效应均不能点燃规定的爆炸性混合物的电路</w:t>
      </w:r>
      <w:r>
        <w:rPr>
          <w:rFonts w:hint="eastAsia" w:ascii="MS UI Gothic" w:eastAsia="MS UI Gothic"/>
          <w:w w:val="85"/>
        </w:rPr>
        <w:t>ꎮ</w:t>
      </w:r>
    </w:p>
    <w:p>
      <w:pPr>
        <w:pStyle w:val="6"/>
        <w:spacing w:line="295" w:lineRule="auto"/>
        <w:ind w:left="440" w:firstLine="413"/>
        <w:rPr>
          <w:rFonts w:hint="eastAsia" w:ascii="MS UI Gothic" w:eastAsia="MS UI Gothic"/>
        </w:rPr>
      </w:pPr>
      <w:r>
        <w:rPr>
          <w:rFonts w:hint="eastAsia" w:ascii="MS UI Gothic" w:eastAsia="MS UI Gothic"/>
          <w:w w:val="85"/>
        </w:rPr>
        <w:t xml:space="preserve">４ </w:t>
      </w:r>
      <w:r>
        <w:t xml:space="preserve">正压型电气设备 </w:t>
      </w:r>
      <w:r>
        <w:rPr>
          <w:rFonts w:hint="eastAsia" w:ascii="MS UI Gothic" w:eastAsia="MS UI Gothic"/>
        </w:rPr>
        <w:t xml:space="preserve">ｐ </w:t>
      </w:r>
      <w:r>
        <w:t>具有正压外壳的电气设备</w:t>
      </w:r>
      <w:r>
        <w:rPr>
          <w:rFonts w:hint="eastAsia" w:ascii="MS UI Gothic" w:eastAsia="MS UI Gothic"/>
          <w:w w:val="85"/>
        </w:rPr>
        <w:t xml:space="preserve">ꎬ </w:t>
      </w:r>
      <w:r>
        <w:t>即外壳内充有保护性气体</w:t>
      </w:r>
      <w:r>
        <w:rPr>
          <w:rFonts w:hint="eastAsia" w:ascii="MS UI Gothic" w:eastAsia="MS UI Gothic"/>
          <w:w w:val="85"/>
        </w:rPr>
        <w:t>ꎬ</w:t>
      </w:r>
      <w:r>
        <w:t xml:space="preserve">并保持其压力 </w:t>
      </w:r>
      <w:r>
        <w:rPr>
          <w:rFonts w:hint="eastAsia" w:ascii="MS UI Gothic" w:eastAsia="MS UI Gothic"/>
          <w:w w:val="145"/>
        </w:rPr>
        <w:t xml:space="preserve">( </w:t>
      </w:r>
      <w:r>
        <w:t>压强</w:t>
      </w:r>
      <w:r>
        <w:rPr>
          <w:rFonts w:hint="eastAsia" w:ascii="MS UI Gothic" w:eastAsia="MS UI Gothic"/>
          <w:w w:val="145"/>
        </w:rPr>
        <w:t xml:space="preserve">) </w:t>
      </w:r>
      <w:r>
        <w:t xml:space="preserve">高于周围爆炸性环境的压力 </w:t>
      </w:r>
      <w:r>
        <w:rPr>
          <w:rFonts w:hint="eastAsia" w:ascii="MS UI Gothic" w:eastAsia="MS UI Gothic"/>
          <w:w w:val="145"/>
        </w:rPr>
        <w:t xml:space="preserve">( </w:t>
      </w:r>
      <w:r>
        <w:t>压强</w:t>
      </w:r>
      <w:r>
        <w:rPr>
          <w:rFonts w:hint="eastAsia" w:ascii="MS UI Gothic" w:eastAsia="MS UI Gothic"/>
          <w:w w:val="145"/>
        </w:rPr>
        <w:t xml:space="preserve">) </w:t>
      </w:r>
      <w:r>
        <w:rPr>
          <w:rFonts w:hint="eastAsia" w:ascii="MS UI Gothic" w:eastAsia="MS UI Gothic"/>
          <w:w w:val="85"/>
        </w:rPr>
        <w:t xml:space="preserve">ꎬ </w:t>
      </w:r>
      <w:r>
        <w:t>以阻止外部爆炸性混合物进入的防爆电气设备</w:t>
      </w:r>
      <w:r>
        <w:rPr>
          <w:rFonts w:hint="eastAsia" w:ascii="MS UI Gothic" w:eastAsia="MS UI Gothic"/>
          <w:w w:val="85"/>
        </w:rPr>
        <w:t>ꎮ</w:t>
      </w:r>
    </w:p>
    <w:p>
      <w:pPr>
        <w:pStyle w:val="6"/>
        <w:spacing w:line="295" w:lineRule="auto"/>
        <w:ind w:left="440" w:right="1" w:firstLine="413"/>
        <w:rPr>
          <w:rFonts w:hint="eastAsia" w:ascii="MS UI Gothic" w:eastAsia="MS UI Gothic"/>
        </w:rPr>
      </w:pPr>
      <w:r>
        <w:rPr>
          <w:rFonts w:hint="eastAsia" w:ascii="MS UI Gothic" w:eastAsia="MS UI Gothic"/>
        </w:rPr>
        <w:t>５</w:t>
      </w:r>
      <w:r>
        <w:rPr>
          <w:rFonts w:hint="eastAsia" w:ascii="MS UI Gothic" w:eastAsia="MS UI Gothic"/>
          <w:spacing w:val="52"/>
        </w:rPr>
        <w:t xml:space="preserve"> </w:t>
      </w:r>
      <w:r>
        <w:rPr>
          <w:spacing w:val="7"/>
        </w:rPr>
        <w:t xml:space="preserve">充油型电气设备 </w:t>
      </w:r>
      <w:r>
        <w:rPr>
          <w:rFonts w:hint="eastAsia" w:ascii="MS UI Gothic" w:eastAsia="MS UI Gothic"/>
        </w:rPr>
        <w:t xml:space="preserve">ｏ </w:t>
      </w:r>
      <w:r>
        <w:rPr>
          <w:spacing w:val="10"/>
        </w:rPr>
        <w:t>全部或部分部</w:t>
      </w:r>
      <w:r>
        <w:rPr>
          <w:spacing w:val="3"/>
        </w:rPr>
        <w:t>件浸在油内</w:t>
      </w:r>
      <w:r>
        <w:rPr>
          <w:rFonts w:hint="eastAsia" w:ascii="MS UI Gothic" w:eastAsia="MS UI Gothic"/>
          <w:spacing w:val="14"/>
          <w:w w:val="85"/>
        </w:rPr>
        <w:t xml:space="preserve">ꎬ </w:t>
      </w:r>
      <w:r>
        <w:rPr>
          <w:spacing w:val="2"/>
        </w:rPr>
        <w:t>使设备不能点燃油面以上的</w:t>
      </w:r>
      <w:r>
        <w:rPr>
          <w:spacing w:val="25"/>
        </w:rPr>
        <w:t>或外壳外的爆炸性混合物的防爆电气</w:t>
      </w:r>
      <w:r>
        <w:rPr>
          <w:spacing w:val="3"/>
        </w:rPr>
        <w:t>设备</w:t>
      </w:r>
      <w:r>
        <w:rPr>
          <w:rFonts w:hint="eastAsia" w:ascii="MS UI Gothic" w:eastAsia="MS UI Gothic"/>
          <w:w w:val="85"/>
        </w:rPr>
        <w:t>ꎮ</w:t>
      </w:r>
    </w:p>
    <w:p>
      <w:pPr>
        <w:pStyle w:val="6"/>
        <w:spacing w:before="124" w:line="295" w:lineRule="auto"/>
        <w:ind w:left="381" w:right="126" w:firstLine="413"/>
        <w:rPr>
          <w:rFonts w:hint="eastAsia" w:ascii="MS UI Gothic" w:eastAsia="MS UI Gothic"/>
        </w:rPr>
      </w:pPr>
      <w:r>
        <w:br w:type="column"/>
      </w:r>
      <w:r>
        <w:rPr>
          <w:rFonts w:hint="eastAsia" w:ascii="MS UI Gothic" w:eastAsia="MS UI Gothic"/>
        </w:rPr>
        <w:t>６</w:t>
      </w:r>
      <w:r>
        <w:rPr>
          <w:rFonts w:hint="eastAsia" w:ascii="MS UI Gothic" w:eastAsia="MS UI Gothic"/>
          <w:spacing w:val="53"/>
        </w:rPr>
        <w:t xml:space="preserve"> </w:t>
      </w:r>
      <w:r>
        <w:rPr>
          <w:spacing w:val="4"/>
        </w:rPr>
        <w:t xml:space="preserve">充砂型电气设备 </w:t>
      </w:r>
      <w:r>
        <w:rPr>
          <w:rFonts w:hint="eastAsia" w:ascii="MS UI Gothic" w:eastAsia="MS UI Gothic"/>
        </w:rPr>
        <w:t xml:space="preserve">ｑ </w:t>
      </w:r>
      <w:r>
        <w:rPr>
          <w:spacing w:val="14"/>
        </w:rPr>
        <w:t>外壳内充填砂</w:t>
      </w:r>
      <w:r>
        <w:rPr>
          <w:spacing w:val="3"/>
        </w:rPr>
        <w:t>粒材料</w:t>
      </w:r>
      <w:r>
        <w:rPr>
          <w:rFonts w:hint="eastAsia" w:ascii="MS UI Gothic" w:eastAsia="MS UI Gothic"/>
          <w:spacing w:val="13"/>
          <w:w w:val="85"/>
        </w:rPr>
        <w:t xml:space="preserve">ꎬ </w:t>
      </w:r>
      <w:r>
        <w:rPr>
          <w:spacing w:val="2"/>
        </w:rPr>
        <w:t>使之在规定的条件下壳内产生的</w:t>
      </w:r>
      <w:r>
        <w:rPr>
          <w:spacing w:val="3"/>
        </w:rPr>
        <w:t>电弧</w:t>
      </w:r>
      <w:r>
        <w:rPr>
          <w:rFonts w:hint="eastAsia" w:ascii="MS UI Gothic" w:eastAsia="MS UI Gothic"/>
          <w:spacing w:val="29"/>
        </w:rPr>
        <w:t xml:space="preserve">、 </w:t>
      </w:r>
      <w:r>
        <w:rPr>
          <w:spacing w:val="3"/>
        </w:rPr>
        <w:t>传播的火焰</w:t>
      </w:r>
      <w:r>
        <w:rPr>
          <w:rFonts w:hint="eastAsia" w:ascii="MS UI Gothic" w:eastAsia="MS UI Gothic"/>
          <w:spacing w:val="29"/>
        </w:rPr>
        <w:t xml:space="preserve">、 </w:t>
      </w:r>
      <w:r>
        <w:rPr>
          <w:spacing w:val="2"/>
        </w:rPr>
        <w:t>外壳壁或砂粒材料表</w:t>
      </w:r>
      <w:r>
        <w:rPr>
          <w:spacing w:val="3"/>
        </w:rPr>
        <w:t>面的过热温度</w:t>
      </w:r>
      <w:r>
        <w:rPr>
          <w:rFonts w:hint="eastAsia" w:ascii="MS UI Gothic" w:eastAsia="MS UI Gothic"/>
          <w:spacing w:val="13"/>
          <w:w w:val="85"/>
        </w:rPr>
        <w:t xml:space="preserve">ꎬ </w:t>
      </w:r>
      <w:r>
        <w:rPr>
          <w:spacing w:val="2"/>
        </w:rPr>
        <w:t>均不能点燃周围爆炸性混</w:t>
      </w:r>
      <w:r>
        <w:rPr>
          <w:spacing w:val="3"/>
        </w:rPr>
        <w:t>合物的防爆电气设备</w:t>
      </w:r>
      <w:r>
        <w:rPr>
          <w:rFonts w:hint="eastAsia" w:ascii="MS UI Gothic" w:eastAsia="MS UI Gothic"/>
          <w:w w:val="85"/>
        </w:rPr>
        <w:t>ꎮ</w:t>
      </w:r>
    </w:p>
    <w:p>
      <w:pPr>
        <w:pStyle w:val="6"/>
        <w:spacing w:line="295" w:lineRule="auto"/>
        <w:ind w:left="381" w:right="126" w:firstLine="413"/>
        <w:rPr>
          <w:rFonts w:hint="eastAsia" w:ascii="MS UI Gothic" w:eastAsia="MS UI Gothic"/>
        </w:rPr>
      </w:pPr>
      <w:r>
        <w:rPr>
          <w:rFonts w:hint="eastAsia" w:ascii="MS UI Gothic" w:eastAsia="MS UI Gothic"/>
        </w:rPr>
        <w:t xml:space="preserve">７ </w:t>
      </w:r>
      <w:r>
        <w:t xml:space="preserve">浇封型电气设备 </w:t>
      </w:r>
      <w:r>
        <w:rPr>
          <w:rFonts w:hint="eastAsia" w:ascii="MS UI Gothic" w:eastAsia="MS UI Gothic"/>
        </w:rPr>
        <w:t xml:space="preserve">ｍ </w:t>
      </w:r>
      <w:r>
        <w:t>将电气设备或其部件浇封在浇封剂中</w:t>
      </w:r>
      <w:r>
        <w:rPr>
          <w:rFonts w:hint="eastAsia" w:ascii="MS UI Gothic" w:eastAsia="MS UI Gothic"/>
          <w:w w:val="85"/>
        </w:rPr>
        <w:t xml:space="preserve">ꎬ </w:t>
      </w:r>
      <w:r>
        <w:t>使它在正常运行和认可的过载或认可的故障下不能点燃周围的爆炸性混合物的防爆电气设备</w:t>
      </w:r>
      <w:r>
        <w:rPr>
          <w:rFonts w:hint="eastAsia" w:ascii="MS UI Gothic" w:eastAsia="MS UI Gothic"/>
          <w:w w:val="85"/>
        </w:rPr>
        <w:t>ꎮ</w:t>
      </w:r>
    </w:p>
    <w:p>
      <w:pPr>
        <w:pStyle w:val="6"/>
        <w:spacing w:line="295" w:lineRule="auto"/>
        <w:ind w:left="381" w:right="126" w:firstLine="413"/>
        <w:rPr>
          <w:rFonts w:hint="eastAsia" w:ascii="MS UI Gothic" w:eastAsia="MS UI Gothic"/>
        </w:rPr>
      </w:pPr>
      <w:r>
        <w:rPr>
          <w:rFonts w:hint="eastAsia" w:ascii="MS UI Gothic" w:eastAsia="MS UI Gothic"/>
        </w:rPr>
        <w:t>８</w:t>
      </w:r>
      <w:r>
        <w:rPr>
          <w:rFonts w:hint="eastAsia" w:ascii="MS UI Gothic" w:eastAsia="MS UI Gothic"/>
          <w:spacing w:val="51"/>
        </w:rPr>
        <w:t xml:space="preserve"> </w:t>
      </w:r>
      <w:r>
        <w:rPr>
          <w:spacing w:val="5"/>
        </w:rPr>
        <w:t xml:space="preserve">无火花型电气设备 </w:t>
      </w:r>
      <w:r>
        <w:rPr>
          <w:rFonts w:hint="eastAsia" w:ascii="MS UI Gothic" w:eastAsia="MS UI Gothic"/>
        </w:rPr>
        <w:t xml:space="preserve">ｎ </w:t>
      </w:r>
      <w:r>
        <w:rPr>
          <w:spacing w:val="13"/>
        </w:rPr>
        <w:t>在正常运行</w:t>
      </w:r>
      <w:r>
        <w:rPr>
          <w:spacing w:val="3"/>
        </w:rPr>
        <w:t>条件下</w:t>
      </w:r>
      <w:r>
        <w:rPr>
          <w:rFonts w:hint="eastAsia" w:ascii="MS UI Gothic" w:eastAsia="MS UI Gothic"/>
          <w:spacing w:val="17"/>
          <w:w w:val="85"/>
        </w:rPr>
        <w:t xml:space="preserve">ꎬ </w:t>
      </w:r>
      <w:r>
        <w:rPr>
          <w:spacing w:val="3"/>
        </w:rPr>
        <w:t>不会点燃周围爆炸性混合物</w:t>
      </w:r>
      <w:r>
        <w:rPr>
          <w:rFonts w:hint="eastAsia" w:ascii="MS UI Gothic" w:eastAsia="MS UI Gothic"/>
          <w:spacing w:val="17"/>
          <w:w w:val="85"/>
        </w:rPr>
        <w:t xml:space="preserve">ꎬ </w:t>
      </w:r>
      <w:r>
        <w:t>且</w:t>
      </w:r>
      <w:r>
        <w:rPr>
          <w:spacing w:val="11"/>
        </w:rPr>
        <w:t>一般不会发生有点燃作用的故障的电气</w:t>
      </w:r>
      <w:r>
        <w:rPr>
          <w:spacing w:val="3"/>
        </w:rPr>
        <w:t>设备</w:t>
      </w:r>
      <w:r>
        <w:rPr>
          <w:rFonts w:hint="eastAsia" w:ascii="MS UI Gothic" w:eastAsia="MS UI Gothic"/>
          <w:w w:val="85"/>
        </w:rPr>
        <w:t>ꎮ</w:t>
      </w:r>
    </w:p>
    <w:p>
      <w:pPr>
        <w:pStyle w:val="6"/>
        <w:spacing w:line="295" w:lineRule="auto"/>
        <w:ind w:left="381" w:right="126" w:firstLine="413"/>
        <w:rPr>
          <w:rFonts w:hint="eastAsia" w:ascii="MS UI Gothic" w:eastAsia="MS UI Gothic"/>
        </w:rPr>
      </w:pPr>
      <w:r>
        <w:rPr>
          <w:rFonts w:hint="eastAsia" w:ascii="MS UI Gothic" w:eastAsia="MS UI Gothic"/>
        </w:rPr>
        <w:t>９</w:t>
      </w:r>
      <w:r>
        <w:rPr>
          <w:rFonts w:hint="eastAsia" w:ascii="MS UI Gothic" w:eastAsia="MS UI Gothic"/>
          <w:spacing w:val="51"/>
        </w:rPr>
        <w:t xml:space="preserve"> </w:t>
      </w:r>
      <w:r>
        <w:rPr>
          <w:spacing w:val="4"/>
        </w:rPr>
        <w:t xml:space="preserve">气密型电气设备 </w:t>
      </w:r>
      <w:r>
        <w:rPr>
          <w:rFonts w:hint="eastAsia" w:ascii="MS UI Gothic" w:eastAsia="MS UI Gothic"/>
        </w:rPr>
        <w:t xml:space="preserve">ｈ </w:t>
      </w:r>
      <w:r>
        <w:rPr>
          <w:spacing w:val="14"/>
        </w:rPr>
        <w:t>具有气密外壳</w:t>
      </w:r>
      <w:r>
        <w:rPr>
          <w:spacing w:val="3"/>
        </w:rPr>
        <w:t>的电气设备</w:t>
      </w:r>
      <w:r>
        <w:rPr>
          <w:rFonts w:hint="eastAsia" w:ascii="MS UI Gothic" w:eastAsia="MS UI Gothic"/>
          <w:w w:val="85"/>
        </w:rPr>
        <w:t>ꎮ</w:t>
      </w:r>
    </w:p>
    <w:p>
      <w:pPr>
        <w:pStyle w:val="6"/>
        <w:spacing w:line="295" w:lineRule="auto"/>
        <w:ind w:left="381" w:right="126" w:firstLine="413"/>
        <w:rPr>
          <w:rFonts w:hint="eastAsia" w:ascii="MS UI Gothic" w:eastAsia="MS UI Gothic"/>
        </w:rPr>
      </w:pPr>
      <w:r>
        <w:rPr>
          <w:rFonts w:hint="eastAsia" w:ascii="MS UI Gothic" w:eastAsia="MS UI Gothic"/>
        </w:rPr>
        <w:t xml:space="preserve">１０ </w:t>
      </w:r>
      <w:r>
        <w:rPr>
          <w:spacing w:val="-2"/>
        </w:rPr>
        <w:t xml:space="preserve">特殊型电气设备 </w:t>
      </w:r>
      <w:r>
        <w:rPr>
          <w:rFonts w:hint="eastAsia" w:ascii="MS UI Gothic" w:eastAsia="MS UI Gothic"/>
        </w:rPr>
        <w:t xml:space="preserve">ｓ </w:t>
      </w:r>
      <w:r>
        <w:rPr>
          <w:spacing w:val="9"/>
        </w:rPr>
        <w:t>异于现有防爆</w:t>
      </w:r>
      <w:r>
        <w:rPr>
          <w:spacing w:val="3"/>
        </w:rPr>
        <w:t>型式</w:t>
      </w:r>
      <w:r>
        <w:rPr>
          <w:rFonts w:hint="eastAsia" w:ascii="MS UI Gothic" w:eastAsia="MS UI Gothic"/>
          <w:spacing w:val="11"/>
          <w:w w:val="90"/>
        </w:rPr>
        <w:t xml:space="preserve">ꎬ </w:t>
      </w:r>
      <w:r>
        <w:rPr>
          <w:spacing w:val="3"/>
        </w:rPr>
        <w:t>由主管部门制订暂行规定</w:t>
      </w:r>
      <w:r>
        <w:rPr>
          <w:rFonts w:hint="eastAsia" w:ascii="MS UI Gothic" w:eastAsia="MS UI Gothic"/>
          <w:spacing w:val="11"/>
          <w:w w:val="90"/>
        </w:rPr>
        <w:t xml:space="preserve">ꎬ </w:t>
      </w:r>
      <w:r>
        <w:rPr>
          <w:spacing w:val="2"/>
        </w:rPr>
        <w:t>经国家</w:t>
      </w:r>
      <w:r>
        <w:rPr>
          <w:spacing w:val="3"/>
        </w:rPr>
        <w:t>认可的检验机构检验证明</w:t>
      </w:r>
      <w:r>
        <w:rPr>
          <w:rFonts w:hint="eastAsia" w:ascii="MS UI Gothic" w:eastAsia="MS UI Gothic"/>
          <w:spacing w:val="6"/>
          <w:w w:val="90"/>
        </w:rPr>
        <w:t xml:space="preserve">ꎬ </w:t>
      </w:r>
      <w:r>
        <w:rPr>
          <w:spacing w:val="2"/>
        </w:rPr>
        <w:t>具有防爆性能</w:t>
      </w:r>
      <w:r>
        <w:rPr>
          <w:spacing w:val="11"/>
        </w:rPr>
        <w:t>的电气设备</w:t>
      </w:r>
      <w:r>
        <w:rPr>
          <w:rFonts w:hint="eastAsia" w:ascii="MS UI Gothic" w:eastAsia="MS UI Gothic"/>
          <w:spacing w:val="58"/>
        </w:rPr>
        <w:t xml:space="preserve"> </w:t>
      </w:r>
      <w:r>
        <w:rPr>
          <w:spacing w:val="2"/>
        </w:rPr>
        <w:t>该型防爆电气设备须报国家</w:t>
      </w:r>
      <w:r>
        <w:rPr>
          <w:spacing w:val="3"/>
        </w:rPr>
        <w:t>技术监督局备案</w:t>
      </w:r>
      <w:r>
        <w:rPr>
          <w:rFonts w:hint="eastAsia" w:ascii="MS UI Gothic" w:eastAsia="MS UI Gothic"/>
          <w:w w:val="90"/>
        </w:rPr>
        <w:t>ꎮ</w:t>
      </w:r>
    </w:p>
    <w:p>
      <w:pPr>
        <w:pStyle w:val="6"/>
        <w:spacing w:line="295" w:lineRule="auto"/>
        <w:ind w:left="381" w:right="126"/>
        <w:rPr>
          <w:rFonts w:hint="eastAsia" w:ascii="MS UI Gothic" w:eastAsia="MS UI Gothic"/>
        </w:rPr>
      </w:pPr>
      <w:r>
        <w:t>检漏装置 当电力网路中漏电电流达到危险值时</w:t>
      </w:r>
      <w:r>
        <w:rPr>
          <w:rFonts w:hint="eastAsia" w:ascii="MS UI Gothic" w:eastAsia="MS UI Gothic"/>
          <w:w w:val="80"/>
        </w:rPr>
        <w:t xml:space="preserve">ꎬ </w:t>
      </w:r>
      <w:r>
        <w:t>能自动切断电源的装置</w:t>
      </w:r>
      <w:r>
        <w:rPr>
          <w:rFonts w:hint="eastAsia" w:ascii="MS UI Gothic" w:eastAsia="MS UI Gothic"/>
          <w:w w:val="80"/>
        </w:rPr>
        <w:t>ꎮ</w:t>
      </w:r>
    </w:p>
    <w:p>
      <w:pPr>
        <w:pStyle w:val="6"/>
        <w:spacing w:line="295" w:lineRule="auto"/>
        <w:ind w:left="381" w:right="124"/>
        <w:rPr>
          <w:rFonts w:hint="eastAsia" w:ascii="MS UI Gothic" w:eastAsia="MS UI Gothic"/>
        </w:rPr>
      </w:pPr>
      <w:r>
        <w:t>欠电压释放保护装置 即低电压保护装置</w:t>
      </w:r>
      <w:r>
        <w:rPr>
          <w:rFonts w:hint="eastAsia" w:ascii="MS UI Gothic" w:eastAsia="MS UI Gothic"/>
          <w:w w:val="80"/>
        </w:rPr>
        <w:t xml:space="preserve">ꎬ </w:t>
      </w:r>
      <w:r>
        <w:t>当供电电压低至规定的极限值时</w:t>
      </w:r>
      <w:r>
        <w:rPr>
          <w:rFonts w:hint="eastAsia" w:ascii="MS UI Gothic" w:eastAsia="MS UI Gothic"/>
          <w:w w:val="80"/>
        </w:rPr>
        <w:t>ꎬ</w:t>
      </w:r>
      <w:r>
        <w:t>能自动切断电源的继电保护装置</w:t>
      </w:r>
      <w:r>
        <w:rPr>
          <w:rFonts w:hint="eastAsia" w:ascii="MS UI Gothic" w:eastAsia="MS UI Gothic"/>
          <w:w w:val="80"/>
        </w:rPr>
        <w:t>ꎮ</w:t>
      </w:r>
    </w:p>
    <w:p>
      <w:pPr>
        <w:pStyle w:val="6"/>
        <w:spacing w:line="295" w:lineRule="auto"/>
        <w:ind w:left="381" w:right="126"/>
        <w:rPr>
          <w:rFonts w:hint="eastAsia" w:ascii="MS UI Gothic" w:eastAsia="MS UI Gothic"/>
        </w:rPr>
      </w:pPr>
      <w:r>
        <w:t>阻燃电缆 遇火点燃时</w:t>
      </w:r>
      <w:r>
        <w:rPr>
          <w:rFonts w:hint="eastAsia" w:ascii="MS UI Gothic" w:eastAsia="MS UI Gothic"/>
          <w:w w:val="80"/>
        </w:rPr>
        <w:t xml:space="preserve">ꎬ </w:t>
      </w:r>
      <w:r>
        <w:t>燃烧速度很慢</w:t>
      </w:r>
      <w:r>
        <w:rPr>
          <w:rFonts w:hint="eastAsia" w:ascii="MS UI Gothic" w:eastAsia="MS UI Gothic"/>
          <w:w w:val="80"/>
        </w:rPr>
        <w:t xml:space="preserve">ꎬ </w:t>
      </w:r>
      <w:r>
        <w:t>离开火源后即自行熄灭的电缆</w:t>
      </w:r>
      <w:r>
        <w:rPr>
          <w:rFonts w:hint="eastAsia" w:ascii="MS UI Gothic" w:eastAsia="MS UI Gothic"/>
          <w:w w:val="80"/>
        </w:rPr>
        <w:t>ꎮ</w:t>
      </w:r>
    </w:p>
    <w:p>
      <w:pPr>
        <w:pStyle w:val="6"/>
        <w:spacing w:line="295" w:lineRule="auto"/>
        <w:ind w:left="381" w:right="126"/>
        <w:rPr>
          <w:rFonts w:hint="eastAsia" w:ascii="MS UI Gothic" w:eastAsia="MS UI Gothic"/>
        </w:rPr>
      </w:pPr>
      <w:r>
        <w:t>接地装置 各接地极和接地导线</w:t>
      </w:r>
      <w:r>
        <w:rPr>
          <w:rFonts w:hint="eastAsia" w:ascii="MS UI Gothic" w:eastAsia="MS UI Gothic"/>
          <w:w w:val="80"/>
        </w:rPr>
        <w:t xml:space="preserve">、 </w:t>
      </w:r>
      <w:r>
        <w:t>接地引线的总称</w:t>
      </w:r>
      <w:r>
        <w:rPr>
          <w:rFonts w:hint="eastAsia" w:ascii="MS UI Gothic" w:eastAsia="MS UI Gothic"/>
          <w:w w:val="80"/>
        </w:rPr>
        <w:t>ꎮ</w:t>
      </w:r>
    </w:p>
    <w:p>
      <w:pPr>
        <w:pStyle w:val="6"/>
        <w:spacing w:line="295" w:lineRule="auto"/>
        <w:ind w:left="381" w:right="126"/>
        <w:rPr>
          <w:rFonts w:hint="eastAsia" w:ascii="MS UI Gothic" w:eastAsia="MS UI Gothic"/>
        </w:rPr>
      </w:pPr>
      <w:r>
        <w:t xml:space="preserve">总接地网 用导体将所有应连接的接地装置连成的 </w:t>
      </w:r>
      <w:r>
        <w:rPr>
          <w:rFonts w:hint="eastAsia" w:ascii="MS UI Gothic" w:eastAsia="MS UI Gothic"/>
          <w:w w:val="80"/>
        </w:rPr>
        <w:t xml:space="preserve">１ </w:t>
      </w:r>
      <w:r>
        <w:t>个接地系统</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 xml:space="preserve">局部接地极 在集中或单个装有电气设备 </w:t>
      </w:r>
      <w:r>
        <w:rPr>
          <w:rFonts w:hint="eastAsia" w:ascii="MS UI Gothic" w:eastAsia="MS UI Gothic"/>
          <w:w w:val="150"/>
        </w:rPr>
        <w:t xml:space="preserve">( </w:t>
      </w:r>
      <w:r>
        <w:rPr>
          <w:w w:val="105"/>
        </w:rPr>
        <w:t>包括连接动力铠装电缆的接线盒</w:t>
      </w:r>
      <w:r>
        <w:rPr>
          <w:rFonts w:hint="eastAsia" w:ascii="MS UI Gothic" w:eastAsia="MS UI Gothic"/>
          <w:w w:val="150"/>
        </w:rPr>
        <w:t xml:space="preserve">) </w:t>
      </w:r>
      <w:r>
        <w:rPr>
          <w:w w:val="105"/>
        </w:rPr>
        <w:t>的地点单独埋设的接地极</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接地电阻 接地电压与通过接地极流</w:t>
      </w:r>
      <w:r>
        <w:rPr>
          <w:spacing w:val="3"/>
          <w:w w:val="105"/>
        </w:rPr>
        <w:t>入大地电流值之比</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露天采场 具有完整的生产系统</w:t>
      </w:r>
      <w:r>
        <w:rPr>
          <w:rFonts w:hint="eastAsia" w:ascii="MS UI Gothic" w:eastAsia="MS UI Gothic"/>
          <w:spacing w:val="7"/>
          <w:w w:val="80"/>
        </w:rPr>
        <w:t xml:space="preserve">ꎬ </w:t>
      </w:r>
      <w:r>
        <w:t>进</w:t>
      </w:r>
      <w:r>
        <w:rPr>
          <w:spacing w:val="3"/>
        </w:rPr>
        <w:t>行露天开采的场所</w:t>
      </w:r>
      <w:r>
        <w:rPr>
          <w:rFonts w:hint="eastAsia" w:ascii="MS UI Gothic" w:eastAsia="MS UI Gothic"/>
          <w:w w:val="80"/>
        </w:rPr>
        <w:t>ꎮ</w:t>
      </w:r>
    </w:p>
    <w:p>
      <w:pPr>
        <w:pStyle w:val="6"/>
        <w:tabs>
          <w:tab w:val="left" w:pos="1638"/>
        </w:tabs>
        <w:spacing w:line="255" w:lineRule="exact"/>
        <w:ind w:left="800" w:firstLine="0"/>
        <w:jc w:val="left"/>
      </w:pPr>
      <w:r>
        <w:rPr>
          <w:spacing w:val="3"/>
          <w:w w:val="105"/>
        </w:rPr>
        <w:t>工作</w:t>
      </w:r>
      <w:r>
        <w:rPr>
          <w:w w:val="105"/>
        </w:rPr>
        <w:t>帮</w:t>
      </w:r>
      <w:r>
        <w:rPr>
          <w:w w:val="105"/>
        </w:rPr>
        <w:tab/>
      </w:r>
      <w:r>
        <w:rPr>
          <w:spacing w:val="3"/>
          <w:w w:val="105"/>
        </w:rPr>
        <w:t>由正在开采的台阶部分组</w:t>
      </w:r>
      <w:r>
        <w:rPr>
          <w:w w:val="105"/>
        </w:rPr>
        <w:t>成</w:t>
      </w:r>
    </w:p>
    <w:p>
      <w:pPr>
        <w:spacing w:after="0" w:line="255"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2070" o:spid="_x0000_s2070" style="position:absolute;left:0pt;margin-left:0pt;margin-top:700.1pt;height:1.75pt;width:398.25pt;mso-position-horizontal-relative:page;z-index:252083200;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３５２</w:t>
      </w:r>
    </w:p>
    <w:p>
      <w:pPr>
        <w:pStyle w:val="6"/>
        <w:spacing w:before="297" w:line="240" w:lineRule="exact"/>
        <w:ind w:firstLine="0"/>
        <w:jc w:val="left"/>
        <w:rPr>
          <w:rFonts w:hint="eastAsia" w:ascii="MS UI Gothic" w:eastAsia="MS UI Gothic"/>
        </w:rPr>
      </w:pPr>
      <w:r>
        <w:t>的边帮</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pPr>
      <w:r>
        <w:rPr>
          <w:w w:val="105"/>
        </w:rPr>
        <w:t>或矿产品并将其运至排卸地点卸装的自行</w:t>
      </w:r>
    </w:p>
    <w:p>
      <w:pPr>
        <w:spacing w:after="0" w:line="240" w:lineRule="exact"/>
        <w:jc w:val="left"/>
        <w:sectPr>
          <w:pgSz w:w="10500" w:h="14750"/>
          <w:pgMar w:top="960" w:right="980" w:bottom="280" w:left="980" w:header="720" w:footer="720" w:gutter="0"/>
          <w:cols w:equalWidth="0" w:num="2">
            <w:col w:w="1050" w:space="1251"/>
            <w:col w:w="6239"/>
          </w:cols>
        </w:sectPr>
      </w:pPr>
    </w:p>
    <w:p>
      <w:pPr>
        <w:pStyle w:val="6"/>
        <w:tabs>
          <w:tab w:val="left" w:pos="1591"/>
        </w:tabs>
        <w:spacing w:before="74" w:line="295" w:lineRule="auto"/>
        <w:ind w:right="38"/>
        <w:jc w:val="left"/>
        <w:rPr>
          <w:rFonts w:hint="eastAsia" w:ascii="MS UI Gothic" w:eastAsia="MS UI Gothic"/>
        </w:rPr>
      </w:pPr>
      <w:r>
        <w:rPr>
          <w:spacing w:val="3"/>
          <w:w w:val="105"/>
        </w:rPr>
        <w:t>非工作</w:t>
      </w:r>
      <w:r>
        <w:rPr>
          <w:w w:val="105"/>
        </w:rPr>
        <w:t>帮</w:t>
      </w:r>
      <w:r>
        <w:rPr>
          <w:w w:val="105"/>
        </w:rPr>
        <w:tab/>
      </w:r>
      <w:r>
        <w:rPr>
          <w:spacing w:val="3"/>
        </w:rPr>
        <w:t>由已结束开采的台阶部</w:t>
      </w:r>
      <w:r>
        <w:t>分</w:t>
      </w:r>
      <w:r>
        <w:rPr>
          <w:spacing w:val="3"/>
          <w:w w:val="105"/>
        </w:rPr>
        <w:t>组成的边帮</w:t>
      </w:r>
      <w:r>
        <w:rPr>
          <w:rFonts w:hint="eastAsia" w:ascii="MS UI Gothic" w:eastAsia="MS UI Gothic"/>
          <w:w w:val="80"/>
        </w:rPr>
        <w:t>ꎮ</w:t>
      </w:r>
    </w:p>
    <w:p>
      <w:pPr>
        <w:pStyle w:val="6"/>
        <w:tabs>
          <w:tab w:val="left" w:pos="2564"/>
        </w:tabs>
        <w:spacing w:line="295" w:lineRule="auto"/>
        <w:ind w:right="38"/>
        <w:jc w:val="left"/>
        <w:rPr>
          <w:rFonts w:hint="eastAsia" w:ascii="MS UI Gothic" w:eastAsia="MS UI Gothic"/>
        </w:rPr>
      </w:pPr>
      <w:r>
        <w:rPr>
          <w:spacing w:val="3"/>
          <w:w w:val="110"/>
        </w:rPr>
        <w:t>边</w:t>
      </w:r>
      <w:r>
        <w:rPr>
          <w:spacing w:val="13"/>
          <w:w w:val="110"/>
        </w:rPr>
        <w:t>帮</w:t>
      </w:r>
      <w:r>
        <w:rPr>
          <w:w w:val="110"/>
        </w:rPr>
        <w:t>角</w:t>
      </w:r>
      <w:r>
        <w:rPr>
          <w:spacing w:val="-19"/>
          <w:w w:val="110"/>
        </w:rPr>
        <w:t xml:space="preserve"> </w:t>
      </w:r>
      <w:r>
        <w:rPr>
          <w:rFonts w:hint="eastAsia" w:ascii="MS UI Gothic" w:eastAsia="MS UI Gothic"/>
          <w:w w:val="150"/>
        </w:rPr>
        <w:t>(</w:t>
      </w:r>
      <w:r>
        <w:rPr>
          <w:rFonts w:hint="eastAsia" w:ascii="MS UI Gothic" w:eastAsia="MS UI Gothic"/>
          <w:spacing w:val="-68"/>
          <w:w w:val="150"/>
        </w:rPr>
        <w:t xml:space="preserve"> </w:t>
      </w:r>
      <w:r>
        <w:rPr>
          <w:spacing w:val="17"/>
          <w:w w:val="110"/>
        </w:rPr>
        <w:t>边坡</w:t>
      </w:r>
      <w:r>
        <w:rPr>
          <w:spacing w:val="13"/>
          <w:w w:val="110"/>
        </w:rPr>
        <w:t>角</w:t>
      </w:r>
      <w:r>
        <w:rPr>
          <w:rFonts w:hint="eastAsia" w:ascii="MS UI Gothic" w:eastAsia="MS UI Gothic"/>
          <w:w w:val="150"/>
        </w:rPr>
        <w:t>)</w:t>
      </w:r>
      <w:r>
        <w:rPr>
          <w:rFonts w:hint="eastAsia" w:ascii="MS UI Gothic" w:eastAsia="MS UI Gothic"/>
          <w:w w:val="150"/>
        </w:rPr>
        <w:tab/>
      </w:r>
      <w:r>
        <w:rPr>
          <w:spacing w:val="17"/>
        </w:rPr>
        <w:t>边</w:t>
      </w:r>
      <w:r>
        <w:rPr>
          <w:spacing w:val="19"/>
        </w:rPr>
        <w:t>帮面与水</w:t>
      </w:r>
      <w:r>
        <w:rPr>
          <w:spacing w:val="-16"/>
        </w:rPr>
        <w:t>平</w:t>
      </w:r>
      <w:r>
        <w:rPr>
          <w:spacing w:val="3"/>
          <w:w w:val="110"/>
        </w:rPr>
        <w:t>面的夹角</w:t>
      </w:r>
      <w:r>
        <w:rPr>
          <w:rFonts w:hint="eastAsia" w:ascii="MS UI Gothic" w:eastAsia="MS UI Gothic"/>
          <w:w w:val="80"/>
        </w:rPr>
        <w:t>ꎮ</w:t>
      </w:r>
    </w:p>
    <w:p>
      <w:pPr>
        <w:pStyle w:val="6"/>
        <w:tabs>
          <w:tab w:val="left" w:pos="1192"/>
        </w:tabs>
        <w:spacing w:line="295" w:lineRule="auto"/>
        <w:ind w:right="38"/>
        <w:jc w:val="left"/>
        <w:rPr>
          <w:rFonts w:hint="eastAsia" w:ascii="MS UI Gothic" w:eastAsia="MS UI Gothic"/>
        </w:rPr>
      </w:pPr>
      <w:r>
        <w:rPr>
          <w:spacing w:val="3"/>
        </w:rPr>
        <w:t>剥</w:t>
      </w:r>
      <w:r>
        <w:t>离</w:t>
      </w:r>
      <w:r>
        <w:tab/>
      </w:r>
      <w:r>
        <w:rPr>
          <w:spacing w:val="19"/>
        </w:rPr>
        <w:t>在</w:t>
      </w:r>
      <w:r>
        <w:rPr>
          <w:spacing w:val="21"/>
        </w:rPr>
        <w:t>露天采场内采出剥离物</w:t>
      </w:r>
      <w:r>
        <w:rPr>
          <w:spacing w:val="-15"/>
        </w:rPr>
        <w:t>的</w:t>
      </w:r>
      <w:r>
        <w:rPr>
          <w:spacing w:val="3"/>
        </w:rPr>
        <w:t>作业</w:t>
      </w:r>
      <w:r>
        <w:rPr>
          <w:rFonts w:hint="eastAsia" w:ascii="MS UI Gothic" w:eastAsia="MS UI Gothic"/>
          <w:w w:val="80"/>
        </w:rPr>
        <w:t>ꎮ</w:t>
      </w:r>
    </w:p>
    <w:p>
      <w:pPr>
        <w:pStyle w:val="6"/>
        <w:tabs>
          <w:tab w:val="left" w:pos="1382"/>
        </w:tabs>
        <w:spacing w:line="295" w:lineRule="auto"/>
        <w:ind w:right="38"/>
        <w:jc w:val="left"/>
        <w:rPr>
          <w:rFonts w:hint="eastAsia" w:ascii="MS UI Gothic" w:eastAsia="MS UI Gothic"/>
        </w:rPr>
      </w:pPr>
      <w:r>
        <w:rPr>
          <w:spacing w:val="3"/>
        </w:rPr>
        <w:t>剥离</w:t>
      </w:r>
      <w:r>
        <w:t>物</w:t>
      </w:r>
      <w:r>
        <w:tab/>
      </w:r>
      <w:r>
        <w:rPr>
          <w:spacing w:val="3"/>
        </w:rPr>
        <w:t>露天采场内的表土</w:t>
      </w:r>
      <w:r>
        <w:rPr>
          <w:rFonts w:hint="eastAsia" w:ascii="MS UI Gothic" w:eastAsia="MS UI Gothic"/>
          <w:w w:val="80"/>
        </w:rPr>
        <w:t>、</w:t>
      </w:r>
      <w:r>
        <w:rPr>
          <w:rFonts w:hint="eastAsia" w:ascii="MS UI Gothic" w:eastAsia="MS UI Gothic"/>
          <w:spacing w:val="12"/>
          <w:w w:val="80"/>
        </w:rPr>
        <w:t xml:space="preserve"> </w:t>
      </w:r>
      <w:r>
        <w:rPr>
          <w:spacing w:val="3"/>
        </w:rPr>
        <w:t>岩层</w:t>
      </w:r>
      <w:r>
        <w:t>和</w:t>
      </w:r>
      <w:r>
        <w:rPr>
          <w:spacing w:val="3"/>
        </w:rPr>
        <w:t>不可采矿体</w:t>
      </w:r>
      <w:r>
        <w:rPr>
          <w:rFonts w:hint="eastAsia" w:ascii="MS UI Gothic" w:eastAsia="MS UI Gothic"/>
          <w:w w:val="80"/>
        </w:rPr>
        <w:t>ꎮ</w:t>
      </w:r>
    </w:p>
    <w:p>
      <w:pPr>
        <w:pStyle w:val="6"/>
        <w:tabs>
          <w:tab w:val="left" w:pos="1172"/>
        </w:tabs>
        <w:spacing w:line="295" w:lineRule="auto"/>
        <w:ind w:right="38"/>
        <w:jc w:val="left"/>
        <w:rPr>
          <w:rFonts w:hint="eastAsia" w:ascii="MS UI Gothic" w:eastAsia="MS UI Gothic"/>
        </w:rPr>
      </w:pPr>
      <w:r>
        <w:rPr>
          <w:spacing w:val="3"/>
        </w:rPr>
        <w:t>台</w:t>
      </w:r>
      <w:r>
        <w:t>阶</w:t>
      </w:r>
      <w:r>
        <w:tab/>
      </w:r>
      <w:r>
        <w:rPr>
          <w:spacing w:val="3"/>
        </w:rPr>
        <w:t>按剥离</w:t>
      </w:r>
      <w:r>
        <w:rPr>
          <w:rFonts w:hint="eastAsia" w:ascii="MS UI Gothic" w:eastAsia="MS UI Gothic"/>
          <w:w w:val="80"/>
        </w:rPr>
        <w:t>、</w:t>
      </w:r>
      <w:r>
        <w:rPr>
          <w:rFonts w:hint="eastAsia" w:ascii="MS UI Gothic" w:eastAsia="MS UI Gothic"/>
          <w:spacing w:val="17"/>
          <w:w w:val="80"/>
        </w:rPr>
        <w:t xml:space="preserve"> </w:t>
      </w:r>
      <w:r>
        <w:rPr>
          <w:spacing w:val="3"/>
        </w:rPr>
        <w:t>采矿或排土作业的</w:t>
      </w:r>
      <w:r>
        <w:t>要</w:t>
      </w:r>
      <w:r>
        <w:rPr>
          <w:spacing w:val="3"/>
        </w:rPr>
        <w:t>求</w:t>
      </w:r>
      <w:r>
        <w:rPr>
          <w:rFonts w:hint="eastAsia" w:ascii="MS UI Gothic" w:eastAsia="MS UI Gothic"/>
          <w:w w:val="80"/>
        </w:rPr>
        <w:t>ꎬ</w:t>
      </w:r>
      <w:r>
        <w:rPr>
          <w:rFonts w:hint="eastAsia" w:ascii="MS UI Gothic" w:eastAsia="MS UI Gothic"/>
          <w:spacing w:val="4"/>
          <w:w w:val="80"/>
        </w:rPr>
        <w:t xml:space="preserve"> </w:t>
      </w:r>
      <w:r>
        <w:rPr>
          <w:spacing w:val="3"/>
        </w:rPr>
        <w:t>以一定高度划分的阶梯</w:t>
      </w:r>
      <w:r>
        <w:rPr>
          <w:rFonts w:hint="eastAsia" w:ascii="MS UI Gothic" w:eastAsia="MS UI Gothic"/>
          <w:w w:val="80"/>
        </w:rPr>
        <w:t>ꎮ</w:t>
      </w:r>
    </w:p>
    <w:p>
      <w:pPr>
        <w:pStyle w:val="6"/>
        <w:tabs>
          <w:tab w:val="left" w:pos="2049"/>
        </w:tabs>
        <w:spacing w:line="255" w:lineRule="exact"/>
        <w:ind w:left="543" w:firstLine="0"/>
        <w:jc w:val="left"/>
        <w:rPr>
          <w:rFonts w:hint="eastAsia" w:ascii="MS UI Gothic" w:eastAsia="MS UI Gothic"/>
        </w:rPr>
      </w:pPr>
      <w:r>
        <w:rPr>
          <w:spacing w:val="3"/>
          <w:w w:val="110"/>
        </w:rPr>
        <w:t>平</w:t>
      </w:r>
      <w:r>
        <w:rPr>
          <w:w w:val="110"/>
        </w:rPr>
        <w:t>盘</w:t>
      </w:r>
      <w:r>
        <w:rPr>
          <w:spacing w:val="-17"/>
          <w:w w:val="110"/>
        </w:rPr>
        <w:t xml:space="preserve"> </w:t>
      </w:r>
      <w:r>
        <w:rPr>
          <w:rFonts w:hint="eastAsia" w:ascii="MS UI Gothic" w:eastAsia="MS UI Gothic"/>
          <w:w w:val="150"/>
        </w:rPr>
        <w:t>(</w:t>
      </w:r>
      <w:r>
        <w:rPr>
          <w:rFonts w:hint="eastAsia" w:ascii="MS UI Gothic" w:eastAsia="MS UI Gothic"/>
          <w:spacing w:val="-73"/>
          <w:w w:val="150"/>
        </w:rPr>
        <w:t xml:space="preserve"> </w:t>
      </w:r>
      <w:r>
        <w:rPr>
          <w:spacing w:val="3"/>
          <w:w w:val="110"/>
        </w:rPr>
        <w:t>平台</w:t>
      </w:r>
      <w:r>
        <w:rPr>
          <w:rFonts w:hint="eastAsia" w:ascii="MS UI Gothic" w:eastAsia="MS UI Gothic"/>
          <w:w w:val="150"/>
        </w:rPr>
        <w:t>)</w:t>
      </w:r>
      <w:r>
        <w:rPr>
          <w:rFonts w:hint="eastAsia" w:ascii="MS UI Gothic" w:eastAsia="MS UI Gothic"/>
          <w:w w:val="150"/>
        </w:rPr>
        <w:tab/>
      </w:r>
      <w:r>
        <w:rPr>
          <w:spacing w:val="3"/>
          <w:w w:val="110"/>
        </w:rPr>
        <w:t>台阶的水平部分</w:t>
      </w:r>
      <w:r>
        <w:rPr>
          <w:rFonts w:hint="eastAsia" w:ascii="MS UI Gothic" w:eastAsia="MS UI Gothic"/>
          <w:w w:val="80"/>
        </w:rPr>
        <w:t>ꎮ</w:t>
      </w:r>
    </w:p>
    <w:p>
      <w:pPr>
        <w:pStyle w:val="6"/>
        <w:tabs>
          <w:tab w:val="left" w:pos="1591"/>
        </w:tabs>
        <w:spacing w:before="52" w:line="295" w:lineRule="auto"/>
        <w:ind w:right="38"/>
        <w:jc w:val="left"/>
        <w:rPr>
          <w:rFonts w:hint="eastAsia" w:ascii="MS UI Gothic" w:eastAsia="MS UI Gothic"/>
        </w:rPr>
      </w:pPr>
      <w:r>
        <w:rPr>
          <w:spacing w:val="3"/>
        </w:rPr>
        <w:t>台阶高</w:t>
      </w:r>
      <w:r>
        <w:t>度</w:t>
      </w:r>
      <w:r>
        <w:tab/>
      </w:r>
      <w:r>
        <w:rPr>
          <w:spacing w:val="3"/>
        </w:rPr>
        <w:t>台阶上</w:t>
      </w:r>
      <w:r>
        <w:rPr>
          <w:rFonts w:hint="eastAsia" w:ascii="MS UI Gothic" w:eastAsia="MS UI Gothic"/>
          <w:w w:val="80"/>
        </w:rPr>
        <w:t>、</w:t>
      </w:r>
      <w:r>
        <w:rPr>
          <w:rFonts w:hint="eastAsia" w:ascii="MS UI Gothic" w:eastAsia="MS UI Gothic"/>
          <w:spacing w:val="7"/>
          <w:w w:val="80"/>
        </w:rPr>
        <w:t xml:space="preserve"> </w:t>
      </w:r>
      <w:r>
        <w:rPr>
          <w:spacing w:val="3"/>
        </w:rPr>
        <w:t>下平盘之间的</w:t>
      </w:r>
      <w:r>
        <w:t>垂</w:t>
      </w:r>
      <w:r>
        <w:rPr>
          <w:spacing w:val="3"/>
        </w:rPr>
        <w:t>直距离</w:t>
      </w:r>
      <w:r>
        <w:rPr>
          <w:rFonts w:hint="eastAsia" w:ascii="MS UI Gothic" w:eastAsia="MS UI Gothic"/>
          <w:w w:val="80"/>
        </w:rPr>
        <w:t>ꎮ</w:t>
      </w:r>
    </w:p>
    <w:p>
      <w:pPr>
        <w:pStyle w:val="6"/>
        <w:tabs>
          <w:tab w:val="left" w:pos="1506"/>
        </w:tabs>
        <w:spacing w:line="295" w:lineRule="auto"/>
        <w:ind w:right="38"/>
        <w:jc w:val="left"/>
        <w:rPr>
          <w:rFonts w:hint="eastAsia" w:ascii="MS UI Gothic" w:eastAsia="MS UI Gothic"/>
        </w:rPr>
      </w:pPr>
      <w:r>
        <w:rPr>
          <w:spacing w:val="15"/>
        </w:rPr>
        <w:t>坡</w:t>
      </w:r>
      <w:r>
        <w:rPr>
          <w:spacing w:val="34"/>
        </w:rPr>
        <w:t>顶</w:t>
      </w:r>
      <w:r>
        <w:t>线</w:t>
      </w:r>
      <w:r>
        <w:tab/>
      </w:r>
      <w:r>
        <w:rPr>
          <w:spacing w:val="34"/>
        </w:rPr>
        <w:t>台</w:t>
      </w:r>
      <w:r>
        <w:rPr>
          <w:spacing w:val="36"/>
        </w:rPr>
        <w:t>阶上部平盘与坡面</w:t>
      </w:r>
      <w:r>
        <w:t>的</w:t>
      </w:r>
      <w:r>
        <w:rPr>
          <w:spacing w:val="3"/>
        </w:rPr>
        <w:t>交线</w:t>
      </w:r>
      <w:r>
        <w:rPr>
          <w:rFonts w:hint="eastAsia" w:ascii="MS UI Gothic" w:eastAsia="MS UI Gothic"/>
          <w:w w:val="80"/>
        </w:rPr>
        <w:t>ꎮ</w:t>
      </w:r>
    </w:p>
    <w:p>
      <w:pPr>
        <w:pStyle w:val="6"/>
        <w:tabs>
          <w:tab w:val="left" w:pos="1506"/>
        </w:tabs>
        <w:spacing w:line="295" w:lineRule="auto"/>
        <w:ind w:right="38"/>
        <w:jc w:val="left"/>
        <w:rPr>
          <w:rFonts w:hint="eastAsia" w:ascii="MS UI Gothic" w:eastAsia="MS UI Gothic"/>
        </w:rPr>
      </w:pPr>
      <w:r>
        <w:rPr>
          <w:spacing w:val="15"/>
        </w:rPr>
        <w:t>坡</w:t>
      </w:r>
      <w:r>
        <w:rPr>
          <w:spacing w:val="34"/>
        </w:rPr>
        <w:t>底</w:t>
      </w:r>
      <w:r>
        <w:t>线</w:t>
      </w:r>
      <w:r>
        <w:tab/>
      </w:r>
      <w:r>
        <w:rPr>
          <w:spacing w:val="34"/>
        </w:rPr>
        <w:t>台</w:t>
      </w:r>
      <w:r>
        <w:rPr>
          <w:spacing w:val="36"/>
        </w:rPr>
        <w:t>阶下部平盘与坡面</w:t>
      </w:r>
      <w:r>
        <w:t>的</w:t>
      </w:r>
      <w:r>
        <w:rPr>
          <w:spacing w:val="3"/>
        </w:rPr>
        <w:t>交线</w:t>
      </w:r>
      <w:r>
        <w:rPr>
          <w:rFonts w:hint="eastAsia" w:ascii="MS UI Gothic" w:eastAsia="MS UI Gothic"/>
          <w:w w:val="80"/>
        </w:rPr>
        <w:t>ꎮ</w:t>
      </w:r>
    </w:p>
    <w:p>
      <w:pPr>
        <w:pStyle w:val="6"/>
        <w:tabs>
          <w:tab w:val="left" w:pos="1591"/>
        </w:tabs>
        <w:spacing w:line="295" w:lineRule="auto"/>
        <w:ind w:right="38"/>
        <w:jc w:val="left"/>
        <w:rPr>
          <w:rFonts w:hint="eastAsia" w:ascii="MS UI Gothic" w:eastAsia="MS UI Gothic"/>
        </w:rPr>
      </w:pPr>
      <w:r>
        <w:rPr>
          <w:spacing w:val="3"/>
          <w:w w:val="105"/>
        </w:rPr>
        <w:t>安全平</w:t>
      </w:r>
      <w:r>
        <w:rPr>
          <w:w w:val="105"/>
        </w:rPr>
        <w:t>盘</w:t>
      </w:r>
      <w:r>
        <w:rPr>
          <w:w w:val="105"/>
        </w:rPr>
        <w:tab/>
      </w:r>
      <w:r>
        <w:rPr>
          <w:spacing w:val="3"/>
        </w:rPr>
        <w:t>为保持边帮稳定和阻拦</w:t>
      </w:r>
      <w:r>
        <w:t>落</w:t>
      </w:r>
      <w:r>
        <w:rPr>
          <w:spacing w:val="3"/>
          <w:w w:val="105"/>
        </w:rPr>
        <w:t>石而设的平盘</w:t>
      </w:r>
      <w:r>
        <w:rPr>
          <w:rFonts w:hint="eastAsia" w:ascii="MS UI Gothic" w:eastAsia="MS UI Gothic"/>
          <w:w w:val="80"/>
        </w:rPr>
        <w:t>ꎮ</w:t>
      </w:r>
    </w:p>
    <w:p>
      <w:pPr>
        <w:pStyle w:val="6"/>
        <w:tabs>
          <w:tab w:val="left" w:pos="1597"/>
        </w:tabs>
        <w:spacing w:line="295" w:lineRule="auto"/>
        <w:ind w:right="55"/>
        <w:jc w:val="left"/>
        <w:rPr>
          <w:rFonts w:hint="eastAsia" w:ascii="MS UI Gothic" w:hAnsi="MS UI Gothic" w:eastAsia="MS UI Gothic"/>
        </w:rPr>
      </w:pPr>
      <w:r>
        <w:rPr>
          <w:spacing w:val="3"/>
          <w:w w:val="105"/>
        </w:rPr>
        <w:t>折返坑</w:t>
      </w:r>
      <w:r>
        <w:rPr>
          <w:w w:val="105"/>
        </w:rPr>
        <w:t>线</w:t>
      </w:r>
      <w:r>
        <w:rPr>
          <w:w w:val="105"/>
        </w:rPr>
        <w:tab/>
      </w:r>
      <w:r>
        <w:rPr>
          <w:spacing w:val="9"/>
          <w:w w:val="105"/>
        </w:rPr>
        <w:t>运输设备运行</w:t>
      </w:r>
      <w:r>
        <w:rPr>
          <w:spacing w:val="11"/>
          <w:w w:val="105"/>
        </w:rPr>
        <w:t>中</w:t>
      </w:r>
      <w:r>
        <w:rPr>
          <w:w w:val="105"/>
        </w:rPr>
        <w:t>按</w:t>
      </w:r>
      <w:r>
        <w:rPr>
          <w:spacing w:val="-21"/>
          <w:w w:val="105"/>
        </w:rPr>
        <w:t xml:space="preserve"> </w:t>
      </w:r>
      <w:r>
        <w:rPr>
          <w:rFonts w:hint="eastAsia" w:ascii="MS UI Gothic" w:hAnsi="MS UI Gothic" w:eastAsia="MS UI Gothic"/>
          <w:w w:val="105"/>
        </w:rPr>
        <w:t>“</w:t>
      </w:r>
      <w:r>
        <w:rPr>
          <w:rFonts w:hint="eastAsia" w:ascii="MS UI Gothic" w:hAnsi="MS UI Gothic" w:eastAsia="MS UI Gothic"/>
          <w:spacing w:val="-45"/>
          <w:w w:val="105"/>
        </w:rPr>
        <w:t xml:space="preserve"> </w:t>
      </w:r>
      <w:r>
        <w:rPr>
          <w:spacing w:val="9"/>
          <w:w w:val="105"/>
        </w:rPr>
        <w:t>之</w:t>
      </w:r>
      <w:r>
        <w:rPr>
          <w:rFonts w:hint="eastAsia" w:ascii="MS UI Gothic" w:hAnsi="MS UI Gothic" w:eastAsia="MS UI Gothic"/>
          <w:spacing w:val="-11"/>
          <w:w w:val="105"/>
        </w:rPr>
        <w:t xml:space="preserve">” </w:t>
      </w:r>
      <w:r>
        <w:rPr>
          <w:spacing w:val="3"/>
          <w:w w:val="105"/>
        </w:rPr>
        <w:t>字形改变运行方向的坑线</w:t>
      </w:r>
      <w:r>
        <w:rPr>
          <w:rFonts w:hint="eastAsia" w:ascii="MS UI Gothic" w:hAnsi="MS UI Gothic" w:eastAsia="MS UI Gothic"/>
          <w:w w:val="80"/>
        </w:rPr>
        <w:t>ꎮ</w:t>
      </w:r>
    </w:p>
    <w:p>
      <w:pPr>
        <w:pStyle w:val="6"/>
        <w:tabs>
          <w:tab w:val="left" w:pos="1172"/>
        </w:tabs>
        <w:spacing w:line="255" w:lineRule="exact"/>
        <w:ind w:left="543" w:firstLine="0"/>
        <w:jc w:val="left"/>
        <w:rPr>
          <w:rFonts w:hint="eastAsia" w:ascii="MS UI Gothic" w:eastAsia="MS UI Gothic"/>
        </w:rPr>
      </w:pPr>
      <w:r>
        <w:rPr>
          <w:spacing w:val="3"/>
        </w:rPr>
        <w:t>原</w:t>
      </w:r>
      <w:r>
        <w:t>岩</w:t>
      </w:r>
      <w:r>
        <w:tab/>
      </w:r>
      <w:r>
        <w:rPr>
          <w:spacing w:val="3"/>
        </w:rPr>
        <w:t>未受采掘影响的天然岩体</w:t>
      </w:r>
      <w:r>
        <w:rPr>
          <w:rFonts w:hint="eastAsia" w:ascii="MS UI Gothic" w:eastAsia="MS UI Gothic"/>
          <w:w w:val="80"/>
        </w:rPr>
        <w:t>ꎮ</w:t>
      </w:r>
    </w:p>
    <w:p>
      <w:pPr>
        <w:pStyle w:val="6"/>
        <w:spacing w:before="52" w:line="295" w:lineRule="auto"/>
        <w:ind w:right="38"/>
        <w:rPr>
          <w:rFonts w:hint="eastAsia" w:ascii="MS UI Gothic" w:eastAsia="MS UI Gothic"/>
        </w:rPr>
      </w:pPr>
      <w:r>
        <w:rPr>
          <w:w w:val="105"/>
        </w:rPr>
        <w:t>边帮监测 对边帮岩体变形及相应现象进行观察和测定的工作</w:t>
      </w:r>
      <w:r>
        <w:rPr>
          <w:rFonts w:hint="eastAsia" w:ascii="MS UI Gothic" w:eastAsia="MS UI Gothic"/>
          <w:w w:val="80"/>
        </w:rPr>
        <w:t>ꎮ</w:t>
      </w:r>
    </w:p>
    <w:p>
      <w:pPr>
        <w:pStyle w:val="6"/>
        <w:spacing w:line="295" w:lineRule="auto"/>
        <w:ind w:right="38"/>
        <w:rPr>
          <w:rFonts w:hint="eastAsia" w:ascii="MS UI Gothic" w:eastAsia="MS UI Gothic"/>
        </w:rPr>
      </w:pPr>
      <w:r>
        <w:t>排土线 排土场内供排卸剥离物的台阶线路</w:t>
      </w:r>
      <w:r>
        <w:rPr>
          <w:rFonts w:hint="eastAsia" w:ascii="MS UI Gothic" w:eastAsia="MS UI Gothic"/>
          <w:w w:val="80"/>
        </w:rPr>
        <w:t>ꎮ</w:t>
      </w:r>
    </w:p>
    <w:p>
      <w:pPr>
        <w:pStyle w:val="6"/>
        <w:spacing w:line="295" w:lineRule="auto"/>
        <w:ind w:right="38"/>
        <w:rPr>
          <w:rFonts w:hint="eastAsia" w:ascii="MS UI Gothic" w:eastAsia="MS UI Gothic"/>
        </w:rPr>
      </w:pPr>
      <w:r>
        <w:rPr>
          <w:w w:val="105"/>
        </w:rPr>
        <w:t>采装 用挖掘设备铲挖土岩并装入运输设备的工艺环节</w:t>
      </w:r>
      <w:r>
        <w:rPr>
          <w:rFonts w:hint="eastAsia" w:ascii="MS UI Gothic" w:eastAsia="MS UI Gothic"/>
          <w:w w:val="80"/>
        </w:rPr>
        <w:t>ꎮ</w:t>
      </w:r>
    </w:p>
    <w:p>
      <w:pPr>
        <w:pStyle w:val="6"/>
        <w:spacing w:line="295" w:lineRule="auto"/>
        <w:ind w:right="38"/>
        <w:rPr>
          <w:rFonts w:hint="eastAsia" w:ascii="MS UI Gothic" w:eastAsia="MS UI Gothic"/>
        </w:rPr>
      </w:pPr>
      <w:r>
        <w:rPr>
          <w:w w:val="105"/>
        </w:rPr>
        <w:t>上装 挖掘设备站立水平低于与其配</w:t>
      </w:r>
      <w:r>
        <w:t>合的运输设备站立水平进行的采装作业</w:t>
      </w:r>
      <w:r>
        <w:rPr>
          <w:rFonts w:hint="eastAsia" w:ascii="MS UI Gothic" w:eastAsia="MS UI Gothic"/>
          <w:w w:val="80"/>
        </w:rPr>
        <w:t>ꎮ</w:t>
      </w:r>
    </w:p>
    <w:p>
      <w:pPr>
        <w:pStyle w:val="6"/>
        <w:spacing w:line="295" w:lineRule="auto"/>
        <w:ind w:right="38"/>
        <w:rPr>
          <w:rFonts w:hint="eastAsia" w:ascii="MS UI Gothic" w:eastAsia="MS UI Gothic"/>
        </w:rPr>
      </w:pPr>
      <w:r>
        <w:rPr>
          <w:w w:val="105"/>
        </w:rPr>
        <w:t>连续开采工艺 采装</w:t>
      </w:r>
      <w:r>
        <w:rPr>
          <w:rFonts w:hint="eastAsia" w:ascii="MS UI Gothic" w:eastAsia="MS UI Gothic"/>
          <w:w w:val="80"/>
        </w:rPr>
        <w:t xml:space="preserve">、 </w:t>
      </w:r>
      <w:r>
        <w:rPr>
          <w:w w:val="105"/>
        </w:rPr>
        <w:t>移运和排卸作</w:t>
      </w:r>
      <w:r>
        <w:t>业均采用连续式设备形成连续物料流的开</w:t>
      </w:r>
      <w:r>
        <w:rPr>
          <w:w w:val="105"/>
        </w:rPr>
        <w:t>采工艺</w:t>
      </w:r>
      <w:r>
        <w:rPr>
          <w:rFonts w:hint="eastAsia" w:ascii="MS UI Gothic" w:eastAsia="MS UI Gothic"/>
          <w:w w:val="80"/>
        </w:rPr>
        <w:t>ꎮ</w:t>
      </w:r>
    </w:p>
    <w:p>
      <w:pPr>
        <w:pStyle w:val="6"/>
        <w:spacing w:line="295" w:lineRule="auto"/>
        <w:ind w:right="38"/>
        <w:rPr>
          <w:rFonts w:hint="eastAsia" w:ascii="MS UI Gothic" w:eastAsia="MS UI Gothic"/>
        </w:rPr>
      </w:pPr>
      <w:r>
        <w:rPr>
          <w:w w:val="105"/>
        </w:rPr>
        <w:t>安全区 露天煤矿开采平盘上不受采装及运输威胁的范围</w:t>
      </w:r>
      <w:r>
        <w:rPr>
          <w:rFonts w:hint="eastAsia" w:ascii="MS UI Gothic" w:eastAsia="MS UI Gothic"/>
          <w:w w:val="80"/>
        </w:rPr>
        <w:t>ꎮ</w:t>
      </w:r>
    </w:p>
    <w:p>
      <w:pPr>
        <w:pStyle w:val="6"/>
        <w:spacing w:line="295" w:lineRule="auto"/>
        <w:ind w:right="38"/>
        <w:rPr>
          <w:rFonts w:hint="eastAsia" w:ascii="MS UI Gothic" w:eastAsia="MS UI Gothic"/>
        </w:rPr>
      </w:pPr>
      <w:r>
        <w:rPr>
          <w:w w:val="105"/>
        </w:rPr>
        <w:t>安全标志 在安全区范围设置的醒目记号和装置</w:t>
      </w:r>
      <w:r>
        <w:rPr>
          <w:rFonts w:hint="eastAsia" w:ascii="MS UI Gothic" w:eastAsia="MS UI Gothic"/>
          <w:w w:val="80"/>
        </w:rPr>
        <w:t>ꎮ</w:t>
      </w:r>
    </w:p>
    <w:p>
      <w:pPr>
        <w:pStyle w:val="6"/>
        <w:tabs>
          <w:tab w:val="left" w:pos="1382"/>
        </w:tabs>
        <w:spacing w:line="255" w:lineRule="exact"/>
        <w:ind w:left="543" w:firstLine="0"/>
        <w:jc w:val="left"/>
      </w:pPr>
      <w:r>
        <w:rPr>
          <w:spacing w:val="3"/>
          <w:w w:val="105"/>
        </w:rPr>
        <w:t>挖掘</w:t>
      </w:r>
      <w:r>
        <w:rPr>
          <w:w w:val="105"/>
        </w:rPr>
        <w:t>机</w:t>
      </w:r>
      <w:r>
        <w:rPr>
          <w:w w:val="105"/>
        </w:rPr>
        <w:tab/>
      </w:r>
      <w:r>
        <w:rPr>
          <w:spacing w:val="3"/>
        </w:rPr>
        <w:t>用铲斗从工作面铲装剥离</w:t>
      </w:r>
      <w:r>
        <w:t>物</w:t>
      </w:r>
    </w:p>
    <w:p>
      <w:pPr>
        <w:pStyle w:val="6"/>
        <w:spacing w:before="74"/>
        <w:ind w:firstLine="0"/>
        <w:jc w:val="left"/>
        <w:rPr>
          <w:rFonts w:hint="eastAsia" w:ascii="MS UI Gothic" w:eastAsia="MS UI Gothic"/>
        </w:rPr>
      </w:pPr>
      <w:r>
        <w:br w:type="column"/>
      </w:r>
      <w:r>
        <w:t>式采掘机械</w:t>
      </w:r>
      <w:r>
        <w:rPr>
          <w:rFonts w:hint="eastAsia" w:ascii="MS UI Gothic" w:eastAsia="MS UI Gothic"/>
          <w:w w:val="80"/>
        </w:rPr>
        <w:t>ꎮ</w:t>
      </w:r>
    </w:p>
    <w:p>
      <w:pPr>
        <w:pStyle w:val="6"/>
        <w:spacing w:before="58"/>
        <w:ind w:left="543" w:firstLine="0"/>
        <w:rPr>
          <w:rFonts w:hint="eastAsia" w:ascii="MS UI Gothic" w:eastAsia="MS UI Gothic"/>
        </w:rPr>
      </w:pPr>
      <w:r>
        <w:t>穿孔机 露天煤矿钻孔的设备</w:t>
      </w:r>
      <w:r>
        <w:rPr>
          <w:rFonts w:hint="eastAsia" w:ascii="MS UI Gothic" w:eastAsia="MS UI Gothic"/>
          <w:w w:val="80"/>
        </w:rPr>
        <w:t>ꎮ</w:t>
      </w:r>
    </w:p>
    <w:p>
      <w:pPr>
        <w:pStyle w:val="6"/>
        <w:spacing w:before="59" w:line="295" w:lineRule="auto"/>
        <w:ind w:right="442"/>
        <w:rPr>
          <w:rFonts w:hint="eastAsia" w:ascii="MS UI Gothic" w:eastAsia="MS UI Gothic"/>
        </w:rPr>
      </w:pPr>
      <w:r>
        <w:rPr>
          <w:w w:val="105"/>
        </w:rPr>
        <w:t xml:space="preserve">轮斗挖掘机 </w:t>
      </w:r>
      <w:r>
        <w:rPr>
          <w:rFonts w:hint="eastAsia" w:ascii="MS UI Gothic" w:eastAsia="MS UI Gothic"/>
          <w:w w:val="150"/>
        </w:rPr>
        <w:t xml:space="preserve">( </w:t>
      </w:r>
      <w:r>
        <w:rPr>
          <w:w w:val="105"/>
        </w:rPr>
        <w:t>轮斗铲</w:t>
      </w:r>
      <w:r>
        <w:rPr>
          <w:rFonts w:hint="eastAsia" w:ascii="MS UI Gothic" w:eastAsia="MS UI Gothic"/>
          <w:w w:val="150"/>
        </w:rPr>
        <w:t xml:space="preserve">)  </w:t>
      </w:r>
      <w:r>
        <w:rPr>
          <w:w w:val="105"/>
        </w:rPr>
        <w:t>靠装在臂</w:t>
      </w:r>
      <w:r>
        <w:t>架前端的斗轮转动</w:t>
      </w:r>
      <w:r>
        <w:rPr>
          <w:rFonts w:hint="eastAsia" w:ascii="MS UI Gothic" w:eastAsia="MS UI Gothic"/>
          <w:w w:val="80"/>
        </w:rPr>
        <w:t xml:space="preserve">ꎬ </w:t>
      </w:r>
      <w:r>
        <w:t>由斗轮周边的铲斗轮流挖取剥离物或矿产品的一种连续式多斗</w:t>
      </w:r>
      <w:r>
        <w:rPr>
          <w:w w:val="105"/>
        </w:rPr>
        <w:t>挖掘机</w:t>
      </w:r>
      <w:r>
        <w:rPr>
          <w:rFonts w:hint="eastAsia" w:ascii="MS UI Gothic" w:eastAsia="MS UI Gothic"/>
          <w:w w:val="80"/>
        </w:rPr>
        <w:t>ꎮ</w:t>
      </w:r>
    </w:p>
    <w:p>
      <w:pPr>
        <w:pStyle w:val="6"/>
        <w:spacing w:line="295" w:lineRule="auto"/>
        <w:ind w:right="442"/>
        <w:rPr>
          <w:rFonts w:hint="eastAsia" w:ascii="MS UI Gothic" w:eastAsia="MS UI Gothic"/>
        </w:rPr>
      </w:pPr>
      <w:r>
        <w:rPr>
          <w:spacing w:val="-6"/>
          <w:w w:val="105"/>
        </w:rPr>
        <w:t xml:space="preserve">推 </w:t>
      </w:r>
      <w:r>
        <w:rPr>
          <w:rFonts w:hint="eastAsia" w:ascii="MS UI Gothic" w:eastAsia="MS UI Gothic"/>
          <w:spacing w:val="-37"/>
          <w:w w:val="150"/>
        </w:rPr>
        <w:t xml:space="preserve">( </w:t>
      </w:r>
      <w:r>
        <w:rPr>
          <w:spacing w:val="3"/>
          <w:w w:val="105"/>
        </w:rPr>
        <w:t>排</w:t>
      </w:r>
      <w:r>
        <w:rPr>
          <w:rFonts w:hint="eastAsia" w:ascii="MS UI Gothic" w:eastAsia="MS UI Gothic"/>
          <w:spacing w:val="14"/>
          <w:w w:val="150"/>
        </w:rPr>
        <w:t xml:space="preserve">) </w:t>
      </w:r>
      <w:r>
        <w:rPr>
          <w:spacing w:val="13"/>
          <w:w w:val="105"/>
        </w:rPr>
        <w:t>土犁 在轨道上行驶</w:t>
      </w:r>
      <w:r>
        <w:rPr>
          <w:rFonts w:hint="eastAsia" w:ascii="MS UI Gothic" w:eastAsia="MS UI Gothic"/>
          <w:spacing w:val="3"/>
          <w:w w:val="80"/>
        </w:rPr>
        <w:t xml:space="preserve">ꎬ </w:t>
      </w:r>
      <w:r>
        <w:rPr>
          <w:w w:val="105"/>
        </w:rPr>
        <w:t>用</w:t>
      </w:r>
      <w:r>
        <w:rPr>
          <w:spacing w:val="11"/>
        </w:rPr>
        <w:t>侧开板把剥离物外推并平整路基的排土</w:t>
      </w:r>
      <w:r>
        <w:rPr>
          <w:spacing w:val="3"/>
          <w:w w:val="105"/>
        </w:rPr>
        <w:t>机械</w:t>
      </w:r>
      <w:r>
        <w:rPr>
          <w:rFonts w:hint="eastAsia" w:ascii="MS UI Gothic" w:eastAsia="MS UI Gothic"/>
          <w:w w:val="80"/>
        </w:rPr>
        <w:t>ꎮ</w:t>
      </w:r>
    </w:p>
    <w:p>
      <w:pPr>
        <w:pStyle w:val="6"/>
        <w:spacing w:line="295" w:lineRule="auto"/>
        <w:ind w:right="442"/>
        <w:rPr>
          <w:rFonts w:hint="eastAsia" w:ascii="MS UI Gothic" w:eastAsia="MS UI Gothic"/>
        </w:rPr>
      </w:pPr>
      <w:r>
        <w:rPr>
          <w:spacing w:val="25"/>
        </w:rPr>
        <w:t>滑坡  边帮岩体沿滑动面滑动的</w:t>
      </w:r>
      <w:r>
        <w:rPr>
          <w:spacing w:val="3"/>
        </w:rPr>
        <w:t>现象</w:t>
      </w:r>
      <w:r>
        <w:rPr>
          <w:rFonts w:hint="eastAsia" w:ascii="MS UI Gothic" w:eastAsia="MS UI Gothic"/>
          <w:w w:val="80"/>
        </w:rPr>
        <w:t>ꎮ</w:t>
      </w:r>
    </w:p>
    <w:p>
      <w:pPr>
        <w:pStyle w:val="6"/>
        <w:spacing w:line="295" w:lineRule="auto"/>
        <w:ind w:right="442"/>
        <w:rPr>
          <w:rFonts w:hint="eastAsia" w:ascii="MS UI Gothic" w:eastAsia="MS UI Gothic"/>
        </w:rPr>
      </w:pPr>
      <w:r>
        <w:rPr>
          <w:spacing w:val="10"/>
        </w:rPr>
        <w:t>台阶坡面角  台阶坡面与水平面的</w:t>
      </w:r>
      <w:r>
        <w:rPr>
          <w:spacing w:val="3"/>
        </w:rPr>
        <w:t>夹角</w:t>
      </w:r>
      <w:r>
        <w:rPr>
          <w:rFonts w:hint="eastAsia" w:ascii="MS UI Gothic" w:eastAsia="MS UI Gothic"/>
          <w:w w:val="80"/>
        </w:rPr>
        <w:t>ꎮ</w:t>
      </w:r>
    </w:p>
    <w:p>
      <w:pPr>
        <w:pStyle w:val="6"/>
        <w:spacing w:line="295" w:lineRule="auto"/>
        <w:ind w:right="442"/>
        <w:rPr>
          <w:rFonts w:hint="eastAsia" w:ascii="MS UI Gothic" w:eastAsia="MS UI Gothic"/>
        </w:rPr>
      </w:pPr>
      <w:r>
        <w:rPr>
          <w:w w:val="105"/>
        </w:rPr>
        <w:t>边坡稳定分析 分析边坡岩体稳定程度的工作</w:t>
      </w:r>
      <w:r>
        <w:rPr>
          <w:rFonts w:hint="eastAsia" w:ascii="MS UI Gothic" w:eastAsia="MS UI Gothic"/>
          <w:w w:val="80"/>
        </w:rPr>
        <w:t>ꎮ</w:t>
      </w:r>
    </w:p>
    <w:p>
      <w:pPr>
        <w:pStyle w:val="6"/>
        <w:spacing w:line="295" w:lineRule="auto"/>
        <w:ind w:right="442"/>
        <w:rPr>
          <w:rFonts w:hint="eastAsia" w:ascii="MS UI Gothic" w:eastAsia="MS UI Gothic"/>
        </w:rPr>
      </w:pPr>
      <w:r>
        <w:t>最终边坡  露天采场开采结束时的边坡</w:t>
      </w:r>
      <w:r>
        <w:rPr>
          <w:rFonts w:hint="eastAsia" w:ascii="MS UI Gothic" w:eastAsia="MS UI Gothic"/>
          <w:w w:val="80"/>
        </w:rPr>
        <w:t>ꎮ</w:t>
      </w:r>
    </w:p>
    <w:p>
      <w:pPr>
        <w:pStyle w:val="6"/>
        <w:spacing w:line="255" w:lineRule="exact"/>
        <w:ind w:left="543" w:firstLine="0"/>
        <w:rPr>
          <w:rFonts w:hint="eastAsia" w:ascii="MS UI Gothic" w:eastAsia="MS UI Gothic"/>
        </w:rPr>
      </w:pPr>
      <w:r>
        <w:t>滑体 滑坡产生的滑动岩体</w:t>
      </w:r>
      <w:r>
        <w:rPr>
          <w:rFonts w:hint="eastAsia" w:ascii="MS UI Gothic" w:eastAsia="MS UI Gothic"/>
          <w:w w:val="80"/>
        </w:rPr>
        <w:t>ꎮ</w:t>
      </w:r>
    </w:p>
    <w:p>
      <w:pPr>
        <w:pStyle w:val="6"/>
        <w:tabs>
          <w:tab w:val="left" w:pos="1265"/>
        </w:tabs>
        <w:spacing w:before="47" w:line="295" w:lineRule="auto"/>
        <w:ind w:right="442"/>
        <w:jc w:val="left"/>
        <w:rPr>
          <w:rFonts w:hint="eastAsia" w:ascii="MS UI Gothic" w:eastAsia="MS UI Gothic"/>
        </w:rPr>
      </w:pPr>
      <w:r>
        <w:rPr>
          <w:spacing w:val="15"/>
        </w:rPr>
        <w:t>塌</w:t>
      </w:r>
      <w:r>
        <w:t>落</w:t>
      </w:r>
      <w:r>
        <w:tab/>
      </w:r>
      <w:r>
        <w:rPr>
          <w:spacing w:val="34"/>
        </w:rPr>
        <w:t>边帮</w:t>
      </w:r>
      <w:r>
        <w:rPr>
          <w:spacing w:val="36"/>
        </w:rPr>
        <w:t>局部岩体突然片落</w:t>
      </w:r>
      <w:r>
        <w:t>的</w:t>
      </w:r>
      <w:r>
        <w:rPr>
          <w:spacing w:val="3"/>
        </w:rPr>
        <w:t>现象</w:t>
      </w:r>
      <w:r>
        <w:rPr>
          <w:rFonts w:hint="eastAsia" w:ascii="MS UI Gothic" w:eastAsia="MS UI Gothic"/>
          <w:w w:val="80"/>
        </w:rPr>
        <w:t>ꎮ</w:t>
      </w:r>
    </w:p>
    <w:p>
      <w:pPr>
        <w:pStyle w:val="6"/>
        <w:tabs>
          <w:tab w:val="left" w:pos="1801"/>
        </w:tabs>
        <w:spacing w:line="295" w:lineRule="auto"/>
        <w:ind w:right="442"/>
        <w:jc w:val="left"/>
        <w:rPr>
          <w:rFonts w:hint="eastAsia" w:ascii="MS UI Gothic" w:eastAsia="MS UI Gothic"/>
        </w:rPr>
      </w:pPr>
      <w:r>
        <w:rPr>
          <w:spacing w:val="3"/>
        </w:rPr>
        <w:t>外部排土</w:t>
      </w:r>
      <w:r>
        <w:t>场</w:t>
      </w:r>
      <w:r>
        <w:tab/>
      </w:r>
      <w:r>
        <w:rPr>
          <w:spacing w:val="3"/>
        </w:rPr>
        <w:t>建在露天采场以外的</w:t>
      </w:r>
      <w:r>
        <w:t>排</w:t>
      </w:r>
      <w:r>
        <w:rPr>
          <w:spacing w:val="3"/>
        </w:rPr>
        <w:t>土场</w:t>
      </w:r>
      <w:r>
        <w:rPr>
          <w:rFonts w:hint="eastAsia" w:ascii="MS UI Gothic" w:eastAsia="MS UI Gothic"/>
          <w:w w:val="80"/>
        </w:rPr>
        <w:t>ꎮ</w:t>
      </w:r>
    </w:p>
    <w:p>
      <w:pPr>
        <w:pStyle w:val="6"/>
        <w:tabs>
          <w:tab w:val="left" w:pos="1801"/>
        </w:tabs>
        <w:spacing w:line="295" w:lineRule="auto"/>
        <w:ind w:right="442"/>
        <w:jc w:val="left"/>
        <w:rPr>
          <w:rFonts w:hint="eastAsia" w:ascii="MS UI Gothic" w:eastAsia="MS UI Gothic"/>
        </w:rPr>
      </w:pPr>
      <w:r>
        <w:rPr>
          <w:spacing w:val="3"/>
        </w:rPr>
        <w:t>内部排土</w:t>
      </w:r>
      <w:r>
        <w:t>场</w:t>
      </w:r>
      <w:r>
        <w:tab/>
      </w:r>
      <w:r>
        <w:rPr>
          <w:spacing w:val="3"/>
        </w:rPr>
        <w:t>建在露天采场以内的</w:t>
      </w:r>
      <w:r>
        <w:t>排</w:t>
      </w:r>
      <w:r>
        <w:rPr>
          <w:spacing w:val="3"/>
        </w:rPr>
        <w:t>土场</w:t>
      </w:r>
      <w:r>
        <w:rPr>
          <w:rFonts w:hint="eastAsia" w:ascii="MS UI Gothic" w:eastAsia="MS UI Gothic"/>
          <w:w w:val="80"/>
        </w:rPr>
        <w:t>ꎮ</w:t>
      </w:r>
    </w:p>
    <w:p>
      <w:pPr>
        <w:pStyle w:val="6"/>
        <w:tabs>
          <w:tab w:val="left" w:pos="1801"/>
        </w:tabs>
        <w:spacing w:line="295" w:lineRule="auto"/>
        <w:ind w:right="442"/>
        <w:jc w:val="left"/>
        <w:rPr>
          <w:rFonts w:hint="eastAsia" w:ascii="MS UI Gothic" w:eastAsia="MS UI Gothic"/>
        </w:rPr>
      </w:pPr>
      <w:r>
        <w:rPr>
          <w:spacing w:val="3"/>
          <w:w w:val="105"/>
        </w:rPr>
        <w:t>排土场滑</w:t>
      </w:r>
      <w:r>
        <w:rPr>
          <w:w w:val="105"/>
        </w:rPr>
        <w:t>坡</w:t>
      </w:r>
      <w:r>
        <w:rPr>
          <w:w w:val="105"/>
        </w:rPr>
        <w:tab/>
      </w:r>
      <w:r>
        <w:rPr>
          <w:spacing w:val="3"/>
        </w:rPr>
        <w:t>排土场松散土岩体自</w:t>
      </w:r>
      <w:r>
        <w:t>身</w:t>
      </w:r>
      <w:r>
        <w:rPr>
          <w:spacing w:val="3"/>
          <w:w w:val="105"/>
        </w:rPr>
        <w:t>的或随基底的变形或滑动</w:t>
      </w:r>
      <w:r>
        <w:rPr>
          <w:rFonts w:hint="eastAsia" w:ascii="MS UI Gothic" w:eastAsia="MS UI Gothic"/>
          <w:w w:val="80"/>
        </w:rPr>
        <w:t>ꎮ</w:t>
      </w:r>
    </w:p>
    <w:p>
      <w:pPr>
        <w:pStyle w:val="6"/>
        <w:tabs>
          <w:tab w:val="left" w:pos="1644"/>
        </w:tabs>
        <w:spacing w:line="295" w:lineRule="auto"/>
        <w:ind w:right="442"/>
        <w:jc w:val="left"/>
        <w:rPr>
          <w:rFonts w:hint="eastAsia" w:ascii="MS UI Gothic" w:eastAsia="MS UI Gothic"/>
        </w:rPr>
      </w:pPr>
      <w:r>
        <w:rPr>
          <w:spacing w:val="3"/>
        </w:rPr>
        <w:t>固定</w:t>
      </w:r>
      <w:r>
        <w:rPr>
          <w:spacing w:val="15"/>
        </w:rPr>
        <w:t>线</w:t>
      </w:r>
      <w:r>
        <w:t>路</w:t>
      </w:r>
      <w:r>
        <w:tab/>
      </w:r>
      <w:r>
        <w:rPr>
          <w:spacing w:val="21"/>
        </w:rPr>
        <w:t>长期固定不移动的运</w:t>
      </w:r>
      <w:r>
        <w:rPr>
          <w:spacing w:val="-14"/>
        </w:rPr>
        <w:t>输</w:t>
      </w:r>
      <w:r>
        <w:rPr>
          <w:spacing w:val="3"/>
        </w:rPr>
        <w:t>线路</w:t>
      </w:r>
      <w:r>
        <w:rPr>
          <w:rFonts w:hint="eastAsia" w:ascii="MS UI Gothic" w:eastAsia="MS UI Gothic"/>
          <w:w w:val="80"/>
        </w:rPr>
        <w:t>ꎮ</w:t>
      </w:r>
    </w:p>
    <w:p>
      <w:pPr>
        <w:pStyle w:val="6"/>
        <w:tabs>
          <w:tab w:val="left" w:pos="1382"/>
        </w:tabs>
        <w:spacing w:line="295" w:lineRule="auto"/>
        <w:ind w:right="442"/>
        <w:jc w:val="left"/>
        <w:rPr>
          <w:rFonts w:hint="eastAsia" w:ascii="MS UI Gothic" w:eastAsia="MS UI Gothic"/>
        </w:rPr>
      </w:pPr>
      <w:r>
        <w:rPr>
          <w:spacing w:val="3"/>
        </w:rPr>
        <w:t>接触</w:t>
      </w:r>
      <w:r>
        <w:t>网</w:t>
      </w:r>
      <w:r>
        <w:tab/>
      </w:r>
      <w:r>
        <w:rPr>
          <w:spacing w:val="3"/>
        </w:rPr>
        <w:t>沿电气化铁路架设的供电</w:t>
      </w:r>
      <w:r>
        <w:t>网</w:t>
      </w:r>
      <w:r>
        <w:rPr>
          <w:spacing w:val="3"/>
        </w:rPr>
        <w:t>路</w:t>
      </w:r>
      <w:r>
        <w:rPr>
          <w:rFonts w:hint="eastAsia" w:ascii="MS UI Gothic" w:eastAsia="MS UI Gothic"/>
          <w:w w:val="80"/>
        </w:rPr>
        <w:t>ꎬ</w:t>
      </w:r>
      <w:r>
        <w:rPr>
          <w:rFonts w:hint="eastAsia" w:ascii="MS UI Gothic" w:eastAsia="MS UI Gothic"/>
          <w:spacing w:val="47"/>
          <w:w w:val="80"/>
        </w:rPr>
        <w:t xml:space="preserve"> </w:t>
      </w:r>
      <w:r>
        <w:rPr>
          <w:spacing w:val="3"/>
        </w:rPr>
        <w:t>由承力索</w:t>
      </w:r>
      <w:r>
        <w:rPr>
          <w:rFonts w:hint="eastAsia" w:ascii="MS UI Gothic" w:eastAsia="MS UI Gothic"/>
          <w:w w:val="80"/>
        </w:rPr>
        <w:t>、</w:t>
      </w:r>
      <w:r>
        <w:rPr>
          <w:rFonts w:hint="eastAsia" w:ascii="MS UI Gothic" w:eastAsia="MS UI Gothic"/>
          <w:spacing w:val="47"/>
          <w:w w:val="80"/>
        </w:rPr>
        <w:t xml:space="preserve"> </w:t>
      </w:r>
      <w:r>
        <w:rPr>
          <w:spacing w:val="3"/>
        </w:rPr>
        <w:t>吊弦和接能导线等组成</w:t>
      </w:r>
      <w:r>
        <w:rPr>
          <w:rFonts w:hint="eastAsia" w:ascii="MS UI Gothic" w:eastAsia="MS UI Gothic"/>
          <w:w w:val="80"/>
        </w:rPr>
        <w:t>ꎮ</w:t>
      </w:r>
    </w:p>
    <w:p>
      <w:pPr>
        <w:pStyle w:val="6"/>
        <w:tabs>
          <w:tab w:val="left" w:pos="1591"/>
        </w:tabs>
        <w:spacing w:line="295" w:lineRule="auto"/>
        <w:ind w:right="442"/>
        <w:jc w:val="left"/>
        <w:rPr>
          <w:rFonts w:hint="eastAsia" w:ascii="MS UI Gothic" w:eastAsia="MS UI Gothic"/>
        </w:rPr>
      </w:pPr>
      <w:r>
        <w:rPr>
          <w:spacing w:val="3"/>
          <w:w w:val="105"/>
        </w:rPr>
        <w:t>电力牵</w:t>
      </w:r>
      <w:r>
        <w:rPr>
          <w:w w:val="105"/>
        </w:rPr>
        <w:t>引</w:t>
      </w:r>
      <w:r>
        <w:rPr>
          <w:w w:val="105"/>
        </w:rPr>
        <w:tab/>
      </w:r>
      <w:r>
        <w:rPr>
          <w:spacing w:val="3"/>
        </w:rPr>
        <w:t>用电能作为铁路运输动</w:t>
      </w:r>
      <w:r>
        <w:t>力</w:t>
      </w:r>
      <w:r>
        <w:rPr>
          <w:spacing w:val="3"/>
          <w:w w:val="105"/>
        </w:rPr>
        <w:t>能源的牵引方式</w:t>
      </w:r>
      <w:r>
        <w:rPr>
          <w:rFonts w:hint="eastAsia" w:ascii="MS UI Gothic" w:eastAsia="MS UI Gothic"/>
          <w:w w:val="80"/>
        </w:rPr>
        <w:t>ꎮ</w:t>
      </w:r>
    </w:p>
    <w:p>
      <w:pPr>
        <w:pStyle w:val="6"/>
        <w:tabs>
          <w:tab w:val="left" w:pos="1172"/>
        </w:tabs>
        <w:spacing w:line="295" w:lineRule="auto"/>
        <w:ind w:right="442"/>
        <w:jc w:val="left"/>
        <w:rPr>
          <w:rFonts w:hint="eastAsia" w:ascii="MS UI Gothic" w:eastAsia="MS UI Gothic"/>
        </w:rPr>
      </w:pPr>
      <w:r>
        <w:rPr>
          <w:spacing w:val="3"/>
          <w:w w:val="105"/>
        </w:rPr>
        <w:t>路</w:t>
      </w:r>
      <w:r>
        <w:rPr>
          <w:w w:val="105"/>
        </w:rPr>
        <w:t>堑</w:t>
      </w:r>
      <w:r>
        <w:rPr>
          <w:w w:val="105"/>
        </w:rPr>
        <w:tab/>
      </w:r>
      <w:r>
        <w:rPr>
          <w:spacing w:val="3"/>
        </w:rPr>
        <w:t>线路低于地面用挖土的方法</w:t>
      </w:r>
      <w:r>
        <w:t>修</w:t>
      </w:r>
      <w:r>
        <w:rPr>
          <w:spacing w:val="3"/>
          <w:w w:val="105"/>
        </w:rPr>
        <w:t>筑的路基</w:t>
      </w:r>
      <w:r>
        <w:rPr>
          <w:rFonts w:hint="eastAsia" w:ascii="MS UI Gothic" w:eastAsia="MS UI Gothic"/>
          <w:w w:val="80"/>
        </w:rPr>
        <w:t>ꎮ</w:t>
      </w:r>
    </w:p>
    <w:p>
      <w:pPr>
        <w:pStyle w:val="6"/>
        <w:tabs>
          <w:tab w:val="left" w:pos="1172"/>
        </w:tabs>
        <w:spacing w:line="295" w:lineRule="auto"/>
        <w:ind w:right="442"/>
        <w:jc w:val="left"/>
        <w:rPr>
          <w:rFonts w:hint="eastAsia" w:ascii="MS UI Gothic" w:eastAsia="MS UI Gothic"/>
        </w:rPr>
      </w:pPr>
      <w:r>
        <w:rPr>
          <w:spacing w:val="3"/>
        </w:rPr>
        <w:t>粉</w:t>
      </w:r>
      <w:r>
        <w:t>尘</w:t>
      </w:r>
      <w:r>
        <w:tab/>
      </w:r>
      <w:r>
        <w:rPr>
          <w:spacing w:val="3"/>
        </w:rPr>
        <w:t>煤尘</w:t>
      </w:r>
      <w:r>
        <w:rPr>
          <w:rFonts w:hint="eastAsia" w:ascii="MS UI Gothic" w:eastAsia="MS UI Gothic"/>
          <w:w w:val="80"/>
        </w:rPr>
        <w:t>、</w:t>
      </w:r>
      <w:r>
        <w:rPr>
          <w:rFonts w:hint="eastAsia" w:ascii="MS UI Gothic" w:eastAsia="MS UI Gothic"/>
          <w:spacing w:val="12"/>
          <w:w w:val="80"/>
        </w:rPr>
        <w:t xml:space="preserve"> </w:t>
      </w:r>
      <w:r>
        <w:rPr>
          <w:spacing w:val="3"/>
        </w:rPr>
        <w:t>岩尘和其他有毒有害</w:t>
      </w:r>
      <w:r>
        <w:t>粉</w:t>
      </w:r>
      <w:r>
        <w:rPr>
          <w:spacing w:val="3"/>
        </w:rPr>
        <w:t>尘的总称</w:t>
      </w:r>
      <w:r>
        <w:rPr>
          <w:rFonts w:hint="eastAsia" w:ascii="MS UI Gothic" w:eastAsia="MS UI Gothic"/>
          <w:w w:val="80"/>
        </w:rPr>
        <w:t>ꎮ</w:t>
      </w:r>
    </w:p>
    <w:p>
      <w:pPr>
        <w:pStyle w:val="6"/>
        <w:tabs>
          <w:tab w:val="left" w:pos="1801"/>
        </w:tabs>
        <w:spacing w:line="295" w:lineRule="auto"/>
        <w:ind w:right="442"/>
        <w:jc w:val="left"/>
        <w:rPr>
          <w:rFonts w:hint="eastAsia" w:ascii="MS UI Gothic" w:eastAsia="MS UI Gothic"/>
        </w:rPr>
      </w:pPr>
      <w:r>
        <w:rPr>
          <w:spacing w:val="3"/>
        </w:rPr>
        <w:t>呼吸性粉</w:t>
      </w:r>
      <w:r>
        <w:t>尘</w:t>
      </w:r>
      <w:r>
        <w:tab/>
      </w:r>
      <w:r>
        <w:rPr>
          <w:spacing w:val="3"/>
        </w:rPr>
        <w:t>能被吸入人体肺泡区</w:t>
      </w:r>
      <w:r>
        <w:t>的</w:t>
      </w:r>
      <w:r>
        <w:rPr>
          <w:spacing w:val="3"/>
        </w:rPr>
        <w:t>浮尘</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３５３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71" o:spid="_x0000_s2071" o:spt="203" style="height:2.15pt;width:398.25pt;" coordsize="7965,43">
            <o:lock v:ext="edit"/>
            <v:line id="_x0000_s2072" o:spid="_x0000_s2072" o:spt="20" style="position:absolute;left:0;top:39;height:0;width:7965;" stroked="t" coordsize="21600,21600">
              <v:path arrowok="t"/>
              <v:fill focussize="0,0"/>
              <v:stroke weight="0.388031496062992pt" color="#231F20"/>
              <v:imagedata o:title=""/>
              <o:lock v:ext="edit"/>
            </v:line>
            <v:line id="_x0000_s2073" o:spid="_x0000_s2073"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S UI Gothic"/>
        </w:rPr>
      </w:pPr>
    </w:p>
    <w:p>
      <w:pPr>
        <w:pStyle w:val="4"/>
        <w:spacing w:before="238"/>
      </w:pPr>
      <w:r>
        <w:t>国家安全生产监督管理总局令</w:t>
      </w:r>
    </w:p>
    <w:p>
      <w:pPr>
        <w:pStyle w:val="6"/>
        <w:ind w:left="0" w:firstLine="0"/>
        <w:jc w:val="left"/>
        <w:rPr>
          <w:sz w:val="27"/>
        </w:rPr>
      </w:pPr>
    </w:p>
    <w:p>
      <w:pPr>
        <w:pStyle w:val="5"/>
        <w:ind w:left="312"/>
      </w:pPr>
      <w:r>
        <w:t xml:space="preserve">第 </w:t>
      </w:r>
      <w:r>
        <w:rPr>
          <w:rFonts w:hint="eastAsia" w:ascii="MS UI Gothic" w:eastAsia="MS UI Gothic"/>
        </w:rPr>
        <w:t xml:space="preserve">４６ </w:t>
      </w:r>
      <w:r>
        <w:t>号</w:t>
      </w:r>
    </w:p>
    <w:p>
      <w:pPr>
        <w:pStyle w:val="6"/>
        <w:spacing w:before="354" w:line="295" w:lineRule="auto"/>
        <w:ind w:left="440" w:right="126"/>
        <w:jc w:val="left"/>
        <w:rPr>
          <w:rFonts w:hint="eastAsia" w:ascii="MS UI Gothic" w:hAnsi="MS UI Gothic" w:eastAsia="MS UI Gothic"/>
        </w:rPr>
      </w:pPr>
      <w:r>
        <w:rPr>
          <w:rFonts w:hint="eastAsia" w:ascii="MS UI Gothic" w:hAnsi="MS UI Gothic" w:eastAsia="MS UI Gothic"/>
          <w:w w:val="95"/>
        </w:rPr>
        <w:t xml:space="preserve">« </w:t>
      </w:r>
      <w:r>
        <w:rPr>
          <w:w w:val="95"/>
        </w:rPr>
        <w:t xml:space="preserve">煤层气地面开采安全规程 </w:t>
      </w:r>
      <w:r>
        <w:rPr>
          <w:rFonts w:hint="eastAsia" w:ascii="MS UI Gothic" w:hAnsi="MS UI Gothic" w:eastAsia="MS UI Gothic"/>
          <w:w w:val="140"/>
        </w:rPr>
        <w:t xml:space="preserve">( </w:t>
      </w:r>
      <w:r>
        <w:rPr>
          <w:w w:val="95"/>
        </w:rPr>
        <w:t>试行</w:t>
      </w:r>
      <w:r>
        <w:rPr>
          <w:rFonts w:hint="eastAsia" w:ascii="MS UI Gothic" w:hAnsi="MS UI Gothic" w:eastAsia="MS UI Gothic"/>
          <w:w w:val="140"/>
        </w:rPr>
        <w:t xml:space="preserve">) </w:t>
      </w:r>
      <w:r>
        <w:rPr>
          <w:rFonts w:hint="eastAsia" w:ascii="MS UI Gothic" w:hAnsi="MS UI Gothic" w:eastAsia="MS UI Gothic"/>
          <w:w w:val="95"/>
        </w:rPr>
        <w:t xml:space="preserve">» </w:t>
      </w:r>
      <w:r>
        <w:rPr>
          <w:w w:val="95"/>
        </w:rPr>
        <w:t xml:space="preserve">已经 </w:t>
      </w:r>
      <w:r>
        <w:rPr>
          <w:rFonts w:hint="eastAsia" w:ascii="MS UI Gothic" w:hAnsi="MS UI Gothic" w:eastAsia="MS UI Gothic"/>
          <w:w w:val="95"/>
        </w:rPr>
        <w:t xml:space="preserve">２０１１ </w:t>
      </w:r>
      <w:r>
        <w:rPr>
          <w:w w:val="95"/>
        </w:rPr>
        <w:t xml:space="preserve">年 </w:t>
      </w:r>
      <w:r>
        <w:rPr>
          <w:rFonts w:hint="eastAsia" w:ascii="MS UI Gothic" w:hAnsi="MS UI Gothic" w:eastAsia="MS UI Gothic"/>
          <w:w w:val="95"/>
        </w:rPr>
        <w:t xml:space="preserve">１２ </w:t>
      </w:r>
      <w:r>
        <w:rPr>
          <w:w w:val="95"/>
        </w:rPr>
        <w:t xml:space="preserve">月 </w:t>
      </w:r>
      <w:r>
        <w:rPr>
          <w:rFonts w:hint="eastAsia" w:ascii="MS UI Gothic" w:hAnsi="MS UI Gothic" w:eastAsia="MS UI Gothic"/>
          <w:w w:val="95"/>
        </w:rPr>
        <w:t xml:space="preserve">３１ </w:t>
      </w:r>
      <w:r>
        <w:rPr>
          <w:w w:val="95"/>
        </w:rPr>
        <w:t>日国家安全生产监督管理总局局长办公会议审议通过</w:t>
      </w:r>
      <w:r>
        <w:rPr>
          <w:rFonts w:hint="eastAsia" w:ascii="MS UI Gothic" w:hAnsi="MS UI Gothic" w:eastAsia="MS UI Gothic"/>
          <w:w w:val="85"/>
        </w:rPr>
        <w:t xml:space="preserve">ꎬ </w:t>
      </w:r>
      <w:r>
        <w:rPr>
          <w:w w:val="95"/>
        </w:rPr>
        <w:t>现予公布</w:t>
      </w:r>
      <w:r>
        <w:rPr>
          <w:rFonts w:hint="eastAsia" w:ascii="MS UI Gothic" w:hAnsi="MS UI Gothic" w:eastAsia="MS UI Gothic"/>
          <w:w w:val="85"/>
        </w:rPr>
        <w:t xml:space="preserve">ꎬ </w:t>
      </w:r>
      <w:r>
        <w:rPr>
          <w:w w:val="95"/>
        </w:rPr>
        <w:t xml:space="preserve">自 </w:t>
      </w:r>
      <w:r>
        <w:rPr>
          <w:rFonts w:hint="eastAsia" w:ascii="MS UI Gothic" w:hAnsi="MS UI Gothic" w:eastAsia="MS UI Gothic"/>
          <w:w w:val="95"/>
        </w:rPr>
        <w:t xml:space="preserve">２０１２ </w:t>
      </w:r>
      <w:r>
        <w:rPr>
          <w:w w:val="95"/>
        </w:rPr>
        <w:t xml:space="preserve">年 </w:t>
      </w:r>
      <w:r>
        <w:rPr>
          <w:rFonts w:hint="eastAsia" w:ascii="MS UI Gothic" w:hAnsi="MS UI Gothic" w:eastAsia="MS UI Gothic"/>
          <w:w w:val="95"/>
        </w:rPr>
        <w:t xml:space="preserve">４ </w:t>
      </w:r>
      <w:r>
        <w:rPr>
          <w:w w:val="95"/>
        </w:rPr>
        <w:t xml:space="preserve">月 </w:t>
      </w:r>
      <w:r>
        <w:rPr>
          <w:rFonts w:hint="eastAsia" w:ascii="MS UI Gothic" w:hAnsi="MS UI Gothic" w:eastAsia="MS UI Gothic"/>
          <w:w w:val="95"/>
        </w:rPr>
        <w:t xml:space="preserve">１ </w:t>
      </w:r>
      <w:r>
        <w:rPr>
          <w:w w:val="95"/>
        </w:rPr>
        <w:t>日起施行</w:t>
      </w:r>
      <w:r>
        <w:rPr>
          <w:rFonts w:hint="eastAsia" w:ascii="MS UI Gothic" w:hAnsi="MS UI Gothic" w:eastAsia="MS UI Gothic"/>
          <w:w w:val="85"/>
        </w:rPr>
        <w:t>ꎮ</w:t>
      </w:r>
    </w:p>
    <w:p>
      <w:pPr>
        <w:pStyle w:val="6"/>
        <w:spacing w:before="313"/>
        <w:ind w:left="0" w:right="126" w:firstLine="0"/>
        <w:jc w:val="right"/>
      </w:pPr>
      <w:r>
        <w:t>二</w:t>
      </w:r>
      <w:r>
        <w:rPr>
          <w:rFonts w:hint="eastAsia" w:ascii="MS UI Gothic" w:hAnsi="MS UI Gothic" w:eastAsia="MS UI Gothic"/>
        </w:rPr>
        <w:t>○</w:t>
      </w:r>
      <w:r>
        <w:t>一二年二月二十二日</w:t>
      </w:r>
    </w:p>
    <w:p>
      <w:pPr>
        <w:pStyle w:val="4"/>
        <w:ind w:left="286"/>
        <w:rPr>
          <w:rFonts w:hint="eastAsia" w:ascii="Microsoft Yi Baiti" w:eastAsia="Microsoft Yi Baiti"/>
        </w:rPr>
      </w:pPr>
      <w:r>
        <w:t xml:space="preserve">煤层气地面开采安全规程 ( 试行) </w:t>
      </w:r>
      <w:r>
        <w:rPr>
          <w:rFonts w:hint="eastAsia" w:ascii="Microsoft Yi Baiti" w:eastAsia="Microsoft Yi Baiti"/>
        </w:rPr>
        <w:t>(</w:t>
      </w:r>
      <w:r>
        <w:rPr>
          <w:rFonts w:hint="eastAsia" w:ascii="MS UI Gothic" w:eastAsia="MS UI Gothic"/>
        </w:rPr>
        <w:t xml:space="preserve">２０１２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304" w:lineRule="auto"/>
        <w:ind w:left="440" w:right="1"/>
      </w:pPr>
      <w:r>
        <w:t>第一条 为了加强煤层气地面开采的安全管理</w:t>
      </w:r>
      <w:r>
        <w:rPr>
          <w:rFonts w:hint="eastAsia" w:ascii="MS UI Gothic" w:eastAsia="MS UI Gothic"/>
          <w:w w:val="80"/>
        </w:rPr>
        <w:t xml:space="preserve">ꎬ </w:t>
      </w:r>
      <w:r>
        <w:t>预防和减少生产安全事故</w:t>
      </w:r>
      <w:r>
        <w:rPr>
          <w:rFonts w:hint="eastAsia" w:ascii="MS UI Gothic" w:eastAsia="MS UI Gothic"/>
          <w:w w:val="80"/>
        </w:rPr>
        <w:t xml:space="preserve">ꎬ </w:t>
      </w:r>
      <w:r>
        <w:t>保障从业人员生命健康和财产安全</w:t>
      </w:r>
      <w:r>
        <w:rPr>
          <w:rFonts w:hint="eastAsia" w:ascii="MS UI Gothic" w:eastAsia="MS UI Gothic"/>
          <w:w w:val="80"/>
        </w:rPr>
        <w:t xml:space="preserve">ꎬ </w:t>
      </w:r>
      <w:r>
        <w:t>根据</w:t>
      </w:r>
    </w:p>
    <w:p>
      <w:pPr>
        <w:pStyle w:val="6"/>
        <w:spacing w:line="302" w:lineRule="auto"/>
        <w:ind w:left="440" w:firstLine="0"/>
        <w:rPr>
          <w:rFonts w:hint="eastAsia" w:ascii="MS UI Gothic" w:hAnsi="MS UI Gothic" w:eastAsia="MS UI Gothic"/>
        </w:rPr>
      </w:pPr>
      <w:r>
        <w:rPr>
          <w:rFonts w:hint="eastAsia" w:ascii="MS UI Gothic" w:hAnsi="MS UI Gothic" w:eastAsia="MS UI Gothic"/>
        </w:rPr>
        <w:t xml:space="preserve">« </w:t>
      </w:r>
      <w:r>
        <w:t>中华人民共和国安全生产法</w:t>
      </w:r>
      <w:r>
        <w:rPr>
          <w:rFonts w:hint="eastAsia" w:ascii="MS UI Gothic" w:hAnsi="MS UI Gothic" w:eastAsia="MS UI Gothic"/>
        </w:rPr>
        <w:t xml:space="preserve">» </w:t>
      </w:r>
      <w:r>
        <w:t>等法律</w:t>
      </w:r>
      <w:r>
        <w:rPr>
          <w:rFonts w:hint="eastAsia" w:ascii="MS UI Gothic" w:hAnsi="MS UI Gothic" w:eastAsia="MS UI Gothic"/>
        </w:rPr>
        <w:t>、</w:t>
      </w:r>
      <w:r>
        <w:t>行政法规</w:t>
      </w:r>
      <w:r>
        <w:rPr>
          <w:rFonts w:hint="eastAsia" w:ascii="MS UI Gothic" w:hAnsi="MS UI Gothic" w:eastAsia="MS UI Gothic"/>
          <w:w w:val="80"/>
        </w:rPr>
        <w:t xml:space="preserve">ꎬ </w:t>
      </w:r>
      <w:r>
        <w:t>制定本规程</w:t>
      </w:r>
      <w:r>
        <w:rPr>
          <w:rFonts w:hint="eastAsia" w:ascii="MS UI Gothic" w:hAnsi="MS UI Gothic" w:eastAsia="MS UI Gothic"/>
          <w:w w:val="80"/>
        </w:rPr>
        <w:t>ꎮ</w:t>
      </w:r>
    </w:p>
    <w:p>
      <w:pPr>
        <w:pStyle w:val="6"/>
        <w:spacing w:line="300" w:lineRule="auto"/>
        <w:ind w:left="440" w:right="1"/>
        <w:rPr>
          <w:rFonts w:hint="eastAsia" w:ascii="MS UI Gothic" w:eastAsia="MS UI Gothic"/>
        </w:rPr>
      </w:pPr>
      <w:r>
        <w:t>第二条 在中华人民共和国境内从事煤层气地面开采及有关设计</w:t>
      </w:r>
      <w:r>
        <w:rPr>
          <w:rFonts w:hint="eastAsia" w:ascii="MS UI Gothic" w:eastAsia="MS UI Gothic"/>
          <w:w w:val="80"/>
        </w:rPr>
        <w:t xml:space="preserve">、 </w:t>
      </w:r>
      <w:r>
        <w:t>钻井</w:t>
      </w:r>
      <w:r>
        <w:rPr>
          <w:rFonts w:hint="eastAsia" w:ascii="MS UI Gothic" w:eastAsia="MS UI Gothic"/>
          <w:w w:val="80"/>
        </w:rPr>
        <w:t xml:space="preserve">、  </w:t>
      </w:r>
      <w:r>
        <w:t>固井</w:t>
      </w:r>
      <w:r>
        <w:rPr>
          <w:rFonts w:hint="eastAsia" w:ascii="MS UI Gothic" w:eastAsia="MS UI Gothic"/>
          <w:w w:val="80"/>
        </w:rPr>
        <w:t xml:space="preserve">、 </w:t>
      </w:r>
      <w:r>
        <w:t>测井</w:t>
      </w:r>
      <w:r>
        <w:rPr>
          <w:rFonts w:hint="eastAsia" w:ascii="MS UI Gothic" w:eastAsia="MS UI Gothic"/>
          <w:w w:val="80"/>
        </w:rPr>
        <w:t xml:space="preserve">、 </w:t>
      </w:r>
      <w:r>
        <w:t>压裂</w:t>
      </w:r>
      <w:r>
        <w:rPr>
          <w:rFonts w:hint="eastAsia" w:ascii="MS UI Gothic" w:eastAsia="MS UI Gothic"/>
          <w:w w:val="80"/>
        </w:rPr>
        <w:t xml:space="preserve">、 </w:t>
      </w:r>
      <w:r>
        <w:t>排采</w:t>
      </w:r>
      <w:r>
        <w:rPr>
          <w:rFonts w:hint="eastAsia" w:ascii="MS UI Gothic" w:eastAsia="MS UI Gothic"/>
          <w:w w:val="80"/>
        </w:rPr>
        <w:t xml:space="preserve">、  </w:t>
      </w:r>
      <w:r>
        <w:t>集输</w:t>
      </w:r>
      <w:r>
        <w:rPr>
          <w:rFonts w:hint="eastAsia" w:ascii="MS UI Gothic" w:eastAsia="MS UI Gothic"/>
          <w:w w:val="80"/>
        </w:rPr>
        <w:t xml:space="preserve">、  </w:t>
      </w:r>
      <w:r>
        <w:t>压缩等活动的安全生产</w:t>
      </w:r>
      <w:r>
        <w:rPr>
          <w:rFonts w:hint="eastAsia" w:ascii="MS UI Gothic" w:eastAsia="MS UI Gothic"/>
          <w:w w:val="80"/>
        </w:rPr>
        <w:t xml:space="preserve">ꎬ </w:t>
      </w:r>
      <w:r>
        <w:t>适用本规程</w:t>
      </w:r>
      <w:r>
        <w:rPr>
          <w:rFonts w:hint="eastAsia" w:ascii="MS UI Gothic" w:eastAsia="MS UI Gothic"/>
          <w:w w:val="80"/>
        </w:rPr>
        <w:t>ꎮ</w:t>
      </w:r>
    </w:p>
    <w:p>
      <w:pPr>
        <w:pStyle w:val="6"/>
        <w:spacing w:line="302" w:lineRule="auto"/>
        <w:ind w:left="440"/>
        <w:rPr>
          <w:rFonts w:hint="eastAsia" w:ascii="MS UI Gothic" w:eastAsia="MS UI Gothic"/>
        </w:rPr>
      </w:pPr>
      <w:r>
        <w:t>国家标准</w:t>
      </w:r>
      <w:r>
        <w:rPr>
          <w:rFonts w:hint="eastAsia" w:ascii="MS UI Gothic" w:eastAsia="MS UI Gothic"/>
          <w:w w:val="80"/>
        </w:rPr>
        <w:t xml:space="preserve">、 </w:t>
      </w:r>
      <w:r>
        <w:t>行业标准对煤矿井下瓦斯抽采和低浓度瓦斯输送安全另行规定的</w:t>
      </w:r>
      <w:r>
        <w:rPr>
          <w:rFonts w:hint="eastAsia" w:ascii="MS UI Gothic" w:eastAsia="MS UI Gothic"/>
          <w:w w:val="80"/>
        </w:rPr>
        <w:t>ꎬ</w:t>
      </w:r>
      <w:r>
        <w:t>依照其规定</w:t>
      </w:r>
      <w:r>
        <w:rPr>
          <w:rFonts w:hint="eastAsia" w:ascii="MS UI Gothic" w:eastAsia="MS UI Gothic"/>
          <w:w w:val="80"/>
        </w:rPr>
        <w:t>ꎮ</w:t>
      </w:r>
    </w:p>
    <w:p>
      <w:pPr>
        <w:pStyle w:val="6"/>
        <w:spacing w:line="302" w:lineRule="auto"/>
        <w:ind w:left="440"/>
        <w:rPr>
          <w:rFonts w:hint="eastAsia" w:ascii="MS UI Gothic" w:eastAsia="MS UI Gothic"/>
        </w:rPr>
      </w:pPr>
      <w:r>
        <w:rPr>
          <w:spacing w:val="2"/>
          <w:w w:val="105"/>
        </w:rPr>
        <w:t>第三条 煤层气地面开采企业以及承</w:t>
      </w:r>
      <w:r>
        <w:rPr>
          <w:spacing w:val="-3"/>
          <w:w w:val="105"/>
        </w:rPr>
        <w:t xml:space="preserve">包单位 </w:t>
      </w:r>
      <w:r>
        <w:rPr>
          <w:rFonts w:hint="eastAsia" w:ascii="MS UI Gothic" w:eastAsia="MS UI Gothic"/>
          <w:spacing w:val="-36"/>
          <w:w w:val="150"/>
        </w:rPr>
        <w:t xml:space="preserve">( </w:t>
      </w:r>
      <w:r>
        <w:rPr>
          <w:spacing w:val="16"/>
          <w:w w:val="105"/>
        </w:rPr>
        <w:t>以下统称煤层气企业</w:t>
      </w:r>
      <w:r>
        <w:rPr>
          <w:rFonts w:hint="eastAsia" w:ascii="MS UI Gothic" w:eastAsia="MS UI Gothic"/>
          <w:spacing w:val="12"/>
          <w:w w:val="150"/>
        </w:rPr>
        <w:t xml:space="preserve">) </w:t>
      </w:r>
      <w:r>
        <w:rPr>
          <w:spacing w:val="12"/>
          <w:w w:val="105"/>
        </w:rPr>
        <w:t>应当遵</w:t>
      </w:r>
      <w:r>
        <w:rPr>
          <w:spacing w:val="5"/>
          <w:w w:val="105"/>
        </w:rPr>
        <w:t>守国家有关安全生产的法律</w:t>
      </w:r>
      <w:r>
        <w:rPr>
          <w:rFonts w:hint="eastAsia" w:ascii="MS UI Gothic" w:eastAsia="MS UI Gothic"/>
          <w:spacing w:val="-2"/>
          <w:w w:val="80"/>
        </w:rPr>
        <w:t xml:space="preserve">、 </w:t>
      </w:r>
      <w:r>
        <w:rPr>
          <w:spacing w:val="10"/>
          <w:w w:val="105"/>
        </w:rPr>
        <w:t>行政法规</w:t>
      </w:r>
      <w:r>
        <w:rPr>
          <w:rFonts w:hint="eastAsia" w:ascii="MS UI Gothic" w:eastAsia="MS UI Gothic"/>
          <w:w w:val="80"/>
        </w:rPr>
        <w:t>、</w:t>
      </w:r>
      <w:r>
        <w:rPr>
          <w:spacing w:val="3"/>
          <w:w w:val="105"/>
        </w:rPr>
        <w:t>规章</w:t>
      </w:r>
      <w:r>
        <w:rPr>
          <w:rFonts w:hint="eastAsia" w:ascii="MS UI Gothic" w:eastAsia="MS UI Gothic"/>
          <w:spacing w:val="-2"/>
          <w:w w:val="80"/>
        </w:rPr>
        <w:t xml:space="preserve">、 </w:t>
      </w:r>
      <w:r>
        <w:rPr>
          <w:spacing w:val="3"/>
          <w:w w:val="105"/>
        </w:rPr>
        <w:t>标准和技术规范</w:t>
      </w:r>
      <w:r>
        <w:rPr>
          <w:rFonts w:hint="eastAsia" w:ascii="MS UI Gothic" w:eastAsia="MS UI Gothic"/>
          <w:spacing w:val="-1"/>
          <w:w w:val="80"/>
        </w:rPr>
        <w:t xml:space="preserve">ꎬ </w:t>
      </w:r>
      <w:r>
        <w:rPr>
          <w:spacing w:val="2"/>
          <w:w w:val="105"/>
        </w:rPr>
        <w:t>依法取得安全生</w:t>
      </w:r>
      <w:r>
        <w:rPr>
          <w:spacing w:val="21"/>
        </w:rPr>
        <w:t>产许可证</w:t>
      </w:r>
      <w:r>
        <w:rPr>
          <w:rFonts w:hint="eastAsia" w:ascii="MS UI Gothic" w:eastAsia="MS UI Gothic"/>
          <w:spacing w:val="2"/>
          <w:w w:val="80"/>
        </w:rPr>
        <w:t xml:space="preserve">ꎬ </w:t>
      </w:r>
      <w:r>
        <w:rPr>
          <w:spacing w:val="30"/>
        </w:rPr>
        <w:t>接受煤矿安全监察机构的</w:t>
      </w:r>
      <w:r>
        <w:rPr>
          <w:spacing w:val="3"/>
          <w:w w:val="105"/>
        </w:rPr>
        <w:t>监察</w:t>
      </w:r>
      <w:r>
        <w:rPr>
          <w:rFonts w:hint="eastAsia" w:ascii="MS UI Gothic" w:eastAsia="MS UI Gothic"/>
          <w:w w:val="80"/>
        </w:rPr>
        <w:t>ꎮ</w:t>
      </w:r>
    </w:p>
    <w:p>
      <w:pPr>
        <w:pStyle w:val="6"/>
        <w:spacing w:line="300" w:lineRule="auto"/>
        <w:ind w:left="440" w:right="1"/>
        <w:rPr>
          <w:rFonts w:hint="eastAsia" w:ascii="MS UI Gothic" w:eastAsia="MS UI Gothic"/>
        </w:rPr>
      </w:pPr>
      <w:r>
        <w:t>国家鼓励煤矿企业采用科学方法抽采煤层气</w:t>
      </w:r>
      <w:r>
        <w:rPr>
          <w:rFonts w:hint="eastAsia" w:ascii="MS UI Gothic" w:eastAsia="MS UI Gothic"/>
          <w:w w:val="80"/>
        </w:rPr>
        <w:t xml:space="preserve">ꎮ </w:t>
      </w:r>
      <w:r>
        <w:t>依法设立的煤矿企业地面抽采本企业煤层气应当遵守本规程</w:t>
      </w:r>
      <w:r>
        <w:rPr>
          <w:rFonts w:hint="eastAsia" w:ascii="MS UI Gothic" w:eastAsia="MS UI Gothic"/>
          <w:w w:val="80"/>
        </w:rPr>
        <w:t xml:space="preserve">ꎬ </w:t>
      </w:r>
      <w:r>
        <w:t>但不需要另</w:t>
      </w:r>
      <w:r>
        <w:rPr>
          <w:w w:val="105"/>
        </w:rPr>
        <w:t>行取得安全生产许可证</w:t>
      </w:r>
      <w:r>
        <w:rPr>
          <w:rFonts w:hint="eastAsia" w:ascii="MS UI Gothic" w:eastAsia="MS UI Gothic"/>
          <w:w w:val="80"/>
        </w:rPr>
        <w:t>ꎮ</w:t>
      </w:r>
    </w:p>
    <w:p>
      <w:pPr>
        <w:pStyle w:val="6"/>
        <w:spacing w:line="302" w:lineRule="auto"/>
        <w:ind w:left="440" w:right="1"/>
      </w:pPr>
      <w:r>
        <w:rPr>
          <w:w w:val="105"/>
        </w:rPr>
        <w:t>第四条 煤层气企业应当建立安全生</w:t>
      </w:r>
      <w:r>
        <w:t>产管理机构</w:t>
      </w:r>
      <w:r>
        <w:rPr>
          <w:rFonts w:hint="eastAsia" w:ascii="MS UI Gothic" w:eastAsia="MS UI Gothic"/>
          <w:w w:val="80"/>
        </w:rPr>
        <w:t xml:space="preserve">ꎬ </w:t>
      </w:r>
      <w:r>
        <w:t>配备相应的专职安全生产管</w:t>
      </w:r>
    </w:p>
    <w:p>
      <w:pPr>
        <w:pStyle w:val="6"/>
        <w:spacing w:before="174" w:line="300" w:lineRule="auto"/>
        <w:ind w:left="381" w:right="126" w:firstLine="0"/>
        <w:rPr>
          <w:rFonts w:hint="eastAsia" w:ascii="MS UI Gothic" w:eastAsia="MS UI Gothic"/>
        </w:rPr>
      </w:pPr>
      <w:r>
        <w:br w:type="column"/>
      </w:r>
      <w:r>
        <w:t>理人员</w:t>
      </w:r>
      <w:r>
        <w:rPr>
          <w:rFonts w:hint="eastAsia" w:ascii="MS UI Gothic" w:eastAsia="MS UI Gothic"/>
          <w:w w:val="80"/>
        </w:rPr>
        <w:t xml:space="preserve">ꎻ </w:t>
      </w:r>
      <w:r>
        <w:t>建立健全安全管理制度和操作规程</w:t>
      </w:r>
      <w:r>
        <w:rPr>
          <w:rFonts w:hint="eastAsia" w:ascii="MS UI Gothic" w:eastAsia="MS UI Gothic"/>
          <w:w w:val="80"/>
        </w:rPr>
        <w:t xml:space="preserve">ꎬ </w:t>
      </w:r>
      <w:r>
        <w:t>落实安全生产责任制</w:t>
      </w:r>
      <w:r>
        <w:rPr>
          <w:rFonts w:hint="eastAsia" w:ascii="MS UI Gothic" w:eastAsia="MS UI Gothic"/>
          <w:w w:val="80"/>
        </w:rPr>
        <w:t xml:space="preserve">ꎬ </w:t>
      </w:r>
      <w:r>
        <w:t>配备满足需要的安全设备和装备</w:t>
      </w:r>
      <w:r>
        <w:rPr>
          <w:rFonts w:hint="eastAsia" w:ascii="MS UI Gothic" w:eastAsia="MS UI Gothic"/>
          <w:w w:val="80"/>
        </w:rPr>
        <w:t>ꎮ</w:t>
      </w:r>
    </w:p>
    <w:p>
      <w:pPr>
        <w:pStyle w:val="6"/>
        <w:spacing w:before="2" w:line="302" w:lineRule="auto"/>
        <w:ind w:left="381" w:right="126"/>
        <w:rPr>
          <w:rFonts w:hint="eastAsia" w:ascii="MS UI Gothic" w:eastAsia="MS UI Gothic"/>
        </w:rPr>
      </w:pPr>
      <w:r>
        <w:rPr>
          <w:w w:val="105"/>
        </w:rPr>
        <w:t>第五条 煤层气企业的主要负责人对本单位的安全生产工作全面负责</w:t>
      </w:r>
      <w:r>
        <w:rPr>
          <w:rFonts w:hint="eastAsia" w:ascii="MS UI Gothic" w:eastAsia="MS UI Gothic"/>
          <w:w w:val="80"/>
        </w:rPr>
        <w:t>ꎮ</w:t>
      </w:r>
    </w:p>
    <w:p>
      <w:pPr>
        <w:pStyle w:val="6"/>
        <w:spacing w:line="300" w:lineRule="auto"/>
        <w:ind w:left="381" w:right="126"/>
        <w:rPr>
          <w:rFonts w:hint="eastAsia" w:ascii="MS UI Gothic" w:eastAsia="MS UI Gothic"/>
        </w:rPr>
      </w:pPr>
      <w:r>
        <w:t>煤层气企业的主要负责人和安全生产管理人员应当按照有关规定经专门培训并</w:t>
      </w:r>
      <w:r>
        <w:rPr>
          <w:w w:val="105"/>
        </w:rPr>
        <w:t>考核合格取得安全资格证书</w:t>
      </w:r>
      <w:r>
        <w:rPr>
          <w:rFonts w:hint="eastAsia" w:ascii="MS UI Gothic" w:eastAsia="MS UI Gothic"/>
          <w:w w:val="80"/>
        </w:rPr>
        <w:t>ꎮ</w:t>
      </w:r>
    </w:p>
    <w:p>
      <w:pPr>
        <w:pStyle w:val="6"/>
        <w:spacing w:line="300" w:lineRule="auto"/>
        <w:ind w:left="381" w:right="126"/>
        <w:rPr>
          <w:rFonts w:hint="eastAsia" w:ascii="MS UI Gothic" w:eastAsia="MS UI Gothic"/>
        </w:rPr>
      </w:pPr>
      <w:r>
        <w:t>第六条 煤层气企业应当制定安全生产教育和培训计划</w:t>
      </w:r>
      <w:r>
        <w:rPr>
          <w:rFonts w:hint="eastAsia" w:ascii="MS UI Gothic" w:eastAsia="MS UI Gothic"/>
          <w:w w:val="80"/>
        </w:rPr>
        <w:t xml:space="preserve">ꎬ </w:t>
      </w:r>
      <w:r>
        <w:t>对从业人员进行安全生产教育和培训</w:t>
      </w:r>
      <w:r>
        <w:rPr>
          <w:rFonts w:hint="eastAsia" w:ascii="MS UI Gothic" w:eastAsia="MS UI Gothic"/>
          <w:w w:val="80"/>
        </w:rPr>
        <w:t xml:space="preserve">ꎬ </w:t>
      </w:r>
      <w:r>
        <w:t>保证从业人员具备必要的安全生产知识</w:t>
      </w:r>
      <w:r>
        <w:rPr>
          <w:rFonts w:hint="eastAsia" w:ascii="MS UI Gothic" w:eastAsia="MS UI Gothic"/>
          <w:w w:val="80"/>
        </w:rPr>
        <w:t xml:space="preserve">ꎬ </w:t>
      </w:r>
      <w:r>
        <w:t>熟悉有关的安全生产规章制度和安全操作规程</w:t>
      </w:r>
      <w:r>
        <w:rPr>
          <w:rFonts w:hint="eastAsia" w:ascii="MS UI Gothic" w:eastAsia="MS UI Gothic"/>
          <w:w w:val="80"/>
        </w:rPr>
        <w:t xml:space="preserve">ꎬ </w:t>
      </w:r>
      <w:r>
        <w:t>掌握本岗位的安全操作技能</w:t>
      </w:r>
      <w:r>
        <w:rPr>
          <w:rFonts w:hint="eastAsia" w:ascii="MS UI Gothic" w:eastAsia="MS UI Gothic"/>
          <w:w w:val="80"/>
        </w:rPr>
        <w:t xml:space="preserve">ꎮ </w:t>
      </w:r>
      <w:r>
        <w:t>未经安全生产教育和培训合格的从业人员</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before="7" w:line="300" w:lineRule="auto"/>
        <w:ind w:left="381" w:right="126"/>
        <w:rPr>
          <w:rFonts w:hint="eastAsia" w:ascii="MS UI Gothic" w:eastAsia="MS UI Gothic"/>
        </w:rPr>
      </w:pPr>
      <w:r>
        <w:t>煤层气企业的特种作业人员</w:t>
      </w:r>
      <w:r>
        <w:rPr>
          <w:rFonts w:hint="eastAsia" w:ascii="MS UI Gothic" w:eastAsia="MS UI Gothic"/>
          <w:w w:val="80"/>
        </w:rPr>
        <w:t xml:space="preserve">ꎬ </w:t>
      </w:r>
      <w:r>
        <w:t>应当按照有关规定经专门的安全作业培训</w:t>
      </w:r>
      <w:r>
        <w:rPr>
          <w:rFonts w:hint="eastAsia" w:ascii="MS UI Gothic" w:eastAsia="MS UI Gothic"/>
          <w:w w:val="80"/>
        </w:rPr>
        <w:t xml:space="preserve">ꎬ </w:t>
      </w:r>
      <w:r>
        <w:t>取得特种作业操作资格证书</w:t>
      </w:r>
      <w:r>
        <w:rPr>
          <w:rFonts w:hint="eastAsia" w:ascii="MS UI Gothic" w:eastAsia="MS UI Gothic"/>
          <w:w w:val="80"/>
        </w:rPr>
        <w:t xml:space="preserve">ꎬ </w:t>
      </w:r>
      <w:r>
        <w:t>方可上岗作业</w:t>
      </w:r>
      <w:r>
        <w:rPr>
          <w:rFonts w:hint="eastAsia" w:ascii="MS UI Gothic" w:eastAsia="MS UI Gothic"/>
          <w:w w:val="80"/>
        </w:rPr>
        <w:t>ꎮ</w:t>
      </w:r>
    </w:p>
    <w:p>
      <w:pPr>
        <w:pStyle w:val="6"/>
        <w:spacing w:before="4" w:line="300" w:lineRule="auto"/>
        <w:ind w:left="381" w:right="126"/>
        <w:rPr>
          <w:rFonts w:hint="eastAsia" w:ascii="MS UI Gothic" w:eastAsia="MS UI Gothic"/>
        </w:rPr>
      </w:pPr>
      <w:r>
        <w:rPr>
          <w:w w:val="105"/>
        </w:rPr>
        <w:t>第七条 煤层气企业应当按照有关规定提取</w:t>
      </w:r>
      <w:r>
        <w:rPr>
          <w:rFonts w:hint="eastAsia" w:ascii="MS UI Gothic" w:eastAsia="MS UI Gothic"/>
          <w:w w:val="80"/>
        </w:rPr>
        <w:t xml:space="preserve">、 </w:t>
      </w:r>
      <w:r>
        <w:rPr>
          <w:w w:val="105"/>
        </w:rPr>
        <w:t>使用满足安全生产需要的安全生产费用</w:t>
      </w:r>
      <w:r>
        <w:rPr>
          <w:rFonts w:hint="eastAsia" w:ascii="MS UI Gothic" w:eastAsia="MS UI Gothic"/>
          <w:w w:val="80"/>
        </w:rPr>
        <w:t xml:space="preserve">ꎬ </w:t>
      </w:r>
      <w:r>
        <w:rPr>
          <w:w w:val="105"/>
        </w:rPr>
        <w:t>保障煤层气地面开采的安全</w:t>
      </w:r>
      <w:r>
        <w:rPr>
          <w:rFonts w:hint="eastAsia" w:ascii="MS UI Gothic" w:eastAsia="MS UI Gothic"/>
          <w:w w:val="80"/>
        </w:rPr>
        <w:t>ꎮ</w:t>
      </w:r>
    </w:p>
    <w:p>
      <w:pPr>
        <w:pStyle w:val="6"/>
        <w:spacing w:before="1" w:line="300" w:lineRule="auto"/>
        <w:ind w:left="381" w:right="126"/>
        <w:rPr>
          <w:rFonts w:hint="eastAsia" w:ascii="MS UI Gothic" w:eastAsia="MS UI Gothic"/>
        </w:rPr>
      </w:pPr>
      <w:r>
        <w:t>第八条 煤层气企业应当按照有关规定制定生产安全事故应急预案</w:t>
      </w:r>
      <w:r>
        <w:rPr>
          <w:rFonts w:hint="eastAsia" w:ascii="MS UI Gothic" w:eastAsia="MS UI Gothic"/>
          <w:w w:val="80"/>
        </w:rPr>
        <w:t xml:space="preserve">ꎬ </w:t>
      </w:r>
      <w:r>
        <w:t>组织定期演练</w:t>
      </w:r>
      <w:r>
        <w:rPr>
          <w:rFonts w:hint="eastAsia" w:ascii="MS UI Gothic" w:eastAsia="MS UI Gothic"/>
          <w:w w:val="80"/>
        </w:rPr>
        <w:t xml:space="preserve">ꎬ </w:t>
      </w:r>
      <w:r>
        <w:t>并根据安全生产条件的变化及时修订</w:t>
      </w:r>
      <w:r>
        <w:rPr>
          <w:rFonts w:hint="eastAsia" w:ascii="MS UI Gothic" w:eastAsia="MS UI Gothic"/>
          <w:w w:val="80"/>
        </w:rPr>
        <w:t>ꎮ</w:t>
      </w:r>
    </w:p>
    <w:p>
      <w:pPr>
        <w:pStyle w:val="6"/>
        <w:spacing w:before="6"/>
        <w:ind w:left="800" w:firstLine="0"/>
      </w:pPr>
      <w:r>
        <w:t>发生生产安全事故后</w:t>
      </w:r>
      <w:r>
        <w:rPr>
          <w:rFonts w:hint="eastAsia" w:ascii="MS UI Gothic" w:eastAsia="MS UI Gothic"/>
          <w:w w:val="80"/>
        </w:rPr>
        <w:t xml:space="preserve">ꎬ </w:t>
      </w:r>
      <w:r>
        <w:t>煤层气企业应</w:t>
      </w:r>
    </w:p>
    <w:p>
      <w:pPr>
        <w:spacing w:after="0"/>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３５４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74" o:spid="_x0000_s2074" o:spt="203" style="height:2.15pt;width:398.25pt;" coordsize="7965,43">
            <o:lock v:ext="edit"/>
            <v:line id="_x0000_s2075" o:spid="_x0000_s2075" o:spt="20" style="position:absolute;left:0;top:39;height:0;width:7965;" stroked="t" coordsize="21600,21600">
              <v:path arrowok="t"/>
              <v:fill focussize="0,0"/>
              <v:stroke weight="0.388031496062992pt" color="#231F20"/>
              <v:imagedata o:title=""/>
              <o:lock v:ext="edit"/>
            </v:line>
            <v:line id="_x0000_s2076" o:spid="_x0000_s207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当立即采取有效措施组织救援</w:t>
      </w:r>
      <w:r>
        <w:rPr>
          <w:rFonts w:hint="eastAsia" w:ascii="MS UI Gothic" w:eastAsia="MS UI Gothic"/>
          <w:w w:val="80"/>
        </w:rPr>
        <w:t xml:space="preserve">ꎬ </w:t>
      </w:r>
      <w:r>
        <w:t>防止事故扩大</w:t>
      </w:r>
      <w:r>
        <w:rPr>
          <w:rFonts w:hint="eastAsia" w:ascii="MS UI Gothic" w:eastAsia="MS UI Gothic"/>
          <w:w w:val="80"/>
        </w:rPr>
        <w:t xml:space="preserve">ꎬ </w:t>
      </w:r>
      <w:r>
        <w:t>避免人员伤亡和减少财产损失</w:t>
      </w:r>
      <w:r>
        <w:rPr>
          <w:rFonts w:hint="eastAsia" w:ascii="MS UI Gothic" w:eastAsia="MS UI Gothic"/>
          <w:w w:val="80"/>
        </w:rPr>
        <w:t xml:space="preserve">ꎬ </w:t>
      </w:r>
      <w:r>
        <w:t>并按照有关规定及时报告安全生产监管监察部门</w:t>
      </w:r>
      <w:r>
        <w:rPr>
          <w:rFonts w:hint="eastAsia" w:ascii="MS UI Gothic" w:eastAsia="MS UI Gothic"/>
          <w:w w:val="80"/>
        </w:rPr>
        <w:t>ꎮ</w:t>
      </w:r>
    </w:p>
    <w:p>
      <w:pPr>
        <w:pStyle w:val="6"/>
        <w:spacing w:line="295" w:lineRule="auto"/>
        <w:ind w:right="38"/>
        <w:rPr>
          <w:rFonts w:hint="eastAsia" w:ascii="MS UI Gothic" w:eastAsia="MS UI Gothic"/>
        </w:rPr>
      </w:pPr>
      <w:r>
        <w:t>第九条 煤层气地面开采区域存在煤矿矿井的</w:t>
      </w:r>
      <w:r>
        <w:rPr>
          <w:rFonts w:hint="eastAsia" w:ascii="MS UI Gothic" w:eastAsia="MS UI Gothic"/>
          <w:w w:val="80"/>
        </w:rPr>
        <w:t xml:space="preserve">ꎬ </w:t>
      </w:r>
      <w:r>
        <w:t>煤层气企业应当与煤矿企业进行沟通</w:t>
      </w:r>
      <w:r>
        <w:rPr>
          <w:rFonts w:hint="eastAsia" w:ascii="MS UI Gothic" w:eastAsia="MS UI Gothic"/>
          <w:w w:val="80"/>
        </w:rPr>
        <w:t xml:space="preserve">ꎬ </w:t>
      </w:r>
      <w:r>
        <w:t>统筹考虑煤层气地面开采项目方案和煤矿开采计划</w:t>
      </w:r>
      <w:r>
        <w:rPr>
          <w:rFonts w:hint="eastAsia" w:ascii="MS UI Gothic" w:eastAsia="MS UI Gothic"/>
          <w:w w:val="80"/>
        </w:rPr>
        <w:t xml:space="preserve">ꎬ </w:t>
      </w:r>
      <w:r>
        <w:t>共享有关地质资料和工程资料</w:t>
      </w:r>
      <w:r>
        <w:rPr>
          <w:rFonts w:hint="eastAsia" w:ascii="MS UI Gothic" w:eastAsia="MS UI Gothic"/>
          <w:w w:val="80"/>
        </w:rPr>
        <w:t xml:space="preserve">ꎬ </w:t>
      </w:r>
      <w:r>
        <w:t>确保煤层气地面开采安全和煤矿井下安全</w:t>
      </w:r>
      <w:r>
        <w:rPr>
          <w:rFonts w:hint="eastAsia" w:ascii="MS UI Gothic" w:eastAsia="MS UI Gothic"/>
          <w:w w:val="80"/>
        </w:rPr>
        <w:t>ꎮ</w:t>
      </w:r>
    </w:p>
    <w:p>
      <w:pPr>
        <w:pStyle w:val="6"/>
        <w:tabs>
          <w:tab w:val="left" w:pos="1906"/>
        </w:tabs>
        <w:spacing w:before="149"/>
        <w:ind w:left="1067" w:firstLine="0"/>
        <w:jc w:val="left"/>
      </w:pPr>
      <w:r>
        <w:rPr>
          <w:spacing w:val="3"/>
          <w:w w:val="105"/>
        </w:rPr>
        <w:t>第二</w:t>
      </w:r>
      <w:r>
        <w:rPr>
          <w:w w:val="105"/>
        </w:rPr>
        <w:t>章</w:t>
      </w:r>
      <w:r>
        <w:rPr>
          <w:w w:val="105"/>
        </w:rPr>
        <w:tab/>
      </w:r>
      <w:r>
        <w:rPr>
          <w:w w:val="105"/>
        </w:rPr>
        <w:t>一</w:t>
      </w:r>
      <w:r>
        <w:rPr>
          <w:spacing w:val="-34"/>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216" w:line="295" w:lineRule="auto"/>
        <w:ind w:right="38"/>
        <w:rPr>
          <w:rFonts w:hint="eastAsia" w:ascii="MS UI Gothic" w:eastAsia="MS UI Gothic"/>
        </w:rPr>
      </w:pPr>
      <w:r>
        <w:rPr>
          <w:spacing w:val="2"/>
          <w:w w:val="105"/>
        </w:rPr>
        <w:t>第十条 煤层气地面开采项目应当按</w:t>
      </w:r>
      <w:r>
        <w:rPr>
          <w:spacing w:val="11"/>
        </w:rPr>
        <w:t>照有关规定进行安全条件论证和安全预</w:t>
      </w:r>
      <w:r>
        <w:rPr>
          <w:spacing w:val="3"/>
          <w:w w:val="105"/>
        </w:rPr>
        <w:t>评价</w:t>
      </w:r>
      <w:r>
        <w:rPr>
          <w:rFonts w:hint="eastAsia" w:ascii="MS UI Gothic" w:eastAsia="MS UI Gothic"/>
          <w:w w:val="80"/>
        </w:rPr>
        <w:t>ꎮ</w:t>
      </w:r>
    </w:p>
    <w:p>
      <w:pPr>
        <w:pStyle w:val="6"/>
        <w:spacing w:line="295" w:lineRule="auto"/>
        <w:ind w:right="38"/>
        <w:rPr>
          <w:rFonts w:hint="eastAsia" w:ascii="MS UI Gothic" w:eastAsia="MS UI Gothic"/>
        </w:rPr>
      </w:pPr>
      <w:r>
        <w:rPr>
          <w:spacing w:val="7"/>
        </w:rPr>
        <w:t>第十一条 新建</w:t>
      </w:r>
      <w:r>
        <w:rPr>
          <w:rFonts w:hint="eastAsia" w:ascii="MS UI Gothic" w:eastAsia="MS UI Gothic"/>
          <w:spacing w:val="12"/>
          <w:w w:val="80"/>
        </w:rPr>
        <w:t xml:space="preserve">、 </w:t>
      </w:r>
      <w:r>
        <w:rPr>
          <w:spacing w:val="3"/>
        </w:rPr>
        <w:t>改建</w:t>
      </w:r>
      <w:r>
        <w:rPr>
          <w:rFonts w:hint="eastAsia" w:ascii="MS UI Gothic" w:eastAsia="MS UI Gothic"/>
          <w:spacing w:val="8"/>
          <w:w w:val="80"/>
        </w:rPr>
        <w:t xml:space="preserve">、  </w:t>
      </w:r>
      <w:r>
        <w:rPr>
          <w:spacing w:val="2"/>
        </w:rPr>
        <w:t>扩建煤层气</w:t>
      </w:r>
      <w:r>
        <w:rPr>
          <w:spacing w:val="3"/>
        </w:rPr>
        <w:t>开采项目的安全设施</w:t>
      </w:r>
      <w:r>
        <w:rPr>
          <w:rFonts w:hint="eastAsia" w:ascii="MS UI Gothic" w:eastAsia="MS UI Gothic"/>
          <w:spacing w:val="21"/>
          <w:w w:val="80"/>
        </w:rPr>
        <w:t xml:space="preserve">ꎬ </w:t>
      </w:r>
      <w:r>
        <w:rPr>
          <w:spacing w:val="2"/>
        </w:rPr>
        <w:t>必须与主体工程同</w:t>
      </w:r>
      <w:r>
        <w:rPr>
          <w:spacing w:val="3"/>
        </w:rPr>
        <w:t>时设计</w:t>
      </w:r>
      <w:r>
        <w:rPr>
          <w:rFonts w:hint="eastAsia" w:ascii="MS UI Gothic" w:eastAsia="MS UI Gothic"/>
          <w:spacing w:val="1"/>
          <w:w w:val="80"/>
        </w:rPr>
        <w:t xml:space="preserve">、 </w:t>
      </w:r>
      <w:r>
        <w:rPr>
          <w:spacing w:val="17"/>
        </w:rPr>
        <w:t>同时施工</w:t>
      </w:r>
      <w:r>
        <w:rPr>
          <w:rFonts w:hint="eastAsia" w:ascii="MS UI Gothic" w:eastAsia="MS UI Gothic"/>
          <w:spacing w:val="3"/>
          <w:w w:val="80"/>
        </w:rPr>
        <w:t xml:space="preserve">、  </w:t>
      </w:r>
      <w:r>
        <w:rPr>
          <w:spacing w:val="20"/>
        </w:rPr>
        <w:t>同时投入生产和使</w:t>
      </w:r>
      <w:r>
        <w:rPr>
          <w:spacing w:val="3"/>
        </w:rPr>
        <w:t>用</w:t>
      </w:r>
      <w:r>
        <w:rPr>
          <w:rFonts w:hint="eastAsia" w:ascii="MS UI Gothic" w:eastAsia="MS UI Gothic"/>
          <w:spacing w:val="18"/>
          <w:w w:val="80"/>
        </w:rPr>
        <w:t xml:space="preserve">ꎮ </w:t>
      </w:r>
      <w:r>
        <w:rPr>
          <w:spacing w:val="31"/>
        </w:rPr>
        <w:t>安全设施投资应当纳入建设项目</w:t>
      </w:r>
      <w:r>
        <w:rPr>
          <w:spacing w:val="3"/>
        </w:rPr>
        <w:t>概算</w:t>
      </w:r>
      <w:r>
        <w:rPr>
          <w:rFonts w:hint="eastAsia" w:ascii="MS UI Gothic" w:eastAsia="MS UI Gothic"/>
          <w:w w:val="80"/>
        </w:rPr>
        <w:t>ꎮ</w:t>
      </w:r>
    </w:p>
    <w:p>
      <w:pPr>
        <w:pStyle w:val="6"/>
        <w:spacing w:line="295" w:lineRule="auto"/>
        <w:ind w:right="38"/>
        <w:rPr>
          <w:rFonts w:hint="eastAsia" w:ascii="MS UI Gothic" w:eastAsia="MS UI Gothic"/>
        </w:rPr>
      </w:pPr>
      <w:r>
        <w:t>第十二条 煤层气地面开采项目的总体开发方案和煤层气集输管线</w:t>
      </w:r>
      <w:r>
        <w:rPr>
          <w:rFonts w:hint="eastAsia" w:ascii="MS UI Gothic" w:eastAsia="MS UI Gothic"/>
          <w:w w:val="80"/>
        </w:rPr>
        <w:t xml:space="preserve">、 </w:t>
      </w:r>
      <w:r>
        <w:t>站场</w:t>
      </w:r>
      <w:r>
        <w:rPr>
          <w:rFonts w:hint="eastAsia" w:ascii="MS UI Gothic" w:eastAsia="MS UI Gothic"/>
          <w:w w:val="80"/>
        </w:rPr>
        <w:t xml:space="preserve">、 </w:t>
      </w:r>
      <w:r>
        <w:t>供电等工程设计应当由具有相应资质的单位承担</w:t>
      </w:r>
      <w:r>
        <w:rPr>
          <w:rFonts w:hint="eastAsia" w:ascii="MS UI Gothic" w:eastAsia="MS UI Gothic"/>
          <w:w w:val="80"/>
        </w:rPr>
        <w:t xml:space="preserve">ꎮ </w:t>
      </w:r>
      <w:r>
        <w:t>煤层气井钻井</w:t>
      </w:r>
      <w:r>
        <w:rPr>
          <w:rFonts w:hint="eastAsia" w:ascii="MS UI Gothic" w:eastAsia="MS UI Gothic"/>
          <w:w w:val="80"/>
        </w:rPr>
        <w:t xml:space="preserve">、 </w:t>
      </w:r>
      <w:r>
        <w:t>压裂</w:t>
      </w:r>
      <w:r>
        <w:rPr>
          <w:rFonts w:hint="eastAsia" w:ascii="MS UI Gothic" w:eastAsia="MS UI Gothic"/>
          <w:w w:val="80"/>
        </w:rPr>
        <w:t xml:space="preserve">、 </w:t>
      </w:r>
      <w:r>
        <w:t>排采</w:t>
      </w:r>
      <w:r>
        <w:rPr>
          <w:rFonts w:hint="eastAsia" w:ascii="MS UI Gothic" w:eastAsia="MS UI Gothic"/>
          <w:w w:val="80"/>
        </w:rPr>
        <w:t xml:space="preserve">、  </w:t>
      </w:r>
      <w:r>
        <w:t>修井等施工方案</w:t>
      </w:r>
      <w:r>
        <w:rPr>
          <w:rFonts w:hint="eastAsia" w:ascii="MS UI Gothic" w:eastAsia="MS UI Gothic"/>
          <w:w w:val="80"/>
        </w:rPr>
        <w:t xml:space="preserve">ꎬ </w:t>
      </w:r>
      <w:r>
        <w:t>由煤层气企业负责</w:t>
      </w:r>
      <w:r>
        <w:rPr>
          <w:rFonts w:hint="eastAsia" w:ascii="MS UI Gothic" w:eastAsia="MS UI Gothic"/>
          <w:w w:val="80"/>
        </w:rPr>
        <w:t>ꎮ</w:t>
      </w:r>
    </w:p>
    <w:p>
      <w:pPr>
        <w:pStyle w:val="6"/>
        <w:spacing w:line="295" w:lineRule="auto"/>
        <w:ind w:right="38"/>
        <w:rPr>
          <w:rFonts w:hint="eastAsia" w:ascii="MS UI Gothic" w:eastAsia="MS UI Gothic"/>
        </w:rPr>
      </w:pPr>
      <w:r>
        <w:t>煤层气企业应当建立健全施工方案的审查制度</w:t>
      </w:r>
      <w:r>
        <w:rPr>
          <w:rFonts w:hint="eastAsia" w:ascii="MS UI Gothic" w:eastAsia="MS UI Gothic"/>
          <w:w w:val="80"/>
        </w:rPr>
        <w:t xml:space="preserve">ꎬ </w:t>
      </w:r>
      <w:r>
        <w:t>严格安全条件的审查</w:t>
      </w:r>
      <w:r>
        <w:rPr>
          <w:rFonts w:hint="eastAsia" w:ascii="MS UI Gothic" w:eastAsia="MS UI Gothic"/>
          <w:w w:val="80"/>
        </w:rPr>
        <w:t xml:space="preserve">ꎮ </w:t>
      </w:r>
      <w:r>
        <w:t>施工方案未经煤层气企业主要负责人审查同意的</w:t>
      </w:r>
      <w:r>
        <w:rPr>
          <w:rFonts w:hint="eastAsia" w:ascii="MS UI Gothic" w:eastAsia="MS UI Gothic"/>
          <w:w w:val="80"/>
        </w:rPr>
        <w:t xml:space="preserve">ꎬ </w:t>
      </w:r>
      <w:r>
        <w:t>施工单位不得施工</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第十三条 煤层气地面开采项目的工</w:t>
      </w:r>
      <w:r>
        <w:t>程施工应当由具有相应资质的监理单位进行监督</w:t>
      </w:r>
      <w:r>
        <w:rPr>
          <w:rFonts w:hint="eastAsia" w:ascii="MS UI Gothic" w:eastAsia="MS UI Gothic"/>
          <w:w w:val="80"/>
        </w:rPr>
        <w:t xml:space="preserve">ꎮ </w:t>
      </w:r>
      <w:r>
        <w:t>监理单位应当按照国家建设工程监理规范的要求对工程施工质量进行</w:t>
      </w:r>
      <w:r>
        <w:rPr>
          <w:w w:val="105"/>
        </w:rPr>
        <w:t>监督</w:t>
      </w:r>
      <w:r>
        <w:rPr>
          <w:rFonts w:hint="eastAsia" w:ascii="MS UI Gothic" w:eastAsia="MS UI Gothic"/>
          <w:w w:val="80"/>
        </w:rPr>
        <w:t>ꎮ</w:t>
      </w:r>
    </w:p>
    <w:p>
      <w:pPr>
        <w:pStyle w:val="6"/>
        <w:spacing w:line="295" w:lineRule="auto"/>
        <w:ind w:right="38"/>
      </w:pPr>
      <w:r>
        <w:rPr>
          <w:w w:val="105"/>
        </w:rPr>
        <w:t>第十四条 煤层气企业进行工程发包</w:t>
      </w:r>
      <w:r>
        <w:t>时</w:t>
      </w:r>
      <w:r>
        <w:rPr>
          <w:rFonts w:hint="eastAsia" w:ascii="MS UI Gothic" w:eastAsia="MS UI Gothic"/>
          <w:w w:val="80"/>
        </w:rPr>
        <w:t xml:space="preserve">ꎬ </w:t>
      </w:r>
      <w:r>
        <w:t>应当对承包单位的资质条件和安全生产业绩进行审查</w:t>
      </w:r>
      <w:r>
        <w:rPr>
          <w:rFonts w:hint="eastAsia" w:ascii="MS UI Gothic" w:eastAsia="MS UI Gothic"/>
          <w:w w:val="80"/>
        </w:rPr>
        <w:t xml:space="preserve">ꎬ </w:t>
      </w:r>
      <w:r>
        <w:t>与承包单位签订专门的安全生产管理协议</w:t>
      </w:r>
      <w:r>
        <w:rPr>
          <w:rFonts w:hint="eastAsia" w:ascii="MS UI Gothic" w:eastAsia="MS UI Gothic"/>
          <w:w w:val="80"/>
        </w:rPr>
        <w:t xml:space="preserve">ꎬ </w:t>
      </w:r>
      <w:r>
        <w:t>或者在承包合同中约定各自的安全生产管理职责</w:t>
      </w:r>
      <w:r>
        <w:rPr>
          <w:rFonts w:hint="eastAsia" w:ascii="MS UI Gothic" w:eastAsia="MS UI Gothic"/>
          <w:w w:val="80"/>
        </w:rPr>
        <w:t xml:space="preserve">ꎮ </w:t>
      </w:r>
      <w:r>
        <w:t>煤层气企业</w:t>
      </w:r>
    </w:p>
    <w:p>
      <w:pPr>
        <w:pStyle w:val="6"/>
        <w:spacing w:before="123" w:line="295" w:lineRule="auto"/>
        <w:ind w:right="440" w:firstLine="0"/>
        <w:rPr>
          <w:rFonts w:hint="eastAsia" w:ascii="MS UI Gothic" w:eastAsia="MS UI Gothic"/>
        </w:rPr>
      </w:pPr>
      <w:r>
        <w:br w:type="column"/>
      </w:r>
      <w:r>
        <w:t>对承包单位的安全生产工作统一协调</w:t>
      </w:r>
      <w:r>
        <w:rPr>
          <w:rFonts w:hint="eastAsia" w:ascii="MS UI Gothic" w:eastAsia="MS UI Gothic"/>
          <w:w w:val="80"/>
        </w:rPr>
        <w:t>、</w:t>
      </w:r>
      <w:r>
        <w:t>管理</w:t>
      </w:r>
      <w:r>
        <w:rPr>
          <w:rFonts w:hint="eastAsia" w:ascii="MS UI Gothic" w:eastAsia="MS UI Gothic"/>
          <w:w w:val="80"/>
        </w:rPr>
        <w:t>ꎮ</w:t>
      </w:r>
    </w:p>
    <w:p>
      <w:pPr>
        <w:pStyle w:val="6"/>
        <w:spacing w:line="295" w:lineRule="auto"/>
        <w:ind w:right="442"/>
        <w:rPr>
          <w:rFonts w:hint="eastAsia" w:ascii="MS UI Gothic" w:eastAsia="MS UI Gothic"/>
        </w:rPr>
      </w:pPr>
      <w:r>
        <w:t>第十五条 煤层气企业应当经常开展安全生产检查及事故隐患排查</w:t>
      </w:r>
      <w:r>
        <w:rPr>
          <w:rFonts w:hint="eastAsia" w:ascii="MS UI Gothic" w:eastAsia="MS UI Gothic"/>
          <w:w w:val="80"/>
        </w:rPr>
        <w:t xml:space="preserve">ꎬ </w:t>
      </w:r>
      <w:r>
        <w:t>对发现的安全生产问题和事故隐患</w:t>
      </w:r>
      <w:r>
        <w:rPr>
          <w:rFonts w:hint="eastAsia" w:ascii="MS UI Gothic" w:eastAsia="MS UI Gothic"/>
          <w:w w:val="80"/>
        </w:rPr>
        <w:t xml:space="preserve">ꎬ </w:t>
      </w:r>
      <w:r>
        <w:t>应当立即采取措施进行整改</w:t>
      </w:r>
      <w:r>
        <w:rPr>
          <w:rFonts w:hint="eastAsia" w:ascii="MS UI Gothic" w:eastAsia="MS UI Gothic"/>
          <w:w w:val="80"/>
        </w:rPr>
        <w:t xml:space="preserve">ꎻ </w:t>
      </w:r>
      <w:r>
        <w:t>不能立即整改的</w:t>
      </w:r>
      <w:r>
        <w:rPr>
          <w:rFonts w:hint="eastAsia" w:ascii="MS UI Gothic" w:eastAsia="MS UI Gothic"/>
          <w:w w:val="80"/>
        </w:rPr>
        <w:t xml:space="preserve">ꎬ </w:t>
      </w:r>
      <w:r>
        <w:t>应当制定整改方案限期处理</w:t>
      </w:r>
      <w:r>
        <w:rPr>
          <w:rFonts w:hint="eastAsia" w:ascii="MS UI Gothic" w:eastAsia="MS UI Gothic"/>
          <w:w w:val="80"/>
        </w:rPr>
        <w:t>ꎮ</w:t>
      </w:r>
    </w:p>
    <w:p>
      <w:pPr>
        <w:pStyle w:val="6"/>
        <w:spacing w:line="295" w:lineRule="auto"/>
        <w:ind w:right="442"/>
        <w:rPr>
          <w:rFonts w:hint="eastAsia" w:ascii="MS UI Gothic" w:eastAsia="MS UI Gothic"/>
        </w:rPr>
      </w:pPr>
      <w:r>
        <w:t>第十六条  煤层气企业应当对安全阀</w:t>
      </w:r>
      <w:r>
        <w:rPr>
          <w:rFonts w:hint="eastAsia" w:ascii="MS UI Gothic" w:eastAsia="MS UI Gothic"/>
          <w:w w:val="80"/>
        </w:rPr>
        <w:t xml:space="preserve">、 </w:t>
      </w:r>
      <w:r>
        <w:t>压力表</w:t>
      </w:r>
      <w:r>
        <w:rPr>
          <w:rFonts w:hint="eastAsia" w:ascii="MS UI Gothic" w:eastAsia="MS UI Gothic"/>
          <w:w w:val="80"/>
        </w:rPr>
        <w:t xml:space="preserve">、 </w:t>
      </w:r>
      <w:r>
        <w:t>传感器和监测设备进行定期校验</w:t>
      </w:r>
      <w:r>
        <w:rPr>
          <w:rFonts w:hint="eastAsia" w:ascii="MS UI Gothic" w:eastAsia="MS UI Gothic"/>
          <w:w w:val="80"/>
        </w:rPr>
        <w:t xml:space="preserve">、 </w:t>
      </w:r>
      <w:r>
        <w:t>检定</w:t>
      </w:r>
      <w:r>
        <w:rPr>
          <w:rFonts w:hint="eastAsia" w:ascii="MS UI Gothic" w:eastAsia="MS UI Gothic"/>
          <w:w w:val="80"/>
        </w:rPr>
        <w:t xml:space="preserve">ꎮ </w:t>
      </w:r>
      <w:r>
        <w:t>煤层气企业的特种设备应当按照有关规定定期检测</w:t>
      </w:r>
      <w:r>
        <w:rPr>
          <w:rFonts w:hint="eastAsia" w:ascii="MS UI Gothic" w:eastAsia="MS UI Gothic"/>
          <w:w w:val="80"/>
        </w:rPr>
        <w:t>ꎮ</w:t>
      </w:r>
    </w:p>
    <w:p>
      <w:pPr>
        <w:pStyle w:val="6"/>
        <w:spacing w:line="295" w:lineRule="auto"/>
        <w:ind w:right="442"/>
        <w:rPr>
          <w:rFonts w:hint="eastAsia" w:ascii="MS UI Gothic" w:eastAsia="MS UI Gothic"/>
        </w:rPr>
      </w:pPr>
      <w:r>
        <w:t>第十七条 煤层气企业应当建立相应的消防机构</w:t>
      </w:r>
      <w:r>
        <w:rPr>
          <w:rFonts w:hint="eastAsia" w:ascii="MS UI Gothic" w:eastAsia="MS UI Gothic"/>
          <w:w w:val="80"/>
        </w:rPr>
        <w:t xml:space="preserve">ꎬ </w:t>
      </w:r>
      <w:r>
        <w:t>配备专职或者兼职消防人员和必要的装备</w:t>
      </w:r>
      <w:r>
        <w:rPr>
          <w:rFonts w:hint="eastAsia" w:ascii="MS UI Gothic" w:eastAsia="MS UI Gothic"/>
          <w:w w:val="80"/>
        </w:rPr>
        <w:t xml:space="preserve">、 </w:t>
      </w:r>
      <w:r>
        <w:t>器材</w:t>
      </w:r>
      <w:r>
        <w:rPr>
          <w:rFonts w:hint="eastAsia" w:ascii="MS UI Gothic" w:eastAsia="MS UI Gothic"/>
          <w:w w:val="80"/>
        </w:rPr>
        <w:t xml:space="preserve">ꎬ </w:t>
      </w:r>
      <w:r>
        <w:t>或者与所在地消防</w:t>
      </w:r>
      <w:r>
        <w:rPr>
          <w:rFonts w:hint="eastAsia" w:ascii="MS UI Gothic" w:eastAsia="MS UI Gothic"/>
          <w:w w:val="80"/>
        </w:rPr>
        <w:t xml:space="preserve">、 </w:t>
      </w:r>
      <w:r>
        <w:t>应急救援机构签订消防救援合同</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第十八条 煤层气企业应当建立劳动防护用品配备</w:t>
      </w:r>
      <w:r>
        <w:rPr>
          <w:rFonts w:hint="eastAsia" w:ascii="MS UI Gothic" w:eastAsia="MS UI Gothic"/>
          <w:w w:val="80"/>
        </w:rPr>
        <w:t xml:space="preserve">、 </w:t>
      </w:r>
      <w:r>
        <w:rPr>
          <w:w w:val="105"/>
        </w:rPr>
        <w:t>使用和管理制度</w:t>
      </w:r>
      <w:r>
        <w:rPr>
          <w:rFonts w:hint="eastAsia" w:ascii="MS UI Gothic" w:eastAsia="MS UI Gothic"/>
          <w:w w:val="80"/>
        </w:rPr>
        <w:t xml:space="preserve">ꎬ </w:t>
      </w:r>
      <w:r>
        <w:rPr>
          <w:w w:val="105"/>
        </w:rPr>
        <w:t>为从业</w:t>
      </w:r>
      <w:r>
        <w:t>人员提供符合国家标准或者行业标准的劳</w:t>
      </w:r>
      <w:r>
        <w:rPr>
          <w:w w:val="105"/>
        </w:rPr>
        <w:t>动防护用品</w:t>
      </w:r>
      <w:r>
        <w:rPr>
          <w:rFonts w:hint="eastAsia" w:ascii="MS UI Gothic" w:eastAsia="MS UI Gothic"/>
          <w:w w:val="80"/>
        </w:rPr>
        <w:t>ꎮ</w:t>
      </w:r>
    </w:p>
    <w:p>
      <w:pPr>
        <w:pStyle w:val="6"/>
        <w:spacing w:line="295" w:lineRule="auto"/>
        <w:ind w:right="442"/>
        <w:rPr>
          <w:rFonts w:hint="eastAsia" w:ascii="MS UI Gothic" w:eastAsia="MS UI Gothic"/>
        </w:rPr>
      </w:pPr>
      <w:r>
        <w:t>煤层气企业应当对从业人员进行劳动防护用品使用的培训</w:t>
      </w:r>
      <w:r>
        <w:rPr>
          <w:rFonts w:hint="eastAsia" w:ascii="MS UI Gothic" w:eastAsia="MS UI Gothic"/>
          <w:w w:val="80"/>
        </w:rPr>
        <w:t xml:space="preserve">ꎬ </w:t>
      </w:r>
      <w:r>
        <w:t>指导</w:t>
      </w:r>
      <w:r>
        <w:rPr>
          <w:rFonts w:hint="eastAsia" w:ascii="MS UI Gothic" w:eastAsia="MS UI Gothic"/>
          <w:w w:val="80"/>
        </w:rPr>
        <w:t xml:space="preserve">、 </w:t>
      </w:r>
      <w:r>
        <w:t>教育从业人员正确佩戴和使用劳动防护用品</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第十九条 煤层气企业进行电焊</w:t>
      </w:r>
      <w:r>
        <w:rPr>
          <w:rFonts w:hint="eastAsia" w:ascii="MS UI Gothic" w:eastAsia="MS UI Gothic"/>
          <w:w w:val="80"/>
        </w:rPr>
        <w:t xml:space="preserve">、 </w:t>
      </w:r>
      <w:r>
        <w:rPr>
          <w:w w:val="105"/>
        </w:rPr>
        <w:t xml:space="preserve">气焊 </w:t>
      </w:r>
      <w:r>
        <w:rPr>
          <w:rFonts w:hint="eastAsia" w:ascii="MS UI Gothic" w:eastAsia="MS UI Gothic"/>
          <w:w w:val="150"/>
        </w:rPr>
        <w:t xml:space="preserve">( </w:t>
      </w:r>
      <w:r>
        <w:rPr>
          <w:w w:val="105"/>
        </w:rPr>
        <w:t>割</w:t>
      </w:r>
      <w:r>
        <w:rPr>
          <w:rFonts w:hint="eastAsia" w:ascii="MS UI Gothic" w:eastAsia="MS UI Gothic"/>
          <w:w w:val="150"/>
        </w:rPr>
        <w:t xml:space="preserve">) </w:t>
      </w:r>
      <w:r>
        <w:rPr>
          <w:w w:val="105"/>
        </w:rPr>
        <w:t>等明火作业或其他可能产生火</w:t>
      </w:r>
      <w:r>
        <w:t>花的作业</w:t>
      </w:r>
      <w:r>
        <w:rPr>
          <w:rFonts w:hint="eastAsia" w:ascii="MS UI Gothic" w:eastAsia="MS UI Gothic"/>
          <w:w w:val="80"/>
        </w:rPr>
        <w:t xml:space="preserve">ꎬ </w:t>
      </w:r>
      <w:r>
        <w:t>应当编制专门的安全技术措施</w:t>
      </w:r>
      <w:r>
        <w:rPr>
          <w:rFonts w:hint="eastAsia" w:ascii="MS UI Gothic" w:eastAsia="MS UI Gothic"/>
          <w:w w:val="80"/>
        </w:rPr>
        <w:t xml:space="preserve">ꎬ </w:t>
      </w:r>
      <w:r>
        <w:t>并经本企业技术负责人审查批准</w:t>
      </w:r>
      <w:r>
        <w:rPr>
          <w:rFonts w:hint="eastAsia" w:ascii="MS UI Gothic" w:eastAsia="MS UI Gothic"/>
          <w:w w:val="80"/>
        </w:rPr>
        <w:t xml:space="preserve">ꎮ </w:t>
      </w:r>
      <w:r>
        <w:t>井</w:t>
      </w:r>
      <w:r>
        <w:rPr>
          <w:w w:val="105"/>
        </w:rPr>
        <w:t>场</w:t>
      </w:r>
      <w:r>
        <w:rPr>
          <w:rFonts w:hint="eastAsia" w:ascii="MS UI Gothic" w:eastAsia="MS UI Gothic"/>
          <w:w w:val="80"/>
        </w:rPr>
        <w:t xml:space="preserve">、 </w:t>
      </w:r>
      <w:r>
        <w:rPr>
          <w:w w:val="105"/>
        </w:rPr>
        <w:t>站场内禁止烟火</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第二十条 煤层气企业应当建立设备</w:t>
      </w:r>
      <w:r>
        <w:t>管理专人负责制度</w:t>
      </w:r>
      <w:r>
        <w:rPr>
          <w:rFonts w:hint="eastAsia" w:ascii="MS UI Gothic" w:eastAsia="MS UI Gothic"/>
          <w:w w:val="80"/>
        </w:rPr>
        <w:t xml:space="preserve">ꎮ </w:t>
      </w:r>
      <w:r>
        <w:t>设备管理应当符合下</w:t>
      </w:r>
      <w:r>
        <w:rPr>
          <w:w w:val="110"/>
        </w:rPr>
        <w:t>列要求</w:t>
      </w:r>
      <w:r>
        <w:rPr>
          <w:rFonts w:hint="eastAsia" w:ascii="MS UI Gothic" w:eastAsia="MS UI Gothic"/>
          <w:w w:val="235"/>
        </w:rPr>
        <w:t>:</w:t>
      </w:r>
    </w:p>
    <w:p>
      <w:pPr>
        <w:pStyle w:val="6"/>
        <w:spacing w:line="295" w:lineRule="auto"/>
        <w:ind w:right="440"/>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安全标志正确</w:t>
      </w:r>
      <w:r>
        <w:rPr>
          <w:rFonts w:hint="eastAsia" w:ascii="MS UI Gothic" w:eastAsia="MS UI Gothic"/>
          <w:w w:val="80"/>
        </w:rPr>
        <w:t xml:space="preserve">、 </w:t>
      </w:r>
      <w:r>
        <w:rPr>
          <w:w w:val="105"/>
        </w:rPr>
        <w:t>齐全</w:t>
      </w:r>
      <w:r>
        <w:rPr>
          <w:rFonts w:hint="eastAsia" w:ascii="MS UI Gothic" w:eastAsia="MS UI Gothic"/>
          <w:w w:val="80"/>
        </w:rPr>
        <w:t xml:space="preserve">、 </w:t>
      </w:r>
      <w:r>
        <w:rPr>
          <w:w w:val="105"/>
        </w:rPr>
        <w:t>清晰</w:t>
      </w:r>
      <w:r>
        <w:rPr>
          <w:rFonts w:hint="eastAsia" w:ascii="MS UI Gothic" w:eastAsia="MS UI Gothic"/>
          <w:w w:val="80"/>
        </w:rPr>
        <w:t>ꎬ</w:t>
      </w:r>
      <w:r>
        <w:rPr>
          <w:w w:val="105"/>
        </w:rPr>
        <w:t>设置位置合理</w:t>
      </w:r>
      <w:r>
        <w:rPr>
          <w:rFonts w:hint="eastAsia" w:ascii="MS UI Gothic" w:eastAsia="MS UI Gothic"/>
          <w:w w:val="80"/>
        </w:rPr>
        <w:t>ꎻ</w:t>
      </w:r>
    </w:p>
    <w:p>
      <w:pPr>
        <w:pStyle w:val="6"/>
        <w:spacing w:line="295" w:lineRule="auto"/>
        <w:ind w:right="440"/>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定期进行巡检</w:t>
      </w:r>
      <w:r>
        <w:rPr>
          <w:rFonts w:hint="eastAsia" w:ascii="MS UI Gothic" w:eastAsia="MS UI Gothic"/>
          <w:w w:val="80"/>
        </w:rPr>
        <w:t xml:space="preserve">、 </w:t>
      </w:r>
      <w:r>
        <w:rPr>
          <w:w w:val="105"/>
        </w:rPr>
        <w:t>维护和保养</w:t>
      </w:r>
      <w:r>
        <w:rPr>
          <w:rFonts w:hint="eastAsia" w:ascii="MS UI Gothic" w:eastAsia="MS UI Gothic"/>
          <w:w w:val="80"/>
        </w:rPr>
        <w:t>ꎬ</w:t>
      </w:r>
      <w:r>
        <w:rPr>
          <w:w w:val="105"/>
        </w:rPr>
        <w:t>确保设备始终处于完好状态</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机械传动部位安装安全防护栏</w:t>
      </w:r>
      <w:r>
        <w:rPr>
          <w:w w:val="110"/>
        </w:rPr>
        <w:t>或者防护罩</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按照有关规定对设备进行换季维护保养</w:t>
      </w:r>
      <w:r>
        <w:rPr>
          <w:rFonts w:hint="eastAsia" w:ascii="MS UI Gothic" w:eastAsia="MS UI Gothic"/>
          <w:w w:val="80"/>
        </w:rPr>
        <w:t xml:space="preserve">ꎬ </w:t>
      </w:r>
      <w:r>
        <w:rPr>
          <w:w w:val="105"/>
        </w:rPr>
        <w:t>防止设备锈蚀</w:t>
      </w:r>
      <w:r>
        <w:rPr>
          <w:rFonts w:hint="eastAsia" w:ascii="MS UI Gothic" w:eastAsia="MS UI Gothic"/>
          <w:w w:val="80"/>
        </w:rPr>
        <w:t xml:space="preserve">、 </w:t>
      </w:r>
      <w:r>
        <w:rPr>
          <w:w w:val="105"/>
        </w:rPr>
        <w:t>冻裂</w:t>
      </w:r>
      <w:r>
        <w:rPr>
          <w:rFonts w:hint="eastAsia" w:ascii="MS UI Gothic" w:eastAsia="MS UI Gothic"/>
          <w:w w:val="80"/>
        </w:rPr>
        <w:t>ꎻ</w:t>
      </w:r>
    </w:p>
    <w:p>
      <w:pPr>
        <w:pStyle w:val="6"/>
        <w:spacing w:line="255" w:lineRule="exact"/>
        <w:ind w:left="543" w:firstLine="0"/>
        <w:jc w:val="left"/>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带压设备定期进行试压</w:t>
      </w:r>
      <w:r>
        <w:rPr>
          <w:rFonts w:hint="eastAsia" w:ascii="MS UI Gothic" w:eastAsia="MS UI Gothic"/>
          <w:w w:val="80"/>
        </w:rPr>
        <w:t xml:space="preserve">ꎬ </w:t>
      </w:r>
      <w:r>
        <w:rPr>
          <w:w w:val="110"/>
        </w:rPr>
        <w:t>合格</w:t>
      </w:r>
    </w:p>
    <w:p>
      <w:pPr>
        <w:spacing w:after="0" w:line="255"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３５５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77" o:spid="_x0000_s2077" o:spt="203" style="height:2.15pt;width:398.25pt;" coordsize="7965,43">
            <o:lock v:ext="edit"/>
            <v:line id="_x0000_s2078" o:spid="_x0000_s2078" o:spt="20" style="position:absolute;left:0;top:39;height:0;width:7965;" stroked="t" coordsize="21600,21600">
              <v:path arrowok="t"/>
              <v:fill focussize="0,0"/>
              <v:stroke weight="0.388031496062992pt" color="#231F20"/>
              <v:imagedata o:title=""/>
              <o:lock v:ext="edit"/>
            </v:line>
            <v:line id="_x0000_s2079" o:spid="_x0000_s207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后方可使用</w:t>
      </w:r>
      <w:r>
        <w:rPr>
          <w:rFonts w:hint="eastAsia" w:ascii="MS UI Gothic" w:eastAsia="MS UI Gothic"/>
          <w:w w:val="80"/>
        </w:rPr>
        <w:t>ꎮ</w:t>
      </w:r>
    </w:p>
    <w:p>
      <w:pPr>
        <w:pStyle w:val="6"/>
        <w:spacing w:before="58" w:line="295" w:lineRule="auto"/>
        <w:ind w:left="440" w:right="1"/>
        <w:rPr>
          <w:rFonts w:hint="eastAsia" w:ascii="MS UI Gothic" w:eastAsia="MS UI Gothic"/>
        </w:rPr>
      </w:pPr>
      <w:r>
        <w:t>第二十一条 站场控制室内的气体探测控制仪超限断电后</w:t>
      </w:r>
      <w:r>
        <w:rPr>
          <w:rFonts w:hint="eastAsia" w:ascii="MS UI Gothic" w:eastAsia="MS UI Gothic"/>
          <w:w w:val="80"/>
        </w:rPr>
        <w:t xml:space="preserve">ꎬ </w:t>
      </w:r>
      <w:r>
        <w:t>煤层气企业应当立即组织专人对相应的设备和室内环境进行检查</w:t>
      </w:r>
      <w:r>
        <w:rPr>
          <w:rFonts w:hint="eastAsia" w:ascii="MS UI Gothic" w:eastAsia="MS UI Gothic"/>
          <w:w w:val="80"/>
        </w:rPr>
        <w:t xml:space="preserve">ꎮ </w:t>
      </w:r>
      <w:r>
        <w:t>严禁强行送电</w:t>
      </w:r>
      <w:r>
        <w:rPr>
          <w:rFonts w:hint="eastAsia" w:ascii="MS UI Gothic" w:eastAsia="MS UI Gothic"/>
          <w:w w:val="80"/>
        </w:rPr>
        <w:t xml:space="preserve">、 </w:t>
      </w:r>
      <w:r>
        <w:t>开机</w:t>
      </w:r>
      <w:r>
        <w:rPr>
          <w:rFonts w:hint="eastAsia" w:ascii="MS UI Gothic" w:eastAsia="MS UI Gothic"/>
          <w:w w:val="80"/>
        </w:rPr>
        <w:t>ꎮ</w:t>
      </w:r>
    </w:p>
    <w:p>
      <w:pPr>
        <w:pStyle w:val="6"/>
        <w:tabs>
          <w:tab w:val="left" w:pos="2222"/>
        </w:tabs>
        <w:spacing w:before="154"/>
        <w:ind w:left="1384" w:firstLine="0"/>
        <w:jc w:val="left"/>
      </w:pPr>
      <w:r>
        <w:rPr>
          <w:spacing w:val="3"/>
          <w:w w:val="105"/>
        </w:rPr>
        <w:t>第三</w:t>
      </w:r>
      <w:r>
        <w:rPr>
          <w:w w:val="105"/>
        </w:rPr>
        <w:t>章</w:t>
      </w:r>
      <w:r>
        <w:rPr>
          <w:w w:val="105"/>
        </w:rPr>
        <w:tab/>
      </w:r>
      <w:r>
        <w:rPr>
          <w:spacing w:val="3"/>
          <w:w w:val="105"/>
        </w:rPr>
        <w:t>硫化氢防</w:t>
      </w:r>
      <w:r>
        <w:rPr>
          <w:w w:val="105"/>
        </w:rPr>
        <w:t>护</w:t>
      </w:r>
    </w:p>
    <w:p>
      <w:pPr>
        <w:pStyle w:val="6"/>
        <w:spacing w:before="215" w:line="295" w:lineRule="auto"/>
        <w:ind w:left="440" w:right="1"/>
        <w:rPr>
          <w:rFonts w:hint="eastAsia" w:ascii="MS UI Gothic" w:eastAsia="MS UI Gothic"/>
        </w:rPr>
      </w:pPr>
      <w:r>
        <w:rPr>
          <w:w w:val="105"/>
        </w:rPr>
        <w:t>第二十二条 在含硫化氢矿区进行施</w:t>
      </w:r>
      <w:r>
        <w:t>工作业和煤层气生产前</w:t>
      </w:r>
      <w:r>
        <w:rPr>
          <w:rFonts w:hint="eastAsia" w:ascii="MS UI Gothic" w:eastAsia="MS UI Gothic"/>
          <w:w w:val="80"/>
        </w:rPr>
        <w:t xml:space="preserve">ꎬ </w:t>
      </w:r>
      <w:r>
        <w:t>煤层气企业应当对所有生产作业人员和现场监督人员进行硫化氢防护的培训</w:t>
      </w:r>
      <w:r>
        <w:rPr>
          <w:rFonts w:hint="eastAsia" w:ascii="MS UI Gothic" w:eastAsia="MS UI Gothic"/>
          <w:w w:val="80"/>
        </w:rPr>
        <w:t xml:space="preserve">ꎮ </w:t>
      </w:r>
      <w:r>
        <w:t>培训内容应当包括课堂防护知识和现场实际操作</w:t>
      </w:r>
      <w:r>
        <w:rPr>
          <w:rFonts w:hint="eastAsia" w:ascii="MS UI Gothic" w:eastAsia="MS UI Gothic"/>
          <w:w w:val="80"/>
        </w:rPr>
        <w:t xml:space="preserve">ꎮ </w:t>
      </w:r>
      <w:r>
        <w:t>培训应当由具有资质的培训机构承担</w:t>
      </w:r>
      <w:r>
        <w:rPr>
          <w:rFonts w:hint="eastAsia" w:ascii="MS UI Gothic" w:eastAsia="MS UI Gothic"/>
          <w:w w:val="80"/>
        </w:rPr>
        <w:t xml:space="preserve">ꎬ </w:t>
      </w:r>
      <w:r>
        <w:t>并符合培训时</w:t>
      </w:r>
      <w:r>
        <w:rPr>
          <w:w w:val="105"/>
        </w:rPr>
        <w:t>间规定</w:t>
      </w:r>
      <w:r>
        <w:rPr>
          <w:rFonts w:hint="eastAsia" w:ascii="MS UI Gothic" w:eastAsia="MS UI Gothic"/>
          <w:w w:val="80"/>
        </w:rPr>
        <w:t>ꎮ</w:t>
      </w:r>
    </w:p>
    <w:p>
      <w:pPr>
        <w:pStyle w:val="6"/>
        <w:spacing w:line="295" w:lineRule="auto"/>
        <w:ind w:left="440" w:right="1"/>
        <w:rPr>
          <w:rFonts w:hint="eastAsia" w:ascii="MS UI Gothic" w:eastAsia="MS UI Gothic"/>
        </w:rPr>
      </w:pPr>
      <w:r>
        <w:t>对于临时作业人员和其他非定期派遣人员</w:t>
      </w:r>
      <w:r>
        <w:rPr>
          <w:rFonts w:hint="eastAsia" w:ascii="MS UI Gothic" w:eastAsia="MS UI Gothic"/>
          <w:w w:val="80"/>
        </w:rPr>
        <w:t xml:space="preserve">ꎬ </w:t>
      </w:r>
      <w:r>
        <w:t>在施工作业和煤层气生产前</w:t>
      </w:r>
      <w:r>
        <w:rPr>
          <w:rFonts w:hint="eastAsia" w:ascii="MS UI Gothic" w:eastAsia="MS UI Gothic"/>
          <w:w w:val="80"/>
        </w:rPr>
        <w:t xml:space="preserve">ꎬ </w:t>
      </w:r>
      <w:r>
        <w:t>煤层气企业应当对其进行硫化氢防护知识的教育</w:t>
      </w:r>
      <w:r>
        <w:rPr>
          <w:rFonts w:hint="eastAsia" w:ascii="MS UI Gothic" w:eastAsia="MS UI Gothic"/>
          <w:w w:val="80"/>
        </w:rPr>
        <w:t>ꎮ</w:t>
      </w:r>
    </w:p>
    <w:p>
      <w:pPr>
        <w:pStyle w:val="6"/>
        <w:spacing w:line="295" w:lineRule="auto"/>
        <w:ind w:left="440" w:right="1"/>
        <w:rPr>
          <w:rFonts w:hint="eastAsia" w:ascii="MS UI Gothic" w:eastAsia="MS UI Gothic"/>
        </w:rPr>
      </w:pPr>
      <w:r>
        <w:t>第二十三条 在含硫化氢环境中进行生产作业</w:t>
      </w:r>
      <w:r>
        <w:rPr>
          <w:rFonts w:hint="eastAsia" w:ascii="MS UI Gothic" w:eastAsia="MS UI Gothic"/>
          <w:w w:val="80"/>
        </w:rPr>
        <w:t xml:space="preserve">ꎬ </w:t>
      </w:r>
      <w:r>
        <w:t>应当配备固定式和携带式硫化氢监测仪</w:t>
      </w:r>
      <w:r>
        <w:rPr>
          <w:rFonts w:hint="eastAsia" w:ascii="MS UI Gothic" w:eastAsia="MS UI Gothic"/>
          <w:w w:val="80"/>
        </w:rPr>
        <w:t xml:space="preserve">ꎮ </w:t>
      </w:r>
      <w:r>
        <w:t>硫化氢监测仪应当按照有关规定进行定期校验和鉴定</w:t>
      </w:r>
      <w:r>
        <w:rPr>
          <w:rFonts w:hint="eastAsia" w:ascii="MS UI Gothic" w:eastAsia="MS UI Gothic"/>
          <w:w w:val="80"/>
        </w:rPr>
        <w:t xml:space="preserve">ꎮ </w:t>
      </w:r>
      <w:r>
        <w:t>硫化氢重点监测区域应当设有醒目的标志</w:t>
      </w:r>
      <w:r>
        <w:rPr>
          <w:rFonts w:hint="eastAsia" w:ascii="MS UI Gothic" w:eastAsia="MS UI Gothic"/>
          <w:w w:val="80"/>
        </w:rPr>
        <w:t xml:space="preserve">ꎬ </w:t>
      </w:r>
      <w:r>
        <w:t>并设置硫化氢监测探头和报警器</w:t>
      </w:r>
      <w:r>
        <w:rPr>
          <w:rFonts w:hint="eastAsia" w:ascii="MS UI Gothic" w:eastAsia="MS UI Gothic"/>
          <w:w w:val="80"/>
        </w:rPr>
        <w:t>ꎮ</w:t>
      </w:r>
    </w:p>
    <w:p>
      <w:pPr>
        <w:pStyle w:val="6"/>
        <w:spacing w:line="295" w:lineRule="auto"/>
        <w:ind w:left="435" w:firstLine="425"/>
        <w:rPr>
          <w:rFonts w:hint="eastAsia" w:ascii="MS UI Gothic" w:hAnsi="MS UI Gothic" w:eastAsia="MS UI Gothic"/>
        </w:rPr>
      </w:pPr>
      <w:r>
        <w:t>硫化氢监测仪发出不同级别报警时</w:t>
      </w:r>
      <w:r>
        <w:rPr>
          <w:rFonts w:hint="eastAsia" w:ascii="MS UI Gothic" w:hAnsi="MS UI Gothic" w:eastAsia="MS UI Gothic"/>
          <w:w w:val="75"/>
        </w:rPr>
        <w:t>ꎬ</w:t>
      </w:r>
      <w:r>
        <w:t xml:space="preserve">煤层气企业应当按照行业标准 </w:t>
      </w:r>
      <w:r>
        <w:rPr>
          <w:rFonts w:hint="eastAsia" w:ascii="MS UI Gothic" w:hAnsi="MS UI Gothic" w:eastAsia="MS UI Gothic"/>
        </w:rPr>
        <w:t xml:space="preserve">« </w:t>
      </w:r>
      <w:r>
        <w:t>含硫化氢油气井安全钻井推荐作法</w:t>
      </w:r>
      <w:r>
        <w:rPr>
          <w:rFonts w:hint="eastAsia" w:ascii="MS UI Gothic" w:hAnsi="MS UI Gothic" w:eastAsia="MS UI Gothic"/>
        </w:rPr>
        <w:t xml:space="preserve">» </w:t>
      </w:r>
      <w:r>
        <w:rPr>
          <w:rFonts w:hint="eastAsia" w:ascii="MS UI Gothic" w:hAnsi="MS UI Gothic" w:eastAsia="MS UI Gothic"/>
          <w:w w:val="140"/>
        </w:rPr>
        <w:t xml:space="preserve">( </w:t>
      </w:r>
      <w:r>
        <w:rPr>
          <w:rFonts w:hint="eastAsia" w:ascii="MS UI Gothic" w:hAnsi="MS UI Gothic" w:eastAsia="MS UI Gothic"/>
        </w:rPr>
        <w:t xml:space="preserve">ＳＹ </w:t>
      </w:r>
      <w:r>
        <w:rPr>
          <w:rFonts w:hint="eastAsia" w:ascii="MS UI Gothic" w:hAnsi="MS UI Gothic" w:eastAsia="MS UI Gothic"/>
          <w:w w:val="75"/>
        </w:rPr>
        <w:t xml:space="preserve">/ </w:t>
      </w:r>
      <w:r>
        <w:rPr>
          <w:rFonts w:hint="eastAsia" w:ascii="MS UI Gothic" w:hAnsi="MS UI Gothic" w:eastAsia="MS UI Gothic"/>
        </w:rPr>
        <w:t xml:space="preserve">Ｔ </w:t>
      </w:r>
      <w:r>
        <w:rPr>
          <w:rFonts w:hint="eastAsia" w:ascii="MS UI Gothic" w:hAnsi="MS UI Gothic" w:eastAsia="MS UI Gothic"/>
          <w:w w:val="75"/>
        </w:rPr>
        <w:t>５０８７</w:t>
      </w:r>
      <w:r>
        <w:rPr>
          <w:rFonts w:hint="eastAsia" w:ascii="MS UI Gothic" w:hAnsi="MS UI Gothic" w:eastAsia="MS UI Gothic"/>
          <w:w w:val="168"/>
        </w:rPr>
        <w:t>)</w:t>
      </w:r>
      <w:r>
        <w:rPr>
          <w:rFonts w:hint="eastAsia" w:ascii="MS UI Gothic" w:hAnsi="MS UI Gothic" w:eastAsia="MS UI Gothic"/>
        </w:rPr>
        <w:t xml:space="preserve">  </w:t>
      </w:r>
      <w:r>
        <w:rPr>
          <w:w w:val="102"/>
        </w:rPr>
        <w:t>的规定采取相应的措施</w:t>
      </w:r>
      <w:r>
        <w:rPr>
          <w:rFonts w:hint="eastAsia" w:ascii="MS UI Gothic" w:hAnsi="MS UI Gothic" w:eastAsia="MS UI Gothic"/>
          <w:w w:val="51"/>
        </w:rPr>
        <w:t>ꎮ</w:t>
      </w:r>
    </w:p>
    <w:p>
      <w:pPr>
        <w:pStyle w:val="6"/>
        <w:spacing w:line="295" w:lineRule="auto"/>
        <w:ind w:left="440" w:right="1"/>
        <w:rPr>
          <w:rFonts w:hint="eastAsia" w:ascii="MS UI Gothic" w:eastAsia="MS UI Gothic"/>
        </w:rPr>
      </w:pPr>
      <w:r>
        <w:rPr>
          <w:w w:val="105"/>
        </w:rPr>
        <w:t>第二十四条 煤层气企业在含硫化氢</w:t>
      </w:r>
      <w:r>
        <w:t>环境中进行生产作业</w:t>
      </w:r>
      <w:r>
        <w:rPr>
          <w:rFonts w:hint="eastAsia" w:ascii="MS UI Gothic" w:eastAsia="MS UI Gothic"/>
          <w:w w:val="80"/>
        </w:rPr>
        <w:t xml:space="preserve">ꎬ </w:t>
      </w:r>
      <w:r>
        <w:t>应当配备相应的防</w:t>
      </w:r>
      <w:r>
        <w:rPr>
          <w:w w:val="105"/>
        </w:rPr>
        <w:t>护装备</w:t>
      </w:r>
      <w:r>
        <w:rPr>
          <w:rFonts w:hint="eastAsia" w:ascii="MS UI Gothic" w:eastAsia="MS UI Gothic"/>
          <w:w w:val="80"/>
        </w:rPr>
        <w:t xml:space="preserve">ꎬ </w:t>
      </w:r>
      <w:r>
        <w:rPr>
          <w:w w:val="105"/>
        </w:rPr>
        <w:t>并符合下列要求</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在钻井</w:t>
      </w:r>
      <w:r>
        <w:rPr>
          <w:rFonts w:hint="eastAsia" w:ascii="MS UI Gothic" w:eastAsia="MS UI Gothic"/>
          <w:w w:val="80"/>
        </w:rPr>
        <w:t xml:space="preserve">、 </w:t>
      </w:r>
      <w:r>
        <w:rPr>
          <w:w w:val="105"/>
        </w:rPr>
        <w:t>试井</w:t>
      </w:r>
      <w:r>
        <w:rPr>
          <w:rFonts w:hint="eastAsia" w:ascii="MS UI Gothic" w:eastAsia="MS UI Gothic"/>
          <w:w w:val="80"/>
        </w:rPr>
        <w:t xml:space="preserve">、 </w:t>
      </w:r>
      <w:r>
        <w:rPr>
          <w:w w:val="105"/>
        </w:rPr>
        <w:t>修井</w:t>
      </w:r>
      <w:r>
        <w:rPr>
          <w:rFonts w:hint="eastAsia" w:ascii="MS UI Gothic" w:eastAsia="MS UI Gothic"/>
          <w:w w:val="80"/>
        </w:rPr>
        <w:t xml:space="preserve">、 </w:t>
      </w:r>
      <w:r>
        <w:rPr>
          <w:w w:val="105"/>
        </w:rPr>
        <w:t>井下作</w:t>
      </w:r>
      <w:r>
        <w:t>业以及站场作业中</w:t>
      </w:r>
      <w:r>
        <w:rPr>
          <w:rFonts w:hint="eastAsia" w:ascii="MS UI Gothic" w:eastAsia="MS UI Gothic"/>
          <w:w w:val="80"/>
        </w:rPr>
        <w:t xml:space="preserve">ꎬ </w:t>
      </w:r>
      <w:r>
        <w:t>配备正压式空气呼吸</w:t>
      </w:r>
      <w:r>
        <w:rPr>
          <w:w w:val="105"/>
        </w:rPr>
        <w:t>器及与其匹配的空气压缩机</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有专人管理硫化氢防护装置</w:t>
      </w:r>
      <w:r>
        <w:rPr>
          <w:rFonts w:hint="eastAsia" w:ascii="MS UI Gothic" w:eastAsia="MS UI Gothic"/>
          <w:w w:val="80"/>
        </w:rPr>
        <w:t>ꎬ</w:t>
      </w:r>
      <w:r>
        <w:rPr>
          <w:w w:val="105"/>
        </w:rPr>
        <w:t>确保处于备用状态</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进行检修和抢险作业时</w:t>
      </w:r>
      <w:r>
        <w:rPr>
          <w:rFonts w:hint="eastAsia" w:ascii="MS UI Gothic" w:eastAsia="MS UI Gothic"/>
          <w:w w:val="80"/>
        </w:rPr>
        <w:t xml:space="preserve">ꎬ </w:t>
      </w:r>
      <w:r>
        <w:rPr>
          <w:w w:val="105"/>
        </w:rPr>
        <w:t>携带硫化氢监测仪和正压式空气呼吸器</w:t>
      </w:r>
      <w:r>
        <w:rPr>
          <w:rFonts w:hint="eastAsia" w:ascii="MS UI Gothic" w:eastAsia="MS UI Gothic"/>
          <w:w w:val="80"/>
        </w:rPr>
        <w:t>ꎮ</w:t>
      </w:r>
    </w:p>
    <w:p>
      <w:pPr>
        <w:pStyle w:val="6"/>
        <w:spacing w:line="255" w:lineRule="exact"/>
        <w:ind w:left="860" w:firstLine="0"/>
      </w:pPr>
      <w:r>
        <w:t>第二十五条 在含硫化氢的矿区</w:t>
      </w:r>
      <w:r>
        <w:rPr>
          <w:rFonts w:hint="eastAsia" w:ascii="MS UI Gothic" w:eastAsia="MS UI Gothic"/>
          <w:w w:val="80"/>
        </w:rPr>
        <w:t xml:space="preserve">ꎬ </w:t>
      </w:r>
      <w:r>
        <w:t>场</w:t>
      </w:r>
    </w:p>
    <w:p>
      <w:pPr>
        <w:pStyle w:val="6"/>
        <w:spacing w:before="124" w:line="295" w:lineRule="auto"/>
        <w:ind w:left="381" w:right="126" w:firstLine="0"/>
        <w:rPr>
          <w:rFonts w:hint="eastAsia" w:ascii="MS UI Gothic" w:eastAsia="MS UI Gothic"/>
        </w:rPr>
      </w:pPr>
      <w:r>
        <w:br w:type="column"/>
      </w:r>
      <w:r>
        <w:t>地及设备的布置应当考虑季节风向</w:t>
      </w:r>
      <w:r>
        <w:rPr>
          <w:rFonts w:hint="eastAsia" w:ascii="MS UI Gothic" w:eastAsia="MS UI Gothic"/>
          <w:w w:val="80"/>
        </w:rPr>
        <w:t xml:space="preserve">ꎮ </w:t>
      </w:r>
      <w:r>
        <w:t>在有可能形成硫化氢和二氧化硫的聚集处</w:t>
      </w:r>
      <w:r>
        <w:rPr>
          <w:rFonts w:hint="eastAsia" w:ascii="MS UI Gothic" w:eastAsia="MS UI Gothic"/>
          <w:w w:val="80"/>
        </w:rPr>
        <w:t xml:space="preserve">ꎬ </w:t>
      </w:r>
      <w:r>
        <w:t>应当确保有良好的通风条件</w:t>
      </w:r>
      <w:r>
        <w:rPr>
          <w:rFonts w:hint="eastAsia" w:ascii="MS UI Gothic" w:eastAsia="MS UI Gothic"/>
          <w:w w:val="80"/>
        </w:rPr>
        <w:t xml:space="preserve">ꎬ </w:t>
      </w:r>
      <w:r>
        <w:t>设置警示标志</w:t>
      </w:r>
      <w:r>
        <w:rPr>
          <w:rFonts w:hint="eastAsia" w:ascii="MS UI Gothic" w:eastAsia="MS UI Gothic"/>
          <w:w w:val="80"/>
        </w:rPr>
        <w:t xml:space="preserve">ꎬ </w:t>
      </w:r>
      <w:r>
        <w:t>使用防爆通风设备</w:t>
      </w:r>
      <w:r>
        <w:rPr>
          <w:rFonts w:hint="eastAsia" w:ascii="MS UI Gothic" w:eastAsia="MS UI Gothic"/>
          <w:w w:val="80"/>
        </w:rPr>
        <w:t xml:space="preserve">ꎬ </w:t>
      </w:r>
      <w:r>
        <w:t>并设置逃生通道及安全区</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第二十六条 在含硫化氢环境中进行钻井</w:t>
      </w:r>
      <w:r>
        <w:rPr>
          <w:rFonts w:hint="eastAsia" w:ascii="MS UI Gothic" w:eastAsia="MS UI Gothic"/>
          <w:w w:val="80"/>
        </w:rPr>
        <w:t xml:space="preserve">、 </w:t>
      </w:r>
      <w:r>
        <w:rPr>
          <w:w w:val="105"/>
        </w:rPr>
        <w:t>井下作业和煤层气生产以及气体处</w:t>
      </w:r>
      <w:r>
        <w:t>理所使用的材料及设备</w:t>
      </w:r>
      <w:r>
        <w:rPr>
          <w:rFonts w:hint="eastAsia" w:ascii="MS UI Gothic" w:eastAsia="MS UI Gothic"/>
          <w:w w:val="80"/>
        </w:rPr>
        <w:t xml:space="preserve">ꎬ </w:t>
      </w:r>
      <w:r>
        <w:t>应当适合用于含</w:t>
      </w:r>
      <w:r>
        <w:rPr>
          <w:w w:val="105"/>
        </w:rPr>
        <w:t>硫化氢环境</w:t>
      </w:r>
      <w:r>
        <w:rPr>
          <w:rFonts w:hint="eastAsia" w:ascii="MS UI Gothic" w:eastAsia="MS UI Gothic"/>
          <w:w w:val="80"/>
        </w:rPr>
        <w:t>ꎮ</w:t>
      </w:r>
    </w:p>
    <w:p>
      <w:pPr>
        <w:pStyle w:val="6"/>
        <w:spacing w:line="295" w:lineRule="auto"/>
        <w:ind w:left="381" w:right="126"/>
        <w:rPr>
          <w:rFonts w:hint="eastAsia" w:ascii="MS UI Gothic" w:eastAsia="MS UI Gothic"/>
        </w:rPr>
      </w:pPr>
      <w:r>
        <w:t>第二十七条 在含硫化氢环境中进行生产作业时</w:t>
      </w:r>
      <w:r>
        <w:rPr>
          <w:rFonts w:hint="eastAsia" w:ascii="MS UI Gothic" w:eastAsia="MS UI Gothic"/>
          <w:w w:val="80"/>
        </w:rPr>
        <w:t xml:space="preserve">ꎬ </w:t>
      </w:r>
      <w:r>
        <w:t>煤层气企业应当制定防硫化氢应急预案</w:t>
      </w:r>
      <w:r>
        <w:rPr>
          <w:rFonts w:hint="eastAsia" w:ascii="MS UI Gothic" w:eastAsia="MS UI Gothic"/>
          <w:w w:val="80"/>
        </w:rPr>
        <w:t xml:space="preserve">ꎮ </w:t>
      </w:r>
      <w:r>
        <w:t>钻井</w:t>
      </w:r>
      <w:r>
        <w:rPr>
          <w:rFonts w:hint="eastAsia" w:ascii="MS UI Gothic" w:eastAsia="MS UI Gothic"/>
          <w:w w:val="80"/>
        </w:rPr>
        <w:t xml:space="preserve">、 </w:t>
      </w:r>
      <w:r>
        <w:t>井下作业的防硫化氢应急预案</w:t>
      </w:r>
      <w:r>
        <w:rPr>
          <w:rFonts w:hint="eastAsia" w:ascii="MS UI Gothic" w:eastAsia="MS UI Gothic"/>
          <w:w w:val="80"/>
        </w:rPr>
        <w:t xml:space="preserve">ꎬ </w:t>
      </w:r>
      <w:r>
        <w:t>应当规定煤层气井点火程序和决策人</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第二十八条 煤层气企业在含硫化氢</w:t>
      </w:r>
      <w:r>
        <w:t>的矿区进行煤层气井钻井</w:t>
      </w:r>
      <w:r>
        <w:rPr>
          <w:rFonts w:hint="eastAsia" w:ascii="MS UI Gothic" w:eastAsia="MS UI Gothic"/>
          <w:w w:val="80"/>
        </w:rPr>
        <w:t xml:space="preserve">ꎬ </w:t>
      </w:r>
      <w:r>
        <w:t>应当符合下列</w:t>
      </w:r>
      <w:r>
        <w:rPr>
          <w:w w:val="110"/>
        </w:rPr>
        <w:t>要求</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地质及工程设计考虑硫化氢防</w:t>
      </w:r>
      <w:r>
        <w:rPr>
          <w:w w:val="110"/>
        </w:rPr>
        <w:t>护的特殊要求</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采取防喷措施</w:t>
      </w:r>
      <w:r>
        <w:rPr>
          <w:rFonts w:hint="eastAsia" w:ascii="MS UI Gothic" w:eastAsia="MS UI Gothic"/>
          <w:w w:val="80"/>
        </w:rPr>
        <w:t xml:space="preserve">ꎬ </w:t>
      </w:r>
      <w:r>
        <w:rPr>
          <w:w w:val="105"/>
        </w:rPr>
        <w:t>防喷器组及其</w:t>
      </w:r>
      <w:r>
        <w:t>管线闸门和附件能够满足预期的井口</w:t>
      </w:r>
      <w:r>
        <w:rPr>
          <w:w w:val="105"/>
        </w:rPr>
        <w:t>压力</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井场内禁止烟火</w:t>
      </w:r>
      <w:r>
        <w:rPr>
          <w:rFonts w:hint="eastAsia" w:ascii="MS UI Gothic" w:eastAsia="MS UI Gothic"/>
          <w:w w:val="80"/>
        </w:rPr>
        <w:t xml:space="preserve">ꎬ </w:t>
      </w:r>
      <w:r>
        <w:rPr>
          <w:w w:val="105"/>
        </w:rPr>
        <w:t>并采取控制硫化氢着火的措施</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45"/>
        </w:rPr>
        <w:t xml:space="preserve">( </w:t>
      </w:r>
      <w:r>
        <w:t>四</w:t>
      </w:r>
      <w:r>
        <w:rPr>
          <w:rFonts w:hint="eastAsia" w:ascii="MS UI Gothic" w:eastAsia="MS UI Gothic"/>
          <w:w w:val="145"/>
        </w:rPr>
        <w:t xml:space="preserve">) </w:t>
      </w:r>
      <w:r>
        <w:t>使用适合于含硫化氢地层的钻井液</w:t>
      </w:r>
      <w:r>
        <w:rPr>
          <w:rFonts w:hint="eastAsia" w:ascii="MS UI Gothic" w:eastAsia="MS UI Gothic"/>
          <w:w w:val="85"/>
        </w:rPr>
        <w:t xml:space="preserve">ꎬ </w:t>
      </w:r>
      <w:r>
        <w:t>并监测</w:t>
      </w:r>
      <w:r>
        <w:rPr>
          <w:rFonts w:hint="eastAsia" w:ascii="MS UI Gothic" w:eastAsia="MS UI Gothic"/>
        </w:rPr>
        <w:t xml:space="preserve">、 </w:t>
      </w:r>
      <w:r>
        <w:t xml:space="preserve">控制钻井液 </w:t>
      </w:r>
      <w:r>
        <w:rPr>
          <w:rFonts w:hint="eastAsia" w:ascii="MS UI Gothic" w:eastAsia="MS UI Gothic"/>
        </w:rPr>
        <w:t xml:space="preserve">ｐＨ </w:t>
      </w:r>
      <w:r>
        <w:t>值</w:t>
      </w:r>
      <w:r>
        <w:rPr>
          <w:rFonts w:hint="eastAsia" w:ascii="MS UI Gothic" w:eastAsia="MS UI Gothic"/>
          <w:w w:val="85"/>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在含硫化氢地层取芯和进行测试作业时</w:t>
      </w:r>
      <w:r>
        <w:rPr>
          <w:rFonts w:hint="eastAsia" w:ascii="MS UI Gothic" w:eastAsia="MS UI Gothic"/>
          <w:w w:val="80"/>
        </w:rPr>
        <w:t xml:space="preserve">ꎬ </w:t>
      </w:r>
      <w:r>
        <w:rPr>
          <w:w w:val="105"/>
        </w:rPr>
        <w:t>采取有效的防硫化氢措施</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第二十九条 在煤层气企业含硫化氢</w:t>
      </w:r>
      <w:r>
        <w:t>的煤层气井进行井下作业</w:t>
      </w:r>
      <w:r>
        <w:rPr>
          <w:rFonts w:hint="eastAsia" w:ascii="MS UI Gothic" w:eastAsia="MS UI Gothic"/>
          <w:w w:val="80"/>
        </w:rPr>
        <w:t xml:space="preserve">ꎬ </w:t>
      </w:r>
      <w:r>
        <w:t>应当符合下列</w:t>
      </w:r>
      <w:r>
        <w:rPr>
          <w:w w:val="110"/>
        </w:rPr>
        <w:t>要求</w:t>
      </w:r>
      <w:r>
        <w:rPr>
          <w:rFonts w:hint="eastAsia" w:ascii="MS UI Gothic" w:eastAsia="MS UI Gothic"/>
          <w:w w:val="235"/>
        </w:rPr>
        <w:t>:</w:t>
      </w:r>
    </w:p>
    <w:p>
      <w:pPr>
        <w:pStyle w:val="6"/>
        <w:spacing w:line="254" w:lineRule="exact"/>
        <w:ind w:left="80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采取防喷措施</w:t>
      </w:r>
      <w:r>
        <w:rPr>
          <w:rFonts w:hint="eastAsia" w:ascii="MS UI Gothic" w:eastAsia="MS UI Gothic"/>
          <w:w w:val="80"/>
        </w:rPr>
        <w:t>ꎻ</w:t>
      </w:r>
    </w:p>
    <w:p>
      <w:pPr>
        <w:pStyle w:val="6"/>
        <w:spacing w:before="36"/>
        <w:ind w:left="80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采取控制硫化氢着火的措施</w:t>
      </w:r>
      <w:r>
        <w:rPr>
          <w:rFonts w:hint="eastAsia" w:ascii="MS UI Gothic" w:eastAsia="MS UI Gothic"/>
          <w:w w:val="80"/>
        </w:rPr>
        <w:t>ꎻ</w:t>
      </w:r>
    </w:p>
    <w:p>
      <w:pPr>
        <w:pStyle w:val="6"/>
        <w:spacing w:before="58"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当发生修井液气侵</w:t>
      </w:r>
      <w:r>
        <w:rPr>
          <w:rFonts w:hint="eastAsia" w:ascii="MS UI Gothic" w:eastAsia="MS UI Gothic"/>
          <w:w w:val="80"/>
        </w:rPr>
        <w:t xml:space="preserve">ꎬ </w:t>
      </w:r>
      <w:r>
        <w:rPr>
          <w:w w:val="105"/>
        </w:rPr>
        <w:t>硫化氢气</w:t>
      </w:r>
      <w:r>
        <w:t>体逸出时</w:t>
      </w:r>
      <w:r>
        <w:rPr>
          <w:rFonts w:hint="eastAsia" w:ascii="MS UI Gothic" w:eastAsia="MS UI Gothic"/>
          <w:w w:val="80"/>
        </w:rPr>
        <w:t xml:space="preserve">ꎬ </w:t>
      </w:r>
      <w:r>
        <w:t>立即通过分离系统分离或者采</w:t>
      </w:r>
      <w:r>
        <w:rPr>
          <w:w w:val="105"/>
        </w:rPr>
        <w:t>取其他处理措施</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进入盛放修井液的密闭空间或</w:t>
      </w:r>
      <w:r>
        <w:t>者限制通风区域</w:t>
      </w:r>
      <w:r>
        <w:rPr>
          <w:rFonts w:hint="eastAsia" w:ascii="MS UI Gothic" w:eastAsia="MS UI Gothic"/>
          <w:w w:val="80"/>
        </w:rPr>
        <w:t xml:space="preserve">ꎬ </w:t>
      </w:r>
      <w:r>
        <w:t>可能产生硫化氢气体</w:t>
      </w:r>
      <w:r>
        <w:rPr>
          <w:w w:val="105"/>
        </w:rPr>
        <w:t>时</w:t>
      </w:r>
      <w:r>
        <w:rPr>
          <w:rFonts w:hint="eastAsia" w:ascii="MS UI Gothic" w:eastAsia="MS UI Gothic"/>
          <w:w w:val="80"/>
        </w:rPr>
        <w:t xml:space="preserve">ꎬ </w:t>
      </w:r>
      <w:r>
        <w:rPr>
          <w:w w:val="105"/>
        </w:rPr>
        <w:t>采取相应的人身安全防护措施</w:t>
      </w:r>
      <w:r>
        <w:rPr>
          <w:rFonts w:hint="eastAsia" w:ascii="MS UI Gothic" w:eastAsia="MS UI Gothic"/>
          <w:w w:val="80"/>
        </w:rPr>
        <w:t>ꎻ</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３５６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80" o:spid="_x0000_s2080" o:spt="203" style="height:2.15pt;width:398.25pt;" coordsize="7965,43">
            <o:lock v:ext="edit"/>
            <v:line id="_x0000_s2081" o:spid="_x0000_s2081" o:spt="20" style="position:absolute;left:0;top:39;height:0;width:7965;" stroked="t" coordsize="21600,21600">
              <v:path arrowok="t"/>
              <v:fill focussize="0,0"/>
              <v:stroke weight="0.388031496062992pt" color="#231F20"/>
              <v:imagedata o:title=""/>
              <o:lock v:ext="edit"/>
            </v:line>
            <v:line id="_x0000_s2082" o:spid="_x0000_s208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进行对射孔作业</w:t>
      </w:r>
      <w:r>
        <w:rPr>
          <w:rFonts w:hint="eastAsia" w:ascii="MS UI Gothic" w:eastAsia="MS UI Gothic"/>
          <w:w w:val="80"/>
        </w:rPr>
        <w:t xml:space="preserve">、  </w:t>
      </w:r>
      <w:r>
        <w:rPr>
          <w:w w:val="105"/>
        </w:rPr>
        <w:t>压裂作业等特殊作业时</w:t>
      </w:r>
      <w:r>
        <w:rPr>
          <w:rFonts w:hint="eastAsia" w:ascii="MS UI Gothic" w:eastAsia="MS UI Gothic"/>
          <w:w w:val="80"/>
        </w:rPr>
        <w:t xml:space="preserve">ꎬ </w:t>
      </w:r>
      <w:r>
        <w:rPr>
          <w:w w:val="105"/>
        </w:rPr>
        <w:t>采取硫化氢防护措施</w:t>
      </w:r>
      <w:r>
        <w:rPr>
          <w:rFonts w:hint="eastAsia" w:ascii="MS UI Gothic" w:eastAsia="MS UI Gothic"/>
          <w:w w:val="80"/>
        </w:rPr>
        <w:t>ꎮ</w:t>
      </w:r>
    </w:p>
    <w:p>
      <w:pPr>
        <w:pStyle w:val="6"/>
        <w:spacing w:line="295" w:lineRule="auto"/>
        <w:ind w:right="38"/>
        <w:rPr>
          <w:rFonts w:hint="eastAsia" w:ascii="MS UI Gothic" w:eastAsia="MS UI Gothic"/>
        </w:rPr>
      </w:pPr>
      <w:r>
        <w:t>第三十条 在进行含硫化氢的煤层气生产和气体处理作业时</w:t>
      </w:r>
      <w:r>
        <w:rPr>
          <w:rFonts w:hint="eastAsia" w:ascii="MS UI Gothic" w:eastAsia="MS UI Gothic"/>
          <w:w w:val="80"/>
        </w:rPr>
        <w:t xml:space="preserve">ꎬ </w:t>
      </w:r>
      <w:r>
        <w:t>煤层气企业应当对煤层气处理装置的腐蚀进行监测和控制</w:t>
      </w:r>
      <w:r>
        <w:rPr>
          <w:rFonts w:hint="eastAsia" w:ascii="MS UI Gothic" w:eastAsia="MS UI Gothic"/>
          <w:w w:val="80"/>
        </w:rPr>
        <w:t xml:space="preserve">ꎬ </w:t>
      </w:r>
      <w:r>
        <w:t>对可能的硫化氢泄漏进行检测</w:t>
      </w:r>
      <w:r>
        <w:rPr>
          <w:rFonts w:hint="eastAsia" w:ascii="MS UI Gothic" w:eastAsia="MS UI Gothic"/>
          <w:w w:val="80"/>
        </w:rPr>
        <w:t xml:space="preserve">ꎬ </w:t>
      </w:r>
      <w:r>
        <w:t>制定硫化氢防护措施</w:t>
      </w:r>
      <w:r>
        <w:rPr>
          <w:rFonts w:hint="eastAsia" w:ascii="MS UI Gothic" w:eastAsia="MS UI Gothic"/>
          <w:w w:val="80"/>
        </w:rPr>
        <w:t>ꎮ</w:t>
      </w:r>
    </w:p>
    <w:p>
      <w:pPr>
        <w:pStyle w:val="6"/>
        <w:spacing w:line="295" w:lineRule="auto"/>
        <w:ind w:right="38"/>
        <w:rPr>
          <w:rFonts w:hint="eastAsia" w:ascii="MS UI Gothic" w:eastAsia="MS UI Gothic"/>
        </w:rPr>
      </w:pPr>
      <w:r>
        <w:rPr>
          <w:spacing w:val="2"/>
        </w:rPr>
        <w:t>作业人员进入可能有硫化氢泄漏的井</w:t>
      </w:r>
      <w:r>
        <w:rPr>
          <w:spacing w:val="3"/>
        </w:rPr>
        <w:t>场</w:t>
      </w:r>
      <w:r>
        <w:rPr>
          <w:rFonts w:hint="eastAsia" w:ascii="MS UI Gothic" w:eastAsia="MS UI Gothic"/>
          <w:spacing w:val="16"/>
          <w:w w:val="80"/>
        </w:rPr>
        <w:t xml:space="preserve">、 </w:t>
      </w:r>
      <w:r>
        <w:rPr>
          <w:spacing w:val="3"/>
        </w:rPr>
        <w:t>站场</w:t>
      </w:r>
      <w:r>
        <w:rPr>
          <w:rFonts w:hint="eastAsia" w:ascii="MS UI Gothic" w:eastAsia="MS UI Gothic"/>
          <w:spacing w:val="16"/>
          <w:w w:val="80"/>
        </w:rPr>
        <w:t xml:space="preserve">、 </w:t>
      </w:r>
      <w:r>
        <w:rPr>
          <w:spacing w:val="3"/>
        </w:rPr>
        <w:t>低凹区</w:t>
      </w:r>
      <w:r>
        <w:rPr>
          <w:rFonts w:hint="eastAsia" w:ascii="MS UI Gothic" w:eastAsia="MS UI Gothic"/>
          <w:spacing w:val="16"/>
          <w:w w:val="80"/>
        </w:rPr>
        <w:t xml:space="preserve">、 </w:t>
      </w:r>
      <w:r>
        <w:rPr>
          <w:spacing w:val="2"/>
        </w:rPr>
        <w:t>污水区及其他硫化氢</w:t>
      </w:r>
      <w:r>
        <w:rPr>
          <w:spacing w:val="3"/>
        </w:rPr>
        <w:t>易于积聚的区域时</w:t>
      </w:r>
      <w:r>
        <w:rPr>
          <w:rFonts w:hint="eastAsia" w:ascii="MS UI Gothic" w:eastAsia="MS UI Gothic"/>
          <w:spacing w:val="21"/>
          <w:w w:val="80"/>
        </w:rPr>
        <w:t xml:space="preserve">ꎬ </w:t>
      </w:r>
      <w:r>
        <w:rPr>
          <w:spacing w:val="2"/>
        </w:rPr>
        <w:t>以及进入煤层气净化</w:t>
      </w:r>
      <w:r>
        <w:rPr>
          <w:spacing w:val="3"/>
        </w:rPr>
        <w:t>厂的脱硫</w:t>
      </w:r>
      <w:r>
        <w:rPr>
          <w:rFonts w:hint="eastAsia" w:ascii="MS UI Gothic" w:eastAsia="MS UI Gothic"/>
          <w:spacing w:val="16"/>
          <w:w w:val="80"/>
        </w:rPr>
        <w:t xml:space="preserve">、 </w:t>
      </w:r>
      <w:r>
        <w:rPr>
          <w:spacing w:val="3"/>
        </w:rPr>
        <w:t>再生</w:t>
      </w:r>
      <w:r>
        <w:rPr>
          <w:rFonts w:hint="eastAsia" w:ascii="MS UI Gothic" w:eastAsia="MS UI Gothic"/>
          <w:spacing w:val="16"/>
          <w:w w:val="80"/>
        </w:rPr>
        <w:t xml:space="preserve">、 </w:t>
      </w:r>
      <w:r>
        <w:rPr>
          <w:spacing w:val="3"/>
        </w:rPr>
        <w:t>硫回收</w:t>
      </w:r>
      <w:r>
        <w:rPr>
          <w:rFonts w:hint="eastAsia" w:ascii="MS UI Gothic" w:eastAsia="MS UI Gothic"/>
          <w:spacing w:val="16"/>
          <w:w w:val="80"/>
        </w:rPr>
        <w:t xml:space="preserve">、 </w:t>
      </w:r>
      <w:r>
        <w:rPr>
          <w:spacing w:val="2"/>
        </w:rPr>
        <w:t>排污放空区进</w:t>
      </w:r>
      <w:r>
        <w:rPr>
          <w:spacing w:val="3"/>
        </w:rPr>
        <w:t>行检修和抢险时</w:t>
      </w:r>
      <w:r>
        <w:rPr>
          <w:rFonts w:hint="eastAsia" w:ascii="MS UI Gothic" w:eastAsia="MS UI Gothic"/>
          <w:spacing w:val="21"/>
          <w:w w:val="80"/>
        </w:rPr>
        <w:t xml:space="preserve">ꎬ </w:t>
      </w:r>
      <w:r>
        <w:rPr>
          <w:spacing w:val="2"/>
        </w:rPr>
        <w:t>应当携带正压式空气呼</w:t>
      </w:r>
      <w:r>
        <w:rPr>
          <w:spacing w:val="3"/>
        </w:rPr>
        <w:t>吸器</w:t>
      </w:r>
      <w:r>
        <w:rPr>
          <w:rFonts w:hint="eastAsia" w:ascii="MS UI Gothic" w:eastAsia="MS UI Gothic"/>
          <w:w w:val="80"/>
        </w:rPr>
        <w:t>ꎮ</w:t>
      </w:r>
    </w:p>
    <w:p>
      <w:pPr>
        <w:pStyle w:val="6"/>
        <w:spacing w:line="295" w:lineRule="auto"/>
        <w:ind w:right="38"/>
        <w:rPr>
          <w:rFonts w:hint="eastAsia" w:ascii="MS UI Gothic" w:eastAsia="MS UI Gothic"/>
        </w:rPr>
      </w:pPr>
      <w:r>
        <w:rPr>
          <w:spacing w:val="4"/>
        </w:rPr>
        <w:t>第三十一条 含硫化氢煤层气井废弃</w:t>
      </w:r>
      <w:r>
        <w:rPr>
          <w:spacing w:val="3"/>
        </w:rPr>
        <w:t>时</w:t>
      </w:r>
      <w:r>
        <w:rPr>
          <w:rFonts w:hint="eastAsia" w:ascii="MS UI Gothic" w:eastAsia="MS UI Gothic"/>
          <w:spacing w:val="21"/>
          <w:w w:val="80"/>
        </w:rPr>
        <w:t xml:space="preserve">ꎬ </w:t>
      </w:r>
      <w:r>
        <w:rPr>
          <w:spacing w:val="2"/>
        </w:rPr>
        <w:t>煤层气企业应当考虑废弃方法和封井</w:t>
      </w:r>
      <w:r>
        <w:rPr>
          <w:spacing w:val="18"/>
        </w:rPr>
        <w:t>的条件</w:t>
      </w:r>
      <w:r>
        <w:rPr>
          <w:rFonts w:hint="eastAsia" w:ascii="MS UI Gothic" w:eastAsia="MS UI Gothic"/>
          <w:spacing w:val="2"/>
          <w:w w:val="80"/>
        </w:rPr>
        <w:t xml:space="preserve">ꎬ </w:t>
      </w:r>
      <w:r>
        <w:rPr>
          <w:spacing w:val="31"/>
        </w:rPr>
        <w:t>使用水泥封隔产出硫化氢的</w:t>
      </w:r>
      <w:r>
        <w:rPr>
          <w:spacing w:val="3"/>
        </w:rPr>
        <w:t>地层</w:t>
      </w:r>
      <w:r>
        <w:rPr>
          <w:rFonts w:hint="eastAsia" w:ascii="MS UI Gothic" w:eastAsia="MS UI Gothic"/>
          <w:w w:val="80"/>
        </w:rPr>
        <w:t>ꎮ</w:t>
      </w:r>
    </w:p>
    <w:p>
      <w:pPr>
        <w:pStyle w:val="6"/>
        <w:spacing w:line="295" w:lineRule="auto"/>
        <w:ind w:right="38"/>
        <w:rPr>
          <w:rFonts w:hint="eastAsia" w:ascii="MS UI Gothic" w:eastAsia="MS UI Gothic"/>
        </w:rPr>
      </w:pPr>
      <w:r>
        <w:rPr>
          <w:spacing w:val="3"/>
        </w:rPr>
        <w:t>埋地管线</w:t>
      </w:r>
      <w:r>
        <w:rPr>
          <w:rFonts w:hint="eastAsia" w:ascii="MS UI Gothic" w:eastAsia="MS UI Gothic"/>
          <w:spacing w:val="8"/>
          <w:w w:val="80"/>
        </w:rPr>
        <w:t xml:space="preserve">、 </w:t>
      </w:r>
      <w:r>
        <w:rPr>
          <w:spacing w:val="3"/>
        </w:rPr>
        <w:t>地面流程管线废弃时</w:t>
      </w:r>
      <w:r>
        <w:rPr>
          <w:rFonts w:hint="eastAsia" w:ascii="MS UI Gothic" w:eastAsia="MS UI Gothic"/>
          <w:spacing w:val="8"/>
          <w:w w:val="80"/>
        </w:rPr>
        <w:t xml:space="preserve">ꎬ </w:t>
      </w:r>
      <w:r>
        <w:t>应</w:t>
      </w:r>
      <w:r>
        <w:rPr>
          <w:spacing w:val="3"/>
        </w:rPr>
        <w:t>当经过吹扫净化</w:t>
      </w:r>
      <w:r>
        <w:rPr>
          <w:rFonts w:hint="eastAsia" w:ascii="MS UI Gothic" w:eastAsia="MS UI Gothic"/>
          <w:spacing w:val="11"/>
          <w:w w:val="80"/>
        </w:rPr>
        <w:t xml:space="preserve">、 </w:t>
      </w:r>
      <w:r>
        <w:rPr>
          <w:spacing w:val="3"/>
        </w:rPr>
        <w:t>封堵塞或者加盖帽</w:t>
      </w:r>
      <w:r>
        <w:rPr>
          <w:rFonts w:hint="eastAsia" w:ascii="MS UI Gothic" w:eastAsia="MS UI Gothic"/>
          <w:spacing w:val="11"/>
          <w:w w:val="80"/>
        </w:rPr>
        <w:t xml:space="preserve">ꎮ </w:t>
      </w:r>
      <w:r>
        <w:t>容</w:t>
      </w:r>
      <w:r>
        <w:rPr>
          <w:spacing w:val="3"/>
        </w:rPr>
        <w:t>器应当用清水冲洗</w:t>
      </w:r>
      <w:r>
        <w:rPr>
          <w:rFonts w:hint="eastAsia" w:ascii="MS UI Gothic" w:eastAsia="MS UI Gothic"/>
          <w:spacing w:val="11"/>
          <w:w w:val="80"/>
        </w:rPr>
        <w:t xml:space="preserve">、 </w:t>
      </w:r>
      <w:r>
        <w:rPr>
          <w:spacing w:val="3"/>
        </w:rPr>
        <w:t>吹扫并排干</w:t>
      </w:r>
      <w:r>
        <w:rPr>
          <w:rFonts w:hint="eastAsia" w:ascii="MS UI Gothic" w:eastAsia="MS UI Gothic"/>
          <w:spacing w:val="11"/>
          <w:w w:val="80"/>
        </w:rPr>
        <w:t xml:space="preserve">ꎬ </w:t>
      </w:r>
      <w:r>
        <w:rPr>
          <w:spacing w:val="2"/>
        </w:rPr>
        <w:t>敞开在</w:t>
      </w:r>
      <w:r>
        <w:rPr>
          <w:spacing w:val="5"/>
        </w:rPr>
        <w:t>大气中</w:t>
      </w:r>
      <w:r>
        <w:rPr>
          <w:rFonts w:hint="eastAsia" w:ascii="MS UI Gothic" w:eastAsia="MS UI Gothic"/>
          <w:w w:val="80"/>
        </w:rPr>
        <w:t xml:space="preserve">ꎬ </w:t>
      </w:r>
      <w:r>
        <w:rPr>
          <w:spacing w:val="17"/>
        </w:rPr>
        <w:t>并采取防止铁的硫化物燃烧的</w:t>
      </w:r>
      <w:r>
        <w:rPr>
          <w:spacing w:val="3"/>
        </w:rPr>
        <w:t>措施</w:t>
      </w:r>
      <w:r>
        <w:rPr>
          <w:rFonts w:hint="eastAsia" w:ascii="MS UI Gothic" w:eastAsia="MS UI Gothic"/>
          <w:w w:val="80"/>
        </w:rPr>
        <w:t>ꎮ</w:t>
      </w:r>
    </w:p>
    <w:p>
      <w:pPr>
        <w:pStyle w:val="6"/>
        <w:tabs>
          <w:tab w:val="left" w:pos="923"/>
        </w:tabs>
        <w:spacing w:before="140"/>
        <w:ind w:left="84" w:firstLine="0"/>
        <w:jc w:val="center"/>
      </w:pPr>
      <w:r>
        <w:rPr>
          <w:spacing w:val="3"/>
          <w:w w:val="105"/>
        </w:rPr>
        <w:t>第四</w:t>
      </w:r>
      <w:r>
        <w:rPr>
          <w:w w:val="105"/>
        </w:rPr>
        <w:t>章</w:t>
      </w:r>
      <w:r>
        <w:rPr>
          <w:w w:val="105"/>
        </w:rPr>
        <w:tab/>
      </w:r>
      <w:r>
        <w:rPr>
          <w:w w:val="105"/>
        </w:rPr>
        <w:t>工</w:t>
      </w:r>
      <w:r>
        <w:rPr>
          <w:spacing w:val="-34"/>
          <w:w w:val="105"/>
        </w:rPr>
        <w:t xml:space="preserve"> </w:t>
      </w:r>
      <w:r>
        <w:rPr>
          <w:w w:val="105"/>
        </w:rPr>
        <w:t>程</w:t>
      </w:r>
      <w:r>
        <w:rPr>
          <w:spacing w:val="-33"/>
          <w:w w:val="105"/>
        </w:rPr>
        <w:t xml:space="preserve"> </w:t>
      </w:r>
      <w:r>
        <w:rPr>
          <w:w w:val="105"/>
        </w:rPr>
        <w:t>设</w:t>
      </w:r>
      <w:r>
        <w:rPr>
          <w:spacing w:val="-33"/>
          <w:w w:val="105"/>
        </w:rPr>
        <w:t xml:space="preserve"> </w:t>
      </w:r>
      <w:r>
        <w:rPr>
          <w:w w:val="105"/>
        </w:rPr>
        <w:t>计</w:t>
      </w:r>
    </w:p>
    <w:p>
      <w:pPr>
        <w:pStyle w:val="6"/>
        <w:spacing w:before="215" w:line="295" w:lineRule="auto"/>
        <w:ind w:right="38"/>
        <w:rPr>
          <w:rFonts w:hint="eastAsia" w:ascii="MS UI Gothic" w:eastAsia="MS UI Gothic"/>
        </w:rPr>
      </w:pPr>
      <w:r>
        <w:t>第三十二条 煤层气企业编写工程设计方案前</w:t>
      </w:r>
      <w:r>
        <w:rPr>
          <w:rFonts w:hint="eastAsia" w:ascii="MS UI Gothic" w:eastAsia="MS UI Gothic"/>
          <w:w w:val="80"/>
        </w:rPr>
        <w:t xml:space="preserve">ꎬ </w:t>
      </w:r>
      <w:r>
        <w:t>应当充分收集有关资料</w:t>
      </w:r>
      <w:r>
        <w:rPr>
          <w:rFonts w:hint="eastAsia" w:ascii="MS UI Gothic" w:eastAsia="MS UI Gothic"/>
          <w:w w:val="80"/>
        </w:rPr>
        <w:t xml:space="preserve">ꎬ </w:t>
      </w:r>
      <w:r>
        <w:t>对作业现场及其周边环境进行调研</w:t>
      </w:r>
      <w:r>
        <w:rPr>
          <w:rFonts w:hint="eastAsia" w:ascii="MS UI Gothic" w:eastAsia="MS UI Gothic"/>
          <w:w w:val="80"/>
        </w:rPr>
        <w:t xml:space="preserve">ꎬ </w:t>
      </w:r>
      <w:r>
        <w:t>并进行危险源辨识和风险评价</w:t>
      </w:r>
      <w:r>
        <w:rPr>
          <w:rFonts w:hint="eastAsia" w:ascii="MS UI Gothic" w:eastAsia="MS UI Gothic"/>
          <w:w w:val="80"/>
        </w:rPr>
        <w:t>ꎮ</w:t>
      </w:r>
    </w:p>
    <w:p>
      <w:pPr>
        <w:pStyle w:val="6"/>
        <w:spacing w:line="295" w:lineRule="auto"/>
        <w:ind w:right="38"/>
        <w:rPr>
          <w:rFonts w:hint="eastAsia" w:ascii="MS UI Gothic" w:eastAsia="MS UI Gothic"/>
        </w:rPr>
      </w:pPr>
      <w:r>
        <w:t>第三十三条 煤层气井不得布置在滑坡</w:t>
      </w:r>
      <w:r>
        <w:rPr>
          <w:rFonts w:hint="eastAsia" w:ascii="MS UI Gothic" w:eastAsia="MS UI Gothic"/>
          <w:w w:val="80"/>
        </w:rPr>
        <w:t xml:space="preserve">、 </w:t>
      </w:r>
      <w:r>
        <w:t>崩塌</w:t>
      </w:r>
      <w:r>
        <w:rPr>
          <w:rFonts w:hint="eastAsia" w:ascii="MS UI Gothic" w:eastAsia="MS UI Gothic"/>
          <w:w w:val="80"/>
        </w:rPr>
        <w:t xml:space="preserve">、 </w:t>
      </w:r>
      <w:r>
        <w:t>泥石流等地质灾害易发地带</w:t>
      </w:r>
      <w:r>
        <w:rPr>
          <w:rFonts w:hint="eastAsia" w:ascii="MS UI Gothic" w:eastAsia="MS UI Gothic"/>
          <w:w w:val="80"/>
        </w:rPr>
        <w:t>ꎮ</w:t>
      </w:r>
    </w:p>
    <w:p>
      <w:pPr>
        <w:pStyle w:val="6"/>
        <w:tabs>
          <w:tab w:val="left" w:pos="1989"/>
        </w:tabs>
        <w:spacing w:line="255" w:lineRule="exact"/>
        <w:ind w:left="543" w:firstLine="0"/>
        <w:jc w:val="left"/>
      </w:pPr>
      <w:r>
        <w:rPr>
          <w:spacing w:val="15"/>
          <w:w w:val="105"/>
        </w:rPr>
        <w:t>第</w:t>
      </w:r>
      <w:r>
        <w:rPr>
          <w:spacing w:val="34"/>
          <w:w w:val="105"/>
        </w:rPr>
        <w:t>三十四</w:t>
      </w:r>
      <w:r>
        <w:rPr>
          <w:w w:val="105"/>
        </w:rPr>
        <w:t>条</w:t>
      </w:r>
      <w:r>
        <w:rPr>
          <w:w w:val="105"/>
        </w:rPr>
        <w:tab/>
      </w:r>
      <w:r>
        <w:rPr>
          <w:spacing w:val="36"/>
        </w:rPr>
        <w:t>气井井口与周围</w:t>
      </w:r>
      <w:r>
        <w:t>建</w:t>
      </w:r>
    </w:p>
    <w:p>
      <w:pPr>
        <w:pStyle w:val="6"/>
        <w:spacing w:before="55" w:line="240" w:lineRule="exact"/>
        <w:ind w:left="84" w:firstLine="0"/>
        <w:jc w:val="center"/>
      </w:pPr>
      <w:r>
        <w:rPr>
          <w:rFonts w:hint="eastAsia" w:ascii="MS UI Gothic" w:eastAsia="MS UI Gothic"/>
          <w:spacing w:val="-23"/>
          <w:w w:val="105"/>
        </w:rPr>
        <w:t xml:space="preserve">( </w:t>
      </w:r>
      <w:r>
        <w:rPr>
          <w:spacing w:val="3"/>
          <w:w w:val="105"/>
        </w:rPr>
        <w:t>构</w:t>
      </w:r>
      <w:r>
        <w:rPr>
          <w:rFonts w:hint="eastAsia" w:ascii="MS UI Gothic" w:eastAsia="MS UI Gothic"/>
          <w:spacing w:val="27"/>
          <w:w w:val="105"/>
        </w:rPr>
        <w:t xml:space="preserve">) </w:t>
      </w:r>
      <w:r>
        <w:rPr>
          <w:spacing w:val="3"/>
          <w:w w:val="105"/>
        </w:rPr>
        <w:t>筑物</w:t>
      </w:r>
      <w:r>
        <w:rPr>
          <w:rFonts w:hint="eastAsia" w:ascii="MS UI Gothic" w:eastAsia="MS UI Gothic"/>
          <w:spacing w:val="19"/>
        </w:rPr>
        <w:t xml:space="preserve">、 </w:t>
      </w:r>
      <w:r>
        <w:rPr>
          <w:spacing w:val="7"/>
          <w:w w:val="105"/>
        </w:rPr>
        <w:t>设施的间距应当符合行业标</w:t>
      </w:r>
    </w:p>
    <w:p>
      <w:pPr>
        <w:pStyle w:val="6"/>
        <w:spacing w:before="123" w:line="295" w:lineRule="auto"/>
        <w:ind w:right="442" w:firstLine="425"/>
        <w:rPr>
          <w:rFonts w:hint="eastAsia" w:ascii="MS UI Gothic" w:eastAsia="MS UI Gothic"/>
        </w:rPr>
      </w:pPr>
      <w:r>
        <w:br w:type="column"/>
      </w:r>
      <w:r>
        <w:t>第三十六条 井控装置的远程控制台应当安装在井架大门侧前方</w:t>
      </w:r>
      <w:r>
        <w:rPr>
          <w:rFonts w:hint="eastAsia" w:ascii="MS UI Gothic" w:eastAsia="MS UI Gothic"/>
        </w:rPr>
        <w:t xml:space="preserve">、 </w:t>
      </w:r>
      <w:r>
        <w:t xml:space="preserve">距井口不少于 </w:t>
      </w:r>
      <w:r>
        <w:rPr>
          <w:rFonts w:hint="eastAsia" w:ascii="MS UI Gothic" w:eastAsia="MS UI Gothic"/>
          <w:w w:val="85"/>
        </w:rPr>
        <w:t xml:space="preserve">２５ </w:t>
      </w:r>
      <w:r>
        <w:t>米的专用活动房内</w:t>
      </w:r>
      <w:r>
        <w:rPr>
          <w:rFonts w:hint="eastAsia" w:ascii="MS UI Gothic" w:eastAsia="MS UI Gothic"/>
          <w:w w:val="85"/>
        </w:rPr>
        <w:t xml:space="preserve">ꎬ </w:t>
      </w:r>
      <w:r>
        <w:t>并在周围保持</w:t>
      </w:r>
      <w:r>
        <w:rPr>
          <w:rFonts w:hint="eastAsia" w:ascii="MS UI Gothic" w:eastAsia="MS UI Gothic"/>
        </w:rPr>
        <w:t xml:space="preserve">２ </w:t>
      </w:r>
      <w:r>
        <w:t>米以上的行人通道</w:t>
      </w:r>
      <w:r>
        <w:rPr>
          <w:rFonts w:hint="eastAsia" w:ascii="MS UI Gothic" w:eastAsia="MS UI Gothic"/>
          <w:w w:val="85"/>
        </w:rPr>
        <w:t>ꎮ</w:t>
      </w:r>
    </w:p>
    <w:p>
      <w:pPr>
        <w:pStyle w:val="6"/>
        <w:spacing w:line="295" w:lineRule="auto"/>
        <w:ind w:left="130" w:right="442"/>
        <w:rPr>
          <w:rFonts w:hint="eastAsia" w:ascii="MS UI Gothic" w:eastAsia="MS UI Gothic"/>
        </w:rPr>
      </w:pPr>
      <w:r>
        <w:t>第三十七条 钻井工程地质设计应当收集区域地质资料</w:t>
      </w:r>
      <w:r>
        <w:rPr>
          <w:rFonts w:hint="eastAsia" w:ascii="MS UI Gothic" w:eastAsia="MS UI Gothic"/>
          <w:w w:val="80"/>
        </w:rPr>
        <w:t xml:space="preserve">ꎬ </w:t>
      </w:r>
      <w:r>
        <w:t>确定各含水层组深度</w:t>
      </w:r>
      <w:r>
        <w:rPr>
          <w:rFonts w:hint="eastAsia" w:ascii="MS UI Gothic" w:eastAsia="MS UI Gothic"/>
          <w:w w:val="80"/>
        </w:rPr>
        <w:t xml:space="preserve">ꎬ </w:t>
      </w:r>
      <w:r>
        <w:t>制定相应的安全措施</w:t>
      </w:r>
      <w:r>
        <w:rPr>
          <w:rFonts w:hint="eastAsia" w:ascii="MS UI Gothic" w:eastAsia="MS UI Gothic"/>
          <w:w w:val="80"/>
        </w:rPr>
        <w:t>ꎮ</w:t>
      </w:r>
    </w:p>
    <w:p>
      <w:pPr>
        <w:pStyle w:val="6"/>
        <w:spacing w:line="295" w:lineRule="auto"/>
        <w:ind w:left="130" w:right="442"/>
        <w:rPr>
          <w:rFonts w:hint="eastAsia" w:ascii="MS UI Gothic" w:eastAsia="MS UI Gothic"/>
        </w:rPr>
      </w:pPr>
      <w:r>
        <w:t>第三十八条 钻机及配套设备应当满足钻井设计的要求</w:t>
      </w:r>
      <w:r>
        <w:rPr>
          <w:rFonts w:hint="eastAsia" w:ascii="MS UI Gothic" w:eastAsia="MS UI Gothic"/>
          <w:w w:val="80"/>
        </w:rPr>
        <w:t xml:space="preserve">ꎮ </w:t>
      </w:r>
      <w:r>
        <w:t>钻机的额定钻进深度应当大于钻井深度</w:t>
      </w:r>
      <w:r>
        <w:rPr>
          <w:rFonts w:hint="eastAsia" w:ascii="MS UI Gothic" w:eastAsia="MS UI Gothic"/>
          <w:w w:val="80"/>
        </w:rPr>
        <w:t xml:space="preserve">ꎮ </w:t>
      </w:r>
      <w:r>
        <w:t>井架提升能力应当满足钻具重量</w:t>
      </w:r>
      <w:r>
        <w:rPr>
          <w:rFonts w:hint="eastAsia" w:ascii="MS UI Gothic" w:eastAsia="MS UI Gothic"/>
          <w:w w:val="80"/>
        </w:rPr>
        <w:t xml:space="preserve">、 </w:t>
      </w:r>
      <w:r>
        <w:t>地质条件的要求</w:t>
      </w:r>
      <w:r>
        <w:rPr>
          <w:rFonts w:hint="eastAsia" w:ascii="MS UI Gothic" w:eastAsia="MS UI Gothic"/>
          <w:w w:val="80"/>
        </w:rPr>
        <w:t>ꎮ</w:t>
      </w:r>
    </w:p>
    <w:p>
      <w:pPr>
        <w:pStyle w:val="6"/>
        <w:spacing w:line="295" w:lineRule="auto"/>
        <w:ind w:left="130" w:right="442"/>
        <w:rPr>
          <w:rFonts w:hint="eastAsia" w:ascii="MS UI Gothic" w:eastAsia="MS UI Gothic"/>
        </w:rPr>
      </w:pPr>
      <w:r>
        <w:t>动力设施应当满足钻机</w:t>
      </w:r>
      <w:r>
        <w:rPr>
          <w:rFonts w:hint="eastAsia" w:ascii="MS UI Gothic" w:eastAsia="MS UI Gothic"/>
          <w:w w:val="80"/>
        </w:rPr>
        <w:t xml:space="preserve">、 </w:t>
      </w:r>
      <w:r>
        <w:t>泥浆泵</w:t>
      </w:r>
      <w:r>
        <w:rPr>
          <w:rFonts w:hint="eastAsia" w:ascii="MS UI Gothic" w:eastAsia="MS UI Gothic"/>
          <w:w w:val="80"/>
        </w:rPr>
        <w:t xml:space="preserve">、 </w:t>
      </w:r>
      <w:r>
        <w:t>排水泵等设施所需功率</w:t>
      </w:r>
      <w:r>
        <w:rPr>
          <w:rFonts w:hint="eastAsia" w:ascii="MS UI Gothic" w:eastAsia="MS UI Gothic"/>
          <w:w w:val="80"/>
        </w:rPr>
        <w:t>ꎮ</w:t>
      </w:r>
    </w:p>
    <w:p>
      <w:pPr>
        <w:pStyle w:val="6"/>
        <w:spacing w:line="295" w:lineRule="auto"/>
        <w:ind w:left="130" w:right="442"/>
        <w:rPr>
          <w:rFonts w:hint="eastAsia" w:ascii="MS UI Gothic" w:eastAsia="MS UI Gothic"/>
        </w:rPr>
      </w:pPr>
      <w:r>
        <w:t>第三十九条 钻井工艺技术应当有利于保护煤储层</w:t>
      </w:r>
      <w:r>
        <w:rPr>
          <w:rFonts w:hint="eastAsia" w:ascii="MS UI Gothic" w:eastAsia="MS UI Gothic"/>
          <w:w w:val="80"/>
        </w:rPr>
        <w:t xml:space="preserve">ꎬ </w:t>
      </w:r>
      <w:r>
        <w:t>并制定井漏</w:t>
      </w:r>
      <w:r>
        <w:rPr>
          <w:rFonts w:hint="eastAsia" w:ascii="MS UI Gothic" w:eastAsia="MS UI Gothic"/>
          <w:w w:val="80"/>
        </w:rPr>
        <w:t xml:space="preserve">、 </w:t>
      </w:r>
      <w:r>
        <w:t>井涌</w:t>
      </w:r>
      <w:r>
        <w:rPr>
          <w:rFonts w:hint="eastAsia" w:ascii="MS UI Gothic" w:eastAsia="MS UI Gothic"/>
          <w:w w:val="80"/>
        </w:rPr>
        <w:t xml:space="preserve">、 </w:t>
      </w:r>
      <w:r>
        <w:t>井喷</w:t>
      </w:r>
      <w:r>
        <w:rPr>
          <w:rFonts w:hint="eastAsia" w:ascii="MS UI Gothic" w:eastAsia="MS UI Gothic"/>
          <w:w w:val="80"/>
        </w:rPr>
        <w:t xml:space="preserve">、 </w:t>
      </w:r>
      <w:r>
        <w:t>井塌</w:t>
      </w:r>
      <w:r>
        <w:rPr>
          <w:rFonts w:hint="eastAsia" w:ascii="MS UI Gothic" w:eastAsia="MS UI Gothic"/>
          <w:w w:val="80"/>
        </w:rPr>
        <w:t xml:space="preserve">、 </w:t>
      </w:r>
      <w:r>
        <w:t>卡钻</w:t>
      </w:r>
      <w:r>
        <w:rPr>
          <w:rFonts w:hint="eastAsia" w:ascii="MS UI Gothic" w:eastAsia="MS UI Gothic"/>
          <w:w w:val="80"/>
        </w:rPr>
        <w:t xml:space="preserve">、 </w:t>
      </w:r>
      <w:r>
        <w:t>防斜等复杂情况的安全技术措施</w:t>
      </w:r>
      <w:r>
        <w:rPr>
          <w:rFonts w:hint="eastAsia" w:ascii="MS UI Gothic" w:eastAsia="MS UI Gothic"/>
          <w:w w:val="80"/>
        </w:rPr>
        <w:t>ꎮ</w:t>
      </w:r>
    </w:p>
    <w:p>
      <w:pPr>
        <w:pStyle w:val="6"/>
        <w:spacing w:line="295" w:lineRule="auto"/>
        <w:ind w:right="442" w:firstLine="425"/>
        <w:rPr>
          <w:rFonts w:hint="eastAsia" w:ascii="MS UI Gothic" w:eastAsia="MS UI Gothic"/>
        </w:rPr>
      </w:pPr>
      <w:r>
        <w:t>第四十条 探井设计应当参考本地区钻井所采用的井身结构</w:t>
      </w:r>
      <w:r>
        <w:rPr>
          <w:rFonts w:hint="eastAsia" w:ascii="MS UI Gothic" w:eastAsia="MS UI Gothic"/>
          <w:w w:val="85"/>
        </w:rPr>
        <w:t xml:space="preserve">ꎮ </w:t>
      </w:r>
      <w:r>
        <w:t>井径应当留有余地</w:t>
      </w:r>
      <w:r>
        <w:rPr>
          <w:rFonts w:hint="eastAsia" w:ascii="MS UI Gothic" w:eastAsia="MS UI Gothic"/>
          <w:w w:val="85"/>
        </w:rPr>
        <w:t xml:space="preserve">ꎮ </w:t>
      </w:r>
      <w:r>
        <w:t>套管系列设计应当能够保证施工安全</w:t>
      </w:r>
      <w:r>
        <w:rPr>
          <w:rFonts w:hint="eastAsia" w:ascii="MS UI Gothic" w:eastAsia="MS UI Gothic"/>
          <w:w w:val="85"/>
        </w:rPr>
        <w:t xml:space="preserve">ꎮ </w:t>
      </w:r>
      <w:r>
        <w:t>表层套管应当至少下到稳定基岩内</w:t>
      </w:r>
      <w:r>
        <w:rPr>
          <w:rFonts w:hint="eastAsia" w:ascii="MS UI Gothic" w:eastAsia="MS UI Gothic"/>
          <w:w w:val="85"/>
        </w:rPr>
        <w:t xml:space="preserve">１０ </w:t>
      </w:r>
      <w:r>
        <w:t>米</w:t>
      </w:r>
      <w:r>
        <w:rPr>
          <w:rFonts w:hint="eastAsia" w:ascii="MS UI Gothic" w:eastAsia="MS UI Gothic"/>
          <w:w w:val="85"/>
        </w:rPr>
        <w:t>ꎮ</w:t>
      </w:r>
    </w:p>
    <w:p>
      <w:pPr>
        <w:pStyle w:val="6"/>
        <w:tabs>
          <w:tab w:val="left" w:pos="1807"/>
        </w:tabs>
        <w:spacing w:line="295" w:lineRule="auto"/>
        <w:ind w:left="130" w:right="442"/>
        <w:jc w:val="left"/>
        <w:rPr>
          <w:rFonts w:hint="eastAsia" w:ascii="MS UI Gothic" w:eastAsia="MS UI Gothic"/>
        </w:rPr>
      </w:pPr>
      <w:r>
        <w:rPr>
          <w:spacing w:val="3"/>
          <w:w w:val="105"/>
        </w:rPr>
        <w:t>第四十一</w:t>
      </w:r>
      <w:r>
        <w:rPr>
          <w:w w:val="105"/>
        </w:rPr>
        <w:t>条</w:t>
      </w:r>
      <w:r>
        <w:rPr>
          <w:w w:val="105"/>
        </w:rPr>
        <w:tab/>
      </w:r>
      <w:r>
        <w:rPr>
          <w:spacing w:val="3"/>
        </w:rPr>
        <w:t>固井作业设计应当保</w:t>
      </w:r>
      <w:r>
        <w:t>证</w:t>
      </w:r>
      <w:r>
        <w:rPr>
          <w:spacing w:val="3"/>
          <w:w w:val="105"/>
        </w:rPr>
        <w:t>后续增产作业施工的安全</w:t>
      </w:r>
      <w:r>
        <w:rPr>
          <w:rFonts w:hint="eastAsia" w:ascii="MS UI Gothic" w:eastAsia="MS UI Gothic"/>
          <w:w w:val="80"/>
        </w:rPr>
        <w:t>ꎮ</w:t>
      </w:r>
    </w:p>
    <w:p>
      <w:pPr>
        <w:pStyle w:val="6"/>
        <w:spacing w:line="295" w:lineRule="auto"/>
        <w:ind w:left="130" w:right="442"/>
        <w:rPr>
          <w:rFonts w:hint="eastAsia" w:ascii="MS UI Gothic" w:eastAsia="MS UI Gothic"/>
        </w:rPr>
      </w:pPr>
      <w:r>
        <w:t>套管柱应当进行强度设计</w:t>
      </w:r>
      <w:r>
        <w:rPr>
          <w:rFonts w:hint="eastAsia" w:ascii="MS UI Gothic" w:eastAsia="MS UI Gothic"/>
          <w:w w:val="80"/>
        </w:rPr>
        <w:t xml:space="preserve">ꎬ </w:t>
      </w:r>
      <w:r>
        <w:t>综合考虑内应力</w:t>
      </w:r>
      <w:r>
        <w:rPr>
          <w:rFonts w:hint="eastAsia" w:ascii="MS UI Gothic" w:eastAsia="MS UI Gothic"/>
          <w:w w:val="80"/>
        </w:rPr>
        <w:t xml:space="preserve">、 </w:t>
      </w:r>
      <w:r>
        <w:t>挤应力和拉应力</w:t>
      </w:r>
      <w:r>
        <w:rPr>
          <w:rFonts w:hint="eastAsia" w:ascii="MS UI Gothic" w:eastAsia="MS UI Gothic"/>
          <w:w w:val="80"/>
        </w:rPr>
        <w:t xml:space="preserve">ꎬ </w:t>
      </w:r>
      <w:r>
        <w:t>以满足后续作业的需要</w:t>
      </w:r>
      <w:r>
        <w:rPr>
          <w:rFonts w:hint="eastAsia" w:ascii="MS UI Gothic" w:eastAsia="MS UI Gothic"/>
          <w:w w:val="80"/>
        </w:rPr>
        <w:t>ꎮ</w:t>
      </w:r>
    </w:p>
    <w:p>
      <w:pPr>
        <w:pStyle w:val="6"/>
        <w:tabs>
          <w:tab w:val="left" w:pos="1807"/>
        </w:tabs>
        <w:spacing w:line="295" w:lineRule="auto"/>
        <w:ind w:left="130" w:right="442"/>
        <w:jc w:val="left"/>
        <w:rPr>
          <w:rFonts w:hint="eastAsia" w:ascii="MS UI Gothic" w:eastAsia="MS UI Gothic"/>
        </w:rPr>
      </w:pPr>
      <w:r>
        <w:rPr>
          <w:spacing w:val="3"/>
          <w:w w:val="105"/>
        </w:rPr>
        <w:t>第四十二</w:t>
      </w:r>
      <w:r>
        <w:rPr>
          <w:w w:val="105"/>
        </w:rPr>
        <w:t>条</w:t>
      </w:r>
      <w:r>
        <w:rPr>
          <w:w w:val="105"/>
        </w:rPr>
        <w:tab/>
      </w:r>
      <w:r>
        <w:rPr>
          <w:spacing w:val="3"/>
        </w:rPr>
        <w:t>设计方案应当对各种</w:t>
      </w:r>
      <w:r>
        <w:t>复</w:t>
      </w:r>
      <w:r>
        <w:rPr>
          <w:spacing w:val="3"/>
          <w:w w:val="105"/>
        </w:rPr>
        <w:t>杂情况提出预防和处理措施</w:t>
      </w:r>
      <w:r>
        <w:rPr>
          <w:rFonts w:hint="eastAsia" w:ascii="MS UI Gothic" w:eastAsia="MS UI Gothic"/>
          <w:w w:val="80"/>
        </w:rPr>
        <w:t>ꎮ</w:t>
      </w:r>
    </w:p>
    <w:p>
      <w:pPr>
        <w:pStyle w:val="6"/>
        <w:tabs>
          <w:tab w:val="left" w:pos="1807"/>
        </w:tabs>
        <w:spacing w:line="295" w:lineRule="auto"/>
        <w:ind w:left="130" w:right="442"/>
        <w:jc w:val="left"/>
      </w:pPr>
      <w:r>
        <w:rPr>
          <w:spacing w:val="3"/>
          <w:w w:val="105"/>
        </w:rPr>
        <w:t>第四十三</w:t>
      </w:r>
      <w:r>
        <w:rPr>
          <w:w w:val="105"/>
        </w:rPr>
        <w:t>条</w:t>
      </w:r>
      <w:r>
        <w:rPr>
          <w:w w:val="105"/>
        </w:rPr>
        <w:tab/>
      </w:r>
      <w:r>
        <w:rPr>
          <w:spacing w:val="3"/>
        </w:rPr>
        <w:t>煤层气企业应当建立</w:t>
      </w:r>
      <w:r>
        <w:t>测</w:t>
      </w:r>
      <w:r>
        <w:rPr>
          <w:spacing w:val="3"/>
        </w:rPr>
        <w:t>井安全操作管理和事故处理措施</w:t>
      </w:r>
      <w:r>
        <w:rPr>
          <w:rFonts w:hint="eastAsia" w:ascii="MS UI Gothic" w:eastAsia="MS UI Gothic"/>
          <w:w w:val="80"/>
        </w:rPr>
        <w:t xml:space="preserve">ꎮ </w:t>
      </w:r>
      <w:r>
        <w:rPr>
          <w:rFonts w:hint="eastAsia" w:ascii="MS UI Gothic" w:eastAsia="MS UI Gothic"/>
          <w:spacing w:val="48"/>
          <w:w w:val="80"/>
        </w:rPr>
        <w:t xml:space="preserve"> </w:t>
      </w:r>
      <w:r>
        <w:rPr>
          <w:spacing w:val="3"/>
        </w:rPr>
        <w:t>煤层</w:t>
      </w:r>
      <w:r>
        <w:t>气</w:t>
      </w:r>
    </w:p>
    <w:p>
      <w:pPr>
        <w:pStyle w:val="6"/>
        <w:spacing w:line="238" w:lineRule="exact"/>
        <w:ind w:left="130" w:firstLine="0"/>
        <w:jc w:val="left"/>
      </w:pPr>
      <w:r>
        <w:rPr>
          <w:spacing w:val="3"/>
        </w:rPr>
        <w:t>企业应当对放射源等危险物品的储存</w:t>
      </w:r>
      <w:r>
        <w:rPr>
          <w:rFonts w:hint="eastAsia" w:ascii="MS UI Gothic" w:eastAsia="MS UI Gothic"/>
          <w:spacing w:val="17"/>
        </w:rPr>
        <w:t xml:space="preserve">、  </w:t>
      </w:r>
      <w:r>
        <w:t>运</w:t>
      </w:r>
    </w:p>
    <w:p>
      <w:pPr>
        <w:spacing w:after="0" w:line="238" w:lineRule="exact"/>
        <w:jc w:val="left"/>
        <w:sectPr>
          <w:type w:val="continuous"/>
          <w:pgSz w:w="10500" w:h="14750"/>
          <w:pgMar w:top="1400" w:right="980" w:bottom="280" w:left="980" w:header="720" w:footer="720" w:gutter="0"/>
          <w:cols w:equalWidth="0" w:num="2">
            <w:col w:w="3934" w:space="252"/>
            <w:col w:w="4354"/>
          </w:cols>
        </w:sectPr>
      </w:pPr>
    </w:p>
    <w:p>
      <w:pPr>
        <w:pStyle w:val="6"/>
        <w:spacing w:before="51" w:line="295" w:lineRule="auto"/>
        <w:ind w:right="57" w:firstLine="0"/>
        <w:rPr>
          <w:rFonts w:hint="eastAsia" w:ascii="MS UI Gothic" w:hAnsi="MS UI Gothic" w:eastAsia="MS UI Gothic"/>
        </w:rPr>
      </w:pPr>
      <w:r>
        <w:t xml:space="preserve">准 </w:t>
      </w:r>
      <w:r>
        <w:rPr>
          <w:rFonts w:hint="eastAsia" w:ascii="MS UI Gothic" w:hAnsi="MS UI Gothic" w:eastAsia="MS UI Gothic"/>
        </w:rPr>
        <w:t xml:space="preserve">« </w:t>
      </w:r>
      <w:r>
        <w:t>煤层气地面开采防火防爆安全规程</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95"/>
        </w:rPr>
        <w:t>Ａ</w:t>
      </w:r>
      <w:r>
        <w:rPr>
          <w:rFonts w:hint="eastAsia" w:ascii="MS UI Gothic" w:hAnsi="MS UI Gothic" w:eastAsia="MS UI Gothic"/>
          <w:w w:val="85"/>
        </w:rPr>
        <w:t>Ｑ</w:t>
      </w:r>
      <w:r>
        <w:rPr>
          <w:rFonts w:hint="eastAsia" w:ascii="MS UI Gothic" w:hAnsi="MS UI Gothic" w:eastAsia="MS UI Gothic"/>
        </w:rPr>
        <w:t xml:space="preserve"> </w:t>
      </w:r>
      <w:r>
        <w:rPr>
          <w:rFonts w:hint="eastAsia" w:ascii="MS UI Gothic" w:hAnsi="MS UI Gothic" w:eastAsia="MS UI Gothic"/>
          <w:w w:val="75"/>
        </w:rPr>
        <w:t>１０８１</w:t>
      </w:r>
      <w:r>
        <w:rPr>
          <w:rFonts w:hint="eastAsia" w:ascii="MS UI Gothic" w:hAnsi="MS UI Gothic" w:eastAsia="MS UI Gothic"/>
          <w:w w:val="168"/>
        </w:rPr>
        <w:t>)</w:t>
      </w:r>
      <w:r>
        <w:rPr>
          <w:rFonts w:hint="eastAsia" w:ascii="MS UI Gothic" w:hAnsi="MS UI Gothic" w:eastAsia="MS UI Gothic"/>
        </w:rPr>
        <w:t xml:space="preserve">  </w:t>
      </w:r>
      <w:r>
        <w:rPr>
          <w:w w:val="102"/>
        </w:rPr>
        <w:t>的规定</w:t>
      </w:r>
      <w:r>
        <w:rPr>
          <w:rFonts w:hint="eastAsia" w:ascii="MS UI Gothic" w:hAnsi="MS UI Gothic" w:eastAsia="MS UI Gothic"/>
          <w:w w:val="51"/>
        </w:rPr>
        <w:t>ꎮ</w:t>
      </w:r>
    </w:p>
    <w:p>
      <w:pPr>
        <w:pStyle w:val="6"/>
        <w:spacing w:line="295" w:lineRule="auto"/>
        <w:ind w:left="118" w:right="38" w:firstLine="425"/>
      </w:pPr>
      <w:r>
        <w:t>第三十五条 钻井作业时</w:t>
      </w:r>
      <w:r>
        <w:rPr>
          <w:rFonts w:hint="eastAsia" w:ascii="MS UI Gothic" w:eastAsia="MS UI Gothic"/>
          <w:w w:val="85"/>
        </w:rPr>
        <w:t xml:space="preserve">ꎬ </w:t>
      </w:r>
      <w:r>
        <w:t>生活区</w:t>
      </w:r>
      <w:r>
        <w:rPr>
          <w:rFonts w:hint="eastAsia" w:ascii="MS UI Gothic" w:eastAsia="MS UI Gothic"/>
        </w:rPr>
        <w:t>、</w:t>
      </w:r>
      <w:r>
        <w:t>值班房应当置于井架侧面</w:t>
      </w:r>
      <w:r>
        <w:rPr>
          <w:rFonts w:hint="eastAsia" w:ascii="MS UI Gothic" w:eastAsia="MS UI Gothic"/>
          <w:w w:val="85"/>
        </w:rPr>
        <w:t xml:space="preserve">ꎬ </w:t>
      </w:r>
      <w:r>
        <w:t>且处于最小频率风向的下风侧</w:t>
      </w:r>
      <w:r>
        <w:rPr>
          <w:rFonts w:hint="eastAsia" w:ascii="MS UI Gothic" w:eastAsia="MS UI Gothic"/>
          <w:w w:val="85"/>
        </w:rPr>
        <w:t xml:space="preserve">ꎬ </w:t>
      </w:r>
      <w:r>
        <w:t>与井口的间距不小于</w:t>
      </w:r>
      <w:r>
        <w:rPr>
          <w:rFonts w:hint="eastAsia" w:ascii="MS UI Gothic" w:eastAsia="MS UI Gothic"/>
          <w:w w:val="85"/>
        </w:rPr>
        <w:t xml:space="preserve">１０ </w:t>
      </w:r>
      <w:r>
        <w:t>米</w:t>
      </w:r>
      <w:r>
        <w:rPr>
          <w:rFonts w:hint="eastAsia" w:ascii="MS UI Gothic" w:eastAsia="MS UI Gothic"/>
          <w:w w:val="85"/>
        </w:rPr>
        <w:t xml:space="preserve">ꎮ </w:t>
      </w:r>
      <w:r>
        <w:t>井场发电房与柴油罐的间距应当</w:t>
      </w:r>
    </w:p>
    <w:p>
      <w:pPr>
        <w:pStyle w:val="6"/>
        <w:spacing w:line="253" w:lineRule="exact"/>
        <w:ind w:firstLine="0"/>
        <w:rPr>
          <w:rFonts w:hint="eastAsia" w:ascii="MS UI Gothic" w:eastAsia="MS UI Gothic"/>
        </w:rPr>
      </w:pPr>
      <w:r>
        <w:t xml:space="preserve">不小于 </w:t>
      </w:r>
      <w:r>
        <w:rPr>
          <w:rFonts w:hint="eastAsia" w:ascii="MS UI Gothic" w:eastAsia="MS UI Gothic"/>
        </w:rPr>
        <w:t xml:space="preserve">５ </w:t>
      </w:r>
      <w:r>
        <w:t>米</w:t>
      </w:r>
      <w:r>
        <w:rPr>
          <w:rFonts w:hint="eastAsia" w:ascii="MS UI Gothic" w:eastAsia="MS UI Gothic"/>
          <w:w w:val="80"/>
        </w:rPr>
        <w:t>ꎮ</w:t>
      </w:r>
    </w:p>
    <w:p>
      <w:pPr>
        <w:pStyle w:val="6"/>
        <w:spacing w:before="51"/>
        <w:ind w:left="118" w:firstLine="0"/>
        <w:jc w:val="left"/>
        <w:rPr>
          <w:rFonts w:hint="eastAsia" w:ascii="MS UI Gothic" w:eastAsia="MS UI Gothic"/>
        </w:rPr>
      </w:pPr>
      <w:r>
        <w:br w:type="column"/>
      </w:r>
      <w:r>
        <w:t>输</w:t>
      </w:r>
      <w:r>
        <w:rPr>
          <w:rFonts w:hint="eastAsia" w:ascii="MS UI Gothic" w:eastAsia="MS UI Gothic"/>
        </w:rPr>
        <w:t xml:space="preserve">、 </w:t>
      </w:r>
      <w:r>
        <w:t>使用和防护作出特别规定</w:t>
      </w:r>
      <w:r>
        <w:rPr>
          <w:rFonts w:hint="eastAsia" w:ascii="MS UI Gothic" w:eastAsia="MS UI Gothic"/>
          <w:w w:val="80"/>
        </w:rPr>
        <w:t>ꎮ</w:t>
      </w:r>
    </w:p>
    <w:p>
      <w:pPr>
        <w:pStyle w:val="6"/>
        <w:spacing w:before="59" w:line="295" w:lineRule="auto"/>
        <w:ind w:left="118" w:right="442"/>
        <w:rPr>
          <w:rFonts w:hint="eastAsia" w:ascii="MS UI Gothic" w:eastAsia="MS UI Gothic"/>
        </w:rPr>
      </w:pPr>
      <w:r>
        <w:rPr>
          <w:w w:val="105"/>
        </w:rPr>
        <w:t>第四十四条 煤层气企业应当建立爆炸物品运输和使用</w:t>
      </w:r>
      <w:r>
        <w:rPr>
          <w:rFonts w:hint="eastAsia" w:ascii="MS UI Gothic" w:eastAsia="MS UI Gothic"/>
          <w:w w:val="80"/>
        </w:rPr>
        <w:t xml:space="preserve">、 </w:t>
      </w:r>
      <w:r>
        <w:rPr>
          <w:w w:val="105"/>
        </w:rPr>
        <w:t>爆炸器材存储和销毁</w:t>
      </w:r>
      <w:r>
        <w:rPr>
          <w:rFonts w:hint="eastAsia" w:ascii="MS UI Gothic" w:eastAsia="MS UI Gothic"/>
          <w:w w:val="80"/>
        </w:rPr>
        <w:t xml:space="preserve">、 </w:t>
      </w:r>
      <w:r>
        <w:rPr>
          <w:w w:val="105"/>
        </w:rPr>
        <w:t>废旧爆炸物品安全销毁的管理制度</w:t>
      </w:r>
      <w:r>
        <w:rPr>
          <w:rFonts w:hint="eastAsia" w:ascii="MS UI Gothic" w:eastAsia="MS UI Gothic"/>
          <w:w w:val="80"/>
        </w:rPr>
        <w:t>ꎮ</w:t>
      </w:r>
    </w:p>
    <w:p>
      <w:pPr>
        <w:pStyle w:val="6"/>
        <w:spacing w:line="295" w:lineRule="auto"/>
        <w:ind w:left="118" w:right="440"/>
        <w:rPr>
          <w:rFonts w:hint="eastAsia" w:ascii="MS UI Gothic" w:eastAsia="MS UI Gothic"/>
        </w:rPr>
      </w:pPr>
      <w:r>
        <w:t>煤层气企业应当建立防止地面爆炸</w:t>
      </w:r>
      <w:r>
        <w:rPr>
          <w:rFonts w:hint="eastAsia" w:ascii="MS UI Gothic" w:eastAsia="MS UI Gothic"/>
          <w:w w:val="80"/>
        </w:rPr>
        <w:t>、</w:t>
      </w:r>
      <w:r>
        <w:rPr>
          <w:w w:val="105"/>
        </w:rPr>
        <w:t>施工深度错误</w:t>
      </w:r>
      <w:r>
        <w:rPr>
          <w:rFonts w:hint="eastAsia" w:ascii="MS UI Gothic" w:eastAsia="MS UI Gothic"/>
          <w:w w:val="80"/>
        </w:rPr>
        <w:t xml:space="preserve">、 </w:t>
      </w:r>
      <w:r>
        <w:rPr>
          <w:w w:val="105"/>
        </w:rPr>
        <w:t xml:space="preserve">炸枪 </w:t>
      </w:r>
      <w:r>
        <w:rPr>
          <w:rFonts w:hint="eastAsia" w:ascii="MS UI Gothic" w:eastAsia="MS UI Gothic"/>
          <w:w w:val="150"/>
        </w:rPr>
        <w:t xml:space="preserve">( </w:t>
      </w:r>
      <w:r>
        <w:rPr>
          <w:w w:val="105"/>
        </w:rPr>
        <w:t>卡枪</w:t>
      </w:r>
      <w:r>
        <w:rPr>
          <w:rFonts w:hint="eastAsia" w:ascii="MS UI Gothic" w:eastAsia="MS UI Gothic"/>
          <w:w w:val="150"/>
        </w:rPr>
        <w:t xml:space="preserve">) </w:t>
      </w:r>
      <w:r>
        <w:rPr>
          <w:w w:val="105"/>
        </w:rPr>
        <w:t>及炸坏套管的安全防范和处理措施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３５７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83" o:spid="_x0000_s2083" o:spt="203" style="height:2.15pt;width:398.25pt;" coordsize="7965,43">
            <o:lock v:ext="edit"/>
            <v:line id="_x0000_s2084" o:spid="_x0000_s2084" o:spt="20" style="position:absolute;left:0;top:39;height:0;width:7965;" stroked="t" coordsize="21600,21600">
              <v:path arrowok="t"/>
              <v:fill focussize="0,0"/>
              <v:stroke weight="0.388031496062992pt" color="#231F20"/>
              <v:imagedata o:title=""/>
              <o:lock v:ext="edit"/>
            </v:line>
            <v:line id="_x0000_s2085" o:spid="_x0000_s208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rPr>
          <w:spacing w:val="2"/>
          <w:w w:val="95"/>
        </w:rPr>
        <w:t>第四十五条   所选压裂井口的耐压等</w:t>
      </w:r>
      <w:r>
        <w:rPr>
          <w:spacing w:val="3"/>
          <w:w w:val="95"/>
        </w:rPr>
        <w:t>级应当大于设计的最高井口压力</w:t>
      </w:r>
      <w:r>
        <w:rPr>
          <w:rFonts w:hint="eastAsia" w:ascii="MS UI Gothic" w:eastAsia="MS UI Gothic"/>
          <w:spacing w:val="17"/>
          <w:w w:val="90"/>
        </w:rPr>
        <w:t xml:space="preserve">ꎬ  </w:t>
      </w:r>
      <w:r>
        <w:rPr>
          <w:spacing w:val="1"/>
          <w:w w:val="95"/>
        </w:rPr>
        <w:t>泵车组</w:t>
      </w:r>
      <w:r>
        <w:rPr>
          <w:spacing w:val="2"/>
          <w:w w:val="95"/>
        </w:rPr>
        <w:t xml:space="preserve">安全阀的设定压力值不得超过生产套管抗  </w:t>
      </w:r>
      <w:r>
        <w:rPr>
          <w:spacing w:val="4"/>
          <w:w w:val="95"/>
        </w:rPr>
        <w:t xml:space="preserve">内压强度的 </w:t>
      </w:r>
      <w:r>
        <w:rPr>
          <w:rFonts w:hint="eastAsia" w:ascii="MS UI Gothic" w:eastAsia="MS UI Gothic"/>
          <w:w w:val="95"/>
        </w:rPr>
        <w:t>８０</w:t>
      </w:r>
      <w:r>
        <w:rPr>
          <w:spacing w:val="-26"/>
          <w:w w:val="95"/>
        </w:rPr>
        <w:t xml:space="preserve">％ </w:t>
      </w:r>
      <w:r>
        <w:rPr>
          <w:rFonts w:hint="eastAsia" w:ascii="MS UI Gothic" w:eastAsia="MS UI Gothic"/>
          <w:spacing w:val="17"/>
          <w:w w:val="90"/>
        </w:rPr>
        <w:t xml:space="preserve">ꎮ </w:t>
      </w:r>
      <w:r>
        <w:rPr>
          <w:spacing w:val="15"/>
          <w:w w:val="95"/>
        </w:rPr>
        <w:t>煤层气企业应当建立</w:t>
      </w:r>
      <w:r>
        <w:rPr>
          <w:spacing w:val="3"/>
          <w:w w:val="95"/>
        </w:rPr>
        <w:t>砂堵</w:t>
      </w:r>
      <w:r>
        <w:rPr>
          <w:rFonts w:hint="eastAsia" w:ascii="MS UI Gothic" w:eastAsia="MS UI Gothic"/>
          <w:spacing w:val="9"/>
          <w:w w:val="95"/>
        </w:rPr>
        <w:t xml:space="preserve">、  </w:t>
      </w:r>
      <w:r>
        <w:rPr>
          <w:spacing w:val="3"/>
          <w:w w:val="95"/>
        </w:rPr>
        <w:t>砂卡</w:t>
      </w:r>
      <w:r>
        <w:rPr>
          <w:rFonts w:hint="eastAsia" w:ascii="MS UI Gothic" w:eastAsia="MS UI Gothic"/>
          <w:spacing w:val="9"/>
          <w:w w:val="95"/>
        </w:rPr>
        <w:t xml:space="preserve">、  </w:t>
      </w:r>
      <w:r>
        <w:rPr>
          <w:spacing w:val="2"/>
          <w:w w:val="95"/>
        </w:rPr>
        <w:t>设备损坏等事故的应急处理</w:t>
      </w:r>
      <w:r>
        <w:rPr>
          <w:spacing w:val="3"/>
          <w:w w:val="95"/>
        </w:rPr>
        <w:t>措施</w:t>
      </w:r>
      <w:r>
        <w:rPr>
          <w:rFonts w:hint="eastAsia" w:ascii="MS UI Gothic" w:eastAsia="MS UI Gothic"/>
          <w:w w:val="90"/>
        </w:rPr>
        <w:t>ꎮ</w:t>
      </w:r>
    </w:p>
    <w:p>
      <w:pPr>
        <w:pStyle w:val="6"/>
        <w:spacing w:line="295" w:lineRule="auto"/>
        <w:ind w:left="440"/>
        <w:rPr>
          <w:rFonts w:hint="eastAsia" w:ascii="MS UI Gothic" w:eastAsia="MS UI Gothic"/>
        </w:rPr>
      </w:pPr>
      <w:r>
        <w:t>第四十六条 排采设备地基</w:t>
      </w:r>
      <w:r>
        <w:rPr>
          <w:rFonts w:hint="eastAsia" w:ascii="MS UI Gothic" w:eastAsia="MS UI Gothic"/>
          <w:w w:val="80"/>
        </w:rPr>
        <w:t xml:space="preserve">、 </w:t>
      </w:r>
      <w:r>
        <w:t>底座基础应当满足载荷要求</w:t>
      </w:r>
      <w:r>
        <w:rPr>
          <w:rFonts w:hint="eastAsia" w:ascii="MS UI Gothic" w:eastAsia="MS UI Gothic"/>
          <w:w w:val="80"/>
        </w:rPr>
        <w:t xml:space="preserve">ꎮ </w:t>
      </w:r>
      <w:r>
        <w:t>电缆</w:t>
      </w:r>
      <w:r>
        <w:rPr>
          <w:rFonts w:hint="eastAsia" w:ascii="MS UI Gothic" w:eastAsia="MS UI Gothic"/>
          <w:w w:val="80"/>
        </w:rPr>
        <w:t xml:space="preserve">、 </w:t>
      </w:r>
      <w:r>
        <w:t>变速箱</w:t>
      </w:r>
      <w:r>
        <w:rPr>
          <w:rFonts w:hint="eastAsia" w:ascii="MS UI Gothic" w:eastAsia="MS UI Gothic"/>
          <w:w w:val="80"/>
        </w:rPr>
        <w:t xml:space="preserve">、 </w:t>
      </w:r>
      <w:r>
        <w:t>其他电气设备</w:t>
      </w:r>
      <w:r>
        <w:rPr>
          <w:rFonts w:hint="eastAsia" w:ascii="MS UI Gothic" w:eastAsia="MS UI Gothic"/>
          <w:w w:val="80"/>
        </w:rPr>
        <w:t xml:space="preserve">、 </w:t>
      </w:r>
      <w:r>
        <w:t>连接设施配套设备应当与电机功率匹配</w:t>
      </w:r>
      <w:r>
        <w:rPr>
          <w:rFonts w:hint="eastAsia" w:ascii="MS UI Gothic" w:eastAsia="MS UI Gothic"/>
          <w:w w:val="80"/>
        </w:rPr>
        <w:t xml:space="preserve">ꎮ </w:t>
      </w:r>
      <w:r>
        <w:t>抽油杆柱应当满足疲劳应力强度要求</w:t>
      </w:r>
      <w:r>
        <w:rPr>
          <w:rFonts w:hint="eastAsia" w:ascii="MS UI Gothic" w:eastAsia="MS UI Gothic"/>
          <w:w w:val="80"/>
        </w:rPr>
        <w:t>ꎮ</w:t>
      </w:r>
    </w:p>
    <w:p>
      <w:pPr>
        <w:pStyle w:val="6"/>
        <w:spacing w:line="295" w:lineRule="auto"/>
        <w:ind w:left="440"/>
        <w:rPr>
          <w:rFonts w:hint="eastAsia" w:ascii="MS UI Gothic" w:eastAsia="MS UI Gothic"/>
        </w:rPr>
      </w:pPr>
      <w:r>
        <w:t>第四十七条 排采泵的防冲距合理值应当根据下泵深度</w:t>
      </w:r>
      <w:r>
        <w:rPr>
          <w:rFonts w:hint="eastAsia" w:ascii="MS UI Gothic" w:eastAsia="MS UI Gothic"/>
          <w:w w:val="80"/>
        </w:rPr>
        <w:t xml:space="preserve">、 </w:t>
      </w:r>
      <w:r>
        <w:t>泵型号</w:t>
      </w:r>
      <w:r>
        <w:rPr>
          <w:rFonts w:hint="eastAsia" w:ascii="MS UI Gothic" w:eastAsia="MS UI Gothic"/>
          <w:w w:val="80"/>
        </w:rPr>
        <w:t xml:space="preserve">、 </w:t>
      </w:r>
      <w:r>
        <w:t>抽油杆的规格及机械性能确定</w:t>
      </w:r>
      <w:r>
        <w:rPr>
          <w:rFonts w:hint="eastAsia" w:ascii="MS UI Gothic" w:eastAsia="MS UI Gothic"/>
          <w:w w:val="80"/>
        </w:rPr>
        <w:t xml:space="preserve">ꎬ </w:t>
      </w:r>
      <w:r>
        <w:t>避免正常工作时柱塞碰泵</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第四十八条 井口应当设置排采沉淀</w:t>
      </w:r>
      <w:r>
        <w:rPr>
          <w:spacing w:val="3"/>
        </w:rPr>
        <w:t>池</w:t>
      </w:r>
      <w:r>
        <w:rPr>
          <w:rFonts w:hint="eastAsia" w:ascii="MS UI Gothic" w:eastAsia="MS UI Gothic"/>
          <w:spacing w:val="23"/>
          <w:w w:val="80"/>
        </w:rPr>
        <w:t xml:space="preserve">ꎬ </w:t>
      </w:r>
      <w:r>
        <w:rPr>
          <w:spacing w:val="3"/>
        </w:rPr>
        <w:t>煤层气井排出的水经过沉淀后</w:t>
      </w:r>
      <w:r>
        <w:rPr>
          <w:rFonts w:hint="eastAsia" w:ascii="MS UI Gothic" w:eastAsia="MS UI Gothic"/>
          <w:spacing w:val="23"/>
          <w:w w:val="80"/>
        </w:rPr>
        <w:t xml:space="preserve">ꎬ </w:t>
      </w:r>
      <w:r>
        <w:rPr>
          <w:spacing w:val="1"/>
        </w:rPr>
        <w:t>满足</w:t>
      </w:r>
      <w:r>
        <w:rPr>
          <w:spacing w:val="3"/>
        </w:rPr>
        <w:t>有关规定要求后方可进行排放</w:t>
      </w:r>
      <w:r>
        <w:rPr>
          <w:rFonts w:hint="eastAsia" w:ascii="MS UI Gothic" w:eastAsia="MS UI Gothic"/>
          <w:spacing w:val="21"/>
          <w:w w:val="80"/>
        </w:rPr>
        <w:t xml:space="preserve">ꎻ </w:t>
      </w:r>
      <w:r>
        <w:rPr>
          <w:spacing w:val="2"/>
        </w:rPr>
        <w:t>水管线应</w:t>
      </w:r>
      <w:r>
        <w:rPr>
          <w:spacing w:val="3"/>
        </w:rPr>
        <w:t>当以一定的坡度通向排采沉淀池</w:t>
      </w:r>
      <w:r>
        <w:rPr>
          <w:rFonts w:hint="eastAsia" w:ascii="MS UI Gothic" w:eastAsia="MS UI Gothic"/>
          <w:spacing w:val="21"/>
          <w:w w:val="80"/>
        </w:rPr>
        <w:t xml:space="preserve">ꎬ </w:t>
      </w:r>
      <w:r>
        <w:rPr>
          <w:spacing w:val="2"/>
        </w:rPr>
        <w:t>保证水</w:t>
      </w:r>
      <w:r>
        <w:rPr>
          <w:spacing w:val="3"/>
        </w:rPr>
        <w:t>流畅通</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第四十九条 煤层气企业对可能产生</w:t>
      </w:r>
      <w:r>
        <w:rPr>
          <w:spacing w:val="2"/>
        </w:rPr>
        <w:t>静电危险的下列设备和管线应当设置防静</w:t>
      </w:r>
      <w:r>
        <w:rPr>
          <w:spacing w:val="3"/>
          <w:w w:val="110"/>
        </w:rPr>
        <w:t>电装置</w:t>
      </w:r>
      <w:r>
        <w:rPr>
          <w:rFonts w:hint="eastAsia" w:ascii="MS UI Gothic" w:eastAsia="MS UI Gothic"/>
          <w:w w:val="235"/>
        </w:rPr>
        <w:t>:</w:t>
      </w:r>
    </w:p>
    <w:p>
      <w:pPr>
        <w:pStyle w:val="6"/>
        <w:spacing w:line="295" w:lineRule="auto"/>
        <w:ind w:left="860" w:right="795" w:firstLine="0"/>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进出装置或者设施处</w:t>
      </w:r>
      <w:r>
        <w:rPr>
          <w:rFonts w:hint="eastAsia" w:ascii="MS UI Gothic" w:eastAsia="MS UI Gothic"/>
          <w:w w:val="80"/>
        </w:rPr>
        <w:t>ꎻ</w:t>
      </w: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爆炸危险场所的边界</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煤层气储罐</w:t>
      </w:r>
      <w:r>
        <w:rPr>
          <w:rFonts w:hint="eastAsia" w:ascii="MS UI Gothic" w:eastAsia="MS UI Gothic"/>
          <w:w w:val="80"/>
        </w:rPr>
        <w:t xml:space="preserve">、 </w:t>
      </w:r>
      <w:r>
        <w:rPr>
          <w:w w:val="105"/>
        </w:rPr>
        <w:t>过滤器</w:t>
      </w:r>
      <w:r>
        <w:rPr>
          <w:rFonts w:hint="eastAsia" w:ascii="MS UI Gothic" w:eastAsia="MS UI Gothic"/>
          <w:w w:val="80"/>
        </w:rPr>
        <w:t xml:space="preserve">、 </w:t>
      </w:r>
      <w:r>
        <w:rPr>
          <w:w w:val="105"/>
        </w:rPr>
        <w:t>脱水装置</w:t>
      </w:r>
      <w:r>
        <w:rPr>
          <w:rFonts w:hint="eastAsia" w:ascii="MS UI Gothic" w:eastAsia="MS UI Gothic"/>
          <w:w w:val="80"/>
        </w:rPr>
        <w:t xml:space="preserve">、 </w:t>
      </w:r>
      <w:r>
        <w:rPr>
          <w:w w:val="105"/>
        </w:rPr>
        <w:t>缓冲器等及其连接部分</w:t>
      </w:r>
      <w:r>
        <w:rPr>
          <w:rFonts w:hint="eastAsia" w:ascii="MS UI Gothic" w:eastAsia="MS UI Gothic"/>
          <w:w w:val="80"/>
        </w:rPr>
        <w:t>ꎻ</w:t>
      </w:r>
    </w:p>
    <w:p>
      <w:pPr>
        <w:pStyle w:val="6"/>
        <w:spacing w:line="255" w:lineRule="exact"/>
        <w:ind w:left="860" w:firstLine="0"/>
        <w:jc w:val="left"/>
      </w:pPr>
      <w:r>
        <w:rPr>
          <w:rFonts w:hint="eastAsia" w:ascii="MS UI Gothic" w:eastAsia="MS UI Gothic"/>
          <w:w w:val="110"/>
        </w:rPr>
        <w:t xml:space="preserve">( </w:t>
      </w:r>
      <w:r>
        <w:rPr>
          <w:w w:val="110"/>
        </w:rPr>
        <w:t>四</w:t>
      </w:r>
      <w:r>
        <w:rPr>
          <w:rFonts w:hint="eastAsia" w:ascii="MS UI Gothic" w:eastAsia="MS UI Gothic"/>
          <w:w w:val="110"/>
        </w:rPr>
        <w:t xml:space="preserve">) </w:t>
      </w:r>
      <w:r>
        <w:rPr>
          <w:w w:val="110"/>
        </w:rPr>
        <w:t>管道分支处以及直线段每隔</w:t>
      </w:r>
    </w:p>
    <w:p>
      <w:pPr>
        <w:pStyle w:val="6"/>
        <w:spacing w:before="38"/>
        <w:ind w:left="435" w:firstLine="0"/>
        <w:jc w:val="left"/>
        <w:rPr>
          <w:rFonts w:hint="eastAsia" w:ascii="MS UI Gothic" w:eastAsia="MS UI Gothic"/>
        </w:rPr>
      </w:pPr>
      <w:r>
        <w:rPr>
          <w:rFonts w:hint="eastAsia" w:ascii="MS UI Gothic" w:eastAsia="MS UI Gothic"/>
          <w:w w:val="95"/>
        </w:rPr>
        <w:t xml:space="preserve">２００ </w:t>
      </w:r>
      <w:r>
        <w:rPr>
          <w:rFonts w:hint="eastAsia" w:ascii="MS UI Gothic" w:eastAsia="MS UI Gothic"/>
          <w:w w:val="110"/>
        </w:rPr>
        <w:t xml:space="preserve">~ </w:t>
      </w:r>
      <w:r>
        <w:rPr>
          <w:rFonts w:hint="eastAsia" w:ascii="MS UI Gothic" w:eastAsia="MS UI Gothic"/>
          <w:w w:val="95"/>
        </w:rPr>
        <w:t xml:space="preserve">３００ </w:t>
      </w:r>
      <w:r>
        <w:rPr>
          <w:w w:val="95"/>
        </w:rPr>
        <w:t>米处</w:t>
      </w:r>
      <w:r>
        <w:rPr>
          <w:rFonts w:hint="eastAsia" w:ascii="MS UI Gothic" w:eastAsia="MS UI Gothic"/>
          <w:w w:val="85"/>
        </w:rPr>
        <w:t>ꎻ</w:t>
      </w:r>
    </w:p>
    <w:p>
      <w:pPr>
        <w:pStyle w:val="6"/>
        <w:spacing w:before="58" w:line="295" w:lineRule="auto"/>
        <w:ind w:left="440"/>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压缩机的吸入口和加气机本身</w:t>
      </w:r>
      <w:r>
        <w:rPr>
          <w:w w:val="110"/>
        </w:rPr>
        <w:t>及槽车与加气机连接环节</w:t>
      </w:r>
      <w:r>
        <w:rPr>
          <w:rFonts w:hint="eastAsia" w:ascii="MS UI Gothic" w:eastAsia="MS UI Gothic"/>
          <w:w w:val="80"/>
        </w:rPr>
        <w:t>ꎮ</w:t>
      </w:r>
    </w:p>
    <w:p>
      <w:pPr>
        <w:pStyle w:val="6"/>
        <w:spacing w:line="295" w:lineRule="auto"/>
        <w:ind w:left="440"/>
        <w:rPr>
          <w:rFonts w:hint="eastAsia" w:ascii="MS UI Gothic" w:eastAsia="MS UI Gothic"/>
        </w:rPr>
      </w:pPr>
      <w:r>
        <w:rPr>
          <w:w w:val="95"/>
        </w:rPr>
        <w:t>在站场入口和主要的操作场所</w:t>
      </w:r>
      <w:r>
        <w:rPr>
          <w:rFonts w:hint="eastAsia" w:ascii="MS UI Gothic" w:eastAsia="MS UI Gothic"/>
          <w:w w:val="90"/>
        </w:rPr>
        <w:t xml:space="preserve">ꎬ  </w:t>
      </w:r>
      <w:r>
        <w:rPr>
          <w:w w:val="95"/>
        </w:rPr>
        <w:t>煤层气企业应当安装人体静电导除装置</w:t>
      </w:r>
      <w:r>
        <w:rPr>
          <w:rFonts w:hint="eastAsia" w:ascii="MS UI Gothic" w:eastAsia="MS UI Gothic"/>
          <w:w w:val="90"/>
        </w:rPr>
        <w:t xml:space="preserve">ꎬ  </w:t>
      </w:r>
      <w:r>
        <w:rPr>
          <w:w w:val="95"/>
        </w:rPr>
        <w:t>防静电接</w:t>
      </w:r>
      <w:r>
        <w:t>地装置的接地电阻应当不大</w:t>
      </w:r>
      <w:r>
        <w:rPr>
          <w:w w:val="95"/>
        </w:rPr>
        <w:t xml:space="preserve">于 </w:t>
      </w:r>
      <w:r>
        <w:rPr>
          <w:rFonts w:hint="eastAsia" w:ascii="MS UI Gothic" w:eastAsia="MS UI Gothic"/>
          <w:w w:val="95"/>
        </w:rPr>
        <w:t xml:space="preserve">１００ </w:t>
      </w:r>
      <w:r>
        <w:rPr>
          <w:w w:val="95"/>
        </w:rPr>
        <w:t>欧姆</w:t>
      </w:r>
      <w:r>
        <w:rPr>
          <w:rFonts w:hint="eastAsia" w:ascii="MS UI Gothic" w:eastAsia="MS UI Gothic"/>
          <w:w w:val="90"/>
        </w:rPr>
        <w:t>ꎮ</w:t>
      </w:r>
    </w:p>
    <w:p>
      <w:pPr>
        <w:pStyle w:val="6"/>
        <w:spacing w:line="295" w:lineRule="auto"/>
        <w:ind w:left="440"/>
      </w:pPr>
      <w:r>
        <w:rPr>
          <w:spacing w:val="3"/>
        </w:rPr>
        <w:t>在连接管线的法兰连接处</w:t>
      </w:r>
      <w:r>
        <w:rPr>
          <w:rFonts w:hint="eastAsia" w:ascii="MS UI Gothic" w:eastAsia="MS UI Gothic"/>
          <w:spacing w:val="16"/>
          <w:w w:val="80"/>
        </w:rPr>
        <w:t xml:space="preserve">ꎬ </w:t>
      </w:r>
      <w:r>
        <w:rPr>
          <w:spacing w:val="2"/>
        </w:rPr>
        <w:t>煤层气企</w:t>
      </w:r>
      <w:r>
        <w:rPr>
          <w:spacing w:val="20"/>
          <w:w w:val="105"/>
        </w:rPr>
        <w:t xml:space="preserve">业应当设置金属跨接线 </w:t>
      </w:r>
      <w:r>
        <w:rPr>
          <w:rFonts w:hint="eastAsia" w:ascii="MS UI Gothic" w:eastAsia="MS UI Gothic"/>
          <w:spacing w:val="-32"/>
          <w:w w:val="150"/>
        </w:rPr>
        <w:t xml:space="preserve">( </w:t>
      </w:r>
      <w:r>
        <w:rPr>
          <w:spacing w:val="27"/>
          <w:w w:val="105"/>
        </w:rPr>
        <w:t>绝缘法兰除</w:t>
      </w:r>
      <w:r>
        <w:rPr>
          <w:spacing w:val="3"/>
          <w:w w:val="105"/>
        </w:rPr>
        <w:t>外</w:t>
      </w:r>
      <w:r>
        <w:rPr>
          <w:rFonts w:hint="eastAsia" w:ascii="MS UI Gothic" w:eastAsia="MS UI Gothic"/>
          <w:spacing w:val="-40"/>
          <w:w w:val="150"/>
        </w:rPr>
        <w:t xml:space="preserve">) </w:t>
      </w:r>
      <w:r>
        <w:rPr>
          <w:rFonts w:hint="eastAsia" w:ascii="MS UI Gothic" w:eastAsia="MS UI Gothic"/>
          <w:spacing w:val="4"/>
          <w:w w:val="80"/>
        </w:rPr>
        <w:t xml:space="preserve">ꎮ </w:t>
      </w:r>
      <w:r>
        <w:rPr>
          <w:spacing w:val="-12"/>
          <w:w w:val="105"/>
        </w:rPr>
        <w:t xml:space="preserve">当法兰用 </w:t>
      </w:r>
      <w:r>
        <w:rPr>
          <w:rFonts w:hint="eastAsia" w:ascii="MS UI Gothic" w:eastAsia="MS UI Gothic"/>
          <w:spacing w:val="-6"/>
          <w:w w:val="80"/>
        </w:rPr>
        <w:t xml:space="preserve">５ </w:t>
      </w:r>
      <w:r>
        <w:rPr>
          <w:spacing w:val="10"/>
          <w:w w:val="105"/>
        </w:rPr>
        <w:t>根以上螺栓连接时</w:t>
      </w:r>
      <w:r>
        <w:rPr>
          <w:rFonts w:hint="eastAsia" w:ascii="MS UI Gothic" w:eastAsia="MS UI Gothic"/>
          <w:spacing w:val="6"/>
          <w:w w:val="80"/>
        </w:rPr>
        <w:t xml:space="preserve">ꎬ </w:t>
      </w:r>
      <w:r>
        <w:rPr>
          <w:w w:val="105"/>
        </w:rPr>
        <w:t>法</w:t>
      </w:r>
      <w:r>
        <w:rPr>
          <w:spacing w:val="3"/>
        </w:rPr>
        <w:t>兰可以不用金属线跨接</w:t>
      </w:r>
      <w:r>
        <w:rPr>
          <w:rFonts w:hint="eastAsia" w:ascii="MS UI Gothic" w:eastAsia="MS UI Gothic"/>
          <w:spacing w:val="21"/>
          <w:w w:val="80"/>
        </w:rPr>
        <w:t xml:space="preserve">ꎬ </w:t>
      </w:r>
      <w:r>
        <w:rPr>
          <w:spacing w:val="2"/>
        </w:rPr>
        <w:t>但必须构成电气</w:t>
      </w:r>
    </w:p>
    <w:p>
      <w:pPr>
        <w:spacing w:before="124"/>
        <w:ind w:left="383" w:right="0" w:firstLine="0"/>
        <w:jc w:val="left"/>
        <w:rPr>
          <w:rFonts w:hint="eastAsia" w:ascii="MS UI Gothic" w:eastAsia="MS UI Gothic"/>
          <w:sz w:val="20"/>
        </w:rPr>
      </w:pPr>
      <w:r>
        <w:br w:type="column"/>
      </w:r>
      <w:r>
        <w:rPr>
          <w:sz w:val="20"/>
        </w:rPr>
        <w:t>通路</w:t>
      </w:r>
      <w:r>
        <w:rPr>
          <w:rFonts w:hint="eastAsia" w:ascii="MS UI Gothic" w:eastAsia="MS UI Gothic"/>
          <w:w w:val="80"/>
          <w:sz w:val="20"/>
        </w:rPr>
        <w:t>ꎮ</w:t>
      </w:r>
    </w:p>
    <w:p>
      <w:pPr>
        <w:pStyle w:val="6"/>
        <w:spacing w:before="58" w:line="295" w:lineRule="auto"/>
        <w:ind w:left="383" w:right="126"/>
        <w:rPr>
          <w:rFonts w:hint="eastAsia" w:ascii="MS UI Gothic" w:eastAsia="MS UI Gothic"/>
        </w:rPr>
      </w:pPr>
      <w:r>
        <w:rPr>
          <w:w w:val="105"/>
        </w:rPr>
        <w:t>第五十条 工程和设备的防静电接地</w:t>
      </w:r>
      <w:r>
        <w:rPr>
          <w:w w:val="110"/>
        </w:rPr>
        <w:t>应当符合下列要求</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设施设备和车辆的防静电接地</w:t>
      </w:r>
      <w:r>
        <w:rPr>
          <w:rFonts w:hint="eastAsia" w:ascii="MS UI Gothic" w:eastAsia="MS UI Gothic"/>
          <w:w w:val="80"/>
        </w:rPr>
        <w:t xml:space="preserve">ꎬ </w:t>
      </w:r>
      <w:r>
        <w:rPr>
          <w:w w:val="105"/>
        </w:rPr>
        <w:t>不得使用链条类导体连线</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防静电接地</w:t>
      </w:r>
      <w:r>
        <w:rPr>
          <w:rFonts w:hint="eastAsia" w:ascii="MS UI Gothic" w:eastAsia="MS UI Gothic"/>
          <w:w w:val="80"/>
        </w:rPr>
        <w:t xml:space="preserve">、 </w:t>
      </w:r>
      <w:r>
        <w:t>防感应雷接地和电气设备接地共同设置的</w:t>
      </w:r>
      <w:r>
        <w:rPr>
          <w:rFonts w:hint="eastAsia" w:ascii="MS UI Gothic" w:eastAsia="MS UI Gothic"/>
          <w:w w:val="80"/>
        </w:rPr>
        <w:t xml:space="preserve">ꎬ </w:t>
      </w:r>
      <w:r>
        <w:t xml:space="preserve">其接地电阻不大于 </w:t>
      </w:r>
      <w:r>
        <w:rPr>
          <w:rFonts w:hint="eastAsia" w:ascii="MS UI Gothic" w:eastAsia="MS UI Gothic"/>
          <w:w w:val="80"/>
        </w:rPr>
        <w:t xml:space="preserve">１０ </w:t>
      </w:r>
      <w:r>
        <w:t>欧姆</w:t>
      </w:r>
      <w:r>
        <w:rPr>
          <w:rFonts w:hint="eastAsia" w:ascii="MS UI Gothic" w:eastAsia="MS UI Gothic"/>
          <w:w w:val="80"/>
        </w:rPr>
        <w:t>ꎻ</w:t>
      </w:r>
    </w:p>
    <w:p>
      <w:pPr>
        <w:pStyle w:val="6"/>
        <w:spacing w:line="295" w:lineRule="auto"/>
        <w:ind w:left="383" w:right="124"/>
        <w:rPr>
          <w:rFonts w:hint="eastAsia" w:ascii="MS UI Gothic" w:eastAsia="MS UI Gothic"/>
        </w:rPr>
      </w:pPr>
      <w:r>
        <w:rPr>
          <w:rFonts w:hint="eastAsia" w:ascii="MS UI Gothic" w:eastAsia="MS UI Gothic"/>
          <w:w w:val="140"/>
        </w:rPr>
        <w:t xml:space="preserve">( </w:t>
      </w:r>
      <w:r>
        <w:t>三</w:t>
      </w:r>
      <w:r>
        <w:rPr>
          <w:rFonts w:hint="eastAsia" w:ascii="MS UI Gothic" w:eastAsia="MS UI Gothic"/>
          <w:w w:val="140"/>
        </w:rPr>
        <w:t xml:space="preserve">) </w:t>
      </w:r>
      <w:r>
        <w:t>防静电接地装置单独设置的</w:t>
      </w:r>
      <w:r>
        <w:rPr>
          <w:rFonts w:hint="eastAsia" w:ascii="MS UI Gothic" w:eastAsia="MS UI Gothic"/>
          <w:w w:val="85"/>
        </w:rPr>
        <w:t>ꎬ</w:t>
      </w:r>
      <w:r>
        <w:t xml:space="preserve">接地电阻不大于 </w:t>
      </w:r>
      <w:r>
        <w:rPr>
          <w:rFonts w:hint="eastAsia" w:ascii="MS UI Gothic" w:eastAsia="MS UI Gothic"/>
          <w:w w:val="85"/>
        </w:rPr>
        <w:t xml:space="preserve">１００ </w:t>
      </w:r>
      <w:r>
        <w:t>欧姆</w:t>
      </w:r>
      <w:r>
        <w:rPr>
          <w:rFonts w:hint="eastAsia" w:ascii="MS UI Gothic" w:eastAsia="MS UI Gothic"/>
          <w:w w:val="85"/>
        </w:rPr>
        <w:t xml:space="preserve">ꎬ </w:t>
      </w:r>
      <w:r>
        <w:t>埋设周围情况良好</w:t>
      </w:r>
      <w:r>
        <w:rPr>
          <w:rFonts w:hint="eastAsia" w:ascii="MS UI Gothic" w:eastAsia="MS UI Gothic"/>
          <w:w w:val="85"/>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防静电接地不得使用防直击雷</w:t>
      </w:r>
      <w:r>
        <w:t>引下线和电气工作零线</w:t>
      </w:r>
      <w:r>
        <w:rPr>
          <w:rFonts w:hint="eastAsia" w:ascii="MS UI Gothic" w:eastAsia="MS UI Gothic"/>
          <w:w w:val="80"/>
        </w:rPr>
        <w:t xml:space="preserve">ꎬ </w:t>
      </w:r>
      <w:r>
        <w:t>测量点位置不得</w:t>
      </w:r>
      <w:r>
        <w:rPr>
          <w:w w:val="105"/>
        </w:rPr>
        <w:t>设在爆炸危险区域内</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检修设备</w:t>
      </w:r>
      <w:r>
        <w:rPr>
          <w:rFonts w:hint="eastAsia" w:ascii="MS UI Gothic" w:eastAsia="MS UI Gothic"/>
          <w:w w:val="80"/>
        </w:rPr>
        <w:t xml:space="preserve">、 </w:t>
      </w:r>
      <w:r>
        <w:rPr>
          <w:w w:val="105"/>
        </w:rPr>
        <w:t>管线可能导致防静</w:t>
      </w:r>
      <w:r>
        <w:t>电接地系统断路时</w:t>
      </w:r>
      <w:r>
        <w:rPr>
          <w:rFonts w:hint="eastAsia" w:ascii="MS UI Gothic" w:eastAsia="MS UI Gothic"/>
          <w:w w:val="80"/>
        </w:rPr>
        <w:t xml:space="preserve">ꎬ </w:t>
      </w:r>
      <w:r>
        <w:t>预先设置临时性接</w:t>
      </w:r>
      <w:r>
        <w:rPr>
          <w:w w:val="105"/>
        </w:rPr>
        <w:t>地</w:t>
      </w:r>
      <w:r>
        <w:rPr>
          <w:rFonts w:hint="eastAsia" w:ascii="MS UI Gothic" w:eastAsia="MS UI Gothic"/>
          <w:w w:val="80"/>
        </w:rPr>
        <w:t xml:space="preserve">ꎬ </w:t>
      </w:r>
      <w:r>
        <w:rPr>
          <w:w w:val="105"/>
        </w:rPr>
        <w:t>检修完毕后及时恢复</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第五十一条 进站槽车的防静电应当</w:t>
      </w:r>
      <w:r>
        <w:rPr>
          <w:w w:val="110"/>
        </w:rPr>
        <w:t>符合下列要求</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槽车及槽车驾驶员</w:t>
      </w:r>
      <w:r>
        <w:rPr>
          <w:rFonts w:hint="eastAsia" w:ascii="MS UI Gothic" w:eastAsia="MS UI Gothic"/>
          <w:w w:val="80"/>
        </w:rPr>
        <w:t xml:space="preserve">、  </w:t>
      </w:r>
      <w:r>
        <w:rPr>
          <w:w w:val="105"/>
        </w:rPr>
        <w:t>押运员持有合法有效的证件</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40"/>
        </w:rPr>
        <w:t xml:space="preserve">( </w:t>
      </w:r>
      <w:r>
        <w:rPr>
          <w:w w:val="105"/>
        </w:rPr>
        <w:t>二</w:t>
      </w:r>
      <w:r>
        <w:rPr>
          <w:rFonts w:hint="eastAsia" w:ascii="MS UI Gothic" w:eastAsia="MS UI Gothic"/>
          <w:w w:val="140"/>
        </w:rPr>
        <w:t xml:space="preserve">) </w:t>
      </w:r>
      <w:r>
        <w:rPr>
          <w:w w:val="105"/>
        </w:rPr>
        <w:t>槽车设置汽车专用静电接地装置</w:t>
      </w:r>
      <w:r>
        <w:rPr>
          <w:rFonts w:hint="eastAsia" w:ascii="MS UI Gothic" w:eastAsia="MS UI Gothic"/>
          <w:w w:val="85"/>
        </w:rPr>
        <w:t xml:space="preserve">ꎬ </w:t>
      </w:r>
      <w:r>
        <w:rPr>
          <w:w w:val="105"/>
        </w:rPr>
        <w:t xml:space="preserve">接地电阻不大于 </w:t>
      </w:r>
      <w:r>
        <w:rPr>
          <w:rFonts w:hint="eastAsia" w:ascii="MS UI Gothic" w:eastAsia="MS UI Gothic"/>
          <w:w w:val="85"/>
        </w:rPr>
        <w:t xml:space="preserve">１００ </w:t>
      </w:r>
      <w:r>
        <w:rPr>
          <w:w w:val="105"/>
        </w:rPr>
        <w:t>欧姆</w:t>
      </w:r>
      <w:r>
        <w:rPr>
          <w:rFonts w:hint="eastAsia" w:ascii="MS UI Gothic" w:eastAsia="MS UI Gothic"/>
          <w:w w:val="85"/>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槽车的防静电接地线连接在作</w:t>
      </w:r>
      <w:r>
        <w:t>业场所的专用防静电接地点上</w:t>
      </w:r>
      <w:r>
        <w:rPr>
          <w:rFonts w:hint="eastAsia" w:ascii="MS UI Gothic" w:eastAsia="MS UI Gothic"/>
          <w:w w:val="80"/>
        </w:rPr>
        <w:t xml:space="preserve">ꎬ </w:t>
      </w:r>
      <w:r>
        <w:t>且不得采</w:t>
      </w:r>
      <w:r>
        <w:rPr>
          <w:w w:val="105"/>
        </w:rPr>
        <w:t>用缠绕等不可靠的连接方法</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槽车的防静电接地连线采用专用导静电橡胶拖地线或者铜芯软绞线</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第五十二条 防雷应当符合下列安全</w:t>
      </w:r>
      <w:r>
        <w:rPr>
          <w:w w:val="115"/>
        </w:rPr>
        <w:t>要求</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 xml:space="preserve">建 </w:t>
      </w:r>
      <w:r>
        <w:rPr>
          <w:rFonts w:hint="eastAsia" w:ascii="MS UI Gothic" w:eastAsia="MS UI Gothic"/>
          <w:w w:val="150"/>
        </w:rPr>
        <w:t xml:space="preserve">( </w:t>
      </w:r>
      <w:r>
        <w:rPr>
          <w:w w:val="105"/>
        </w:rPr>
        <w:t>构</w:t>
      </w:r>
      <w:r>
        <w:rPr>
          <w:rFonts w:hint="eastAsia" w:ascii="MS UI Gothic" w:eastAsia="MS UI Gothic"/>
          <w:w w:val="150"/>
        </w:rPr>
        <w:t xml:space="preserve">) </w:t>
      </w:r>
      <w:r>
        <w:rPr>
          <w:w w:val="105"/>
        </w:rPr>
        <w:t>筑物</w:t>
      </w:r>
      <w:r>
        <w:rPr>
          <w:rFonts w:hint="eastAsia" w:ascii="MS UI Gothic" w:eastAsia="MS UI Gothic"/>
          <w:w w:val="80"/>
        </w:rPr>
        <w:t xml:space="preserve">、 </w:t>
      </w:r>
      <w:r>
        <w:rPr>
          <w:w w:val="105"/>
        </w:rPr>
        <w:t>工艺设备</w:t>
      </w:r>
      <w:r>
        <w:rPr>
          <w:rFonts w:hint="eastAsia" w:ascii="MS UI Gothic" w:eastAsia="MS UI Gothic"/>
          <w:w w:val="80"/>
        </w:rPr>
        <w:t xml:space="preserve">、 </w:t>
      </w:r>
      <w:r>
        <w:rPr>
          <w:w w:val="105"/>
        </w:rPr>
        <w:t>架空管线</w:t>
      </w:r>
      <w:r>
        <w:rPr>
          <w:rFonts w:hint="eastAsia" w:ascii="MS UI Gothic" w:eastAsia="MS UI Gothic"/>
          <w:w w:val="80"/>
        </w:rPr>
        <w:t xml:space="preserve">、 </w:t>
      </w:r>
      <w:r>
        <w:rPr>
          <w:w w:val="105"/>
        </w:rPr>
        <w:t>各种罐体</w:t>
      </w:r>
      <w:r>
        <w:rPr>
          <w:rFonts w:hint="eastAsia" w:ascii="MS UI Gothic" w:eastAsia="MS UI Gothic"/>
          <w:w w:val="80"/>
        </w:rPr>
        <w:t xml:space="preserve">、 </w:t>
      </w:r>
      <w:r>
        <w:rPr>
          <w:w w:val="105"/>
        </w:rPr>
        <w:t>电气设备等设置防雷接地装置</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spacing w:val="19"/>
          <w:w w:val="150"/>
        </w:rPr>
        <w:t>(</w:t>
      </w:r>
      <w:r>
        <w:rPr>
          <w:spacing w:val="3"/>
          <w:w w:val="115"/>
        </w:rPr>
        <w:t>二</w:t>
      </w:r>
      <w:r>
        <w:rPr>
          <w:rFonts w:hint="eastAsia" w:ascii="MS UI Gothic" w:eastAsia="MS UI Gothic"/>
          <w:spacing w:val="-22"/>
          <w:w w:val="150"/>
        </w:rPr>
        <w:t xml:space="preserve">) </w:t>
      </w:r>
      <w:r>
        <w:rPr>
          <w:spacing w:val="-17"/>
          <w:w w:val="115"/>
        </w:rPr>
        <w:t xml:space="preserve">进入变 </w:t>
      </w:r>
      <w:r>
        <w:rPr>
          <w:rFonts w:hint="eastAsia" w:ascii="MS UI Gothic" w:eastAsia="MS UI Gothic"/>
          <w:spacing w:val="-42"/>
          <w:w w:val="150"/>
        </w:rPr>
        <w:t xml:space="preserve">( </w:t>
      </w:r>
      <w:r>
        <w:rPr>
          <w:spacing w:val="3"/>
          <w:w w:val="115"/>
        </w:rPr>
        <w:t>配</w:t>
      </w:r>
      <w:r>
        <w:rPr>
          <w:rFonts w:hint="eastAsia" w:ascii="MS UI Gothic" w:eastAsia="MS UI Gothic"/>
          <w:spacing w:val="-21"/>
          <w:w w:val="150"/>
        </w:rPr>
        <w:t xml:space="preserve">) </w:t>
      </w:r>
      <w:r>
        <w:rPr>
          <w:spacing w:val="6"/>
          <w:w w:val="115"/>
        </w:rPr>
        <w:t>电室的高压电路</w:t>
      </w:r>
      <w:r>
        <w:rPr>
          <w:spacing w:val="24"/>
        </w:rPr>
        <w:t xml:space="preserve">安装与设备耐压水平相适应的过电压 </w:t>
      </w:r>
      <w:r>
        <w:rPr>
          <w:rFonts w:hint="eastAsia" w:ascii="MS UI Gothic" w:eastAsia="MS UI Gothic"/>
          <w:spacing w:val="-25"/>
          <w:w w:val="150"/>
        </w:rPr>
        <w:t xml:space="preserve">( </w:t>
      </w:r>
      <w:r>
        <w:rPr>
          <w:spacing w:val="3"/>
          <w:w w:val="115"/>
        </w:rPr>
        <w:t>电涌</w:t>
      </w:r>
      <w:r>
        <w:rPr>
          <w:rFonts w:hint="eastAsia" w:ascii="MS UI Gothic" w:eastAsia="MS UI Gothic"/>
          <w:spacing w:val="13"/>
          <w:w w:val="150"/>
        </w:rPr>
        <w:t xml:space="preserve">) </w:t>
      </w:r>
      <w:r>
        <w:rPr>
          <w:spacing w:val="3"/>
          <w:w w:val="115"/>
        </w:rPr>
        <w:t>保护器</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信息系统配电线路的首</w:t>
      </w:r>
      <w:r>
        <w:rPr>
          <w:rFonts w:hint="eastAsia" w:ascii="MS UI Gothic" w:eastAsia="MS UI Gothic"/>
          <w:w w:val="80"/>
        </w:rPr>
        <w:t xml:space="preserve">、  </w:t>
      </w:r>
      <w:r>
        <w:rPr>
          <w:w w:val="105"/>
        </w:rPr>
        <w:t>末端</w:t>
      </w:r>
      <w:r>
        <w:t>与电子器件连接时</w:t>
      </w:r>
      <w:r>
        <w:rPr>
          <w:rFonts w:hint="eastAsia" w:ascii="MS UI Gothic" w:eastAsia="MS UI Gothic"/>
          <w:w w:val="80"/>
        </w:rPr>
        <w:t xml:space="preserve">ꎬ </w:t>
      </w:r>
      <w:r>
        <w:t>装设与电子器件耐压</w:t>
      </w:r>
      <w:r>
        <w:rPr>
          <w:w w:val="105"/>
        </w:rPr>
        <w:t xml:space="preserve">水平相适应的过电压 </w:t>
      </w:r>
      <w:r>
        <w:rPr>
          <w:rFonts w:hint="eastAsia" w:ascii="MS UI Gothic" w:eastAsia="MS UI Gothic"/>
          <w:w w:val="150"/>
        </w:rPr>
        <w:t xml:space="preserve">( </w:t>
      </w:r>
      <w:r>
        <w:rPr>
          <w:w w:val="105"/>
        </w:rPr>
        <w:t>电涌</w:t>
      </w:r>
      <w:r>
        <w:rPr>
          <w:rFonts w:hint="eastAsia" w:ascii="MS UI Gothic" w:eastAsia="MS UI Gothic"/>
          <w:w w:val="150"/>
        </w:rPr>
        <w:t xml:space="preserve">) </w:t>
      </w:r>
      <w:r>
        <w:rPr>
          <w:w w:val="105"/>
        </w:rPr>
        <w:t>保护器</w:t>
      </w:r>
      <w:r>
        <w:rPr>
          <w:rFonts w:hint="eastAsia" w:ascii="MS UI Gothic" w:eastAsia="MS UI Gothic"/>
          <w:w w:val="80"/>
        </w:rPr>
        <w:t>ꎻ</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３５８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86" o:spid="_x0000_s2086" o:spt="203" style="height:2.15pt;width:398.25pt;" coordsize="7965,43">
            <o:lock v:ext="edit"/>
            <v:line id="_x0000_s2087" o:spid="_x0000_s2087" o:spt="20" style="position:absolute;left:0;top:39;height:0;width:7965;" stroked="t" coordsize="21600,21600">
              <v:path arrowok="t"/>
              <v:fill focussize="0,0"/>
              <v:stroke weight="0.388031496062992pt" color="#231F20"/>
              <v:imagedata o:title=""/>
              <o:lock v:ext="edit"/>
            </v:line>
            <v:line id="_x0000_s2088" o:spid="_x0000_s208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left="118" w:right="39" w:firstLine="425"/>
        <w:rPr>
          <w:rFonts w:hint="eastAsia" w:ascii="MS UI Gothic" w:eastAsia="MS UI Gothic"/>
        </w:rPr>
      </w:pPr>
      <w:r>
        <w:rPr>
          <w:rFonts w:hint="eastAsia" w:ascii="MS UI Gothic" w:eastAsia="MS UI Gothic"/>
          <w:w w:val="145"/>
        </w:rPr>
        <w:t xml:space="preserve">( </w:t>
      </w:r>
      <w:r>
        <w:t>四</w:t>
      </w:r>
      <w:r>
        <w:rPr>
          <w:rFonts w:hint="eastAsia" w:ascii="MS UI Gothic" w:eastAsia="MS UI Gothic"/>
          <w:w w:val="145"/>
        </w:rPr>
        <w:t xml:space="preserve">) </w:t>
      </w:r>
      <w:r>
        <w:t xml:space="preserve">防雷接地电阻不得大于 </w:t>
      </w:r>
      <w:r>
        <w:rPr>
          <w:rFonts w:hint="eastAsia" w:ascii="MS UI Gothic" w:eastAsia="MS UI Gothic"/>
          <w:w w:val="80"/>
        </w:rPr>
        <w:t xml:space="preserve">１０ </w:t>
      </w:r>
      <w:r>
        <w:t>欧姆</w:t>
      </w:r>
      <w:r>
        <w:rPr>
          <w:rFonts w:hint="eastAsia" w:ascii="MS UI Gothic" w:eastAsia="MS UI Gothic"/>
          <w:w w:val="80"/>
        </w:rPr>
        <w:t xml:space="preserve">ꎬ </w:t>
      </w:r>
      <w:r>
        <w:t xml:space="preserve">引下线地面以下 </w:t>
      </w:r>
      <w:r>
        <w:rPr>
          <w:rFonts w:hint="eastAsia" w:ascii="MS UI Gothic" w:eastAsia="MS UI Gothic"/>
          <w:w w:val="80"/>
        </w:rPr>
        <w:t xml:space="preserve">０ ３ </w:t>
      </w:r>
      <w:r>
        <w:t>米至地面以上</w:t>
      </w:r>
      <w:r>
        <w:rPr>
          <w:rFonts w:hint="eastAsia" w:ascii="MS UI Gothic" w:eastAsia="MS UI Gothic"/>
          <w:w w:val="80"/>
        </w:rPr>
        <w:t xml:space="preserve">１ ７ </w:t>
      </w:r>
      <w:r>
        <w:t>米无破坏</w:t>
      </w:r>
      <w:r>
        <w:rPr>
          <w:rFonts w:hint="eastAsia" w:ascii="MS UI Gothic" w:eastAsia="MS UI Gothic"/>
          <w:w w:val="80"/>
        </w:rPr>
        <w:t xml:space="preserve">ꎬ </w:t>
      </w:r>
      <w:r>
        <w:t>接地测试断接点接触良好</w:t>
      </w:r>
      <w:r>
        <w:rPr>
          <w:rFonts w:hint="eastAsia" w:ascii="MS UI Gothic" w:eastAsia="MS UI Gothic"/>
          <w:w w:val="80"/>
        </w:rPr>
        <w:t xml:space="preserve">ꎬ </w:t>
      </w:r>
      <w:r>
        <w:t>埋设周围情况良好</w:t>
      </w:r>
      <w:r>
        <w:rPr>
          <w:rFonts w:hint="eastAsia" w:ascii="MS UI Gothic" w:eastAsia="MS UI Gothic"/>
          <w:w w:val="80"/>
        </w:rPr>
        <w:t>ꎻ</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防雷装置保护范围不得缩小</w:t>
      </w:r>
      <w:r>
        <w:rPr>
          <w:rFonts w:hint="eastAsia" w:ascii="MS UI Gothic" w:eastAsia="MS UI Gothic"/>
          <w:w w:val="80"/>
        </w:rPr>
        <w:t>ꎻ</w:t>
      </w:r>
    </w:p>
    <w:p>
      <w:pPr>
        <w:pStyle w:val="6"/>
        <w:spacing w:before="58" w:line="295" w:lineRule="auto"/>
        <w:ind w:right="39"/>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防雷击接地措施不得影响输气</w:t>
      </w:r>
      <w:r>
        <w:rPr>
          <w:w w:val="110"/>
        </w:rPr>
        <w:t>管线阴级保护效果</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接地装置定期由具备资质的单</w:t>
      </w:r>
      <w:r>
        <w:rPr>
          <w:w w:val="110"/>
        </w:rPr>
        <w:t>位进行测试</w:t>
      </w:r>
      <w:r>
        <w:rPr>
          <w:rFonts w:hint="eastAsia" w:ascii="MS UI Gothic" w:eastAsia="MS UI Gothic"/>
          <w:w w:val="80"/>
        </w:rPr>
        <w:t>ꎮ</w:t>
      </w:r>
    </w:p>
    <w:p>
      <w:pPr>
        <w:pStyle w:val="6"/>
        <w:spacing w:line="295" w:lineRule="auto"/>
        <w:ind w:right="39"/>
        <w:rPr>
          <w:rFonts w:hint="eastAsia" w:ascii="MS UI Gothic" w:eastAsia="MS UI Gothic"/>
        </w:rPr>
      </w:pPr>
      <w:r>
        <w:t>第五十三条 煤层气企业应当在站场内设置风向标</w:t>
      </w:r>
      <w:r>
        <w:rPr>
          <w:rFonts w:hint="eastAsia" w:ascii="MS UI Gothic" w:eastAsia="MS UI Gothic"/>
          <w:w w:val="80"/>
        </w:rPr>
        <w:t xml:space="preserve">ꎬ </w:t>
      </w:r>
      <w:r>
        <w:t>并悬挂在有关人员可以看到的位置</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第五十四条 压缩机房应当符合下列</w:t>
      </w:r>
      <w:r>
        <w:rPr>
          <w:spacing w:val="3"/>
          <w:w w:val="115"/>
        </w:rPr>
        <w:t>要求</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spacing w:val="-32"/>
          <w:w w:val="115"/>
        </w:rPr>
        <w:t xml:space="preserve">( </w:t>
      </w:r>
      <w:r>
        <w:rPr>
          <w:spacing w:val="5"/>
          <w:w w:val="110"/>
        </w:rPr>
        <w:t>一</w:t>
      </w:r>
      <w:r>
        <w:rPr>
          <w:rFonts w:hint="eastAsia" w:ascii="MS UI Gothic" w:eastAsia="MS UI Gothic"/>
          <w:spacing w:val="-12"/>
          <w:w w:val="115"/>
        </w:rPr>
        <w:t xml:space="preserve">) </w:t>
      </w:r>
      <w:r>
        <w:rPr>
          <w:spacing w:val="23"/>
          <w:w w:val="110"/>
        </w:rPr>
        <w:t>压缩机房设置防爆应急照明</w:t>
      </w:r>
      <w:r>
        <w:rPr>
          <w:spacing w:val="3"/>
          <w:w w:val="110"/>
        </w:rPr>
        <w:t>系统</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采用封闭式厂房时</w:t>
      </w:r>
      <w:r>
        <w:rPr>
          <w:rFonts w:hint="eastAsia" w:ascii="MS UI Gothic" w:eastAsia="MS UI Gothic"/>
          <w:w w:val="80"/>
        </w:rPr>
        <w:t xml:space="preserve">ꎬ </w:t>
      </w:r>
      <w:r>
        <w:rPr>
          <w:w w:val="105"/>
        </w:rPr>
        <w:t>有煤层气泄露的报警装置</w:t>
      </w:r>
      <w:r>
        <w:rPr>
          <w:rFonts w:hint="eastAsia" w:ascii="MS UI Gothic" w:eastAsia="MS UI Gothic"/>
          <w:w w:val="80"/>
        </w:rPr>
        <w:t xml:space="preserve">、 </w:t>
      </w:r>
      <w:r>
        <w:rPr>
          <w:w w:val="105"/>
        </w:rPr>
        <w:t>良好的机械通风设施和足够的泄压面积</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压缩机房电缆沟使用软土或者</w:t>
      </w:r>
      <w:r>
        <w:rPr>
          <w:spacing w:val="21"/>
        </w:rPr>
        <w:t>沙子埋实</w:t>
      </w:r>
      <w:r>
        <w:rPr>
          <w:rFonts w:hint="eastAsia" w:ascii="MS UI Gothic" w:eastAsia="MS UI Gothic"/>
          <w:spacing w:val="2"/>
          <w:w w:val="80"/>
        </w:rPr>
        <w:t xml:space="preserve">ꎬ </w:t>
      </w:r>
      <w:r>
        <w:rPr>
          <w:spacing w:val="30"/>
        </w:rPr>
        <w:t>并与配电间的电缆沟严密</w:t>
      </w:r>
      <w:r>
        <w:rPr>
          <w:spacing w:val="3"/>
          <w:w w:val="105"/>
        </w:rPr>
        <w:t>隔开</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2"/>
          <w:w w:val="115"/>
        </w:rPr>
        <w:t xml:space="preserve">( </w:t>
      </w:r>
      <w:r>
        <w:rPr>
          <w:spacing w:val="5"/>
          <w:w w:val="110"/>
        </w:rPr>
        <w:t>四</w:t>
      </w:r>
      <w:r>
        <w:rPr>
          <w:rFonts w:hint="eastAsia" w:ascii="MS UI Gothic" w:eastAsia="MS UI Gothic"/>
          <w:spacing w:val="-12"/>
          <w:w w:val="115"/>
        </w:rPr>
        <w:t xml:space="preserve">) </w:t>
      </w:r>
      <w:r>
        <w:rPr>
          <w:spacing w:val="23"/>
          <w:w w:val="110"/>
        </w:rPr>
        <w:t>压缩机房有醒目的安全警示</w:t>
      </w:r>
      <w:r>
        <w:rPr>
          <w:spacing w:val="3"/>
          <w:w w:val="110"/>
        </w:rPr>
        <w:t>标志</w:t>
      </w:r>
      <w:r>
        <w:rPr>
          <w:rFonts w:hint="eastAsia" w:ascii="MS UI Gothic" w:eastAsia="MS UI Gothic"/>
          <w:w w:val="80"/>
        </w:rPr>
        <w:t>ꎮ</w:t>
      </w:r>
    </w:p>
    <w:p>
      <w:pPr>
        <w:pStyle w:val="6"/>
        <w:tabs>
          <w:tab w:val="left" w:pos="1906"/>
        </w:tabs>
        <w:spacing w:before="142"/>
        <w:ind w:left="1067" w:firstLine="0"/>
        <w:jc w:val="left"/>
      </w:pPr>
      <w:r>
        <w:rPr>
          <w:spacing w:val="3"/>
          <w:w w:val="105"/>
        </w:rPr>
        <w:t>第五</w:t>
      </w:r>
      <w:r>
        <w:rPr>
          <w:w w:val="105"/>
        </w:rPr>
        <w:t>章</w:t>
      </w:r>
      <w:r>
        <w:rPr>
          <w:w w:val="105"/>
        </w:rPr>
        <w:tab/>
      </w:r>
      <w:r>
        <w:rPr>
          <w:spacing w:val="3"/>
          <w:w w:val="105"/>
        </w:rPr>
        <w:t>钻井与固</w:t>
      </w:r>
      <w:r>
        <w:rPr>
          <w:w w:val="105"/>
        </w:rPr>
        <w:t>井</w:t>
      </w:r>
    </w:p>
    <w:p>
      <w:pPr>
        <w:pStyle w:val="6"/>
        <w:spacing w:before="216" w:line="295" w:lineRule="auto"/>
        <w:ind w:right="38"/>
        <w:rPr>
          <w:rFonts w:hint="eastAsia" w:ascii="MS UI Gothic" w:eastAsia="MS UI Gothic"/>
        </w:rPr>
      </w:pPr>
      <w:r>
        <w:t>第五十五条 井场应当平整</w:t>
      </w:r>
      <w:r>
        <w:rPr>
          <w:rFonts w:hint="eastAsia" w:ascii="MS UI Gothic" w:eastAsia="MS UI Gothic"/>
          <w:w w:val="80"/>
        </w:rPr>
        <w:t xml:space="preserve">、 </w:t>
      </w:r>
      <w:r>
        <w:t>坚固</w:t>
      </w:r>
      <w:r>
        <w:rPr>
          <w:rFonts w:hint="eastAsia" w:ascii="MS UI Gothic" w:eastAsia="MS UI Gothic"/>
          <w:w w:val="80"/>
        </w:rPr>
        <w:t>ꎮ</w:t>
      </w:r>
      <w:r>
        <w:t xml:space="preserve">井架地基填方部分不得超过 </w:t>
      </w:r>
      <w:r>
        <w:rPr>
          <w:rFonts w:hint="eastAsia" w:ascii="MS UI Gothic" w:eastAsia="MS UI Gothic"/>
          <w:w w:val="80"/>
        </w:rPr>
        <w:t xml:space="preserve">１ </w:t>
      </w:r>
      <w:r>
        <w:rPr>
          <w:rFonts w:hint="eastAsia" w:ascii="MS UI Gothic" w:eastAsia="MS UI Gothic"/>
          <w:w w:val="65"/>
        </w:rPr>
        <w:t xml:space="preserve">/ </w:t>
      </w:r>
      <w:r>
        <w:rPr>
          <w:rFonts w:hint="eastAsia" w:ascii="MS UI Gothic" w:eastAsia="MS UI Gothic"/>
          <w:w w:val="80"/>
        </w:rPr>
        <w:t xml:space="preserve">４ </w:t>
      </w:r>
      <w:r>
        <w:t>面积</w:t>
      </w:r>
      <w:r>
        <w:rPr>
          <w:rFonts w:hint="eastAsia" w:ascii="MS UI Gothic" w:eastAsia="MS UI Gothic"/>
          <w:w w:val="80"/>
        </w:rPr>
        <w:t xml:space="preserve">ꎮ </w:t>
      </w:r>
      <w:r>
        <w:t>填方部分应当采取加固措施</w:t>
      </w:r>
      <w:r>
        <w:rPr>
          <w:rFonts w:hint="eastAsia" w:ascii="MS UI Gothic" w:eastAsia="MS UI Gothic"/>
          <w:w w:val="80"/>
        </w:rPr>
        <w:t>ꎮ</w:t>
      </w:r>
    </w:p>
    <w:p>
      <w:pPr>
        <w:pStyle w:val="6"/>
        <w:spacing w:line="295" w:lineRule="auto"/>
        <w:ind w:right="39"/>
        <w:rPr>
          <w:rFonts w:hint="eastAsia" w:ascii="MS UI Gothic" w:eastAsia="MS UI Gothic"/>
        </w:rPr>
      </w:pPr>
      <w:r>
        <w:t>煤层气企业在山坡上修筑井场时</w:t>
      </w:r>
      <w:r>
        <w:rPr>
          <w:rFonts w:hint="eastAsia" w:ascii="MS UI Gothic" w:eastAsia="MS UI Gothic"/>
          <w:w w:val="85"/>
        </w:rPr>
        <w:t xml:space="preserve">ꎬ </w:t>
      </w:r>
      <w:r>
        <w:t>当地层坚硬</w:t>
      </w:r>
      <w:r>
        <w:rPr>
          <w:rFonts w:hint="eastAsia" w:ascii="MS UI Gothic" w:eastAsia="MS UI Gothic"/>
          <w:w w:val="85"/>
        </w:rPr>
        <w:t xml:space="preserve">、 </w:t>
      </w:r>
      <w:r>
        <w:t>稳固时</w:t>
      </w:r>
      <w:r>
        <w:rPr>
          <w:rFonts w:hint="eastAsia" w:ascii="MS UI Gothic" w:eastAsia="MS UI Gothic"/>
          <w:w w:val="85"/>
        </w:rPr>
        <w:t xml:space="preserve">ꎬ </w:t>
      </w:r>
      <w:r>
        <w:t xml:space="preserve">井场边坡坡度不得大于 </w:t>
      </w:r>
      <w:r>
        <w:rPr>
          <w:rFonts w:hint="eastAsia" w:ascii="MS UI Gothic" w:eastAsia="MS UI Gothic"/>
          <w:w w:val="85"/>
        </w:rPr>
        <w:t xml:space="preserve">８５ </w:t>
      </w:r>
      <w:r>
        <w:t>度</w:t>
      </w:r>
      <w:r>
        <w:rPr>
          <w:rFonts w:hint="eastAsia" w:ascii="MS UI Gothic" w:eastAsia="MS UI Gothic"/>
          <w:w w:val="85"/>
        </w:rPr>
        <w:t xml:space="preserve">ꎻ </w:t>
      </w:r>
      <w:r>
        <w:t>当地层松软时</w:t>
      </w:r>
      <w:r>
        <w:rPr>
          <w:rFonts w:hint="eastAsia" w:ascii="MS UI Gothic" w:eastAsia="MS UI Gothic"/>
          <w:w w:val="85"/>
        </w:rPr>
        <w:t xml:space="preserve">ꎬ </w:t>
      </w:r>
      <w:r>
        <w:t xml:space="preserve">井场边坡坡度不得大于 </w:t>
      </w:r>
      <w:r>
        <w:rPr>
          <w:rFonts w:hint="eastAsia" w:ascii="MS UI Gothic" w:eastAsia="MS UI Gothic"/>
          <w:w w:val="85"/>
        </w:rPr>
        <w:t xml:space="preserve">６０ </w:t>
      </w:r>
      <w:r>
        <w:t>度</w:t>
      </w:r>
      <w:r>
        <w:rPr>
          <w:rFonts w:hint="eastAsia" w:ascii="MS UI Gothic" w:eastAsia="MS UI Gothic"/>
          <w:w w:val="85"/>
        </w:rPr>
        <w:t xml:space="preserve">ꎮ </w:t>
      </w:r>
      <w:r>
        <w:t>必要时</w:t>
      </w:r>
      <w:r>
        <w:rPr>
          <w:rFonts w:hint="eastAsia" w:ascii="MS UI Gothic" w:eastAsia="MS UI Gothic"/>
          <w:w w:val="85"/>
        </w:rPr>
        <w:t xml:space="preserve">ꎬ </w:t>
      </w:r>
      <w:r>
        <w:t>砌筑护坡</w:t>
      </w:r>
      <w:r>
        <w:rPr>
          <w:rFonts w:hint="eastAsia" w:ascii="MS UI Gothic" w:eastAsia="MS UI Gothic"/>
          <w:w w:val="85"/>
        </w:rPr>
        <w:t xml:space="preserve">、 </w:t>
      </w:r>
      <w:r>
        <w:t>挡土墙</w:t>
      </w:r>
      <w:r>
        <w:rPr>
          <w:rFonts w:hint="eastAsia" w:ascii="MS UI Gothic" w:eastAsia="MS UI Gothic"/>
          <w:w w:val="85"/>
        </w:rPr>
        <w:t>ꎮ</w:t>
      </w:r>
    </w:p>
    <w:p>
      <w:pPr>
        <w:pStyle w:val="6"/>
        <w:spacing w:line="295" w:lineRule="auto"/>
        <w:ind w:right="38"/>
        <w:rPr>
          <w:rFonts w:hint="eastAsia" w:ascii="MS UI Gothic" w:eastAsia="MS UI Gothic"/>
        </w:rPr>
      </w:pPr>
      <w:r>
        <w:t>第五十六条 煤层气企业应当对井场的井架</w:t>
      </w:r>
      <w:r>
        <w:rPr>
          <w:rFonts w:hint="eastAsia" w:ascii="MS UI Gothic" w:eastAsia="MS UI Gothic"/>
          <w:w w:val="85"/>
        </w:rPr>
        <w:t xml:space="preserve">、 </w:t>
      </w:r>
      <w:r>
        <w:t>油罐安装防雷防静电接地装置</w:t>
      </w:r>
      <w:r>
        <w:rPr>
          <w:rFonts w:hint="eastAsia" w:ascii="MS UI Gothic" w:eastAsia="MS UI Gothic"/>
          <w:w w:val="85"/>
        </w:rPr>
        <w:t>ꎬ</w:t>
      </w:r>
      <w:r>
        <w:t xml:space="preserve">其接地电阻应当不大于 </w:t>
      </w:r>
      <w:r>
        <w:rPr>
          <w:rFonts w:hint="eastAsia" w:ascii="MS UI Gothic" w:eastAsia="MS UI Gothic"/>
          <w:w w:val="85"/>
        </w:rPr>
        <w:t xml:space="preserve">１０ </w:t>
      </w:r>
      <w:r>
        <w:t>欧姆</w:t>
      </w:r>
      <w:r>
        <w:rPr>
          <w:rFonts w:hint="eastAsia" w:ascii="MS UI Gothic" w:eastAsia="MS UI Gothic"/>
          <w:w w:val="85"/>
        </w:rPr>
        <w:t>ꎮ</w:t>
      </w:r>
    </w:p>
    <w:p>
      <w:pPr>
        <w:pStyle w:val="6"/>
        <w:spacing w:line="295" w:lineRule="auto"/>
        <w:ind w:right="39"/>
      </w:pPr>
      <w:r>
        <w:t>第五十七条 暴雨</w:t>
      </w:r>
      <w:r>
        <w:rPr>
          <w:rFonts w:hint="eastAsia" w:ascii="MS UI Gothic" w:eastAsia="MS UI Gothic"/>
          <w:w w:val="80"/>
        </w:rPr>
        <w:t xml:space="preserve">、 </w:t>
      </w:r>
      <w:r>
        <w:t>洪水季节</w:t>
      </w:r>
      <w:r>
        <w:rPr>
          <w:rFonts w:hint="eastAsia" w:ascii="MS UI Gothic" w:eastAsia="MS UI Gothic"/>
          <w:w w:val="80"/>
        </w:rPr>
        <w:t xml:space="preserve">ꎬ  </w:t>
      </w:r>
      <w:r>
        <w:t>在山沟</w:t>
      </w:r>
      <w:r>
        <w:rPr>
          <w:rFonts w:hint="eastAsia" w:ascii="MS UI Gothic" w:eastAsia="MS UI Gothic"/>
          <w:w w:val="80"/>
        </w:rPr>
        <w:t xml:space="preserve">、 </w:t>
      </w:r>
      <w:r>
        <w:t>洼陷等低凹地带施工时</w:t>
      </w:r>
      <w:r>
        <w:rPr>
          <w:rFonts w:hint="eastAsia" w:ascii="MS UI Gothic" w:eastAsia="MS UI Gothic"/>
          <w:w w:val="80"/>
        </w:rPr>
        <w:t xml:space="preserve">ꎬ </w:t>
      </w:r>
      <w:r>
        <w:t>煤层气企业</w:t>
      </w:r>
    </w:p>
    <w:p>
      <w:pPr>
        <w:pStyle w:val="6"/>
        <w:spacing w:before="123"/>
        <w:ind w:firstLine="0"/>
        <w:rPr>
          <w:rFonts w:hint="eastAsia" w:ascii="MS UI Gothic" w:eastAsia="MS UI Gothic"/>
        </w:rPr>
      </w:pPr>
      <w:r>
        <w:br w:type="column"/>
      </w:r>
      <w:r>
        <w:t>应当加高地基</w:t>
      </w:r>
      <w:r>
        <w:rPr>
          <w:rFonts w:hint="eastAsia" w:ascii="MS UI Gothic" w:eastAsia="MS UI Gothic"/>
          <w:w w:val="80"/>
        </w:rPr>
        <w:t xml:space="preserve">ꎬ </w:t>
      </w:r>
      <w:r>
        <w:t>修筑防洪设施</w:t>
      </w:r>
      <w:r>
        <w:rPr>
          <w:rFonts w:hint="eastAsia" w:ascii="MS UI Gothic" w:eastAsia="MS UI Gothic"/>
          <w:w w:val="80"/>
        </w:rPr>
        <w:t>ꎮ</w:t>
      </w:r>
    </w:p>
    <w:p>
      <w:pPr>
        <w:pStyle w:val="6"/>
        <w:spacing w:before="58" w:line="295" w:lineRule="auto"/>
        <w:ind w:right="440"/>
        <w:rPr>
          <w:rFonts w:hint="eastAsia" w:ascii="MS UI Gothic" w:eastAsia="MS UI Gothic"/>
        </w:rPr>
      </w:pPr>
      <w:r>
        <w:rPr>
          <w:spacing w:val="4"/>
        </w:rPr>
        <w:t>第五十八条 煤层气企业应当在井场</w:t>
      </w:r>
      <w:r>
        <w:rPr>
          <w:spacing w:val="3"/>
        </w:rPr>
        <w:t>配备足够数量的消防器材</w:t>
      </w:r>
      <w:r>
        <w:rPr>
          <w:rFonts w:hint="eastAsia" w:ascii="MS UI Gothic" w:eastAsia="MS UI Gothic"/>
          <w:spacing w:val="19"/>
          <w:w w:val="80"/>
        </w:rPr>
        <w:t xml:space="preserve">ꎮ </w:t>
      </w:r>
      <w:r>
        <w:rPr>
          <w:spacing w:val="2"/>
        </w:rPr>
        <w:t>消防器材应当</w:t>
      </w:r>
      <w:r>
        <w:rPr>
          <w:spacing w:val="3"/>
        </w:rPr>
        <w:t>由专人管理</w:t>
      </w:r>
      <w:r>
        <w:rPr>
          <w:rFonts w:hint="eastAsia" w:ascii="MS UI Gothic" w:eastAsia="MS UI Gothic"/>
          <w:spacing w:val="23"/>
          <w:w w:val="80"/>
        </w:rPr>
        <w:t xml:space="preserve">ꎬ </w:t>
      </w:r>
      <w:r>
        <w:rPr>
          <w:spacing w:val="3"/>
        </w:rPr>
        <w:t>定期维护保养</w:t>
      </w:r>
      <w:r>
        <w:rPr>
          <w:rFonts w:hint="eastAsia" w:ascii="MS UI Gothic" w:eastAsia="MS UI Gothic"/>
          <w:spacing w:val="23"/>
          <w:w w:val="80"/>
        </w:rPr>
        <w:t xml:space="preserve">ꎬ </w:t>
      </w:r>
      <w:r>
        <w:rPr>
          <w:spacing w:val="2"/>
        </w:rPr>
        <w:t>不得挪作他</w:t>
      </w:r>
      <w:r>
        <w:rPr>
          <w:spacing w:val="3"/>
        </w:rPr>
        <w:t>用</w:t>
      </w:r>
      <w:r>
        <w:rPr>
          <w:rFonts w:hint="eastAsia" w:ascii="MS UI Gothic" w:eastAsia="MS UI Gothic"/>
          <w:spacing w:val="19"/>
          <w:w w:val="80"/>
        </w:rPr>
        <w:t xml:space="preserve">ꎮ </w:t>
      </w:r>
      <w:r>
        <w:rPr>
          <w:spacing w:val="6"/>
        </w:rPr>
        <w:t>消防器材摆放处应当保持通道畅通</w:t>
      </w:r>
      <w:r>
        <w:rPr>
          <w:rFonts w:hint="eastAsia" w:ascii="MS UI Gothic" w:eastAsia="MS UI Gothic"/>
          <w:w w:val="80"/>
        </w:rPr>
        <w:t>ꎬ</w:t>
      </w:r>
      <w:r>
        <w:rPr>
          <w:spacing w:val="3"/>
        </w:rPr>
        <w:t>确保取用方便</w:t>
      </w:r>
      <w:r>
        <w:rPr>
          <w:rFonts w:hint="eastAsia" w:ascii="MS UI Gothic" w:eastAsia="MS UI Gothic"/>
          <w:w w:val="80"/>
        </w:rPr>
        <w:t>ꎮ</w:t>
      </w:r>
    </w:p>
    <w:p>
      <w:pPr>
        <w:pStyle w:val="6"/>
        <w:spacing w:line="295" w:lineRule="auto"/>
        <w:ind w:right="440"/>
        <w:rPr>
          <w:rFonts w:hint="eastAsia" w:ascii="MS UI Gothic" w:eastAsia="MS UI Gothic"/>
        </w:rPr>
      </w:pPr>
      <w:r>
        <w:rPr>
          <w:spacing w:val="11"/>
        </w:rPr>
        <w:t>第五十九条  煤层气企业应当在井</w:t>
      </w:r>
      <w:r>
        <w:rPr>
          <w:spacing w:val="3"/>
        </w:rPr>
        <w:t>场</w:t>
      </w:r>
      <w:r>
        <w:rPr>
          <w:rFonts w:hint="eastAsia" w:ascii="MS UI Gothic" w:eastAsia="MS UI Gothic"/>
          <w:spacing w:val="8"/>
          <w:w w:val="80"/>
        </w:rPr>
        <w:t xml:space="preserve">、 </w:t>
      </w:r>
      <w:r>
        <w:rPr>
          <w:spacing w:val="7"/>
        </w:rPr>
        <w:t>钻台及井架梯子的入口处</w:t>
      </w:r>
      <w:r>
        <w:rPr>
          <w:rFonts w:hint="eastAsia" w:ascii="MS UI Gothic" w:eastAsia="MS UI Gothic"/>
          <w:spacing w:val="13"/>
          <w:w w:val="80"/>
        </w:rPr>
        <w:t xml:space="preserve">ꎬ </w:t>
      </w:r>
      <w:r>
        <w:rPr>
          <w:spacing w:val="11"/>
        </w:rPr>
        <w:t>钻台上</w:t>
      </w:r>
      <w:r>
        <w:rPr>
          <w:rFonts w:hint="eastAsia" w:ascii="MS UI Gothic" w:eastAsia="MS UI Gothic"/>
          <w:w w:val="80"/>
        </w:rPr>
        <w:t>、</w:t>
      </w:r>
      <w:r>
        <w:rPr>
          <w:spacing w:val="3"/>
        </w:rPr>
        <w:t>高空作业区和绞车</w:t>
      </w:r>
      <w:r>
        <w:rPr>
          <w:rFonts w:hint="eastAsia" w:ascii="MS UI Gothic" w:eastAsia="MS UI Gothic"/>
          <w:spacing w:val="22"/>
          <w:w w:val="80"/>
        </w:rPr>
        <w:t xml:space="preserve">、 </w:t>
      </w:r>
      <w:r>
        <w:rPr>
          <w:spacing w:val="3"/>
        </w:rPr>
        <w:t>柴油机</w:t>
      </w:r>
      <w:r>
        <w:rPr>
          <w:rFonts w:hint="eastAsia" w:ascii="MS UI Gothic" w:eastAsia="MS UI Gothic"/>
          <w:spacing w:val="22"/>
          <w:w w:val="80"/>
        </w:rPr>
        <w:t xml:space="preserve">、 </w:t>
      </w:r>
      <w:r>
        <w:rPr>
          <w:spacing w:val="2"/>
        </w:rPr>
        <w:t>发电机等机</w:t>
      </w:r>
      <w:r>
        <w:rPr>
          <w:spacing w:val="3"/>
        </w:rPr>
        <w:t>械设备处</w:t>
      </w:r>
      <w:r>
        <w:rPr>
          <w:rFonts w:hint="eastAsia" w:ascii="MS UI Gothic" w:eastAsia="MS UI Gothic"/>
          <w:spacing w:val="7"/>
          <w:w w:val="80"/>
        </w:rPr>
        <w:t xml:space="preserve">ꎬ </w:t>
      </w:r>
      <w:r>
        <w:rPr>
          <w:spacing w:val="3"/>
        </w:rPr>
        <w:t>以及油罐区</w:t>
      </w:r>
      <w:r>
        <w:rPr>
          <w:rFonts w:hint="eastAsia" w:ascii="MS UI Gothic" w:eastAsia="MS UI Gothic"/>
          <w:spacing w:val="7"/>
          <w:w w:val="80"/>
        </w:rPr>
        <w:t xml:space="preserve">、 </w:t>
      </w:r>
      <w:r>
        <w:rPr>
          <w:spacing w:val="3"/>
        </w:rPr>
        <w:t>消防器材房</w:t>
      </w:r>
      <w:r>
        <w:rPr>
          <w:rFonts w:hint="eastAsia" w:ascii="MS UI Gothic" w:eastAsia="MS UI Gothic"/>
          <w:spacing w:val="7"/>
          <w:w w:val="80"/>
        </w:rPr>
        <w:t xml:space="preserve">、 </w:t>
      </w:r>
      <w:r>
        <w:t>消</w:t>
      </w:r>
      <w:r>
        <w:rPr>
          <w:spacing w:val="2"/>
        </w:rPr>
        <w:t>防器材箱等场所和设备设施上设置相应的</w:t>
      </w:r>
      <w:r>
        <w:rPr>
          <w:spacing w:val="3"/>
        </w:rPr>
        <w:t>安全警示标志</w:t>
      </w:r>
      <w:r>
        <w:rPr>
          <w:rFonts w:hint="eastAsia" w:ascii="MS UI Gothic" w:eastAsia="MS UI Gothic"/>
          <w:w w:val="80"/>
        </w:rPr>
        <w:t>ꎮ</w:t>
      </w:r>
    </w:p>
    <w:p>
      <w:pPr>
        <w:pStyle w:val="6"/>
        <w:spacing w:line="295" w:lineRule="auto"/>
        <w:ind w:right="442"/>
        <w:rPr>
          <w:rFonts w:hint="eastAsia" w:ascii="MS UI Gothic" w:eastAsia="MS UI Gothic"/>
        </w:rPr>
      </w:pPr>
      <w:r>
        <w:t>第六十条 煤层气企业进行立</w:t>
      </w:r>
      <w:r>
        <w:rPr>
          <w:rFonts w:hint="eastAsia" w:ascii="MS UI Gothic" w:eastAsia="MS UI Gothic"/>
          <w:w w:val="80"/>
        </w:rPr>
        <w:t xml:space="preserve">、 </w:t>
      </w:r>
      <w:r>
        <w:t>放井架及吊装作业</w:t>
      </w:r>
      <w:r>
        <w:rPr>
          <w:rFonts w:hint="eastAsia" w:ascii="MS UI Gothic" w:eastAsia="MS UI Gothic"/>
          <w:w w:val="80"/>
        </w:rPr>
        <w:t xml:space="preserve">ꎬ </w:t>
      </w:r>
      <w:r>
        <w:t>应当与架空线路保持安全距离</w:t>
      </w:r>
      <w:r>
        <w:rPr>
          <w:rFonts w:hint="eastAsia" w:ascii="MS UI Gothic" w:eastAsia="MS UI Gothic"/>
          <w:w w:val="80"/>
        </w:rPr>
        <w:t xml:space="preserve">ꎬ </w:t>
      </w:r>
      <w:r>
        <w:t>并采取措施防止损害架空线路</w:t>
      </w:r>
      <w:r>
        <w:rPr>
          <w:rFonts w:hint="eastAsia" w:ascii="MS UI Gothic" w:eastAsia="MS UI Gothic"/>
          <w:w w:val="80"/>
        </w:rPr>
        <w:t>ꎮ</w:t>
      </w:r>
    </w:p>
    <w:p>
      <w:pPr>
        <w:pStyle w:val="6"/>
        <w:spacing w:line="295" w:lineRule="auto"/>
        <w:ind w:right="442"/>
        <w:rPr>
          <w:rFonts w:hint="eastAsia" w:ascii="MS UI Gothic" w:eastAsia="MS UI Gothic"/>
        </w:rPr>
      </w:pPr>
      <w:r>
        <w:t xml:space="preserve">第六十一条 井架绷绳安设不少于 </w:t>
      </w:r>
      <w:r>
        <w:rPr>
          <w:rFonts w:hint="eastAsia" w:ascii="MS UI Gothic" w:eastAsia="MS UI Gothic"/>
        </w:rPr>
        <w:t xml:space="preserve">４ </w:t>
      </w:r>
      <w:r>
        <w:t>根</w:t>
      </w:r>
      <w:r>
        <w:rPr>
          <w:rFonts w:hint="eastAsia" w:ascii="MS UI Gothic" w:eastAsia="MS UI Gothic"/>
          <w:w w:val="80"/>
        </w:rPr>
        <w:t xml:space="preserve">ꎬ </w:t>
      </w:r>
      <w:r>
        <w:t>绷绳强度应当与钻机匹配</w:t>
      </w:r>
      <w:r>
        <w:rPr>
          <w:rFonts w:hint="eastAsia" w:ascii="MS UI Gothic" w:eastAsia="MS UI Gothic"/>
          <w:w w:val="80"/>
        </w:rPr>
        <w:t xml:space="preserve">ꎬ </w:t>
      </w:r>
      <w:r>
        <w:t>地锚牢固可靠</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第六十二条 钻机水龙头和高压水龙带应当设有保险绳</w:t>
      </w:r>
      <w:r>
        <w:rPr>
          <w:rFonts w:hint="eastAsia" w:ascii="MS UI Gothic" w:eastAsia="MS UI Gothic"/>
          <w:w w:val="80"/>
        </w:rPr>
        <w:t>ꎮ</w:t>
      </w:r>
    </w:p>
    <w:p>
      <w:pPr>
        <w:pStyle w:val="6"/>
        <w:spacing w:line="295" w:lineRule="auto"/>
        <w:ind w:left="118" w:right="442" w:firstLine="425"/>
        <w:rPr>
          <w:rFonts w:hint="eastAsia" w:ascii="MS UI Gothic" w:eastAsia="MS UI Gothic"/>
        </w:rPr>
      </w:pPr>
      <w:r>
        <w:t>第六十三条  钻台地板铺设应当平整</w:t>
      </w:r>
      <w:r>
        <w:rPr>
          <w:rFonts w:hint="eastAsia" w:ascii="MS UI Gothic" w:eastAsia="MS UI Gothic"/>
        </w:rPr>
        <w:t xml:space="preserve">、 </w:t>
      </w:r>
      <w:r>
        <w:t>紧密</w:t>
      </w:r>
      <w:r>
        <w:rPr>
          <w:rFonts w:hint="eastAsia" w:ascii="MS UI Gothic" w:eastAsia="MS UI Gothic"/>
        </w:rPr>
        <w:t xml:space="preserve">、 </w:t>
      </w:r>
      <w:r>
        <w:t>牢固</w:t>
      </w:r>
      <w:r>
        <w:rPr>
          <w:rFonts w:hint="eastAsia" w:ascii="MS UI Gothic" w:eastAsia="MS UI Gothic"/>
          <w:w w:val="85"/>
        </w:rPr>
        <w:t xml:space="preserve">ꎮ </w:t>
      </w:r>
      <w:r>
        <w:t xml:space="preserve">井架 </w:t>
      </w:r>
      <w:r>
        <w:rPr>
          <w:rFonts w:hint="eastAsia" w:ascii="MS UI Gothic" w:eastAsia="MS UI Gothic"/>
        </w:rPr>
        <w:t xml:space="preserve">２ </w:t>
      </w:r>
      <w:r>
        <w:t>层以上平台应当安装可靠防护栏杆</w:t>
      </w:r>
      <w:r>
        <w:rPr>
          <w:rFonts w:hint="eastAsia" w:ascii="MS UI Gothic" w:eastAsia="MS UI Gothic"/>
          <w:w w:val="85"/>
        </w:rPr>
        <w:t xml:space="preserve">ꎬ </w:t>
      </w:r>
      <w:r>
        <w:t>防护栏高度应当大于</w:t>
      </w:r>
      <w:r>
        <w:rPr>
          <w:rFonts w:hint="eastAsia" w:ascii="MS UI Gothic" w:eastAsia="MS UI Gothic"/>
        </w:rPr>
        <w:t xml:space="preserve">１ ２ </w:t>
      </w:r>
      <w:r>
        <w:t>米</w:t>
      </w:r>
      <w:r>
        <w:rPr>
          <w:rFonts w:hint="eastAsia" w:ascii="MS UI Gothic" w:eastAsia="MS UI Gothic"/>
          <w:w w:val="85"/>
        </w:rPr>
        <w:t xml:space="preserve">ꎬ </w:t>
      </w:r>
      <w:r>
        <w:t>采用防滑钢板</w:t>
      </w:r>
      <w:r>
        <w:rPr>
          <w:rFonts w:hint="eastAsia" w:ascii="MS UI Gothic" w:eastAsia="MS UI Gothic"/>
          <w:w w:val="85"/>
        </w:rPr>
        <w:t>ꎮ</w:t>
      </w:r>
    </w:p>
    <w:p>
      <w:pPr>
        <w:pStyle w:val="6"/>
        <w:spacing w:line="295" w:lineRule="auto"/>
        <w:ind w:right="442"/>
        <w:rPr>
          <w:rFonts w:hint="eastAsia" w:ascii="MS UI Gothic" w:eastAsia="MS UI Gothic"/>
        </w:rPr>
      </w:pPr>
      <w:r>
        <w:t>活动工作台应当安装制动</w:t>
      </w:r>
      <w:r>
        <w:rPr>
          <w:rFonts w:hint="eastAsia" w:ascii="MS UI Gothic" w:eastAsia="MS UI Gothic"/>
          <w:w w:val="80"/>
        </w:rPr>
        <w:t xml:space="preserve">、 </w:t>
      </w:r>
      <w:r>
        <w:t>防坠</w:t>
      </w:r>
      <w:r>
        <w:rPr>
          <w:rFonts w:hint="eastAsia" w:ascii="MS UI Gothic" w:eastAsia="MS UI Gothic"/>
          <w:w w:val="80"/>
        </w:rPr>
        <w:t xml:space="preserve">、 </w:t>
      </w:r>
      <w:r>
        <w:t>防窜</w:t>
      </w:r>
      <w:r>
        <w:rPr>
          <w:rFonts w:hint="eastAsia" w:ascii="MS UI Gothic" w:eastAsia="MS UI Gothic"/>
          <w:w w:val="80"/>
        </w:rPr>
        <w:t xml:space="preserve">、 </w:t>
      </w:r>
      <w:r>
        <w:t>行程限制</w:t>
      </w:r>
      <w:r>
        <w:rPr>
          <w:rFonts w:hint="eastAsia" w:ascii="MS UI Gothic" w:eastAsia="MS UI Gothic"/>
          <w:w w:val="80"/>
        </w:rPr>
        <w:t xml:space="preserve">、 </w:t>
      </w:r>
      <w:r>
        <w:t>安全挂钩</w:t>
      </w:r>
      <w:r>
        <w:rPr>
          <w:rFonts w:hint="eastAsia" w:ascii="MS UI Gothic" w:eastAsia="MS UI Gothic"/>
          <w:w w:val="80"/>
        </w:rPr>
        <w:t xml:space="preserve">、 </w:t>
      </w:r>
      <w:r>
        <w:t>手动定位器等安全装置</w:t>
      </w:r>
      <w:r>
        <w:rPr>
          <w:rFonts w:hint="eastAsia" w:ascii="MS UI Gothic" w:eastAsia="MS UI Gothic"/>
          <w:w w:val="80"/>
        </w:rPr>
        <w:t>ꎮ</w:t>
      </w:r>
    </w:p>
    <w:p>
      <w:pPr>
        <w:pStyle w:val="6"/>
        <w:spacing w:line="295" w:lineRule="auto"/>
        <w:ind w:right="442"/>
        <w:rPr>
          <w:rFonts w:hint="eastAsia" w:ascii="MS UI Gothic" w:eastAsia="MS UI Gothic"/>
        </w:rPr>
      </w:pPr>
      <w:r>
        <w:t xml:space="preserve">第六十四条 钻机钢丝绳安全系数应当大于 </w:t>
      </w:r>
      <w:r>
        <w:rPr>
          <w:rFonts w:hint="eastAsia" w:ascii="MS UI Gothic" w:eastAsia="MS UI Gothic"/>
          <w:w w:val="80"/>
        </w:rPr>
        <w:t xml:space="preserve">７ꎻ </w:t>
      </w:r>
      <w:r>
        <w:t>吊卡处于井口时</w:t>
      </w:r>
      <w:r>
        <w:rPr>
          <w:rFonts w:hint="eastAsia" w:ascii="MS UI Gothic" w:eastAsia="MS UI Gothic"/>
          <w:w w:val="80"/>
        </w:rPr>
        <w:t xml:space="preserve">ꎬ </w:t>
      </w:r>
      <w:r>
        <w:t xml:space="preserve">绞车滚筒钢丝绳圈数不少于 </w:t>
      </w:r>
      <w:r>
        <w:rPr>
          <w:rFonts w:hint="eastAsia" w:ascii="MS UI Gothic" w:eastAsia="MS UI Gothic"/>
          <w:w w:val="80"/>
        </w:rPr>
        <w:t xml:space="preserve">７ </w:t>
      </w:r>
      <w:r>
        <w:t>圈</w:t>
      </w:r>
      <w:r>
        <w:rPr>
          <w:rFonts w:hint="eastAsia" w:ascii="MS UI Gothic" w:eastAsia="MS UI Gothic"/>
          <w:w w:val="80"/>
        </w:rPr>
        <w:t xml:space="preserve">ꎻ </w:t>
      </w:r>
      <w:r>
        <w:t xml:space="preserve">钢丝绳固定连接绳卡应当不少于 </w:t>
      </w:r>
      <w:r>
        <w:rPr>
          <w:rFonts w:hint="eastAsia" w:ascii="MS UI Gothic" w:eastAsia="MS UI Gothic"/>
          <w:w w:val="80"/>
        </w:rPr>
        <w:t xml:space="preserve">３ </w:t>
      </w:r>
      <w:r>
        <w:t>个</w:t>
      </w:r>
      <w:r>
        <w:rPr>
          <w:rFonts w:hint="eastAsia" w:ascii="MS UI Gothic" w:eastAsia="MS UI Gothic"/>
          <w:w w:val="80"/>
        </w:rPr>
        <w:t>ꎮ</w:t>
      </w:r>
    </w:p>
    <w:p>
      <w:pPr>
        <w:pStyle w:val="6"/>
        <w:spacing w:line="295" w:lineRule="auto"/>
        <w:ind w:right="442"/>
        <w:rPr>
          <w:rFonts w:hint="eastAsia" w:ascii="MS UI Gothic" w:eastAsia="MS UI Gothic"/>
        </w:rPr>
      </w:pPr>
      <w:r>
        <w:t>第六十五条 发电机应当配备超载保护装置</w:t>
      </w:r>
      <w:r>
        <w:rPr>
          <w:rFonts w:hint="eastAsia" w:ascii="MS UI Gothic" w:eastAsia="MS UI Gothic"/>
          <w:w w:val="80"/>
        </w:rPr>
        <w:t xml:space="preserve">ꎮ </w:t>
      </w:r>
      <w:r>
        <w:t>电动机应当配备短路</w:t>
      </w:r>
      <w:r>
        <w:rPr>
          <w:rFonts w:hint="eastAsia" w:ascii="MS UI Gothic" w:eastAsia="MS UI Gothic"/>
          <w:w w:val="80"/>
        </w:rPr>
        <w:t xml:space="preserve">、 </w:t>
      </w:r>
      <w:r>
        <w:t>过载保护装置</w:t>
      </w:r>
      <w:r>
        <w:rPr>
          <w:rFonts w:hint="eastAsia" w:ascii="MS UI Gothic" w:eastAsia="MS UI Gothic"/>
          <w:w w:val="80"/>
        </w:rPr>
        <w:t>ꎮ</w:t>
      </w:r>
    </w:p>
    <w:p>
      <w:pPr>
        <w:pStyle w:val="6"/>
        <w:spacing w:line="295" w:lineRule="auto"/>
        <w:ind w:right="442"/>
        <w:rPr>
          <w:rFonts w:hint="eastAsia" w:ascii="MS UI Gothic" w:eastAsia="MS UI Gothic"/>
        </w:rPr>
      </w:pPr>
      <w:r>
        <w:t>第六十六条 柴油机排气管应当无破损</w:t>
      </w:r>
      <w:r>
        <w:rPr>
          <w:rFonts w:hint="eastAsia" w:ascii="MS UI Gothic" w:eastAsia="MS UI Gothic"/>
        </w:rPr>
        <w:t xml:space="preserve">、 </w:t>
      </w:r>
      <w:r>
        <w:t>无积炭</w:t>
      </w:r>
      <w:r>
        <w:rPr>
          <w:rFonts w:hint="eastAsia" w:ascii="MS UI Gothic" w:eastAsia="MS UI Gothic"/>
          <w:w w:val="80"/>
        </w:rPr>
        <w:t xml:space="preserve">ꎬ </w:t>
      </w:r>
      <w:r>
        <w:t>其出口不得指向循环罐</w:t>
      </w:r>
      <w:r>
        <w:rPr>
          <w:rFonts w:hint="eastAsia" w:ascii="MS UI Gothic" w:eastAsia="MS UI Gothic"/>
          <w:w w:val="80"/>
        </w:rPr>
        <w:t xml:space="preserve">ꎬ </w:t>
      </w:r>
      <w:r>
        <w:t>不得指向油罐区</w:t>
      </w:r>
      <w:r>
        <w:rPr>
          <w:rFonts w:hint="eastAsia" w:ascii="MS UI Gothic" w:eastAsia="MS UI Gothic"/>
          <w:w w:val="80"/>
        </w:rPr>
        <w:t xml:space="preserve">ꎮ </w:t>
      </w:r>
      <w:r>
        <w:t>井场油罐阀门应当无渗漏</w:t>
      </w:r>
      <w:r>
        <w:rPr>
          <w:rFonts w:hint="eastAsia" w:ascii="MS UI Gothic" w:eastAsia="MS UI Gothic"/>
          <w:w w:val="80"/>
        </w:rPr>
        <w:t xml:space="preserve">ꎬ </w:t>
      </w:r>
      <w:r>
        <w:t>罐口封闭上锁</w:t>
      </w:r>
      <w:r>
        <w:rPr>
          <w:rFonts w:hint="eastAsia" w:ascii="MS UI Gothic" w:eastAsia="MS UI Gothic"/>
          <w:w w:val="80"/>
        </w:rPr>
        <w:t xml:space="preserve">ꎬ </w:t>
      </w:r>
      <w:r>
        <w:t>并有专人管理</w:t>
      </w:r>
      <w:r>
        <w:rPr>
          <w:rFonts w:hint="eastAsia" w:ascii="MS UI Gothic" w:eastAsia="MS UI Gothic"/>
          <w:w w:val="80"/>
        </w:rPr>
        <w:t>ꎮ</w:t>
      </w:r>
    </w:p>
    <w:p>
      <w:pPr>
        <w:pStyle w:val="6"/>
        <w:tabs>
          <w:tab w:val="left" w:pos="1801"/>
        </w:tabs>
        <w:spacing w:line="253" w:lineRule="exact"/>
        <w:ind w:left="543" w:firstLine="0"/>
        <w:jc w:val="left"/>
      </w:pPr>
      <w:r>
        <w:rPr>
          <w:spacing w:val="3"/>
          <w:w w:val="105"/>
        </w:rPr>
        <w:t>第六十七</w:t>
      </w:r>
      <w:r>
        <w:rPr>
          <w:w w:val="105"/>
        </w:rPr>
        <w:t>条</w:t>
      </w:r>
      <w:r>
        <w:rPr>
          <w:w w:val="105"/>
        </w:rPr>
        <w:tab/>
      </w:r>
      <w:r>
        <w:rPr>
          <w:spacing w:val="3"/>
          <w:w w:val="105"/>
        </w:rPr>
        <w:t>井场电气设备应当设</w:t>
      </w:r>
      <w:r>
        <w:rPr>
          <w:w w:val="105"/>
        </w:rPr>
        <w:t>保</w:t>
      </w:r>
    </w:p>
    <w:p>
      <w:pPr>
        <w:spacing w:after="0" w:line="253"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３５９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089" o:spid="_x0000_s2089" o:spt="203" style="height:2.15pt;width:398.25pt;" coordsize="7965,43">
            <o:lock v:ext="edit"/>
            <v:line id="_x0000_s2090" o:spid="_x0000_s2090" o:spt="20" style="position:absolute;left:0;top:39;height:0;width:7965;" stroked="t" coordsize="21600,21600">
              <v:path arrowok="t"/>
              <v:fill focussize="0,0"/>
              <v:stroke weight="0.388031496062992pt" color="#231F20"/>
              <v:imagedata o:title=""/>
              <o:lock v:ext="edit"/>
            </v:line>
            <v:line id="_x0000_s2091" o:spid="_x0000_s209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护接零或者保护接地</w:t>
      </w:r>
      <w:r>
        <w:rPr>
          <w:rFonts w:hint="eastAsia" w:ascii="MS UI Gothic" w:eastAsia="MS UI Gothic"/>
          <w:w w:val="80"/>
        </w:rPr>
        <w:t xml:space="preserve">ꎬ </w:t>
      </w:r>
      <w:r>
        <w:t xml:space="preserve">保护接地电阻应当小于 </w:t>
      </w:r>
      <w:r>
        <w:rPr>
          <w:rFonts w:hint="eastAsia" w:ascii="MS UI Gothic" w:eastAsia="MS UI Gothic"/>
        </w:rPr>
        <w:t xml:space="preserve">４ </w:t>
      </w:r>
      <w:r>
        <w:t>欧姆</w:t>
      </w:r>
      <w:r>
        <w:rPr>
          <w:rFonts w:hint="eastAsia" w:ascii="MS UI Gothic" w:eastAsia="MS UI Gothic"/>
          <w:w w:val="80"/>
        </w:rPr>
        <w:t>ꎮ</w:t>
      </w:r>
    </w:p>
    <w:p>
      <w:pPr>
        <w:pStyle w:val="6"/>
        <w:spacing w:line="295" w:lineRule="auto"/>
        <w:ind w:left="440" w:right="1"/>
        <w:rPr>
          <w:rFonts w:hint="eastAsia" w:ascii="MS UI Gothic" w:eastAsia="MS UI Gothic"/>
        </w:rPr>
      </w:pPr>
      <w:r>
        <w:t>第六十八条 井场电力线路应当采用电缆</w:t>
      </w:r>
      <w:r>
        <w:rPr>
          <w:rFonts w:hint="eastAsia" w:ascii="MS UI Gothic" w:eastAsia="MS UI Gothic"/>
          <w:w w:val="80"/>
        </w:rPr>
        <w:t xml:space="preserve">ꎬ </w:t>
      </w:r>
      <w:r>
        <w:t>并架空架设</w:t>
      </w:r>
      <w:r>
        <w:rPr>
          <w:rFonts w:hint="eastAsia" w:ascii="MS UI Gothic" w:eastAsia="MS UI Gothic"/>
          <w:w w:val="80"/>
        </w:rPr>
        <w:t xml:space="preserve">ꎻ </w:t>
      </w:r>
      <w:r>
        <w:t>经过通道</w:t>
      </w:r>
      <w:r>
        <w:rPr>
          <w:rFonts w:hint="eastAsia" w:ascii="MS UI Gothic" w:eastAsia="MS UI Gothic"/>
          <w:w w:val="80"/>
        </w:rPr>
        <w:t xml:space="preserve">、 </w:t>
      </w:r>
      <w:r>
        <w:t>设备处应当增加防护套</w:t>
      </w:r>
      <w:r>
        <w:rPr>
          <w:rFonts w:hint="eastAsia" w:ascii="MS UI Gothic" w:eastAsia="MS UI Gothic"/>
          <w:w w:val="80"/>
        </w:rPr>
        <w:t xml:space="preserve">ꎮ </w:t>
      </w:r>
      <w:r>
        <w:t>井场电器安装技术要求参照国家对井场电气安装技术的要求执行</w:t>
      </w:r>
      <w:r>
        <w:rPr>
          <w:rFonts w:hint="eastAsia" w:ascii="MS UI Gothic" w:eastAsia="MS UI Gothic"/>
          <w:w w:val="80"/>
        </w:rPr>
        <w:t>ꎮ</w:t>
      </w:r>
    </w:p>
    <w:p>
      <w:pPr>
        <w:pStyle w:val="6"/>
        <w:spacing w:line="295" w:lineRule="auto"/>
        <w:ind w:left="440" w:right="1"/>
        <w:rPr>
          <w:rFonts w:hint="eastAsia" w:ascii="MS UI Gothic" w:eastAsia="MS UI Gothic"/>
        </w:rPr>
      </w:pPr>
      <w:r>
        <w:t>第六十九条 煤层气企业安装</w:t>
      </w:r>
      <w:r>
        <w:rPr>
          <w:rFonts w:hint="eastAsia" w:ascii="MS UI Gothic" w:eastAsia="MS UI Gothic"/>
          <w:w w:val="80"/>
        </w:rPr>
        <w:t xml:space="preserve">、 </w:t>
      </w:r>
      <w:r>
        <w:t>拆卸井架时</w:t>
      </w:r>
      <w:r>
        <w:rPr>
          <w:rFonts w:hint="eastAsia" w:ascii="MS UI Gothic" w:eastAsia="MS UI Gothic"/>
          <w:w w:val="80"/>
        </w:rPr>
        <w:t xml:space="preserve">ꎬ </w:t>
      </w:r>
      <w:r>
        <w:t>井架上下不得同时作业</w:t>
      </w:r>
      <w:r>
        <w:rPr>
          <w:rFonts w:hint="eastAsia" w:ascii="MS UI Gothic" w:eastAsia="MS UI Gothic"/>
          <w:w w:val="80"/>
        </w:rPr>
        <w:t>ꎮ</w:t>
      </w:r>
    </w:p>
    <w:p>
      <w:pPr>
        <w:pStyle w:val="6"/>
        <w:spacing w:line="295" w:lineRule="auto"/>
        <w:ind w:left="440" w:right="1"/>
        <w:rPr>
          <w:rFonts w:hint="eastAsia" w:ascii="MS UI Gothic" w:eastAsia="MS UI Gothic"/>
        </w:rPr>
      </w:pPr>
      <w:r>
        <w:t>第七十条 施工现场应当有可靠的通信联络</w:t>
      </w:r>
      <w:r>
        <w:rPr>
          <w:rFonts w:hint="eastAsia" w:ascii="MS UI Gothic" w:eastAsia="MS UI Gothic"/>
          <w:w w:val="85"/>
        </w:rPr>
        <w:t xml:space="preserve">ꎬ </w:t>
      </w:r>
      <w:r>
        <w:t xml:space="preserve">并保持 </w:t>
      </w:r>
      <w:r>
        <w:rPr>
          <w:rFonts w:hint="eastAsia" w:ascii="MS UI Gothic" w:eastAsia="MS UI Gothic"/>
          <w:w w:val="85"/>
        </w:rPr>
        <w:t xml:space="preserve">２４ </w:t>
      </w:r>
      <w:r>
        <w:t>小时畅通</w:t>
      </w:r>
      <w:r>
        <w:rPr>
          <w:rFonts w:hint="eastAsia" w:ascii="MS UI Gothic" w:eastAsia="MS UI Gothic"/>
          <w:w w:val="85"/>
        </w:rPr>
        <w:t>ꎮ</w:t>
      </w:r>
    </w:p>
    <w:p>
      <w:pPr>
        <w:pStyle w:val="6"/>
        <w:spacing w:line="295" w:lineRule="auto"/>
        <w:ind w:left="440" w:right="1"/>
        <w:rPr>
          <w:rFonts w:hint="eastAsia" w:ascii="MS UI Gothic" w:eastAsia="MS UI Gothic"/>
        </w:rPr>
      </w:pPr>
      <w:r>
        <w:t>第七十一条 煤层气企业安装井控装置时</w:t>
      </w:r>
      <w:r>
        <w:rPr>
          <w:rFonts w:hint="eastAsia" w:ascii="MS UI Gothic" w:eastAsia="MS UI Gothic"/>
          <w:w w:val="80"/>
        </w:rPr>
        <w:t xml:space="preserve">ꎬ </w:t>
      </w:r>
      <w:r>
        <w:t>放喷管线的布局应当考虑当地季节风向</w:t>
      </w:r>
      <w:r>
        <w:rPr>
          <w:rFonts w:hint="eastAsia" w:ascii="MS UI Gothic" w:eastAsia="MS UI Gothic"/>
          <w:w w:val="80"/>
        </w:rPr>
        <w:t xml:space="preserve">、 </w:t>
      </w:r>
      <w:r>
        <w:t>居民区</w:t>
      </w:r>
      <w:r>
        <w:rPr>
          <w:rFonts w:hint="eastAsia" w:ascii="MS UI Gothic" w:eastAsia="MS UI Gothic"/>
          <w:w w:val="80"/>
        </w:rPr>
        <w:t xml:space="preserve">、 </w:t>
      </w:r>
      <w:r>
        <w:t>道路</w:t>
      </w:r>
      <w:r>
        <w:rPr>
          <w:rFonts w:hint="eastAsia" w:ascii="MS UI Gothic" w:eastAsia="MS UI Gothic"/>
          <w:w w:val="80"/>
        </w:rPr>
        <w:t xml:space="preserve">、 </w:t>
      </w:r>
      <w:r>
        <w:t>油罐区</w:t>
      </w:r>
      <w:r>
        <w:rPr>
          <w:rFonts w:hint="eastAsia" w:ascii="MS UI Gothic" w:eastAsia="MS UI Gothic"/>
          <w:w w:val="80"/>
        </w:rPr>
        <w:t xml:space="preserve">、  </w:t>
      </w:r>
      <w:r>
        <w:t>电力线及各种设施等情况</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第七十二条 钻进施工应当符合下列</w:t>
      </w:r>
      <w:r>
        <w:rPr>
          <w:w w:val="115"/>
        </w:rPr>
        <w:t>要求</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符合国家标准</w:t>
      </w:r>
      <w:r>
        <w:rPr>
          <w:rFonts w:hint="eastAsia" w:ascii="MS UI Gothic" w:eastAsia="MS UI Gothic"/>
          <w:w w:val="80"/>
        </w:rPr>
        <w:t xml:space="preserve">、 </w:t>
      </w:r>
      <w:r>
        <w:rPr>
          <w:w w:val="105"/>
        </w:rPr>
        <w:t>行业标准有关常规钻进安全技术的要求</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一开</w:t>
      </w:r>
      <w:r>
        <w:rPr>
          <w:rFonts w:hint="eastAsia" w:ascii="MS UI Gothic" w:eastAsia="MS UI Gothic"/>
          <w:w w:val="80"/>
        </w:rPr>
        <w:t xml:space="preserve">、 </w:t>
      </w:r>
      <w:r>
        <w:rPr>
          <w:w w:val="105"/>
        </w:rPr>
        <w:t>二开</w:t>
      </w:r>
      <w:r>
        <w:rPr>
          <w:rFonts w:hint="eastAsia" w:ascii="MS UI Gothic" w:eastAsia="MS UI Gothic"/>
          <w:w w:val="80"/>
        </w:rPr>
        <w:t xml:space="preserve">、 </w:t>
      </w:r>
      <w:r>
        <w:rPr>
          <w:w w:val="105"/>
        </w:rPr>
        <w:t>钻目标煤层前等</w:t>
      </w:r>
      <w:r>
        <w:t>重要工序</w:t>
      </w:r>
      <w:r>
        <w:rPr>
          <w:rFonts w:hint="eastAsia" w:ascii="MS UI Gothic" w:eastAsia="MS UI Gothic"/>
          <w:w w:val="80"/>
        </w:rPr>
        <w:t xml:space="preserve">ꎬ </w:t>
      </w:r>
      <w:r>
        <w:t>由钻井监理进行全面的安全检</w:t>
      </w:r>
      <w:r>
        <w:rPr>
          <w:w w:val="105"/>
        </w:rPr>
        <w:t>查</w:t>
      </w:r>
      <w:r>
        <w:rPr>
          <w:rFonts w:hint="eastAsia" w:ascii="MS UI Gothic" w:eastAsia="MS UI Gothic"/>
          <w:w w:val="80"/>
        </w:rPr>
        <w:t xml:space="preserve">ꎬ </w:t>
      </w:r>
      <w:r>
        <w:rPr>
          <w:w w:val="105"/>
        </w:rPr>
        <w:t>经验收合格后方可作业</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钻井队按照规定程序和操作规</w:t>
      </w:r>
      <w:r>
        <w:t>程进行操作</w:t>
      </w:r>
      <w:r>
        <w:rPr>
          <w:rFonts w:hint="eastAsia" w:ascii="MS UI Gothic" w:eastAsia="MS UI Gothic"/>
          <w:w w:val="80"/>
        </w:rPr>
        <w:t xml:space="preserve">ꎬ </w:t>
      </w:r>
      <w:r>
        <w:t>执行钻井作业设计中有关防</w:t>
      </w:r>
      <w:r>
        <w:rPr>
          <w:w w:val="105"/>
        </w:rPr>
        <w:t>火防爆的安全技术要求</w:t>
      </w:r>
      <w:r>
        <w:rPr>
          <w:rFonts w:hint="eastAsia" w:ascii="MS UI Gothic" w:eastAsia="MS UI Gothic"/>
          <w:w w:val="80"/>
        </w:rPr>
        <w:t>ꎻ</w:t>
      </w:r>
    </w:p>
    <w:p>
      <w:pPr>
        <w:pStyle w:val="6"/>
        <w:spacing w:line="254" w:lineRule="exact"/>
        <w:ind w:left="860"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选择适当的钻井液</w:t>
      </w:r>
      <w:r>
        <w:rPr>
          <w:rFonts w:hint="eastAsia" w:ascii="MS UI Gothic" w:eastAsia="MS UI Gothic"/>
          <w:w w:val="80"/>
        </w:rPr>
        <w:t>ꎻ</w:t>
      </w:r>
    </w:p>
    <w:p>
      <w:pPr>
        <w:pStyle w:val="6"/>
        <w:spacing w:before="41" w:line="295" w:lineRule="auto"/>
        <w:ind w:lef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钻进施工中如出现异常情况</w:t>
      </w:r>
      <w:r>
        <w:rPr>
          <w:rFonts w:hint="eastAsia" w:ascii="MS UI Gothic" w:eastAsia="MS UI Gothic"/>
          <w:w w:val="80"/>
        </w:rPr>
        <w:t>ꎬ</w:t>
      </w:r>
      <w:r>
        <w:t>及时采取应急措施</w:t>
      </w:r>
      <w:r>
        <w:rPr>
          <w:rFonts w:hint="eastAsia" w:ascii="MS UI Gothic" w:eastAsia="MS UI Gothic"/>
          <w:w w:val="80"/>
        </w:rPr>
        <w:t xml:space="preserve">ꎬ </w:t>
      </w:r>
      <w:r>
        <w:t>立即启动应急预案</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第七十三条 下套管作业应当符合下</w:t>
      </w:r>
      <w:r>
        <w:rPr>
          <w:w w:val="115"/>
        </w:rPr>
        <w:t>列要求</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吊套管上钻台</w:t>
      </w:r>
      <w:r>
        <w:rPr>
          <w:rFonts w:hint="eastAsia" w:ascii="MS UI Gothic" w:eastAsia="MS UI Gothic"/>
          <w:w w:val="80"/>
        </w:rPr>
        <w:t xml:space="preserve">ꎬ </w:t>
      </w:r>
      <w:r>
        <w:rPr>
          <w:w w:val="105"/>
        </w:rPr>
        <w:t>使用适当的钢丝绳</w:t>
      </w:r>
      <w:r>
        <w:rPr>
          <w:rFonts w:hint="eastAsia" w:ascii="MS UI Gothic" w:eastAsia="MS UI Gothic"/>
          <w:w w:val="80"/>
        </w:rPr>
        <w:t xml:space="preserve">ꎬ </w:t>
      </w:r>
      <w:r>
        <w:rPr>
          <w:w w:val="105"/>
        </w:rPr>
        <w:t>不得使用棕绳</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套管上扣时推荐使用套管动力</w:t>
      </w:r>
      <w:r>
        <w:t>钳</w:t>
      </w:r>
      <w:r>
        <w:rPr>
          <w:rFonts w:hint="eastAsia" w:ascii="MS UI Gothic" w:eastAsia="MS UI Gothic"/>
          <w:w w:val="80"/>
        </w:rPr>
        <w:t xml:space="preserve">ꎬ </w:t>
      </w:r>
      <w:r>
        <w:t>下放套管时密切观察指重表读数变化</w:t>
      </w:r>
      <w:r>
        <w:rPr>
          <w:w w:val="105"/>
        </w:rPr>
        <w:t>并按程序操作</w:t>
      </w:r>
      <w:r>
        <w:rPr>
          <w:rFonts w:hint="eastAsia" w:ascii="MS UI Gothic" w:eastAsia="MS UI Gothic"/>
          <w:w w:val="80"/>
        </w:rPr>
        <w:t xml:space="preserve">ꎬ </w:t>
      </w:r>
      <w:r>
        <w:rPr>
          <w:w w:val="105"/>
        </w:rPr>
        <w:t>发现异常及时处理</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套管串总重量不得大于钻机或</w:t>
      </w:r>
      <w:r>
        <w:t>者井架的提升能力</w:t>
      </w:r>
      <w:r>
        <w:rPr>
          <w:rFonts w:hint="eastAsia" w:ascii="MS UI Gothic" w:eastAsia="MS UI Gothic"/>
          <w:w w:val="80"/>
        </w:rPr>
        <w:t xml:space="preserve">ꎬ </w:t>
      </w:r>
      <w:r>
        <w:t>否则需采取相应的减重措施</w:t>
      </w:r>
      <w:r>
        <w:rPr>
          <w:rFonts w:hint="eastAsia" w:ascii="MS UI Gothic" w:eastAsia="MS UI Gothic"/>
          <w:w w:val="80"/>
        </w:rPr>
        <w:t xml:space="preserve">ꎮ </w:t>
      </w:r>
      <w:r>
        <w:t>套管下放时</w:t>
      </w:r>
      <w:r>
        <w:rPr>
          <w:rFonts w:hint="eastAsia" w:ascii="MS UI Gothic" w:eastAsia="MS UI Gothic"/>
          <w:w w:val="80"/>
        </w:rPr>
        <w:t xml:space="preserve">ꎬ </w:t>
      </w:r>
      <w:r>
        <w:t>需边下放边灌注钻</w:t>
      </w:r>
      <w:r>
        <w:rPr>
          <w:w w:val="105"/>
        </w:rPr>
        <w:t>井液</w:t>
      </w:r>
      <w:r>
        <w:rPr>
          <w:rFonts w:hint="eastAsia" w:ascii="MS UI Gothic" w:eastAsia="MS UI Gothic"/>
          <w:w w:val="80"/>
        </w:rPr>
        <w:t xml:space="preserve">ꎬ </w:t>
      </w:r>
      <w:r>
        <w:rPr>
          <w:w w:val="105"/>
        </w:rPr>
        <w:t>以免将浮鞋</w:t>
      </w:r>
      <w:r>
        <w:rPr>
          <w:rFonts w:hint="eastAsia" w:ascii="MS UI Gothic" w:eastAsia="MS UI Gothic"/>
          <w:w w:val="80"/>
        </w:rPr>
        <w:t xml:space="preserve">、 </w:t>
      </w:r>
      <w:r>
        <w:rPr>
          <w:w w:val="105"/>
        </w:rPr>
        <w:t>浮箍压坏</w:t>
      </w:r>
      <w:r>
        <w:rPr>
          <w:rFonts w:hint="eastAsia" w:ascii="MS UI Gothic" w:eastAsia="MS UI Gothic"/>
          <w:w w:val="80"/>
        </w:rPr>
        <w:t>ꎮ</w:t>
      </w:r>
    </w:p>
    <w:p>
      <w:pPr>
        <w:pStyle w:val="6"/>
        <w:spacing w:line="253" w:lineRule="exact"/>
        <w:ind w:left="860" w:firstLine="0"/>
      </w:pPr>
      <w:r>
        <w:rPr>
          <w:w w:val="105"/>
        </w:rPr>
        <w:t>第七十四条 固井作业应当符合下列</w:t>
      </w:r>
    </w:p>
    <w:p>
      <w:pPr>
        <w:spacing w:before="124"/>
        <w:ind w:left="381" w:right="0" w:firstLine="0"/>
        <w:jc w:val="left"/>
        <w:rPr>
          <w:rFonts w:hint="eastAsia" w:ascii="MS UI Gothic" w:eastAsia="MS UI Gothic"/>
          <w:sz w:val="20"/>
        </w:rPr>
      </w:pPr>
      <w:r>
        <w:br w:type="column"/>
      </w:r>
      <w:r>
        <w:rPr>
          <w:w w:val="115"/>
          <w:sz w:val="20"/>
        </w:rPr>
        <w:t>要求</w:t>
      </w:r>
      <w:r>
        <w:rPr>
          <w:rFonts w:hint="eastAsia" w:ascii="MS UI Gothic" w:eastAsia="MS UI Gothic"/>
          <w:w w:val="235"/>
          <w:sz w:val="20"/>
        </w:rPr>
        <w:t>:</w:t>
      </w:r>
    </w:p>
    <w:p>
      <w:pPr>
        <w:pStyle w:val="6"/>
        <w:spacing w:before="58"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摆车时设专人指挥</w:t>
      </w:r>
      <w:r>
        <w:rPr>
          <w:rFonts w:hint="eastAsia" w:ascii="MS UI Gothic" w:eastAsia="MS UI Gothic"/>
          <w:w w:val="80"/>
        </w:rPr>
        <w:t xml:space="preserve">ꎬ </w:t>
      </w:r>
      <w:r>
        <w:rPr>
          <w:w w:val="105"/>
        </w:rPr>
        <w:t>下完套管需先灌满套管</w:t>
      </w:r>
      <w:r>
        <w:rPr>
          <w:rFonts w:hint="eastAsia" w:ascii="MS UI Gothic" w:eastAsia="MS UI Gothic"/>
          <w:w w:val="80"/>
        </w:rPr>
        <w:t xml:space="preserve">ꎬ </w:t>
      </w:r>
      <w:r>
        <w:rPr>
          <w:w w:val="105"/>
        </w:rPr>
        <w:t>不得直接开泵洗井</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开泵顶水泥浆时</w:t>
      </w:r>
      <w:r>
        <w:rPr>
          <w:rFonts w:hint="eastAsia" w:ascii="MS UI Gothic" w:eastAsia="MS UI Gothic"/>
          <w:w w:val="80"/>
        </w:rPr>
        <w:t xml:space="preserve">ꎬ </w:t>
      </w:r>
      <w:r>
        <w:rPr>
          <w:w w:val="105"/>
        </w:rPr>
        <w:t>所有人员不得靠近井口</w:t>
      </w:r>
      <w:r>
        <w:rPr>
          <w:rFonts w:hint="eastAsia" w:ascii="MS UI Gothic" w:eastAsia="MS UI Gothic"/>
          <w:w w:val="80"/>
        </w:rPr>
        <w:t xml:space="preserve">、 </w:t>
      </w:r>
      <w:r>
        <w:rPr>
          <w:w w:val="105"/>
        </w:rPr>
        <w:t>泵房</w:t>
      </w:r>
      <w:r>
        <w:rPr>
          <w:rFonts w:hint="eastAsia" w:ascii="MS UI Gothic" w:eastAsia="MS UI Gothic"/>
          <w:w w:val="80"/>
        </w:rPr>
        <w:t xml:space="preserve">、 </w:t>
      </w:r>
      <w:r>
        <w:rPr>
          <w:w w:val="105"/>
        </w:rPr>
        <w:t>高压管汇</w:t>
      </w:r>
      <w:r>
        <w:rPr>
          <w:rFonts w:hint="eastAsia" w:ascii="MS UI Gothic" w:eastAsia="MS UI Gothic"/>
          <w:w w:val="80"/>
        </w:rPr>
        <w:t xml:space="preserve">、 </w:t>
      </w:r>
      <w:r>
        <w:rPr>
          <w:w w:val="105"/>
        </w:rPr>
        <w:t>安全阀及放压管线</w:t>
      </w:r>
      <w:r>
        <w:rPr>
          <w:rFonts w:hint="eastAsia" w:ascii="MS UI Gothic" w:eastAsia="MS UI Gothic"/>
          <w:w w:val="80"/>
        </w:rPr>
        <w:t>ꎮ</w:t>
      </w:r>
    </w:p>
    <w:p>
      <w:pPr>
        <w:pStyle w:val="6"/>
        <w:tabs>
          <w:tab w:val="left" w:pos="2267"/>
          <w:tab w:val="left" w:pos="2896"/>
        </w:tabs>
        <w:spacing w:before="153"/>
        <w:ind w:left="1429" w:firstLine="0"/>
        <w:jc w:val="left"/>
      </w:pPr>
      <w:r>
        <w:rPr>
          <w:spacing w:val="3"/>
          <w:w w:val="105"/>
        </w:rPr>
        <w:t>第六</w:t>
      </w:r>
      <w:r>
        <w:rPr>
          <w:w w:val="105"/>
        </w:rPr>
        <w:t>章</w:t>
      </w:r>
      <w:r>
        <w:rPr>
          <w:w w:val="105"/>
        </w:rPr>
        <w:tab/>
      </w:r>
      <w:r>
        <w:rPr>
          <w:w w:val="105"/>
        </w:rPr>
        <w:t>测</w:t>
      </w:r>
      <w:r>
        <w:rPr>
          <w:w w:val="105"/>
        </w:rPr>
        <w:tab/>
      </w:r>
      <w:r>
        <w:rPr>
          <w:w w:val="105"/>
        </w:rPr>
        <w:t>井</w:t>
      </w:r>
    </w:p>
    <w:p>
      <w:pPr>
        <w:pStyle w:val="6"/>
        <w:spacing w:before="216" w:line="295" w:lineRule="auto"/>
        <w:ind w:left="381" w:right="126"/>
        <w:rPr>
          <w:rFonts w:hint="eastAsia" w:ascii="MS UI Gothic" w:eastAsia="MS UI Gothic"/>
        </w:rPr>
      </w:pPr>
      <w:r>
        <w:t>第七十五条 煤层气企业进行测井施工前</w:t>
      </w:r>
      <w:r>
        <w:rPr>
          <w:rFonts w:hint="eastAsia" w:ascii="MS UI Gothic" w:eastAsia="MS UI Gothic"/>
          <w:w w:val="80"/>
        </w:rPr>
        <w:t xml:space="preserve">ꎬ </w:t>
      </w:r>
      <w:r>
        <w:t>应当召开安全会</w:t>
      </w:r>
      <w:r>
        <w:rPr>
          <w:rFonts w:hint="eastAsia" w:ascii="MS UI Gothic" w:eastAsia="MS UI Gothic"/>
          <w:w w:val="80"/>
        </w:rPr>
        <w:t xml:space="preserve">ꎬ </w:t>
      </w:r>
      <w:r>
        <w:t>提出作业安全要求</w:t>
      </w:r>
      <w:r>
        <w:rPr>
          <w:rFonts w:hint="eastAsia" w:ascii="MS UI Gothic" w:eastAsia="MS UI Gothic"/>
          <w:w w:val="80"/>
        </w:rPr>
        <w:t>ꎮ</w:t>
      </w:r>
    </w:p>
    <w:p>
      <w:pPr>
        <w:pStyle w:val="6"/>
        <w:spacing w:line="295" w:lineRule="auto"/>
        <w:ind w:left="381" w:right="126"/>
        <w:rPr>
          <w:rFonts w:hint="eastAsia" w:ascii="MS UI Gothic" w:eastAsia="MS UI Gothic"/>
        </w:rPr>
      </w:pPr>
      <w:r>
        <w:t>测井施工现场不具备安全生产条件的</w:t>
      </w:r>
      <w:r>
        <w:rPr>
          <w:rFonts w:hint="eastAsia" w:ascii="MS UI Gothic" w:eastAsia="MS UI Gothic"/>
          <w:w w:val="80"/>
        </w:rPr>
        <w:t xml:space="preserve">ꎬ </w:t>
      </w:r>
      <w:r>
        <w:t>不得进行测井作业</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6"/>
        </w:rPr>
        <w:t xml:space="preserve">第七十六条 井场钻台前方 </w:t>
      </w:r>
      <w:r>
        <w:rPr>
          <w:rFonts w:hint="eastAsia" w:ascii="MS UI Gothic" w:eastAsia="MS UI Gothic"/>
          <w:spacing w:val="8"/>
          <w:w w:val="85"/>
        </w:rPr>
        <w:t xml:space="preserve">１０ </w:t>
      </w:r>
      <w:r>
        <w:rPr>
          <w:spacing w:val="5"/>
        </w:rPr>
        <w:t>米以</w:t>
      </w:r>
      <w:r>
        <w:rPr>
          <w:spacing w:val="3"/>
        </w:rPr>
        <w:t>外应当有摆放测井车辆的开阔地带</w:t>
      </w:r>
      <w:r>
        <w:rPr>
          <w:rFonts w:hint="eastAsia" w:ascii="MS UI Gothic" w:eastAsia="MS UI Gothic"/>
          <w:spacing w:val="13"/>
          <w:w w:val="85"/>
        </w:rPr>
        <w:t xml:space="preserve">ꎮ </w:t>
      </w:r>
      <w:r>
        <w:rPr>
          <w:spacing w:val="1"/>
        </w:rPr>
        <w:t>器材</w:t>
      </w:r>
      <w:r>
        <w:rPr>
          <w:spacing w:val="3"/>
        </w:rPr>
        <w:t>堆置不得影响车辆的进出及就位</w:t>
      </w:r>
      <w:r>
        <w:rPr>
          <w:rFonts w:hint="eastAsia" w:ascii="MS UI Gothic" w:eastAsia="MS UI Gothic"/>
          <w:w w:val="85"/>
        </w:rPr>
        <w:t>ꎮ</w:t>
      </w:r>
    </w:p>
    <w:p>
      <w:pPr>
        <w:pStyle w:val="6"/>
        <w:spacing w:line="295" w:lineRule="auto"/>
        <w:ind w:left="381" w:right="124"/>
        <w:rPr>
          <w:rFonts w:hint="eastAsia" w:ascii="MS UI Gothic" w:eastAsia="MS UI Gothic"/>
        </w:rPr>
      </w:pPr>
      <w:r>
        <w:rPr>
          <w:spacing w:val="4"/>
        </w:rPr>
        <w:t>第七十七条 车载仪器及专用器具上</w:t>
      </w:r>
      <w:r>
        <w:rPr>
          <w:spacing w:val="3"/>
        </w:rPr>
        <w:t>井前</w:t>
      </w:r>
      <w:r>
        <w:rPr>
          <w:rFonts w:hint="eastAsia" w:ascii="MS UI Gothic" w:eastAsia="MS UI Gothic"/>
          <w:spacing w:val="19"/>
          <w:w w:val="80"/>
        </w:rPr>
        <w:t xml:space="preserve">ꎬ </w:t>
      </w:r>
      <w:r>
        <w:rPr>
          <w:spacing w:val="7"/>
        </w:rPr>
        <w:t>煤层气企业应当妥善包装和固定</w:t>
      </w:r>
      <w:r>
        <w:rPr>
          <w:rFonts w:hint="eastAsia" w:ascii="MS UI Gothic" w:eastAsia="MS UI Gothic"/>
          <w:w w:val="80"/>
        </w:rPr>
        <w:t>ꎬ</w:t>
      </w:r>
      <w:r>
        <w:rPr>
          <w:spacing w:val="3"/>
        </w:rPr>
        <w:t>运输中禁止与有碍安全的货物混装</w:t>
      </w:r>
      <w:r>
        <w:rPr>
          <w:rFonts w:hint="eastAsia" w:ascii="MS UI Gothic" w:eastAsia="MS UI Gothic"/>
          <w:spacing w:val="19"/>
          <w:w w:val="80"/>
        </w:rPr>
        <w:t xml:space="preserve">ꎮ </w:t>
      </w:r>
      <w:r>
        <w:rPr>
          <w:spacing w:val="1"/>
        </w:rPr>
        <w:t>车载</w:t>
      </w:r>
      <w:r>
        <w:rPr>
          <w:spacing w:val="3"/>
        </w:rPr>
        <w:t>计算机必须采取防震</w:t>
      </w:r>
      <w:r>
        <w:rPr>
          <w:rFonts w:hint="eastAsia" w:ascii="MS UI Gothic" w:eastAsia="MS UI Gothic"/>
          <w:spacing w:val="5"/>
          <w:w w:val="80"/>
        </w:rPr>
        <w:t xml:space="preserve">、 </w:t>
      </w:r>
      <w:r>
        <w:rPr>
          <w:spacing w:val="3"/>
        </w:rPr>
        <w:t>防尘措施</w:t>
      </w:r>
      <w:r>
        <w:rPr>
          <w:rFonts w:hint="eastAsia" w:ascii="MS UI Gothic" w:eastAsia="MS UI Gothic"/>
          <w:w w:val="80"/>
        </w:rPr>
        <w:t>ꎮ</w:t>
      </w:r>
    </w:p>
    <w:p>
      <w:pPr>
        <w:pStyle w:val="6"/>
        <w:spacing w:line="295" w:lineRule="auto"/>
        <w:ind w:left="381" w:right="126"/>
        <w:rPr>
          <w:rFonts w:hint="eastAsia" w:ascii="MS UI Gothic" w:eastAsia="MS UI Gothic"/>
        </w:rPr>
      </w:pPr>
      <w:r>
        <w:t>测井车辆行车前及长途行车途中</w:t>
      </w:r>
      <w:r>
        <w:rPr>
          <w:rFonts w:hint="eastAsia" w:ascii="MS UI Gothic" w:eastAsia="MS UI Gothic"/>
          <w:w w:val="80"/>
        </w:rPr>
        <w:t xml:space="preserve">ꎬ </w:t>
      </w:r>
      <w:r>
        <w:t>应当做好车况</w:t>
      </w:r>
      <w:r>
        <w:rPr>
          <w:rFonts w:hint="eastAsia" w:ascii="MS UI Gothic" w:eastAsia="MS UI Gothic"/>
          <w:w w:val="80"/>
        </w:rPr>
        <w:t xml:space="preserve">、 </w:t>
      </w:r>
      <w:r>
        <w:t>放射源及仪器设备安全检查</w:t>
      </w:r>
      <w:r>
        <w:rPr>
          <w:rFonts w:hint="eastAsia" w:ascii="MS UI Gothic" w:eastAsia="MS UI Gothic"/>
          <w:w w:val="80"/>
        </w:rPr>
        <w:t xml:space="preserve">ꎮ </w:t>
      </w:r>
      <w:r>
        <w:t>途中留宿的</w:t>
      </w:r>
      <w:r>
        <w:rPr>
          <w:rFonts w:hint="eastAsia" w:ascii="MS UI Gothic" w:eastAsia="MS UI Gothic"/>
          <w:w w:val="80"/>
        </w:rPr>
        <w:t xml:space="preserve">ꎬ </w:t>
      </w:r>
      <w:r>
        <w:t>必须将车辆停放在安全场所</w:t>
      </w:r>
      <w:r>
        <w:rPr>
          <w:rFonts w:hint="eastAsia" w:ascii="MS UI Gothic" w:eastAsia="MS UI Gothic"/>
          <w:w w:val="80"/>
        </w:rPr>
        <w:t>ꎮ</w:t>
      </w:r>
    </w:p>
    <w:p>
      <w:pPr>
        <w:pStyle w:val="6"/>
        <w:spacing w:line="295" w:lineRule="auto"/>
        <w:ind w:left="381" w:right="126"/>
        <w:rPr>
          <w:rFonts w:hint="eastAsia" w:ascii="MS UI Gothic" w:eastAsia="MS UI Gothic"/>
        </w:rPr>
      </w:pPr>
      <w:r>
        <w:t>第七十八条  测井人员不得擅离职守</w:t>
      </w:r>
      <w:r>
        <w:rPr>
          <w:rFonts w:hint="eastAsia" w:ascii="MS UI Gothic" w:eastAsia="MS UI Gothic"/>
          <w:w w:val="80"/>
        </w:rPr>
        <w:t xml:space="preserve">ꎬ </w:t>
      </w:r>
      <w:r>
        <w:t>不允许在井架</w:t>
      </w:r>
      <w:r>
        <w:rPr>
          <w:rFonts w:hint="eastAsia" w:ascii="MS UI Gothic" w:eastAsia="MS UI Gothic"/>
          <w:w w:val="80"/>
        </w:rPr>
        <w:t xml:space="preserve">、 </w:t>
      </w:r>
      <w:r>
        <w:t>钻台上进行与测井无关的其他作业</w:t>
      </w:r>
      <w:r>
        <w:rPr>
          <w:rFonts w:hint="eastAsia" w:ascii="MS UI Gothic" w:eastAsia="MS UI Gothic"/>
          <w:w w:val="80"/>
        </w:rPr>
        <w:t xml:space="preserve">ꎬ </w:t>
      </w:r>
      <w:r>
        <w:t>未经许可不得动用非本岗位的仪器设备</w:t>
      </w:r>
      <w:r>
        <w:rPr>
          <w:rFonts w:hint="eastAsia" w:ascii="MS UI Gothic" w:eastAsia="MS UI Gothic"/>
          <w:w w:val="80"/>
        </w:rPr>
        <w:t>ꎮ</w:t>
      </w:r>
    </w:p>
    <w:p>
      <w:pPr>
        <w:pStyle w:val="6"/>
        <w:spacing w:line="295" w:lineRule="auto"/>
        <w:ind w:left="381" w:right="124"/>
        <w:rPr>
          <w:rFonts w:hint="eastAsia" w:ascii="MS UI Gothic" w:eastAsia="MS UI Gothic"/>
        </w:rPr>
      </w:pPr>
      <w:r>
        <w:t>第七十九条 摆放测井设备应当充分考虑风向</w:t>
      </w:r>
      <w:r>
        <w:rPr>
          <w:rFonts w:hint="eastAsia" w:ascii="MS UI Gothic" w:eastAsia="MS UI Gothic"/>
          <w:w w:val="80"/>
        </w:rPr>
        <w:t xml:space="preserve">ꎮ </w:t>
      </w:r>
      <w:r>
        <w:t>测井仪器车等工作场所的电源</w:t>
      </w:r>
      <w:r>
        <w:rPr>
          <w:rFonts w:hint="eastAsia" w:ascii="MS UI Gothic" w:eastAsia="MS UI Gothic"/>
          <w:w w:val="80"/>
        </w:rPr>
        <w:t xml:space="preserve">、 </w:t>
      </w:r>
      <w:r>
        <w:t>温度</w:t>
      </w:r>
      <w:r>
        <w:rPr>
          <w:rFonts w:hint="eastAsia" w:ascii="MS UI Gothic" w:eastAsia="MS UI Gothic"/>
          <w:w w:val="80"/>
        </w:rPr>
        <w:t xml:space="preserve">、 </w:t>
      </w:r>
      <w:r>
        <w:t>湿度应当符合安全需要</w:t>
      </w:r>
      <w:r>
        <w:rPr>
          <w:rFonts w:hint="eastAsia" w:ascii="MS UI Gothic" w:eastAsia="MS UI Gothic"/>
          <w:w w:val="80"/>
        </w:rPr>
        <w:t xml:space="preserve">ꎬ </w:t>
      </w:r>
      <w:r>
        <w:t>并做好相应消防措施</w:t>
      </w:r>
      <w:r>
        <w:rPr>
          <w:rFonts w:hint="eastAsia" w:ascii="MS UI Gothic" w:eastAsia="MS UI Gothic"/>
          <w:w w:val="80"/>
        </w:rPr>
        <w:t xml:space="preserve">ꎮ </w:t>
      </w:r>
      <w:r>
        <w:t>测井车应当接地良好</w:t>
      </w:r>
      <w:r>
        <w:rPr>
          <w:rFonts w:hint="eastAsia" w:ascii="MS UI Gothic" w:eastAsia="MS UI Gothic"/>
          <w:w w:val="80"/>
        </w:rPr>
        <w:t>ꎬ</w:t>
      </w:r>
      <w:r>
        <w:t>电路系统不得有短路和漏电现象</w:t>
      </w:r>
      <w:r>
        <w:rPr>
          <w:rFonts w:hint="eastAsia" w:ascii="MS UI Gothic" w:eastAsia="MS UI Gothic"/>
          <w:w w:val="80"/>
        </w:rPr>
        <w:t>ꎮ</w:t>
      </w:r>
    </w:p>
    <w:p>
      <w:pPr>
        <w:pStyle w:val="6"/>
        <w:spacing w:line="295" w:lineRule="auto"/>
        <w:ind w:left="381" w:right="126"/>
        <w:rPr>
          <w:rFonts w:hint="eastAsia" w:ascii="MS UI Gothic" w:eastAsia="MS UI Gothic"/>
        </w:rPr>
      </w:pPr>
      <w:r>
        <w:t>当钻井井口一定区域内可能有煤层气积聚时</w:t>
      </w:r>
      <w:r>
        <w:rPr>
          <w:rFonts w:hint="eastAsia" w:ascii="MS UI Gothic" w:eastAsia="MS UI Gothic"/>
          <w:w w:val="80"/>
        </w:rPr>
        <w:t xml:space="preserve">ꎬ </w:t>
      </w:r>
      <w:r>
        <w:t>煤层气企业应当停止测井作业</w:t>
      </w:r>
      <w:r>
        <w:rPr>
          <w:rFonts w:hint="eastAsia" w:ascii="MS UI Gothic" w:eastAsia="MS UI Gothic"/>
          <w:w w:val="80"/>
        </w:rPr>
        <w:t>ꎮ</w:t>
      </w:r>
    </w:p>
    <w:p>
      <w:pPr>
        <w:pStyle w:val="6"/>
        <w:spacing w:line="295" w:lineRule="auto"/>
        <w:ind w:left="381" w:right="126"/>
      </w:pPr>
      <w:r>
        <w:t>第八十条 测井前</w:t>
      </w:r>
      <w:r>
        <w:rPr>
          <w:rFonts w:hint="eastAsia" w:ascii="MS UI Gothic" w:eastAsia="MS UI Gothic"/>
          <w:w w:val="80"/>
        </w:rPr>
        <w:t xml:space="preserve">ꎬ </w:t>
      </w:r>
      <w:r>
        <w:t>煤层气企业应当将井口附近的无关物品移开</w:t>
      </w:r>
      <w:r>
        <w:rPr>
          <w:rFonts w:hint="eastAsia" w:ascii="MS UI Gothic" w:eastAsia="MS UI Gothic"/>
          <w:w w:val="80"/>
        </w:rPr>
        <w:t xml:space="preserve">ꎬ </w:t>
      </w:r>
      <w:r>
        <w:t>及时清除钻台转盘及钻台作业面上的钻井液</w:t>
      </w:r>
      <w:r>
        <w:rPr>
          <w:rFonts w:hint="eastAsia" w:ascii="MS UI Gothic" w:eastAsia="MS UI Gothic"/>
          <w:w w:val="80"/>
        </w:rPr>
        <w:t xml:space="preserve">ꎮ </w:t>
      </w:r>
      <w:r>
        <w:t>冬季测井施工时</w:t>
      </w:r>
      <w:r>
        <w:rPr>
          <w:rFonts w:hint="eastAsia" w:ascii="MS UI Gothic" w:eastAsia="MS UI Gothic"/>
          <w:w w:val="80"/>
        </w:rPr>
        <w:t xml:space="preserve">ꎬ </w:t>
      </w:r>
      <w:r>
        <w:t>应当及时清除深度丈量轮和电</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３６０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92" o:spid="_x0000_s2092" o:spt="203" style="height:2.15pt;width:398.25pt;" coordsize="7965,43">
            <o:lock v:ext="edit"/>
            <v:line id="_x0000_s2093" o:spid="_x0000_s2093" o:spt="20" style="position:absolute;left:0;top:39;height:0;width:7965;" stroked="t" coordsize="21600,21600">
              <v:path arrowok="t"/>
              <v:fill focussize="0,0"/>
              <v:stroke weight="0.388031496062992pt" color="#231F20"/>
              <v:imagedata o:title=""/>
              <o:lock v:ext="edit"/>
            </v:line>
            <v:line id="_x0000_s2094" o:spid="_x0000_s209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缆上的结冰</w:t>
      </w:r>
      <w:r>
        <w:rPr>
          <w:rFonts w:hint="eastAsia" w:ascii="MS UI Gothic" w:eastAsia="MS UI Gothic"/>
          <w:w w:val="80"/>
        </w:rPr>
        <w:t xml:space="preserve">ꎮ </w:t>
      </w:r>
      <w:r>
        <w:t>在井口装卸放射源或者其他仪器时</w:t>
      </w:r>
      <w:r>
        <w:rPr>
          <w:rFonts w:hint="eastAsia" w:ascii="MS UI Gothic" w:eastAsia="MS UI Gothic"/>
          <w:w w:val="80"/>
        </w:rPr>
        <w:t xml:space="preserve">ꎬ </w:t>
      </w:r>
      <w:r>
        <w:t>应当先将井口盖好</w:t>
      </w:r>
      <w:r>
        <w:rPr>
          <w:rFonts w:hint="eastAsia" w:ascii="MS UI Gothic" w:eastAsia="MS UI Gothic"/>
          <w:w w:val="80"/>
        </w:rPr>
        <w:t xml:space="preserve">ꎬ </w:t>
      </w:r>
      <w:r>
        <w:t>不得将工具放在转盘上</w:t>
      </w:r>
      <w:r>
        <w:rPr>
          <w:rFonts w:hint="eastAsia" w:ascii="MS UI Gothic" w:eastAsia="MS UI Gothic"/>
          <w:w w:val="80"/>
        </w:rPr>
        <w:t>ꎮ</w:t>
      </w:r>
    </w:p>
    <w:p>
      <w:pPr>
        <w:pStyle w:val="6"/>
        <w:spacing w:line="295" w:lineRule="auto"/>
        <w:ind w:right="38"/>
        <w:rPr>
          <w:rFonts w:hint="eastAsia" w:ascii="MS UI Gothic" w:eastAsia="MS UI Gothic"/>
        </w:rPr>
      </w:pPr>
      <w:r>
        <w:t>仪器开机前</w:t>
      </w:r>
      <w:r>
        <w:rPr>
          <w:rFonts w:hint="eastAsia" w:ascii="MS UI Gothic" w:eastAsia="MS UI Gothic"/>
          <w:w w:val="80"/>
        </w:rPr>
        <w:t xml:space="preserve">ꎬ </w:t>
      </w:r>
      <w:r>
        <w:t>煤层气企业应当对电源</w:t>
      </w:r>
      <w:r>
        <w:rPr>
          <w:rFonts w:hint="eastAsia" w:ascii="MS UI Gothic" w:eastAsia="MS UI Gothic"/>
          <w:w w:val="80"/>
        </w:rPr>
        <w:t xml:space="preserve">、 </w:t>
      </w:r>
      <w:r>
        <w:t>仪器接线及接地</w:t>
      </w:r>
      <w:r>
        <w:rPr>
          <w:rFonts w:hint="eastAsia" w:ascii="MS UI Gothic" w:eastAsia="MS UI Gothic"/>
          <w:w w:val="80"/>
        </w:rPr>
        <w:t xml:space="preserve">、 </w:t>
      </w:r>
      <w:r>
        <w:t>各部件及计算机</w:t>
      </w:r>
      <w:r>
        <w:rPr>
          <w:rFonts w:hint="eastAsia" w:ascii="MS UI Gothic" w:eastAsia="MS UI Gothic"/>
          <w:w w:val="80"/>
        </w:rPr>
        <w:t>、</w:t>
      </w:r>
      <w:r>
        <w:t>需固定装置的安装状况</w:t>
      </w:r>
      <w:r>
        <w:rPr>
          <w:rFonts w:hint="eastAsia" w:ascii="MS UI Gothic" w:eastAsia="MS UI Gothic"/>
          <w:w w:val="80"/>
        </w:rPr>
        <w:t xml:space="preserve">、 </w:t>
      </w:r>
      <w:r>
        <w:t>绞车的刹车及变速装置进行复查</w:t>
      </w:r>
      <w:r>
        <w:rPr>
          <w:rFonts w:hint="eastAsia" w:ascii="MS UI Gothic" w:eastAsia="MS UI Gothic"/>
          <w:w w:val="80"/>
        </w:rPr>
        <w:t xml:space="preserve">ꎮ </w:t>
      </w:r>
      <w:r>
        <w:t>测井过程中</w:t>
      </w:r>
      <w:r>
        <w:rPr>
          <w:rFonts w:hint="eastAsia" w:ascii="MS UI Gothic" w:eastAsia="MS UI Gothic"/>
          <w:w w:val="80"/>
        </w:rPr>
        <w:t xml:space="preserve">ꎬ </w:t>
      </w:r>
      <w:r>
        <w:t>操作人员应当观察仪器</w:t>
      </w:r>
      <w:r>
        <w:rPr>
          <w:rFonts w:hint="eastAsia" w:ascii="MS UI Gothic" w:eastAsia="MS UI Gothic"/>
          <w:w w:val="80"/>
        </w:rPr>
        <w:t xml:space="preserve">、 </w:t>
      </w:r>
      <w:r>
        <w:t>设备的工作状态</w:t>
      </w:r>
      <w:r>
        <w:rPr>
          <w:rFonts w:hint="eastAsia" w:ascii="MS UI Gothic" w:eastAsia="MS UI Gothic"/>
          <w:w w:val="80"/>
        </w:rPr>
        <w:t xml:space="preserve">ꎬ </w:t>
      </w:r>
      <w:r>
        <w:t>发现异常情况及时处理</w:t>
      </w:r>
      <w:r>
        <w:rPr>
          <w:rFonts w:hint="eastAsia" w:ascii="MS UI Gothic" w:eastAsia="MS UI Gothic"/>
          <w:w w:val="80"/>
        </w:rPr>
        <w:t>ꎮ</w:t>
      </w:r>
    </w:p>
    <w:p>
      <w:pPr>
        <w:pStyle w:val="6"/>
        <w:spacing w:line="295" w:lineRule="auto"/>
        <w:ind w:right="39"/>
        <w:rPr>
          <w:rFonts w:hint="eastAsia" w:ascii="MS UI Gothic" w:eastAsia="MS UI Gothic"/>
        </w:rPr>
      </w:pPr>
      <w:r>
        <w:t>第八十一条  下井仪器应当正确连接</w:t>
      </w:r>
      <w:r>
        <w:rPr>
          <w:rFonts w:hint="eastAsia" w:ascii="MS UI Gothic" w:eastAsia="MS UI Gothic"/>
          <w:w w:val="80"/>
        </w:rPr>
        <w:t xml:space="preserve">ꎬ </w:t>
      </w:r>
      <w:r>
        <w:t>牢固可靠</w:t>
      </w:r>
      <w:r>
        <w:rPr>
          <w:rFonts w:hint="eastAsia" w:ascii="MS UI Gothic" w:eastAsia="MS UI Gothic"/>
          <w:w w:val="80"/>
        </w:rPr>
        <w:t xml:space="preserve">ꎮ </w:t>
      </w:r>
      <w:r>
        <w:t>出入井口时</w:t>
      </w:r>
      <w:r>
        <w:rPr>
          <w:rFonts w:hint="eastAsia" w:ascii="MS UI Gothic" w:eastAsia="MS UI Gothic"/>
          <w:w w:val="80"/>
        </w:rPr>
        <w:t xml:space="preserve">ꎬ </w:t>
      </w:r>
      <w:r>
        <w:t>煤层气企业应当有专人在井口指挥</w:t>
      </w:r>
      <w:r>
        <w:rPr>
          <w:rFonts w:hint="eastAsia" w:ascii="MS UI Gothic" w:eastAsia="MS UI Gothic"/>
          <w:w w:val="80"/>
        </w:rPr>
        <w:t>ꎮ</w:t>
      </w:r>
    </w:p>
    <w:p>
      <w:pPr>
        <w:pStyle w:val="6"/>
        <w:spacing w:line="295" w:lineRule="auto"/>
        <w:ind w:right="39"/>
        <w:rPr>
          <w:rFonts w:hint="eastAsia" w:ascii="MS UI Gothic" w:eastAsia="MS UI Gothic"/>
        </w:rPr>
      </w:pPr>
      <w:r>
        <w:t>第八十二条 绞车启动后</w:t>
      </w:r>
      <w:r>
        <w:rPr>
          <w:rFonts w:hint="eastAsia" w:ascii="MS UI Gothic" w:eastAsia="MS UI Gothic"/>
          <w:w w:val="80"/>
        </w:rPr>
        <w:t xml:space="preserve">ꎬ </w:t>
      </w:r>
      <w:r>
        <w:t>电缆提升和下放过程中</w:t>
      </w:r>
      <w:r>
        <w:rPr>
          <w:rFonts w:hint="eastAsia" w:ascii="MS UI Gothic" w:eastAsia="MS UI Gothic"/>
          <w:w w:val="80"/>
        </w:rPr>
        <w:t xml:space="preserve">ꎬ </w:t>
      </w:r>
      <w:r>
        <w:t>应当避免紧急刹车和骤然加速</w:t>
      </w:r>
      <w:r>
        <w:rPr>
          <w:rFonts w:hint="eastAsia" w:ascii="MS UI Gothic" w:eastAsia="MS UI Gothic"/>
          <w:w w:val="80"/>
        </w:rPr>
        <w:t xml:space="preserve">ꎬ </w:t>
      </w:r>
      <w:r>
        <w:t>工作人员应当避开绞车和电缆活动影响区</w:t>
      </w:r>
      <w:r>
        <w:rPr>
          <w:rFonts w:hint="eastAsia" w:ascii="MS UI Gothic" w:eastAsia="MS UI Gothic"/>
          <w:w w:val="80"/>
        </w:rPr>
        <w:t xml:space="preserve">ꎬ </w:t>
      </w:r>
      <w:r>
        <w:t>严禁触摸和跨越电缆</w:t>
      </w:r>
      <w:r>
        <w:rPr>
          <w:rFonts w:hint="eastAsia" w:ascii="MS UI Gothic" w:eastAsia="MS UI Gothic"/>
          <w:w w:val="80"/>
        </w:rPr>
        <w:t>ꎮ</w:t>
      </w:r>
    </w:p>
    <w:p>
      <w:pPr>
        <w:pStyle w:val="6"/>
        <w:spacing w:line="295" w:lineRule="auto"/>
        <w:ind w:right="39"/>
        <w:rPr>
          <w:rFonts w:hint="eastAsia" w:ascii="MS UI Gothic" w:eastAsia="MS UI Gothic"/>
        </w:rPr>
      </w:pPr>
      <w:r>
        <w:rPr>
          <w:spacing w:val="12"/>
          <w:w w:val="95"/>
        </w:rPr>
        <w:t>第八十三条   仪器起下速度应当均</w:t>
      </w:r>
      <w:r>
        <w:rPr>
          <w:spacing w:val="3"/>
          <w:w w:val="95"/>
        </w:rPr>
        <w:t>匀</w:t>
      </w:r>
      <w:r>
        <w:rPr>
          <w:rFonts w:hint="eastAsia" w:ascii="MS UI Gothic" w:eastAsia="MS UI Gothic"/>
          <w:spacing w:val="12"/>
          <w:w w:val="75"/>
        </w:rPr>
        <w:t xml:space="preserve">ꎬ </w:t>
      </w:r>
      <w:r>
        <w:rPr>
          <w:spacing w:val="-8"/>
          <w:w w:val="95"/>
        </w:rPr>
        <w:t xml:space="preserve">不得超过 </w:t>
      </w:r>
      <w:r>
        <w:rPr>
          <w:rFonts w:hint="eastAsia" w:ascii="MS UI Gothic" w:eastAsia="MS UI Gothic"/>
          <w:spacing w:val="-3"/>
          <w:w w:val="95"/>
        </w:rPr>
        <w:t xml:space="preserve">４０００ </w:t>
      </w:r>
      <w:r>
        <w:rPr>
          <w:spacing w:val="29"/>
          <w:w w:val="95"/>
        </w:rPr>
        <w:t>米</w:t>
      </w:r>
      <w:r>
        <w:rPr>
          <w:rFonts w:hint="eastAsia" w:ascii="MS UI Gothic" w:eastAsia="MS UI Gothic"/>
          <w:w w:val="75"/>
        </w:rPr>
        <w:t>/</w:t>
      </w:r>
      <w:r>
        <w:rPr>
          <w:rFonts w:hint="eastAsia" w:ascii="MS UI Gothic" w:eastAsia="MS UI Gothic"/>
          <w:spacing w:val="-16"/>
          <w:w w:val="75"/>
        </w:rPr>
        <w:t xml:space="preserve"> </w:t>
      </w:r>
      <w:r>
        <w:rPr>
          <w:spacing w:val="7"/>
          <w:w w:val="95"/>
        </w:rPr>
        <w:t>小时</w:t>
      </w:r>
      <w:r>
        <w:rPr>
          <w:rFonts w:hint="eastAsia" w:ascii="MS UI Gothic" w:eastAsia="MS UI Gothic"/>
          <w:spacing w:val="14"/>
          <w:w w:val="75"/>
        </w:rPr>
        <w:t xml:space="preserve">ꎬ </w:t>
      </w:r>
      <w:r>
        <w:rPr>
          <w:spacing w:val="-9"/>
          <w:w w:val="95"/>
        </w:rPr>
        <w:t xml:space="preserve">距井底 </w:t>
      </w:r>
      <w:r>
        <w:rPr>
          <w:rFonts w:hint="eastAsia" w:ascii="MS UI Gothic" w:eastAsia="MS UI Gothic"/>
          <w:w w:val="95"/>
        </w:rPr>
        <w:t xml:space="preserve">２００ </w:t>
      </w:r>
      <w:r>
        <w:rPr>
          <w:spacing w:val="3"/>
          <w:w w:val="95"/>
        </w:rPr>
        <w:t>米时应当减速慢下</w:t>
      </w:r>
      <w:r>
        <w:rPr>
          <w:rFonts w:hint="eastAsia" w:ascii="MS UI Gothic" w:eastAsia="MS UI Gothic"/>
          <w:spacing w:val="20"/>
          <w:w w:val="75"/>
        </w:rPr>
        <w:t xml:space="preserve">ꎻ </w:t>
      </w:r>
      <w:r>
        <w:rPr>
          <w:spacing w:val="3"/>
          <w:w w:val="95"/>
        </w:rPr>
        <w:t>进入套管鞋时</w:t>
      </w:r>
      <w:r>
        <w:rPr>
          <w:rFonts w:hint="eastAsia" w:ascii="MS UI Gothic" w:eastAsia="MS UI Gothic"/>
          <w:spacing w:val="13"/>
          <w:w w:val="75"/>
        </w:rPr>
        <w:t xml:space="preserve">ꎬ  </w:t>
      </w:r>
      <w:r>
        <w:rPr>
          <w:spacing w:val="1"/>
          <w:w w:val="95"/>
        </w:rPr>
        <w:t>起速</w:t>
      </w:r>
      <w:r>
        <w:rPr>
          <w:spacing w:val="-3"/>
          <w:w w:val="95"/>
        </w:rPr>
        <w:t xml:space="preserve">不得超过 </w:t>
      </w:r>
      <w:r>
        <w:rPr>
          <w:rFonts w:hint="eastAsia" w:ascii="MS UI Gothic" w:eastAsia="MS UI Gothic"/>
          <w:spacing w:val="5"/>
          <w:w w:val="95"/>
        </w:rPr>
        <w:t xml:space="preserve">６００ </w:t>
      </w:r>
      <w:r>
        <w:rPr>
          <w:spacing w:val="29"/>
          <w:w w:val="95"/>
        </w:rPr>
        <w:t>米</w:t>
      </w:r>
      <w:r>
        <w:rPr>
          <w:rFonts w:hint="eastAsia" w:ascii="MS UI Gothic" w:eastAsia="MS UI Gothic"/>
          <w:w w:val="75"/>
        </w:rPr>
        <w:t>/</w:t>
      </w:r>
      <w:r>
        <w:rPr>
          <w:rFonts w:hint="eastAsia" w:ascii="MS UI Gothic" w:eastAsia="MS UI Gothic"/>
          <w:spacing w:val="7"/>
          <w:w w:val="75"/>
        </w:rPr>
        <w:t xml:space="preserve"> </w:t>
      </w:r>
      <w:r>
        <w:rPr>
          <w:spacing w:val="8"/>
          <w:w w:val="95"/>
        </w:rPr>
        <w:t>小时</w:t>
      </w:r>
      <w:r>
        <w:rPr>
          <w:rFonts w:hint="eastAsia" w:ascii="MS UI Gothic" w:eastAsia="MS UI Gothic"/>
          <w:spacing w:val="19"/>
          <w:w w:val="75"/>
        </w:rPr>
        <w:t xml:space="preserve">ꎬ </w:t>
      </w:r>
      <w:r>
        <w:rPr>
          <w:spacing w:val="12"/>
          <w:w w:val="95"/>
        </w:rPr>
        <w:t>仪器上起离井口</w:t>
      </w:r>
      <w:r>
        <w:rPr>
          <w:spacing w:val="-15"/>
          <w:w w:val="95"/>
        </w:rPr>
        <w:t xml:space="preserve">约 </w:t>
      </w:r>
      <w:r>
        <w:rPr>
          <w:rFonts w:hint="eastAsia" w:ascii="MS UI Gothic" w:eastAsia="MS UI Gothic"/>
          <w:spacing w:val="1"/>
          <w:w w:val="95"/>
        </w:rPr>
        <w:t xml:space="preserve">３００ </w:t>
      </w:r>
      <w:r>
        <w:rPr>
          <w:spacing w:val="3"/>
          <w:w w:val="95"/>
        </w:rPr>
        <w:t>米时</w:t>
      </w:r>
      <w:r>
        <w:rPr>
          <w:rFonts w:hint="eastAsia" w:ascii="MS UI Gothic" w:eastAsia="MS UI Gothic"/>
          <w:spacing w:val="14"/>
          <w:w w:val="75"/>
        </w:rPr>
        <w:t xml:space="preserve">ꎬ </w:t>
      </w:r>
      <w:r>
        <w:rPr>
          <w:spacing w:val="3"/>
          <w:w w:val="95"/>
        </w:rPr>
        <w:t>应当有专人在井口指挥</w:t>
      </w:r>
      <w:r>
        <w:rPr>
          <w:rFonts w:hint="eastAsia" w:ascii="MS UI Gothic" w:eastAsia="MS UI Gothic"/>
          <w:spacing w:val="16"/>
          <w:w w:val="75"/>
        </w:rPr>
        <w:t xml:space="preserve">ꎬ </w:t>
      </w:r>
      <w:r>
        <w:rPr>
          <w:w w:val="95"/>
        </w:rPr>
        <w:t>减</w:t>
      </w:r>
      <w:r>
        <w:rPr>
          <w:spacing w:val="3"/>
          <w:w w:val="95"/>
        </w:rPr>
        <w:t>速慢行</w:t>
      </w:r>
      <w:r>
        <w:rPr>
          <w:rFonts w:hint="eastAsia" w:ascii="MS UI Gothic" w:eastAsia="MS UI Gothic"/>
          <w:w w:val="75"/>
        </w:rPr>
        <w:t>ꎮ</w:t>
      </w:r>
    </w:p>
    <w:p>
      <w:pPr>
        <w:pStyle w:val="6"/>
        <w:spacing w:line="295" w:lineRule="auto"/>
        <w:ind w:right="39"/>
        <w:rPr>
          <w:rFonts w:hint="eastAsia" w:ascii="MS UI Gothic" w:eastAsia="MS UI Gothic"/>
        </w:rPr>
      </w:pPr>
      <w:r>
        <w:t>第八十四条 下井仪器遇阻时</w:t>
      </w:r>
      <w:r>
        <w:rPr>
          <w:rFonts w:hint="eastAsia" w:ascii="MS UI Gothic" w:eastAsia="MS UI Gothic"/>
          <w:w w:val="80"/>
        </w:rPr>
        <w:t xml:space="preserve">ꎬ </w:t>
      </w:r>
      <w:r>
        <w:t>操作人员应当将仪器提出井口</w:t>
      </w:r>
      <w:r>
        <w:rPr>
          <w:rFonts w:hint="eastAsia" w:ascii="MS UI Gothic" w:eastAsia="MS UI Gothic"/>
          <w:w w:val="80"/>
        </w:rPr>
        <w:t xml:space="preserve">ꎬ </w:t>
      </w:r>
      <w:r>
        <w:t>通井后再进行测井作业</w:t>
      </w:r>
      <w:r>
        <w:rPr>
          <w:rFonts w:hint="eastAsia" w:ascii="MS UI Gothic" w:eastAsia="MS UI Gothic"/>
          <w:w w:val="80"/>
        </w:rPr>
        <w:t xml:space="preserve">ꎮ </w:t>
      </w:r>
      <w:r>
        <w:t>严禁遇阻强冲</w:t>
      </w:r>
      <w:r>
        <w:rPr>
          <w:rFonts w:hint="eastAsia" w:ascii="MS UI Gothic" w:eastAsia="MS UI Gothic"/>
          <w:w w:val="80"/>
        </w:rPr>
        <w:t>ꎮ</w:t>
      </w:r>
    </w:p>
    <w:p>
      <w:pPr>
        <w:pStyle w:val="6"/>
        <w:spacing w:line="295" w:lineRule="auto"/>
        <w:ind w:right="39"/>
        <w:rPr>
          <w:rFonts w:hint="eastAsia" w:ascii="MS UI Gothic" w:eastAsia="MS UI Gothic"/>
        </w:rPr>
      </w:pPr>
      <w:r>
        <w:t>第八十五条 下井仪器遇卡时</w:t>
      </w:r>
      <w:r>
        <w:rPr>
          <w:rFonts w:hint="eastAsia" w:ascii="MS UI Gothic" w:eastAsia="MS UI Gothic"/>
          <w:w w:val="80"/>
        </w:rPr>
        <w:t xml:space="preserve">ꎬ </w:t>
      </w:r>
      <w:r>
        <w:t>操作人员应当立即停车</w:t>
      </w:r>
      <w:r>
        <w:rPr>
          <w:rFonts w:hint="eastAsia" w:ascii="MS UI Gothic" w:eastAsia="MS UI Gothic"/>
          <w:w w:val="80"/>
        </w:rPr>
        <w:t xml:space="preserve">ꎬ </w:t>
      </w:r>
      <w:r>
        <w:t>缓慢上下活动</w:t>
      </w:r>
      <w:r>
        <w:rPr>
          <w:rFonts w:hint="eastAsia" w:ascii="MS UI Gothic" w:eastAsia="MS UI Gothic"/>
          <w:w w:val="80"/>
        </w:rPr>
        <w:t xml:space="preserve">ꎻ </w:t>
      </w:r>
      <w:r>
        <w:t>如仍未解脱</w:t>
      </w:r>
      <w:r>
        <w:rPr>
          <w:rFonts w:hint="eastAsia" w:ascii="MS UI Gothic" w:eastAsia="MS UI Gothic"/>
          <w:w w:val="80"/>
        </w:rPr>
        <w:t xml:space="preserve">ꎬ </w:t>
      </w:r>
      <w:r>
        <w:t>应当迅速研究具体的处理措施</w:t>
      </w:r>
      <w:r>
        <w:rPr>
          <w:rFonts w:hint="eastAsia" w:ascii="MS UI Gothic" w:eastAsia="MS UI Gothic"/>
          <w:w w:val="80"/>
        </w:rPr>
        <w:t>ꎮ</w:t>
      </w:r>
    </w:p>
    <w:p>
      <w:pPr>
        <w:pStyle w:val="6"/>
        <w:spacing w:line="295" w:lineRule="auto"/>
        <w:ind w:right="39"/>
        <w:rPr>
          <w:rFonts w:hint="eastAsia" w:ascii="MS UI Gothic" w:eastAsia="MS UI Gothic"/>
        </w:rPr>
      </w:pPr>
      <w:r>
        <w:t xml:space="preserve">第八十六条 仪器在井底及裸眼井段静止时间不得超过 </w:t>
      </w:r>
      <w:r>
        <w:rPr>
          <w:rFonts w:hint="eastAsia" w:ascii="MS UI Gothic" w:eastAsia="MS UI Gothic"/>
          <w:w w:val="80"/>
        </w:rPr>
        <w:t xml:space="preserve">１ </w:t>
      </w:r>
      <w:r>
        <w:t>分钟</w:t>
      </w:r>
      <w:r>
        <w:rPr>
          <w:rFonts w:hint="eastAsia" w:ascii="MS UI Gothic" w:eastAsia="MS UI Gothic"/>
          <w:w w:val="80"/>
        </w:rPr>
        <w:t xml:space="preserve">ꎬ </w:t>
      </w:r>
      <w:r>
        <w:t>对停留时间有特殊要求的测井项目除外</w:t>
      </w:r>
      <w:r>
        <w:rPr>
          <w:rFonts w:hint="eastAsia" w:ascii="MS UI Gothic" w:eastAsia="MS UI Gothic"/>
          <w:w w:val="80"/>
        </w:rPr>
        <w:t>ꎮ</w:t>
      </w:r>
    </w:p>
    <w:p>
      <w:pPr>
        <w:pStyle w:val="6"/>
        <w:spacing w:line="295" w:lineRule="auto"/>
        <w:ind w:right="38"/>
        <w:rPr>
          <w:rFonts w:hint="eastAsia" w:ascii="MS UI Gothic" w:eastAsia="MS UI Gothic"/>
        </w:rPr>
      </w:pPr>
      <w:r>
        <w:t>第八十七条 仪器工作结束后</w:t>
      </w:r>
      <w:r>
        <w:rPr>
          <w:rFonts w:hint="eastAsia" w:ascii="MS UI Gothic" w:eastAsia="MS UI Gothic"/>
          <w:w w:val="80"/>
        </w:rPr>
        <w:t xml:space="preserve">ꎬ </w:t>
      </w:r>
      <w:r>
        <w:t>操作人员应当将各操纵部件恢复到安全位置</w:t>
      </w:r>
      <w:r>
        <w:rPr>
          <w:rFonts w:hint="eastAsia" w:ascii="MS UI Gothic" w:eastAsia="MS UI Gothic"/>
          <w:w w:val="80"/>
        </w:rPr>
        <w:t>ꎮ</w:t>
      </w:r>
      <w:r>
        <w:t>严禁在通电状态下搬运仪器设备和拔</w:t>
      </w:r>
      <w:r>
        <w:rPr>
          <w:rFonts w:hint="eastAsia" w:ascii="MS UI Gothic" w:eastAsia="MS UI Gothic"/>
          <w:w w:val="80"/>
        </w:rPr>
        <w:t xml:space="preserve">、 </w:t>
      </w:r>
      <w:r>
        <w:t>插接线</w:t>
      </w:r>
      <w:r>
        <w:rPr>
          <w:rFonts w:hint="eastAsia" w:ascii="MS UI Gothic" w:eastAsia="MS UI Gothic"/>
          <w:w w:val="80"/>
        </w:rPr>
        <w:t>ꎮ</w:t>
      </w:r>
    </w:p>
    <w:p>
      <w:pPr>
        <w:pStyle w:val="6"/>
        <w:spacing w:line="295" w:lineRule="auto"/>
        <w:ind w:right="39"/>
        <w:rPr>
          <w:rFonts w:hint="eastAsia" w:ascii="MS UI Gothic" w:eastAsia="MS UI Gothic"/>
        </w:rPr>
      </w:pPr>
      <w:r>
        <w:t>第八十八条 夜间施工时</w:t>
      </w:r>
      <w:r>
        <w:rPr>
          <w:rFonts w:hint="eastAsia" w:ascii="MS UI Gothic" w:eastAsia="MS UI Gothic"/>
          <w:w w:val="80"/>
        </w:rPr>
        <w:t xml:space="preserve">ꎬ </w:t>
      </w:r>
      <w:r>
        <w:t>井场应当保障照明良好</w:t>
      </w:r>
      <w:r>
        <w:rPr>
          <w:rFonts w:hint="eastAsia" w:ascii="MS UI Gothic" w:eastAsia="MS UI Gothic"/>
          <w:w w:val="80"/>
        </w:rPr>
        <w:t>ꎮ</w:t>
      </w:r>
    </w:p>
    <w:p>
      <w:pPr>
        <w:pStyle w:val="6"/>
        <w:spacing w:line="295" w:lineRule="auto"/>
        <w:ind w:right="39"/>
      </w:pPr>
      <w:r>
        <w:t>第八十九条 遇有七级以上大风</w:t>
      </w:r>
      <w:r>
        <w:rPr>
          <w:rFonts w:hint="eastAsia" w:ascii="MS UI Gothic" w:eastAsia="MS UI Gothic"/>
          <w:w w:val="80"/>
        </w:rPr>
        <w:t xml:space="preserve">、 </w:t>
      </w:r>
      <w:r>
        <w:t>暴雨</w:t>
      </w:r>
      <w:r>
        <w:rPr>
          <w:rFonts w:hint="eastAsia" w:ascii="MS UI Gothic" w:eastAsia="MS UI Gothic"/>
          <w:w w:val="80"/>
        </w:rPr>
        <w:t xml:space="preserve">、 </w:t>
      </w:r>
      <w:r>
        <w:t>雷电</w:t>
      </w:r>
      <w:r>
        <w:rPr>
          <w:rFonts w:hint="eastAsia" w:ascii="MS UI Gothic" w:eastAsia="MS UI Gothic"/>
          <w:w w:val="80"/>
        </w:rPr>
        <w:t xml:space="preserve">、 </w:t>
      </w:r>
      <w:r>
        <w:t>大雾等恶劣天气</w:t>
      </w:r>
      <w:r>
        <w:rPr>
          <w:rFonts w:hint="eastAsia" w:ascii="MS UI Gothic" w:eastAsia="MS UI Gothic"/>
          <w:w w:val="80"/>
        </w:rPr>
        <w:t xml:space="preserve">ꎬ </w:t>
      </w:r>
      <w:r>
        <w:t>煤层气企业</w:t>
      </w:r>
    </w:p>
    <w:p>
      <w:pPr>
        <w:pStyle w:val="6"/>
        <w:spacing w:before="123" w:line="295" w:lineRule="auto"/>
        <w:ind w:right="442" w:firstLine="0"/>
        <w:rPr>
          <w:rFonts w:hint="eastAsia" w:ascii="MS UI Gothic" w:eastAsia="MS UI Gothic"/>
        </w:rPr>
      </w:pPr>
      <w:r>
        <w:br w:type="column"/>
      </w:r>
      <w:r>
        <w:t>应当暂停测井作业</w:t>
      </w:r>
      <w:r>
        <w:rPr>
          <w:rFonts w:hint="eastAsia" w:ascii="MS UI Gothic" w:eastAsia="MS UI Gothic"/>
          <w:w w:val="80"/>
        </w:rPr>
        <w:t xml:space="preserve">ꎮ </w:t>
      </w:r>
      <w:r>
        <w:t>如正在测井作业</w:t>
      </w:r>
      <w:r>
        <w:rPr>
          <w:rFonts w:hint="eastAsia" w:ascii="MS UI Gothic" w:eastAsia="MS UI Gothic"/>
          <w:w w:val="80"/>
        </w:rPr>
        <w:t xml:space="preserve">ꎬ </w:t>
      </w:r>
      <w:r>
        <w:t>应当将仪器起入套管内</w:t>
      </w:r>
      <w:r>
        <w:rPr>
          <w:rFonts w:hint="eastAsia" w:ascii="MS UI Gothic" w:eastAsia="MS UI Gothic"/>
          <w:w w:val="80"/>
        </w:rPr>
        <w:t xml:space="preserve">ꎬ </w:t>
      </w:r>
      <w:r>
        <w:t>并关闭仪器电源</w:t>
      </w:r>
      <w:r>
        <w:rPr>
          <w:rFonts w:hint="eastAsia" w:ascii="MS UI Gothic" w:eastAsia="MS UI Gothic"/>
          <w:w w:val="80"/>
        </w:rPr>
        <w:t>ꎮ</w:t>
      </w:r>
    </w:p>
    <w:p>
      <w:pPr>
        <w:pStyle w:val="6"/>
        <w:spacing w:line="295" w:lineRule="auto"/>
        <w:ind w:right="442"/>
        <w:rPr>
          <w:rFonts w:hint="eastAsia" w:ascii="MS UI Gothic" w:eastAsia="MS UI Gothic"/>
        </w:rPr>
      </w:pPr>
      <w:r>
        <w:t>第九十条 测井作业时</w:t>
      </w:r>
      <w:r>
        <w:rPr>
          <w:rFonts w:hint="eastAsia" w:ascii="MS UI Gothic" w:eastAsia="MS UI Gothic"/>
          <w:w w:val="80"/>
        </w:rPr>
        <w:t xml:space="preserve">ꎬ </w:t>
      </w:r>
      <w:r>
        <w:t>井内产出硫化氢或者其他有毒</w:t>
      </w:r>
      <w:r>
        <w:rPr>
          <w:rFonts w:hint="eastAsia" w:ascii="MS UI Gothic" w:eastAsia="MS UI Gothic"/>
          <w:w w:val="80"/>
        </w:rPr>
        <w:t xml:space="preserve">、 </w:t>
      </w:r>
      <w:r>
        <w:t>有害气体的</w:t>
      </w:r>
      <w:r>
        <w:rPr>
          <w:rFonts w:hint="eastAsia" w:ascii="MS UI Gothic" w:eastAsia="MS UI Gothic"/>
          <w:w w:val="80"/>
        </w:rPr>
        <w:t xml:space="preserve">ꎬ </w:t>
      </w:r>
      <w:r>
        <w:t>煤层气企业应当按照有关规定采取相应防护措施</w:t>
      </w:r>
      <w:r>
        <w:rPr>
          <w:rFonts w:hint="eastAsia" w:ascii="MS UI Gothic" w:eastAsia="MS UI Gothic"/>
          <w:w w:val="80"/>
        </w:rPr>
        <w:t xml:space="preserve">ꎬ </w:t>
      </w:r>
      <w:r>
        <w:t>并制定测井方案</w:t>
      </w:r>
      <w:r>
        <w:rPr>
          <w:rFonts w:hint="eastAsia" w:ascii="MS UI Gothic" w:eastAsia="MS UI Gothic"/>
          <w:w w:val="80"/>
        </w:rPr>
        <w:t xml:space="preserve">ꎬ </w:t>
      </w:r>
      <w:r>
        <w:t>待批准后方可进行测井作业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第九十一条 放射源必须存放在专用</w:t>
      </w:r>
      <w:r>
        <w:t>源库中</w:t>
      </w:r>
      <w:r>
        <w:rPr>
          <w:rFonts w:hint="eastAsia" w:ascii="MS UI Gothic" w:eastAsia="MS UI Gothic"/>
          <w:w w:val="80"/>
        </w:rPr>
        <w:t xml:space="preserve">ꎬ </w:t>
      </w:r>
      <w:r>
        <w:t>源库的设计及源库内外的剂量当</w:t>
      </w:r>
      <w:r>
        <w:rPr>
          <w:w w:val="105"/>
        </w:rPr>
        <w:t xml:space="preserve">量率应当符合国家有关油 </w:t>
      </w:r>
      <w:r>
        <w:rPr>
          <w:rFonts w:hint="eastAsia" w:ascii="MS UI Gothic" w:eastAsia="MS UI Gothic"/>
          <w:w w:val="150"/>
        </w:rPr>
        <w:t xml:space="preserve">( </w:t>
      </w:r>
      <w:r>
        <w:rPr>
          <w:w w:val="105"/>
        </w:rPr>
        <w:t>气</w:t>
      </w:r>
      <w:r>
        <w:rPr>
          <w:rFonts w:hint="eastAsia" w:ascii="MS UI Gothic" w:eastAsia="MS UI Gothic"/>
          <w:w w:val="150"/>
        </w:rPr>
        <w:t xml:space="preserve">) </w:t>
      </w:r>
      <w:r>
        <w:rPr>
          <w:w w:val="105"/>
        </w:rPr>
        <w:t>田测井</w:t>
      </w:r>
      <w:r>
        <w:t>用密封型放射源卫生防护标准的要求</w:t>
      </w:r>
      <w:r>
        <w:rPr>
          <w:rFonts w:hint="eastAsia" w:ascii="MS UI Gothic" w:eastAsia="MS UI Gothic"/>
          <w:w w:val="80"/>
        </w:rPr>
        <w:t xml:space="preserve">ꎮ </w:t>
      </w:r>
      <w:r>
        <w:t>煤层气企业应当建立健全放射源的使用档案</w:t>
      </w:r>
      <w:r>
        <w:rPr>
          <w:w w:val="105"/>
        </w:rPr>
        <w:t>及领用</w:t>
      </w:r>
      <w:r>
        <w:rPr>
          <w:rFonts w:hint="eastAsia" w:ascii="MS UI Gothic" w:eastAsia="MS UI Gothic"/>
          <w:w w:val="80"/>
        </w:rPr>
        <w:t xml:space="preserve">、 </w:t>
      </w:r>
      <w:r>
        <w:rPr>
          <w:w w:val="105"/>
        </w:rPr>
        <w:t>保管制度</w:t>
      </w:r>
      <w:r>
        <w:rPr>
          <w:rFonts w:hint="eastAsia" w:ascii="MS UI Gothic" w:eastAsia="MS UI Gothic"/>
          <w:w w:val="80"/>
        </w:rPr>
        <w:t>ꎮ</w:t>
      </w:r>
    </w:p>
    <w:p>
      <w:pPr>
        <w:pStyle w:val="6"/>
        <w:spacing w:line="295" w:lineRule="auto"/>
        <w:ind w:right="442"/>
        <w:rPr>
          <w:rFonts w:hint="eastAsia" w:ascii="MS UI Gothic" w:eastAsia="MS UI Gothic"/>
        </w:rPr>
      </w:pPr>
      <w:r>
        <w:t>施工区应当建立临时源库</w:t>
      </w:r>
      <w:r>
        <w:rPr>
          <w:rFonts w:hint="eastAsia" w:ascii="MS UI Gothic" w:eastAsia="MS UI Gothic"/>
          <w:w w:val="80"/>
        </w:rPr>
        <w:t xml:space="preserve">ꎬ </w:t>
      </w:r>
      <w:r>
        <w:t>源库应当设有警戒标志并有防盗</w:t>
      </w:r>
      <w:r>
        <w:rPr>
          <w:rFonts w:hint="eastAsia" w:ascii="MS UI Gothic" w:eastAsia="MS UI Gothic"/>
          <w:w w:val="80"/>
        </w:rPr>
        <w:t xml:space="preserve">、 </w:t>
      </w:r>
      <w:r>
        <w:t>防丢失措施</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第九十二条 运输放射源的防护容器</w:t>
      </w:r>
      <w:r>
        <w:t>应当加锁</w:t>
      </w:r>
      <w:r>
        <w:rPr>
          <w:rFonts w:hint="eastAsia" w:ascii="MS UI Gothic" w:eastAsia="MS UI Gothic"/>
          <w:w w:val="80"/>
        </w:rPr>
        <w:t xml:space="preserve">ꎮ </w:t>
      </w:r>
      <w:r>
        <w:t>容器外表面除应当标示放射性</w:t>
      </w:r>
      <w:r>
        <w:rPr>
          <w:w w:val="105"/>
        </w:rPr>
        <w:t>核素名称</w:t>
      </w:r>
      <w:r>
        <w:rPr>
          <w:rFonts w:hint="eastAsia" w:ascii="MS UI Gothic" w:eastAsia="MS UI Gothic"/>
          <w:w w:val="80"/>
        </w:rPr>
        <w:t xml:space="preserve">、 </w:t>
      </w:r>
      <w:r>
        <w:rPr>
          <w:w w:val="105"/>
        </w:rPr>
        <w:t>活度</w:t>
      </w:r>
      <w:r>
        <w:rPr>
          <w:rFonts w:hint="eastAsia" w:ascii="MS UI Gothic" w:eastAsia="MS UI Gothic"/>
          <w:w w:val="80"/>
        </w:rPr>
        <w:t xml:space="preserve">、 </w:t>
      </w:r>
      <w:r>
        <w:rPr>
          <w:w w:val="105"/>
        </w:rPr>
        <w:t>电离辐射警告标志外</w:t>
      </w:r>
      <w:r>
        <w:rPr>
          <w:rFonts w:hint="eastAsia" w:ascii="MS UI Gothic" w:eastAsia="MS UI Gothic"/>
          <w:w w:val="80"/>
        </w:rPr>
        <w:t>ꎬ</w:t>
      </w:r>
      <w:r>
        <w:rPr>
          <w:w w:val="105"/>
        </w:rPr>
        <w:t>还应当标示容器的编号</w:t>
      </w:r>
      <w:r>
        <w:rPr>
          <w:rFonts w:hint="eastAsia" w:ascii="MS UI Gothic" w:eastAsia="MS UI Gothic"/>
          <w:w w:val="80"/>
        </w:rPr>
        <w:t xml:space="preserve">ꎮ </w:t>
      </w:r>
      <w:r>
        <w:rPr>
          <w:w w:val="105"/>
        </w:rPr>
        <w:t>防护容器</w:t>
      </w:r>
      <w:r>
        <w:rPr>
          <w:rFonts w:hint="eastAsia" w:ascii="MS UI Gothic" w:eastAsia="MS UI Gothic"/>
          <w:w w:val="80"/>
        </w:rPr>
        <w:t xml:space="preserve">、 </w:t>
      </w:r>
      <w:r>
        <w:rPr>
          <w:w w:val="105"/>
        </w:rPr>
        <w:t>运源</w:t>
      </w:r>
      <w:r>
        <w:t>车内及车附近的剂量当量率应当符合国家</w:t>
      </w:r>
      <w:r>
        <w:rPr>
          <w:w w:val="105"/>
        </w:rPr>
        <w:t xml:space="preserve">有关油 </w:t>
      </w:r>
      <w:r>
        <w:rPr>
          <w:rFonts w:hint="eastAsia" w:ascii="MS UI Gothic" w:eastAsia="MS UI Gothic"/>
          <w:w w:val="150"/>
        </w:rPr>
        <w:t xml:space="preserve">( </w:t>
      </w:r>
      <w:r>
        <w:rPr>
          <w:w w:val="105"/>
        </w:rPr>
        <w:t>气</w:t>
      </w:r>
      <w:r>
        <w:rPr>
          <w:rFonts w:hint="eastAsia" w:ascii="MS UI Gothic" w:eastAsia="MS UI Gothic"/>
          <w:w w:val="150"/>
        </w:rPr>
        <w:t xml:space="preserve">) </w:t>
      </w:r>
      <w:r>
        <w:rPr>
          <w:w w:val="105"/>
        </w:rPr>
        <w:t>田测井用密封型放射源卫生防护标准的要求</w:t>
      </w:r>
      <w:r>
        <w:rPr>
          <w:rFonts w:hint="eastAsia" w:ascii="MS UI Gothic" w:eastAsia="MS UI Gothic"/>
          <w:w w:val="80"/>
        </w:rPr>
        <w:t>ꎮ</w:t>
      </w:r>
    </w:p>
    <w:p>
      <w:pPr>
        <w:pStyle w:val="6"/>
        <w:spacing w:line="295" w:lineRule="auto"/>
        <w:ind w:right="440"/>
        <w:rPr>
          <w:rFonts w:hint="eastAsia" w:ascii="MS UI Gothic" w:eastAsia="MS UI Gothic"/>
        </w:rPr>
      </w:pPr>
      <w:r>
        <w:rPr>
          <w:spacing w:val="3"/>
        </w:rPr>
        <w:t>第九十三条  放射源必须专车运输</w:t>
      </w:r>
      <w:r>
        <w:rPr>
          <w:rFonts w:hint="eastAsia" w:ascii="MS UI Gothic" w:eastAsia="MS UI Gothic"/>
          <w:w w:val="80"/>
        </w:rPr>
        <w:t>、</w:t>
      </w:r>
      <w:r>
        <w:rPr>
          <w:spacing w:val="3"/>
        </w:rPr>
        <w:t>专人押运</w:t>
      </w:r>
      <w:r>
        <w:rPr>
          <w:rFonts w:hint="eastAsia" w:ascii="MS UI Gothic" w:eastAsia="MS UI Gothic"/>
          <w:spacing w:val="10"/>
          <w:w w:val="80"/>
        </w:rPr>
        <w:t xml:space="preserve">ꎬ </w:t>
      </w:r>
      <w:r>
        <w:rPr>
          <w:spacing w:val="3"/>
        </w:rPr>
        <w:t>中途停车</w:t>
      </w:r>
      <w:r>
        <w:rPr>
          <w:rFonts w:hint="eastAsia" w:ascii="MS UI Gothic" w:eastAsia="MS UI Gothic"/>
          <w:spacing w:val="11"/>
          <w:w w:val="80"/>
        </w:rPr>
        <w:t xml:space="preserve">、 </w:t>
      </w:r>
      <w:r>
        <w:rPr>
          <w:spacing w:val="2"/>
        </w:rPr>
        <w:t>住宿时应当有专人</w:t>
      </w:r>
      <w:r>
        <w:rPr>
          <w:spacing w:val="3"/>
        </w:rPr>
        <w:t>监护</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运源车严禁搭乘无关人员和押运生活</w:t>
      </w:r>
      <w:r>
        <w:rPr>
          <w:spacing w:val="3"/>
        </w:rPr>
        <w:t>消费品</w:t>
      </w:r>
      <w:r>
        <w:rPr>
          <w:rFonts w:hint="eastAsia" w:ascii="MS UI Gothic" w:eastAsia="MS UI Gothic"/>
          <w:spacing w:val="20"/>
          <w:w w:val="80"/>
        </w:rPr>
        <w:t xml:space="preserve">ꎮ </w:t>
      </w:r>
      <w:r>
        <w:rPr>
          <w:spacing w:val="2"/>
        </w:rPr>
        <w:t>未采取足够安全防护措施的运源</w:t>
      </w:r>
      <w:r>
        <w:rPr>
          <w:spacing w:val="11"/>
        </w:rPr>
        <w:t>车不得进入人口密集区和在公共停车场</w:t>
      </w:r>
      <w:r>
        <w:rPr>
          <w:spacing w:val="3"/>
          <w:w w:val="105"/>
        </w:rPr>
        <w:t>停留</w:t>
      </w:r>
      <w:r>
        <w:rPr>
          <w:rFonts w:hint="eastAsia" w:ascii="MS UI Gothic" w:eastAsia="MS UI Gothic"/>
          <w:w w:val="80"/>
        </w:rPr>
        <w:t>ꎮ</w:t>
      </w:r>
    </w:p>
    <w:p>
      <w:pPr>
        <w:pStyle w:val="6"/>
        <w:spacing w:line="295" w:lineRule="auto"/>
        <w:ind w:right="440"/>
        <w:rPr>
          <w:rFonts w:hint="eastAsia" w:ascii="MS UI Gothic" w:eastAsia="MS UI Gothic"/>
        </w:rPr>
      </w:pPr>
      <w:r>
        <w:t>第九十四条 在室外</w:t>
      </w:r>
      <w:r>
        <w:rPr>
          <w:rFonts w:hint="eastAsia" w:ascii="MS UI Gothic" w:eastAsia="MS UI Gothic"/>
          <w:w w:val="80"/>
        </w:rPr>
        <w:t xml:space="preserve">、 </w:t>
      </w:r>
      <w:r>
        <w:t>野外从事放射源工作时</w:t>
      </w:r>
      <w:r>
        <w:rPr>
          <w:rFonts w:hint="eastAsia" w:ascii="MS UI Gothic" w:eastAsia="MS UI Gothic"/>
          <w:w w:val="80"/>
        </w:rPr>
        <w:t xml:space="preserve">ꎬ </w:t>
      </w:r>
      <w:r>
        <w:t>煤层气企业必须根据辐射水平或者放射性污染的可能范围划出警戒区</w:t>
      </w:r>
      <w:r>
        <w:rPr>
          <w:rFonts w:hint="eastAsia" w:ascii="MS UI Gothic" w:eastAsia="MS UI Gothic"/>
          <w:w w:val="80"/>
        </w:rPr>
        <w:t>ꎬ</w:t>
      </w:r>
      <w:r>
        <w:t>在醒目位置设置电离辐射警告标志</w:t>
      </w:r>
      <w:r>
        <w:rPr>
          <w:rFonts w:hint="eastAsia" w:ascii="MS UI Gothic" w:eastAsia="MS UI Gothic"/>
          <w:w w:val="80"/>
        </w:rPr>
        <w:t xml:space="preserve">ꎬ </w:t>
      </w:r>
      <w:r>
        <w:t>设专人监护</w:t>
      </w:r>
      <w:r>
        <w:rPr>
          <w:rFonts w:hint="eastAsia" w:ascii="MS UI Gothic" w:eastAsia="MS UI Gothic"/>
          <w:w w:val="80"/>
        </w:rPr>
        <w:t xml:space="preserve">ꎬ </w:t>
      </w:r>
      <w:r>
        <w:t>防止无关人员进入警戒区</w:t>
      </w:r>
      <w:r>
        <w:rPr>
          <w:rFonts w:hint="eastAsia" w:ascii="MS UI Gothic" w:eastAsia="MS UI Gothic"/>
          <w:w w:val="80"/>
        </w:rPr>
        <w:t>ꎮ</w:t>
      </w:r>
    </w:p>
    <w:p>
      <w:pPr>
        <w:pStyle w:val="6"/>
        <w:spacing w:line="295" w:lineRule="auto"/>
        <w:ind w:right="442"/>
      </w:pPr>
      <w:r>
        <w:rPr>
          <w:w w:val="105"/>
        </w:rPr>
        <w:t>第九十五条 煤层气企业应当定期对</w:t>
      </w:r>
      <w:r>
        <w:t>从事放射性工作的人员进行个人剂量监测和职业健康检查</w:t>
      </w:r>
      <w:r>
        <w:rPr>
          <w:rFonts w:hint="eastAsia" w:ascii="MS UI Gothic" w:eastAsia="MS UI Gothic"/>
          <w:w w:val="80"/>
        </w:rPr>
        <w:t xml:space="preserve">ꎬ </w:t>
      </w:r>
      <w:r>
        <w:t>建立个人剂量档案和职业健康监护档案</w:t>
      </w:r>
      <w:r>
        <w:rPr>
          <w:rFonts w:hint="eastAsia" w:ascii="MS UI Gothic" w:eastAsia="MS UI Gothic"/>
          <w:w w:val="80"/>
        </w:rPr>
        <w:t xml:space="preserve">ꎮ </w:t>
      </w:r>
      <w:r>
        <w:t>如被确认为放射损伤者</w:t>
      </w:r>
      <w:r>
        <w:rPr>
          <w:rFonts w:hint="eastAsia" w:ascii="MS UI Gothic" w:eastAsia="MS UI Gothic"/>
          <w:w w:val="80"/>
        </w:rPr>
        <w:t xml:space="preserve">ꎬ </w:t>
      </w:r>
      <w:r>
        <w:t>煤层气企业应当将其调离放射性工作</w:t>
      </w:r>
    </w:p>
    <w:p>
      <w:pPr>
        <w:spacing w:after="0" w:line="295" w:lineRule="auto"/>
        <w:sectPr>
          <w:type w:val="continuous"/>
          <w:pgSz w:w="10500" w:h="14750"/>
          <w:pgMar w:top="1400" w:right="980" w:bottom="280" w:left="980" w:header="720" w:footer="720" w:gutter="0"/>
          <w:cols w:equalWidth="0" w:num="2">
            <w:col w:w="3936" w:space="256"/>
            <w:col w:w="4348"/>
          </w:cols>
        </w:sectPr>
      </w:pPr>
    </w:p>
    <w:p>
      <w:pPr>
        <w:pStyle w:val="6"/>
        <w:spacing w:before="8"/>
        <w:ind w:left="0" w:firstLine="0"/>
        <w:jc w:val="left"/>
        <w:rPr>
          <w:sz w:val="55"/>
        </w:rPr>
      </w:pPr>
    </w:p>
    <w:p>
      <w:pPr>
        <w:pStyle w:val="6"/>
        <w:spacing w:line="240" w:lineRule="exact"/>
        <w:ind w:left="440" w:firstLine="0"/>
        <w:jc w:val="left"/>
        <w:rPr>
          <w:rFonts w:hint="eastAsia" w:ascii="MS UI Gothic" w:eastAsia="MS UI Gothic"/>
        </w:rPr>
      </w:pPr>
      <w:r>
        <w:pict>
          <v:shape id="_x0000_s2095" o:spid="_x0000_s2095" style="position:absolute;left:0pt;margin-left:0pt;margin-top:664.5pt;height:1.75pt;width:398.25pt;mso-position-horizontal-relative:page;z-index:252092416;mso-width-relative:page;mso-height-relative:page;" filled="f" stroked="t" coordorigin="0,13290" coordsize="7965,35" path="m1419,-196l9384,-196m1419,-231l9384,-231e">
            <v:path arrowok="t"/>
            <v:fill on="f" focussize="0,0"/>
            <v:stroke weight="0.388031496062992pt" color="#231F20"/>
            <v:imagedata o:title=""/>
            <o:lock v:ext="edit"/>
          </v:shape>
        </w:pict>
      </w:r>
      <w:r>
        <w:t>并及时治疗</w:t>
      </w:r>
      <w:r>
        <w:rPr>
          <w:rFonts w:hint="eastAsia" w:ascii="MS UI Gothic" w:eastAsia="MS UI Gothic"/>
          <w:w w:val="80"/>
        </w:rPr>
        <w:t>ꎮ</w:t>
      </w:r>
    </w:p>
    <w:p>
      <w:pPr>
        <w:spacing w:before="192"/>
        <w:ind w:left="440" w:right="0" w:firstLine="0"/>
        <w:jc w:val="left"/>
        <w:rPr>
          <w:sz w:val="17"/>
        </w:rPr>
      </w:pPr>
      <w:r>
        <w:br w:type="column"/>
      </w: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spacing w:line="240" w:lineRule="exact"/>
        <w:ind w:left="1370" w:firstLine="0"/>
        <w:jc w:val="left"/>
        <w:rPr>
          <w:rFonts w:hint="eastAsia" w:ascii="MS UI Gothic" w:eastAsia="MS UI Gothic"/>
        </w:rPr>
      </w:pPr>
      <w:r>
        <w:t>域内及时拆除雷管和射孔弹</w:t>
      </w:r>
      <w:r>
        <w:rPr>
          <w:rFonts w:hint="eastAsia" w:ascii="MS UI Gothic" w:eastAsia="MS UI Gothic"/>
          <w:w w:val="80"/>
        </w:rPr>
        <w:t>ꎮ</w:t>
      </w:r>
    </w:p>
    <w:p>
      <w:pPr>
        <w:pStyle w:val="6"/>
        <w:spacing w:before="159"/>
        <w:ind w:left="221" w:firstLine="0"/>
        <w:jc w:val="left"/>
        <w:rPr>
          <w:rFonts w:hint="eastAsia" w:ascii="MS UI Gothic" w:eastAsia="MS UI Gothic"/>
        </w:rPr>
      </w:pPr>
      <w:r>
        <w:br w:type="column"/>
      </w:r>
      <w:r>
        <w:rPr>
          <w:rFonts w:hint="eastAsia" w:ascii="MS UI Gothic" w:eastAsia="MS UI Gothic"/>
          <w:spacing w:val="1"/>
          <w:w w:val="75"/>
        </w:rPr>
        <w:t>３６１</w:t>
      </w:r>
    </w:p>
    <w:p>
      <w:pPr>
        <w:spacing w:after="0"/>
        <w:jc w:val="left"/>
        <w:rPr>
          <w:rFonts w:hint="eastAsia" w:ascii="MS UI Gothic" w:eastAsia="MS UI Gothic"/>
        </w:rPr>
        <w:sectPr>
          <w:pgSz w:w="10500" w:h="14750"/>
          <w:pgMar w:top="960" w:right="980" w:bottom="280" w:left="980" w:header="720" w:footer="720" w:gutter="0"/>
          <w:cols w:equalWidth="0" w:num="3">
            <w:col w:w="1632" w:space="1630"/>
            <w:col w:w="3989" w:space="40"/>
            <w:col w:w="1249"/>
          </w:cols>
        </w:sectPr>
      </w:pPr>
    </w:p>
    <w:p>
      <w:pPr>
        <w:pStyle w:val="6"/>
        <w:spacing w:before="74" w:line="295" w:lineRule="auto"/>
        <w:ind w:left="440" w:right="1"/>
        <w:rPr>
          <w:rFonts w:hint="eastAsia" w:ascii="MS UI Gothic" w:eastAsia="MS UI Gothic"/>
        </w:rPr>
      </w:pPr>
      <w:r>
        <w:t>拟参加放射性工作的人员</w:t>
      </w:r>
      <w:r>
        <w:rPr>
          <w:rFonts w:hint="eastAsia" w:ascii="MS UI Gothic" w:eastAsia="MS UI Gothic"/>
          <w:w w:val="80"/>
        </w:rPr>
        <w:t xml:space="preserve">ꎬ </w:t>
      </w:r>
      <w:r>
        <w:t>必须经过体检</w:t>
      </w:r>
      <w:r>
        <w:rPr>
          <w:rFonts w:hint="eastAsia" w:ascii="MS UI Gothic" w:eastAsia="MS UI Gothic"/>
          <w:w w:val="80"/>
        </w:rPr>
        <w:t xml:space="preserve">ꎻ </w:t>
      </w:r>
      <w:r>
        <w:t>有不适应症者</w:t>
      </w:r>
      <w:r>
        <w:rPr>
          <w:rFonts w:hint="eastAsia" w:ascii="MS UI Gothic" w:eastAsia="MS UI Gothic"/>
          <w:w w:val="80"/>
        </w:rPr>
        <w:t xml:space="preserve">ꎬ </w:t>
      </w:r>
      <w:r>
        <w:t>不得参加此项工作</w:t>
      </w:r>
      <w:r>
        <w:rPr>
          <w:rFonts w:hint="eastAsia" w:ascii="MS UI Gothic" w:eastAsia="MS UI Gothic"/>
          <w:w w:val="80"/>
        </w:rPr>
        <w:t xml:space="preserve">ꎮ </w:t>
      </w:r>
      <w:r>
        <w:t>测井施工人员应当按照辐射防护的时间</w:t>
      </w:r>
      <w:r>
        <w:rPr>
          <w:rFonts w:hint="eastAsia" w:ascii="MS UI Gothic" w:eastAsia="MS UI Gothic"/>
        </w:rPr>
        <w:t xml:space="preserve">、 </w:t>
      </w:r>
      <w:r>
        <w:t>距离</w:t>
      </w:r>
      <w:r>
        <w:rPr>
          <w:rFonts w:hint="eastAsia" w:ascii="MS UI Gothic" w:eastAsia="MS UI Gothic"/>
        </w:rPr>
        <w:t xml:space="preserve">、 </w:t>
      </w:r>
      <w:r>
        <w:t>屏蔽原则</w:t>
      </w:r>
      <w:r>
        <w:rPr>
          <w:rFonts w:hint="eastAsia" w:ascii="MS UI Gothic" w:eastAsia="MS UI Gothic"/>
          <w:w w:val="80"/>
        </w:rPr>
        <w:t xml:space="preserve">ꎬ </w:t>
      </w:r>
      <w:r>
        <w:t>采取最优化的辐射防护方式</w:t>
      </w:r>
      <w:r>
        <w:rPr>
          <w:rFonts w:hint="eastAsia" w:ascii="MS UI Gothic" w:eastAsia="MS UI Gothic"/>
          <w:w w:val="80"/>
        </w:rPr>
        <w:t xml:space="preserve">ꎬ </w:t>
      </w:r>
      <w:r>
        <w:t>进行装</w:t>
      </w:r>
      <w:r>
        <w:rPr>
          <w:rFonts w:hint="eastAsia" w:ascii="MS UI Gothic" w:eastAsia="MS UI Gothic"/>
        </w:rPr>
        <w:t xml:space="preserve">、 </w:t>
      </w:r>
      <w:r>
        <w:t>卸放射源作业</w:t>
      </w:r>
      <w:r>
        <w:rPr>
          <w:rFonts w:hint="eastAsia" w:ascii="MS UI Gothic" w:eastAsia="MS UI Gothic"/>
          <w:w w:val="80"/>
        </w:rPr>
        <w:t xml:space="preserve">ꎬ </w:t>
      </w:r>
      <w:r>
        <w:t>禁止直接接触放射源</w:t>
      </w:r>
      <w:r>
        <w:rPr>
          <w:rFonts w:hint="eastAsia" w:ascii="MS UI Gothic" w:eastAsia="MS UI Gothic"/>
          <w:w w:val="80"/>
        </w:rPr>
        <w:t>ꎮ</w:t>
      </w:r>
    </w:p>
    <w:p>
      <w:pPr>
        <w:pStyle w:val="6"/>
        <w:spacing w:line="295" w:lineRule="auto"/>
        <w:ind w:left="440" w:right="1"/>
        <w:rPr>
          <w:rFonts w:hint="eastAsia" w:ascii="MS UI Gothic" w:eastAsia="MS UI Gothic"/>
        </w:rPr>
      </w:pPr>
      <w:r>
        <w:t>第九十六条 严禁打开放射源的密封外壳</w:t>
      </w:r>
      <w:r>
        <w:rPr>
          <w:rFonts w:hint="eastAsia" w:ascii="MS UI Gothic" w:eastAsia="MS UI Gothic"/>
          <w:w w:val="80"/>
        </w:rPr>
        <w:t xml:space="preserve">ꎬ </w:t>
      </w:r>
      <w:r>
        <w:t>严禁使用密封破坏的可溶性放射源测井</w:t>
      </w:r>
      <w:r>
        <w:rPr>
          <w:rFonts w:hint="eastAsia" w:ascii="MS UI Gothic" w:eastAsia="MS UI Gothic"/>
          <w:w w:val="80"/>
        </w:rPr>
        <w:t xml:space="preserve">ꎮ </w:t>
      </w:r>
      <w:r>
        <w:t>必须裸露使用放射源时</w:t>
      </w:r>
      <w:r>
        <w:rPr>
          <w:rFonts w:hint="eastAsia" w:ascii="MS UI Gothic" w:eastAsia="MS UI Gothic"/>
          <w:w w:val="80"/>
        </w:rPr>
        <w:t xml:space="preserve">ꎬ </w:t>
      </w:r>
      <w:r>
        <w:t>应当使用专用工具</w:t>
      </w:r>
      <w:r>
        <w:rPr>
          <w:rFonts w:hint="eastAsia" w:ascii="MS UI Gothic" w:eastAsia="MS UI Gothic"/>
          <w:w w:val="80"/>
        </w:rPr>
        <w:t xml:space="preserve">ꎮ </w:t>
      </w:r>
      <w:r>
        <w:t>放射性液体和固体废物应当收集在贮存设施内封存</w:t>
      </w:r>
      <w:r>
        <w:rPr>
          <w:rFonts w:hint="eastAsia" w:ascii="MS UI Gothic" w:eastAsia="MS UI Gothic"/>
          <w:w w:val="80"/>
        </w:rPr>
        <w:t xml:space="preserve">ꎬ </w:t>
      </w:r>
      <w:r>
        <w:t>定期上交当地环境保护行政主管部门处理</w:t>
      </w:r>
      <w:r>
        <w:rPr>
          <w:rFonts w:hint="eastAsia" w:ascii="MS UI Gothic" w:eastAsia="MS UI Gothic"/>
          <w:w w:val="80"/>
        </w:rPr>
        <w:t>ꎮ</w:t>
      </w:r>
    </w:p>
    <w:p>
      <w:pPr>
        <w:pStyle w:val="6"/>
        <w:spacing w:line="295" w:lineRule="auto"/>
        <w:ind w:left="440"/>
        <w:rPr>
          <w:rFonts w:hint="eastAsia" w:ascii="MS UI Gothic" w:hAnsi="MS UI Gothic" w:eastAsia="MS UI Gothic"/>
        </w:rPr>
      </w:pPr>
      <w:r>
        <w:t>第九十七条 放射源的调拨</w:t>
      </w:r>
      <w:r>
        <w:rPr>
          <w:rFonts w:hint="eastAsia" w:ascii="MS UI Gothic" w:hAnsi="MS UI Gothic" w:eastAsia="MS UI Gothic"/>
          <w:w w:val="80"/>
        </w:rPr>
        <w:t xml:space="preserve">、 </w:t>
      </w:r>
      <w:r>
        <w:t>处理</w:t>
      </w:r>
      <w:r>
        <w:rPr>
          <w:rFonts w:hint="eastAsia" w:ascii="MS UI Gothic" w:hAnsi="MS UI Gothic" w:eastAsia="MS UI Gothic"/>
          <w:w w:val="80"/>
        </w:rPr>
        <w:t>、</w:t>
      </w:r>
      <w:r>
        <w:t>转让</w:t>
      </w:r>
      <w:r>
        <w:rPr>
          <w:rFonts w:hint="eastAsia" w:ascii="MS UI Gothic" w:hAnsi="MS UI Gothic" w:eastAsia="MS UI Gothic"/>
          <w:w w:val="80"/>
        </w:rPr>
        <w:t xml:space="preserve">、 </w:t>
      </w:r>
      <w:r>
        <w:t>废弃处理</w:t>
      </w:r>
      <w:r>
        <w:rPr>
          <w:rFonts w:hint="eastAsia" w:ascii="MS UI Gothic" w:hAnsi="MS UI Gothic" w:eastAsia="MS UI Gothic"/>
          <w:w w:val="80"/>
        </w:rPr>
        <w:t xml:space="preserve">ꎬ </w:t>
      </w:r>
      <w:r>
        <w:t>以及遇有放射源被盗</w:t>
      </w:r>
      <w:r>
        <w:rPr>
          <w:rFonts w:hint="eastAsia" w:ascii="MS UI Gothic" w:hAnsi="MS UI Gothic" w:eastAsia="MS UI Gothic"/>
          <w:w w:val="80"/>
        </w:rPr>
        <w:t>、</w:t>
      </w:r>
      <w:r>
        <w:t>遗失等放射性事故时</w:t>
      </w:r>
      <w:r>
        <w:rPr>
          <w:rFonts w:hint="eastAsia" w:ascii="MS UI Gothic" w:hAnsi="MS UI Gothic" w:eastAsia="MS UI Gothic"/>
          <w:w w:val="80"/>
        </w:rPr>
        <w:t xml:space="preserve">ꎬ </w:t>
      </w:r>
      <w:r>
        <w:t xml:space="preserve">煤层气企业必须按照 </w:t>
      </w:r>
      <w:r>
        <w:rPr>
          <w:rFonts w:hint="eastAsia" w:ascii="MS UI Gothic" w:hAnsi="MS UI Gothic" w:eastAsia="MS UI Gothic"/>
          <w:w w:val="80"/>
        </w:rPr>
        <w:t xml:space="preserve">« </w:t>
      </w:r>
      <w:r>
        <w:t>放射性同位素与射线装置安全和防护条例</w:t>
      </w:r>
      <w:r>
        <w:rPr>
          <w:rFonts w:hint="eastAsia" w:ascii="MS UI Gothic" w:hAnsi="MS UI Gothic" w:eastAsia="MS UI Gothic"/>
          <w:w w:val="80"/>
        </w:rPr>
        <w:t xml:space="preserve">» </w:t>
      </w:r>
      <w:r>
        <w:t xml:space="preserve">和 </w:t>
      </w:r>
      <w:r>
        <w:rPr>
          <w:rFonts w:hint="eastAsia" w:ascii="MS UI Gothic" w:hAnsi="MS UI Gothic" w:eastAsia="MS UI Gothic"/>
          <w:w w:val="80"/>
        </w:rPr>
        <w:t xml:space="preserve">« </w:t>
      </w:r>
      <w:r>
        <w:t>放射事故管理规定</w:t>
      </w:r>
      <w:r>
        <w:rPr>
          <w:rFonts w:hint="eastAsia" w:ascii="MS UI Gothic" w:hAnsi="MS UI Gothic" w:eastAsia="MS UI Gothic"/>
          <w:w w:val="80"/>
        </w:rPr>
        <w:t xml:space="preserve">»  </w:t>
      </w:r>
      <w:r>
        <w:t>的规定进行妥善处理</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t>放射源掉入井内的</w:t>
      </w:r>
      <w:r>
        <w:rPr>
          <w:rFonts w:hint="eastAsia" w:ascii="MS UI Gothic" w:eastAsia="MS UI Gothic"/>
          <w:w w:val="80"/>
        </w:rPr>
        <w:t xml:space="preserve">ꎬ </w:t>
      </w:r>
      <w:r>
        <w:t>煤层气企业应当及时打捞</w:t>
      </w:r>
      <w:r>
        <w:rPr>
          <w:rFonts w:hint="eastAsia" w:ascii="MS UI Gothic" w:eastAsia="MS UI Gothic"/>
          <w:w w:val="80"/>
        </w:rPr>
        <w:t xml:space="preserve">ꎬ </w:t>
      </w:r>
      <w:r>
        <w:t>并指定专人负责实施</w:t>
      </w:r>
      <w:r>
        <w:rPr>
          <w:rFonts w:hint="eastAsia" w:ascii="MS UI Gothic" w:eastAsia="MS UI Gothic"/>
          <w:w w:val="80"/>
        </w:rPr>
        <w:t xml:space="preserve">ꎻ </w:t>
      </w:r>
      <w:r>
        <w:t>打捞失败的</w:t>
      </w:r>
      <w:r>
        <w:rPr>
          <w:rFonts w:hint="eastAsia" w:ascii="MS UI Gothic" w:eastAsia="MS UI Gothic"/>
          <w:w w:val="80"/>
        </w:rPr>
        <w:t xml:space="preserve">ꎬ </w:t>
      </w:r>
      <w:r>
        <w:t>应当检测放射源所在位置</w:t>
      </w:r>
      <w:r>
        <w:rPr>
          <w:rFonts w:hint="eastAsia" w:ascii="MS UI Gothic" w:eastAsia="MS UI Gothic"/>
          <w:w w:val="80"/>
        </w:rPr>
        <w:t xml:space="preserve">ꎬ </w:t>
      </w:r>
      <w:r>
        <w:t>并按照有关规定打水泥塞封固</w:t>
      </w:r>
      <w:r>
        <w:rPr>
          <w:rFonts w:hint="eastAsia" w:ascii="MS UI Gothic" w:eastAsia="MS UI Gothic"/>
          <w:w w:val="80"/>
        </w:rPr>
        <w:t>ꎮ</w:t>
      </w:r>
    </w:p>
    <w:p>
      <w:pPr>
        <w:pStyle w:val="6"/>
        <w:spacing w:line="295" w:lineRule="auto"/>
        <w:ind w:left="440" w:right="1"/>
        <w:rPr>
          <w:rFonts w:hint="eastAsia" w:ascii="MS UI Gothic" w:eastAsia="MS UI Gothic"/>
        </w:rPr>
      </w:pPr>
      <w:r>
        <w:t>第九十八条 严禁在放射工作场所吸烟</w:t>
      </w:r>
      <w:r>
        <w:rPr>
          <w:rFonts w:hint="eastAsia" w:ascii="MS UI Gothic" w:eastAsia="MS UI Gothic"/>
          <w:w w:val="80"/>
        </w:rPr>
        <w:t xml:space="preserve">、 </w:t>
      </w:r>
      <w:r>
        <w:t>进食和饮水</w:t>
      </w:r>
      <w:r>
        <w:rPr>
          <w:rFonts w:hint="eastAsia" w:ascii="MS UI Gothic" w:eastAsia="MS UI Gothic"/>
          <w:w w:val="80"/>
        </w:rPr>
        <w:t>ꎮ</w:t>
      </w:r>
    </w:p>
    <w:p>
      <w:pPr>
        <w:pStyle w:val="6"/>
        <w:tabs>
          <w:tab w:val="left" w:pos="2327"/>
          <w:tab w:val="left" w:pos="2956"/>
        </w:tabs>
        <w:spacing w:before="138"/>
        <w:ind w:left="1488" w:firstLine="0"/>
        <w:jc w:val="left"/>
      </w:pPr>
      <w:r>
        <w:rPr>
          <w:spacing w:val="3"/>
          <w:w w:val="105"/>
        </w:rPr>
        <w:t>第七</w:t>
      </w:r>
      <w:r>
        <w:rPr>
          <w:w w:val="105"/>
        </w:rPr>
        <w:t>章</w:t>
      </w:r>
      <w:r>
        <w:rPr>
          <w:w w:val="105"/>
        </w:rPr>
        <w:tab/>
      </w:r>
      <w:r>
        <w:rPr>
          <w:w w:val="105"/>
        </w:rPr>
        <w:t>射</w:t>
      </w:r>
      <w:r>
        <w:rPr>
          <w:w w:val="105"/>
        </w:rPr>
        <w:tab/>
      </w:r>
      <w:r>
        <w:rPr>
          <w:w w:val="105"/>
        </w:rPr>
        <w:t>孔</w:t>
      </w:r>
    </w:p>
    <w:p>
      <w:pPr>
        <w:pStyle w:val="6"/>
        <w:spacing w:before="216" w:line="295" w:lineRule="auto"/>
        <w:ind w:left="860" w:right="1" w:firstLine="0"/>
      </w:pPr>
      <w:r>
        <w:rPr>
          <w:w w:val="105"/>
        </w:rPr>
        <w:t>第九十九条 射孔作业前应当通井</w:t>
      </w:r>
      <w:r>
        <w:rPr>
          <w:rFonts w:hint="eastAsia" w:ascii="MS UI Gothic" w:eastAsia="MS UI Gothic"/>
          <w:w w:val="80"/>
        </w:rPr>
        <w:t>ꎮ</w:t>
      </w:r>
      <w:r>
        <w:rPr>
          <w:w w:val="105"/>
        </w:rPr>
        <w:t>射孔作业现场周围的车辆</w:t>
      </w:r>
      <w:r>
        <w:rPr>
          <w:rFonts w:hint="eastAsia" w:ascii="MS UI Gothic" w:eastAsia="MS UI Gothic"/>
          <w:w w:val="80"/>
        </w:rPr>
        <w:t xml:space="preserve">、 </w:t>
      </w:r>
      <w:r>
        <w:rPr>
          <w:w w:val="105"/>
        </w:rPr>
        <w:t>人员不得</w:t>
      </w:r>
    </w:p>
    <w:p>
      <w:pPr>
        <w:pStyle w:val="6"/>
        <w:spacing w:line="295" w:lineRule="auto"/>
        <w:ind w:left="440" w:right="1" w:firstLine="0"/>
        <w:rPr>
          <w:rFonts w:hint="eastAsia" w:ascii="MS UI Gothic" w:eastAsia="MS UI Gothic"/>
        </w:rPr>
      </w:pPr>
      <w:r>
        <w:t>使用无线电通信设备</w:t>
      </w:r>
      <w:r>
        <w:rPr>
          <w:rFonts w:hint="eastAsia" w:ascii="MS UI Gothic" w:eastAsia="MS UI Gothic"/>
          <w:w w:val="80"/>
        </w:rPr>
        <w:t xml:space="preserve">ꎻ </w:t>
      </w:r>
      <w:r>
        <w:t>装配现场除工作人员外</w:t>
      </w:r>
      <w:r>
        <w:rPr>
          <w:rFonts w:hint="eastAsia" w:ascii="MS UI Gothic" w:eastAsia="MS UI Gothic"/>
          <w:w w:val="80"/>
        </w:rPr>
        <w:t xml:space="preserve">ꎬ </w:t>
      </w:r>
      <w:r>
        <w:t>严禁其他人员进入</w:t>
      </w:r>
      <w:r>
        <w:rPr>
          <w:rFonts w:hint="eastAsia" w:ascii="MS UI Gothic" w:eastAsia="MS UI Gothic"/>
          <w:w w:val="80"/>
        </w:rPr>
        <w:t xml:space="preserve">ꎬ </w:t>
      </w:r>
      <w:r>
        <w:t>严禁吸烟和使用明火</w:t>
      </w:r>
      <w:r>
        <w:rPr>
          <w:rFonts w:hint="eastAsia" w:ascii="MS UI Gothic" w:eastAsia="MS UI Gothic"/>
          <w:w w:val="80"/>
        </w:rPr>
        <w:t xml:space="preserve">ꎮ </w:t>
      </w:r>
      <w:r>
        <w:t>装配时</w:t>
      </w:r>
      <w:r>
        <w:rPr>
          <w:rFonts w:hint="eastAsia" w:ascii="MS UI Gothic" w:eastAsia="MS UI Gothic"/>
          <w:w w:val="80"/>
        </w:rPr>
        <w:t xml:space="preserve">ꎬ </w:t>
      </w:r>
      <w:r>
        <w:t>操作人员应当站在射孔枪的安全方位</w:t>
      </w:r>
      <w:r>
        <w:rPr>
          <w:rFonts w:hint="eastAsia" w:ascii="MS UI Gothic" w:eastAsia="MS UI Gothic"/>
          <w:w w:val="80"/>
        </w:rPr>
        <w:t>ꎮ</w:t>
      </w:r>
    </w:p>
    <w:p>
      <w:pPr>
        <w:pStyle w:val="6"/>
        <w:spacing w:line="295" w:lineRule="auto"/>
        <w:ind w:left="440" w:right="1"/>
      </w:pPr>
      <w:r>
        <w:t>第一百条 煤层气企业在井口进行接线时</w:t>
      </w:r>
      <w:r>
        <w:rPr>
          <w:rFonts w:hint="eastAsia" w:ascii="MS UI Gothic" w:eastAsia="MS UI Gothic"/>
          <w:w w:val="80"/>
        </w:rPr>
        <w:t xml:space="preserve">ꎬ </w:t>
      </w:r>
      <w:r>
        <w:t>应当将枪身全部下入井内</w:t>
      </w:r>
      <w:r>
        <w:rPr>
          <w:rFonts w:hint="eastAsia" w:ascii="MS UI Gothic" w:eastAsia="MS UI Gothic"/>
          <w:w w:val="80"/>
        </w:rPr>
        <w:t xml:space="preserve">ꎬ </w:t>
      </w:r>
      <w:r>
        <w:t>电缆芯对地短路放电后方可接通</w:t>
      </w:r>
      <w:r>
        <w:rPr>
          <w:rFonts w:hint="eastAsia" w:ascii="MS UI Gothic" w:eastAsia="MS UI Gothic"/>
          <w:w w:val="80"/>
        </w:rPr>
        <w:t xml:space="preserve">ꎮ </w:t>
      </w:r>
      <w:r>
        <w:t>未起爆的枪身应当在断开引线并做好绝缘后</w:t>
      </w:r>
      <w:r>
        <w:rPr>
          <w:rFonts w:hint="eastAsia" w:ascii="MS UI Gothic" w:eastAsia="MS UI Gothic"/>
          <w:w w:val="80"/>
        </w:rPr>
        <w:t xml:space="preserve">ꎬ </w:t>
      </w:r>
      <w:r>
        <w:t>方可起出井口</w:t>
      </w:r>
      <w:r>
        <w:rPr>
          <w:rFonts w:hint="eastAsia" w:ascii="MS UI Gothic" w:eastAsia="MS UI Gothic"/>
          <w:w w:val="80"/>
        </w:rPr>
        <w:t xml:space="preserve">ꎮ </w:t>
      </w:r>
      <w:r>
        <w:t>未起爆的枪身或者已装好的枪身不再进行施工时</w:t>
      </w:r>
      <w:r>
        <w:rPr>
          <w:rFonts w:hint="eastAsia" w:ascii="MS UI Gothic" w:eastAsia="MS UI Gothic"/>
          <w:w w:val="80"/>
        </w:rPr>
        <w:t xml:space="preserve">ꎬ </w:t>
      </w:r>
      <w:r>
        <w:t>应当在圈闭相应的作业区</w:t>
      </w:r>
    </w:p>
    <w:p>
      <w:pPr>
        <w:pStyle w:val="6"/>
        <w:spacing w:before="74" w:line="295" w:lineRule="auto"/>
        <w:ind w:left="381" w:right="126"/>
        <w:rPr>
          <w:rFonts w:hint="eastAsia" w:ascii="MS UI Gothic" w:eastAsia="MS UI Gothic"/>
        </w:rPr>
      </w:pPr>
      <w:r>
        <w:br w:type="column"/>
      </w:r>
      <w:r>
        <w:t>使用过的射孔弹</w:t>
      </w:r>
      <w:r>
        <w:rPr>
          <w:rFonts w:hint="eastAsia" w:ascii="MS UI Gothic" w:eastAsia="MS UI Gothic"/>
          <w:w w:val="80"/>
        </w:rPr>
        <w:t xml:space="preserve">、 </w:t>
      </w:r>
      <w:r>
        <w:t>雷管不得再次使用</w:t>
      </w:r>
      <w:r>
        <w:rPr>
          <w:rFonts w:hint="eastAsia" w:ascii="MS UI Gothic" w:eastAsia="MS UI Gothic"/>
          <w:w w:val="80"/>
        </w:rPr>
        <w:t>ꎮ</w:t>
      </w:r>
    </w:p>
    <w:p>
      <w:pPr>
        <w:pStyle w:val="6"/>
        <w:spacing w:line="295" w:lineRule="auto"/>
        <w:ind w:left="381" w:right="126"/>
        <w:rPr>
          <w:rFonts w:hint="eastAsia" w:ascii="MS UI Gothic" w:eastAsia="MS UI Gothic"/>
        </w:rPr>
      </w:pPr>
      <w:r>
        <w:t>第一百零一条 撞击式井壁取心器炸药的使用</w:t>
      </w:r>
      <w:r>
        <w:rPr>
          <w:rFonts w:hint="eastAsia" w:ascii="MS UI Gothic" w:eastAsia="MS UI Gothic"/>
          <w:w w:val="80"/>
        </w:rPr>
        <w:t xml:space="preserve">ꎬ </w:t>
      </w:r>
      <w:r>
        <w:t>应当遵守国家有关火工品安全管理的规定</w:t>
      </w:r>
      <w:r>
        <w:rPr>
          <w:rFonts w:hint="eastAsia" w:ascii="MS UI Gothic" w:eastAsia="MS UI Gothic"/>
          <w:w w:val="80"/>
        </w:rPr>
        <w:t>ꎮ</w:t>
      </w:r>
    </w:p>
    <w:p>
      <w:pPr>
        <w:pStyle w:val="6"/>
        <w:spacing w:line="295" w:lineRule="auto"/>
        <w:ind w:left="375" w:right="126" w:firstLine="425"/>
        <w:rPr>
          <w:rFonts w:hint="eastAsia" w:ascii="MS UI Gothic" w:eastAsia="MS UI Gothic"/>
        </w:rPr>
      </w:pPr>
      <w:r>
        <w:t>第一百零二条 检测雷管时</w:t>
      </w:r>
      <w:r>
        <w:rPr>
          <w:rFonts w:hint="eastAsia" w:ascii="MS UI Gothic" w:eastAsia="MS UI Gothic"/>
          <w:w w:val="85"/>
        </w:rPr>
        <w:t xml:space="preserve">ꎬ </w:t>
      </w:r>
      <w:r>
        <w:t>检测人员应当使用爆破欧姆表测量</w:t>
      </w:r>
      <w:r>
        <w:rPr>
          <w:rFonts w:hint="eastAsia" w:ascii="MS UI Gothic" w:eastAsia="MS UI Gothic"/>
          <w:w w:val="85"/>
        </w:rPr>
        <w:t xml:space="preserve">ꎬ </w:t>
      </w:r>
      <w:r>
        <w:t>下深超过</w:t>
      </w:r>
      <w:r>
        <w:rPr>
          <w:rFonts w:hint="eastAsia" w:ascii="MS UI Gothic" w:eastAsia="MS UI Gothic"/>
          <w:w w:val="85"/>
        </w:rPr>
        <w:t xml:space="preserve">７０ </w:t>
      </w:r>
      <w:r>
        <w:t>米时方可接通电源</w:t>
      </w:r>
      <w:r>
        <w:rPr>
          <w:rFonts w:hint="eastAsia" w:ascii="MS UI Gothic" w:eastAsia="MS UI Gothic"/>
          <w:w w:val="85"/>
        </w:rPr>
        <w:t>ꎮ</w:t>
      </w:r>
    </w:p>
    <w:p>
      <w:pPr>
        <w:pStyle w:val="6"/>
        <w:spacing w:line="295" w:lineRule="auto"/>
        <w:ind w:left="381" w:right="126"/>
        <w:rPr>
          <w:rFonts w:hint="eastAsia" w:ascii="MS UI Gothic" w:eastAsia="MS UI Gothic"/>
        </w:rPr>
      </w:pPr>
      <w:r>
        <w:rPr>
          <w:w w:val="105"/>
        </w:rPr>
        <w:t>第一百零三条 大雾</w:t>
      </w:r>
      <w:r>
        <w:rPr>
          <w:rFonts w:hint="eastAsia" w:ascii="MS UI Gothic" w:eastAsia="MS UI Gothic"/>
          <w:w w:val="80"/>
        </w:rPr>
        <w:t xml:space="preserve">、 </w:t>
      </w:r>
      <w:r>
        <w:rPr>
          <w:w w:val="105"/>
        </w:rPr>
        <w:t>雷雨</w:t>
      </w:r>
      <w:r>
        <w:rPr>
          <w:rFonts w:hint="eastAsia" w:ascii="MS UI Gothic" w:eastAsia="MS UI Gothic"/>
          <w:w w:val="80"/>
        </w:rPr>
        <w:t xml:space="preserve">、 </w:t>
      </w:r>
      <w:r>
        <w:rPr>
          <w:w w:val="105"/>
        </w:rPr>
        <w:t xml:space="preserve">七级风以上 </w:t>
      </w:r>
      <w:r>
        <w:rPr>
          <w:rFonts w:hint="eastAsia" w:ascii="MS UI Gothic" w:eastAsia="MS UI Gothic"/>
          <w:w w:val="150"/>
        </w:rPr>
        <w:t xml:space="preserve">( </w:t>
      </w:r>
      <w:r>
        <w:rPr>
          <w:w w:val="105"/>
        </w:rPr>
        <w:t>含七级</w:t>
      </w:r>
      <w:r>
        <w:rPr>
          <w:rFonts w:hint="eastAsia" w:ascii="MS UI Gothic" w:eastAsia="MS UI Gothic"/>
          <w:w w:val="150"/>
        </w:rPr>
        <w:t xml:space="preserve">) </w:t>
      </w:r>
      <w:r>
        <w:rPr>
          <w:w w:val="105"/>
        </w:rPr>
        <w:t>天气及夜间不得进行射孔和井壁取心作业</w:t>
      </w:r>
      <w:r>
        <w:rPr>
          <w:rFonts w:hint="eastAsia" w:ascii="MS UI Gothic" w:eastAsia="MS UI Gothic"/>
          <w:w w:val="80"/>
        </w:rPr>
        <w:t>ꎮ</w:t>
      </w:r>
    </w:p>
    <w:p>
      <w:pPr>
        <w:pStyle w:val="6"/>
        <w:spacing w:line="295" w:lineRule="auto"/>
        <w:ind w:left="381" w:right="124"/>
        <w:rPr>
          <w:rFonts w:hint="eastAsia" w:ascii="MS UI Gothic" w:eastAsia="MS UI Gothic"/>
        </w:rPr>
      </w:pPr>
      <w:r>
        <w:t>第一百零四条 施工结束返回后</w:t>
      </w:r>
      <w:r>
        <w:rPr>
          <w:rFonts w:hint="eastAsia" w:ascii="MS UI Gothic" w:eastAsia="MS UI Gothic"/>
          <w:w w:val="80"/>
        </w:rPr>
        <w:t xml:space="preserve">ꎬ </w:t>
      </w:r>
      <w:r>
        <w:t>施工人员应当直接将剩余火工品送交库房</w:t>
      </w:r>
      <w:r>
        <w:rPr>
          <w:rFonts w:hint="eastAsia" w:ascii="MS UI Gothic" w:eastAsia="MS UI Gothic"/>
          <w:w w:val="80"/>
        </w:rPr>
        <w:t>ꎬ</w:t>
      </w:r>
      <w:r>
        <w:t>并与保管员办理交接手续</w:t>
      </w:r>
      <w:r>
        <w:rPr>
          <w:rFonts w:hint="eastAsia" w:ascii="MS UI Gothic" w:eastAsia="MS UI Gothic"/>
          <w:w w:val="80"/>
        </w:rPr>
        <w:t>ꎮ</w:t>
      </w:r>
    </w:p>
    <w:p>
      <w:pPr>
        <w:pStyle w:val="6"/>
        <w:spacing w:line="295" w:lineRule="auto"/>
        <w:ind w:left="381" w:right="126"/>
        <w:rPr>
          <w:rFonts w:hint="eastAsia" w:ascii="MS UI Gothic" w:eastAsia="MS UI Gothic"/>
        </w:rPr>
      </w:pPr>
      <w:r>
        <w:t>爆炸物品的销毁</w:t>
      </w:r>
      <w:r>
        <w:rPr>
          <w:rFonts w:hint="eastAsia" w:ascii="MS UI Gothic" w:eastAsia="MS UI Gothic"/>
          <w:w w:val="80"/>
        </w:rPr>
        <w:t xml:space="preserve">ꎬ </w:t>
      </w:r>
      <w:r>
        <w:t>应当符合国家有关石油射孔和井壁取心用爆炸物品销毁标准的规定</w:t>
      </w:r>
      <w:r>
        <w:rPr>
          <w:rFonts w:hint="eastAsia" w:ascii="MS UI Gothic" w:eastAsia="MS UI Gothic"/>
          <w:w w:val="80"/>
        </w:rPr>
        <w:t>ꎮ</w:t>
      </w:r>
    </w:p>
    <w:p>
      <w:pPr>
        <w:pStyle w:val="6"/>
        <w:tabs>
          <w:tab w:val="left" w:pos="2267"/>
          <w:tab w:val="left" w:pos="2896"/>
        </w:tabs>
        <w:spacing w:before="144"/>
        <w:ind w:left="1429" w:firstLine="0"/>
        <w:jc w:val="left"/>
      </w:pPr>
      <w:r>
        <w:rPr>
          <w:spacing w:val="3"/>
          <w:w w:val="105"/>
        </w:rPr>
        <w:t>第八</w:t>
      </w:r>
      <w:r>
        <w:rPr>
          <w:w w:val="105"/>
        </w:rPr>
        <w:t>章</w:t>
      </w:r>
      <w:r>
        <w:rPr>
          <w:w w:val="105"/>
        </w:rPr>
        <w:tab/>
      </w:r>
      <w:r>
        <w:rPr>
          <w:w w:val="105"/>
        </w:rPr>
        <w:t>压</w:t>
      </w:r>
      <w:r>
        <w:rPr>
          <w:w w:val="105"/>
        </w:rPr>
        <w:tab/>
      </w:r>
      <w:r>
        <w:rPr>
          <w:w w:val="105"/>
        </w:rPr>
        <w:t>裂</w:t>
      </w:r>
    </w:p>
    <w:p>
      <w:pPr>
        <w:pStyle w:val="6"/>
        <w:spacing w:before="215" w:line="295" w:lineRule="auto"/>
        <w:ind w:left="381" w:right="126"/>
        <w:rPr>
          <w:rFonts w:hint="eastAsia" w:ascii="MS UI Gothic" w:eastAsia="MS UI Gothic"/>
        </w:rPr>
      </w:pPr>
      <w:r>
        <w:rPr>
          <w:w w:val="105"/>
        </w:rPr>
        <w:t>第一百零五条 井场应当具备能摆放</w:t>
      </w:r>
      <w:r>
        <w:t>压裂设备并方便作业的足够面积</w:t>
      </w:r>
      <w:r>
        <w:rPr>
          <w:rFonts w:hint="eastAsia" w:ascii="MS UI Gothic" w:eastAsia="MS UI Gothic"/>
          <w:w w:val="80"/>
        </w:rPr>
        <w:t xml:space="preserve">ꎬ </w:t>
      </w:r>
      <w:r>
        <w:t>设有明</w:t>
      </w:r>
      <w:r>
        <w:rPr>
          <w:w w:val="105"/>
        </w:rPr>
        <w:t>确的安全警示标志</w:t>
      </w:r>
      <w:r>
        <w:rPr>
          <w:rFonts w:hint="eastAsia" w:ascii="MS UI Gothic" w:eastAsia="MS UI Gothic"/>
          <w:w w:val="80"/>
        </w:rPr>
        <w:t>ꎮ</w:t>
      </w:r>
    </w:p>
    <w:p>
      <w:pPr>
        <w:pStyle w:val="6"/>
        <w:spacing w:line="295" w:lineRule="auto"/>
        <w:ind w:left="381" w:right="126"/>
        <w:rPr>
          <w:rFonts w:hint="eastAsia" w:ascii="MS UI Gothic" w:eastAsia="MS UI Gothic"/>
        </w:rPr>
      </w:pPr>
      <w:r>
        <w:t>第一百零六条 施工作业前</w:t>
      </w:r>
      <w:r>
        <w:rPr>
          <w:rFonts w:hint="eastAsia" w:ascii="MS UI Gothic" w:eastAsia="MS UI Gothic"/>
          <w:w w:val="80"/>
        </w:rPr>
        <w:t xml:space="preserve">ꎬ </w:t>
      </w:r>
      <w:r>
        <w:t>施工人员应当详细了解井场内地下管线及电缆分布情况</w:t>
      </w:r>
      <w:r>
        <w:rPr>
          <w:rFonts w:hint="eastAsia" w:ascii="MS UI Gothic" w:eastAsia="MS UI Gothic"/>
          <w:w w:val="80"/>
        </w:rPr>
        <w:t xml:space="preserve">ꎬ </w:t>
      </w:r>
      <w:r>
        <w:t>并按照设计要求做好施工前准备</w:t>
      </w:r>
      <w:r>
        <w:rPr>
          <w:rFonts w:hint="eastAsia" w:ascii="MS UI Gothic" w:eastAsia="MS UI Gothic"/>
          <w:w w:val="80"/>
        </w:rPr>
        <w:t>ꎮ</w:t>
      </w:r>
    </w:p>
    <w:p>
      <w:pPr>
        <w:pStyle w:val="6"/>
        <w:spacing w:line="295" w:lineRule="auto"/>
        <w:ind w:left="381" w:right="126"/>
        <w:rPr>
          <w:rFonts w:hint="eastAsia" w:ascii="MS UI Gothic" w:eastAsia="MS UI Gothic"/>
        </w:rPr>
      </w:pPr>
      <w:r>
        <w:t>第一百零七条 新井</w:t>
      </w:r>
      <w:r>
        <w:rPr>
          <w:rFonts w:hint="eastAsia" w:ascii="MS UI Gothic" w:eastAsia="MS UI Gothic"/>
          <w:w w:val="80"/>
        </w:rPr>
        <w:t xml:space="preserve">、 </w:t>
      </w:r>
      <w:r>
        <w:t>一年内未进行任何作业的老井均应当进行通井</w:t>
      </w:r>
      <w:r>
        <w:rPr>
          <w:rFonts w:hint="eastAsia" w:ascii="MS UI Gothic" w:eastAsia="MS UI Gothic"/>
          <w:w w:val="80"/>
        </w:rPr>
        <w:t xml:space="preserve">ꎮ </w:t>
      </w:r>
      <w:r>
        <w:t>通井时遇到异常情况的</w:t>
      </w:r>
      <w:r>
        <w:rPr>
          <w:rFonts w:hint="eastAsia" w:ascii="MS UI Gothic" w:eastAsia="MS UI Gothic"/>
          <w:w w:val="80"/>
        </w:rPr>
        <w:t xml:space="preserve">ꎬ </w:t>
      </w:r>
      <w:r>
        <w:t>施工人员应当在采取有效措施后方可继续作业</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第一百零八条 压裂设备</w:t>
      </w:r>
      <w:r>
        <w:rPr>
          <w:rFonts w:hint="eastAsia" w:ascii="MS UI Gothic" w:eastAsia="MS UI Gothic"/>
          <w:w w:val="80"/>
        </w:rPr>
        <w:t xml:space="preserve">、 </w:t>
      </w:r>
      <w:r>
        <w:rPr>
          <w:w w:val="105"/>
        </w:rPr>
        <w:t>井口装置</w:t>
      </w:r>
      <w:r>
        <w:t>和地面管汇应当满足压裂施工工艺和压力</w:t>
      </w:r>
      <w:r>
        <w:rPr>
          <w:w w:val="105"/>
        </w:rPr>
        <w:t>要求</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2"/>
        </w:rPr>
        <w:t>压裂施工所用高压泵安全销子的剪断</w:t>
      </w:r>
      <w:r>
        <w:rPr>
          <w:spacing w:val="4"/>
        </w:rPr>
        <w:t>压力不得超过高压泵额定最高工作压力</w:t>
      </w:r>
      <w:r>
        <w:rPr>
          <w:rFonts w:hint="eastAsia" w:ascii="MS UI Gothic" w:eastAsia="MS UI Gothic"/>
          <w:w w:val="80"/>
        </w:rPr>
        <w:t>ꎮ</w:t>
      </w:r>
      <w:r>
        <w:rPr>
          <w:spacing w:val="4"/>
        </w:rPr>
        <w:t>井口应当用专用支架或者其他方式固定</w:t>
      </w:r>
      <w:r>
        <w:rPr>
          <w:rFonts w:hint="eastAsia" w:ascii="MS UI Gothic" w:eastAsia="MS UI Gothic"/>
          <w:w w:val="80"/>
        </w:rPr>
        <w:t>ꎮ</w:t>
      </w:r>
      <w:r>
        <w:rPr>
          <w:spacing w:val="-9"/>
          <w:w w:val="105"/>
        </w:rPr>
        <w:t xml:space="preserve">高压管线长度每间隔 </w:t>
      </w:r>
      <w:r>
        <w:rPr>
          <w:rFonts w:hint="eastAsia" w:ascii="MS UI Gothic" w:eastAsia="MS UI Gothic"/>
          <w:spacing w:val="-12"/>
          <w:w w:val="80"/>
        </w:rPr>
        <w:t xml:space="preserve">８ </w:t>
      </w:r>
      <w:r>
        <w:rPr>
          <w:spacing w:val="2"/>
          <w:w w:val="105"/>
        </w:rPr>
        <w:t>米时应当有固定高</w:t>
      </w:r>
      <w:r>
        <w:rPr>
          <w:spacing w:val="3"/>
          <w:w w:val="105"/>
        </w:rPr>
        <w:t>压管线的措施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３６２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096" o:spid="_x0000_s2096" o:spt="203" style="height:2.15pt;width:398.25pt;" coordsize="7965,43">
            <o:lock v:ext="edit"/>
            <v:line id="_x0000_s2097" o:spid="_x0000_s2097" o:spt="20" style="position:absolute;left:0;top:39;height:0;width:7965;" stroked="t" coordsize="21600,21600">
              <v:path arrowok="t"/>
              <v:fill focussize="0,0"/>
              <v:stroke weight="0.388031496062992pt" color="#231F20"/>
              <v:imagedata o:title=""/>
              <o:lock v:ext="edit"/>
            </v:line>
            <v:line id="_x0000_s2098" o:spid="_x0000_s209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t xml:space="preserve">以井口 </w:t>
      </w:r>
      <w:r>
        <w:rPr>
          <w:rFonts w:hint="eastAsia" w:ascii="MS UI Gothic" w:eastAsia="MS UI Gothic"/>
          <w:w w:val="85"/>
        </w:rPr>
        <w:t xml:space="preserve">１０ </w:t>
      </w:r>
      <w:r>
        <w:t>米为半径</w:t>
      </w:r>
      <w:r>
        <w:rPr>
          <w:rFonts w:hint="eastAsia" w:ascii="MS UI Gothic" w:eastAsia="MS UI Gothic"/>
          <w:w w:val="85"/>
        </w:rPr>
        <w:t xml:space="preserve">ꎬ </w:t>
      </w:r>
      <w:r>
        <w:t xml:space="preserve">沿泵车出口至井口地面流程两侧 </w:t>
      </w:r>
      <w:r>
        <w:rPr>
          <w:rFonts w:hint="eastAsia" w:ascii="MS UI Gothic" w:eastAsia="MS UI Gothic"/>
          <w:w w:val="85"/>
        </w:rPr>
        <w:t xml:space="preserve">１０ </w:t>
      </w:r>
      <w:r>
        <w:t>米为边界</w:t>
      </w:r>
      <w:r>
        <w:rPr>
          <w:rFonts w:hint="eastAsia" w:ascii="MS UI Gothic" w:eastAsia="MS UI Gothic"/>
          <w:w w:val="85"/>
        </w:rPr>
        <w:t xml:space="preserve">ꎬ </w:t>
      </w:r>
      <w:r>
        <w:t>设定为高压危险区</w:t>
      </w:r>
      <w:r>
        <w:rPr>
          <w:rFonts w:hint="eastAsia" w:ascii="MS UI Gothic" w:eastAsia="MS UI Gothic"/>
          <w:w w:val="85"/>
        </w:rPr>
        <w:t xml:space="preserve">ꎬ </w:t>
      </w:r>
      <w:r>
        <w:t>并使用专用安全带设置封闭的安全警戒线</w:t>
      </w:r>
      <w:r>
        <w:rPr>
          <w:rFonts w:hint="eastAsia" w:ascii="MS UI Gothic" w:eastAsia="MS UI Gothic"/>
          <w:w w:val="85"/>
        </w:rPr>
        <w:t>ꎮ</w:t>
      </w:r>
    </w:p>
    <w:p>
      <w:pPr>
        <w:pStyle w:val="6"/>
        <w:spacing w:line="295" w:lineRule="auto"/>
        <w:ind w:right="39"/>
        <w:rPr>
          <w:rFonts w:hint="eastAsia" w:ascii="MS UI Gothic" w:eastAsia="MS UI Gothic"/>
        </w:rPr>
      </w:pPr>
      <w:r>
        <w:t>第一百零九条 摆放设备时</w:t>
      </w:r>
      <w:r>
        <w:rPr>
          <w:rFonts w:hint="eastAsia" w:ascii="MS UI Gothic" w:eastAsia="MS UI Gothic"/>
          <w:w w:val="80"/>
        </w:rPr>
        <w:t xml:space="preserve">ꎬ </w:t>
      </w:r>
      <w:r>
        <w:t>煤层气企业应当安排好混砂车与管汇车</w:t>
      </w:r>
      <w:r>
        <w:rPr>
          <w:rFonts w:hint="eastAsia" w:ascii="MS UI Gothic" w:eastAsia="MS UI Gothic"/>
          <w:w w:val="80"/>
        </w:rPr>
        <w:t xml:space="preserve">、 </w:t>
      </w:r>
      <w:r>
        <w:t>管汇车与压裂泵车</w:t>
      </w:r>
      <w:r>
        <w:rPr>
          <w:rFonts w:hint="eastAsia" w:ascii="MS UI Gothic" w:eastAsia="MS UI Gothic"/>
          <w:w w:val="80"/>
        </w:rPr>
        <w:t xml:space="preserve">、 </w:t>
      </w:r>
      <w:r>
        <w:t>压裂泵车距井口的距离</w:t>
      </w:r>
      <w:r>
        <w:rPr>
          <w:rFonts w:hint="eastAsia" w:ascii="MS UI Gothic" w:eastAsia="MS UI Gothic"/>
          <w:w w:val="80"/>
        </w:rPr>
        <w:t xml:space="preserve">ꎮ </w:t>
      </w:r>
      <w:r>
        <w:t>仪表车应当安放在能看到井口</w:t>
      </w:r>
      <w:r>
        <w:rPr>
          <w:rFonts w:hint="eastAsia" w:ascii="MS UI Gothic" w:eastAsia="MS UI Gothic"/>
          <w:w w:val="80"/>
        </w:rPr>
        <w:t xml:space="preserve">、 </w:t>
      </w:r>
      <w:r>
        <w:t>视野开阔的地点</w:t>
      </w:r>
      <w:r>
        <w:rPr>
          <w:rFonts w:hint="eastAsia" w:ascii="MS UI Gothic" w:eastAsia="MS UI Gothic"/>
          <w:w w:val="80"/>
        </w:rPr>
        <w:t>ꎮ</w:t>
      </w:r>
    </w:p>
    <w:p>
      <w:pPr>
        <w:pStyle w:val="6"/>
        <w:spacing w:line="295" w:lineRule="auto"/>
        <w:ind w:right="38"/>
        <w:rPr>
          <w:rFonts w:hint="eastAsia" w:ascii="MS UI Gothic" w:eastAsia="MS UI Gothic"/>
        </w:rPr>
      </w:pPr>
      <w:r>
        <w:t>第一百一十条 压裂施工必须在白天进行</w:t>
      </w:r>
      <w:r>
        <w:rPr>
          <w:rFonts w:hint="eastAsia" w:ascii="MS UI Gothic" w:eastAsia="MS UI Gothic"/>
          <w:w w:val="80"/>
        </w:rPr>
        <w:t xml:space="preserve">ꎮ </w:t>
      </w:r>
      <w:r>
        <w:t>煤层气企业应当对压裂施工进行统一指挥</w:t>
      </w:r>
      <w:r>
        <w:rPr>
          <w:rFonts w:hint="eastAsia" w:ascii="MS UI Gothic" w:eastAsia="MS UI Gothic"/>
          <w:w w:val="80"/>
        </w:rPr>
        <w:t xml:space="preserve">ꎬ </w:t>
      </w:r>
      <w:r>
        <w:t>指挥员应当随时掌握施工动态</w:t>
      </w:r>
      <w:r>
        <w:rPr>
          <w:rFonts w:hint="eastAsia" w:ascii="MS UI Gothic" w:eastAsia="MS UI Gothic"/>
          <w:w w:val="80"/>
        </w:rPr>
        <w:t>ꎬ</w:t>
      </w:r>
      <w:r>
        <w:t>保持通讯系统畅通</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第一百一十一条 煤层气企业在施工</w:t>
      </w:r>
      <w:r>
        <w:t>前应当召开安全会</w:t>
      </w:r>
      <w:r>
        <w:rPr>
          <w:rFonts w:hint="eastAsia" w:ascii="MS UI Gothic" w:eastAsia="MS UI Gothic"/>
          <w:w w:val="80"/>
        </w:rPr>
        <w:t xml:space="preserve">ꎬ </w:t>
      </w:r>
      <w:r>
        <w:t>提出安全要求</w:t>
      </w:r>
      <w:r>
        <w:rPr>
          <w:rFonts w:hint="eastAsia" w:ascii="MS UI Gothic" w:eastAsia="MS UI Gothic"/>
          <w:w w:val="80"/>
        </w:rPr>
        <w:t xml:space="preserve">ꎬ </w:t>
      </w:r>
      <w:r>
        <w:t>明确</w:t>
      </w:r>
      <w:r>
        <w:rPr>
          <w:w w:val="105"/>
        </w:rPr>
        <w:t>安全阀限定值</w:t>
      </w:r>
      <w:r>
        <w:rPr>
          <w:rFonts w:hint="eastAsia" w:ascii="MS UI Gothic" w:eastAsia="MS UI Gothic"/>
          <w:w w:val="80"/>
        </w:rPr>
        <w:t xml:space="preserve">ꎬ </w:t>
      </w:r>
      <w:r>
        <w:rPr>
          <w:w w:val="105"/>
        </w:rPr>
        <w:t>同时进行下列安全检查</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检查压裂设备</w:t>
      </w:r>
      <w:r>
        <w:rPr>
          <w:rFonts w:hint="eastAsia" w:ascii="MS UI Gothic" w:eastAsia="MS UI Gothic"/>
          <w:w w:val="80"/>
        </w:rPr>
        <w:t xml:space="preserve">、 </w:t>
      </w:r>
      <w:r>
        <w:rPr>
          <w:w w:val="105"/>
        </w:rPr>
        <w:t>校对仪表</w:t>
      </w:r>
      <w:r>
        <w:rPr>
          <w:rFonts w:hint="eastAsia" w:ascii="MS UI Gothic" w:eastAsia="MS UI Gothic"/>
          <w:w w:val="80"/>
        </w:rPr>
        <w:t xml:space="preserve">ꎬ </w:t>
      </w:r>
      <w:r>
        <w:rPr>
          <w:w w:val="105"/>
        </w:rPr>
        <w:t>确</w:t>
      </w:r>
      <w:r>
        <w:t>保压裂主机及辅机的工作状况良好</w:t>
      </w:r>
      <w:r>
        <w:rPr>
          <w:rFonts w:hint="eastAsia" w:ascii="MS UI Gothic" w:eastAsia="MS UI Gothic"/>
          <w:w w:val="80"/>
        </w:rPr>
        <w:t xml:space="preserve">ꎬ </w:t>
      </w:r>
      <w:r>
        <w:t>待修或者未达到施工要求的设备不得参加</w:t>
      </w:r>
      <w:r>
        <w:rPr>
          <w:w w:val="105"/>
        </w:rPr>
        <w:t>施工</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按照设计要求试压合格</w:t>
      </w:r>
      <w:r>
        <w:rPr>
          <w:rFonts w:hint="eastAsia" w:ascii="MS UI Gothic" w:eastAsia="MS UI Gothic"/>
          <w:w w:val="80"/>
        </w:rPr>
        <w:t xml:space="preserve">ꎬ </w:t>
      </w:r>
      <w:r>
        <w:rPr>
          <w:w w:val="105"/>
        </w:rPr>
        <w:t>各部</w:t>
      </w:r>
      <w:r>
        <w:t>阀门应当灵活好用</w:t>
      </w:r>
      <w:r>
        <w:rPr>
          <w:rFonts w:hint="eastAsia" w:ascii="MS UI Gothic" w:eastAsia="MS UI Gothic"/>
          <w:w w:val="80"/>
        </w:rPr>
        <w:t xml:space="preserve">ꎮ </w:t>
      </w:r>
      <w:r>
        <w:t>设备和管线泄漏时</w:t>
      </w:r>
      <w:r>
        <w:rPr>
          <w:rFonts w:hint="eastAsia" w:ascii="MS UI Gothic" w:eastAsia="MS UI Gothic"/>
          <w:w w:val="80"/>
        </w:rPr>
        <w:t>ꎬ</w:t>
      </w:r>
      <w:r>
        <w:rPr>
          <w:w w:val="105"/>
        </w:rPr>
        <w:t>应当在停泵</w:t>
      </w:r>
      <w:r>
        <w:rPr>
          <w:rFonts w:hint="eastAsia" w:ascii="MS UI Gothic" w:eastAsia="MS UI Gothic"/>
          <w:w w:val="80"/>
        </w:rPr>
        <w:t xml:space="preserve">、 </w:t>
      </w:r>
      <w:r>
        <w:rPr>
          <w:w w:val="105"/>
        </w:rPr>
        <w:t>泄压后方可检修</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压裂车逐台逐挡充分循环排空</w:t>
      </w:r>
      <w:r>
        <w:rPr>
          <w:rFonts w:hint="eastAsia" w:ascii="MS UI Gothic" w:eastAsia="MS UI Gothic"/>
          <w:w w:val="80"/>
        </w:rPr>
        <w:t xml:space="preserve">ꎬ </w:t>
      </w:r>
      <w:r>
        <w:rPr>
          <w:w w:val="105"/>
        </w:rPr>
        <w:t>排净残液</w:t>
      </w:r>
      <w:r>
        <w:rPr>
          <w:rFonts w:hint="eastAsia" w:ascii="MS UI Gothic" w:eastAsia="MS UI Gothic"/>
          <w:w w:val="80"/>
        </w:rPr>
        <w:t xml:space="preserve">、 </w:t>
      </w:r>
      <w:r>
        <w:rPr>
          <w:w w:val="105"/>
        </w:rPr>
        <w:t>余砂</w:t>
      </w:r>
      <w:r>
        <w:rPr>
          <w:rFonts w:hint="eastAsia" w:ascii="MS UI Gothic" w:eastAsia="MS UI Gothic"/>
          <w:w w:val="80"/>
        </w:rPr>
        <w:t>ꎮ</w:t>
      </w:r>
    </w:p>
    <w:p>
      <w:pPr>
        <w:pStyle w:val="6"/>
        <w:spacing w:line="295" w:lineRule="auto"/>
        <w:ind w:right="39"/>
        <w:rPr>
          <w:rFonts w:hint="eastAsia" w:ascii="MS UI Gothic" w:eastAsia="MS UI Gothic"/>
        </w:rPr>
      </w:pPr>
      <w:r>
        <w:t>第一百一十二条 施工期间煤层气企业应当派专人负责巡视边界</w:t>
      </w:r>
      <w:r>
        <w:rPr>
          <w:rFonts w:hint="eastAsia" w:ascii="MS UI Gothic" w:eastAsia="MS UI Gothic"/>
          <w:w w:val="80"/>
        </w:rPr>
        <w:t xml:space="preserve">ꎬ </w:t>
      </w:r>
      <w:r>
        <w:t>严禁非施工人员进入井场</w:t>
      </w:r>
      <w:r>
        <w:rPr>
          <w:rFonts w:hint="eastAsia" w:ascii="MS UI Gothic" w:eastAsia="MS UI Gothic"/>
          <w:w w:val="80"/>
        </w:rPr>
        <w:t xml:space="preserve">ꎮ </w:t>
      </w:r>
      <w:r>
        <w:t>高压区必须设有警戒</w:t>
      </w:r>
      <w:r>
        <w:rPr>
          <w:rFonts w:hint="eastAsia" w:ascii="MS UI Gothic" w:eastAsia="MS UI Gothic"/>
          <w:w w:val="80"/>
        </w:rPr>
        <w:t xml:space="preserve">ꎬ </w:t>
      </w:r>
      <w:r>
        <w:t>无关人员不得进入</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第一百一十三条 施工中进出井场的</w:t>
      </w:r>
      <w:r>
        <w:t>车辆排气管应当安装阻火器</w:t>
      </w:r>
      <w:r>
        <w:rPr>
          <w:rFonts w:hint="eastAsia" w:ascii="MS UI Gothic" w:eastAsia="MS UI Gothic"/>
          <w:w w:val="80"/>
        </w:rPr>
        <w:t xml:space="preserve">ꎮ </w:t>
      </w:r>
      <w:r>
        <w:t>施工车辆通过井场地面裸露的油</w:t>
      </w:r>
      <w:r>
        <w:rPr>
          <w:rFonts w:hint="eastAsia" w:ascii="MS UI Gothic" w:eastAsia="MS UI Gothic"/>
          <w:w w:val="80"/>
        </w:rPr>
        <w:t xml:space="preserve">、 </w:t>
      </w:r>
      <w:r>
        <w:t>气管线及电缆时</w:t>
      </w:r>
      <w:r>
        <w:rPr>
          <w:rFonts w:hint="eastAsia" w:ascii="MS UI Gothic" w:eastAsia="MS UI Gothic"/>
          <w:w w:val="80"/>
        </w:rPr>
        <w:t>ꎬ</w:t>
      </w:r>
      <w:r>
        <w:t>煤层气企业应当采取防止碾压的保护</w:t>
      </w:r>
      <w:r>
        <w:rPr>
          <w:w w:val="105"/>
        </w:rPr>
        <w:t>措施</w:t>
      </w:r>
      <w:r>
        <w:rPr>
          <w:rFonts w:hint="eastAsia" w:ascii="MS UI Gothic" w:eastAsia="MS UI Gothic"/>
          <w:w w:val="80"/>
        </w:rPr>
        <w:t>ꎮ</w:t>
      </w:r>
    </w:p>
    <w:p>
      <w:pPr>
        <w:pStyle w:val="6"/>
        <w:spacing w:line="295" w:lineRule="auto"/>
        <w:ind w:right="39"/>
        <w:rPr>
          <w:rFonts w:hint="eastAsia" w:ascii="MS UI Gothic" w:eastAsia="MS UI Gothic"/>
        </w:rPr>
      </w:pPr>
      <w:r>
        <w:t>第一百一十四条  泵车操作应当平稳</w:t>
      </w:r>
      <w:r>
        <w:rPr>
          <w:rFonts w:hint="eastAsia" w:ascii="MS UI Gothic" w:eastAsia="MS UI Gothic"/>
          <w:w w:val="80"/>
        </w:rPr>
        <w:t xml:space="preserve">ꎬ </w:t>
      </w:r>
      <w:r>
        <w:t>严禁无故换档或者停车</w:t>
      </w:r>
      <w:r>
        <w:rPr>
          <w:rFonts w:hint="eastAsia" w:ascii="MS UI Gothic" w:eastAsia="MS UI Gothic"/>
          <w:w w:val="80"/>
        </w:rPr>
        <w:t xml:space="preserve">ꎮ </w:t>
      </w:r>
      <w:r>
        <w:t>出现故障必须停车时</w:t>
      </w:r>
      <w:r>
        <w:rPr>
          <w:rFonts w:hint="eastAsia" w:ascii="MS UI Gothic" w:eastAsia="MS UI Gothic"/>
          <w:w w:val="80"/>
        </w:rPr>
        <w:t xml:space="preserve">ꎬ </w:t>
      </w:r>
      <w:r>
        <w:t>操作人员应当及时通知指挥员采取措施</w:t>
      </w:r>
      <w:r>
        <w:rPr>
          <w:rFonts w:hint="eastAsia" w:ascii="MS UI Gothic" w:eastAsia="MS UI Gothic"/>
          <w:w w:val="80"/>
        </w:rPr>
        <w:t>ꎮ</w:t>
      </w:r>
    </w:p>
    <w:p>
      <w:pPr>
        <w:pStyle w:val="6"/>
        <w:spacing w:line="253" w:lineRule="exact"/>
        <w:ind w:left="543" w:firstLine="0"/>
      </w:pPr>
      <w:r>
        <w:t>第一百一十五条 压裂期间</w:t>
      </w:r>
      <w:r>
        <w:rPr>
          <w:rFonts w:hint="eastAsia" w:ascii="MS UI Gothic" w:eastAsia="MS UI Gothic"/>
          <w:w w:val="80"/>
        </w:rPr>
        <w:t xml:space="preserve">ꎬ </w:t>
      </w:r>
      <w:r>
        <w:t>煤层气</w:t>
      </w:r>
    </w:p>
    <w:p>
      <w:pPr>
        <w:pStyle w:val="6"/>
        <w:spacing w:before="123" w:line="295" w:lineRule="auto"/>
        <w:ind w:right="442" w:firstLine="0"/>
        <w:rPr>
          <w:rFonts w:hint="eastAsia" w:ascii="MS UI Gothic" w:eastAsia="MS UI Gothic"/>
        </w:rPr>
      </w:pPr>
      <w:r>
        <w:br w:type="column"/>
      </w:r>
      <w:r>
        <w:t>企业必须有专人监测剩余压裂液液面</w:t>
      </w:r>
      <w:r>
        <w:rPr>
          <w:rFonts w:hint="eastAsia" w:ascii="MS UI Gothic" w:eastAsia="MS UI Gothic"/>
          <w:w w:val="80"/>
        </w:rPr>
        <w:t xml:space="preserve">、 </w:t>
      </w:r>
      <w:r>
        <w:t>支撑剂剩余量和供应情况</w:t>
      </w:r>
      <w:r>
        <w:rPr>
          <w:rFonts w:hint="eastAsia" w:ascii="MS UI Gothic" w:eastAsia="MS UI Gothic"/>
          <w:w w:val="80"/>
        </w:rPr>
        <w:t xml:space="preserve">ꎬ </w:t>
      </w:r>
      <w:r>
        <w:t>确保连续供液和供砂</w:t>
      </w:r>
      <w:r>
        <w:rPr>
          <w:rFonts w:hint="eastAsia" w:ascii="MS UI Gothic" w:eastAsia="MS UI Gothic"/>
          <w:w w:val="80"/>
        </w:rPr>
        <w:t>ꎮ</w:t>
      </w:r>
    </w:p>
    <w:p>
      <w:pPr>
        <w:pStyle w:val="6"/>
        <w:spacing w:line="295" w:lineRule="auto"/>
        <w:ind w:right="442"/>
        <w:rPr>
          <w:rFonts w:hint="eastAsia" w:ascii="MS UI Gothic" w:eastAsia="MS UI Gothic"/>
        </w:rPr>
      </w:pPr>
      <w:r>
        <w:t>第一百一十六条 加砂过程中</w:t>
      </w:r>
      <w:r>
        <w:rPr>
          <w:rFonts w:hint="eastAsia" w:ascii="MS UI Gothic" w:eastAsia="MS UI Gothic"/>
          <w:w w:val="80"/>
        </w:rPr>
        <w:t xml:space="preserve">ꎬ </w:t>
      </w:r>
      <w:r>
        <w:t>压力突然上升或者发生砂堵时</w:t>
      </w:r>
      <w:r>
        <w:rPr>
          <w:rFonts w:hint="eastAsia" w:ascii="MS UI Gothic" w:eastAsia="MS UI Gothic"/>
          <w:w w:val="80"/>
        </w:rPr>
        <w:t xml:space="preserve">ꎬ </w:t>
      </w:r>
      <w:r>
        <w:t>煤层气企业应当及时研究处理</w:t>
      </w:r>
      <w:r>
        <w:rPr>
          <w:rFonts w:hint="eastAsia" w:ascii="MS UI Gothic" w:eastAsia="MS UI Gothic"/>
          <w:w w:val="80"/>
        </w:rPr>
        <w:t xml:space="preserve">ꎬ </w:t>
      </w:r>
      <w:r>
        <w:t>不得强行憋压</w:t>
      </w:r>
      <w:r>
        <w:rPr>
          <w:rFonts w:hint="eastAsia" w:ascii="MS UI Gothic" w:eastAsia="MS UI Gothic"/>
          <w:w w:val="80"/>
        </w:rPr>
        <w:t>ꎮ</w:t>
      </w:r>
    </w:p>
    <w:p>
      <w:pPr>
        <w:pStyle w:val="6"/>
        <w:spacing w:line="295" w:lineRule="auto"/>
        <w:ind w:right="442"/>
        <w:rPr>
          <w:rFonts w:hint="eastAsia" w:ascii="MS UI Gothic" w:eastAsia="MS UI Gothic"/>
        </w:rPr>
      </w:pPr>
      <w:r>
        <w:t>使用放射性示踪剂的</w:t>
      </w:r>
      <w:r>
        <w:rPr>
          <w:rFonts w:hint="eastAsia" w:ascii="MS UI Gothic" w:eastAsia="MS UI Gothic"/>
          <w:w w:val="80"/>
        </w:rPr>
        <w:t xml:space="preserve">ꎬ </w:t>
      </w:r>
      <w:r>
        <w:t>应当按照有关规定采取相应的防护措施</w:t>
      </w:r>
      <w:r>
        <w:rPr>
          <w:rFonts w:hint="eastAsia" w:ascii="MS UI Gothic" w:eastAsia="MS UI Gothic"/>
          <w:w w:val="80"/>
        </w:rPr>
        <w:t xml:space="preserve">ꎬ </w:t>
      </w:r>
      <w:r>
        <w:t>并定期对放射性示踪剂的活度</w:t>
      </w:r>
      <w:r>
        <w:rPr>
          <w:rFonts w:hint="eastAsia" w:ascii="MS UI Gothic" w:eastAsia="MS UI Gothic"/>
          <w:w w:val="80"/>
        </w:rPr>
        <w:t xml:space="preserve">、 </w:t>
      </w:r>
      <w:r>
        <w:t>存储装置是否完好进行检测</w:t>
      </w:r>
      <w:r>
        <w:rPr>
          <w:rFonts w:hint="eastAsia" w:ascii="MS UI Gothic" w:eastAsia="MS UI Gothic"/>
          <w:w w:val="80"/>
        </w:rPr>
        <w:t xml:space="preserve">ꎬ </w:t>
      </w:r>
      <w:r>
        <w:t>对接触人员进行体检</w:t>
      </w:r>
      <w:r>
        <w:rPr>
          <w:rFonts w:hint="eastAsia" w:ascii="MS UI Gothic" w:eastAsia="MS UI Gothic"/>
          <w:w w:val="80"/>
        </w:rPr>
        <w:t>ꎮ</w:t>
      </w:r>
    </w:p>
    <w:p>
      <w:pPr>
        <w:pStyle w:val="6"/>
        <w:spacing w:line="295" w:lineRule="auto"/>
        <w:ind w:right="442"/>
        <w:rPr>
          <w:rFonts w:hint="eastAsia" w:ascii="MS UI Gothic" w:eastAsia="MS UI Gothic"/>
        </w:rPr>
      </w:pPr>
      <w:r>
        <w:t>第一百一十七条 压裂施工后</w:t>
      </w:r>
      <w:r>
        <w:rPr>
          <w:rFonts w:hint="eastAsia" w:ascii="MS UI Gothic" w:eastAsia="MS UI Gothic"/>
          <w:w w:val="80"/>
        </w:rPr>
        <w:t xml:space="preserve">ꎬ </w:t>
      </w:r>
      <w:r>
        <w:t>煤层气企业应当对设备的气路系统</w:t>
      </w:r>
      <w:r>
        <w:rPr>
          <w:rFonts w:hint="eastAsia" w:ascii="MS UI Gothic" w:eastAsia="MS UI Gothic"/>
          <w:w w:val="80"/>
        </w:rPr>
        <w:t xml:space="preserve">、 </w:t>
      </w:r>
      <w:r>
        <w:t>液压系统</w:t>
      </w:r>
      <w:r>
        <w:rPr>
          <w:rFonts w:hint="eastAsia" w:ascii="MS UI Gothic" w:eastAsia="MS UI Gothic"/>
          <w:w w:val="80"/>
        </w:rPr>
        <w:t xml:space="preserve">、 </w:t>
      </w:r>
      <w:r>
        <w:t>吸入排出系统</w:t>
      </w:r>
      <w:r>
        <w:rPr>
          <w:rFonts w:hint="eastAsia" w:ascii="MS UI Gothic" w:eastAsia="MS UI Gothic"/>
          <w:w w:val="80"/>
        </w:rPr>
        <w:t xml:space="preserve">、 </w:t>
      </w:r>
      <w:r>
        <w:t>仪表系统</w:t>
      </w:r>
      <w:r>
        <w:rPr>
          <w:rFonts w:hint="eastAsia" w:ascii="MS UI Gothic" w:eastAsia="MS UI Gothic"/>
          <w:w w:val="80"/>
        </w:rPr>
        <w:t xml:space="preserve">、 </w:t>
      </w:r>
      <w:r>
        <w:t>混合系统</w:t>
      </w:r>
      <w:r>
        <w:rPr>
          <w:rFonts w:hint="eastAsia" w:ascii="MS UI Gothic" w:eastAsia="MS UI Gothic"/>
          <w:w w:val="80"/>
        </w:rPr>
        <w:t xml:space="preserve">、 </w:t>
      </w:r>
      <w:r>
        <w:t>柱塞泵</w:t>
      </w:r>
      <w:r>
        <w:rPr>
          <w:rFonts w:hint="eastAsia" w:ascii="MS UI Gothic" w:eastAsia="MS UI Gothic"/>
          <w:w w:val="80"/>
        </w:rPr>
        <w:t xml:space="preserve">、 </w:t>
      </w:r>
      <w:r>
        <w:t>卡车</w:t>
      </w:r>
      <w:r>
        <w:rPr>
          <w:rFonts w:hint="eastAsia" w:ascii="MS UI Gothic" w:eastAsia="MS UI Gothic"/>
          <w:w w:val="80"/>
        </w:rPr>
        <w:t xml:space="preserve">、 </w:t>
      </w:r>
      <w:r>
        <w:t>燃料系统等进行安全检查和维修保养</w:t>
      </w:r>
      <w:r>
        <w:rPr>
          <w:rFonts w:hint="eastAsia" w:ascii="MS UI Gothic" w:eastAsia="MS UI Gothic"/>
          <w:w w:val="80"/>
        </w:rPr>
        <w:t>ꎮ</w:t>
      </w:r>
    </w:p>
    <w:p>
      <w:pPr>
        <w:pStyle w:val="6"/>
        <w:tabs>
          <w:tab w:val="left" w:pos="2011"/>
          <w:tab w:val="left" w:pos="2639"/>
        </w:tabs>
        <w:spacing w:before="145"/>
        <w:ind w:left="1172" w:firstLine="0"/>
        <w:jc w:val="left"/>
      </w:pPr>
      <w:r>
        <w:rPr>
          <w:spacing w:val="3"/>
          <w:w w:val="105"/>
        </w:rPr>
        <w:t>第九</w:t>
      </w:r>
      <w:r>
        <w:rPr>
          <w:w w:val="105"/>
        </w:rPr>
        <w:t>章</w:t>
      </w:r>
      <w:r>
        <w:rPr>
          <w:w w:val="105"/>
        </w:rPr>
        <w:tab/>
      </w:r>
      <w:r>
        <w:rPr>
          <w:w w:val="105"/>
        </w:rPr>
        <w:t>排</w:t>
      </w:r>
      <w:r>
        <w:rPr>
          <w:w w:val="105"/>
        </w:rPr>
        <w:tab/>
      </w:r>
      <w:r>
        <w:rPr>
          <w:w w:val="105"/>
        </w:rPr>
        <w:t>采</w:t>
      </w:r>
    </w:p>
    <w:p>
      <w:pPr>
        <w:pStyle w:val="6"/>
        <w:spacing w:before="11"/>
        <w:ind w:left="0" w:firstLine="0"/>
        <w:jc w:val="left"/>
        <w:rPr>
          <w:sz w:val="16"/>
        </w:rPr>
      </w:pPr>
    </w:p>
    <w:p>
      <w:pPr>
        <w:pStyle w:val="6"/>
        <w:spacing w:line="295" w:lineRule="auto"/>
        <w:ind w:right="442"/>
        <w:rPr>
          <w:rFonts w:hint="eastAsia" w:ascii="MS UI Gothic" w:eastAsia="MS UI Gothic"/>
        </w:rPr>
      </w:pPr>
      <w:r>
        <w:rPr>
          <w:w w:val="105"/>
        </w:rPr>
        <w:t>第一百一十八条 排采井场应当符合</w:t>
      </w:r>
      <w:r>
        <w:rPr>
          <w:w w:val="110"/>
        </w:rPr>
        <w:t>下列要求</w:t>
      </w:r>
      <w:r>
        <w:rPr>
          <w:rFonts w:hint="eastAsia" w:ascii="MS UI Gothic" w:eastAsia="MS UI Gothic"/>
          <w:w w:val="235"/>
        </w:rPr>
        <w:t>:</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平整</w:t>
      </w:r>
      <w:r>
        <w:rPr>
          <w:rFonts w:hint="eastAsia" w:ascii="MS UI Gothic" w:eastAsia="MS UI Gothic"/>
          <w:w w:val="80"/>
        </w:rPr>
        <w:t xml:space="preserve">、 </w:t>
      </w:r>
      <w:r>
        <w:rPr>
          <w:w w:val="105"/>
        </w:rPr>
        <w:t>清洁</w:t>
      </w:r>
      <w:r>
        <w:rPr>
          <w:rFonts w:hint="eastAsia" w:ascii="MS UI Gothic" w:eastAsia="MS UI Gothic"/>
          <w:w w:val="80"/>
        </w:rPr>
        <w:t xml:space="preserve">、 </w:t>
      </w:r>
      <w:r>
        <w:rPr>
          <w:w w:val="105"/>
        </w:rPr>
        <w:t>无杂草</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井场周围应当设围栏</w:t>
      </w:r>
      <w:r>
        <w:rPr>
          <w:rFonts w:hint="eastAsia" w:ascii="MS UI Gothic" w:eastAsia="MS UI Gothic"/>
          <w:w w:val="80"/>
        </w:rPr>
        <w:t xml:space="preserve">ꎬ </w:t>
      </w:r>
      <w:r>
        <w:t xml:space="preserve">围栏高度不得低于 </w:t>
      </w:r>
      <w:r>
        <w:rPr>
          <w:rFonts w:hint="eastAsia" w:ascii="MS UI Gothic" w:eastAsia="MS UI Gothic"/>
        </w:rPr>
        <w:t xml:space="preserve">１ ７ </w:t>
      </w:r>
      <w:r>
        <w:t>米</w:t>
      </w:r>
      <w:r>
        <w:rPr>
          <w:rFonts w:hint="eastAsia" w:ascii="MS UI Gothic" w:eastAsia="MS UI Gothic"/>
          <w:w w:val="80"/>
        </w:rPr>
        <w:t xml:space="preserve">ꎬ </w:t>
      </w:r>
      <w:r>
        <w:t>并有明确的警示标识</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井场内所有可能对人体产生碰伤</w:t>
      </w:r>
      <w:r>
        <w:rPr>
          <w:rFonts w:hint="eastAsia" w:ascii="MS UI Gothic" w:eastAsia="MS UI Gothic"/>
          <w:w w:val="80"/>
        </w:rPr>
        <w:t xml:space="preserve">、 </w:t>
      </w:r>
      <w:r>
        <w:rPr>
          <w:w w:val="105"/>
        </w:rPr>
        <w:t>挤伤或者其他伤害的危险物体均应当涂以红色标记</w:t>
      </w:r>
      <w:r>
        <w:rPr>
          <w:rFonts w:hint="eastAsia" w:ascii="MS UI Gothic" w:eastAsia="MS UI Gothic"/>
          <w:w w:val="80"/>
        </w:rPr>
        <w:t xml:space="preserve">ꎬ </w:t>
      </w:r>
      <w:r>
        <w:rPr>
          <w:w w:val="105"/>
        </w:rPr>
        <w:t>以示警告</w:t>
      </w:r>
      <w:r>
        <w:rPr>
          <w:rFonts w:hint="eastAsia" w:ascii="MS UI Gothic" w:eastAsia="MS UI Gothic"/>
          <w:w w:val="80"/>
        </w:rPr>
        <w:t>ꎮ</w:t>
      </w:r>
    </w:p>
    <w:p>
      <w:pPr>
        <w:pStyle w:val="6"/>
        <w:spacing w:line="295" w:lineRule="auto"/>
        <w:ind w:right="442"/>
        <w:rPr>
          <w:rFonts w:hint="eastAsia" w:ascii="MS UI Gothic" w:eastAsia="MS UI Gothic"/>
        </w:rPr>
      </w:pPr>
      <w:r>
        <w:t>第一百一十九条 煤层气企业应当将排采沉淀池布置在井场围栏范围内</w:t>
      </w:r>
      <w:r>
        <w:rPr>
          <w:rFonts w:hint="eastAsia" w:ascii="MS UI Gothic" w:eastAsia="MS UI Gothic"/>
          <w:w w:val="80"/>
        </w:rPr>
        <w:t xml:space="preserve">ꎻ </w:t>
      </w:r>
      <w:r>
        <w:t>布置在排采围栏范围外时</w:t>
      </w:r>
      <w:r>
        <w:rPr>
          <w:rFonts w:hint="eastAsia" w:ascii="MS UI Gothic" w:eastAsia="MS UI Gothic"/>
          <w:w w:val="80"/>
        </w:rPr>
        <w:t xml:space="preserve">ꎬ </w:t>
      </w:r>
      <w:r>
        <w:t>应当设独立围栏</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第一百二十条 选择放空火炬的位置</w:t>
      </w:r>
      <w:r>
        <w:t>应当考虑当地全年主风向</w:t>
      </w:r>
      <w:r>
        <w:rPr>
          <w:rFonts w:hint="eastAsia" w:ascii="MS UI Gothic" w:eastAsia="MS UI Gothic"/>
          <w:w w:val="80"/>
        </w:rPr>
        <w:t xml:space="preserve">ꎬ </w:t>
      </w:r>
      <w:r>
        <w:t>置于全年最小</w:t>
      </w:r>
      <w:r>
        <w:rPr>
          <w:w w:val="105"/>
        </w:rPr>
        <w:t>频率风向的上风侧</w:t>
      </w:r>
      <w:r>
        <w:rPr>
          <w:rFonts w:hint="eastAsia" w:ascii="MS UI Gothic" w:eastAsia="MS UI Gothic"/>
          <w:w w:val="80"/>
        </w:rPr>
        <w:t>ꎮ</w:t>
      </w:r>
    </w:p>
    <w:p>
      <w:pPr>
        <w:pStyle w:val="6"/>
        <w:spacing w:line="295" w:lineRule="auto"/>
        <w:ind w:right="442"/>
        <w:rPr>
          <w:rFonts w:hint="eastAsia" w:ascii="MS UI Gothic" w:eastAsia="MS UI Gothic"/>
        </w:rPr>
      </w:pPr>
      <w:r>
        <w:t>第一百二十一条 排采设备应当置于远离放空火炬的一侧摆放</w:t>
      </w:r>
      <w:r>
        <w:rPr>
          <w:rFonts w:hint="eastAsia" w:ascii="MS UI Gothic" w:eastAsia="MS UI Gothic"/>
          <w:w w:val="80"/>
        </w:rPr>
        <w:t xml:space="preserve">ꎬ </w:t>
      </w:r>
      <w:r>
        <w:t>发电机排气筒方向不得正对井口</w:t>
      </w:r>
      <w:r>
        <w:rPr>
          <w:rFonts w:hint="eastAsia" w:ascii="MS UI Gothic" w:eastAsia="MS UI Gothic"/>
          <w:w w:val="80"/>
        </w:rPr>
        <w:t xml:space="preserve">ꎮ </w:t>
      </w:r>
      <w:r>
        <w:t>煤层气企业应当定期用可燃气体检测仪检测阀门</w:t>
      </w:r>
      <w:r>
        <w:rPr>
          <w:rFonts w:hint="eastAsia" w:ascii="MS UI Gothic" w:eastAsia="MS UI Gothic"/>
          <w:w w:val="80"/>
        </w:rPr>
        <w:t xml:space="preserve">、 </w:t>
      </w:r>
      <w:r>
        <w:t>管线是否漏气</w:t>
      </w:r>
      <w:r>
        <w:rPr>
          <w:rFonts w:hint="eastAsia" w:ascii="MS UI Gothic" w:eastAsia="MS UI Gothic"/>
          <w:w w:val="80"/>
        </w:rPr>
        <w:t xml:space="preserve">ꎬ </w:t>
      </w:r>
      <w:r>
        <w:t>发现漏气应当立即检修处理</w:t>
      </w:r>
      <w:r>
        <w:rPr>
          <w:rFonts w:hint="eastAsia" w:ascii="MS UI Gothic" w:eastAsia="MS UI Gothic"/>
          <w:w w:val="80"/>
        </w:rPr>
        <w:t>ꎮ</w:t>
      </w:r>
    </w:p>
    <w:p>
      <w:pPr>
        <w:pStyle w:val="6"/>
        <w:spacing w:line="295" w:lineRule="auto"/>
        <w:ind w:right="442"/>
      </w:pPr>
      <w:r>
        <w:t>气</w:t>
      </w:r>
      <w:r>
        <w:rPr>
          <w:rFonts w:hint="eastAsia" w:ascii="MS UI Gothic" w:eastAsia="MS UI Gothic"/>
          <w:w w:val="80"/>
        </w:rPr>
        <w:t xml:space="preserve">、 </w:t>
      </w:r>
      <w:r>
        <w:t>水管线应当分别安装气</w:t>
      </w:r>
      <w:r>
        <w:rPr>
          <w:rFonts w:hint="eastAsia" w:ascii="MS UI Gothic" w:eastAsia="MS UI Gothic"/>
          <w:w w:val="80"/>
        </w:rPr>
        <w:t xml:space="preserve">、 </w:t>
      </w:r>
      <w:r>
        <w:t>水阀门</w:t>
      </w:r>
      <w:r>
        <w:rPr>
          <w:rFonts w:hint="eastAsia" w:ascii="MS UI Gothic" w:eastAsia="MS UI Gothic"/>
          <w:w w:val="80"/>
        </w:rPr>
        <w:t xml:space="preserve">ꎬ </w:t>
      </w:r>
      <w:r>
        <w:t>气管线应当涂成黄色</w:t>
      </w:r>
      <w:r>
        <w:rPr>
          <w:rFonts w:hint="eastAsia" w:ascii="MS UI Gothic" w:eastAsia="MS UI Gothic"/>
          <w:w w:val="80"/>
        </w:rPr>
        <w:t xml:space="preserve">ꎬ </w:t>
      </w:r>
      <w:r>
        <w:t>水管线应当涂</w:t>
      </w:r>
    </w:p>
    <w:p>
      <w:pPr>
        <w:spacing w:after="0" w:line="295" w:lineRule="auto"/>
        <w:sectPr>
          <w:type w:val="continuous"/>
          <w:pgSz w:w="10500" w:h="14750"/>
          <w:pgMar w:top="1400" w:right="980" w:bottom="280" w:left="980" w:header="720" w:footer="720" w:gutter="0"/>
          <w:cols w:equalWidth="0" w:num="2">
            <w:col w:w="3936" w:space="256"/>
            <w:col w:w="4348"/>
          </w:cols>
        </w:sectPr>
      </w:pPr>
    </w:p>
    <w:p>
      <w:pPr>
        <w:pStyle w:val="6"/>
        <w:spacing w:before="8"/>
        <w:ind w:left="0" w:firstLine="0"/>
        <w:jc w:val="left"/>
        <w:rPr>
          <w:sz w:val="55"/>
        </w:rPr>
      </w:pPr>
    </w:p>
    <w:p>
      <w:pPr>
        <w:pStyle w:val="6"/>
        <w:spacing w:line="240" w:lineRule="exact"/>
        <w:ind w:left="440" w:firstLine="0"/>
        <w:jc w:val="left"/>
        <w:rPr>
          <w:rFonts w:hint="eastAsia" w:ascii="MS UI Gothic" w:eastAsia="MS UI Gothic"/>
        </w:rPr>
      </w:pPr>
      <w:r>
        <w:pict>
          <v:shape id="_x0000_s2099" o:spid="_x0000_s2099" style="position:absolute;left:0pt;margin-left:0pt;margin-top:664.5pt;height:1.75pt;width:398.25pt;mso-position-horizontal-relative:page;z-index:252094464;mso-width-relative:page;mso-height-relative:page;" filled="f" stroked="t" coordorigin="0,13290" coordsize="7965,35" path="m1419,-196l9384,-196m1419,-231l9384,-231e">
            <v:path arrowok="t"/>
            <v:fill on="f" focussize="0,0"/>
            <v:stroke weight="0.388031496062992pt" color="#231F20"/>
            <v:imagedata o:title=""/>
            <o:lock v:ext="edit"/>
          </v:shape>
        </w:pict>
      </w:r>
      <w:r>
        <w:rPr>
          <w:w w:val="95"/>
        </w:rPr>
        <w:t>成绿色</w:t>
      </w:r>
      <w:r>
        <w:rPr>
          <w:rFonts w:hint="eastAsia" w:ascii="MS UI Gothic" w:eastAsia="MS UI Gothic"/>
          <w:w w:val="80"/>
        </w:rPr>
        <w:t>ꎮ</w:t>
      </w:r>
    </w:p>
    <w:p>
      <w:pPr>
        <w:spacing w:before="192"/>
        <w:ind w:left="440" w:right="0" w:firstLine="0"/>
        <w:jc w:val="left"/>
        <w:rPr>
          <w:sz w:val="17"/>
        </w:rPr>
      </w:pPr>
      <w:r>
        <w:br w:type="column"/>
      </w: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spacing w:line="240" w:lineRule="exact"/>
        <w:ind w:left="1370" w:firstLine="0"/>
        <w:jc w:val="left"/>
        <w:rPr>
          <w:rFonts w:hint="eastAsia" w:ascii="MS UI Gothic" w:eastAsia="MS UI Gothic"/>
        </w:rPr>
      </w:pPr>
      <w:r>
        <w:t>滑</w:t>
      </w:r>
      <w:r>
        <w:rPr>
          <w:rFonts w:hint="eastAsia" w:ascii="MS UI Gothic" w:eastAsia="MS UI Gothic"/>
        </w:rPr>
        <w:t xml:space="preserve">、 </w:t>
      </w:r>
      <w:r>
        <w:t>机体无过热现象</w:t>
      </w:r>
      <w:r>
        <w:rPr>
          <w:rFonts w:hint="eastAsia" w:ascii="MS UI Gothic" w:eastAsia="MS UI Gothic"/>
          <w:w w:val="80"/>
        </w:rPr>
        <w:t>ꎮ</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３６３</w:t>
      </w:r>
    </w:p>
    <w:p>
      <w:pPr>
        <w:spacing w:after="0"/>
        <w:jc w:val="left"/>
        <w:rPr>
          <w:rFonts w:hint="eastAsia" w:ascii="MS UI Gothic" w:eastAsia="MS UI Gothic"/>
        </w:rPr>
        <w:sectPr>
          <w:pgSz w:w="10500" w:h="14750"/>
          <w:pgMar w:top="960" w:right="980" w:bottom="280" w:left="980" w:header="720" w:footer="720" w:gutter="0"/>
          <w:cols w:equalWidth="0" w:num="3">
            <w:col w:w="1213" w:space="2049"/>
            <w:col w:w="3400" w:space="410"/>
            <w:col w:w="1468"/>
          </w:cols>
        </w:sectPr>
      </w:pPr>
    </w:p>
    <w:p>
      <w:pPr>
        <w:pStyle w:val="6"/>
        <w:spacing w:before="74" w:line="295" w:lineRule="auto"/>
        <w:ind w:left="440" w:right="1"/>
        <w:rPr>
          <w:rFonts w:hint="eastAsia" w:ascii="MS UI Gothic" w:eastAsia="MS UI Gothic"/>
        </w:rPr>
      </w:pPr>
      <w:r>
        <w:rPr>
          <w:w w:val="105"/>
        </w:rPr>
        <w:t xml:space="preserve">第一百二十二条 煤层气企业应当定期检查气水分离器 </w:t>
      </w:r>
      <w:r>
        <w:rPr>
          <w:rFonts w:hint="eastAsia" w:ascii="MS UI Gothic" w:eastAsia="MS UI Gothic"/>
          <w:w w:val="150"/>
        </w:rPr>
        <w:t xml:space="preserve">( </w:t>
      </w:r>
      <w:r>
        <w:rPr>
          <w:w w:val="105"/>
        </w:rPr>
        <w:t>如有</w:t>
      </w:r>
      <w:r>
        <w:rPr>
          <w:rFonts w:hint="eastAsia" w:ascii="MS UI Gothic" w:eastAsia="MS UI Gothic"/>
          <w:w w:val="150"/>
        </w:rPr>
        <w:t xml:space="preserve">) </w:t>
      </w:r>
      <w:r>
        <w:rPr>
          <w:w w:val="105"/>
        </w:rPr>
        <w:t>的阀门</w:t>
      </w:r>
      <w:r>
        <w:rPr>
          <w:rFonts w:hint="eastAsia" w:ascii="MS UI Gothic" w:eastAsia="MS UI Gothic"/>
          <w:w w:val="80"/>
        </w:rPr>
        <w:t xml:space="preserve">、 </w:t>
      </w:r>
      <w:r>
        <w:rPr>
          <w:w w:val="105"/>
        </w:rPr>
        <w:t>安全阀是否灵活好用</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 xml:space="preserve">第一百二十三条 煤层气企业应当对气水分离器 </w:t>
      </w:r>
      <w:r>
        <w:rPr>
          <w:rFonts w:hint="eastAsia" w:ascii="MS UI Gothic" w:eastAsia="MS UI Gothic"/>
          <w:w w:val="150"/>
        </w:rPr>
        <w:t xml:space="preserve">( </w:t>
      </w:r>
      <w:r>
        <w:rPr>
          <w:w w:val="105"/>
        </w:rPr>
        <w:t>如有</w:t>
      </w:r>
      <w:r>
        <w:rPr>
          <w:rFonts w:hint="eastAsia" w:ascii="MS UI Gothic" w:eastAsia="MS UI Gothic"/>
          <w:w w:val="150"/>
        </w:rPr>
        <w:t xml:space="preserve">) </w:t>
      </w:r>
      <w:r>
        <w:rPr>
          <w:w w:val="105"/>
        </w:rPr>
        <w:t>定期排水</w:t>
      </w:r>
      <w:r>
        <w:rPr>
          <w:rFonts w:hint="eastAsia" w:ascii="MS UI Gothic" w:eastAsia="MS UI Gothic"/>
          <w:w w:val="80"/>
        </w:rPr>
        <w:t xml:space="preserve">ꎬ </w:t>
      </w:r>
      <w:r>
        <w:rPr>
          <w:w w:val="105"/>
        </w:rPr>
        <w:t>防止造成水堵或者积聚</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第一百二十四条 抽油机的安装应当</w:t>
      </w:r>
      <w:r>
        <w:rPr>
          <w:w w:val="110"/>
        </w:rPr>
        <w:t>符合下列要求</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地基夯实</w:t>
      </w:r>
      <w:r>
        <w:rPr>
          <w:rFonts w:hint="eastAsia" w:ascii="MS UI Gothic" w:eastAsia="MS UI Gothic"/>
          <w:w w:val="80"/>
        </w:rPr>
        <w:t xml:space="preserve">ꎬ </w:t>
      </w:r>
      <w:r>
        <w:rPr>
          <w:w w:val="105"/>
        </w:rPr>
        <w:t>水泥基础坐落在土</w:t>
      </w:r>
      <w:r>
        <w:t>质均匀的原土上</w:t>
      </w:r>
      <w:r>
        <w:rPr>
          <w:rFonts w:hint="eastAsia" w:ascii="MS UI Gothic" w:eastAsia="MS UI Gothic"/>
          <w:w w:val="80"/>
        </w:rPr>
        <w:t xml:space="preserve">ꎬ </w:t>
      </w:r>
      <w:r>
        <w:t>冰冻地区应当开挖至冰</w:t>
      </w:r>
      <w:r>
        <w:rPr>
          <w:w w:val="105"/>
        </w:rPr>
        <w:t>冻层以下</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23"/>
          <w:w w:val="110"/>
        </w:rPr>
        <w:t>二</w:t>
      </w:r>
      <w:r>
        <w:rPr>
          <w:rFonts w:hint="eastAsia" w:ascii="MS UI Gothic" w:eastAsia="MS UI Gothic"/>
          <w:spacing w:val="19"/>
          <w:w w:val="150"/>
        </w:rPr>
        <w:t xml:space="preserve">) </w:t>
      </w:r>
      <w:r>
        <w:rPr>
          <w:spacing w:val="-35"/>
          <w:w w:val="110"/>
        </w:rPr>
        <w:t>基 础 表 面 没 有 裂 纹</w:t>
      </w:r>
      <w:r>
        <w:rPr>
          <w:rFonts w:hint="eastAsia" w:ascii="MS UI Gothic" w:eastAsia="MS UI Gothic"/>
          <w:spacing w:val="7"/>
          <w:w w:val="80"/>
        </w:rPr>
        <w:t xml:space="preserve">、 </w:t>
      </w:r>
      <w:r>
        <w:rPr>
          <w:spacing w:val="-27"/>
          <w:w w:val="110"/>
        </w:rPr>
        <w:t>变 形</w:t>
      </w:r>
      <w:r>
        <w:rPr>
          <w:spacing w:val="3"/>
          <w:w w:val="110"/>
        </w:rPr>
        <w:t>现象</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抽油机底座与基础墩接触面紧密贴实</w:t>
      </w:r>
      <w:r>
        <w:rPr>
          <w:rFonts w:hint="eastAsia" w:ascii="MS UI Gothic" w:eastAsia="MS UI Gothic"/>
          <w:w w:val="80"/>
        </w:rPr>
        <w:t xml:space="preserve">ꎬ </w:t>
      </w:r>
      <w:r>
        <w:rPr>
          <w:w w:val="105"/>
        </w:rPr>
        <w:t>地角螺栓不得悬空</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平衡块与曲柄的装配面及曲柄</w:t>
      </w:r>
      <w:r>
        <w:rPr>
          <w:w w:val="110"/>
        </w:rPr>
        <w:t>燕尾槽内严禁夹入杂物</w:t>
      </w:r>
      <w:r>
        <w:rPr>
          <w:rFonts w:hint="eastAsia" w:ascii="MS UI Gothic" w:eastAsia="MS UI Gothic"/>
          <w:w w:val="80"/>
        </w:rPr>
        <w:t>ꎮ</w:t>
      </w:r>
    </w:p>
    <w:p>
      <w:pPr>
        <w:pStyle w:val="6"/>
        <w:spacing w:line="295" w:lineRule="auto"/>
        <w:ind w:left="440" w:right="1"/>
        <w:rPr>
          <w:rFonts w:hint="eastAsia" w:ascii="MS UI Gothic" w:eastAsia="MS UI Gothic"/>
        </w:rPr>
      </w:pPr>
      <w:r>
        <w:t>第一百二十五条 抽油机启动前</w:t>
      </w:r>
      <w:r>
        <w:rPr>
          <w:rFonts w:hint="eastAsia" w:ascii="MS UI Gothic" w:eastAsia="MS UI Gothic"/>
          <w:w w:val="80"/>
        </w:rPr>
        <w:t xml:space="preserve">ꎬ </w:t>
      </w:r>
      <w:r>
        <w:t>煤层气企业应当确保抽油机各部位牢固可靠</w:t>
      </w:r>
      <w:r>
        <w:rPr>
          <w:rFonts w:hint="eastAsia" w:ascii="MS UI Gothic" w:eastAsia="MS UI Gothic"/>
          <w:w w:val="80"/>
        </w:rPr>
        <w:t xml:space="preserve">、 </w:t>
      </w:r>
      <w:r>
        <w:t>刹车及皮带松紧适宜</w:t>
      </w:r>
      <w:r>
        <w:rPr>
          <w:rFonts w:hint="eastAsia" w:ascii="MS UI Gothic" w:eastAsia="MS UI Gothic"/>
          <w:w w:val="80"/>
        </w:rPr>
        <w:t xml:space="preserve">、 </w:t>
      </w:r>
      <w:r>
        <w:t>供电系统正常</w:t>
      </w:r>
      <w:r>
        <w:rPr>
          <w:rFonts w:hint="eastAsia" w:ascii="MS UI Gothic" w:eastAsia="MS UI Gothic"/>
          <w:w w:val="80"/>
        </w:rPr>
        <w:t>ꎮ</w:t>
      </w:r>
    </w:p>
    <w:p>
      <w:pPr>
        <w:pStyle w:val="6"/>
        <w:spacing w:line="295" w:lineRule="auto"/>
        <w:ind w:left="440" w:right="1"/>
        <w:rPr>
          <w:rFonts w:hint="eastAsia" w:ascii="MS UI Gothic" w:eastAsia="MS UI Gothic"/>
        </w:rPr>
      </w:pPr>
      <w:r>
        <w:t>第一百二十六条 工作人员巡检时应当与抽油机保持一定的安全距离</w:t>
      </w:r>
      <w:r>
        <w:rPr>
          <w:rFonts w:hint="eastAsia" w:ascii="MS UI Gothic" w:eastAsia="MS UI Gothic"/>
          <w:w w:val="80"/>
        </w:rPr>
        <w:t xml:space="preserve">ꎬ </w:t>
      </w:r>
      <w:r>
        <w:t>刹车操作后应当合上保险装置</w:t>
      </w:r>
      <w:r>
        <w:rPr>
          <w:rFonts w:hint="eastAsia" w:ascii="MS UI Gothic" w:eastAsia="MS UI Gothic"/>
          <w:w w:val="80"/>
        </w:rPr>
        <w:t xml:space="preserve">ꎮ </w:t>
      </w:r>
      <w:r>
        <w:t>抽油机运转或者未停稳时</w:t>
      </w:r>
      <w:r>
        <w:rPr>
          <w:rFonts w:hint="eastAsia" w:ascii="MS UI Gothic" w:eastAsia="MS UI Gothic"/>
          <w:w w:val="80"/>
        </w:rPr>
        <w:t xml:space="preserve">ꎬ </w:t>
      </w:r>
      <w:r>
        <w:t>不得接触</w:t>
      </w:r>
      <w:r>
        <w:rPr>
          <w:rFonts w:hint="eastAsia" w:ascii="MS UI Gothic" w:eastAsia="MS UI Gothic"/>
          <w:w w:val="80"/>
        </w:rPr>
        <w:t xml:space="preserve">、 </w:t>
      </w:r>
      <w:r>
        <w:t>靠近抽油机的运转部位</w:t>
      </w:r>
      <w:r>
        <w:rPr>
          <w:rFonts w:hint="eastAsia" w:ascii="MS UI Gothic" w:eastAsia="MS UI Gothic"/>
          <w:w w:val="80"/>
        </w:rPr>
        <w:t xml:space="preserve">ꎬ </w:t>
      </w:r>
      <w:r>
        <w:t>也不得进行润滑</w:t>
      </w:r>
      <w:r>
        <w:rPr>
          <w:rFonts w:hint="eastAsia" w:ascii="MS UI Gothic" w:eastAsia="MS UI Gothic"/>
          <w:w w:val="80"/>
        </w:rPr>
        <w:t xml:space="preserve">、 </w:t>
      </w:r>
      <w:r>
        <w:t>加油或者调整皮带等操作</w:t>
      </w:r>
      <w:r>
        <w:rPr>
          <w:rFonts w:hint="eastAsia" w:ascii="MS UI Gothic" w:eastAsia="MS UI Gothic"/>
          <w:w w:val="80"/>
        </w:rPr>
        <w:t>ꎮ</w:t>
      </w:r>
    </w:p>
    <w:p>
      <w:pPr>
        <w:pStyle w:val="6"/>
        <w:spacing w:line="295" w:lineRule="auto"/>
        <w:ind w:left="440" w:right="1"/>
        <w:rPr>
          <w:rFonts w:hint="eastAsia" w:ascii="MS UI Gothic" w:eastAsia="MS UI Gothic"/>
        </w:rPr>
      </w:pPr>
      <w:r>
        <w:t>第一百二十七条 进行调整冲程</w:t>
      </w:r>
      <w:r>
        <w:rPr>
          <w:rFonts w:hint="eastAsia" w:ascii="MS UI Gothic" w:eastAsia="MS UI Gothic"/>
          <w:w w:val="80"/>
        </w:rPr>
        <w:t xml:space="preserve">、 </w:t>
      </w:r>
      <w:r>
        <w:t>更换悬绳器等高空作业时</w:t>
      </w:r>
      <w:r>
        <w:rPr>
          <w:rFonts w:hint="eastAsia" w:ascii="MS UI Gothic" w:eastAsia="MS UI Gothic"/>
          <w:w w:val="80"/>
        </w:rPr>
        <w:t xml:space="preserve">ꎬ </w:t>
      </w:r>
      <w:r>
        <w:t>操作人员应当系好安全带并站稳</w:t>
      </w:r>
      <w:r>
        <w:rPr>
          <w:rFonts w:hint="eastAsia" w:ascii="MS UI Gothic" w:eastAsia="MS UI Gothic"/>
          <w:w w:val="80"/>
        </w:rPr>
        <w:t xml:space="preserve">ꎬ </w:t>
      </w:r>
      <w:r>
        <w:t>防止滑落跌伤和工具掉落伤人</w:t>
      </w:r>
      <w:r>
        <w:rPr>
          <w:rFonts w:hint="eastAsia" w:ascii="MS UI Gothic" w:eastAsia="MS UI Gothic"/>
          <w:w w:val="80"/>
        </w:rPr>
        <w:t>ꎮ</w:t>
      </w:r>
    </w:p>
    <w:p>
      <w:pPr>
        <w:pStyle w:val="6"/>
        <w:spacing w:line="295" w:lineRule="auto"/>
        <w:ind w:left="440"/>
        <w:rPr>
          <w:rFonts w:hint="eastAsia" w:ascii="MS UI Gothic" w:eastAsia="MS UI Gothic"/>
        </w:rPr>
      </w:pPr>
      <w:r>
        <w:t>第一百二十八条 更换井口装置时</w:t>
      </w:r>
      <w:r>
        <w:rPr>
          <w:rFonts w:hint="eastAsia" w:ascii="MS UI Gothic" w:eastAsia="MS UI Gothic"/>
          <w:w w:val="80"/>
        </w:rPr>
        <w:t>ꎬ</w:t>
      </w:r>
      <w:r>
        <w:t>煤层气企业应当在施工现场配备防火</w:t>
      </w:r>
      <w:r>
        <w:rPr>
          <w:rFonts w:hint="eastAsia" w:ascii="MS UI Gothic" w:eastAsia="MS UI Gothic"/>
          <w:w w:val="80"/>
        </w:rPr>
        <w:t xml:space="preserve">、 </w:t>
      </w:r>
      <w:r>
        <w:t>防爆设施</w:t>
      </w:r>
      <w:r>
        <w:rPr>
          <w:rFonts w:hint="eastAsia" w:ascii="MS UI Gothic" w:eastAsia="MS UI Gothic"/>
          <w:w w:val="80"/>
        </w:rPr>
        <w:t xml:space="preserve">ꎮ </w:t>
      </w:r>
      <w:r>
        <w:t>割焊井口时</w:t>
      </w:r>
      <w:r>
        <w:rPr>
          <w:rFonts w:hint="eastAsia" w:ascii="MS UI Gothic" w:eastAsia="MS UI Gothic"/>
          <w:w w:val="80"/>
        </w:rPr>
        <w:t xml:space="preserve">ꎬ </w:t>
      </w:r>
      <w:r>
        <w:t>煤层气企业必须制定相应的安全技术措施</w:t>
      </w:r>
      <w:r>
        <w:rPr>
          <w:rFonts w:hint="eastAsia" w:ascii="MS UI Gothic" w:eastAsia="MS UI Gothic"/>
          <w:w w:val="80"/>
        </w:rPr>
        <w:t>ꎮ</w:t>
      </w:r>
    </w:p>
    <w:p>
      <w:pPr>
        <w:pStyle w:val="6"/>
        <w:spacing w:line="295" w:lineRule="auto"/>
        <w:ind w:left="440" w:right="1"/>
      </w:pPr>
      <w:r>
        <w:rPr>
          <w:w w:val="105"/>
        </w:rPr>
        <w:t>第一百二十九条 螺杆泵设备运行期间</w:t>
      </w:r>
      <w:r>
        <w:rPr>
          <w:rFonts w:hint="eastAsia" w:ascii="MS UI Gothic" w:eastAsia="MS UI Gothic"/>
          <w:w w:val="80"/>
        </w:rPr>
        <w:t xml:space="preserve">ꎬ </w:t>
      </w:r>
      <w:r>
        <w:rPr>
          <w:w w:val="105"/>
        </w:rPr>
        <w:t>应当确保各连接部位无松动</w:t>
      </w:r>
      <w:r>
        <w:rPr>
          <w:rFonts w:hint="eastAsia" w:ascii="MS UI Gothic" w:eastAsia="MS UI Gothic"/>
          <w:w w:val="80"/>
        </w:rPr>
        <w:t xml:space="preserve">、 </w:t>
      </w:r>
      <w:r>
        <w:rPr>
          <w:w w:val="105"/>
        </w:rPr>
        <w:t xml:space="preserve">减速箱不漏 </w:t>
      </w:r>
      <w:r>
        <w:rPr>
          <w:rFonts w:hint="eastAsia" w:ascii="MS UI Gothic" w:eastAsia="MS UI Gothic"/>
          <w:w w:val="150"/>
        </w:rPr>
        <w:t xml:space="preserve">( </w:t>
      </w:r>
      <w:r>
        <w:rPr>
          <w:w w:val="105"/>
        </w:rPr>
        <w:t>缺</w:t>
      </w:r>
      <w:r>
        <w:rPr>
          <w:rFonts w:hint="eastAsia" w:ascii="MS UI Gothic" w:eastAsia="MS UI Gothic"/>
          <w:w w:val="150"/>
        </w:rPr>
        <w:t xml:space="preserve">) </w:t>
      </w:r>
      <w:r>
        <w:rPr>
          <w:w w:val="105"/>
        </w:rPr>
        <w:t>油</w:t>
      </w:r>
      <w:r>
        <w:rPr>
          <w:rFonts w:hint="eastAsia" w:ascii="MS UI Gothic" w:eastAsia="MS UI Gothic"/>
          <w:w w:val="80"/>
        </w:rPr>
        <w:t xml:space="preserve">、 </w:t>
      </w:r>
      <w:r>
        <w:rPr>
          <w:w w:val="105"/>
        </w:rPr>
        <w:t>皮带无松弛</w:t>
      </w:r>
      <w:r>
        <w:rPr>
          <w:rFonts w:hint="eastAsia" w:ascii="MS UI Gothic" w:eastAsia="MS UI Gothic"/>
          <w:w w:val="80"/>
        </w:rPr>
        <w:t xml:space="preserve">、 </w:t>
      </w:r>
      <w:r>
        <w:rPr>
          <w:w w:val="105"/>
        </w:rPr>
        <w:t>光杆不下</w:t>
      </w:r>
    </w:p>
    <w:p>
      <w:pPr>
        <w:pStyle w:val="6"/>
        <w:spacing w:before="74" w:line="295" w:lineRule="auto"/>
        <w:ind w:left="381" w:right="124"/>
        <w:rPr>
          <w:rFonts w:hint="eastAsia" w:ascii="MS UI Gothic" w:eastAsia="MS UI Gothic"/>
        </w:rPr>
      </w:pPr>
      <w:r>
        <w:br w:type="column"/>
      </w:r>
      <w:r>
        <w:rPr>
          <w:spacing w:val="3"/>
        </w:rPr>
        <w:t>第一百三十条 欠载跳闸时</w:t>
      </w:r>
      <w:r>
        <w:rPr>
          <w:rFonts w:hint="eastAsia" w:ascii="MS UI Gothic" w:eastAsia="MS UI Gothic"/>
          <w:spacing w:val="7"/>
          <w:w w:val="80"/>
        </w:rPr>
        <w:t xml:space="preserve">ꎬ </w:t>
      </w:r>
      <w:r>
        <w:rPr>
          <w:spacing w:val="2"/>
        </w:rPr>
        <w:t>工作人</w:t>
      </w:r>
      <w:r>
        <w:rPr>
          <w:spacing w:val="5"/>
        </w:rPr>
        <w:t>员应当排除方卡子松动</w:t>
      </w:r>
      <w:r>
        <w:rPr>
          <w:rFonts w:hint="eastAsia" w:ascii="MS UI Gothic" w:eastAsia="MS UI Gothic"/>
          <w:spacing w:val="18"/>
          <w:w w:val="80"/>
        </w:rPr>
        <w:t xml:space="preserve">、 </w:t>
      </w:r>
      <w:r>
        <w:rPr>
          <w:spacing w:val="11"/>
        </w:rPr>
        <w:t>传动部分打滑</w:t>
      </w:r>
      <w:r>
        <w:rPr>
          <w:rFonts w:hint="eastAsia" w:ascii="MS UI Gothic" w:eastAsia="MS UI Gothic"/>
          <w:w w:val="80"/>
        </w:rPr>
        <w:t>、</w:t>
      </w:r>
      <w:r>
        <w:rPr>
          <w:spacing w:val="13"/>
        </w:rPr>
        <w:t>断杆卸载等原因后方可开机</w:t>
      </w:r>
      <w:r>
        <w:rPr>
          <w:rFonts w:hint="eastAsia" w:ascii="MS UI Gothic" w:eastAsia="MS UI Gothic"/>
          <w:spacing w:val="23"/>
          <w:w w:val="80"/>
        </w:rPr>
        <w:t xml:space="preserve">ꎻ </w:t>
      </w:r>
      <w:r>
        <w:rPr>
          <w:spacing w:val="15"/>
        </w:rPr>
        <w:t>过载跳闸</w:t>
      </w:r>
      <w:r>
        <w:rPr>
          <w:spacing w:val="3"/>
        </w:rPr>
        <w:t>时</w:t>
      </w:r>
      <w:r>
        <w:rPr>
          <w:rFonts w:hint="eastAsia" w:ascii="MS UI Gothic" w:eastAsia="MS UI Gothic"/>
          <w:spacing w:val="8"/>
          <w:w w:val="80"/>
        </w:rPr>
        <w:t xml:space="preserve">ꎬ </w:t>
      </w:r>
      <w:r>
        <w:rPr>
          <w:spacing w:val="31"/>
        </w:rPr>
        <w:t>应当排除短路</w:t>
      </w:r>
      <w:r>
        <w:rPr>
          <w:rFonts w:hint="eastAsia" w:ascii="MS UI Gothic" w:eastAsia="MS UI Gothic"/>
          <w:spacing w:val="21"/>
          <w:w w:val="80"/>
        </w:rPr>
        <w:t xml:space="preserve">、 </w:t>
      </w:r>
      <w:r>
        <w:rPr>
          <w:spacing w:val="34"/>
        </w:rPr>
        <w:t>缺相现象后方可</w:t>
      </w:r>
      <w:r>
        <w:rPr>
          <w:spacing w:val="3"/>
        </w:rPr>
        <w:t>开机</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第一百三十一条 排采设备的控制柜</w:t>
      </w:r>
      <w:r>
        <w:rPr>
          <w:spacing w:val="3"/>
        </w:rPr>
        <w:t>应当有防护措施</w:t>
      </w:r>
      <w:r>
        <w:rPr>
          <w:rFonts w:hint="eastAsia" w:ascii="MS UI Gothic" w:eastAsia="MS UI Gothic"/>
          <w:spacing w:val="20"/>
          <w:w w:val="80"/>
        </w:rPr>
        <w:t xml:space="preserve">ꎬ </w:t>
      </w:r>
      <w:r>
        <w:rPr>
          <w:spacing w:val="2"/>
        </w:rPr>
        <w:t>埋地电缆处应当有明显</w:t>
      </w:r>
      <w:r>
        <w:rPr>
          <w:spacing w:val="3"/>
        </w:rPr>
        <w:t>标记</w:t>
      </w:r>
      <w:r>
        <w:rPr>
          <w:rFonts w:hint="eastAsia" w:ascii="MS UI Gothic" w:eastAsia="MS UI Gothic"/>
          <w:w w:val="80"/>
        </w:rPr>
        <w:t>ꎮ</w:t>
      </w:r>
    </w:p>
    <w:p>
      <w:pPr>
        <w:pStyle w:val="6"/>
        <w:spacing w:line="295" w:lineRule="auto"/>
        <w:ind w:left="381" w:right="126"/>
        <w:rPr>
          <w:rFonts w:hint="eastAsia" w:ascii="MS UI Gothic" w:eastAsia="MS UI Gothic"/>
        </w:rPr>
      </w:pPr>
      <w:r>
        <w:t>第一百三十二条 测量电潜泵机组参数时</w:t>
      </w:r>
      <w:r>
        <w:rPr>
          <w:rFonts w:hint="eastAsia" w:ascii="MS UI Gothic" w:eastAsia="MS UI Gothic"/>
          <w:w w:val="80"/>
        </w:rPr>
        <w:t xml:space="preserve">ꎬ </w:t>
      </w:r>
      <w:r>
        <w:t>测量人员必须把控制柜总电源断开</w:t>
      </w:r>
      <w:r>
        <w:rPr>
          <w:rFonts w:hint="eastAsia" w:ascii="MS UI Gothic" w:eastAsia="MS UI Gothic"/>
          <w:w w:val="80"/>
        </w:rPr>
        <w:t xml:space="preserve">ꎬ </w:t>
      </w:r>
      <w:r>
        <w:t>并悬挂警示牌</w:t>
      </w:r>
      <w:r>
        <w:rPr>
          <w:rFonts w:hint="eastAsia" w:ascii="MS UI Gothic" w:eastAsia="MS UI Gothic"/>
          <w:w w:val="80"/>
        </w:rPr>
        <w:t>ꎮ</w:t>
      </w:r>
    </w:p>
    <w:p>
      <w:pPr>
        <w:pStyle w:val="6"/>
        <w:spacing w:line="295" w:lineRule="auto"/>
        <w:ind w:left="381" w:right="124"/>
        <w:rPr>
          <w:rFonts w:hint="eastAsia" w:ascii="MS UI Gothic" w:eastAsia="MS UI Gothic"/>
        </w:rPr>
      </w:pPr>
      <w:r>
        <w:t>第一百三十三条 电潜泵停机时</w:t>
      </w:r>
      <w:r>
        <w:rPr>
          <w:rFonts w:hint="eastAsia" w:ascii="MS UI Gothic" w:eastAsia="MS UI Gothic"/>
          <w:w w:val="80"/>
        </w:rPr>
        <w:t xml:space="preserve">ꎬ </w:t>
      </w:r>
      <w:r>
        <w:t>不得带负荷拉闸</w:t>
      </w:r>
      <w:r>
        <w:rPr>
          <w:rFonts w:hint="eastAsia" w:ascii="MS UI Gothic" w:eastAsia="MS UI Gothic"/>
          <w:w w:val="80"/>
        </w:rPr>
        <w:t xml:space="preserve">ꎮ </w:t>
      </w:r>
      <w:r>
        <w:t>电潜泵出现故障停机时</w:t>
      </w:r>
      <w:r>
        <w:rPr>
          <w:rFonts w:hint="eastAsia" w:ascii="MS UI Gothic" w:eastAsia="MS UI Gothic"/>
          <w:w w:val="80"/>
        </w:rPr>
        <w:t>ꎬ</w:t>
      </w:r>
      <w:r>
        <w:t>如未查明原因并排除故障</w:t>
      </w:r>
      <w:r>
        <w:rPr>
          <w:rFonts w:hint="eastAsia" w:ascii="MS UI Gothic" w:eastAsia="MS UI Gothic"/>
          <w:w w:val="80"/>
        </w:rPr>
        <w:t xml:space="preserve">ꎬ </w:t>
      </w:r>
      <w:r>
        <w:t>不得二次启动</w:t>
      </w:r>
      <w:r>
        <w:rPr>
          <w:rFonts w:hint="eastAsia" w:ascii="MS UI Gothic" w:eastAsia="MS UI Gothic"/>
          <w:w w:val="80"/>
        </w:rPr>
        <w:t>ꎮ</w:t>
      </w:r>
    </w:p>
    <w:p>
      <w:pPr>
        <w:pStyle w:val="6"/>
        <w:spacing w:line="295" w:lineRule="auto"/>
        <w:ind w:left="381" w:right="126"/>
        <w:rPr>
          <w:rFonts w:hint="eastAsia" w:ascii="MS UI Gothic" w:eastAsia="MS UI Gothic"/>
        </w:rPr>
      </w:pPr>
      <w:r>
        <w:t>第一百三十四条 动液面测试前</w:t>
      </w:r>
      <w:r>
        <w:rPr>
          <w:rFonts w:hint="eastAsia" w:ascii="MS UI Gothic" w:eastAsia="MS UI Gothic"/>
          <w:w w:val="80"/>
        </w:rPr>
        <w:t xml:space="preserve">ꎬ </w:t>
      </w:r>
      <w:r>
        <w:t>必须在关闭套管阀门并释放压力后</w:t>
      </w:r>
      <w:r>
        <w:rPr>
          <w:rFonts w:hint="eastAsia" w:ascii="MS UI Gothic" w:eastAsia="MS UI Gothic"/>
          <w:w w:val="80"/>
        </w:rPr>
        <w:t xml:space="preserve">ꎬ </w:t>
      </w:r>
      <w:r>
        <w:t>方可安装井口连接器</w:t>
      </w:r>
      <w:r>
        <w:rPr>
          <w:rFonts w:hint="eastAsia" w:ascii="MS UI Gothic" w:eastAsia="MS UI Gothic"/>
          <w:w w:val="80"/>
        </w:rPr>
        <w:t xml:space="preserve">ꎮ </w:t>
      </w:r>
      <w:r>
        <w:t>测试动液面时</w:t>
      </w:r>
      <w:r>
        <w:rPr>
          <w:rFonts w:hint="eastAsia" w:ascii="MS UI Gothic" w:eastAsia="MS UI Gothic"/>
          <w:w w:val="80"/>
        </w:rPr>
        <w:t xml:space="preserve">ꎬ </w:t>
      </w:r>
      <w:r>
        <w:t>应当采用氮气进行击发</w:t>
      </w:r>
      <w:r>
        <w:rPr>
          <w:rFonts w:hint="eastAsia" w:ascii="MS UI Gothic" w:eastAsia="MS UI Gothic"/>
          <w:w w:val="80"/>
        </w:rPr>
        <w:t xml:space="preserve">ꎬ </w:t>
      </w:r>
      <w:r>
        <w:t>严禁采用声弹进行击发</w:t>
      </w:r>
      <w:r>
        <w:rPr>
          <w:rFonts w:hint="eastAsia" w:ascii="MS UI Gothic" w:eastAsia="MS UI Gothic"/>
          <w:w w:val="80"/>
        </w:rPr>
        <w:t>ꎮ</w:t>
      </w:r>
    </w:p>
    <w:p>
      <w:pPr>
        <w:pStyle w:val="6"/>
        <w:spacing w:line="295" w:lineRule="auto"/>
        <w:ind w:left="381" w:right="126"/>
        <w:rPr>
          <w:rFonts w:hint="eastAsia" w:ascii="MS UI Gothic" w:eastAsia="MS UI Gothic"/>
        </w:rPr>
      </w:pPr>
      <w:r>
        <w:t>第一百三十五条  连接器安装完毕后</w:t>
      </w:r>
      <w:r>
        <w:rPr>
          <w:rFonts w:hint="eastAsia" w:ascii="MS UI Gothic" w:eastAsia="MS UI Gothic"/>
          <w:w w:val="80"/>
        </w:rPr>
        <w:t xml:space="preserve">ꎬ </w:t>
      </w:r>
      <w:r>
        <w:t>连接器上的放空阀应当关严</w:t>
      </w:r>
      <w:r>
        <w:rPr>
          <w:rFonts w:hint="eastAsia" w:ascii="MS UI Gothic" w:eastAsia="MS UI Gothic"/>
          <w:w w:val="80"/>
        </w:rPr>
        <w:t xml:space="preserve">ꎬ </w:t>
      </w:r>
      <w:r>
        <w:t>缓慢打开套管阀门</w:t>
      </w:r>
      <w:r>
        <w:rPr>
          <w:rFonts w:hint="eastAsia" w:ascii="MS UI Gothic" w:eastAsia="MS UI Gothic"/>
          <w:w w:val="80"/>
        </w:rPr>
        <w:t>ꎮ</w:t>
      </w:r>
    </w:p>
    <w:p>
      <w:pPr>
        <w:pStyle w:val="6"/>
        <w:spacing w:line="295" w:lineRule="auto"/>
        <w:ind w:left="381" w:right="126"/>
        <w:rPr>
          <w:rFonts w:hint="eastAsia" w:ascii="MS UI Gothic" w:eastAsia="MS UI Gothic"/>
        </w:rPr>
      </w:pPr>
      <w:r>
        <w:t>对有套压井</w:t>
      </w:r>
      <w:r>
        <w:rPr>
          <w:rFonts w:hint="eastAsia" w:ascii="MS UI Gothic" w:eastAsia="MS UI Gothic"/>
          <w:w w:val="80"/>
        </w:rPr>
        <w:t xml:space="preserve">ꎬ </w:t>
      </w:r>
      <w:r>
        <w:t>有关人员必须在套管阀门打开时无异常情况下方可装接信号线</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3"/>
        </w:rPr>
        <w:t>第一百三十六条 测试结束后</w:t>
      </w:r>
      <w:r>
        <w:rPr>
          <w:rFonts w:hint="eastAsia" w:ascii="MS UI Gothic" w:eastAsia="MS UI Gothic"/>
          <w:spacing w:val="7"/>
          <w:w w:val="80"/>
        </w:rPr>
        <w:t xml:space="preserve">ꎬ </w:t>
      </w:r>
      <w:r>
        <w:rPr>
          <w:spacing w:val="1"/>
        </w:rPr>
        <w:t>测试</w:t>
      </w:r>
      <w:r>
        <w:rPr>
          <w:spacing w:val="5"/>
        </w:rPr>
        <w:t>人员应当关严套管阀门</w:t>
      </w:r>
      <w:r>
        <w:rPr>
          <w:rFonts w:hint="eastAsia" w:ascii="MS UI Gothic" w:eastAsia="MS UI Gothic"/>
          <w:spacing w:val="23"/>
          <w:w w:val="80"/>
        </w:rPr>
        <w:t xml:space="preserve">ꎬ </w:t>
      </w:r>
      <w:r>
        <w:rPr>
          <w:spacing w:val="11"/>
        </w:rPr>
        <w:t>打开放空阀门</w:t>
      </w:r>
      <w:r>
        <w:rPr>
          <w:rFonts w:hint="eastAsia" w:ascii="MS UI Gothic" w:eastAsia="MS UI Gothic"/>
          <w:w w:val="80"/>
        </w:rPr>
        <w:t>ꎬ</w:t>
      </w:r>
      <w:r>
        <w:rPr>
          <w:spacing w:val="26"/>
        </w:rPr>
        <w:t>拆除各连接电缆后</w:t>
      </w:r>
      <w:r>
        <w:rPr>
          <w:rFonts w:hint="eastAsia" w:ascii="MS UI Gothic" w:eastAsia="MS UI Gothic"/>
          <w:spacing w:val="1"/>
          <w:w w:val="80"/>
        </w:rPr>
        <w:t xml:space="preserve">ꎬ </w:t>
      </w:r>
      <w:r>
        <w:rPr>
          <w:spacing w:val="30"/>
        </w:rPr>
        <w:t>方可卸下井口连</w:t>
      </w:r>
      <w:r>
        <w:rPr>
          <w:spacing w:val="3"/>
        </w:rPr>
        <w:t>接器</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第一百三十七条 示功图测试前</w:t>
      </w:r>
      <w:r>
        <w:rPr>
          <w:rFonts w:hint="eastAsia" w:ascii="MS UI Gothic" w:eastAsia="MS UI Gothic"/>
          <w:spacing w:val="7"/>
          <w:w w:val="80"/>
        </w:rPr>
        <w:t xml:space="preserve">ꎬ </w:t>
      </w:r>
      <w:r>
        <w:t>抽</w:t>
      </w:r>
      <w:r>
        <w:rPr>
          <w:spacing w:val="3"/>
        </w:rPr>
        <w:t>油机驴头必须停在下死点</w:t>
      </w:r>
      <w:r>
        <w:rPr>
          <w:rFonts w:hint="eastAsia" w:ascii="MS UI Gothic" w:eastAsia="MS UI Gothic"/>
          <w:spacing w:val="23"/>
          <w:w w:val="80"/>
        </w:rPr>
        <w:t xml:space="preserve">ꎬ </w:t>
      </w:r>
      <w:r>
        <w:rPr>
          <w:spacing w:val="3"/>
        </w:rPr>
        <w:t>拉住刹车</w:t>
      </w:r>
      <w:r>
        <w:rPr>
          <w:rFonts w:hint="eastAsia" w:ascii="MS UI Gothic" w:eastAsia="MS UI Gothic"/>
          <w:spacing w:val="23"/>
          <w:w w:val="80"/>
        </w:rPr>
        <w:t xml:space="preserve">ꎻ </w:t>
      </w:r>
      <w:r>
        <w:t>操</w:t>
      </w:r>
      <w:r>
        <w:rPr>
          <w:spacing w:val="11"/>
        </w:rPr>
        <w:t>作人员应当选择安全的操作位置安装仪</w:t>
      </w:r>
      <w:r>
        <w:rPr>
          <w:spacing w:val="3"/>
        </w:rPr>
        <w:t>器</w:t>
      </w:r>
      <w:r>
        <w:rPr>
          <w:rFonts w:hint="eastAsia" w:ascii="MS UI Gothic" w:eastAsia="MS UI Gothic"/>
          <w:spacing w:val="21"/>
          <w:w w:val="80"/>
        </w:rPr>
        <w:t xml:space="preserve">ꎻ </w:t>
      </w:r>
      <w:r>
        <w:rPr>
          <w:spacing w:val="30"/>
        </w:rPr>
        <w:t>仪器安装后</w:t>
      </w:r>
      <w:r>
        <w:rPr>
          <w:rFonts w:hint="eastAsia" w:ascii="MS UI Gothic" w:eastAsia="MS UI Gothic"/>
          <w:spacing w:val="7"/>
          <w:w w:val="80"/>
        </w:rPr>
        <w:t xml:space="preserve">ꎬ </w:t>
      </w:r>
      <w:r>
        <w:rPr>
          <w:spacing w:val="35"/>
        </w:rPr>
        <w:t>必须确保挂上保险</w:t>
      </w:r>
      <w:r>
        <w:rPr>
          <w:spacing w:val="3"/>
        </w:rPr>
        <w:t>装置</w:t>
      </w:r>
      <w:r>
        <w:rPr>
          <w:rFonts w:hint="eastAsia" w:ascii="MS UI Gothic" w:eastAsia="MS UI Gothic"/>
          <w:w w:val="80"/>
        </w:rPr>
        <w:t>ꎮ</w:t>
      </w:r>
    </w:p>
    <w:p>
      <w:pPr>
        <w:pStyle w:val="6"/>
        <w:spacing w:line="295" w:lineRule="auto"/>
        <w:ind w:left="381" w:right="124"/>
        <w:rPr>
          <w:rFonts w:hint="eastAsia" w:ascii="MS UI Gothic" w:eastAsia="MS UI Gothic"/>
        </w:rPr>
      </w:pPr>
      <w:r>
        <w:t>第一百三十八条 修井时</w:t>
      </w:r>
      <w:r>
        <w:rPr>
          <w:rFonts w:hint="eastAsia" w:ascii="MS UI Gothic" w:eastAsia="MS UI Gothic"/>
          <w:w w:val="80"/>
        </w:rPr>
        <w:t xml:space="preserve">ꎬ </w:t>
      </w:r>
      <w:r>
        <w:t>探砂面</w:t>
      </w:r>
      <w:r>
        <w:rPr>
          <w:rFonts w:hint="eastAsia" w:ascii="MS UI Gothic" w:eastAsia="MS UI Gothic"/>
          <w:w w:val="80"/>
        </w:rPr>
        <w:t>、</w:t>
      </w:r>
      <w:r>
        <w:t>冲砂起下管柱应当按照国家有关常规修井作业规程的安全规定执行</w:t>
      </w:r>
      <w:r>
        <w:rPr>
          <w:rFonts w:hint="eastAsia" w:ascii="MS UI Gothic" w:eastAsia="MS UI Gothic"/>
          <w:w w:val="80"/>
        </w:rPr>
        <w:t>ꎮ</w:t>
      </w:r>
    </w:p>
    <w:p>
      <w:pPr>
        <w:pStyle w:val="6"/>
        <w:spacing w:line="295" w:lineRule="auto"/>
        <w:ind w:left="381" w:right="126"/>
      </w:pPr>
      <w:r>
        <w:t>第一百三十九条 冲砂前</w:t>
      </w:r>
      <w:r>
        <w:rPr>
          <w:rFonts w:hint="eastAsia" w:ascii="MS UI Gothic" w:eastAsia="MS UI Gothic"/>
          <w:w w:val="80"/>
        </w:rPr>
        <w:t xml:space="preserve">ꎬ </w:t>
      </w:r>
      <w:r>
        <w:t>水龙带必须拴保险绳</w:t>
      </w:r>
      <w:r>
        <w:rPr>
          <w:rFonts w:hint="eastAsia" w:ascii="MS UI Gothic" w:eastAsia="MS UI Gothic"/>
          <w:w w:val="80"/>
        </w:rPr>
        <w:t xml:space="preserve">ꎬ </w:t>
      </w:r>
      <w:r>
        <w:t>循环管线应当不刺不漏</w:t>
      </w:r>
      <w:r>
        <w:rPr>
          <w:rFonts w:hint="eastAsia" w:ascii="MS UI Gothic" w:eastAsia="MS UI Gothic"/>
          <w:w w:val="80"/>
        </w:rPr>
        <w:t xml:space="preserve">ꎮ </w:t>
      </w:r>
      <w:r>
        <w:t>冲</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３６４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00" o:spid="_x0000_s2100" o:spt="203" style="height:2.15pt;width:398.25pt;" coordsize="7965,43">
            <o:lock v:ext="edit"/>
            <v:line id="_x0000_s2101" o:spid="_x0000_s2101" o:spt="20" style="position:absolute;left:0;top:39;height:0;width:7965;" stroked="t" coordsize="21600,21600">
              <v:path arrowok="t"/>
              <v:fill focussize="0,0"/>
              <v:stroke weight="0.388031496062992pt" color="#231F20"/>
              <v:imagedata o:title=""/>
              <o:lock v:ext="edit"/>
            </v:line>
            <v:line id="_x0000_s2102" o:spid="_x0000_s210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rPr>
          <w:rFonts w:hint="eastAsia" w:ascii="MS UI Gothic" w:eastAsia="MS UI Gothic"/>
        </w:rPr>
      </w:pPr>
      <w:r>
        <w:t>砂时</w:t>
      </w:r>
      <w:r>
        <w:rPr>
          <w:rFonts w:hint="eastAsia" w:ascii="MS UI Gothic" w:eastAsia="MS UI Gothic"/>
          <w:w w:val="80"/>
        </w:rPr>
        <w:t xml:space="preserve">ꎬ </w:t>
      </w:r>
      <w:r>
        <w:t>禁止人员穿越高压区</w:t>
      </w:r>
      <w:r>
        <w:rPr>
          <w:rFonts w:hint="eastAsia" w:ascii="MS UI Gothic" w:eastAsia="MS UI Gothic"/>
          <w:w w:val="80"/>
        </w:rPr>
        <w:t>ꎮ</w:t>
      </w:r>
    </w:p>
    <w:p>
      <w:pPr>
        <w:pStyle w:val="6"/>
        <w:spacing w:before="58" w:line="295" w:lineRule="auto"/>
        <w:ind w:right="39"/>
        <w:rPr>
          <w:rFonts w:hint="eastAsia" w:ascii="MS UI Gothic" w:eastAsia="MS UI Gothic"/>
        </w:rPr>
      </w:pPr>
      <w:r>
        <w:t>第一百四十条 下泵时</w:t>
      </w:r>
      <w:r>
        <w:rPr>
          <w:rFonts w:hint="eastAsia" w:ascii="MS UI Gothic" w:eastAsia="MS UI Gothic"/>
          <w:w w:val="80"/>
        </w:rPr>
        <w:t xml:space="preserve">ꎬ </w:t>
      </w:r>
      <w:r>
        <w:t>井口应当安装防掉</w:t>
      </w:r>
      <w:r>
        <w:rPr>
          <w:rFonts w:hint="eastAsia" w:ascii="MS UI Gothic" w:eastAsia="MS UI Gothic"/>
          <w:w w:val="80"/>
        </w:rPr>
        <w:t xml:space="preserve">、 </w:t>
      </w:r>
      <w:r>
        <w:t>防碰装置</w:t>
      </w:r>
      <w:r>
        <w:rPr>
          <w:rFonts w:hint="eastAsia" w:ascii="MS UI Gothic" w:eastAsia="MS UI Gothic"/>
          <w:w w:val="80"/>
        </w:rPr>
        <w:t xml:space="preserve">ꎬ </w:t>
      </w:r>
      <w:r>
        <w:t>严防井下落物和因碰撞产生火花</w:t>
      </w:r>
      <w:r>
        <w:rPr>
          <w:rFonts w:hint="eastAsia" w:ascii="MS UI Gothic" w:eastAsia="MS UI Gothic"/>
          <w:w w:val="80"/>
        </w:rPr>
        <w:t xml:space="preserve">ꎮ </w:t>
      </w:r>
      <w:r>
        <w:t>禁止挂单吊环操作</w:t>
      </w:r>
      <w:r>
        <w:rPr>
          <w:rFonts w:hint="eastAsia" w:ascii="MS UI Gothic" w:eastAsia="MS UI Gothic"/>
          <w:w w:val="80"/>
        </w:rPr>
        <w:t>ꎮ</w:t>
      </w:r>
    </w:p>
    <w:p>
      <w:pPr>
        <w:pStyle w:val="6"/>
        <w:spacing w:line="295" w:lineRule="auto"/>
        <w:ind w:right="38"/>
        <w:jc w:val="left"/>
        <w:rPr>
          <w:rFonts w:hint="eastAsia" w:ascii="MS UI Gothic" w:eastAsia="MS UI Gothic"/>
        </w:rPr>
      </w:pPr>
      <w:r>
        <w:t>修井机绷绳强度应当与修井机匹配</w:t>
      </w:r>
      <w:r>
        <w:rPr>
          <w:rFonts w:hint="eastAsia" w:ascii="MS UI Gothic" w:eastAsia="MS UI Gothic"/>
          <w:w w:val="80"/>
        </w:rPr>
        <w:t>ꎬ</w:t>
      </w:r>
      <w:r>
        <w:t>并确保地锚牢固可靠</w:t>
      </w:r>
      <w:r>
        <w:rPr>
          <w:rFonts w:hint="eastAsia" w:ascii="MS UI Gothic" w:eastAsia="MS UI Gothic"/>
          <w:w w:val="80"/>
        </w:rPr>
        <w:t>ꎮ</w:t>
      </w:r>
    </w:p>
    <w:p>
      <w:pPr>
        <w:pStyle w:val="6"/>
        <w:spacing w:line="295" w:lineRule="auto"/>
        <w:ind w:right="39"/>
        <w:rPr>
          <w:rFonts w:hint="eastAsia" w:ascii="MS UI Gothic" w:eastAsia="MS UI Gothic"/>
        </w:rPr>
      </w:pPr>
      <w:r>
        <w:t>第一百四十一条 洗井时</w:t>
      </w:r>
      <w:r>
        <w:rPr>
          <w:rFonts w:hint="eastAsia" w:ascii="MS UI Gothic" w:eastAsia="MS UI Gothic"/>
          <w:w w:val="80"/>
        </w:rPr>
        <w:t xml:space="preserve">ꎬ </w:t>
      </w:r>
      <w:r>
        <w:t>泵车</w:t>
      </w:r>
      <w:r>
        <w:rPr>
          <w:rFonts w:hint="eastAsia" w:ascii="MS UI Gothic" w:eastAsia="MS UI Gothic"/>
          <w:w w:val="80"/>
        </w:rPr>
        <w:t xml:space="preserve">、  </w:t>
      </w:r>
      <w:r>
        <w:t>水罐车等设备的摆放场地应当处于便于操作的安全位置</w:t>
      </w:r>
      <w:r>
        <w:rPr>
          <w:rFonts w:hint="eastAsia" w:ascii="MS UI Gothic" w:eastAsia="MS UI Gothic"/>
          <w:w w:val="80"/>
        </w:rPr>
        <w:t xml:space="preserve">ꎬ </w:t>
      </w:r>
      <w:r>
        <w:t>出口管线连接应当平直</w:t>
      </w:r>
      <w:r>
        <w:rPr>
          <w:rFonts w:hint="eastAsia" w:ascii="MS UI Gothic" w:eastAsia="MS UI Gothic"/>
          <w:w w:val="80"/>
        </w:rPr>
        <w:t xml:space="preserve">ꎬ </w:t>
      </w:r>
      <w:r>
        <w:t>末端用地锚固定</w:t>
      </w:r>
      <w:r>
        <w:rPr>
          <w:rFonts w:hint="eastAsia" w:ascii="MS UI Gothic" w:eastAsia="MS UI Gothic"/>
          <w:w w:val="80"/>
        </w:rPr>
        <w:t>ꎮ</w:t>
      </w:r>
    </w:p>
    <w:p>
      <w:pPr>
        <w:pStyle w:val="6"/>
        <w:spacing w:line="295" w:lineRule="auto"/>
        <w:ind w:right="39"/>
        <w:rPr>
          <w:rFonts w:hint="eastAsia" w:ascii="MS UI Gothic" w:eastAsia="MS UI Gothic"/>
        </w:rPr>
      </w:pPr>
      <w:r>
        <w:t>第一百四十二条 洗井前必须试压合格</w:t>
      </w:r>
      <w:r>
        <w:rPr>
          <w:rFonts w:hint="eastAsia" w:ascii="MS UI Gothic" w:eastAsia="MS UI Gothic"/>
          <w:w w:val="80"/>
        </w:rPr>
        <w:t xml:space="preserve">ꎬ </w:t>
      </w:r>
      <w:r>
        <w:t>各部阀门应当灵活好用</w:t>
      </w:r>
      <w:r>
        <w:rPr>
          <w:rFonts w:hint="eastAsia" w:ascii="MS UI Gothic" w:eastAsia="MS UI Gothic"/>
          <w:w w:val="80"/>
        </w:rPr>
        <w:t>ꎮ</w:t>
      </w:r>
    </w:p>
    <w:p>
      <w:pPr>
        <w:pStyle w:val="6"/>
        <w:spacing w:line="295" w:lineRule="auto"/>
        <w:ind w:right="39"/>
        <w:rPr>
          <w:rFonts w:hint="eastAsia" w:ascii="MS UI Gothic" w:eastAsia="MS UI Gothic"/>
        </w:rPr>
      </w:pPr>
      <w:r>
        <w:t>第一百四十三条 洗井期间</w:t>
      </w:r>
      <w:r>
        <w:rPr>
          <w:rFonts w:hint="eastAsia" w:ascii="MS UI Gothic" w:eastAsia="MS UI Gothic"/>
          <w:w w:val="80"/>
        </w:rPr>
        <w:t xml:space="preserve">ꎬ </w:t>
      </w:r>
      <w:r>
        <w:t>提升动力设备应当连续运转</w:t>
      </w:r>
      <w:r>
        <w:rPr>
          <w:rFonts w:hint="eastAsia" w:ascii="MS UI Gothic" w:eastAsia="MS UI Gothic"/>
          <w:w w:val="80"/>
        </w:rPr>
        <w:t xml:space="preserve">ꎬ </w:t>
      </w:r>
      <w:r>
        <w:t>不得熄火</w:t>
      </w:r>
      <w:r>
        <w:rPr>
          <w:rFonts w:hint="eastAsia" w:ascii="MS UI Gothic" w:eastAsia="MS UI Gothic"/>
          <w:w w:val="80"/>
        </w:rPr>
        <w:t xml:space="preserve">ꎮ </w:t>
      </w:r>
      <w:r>
        <w:t>泵压升高</w:t>
      </w:r>
      <w:r>
        <w:rPr>
          <w:rFonts w:hint="eastAsia" w:ascii="MS UI Gothic" w:eastAsia="MS UI Gothic"/>
          <w:w w:val="80"/>
        </w:rPr>
        <w:t xml:space="preserve">ꎬ </w:t>
      </w:r>
      <w:r>
        <w:t>洗井不通时</w:t>
      </w:r>
      <w:r>
        <w:rPr>
          <w:rFonts w:hint="eastAsia" w:ascii="MS UI Gothic" w:eastAsia="MS UI Gothic"/>
          <w:w w:val="80"/>
        </w:rPr>
        <w:t xml:space="preserve">ꎬ </w:t>
      </w:r>
      <w:r>
        <w:t>应当及时分析处理</w:t>
      </w:r>
      <w:r>
        <w:rPr>
          <w:rFonts w:hint="eastAsia" w:ascii="MS UI Gothic" w:eastAsia="MS UI Gothic"/>
          <w:w w:val="80"/>
        </w:rPr>
        <w:t xml:space="preserve">ꎬ </w:t>
      </w:r>
      <w:r>
        <w:t>不得强行憋泵</w:t>
      </w:r>
      <w:r>
        <w:rPr>
          <w:rFonts w:hint="eastAsia" w:ascii="MS UI Gothic" w:eastAsia="MS UI Gothic"/>
          <w:w w:val="80"/>
        </w:rPr>
        <w:t xml:space="preserve">ꎻ </w:t>
      </w:r>
      <w:r>
        <w:t>设备和管线泄漏时</w:t>
      </w:r>
      <w:r>
        <w:rPr>
          <w:rFonts w:hint="eastAsia" w:ascii="MS UI Gothic" w:eastAsia="MS UI Gothic"/>
          <w:w w:val="80"/>
        </w:rPr>
        <w:t xml:space="preserve">ꎬ </w:t>
      </w:r>
      <w:r>
        <w:t>应当在停泵</w:t>
      </w:r>
      <w:r>
        <w:rPr>
          <w:rFonts w:hint="eastAsia" w:ascii="MS UI Gothic" w:eastAsia="MS UI Gothic"/>
        </w:rPr>
        <w:t xml:space="preserve">、 </w:t>
      </w:r>
      <w:r>
        <w:t>泄压后方可检修</w:t>
      </w:r>
      <w:r>
        <w:rPr>
          <w:rFonts w:hint="eastAsia" w:ascii="MS UI Gothic" w:eastAsia="MS UI Gothic"/>
          <w:w w:val="80"/>
        </w:rPr>
        <w:t>ꎮ</w:t>
      </w:r>
    </w:p>
    <w:p>
      <w:pPr>
        <w:pStyle w:val="6"/>
        <w:spacing w:line="295" w:lineRule="auto"/>
        <w:ind w:right="39"/>
        <w:rPr>
          <w:rFonts w:hint="eastAsia" w:ascii="MS UI Gothic" w:eastAsia="MS UI Gothic"/>
        </w:rPr>
      </w:pPr>
      <w:r>
        <w:t>发生严重漏失时</w:t>
      </w:r>
      <w:r>
        <w:rPr>
          <w:rFonts w:hint="eastAsia" w:ascii="MS UI Gothic" w:eastAsia="MS UI Gothic"/>
          <w:w w:val="80"/>
        </w:rPr>
        <w:t xml:space="preserve">ꎬ </w:t>
      </w:r>
      <w:r>
        <w:t>应当采取有效堵漏措施后再进行施工</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第一百四十四条 煤层气企业应当对</w:t>
      </w:r>
      <w:r>
        <w:t>报废的煤层气井进行封井处理</w:t>
      </w:r>
      <w:r>
        <w:rPr>
          <w:rFonts w:hint="eastAsia" w:ascii="MS UI Gothic" w:eastAsia="MS UI Gothic"/>
          <w:w w:val="80"/>
        </w:rPr>
        <w:t xml:space="preserve">ꎬ </w:t>
      </w:r>
      <w:r>
        <w:t>建立报废煤层气井的档案</w:t>
      </w:r>
      <w:r>
        <w:rPr>
          <w:rFonts w:hint="eastAsia" w:ascii="MS UI Gothic" w:eastAsia="MS UI Gothic"/>
          <w:w w:val="80"/>
        </w:rPr>
        <w:t xml:space="preserve">ꎬ </w:t>
      </w:r>
      <w:r>
        <w:t>并有施工单位和煤层气</w:t>
      </w:r>
      <w:r>
        <w:rPr>
          <w:w w:val="105"/>
        </w:rPr>
        <w:t>企业等有关部门的验收意见</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95"/>
        </w:rPr>
        <w:t>第一百四十五条   报废的煤层气井的</w:t>
      </w:r>
      <w:r>
        <w:rPr>
          <w:spacing w:val="3"/>
          <w:w w:val="95"/>
        </w:rPr>
        <w:t>井筒必须用水泥浆或者水泥砂浆封固</w:t>
      </w:r>
      <w:r>
        <w:rPr>
          <w:rFonts w:hint="eastAsia" w:ascii="MS UI Gothic" w:eastAsia="MS UI Gothic"/>
          <w:spacing w:val="15"/>
          <w:w w:val="90"/>
        </w:rPr>
        <w:t xml:space="preserve">ꎬ  </w:t>
      </w:r>
      <w:r>
        <w:rPr>
          <w:w w:val="95"/>
        </w:rPr>
        <w:t>封</w:t>
      </w:r>
      <w:r>
        <w:rPr>
          <w:spacing w:val="2"/>
          <w:w w:val="95"/>
        </w:rPr>
        <w:t xml:space="preserve">固高度为从井底到最上面一个可采煤层顶  </w:t>
      </w:r>
      <w:r>
        <w:rPr>
          <w:spacing w:val="-7"/>
          <w:w w:val="95"/>
        </w:rPr>
        <w:t xml:space="preserve">板以上 </w:t>
      </w:r>
      <w:r>
        <w:rPr>
          <w:rFonts w:hint="eastAsia" w:ascii="MS UI Gothic" w:eastAsia="MS UI Gothic"/>
          <w:spacing w:val="5"/>
          <w:w w:val="95"/>
        </w:rPr>
        <w:t xml:space="preserve">１００ </w:t>
      </w:r>
      <w:r>
        <w:rPr>
          <w:spacing w:val="3"/>
          <w:w w:val="95"/>
        </w:rPr>
        <w:t>米</w:t>
      </w:r>
      <w:r>
        <w:rPr>
          <w:rFonts w:hint="eastAsia" w:ascii="MS UI Gothic" w:eastAsia="MS UI Gothic"/>
          <w:spacing w:val="16"/>
          <w:w w:val="90"/>
        </w:rPr>
        <w:t xml:space="preserve">ꎮ </w:t>
      </w:r>
      <w:r>
        <w:rPr>
          <w:spacing w:val="2"/>
          <w:w w:val="95"/>
        </w:rPr>
        <w:t>废弃的井筒必须在井口打</w:t>
      </w:r>
      <w:r>
        <w:rPr>
          <w:spacing w:val="3"/>
          <w:w w:val="95"/>
        </w:rPr>
        <w:t>水泥塞</w:t>
      </w:r>
      <w:r>
        <w:rPr>
          <w:rFonts w:hint="eastAsia" w:ascii="MS UI Gothic" w:eastAsia="MS UI Gothic"/>
          <w:spacing w:val="26"/>
          <w:w w:val="90"/>
        </w:rPr>
        <w:t xml:space="preserve">ꎬ </w:t>
      </w:r>
      <w:r>
        <w:rPr>
          <w:spacing w:val="4"/>
          <w:w w:val="95"/>
        </w:rPr>
        <w:t xml:space="preserve">并将地面以下 </w:t>
      </w:r>
      <w:r>
        <w:rPr>
          <w:rFonts w:hint="eastAsia" w:ascii="MS UI Gothic" w:eastAsia="MS UI Gothic"/>
          <w:w w:val="95"/>
        </w:rPr>
        <w:t>１</w:t>
      </w:r>
      <w:r>
        <w:rPr>
          <w:rFonts w:hint="eastAsia" w:ascii="MS UI Gothic" w:eastAsia="MS UI Gothic"/>
          <w:spacing w:val="2"/>
          <w:w w:val="95"/>
        </w:rPr>
        <w:t xml:space="preserve"> ５ </w:t>
      </w:r>
      <w:r>
        <w:rPr>
          <w:spacing w:val="11"/>
          <w:w w:val="95"/>
        </w:rPr>
        <w:t>米套管割掉</w:t>
      </w:r>
      <w:r>
        <w:rPr>
          <w:rFonts w:hint="eastAsia" w:ascii="MS UI Gothic" w:eastAsia="MS UI Gothic"/>
          <w:w w:val="90"/>
        </w:rPr>
        <w:t>ꎬ</w:t>
      </w:r>
      <w:r>
        <w:rPr>
          <w:spacing w:val="12"/>
          <w:w w:val="95"/>
        </w:rPr>
        <w:t>用钢板将套管焊住</w:t>
      </w:r>
      <w:r>
        <w:rPr>
          <w:rFonts w:hint="eastAsia" w:ascii="MS UI Gothic" w:eastAsia="MS UI Gothic"/>
          <w:spacing w:val="17"/>
          <w:w w:val="90"/>
        </w:rPr>
        <w:t xml:space="preserve">ꎬ  </w:t>
      </w:r>
      <w:r>
        <w:rPr>
          <w:spacing w:val="16"/>
          <w:w w:val="95"/>
        </w:rPr>
        <w:t>然后填土至与地面</w:t>
      </w:r>
      <w:r>
        <w:rPr>
          <w:spacing w:val="3"/>
          <w:w w:val="95"/>
        </w:rPr>
        <w:t>平齐</w:t>
      </w:r>
      <w:r>
        <w:rPr>
          <w:rFonts w:hint="eastAsia" w:ascii="MS UI Gothic" w:eastAsia="MS UI Gothic"/>
          <w:w w:val="90"/>
        </w:rPr>
        <w:t>ꎮ</w:t>
      </w:r>
    </w:p>
    <w:p>
      <w:pPr>
        <w:pStyle w:val="6"/>
        <w:tabs>
          <w:tab w:val="left" w:pos="1906"/>
        </w:tabs>
        <w:spacing w:before="134"/>
        <w:ind w:left="1067" w:firstLine="0"/>
        <w:jc w:val="left"/>
      </w:pPr>
      <w:r>
        <w:rPr>
          <w:spacing w:val="3"/>
          <w:w w:val="105"/>
        </w:rPr>
        <w:t>第十</w:t>
      </w:r>
      <w:r>
        <w:rPr>
          <w:w w:val="105"/>
        </w:rPr>
        <w:t>章</w:t>
      </w:r>
      <w:r>
        <w:rPr>
          <w:w w:val="105"/>
        </w:rPr>
        <w:tab/>
      </w:r>
      <w:r>
        <w:rPr>
          <w:spacing w:val="3"/>
          <w:w w:val="105"/>
        </w:rPr>
        <w:t>煤层气集</w:t>
      </w:r>
      <w:r>
        <w:rPr>
          <w:w w:val="105"/>
        </w:rPr>
        <w:t>输</w:t>
      </w:r>
    </w:p>
    <w:p>
      <w:pPr>
        <w:pStyle w:val="6"/>
        <w:spacing w:before="11"/>
        <w:ind w:left="0" w:firstLine="0"/>
        <w:jc w:val="left"/>
        <w:rPr>
          <w:sz w:val="16"/>
        </w:rPr>
      </w:pPr>
    </w:p>
    <w:p>
      <w:pPr>
        <w:pStyle w:val="6"/>
        <w:spacing w:line="295" w:lineRule="auto"/>
        <w:ind w:right="38"/>
        <w:rPr>
          <w:rFonts w:hint="eastAsia" w:ascii="MS UI Gothic" w:eastAsia="MS UI Gothic"/>
        </w:rPr>
      </w:pPr>
      <w:r>
        <w:rPr>
          <w:spacing w:val="2"/>
          <w:w w:val="105"/>
        </w:rPr>
        <w:t>第一百四十六条 煤层气集输管线线</w:t>
      </w:r>
      <w:r>
        <w:rPr>
          <w:spacing w:val="3"/>
          <w:w w:val="105"/>
        </w:rPr>
        <w:t>路走向应当根据地形</w:t>
      </w:r>
      <w:r>
        <w:rPr>
          <w:rFonts w:hint="eastAsia" w:ascii="MS UI Gothic" w:eastAsia="MS UI Gothic"/>
          <w:spacing w:val="11"/>
          <w:w w:val="80"/>
        </w:rPr>
        <w:t xml:space="preserve">、 </w:t>
      </w:r>
      <w:r>
        <w:rPr>
          <w:spacing w:val="3"/>
          <w:w w:val="105"/>
        </w:rPr>
        <w:t>工程地质</w:t>
      </w:r>
      <w:r>
        <w:rPr>
          <w:rFonts w:hint="eastAsia" w:ascii="MS UI Gothic" w:eastAsia="MS UI Gothic"/>
          <w:spacing w:val="11"/>
          <w:w w:val="80"/>
        </w:rPr>
        <w:t xml:space="preserve">、 </w:t>
      </w:r>
      <w:r>
        <w:rPr>
          <w:spacing w:val="2"/>
          <w:w w:val="105"/>
        </w:rPr>
        <w:t>沿线井</w:t>
      </w:r>
      <w:r>
        <w:rPr>
          <w:spacing w:val="-6"/>
          <w:w w:val="105"/>
        </w:rPr>
        <w:t xml:space="preserve">场 </w:t>
      </w:r>
      <w:r>
        <w:rPr>
          <w:rFonts w:hint="eastAsia" w:ascii="MS UI Gothic" w:eastAsia="MS UI Gothic"/>
          <w:spacing w:val="-37"/>
          <w:w w:val="150"/>
        </w:rPr>
        <w:t xml:space="preserve">( </w:t>
      </w:r>
      <w:r>
        <w:rPr>
          <w:spacing w:val="21"/>
          <w:w w:val="105"/>
        </w:rPr>
        <w:t>站场</w:t>
      </w:r>
      <w:r>
        <w:rPr>
          <w:rFonts w:hint="eastAsia" w:ascii="MS UI Gothic" w:eastAsia="MS UI Gothic"/>
          <w:spacing w:val="14"/>
          <w:w w:val="150"/>
        </w:rPr>
        <w:t xml:space="preserve">) </w:t>
      </w:r>
      <w:r>
        <w:rPr>
          <w:spacing w:val="23"/>
          <w:w w:val="105"/>
        </w:rPr>
        <w:t>的地理位置以及交通运输</w:t>
      </w:r>
      <w:r>
        <w:rPr>
          <w:rFonts w:hint="eastAsia" w:ascii="MS UI Gothic" w:eastAsia="MS UI Gothic"/>
          <w:spacing w:val="-12"/>
          <w:w w:val="80"/>
        </w:rPr>
        <w:t>、</w:t>
      </w:r>
      <w:r>
        <w:rPr>
          <w:spacing w:val="3"/>
          <w:w w:val="105"/>
        </w:rPr>
        <w:t>动力等条件</w:t>
      </w:r>
      <w:r>
        <w:rPr>
          <w:rFonts w:hint="eastAsia" w:ascii="MS UI Gothic" w:eastAsia="MS UI Gothic"/>
          <w:spacing w:val="21"/>
          <w:w w:val="80"/>
        </w:rPr>
        <w:t xml:space="preserve">ꎬ </w:t>
      </w:r>
      <w:r>
        <w:rPr>
          <w:spacing w:val="3"/>
          <w:w w:val="105"/>
        </w:rPr>
        <w:t>确定最优线路</w:t>
      </w:r>
      <w:r>
        <w:rPr>
          <w:rFonts w:hint="eastAsia" w:ascii="MS UI Gothic" w:eastAsia="MS UI Gothic"/>
          <w:w w:val="80"/>
        </w:rPr>
        <w:t>ꎮ</w:t>
      </w:r>
    </w:p>
    <w:p>
      <w:pPr>
        <w:pStyle w:val="6"/>
        <w:spacing w:line="295" w:lineRule="auto"/>
        <w:ind w:left="543" w:right="39" w:firstLine="0"/>
      </w:pPr>
      <w:r>
        <w:rPr>
          <w:w w:val="105"/>
        </w:rPr>
        <w:t>管线线路的选择应当符合下列要求</w:t>
      </w:r>
      <w:r>
        <w:rPr>
          <w:rFonts w:hint="eastAsia" w:ascii="MS UI Gothic" w:eastAsia="MS UI Gothic"/>
          <w:w w:val="105"/>
        </w:rPr>
        <w:t xml:space="preserve">: </w:t>
      </w: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线路顺直</w:t>
      </w:r>
      <w:r>
        <w:rPr>
          <w:rFonts w:hint="eastAsia" w:ascii="MS UI Gothic" w:eastAsia="MS UI Gothic"/>
          <w:w w:val="80"/>
        </w:rPr>
        <w:t xml:space="preserve">、 </w:t>
      </w:r>
      <w:r>
        <w:rPr>
          <w:w w:val="110"/>
        </w:rPr>
        <w:t>平缓</w:t>
      </w:r>
      <w:r>
        <w:rPr>
          <w:rFonts w:hint="eastAsia" w:ascii="MS UI Gothic" w:eastAsia="MS UI Gothic"/>
          <w:w w:val="80"/>
        </w:rPr>
        <w:t xml:space="preserve">ꎬ </w:t>
      </w:r>
      <w:r>
        <w:rPr>
          <w:w w:val="110"/>
        </w:rPr>
        <w:t>减少与天然</w:t>
      </w:r>
    </w:p>
    <w:p>
      <w:pPr>
        <w:pStyle w:val="6"/>
        <w:spacing w:line="255" w:lineRule="exact"/>
        <w:ind w:firstLine="0"/>
        <w:jc w:val="left"/>
        <w:rPr>
          <w:rFonts w:hint="eastAsia" w:ascii="MS UI Gothic" w:eastAsia="MS UI Gothic"/>
        </w:rPr>
      </w:pPr>
      <w:r>
        <w:t>和人工障碍物的交叉</w:t>
      </w:r>
      <w:r>
        <w:rPr>
          <w:rFonts w:hint="eastAsia" w:ascii="MS UI Gothic" w:eastAsia="MS UI Gothic"/>
          <w:w w:val="80"/>
        </w:rPr>
        <w:t>ꎮ</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避开重要的军事设施</w:t>
      </w:r>
      <w:r>
        <w:rPr>
          <w:rFonts w:hint="eastAsia" w:ascii="MS UI Gothic" w:eastAsia="MS UI Gothic"/>
          <w:w w:val="80"/>
        </w:rPr>
        <w:t xml:space="preserve">、 </w:t>
      </w:r>
      <w:r>
        <w:rPr>
          <w:w w:val="105"/>
        </w:rPr>
        <w:t>易燃易爆仓库</w:t>
      </w:r>
      <w:r>
        <w:rPr>
          <w:rFonts w:hint="eastAsia" w:ascii="MS UI Gothic" w:eastAsia="MS UI Gothic"/>
          <w:w w:val="80"/>
        </w:rPr>
        <w:t xml:space="preserve">、 </w:t>
      </w:r>
      <w:r>
        <w:rPr>
          <w:w w:val="105"/>
        </w:rPr>
        <w:t>国家重点文物保护单位等区域</w:t>
      </w:r>
      <w:r>
        <w:rPr>
          <w:rFonts w:hint="eastAsia" w:ascii="MS UI Gothic" w:eastAsia="MS UI Gothic"/>
          <w:w w:val="80"/>
        </w:rPr>
        <w:t>ꎮ</w:t>
      </w:r>
    </w:p>
    <w:p>
      <w:pPr>
        <w:pStyle w:val="6"/>
        <w:spacing w:line="295" w:lineRule="auto"/>
        <w:ind w:right="440"/>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避开城镇规划区</w:t>
      </w:r>
      <w:r>
        <w:rPr>
          <w:rFonts w:hint="eastAsia" w:ascii="MS UI Gothic" w:eastAsia="MS UI Gothic"/>
          <w:w w:val="80"/>
        </w:rPr>
        <w:t xml:space="preserve">、 </w:t>
      </w:r>
      <w:r>
        <w:t>大型站场</w:t>
      </w:r>
      <w:r>
        <w:rPr>
          <w:rFonts w:hint="eastAsia" w:ascii="MS UI Gothic" w:eastAsia="MS UI Gothic"/>
          <w:w w:val="80"/>
        </w:rPr>
        <w:t>、</w:t>
      </w:r>
      <w:r>
        <w:t>飞机场</w:t>
      </w:r>
      <w:r>
        <w:rPr>
          <w:rFonts w:hint="eastAsia" w:ascii="MS UI Gothic" w:eastAsia="MS UI Gothic"/>
          <w:w w:val="80"/>
        </w:rPr>
        <w:t xml:space="preserve">、 </w:t>
      </w:r>
      <w:r>
        <w:t>火车站和国家级自然保护区等区域</w:t>
      </w:r>
      <w:r>
        <w:rPr>
          <w:rFonts w:hint="eastAsia" w:ascii="MS UI Gothic" w:eastAsia="MS UI Gothic"/>
          <w:w w:val="80"/>
        </w:rPr>
        <w:t xml:space="preserve">ꎮ </w:t>
      </w:r>
      <w:r>
        <w:t>当受条件限制</w:t>
      </w:r>
      <w:r>
        <w:rPr>
          <w:rFonts w:hint="eastAsia" w:ascii="MS UI Gothic" w:eastAsia="MS UI Gothic"/>
          <w:w w:val="80"/>
        </w:rPr>
        <w:t xml:space="preserve">ꎬ </w:t>
      </w:r>
      <w:r>
        <w:t>管线需要在上述区域内通过时</w:t>
      </w:r>
      <w:r>
        <w:rPr>
          <w:rFonts w:hint="eastAsia" w:ascii="MS UI Gothic" w:eastAsia="MS UI Gothic"/>
          <w:w w:val="80"/>
        </w:rPr>
        <w:t xml:space="preserve">ꎬ </w:t>
      </w:r>
      <w:r>
        <w:t>必须征得有关部门同意</w:t>
      </w:r>
      <w:r>
        <w:rPr>
          <w:rFonts w:hint="eastAsia" w:ascii="MS UI Gothic" w:eastAsia="MS UI Gothic"/>
          <w:w w:val="80"/>
        </w:rPr>
        <w:t xml:space="preserve">ꎬ </w:t>
      </w:r>
      <w:r>
        <w:t>留出足够的安全距离</w:t>
      </w:r>
      <w:r>
        <w:rPr>
          <w:rFonts w:hint="eastAsia" w:ascii="MS UI Gothic" w:eastAsia="MS UI Gothic"/>
          <w:w w:val="80"/>
        </w:rPr>
        <w:t xml:space="preserve">ꎬ </w:t>
      </w:r>
      <w:r>
        <w:t>并采取相应的安全保护措施</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严禁管线通过铁路或者公路的隧道</w:t>
      </w:r>
      <w:r>
        <w:rPr>
          <w:rFonts w:hint="eastAsia" w:ascii="MS UI Gothic" w:eastAsia="MS UI Gothic"/>
          <w:w w:val="80"/>
        </w:rPr>
        <w:t xml:space="preserve">、 </w:t>
      </w:r>
      <w:r>
        <w:rPr>
          <w:w w:val="105"/>
        </w:rPr>
        <w:t xml:space="preserve">桥梁 </w:t>
      </w:r>
      <w:r>
        <w:rPr>
          <w:rFonts w:hint="eastAsia" w:ascii="MS UI Gothic" w:eastAsia="MS UI Gothic"/>
          <w:w w:val="150"/>
        </w:rPr>
        <w:t xml:space="preserve">( </w:t>
      </w:r>
      <w:r>
        <w:rPr>
          <w:w w:val="105"/>
        </w:rPr>
        <w:t>管线专用公路的隧道</w:t>
      </w:r>
      <w:r>
        <w:rPr>
          <w:rFonts w:hint="eastAsia" w:ascii="MS UI Gothic" w:eastAsia="MS UI Gothic"/>
          <w:w w:val="80"/>
        </w:rPr>
        <w:t xml:space="preserve">、 </w:t>
      </w:r>
      <w:r>
        <w:rPr>
          <w:w w:val="105"/>
        </w:rPr>
        <w:t>桥梁除外</w:t>
      </w:r>
      <w:r>
        <w:rPr>
          <w:rFonts w:hint="eastAsia" w:ascii="MS UI Gothic" w:eastAsia="MS UI Gothic"/>
          <w:w w:val="150"/>
        </w:rPr>
        <w:t xml:space="preserve">) </w:t>
      </w:r>
      <w:r>
        <w:rPr>
          <w:w w:val="105"/>
        </w:rPr>
        <w:t>以及铁路编组站</w:t>
      </w:r>
      <w:r>
        <w:rPr>
          <w:rFonts w:hint="eastAsia" w:ascii="MS UI Gothic" w:eastAsia="MS UI Gothic"/>
          <w:w w:val="80"/>
        </w:rPr>
        <w:t xml:space="preserve">、 </w:t>
      </w:r>
      <w:r>
        <w:rPr>
          <w:w w:val="105"/>
        </w:rPr>
        <w:t>大型客运站和变电所</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避开地下杂散电流干扰大的区</w:t>
      </w:r>
      <w:r>
        <w:t>域</w:t>
      </w:r>
      <w:r>
        <w:rPr>
          <w:rFonts w:hint="eastAsia" w:ascii="MS UI Gothic" w:eastAsia="MS UI Gothic"/>
          <w:w w:val="80"/>
        </w:rPr>
        <w:t xml:space="preserve">ꎻ </w:t>
      </w:r>
      <w:r>
        <w:t>当避开确有困难时</w:t>
      </w:r>
      <w:r>
        <w:rPr>
          <w:rFonts w:hint="eastAsia" w:ascii="MS UI Gothic" w:eastAsia="MS UI Gothic"/>
          <w:w w:val="80"/>
        </w:rPr>
        <w:t xml:space="preserve">ꎬ </w:t>
      </w:r>
      <w:r>
        <w:t>需采取符合标</w:t>
      </w:r>
      <w:r>
        <w:rPr>
          <w:w w:val="105"/>
        </w:rPr>
        <w:t>准</w:t>
      </w:r>
      <w:r>
        <w:rPr>
          <w:rFonts w:hint="eastAsia" w:ascii="MS UI Gothic" w:eastAsia="MS UI Gothic"/>
          <w:w w:val="80"/>
        </w:rPr>
        <w:t xml:space="preserve">、 </w:t>
      </w:r>
      <w:r>
        <w:rPr>
          <w:w w:val="105"/>
        </w:rPr>
        <w:t>规范的排流措施</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避开不良工程地质地段</w:t>
      </w:r>
      <w:r>
        <w:rPr>
          <w:rFonts w:hint="eastAsia" w:ascii="MS UI Gothic" w:eastAsia="MS UI Gothic"/>
          <w:w w:val="80"/>
        </w:rPr>
        <w:t xml:space="preserve">ꎻ </w:t>
      </w:r>
      <w:r>
        <w:rPr>
          <w:w w:val="105"/>
        </w:rPr>
        <w:t>需选择合适的位置和方式穿越</w:t>
      </w:r>
      <w:r>
        <w:rPr>
          <w:rFonts w:hint="eastAsia" w:ascii="MS UI Gothic" w:eastAsia="MS UI Gothic"/>
          <w:w w:val="80"/>
        </w:rPr>
        <w:t>ꎮ</w:t>
      </w:r>
    </w:p>
    <w:p>
      <w:pPr>
        <w:pStyle w:val="6"/>
        <w:spacing w:line="295" w:lineRule="auto"/>
        <w:ind w:right="442"/>
        <w:rPr>
          <w:rFonts w:hint="eastAsia" w:ascii="MS UI Gothic" w:eastAsia="MS UI Gothic"/>
        </w:rPr>
      </w:pPr>
      <w:r>
        <w:t>第一百四十七条 煤层气管线及管线组件的材质选择</w:t>
      </w:r>
      <w:r>
        <w:rPr>
          <w:rFonts w:hint="eastAsia" w:ascii="MS UI Gothic" w:eastAsia="MS UI Gothic"/>
          <w:w w:val="80"/>
        </w:rPr>
        <w:t xml:space="preserve">ꎬ </w:t>
      </w:r>
      <w:r>
        <w:t>应当综合考虑使用压力</w:t>
      </w:r>
      <w:r>
        <w:rPr>
          <w:rFonts w:hint="eastAsia" w:ascii="MS UI Gothic" w:eastAsia="MS UI Gothic"/>
          <w:w w:val="80"/>
        </w:rPr>
        <w:t xml:space="preserve">、 </w:t>
      </w:r>
      <w:r>
        <w:t>温度</w:t>
      </w:r>
      <w:r>
        <w:rPr>
          <w:rFonts w:hint="eastAsia" w:ascii="MS UI Gothic" w:eastAsia="MS UI Gothic"/>
          <w:w w:val="80"/>
        </w:rPr>
        <w:t xml:space="preserve">、 </w:t>
      </w:r>
      <w:r>
        <w:t>煤层气特性</w:t>
      </w:r>
      <w:r>
        <w:rPr>
          <w:rFonts w:hint="eastAsia" w:ascii="MS UI Gothic" w:eastAsia="MS UI Gothic"/>
          <w:w w:val="80"/>
        </w:rPr>
        <w:t xml:space="preserve">、 </w:t>
      </w:r>
      <w:r>
        <w:t>使用地区</w:t>
      </w:r>
      <w:r>
        <w:rPr>
          <w:rFonts w:hint="eastAsia" w:ascii="MS UI Gothic" w:eastAsia="MS UI Gothic"/>
          <w:w w:val="80"/>
        </w:rPr>
        <w:t xml:space="preserve">、  </w:t>
      </w:r>
      <w:r>
        <w:t>经济性等因素</w:t>
      </w:r>
      <w:r>
        <w:rPr>
          <w:rFonts w:hint="eastAsia" w:ascii="MS UI Gothic" w:eastAsia="MS UI Gothic"/>
          <w:w w:val="80"/>
        </w:rPr>
        <w:t>ꎮ</w:t>
      </w:r>
    </w:p>
    <w:p>
      <w:pPr>
        <w:pStyle w:val="6"/>
        <w:spacing w:line="295" w:lineRule="auto"/>
        <w:ind w:right="442"/>
        <w:jc w:val="left"/>
        <w:rPr>
          <w:rFonts w:hint="eastAsia" w:ascii="MS UI Gothic" w:eastAsia="MS UI Gothic"/>
        </w:rPr>
      </w:pPr>
      <w:r>
        <w:t>煤层气管线及管线组件的材质选择应</w:t>
      </w:r>
      <w:r>
        <w:rPr>
          <w:w w:val="110"/>
        </w:rPr>
        <w:t>当符合下列要求</w:t>
      </w:r>
      <w:r>
        <w:rPr>
          <w:rFonts w:hint="eastAsia" w:ascii="MS UI Gothic" w:eastAsia="MS UI Gothic"/>
          <w:w w:val="235"/>
        </w:rPr>
        <w:t>:</w:t>
      </w:r>
    </w:p>
    <w:p>
      <w:pPr>
        <w:pStyle w:val="6"/>
        <w:spacing w:line="295" w:lineRule="auto"/>
        <w:ind w:right="442"/>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采用材料的强度</w:t>
      </w:r>
      <w:r>
        <w:rPr>
          <w:rFonts w:hint="eastAsia" w:ascii="MS UI Gothic" w:eastAsia="MS UI Gothic"/>
          <w:w w:val="80"/>
        </w:rPr>
        <w:t xml:space="preserve">、 </w:t>
      </w:r>
      <w:r>
        <w:rPr>
          <w:w w:val="105"/>
        </w:rPr>
        <w:t>寿命满足安</w:t>
      </w:r>
      <w:r>
        <w:t>全要求</w:t>
      </w:r>
      <w:r>
        <w:rPr>
          <w:rFonts w:hint="eastAsia" w:ascii="MS UI Gothic" w:eastAsia="MS UI Gothic"/>
          <w:w w:val="80"/>
        </w:rPr>
        <w:t xml:space="preserve">ꎬ </w:t>
      </w:r>
      <w:r>
        <w:t>煤层气集输钢质管道的设计符合</w:t>
      </w:r>
    </w:p>
    <w:p>
      <w:pPr>
        <w:pStyle w:val="6"/>
        <w:spacing w:line="295" w:lineRule="auto"/>
        <w:ind w:right="442" w:firstLine="0"/>
        <w:rPr>
          <w:rFonts w:hint="eastAsia" w:ascii="MS UI Gothic" w:hAnsi="MS UI Gothic" w:eastAsia="MS UI Gothic"/>
        </w:rPr>
      </w:pPr>
      <w:r>
        <w:rPr>
          <w:rFonts w:hint="eastAsia" w:ascii="MS UI Gothic" w:hAnsi="MS UI Gothic" w:eastAsia="MS UI Gothic"/>
          <w:w w:val="76"/>
        </w:rPr>
        <w:t>«</w:t>
      </w:r>
      <w:r>
        <w:rPr>
          <w:rFonts w:hint="eastAsia" w:ascii="MS UI Gothic" w:hAnsi="MS UI Gothic" w:eastAsia="MS UI Gothic"/>
          <w:spacing w:val="-40"/>
        </w:rPr>
        <w:t xml:space="preserve"> </w:t>
      </w:r>
      <w:r>
        <w:rPr>
          <w:spacing w:val="6"/>
          <w:w w:val="102"/>
        </w:rPr>
        <w:t>油气集输设计规范</w:t>
      </w:r>
      <w:r>
        <w:rPr>
          <w:rFonts w:hint="eastAsia" w:ascii="MS UI Gothic" w:hAnsi="MS UI Gothic" w:eastAsia="MS UI Gothic"/>
          <w:w w:val="76"/>
        </w:rPr>
        <w:t>»</w:t>
      </w:r>
      <w:r>
        <w:rPr>
          <w:rFonts w:hint="eastAsia" w:ascii="MS UI Gothic" w:hAnsi="MS UI Gothic" w:eastAsia="MS UI Gothic"/>
          <w:spacing w:val="-1"/>
        </w:rPr>
        <w:t xml:space="preserve">   </w:t>
      </w:r>
      <w:r>
        <w:rPr>
          <w:rFonts w:hint="eastAsia" w:ascii="MS UI Gothic" w:hAnsi="MS UI Gothic" w:eastAsia="MS UI Gothic"/>
          <w:w w:val="168"/>
        </w:rPr>
        <w:t>(</w:t>
      </w:r>
      <w:r>
        <w:rPr>
          <w:rFonts w:hint="eastAsia" w:ascii="MS UI Gothic" w:hAnsi="MS UI Gothic" w:eastAsia="MS UI Gothic"/>
          <w:spacing w:val="-36"/>
        </w:rPr>
        <w:t xml:space="preserve"> </w:t>
      </w:r>
      <w:r>
        <w:rPr>
          <w:rFonts w:hint="eastAsia" w:ascii="MS UI Gothic" w:hAnsi="MS UI Gothic" w:eastAsia="MS UI Gothic"/>
          <w:spacing w:val="-2"/>
          <w:w w:val="88"/>
        </w:rPr>
        <w:t>Ｇ</w:t>
      </w:r>
      <w:r>
        <w:rPr>
          <w:rFonts w:hint="eastAsia" w:ascii="MS UI Gothic" w:hAnsi="MS UI Gothic" w:eastAsia="MS UI Gothic"/>
          <w:w w:val="80"/>
        </w:rPr>
        <w:t>Ｂ</w:t>
      </w:r>
      <w:r>
        <w:rPr>
          <w:rFonts w:hint="eastAsia" w:ascii="MS UI Gothic" w:hAnsi="MS UI Gothic" w:eastAsia="MS UI Gothic"/>
          <w:spacing w:val="17"/>
        </w:rPr>
        <w:t xml:space="preserve"> </w:t>
      </w:r>
      <w:r>
        <w:rPr>
          <w:rFonts w:hint="eastAsia" w:ascii="MS UI Gothic" w:hAnsi="MS UI Gothic" w:eastAsia="MS UI Gothic"/>
          <w:spacing w:val="1"/>
          <w:w w:val="75"/>
        </w:rPr>
        <w:t>５０３５０</w:t>
      </w:r>
      <w:r>
        <w:rPr>
          <w:rFonts w:hint="eastAsia" w:ascii="MS UI Gothic" w:hAnsi="MS UI Gothic" w:eastAsia="MS UI Gothic"/>
          <w:w w:val="168"/>
        </w:rPr>
        <w:t>)</w:t>
      </w:r>
      <w:r>
        <w:rPr>
          <w:rFonts w:hint="eastAsia" w:ascii="MS UI Gothic" w:hAnsi="MS UI Gothic" w:eastAsia="MS UI Gothic"/>
          <w:spacing w:val="4"/>
        </w:rPr>
        <w:t xml:space="preserve">  </w:t>
      </w:r>
      <w:r>
        <w:rPr>
          <w:spacing w:val="5"/>
          <w:w w:val="102"/>
        </w:rPr>
        <w:t>的有</w:t>
      </w:r>
      <w:r>
        <w:rPr>
          <w:spacing w:val="3"/>
        </w:rPr>
        <w:t>关规定</w:t>
      </w:r>
      <w:r>
        <w:rPr>
          <w:rFonts w:hint="eastAsia" w:ascii="MS UI Gothic" w:hAnsi="MS UI Gothic" w:eastAsia="MS UI Gothic"/>
          <w:spacing w:val="6"/>
          <w:w w:val="90"/>
        </w:rPr>
        <w:t xml:space="preserve">ꎬ </w:t>
      </w:r>
      <w:r>
        <w:rPr>
          <w:spacing w:val="2"/>
        </w:rPr>
        <w:t>煤层气采气聚乙烯管道的设计符</w:t>
      </w:r>
      <w:r>
        <w:rPr>
          <w:spacing w:val="10"/>
        </w:rPr>
        <w:t xml:space="preserve">合 </w:t>
      </w:r>
      <w:r>
        <w:rPr>
          <w:rFonts w:hint="eastAsia" w:ascii="MS UI Gothic" w:hAnsi="MS UI Gothic" w:eastAsia="MS UI Gothic"/>
          <w:spacing w:val="-18"/>
        </w:rPr>
        <w:t xml:space="preserve">« </w:t>
      </w:r>
      <w:r>
        <w:rPr>
          <w:spacing w:val="39"/>
        </w:rPr>
        <w:t>聚乙烯燃气管道工程技术规程</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spacing w:val="-40"/>
        </w:rPr>
        <w:t xml:space="preserve"> </w:t>
      </w:r>
      <w:r>
        <w:rPr>
          <w:rFonts w:hint="eastAsia" w:ascii="MS UI Gothic" w:hAnsi="MS UI Gothic" w:eastAsia="MS UI Gothic"/>
          <w:w w:val="84"/>
        </w:rPr>
        <w:t>Ｃ</w:t>
      </w:r>
      <w:r>
        <w:rPr>
          <w:rFonts w:hint="eastAsia" w:ascii="MS UI Gothic" w:hAnsi="MS UI Gothic" w:eastAsia="MS UI Gothic"/>
          <w:spacing w:val="-2"/>
          <w:w w:val="66"/>
        </w:rPr>
        <w:t>ＪＪ</w:t>
      </w:r>
      <w:r>
        <w:rPr>
          <w:rFonts w:hint="eastAsia" w:ascii="MS UI Gothic" w:hAnsi="MS UI Gothic" w:eastAsia="MS UI Gothic"/>
          <w:spacing w:val="6"/>
        </w:rPr>
        <w:t xml:space="preserve"> </w:t>
      </w:r>
      <w:r>
        <w:rPr>
          <w:rFonts w:hint="eastAsia" w:ascii="MS UI Gothic" w:hAnsi="MS UI Gothic" w:eastAsia="MS UI Gothic"/>
          <w:spacing w:val="2"/>
          <w:w w:val="75"/>
        </w:rPr>
        <w:t>６３</w:t>
      </w:r>
      <w:r>
        <w:rPr>
          <w:rFonts w:hint="eastAsia" w:ascii="MS UI Gothic" w:hAnsi="MS UI Gothic" w:eastAsia="MS UI Gothic"/>
          <w:w w:val="168"/>
        </w:rPr>
        <w:t>)</w:t>
      </w:r>
      <w:r>
        <w:rPr>
          <w:rFonts w:hint="eastAsia" w:ascii="MS UI Gothic" w:hAnsi="MS UI Gothic" w:eastAsia="MS UI Gothic"/>
          <w:spacing w:val="2"/>
        </w:rPr>
        <w:t xml:space="preserve">  </w:t>
      </w:r>
      <w:r>
        <w:rPr>
          <w:spacing w:val="3"/>
          <w:w w:val="102"/>
        </w:rPr>
        <w:t>的有关规定</w:t>
      </w:r>
      <w:r>
        <w:rPr>
          <w:rFonts w:hint="eastAsia" w:ascii="MS UI Gothic" w:hAnsi="MS UI Gothic" w:eastAsia="MS UI Gothic"/>
          <w:w w:val="51"/>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材料生产企业按照相应标准生产</w:t>
      </w:r>
      <w:r>
        <w:rPr>
          <w:rFonts w:hint="eastAsia" w:ascii="MS UI Gothic" w:eastAsia="MS UI Gothic"/>
          <w:w w:val="80"/>
        </w:rPr>
        <w:t xml:space="preserve">ꎬ </w:t>
      </w:r>
      <w:r>
        <w:rPr>
          <w:w w:val="105"/>
        </w:rPr>
        <w:t>并提供产品质量证明书</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选用的管线组件符合安全标准</w:t>
      </w:r>
      <w:r>
        <w:rPr>
          <w:w w:val="110"/>
        </w:rPr>
        <w:t>并有质量证明书</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四</w:t>
      </w:r>
      <w:r>
        <w:rPr>
          <w:rFonts w:hint="eastAsia" w:ascii="MS UI Gothic" w:eastAsia="MS UI Gothic"/>
          <w:spacing w:val="-13"/>
          <w:w w:val="130"/>
        </w:rPr>
        <w:t xml:space="preserve">) </w:t>
      </w:r>
      <w:r>
        <w:rPr>
          <w:spacing w:val="41"/>
          <w:w w:val="110"/>
        </w:rPr>
        <w:t>管线材质满足当地的抗震</w:t>
      </w:r>
      <w:r>
        <w:rPr>
          <w:spacing w:val="3"/>
          <w:w w:val="110"/>
        </w:rPr>
        <w:t>要求</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采用钢管和钢质组件时</w:t>
      </w:r>
      <w:r>
        <w:rPr>
          <w:rFonts w:hint="eastAsia" w:ascii="MS UI Gothic" w:eastAsia="MS UI Gothic"/>
          <w:w w:val="80"/>
        </w:rPr>
        <w:t xml:space="preserve">ꎬ </w:t>
      </w:r>
      <w:r>
        <w:rPr>
          <w:w w:val="105"/>
        </w:rPr>
        <w:t>应当根据强度等级</w:t>
      </w:r>
      <w:r>
        <w:rPr>
          <w:rFonts w:hint="eastAsia" w:ascii="MS UI Gothic" w:eastAsia="MS UI Gothic"/>
          <w:w w:val="80"/>
        </w:rPr>
        <w:t xml:space="preserve">、 </w:t>
      </w:r>
      <w:r>
        <w:rPr>
          <w:w w:val="105"/>
        </w:rPr>
        <w:t>管径</w:t>
      </w:r>
      <w:r>
        <w:rPr>
          <w:rFonts w:hint="eastAsia" w:ascii="MS UI Gothic" w:eastAsia="MS UI Gothic"/>
          <w:w w:val="80"/>
        </w:rPr>
        <w:t xml:space="preserve">、 </w:t>
      </w:r>
      <w:r>
        <w:rPr>
          <w:w w:val="105"/>
        </w:rPr>
        <w:t>壁厚</w:t>
      </w:r>
      <w:r>
        <w:rPr>
          <w:rFonts w:hint="eastAsia" w:ascii="MS UI Gothic" w:eastAsia="MS UI Gothic"/>
          <w:w w:val="80"/>
        </w:rPr>
        <w:t xml:space="preserve">、 </w:t>
      </w:r>
      <w:r>
        <w:rPr>
          <w:w w:val="105"/>
        </w:rPr>
        <w:t>焊接方式及</w:t>
      </w:r>
      <w:r>
        <w:t>使用环境温度等因素提出材料韧性要求</w:t>
      </w:r>
      <w:r>
        <w:rPr>
          <w:rFonts w:hint="eastAsia" w:ascii="MS UI Gothic" w:eastAsia="MS UI Gothic"/>
          <w:w w:val="80"/>
        </w:rPr>
        <w:t>ꎻ</w:t>
      </w:r>
    </w:p>
    <w:p>
      <w:pPr>
        <w:pStyle w:val="6"/>
        <w:spacing w:line="254" w:lineRule="exact"/>
        <w:ind w:left="543" w:firstLine="0"/>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穿越铁路</w:t>
      </w:r>
      <w:r>
        <w:rPr>
          <w:rFonts w:hint="eastAsia" w:ascii="MS UI Gothic" w:eastAsia="MS UI Gothic"/>
        </w:rPr>
        <w:t xml:space="preserve">、 </w:t>
      </w:r>
      <w:r>
        <w:rPr>
          <w:w w:val="110"/>
        </w:rPr>
        <w:t>公路</w:t>
      </w:r>
      <w:r>
        <w:rPr>
          <w:rFonts w:hint="eastAsia" w:ascii="MS UI Gothic" w:eastAsia="MS UI Gothic"/>
        </w:rPr>
        <w:t xml:space="preserve">、 </w:t>
      </w:r>
      <w:r>
        <w:rPr>
          <w:w w:val="110"/>
        </w:rPr>
        <w:t>大型河流及</w:t>
      </w:r>
    </w:p>
    <w:p>
      <w:pPr>
        <w:spacing w:after="0" w:line="254"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３６５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03" o:spid="_x0000_s2103" o:spt="203" style="height:2.15pt;width:398.25pt;" coordsize="7965,43">
            <o:lock v:ext="edit"/>
            <v:line id="_x0000_s2104" o:spid="_x0000_s2104" o:spt="20" style="position:absolute;left:0;top:39;height:0;width:7965;" stroked="t" coordsize="21600,21600">
              <v:path arrowok="t"/>
              <v:fill focussize="0,0"/>
              <v:stroke weight="0.388031496062992pt" color="#231F20"/>
              <v:imagedata o:title=""/>
              <o:lock v:ext="edit"/>
            </v:line>
            <v:line id="_x0000_s2105" o:spid="_x0000_s210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人口稠密区时</w:t>
      </w:r>
      <w:r>
        <w:rPr>
          <w:rFonts w:hint="eastAsia" w:ascii="MS UI Gothic" w:eastAsia="MS UI Gothic"/>
          <w:w w:val="80"/>
        </w:rPr>
        <w:t xml:space="preserve">ꎬ </w:t>
      </w:r>
      <w:r>
        <w:t>采用钢管</w:t>
      </w:r>
      <w:r>
        <w:rPr>
          <w:rFonts w:hint="eastAsia" w:ascii="MS UI Gothic" w:eastAsia="MS UI Gothic"/>
          <w:w w:val="80"/>
        </w:rPr>
        <w:t xml:space="preserve">ꎬ </w:t>
      </w:r>
      <w:r>
        <w:t>管线组件严禁使用铸铁件</w:t>
      </w:r>
      <w:r>
        <w:rPr>
          <w:rFonts w:hint="eastAsia" w:ascii="MS UI Gothic" w:eastAsia="MS UI Gothic"/>
          <w:w w:val="80"/>
        </w:rPr>
        <w:t>ꎮ</w:t>
      </w:r>
    </w:p>
    <w:p>
      <w:pPr>
        <w:pStyle w:val="6"/>
        <w:spacing w:line="295" w:lineRule="auto"/>
        <w:ind w:left="440" w:right="1"/>
        <w:rPr>
          <w:rFonts w:hint="eastAsia" w:ascii="MS UI Gothic" w:eastAsia="MS UI Gothic"/>
        </w:rPr>
      </w:pPr>
      <w:r>
        <w:t>第一百四十八条 煤层气集输管线应当采用埋地方式敷设</w:t>
      </w:r>
      <w:r>
        <w:rPr>
          <w:rFonts w:hint="eastAsia" w:ascii="MS UI Gothic" w:eastAsia="MS UI Gothic"/>
          <w:w w:val="80"/>
        </w:rPr>
        <w:t xml:space="preserve">ꎬ </w:t>
      </w:r>
      <w:r>
        <w:t>特殊地段也可以采用土堤</w:t>
      </w:r>
      <w:r>
        <w:rPr>
          <w:rFonts w:hint="eastAsia" w:ascii="MS UI Gothic" w:eastAsia="MS UI Gothic"/>
          <w:w w:val="80"/>
        </w:rPr>
        <w:t xml:space="preserve">、 </w:t>
      </w:r>
      <w:r>
        <w:t>地面</w:t>
      </w:r>
      <w:r>
        <w:rPr>
          <w:rFonts w:hint="eastAsia" w:ascii="MS UI Gothic" w:eastAsia="MS UI Gothic"/>
          <w:w w:val="80"/>
        </w:rPr>
        <w:t xml:space="preserve">、 </w:t>
      </w:r>
      <w:r>
        <w:t>架空等方式敷设</w:t>
      </w:r>
      <w:r>
        <w:rPr>
          <w:rFonts w:hint="eastAsia" w:ascii="MS UI Gothic" w:eastAsia="MS UI Gothic"/>
          <w:w w:val="80"/>
        </w:rPr>
        <w:t xml:space="preserve">ꎮ </w:t>
      </w:r>
      <w:r>
        <w:t>管线敷设应当满足抗震要求</w:t>
      </w:r>
      <w:r>
        <w:rPr>
          <w:rFonts w:hint="eastAsia" w:ascii="MS UI Gothic" w:eastAsia="MS UI Gothic"/>
          <w:w w:val="80"/>
        </w:rPr>
        <w:t>ꎮ</w:t>
      </w:r>
    </w:p>
    <w:p>
      <w:pPr>
        <w:pStyle w:val="6"/>
        <w:spacing w:line="295" w:lineRule="auto"/>
        <w:ind w:left="440" w:right="1"/>
        <w:rPr>
          <w:rFonts w:hint="eastAsia" w:ascii="MS UI Gothic" w:eastAsia="MS UI Gothic"/>
        </w:rPr>
      </w:pPr>
      <w:r>
        <w:t>第一百四十九条 埋地管线坡度应当根据地形的要求</w:t>
      </w:r>
      <w:r>
        <w:rPr>
          <w:rFonts w:hint="eastAsia" w:ascii="MS UI Gothic" w:eastAsia="MS UI Gothic"/>
          <w:w w:val="80"/>
        </w:rPr>
        <w:t xml:space="preserve">ꎬ </w:t>
      </w:r>
      <w:r>
        <w:t>采用弹性敷设</w:t>
      </w:r>
      <w:r>
        <w:rPr>
          <w:rFonts w:hint="eastAsia" w:ascii="MS UI Gothic" w:eastAsia="MS UI Gothic"/>
          <w:w w:val="80"/>
        </w:rPr>
        <w:t xml:space="preserve">ꎬ </w:t>
      </w:r>
      <w:r>
        <w:t>管线埋地深度应当在冻土层以下</w:t>
      </w:r>
      <w:r>
        <w:rPr>
          <w:rFonts w:hint="eastAsia" w:ascii="MS UI Gothic" w:eastAsia="MS UI Gothic"/>
          <w:w w:val="80"/>
        </w:rPr>
        <w:t xml:space="preserve">ꎮ </w:t>
      </w:r>
      <w:r>
        <w:t>覆土层最小厚度</w:t>
      </w:r>
      <w:r>
        <w:rPr>
          <w:rFonts w:hint="eastAsia" w:ascii="MS UI Gothic" w:eastAsia="MS UI Gothic"/>
          <w:w w:val="80"/>
        </w:rPr>
        <w:t xml:space="preserve">、 </w:t>
      </w:r>
      <w:r>
        <w:t>管沟边坡和沟底宽度应当符合国家有关输气管道工程设计规范标准的规定</w:t>
      </w:r>
      <w:r>
        <w:rPr>
          <w:rFonts w:hint="eastAsia" w:ascii="MS UI Gothic" w:eastAsia="MS UI Gothic"/>
          <w:w w:val="80"/>
        </w:rPr>
        <w:t>ꎮ</w:t>
      </w:r>
    </w:p>
    <w:p>
      <w:pPr>
        <w:pStyle w:val="6"/>
        <w:spacing w:line="295" w:lineRule="auto"/>
        <w:ind w:left="435" w:firstLine="425"/>
        <w:rPr>
          <w:rFonts w:hint="eastAsia" w:ascii="MS UI Gothic" w:eastAsia="MS UI Gothic"/>
        </w:rPr>
      </w:pPr>
      <w:r>
        <w:t>管线与其他管线交叉时</w:t>
      </w:r>
      <w:r>
        <w:rPr>
          <w:rFonts w:hint="eastAsia" w:ascii="MS UI Gothic" w:eastAsia="MS UI Gothic"/>
          <w:w w:val="85"/>
        </w:rPr>
        <w:t xml:space="preserve">ꎬ </w:t>
      </w:r>
      <w:r>
        <w:t xml:space="preserve">其垂直净距一般不得小于 </w:t>
      </w:r>
      <w:r>
        <w:rPr>
          <w:rFonts w:hint="eastAsia" w:ascii="MS UI Gothic" w:eastAsia="MS UI Gothic"/>
          <w:w w:val="85"/>
        </w:rPr>
        <w:t xml:space="preserve">０ ３ </w:t>
      </w:r>
      <w:r>
        <w:t>米</w:t>
      </w:r>
      <w:r>
        <w:rPr>
          <w:rFonts w:hint="eastAsia" w:ascii="MS UI Gothic" w:eastAsia="MS UI Gothic"/>
          <w:w w:val="85"/>
        </w:rPr>
        <w:t xml:space="preserve">ꎻ </w:t>
      </w:r>
      <w:r>
        <w:t xml:space="preserve">当小于 </w:t>
      </w:r>
      <w:r>
        <w:rPr>
          <w:rFonts w:hint="eastAsia" w:ascii="MS UI Gothic" w:eastAsia="MS UI Gothic"/>
          <w:w w:val="85"/>
        </w:rPr>
        <w:t xml:space="preserve">０ ３ </w:t>
      </w:r>
      <w:r>
        <w:t>米时</w:t>
      </w:r>
      <w:r>
        <w:rPr>
          <w:rFonts w:hint="eastAsia" w:ascii="MS UI Gothic" w:eastAsia="MS UI Gothic"/>
          <w:w w:val="85"/>
        </w:rPr>
        <w:t>ꎬ</w:t>
      </w:r>
      <w:r>
        <w:t>两管间应当设置坚固的绝缘隔离物</w:t>
      </w:r>
      <w:r>
        <w:rPr>
          <w:rFonts w:hint="eastAsia" w:ascii="MS UI Gothic" w:eastAsia="MS UI Gothic"/>
          <w:w w:val="85"/>
        </w:rPr>
        <w:t xml:space="preserve">ꎮ </w:t>
      </w:r>
      <w:r>
        <w:t>管线与电力</w:t>
      </w:r>
      <w:r>
        <w:rPr>
          <w:rFonts w:hint="eastAsia" w:ascii="MS UI Gothic" w:eastAsia="MS UI Gothic"/>
          <w:w w:val="85"/>
        </w:rPr>
        <w:t xml:space="preserve">、 </w:t>
      </w:r>
      <w:r>
        <w:t>通信电缆交叉时</w:t>
      </w:r>
      <w:r>
        <w:rPr>
          <w:rFonts w:hint="eastAsia" w:ascii="MS UI Gothic" w:eastAsia="MS UI Gothic"/>
          <w:w w:val="85"/>
        </w:rPr>
        <w:t xml:space="preserve">ꎬ </w:t>
      </w:r>
      <w:r>
        <w:t xml:space="preserve">其垂直净距不得小于 </w:t>
      </w:r>
      <w:r>
        <w:rPr>
          <w:rFonts w:hint="eastAsia" w:ascii="MS UI Gothic" w:eastAsia="MS UI Gothic"/>
          <w:w w:val="85"/>
        </w:rPr>
        <w:t xml:space="preserve">０ ５ </w:t>
      </w:r>
      <w:r>
        <w:t>米</w:t>
      </w:r>
      <w:r>
        <w:rPr>
          <w:rFonts w:hint="eastAsia" w:ascii="MS UI Gothic" w:eastAsia="MS UI Gothic"/>
          <w:w w:val="85"/>
        </w:rPr>
        <w:t xml:space="preserve">ꎮ </w:t>
      </w:r>
      <w:r>
        <w:t>管线在交叉点两侧各延伸</w:t>
      </w:r>
      <w:r>
        <w:rPr>
          <w:rFonts w:hint="eastAsia" w:ascii="MS UI Gothic" w:eastAsia="MS UI Gothic"/>
          <w:w w:val="85"/>
        </w:rPr>
        <w:t xml:space="preserve">１０ </w:t>
      </w:r>
      <w:r>
        <w:t>米以上的管段</w:t>
      </w:r>
      <w:r>
        <w:rPr>
          <w:rFonts w:hint="eastAsia" w:ascii="MS UI Gothic" w:eastAsia="MS UI Gothic"/>
          <w:w w:val="85"/>
        </w:rPr>
        <w:t xml:space="preserve">ꎬ </w:t>
      </w:r>
      <w:r>
        <w:t>应当采用相应的最高绝缘等级</w:t>
      </w:r>
      <w:r>
        <w:rPr>
          <w:rFonts w:hint="eastAsia" w:ascii="MS UI Gothic" w:eastAsia="MS UI Gothic"/>
          <w:w w:val="85"/>
        </w:rPr>
        <w:t>ꎮ</w:t>
      </w:r>
    </w:p>
    <w:p>
      <w:pPr>
        <w:pStyle w:val="6"/>
        <w:spacing w:line="295" w:lineRule="auto"/>
        <w:ind w:left="440" w:right="1"/>
        <w:rPr>
          <w:rFonts w:hint="eastAsia" w:ascii="MS UI Gothic" w:eastAsia="MS UI Gothic"/>
        </w:rPr>
      </w:pPr>
      <w:r>
        <w:rPr>
          <w:spacing w:val="3"/>
          <w:w w:val="95"/>
        </w:rPr>
        <w:t>管线改变方向时</w:t>
      </w:r>
      <w:r>
        <w:rPr>
          <w:rFonts w:hint="eastAsia" w:ascii="MS UI Gothic" w:eastAsia="MS UI Gothic"/>
          <w:spacing w:val="7"/>
          <w:w w:val="90"/>
        </w:rPr>
        <w:t xml:space="preserve">ꎬ  </w:t>
      </w:r>
      <w:r>
        <w:rPr>
          <w:spacing w:val="2"/>
          <w:w w:val="95"/>
        </w:rPr>
        <w:t xml:space="preserve">应当优先采用弹性敷设  </w:t>
      </w:r>
      <w:r>
        <w:rPr>
          <w:rFonts w:hint="eastAsia" w:ascii="MS UI Gothic" w:eastAsia="MS UI Gothic"/>
          <w:spacing w:val="-4"/>
          <w:w w:val="140"/>
        </w:rPr>
        <w:t xml:space="preserve">( </w:t>
      </w:r>
      <w:r>
        <w:rPr>
          <w:spacing w:val="15"/>
          <w:w w:val="95"/>
        </w:rPr>
        <w:t>曲率半径应当大于或者等于管线</w:t>
      </w:r>
      <w:r>
        <w:rPr>
          <w:spacing w:val="-12"/>
          <w:w w:val="95"/>
        </w:rPr>
        <w:t xml:space="preserve">直径的 </w:t>
      </w:r>
      <w:r>
        <w:rPr>
          <w:rFonts w:hint="eastAsia" w:ascii="MS UI Gothic" w:eastAsia="MS UI Gothic"/>
          <w:spacing w:val="2"/>
          <w:w w:val="95"/>
        </w:rPr>
        <w:t xml:space="preserve">１０００ </w:t>
      </w:r>
      <w:r>
        <w:rPr>
          <w:spacing w:val="3"/>
          <w:w w:val="95"/>
        </w:rPr>
        <w:t>倍</w:t>
      </w:r>
      <w:r>
        <w:rPr>
          <w:rFonts w:hint="eastAsia" w:ascii="MS UI Gothic" w:eastAsia="MS UI Gothic"/>
          <w:spacing w:val="-30"/>
          <w:w w:val="140"/>
        </w:rPr>
        <w:t xml:space="preserve">) </w:t>
      </w:r>
      <w:r>
        <w:rPr>
          <w:rFonts w:hint="eastAsia" w:ascii="MS UI Gothic" w:eastAsia="MS UI Gothic"/>
          <w:spacing w:val="9"/>
          <w:w w:val="90"/>
        </w:rPr>
        <w:t xml:space="preserve">ꎬ </w:t>
      </w:r>
      <w:r>
        <w:rPr>
          <w:spacing w:val="2"/>
          <w:w w:val="95"/>
        </w:rPr>
        <w:t xml:space="preserve">垂直面上弹性敷设管线的曲率半径应当大于管线在自重作用下产  </w:t>
      </w:r>
      <w:r>
        <w:rPr>
          <w:spacing w:val="3"/>
          <w:w w:val="95"/>
        </w:rPr>
        <w:t>生的挠度曲线的曲率半径</w:t>
      </w:r>
      <w:r>
        <w:rPr>
          <w:rFonts w:hint="eastAsia" w:ascii="MS UI Gothic" w:eastAsia="MS UI Gothic"/>
          <w:spacing w:val="16"/>
          <w:w w:val="90"/>
        </w:rPr>
        <w:t xml:space="preserve">ꎮ  </w:t>
      </w:r>
      <w:r>
        <w:rPr>
          <w:spacing w:val="2"/>
          <w:w w:val="95"/>
        </w:rPr>
        <w:t xml:space="preserve">曲率半径的计算应当符合国家有关输气管道工程设计规  </w:t>
      </w:r>
      <w:r>
        <w:rPr>
          <w:spacing w:val="3"/>
          <w:w w:val="95"/>
        </w:rPr>
        <w:t>范标准的规定</w:t>
      </w:r>
      <w:r>
        <w:rPr>
          <w:rFonts w:hint="eastAsia" w:ascii="MS UI Gothic" w:eastAsia="MS UI Gothic"/>
          <w:w w:val="90"/>
        </w:rPr>
        <w:t>ꎮ</w:t>
      </w:r>
    </w:p>
    <w:p>
      <w:pPr>
        <w:pStyle w:val="6"/>
        <w:spacing w:line="295" w:lineRule="auto"/>
        <w:ind w:left="440" w:right="1"/>
        <w:rPr>
          <w:rFonts w:hint="eastAsia" w:ascii="MS UI Gothic" w:eastAsia="MS UI Gothic"/>
        </w:rPr>
      </w:pPr>
      <w:r>
        <w:rPr>
          <w:spacing w:val="2"/>
          <w:w w:val="105"/>
        </w:rPr>
        <w:t>第一百五十条 用于改变管线走向的</w:t>
      </w:r>
      <w:r>
        <w:rPr>
          <w:spacing w:val="2"/>
        </w:rPr>
        <w:t>弯头的曲率半径应当大于或者等于外直径</w:t>
      </w:r>
      <w:r>
        <w:rPr>
          <w:spacing w:val="-42"/>
          <w:w w:val="105"/>
        </w:rPr>
        <w:t xml:space="preserve">的 </w:t>
      </w:r>
      <w:r>
        <w:rPr>
          <w:rFonts w:hint="eastAsia" w:ascii="MS UI Gothic" w:eastAsia="MS UI Gothic"/>
          <w:spacing w:val="-13"/>
          <w:w w:val="80"/>
        </w:rPr>
        <w:t xml:space="preserve">４ </w:t>
      </w:r>
      <w:r>
        <w:rPr>
          <w:spacing w:val="3"/>
          <w:w w:val="105"/>
        </w:rPr>
        <w:t>倍</w:t>
      </w:r>
      <w:r>
        <w:rPr>
          <w:rFonts w:hint="eastAsia" w:ascii="MS UI Gothic" w:eastAsia="MS UI Gothic"/>
          <w:spacing w:val="-2"/>
          <w:w w:val="80"/>
        </w:rPr>
        <w:t xml:space="preserve">ꎬ </w:t>
      </w:r>
      <w:r>
        <w:rPr>
          <w:spacing w:val="2"/>
          <w:w w:val="105"/>
        </w:rPr>
        <w:t>并便于清管器或者检测仪器顺利</w:t>
      </w:r>
      <w:r>
        <w:rPr>
          <w:spacing w:val="3"/>
        </w:rPr>
        <w:t>通过</w:t>
      </w:r>
      <w:r>
        <w:rPr>
          <w:rFonts w:hint="eastAsia" w:ascii="MS UI Gothic" w:eastAsia="MS UI Gothic"/>
          <w:spacing w:val="21"/>
          <w:w w:val="80"/>
        </w:rPr>
        <w:t xml:space="preserve">ꎮ </w:t>
      </w:r>
      <w:r>
        <w:rPr>
          <w:spacing w:val="2"/>
        </w:rPr>
        <w:t>现场冷弯弯管的最小曲率半径应当符合国家有关输气管道工程设计规范标准</w:t>
      </w:r>
      <w:r>
        <w:rPr>
          <w:spacing w:val="3"/>
          <w:w w:val="105"/>
        </w:rPr>
        <w:t>的规定</w:t>
      </w:r>
      <w:r>
        <w:rPr>
          <w:rFonts w:hint="eastAsia" w:ascii="MS UI Gothic" w:eastAsia="MS UI Gothic"/>
          <w:w w:val="80"/>
        </w:rPr>
        <w:t xml:space="preserve">ꎮ </w:t>
      </w:r>
      <w:r>
        <w:rPr>
          <w:spacing w:val="11"/>
          <w:w w:val="105"/>
        </w:rPr>
        <w:t xml:space="preserve">弯管上的环向焊缝应当进行 </w:t>
      </w:r>
      <w:r>
        <w:rPr>
          <w:rFonts w:hint="eastAsia" w:ascii="MS UI Gothic" w:eastAsia="MS UI Gothic"/>
          <w:spacing w:val="-10"/>
          <w:w w:val="105"/>
        </w:rPr>
        <w:t xml:space="preserve">Ｘ </w:t>
      </w:r>
      <w:r>
        <w:rPr>
          <w:spacing w:val="3"/>
          <w:w w:val="105"/>
        </w:rPr>
        <w:t>射线检查</w:t>
      </w:r>
      <w:r>
        <w:rPr>
          <w:rFonts w:hint="eastAsia" w:ascii="MS UI Gothic" w:eastAsia="MS UI Gothic"/>
          <w:w w:val="80"/>
        </w:rPr>
        <w:t>ꎮ</w:t>
      </w:r>
    </w:p>
    <w:p>
      <w:pPr>
        <w:pStyle w:val="6"/>
        <w:spacing w:line="295" w:lineRule="auto"/>
        <w:ind w:left="440" w:right="1"/>
        <w:rPr>
          <w:rFonts w:hint="eastAsia" w:ascii="MS UI Gothic" w:eastAsia="MS UI Gothic"/>
        </w:rPr>
      </w:pPr>
      <w:r>
        <w:t>管线不得采用斜口连接</w:t>
      </w:r>
      <w:r>
        <w:rPr>
          <w:rFonts w:hint="eastAsia" w:ascii="MS UI Gothic" w:eastAsia="MS UI Gothic"/>
          <w:w w:val="80"/>
        </w:rPr>
        <w:t xml:space="preserve">ꎬ </w:t>
      </w:r>
      <w:r>
        <w:t>不允许采用褶皱弯或者虾米弯</w:t>
      </w:r>
      <w:r>
        <w:rPr>
          <w:rFonts w:hint="eastAsia" w:ascii="MS UI Gothic" w:eastAsia="MS UI Gothic"/>
          <w:w w:val="80"/>
        </w:rPr>
        <w:t xml:space="preserve">ꎬ </w:t>
      </w:r>
      <w:r>
        <w:t xml:space="preserve">管子对接偏差不得大于 </w:t>
      </w:r>
      <w:r>
        <w:rPr>
          <w:rFonts w:hint="eastAsia" w:ascii="MS UI Gothic" w:eastAsia="MS UI Gothic"/>
          <w:w w:val="80"/>
        </w:rPr>
        <w:t xml:space="preserve">３ </w:t>
      </w:r>
      <w:r>
        <w:t>度</w:t>
      </w:r>
      <w:r>
        <w:rPr>
          <w:rFonts w:hint="eastAsia" w:ascii="MS UI Gothic" w:eastAsia="MS UI Gothic"/>
          <w:w w:val="80"/>
        </w:rPr>
        <w:t>ꎮ</w:t>
      </w:r>
    </w:p>
    <w:p>
      <w:pPr>
        <w:pStyle w:val="6"/>
        <w:spacing w:line="295" w:lineRule="auto"/>
        <w:ind w:left="440" w:right="1"/>
        <w:rPr>
          <w:rFonts w:hint="eastAsia" w:ascii="MS UI Gothic" w:eastAsia="MS UI Gothic"/>
        </w:rPr>
      </w:pPr>
      <w:r>
        <w:t>第一百五十一条  管线穿</w:t>
      </w:r>
      <w:r>
        <w:rPr>
          <w:rFonts w:hint="eastAsia" w:ascii="MS UI Gothic" w:eastAsia="MS UI Gothic"/>
          <w:w w:val="80"/>
        </w:rPr>
        <w:t xml:space="preserve">、  </w:t>
      </w:r>
      <w:r>
        <w:t>跨越铁路</w:t>
      </w:r>
      <w:r>
        <w:rPr>
          <w:rFonts w:hint="eastAsia" w:ascii="MS UI Gothic" w:eastAsia="MS UI Gothic"/>
          <w:w w:val="80"/>
        </w:rPr>
        <w:t xml:space="preserve">、 </w:t>
      </w:r>
      <w:r>
        <w:t>公路</w:t>
      </w:r>
      <w:r>
        <w:rPr>
          <w:rFonts w:hint="eastAsia" w:ascii="MS UI Gothic" w:eastAsia="MS UI Gothic"/>
          <w:w w:val="80"/>
        </w:rPr>
        <w:t xml:space="preserve">、 </w:t>
      </w:r>
      <w:r>
        <w:t>河流时</w:t>
      </w:r>
      <w:r>
        <w:rPr>
          <w:rFonts w:hint="eastAsia" w:ascii="MS UI Gothic" w:eastAsia="MS UI Gothic"/>
          <w:w w:val="80"/>
        </w:rPr>
        <w:t xml:space="preserve">ꎬ </w:t>
      </w:r>
      <w:r>
        <w:t>应当符合国家油气输送管道穿越工程设计规范标准和油气输送管道跨越工程设计规范标准的有关规定</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rPr>
          <w:w w:val="95"/>
        </w:rPr>
        <w:t>第一百五十二条   管线沿线应当设置里程桩</w:t>
      </w:r>
      <w:r>
        <w:rPr>
          <w:rFonts w:hint="eastAsia" w:ascii="MS UI Gothic" w:eastAsia="MS UI Gothic"/>
          <w:w w:val="95"/>
        </w:rPr>
        <w:t xml:space="preserve">、  </w:t>
      </w:r>
      <w:r>
        <w:rPr>
          <w:w w:val="95"/>
        </w:rPr>
        <w:t>转角桩</w:t>
      </w:r>
      <w:r>
        <w:rPr>
          <w:rFonts w:hint="eastAsia" w:ascii="MS UI Gothic" w:eastAsia="MS UI Gothic"/>
          <w:w w:val="95"/>
        </w:rPr>
        <w:t xml:space="preserve">、  </w:t>
      </w:r>
      <w:r>
        <w:rPr>
          <w:w w:val="95"/>
        </w:rPr>
        <w:t>标志桩和警示牌等永久性标志</w:t>
      </w:r>
      <w:r>
        <w:rPr>
          <w:rFonts w:hint="eastAsia" w:ascii="MS UI Gothic" w:eastAsia="MS UI Gothic"/>
          <w:w w:val="90"/>
        </w:rPr>
        <w:t xml:space="preserve">ꎮ  </w:t>
      </w:r>
      <w:r>
        <w:rPr>
          <w:w w:val="95"/>
        </w:rPr>
        <w:t xml:space="preserve">里程桩应当沿气流前进方向从管线起点至终点每 </w:t>
      </w:r>
      <w:r>
        <w:rPr>
          <w:rFonts w:hint="eastAsia" w:ascii="MS UI Gothic" w:eastAsia="MS UI Gothic"/>
          <w:w w:val="95"/>
        </w:rPr>
        <w:t xml:space="preserve">５００ </w:t>
      </w:r>
      <w:r>
        <w:rPr>
          <w:w w:val="95"/>
        </w:rPr>
        <w:t>米连续设置</w:t>
      </w:r>
      <w:r>
        <w:rPr>
          <w:rFonts w:hint="eastAsia" w:ascii="MS UI Gothic" w:eastAsia="MS UI Gothic"/>
          <w:w w:val="90"/>
        </w:rPr>
        <w:t xml:space="preserve">ꎮ </w:t>
      </w:r>
      <w:r>
        <w:rPr>
          <w:w w:val="95"/>
        </w:rPr>
        <w:t>里程桩可以与阴极保护测试桩结合设置</w:t>
      </w:r>
      <w:r>
        <w:rPr>
          <w:rFonts w:hint="eastAsia" w:ascii="MS UI Gothic" w:eastAsia="MS UI Gothic"/>
          <w:w w:val="90"/>
        </w:rPr>
        <w:t>ꎮ</w:t>
      </w:r>
    </w:p>
    <w:p>
      <w:pPr>
        <w:pStyle w:val="6"/>
        <w:spacing w:line="295" w:lineRule="auto"/>
        <w:ind w:left="381" w:right="126"/>
        <w:rPr>
          <w:rFonts w:hint="eastAsia" w:ascii="MS UI Gothic" w:eastAsia="MS UI Gothic"/>
        </w:rPr>
      </w:pPr>
      <w:r>
        <w:rPr>
          <w:w w:val="105"/>
        </w:rPr>
        <w:t>第一百五十三条 钢制埋地集输管线</w:t>
      </w:r>
      <w:r>
        <w:t>的设计应当符合国家有关防腐绝缘与阴极</w:t>
      </w:r>
      <w:r>
        <w:rPr>
          <w:w w:val="105"/>
        </w:rPr>
        <w:t>保护标准的有关规定</w:t>
      </w:r>
      <w:r>
        <w:rPr>
          <w:rFonts w:hint="eastAsia" w:ascii="MS UI Gothic" w:eastAsia="MS UI Gothic"/>
          <w:w w:val="80"/>
        </w:rPr>
        <w:t>ꎮ</w:t>
      </w:r>
    </w:p>
    <w:p>
      <w:pPr>
        <w:pStyle w:val="6"/>
        <w:spacing w:line="295" w:lineRule="auto"/>
        <w:ind w:left="381" w:right="126"/>
        <w:rPr>
          <w:rFonts w:hint="eastAsia" w:ascii="MS UI Gothic" w:eastAsia="MS UI Gothic"/>
        </w:rPr>
      </w:pPr>
      <w:r>
        <w:t>管线阴级保护达不到规定要求的</w:t>
      </w:r>
      <w:r>
        <w:rPr>
          <w:rFonts w:hint="eastAsia" w:ascii="MS UI Gothic" w:eastAsia="MS UI Gothic"/>
          <w:w w:val="80"/>
        </w:rPr>
        <w:t xml:space="preserve">ꎬ </w:t>
      </w:r>
      <w:r>
        <w:t>经检测确认防腐层发生老化时</w:t>
      </w:r>
      <w:r>
        <w:rPr>
          <w:rFonts w:hint="eastAsia" w:ascii="MS UI Gothic" w:eastAsia="MS UI Gothic"/>
          <w:w w:val="80"/>
        </w:rPr>
        <w:t xml:space="preserve">ꎬ </w:t>
      </w:r>
      <w:r>
        <w:t>煤层气企业应当及时进行防腐层大修</w:t>
      </w:r>
      <w:r>
        <w:rPr>
          <w:rFonts w:hint="eastAsia" w:ascii="MS UI Gothic" w:eastAsia="MS UI Gothic"/>
          <w:w w:val="80"/>
        </w:rPr>
        <w:t>ꎮ</w:t>
      </w:r>
    </w:p>
    <w:p>
      <w:pPr>
        <w:pStyle w:val="6"/>
        <w:spacing w:line="295" w:lineRule="auto"/>
        <w:ind w:left="381" w:right="126"/>
        <w:rPr>
          <w:rFonts w:hint="eastAsia" w:ascii="MS UI Gothic" w:eastAsia="MS UI Gothic"/>
        </w:rPr>
      </w:pPr>
      <w:r>
        <w:t>第一百五十四条 裸露或者架空的管线应当有良好的防腐绝缘层</w:t>
      </w:r>
      <w:r>
        <w:rPr>
          <w:rFonts w:hint="eastAsia" w:ascii="MS UI Gothic" w:eastAsia="MS UI Gothic"/>
          <w:w w:val="80"/>
        </w:rPr>
        <w:t xml:space="preserve">ꎬ </w:t>
      </w:r>
      <w:r>
        <w:t>带保温层的</w:t>
      </w:r>
      <w:r>
        <w:rPr>
          <w:rFonts w:hint="eastAsia" w:ascii="MS UI Gothic" w:eastAsia="MS UI Gothic"/>
          <w:w w:val="80"/>
        </w:rPr>
        <w:t xml:space="preserve">ꎬ </w:t>
      </w:r>
      <w:r>
        <w:t>采取保温和防水措施</w:t>
      </w:r>
      <w:r>
        <w:rPr>
          <w:rFonts w:hint="eastAsia" w:ascii="MS UI Gothic" w:eastAsia="MS UI Gothic"/>
          <w:w w:val="80"/>
        </w:rPr>
        <w:t xml:space="preserve">ꎮ </w:t>
      </w:r>
      <w:r>
        <w:t>管线应当定期排水</w:t>
      </w:r>
      <w:r>
        <w:rPr>
          <w:rFonts w:hint="eastAsia" w:ascii="MS UI Gothic" w:eastAsia="MS UI Gothic"/>
          <w:w w:val="80"/>
        </w:rPr>
        <w:t xml:space="preserve">ꎬ </w:t>
      </w:r>
      <w:r>
        <w:t>防止造成水堵</w:t>
      </w:r>
      <w:r>
        <w:rPr>
          <w:rFonts w:hint="eastAsia" w:ascii="MS UI Gothic" w:eastAsia="MS UI Gothic"/>
          <w:w w:val="80"/>
        </w:rPr>
        <w:t xml:space="preserve">、 </w:t>
      </w:r>
      <w:r>
        <w:t>冰堵</w:t>
      </w:r>
      <w:r>
        <w:rPr>
          <w:rFonts w:hint="eastAsia" w:ascii="MS UI Gothic" w:eastAsia="MS UI Gothic"/>
          <w:w w:val="80"/>
        </w:rPr>
        <w:t xml:space="preserve">ꎮ </w:t>
      </w:r>
      <w:r>
        <w:t>站场的进出站两端管线</w:t>
      </w:r>
      <w:r>
        <w:rPr>
          <w:rFonts w:hint="eastAsia" w:ascii="MS UI Gothic" w:eastAsia="MS UI Gothic"/>
          <w:w w:val="80"/>
        </w:rPr>
        <w:t xml:space="preserve">ꎬ </w:t>
      </w:r>
      <w:r>
        <w:t>应当加装绝缘接头</w:t>
      </w:r>
      <w:r>
        <w:rPr>
          <w:rFonts w:hint="eastAsia" w:ascii="MS UI Gothic" w:eastAsia="MS UI Gothic"/>
          <w:w w:val="80"/>
        </w:rPr>
        <w:t xml:space="preserve">ꎬ </w:t>
      </w:r>
      <w:r>
        <w:t>确保干线阴极保护可靠性</w:t>
      </w:r>
      <w:r>
        <w:rPr>
          <w:rFonts w:hint="eastAsia" w:ascii="MS UI Gothic" w:eastAsia="MS UI Gothic"/>
          <w:w w:val="80"/>
        </w:rPr>
        <w:t>ꎮ</w:t>
      </w:r>
    </w:p>
    <w:p>
      <w:pPr>
        <w:pStyle w:val="6"/>
        <w:spacing w:line="295" w:lineRule="auto"/>
        <w:ind w:left="381" w:right="124"/>
        <w:rPr>
          <w:rFonts w:hint="eastAsia" w:ascii="MS UI Gothic" w:eastAsia="MS UI Gothic"/>
        </w:rPr>
      </w:pPr>
      <w:r>
        <w:t>第一百五十五条 煤层气企业应当依据煤层气田地面建设总体规划以及所在地区城镇规划</w:t>
      </w:r>
      <w:r>
        <w:rPr>
          <w:rFonts w:hint="eastAsia" w:ascii="MS UI Gothic" w:eastAsia="MS UI Gothic"/>
          <w:w w:val="80"/>
        </w:rPr>
        <w:t xml:space="preserve">、 </w:t>
      </w:r>
      <w:r>
        <w:t>集输管线走向</w:t>
      </w:r>
      <w:r>
        <w:rPr>
          <w:rFonts w:hint="eastAsia" w:ascii="MS UI Gothic" w:eastAsia="MS UI Gothic"/>
          <w:w w:val="80"/>
        </w:rPr>
        <w:t xml:space="preserve">ꎬ </w:t>
      </w:r>
      <w:r>
        <w:t>结合地形</w:t>
      </w:r>
      <w:r>
        <w:rPr>
          <w:rFonts w:hint="eastAsia" w:ascii="MS UI Gothic" w:eastAsia="MS UI Gothic"/>
          <w:w w:val="80"/>
        </w:rPr>
        <w:t>、</w:t>
      </w:r>
      <w:r>
        <w:t>地貌</w:t>
      </w:r>
      <w:r>
        <w:rPr>
          <w:rFonts w:hint="eastAsia" w:ascii="MS UI Gothic" w:eastAsia="MS UI Gothic"/>
          <w:w w:val="80"/>
        </w:rPr>
        <w:t xml:space="preserve">、 </w:t>
      </w:r>
      <w:r>
        <w:t>工程和水文地质条件</w:t>
      </w:r>
      <w:r>
        <w:rPr>
          <w:rFonts w:hint="eastAsia" w:ascii="MS UI Gothic" w:eastAsia="MS UI Gothic"/>
          <w:w w:val="80"/>
        </w:rPr>
        <w:t xml:space="preserve">ꎬ </w:t>
      </w:r>
      <w:r>
        <w:t>统一规划站场的选址及布局</w:t>
      </w:r>
      <w:r>
        <w:rPr>
          <w:rFonts w:hint="eastAsia" w:ascii="MS UI Gothic" w:eastAsia="MS UI Gothic"/>
          <w:w w:val="80"/>
        </w:rPr>
        <w:t xml:space="preserve">ꎬ </w:t>
      </w:r>
      <w:r>
        <w:t>并远离地质灾害易发区</w:t>
      </w:r>
      <w:r>
        <w:rPr>
          <w:rFonts w:hint="eastAsia" w:ascii="MS UI Gothic" w:eastAsia="MS UI Gothic"/>
          <w:w w:val="80"/>
        </w:rPr>
        <w:t xml:space="preserve">ꎬ </w:t>
      </w:r>
      <w:r>
        <w:t>在站场服务年限内避免受采空区</w:t>
      </w:r>
      <w:r>
        <w:rPr>
          <w:rFonts w:hint="eastAsia" w:ascii="MS UI Gothic" w:eastAsia="MS UI Gothic"/>
          <w:w w:val="80"/>
        </w:rPr>
        <w:t xml:space="preserve">、 </w:t>
      </w:r>
      <w:r>
        <w:t>采动区的影响</w:t>
      </w:r>
      <w:r>
        <w:rPr>
          <w:rFonts w:hint="eastAsia" w:ascii="MS UI Gothic" w:eastAsia="MS UI Gothic"/>
          <w:w w:val="80"/>
        </w:rPr>
        <w:t xml:space="preserve">ꎬ </w:t>
      </w:r>
      <w:r>
        <w:t>确保站场安全</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第一百五十六条 站场应当布置在人</w:t>
      </w:r>
      <w:r>
        <w:t>员集中场所及明火或者散发火花地点全年最小频率风向的上风侧</w:t>
      </w:r>
      <w:r>
        <w:rPr>
          <w:rFonts w:hint="eastAsia" w:ascii="MS UI Gothic" w:eastAsia="MS UI Gothic"/>
          <w:w w:val="80"/>
        </w:rPr>
        <w:t xml:space="preserve">ꎬ </w:t>
      </w:r>
      <w:r>
        <w:t>站场主要设施与周边有关设施的安全距离应当符合下列</w:t>
      </w:r>
      <w:r>
        <w:rPr>
          <w:w w:val="105"/>
        </w:rPr>
        <w:t>要求</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w w:val="145"/>
        </w:rPr>
        <w:t xml:space="preserve">( </w:t>
      </w:r>
      <w:r>
        <w:rPr>
          <w:w w:val="105"/>
        </w:rPr>
        <w:t>一</w:t>
      </w:r>
      <w:r>
        <w:rPr>
          <w:rFonts w:hint="eastAsia" w:ascii="MS UI Gothic" w:eastAsia="MS UI Gothic"/>
          <w:w w:val="145"/>
        </w:rPr>
        <w:t xml:space="preserve">) </w:t>
      </w:r>
      <w:r>
        <w:rPr>
          <w:w w:val="105"/>
        </w:rPr>
        <w:t>与居民区</w:t>
      </w:r>
      <w:r>
        <w:rPr>
          <w:rFonts w:hint="eastAsia" w:ascii="MS UI Gothic" w:eastAsia="MS UI Gothic"/>
          <w:w w:val="80"/>
        </w:rPr>
        <w:t xml:space="preserve">、 </w:t>
      </w:r>
      <w:r>
        <w:rPr>
          <w:w w:val="105"/>
        </w:rPr>
        <w:t>村镇</w:t>
      </w:r>
      <w:r>
        <w:rPr>
          <w:rFonts w:hint="eastAsia" w:ascii="MS UI Gothic" w:eastAsia="MS UI Gothic"/>
          <w:w w:val="80"/>
        </w:rPr>
        <w:t xml:space="preserve">、 </w:t>
      </w:r>
      <w:r>
        <w:rPr>
          <w:w w:val="105"/>
        </w:rPr>
        <w:t xml:space="preserve">公共设施的防火间距不小于 </w:t>
      </w:r>
      <w:r>
        <w:rPr>
          <w:rFonts w:hint="eastAsia" w:ascii="MS UI Gothic" w:eastAsia="MS UI Gothic"/>
          <w:w w:val="80"/>
        </w:rPr>
        <w:t xml:space="preserve">３０ </w:t>
      </w:r>
      <w:r>
        <w:rPr>
          <w:w w:val="105"/>
        </w:rPr>
        <w:t>米</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45"/>
        </w:rPr>
        <w:t>(</w:t>
      </w:r>
      <w:r>
        <w:rPr>
          <w:w w:val="105"/>
        </w:rPr>
        <w:t>二</w:t>
      </w:r>
      <w:r>
        <w:rPr>
          <w:rFonts w:hint="eastAsia" w:ascii="MS UI Gothic" w:eastAsia="MS UI Gothic"/>
          <w:w w:val="145"/>
        </w:rPr>
        <w:t xml:space="preserve">) </w:t>
      </w:r>
      <w:r>
        <w:rPr>
          <w:w w:val="105"/>
        </w:rPr>
        <w:t>与相邻厂矿企业</w:t>
      </w:r>
      <w:r>
        <w:rPr>
          <w:rFonts w:hint="eastAsia" w:ascii="MS UI Gothic" w:eastAsia="MS UI Gothic"/>
          <w:w w:val="80"/>
        </w:rPr>
        <w:t xml:space="preserve">、 ３５ </w:t>
      </w:r>
      <w:r>
        <w:rPr>
          <w:w w:val="105"/>
        </w:rPr>
        <w:t xml:space="preserve">千伏及以上变电所的防火间距不小于 </w:t>
      </w:r>
      <w:r>
        <w:rPr>
          <w:rFonts w:hint="eastAsia" w:ascii="MS UI Gothic" w:eastAsia="MS UI Gothic"/>
          <w:w w:val="80"/>
        </w:rPr>
        <w:t xml:space="preserve">３０ </w:t>
      </w:r>
      <w:r>
        <w:rPr>
          <w:w w:val="105"/>
        </w:rPr>
        <w:t>米</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45"/>
        </w:rPr>
        <w:t xml:space="preserve">( </w:t>
      </w:r>
      <w:r>
        <w:rPr>
          <w:w w:val="105"/>
        </w:rPr>
        <w:t>三</w:t>
      </w:r>
      <w:r>
        <w:rPr>
          <w:rFonts w:hint="eastAsia" w:ascii="MS UI Gothic" w:eastAsia="MS UI Gothic"/>
          <w:w w:val="145"/>
        </w:rPr>
        <w:t xml:space="preserve">) </w:t>
      </w:r>
      <w:r>
        <w:rPr>
          <w:w w:val="105"/>
        </w:rPr>
        <w:t xml:space="preserve">与公路的间距不小于 </w:t>
      </w:r>
      <w:r>
        <w:rPr>
          <w:rFonts w:hint="eastAsia" w:ascii="MS UI Gothic" w:eastAsia="MS UI Gothic"/>
          <w:w w:val="85"/>
        </w:rPr>
        <w:t xml:space="preserve">１０ </w:t>
      </w:r>
      <w:r>
        <w:rPr>
          <w:w w:val="105"/>
        </w:rPr>
        <w:t>米</w:t>
      </w:r>
      <w:r>
        <w:rPr>
          <w:rFonts w:hint="eastAsia" w:ascii="MS UI Gothic" w:eastAsia="MS UI Gothic"/>
          <w:w w:val="85"/>
        </w:rPr>
        <w:t>ꎻ</w:t>
      </w:r>
    </w:p>
    <w:p>
      <w:pPr>
        <w:pStyle w:val="6"/>
        <w:spacing w:before="34" w:line="295" w:lineRule="auto"/>
        <w:ind w:left="800" w:right="126" w:firstLine="0"/>
        <w:jc w:val="left"/>
      </w:pPr>
      <w:r>
        <w:rPr>
          <w:rFonts w:hint="eastAsia" w:ascii="MS UI Gothic" w:eastAsia="MS UI Gothic"/>
          <w:spacing w:val="-40"/>
          <w:w w:val="140"/>
        </w:rPr>
        <w:t xml:space="preserve">( </w:t>
      </w:r>
      <w:r>
        <w:rPr>
          <w:spacing w:val="3"/>
          <w:w w:val="110"/>
        </w:rPr>
        <w:t>四</w:t>
      </w:r>
      <w:r>
        <w:rPr>
          <w:rFonts w:hint="eastAsia" w:ascii="MS UI Gothic" w:eastAsia="MS UI Gothic"/>
          <w:spacing w:val="-22"/>
          <w:w w:val="140"/>
        </w:rPr>
        <w:t xml:space="preserve">) </w:t>
      </w:r>
      <w:r>
        <w:rPr>
          <w:spacing w:val="-7"/>
          <w:w w:val="110"/>
        </w:rPr>
        <w:t xml:space="preserve">与铁路线的间距不小于 </w:t>
      </w:r>
      <w:r>
        <w:rPr>
          <w:rFonts w:hint="eastAsia" w:ascii="MS UI Gothic" w:eastAsia="MS UI Gothic"/>
          <w:spacing w:val="-11"/>
          <w:w w:val="85"/>
        </w:rPr>
        <w:t xml:space="preserve">２０ </w:t>
      </w:r>
      <w:r>
        <w:rPr>
          <w:spacing w:val="3"/>
          <w:w w:val="110"/>
        </w:rPr>
        <w:t>米</w:t>
      </w:r>
      <w:r>
        <w:rPr>
          <w:rFonts w:hint="eastAsia" w:ascii="MS UI Gothic" w:eastAsia="MS UI Gothic"/>
          <w:w w:val="85"/>
        </w:rPr>
        <w:t>ꎻ</w:t>
      </w:r>
      <w:r>
        <w:rPr>
          <w:rFonts w:hint="eastAsia" w:ascii="MS UI Gothic" w:eastAsia="MS UI Gothic"/>
          <w:spacing w:val="-40"/>
          <w:w w:val="145"/>
        </w:rPr>
        <w:t xml:space="preserve">( </w:t>
      </w:r>
      <w:r>
        <w:rPr>
          <w:spacing w:val="3"/>
          <w:w w:val="110"/>
        </w:rPr>
        <w:t>五</w:t>
      </w:r>
      <w:r>
        <w:rPr>
          <w:rFonts w:hint="eastAsia" w:ascii="MS UI Gothic" w:eastAsia="MS UI Gothic"/>
          <w:spacing w:val="-19"/>
          <w:w w:val="145"/>
        </w:rPr>
        <w:t xml:space="preserve">) </w:t>
      </w:r>
      <w:r>
        <w:rPr>
          <w:spacing w:val="5"/>
          <w:w w:val="110"/>
        </w:rPr>
        <w:t>与架空通信线</w:t>
      </w:r>
      <w:r>
        <w:rPr>
          <w:rFonts w:hint="eastAsia" w:ascii="MS UI Gothic" w:eastAsia="MS UI Gothic"/>
          <w:spacing w:val="-4"/>
          <w:w w:val="85"/>
        </w:rPr>
        <w:t xml:space="preserve">、 </w:t>
      </w:r>
      <w:r>
        <w:rPr>
          <w:spacing w:val="9"/>
          <w:w w:val="110"/>
        </w:rPr>
        <w:t>架空电力线的</w:t>
      </w:r>
    </w:p>
    <w:p>
      <w:pPr>
        <w:pStyle w:val="6"/>
        <w:spacing w:line="255" w:lineRule="exact"/>
        <w:ind w:left="381" w:firstLine="0"/>
        <w:jc w:val="left"/>
        <w:rPr>
          <w:rFonts w:hint="eastAsia" w:ascii="MS UI Gothic" w:eastAsia="MS UI Gothic"/>
        </w:rPr>
      </w:pPr>
      <w:r>
        <w:t xml:space="preserve">间距不小于 </w:t>
      </w:r>
      <w:r>
        <w:rPr>
          <w:rFonts w:hint="eastAsia" w:ascii="MS UI Gothic" w:eastAsia="MS UI Gothic"/>
        </w:rPr>
        <w:t xml:space="preserve">１ ５ </w:t>
      </w:r>
      <w:r>
        <w:t>倍杆高</w:t>
      </w:r>
      <w:r>
        <w:rPr>
          <w:rFonts w:hint="eastAsia" w:ascii="MS UI Gothic" w:eastAsia="MS UI Gothic"/>
          <w:w w:val="85"/>
        </w:rPr>
        <w:t>ꎻ</w:t>
      </w:r>
    </w:p>
    <w:p>
      <w:pPr>
        <w:pStyle w:val="6"/>
        <w:spacing w:before="58" w:line="295" w:lineRule="auto"/>
        <w:ind w:left="381" w:right="126"/>
        <w:jc w:val="left"/>
        <w:rPr>
          <w:rFonts w:hint="eastAsia" w:ascii="MS UI Gothic" w:eastAsia="MS UI Gothic"/>
        </w:rPr>
      </w:pPr>
      <w:r>
        <w:rPr>
          <w:rFonts w:hint="eastAsia" w:ascii="MS UI Gothic" w:eastAsia="MS UI Gothic"/>
          <w:w w:val="140"/>
        </w:rPr>
        <w:t xml:space="preserve">( </w:t>
      </w:r>
      <w:r>
        <w:rPr>
          <w:w w:val="105"/>
        </w:rPr>
        <w:t>六</w:t>
      </w:r>
      <w:r>
        <w:rPr>
          <w:rFonts w:hint="eastAsia" w:ascii="MS UI Gothic" w:eastAsia="MS UI Gothic"/>
          <w:w w:val="140"/>
        </w:rPr>
        <w:t xml:space="preserve">) </w:t>
      </w:r>
      <w:r>
        <w:rPr>
          <w:w w:val="105"/>
        </w:rPr>
        <w:t xml:space="preserve">与采石场等爆炸作业场地的间距不小于 </w:t>
      </w:r>
      <w:r>
        <w:rPr>
          <w:rFonts w:hint="eastAsia" w:ascii="MS UI Gothic" w:eastAsia="MS UI Gothic"/>
          <w:w w:val="85"/>
        </w:rPr>
        <w:t xml:space="preserve">３００ </w:t>
      </w:r>
      <w:r>
        <w:rPr>
          <w:w w:val="105"/>
        </w:rPr>
        <w:t>米</w:t>
      </w:r>
      <w:r>
        <w:rPr>
          <w:rFonts w:hint="eastAsia" w:ascii="MS UI Gothic" w:eastAsia="MS UI Gothic"/>
          <w:w w:val="85"/>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３６６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06" o:spid="_x0000_s2106" o:spt="203" style="height:2.15pt;width:398.25pt;" coordsize="7965,43">
            <o:lock v:ext="edit"/>
            <v:line id="_x0000_s2107" o:spid="_x0000_s2107" o:spt="20" style="position:absolute;left:0;top:39;height:0;width:7965;" stroked="t" coordsize="21600,21600">
              <v:path arrowok="t"/>
              <v:fill focussize="0,0"/>
              <v:stroke weight="0.388031496062992pt" color="#231F20"/>
              <v:imagedata o:title=""/>
              <o:lock v:ext="edit"/>
            </v:line>
            <v:line id="_x0000_s2108" o:spid="_x0000_s210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hAnsi="MS UI Gothic" w:eastAsia="MS UI Gothic"/>
        </w:rPr>
      </w:pPr>
      <w:r>
        <w:t>第一百五十七条 站场内平面布置</w:t>
      </w:r>
      <w:r>
        <w:rPr>
          <w:rFonts w:hint="eastAsia" w:ascii="MS UI Gothic" w:hAnsi="MS UI Gothic" w:eastAsia="MS UI Gothic"/>
        </w:rPr>
        <w:t>、</w:t>
      </w:r>
      <w:r>
        <w:t>防火安全</w:t>
      </w:r>
      <w:r>
        <w:rPr>
          <w:rFonts w:hint="eastAsia" w:ascii="MS UI Gothic" w:hAnsi="MS UI Gothic" w:eastAsia="MS UI Gothic"/>
        </w:rPr>
        <w:t xml:space="preserve">、 </w:t>
      </w:r>
      <w:r>
        <w:t xml:space="preserve">场内道路交通及与外界公路的连接应当符合 </w:t>
      </w:r>
      <w:r>
        <w:rPr>
          <w:rFonts w:hint="eastAsia" w:ascii="MS UI Gothic" w:hAnsi="MS UI Gothic" w:eastAsia="MS UI Gothic"/>
        </w:rPr>
        <w:t xml:space="preserve">« </w:t>
      </w:r>
      <w:r>
        <w:t>石油天然气工程设计防</w:t>
      </w:r>
      <w:r>
        <w:rPr>
          <w:w w:val="102"/>
        </w:rPr>
        <w:t>火规范</w:t>
      </w:r>
      <w:r>
        <w:rPr>
          <w:rFonts w:hint="eastAsia" w:ascii="MS UI Gothic" w:hAnsi="MS UI Gothic" w:eastAsia="MS UI Gothic"/>
          <w:w w:val="76"/>
        </w:rPr>
        <w:t>»</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88"/>
        </w:rPr>
        <w:t>Ｇ</w:t>
      </w:r>
      <w:r>
        <w:rPr>
          <w:rFonts w:hint="eastAsia" w:ascii="MS UI Gothic" w:hAnsi="MS UI Gothic" w:eastAsia="MS UI Gothic"/>
          <w:w w:val="80"/>
        </w:rPr>
        <w:t>Ｂ</w:t>
      </w:r>
      <w:r>
        <w:rPr>
          <w:rFonts w:hint="eastAsia" w:ascii="MS UI Gothic" w:hAnsi="MS UI Gothic" w:eastAsia="MS UI Gothic"/>
          <w:w w:val="75"/>
        </w:rPr>
        <w:t>５０１８３</w:t>
      </w:r>
      <w:r>
        <w:rPr>
          <w:rFonts w:hint="eastAsia" w:ascii="MS UI Gothic" w:hAnsi="MS UI Gothic" w:eastAsia="MS UI Gothic"/>
          <w:w w:val="168"/>
        </w:rPr>
        <w:t>)</w:t>
      </w:r>
      <w:r>
        <w:rPr>
          <w:rFonts w:hint="eastAsia" w:ascii="MS UI Gothic" w:hAnsi="MS UI Gothic" w:eastAsia="MS UI Gothic"/>
        </w:rPr>
        <w:t xml:space="preserve">  </w:t>
      </w:r>
      <w:r>
        <w:rPr>
          <w:w w:val="102"/>
        </w:rPr>
        <w:t>的有关规定</w:t>
      </w:r>
      <w:r>
        <w:rPr>
          <w:rFonts w:hint="eastAsia" w:ascii="MS UI Gothic" w:hAnsi="MS UI Gothic" w:eastAsia="MS UI Gothic"/>
          <w:w w:val="51"/>
        </w:rPr>
        <w:t>ꎮ</w:t>
      </w:r>
    </w:p>
    <w:p>
      <w:pPr>
        <w:pStyle w:val="6"/>
        <w:spacing w:line="295" w:lineRule="auto"/>
        <w:ind w:right="39"/>
        <w:rPr>
          <w:rFonts w:hint="eastAsia" w:ascii="MS UI Gothic" w:eastAsia="MS UI Gothic"/>
        </w:rPr>
      </w:pPr>
      <w:r>
        <w:rPr>
          <w:spacing w:val="4"/>
        </w:rPr>
        <w:t>第一百五十八条 站场的防洪设计标</w:t>
      </w:r>
      <w:r>
        <w:rPr>
          <w:spacing w:val="3"/>
        </w:rPr>
        <w:t>准</w:t>
      </w:r>
      <w:r>
        <w:rPr>
          <w:rFonts w:hint="eastAsia" w:ascii="MS UI Gothic" w:eastAsia="MS UI Gothic"/>
          <w:spacing w:val="13"/>
          <w:w w:val="85"/>
        </w:rPr>
        <w:t xml:space="preserve">ꎬ </w:t>
      </w:r>
      <w:r>
        <w:rPr>
          <w:spacing w:val="2"/>
        </w:rPr>
        <w:t>应当综合考虑站场规模和受淹损失等</w:t>
      </w:r>
      <w:r>
        <w:rPr>
          <w:spacing w:val="3"/>
        </w:rPr>
        <w:t>因素</w:t>
      </w:r>
      <w:r>
        <w:rPr>
          <w:rFonts w:hint="eastAsia" w:ascii="MS UI Gothic" w:eastAsia="MS UI Gothic"/>
          <w:spacing w:val="13"/>
          <w:w w:val="85"/>
        </w:rPr>
        <w:t xml:space="preserve">ꎬ </w:t>
      </w:r>
      <w:r>
        <w:rPr>
          <w:spacing w:val="-7"/>
        </w:rPr>
        <w:t xml:space="preserve">集气站重现期为 </w:t>
      </w:r>
      <w:r>
        <w:rPr>
          <w:rFonts w:hint="eastAsia" w:ascii="MS UI Gothic" w:eastAsia="MS UI Gothic"/>
          <w:spacing w:val="-3"/>
          <w:w w:val="85"/>
        </w:rPr>
        <w:t xml:space="preserve">１０ </w:t>
      </w:r>
      <w:r>
        <w:rPr>
          <w:spacing w:val="-20"/>
        </w:rPr>
        <w:t xml:space="preserve">年至 </w:t>
      </w:r>
      <w:r>
        <w:rPr>
          <w:rFonts w:hint="eastAsia" w:ascii="MS UI Gothic" w:eastAsia="MS UI Gothic"/>
          <w:spacing w:val="-2"/>
          <w:w w:val="85"/>
        </w:rPr>
        <w:t xml:space="preserve">２５ </w:t>
      </w:r>
      <w:r>
        <w:rPr>
          <w:spacing w:val="3"/>
        </w:rPr>
        <w:t>年</w:t>
      </w:r>
      <w:r>
        <w:rPr>
          <w:rFonts w:hint="eastAsia" w:ascii="MS UI Gothic" w:eastAsia="MS UI Gothic"/>
          <w:spacing w:val="15"/>
          <w:w w:val="85"/>
        </w:rPr>
        <w:t xml:space="preserve">ꎬ </w:t>
      </w:r>
      <w:r>
        <w:t>中</w:t>
      </w:r>
      <w:r>
        <w:rPr>
          <w:spacing w:val="-5"/>
        </w:rPr>
        <w:t xml:space="preserve">心处理站重现期为 </w:t>
      </w:r>
      <w:r>
        <w:rPr>
          <w:rFonts w:hint="eastAsia" w:ascii="MS UI Gothic" w:eastAsia="MS UI Gothic"/>
          <w:w w:val="85"/>
        </w:rPr>
        <w:t xml:space="preserve">２５ </w:t>
      </w:r>
      <w:r>
        <w:rPr>
          <w:spacing w:val="-17"/>
        </w:rPr>
        <w:t xml:space="preserve">年至 </w:t>
      </w:r>
      <w:r>
        <w:rPr>
          <w:rFonts w:hint="eastAsia" w:ascii="MS UI Gothic" w:eastAsia="MS UI Gothic"/>
          <w:spacing w:val="1"/>
          <w:w w:val="85"/>
        </w:rPr>
        <w:t xml:space="preserve">５０ </w:t>
      </w:r>
      <w:r>
        <w:rPr>
          <w:spacing w:val="3"/>
        </w:rPr>
        <w:t>年</w:t>
      </w:r>
      <w:r>
        <w:rPr>
          <w:rFonts w:hint="eastAsia" w:ascii="MS UI Gothic" w:eastAsia="MS UI Gothic"/>
          <w:w w:val="85"/>
        </w:rPr>
        <w:t>ꎮ</w:t>
      </w:r>
    </w:p>
    <w:p>
      <w:pPr>
        <w:pStyle w:val="6"/>
        <w:spacing w:line="295" w:lineRule="auto"/>
        <w:ind w:left="118" w:right="39" w:firstLine="425"/>
        <w:rPr>
          <w:rFonts w:hint="eastAsia" w:ascii="MS UI Gothic" w:eastAsia="MS UI Gothic"/>
        </w:rPr>
      </w:pPr>
      <w:r>
        <w:rPr>
          <w:spacing w:val="2"/>
          <w:w w:val="95"/>
        </w:rPr>
        <w:t>第一百五十九条   放空管应当位于站</w:t>
      </w:r>
      <w:r>
        <w:rPr>
          <w:spacing w:val="3"/>
          <w:w w:val="95"/>
        </w:rPr>
        <w:t>场生产区最小频率风向的上风侧</w:t>
      </w:r>
      <w:r>
        <w:rPr>
          <w:rFonts w:hint="eastAsia" w:ascii="MS UI Gothic" w:eastAsia="MS UI Gothic"/>
          <w:spacing w:val="1"/>
          <w:w w:val="75"/>
        </w:rPr>
        <w:t xml:space="preserve">ꎬ    </w:t>
      </w:r>
      <w:r>
        <w:rPr>
          <w:spacing w:val="2"/>
          <w:w w:val="95"/>
        </w:rPr>
        <w:t>且处于</w:t>
      </w:r>
      <w:r>
        <w:rPr>
          <w:spacing w:val="3"/>
          <w:w w:val="95"/>
        </w:rPr>
        <w:t>站场外地势较高处</w:t>
      </w:r>
      <w:r>
        <w:rPr>
          <w:rFonts w:hint="eastAsia" w:ascii="MS UI Gothic" w:eastAsia="MS UI Gothic"/>
          <w:spacing w:val="1"/>
          <w:w w:val="75"/>
        </w:rPr>
        <w:t xml:space="preserve">ꎬ      </w:t>
      </w:r>
      <w:r>
        <w:rPr>
          <w:spacing w:val="2"/>
          <w:w w:val="95"/>
        </w:rPr>
        <w:t>其高度应当比附近建</w:t>
      </w:r>
      <w:r>
        <w:rPr>
          <w:rFonts w:hint="eastAsia" w:ascii="MS UI Gothic" w:eastAsia="MS UI Gothic"/>
          <w:spacing w:val="-27"/>
          <w:w w:val="140"/>
        </w:rPr>
        <w:t xml:space="preserve">( </w:t>
      </w:r>
      <w:r>
        <w:rPr>
          <w:spacing w:val="3"/>
          <w:w w:val="95"/>
        </w:rPr>
        <w:t>构</w:t>
      </w:r>
      <w:r>
        <w:rPr>
          <w:rFonts w:hint="eastAsia" w:ascii="MS UI Gothic" w:eastAsia="MS UI Gothic"/>
          <w:spacing w:val="6"/>
          <w:w w:val="140"/>
        </w:rPr>
        <w:t xml:space="preserve">) </w:t>
      </w:r>
      <w:r>
        <w:rPr>
          <w:spacing w:val="-1"/>
          <w:w w:val="95"/>
        </w:rPr>
        <w:t xml:space="preserve">筑物高出 </w:t>
      </w:r>
      <w:r>
        <w:rPr>
          <w:rFonts w:hint="eastAsia" w:ascii="MS UI Gothic" w:eastAsia="MS UI Gothic"/>
          <w:spacing w:val="19"/>
          <w:w w:val="95"/>
        </w:rPr>
        <w:t xml:space="preserve">２ </w:t>
      </w:r>
      <w:r>
        <w:rPr>
          <w:spacing w:val="7"/>
          <w:w w:val="95"/>
        </w:rPr>
        <w:t>米以上</w:t>
      </w:r>
      <w:r>
        <w:rPr>
          <w:rFonts w:hint="eastAsia" w:ascii="MS UI Gothic" w:eastAsia="MS UI Gothic"/>
          <w:spacing w:val="7"/>
          <w:w w:val="75"/>
        </w:rPr>
        <w:t xml:space="preserve">ꎬ  </w:t>
      </w:r>
      <w:r>
        <w:rPr>
          <w:spacing w:val="7"/>
          <w:w w:val="95"/>
        </w:rPr>
        <w:t>且总高度不得</w:t>
      </w:r>
      <w:r>
        <w:rPr>
          <w:spacing w:val="-5"/>
          <w:w w:val="95"/>
        </w:rPr>
        <w:t xml:space="preserve">小于 </w:t>
      </w:r>
      <w:r>
        <w:rPr>
          <w:rFonts w:hint="eastAsia" w:ascii="MS UI Gothic" w:eastAsia="MS UI Gothic"/>
          <w:spacing w:val="11"/>
          <w:w w:val="95"/>
        </w:rPr>
        <w:t xml:space="preserve">１０ </w:t>
      </w:r>
      <w:r>
        <w:rPr>
          <w:spacing w:val="3"/>
          <w:w w:val="95"/>
        </w:rPr>
        <w:t>米</w:t>
      </w:r>
      <w:r>
        <w:rPr>
          <w:rFonts w:hint="eastAsia" w:ascii="MS UI Gothic" w:eastAsia="MS UI Gothic"/>
          <w:spacing w:val="16"/>
          <w:w w:val="75"/>
        </w:rPr>
        <w:t xml:space="preserve">ꎮ </w:t>
      </w:r>
      <w:r>
        <w:rPr>
          <w:spacing w:val="11"/>
          <w:w w:val="95"/>
        </w:rPr>
        <w:t>放空管距站场的距离一般不</w:t>
      </w:r>
      <w:r>
        <w:rPr>
          <w:spacing w:val="-12"/>
          <w:w w:val="95"/>
        </w:rPr>
        <w:t xml:space="preserve">小于 </w:t>
      </w:r>
      <w:r>
        <w:rPr>
          <w:rFonts w:hint="eastAsia" w:ascii="MS UI Gothic" w:eastAsia="MS UI Gothic"/>
          <w:spacing w:val="-5"/>
          <w:w w:val="95"/>
        </w:rPr>
        <w:t xml:space="preserve">１０ </w:t>
      </w:r>
      <w:r>
        <w:rPr>
          <w:spacing w:val="3"/>
          <w:w w:val="95"/>
        </w:rPr>
        <w:t>米</w:t>
      </w:r>
      <w:r>
        <w:rPr>
          <w:rFonts w:hint="eastAsia" w:ascii="MS UI Gothic" w:eastAsia="MS UI Gothic"/>
          <w:spacing w:val="18"/>
          <w:w w:val="75"/>
        </w:rPr>
        <w:t xml:space="preserve">ꎻ </w:t>
      </w:r>
      <w:r>
        <w:rPr>
          <w:spacing w:val="-6"/>
          <w:w w:val="95"/>
        </w:rPr>
        <w:t xml:space="preserve">当放空量大于 </w:t>
      </w:r>
      <w:r>
        <w:rPr>
          <w:rFonts w:hint="eastAsia" w:ascii="MS UI Gothic" w:eastAsia="MS UI Gothic"/>
          <w:spacing w:val="-2"/>
          <w:w w:val="95"/>
        </w:rPr>
        <w:t xml:space="preserve">１２０００ </w:t>
      </w:r>
      <w:r>
        <w:rPr>
          <w:spacing w:val="14"/>
          <w:w w:val="95"/>
        </w:rPr>
        <w:t>立方米</w:t>
      </w:r>
      <w:r>
        <w:rPr>
          <w:rFonts w:hint="eastAsia" w:ascii="MS UI Gothic" w:eastAsia="MS UI Gothic"/>
          <w:w w:val="75"/>
        </w:rPr>
        <w:t xml:space="preserve">/ </w:t>
      </w:r>
      <w:r>
        <w:rPr>
          <w:spacing w:val="4"/>
          <w:w w:val="95"/>
        </w:rPr>
        <w:t xml:space="preserve">小时且等于或者小于 </w:t>
      </w:r>
      <w:r>
        <w:rPr>
          <w:rFonts w:hint="eastAsia" w:ascii="MS UI Gothic" w:eastAsia="MS UI Gothic"/>
          <w:spacing w:val="4"/>
          <w:w w:val="95"/>
        </w:rPr>
        <w:t xml:space="preserve">４００００ </w:t>
      </w:r>
      <w:r>
        <w:rPr>
          <w:spacing w:val="19"/>
          <w:w w:val="95"/>
        </w:rPr>
        <w:t>立方米</w:t>
      </w:r>
      <w:r>
        <w:rPr>
          <w:rFonts w:hint="eastAsia" w:ascii="MS UI Gothic" w:eastAsia="MS UI Gothic"/>
          <w:w w:val="75"/>
        </w:rPr>
        <w:t>/</w:t>
      </w:r>
      <w:r>
        <w:rPr>
          <w:rFonts w:hint="eastAsia" w:ascii="MS UI Gothic" w:eastAsia="MS UI Gothic"/>
          <w:spacing w:val="9"/>
          <w:w w:val="75"/>
        </w:rPr>
        <w:t xml:space="preserve"> </w:t>
      </w:r>
      <w:r>
        <w:rPr>
          <w:spacing w:val="7"/>
          <w:w w:val="95"/>
        </w:rPr>
        <w:t>小时</w:t>
      </w:r>
      <w:r>
        <w:rPr>
          <w:spacing w:val="3"/>
          <w:w w:val="95"/>
        </w:rPr>
        <w:t>时</w:t>
      </w:r>
      <w:r>
        <w:rPr>
          <w:rFonts w:hint="eastAsia" w:ascii="MS UI Gothic" w:eastAsia="MS UI Gothic"/>
          <w:spacing w:val="12"/>
          <w:w w:val="75"/>
        </w:rPr>
        <w:t xml:space="preserve">ꎬ  </w:t>
      </w:r>
      <w:r>
        <w:rPr>
          <w:spacing w:val="31"/>
          <w:w w:val="95"/>
        </w:rPr>
        <w:t>放空管距站场的距离应当不小于</w:t>
      </w:r>
      <w:r>
        <w:rPr>
          <w:rFonts w:hint="eastAsia" w:ascii="MS UI Gothic" w:eastAsia="MS UI Gothic"/>
          <w:spacing w:val="20"/>
          <w:w w:val="95"/>
        </w:rPr>
        <w:t xml:space="preserve">４０ </w:t>
      </w:r>
      <w:r>
        <w:rPr>
          <w:spacing w:val="3"/>
          <w:w w:val="95"/>
        </w:rPr>
        <w:t>米</w:t>
      </w:r>
      <w:r>
        <w:rPr>
          <w:rFonts w:hint="eastAsia" w:ascii="MS UI Gothic" w:eastAsia="MS UI Gothic"/>
          <w:w w:val="75"/>
        </w:rPr>
        <w:t>ꎮ</w:t>
      </w:r>
    </w:p>
    <w:p>
      <w:pPr>
        <w:pStyle w:val="6"/>
        <w:spacing w:line="295" w:lineRule="auto"/>
        <w:ind w:right="39"/>
        <w:rPr>
          <w:rFonts w:hint="eastAsia" w:ascii="MS UI Gothic" w:eastAsia="MS UI Gothic"/>
        </w:rPr>
      </w:pPr>
      <w:r>
        <w:rPr>
          <w:w w:val="105"/>
        </w:rPr>
        <w:t>第一百六十条 站场设备应当由具备</w:t>
      </w:r>
      <w:r>
        <w:t>国家规定资质的企业生产</w:t>
      </w:r>
      <w:r>
        <w:rPr>
          <w:rFonts w:hint="eastAsia" w:ascii="MS UI Gothic" w:eastAsia="MS UI Gothic"/>
          <w:w w:val="80"/>
        </w:rPr>
        <w:t xml:space="preserve">ꎬ </w:t>
      </w:r>
      <w:r>
        <w:t>有产品合格证</w:t>
      </w:r>
      <w:r>
        <w:rPr>
          <w:w w:val="105"/>
        </w:rPr>
        <w:t>书并满足安全要求</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第一百六十一条 煤层气企业应当定</w:t>
      </w:r>
      <w:r>
        <w:rPr>
          <w:spacing w:val="3"/>
        </w:rPr>
        <w:t>时记录设备的运转状况</w:t>
      </w:r>
      <w:r>
        <w:rPr>
          <w:rFonts w:hint="eastAsia" w:ascii="MS UI Gothic" w:eastAsia="MS UI Gothic"/>
          <w:spacing w:val="21"/>
          <w:w w:val="80"/>
        </w:rPr>
        <w:t xml:space="preserve">ꎬ </w:t>
      </w:r>
      <w:r>
        <w:rPr>
          <w:spacing w:val="2"/>
        </w:rPr>
        <w:t>定期分析主要设</w:t>
      </w:r>
      <w:r>
        <w:rPr>
          <w:spacing w:val="3"/>
        </w:rPr>
        <w:t>备的运行状态</w:t>
      </w:r>
      <w:r>
        <w:rPr>
          <w:rFonts w:hint="eastAsia" w:ascii="MS UI Gothic" w:eastAsia="MS UI Gothic"/>
          <w:spacing w:val="21"/>
          <w:w w:val="80"/>
        </w:rPr>
        <w:t xml:space="preserve">ꎮ </w:t>
      </w:r>
      <w:r>
        <w:rPr>
          <w:spacing w:val="2"/>
        </w:rPr>
        <w:t>安全阀和压力表应当定期</w:t>
      </w:r>
      <w:r>
        <w:rPr>
          <w:spacing w:val="13"/>
          <w:w w:val="105"/>
        </w:rPr>
        <w:t>进行校验</w:t>
      </w:r>
      <w:r>
        <w:rPr>
          <w:rFonts w:hint="eastAsia" w:ascii="MS UI Gothic" w:eastAsia="MS UI Gothic"/>
          <w:spacing w:val="4"/>
          <w:w w:val="80"/>
        </w:rPr>
        <w:t xml:space="preserve">ꎮ </w:t>
      </w:r>
      <w:r>
        <w:rPr>
          <w:spacing w:val="22"/>
          <w:w w:val="105"/>
        </w:rPr>
        <w:t>调节阀</w:t>
      </w:r>
      <w:r>
        <w:rPr>
          <w:rFonts w:hint="eastAsia" w:ascii="MS UI Gothic" w:eastAsia="MS UI Gothic"/>
          <w:spacing w:val="4"/>
          <w:w w:val="80"/>
        </w:rPr>
        <w:t xml:space="preserve">、 </w:t>
      </w:r>
      <w:r>
        <w:rPr>
          <w:spacing w:val="22"/>
          <w:w w:val="105"/>
        </w:rPr>
        <w:t>减压阀</w:t>
      </w:r>
      <w:r>
        <w:rPr>
          <w:rFonts w:hint="eastAsia" w:ascii="MS UI Gothic" w:eastAsia="MS UI Gothic"/>
          <w:spacing w:val="4"/>
          <w:w w:val="80"/>
        </w:rPr>
        <w:t xml:space="preserve">、 </w:t>
      </w:r>
      <w:r>
        <w:rPr>
          <w:spacing w:val="1"/>
          <w:w w:val="105"/>
        </w:rPr>
        <w:t xml:space="preserve">高 </w:t>
      </w:r>
      <w:r>
        <w:rPr>
          <w:rFonts w:hint="eastAsia" w:ascii="MS UI Gothic" w:eastAsia="MS UI Gothic"/>
          <w:spacing w:val="-29"/>
          <w:w w:val="150"/>
        </w:rPr>
        <w:t xml:space="preserve">( </w:t>
      </w:r>
      <w:r>
        <w:rPr>
          <w:spacing w:val="23"/>
          <w:w w:val="105"/>
        </w:rPr>
        <w:t>低</w:t>
      </w:r>
      <w:r>
        <w:rPr>
          <w:rFonts w:hint="eastAsia" w:ascii="MS UI Gothic" w:eastAsia="MS UI Gothic"/>
          <w:w w:val="150"/>
        </w:rPr>
        <w:t xml:space="preserve">) </w:t>
      </w:r>
      <w:r>
        <w:rPr>
          <w:spacing w:val="2"/>
        </w:rPr>
        <w:t>压泄压阀等主要阀门应当按照相应运行和</w:t>
      </w:r>
      <w:r>
        <w:rPr>
          <w:spacing w:val="3"/>
        </w:rPr>
        <w:t>维护规程进行操作和维护</w:t>
      </w:r>
      <w:r>
        <w:rPr>
          <w:rFonts w:hint="eastAsia" w:ascii="MS UI Gothic" w:eastAsia="MS UI Gothic"/>
          <w:spacing w:val="21"/>
          <w:w w:val="80"/>
        </w:rPr>
        <w:t xml:space="preserve">ꎬ </w:t>
      </w:r>
      <w:r>
        <w:rPr>
          <w:spacing w:val="2"/>
        </w:rPr>
        <w:t>并按照规定定</w:t>
      </w:r>
      <w:r>
        <w:rPr>
          <w:spacing w:val="3"/>
          <w:w w:val="105"/>
        </w:rPr>
        <w:t>期校验</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第一百六十二条 煤层气企业应当在站场的进口处设置明显的安全警示牌</w:t>
      </w:r>
      <w:r>
        <w:rPr>
          <w:rFonts w:hint="eastAsia" w:ascii="MS UI Gothic" w:eastAsia="MS UI Gothic"/>
          <w:w w:val="80"/>
        </w:rPr>
        <w:t xml:space="preserve">、 </w:t>
      </w:r>
      <w:r>
        <w:rPr>
          <w:w w:val="105"/>
        </w:rPr>
        <w:t>进</w:t>
      </w:r>
      <w:r>
        <w:t>站须知和逃生路线图</w:t>
      </w:r>
      <w:r>
        <w:rPr>
          <w:rFonts w:hint="eastAsia" w:ascii="MS UI Gothic" w:eastAsia="MS UI Gothic"/>
          <w:w w:val="80"/>
        </w:rPr>
        <w:t xml:space="preserve">ꎬ </w:t>
      </w:r>
      <w:r>
        <w:t>并应当向进入站场</w:t>
      </w:r>
      <w:r>
        <w:rPr>
          <w:w w:val="105"/>
        </w:rPr>
        <w:t>的外来人员告知安全注意事项等</w:t>
      </w:r>
      <w:r>
        <w:rPr>
          <w:rFonts w:hint="eastAsia" w:ascii="MS UI Gothic" w:eastAsia="MS UI Gothic"/>
          <w:w w:val="80"/>
        </w:rPr>
        <w:t>ꎮ</w:t>
      </w:r>
    </w:p>
    <w:p>
      <w:pPr>
        <w:pStyle w:val="6"/>
        <w:spacing w:line="295" w:lineRule="auto"/>
        <w:ind w:right="39"/>
        <w:rPr>
          <w:rFonts w:hint="eastAsia" w:ascii="MS UI Gothic" w:eastAsia="MS UI Gothic"/>
        </w:rPr>
      </w:pPr>
      <w:r>
        <w:rPr>
          <w:spacing w:val="-5"/>
        </w:rPr>
        <w:t xml:space="preserve">站场应当设置不低于 </w:t>
      </w:r>
      <w:r>
        <w:rPr>
          <w:rFonts w:hint="eastAsia" w:ascii="MS UI Gothic" w:eastAsia="MS UI Gothic"/>
        </w:rPr>
        <w:t>１</w:t>
      </w:r>
      <w:r>
        <w:rPr>
          <w:rFonts w:hint="eastAsia" w:ascii="MS UI Gothic" w:eastAsia="MS UI Gothic"/>
          <w:spacing w:val="-4"/>
        </w:rPr>
        <w:t xml:space="preserve"> ７ </w:t>
      </w:r>
      <w:r>
        <w:rPr>
          <w:spacing w:val="3"/>
        </w:rPr>
        <w:t>米的非燃烧</w:t>
      </w:r>
      <w:r>
        <w:rPr>
          <w:spacing w:val="26"/>
        </w:rPr>
        <w:t>材料围墙或者围栏</w:t>
      </w:r>
      <w:r>
        <w:rPr>
          <w:rFonts w:hint="eastAsia" w:ascii="MS UI Gothic" w:eastAsia="MS UI Gothic"/>
          <w:spacing w:val="19"/>
          <w:w w:val="85"/>
        </w:rPr>
        <w:t xml:space="preserve">ꎬ </w:t>
      </w:r>
      <w:r>
        <w:rPr>
          <w:spacing w:val="30"/>
        </w:rPr>
        <w:t>并设置安全警示</w:t>
      </w:r>
      <w:r>
        <w:rPr>
          <w:spacing w:val="3"/>
        </w:rPr>
        <w:t>标志</w:t>
      </w:r>
      <w:r>
        <w:rPr>
          <w:rFonts w:hint="eastAsia" w:ascii="MS UI Gothic" w:eastAsia="MS UI Gothic"/>
          <w:w w:val="85"/>
        </w:rPr>
        <w:t>ꎮ</w:t>
      </w:r>
    </w:p>
    <w:p>
      <w:pPr>
        <w:pStyle w:val="6"/>
        <w:spacing w:line="295" w:lineRule="auto"/>
        <w:ind w:right="39"/>
        <w:rPr>
          <w:rFonts w:hint="eastAsia" w:ascii="MS UI Gothic" w:eastAsia="MS UI Gothic"/>
        </w:rPr>
      </w:pPr>
      <w:r>
        <w:t xml:space="preserve">站场内大于或者等于 </w:t>
      </w:r>
      <w:r>
        <w:rPr>
          <w:rFonts w:hint="eastAsia" w:ascii="MS UI Gothic" w:eastAsia="MS UI Gothic"/>
          <w:w w:val="85"/>
        </w:rPr>
        <w:t xml:space="preserve">３５ </w:t>
      </w:r>
      <w:r>
        <w:t xml:space="preserve">千伏的变配电站应当设置不低于 </w:t>
      </w:r>
      <w:r>
        <w:rPr>
          <w:rFonts w:hint="eastAsia" w:ascii="MS UI Gothic" w:eastAsia="MS UI Gothic"/>
          <w:w w:val="85"/>
        </w:rPr>
        <w:t xml:space="preserve">１ ５ </w:t>
      </w:r>
      <w:r>
        <w:t>米的围栏</w:t>
      </w:r>
      <w:r>
        <w:rPr>
          <w:rFonts w:hint="eastAsia" w:ascii="MS UI Gothic" w:eastAsia="MS UI Gothic"/>
          <w:w w:val="85"/>
        </w:rPr>
        <w:t>ꎮ</w:t>
      </w:r>
    </w:p>
    <w:p>
      <w:pPr>
        <w:pStyle w:val="6"/>
        <w:spacing w:line="295" w:lineRule="auto"/>
        <w:ind w:right="39"/>
      </w:pPr>
      <w:r>
        <w:t xml:space="preserve">第一百六十三条 站场的供电负荷和供电电源应当根据 </w:t>
      </w:r>
      <w:r>
        <w:rPr>
          <w:rFonts w:hint="eastAsia" w:ascii="MS UI Gothic" w:hAnsi="MS UI Gothic" w:eastAsia="MS UI Gothic"/>
        </w:rPr>
        <w:t xml:space="preserve">« </w:t>
      </w:r>
      <w:r>
        <w:t>石油天然气安全规</w:t>
      </w:r>
      <w:r>
        <w:rPr>
          <w:w w:val="102"/>
        </w:rPr>
        <w:t>程</w:t>
      </w:r>
      <w:r>
        <w:rPr>
          <w:rFonts w:hint="eastAsia" w:ascii="MS UI Gothic" w:hAnsi="MS UI Gothic" w:eastAsia="MS UI Gothic"/>
          <w:w w:val="76"/>
        </w:rPr>
        <w:t>»</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95"/>
        </w:rPr>
        <w:t>Ａ</w:t>
      </w:r>
      <w:r>
        <w:rPr>
          <w:rFonts w:hint="eastAsia" w:ascii="MS UI Gothic" w:hAnsi="MS UI Gothic" w:eastAsia="MS UI Gothic"/>
          <w:w w:val="85"/>
        </w:rPr>
        <w:t>Ｑ</w:t>
      </w:r>
      <w:r>
        <w:rPr>
          <w:rFonts w:hint="eastAsia" w:ascii="MS UI Gothic" w:hAnsi="MS UI Gothic" w:eastAsia="MS UI Gothic"/>
        </w:rPr>
        <w:t xml:space="preserve"> </w:t>
      </w:r>
      <w:r>
        <w:rPr>
          <w:rFonts w:hint="eastAsia" w:ascii="MS UI Gothic" w:hAnsi="MS UI Gothic" w:eastAsia="MS UI Gothic"/>
          <w:w w:val="75"/>
        </w:rPr>
        <w:t>２０１２</w:t>
      </w:r>
      <w:r>
        <w:rPr>
          <w:rFonts w:hint="eastAsia" w:ascii="MS UI Gothic" w:hAnsi="MS UI Gothic" w:eastAsia="MS UI Gothic"/>
          <w:w w:val="168"/>
        </w:rPr>
        <w:t>)</w:t>
      </w:r>
      <w:r>
        <w:rPr>
          <w:rFonts w:hint="eastAsia" w:ascii="MS UI Gothic" w:hAnsi="MS UI Gothic" w:eastAsia="MS UI Gothic"/>
        </w:rPr>
        <w:t xml:space="preserve">  </w:t>
      </w:r>
      <w:r>
        <w:rPr>
          <w:w w:val="102"/>
        </w:rPr>
        <w:t>的有关规定确定</w:t>
      </w:r>
      <w:r>
        <w:rPr>
          <w:rFonts w:hint="eastAsia" w:ascii="MS UI Gothic" w:hAnsi="MS UI Gothic" w:eastAsia="MS UI Gothic"/>
          <w:w w:val="51"/>
        </w:rPr>
        <w:t>ꎮ</w:t>
      </w:r>
      <w:r>
        <w:rPr>
          <w:rFonts w:hint="eastAsia" w:ascii="MS UI Gothic" w:hAnsi="MS UI Gothic" w:eastAsia="MS UI Gothic"/>
        </w:rPr>
        <w:t xml:space="preserve">  </w:t>
      </w:r>
      <w:r>
        <w:rPr>
          <w:w w:val="102"/>
        </w:rPr>
        <w:t>用电</w:t>
      </w:r>
    </w:p>
    <w:p>
      <w:pPr>
        <w:pStyle w:val="6"/>
        <w:spacing w:before="123" w:line="295" w:lineRule="auto"/>
        <w:ind w:left="118" w:right="442" w:firstLine="0"/>
        <w:rPr>
          <w:rFonts w:hint="eastAsia" w:ascii="MS UI Gothic" w:eastAsia="MS UI Gothic"/>
        </w:rPr>
      </w:pPr>
      <w:r>
        <w:br w:type="column"/>
      </w:r>
      <w:r>
        <w:t>设备及线路走向应当合理</w:t>
      </w:r>
      <w:r>
        <w:rPr>
          <w:rFonts w:hint="eastAsia" w:ascii="MS UI Gothic" w:eastAsia="MS UI Gothic"/>
          <w:w w:val="80"/>
        </w:rPr>
        <w:t xml:space="preserve">ꎬ </w:t>
      </w:r>
      <w:r>
        <w:t>导体选择及线路敷设应当符合安全规定</w:t>
      </w:r>
      <w:r>
        <w:rPr>
          <w:rFonts w:hint="eastAsia" w:ascii="MS UI Gothic" w:eastAsia="MS UI Gothic"/>
          <w:w w:val="80"/>
        </w:rPr>
        <w:t xml:space="preserve">ꎬ </w:t>
      </w:r>
      <w:r>
        <w:t>线路应当无老化</w:t>
      </w:r>
      <w:r>
        <w:rPr>
          <w:rFonts w:hint="eastAsia" w:ascii="MS UI Gothic" w:eastAsia="MS UI Gothic"/>
          <w:w w:val="80"/>
        </w:rPr>
        <w:t xml:space="preserve">、 </w:t>
      </w:r>
      <w:r>
        <w:t>破损和裸露现象</w:t>
      </w:r>
      <w:r>
        <w:rPr>
          <w:rFonts w:hint="eastAsia" w:ascii="MS UI Gothic" w:eastAsia="MS UI Gothic"/>
          <w:w w:val="80"/>
        </w:rPr>
        <w:t>ꎮ</w:t>
      </w:r>
    </w:p>
    <w:p>
      <w:pPr>
        <w:pStyle w:val="6"/>
        <w:spacing w:line="295" w:lineRule="auto"/>
        <w:ind w:left="118" w:right="440"/>
        <w:rPr>
          <w:rFonts w:hint="eastAsia" w:ascii="MS UI Gothic" w:eastAsia="MS UI Gothic"/>
        </w:rPr>
      </w:pPr>
      <w:r>
        <w:t>第一百六十四条 配电室应当有应急照明</w:t>
      </w:r>
      <w:r>
        <w:rPr>
          <w:rFonts w:hint="eastAsia" w:ascii="MS UI Gothic" w:eastAsia="MS UI Gothic"/>
          <w:w w:val="80"/>
        </w:rPr>
        <w:t xml:space="preserve">ꎬ </w:t>
      </w:r>
      <w:r>
        <w:t>配电室门应当外开</w:t>
      </w:r>
      <w:r>
        <w:rPr>
          <w:rFonts w:hint="eastAsia" w:ascii="MS UI Gothic" w:eastAsia="MS UI Gothic"/>
          <w:w w:val="80"/>
        </w:rPr>
        <w:t xml:space="preserve">ꎬ </w:t>
      </w:r>
      <w:r>
        <w:t>保持通风良好</w:t>
      </w:r>
      <w:r>
        <w:rPr>
          <w:rFonts w:hint="eastAsia" w:ascii="MS UI Gothic" w:eastAsia="MS UI Gothic"/>
          <w:w w:val="80"/>
        </w:rPr>
        <w:t xml:space="preserve">ꎬ </w:t>
      </w:r>
      <w:r>
        <w:t>并安装挡鼠板</w:t>
      </w:r>
      <w:r>
        <w:rPr>
          <w:rFonts w:hint="eastAsia" w:ascii="MS UI Gothic" w:eastAsia="MS UI Gothic"/>
          <w:w w:val="80"/>
        </w:rPr>
        <w:t xml:space="preserve">ꎮ </w:t>
      </w:r>
      <w:r>
        <w:t>电缆沟应当无积水</w:t>
      </w:r>
      <w:r>
        <w:rPr>
          <w:rFonts w:hint="eastAsia" w:ascii="MS UI Gothic" w:eastAsia="MS UI Gothic"/>
          <w:w w:val="80"/>
        </w:rPr>
        <w:t>ꎬ</w:t>
      </w:r>
      <w:r>
        <w:t>地沟应当封堵</w:t>
      </w:r>
      <w:r>
        <w:rPr>
          <w:rFonts w:hint="eastAsia" w:ascii="MS UI Gothic" w:eastAsia="MS UI Gothic"/>
          <w:w w:val="80"/>
        </w:rPr>
        <w:t xml:space="preserve">ꎮ </w:t>
      </w:r>
      <w:r>
        <w:t>地沟可燃气体浓度应当定期检验</w:t>
      </w:r>
      <w:r>
        <w:rPr>
          <w:rFonts w:hint="eastAsia" w:ascii="MS UI Gothic" w:eastAsia="MS UI Gothic"/>
          <w:w w:val="80"/>
        </w:rPr>
        <w:t xml:space="preserve">ꎬ </w:t>
      </w:r>
      <w:r>
        <w:t>避免沟内窜气</w:t>
      </w:r>
      <w:r>
        <w:rPr>
          <w:rFonts w:hint="eastAsia" w:ascii="MS UI Gothic" w:eastAsia="MS UI Gothic"/>
          <w:w w:val="80"/>
        </w:rPr>
        <w:t>ꎮ</w:t>
      </w:r>
    </w:p>
    <w:p>
      <w:pPr>
        <w:pStyle w:val="6"/>
        <w:spacing w:line="295" w:lineRule="auto"/>
        <w:ind w:left="118" w:right="442"/>
        <w:rPr>
          <w:rFonts w:hint="eastAsia" w:ascii="MS UI Gothic" w:eastAsia="MS UI Gothic"/>
        </w:rPr>
      </w:pPr>
      <w:r>
        <w:t>第一百六十五条 站场内对管线进行吹扫</w:t>
      </w:r>
      <w:r>
        <w:rPr>
          <w:rFonts w:hint="eastAsia" w:ascii="MS UI Gothic" w:eastAsia="MS UI Gothic"/>
          <w:w w:val="80"/>
        </w:rPr>
        <w:t xml:space="preserve">、 </w:t>
      </w:r>
      <w:r>
        <w:t>试压时</w:t>
      </w:r>
      <w:r>
        <w:rPr>
          <w:rFonts w:hint="eastAsia" w:ascii="MS UI Gothic" w:eastAsia="MS UI Gothic"/>
          <w:w w:val="80"/>
        </w:rPr>
        <w:t xml:space="preserve">ꎬ </w:t>
      </w:r>
      <w:r>
        <w:t>煤层气企业应当编制作业方案</w:t>
      </w:r>
      <w:r>
        <w:rPr>
          <w:rFonts w:hint="eastAsia" w:ascii="MS UI Gothic" w:eastAsia="MS UI Gothic"/>
          <w:w w:val="80"/>
        </w:rPr>
        <w:t xml:space="preserve">ꎬ </w:t>
      </w:r>
      <w:r>
        <w:t>制定安全技术措施</w:t>
      </w:r>
      <w:r>
        <w:rPr>
          <w:rFonts w:hint="eastAsia" w:ascii="MS UI Gothic" w:eastAsia="MS UI Gothic"/>
          <w:w w:val="80"/>
        </w:rPr>
        <w:t>ꎮ</w:t>
      </w:r>
    </w:p>
    <w:p>
      <w:pPr>
        <w:pStyle w:val="6"/>
        <w:spacing w:line="295" w:lineRule="auto"/>
        <w:ind w:left="118" w:right="442"/>
        <w:rPr>
          <w:rFonts w:hint="eastAsia" w:ascii="MS UI Gothic" w:eastAsia="MS UI Gothic"/>
        </w:rPr>
      </w:pPr>
      <w:r>
        <w:t>强度试验和气密试验时发现管线泄漏的</w:t>
      </w:r>
      <w:r>
        <w:rPr>
          <w:rFonts w:hint="eastAsia" w:ascii="MS UI Gothic" w:eastAsia="MS UI Gothic"/>
          <w:w w:val="80"/>
        </w:rPr>
        <w:t xml:space="preserve">ꎬ </w:t>
      </w:r>
      <w:r>
        <w:t>煤层气企业应当查明原因</w:t>
      </w:r>
      <w:r>
        <w:rPr>
          <w:rFonts w:hint="eastAsia" w:ascii="MS UI Gothic" w:eastAsia="MS UI Gothic"/>
          <w:w w:val="80"/>
        </w:rPr>
        <w:t xml:space="preserve">ꎬ </w:t>
      </w:r>
      <w:r>
        <w:t>制定修理方案和安全措施后方可进行修理</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第一百六十六条 压缩机应当允许煤层气组分</w:t>
      </w:r>
      <w:r>
        <w:rPr>
          <w:rFonts w:hint="eastAsia" w:ascii="MS UI Gothic" w:eastAsia="MS UI Gothic"/>
          <w:w w:val="80"/>
        </w:rPr>
        <w:t xml:space="preserve">、 </w:t>
      </w:r>
      <w:r>
        <w:rPr>
          <w:w w:val="105"/>
        </w:rPr>
        <w:t>进气压力</w:t>
      </w:r>
      <w:r>
        <w:rPr>
          <w:rFonts w:hint="eastAsia" w:ascii="MS UI Gothic" w:eastAsia="MS UI Gothic"/>
          <w:w w:val="80"/>
        </w:rPr>
        <w:t xml:space="preserve">、 </w:t>
      </w:r>
      <w:r>
        <w:rPr>
          <w:w w:val="105"/>
        </w:rPr>
        <w:t>进气温度和进气量有一定的波动范围</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第一百六十七条 压缩机启动及事故停车安全联锁应当完好</w:t>
      </w:r>
      <w:r>
        <w:rPr>
          <w:rFonts w:hint="eastAsia" w:ascii="MS UI Gothic" w:eastAsia="MS UI Gothic"/>
          <w:w w:val="80"/>
        </w:rPr>
        <w:t>ꎮ</w:t>
      </w:r>
    </w:p>
    <w:p>
      <w:pPr>
        <w:pStyle w:val="6"/>
        <w:spacing w:line="295" w:lineRule="auto"/>
        <w:ind w:left="118" w:right="442"/>
        <w:rPr>
          <w:rFonts w:hint="eastAsia" w:ascii="MS UI Gothic" w:eastAsia="MS UI Gothic"/>
        </w:rPr>
      </w:pPr>
      <w:r>
        <w:t>压缩机的吸入口应当有防止空气进入的措施</w:t>
      </w:r>
      <w:r>
        <w:rPr>
          <w:rFonts w:hint="eastAsia" w:ascii="MS UI Gothic" w:eastAsia="MS UI Gothic"/>
          <w:w w:val="80"/>
        </w:rPr>
        <w:t xml:space="preserve">ꎻ </w:t>
      </w:r>
      <w:r>
        <w:t>压缩机的各级进口应当设凝液分离器或者机械杂质过滤器</w:t>
      </w:r>
      <w:r>
        <w:rPr>
          <w:rFonts w:hint="eastAsia" w:ascii="MS UI Gothic" w:eastAsia="MS UI Gothic"/>
          <w:w w:val="80"/>
        </w:rPr>
        <w:t xml:space="preserve">ꎮ </w:t>
      </w:r>
      <w:r>
        <w:t>分离器应当有</w:t>
      </w:r>
      <w:r>
        <w:rPr>
          <w:w w:val="105"/>
        </w:rPr>
        <w:t>排液</w:t>
      </w:r>
      <w:r>
        <w:rPr>
          <w:rFonts w:hint="eastAsia" w:ascii="MS UI Gothic" w:eastAsia="MS UI Gothic"/>
          <w:w w:val="80"/>
        </w:rPr>
        <w:t xml:space="preserve">、 </w:t>
      </w:r>
      <w:r>
        <w:rPr>
          <w:w w:val="105"/>
        </w:rPr>
        <w:t>液位控制和高液位报警及放空等设施</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第一百六十八条 在煤层气脱水装置前应当设置分离器</w:t>
      </w:r>
      <w:r>
        <w:rPr>
          <w:rFonts w:hint="eastAsia" w:ascii="MS UI Gothic" w:eastAsia="MS UI Gothic"/>
          <w:w w:val="80"/>
        </w:rPr>
        <w:t>ꎮ</w:t>
      </w:r>
    </w:p>
    <w:p>
      <w:pPr>
        <w:pStyle w:val="6"/>
        <w:spacing w:line="295" w:lineRule="auto"/>
        <w:ind w:left="118" w:right="442"/>
        <w:jc w:val="left"/>
        <w:rPr>
          <w:rFonts w:hint="eastAsia" w:ascii="MS UI Gothic" w:eastAsia="MS UI Gothic"/>
        </w:rPr>
      </w:pPr>
      <w:r>
        <w:t>脱水器前及压缩机的出口管线上的截</w:t>
      </w:r>
      <w:r>
        <w:rPr>
          <w:w w:val="105"/>
        </w:rPr>
        <w:t>断阀前应当分别设置安全阀</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10"/>
        </w:rPr>
        <w:t>第一百六十九条  煤层气脱水装置</w:t>
      </w:r>
      <w:r>
        <w:rPr>
          <w:spacing w:val="3"/>
        </w:rPr>
        <w:t>中</w:t>
      </w:r>
      <w:r>
        <w:rPr>
          <w:rFonts w:hint="eastAsia" w:ascii="MS UI Gothic" w:eastAsia="MS UI Gothic"/>
          <w:spacing w:val="23"/>
          <w:w w:val="80"/>
        </w:rPr>
        <w:t xml:space="preserve">ꎬ </w:t>
      </w:r>
      <w:r>
        <w:rPr>
          <w:spacing w:val="3"/>
        </w:rPr>
        <w:t>气体管线应当选用全启式安全阀</w:t>
      </w:r>
      <w:r>
        <w:rPr>
          <w:rFonts w:hint="eastAsia" w:ascii="MS UI Gothic" w:eastAsia="MS UI Gothic"/>
          <w:spacing w:val="23"/>
          <w:w w:val="80"/>
        </w:rPr>
        <w:t xml:space="preserve">ꎬ </w:t>
      </w:r>
      <w:r>
        <w:t>液</w:t>
      </w:r>
      <w:r>
        <w:rPr>
          <w:spacing w:val="3"/>
        </w:rPr>
        <w:t>体管线应当选用微启式安全阀</w:t>
      </w:r>
      <w:r>
        <w:rPr>
          <w:rFonts w:hint="eastAsia" w:ascii="MS UI Gothic" w:eastAsia="MS UI Gothic"/>
          <w:spacing w:val="20"/>
          <w:w w:val="80"/>
        </w:rPr>
        <w:t xml:space="preserve">ꎮ </w:t>
      </w:r>
      <w:r>
        <w:rPr>
          <w:spacing w:val="2"/>
        </w:rPr>
        <w:t>安全阀弹簧应当具有可靠的防腐蚀性能或者必要的</w:t>
      </w:r>
      <w:r>
        <w:rPr>
          <w:spacing w:val="3"/>
        </w:rPr>
        <w:t>防腐保护措施</w:t>
      </w:r>
      <w:r>
        <w:rPr>
          <w:rFonts w:hint="eastAsia" w:ascii="MS UI Gothic" w:eastAsia="MS UI Gothic"/>
          <w:w w:val="80"/>
        </w:rPr>
        <w:t>ꎮ</w:t>
      </w:r>
    </w:p>
    <w:p>
      <w:pPr>
        <w:pStyle w:val="6"/>
        <w:spacing w:line="295" w:lineRule="auto"/>
        <w:ind w:left="118" w:right="442"/>
        <w:rPr>
          <w:rFonts w:hint="eastAsia" w:ascii="MS UI Gothic" w:eastAsia="MS UI Gothic"/>
        </w:rPr>
      </w:pPr>
      <w:r>
        <w:rPr>
          <w:spacing w:val="4"/>
        </w:rPr>
        <w:t>第一百七十条 含硫化氢的煤层气应</w:t>
      </w:r>
      <w:r>
        <w:rPr>
          <w:spacing w:val="3"/>
        </w:rPr>
        <w:t>当脱硫</w:t>
      </w:r>
      <w:r>
        <w:rPr>
          <w:rFonts w:hint="eastAsia" w:ascii="MS UI Gothic" w:eastAsia="MS UI Gothic"/>
          <w:spacing w:val="11"/>
          <w:w w:val="80"/>
        </w:rPr>
        <w:t xml:space="preserve">、 </w:t>
      </w:r>
      <w:r>
        <w:rPr>
          <w:spacing w:val="3"/>
        </w:rPr>
        <w:t>脱水</w:t>
      </w:r>
      <w:r>
        <w:rPr>
          <w:rFonts w:hint="eastAsia" w:ascii="MS UI Gothic" w:eastAsia="MS UI Gothic"/>
          <w:spacing w:val="11"/>
          <w:w w:val="80"/>
        </w:rPr>
        <w:t xml:space="preserve">ꎮ </w:t>
      </w:r>
      <w:r>
        <w:rPr>
          <w:spacing w:val="2"/>
        </w:rPr>
        <w:t>距煤层气处理厂较远的酸</w:t>
      </w:r>
      <w:r>
        <w:rPr>
          <w:spacing w:val="3"/>
        </w:rPr>
        <w:t>性煤层气</w:t>
      </w:r>
      <w:r>
        <w:rPr>
          <w:rFonts w:hint="eastAsia" w:ascii="MS UI Gothic" w:eastAsia="MS UI Gothic"/>
          <w:spacing w:val="23"/>
          <w:w w:val="80"/>
        </w:rPr>
        <w:t xml:space="preserve">ꎬ </w:t>
      </w:r>
      <w:r>
        <w:rPr>
          <w:spacing w:val="3"/>
        </w:rPr>
        <w:t>如因管输产生游离水</w:t>
      </w:r>
      <w:r>
        <w:rPr>
          <w:rFonts w:hint="eastAsia" w:ascii="MS UI Gothic" w:eastAsia="MS UI Gothic"/>
          <w:spacing w:val="23"/>
          <w:w w:val="80"/>
        </w:rPr>
        <w:t xml:space="preserve">ꎬ </w:t>
      </w:r>
      <w:r>
        <w:rPr>
          <w:spacing w:val="2"/>
        </w:rPr>
        <w:t>应当先</w:t>
      </w:r>
      <w:r>
        <w:rPr>
          <w:spacing w:val="3"/>
        </w:rPr>
        <w:t>脱水</w:t>
      </w:r>
      <w:r>
        <w:rPr>
          <w:rFonts w:hint="eastAsia" w:ascii="MS UI Gothic" w:eastAsia="MS UI Gothic"/>
          <w:spacing w:val="3"/>
          <w:w w:val="80"/>
        </w:rPr>
        <w:t xml:space="preserve">、 </w:t>
      </w:r>
      <w:r>
        <w:rPr>
          <w:spacing w:val="3"/>
        </w:rPr>
        <w:t>后脱硫</w:t>
      </w:r>
      <w:r>
        <w:rPr>
          <w:rFonts w:hint="eastAsia" w:ascii="MS UI Gothic" w:eastAsia="MS UI Gothic"/>
          <w:w w:val="80"/>
        </w:rPr>
        <w:t>ꎮ</w:t>
      </w:r>
    </w:p>
    <w:p>
      <w:pPr>
        <w:pStyle w:val="6"/>
        <w:spacing w:line="295" w:lineRule="auto"/>
        <w:ind w:left="118" w:right="442"/>
      </w:pPr>
      <w:r>
        <w:rPr>
          <w:w w:val="105"/>
        </w:rPr>
        <w:t>第一百七十一条 在煤层气处理及输</w:t>
      </w:r>
      <w:r>
        <w:t>送过程中使用化学药剂时</w:t>
      </w:r>
      <w:r>
        <w:rPr>
          <w:rFonts w:hint="eastAsia" w:ascii="MS UI Gothic" w:eastAsia="MS UI Gothic"/>
          <w:w w:val="80"/>
        </w:rPr>
        <w:t xml:space="preserve">ꎬ </w:t>
      </w:r>
      <w:r>
        <w:t>煤层气企业应</w:t>
      </w:r>
    </w:p>
    <w:p>
      <w:pPr>
        <w:spacing w:after="0" w:line="295" w:lineRule="auto"/>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３６７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09" o:spid="_x0000_s2109" o:spt="203" style="height:2.15pt;width:398.25pt;" coordsize="7965,43">
            <o:lock v:ext="edit"/>
            <v:line id="_x0000_s2110" o:spid="_x0000_s2110" o:spt="20" style="position:absolute;left:0;top:39;height:0;width:7965;" stroked="t" coordsize="21600,21600">
              <v:path arrowok="t"/>
              <v:fill focussize="0,0"/>
              <v:stroke weight="0.388031496062992pt" color="#231F20"/>
              <v:imagedata o:title=""/>
              <o:lock v:ext="edit"/>
            </v:line>
            <v:line id="_x0000_s2111" o:spid="_x0000_s211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当严格执行技术操作规程和措施要求</w:t>
      </w:r>
      <w:r>
        <w:rPr>
          <w:rFonts w:hint="eastAsia" w:ascii="MS UI Gothic" w:eastAsia="MS UI Gothic"/>
          <w:w w:val="80"/>
        </w:rPr>
        <w:t xml:space="preserve">ꎬ </w:t>
      </w:r>
      <w:r>
        <w:t>并落实防冻伤</w:t>
      </w:r>
      <w:r>
        <w:rPr>
          <w:rFonts w:hint="eastAsia" w:ascii="MS UI Gothic" w:eastAsia="MS UI Gothic"/>
          <w:w w:val="80"/>
        </w:rPr>
        <w:t xml:space="preserve">、 </w:t>
      </w:r>
      <w:r>
        <w:t>防中毒和防化学伤害等措施</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第一百七十二条 煤层气企业应当在脱硫溶液系统中设过滤器</w:t>
      </w:r>
      <w:r>
        <w:rPr>
          <w:rFonts w:hint="eastAsia" w:ascii="MS UI Gothic" w:eastAsia="MS UI Gothic"/>
          <w:w w:val="80"/>
        </w:rPr>
        <w:t>ꎮ</w:t>
      </w:r>
    </w:p>
    <w:p>
      <w:pPr>
        <w:pStyle w:val="6"/>
        <w:spacing w:line="295" w:lineRule="auto"/>
        <w:ind w:left="440" w:right="1"/>
        <w:rPr>
          <w:rFonts w:hint="eastAsia" w:ascii="MS UI Gothic" w:eastAsia="MS UI Gothic"/>
        </w:rPr>
      </w:pPr>
      <w:r>
        <w:t>第一百七十三条 进脱硫装置的原料气总管线和再生塔应当设安全阀</w:t>
      </w:r>
      <w:r>
        <w:rPr>
          <w:rFonts w:hint="eastAsia" w:ascii="MS UI Gothic" w:eastAsia="MS UI Gothic"/>
          <w:w w:val="80"/>
        </w:rPr>
        <w:t xml:space="preserve">ꎬ </w:t>
      </w:r>
      <w:r>
        <w:t>液硫储罐最高液位之上应当设置灭火蒸汽管</w:t>
      </w:r>
      <w:r>
        <w:rPr>
          <w:rFonts w:hint="eastAsia" w:ascii="MS UI Gothic" w:eastAsia="MS UI Gothic"/>
          <w:w w:val="80"/>
        </w:rPr>
        <w:t xml:space="preserve">ꎮ </w:t>
      </w:r>
      <w:r>
        <w:t>储罐四周应当设置闭合的不燃烧材料防护墙</w:t>
      </w:r>
      <w:r>
        <w:rPr>
          <w:rFonts w:hint="eastAsia" w:ascii="MS UI Gothic" w:eastAsia="MS UI Gothic"/>
          <w:w w:val="80"/>
        </w:rPr>
        <w:t xml:space="preserve">ꎬ </w:t>
      </w:r>
      <w:r>
        <w:t xml:space="preserve">墙高应当为 </w:t>
      </w:r>
      <w:r>
        <w:rPr>
          <w:rFonts w:hint="eastAsia" w:ascii="MS UI Gothic" w:eastAsia="MS UI Gothic"/>
          <w:w w:val="80"/>
        </w:rPr>
        <w:t xml:space="preserve">１ </w:t>
      </w:r>
      <w:r>
        <w:t>米</w:t>
      </w:r>
      <w:r>
        <w:rPr>
          <w:rFonts w:hint="eastAsia" w:ascii="MS UI Gothic" w:eastAsia="MS UI Gothic"/>
          <w:w w:val="80"/>
        </w:rPr>
        <w:t xml:space="preserve">ꎬ </w:t>
      </w:r>
      <w:r>
        <w:t>四周应当设置相应的消防设施</w:t>
      </w:r>
      <w:r>
        <w:rPr>
          <w:rFonts w:hint="eastAsia" w:ascii="MS UI Gothic" w:eastAsia="MS UI Gothic"/>
          <w:w w:val="80"/>
        </w:rPr>
        <w:t>ꎮ</w:t>
      </w:r>
    </w:p>
    <w:p>
      <w:pPr>
        <w:pStyle w:val="6"/>
        <w:spacing w:line="295" w:lineRule="auto"/>
        <w:ind w:left="440"/>
        <w:rPr>
          <w:rFonts w:hint="eastAsia" w:ascii="MS UI Gothic" w:eastAsia="MS UI Gothic"/>
        </w:rPr>
      </w:pPr>
      <w:r>
        <w:t>第一百七十四条 在含硫容器内作业时</w:t>
      </w:r>
      <w:r>
        <w:rPr>
          <w:rFonts w:hint="eastAsia" w:ascii="MS UI Gothic" w:eastAsia="MS UI Gothic"/>
          <w:w w:val="80"/>
        </w:rPr>
        <w:t xml:space="preserve">ꎬ </w:t>
      </w:r>
      <w:r>
        <w:t>煤层气企业应当进行有毒气体测试</w:t>
      </w:r>
      <w:r>
        <w:rPr>
          <w:rFonts w:hint="eastAsia" w:ascii="MS UI Gothic" w:eastAsia="MS UI Gothic"/>
          <w:w w:val="80"/>
        </w:rPr>
        <w:t>ꎬ</w:t>
      </w:r>
      <w:r>
        <w:t>并备有正压式空气呼吸器</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第一百七十五条 集输系统投产应当</w:t>
      </w:r>
      <w:r>
        <w:rPr>
          <w:w w:val="110"/>
        </w:rPr>
        <w:t>符合下列要求</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36"/>
          <w:w w:val="130"/>
        </w:rPr>
        <w:t xml:space="preserve">( </w:t>
      </w:r>
      <w:r>
        <w:rPr>
          <w:spacing w:val="29"/>
          <w:w w:val="110"/>
        </w:rPr>
        <w:t>一</w:t>
      </w:r>
      <w:r>
        <w:rPr>
          <w:rFonts w:hint="eastAsia" w:ascii="MS UI Gothic" w:eastAsia="MS UI Gothic"/>
          <w:spacing w:val="-13"/>
          <w:w w:val="130"/>
        </w:rPr>
        <w:t xml:space="preserve">) </w:t>
      </w:r>
      <w:r>
        <w:rPr>
          <w:spacing w:val="40"/>
          <w:w w:val="110"/>
        </w:rPr>
        <w:t>管线与设备的严密性试验</w:t>
      </w:r>
      <w:r>
        <w:rPr>
          <w:spacing w:val="3"/>
          <w:w w:val="110"/>
        </w:rPr>
        <w:t>合格</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各单体设备</w:t>
      </w:r>
      <w:r>
        <w:rPr>
          <w:rFonts w:hint="eastAsia" w:ascii="MS UI Gothic" w:eastAsia="MS UI Gothic"/>
          <w:w w:val="80"/>
        </w:rPr>
        <w:t xml:space="preserve">、 </w:t>
      </w:r>
      <w:r>
        <w:rPr>
          <w:w w:val="105"/>
        </w:rPr>
        <w:t>分系统试运行正</w:t>
      </w:r>
      <w:r>
        <w:t>常</w:t>
      </w:r>
      <w:r>
        <w:rPr>
          <w:rFonts w:hint="eastAsia" w:ascii="MS UI Gothic" w:eastAsia="MS UI Gothic"/>
          <w:w w:val="80"/>
        </w:rPr>
        <w:t xml:space="preserve">ꎬ </w:t>
      </w:r>
      <w:r>
        <w:t>设备工作状态良好</w:t>
      </w:r>
      <w:r>
        <w:rPr>
          <w:rFonts w:hint="eastAsia" w:ascii="MS UI Gothic" w:eastAsia="MS UI Gothic"/>
          <w:w w:val="80"/>
        </w:rPr>
        <w:t xml:space="preserve">ꎬ </w:t>
      </w:r>
      <w:r>
        <w:t>集输系统整体联</w:t>
      </w:r>
      <w:r>
        <w:rPr>
          <w:w w:val="105"/>
        </w:rPr>
        <w:t>合试运行正常</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4"/>
          <w:w w:val="150"/>
        </w:rPr>
        <w:t xml:space="preserve">( </w:t>
      </w:r>
      <w:r>
        <w:rPr>
          <w:spacing w:val="36"/>
          <w:w w:val="110"/>
        </w:rPr>
        <w:t>三</w:t>
      </w:r>
      <w:r>
        <w:rPr>
          <w:rFonts w:hint="eastAsia" w:ascii="MS UI Gothic" w:eastAsia="MS UI Gothic"/>
          <w:spacing w:val="19"/>
          <w:w w:val="150"/>
        </w:rPr>
        <w:t xml:space="preserve">) </w:t>
      </w:r>
      <w:r>
        <w:rPr>
          <w:spacing w:val="-33"/>
          <w:w w:val="110"/>
        </w:rPr>
        <w:t>集 气 管 线 全 线 进 行 试 压</w:t>
      </w:r>
      <w:r>
        <w:rPr>
          <w:rFonts w:hint="eastAsia" w:ascii="MS UI Gothic" w:eastAsia="MS UI Gothic"/>
          <w:spacing w:val="-16"/>
          <w:w w:val="80"/>
        </w:rPr>
        <w:t>、</w:t>
      </w:r>
      <w:r>
        <w:rPr>
          <w:spacing w:val="3"/>
          <w:w w:val="110"/>
        </w:rPr>
        <w:t>清管</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制定安全措施和应急预案</w:t>
      </w:r>
      <w:r>
        <w:rPr>
          <w:rFonts w:hint="eastAsia" w:ascii="MS UI Gothic" w:eastAsia="MS UI Gothic"/>
          <w:w w:val="80"/>
        </w:rPr>
        <w:t>ꎮ</w:t>
      </w:r>
    </w:p>
    <w:p>
      <w:pPr>
        <w:pStyle w:val="6"/>
        <w:spacing w:before="41" w:line="295" w:lineRule="auto"/>
        <w:ind w:left="440" w:right="1"/>
        <w:rPr>
          <w:rFonts w:hint="eastAsia" w:ascii="MS UI Gothic" w:eastAsia="MS UI Gothic"/>
        </w:rPr>
      </w:pPr>
      <w:r>
        <w:t>第一百七十六条 管线投运前</w:t>
      </w:r>
      <w:r>
        <w:rPr>
          <w:rFonts w:hint="eastAsia" w:ascii="MS UI Gothic" w:eastAsia="MS UI Gothic"/>
          <w:w w:val="80"/>
        </w:rPr>
        <w:t xml:space="preserve">ꎬ </w:t>
      </w:r>
      <w:r>
        <w:t>煤层气企业应当对管线内的空气进行置换</w:t>
      </w:r>
      <w:r>
        <w:rPr>
          <w:rFonts w:hint="eastAsia" w:ascii="MS UI Gothic" w:eastAsia="MS UI Gothic"/>
          <w:w w:val="80"/>
        </w:rPr>
        <w:t xml:space="preserve">ꎬ </w:t>
      </w:r>
      <w:r>
        <w:t>避免空气与煤层气混合</w:t>
      </w:r>
      <w:r>
        <w:rPr>
          <w:rFonts w:hint="eastAsia" w:ascii="MS UI Gothic" w:eastAsia="MS UI Gothic"/>
          <w:w w:val="80"/>
        </w:rPr>
        <w:t>ꎮ</w:t>
      </w:r>
    </w:p>
    <w:p>
      <w:pPr>
        <w:pStyle w:val="6"/>
        <w:spacing w:line="295" w:lineRule="auto"/>
        <w:ind w:left="440" w:right="1"/>
        <w:rPr>
          <w:rFonts w:hint="eastAsia" w:ascii="MS UI Gothic" w:eastAsia="MS UI Gothic"/>
        </w:rPr>
      </w:pPr>
      <w:r>
        <w:t>置换过程中的混合气体应当利用放空系统放空</w:t>
      </w:r>
      <w:r>
        <w:rPr>
          <w:rFonts w:hint="eastAsia" w:ascii="MS UI Gothic" w:eastAsia="MS UI Gothic"/>
          <w:w w:val="80"/>
        </w:rPr>
        <w:t xml:space="preserve">ꎬ </w:t>
      </w:r>
      <w:r>
        <w:t>并以放空口为中心设立隔离区并禁止烟火</w:t>
      </w:r>
      <w:r>
        <w:rPr>
          <w:rFonts w:hint="eastAsia" w:ascii="MS UI Gothic" w:eastAsia="MS UI Gothic"/>
          <w:w w:val="80"/>
        </w:rPr>
        <w:t xml:space="preserve">ꎮ </w:t>
      </w:r>
      <w:r>
        <w:t>进行氮气置换时</w:t>
      </w:r>
      <w:r>
        <w:rPr>
          <w:rFonts w:hint="eastAsia" w:ascii="MS UI Gothic" w:eastAsia="MS UI Gothic"/>
          <w:w w:val="80"/>
        </w:rPr>
        <w:t xml:space="preserve">ꎬ </w:t>
      </w:r>
      <w:r>
        <w:t xml:space="preserve">进入管线的氮气温度应当不低于 </w:t>
      </w:r>
      <w:r>
        <w:rPr>
          <w:rFonts w:hint="eastAsia" w:ascii="MS UI Gothic" w:eastAsia="MS UI Gothic"/>
          <w:w w:val="80"/>
        </w:rPr>
        <w:t xml:space="preserve">５ </w:t>
      </w:r>
      <w:r>
        <w:t>摄氏度</w:t>
      </w:r>
      <w:r>
        <w:rPr>
          <w:rFonts w:hint="eastAsia" w:ascii="MS UI Gothic" w:eastAsia="MS UI Gothic"/>
          <w:w w:val="80"/>
        </w:rPr>
        <w:t xml:space="preserve">ꎻ </w:t>
      </w:r>
      <w:r>
        <w:t>排放氮气时应当防止大量氮气聚集造成人员窒息</w:t>
      </w:r>
      <w:r>
        <w:rPr>
          <w:rFonts w:hint="eastAsia" w:ascii="MS UI Gothic" w:eastAsia="MS UI Gothic"/>
          <w:w w:val="80"/>
        </w:rPr>
        <w:t xml:space="preserve">ꎬ </w:t>
      </w:r>
      <w:r>
        <w:t>管线中氮气量过大时应当提前进行多点排放</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第一百七十七条 对管线的监控应当</w:t>
      </w:r>
      <w:r>
        <w:rPr>
          <w:w w:val="110"/>
        </w:rPr>
        <w:t>遵守下列规定</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对重要工艺参数及工作状态进</w:t>
      </w:r>
      <w:r>
        <w:rPr>
          <w:w w:val="110"/>
        </w:rPr>
        <w:t>行连续检测和记录</w:t>
      </w:r>
      <w:r>
        <w:rPr>
          <w:rFonts w:hint="eastAsia" w:ascii="MS UI Gothic" w:eastAsia="MS UI Gothic"/>
          <w:w w:val="80"/>
        </w:rPr>
        <w:t>ꎻ</w:t>
      </w:r>
    </w:p>
    <w:p>
      <w:pPr>
        <w:pStyle w:val="6"/>
        <w:spacing w:line="255" w:lineRule="exact"/>
        <w:ind w:left="860" w:firstLine="0"/>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根据沿线情况定期对集输管线</w:t>
      </w:r>
    </w:p>
    <w:p>
      <w:pPr>
        <w:pStyle w:val="6"/>
        <w:spacing w:before="124" w:line="295" w:lineRule="auto"/>
        <w:ind w:left="381" w:right="126" w:firstLine="0"/>
        <w:jc w:val="left"/>
        <w:rPr>
          <w:rFonts w:hint="eastAsia" w:ascii="MS UI Gothic" w:eastAsia="MS UI Gothic"/>
        </w:rPr>
      </w:pPr>
      <w:r>
        <w:br w:type="column"/>
      </w:r>
      <w:r>
        <w:t>进行巡线检查</w:t>
      </w:r>
      <w:r>
        <w:rPr>
          <w:rFonts w:hint="eastAsia" w:ascii="MS UI Gothic" w:eastAsia="MS UI Gothic"/>
          <w:w w:val="80"/>
        </w:rPr>
        <w:t xml:space="preserve">ꎬ </w:t>
      </w:r>
      <w:r>
        <w:t>但每季度至少徒步巡查一次</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定时巡查线路分水器</w:t>
      </w:r>
      <w:r>
        <w:rPr>
          <w:rFonts w:hint="eastAsia" w:ascii="MS UI Gothic" w:eastAsia="MS UI Gothic"/>
          <w:w w:val="80"/>
        </w:rPr>
        <w:t xml:space="preserve">ꎬ </w:t>
      </w:r>
      <w:r>
        <w:rPr>
          <w:w w:val="105"/>
        </w:rPr>
        <w:t>及时排放污水</w:t>
      </w:r>
      <w:r>
        <w:rPr>
          <w:rFonts w:hint="eastAsia" w:ascii="MS UI Gothic" w:eastAsia="MS UI Gothic"/>
          <w:w w:val="80"/>
        </w:rPr>
        <w:t xml:space="preserve">ꎬ </w:t>
      </w:r>
      <w:r>
        <w:rPr>
          <w:w w:val="105"/>
        </w:rPr>
        <w:t>并有防止冰冻的措施</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在雨季</w:t>
      </w:r>
      <w:r>
        <w:rPr>
          <w:rFonts w:hint="eastAsia" w:ascii="MS UI Gothic" w:eastAsia="MS UI Gothic"/>
          <w:w w:val="80"/>
        </w:rPr>
        <w:t xml:space="preserve">、 </w:t>
      </w:r>
      <w:r>
        <w:rPr>
          <w:w w:val="105"/>
        </w:rPr>
        <w:t>汛期或者其他灾害发生后加密巡查</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定期对装有阴极保护设施的管</w:t>
      </w:r>
      <w:r>
        <w:rPr>
          <w:w w:val="110"/>
        </w:rPr>
        <w:t>线保护电位进行测试</w:t>
      </w:r>
      <w:r>
        <w:rPr>
          <w:rFonts w:hint="eastAsia" w:ascii="MS UI Gothic" w:eastAsia="MS UI Gothic"/>
          <w:w w:val="80"/>
        </w:rPr>
        <w:t>ꎮ</w:t>
      </w:r>
    </w:p>
    <w:p>
      <w:pPr>
        <w:pStyle w:val="6"/>
        <w:tabs>
          <w:tab w:val="left" w:pos="2477"/>
        </w:tabs>
        <w:spacing w:line="295" w:lineRule="auto"/>
        <w:ind w:left="381" w:right="126"/>
        <w:jc w:val="left"/>
        <w:rPr>
          <w:rFonts w:hint="eastAsia" w:ascii="MS UI Gothic" w:eastAsia="MS UI Gothic"/>
        </w:rPr>
      </w:pPr>
      <w:r>
        <w:rPr>
          <w:spacing w:val="3"/>
          <w:w w:val="105"/>
        </w:rPr>
        <w:t>第一百七十八</w:t>
      </w:r>
      <w:r>
        <w:rPr>
          <w:w w:val="105"/>
        </w:rPr>
        <w:t>条</w:t>
      </w:r>
      <w:r>
        <w:rPr>
          <w:w w:val="105"/>
        </w:rPr>
        <w:tab/>
      </w:r>
      <w:r>
        <w:rPr>
          <w:spacing w:val="3"/>
        </w:rPr>
        <w:t>对站场的监控应</w:t>
      </w:r>
      <w:r>
        <w:rPr>
          <w:spacing w:val="-12"/>
        </w:rPr>
        <w:t>当</w:t>
      </w:r>
      <w:r>
        <w:rPr>
          <w:spacing w:val="3"/>
          <w:w w:val="110"/>
        </w:rPr>
        <w:t>遵守下列规定</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压力</w:t>
      </w:r>
      <w:r>
        <w:rPr>
          <w:rFonts w:hint="eastAsia" w:ascii="MS UI Gothic" w:eastAsia="MS UI Gothic"/>
          <w:w w:val="80"/>
        </w:rPr>
        <w:t xml:space="preserve">、 </w:t>
      </w:r>
      <w:r>
        <w:t>计量仪表灵敏准确</w:t>
      </w:r>
      <w:r>
        <w:rPr>
          <w:rFonts w:hint="eastAsia" w:ascii="MS UI Gothic" w:eastAsia="MS UI Gothic"/>
          <w:w w:val="80"/>
        </w:rPr>
        <w:t xml:space="preserve">ꎬ </w:t>
      </w:r>
      <w:r>
        <w:t>设备</w:t>
      </w:r>
      <w:r>
        <w:rPr>
          <w:rFonts w:hint="eastAsia" w:ascii="MS UI Gothic" w:eastAsia="MS UI Gothic"/>
          <w:w w:val="80"/>
        </w:rPr>
        <w:t xml:space="preserve">、 </w:t>
      </w:r>
      <w:r>
        <w:t>管汇无渗漏</w:t>
      </w:r>
      <w:r>
        <w:rPr>
          <w:rFonts w:hint="eastAsia" w:ascii="MS UI Gothic" w:eastAsia="MS UI Gothic"/>
          <w:w w:val="80"/>
        </w:rPr>
        <w:t xml:space="preserve">ꎮ </w:t>
      </w:r>
      <w:r>
        <w:t>根据集输流程分布情况</w:t>
      </w:r>
      <w:r>
        <w:rPr>
          <w:rFonts w:hint="eastAsia" w:ascii="MS UI Gothic" w:eastAsia="MS UI Gothic"/>
          <w:w w:val="80"/>
        </w:rPr>
        <w:t xml:space="preserve">ꎬ </w:t>
      </w:r>
      <w:r>
        <w:t>在站场设置限压放空和压力高</w:t>
      </w:r>
      <w:r>
        <w:rPr>
          <w:rFonts w:hint="eastAsia" w:ascii="MS UI Gothic" w:eastAsia="MS UI Gothic"/>
          <w:w w:val="80"/>
        </w:rPr>
        <w:t xml:space="preserve">、 </w:t>
      </w:r>
      <w:r>
        <w:t>低限报警设施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3"/>
          <w:w w:val="150"/>
        </w:rPr>
        <w:t xml:space="preserve">) </w:t>
      </w:r>
      <w:r>
        <w:rPr>
          <w:spacing w:val="5"/>
          <w:w w:val="105"/>
        </w:rPr>
        <w:t>定时巡查站场内的分离器</w:t>
      </w:r>
      <w:r>
        <w:rPr>
          <w:rFonts w:hint="eastAsia" w:ascii="MS UI Gothic" w:eastAsia="MS UI Gothic"/>
          <w:spacing w:val="13"/>
          <w:w w:val="80"/>
        </w:rPr>
        <w:t xml:space="preserve">ꎬ </w:t>
      </w:r>
      <w:r>
        <w:rPr>
          <w:w w:val="105"/>
        </w:rPr>
        <w:t>及</w:t>
      </w:r>
      <w:r>
        <w:rPr>
          <w:spacing w:val="3"/>
          <w:w w:val="105"/>
        </w:rPr>
        <w:t>时将污水排放</w:t>
      </w:r>
      <w:r>
        <w:rPr>
          <w:rFonts w:hint="eastAsia" w:ascii="MS UI Gothic" w:eastAsia="MS UI Gothic"/>
          <w:spacing w:val="7"/>
          <w:w w:val="80"/>
        </w:rPr>
        <w:t xml:space="preserve">ꎬ </w:t>
      </w:r>
      <w:r>
        <w:rPr>
          <w:spacing w:val="3"/>
          <w:w w:val="105"/>
        </w:rPr>
        <w:t>并有防止冰冻的措施</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rPr>
          <w:rFonts w:hint="eastAsia" w:ascii="MS UI Gothic" w:hAnsi="MS UI Gothic" w:eastAsia="MS UI Gothic"/>
          <w:spacing w:val="-30"/>
          <w:w w:val="140"/>
        </w:rPr>
        <w:t xml:space="preserve">( </w:t>
      </w:r>
      <w:r>
        <w:rPr>
          <w:spacing w:val="3"/>
        </w:rPr>
        <w:t>三</w:t>
      </w:r>
      <w:r>
        <w:rPr>
          <w:rFonts w:hint="eastAsia" w:ascii="MS UI Gothic" w:hAnsi="MS UI Gothic" w:eastAsia="MS UI Gothic"/>
          <w:spacing w:val="38"/>
          <w:w w:val="140"/>
        </w:rPr>
        <w:t xml:space="preserve">) </w:t>
      </w:r>
      <w:r>
        <w:rPr>
          <w:spacing w:val="5"/>
        </w:rPr>
        <w:t>站场工艺装置区</w:t>
      </w:r>
      <w:r>
        <w:rPr>
          <w:rFonts w:hint="eastAsia" w:ascii="MS UI Gothic" w:hAnsi="MS UI Gothic" w:eastAsia="MS UI Gothic"/>
          <w:spacing w:val="11"/>
        </w:rPr>
        <w:t xml:space="preserve">、 </w:t>
      </w:r>
      <w:r>
        <w:rPr>
          <w:spacing w:val="8"/>
        </w:rPr>
        <w:t>计量工作间</w:t>
      </w:r>
      <w:r>
        <w:rPr>
          <w:spacing w:val="2"/>
        </w:rPr>
        <w:t>等位于爆炸危险区域内的电气设备及照明</w:t>
      </w:r>
      <w:r>
        <w:rPr>
          <w:spacing w:val="3"/>
        </w:rPr>
        <w:t>采用防爆电器</w:t>
      </w:r>
      <w:r>
        <w:rPr>
          <w:rFonts w:hint="eastAsia" w:ascii="MS UI Gothic" w:hAnsi="MS UI Gothic" w:eastAsia="MS UI Gothic"/>
          <w:spacing w:val="22"/>
          <w:w w:val="90"/>
        </w:rPr>
        <w:t xml:space="preserve">ꎬ </w:t>
      </w:r>
      <w:r>
        <w:rPr>
          <w:spacing w:val="3"/>
        </w:rPr>
        <w:t>其选型</w:t>
      </w:r>
      <w:r>
        <w:rPr>
          <w:rFonts w:hint="eastAsia" w:ascii="MS UI Gothic" w:hAnsi="MS UI Gothic" w:eastAsia="MS UI Gothic"/>
          <w:spacing w:val="19"/>
        </w:rPr>
        <w:t xml:space="preserve">、 </w:t>
      </w:r>
      <w:r>
        <w:rPr>
          <w:spacing w:val="2"/>
        </w:rPr>
        <w:t>安装和电气线路</w:t>
      </w:r>
      <w:r>
        <w:rPr>
          <w:spacing w:val="16"/>
        </w:rPr>
        <w:t xml:space="preserve">的布置符合 </w:t>
      </w:r>
      <w:r>
        <w:rPr>
          <w:rFonts w:hint="eastAsia" w:ascii="MS UI Gothic" w:hAnsi="MS UI Gothic" w:eastAsia="MS UI Gothic"/>
          <w:spacing w:val="-11"/>
        </w:rPr>
        <w:t xml:space="preserve">« </w:t>
      </w:r>
      <w:r>
        <w:rPr>
          <w:spacing w:val="15"/>
        </w:rPr>
        <w:t>爆炸和火灾危险环境电力</w:t>
      </w:r>
      <w:r>
        <w:rPr>
          <w:spacing w:val="3"/>
          <w:w w:val="102"/>
        </w:rPr>
        <w:t>装置设计规范</w:t>
      </w:r>
      <w:r>
        <w:rPr>
          <w:rFonts w:hint="eastAsia" w:ascii="MS UI Gothic" w:hAnsi="MS UI Gothic" w:eastAsia="MS UI Gothic"/>
          <w:w w:val="76"/>
        </w:rPr>
        <w:t>»</w:t>
      </w:r>
      <w:r>
        <w:rPr>
          <w:rFonts w:hint="eastAsia" w:ascii="MS UI Gothic" w:hAnsi="MS UI Gothic" w:eastAsia="MS UI Gothic"/>
          <w:spacing w:val="2"/>
        </w:rPr>
        <w:t xml:space="preserve">  </w:t>
      </w:r>
      <w:r>
        <w:rPr>
          <w:rFonts w:hint="eastAsia" w:ascii="MS UI Gothic" w:hAnsi="MS UI Gothic" w:eastAsia="MS UI Gothic"/>
          <w:w w:val="168"/>
        </w:rPr>
        <w:t>(</w:t>
      </w:r>
      <w:r>
        <w:rPr>
          <w:rFonts w:hint="eastAsia" w:ascii="MS UI Gothic" w:hAnsi="MS UI Gothic" w:eastAsia="MS UI Gothic"/>
          <w:spacing w:val="-40"/>
        </w:rPr>
        <w:t xml:space="preserve"> </w:t>
      </w:r>
      <w:r>
        <w:rPr>
          <w:rFonts w:hint="eastAsia" w:ascii="MS UI Gothic" w:hAnsi="MS UI Gothic" w:eastAsia="MS UI Gothic"/>
          <w:spacing w:val="-2"/>
          <w:w w:val="88"/>
        </w:rPr>
        <w:t>Ｇ</w:t>
      </w:r>
      <w:r>
        <w:rPr>
          <w:rFonts w:hint="eastAsia" w:ascii="MS UI Gothic" w:hAnsi="MS UI Gothic" w:eastAsia="MS UI Gothic"/>
          <w:w w:val="80"/>
        </w:rPr>
        <w:t>Ｂ</w:t>
      </w:r>
      <w:r>
        <w:rPr>
          <w:rFonts w:hint="eastAsia" w:ascii="MS UI Gothic" w:hAnsi="MS UI Gothic" w:eastAsia="MS UI Gothic"/>
          <w:spacing w:val="9"/>
        </w:rPr>
        <w:t xml:space="preserve"> </w:t>
      </w:r>
      <w:r>
        <w:rPr>
          <w:rFonts w:hint="eastAsia" w:ascii="MS UI Gothic" w:hAnsi="MS UI Gothic" w:eastAsia="MS UI Gothic"/>
          <w:w w:val="75"/>
        </w:rPr>
        <w:t>５００５８</w:t>
      </w:r>
      <w:r>
        <w:rPr>
          <w:rFonts w:hint="eastAsia" w:ascii="MS UI Gothic" w:hAnsi="MS UI Gothic" w:eastAsia="MS UI Gothic"/>
          <w:w w:val="168"/>
        </w:rPr>
        <w:t>)</w:t>
      </w:r>
      <w:r>
        <w:rPr>
          <w:rFonts w:hint="eastAsia" w:ascii="MS UI Gothic" w:hAnsi="MS UI Gothic" w:eastAsia="MS UI Gothic"/>
          <w:spacing w:val="2"/>
        </w:rPr>
        <w:t xml:space="preserve">  </w:t>
      </w:r>
      <w:r>
        <w:rPr>
          <w:spacing w:val="3"/>
          <w:w w:val="102"/>
        </w:rPr>
        <w:t>的规定</w:t>
      </w:r>
      <w:r>
        <w:rPr>
          <w:rFonts w:hint="eastAsia" w:ascii="MS UI Gothic" w:hAnsi="MS UI Gothic" w:eastAsia="MS UI Gothic"/>
          <w:w w:val="51"/>
        </w:rPr>
        <w:t>ꎮ</w:t>
      </w:r>
    </w:p>
    <w:p>
      <w:pPr>
        <w:pStyle w:val="6"/>
        <w:spacing w:line="295" w:lineRule="auto"/>
        <w:ind w:left="381" w:right="126"/>
        <w:rPr>
          <w:rFonts w:hint="eastAsia" w:ascii="MS UI Gothic" w:eastAsia="MS UI Gothic"/>
        </w:rPr>
      </w:pPr>
      <w:r>
        <w:t>第一百七十九条 维护与抢修时</w:t>
      </w:r>
      <w:r>
        <w:rPr>
          <w:rFonts w:hint="eastAsia" w:ascii="MS UI Gothic" w:eastAsia="MS UI Gothic"/>
          <w:w w:val="80"/>
        </w:rPr>
        <w:t xml:space="preserve">ꎬ </w:t>
      </w:r>
      <w:r>
        <w:t>应当制定相应的维护与抢修安全措施和实施方案</w:t>
      </w:r>
      <w:r>
        <w:rPr>
          <w:rFonts w:hint="eastAsia" w:ascii="MS UI Gothic" w:eastAsia="MS UI Gothic"/>
          <w:w w:val="80"/>
        </w:rPr>
        <w:t xml:space="preserve">ꎬ </w:t>
      </w:r>
      <w:r>
        <w:t>合理配备专职维护与抢修队伍</w:t>
      </w:r>
      <w:r>
        <w:rPr>
          <w:rFonts w:hint="eastAsia" w:ascii="MS UI Gothic" w:eastAsia="MS UI Gothic"/>
          <w:w w:val="80"/>
        </w:rPr>
        <w:t xml:space="preserve">ꎬ </w:t>
      </w:r>
      <w:r>
        <w:t>抢修物资装备</w:t>
      </w:r>
      <w:r>
        <w:rPr>
          <w:rFonts w:hint="eastAsia" w:ascii="MS UI Gothic" w:eastAsia="MS UI Gothic"/>
          <w:w w:val="80"/>
        </w:rPr>
        <w:t>ꎮ</w:t>
      </w:r>
    </w:p>
    <w:p>
      <w:pPr>
        <w:pStyle w:val="6"/>
        <w:spacing w:line="295" w:lineRule="auto"/>
        <w:ind w:left="381" w:right="126"/>
        <w:rPr>
          <w:rFonts w:hint="eastAsia" w:ascii="MS UI Gothic" w:eastAsia="MS UI Gothic"/>
        </w:rPr>
      </w:pPr>
      <w:r>
        <w:t>第一百八十条 维护与抢修现场应当采取保护措施</w:t>
      </w:r>
      <w:r>
        <w:rPr>
          <w:rFonts w:hint="eastAsia" w:ascii="MS UI Gothic" w:eastAsia="MS UI Gothic"/>
          <w:w w:val="80"/>
        </w:rPr>
        <w:t xml:space="preserve">ꎬ </w:t>
      </w:r>
      <w:r>
        <w:t>划分安全界限</w:t>
      </w:r>
      <w:r>
        <w:rPr>
          <w:rFonts w:hint="eastAsia" w:ascii="MS UI Gothic" w:eastAsia="MS UI Gothic"/>
          <w:w w:val="80"/>
        </w:rPr>
        <w:t xml:space="preserve">ꎬ </w:t>
      </w:r>
      <w:r>
        <w:t>设置警戒线</w:t>
      </w:r>
      <w:r>
        <w:rPr>
          <w:rFonts w:hint="eastAsia" w:ascii="MS UI Gothic" w:eastAsia="MS UI Gothic"/>
          <w:w w:val="80"/>
        </w:rPr>
        <w:t xml:space="preserve">、 </w:t>
      </w:r>
      <w:r>
        <w:t>警示牌</w:t>
      </w:r>
      <w:r>
        <w:rPr>
          <w:rFonts w:hint="eastAsia" w:ascii="MS UI Gothic" w:eastAsia="MS UI Gothic"/>
          <w:w w:val="80"/>
        </w:rPr>
        <w:t xml:space="preserve">ꎮ </w:t>
      </w:r>
      <w:r>
        <w:t>进入作业场地的人员应当穿戴劳动防护用品</w:t>
      </w:r>
      <w:r>
        <w:rPr>
          <w:rFonts w:hint="eastAsia" w:ascii="MS UI Gothic" w:eastAsia="MS UI Gothic"/>
          <w:w w:val="80"/>
        </w:rPr>
        <w:t xml:space="preserve">ꎮ </w:t>
      </w:r>
      <w:r>
        <w:t>与作业无关的人员不得进入警戒区内</w:t>
      </w:r>
      <w:r>
        <w:rPr>
          <w:rFonts w:hint="eastAsia" w:ascii="MS UI Gothic" w:eastAsia="MS UI Gothic"/>
          <w:w w:val="80"/>
        </w:rPr>
        <w:t>ꎮ</w:t>
      </w:r>
    </w:p>
    <w:p>
      <w:pPr>
        <w:pStyle w:val="6"/>
        <w:tabs>
          <w:tab w:val="left" w:pos="2267"/>
        </w:tabs>
        <w:spacing w:before="133"/>
        <w:ind w:left="1219" w:firstLine="0"/>
        <w:jc w:val="left"/>
      </w:pPr>
      <w:r>
        <w:rPr>
          <w:spacing w:val="3"/>
          <w:w w:val="105"/>
        </w:rPr>
        <w:t>第十一</w:t>
      </w:r>
      <w:r>
        <w:rPr>
          <w:w w:val="105"/>
        </w:rPr>
        <w:t>章</w:t>
      </w:r>
      <w:r>
        <w:rPr>
          <w:w w:val="105"/>
        </w:rPr>
        <w:tab/>
      </w:r>
      <w:r>
        <w:rPr>
          <w:spacing w:val="3"/>
          <w:w w:val="105"/>
        </w:rPr>
        <w:t>煤层气压</w:t>
      </w:r>
      <w:r>
        <w:rPr>
          <w:w w:val="105"/>
        </w:rPr>
        <w:t>缩</w:t>
      </w:r>
    </w:p>
    <w:p>
      <w:pPr>
        <w:pStyle w:val="6"/>
        <w:spacing w:before="11"/>
        <w:ind w:left="0" w:firstLine="0"/>
        <w:jc w:val="left"/>
        <w:rPr>
          <w:sz w:val="16"/>
        </w:rPr>
      </w:pPr>
    </w:p>
    <w:p>
      <w:pPr>
        <w:pStyle w:val="6"/>
        <w:spacing w:line="295" w:lineRule="auto"/>
        <w:ind w:left="381" w:right="126"/>
        <w:rPr>
          <w:rFonts w:hint="eastAsia" w:ascii="MS UI Gothic" w:eastAsia="MS UI Gothic"/>
        </w:rPr>
      </w:pPr>
      <w:r>
        <w:rPr>
          <w:w w:val="105"/>
        </w:rPr>
        <w:t>第一百八十一条 压缩站厂房建筑应</w:t>
      </w:r>
      <w:r>
        <w:rPr>
          <w:w w:val="110"/>
        </w:rPr>
        <w:t>当符合下列要求</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压缩机地基基础满足设计载荷</w:t>
      </w:r>
      <w:r>
        <w:rPr>
          <w:w w:val="110"/>
        </w:rPr>
        <w:t>要求</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阀组间</w:t>
      </w:r>
      <w:r>
        <w:rPr>
          <w:rFonts w:hint="eastAsia" w:ascii="MS UI Gothic" w:eastAsia="MS UI Gothic"/>
          <w:w w:val="80"/>
        </w:rPr>
        <w:t xml:space="preserve">、 </w:t>
      </w:r>
      <w:r>
        <w:rPr>
          <w:w w:val="105"/>
        </w:rPr>
        <w:t>压缩机等厂房使用耐火材料</w:t>
      </w:r>
      <w:r>
        <w:rPr>
          <w:rFonts w:hint="eastAsia" w:ascii="MS UI Gothic" w:eastAsia="MS UI Gothic"/>
          <w:w w:val="80"/>
        </w:rPr>
        <w:t xml:space="preserve">ꎬ </w:t>
      </w:r>
      <w:r>
        <w:rPr>
          <w:w w:val="105"/>
        </w:rPr>
        <w:t>采用不发火地面</w:t>
      </w:r>
      <w:r>
        <w:rPr>
          <w:rFonts w:hint="eastAsia" w:ascii="MS UI Gothic" w:eastAsia="MS UI Gothic"/>
          <w:w w:val="80"/>
        </w:rPr>
        <w:t>ꎻ</w:t>
      </w:r>
    </w:p>
    <w:p>
      <w:pPr>
        <w:pStyle w:val="6"/>
        <w:spacing w:line="255" w:lineRule="exact"/>
        <w:ind w:left="800" w:firstLine="0"/>
        <w:jc w:val="left"/>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阀组间</w:t>
      </w:r>
      <w:r>
        <w:rPr>
          <w:rFonts w:hint="eastAsia" w:ascii="MS UI Gothic" w:eastAsia="MS UI Gothic"/>
        </w:rPr>
        <w:t xml:space="preserve">、 </w:t>
      </w:r>
      <w:r>
        <w:rPr>
          <w:w w:val="110"/>
        </w:rPr>
        <w:t>压缩机等厂房的门窗</w:t>
      </w:r>
    </w:p>
    <w:p>
      <w:pPr>
        <w:spacing w:after="0" w:line="255"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３６８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12" o:spid="_x0000_s2112" o:spt="203" style="height:2.15pt;width:398.25pt;" coordsize="7965,43">
            <o:lock v:ext="edit"/>
            <v:line id="_x0000_s2113" o:spid="_x0000_s2113" o:spt="20" style="position:absolute;left:0;top:39;height:0;width:7965;" stroked="t" coordsize="21600,21600">
              <v:path arrowok="t"/>
              <v:fill focussize="0,0"/>
              <v:stroke weight="0.388031496062992pt" color="#231F20"/>
              <v:imagedata o:title=""/>
              <o:lock v:ext="edit"/>
            </v:line>
            <v:line id="_x0000_s2114" o:spid="_x0000_s211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w w:val="95"/>
        </w:rPr>
        <w:t>向外开启</w:t>
      </w:r>
      <w:r>
        <w:rPr>
          <w:rFonts w:hint="eastAsia" w:ascii="MS UI Gothic" w:eastAsia="MS UI Gothic"/>
          <w:w w:val="90"/>
        </w:rPr>
        <w:t xml:space="preserve">ꎬ </w:t>
      </w:r>
      <w:r>
        <w:rPr>
          <w:w w:val="95"/>
        </w:rPr>
        <w:t xml:space="preserve">建筑面积大于 </w:t>
      </w:r>
      <w:r>
        <w:rPr>
          <w:rFonts w:hint="eastAsia" w:ascii="MS UI Gothic" w:eastAsia="MS UI Gothic"/>
          <w:w w:val="95"/>
        </w:rPr>
        <w:t xml:space="preserve">１００ </w:t>
      </w:r>
      <w:r>
        <w:rPr>
          <w:w w:val="95"/>
        </w:rPr>
        <w:t>平方米的厂房至少有两个疏散门</w:t>
      </w:r>
      <w:r>
        <w:rPr>
          <w:rFonts w:hint="eastAsia" w:ascii="MS UI Gothic" w:eastAsia="MS UI Gothic"/>
          <w:w w:val="90"/>
        </w:rPr>
        <w:t xml:space="preserve">ꎬ </w:t>
      </w:r>
      <w:r>
        <w:rPr>
          <w:w w:val="95"/>
        </w:rPr>
        <w:t>并保持通道畅通</w:t>
      </w:r>
      <w:r>
        <w:rPr>
          <w:rFonts w:hint="eastAsia" w:ascii="MS UI Gothic" w:eastAsia="MS UI Gothic"/>
          <w:w w:val="9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阀组间</w:t>
      </w:r>
      <w:r>
        <w:rPr>
          <w:rFonts w:hint="eastAsia" w:ascii="MS UI Gothic" w:eastAsia="MS UI Gothic"/>
          <w:w w:val="80"/>
        </w:rPr>
        <w:t xml:space="preserve">、 </w:t>
      </w:r>
      <w:r>
        <w:rPr>
          <w:w w:val="105"/>
        </w:rPr>
        <w:t>压缩机等厂房设置通风设备</w:t>
      </w:r>
      <w:r>
        <w:rPr>
          <w:rFonts w:hint="eastAsia" w:ascii="MS UI Gothic" w:eastAsia="MS UI Gothic"/>
          <w:w w:val="80"/>
        </w:rPr>
        <w:t>ꎮ</w:t>
      </w:r>
    </w:p>
    <w:p>
      <w:pPr>
        <w:pStyle w:val="6"/>
        <w:spacing w:line="295" w:lineRule="auto"/>
        <w:ind w:right="38"/>
        <w:rPr>
          <w:rFonts w:hint="eastAsia" w:ascii="MS UI Gothic" w:eastAsia="MS UI Gothic"/>
        </w:rPr>
      </w:pPr>
      <w:r>
        <w:t>第一百八十二条 压缩工艺流程设计应当根据输气系统工艺要求</w:t>
      </w:r>
      <w:r>
        <w:rPr>
          <w:rFonts w:hint="eastAsia" w:ascii="MS UI Gothic" w:eastAsia="MS UI Gothic"/>
          <w:w w:val="80"/>
        </w:rPr>
        <w:t xml:space="preserve">ꎬ </w:t>
      </w:r>
      <w:r>
        <w:t>满足气体的除尘</w:t>
      </w:r>
      <w:r>
        <w:rPr>
          <w:rFonts w:hint="eastAsia" w:ascii="MS UI Gothic" w:eastAsia="MS UI Gothic"/>
          <w:w w:val="80"/>
        </w:rPr>
        <w:t xml:space="preserve">、 </w:t>
      </w:r>
      <w:r>
        <w:t>分液</w:t>
      </w:r>
      <w:r>
        <w:rPr>
          <w:rFonts w:hint="eastAsia" w:ascii="MS UI Gothic" w:eastAsia="MS UI Gothic"/>
          <w:w w:val="80"/>
        </w:rPr>
        <w:t xml:space="preserve">、 </w:t>
      </w:r>
      <w:r>
        <w:t>增压</w:t>
      </w:r>
      <w:r>
        <w:rPr>
          <w:rFonts w:hint="eastAsia" w:ascii="MS UI Gothic" w:eastAsia="MS UI Gothic"/>
          <w:w w:val="80"/>
        </w:rPr>
        <w:t xml:space="preserve">、 </w:t>
      </w:r>
      <w:r>
        <w:t>冷却和机组的启动</w:t>
      </w:r>
      <w:r>
        <w:rPr>
          <w:rFonts w:hint="eastAsia" w:ascii="MS UI Gothic" w:eastAsia="MS UI Gothic"/>
          <w:w w:val="80"/>
        </w:rPr>
        <w:t>、</w:t>
      </w:r>
      <w:r>
        <w:t>停机</w:t>
      </w:r>
      <w:r>
        <w:rPr>
          <w:rFonts w:hint="eastAsia" w:ascii="MS UI Gothic" w:eastAsia="MS UI Gothic"/>
          <w:w w:val="80"/>
        </w:rPr>
        <w:t xml:space="preserve">、 </w:t>
      </w:r>
      <w:r>
        <w:t>正常操作及安全保护等要求</w:t>
      </w:r>
      <w:r>
        <w:rPr>
          <w:rFonts w:hint="eastAsia" w:ascii="MS UI Gothic" w:eastAsia="MS UI Gothic"/>
          <w:w w:val="80"/>
        </w:rPr>
        <w:t>ꎮ</w:t>
      </w:r>
    </w:p>
    <w:p>
      <w:pPr>
        <w:pStyle w:val="6"/>
        <w:spacing w:line="295" w:lineRule="auto"/>
        <w:ind w:right="39"/>
        <w:jc w:val="left"/>
        <w:rPr>
          <w:rFonts w:hint="eastAsia" w:ascii="MS UI Gothic" w:eastAsia="MS UI Gothic"/>
        </w:rPr>
      </w:pPr>
      <w:r>
        <w:t>煤层气处理后应当符合压缩机组对气</w:t>
      </w:r>
      <w:r>
        <w:rPr>
          <w:w w:val="105"/>
        </w:rPr>
        <w:t>质的技术要求</w:t>
      </w:r>
      <w:r>
        <w:rPr>
          <w:rFonts w:hint="eastAsia" w:ascii="MS UI Gothic" w:eastAsia="MS UI Gothic"/>
          <w:w w:val="80"/>
        </w:rPr>
        <w:t>ꎮ</w:t>
      </w:r>
    </w:p>
    <w:p>
      <w:pPr>
        <w:pStyle w:val="6"/>
        <w:tabs>
          <w:tab w:val="left" w:pos="2220"/>
        </w:tabs>
        <w:spacing w:line="295" w:lineRule="auto"/>
        <w:ind w:right="39"/>
        <w:jc w:val="left"/>
        <w:rPr>
          <w:rFonts w:hint="eastAsia" w:ascii="MS UI Gothic" w:eastAsia="MS UI Gothic"/>
        </w:rPr>
      </w:pPr>
      <w:r>
        <w:rPr>
          <w:spacing w:val="3"/>
          <w:w w:val="105"/>
        </w:rPr>
        <w:t>第一百八十三</w:t>
      </w:r>
      <w:r>
        <w:rPr>
          <w:w w:val="105"/>
        </w:rPr>
        <w:t>条</w:t>
      </w:r>
      <w:r>
        <w:rPr>
          <w:w w:val="105"/>
        </w:rPr>
        <w:tab/>
      </w:r>
      <w:r>
        <w:rPr>
          <w:spacing w:val="3"/>
        </w:rPr>
        <w:t>压缩机应当符合</w:t>
      </w:r>
      <w:r>
        <w:rPr>
          <w:spacing w:val="-11"/>
        </w:rPr>
        <w:t>下</w:t>
      </w:r>
      <w:r>
        <w:rPr>
          <w:spacing w:val="3"/>
          <w:w w:val="110"/>
        </w:rPr>
        <w:t>列安全要求</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6"/>
          <w:w w:val="105"/>
        </w:rPr>
        <w:t xml:space="preserve">) </w:t>
      </w:r>
      <w:r>
        <w:rPr>
          <w:spacing w:val="5"/>
          <w:w w:val="105"/>
        </w:rPr>
        <w:t>压缩机组有紧急停车和安全保</w:t>
      </w:r>
      <w:r>
        <w:rPr>
          <w:spacing w:val="3"/>
          <w:w w:val="110"/>
        </w:rPr>
        <w:t>护联锁装置</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压缩机控制系统设置压力</w:t>
      </w:r>
      <w:r>
        <w:rPr>
          <w:rFonts w:hint="eastAsia" w:ascii="MS UI Gothic" w:eastAsia="MS UI Gothic"/>
          <w:w w:val="80"/>
        </w:rPr>
        <w:t xml:space="preserve">、  </w:t>
      </w:r>
      <w:r>
        <w:rPr>
          <w:w w:val="105"/>
        </w:rPr>
        <w:t>温度显示与保护联动装置</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压缩机前设置缓冲罐</w:t>
      </w:r>
      <w:r>
        <w:rPr>
          <w:rFonts w:hint="eastAsia" w:ascii="MS UI Gothic" w:eastAsia="MS UI Gothic"/>
          <w:w w:val="80"/>
        </w:rPr>
        <w:t>ꎻ</w:t>
      </w:r>
    </w:p>
    <w:p>
      <w:pPr>
        <w:pStyle w:val="6"/>
        <w:spacing w:before="47"/>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煤层气压缩机单排布置</w:t>
      </w:r>
      <w:r>
        <w:rPr>
          <w:rFonts w:hint="eastAsia" w:ascii="MS UI Gothic" w:eastAsia="MS UI Gothic"/>
          <w:w w:val="80"/>
        </w:rPr>
        <w:t>ꎻ</w:t>
      </w:r>
    </w:p>
    <w:p>
      <w:pPr>
        <w:pStyle w:val="6"/>
        <w:spacing w:before="58"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在高寒地区或者风沙地区压缩</w:t>
      </w:r>
      <w:r>
        <w:t>机组采用封闭式厂房</w:t>
      </w:r>
      <w:r>
        <w:rPr>
          <w:rFonts w:hint="eastAsia" w:ascii="MS UI Gothic" w:eastAsia="MS UI Gothic"/>
          <w:w w:val="80"/>
        </w:rPr>
        <w:t xml:space="preserve">ꎬ </w:t>
      </w:r>
      <w:r>
        <w:t>其他地区采用敞开</w:t>
      </w:r>
      <w:r>
        <w:rPr>
          <w:w w:val="105"/>
        </w:rPr>
        <w:t>式或者半敞开式厂房</w:t>
      </w:r>
      <w:r>
        <w:rPr>
          <w:rFonts w:hint="eastAsia" w:ascii="MS UI Gothic" w:eastAsia="MS UI Gothic"/>
          <w:w w:val="80"/>
        </w:rPr>
        <w:t>ꎮ</w:t>
      </w:r>
    </w:p>
    <w:p>
      <w:pPr>
        <w:pStyle w:val="6"/>
        <w:spacing w:line="295" w:lineRule="auto"/>
        <w:ind w:right="39"/>
        <w:rPr>
          <w:rFonts w:hint="eastAsia" w:ascii="MS UI Gothic" w:eastAsia="MS UI Gothic"/>
        </w:rPr>
      </w:pPr>
      <w:r>
        <w:t>第一百八十四条 新安装或者检修投运压缩机系统装置前</w:t>
      </w:r>
      <w:r>
        <w:rPr>
          <w:rFonts w:hint="eastAsia" w:ascii="MS UI Gothic" w:eastAsia="MS UI Gothic"/>
          <w:w w:val="80"/>
        </w:rPr>
        <w:t xml:space="preserve">ꎬ </w:t>
      </w:r>
      <w:r>
        <w:t>煤层气企业应当对机泵</w:t>
      </w:r>
      <w:r>
        <w:rPr>
          <w:rFonts w:hint="eastAsia" w:ascii="MS UI Gothic" w:eastAsia="MS UI Gothic"/>
          <w:w w:val="80"/>
        </w:rPr>
        <w:t xml:space="preserve">、 </w:t>
      </w:r>
      <w:r>
        <w:t>管线</w:t>
      </w:r>
      <w:r>
        <w:rPr>
          <w:rFonts w:hint="eastAsia" w:ascii="MS UI Gothic" w:eastAsia="MS UI Gothic"/>
          <w:w w:val="80"/>
        </w:rPr>
        <w:t xml:space="preserve">、 </w:t>
      </w:r>
      <w:r>
        <w:t>容器</w:t>
      </w:r>
      <w:r>
        <w:rPr>
          <w:rFonts w:hint="eastAsia" w:ascii="MS UI Gothic" w:eastAsia="MS UI Gothic"/>
          <w:w w:val="80"/>
        </w:rPr>
        <w:t xml:space="preserve">、 </w:t>
      </w:r>
      <w:r>
        <w:t>装置进行系统氮气置换</w:t>
      </w:r>
      <w:r>
        <w:rPr>
          <w:rFonts w:hint="eastAsia" w:ascii="MS UI Gothic" w:eastAsia="MS UI Gothic"/>
          <w:w w:val="80"/>
        </w:rPr>
        <w:t xml:space="preserve">ꎬ </w:t>
      </w:r>
      <w:r>
        <w:t>置换合格后方可投运</w:t>
      </w:r>
      <w:r>
        <w:rPr>
          <w:rFonts w:hint="eastAsia" w:ascii="MS UI Gothic" w:eastAsia="MS UI Gothic"/>
          <w:w w:val="80"/>
        </w:rPr>
        <w:t>ꎮ</w:t>
      </w:r>
    </w:p>
    <w:p>
      <w:pPr>
        <w:pStyle w:val="6"/>
        <w:spacing w:line="295" w:lineRule="auto"/>
        <w:ind w:right="39"/>
        <w:rPr>
          <w:rFonts w:hint="eastAsia" w:ascii="MS UI Gothic" w:eastAsia="MS UI Gothic"/>
        </w:rPr>
      </w:pPr>
      <w:r>
        <w:t>第一百八十五条 设置压缩机组的吸气</w:t>
      </w:r>
      <w:r>
        <w:rPr>
          <w:rFonts w:hint="eastAsia" w:ascii="MS UI Gothic" w:eastAsia="MS UI Gothic"/>
          <w:w w:val="80"/>
        </w:rPr>
        <w:t xml:space="preserve">、 </w:t>
      </w:r>
      <w:r>
        <w:t>排气和泄气管线时</w:t>
      </w:r>
      <w:r>
        <w:rPr>
          <w:rFonts w:hint="eastAsia" w:ascii="MS UI Gothic" w:eastAsia="MS UI Gothic"/>
          <w:w w:val="80"/>
        </w:rPr>
        <w:t xml:space="preserve">ꎬ </w:t>
      </w:r>
      <w:r>
        <w:t>应当避免管线的振动对建筑物造成有害影响</w:t>
      </w:r>
      <w:r>
        <w:rPr>
          <w:rFonts w:hint="eastAsia" w:ascii="MS UI Gothic" w:eastAsia="MS UI Gothic"/>
          <w:w w:val="80"/>
        </w:rPr>
        <w:t xml:space="preserve">ꎻ </w:t>
      </w:r>
      <w:r>
        <w:t>应当有防止空气进入吸气管线的措施</w:t>
      </w:r>
      <w:r>
        <w:rPr>
          <w:rFonts w:hint="eastAsia" w:ascii="MS UI Gothic" w:eastAsia="MS UI Gothic"/>
          <w:w w:val="80"/>
        </w:rPr>
        <w:t xml:space="preserve">ꎬ </w:t>
      </w:r>
      <w:r>
        <w:t>必要时高压排出管线应当设单向阀</w:t>
      </w:r>
      <w:r>
        <w:rPr>
          <w:rFonts w:hint="eastAsia" w:ascii="MS UI Gothic" w:eastAsia="MS UI Gothic"/>
          <w:w w:val="80"/>
        </w:rPr>
        <w:t>ꎮ</w:t>
      </w:r>
    </w:p>
    <w:p>
      <w:pPr>
        <w:pStyle w:val="6"/>
        <w:spacing w:line="295" w:lineRule="auto"/>
        <w:ind w:right="39"/>
        <w:rPr>
          <w:rFonts w:hint="eastAsia" w:ascii="MS UI Gothic" w:hAnsi="MS UI Gothic" w:eastAsia="MS UI Gothic"/>
        </w:rPr>
      </w:pPr>
      <w:r>
        <w:rPr>
          <w:w w:val="105"/>
        </w:rPr>
        <w:t xml:space="preserve">第一百八十六条 压缩机与站内其他建 </w:t>
      </w:r>
      <w:r>
        <w:rPr>
          <w:rFonts w:hint="eastAsia" w:ascii="MS UI Gothic" w:hAnsi="MS UI Gothic" w:eastAsia="MS UI Gothic"/>
          <w:w w:val="150"/>
        </w:rPr>
        <w:t xml:space="preserve">( </w:t>
      </w:r>
      <w:r>
        <w:rPr>
          <w:w w:val="105"/>
        </w:rPr>
        <w:t>构</w:t>
      </w:r>
      <w:r>
        <w:rPr>
          <w:rFonts w:hint="eastAsia" w:ascii="MS UI Gothic" w:hAnsi="MS UI Gothic" w:eastAsia="MS UI Gothic"/>
          <w:w w:val="150"/>
        </w:rPr>
        <w:t xml:space="preserve">) </w:t>
      </w:r>
      <w:r>
        <w:rPr>
          <w:w w:val="105"/>
        </w:rPr>
        <w:t xml:space="preserve">筑物的防火间距应当符合 </w:t>
      </w:r>
      <w:r>
        <w:rPr>
          <w:rFonts w:hint="eastAsia" w:ascii="MS UI Gothic" w:hAnsi="MS UI Gothic" w:eastAsia="MS UI Gothic"/>
          <w:w w:val="80"/>
        </w:rPr>
        <w:t xml:space="preserve">« </w:t>
      </w:r>
      <w:r>
        <w:rPr>
          <w:w w:val="105"/>
        </w:rPr>
        <w:t>石油天然气工程设计防火规范</w:t>
      </w:r>
      <w:r>
        <w:rPr>
          <w:rFonts w:hint="eastAsia" w:ascii="MS UI Gothic" w:hAnsi="MS UI Gothic" w:eastAsia="MS UI Gothic"/>
          <w:w w:val="80"/>
        </w:rPr>
        <w:t xml:space="preserve">» </w:t>
      </w:r>
      <w:r>
        <w:rPr>
          <w:w w:val="105"/>
        </w:rPr>
        <w:t>的规定</w:t>
      </w:r>
      <w:r>
        <w:rPr>
          <w:rFonts w:hint="eastAsia" w:ascii="MS UI Gothic" w:hAnsi="MS UI Gothic" w:eastAsia="MS UI Gothic"/>
          <w:w w:val="80"/>
        </w:rPr>
        <w:t>ꎮ</w:t>
      </w:r>
    </w:p>
    <w:p>
      <w:pPr>
        <w:pStyle w:val="6"/>
        <w:spacing w:line="295" w:lineRule="auto"/>
        <w:ind w:right="39"/>
        <w:rPr>
          <w:rFonts w:hint="eastAsia" w:ascii="MS UI Gothic" w:eastAsia="MS UI Gothic"/>
        </w:rPr>
      </w:pPr>
      <w:r>
        <w:rPr>
          <w:w w:val="105"/>
        </w:rPr>
        <w:t>第一百八十七条 压缩机组运行时应</w:t>
      </w:r>
      <w:r>
        <w:rPr>
          <w:w w:val="110"/>
        </w:rPr>
        <w:t>当符合下列安全保护要求</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压缩机级间设置安全阀</w:t>
      </w:r>
      <w:r>
        <w:rPr>
          <w:rFonts w:hint="eastAsia" w:ascii="MS UI Gothic" w:eastAsia="MS UI Gothic"/>
          <w:w w:val="80"/>
        </w:rPr>
        <w:t xml:space="preserve">ꎬ </w:t>
      </w:r>
      <w:r>
        <w:rPr>
          <w:w w:val="105"/>
        </w:rPr>
        <w:t>安全</w:t>
      </w:r>
      <w:r>
        <w:t>阀的泄放能力不得小于压缩机的安全泄</w:t>
      </w:r>
      <w:r>
        <w:rPr>
          <w:w w:val="105"/>
        </w:rPr>
        <w:t>放量</w:t>
      </w:r>
      <w:r>
        <w:rPr>
          <w:rFonts w:hint="eastAsia" w:ascii="MS UI Gothic" w:eastAsia="MS UI Gothic"/>
          <w:w w:val="80"/>
        </w:rPr>
        <w:t>ꎻ</w:t>
      </w:r>
    </w:p>
    <w:p>
      <w:pPr>
        <w:pStyle w:val="6"/>
        <w:spacing w:line="254" w:lineRule="exact"/>
        <w:ind w:left="543" w:firstLine="0"/>
      </w:pPr>
      <w:r>
        <w:rPr>
          <w:rFonts w:hint="eastAsia" w:ascii="MS UI Gothic" w:eastAsia="MS UI Gothic"/>
          <w:spacing w:val="-41"/>
          <w:w w:val="150"/>
        </w:rPr>
        <w:t xml:space="preserve">( </w:t>
      </w:r>
      <w:r>
        <w:rPr>
          <w:spacing w:val="3"/>
          <w:w w:val="110"/>
        </w:rPr>
        <w:t>二</w:t>
      </w:r>
      <w:r>
        <w:rPr>
          <w:rFonts w:hint="eastAsia" w:ascii="MS UI Gothic" w:eastAsia="MS UI Gothic"/>
          <w:spacing w:val="-14"/>
          <w:w w:val="150"/>
        </w:rPr>
        <w:t xml:space="preserve">) </w:t>
      </w:r>
      <w:r>
        <w:rPr>
          <w:spacing w:val="4"/>
          <w:w w:val="110"/>
        </w:rPr>
        <w:t>压缩机进</w:t>
      </w:r>
      <w:r>
        <w:rPr>
          <w:rFonts w:hint="eastAsia" w:ascii="MS UI Gothic" w:eastAsia="MS UI Gothic"/>
          <w:spacing w:val="-2"/>
        </w:rPr>
        <w:t xml:space="preserve">、 </w:t>
      </w:r>
      <w:r>
        <w:rPr>
          <w:spacing w:val="11"/>
          <w:w w:val="110"/>
        </w:rPr>
        <w:t>出口设置高</w:t>
      </w:r>
      <w:r>
        <w:rPr>
          <w:rFonts w:hint="eastAsia" w:ascii="MS UI Gothic" w:eastAsia="MS UI Gothic"/>
          <w:spacing w:val="-2"/>
        </w:rPr>
        <w:t xml:space="preserve">、 </w:t>
      </w:r>
      <w:r>
        <w:rPr>
          <w:spacing w:val="6"/>
          <w:w w:val="110"/>
        </w:rPr>
        <w:t>低压</w:t>
      </w:r>
    </w:p>
    <w:p>
      <w:pPr>
        <w:pStyle w:val="6"/>
        <w:spacing w:before="123" w:line="295" w:lineRule="auto"/>
        <w:ind w:right="442" w:firstLine="0"/>
        <w:rPr>
          <w:rFonts w:hint="eastAsia" w:ascii="MS UI Gothic" w:eastAsia="MS UI Gothic"/>
        </w:rPr>
      </w:pPr>
      <w:r>
        <w:br w:type="column"/>
      </w:r>
      <w:r>
        <w:t>报警和停机装置</w:t>
      </w:r>
      <w:r>
        <w:rPr>
          <w:rFonts w:hint="eastAsia" w:ascii="MS UI Gothic" w:eastAsia="MS UI Gothic"/>
          <w:w w:val="80"/>
        </w:rPr>
        <w:t xml:space="preserve">ꎬ </w:t>
      </w:r>
      <w:r>
        <w:t>冷却系统设置温度报警及停车装置</w:t>
      </w:r>
      <w:r>
        <w:rPr>
          <w:rFonts w:hint="eastAsia" w:ascii="MS UI Gothic" w:eastAsia="MS UI Gothic"/>
          <w:w w:val="80"/>
        </w:rPr>
        <w:t xml:space="preserve">ꎬ </w:t>
      </w:r>
      <w:r>
        <w:t>润滑油系统设置低压报警及停机装置</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第一百八十八条 压缩机气液处理应</w:t>
      </w:r>
      <w:r>
        <w:rPr>
          <w:w w:val="110"/>
        </w:rPr>
        <w:t>当符合下列要求</w:t>
      </w:r>
      <w:r>
        <w:rPr>
          <w:rFonts w:hint="eastAsia" w:ascii="MS UI Gothic" w:eastAsia="MS UI Gothic"/>
          <w:w w:val="235"/>
        </w:rPr>
        <w:t>:</w:t>
      </w:r>
    </w:p>
    <w:p>
      <w:pPr>
        <w:pStyle w:val="6"/>
        <w:spacing w:line="295" w:lineRule="auto"/>
        <w:ind w:right="442"/>
        <w:jc w:val="left"/>
        <w:rPr>
          <w:rFonts w:hint="eastAsia" w:ascii="MS UI Gothic" w:eastAsia="MS UI Gothic"/>
        </w:rPr>
      </w:pPr>
      <w:r>
        <w:rPr>
          <w:rFonts w:hint="eastAsia" w:ascii="MS UI Gothic" w:eastAsia="MS UI Gothic"/>
          <w:w w:val="120"/>
        </w:rPr>
        <w:t xml:space="preserve">( </w:t>
      </w:r>
      <w:r>
        <w:rPr>
          <w:w w:val="110"/>
        </w:rPr>
        <w:t>一</w:t>
      </w:r>
      <w:r>
        <w:rPr>
          <w:rFonts w:hint="eastAsia" w:ascii="MS UI Gothic" w:eastAsia="MS UI Gothic"/>
          <w:w w:val="120"/>
        </w:rPr>
        <w:t xml:space="preserve">) </w:t>
      </w:r>
      <w:r>
        <w:rPr>
          <w:w w:val="110"/>
        </w:rPr>
        <w:t>压缩机的卸载排气不得对外放散</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spacing w:val="-21"/>
          <w:w w:val="105"/>
        </w:rPr>
        <w:t xml:space="preserve">( </w:t>
      </w:r>
      <w:r>
        <w:rPr>
          <w:spacing w:val="3"/>
          <w:w w:val="105"/>
        </w:rPr>
        <w:t>二</w:t>
      </w:r>
      <w:r>
        <w:rPr>
          <w:rFonts w:hint="eastAsia" w:ascii="MS UI Gothic" w:eastAsia="MS UI Gothic"/>
          <w:spacing w:val="5"/>
          <w:w w:val="105"/>
        </w:rPr>
        <w:t xml:space="preserve">) </w:t>
      </w:r>
      <w:r>
        <w:rPr>
          <w:spacing w:val="5"/>
          <w:w w:val="105"/>
        </w:rPr>
        <w:t>回收气可以输送至压缩机进口</w:t>
      </w:r>
      <w:r>
        <w:rPr>
          <w:spacing w:val="3"/>
          <w:w w:val="110"/>
        </w:rPr>
        <w:t>缓冲罐</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对压缩机排出的冷凝液进行集</w:t>
      </w:r>
      <w:r>
        <w:rPr>
          <w:spacing w:val="3"/>
          <w:w w:val="110"/>
        </w:rPr>
        <w:t>中处理</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第一百八十九条 压缩煤层气储气设</w:t>
      </w:r>
      <w:r>
        <w:rPr>
          <w:w w:val="110"/>
        </w:rPr>
        <w:t>备应当符合下列安全要求</w:t>
      </w:r>
      <w:r>
        <w:rPr>
          <w:rFonts w:hint="eastAsia" w:ascii="MS UI Gothic" w:eastAsia="MS UI Gothic"/>
          <w:w w:val="235"/>
        </w:rPr>
        <w:t>:</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储气瓶符合国家有关安全规定</w:t>
      </w:r>
      <w:r>
        <w:rPr>
          <w:w w:val="110"/>
        </w:rPr>
        <w:t>和标准</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储气井的设计</w:t>
      </w:r>
      <w:r>
        <w:rPr>
          <w:rFonts w:hint="eastAsia" w:ascii="MS UI Gothic" w:eastAsia="MS UI Gothic"/>
          <w:w w:val="80"/>
        </w:rPr>
        <w:t xml:space="preserve">、 </w:t>
      </w:r>
      <w:r>
        <w:rPr>
          <w:w w:val="105"/>
        </w:rPr>
        <w:t>建造和检验符</w:t>
      </w:r>
      <w:r>
        <w:t>合国家有关高压气地下储气井标准的</w:t>
      </w:r>
      <w:r>
        <w:rPr>
          <w:w w:val="105"/>
        </w:rPr>
        <w:t>规定</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储气瓶组或者储气井与站内汽</w:t>
      </w:r>
      <w:r>
        <w:t>车通道相邻一侧</w:t>
      </w:r>
      <w:r>
        <w:rPr>
          <w:rFonts w:hint="eastAsia" w:ascii="MS UI Gothic" w:eastAsia="MS UI Gothic"/>
          <w:w w:val="80"/>
        </w:rPr>
        <w:t xml:space="preserve">ꎬ </w:t>
      </w:r>
      <w:r>
        <w:t>设置安全防撞拦或者采</w:t>
      </w:r>
      <w:r>
        <w:rPr>
          <w:w w:val="105"/>
        </w:rPr>
        <w:t>取其他防撞设施</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spacing w:val="-39"/>
          <w:w w:val="150"/>
        </w:rPr>
        <w:t xml:space="preserve">( </w:t>
      </w:r>
      <w:r>
        <w:rPr>
          <w:spacing w:val="3"/>
          <w:w w:val="110"/>
        </w:rPr>
        <w:t>四</w:t>
      </w:r>
      <w:r>
        <w:rPr>
          <w:rFonts w:hint="eastAsia" w:ascii="MS UI Gothic" w:eastAsia="MS UI Gothic"/>
          <w:spacing w:val="-1"/>
          <w:w w:val="150"/>
        </w:rPr>
        <w:t xml:space="preserve">) </w:t>
      </w:r>
      <w:r>
        <w:rPr>
          <w:spacing w:val="-6"/>
          <w:w w:val="110"/>
        </w:rPr>
        <w:t xml:space="preserve">储气瓶组 </w:t>
      </w:r>
      <w:r>
        <w:rPr>
          <w:rFonts w:hint="eastAsia" w:ascii="MS UI Gothic" w:eastAsia="MS UI Gothic"/>
          <w:spacing w:val="-39"/>
          <w:w w:val="150"/>
        </w:rPr>
        <w:t xml:space="preserve">( </w:t>
      </w:r>
      <w:r>
        <w:rPr>
          <w:spacing w:val="5"/>
          <w:w w:val="110"/>
        </w:rPr>
        <w:t>储气井</w:t>
      </w:r>
      <w:r>
        <w:rPr>
          <w:rFonts w:hint="eastAsia" w:ascii="MS UI Gothic" w:eastAsia="MS UI Gothic"/>
          <w:w w:val="150"/>
        </w:rPr>
        <w:t xml:space="preserve">) </w:t>
      </w:r>
      <w:r>
        <w:rPr>
          <w:spacing w:val="6"/>
          <w:w w:val="110"/>
        </w:rPr>
        <w:t>进气总管</w:t>
      </w:r>
      <w:r>
        <w:rPr>
          <w:spacing w:val="3"/>
          <w:w w:val="105"/>
        </w:rPr>
        <w:t>上设置安全阀及紧急放空管</w:t>
      </w:r>
      <w:r>
        <w:rPr>
          <w:rFonts w:hint="eastAsia" w:ascii="MS UI Gothic" w:eastAsia="MS UI Gothic"/>
          <w:w w:val="80"/>
        </w:rPr>
        <w:t xml:space="preserve">、 </w:t>
      </w:r>
      <w:r>
        <w:rPr>
          <w:spacing w:val="3"/>
          <w:w w:val="105"/>
        </w:rPr>
        <w:t>压力表</w:t>
      </w:r>
      <w:r>
        <w:rPr>
          <w:rFonts w:hint="eastAsia" w:ascii="MS UI Gothic" w:eastAsia="MS UI Gothic"/>
          <w:w w:val="80"/>
        </w:rPr>
        <w:t xml:space="preserve">ꎻ </w:t>
      </w:r>
      <w:r>
        <w:rPr>
          <w:w w:val="105"/>
        </w:rPr>
        <w:t>每</w:t>
      </w:r>
      <w:r>
        <w:rPr>
          <w:spacing w:val="-4"/>
          <w:w w:val="110"/>
        </w:rPr>
        <w:t xml:space="preserve">个储气瓶 </w:t>
      </w:r>
      <w:r>
        <w:rPr>
          <w:rFonts w:hint="eastAsia" w:ascii="MS UI Gothic" w:eastAsia="MS UI Gothic"/>
          <w:spacing w:val="-38"/>
          <w:w w:val="150"/>
        </w:rPr>
        <w:t xml:space="preserve">( </w:t>
      </w:r>
      <w:r>
        <w:rPr>
          <w:spacing w:val="3"/>
          <w:w w:val="110"/>
        </w:rPr>
        <w:t>井</w:t>
      </w:r>
      <w:r>
        <w:rPr>
          <w:rFonts w:hint="eastAsia" w:ascii="MS UI Gothic" w:eastAsia="MS UI Gothic"/>
          <w:spacing w:val="4"/>
          <w:w w:val="150"/>
        </w:rPr>
        <w:t xml:space="preserve">) </w:t>
      </w:r>
      <w:r>
        <w:rPr>
          <w:spacing w:val="3"/>
          <w:w w:val="110"/>
        </w:rPr>
        <w:t>出口设置截止阀</w:t>
      </w:r>
      <w:r>
        <w:rPr>
          <w:rFonts w:hint="eastAsia" w:ascii="MS UI Gothic" w:eastAsia="MS UI Gothic"/>
          <w:w w:val="80"/>
        </w:rPr>
        <w:t>ꎮ</w:t>
      </w:r>
    </w:p>
    <w:p>
      <w:pPr>
        <w:pStyle w:val="6"/>
        <w:spacing w:line="295" w:lineRule="auto"/>
        <w:ind w:right="440"/>
        <w:rPr>
          <w:rFonts w:hint="eastAsia" w:ascii="MS UI Gothic" w:eastAsia="MS UI Gothic"/>
        </w:rPr>
      </w:pPr>
      <w:r>
        <w:rPr>
          <w:spacing w:val="23"/>
          <w:w w:val="105"/>
        </w:rPr>
        <w:t>第一百九十条  煤层气压力储罐</w:t>
      </w:r>
      <w:r>
        <w:rPr>
          <w:rFonts w:hint="eastAsia" w:ascii="MS UI Gothic" w:eastAsia="MS UI Gothic"/>
          <w:spacing w:val="-24"/>
          <w:w w:val="145"/>
        </w:rPr>
        <w:t xml:space="preserve">( </w:t>
      </w:r>
      <w:r>
        <w:rPr>
          <w:spacing w:val="3"/>
          <w:w w:val="105"/>
        </w:rPr>
        <w:t>球罐</w:t>
      </w:r>
      <w:r>
        <w:rPr>
          <w:rFonts w:hint="eastAsia" w:ascii="MS UI Gothic" w:eastAsia="MS UI Gothic"/>
          <w:spacing w:val="20"/>
          <w:w w:val="85"/>
        </w:rPr>
        <w:t xml:space="preserve">、 </w:t>
      </w:r>
      <w:r>
        <w:rPr>
          <w:spacing w:val="6"/>
          <w:w w:val="105"/>
        </w:rPr>
        <w:t>卧式罐</w:t>
      </w:r>
      <w:r>
        <w:rPr>
          <w:rFonts w:hint="eastAsia" w:ascii="MS UI Gothic" w:eastAsia="MS UI Gothic"/>
          <w:spacing w:val="12"/>
          <w:w w:val="145"/>
        </w:rPr>
        <w:t xml:space="preserve">) </w:t>
      </w:r>
      <w:r>
        <w:rPr>
          <w:spacing w:val="8"/>
          <w:w w:val="105"/>
        </w:rPr>
        <w:t>应当安装紧急放空</w:t>
      </w:r>
      <w:r>
        <w:rPr>
          <w:rFonts w:hint="eastAsia" w:ascii="MS UI Gothic" w:eastAsia="MS UI Gothic"/>
          <w:spacing w:val="22"/>
          <w:w w:val="85"/>
        </w:rPr>
        <w:t xml:space="preserve">、 </w:t>
      </w:r>
      <w:r>
        <w:rPr>
          <w:w w:val="105"/>
        </w:rPr>
        <w:t>安</w:t>
      </w:r>
      <w:r>
        <w:rPr>
          <w:spacing w:val="27"/>
        </w:rPr>
        <w:t>全泄压设施及压力仪表</w:t>
      </w:r>
      <w:r>
        <w:rPr>
          <w:rFonts w:hint="eastAsia" w:ascii="MS UI Gothic" w:eastAsia="MS UI Gothic"/>
          <w:spacing w:val="19"/>
          <w:w w:val="85"/>
        </w:rPr>
        <w:t xml:space="preserve">ꎮ </w:t>
      </w:r>
      <w:r>
        <w:rPr>
          <w:spacing w:val="28"/>
        </w:rPr>
        <w:t>煤层气储罐</w:t>
      </w:r>
      <w:r>
        <w:rPr>
          <w:rFonts w:hint="eastAsia" w:ascii="MS UI Gothic" w:eastAsia="MS UI Gothic"/>
          <w:spacing w:val="-24"/>
          <w:w w:val="145"/>
        </w:rPr>
        <w:t xml:space="preserve">( </w:t>
      </w:r>
      <w:r>
        <w:rPr>
          <w:spacing w:val="3"/>
          <w:w w:val="105"/>
        </w:rPr>
        <w:t>柜</w:t>
      </w:r>
      <w:r>
        <w:rPr>
          <w:rFonts w:hint="eastAsia" w:ascii="MS UI Gothic" w:eastAsia="MS UI Gothic"/>
          <w:spacing w:val="2"/>
          <w:w w:val="145"/>
        </w:rPr>
        <w:t xml:space="preserve">) </w:t>
      </w:r>
      <w:r>
        <w:rPr>
          <w:spacing w:val="15"/>
          <w:w w:val="105"/>
        </w:rPr>
        <w:t>检修动火时</w:t>
      </w:r>
      <w:r>
        <w:rPr>
          <w:rFonts w:hint="eastAsia" w:ascii="MS UI Gothic" w:eastAsia="MS UI Gothic"/>
          <w:spacing w:val="16"/>
          <w:w w:val="85"/>
        </w:rPr>
        <w:t xml:space="preserve">ꎬ </w:t>
      </w:r>
      <w:r>
        <w:rPr>
          <w:spacing w:val="15"/>
          <w:w w:val="105"/>
        </w:rPr>
        <w:t>应当经放空</w:t>
      </w:r>
      <w:r>
        <w:rPr>
          <w:rFonts w:hint="eastAsia" w:ascii="MS UI Gothic" w:eastAsia="MS UI Gothic"/>
          <w:spacing w:val="16"/>
          <w:w w:val="85"/>
        </w:rPr>
        <w:t xml:space="preserve">、 </w:t>
      </w:r>
      <w:r>
        <w:rPr>
          <w:spacing w:val="12"/>
          <w:w w:val="105"/>
        </w:rPr>
        <w:t>清洗</w:t>
      </w:r>
      <w:r>
        <w:rPr>
          <w:rFonts w:hint="eastAsia" w:ascii="MS UI Gothic" w:eastAsia="MS UI Gothic"/>
          <w:w w:val="85"/>
        </w:rPr>
        <w:t>、</w:t>
      </w:r>
      <w:r>
        <w:rPr>
          <w:spacing w:val="4"/>
          <w:w w:val="105"/>
        </w:rPr>
        <w:t>强制通风</w:t>
      </w:r>
      <w:r>
        <w:rPr>
          <w:rFonts w:hint="eastAsia" w:ascii="MS UI Gothic" w:eastAsia="MS UI Gothic"/>
          <w:spacing w:val="8"/>
          <w:w w:val="85"/>
        </w:rPr>
        <w:t xml:space="preserve">ꎬ </w:t>
      </w:r>
      <w:r>
        <w:rPr>
          <w:spacing w:val="12"/>
          <w:w w:val="105"/>
        </w:rPr>
        <w:t xml:space="preserve">并检验气体中甲烷浓度 </w:t>
      </w:r>
      <w:r>
        <w:rPr>
          <w:rFonts w:hint="eastAsia" w:ascii="MS UI Gothic" w:eastAsia="MS UI Gothic"/>
          <w:spacing w:val="-35"/>
          <w:w w:val="145"/>
        </w:rPr>
        <w:t xml:space="preserve">( </w:t>
      </w:r>
      <w:r>
        <w:rPr>
          <w:w w:val="105"/>
        </w:rPr>
        <w:t>低</w:t>
      </w:r>
      <w:r>
        <w:rPr>
          <w:spacing w:val="-29"/>
          <w:w w:val="105"/>
        </w:rPr>
        <w:t xml:space="preserve">于 </w:t>
      </w:r>
      <w:r>
        <w:rPr>
          <w:rFonts w:hint="eastAsia" w:ascii="MS UI Gothic" w:eastAsia="MS UI Gothic"/>
          <w:w w:val="85"/>
        </w:rPr>
        <w:t>０</w:t>
      </w:r>
      <w:r>
        <w:rPr>
          <w:rFonts w:hint="eastAsia" w:ascii="MS UI Gothic" w:eastAsia="MS UI Gothic"/>
          <w:spacing w:val="-1"/>
          <w:w w:val="85"/>
        </w:rPr>
        <w:t xml:space="preserve"> ５</w:t>
      </w:r>
      <w:r>
        <w:rPr>
          <w:spacing w:val="-25"/>
          <w:w w:val="85"/>
        </w:rPr>
        <w:t xml:space="preserve">％ </w:t>
      </w:r>
      <w:r>
        <w:rPr>
          <w:spacing w:val="3"/>
          <w:w w:val="105"/>
        </w:rPr>
        <w:t>为合格</w:t>
      </w:r>
      <w:r>
        <w:rPr>
          <w:rFonts w:hint="eastAsia" w:ascii="MS UI Gothic" w:eastAsia="MS UI Gothic"/>
          <w:spacing w:val="-35"/>
          <w:w w:val="145"/>
        </w:rPr>
        <w:t xml:space="preserve">) </w:t>
      </w:r>
      <w:r>
        <w:rPr>
          <w:rFonts w:hint="eastAsia" w:ascii="MS UI Gothic" w:eastAsia="MS UI Gothic"/>
          <w:w w:val="85"/>
        </w:rPr>
        <w:t>ꎮ</w:t>
      </w:r>
    </w:p>
    <w:p>
      <w:pPr>
        <w:pStyle w:val="6"/>
        <w:spacing w:line="295" w:lineRule="auto"/>
        <w:ind w:right="442"/>
        <w:rPr>
          <w:rFonts w:hint="eastAsia" w:ascii="MS UI Gothic" w:eastAsia="MS UI Gothic"/>
        </w:rPr>
      </w:pPr>
      <w:r>
        <w:rPr>
          <w:w w:val="105"/>
        </w:rPr>
        <w:t>第一百九十一条 煤层气企业应当对</w:t>
      </w:r>
      <w:r>
        <w:t>煤层气储罐定期检测</w:t>
      </w:r>
      <w:r>
        <w:rPr>
          <w:rFonts w:hint="eastAsia" w:ascii="MS UI Gothic" w:eastAsia="MS UI Gothic"/>
          <w:w w:val="80"/>
        </w:rPr>
        <w:t xml:space="preserve">ꎮ </w:t>
      </w:r>
      <w:r>
        <w:t>煤层气储罐区应当</w:t>
      </w:r>
      <w:r>
        <w:rPr>
          <w:w w:val="105"/>
        </w:rPr>
        <w:t>有明显的安全警示标志</w:t>
      </w:r>
      <w:r>
        <w:rPr>
          <w:rFonts w:hint="eastAsia" w:ascii="MS UI Gothic" w:eastAsia="MS UI Gothic"/>
          <w:w w:val="80"/>
        </w:rPr>
        <w:t>ꎮ</w:t>
      </w:r>
    </w:p>
    <w:p>
      <w:pPr>
        <w:pStyle w:val="6"/>
        <w:spacing w:line="295" w:lineRule="auto"/>
        <w:ind w:right="442"/>
        <w:rPr>
          <w:rFonts w:hint="eastAsia" w:ascii="MS UI Gothic" w:eastAsia="MS UI Gothic"/>
        </w:rPr>
      </w:pPr>
      <w:r>
        <w:t>第一百九十二条 固定式储罐应当有喷淋水或者遮阳设施</w:t>
      </w:r>
      <w:r>
        <w:rPr>
          <w:rFonts w:hint="eastAsia" w:ascii="MS UI Gothic" w:eastAsia="MS UI Gothic"/>
          <w:w w:val="80"/>
        </w:rPr>
        <w:t xml:space="preserve">ꎮ </w:t>
      </w:r>
      <w:r>
        <w:t>冬季应当有保温防冻措施</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第一百九十三条 压缩煤层气加气机</w:t>
      </w:r>
      <w:r>
        <w:t>不得设在室内</w:t>
      </w:r>
      <w:r>
        <w:rPr>
          <w:rFonts w:hint="eastAsia" w:ascii="MS UI Gothic" w:eastAsia="MS UI Gothic"/>
          <w:w w:val="80"/>
        </w:rPr>
        <w:t xml:space="preserve">ꎬ </w:t>
      </w:r>
      <w:r>
        <w:t>加气机附近应当设置防撞</w:t>
      </w:r>
      <w:r>
        <w:rPr>
          <w:w w:val="105"/>
        </w:rPr>
        <w:t xml:space="preserve">柱 </w:t>
      </w:r>
      <w:r>
        <w:rPr>
          <w:rFonts w:hint="eastAsia" w:ascii="MS UI Gothic" w:eastAsia="MS UI Gothic"/>
          <w:w w:val="150"/>
        </w:rPr>
        <w:t xml:space="preserve">( </w:t>
      </w:r>
      <w:r>
        <w:rPr>
          <w:w w:val="105"/>
        </w:rPr>
        <w:t>栏</w:t>
      </w:r>
      <w:r>
        <w:rPr>
          <w:rFonts w:hint="eastAsia" w:ascii="MS UI Gothic" w:eastAsia="MS UI Gothic"/>
          <w:w w:val="150"/>
        </w:rPr>
        <w:t xml:space="preserve">) </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３６９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15" o:spid="_x0000_s2115" o:spt="203" style="height:2.15pt;width:398.25pt;" coordsize="7965,43">
            <o:lock v:ext="edit"/>
            <v:line id="_x0000_s2116" o:spid="_x0000_s2116" o:spt="20" style="position:absolute;left:0;top:39;height:0;width:7965;" stroked="t" coordsize="21600,21600">
              <v:path arrowok="t"/>
              <v:fill focussize="0,0"/>
              <v:stroke weight="0.388031496062992pt" color="#231F20"/>
              <v:imagedata o:title=""/>
              <o:lock v:ext="edit"/>
            </v:line>
            <v:line id="_x0000_s2117" o:spid="_x0000_s211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jc w:val="left"/>
        <w:rPr>
          <w:rFonts w:hint="eastAsia" w:ascii="MS UI Gothic" w:eastAsia="MS UI Gothic"/>
        </w:rPr>
      </w:pPr>
      <w:r>
        <w:t>在寒冷地区应当选用适合当地环境温</w:t>
      </w:r>
      <w:r>
        <w:rPr>
          <w:w w:val="105"/>
        </w:rPr>
        <w:t>度条件的加气机</w:t>
      </w:r>
      <w:r>
        <w:rPr>
          <w:rFonts w:hint="eastAsia" w:ascii="MS UI Gothic" w:eastAsia="MS UI Gothic"/>
          <w:w w:val="80"/>
        </w:rPr>
        <w:t>ꎮ</w:t>
      </w:r>
    </w:p>
    <w:p>
      <w:pPr>
        <w:pStyle w:val="6"/>
        <w:spacing w:line="295" w:lineRule="auto"/>
        <w:ind w:left="440"/>
        <w:rPr>
          <w:rFonts w:hint="eastAsia" w:ascii="MS UI Gothic" w:eastAsia="MS UI Gothic"/>
        </w:rPr>
      </w:pPr>
      <w:r>
        <w:t>第一百九十四条 加气机的加气软管及软管接头应当选用具有抗腐蚀性能的材料</w:t>
      </w:r>
      <w:r>
        <w:rPr>
          <w:rFonts w:hint="eastAsia" w:ascii="MS UI Gothic" w:eastAsia="MS UI Gothic"/>
          <w:w w:val="80"/>
        </w:rPr>
        <w:t xml:space="preserve">ꎮ </w:t>
      </w:r>
      <w:r>
        <w:t>加气软管上应当设置拉断阀</w:t>
      </w:r>
      <w:r>
        <w:rPr>
          <w:rFonts w:hint="eastAsia" w:ascii="MS UI Gothic" w:eastAsia="MS UI Gothic"/>
          <w:w w:val="80"/>
        </w:rPr>
        <w:t xml:space="preserve">ꎬ </w:t>
      </w:r>
      <w:r>
        <w:t>拉断阀在外力作用下分开后</w:t>
      </w:r>
      <w:r>
        <w:rPr>
          <w:rFonts w:hint="eastAsia" w:ascii="MS UI Gothic" w:eastAsia="MS UI Gothic"/>
          <w:w w:val="80"/>
        </w:rPr>
        <w:t xml:space="preserve">ꎬ </w:t>
      </w:r>
      <w:r>
        <w:t>两端应当自行密封</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第一百九十五条 进站管线上应当设</w:t>
      </w:r>
      <w:r>
        <w:t>置紧急截断阀</w:t>
      </w:r>
      <w:r>
        <w:rPr>
          <w:rFonts w:hint="eastAsia" w:ascii="MS UI Gothic" w:eastAsia="MS UI Gothic"/>
          <w:w w:val="80"/>
        </w:rPr>
        <w:t xml:space="preserve">ꎬ </w:t>
      </w:r>
      <w:r>
        <w:t>手动紧急截断阀的位置应当便于发生事故时及时切断气源</w:t>
      </w:r>
      <w:r>
        <w:rPr>
          <w:rFonts w:hint="eastAsia" w:ascii="MS UI Gothic" w:eastAsia="MS UI Gothic"/>
          <w:w w:val="80"/>
        </w:rPr>
        <w:t xml:space="preserve">ꎮ </w:t>
      </w:r>
      <w:r>
        <w:t>储气瓶</w:t>
      </w:r>
      <w:r>
        <w:rPr>
          <w:w w:val="105"/>
        </w:rPr>
        <w:t xml:space="preserve">组 </w:t>
      </w:r>
      <w:r>
        <w:rPr>
          <w:rFonts w:hint="eastAsia" w:ascii="MS UI Gothic" w:eastAsia="MS UI Gothic"/>
          <w:w w:val="150"/>
        </w:rPr>
        <w:t xml:space="preserve">( </w:t>
      </w:r>
      <w:r>
        <w:rPr>
          <w:w w:val="105"/>
        </w:rPr>
        <w:t>储气井</w:t>
      </w:r>
      <w:r>
        <w:rPr>
          <w:rFonts w:hint="eastAsia" w:ascii="MS UI Gothic" w:eastAsia="MS UI Gothic"/>
          <w:w w:val="150"/>
        </w:rPr>
        <w:t xml:space="preserve">) </w:t>
      </w:r>
      <w:r>
        <w:rPr>
          <w:w w:val="105"/>
        </w:rPr>
        <w:t xml:space="preserve">与加气枪之间应当设储气瓶组 </w:t>
      </w:r>
      <w:r>
        <w:rPr>
          <w:rFonts w:hint="eastAsia" w:ascii="MS UI Gothic" w:eastAsia="MS UI Gothic"/>
          <w:w w:val="150"/>
        </w:rPr>
        <w:t xml:space="preserve">( </w:t>
      </w:r>
      <w:r>
        <w:rPr>
          <w:w w:val="105"/>
        </w:rPr>
        <w:t>储气井</w:t>
      </w:r>
      <w:r>
        <w:rPr>
          <w:rFonts w:hint="eastAsia" w:ascii="MS UI Gothic" w:eastAsia="MS UI Gothic"/>
          <w:w w:val="150"/>
        </w:rPr>
        <w:t xml:space="preserve">) </w:t>
      </w:r>
      <w:r>
        <w:rPr>
          <w:w w:val="105"/>
        </w:rPr>
        <w:t>截断阀</w:t>
      </w:r>
      <w:r>
        <w:rPr>
          <w:rFonts w:hint="eastAsia" w:ascii="MS UI Gothic" w:eastAsia="MS UI Gothic"/>
          <w:w w:val="80"/>
        </w:rPr>
        <w:t xml:space="preserve">、 </w:t>
      </w:r>
      <w:r>
        <w:rPr>
          <w:w w:val="105"/>
        </w:rPr>
        <w:t>主截断阀</w:t>
      </w:r>
      <w:r>
        <w:rPr>
          <w:rFonts w:hint="eastAsia" w:ascii="MS UI Gothic" w:eastAsia="MS UI Gothic"/>
          <w:w w:val="80"/>
        </w:rPr>
        <w:t xml:space="preserve">、 </w:t>
      </w:r>
      <w:r>
        <w:rPr>
          <w:w w:val="105"/>
        </w:rPr>
        <w:t>紧急截断阀和加气截断阀</w:t>
      </w:r>
      <w:r>
        <w:rPr>
          <w:rFonts w:hint="eastAsia" w:ascii="MS UI Gothic" w:eastAsia="MS UI Gothic"/>
          <w:w w:val="80"/>
        </w:rPr>
        <w:t>ꎮ</w:t>
      </w:r>
    </w:p>
    <w:p>
      <w:pPr>
        <w:pStyle w:val="6"/>
        <w:tabs>
          <w:tab w:val="left" w:pos="2536"/>
        </w:tabs>
        <w:spacing w:line="295" w:lineRule="auto"/>
        <w:ind w:left="440"/>
        <w:jc w:val="left"/>
        <w:rPr>
          <w:rFonts w:hint="eastAsia" w:ascii="MS UI Gothic" w:eastAsia="MS UI Gothic"/>
        </w:rPr>
      </w:pPr>
      <w:r>
        <w:rPr>
          <w:spacing w:val="3"/>
          <w:w w:val="105"/>
        </w:rPr>
        <w:t>第一百九十六</w:t>
      </w:r>
      <w:r>
        <w:rPr>
          <w:w w:val="105"/>
        </w:rPr>
        <w:t>条</w:t>
      </w:r>
      <w:r>
        <w:rPr>
          <w:w w:val="105"/>
        </w:rPr>
        <w:tab/>
      </w:r>
      <w:r>
        <w:rPr>
          <w:spacing w:val="3"/>
        </w:rPr>
        <w:t>工艺安全及监控</w:t>
      </w:r>
      <w:r>
        <w:rPr>
          <w:spacing w:val="-13"/>
        </w:rPr>
        <w:t>系</w:t>
      </w:r>
      <w:r>
        <w:rPr>
          <w:spacing w:val="3"/>
          <w:w w:val="110"/>
        </w:rPr>
        <w:t>统应当符合下列要求</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在站场压力设备和容器上设置</w:t>
      </w:r>
      <w:r>
        <w:rPr>
          <w:w w:val="110"/>
        </w:rPr>
        <w:t>安全阀</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当工艺管线</w:t>
      </w:r>
      <w:r>
        <w:rPr>
          <w:rFonts w:hint="eastAsia" w:ascii="MS UI Gothic" w:eastAsia="MS UI Gothic"/>
          <w:w w:val="80"/>
        </w:rPr>
        <w:t xml:space="preserve">、 </w:t>
      </w:r>
      <w:r>
        <w:rPr>
          <w:w w:val="105"/>
        </w:rPr>
        <w:t>设备或者容器排</w:t>
      </w:r>
      <w:r>
        <w:t>污可能释放出大量气体时</w:t>
      </w:r>
      <w:r>
        <w:rPr>
          <w:rFonts w:hint="eastAsia" w:ascii="MS UI Gothic" w:eastAsia="MS UI Gothic"/>
          <w:w w:val="80"/>
        </w:rPr>
        <w:t xml:space="preserve">ꎬ </w:t>
      </w:r>
      <w:r>
        <w:t>将其引入分离设备</w:t>
      </w:r>
      <w:r>
        <w:rPr>
          <w:rFonts w:hint="eastAsia" w:ascii="MS UI Gothic" w:eastAsia="MS UI Gothic"/>
          <w:w w:val="80"/>
        </w:rPr>
        <w:t xml:space="preserve">ꎬ </w:t>
      </w:r>
      <w:r>
        <w:t>分出的气体引入气体放空系统</w:t>
      </w:r>
      <w:r>
        <w:rPr>
          <w:rFonts w:hint="eastAsia" w:ascii="MS UI Gothic" w:eastAsia="MS UI Gothic"/>
          <w:w w:val="80"/>
        </w:rPr>
        <w:t xml:space="preserve">ꎬ </w:t>
      </w:r>
      <w:r>
        <w:t>液</w:t>
      </w:r>
      <w:r>
        <w:rPr>
          <w:w w:val="105"/>
        </w:rPr>
        <w:t>体引入储罐或者处理系统</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每台压缩机有独立的温度和压</w:t>
      </w:r>
      <w:r>
        <w:rPr>
          <w:w w:val="110"/>
        </w:rPr>
        <w:t>力保护装置</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压缩站在管线进站截断阀上游和出站截断阀下游设置限压泄放设施</w:t>
      </w:r>
      <w:r>
        <w:rPr>
          <w:rFonts w:hint="eastAsia" w:ascii="MS UI Gothic" w:eastAsia="MS UI Gothic"/>
          <w:w w:val="80"/>
        </w:rPr>
        <w:t>ꎮ</w:t>
      </w:r>
    </w:p>
    <w:p>
      <w:pPr>
        <w:pStyle w:val="6"/>
        <w:tabs>
          <w:tab w:val="left" w:pos="2536"/>
        </w:tabs>
        <w:spacing w:line="295" w:lineRule="auto"/>
        <w:ind w:left="440"/>
        <w:jc w:val="left"/>
        <w:rPr>
          <w:rFonts w:hint="eastAsia" w:ascii="MS UI Gothic" w:eastAsia="MS UI Gothic"/>
        </w:rPr>
      </w:pPr>
      <w:r>
        <w:rPr>
          <w:spacing w:val="3"/>
          <w:w w:val="105"/>
        </w:rPr>
        <w:t>第一百九十七</w:t>
      </w:r>
      <w:r>
        <w:rPr>
          <w:w w:val="105"/>
        </w:rPr>
        <w:t>条</w:t>
      </w:r>
      <w:r>
        <w:rPr>
          <w:w w:val="105"/>
        </w:rPr>
        <w:tab/>
      </w:r>
      <w:r>
        <w:rPr>
          <w:spacing w:val="3"/>
        </w:rPr>
        <w:t>站场供电和电气</w:t>
      </w:r>
      <w:r>
        <w:rPr>
          <w:spacing w:val="-13"/>
        </w:rPr>
        <w:t>安</w:t>
      </w:r>
      <w:r>
        <w:rPr>
          <w:spacing w:val="3"/>
          <w:w w:val="110"/>
        </w:rPr>
        <w:t>全应当符合下列要求</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站场的消防</w:t>
      </w:r>
      <w:r>
        <w:rPr>
          <w:rFonts w:hint="eastAsia" w:ascii="MS UI Gothic" w:eastAsia="MS UI Gothic"/>
          <w:w w:val="80"/>
        </w:rPr>
        <w:t xml:space="preserve">、 </w:t>
      </w:r>
      <w:r>
        <w:rPr>
          <w:w w:val="105"/>
        </w:rPr>
        <w:t>通信</w:t>
      </w:r>
      <w:r>
        <w:rPr>
          <w:rFonts w:hint="eastAsia" w:ascii="MS UI Gothic" w:eastAsia="MS UI Gothic"/>
          <w:w w:val="80"/>
        </w:rPr>
        <w:t xml:space="preserve">、 </w:t>
      </w:r>
      <w:r>
        <w:rPr>
          <w:w w:val="105"/>
        </w:rPr>
        <w:t>控制</w:t>
      </w:r>
      <w:r>
        <w:rPr>
          <w:rFonts w:hint="eastAsia" w:ascii="MS UI Gothic" w:eastAsia="MS UI Gothic"/>
          <w:w w:val="80"/>
        </w:rPr>
        <w:t xml:space="preserve">、 </w:t>
      </w:r>
      <w:r>
        <w:rPr>
          <w:w w:val="105"/>
        </w:rPr>
        <w:t>仪</w:t>
      </w:r>
      <w:r>
        <w:t>表等使用不间断电源或者双回路供电</w:t>
      </w:r>
      <w:r>
        <w:rPr>
          <w:rFonts w:hint="eastAsia" w:ascii="MS UI Gothic" w:eastAsia="MS UI Gothic"/>
          <w:w w:val="80"/>
        </w:rPr>
        <w:t xml:space="preserve">ꎬ </w:t>
      </w:r>
      <w:r>
        <w:t>消</w:t>
      </w:r>
      <w:r>
        <w:rPr>
          <w:w w:val="105"/>
        </w:rPr>
        <w:t>防</w:t>
      </w:r>
      <w:r>
        <w:rPr>
          <w:rFonts w:hint="eastAsia" w:ascii="MS UI Gothic" w:eastAsia="MS UI Gothic"/>
          <w:w w:val="80"/>
        </w:rPr>
        <w:t xml:space="preserve">、 </w:t>
      </w:r>
      <w:r>
        <w:rPr>
          <w:w w:val="105"/>
        </w:rPr>
        <w:t>控制</w:t>
      </w:r>
      <w:r>
        <w:rPr>
          <w:rFonts w:hint="eastAsia" w:ascii="MS UI Gothic" w:eastAsia="MS UI Gothic"/>
          <w:w w:val="80"/>
        </w:rPr>
        <w:t xml:space="preserve">、 </w:t>
      </w:r>
      <w:r>
        <w:rPr>
          <w:w w:val="105"/>
        </w:rPr>
        <w:t>配电等重要场所设置应急照明</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站场内管汇</w:t>
      </w:r>
      <w:r>
        <w:rPr>
          <w:rFonts w:hint="eastAsia" w:ascii="MS UI Gothic" w:eastAsia="MS UI Gothic"/>
          <w:w w:val="80"/>
        </w:rPr>
        <w:t xml:space="preserve">、 </w:t>
      </w:r>
      <w:r>
        <w:rPr>
          <w:w w:val="105"/>
        </w:rPr>
        <w:t>阀组</w:t>
      </w:r>
      <w:r>
        <w:rPr>
          <w:rFonts w:hint="eastAsia" w:ascii="MS UI Gothic" w:eastAsia="MS UI Gothic"/>
          <w:w w:val="80"/>
        </w:rPr>
        <w:t xml:space="preserve">、 </w:t>
      </w:r>
      <w:r>
        <w:rPr>
          <w:w w:val="105"/>
        </w:rPr>
        <w:t>压缩机等</w:t>
      </w:r>
      <w:r>
        <w:t>爆炸危险区域必须使用防爆电气设施</w:t>
      </w:r>
      <w:r>
        <w:rPr>
          <w:rFonts w:hint="eastAsia" w:ascii="MS UI Gothic" w:eastAsia="MS UI Gothic"/>
          <w:w w:val="80"/>
        </w:rPr>
        <w:t xml:space="preserve">ꎬ </w:t>
      </w:r>
      <w:r>
        <w:t>电气线路使用阻燃电缆</w:t>
      </w:r>
      <w:r>
        <w:rPr>
          <w:rFonts w:hint="eastAsia" w:ascii="MS UI Gothic" w:eastAsia="MS UI Gothic"/>
          <w:w w:val="80"/>
        </w:rPr>
        <w:t xml:space="preserve">ꎬ </w:t>
      </w:r>
      <w:r>
        <w:t>线路的敷设采取防</w:t>
      </w:r>
      <w:r>
        <w:rPr>
          <w:w w:val="105"/>
        </w:rPr>
        <w:t>爆安全措施</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配电室有防水</w:t>
      </w:r>
      <w:r>
        <w:rPr>
          <w:rFonts w:hint="eastAsia" w:ascii="MS UI Gothic" w:eastAsia="MS UI Gothic"/>
          <w:w w:val="80"/>
        </w:rPr>
        <w:t xml:space="preserve">、 </w:t>
      </w:r>
      <w:r>
        <w:t>防鼠措施</w:t>
      </w:r>
      <w:r>
        <w:rPr>
          <w:rFonts w:hint="eastAsia" w:ascii="MS UI Gothic" w:eastAsia="MS UI Gothic"/>
          <w:w w:val="80"/>
        </w:rPr>
        <w:t xml:space="preserve">ꎬ </w:t>
      </w:r>
      <w:r>
        <w:t>安装挡鼠板</w:t>
      </w:r>
      <w:r>
        <w:rPr>
          <w:rFonts w:hint="eastAsia" w:ascii="MS UI Gothic" w:eastAsia="MS UI Gothic"/>
          <w:w w:val="80"/>
        </w:rPr>
        <w:t xml:space="preserve">ꎬ </w:t>
      </w:r>
      <w:r>
        <w:t>安全通道畅通</w:t>
      </w:r>
      <w:r>
        <w:rPr>
          <w:rFonts w:hint="eastAsia" w:ascii="MS UI Gothic" w:eastAsia="MS UI Gothic"/>
          <w:w w:val="80"/>
        </w:rPr>
        <w:t xml:space="preserve">ꎬ </w:t>
      </w:r>
      <w:r>
        <w:t>指示标志明显</w:t>
      </w:r>
      <w:r>
        <w:rPr>
          <w:rFonts w:hint="eastAsia" w:ascii="MS UI Gothic" w:eastAsia="MS UI Gothic"/>
          <w:w w:val="80"/>
        </w:rPr>
        <w:t>ꎮ</w:t>
      </w:r>
    </w:p>
    <w:p>
      <w:pPr>
        <w:pStyle w:val="6"/>
        <w:tabs>
          <w:tab w:val="left" w:pos="2536"/>
        </w:tabs>
        <w:spacing w:line="254" w:lineRule="exact"/>
        <w:ind w:left="860" w:firstLine="0"/>
        <w:jc w:val="left"/>
      </w:pPr>
      <w:r>
        <w:rPr>
          <w:spacing w:val="3"/>
          <w:w w:val="105"/>
        </w:rPr>
        <w:t>第一百九十八</w:t>
      </w:r>
      <w:r>
        <w:rPr>
          <w:w w:val="105"/>
        </w:rPr>
        <w:t>条</w:t>
      </w:r>
      <w:r>
        <w:rPr>
          <w:w w:val="105"/>
        </w:rPr>
        <w:tab/>
      </w:r>
      <w:r>
        <w:rPr>
          <w:spacing w:val="3"/>
        </w:rPr>
        <w:t>压缩站的防爆应</w:t>
      </w:r>
      <w:r>
        <w:rPr>
          <w:spacing w:val="-13"/>
        </w:rPr>
        <w:t>当</w:t>
      </w:r>
    </w:p>
    <w:p>
      <w:pPr>
        <w:pStyle w:val="6"/>
        <w:spacing w:before="124"/>
        <w:ind w:left="383" w:firstLine="0"/>
        <w:jc w:val="left"/>
        <w:rPr>
          <w:rFonts w:hint="eastAsia" w:ascii="MS UI Gothic" w:eastAsia="MS UI Gothic"/>
        </w:rPr>
      </w:pPr>
      <w:r>
        <w:br w:type="column"/>
      </w:r>
      <w:r>
        <w:rPr>
          <w:spacing w:val="3"/>
          <w:w w:val="105"/>
        </w:rPr>
        <w:t>符合下列要求</w:t>
      </w:r>
      <w:r>
        <w:rPr>
          <w:rFonts w:hint="eastAsia" w:ascii="MS UI Gothic" w:eastAsia="MS UI Gothic"/>
          <w:w w:val="105"/>
        </w:rPr>
        <w:t>:</w:t>
      </w:r>
    </w:p>
    <w:p>
      <w:pPr>
        <w:pStyle w:val="6"/>
        <w:spacing w:before="58" w:line="295" w:lineRule="auto"/>
        <w:ind w:left="383" w:right="126"/>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5"/>
          <w:w w:val="105"/>
        </w:rPr>
        <w:t xml:space="preserve">) </w:t>
      </w:r>
      <w:r>
        <w:rPr>
          <w:spacing w:val="5"/>
          <w:w w:val="105"/>
        </w:rPr>
        <w:t>压缩站按照防爆安全要求划分</w:t>
      </w:r>
      <w:r>
        <w:rPr>
          <w:spacing w:val="3"/>
          <w:w w:val="110"/>
        </w:rPr>
        <w:t>爆炸危险场所</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使用防爆电气设备前</w:t>
      </w:r>
      <w:r>
        <w:rPr>
          <w:rFonts w:hint="eastAsia" w:ascii="MS UI Gothic" w:eastAsia="MS UI Gothic"/>
          <w:w w:val="80"/>
        </w:rPr>
        <w:t xml:space="preserve">ꎬ </w:t>
      </w:r>
      <w:r>
        <w:rPr>
          <w:w w:val="105"/>
        </w:rPr>
        <w:t>检查其产品合格证</w:t>
      </w:r>
      <w:r>
        <w:rPr>
          <w:rFonts w:hint="eastAsia" w:ascii="MS UI Gothic" w:eastAsia="MS UI Gothic"/>
          <w:w w:val="80"/>
        </w:rPr>
        <w:t xml:space="preserve">、 </w:t>
      </w:r>
      <w:r>
        <w:rPr>
          <w:w w:val="105"/>
        </w:rPr>
        <w:t>产品安全标志及其安全性</w:t>
      </w:r>
      <w:r>
        <w:t>能</w:t>
      </w:r>
      <w:r>
        <w:rPr>
          <w:rFonts w:hint="eastAsia" w:ascii="MS UI Gothic" w:eastAsia="MS UI Gothic"/>
          <w:w w:val="80"/>
        </w:rPr>
        <w:t xml:space="preserve">ꎬ </w:t>
      </w:r>
      <w:r>
        <w:t>检查合格并签发合格证后方可使用</w:t>
      </w:r>
      <w:r>
        <w:rPr>
          <w:rFonts w:hint="eastAsia" w:ascii="MS UI Gothic" w:eastAsia="MS UI Gothic"/>
          <w:w w:val="80"/>
        </w:rPr>
        <w:t>ꎻ</w:t>
      </w:r>
    </w:p>
    <w:p>
      <w:pPr>
        <w:pStyle w:val="6"/>
        <w:spacing w:line="295" w:lineRule="auto"/>
        <w:ind w:left="383" w:right="126"/>
        <w:rPr>
          <w:rFonts w:hint="eastAsia" w:ascii="MS UI Gothic" w:hAnsi="MS UI Gothic" w:eastAsia="MS UI Gothic"/>
        </w:rPr>
      </w:pPr>
      <w:r>
        <w:rPr>
          <w:rFonts w:hint="eastAsia" w:ascii="MS UI Gothic" w:hAnsi="MS UI Gothic" w:eastAsia="MS UI Gothic"/>
          <w:w w:val="150"/>
        </w:rPr>
        <w:t xml:space="preserve">( </w:t>
      </w:r>
      <w:r>
        <w:rPr>
          <w:w w:val="105"/>
        </w:rPr>
        <w:t>三</w:t>
      </w:r>
      <w:r>
        <w:rPr>
          <w:rFonts w:hint="eastAsia" w:ascii="MS UI Gothic" w:hAnsi="MS UI Gothic" w:eastAsia="MS UI Gothic"/>
          <w:w w:val="150"/>
        </w:rPr>
        <w:t xml:space="preserve">) </w:t>
      </w:r>
      <w:r>
        <w:rPr>
          <w:w w:val="105"/>
        </w:rPr>
        <w:t>防爆电气设备安装</w:t>
      </w:r>
      <w:r>
        <w:rPr>
          <w:rFonts w:hint="eastAsia" w:ascii="MS UI Gothic" w:hAnsi="MS UI Gothic" w:eastAsia="MS UI Gothic"/>
          <w:w w:val="80"/>
        </w:rPr>
        <w:t xml:space="preserve">、 </w:t>
      </w:r>
      <w:r>
        <w:rPr>
          <w:w w:val="105"/>
        </w:rPr>
        <w:t>检查</w:t>
      </w:r>
      <w:r>
        <w:rPr>
          <w:rFonts w:hint="eastAsia" w:ascii="MS UI Gothic" w:hAnsi="MS UI Gothic" w:eastAsia="MS UI Gothic"/>
          <w:w w:val="80"/>
        </w:rPr>
        <w:t xml:space="preserve">、 </w:t>
      </w:r>
      <w:r>
        <w:rPr>
          <w:w w:val="105"/>
        </w:rPr>
        <w:t>保养</w:t>
      </w:r>
      <w:r>
        <w:rPr>
          <w:rFonts w:hint="eastAsia" w:ascii="MS UI Gothic" w:hAnsi="MS UI Gothic" w:eastAsia="MS UI Gothic"/>
          <w:w w:val="80"/>
        </w:rPr>
        <w:t xml:space="preserve">、 </w:t>
      </w:r>
      <w:r>
        <w:rPr>
          <w:w w:val="105"/>
        </w:rPr>
        <w:t>检修由具有专业资格的人员操作</w:t>
      </w:r>
      <w:r>
        <w:rPr>
          <w:rFonts w:hint="eastAsia" w:ascii="MS UI Gothic" w:hAnsi="MS UI Gothic" w:eastAsia="MS UI Gothic"/>
          <w:w w:val="80"/>
        </w:rPr>
        <w:t xml:space="preserve">ꎬ </w:t>
      </w:r>
      <w:r>
        <w:rPr>
          <w:w w:val="105"/>
        </w:rPr>
        <w:t>并在机房</w:t>
      </w:r>
      <w:r>
        <w:rPr>
          <w:rFonts w:hint="eastAsia" w:ascii="MS UI Gothic" w:hAnsi="MS UI Gothic" w:eastAsia="MS UI Gothic"/>
          <w:w w:val="80"/>
        </w:rPr>
        <w:t xml:space="preserve">、 </w:t>
      </w:r>
      <w:r>
        <w:rPr>
          <w:w w:val="105"/>
        </w:rPr>
        <w:t xml:space="preserve">调配区设置 </w:t>
      </w:r>
      <w:r>
        <w:rPr>
          <w:rFonts w:hint="eastAsia" w:ascii="MS UI Gothic" w:hAnsi="MS UI Gothic" w:eastAsia="MS UI Gothic"/>
          <w:w w:val="105"/>
        </w:rPr>
        <w:t xml:space="preserve">“ </w:t>
      </w:r>
      <w:r>
        <w:rPr>
          <w:w w:val="105"/>
        </w:rPr>
        <w:t>爆炸危险场所</w:t>
      </w:r>
      <w:r>
        <w:rPr>
          <w:rFonts w:hint="eastAsia" w:ascii="MS UI Gothic" w:hAnsi="MS UI Gothic" w:eastAsia="MS UI Gothic"/>
          <w:w w:val="105"/>
        </w:rPr>
        <w:t xml:space="preserve">” </w:t>
      </w:r>
      <w:r>
        <w:rPr>
          <w:w w:val="105"/>
        </w:rPr>
        <w:t>标志牌</w:t>
      </w:r>
      <w:r>
        <w:rPr>
          <w:rFonts w:hint="eastAsia" w:ascii="MS UI Gothic" w:hAns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固定电气设备安装稳固</w:t>
      </w:r>
      <w:r>
        <w:rPr>
          <w:rFonts w:hint="eastAsia" w:ascii="MS UI Gothic" w:eastAsia="MS UI Gothic"/>
          <w:w w:val="80"/>
        </w:rPr>
        <w:t xml:space="preserve">ꎬ </w:t>
      </w:r>
      <w:r>
        <w:rPr>
          <w:w w:val="105"/>
        </w:rPr>
        <w:t>防止外力碰撞</w:t>
      </w:r>
      <w:r>
        <w:rPr>
          <w:rFonts w:hint="eastAsia" w:ascii="MS UI Gothic" w:eastAsia="MS UI Gothic"/>
          <w:w w:val="80"/>
        </w:rPr>
        <w:t xml:space="preserve">、 </w:t>
      </w:r>
      <w:r>
        <w:rPr>
          <w:w w:val="105"/>
        </w:rPr>
        <w:t>损伤</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第一百九十九条 压缩站内电气设备</w:t>
      </w:r>
      <w:r>
        <w:rPr>
          <w:w w:val="110"/>
        </w:rPr>
        <w:t>应当符合下列防爆要求</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整洁</w:t>
      </w:r>
      <w:r>
        <w:rPr>
          <w:rFonts w:hint="eastAsia" w:ascii="MS UI Gothic" w:eastAsia="MS UI Gothic"/>
          <w:w w:val="80"/>
        </w:rPr>
        <w:t xml:space="preserve">ꎬ </w:t>
      </w:r>
      <w:r>
        <w:t>部件齐全紧固</w:t>
      </w:r>
      <w:r>
        <w:rPr>
          <w:rFonts w:hint="eastAsia" w:ascii="MS UI Gothic" w:eastAsia="MS UI Gothic"/>
          <w:w w:val="80"/>
        </w:rPr>
        <w:t xml:space="preserve">ꎬ </w:t>
      </w:r>
      <w:r>
        <w:t>无松动</w:t>
      </w:r>
      <w:r>
        <w:rPr>
          <w:rFonts w:hint="eastAsia" w:ascii="MS UI Gothic" w:eastAsia="MS UI Gothic"/>
          <w:w w:val="80"/>
        </w:rPr>
        <w:t xml:space="preserve">、 </w:t>
      </w:r>
      <w:r>
        <w:t>无损伤</w:t>
      </w:r>
      <w:r>
        <w:rPr>
          <w:rFonts w:hint="eastAsia" w:ascii="MS UI Gothic" w:eastAsia="MS UI Gothic"/>
          <w:w w:val="80"/>
        </w:rPr>
        <w:t xml:space="preserve">、 </w:t>
      </w:r>
      <w:r>
        <w:t>无机械变形</w:t>
      </w:r>
      <w:r>
        <w:rPr>
          <w:rFonts w:hint="eastAsia" w:ascii="MS UI Gothic" w:eastAsia="MS UI Gothic"/>
          <w:w w:val="80"/>
        </w:rPr>
        <w:t xml:space="preserve">ꎬ </w:t>
      </w:r>
      <w:r>
        <w:t>场所清洁</w:t>
      </w:r>
      <w:r>
        <w:rPr>
          <w:rFonts w:hint="eastAsia" w:ascii="MS UI Gothic" w:eastAsia="MS UI Gothic"/>
          <w:w w:val="80"/>
        </w:rPr>
        <w:t xml:space="preserve">、  </w:t>
      </w:r>
      <w:r>
        <w:t>无杂物和易燃物品</w:t>
      </w:r>
      <w:r>
        <w:rPr>
          <w:rFonts w:hint="eastAsia" w:ascii="MS UI Gothic" w:eastAsia="MS UI Gothic"/>
          <w:w w:val="80"/>
        </w:rPr>
        <w:t>ꎻ</w:t>
      </w:r>
    </w:p>
    <w:p>
      <w:pPr>
        <w:pStyle w:val="6"/>
        <w:spacing w:line="295" w:lineRule="auto"/>
        <w:ind w:left="383" w:right="126"/>
        <w:rPr>
          <w:rFonts w:hint="eastAsia" w:ascii="MS UI Gothic" w:hAnsi="MS UI Gothic" w:eastAsia="MS UI Gothic"/>
        </w:rPr>
      </w:pPr>
      <w:r>
        <w:rPr>
          <w:rFonts w:hint="eastAsia" w:ascii="MS UI Gothic" w:hAnsi="MS UI Gothic" w:eastAsia="MS UI Gothic"/>
          <w:w w:val="150"/>
        </w:rPr>
        <w:t xml:space="preserve">( </w:t>
      </w:r>
      <w:r>
        <w:rPr>
          <w:w w:val="105"/>
        </w:rPr>
        <w:t>二</w:t>
      </w:r>
      <w:r>
        <w:rPr>
          <w:rFonts w:hint="eastAsia" w:ascii="MS UI Gothic" w:hAnsi="MS UI Gothic" w:eastAsia="MS UI Gothic"/>
          <w:w w:val="150"/>
        </w:rPr>
        <w:t xml:space="preserve">) </w:t>
      </w:r>
      <w:r>
        <w:rPr>
          <w:w w:val="105"/>
        </w:rPr>
        <w:t xml:space="preserve">选型符合 </w:t>
      </w:r>
      <w:r>
        <w:rPr>
          <w:rFonts w:hint="eastAsia" w:ascii="MS UI Gothic" w:hAnsi="MS UI Gothic" w:eastAsia="MS UI Gothic"/>
          <w:w w:val="80"/>
        </w:rPr>
        <w:t xml:space="preserve">« </w:t>
      </w:r>
      <w:r>
        <w:rPr>
          <w:w w:val="105"/>
        </w:rPr>
        <w:t>爆炸和火灾危险环境有关电力设计规范</w:t>
      </w:r>
      <w:r>
        <w:rPr>
          <w:rFonts w:hint="eastAsia" w:ascii="MS UI Gothic" w:hAnsi="MS UI Gothic" w:eastAsia="MS UI Gothic"/>
          <w:w w:val="80"/>
        </w:rPr>
        <w:t xml:space="preserve">» </w:t>
      </w:r>
      <w:r>
        <w:rPr>
          <w:w w:val="105"/>
        </w:rPr>
        <w:t>的要求</w:t>
      </w:r>
      <w:r>
        <w:rPr>
          <w:rFonts w:hint="eastAsia" w:ascii="MS UI Gothic" w:hAns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电缆进线装置密封可靠</w:t>
      </w:r>
      <w:r>
        <w:rPr>
          <w:rFonts w:hint="eastAsia" w:ascii="MS UI Gothic" w:eastAsia="MS UI Gothic"/>
          <w:w w:val="80"/>
        </w:rPr>
        <w:t xml:space="preserve">ꎬ </w:t>
      </w:r>
      <w:r>
        <w:rPr>
          <w:w w:val="105"/>
        </w:rPr>
        <w:t>空余接线孔封闭符合要求</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spacing w:val="-36"/>
          <w:w w:val="150"/>
        </w:rPr>
        <w:t xml:space="preserve">( </w:t>
      </w:r>
      <w:r>
        <w:rPr>
          <w:spacing w:val="19"/>
          <w:w w:val="105"/>
        </w:rPr>
        <w:t>四</w:t>
      </w:r>
      <w:r>
        <w:rPr>
          <w:rFonts w:hint="eastAsia" w:ascii="MS UI Gothic" w:eastAsia="MS UI Gothic"/>
          <w:spacing w:val="24"/>
          <w:w w:val="150"/>
        </w:rPr>
        <w:t xml:space="preserve">) </w:t>
      </w:r>
      <w:r>
        <w:rPr>
          <w:spacing w:val="29"/>
          <w:w w:val="105"/>
        </w:rPr>
        <w:t>设备保护</w:t>
      </w:r>
      <w:r>
        <w:rPr>
          <w:rFonts w:hint="eastAsia" w:ascii="MS UI Gothic" w:eastAsia="MS UI Gothic"/>
          <w:spacing w:val="11"/>
          <w:w w:val="80"/>
        </w:rPr>
        <w:t xml:space="preserve">、 </w:t>
      </w:r>
      <w:r>
        <w:rPr>
          <w:spacing w:val="20"/>
          <w:w w:val="105"/>
        </w:rPr>
        <w:t>联锁</w:t>
      </w:r>
      <w:r>
        <w:rPr>
          <w:rFonts w:hint="eastAsia" w:ascii="MS UI Gothic" w:eastAsia="MS UI Gothic"/>
          <w:spacing w:val="12"/>
          <w:w w:val="80"/>
        </w:rPr>
        <w:t xml:space="preserve">、 </w:t>
      </w:r>
      <w:r>
        <w:rPr>
          <w:spacing w:val="20"/>
          <w:w w:val="105"/>
        </w:rPr>
        <w:t>检测</w:t>
      </w:r>
      <w:r>
        <w:rPr>
          <w:rFonts w:hint="eastAsia" w:ascii="MS UI Gothic" w:eastAsia="MS UI Gothic"/>
          <w:spacing w:val="12"/>
          <w:w w:val="80"/>
        </w:rPr>
        <w:t xml:space="preserve">、 </w:t>
      </w:r>
      <w:r>
        <w:rPr>
          <w:w w:val="105"/>
        </w:rPr>
        <w:t>报</w:t>
      </w:r>
      <w:r>
        <w:rPr>
          <w:spacing w:val="3"/>
          <w:w w:val="105"/>
        </w:rPr>
        <w:t>警</w:t>
      </w:r>
      <w:r>
        <w:rPr>
          <w:rFonts w:hint="eastAsia" w:ascii="MS UI Gothic" w:eastAsia="MS UI Gothic"/>
          <w:w w:val="80"/>
        </w:rPr>
        <w:t xml:space="preserve">、 </w:t>
      </w:r>
      <w:r>
        <w:rPr>
          <w:spacing w:val="3"/>
          <w:w w:val="105"/>
        </w:rPr>
        <w:t>接地等装置齐全完整</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防爆灯具的防爆结构</w:t>
      </w:r>
      <w:r>
        <w:rPr>
          <w:rFonts w:hint="eastAsia" w:ascii="MS UI Gothic" w:eastAsia="MS UI Gothic"/>
          <w:w w:val="80"/>
        </w:rPr>
        <w:t xml:space="preserve">、  </w:t>
      </w:r>
      <w:r>
        <w:rPr>
          <w:w w:val="105"/>
        </w:rPr>
        <w:t>保护罩保持完整</w:t>
      </w:r>
      <w:r>
        <w:rPr>
          <w:rFonts w:hint="eastAsia" w:ascii="MS UI Gothic" w:eastAsia="MS UI Gothic"/>
          <w:w w:val="80"/>
        </w:rPr>
        <w:t>ꎻ</w:t>
      </w:r>
    </w:p>
    <w:p>
      <w:pPr>
        <w:pStyle w:val="6"/>
        <w:spacing w:line="295" w:lineRule="auto"/>
        <w:ind w:left="383" w:right="124"/>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接地端子接触良好</w:t>
      </w:r>
      <w:r>
        <w:rPr>
          <w:rFonts w:hint="eastAsia" w:ascii="MS UI Gothic" w:eastAsia="MS UI Gothic"/>
          <w:w w:val="80"/>
        </w:rPr>
        <w:t xml:space="preserve">ꎬ </w:t>
      </w:r>
      <w:r>
        <w:rPr>
          <w:w w:val="105"/>
        </w:rPr>
        <w:t>无松动</w:t>
      </w:r>
      <w:r>
        <w:rPr>
          <w:rFonts w:hint="eastAsia" w:ascii="MS UI Gothic" w:eastAsia="MS UI Gothic"/>
          <w:w w:val="80"/>
        </w:rPr>
        <w:t>、</w:t>
      </w:r>
      <w:r>
        <w:rPr>
          <w:w w:val="105"/>
        </w:rPr>
        <w:t>无折断</w:t>
      </w:r>
      <w:r>
        <w:rPr>
          <w:rFonts w:hint="eastAsia" w:ascii="MS UI Gothic" w:eastAsia="MS UI Gothic"/>
          <w:w w:val="80"/>
        </w:rPr>
        <w:t xml:space="preserve">、 </w:t>
      </w:r>
      <w:r>
        <w:rPr>
          <w:w w:val="105"/>
        </w:rPr>
        <w:t>无腐蚀</w:t>
      </w:r>
      <w:r>
        <w:rPr>
          <w:rFonts w:hint="eastAsia" w:ascii="MS UI Gothic" w:eastAsia="MS UI Gothic"/>
          <w:w w:val="80"/>
        </w:rPr>
        <w:t>ꎻ</w:t>
      </w:r>
    </w:p>
    <w:p>
      <w:pPr>
        <w:pStyle w:val="6"/>
        <w:spacing w:line="255" w:lineRule="exact"/>
        <w:ind w:left="802"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应急照明设施符合防爆要求</w:t>
      </w:r>
      <w:r>
        <w:rPr>
          <w:rFonts w:hint="eastAsia" w:ascii="MS UI Gothic" w:eastAsia="MS UI Gothic"/>
          <w:w w:val="80"/>
        </w:rPr>
        <w:t>ꎮ</w:t>
      </w:r>
    </w:p>
    <w:p>
      <w:pPr>
        <w:pStyle w:val="6"/>
        <w:spacing w:before="39" w:line="295" w:lineRule="auto"/>
        <w:ind w:left="383" w:right="126"/>
        <w:rPr>
          <w:rFonts w:hint="eastAsia" w:ascii="MS UI Gothic" w:eastAsia="MS UI Gothic"/>
        </w:rPr>
      </w:pPr>
      <w:r>
        <w:rPr>
          <w:w w:val="105"/>
        </w:rPr>
        <w:t>第二百条 防爆电气设备检查检修时</w:t>
      </w:r>
      <w:r>
        <w:rPr>
          <w:w w:val="110"/>
        </w:rPr>
        <w:t>应当符合下列要求</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日常检查中严禁带电打开设备的密封盒</w:t>
      </w:r>
      <w:r>
        <w:rPr>
          <w:rFonts w:hint="eastAsia" w:ascii="MS UI Gothic" w:eastAsia="MS UI Gothic"/>
          <w:w w:val="80"/>
        </w:rPr>
        <w:t xml:space="preserve">、 </w:t>
      </w:r>
      <w:r>
        <w:rPr>
          <w:w w:val="105"/>
        </w:rPr>
        <w:t>接线盒</w:t>
      </w:r>
      <w:r>
        <w:rPr>
          <w:rFonts w:hint="eastAsia" w:ascii="MS UI Gothic" w:eastAsia="MS UI Gothic"/>
          <w:w w:val="80"/>
        </w:rPr>
        <w:t xml:space="preserve">、 </w:t>
      </w:r>
      <w:r>
        <w:rPr>
          <w:w w:val="105"/>
        </w:rPr>
        <w:t>进线装置</w:t>
      </w:r>
      <w:r>
        <w:rPr>
          <w:rFonts w:hint="eastAsia" w:ascii="MS UI Gothic" w:eastAsia="MS UI Gothic"/>
          <w:w w:val="80"/>
        </w:rPr>
        <w:t xml:space="preserve">、 </w:t>
      </w:r>
      <w:r>
        <w:rPr>
          <w:w w:val="105"/>
        </w:rPr>
        <w:t>隔离密封盒等</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禁止带电检修或者移动电气设备</w:t>
      </w:r>
      <w:r>
        <w:rPr>
          <w:rFonts w:hint="eastAsia" w:ascii="MS UI Gothic" w:eastAsia="MS UI Gothic"/>
          <w:w w:val="80"/>
        </w:rPr>
        <w:t xml:space="preserve">、 </w:t>
      </w:r>
      <w:r>
        <w:rPr>
          <w:w w:val="105"/>
        </w:rPr>
        <w:t>线路</w:t>
      </w:r>
      <w:r>
        <w:rPr>
          <w:rFonts w:hint="eastAsia" w:ascii="MS UI Gothic" w:eastAsia="MS UI Gothic"/>
          <w:w w:val="80"/>
        </w:rPr>
        <w:t xml:space="preserve">、 </w:t>
      </w:r>
      <w:r>
        <w:rPr>
          <w:w w:val="105"/>
        </w:rPr>
        <w:t>拆装防爆灯具和更换防爆灯泡</w:t>
      </w:r>
      <w:r>
        <w:rPr>
          <w:rFonts w:hint="eastAsia" w:ascii="MS UI Gothic" w:eastAsia="MS UI Gothic"/>
          <w:w w:val="80"/>
        </w:rPr>
        <w:t xml:space="preserve">、 </w:t>
      </w:r>
      <w:r>
        <w:rPr>
          <w:w w:val="105"/>
        </w:rPr>
        <w:t>灯管</w:t>
      </w:r>
      <w:r>
        <w:rPr>
          <w:rFonts w:hint="eastAsia" w:ascii="MS UI Gothic" w:eastAsia="MS UI Gothic"/>
          <w:w w:val="80"/>
        </w:rPr>
        <w:t>ꎻ</w:t>
      </w:r>
    </w:p>
    <w:p>
      <w:pPr>
        <w:pStyle w:val="6"/>
        <w:spacing w:line="254" w:lineRule="exact"/>
        <w:ind w:left="802"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断电处悬挂警告牌</w:t>
      </w:r>
      <w:r>
        <w:rPr>
          <w:rFonts w:hint="eastAsia" w:ascii="MS UI Gothic" w:eastAsia="MS UI Gothic"/>
          <w:w w:val="80"/>
        </w:rPr>
        <w:t>ꎻ</w:t>
      </w:r>
    </w:p>
    <w:p>
      <w:pPr>
        <w:pStyle w:val="6"/>
        <w:spacing w:before="54"/>
        <w:ind w:left="802"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禁止用水冲洗防爆电气设备</w:t>
      </w:r>
      <w:r>
        <w:rPr>
          <w:rFonts w:hint="eastAsia" w:ascii="MS UI Gothic" w:eastAsia="MS UI Gothic"/>
          <w:w w:val="80"/>
        </w:rPr>
        <w:t>ꎻ</w:t>
      </w:r>
    </w:p>
    <w:p>
      <w:pPr>
        <w:pStyle w:val="6"/>
        <w:spacing w:before="59"/>
        <w:ind w:left="802" w:firstLine="0"/>
      </w:pPr>
      <w:r>
        <w:rPr>
          <w:rFonts w:hint="eastAsia" w:ascii="MS UI Gothic" w:eastAsia="MS UI Gothic"/>
          <w:w w:val="110"/>
        </w:rPr>
        <w:t xml:space="preserve">( </w:t>
      </w:r>
      <w:r>
        <w:rPr>
          <w:w w:val="110"/>
        </w:rPr>
        <w:t>五</w:t>
      </w:r>
      <w:r>
        <w:rPr>
          <w:rFonts w:hint="eastAsia" w:ascii="MS UI Gothic" w:eastAsia="MS UI Gothic"/>
          <w:w w:val="110"/>
        </w:rPr>
        <w:t xml:space="preserve">) </w:t>
      </w:r>
      <w:r>
        <w:rPr>
          <w:w w:val="110"/>
        </w:rPr>
        <w:t>对检修现场的电源电缆线头进</w:t>
      </w:r>
    </w:p>
    <w:p>
      <w:pPr>
        <w:spacing w:after="0"/>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pict>
          <v:shape id="_x0000_s2118" o:spid="_x0000_s2118" style="position:absolute;left:0pt;margin-left:0pt;margin-top:700.1pt;height:1.75pt;width:398.25pt;mso-position-horizontal-relative:page;z-index:252101632;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３７０</w:t>
      </w:r>
    </w:p>
    <w:p>
      <w:pPr>
        <w:pStyle w:val="6"/>
        <w:spacing w:before="297" w:line="240" w:lineRule="exact"/>
        <w:ind w:firstLine="0"/>
        <w:jc w:val="left"/>
        <w:rPr>
          <w:rFonts w:hint="eastAsia" w:ascii="MS UI Gothic" w:eastAsia="MS UI Gothic"/>
        </w:rPr>
      </w:pPr>
      <w:r>
        <w:t>行防爆处理</w:t>
      </w:r>
      <w:r>
        <w:rPr>
          <w:rFonts w:hint="eastAsia" w:ascii="MS UI Gothic" w:eastAsia="MS UI Gothic"/>
          <w:w w:val="80"/>
        </w:rPr>
        <w:t>ꎻ</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1599" w:right="2225" w:firstLine="0"/>
        <w:jc w:val="center"/>
        <w:rPr>
          <w:rFonts w:hint="eastAsia" w:ascii="MS UI Gothic" w:eastAsia="MS UI Gothic"/>
        </w:rPr>
      </w:pPr>
      <w:r>
        <w:rPr>
          <w:w w:val="115"/>
        </w:rPr>
        <w:t>当符合下列要求</w:t>
      </w:r>
      <w:r>
        <w:rPr>
          <w:rFonts w:hint="eastAsia" w:ascii="MS UI Gothic" w:eastAsia="MS UI Gothic"/>
          <w:w w:val="235"/>
        </w:rPr>
        <w:t>:</w:t>
      </w:r>
    </w:p>
    <w:p>
      <w:pPr>
        <w:spacing w:after="0" w:line="240" w:lineRule="exact"/>
        <w:jc w:val="center"/>
        <w:rPr>
          <w:rFonts w:hint="eastAsia" w:ascii="MS UI Gothic" w:eastAsia="MS UI Gothic"/>
        </w:rPr>
        <w:sectPr>
          <w:pgSz w:w="10500" w:h="14750"/>
          <w:pgMar w:top="960" w:right="980" w:bottom="280" w:left="980" w:header="720" w:footer="720" w:gutter="0"/>
          <w:cols w:equalWidth="0" w:num="2">
            <w:col w:w="1316" w:space="986"/>
            <w:col w:w="6238"/>
          </w:cols>
        </w:sectPr>
      </w:pPr>
    </w:p>
    <w:p>
      <w:pPr>
        <w:pStyle w:val="6"/>
        <w:spacing w:before="74"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检修带有电容</w:t>
      </w:r>
      <w:r>
        <w:rPr>
          <w:rFonts w:hint="eastAsia" w:ascii="MS UI Gothic" w:eastAsia="MS UI Gothic"/>
          <w:w w:val="80"/>
        </w:rPr>
        <w:t xml:space="preserve">、 </w:t>
      </w:r>
      <w:r>
        <w:rPr>
          <w:w w:val="105"/>
        </w:rPr>
        <w:t>电感</w:t>
      </w:r>
      <w:r>
        <w:rPr>
          <w:rFonts w:hint="eastAsia" w:ascii="MS UI Gothic" w:eastAsia="MS UI Gothic"/>
          <w:w w:val="80"/>
        </w:rPr>
        <w:t xml:space="preserve">、 </w:t>
      </w:r>
      <w:r>
        <w:rPr>
          <w:w w:val="105"/>
        </w:rPr>
        <w:t>探测头</w:t>
      </w:r>
      <w:r>
        <w:t>等储能元件的防爆设备时</w:t>
      </w:r>
      <w:r>
        <w:rPr>
          <w:rFonts w:hint="eastAsia" w:ascii="MS UI Gothic" w:eastAsia="MS UI Gothic"/>
          <w:w w:val="80"/>
        </w:rPr>
        <w:t xml:space="preserve">ꎬ </w:t>
      </w:r>
      <w:r>
        <w:t>在按照规定放</w:t>
      </w:r>
      <w:r>
        <w:rPr>
          <w:w w:val="105"/>
        </w:rPr>
        <w:t>尽能量后方可作业</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检修过程中不得损伤防爆设备</w:t>
      </w:r>
      <w:r>
        <w:rPr>
          <w:w w:val="110"/>
        </w:rPr>
        <w:t>的隔爆面</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15"/>
        </w:rPr>
        <w:t xml:space="preserve">( </w:t>
      </w:r>
      <w:r>
        <w:rPr>
          <w:w w:val="110"/>
        </w:rPr>
        <w:t>八</w:t>
      </w:r>
      <w:r>
        <w:rPr>
          <w:rFonts w:hint="eastAsia" w:ascii="MS UI Gothic" w:eastAsia="MS UI Gothic"/>
          <w:w w:val="115"/>
        </w:rPr>
        <w:t xml:space="preserve">) </w:t>
      </w:r>
      <w:r>
        <w:rPr>
          <w:w w:val="110"/>
        </w:rPr>
        <w:t>紧固螺栓不得任意调换或者缺少</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记录检修项目</w:t>
      </w:r>
      <w:r>
        <w:rPr>
          <w:rFonts w:hint="eastAsia" w:ascii="MS UI Gothic" w:eastAsia="MS UI Gothic"/>
          <w:w w:val="80"/>
        </w:rPr>
        <w:t xml:space="preserve">、 </w:t>
      </w:r>
      <w:r>
        <w:rPr>
          <w:w w:val="105"/>
        </w:rPr>
        <w:t>内容</w:t>
      </w:r>
      <w:r>
        <w:rPr>
          <w:rFonts w:hint="eastAsia" w:ascii="MS UI Gothic" w:eastAsia="MS UI Gothic"/>
          <w:w w:val="80"/>
        </w:rPr>
        <w:t xml:space="preserve">、 </w:t>
      </w:r>
      <w:r>
        <w:rPr>
          <w:w w:val="105"/>
        </w:rPr>
        <w:t>测试结果</w:t>
      </w:r>
      <w:r>
        <w:rPr>
          <w:rFonts w:hint="eastAsia" w:ascii="MS UI Gothic" w:eastAsia="MS UI Gothic"/>
          <w:w w:val="80"/>
        </w:rPr>
        <w:t xml:space="preserve">、 </w:t>
      </w:r>
      <w:r>
        <w:rPr>
          <w:w w:val="105"/>
        </w:rPr>
        <w:t>零部件更换</w:t>
      </w:r>
      <w:r>
        <w:rPr>
          <w:rFonts w:hint="eastAsia" w:ascii="MS UI Gothic" w:eastAsia="MS UI Gothic"/>
          <w:w w:val="80"/>
        </w:rPr>
        <w:t xml:space="preserve">、 </w:t>
      </w:r>
      <w:r>
        <w:rPr>
          <w:w w:val="105"/>
        </w:rPr>
        <w:t>缺陷处理等情况</w:t>
      </w:r>
      <w:r>
        <w:rPr>
          <w:rFonts w:hint="eastAsia" w:ascii="MS UI Gothic" w:eastAsia="MS UI Gothic"/>
          <w:w w:val="80"/>
        </w:rPr>
        <w:t xml:space="preserve">ꎬ </w:t>
      </w:r>
      <w:r>
        <w:rPr>
          <w:w w:val="105"/>
        </w:rPr>
        <w:t>并归档保存</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第二百零一条 操作压缩机时应当符</w:t>
      </w:r>
      <w:r>
        <w:rPr>
          <w:w w:val="110"/>
        </w:rPr>
        <w:t>合下列要求</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定时进行设备和仪表的日常巡检与维护</w:t>
      </w:r>
      <w:r>
        <w:rPr>
          <w:rFonts w:hint="eastAsia" w:ascii="MS UI Gothic" w:eastAsia="MS UI Gothic"/>
          <w:w w:val="80"/>
        </w:rPr>
        <w:t xml:space="preserve">ꎬ </w:t>
      </w:r>
      <w:r>
        <w:rPr>
          <w:w w:val="105"/>
        </w:rPr>
        <w:t>确保其完好</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7"/>
          <w:w w:val="105"/>
        </w:rPr>
        <w:t>定期校验安全阀</w:t>
      </w:r>
      <w:r>
        <w:rPr>
          <w:rFonts w:hint="eastAsia" w:ascii="MS UI Gothic" w:eastAsia="MS UI Gothic"/>
          <w:spacing w:val="18"/>
          <w:w w:val="80"/>
        </w:rPr>
        <w:t xml:space="preserve">、 </w:t>
      </w:r>
      <w:r>
        <w:rPr>
          <w:spacing w:val="9"/>
          <w:w w:val="105"/>
        </w:rPr>
        <w:t>压力表</w:t>
      </w:r>
      <w:r>
        <w:rPr>
          <w:rFonts w:hint="eastAsia" w:ascii="MS UI Gothic" w:eastAsia="MS UI Gothic"/>
          <w:spacing w:val="18"/>
          <w:w w:val="80"/>
        </w:rPr>
        <w:t xml:space="preserve">ꎬ </w:t>
      </w:r>
      <w:r>
        <w:rPr>
          <w:w w:val="105"/>
        </w:rPr>
        <w:t>确</w:t>
      </w:r>
      <w:r>
        <w:rPr>
          <w:spacing w:val="3"/>
          <w:w w:val="105"/>
        </w:rPr>
        <w:t>保其准确性</w:t>
      </w:r>
      <w:r>
        <w:rPr>
          <w:rFonts w:hint="eastAsia" w:ascii="MS UI Gothic" w:eastAsia="MS UI Gothic"/>
          <w:w w:val="80"/>
        </w:rPr>
        <w:t>ꎮ</w:t>
      </w:r>
    </w:p>
    <w:p>
      <w:pPr>
        <w:pStyle w:val="6"/>
        <w:spacing w:line="295" w:lineRule="auto"/>
        <w:ind w:right="38"/>
        <w:rPr>
          <w:rFonts w:hint="eastAsia" w:ascii="MS UI Gothic" w:eastAsia="MS UI Gothic"/>
        </w:rPr>
      </w:pPr>
      <w:r>
        <w:rPr>
          <w:rFonts w:hint="eastAsia" w:ascii="MS UI Gothic" w:eastAsia="MS UI Gothic"/>
          <w:spacing w:val="-29"/>
          <w:w w:val="150"/>
        </w:rPr>
        <w:t xml:space="preserve">( </w:t>
      </w:r>
      <w:r>
        <w:rPr>
          <w:spacing w:val="3"/>
        </w:rPr>
        <w:t>三</w:t>
      </w:r>
      <w:r>
        <w:rPr>
          <w:rFonts w:hint="eastAsia" w:ascii="MS UI Gothic" w:eastAsia="MS UI Gothic"/>
          <w:spacing w:val="11"/>
          <w:w w:val="150"/>
        </w:rPr>
        <w:t xml:space="preserve">) </w:t>
      </w:r>
      <w:r>
        <w:rPr>
          <w:spacing w:val="5"/>
        </w:rPr>
        <w:t>开机前检查注油器和机身的油</w:t>
      </w:r>
      <w:r>
        <w:rPr>
          <w:spacing w:val="12"/>
        </w:rPr>
        <w:t>量是否达到开机要求</w:t>
      </w:r>
      <w:r>
        <w:rPr>
          <w:rFonts w:hint="eastAsia" w:ascii="MS UI Gothic" w:eastAsia="MS UI Gothic"/>
          <w:w w:val="80"/>
        </w:rPr>
        <w:t xml:space="preserve">ꎬ </w:t>
      </w:r>
      <w:r>
        <w:rPr>
          <w:spacing w:val="16"/>
        </w:rPr>
        <w:t>电气设备是否完</w:t>
      </w:r>
      <w:r>
        <w:rPr>
          <w:spacing w:val="3"/>
        </w:rPr>
        <w:t>好</w:t>
      </w:r>
      <w:r>
        <w:rPr>
          <w:rFonts w:hint="eastAsia" w:ascii="MS UI Gothic" w:eastAsia="MS UI Gothic"/>
          <w:spacing w:val="18"/>
          <w:w w:val="80"/>
        </w:rPr>
        <w:t xml:space="preserve">ꎬ </w:t>
      </w:r>
      <w:r>
        <w:rPr>
          <w:spacing w:val="6"/>
        </w:rPr>
        <w:t>煤层气泄露监测系统自检有无问题</w:t>
      </w:r>
      <w:r>
        <w:rPr>
          <w:rFonts w:hint="eastAsia" w:ascii="MS UI Gothic" w:eastAsia="MS UI Gothic"/>
          <w:w w:val="80"/>
        </w:rPr>
        <w:t>ꎬ</w:t>
      </w:r>
      <w:r>
        <w:rPr>
          <w:spacing w:val="3"/>
        </w:rPr>
        <w:t>管线是否松动</w:t>
      </w:r>
      <w:r>
        <w:rPr>
          <w:rFonts w:hint="eastAsia" w:ascii="MS UI Gothic" w:eastAsia="MS UI Gothic"/>
          <w:spacing w:val="20"/>
          <w:w w:val="80"/>
        </w:rPr>
        <w:t xml:space="preserve">ꎬ </w:t>
      </w:r>
      <w:r>
        <w:rPr>
          <w:spacing w:val="12"/>
        </w:rPr>
        <w:t>阀门及法兰是否有漏气</w:t>
      </w:r>
      <w:r>
        <w:rPr>
          <w:rFonts w:hint="eastAsia" w:ascii="MS UI Gothic" w:eastAsia="MS UI Gothic"/>
          <w:w w:val="80"/>
        </w:rPr>
        <w:t>、</w:t>
      </w:r>
      <w:r>
        <w:rPr>
          <w:spacing w:val="3"/>
        </w:rPr>
        <w:t>漏水现象</w:t>
      </w:r>
      <w:r>
        <w:rPr>
          <w:rFonts w:hint="eastAsia" w:ascii="MS UI Gothic" w:eastAsia="MS UI Gothic"/>
          <w:spacing w:val="23"/>
          <w:w w:val="80"/>
        </w:rPr>
        <w:t xml:space="preserve">ꎬ </w:t>
      </w:r>
      <w:r>
        <w:rPr>
          <w:spacing w:val="3"/>
        </w:rPr>
        <w:t>阀门是否在正确位置</w:t>
      </w:r>
      <w:r>
        <w:rPr>
          <w:rFonts w:hint="eastAsia" w:ascii="MS UI Gothic" w:eastAsia="MS UI Gothic"/>
          <w:spacing w:val="23"/>
          <w:w w:val="80"/>
        </w:rPr>
        <w:t xml:space="preserve">ꎬ </w:t>
      </w:r>
      <w:r>
        <w:rPr>
          <w:spacing w:val="2"/>
        </w:rPr>
        <w:t>电机有</w:t>
      </w:r>
      <w:r>
        <w:rPr>
          <w:spacing w:val="3"/>
        </w:rPr>
        <w:t>无卡塞情况</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操作时严格执行设备操作规程</w:t>
      </w:r>
      <w:r>
        <w:rPr>
          <w:rFonts w:hint="eastAsia" w:ascii="MS UI Gothic" w:eastAsia="MS UI Gothic"/>
          <w:w w:val="80"/>
        </w:rPr>
        <w:t xml:space="preserve">ꎬ </w:t>
      </w:r>
      <w:r>
        <w:rPr>
          <w:w w:val="105"/>
        </w:rPr>
        <w:t>注意高温管线</w:t>
      </w:r>
      <w:r>
        <w:rPr>
          <w:rFonts w:hint="eastAsia" w:ascii="MS UI Gothic" w:eastAsia="MS UI Gothic"/>
          <w:w w:val="80"/>
        </w:rPr>
        <w:t xml:space="preserve">ꎬ </w:t>
      </w:r>
      <w:r>
        <w:rPr>
          <w:w w:val="105"/>
        </w:rPr>
        <w:t>防止烫伤</w:t>
      </w:r>
      <w:r>
        <w:rPr>
          <w:rFonts w:hint="eastAsia" w:ascii="MS UI Gothic" w:eastAsia="MS UI Gothic"/>
          <w:w w:val="80"/>
        </w:rPr>
        <w:t xml:space="preserve">ꎬ </w:t>
      </w:r>
      <w:r>
        <w:rPr>
          <w:w w:val="105"/>
        </w:rPr>
        <w:t>防止超压</w:t>
      </w:r>
      <w:r>
        <w:rPr>
          <w:rFonts w:hint="eastAsia" w:ascii="MS UI Gothic" w:eastAsia="MS UI Gothic"/>
          <w:w w:val="80"/>
        </w:rPr>
        <w:t xml:space="preserve">、 </w:t>
      </w:r>
      <w:r>
        <w:rPr>
          <w:w w:val="105"/>
        </w:rPr>
        <w:t>超温及机件损坏</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机器运转过程中随时检查气压</w:t>
      </w:r>
      <w:r>
        <w:rPr>
          <w:rFonts w:hint="eastAsia" w:ascii="MS UI Gothic" w:eastAsia="MS UI Gothic"/>
          <w:w w:val="80"/>
        </w:rPr>
        <w:t xml:space="preserve">、 </w:t>
      </w:r>
      <w:r>
        <w:rPr>
          <w:w w:val="105"/>
        </w:rPr>
        <w:t>水压</w:t>
      </w:r>
      <w:r>
        <w:rPr>
          <w:rFonts w:hint="eastAsia" w:ascii="MS UI Gothic" w:eastAsia="MS UI Gothic"/>
          <w:w w:val="80"/>
        </w:rPr>
        <w:t xml:space="preserve">、 </w:t>
      </w:r>
      <w:r>
        <w:rPr>
          <w:w w:val="105"/>
        </w:rPr>
        <w:t>电压</w:t>
      </w:r>
      <w:r>
        <w:rPr>
          <w:rFonts w:hint="eastAsia" w:ascii="MS UI Gothic" w:eastAsia="MS UI Gothic"/>
          <w:w w:val="80"/>
        </w:rPr>
        <w:t xml:space="preserve">、 </w:t>
      </w:r>
      <w:r>
        <w:rPr>
          <w:w w:val="105"/>
        </w:rPr>
        <w:t>排气温度以及压缩机的振动强度</w:t>
      </w:r>
      <w:r>
        <w:rPr>
          <w:rFonts w:hint="eastAsia" w:ascii="MS UI Gothic" w:eastAsia="MS UI Gothic"/>
          <w:w w:val="80"/>
        </w:rPr>
        <w:t xml:space="preserve">ꎬ </w:t>
      </w:r>
      <w:r>
        <w:rPr>
          <w:w w:val="105"/>
        </w:rPr>
        <w:t>发现问题及时处理</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压缩机运转过程中观察每一级的气体温度和循环水的温度</w:t>
      </w:r>
      <w:r>
        <w:rPr>
          <w:rFonts w:hint="eastAsia" w:ascii="MS UI Gothic" w:eastAsia="MS UI Gothic"/>
          <w:w w:val="80"/>
        </w:rPr>
        <w:t>ꎮ</w:t>
      </w:r>
    </w:p>
    <w:p>
      <w:pPr>
        <w:pStyle w:val="6"/>
        <w:spacing w:line="295" w:lineRule="auto"/>
        <w:ind w:right="39"/>
        <w:rPr>
          <w:rFonts w:hint="eastAsia" w:ascii="MS UI Gothic" w:eastAsia="MS UI Gothic"/>
        </w:rPr>
      </w:pPr>
      <w:r>
        <w:rPr>
          <w:rFonts w:hint="eastAsia" w:ascii="MS UI Gothic" w:eastAsia="MS UI Gothic"/>
          <w:w w:val="150"/>
        </w:rPr>
        <w:t xml:space="preserve">( </w:t>
      </w:r>
      <w:r>
        <w:t>七</w:t>
      </w:r>
      <w:r>
        <w:rPr>
          <w:rFonts w:hint="eastAsia" w:ascii="MS UI Gothic" w:eastAsia="MS UI Gothic"/>
          <w:w w:val="150"/>
        </w:rPr>
        <w:t xml:space="preserve">) </w:t>
      </w:r>
      <w:r>
        <w:t>压缩机运转过程中按照规定排污</w:t>
      </w:r>
      <w:r>
        <w:rPr>
          <w:rFonts w:hint="eastAsia" w:ascii="MS UI Gothic" w:eastAsia="MS UI Gothic"/>
          <w:w w:val="80"/>
        </w:rPr>
        <w:t xml:space="preserve">ꎬ </w:t>
      </w:r>
      <w:r>
        <w:t>并密切注意末级排气压力</w:t>
      </w:r>
      <w:r>
        <w:rPr>
          <w:rFonts w:hint="eastAsia" w:ascii="MS UI Gothic" w:eastAsia="MS UI Gothic"/>
          <w:w w:val="80"/>
        </w:rPr>
        <w:t xml:space="preserve">ꎻ </w:t>
      </w:r>
      <w:r>
        <w:t>当压力达到一定值时</w:t>
      </w:r>
      <w:r>
        <w:rPr>
          <w:rFonts w:hint="eastAsia" w:ascii="MS UI Gothic" w:eastAsia="MS UI Gothic"/>
          <w:w w:val="80"/>
        </w:rPr>
        <w:t xml:space="preserve">ꎬ </w:t>
      </w:r>
      <w:r>
        <w:t>及时告知加气工</w:t>
      </w:r>
      <w:r>
        <w:rPr>
          <w:rFonts w:hint="eastAsia" w:ascii="MS UI Gothic" w:eastAsia="MS UI Gothic"/>
          <w:w w:val="80"/>
        </w:rPr>
        <w:t xml:space="preserve">ꎻ </w:t>
      </w:r>
      <w:r>
        <w:t>发生不正常的响声或者压力</w:t>
      </w:r>
      <w:r>
        <w:rPr>
          <w:rFonts w:hint="eastAsia" w:ascii="MS UI Gothic" w:eastAsia="MS UI Gothic"/>
          <w:w w:val="80"/>
        </w:rPr>
        <w:t xml:space="preserve">、 </w:t>
      </w:r>
      <w:r>
        <w:t>温度超出允许范围时</w:t>
      </w:r>
      <w:r>
        <w:rPr>
          <w:rFonts w:hint="eastAsia" w:ascii="MS UI Gothic" w:eastAsia="MS UI Gothic"/>
          <w:w w:val="80"/>
        </w:rPr>
        <w:t xml:space="preserve">ꎬ </w:t>
      </w:r>
      <w:r>
        <w:t>立即停机检查</w:t>
      </w:r>
      <w:r>
        <w:rPr>
          <w:rFonts w:hint="eastAsia" w:ascii="MS UI Gothic" w:eastAsia="MS UI Gothic"/>
          <w:w w:val="80"/>
        </w:rPr>
        <w:t xml:space="preserve">ꎬ </w:t>
      </w:r>
      <w:r>
        <w:t>排除故障</w:t>
      </w:r>
      <w:r>
        <w:rPr>
          <w:rFonts w:hint="eastAsia" w:ascii="MS UI Gothic" w:eastAsia="MS UI Gothic"/>
          <w:w w:val="80"/>
        </w:rPr>
        <w:t xml:space="preserve">ꎻ </w:t>
      </w:r>
      <w:r>
        <w:t>出现紧急情况时</w:t>
      </w:r>
      <w:r>
        <w:rPr>
          <w:rFonts w:hint="eastAsia" w:ascii="MS UI Gothic" w:eastAsia="MS UI Gothic"/>
          <w:w w:val="80"/>
        </w:rPr>
        <w:t xml:space="preserve">ꎬ </w:t>
      </w:r>
      <w:r>
        <w:t>按照事故紧急处理预案进行处理</w:t>
      </w:r>
      <w:r>
        <w:rPr>
          <w:rFonts w:hint="eastAsia" w:ascii="MS UI Gothic" w:eastAsia="MS UI Gothic"/>
          <w:w w:val="80"/>
        </w:rPr>
        <w:t>ꎮ</w:t>
      </w:r>
    </w:p>
    <w:p>
      <w:pPr>
        <w:pStyle w:val="6"/>
        <w:spacing w:line="251" w:lineRule="exact"/>
        <w:ind w:left="543" w:firstLine="0"/>
      </w:pPr>
      <w:r>
        <w:t>第二百零二条 清洗设备</w:t>
      </w:r>
      <w:r>
        <w:rPr>
          <w:rFonts w:hint="eastAsia" w:ascii="MS UI Gothic" w:eastAsia="MS UI Gothic"/>
        </w:rPr>
        <w:t xml:space="preserve">、 </w:t>
      </w:r>
      <w:r>
        <w:t>器具时应</w:t>
      </w:r>
    </w:p>
    <w:p>
      <w:pPr>
        <w:pStyle w:val="6"/>
        <w:spacing w:before="74" w:line="295" w:lineRule="auto"/>
        <w:ind w:right="442"/>
        <w:jc w:val="left"/>
        <w:rPr>
          <w:rFonts w:hint="eastAsia" w:ascii="MS UI Gothic" w:eastAsia="MS UI Gothic"/>
        </w:rPr>
      </w:pPr>
      <w:r>
        <w:br w:type="column"/>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严禁使用汽油</w:t>
      </w:r>
      <w:r>
        <w:rPr>
          <w:rFonts w:hint="eastAsia" w:ascii="MS UI Gothic" w:eastAsia="MS UI Gothic"/>
          <w:w w:val="80"/>
        </w:rPr>
        <w:t xml:space="preserve">、 </w:t>
      </w:r>
      <w:r>
        <w:rPr>
          <w:w w:val="105"/>
        </w:rPr>
        <w:t>苯等易燃品清洗设备</w:t>
      </w:r>
      <w:r>
        <w:rPr>
          <w:rFonts w:hint="eastAsia" w:ascii="MS UI Gothic" w:eastAsia="MS UI Gothic"/>
          <w:w w:val="80"/>
        </w:rPr>
        <w:t xml:space="preserve">、 </w:t>
      </w:r>
      <w:r>
        <w:rPr>
          <w:w w:val="105"/>
        </w:rPr>
        <w:t>器具和地坪</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严禁使用压缩气体清扫储存易</w:t>
      </w:r>
      <w:r>
        <w:rPr>
          <w:w w:val="110"/>
        </w:rPr>
        <w:t>燃油品油罐</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严禁使用化纤</w:t>
      </w:r>
      <w:r>
        <w:rPr>
          <w:rFonts w:hint="eastAsia" w:ascii="MS UI Gothic" w:eastAsia="MS UI Gothic"/>
          <w:w w:val="80"/>
        </w:rPr>
        <w:t xml:space="preserve">、 </w:t>
      </w:r>
      <w:r>
        <w:rPr>
          <w:w w:val="105"/>
        </w:rPr>
        <w:t>塑料</w:t>
      </w:r>
      <w:r>
        <w:rPr>
          <w:rFonts w:hint="eastAsia" w:ascii="MS UI Gothic" w:eastAsia="MS UI Gothic"/>
          <w:w w:val="80"/>
        </w:rPr>
        <w:t xml:space="preserve">、 </w:t>
      </w:r>
      <w:r>
        <w:rPr>
          <w:w w:val="105"/>
        </w:rPr>
        <w:t>丝绸等容易产生静电的制品擦拭物体及设备</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清洗设备时</w:t>
      </w:r>
      <w:r>
        <w:rPr>
          <w:rFonts w:hint="eastAsia" w:ascii="MS UI Gothic" w:eastAsia="MS UI Gothic"/>
          <w:w w:val="80"/>
        </w:rPr>
        <w:t xml:space="preserve">ꎬ </w:t>
      </w:r>
      <w:r>
        <w:rPr>
          <w:w w:val="105"/>
        </w:rPr>
        <w:t>作业人员按照规定着装并消除人体静电</w:t>
      </w:r>
      <w:r>
        <w:rPr>
          <w:rFonts w:hint="eastAsia" w:ascii="MS UI Gothic" w:eastAsia="MS UI Gothic"/>
          <w:w w:val="80"/>
        </w:rPr>
        <w:t>ꎮ</w:t>
      </w:r>
    </w:p>
    <w:p>
      <w:pPr>
        <w:pStyle w:val="6"/>
        <w:tabs>
          <w:tab w:val="left" w:pos="2011"/>
        </w:tabs>
        <w:spacing w:line="295" w:lineRule="auto"/>
        <w:ind w:right="442"/>
        <w:jc w:val="left"/>
        <w:rPr>
          <w:rFonts w:hint="eastAsia" w:ascii="MS UI Gothic" w:eastAsia="MS UI Gothic"/>
        </w:rPr>
      </w:pPr>
      <w:r>
        <w:rPr>
          <w:spacing w:val="3"/>
          <w:w w:val="105"/>
        </w:rPr>
        <w:t>第二百零三</w:t>
      </w:r>
      <w:r>
        <w:rPr>
          <w:w w:val="105"/>
        </w:rPr>
        <w:t>条</w:t>
      </w:r>
      <w:r>
        <w:rPr>
          <w:w w:val="105"/>
        </w:rPr>
        <w:tab/>
      </w:r>
      <w:r>
        <w:rPr>
          <w:spacing w:val="3"/>
        </w:rPr>
        <w:t>人员着装和防静电</w:t>
      </w:r>
      <w:r>
        <w:rPr>
          <w:spacing w:val="-11"/>
        </w:rPr>
        <w:t>应</w:t>
      </w:r>
      <w:r>
        <w:rPr>
          <w:spacing w:val="3"/>
          <w:w w:val="110"/>
        </w:rPr>
        <w:t>当符合下列要求</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进入爆炸危险场所</w:t>
      </w:r>
      <w:r>
        <w:rPr>
          <w:rFonts w:hint="eastAsia" w:ascii="MS UI Gothic" w:eastAsia="MS UI Gothic"/>
          <w:w w:val="80"/>
        </w:rPr>
        <w:t xml:space="preserve">ꎬ </w:t>
      </w:r>
      <w:r>
        <w:rPr>
          <w:w w:val="105"/>
        </w:rPr>
        <w:t>穿着有劳动安全标志的防静电服</w:t>
      </w:r>
      <w:r>
        <w:rPr>
          <w:rFonts w:hint="eastAsia" w:ascii="MS UI Gothic" w:eastAsia="MS UI Gothic"/>
          <w:w w:val="80"/>
        </w:rPr>
        <w:t xml:space="preserve">、 </w:t>
      </w:r>
      <w:r>
        <w:rPr>
          <w:w w:val="105"/>
        </w:rPr>
        <w:t>棉布工作服和防静电鞋</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进入爆炸危险场所前</w:t>
      </w:r>
      <w:r>
        <w:rPr>
          <w:rFonts w:hint="eastAsia" w:ascii="MS UI Gothic" w:eastAsia="MS UI Gothic"/>
          <w:w w:val="80"/>
        </w:rPr>
        <w:t xml:space="preserve">ꎬ </w:t>
      </w:r>
      <w:r>
        <w:rPr>
          <w:w w:val="105"/>
        </w:rPr>
        <w:t>预先触摸人体消静电球</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严禁在爆炸危险场所穿衣</w:t>
      </w:r>
      <w:r>
        <w:rPr>
          <w:rFonts w:hint="eastAsia" w:ascii="MS UI Gothic" w:eastAsia="MS UI Gothic"/>
          <w:w w:val="80"/>
        </w:rPr>
        <w:t xml:space="preserve">、 </w:t>
      </w:r>
      <w:r>
        <w:rPr>
          <w:w w:val="105"/>
        </w:rPr>
        <w:t>脱衣</w:t>
      </w:r>
      <w:r>
        <w:rPr>
          <w:rFonts w:hint="eastAsia" w:ascii="MS UI Gothic" w:eastAsia="MS UI Gothic"/>
          <w:w w:val="80"/>
        </w:rPr>
        <w:t xml:space="preserve">、 </w:t>
      </w:r>
      <w:r>
        <w:rPr>
          <w:w w:val="105"/>
        </w:rPr>
        <w:t>拍打服装以及梳头</w:t>
      </w:r>
      <w:r>
        <w:rPr>
          <w:rFonts w:hint="eastAsia" w:ascii="MS UI Gothic" w:eastAsia="MS UI Gothic"/>
          <w:w w:val="80"/>
        </w:rPr>
        <w:t xml:space="preserve">、 </w:t>
      </w:r>
      <w:r>
        <w:rPr>
          <w:w w:val="105"/>
        </w:rPr>
        <w:t>打闹等</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爆炸危险场所的地坪不得涂刷绝缘油漆</w:t>
      </w:r>
      <w:r>
        <w:rPr>
          <w:rFonts w:hint="eastAsia" w:ascii="MS UI Gothic" w:eastAsia="MS UI Gothic"/>
          <w:w w:val="80"/>
        </w:rPr>
        <w:t xml:space="preserve">ꎬ </w:t>
      </w:r>
      <w:r>
        <w:rPr>
          <w:w w:val="105"/>
        </w:rPr>
        <w:t>或者铺设非导静电的材料</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第二百零四条 人员操作应当符合下</w:t>
      </w:r>
      <w:r>
        <w:rPr>
          <w:w w:val="115"/>
        </w:rPr>
        <w:t>列要求</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经过本工种专业安全培训</w:t>
      </w:r>
      <w:r>
        <w:rPr>
          <w:rFonts w:hint="eastAsia" w:ascii="MS UI Gothic" w:eastAsia="MS UI Gothic"/>
          <w:w w:val="80"/>
        </w:rPr>
        <w:t xml:space="preserve">ꎬ </w:t>
      </w:r>
      <w:r>
        <w:rPr>
          <w:w w:val="105"/>
        </w:rPr>
        <w:t>通过考试取得合格证后</w:t>
      </w:r>
      <w:r>
        <w:rPr>
          <w:rFonts w:hint="eastAsia" w:ascii="MS UI Gothic" w:eastAsia="MS UI Gothic"/>
          <w:w w:val="80"/>
        </w:rPr>
        <w:t xml:space="preserve">ꎬ </w:t>
      </w:r>
      <w:r>
        <w:rPr>
          <w:w w:val="105"/>
        </w:rPr>
        <w:t>持证上岗</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掌握岗位应急预案的执行程</w:t>
      </w:r>
      <w:r>
        <w:t>序</w:t>
      </w:r>
      <w:r>
        <w:rPr>
          <w:rFonts w:hint="eastAsia" w:ascii="MS UI Gothic" w:eastAsia="MS UI Gothic"/>
          <w:w w:val="80"/>
        </w:rPr>
        <w:t xml:space="preserve">ꎬ </w:t>
      </w:r>
      <w:r>
        <w:t>遇到紧急情况</w:t>
      </w:r>
      <w:r>
        <w:rPr>
          <w:rFonts w:hint="eastAsia" w:ascii="MS UI Gothic" w:eastAsia="MS UI Gothic"/>
          <w:w w:val="80"/>
        </w:rPr>
        <w:t xml:space="preserve">ꎬ </w:t>
      </w:r>
      <w:r>
        <w:t>能够按照应急措施迅</w:t>
      </w:r>
      <w:r>
        <w:rPr>
          <w:w w:val="105"/>
        </w:rPr>
        <w:t>速作出处理</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熟悉本岗位装置的工作原理</w:t>
      </w:r>
      <w:r>
        <w:rPr>
          <w:rFonts w:hint="eastAsia" w:ascii="MS UI Gothic" w:eastAsia="MS UI Gothic"/>
          <w:w w:val="80"/>
        </w:rPr>
        <w:t>、</w:t>
      </w:r>
      <w:r>
        <w:rPr>
          <w:w w:val="105"/>
        </w:rPr>
        <w:t>构造</w:t>
      </w:r>
      <w:r>
        <w:rPr>
          <w:rFonts w:hint="eastAsia" w:ascii="MS UI Gothic" w:eastAsia="MS UI Gothic"/>
          <w:w w:val="80"/>
        </w:rPr>
        <w:t xml:space="preserve">、 </w:t>
      </w:r>
      <w:r>
        <w:rPr>
          <w:w w:val="105"/>
        </w:rPr>
        <w:t>性能</w:t>
      </w:r>
      <w:r>
        <w:rPr>
          <w:rFonts w:hint="eastAsia" w:ascii="MS UI Gothic" w:eastAsia="MS UI Gothic"/>
          <w:w w:val="80"/>
        </w:rPr>
        <w:t xml:space="preserve">、 </w:t>
      </w:r>
      <w:r>
        <w:rPr>
          <w:w w:val="105"/>
        </w:rPr>
        <w:t>技术特征</w:t>
      </w:r>
      <w:r>
        <w:rPr>
          <w:rFonts w:hint="eastAsia" w:ascii="MS UI Gothic" w:eastAsia="MS UI Gothic"/>
          <w:w w:val="80"/>
        </w:rPr>
        <w:t xml:space="preserve">、 </w:t>
      </w:r>
      <w:r>
        <w:rPr>
          <w:w w:val="105"/>
        </w:rPr>
        <w:t>零部件的名称和作用</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熟悉本岗位电气控制设备的操作方法和有关的电气基本知识</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按照规定穿好工作服</w:t>
      </w:r>
      <w:r>
        <w:rPr>
          <w:rFonts w:hint="eastAsia" w:ascii="MS UI Gothic" w:eastAsia="MS UI Gothic"/>
          <w:w w:val="80"/>
        </w:rPr>
        <w:t xml:space="preserve">ꎬ </w:t>
      </w:r>
      <w:r>
        <w:rPr>
          <w:w w:val="105"/>
        </w:rPr>
        <w:t>并佩戴有关劳动防护用品</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排污时严禁操作人员将手伸向</w:t>
      </w:r>
      <w:r>
        <w:rPr>
          <w:w w:val="110"/>
        </w:rPr>
        <w:t>排污口</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排污时发现异常情况立即报告</w:t>
      </w:r>
      <w:r>
        <w:rPr>
          <w:rFonts w:hint="eastAsia" w:ascii="MS UI Gothic" w:eastAsia="MS UI Gothic"/>
          <w:w w:val="80"/>
        </w:rPr>
        <w:t xml:space="preserve">ꎬ </w:t>
      </w:r>
      <w:r>
        <w:rPr>
          <w:w w:val="105"/>
        </w:rPr>
        <w:t>由专业人员处理</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ind w:left="0" w:firstLine="0"/>
        <w:jc w:val="left"/>
        <w:rPr>
          <w:rFonts w:ascii="MS UI Gothic"/>
          <w:sz w:val="24"/>
        </w:rPr>
      </w:pPr>
    </w:p>
    <w:p>
      <w:pPr>
        <w:pStyle w:val="6"/>
        <w:ind w:left="0" w:firstLine="0"/>
        <w:jc w:val="left"/>
        <w:rPr>
          <w:rFonts w:ascii="MS UI Gothic"/>
          <w:sz w:val="24"/>
        </w:rPr>
      </w:pPr>
    </w:p>
    <w:p>
      <w:pPr>
        <w:pStyle w:val="6"/>
        <w:spacing w:before="11"/>
        <w:ind w:left="0" w:firstLine="0"/>
        <w:jc w:val="left"/>
        <w:rPr>
          <w:rFonts w:ascii="MS UI Gothic"/>
          <w:sz w:val="19"/>
        </w:rPr>
      </w:pPr>
    </w:p>
    <w:p>
      <w:pPr>
        <w:pStyle w:val="6"/>
        <w:tabs>
          <w:tab w:val="left" w:pos="2432"/>
          <w:tab w:val="left" w:pos="3060"/>
        </w:tabs>
        <w:spacing w:line="83" w:lineRule="exact"/>
        <w:ind w:left="1384" w:firstLine="0"/>
        <w:jc w:val="left"/>
      </w:pPr>
      <w:r>
        <w:pict>
          <v:shape id="_x0000_s2119" o:spid="_x0000_s2119" style="position:absolute;left:0pt;margin-left:0pt;margin-top:656.65pt;height:1.75pt;width:398.25pt;mso-position-horizontal-relative:page;z-index:252102656;mso-width-relative:page;mso-height-relative:page;" filled="f" stroked="t" coordorigin="0,13133" coordsize="7965,35" path="m1419,-353l9384,-353m1419,-388l9384,-388e">
            <v:path arrowok="t"/>
            <v:fill on="f" focussize="0,0"/>
            <v:stroke weight="0.388031496062992pt" color="#231F20"/>
            <v:imagedata o:title=""/>
            <o:lock v:ext="edit"/>
          </v:shape>
        </w:pict>
      </w:r>
      <w:r>
        <w:rPr>
          <w:spacing w:val="3"/>
          <w:w w:val="105"/>
        </w:rPr>
        <w:t>第十二</w:t>
      </w:r>
      <w:r>
        <w:rPr>
          <w:w w:val="105"/>
        </w:rPr>
        <w:t>章</w:t>
      </w:r>
      <w:r>
        <w:rPr>
          <w:w w:val="105"/>
        </w:rPr>
        <w:tab/>
      </w:r>
      <w:r>
        <w:rPr>
          <w:w w:val="105"/>
        </w:rPr>
        <w:t>附</w:t>
      </w:r>
      <w:r>
        <w:rPr>
          <w:w w:val="105"/>
        </w:rPr>
        <w:tab/>
      </w:r>
      <w:r>
        <w:rPr>
          <w:spacing w:val="-20"/>
          <w:w w:val="105"/>
        </w:rPr>
        <w:t>则</w:t>
      </w:r>
    </w:p>
    <w:p>
      <w:pPr>
        <w:spacing w:before="192"/>
        <w:ind w:left="396" w:right="0" w:firstLine="0"/>
        <w:jc w:val="left"/>
        <w:rPr>
          <w:sz w:val="17"/>
        </w:rPr>
      </w:pPr>
      <w:r>
        <w:br w:type="column"/>
      </w: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spacing w:line="240" w:lineRule="exact"/>
        <w:ind w:left="1326" w:firstLine="0"/>
        <w:jc w:val="left"/>
        <w:rPr>
          <w:rFonts w:hint="eastAsia" w:ascii="MS UI Gothic" w:eastAsia="MS UI Gothic"/>
        </w:rPr>
      </w:pPr>
      <w:r>
        <w:t>露的煤层气井</w:t>
      </w:r>
      <w:r>
        <w:rPr>
          <w:rFonts w:hint="eastAsia" w:ascii="MS UI Gothic" w:eastAsia="MS UI Gothic"/>
          <w:w w:val="80"/>
        </w:rPr>
        <w:t>ꎮ</w:t>
      </w:r>
    </w:p>
    <w:p>
      <w:pPr>
        <w:pStyle w:val="6"/>
        <w:spacing w:before="159"/>
        <w:ind w:left="1384" w:firstLine="0"/>
        <w:jc w:val="left"/>
        <w:rPr>
          <w:rFonts w:hint="eastAsia" w:ascii="MS UI Gothic" w:eastAsia="MS UI Gothic"/>
        </w:rPr>
      </w:pPr>
      <w:r>
        <w:br w:type="column"/>
      </w:r>
      <w:r>
        <w:rPr>
          <w:rFonts w:hint="eastAsia" w:ascii="MS UI Gothic" w:eastAsia="MS UI Gothic"/>
          <w:spacing w:val="1"/>
          <w:w w:val="75"/>
        </w:rPr>
        <w:t>３７１</w:t>
      </w:r>
    </w:p>
    <w:p>
      <w:pPr>
        <w:spacing w:after="0"/>
        <w:jc w:val="left"/>
        <w:rPr>
          <w:rFonts w:hint="eastAsia" w:ascii="MS UI Gothic" w:eastAsia="MS UI Gothic"/>
        </w:rPr>
        <w:sectPr>
          <w:pgSz w:w="10500" w:h="14750"/>
          <w:pgMar w:top="960" w:right="980" w:bottom="280" w:left="980" w:header="720" w:footer="720" w:gutter="0"/>
          <w:cols w:equalWidth="0" w:num="3">
            <w:col w:w="3267" w:space="40"/>
            <w:col w:w="2727" w:space="95"/>
            <w:col w:w="2411"/>
          </w:cols>
        </w:sectPr>
      </w:pPr>
    </w:p>
    <w:p>
      <w:pPr>
        <w:pStyle w:val="6"/>
        <w:spacing w:before="389" w:line="295" w:lineRule="auto"/>
        <w:ind w:left="440" w:right="1"/>
        <w:rPr>
          <w:rFonts w:hint="eastAsia" w:ascii="MS UI Gothic" w:eastAsia="MS UI Gothic"/>
        </w:rPr>
      </w:pPr>
      <w:r>
        <w:rPr>
          <w:w w:val="105"/>
        </w:rPr>
        <w:t>第二百零五条 本规程下列用语的</w:t>
      </w:r>
      <w:r>
        <w:rPr>
          <w:w w:val="115"/>
        </w:rPr>
        <w:t>含义</w:t>
      </w:r>
      <w:r>
        <w:rPr>
          <w:rFonts w:hint="eastAsia" w:ascii="MS UI Gothic" w:eastAsia="MS UI Gothic"/>
          <w:w w:val="235"/>
        </w:rPr>
        <w:t>:</w:t>
      </w:r>
    </w:p>
    <w:p>
      <w:pPr>
        <w:pStyle w:val="6"/>
        <w:spacing w:line="295" w:lineRule="auto"/>
        <w:ind w:left="440" w:right="1"/>
        <w:rPr>
          <w:rFonts w:hint="eastAsia" w:ascii="MS UI Gothic" w:eastAsia="MS UI Gothic"/>
        </w:rPr>
      </w:pPr>
      <w:r>
        <w:t>煤层气</w:t>
      </w:r>
      <w:r>
        <w:rPr>
          <w:rFonts w:hint="eastAsia" w:ascii="MS UI Gothic" w:eastAsia="MS UI Gothic"/>
          <w:w w:val="80"/>
        </w:rPr>
        <w:t xml:space="preserve">ꎬ </w:t>
      </w:r>
      <w:r>
        <w:t>是指赋存在煤层中以甲烷为主要成分</w:t>
      </w:r>
      <w:r>
        <w:rPr>
          <w:rFonts w:hint="eastAsia" w:ascii="MS UI Gothic" w:eastAsia="MS UI Gothic"/>
          <w:w w:val="80"/>
        </w:rPr>
        <w:t xml:space="preserve">、 </w:t>
      </w:r>
      <w:r>
        <w:t>以吸附在煤基质颗粒表面为主</w:t>
      </w:r>
      <w:r>
        <w:rPr>
          <w:rFonts w:hint="eastAsia" w:ascii="MS UI Gothic" w:eastAsia="MS UI Gothic"/>
          <w:w w:val="80"/>
        </w:rPr>
        <w:t xml:space="preserve">、 </w:t>
      </w:r>
      <w:r>
        <w:t>部分游离于煤孔隙中或者溶解于煤层水中的烃类气体</w:t>
      </w:r>
      <w:r>
        <w:rPr>
          <w:rFonts w:hint="eastAsia" w:ascii="MS UI Gothic" w:eastAsia="MS UI Gothic"/>
          <w:w w:val="80"/>
        </w:rPr>
        <w:t>ꎮ</w:t>
      </w:r>
    </w:p>
    <w:p>
      <w:pPr>
        <w:pStyle w:val="6"/>
        <w:spacing w:line="295" w:lineRule="auto"/>
        <w:ind w:left="440" w:right="1"/>
        <w:rPr>
          <w:rFonts w:hint="eastAsia" w:ascii="MS UI Gothic" w:eastAsia="MS UI Gothic"/>
        </w:rPr>
      </w:pPr>
      <w:r>
        <w:t>煤层气地面开采</w:t>
      </w:r>
      <w:r>
        <w:rPr>
          <w:rFonts w:hint="eastAsia" w:ascii="MS UI Gothic" w:eastAsia="MS UI Gothic"/>
          <w:w w:val="80"/>
        </w:rPr>
        <w:t xml:space="preserve">ꎬ </w:t>
      </w:r>
      <w:r>
        <w:t>是指煤层气井的钻井</w:t>
      </w:r>
      <w:r>
        <w:rPr>
          <w:rFonts w:hint="eastAsia" w:ascii="MS UI Gothic" w:eastAsia="MS UI Gothic"/>
          <w:w w:val="80"/>
        </w:rPr>
        <w:t xml:space="preserve">、 </w:t>
      </w:r>
      <w:r>
        <w:t>测井</w:t>
      </w:r>
      <w:r>
        <w:rPr>
          <w:rFonts w:hint="eastAsia" w:ascii="MS UI Gothic" w:eastAsia="MS UI Gothic"/>
          <w:w w:val="80"/>
        </w:rPr>
        <w:t xml:space="preserve">、 </w:t>
      </w:r>
      <w:r>
        <w:t>压裂等施工环节及后期的排采管理</w:t>
      </w:r>
      <w:r>
        <w:rPr>
          <w:rFonts w:hint="eastAsia" w:ascii="MS UI Gothic" w:eastAsia="MS UI Gothic"/>
          <w:w w:val="80"/>
        </w:rPr>
        <w:t xml:space="preserve">、 </w:t>
      </w:r>
      <w:r>
        <w:t>管线集输和压缩工程</w:t>
      </w:r>
      <w:r>
        <w:rPr>
          <w:rFonts w:hint="eastAsia" w:ascii="MS UI Gothic" w:eastAsia="MS UI Gothic"/>
          <w:w w:val="80"/>
        </w:rPr>
        <w:t>ꎮ</w:t>
      </w:r>
    </w:p>
    <w:p>
      <w:pPr>
        <w:pStyle w:val="6"/>
        <w:spacing w:line="295" w:lineRule="auto"/>
        <w:ind w:left="440" w:right="1"/>
        <w:rPr>
          <w:rFonts w:hint="eastAsia" w:ascii="MS UI Gothic" w:eastAsia="MS UI Gothic"/>
        </w:rPr>
      </w:pPr>
      <w:r>
        <w:t>煤层气企业</w:t>
      </w:r>
      <w:r>
        <w:rPr>
          <w:rFonts w:hint="eastAsia" w:ascii="MS UI Gothic" w:eastAsia="MS UI Gothic"/>
          <w:w w:val="80"/>
        </w:rPr>
        <w:t xml:space="preserve">ꎬ </w:t>
      </w:r>
      <w:r>
        <w:t>是指专门从事煤层气地面开采的企业</w:t>
      </w:r>
      <w:r>
        <w:rPr>
          <w:rFonts w:hint="eastAsia" w:ascii="MS UI Gothic" w:eastAsia="MS UI Gothic"/>
          <w:w w:val="80"/>
        </w:rPr>
        <w:t>ꎮ</w:t>
      </w:r>
    </w:p>
    <w:p>
      <w:pPr>
        <w:pStyle w:val="6"/>
        <w:spacing w:line="295" w:lineRule="auto"/>
        <w:ind w:left="440" w:right="1"/>
        <w:rPr>
          <w:rFonts w:hint="eastAsia" w:ascii="MS UI Gothic" w:eastAsia="MS UI Gothic"/>
        </w:rPr>
      </w:pPr>
      <w:r>
        <w:t>井位</w:t>
      </w:r>
      <w:r>
        <w:rPr>
          <w:rFonts w:hint="eastAsia" w:ascii="MS UI Gothic" w:eastAsia="MS UI Gothic"/>
          <w:w w:val="80"/>
        </w:rPr>
        <w:t xml:space="preserve">ꎬ </w:t>
      </w:r>
      <w:r>
        <w:t>是指为了进行煤层气开采而综合各种地质资料进行设计和优选出来的井</w:t>
      </w:r>
      <w:r>
        <w:rPr>
          <w:w w:val="105"/>
        </w:rPr>
        <w:t>的布置位置</w:t>
      </w:r>
      <w:r>
        <w:rPr>
          <w:rFonts w:hint="eastAsia" w:ascii="MS UI Gothic" w:eastAsia="MS UI Gothic"/>
          <w:w w:val="80"/>
        </w:rPr>
        <w:t>ꎮ</w:t>
      </w:r>
    </w:p>
    <w:p>
      <w:pPr>
        <w:pStyle w:val="6"/>
        <w:spacing w:line="295" w:lineRule="auto"/>
        <w:ind w:left="440" w:right="1"/>
        <w:rPr>
          <w:rFonts w:hint="eastAsia" w:ascii="MS UI Gothic" w:eastAsia="MS UI Gothic"/>
        </w:rPr>
      </w:pPr>
      <w:r>
        <w:t>排采</w:t>
      </w:r>
      <w:r>
        <w:rPr>
          <w:rFonts w:hint="eastAsia" w:ascii="MS UI Gothic" w:eastAsia="MS UI Gothic"/>
          <w:w w:val="80"/>
        </w:rPr>
        <w:t xml:space="preserve">ꎬ </w:t>
      </w:r>
      <w:r>
        <w:t>是指通过抽排煤层及其围岩中的地下水来降低煤储层的压力</w:t>
      </w:r>
      <w:r>
        <w:rPr>
          <w:rFonts w:hint="eastAsia" w:ascii="MS UI Gothic" w:eastAsia="MS UI Gothic"/>
          <w:w w:val="80"/>
        </w:rPr>
        <w:t xml:space="preserve">ꎬ </w:t>
      </w:r>
      <w:r>
        <w:t>诱导甲烷从煤层中解吸出来</w:t>
      </w:r>
      <w:r>
        <w:rPr>
          <w:rFonts w:hint="eastAsia" w:ascii="MS UI Gothic" w:eastAsia="MS UI Gothic"/>
          <w:w w:val="80"/>
        </w:rPr>
        <w:t>ꎮ</w:t>
      </w:r>
    </w:p>
    <w:p>
      <w:pPr>
        <w:pStyle w:val="6"/>
        <w:spacing w:line="295" w:lineRule="auto"/>
        <w:ind w:left="440" w:right="1"/>
        <w:rPr>
          <w:rFonts w:hint="eastAsia" w:ascii="MS UI Gothic" w:eastAsia="MS UI Gothic"/>
        </w:rPr>
      </w:pPr>
      <w:r>
        <w:t>煤层气井</w:t>
      </w:r>
      <w:r>
        <w:rPr>
          <w:rFonts w:hint="eastAsia" w:ascii="MS UI Gothic" w:eastAsia="MS UI Gothic"/>
          <w:w w:val="80"/>
        </w:rPr>
        <w:t xml:space="preserve">ꎬ </w:t>
      </w:r>
      <w:r>
        <w:t>是指通过地面钻井进入煤层</w:t>
      </w:r>
      <w:r>
        <w:rPr>
          <w:rFonts w:hint="eastAsia" w:ascii="MS UI Gothic" w:eastAsia="MS UI Gothic"/>
          <w:w w:val="80"/>
        </w:rPr>
        <w:t xml:space="preserve">ꎬ </w:t>
      </w:r>
      <w:r>
        <w:t>利用煤层气自身赋存压力与钻井空间的压力差释放煤层气的井孔</w:t>
      </w:r>
      <w:r>
        <w:rPr>
          <w:rFonts w:hint="eastAsia" w:ascii="MS UI Gothic" w:eastAsia="MS UI Gothic"/>
          <w:w w:val="80"/>
        </w:rPr>
        <w:t>ꎮ</w:t>
      </w:r>
    </w:p>
    <w:p>
      <w:pPr>
        <w:pStyle w:val="6"/>
        <w:spacing w:line="295" w:lineRule="auto"/>
        <w:ind w:left="440"/>
      </w:pPr>
      <w:r>
        <w:t>裸眼井</w:t>
      </w:r>
      <w:r>
        <w:rPr>
          <w:rFonts w:hint="eastAsia" w:ascii="MS UI Gothic" w:eastAsia="MS UI Gothic"/>
          <w:w w:val="80"/>
        </w:rPr>
        <w:t xml:space="preserve">ꎬ </w:t>
      </w:r>
      <w:r>
        <w:t>是指在煤层顶部下套管后</w:t>
      </w:r>
      <w:r>
        <w:rPr>
          <w:rFonts w:hint="eastAsia" w:ascii="MS UI Gothic" w:eastAsia="MS UI Gothic"/>
          <w:w w:val="80"/>
        </w:rPr>
        <w:t>ꎬ</w:t>
      </w:r>
      <w:r>
        <w:t>一直钻进煤层至设计深度终孔</w:t>
      </w:r>
      <w:r>
        <w:rPr>
          <w:rFonts w:hint="eastAsia" w:ascii="MS UI Gothic" w:eastAsia="MS UI Gothic"/>
          <w:w w:val="80"/>
        </w:rPr>
        <w:t xml:space="preserve">ꎬ </w:t>
      </w:r>
      <w:r>
        <w:t>使煤层裸</w:t>
      </w:r>
    </w:p>
    <w:p>
      <w:pPr>
        <w:pStyle w:val="6"/>
        <w:spacing w:before="74" w:line="295" w:lineRule="auto"/>
        <w:ind w:left="381" w:right="126"/>
        <w:rPr>
          <w:rFonts w:hint="eastAsia" w:ascii="MS UI Gothic" w:eastAsia="MS UI Gothic"/>
        </w:rPr>
      </w:pPr>
      <w:r>
        <w:br w:type="column"/>
      </w:r>
      <w:r>
        <w:t>站场</w:t>
      </w:r>
      <w:r>
        <w:rPr>
          <w:rFonts w:hint="eastAsia" w:ascii="MS UI Gothic" w:eastAsia="MS UI Gothic"/>
          <w:w w:val="80"/>
        </w:rPr>
        <w:t xml:space="preserve">ꎬ </w:t>
      </w:r>
      <w:r>
        <w:t>是指收集煤层气气源</w:t>
      </w:r>
      <w:r>
        <w:rPr>
          <w:rFonts w:hint="eastAsia" w:ascii="MS UI Gothic" w:eastAsia="MS UI Gothic"/>
          <w:w w:val="80"/>
        </w:rPr>
        <w:t xml:space="preserve">ꎬ </w:t>
      </w:r>
      <w:r>
        <w:t>进行净化处理</w:t>
      </w:r>
      <w:r>
        <w:rPr>
          <w:rFonts w:hint="eastAsia" w:ascii="MS UI Gothic" w:eastAsia="MS UI Gothic"/>
          <w:w w:val="80"/>
        </w:rPr>
        <w:t xml:space="preserve">ꎬ </w:t>
      </w:r>
      <w:r>
        <w:t>压缩输送的站场</w:t>
      </w:r>
      <w:r>
        <w:rPr>
          <w:rFonts w:hint="eastAsia" w:ascii="MS UI Gothic" w:eastAsia="MS UI Gothic"/>
          <w:w w:val="80"/>
        </w:rPr>
        <w:t>ꎮ</w:t>
      </w:r>
    </w:p>
    <w:p>
      <w:pPr>
        <w:pStyle w:val="6"/>
        <w:spacing w:line="295" w:lineRule="auto"/>
        <w:ind w:left="381" w:right="126"/>
        <w:rPr>
          <w:rFonts w:hint="eastAsia" w:ascii="MS UI Gothic" w:eastAsia="MS UI Gothic"/>
        </w:rPr>
      </w:pPr>
      <w:r>
        <w:t>阈限值</w:t>
      </w:r>
      <w:r>
        <w:rPr>
          <w:rFonts w:hint="eastAsia" w:ascii="MS UI Gothic" w:eastAsia="MS UI Gothic"/>
          <w:w w:val="80"/>
        </w:rPr>
        <w:t xml:space="preserve">ꎬ </w:t>
      </w:r>
      <w:r>
        <w:t>是指长期暴露的工作人员不会受到不利影响的某种有毒物质在空气中</w:t>
      </w:r>
      <w:r>
        <w:rPr>
          <w:w w:val="105"/>
        </w:rPr>
        <w:t>的最大浓度</w:t>
      </w:r>
      <w:r>
        <w:rPr>
          <w:rFonts w:hint="eastAsia" w:ascii="MS UI Gothic" w:eastAsia="MS UI Gothic"/>
          <w:w w:val="80"/>
        </w:rPr>
        <w:t>ꎮ</w:t>
      </w:r>
    </w:p>
    <w:p>
      <w:pPr>
        <w:pStyle w:val="6"/>
        <w:spacing w:line="295" w:lineRule="auto"/>
        <w:ind w:left="381" w:right="126"/>
        <w:rPr>
          <w:rFonts w:hint="eastAsia" w:ascii="MS UI Gothic" w:eastAsia="MS UI Gothic"/>
        </w:rPr>
      </w:pPr>
      <w:r>
        <w:t>安全临界浓度</w:t>
      </w:r>
      <w:r>
        <w:rPr>
          <w:rFonts w:hint="eastAsia" w:ascii="MS UI Gothic" w:eastAsia="MS UI Gothic"/>
          <w:w w:val="80"/>
        </w:rPr>
        <w:t xml:space="preserve">ꎬ </w:t>
      </w:r>
      <w:r>
        <w:t xml:space="preserve">是指工作人员在露天安全工作 </w:t>
      </w:r>
      <w:r>
        <w:rPr>
          <w:rFonts w:hint="eastAsia" w:ascii="MS UI Gothic" w:eastAsia="MS UI Gothic"/>
          <w:w w:val="80"/>
        </w:rPr>
        <w:t xml:space="preserve">８ </w:t>
      </w:r>
      <w:r>
        <w:t>小时可接受的硫化氢最高浓度</w:t>
      </w:r>
      <w:r>
        <w:rPr>
          <w:rFonts w:hint="eastAsia" w:ascii="MS UI Gothic" w:eastAsia="MS UI Gothic"/>
          <w:w w:val="80"/>
        </w:rPr>
        <w:t>ꎮ</w:t>
      </w:r>
    </w:p>
    <w:p>
      <w:pPr>
        <w:pStyle w:val="6"/>
        <w:spacing w:line="295" w:lineRule="auto"/>
        <w:ind w:left="381" w:right="124"/>
        <w:rPr>
          <w:rFonts w:hint="eastAsia" w:ascii="MS UI Gothic" w:eastAsia="MS UI Gothic"/>
        </w:rPr>
      </w:pPr>
      <w:r>
        <w:t>危险临界浓度</w:t>
      </w:r>
      <w:r>
        <w:rPr>
          <w:rFonts w:hint="eastAsia" w:ascii="MS UI Gothic" w:eastAsia="MS UI Gothic"/>
          <w:w w:val="80"/>
        </w:rPr>
        <w:t xml:space="preserve">ꎬ </w:t>
      </w:r>
      <w:r>
        <w:t>是指达到此浓度时</w:t>
      </w:r>
      <w:r>
        <w:rPr>
          <w:rFonts w:hint="eastAsia" w:ascii="MS UI Gothic" w:eastAsia="MS UI Gothic"/>
          <w:w w:val="80"/>
        </w:rPr>
        <w:t>ꎬ</w:t>
      </w:r>
      <w:r>
        <w:t>对生命和健康会产生不可逆转的或者延迟性的影响</w:t>
      </w:r>
      <w:r>
        <w:rPr>
          <w:rFonts w:hint="eastAsia" w:ascii="MS UI Gothic" w:eastAsia="MS UI Gothic"/>
          <w:w w:val="80"/>
        </w:rPr>
        <w:t>ꎮ</w:t>
      </w:r>
    </w:p>
    <w:p>
      <w:pPr>
        <w:pStyle w:val="6"/>
        <w:spacing w:line="295" w:lineRule="auto"/>
        <w:ind w:left="381" w:right="126"/>
        <w:rPr>
          <w:rFonts w:hint="eastAsia" w:ascii="MS UI Gothic" w:eastAsia="MS UI Gothic"/>
        </w:rPr>
      </w:pPr>
      <w:r>
        <w:t>置换</w:t>
      </w:r>
      <w:r>
        <w:rPr>
          <w:rFonts w:hint="eastAsia" w:ascii="MS UI Gothic" w:eastAsia="MS UI Gothic"/>
          <w:w w:val="80"/>
        </w:rPr>
        <w:t xml:space="preserve">ꎬ </w:t>
      </w:r>
      <w:r>
        <w:t>是指用氮气等惰性气体将作业管道</w:t>
      </w:r>
      <w:r>
        <w:rPr>
          <w:rFonts w:hint="eastAsia" w:ascii="MS UI Gothic" w:eastAsia="MS UI Gothic"/>
          <w:w w:val="80"/>
        </w:rPr>
        <w:t xml:space="preserve">、 </w:t>
      </w:r>
      <w:r>
        <w:t>设备等集输系统内的空气或者可燃气体替换出来的一种方法</w:t>
      </w:r>
      <w:r>
        <w:rPr>
          <w:rFonts w:hint="eastAsia" w:ascii="MS UI Gothic" w:eastAsia="MS UI Gothic"/>
          <w:w w:val="80"/>
        </w:rPr>
        <w:t>ꎮ</w:t>
      </w:r>
    </w:p>
    <w:p>
      <w:pPr>
        <w:pStyle w:val="6"/>
        <w:spacing w:line="295" w:lineRule="auto"/>
        <w:ind w:left="381" w:right="124"/>
        <w:rPr>
          <w:rFonts w:hint="eastAsia" w:ascii="MS UI Gothic" w:eastAsia="MS UI Gothic"/>
        </w:rPr>
      </w:pPr>
      <w:r>
        <w:t>动火</w:t>
      </w:r>
      <w:r>
        <w:rPr>
          <w:rFonts w:hint="eastAsia" w:ascii="MS UI Gothic" w:eastAsia="MS UI Gothic"/>
          <w:w w:val="80"/>
        </w:rPr>
        <w:t xml:space="preserve">ꎬ </w:t>
      </w:r>
      <w:r>
        <w:t>是指在易燃易爆危险区域内和煤层气容器</w:t>
      </w:r>
      <w:r>
        <w:rPr>
          <w:rFonts w:hint="eastAsia" w:ascii="MS UI Gothic" w:eastAsia="MS UI Gothic"/>
          <w:w w:val="80"/>
        </w:rPr>
        <w:t xml:space="preserve">、 </w:t>
      </w:r>
      <w:r>
        <w:t>管线</w:t>
      </w:r>
      <w:r>
        <w:rPr>
          <w:rFonts w:hint="eastAsia" w:ascii="MS UI Gothic" w:eastAsia="MS UI Gothic"/>
          <w:w w:val="80"/>
        </w:rPr>
        <w:t xml:space="preserve">、 </w:t>
      </w:r>
      <w:r>
        <w:t>设备或者盛装过易燃易爆物品的容器上</w:t>
      </w:r>
      <w:r>
        <w:rPr>
          <w:rFonts w:hint="eastAsia" w:ascii="MS UI Gothic" w:eastAsia="MS UI Gothic"/>
          <w:w w:val="80"/>
        </w:rPr>
        <w:t xml:space="preserve">ꎬ </w:t>
      </w:r>
      <w:r>
        <w:t>使用焊</w:t>
      </w:r>
      <w:r>
        <w:rPr>
          <w:rFonts w:hint="eastAsia" w:ascii="MS UI Gothic" w:eastAsia="MS UI Gothic"/>
          <w:w w:val="80"/>
        </w:rPr>
        <w:t xml:space="preserve">、 </w:t>
      </w:r>
      <w:r>
        <w:t>割等工具</w:t>
      </w:r>
      <w:r>
        <w:rPr>
          <w:rFonts w:hint="eastAsia" w:ascii="MS UI Gothic" w:eastAsia="MS UI Gothic"/>
          <w:w w:val="80"/>
        </w:rPr>
        <w:t>ꎬ</w:t>
      </w:r>
      <w:r>
        <w:t>能直接或者间接产生明火的施工作业</w:t>
      </w:r>
      <w:r>
        <w:rPr>
          <w:rFonts w:hint="eastAsia" w:ascii="MS UI Gothic" w:eastAsia="MS UI Gothic"/>
          <w:w w:val="80"/>
        </w:rPr>
        <w:t>ꎮ</w:t>
      </w:r>
    </w:p>
    <w:p>
      <w:pPr>
        <w:pStyle w:val="6"/>
        <w:spacing w:line="295" w:lineRule="auto"/>
        <w:ind w:left="381" w:right="126"/>
        <w:rPr>
          <w:rFonts w:hint="eastAsia" w:ascii="MS UI Gothic" w:eastAsia="MS UI Gothic"/>
        </w:rPr>
      </w:pPr>
      <w:r>
        <w:rPr>
          <w:w w:val="95"/>
        </w:rPr>
        <w:t xml:space="preserve">第二百零六条 本规程自 </w:t>
      </w:r>
      <w:r>
        <w:rPr>
          <w:rFonts w:hint="eastAsia" w:ascii="MS UI Gothic" w:eastAsia="MS UI Gothic"/>
          <w:w w:val="95"/>
        </w:rPr>
        <w:t xml:space="preserve">２０１２ </w:t>
      </w:r>
      <w:r>
        <w:rPr>
          <w:w w:val="95"/>
        </w:rPr>
        <w:t xml:space="preserve">年 </w:t>
      </w:r>
      <w:r>
        <w:rPr>
          <w:rFonts w:hint="eastAsia" w:ascii="MS UI Gothic" w:eastAsia="MS UI Gothic"/>
          <w:w w:val="95"/>
        </w:rPr>
        <w:t xml:space="preserve">４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 xml:space="preserve">ꎮ </w:t>
      </w:r>
      <w:r>
        <w:rPr>
          <w:w w:val="95"/>
        </w:rPr>
        <w:t>煤层气地面开采活动施行的其他规程</w:t>
      </w:r>
      <w:r>
        <w:rPr>
          <w:rFonts w:hint="eastAsia" w:ascii="MS UI Gothic" w:eastAsia="MS UI Gothic"/>
          <w:w w:val="95"/>
        </w:rPr>
        <w:t xml:space="preserve">、 </w:t>
      </w:r>
      <w:r>
        <w:rPr>
          <w:w w:val="95"/>
        </w:rPr>
        <w:t>规范与本规程相抵触的</w:t>
      </w:r>
      <w:r>
        <w:rPr>
          <w:rFonts w:hint="eastAsia" w:ascii="MS UI Gothic" w:eastAsia="MS UI Gothic"/>
          <w:w w:val="90"/>
        </w:rPr>
        <w:t xml:space="preserve">ꎬ  </w:t>
      </w:r>
      <w:r>
        <w:rPr>
          <w:w w:val="95"/>
        </w:rPr>
        <w:t>依照本规程执行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4"/>
        <w:ind w:left="0" w:firstLine="0"/>
        <w:jc w:val="left"/>
        <w:rPr>
          <w:rFonts w:ascii="MS UI Gothic"/>
          <w:sz w:val="16"/>
        </w:rPr>
      </w:pPr>
    </w:p>
    <w:p>
      <w:pPr>
        <w:pStyle w:val="4"/>
        <w:spacing w:before="74"/>
      </w:pPr>
      <w:r>
        <w:t>国家安全生产监督管理总局令</w:t>
      </w:r>
    </w:p>
    <w:p>
      <w:pPr>
        <w:pStyle w:val="6"/>
        <w:spacing w:before="1"/>
        <w:ind w:left="0" w:firstLine="0"/>
        <w:jc w:val="left"/>
        <w:rPr>
          <w:sz w:val="27"/>
        </w:rPr>
      </w:pPr>
    </w:p>
    <w:p>
      <w:pPr>
        <w:pStyle w:val="5"/>
        <w:ind w:left="312"/>
      </w:pPr>
      <w:r>
        <w:t xml:space="preserve">第 </w:t>
      </w:r>
      <w:r>
        <w:rPr>
          <w:rFonts w:hint="eastAsia" w:ascii="MS UI Gothic" w:eastAsia="MS UI Gothic"/>
        </w:rPr>
        <w:t xml:space="preserve">９２ </w:t>
      </w:r>
      <w:r>
        <w:t>号</w:t>
      </w:r>
    </w:p>
    <w:p>
      <w:pPr>
        <w:pStyle w:val="6"/>
        <w:spacing w:before="354"/>
        <w:ind w:left="860" w:firstLine="0"/>
        <w:jc w:val="left"/>
      </w:pPr>
      <w:r>
        <w:rPr>
          <w:rFonts w:hint="eastAsia" w:ascii="MS UI Gothic" w:hAnsi="MS UI Gothic" w:eastAsia="MS UI Gothic"/>
          <w:spacing w:val="-24"/>
        </w:rPr>
        <w:t xml:space="preserve">« </w:t>
      </w:r>
      <w:r>
        <w:rPr>
          <w:spacing w:val="3"/>
        </w:rPr>
        <w:t>煤矿安全培训规定</w:t>
      </w:r>
      <w:r>
        <w:rPr>
          <w:rFonts w:hint="eastAsia" w:ascii="MS UI Gothic" w:hAnsi="MS UI Gothic" w:eastAsia="MS UI Gothic"/>
          <w:spacing w:val="11"/>
        </w:rPr>
        <w:t xml:space="preserve">» </w:t>
      </w:r>
      <w:r>
        <w:rPr>
          <w:spacing w:val="-22"/>
        </w:rPr>
        <w:t xml:space="preserve">已经 </w:t>
      </w:r>
      <w:r>
        <w:rPr>
          <w:rFonts w:hint="eastAsia" w:ascii="MS UI Gothic" w:hAnsi="MS UI Gothic" w:eastAsia="MS UI Gothic"/>
          <w:spacing w:val="-5"/>
        </w:rPr>
        <w:t xml:space="preserve">２０１７ </w:t>
      </w:r>
      <w:r>
        <w:rPr>
          <w:spacing w:val="-33"/>
        </w:rPr>
        <w:t xml:space="preserve">年 </w:t>
      </w:r>
      <w:r>
        <w:rPr>
          <w:rFonts w:hint="eastAsia" w:ascii="MS UI Gothic" w:hAnsi="MS UI Gothic" w:eastAsia="MS UI Gothic"/>
          <w:spacing w:val="-8"/>
        </w:rPr>
        <w:t xml:space="preserve">１２ </w:t>
      </w:r>
      <w:r>
        <w:rPr>
          <w:spacing w:val="-33"/>
        </w:rPr>
        <w:t xml:space="preserve">月 </w:t>
      </w:r>
      <w:r>
        <w:rPr>
          <w:rFonts w:hint="eastAsia" w:ascii="MS UI Gothic" w:hAnsi="MS UI Gothic" w:eastAsia="MS UI Gothic"/>
          <w:spacing w:val="-7"/>
        </w:rPr>
        <w:t xml:space="preserve">１１ </w:t>
      </w:r>
      <w:r>
        <w:rPr>
          <w:spacing w:val="1"/>
        </w:rPr>
        <w:t xml:space="preserve">日国家安全生产监督管理总局第 </w:t>
      </w:r>
      <w:r>
        <w:rPr>
          <w:rFonts w:hint="eastAsia" w:ascii="MS UI Gothic" w:hAnsi="MS UI Gothic" w:eastAsia="MS UI Gothic"/>
          <w:spacing w:val="-6"/>
        </w:rPr>
        <w:t xml:space="preserve">１６ </w:t>
      </w:r>
      <w:r>
        <w:t>次</w:t>
      </w:r>
    </w:p>
    <w:p>
      <w:pPr>
        <w:pStyle w:val="6"/>
        <w:spacing w:before="58"/>
        <w:ind w:left="440" w:firstLine="0"/>
        <w:jc w:val="left"/>
        <w:rPr>
          <w:rFonts w:hint="eastAsia" w:ascii="MS UI Gothic" w:eastAsia="MS UI Gothic"/>
        </w:rPr>
      </w:pPr>
      <w:r>
        <w:rPr>
          <w:w w:val="95"/>
        </w:rPr>
        <w:t>局长办公会议审议通过</w:t>
      </w:r>
      <w:r>
        <w:rPr>
          <w:rFonts w:hint="eastAsia" w:ascii="MS UI Gothic" w:eastAsia="MS UI Gothic"/>
          <w:w w:val="90"/>
        </w:rPr>
        <w:t xml:space="preserve">ꎬ </w:t>
      </w:r>
      <w:r>
        <w:rPr>
          <w:w w:val="95"/>
        </w:rPr>
        <w:t>现予公布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２０１８ </w:t>
      </w:r>
      <w:r>
        <w:rPr>
          <w:w w:val="95"/>
        </w:rPr>
        <w:t xml:space="preserve">年 </w:t>
      </w:r>
      <w:r>
        <w:rPr>
          <w:rFonts w:hint="eastAsia" w:ascii="MS UI Gothic" w:eastAsia="MS UI Gothic"/>
          <w:w w:val="95"/>
        </w:rPr>
        <w:t xml:space="preserve">３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spacing w:before="6"/>
        <w:ind w:left="0" w:firstLine="0"/>
        <w:jc w:val="left"/>
        <w:rPr>
          <w:rFonts w:ascii="MS UI Gothic"/>
          <w:sz w:val="15"/>
        </w:rPr>
      </w:pPr>
    </w:p>
    <w:p>
      <w:pPr>
        <w:pStyle w:val="6"/>
        <w:spacing w:before="174"/>
        <w:ind w:left="0" w:right="126" w:firstLine="0"/>
        <w:jc w:val="right"/>
      </w:pPr>
      <w:r>
        <w:rPr>
          <w:rFonts w:hint="eastAsia" w:ascii="MS UI Gothic" w:eastAsia="MS UI Gothic"/>
          <w:w w:val="95"/>
        </w:rPr>
        <w:t xml:space="preserve">２０１８ </w:t>
      </w:r>
      <w:r>
        <w:rPr>
          <w:w w:val="95"/>
        </w:rPr>
        <w:t xml:space="preserve">年 </w:t>
      </w:r>
      <w:r>
        <w:rPr>
          <w:rFonts w:hint="eastAsia" w:ascii="MS UI Gothic" w:eastAsia="MS UI Gothic"/>
          <w:w w:val="95"/>
        </w:rPr>
        <w:t xml:space="preserve">１ </w:t>
      </w:r>
      <w:r>
        <w:rPr>
          <w:w w:val="95"/>
        </w:rPr>
        <w:t xml:space="preserve">月 </w:t>
      </w:r>
      <w:r>
        <w:rPr>
          <w:rFonts w:hint="eastAsia" w:ascii="MS UI Gothic" w:eastAsia="MS UI Gothic"/>
          <w:w w:val="95"/>
        </w:rPr>
        <w:t xml:space="preserve">１１ </w:t>
      </w:r>
      <w:r>
        <w:rPr>
          <w:w w:val="95"/>
        </w:rPr>
        <w:t>日</w:t>
      </w:r>
    </w:p>
    <w:p>
      <w:pPr>
        <w:spacing w:after="0"/>
        <w:jc w:val="right"/>
        <w:sectPr>
          <w:type w:val="continuous"/>
          <w:pgSz w:w="10500" w:h="14750"/>
          <w:pgMar w:top="1400" w:right="980" w:bottom="280" w:left="980" w:header="720" w:footer="720" w:gutter="0"/>
        </w:sectPr>
      </w:pPr>
    </w:p>
    <w:p>
      <w:pPr>
        <w:pStyle w:val="6"/>
        <w:spacing w:before="159"/>
        <w:ind w:left="280" w:firstLine="0"/>
        <w:jc w:val="left"/>
        <w:rPr>
          <w:rFonts w:hint="eastAsia" w:ascii="MS UI Gothic" w:eastAsia="MS UI Gothic"/>
        </w:rPr>
      </w:pPr>
      <w:r>
        <w:pict>
          <v:shape id="_x0000_s2120" o:spid="_x0000_s2120" style="position:absolute;left:0pt;margin-left:0pt;margin-top:700.1pt;height:1.75pt;width:398.25pt;mso-position-horizontal-relative:page;z-index:252103680;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３７２</w:t>
      </w:r>
    </w:p>
    <w:p>
      <w:pPr>
        <w:spacing w:before="192"/>
        <w:ind w:left="40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ind w:left="0" w:firstLine="0"/>
        <w:jc w:val="left"/>
        <w:rPr>
          <w:rFonts w:ascii="Microsoft Yi Baiti"/>
          <w:sz w:val="28"/>
        </w:rPr>
      </w:pPr>
    </w:p>
    <w:p>
      <w:pPr>
        <w:pStyle w:val="6"/>
        <w:spacing w:before="8"/>
        <w:ind w:left="0" w:firstLine="0"/>
        <w:jc w:val="left"/>
        <w:rPr>
          <w:rFonts w:ascii="Microsoft Yi Baiti"/>
          <w:sz w:val="30"/>
        </w:rPr>
      </w:pPr>
    </w:p>
    <w:p>
      <w:pPr>
        <w:pStyle w:val="4"/>
        <w:spacing w:before="0"/>
        <w:ind w:left="280"/>
        <w:jc w:val="left"/>
        <w:rPr>
          <w:rFonts w:hint="eastAsia" w:ascii="Microsoft Yi Baiti" w:eastAsia="Microsoft Yi Baiti"/>
        </w:rPr>
      </w:pPr>
      <w:r>
        <w:t xml:space="preserve">煤矿安全培训规定 </w:t>
      </w:r>
      <w:r>
        <w:rPr>
          <w:rFonts w:hint="eastAsia" w:ascii="Microsoft Yi Baiti" w:eastAsia="Microsoft Yi Baiti"/>
        </w:rPr>
        <w:t>(</w:t>
      </w:r>
      <w:r>
        <w:rPr>
          <w:rFonts w:hint="eastAsia" w:ascii="MS UI Gothic" w:eastAsia="MS UI Gothic"/>
        </w:rPr>
        <w:t xml:space="preserve">２０１８ </w:t>
      </w:r>
      <w:r>
        <w:t>版</w:t>
      </w:r>
      <w:r>
        <w:rPr>
          <w:rFonts w:hint="eastAsia" w:ascii="Microsoft Yi Baiti" w:eastAsia="Microsoft Yi Baiti"/>
        </w:rPr>
        <w:t>)</w:t>
      </w:r>
    </w:p>
    <w:p>
      <w:pPr>
        <w:spacing w:after="0"/>
        <w:jc w:val="left"/>
        <w:rPr>
          <w:rFonts w:hint="eastAsia" w:ascii="Microsoft Yi Baiti" w:eastAsia="Microsoft Yi Baiti"/>
        </w:rPr>
        <w:sectPr>
          <w:pgSz w:w="10500" w:h="14750"/>
          <w:pgMar w:top="960" w:right="980" w:bottom="280" w:left="980" w:header="720" w:footer="720" w:gutter="0"/>
          <w:cols w:equalWidth="0" w:num="2">
            <w:col w:w="1050" w:space="976"/>
            <w:col w:w="6514"/>
          </w:cols>
        </w:sectPr>
      </w:pP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2" w:lineRule="auto"/>
        <w:ind w:right="38"/>
        <w:rPr>
          <w:rFonts w:hint="eastAsia" w:ascii="MS UI Gothic" w:hAnsi="MS UI Gothic" w:eastAsia="MS UI Gothic"/>
        </w:rPr>
      </w:pPr>
      <w:r>
        <w:t>第一条 为了加强和规范煤矿安全培训工作</w:t>
      </w:r>
      <w:r>
        <w:rPr>
          <w:rFonts w:hint="eastAsia" w:ascii="MS UI Gothic" w:hAnsi="MS UI Gothic" w:eastAsia="MS UI Gothic"/>
          <w:w w:val="80"/>
        </w:rPr>
        <w:t xml:space="preserve">ꎬ </w:t>
      </w:r>
      <w:r>
        <w:t>提高从业人员安全素质</w:t>
      </w:r>
      <w:r>
        <w:rPr>
          <w:rFonts w:hint="eastAsia" w:ascii="MS UI Gothic" w:hAnsi="MS UI Gothic" w:eastAsia="MS UI Gothic"/>
          <w:w w:val="80"/>
        </w:rPr>
        <w:t xml:space="preserve">ꎬ </w:t>
      </w:r>
      <w:r>
        <w:t>防止和减少伤亡事故</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中华人民共和国安全生产法</w:t>
      </w:r>
      <w:r>
        <w:rPr>
          <w:rFonts w:hint="eastAsia" w:ascii="MS UI Gothic" w:hAnsi="MS UI Gothic" w:eastAsia="MS UI Gothic"/>
          <w:w w:val="80"/>
        </w:rPr>
        <w:t xml:space="preserve">»、 « </w:t>
      </w:r>
      <w:r>
        <w:t>中华人民共和国职业病防治法</w:t>
      </w:r>
      <w:r>
        <w:rPr>
          <w:rFonts w:hint="eastAsia" w:ascii="MS UI Gothic" w:hAnsi="MS UI Gothic" w:eastAsia="MS UI Gothic"/>
          <w:w w:val="80"/>
        </w:rPr>
        <w:t xml:space="preserve">» </w:t>
      </w:r>
      <w:r>
        <w:t>等有关法律法规</w:t>
      </w:r>
      <w:r>
        <w:rPr>
          <w:rFonts w:hint="eastAsia" w:ascii="MS UI Gothic" w:hAnsi="MS UI Gothic" w:eastAsia="MS UI Gothic"/>
          <w:w w:val="80"/>
        </w:rPr>
        <w:t xml:space="preserve">ꎬ </w:t>
      </w:r>
      <w:r>
        <w:t>制定本规定</w:t>
      </w:r>
      <w:r>
        <w:rPr>
          <w:rFonts w:hint="eastAsia" w:ascii="MS UI Gothic" w:hAnsi="MS UI Gothic" w:eastAsia="MS UI Gothic"/>
          <w:w w:val="80"/>
        </w:rPr>
        <w:t>ꎮ</w:t>
      </w:r>
    </w:p>
    <w:p>
      <w:pPr>
        <w:pStyle w:val="6"/>
        <w:spacing w:line="292" w:lineRule="auto"/>
        <w:ind w:right="38"/>
        <w:rPr>
          <w:rFonts w:hint="eastAsia" w:ascii="MS UI Gothic" w:eastAsia="MS UI Gothic"/>
        </w:rPr>
      </w:pPr>
      <w:r>
        <w:t>第二条  煤矿企业从业人员安全培训</w:t>
      </w:r>
      <w:r>
        <w:rPr>
          <w:rFonts w:hint="eastAsia" w:ascii="MS UI Gothic" w:eastAsia="MS UI Gothic"/>
          <w:w w:val="80"/>
        </w:rPr>
        <w:t xml:space="preserve">、 </w:t>
      </w:r>
      <w:r>
        <w:t>考核</w:t>
      </w:r>
      <w:r>
        <w:rPr>
          <w:rFonts w:hint="eastAsia" w:ascii="MS UI Gothic" w:eastAsia="MS UI Gothic"/>
          <w:w w:val="80"/>
        </w:rPr>
        <w:t xml:space="preserve">、 </w:t>
      </w:r>
      <w:r>
        <w:t>发证及监督管理工作适用本规定</w:t>
      </w:r>
      <w:r>
        <w:rPr>
          <w:rFonts w:hint="eastAsia" w:ascii="MS UI Gothic" w:eastAsia="MS UI Gothic"/>
          <w:w w:val="80"/>
        </w:rPr>
        <w:t>ꎮ</w:t>
      </w:r>
    </w:p>
    <w:p>
      <w:pPr>
        <w:pStyle w:val="6"/>
        <w:spacing w:line="292" w:lineRule="auto"/>
        <w:ind w:right="38"/>
        <w:rPr>
          <w:rFonts w:hint="eastAsia" w:ascii="MS UI Gothic" w:eastAsia="MS UI Gothic"/>
        </w:rPr>
      </w:pPr>
      <w:r>
        <w:t>本规定所称煤矿企业</w:t>
      </w:r>
      <w:r>
        <w:rPr>
          <w:rFonts w:hint="eastAsia" w:ascii="MS UI Gothic" w:eastAsia="MS UI Gothic"/>
          <w:w w:val="80"/>
        </w:rPr>
        <w:t xml:space="preserve">ꎬ </w:t>
      </w:r>
      <w:r>
        <w:t>是指在依法批准的矿区范围内从事煤炭资源开采活动的企业</w:t>
      </w:r>
      <w:r>
        <w:rPr>
          <w:rFonts w:hint="eastAsia" w:ascii="MS UI Gothic" w:eastAsia="MS UI Gothic"/>
          <w:w w:val="80"/>
        </w:rPr>
        <w:t xml:space="preserve">ꎬ </w:t>
      </w:r>
      <w:r>
        <w:t>包括集团公司</w:t>
      </w:r>
      <w:r>
        <w:rPr>
          <w:rFonts w:hint="eastAsia" w:ascii="MS UI Gothic" w:eastAsia="MS UI Gothic"/>
          <w:w w:val="80"/>
        </w:rPr>
        <w:t xml:space="preserve">、 </w:t>
      </w:r>
      <w:r>
        <w:t>上市公司</w:t>
      </w:r>
      <w:r>
        <w:rPr>
          <w:rFonts w:hint="eastAsia" w:ascii="MS UI Gothic" w:eastAsia="MS UI Gothic"/>
          <w:w w:val="80"/>
        </w:rPr>
        <w:t xml:space="preserve">、 </w:t>
      </w:r>
      <w:r>
        <w:t>总公司</w:t>
      </w:r>
      <w:r>
        <w:rPr>
          <w:rFonts w:hint="eastAsia" w:ascii="MS UI Gothic" w:eastAsia="MS UI Gothic"/>
          <w:w w:val="80"/>
        </w:rPr>
        <w:t xml:space="preserve">、 </w:t>
      </w:r>
      <w:r>
        <w:t>矿务局</w:t>
      </w:r>
      <w:r>
        <w:rPr>
          <w:rFonts w:hint="eastAsia" w:ascii="MS UI Gothic" w:eastAsia="MS UI Gothic"/>
          <w:w w:val="80"/>
        </w:rPr>
        <w:t xml:space="preserve">、 </w:t>
      </w:r>
      <w:r>
        <w:t>煤矿</w:t>
      </w:r>
      <w:r>
        <w:rPr>
          <w:rFonts w:hint="eastAsia" w:ascii="MS UI Gothic" w:eastAsia="MS UI Gothic"/>
          <w:w w:val="80"/>
        </w:rPr>
        <w:t>ꎮ</w:t>
      </w:r>
    </w:p>
    <w:p>
      <w:pPr>
        <w:pStyle w:val="6"/>
        <w:spacing w:line="292" w:lineRule="auto"/>
        <w:ind w:right="38"/>
        <w:rPr>
          <w:rFonts w:hint="eastAsia" w:ascii="MS UI Gothic" w:eastAsia="MS UI Gothic"/>
        </w:rPr>
      </w:pPr>
      <w:r>
        <w:t>本规定所称煤矿企业从业人员</w:t>
      </w:r>
      <w:r>
        <w:rPr>
          <w:rFonts w:hint="eastAsia" w:ascii="MS UI Gothic" w:eastAsia="MS UI Gothic"/>
          <w:w w:val="80"/>
        </w:rPr>
        <w:t xml:space="preserve">ꎬ </w:t>
      </w:r>
      <w:r>
        <w:t>是指煤矿企业主要负责人</w:t>
      </w:r>
      <w:r>
        <w:rPr>
          <w:rFonts w:hint="eastAsia" w:ascii="MS UI Gothic" w:eastAsia="MS UI Gothic"/>
          <w:w w:val="80"/>
        </w:rPr>
        <w:t xml:space="preserve">、 </w:t>
      </w:r>
      <w:r>
        <w:t>安全生产管理人员</w:t>
      </w:r>
      <w:r>
        <w:rPr>
          <w:rFonts w:hint="eastAsia" w:ascii="MS UI Gothic" w:eastAsia="MS UI Gothic"/>
          <w:w w:val="80"/>
        </w:rPr>
        <w:t xml:space="preserve">、 </w:t>
      </w:r>
      <w:r>
        <w:t>特种作业人员和其他从业人员</w:t>
      </w:r>
      <w:r>
        <w:rPr>
          <w:rFonts w:hint="eastAsia" w:ascii="MS UI Gothic" w:eastAsia="MS UI Gothic"/>
          <w:w w:val="80"/>
        </w:rPr>
        <w:t>ꎮ</w:t>
      </w:r>
    </w:p>
    <w:p>
      <w:pPr>
        <w:pStyle w:val="6"/>
        <w:spacing w:line="292" w:lineRule="auto"/>
        <w:ind w:right="38"/>
        <w:rPr>
          <w:rFonts w:hint="eastAsia" w:ascii="MS UI Gothic" w:eastAsia="MS UI Gothic"/>
        </w:rPr>
      </w:pPr>
      <w:r>
        <w:rPr>
          <w:w w:val="105"/>
        </w:rPr>
        <w:t>第三条 国家煤矿安全监察局负责指</w:t>
      </w:r>
      <w:r>
        <w:t>导和监督管理全国煤矿企业从业人员安全</w:t>
      </w:r>
      <w:r>
        <w:rPr>
          <w:w w:val="105"/>
        </w:rPr>
        <w:t>培训工作</w:t>
      </w:r>
      <w:r>
        <w:rPr>
          <w:rFonts w:hint="eastAsia" w:ascii="MS UI Gothic" w:eastAsia="MS UI Gothic"/>
          <w:w w:val="80"/>
        </w:rPr>
        <w:t>ꎮ</w:t>
      </w:r>
    </w:p>
    <w:p>
      <w:pPr>
        <w:pStyle w:val="6"/>
        <w:spacing w:line="292" w:lineRule="auto"/>
        <w:ind w:right="38"/>
        <w:rPr>
          <w:rFonts w:hint="eastAsia" w:ascii="MS UI Gothic" w:eastAsia="MS UI Gothic"/>
        </w:rPr>
      </w:pPr>
      <w:r>
        <w:rPr>
          <w:spacing w:val="3"/>
          <w:w w:val="105"/>
        </w:rPr>
        <w:t>省</w:t>
      </w:r>
      <w:r>
        <w:rPr>
          <w:rFonts w:hint="eastAsia" w:ascii="MS UI Gothic" w:eastAsia="MS UI Gothic"/>
          <w:spacing w:val="13"/>
          <w:w w:val="80"/>
        </w:rPr>
        <w:t xml:space="preserve">、 </w:t>
      </w:r>
      <w:r>
        <w:rPr>
          <w:spacing w:val="3"/>
          <w:w w:val="105"/>
        </w:rPr>
        <w:t>自治区</w:t>
      </w:r>
      <w:r>
        <w:rPr>
          <w:rFonts w:hint="eastAsia" w:ascii="MS UI Gothic" w:eastAsia="MS UI Gothic"/>
          <w:spacing w:val="13"/>
          <w:w w:val="80"/>
        </w:rPr>
        <w:t xml:space="preserve">、 </w:t>
      </w:r>
      <w:r>
        <w:rPr>
          <w:spacing w:val="2"/>
          <w:w w:val="105"/>
        </w:rPr>
        <w:t>直辖市人民政府负责煤</w:t>
      </w:r>
      <w:r>
        <w:rPr>
          <w:spacing w:val="6"/>
          <w:w w:val="105"/>
        </w:rPr>
        <w:t xml:space="preserve">矿安全培训的主管部门 </w:t>
      </w:r>
      <w:r>
        <w:rPr>
          <w:rFonts w:hint="eastAsia" w:ascii="MS UI Gothic" w:eastAsia="MS UI Gothic"/>
          <w:spacing w:val="-37"/>
          <w:w w:val="150"/>
        </w:rPr>
        <w:t xml:space="preserve">( </w:t>
      </w:r>
      <w:r>
        <w:rPr>
          <w:spacing w:val="14"/>
          <w:w w:val="105"/>
        </w:rPr>
        <w:t>以下简称省级</w:t>
      </w:r>
      <w:r>
        <w:rPr>
          <w:spacing w:val="11"/>
          <w:w w:val="105"/>
        </w:rPr>
        <w:t>煤矿安全培训主管部门</w:t>
      </w:r>
      <w:r>
        <w:rPr>
          <w:rFonts w:hint="eastAsia" w:ascii="MS UI Gothic" w:eastAsia="MS UI Gothic"/>
          <w:spacing w:val="-6"/>
          <w:w w:val="150"/>
        </w:rPr>
        <w:t xml:space="preserve">) </w:t>
      </w:r>
      <w:r>
        <w:rPr>
          <w:spacing w:val="14"/>
          <w:w w:val="105"/>
        </w:rPr>
        <w:t>负责指导和监</w:t>
      </w:r>
      <w:r>
        <w:rPr>
          <w:spacing w:val="2"/>
        </w:rPr>
        <w:t>督管理本行政区域内煤矿企业从业人员安</w:t>
      </w:r>
      <w:r>
        <w:rPr>
          <w:spacing w:val="3"/>
          <w:w w:val="105"/>
        </w:rPr>
        <w:t>全培训工作</w:t>
      </w:r>
      <w:r>
        <w:rPr>
          <w:rFonts w:hint="eastAsia" w:ascii="MS UI Gothic" w:eastAsia="MS UI Gothic"/>
          <w:w w:val="80"/>
        </w:rPr>
        <w:t>ꎮ</w:t>
      </w:r>
    </w:p>
    <w:p>
      <w:pPr>
        <w:pStyle w:val="6"/>
        <w:spacing w:line="292" w:lineRule="auto"/>
        <w:ind w:right="38"/>
        <w:rPr>
          <w:rFonts w:hint="eastAsia" w:ascii="MS UI Gothic" w:eastAsia="MS UI Gothic"/>
        </w:rPr>
      </w:pPr>
      <w:r>
        <w:t>省级及以下煤矿安全监察机构对辖区内煤矿企业从业人员安全培训工作依法实</w:t>
      </w:r>
      <w:r>
        <w:rPr>
          <w:w w:val="105"/>
        </w:rPr>
        <w:t>施监察</w:t>
      </w:r>
      <w:r>
        <w:rPr>
          <w:rFonts w:hint="eastAsia" w:ascii="MS UI Gothic" w:eastAsia="MS UI Gothic"/>
          <w:w w:val="80"/>
        </w:rPr>
        <w:t>ꎮ</w:t>
      </w:r>
    </w:p>
    <w:p>
      <w:pPr>
        <w:pStyle w:val="6"/>
        <w:spacing w:line="292" w:lineRule="auto"/>
        <w:ind w:right="38"/>
        <w:rPr>
          <w:rFonts w:hint="eastAsia" w:ascii="MS UI Gothic" w:eastAsia="MS UI Gothic"/>
        </w:rPr>
      </w:pPr>
      <w:r>
        <w:t>第四条 煤矿企业是安全培训的责任主体</w:t>
      </w:r>
      <w:r>
        <w:rPr>
          <w:rFonts w:hint="eastAsia" w:ascii="MS UI Gothic" w:eastAsia="MS UI Gothic"/>
          <w:w w:val="80"/>
        </w:rPr>
        <w:t xml:space="preserve">ꎬ </w:t>
      </w:r>
      <w:r>
        <w:t>应当依法对从业人员进行安全生产教育和培训</w:t>
      </w:r>
      <w:r>
        <w:rPr>
          <w:rFonts w:hint="eastAsia" w:ascii="MS UI Gothic" w:eastAsia="MS UI Gothic"/>
          <w:w w:val="80"/>
        </w:rPr>
        <w:t xml:space="preserve">ꎬ </w:t>
      </w:r>
      <w:r>
        <w:t>提高从业人员的安全生产意识和能力</w:t>
      </w:r>
      <w:r>
        <w:rPr>
          <w:rFonts w:hint="eastAsia" w:ascii="MS UI Gothic" w:eastAsia="MS UI Gothic"/>
          <w:w w:val="80"/>
        </w:rPr>
        <w:t>ꎮ</w:t>
      </w:r>
    </w:p>
    <w:p>
      <w:pPr>
        <w:pStyle w:val="6"/>
        <w:spacing w:line="292" w:lineRule="auto"/>
        <w:ind w:right="38"/>
        <w:jc w:val="left"/>
        <w:rPr>
          <w:rFonts w:hint="eastAsia" w:ascii="MS UI Gothic" w:eastAsia="MS UI Gothic"/>
        </w:rPr>
      </w:pPr>
      <w:r>
        <w:t>煤矿企业主要负责人对本企业从业人</w:t>
      </w:r>
      <w:r>
        <w:rPr>
          <w:w w:val="105"/>
        </w:rPr>
        <w:t>员安全培训工作全面负责</w:t>
      </w:r>
      <w:r>
        <w:rPr>
          <w:rFonts w:hint="eastAsia" w:ascii="MS UI Gothic" w:eastAsia="MS UI Gothic"/>
          <w:w w:val="80"/>
        </w:rPr>
        <w:t>ꎮ</w:t>
      </w:r>
    </w:p>
    <w:p>
      <w:pPr>
        <w:pStyle w:val="6"/>
        <w:tabs>
          <w:tab w:val="left" w:pos="1382"/>
        </w:tabs>
        <w:spacing w:line="292" w:lineRule="auto"/>
        <w:ind w:right="38"/>
        <w:jc w:val="left"/>
      </w:pPr>
      <w:r>
        <w:rPr>
          <w:spacing w:val="3"/>
        </w:rPr>
        <w:t>第五</w:t>
      </w:r>
      <w:r>
        <w:t>条</w:t>
      </w:r>
      <w:r>
        <w:tab/>
      </w:r>
      <w:r>
        <w:rPr>
          <w:spacing w:val="3"/>
        </w:rPr>
        <w:t>国家鼓励煤矿企业变招工</w:t>
      </w:r>
      <w:r>
        <w:t>为</w:t>
      </w:r>
      <w:r>
        <w:rPr>
          <w:spacing w:val="3"/>
        </w:rPr>
        <w:t>招生</w:t>
      </w:r>
      <w:r>
        <w:rPr>
          <w:rFonts w:hint="eastAsia" w:ascii="MS UI Gothic" w:eastAsia="MS UI Gothic"/>
          <w:w w:val="80"/>
        </w:rPr>
        <w:t>ꎮ</w:t>
      </w:r>
      <w:r>
        <w:rPr>
          <w:rFonts w:hint="eastAsia" w:ascii="MS UI Gothic" w:eastAsia="MS UI Gothic"/>
          <w:spacing w:val="46"/>
          <w:w w:val="80"/>
        </w:rPr>
        <w:t xml:space="preserve"> </w:t>
      </w:r>
      <w:r>
        <w:rPr>
          <w:spacing w:val="3"/>
        </w:rPr>
        <w:t>煤矿企业新招井下从业人员</w:t>
      </w:r>
      <w:r>
        <w:rPr>
          <w:rFonts w:hint="eastAsia" w:ascii="MS UI Gothic" w:eastAsia="MS UI Gothic"/>
          <w:w w:val="80"/>
        </w:rPr>
        <w:t>ꎬ</w:t>
      </w:r>
      <w:r>
        <w:rPr>
          <w:rFonts w:hint="eastAsia" w:ascii="MS UI Gothic" w:eastAsia="MS UI Gothic"/>
          <w:spacing w:val="47"/>
          <w:w w:val="80"/>
        </w:rPr>
        <w:t xml:space="preserve"> </w:t>
      </w:r>
      <w:r>
        <w:rPr>
          <w:spacing w:val="3"/>
        </w:rPr>
        <w:t>应</w:t>
      </w:r>
      <w:r>
        <w:t>当</w:t>
      </w:r>
    </w:p>
    <w:p>
      <w:pPr>
        <w:pStyle w:val="6"/>
        <w:spacing w:before="174" w:line="292" w:lineRule="auto"/>
        <w:ind w:right="442" w:firstLine="0"/>
        <w:jc w:val="left"/>
        <w:rPr>
          <w:rFonts w:hint="eastAsia" w:ascii="MS UI Gothic" w:eastAsia="MS UI Gothic"/>
        </w:rPr>
      </w:pPr>
      <w:r>
        <w:br w:type="column"/>
      </w:r>
      <w:r>
        <w:t>优先录用大中专学校</w:t>
      </w:r>
      <w:r>
        <w:rPr>
          <w:rFonts w:hint="eastAsia" w:ascii="MS UI Gothic" w:eastAsia="MS UI Gothic"/>
          <w:w w:val="80"/>
        </w:rPr>
        <w:t xml:space="preserve">、 </w:t>
      </w:r>
      <w:r>
        <w:t>职业高中</w:t>
      </w:r>
      <w:r>
        <w:rPr>
          <w:rFonts w:hint="eastAsia" w:ascii="MS UI Gothic" w:eastAsia="MS UI Gothic"/>
          <w:w w:val="80"/>
        </w:rPr>
        <w:t xml:space="preserve">、 </w:t>
      </w:r>
      <w:r>
        <w:t>技工学校煤矿相关专业的毕业生</w:t>
      </w:r>
      <w:r>
        <w:rPr>
          <w:rFonts w:hint="eastAsia" w:ascii="MS UI Gothic" w:eastAsia="MS UI Gothic"/>
          <w:w w:val="80"/>
        </w:rPr>
        <w:t>ꎮ</w:t>
      </w:r>
    </w:p>
    <w:p>
      <w:pPr>
        <w:pStyle w:val="6"/>
        <w:spacing w:before="155"/>
        <w:ind w:left="543" w:firstLine="0"/>
      </w:pPr>
      <w:r>
        <w:rPr>
          <w:w w:val="105"/>
        </w:rPr>
        <w:t>第二章 安全培训的组织与管理</w:t>
      </w:r>
    </w:p>
    <w:p>
      <w:pPr>
        <w:pStyle w:val="6"/>
        <w:spacing w:before="216" w:line="292" w:lineRule="auto"/>
        <w:ind w:right="440"/>
        <w:rPr>
          <w:rFonts w:hint="eastAsia" w:ascii="MS UI Gothic" w:eastAsia="MS UI Gothic"/>
        </w:rPr>
      </w:pPr>
      <w:r>
        <w:rPr>
          <w:w w:val="95"/>
        </w:rPr>
        <w:t>第六条   煤矿企业应当建立完善安全培训管理制度</w:t>
      </w:r>
      <w:r>
        <w:rPr>
          <w:rFonts w:hint="eastAsia" w:ascii="MS UI Gothic" w:eastAsia="MS UI Gothic"/>
          <w:w w:val="90"/>
        </w:rPr>
        <w:t xml:space="preserve">ꎬ </w:t>
      </w:r>
      <w:r>
        <w:rPr>
          <w:w w:val="95"/>
        </w:rPr>
        <w:t>制定年度安全培训计划</w:t>
      </w:r>
      <w:r>
        <w:rPr>
          <w:rFonts w:hint="eastAsia" w:ascii="MS UI Gothic" w:eastAsia="MS UI Gothic"/>
          <w:w w:val="90"/>
        </w:rPr>
        <w:t>ꎬ</w:t>
      </w:r>
      <w:r>
        <w:rPr>
          <w:w w:val="95"/>
        </w:rPr>
        <w:t>明确负责安全培训工作的机构</w:t>
      </w:r>
      <w:r>
        <w:rPr>
          <w:rFonts w:hint="eastAsia" w:ascii="MS UI Gothic" w:eastAsia="MS UI Gothic"/>
          <w:w w:val="90"/>
        </w:rPr>
        <w:t xml:space="preserve">ꎬ  </w:t>
      </w:r>
      <w:r>
        <w:rPr>
          <w:w w:val="95"/>
        </w:rPr>
        <w:t>配备专职或者兼职安全培训管理人员</w:t>
      </w:r>
      <w:r>
        <w:rPr>
          <w:rFonts w:hint="eastAsia" w:ascii="MS UI Gothic" w:eastAsia="MS UI Gothic"/>
          <w:w w:val="90"/>
        </w:rPr>
        <w:t xml:space="preserve">ꎬ  </w:t>
      </w:r>
      <w:r>
        <w:rPr>
          <w:w w:val="95"/>
        </w:rPr>
        <w:t>按照国家规定的比例提取教育培训经费</w:t>
      </w:r>
      <w:r>
        <w:rPr>
          <w:rFonts w:hint="eastAsia" w:ascii="MS UI Gothic" w:eastAsia="MS UI Gothic"/>
          <w:w w:val="90"/>
        </w:rPr>
        <w:t xml:space="preserve">ꎮ </w:t>
      </w:r>
      <w:r>
        <w:rPr>
          <w:w w:val="95"/>
        </w:rPr>
        <w:t>其中</w:t>
      </w:r>
      <w:r>
        <w:rPr>
          <w:rFonts w:hint="eastAsia" w:ascii="MS UI Gothic" w:eastAsia="MS UI Gothic"/>
          <w:w w:val="90"/>
        </w:rPr>
        <w:t xml:space="preserve">ꎬ </w:t>
      </w:r>
      <w:r>
        <w:rPr>
          <w:w w:val="95"/>
        </w:rPr>
        <w:t xml:space="preserve">用于安全培训的资金不得低于教育培训经费总  额的 </w:t>
      </w:r>
      <w:r>
        <w:rPr>
          <w:rFonts w:hint="eastAsia" w:ascii="MS UI Gothic" w:eastAsia="MS UI Gothic"/>
          <w:w w:val="95"/>
        </w:rPr>
        <w:t>４０</w:t>
      </w:r>
      <w:r>
        <w:rPr>
          <w:w w:val="95"/>
        </w:rPr>
        <w:t xml:space="preserve">％ </w:t>
      </w:r>
      <w:r>
        <w:rPr>
          <w:rFonts w:hint="eastAsia" w:ascii="MS UI Gothic" w:eastAsia="MS UI Gothic"/>
          <w:w w:val="90"/>
        </w:rPr>
        <w:t>ꎮ</w:t>
      </w:r>
    </w:p>
    <w:p>
      <w:pPr>
        <w:pStyle w:val="6"/>
        <w:spacing w:line="292" w:lineRule="auto"/>
        <w:ind w:right="442"/>
        <w:rPr>
          <w:rFonts w:hint="eastAsia" w:ascii="MS UI Gothic" w:hAnsi="MS UI Gothic" w:eastAsia="MS UI Gothic"/>
        </w:rPr>
      </w:pPr>
      <w:r>
        <w:rPr>
          <w:spacing w:val="9"/>
        </w:rPr>
        <w:t>第七条  对从业人员的安全技术培</w:t>
      </w:r>
      <w:r>
        <w:rPr>
          <w:spacing w:val="3"/>
        </w:rPr>
        <w:t>训</w:t>
      </w:r>
      <w:r>
        <w:rPr>
          <w:rFonts w:hint="eastAsia" w:ascii="MS UI Gothic" w:hAnsi="MS UI Gothic" w:eastAsia="MS UI Gothic"/>
          <w:spacing w:val="1"/>
          <w:w w:val="75"/>
        </w:rPr>
        <w:t xml:space="preserve">ꎬ </w:t>
      </w:r>
      <w:r>
        <w:rPr>
          <w:spacing w:val="14"/>
        </w:rPr>
        <w:t xml:space="preserve">具备 </w:t>
      </w:r>
      <w:r>
        <w:rPr>
          <w:rFonts w:hint="eastAsia" w:ascii="MS UI Gothic" w:hAnsi="MS UI Gothic" w:eastAsia="MS UI Gothic"/>
          <w:spacing w:val="-9"/>
        </w:rPr>
        <w:t xml:space="preserve">« </w:t>
      </w:r>
      <w:r>
        <w:rPr>
          <w:spacing w:val="44"/>
        </w:rPr>
        <w:t>安全培训机构基本条件</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spacing w:val="-40"/>
        </w:rPr>
        <w:t xml:space="preserve"> </w:t>
      </w:r>
      <w:r>
        <w:rPr>
          <w:rFonts w:hint="eastAsia" w:ascii="MS UI Gothic" w:hAnsi="MS UI Gothic" w:eastAsia="MS UI Gothic"/>
          <w:spacing w:val="-2"/>
          <w:w w:val="95"/>
        </w:rPr>
        <w:t>Ａ</w:t>
      </w:r>
      <w:r>
        <w:rPr>
          <w:rFonts w:hint="eastAsia" w:ascii="MS UI Gothic" w:hAnsi="MS UI Gothic" w:eastAsia="MS UI Gothic"/>
          <w:w w:val="85"/>
        </w:rPr>
        <w:t>Ｑ</w:t>
      </w:r>
      <w:r>
        <w:rPr>
          <w:rFonts w:hint="eastAsia" w:ascii="MS UI Gothic" w:hAnsi="MS UI Gothic" w:eastAsia="MS UI Gothic"/>
        </w:rPr>
        <w:t xml:space="preserve"> </w:t>
      </w:r>
      <w:r>
        <w:rPr>
          <w:rFonts w:hint="eastAsia" w:ascii="MS UI Gothic" w:hAnsi="MS UI Gothic" w:eastAsia="MS UI Gothic"/>
          <w:w w:val="34"/>
        </w:rPr>
        <w:t>/</w:t>
      </w:r>
      <w:r>
        <w:rPr>
          <w:rFonts w:hint="eastAsia" w:ascii="MS UI Gothic" w:hAnsi="MS UI Gothic" w:eastAsia="MS UI Gothic"/>
        </w:rPr>
        <w:t xml:space="preserve"> </w:t>
      </w:r>
      <w:r>
        <w:rPr>
          <w:rFonts w:hint="eastAsia" w:ascii="MS UI Gothic" w:hAnsi="MS UI Gothic" w:eastAsia="MS UI Gothic"/>
          <w:w w:val="92"/>
        </w:rPr>
        <w:t>Ｔ</w:t>
      </w:r>
      <w:r>
        <w:rPr>
          <w:rFonts w:hint="eastAsia" w:ascii="MS UI Gothic" w:hAnsi="MS UI Gothic" w:eastAsia="MS UI Gothic"/>
        </w:rPr>
        <w:t xml:space="preserve"> </w:t>
      </w:r>
      <w:r>
        <w:rPr>
          <w:rFonts w:hint="eastAsia" w:ascii="MS UI Gothic" w:hAnsi="MS UI Gothic" w:eastAsia="MS UI Gothic"/>
          <w:spacing w:val="1"/>
          <w:w w:val="75"/>
        </w:rPr>
        <w:t>８０１１</w:t>
      </w:r>
      <w:r>
        <w:rPr>
          <w:rFonts w:hint="eastAsia" w:ascii="MS UI Gothic" w:hAnsi="MS UI Gothic" w:eastAsia="MS UI Gothic"/>
          <w:w w:val="168"/>
        </w:rPr>
        <w:t>)</w:t>
      </w:r>
      <w:r>
        <w:rPr>
          <w:rFonts w:hint="eastAsia" w:ascii="MS UI Gothic" w:hAnsi="MS UI Gothic" w:eastAsia="MS UI Gothic"/>
          <w:spacing w:val="2"/>
        </w:rPr>
        <w:t xml:space="preserve">  </w:t>
      </w:r>
      <w:r>
        <w:rPr>
          <w:spacing w:val="13"/>
          <w:w w:val="102"/>
        </w:rPr>
        <w:t>规定的安全培训条件的煤</w:t>
      </w:r>
      <w:r>
        <w:rPr>
          <w:spacing w:val="3"/>
        </w:rPr>
        <w:t>矿企业应当以自主培训为主</w:t>
      </w:r>
      <w:r>
        <w:rPr>
          <w:rFonts w:hint="eastAsia" w:ascii="MS UI Gothic" w:hAnsi="MS UI Gothic" w:eastAsia="MS UI Gothic"/>
          <w:spacing w:val="4"/>
          <w:w w:val="75"/>
        </w:rPr>
        <w:t xml:space="preserve">ꎬ </w:t>
      </w:r>
      <w:r>
        <w:rPr>
          <w:spacing w:val="2"/>
        </w:rPr>
        <w:t>也可以委托</w:t>
      </w:r>
      <w:r>
        <w:rPr>
          <w:spacing w:val="3"/>
        </w:rPr>
        <w:t>具备安全培训条件的机构进行安全培训</w:t>
      </w:r>
      <w:r>
        <w:rPr>
          <w:rFonts w:hint="eastAsia" w:ascii="MS UI Gothic" w:hAnsi="MS UI Gothic" w:eastAsia="MS UI Gothic"/>
          <w:w w:val="75"/>
        </w:rPr>
        <w:t>ꎮ</w:t>
      </w:r>
    </w:p>
    <w:p>
      <w:pPr>
        <w:pStyle w:val="6"/>
        <w:spacing w:line="292" w:lineRule="auto"/>
        <w:ind w:right="442"/>
        <w:rPr>
          <w:rFonts w:hint="eastAsia" w:ascii="MS UI Gothic" w:eastAsia="MS UI Gothic"/>
        </w:rPr>
      </w:pPr>
      <w:r>
        <w:t>不具备安全培训条件的煤矿企业应当委托具备安全培训条件的机构进行安全</w:t>
      </w:r>
      <w:r>
        <w:rPr>
          <w:w w:val="105"/>
        </w:rPr>
        <w:t>培训</w:t>
      </w:r>
      <w:r>
        <w:rPr>
          <w:rFonts w:hint="eastAsia" w:ascii="MS UI Gothic" w:eastAsia="MS UI Gothic"/>
          <w:w w:val="80"/>
        </w:rPr>
        <w:t>ꎮ</w:t>
      </w:r>
    </w:p>
    <w:p>
      <w:pPr>
        <w:pStyle w:val="6"/>
        <w:spacing w:line="292" w:lineRule="auto"/>
        <w:ind w:right="442"/>
        <w:rPr>
          <w:rFonts w:hint="eastAsia" w:ascii="MS UI Gothic" w:eastAsia="MS UI Gothic"/>
        </w:rPr>
      </w:pPr>
      <w:r>
        <w:t>从事煤矿安全培训的机构</w:t>
      </w:r>
      <w:r>
        <w:rPr>
          <w:rFonts w:hint="eastAsia" w:ascii="MS UI Gothic" w:eastAsia="MS UI Gothic"/>
          <w:w w:val="80"/>
        </w:rPr>
        <w:t xml:space="preserve">ꎬ </w:t>
      </w:r>
      <w:r>
        <w:t>应当将教</w:t>
      </w:r>
      <w:r>
        <w:rPr>
          <w:w w:val="105"/>
        </w:rPr>
        <w:t>师</w:t>
      </w:r>
      <w:r>
        <w:rPr>
          <w:rFonts w:hint="eastAsia" w:ascii="MS UI Gothic" w:eastAsia="MS UI Gothic"/>
          <w:w w:val="80"/>
        </w:rPr>
        <w:t xml:space="preserve">、 </w:t>
      </w:r>
      <w:r>
        <w:rPr>
          <w:w w:val="105"/>
        </w:rPr>
        <w:t>教学和实习与实训设施等情况书面报告所在地省级煤矿安全培训主管部门</w:t>
      </w:r>
      <w:r>
        <w:rPr>
          <w:rFonts w:hint="eastAsia" w:ascii="MS UI Gothic" w:eastAsia="MS UI Gothic"/>
          <w:w w:val="80"/>
        </w:rPr>
        <w:t>ꎮ</w:t>
      </w:r>
    </w:p>
    <w:p>
      <w:pPr>
        <w:pStyle w:val="6"/>
        <w:spacing w:line="292" w:lineRule="auto"/>
        <w:ind w:right="442"/>
        <w:rPr>
          <w:rFonts w:hint="eastAsia" w:ascii="MS UI Gothic" w:eastAsia="MS UI Gothic"/>
        </w:rPr>
      </w:pPr>
      <w:r>
        <w:rPr>
          <w:w w:val="105"/>
        </w:rPr>
        <w:t>第八条 煤矿企业应当建立健全从业</w:t>
      </w:r>
      <w:r>
        <w:t>人员安全培训档案</w:t>
      </w:r>
      <w:r>
        <w:rPr>
          <w:rFonts w:hint="eastAsia" w:ascii="MS UI Gothic" w:eastAsia="MS UI Gothic"/>
          <w:w w:val="80"/>
        </w:rPr>
        <w:t xml:space="preserve">ꎬ </w:t>
      </w:r>
      <w:r>
        <w:t>实行一人一档</w:t>
      </w:r>
      <w:r>
        <w:rPr>
          <w:rFonts w:hint="eastAsia" w:ascii="MS UI Gothic" w:eastAsia="MS UI Gothic"/>
          <w:w w:val="80"/>
        </w:rPr>
        <w:t xml:space="preserve">ꎮ </w:t>
      </w:r>
      <w:r>
        <w:t>煤矿</w:t>
      </w:r>
      <w:r>
        <w:rPr>
          <w:w w:val="105"/>
        </w:rPr>
        <w:t>企业从业人员安全培训档案的内容包括</w:t>
      </w:r>
      <w:r>
        <w:rPr>
          <w:rFonts w:hint="eastAsia" w:ascii="MS UI Gothic" w:eastAsia="MS UI Gothic"/>
          <w:w w:val="235"/>
        </w:rPr>
        <w:t>:</w:t>
      </w:r>
    </w:p>
    <w:p>
      <w:pPr>
        <w:pStyle w:val="6"/>
        <w:spacing w:line="292"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学员登记表</w:t>
      </w:r>
      <w:r>
        <w:rPr>
          <w:rFonts w:hint="eastAsia" w:ascii="MS UI Gothic" w:eastAsia="MS UI Gothic"/>
          <w:w w:val="80"/>
        </w:rPr>
        <w:t xml:space="preserve">ꎬ </w:t>
      </w:r>
      <w:r>
        <w:rPr>
          <w:w w:val="105"/>
        </w:rPr>
        <w:t>包括学员的文化程度</w:t>
      </w:r>
      <w:r>
        <w:rPr>
          <w:rFonts w:hint="eastAsia" w:ascii="MS UI Gothic" w:eastAsia="MS UI Gothic"/>
          <w:w w:val="80"/>
        </w:rPr>
        <w:t xml:space="preserve">、 </w:t>
      </w:r>
      <w:r>
        <w:rPr>
          <w:w w:val="105"/>
        </w:rPr>
        <w:t>职务</w:t>
      </w:r>
      <w:r>
        <w:rPr>
          <w:rFonts w:hint="eastAsia" w:ascii="MS UI Gothic" w:eastAsia="MS UI Gothic"/>
          <w:w w:val="80"/>
        </w:rPr>
        <w:t xml:space="preserve">、 </w:t>
      </w:r>
      <w:r>
        <w:rPr>
          <w:w w:val="105"/>
        </w:rPr>
        <w:t>职称</w:t>
      </w:r>
      <w:r>
        <w:rPr>
          <w:rFonts w:hint="eastAsia" w:ascii="MS UI Gothic" w:eastAsia="MS UI Gothic"/>
          <w:w w:val="80"/>
        </w:rPr>
        <w:t xml:space="preserve">、 </w:t>
      </w:r>
      <w:r>
        <w:rPr>
          <w:w w:val="105"/>
        </w:rPr>
        <w:t>工作经历</w:t>
      </w:r>
      <w:r>
        <w:rPr>
          <w:rFonts w:hint="eastAsia" w:ascii="MS UI Gothic" w:eastAsia="MS UI Gothic"/>
          <w:w w:val="80"/>
        </w:rPr>
        <w:t xml:space="preserve">、 </w:t>
      </w:r>
      <w:r>
        <w:rPr>
          <w:w w:val="105"/>
        </w:rPr>
        <w:t>技能等级晋升等情况</w:t>
      </w:r>
      <w:r>
        <w:rPr>
          <w:rFonts w:hint="eastAsia" w:ascii="MS UI Gothic" w:eastAsia="MS UI Gothic"/>
          <w:w w:val="80"/>
        </w:rPr>
        <w:t>ꎻ</w:t>
      </w:r>
    </w:p>
    <w:p>
      <w:pPr>
        <w:pStyle w:val="6"/>
        <w:spacing w:line="292" w:lineRule="auto"/>
        <w:ind w:right="442"/>
        <w:rPr>
          <w:rFonts w:hint="eastAsia" w:ascii="MS UI Gothic" w:eastAsia="MS UI Gothic"/>
        </w:rPr>
      </w:pPr>
      <w:r>
        <w:rPr>
          <w:rFonts w:hint="eastAsia" w:ascii="MS UI Gothic" w:eastAsia="MS UI Gothic"/>
          <w:spacing w:val="-41"/>
          <w:w w:val="150"/>
        </w:rPr>
        <w:t xml:space="preserve">( </w:t>
      </w:r>
      <w:r>
        <w:rPr>
          <w:spacing w:val="3"/>
          <w:w w:val="110"/>
        </w:rPr>
        <w:t>二</w:t>
      </w:r>
      <w:r>
        <w:rPr>
          <w:rFonts w:hint="eastAsia" w:ascii="MS UI Gothic" w:eastAsia="MS UI Gothic"/>
          <w:spacing w:val="-10"/>
          <w:w w:val="150"/>
        </w:rPr>
        <w:t xml:space="preserve">) </w:t>
      </w:r>
      <w:r>
        <w:rPr>
          <w:spacing w:val="26"/>
          <w:w w:val="110"/>
        </w:rPr>
        <w:t>身份证复印件</w:t>
      </w:r>
      <w:r>
        <w:rPr>
          <w:rFonts w:hint="eastAsia" w:ascii="MS UI Gothic" w:eastAsia="MS UI Gothic"/>
          <w:spacing w:val="8"/>
          <w:w w:val="80"/>
        </w:rPr>
        <w:t xml:space="preserve">、 </w:t>
      </w:r>
      <w:r>
        <w:rPr>
          <w:spacing w:val="22"/>
          <w:w w:val="110"/>
        </w:rPr>
        <w:t>学历证书复</w:t>
      </w:r>
      <w:r>
        <w:rPr>
          <w:spacing w:val="3"/>
          <w:w w:val="110"/>
        </w:rPr>
        <w:t>印件</w:t>
      </w:r>
      <w:r>
        <w:rPr>
          <w:rFonts w:hint="eastAsia" w:ascii="MS UI Gothic" w:eastAsia="MS UI Gothic"/>
          <w:w w:val="80"/>
        </w:rPr>
        <w:t>ꎻ</w:t>
      </w:r>
    </w:p>
    <w:p>
      <w:pPr>
        <w:pStyle w:val="6"/>
        <w:spacing w:line="292" w:lineRule="auto"/>
        <w:ind w:right="442"/>
        <w:rPr>
          <w:rFonts w:hint="eastAsia" w:ascii="MS UI Gothic" w:eastAsia="MS UI Gothic"/>
        </w:rPr>
      </w:pPr>
      <w:r>
        <w:rPr>
          <w:rFonts w:hint="eastAsia" w:ascii="MS UI Gothic" w:eastAsia="MS UI Gothic"/>
          <w:spacing w:val="-41"/>
          <w:w w:val="150"/>
        </w:rPr>
        <w:t xml:space="preserve">( </w:t>
      </w:r>
      <w:r>
        <w:rPr>
          <w:spacing w:val="3"/>
          <w:w w:val="110"/>
        </w:rPr>
        <w:t>三</w:t>
      </w:r>
      <w:r>
        <w:rPr>
          <w:rFonts w:hint="eastAsia" w:ascii="MS UI Gothic" w:eastAsia="MS UI Gothic"/>
          <w:spacing w:val="-10"/>
          <w:w w:val="150"/>
        </w:rPr>
        <w:t xml:space="preserve">) </w:t>
      </w:r>
      <w:r>
        <w:rPr>
          <w:spacing w:val="27"/>
          <w:w w:val="110"/>
        </w:rPr>
        <w:t>历次接受安全培训</w:t>
      </w:r>
      <w:r>
        <w:rPr>
          <w:rFonts w:hint="eastAsia" w:ascii="MS UI Gothic" w:eastAsia="MS UI Gothic"/>
          <w:spacing w:val="8"/>
          <w:w w:val="80"/>
        </w:rPr>
        <w:t xml:space="preserve">、 </w:t>
      </w:r>
      <w:r>
        <w:rPr>
          <w:spacing w:val="16"/>
          <w:w w:val="110"/>
        </w:rPr>
        <w:t>考核的</w:t>
      </w:r>
      <w:r>
        <w:rPr>
          <w:spacing w:val="3"/>
          <w:w w:val="110"/>
        </w:rPr>
        <w:t>情况</w:t>
      </w:r>
      <w:r>
        <w:rPr>
          <w:rFonts w:hint="eastAsia" w:ascii="MS UI Gothic" w:eastAsia="MS UI Gothic"/>
          <w:w w:val="80"/>
        </w:rPr>
        <w:t>ꎻ</w:t>
      </w:r>
    </w:p>
    <w:p>
      <w:pPr>
        <w:pStyle w:val="6"/>
        <w:spacing w:line="292" w:lineRule="auto"/>
        <w:ind w:right="440"/>
        <w:rPr>
          <w:rFonts w:hint="eastAsia" w:ascii="MS UI Gothic" w:eastAsia="MS UI Gothic"/>
        </w:rPr>
      </w:pPr>
      <w:r>
        <w:rPr>
          <w:rFonts w:hint="eastAsia" w:ascii="MS UI Gothic" w:eastAsia="MS UI Gothic"/>
          <w:spacing w:val="-41"/>
          <w:w w:val="150"/>
        </w:rPr>
        <w:t xml:space="preserve">( </w:t>
      </w:r>
      <w:r>
        <w:rPr>
          <w:spacing w:val="7"/>
          <w:w w:val="105"/>
        </w:rPr>
        <w:t>四</w:t>
      </w:r>
      <w:r>
        <w:rPr>
          <w:rFonts w:hint="eastAsia" w:ascii="MS UI Gothic" w:eastAsia="MS UI Gothic"/>
          <w:spacing w:val="-13"/>
          <w:w w:val="150"/>
        </w:rPr>
        <w:t xml:space="preserve">) </w:t>
      </w:r>
      <w:r>
        <w:rPr>
          <w:spacing w:val="15"/>
          <w:w w:val="105"/>
        </w:rPr>
        <w:t>安全生产违规违章行为记录</w:t>
      </w:r>
      <w:r>
        <w:rPr>
          <w:rFonts w:hint="eastAsia" w:ascii="MS UI Gothic" w:eastAsia="MS UI Gothic"/>
          <w:w w:val="80"/>
        </w:rPr>
        <w:t>ꎬ</w:t>
      </w:r>
      <w:r>
        <w:rPr>
          <w:spacing w:val="29"/>
          <w:w w:val="105"/>
        </w:rPr>
        <w:t>以及被追究责任</w:t>
      </w:r>
      <w:r>
        <w:rPr>
          <w:rFonts w:hint="eastAsia" w:ascii="MS UI Gothic" w:eastAsia="MS UI Gothic"/>
          <w:spacing w:val="13"/>
          <w:w w:val="80"/>
        </w:rPr>
        <w:t xml:space="preserve">ꎬ </w:t>
      </w:r>
      <w:r>
        <w:rPr>
          <w:spacing w:val="30"/>
          <w:w w:val="105"/>
        </w:rPr>
        <w:t>受到处分</w:t>
      </w:r>
      <w:r>
        <w:rPr>
          <w:rFonts w:hint="eastAsia" w:ascii="MS UI Gothic" w:eastAsia="MS UI Gothic"/>
          <w:spacing w:val="13"/>
          <w:w w:val="80"/>
        </w:rPr>
        <w:t xml:space="preserve">、 </w:t>
      </w:r>
      <w:r>
        <w:rPr>
          <w:spacing w:val="26"/>
          <w:w w:val="105"/>
        </w:rPr>
        <w:t>处理的</w:t>
      </w:r>
      <w:r>
        <w:rPr>
          <w:spacing w:val="3"/>
          <w:w w:val="105"/>
        </w:rPr>
        <w:t>情况</w:t>
      </w:r>
      <w:r>
        <w:rPr>
          <w:rFonts w:hint="eastAsia" w:ascii="MS UI Gothic" w:eastAsia="MS UI Gothic"/>
          <w:w w:val="80"/>
        </w:rPr>
        <w:t>ꎻ</w:t>
      </w:r>
    </w:p>
    <w:p>
      <w:pPr>
        <w:pStyle w:val="6"/>
        <w:spacing w:line="256" w:lineRule="exact"/>
        <w:ind w:left="543"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其他有关情况</w:t>
      </w:r>
      <w:r>
        <w:rPr>
          <w:rFonts w:hint="eastAsia" w:ascii="MS UI Gothic" w:eastAsia="MS UI Gothic"/>
          <w:w w:val="80"/>
        </w:rPr>
        <w:t>ꎮ</w:t>
      </w:r>
    </w:p>
    <w:p>
      <w:pPr>
        <w:spacing w:after="0" w:line="256" w:lineRule="exac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３７３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21" o:spid="_x0000_s2121" o:spt="203" style="height:2.15pt;width:398.25pt;" coordsize="7965,43">
            <o:lock v:ext="edit"/>
            <v:line id="_x0000_s2122" o:spid="_x0000_s2122" o:spt="20" style="position:absolute;left:0;top:39;height:0;width:7965;" stroked="t" coordsize="21600,21600">
              <v:path arrowok="t"/>
              <v:fill focussize="0,0"/>
              <v:stroke weight="0.388031496062992pt" color="#231F20"/>
              <v:imagedata o:title=""/>
              <o:lock v:ext="edit"/>
            </v:line>
            <v:line id="_x0000_s2123" o:spid="_x0000_s212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hAnsi="MS UI Gothic" w:eastAsia="MS UI Gothic"/>
        </w:rPr>
      </w:pPr>
      <w:r>
        <w:rPr>
          <w:spacing w:val="2"/>
        </w:rPr>
        <w:t>煤矿企业从业人员安全培训档案应当</w:t>
      </w:r>
      <w:r>
        <w:rPr>
          <w:spacing w:val="-16"/>
          <w:w w:val="105"/>
        </w:rPr>
        <w:t xml:space="preserve">按照 </w:t>
      </w:r>
      <w:r>
        <w:rPr>
          <w:rFonts w:hint="eastAsia" w:ascii="MS UI Gothic" w:hAnsi="MS UI Gothic" w:eastAsia="MS UI Gothic"/>
          <w:spacing w:val="-19"/>
          <w:w w:val="85"/>
        </w:rPr>
        <w:t xml:space="preserve">« </w:t>
      </w:r>
      <w:r>
        <w:rPr>
          <w:spacing w:val="15"/>
          <w:w w:val="105"/>
        </w:rPr>
        <w:t>企业文件材料归档范围和档案保</w:t>
      </w:r>
      <w:r>
        <w:rPr>
          <w:spacing w:val="7"/>
          <w:w w:val="105"/>
        </w:rPr>
        <w:t>管期限规定</w:t>
      </w:r>
      <w:r>
        <w:rPr>
          <w:rFonts w:hint="eastAsia" w:ascii="MS UI Gothic" w:hAnsi="MS UI Gothic" w:eastAsia="MS UI Gothic"/>
          <w:spacing w:val="23"/>
          <w:w w:val="85"/>
        </w:rPr>
        <w:t xml:space="preserve">» </w:t>
      </w:r>
      <w:r>
        <w:rPr>
          <w:rFonts w:hint="eastAsia" w:ascii="MS UI Gothic" w:hAnsi="MS UI Gothic" w:eastAsia="MS UI Gothic"/>
          <w:spacing w:val="-32"/>
          <w:w w:val="145"/>
        </w:rPr>
        <w:t xml:space="preserve">( </w:t>
      </w:r>
      <w:r>
        <w:rPr>
          <w:spacing w:val="4"/>
          <w:w w:val="105"/>
        </w:rPr>
        <w:t xml:space="preserve">国家档案局令第 </w:t>
      </w:r>
      <w:r>
        <w:rPr>
          <w:rFonts w:hint="eastAsia" w:ascii="MS UI Gothic" w:hAnsi="MS UI Gothic" w:eastAsia="MS UI Gothic"/>
          <w:spacing w:val="3"/>
          <w:w w:val="85"/>
        </w:rPr>
        <w:t xml:space="preserve">１０ </w:t>
      </w:r>
      <w:r>
        <w:rPr>
          <w:spacing w:val="13"/>
          <w:w w:val="105"/>
        </w:rPr>
        <w:t>号</w:t>
      </w:r>
      <w:r>
        <w:rPr>
          <w:rFonts w:hint="eastAsia" w:ascii="MS UI Gothic" w:hAnsi="MS UI Gothic" w:eastAsia="MS UI Gothic"/>
          <w:w w:val="145"/>
        </w:rPr>
        <w:t xml:space="preserve">) </w:t>
      </w:r>
      <w:r>
        <w:rPr>
          <w:spacing w:val="3"/>
          <w:w w:val="105"/>
        </w:rPr>
        <w:t>保存</w:t>
      </w:r>
      <w:r>
        <w:rPr>
          <w:rFonts w:hint="eastAsia" w:ascii="MS UI Gothic" w:hAnsi="MS UI Gothic" w:eastAsia="MS UI Gothic"/>
          <w:w w:val="85"/>
        </w:rPr>
        <w:t>ꎮ</w:t>
      </w:r>
    </w:p>
    <w:p>
      <w:pPr>
        <w:pStyle w:val="6"/>
        <w:spacing w:line="295" w:lineRule="auto"/>
        <w:ind w:left="440" w:right="1"/>
        <w:rPr>
          <w:rFonts w:hint="eastAsia" w:ascii="MS UI Gothic" w:eastAsia="MS UI Gothic"/>
        </w:rPr>
      </w:pPr>
      <w:r>
        <w:rPr>
          <w:w w:val="105"/>
        </w:rPr>
        <w:t>第九条 煤矿企业除建立从业人员安</w:t>
      </w:r>
      <w:r>
        <w:t>全培训档案外</w:t>
      </w:r>
      <w:r>
        <w:rPr>
          <w:rFonts w:hint="eastAsia" w:ascii="MS UI Gothic" w:eastAsia="MS UI Gothic"/>
          <w:w w:val="80"/>
        </w:rPr>
        <w:t xml:space="preserve">ꎬ </w:t>
      </w:r>
      <w:r>
        <w:t>还应当建立企业安全培训档案</w:t>
      </w:r>
      <w:r>
        <w:rPr>
          <w:rFonts w:hint="eastAsia" w:ascii="MS UI Gothic" w:eastAsia="MS UI Gothic"/>
          <w:w w:val="80"/>
        </w:rPr>
        <w:t xml:space="preserve">ꎬ </w:t>
      </w:r>
      <w:r>
        <w:t>实行一期一档</w:t>
      </w:r>
      <w:r>
        <w:rPr>
          <w:rFonts w:hint="eastAsia" w:ascii="MS UI Gothic" w:eastAsia="MS UI Gothic"/>
          <w:w w:val="80"/>
        </w:rPr>
        <w:t xml:space="preserve">ꎮ </w:t>
      </w:r>
      <w:r>
        <w:t>煤矿企业安全培训</w:t>
      </w:r>
      <w:r>
        <w:rPr>
          <w:w w:val="105"/>
        </w:rPr>
        <w:t>档案的内容包括</w:t>
      </w:r>
      <w:r>
        <w:rPr>
          <w:rFonts w:hint="eastAsia" w:ascii="MS UI Gothic" w:eastAsia="MS UI Gothic"/>
          <w:w w:val="235"/>
        </w:rPr>
        <w:t>:</w:t>
      </w:r>
    </w:p>
    <w:p>
      <w:pPr>
        <w:pStyle w:val="6"/>
        <w:spacing w:line="253" w:lineRule="exact"/>
        <w:ind w:left="860" w:firstLine="0"/>
        <w:rPr>
          <w:rFonts w:hint="eastAsia" w:ascii="MS UI Gothic" w:eastAsia="MS UI Gothic"/>
        </w:rPr>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培训计划</w:t>
      </w:r>
      <w:r>
        <w:rPr>
          <w:rFonts w:hint="eastAsia" w:ascii="MS UI Gothic" w:eastAsia="MS UI Gothic"/>
          <w:w w:val="80"/>
        </w:rPr>
        <w:t>ꎻ</w:t>
      </w:r>
    </w:p>
    <w:p>
      <w:pPr>
        <w:pStyle w:val="6"/>
        <w:spacing w:before="55"/>
        <w:ind w:left="86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培训时间</w:t>
      </w:r>
      <w:r>
        <w:rPr>
          <w:rFonts w:hint="eastAsia" w:ascii="MS UI Gothic" w:eastAsia="MS UI Gothic"/>
          <w:w w:val="80"/>
        </w:rPr>
        <w:t xml:space="preserve">、 </w:t>
      </w:r>
      <w:r>
        <w:rPr>
          <w:w w:val="110"/>
        </w:rPr>
        <w:t>地点</w:t>
      </w:r>
      <w:r>
        <w:rPr>
          <w:rFonts w:hint="eastAsia" w:ascii="MS UI Gothic" w:eastAsia="MS UI Gothic"/>
          <w:w w:val="80"/>
        </w:rPr>
        <w:t>ꎻ</w:t>
      </w:r>
    </w:p>
    <w:p>
      <w:pPr>
        <w:pStyle w:val="6"/>
        <w:spacing w:before="58" w:line="295" w:lineRule="auto"/>
        <w:ind w:left="860" w:right="797" w:firstLine="0"/>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培训课时及授课教师</w:t>
      </w:r>
      <w:r>
        <w:rPr>
          <w:rFonts w:hint="eastAsia" w:ascii="MS UI Gothic" w:eastAsia="MS UI Gothic"/>
          <w:w w:val="80"/>
        </w:rPr>
        <w:t>ꎻ</w:t>
      </w: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课程讲义</w:t>
      </w:r>
      <w:r>
        <w:rPr>
          <w:rFonts w:hint="eastAsia" w:ascii="MS UI Gothic" w:eastAsia="MS UI Gothic"/>
          <w:w w:val="80"/>
        </w:rPr>
        <w:t>ꎻ</w:t>
      </w:r>
    </w:p>
    <w:p>
      <w:pPr>
        <w:pStyle w:val="6"/>
        <w:spacing w:line="295" w:lineRule="auto"/>
        <w:ind w:left="860" w:right="168" w:firstLine="0"/>
        <w:jc w:val="left"/>
        <w:rPr>
          <w:rFonts w:hint="eastAsia" w:ascii="MS UI Gothic" w:eastAsia="MS UI Gothic"/>
        </w:rPr>
      </w:pPr>
      <w:r>
        <w:rPr>
          <w:rFonts w:hint="eastAsia" w:ascii="MS UI Gothic" w:eastAsia="MS UI Gothic"/>
          <w:spacing w:val="-41"/>
          <w:w w:val="150"/>
        </w:rPr>
        <w:t xml:space="preserve">( </w:t>
      </w:r>
      <w:r>
        <w:rPr>
          <w:spacing w:val="3"/>
          <w:w w:val="110"/>
        </w:rPr>
        <w:t>五</w:t>
      </w:r>
      <w:r>
        <w:rPr>
          <w:rFonts w:hint="eastAsia" w:ascii="MS UI Gothic" w:eastAsia="MS UI Gothic"/>
          <w:spacing w:val="-16"/>
          <w:w w:val="150"/>
        </w:rPr>
        <w:t xml:space="preserve">) </w:t>
      </w:r>
      <w:r>
        <w:rPr>
          <w:spacing w:val="3"/>
          <w:w w:val="110"/>
        </w:rPr>
        <w:t>学员名册</w:t>
      </w:r>
      <w:r>
        <w:rPr>
          <w:rFonts w:hint="eastAsia" w:ascii="MS UI Gothic" w:eastAsia="MS UI Gothic"/>
          <w:w w:val="80"/>
        </w:rPr>
        <w:t xml:space="preserve">、 </w:t>
      </w:r>
      <w:r>
        <w:rPr>
          <w:spacing w:val="3"/>
          <w:w w:val="110"/>
        </w:rPr>
        <w:t>考勤</w:t>
      </w:r>
      <w:r>
        <w:rPr>
          <w:rFonts w:hint="eastAsia" w:ascii="MS UI Gothic" w:eastAsia="MS UI Gothic"/>
          <w:w w:val="80"/>
        </w:rPr>
        <w:t xml:space="preserve">、 </w:t>
      </w:r>
      <w:r>
        <w:rPr>
          <w:spacing w:val="3"/>
          <w:w w:val="110"/>
        </w:rPr>
        <w:t>考核情况</w:t>
      </w:r>
      <w:r>
        <w:rPr>
          <w:rFonts w:hint="eastAsia" w:ascii="MS UI Gothic" w:eastAsia="MS UI Gothic"/>
          <w:w w:val="80"/>
        </w:rPr>
        <w:t>ꎻ</w:t>
      </w:r>
      <w:r>
        <w:rPr>
          <w:rFonts w:hint="eastAsia" w:ascii="MS UI Gothic" w:eastAsia="MS UI Gothic"/>
          <w:spacing w:val="-37"/>
          <w:w w:val="150"/>
        </w:rPr>
        <w:t xml:space="preserve">( </w:t>
      </w:r>
      <w:r>
        <w:rPr>
          <w:spacing w:val="3"/>
          <w:w w:val="110"/>
        </w:rPr>
        <w:t>六</w:t>
      </w:r>
      <w:r>
        <w:rPr>
          <w:rFonts w:hint="eastAsia" w:ascii="MS UI Gothic" w:eastAsia="MS UI Gothic"/>
          <w:spacing w:val="9"/>
          <w:w w:val="150"/>
        </w:rPr>
        <w:t xml:space="preserve">) </w:t>
      </w:r>
      <w:r>
        <w:rPr>
          <w:spacing w:val="3"/>
          <w:w w:val="110"/>
        </w:rPr>
        <w:t>综合考评报告等</w:t>
      </w:r>
      <w:r>
        <w:rPr>
          <w:rFonts w:hint="eastAsia" w:ascii="MS UI Gothic" w:eastAsia="MS UI Gothic"/>
          <w:w w:val="80"/>
        </w:rPr>
        <w:t>ꎻ</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其他有关情况</w:t>
      </w:r>
      <w:r>
        <w:rPr>
          <w:rFonts w:hint="eastAsia" w:ascii="MS UI Gothic" w:eastAsia="MS UI Gothic"/>
          <w:w w:val="80"/>
        </w:rPr>
        <w:t>ꎮ</w:t>
      </w:r>
    </w:p>
    <w:p>
      <w:pPr>
        <w:pStyle w:val="6"/>
        <w:spacing w:before="57" w:line="295" w:lineRule="auto"/>
        <w:ind w:left="435" w:right="1" w:firstLine="425"/>
        <w:rPr>
          <w:rFonts w:hint="eastAsia" w:ascii="MS UI Gothic" w:eastAsia="MS UI Gothic"/>
        </w:rPr>
      </w:pPr>
      <w:r>
        <w:rPr>
          <w:spacing w:val="2"/>
        </w:rPr>
        <w:t xml:space="preserve">对煤矿企业主要负责人和安全生产管理人员的煤矿企业安全培训档案应当保存 </w:t>
      </w:r>
      <w:r>
        <w:rPr>
          <w:rFonts w:hint="eastAsia" w:ascii="MS UI Gothic" w:eastAsia="MS UI Gothic"/>
          <w:spacing w:val="10"/>
          <w:w w:val="80"/>
        </w:rPr>
        <w:t xml:space="preserve">３ </w:t>
      </w:r>
      <w:r>
        <w:rPr>
          <w:spacing w:val="3"/>
        </w:rPr>
        <w:t>年以上</w:t>
      </w:r>
      <w:r>
        <w:rPr>
          <w:rFonts w:hint="eastAsia" w:ascii="MS UI Gothic" w:eastAsia="MS UI Gothic"/>
          <w:spacing w:val="12"/>
          <w:w w:val="80"/>
        </w:rPr>
        <w:t xml:space="preserve">ꎬ </w:t>
      </w:r>
      <w:r>
        <w:rPr>
          <w:spacing w:val="4"/>
        </w:rPr>
        <w:t>对特种作业人员的煤矿企业安</w:t>
      </w:r>
      <w:r>
        <w:rPr>
          <w:spacing w:val="-7"/>
          <w:w w:val="105"/>
        </w:rPr>
        <w:t xml:space="preserve">全培训档案应当保存 </w:t>
      </w:r>
      <w:r>
        <w:rPr>
          <w:rFonts w:hint="eastAsia" w:ascii="MS UI Gothic" w:eastAsia="MS UI Gothic"/>
          <w:spacing w:val="-12"/>
          <w:w w:val="80"/>
        </w:rPr>
        <w:t xml:space="preserve">６ </w:t>
      </w:r>
      <w:r>
        <w:rPr>
          <w:spacing w:val="3"/>
          <w:w w:val="105"/>
        </w:rPr>
        <w:t>年以上</w:t>
      </w:r>
      <w:r>
        <w:rPr>
          <w:rFonts w:hint="eastAsia" w:ascii="MS UI Gothic" w:eastAsia="MS UI Gothic"/>
          <w:spacing w:val="-1"/>
          <w:w w:val="80"/>
        </w:rPr>
        <w:t xml:space="preserve">ꎬ </w:t>
      </w:r>
      <w:r>
        <w:rPr>
          <w:spacing w:val="3"/>
          <w:w w:val="105"/>
        </w:rPr>
        <w:t>其他从业</w:t>
      </w:r>
      <w:r>
        <w:rPr>
          <w:spacing w:val="3"/>
        </w:rPr>
        <w:t xml:space="preserve">人员的煤矿企业安全培训档案应当保存 </w:t>
      </w:r>
      <w:r>
        <w:rPr>
          <w:rFonts w:hint="eastAsia" w:ascii="MS UI Gothic" w:eastAsia="MS UI Gothic"/>
          <w:w w:val="80"/>
        </w:rPr>
        <w:t xml:space="preserve">３ </w:t>
      </w:r>
      <w:r>
        <w:rPr>
          <w:spacing w:val="3"/>
          <w:w w:val="105"/>
        </w:rPr>
        <w:t>年以上</w:t>
      </w:r>
      <w:r>
        <w:rPr>
          <w:rFonts w:hint="eastAsia" w:ascii="MS UI Gothic" w:eastAsia="MS UI Gothic"/>
          <w:w w:val="80"/>
        </w:rPr>
        <w:t>ꎮ</w:t>
      </w:r>
    </w:p>
    <w:p>
      <w:pPr>
        <w:pStyle w:val="6"/>
        <w:tabs>
          <w:tab w:val="left" w:pos="1698"/>
        </w:tabs>
        <w:spacing w:before="152" w:line="295" w:lineRule="auto"/>
        <w:ind w:left="1069" w:right="419" w:hanging="210"/>
        <w:jc w:val="left"/>
      </w:pPr>
      <w:r>
        <w:rPr>
          <w:spacing w:val="3"/>
          <w:w w:val="105"/>
        </w:rPr>
        <w:t>第三</w:t>
      </w:r>
      <w:r>
        <w:rPr>
          <w:w w:val="105"/>
        </w:rPr>
        <w:t>章</w:t>
      </w:r>
      <w:r>
        <w:rPr>
          <w:w w:val="105"/>
        </w:rPr>
        <w:tab/>
      </w:r>
      <w:r>
        <w:rPr>
          <w:spacing w:val="3"/>
        </w:rPr>
        <w:t>主要负责人和安全生</w:t>
      </w:r>
      <w:r>
        <w:t>产</w:t>
      </w:r>
      <w:r>
        <w:rPr>
          <w:spacing w:val="3"/>
          <w:w w:val="105"/>
        </w:rPr>
        <w:t>管理人员的安全培训及考</w:t>
      </w:r>
      <w:r>
        <w:rPr>
          <w:w w:val="105"/>
        </w:rPr>
        <w:t>核</w:t>
      </w:r>
    </w:p>
    <w:p>
      <w:pPr>
        <w:pStyle w:val="6"/>
        <w:spacing w:before="156" w:line="295" w:lineRule="auto"/>
        <w:ind w:left="440"/>
        <w:rPr>
          <w:rFonts w:hint="eastAsia" w:ascii="MS UI Gothic" w:eastAsia="MS UI Gothic"/>
        </w:rPr>
      </w:pPr>
      <w:r>
        <w:t>第十条 本规定所称煤矿企业主要负责人</w:t>
      </w:r>
      <w:r>
        <w:rPr>
          <w:rFonts w:hint="eastAsia" w:ascii="MS UI Gothic" w:eastAsia="MS UI Gothic"/>
          <w:w w:val="80"/>
        </w:rPr>
        <w:t xml:space="preserve">ꎬ </w:t>
      </w:r>
      <w:r>
        <w:t>是指煤矿企业的董事长</w:t>
      </w:r>
      <w:r>
        <w:rPr>
          <w:rFonts w:hint="eastAsia" w:ascii="MS UI Gothic" w:eastAsia="MS UI Gothic"/>
          <w:w w:val="80"/>
        </w:rPr>
        <w:t xml:space="preserve">、 </w:t>
      </w:r>
      <w:r>
        <w:t>总经理</w:t>
      </w:r>
      <w:r>
        <w:rPr>
          <w:rFonts w:hint="eastAsia" w:ascii="MS UI Gothic" w:eastAsia="MS UI Gothic"/>
          <w:w w:val="80"/>
        </w:rPr>
        <w:t>ꎬ</w:t>
      </w:r>
      <w:r>
        <w:t>矿务局局长</w:t>
      </w:r>
      <w:r>
        <w:rPr>
          <w:rFonts w:hint="eastAsia" w:ascii="MS UI Gothic" w:eastAsia="MS UI Gothic"/>
          <w:w w:val="80"/>
        </w:rPr>
        <w:t xml:space="preserve">ꎬ </w:t>
      </w:r>
      <w:r>
        <w:t>煤矿矿长等人员</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本规定所称煤矿企业安全生产管理人</w:t>
      </w:r>
      <w:r>
        <w:rPr>
          <w:spacing w:val="3"/>
        </w:rPr>
        <w:t>员</w:t>
      </w:r>
      <w:r>
        <w:rPr>
          <w:rFonts w:hint="eastAsia" w:ascii="MS UI Gothic" w:eastAsia="MS UI Gothic"/>
          <w:spacing w:val="6"/>
          <w:w w:val="80"/>
        </w:rPr>
        <w:t xml:space="preserve">ꎬ </w:t>
      </w:r>
      <w:r>
        <w:rPr>
          <w:spacing w:val="17"/>
        </w:rPr>
        <w:t>是指煤矿企业分管安全</w:t>
      </w:r>
      <w:r>
        <w:rPr>
          <w:rFonts w:hint="eastAsia" w:ascii="MS UI Gothic" w:eastAsia="MS UI Gothic"/>
          <w:spacing w:val="13"/>
          <w:w w:val="80"/>
        </w:rPr>
        <w:t xml:space="preserve">、 </w:t>
      </w:r>
      <w:r>
        <w:rPr>
          <w:spacing w:val="14"/>
        </w:rPr>
        <w:t>采煤</w:t>
      </w:r>
      <w:r>
        <w:rPr>
          <w:rFonts w:hint="eastAsia" w:ascii="MS UI Gothic" w:eastAsia="MS UI Gothic"/>
          <w:spacing w:val="14"/>
          <w:w w:val="80"/>
        </w:rPr>
        <w:t xml:space="preserve">、 </w:t>
      </w:r>
      <w:r>
        <w:t>掘</w:t>
      </w:r>
      <w:r>
        <w:rPr>
          <w:spacing w:val="3"/>
        </w:rPr>
        <w:t>进</w:t>
      </w:r>
      <w:r>
        <w:rPr>
          <w:rFonts w:hint="eastAsia" w:ascii="MS UI Gothic" w:eastAsia="MS UI Gothic"/>
          <w:spacing w:val="7"/>
          <w:w w:val="80"/>
        </w:rPr>
        <w:t xml:space="preserve">、 </w:t>
      </w:r>
      <w:r>
        <w:rPr>
          <w:spacing w:val="3"/>
        </w:rPr>
        <w:t>通风</w:t>
      </w:r>
      <w:r>
        <w:rPr>
          <w:rFonts w:hint="eastAsia" w:ascii="MS UI Gothic" w:eastAsia="MS UI Gothic"/>
          <w:spacing w:val="14"/>
          <w:w w:val="80"/>
        </w:rPr>
        <w:t xml:space="preserve">、 </w:t>
      </w:r>
      <w:r>
        <w:rPr>
          <w:spacing w:val="10"/>
        </w:rPr>
        <w:t>机电</w:t>
      </w:r>
      <w:r>
        <w:rPr>
          <w:rFonts w:hint="eastAsia" w:ascii="MS UI Gothic" w:eastAsia="MS UI Gothic"/>
          <w:spacing w:val="14"/>
          <w:w w:val="80"/>
        </w:rPr>
        <w:t xml:space="preserve">、 </w:t>
      </w:r>
      <w:r>
        <w:rPr>
          <w:spacing w:val="10"/>
        </w:rPr>
        <w:t>运输</w:t>
      </w:r>
      <w:r>
        <w:rPr>
          <w:rFonts w:hint="eastAsia" w:ascii="MS UI Gothic" w:eastAsia="MS UI Gothic"/>
          <w:spacing w:val="9"/>
          <w:w w:val="80"/>
        </w:rPr>
        <w:t xml:space="preserve">、  </w:t>
      </w:r>
      <w:r>
        <w:rPr>
          <w:spacing w:val="10"/>
        </w:rPr>
        <w:t>地测</w:t>
      </w:r>
      <w:r>
        <w:rPr>
          <w:rFonts w:hint="eastAsia" w:ascii="MS UI Gothic" w:eastAsia="MS UI Gothic"/>
          <w:spacing w:val="9"/>
          <w:w w:val="80"/>
        </w:rPr>
        <w:t xml:space="preserve">、  </w:t>
      </w:r>
      <w:r>
        <w:rPr>
          <w:spacing w:val="12"/>
        </w:rPr>
        <w:t>防治水</w:t>
      </w:r>
      <w:r>
        <w:rPr>
          <w:rFonts w:hint="eastAsia" w:ascii="MS UI Gothic" w:eastAsia="MS UI Gothic"/>
          <w:w w:val="80"/>
        </w:rPr>
        <w:t>、</w:t>
      </w:r>
      <w:r>
        <w:rPr>
          <w:spacing w:val="3"/>
        </w:rPr>
        <w:t>调度等工作的副董事长</w:t>
      </w:r>
      <w:r>
        <w:rPr>
          <w:rFonts w:hint="eastAsia" w:ascii="MS UI Gothic" w:eastAsia="MS UI Gothic"/>
          <w:spacing w:val="23"/>
          <w:w w:val="80"/>
        </w:rPr>
        <w:t xml:space="preserve">、 </w:t>
      </w:r>
      <w:r>
        <w:rPr>
          <w:spacing w:val="3"/>
        </w:rPr>
        <w:t>副总经理</w:t>
      </w:r>
      <w:r>
        <w:rPr>
          <w:rFonts w:hint="eastAsia" w:ascii="MS UI Gothic" w:eastAsia="MS UI Gothic"/>
          <w:spacing w:val="23"/>
          <w:w w:val="80"/>
        </w:rPr>
        <w:t xml:space="preserve">、 </w:t>
      </w:r>
      <w:r>
        <w:rPr>
          <w:spacing w:val="1"/>
        </w:rPr>
        <w:t>副局</w:t>
      </w:r>
      <w:r>
        <w:rPr>
          <w:spacing w:val="3"/>
        </w:rPr>
        <w:t>长</w:t>
      </w:r>
      <w:r>
        <w:rPr>
          <w:rFonts w:hint="eastAsia" w:ascii="MS UI Gothic" w:eastAsia="MS UI Gothic"/>
          <w:spacing w:val="7"/>
          <w:w w:val="80"/>
        </w:rPr>
        <w:t xml:space="preserve">、 </w:t>
      </w:r>
      <w:r>
        <w:rPr>
          <w:spacing w:val="3"/>
        </w:rPr>
        <w:t>副矿长</w:t>
      </w:r>
      <w:r>
        <w:rPr>
          <w:rFonts w:hint="eastAsia" w:ascii="MS UI Gothic" w:eastAsia="MS UI Gothic"/>
          <w:spacing w:val="7"/>
          <w:w w:val="80"/>
        </w:rPr>
        <w:t xml:space="preserve">ꎬ </w:t>
      </w:r>
      <w:r>
        <w:rPr>
          <w:spacing w:val="3"/>
        </w:rPr>
        <w:t>总工程师</w:t>
      </w:r>
      <w:r>
        <w:rPr>
          <w:rFonts w:hint="eastAsia" w:ascii="MS UI Gothic" w:eastAsia="MS UI Gothic"/>
          <w:spacing w:val="7"/>
          <w:w w:val="80"/>
        </w:rPr>
        <w:t xml:space="preserve">、 </w:t>
      </w:r>
      <w:r>
        <w:rPr>
          <w:spacing w:val="2"/>
        </w:rPr>
        <w:t>副总工程师和技</w:t>
      </w:r>
      <w:r>
        <w:rPr>
          <w:spacing w:val="3"/>
        </w:rPr>
        <w:t>术负责人</w:t>
      </w:r>
      <w:r>
        <w:rPr>
          <w:rFonts w:hint="eastAsia" w:ascii="MS UI Gothic" w:eastAsia="MS UI Gothic"/>
          <w:spacing w:val="21"/>
          <w:w w:val="80"/>
        </w:rPr>
        <w:t xml:space="preserve">ꎬ </w:t>
      </w:r>
      <w:r>
        <w:rPr>
          <w:spacing w:val="2"/>
        </w:rPr>
        <w:t>安全生产管理机构负责人及其</w:t>
      </w:r>
      <w:r>
        <w:rPr>
          <w:spacing w:val="3"/>
        </w:rPr>
        <w:t>管理人员</w:t>
      </w:r>
      <w:r>
        <w:rPr>
          <w:rFonts w:hint="eastAsia" w:ascii="MS UI Gothic" w:eastAsia="MS UI Gothic"/>
          <w:spacing w:val="4"/>
          <w:w w:val="80"/>
        </w:rPr>
        <w:t xml:space="preserve">ꎬ </w:t>
      </w:r>
      <w:r>
        <w:rPr>
          <w:spacing w:val="3"/>
        </w:rPr>
        <w:t>采煤</w:t>
      </w:r>
      <w:r>
        <w:rPr>
          <w:rFonts w:hint="eastAsia" w:ascii="MS UI Gothic" w:eastAsia="MS UI Gothic"/>
          <w:spacing w:val="4"/>
          <w:w w:val="80"/>
        </w:rPr>
        <w:t xml:space="preserve">、 </w:t>
      </w:r>
      <w:r>
        <w:rPr>
          <w:spacing w:val="3"/>
        </w:rPr>
        <w:t>掘进</w:t>
      </w:r>
      <w:r>
        <w:rPr>
          <w:rFonts w:hint="eastAsia" w:ascii="MS UI Gothic" w:eastAsia="MS UI Gothic"/>
          <w:spacing w:val="4"/>
          <w:w w:val="80"/>
        </w:rPr>
        <w:t xml:space="preserve">、 </w:t>
      </w:r>
      <w:r>
        <w:rPr>
          <w:spacing w:val="3"/>
        </w:rPr>
        <w:t>通风</w:t>
      </w:r>
      <w:r>
        <w:rPr>
          <w:rFonts w:hint="eastAsia" w:ascii="MS UI Gothic" w:eastAsia="MS UI Gothic"/>
          <w:spacing w:val="3"/>
          <w:w w:val="80"/>
        </w:rPr>
        <w:t xml:space="preserve">、  </w:t>
      </w:r>
      <w:r>
        <w:rPr>
          <w:spacing w:val="3"/>
        </w:rPr>
        <w:t>机电</w:t>
      </w:r>
      <w:r>
        <w:rPr>
          <w:rFonts w:hint="eastAsia" w:ascii="MS UI Gothic" w:eastAsia="MS UI Gothic"/>
          <w:spacing w:val="3"/>
          <w:w w:val="80"/>
        </w:rPr>
        <w:t xml:space="preserve">、  </w:t>
      </w:r>
      <w:r>
        <w:t>运</w:t>
      </w:r>
      <w:r>
        <w:rPr>
          <w:spacing w:val="3"/>
        </w:rPr>
        <w:t>输</w:t>
      </w:r>
      <w:r>
        <w:rPr>
          <w:rFonts w:hint="eastAsia" w:ascii="MS UI Gothic" w:eastAsia="MS UI Gothic"/>
          <w:spacing w:val="1"/>
          <w:w w:val="80"/>
        </w:rPr>
        <w:t xml:space="preserve">、  </w:t>
      </w:r>
      <w:r>
        <w:rPr>
          <w:spacing w:val="22"/>
        </w:rPr>
        <w:t>地测</w:t>
      </w:r>
      <w:r>
        <w:rPr>
          <w:rFonts w:hint="eastAsia" w:ascii="MS UI Gothic" w:eastAsia="MS UI Gothic"/>
          <w:spacing w:val="1"/>
          <w:w w:val="80"/>
        </w:rPr>
        <w:t xml:space="preserve">、   </w:t>
      </w:r>
      <w:r>
        <w:rPr>
          <w:spacing w:val="29"/>
        </w:rPr>
        <w:t>防治水</w:t>
      </w:r>
      <w:r>
        <w:rPr>
          <w:rFonts w:hint="eastAsia" w:ascii="MS UI Gothic" w:eastAsia="MS UI Gothic"/>
          <w:spacing w:val="1"/>
          <w:w w:val="80"/>
        </w:rPr>
        <w:t xml:space="preserve">、   </w:t>
      </w:r>
      <w:r>
        <w:rPr>
          <w:spacing w:val="36"/>
        </w:rPr>
        <w:t>调度等职能部门</w:t>
      </w:r>
      <w:r>
        <w:rPr>
          <w:rFonts w:hint="eastAsia" w:ascii="MS UI Gothic" w:eastAsia="MS UI Gothic"/>
          <w:spacing w:val="-18"/>
          <w:w w:val="150"/>
        </w:rPr>
        <w:t xml:space="preserve">( </w:t>
      </w:r>
      <w:r>
        <w:rPr>
          <w:spacing w:val="3"/>
        </w:rPr>
        <w:t>含煤矿井</w:t>
      </w:r>
      <w:r>
        <w:rPr>
          <w:rFonts w:hint="eastAsia" w:ascii="MS UI Gothic" w:eastAsia="MS UI Gothic"/>
          <w:spacing w:val="5"/>
          <w:w w:val="80"/>
        </w:rPr>
        <w:t xml:space="preserve">、 </w:t>
      </w:r>
      <w:r>
        <w:rPr>
          <w:spacing w:val="3"/>
        </w:rPr>
        <w:t>区</w:t>
      </w:r>
      <w:r>
        <w:rPr>
          <w:rFonts w:hint="eastAsia" w:ascii="MS UI Gothic" w:eastAsia="MS UI Gothic"/>
          <w:spacing w:val="5"/>
          <w:w w:val="80"/>
        </w:rPr>
        <w:t xml:space="preserve">、 </w:t>
      </w:r>
      <w:r>
        <w:rPr>
          <w:spacing w:val="3"/>
        </w:rPr>
        <w:t>科</w:t>
      </w:r>
      <w:r>
        <w:rPr>
          <w:rFonts w:hint="eastAsia" w:ascii="MS UI Gothic" w:eastAsia="MS UI Gothic"/>
          <w:spacing w:val="4"/>
          <w:w w:val="80"/>
        </w:rPr>
        <w:t xml:space="preserve">、 </w:t>
      </w:r>
      <w:r>
        <w:rPr>
          <w:spacing w:val="3"/>
        </w:rPr>
        <w:t>队</w:t>
      </w:r>
      <w:r>
        <w:rPr>
          <w:rFonts w:hint="eastAsia" w:ascii="MS UI Gothic" w:eastAsia="MS UI Gothic"/>
          <w:spacing w:val="18"/>
          <w:w w:val="150"/>
        </w:rPr>
        <w:t xml:space="preserve">) </w:t>
      </w:r>
      <w:r>
        <w:rPr>
          <w:spacing w:val="3"/>
        </w:rPr>
        <w:t>负责人</w:t>
      </w:r>
      <w:r>
        <w:rPr>
          <w:rFonts w:hint="eastAsia" w:ascii="MS UI Gothic" w:eastAsia="MS UI Gothic"/>
          <w:w w:val="80"/>
        </w:rPr>
        <w:t>ꎮ</w:t>
      </w:r>
    </w:p>
    <w:p>
      <w:pPr>
        <w:pStyle w:val="6"/>
        <w:spacing w:line="295" w:lineRule="auto"/>
        <w:ind w:left="440" w:right="1"/>
      </w:pPr>
      <w:r>
        <w:t>第十一条 煤矿矿长</w:t>
      </w:r>
      <w:r>
        <w:rPr>
          <w:rFonts w:hint="eastAsia" w:ascii="MS UI Gothic" w:eastAsia="MS UI Gothic"/>
          <w:w w:val="80"/>
        </w:rPr>
        <w:t xml:space="preserve">、 </w:t>
      </w:r>
      <w:r>
        <w:t>副矿长</w:t>
      </w:r>
      <w:r>
        <w:rPr>
          <w:rFonts w:hint="eastAsia" w:ascii="MS UI Gothic" w:eastAsia="MS UI Gothic"/>
          <w:w w:val="80"/>
        </w:rPr>
        <w:t xml:space="preserve">、  </w:t>
      </w:r>
      <w:r>
        <w:t>总工程师</w:t>
      </w:r>
      <w:r>
        <w:rPr>
          <w:rFonts w:hint="eastAsia" w:ascii="MS UI Gothic" w:eastAsia="MS UI Gothic"/>
          <w:w w:val="80"/>
        </w:rPr>
        <w:t xml:space="preserve">、 </w:t>
      </w:r>
      <w:r>
        <w:t>副总工程师应当具备煤矿相关专业大专及以上学历</w:t>
      </w:r>
      <w:r>
        <w:rPr>
          <w:rFonts w:hint="eastAsia" w:ascii="MS UI Gothic" w:eastAsia="MS UI Gothic"/>
          <w:w w:val="80"/>
        </w:rPr>
        <w:t xml:space="preserve">ꎬ </w:t>
      </w:r>
      <w:r>
        <w:t xml:space="preserve">具有 </w:t>
      </w:r>
      <w:r>
        <w:rPr>
          <w:rFonts w:hint="eastAsia" w:ascii="MS UI Gothic" w:eastAsia="MS UI Gothic"/>
          <w:w w:val="80"/>
        </w:rPr>
        <w:t xml:space="preserve">３ </w:t>
      </w:r>
      <w:r>
        <w:t>年以上煤矿相关</w:t>
      </w:r>
    </w:p>
    <w:p>
      <w:pPr>
        <w:pStyle w:val="6"/>
        <w:spacing w:before="124"/>
        <w:ind w:left="381" w:firstLine="0"/>
        <w:jc w:val="left"/>
        <w:rPr>
          <w:rFonts w:hint="eastAsia" w:ascii="MS UI Gothic" w:eastAsia="MS UI Gothic"/>
        </w:rPr>
      </w:pPr>
      <w:r>
        <w:br w:type="column"/>
      </w:r>
      <w:r>
        <w:t>工作经历</w:t>
      </w:r>
      <w:r>
        <w:rPr>
          <w:rFonts w:hint="eastAsia" w:ascii="MS UI Gothic" w:eastAsia="MS UI Gothic"/>
          <w:w w:val="80"/>
        </w:rPr>
        <w:t>ꎮ</w:t>
      </w:r>
    </w:p>
    <w:p>
      <w:pPr>
        <w:pStyle w:val="6"/>
        <w:spacing w:before="58" w:line="295" w:lineRule="auto"/>
        <w:ind w:left="381" w:right="126"/>
        <w:rPr>
          <w:rFonts w:hint="eastAsia" w:ascii="MS UI Gothic" w:eastAsia="MS UI Gothic"/>
        </w:rPr>
      </w:pPr>
      <w:r>
        <w:t>煤矿安全生产管理机构负责人应当具备煤矿相关专业中专及以上学历</w:t>
      </w:r>
      <w:r>
        <w:rPr>
          <w:rFonts w:hint="eastAsia" w:ascii="MS UI Gothic" w:eastAsia="MS UI Gothic"/>
          <w:w w:val="80"/>
        </w:rPr>
        <w:t xml:space="preserve">ꎬ </w:t>
      </w:r>
      <w:r>
        <w:t xml:space="preserve">具有 </w:t>
      </w:r>
      <w:r>
        <w:rPr>
          <w:rFonts w:hint="eastAsia" w:ascii="MS UI Gothic" w:eastAsia="MS UI Gothic"/>
          <w:w w:val="80"/>
        </w:rPr>
        <w:t xml:space="preserve">２ </w:t>
      </w:r>
      <w:r>
        <w:rPr>
          <w:w w:val="105"/>
        </w:rPr>
        <w:t>年以上煤矿安全生产相关工作经历</w:t>
      </w:r>
      <w:r>
        <w:rPr>
          <w:rFonts w:hint="eastAsia" w:ascii="MS UI Gothic" w:eastAsia="MS UI Gothic"/>
          <w:w w:val="80"/>
        </w:rPr>
        <w:t>ꎮ</w:t>
      </w:r>
    </w:p>
    <w:p>
      <w:pPr>
        <w:pStyle w:val="6"/>
        <w:spacing w:line="295" w:lineRule="auto"/>
        <w:ind w:left="381" w:right="126"/>
        <w:rPr>
          <w:rFonts w:hint="eastAsia" w:ascii="MS UI Gothic" w:eastAsia="MS UI Gothic"/>
        </w:rPr>
      </w:pPr>
      <w:r>
        <w:t>第十二条 煤矿企业应当每年组织主要负责人和安全生产管理人员进行新法律法规</w:t>
      </w:r>
      <w:r>
        <w:rPr>
          <w:rFonts w:hint="eastAsia" w:ascii="MS UI Gothic" w:eastAsia="MS UI Gothic"/>
          <w:w w:val="80"/>
        </w:rPr>
        <w:t xml:space="preserve">、 </w:t>
      </w:r>
      <w:r>
        <w:t>新标准</w:t>
      </w:r>
      <w:r>
        <w:rPr>
          <w:rFonts w:hint="eastAsia" w:ascii="MS UI Gothic" w:eastAsia="MS UI Gothic"/>
          <w:w w:val="80"/>
        </w:rPr>
        <w:t xml:space="preserve">、 </w:t>
      </w:r>
      <w:r>
        <w:t>新规程</w:t>
      </w:r>
      <w:r>
        <w:rPr>
          <w:rFonts w:hint="eastAsia" w:ascii="MS UI Gothic" w:eastAsia="MS UI Gothic"/>
          <w:w w:val="80"/>
        </w:rPr>
        <w:t xml:space="preserve">、 </w:t>
      </w:r>
      <w:r>
        <w:t>新技术</w:t>
      </w:r>
      <w:r>
        <w:rPr>
          <w:rFonts w:hint="eastAsia" w:ascii="MS UI Gothic" w:eastAsia="MS UI Gothic"/>
          <w:w w:val="80"/>
        </w:rPr>
        <w:t xml:space="preserve">、  </w:t>
      </w:r>
      <w:r>
        <w:t>新工艺</w:t>
      </w:r>
      <w:r>
        <w:rPr>
          <w:rFonts w:hint="eastAsia" w:ascii="MS UI Gothic" w:eastAsia="MS UI Gothic"/>
          <w:w w:val="80"/>
        </w:rPr>
        <w:t xml:space="preserve">、 </w:t>
      </w:r>
      <w:r>
        <w:t>新设备和新材料等方面的安全培训</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第十三条 国家煤矿安全监察局组织</w:t>
      </w:r>
      <w:r>
        <w:t>制定煤矿企业主要负责人和安全生产管理人员安全生产知识和管理能力考核的标</w:t>
      </w:r>
      <w:r>
        <w:rPr>
          <w:w w:val="105"/>
        </w:rPr>
        <w:t>准</w:t>
      </w:r>
      <w:r>
        <w:rPr>
          <w:rFonts w:hint="eastAsia" w:ascii="MS UI Gothic" w:eastAsia="MS UI Gothic"/>
          <w:w w:val="80"/>
        </w:rPr>
        <w:t xml:space="preserve">ꎬ </w:t>
      </w:r>
      <w:r>
        <w:rPr>
          <w:w w:val="105"/>
        </w:rPr>
        <w:t>建立国家级考试题库</w:t>
      </w:r>
      <w:r>
        <w:rPr>
          <w:rFonts w:hint="eastAsia" w:ascii="MS UI Gothic" w:eastAsia="MS UI Gothic"/>
          <w:w w:val="80"/>
        </w:rPr>
        <w:t>ꎮ</w:t>
      </w:r>
    </w:p>
    <w:p>
      <w:pPr>
        <w:pStyle w:val="6"/>
        <w:spacing w:line="295" w:lineRule="auto"/>
        <w:ind w:left="381" w:right="126"/>
        <w:rPr>
          <w:rFonts w:hint="eastAsia" w:ascii="MS UI Gothic" w:eastAsia="MS UI Gothic"/>
        </w:rPr>
      </w:pPr>
      <w:r>
        <w:t>省级煤矿安全培训主管部门应当根据前款规定的考核标准</w:t>
      </w:r>
      <w:r>
        <w:rPr>
          <w:rFonts w:hint="eastAsia" w:ascii="MS UI Gothic" w:eastAsia="MS UI Gothic"/>
          <w:w w:val="80"/>
        </w:rPr>
        <w:t xml:space="preserve">ꎬ </w:t>
      </w:r>
      <w:r>
        <w:t>建立省级考试题库</w:t>
      </w:r>
      <w:r>
        <w:rPr>
          <w:rFonts w:hint="eastAsia" w:ascii="MS UI Gothic" w:eastAsia="MS UI Gothic"/>
          <w:w w:val="80"/>
        </w:rPr>
        <w:t xml:space="preserve">ꎬ </w:t>
      </w:r>
      <w:r>
        <w:t>并报国家煤矿安全监察局备案</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第十四条 煤矿企业主要负责人考试</w:t>
      </w:r>
      <w:r>
        <w:rPr>
          <w:w w:val="110"/>
        </w:rPr>
        <w:t>应当包括下列内容</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国家安全生产方针</w:t>
      </w:r>
      <w:r>
        <w:rPr>
          <w:rFonts w:hint="eastAsia" w:ascii="MS UI Gothic" w:eastAsia="MS UI Gothic"/>
          <w:w w:val="80"/>
        </w:rPr>
        <w:t xml:space="preserve">、  </w:t>
      </w:r>
      <w:r>
        <w:rPr>
          <w:w w:val="105"/>
        </w:rPr>
        <w:t>政策和有关安全生产的法律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规章及标准</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安全生产管理</w:t>
      </w:r>
      <w:r>
        <w:rPr>
          <w:rFonts w:hint="eastAsia" w:ascii="MS UI Gothic" w:eastAsia="MS UI Gothic"/>
          <w:w w:val="80"/>
        </w:rPr>
        <w:t xml:space="preserve">、  </w:t>
      </w:r>
      <w:r>
        <w:rPr>
          <w:w w:val="105"/>
        </w:rPr>
        <w:t>安全生产技术和职业健康基本知识</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9"/>
          <w:w w:val="150"/>
        </w:rPr>
        <w:t xml:space="preserve">) </w:t>
      </w:r>
      <w:r>
        <w:rPr>
          <w:spacing w:val="5"/>
          <w:w w:val="105"/>
        </w:rPr>
        <w:t>重大危险源管理</w:t>
      </w:r>
      <w:r>
        <w:rPr>
          <w:rFonts w:hint="eastAsia" w:ascii="MS UI Gothic" w:eastAsia="MS UI Gothic"/>
          <w:w w:val="80"/>
        </w:rPr>
        <w:t xml:space="preserve">、  </w:t>
      </w:r>
      <w:r>
        <w:rPr>
          <w:spacing w:val="8"/>
          <w:w w:val="105"/>
        </w:rPr>
        <w:t>重大事故防</w:t>
      </w:r>
      <w:r>
        <w:rPr>
          <w:spacing w:val="3"/>
          <w:w w:val="105"/>
        </w:rPr>
        <w:t>范</w:t>
      </w:r>
      <w:r>
        <w:rPr>
          <w:rFonts w:hint="eastAsia" w:ascii="MS UI Gothic" w:eastAsia="MS UI Gothic"/>
          <w:spacing w:val="3"/>
          <w:w w:val="80"/>
        </w:rPr>
        <w:t xml:space="preserve">、 </w:t>
      </w:r>
      <w:r>
        <w:rPr>
          <w:spacing w:val="31"/>
          <w:w w:val="105"/>
        </w:rPr>
        <w:t>应急管理和事故调查处理的有关</w:t>
      </w:r>
      <w:r>
        <w:rPr>
          <w:spacing w:val="3"/>
          <w:w w:val="105"/>
        </w:rPr>
        <w:t>规定</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4"/>
          <w:w w:val="120"/>
        </w:rPr>
        <w:t xml:space="preserve">( </w:t>
      </w:r>
      <w:r>
        <w:rPr>
          <w:spacing w:val="5"/>
          <w:w w:val="110"/>
        </w:rPr>
        <w:t>四</w:t>
      </w:r>
      <w:r>
        <w:rPr>
          <w:rFonts w:hint="eastAsia" w:ascii="MS UI Gothic" w:eastAsia="MS UI Gothic"/>
          <w:spacing w:val="-13"/>
          <w:w w:val="120"/>
        </w:rPr>
        <w:t xml:space="preserve">) </w:t>
      </w:r>
      <w:r>
        <w:rPr>
          <w:spacing w:val="23"/>
          <w:w w:val="110"/>
        </w:rPr>
        <w:t>国内外先进的安全生产管理</w:t>
      </w:r>
      <w:r>
        <w:rPr>
          <w:spacing w:val="3"/>
          <w:w w:val="110"/>
        </w:rPr>
        <w:t>经验</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35"/>
        </w:rPr>
        <w:t xml:space="preserve">( </w:t>
      </w:r>
      <w:r>
        <w:rPr>
          <w:spacing w:val="29"/>
          <w:w w:val="110"/>
        </w:rPr>
        <w:t>五</w:t>
      </w:r>
      <w:r>
        <w:rPr>
          <w:rFonts w:hint="eastAsia" w:ascii="MS UI Gothic" w:eastAsia="MS UI Gothic"/>
          <w:spacing w:val="-14"/>
          <w:w w:val="135"/>
        </w:rPr>
        <w:t xml:space="preserve">) </w:t>
      </w:r>
      <w:r>
        <w:rPr>
          <w:spacing w:val="40"/>
          <w:w w:val="110"/>
        </w:rPr>
        <w:t>典型事故和应急救援案例</w:t>
      </w:r>
      <w:r>
        <w:rPr>
          <w:spacing w:val="3"/>
          <w:w w:val="110"/>
        </w:rPr>
        <w:t>分析</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其他需要考试的内容</w:t>
      </w:r>
      <w:r>
        <w:rPr>
          <w:rFonts w:hint="eastAsia" w:ascii="MS UI Gothic" w:eastAsia="MS UI Gothic"/>
          <w:w w:val="80"/>
        </w:rPr>
        <w:t>ꎮ</w:t>
      </w:r>
    </w:p>
    <w:p>
      <w:pPr>
        <w:pStyle w:val="6"/>
        <w:spacing w:before="38" w:line="295" w:lineRule="auto"/>
        <w:ind w:left="381" w:right="126"/>
        <w:rPr>
          <w:rFonts w:hint="eastAsia" w:ascii="MS UI Gothic" w:eastAsia="MS UI Gothic"/>
        </w:rPr>
      </w:pPr>
      <w:r>
        <w:rPr>
          <w:w w:val="105"/>
        </w:rPr>
        <w:t>第十五条 煤矿企业安全生产管理人</w:t>
      </w:r>
      <w:r>
        <w:rPr>
          <w:w w:val="110"/>
        </w:rPr>
        <w:t>员考试应当包括下列内容</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国家安全生产方针</w:t>
      </w:r>
      <w:r>
        <w:rPr>
          <w:rFonts w:hint="eastAsia" w:ascii="MS UI Gothic" w:eastAsia="MS UI Gothic"/>
          <w:w w:val="80"/>
        </w:rPr>
        <w:t xml:space="preserve">、  </w:t>
      </w:r>
      <w:r>
        <w:rPr>
          <w:w w:val="105"/>
        </w:rPr>
        <w:t>政策和有关安全生产的法律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规章及标准</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安全生产管理</w:t>
      </w:r>
      <w:r>
        <w:rPr>
          <w:rFonts w:hint="eastAsia" w:ascii="MS UI Gothic" w:eastAsia="MS UI Gothic"/>
          <w:w w:val="80"/>
        </w:rPr>
        <w:t xml:space="preserve">、 </w:t>
      </w:r>
      <w:r>
        <w:rPr>
          <w:w w:val="105"/>
        </w:rPr>
        <w:t>安全生产技术</w:t>
      </w:r>
      <w:r>
        <w:rPr>
          <w:rFonts w:hint="eastAsia" w:ascii="MS UI Gothic" w:eastAsia="MS UI Gothic"/>
          <w:w w:val="80"/>
        </w:rPr>
        <w:t xml:space="preserve">、 </w:t>
      </w:r>
      <w:r>
        <w:rPr>
          <w:w w:val="105"/>
        </w:rPr>
        <w:t>职业健康等知识</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伤亡事故报告</w:t>
      </w:r>
      <w:r>
        <w:rPr>
          <w:rFonts w:hint="eastAsia" w:ascii="MS UI Gothic" w:eastAsia="MS UI Gothic"/>
          <w:w w:val="80"/>
        </w:rPr>
        <w:t xml:space="preserve">、  </w:t>
      </w:r>
      <w:r>
        <w:rPr>
          <w:w w:val="105"/>
        </w:rPr>
        <w:t>统计及职业危害的调查处理方法</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应急管理的内容及其要求</w:t>
      </w:r>
      <w:r>
        <w:rPr>
          <w:rFonts w:hint="eastAsia" w:ascii="MS UI Gothic" w:eastAsia="MS UI Gothic"/>
          <w:w w:val="80"/>
        </w:rPr>
        <w:t>ꎻ</w:t>
      </w:r>
    </w:p>
    <w:p>
      <w:pPr>
        <w:pStyle w:val="6"/>
        <w:spacing w:before="54"/>
        <w:ind w:left="800" w:firstLine="0"/>
        <w:jc w:val="left"/>
      </w:pPr>
      <w:r>
        <w:rPr>
          <w:rFonts w:hint="eastAsia" w:ascii="MS UI Gothic" w:eastAsia="MS UI Gothic"/>
          <w:w w:val="110"/>
        </w:rPr>
        <w:t xml:space="preserve">( </w:t>
      </w:r>
      <w:r>
        <w:rPr>
          <w:w w:val="110"/>
        </w:rPr>
        <w:t>五</w:t>
      </w:r>
      <w:r>
        <w:rPr>
          <w:rFonts w:hint="eastAsia" w:ascii="MS UI Gothic" w:eastAsia="MS UI Gothic"/>
          <w:w w:val="110"/>
        </w:rPr>
        <w:t xml:space="preserve">) </w:t>
      </w:r>
      <w:r>
        <w:rPr>
          <w:w w:val="110"/>
        </w:rPr>
        <w:t>国内外先进的安全生产管理</w:t>
      </w:r>
    </w:p>
    <w:p>
      <w:pPr>
        <w:spacing w:after="0"/>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2124" o:spid="_x0000_s2124" style="position:absolute;left:0pt;margin-left:0pt;margin-top:700.1pt;height:1.75pt;width:398.25pt;mso-position-horizontal-relative:page;z-index:252105728;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３７４</w:t>
      </w:r>
    </w:p>
    <w:p>
      <w:pPr>
        <w:pStyle w:val="6"/>
        <w:spacing w:before="297" w:line="240" w:lineRule="exact"/>
        <w:ind w:firstLine="0"/>
        <w:jc w:val="left"/>
        <w:rPr>
          <w:rFonts w:hint="eastAsia" w:ascii="MS UI Gothic" w:eastAsia="MS UI Gothic"/>
        </w:rPr>
      </w:pPr>
      <w:r>
        <w:t>经验</w:t>
      </w:r>
      <w:r>
        <w:rPr>
          <w:rFonts w:hint="eastAsia" w:ascii="MS UI Gothic" w:eastAsia="MS UI Gothic"/>
          <w:w w:val="80"/>
        </w:rPr>
        <w:t>ꎻ</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434" w:firstLine="0"/>
        <w:jc w:val="left"/>
      </w:pPr>
      <w:r>
        <w:t xml:space="preserve">考核部门应当自考试结束之日起 </w:t>
      </w:r>
      <w:r>
        <w:rPr>
          <w:rFonts w:hint="eastAsia" w:ascii="MS UI Gothic" w:eastAsia="MS UI Gothic"/>
        </w:rPr>
        <w:t xml:space="preserve">５ </w:t>
      </w:r>
      <w:r>
        <w:t>个</w:t>
      </w:r>
    </w:p>
    <w:p>
      <w:pPr>
        <w:spacing w:after="0" w:line="240" w:lineRule="exact"/>
        <w:jc w:val="left"/>
        <w:sectPr>
          <w:pgSz w:w="10500" w:h="14750"/>
          <w:pgMar w:top="960" w:right="980" w:bottom="280" w:left="980" w:header="720" w:footer="720" w:gutter="0"/>
          <w:cols w:equalWidth="0" w:num="2">
            <w:col w:w="1050" w:space="1251"/>
            <w:col w:w="6239"/>
          </w:cols>
        </w:sectPr>
      </w:pPr>
    </w:p>
    <w:p>
      <w:pPr>
        <w:pStyle w:val="6"/>
        <w:spacing w:before="74" w:line="295" w:lineRule="auto"/>
        <w:ind w:right="38"/>
        <w:rPr>
          <w:rFonts w:hint="eastAsia" w:ascii="MS UI Gothic" w:eastAsia="MS UI Gothic"/>
        </w:rPr>
      </w:pPr>
      <w:r>
        <w:rPr>
          <w:rFonts w:hint="eastAsia" w:ascii="MS UI Gothic" w:eastAsia="MS UI Gothic"/>
          <w:spacing w:val="-36"/>
          <w:w w:val="130"/>
        </w:rPr>
        <w:t xml:space="preserve">( </w:t>
      </w:r>
      <w:r>
        <w:rPr>
          <w:spacing w:val="29"/>
          <w:w w:val="110"/>
        </w:rPr>
        <w:t>六</w:t>
      </w:r>
      <w:r>
        <w:rPr>
          <w:rFonts w:hint="eastAsia" w:ascii="MS UI Gothic" w:eastAsia="MS UI Gothic"/>
          <w:spacing w:val="-13"/>
          <w:w w:val="130"/>
        </w:rPr>
        <w:t xml:space="preserve">) </w:t>
      </w:r>
      <w:r>
        <w:rPr>
          <w:spacing w:val="40"/>
          <w:w w:val="110"/>
        </w:rPr>
        <w:t>典型事故和应急救援案例</w:t>
      </w:r>
      <w:r>
        <w:rPr>
          <w:spacing w:val="3"/>
          <w:w w:val="110"/>
        </w:rPr>
        <w:t>分析</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其他需要考试的内容</w:t>
      </w:r>
      <w:r>
        <w:rPr>
          <w:rFonts w:hint="eastAsia" w:ascii="MS UI Gothic" w:eastAsia="MS UI Gothic"/>
          <w:w w:val="80"/>
        </w:rPr>
        <w:t>ꎮ</w:t>
      </w:r>
    </w:p>
    <w:p>
      <w:pPr>
        <w:pStyle w:val="6"/>
        <w:spacing w:before="58" w:line="295" w:lineRule="auto"/>
        <w:ind w:right="38"/>
        <w:rPr>
          <w:rFonts w:hint="eastAsia" w:ascii="MS UI Gothic" w:eastAsia="MS UI Gothic"/>
        </w:rPr>
      </w:pPr>
      <w:r>
        <w:rPr>
          <w:w w:val="105"/>
        </w:rPr>
        <w:t xml:space="preserve">第十六条 国家煤矿安全监察局负责中央管理的煤矿企业总部 </w:t>
      </w:r>
      <w:r>
        <w:rPr>
          <w:rFonts w:hint="eastAsia" w:ascii="MS UI Gothic" w:eastAsia="MS UI Gothic"/>
          <w:w w:val="150"/>
        </w:rPr>
        <w:t xml:space="preserve">( </w:t>
      </w:r>
      <w:r>
        <w:rPr>
          <w:w w:val="105"/>
        </w:rPr>
        <w:t>含所属在京一级子公司</w:t>
      </w:r>
      <w:r>
        <w:rPr>
          <w:rFonts w:hint="eastAsia" w:ascii="MS UI Gothic" w:eastAsia="MS UI Gothic"/>
          <w:w w:val="150"/>
        </w:rPr>
        <w:t xml:space="preserve">) </w:t>
      </w:r>
      <w:r>
        <w:rPr>
          <w:w w:val="105"/>
        </w:rPr>
        <w:t>主要负责人和安全生产管理人员考核工作</w:t>
      </w:r>
      <w:r>
        <w:rPr>
          <w:rFonts w:hint="eastAsia" w:ascii="MS UI Gothic" w:eastAsia="MS UI Gothic"/>
          <w:w w:val="80"/>
        </w:rPr>
        <w:t>ꎮ</w:t>
      </w:r>
    </w:p>
    <w:p>
      <w:pPr>
        <w:pStyle w:val="6"/>
        <w:spacing w:line="295" w:lineRule="auto"/>
        <w:ind w:right="38"/>
        <w:rPr>
          <w:rFonts w:hint="eastAsia" w:ascii="MS UI Gothic" w:eastAsia="MS UI Gothic"/>
        </w:rPr>
      </w:pPr>
      <w:r>
        <w:t>省级煤矿安全培训主管部门负责本行政区域内前款以外的煤矿企业主要负责人</w:t>
      </w:r>
      <w:r>
        <w:rPr>
          <w:w w:val="105"/>
        </w:rPr>
        <w:t>和安全生产管理人员考核工作</w:t>
      </w:r>
      <w:r>
        <w:rPr>
          <w:rFonts w:hint="eastAsia" w:ascii="MS UI Gothic" w:eastAsia="MS UI Gothic"/>
          <w:w w:val="80"/>
        </w:rPr>
        <w:t>ꎮ</w:t>
      </w:r>
    </w:p>
    <w:p>
      <w:pPr>
        <w:pStyle w:val="6"/>
        <w:spacing w:line="295" w:lineRule="auto"/>
        <w:ind w:right="38"/>
        <w:rPr>
          <w:rFonts w:hint="eastAsia" w:ascii="MS UI Gothic" w:eastAsia="MS UI Gothic"/>
        </w:rPr>
      </w:pPr>
      <w:r>
        <w:t>国家煤矿安全监察局和省级煤矿安全</w:t>
      </w:r>
      <w:r>
        <w:rPr>
          <w:w w:val="105"/>
        </w:rPr>
        <w:t xml:space="preserve">培训主管部门 </w:t>
      </w:r>
      <w:r>
        <w:rPr>
          <w:rFonts w:hint="eastAsia" w:ascii="MS UI Gothic" w:eastAsia="MS UI Gothic"/>
          <w:w w:val="150"/>
        </w:rPr>
        <w:t xml:space="preserve">( </w:t>
      </w:r>
      <w:r>
        <w:rPr>
          <w:w w:val="105"/>
        </w:rPr>
        <w:t>以下统称考核部门</w:t>
      </w:r>
      <w:r>
        <w:rPr>
          <w:rFonts w:hint="eastAsia" w:ascii="MS UI Gothic" w:eastAsia="MS UI Gothic"/>
          <w:w w:val="150"/>
        </w:rPr>
        <w:t xml:space="preserve">) </w:t>
      </w:r>
      <w:r>
        <w:rPr>
          <w:w w:val="105"/>
        </w:rPr>
        <w:t>应</w:t>
      </w:r>
      <w:r>
        <w:t>当定期组织考核</w:t>
      </w:r>
      <w:r>
        <w:rPr>
          <w:rFonts w:hint="eastAsia" w:ascii="MS UI Gothic" w:eastAsia="MS UI Gothic"/>
          <w:w w:val="80"/>
        </w:rPr>
        <w:t xml:space="preserve">ꎬ </w:t>
      </w:r>
      <w:r>
        <w:t>并提前公布考核时间</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第十七条 煤矿企业主要负责人和安</w:t>
      </w:r>
      <w:r>
        <w:rPr>
          <w:spacing w:val="-5"/>
          <w:w w:val="105"/>
        </w:rPr>
        <w:t xml:space="preserve">全生产管理人员应当自任职之日起 </w:t>
      </w:r>
      <w:r>
        <w:rPr>
          <w:rFonts w:hint="eastAsia" w:ascii="MS UI Gothic" w:eastAsia="MS UI Gothic"/>
          <w:spacing w:val="-14"/>
          <w:w w:val="80"/>
        </w:rPr>
        <w:t xml:space="preserve">６ </w:t>
      </w:r>
      <w:r>
        <w:rPr>
          <w:spacing w:val="3"/>
          <w:w w:val="105"/>
        </w:rPr>
        <w:t>个月</w:t>
      </w:r>
      <w:r>
        <w:rPr>
          <w:spacing w:val="2"/>
        </w:rPr>
        <w:t>内通过考核部门组织的安全生产知识和管</w:t>
      </w:r>
      <w:r>
        <w:rPr>
          <w:spacing w:val="23"/>
        </w:rPr>
        <w:t>理能力考核</w:t>
      </w:r>
      <w:r>
        <w:rPr>
          <w:rFonts w:hint="eastAsia" w:ascii="MS UI Gothic" w:eastAsia="MS UI Gothic"/>
          <w:spacing w:val="2"/>
          <w:w w:val="80"/>
        </w:rPr>
        <w:t xml:space="preserve">ꎬ </w:t>
      </w:r>
      <w:r>
        <w:rPr>
          <w:spacing w:val="30"/>
        </w:rPr>
        <w:t>并持续保持相应水平和</w:t>
      </w:r>
      <w:r>
        <w:rPr>
          <w:spacing w:val="3"/>
          <w:w w:val="105"/>
        </w:rPr>
        <w:t>能力</w:t>
      </w:r>
      <w:r>
        <w:rPr>
          <w:rFonts w:hint="eastAsia" w:ascii="MS UI Gothic" w:eastAsia="MS UI Gothic"/>
          <w:w w:val="80"/>
        </w:rPr>
        <w:t>ꎮ</w:t>
      </w:r>
    </w:p>
    <w:p>
      <w:pPr>
        <w:pStyle w:val="6"/>
        <w:spacing w:line="295" w:lineRule="auto"/>
        <w:ind w:right="38"/>
        <w:rPr>
          <w:rFonts w:hint="eastAsia" w:ascii="MS UI Gothic" w:eastAsia="MS UI Gothic"/>
        </w:rPr>
      </w:pPr>
      <w:r>
        <w:t xml:space="preserve">煤矿企业主要负责人和安全生产管理人员应当自任职之日起 </w:t>
      </w:r>
      <w:r>
        <w:rPr>
          <w:rFonts w:hint="eastAsia" w:ascii="MS UI Gothic" w:eastAsia="MS UI Gothic"/>
          <w:w w:val="85"/>
        </w:rPr>
        <w:t xml:space="preserve">３０ </w:t>
      </w:r>
      <w:r>
        <w:t>日内</w:t>
      </w:r>
      <w:r>
        <w:rPr>
          <w:rFonts w:hint="eastAsia" w:ascii="MS UI Gothic" w:eastAsia="MS UI Gothic"/>
          <w:w w:val="85"/>
        </w:rPr>
        <w:t xml:space="preserve">ꎬ </w:t>
      </w:r>
      <w:r>
        <w:t>按照本规定第十六条的规定向考核部门提出考核申请</w:t>
      </w:r>
      <w:r>
        <w:rPr>
          <w:rFonts w:hint="eastAsia" w:ascii="MS UI Gothic" w:eastAsia="MS UI Gothic"/>
          <w:w w:val="85"/>
        </w:rPr>
        <w:t xml:space="preserve">ꎬ </w:t>
      </w:r>
      <w:r>
        <w:t>并提交其任职文件</w:t>
      </w:r>
      <w:r>
        <w:rPr>
          <w:rFonts w:hint="eastAsia" w:ascii="MS UI Gothic" w:eastAsia="MS UI Gothic"/>
        </w:rPr>
        <w:t xml:space="preserve">、 </w:t>
      </w:r>
      <w:r>
        <w:t>学历</w:t>
      </w:r>
      <w:r>
        <w:rPr>
          <w:rFonts w:hint="eastAsia" w:ascii="MS UI Gothic" w:eastAsia="MS UI Gothic"/>
        </w:rPr>
        <w:t xml:space="preserve">、 </w:t>
      </w:r>
      <w:r>
        <w:t>工作经历等相关材料</w:t>
      </w:r>
      <w:r>
        <w:rPr>
          <w:rFonts w:hint="eastAsia" w:ascii="MS UI Gothic" w:eastAsia="MS UI Gothic"/>
          <w:w w:val="85"/>
        </w:rPr>
        <w:t>ꎮ</w:t>
      </w:r>
    </w:p>
    <w:p>
      <w:pPr>
        <w:pStyle w:val="6"/>
        <w:spacing w:line="295" w:lineRule="auto"/>
        <w:ind w:right="38"/>
        <w:rPr>
          <w:rFonts w:hint="eastAsia" w:ascii="MS UI Gothic" w:eastAsia="MS UI Gothic"/>
        </w:rPr>
      </w:pPr>
      <w:r>
        <w:rPr>
          <w:spacing w:val="2"/>
        </w:rPr>
        <w:t>考核部门接到煤矿企业主要负责人和</w:t>
      </w:r>
      <w:r>
        <w:rPr>
          <w:spacing w:val="3"/>
        </w:rPr>
        <w:t>安全生产管理人员申请及其材料后</w:t>
      </w:r>
      <w:r>
        <w:rPr>
          <w:rFonts w:hint="eastAsia" w:ascii="MS UI Gothic" w:eastAsia="MS UI Gothic"/>
          <w:spacing w:val="21"/>
          <w:w w:val="80"/>
        </w:rPr>
        <w:t xml:space="preserve">ꎬ </w:t>
      </w:r>
      <w:r>
        <w:rPr>
          <w:spacing w:val="1"/>
        </w:rPr>
        <w:t>经审</w:t>
      </w:r>
      <w:r>
        <w:rPr>
          <w:spacing w:val="11"/>
        </w:rPr>
        <w:t>核符合条件的</w:t>
      </w:r>
      <w:r>
        <w:rPr>
          <w:rFonts w:hint="eastAsia" w:ascii="MS UI Gothic" w:eastAsia="MS UI Gothic"/>
          <w:w w:val="80"/>
        </w:rPr>
        <w:t xml:space="preserve">ꎬ </w:t>
      </w:r>
      <w:r>
        <w:rPr>
          <w:spacing w:val="17"/>
        </w:rPr>
        <w:t>应当及时组织相应的考</w:t>
      </w:r>
      <w:r>
        <w:rPr>
          <w:spacing w:val="3"/>
        </w:rPr>
        <w:t>试</w:t>
      </w:r>
      <w:r>
        <w:rPr>
          <w:rFonts w:hint="eastAsia" w:ascii="MS UI Gothic" w:eastAsia="MS UI Gothic"/>
          <w:spacing w:val="21"/>
          <w:w w:val="80"/>
        </w:rPr>
        <w:t xml:space="preserve">ꎻ </w:t>
      </w:r>
      <w:r>
        <w:rPr>
          <w:spacing w:val="2"/>
        </w:rPr>
        <w:t>发现申请人不符合本规定第十一条规</w:t>
      </w:r>
      <w:r>
        <w:rPr>
          <w:spacing w:val="3"/>
        </w:rPr>
        <w:t>定的</w:t>
      </w:r>
      <w:r>
        <w:rPr>
          <w:rFonts w:hint="eastAsia" w:ascii="MS UI Gothic" w:eastAsia="MS UI Gothic"/>
          <w:spacing w:val="21"/>
          <w:w w:val="80"/>
        </w:rPr>
        <w:t xml:space="preserve">ꎬ </w:t>
      </w:r>
      <w:r>
        <w:rPr>
          <w:spacing w:val="2"/>
        </w:rPr>
        <w:t>不得对申请人进行安全生产知识和</w:t>
      </w:r>
      <w:r>
        <w:rPr>
          <w:spacing w:val="3"/>
        </w:rPr>
        <w:t>管理能力考试</w:t>
      </w:r>
      <w:r>
        <w:rPr>
          <w:rFonts w:hint="eastAsia" w:ascii="MS UI Gothic" w:eastAsia="MS UI Gothic"/>
          <w:spacing w:val="21"/>
          <w:w w:val="80"/>
        </w:rPr>
        <w:t xml:space="preserve">ꎬ </w:t>
      </w:r>
      <w:r>
        <w:rPr>
          <w:spacing w:val="2"/>
        </w:rPr>
        <w:t>并书面告知申请人及其所</w:t>
      </w:r>
      <w:r>
        <w:rPr>
          <w:spacing w:val="25"/>
        </w:rPr>
        <w:t>在煤矿企业或其任免机关调整其工作</w:t>
      </w:r>
      <w:r>
        <w:rPr>
          <w:spacing w:val="3"/>
          <w:w w:val="105"/>
        </w:rPr>
        <w:t>岗位</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95"/>
        </w:rPr>
        <w:t xml:space="preserve">第十八条   煤矿企业主要负责人和安全生产管理人员的考试应当在规定的考点  </w:t>
      </w:r>
      <w:r>
        <w:rPr>
          <w:spacing w:val="3"/>
          <w:w w:val="95"/>
        </w:rPr>
        <w:t>采用计算机方式进行</w:t>
      </w:r>
      <w:r>
        <w:rPr>
          <w:rFonts w:hint="eastAsia" w:ascii="MS UI Gothic" w:eastAsia="MS UI Gothic"/>
          <w:spacing w:val="15"/>
          <w:w w:val="90"/>
        </w:rPr>
        <w:t xml:space="preserve">ꎮ  </w:t>
      </w:r>
      <w:r>
        <w:rPr>
          <w:spacing w:val="2"/>
          <w:w w:val="95"/>
        </w:rPr>
        <w:t>考试试题从国家级</w:t>
      </w:r>
      <w:r>
        <w:rPr>
          <w:spacing w:val="3"/>
          <w:w w:val="95"/>
        </w:rPr>
        <w:t>考试题库和省级考试题库随机抽取</w:t>
      </w:r>
      <w:r>
        <w:rPr>
          <w:rFonts w:hint="eastAsia" w:ascii="MS UI Gothic" w:eastAsia="MS UI Gothic"/>
          <w:spacing w:val="15"/>
          <w:w w:val="90"/>
        </w:rPr>
        <w:t xml:space="preserve">ꎬ  </w:t>
      </w:r>
      <w:r>
        <w:rPr>
          <w:spacing w:val="1"/>
          <w:w w:val="95"/>
        </w:rPr>
        <w:t>其中</w:t>
      </w:r>
      <w:r>
        <w:rPr>
          <w:spacing w:val="12"/>
          <w:w w:val="95"/>
        </w:rPr>
        <w:t xml:space="preserve">抽取国家级考试题库试题比例占 </w:t>
      </w:r>
      <w:r>
        <w:rPr>
          <w:rFonts w:hint="eastAsia" w:ascii="MS UI Gothic" w:eastAsia="MS UI Gothic"/>
          <w:w w:val="95"/>
        </w:rPr>
        <w:t>８０</w:t>
      </w:r>
      <w:r>
        <w:rPr>
          <w:spacing w:val="4"/>
          <w:w w:val="95"/>
        </w:rPr>
        <w:t>％ 以</w:t>
      </w:r>
      <w:r>
        <w:rPr>
          <w:spacing w:val="3"/>
          <w:w w:val="95"/>
        </w:rPr>
        <w:t>上</w:t>
      </w:r>
      <w:r>
        <w:rPr>
          <w:rFonts w:hint="eastAsia" w:ascii="MS UI Gothic" w:eastAsia="MS UI Gothic"/>
          <w:spacing w:val="13"/>
          <w:w w:val="90"/>
        </w:rPr>
        <w:t xml:space="preserve">ꎮ </w:t>
      </w:r>
      <w:r>
        <w:rPr>
          <w:spacing w:val="19"/>
          <w:w w:val="95"/>
        </w:rPr>
        <w:t xml:space="preserve">考试满分为 </w:t>
      </w:r>
      <w:r>
        <w:rPr>
          <w:rFonts w:hint="eastAsia" w:ascii="MS UI Gothic" w:eastAsia="MS UI Gothic"/>
          <w:spacing w:val="4"/>
          <w:w w:val="95"/>
        </w:rPr>
        <w:t xml:space="preserve">１００ </w:t>
      </w:r>
      <w:r>
        <w:rPr>
          <w:spacing w:val="3"/>
          <w:w w:val="95"/>
        </w:rPr>
        <w:t>分</w:t>
      </w:r>
      <w:r>
        <w:rPr>
          <w:rFonts w:hint="eastAsia" w:ascii="MS UI Gothic" w:eastAsia="MS UI Gothic"/>
          <w:spacing w:val="19"/>
          <w:w w:val="90"/>
        </w:rPr>
        <w:t xml:space="preserve">ꎬ </w:t>
      </w:r>
      <w:r>
        <w:rPr>
          <w:rFonts w:hint="eastAsia" w:ascii="MS UI Gothic" w:eastAsia="MS UI Gothic"/>
          <w:spacing w:val="6"/>
          <w:w w:val="95"/>
        </w:rPr>
        <w:t xml:space="preserve">８０ </w:t>
      </w:r>
      <w:r>
        <w:rPr>
          <w:spacing w:val="27"/>
          <w:w w:val="95"/>
        </w:rPr>
        <w:t>分以上为</w:t>
      </w:r>
      <w:r>
        <w:rPr>
          <w:spacing w:val="3"/>
          <w:w w:val="95"/>
        </w:rPr>
        <w:t>合格</w:t>
      </w:r>
      <w:r>
        <w:rPr>
          <w:rFonts w:hint="eastAsia" w:ascii="MS UI Gothic" w:eastAsia="MS UI Gothic"/>
          <w:w w:val="90"/>
        </w:rPr>
        <w:t>ꎮ</w:t>
      </w:r>
    </w:p>
    <w:p>
      <w:pPr>
        <w:pStyle w:val="6"/>
        <w:spacing w:before="74"/>
        <w:ind w:firstLine="0"/>
        <w:jc w:val="left"/>
        <w:rPr>
          <w:rFonts w:hint="eastAsia" w:ascii="MS UI Gothic" w:eastAsia="MS UI Gothic"/>
        </w:rPr>
      </w:pPr>
      <w:r>
        <w:br w:type="column"/>
      </w:r>
      <w:r>
        <w:rPr>
          <w:spacing w:val="3"/>
        </w:rPr>
        <w:t>工作日内公布考试成绩</w:t>
      </w:r>
      <w:r>
        <w:rPr>
          <w:rFonts w:hint="eastAsia" w:ascii="MS UI Gothic" w:eastAsia="MS UI Gothic"/>
          <w:w w:val="80"/>
        </w:rPr>
        <w:t>ꎮ</w:t>
      </w:r>
    </w:p>
    <w:p>
      <w:pPr>
        <w:pStyle w:val="6"/>
        <w:spacing w:before="58" w:line="295" w:lineRule="auto"/>
        <w:ind w:right="442"/>
        <w:rPr>
          <w:rFonts w:hint="eastAsia" w:ascii="MS UI Gothic" w:eastAsia="MS UI Gothic"/>
        </w:rPr>
      </w:pPr>
      <w:r>
        <w:rPr>
          <w:spacing w:val="4"/>
        </w:rPr>
        <w:t>第十九条 煤矿企业主要负责人和安</w:t>
      </w:r>
      <w:r>
        <w:rPr>
          <w:spacing w:val="3"/>
        </w:rPr>
        <w:t>全生产管理人员考试合格后</w:t>
      </w:r>
      <w:r>
        <w:rPr>
          <w:rFonts w:hint="eastAsia" w:ascii="MS UI Gothic" w:eastAsia="MS UI Gothic"/>
          <w:spacing w:val="20"/>
          <w:w w:val="80"/>
        </w:rPr>
        <w:t xml:space="preserve">ꎬ </w:t>
      </w:r>
      <w:r>
        <w:rPr>
          <w:spacing w:val="2"/>
        </w:rPr>
        <w:t>考核部门应</w:t>
      </w:r>
      <w:r>
        <w:rPr>
          <w:spacing w:val="3"/>
        </w:rPr>
        <w:t xml:space="preserve">当在公布考试成绩之日起 </w:t>
      </w:r>
      <w:r>
        <w:rPr>
          <w:rFonts w:hint="eastAsia" w:ascii="MS UI Gothic" w:eastAsia="MS UI Gothic"/>
          <w:spacing w:val="2"/>
          <w:w w:val="80"/>
        </w:rPr>
        <w:t xml:space="preserve">１０ </w:t>
      </w:r>
      <w:r>
        <w:rPr>
          <w:spacing w:val="10"/>
        </w:rPr>
        <w:t>个工作日内</w:t>
      </w:r>
      <w:r>
        <w:rPr>
          <w:spacing w:val="2"/>
        </w:rPr>
        <w:t>颁发安全生产知识和管理能力考核合格证</w:t>
      </w:r>
      <w:r>
        <w:rPr>
          <w:spacing w:val="15"/>
        </w:rPr>
        <w:t xml:space="preserve">明 </w:t>
      </w:r>
      <w:r>
        <w:rPr>
          <w:rFonts w:hint="eastAsia" w:ascii="MS UI Gothic" w:eastAsia="MS UI Gothic"/>
          <w:spacing w:val="-32"/>
          <w:w w:val="145"/>
        </w:rPr>
        <w:t xml:space="preserve">( </w:t>
      </w:r>
      <w:r>
        <w:rPr>
          <w:spacing w:val="5"/>
        </w:rPr>
        <w:t>以下简称考核合格证明</w:t>
      </w:r>
      <w:r>
        <w:rPr>
          <w:rFonts w:hint="eastAsia" w:ascii="MS UI Gothic" w:eastAsia="MS UI Gothic"/>
          <w:spacing w:val="-32"/>
          <w:w w:val="145"/>
        </w:rPr>
        <w:t xml:space="preserve">) </w:t>
      </w:r>
      <w:r>
        <w:rPr>
          <w:rFonts w:hint="eastAsia" w:ascii="MS UI Gothic" w:eastAsia="MS UI Gothic"/>
          <w:spacing w:val="17"/>
          <w:w w:val="80"/>
        </w:rPr>
        <w:t xml:space="preserve">ꎮ </w:t>
      </w:r>
      <w:r>
        <w:rPr>
          <w:spacing w:val="7"/>
        </w:rPr>
        <w:t>考核合格</w:t>
      </w:r>
      <w:r>
        <w:rPr>
          <w:spacing w:val="3"/>
        </w:rPr>
        <w:t>证明在全国范围内有效</w:t>
      </w:r>
      <w:r>
        <w:rPr>
          <w:rFonts w:hint="eastAsia" w:ascii="MS UI Gothic" w:eastAsia="MS UI Gothic"/>
          <w:w w:val="80"/>
        </w:rPr>
        <w:t>ꎮ</w:t>
      </w:r>
    </w:p>
    <w:p>
      <w:pPr>
        <w:pStyle w:val="6"/>
        <w:spacing w:line="295" w:lineRule="auto"/>
        <w:ind w:right="442"/>
        <w:rPr>
          <w:rFonts w:hint="eastAsia" w:ascii="MS UI Gothic" w:eastAsia="MS UI Gothic"/>
        </w:rPr>
      </w:pPr>
      <w:r>
        <w:t>煤矿企业主要负责人和安全生产管理人员考试不合格的</w:t>
      </w:r>
      <w:r>
        <w:rPr>
          <w:rFonts w:hint="eastAsia" w:ascii="MS UI Gothic" w:eastAsia="MS UI Gothic"/>
          <w:w w:val="80"/>
        </w:rPr>
        <w:t xml:space="preserve">ꎬ </w:t>
      </w:r>
      <w:r>
        <w:t>可以补考一次</w:t>
      </w:r>
      <w:r>
        <w:rPr>
          <w:rFonts w:hint="eastAsia" w:ascii="MS UI Gothic" w:eastAsia="MS UI Gothic"/>
          <w:w w:val="80"/>
        </w:rPr>
        <w:t xml:space="preserve">ꎻ </w:t>
      </w:r>
      <w:r>
        <w:t>经补考仍不合格的</w:t>
      </w:r>
      <w:r>
        <w:rPr>
          <w:rFonts w:hint="eastAsia" w:ascii="MS UI Gothic" w:eastAsia="MS UI Gothic"/>
          <w:w w:val="80"/>
        </w:rPr>
        <w:t xml:space="preserve">ꎬ １ </w:t>
      </w:r>
      <w:r>
        <w:t>年内不得再次申请考核</w:t>
      </w:r>
      <w:r>
        <w:rPr>
          <w:rFonts w:hint="eastAsia" w:ascii="MS UI Gothic" w:eastAsia="MS UI Gothic"/>
          <w:w w:val="80"/>
        </w:rPr>
        <w:t xml:space="preserve">ꎮ </w:t>
      </w:r>
      <w:r>
        <w:t>考核部门应当告知其所在煤矿企业或其任免机关调整其工作岗位</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第二十条 考核部门对煤矿企业主要</w:t>
      </w:r>
      <w:r>
        <w:t>负责人和安全生产管理人员的安全生产知</w:t>
      </w:r>
      <w:r>
        <w:rPr>
          <w:w w:val="105"/>
        </w:rPr>
        <w:t xml:space="preserve">识和管理能力每 </w:t>
      </w:r>
      <w:r>
        <w:rPr>
          <w:rFonts w:hint="eastAsia" w:ascii="MS UI Gothic" w:eastAsia="MS UI Gothic"/>
          <w:w w:val="80"/>
        </w:rPr>
        <w:t xml:space="preserve">３ </w:t>
      </w:r>
      <w:r>
        <w:rPr>
          <w:w w:val="105"/>
        </w:rPr>
        <w:t>年考核一次</w:t>
      </w:r>
      <w:r>
        <w:rPr>
          <w:rFonts w:hint="eastAsia" w:ascii="MS UI Gothic" w:eastAsia="MS UI Gothic"/>
          <w:w w:val="80"/>
        </w:rPr>
        <w:t>ꎮ</w:t>
      </w:r>
    </w:p>
    <w:p>
      <w:pPr>
        <w:pStyle w:val="6"/>
        <w:tabs>
          <w:tab w:val="left" w:pos="1487"/>
        </w:tabs>
        <w:spacing w:before="146" w:line="295" w:lineRule="auto"/>
        <w:ind w:left="1277" w:right="966" w:hanging="629"/>
        <w:jc w:val="left"/>
      </w:pPr>
      <w:r>
        <w:rPr>
          <w:spacing w:val="3"/>
          <w:w w:val="105"/>
        </w:rPr>
        <w:t>第四</w:t>
      </w:r>
      <w:r>
        <w:rPr>
          <w:w w:val="105"/>
        </w:rPr>
        <w:t>章</w:t>
      </w:r>
      <w:r>
        <w:rPr>
          <w:w w:val="105"/>
        </w:rPr>
        <w:tab/>
      </w:r>
      <w:r>
        <w:rPr>
          <w:w w:val="105"/>
        </w:rPr>
        <w:tab/>
      </w:r>
      <w:r>
        <w:rPr>
          <w:spacing w:val="3"/>
        </w:rPr>
        <w:t>特种作业人员的安</w:t>
      </w:r>
      <w:r>
        <w:rPr>
          <w:spacing w:val="-11"/>
        </w:rPr>
        <w:t>全</w:t>
      </w:r>
      <w:r>
        <w:rPr>
          <w:spacing w:val="3"/>
          <w:w w:val="105"/>
        </w:rPr>
        <w:t>培训和考核发</w:t>
      </w:r>
      <w:r>
        <w:rPr>
          <w:w w:val="105"/>
        </w:rPr>
        <w:t>证</w:t>
      </w:r>
    </w:p>
    <w:p>
      <w:pPr>
        <w:pStyle w:val="6"/>
        <w:spacing w:before="156" w:line="295" w:lineRule="auto"/>
        <w:ind w:right="442"/>
        <w:rPr>
          <w:rFonts w:hint="eastAsia" w:ascii="MS UI Gothic" w:eastAsia="MS UI Gothic"/>
        </w:rPr>
      </w:pPr>
      <w:r>
        <w:rPr>
          <w:w w:val="105"/>
        </w:rPr>
        <w:t>第二十一条 煤矿特种作业人员及其</w:t>
      </w:r>
      <w:r>
        <w:t>工种由国家安全生产监督管理总局会同国家煤矿安全监察局确定</w:t>
      </w:r>
      <w:r>
        <w:rPr>
          <w:rFonts w:hint="eastAsia" w:ascii="MS UI Gothic" w:eastAsia="MS UI Gothic"/>
          <w:w w:val="80"/>
        </w:rPr>
        <w:t xml:space="preserve">ꎬ </w:t>
      </w:r>
      <w:r>
        <w:t>并适时调整</w:t>
      </w:r>
      <w:r>
        <w:rPr>
          <w:rFonts w:hint="eastAsia" w:ascii="MS UI Gothic" w:eastAsia="MS UI Gothic"/>
          <w:w w:val="80"/>
        </w:rPr>
        <w:t xml:space="preserve">ꎻ </w:t>
      </w:r>
      <w:r>
        <w:t>其他任何单位或者个人不得擅自变更其</w:t>
      </w:r>
      <w:r>
        <w:rPr>
          <w:w w:val="105"/>
        </w:rPr>
        <w:t>范围</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第二十二条 煤矿特种作业人员应当</w:t>
      </w:r>
      <w:r>
        <w:rPr>
          <w:spacing w:val="3"/>
          <w:w w:val="105"/>
        </w:rPr>
        <w:t xml:space="preserve">具备初中及以上文化程度 </w:t>
      </w:r>
      <w:r>
        <w:rPr>
          <w:rFonts w:hint="eastAsia" w:ascii="MS UI Gothic" w:eastAsia="MS UI Gothic"/>
          <w:spacing w:val="-35"/>
          <w:w w:val="140"/>
        </w:rPr>
        <w:t xml:space="preserve">( </w:t>
      </w:r>
      <w:r>
        <w:rPr>
          <w:spacing w:val="-36"/>
          <w:w w:val="105"/>
        </w:rPr>
        <w:t xml:space="preserve">自 </w:t>
      </w:r>
      <w:r>
        <w:rPr>
          <w:rFonts w:hint="eastAsia" w:ascii="MS UI Gothic" w:eastAsia="MS UI Gothic"/>
          <w:spacing w:val="-4"/>
          <w:w w:val="95"/>
        </w:rPr>
        <w:t xml:space="preserve">２０１８ </w:t>
      </w:r>
      <w:r>
        <w:rPr>
          <w:spacing w:val="-36"/>
          <w:w w:val="105"/>
        </w:rPr>
        <w:t xml:space="preserve">年 </w:t>
      </w:r>
      <w:r>
        <w:rPr>
          <w:rFonts w:hint="eastAsia" w:ascii="MS UI Gothic" w:eastAsia="MS UI Gothic"/>
          <w:w w:val="95"/>
        </w:rPr>
        <w:t>６</w:t>
      </w:r>
    </w:p>
    <w:p>
      <w:pPr>
        <w:pStyle w:val="6"/>
        <w:spacing w:line="295" w:lineRule="auto"/>
        <w:ind w:right="442" w:firstLine="0"/>
        <w:rPr>
          <w:rFonts w:hint="eastAsia" w:ascii="MS UI Gothic" w:eastAsia="MS UI Gothic"/>
        </w:rPr>
      </w:pPr>
      <w:r>
        <w:rPr>
          <w:spacing w:val="-43"/>
          <w:w w:val="105"/>
        </w:rPr>
        <w:t xml:space="preserve">月 </w:t>
      </w:r>
      <w:r>
        <w:rPr>
          <w:rFonts w:hint="eastAsia" w:ascii="MS UI Gothic" w:eastAsia="MS UI Gothic"/>
          <w:spacing w:val="-13"/>
          <w:w w:val="80"/>
        </w:rPr>
        <w:t xml:space="preserve">１ </w:t>
      </w:r>
      <w:r>
        <w:rPr>
          <w:spacing w:val="2"/>
          <w:w w:val="105"/>
        </w:rPr>
        <w:t>日起新上岗的煤矿特种作业人员应当</w:t>
      </w:r>
      <w:r>
        <w:rPr>
          <w:spacing w:val="5"/>
          <w:w w:val="105"/>
        </w:rPr>
        <w:t>具备高中及以上文化程度</w:t>
      </w:r>
      <w:r>
        <w:rPr>
          <w:rFonts w:hint="eastAsia" w:ascii="MS UI Gothic" w:eastAsia="MS UI Gothic"/>
          <w:spacing w:val="-38"/>
          <w:w w:val="135"/>
        </w:rPr>
        <w:t xml:space="preserve">) </w:t>
      </w:r>
      <w:r>
        <w:rPr>
          <w:rFonts w:hint="eastAsia" w:ascii="MS UI Gothic" w:eastAsia="MS UI Gothic"/>
          <w:spacing w:val="-6"/>
          <w:w w:val="80"/>
        </w:rPr>
        <w:t xml:space="preserve">ꎬ </w:t>
      </w:r>
      <w:r>
        <w:rPr>
          <w:spacing w:val="8"/>
          <w:w w:val="105"/>
        </w:rPr>
        <w:t>具有煤矿相</w:t>
      </w:r>
      <w:r>
        <w:rPr>
          <w:spacing w:val="3"/>
          <w:w w:val="105"/>
        </w:rPr>
        <w:t>关工作经历</w:t>
      </w:r>
      <w:r>
        <w:rPr>
          <w:rFonts w:hint="eastAsia" w:ascii="MS UI Gothic" w:eastAsia="MS UI Gothic"/>
          <w:w w:val="80"/>
        </w:rPr>
        <w:t xml:space="preserve">ꎬ </w:t>
      </w:r>
      <w:r>
        <w:rPr>
          <w:spacing w:val="3"/>
          <w:w w:val="105"/>
        </w:rPr>
        <w:t>或者职业高中</w:t>
      </w:r>
      <w:r>
        <w:rPr>
          <w:rFonts w:hint="eastAsia" w:ascii="MS UI Gothic" w:eastAsia="MS UI Gothic"/>
          <w:w w:val="80"/>
        </w:rPr>
        <w:t xml:space="preserve">、 </w:t>
      </w:r>
      <w:r>
        <w:rPr>
          <w:spacing w:val="2"/>
          <w:w w:val="105"/>
        </w:rPr>
        <w:t>技工学校及</w:t>
      </w:r>
      <w:r>
        <w:rPr>
          <w:spacing w:val="3"/>
          <w:w w:val="105"/>
        </w:rPr>
        <w:t>中专以上相关专业学历</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第二十三条 国家煤矿安全监察局组</w:t>
      </w:r>
      <w:r>
        <w:t>织制定煤矿特种作业人员培训大纲和考核</w:t>
      </w:r>
      <w:r>
        <w:rPr>
          <w:w w:val="105"/>
        </w:rPr>
        <w:t>标准</w:t>
      </w:r>
      <w:r>
        <w:rPr>
          <w:rFonts w:hint="eastAsia" w:ascii="MS UI Gothic" w:eastAsia="MS UI Gothic"/>
          <w:w w:val="80"/>
        </w:rPr>
        <w:t xml:space="preserve">ꎬ </w:t>
      </w:r>
      <w:r>
        <w:rPr>
          <w:w w:val="105"/>
        </w:rPr>
        <w:t>建立统一的考试题库</w:t>
      </w:r>
      <w:r>
        <w:rPr>
          <w:rFonts w:hint="eastAsia" w:ascii="MS UI Gothic" w:eastAsia="MS UI Gothic"/>
          <w:w w:val="80"/>
        </w:rPr>
        <w:t>ꎮ</w:t>
      </w:r>
    </w:p>
    <w:p>
      <w:pPr>
        <w:pStyle w:val="6"/>
        <w:spacing w:line="295" w:lineRule="auto"/>
        <w:ind w:right="442"/>
        <w:rPr>
          <w:rFonts w:hint="eastAsia" w:ascii="MS UI Gothic" w:eastAsia="MS UI Gothic"/>
        </w:rPr>
      </w:pPr>
      <w:r>
        <w:t>省级煤矿安全培训主管部门负责本行</w:t>
      </w:r>
      <w:r>
        <w:rPr>
          <w:w w:val="105"/>
        </w:rPr>
        <w:t>政区域内煤矿特种作业人员的考核</w:t>
      </w:r>
      <w:r>
        <w:rPr>
          <w:rFonts w:hint="eastAsia" w:ascii="MS UI Gothic" w:eastAsia="MS UI Gothic"/>
          <w:w w:val="80"/>
        </w:rPr>
        <w:t xml:space="preserve">、 </w:t>
      </w:r>
      <w:r>
        <w:rPr>
          <w:w w:val="105"/>
        </w:rPr>
        <w:t>发证</w:t>
      </w:r>
      <w:r>
        <w:t>工作</w:t>
      </w:r>
      <w:r>
        <w:rPr>
          <w:rFonts w:hint="eastAsia" w:ascii="MS UI Gothic" w:eastAsia="MS UI Gothic"/>
          <w:w w:val="80"/>
        </w:rPr>
        <w:t xml:space="preserve">ꎬ </w:t>
      </w:r>
      <w:r>
        <w:t>也可以委托设区的市级人民政府煤矿安全培训主管部门实施煤矿特种作业人</w:t>
      </w:r>
      <w:r>
        <w:rPr>
          <w:w w:val="105"/>
        </w:rPr>
        <w:t>员的考核</w:t>
      </w:r>
      <w:r>
        <w:rPr>
          <w:rFonts w:hint="eastAsia" w:ascii="MS UI Gothic" w:eastAsia="MS UI Gothic"/>
          <w:w w:val="80"/>
        </w:rPr>
        <w:t xml:space="preserve">、 </w:t>
      </w:r>
      <w:r>
        <w:rPr>
          <w:w w:val="105"/>
        </w:rPr>
        <w:t>发证工作</w:t>
      </w:r>
      <w:r>
        <w:rPr>
          <w:rFonts w:hint="eastAsia" w:ascii="MS UI Gothic" w:eastAsia="MS UI Gothic"/>
          <w:w w:val="80"/>
        </w:rPr>
        <w:t>ꎮ</w:t>
      </w:r>
    </w:p>
    <w:p>
      <w:pPr>
        <w:pStyle w:val="6"/>
        <w:spacing w:line="252" w:lineRule="exact"/>
        <w:ind w:left="543" w:firstLine="0"/>
        <w:jc w:val="left"/>
      </w:pPr>
      <w:r>
        <w:rPr>
          <w:w w:val="105"/>
        </w:rPr>
        <w:t>省级煤矿安全培训主管部门及其委托</w:t>
      </w:r>
    </w:p>
    <w:p>
      <w:pPr>
        <w:spacing w:after="0" w:line="252"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３７５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25" o:spid="_x0000_s2125" o:spt="203" style="height:2.15pt;width:398.25pt;" coordsize="7965,43">
            <o:lock v:ext="edit"/>
            <v:line id="_x0000_s2126" o:spid="_x0000_s2126" o:spt="20" style="position:absolute;left:0;top:39;height:0;width:7965;" stroked="t" coordsize="21600,21600">
              <v:path arrowok="t"/>
              <v:fill focussize="0,0"/>
              <v:stroke weight="0.388031496062992pt" color="#231F20"/>
              <v:imagedata o:title=""/>
              <o:lock v:ext="edit"/>
            </v:line>
            <v:line id="_x0000_s2127" o:spid="_x0000_s212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的设区的市级人民政府煤矿安全培训主管</w:t>
      </w:r>
      <w:r>
        <w:rPr>
          <w:w w:val="105"/>
        </w:rPr>
        <w:t>部门以下统称考核发证部门</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rPr>
          <w:w w:val="105"/>
        </w:rPr>
        <w:t>第二十四条 煤矿特种作业人员必须</w:t>
      </w:r>
      <w:r>
        <w:t>经专门的安全技术培训和考核合格</w:t>
      </w:r>
      <w:r>
        <w:rPr>
          <w:rFonts w:hint="eastAsia" w:ascii="MS UI Gothic" w:hAnsi="MS UI Gothic" w:eastAsia="MS UI Gothic"/>
          <w:w w:val="80"/>
        </w:rPr>
        <w:t xml:space="preserve">ꎬ </w:t>
      </w:r>
      <w:r>
        <w:t>由省</w:t>
      </w:r>
      <w:r>
        <w:rPr>
          <w:w w:val="105"/>
        </w:rPr>
        <w:t xml:space="preserve">级煤矿安全培训主管部门颁发 </w:t>
      </w:r>
      <w:r>
        <w:rPr>
          <w:rFonts w:hint="eastAsia" w:ascii="MS UI Gothic" w:hAnsi="MS UI Gothic" w:eastAsia="MS UI Gothic"/>
          <w:w w:val="80"/>
        </w:rPr>
        <w:t xml:space="preserve">« </w:t>
      </w:r>
      <w:r>
        <w:rPr>
          <w:w w:val="105"/>
        </w:rPr>
        <w:t>中华人民共和国特种作业操作证</w:t>
      </w:r>
      <w:r>
        <w:rPr>
          <w:rFonts w:hint="eastAsia" w:ascii="MS UI Gothic" w:hAnsi="MS UI Gothic" w:eastAsia="MS UI Gothic"/>
          <w:w w:val="80"/>
        </w:rPr>
        <w:t xml:space="preserve">» </w:t>
      </w:r>
      <w:r>
        <w:rPr>
          <w:rFonts w:hint="eastAsia" w:ascii="MS UI Gothic" w:hAnsi="MS UI Gothic" w:eastAsia="MS UI Gothic"/>
          <w:w w:val="150"/>
        </w:rPr>
        <w:t xml:space="preserve">( </w:t>
      </w:r>
      <w:r>
        <w:rPr>
          <w:w w:val="105"/>
        </w:rPr>
        <w:t>以下简称特种作业操作证</w:t>
      </w:r>
      <w:r>
        <w:rPr>
          <w:rFonts w:hint="eastAsia" w:ascii="MS UI Gothic" w:hAnsi="MS UI Gothic" w:eastAsia="MS UI Gothic"/>
          <w:w w:val="150"/>
        </w:rPr>
        <w:t xml:space="preserve">) </w:t>
      </w:r>
      <w:r>
        <w:rPr>
          <w:w w:val="105"/>
        </w:rPr>
        <w:t>后</w:t>
      </w:r>
      <w:r>
        <w:rPr>
          <w:rFonts w:hint="eastAsia" w:ascii="MS UI Gothic" w:hAnsi="MS UI Gothic" w:eastAsia="MS UI Gothic"/>
          <w:w w:val="80"/>
        </w:rPr>
        <w:t xml:space="preserve">ꎬ </w:t>
      </w:r>
      <w:r>
        <w:rPr>
          <w:w w:val="105"/>
        </w:rPr>
        <w:t>方可上岗作业</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t>第二十五条 煤矿特种作业人员在参加资格考试前应当按照规定的培训大纲进行安全生产知识和实际操作能力的专门培训</w:t>
      </w:r>
      <w:r>
        <w:rPr>
          <w:rFonts w:hint="eastAsia" w:ascii="MS UI Gothic" w:eastAsia="MS UI Gothic"/>
          <w:w w:val="85"/>
        </w:rPr>
        <w:t xml:space="preserve">ꎮ </w:t>
      </w:r>
      <w:r>
        <w:t>其中</w:t>
      </w:r>
      <w:r>
        <w:rPr>
          <w:rFonts w:hint="eastAsia" w:ascii="MS UI Gothic" w:eastAsia="MS UI Gothic"/>
          <w:w w:val="85"/>
        </w:rPr>
        <w:t xml:space="preserve">ꎬ </w:t>
      </w:r>
      <w:r>
        <w:t xml:space="preserve">初次培训的时间不得少于 </w:t>
      </w:r>
      <w:r>
        <w:rPr>
          <w:rFonts w:hint="eastAsia" w:ascii="MS UI Gothic" w:eastAsia="MS UI Gothic"/>
          <w:w w:val="85"/>
        </w:rPr>
        <w:t xml:space="preserve">９０ </w:t>
      </w:r>
      <w:r>
        <w:t>学时</w:t>
      </w:r>
      <w:r>
        <w:rPr>
          <w:rFonts w:hint="eastAsia" w:ascii="MS UI Gothic" w:eastAsia="MS UI Gothic"/>
          <w:w w:val="85"/>
        </w:rPr>
        <w:t>ꎮ</w:t>
      </w:r>
    </w:p>
    <w:p>
      <w:pPr>
        <w:pStyle w:val="6"/>
        <w:spacing w:line="295" w:lineRule="auto"/>
        <w:ind w:left="440" w:right="1"/>
        <w:rPr>
          <w:rFonts w:hint="eastAsia" w:ascii="MS UI Gothic" w:eastAsia="MS UI Gothic"/>
        </w:rPr>
      </w:pPr>
      <w:r>
        <w:t>已经取得职业高中</w:t>
      </w:r>
      <w:r>
        <w:rPr>
          <w:rFonts w:hint="eastAsia" w:ascii="MS UI Gothic" w:eastAsia="MS UI Gothic"/>
          <w:w w:val="80"/>
        </w:rPr>
        <w:t xml:space="preserve">、 </w:t>
      </w:r>
      <w:r>
        <w:t>技工学校及中专以上学历的毕业生从事与其所学专业相应的特种作业</w:t>
      </w:r>
      <w:r>
        <w:rPr>
          <w:rFonts w:hint="eastAsia" w:ascii="MS UI Gothic" w:eastAsia="MS UI Gothic"/>
          <w:w w:val="80"/>
        </w:rPr>
        <w:t xml:space="preserve">ꎬ </w:t>
      </w:r>
      <w:r>
        <w:t>持学历证明经考核发证部门审核属实的</w:t>
      </w:r>
      <w:r>
        <w:rPr>
          <w:rFonts w:hint="eastAsia" w:ascii="MS UI Gothic" w:eastAsia="MS UI Gothic"/>
          <w:w w:val="80"/>
        </w:rPr>
        <w:t xml:space="preserve">ꎬ </w:t>
      </w:r>
      <w:r>
        <w:t>免予初次培训</w:t>
      </w:r>
      <w:r>
        <w:rPr>
          <w:rFonts w:hint="eastAsia" w:ascii="MS UI Gothic" w:eastAsia="MS UI Gothic"/>
          <w:w w:val="80"/>
        </w:rPr>
        <w:t xml:space="preserve">ꎬ </w:t>
      </w:r>
      <w:r>
        <w:t>直接参加资格考试</w:t>
      </w:r>
      <w:r>
        <w:rPr>
          <w:rFonts w:hint="eastAsia" w:ascii="MS UI Gothic" w:eastAsia="MS UI Gothic"/>
          <w:w w:val="80"/>
        </w:rPr>
        <w:t>ꎮ</w:t>
      </w:r>
    </w:p>
    <w:p>
      <w:pPr>
        <w:pStyle w:val="6"/>
        <w:spacing w:line="295" w:lineRule="auto"/>
        <w:ind w:left="440"/>
        <w:rPr>
          <w:rFonts w:hint="eastAsia" w:ascii="MS UI Gothic" w:eastAsia="MS UI Gothic"/>
        </w:rPr>
      </w:pPr>
      <w:r>
        <w:t>第二十六条 参加煤矿特种作业操作资格考试的人员</w:t>
      </w:r>
      <w:r>
        <w:rPr>
          <w:rFonts w:hint="eastAsia" w:ascii="MS UI Gothic" w:eastAsia="MS UI Gothic"/>
          <w:w w:val="85"/>
        </w:rPr>
        <w:t xml:space="preserve">ꎬ </w:t>
      </w:r>
      <w:r>
        <w:t>应当填写考试申请表</w:t>
      </w:r>
      <w:r>
        <w:rPr>
          <w:rFonts w:hint="eastAsia" w:ascii="MS UI Gothic" w:eastAsia="MS UI Gothic"/>
          <w:w w:val="85"/>
        </w:rPr>
        <w:t>ꎬ</w:t>
      </w:r>
      <w:r>
        <w:t>由本人或其所在煤矿企业持身份证复印件</w:t>
      </w:r>
      <w:r>
        <w:rPr>
          <w:rFonts w:hint="eastAsia" w:ascii="MS UI Gothic" w:eastAsia="MS UI Gothic"/>
        </w:rPr>
        <w:t xml:space="preserve">、 </w:t>
      </w:r>
      <w:r>
        <w:t>学历证书复印件或者培训机构出具的培训合格证明向其工作地或者户籍所在地考核发证部门提出申请</w:t>
      </w:r>
      <w:r>
        <w:rPr>
          <w:rFonts w:hint="eastAsia" w:ascii="MS UI Gothic" w:eastAsia="MS UI Gothic"/>
          <w:w w:val="85"/>
        </w:rPr>
        <w:t xml:space="preserve">ꎮ </w:t>
      </w:r>
      <w:r>
        <w:t>考核发证部门收到申请及其有关材料后</w:t>
      </w:r>
      <w:r>
        <w:rPr>
          <w:rFonts w:hint="eastAsia" w:ascii="MS UI Gothic" w:eastAsia="MS UI Gothic"/>
          <w:w w:val="85"/>
        </w:rPr>
        <w:t xml:space="preserve">ꎬ </w:t>
      </w:r>
      <w:r>
        <w:t xml:space="preserve">应当在 </w:t>
      </w:r>
      <w:r>
        <w:rPr>
          <w:rFonts w:hint="eastAsia" w:ascii="MS UI Gothic" w:eastAsia="MS UI Gothic"/>
          <w:w w:val="85"/>
        </w:rPr>
        <w:t xml:space="preserve">６０ </w:t>
      </w:r>
      <w:r>
        <w:t>日内组织考试</w:t>
      </w:r>
      <w:r>
        <w:rPr>
          <w:rFonts w:hint="eastAsia" w:ascii="MS UI Gothic" w:eastAsia="MS UI Gothic"/>
          <w:w w:val="85"/>
        </w:rPr>
        <w:t xml:space="preserve">ꎮ </w:t>
      </w:r>
      <w:r>
        <w:t>对不符合考试条件的</w:t>
      </w:r>
      <w:r>
        <w:rPr>
          <w:rFonts w:hint="eastAsia" w:ascii="MS UI Gothic" w:eastAsia="MS UI Gothic"/>
          <w:w w:val="85"/>
        </w:rPr>
        <w:t xml:space="preserve">ꎬ </w:t>
      </w:r>
      <w:r>
        <w:t>应当书面告知申请人或其所在煤矿企业</w:t>
      </w:r>
      <w:r>
        <w:rPr>
          <w:rFonts w:hint="eastAsia" w:ascii="MS UI Gothic" w:eastAsia="MS UI Gothic"/>
          <w:w w:val="85"/>
        </w:rPr>
        <w:t>ꎮ</w:t>
      </w:r>
    </w:p>
    <w:p>
      <w:pPr>
        <w:pStyle w:val="6"/>
        <w:spacing w:line="295" w:lineRule="auto"/>
        <w:ind w:left="440" w:right="1"/>
        <w:rPr>
          <w:rFonts w:hint="eastAsia" w:ascii="MS UI Gothic" w:eastAsia="MS UI Gothic"/>
        </w:rPr>
      </w:pPr>
      <w:r>
        <w:rPr>
          <w:w w:val="105"/>
        </w:rPr>
        <w:t>第二十七条 煤矿特种作业操作资格</w:t>
      </w:r>
      <w:r>
        <w:t>考试包括安全生产知识考试和实际操作能力考试</w:t>
      </w:r>
      <w:r>
        <w:rPr>
          <w:rFonts w:hint="eastAsia" w:ascii="MS UI Gothic" w:eastAsia="MS UI Gothic"/>
          <w:w w:val="80"/>
        </w:rPr>
        <w:t xml:space="preserve">ꎮ </w:t>
      </w:r>
      <w:r>
        <w:t>安全生产知识考试合格后</w:t>
      </w:r>
      <w:r>
        <w:rPr>
          <w:rFonts w:hint="eastAsia" w:ascii="MS UI Gothic" w:eastAsia="MS UI Gothic"/>
          <w:w w:val="80"/>
        </w:rPr>
        <w:t xml:space="preserve">ꎬ </w:t>
      </w:r>
      <w:r>
        <w:t>进行</w:t>
      </w:r>
      <w:r>
        <w:rPr>
          <w:w w:val="105"/>
        </w:rPr>
        <w:t>实际操作能力考试</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95"/>
        </w:rPr>
        <w:t xml:space="preserve">煤矿特种作业操作资格考试应当在规 </w:t>
      </w:r>
      <w:r>
        <w:rPr>
          <w:spacing w:val="3"/>
          <w:w w:val="95"/>
        </w:rPr>
        <w:t>定的考点进行</w:t>
      </w:r>
      <w:r>
        <w:rPr>
          <w:rFonts w:hint="eastAsia" w:ascii="MS UI Gothic" w:eastAsia="MS UI Gothic"/>
          <w:spacing w:val="16"/>
          <w:w w:val="90"/>
        </w:rPr>
        <w:t xml:space="preserve">ꎬ  </w:t>
      </w:r>
      <w:r>
        <w:rPr>
          <w:spacing w:val="2"/>
          <w:w w:val="95"/>
        </w:rPr>
        <w:t>安全生产知识考试应当使</w:t>
      </w:r>
      <w:r>
        <w:rPr>
          <w:spacing w:val="3"/>
          <w:w w:val="95"/>
        </w:rPr>
        <w:t>用统一的考试题库</w:t>
      </w:r>
      <w:r>
        <w:rPr>
          <w:rFonts w:hint="eastAsia" w:ascii="MS UI Gothic" w:eastAsia="MS UI Gothic"/>
          <w:spacing w:val="20"/>
          <w:w w:val="90"/>
        </w:rPr>
        <w:t xml:space="preserve">ꎬ </w:t>
      </w:r>
      <w:r>
        <w:rPr>
          <w:spacing w:val="3"/>
          <w:w w:val="95"/>
        </w:rPr>
        <w:t>使用计算机考试</w:t>
      </w:r>
      <w:r>
        <w:rPr>
          <w:rFonts w:hint="eastAsia" w:ascii="MS UI Gothic" w:eastAsia="MS UI Gothic"/>
          <w:spacing w:val="20"/>
          <w:w w:val="90"/>
        </w:rPr>
        <w:t xml:space="preserve">ꎬ </w:t>
      </w:r>
      <w:r>
        <w:rPr>
          <w:w w:val="95"/>
        </w:rPr>
        <w:t>实</w:t>
      </w:r>
      <w:r>
        <w:rPr>
          <w:spacing w:val="2"/>
          <w:w w:val="95"/>
        </w:rPr>
        <w:t xml:space="preserve">际操作能力考试采用国家统一考试标准进  </w:t>
      </w:r>
      <w:r>
        <w:rPr>
          <w:spacing w:val="3"/>
          <w:w w:val="95"/>
        </w:rPr>
        <w:t>行考试</w:t>
      </w:r>
      <w:r>
        <w:rPr>
          <w:rFonts w:hint="eastAsia" w:ascii="MS UI Gothic" w:eastAsia="MS UI Gothic"/>
          <w:spacing w:val="16"/>
          <w:w w:val="90"/>
        </w:rPr>
        <w:t xml:space="preserve">ꎮ </w:t>
      </w:r>
      <w:r>
        <w:rPr>
          <w:spacing w:val="6"/>
          <w:w w:val="95"/>
        </w:rPr>
        <w:t xml:space="preserve">考试满分均为 </w:t>
      </w:r>
      <w:r>
        <w:rPr>
          <w:rFonts w:hint="eastAsia" w:ascii="MS UI Gothic" w:eastAsia="MS UI Gothic"/>
          <w:w w:val="95"/>
        </w:rPr>
        <w:t xml:space="preserve">１００ </w:t>
      </w:r>
      <w:r>
        <w:rPr>
          <w:spacing w:val="3"/>
          <w:w w:val="95"/>
        </w:rPr>
        <w:t>分</w:t>
      </w:r>
      <w:r>
        <w:rPr>
          <w:rFonts w:hint="eastAsia" w:ascii="MS UI Gothic" w:eastAsia="MS UI Gothic"/>
          <w:spacing w:val="15"/>
          <w:w w:val="90"/>
        </w:rPr>
        <w:t xml:space="preserve">ꎬ </w:t>
      </w:r>
      <w:r>
        <w:rPr>
          <w:rFonts w:hint="eastAsia" w:ascii="MS UI Gothic" w:eastAsia="MS UI Gothic"/>
          <w:w w:val="95"/>
        </w:rPr>
        <w:t xml:space="preserve">８０ </w:t>
      </w:r>
      <w:r>
        <w:rPr>
          <w:spacing w:val="9"/>
          <w:w w:val="95"/>
        </w:rPr>
        <w:t>分以</w:t>
      </w:r>
      <w:r>
        <w:rPr>
          <w:spacing w:val="3"/>
          <w:w w:val="95"/>
        </w:rPr>
        <w:t>上为合格</w:t>
      </w:r>
      <w:r>
        <w:rPr>
          <w:rFonts w:hint="eastAsia" w:ascii="MS UI Gothic" w:eastAsia="MS UI Gothic"/>
          <w:w w:val="90"/>
        </w:rPr>
        <w:t>ꎮ</w:t>
      </w:r>
    </w:p>
    <w:p>
      <w:pPr>
        <w:pStyle w:val="6"/>
        <w:spacing w:line="251" w:lineRule="exact"/>
        <w:ind w:left="860" w:firstLine="0"/>
        <w:jc w:val="left"/>
        <w:rPr>
          <w:rFonts w:hint="eastAsia" w:ascii="MS UI Gothic" w:eastAsia="MS UI Gothic"/>
        </w:rPr>
      </w:pPr>
      <w:r>
        <w:t xml:space="preserve">考核发证部门应当在考试结束后 </w:t>
      </w:r>
      <w:r>
        <w:rPr>
          <w:rFonts w:hint="eastAsia" w:ascii="MS UI Gothic" w:eastAsia="MS UI Gothic"/>
        </w:rPr>
        <w:t>１０</w:t>
      </w:r>
    </w:p>
    <w:p>
      <w:pPr>
        <w:pStyle w:val="6"/>
        <w:spacing w:before="34"/>
        <w:ind w:left="440" w:firstLine="0"/>
        <w:jc w:val="left"/>
        <w:rPr>
          <w:rFonts w:hint="eastAsia" w:ascii="MS UI Gothic" w:eastAsia="MS UI Gothic"/>
        </w:rPr>
      </w:pPr>
      <w:r>
        <w:t>个工作日内公布考试成绩</w:t>
      </w:r>
      <w:r>
        <w:rPr>
          <w:rFonts w:hint="eastAsia" w:ascii="MS UI Gothic" w:eastAsia="MS UI Gothic"/>
          <w:w w:val="80"/>
        </w:rPr>
        <w:t>ꎮ</w:t>
      </w:r>
    </w:p>
    <w:p>
      <w:pPr>
        <w:pStyle w:val="6"/>
        <w:spacing w:before="58"/>
        <w:ind w:left="860" w:firstLine="0"/>
        <w:jc w:val="left"/>
      </w:pPr>
      <w:r>
        <w:t>申请人考试合格的</w:t>
      </w:r>
      <w:r>
        <w:rPr>
          <w:rFonts w:hint="eastAsia" w:ascii="MS UI Gothic" w:eastAsia="MS UI Gothic"/>
          <w:w w:val="80"/>
        </w:rPr>
        <w:t xml:space="preserve">ꎬ </w:t>
      </w:r>
      <w:r>
        <w:t>考核发证部门应</w:t>
      </w:r>
    </w:p>
    <w:p>
      <w:pPr>
        <w:pStyle w:val="6"/>
        <w:spacing w:before="124" w:line="295" w:lineRule="auto"/>
        <w:ind w:left="381" w:right="126" w:firstLine="0"/>
        <w:rPr>
          <w:rFonts w:hint="eastAsia" w:ascii="MS UI Gothic" w:eastAsia="MS UI Gothic"/>
        </w:rPr>
      </w:pPr>
      <w:r>
        <w:br w:type="column"/>
      </w:r>
      <w:r>
        <w:t xml:space="preserve">当自考试合格之日起 </w:t>
      </w:r>
      <w:r>
        <w:rPr>
          <w:rFonts w:hint="eastAsia" w:ascii="MS UI Gothic" w:eastAsia="MS UI Gothic"/>
          <w:w w:val="85"/>
        </w:rPr>
        <w:t xml:space="preserve">２０ </w:t>
      </w:r>
      <w:r>
        <w:t>个工作日内完成发证工作</w:t>
      </w:r>
      <w:r>
        <w:rPr>
          <w:rFonts w:hint="eastAsia" w:ascii="MS UI Gothic" w:eastAsia="MS UI Gothic"/>
          <w:w w:val="85"/>
        </w:rPr>
        <w:t>ꎮ</w:t>
      </w:r>
    </w:p>
    <w:p>
      <w:pPr>
        <w:pStyle w:val="6"/>
        <w:spacing w:line="295" w:lineRule="auto"/>
        <w:ind w:left="381" w:right="126"/>
        <w:rPr>
          <w:rFonts w:hint="eastAsia" w:ascii="MS UI Gothic" w:eastAsia="MS UI Gothic"/>
        </w:rPr>
      </w:pPr>
      <w:r>
        <w:t>申请人考试不合格的</w:t>
      </w:r>
      <w:r>
        <w:rPr>
          <w:rFonts w:hint="eastAsia" w:ascii="MS UI Gothic" w:eastAsia="MS UI Gothic"/>
          <w:w w:val="80"/>
        </w:rPr>
        <w:t xml:space="preserve">ꎬ </w:t>
      </w:r>
      <w:r>
        <w:t>可以补考一次</w:t>
      </w:r>
      <w:r>
        <w:rPr>
          <w:rFonts w:hint="eastAsia" w:ascii="MS UI Gothic" w:eastAsia="MS UI Gothic"/>
          <w:w w:val="80"/>
        </w:rPr>
        <w:t xml:space="preserve">ꎻ </w:t>
      </w:r>
      <w:r>
        <w:t>经补考仍不合格的</w:t>
      </w:r>
      <w:r>
        <w:rPr>
          <w:rFonts w:hint="eastAsia" w:ascii="MS UI Gothic" w:eastAsia="MS UI Gothic"/>
          <w:w w:val="80"/>
        </w:rPr>
        <w:t xml:space="preserve">ꎬ </w:t>
      </w:r>
      <w:r>
        <w:t>重新参加相应的安全技术培训</w:t>
      </w:r>
      <w:r>
        <w:rPr>
          <w:rFonts w:hint="eastAsia" w:ascii="MS UI Gothic" w:eastAsia="MS UI Gothic"/>
          <w:w w:val="80"/>
        </w:rPr>
        <w:t>ꎮ</w:t>
      </w:r>
    </w:p>
    <w:p>
      <w:pPr>
        <w:pStyle w:val="6"/>
        <w:tabs>
          <w:tab w:val="left" w:pos="2057"/>
        </w:tabs>
        <w:spacing w:line="254" w:lineRule="exact"/>
        <w:ind w:left="800" w:firstLine="0"/>
        <w:jc w:val="left"/>
      </w:pPr>
      <w:r>
        <w:rPr>
          <w:spacing w:val="3"/>
          <w:w w:val="105"/>
        </w:rPr>
        <w:t>第二十八</w:t>
      </w:r>
      <w:r>
        <w:rPr>
          <w:w w:val="105"/>
        </w:rPr>
        <w:t>条</w:t>
      </w:r>
      <w:r>
        <w:rPr>
          <w:w w:val="105"/>
        </w:rPr>
        <w:tab/>
      </w:r>
      <w:r>
        <w:rPr>
          <w:spacing w:val="3"/>
          <w:w w:val="105"/>
        </w:rPr>
        <w:t>特种作业操作证有效</w:t>
      </w:r>
      <w:r>
        <w:rPr>
          <w:w w:val="105"/>
        </w:rPr>
        <w:t>期</w:t>
      </w:r>
    </w:p>
    <w:p>
      <w:pPr>
        <w:pStyle w:val="6"/>
        <w:spacing w:before="57"/>
        <w:ind w:left="375" w:firstLine="0"/>
        <w:rPr>
          <w:rFonts w:hint="eastAsia" w:ascii="MS UI Gothic" w:eastAsia="MS UI Gothic"/>
        </w:rPr>
      </w:pPr>
      <w:r>
        <w:rPr>
          <w:rFonts w:hint="eastAsia" w:ascii="MS UI Gothic" w:eastAsia="MS UI Gothic"/>
        </w:rPr>
        <w:t xml:space="preserve">６ </w:t>
      </w:r>
      <w:r>
        <w:t>年</w:t>
      </w:r>
      <w:r>
        <w:rPr>
          <w:rFonts w:hint="eastAsia" w:ascii="MS UI Gothic" w:eastAsia="MS UI Gothic"/>
          <w:w w:val="80"/>
        </w:rPr>
        <w:t xml:space="preserve">ꎬ </w:t>
      </w:r>
      <w:r>
        <w:t>全国范围内有效</w:t>
      </w:r>
      <w:r>
        <w:rPr>
          <w:rFonts w:hint="eastAsia" w:ascii="MS UI Gothic" w:eastAsia="MS UI Gothic"/>
          <w:w w:val="80"/>
        </w:rPr>
        <w:t>ꎮ</w:t>
      </w:r>
    </w:p>
    <w:p>
      <w:pPr>
        <w:pStyle w:val="6"/>
        <w:spacing w:before="58" w:line="295" w:lineRule="auto"/>
        <w:ind w:left="381" w:right="126"/>
        <w:rPr>
          <w:rFonts w:hint="eastAsia" w:ascii="MS UI Gothic" w:eastAsia="MS UI Gothic"/>
        </w:rPr>
      </w:pPr>
      <w:r>
        <w:t>特种作业操作证由国家安全生产监督</w:t>
      </w:r>
      <w:r>
        <w:rPr>
          <w:w w:val="105"/>
        </w:rPr>
        <w:t>管理总局统一式样</w:t>
      </w:r>
      <w:r>
        <w:rPr>
          <w:rFonts w:hint="eastAsia" w:ascii="MS UI Gothic" w:eastAsia="MS UI Gothic"/>
          <w:w w:val="80"/>
        </w:rPr>
        <w:t xml:space="preserve">、 </w:t>
      </w:r>
      <w:r>
        <w:rPr>
          <w:w w:val="105"/>
        </w:rPr>
        <w:t>标准和编号</w:t>
      </w:r>
      <w:r>
        <w:rPr>
          <w:rFonts w:hint="eastAsia" w:ascii="MS UI Gothic" w:eastAsia="MS UI Gothic"/>
          <w:w w:val="80"/>
        </w:rPr>
        <w:t>ꎮ</w:t>
      </w:r>
    </w:p>
    <w:p>
      <w:pPr>
        <w:pStyle w:val="6"/>
        <w:spacing w:line="295" w:lineRule="auto"/>
        <w:ind w:left="381" w:right="126"/>
        <w:rPr>
          <w:rFonts w:hint="eastAsia" w:ascii="MS UI Gothic" w:eastAsia="MS UI Gothic"/>
        </w:rPr>
      </w:pPr>
      <w:r>
        <w:t>第二十九条 特种作业操作证有效期届满需要延期换证的</w:t>
      </w:r>
      <w:r>
        <w:rPr>
          <w:rFonts w:hint="eastAsia" w:ascii="MS UI Gothic" w:eastAsia="MS UI Gothic"/>
          <w:w w:val="85"/>
        </w:rPr>
        <w:t xml:space="preserve">ꎬ </w:t>
      </w:r>
      <w:r>
        <w:t xml:space="preserve">持证人应当在有效期届满 </w:t>
      </w:r>
      <w:r>
        <w:rPr>
          <w:rFonts w:hint="eastAsia" w:ascii="MS UI Gothic" w:eastAsia="MS UI Gothic"/>
          <w:w w:val="85"/>
        </w:rPr>
        <w:t xml:space="preserve">６０ </w:t>
      </w:r>
      <w:r>
        <w:t xml:space="preserve">日前参加不少于 </w:t>
      </w:r>
      <w:r>
        <w:rPr>
          <w:rFonts w:hint="eastAsia" w:ascii="MS UI Gothic" w:eastAsia="MS UI Gothic"/>
          <w:w w:val="85"/>
        </w:rPr>
        <w:t xml:space="preserve">２４ </w:t>
      </w:r>
      <w:r>
        <w:t>学时的专门培训</w:t>
      </w:r>
      <w:r>
        <w:rPr>
          <w:rFonts w:hint="eastAsia" w:ascii="MS UI Gothic" w:eastAsia="MS UI Gothic"/>
          <w:w w:val="85"/>
        </w:rPr>
        <w:t xml:space="preserve">ꎬ </w:t>
      </w:r>
      <w:r>
        <w:t>持培训合格证明由本人或其所在企业向当地考核发证部门或者原考核发证部门提出考试申请</w:t>
      </w:r>
      <w:r>
        <w:rPr>
          <w:rFonts w:hint="eastAsia" w:ascii="MS UI Gothic" w:eastAsia="MS UI Gothic"/>
          <w:w w:val="85"/>
        </w:rPr>
        <w:t xml:space="preserve">ꎮ </w:t>
      </w:r>
      <w:r>
        <w:t>经安全生产知识和实际操作能力考试合格的</w:t>
      </w:r>
      <w:r>
        <w:rPr>
          <w:rFonts w:hint="eastAsia" w:ascii="MS UI Gothic" w:eastAsia="MS UI Gothic"/>
          <w:w w:val="85"/>
        </w:rPr>
        <w:t xml:space="preserve">ꎬ </w:t>
      </w:r>
      <w:r>
        <w:t xml:space="preserve">考核发证部门应当在 </w:t>
      </w:r>
      <w:r>
        <w:rPr>
          <w:rFonts w:hint="eastAsia" w:ascii="MS UI Gothic" w:eastAsia="MS UI Gothic"/>
          <w:w w:val="85"/>
        </w:rPr>
        <w:t xml:space="preserve">２０ </w:t>
      </w:r>
      <w:r>
        <w:t>个工作日内予以换发新的特种作业操作证</w:t>
      </w:r>
      <w:r>
        <w:rPr>
          <w:rFonts w:hint="eastAsia" w:ascii="MS UI Gothic" w:eastAsia="MS UI Gothic"/>
          <w:w w:val="85"/>
        </w:rPr>
        <w:t>ꎮ</w:t>
      </w:r>
    </w:p>
    <w:p>
      <w:pPr>
        <w:pStyle w:val="6"/>
        <w:spacing w:line="295" w:lineRule="auto"/>
        <w:ind w:left="381" w:right="126"/>
        <w:rPr>
          <w:rFonts w:hint="eastAsia" w:ascii="MS UI Gothic" w:eastAsia="MS UI Gothic"/>
        </w:rPr>
      </w:pPr>
      <w:r>
        <w:t xml:space="preserve">第三十条 离开特种作业岗位 </w:t>
      </w:r>
      <w:r>
        <w:rPr>
          <w:rFonts w:hint="eastAsia" w:ascii="MS UI Gothic" w:eastAsia="MS UI Gothic"/>
          <w:w w:val="80"/>
        </w:rPr>
        <w:t xml:space="preserve">６ </w:t>
      </w:r>
      <w:r>
        <w:t>个月以上</w:t>
      </w:r>
      <w:r>
        <w:rPr>
          <w:rFonts w:hint="eastAsia" w:ascii="MS UI Gothic" w:eastAsia="MS UI Gothic"/>
          <w:w w:val="80"/>
        </w:rPr>
        <w:t xml:space="preserve">、 </w:t>
      </w:r>
      <w:r>
        <w:t>但特种作业操作证仍在有效期内的特种作业人员</w:t>
      </w:r>
      <w:r>
        <w:rPr>
          <w:rFonts w:hint="eastAsia" w:ascii="MS UI Gothic" w:eastAsia="MS UI Gothic"/>
          <w:w w:val="80"/>
        </w:rPr>
        <w:t xml:space="preserve">ꎬ </w:t>
      </w:r>
      <w:r>
        <w:t>需要重新从事原特种作业的</w:t>
      </w:r>
      <w:r>
        <w:rPr>
          <w:rFonts w:hint="eastAsia" w:ascii="MS UI Gothic" w:eastAsia="MS UI Gothic"/>
          <w:w w:val="80"/>
        </w:rPr>
        <w:t xml:space="preserve">ꎬ </w:t>
      </w:r>
      <w:r>
        <w:t>应当重新进行实际操作能力考试</w:t>
      </w:r>
      <w:r>
        <w:rPr>
          <w:rFonts w:hint="eastAsia" w:ascii="MS UI Gothic" w:eastAsia="MS UI Gothic"/>
          <w:w w:val="80"/>
        </w:rPr>
        <w:t xml:space="preserve">ꎬ </w:t>
      </w:r>
      <w:r>
        <w:t>经考试合格后方可上岗作业</w:t>
      </w:r>
      <w:r>
        <w:rPr>
          <w:rFonts w:hint="eastAsia" w:ascii="MS UI Gothic" w:eastAsia="MS UI Gothic"/>
          <w:w w:val="80"/>
        </w:rPr>
        <w:t>ꎮ</w:t>
      </w:r>
    </w:p>
    <w:p>
      <w:pPr>
        <w:pStyle w:val="6"/>
        <w:spacing w:line="295" w:lineRule="auto"/>
        <w:ind w:left="381" w:right="126"/>
        <w:rPr>
          <w:rFonts w:hint="eastAsia" w:ascii="MS UI Gothic" w:eastAsia="MS UI Gothic"/>
        </w:rPr>
      </w:pPr>
      <w:r>
        <w:t>第三十一条 特种作业操作证遗失或者损毁的</w:t>
      </w:r>
      <w:r>
        <w:rPr>
          <w:rFonts w:hint="eastAsia" w:ascii="MS UI Gothic" w:eastAsia="MS UI Gothic"/>
          <w:w w:val="80"/>
        </w:rPr>
        <w:t xml:space="preserve">ꎬ </w:t>
      </w:r>
      <w:r>
        <w:t>应当及时向原考核发证部门提出书面申请</w:t>
      </w:r>
      <w:r>
        <w:rPr>
          <w:rFonts w:hint="eastAsia" w:ascii="MS UI Gothic" w:eastAsia="MS UI Gothic"/>
          <w:w w:val="80"/>
        </w:rPr>
        <w:t xml:space="preserve">ꎬ </w:t>
      </w:r>
      <w:r>
        <w:t>由原考核发证部门补发</w:t>
      </w:r>
      <w:r>
        <w:rPr>
          <w:rFonts w:hint="eastAsia" w:ascii="MS UI Gothic" w:eastAsia="MS UI Gothic"/>
          <w:w w:val="80"/>
        </w:rPr>
        <w:t>ꎮ</w:t>
      </w:r>
    </w:p>
    <w:p>
      <w:pPr>
        <w:pStyle w:val="6"/>
        <w:spacing w:line="295" w:lineRule="auto"/>
        <w:ind w:left="381" w:right="126"/>
        <w:rPr>
          <w:rFonts w:hint="eastAsia" w:ascii="MS UI Gothic" w:eastAsia="MS UI Gothic"/>
        </w:rPr>
      </w:pPr>
      <w:r>
        <w:t>特种作业操作证所记载的信息发生变化的</w:t>
      </w:r>
      <w:r>
        <w:rPr>
          <w:rFonts w:hint="eastAsia" w:ascii="MS UI Gothic" w:eastAsia="MS UI Gothic"/>
          <w:w w:val="80"/>
        </w:rPr>
        <w:t xml:space="preserve">ꎬ </w:t>
      </w:r>
      <w:r>
        <w:t>应当向原考核发证部门提出书面申请</w:t>
      </w:r>
      <w:r>
        <w:rPr>
          <w:rFonts w:hint="eastAsia" w:ascii="MS UI Gothic" w:eastAsia="MS UI Gothic"/>
          <w:w w:val="80"/>
        </w:rPr>
        <w:t xml:space="preserve">ꎬ </w:t>
      </w:r>
      <w:r>
        <w:t>经原考核发证部门审查确认后</w:t>
      </w:r>
      <w:r>
        <w:rPr>
          <w:rFonts w:hint="eastAsia" w:ascii="MS UI Gothic" w:eastAsia="MS UI Gothic"/>
          <w:w w:val="80"/>
        </w:rPr>
        <w:t xml:space="preserve">ꎬ </w:t>
      </w:r>
      <w:r>
        <w:t>予以更新</w:t>
      </w:r>
      <w:r>
        <w:rPr>
          <w:rFonts w:hint="eastAsia" w:ascii="MS UI Gothic" w:eastAsia="MS UI Gothic"/>
          <w:w w:val="80"/>
        </w:rPr>
        <w:t>ꎮ</w:t>
      </w:r>
    </w:p>
    <w:p>
      <w:pPr>
        <w:pStyle w:val="6"/>
        <w:tabs>
          <w:tab w:val="left" w:pos="1743"/>
        </w:tabs>
        <w:spacing w:before="139" w:line="295" w:lineRule="auto"/>
        <w:ind w:left="1743" w:right="650" w:hanging="839"/>
        <w:jc w:val="left"/>
      </w:pPr>
      <w:r>
        <w:rPr>
          <w:spacing w:val="3"/>
          <w:w w:val="105"/>
        </w:rPr>
        <w:t>第五</w:t>
      </w:r>
      <w:r>
        <w:rPr>
          <w:w w:val="105"/>
        </w:rPr>
        <w:t>章</w:t>
      </w:r>
      <w:r>
        <w:rPr>
          <w:w w:val="105"/>
        </w:rPr>
        <w:tab/>
      </w:r>
      <w:r>
        <w:rPr>
          <w:spacing w:val="3"/>
        </w:rPr>
        <w:t>其他从业人员的安</w:t>
      </w:r>
      <w:r>
        <w:t>全</w:t>
      </w:r>
      <w:r>
        <w:rPr>
          <w:spacing w:val="3"/>
          <w:w w:val="105"/>
        </w:rPr>
        <w:t>培训和考</w:t>
      </w:r>
      <w:r>
        <w:rPr>
          <w:w w:val="105"/>
        </w:rPr>
        <w:t>核</w:t>
      </w:r>
    </w:p>
    <w:p>
      <w:pPr>
        <w:pStyle w:val="6"/>
        <w:spacing w:before="155" w:line="295" w:lineRule="auto"/>
        <w:ind w:left="381" w:right="126"/>
        <w:rPr>
          <w:rFonts w:hint="eastAsia" w:ascii="MS UI Gothic" w:eastAsia="MS UI Gothic"/>
        </w:rPr>
      </w:pPr>
      <w:r>
        <w:rPr>
          <w:spacing w:val="2"/>
          <w:w w:val="105"/>
        </w:rPr>
        <w:t>第三十二条 煤矿其他从业人员应当</w:t>
      </w:r>
      <w:r>
        <w:rPr>
          <w:spacing w:val="3"/>
          <w:w w:val="105"/>
        </w:rPr>
        <w:t>具备初中及以上文化程度</w:t>
      </w:r>
      <w:r>
        <w:rPr>
          <w:rFonts w:hint="eastAsia" w:ascii="MS UI Gothic" w:eastAsia="MS UI Gothic"/>
          <w:w w:val="80"/>
        </w:rPr>
        <w:t>ꎮ</w:t>
      </w:r>
    </w:p>
    <w:p>
      <w:pPr>
        <w:pStyle w:val="6"/>
        <w:spacing w:line="295" w:lineRule="auto"/>
        <w:ind w:left="381" w:right="126"/>
      </w:pPr>
      <w:r>
        <w:t>本规定所称煤矿其他从业人员</w:t>
      </w:r>
      <w:r>
        <w:rPr>
          <w:rFonts w:hint="eastAsia" w:ascii="MS UI Gothic" w:eastAsia="MS UI Gothic"/>
          <w:w w:val="80"/>
        </w:rPr>
        <w:t xml:space="preserve">ꎬ </w:t>
      </w:r>
      <w:r>
        <w:t>是指除煤矿主要负责人</w:t>
      </w:r>
      <w:r>
        <w:rPr>
          <w:rFonts w:hint="eastAsia" w:ascii="MS UI Gothic" w:eastAsia="MS UI Gothic"/>
          <w:w w:val="80"/>
        </w:rPr>
        <w:t xml:space="preserve">、 </w:t>
      </w:r>
      <w:r>
        <w:t>安全生产管理人员和特种作业人员以外</w:t>
      </w:r>
      <w:r>
        <w:rPr>
          <w:rFonts w:hint="eastAsia" w:ascii="MS UI Gothic" w:eastAsia="MS UI Gothic"/>
          <w:w w:val="80"/>
        </w:rPr>
        <w:t xml:space="preserve">ꎬ </w:t>
      </w:r>
      <w:r>
        <w:t>从事生产经营活动的其他从业人员</w:t>
      </w:r>
      <w:r>
        <w:rPr>
          <w:rFonts w:hint="eastAsia" w:ascii="MS UI Gothic" w:eastAsia="MS UI Gothic"/>
          <w:w w:val="80"/>
        </w:rPr>
        <w:t xml:space="preserve">ꎬ </w:t>
      </w:r>
      <w:r>
        <w:t>包括煤矿其他负责人</w:t>
      </w:r>
      <w:r>
        <w:rPr>
          <w:rFonts w:hint="eastAsia" w:ascii="MS UI Gothic" w:eastAsia="MS UI Gothic"/>
          <w:w w:val="80"/>
        </w:rPr>
        <w:t xml:space="preserve">、 </w:t>
      </w:r>
      <w:r>
        <w:t>其</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３７６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28" o:spid="_x0000_s2128" o:spt="203" style="height:2.15pt;width:398.25pt;" coordsize="7965,43">
            <o:lock v:ext="edit"/>
            <v:line id="_x0000_s2129" o:spid="_x0000_s2129" o:spt="20" style="position:absolute;left:0;top:39;height:0;width:7965;" stroked="t" coordsize="21600,21600">
              <v:path arrowok="t"/>
              <v:fill focussize="0,0"/>
              <v:stroke weight="0.388031496062992pt" color="#231F20"/>
              <v:imagedata o:title=""/>
              <o:lock v:ext="edit"/>
            </v:line>
            <v:line id="_x0000_s2130" o:spid="_x0000_s21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他管理人员</w:t>
      </w:r>
      <w:r>
        <w:rPr>
          <w:rFonts w:hint="eastAsia" w:ascii="MS UI Gothic" w:eastAsia="MS UI Gothic"/>
          <w:w w:val="80"/>
        </w:rPr>
        <w:t xml:space="preserve">、 </w:t>
      </w:r>
      <w:r>
        <w:t>技术人员和各岗位的工人</w:t>
      </w:r>
      <w:r>
        <w:rPr>
          <w:rFonts w:hint="eastAsia" w:ascii="MS UI Gothic" w:eastAsia="MS UI Gothic"/>
          <w:w w:val="80"/>
        </w:rPr>
        <w:t>、</w:t>
      </w:r>
      <w:r>
        <w:t>使用的被派遣劳动者和临时聘用人员</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第三十三条 煤矿企业应当对其他从</w:t>
      </w:r>
      <w:r>
        <w:t>业人员进行安全培训</w:t>
      </w:r>
      <w:r>
        <w:rPr>
          <w:rFonts w:hint="eastAsia" w:ascii="MS UI Gothic" w:eastAsia="MS UI Gothic"/>
          <w:w w:val="80"/>
        </w:rPr>
        <w:t xml:space="preserve">ꎬ </w:t>
      </w:r>
      <w:r>
        <w:t>保证其具备必要的</w:t>
      </w:r>
      <w:r>
        <w:rPr>
          <w:w w:val="105"/>
        </w:rPr>
        <w:t>安全生产知识</w:t>
      </w:r>
      <w:r>
        <w:rPr>
          <w:rFonts w:hint="eastAsia" w:ascii="MS UI Gothic" w:eastAsia="MS UI Gothic"/>
          <w:w w:val="80"/>
        </w:rPr>
        <w:t xml:space="preserve">、 </w:t>
      </w:r>
      <w:r>
        <w:rPr>
          <w:w w:val="105"/>
        </w:rPr>
        <w:t>技能和事故应急处理能</w:t>
      </w:r>
      <w:r>
        <w:t>力</w:t>
      </w:r>
      <w:r>
        <w:rPr>
          <w:rFonts w:hint="eastAsia" w:ascii="MS UI Gothic" w:eastAsia="MS UI Gothic"/>
          <w:w w:val="80"/>
        </w:rPr>
        <w:t xml:space="preserve">ꎬ </w:t>
      </w:r>
      <w:r>
        <w:t>知悉自身在安全生产方面的权利和</w:t>
      </w:r>
      <w:r>
        <w:rPr>
          <w:w w:val="105"/>
        </w:rPr>
        <w:t>义务</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第三十四条 省级煤矿安全培训主管</w:t>
      </w:r>
      <w:r>
        <w:t>部门负责制定煤矿企业其他从业人员安全</w:t>
      </w:r>
      <w:r>
        <w:rPr>
          <w:w w:val="105"/>
        </w:rPr>
        <w:t>培训大纲和考核标准</w:t>
      </w:r>
      <w:r>
        <w:rPr>
          <w:rFonts w:hint="eastAsia" w:ascii="MS UI Gothic" w:eastAsia="MS UI Gothic"/>
          <w:w w:val="80"/>
        </w:rPr>
        <w:t>ꎮ</w:t>
      </w:r>
    </w:p>
    <w:p>
      <w:pPr>
        <w:pStyle w:val="6"/>
        <w:spacing w:line="295" w:lineRule="auto"/>
        <w:ind w:right="39"/>
        <w:rPr>
          <w:rFonts w:hint="eastAsia" w:ascii="MS UI Gothic" w:eastAsia="MS UI Gothic"/>
        </w:rPr>
      </w:pPr>
      <w:r>
        <w:t>第三十五条 煤矿企业或者具备安全培训条件的机构应当按照培训大纲对其他从业人员进行安全培训</w:t>
      </w:r>
      <w:r>
        <w:rPr>
          <w:rFonts w:hint="eastAsia" w:ascii="MS UI Gothic" w:eastAsia="MS UI Gothic"/>
          <w:w w:val="80"/>
        </w:rPr>
        <w:t xml:space="preserve">ꎮ </w:t>
      </w:r>
      <w:r>
        <w:t>其中</w:t>
      </w:r>
      <w:r>
        <w:rPr>
          <w:rFonts w:hint="eastAsia" w:ascii="MS UI Gothic" w:eastAsia="MS UI Gothic"/>
          <w:w w:val="80"/>
        </w:rPr>
        <w:t xml:space="preserve">ꎬ </w:t>
      </w:r>
      <w:r>
        <w:t>对从事采煤</w:t>
      </w:r>
      <w:r>
        <w:rPr>
          <w:rFonts w:hint="eastAsia" w:ascii="MS UI Gothic" w:eastAsia="MS UI Gothic"/>
          <w:w w:val="80"/>
        </w:rPr>
        <w:t xml:space="preserve">、 </w:t>
      </w:r>
      <w:r>
        <w:t>掘进</w:t>
      </w:r>
      <w:r>
        <w:rPr>
          <w:rFonts w:hint="eastAsia" w:ascii="MS UI Gothic" w:eastAsia="MS UI Gothic"/>
          <w:w w:val="80"/>
        </w:rPr>
        <w:t xml:space="preserve">、 </w:t>
      </w:r>
      <w:r>
        <w:t>机电</w:t>
      </w:r>
      <w:r>
        <w:rPr>
          <w:rFonts w:hint="eastAsia" w:ascii="MS UI Gothic" w:eastAsia="MS UI Gothic"/>
          <w:w w:val="80"/>
        </w:rPr>
        <w:t xml:space="preserve">、 </w:t>
      </w:r>
      <w:r>
        <w:t>运输</w:t>
      </w:r>
      <w:r>
        <w:rPr>
          <w:rFonts w:hint="eastAsia" w:ascii="MS UI Gothic" w:eastAsia="MS UI Gothic"/>
          <w:w w:val="80"/>
        </w:rPr>
        <w:t xml:space="preserve">、  </w:t>
      </w:r>
      <w:r>
        <w:t>通风</w:t>
      </w:r>
      <w:r>
        <w:rPr>
          <w:rFonts w:hint="eastAsia" w:ascii="MS UI Gothic" w:eastAsia="MS UI Gothic"/>
          <w:w w:val="80"/>
        </w:rPr>
        <w:t xml:space="preserve">、  </w:t>
      </w:r>
      <w:r>
        <w:t>防治水等工作的班组长的安全培训</w:t>
      </w:r>
      <w:r>
        <w:rPr>
          <w:rFonts w:hint="eastAsia" w:ascii="MS UI Gothic" w:eastAsia="MS UI Gothic"/>
          <w:w w:val="80"/>
        </w:rPr>
        <w:t xml:space="preserve">ꎬ </w:t>
      </w:r>
      <w:r>
        <w:t>应当由其所在煤矿的上一级煤矿企业组织实施</w:t>
      </w:r>
      <w:r>
        <w:rPr>
          <w:rFonts w:hint="eastAsia" w:ascii="MS UI Gothic" w:eastAsia="MS UI Gothic"/>
          <w:w w:val="80"/>
        </w:rPr>
        <w:t xml:space="preserve">ꎻ </w:t>
      </w:r>
      <w:r>
        <w:t>没有上一级煤矿企业的</w:t>
      </w:r>
      <w:r>
        <w:rPr>
          <w:rFonts w:hint="eastAsia" w:ascii="MS UI Gothic" w:eastAsia="MS UI Gothic"/>
          <w:w w:val="80"/>
        </w:rPr>
        <w:t xml:space="preserve">ꎬ </w:t>
      </w:r>
      <w:r>
        <w:t>由本单位组织实施</w:t>
      </w:r>
      <w:r>
        <w:rPr>
          <w:rFonts w:hint="eastAsia" w:ascii="MS UI Gothic" w:eastAsia="MS UI Gothic"/>
          <w:w w:val="80"/>
        </w:rPr>
        <w:t>ꎮ</w:t>
      </w:r>
    </w:p>
    <w:p>
      <w:pPr>
        <w:pStyle w:val="6"/>
        <w:spacing w:line="295" w:lineRule="auto"/>
        <w:ind w:right="39"/>
        <w:rPr>
          <w:rFonts w:hint="eastAsia" w:ascii="MS UI Gothic" w:eastAsia="MS UI Gothic"/>
        </w:rPr>
      </w:pPr>
      <w:r>
        <w:t xml:space="preserve">煤矿企业其他从业人员的初次安全培训时间不得少于 </w:t>
      </w:r>
      <w:r>
        <w:rPr>
          <w:rFonts w:hint="eastAsia" w:ascii="MS UI Gothic" w:eastAsia="MS UI Gothic"/>
          <w:w w:val="85"/>
        </w:rPr>
        <w:t xml:space="preserve">７２ </w:t>
      </w:r>
      <w:r>
        <w:t>学时</w:t>
      </w:r>
      <w:r>
        <w:rPr>
          <w:rFonts w:hint="eastAsia" w:ascii="MS UI Gothic" w:eastAsia="MS UI Gothic"/>
          <w:w w:val="85"/>
        </w:rPr>
        <w:t xml:space="preserve">ꎬ </w:t>
      </w:r>
      <w:r>
        <w:t xml:space="preserve">每年再培训的时间不得少于 </w:t>
      </w:r>
      <w:r>
        <w:rPr>
          <w:rFonts w:hint="eastAsia" w:ascii="MS UI Gothic" w:eastAsia="MS UI Gothic"/>
          <w:w w:val="85"/>
        </w:rPr>
        <w:t xml:space="preserve">２０ </w:t>
      </w:r>
      <w:r>
        <w:t>学时</w:t>
      </w:r>
      <w:r>
        <w:rPr>
          <w:rFonts w:hint="eastAsia" w:ascii="MS UI Gothic" w:eastAsia="MS UI Gothic"/>
          <w:w w:val="85"/>
        </w:rPr>
        <w:t>ꎮ</w:t>
      </w:r>
    </w:p>
    <w:p>
      <w:pPr>
        <w:pStyle w:val="6"/>
        <w:spacing w:line="295" w:lineRule="auto"/>
        <w:ind w:right="39"/>
        <w:rPr>
          <w:rFonts w:hint="eastAsia" w:ascii="MS UI Gothic" w:eastAsia="MS UI Gothic"/>
        </w:rPr>
      </w:pPr>
      <w:r>
        <w:t>煤矿企业或者具备安全培训条件的机构对其他从业人员安全培训合格后</w:t>
      </w:r>
      <w:r>
        <w:rPr>
          <w:rFonts w:hint="eastAsia" w:ascii="MS UI Gothic" w:eastAsia="MS UI Gothic"/>
          <w:w w:val="80"/>
        </w:rPr>
        <w:t xml:space="preserve">ꎬ </w:t>
      </w:r>
      <w:r>
        <w:t>应当颁发安全培训合格证明</w:t>
      </w:r>
      <w:r>
        <w:rPr>
          <w:rFonts w:hint="eastAsia" w:ascii="MS UI Gothic" w:eastAsia="MS UI Gothic"/>
          <w:w w:val="80"/>
        </w:rPr>
        <w:t xml:space="preserve">ꎻ </w:t>
      </w:r>
      <w:r>
        <w:t>未经培训并取得培训合格证明的</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line="295" w:lineRule="auto"/>
        <w:ind w:right="39"/>
        <w:rPr>
          <w:rFonts w:hint="eastAsia" w:ascii="MS UI Gothic" w:eastAsia="MS UI Gothic"/>
        </w:rPr>
      </w:pPr>
      <w:r>
        <w:t>第三十六条 煤矿企业新上岗的井下作业人员安全培训合格后</w:t>
      </w:r>
      <w:r>
        <w:rPr>
          <w:rFonts w:hint="eastAsia" w:ascii="MS UI Gothic" w:eastAsia="MS UI Gothic"/>
          <w:w w:val="80"/>
        </w:rPr>
        <w:t xml:space="preserve">ꎬ </w:t>
      </w:r>
      <w:r>
        <w:t>应当在有经验的工人师傅带领下</w:t>
      </w:r>
      <w:r>
        <w:rPr>
          <w:rFonts w:hint="eastAsia" w:ascii="MS UI Gothic" w:eastAsia="MS UI Gothic"/>
          <w:w w:val="80"/>
        </w:rPr>
        <w:t xml:space="preserve">ꎬ </w:t>
      </w:r>
      <w:r>
        <w:t xml:space="preserve">实习满 </w:t>
      </w:r>
      <w:r>
        <w:rPr>
          <w:rFonts w:hint="eastAsia" w:ascii="MS UI Gothic" w:eastAsia="MS UI Gothic"/>
          <w:w w:val="80"/>
        </w:rPr>
        <w:t xml:space="preserve">４ </w:t>
      </w:r>
      <w:r>
        <w:t>个月</w:t>
      </w:r>
      <w:r>
        <w:rPr>
          <w:rFonts w:hint="eastAsia" w:ascii="MS UI Gothic" w:eastAsia="MS UI Gothic"/>
          <w:w w:val="80"/>
        </w:rPr>
        <w:t xml:space="preserve">ꎬ </w:t>
      </w:r>
      <w:r>
        <w:t>并取得工人师傅签名的实习合格证明后</w:t>
      </w:r>
      <w:r>
        <w:rPr>
          <w:rFonts w:hint="eastAsia" w:ascii="MS UI Gothic" w:eastAsia="MS UI Gothic"/>
          <w:w w:val="80"/>
        </w:rPr>
        <w:t xml:space="preserve">ꎬ </w:t>
      </w:r>
      <w:r>
        <w:t>方可独立工作</w:t>
      </w:r>
      <w:r>
        <w:rPr>
          <w:rFonts w:hint="eastAsia" w:ascii="MS UI Gothic" w:eastAsia="MS UI Gothic"/>
          <w:w w:val="80"/>
        </w:rPr>
        <w:t>ꎮ</w:t>
      </w:r>
    </w:p>
    <w:p>
      <w:pPr>
        <w:pStyle w:val="6"/>
        <w:spacing w:line="295" w:lineRule="auto"/>
        <w:ind w:right="39"/>
        <w:rPr>
          <w:rFonts w:hint="eastAsia" w:ascii="MS UI Gothic" w:eastAsia="MS UI Gothic"/>
        </w:rPr>
      </w:pPr>
      <w:r>
        <w:t>工人师傅一般应当具备中级工以上技能等级</w:t>
      </w:r>
      <w:r>
        <w:rPr>
          <w:rFonts w:hint="eastAsia" w:ascii="MS UI Gothic" w:eastAsia="MS UI Gothic"/>
          <w:w w:val="80"/>
        </w:rPr>
        <w:t xml:space="preserve">、 ３ </w:t>
      </w:r>
      <w:r>
        <w:t>年以上相应工作经历和没有发生过违章指挥</w:t>
      </w:r>
      <w:r>
        <w:rPr>
          <w:rFonts w:hint="eastAsia" w:ascii="MS UI Gothic" w:eastAsia="MS UI Gothic"/>
          <w:w w:val="80"/>
        </w:rPr>
        <w:t xml:space="preserve">、 </w:t>
      </w:r>
      <w:r>
        <w:t>违章作业</w:t>
      </w:r>
      <w:r>
        <w:rPr>
          <w:rFonts w:hint="eastAsia" w:ascii="MS UI Gothic" w:eastAsia="MS UI Gothic"/>
          <w:w w:val="80"/>
        </w:rPr>
        <w:t xml:space="preserve">、 </w:t>
      </w:r>
      <w:r>
        <w:t>违反劳动纪律等条件</w:t>
      </w:r>
      <w:r>
        <w:rPr>
          <w:rFonts w:hint="eastAsia" w:ascii="MS UI Gothic" w:eastAsia="MS UI Gothic"/>
          <w:w w:val="80"/>
        </w:rPr>
        <w:t>ꎮ</w:t>
      </w:r>
    </w:p>
    <w:p>
      <w:pPr>
        <w:pStyle w:val="6"/>
        <w:spacing w:line="295" w:lineRule="auto"/>
        <w:ind w:right="39"/>
        <w:rPr>
          <w:rFonts w:hint="eastAsia" w:ascii="MS UI Gothic" w:eastAsia="MS UI Gothic"/>
        </w:rPr>
      </w:pPr>
      <w:r>
        <w:t xml:space="preserve">第三十七条 企业井下作业人员调整工作岗位或者离开本岗位 </w:t>
      </w:r>
      <w:r>
        <w:rPr>
          <w:rFonts w:hint="eastAsia" w:ascii="MS UI Gothic" w:eastAsia="MS UI Gothic"/>
          <w:w w:val="80"/>
        </w:rPr>
        <w:t xml:space="preserve">１ </w:t>
      </w:r>
      <w:r>
        <w:t>年以上重新上岗前</w:t>
      </w:r>
      <w:r>
        <w:rPr>
          <w:rFonts w:hint="eastAsia" w:ascii="MS UI Gothic" w:eastAsia="MS UI Gothic"/>
          <w:w w:val="80"/>
        </w:rPr>
        <w:t xml:space="preserve">ꎬ </w:t>
      </w:r>
      <w:r>
        <w:t>以及煤矿企业采用新工艺</w:t>
      </w:r>
      <w:r>
        <w:rPr>
          <w:rFonts w:hint="eastAsia" w:ascii="MS UI Gothic" w:eastAsia="MS UI Gothic"/>
          <w:w w:val="80"/>
        </w:rPr>
        <w:t xml:space="preserve">、 </w:t>
      </w:r>
      <w:r>
        <w:t>新技术</w:t>
      </w:r>
      <w:r>
        <w:rPr>
          <w:rFonts w:hint="eastAsia" w:ascii="MS UI Gothic" w:eastAsia="MS UI Gothic"/>
          <w:w w:val="80"/>
        </w:rPr>
        <w:t xml:space="preserve">、 </w:t>
      </w:r>
      <w:r>
        <w:t>新材料或者使用新设备的</w:t>
      </w:r>
      <w:r>
        <w:rPr>
          <w:rFonts w:hint="eastAsia" w:ascii="MS UI Gothic" w:eastAsia="MS UI Gothic"/>
          <w:w w:val="80"/>
        </w:rPr>
        <w:t xml:space="preserve">ꎬ </w:t>
      </w:r>
      <w:r>
        <w:t>应当对其进行相应的安全培训</w:t>
      </w:r>
      <w:r>
        <w:rPr>
          <w:rFonts w:hint="eastAsia" w:ascii="MS UI Gothic" w:eastAsia="MS UI Gothic"/>
          <w:w w:val="80"/>
        </w:rPr>
        <w:t xml:space="preserve">ꎬ </w:t>
      </w:r>
      <w:r>
        <w:t>经培训合格后</w:t>
      </w:r>
      <w:r>
        <w:rPr>
          <w:rFonts w:hint="eastAsia" w:ascii="MS UI Gothic" w:eastAsia="MS UI Gothic"/>
          <w:w w:val="80"/>
        </w:rPr>
        <w:t xml:space="preserve">ꎬ </w:t>
      </w:r>
      <w:r>
        <w:t>方可上岗作业</w:t>
      </w:r>
      <w:r>
        <w:rPr>
          <w:rFonts w:hint="eastAsia" w:ascii="MS UI Gothic" w:eastAsia="MS UI Gothic"/>
          <w:w w:val="80"/>
        </w:rPr>
        <w:t>ꎮ</w:t>
      </w:r>
    </w:p>
    <w:p>
      <w:pPr>
        <w:pStyle w:val="6"/>
        <w:spacing w:before="11"/>
        <w:ind w:left="0" w:firstLine="0"/>
        <w:jc w:val="left"/>
        <w:rPr>
          <w:rFonts w:ascii="MS UI Gothic"/>
          <w:sz w:val="21"/>
        </w:rPr>
      </w:pPr>
      <w:r>
        <w:br w:type="column"/>
      </w:r>
    </w:p>
    <w:p>
      <w:pPr>
        <w:pStyle w:val="6"/>
        <w:tabs>
          <w:tab w:val="left" w:pos="1906"/>
        </w:tabs>
        <w:ind w:left="1067" w:firstLine="0"/>
        <w:jc w:val="left"/>
      </w:pPr>
      <w:r>
        <w:rPr>
          <w:spacing w:val="3"/>
          <w:w w:val="105"/>
        </w:rPr>
        <w:t>第六</w:t>
      </w:r>
      <w:r>
        <w:rPr>
          <w:w w:val="105"/>
        </w:rPr>
        <w:t>章</w:t>
      </w:r>
      <w:r>
        <w:rPr>
          <w:w w:val="105"/>
        </w:rPr>
        <w:tab/>
      </w:r>
      <w:r>
        <w:rPr>
          <w:w w:val="105"/>
        </w:rPr>
        <w:t>监</w:t>
      </w:r>
      <w:r>
        <w:rPr>
          <w:spacing w:val="-33"/>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6" w:line="295" w:lineRule="auto"/>
        <w:ind w:right="442"/>
        <w:rPr>
          <w:rFonts w:hint="eastAsia" w:ascii="MS UI Gothic" w:eastAsia="MS UI Gothic"/>
        </w:rPr>
      </w:pPr>
      <w:r>
        <w:rPr>
          <w:w w:val="105"/>
        </w:rPr>
        <w:t>第三十八条 省级煤矿安全培训主管部门应当将煤矿企业主要负责人</w:t>
      </w:r>
      <w:r>
        <w:rPr>
          <w:rFonts w:hint="eastAsia" w:ascii="MS UI Gothic" w:eastAsia="MS UI Gothic"/>
          <w:w w:val="80"/>
        </w:rPr>
        <w:t xml:space="preserve">、 </w:t>
      </w:r>
      <w:r>
        <w:rPr>
          <w:w w:val="105"/>
        </w:rPr>
        <w:t>安全生产管理人员考核合格证明</w:t>
      </w:r>
      <w:r>
        <w:rPr>
          <w:rFonts w:hint="eastAsia" w:ascii="MS UI Gothic" w:eastAsia="MS UI Gothic"/>
          <w:w w:val="80"/>
        </w:rPr>
        <w:t xml:space="preserve">、 </w:t>
      </w:r>
      <w:r>
        <w:rPr>
          <w:w w:val="105"/>
        </w:rPr>
        <w:t>特种作业人员特种作业操作证的发放</w:t>
      </w:r>
      <w:r>
        <w:rPr>
          <w:rFonts w:hint="eastAsia" w:ascii="MS UI Gothic" w:eastAsia="MS UI Gothic"/>
          <w:w w:val="80"/>
        </w:rPr>
        <w:t xml:space="preserve">、 </w:t>
      </w:r>
      <w:r>
        <w:rPr>
          <w:w w:val="105"/>
        </w:rPr>
        <w:t>注销等情况在本部门网站上公布</w:t>
      </w:r>
      <w:r>
        <w:rPr>
          <w:rFonts w:hint="eastAsia" w:ascii="MS UI Gothic" w:eastAsia="MS UI Gothic"/>
          <w:w w:val="80"/>
        </w:rPr>
        <w:t xml:space="preserve">ꎬ </w:t>
      </w:r>
      <w:r>
        <w:rPr>
          <w:w w:val="105"/>
        </w:rPr>
        <w:t>接受社会监督</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第三十九条 煤矿安全培训主管部门</w:t>
      </w:r>
      <w:r>
        <w:t>和煤矿安全监察机构应当对煤矿企业安全培训的下列情况进行监督检查</w:t>
      </w:r>
      <w:r>
        <w:rPr>
          <w:rFonts w:hint="eastAsia" w:ascii="MS UI Gothic" w:eastAsia="MS UI Gothic"/>
          <w:w w:val="80"/>
        </w:rPr>
        <w:t xml:space="preserve">ꎬ </w:t>
      </w:r>
      <w:r>
        <w:t>发现违法</w:t>
      </w:r>
      <w:r>
        <w:rPr>
          <w:w w:val="105"/>
        </w:rPr>
        <w:t>行为的</w:t>
      </w:r>
      <w:r>
        <w:rPr>
          <w:rFonts w:hint="eastAsia" w:ascii="MS UI Gothic" w:eastAsia="MS UI Gothic"/>
          <w:w w:val="80"/>
        </w:rPr>
        <w:t xml:space="preserve">ꎬ </w:t>
      </w:r>
      <w:r>
        <w:rPr>
          <w:w w:val="105"/>
        </w:rPr>
        <w:t>依法给予行政处罚</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3"/>
          <w:w w:val="150"/>
        </w:rPr>
        <w:t xml:space="preserve">) </w:t>
      </w:r>
      <w:r>
        <w:rPr>
          <w:spacing w:val="5"/>
          <w:w w:val="105"/>
        </w:rPr>
        <w:t>建立安全培训管理制度</w:t>
      </w:r>
      <w:r>
        <w:rPr>
          <w:rFonts w:hint="eastAsia" w:ascii="MS UI Gothic" w:eastAsia="MS UI Gothic"/>
          <w:spacing w:val="13"/>
          <w:w w:val="80"/>
        </w:rPr>
        <w:t xml:space="preserve">ꎬ </w:t>
      </w:r>
      <w:r>
        <w:rPr>
          <w:spacing w:val="5"/>
          <w:w w:val="105"/>
        </w:rPr>
        <w:t>制定</w:t>
      </w:r>
      <w:r>
        <w:rPr>
          <w:spacing w:val="3"/>
        </w:rPr>
        <w:t>年度培训计划</w:t>
      </w:r>
      <w:r>
        <w:rPr>
          <w:rFonts w:hint="eastAsia" w:ascii="MS UI Gothic" w:eastAsia="MS UI Gothic"/>
          <w:spacing w:val="20"/>
          <w:w w:val="80"/>
        </w:rPr>
        <w:t xml:space="preserve">ꎬ </w:t>
      </w:r>
      <w:r>
        <w:rPr>
          <w:spacing w:val="2"/>
        </w:rPr>
        <w:t>明确负责安全培训管理工</w:t>
      </w:r>
      <w:r>
        <w:rPr>
          <w:spacing w:val="3"/>
        </w:rPr>
        <w:t>作的机构</w:t>
      </w:r>
      <w:r>
        <w:rPr>
          <w:rFonts w:hint="eastAsia" w:ascii="MS UI Gothic" w:eastAsia="MS UI Gothic"/>
          <w:spacing w:val="20"/>
          <w:w w:val="80"/>
        </w:rPr>
        <w:t xml:space="preserve">ꎬ </w:t>
      </w:r>
      <w:r>
        <w:rPr>
          <w:spacing w:val="2"/>
        </w:rPr>
        <w:t>配备专职或者兼职安全培训管</w:t>
      </w:r>
      <w:r>
        <w:rPr>
          <w:spacing w:val="3"/>
          <w:w w:val="105"/>
        </w:rPr>
        <w:t>理人员的情况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21"/>
          <w:w w:val="105"/>
        </w:rPr>
        <w:t xml:space="preserve">( </w:t>
      </w:r>
      <w:r>
        <w:rPr>
          <w:spacing w:val="3"/>
          <w:w w:val="105"/>
        </w:rPr>
        <w:t>二</w:t>
      </w:r>
      <w:r>
        <w:rPr>
          <w:rFonts w:hint="eastAsia" w:ascii="MS UI Gothic" w:eastAsia="MS UI Gothic"/>
          <w:spacing w:val="5"/>
          <w:w w:val="105"/>
        </w:rPr>
        <w:t xml:space="preserve">) </w:t>
      </w:r>
      <w:r>
        <w:rPr>
          <w:spacing w:val="5"/>
          <w:w w:val="105"/>
        </w:rPr>
        <w:t>按照本规定投入和使用安全培</w:t>
      </w:r>
      <w:r>
        <w:rPr>
          <w:spacing w:val="3"/>
          <w:w w:val="110"/>
        </w:rPr>
        <w:t>训资金的情况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实行自主培训的煤矿企业的安</w:t>
      </w:r>
      <w:r>
        <w:rPr>
          <w:w w:val="110"/>
        </w:rPr>
        <w:t>全培训条件</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21"/>
          <w:w w:val="105"/>
        </w:rPr>
        <w:t xml:space="preserve">( </w:t>
      </w:r>
      <w:r>
        <w:rPr>
          <w:spacing w:val="3"/>
          <w:w w:val="105"/>
        </w:rPr>
        <w:t>四</w:t>
      </w:r>
      <w:r>
        <w:rPr>
          <w:rFonts w:hint="eastAsia" w:ascii="MS UI Gothic" w:eastAsia="MS UI Gothic"/>
          <w:spacing w:val="5"/>
          <w:w w:val="105"/>
        </w:rPr>
        <w:t xml:space="preserve">) </w:t>
      </w:r>
      <w:r>
        <w:rPr>
          <w:spacing w:val="5"/>
          <w:w w:val="105"/>
        </w:rPr>
        <w:t>煤矿企业及其从业人员安全培</w:t>
      </w:r>
      <w:r>
        <w:rPr>
          <w:spacing w:val="3"/>
          <w:w w:val="110"/>
        </w:rPr>
        <w:t>训档案的情况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五</w:t>
      </w:r>
      <w:r>
        <w:rPr>
          <w:rFonts w:hint="eastAsia" w:ascii="MS UI Gothic" w:eastAsia="MS UI Gothic"/>
          <w:spacing w:val="9"/>
          <w:w w:val="150"/>
        </w:rPr>
        <w:t xml:space="preserve">) </w:t>
      </w:r>
      <w:r>
        <w:rPr>
          <w:spacing w:val="5"/>
          <w:w w:val="105"/>
        </w:rPr>
        <w:t>主要负责人</w:t>
      </w:r>
      <w:r>
        <w:rPr>
          <w:rFonts w:hint="eastAsia" w:ascii="MS UI Gothic" w:eastAsia="MS UI Gothic"/>
          <w:spacing w:val="23"/>
          <w:w w:val="80"/>
        </w:rPr>
        <w:t xml:space="preserve">、 </w:t>
      </w:r>
      <w:r>
        <w:rPr>
          <w:spacing w:val="9"/>
          <w:w w:val="105"/>
        </w:rPr>
        <w:t>安全生产管理人</w:t>
      </w:r>
      <w:r>
        <w:rPr>
          <w:spacing w:val="3"/>
          <w:w w:val="105"/>
        </w:rPr>
        <w:t>员考核的情况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六</w:t>
      </w:r>
      <w:r>
        <w:rPr>
          <w:rFonts w:hint="eastAsia" w:ascii="MS UI Gothic" w:eastAsia="MS UI Gothic"/>
          <w:spacing w:val="-13"/>
          <w:w w:val="130"/>
        </w:rPr>
        <w:t xml:space="preserve">) </w:t>
      </w:r>
      <w:r>
        <w:rPr>
          <w:spacing w:val="41"/>
          <w:w w:val="110"/>
        </w:rPr>
        <w:t>特种作业人员持证上岗的</w:t>
      </w:r>
      <w:r>
        <w:rPr>
          <w:spacing w:val="3"/>
          <w:w w:val="110"/>
        </w:rPr>
        <w:t>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应用新工艺</w:t>
      </w:r>
      <w:r>
        <w:rPr>
          <w:rFonts w:hint="eastAsia" w:ascii="MS UI Gothic" w:eastAsia="MS UI Gothic"/>
          <w:w w:val="80"/>
        </w:rPr>
        <w:t xml:space="preserve">、 </w:t>
      </w:r>
      <w:r>
        <w:rPr>
          <w:w w:val="105"/>
        </w:rPr>
        <w:t>新技术</w:t>
      </w:r>
      <w:r>
        <w:rPr>
          <w:rFonts w:hint="eastAsia" w:ascii="MS UI Gothic" w:eastAsia="MS UI Gothic"/>
          <w:w w:val="80"/>
        </w:rPr>
        <w:t xml:space="preserve">、 </w:t>
      </w:r>
      <w:r>
        <w:rPr>
          <w:w w:val="105"/>
        </w:rPr>
        <w:t>新材料</w:t>
      </w:r>
      <w:r>
        <w:rPr>
          <w:rFonts w:hint="eastAsia" w:ascii="MS UI Gothic" w:eastAsia="MS UI Gothic"/>
          <w:w w:val="80"/>
        </w:rPr>
        <w:t xml:space="preserve">、 </w:t>
      </w:r>
      <w:r>
        <w:rPr>
          <w:w w:val="105"/>
        </w:rPr>
        <w:t>新设备以及离岗</w:t>
      </w:r>
      <w:r>
        <w:rPr>
          <w:rFonts w:hint="eastAsia" w:ascii="MS UI Gothic" w:eastAsia="MS UI Gothic"/>
          <w:w w:val="80"/>
        </w:rPr>
        <w:t xml:space="preserve">、 </w:t>
      </w:r>
      <w:r>
        <w:rPr>
          <w:w w:val="105"/>
        </w:rPr>
        <w:t>转岗时对从业人员安全培训的情况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八</w:t>
      </w:r>
      <w:r>
        <w:rPr>
          <w:rFonts w:hint="eastAsia" w:ascii="MS UI Gothic" w:eastAsia="MS UI Gothic"/>
          <w:spacing w:val="-13"/>
          <w:w w:val="130"/>
        </w:rPr>
        <w:t xml:space="preserve">) </w:t>
      </w:r>
      <w:r>
        <w:rPr>
          <w:spacing w:val="41"/>
          <w:w w:val="110"/>
        </w:rPr>
        <w:t>其他从业人员安全培训的</w:t>
      </w:r>
      <w:r>
        <w:rPr>
          <w:spacing w:val="3"/>
          <w:w w:val="110"/>
        </w:rPr>
        <w:t>情况</w:t>
      </w:r>
      <w:r>
        <w:rPr>
          <w:rFonts w:hint="eastAsia" w:ascii="MS UI Gothic" w:eastAsia="MS UI Gothic"/>
          <w:w w:val="80"/>
        </w:rPr>
        <w:t>ꎮ</w:t>
      </w:r>
    </w:p>
    <w:p>
      <w:pPr>
        <w:pStyle w:val="6"/>
        <w:spacing w:line="295" w:lineRule="auto"/>
        <w:ind w:right="442"/>
        <w:rPr>
          <w:rFonts w:hint="eastAsia" w:ascii="MS UI Gothic" w:eastAsia="MS UI Gothic"/>
        </w:rPr>
      </w:pPr>
      <w:r>
        <w:t>第四十条 考核部门应当建立煤矿企业安全培训随机抽查制度</w:t>
      </w:r>
      <w:r>
        <w:rPr>
          <w:rFonts w:hint="eastAsia" w:ascii="MS UI Gothic" w:eastAsia="MS UI Gothic"/>
          <w:w w:val="80"/>
        </w:rPr>
        <w:t xml:space="preserve">ꎬ </w:t>
      </w:r>
      <w:r>
        <w:t>制定现场抽考办法</w:t>
      </w:r>
      <w:r>
        <w:rPr>
          <w:rFonts w:hint="eastAsia" w:ascii="MS UI Gothic" w:eastAsia="MS UI Gothic"/>
          <w:w w:val="80"/>
        </w:rPr>
        <w:t xml:space="preserve">ꎬ </w:t>
      </w:r>
      <w:r>
        <w:t>加强对煤矿安全培训的监督检查</w:t>
      </w:r>
      <w:r>
        <w:rPr>
          <w:rFonts w:hint="eastAsia" w:ascii="MS UI Gothic" w:eastAsia="MS UI Gothic"/>
          <w:w w:val="80"/>
        </w:rPr>
        <w:t>ꎮ</w:t>
      </w:r>
    </w:p>
    <w:p>
      <w:pPr>
        <w:pStyle w:val="6"/>
        <w:spacing w:line="295" w:lineRule="auto"/>
        <w:ind w:right="442"/>
        <w:rPr>
          <w:rFonts w:hint="eastAsia" w:ascii="MS UI Gothic" w:eastAsia="MS UI Gothic"/>
        </w:rPr>
      </w:pPr>
      <w:r>
        <w:t>考核部门对煤矿企业主要负责人和安全生产管理人员现场抽考不合格的</w:t>
      </w:r>
      <w:r>
        <w:rPr>
          <w:rFonts w:hint="eastAsia" w:ascii="MS UI Gothic" w:eastAsia="MS UI Gothic"/>
          <w:w w:val="80"/>
        </w:rPr>
        <w:t xml:space="preserve">ꎬ </w:t>
      </w:r>
      <w:r>
        <w:t>应当责令其重新参加安全生产知识和管理能力考核</w:t>
      </w:r>
      <w:r>
        <w:rPr>
          <w:rFonts w:hint="eastAsia" w:ascii="MS UI Gothic" w:eastAsia="MS UI Gothic"/>
          <w:w w:val="80"/>
        </w:rPr>
        <w:t xml:space="preserve">ꎻ </w:t>
      </w:r>
      <w:r>
        <w:t>经考核仍不合格的</w:t>
      </w:r>
      <w:r>
        <w:rPr>
          <w:rFonts w:hint="eastAsia" w:ascii="MS UI Gothic" w:eastAsia="MS UI Gothic"/>
          <w:w w:val="80"/>
        </w:rPr>
        <w:t xml:space="preserve">ꎬ </w:t>
      </w:r>
      <w:r>
        <w:t>考核部门应当书面告知其所在煤矿企业或其任免机关调</w:t>
      </w:r>
      <w:r>
        <w:rPr>
          <w:w w:val="105"/>
        </w:rPr>
        <w:t>整其工作岗位</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３７７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31" o:spid="_x0000_s2131" o:spt="203" style="height:2.15pt;width:398.25pt;" coordsize="7965,43">
            <o:lock v:ext="edit"/>
            <v:line id="_x0000_s2132" o:spid="_x0000_s2132" o:spt="20" style="position:absolute;left:0;top:39;height:0;width:7965;" stroked="t" coordsize="21600,21600">
              <v:path arrowok="t"/>
              <v:fill focussize="0,0"/>
              <v:stroke weight="0.388031496062992pt" color="#231F20"/>
              <v:imagedata o:title=""/>
              <o:lock v:ext="edit"/>
            </v:line>
            <v:line id="_x0000_s2133" o:spid="_x0000_s21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w w:val="105"/>
        </w:rPr>
        <w:t>第四十一条 省级及以下煤矿安全监</w:t>
      </w:r>
      <w:r>
        <w:t>察机构应当按照年度监察执法计划</w:t>
      </w:r>
      <w:r>
        <w:rPr>
          <w:rFonts w:hint="eastAsia" w:ascii="MS UI Gothic" w:eastAsia="MS UI Gothic"/>
          <w:w w:val="80"/>
        </w:rPr>
        <w:t xml:space="preserve">ꎬ </w:t>
      </w:r>
      <w:r>
        <w:t>采用现场抽考等多种方式对煤矿企业安全培训情况实施严格监察</w:t>
      </w:r>
      <w:r>
        <w:rPr>
          <w:rFonts w:hint="eastAsia" w:ascii="MS UI Gothic" w:eastAsia="MS UI Gothic"/>
          <w:w w:val="80"/>
        </w:rPr>
        <w:t xml:space="preserve">ꎻ </w:t>
      </w:r>
      <w:r>
        <w:t>对监察中发现的突出问题和共性问题</w:t>
      </w:r>
      <w:r>
        <w:rPr>
          <w:rFonts w:hint="eastAsia" w:ascii="MS UI Gothic" w:eastAsia="MS UI Gothic"/>
          <w:w w:val="80"/>
        </w:rPr>
        <w:t xml:space="preserve">ꎬ </w:t>
      </w:r>
      <w:r>
        <w:t>应当向本级人民政府煤矿安全培训主管部门或者下级人民政府提</w:t>
      </w:r>
      <w:r>
        <w:rPr>
          <w:w w:val="105"/>
        </w:rPr>
        <w:t>出有关安全培训工作的监察建议函</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第四十二条 省级煤矿安全培训主管</w:t>
      </w:r>
      <w:r>
        <w:t>部门发现下列情形之一的</w:t>
      </w:r>
      <w:r>
        <w:rPr>
          <w:rFonts w:hint="eastAsia" w:ascii="MS UI Gothic" w:eastAsia="MS UI Gothic"/>
          <w:w w:val="80"/>
        </w:rPr>
        <w:t xml:space="preserve">ꎬ </w:t>
      </w:r>
      <w:r>
        <w:t>应当撤销特种</w:t>
      </w:r>
      <w:r>
        <w:rPr>
          <w:w w:val="105"/>
        </w:rPr>
        <w:t>作业操作证</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特种作业人员对发生生产安全</w:t>
      </w:r>
      <w:r>
        <w:rPr>
          <w:w w:val="110"/>
        </w:rPr>
        <w:t>事故负有直接责任的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15"/>
        </w:rPr>
        <w:t xml:space="preserve">( </w:t>
      </w:r>
      <w:r>
        <w:rPr>
          <w:w w:val="110"/>
        </w:rPr>
        <w:t>二</w:t>
      </w:r>
      <w:r>
        <w:rPr>
          <w:rFonts w:hint="eastAsia" w:ascii="MS UI Gothic" w:eastAsia="MS UI Gothic"/>
          <w:w w:val="115"/>
        </w:rPr>
        <w:t xml:space="preserve">) </w:t>
      </w:r>
      <w:r>
        <w:rPr>
          <w:w w:val="110"/>
        </w:rPr>
        <w:t>特种作业操作证记载信息虚假的</w:t>
      </w:r>
      <w:r>
        <w:rPr>
          <w:rFonts w:hint="eastAsia" w:ascii="MS UI Gothic" w:eastAsia="MS UI Gothic"/>
          <w:w w:val="80"/>
        </w:rPr>
        <w:t>ꎮ</w:t>
      </w:r>
    </w:p>
    <w:p>
      <w:pPr>
        <w:pStyle w:val="6"/>
        <w:spacing w:line="295" w:lineRule="auto"/>
        <w:ind w:left="440" w:right="1"/>
        <w:rPr>
          <w:rFonts w:hint="eastAsia" w:ascii="MS UI Gothic" w:eastAsia="MS UI Gothic"/>
        </w:rPr>
      </w:pPr>
      <w:r>
        <w:t>特种作业人员违反上述规定被撤销特种作业操作证的</w:t>
      </w:r>
      <w:r>
        <w:rPr>
          <w:rFonts w:hint="eastAsia" w:ascii="MS UI Gothic" w:eastAsia="MS UI Gothic"/>
          <w:w w:val="80"/>
        </w:rPr>
        <w:t xml:space="preserve">ꎬ ３ </w:t>
      </w:r>
      <w:r>
        <w:t>年内不得再次申请特种作业操作证</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第四十三条 煤矿企业从业人员在劳</w:t>
      </w:r>
      <w:r>
        <w:t>动合同期满变更工作单位或者依法解除劳动合同的</w:t>
      </w:r>
      <w:r>
        <w:rPr>
          <w:rFonts w:hint="eastAsia" w:ascii="MS UI Gothic" w:eastAsia="MS UI Gothic"/>
          <w:w w:val="80"/>
        </w:rPr>
        <w:t xml:space="preserve">ꎬ </w:t>
      </w:r>
      <w:r>
        <w:t>原工作单位不得以任何理由扣押其考核合格证明或者特种作业操作证</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第四十四条 省级煤矿安全培训主管部门应当将煤矿企业主要负责人</w:t>
      </w:r>
      <w:r>
        <w:rPr>
          <w:rFonts w:hint="eastAsia" w:ascii="MS UI Gothic" w:eastAsia="MS UI Gothic"/>
          <w:w w:val="80"/>
        </w:rPr>
        <w:t xml:space="preserve">、 </w:t>
      </w:r>
      <w:r>
        <w:rPr>
          <w:w w:val="105"/>
        </w:rPr>
        <w:t>安全生</w:t>
      </w:r>
      <w:r>
        <w:t>产管理人员和特种作业人员的考核情况</w:t>
      </w:r>
      <w:r>
        <w:rPr>
          <w:rFonts w:hint="eastAsia" w:ascii="MS UI Gothic" w:eastAsia="MS UI Gothic"/>
          <w:w w:val="80"/>
        </w:rPr>
        <w:t>ꎬ</w:t>
      </w:r>
      <w:r>
        <w:rPr>
          <w:w w:val="105"/>
        </w:rPr>
        <w:t>及时抄送省级煤矿安全监察局</w:t>
      </w:r>
      <w:r>
        <w:rPr>
          <w:rFonts w:hint="eastAsia" w:ascii="MS UI Gothic" w:eastAsia="MS UI Gothic"/>
          <w:w w:val="80"/>
        </w:rPr>
        <w:t>ꎮ</w:t>
      </w:r>
    </w:p>
    <w:p>
      <w:pPr>
        <w:pStyle w:val="6"/>
        <w:spacing w:line="295" w:lineRule="auto"/>
        <w:ind w:left="440" w:right="1"/>
        <w:rPr>
          <w:rFonts w:hint="eastAsia" w:ascii="MS UI Gothic" w:eastAsia="MS UI Gothic"/>
        </w:rPr>
      </w:pPr>
      <w:r>
        <w:t>煤矿安全监察机构应当将煤矿企业主</w:t>
      </w:r>
      <w:r>
        <w:rPr>
          <w:w w:val="105"/>
        </w:rPr>
        <w:t>要负责人</w:t>
      </w:r>
      <w:r>
        <w:rPr>
          <w:rFonts w:hint="eastAsia" w:ascii="MS UI Gothic" w:eastAsia="MS UI Gothic"/>
          <w:w w:val="80"/>
        </w:rPr>
        <w:t xml:space="preserve">、 </w:t>
      </w:r>
      <w:r>
        <w:rPr>
          <w:w w:val="105"/>
        </w:rPr>
        <w:t>安全生产管理人员和特种作业</w:t>
      </w:r>
      <w:r>
        <w:t>人员的行政处罚决定及时抄送同级煤矿安</w:t>
      </w:r>
      <w:r>
        <w:rPr>
          <w:w w:val="105"/>
        </w:rPr>
        <w:t>全培训主管部门</w:t>
      </w:r>
      <w:r>
        <w:rPr>
          <w:rFonts w:hint="eastAsia" w:ascii="MS UI Gothic" w:eastAsia="MS UI Gothic"/>
          <w:w w:val="80"/>
        </w:rPr>
        <w:t>ꎮ</w:t>
      </w:r>
    </w:p>
    <w:p>
      <w:pPr>
        <w:pStyle w:val="6"/>
        <w:spacing w:line="295" w:lineRule="auto"/>
        <w:ind w:left="440" w:right="1"/>
        <w:rPr>
          <w:rFonts w:hint="eastAsia" w:ascii="MS UI Gothic" w:eastAsia="MS UI Gothic"/>
        </w:rPr>
      </w:pPr>
      <w:r>
        <w:t>第四十五条 煤矿安全培训主管部门应当建立煤矿安全培训举报制度</w:t>
      </w:r>
      <w:r>
        <w:rPr>
          <w:rFonts w:hint="eastAsia" w:ascii="MS UI Gothic" w:eastAsia="MS UI Gothic"/>
          <w:w w:val="80"/>
        </w:rPr>
        <w:t xml:space="preserve">ꎬ </w:t>
      </w:r>
      <w:r>
        <w:t>公布举报电话</w:t>
      </w:r>
      <w:r>
        <w:rPr>
          <w:rFonts w:hint="eastAsia" w:ascii="MS UI Gothic" w:eastAsia="MS UI Gothic"/>
          <w:w w:val="80"/>
        </w:rPr>
        <w:t xml:space="preserve">、 </w:t>
      </w:r>
      <w:r>
        <w:t>电子信箱</w:t>
      </w:r>
      <w:r>
        <w:rPr>
          <w:rFonts w:hint="eastAsia" w:ascii="MS UI Gothic" w:eastAsia="MS UI Gothic"/>
          <w:w w:val="80"/>
        </w:rPr>
        <w:t xml:space="preserve">ꎬ </w:t>
      </w:r>
      <w:r>
        <w:t>依法受理并调查处理有关举报</w:t>
      </w:r>
      <w:r>
        <w:rPr>
          <w:rFonts w:hint="eastAsia" w:ascii="MS UI Gothic" w:eastAsia="MS UI Gothic"/>
          <w:w w:val="80"/>
        </w:rPr>
        <w:t xml:space="preserve">ꎬ </w:t>
      </w:r>
      <w:r>
        <w:t>并将查处结果书面反馈给实名举报人</w:t>
      </w:r>
      <w:r>
        <w:rPr>
          <w:rFonts w:hint="eastAsia" w:ascii="MS UI Gothic" w:eastAsia="MS UI Gothic"/>
          <w:w w:val="80"/>
        </w:rPr>
        <w:t>ꎮ</w:t>
      </w:r>
    </w:p>
    <w:p>
      <w:pPr>
        <w:pStyle w:val="6"/>
        <w:tabs>
          <w:tab w:val="left" w:pos="2222"/>
        </w:tabs>
        <w:spacing w:before="130"/>
        <w:ind w:left="1384" w:firstLine="0"/>
        <w:jc w:val="left"/>
      </w:pPr>
      <w:r>
        <w:rPr>
          <w:spacing w:val="3"/>
          <w:w w:val="105"/>
        </w:rPr>
        <w:t>第七</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6" w:line="295" w:lineRule="auto"/>
        <w:ind w:left="440" w:right="1"/>
      </w:pPr>
      <w:r>
        <w:rPr>
          <w:w w:val="105"/>
        </w:rPr>
        <w:t>第四十六条 煤矿安全培训主管部门</w:t>
      </w:r>
      <w:r>
        <w:t>的工作人员在煤矿安全考核工作中滥用职</w:t>
      </w:r>
      <w:r>
        <w:rPr>
          <w:w w:val="105"/>
        </w:rPr>
        <w:t>权</w:t>
      </w:r>
      <w:r>
        <w:rPr>
          <w:rFonts w:hint="eastAsia" w:ascii="MS UI Gothic" w:eastAsia="MS UI Gothic"/>
          <w:w w:val="80"/>
        </w:rPr>
        <w:t xml:space="preserve">、 </w:t>
      </w:r>
      <w:r>
        <w:rPr>
          <w:w w:val="105"/>
        </w:rPr>
        <w:t>玩忽职守</w:t>
      </w:r>
      <w:r>
        <w:rPr>
          <w:rFonts w:hint="eastAsia" w:ascii="MS UI Gothic" w:eastAsia="MS UI Gothic"/>
          <w:w w:val="80"/>
        </w:rPr>
        <w:t xml:space="preserve">、 </w:t>
      </w:r>
      <w:r>
        <w:rPr>
          <w:w w:val="105"/>
        </w:rPr>
        <w:t>徇私舞弊的</w:t>
      </w:r>
      <w:r>
        <w:rPr>
          <w:rFonts w:hint="eastAsia" w:ascii="MS UI Gothic" w:eastAsia="MS UI Gothic"/>
          <w:w w:val="80"/>
        </w:rPr>
        <w:t xml:space="preserve">ꎬ </w:t>
      </w:r>
      <w:r>
        <w:rPr>
          <w:w w:val="105"/>
        </w:rPr>
        <w:t>依照有关规</w:t>
      </w:r>
    </w:p>
    <w:p>
      <w:pPr>
        <w:pStyle w:val="6"/>
        <w:spacing w:before="124" w:line="295" w:lineRule="auto"/>
        <w:ind w:left="381" w:right="126" w:firstLine="0"/>
        <w:rPr>
          <w:rFonts w:hint="eastAsia" w:ascii="MS UI Gothic" w:eastAsia="MS UI Gothic"/>
        </w:rPr>
      </w:pPr>
      <w:r>
        <w:br w:type="column"/>
      </w:r>
      <w:r>
        <w:t>定给予处分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第四十七条 煤矿企业有下列行为之一的</w:t>
      </w:r>
      <w:r>
        <w:rPr>
          <w:rFonts w:hint="eastAsia" w:ascii="MS UI Gothic" w:eastAsia="MS UI Gothic"/>
          <w:w w:val="80"/>
        </w:rPr>
        <w:t xml:space="preserve">ꎬ </w:t>
      </w:r>
      <w:r>
        <w:t>由煤矿安全培训主管部门或者煤矿安全监察机构责令其限期改正</w:t>
      </w:r>
      <w:r>
        <w:rPr>
          <w:rFonts w:hint="eastAsia" w:ascii="MS UI Gothic" w:eastAsia="MS UI Gothic"/>
          <w:w w:val="80"/>
        </w:rPr>
        <w:t xml:space="preserve">ꎬ </w:t>
      </w:r>
      <w:r>
        <w:t xml:space="preserve">可以处 </w:t>
      </w:r>
      <w:r>
        <w:rPr>
          <w:rFonts w:hint="eastAsia" w:ascii="MS UI Gothic" w:eastAsia="MS UI Gothic"/>
          <w:w w:val="80"/>
        </w:rPr>
        <w:t xml:space="preserve">５ </w:t>
      </w:r>
      <w:r>
        <w:t>万元以下的罚款</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责令停产停业整顿</w:t>
      </w:r>
      <w:r>
        <w:rPr>
          <w:rFonts w:hint="eastAsia" w:ascii="MS UI Gothic" w:eastAsia="MS UI Gothic"/>
          <w:w w:val="80"/>
        </w:rPr>
        <w:t xml:space="preserve">ꎬ </w:t>
      </w:r>
      <w:r>
        <w:t xml:space="preserve">并处 </w:t>
      </w:r>
      <w:r>
        <w:rPr>
          <w:rFonts w:hint="eastAsia" w:ascii="MS UI Gothic" w:eastAsia="MS UI Gothic"/>
          <w:w w:val="80"/>
        </w:rPr>
        <w:t xml:space="preserve">５ </w:t>
      </w:r>
      <w:r>
        <w:t xml:space="preserve">万元以上 </w:t>
      </w:r>
      <w:r>
        <w:rPr>
          <w:rFonts w:hint="eastAsia" w:ascii="MS UI Gothic" w:eastAsia="MS UI Gothic"/>
          <w:w w:val="80"/>
        </w:rPr>
        <w:t xml:space="preserve">１０ </w:t>
      </w:r>
      <w:r>
        <w:t>万元以下的罚款</w:t>
      </w:r>
      <w:r>
        <w:rPr>
          <w:rFonts w:hint="eastAsia" w:ascii="MS UI Gothic" w:eastAsia="MS UI Gothic"/>
          <w:w w:val="80"/>
        </w:rPr>
        <w:t xml:space="preserve">ꎬ </w:t>
      </w:r>
      <w:r>
        <w:t xml:space="preserve">对其直接负责的主管人员和其他直接责任人员处 </w:t>
      </w:r>
      <w:r>
        <w:rPr>
          <w:rFonts w:hint="eastAsia" w:ascii="MS UI Gothic" w:eastAsia="MS UI Gothic"/>
          <w:w w:val="80"/>
        </w:rPr>
        <w:t xml:space="preserve">１ </w:t>
      </w:r>
      <w:r>
        <w:t xml:space="preserve">万元以上 </w:t>
      </w:r>
      <w:r>
        <w:rPr>
          <w:rFonts w:hint="eastAsia" w:ascii="MS UI Gothic" w:eastAsia="MS UI Gothic"/>
          <w:w w:val="80"/>
        </w:rPr>
        <w:t xml:space="preserve">２ </w:t>
      </w:r>
      <w:r>
        <w:t>万元以下的罚款</w:t>
      </w:r>
      <w:r>
        <w:rPr>
          <w:rFonts w:hint="eastAsia" w:ascii="MS UI Gothic" w:eastAsia="MS UI Gothic"/>
          <w:w w:val="230"/>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主要负责人和安全生产管理人员未按照规定经考核合格的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未按照规定对从业人员进行安</w:t>
      </w:r>
      <w:r>
        <w:rPr>
          <w:w w:val="110"/>
        </w:rPr>
        <w:t>全生产培训的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20"/>
        </w:rPr>
        <w:t xml:space="preserve">( </w:t>
      </w:r>
      <w:r>
        <w:rPr>
          <w:w w:val="110"/>
        </w:rPr>
        <w:t>三</w:t>
      </w:r>
      <w:r>
        <w:rPr>
          <w:rFonts w:hint="eastAsia" w:ascii="MS UI Gothic" w:eastAsia="MS UI Gothic"/>
          <w:w w:val="120"/>
        </w:rPr>
        <w:t xml:space="preserve">) </w:t>
      </w:r>
      <w:r>
        <w:rPr>
          <w:w w:val="110"/>
        </w:rPr>
        <w:t>未如实记录安全生产培训情况的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特种作业人员未经专门的安全培训并取得相应资格</w:t>
      </w:r>
      <w:r>
        <w:rPr>
          <w:rFonts w:hint="eastAsia" w:ascii="MS UI Gothic" w:eastAsia="MS UI Gothic"/>
          <w:w w:val="80"/>
        </w:rPr>
        <w:t xml:space="preserve">ꎬ </w:t>
      </w:r>
      <w:r>
        <w:rPr>
          <w:w w:val="105"/>
        </w:rPr>
        <w:t>上岗作业的</w:t>
      </w:r>
      <w:r>
        <w:rPr>
          <w:rFonts w:hint="eastAsia" w:ascii="MS UI Gothic" w:eastAsia="MS UI Gothic"/>
          <w:w w:val="80"/>
        </w:rPr>
        <w:t>ꎮ</w:t>
      </w:r>
    </w:p>
    <w:p>
      <w:pPr>
        <w:pStyle w:val="6"/>
        <w:spacing w:line="295" w:lineRule="auto"/>
        <w:ind w:left="375" w:right="126" w:firstLine="425"/>
        <w:rPr>
          <w:rFonts w:hint="eastAsia" w:ascii="MS UI Gothic" w:eastAsia="MS UI Gothic"/>
        </w:rPr>
      </w:pPr>
      <w:r>
        <w:rPr>
          <w:w w:val="105"/>
        </w:rPr>
        <w:t>第四十八条 煤矿安全培训主管部门</w:t>
      </w:r>
      <w:r>
        <w:t>或者煤矿安全监察机构发现煤矿企业有下列行为之一的</w:t>
      </w:r>
      <w:r>
        <w:rPr>
          <w:rFonts w:hint="eastAsia" w:ascii="MS UI Gothic" w:eastAsia="MS UI Gothic"/>
          <w:w w:val="80"/>
        </w:rPr>
        <w:t xml:space="preserve">ꎬ </w:t>
      </w:r>
      <w:r>
        <w:t>责令其限期改正</w:t>
      </w:r>
      <w:r>
        <w:rPr>
          <w:rFonts w:hint="eastAsia" w:ascii="MS UI Gothic" w:eastAsia="MS UI Gothic"/>
          <w:w w:val="80"/>
        </w:rPr>
        <w:t xml:space="preserve">ꎬ </w:t>
      </w:r>
      <w:r>
        <w:t>可以处</w:t>
      </w:r>
      <w:r>
        <w:rPr>
          <w:rFonts w:hint="eastAsia" w:ascii="MS UI Gothic" w:eastAsia="MS UI Gothic"/>
          <w:w w:val="80"/>
        </w:rPr>
        <w:t xml:space="preserve">１ </w:t>
      </w:r>
      <w:r>
        <w:rPr>
          <w:w w:val="105"/>
        </w:rPr>
        <w:t xml:space="preserve">万元以上 </w:t>
      </w:r>
      <w:r>
        <w:rPr>
          <w:rFonts w:hint="eastAsia" w:ascii="MS UI Gothic" w:eastAsia="MS UI Gothic"/>
          <w:w w:val="80"/>
        </w:rPr>
        <w:t xml:space="preserve">３ </w:t>
      </w:r>
      <w:r>
        <w:rPr>
          <w:w w:val="105"/>
        </w:rPr>
        <w:t>万元以下的罚款</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未建立安全培训管理制度或者未制定年度安全培训计划的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未明确负责安全培训工作的机</w:t>
      </w:r>
      <w:r>
        <w:t>构</w:t>
      </w:r>
      <w:r>
        <w:rPr>
          <w:rFonts w:hint="eastAsia" w:ascii="MS UI Gothic" w:eastAsia="MS UI Gothic"/>
          <w:w w:val="80"/>
        </w:rPr>
        <w:t xml:space="preserve">ꎬ </w:t>
      </w:r>
      <w:r>
        <w:t>或者未配备专兼职安全培训管理人</w:t>
      </w:r>
      <w:r>
        <w:rPr>
          <w:w w:val="105"/>
        </w:rPr>
        <w:t>员的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用于安全培训的资金不符合本</w:t>
      </w:r>
      <w:r>
        <w:rPr>
          <w:w w:val="110"/>
        </w:rPr>
        <w:t>规定的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未按照统一的培训大纲组织培</w:t>
      </w:r>
      <w:r>
        <w:rPr>
          <w:w w:val="110"/>
        </w:rPr>
        <w:t>训的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不具备安全培训条件进行自主</w:t>
      </w:r>
      <w:r>
        <w:t>培训</w:t>
      </w:r>
      <w:r>
        <w:rPr>
          <w:rFonts w:hint="eastAsia" w:ascii="MS UI Gothic" w:eastAsia="MS UI Gothic"/>
          <w:w w:val="80"/>
        </w:rPr>
        <w:t xml:space="preserve">ꎬ </w:t>
      </w:r>
      <w:r>
        <w:t>或者委托不具备安全培训条件机构</w:t>
      </w:r>
      <w:r>
        <w:rPr>
          <w:w w:val="105"/>
        </w:rPr>
        <w:t>进行培训的</w:t>
      </w:r>
      <w:r>
        <w:rPr>
          <w:rFonts w:hint="eastAsia" w:ascii="MS UI Gothic" w:eastAsia="MS UI Gothic"/>
          <w:w w:val="80"/>
        </w:rPr>
        <w:t>ꎮ</w:t>
      </w:r>
    </w:p>
    <w:p>
      <w:pPr>
        <w:pStyle w:val="6"/>
        <w:spacing w:line="295" w:lineRule="auto"/>
        <w:ind w:left="381" w:right="126"/>
        <w:rPr>
          <w:rFonts w:hint="eastAsia" w:ascii="MS UI Gothic" w:eastAsia="MS UI Gothic"/>
        </w:rPr>
      </w:pPr>
      <w:r>
        <w:t>具备安全培训条件的机构未按照规定的培训大纲进行安全培训</w:t>
      </w:r>
      <w:r>
        <w:rPr>
          <w:rFonts w:hint="eastAsia" w:ascii="MS UI Gothic" w:eastAsia="MS UI Gothic"/>
          <w:w w:val="80"/>
        </w:rPr>
        <w:t xml:space="preserve">ꎬ </w:t>
      </w:r>
      <w:r>
        <w:t>或者未经安全培训并考试合格颁发有关培训合格证明</w:t>
      </w:r>
      <w:r>
        <w:rPr>
          <w:w w:val="105"/>
        </w:rPr>
        <w:t>的</w:t>
      </w:r>
      <w:r>
        <w:rPr>
          <w:rFonts w:hint="eastAsia" w:ascii="MS UI Gothic" w:eastAsia="MS UI Gothic"/>
          <w:w w:val="80"/>
        </w:rPr>
        <w:t xml:space="preserve">ꎬ </w:t>
      </w:r>
      <w:r>
        <w:rPr>
          <w:w w:val="105"/>
        </w:rPr>
        <w:t>依照前款规定给予行政处罚</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３７８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34" o:spid="_x0000_s2134" o:spt="203" style="height:2.15pt;width:398.25pt;" coordsize="7965,43">
            <o:lock v:ext="edit"/>
            <v:line id="_x0000_s2135" o:spid="_x0000_s2135" o:spt="20" style="position:absolute;left:0;top:39;height:0;width:7965;" stroked="t" coordsize="21600,21600">
              <v:path arrowok="t"/>
              <v:fill focussize="0,0"/>
              <v:stroke weight="0.388031496062992pt" color="#231F20"/>
              <v:imagedata o:title=""/>
              <o:lock v:ext="edit"/>
            </v:line>
            <v:line id="_x0000_s2136" o:spid="_x0000_s213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2011"/>
          <w:tab w:val="left" w:pos="2639"/>
        </w:tabs>
        <w:ind w:left="1172" w:firstLine="0"/>
        <w:jc w:val="left"/>
      </w:pPr>
      <w:r>
        <w:rPr>
          <w:spacing w:val="3"/>
          <w:w w:val="105"/>
        </w:rPr>
        <w:t>第八</w:t>
      </w:r>
      <w:r>
        <w:rPr>
          <w:w w:val="105"/>
        </w:rPr>
        <w:t>章</w:t>
      </w:r>
      <w:r>
        <w:rPr>
          <w:w w:val="105"/>
        </w:rPr>
        <w:tab/>
      </w:r>
      <w:r>
        <w:rPr>
          <w:w w:val="105"/>
        </w:rPr>
        <w:t>附</w:t>
      </w:r>
      <w:r>
        <w:rPr>
          <w:w w:val="105"/>
        </w:rPr>
        <w:tab/>
      </w:r>
      <w:r>
        <w:rPr>
          <w:w w:val="105"/>
        </w:rPr>
        <w:t>则</w:t>
      </w:r>
    </w:p>
    <w:p>
      <w:pPr>
        <w:pStyle w:val="6"/>
        <w:spacing w:before="215" w:line="295" w:lineRule="auto"/>
        <w:ind w:right="38"/>
        <w:rPr>
          <w:rFonts w:hint="eastAsia" w:ascii="MS UI Gothic" w:eastAsia="MS UI Gothic"/>
        </w:rPr>
      </w:pPr>
      <w:r>
        <w:rPr>
          <w:w w:val="105"/>
        </w:rPr>
        <w:t>第四十九条 煤矿企业主要负责人和</w:t>
      </w:r>
      <w:r>
        <w:t>安全生产管理人员考核不得收费</w:t>
      </w:r>
      <w:r>
        <w:rPr>
          <w:rFonts w:hint="eastAsia" w:ascii="MS UI Gothic" w:eastAsia="MS UI Gothic"/>
          <w:w w:val="80"/>
        </w:rPr>
        <w:t xml:space="preserve">ꎬ </w:t>
      </w:r>
      <w:r>
        <w:t>所需经费由煤矿安全培训主管部门列入同级财政</w:t>
      </w:r>
      <w:r>
        <w:rPr>
          <w:w w:val="105"/>
        </w:rPr>
        <w:t>年度预算</w:t>
      </w:r>
      <w:r>
        <w:rPr>
          <w:rFonts w:hint="eastAsia" w:ascii="MS UI Gothic" w:eastAsia="MS UI Gothic"/>
          <w:w w:val="80"/>
        </w:rPr>
        <w:t>ꎮ</w:t>
      </w:r>
    </w:p>
    <w:p>
      <w:pPr>
        <w:pStyle w:val="6"/>
        <w:spacing w:line="295" w:lineRule="auto"/>
        <w:ind w:right="38"/>
      </w:pPr>
      <w:r>
        <w:rPr>
          <w:w w:val="105"/>
        </w:rPr>
        <w:t>煤矿特种作业人员培训</w:t>
      </w:r>
      <w:r>
        <w:rPr>
          <w:rFonts w:hint="eastAsia" w:ascii="MS UI Gothic" w:eastAsia="MS UI Gothic"/>
          <w:w w:val="80"/>
        </w:rPr>
        <w:t xml:space="preserve">、 </w:t>
      </w:r>
      <w:r>
        <w:rPr>
          <w:w w:val="105"/>
        </w:rPr>
        <w:t>考试经费可</w:t>
      </w:r>
      <w:r>
        <w:t>以列入同级财政年度预算</w:t>
      </w:r>
      <w:r>
        <w:rPr>
          <w:rFonts w:hint="eastAsia" w:ascii="MS UI Gothic" w:eastAsia="MS UI Gothic"/>
          <w:w w:val="80"/>
        </w:rPr>
        <w:t xml:space="preserve">ꎬ </w:t>
      </w:r>
      <w:r>
        <w:t>也可由省级煤矿安全培训主管部门制定收费标准</w:t>
      </w:r>
      <w:r>
        <w:rPr>
          <w:rFonts w:hint="eastAsia" w:ascii="MS UI Gothic" w:eastAsia="MS UI Gothic"/>
          <w:w w:val="80"/>
        </w:rPr>
        <w:t xml:space="preserve">ꎬ </w:t>
      </w:r>
      <w:r>
        <w:t>报同</w:t>
      </w:r>
    </w:p>
    <w:p>
      <w:pPr>
        <w:pStyle w:val="6"/>
        <w:spacing w:before="123" w:line="295" w:lineRule="auto"/>
        <w:ind w:left="130" w:right="442" w:firstLine="0"/>
        <w:rPr>
          <w:rFonts w:hint="eastAsia" w:ascii="MS UI Gothic" w:eastAsia="MS UI Gothic"/>
        </w:rPr>
      </w:pPr>
      <w:r>
        <w:br w:type="column"/>
      </w:r>
      <w:r>
        <w:t>级人民政府物价部门</w:t>
      </w:r>
      <w:r>
        <w:rPr>
          <w:rFonts w:hint="eastAsia" w:ascii="MS UI Gothic" w:eastAsia="MS UI Gothic"/>
          <w:w w:val="80"/>
        </w:rPr>
        <w:t xml:space="preserve">、 </w:t>
      </w:r>
      <w:r>
        <w:t>财政部门批准后执行</w:t>
      </w:r>
      <w:r>
        <w:rPr>
          <w:rFonts w:hint="eastAsia" w:ascii="MS UI Gothic" w:eastAsia="MS UI Gothic"/>
          <w:w w:val="80"/>
        </w:rPr>
        <w:t xml:space="preserve">ꎮ </w:t>
      </w:r>
      <w:r>
        <w:t>证书工本费由考核发证机关列入同级财政年度预算</w:t>
      </w:r>
      <w:r>
        <w:rPr>
          <w:rFonts w:hint="eastAsia" w:ascii="MS UI Gothic" w:eastAsia="MS UI Gothic"/>
          <w:w w:val="80"/>
        </w:rPr>
        <w:t>ꎮ</w:t>
      </w:r>
    </w:p>
    <w:p>
      <w:pPr>
        <w:pStyle w:val="6"/>
        <w:spacing w:line="295" w:lineRule="auto"/>
        <w:ind w:right="442" w:firstLine="425"/>
        <w:rPr>
          <w:rFonts w:hint="eastAsia" w:ascii="MS UI Gothic" w:hAnsi="MS UI Gothic" w:eastAsia="MS UI Gothic"/>
        </w:rPr>
      </w:pPr>
      <w:r>
        <w:rPr>
          <w:spacing w:val="7"/>
          <w:w w:val="95"/>
        </w:rPr>
        <w:t xml:space="preserve">第五十条 本规定自 </w:t>
      </w:r>
      <w:r>
        <w:rPr>
          <w:rFonts w:hint="eastAsia" w:ascii="MS UI Gothic" w:hAnsi="MS UI Gothic" w:eastAsia="MS UI Gothic"/>
          <w:spacing w:val="3"/>
          <w:w w:val="95"/>
        </w:rPr>
        <w:t xml:space="preserve">２０１８ </w:t>
      </w:r>
      <w:r>
        <w:rPr>
          <w:spacing w:val="-14"/>
          <w:w w:val="95"/>
        </w:rPr>
        <w:t xml:space="preserve">年 </w:t>
      </w:r>
      <w:r>
        <w:rPr>
          <w:rFonts w:hint="eastAsia" w:ascii="MS UI Gothic" w:hAnsi="MS UI Gothic" w:eastAsia="MS UI Gothic"/>
          <w:spacing w:val="8"/>
          <w:w w:val="95"/>
        </w:rPr>
        <w:t xml:space="preserve">３ </w:t>
      </w:r>
      <w:r>
        <w:rPr>
          <w:spacing w:val="-14"/>
          <w:w w:val="95"/>
        </w:rPr>
        <w:t xml:space="preserve">月 </w:t>
      </w:r>
      <w:r>
        <w:rPr>
          <w:rFonts w:hint="eastAsia" w:ascii="MS UI Gothic" w:hAnsi="MS UI Gothic" w:eastAsia="MS UI Gothic"/>
          <w:w w:val="95"/>
        </w:rPr>
        <w:t xml:space="preserve">１ </w:t>
      </w:r>
      <w:r>
        <w:rPr>
          <w:spacing w:val="8"/>
          <w:w w:val="95"/>
        </w:rPr>
        <w:t>日起施行</w:t>
      </w:r>
      <w:r>
        <w:rPr>
          <w:rFonts w:hint="eastAsia" w:ascii="MS UI Gothic" w:hAnsi="MS UI Gothic" w:eastAsia="MS UI Gothic"/>
          <w:spacing w:val="3"/>
          <w:w w:val="85"/>
        </w:rPr>
        <w:t xml:space="preserve">ꎮ </w:t>
      </w:r>
      <w:r>
        <w:rPr>
          <w:spacing w:val="17"/>
          <w:w w:val="95"/>
        </w:rPr>
        <w:t>国家安全生产监督管理总局</w:t>
      </w:r>
      <w:r>
        <w:rPr>
          <w:rFonts w:hint="eastAsia" w:ascii="MS UI Gothic" w:hAnsi="MS UI Gothic" w:eastAsia="MS UI Gothic"/>
          <w:spacing w:val="9"/>
          <w:w w:val="95"/>
        </w:rPr>
        <w:t xml:space="preserve">２０１２ </w:t>
      </w:r>
      <w:r>
        <w:rPr>
          <w:spacing w:val="-30"/>
          <w:w w:val="95"/>
        </w:rPr>
        <w:t xml:space="preserve">年 </w:t>
      </w:r>
      <w:r>
        <w:rPr>
          <w:rFonts w:hint="eastAsia" w:ascii="MS UI Gothic" w:hAnsi="MS UI Gothic" w:eastAsia="MS UI Gothic"/>
          <w:spacing w:val="-5"/>
          <w:w w:val="95"/>
        </w:rPr>
        <w:t xml:space="preserve">５ </w:t>
      </w:r>
      <w:r>
        <w:rPr>
          <w:spacing w:val="-27"/>
          <w:w w:val="95"/>
        </w:rPr>
        <w:t xml:space="preserve">月 </w:t>
      </w:r>
      <w:r>
        <w:rPr>
          <w:rFonts w:hint="eastAsia" w:ascii="MS UI Gothic" w:hAnsi="MS UI Gothic" w:eastAsia="MS UI Gothic"/>
          <w:spacing w:val="-4"/>
          <w:w w:val="95"/>
        </w:rPr>
        <w:t xml:space="preserve">２８ </w:t>
      </w:r>
      <w:r>
        <w:rPr>
          <w:spacing w:val="13"/>
          <w:w w:val="95"/>
        </w:rPr>
        <w:t>日公布</w:t>
      </w:r>
      <w:r>
        <w:rPr>
          <w:rFonts w:hint="eastAsia" w:ascii="MS UI Gothic" w:hAnsi="MS UI Gothic" w:eastAsia="MS UI Gothic"/>
          <w:spacing w:val="-1"/>
          <w:w w:val="95"/>
        </w:rPr>
        <w:t xml:space="preserve">、 ２０１３ </w:t>
      </w:r>
      <w:r>
        <w:rPr>
          <w:spacing w:val="-27"/>
          <w:w w:val="95"/>
        </w:rPr>
        <w:t xml:space="preserve">年 </w:t>
      </w:r>
      <w:r>
        <w:rPr>
          <w:rFonts w:hint="eastAsia" w:ascii="MS UI Gothic" w:hAnsi="MS UI Gothic" w:eastAsia="MS UI Gothic"/>
          <w:spacing w:val="-5"/>
          <w:w w:val="95"/>
        </w:rPr>
        <w:t xml:space="preserve">８ </w:t>
      </w:r>
      <w:r>
        <w:rPr>
          <w:spacing w:val="-26"/>
          <w:w w:val="95"/>
        </w:rPr>
        <w:t xml:space="preserve">月 </w:t>
      </w:r>
      <w:r>
        <w:rPr>
          <w:rFonts w:hint="eastAsia" w:ascii="MS UI Gothic" w:hAnsi="MS UI Gothic" w:eastAsia="MS UI Gothic"/>
          <w:w w:val="95"/>
        </w:rPr>
        <w:t xml:space="preserve">２９ </w:t>
      </w:r>
      <w:r>
        <w:rPr>
          <w:spacing w:val="17"/>
          <w:w w:val="95"/>
        </w:rPr>
        <w:t xml:space="preserve">日修正的 </w:t>
      </w:r>
      <w:r>
        <w:rPr>
          <w:rFonts w:hint="eastAsia" w:ascii="MS UI Gothic" w:hAnsi="MS UI Gothic" w:eastAsia="MS UI Gothic"/>
          <w:spacing w:val="-12"/>
          <w:w w:val="95"/>
        </w:rPr>
        <w:t xml:space="preserve">« </w:t>
      </w:r>
      <w:r>
        <w:rPr>
          <w:spacing w:val="3"/>
          <w:w w:val="95"/>
        </w:rPr>
        <w:t>煤矿安全培训规定</w:t>
      </w:r>
      <w:r>
        <w:rPr>
          <w:rFonts w:hint="eastAsia" w:ascii="MS UI Gothic" w:hAnsi="MS UI Gothic" w:eastAsia="MS UI Gothic"/>
          <w:spacing w:val="2"/>
          <w:w w:val="95"/>
        </w:rPr>
        <w:t xml:space="preserve">»  </w:t>
      </w:r>
      <w:r>
        <w:rPr>
          <w:rFonts w:hint="eastAsia" w:ascii="MS UI Gothic" w:hAnsi="MS UI Gothic" w:eastAsia="MS UI Gothic"/>
          <w:spacing w:val="-23"/>
          <w:w w:val="140"/>
        </w:rPr>
        <w:t xml:space="preserve">( </w:t>
      </w:r>
      <w:r>
        <w:rPr>
          <w:spacing w:val="4"/>
          <w:w w:val="95"/>
        </w:rPr>
        <w:t>国家安</w:t>
      </w:r>
      <w:r>
        <w:rPr>
          <w:spacing w:val="18"/>
          <w:w w:val="95"/>
        </w:rPr>
        <w:t xml:space="preserve">全生产监督管理总局令第 </w:t>
      </w:r>
      <w:r>
        <w:rPr>
          <w:rFonts w:hint="eastAsia" w:ascii="MS UI Gothic" w:hAnsi="MS UI Gothic" w:eastAsia="MS UI Gothic"/>
          <w:spacing w:val="6"/>
          <w:w w:val="95"/>
        </w:rPr>
        <w:t xml:space="preserve">５２ </w:t>
      </w:r>
      <w:r>
        <w:rPr>
          <w:spacing w:val="19"/>
          <w:w w:val="95"/>
        </w:rPr>
        <w:t>号</w:t>
      </w:r>
      <w:r>
        <w:rPr>
          <w:rFonts w:hint="eastAsia" w:ascii="MS UI Gothic" w:hAnsi="MS UI Gothic" w:eastAsia="MS UI Gothic"/>
          <w:spacing w:val="24"/>
          <w:w w:val="140"/>
        </w:rPr>
        <w:t xml:space="preserve">) </w:t>
      </w:r>
      <w:r>
        <w:rPr>
          <w:spacing w:val="13"/>
          <w:w w:val="95"/>
        </w:rPr>
        <w:t>同时</w:t>
      </w:r>
      <w:r>
        <w:rPr>
          <w:spacing w:val="3"/>
          <w:w w:val="95"/>
        </w:rPr>
        <w:t>废止</w:t>
      </w:r>
      <w:r>
        <w:rPr>
          <w:rFonts w:hint="eastAsia" w:ascii="MS UI Gothic" w:hAnsi="MS UI Gothic" w:eastAsia="MS UI Gothic"/>
          <w:w w:val="85"/>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34" w:space="252"/>
            <w:col w:w="4354"/>
          </w:cols>
        </w:sectPr>
      </w:pPr>
    </w:p>
    <w:p>
      <w:pPr>
        <w:pStyle w:val="6"/>
        <w:spacing w:before="2"/>
        <w:ind w:left="0" w:firstLine="0"/>
        <w:jc w:val="left"/>
        <w:rPr>
          <w:rFonts w:ascii="MS UI Gothic"/>
          <w:sz w:val="17"/>
        </w:rPr>
      </w:pPr>
    </w:p>
    <w:p>
      <w:pPr>
        <w:pStyle w:val="4"/>
        <w:spacing w:before="74"/>
        <w:ind w:right="630"/>
      </w:pPr>
      <w:r>
        <w:t>国家安全生产监督管理总局令</w:t>
      </w:r>
    </w:p>
    <w:p>
      <w:pPr>
        <w:pStyle w:val="6"/>
        <w:ind w:left="0" w:firstLine="0"/>
        <w:jc w:val="left"/>
        <w:rPr>
          <w:sz w:val="27"/>
        </w:rPr>
      </w:pPr>
    </w:p>
    <w:p>
      <w:pPr>
        <w:pStyle w:val="5"/>
        <w:spacing w:before="1"/>
        <w:ind w:right="628"/>
      </w:pPr>
      <w:r>
        <w:t xml:space="preserve">第 </w:t>
      </w:r>
      <w:r>
        <w:rPr>
          <w:rFonts w:hint="eastAsia" w:ascii="MS UI Gothic" w:eastAsia="MS UI Gothic"/>
        </w:rPr>
        <w:t xml:space="preserve">３３ </w:t>
      </w:r>
      <w:r>
        <w:t>号</w:t>
      </w:r>
    </w:p>
    <w:p>
      <w:pPr>
        <w:pStyle w:val="6"/>
        <w:spacing w:before="353"/>
        <w:ind w:left="543" w:firstLine="0"/>
        <w:jc w:val="left"/>
      </w:pPr>
      <w:r>
        <w:rPr>
          <w:rFonts w:hint="eastAsia" w:ascii="MS UI Gothic" w:hAnsi="MS UI Gothic" w:eastAsia="MS UI Gothic"/>
        </w:rPr>
        <w:t xml:space="preserve">« </w:t>
      </w:r>
      <w:r>
        <w:t>煤矿领导带班下井及安全监督检查规定</w:t>
      </w:r>
      <w:r>
        <w:rPr>
          <w:rFonts w:hint="eastAsia" w:ascii="MS UI Gothic" w:hAnsi="MS UI Gothic" w:eastAsia="MS UI Gothic"/>
        </w:rPr>
        <w:t xml:space="preserve">» </w:t>
      </w:r>
      <w:r>
        <w:t xml:space="preserve">已经 </w:t>
      </w:r>
      <w:r>
        <w:rPr>
          <w:rFonts w:hint="eastAsia" w:ascii="MS UI Gothic" w:hAnsi="MS UI Gothic" w:eastAsia="MS UI Gothic"/>
        </w:rPr>
        <w:t xml:space="preserve">２０１０ </w:t>
      </w:r>
      <w:r>
        <w:t xml:space="preserve">年 </w:t>
      </w:r>
      <w:r>
        <w:rPr>
          <w:rFonts w:hint="eastAsia" w:ascii="MS UI Gothic" w:hAnsi="MS UI Gothic" w:eastAsia="MS UI Gothic"/>
        </w:rPr>
        <w:t xml:space="preserve">８ </w:t>
      </w:r>
      <w:r>
        <w:t xml:space="preserve">月 </w:t>
      </w:r>
      <w:r>
        <w:rPr>
          <w:rFonts w:hint="eastAsia" w:ascii="MS UI Gothic" w:hAnsi="MS UI Gothic" w:eastAsia="MS UI Gothic"/>
        </w:rPr>
        <w:t xml:space="preserve">３０ </w:t>
      </w:r>
      <w:r>
        <w:t>日国家安全生产监</w:t>
      </w:r>
    </w:p>
    <w:p>
      <w:pPr>
        <w:pStyle w:val="6"/>
        <w:spacing w:before="59"/>
        <w:ind w:firstLine="0"/>
        <w:jc w:val="left"/>
        <w:rPr>
          <w:rFonts w:hint="eastAsia" w:ascii="MS UI Gothic" w:eastAsia="MS UI Gothic"/>
        </w:rPr>
      </w:pPr>
      <w:r>
        <w:rPr>
          <w:w w:val="95"/>
        </w:rPr>
        <w:t>督管理总局局长办公会议审议通过</w:t>
      </w:r>
      <w:r>
        <w:rPr>
          <w:rFonts w:hint="eastAsia" w:ascii="MS UI Gothic" w:eastAsia="MS UI Gothic"/>
          <w:w w:val="90"/>
        </w:rPr>
        <w:t xml:space="preserve">ꎬ </w:t>
      </w:r>
      <w:r>
        <w:rPr>
          <w:w w:val="95"/>
        </w:rPr>
        <w:t>现予公布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２０１０ </w:t>
      </w:r>
      <w:r>
        <w:rPr>
          <w:w w:val="95"/>
        </w:rPr>
        <w:t xml:space="preserve">年 </w:t>
      </w:r>
      <w:r>
        <w:rPr>
          <w:rFonts w:hint="eastAsia" w:ascii="MS UI Gothic" w:eastAsia="MS UI Gothic"/>
          <w:w w:val="95"/>
        </w:rPr>
        <w:t xml:space="preserve">１０ </w:t>
      </w:r>
      <w:r>
        <w:rPr>
          <w:w w:val="95"/>
        </w:rPr>
        <w:t xml:space="preserve">月 </w:t>
      </w:r>
      <w:r>
        <w:rPr>
          <w:rFonts w:hint="eastAsia" w:ascii="MS UI Gothic" w:eastAsia="MS UI Gothic"/>
          <w:w w:val="95"/>
        </w:rPr>
        <w:t xml:space="preserve">７ </w:t>
      </w:r>
      <w:r>
        <w:rPr>
          <w:w w:val="95"/>
        </w:rPr>
        <w:t>日起施行</w:t>
      </w:r>
      <w:r>
        <w:rPr>
          <w:rFonts w:hint="eastAsia" w:ascii="MS UI Gothic" w:eastAsia="MS UI Gothic"/>
          <w:w w:val="90"/>
        </w:rPr>
        <w:t>ꎮ</w:t>
      </w:r>
    </w:p>
    <w:p>
      <w:pPr>
        <w:pStyle w:val="6"/>
        <w:spacing w:before="372"/>
        <w:ind w:left="0" w:right="442" w:firstLine="0"/>
        <w:jc w:val="right"/>
      </w:pPr>
      <w:r>
        <w:t>二</w:t>
      </w:r>
      <w:r>
        <w:rPr>
          <w:rFonts w:hint="eastAsia" w:ascii="MS UI Gothic" w:hAnsi="MS UI Gothic" w:eastAsia="MS UI Gothic"/>
        </w:rPr>
        <w:t>○</w:t>
      </w:r>
      <w:r>
        <w:t>一</w:t>
      </w:r>
      <w:r>
        <w:rPr>
          <w:rFonts w:hint="eastAsia" w:ascii="MS UI Gothic" w:hAnsi="MS UI Gothic" w:eastAsia="MS UI Gothic"/>
        </w:rPr>
        <w:t>○</w:t>
      </w:r>
      <w:r>
        <w:t>年九月七日</w:t>
      </w:r>
    </w:p>
    <w:p>
      <w:pPr>
        <w:pStyle w:val="4"/>
        <w:ind w:left="769"/>
        <w:jc w:val="left"/>
        <w:rPr>
          <w:rFonts w:hint="eastAsia" w:ascii="Microsoft Yi Baiti" w:eastAsia="Microsoft Yi Baiti"/>
        </w:rPr>
      </w:pPr>
      <w:r>
        <w:t xml:space="preserve">煤矿领导带班下井及安全监督检查规定 </w:t>
      </w:r>
      <w:r>
        <w:rPr>
          <w:rFonts w:hint="eastAsia" w:ascii="Microsoft Yi Baiti" w:eastAsia="Microsoft Yi Baiti"/>
        </w:rPr>
        <w:t>(</w:t>
      </w:r>
      <w:r>
        <w:rPr>
          <w:rFonts w:hint="eastAsia" w:ascii="MS UI Gothic" w:eastAsia="MS UI Gothic"/>
        </w:rPr>
        <w:t xml:space="preserve">２０１０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5" w:lineRule="auto"/>
        <w:ind w:right="38"/>
        <w:rPr>
          <w:rFonts w:hint="eastAsia" w:ascii="MS UI Gothic" w:hAnsi="MS UI Gothic" w:eastAsia="MS UI Gothic"/>
        </w:rPr>
      </w:pPr>
      <w:r>
        <w:rPr>
          <w:w w:val="95"/>
        </w:rPr>
        <w:t>第一条   为落实煤矿领导带班下井制度</w:t>
      </w:r>
      <w:r>
        <w:rPr>
          <w:rFonts w:hint="eastAsia" w:ascii="MS UI Gothic" w:hAnsi="MS UI Gothic" w:eastAsia="MS UI Gothic"/>
          <w:w w:val="85"/>
        </w:rPr>
        <w:t xml:space="preserve">ꎬ </w:t>
      </w:r>
      <w:r>
        <w:rPr>
          <w:w w:val="95"/>
        </w:rPr>
        <w:t xml:space="preserve">根据 </w:t>
      </w:r>
      <w:r>
        <w:rPr>
          <w:rFonts w:hint="eastAsia" w:ascii="MS UI Gothic" w:hAnsi="MS UI Gothic" w:eastAsia="MS UI Gothic"/>
          <w:w w:val="95"/>
        </w:rPr>
        <w:t xml:space="preserve">« </w:t>
      </w:r>
      <w:r>
        <w:rPr>
          <w:w w:val="95"/>
        </w:rPr>
        <w:t>国务院关于进一步加强企业安全生产工作的通知</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 xml:space="preserve">国发 </w:t>
      </w:r>
      <w:r>
        <w:rPr>
          <w:rFonts w:hint="eastAsia" w:ascii="MS UI Gothic" w:hAnsi="MS UI Gothic" w:eastAsia="MS UI Gothic"/>
          <w:w w:val="95"/>
        </w:rPr>
        <w:t xml:space="preserve">〔２０１０〕 ２３ </w:t>
      </w:r>
      <w:r>
        <w:rPr>
          <w:w w:val="95"/>
        </w:rPr>
        <w:t>号</w:t>
      </w:r>
      <w:r>
        <w:rPr>
          <w:rFonts w:hint="eastAsia" w:ascii="MS UI Gothic" w:hAnsi="MS UI Gothic" w:eastAsia="MS UI Gothic"/>
          <w:w w:val="140"/>
        </w:rPr>
        <w:t xml:space="preserve">) </w:t>
      </w:r>
      <w:r>
        <w:rPr>
          <w:w w:val="95"/>
        </w:rPr>
        <w:t>和有关法律</w:t>
      </w:r>
      <w:r>
        <w:rPr>
          <w:rFonts w:hint="eastAsia" w:ascii="MS UI Gothic" w:hAnsi="MS UI Gothic" w:eastAsia="MS UI Gothic"/>
          <w:w w:val="95"/>
        </w:rPr>
        <w:t xml:space="preserve">、  </w:t>
      </w:r>
      <w:r>
        <w:rPr>
          <w:w w:val="95"/>
        </w:rPr>
        <w:t>行政法规的规定</w:t>
      </w:r>
      <w:r>
        <w:rPr>
          <w:rFonts w:hint="eastAsia" w:ascii="MS UI Gothic" w:hAnsi="MS UI Gothic" w:eastAsia="MS UI Gothic"/>
          <w:w w:val="85"/>
        </w:rPr>
        <w:t xml:space="preserve">ꎬ  </w:t>
      </w:r>
      <w:r>
        <w:rPr>
          <w:w w:val="95"/>
        </w:rPr>
        <w:t>制定本规定</w:t>
      </w:r>
      <w:r>
        <w:rPr>
          <w:rFonts w:hint="eastAsia" w:ascii="MS UI Gothic" w:hAnsi="MS UI Gothic" w:eastAsia="MS UI Gothic"/>
          <w:w w:val="85"/>
        </w:rPr>
        <w:t>ꎮ</w:t>
      </w:r>
    </w:p>
    <w:p>
      <w:pPr>
        <w:pStyle w:val="6"/>
        <w:spacing w:line="295" w:lineRule="auto"/>
        <w:ind w:right="38"/>
        <w:rPr>
          <w:rFonts w:hint="eastAsia" w:ascii="MS UI Gothic" w:eastAsia="MS UI Gothic"/>
        </w:rPr>
      </w:pPr>
      <w:r>
        <w:rPr>
          <w:spacing w:val="2"/>
          <w:w w:val="105"/>
        </w:rPr>
        <w:t>第二条 煤矿领导带班下井和县级以</w:t>
      </w:r>
      <w:r>
        <w:rPr>
          <w:spacing w:val="3"/>
          <w:w w:val="105"/>
        </w:rPr>
        <w:t>上地方人民政府煤炭行业管理部门</w:t>
      </w:r>
      <w:r>
        <w:rPr>
          <w:rFonts w:hint="eastAsia" w:ascii="MS UI Gothic" w:eastAsia="MS UI Gothic"/>
          <w:spacing w:val="-4"/>
          <w:w w:val="80"/>
        </w:rPr>
        <w:t xml:space="preserve">、 </w:t>
      </w:r>
      <w:r>
        <w:rPr>
          <w:spacing w:val="1"/>
          <w:w w:val="105"/>
        </w:rPr>
        <w:t>煤矿</w:t>
      </w:r>
      <w:r>
        <w:rPr>
          <w:spacing w:val="6"/>
          <w:w w:val="105"/>
        </w:rPr>
        <w:t xml:space="preserve">安全生产监督管理部门 </w:t>
      </w:r>
      <w:r>
        <w:rPr>
          <w:rFonts w:hint="eastAsia" w:ascii="MS UI Gothic" w:eastAsia="MS UI Gothic"/>
          <w:spacing w:val="-37"/>
          <w:w w:val="150"/>
        </w:rPr>
        <w:t xml:space="preserve">( </w:t>
      </w:r>
      <w:r>
        <w:rPr>
          <w:spacing w:val="14"/>
          <w:w w:val="105"/>
        </w:rPr>
        <w:t>以下分别简称</w:t>
      </w:r>
      <w:r>
        <w:rPr>
          <w:spacing w:val="12"/>
          <w:w w:val="105"/>
        </w:rPr>
        <w:t>为煤炭行业管理部门</w:t>
      </w:r>
      <w:r>
        <w:rPr>
          <w:rFonts w:hint="eastAsia" w:ascii="MS UI Gothic" w:eastAsia="MS UI Gothic"/>
          <w:w w:val="80"/>
        </w:rPr>
        <w:t xml:space="preserve">、 </w:t>
      </w:r>
      <w:r>
        <w:rPr>
          <w:spacing w:val="16"/>
          <w:w w:val="105"/>
        </w:rPr>
        <w:t>煤矿安全监管部</w:t>
      </w:r>
      <w:r>
        <w:rPr>
          <w:spacing w:val="3"/>
          <w:w w:val="105"/>
        </w:rPr>
        <w:t>门</w:t>
      </w:r>
      <w:r>
        <w:rPr>
          <w:rFonts w:hint="eastAsia" w:ascii="MS UI Gothic" w:eastAsia="MS UI Gothic"/>
          <w:spacing w:val="-32"/>
          <w:w w:val="115"/>
        </w:rPr>
        <w:t xml:space="preserve">) </w:t>
      </w:r>
      <w:r>
        <w:rPr>
          <w:rFonts w:hint="eastAsia" w:ascii="MS UI Gothic" w:eastAsia="MS UI Gothic"/>
          <w:spacing w:val="-7"/>
          <w:w w:val="80"/>
        </w:rPr>
        <w:t xml:space="preserve">ꎬ </w:t>
      </w:r>
      <w:r>
        <w:rPr>
          <w:spacing w:val="5"/>
          <w:w w:val="105"/>
        </w:rPr>
        <w:t>以及煤矿安全监察机构对其实施监</w:t>
      </w:r>
      <w:r>
        <w:rPr>
          <w:spacing w:val="3"/>
          <w:w w:val="105"/>
        </w:rPr>
        <w:t>督检查</w:t>
      </w:r>
      <w:r>
        <w:rPr>
          <w:rFonts w:hint="eastAsia" w:ascii="MS UI Gothic" w:eastAsia="MS UI Gothic"/>
          <w:w w:val="80"/>
        </w:rPr>
        <w:t xml:space="preserve">ꎬ </w:t>
      </w:r>
      <w:r>
        <w:rPr>
          <w:spacing w:val="3"/>
          <w:w w:val="105"/>
        </w:rPr>
        <w:t>适用本规定</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第三条 煤炭行业管理部门是落实煤</w:t>
      </w:r>
      <w:r>
        <w:t>矿领导带班下井制度的主管部门</w:t>
      </w:r>
      <w:r>
        <w:rPr>
          <w:rFonts w:hint="eastAsia" w:ascii="MS UI Gothic" w:eastAsia="MS UI Gothic"/>
          <w:w w:val="80"/>
        </w:rPr>
        <w:t xml:space="preserve">ꎬ </w:t>
      </w:r>
      <w:r>
        <w:t>负责督</w:t>
      </w:r>
      <w:r>
        <w:rPr>
          <w:w w:val="105"/>
        </w:rPr>
        <w:t>促煤矿抓好有关制度的建设和落实</w:t>
      </w:r>
      <w:r>
        <w:rPr>
          <w:rFonts w:hint="eastAsia" w:ascii="MS UI Gothic" w:eastAsia="MS UI Gothic"/>
          <w:w w:val="80"/>
        </w:rPr>
        <w:t>ꎮ</w:t>
      </w:r>
    </w:p>
    <w:p>
      <w:pPr>
        <w:pStyle w:val="6"/>
        <w:spacing w:line="254" w:lineRule="exact"/>
        <w:ind w:left="543" w:firstLine="0"/>
        <w:jc w:val="left"/>
      </w:pPr>
      <w:r>
        <w:t>煤矿安全监管部门对煤矿领导带班下</w:t>
      </w:r>
    </w:p>
    <w:p>
      <w:pPr>
        <w:pStyle w:val="6"/>
        <w:spacing w:before="174" w:line="295" w:lineRule="auto"/>
        <w:ind w:right="442" w:firstLine="0"/>
        <w:rPr>
          <w:rFonts w:hint="eastAsia" w:ascii="MS UI Gothic" w:eastAsia="MS UI Gothic"/>
        </w:rPr>
      </w:pPr>
      <w:r>
        <w:br w:type="column"/>
      </w:r>
      <w:r>
        <w:t>井进行日常性的监督检查</w:t>
      </w:r>
      <w:r>
        <w:rPr>
          <w:rFonts w:hint="eastAsia" w:ascii="MS UI Gothic" w:eastAsia="MS UI Gothic"/>
          <w:w w:val="80"/>
        </w:rPr>
        <w:t xml:space="preserve">ꎬ </w:t>
      </w:r>
      <w:r>
        <w:t>对煤矿违反带班下井制度的行为依法作出现场处理或者</w:t>
      </w:r>
      <w:r>
        <w:rPr>
          <w:w w:val="105"/>
        </w:rPr>
        <w:t>实施行政处罚</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煤矿安全监察机构对煤矿领导带班下</w:t>
      </w:r>
      <w:r>
        <w:rPr>
          <w:spacing w:val="3"/>
        </w:rPr>
        <w:t>井实施国家监察</w:t>
      </w:r>
      <w:r>
        <w:rPr>
          <w:rFonts w:hint="eastAsia" w:ascii="MS UI Gothic" w:eastAsia="MS UI Gothic"/>
          <w:spacing w:val="20"/>
          <w:w w:val="80"/>
        </w:rPr>
        <w:t xml:space="preserve">ꎬ </w:t>
      </w:r>
      <w:r>
        <w:rPr>
          <w:spacing w:val="2"/>
        </w:rPr>
        <w:t>对煤矿违反带班下井制度的行为依法作出现场处理或者实施行政</w:t>
      </w:r>
      <w:r>
        <w:rPr>
          <w:spacing w:val="3"/>
          <w:w w:val="105"/>
        </w:rPr>
        <w:t>处罚</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第四条 本规定所称的煤矿</w:t>
      </w:r>
      <w:r>
        <w:rPr>
          <w:rFonts w:hint="eastAsia" w:ascii="MS UI Gothic" w:eastAsia="MS UI Gothic"/>
          <w:spacing w:val="7"/>
          <w:w w:val="80"/>
        </w:rPr>
        <w:t xml:space="preserve">ꎬ </w:t>
      </w:r>
      <w:r>
        <w:rPr>
          <w:spacing w:val="2"/>
        </w:rPr>
        <w:t>是指煤</w:t>
      </w:r>
      <w:r>
        <w:rPr>
          <w:spacing w:val="3"/>
        </w:rPr>
        <w:t>矿生产矿井和新建</w:t>
      </w:r>
      <w:r>
        <w:rPr>
          <w:rFonts w:hint="eastAsia" w:ascii="MS UI Gothic" w:eastAsia="MS UI Gothic"/>
          <w:spacing w:val="15"/>
          <w:w w:val="80"/>
        </w:rPr>
        <w:t xml:space="preserve">、 </w:t>
      </w:r>
      <w:r>
        <w:rPr>
          <w:spacing w:val="3"/>
        </w:rPr>
        <w:t>改建</w:t>
      </w:r>
      <w:r>
        <w:rPr>
          <w:rFonts w:hint="eastAsia" w:ascii="MS UI Gothic" w:eastAsia="MS UI Gothic"/>
          <w:spacing w:val="16"/>
          <w:w w:val="80"/>
        </w:rPr>
        <w:t xml:space="preserve">、 </w:t>
      </w:r>
      <w:r>
        <w:rPr>
          <w:spacing w:val="3"/>
        </w:rPr>
        <w:t>扩建</w:t>
      </w:r>
      <w:r>
        <w:rPr>
          <w:rFonts w:hint="eastAsia" w:ascii="MS UI Gothic" w:eastAsia="MS UI Gothic"/>
          <w:spacing w:val="15"/>
          <w:w w:val="80"/>
        </w:rPr>
        <w:t xml:space="preserve">、 </w:t>
      </w:r>
      <w:r>
        <w:rPr>
          <w:spacing w:val="2"/>
        </w:rPr>
        <w:t>技术改</w:t>
      </w:r>
      <w:r>
        <w:rPr>
          <w:spacing w:val="3"/>
        </w:rPr>
        <w:t>造</w:t>
      </w:r>
      <w:r>
        <w:rPr>
          <w:rFonts w:hint="eastAsia" w:ascii="MS UI Gothic" w:eastAsia="MS UI Gothic"/>
          <w:spacing w:val="16"/>
          <w:w w:val="80"/>
        </w:rPr>
        <w:t xml:space="preserve">、 </w:t>
      </w:r>
      <w:r>
        <w:rPr>
          <w:spacing w:val="14"/>
        </w:rPr>
        <w:t>资源整合重组等建设矿井及其施工</w:t>
      </w:r>
      <w:r>
        <w:rPr>
          <w:spacing w:val="3"/>
        </w:rPr>
        <w:t>单位</w:t>
      </w:r>
      <w:r>
        <w:rPr>
          <w:rFonts w:hint="eastAsia" w:ascii="MS UI Gothic" w:eastAsia="MS UI Gothic"/>
          <w:w w:val="80"/>
        </w:rPr>
        <w:t>ꎮ</w:t>
      </w:r>
    </w:p>
    <w:p>
      <w:pPr>
        <w:pStyle w:val="6"/>
        <w:spacing w:line="295" w:lineRule="auto"/>
        <w:ind w:right="442"/>
        <w:rPr>
          <w:rFonts w:hint="eastAsia" w:ascii="MS UI Gothic" w:eastAsia="MS UI Gothic"/>
        </w:rPr>
      </w:pPr>
      <w:r>
        <w:t>本规定所称煤矿领导</w:t>
      </w:r>
      <w:r>
        <w:rPr>
          <w:rFonts w:hint="eastAsia" w:ascii="MS UI Gothic" w:eastAsia="MS UI Gothic"/>
          <w:w w:val="80"/>
        </w:rPr>
        <w:t xml:space="preserve">ꎬ </w:t>
      </w:r>
      <w:r>
        <w:t>是指煤矿的主要负责人</w:t>
      </w:r>
      <w:r>
        <w:rPr>
          <w:rFonts w:hint="eastAsia" w:ascii="MS UI Gothic" w:eastAsia="MS UI Gothic"/>
          <w:w w:val="80"/>
        </w:rPr>
        <w:t xml:space="preserve">、 </w:t>
      </w:r>
      <w:r>
        <w:t>领导班子成员和副总工程师</w:t>
      </w:r>
      <w:r>
        <w:rPr>
          <w:rFonts w:hint="eastAsia" w:ascii="MS UI Gothic" w:eastAsia="MS UI Gothic"/>
          <w:w w:val="80"/>
        </w:rPr>
        <w:t>ꎮ</w:t>
      </w:r>
    </w:p>
    <w:p>
      <w:pPr>
        <w:pStyle w:val="6"/>
        <w:spacing w:line="295" w:lineRule="auto"/>
        <w:ind w:right="442"/>
        <w:rPr>
          <w:rFonts w:hint="eastAsia" w:ascii="MS UI Gothic" w:eastAsia="MS UI Gothic"/>
        </w:rPr>
      </w:pPr>
      <w:r>
        <w:t>建设矿井的领导</w:t>
      </w:r>
      <w:r>
        <w:rPr>
          <w:rFonts w:hint="eastAsia" w:ascii="MS UI Gothic" w:eastAsia="MS UI Gothic"/>
          <w:w w:val="80"/>
        </w:rPr>
        <w:t xml:space="preserve">ꎬ </w:t>
      </w:r>
      <w:r>
        <w:t>是指煤矿建设单位和从事煤矿建设的施工单位的主要负责人</w:t>
      </w:r>
      <w:r>
        <w:rPr>
          <w:rFonts w:hint="eastAsia" w:ascii="MS UI Gothic" w:eastAsia="MS UI Gothic"/>
          <w:w w:val="80"/>
        </w:rPr>
        <w:t xml:space="preserve">、 </w:t>
      </w:r>
      <w:r>
        <w:t>领导班子成员和副总工程师</w:t>
      </w:r>
      <w:r>
        <w:rPr>
          <w:rFonts w:hint="eastAsia" w:ascii="MS UI Gothic" w:eastAsia="MS UI Gothic"/>
          <w:w w:val="80"/>
        </w:rPr>
        <w:t>ꎮ</w:t>
      </w:r>
    </w:p>
    <w:p>
      <w:pPr>
        <w:pStyle w:val="6"/>
        <w:tabs>
          <w:tab w:val="left" w:pos="1382"/>
        </w:tabs>
        <w:spacing w:line="254" w:lineRule="exact"/>
        <w:ind w:left="543" w:firstLine="0"/>
        <w:jc w:val="left"/>
      </w:pPr>
      <w:r>
        <w:rPr>
          <w:spacing w:val="3"/>
          <w:w w:val="105"/>
        </w:rPr>
        <w:t>第五</w:t>
      </w:r>
      <w:r>
        <w:rPr>
          <w:w w:val="105"/>
        </w:rPr>
        <w:t>条</w:t>
      </w:r>
      <w:r>
        <w:rPr>
          <w:w w:val="105"/>
        </w:rPr>
        <w:tab/>
      </w:r>
      <w:r>
        <w:rPr>
          <w:spacing w:val="3"/>
          <w:w w:val="105"/>
        </w:rPr>
        <w:t>煤矿是落实领导带班下井</w:t>
      </w:r>
      <w:r>
        <w:rPr>
          <w:w w:val="105"/>
        </w:rPr>
        <w:t>制</w:t>
      </w:r>
    </w:p>
    <w:p>
      <w:pPr>
        <w:spacing w:after="0" w:line="254"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３７９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37" o:spid="_x0000_s2137" o:spt="203" style="height:2.15pt;width:398.25pt;" coordsize="7965,43">
            <o:lock v:ext="edit"/>
            <v:line id="_x0000_s2138" o:spid="_x0000_s2138" o:spt="20" style="position:absolute;left:0;top:39;height:0;width:7965;" stroked="t" coordsize="21600,21600">
              <v:path arrowok="t"/>
              <v:fill focussize="0,0"/>
              <v:stroke weight="0.388031496062992pt" color="#231F20"/>
              <v:imagedata o:title=""/>
              <o:lock v:ext="edit"/>
            </v:line>
            <v:line id="_x0000_s2139" o:spid="_x0000_s213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度的责任主体</w:t>
      </w:r>
      <w:r>
        <w:rPr>
          <w:rFonts w:hint="eastAsia" w:ascii="MS UI Gothic" w:eastAsia="MS UI Gothic"/>
          <w:w w:val="80"/>
        </w:rPr>
        <w:t xml:space="preserve">ꎬ </w:t>
      </w:r>
      <w:r>
        <w:t>每班必须有矿领导带班下井</w:t>
      </w:r>
      <w:r>
        <w:rPr>
          <w:rFonts w:hint="eastAsia" w:ascii="MS UI Gothic" w:eastAsia="MS UI Gothic"/>
          <w:w w:val="80"/>
        </w:rPr>
        <w:t xml:space="preserve">ꎬ </w:t>
      </w:r>
      <w:r>
        <w:t>并与工人同时下井</w:t>
      </w:r>
      <w:r>
        <w:rPr>
          <w:rFonts w:hint="eastAsia" w:ascii="MS UI Gothic" w:eastAsia="MS UI Gothic"/>
        </w:rPr>
        <w:t xml:space="preserve">、 </w:t>
      </w:r>
      <w:r>
        <w:t>同时升井</w:t>
      </w:r>
      <w:r>
        <w:rPr>
          <w:rFonts w:hint="eastAsia" w:ascii="MS UI Gothic" w:eastAsia="MS UI Gothic"/>
          <w:w w:val="80"/>
        </w:rPr>
        <w:t>ꎮ</w:t>
      </w:r>
    </w:p>
    <w:p>
      <w:pPr>
        <w:pStyle w:val="6"/>
        <w:spacing w:line="295" w:lineRule="auto"/>
        <w:ind w:left="440" w:right="1"/>
        <w:jc w:val="left"/>
        <w:rPr>
          <w:rFonts w:hint="eastAsia" w:ascii="MS UI Gothic" w:eastAsia="MS UI Gothic"/>
        </w:rPr>
      </w:pPr>
      <w:r>
        <w:t>煤矿的主要负责人对落实领导带班下</w:t>
      </w:r>
      <w:r>
        <w:rPr>
          <w:w w:val="105"/>
        </w:rPr>
        <w:t>井制度全面负责</w:t>
      </w:r>
      <w:r>
        <w:rPr>
          <w:rFonts w:hint="eastAsia" w:ascii="MS UI Gothic" w:eastAsia="MS UI Gothic"/>
          <w:w w:val="80"/>
        </w:rPr>
        <w:t>ꎮ</w:t>
      </w:r>
    </w:p>
    <w:p>
      <w:pPr>
        <w:pStyle w:val="6"/>
        <w:spacing w:line="295" w:lineRule="auto"/>
        <w:ind w:left="440" w:right="1"/>
        <w:jc w:val="left"/>
        <w:rPr>
          <w:rFonts w:hint="eastAsia" w:ascii="MS UI Gothic" w:eastAsia="MS UI Gothic"/>
        </w:rPr>
      </w:pPr>
      <w:r>
        <w:t>煤矿集团公司应当加强对所属煤矿领</w:t>
      </w:r>
      <w:r>
        <w:rPr>
          <w:w w:val="105"/>
        </w:rPr>
        <w:t>导带班下井的情况实施监督检查</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第六条 任何单位和个人对煤矿领导</w:t>
      </w:r>
      <w:r>
        <w:t>未按照规定带班下井或者弄虚作假的</w:t>
      </w:r>
      <w:r>
        <w:rPr>
          <w:rFonts w:hint="eastAsia" w:ascii="MS UI Gothic" w:eastAsia="MS UI Gothic"/>
          <w:w w:val="80"/>
        </w:rPr>
        <w:t xml:space="preserve">ꎬ </w:t>
      </w:r>
      <w:r>
        <w:t>均</w:t>
      </w:r>
      <w:r>
        <w:rPr>
          <w:w w:val="105"/>
        </w:rPr>
        <w:t>有权向煤炭行业管理部门</w:t>
      </w:r>
      <w:r>
        <w:rPr>
          <w:rFonts w:hint="eastAsia" w:ascii="MS UI Gothic" w:eastAsia="MS UI Gothic"/>
          <w:w w:val="80"/>
        </w:rPr>
        <w:t xml:space="preserve">、 </w:t>
      </w:r>
      <w:r>
        <w:rPr>
          <w:w w:val="105"/>
        </w:rPr>
        <w:t>煤矿安全监管部门</w:t>
      </w:r>
      <w:r>
        <w:rPr>
          <w:rFonts w:hint="eastAsia" w:ascii="MS UI Gothic" w:eastAsia="MS UI Gothic"/>
          <w:w w:val="80"/>
        </w:rPr>
        <w:t xml:space="preserve">、 </w:t>
      </w:r>
      <w:r>
        <w:rPr>
          <w:w w:val="105"/>
        </w:rPr>
        <w:t>煤矿安全监察机构举报和报告</w:t>
      </w:r>
      <w:r>
        <w:rPr>
          <w:rFonts w:hint="eastAsia" w:ascii="MS UI Gothic" w:eastAsia="MS UI Gothic"/>
          <w:w w:val="80"/>
        </w:rPr>
        <w:t>ꎮ</w:t>
      </w:r>
    </w:p>
    <w:p>
      <w:pPr>
        <w:pStyle w:val="6"/>
        <w:tabs>
          <w:tab w:val="left" w:pos="2222"/>
        </w:tabs>
        <w:spacing w:before="149"/>
        <w:ind w:left="1384" w:firstLine="0"/>
        <w:jc w:val="left"/>
      </w:pPr>
      <w:r>
        <w:rPr>
          <w:spacing w:val="3"/>
          <w:w w:val="105"/>
        </w:rPr>
        <w:t>第二</w:t>
      </w:r>
      <w:r>
        <w:rPr>
          <w:w w:val="105"/>
        </w:rPr>
        <w:t>章</w:t>
      </w:r>
      <w:r>
        <w:rPr>
          <w:w w:val="105"/>
        </w:rPr>
        <w:tab/>
      </w:r>
      <w:r>
        <w:rPr>
          <w:w w:val="105"/>
        </w:rPr>
        <w:t>带</w:t>
      </w:r>
      <w:r>
        <w:rPr>
          <w:spacing w:val="-34"/>
          <w:w w:val="105"/>
        </w:rPr>
        <w:t xml:space="preserve"> </w:t>
      </w:r>
      <w:r>
        <w:rPr>
          <w:w w:val="105"/>
        </w:rPr>
        <w:t>班</w:t>
      </w:r>
      <w:r>
        <w:rPr>
          <w:spacing w:val="-33"/>
          <w:w w:val="105"/>
        </w:rPr>
        <w:t xml:space="preserve"> </w:t>
      </w:r>
      <w:r>
        <w:rPr>
          <w:w w:val="105"/>
        </w:rPr>
        <w:t>下</w:t>
      </w:r>
      <w:r>
        <w:rPr>
          <w:spacing w:val="-33"/>
          <w:w w:val="105"/>
        </w:rPr>
        <w:t xml:space="preserve"> </w:t>
      </w:r>
      <w:r>
        <w:rPr>
          <w:w w:val="105"/>
        </w:rPr>
        <w:t>井</w:t>
      </w:r>
    </w:p>
    <w:p>
      <w:pPr>
        <w:pStyle w:val="6"/>
        <w:spacing w:before="216" w:line="295" w:lineRule="auto"/>
        <w:ind w:left="440"/>
        <w:rPr>
          <w:rFonts w:hint="eastAsia" w:ascii="MS UI Gothic" w:eastAsia="MS UI Gothic"/>
        </w:rPr>
      </w:pPr>
      <w:r>
        <w:t>第七条 煤矿应当建立健全领导带班下井制度</w:t>
      </w:r>
      <w:r>
        <w:rPr>
          <w:rFonts w:hint="eastAsia" w:ascii="MS UI Gothic" w:eastAsia="MS UI Gothic"/>
          <w:w w:val="80"/>
        </w:rPr>
        <w:t xml:space="preserve">ꎬ </w:t>
      </w:r>
      <w:r>
        <w:t>并严格考核</w:t>
      </w:r>
      <w:r>
        <w:rPr>
          <w:rFonts w:hint="eastAsia" w:ascii="MS UI Gothic" w:eastAsia="MS UI Gothic"/>
          <w:w w:val="80"/>
        </w:rPr>
        <w:t xml:space="preserve">ꎮ </w:t>
      </w:r>
      <w:r>
        <w:t>带班下井制度应当明确带班下井人员</w:t>
      </w:r>
      <w:r>
        <w:rPr>
          <w:rFonts w:hint="eastAsia" w:ascii="MS UI Gothic" w:eastAsia="MS UI Gothic"/>
          <w:w w:val="80"/>
        </w:rPr>
        <w:t xml:space="preserve">、 </w:t>
      </w:r>
      <w:r>
        <w:t>每月带班下井的个数</w:t>
      </w:r>
      <w:r>
        <w:rPr>
          <w:rFonts w:hint="eastAsia" w:ascii="MS UI Gothic" w:eastAsia="MS UI Gothic"/>
          <w:w w:val="80"/>
        </w:rPr>
        <w:t xml:space="preserve">、 </w:t>
      </w:r>
      <w:r>
        <w:t>在井下工作时间</w:t>
      </w:r>
      <w:r>
        <w:rPr>
          <w:rFonts w:hint="eastAsia" w:ascii="MS UI Gothic" w:eastAsia="MS UI Gothic"/>
          <w:w w:val="80"/>
        </w:rPr>
        <w:t xml:space="preserve">、 </w:t>
      </w:r>
      <w:r>
        <w:t>带班下井的任务</w:t>
      </w:r>
      <w:r>
        <w:rPr>
          <w:rFonts w:hint="eastAsia" w:ascii="MS UI Gothic" w:eastAsia="MS UI Gothic"/>
          <w:w w:val="80"/>
        </w:rPr>
        <w:t>、</w:t>
      </w:r>
      <w:r>
        <w:t>职责权限</w:t>
      </w:r>
      <w:r>
        <w:rPr>
          <w:rFonts w:hint="eastAsia" w:ascii="MS UI Gothic" w:eastAsia="MS UI Gothic"/>
          <w:w w:val="80"/>
        </w:rPr>
        <w:t xml:space="preserve">、 </w:t>
      </w:r>
      <w:r>
        <w:t>群众监督和考核奖惩等内容</w:t>
      </w:r>
      <w:r>
        <w:rPr>
          <w:rFonts w:hint="eastAsia" w:ascii="MS UI Gothic" w:eastAsia="MS UI Gothic"/>
          <w:w w:val="80"/>
        </w:rPr>
        <w:t>ꎮ</w:t>
      </w:r>
    </w:p>
    <w:p>
      <w:pPr>
        <w:pStyle w:val="6"/>
        <w:spacing w:line="295" w:lineRule="auto"/>
        <w:ind w:left="440" w:right="1"/>
        <w:jc w:val="left"/>
        <w:rPr>
          <w:rFonts w:hint="eastAsia" w:ascii="MS UI Gothic" w:eastAsia="MS UI Gothic"/>
        </w:rPr>
      </w:pPr>
      <w:r>
        <w:t xml:space="preserve">煤矿的主要负责人每月带班下井不得少于 </w:t>
      </w:r>
      <w:r>
        <w:rPr>
          <w:rFonts w:hint="eastAsia" w:ascii="MS UI Gothic" w:eastAsia="MS UI Gothic"/>
          <w:w w:val="80"/>
        </w:rPr>
        <w:t xml:space="preserve">５ </w:t>
      </w:r>
      <w:r>
        <w:t>个</w:t>
      </w:r>
      <w:r>
        <w:rPr>
          <w:rFonts w:hint="eastAsia" w:ascii="MS UI Gothic" w:eastAsia="MS UI Gothic"/>
          <w:w w:val="80"/>
        </w:rPr>
        <w:t>ꎮ</w:t>
      </w:r>
    </w:p>
    <w:p>
      <w:pPr>
        <w:pStyle w:val="6"/>
        <w:spacing w:line="295" w:lineRule="auto"/>
        <w:ind w:left="440" w:right="1"/>
        <w:rPr>
          <w:rFonts w:hint="eastAsia" w:ascii="MS UI Gothic" w:eastAsia="MS UI Gothic"/>
        </w:rPr>
      </w:pPr>
      <w:r>
        <w:t>煤矿领导带班下井时</w:t>
      </w:r>
      <w:r>
        <w:rPr>
          <w:rFonts w:hint="eastAsia" w:ascii="MS UI Gothic" w:eastAsia="MS UI Gothic"/>
          <w:w w:val="80"/>
        </w:rPr>
        <w:t xml:space="preserve">ꎬ </w:t>
      </w:r>
      <w:r>
        <w:t>其领导姓名应当在井口明显位置公示</w:t>
      </w:r>
      <w:r>
        <w:rPr>
          <w:rFonts w:hint="eastAsia" w:ascii="MS UI Gothic" w:eastAsia="MS UI Gothic"/>
          <w:w w:val="80"/>
        </w:rPr>
        <w:t xml:space="preserve">ꎮ </w:t>
      </w:r>
      <w:r>
        <w:t>煤矿领导每月带班下井工作计划的完成情况</w:t>
      </w:r>
      <w:r>
        <w:rPr>
          <w:rFonts w:hint="eastAsia" w:ascii="MS UI Gothic" w:eastAsia="MS UI Gothic"/>
          <w:w w:val="80"/>
        </w:rPr>
        <w:t xml:space="preserve">ꎬ </w:t>
      </w:r>
      <w:r>
        <w:t>应当在煤矿公示栏公示</w:t>
      </w:r>
      <w:r>
        <w:rPr>
          <w:rFonts w:hint="eastAsia" w:ascii="MS UI Gothic" w:eastAsia="MS UI Gothic"/>
          <w:w w:val="80"/>
        </w:rPr>
        <w:t xml:space="preserve">ꎬ </w:t>
      </w:r>
      <w:r>
        <w:t>接受群众监督</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第八条 煤矿领导带班下井制度应当</w:t>
      </w:r>
      <w:r>
        <w:t>按照煤矿的隶属关系报送所在地煤炭行业管理部门</w:t>
      </w:r>
      <w:r>
        <w:rPr>
          <w:rFonts w:hint="eastAsia" w:ascii="MS UI Gothic" w:eastAsia="MS UI Gothic"/>
          <w:w w:val="80"/>
        </w:rPr>
        <w:t xml:space="preserve">ꎬ </w:t>
      </w:r>
      <w:r>
        <w:t>同时抄送煤矿安全监管部门和</w:t>
      </w:r>
      <w:r>
        <w:rPr>
          <w:w w:val="105"/>
        </w:rPr>
        <w:t>驻地煤矿安全监察机构</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第九条 煤矿领导带班下井时</w:t>
      </w:r>
      <w:r>
        <w:rPr>
          <w:rFonts w:hint="eastAsia" w:ascii="MS UI Gothic" w:eastAsia="MS UI Gothic"/>
          <w:w w:val="80"/>
        </w:rPr>
        <w:t xml:space="preserve">ꎬ </w:t>
      </w:r>
      <w:r>
        <w:rPr>
          <w:w w:val="105"/>
        </w:rPr>
        <w:t>应当</w:t>
      </w:r>
      <w:r>
        <w:rPr>
          <w:w w:val="110"/>
        </w:rPr>
        <w:t>履行下列职责</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加强对采煤</w:t>
      </w:r>
      <w:r>
        <w:rPr>
          <w:rFonts w:hint="eastAsia" w:ascii="MS UI Gothic" w:eastAsia="MS UI Gothic"/>
          <w:w w:val="80"/>
        </w:rPr>
        <w:t xml:space="preserve">、 </w:t>
      </w:r>
      <w:r>
        <w:rPr>
          <w:w w:val="105"/>
        </w:rPr>
        <w:t>掘进</w:t>
      </w:r>
      <w:r>
        <w:rPr>
          <w:rFonts w:hint="eastAsia" w:ascii="MS UI Gothic" w:eastAsia="MS UI Gothic"/>
          <w:w w:val="80"/>
        </w:rPr>
        <w:t xml:space="preserve">、 </w:t>
      </w:r>
      <w:r>
        <w:rPr>
          <w:w w:val="105"/>
        </w:rPr>
        <w:t>通风等重点部位</w:t>
      </w:r>
      <w:r>
        <w:rPr>
          <w:rFonts w:hint="eastAsia" w:ascii="MS UI Gothic" w:eastAsia="MS UI Gothic"/>
          <w:w w:val="80"/>
        </w:rPr>
        <w:t xml:space="preserve">、 </w:t>
      </w:r>
      <w:r>
        <w:rPr>
          <w:w w:val="105"/>
        </w:rPr>
        <w:t>关键环节的检查巡视</w:t>
      </w:r>
      <w:r>
        <w:rPr>
          <w:rFonts w:hint="eastAsia" w:ascii="MS UI Gothic" w:eastAsia="MS UI Gothic"/>
          <w:w w:val="80"/>
        </w:rPr>
        <w:t xml:space="preserve">ꎬ </w:t>
      </w:r>
      <w:r>
        <w:rPr>
          <w:w w:val="105"/>
        </w:rPr>
        <w:t>全面掌握当班井下的安全生产状况</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及时发现和组织消除事故隐患</w:t>
      </w:r>
      <w:r>
        <w:t>和险情</w:t>
      </w:r>
      <w:r>
        <w:rPr>
          <w:rFonts w:hint="eastAsia" w:ascii="MS UI Gothic" w:eastAsia="MS UI Gothic"/>
          <w:w w:val="80"/>
        </w:rPr>
        <w:t xml:space="preserve">ꎬ </w:t>
      </w:r>
      <w:r>
        <w:t>及时制止违章违纪行为</w:t>
      </w:r>
      <w:r>
        <w:rPr>
          <w:rFonts w:hint="eastAsia" w:ascii="MS UI Gothic" w:eastAsia="MS UI Gothic"/>
          <w:w w:val="80"/>
        </w:rPr>
        <w:t xml:space="preserve">ꎬ </w:t>
      </w:r>
      <w:r>
        <w:t>严禁违</w:t>
      </w:r>
      <w:r>
        <w:rPr>
          <w:w w:val="105"/>
        </w:rPr>
        <w:t>章指挥</w:t>
      </w:r>
      <w:r>
        <w:rPr>
          <w:rFonts w:hint="eastAsia" w:ascii="MS UI Gothic" w:eastAsia="MS UI Gothic"/>
          <w:w w:val="80"/>
        </w:rPr>
        <w:t xml:space="preserve">ꎬ </w:t>
      </w:r>
      <w:r>
        <w:rPr>
          <w:w w:val="105"/>
        </w:rPr>
        <w:t>严禁超能力组织生产</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遇到险情时</w:t>
      </w:r>
      <w:r>
        <w:rPr>
          <w:rFonts w:hint="eastAsia" w:ascii="MS UI Gothic" w:eastAsia="MS UI Gothic"/>
          <w:w w:val="80"/>
        </w:rPr>
        <w:t xml:space="preserve">ꎬ </w:t>
      </w:r>
      <w:r>
        <w:rPr>
          <w:w w:val="105"/>
        </w:rPr>
        <w:t>立即下达停产撤人命令</w:t>
      </w:r>
      <w:r>
        <w:rPr>
          <w:rFonts w:hint="eastAsia" w:ascii="MS UI Gothic" w:eastAsia="MS UI Gothic"/>
          <w:w w:val="80"/>
        </w:rPr>
        <w:t xml:space="preserve">ꎬ </w:t>
      </w:r>
      <w:r>
        <w:rPr>
          <w:w w:val="105"/>
        </w:rPr>
        <w:t>组织涉险区域人员及时</w:t>
      </w:r>
      <w:r>
        <w:rPr>
          <w:rFonts w:hint="eastAsia" w:ascii="MS UI Gothic" w:eastAsia="MS UI Gothic"/>
          <w:w w:val="80"/>
        </w:rPr>
        <w:t xml:space="preserve">、 </w:t>
      </w:r>
      <w:r>
        <w:rPr>
          <w:w w:val="105"/>
        </w:rPr>
        <w:t>有序撤离到安全地点</w:t>
      </w:r>
      <w:r>
        <w:rPr>
          <w:rFonts w:hint="eastAsia" w:ascii="MS UI Gothic" w:eastAsia="MS UI Gothic"/>
          <w:w w:val="80"/>
        </w:rPr>
        <w:t>ꎮ</w:t>
      </w:r>
    </w:p>
    <w:p>
      <w:pPr>
        <w:pStyle w:val="6"/>
        <w:tabs>
          <w:tab w:val="left" w:pos="1698"/>
        </w:tabs>
        <w:spacing w:line="254" w:lineRule="exact"/>
        <w:ind w:left="860" w:firstLine="0"/>
        <w:jc w:val="left"/>
      </w:pPr>
      <w:r>
        <w:rPr>
          <w:spacing w:val="3"/>
          <w:w w:val="105"/>
        </w:rPr>
        <w:t>第十</w:t>
      </w:r>
      <w:r>
        <w:rPr>
          <w:w w:val="105"/>
        </w:rPr>
        <w:t>条</w:t>
      </w:r>
      <w:r>
        <w:rPr>
          <w:w w:val="105"/>
        </w:rPr>
        <w:tab/>
      </w:r>
      <w:r>
        <w:rPr>
          <w:spacing w:val="3"/>
        </w:rPr>
        <w:t>煤矿领导带班下井实行井</w:t>
      </w:r>
      <w:r>
        <w:t>下</w:t>
      </w:r>
    </w:p>
    <w:p>
      <w:pPr>
        <w:pStyle w:val="6"/>
        <w:spacing w:before="124"/>
        <w:ind w:left="381" w:firstLine="0"/>
        <w:jc w:val="left"/>
        <w:rPr>
          <w:rFonts w:hint="eastAsia" w:ascii="MS UI Gothic" w:eastAsia="MS UI Gothic"/>
        </w:rPr>
      </w:pPr>
      <w:r>
        <w:br w:type="column"/>
      </w:r>
      <w:r>
        <w:t>交接班制度</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spacing w:val="2"/>
        </w:rPr>
        <w:t>上一班的带班领导应当在井下向接班</w:t>
      </w:r>
      <w:r>
        <w:rPr>
          <w:spacing w:val="3"/>
          <w:w w:val="105"/>
        </w:rPr>
        <w:t>的领导详细说明井下安全状况</w:t>
      </w:r>
      <w:r>
        <w:rPr>
          <w:rFonts w:hint="eastAsia" w:ascii="MS UI Gothic" w:eastAsia="MS UI Gothic"/>
          <w:spacing w:val="-2"/>
          <w:w w:val="80"/>
        </w:rPr>
        <w:t xml:space="preserve">、 </w:t>
      </w:r>
      <w:r>
        <w:rPr>
          <w:spacing w:val="2"/>
          <w:w w:val="105"/>
        </w:rPr>
        <w:t>存在的问</w:t>
      </w:r>
      <w:r>
        <w:rPr>
          <w:spacing w:val="3"/>
          <w:w w:val="105"/>
        </w:rPr>
        <w:t>题及原因</w:t>
      </w:r>
      <w:r>
        <w:rPr>
          <w:rFonts w:hint="eastAsia" w:ascii="MS UI Gothic" w:eastAsia="MS UI Gothic"/>
          <w:spacing w:val="-1"/>
          <w:w w:val="80"/>
        </w:rPr>
        <w:t xml:space="preserve">、 </w:t>
      </w:r>
      <w:r>
        <w:rPr>
          <w:spacing w:val="3"/>
          <w:w w:val="105"/>
        </w:rPr>
        <w:t>需要注意的事项等</w:t>
      </w:r>
      <w:r>
        <w:rPr>
          <w:rFonts w:hint="eastAsia" w:ascii="MS UI Gothic" w:eastAsia="MS UI Gothic"/>
          <w:w w:val="80"/>
        </w:rPr>
        <w:t xml:space="preserve">ꎬ </w:t>
      </w:r>
      <w:r>
        <w:rPr>
          <w:spacing w:val="2"/>
          <w:w w:val="105"/>
        </w:rPr>
        <w:t>并认真填</w:t>
      </w:r>
      <w:r>
        <w:rPr>
          <w:spacing w:val="3"/>
          <w:w w:val="105"/>
        </w:rPr>
        <w:t>写交接班记录簿</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第十一条 煤矿应当建立领导带班下</w:t>
      </w:r>
      <w:r>
        <w:rPr>
          <w:spacing w:val="3"/>
          <w:w w:val="105"/>
        </w:rPr>
        <w:t>井档案管理制度</w:t>
      </w:r>
      <w:r>
        <w:rPr>
          <w:rFonts w:hint="eastAsia" w:ascii="MS UI Gothic" w:eastAsia="MS UI Gothic"/>
          <w:w w:val="80"/>
        </w:rPr>
        <w:t>ꎮ</w:t>
      </w:r>
    </w:p>
    <w:p>
      <w:pPr>
        <w:pStyle w:val="6"/>
        <w:spacing w:line="295" w:lineRule="auto"/>
        <w:ind w:left="381" w:right="126"/>
        <w:rPr>
          <w:rFonts w:hint="eastAsia" w:ascii="MS UI Gothic" w:eastAsia="MS UI Gothic"/>
        </w:rPr>
      </w:pPr>
      <w:r>
        <w:t>煤矿领导升井后</w:t>
      </w:r>
      <w:r>
        <w:rPr>
          <w:rFonts w:hint="eastAsia" w:ascii="MS UI Gothic" w:eastAsia="MS UI Gothic"/>
          <w:w w:val="80"/>
        </w:rPr>
        <w:t xml:space="preserve">ꎬ </w:t>
      </w:r>
      <w:r>
        <w:t>应当及时将下井的时间</w:t>
      </w:r>
      <w:r>
        <w:rPr>
          <w:rFonts w:hint="eastAsia" w:ascii="MS UI Gothic" w:eastAsia="MS UI Gothic"/>
          <w:w w:val="80"/>
        </w:rPr>
        <w:t xml:space="preserve">、 </w:t>
      </w:r>
      <w:r>
        <w:t>地点</w:t>
      </w:r>
      <w:r>
        <w:rPr>
          <w:rFonts w:hint="eastAsia" w:ascii="MS UI Gothic" w:eastAsia="MS UI Gothic"/>
          <w:w w:val="80"/>
        </w:rPr>
        <w:t xml:space="preserve">、 </w:t>
      </w:r>
      <w:r>
        <w:t>经过路线</w:t>
      </w:r>
      <w:r>
        <w:rPr>
          <w:rFonts w:hint="eastAsia" w:ascii="MS UI Gothic" w:eastAsia="MS UI Gothic"/>
          <w:w w:val="80"/>
        </w:rPr>
        <w:t xml:space="preserve">、 </w:t>
      </w:r>
      <w:r>
        <w:t>发现的问题及处理情况</w:t>
      </w:r>
      <w:r>
        <w:rPr>
          <w:rFonts w:hint="eastAsia" w:ascii="MS UI Gothic" w:eastAsia="MS UI Gothic"/>
          <w:w w:val="80"/>
        </w:rPr>
        <w:t xml:space="preserve">、 </w:t>
      </w:r>
      <w:r>
        <w:t>意见等有关情况进行登记</w:t>
      </w:r>
      <w:r>
        <w:rPr>
          <w:rFonts w:hint="eastAsia" w:ascii="MS UI Gothic" w:eastAsia="MS UI Gothic"/>
          <w:w w:val="80"/>
        </w:rPr>
        <w:t xml:space="preserve">ꎬ </w:t>
      </w:r>
      <w:r>
        <w:t>并由专人负责整理和存档备查</w:t>
      </w:r>
      <w:r>
        <w:rPr>
          <w:rFonts w:hint="eastAsia" w:ascii="MS UI Gothic" w:eastAsia="MS UI Gothic"/>
          <w:w w:val="80"/>
        </w:rPr>
        <w:t>ꎮ</w:t>
      </w:r>
    </w:p>
    <w:p>
      <w:pPr>
        <w:pStyle w:val="6"/>
        <w:spacing w:line="295" w:lineRule="auto"/>
        <w:ind w:left="381" w:right="126"/>
        <w:rPr>
          <w:rFonts w:hint="eastAsia" w:ascii="MS UI Gothic" w:eastAsia="MS UI Gothic"/>
        </w:rPr>
      </w:pPr>
      <w:r>
        <w:t>煤矿领导带班下井的相关记录和煤矿井下人员定位系统存储信息保存期不少于</w:t>
      </w:r>
      <w:r>
        <w:rPr>
          <w:w w:val="105"/>
        </w:rPr>
        <w:t>一年</w:t>
      </w:r>
      <w:r>
        <w:rPr>
          <w:rFonts w:hint="eastAsia" w:ascii="MS UI Gothic" w:eastAsia="MS UI Gothic"/>
          <w:w w:val="80"/>
        </w:rPr>
        <w:t>ꎮ</w:t>
      </w:r>
    </w:p>
    <w:p>
      <w:pPr>
        <w:pStyle w:val="6"/>
        <w:spacing w:line="295" w:lineRule="auto"/>
        <w:ind w:left="381" w:right="126"/>
        <w:rPr>
          <w:rFonts w:hint="eastAsia" w:ascii="MS UI Gothic" w:eastAsia="MS UI Gothic"/>
        </w:rPr>
      </w:pPr>
      <w:r>
        <w:t>第十二条  煤矿没有领导带班下井的</w:t>
      </w:r>
      <w:r>
        <w:rPr>
          <w:rFonts w:hint="eastAsia" w:ascii="MS UI Gothic" w:eastAsia="MS UI Gothic"/>
          <w:w w:val="80"/>
        </w:rPr>
        <w:t xml:space="preserve">ꎬ </w:t>
      </w:r>
      <w:r>
        <w:t>煤矿从业人员有权拒绝下井作业</w:t>
      </w:r>
      <w:r>
        <w:rPr>
          <w:rFonts w:hint="eastAsia" w:ascii="MS UI Gothic" w:eastAsia="MS UI Gothic"/>
          <w:w w:val="80"/>
        </w:rPr>
        <w:t xml:space="preserve">ꎮ </w:t>
      </w:r>
      <w:r>
        <w:t>煤矿不得因此降低从业人员工资</w:t>
      </w:r>
      <w:r>
        <w:rPr>
          <w:rFonts w:hint="eastAsia" w:ascii="MS UI Gothic" w:eastAsia="MS UI Gothic"/>
          <w:w w:val="80"/>
        </w:rPr>
        <w:t xml:space="preserve">、 </w:t>
      </w:r>
      <w:r>
        <w:t>福利等待遇或者解除与其订立的劳动合同</w:t>
      </w:r>
      <w:r>
        <w:rPr>
          <w:rFonts w:hint="eastAsia" w:ascii="MS UI Gothic" w:eastAsia="MS UI Gothic"/>
          <w:w w:val="80"/>
        </w:rPr>
        <w:t>ꎮ</w:t>
      </w:r>
    </w:p>
    <w:p>
      <w:pPr>
        <w:pStyle w:val="6"/>
        <w:tabs>
          <w:tab w:val="left" w:pos="2162"/>
        </w:tabs>
        <w:spacing w:before="144"/>
        <w:ind w:left="1324" w:firstLine="0"/>
        <w:jc w:val="left"/>
      </w:pPr>
      <w:r>
        <w:rPr>
          <w:spacing w:val="3"/>
          <w:w w:val="105"/>
        </w:rPr>
        <w:t>第三</w:t>
      </w:r>
      <w:r>
        <w:rPr>
          <w:w w:val="105"/>
        </w:rPr>
        <w:t>章</w:t>
      </w:r>
      <w:r>
        <w:rPr>
          <w:w w:val="105"/>
        </w:rPr>
        <w:tab/>
      </w:r>
      <w:r>
        <w:rPr>
          <w:w w:val="105"/>
        </w:rPr>
        <w:t>监</w:t>
      </w:r>
      <w:r>
        <w:rPr>
          <w:spacing w:val="-33"/>
          <w:w w:val="105"/>
        </w:rPr>
        <w:t xml:space="preserve"> </w:t>
      </w:r>
      <w:r>
        <w:rPr>
          <w:w w:val="105"/>
        </w:rPr>
        <w:t>督</w:t>
      </w:r>
      <w:r>
        <w:rPr>
          <w:spacing w:val="-33"/>
          <w:w w:val="105"/>
        </w:rPr>
        <w:t xml:space="preserve"> </w:t>
      </w:r>
      <w:r>
        <w:rPr>
          <w:w w:val="105"/>
        </w:rPr>
        <w:t>检</w:t>
      </w:r>
      <w:r>
        <w:rPr>
          <w:spacing w:val="-33"/>
          <w:w w:val="105"/>
        </w:rPr>
        <w:t xml:space="preserve"> </w:t>
      </w:r>
      <w:r>
        <w:rPr>
          <w:w w:val="105"/>
        </w:rPr>
        <w:t>查</w:t>
      </w:r>
    </w:p>
    <w:p>
      <w:pPr>
        <w:pStyle w:val="6"/>
        <w:spacing w:before="215" w:line="295" w:lineRule="auto"/>
        <w:ind w:left="381" w:right="126"/>
        <w:rPr>
          <w:rFonts w:hint="eastAsia" w:ascii="MS UI Gothic" w:eastAsia="MS UI Gothic"/>
        </w:rPr>
      </w:pPr>
      <w:r>
        <w:rPr>
          <w:w w:val="105"/>
        </w:rPr>
        <w:t>第十三条 煤炭行业管理部门应当加</w:t>
      </w:r>
      <w:r>
        <w:t>强对煤矿领导带班下井的日常管理和督促检查</w:t>
      </w:r>
      <w:r>
        <w:rPr>
          <w:rFonts w:hint="eastAsia" w:ascii="MS UI Gothic" w:eastAsia="MS UI Gothic"/>
          <w:w w:val="80"/>
        </w:rPr>
        <w:t xml:space="preserve">ꎮ </w:t>
      </w:r>
      <w:r>
        <w:t>煤矿安全监管部门应当将煤矿建立并执行领导带班下井制度作为日常监督检查的重要内容</w:t>
      </w:r>
      <w:r>
        <w:rPr>
          <w:rFonts w:hint="eastAsia" w:ascii="MS UI Gothic" w:eastAsia="MS UI Gothic"/>
          <w:w w:val="80"/>
        </w:rPr>
        <w:t xml:space="preserve">ꎬ </w:t>
      </w:r>
      <w:r>
        <w:t>每季度至少对所辖区域煤矿领导带班下井执行情况进行一次监督</w:t>
      </w:r>
      <w:r>
        <w:rPr>
          <w:w w:val="105"/>
        </w:rPr>
        <w:t>检查</w:t>
      </w:r>
      <w:r>
        <w:rPr>
          <w:rFonts w:hint="eastAsia" w:ascii="MS UI Gothic" w:eastAsia="MS UI Gothic"/>
          <w:w w:val="80"/>
        </w:rPr>
        <w:t>ꎮ</w:t>
      </w:r>
    </w:p>
    <w:p>
      <w:pPr>
        <w:pStyle w:val="6"/>
        <w:spacing w:line="295" w:lineRule="auto"/>
        <w:ind w:left="381" w:right="126"/>
        <w:rPr>
          <w:rFonts w:hint="eastAsia" w:ascii="MS UI Gothic" w:eastAsia="MS UI Gothic"/>
        </w:rPr>
      </w:pPr>
      <w:r>
        <w:t>煤矿领导带班下井执行情况应当在当地主要媒体向社会公布</w:t>
      </w:r>
      <w:r>
        <w:rPr>
          <w:rFonts w:hint="eastAsia" w:ascii="MS UI Gothic" w:eastAsia="MS UI Gothic"/>
          <w:w w:val="80"/>
        </w:rPr>
        <w:t xml:space="preserve">ꎬ </w:t>
      </w:r>
      <w:r>
        <w:t>接受社会监督</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第十四条 煤矿安全监察机构应当将</w:t>
      </w:r>
      <w:r>
        <w:t>煤矿领导带班下井制度执行情况纳入年度监察执法计划</w:t>
      </w:r>
      <w:r>
        <w:rPr>
          <w:rFonts w:hint="eastAsia" w:ascii="MS UI Gothic" w:eastAsia="MS UI Gothic"/>
          <w:w w:val="80"/>
        </w:rPr>
        <w:t xml:space="preserve">ꎬ </w:t>
      </w:r>
      <w:r>
        <w:t>每年至少进行两次专项监</w:t>
      </w:r>
      <w:r>
        <w:rPr>
          <w:w w:val="105"/>
        </w:rPr>
        <w:t>察或者重点监察</w:t>
      </w:r>
      <w:r>
        <w:rPr>
          <w:rFonts w:hint="eastAsia" w:ascii="MS UI Gothic" w:eastAsia="MS UI Gothic"/>
          <w:w w:val="80"/>
        </w:rPr>
        <w:t>ꎮ</w:t>
      </w:r>
    </w:p>
    <w:p>
      <w:pPr>
        <w:pStyle w:val="6"/>
        <w:spacing w:line="295" w:lineRule="auto"/>
        <w:ind w:left="381" w:right="126"/>
        <w:rPr>
          <w:rFonts w:hint="eastAsia" w:ascii="MS UI Gothic" w:eastAsia="MS UI Gothic"/>
        </w:rPr>
      </w:pPr>
      <w:r>
        <w:t>煤矿领导带班下井的专项监察或者重点监察的情况应当报告上一级煤矿安全监</w:t>
      </w:r>
      <w:r>
        <w:rPr>
          <w:w w:val="105"/>
        </w:rPr>
        <w:t>察机构</w:t>
      </w:r>
      <w:r>
        <w:rPr>
          <w:rFonts w:hint="eastAsia" w:ascii="MS UI Gothic" w:eastAsia="MS UI Gothic"/>
          <w:w w:val="80"/>
        </w:rPr>
        <w:t xml:space="preserve">ꎬ </w:t>
      </w:r>
      <w:r>
        <w:rPr>
          <w:w w:val="105"/>
        </w:rPr>
        <w:t>并通报有关地方人民政府</w:t>
      </w:r>
      <w:r>
        <w:rPr>
          <w:rFonts w:hint="eastAsia" w:ascii="MS UI Gothic" w:eastAsia="MS UI Gothic"/>
          <w:w w:val="80"/>
        </w:rPr>
        <w:t>ꎮ</w:t>
      </w:r>
    </w:p>
    <w:p>
      <w:pPr>
        <w:pStyle w:val="6"/>
        <w:spacing w:line="295" w:lineRule="auto"/>
        <w:ind w:left="381" w:right="126"/>
      </w:pPr>
      <w:r>
        <w:rPr>
          <w:w w:val="105"/>
        </w:rPr>
        <w:t>第十五条 煤炭行业管理部门</w:t>
      </w:r>
      <w:r>
        <w:rPr>
          <w:rFonts w:hint="eastAsia" w:ascii="MS UI Gothic" w:eastAsia="MS UI Gothic"/>
          <w:w w:val="80"/>
        </w:rPr>
        <w:t xml:space="preserve">、 </w:t>
      </w:r>
      <w:r>
        <w:rPr>
          <w:w w:val="105"/>
        </w:rPr>
        <w:t>煤矿安全监管部门</w:t>
      </w:r>
      <w:r>
        <w:rPr>
          <w:rFonts w:hint="eastAsia" w:ascii="MS UI Gothic" w:eastAsia="MS UI Gothic"/>
          <w:w w:val="80"/>
        </w:rPr>
        <w:t xml:space="preserve">、 </w:t>
      </w:r>
      <w:r>
        <w:rPr>
          <w:w w:val="105"/>
        </w:rPr>
        <w:t>煤矿安全监察机构对煤矿</w:t>
      </w:r>
      <w:r>
        <w:t>领导带班下井情况进行监督检查</w:t>
      </w:r>
      <w:r>
        <w:rPr>
          <w:rFonts w:hint="eastAsia" w:ascii="MS UI Gothic" w:eastAsia="MS UI Gothic"/>
          <w:w w:val="80"/>
        </w:rPr>
        <w:t xml:space="preserve">ꎬ </w:t>
      </w:r>
      <w:r>
        <w:t>可以采</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３８０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40" o:spid="_x0000_s2140" o:spt="203" style="height:2.15pt;width:398.25pt;" coordsize="7965,43">
            <o:lock v:ext="edit"/>
            <v:line id="_x0000_s2141" o:spid="_x0000_s2141" o:spt="20" style="position:absolute;left:0;top:39;height:0;width:7965;" stroked="t" coordsize="21600,21600">
              <v:path arrowok="t"/>
              <v:fill focussize="0,0"/>
              <v:stroke weight="0.388031496062992pt" color="#231F20"/>
              <v:imagedata o:title=""/>
              <o:lock v:ext="edit"/>
            </v:line>
            <v:line id="_x0000_s2142" o:spid="_x0000_s214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rPr>
          <w:w w:val="105"/>
        </w:rPr>
        <w:t>取现场随机询问煤矿从业人员</w:t>
      </w:r>
      <w:r>
        <w:rPr>
          <w:rFonts w:hint="eastAsia" w:ascii="MS UI Gothic" w:eastAsia="MS UI Gothic"/>
          <w:w w:val="80"/>
        </w:rPr>
        <w:t xml:space="preserve">、 </w:t>
      </w:r>
      <w:r>
        <w:rPr>
          <w:w w:val="105"/>
        </w:rPr>
        <w:t>查阅井下交接班及下井档案记录</w:t>
      </w:r>
      <w:r>
        <w:rPr>
          <w:rFonts w:hint="eastAsia" w:ascii="MS UI Gothic" w:eastAsia="MS UI Gothic"/>
          <w:w w:val="80"/>
        </w:rPr>
        <w:t xml:space="preserve">、 </w:t>
      </w:r>
      <w:r>
        <w:rPr>
          <w:w w:val="105"/>
        </w:rPr>
        <w:t>听取煤矿从业人员反映</w:t>
      </w:r>
      <w:r>
        <w:rPr>
          <w:rFonts w:hint="eastAsia" w:ascii="MS UI Gothic" w:eastAsia="MS UI Gothic"/>
          <w:w w:val="80"/>
        </w:rPr>
        <w:t xml:space="preserve">、 </w:t>
      </w:r>
      <w:r>
        <w:rPr>
          <w:w w:val="105"/>
        </w:rPr>
        <w:t>调阅煤矿井下人员定位系统监控记录等方式</w:t>
      </w:r>
      <w:r>
        <w:rPr>
          <w:rFonts w:hint="eastAsia" w:ascii="MS UI Gothic" w:eastAsia="MS UI Gothic"/>
          <w:w w:val="80"/>
        </w:rPr>
        <w:t>ꎮ</w:t>
      </w:r>
    </w:p>
    <w:p>
      <w:pPr>
        <w:pStyle w:val="6"/>
        <w:spacing w:line="295" w:lineRule="auto"/>
        <w:ind w:right="39"/>
        <w:rPr>
          <w:rFonts w:hint="eastAsia" w:ascii="MS UI Gothic" w:eastAsia="MS UI Gothic"/>
        </w:rPr>
      </w:pPr>
      <w:r>
        <w:rPr>
          <w:spacing w:val="5"/>
          <w:w w:val="105"/>
        </w:rPr>
        <w:t>第十六条 煤炭行业管理部门</w:t>
      </w:r>
      <w:r>
        <w:rPr>
          <w:rFonts w:hint="eastAsia" w:ascii="MS UI Gothic" w:eastAsia="MS UI Gothic"/>
          <w:spacing w:val="18"/>
          <w:w w:val="80"/>
        </w:rPr>
        <w:t xml:space="preserve">、 </w:t>
      </w:r>
      <w:r>
        <w:rPr>
          <w:spacing w:val="1"/>
          <w:w w:val="105"/>
        </w:rPr>
        <w:t>煤矿</w:t>
      </w:r>
      <w:r>
        <w:rPr>
          <w:spacing w:val="3"/>
          <w:w w:val="105"/>
        </w:rPr>
        <w:t>安全监管部门</w:t>
      </w:r>
      <w:r>
        <w:rPr>
          <w:rFonts w:hint="eastAsia" w:ascii="MS UI Gothic" w:eastAsia="MS UI Gothic"/>
          <w:spacing w:val="-4"/>
          <w:w w:val="80"/>
        </w:rPr>
        <w:t xml:space="preserve">、 </w:t>
      </w:r>
      <w:r>
        <w:rPr>
          <w:spacing w:val="2"/>
          <w:w w:val="105"/>
        </w:rPr>
        <w:t>煤矿安全监察机构对煤矿</w:t>
      </w:r>
      <w:r>
        <w:rPr>
          <w:spacing w:val="3"/>
        </w:rPr>
        <w:t>领导带班下井情况进行监督检查时</w:t>
      </w:r>
      <w:r>
        <w:rPr>
          <w:rFonts w:hint="eastAsia" w:ascii="MS UI Gothic" w:eastAsia="MS UI Gothic"/>
          <w:spacing w:val="21"/>
          <w:w w:val="80"/>
        </w:rPr>
        <w:t xml:space="preserve">ꎬ </w:t>
      </w:r>
      <w:r>
        <w:rPr>
          <w:spacing w:val="1"/>
        </w:rPr>
        <w:t>重点</w:t>
      </w:r>
      <w:r>
        <w:rPr>
          <w:spacing w:val="3"/>
          <w:w w:val="105"/>
        </w:rPr>
        <w:t>检查下列内容</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是否建立健全煤矿领导带班下</w:t>
      </w:r>
      <w:r>
        <w:rPr>
          <w:spacing w:val="3"/>
        </w:rPr>
        <w:t>井制度</w:t>
      </w:r>
      <w:r>
        <w:rPr>
          <w:rFonts w:hint="eastAsia" w:ascii="MS UI Gothic" w:eastAsia="MS UI Gothic"/>
          <w:spacing w:val="21"/>
          <w:w w:val="80"/>
        </w:rPr>
        <w:t xml:space="preserve">ꎬ </w:t>
      </w:r>
      <w:r>
        <w:rPr>
          <w:spacing w:val="2"/>
        </w:rPr>
        <w:t>包括井下交接班制度和带班下井</w:t>
      </w:r>
      <w:r>
        <w:rPr>
          <w:spacing w:val="3"/>
          <w:w w:val="105"/>
        </w:rPr>
        <w:t>档案管理制度</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煤矿领导特别是煤矿主要负责</w:t>
      </w:r>
      <w:r>
        <w:rPr>
          <w:w w:val="110"/>
        </w:rPr>
        <w:t>人带班下井情况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是否制订煤矿领导每月轮流带班下井工作计划以及工作计划执行</w:t>
      </w:r>
      <w:r>
        <w:rPr>
          <w:rFonts w:hint="eastAsia" w:ascii="MS UI Gothic" w:eastAsia="MS UI Gothic"/>
          <w:w w:val="80"/>
        </w:rPr>
        <w:t xml:space="preserve">、 </w:t>
      </w:r>
      <w:r>
        <w:rPr>
          <w:w w:val="105"/>
        </w:rPr>
        <w:t>公示</w:t>
      </w:r>
      <w:r>
        <w:rPr>
          <w:rFonts w:hint="eastAsia" w:ascii="MS UI Gothic" w:eastAsia="MS UI Gothic"/>
          <w:w w:val="80"/>
        </w:rPr>
        <w:t xml:space="preserve">、 </w:t>
      </w:r>
      <w:r>
        <w:rPr>
          <w:w w:val="105"/>
        </w:rPr>
        <w:t>考核和奖惩等情况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煤矿领导带班下井在井下履行</w:t>
      </w:r>
      <w:r>
        <w:t>职责情况</w:t>
      </w:r>
      <w:r>
        <w:rPr>
          <w:rFonts w:hint="eastAsia" w:ascii="MS UI Gothic" w:eastAsia="MS UI Gothic"/>
          <w:w w:val="80"/>
        </w:rPr>
        <w:t xml:space="preserve">ꎬ </w:t>
      </w:r>
      <w:r>
        <w:t>特别是重大事故隐患和险情的</w:t>
      </w:r>
      <w:r>
        <w:rPr>
          <w:w w:val="105"/>
        </w:rPr>
        <w:t>处置情况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煤矿领导井下交接班记录</w:t>
      </w:r>
      <w:r>
        <w:rPr>
          <w:rFonts w:hint="eastAsia" w:ascii="MS UI Gothic" w:eastAsia="MS UI Gothic"/>
          <w:w w:val="80"/>
        </w:rPr>
        <w:t xml:space="preserve">、  </w:t>
      </w:r>
      <w:r>
        <w:rPr>
          <w:w w:val="105"/>
        </w:rPr>
        <w:t>带班下井档案等情况</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4"/>
          <w:w w:val="125"/>
        </w:rPr>
        <w:t xml:space="preserve">( </w:t>
      </w:r>
      <w:r>
        <w:rPr>
          <w:spacing w:val="29"/>
          <w:w w:val="110"/>
        </w:rPr>
        <w:t>六</w:t>
      </w:r>
      <w:r>
        <w:rPr>
          <w:rFonts w:hint="eastAsia" w:ascii="MS UI Gothic" w:eastAsia="MS UI Gothic"/>
          <w:spacing w:val="-11"/>
          <w:w w:val="125"/>
        </w:rPr>
        <w:t xml:space="preserve">) </w:t>
      </w:r>
      <w:r>
        <w:rPr>
          <w:spacing w:val="41"/>
          <w:w w:val="110"/>
        </w:rPr>
        <w:t>群众举报有关问题的查处</w:t>
      </w:r>
      <w:r>
        <w:rPr>
          <w:spacing w:val="3"/>
          <w:w w:val="110"/>
        </w:rPr>
        <w:t>情况</w:t>
      </w:r>
      <w:r>
        <w:rPr>
          <w:rFonts w:hint="eastAsia" w:ascii="MS UI Gothic" w:eastAsia="MS UI Gothic"/>
          <w:w w:val="80"/>
        </w:rPr>
        <w:t>ꎮ</w:t>
      </w:r>
    </w:p>
    <w:p>
      <w:pPr>
        <w:pStyle w:val="6"/>
        <w:spacing w:line="295" w:lineRule="auto"/>
        <w:ind w:right="39"/>
        <w:rPr>
          <w:rFonts w:hint="eastAsia" w:ascii="MS UI Gothic" w:eastAsia="MS UI Gothic"/>
        </w:rPr>
      </w:pPr>
      <w:r>
        <w:t>第十七条 煤炭行业管理部门</w:t>
      </w:r>
      <w:r>
        <w:rPr>
          <w:rFonts w:hint="eastAsia" w:ascii="MS UI Gothic" w:eastAsia="MS UI Gothic"/>
          <w:w w:val="80"/>
        </w:rPr>
        <w:t xml:space="preserve">、 </w:t>
      </w:r>
      <w:r>
        <w:t>煤矿安全监管部门</w:t>
      </w:r>
      <w:r>
        <w:rPr>
          <w:rFonts w:hint="eastAsia" w:ascii="MS UI Gothic" w:eastAsia="MS UI Gothic"/>
          <w:w w:val="80"/>
        </w:rPr>
        <w:t xml:space="preserve">、 </w:t>
      </w:r>
      <w:r>
        <w:t>煤矿安全监察机构应当建立举报制度</w:t>
      </w:r>
      <w:r>
        <w:rPr>
          <w:rFonts w:hint="eastAsia" w:ascii="MS UI Gothic" w:eastAsia="MS UI Gothic"/>
          <w:w w:val="80"/>
        </w:rPr>
        <w:t xml:space="preserve">ꎬ </w:t>
      </w:r>
      <w:r>
        <w:t>公开举报电话</w:t>
      </w:r>
      <w:r>
        <w:rPr>
          <w:rFonts w:hint="eastAsia" w:ascii="MS UI Gothic" w:eastAsia="MS UI Gothic"/>
          <w:w w:val="80"/>
        </w:rPr>
        <w:t xml:space="preserve">、 </w:t>
      </w:r>
      <w:r>
        <w:t>信箱或者电子邮件地址</w:t>
      </w:r>
      <w:r>
        <w:rPr>
          <w:rFonts w:hint="eastAsia" w:ascii="MS UI Gothic" w:eastAsia="MS UI Gothic"/>
          <w:w w:val="80"/>
        </w:rPr>
        <w:t xml:space="preserve">ꎬ </w:t>
      </w:r>
      <w:r>
        <w:t>受理有关举报</w:t>
      </w:r>
      <w:r>
        <w:rPr>
          <w:rFonts w:hint="eastAsia" w:ascii="MS UI Gothic" w:eastAsia="MS UI Gothic"/>
          <w:w w:val="80"/>
        </w:rPr>
        <w:t xml:space="preserve">ꎻ </w:t>
      </w:r>
      <w:r>
        <w:t>对于受理的举报</w:t>
      </w:r>
      <w:r>
        <w:rPr>
          <w:rFonts w:hint="eastAsia" w:ascii="MS UI Gothic" w:eastAsia="MS UI Gothic"/>
          <w:w w:val="80"/>
        </w:rPr>
        <w:t xml:space="preserve">ꎬ </w:t>
      </w:r>
      <w:r>
        <w:t>应当认真调查核实</w:t>
      </w:r>
      <w:r>
        <w:rPr>
          <w:rFonts w:hint="eastAsia" w:ascii="MS UI Gothic" w:eastAsia="MS UI Gothic"/>
          <w:w w:val="80"/>
        </w:rPr>
        <w:t xml:space="preserve">ꎻ </w:t>
      </w:r>
      <w:r>
        <w:t>经查证属实的</w:t>
      </w:r>
      <w:r>
        <w:rPr>
          <w:rFonts w:hint="eastAsia" w:ascii="MS UI Gothic" w:eastAsia="MS UI Gothic"/>
          <w:w w:val="80"/>
        </w:rPr>
        <w:t xml:space="preserve">ꎬ </w:t>
      </w:r>
      <w:r>
        <w:t>依法从重处罚</w:t>
      </w:r>
      <w:r>
        <w:rPr>
          <w:rFonts w:hint="eastAsia" w:ascii="MS UI Gothic" w:eastAsia="MS UI Gothic"/>
          <w:w w:val="80"/>
        </w:rPr>
        <w:t>ꎮ</w:t>
      </w:r>
    </w:p>
    <w:p>
      <w:pPr>
        <w:pStyle w:val="6"/>
        <w:tabs>
          <w:tab w:val="left" w:pos="1906"/>
        </w:tabs>
        <w:spacing w:before="134"/>
        <w:ind w:left="1067" w:firstLine="0"/>
        <w:jc w:val="left"/>
      </w:pPr>
      <w:r>
        <w:rPr>
          <w:spacing w:val="3"/>
          <w:w w:val="105"/>
        </w:rPr>
        <w:t>第四</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6" w:line="295" w:lineRule="auto"/>
        <w:ind w:right="38"/>
        <w:rPr>
          <w:rFonts w:hint="eastAsia" w:ascii="MS UI Gothic" w:eastAsia="MS UI Gothic"/>
        </w:rPr>
      </w:pPr>
      <w:r>
        <w:rPr>
          <w:spacing w:val="5"/>
          <w:w w:val="105"/>
        </w:rPr>
        <w:t>第十八条 煤矿有下列情形之一的</w:t>
      </w:r>
      <w:r>
        <w:rPr>
          <w:rFonts w:hint="eastAsia" w:ascii="MS UI Gothic" w:eastAsia="MS UI Gothic"/>
          <w:w w:val="80"/>
        </w:rPr>
        <w:t>ꎬ</w:t>
      </w:r>
      <w:r>
        <w:rPr>
          <w:spacing w:val="1"/>
          <w:w w:val="105"/>
        </w:rPr>
        <w:t>给予警告</w:t>
      </w:r>
      <w:r>
        <w:rPr>
          <w:rFonts w:hint="eastAsia" w:ascii="MS UI Gothic" w:eastAsia="MS UI Gothic"/>
          <w:spacing w:val="-1"/>
          <w:w w:val="80"/>
        </w:rPr>
        <w:t xml:space="preserve">ꎬ </w:t>
      </w:r>
      <w:r>
        <w:rPr>
          <w:spacing w:val="-27"/>
          <w:w w:val="105"/>
        </w:rPr>
        <w:t xml:space="preserve">并处 </w:t>
      </w:r>
      <w:r>
        <w:rPr>
          <w:rFonts w:hint="eastAsia" w:ascii="MS UI Gothic" w:eastAsia="MS UI Gothic"/>
          <w:spacing w:val="-11"/>
          <w:w w:val="80"/>
        </w:rPr>
        <w:t xml:space="preserve">３ </w:t>
      </w:r>
      <w:r>
        <w:rPr>
          <w:spacing w:val="3"/>
          <w:w w:val="105"/>
        </w:rPr>
        <w:t>万元罚款</w:t>
      </w:r>
      <w:r>
        <w:rPr>
          <w:rFonts w:hint="eastAsia" w:ascii="MS UI Gothic" w:eastAsia="MS UI Gothic"/>
          <w:spacing w:val="-1"/>
          <w:w w:val="80"/>
        </w:rPr>
        <w:t xml:space="preserve">ꎻ </w:t>
      </w:r>
      <w:r>
        <w:rPr>
          <w:spacing w:val="3"/>
          <w:w w:val="105"/>
        </w:rPr>
        <w:t>对煤矿主要</w:t>
      </w:r>
      <w:r>
        <w:rPr>
          <w:spacing w:val="-10"/>
          <w:w w:val="105"/>
        </w:rPr>
        <w:t xml:space="preserve">负责人处 </w:t>
      </w:r>
      <w:r>
        <w:rPr>
          <w:rFonts w:hint="eastAsia" w:ascii="MS UI Gothic" w:eastAsia="MS UI Gothic"/>
          <w:spacing w:val="4"/>
          <w:w w:val="80"/>
        </w:rPr>
        <w:t xml:space="preserve">１ </w:t>
      </w:r>
      <w:r>
        <w:rPr>
          <w:spacing w:val="3"/>
          <w:w w:val="105"/>
        </w:rPr>
        <w:t>万元罚款</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未建立健全煤矿领导带班下井</w:t>
      </w:r>
      <w:r>
        <w:rPr>
          <w:w w:val="110"/>
        </w:rPr>
        <w:t>制度的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未建立煤矿领导井下交接班制</w:t>
      </w:r>
      <w:r>
        <w:rPr>
          <w:w w:val="110"/>
        </w:rPr>
        <w:t>度的</w:t>
      </w:r>
      <w:r>
        <w:rPr>
          <w:rFonts w:hint="eastAsia" w:ascii="MS UI Gothic" w:eastAsia="MS UI Gothic"/>
          <w:w w:val="80"/>
        </w:rPr>
        <w:t>ꎻ</w:t>
      </w:r>
    </w:p>
    <w:p>
      <w:pPr>
        <w:pStyle w:val="6"/>
        <w:spacing w:line="255" w:lineRule="exact"/>
        <w:ind w:left="543" w:firstLine="0"/>
      </w:pPr>
      <w:r>
        <w:rPr>
          <w:rFonts w:hint="eastAsia" w:ascii="MS UI Gothic" w:eastAsia="MS UI Gothic"/>
          <w:w w:val="110"/>
        </w:rPr>
        <w:t xml:space="preserve">( </w:t>
      </w:r>
      <w:r>
        <w:rPr>
          <w:w w:val="110"/>
        </w:rPr>
        <w:t>三</w:t>
      </w:r>
      <w:r>
        <w:rPr>
          <w:rFonts w:hint="eastAsia" w:ascii="MS UI Gothic" w:eastAsia="MS UI Gothic"/>
          <w:w w:val="110"/>
        </w:rPr>
        <w:t xml:space="preserve">) </w:t>
      </w:r>
      <w:r>
        <w:rPr>
          <w:w w:val="110"/>
        </w:rPr>
        <w:t>未建立煤矿领导带班下井档案</w:t>
      </w:r>
    </w:p>
    <w:p>
      <w:pPr>
        <w:pStyle w:val="6"/>
        <w:spacing w:before="123"/>
        <w:ind w:firstLine="0"/>
        <w:jc w:val="left"/>
        <w:rPr>
          <w:rFonts w:hint="eastAsia" w:ascii="MS UI Gothic" w:eastAsia="MS UI Gothic"/>
        </w:rPr>
      </w:pPr>
      <w:r>
        <w:br w:type="column"/>
      </w:r>
      <w:r>
        <w:t>管理制度的</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煤矿领导每月带班下井情况未</w:t>
      </w:r>
      <w:r>
        <w:rPr>
          <w:w w:val="110"/>
        </w:rPr>
        <w:t>按照规定公示的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未按规定填写煤矿领导下井交接班记录簿</w:t>
      </w:r>
      <w:r>
        <w:rPr>
          <w:rFonts w:hint="eastAsia" w:ascii="MS UI Gothic" w:eastAsia="MS UI Gothic"/>
          <w:w w:val="80"/>
        </w:rPr>
        <w:t xml:space="preserve">、 </w:t>
      </w:r>
      <w:r>
        <w:rPr>
          <w:w w:val="105"/>
        </w:rPr>
        <w:t>带班下井记录或者保存带班下井相关记录档案的</w:t>
      </w:r>
      <w:r>
        <w:rPr>
          <w:rFonts w:hint="eastAsia" w:ascii="MS UI Gothic" w:eastAsia="MS UI Gothic"/>
          <w:w w:val="80"/>
        </w:rPr>
        <w:t>ꎮ</w:t>
      </w:r>
    </w:p>
    <w:p>
      <w:pPr>
        <w:pStyle w:val="6"/>
        <w:spacing w:line="295" w:lineRule="auto"/>
        <w:ind w:right="442"/>
        <w:rPr>
          <w:rFonts w:hint="eastAsia" w:ascii="MS UI Gothic" w:eastAsia="MS UI Gothic"/>
        </w:rPr>
      </w:pPr>
      <w:r>
        <w:t>第十九条 煤矿领导未按规定带班下井</w:t>
      </w:r>
      <w:r>
        <w:rPr>
          <w:rFonts w:hint="eastAsia" w:ascii="MS UI Gothic" w:eastAsia="MS UI Gothic"/>
          <w:w w:val="85"/>
        </w:rPr>
        <w:t xml:space="preserve">ꎬ </w:t>
      </w:r>
      <w:r>
        <w:t>或者带班下井档案虚假的</w:t>
      </w:r>
      <w:r>
        <w:rPr>
          <w:rFonts w:hint="eastAsia" w:ascii="MS UI Gothic" w:eastAsia="MS UI Gothic"/>
          <w:w w:val="85"/>
        </w:rPr>
        <w:t xml:space="preserve">ꎬ </w:t>
      </w:r>
      <w:r>
        <w:t>责令改正</w:t>
      </w:r>
      <w:r>
        <w:rPr>
          <w:rFonts w:hint="eastAsia" w:ascii="MS UI Gothic" w:eastAsia="MS UI Gothic"/>
          <w:w w:val="85"/>
        </w:rPr>
        <w:t xml:space="preserve">ꎬ </w:t>
      </w:r>
      <w:r>
        <w:t xml:space="preserve">并对该煤矿处 </w:t>
      </w:r>
      <w:r>
        <w:rPr>
          <w:rFonts w:hint="eastAsia" w:ascii="MS UI Gothic" w:eastAsia="MS UI Gothic"/>
          <w:w w:val="85"/>
        </w:rPr>
        <w:t xml:space="preserve">１５ </w:t>
      </w:r>
      <w:r>
        <w:t>万元的罚款</w:t>
      </w:r>
      <w:r>
        <w:rPr>
          <w:rFonts w:hint="eastAsia" w:ascii="MS UI Gothic" w:eastAsia="MS UI Gothic"/>
          <w:w w:val="85"/>
        </w:rPr>
        <w:t xml:space="preserve">ꎬ </w:t>
      </w:r>
      <w:r>
        <w:t>对违反规定的煤矿领导按照擅离职守处理</w:t>
      </w:r>
      <w:r>
        <w:rPr>
          <w:rFonts w:hint="eastAsia" w:ascii="MS UI Gothic" w:eastAsia="MS UI Gothic"/>
          <w:w w:val="85"/>
        </w:rPr>
        <w:t xml:space="preserve">ꎬ </w:t>
      </w:r>
      <w:r>
        <w:t xml:space="preserve">对煤矿主要负责人处 </w:t>
      </w:r>
      <w:r>
        <w:rPr>
          <w:rFonts w:hint="eastAsia" w:ascii="MS UI Gothic" w:eastAsia="MS UI Gothic"/>
          <w:w w:val="85"/>
        </w:rPr>
        <w:t xml:space="preserve">１ </w:t>
      </w:r>
      <w:r>
        <w:t>万元的罚款</w:t>
      </w:r>
      <w:r>
        <w:rPr>
          <w:rFonts w:hint="eastAsia" w:ascii="MS UI Gothic" w:eastAsia="MS UI Gothic"/>
          <w:w w:val="85"/>
        </w:rPr>
        <w:t>ꎮ</w:t>
      </w:r>
    </w:p>
    <w:p>
      <w:pPr>
        <w:pStyle w:val="6"/>
        <w:spacing w:line="295" w:lineRule="auto"/>
        <w:ind w:right="440"/>
        <w:rPr>
          <w:rFonts w:hint="eastAsia" w:ascii="MS UI Gothic" w:eastAsia="MS UI Gothic"/>
        </w:rPr>
      </w:pPr>
      <w:r>
        <w:rPr>
          <w:w w:val="105"/>
        </w:rPr>
        <w:t>第二十条 对发生事故而没有煤矿领</w:t>
      </w:r>
      <w:r>
        <w:t>导带班下井的煤矿</w:t>
      </w:r>
      <w:r>
        <w:rPr>
          <w:rFonts w:hint="eastAsia" w:ascii="MS UI Gothic" w:eastAsia="MS UI Gothic"/>
          <w:w w:val="80"/>
        </w:rPr>
        <w:t xml:space="preserve">ꎬ </w:t>
      </w:r>
      <w:r>
        <w:t>依法责令停产整顿</w:t>
      </w:r>
      <w:r>
        <w:rPr>
          <w:rFonts w:hint="eastAsia" w:ascii="MS UI Gothic" w:eastAsia="MS UI Gothic"/>
          <w:w w:val="80"/>
        </w:rPr>
        <w:t>ꎬ</w:t>
      </w:r>
      <w:r>
        <w:t>暂扣或者吊销煤矿安全生产许可证</w:t>
      </w:r>
      <w:r>
        <w:rPr>
          <w:rFonts w:hint="eastAsia" w:ascii="MS UI Gothic" w:eastAsia="MS UI Gothic"/>
          <w:w w:val="80"/>
        </w:rPr>
        <w:t xml:space="preserve">ꎬ </w:t>
      </w:r>
      <w:r>
        <w:t>并依照下列规定处以罚款</w:t>
      </w:r>
      <w:r>
        <w:rPr>
          <w:rFonts w:hint="eastAsia" w:ascii="MS UI Gothic" w:eastAsia="MS UI Gothic"/>
          <w:w w:val="80"/>
        </w:rPr>
        <w:t xml:space="preserve">ꎻ </w:t>
      </w:r>
      <w:r>
        <w:t>情节严重的</w:t>
      </w:r>
      <w:r>
        <w:rPr>
          <w:rFonts w:hint="eastAsia" w:ascii="MS UI Gothic" w:eastAsia="MS UI Gothic"/>
          <w:w w:val="80"/>
        </w:rPr>
        <w:t xml:space="preserve">ꎬ </w:t>
      </w:r>
      <w:r>
        <w:t>提请</w:t>
      </w:r>
      <w:r>
        <w:rPr>
          <w:w w:val="105"/>
        </w:rPr>
        <w:t>有关人民政府依法予以关闭</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19"/>
          <w:w w:val="145"/>
        </w:rPr>
        <w:t>(</w:t>
      </w:r>
      <w:r>
        <w:rPr>
          <w:spacing w:val="3"/>
          <w:w w:val="105"/>
        </w:rPr>
        <w:t>一</w:t>
      </w:r>
      <w:r>
        <w:rPr>
          <w:rFonts w:hint="eastAsia" w:ascii="MS UI Gothic" w:eastAsia="MS UI Gothic"/>
          <w:spacing w:val="1"/>
          <w:w w:val="145"/>
        </w:rPr>
        <w:t xml:space="preserve">) </w:t>
      </w:r>
      <w:r>
        <w:rPr>
          <w:spacing w:val="18"/>
          <w:w w:val="105"/>
        </w:rPr>
        <w:t>发生一般事故的</w:t>
      </w:r>
      <w:r>
        <w:rPr>
          <w:rFonts w:hint="eastAsia" w:ascii="MS UI Gothic" w:eastAsia="MS UI Gothic"/>
          <w:spacing w:val="17"/>
          <w:w w:val="85"/>
        </w:rPr>
        <w:t xml:space="preserve">ꎬ </w:t>
      </w:r>
      <w:r>
        <w:rPr>
          <w:spacing w:val="-27"/>
          <w:w w:val="105"/>
        </w:rPr>
        <w:t xml:space="preserve">处 </w:t>
      </w:r>
      <w:r>
        <w:rPr>
          <w:rFonts w:hint="eastAsia" w:ascii="MS UI Gothic" w:eastAsia="MS UI Gothic"/>
          <w:spacing w:val="2"/>
          <w:w w:val="85"/>
        </w:rPr>
        <w:t xml:space="preserve">５０ </w:t>
      </w:r>
      <w:r>
        <w:rPr>
          <w:spacing w:val="10"/>
          <w:w w:val="105"/>
        </w:rPr>
        <w:t>万元</w:t>
      </w:r>
      <w:r>
        <w:rPr>
          <w:spacing w:val="3"/>
          <w:w w:val="105"/>
        </w:rPr>
        <w:t>的罚款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二</w:t>
      </w:r>
      <w:r>
        <w:rPr>
          <w:rFonts w:hint="eastAsia" w:ascii="MS UI Gothic" w:eastAsia="MS UI Gothic"/>
          <w:spacing w:val="2"/>
          <w:w w:val="140"/>
        </w:rPr>
        <w:t xml:space="preserve">) </w:t>
      </w:r>
      <w:r>
        <w:rPr>
          <w:spacing w:val="7"/>
          <w:w w:val="105"/>
        </w:rPr>
        <w:t>发生较大事故的</w:t>
      </w:r>
      <w:r>
        <w:rPr>
          <w:rFonts w:hint="eastAsia" w:ascii="MS UI Gothic" w:eastAsia="MS UI Gothic"/>
          <w:spacing w:val="14"/>
          <w:w w:val="85"/>
        </w:rPr>
        <w:t xml:space="preserve">ꎬ </w:t>
      </w:r>
      <w:r>
        <w:rPr>
          <w:spacing w:val="-31"/>
          <w:w w:val="105"/>
        </w:rPr>
        <w:t xml:space="preserve">处 </w:t>
      </w:r>
      <w:r>
        <w:rPr>
          <w:rFonts w:hint="eastAsia" w:ascii="MS UI Gothic" w:eastAsia="MS UI Gothic"/>
          <w:spacing w:val="-1"/>
          <w:w w:val="85"/>
        </w:rPr>
        <w:t xml:space="preserve">１００ </w:t>
      </w:r>
      <w:r>
        <w:rPr>
          <w:spacing w:val="6"/>
          <w:w w:val="105"/>
        </w:rPr>
        <w:t>万元</w:t>
      </w:r>
      <w:r>
        <w:rPr>
          <w:spacing w:val="3"/>
          <w:w w:val="105"/>
        </w:rPr>
        <w:t>的罚款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三</w:t>
      </w:r>
      <w:r>
        <w:rPr>
          <w:rFonts w:hint="eastAsia" w:ascii="MS UI Gothic" w:eastAsia="MS UI Gothic"/>
          <w:spacing w:val="2"/>
          <w:w w:val="140"/>
        </w:rPr>
        <w:t xml:space="preserve">) </w:t>
      </w:r>
      <w:r>
        <w:rPr>
          <w:spacing w:val="7"/>
          <w:w w:val="105"/>
        </w:rPr>
        <w:t>发生重大事故的</w:t>
      </w:r>
      <w:r>
        <w:rPr>
          <w:rFonts w:hint="eastAsia" w:ascii="MS UI Gothic" w:eastAsia="MS UI Gothic"/>
          <w:spacing w:val="14"/>
          <w:w w:val="85"/>
        </w:rPr>
        <w:t xml:space="preserve">ꎬ </w:t>
      </w:r>
      <w:r>
        <w:rPr>
          <w:spacing w:val="-31"/>
          <w:w w:val="105"/>
        </w:rPr>
        <w:t xml:space="preserve">处 </w:t>
      </w:r>
      <w:r>
        <w:rPr>
          <w:rFonts w:hint="eastAsia" w:ascii="MS UI Gothic" w:eastAsia="MS UI Gothic"/>
          <w:spacing w:val="-1"/>
          <w:w w:val="85"/>
        </w:rPr>
        <w:t xml:space="preserve">５００ </w:t>
      </w:r>
      <w:r>
        <w:rPr>
          <w:spacing w:val="6"/>
          <w:w w:val="105"/>
        </w:rPr>
        <w:t>万元</w:t>
      </w:r>
      <w:r>
        <w:rPr>
          <w:spacing w:val="3"/>
          <w:w w:val="105"/>
        </w:rPr>
        <w:t>的罚款</w:t>
      </w:r>
      <w:r>
        <w:rPr>
          <w:rFonts w:hint="eastAsia" w:ascii="MS UI Gothic" w:eastAsia="MS UI Gothic"/>
          <w:w w:val="85"/>
        </w:rPr>
        <w:t>ꎻ</w:t>
      </w:r>
    </w:p>
    <w:p>
      <w:pPr>
        <w:pStyle w:val="6"/>
        <w:spacing w:line="255" w:lineRule="exact"/>
        <w:ind w:left="543" w:firstLine="0"/>
        <w:rPr>
          <w:rFonts w:hint="eastAsia" w:ascii="MS UI Gothic" w:eastAsia="MS UI Gothic"/>
        </w:rPr>
      </w:pPr>
      <w:r>
        <w:rPr>
          <w:rFonts w:hint="eastAsia" w:ascii="MS UI Gothic" w:eastAsia="MS UI Gothic"/>
          <w:w w:val="140"/>
        </w:rPr>
        <w:t xml:space="preserve">( </w:t>
      </w:r>
      <w:r>
        <w:rPr>
          <w:w w:val="105"/>
        </w:rPr>
        <w:t>四</w:t>
      </w:r>
      <w:r>
        <w:rPr>
          <w:rFonts w:hint="eastAsia" w:ascii="MS UI Gothic" w:eastAsia="MS UI Gothic"/>
          <w:w w:val="140"/>
        </w:rPr>
        <w:t xml:space="preserve">) </w:t>
      </w:r>
      <w:r>
        <w:rPr>
          <w:w w:val="105"/>
        </w:rPr>
        <w:t>发生特别重大事故的</w:t>
      </w:r>
      <w:r>
        <w:rPr>
          <w:rFonts w:hint="eastAsia" w:ascii="MS UI Gothic" w:eastAsia="MS UI Gothic"/>
          <w:w w:val="90"/>
        </w:rPr>
        <w:t xml:space="preserve">ꎬ </w:t>
      </w:r>
      <w:r>
        <w:rPr>
          <w:w w:val="105"/>
        </w:rPr>
        <w:t xml:space="preserve">处 </w:t>
      </w:r>
      <w:r>
        <w:rPr>
          <w:rFonts w:hint="eastAsia" w:ascii="MS UI Gothic" w:eastAsia="MS UI Gothic"/>
          <w:w w:val="90"/>
        </w:rPr>
        <w:t>２０００</w:t>
      </w:r>
    </w:p>
    <w:p>
      <w:pPr>
        <w:pStyle w:val="6"/>
        <w:spacing w:before="43"/>
        <w:ind w:firstLine="0"/>
        <w:jc w:val="left"/>
        <w:rPr>
          <w:rFonts w:hint="eastAsia" w:ascii="MS UI Gothic" w:eastAsia="MS UI Gothic"/>
        </w:rPr>
      </w:pPr>
      <w:r>
        <w:t>万元的罚款</w:t>
      </w:r>
      <w:r>
        <w:rPr>
          <w:rFonts w:hint="eastAsia" w:ascii="MS UI Gothic" w:eastAsia="MS UI Gothic"/>
          <w:w w:val="80"/>
        </w:rPr>
        <w:t>ꎮ</w:t>
      </w:r>
    </w:p>
    <w:p>
      <w:pPr>
        <w:pStyle w:val="6"/>
        <w:spacing w:before="58" w:line="295" w:lineRule="auto"/>
        <w:ind w:right="442"/>
        <w:rPr>
          <w:rFonts w:hint="eastAsia" w:ascii="MS UI Gothic" w:eastAsia="MS UI Gothic"/>
        </w:rPr>
      </w:pPr>
      <w:r>
        <w:rPr>
          <w:spacing w:val="2"/>
          <w:w w:val="105"/>
        </w:rPr>
        <w:t>第二十一条 对发生事故而没有煤矿</w:t>
      </w:r>
      <w:r>
        <w:rPr>
          <w:spacing w:val="3"/>
        </w:rPr>
        <w:t>领导带班下井的煤矿</w:t>
      </w:r>
      <w:r>
        <w:rPr>
          <w:rFonts w:hint="eastAsia" w:ascii="MS UI Gothic" w:eastAsia="MS UI Gothic"/>
          <w:spacing w:val="20"/>
          <w:w w:val="80"/>
        </w:rPr>
        <w:t xml:space="preserve">ꎬ </w:t>
      </w:r>
      <w:r>
        <w:rPr>
          <w:spacing w:val="2"/>
        </w:rPr>
        <w:t>对其主要负责人依</w:t>
      </w:r>
      <w:r>
        <w:rPr>
          <w:spacing w:val="3"/>
        </w:rPr>
        <w:t>法暂扣或者吊销其安全资格证</w:t>
      </w:r>
      <w:r>
        <w:rPr>
          <w:rFonts w:hint="eastAsia" w:ascii="MS UI Gothic" w:eastAsia="MS UI Gothic"/>
          <w:spacing w:val="20"/>
          <w:w w:val="80"/>
        </w:rPr>
        <w:t xml:space="preserve">ꎬ </w:t>
      </w:r>
      <w:r>
        <w:rPr>
          <w:spacing w:val="2"/>
        </w:rPr>
        <w:t>并依照下</w:t>
      </w:r>
      <w:r>
        <w:rPr>
          <w:spacing w:val="3"/>
          <w:w w:val="105"/>
        </w:rPr>
        <w:t>列规定处以罚款</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一</w:t>
      </w:r>
      <w:r>
        <w:rPr>
          <w:rFonts w:hint="eastAsia" w:ascii="MS UI Gothic" w:eastAsia="MS UI Gothic"/>
          <w:w w:val="140"/>
        </w:rPr>
        <w:t xml:space="preserve">) </w:t>
      </w:r>
      <w:r>
        <w:rPr>
          <w:spacing w:val="5"/>
          <w:w w:val="105"/>
        </w:rPr>
        <w:t>发生一般事故的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３０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二</w:t>
      </w:r>
      <w:r>
        <w:rPr>
          <w:rFonts w:hint="eastAsia" w:ascii="MS UI Gothic" w:eastAsia="MS UI Gothic"/>
          <w:w w:val="140"/>
        </w:rPr>
        <w:t xml:space="preserve">) </w:t>
      </w:r>
      <w:r>
        <w:rPr>
          <w:spacing w:val="5"/>
          <w:w w:val="105"/>
        </w:rPr>
        <w:t>发生较大事故的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４０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三</w:t>
      </w:r>
      <w:r>
        <w:rPr>
          <w:rFonts w:hint="eastAsia" w:ascii="MS UI Gothic" w:eastAsia="MS UI Gothic"/>
          <w:w w:val="140"/>
        </w:rPr>
        <w:t xml:space="preserve">) </w:t>
      </w:r>
      <w:r>
        <w:rPr>
          <w:spacing w:val="5"/>
          <w:w w:val="105"/>
        </w:rPr>
        <w:t>发生重大事故的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６０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w w:val="140"/>
        </w:rPr>
        <w:t xml:space="preserve">( </w:t>
      </w:r>
      <w:r>
        <w:rPr>
          <w:w w:val="105"/>
        </w:rPr>
        <w:t>四</w:t>
      </w:r>
      <w:r>
        <w:rPr>
          <w:rFonts w:hint="eastAsia" w:ascii="MS UI Gothic" w:eastAsia="MS UI Gothic"/>
          <w:w w:val="140"/>
        </w:rPr>
        <w:t xml:space="preserve">) </w:t>
      </w:r>
      <w:r>
        <w:rPr>
          <w:w w:val="105"/>
        </w:rPr>
        <w:t>发生特别重大事故的</w:t>
      </w:r>
      <w:r>
        <w:rPr>
          <w:rFonts w:hint="eastAsia" w:ascii="MS UI Gothic" w:eastAsia="MS UI Gothic"/>
          <w:w w:val="85"/>
        </w:rPr>
        <w:t xml:space="preserve">ꎬ </w:t>
      </w:r>
      <w:r>
        <w:rPr>
          <w:w w:val="105"/>
        </w:rPr>
        <w:t xml:space="preserve">处上一年年收入 </w:t>
      </w:r>
      <w:r>
        <w:rPr>
          <w:rFonts w:hint="eastAsia" w:ascii="MS UI Gothic" w:eastAsia="MS UI Gothic"/>
          <w:w w:val="85"/>
        </w:rPr>
        <w:t>８０</w:t>
      </w:r>
      <w:r>
        <w:rPr>
          <w:w w:val="85"/>
        </w:rPr>
        <w:t xml:space="preserve">％ </w:t>
      </w:r>
      <w:r>
        <w:rPr>
          <w:w w:val="105"/>
        </w:rPr>
        <w:t>的罚款</w:t>
      </w:r>
      <w:r>
        <w:rPr>
          <w:rFonts w:hint="eastAsia" w:ascii="MS UI Gothic" w:eastAsia="MS UI Gothic"/>
          <w:w w:val="85"/>
        </w:rPr>
        <w:t>ꎮ</w:t>
      </w:r>
    </w:p>
    <w:p>
      <w:pPr>
        <w:pStyle w:val="6"/>
        <w:spacing w:line="295" w:lineRule="auto"/>
        <w:ind w:right="442"/>
      </w:pPr>
      <w:r>
        <w:t xml:space="preserve">煤矿的主要负责人未履行 </w:t>
      </w:r>
      <w:r>
        <w:rPr>
          <w:rFonts w:hint="eastAsia" w:ascii="MS UI Gothic" w:hAnsi="MS UI Gothic" w:eastAsia="MS UI Gothic"/>
          <w:w w:val="80"/>
        </w:rPr>
        <w:t xml:space="preserve">« </w:t>
      </w:r>
      <w:r>
        <w:t>安全生产法</w:t>
      </w:r>
      <w:r>
        <w:rPr>
          <w:rFonts w:hint="eastAsia" w:ascii="MS UI Gothic" w:hAnsi="MS UI Gothic" w:eastAsia="MS UI Gothic"/>
          <w:w w:val="80"/>
        </w:rPr>
        <w:t xml:space="preserve">» </w:t>
      </w:r>
      <w:r>
        <w:t>规定的安全生产管理职责</w:t>
      </w:r>
      <w:r>
        <w:rPr>
          <w:rFonts w:hint="eastAsia" w:ascii="MS UI Gothic" w:hAnsi="MS UI Gothic" w:eastAsia="MS UI Gothic"/>
          <w:w w:val="80"/>
        </w:rPr>
        <w:t xml:space="preserve">ꎬ </w:t>
      </w:r>
      <w:r>
        <w:t>导致发生生产安全事故</w:t>
      </w:r>
      <w:r>
        <w:rPr>
          <w:rFonts w:hint="eastAsia" w:ascii="MS UI Gothic" w:hAnsi="MS UI Gothic" w:eastAsia="MS UI Gothic"/>
          <w:w w:val="80"/>
        </w:rPr>
        <w:t xml:space="preserve">ꎬ </w:t>
      </w:r>
      <w:r>
        <w:t>受到刑事处罚或者撤</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３８１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43" o:spid="_x0000_s2143" o:spt="203" style="height:2.15pt;width:398.25pt;" coordsize="7965,43">
            <o:lock v:ext="edit"/>
            <v:line id="_x0000_s2144" o:spid="_x0000_s2144" o:spt="20" style="position:absolute;left:0;top:39;height:0;width:7965;" stroked="t" coordsize="21600,21600">
              <v:path arrowok="t"/>
              <v:fill focussize="0,0"/>
              <v:stroke weight="0.388031496062992pt" color="#231F20"/>
              <v:imagedata o:title=""/>
              <o:lock v:ext="edit"/>
            </v:line>
            <v:line id="_x0000_s2145" o:spid="_x0000_s214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pPr>
      <w:r>
        <w:t>职处分的</w:t>
      </w:r>
      <w:r>
        <w:rPr>
          <w:rFonts w:hint="eastAsia" w:ascii="MS UI Gothic" w:eastAsia="MS UI Gothic"/>
          <w:w w:val="80"/>
        </w:rPr>
        <w:t xml:space="preserve">ꎬ </w:t>
      </w:r>
      <w:r>
        <w:t>自刑罚执行完毕或者受处分之日起</w:t>
      </w:r>
      <w:r>
        <w:rPr>
          <w:rFonts w:hint="eastAsia" w:ascii="MS UI Gothic" w:eastAsia="MS UI Gothic"/>
          <w:w w:val="80"/>
        </w:rPr>
        <w:t xml:space="preserve">ꎬ ５ </w:t>
      </w:r>
      <w:r>
        <w:t>年内不得担任任何生产经营单位的主要负责人</w:t>
      </w:r>
      <w:r>
        <w:rPr>
          <w:rFonts w:hint="eastAsia" w:ascii="MS UI Gothic" w:eastAsia="MS UI Gothic"/>
          <w:w w:val="80"/>
        </w:rPr>
        <w:t xml:space="preserve">ꎻ </w:t>
      </w:r>
      <w:r>
        <w:t>对重大</w:t>
      </w:r>
      <w:r>
        <w:rPr>
          <w:rFonts w:hint="eastAsia" w:ascii="MS UI Gothic" w:eastAsia="MS UI Gothic"/>
          <w:w w:val="80"/>
        </w:rPr>
        <w:t xml:space="preserve">、 </w:t>
      </w:r>
      <w:r>
        <w:t>特别重大生产安全事故负有责任的</w:t>
      </w:r>
      <w:r>
        <w:rPr>
          <w:rFonts w:hint="eastAsia" w:ascii="MS UI Gothic" w:eastAsia="MS UI Gothic"/>
          <w:w w:val="80"/>
        </w:rPr>
        <w:t xml:space="preserve">ꎬ </w:t>
      </w:r>
      <w:r>
        <w:t>终身不得担任煤矿的主要负责人</w:t>
      </w:r>
    </w:p>
    <w:p>
      <w:pPr>
        <w:pStyle w:val="6"/>
        <w:spacing w:line="295" w:lineRule="auto"/>
        <w:ind w:left="440"/>
        <w:rPr>
          <w:rFonts w:hint="eastAsia" w:ascii="MS UI Gothic" w:eastAsia="MS UI Gothic"/>
        </w:rPr>
      </w:pPr>
      <w:r>
        <w:t>第二十二条 本规定的行政处罚</w:t>
      </w:r>
      <w:r>
        <w:rPr>
          <w:rFonts w:hint="eastAsia" w:ascii="MS UI Gothic" w:eastAsia="MS UI Gothic"/>
          <w:w w:val="80"/>
        </w:rPr>
        <w:t xml:space="preserve">ꎬ </w:t>
      </w:r>
      <w:r>
        <w:t>由煤矿安全监管部门</w:t>
      </w:r>
      <w:r>
        <w:rPr>
          <w:rFonts w:hint="eastAsia" w:ascii="MS UI Gothic" w:eastAsia="MS UI Gothic"/>
          <w:w w:val="80"/>
        </w:rPr>
        <w:t xml:space="preserve">、 </w:t>
      </w:r>
      <w:r>
        <w:t>煤矿安全监察机构依照各自的法定职权决定</w:t>
      </w:r>
      <w:r>
        <w:rPr>
          <w:rFonts w:hint="eastAsia" w:ascii="MS UI Gothic" w:eastAsia="MS UI Gothic"/>
          <w:w w:val="80"/>
        </w:rPr>
        <w:t>ꎮ</w:t>
      </w:r>
    </w:p>
    <w:p>
      <w:pPr>
        <w:pStyle w:val="6"/>
        <w:tabs>
          <w:tab w:val="left" w:pos="2327"/>
          <w:tab w:val="left" w:pos="2956"/>
        </w:tabs>
        <w:spacing w:before="151"/>
        <w:ind w:left="1488" w:firstLine="0"/>
        <w:jc w:val="left"/>
      </w:pPr>
      <w:r>
        <w:rPr>
          <w:spacing w:val="3"/>
          <w:w w:val="105"/>
        </w:rPr>
        <w:t>第五</w:t>
      </w:r>
      <w:r>
        <w:rPr>
          <w:w w:val="105"/>
        </w:rPr>
        <w:t>章</w:t>
      </w:r>
      <w:r>
        <w:rPr>
          <w:w w:val="105"/>
        </w:rPr>
        <w:tab/>
      </w:r>
      <w:r>
        <w:rPr>
          <w:w w:val="105"/>
        </w:rPr>
        <w:t>附</w:t>
      </w:r>
      <w:r>
        <w:rPr>
          <w:w w:val="105"/>
        </w:rPr>
        <w:tab/>
      </w:r>
      <w:r>
        <w:rPr>
          <w:w w:val="105"/>
        </w:rPr>
        <w:t>则</w:t>
      </w:r>
    </w:p>
    <w:p>
      <w:pPr>
        <w:pStyle w:val="6"/>
        <w:spacing w:before="215" w:line="295" w:lineRule="auto"/>
        <w:ind w:left="440"/>
      </w:pPr>
      <w:r>
        <w:rPr>
          <w:w w:val="105"/>
        </w:rPr>
        <w:t>第二十三条 省级煤炭行业管理部门</w:t>
      </w:r>
      <w:r>
        <w:t>会同煤矿安全监管部门可以依照本规定制</w:t>
      </w:r>
    </w:p>
    <w:p>
      <w:pPr>
        <w:pStyle w:val="6"/>
        <w:spacing w:before="124" w:line="295" w:lineRule="auto"/>
        <w:ind w:left="383" w:right="126" w:firstLine="0"/>
        <w:jc w:val="left"/>
        <w:rPr>
          <w:rFonts w:hint="eastAsia" w:ascii="MS UI Gothic" w:eastAsia="MS UI Gothic"/>
        </w:rPr>
      </w:pPr>
      <w:r>
        <w:br w:type="column"/>
      </w:r>
      <w:r>
        <w:t>定实施细则</w:t>
      </w:r>
      <w:r>
        <w:rPr>
          <w:rFonts w:hint="eastAsia" w:ascii="MS UI Gothic" w:eastAsia="MS UI Gothic"/>
          <w:w w:val="80"/>
        </w:rPr>
        <w:t xml:space="preserve">ꎬ </w:t>
      </w:r>
      <w:r>
        <w:t>报国家安全生产监督管理总局</w:t>
      </w:r>
      <w:r>
        <w:rPr>
          <w:rFonts w:hint="eastAsia" w:ascii="MS UI Gothic" w:eastAsia="MS UI Gothic"/>
          <w:w w:val="80"/>
        </w:rPr>
        <w:t xml:space="preserve">、 </w:t>
      </w:r>
      <w:r>
        <w:t>国家煤矿安监局备案</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第二十四条 中央企业所属煤矿按照分级属地管理原则</w:t>
      </w:r>
      <w:r>
        <w:rPr>
          <w:rFonts w:hint="eastAsia" w:ascii="MS UI Gothic" w:eastAsia="MS UI Gothic"/>
          <w:w w:val="80"/>
        </w:rPr>
        <w:t xml:space="preserve">ꎬ </w:t>
      </w:r>
      <w:r>
        <w:rPr>
          <w:w w:val="105"/>
        </w:rPr>
        <w:t xml:space="preserve">由省 </w:t>
      </w:r>
      <w:r>
        <w:rPr>
          <w:rFonts w:hint="eastAsia" w:ascii="MS UI Gothic" w:eastAsia="MS UI Gothic"/>
          <w:w w:val="150"/>
        </w:rPr>
        <w:t xml:space="preserve">( </w:t>
      </w:r>
      <w:r>
        <w:rPr>
          <w:w w:val="105"/>
        </w:rPr>
        <w:t>市</w:t>
      </w:r>
      <w:r>
        <w:rPr>
          <w:rFonts w:hint="eastAsia" w:ascii="MS UI Gothic" w:eastAsia="MS UI Gothic"/>
          <w:w w:val="80"/>
        </w:rPr>
        <w:t xml:space="preserve">、 </w:t>
      </w:r>
      <w:r>
        <w:rPr>
          <w:w w:val="105"/>
        </w:rPr>
        <w:t>区</w:t>
      </w:r>
      <w:r>
        <w:rPr>
          <w:rFonts w:hint="eastAsia" w:ascii="MS UI Gothic" w:eastAsia="MS UI Gothic"/>
          <w:w w:val="150"/>
        </w:rPr>
        <w:t>)</w:t>
      </w:r>
      <w:r>
        <w:rPr>
          <w:rFonts w:hint="eastAsia" w:ascii="MS UI Gothic" w:eastAsia="MS UI Gothic"/>
          <w:w w:val="80"/>
        </w:rPr>
        <w:t xml:space="preserve">、 </w:t>
      </w:r>
      <w:r>
        <w:rPr>
          <w:w w:val="105"/>
        </w:rPr>
        <w:t>设区的市人民政府煤炭行业管理部门</w:t>
      </w:r>
      <w:r>
        <w:rPr>
          <w:rFonts w:hint="eastAsia" w:ascii="MS UI Gothic" w:eastAsia="MS UI Gothic"/>
          <w:w w:val="80"/>
        </w:rPr>
        <w:t xml:space="preserve">、 </w:t>
      </w:r>
      <w:r>
        <w:rPr>
          <w:w w:val="105"/>
        </w:rPr>
        <w:t>煤矿</w:t>
      </w:r>
      <w:r>
        <w:t>安全监管部门和煤矿安全监察机构负责监</w:t>
      </w:r>
      <w:r>
        <w:rPr>
          <w:w w:val="105"/>
        </w:rPr>
        <w:t>督监察</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第二十五条 露天煤矿领导带班下井参照本规定执行</w:t>
      </w:r>
      <w:r>
        <w:rPr>
          <w:rFonts w:hint="eastAsia" w:ascii="MS UI Gothic" w:eastAsia="MS UI Gothic"/>
          <w:w w:val="80"/>
        </w:rPr>
        <w:t>ꎮ</w:t>
      </w:r>
    </w:p>
    <w:p>
      <w:pPr>
        <w:pStyle w:val="6"/>
        <w:spacing w:line="295" w:lineRule="auto"/>
        <w:ind w:left="538" w:right="126" w:firstLine="263"/>
        <w:rPr>
          <w:rFonts w:hint="eastAsia" w:ascii="MS UI Gothic" w:eastAsia="MS UI Gothic"/>
        </w:rPr>
      </w:pPr>
      <w:r>
        <w:pict>
          <v:shape id="_x0000_s2146" o:spid="_x0000_s2146" o:spt="202" type="#_x0000_t202" style="position:absolute;left:0pt;margin-left:280.35pt;margin-top:12pt;height:24.35pt;width:5.15pt;mso-position-horizontal-relative:page;z-index:25211392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７</w:t>
                  </w:r>
                </w:p>
              </w:txbxContent>
            </v:textbox>
          </v:shape>
        </w:pict>
      </w:r>
      <w:r>
        <w:rPr>
          <w:w w:val="95"/>
        </w:rPr>
        <w:t xml:space="preserve">第二十六条 本规定自 </w:t>
      </w:r>
      <w:r>
        <w:rPr>
          <w:rFonts w:hint="eastAsia" w:ascii="MS UI Gothic" w:eastAsia="MS UI Gothic"/>
          <w:w w:val="95"/>
        </w:rPr>
        <w:t xml:space="preserve">２０１０ </w:t>
      </w:r>
      <w:r>
        <w:rPr>
          <w:w w:val="95"/>
        </w:rPr>
        <w:t xml:space="preserve">年 </w:t>
      </w:r>
      <w:r>
        <w:rPr>
          <w:rFonts w:hint="eastAsia" w:ascii="MS UI Gothic" w:eastAsia="MS UI Gothic"/>
          <w:w w:val="95"/>
        </w:rPr>
        <w:t xml:space="preserve">１０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2"/>
        <w:ind w:left="0" w:firstLine="0"/>
        <w:jc w:val="left"/>
        <w:rPr>
          <w:rFonts w:ascii="MS UI Gothic"/>
          <w:sz w:val="8"/>
        </w:rPr>
      </w:pPr>
    </w:p>
    <w:p>
      <w:pPr>
        <w:pStyle w:val="4"/>
        <w:spacing w:before="195"/>
        <w:ind w:left="286"/>
        <w:rPr>
          <w:rFonts w:hint="eastAsia" w:ascii="Microsoft Yi Baiti" w:eastAsia="Microsoft Yi Baiti"/>
        </w:rPr>
      </w:pPr>
      <w:r>
        <w:t xml:space="preserve">煤矿安全监察行政处罚办法 </w:t>
      </w:r>
      <w:r>
        <w:rPr>
          <w:rFonts w:hint="eastAsia" w:ascii="Microsoft Yi Baiti" w:eastAsia="Microsoft Yi Baiti"/>
        </w:rPr>
        <w:t>(</w:t>
      </w:r>
      <w:r>
        <w:rPr>
          <w:rFonts w:hint="eastAsia" w:ascii="MS UI Gothic" w:eastAsia="MS UI Gothic"/>
        </w:rPr>
        <w:t xml:space="preserve">２０１５ </w:t>
      </w:r>
      <w:r>
        <w:t>年修正</w:t>
      </w:r>
      <w:r>
        <w:rPr>
          <w:rFonts w:hint="eastAsia" w:ascii="Microsoft Yi Baiti" w:eastAsia="Microsoft Yi Baiti"/>
        </w:rPr>
        <w:t>)</w:t>
      </w:r>
    </w:p>
    <w:p>
      <w:pPr>
        <w:pStyle w:val="6"/>
        <w:spacing w:before="366"/>
        <w:ind w:left="860" w:firstLine="0"/>
        <w:jc w:val="left"/>
        <w:rPr>
          <w:rFonts w:hint="eastAsia" w:ascii="MS UI Gothic" w:eastAsia="MS UI Gothic"/>
        </w:rPr>
      </w:pPr>
      <w:r>
        <w:rPr>
          <w:rFonts w:hint="eastAsia" w:ascii="Microsoft Yi Baiti" w:eastAsia="Microsoft Yi Baiti"/>
          <w:spacing w:val="2"/>
        </w:rPr>
        <w:t>(</w:t>
      </w:r>
      <w:r>
        <w:rPr>
          <w:rFonts w:hint="eastAsia" w:ascii="MS UI Gothic" w:eastAsia="MS UI Gothic"/>
          <w:spacing w:val="-3"/>
        </w:rPr>
        <w:t xml:space="preserve">２００３ </w:t>
      </w:r>
      <w:r>
        <w:rPr>
          <w:spacing w:val="-32"/>
        </w:rPr>
        <w:t xml:space="preserve">年 </w:t>
      </w:r>
      <w:r>
        <w:rPr>
          <w:rFonts w:hint="eastAsia" w:ascii="MS UI Gothic" w:eastAsia="MS UI Gothic"/>
          <w:spacing w:val="-10"/>
        </w:rPr>
        <w:t xml:space="preserve">７ </w:t>
      </w:r>
      <w:r>
        <w:rPr>
          <w:spacing w:val="-32"/>
        </w:rPr>
        <w:t xml:space="preserve">月 </w:t>
      </w:r>
      <w:r>
        <w:rPr>
          <w:rFonts w:hint="eastAsia" w:ascii="MS UI Gothic" w:eastAsia="MS UI Gothic"/>
          <w:spacing w:val="-10"/>
        </w:rPr>
        <w:t xml:space="preserve">２ </w:t>
      </w:r>
      <w:r>
        <w:rPr>
          <w:spacing w:val="-5"/>
        </w:rPr>
        <w:t xml:space="preserve">日国家安全监督管理总局 国家煤矿安监局令第 </w:t>
      </w:r>
      <w:r>
        <w:rPr>
          <w:rFonts w:hint="eastAsia" w:ascii="MS UI Gothic" w:eastAsia="MS UI Gothic"/>
          <w:spacing w:val="-8"/>
        </w:rPr>
        <w:t xml:space="preserve">４ </w:t>
      </w:r>
      <w:r>
        <w:rPr>
          <w:spacing w:val="-12"/>
        </w:rPr>
        <w:t xml:space="preserve">号公布 根据 </w:t>
      </w:r>
      <w:r>
        <w:rPr>
          <w:rFonts w:hint="eastAsia" w:ascii="MS UI Gothic" w:eastAsia="MS UI Gothic"/>
        </w:rPr>
        <w:t>２０１５</w:t>
      </w:r>
    </w:p>
    <w:p>
      <w:pPr>
        <w:pStyle w:val="6"/>
        <w:spacing w:before="58"/>
        <w:ind w:left="440" w:firstLine="0"/>
        <w:jc w:val="left"/>
        <w:rPr>
          <w:rFonts w:hint="eastAsia" w:ascii="Microsoft Yi Baiti" w:eastAsia="Microsoft Yi Baiti"/>
        </w:rPr>
      </w:pPr>
      <w:r>
        <w:t xml:space="preserve">年 </w:t>
      </w:r>
      <w:r>
        <w:rPr>
          <w:rFonts w:hint="eastAsia" w:ascii="MS UI Gothic" w:eastAsia="MS UI Gothic"/>
        </w:rPr>
        <w:t xml:space="preserve">６ </w:t>
      </w:r>
      <w:r>
        <w:t xml:space="preserve">月 </w:t>
      </w:r>
      <w:r>
        <w:rPr>
          <w:rFonts w:hint="eastAsia" w:ascii="MS UI Gothic" w:eastAsia="MS UI Gothic"/>
        </w:rPr>
        <w:t xml:space="preserve">８ </w:t>
      </w:r>
      <w:r>
        <w:t xml:space="preserve">日国家安全监督管理总局令第 </w:t>
      </w:r>
      <w:r>
        <w:rPr>
          <w:rFonts w:hint="eastAsia" w:ascii="MS UI Gothic" w:eastAsia="MS UI Gothic"/>
        </w:rPr>
        <w:t xml:space="preserve">８１ </w:t>
      </w:r>
      <w:r>
        <w:t>号修正</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175" w:line="290" w:lineRule="auto"/>
        <w:ind w:left="440"/>
        <w:rPr>
          <w:rFonts w:hint="eastAsia" w:ascii="MS UI Gothic" w:eastAsia="MS UI Gothic"/>
        </w:rPr>
      </w:pPr>
      <w:r>
        <w:t>第一条  为了制裁煤矿安全违法行为</w:t>
      </w:r>
      <w:r>
        <w:rPr>
          <w:rFonts w:hint="eastAsia" w:ascii="MS UI Gothic" w:eastAsia="MS UI Gothic"/>
          <w:w w:val="80"/>
        </w:rPr>
        <w:t xml:space="preserve">ꎬ </w:t>
      </w:r>
      <w:r>
        <w:t>规范煤矿安全监察行政处罚工作</w:t>
      </w:r>
      <w:r>
        <w:rPr>
          <w:rFonts w:hint="eastAsia" w:ascii="MS UI Gothic" w:eastAsia="MS UI Gothic"/>
          <w:w w:val="80"/>
        </w:rPr>
        <w:t xml:space="preserve">ꎬ </w:t>
      </w:r>
      <w:r>
        <w:t>保障煤矿依法进行生产</w:t>
      </w:r>
      <w:r>
        <w:rPr>
          <w:rFonts w:hint="eastAsia" w:ascii="MS UI Gothic" w:eastAsia="MS UI Gothic"/>
          <w:w w:val="80"/>
        </w:rPr>
        <w:t xml:space="preserve">ꎬ </w:t>
      </w:r>
      <w:r>
        <w:t>根据煤矿安全监察条例及其他有关法律</w:t>
      </w:r>
      <w:r>
        <w:rPr>
          <w:rFonts w:hint="eastAsia" w:ascii="MS UI Gothic" w:eastAsia="MS UI Gothic"/>
          <w:w w:val="80"/>
        </w:rPr>
        <w:t xml:space="preserve">、 </w:t>
      </w:r>
      <w:r>
        <w:t>行政法规的规定</w:t>
      </w:r>
      <w:r>
        <w:rPr>
          <w:rFonts w:hint="eastAsia" w:ascii="MS UI Gothic" w:eastAsia="MS UI Gothic"/>
          <w:w w:val="80"/>
        </w:rPr>
        <w:t>ꎬ</w:t>
      </w:r>
      <w:r>
        <w:t>制定本办法</w:t>
      </w:r>
      <w:r>
        <w:rPr>
          <w:rFonts w:hint="eastAsia" w:ascii="MS UI Gothic" w:eastAsia="MS UI Gothic"/>
          <w:w w:val="80"/>
        </w:rPr>
        <w:t>ꎮ</w:t>
      </w:r>
    </w:p>
    <w:p>
      <w:pPr>
        <w:pStyle w:val="6"/>
        <w:spacing w:before="6" w:line="290" w:lineRule="auto"/>
        <w:ind w:left="440"/>
        <w:rPr>
          <w:rFonts w:hint="eastAsia" w:ascii="MS UI Gothic" w:eastAsia="MS UI Gothic"/>
        </w:rPr>
      </w:pPr>
      <w:r>
        <w:rPr>
          <w:spacing w:val="4"/>
          <w:w w:val="105"/>
        </w:rPr>
        <w:t>第二条 国家煤矿安全监察局</w:t>
      </w:r>
      <w:r>
        <w:rPr>
          <w:rFonts w:hint="eastAsia" w:ascii="MS UI Gothic" w:eastAsia="MS UI Gothic"/>
          <w:spacing w:val="18"/>
          <w:w w:val="80"/>
        </w:rPr>
        <w:t xml:space="preserve">、 </w:t>
      </w:r>
      <w:r>
        <w:rPr>
          <w:spacing w:val="1"/>
          <w:w w:val="105"/>
        </w:rPr>
        <w:t>省级</w:t>
      </w:r>
      <w:r>
        <w:rPr>
          <w:spacing w:val="25"/>
        </w:rPr>
        <w:t xml:space="preserve">煤矿安全监察局和煤矿安全监察分局 </w:t>
      </w:r>
      <w:r>
        <w:rPr>
          <w:rFonts w:hint="eastAsia" w:ascii="MS UI Gothic" w:eastAsia="MS UI Gothic"/>
          <w:spacing w:val="-30"/>
          <w:w w:val="150"/>
        </w:rPr>
        <w:t xml:space="preserve">( </w:t>
      </w:r>
      <w:r>
        <w:rPr>
          <w:spacing w:val="12"/>
          <w:w w:val="105"/>
        </w:rPr>
        <w:t>以下简称煤矿安全监察机构</w:t>
      </w:r>
      <w:r>
        <w:rPr>
          <w:rFonts w:hint="eastAsia" w:ascii="MS UI Gothic" w:eastAsia="MS UI Gothic"/>
          <w:spacing w:val="-42"/>
          <w:w w:val="150"/>
        </w:rPr>
        <w:t xml:space="preserve">) </w:t>
      </w:r>
      <w:r>
        <w:rPr>
          <w:rFonts w:hint="eastAsia" w:ascii="MS UI Gothic" w:eastAsia="MS UI Gothic"/>
          <w:w w:val="80"/>
        </w:rPr>
        <w:t xml:space="preserve">ꎬ </w:t>
      </w:r>
      <w:r>
        <w:rPr>
          <w:spacing w:val="11"/>
          <w:w w:val="105"/>
        </w:rPr>
        <w:t>对煤矿</w:t>
      </w:r>
      <w:r>
        <w:rPr>
          <w:spacing w:val="4"/>
        </w:rPr>
        <w:t>及其有关人员违反有关安全生产的法律</w:t>
      </w:r>
      <w:r>
        <w:rPr>
          <w:rFonts w:hint="eastAsia" w:ascii="MS UI Gothic" w:eastAsia="MS UI Gothic"/>
          <w:w w:val="80"/>
        </w:rPr>
        <w:t>、</w:t>
      </w:r>
      <w:r>
        <w:rPr>
          <w:spacing w:val="3"/>
          <w:w w:val="105"/>
        </w:rPr>
        <w:t>行政法规</w:t>
      </w:r>
      <w:r>
        <w:rPr>
          <w:rFonts w:hint="eastAsia" w:ascii="MS UI Gothic" w:eastAsia="MS UI Gothic"/>
          <w:spacing w:val="16"/>
          <w:w w:val="80"/>
        </w:rPr>
        <w:t xml:space="preserve">、 </w:t>
      </w:r>
      <w:r>
        <w:rPr>
          <w:spacing w:val="3"/>
          <w:w w:val="105"/>
        </w:rPr>
        <w:t>部门规章</w:t>
      </w:r>
      <w:r>
        <w:rPr>
          <w:rFonts w:hint="eastAsia" w:ascii="MS UI Gothic" w:eastAsia="MS UI Gothic"/>
          <w:spacing w:val="17"/>
          <w:w w:val="80"/>
        </w:rPr>
        <w:t xml:space="preserve">、 </w:t>
      </w:r>
      <w:r>
        <w:rPr>
          <w:spacing w:val="3"/>
          <w:w w:val="105"/>
        </w:rPr>
        <w:t>国家标准</w:t>
      </w:r>
      <w:r>
        <w:rPr>
          <w:rFonts w:hint="eastAsia" w:ascii="MS UI Gothic" w:eastAsia="MS UI Gothic"/>
          <w:spacing w:val="17"/>
          <w:w w:val="80"/>
        </w:rPr>
        <w:t xml:space="preserve">、 </w:t>
      </w:r>
      <w:r>
        <w:rPr>
          <w:spacing w:val="2"/>
          <w:w w:val="105"/>
        </w:rPr>
        <w:t>行业标</w:t>
      </w:r>
      <w:r>
        <w:rPr>
          <w:spacing w:val="4"/>
          <w:w w:val="105"/>
        </w:rPr>
        <w:t xml:space="preserve">准和规程的行为 </w:t>
      </w:r>
      <w:r>
        <w:rPr>
          <w:rFonts w:hint="eastAsia" w:ascii="MS UI Gothic" w:eastAsia="MS UI Gothic"/>
          <w:spacing w:val="-37"/>
          <w:w w:val="150"/>
        </w:rPr>
        <w:t xml:space="preserve">( </w:t>
      </w:r>
      <w:r>
        <w:rPr>
          <w:spacing w:val="15"/>
          <w:w w:val="105"/>
        </w:rPr>
        <w:t>以下简称煤矿安全违</w:t>
      </w:r>
      <w:r>
        <w:rPr>
          <w:spacing w:val="13"/>
          <w:w w:val="105"/>
        </w:rPr>
        <w:t>法行为</w:t>
      </w:r>
      <w:r>
        <w:rPr>
          <w:rFonts w:hint="eastAsia" w:ascii="MS UI Gothic" w:eastAsia="MS UI Gothic"/>
          <w:spacing w:val="-15"/>
          <w:w w:val="150"/>
        </w:rPr>
        <w:t xml:space="preserve">) </w:t>
      </w:r>
      <w:r>
        <w:rPr>
          <w:spacing w:val="24"/>
          <w:w w:val="105"/>
        </w:rPr>
        <w:t>实施行政处罚</w:t>
      </w:r>
      <w:r>
        <w:rPr>
          <w:rFonts w:hint="eastAsia" w:ascii="MS UI Gothic" w:eastAsia="MS UI Gothic"/>
          <w:spacing w:val="2"/>
          <w:w w:val="80"/>
        </w:rPr>
        <w:t xml:space="preserve">ꎬ </w:t>
      </w:r>
      <w:r>
        <w:rPr>
          <w:spacing w:val="23"/>
          <w:w w:val="105"/>
        </w:rPr>
        <w:t>适用本办法</w:t>
      </w:r>
      <w:r>
        <w:rPr>
          <w:rFonts w:hint="eastAsia" w:ascii="MS UI Gothic" w:eastAsia="MS UI Gothic"/>
          <w:spacing w:val="-14"/>
          <w:w w:val="80"/>
        </w:rPr>
        <w:t>ꎮ</w:t>
      </w:r>
      <w:r>
        <w:rPr>
          <w:spacing w:val="3"/>
        </w:rPr>
        <w:t>本办法未作规定的</w:t>
      </w:r>
      <w:r>
        <w:rPr>
          <w:rFonts w:hint="eastAsia" w:ascii="MS UI Gothic" w:eastAsia="MS UI Gothic"/>
          <w:spacing w:val="21"/>
          <w:w w:val="80"/>
        </w:rPr>
        <w:t xml:space="preserve">ꎬ </w:t>
      </w:r>
      <w:r>
        <w:rPr>
          <w:spacing w:val="2"/>
        </w:rPr>
        <w:t>适用安全生产违法行</w:t>
      </w:r>
      <w:r>
        <w:rPr>
          <w:spacing w:val="3"/>
          <w:w w:val="105"/>
        </w:rPr>
        <w:t>为行政处罚办法</w:t>
      </w:r>
      <w:r>
        <w:rPr>
          <w:rFonts w:hint="eastAsia" w:ascii="MS UI Gothic" w:eastAsia="MS UI Gothic"/>
          <w:w w:val="80"/>
        </w:rPr>
        <w:t>ꎮ</w:t>
      </w:r>
    </w:p>
    <w:p>
      <w:pPr>
        <w:pStyle w:val="6"/>
        <w:spacing w:before="8" w:line="290" w:lineRule="auto"/>
        <w:ind w:left="440" w:right="1"/>
        <w:rPr>
          <w:rFonts w:hint="eastAsia" w:ascii="MS UI Gothic" w:eastAsia="MS UI Gothic"/>
        </w:rPr>
      </w:pPr>
      <w:r>
        <w:t>有关法律</w:t>
      </w:r>
      <w:r>
        <w:rPr>
          <w:rFonts w:hint="eastAsia" w:ascii="MS UI Gothic" w:eastAsia="MS UI Gothic"/>
          <w:w w:val="80"/>
        </w:rPr>
        <w:t xml:space="preserve">、 </w:t>
      </w:r>
      <w:r>
        <w:t>行政法规对行政处罚另有规定的</w:t>
      </w:r>
      <w:r>
        <w:rPr>
          <w:rFonts w:hint="eastAsia" w:ascii="MS UI Gothic" w:eastAsia="MS UI Gothic"/>
          <w:w w:val="80"/>
        </w:rPr>
        <w:t xml:space="preserve">ꎬ </w:t>
      </w:r>
      <w:r>
        <w:t>依照其规定</w:t>
      </w:r>
      <w:r>
        <w:rPr>
          <w:rFonts w:hint="eastAsia" w:ascii="MS UI Gothic" w:eastAsia="MS UI Gothic"/>
          <w:w w:val="80"/>
        </w:rPr>
        <w:t>ꎮ</w:t>
      </w:r>
    </w:p>
    <w:p>
      <w:pPr>
        <w:pStyle w:val="6"/>
        <w:spacing w:before="1" w:line="290" w:lineRule="auto"/>
        <w:ind w:left="440" w:right="1"/>
        <w:rPr>
          <w:rFonts w:hint="eastAsia" w:ascii="MS UI Gothic" w:eastAsia="MS UI Gothic"/>
        </w:rPr>
      </w:pPr>
      <w:r>
        <w:rPr>
          <w:w w:val="105"/>
        </w:rPr>
        <w:t>第三条 省级煤矿安全监察局</w:t>
      </w:r>
      <w:r>
        <w:rPr>
          <w:rFonts w:hint="eastAsia" w:ascii="MS UI Gothic" w:eastAsia="MS UI Gothic"/>
          <w:w w:val="80"/>
        </w:rPr>
        <w:t xml:space="preserve">、 </w:t>
      </w:r>
      <w:r>
        <w:rPr>
          <w:w w:val="105"/>
        </w:rPr>
        <w:t>煤矿</w:t>
      </w:r>
      <w:r>
        <w:t>安全监察分局实施行政处罚按照属地原则</w:t>
      </w:r>
      <w:r>
        <w:rPr>
          <w:w w:val="105"/>
        </w:rPr>
        <w:t>进行管辖</w:t>
      </w:r>
      <w:r>
        <w:rPr>
          <w:rFonts w:hint="eastAsia" w:ascii="MS UI Gothic" w:eastAsia="MS UI Gothic"/>
          <w:w w:val="80"/>
        </w:rPr>
        <w:t>ꎮ</w:t>
      </w:r>
    </w:p>
    <w:p>
      <w:pPr>
        <w:pStyle w:val="6"/>
        <w:spacing w:before="3" w:line="290" w:lineRule="auto"/>
        <w:ind w:left="440" w:right="1"/>
      </w:pPr>
      <w:r>
        <w:t>国家煤矿安全监察局认为应由其实施行政处罚的</w:t>
      </w:r>
      <w:r>
        <w:rPr>
          <w:rFonts w:hint="eastAsia" w:ascii="MS UI Gothic" w:eastAsia="MS UI Gothic"/>
          <w:w w:val="80"/>
        </w:rPr>
        <w:t xml:space="preserve">ꎬ </w:t>
      </w:r>
      <w:r>
        <w:t>由国家煤矿安全监察局</w:t>
      </w:r>
    </w:p>
    <w:p>
      <w:pPr>
        <w:spacing w:before="175"/>
        <w:ind w:left="381" w:right="0" w:firstLine="0"/>
        <w:jc w:val="left"/>
        <w:rPr>
          <w:rFonts w:hint="eastAsia" w:ascii="MS UI Gothic" w:eastAsia="MS UI Gothic"/>
          <w:sz w:val="20"/>
        </w:rPr>
      </w:pPr>
      <w:r>
        <w:br w:type="column"/>
      </w:r>
      <w:r>
        <w:rPr>
          <w:sz w:val="20"/>
        </w:rPr>
        <w:t>管辖</w:t>
      </w:r>
      <w:r>
        <w:rPr>
          <w:rFonts w:hint="eastAsia" w:ascii="MS UI Gothic" w:eastAsia="MS UI Gothic"/>
          <w:w w:val="80"/>
          <w:sz w:val="20"/>
        </w:rPr>
        <w:t>ꎮ</w:t>
      </w:r>
    </w:p>
    <w:p>
      <w:pPr>
        <w:pStyle w:val="6"/>
        <w:spacing w:before="56" w:line="290" w:lineRule="auto"/>
        <w:ind w:left="381" w:right="126"/>
        <w:rPr>
          <w:rFonts w:hint="eastAsia" w:ascii="MS UI Gothic" w:eastAsia="MS UI Gothic"/>
        </w:rPr>
      </w:pPr>
      <w:r>
        <w:t>两个以上煤矿安全监察机构因行政处罚管辖权发生争议的</w:t>
      </w:r>
      <w:r>
        <w:rPr>
          <w:rFonts w:hint="eastAsia" w:ascii="MS UI Gothic" w:eastAsia="MS UI Gothic"/>
          <w:w w:val="80"/>
        </w:rPr>
        <w:t xml:space="preserve">ꎬ </w:t>
      </w:r>
      <w:r>
        <w:t>由其共同的上一级</w:t>
      </w:r>
      <w:r>
        <w:rPr>
          <w:w w:val="105"/>
        </w:rPr>
        <w:t>煤矿安全监察机构指定管辖</w:t>
      </w:r>
      <w:r>
        <w:rPr>
          <w:rFonts w:hint="eastAsia" w:ascii="MS UI Gothic" w:eastAsia="MS UI Gothic"/>
          <w:w w:val="80"/>
        </w:rPr>
        <w:t>ꎮ</w:t>
      </w:r>
    </w:p>
    <w:p>
      <w:pPr>
        <w:pStyle w:val="6"/>
        <w:spacing w:before="1" w:line="290" w:lineRule="auto"/>
        <w:ind w:left="381" w:right="124"/>
        <w:rPr>
          <w:rFonts w:hint="eastAsia" w:ascii="MS UI Gothic" w:eastAsia="MS UI Gothic"/>
        </w:rPr>
      </w:pPr>
      <w:r>
        <w:t>第四条 当事人对煤矿安全监察机构所给予的行政处罚</w:t>
      </w:r>
      <w:r>
        <w:rPr>
          <w:rFonts w:hint="eastAsia" w:ascii="MS UI Gothic" w:eastAsia="MS UI Gothic"/>
          <w:w w:val="80"/>
        </w:rPr>
        <w:t xml:space="preserve">ꎬ </w:t>
      </w:r>
      <w:r>
        <w:t>享有陈述</w:t>
      </w:r>
      <w:r>
        <w:rPr>
          <w:rFonts w:hint="eastAsia" w:ascii="MS UI Gothic" w:eastAsia="MS UI Gothic"/>
          <w:w w:val="80"/>
        </w:rPr>
        <w:t xml:space="preserve">、 </w:t>
      </w:r>
      <w:r>
        <w:t>申辩权</w:t>
      </w:r>
      <w:r>
        <w:rPr>
          <w:rFonts w:hint="eastAsia" w:ascii="MS UI Gothic" w:eastAsia="MS UI Gothic"/>
          <w:w w:val="80"/>
        </w:rPr>
        <w:t>ꎻ</w:t>
      </w:r>
      <w:r>
        <w:t>对行政处罚不服的</w:t>
      </w:r>
      <w:r>
        <w:rPr>
          <w:rFonts w:hint="eastAsia" w:ascii="MS UI Gothic" w:eastAsia="MS UI Gothic"/>
          <w:w w:val="80"/>
        </w:rPr>
        <w:t xml:space="preserve">ꎬ </w:t>
      </w:r>
      <w:r>
        <w:t>有权依法申请行政复议或者提起行政诉讼</w:t>
      </w:r>
      <w:r>
        <w:rPr>
          <w:rFonts w:hint="eastAsia" w:ascii="MS UI Gothic" w:eastAsia="MS UI Gothic"/>
          <w:w w:val="80"/>
        </w:rPr>
        <w:t>ꎮ</w:t>
      </w:r>
    </w:p>
    <w:p>
      <w:pPr>
        <w:pStyle w:val="6"/>
        <w:spacing w:before="4" w:line="292" w:lineRule="auto"/>
        <w:ind w:left="381" w:right="126"/>
        <w:rPr>
          <w:rFonts w:hint="eastAsia" w:ascii="MS UI Gothic" w:eastAsia="MS UI Gothic"/>
        </w:rPr>
      </w:pPr>
      <w:r>
        <w:t>当事人因煤矿安全监察机构违法给予行政处罚受到损害的</w:t>
      </w:r>
      <w:r>
        <w:rPr>
          <w:rFonts w:hint="eastAsia" w:ascii="MS UI Gothic" w:eastAsia="MS UI Gothic"/>
          <w:w w:val="80"/>
        </w:rPr>
        <w:t xml:space="preserve">ꎬ </w:t>
      </w:r>
      <w:r>
        <w:t>有权依法提出赔偿要求</w:t>
      </w:r>
      <w:r>
        <w:rPr>
          <w:rFonts w:hint="eastAsia" w:ascii="MS UI Gothic" w:eastAsia="MS UI Gothic"/>
          <w:w w:val="80"/>
        </w:rPr>
        <w:t>ꎮ</w:t>
      </w:r>
    </w:p>
    <w:p>
      <w:pPr>
        <w:pStyle w:val="6"/>
        <w:spacing w:line="290" w:lineRule="auto"/>
        <w:ind w:left="381" w:right="126"/>
        <w:rPr>
          <w:rFonts w:hint="eastAsia" w:ascii="MS UI Gothic" w:eastAsia="MS UI Gothic"/>
        </w:rPr>
      </w:pPr>
      <w:r>
        <w:t>第五条  煤矿安全监察员执行公务时</w:t>
      </w:r>
      <w:r>
        <w:rPr>
          <w:rFonts w:hint="eastAsia" w:ascii="MS UI Gothic" w:eastAsia="MS UI Gothic"/>
          <w:w w:val="80"/>
        </w:rPr>
        <w:t xml:space="preserve">ꎬ </w:t>
      </w:r>
      <w:r>
        <w:t>应当出示煤矿安全监察执法证件</w:t>
      </w:r>
      <w:r>
        <w:rPr>
          <w:rFonts w:hint="eastAsia" w:ascii="MS UI Gothic" w:eastAsia="MS UI Gothic"/>
          <w:w w:val="80"/>
        </w:rPr>
        <w:t>ꎮ</w:t>
      </w:r>
    </w:p>
    <w:p>
      <w:pPr>
        <w:pStyle w:val="6"/>
        <w:spacing w:line="292" w:lineRule="auto"/>
        <w:ind w:left="381" w:right="126"/>
        <w:rPr>
          <w:rFonts w:hint="eastAsia" w:ascii="MS UI Gothic" w:eastAsia="MS UI Gothic"/>
        </w:rPr>
      </w:pPr>
      <w:r>
        <w:rPr>
          <w:w w:val="105"/>
        </w:rPr>
        <w:t>第六条 煤矿安全监察机构及其煤矿</w:t>
      </w:r>
      <w:r>
        <w:t>安全监察员对检查中发现的煤矿安全违法</w:t>
      </w:r>
      <w:r>
        <w:rPr>
          <w:w w:val="105"/>
        </w:rPr>
        <w:t>行为</w:t>
      </w:r>
      <w:r>
        <w:rPr>
          <w:rFonts w:hint="eastAsia" w:ascii="MS UI Gothic" w:eastAsia="MS UI Gothic"/>
          <w:w w:val="80"/>
        </w:rPr>
        <w:t xml:space="preserve">ꎬ </w:t>
      </w:r>
      <w:r>
        <w:rPr>
          <w:w w:val="105"/>
        </w:rPr>
        <w:t>可以作出下列现场处理决定</w:t>
      </w:r>
      <w:r>
        <w:rPr>
          <w:rFonts w:hint="eastAsia" w:ascii="MS UI Gothic" w:eastAsia="MS UI Gothic"/>
          <w:w w:val="235"/>
        </w:rPr>
        <w:t>:</w:t>
      </w:r>
    </w:p>
    <w:p>
      <w:pPr>
        <w:pStyle w:val="6"/>
        <w:spacing w:line="290" w:lineRule="auto"/>
        <w:ind w:left="381" w:right="126"/>
        <w:jc w:val="left"/>
        <w:rPr>
          <w:rFonts w:hint="eastAsia" w:ascii="MS UI Gothic" w:eastAsia="MS UI Gothic"/>
        </w:rPr>
      </w:pPr>
      <w:r>
        <w:rPr>
          <w:rFonts w:hint="eastAsia" w:ascii="MS UI Gothic" w:eastAsia="MS UI Gothic"/>
          <w:w w:val="120"/>
        </w:rPr>
        <w:t xml:space="preserve">( </w:t>
      </w:r>
      <w:r>
        <w:rPr>
          <w:w w:val="110"/>
        </w:rPr>
        <w:t>一</w:t>
      </w:r>
      <w:r>
        <w:rPr>
          <w:rFonts w:hint="eastAsia" w:ascii="MS UI Gothic" w:eastAsia="MS UI Gothic"/>
          <w:w w:val="120"/>
        </w:rPr>
        <w:t xml:space="preserve">) </w:t>
      </w:r>
      <w:r>
        <w:rPr>
          <w:w w:val="110"/>
        </w:rPr>
        <w:t>当场予以纠正或者要求限期改正</w:t>
      </w:r>
      <w:r>
        <w:rPr>
          <w:rFonts w:hint="eastAsia" w:ascii="MS UI Gothic" w:eastAsia="MS UI Gothic"/>
          <w:w w:val="80"/>
        </w:rPr>
        <w:t>ꎻ</w:t>
      </w:r>
    </w:p>
    <w:p>
      <w:pPr>
        <w:pStyle w:val="6"/>
        <w:ind w:left="800"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责令限期达到要求</w:t>
      </w:r>
      <w:r>
        <w:rPr>
          <w:rFonts w:hint="eastAsia" w:ascii="MS UI Gothic" w:eastAsia="MS UI Gothic"/>
          <w:w w:val="80"/>
        </w:rPr>
        <w:t>ꎻ</w:t>
      </w:r>
    </w:p>
    <w:p>
      <w:pPr>
        <w:pStyle w:val="6"/>
        <w:spacing w:before="49" w:line="290" w:lineRule="auto"/>
        <w:ind w:left="381" w:right="126"/>
        <w:jc w:val="left"/>
        <w:rPr>
          <w:rFonts w:hint="eastAsia" w:ascii="MS UI Gothic" w:eastAsia="MS UI Gothic"/>
        </w:rPr>
      </w:pPr>
      <w:r>
        <w:rPr>
          <w:rFonts w:hint="eastAsia" w:ascii="MS UI Gothic" w:eastAsia="MS UI Gothic"/>
          <w:spacing w:val="-42"/>
          <w:w w:val="150"/>
        </w:rPr>
        <w:t xml:space="preserve">( </w:t>
      </w:r>
      <w:r>
        <w:rPr>
          <w:spacing w:val="3"/>
          <w:w w:val="115"/>
        </w:rPr>
        <w:t>三</w:t>
      </w:r>
      <w:r>
        <w:rPr>
          <w:rFonts w:hint="eastAsia" w:ascii="MS UI Gothic" w:eastAsia="MS UI Gothic"/>
          <w:spacing w:val="-18"/>
          <w:w w:val="150"/>
        </w:rPr>
        <w:t xml:space="preserve">) </w:t>
      </w:r>
      <w:r>
        <w:rPr>
          <w:spacing w:val="-6"/>
          <w:w w:val="115"/>
        </w:rPr>
        <w:t xml:space="preserve">责令立即停止作业 </w:t>
      </w:r>
      <w:r>
        <w:rPr>
          <w:rFonts w:hint="eastAsia" w:ascii="MS UI Gothic" w:eastAsia="MS UI Gothic"/>
          <w:spacing w:val="-41"/>
          <w:w w:val="150"/>
        </w:rPr>
        <w:t xml:space="preserve">( </w:t>
      </w:r>
      <w:r>
        <w:rPr>
          <w:spacing w:val="8"/>
          <w:w w:val="115"/>
        </w:rPr>
        <w:t>施工</w:t>
      </w:r>
      <w:r>
        <w:rPr>
          <w:rFonts w:hint="eastAsia" w:ascii="MS UI Gothic" w:eastAsia="MS UI Gothic"/>
          <w:spacing w:val="-17"/>
          <w:w w:val="150"/>
        </w:rPr>
        <w:t xml:space="preserve">) </w:t>
      </w:r>
      <w:r>
        <w:rPr>
          <w:w w:val="115"/>
        </w:rPr>
        <w:t>或</w:t>
      </w:r>
      <w:r>
        <w:rPr>
          <w:spacing w:val="3"/>
          <w:w w:val="115"/>
        </w:rPr>
        <w:t>者立即停止使用</w:t>
      </w:r>
      <w:r>
        <w:rPr>
          <w:rFonts w:hint="eastAsia" w:ascii="MS UI Gothic" w:eastAsia="MS UI Gothic"/>
          <w:w w:val="80"/>
        </w:rPr>
        <w:t>ꎻ</w:t>
      </w:r>
    </w:p>
    <w:p>
      <w:pPr>
        <w:spacing w:after="0" w:line="290" w:lineRule="auto"/>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３８２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47" o:spid="_x0000_s2147" o:spt="203" style="height:2.15pt;width:398.25pt;" coordsize="7965,43">
            <o:lock v:ext="edit"/>
            <v:line id="_x0000_s2148" o:spid="_x0000_s2148" o:spt="20" style="position:absolute;left:0;top:39;height:0;width:7965;" stroked="t" coordsize="21600,21600">
              <v:path arrowok="t"/>
              <v:fill focussize="0,0"/>
              <v:stroke weight="0.388031496062992pt" color="#231F20"/>
              <v:imagedata o:title=""/>
              <o:lock v:ext="edit"/>
            </v:line>
            <v:line id="_x0000_s2149" o:spid="_x0000_s214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t>经现场处理决定后拒不改正</w:t>
      </w:r>
      <w:r>
        <w:rPr>
          <w:rFonts w:hint="eastAsia" w:ascii="MS UI Gothic" w:eastAsia="MS UI Gothic"/>
          <w:w w:val="80"/>
        </w:rPr>
        <w:t xml:space="preserve">ꎬ </w:t>
      </w:r>
      <w:r>
        <w:t>或者依法应当给予行政处罚的煤矿安全违法行为</w:t>
      </w:r>
      <w:r>
        <w:rPr>
          <w:rFonts w:hint="eastAsia" w:ascii="MS UI Gothic" w:eastAsia="MS UI Gothic"/>
          <w:w w:val="80"/>
        </w:rPr>
        <w:t xml:space="preserve">ꎬ </w:t>
      </w:r>
      <w:r>
        <w:t>依法作出行政处罚决定</w:t>
      </w:r>
      <w:r>
        <w:rPr>
          <w:rFonts w:hint="eastAsia" w:ascii="MS UI Gothic" w:eastAsia="MS UI Gothic"/>
          <w:w w:val="80"/>
        </w:rPr>
        <w:t>ꎮ</w:t>
      </w:r>
    </w:p>
    <w:p>
      <w:pPr>
        <w:pStyle w:val="6"/>
        <w:spacing w:line="295" w:lineRule="auto"/>
        <w:ind w:right="38"/>
        <w:rPr>
          <w:rFonts w:hint="eastAsia" w:ascii="MS UI Gothic" w:eastAsia="MS UI Gothic"/>
        </w:rPr>
      </w:pPr>
      <w:r>
        <w:t>第七条 煤矿或者施工单位有下列行为之一的</w:t>
      </w:r>
      <w:r>
        <w:rPr>
          <w:rFonts w:hint="eastAsia" w:ascii="MS UI Gothic" w:eastAsia="MS UI Gothic"/>
          <w:w w:val="80"/>
        </w:rPr>
        <w:t xml:space="preserve">ꎬ </w:t>
      </w:r>
      <w:r>
        <w:t>责令停止建设或者停产停业整顿</w:t>
      </w:r>
      <w:r>
        <w:rPr>
          <w:rFonts w:hint="eastAsia" w:ascii="MS UI Gothic" w:eastAsia="MS UI Gothic"/>
          <w:w w:val="80"/>
        </w:rPr>
        <w:t xml:space="preserve">ꎬ </w:t>
      </w:r>
      <w:r>
        <w:t>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 xml:space="preserve">处 </w:t>
      </w:r>
      <w:r>
        <w:rPr>
          <w:rFonts w:hint="eastAsia" w:ascii="MS UI Gothic" w:eastAsia="MS UI Gothic"/>
          <w:w w:val="80"/>
        </w:rPr>
        <w:t xml:space="preserve">５０ </w:t>
      </w:r>
      <w:r>
        <w:t xml:space="preserve">万元以上 </w:t>
      </w:r>
      <w:r>
        <w:rPr>
          <w:rFonts w:hint="eastAsia" w:ascii="MS UI Gothic" w:eastAsia="MS UI Gothic"/>
          <w:w w:val="80"/>
        </w:rPr>
        <w:t xml:space="preserve">１００ </w:t>
      </w:r>
      <w:r>
        <w:t>万元以下的罚款</w:t>
      </w:r>
      <w:r>
        <w:rPr>
          <w:rFonts w:hint="eastAsia" w:ascii="MS UI Gothic" w:eastAsia="MS UI Gothic"/>
          <w:w w:val="80"/>
        </w:rPr>
        <w:t xml:space="preserve">ꎬ </w:t>
      </w:r>
      <w:r>
        <w:t xml:space="preserve">对其直接负责的主管人员和其他直接责任人员处 </w:t>
      </w:r>
      <w:r>
        <w:rPr>
          <w:rFonts w:hint="eastAsia" w:ascii="MS UI Gothic" w:eastAsia="MS UI Gothic"/>
          <w:w w:val="80"/>
        </w:rPr>
        <w:t xml:space="preserve">２ </w:t>
      </w:r>
      <w:r>
        <w:t xml:space="preserve">万元以上 </w:t>
      </w:r>
      <w:r>
        <w:rPr>
          <w:rFonts w:hint="eastAsia" w:ascii="MS UI Gothic" w:eastAsia="MS UI Gothic"/>
          <w:w w:val="80"/>
        </w:rPr>
        <w:t xml:space="preserve">５ </w:t>
      </w:r>
      <w:r>
        <w:t>万元以下的罚款</w:t>
      </w:r>
      <w:r>
        <w:rPr>
          <w:rFonts w:hint="eastAsia" w:ascii="MS UI Gothic" w:eastAsia="MS UI Gothic"/>
          <w:w w:val="80"/>
        </w:rPr>
        <w:t xml:space="preserve">ꎻ  </w:t>
      </w:r>
      <w:r>
        <w:t>构成犯罪的</w:t>
      </w:r>
      <w:r>
        <w:rPr>
          <w:rFonts w:hint="eastAsia" w:ascii="MS UI Gothic" w:eastAsia="MS UI Gothic"/>
          <w:w w:val="80"/>
        </w:rPr>
        <w:t>ꎬ</w:t>
      </w:r>
      <w:r>
        <w:t>依照刑法有关规定追究刑事责任</w:t>
      </w:r>
      <w:r>
        <w:rPr>
          <w:rFonts w:hint="eastAsia" w:ascii="MS UI Gothic" w:eastAsia="MS UI Gothic"/>
          <w:w w:val="225"/>
        </w:rPr>
        <w:t>:</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未按照规定对煤矿建设项目进</w:t>
      </w:r>
      <w:r>
        <w:rPr>
          <w:w w:val="110"/>
        </w:rPr>
        <w:t>行安全评价的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煤矿建设项目没有安全设施设</w:t>
      </w:r>
      <w:r>
        <w:t>计或者安全设施设计未按照规定报经有关</w:t>
      </w:r>
      <w:r>
        <w:rPr>
          <w:w w:val="105"/>
        </w:rPr>
        <w:t>部门审查同意的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煤矿建设项目的施工单位未按照批准的安全设施设计施工的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煤矿建设项目竣工投入生产或者使用前</w:t>
      </w:r>
      <w:r>
        <w:rPr>
          <w:rFonts w:hint="eastAsia" w:ascii="MS UI Gothic" w:eastAsia="MS UI Gothic"/>
          <w:w w:val="80"/>
        </w:rPr>
        <w:t xml:space="preserve">ꎬ </w:t>
      </w:r>
      <w:r>
        <w:rPr>
          <w:w w:val="105"/>
        </w:rPr>
        <w:t>安全设施未经验收合格的</w:t>
      </w:r>
      <w:r>
        <w:rPr>
          <w:rFonts w:hint="eastAsia" w:ascii="MS UI Gothic" w:eastAsia="MS UI Gothic"/>
          <w:w w:val="80"/>
        </w:rPr>
        <w:t>ꎮ</w:t>
      </w:r>
    </w:p>
    <w:p>
      <w:pPr>
        <w:pStyle w:val="6"/>
        <w:spacing w:line="295" w:lineRule="auto"/>
        <w:ind w:right="39"/>
        <w:rPr>
          <w:rFonts w:hint="eastAsia" w:ascii="MS UI Gothic" w:eastAsia="MS UI Gothic"/>
        </w:rPr>
      </w:pPr>
      <w:r>
        <w:t>第八条 煤矿矿井通风</w:t>
      </w:r>
      <w:r>
        <w:rPr>
          <w:rFonts w:hint="eastAsia" w:ascii="MS UI Gothic" w:eastAsia="MS UI Gothic"/>
        </w:rPr>
        <w:t xml:space="preserve">、 </w:t>
      </w:r>
      <w:r>
        <w:t>防火</w:t>
      </w:r>
      <w:r>
        <w:rPr>
          <w:rFonts w:hint="eastAsia" w:ascii="MS UI Gothic" w:eastAsia="MS UI Gothic"/>
        </w:rPr>
        <w:t xml:space="preserve">、 </w:t>
      </w:r>
      <w:r>
        <w:t>防水</w:t>
      </w:r>
      <w:r>
        <w:rPr>
          <w:rFonts w:hint="eastAsia" w:ascii="MS UI Gothic" w:eastAsia="MS UI Gothic"/>
        </w:rPr>
        <w:t xml:space="preserve">、 </w:t>
      </w:r>
      <w:r>
        <w:t>防瓦斯</w:t>
      </w:r>
      <w:r>
        <w:rPr>
          <w:rFonts w:hint="eastAsia" w:ascii="MS UI Gothic" w:eastAsia="MS UI Gothic"/>
        </w:rPr>
        <w:t xml:space="preserve">、 </w:t>
      </w:r>
      <w:r>
        <w:t>防毒</w:t>
      </w:r>
      <w:r>
        <w:rPr>
          <w:rFonts w:hint="eastAsia" w:ascii="MS UI Gothic" w:eastAsia="MS UI Gothic"/>
        </w:rPr>
        <w:t xml:space="preserve">、 </w:t>
      </w:r>
      <w:r>
        <w:t>防尘等安全设施不符合法定要求的</w:t>
      </w:r>
      <w:r>
        <w:rPr>
          <w:rFonts w:hint="eastAsia" w:ascii="MS UI Gothic" w:eastAsia="MS UI Gothic"/>
          <w:w w:val="80"/>
        </w:rPr>
        <w:t xml:space="preserve">ꎬ </w:t>
      </w:r>
      <w:r>
        <w:t>责令限期达到要求</w:t>
      </w:r>
      <w:r>
        <w:rPr>
          <w:rFonts w:hint="eastAsia" w:ascii="MS UI Gothic" w:eastAsia="MS UI Gothic"/>
          <w:w w:val="80"/>
        </w:rPr>
        <w:t xml:space="preserve">ꎻ </w:t>
      </w:r>
      <w:r>
        <w:t>逾期仍达不到要求的</w:t>
      </w:r>
      <w:r>
        <w:rPr>
          <w:rFonts w:hint="eastAsia" w:ascii="MS UI Gothic" w:eastAsia="MS UI Gothic"/>
          <w:w w:val="80"/>
        </w:rPr>
        <w:t xml:space="preserve">ꎬ </w:t>
      </w:r>
      <w:r>
        <w:t>责令停产整顿</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第九条 煤矿作业场所有下列情形之</w:t>
      </w:r>
      <w:r>
        <w:t>一的</w:t>
      </w:r>
      <w:r>
        <w:rPr>
          <w:rFonts w:hint="eastAsia" w:ascii="MS UI Gothic" w:eastAsia="MS UI Gothic"/>
          <w:w w:val="80"/>
        </w:rPr>
        <w:t xml:space="preserve">ꎬ </w:t>
      </w:r>
      <w:r>
        <w:t>责令限期改正</w:t>
      </w:r>
      <w:r>
        <w:rPr>
          <w:rFonts w:hint="eastAsia" w:ascii="MS UI Gothic" w:eastAsia="MS UI Gothic"/>
          <w:w w:val="80"/>
        </w:rPr>
        <w:t xml:space="preserve">ꎻ </w:t>
      </w:r>
      <w:r>
        <w:t>逾期不改正的</w:t>
      </w:r>
      <w:r>
        <w:rPr>
          <w:rFonts w:hint="eastAsia" w:ascii="MS UI Gothic" w:eastAsia="MS UI Gothic"/>
          <w:w w:val="80"/>
        </w:rPr>
        <w:t xml:space="preserve">ꎬ </w:t>
      </w:r>
      <w:r>
        <w:t>责</w:t>
      </w:r>
      <w:r>
        <w:rPr>
          <w:w w:val="105"/>
        </w:rPr>
        <w:t>令停产整顿</w:t>
      </w:r>
      <w:r>
        <w:rPr>
          <w:rFonts w:hint="eastAsia" w:ascii="MS UI Gothic" w:eastAsia="MS UI Gothic"/>
          <w:w w:val="80"/>
        </w:rPr>
        <w:t xml:space="preserve">ꎬ </w:t>
      </w:r>
      <w:r>
        <w:rPr>
          <w:w w:val="105"/>
        </w:rPr>
        <w:t xml:space="preserve">并处 </w:t>
      </w:r>
      <w:r>
        <w:rPr>
          <w:rFonts w:hint="eastAsia" w:ascii="MS UI Gothic" w:eastAsia="MS UI Gothic"/>
          <w:w w:val="80"/>
        </w:rPr>
        <w:t xml:space="preserve">３ </w:t>
      </w:r>
      <w:r>
        <w:rPr>
          <w:w w:val="105"/>
        </w:rPr>
        <w:t>万元以下的罚款</w:t>
      </w:r>
      <w:r>
        <w:rPr>
          <w:rFonts w:hint="eastAsia" w:ascii="MS UI Gothic" w:eastAsia="MS UI Gothic"/>
          <w:w w:val="235"/>
        </w:rPr>
        <w:t>:</w:t>
      </w:r>
    </w:p>
    <w:p>
      <w:pPr>
        <w:pStyle w:val="6"/>
        <w:spacing w:line="295" w:lineRule="auto"/>
        <w:ind w:left="543" w:right="208" w:firstLine="0"/>
        <w:rPr>
          <w:rFonts w:hint="eastAsia" w:ascii="MS UI Gothic" w:eastAsia="MS UI Gothic"/>
        </w:rPr>
      </w:pPr>
      <w:r>
        <w:rPr>
          <w:rFonts w:hint="eastAsia" w:ascii="MS UI Gothic" w:eastAsia="MS UI Gothic"/>
          <w:spacing w:val="-24"/>
          <w:w w:val="105"/>
        </w:rPr>
        <w:t xml:space="preserve">( </w:t>
      </w:r>
      <w:r>
        <w:rPr>
          <w:spacing w:val="3"/>
          <w:w w:val="105"/>
        </w:rPr>
        <w:t>一</w:t>
      </w:r>
      <w:r>
        <w:rPr>
          <w:rFonts w:hint="eastAsia" w:ascii="MS UI Gothic" w:eastAsia="MS UI Gothic"/>
          <w:spacing w:val="17"/>
          <w:w w:val="105"/>
        </w:rPr>
        <w:t xml:space="preserve">) </w:t>
      </w:r>
      <w:r>
        <w:rPr>
          <w:spacing w:val="3"/>
          <w:w w:val="105"/>
        </w:rPr>
        <w:t>未使用专用防爆电器设备的</w:t>
      </w:r>
      <w:r>
        <w:rPr>
          <w:rFonts w:hint="eastAsia" w:ascii="MS UI Gothic" w:eastAsia="MS UI Gothic"/>
          <w:w w:val="80"/>
        </w:rPr>
        <w:t>ꎻ</w:t>
      </w:r>
      <w:r>
        <w:rPr>
          <w:rFonts w:hint="eastAsia" w:ascii="MS UI Gothic" w:eastAsia="MS UI Gothic"/>
          <w:spacing w:val="-38"/>
          <w:w w:val="150"/>
        </w:rPr>
        <w:t xml:space="preserve">( </w:t>
      </w:r>
      <w:r>
        <w:rPr>
          <w:spacing w:val="3"/>
          <w:w w:val="110"/>
        </w:rPr>
        <w:t>二</w:t>
      </w:r>
      <w:r>
        <w:rPr>
          <w:rFonts w:hint="eastAsia" w:ascii="MS UI Gothic" w:eastAsia="MS UI Gothic"/>
          <w:spacing w:val="3"/>
          <w:w w:val="150"/>
        </w:rPr>
        <w:t xml:space="preserve">) </w:t>
      </w:r>
      <w:r>
        <w:rPr>
          <w:spacing w:val="3"/>
          <w:w w:val="110"/>
        </w:rPr>
        <w:t>未使用专用放炮器的</w:t>
      </w:r>
      <w:r>
        <w:rPr>
          <w:rFonts w:hint="eastAsia" w:ascii="MS UI Gothic" w:eastAsia="MS UI Gothic"/>
          <w:w w:val="80"/>
        </w:rPr>
        <w:t>ꎻ</w:t>
      </w:r>
    </w:p>
    <w:p>
      <w:pPr>
        <w:pStyle w:val="6"/>
        <w:spacing w:line="295" w:lineRule="auto"/>
        <w:ind w:left="543" w:right="208" w:firstLine="0"/>
        <w:rPr>
          <w:rFonts w:hint="eastAsia" w:ascii="MS UI Gothic" w:eastAsia="MS UI Gothic"/>
        </w:rPr>
      </w:pPr>
      <w:r>
        <w:rPr>
          <w:rFonts w:hint="eastAsia" w:ascii="MS UI Gothic" w:eastAsia="MS UI Gothic"/>
          <w:spacing w:val="-24"/>
          <w:w w:val="105"/>
        </w:rPr>
        <w:t xml:space="preserve">( </w:t>
      </w:r>
      <w:r>
        <w:rPr>
          <w:spacing w:val="3"/>
          <w:w w:val="105"/>
        </w:rPr>
        <w:t>三</w:t>
      </w:r>
      <w:r>
        <w:rPr>
          <w:rFonts w:hint="eastAsia" w:ascii="MS UI Gothic" w:eastAsia="MS UI Gothic"/>
          <w:spacing w:val="17"/>
          <w:w w:val="105"/>
        </w:rPr>
        <w:t xml:space="preserve">) </w:t>
      </w:r>
      <w:r>
        <w:rPr>
          <w:spacing w:val="3"/>
          <w:w w:val="105"/>
        </w:rPr>
        <w:t>未使用人员专用升降容器的</w:t>
      </w:r>
      <w:r>
        <w:rPr>
          <w:rFonts w:hint="eastAsia" w:ascii="MS UI Gothic" w:eastAsia="MS UI Gothic"/>
          <w:w w:val="80"/>
        </w:rPr>
        <w:t>ꎻ</w:t>
      </w:r>
      <w:r>
        <w:rPr>
          <w:rFonts w:hint="eastAsia" w:ascii="MS UI Gothic" w:eastAsia="MS UI Gothic"/>
          <w:spacing w:val="-38"/>
          <w:w w:val="150"/>
        </w:rPr>
        <w:t xml:space="preserve">( </w:t>
      </w:r>
      <w:r>
        <w:rPr>
          <w:spacing w:val="3"/>
          <w:w w:val="110"/>
        </w:rPr>
        <w:t>四</w:t>
      </w:r>
      <w:r>
        <w:rPr>
          <w:rFonts w:hint="eastAsia" w:ascii="MS UI Gothic" w:eastAsia="MS UI Gothic"/>
          <w:spacing w:val="3"/>
          <w:w w:val="150"/>
        </w:rPr>
        <w:t xml:space="preserve">) </w:t>
      </w:r>
      <w:r>
        <w:rPr>
          <w:spacing w:val="3"/>
          <w:w w:val="110"/>
        </w:rPr>
        <w:t>使用明火明电照明的</w:t>
      </w:r>
      <w:r>
        <w:rPr>
          <w:rFonts w:hint="eastAsia" w:ascii="MS UI Gothic" w:eastAsia="MS UI Gothic"/>
          <w:w w:val="80"/>
        </w:rPr>
        <w:t>ꎮ</w:t>
      </w:r>
    </w:p>
    <w:p>
      <w:pPr>
        <w:pStyle w:val="6"/>
        <w:spacing w:line="295" w:lineRule="auto"/>
        <w:ind w:left="118" w:right="39" w:firstLine="425"/>
        <w:rPr>
          <w:rFonts w:hint="eastAsia" w:ascii="MS UI Gothic" w:eastAsia="MS UI Gothic"/>
        </w:rPr>
      </w:pPr>
      <w:r>
        <w:t>第十条 煤矿未依法提取或者使用煤矿安全技术措施专项费用的</w:t>
      </w:r>
      <w:r>
        <w:rPr>
          <w:rFonts w:hint="eastAsia" w:ascii="MS UI Gothic" w:eastAsia="MS UI Gothic"/>
          <w:w w:val="80"/>
        </w:rPr>
        <w:t xml:space="preserve">ꎬ </w:t>
      </w:r>
      <w:r>
        <w:t>责令限期改正</w:t>
      </w:r>
      <w:r>
        <w:rPr>
          <w:rFonts w:hint="eastAsia" w:ascii="MS UI Gothic" w:eastAsia="MS UI Gothic"/>
          <w:w w:val="80"/>
        </w:rPr>
        <w:t xml:space="preserve">ꎬ </w:t>
      </w:r>
      <w:r>
        <w:t>提供必需的资金</w:t>
      </w:r>
      <w:r>
        <w:rPr>
          <w:rFonts w:hint="eastAsia" w:ascii="MS UI Gothic" w:eastAsia="MS UI Gothic"/>
          <w:w w:val="80"/>
        </w:rPr>
        <w:t xml:space="preserve">ꎻ </w:t>
      </w:r>
      <w:r>
        <w:t>逾期不改正的</w:t>
      </w:r>
      <w:r>
        <w:rPr>
          <w:rFonts w:hint="eastAsia" w:ascii="MS UI Gothic" w:eastAsia="MS UI Gothic"/>
          <w:w w:val="80"/>
        </w:rPr>
        <w:t xml:space="preserve">ꎬ </w:t>
      </w:r>
      <w:r>
        <w:t>处</w:t>
      </w:r>
      <w:r>
        <w:rPr>
          <w:rFonts w:hint="eastAsia" w:ascii="MS UI Gothic" w:eastAsia="MS UI Gothic"/>
        </w:rPr>
        <w:t xml:space="preserve">５ </w:t>
      </w:r>
      <w:r>
        <w:t>万元以下的罚款</w:t>
      </w:r>
      <w:r>
        <w:rPr>
          <w:rFonts w:hint="eastAsia" w:ascii="MS UI Gothic" w:eastAsia="MS UI Gothic"/>
          <w:w w:val="80"/>
        </w:rPr>
        <w:t xml:space="preserve">ꎬ </w:t>
      </w:r>
      <w:r>
        <w:t>责令停产整顿</w:t>
      </w:r>
      <w:r>
        <w:rPr>
          <w:rFonts w:hint="eastAsia" w:ascii="MS UI Gothic" w:eastAsia="MS UI Gothic"/>
          <w:w w:val="80"/>
        </w:rPr>
        <w:t>ꎮ</w:t>
      </w:r>
    </w:p>
    <w:p>
      <w:pPr>
        <w:pStyle w:val="6"/>
        <w:spacing w:line="295" w:lineRule="auto"/>
        <w:ind w:left="118" w:right="39" w:firstLine="425"/>
        <w:rPr>
          <w:rFonts w:hint="eastAsia" w:ascii="MS UI Gothic" w:eastAsia="MS UI Gothic"/>
        </w:rPr>
      </w:pPr>
      <w:r>
        <w:t>有前款违法行为</w:t>
      </w:r>
      <w:r>
        <w:rPr>
          <w:rFonts w:hint="eastAsia" w:ascii="MS UI Gothic" w:eastAsia="MS UI Gothic"/>
          <w:w w:val="85"/>
        </w:rPr>
        <w:t xml:space="preserve">ꎬ </w:t>
      </w:r>
      <w:r>
        <w:t>导致发生生产安全事故的</w:t>
      </w:r>
      <w:r>
        <w:rPr>
          <w:rFonts w:hint="eastAsia" w:ascii="MS UI Gothic" w:eastAsia="MS UI Gothic"/>
          <w:w w:val="85"/>
        </w:rPr>
        <w:t xml:space="preserve">ꎬ </w:t>
      </w:r>
      <w:r>
        <w:t>对煤矿主要负责人给予撤职处分</w:t>
      </w:r>
      <w:r>
        <w:rPr>
          <w:rFonts w:hint="eastAsia" w:ascii="MS UI Gothic" w:eastAsia="MS UI Gothic"/>
          <w:w w:val="85"/>
        </w:rPr>
        <w:t xml:space="preserve">ꎬ </w:t>
      </w:r>
      <w:r>
        <w:t xml:space="preserve">对个人经营的投资人处 </w:t>
      </w:r>
      <w:r>
        <w:rPr>
          <w:rFonts w:hint="eastAsia" w:ascii="MS UI Gothic" w:eastAsia="MS UI Gothic"/>
          <w:w w:val="85"/>
        </w:rPr>
        <w:t xml:space="preserve">２ </w:t>
      </w:r>
      <w:r>
        <w:t>万元以上</w:t>
      </w:r>
      <w:r>
        <w:rPr>
          <w:rFonts w:hint="eastAsia" w:ascii="MS UI Gothic" w:eastAsia="MS UI Gothic"/>
          <w:w w:val="85"/>
        </w:rPr>
        <w:t xml:space="preserve">２０ </w:t>
      </w:r>
      <w:r>
        <w:t>万元以下的罚款</w:t>
      </w:r>
      <w:r>
        <w:rPr>
          <w:rFonts w:hint="eastAsia" w:ascii="MS UI Gothic" w:eastAsia="MS UI Gothic"/>
          <w:w w:val="85"/>
        </w:rPr>
        <w:t xml:space="preserve">ꎻ </w:t>
      </w:r>
      <w:r>
        <w:t>构成犯罪的</w:t>
      </w:r>
      <w:r>
        <w:rPr>
          <w:rFonts w:hint="eastAsia" w:ascii="MS UI Gothic" w:eastAsia="MS UI Gothic"/>
          <w:w w:val="85"/>
        </w:rPr>
        <w:t xml:space="preserve">ꎬ </w:t>
      </w:r>
      <w:r>
        <w:t>依照刑法有关规定追究刑事责任</w:t>
      </w:r>
      <w:r>
        <w:rPr>
          <w:rFonts w:hint="eastAsia" w:ascii="MS UI Gothic" w:eastAsia="MS UI Gothic"/>
          <w:w w:val="85"/>
        </w:rPr>
        <w:t>ꎮ</w:t>
      </w:r>
    </w:p>
    <w:p>
      <w:pPr>
        <w:pStyle w:val="6"/>
        <w:spacing w:before="123" w:line="295" w:lineRule="auto"/>
        <w:ind w:left="118" w:right="440"/>
        <w:rPr>
          <w:rFonts w:hint="eastAsia" w:ascii="MS UI Gothic" w:eastAsia="MS UI Gothic"/>
        </w:rPr>
      </w:pPr>
      <w:r>
        <w:br w:type="column"/>
      </w:r>
      <w:r>
        <w:t>第十一条 煤矿使用不符合国家安全标准或者行业安全标准的设备</w:t>
      </w:r>
      <w:r>
        <w:rPr>
          <w:rFonts w:hint="eastAsia" w:ascii="MS UI Gothic" w:eastAsia="MS UI Gothic"/>
          <w:w w:val="80"/>
        </w:rPr>
        <w:t xml:space="preserve">、 </w:t>
      </w:r>
      <w:r>
        <w:t>器材</w:t>
      </w:r>
      <w:r>
        <w:rPr>
          <w:rFonts w:hint="eastAsia" w:ascii="MS UI Gothic" w:eastAsia="MS UI Gothic"/>
          <w:w w:val="80"/>
        </w:rPr>
        <w:t xml:space="preserve">、 </w:t>
      </w:r>
      <w:r>
        <w:t>仪器</w:t>
      </w:r>
      <w:r>
        <w:rPr>
          <w:rFonts w:hint="eastAsia" w:ascii="MS UI Gothic" w:eastAsia="MS UI Gothic"/>
          <w:w w:val="80"/>
        </w:rPr>
        <w:t xml:space="preserve">、 </w:t>
      </w:r>
      <w:r>
        <w:t>仪表</w:t>
      </w:r>
      <w:r>
        <w:rPr>
          <w:rFonts w:hint="eastAsia" w:ascii="MS UI Gothic" w:eastAsia="MS UI Gothic"/>
          <w:w w:val="80"/>
        </w:rPr>
        <w:t xml:space="preserve">、 </w:t>
      </w:r>
      <w:r>
        <w:t>防护用品的</w:t>
      </w:r>
      <w:r>
        <w:rPr>
          <w:rFonts w:hint="eastAsia" w:ascii="MS UI Gothic" w:eastAsia="MS UI Gothic"/>
          <w:w w:val="80"/>
        </w:rPr>
        <w:t xml:space="preserve">ꎬ </w:t>
      </w:r>
      <w:r>
        <w:t>责令限期改正或者责令立即停止使用</w:t>
      </w:r>
      <w:r>
        <w:rPr>
          <w:rFonts w:hint="eastAsia" w:ascii="MS UI Gothic" w:eastAsia="MS UI Gothic"/>
          <w:w w:val="80"/>
        </w:rPr>
        <w:t xml:space="preserve">ꎻ </w:t>
      </w:r>
      <w:r>
        <w:t>逾期不改正或者不立即停止使用的</w:t>
      </w:r>
      <w:r>
        <w:rPr>
          <w:rFonts w:hint="eastAsia" w:ascii="MS UI Gothic" w:eastAsia="MS UI Gothic"/>
          <w:w w:val="80"/>
        </w:rPr>
        <w:t xml:space="preserve">ꎬ </w:t>
      </w:r>
      <w:r>
        <w:t xml:space="preserve">处 </w:t>
      </w:r>
      <w:r>
        <w:rPr>
          <w:rFonts w:hint="eastAsia" w:ascii="MS UI Gothic" w:eastAsia="MS UI Gothic"/>
          <w:w w:val="80"/>
        </w:rPr>
        <w:t xml:space="preserve">５ </w:t>
      </w:r>
      <w:r>
        <w:t>万元以下的罚款</w:t>
      </w:r>
      <w:r>
        <w:rPr>
          <w:rFonts w:hint="eastAsia" w:ascii="MS UI Gothic" w:eastAsia="MS UI Gothic"/>
          <w:w w:val="80"/>
        </w:rPr>
        <w:t>ꎻ</w:t>
      </w:r>
      <w:r>
        <w:t>情节严重的</w:t>
      </w:r>
      <w:r>
        <w:rPr>
          <w:rFonts w:hint="eastAsia" w:ascii="MS UI Gothic" w:eastAsia="MS UI Gothic"/>
          <w:w w:val="80"/>
        </w:rPr>
        <w:t xml:space="preserve">ꎬ </w:t>
      </w:r>
      <w:r>
        <w:t>责令停产整顿</w:t>
      </w:r>
      <w:r>
        <w:rPr>
          <w:rFonts w:hint="eastAsia" w:ascii="MS UI Gothic" w:eastAsia="MS UI Gothic"/>
          <w:w w:val="80"/>
        </w:rPr>
        <w:t>ꎮ</w:t>
      </w:r>
    </w:p>
    <w:p>
      <w:pPr>
        <w:pStyle w:val="6"/>
        <w:spacing w:line="295" w:lineRule="auto"/>
        <w:ind w:left="118" w:right="442"/>
        <w:rPr>
          <w:rFonts w:hint="eastAsia" w:ascii="MS UI Gothic" w:eastAsia="MS UI Gothic"/>
        </w:rPr>
      </w:pPr>
      <w:r>
        <w:rPr>
          <w:w w:val="105"/>
        </w:rPr>
        <w:t>第十二条 煤矿企业的机电设备</w:t>
      </w:r>
      <w:r>
        <w:rPr>
          <w:rFonts w:hint="eastAsia" w:ascii="MS UI Gothic" w:eastAsia="MS UI Gothic"/>
          <w:w w:val="80"/>
        </w:rPr>
        <w:t xml:space="preserve">、 </w:t>
      </w:r>
      <w:r>
        <w:rPr>
          <w:w w:val="105"/>
        </w:rPr>
        <w:t>安全仪器</w:t>
      </w:r>
      <w:r>
        <w:rPr>
          <w:rFonts w:hint="eastAsia" w:ascii="MS UI Gothic" w:eastAsia="MS UI Gothic"/>
          <w:w w:val="80"/>
        </w:rPr>
        <w:t xml:space="preserve">ꎬ </w:t>
      </w:r>
      <w:r>
        <w:rPr>
          <w:w w:val="105"/>
        </w:rPr>
        <w:t>未按照下列规定操作</w:t>
      </w:r>
      <w:r>
        <w:rPr>
          <w:rFonts w:hint="eastAsia" w:ascii="MS UI Gothic" w:eastAsia="MS UI Gothic"/>
          <w:w w:val="80"/>
        </w:rPr>
        <w:t xml:space="preserve">、 </w:t>
      </w:r>
      <w:r>
        <w:rPr>
          <w:w w:val="105"/>
        </w:rPr>
        <w:t>检查</w:t>
      </w:r>
      <w:r>
        <w:rPr>
          <w:rFonts w:hint="eastAsia" w:ascii="MS UI Gothic" w:eastAsia="MS UI Gothic"/>
          <w:w w:val="80"/>
        </w:rPr>
        <w:t xml:space="preserve">、 </w:t>
      </w:r>
      <w:r>
        <w:rPr>
          <w:w w:val="105"/>
        </w:rPr>
        <w:t>维修和建立档案的</w:t>
      </w:r>
      <w:r>
        <w:rPr>
          <w:rFonts w:hint="eastAsia" w:ascii="MS UI Gothic" w:eastAsia="MS UI Gothic"/>
          <w:w w:val="80"/>
        </w:rPr>
        <w:t xml:space="preserve">ꎬ </w:t>
      </w:r>
      <w:r>
        <w:rPr>
          <w:w w:val="105"/>
        </w:rPr>
        <w:t>责令改正</w:t>
      </w:r>
      <w:r>
        <w:rPr>
          <w:rFonts w:hint="eastAsia" w:ascii="MS UI Gothic" w:eastAsia="MS UI Gothic"/>
          <w:w w:val="80"/>
        </w:rPr>
        <w:t xml:space="preserve">ꎬ </w:t>
      </w:r>
      <w:r>
        <w:rPr>
          <w:w w:val="105"/>
        </w:rPr>
        <w:t xml:space="preserve">可以并处 </w:t>
      </w:r>
      <w:r>
        <w:rPr>
          <w:rFonts w:hint="eastAsia" w:ascii="MS UI Gothic" w:eastAsia="MS UI Gothic"/>
          <w:w w:val="80"/>
        </w:rPr>
        <w:t xml:space="preserve">２ </w:t>
      </w:r>
      <w:r>
        <w:rPr>
          <w:w w:val="105"/>
        </w:rPr>
        <w:t>万元以下的罚款</w:t>
      </w:r>
      <w:r>
        <w:rPr>
          <w:rFonts w:hint="eastAsia" w:ascii="MS UI Gothic" w:eastAsia="MS UI Gothic"/>
          <w:w w:val="235"/>
        </w:rPr>
        <w:t>:</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未定期对机电设备及其防护装置</w:t>
      </w:r>
      <w:r>
        <w:rPr>
          <w:rFonts w:hint="eastAsia" w:ascii="MS UI Gothic" w:eastAsia="MS UI Gothic"/>
          <w:w w:val="80"/>
        </w:rPr>
        <w:t xml:space="preserve">、 </w:t>
      </w:r>
      <w:r>
        <w:rPr>
          <w:w w:val="105"/>
        </w:rPr>
        <w:t>安全检测仪器检查</w:t>
      </w:r>
      <w:r>
        <w:rPr>
          <w:rFonts w:hint="eastAsia" w:ascii="MS UI Gothic" w:eastAsia="MS UI Gothic"/>
          <w:w w:val="80"/>
        </w:rPr>
        <w:t xml:space="preserve">、 </w:t>
      </w:r>
      <w:r>
        <w:rPr>
          <w:w w:val="105"/>
        </w:rPr>
        <w:t>维修和建立技术档案的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spacing w:val="-34"/>
          <w:w w:val="120"/>
        </w:rPr>
        <w:t xml:space="preserve">( </w:t>
      </w:r>
      <w:r>
        <w:rPr>
          <w:spacing w:val="5"/>
          <w:w w:val="110"/>
        </w:rPr>
        <w:t>二</w:t>
      </w:r>
      <w:r>
        <w:rPr>
          <w:rFonts w:hint="eastAsia" w:ascii="MS UI Gothic" w:eastAsia="MS UI Gothic"/>
          <w:spacing w:val="-13"/>
          <w:w w:val="120"/>
        </w:rPr>
        <w:t xml:space="preserve">) </w:t>
      </w:r>
      <w:r>
        <w:rPr>
          <w:spacing w:val="23"/>
          <w:w w:val="110"/>
        </w:rPr>
        <w:t>非负责设备运行人员操作设</w:t>
      </w:r>
      <w:r>
        <w:rPr>
          <w:spacing w:val="3"/>
          <w:w w:val="110"/>
        </w:rPr>
        <w:t>备的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spacing w:val="-34"/>
          <w:w w:val="120"/>
        </w:rPr>
        <w:t xml:space="preserve">( </w:t>
      </w:r>
      <w:r>
        <w:rPr>
          <w:spacing w:val="5"/>
          <w:w w:val="110"/>
        </w:rPr>
        <w:t>三</w:t>
      </w:r>
      <w:r>
        <w:rPr>
          <w:rFonts w:hint="eastAsia" w:ascii="MS UI Gothic" w:eastAsia="MS UI Gothic"/>
          <w:spacing w:val="-13"/>
          <w:w w:val="120"/>
        </w:rPr>
        <w:t xml:space="preserve">) </w:t>
      </w:r>
      <w:r>
        <w:rPr>
          <w:spacing w:val="23"/>
          <w:w w:val="110"/>
        </w:rPr>
        <w:t>非值班电气人员进行电气作</w:t>
      </w:r>
      <w:r>
        <w:rPr>
          <w:spacing w:val="3"/>
          <w:w w:val="110"/>
        </w:rPr>
        <w:t>业的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spacing w:val="-39"/>
          <w:w w:val="150"/>
        </w:rPr>
        <w:t xml:space="preserve">( </w:t>
      </w:r>
      <w:r>
        <w:rPr>
          <w:spacing w:val="3"/>
          <w:w w:val="105"/>
        </w:rPr>
        <w:t>四</w:t>
      </w:r>
      <w:r>
        <w:rPr>
          <w:rFonts w:hint="eastAsia" w:ascii="MS UI Gothic" w:eastAsia="MS UI Gothic"/>
          <w:spacing w:val="-3"/>
          <w:w w:val="150"/>
        </w:rPr>
        <w:t xml:space="preserve">) </w:t>
      </w:r>
      <w:r>
        <w:rPr>
          <w:spacing w:val="5"/>
          <w:w w:val="105"/>
        </w:rPr>
        <w:t>操作电气设备的人员</w:t>
      </w:r>
      <w:r>
        <w:rPr>
          <w:rFonts w:hint="eastAsia" w:ascii="MS UI Gothic" w:eastAsia="MS UI Gothic"/>
          <w:spacing w:val="13"/>
          <w:w w:val="80"/>
        </w:rPr>
        <w:t xml:space="preserve">ꎬ </w:t>
      </w:r>
      <w:r>
        <w:rPr>
          <w:spacing w:val="7"/>
          <w:w w:val="105"/>
        </w:rPr>
        <w:t>没有可</w:t>
      </w:r>
      <w:r>
        <w:rPr>
          <w:spacing w:val="24"/>
        </w:rPr>
        <w:t>靠的绝缘保护和检修电气设备带电作</w:t>
      </w:r>
      <w:r>
        <w:rPr>
          <w:spacing w:val="3"/>
          <w:w w:val="105"/>
        </w:rPr>
        <w:t>业的</w:t>
      </w:r>
      <w:r>
        <w:rPr>
          <w:rFonts w:hint="eastAsia" w:ascii="MS UI Gothic" w:eastAsia="MS UI Gothic"/>
          <w:w w:val="80"/>
        </w:rPr>
        <w:t>ꎮ</w:t>
      </w:r>
    </w:p>
    <w:p>
      <w:pPr>
        <w:pStyle w:val="6"/>
        <w:spacing w:line="295" w:lineRule="auto"/>
        <w:ind w:left="118" w:right="442"/>
        <w:rPr>
          <w:rFonts w:hint="eastAsia" w:ascii="MS UI Gothic" w:eastAsia="MS UI Gothic"/>
        </w:rPr>
      </w:pPr>
      <w:r>
        <w:t>第十三条 煤矿井下采掘作业</w:t>
      </w:r>
      <w:r>
        <w:rPr>
          <w:rFonts w:hint="eastAsia" w:ascii="MS UI Gothic" w:eastAsia="MS UI Gothic"/>
          <w:w w:val="80"/>
        </w:rPr>
        <w:t xml:space="preserve">ꎬ </w:t>
      </w:r>
      <w:r>
        <w:t>未按照作业规程的规定管理顶帮</w:t>
      </w:r>
      <w:r>
        <w:rPr>
          <w:rFonts w:hint="eastAsia" w:ascii="MS UI Gothic" w:eastAsia="MS UI Gothic"/>
          <w:w w:val="80"/>
        </w:rPr>
        <w:t xml:space="preserve">ꎻ </w:t>
      </w:r>
      <w:r>
        <w:t>通过地质破碎带或者其他顶帮破碎地点时</w:t>
      </w:r>
      <w:r>
        <w:rPr>
          <w:rFonts w:hint="eastAsia" w:ascii="MS UI Gothic" w:eastAsia="MS UI Gothic"/>
          <w:w w:val="80"/>
        </w:rPr>
        <w:t xml:space="preserve">ꎬ </w:t>
      </w:r>
      <w:r>
        <w:t>未加强支护</w:t>
      </w:r>
      <w:r>
        <w:rPr>
          <w:rFonts w:hint="eastAsia" w:ascii="MS UI Gothic" w:eastAsia="MS UI Gothic"/>
          <w:w w:val="80"/>
        </w:rPr>
        <w:t xml:space="preserve">ꎻ </w:t>
      </w:r>
      <w:r>
        <w:t>露天采剥作业</w:t>
      </w:r>
      <w:r>
        <w:rPr>
          <w:rFonts w:hint="eastAsia" w:ascii="MS UI Gothic" w:eastAsia="MS UI Gothic"/>
          <w:w w:val="80"/>
        </w:rPr>
        <w:t xml:space="preserve">ꎬ </w:t>
      </w:r>
      <w:r>
        <w:t>未按照设计规定</w:t>
      </w:r>
      <w:r>
        <w:rPr>
          <w:rFonts w:hint="eastAsia" w:ascii="MS UI Gothic" w:eastAsia="MS UI Gothic"/>
          <w:w w:val="80"/>
        </w:rPr>
        <w:t xml:space="preserve">ꎬ </w:t>
      </w:r>
      <w:r>
        <w:t>控制采剥工作面的阶段高度</w:t>
      </w:r>
      <w:r>
        <w:rPr>
          <w:rFonts w:hint="eastAsia" w:ascii="MS UI Gothic" w:eastAsia="MS UI Gothic"/>
          <w:w w:val="80"/>
        </w:rPr>
        <w:t xml:space="preserve">、 </w:t>
      </w:r>
      <w:r>
        <w:t>宽度</w:t>
      </w:r>
      <w:r>
        <w:rPr>
          <w:rFonts w:hint="eastAsia" w:ascii="MS UI Gothic" w:eastAsia="MS UI Gothic"/>
          <w:w w:val="80"/>
        </w:rPr>
        <w:t xml:space="preserve">、 </w:t>
      </w:r>
      <w:r>
        <w:t>边坡角和最终边坡角</w:t>
      </w:r>
      <w:r>
        <w:rPr>
          <w:rFonts w:hint="eastAsia" w:ascii="MS UI Gothic" w:eastAsia="MS UI Gothic"/>
          <w:w w:val="80"/>
        </w:rPr>
        <w:t xml:space="preserve">ꎻ </w:t>
      </w:r>
      <w:r>
        <w:t>采剥作业和排土作业</w:t>
      </w:r>
      <w:r>
        <w:rPr>
          <w:rFonts w:hint="eastAsia" w:ascii="MS UI Gothic" w:eastAsia="MS UI Gothic"/>
          <w:w w:val="80"/>
        </w:rPr>
        <w:t xml:space="preserve">ꎬ </w:t>
      </w:r>
      <w:r>
        <w:t>对深部或者邻近井巷造成危害的</w:t>
      </w:r>
      <w:r>
        <w:rPr>
          <w:rFonts w:hint="eastAsia" w:ascii="MS UI Gothic" w:eastAsia="MS UI Gothic"/>
          <w:w w:val="80"/>
        </w:rPr>
        <w:t xml:space="preserve">ꎬ </w:t>
      </w:r>
      <w:r>
        <w:t>责令改正</w:t>
      </w:r>
      <w:r>
        <w:rPr>
          <w:rFonts w:hint="eastAsia" w:ascii="MS UI Gothic" w:eastAsia="MS UI Gothic"/>
          <w:w w:val="80"/>
        </w:rPr>
        <w:t xml:space="preserve">ꎬ </w:t>
      </w:r>
      <w:r>
        <w:t xml:space="preserve">可以并处 </w:t>
      </w:r>
      <w:r>
        <w:rPr>
          <w:rFonts w:hint="eastAsia" w:ascii="MS UI Gothic" w:eastAsia="MS UI Gothic"/>
          <w:w w:val="80"/>
        </w:rPr>
        <w:t xml:space="preserve">２ </w:t>
      </w:r>
      <w:r>
        <w:t>万元以下的罚款</w:t>
      </w:r>
      <w:r>
        <w:rPr>
          <w:rFonts w:hint="eastAsia" w:ascii="MS UI Gothic" w:eastAsia="MS UI Gothic"/>
          <w:w w:val="80"/>
        </w:rPr>
        <w:t>ꎮ</w:t>
      </w:r>
    </w:p>
    <w:p>
      <w:pPr>
        <w:pStyle w:val="6"/>
        <w:spacing w:line="295" w:lineRule="auto"/>
        <w:ind w:left="118" w:right="442"/>
        <w:rPr>
          <w:rFonts w:hint="eastAsia" w:ascii="MS UI Gothic" w:eastAsia="MS UI Gothic"/>
        </w:rPr>
      </w:pPr>
      <w:r>
        <w:t>第十四条 煤矿未严格执行瓦斯检查制度</w:t>
      </w:r>
      <w:r>
        <w:rPr>
          <w:rFonts w:hint="eastAsia" w:ascii="MS UI Gothic" w:eastAsia="MS UI Gothic"/>
          <w:w w:val="80"/>
        </w:rPr>
        <w:t xml:space="preserve">ꎬ </w:t>
      </w:r>
      <w:r>
        <w:t>入井人员携带烟草和点火用具下井的</w:t>
      </w:r>
      <w:r>
        <w:rPr>
          <w:rFonts w:hint="eastAsia" w:ascii="MS UI Gothic" w:eastAsia="MS UI Gothic"/>
          <w:w w:val="80"/>
        </w:rPr>
        <w:t xml:space="preserve">ꎬ </w:t>
      </w:r>
      <w:r>
        <w:t>责令改正</w:t>
      </w:r>
      <w:r>
        <w:rPr>
          <w:rFonts w:hint="eastAsia" w:ascii="MS UI Gothic" w:eastAsia="MS UI Gothic"/>
          <w:w w:val="80"/>
        </w:rPr>
        <w:t xml:space="preserve">ꎬ </w:t>
      </w:r>
      <w:r>
        <w:t xml:space="preserve">可以并处 </w:t>
      </w:r>
      <w:r>
        <w:rPr>
          <w:rFonts w:hint="eastAsia" w:ascii="MS UI Gothic" w:eastAsia="MS UI Gothic"/>
          <w:w w:val="80"/>
        </w:rPr>
        <w:t xml:space="preserve">２ </w:t>
      </w:r>
      <w:r>
        <w:t>万元以下的罚款</w:t>
      </w:r>
      <w:r>
        <w:rPr>
          <w:rFonts w:hint="eastAsia" w:ascii="MS UI Gothic" w:eastAsia="MS UI Gothic"/>
          <w:w w:val="80"/>
        </w:rPr>
        <w:t>ꎮ</w:t>
      </w:r>
    </w:p>
    <w:p>
      <w:pPr>
        <w:pStyle w:val="6"/>
        <w:spacing w:line="295" w:lineRule="auto"/>
        <w:ind w:left="118" w:right="440"/>
        <w:rPr>
          <w:rFonts w:hint="eastAsia" w:ascii="MS UI Gothic" w:eastAsia="MS UI Gothic"/>
        </w:rPr>
      </w:pPr>
      <w:r>
        <w:t>第十五条 煤矿在有瓦斯突出</w:t>
      </w:r>
      <w:r>
        <w:rPr>
          <w:rFonts w:hint="eastAsia" w:ascii="MS UI Gothic" w:eastAsia="MS UI Gothic"/>
          <w:w w:val="80"/>
        </w:rPr>
        <w:t xml:space="preserve">、 </w:t>
      </w:r>
      <w:r>
        <w:t>冲击地压条件下从事采掘作业</w:t>
      </w:r>
      <w:r>
        <w:rPr>
          <w:rFonts w:hint="eastAsia" w:ascii="MS UI Gothic" w:eastAsia="MS UI Gothic"/>
          <w:w w:val="80"/>
        </w:rPr>
        <w:t xml:space="preserve">ꎻ </w:t>
      </w:r>
      <w:r>
        <w:t>在未加保护的建筑物</w:t>
      </w:r>
      <w:r>
        <w:rPr>
          <w:rFonts w:hint="eastAsia" w:ascii="MS UI Gothic" w:eastAsia="MS UI Gothic"/>
          <w:w w:val="80"/>
        </w:rPr>
        <w:t xml:space="preserve">、 </w:t>
      </w:r>
      <w:r>
        <w:t>构筑物和铁路</w:t>
      </w:r>
      <w:r>
        <w:rPr>
          <w:rFonts w:hint="eastAsia" w:ascii="MS UI Gothic" w:eastAsia="MS UI Gothic"/>
          <w:w w:val="80"/>
        </w:rPr>
        <w:t xml:space="preserve">、 </w:t>
      </w:r>
      <w:r>
        <w:t>水体下面开采</w:t>
      </w:r>
      <w:r>
        <w:rPr>
          <w:rFonts w:hint="eastAsia" w:ascii="MS UI Gothic" w:eastAsia="MS UI Gothic"/>
          <w:w w:val="80"/>
        </w:rPr>
        <w:t>ꎻ</w:t>
      </w:r>
      <w:r>
        <w:t>在地温异常或者热水涌出的地区开采</w:t>
      </w:r>
      <w:r>
        <w:rPr>
          <w:rFonts w:hint="eastAsia" w:ascii="MS UI Gothic" w:eastAsia="MS UI Gothic"/>
          <w:w w:val="80"/>
        </w:rPr>
        <w:t xml:space="preserve">ꎬ </w:t>
      </w:r>
      <w:r>
        <w:t>未编制专门设计文件和报主管部门批准的</w:t>
      </w:r>
      <w:r>
        <w:rPr>
          <w:rFonts w:hint="eastAsia" w:ascii="MS UI Gothic" w:eastAsia="MS UI Gothic"/>
          <w:w w:val="80"/>
        </w:rPr>
        <w:t>ꎬ</w:t>
      </w:r>
      <w:r>
        <w:t>责令改正</w:t>
      </w:r>
      <w:r>
        <w:rPr>
          <w:rFonts w:hint="eastAsia" w:ascii="MS UI Gothic" w:eastAsia="MS UI Gothic"/>
          <w:w w:val="80"/>
        </w:rPr>
        <w:t xml:space="preserve">ꎬ </w:t>
      </w:r>
      <w:r>
        <w:t xml:space="preserve">可以并处 </w:t>
      </w:r>
      <w:r>
        <w:rPr>
          <w:rFonts w:hint="eastAsia" w:ascii="MS UI Gothic" w:eastAsia="MS UI Gothic"/>
          <w:w w:val="80"/>
        </w:rPr>
        <w:t xml:space="preserve">２ </w:t>
      </w:r>
      <w:r>
        <w:t>万元以下的罚款</w:t>
      </w:r>
      <w:r>
        <w:rPr>
          <w:rFonts w:hint="eastAsia" w:ascii="MS UI Gothic" w:eastAsia="MS UI Gothic"/>
          <w:w w:val="80"/>
        </w:rPr>
        <w:t>ꎮ</w:t>
      </w:r>
    </w:p>
    <w:p>
      <w:pPr>
        <w:pStyle w:val="6"/>
        <w:spacing w:line="251" w:lineRule="exact"/>
        <w:ind w:left="538" w:firstLine="0"/>
      </w:pPr>
      <w:r>
        <w:t>第十六条 煤矿作业场所的瓦斯</w:t>
      </w:r>
      <w:r>
        <w:rPr>
          <w:rFonts w:hint="eastAsia" w:ascii="MS UI Gothic" w:eastAsia="MS UI Gothic"/>
        </w:rPr>
        <w:t xml:space="preserve">、 </w:t>
      </w:r>
      <w:r>
        <w:t>粉</w:t>
      </w:r>
    </w:p>
    <w:p>
      <w:pPr>
        <w:spacing w:after="0" w:line="251" w:lineRule="exact"/>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３８３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50" o:spid="_x0000_s2150" o:spt="203" style="height:2.15pt;width:398.25pt;" coordsize="7965,43">
            <o:lock v:ext="edit"/>
            <v:line id="_x0000_s2151" o:spid="_x0000_s2151" o:spt="20" style="position:absolute;left:0;top:39;height:0;width:7965;" stroked="t" coordsize="21600,21600">
              <v:path arrowok="t"/>
              <v:fill focussize="0,0"/>
              <v:stroke weight="0.388031496062992pt" color="#231F20"/>
              <v:imagedata o:title=""/>
              <o:lock v:ext="edit"/>
            </v:line>
            <v:line id="_x0000_s2152" o:spid="_x0000_s215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尘或者其他有毒有害气体的浓度超过国家安全标准或者行业安全标准的</w:t>
      </w:r>
      <w:r>
        <w:rPr>
          <w:rFonts w:hint="eastAsia" w:ascii="MS UI Gothic" w:eastAsia="MS UI Gothic"/>
          <w:w w:val="85"/>
        </w:rPr>
        <w:t xml:space="preserve">ꎬ </w:t>
      </w:r>
      <w:r>
        <w:t>责令立即停止作业</w:t>
      </w:r>
      <w:r>
        <w:rPr>
          <w:rFonts w:hint="eastAsia" w:ascii="MS UI Gothic" w:eastAsia="MS UI Gothic"/>
          <w:w w:val="85"/>
        </w:rPr>
        <w:t xml:space="preserve">ꎻ </w:t>
      </w:r>
      <w:r>
        <w:t>拒不停止作业的</w:t>
      </w:r>
      <w:r>
        <w:rPr>
          <w:rFonts w:hint="eastAsia" w:ascii="MS UI Gothic" w:eastAsia="MS UI Gothic"/>
          <w:w w:val="85"/>
        </w:rPr>
        <w:t xml:space="preserve">ꎬ </w:t>
      </w:r>
      <w:r>
        <w:t>责令停产整顿</w:t>
      </w:r>
      <w:r>
        <w:rPr>
          <w:rFonts w:hint="eastAsia" w:ascii="MS UI Gothic" w:eastAsia="MS UI Gothic"/>
          <w:w w:val="85"/>
        </w:rPr>
        <w:t xml:space="preserve">ꎬ </w:t>
      </w:r>
      <w:r>
        <w:t xml:space="preserve">可以并处 </w:t>
      </w:r>
      <w:r>
        <w:rPr>
          <w:rFonts w:hint="eastAsia" w:ascii="MS UI Gothic" w:eastAsia="MS UI Gothic"/>
          <w:w w:val="85"/>
        </w:rPr>
        <w:t xml:space="preserve">１０ </w:t>
      </w:r>
      <w:r>
        <w:t>万元以下的罚款</w:t>
      </w:r>
      <w:r>
        <w:rPr>
          <w:rFonts w:hint="eastAsia" w:ascii="MS UI Gothic" w:eastAsia="MS UI Gothic"/>
          <w:w w:val="85"/>
        </w:rPr>
        <w:t>ꎮ</w:t>
      </w:r>
    </w:p>
    <w:p>
      <w:pPr>
        <w:pStyle w:val="6"/>
        <w:spacing w:line="295" w:lineRule="auto"/>
        <w:ind w:left="440" w:right="1"/>
        <w:rPr>
          <w:rFonts w:hint="eastAsia" w:ascii="MS UI Gothic" w:eastAsia="MS UI Gothic"/>
        </w:rPr>
      </w:pPr>
      <w:r>
        <w:rPr>
          <w:spacing w:val="10"/>
        </w:rPr>
        <w:t>第十七条  有自然发火可能性的矿</w:t>
      </w:r>
      <w:r>
        <w:rPr>
          <w:spacing w:val="3"/>
        </w:rPr>
        <w:t>井</w:t>
      </w:r>
      <w:r>
        <w:rPr>
          <w:rFonts w:hint="eastAsia" w:ascii="MS UI Gothic" w:eastAsia="MS UI Gothic"/>
          <w:spacing w:val="21"/>
          <w:w w:val="80"/>
        </w:rPr>
        <w:t xml:space="preserve">ꎬ </w:t>
      </w:r>
      <w:r>
        <w:rPr>
          <w:spacing w:val="2"/>
        </w:rPr>
        <w:t>未按规定采取有效的预防自然发火措施的</w:t>
      </w:r>
      <w:r>
        <w:rPr>
          <w:rFonts w:hint="eastAsia" w:ascii="MS UI Gothic" w:eastAsia="MS UI Gothic"/>
          <w:spacing w:val="23"/>
          <w:w w:val="80"/>
        </w:rPr>
        <w:t xml:space="preserve">ꎬ </w:t>
      </w:r>
      <w:r>
        <w:rPr>
          <w:spacing w:val="3"/>
        </w:rPr>
        <w:t>责令改正</w:t>
      </w:r>
      <w:r>
        <w:rPr>
          <w:rFonts w:hint="eastAsia" w:ascii="MS UI Gothic" w:eastAsia="MS UI Gothic"/>
          <w:spacing w:val="23"/>
          <w:w w:val="80"/>
        </w:rPr>
        <w:t xml:space="preserve">ꎬ </w:t>
      </w:r>
      <w:r>
        <w:rPr>
          <w:spacing w:val="-10"/>
        </w:rPr>
        <w:t xml:space="preserve">可以并处 </w:t>
      </w:r>
      <w:r>
        <w:rPr>
          <w:rFonts w:hint="eastAsia" w:ascii="MS UI Gothic" w:eastAsia="MS UI Gothic"/>
          <w:spacing w:val="2"/>
          <w:w w:val="80"/>
        </w:rPr>
        <w:t xml:space="preserve">２ </w:t>
      </w:r>
      <w:r>
        <w:rPr>
          <w:spacing w:val="3"/>
        </w:rPr>
        <w:t>万元以下的罚款</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第十八条 煤矿在有可能发生突水危</w:t>
      </w:r>
      <w:r>
        <w:rPr>
          <w:spacing w:val="3"/>
        </w:rPr>
        <w:t>险的地区从事采掘作业</w:t>
      </w:r>
      <w:r>
        <w:rPr>
          <w:rFonts w:hint="eastAsia" w:ascii="MS UI Gothic" w:eastAsia="MS UI Gothic"/>
          <w:spacing w:val="21"/>
          <w:w w:val="80"/>
        </w:rPr>
        <w:t xml:space="preserve">ꎬ </w:t>
      </w:r>
      <w:r>
        <w:rPr>
          <w:spacing w:val="2"/>
        </w:rPr>
        <w:t>未采取探放水措施的</w:t>
      </w:r>
      <w:r>
        <w:rPr>
          <w:rFonts w:hint="eastAsia" w:ascii="MS UI Gothic" w:eastAsia="MS UI Gothic"/>
          <w:spacing w:val="23"/>
          <w:w w:val="80"/>
        </w:rPr>
        <w:t xml:space="preserve">ꎬ </w:t>
      </w:r>
      <w:r>
        <w:rPr>
          <w:spacing w:val="3"/>
        </w:rPr>
        <w:t>责令改正</w:t>
      </w:r>
      <w:r>
        <w:rPr>
          <w:rFonts w:hint="eastAsia" w:ascii="MS UI Gothic" w:eastAsia="MS UI Gothic"/>
          <w:spacing w:val="23"/>
          <w:w w:val="80"/>
        </w:rPr>
        <w:t xml:space="preserve">ꎬ </w:t>
      </w:r>
      <w:r>
        <w:rPr>
          <w:spacing w:val="-10"/>
        </w:rPr>
        <w:t xml:space="preserve">可以并处 </w:t>
      </w:r>
      <w:r>
        <w:rPr>
          <w:rFonts w:hint="eastAsia" w:ascii="MS UI Gothic" w:eastAsia="MS UI Gothic"/>
          <w:spacing w:val="2"/>
          <w:w w:val="80"/>
        </w:rPr>
        <w:t xml:space="preserve">２ </w:t>
      </w:r>
      <w:r>
        <w:rPr>
          <w:spacing w:val="3"/>
        </w:rPr>
        <w:t>万元以下的罚款</w:t>
      </w:r>
      <w:r>
        <w:rPr>
          <w:rFonts w:hint="eastAsia" w:ascii="MS UI Gothic" w:eastAsia="MS UI Gothic"/>
          <w:w w:val="80"/>
        </w:rPr>
        <w:t>ꎮ</w:t>
      </w:r>
    </w:p>
    <w:p>
      <w:pPr>
        <w:pStyle w:val="6"/>
        <w:spacing w:line="295" w:lineRule="auto"/>
        <w:ind w:left="440" w:right="1"/>
        <w:rPr>
          <w:rFonts w:hint="eastAsia" w:ascii="MS UI Gothic" w:eastAsia="MS UI Gothic"/>
        </w:rPr>
      </w:pPr>
      <w:r>
        <w:t>第十九条 煤矿井下风量</w:t>
      </w:r>
      <w:r>
        <w:rPr>
          <w:rFonts w:hint="eastAsia" w:ascii="MS UI Gothic" w:eastAsia="MS UI Gothic"/>
          <w:w w:val="80"/>
        </w:rPr>
        <w:t xml:space="preserve">、 </w:t>
      </w:r>
      <w:r>
        <w:t>风质</w:t>
      </w:r>
      <w:r>
        <w:rPr>
          <w:rFonts w:hint="eastAsia" w:ascii="MS UI Gothic" w:eastAsia="MS UI Gothic"/>
          <w:w w:val="80"/>
        </w:rPr>
        <w:t xml:space="preserve">、  </w:t>
      </w:r>
      <w:r>
        <w:t>风速和作业环境的气候</w:t>
      </w:r>
      <w:r>
        <w:rPr>
          <w:rFonts w:hint="eastAsia" w:ascii="MS UI Gothic" w:eastAsia="MS UI Gothic"/>
          <w:w w:val="80"/>
        </w:rPr>
        <w:t xml:space="preserve">ꎬ </w:t>
      </w:r>
      <w:r>
        <w:t>不符合煤矿安全规程的规定的</w:t>
      </w:r>
      <w:r>
        <w:rPr>
          <w:rFonts w:hint="eastAsia" w:ascii="MS UI Gothic" w:eastAsia="MS UI Gothic"/>
          <w:w w:val="80"/>
        </w:rPr>
        <w:t xml:space="preserve">ꎬ </w:t>
      </w:r>
      <w:r>
        <w:t>责令改正</w:t>
      </w:r>
      <w:r>
        <w:rPr>
          <w:rFonts w:hint="eastAsia" w:ascii="MS UI Gothic" w:eastAsia="MS UI Gothic"/>
          <w:w w:val="80"/>
        </w:rPr>
        <w:t xml:space="preserve">ꎬ </w:t>
      </w:r>
      <w:r>
        <w:t xml:space="preserve">可以并处 </w:t>
      </w:r>
      <w:r>
        <w:rPr>
          <w:rFonts w:hint="eastAsia" w:ascii="MS UI Gothic" w:eastAsia="MS UI Gothic"/>
          <w:w w:val="80"/>
        </w:rPr>
        <w:t xml:space="preserve">２ </w:t>
      </w:r>
      <w:r>
        <w:t>万元以下的罚款</w:t>
      </w:r>
      <w:r>
        <w:rPr>
          <w:rFonts w:hint="eastAsia" w:ascii="MS UI Gothic" w:eastAsia="MS UI Gothic"/>
          <w:w w:val="80"/>
        </w:rPr>
        <w:t>ꎮ</w:t>
      </w:r>
    </w:p>
    <w:p>
      <w:pPr>
        <w:pStyle w:val="6"/>
        <w:spacing w:line="295" w:lineRule="auto"/>
        <w:ind w:left="435" w:right="1" w:firstLine="425"/>
        <w:rPr>
          <w:rFonts w:hint="eastAsia" w:ascii="MS UI Gothic" w:eastAsia="MS UI Gothic"/>
        </w:rPr>
      </w:pPr>
      <w:r>
        <w:t>第二十条 煤矿对产生粉尘的作业场所</w:t>
      </w:r>
      <w:r>
        <w:rPr>
          <w:rFonts w:hint="eastAsia" w:ascii="MS UI Gothic" w:eastAsia="MS UI Gothic"/>
          <w:w w:val="80"/>
        </w:rPr>
        <w:t xml:space="preserve">ꎬ </w:t>
      </w:r>
      <w:r>
        <w:t>未采取综合防尘措施</w:t>
      </w:r>
      <w:r>
        <w:rPr>
          <w:rFonts w:hint="eastAsia" w:ascii="MS UI Gothic" w:eastAsia="MS UI Gothic"/>
          <w:w w:val="80"/>
        </w:rPr>
        <w:t xml:space="preserve">ꎬ </w:t>
      </w:r>
      <w:r>
        <w:t>或者未按规定对粉尘进行检测的</w:t>
      </w:r>
      <w:r>
        <w:rPr>
          <w:rFonts w:hint="eastAsia" w:ascii="MS UI Gothic" w:eastAsia="MS UI Gothic"/>
          <w:w w:val="80"/>
        </w:rPr>
        <w:t xml:space="preserve">ꎬ </w:t>
      </w:r>
      <w:r>
        <w:t>责令改正</w:t>
      </w:r>
      <w:r>
        <w:rPr>
          <w:rFonts w:hint="eastAsia" w:ascii="MS UI Gothic" w:eastAsia="MS UI Gothic"/>
          <w:w w:val="80"/>
        </w:rPr>
        <w:t xml:space="preserve">ꎬ </w:t>
      </w:r>
      <w:r>
        <w:t>可以并处</w:t>
      </w:r>
      <w:r>
        <w:rPr>
          <w:rFonts w:hint="eastAsia" w:ascii="MS UI Gothic" w:eastAsia="MS UI Gothic"/>
          <w:w w:val="80"/>
        </w:rPr>
        <w:t xml:space="preserve">２ </w:t>
      </w:r>
      <w:r>
        <w:t>万元以下的罚款</w:t>
      </w:r>
      <w:r>
        <w:rPr>
          <w:rFonts w:hint="eastAsia" w:ascii="MS UI Gothic" w:eastAsia="MS UI Gothic"/>
          <w:w w:val="80"/>
        </w:rPr>
        <w:t>ꎮ</w:t>
      </w:r>
    </w:p>
    <w:p>
      <w:pPr>
        <w:pStyle w:val="6"/>
        <w:spacing w:line="295" w:lineRule="auto"/>
        <w:ind w:left="440"/>
        <w:rPr>
          <w:rFonts w:hint="eastAsia" w:ascii="MS UI Gothic" w:eastAsia="MS UI Gothic"/>
        </w:rPr>
      </w:pPr>
      <w:r>
        <w:t>第二十一条 擅自开采保安煤柱</w:t>
      </w:r>
      <w:r>
        <w:rPr>
          <w:rFonts w:hint="eastAsia" w:ascii="MS UI Gothic" w:eastAsia="MS UI Gothic"/>
          <w:w w:val="80"/>
        </w:rPr>
        <w:t xml:space="preserve">ꎬ </w:t>
      </w:r>
      <w:r>
        <w:t>或者采用危及相邻煤矿生产安全的决水</w:t>
      </w:r>
      <w:r>
        <w:rPr>
          <w:rFonts w:hint="eastAsia" w:ascii="MS UI Gothic" w:eastAsia="MS UI Gothic"/>
          <w:w w:val="80"/>
        </w:rPr>
        <w:t xml:space="preserve">、 </w:t>
      </w:r>
      <w:r>
        <w:t>爆破</w:t>
      </w:r>
      <w:r>
        <w:rPr>
          <w:rFonts w:hint="eastAsia" w:ascii="MS UI Gothic" w:eastAsia="MS UI Gothic"/>
          <w:w w:val="80"/>
        </w:rPr>
        <w:t xml:space="preserve">、 </w:t>
      </w:r>
      <w:r>
        <w:t>贯通巷道等危险方法进行采矿作业</w:t>
      </w:r>
      <w:r>
        <w:rPr>
          <w:rFonts w:hint="eastAsia" w:ascii="MS UI Gothic" w:eastAsia="MS UI Gothic"/>
          <w:w w:val="80"/>
        </w:rPr>
        <w:t>ꎬ</w:t>
      </w:r>
      <w:r>
        <w:t>责令立即停止作业</w:t>
      </w:r>
      <w:r>
        <w:rPr>
          <w:rFonts w:hint="eastAsia" w:ascii="MS UI Gothic" w:eastAsia="MS UI Gothic"/>
          <w:w w:val="80"/>
        </w:rPr>
        <w:t xml:space="preserve">ꎻ </w:t>
      </w:r>
      <w:r>
        <w:t>拒不停止作业的</w:t>
      </w:r>
      <w:r>
        <w:rPr>
          <w:rFonts w:hint="eastAsia" w:ascii="MS UI Gothic" w:eastAsia="MS UI Gothic"/>
          <w:w w:val="80"/>
        </w:rPr>
        <w:t xml:space="preserve">ꎬ </w:t>
      </w:r>
      <w:r>
        <w:t>由煤矿安全监察机构决定吊销安全生产许可证</w:t>
      </w:r>
      <w:r>
        <w:rPr>
          <w:rFonts w:hint="eastAsia" w:ascii="MS UI Gothic" w:eastAsia="MS UI Gothic"/>
          <w:w w:val="80"/>
        </w:rPr>
        <w:t xml:space="preserve">ꎬ </w:t>
      </w:r>
      <w:r>
        <w:t>并移送地质矿产主管部门依法吊销采矿许可证</w:t>
      </w:r>
      <w:r>
        <w:rPr>
          <w:rFonts w:hint="eastAsia" w:ascii="MS UI Gothic" w:eastAsia="MS UI Gothic"/>
          <w:w w:val="80"/>
        </w:rPr>
        <w:t>ꎮ</w:t>
      </w:r>
    </w:p>
    <w:p>
      <w:pPr>
        <w:pStyle w:val="6"/>
        <w:spacing w:line="295" w:lineRule="auto"/>
        <w:ind w:left="440" w:right="1"/>
      </w:pPr>
      <w:r>
        <w:t>第二十二条 煤矿违反有关安全生产法律</w:t>
      </w:r>
      <w:r>
        <w:rPr>
          <w:rFonts w:hint="eastAsia" w:ascii="MS UI Gothic" w:eastAsia="MS UI Gothic"/>
          <w:w w:val="85"/>
        </w:rPr>
        <w:t xml:space="preserve">、 </w:t>
      </w:r>
      <w:r>
        <w:t>行政法规的规定</w:t>
      </w:r>
      <w:r>
        <w:rPr>
          <w:rFonts w:hint="eastAsia" w:ascii="MS UI Gothic" w:eastAsia="MS UI Gothic"/>
          <w:w w:val="85"/>
        </w:rPr>
        <w:t xml:space="preserve">ꎬ </w:t>
      </w:r>
      <w:r>
        <w:t>拒绝</w:t>
      </w:r>
      <w:r>
        <w:rPr>
          <w:rFonts w:hint="eastAsia" w:ascii="MS UI Gothic" w:eastAsia="MS UI Gothic"/>
          <w:w w:val="85"/>
        </w:rPr>
        <w:t xml:space="preserve">、 </w:t>
      </w:r>
      <w:r>
        <w:t>阻碍煤矿安全监察机构依法实施监督检查的</w:t>
      </w:r>
      <w:r>
        <w:rPr>
          <w:rFonts w:hint="eastAsia" w:ascii="MS UI Gothic" w:eastAsia="MS UI Gothic"/>
          <w:w w:val="85"/>
        </w:rPr>
        <w:t xml:space="preserve">ꎬ </w:t>
      </w:r>
      <w:r>
        <w:t>责令改正</w:t>
      </w:r>
      <w:r>
        <w:rPr>
          <w:rFonts w:hint="eastAsia" w:ascii="MS UI Gothic" w:eastAsia="MS UI Gothic"/>
          <w:w w:val="85"/>
        </w:rPr>
        <w:t xml:space="preserve">ꎻ </w:t>
      </w:r>
      <w:r>
        <w:t>拒不改正的</w:t>
      </w:r>
      <w:r>
        <w:rPr>
          <w:rFonts w:hint="eastAsia" w:ascii="MS UI Gothic" w:eastAsia="MS UI Gothic"/>
          <w:w w:val="85"/>
        </w:rPr>
        <w:t xml:space="preserve">ꎬ </w:t>
      </w:r>
      <w:r>
        <w:t xml:space="preserve">处 </w:t>
      </w:r>
      <w:r>
        <w:rPr>
          <w:rFonts w:hint="eastAsia" w:ascii="MS UI Gothic" w:eastAsia="MS UI Gothic"/>
          <w:w w:val="85"/>
        </w:rPr>
        <w:t xml:space="preserve">２ </w:t>
      </w:r>
      <w:r>
        <w:t xml:space="preserve">万元以上 </w:t>
      </w:r>
      <w:r>
        <w:rPr>
          <w:rFonts w:hint="eastAsia" w:ascii="MS UI Gothic" w:eastAsia="MS UI Gothic"/>
          <w:w w:val="85"/>
        </w:rPr>
        <w:t xml:space="preserve">２０ </w:t>
      </w:r>
      <w:r>
        <w:t>万元以下的罚款</w:t>
      </w:r>
      <w:r>
        <w:rPr>
          <w:rFonts w:hint="eastAsia" w:ascii="MS UI Gothic" w:eastAsia="MS UI Gothic"/>
          <w:w w:val="85"/>
        </w:rPr>
        <w:t xml:space="preserve">ꎻ </w:t>
      </w:r>
      <w:r>
        <w:t>对其直接负责的主管人员</w:t>
      </w:r>
    </w:p>
    <w:p>
      <w:pPr>
        <w:pStyle w:val="6"/>
        <w:spacing w:before="124" w:line="295" w:lineRule="auto"/>
        <w:ind w:left="381" w:right="126" w:firstLine="0"/>
        <w:rPr>
          <w:rFonts w:hint="eastAsia" w:ascii="MS UI Gothic" w:eastAsia="MS UI Gothic"/>
        </w:rPr>
      </w:pPr>
      <w:r>
        <w:br w:type="column"/>
      </w:r>
      <w:r>
        <w:t xml:space="preserve">和其他直接责任人员处 </w:t>
      </w:r>
      <w:r>
        <w:rPr>
          <w:rFonts w:hint="eastAsia" w:ascii="MS UI Gothic" w:eastAsia="MS UI Gothic"/>
          <w:w w:val="80"/>
        </w:rPr>
        <w:t xml:space="preserve">１ </w:t>
      </w:r>
      <w:r>
        <w:t xml:space="preserve">万元以上 </w:t>
      </w:r>
      <w:r>
        <w:rPr>
          <w:rFonts w:hint="eastAsia" w:ascii="MS UI Gothic" w:eastAsia="MS UI Gothic"/>
          <w:w w:val="80"/>
        </w:rPr>
        <w:t xml:space="preserve">２ </w:t>
      </w:r>
      <w:r>
        <w:t>万元以下的罚款</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煤矿提供虚假情况</w:t>
      </w:r>
      <w:r>
        <w:rPr>
          <w:rFonts w:hint="eastAsia" w:ascii="MS UI Gothic" w:eastAsia="MS UI Gothic"/>
          <w:w w:val="85"/>
        </w:rPr>
        <w:t xml:space="preserve">ꎬ </w:t>
      </w:r>
      <w:r>
        <w:t>或者隐瞒存在的事故隐患以及其他安全问题的</w:t>
      </w:r>
      <w:r>
        <w:rPr>
          <w:rFonts w:hint="eastAsia" w:ascii="MS UI Gothic" w:eastAsia="MS UI Gothic"/>
          <w:w w:val="85"/>
        </w:rPr>
        <w:t xml:space="preserve">ꎬ </w:t>
      </w:r>
      <w:r>
        <w:t>由煤矿安全监察机构给予警告</w:t>
      </w:r>
      <w:r>
        <w:rPr>
          <w:rFonts w:hint="eastAsia" w:ascii="MS UI Gothic" w:eastAsia="MS UI Gothic"/>
          <w:w w:val="85"/>
        </w:rPr>
        <w:t xml:space="preserve">ꎬ </w:t>
      </w:r>
      <w:r>
        <w:t xml:space="preserve">可以并处 </w:t>
      </w:r>
      <w:r>
        <w:rPr>
          <w:rFonts w:hint="eastAsia" w:ascii="MS UI Gothic" w:eastAsia="MS UI Gothic"/>
          <w:w w:val="85"/>
        </w:rPr>
        <w:t xml:space="preserve">５ </w:t>
      </w:r>
      <w:r>
        <w:t xml:space="preserve">万元以上 </w:t>
      </w:r>
      <w:r>
        <w:rPr>
          <w:rFonts w:hint="eastAsia" w:ascii="MS UI Gothic" w:eastAsia="MS UI Gothic"/>
          <w:w w:val="85"/>
        </w:rPr>
        <w:t xml:space="preserve">１０ </w:t>
      </w:r>
      <w:r>
        <w:t>万元以下的罚款</w:t>
      </w:r>
      <w:r>
        <w:rPr>
          <w:rFonts w:hint="eastAsia" w:ascii="MS UI Gothic" w:eastAsia="MS UI Gothic"/>
          <w:w w:val="85"/>
        </w:rPr>
        <w:t xml:space="preserve">ꎻ </w:t>
      </w:r>
      <w:r>
        <w:t>情节严重的</w:t>
      </w:r>
      <w:r>
        <w:rPr>
          <w:rFonts w:hint="eastAsia" w:ascii="MS UI Gothic" w:eastAsia="MS UI Gothic"/>
          <w:w w:val="85"/>
        </w:rPr>
        <w:t xml:space="preserve">ꎬ </w:t>
      </w:r>
      <w:r>
        <w:t>责令停产整顿</w:t>
      </w:r>
      <w:r>
        <w:rPr>
          <w:rFonts w:hint="eastAsia" w:ascii="MS UI Gothic" w:eastAsia="MS UI Gothic"/>
          <w:w w:val="85"/>
        </w:rPr>
        <w:t>ꎮ</w:t>
      </w:r>
    </w:p>
    <w:p>
      <w:pPr>
        <w:pStyle w:val="6"/>
        <w:spacing w:line="295" w:lineRule="auto"/>
        <w:ind w:left="381" w:right="126"/>
        <w:rPr>
          <w:rFonts w:hint="eastAsia" w:ascii="MS UI Gothic" w:hAnsi="MS UI Gothic" w:eastAsia="MS UI Gothic"/>
        </w:rPr>
      </w:pPr>
      <w:r>
        <w:rPr>
          <w:spacing w:val="18"/>
        </w:rPr>
        <w:t>第二十三条 煤矿发生事故</w:t>
      </w:r>
      <w:r>
        <w:rPr>
          <w:rFonts w:hint="eastAsia" w:ascii="MS UI Gothic" w:hAnsi="MS UI Gothic" w:eastAsia="MS UI Gothic"/>
          <w:spacing w:val="12"/>
          <w:w w:val="80"/>
        </w:rPr>
        <w:t xml:space="preserve">ꎬ </w:t>
      </w:r>
      <w:r>
        <w:rPr>
          <w:spacing w:val="5"/>
        </w:rPr>
        <w:t>对煤</w:t>
      </w:r>
      <w:r>
        <w:rPr>
          <w:spacing w:val="3"/>
        </w:rPr>
        <w:t>矿</w:t>
      </w:r>
      <w:r>
        <w:rPr>
          <w:rFonts w:hint="eastAsia" w:ascii="MS UI Gothic" w:hAnsi="MS UI Gothic" w:eastAsia="MS UI Gothic"/>
          <w:spacing w:val="17"/>
          <w:w w:val="80"/>
        </w:rPr>
        <w:t xml:space="preserve">、 </w:t>
      </w:r>
      <w:r>
        <w:rPr>
          <w:spacing w:val="2"/>
        </w:rPr>
        <w:t>煤矿主要负责人以及其他有关责任单</w:t>
      </w:r>
      <w:r>
        <w:rPr>
          <w:spacing w:val="3"/>
        </w:rPr>
        <w:t>位</w:t>
      </w:r>
      <w:r>
        <w:rPr>
          <w:rFonts w:hint="eastAsia" w:ascii="MS UI Gothic" w:hAnsi="MS UI Gothic" w:eastAsia="MS UI Gothic"/>
          <w:spacing w:val="12"/>
          <w:w w:val="80"/>
        </w:rPr>
        <w:t xml:space="preserve">、 </w:t>
      </w:r>
      <w:r>
        <w:rPr>
          <w:spacing w:val="12"/>
        </w:rPr>
        <w:t xml:space="preserve">人员依照 </w:t>
      </w:r>
      <w:r>
        <w:rPr>
          <w:rFonts w:hint="eastAsia" w:ascii="MS UI Gothic" w:hAnsi="MS UI Gothic" w:eastAsia="MS UI Gothic"/>
          <w:spacing w:val="-5"/>
          <w:w w:val="80"/>
        </w:rPr>
        <w:t xml:space="preserve">« </w:t>
      </w:r>
      <w:r>
        <w:rPr>
          <w:spacing w:val="18"/>
        </w:rPr>
        <w:t>安全生产法</w:t>
      </w:r>
      <w:r>
        <w:rPr>
          <w:rFonts w:hint="eastAsia" w:ascii="MS UI Gothic" w:hAnsi="MS UI Gothic" w:eastAsia="MS UI Gothic"/>
          <w:spacing w:val="6"/>
          <w:w w:val="80"/>
        </w:rPr>
        <w:t xml:space="preserve">» </w:t>
      </w:r>
      <w:r>
        <w:rPr>
          <w:spacing w:val="14"/>
        </w:rPr>
        <w:t>及有关法</w:t>
      </w:r>
      <w:r>
        <w:rPr>
          <w:spacing w:val="3"/>
        </w:rPr>
        <w:t>律</w:t>
      </w:r>
      <w:r>
        <w:rPr>
          <w:rFonts w:hint="eastAsia" w:ascii="MS UI Gothic" w:hAnsi="MS UI Gothic" w:eastAsia="MS UI Gothic"/>
          <w:spacing w:val="11"/>
          <w:w w:val="80"/>
        </w:rPr>
        <w:t xml:space="preserve">、 </w:t>
      </w:r>
      <w:r>
        <w:rPr>
          <w:spacing w:val="3"/>
        </w:rPr>
        <w:t>行政法规的规定予以行政处罚</w:t>
      </w:r>
      <w:r>
        <w:rPr>
          <w:rFonts w:hint="eastAsia" w:ascii="MS UI Gothic" w:hAnsi="MS UI Gothic" w:eastAsia="MS UI Gothic"/>
          <w:spacing w:val="11"/>
          <w:w w:val="80"/>
        </w:rPr>
        <w:t xml:space="preserve">ꎻ </w:t>
      </w:r>
      <w:r>
        <w:rPr>
          <w:spacing w:val="1"/>
        </w:rPr>
        <w:t>构成</w:t>
      </w:r>
      <w:r>
        <w:rPr>
          <w:spacing w:val="18"/>
        </w:rPr>
        <w:t>犯罪的</w:t>
      </w:r>
      <w:r>
        <w:rPr>
          <w:rFonts w:hint="eastAsia" w:ascii="MS UI Gothic" w:hAnsi="MS UI Gothic" w:eastAsia="MS UI Gothic"/>
          <w:spacing w:val="1"/>
          <w:w w:val="80"/>
        </w:rPr>
        <w:t xml:space="preserve">ꎬ </w:t>
      </w:r>
      <w:r>
        <w:rPr>
          <w:spacing w:val="31"/>
        </w:rPr>
        <w:t>依照刑法有关规定追究刑事</w:t>
      </w:r>
      <w:r>
        <w:rPr>
          <w:spacing w:val="3"/>
        </w:rPr>
        <w:t>责任</w:t>
      </w:r>
      <w:r>
        <w:rPr>
          <w:rFonts w:hint="eastAsia" w:ascii="MS UI Gothic" w:hAnsi="MS UI Gothic" w:eastAsia="MS UI Gothic"/>
          <w:w w:val="80"/>
        </w:rPr>
        <w:t>ꎮ</w:t>
      </w:r>
    </w:p>
    <w:p>
      <w:pPr>
        <w:pStyle w:val="6"/>
        <w:spacing w:line="295" w:lineRule="auto"/>
        <w:ind w:left="381" w:right="126"/>
        <w:rPr>
          <w:rFonts w:hint="eastAsia" w:ascii="MS UI Gothic" w:eastAsia="MS UI Gothic"/>
        </w:rPr>
      </w:pPr>
      <w:r>
        <w:rPr>
          <w:w w:val="105"/>
        </w:rPr>
        <w:t>第二十四条 经停产整顿仍不具备法</w:t>
      </w:r>
      <w:r>
        <w:t>定安全生产条件给予关闭的行政处罚</w:t>
      </w:r>
      <w:r>
        <w:rPr>
          <w:rFonts w:hint="eastAsia" w:ascii="MS UI Gothic" w:eastAsia="MS UI Gothic"/>
          <w:w w:val="80"/>
        </w:rPr>
        <w:t xml:space="preserve">ꎬ </w:t>
      </w:r>
      <w:r>
        <w:t>由煤矿安全监察机构报请县级以上人民政府</w:t>
      </w:r>
      <w:r>
        <w:rPr>
          <w:w w:val="105"/>
        </w:rPr>
        <w:t>按照国务院规定的权限决定</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rPr>
          <w:w w:val="105"/>
        </w:rPr>
        <w:t>第二十五条 煤矿安全监察机构及其</w:t>
      </w:r>
      <w:r>
        <w:t>煤矿安全监察员实施行政处罚时</w:t>
      </w:r>
      <w:r>
        <w:rPr>
          <w:rFonts w:hint="eastAsia" w:ascii="MS UI Gothic" w:hAnsi="MS UI Gothic" w:eastAsia="MS UI Gothic"/>
          <w:w w:val="80"/>
        </w:rPr>
        <w:t xml:space="preserve">ꎬ </w:t>
      </w:r>
      <w:r>
        <w:t>应当符</w:t>
      </w:r>
      <w:r>
        <w:rPr>
          <w:w w:val="105"/>
        </w:rPr>
        <w:t xml:space="preserve">合 </w:t>
      </w:r>
      <w:r>
        <w:rPr>
          <w:rFonts w:hint="eastAsia" w:ascii="MS UI Gothic" w:hAnsi="MS UI Gothic" w:eastAsia="MS UI Gothic"/>
          <w:w w:val="80"/>
        </w:rPr>
        <w:t xml:space="preserve">« </w:t>
      </w:r>
      <w:r>
        <w:rPr>
          <w:w w:val="105"/>
        </w:rPr>
        <w:t>安全生产违法行为行政处罚办法</w:t>
      </w:r>
      <w:r>
        <w:rPr>
          <w:rFonts w:hint="eastAsia" w:ascii="MS UI Gothic" w:hAnsi="MS UI Gothic" w:eastAsia="MS UI Gothic"/>
          <w:w w:val="80"/>
        </w:rPr>
        <w:t xml:space="preserve">» </w:t>
      </w:r>
      <w:r>
        <w:t>规定的程序并使用统一的煤矿安全监察行</w:t>
      </w:r>
      <w:r>
        <w:rPr>
          <w:w w:val="105"/>
        </w:rPr>
        <w:t>政执法文书</w:t>
      </w:r>
      <w:r>
        <w:rPr>
          <w:rFonts w:hint="eastAsia" w:ascii="MS UI Gothic" w:hAnsi="MS UI Gothic" w:eastAsia="MS UI Gothic"/>
          <w:w w:val="80"/>
        </w:rPr>
        <w:t>ꎮ</w:t>
      </w:r>
    </w:p>
    <w:p>
      <w:pPr>
        <w:pStyle w:val="6"/>
        <w:spacing w:line="295" w:lineRule="auto"/>
        <w:ind w:left="381" w:right="126"/>
        <w:rPr>
          <w:rFonts w:hint="eastAsia" w:ascii="MS UI Gothic" w:eastAsia="MS UI Gothic"/>
        </w:rPr>
      </w:pPr>
      <w:r>
        <w:rPr>
          <w:w w:val="105"/>
        </w:rPr>
        <w:t>第二十六条 未设立省级煤矿安全监察局的省</w:t>
      </w:r>
      <w:r>
        <w:rPr>
          <w:rFonts w:hint="eastAsia" w:ascii="MS UI Gothic" w:eastAsia="MS UI Gothic"/>
          <w:w w:val="80"/>
        </w:rPr>
        <w:t xml:space="preserve">、 </w:t>
      </w:r>
      <w:r>
        <w:rPr>
          <w:w w:val="105"/>
        </w:rPr>
        <w:t>自治区</w:t>
      </w:r>
      <w:r>
        <w:rPr>
          <w:rFonts w:hint="eastAsia" w:ascii="MS UI Gothic" w:eastAsia="MS UI Gothic"/>
          <w:w w:val="80"/>
        </w:rPr>
        <w:t xml:space="preserve">ꎬ </w:t>
      </w:r>
      <w:r>
        <w:rPr>
          <w:w w:val="105"/>
        </w:rPr>
        <w:t>由省</w:t>
      </w:r>
      <w:r>
        <w:rPr>
          <w:rFonts w:hint="eastAsia" w:ascii="MS UI Gothic" w:eastAsia="MS UI Gothic"/>
          <w:w w:val="80"/>
        </w:rPr>
        <w:t xml:space="preserve">、 </w:t>
      </w:r>
      <w:r>
        <w:rPr>
          <w:w w:val="105"/>
        </w:rPr>
        <w:t>自治区人民政</w:t>
      </w:r>
      <w:r>
        <w:t>府指定的负责煤矿安全监察工作的部门依照本办法的规定对本行政区域内的煤矿安</w:t>
      </w:r>
      <w:r>
        <w:rPr>
          <w:w w:val="105"/>
        </w:rPr>
        <w:t>全违法行为实施行政处罚</w:t>
      </w:r>
      <w:r>
        <w:rPr>
          <w:rFonts w:hint="eastAsia" w:ascii="MS UI Gothic" w:eastAsia="MS UI Gothic"/>
          <w:w w:val="80"/>
        </w:rPr>
        <w:t>ꎮ</w:t>
      </w:r>
    </w:p>
    <w:p>
      <w:pPr>
        <w:pStyle w:val="6"/>
        <w:tabs>
          <w:tab w:val="left" w:pos="2088"/>
        </w:tabs>
        <w:spacing w:line="295" w:lineRule="auto"/>
        <w:ind w:left="639" w:right="126" w:firstLine="161"/>
        <w:jc w:val="left"/>
      </w:pPr>
      <w:r>
        <w:pict>
          <v:shape id="_x0000_s2153" o:spid="_x0000_s2153" o:spt="202" type="#_x0000_t202" style="position:absolute;left:0pt;margin-left:280.35pt;margin-top:12pt;height:24.35pt;width:10.3pt;mso-position-horizontal-relative:page;z-index:-27564646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１５</w:t>
                  </w:r>
                </w:p>
              </w:txbxContent>
            </v:textbox>
          </v:shape>
        </w:pict>
      </w:r>
      <w:r>
        <w:rPr>
          <w:spacing w:val="3"/>
          <w:w w:val="95"/>
        </w:rPr>
        <w:t>第二十</w:t>
      </w:r>
      <w:r>
        <w:rPr>
          <w:spacing w:val="11"/>
          <w:w w:val="95"/>
        </w:rPr>
        <w:t>七</w:t>
      </w:r>
      <w:r>
        <w:rPr>
          <w:w w:val="95"/>
        </w:rPr>
        <w:t>条</w:t>
      </w:r>
      <w:r>
        <w:rPr>
          <w:w w:val="95"/>
        </w:rPr>
        <w:tab/>
      </w:r>
      <w:r>
        <w:rPr>
          <w:spacing w:val="13"/>
          <w:w w:val="95"/>
        </w:rPr>
        <w:t>本办法</w:t>
      </w:r>
      <w:r>
        <w:rPr>
          <w:w w:val="95"/>
        </w:rPr>
        <w:t>自</w:t>
      </w:r>
      <w:r>
        <w:rPr>
          <w:spacing w:val="-40"/>
          <w:w w:val="95"/>
        </w:rPr>
        <w:t xml:space="preserve"> </w:t>
      </w:r>
      <w:r>
        <w:rPr>
          <w:rFonts w:hint="eastAsia" w:ascii="MS UI Gothic" w:hAnsi="MS UI Gothic" w:eastAsia="MS UI Gothic"/>
          <w:w w:val="95"/>
        </w:rPr>
        <w:t>２００３</w:t>
      </w:r>
      <w:r>
        <w:rPr>
          <w:rFonts w:hint="eastAsia" w:ascii="MS UI Gothic" w:hAnsi="MS UI Gothic" w:eastAsia="MS UI Gothic"/>
          <w:spacing w:val="3"/>
          <w:w w:val="95"/>
        </w:rPr>
        <w:t xml:space="preserve"> </w:t>
      </w:r>
      <w:r>
        <w:rPr>
          <w:w w:val="95"/>
        </w:rPr>
        <w:t>年</w:t>
      </w:r>
      <w:r>
        <w:rPr>
          <w:spacing w:val="-40"/>
          <w:w w:val="95"/>
        </w:rPr>
        <w:t xml:space="preserve"> </w:t>
      </w:r>
      <w:r>
        <w:rPr>
          <w:rFonts w:hint="eastAsia" w:ascii="MS UI Gothic" w:hAnsi="MS UI Gothic" w:eastAsia="MS UI Gothic"/>
          <w:w w:val="95"/>
        </w:rPr>
        <w:t>８</w:t>
      </w:r>
      <w:r>
        <w:rPr>
          <w:rFonts w:hint="eastAsia" w:ascii="MS UI Gothic" w:hAnsi="MS UI Gothic" w:eastAsia="MS UI Gothic"/>
          <w:spacing w:val="4"/>
          <w:w w:val="95"/>
        </w:rPr>
        <w:t xml:space="preserve"> </w:t>
      </w:r>
      <w:r>
        <w:rPr>
          <w:spacing w:val="-13"/>
          <w:w w:val="95"/>
        </w:rPr>
        <w:t>月</w:t>
      </w:r>
      <w:r>
        <w:rPr>
          <w:spacing w:val="3"/>
          <w:w w:val="95"/>
        </w:rPr>
        <w:t>日起施行</w:t>
      </w:r>
      <w:r>
        <w:rPr>
          <w:rFonts w:hint="eastAsia" w:ascii="MS UI Gothic" w:hAnsi="MS UI Gothic" w:eastAsia="MS UI Gothic"/>
          <w:w w:val="90"/>
        </w:rPr>
        <w:t>ꎮ</w:t>
      </w:r>
      <w:r>
        <w:rPr>
          <w:rFonts w:hint="eastAsia" w:ascii="MS UI Gothic" w:hAnsi="MS UI Gothic" w:eastAsia="MS UI Gothic"/>
          <w:spacing w:val="46"/>
          <w:w w:val="90"/>
        </w:rPr>
        <w:t xml:space="preserve"> </w:t>
      </w:r>
      <w:r>
        <w:rPr>
          <w:rFonts w:hint="eastAsia" w:ascii="MS UI Gothic" w:hAnsi="MS UI Gothic" w:eastAsia="MS UI Gothic"/>
          <w:w w:val="95"/>
        </w:rPr>
        <w:t>«</w:t>
      </w:r>
      <w:r>
        <w:rPr>
          <w:rFonts w:hint="eastAsia" w:ascii="MS UI Gothic" w:hAnsi="MS UI Gothic" w:eastAsia="MS UI Gothic"/>
          <w:spacing w:val="-16"/>
          <w:w w:val="95"/>
        </w:rPr>
        <w:t xml:space="preserve"> </w:t>
      </w:r>
      <w:r>
        <w:rPr>
          <w:spacing w:val="5"/>
          <w:w w:val="95"/>
        </w:rPr>
        <w:t>煤矿安全监察行</w:t>
      </w:r>
      <w:r>
        <w:rPr>
          <w:spacing w:val="7"/>
          <w:w w:val="95"/>
        </w:rPr>
        <w:t>政处罚</w:t>
      </w:r>
      <w:r>
        <w:rPr>
          <w:w w:val="95"/>
        </w:rPr>
        <w:t>暂</w:t>
      </w:r>
    </w:p>
    <w:p>
      <w:pPr>
        <w:pStyle w:val="6"/>
        <w:spacing w:line="255" w:lineRule="exact"/>
        <w:ind w:left="381" w:firstLine="0"/>
        <w:rPr>
          <w:rFonts w:hint="eastAsia" w:ascii="MS UI Gothic" w:hAnsi="MS UI Gothic" w:eastAsia="MS UI Gothic"/>
        </w:rPr>
      </w:pPr>
      <w:r>
        <w:t>行办法</w:t>
      </w:r>
      <w:r>
        <w:rPr>
          <w:rFonts w:hint="eastAsia" w:ascii="MS UI Gothic" w:hAnsi="MS UI Gothic" w:eastAsia="MS UI Gothic"/>
        </w:rPr>
        <w:t xml:space="preserve">» </w:t>
      </w:r>
      <w:r>
        <w:t>同时废止</w:t>
      </w:r>
      <w:r>
        <w:rPr>
          <w:rFonts w:hint="eastAsia" w:ascii="MS UI Gothic" w:hAnsi="MS UI Gothic" w:eastAsia="MS UI Gothic"/>
          <w:w w:val="80"/>
        </w:rPr>
        <w:t>ꎮ</w:t>
      </w:r>
    </w:p>
    <w:p>
      <w:pPr>
        <w:spacing w:after="0" w:line="255" w:lineRule="exact"/>
        <w:rPr>
          <w:rFonts w:hint="eastAsia" w:ascii="MS UI Gothic" w:hAns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2154" o:spid="_x0000_s2154" style="position:absolute;left:0pt;margin-left:0pt;margin-top:700.1pt;height:1.75pt;width:398.25pt;mso-position-horizontal-relative:page;z-index:25211801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３８４</w:t>
      </w:r>
    </w:p>
    <w:p>
      <w:pPr>
        <w:spacing w:before="192"/>
        <w:ind w:left="252" w:right="1774" w:firstLine="0"/>
        <w:jc w:val="center"/>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ind w:left="0" w:firstLine="0"/>
        <w:jc w:val="left"/>
        <w:rPr>
          <w:rFonts w:ascii="Microsoft Yi Baiti"/>
          <w:sz w:val="28"/>
        </w:rPr>
      </w:pPr>
    </w:p>
    <w:p>
      <w:pPr>
        <w:pStyle w:val="6"/>
        <w:spacing w:before="8"/>
        <w:ind w:left="0" w:firstLine="0"/>
        <w:jc w:val="left"/>
        <w:rPr>
          <w:rFonts w:ascii="Microsoft Yi Baiti"/>
          <w:sz w:val="30"/>
        </w:rPr>
      </w:pPr>
    </w:p>
    <w:p>
      <w:pPr>
        <w:pStyle w:val="4"/>
        <w:spacing w:before="0"/>
        <w:ind w:left="252" w:right="1783"/>
        <w:rPr>
          <w:rFonts w:hint="eastAsia" w:ascii="Microsoft Yi Baiti" w:eastAsia="Microsoft Yi Baiti"/>
        </w:rPr>
      </w:pPr>
      <w:r>
        <w:t xml:space="preserve">煤矿安全监察罚款管理办法 </w:t>
      </w:r>
      <w:r>
        <w:rPr>
          <w:rFonts w:hint="eastAsia" w:ascii="Microsoft Yi Baiti" w:eastAsia="Microsoft Yi Baiti"/>
        </w:rPr>
        <w:t>(</w:t>
      </w:r>
      <w:r>
        <w:rPr>
          <w:rFonts w:hint="eastAsia" w:ascii="MS UI Gothic" w:eastAsia="MS UI Gothic"/>
        </w:rPr>
        <w:t xml:space="preserve">２００３ </w:t>
      </w:r>
      <w:r>
        <w:t>年公布</w:t>
      </w:r>
      <w:r>
        <w:rPr>
          <w:rFonts w:hint="eastAsia" w:ascii="Microsoft Yi Baiti" w:eastAsia="Microsoft Yi Baiti"/>
        </w:rPr>
        <w:t>)</w:t>
      </w:r>
    </w:p>
    <w:p>
      <w:pPr>
        <w:spacing w:after="0"/>
        <w:rPr>
          <w:rFonts w:hint="eastAsia" w:ascii="Microsoft Yi Baiti" w:eastAsia="Microsoft Yi Baiti"/>
        </w:rPr>
        <w:sectPr>
          <w:pgSz w:w="10500" w:h="14750"/>
          <w:pgMar w:top="960" w:right="980" w:bottom="280" w:left="980" w:header="720" w:footer="720" w:gutter="0"/>
          <w:cols w:equalWidth="0" w:num="2">
            <w:col w:w="1050" w:space="137"/>
            <w:col w:w="7353"/>
          </w:cols>
        </w:sectPr>
      </w:pPr>
    </w:p>
    <w:p>
      <w:pPr>
        <w:pStyle w:val="6"/>
        <w:spacing w:before="7"/>
        <w:ind w:left="0" w:firstLine="0"/>
        <w:jc w:val="left"/>
        <w:rPr>
          <w:rFonts w:ascii="Microsoft Yi Baiti"/>
          <w:sz w:val="18"/>
        </w:rPr>
      </w:pPr>
    </w:p>
    <w:p>
      <w:pPr>
        <w:pStyle w:val="6"/>
        <w:spacing w:before="174"/>
        <w:ind w:left="543" w:firstLine="0"/>
        <w:jc w:val="left"/>
      </w:pPr>
      <w:r>
        <w:rPr>
          <w:rFonts w:hint="eastAsia" w:ascii="Microsoft Yi Baiti" w:eastAsia="Microsoft Yi Baiti"/>
        </w:rPr>
        <w:t>(</w:t>
      </w:r>
      <w:r>
        <w:rPr>
          <w:rFonts w:hint="eastAsia" w:ascii="MS UI Gothic" w:eastAsia="MS UI Gothic"/>
        </w:rPr>
        <w:t xml:space="preserve">２００３ </w:t>
      </w:r>
      <w:r>
        <w:t xml:space="preserve">年 </w:t>
      </w:r>
      <w:r>
        <w:rPr>
          <w:rFonts w:hint="eastAsia" w:ascii="MS UI Gothic" w:eastAsia="MS UI Gothic"/>
        </w:rPr>
        <w:t xml:space="preserve">７ </w:t>
      </w:r>
      <w:r>
        <w:t xml:space="preserve">月 </w:t>
      </w:r>
      <w:r>
        <w:rPr>
          <w:rFonts w:hint="eastAsia" w:ascii="MS UI Gothic" w:eastAsia="MS UI Gothic"/>
        </w:rPr>
        <w:t xml:space="preserve">２ </w:t>
      </w:r>
      <w:r>
        <w:t xml:space="preserve">日国家安全生产监督管理局局务会议审议通过 </w:t>
      </w:r>
      <w:r>
        <w:rPr>
          <w:rFonts w:hint="eastAsia" w:ascii="MS UI Gothic" w:eastAsia="MS UI Gothic"/>
        </w:rPr>
        <w:t xml:space="preserve">２００３ </w:t>
      </w:r>
      <w:r>
        <w:t xml:space="preserve">年 </w:t>
      </w:r>
      <w:r>
        <w:rPr>
          <w:rFonts w:hint="eastAsia" w:ascii="MS UI Gothic" w:eastAsia="MS UI Gothic"/>
        </w:rPr>
        <w:t xml:space="preserve">７ </w:t>
      </w:r>
      <w:r>
        <w:t xml:space="preserve">月 </w:t>
      </w:r>
      <w:r>
        <w:rPr>
          <w:rFonts w:hint="eastAsia" w:ascii="MS UI Gothic" w:eastAsia="MS UI Gothic"/>
        </w:rPr>
        <w:t xml:space="preserve">１４ </w:t>
      </w:r>
      <w:r>
        <w:t>日国</w:t>
      </w:r>
    </w:p>
    <w:p>
      <w:pPr>
        <w:pStyle w:val="6"/>
        <w:spacing w:before="59" w:line="295" w:lineRule="auto"/>
        <w:ind w:right="364" w:firstLine="0"/>
        <w:jc w:val="left"/>
        <w:rPr>
          <w:rFonts w:hint="eastAsia" w:ascii="Microsoft Yi Baiti" w:eastAsia="Microsoft Yi Baiti"/>
        </w:rPr>
      </w:pPr>
      <w:r>
        <w:t>家安全生产监督管理局</w:t>
      </w:r>
      <w:r>
        <w:rPr>
          <w:rFonts w:hint="eastAsia" w:ascii="Microsoft Yi Baiti" w:eastAsia="Microsoft Yi Baiti"/>
        </w:rPr>
        <w:t xml:space="preserve">、 </w:t>
      </w:r>
      <w:r>
        <w:t xml:space="preserve">国家煤矿安全监察局第 </w:t>
      </w:r>
      <w:r>
        <w:rPr>
          <w:rFonts w:hint="eastAsia" w:ascii="MS UI Gothic" w:eastAsia="MS UI Gothic"/>
        </w:rPr>
        <w:t xml:space="preserve">７ </w:t>
      </w:r>
      <w:r>
        <w:t>号令公布</w:t>
      </w:r>
      <w:r>
        <w:rPr>
          <w:rFonts w:hint="eastAsia" w:ascii="Microsoft Yi Baiti" w:eastAsia="Microsoft Yi Baiti"/>
        </w:rPr>
        <w:t xml:space="preserve">ꎬ </w:t>
      </w:r>
      <w:r>
        <w:t xml:space="preserve">自 </w:t>
      </w:r>
      <w:r>
        <w:rPr>
          <w:rFonts w:hint="eastAsia" w:ascii="MS UI Gothic" w:eastAsia="MS UI Gothic"/>
        </w:rPr>
        <w:t xml:space="preserve">２００３ </w:t>
      </w:r>
      <w:r>
        <w:t xml:space="preserve">年 </w:t>
      </w:r>
      <w:r>
        <w:rPr>
          <w:rFonts w:hint="eastAsia" w:ascii="MS UI Gothic" w:eastAsia="MS UI Gothic"/>
        </w:rPr>
        <w:t xml:space="preserve">８ </w:t>
      </w:r>
      <w:r>
        <w:t xml:space="preserve">月 </w:t>
      </w:r>
      <w:r>
        <w:rPr>
          <w:rFonts w:hint="eastAsia" w:ascii="MS UI Gothic" w:eastAsia="MS UI Gothic"/>
        </w:rPr>
        <w:t xml:space="preserve">１ </w:t>
      </w:r>
      <w:r>
        <w:t>日起施行</w:t>
      </w:r>
      <w:r>
        <w:rPr>
          <w:rFonts w:hint="eastAsia" w:ascii="Microsoft Yi Baiti" w:eastAsia="Microsoft Yi Baiti"/>
        </w:rPr>
        <w:t>)</w:t>
      </w:r>
    </w:p>
    <w:p>
      <w:pPr>
        <w:pStyle w:val="6"/>
        <w:spacing w:before="1"/>
        <w:ind w:left="0" w:firstLine="0"/>
        <w:jc w:val="left"/>
        <w:rPr>
          <w:rFonts w:ascii="Microsoft Yi Baiti"/>
          <w:sz w:val="22"/>
        </w:rPr>
      </w:pPr>
    </w:p>
    <w:p>
      <w:pPr>
        <w:spacing w:after="0"/>
        <w:jc w:val="left"/>
        <w:rPr>
          <w:rFonts w:ascii="Microsoft Yi Baiti"/>
          <w:sz w:val="22"/>
        </w:rPr>
        <w:sectPr>
          <w:type w:val="continuous"/>
          <w:pgSz w:w="10500" w:h="14750"/>
          <w:pgMar w:top="1400" w:right="980" w:bottom="280" w:left="980" w:header="720" w:footer="720" w:gutter="0"/>
        </w:sectPr>
      </w:pPr>
    </w:p>
    <w:p>
      <w:pPr>
        <w:pStyle w:val="6"/>
        <w:spacing w:before="85" w:line="292" w:lineRule="auto"/>
        <w:ind w:right="38"/>
        <w:rPr>
          <w:rFonts w:hint="eastAsia" w:ascii="MS UI Gothic" w:hAnsi="MS UI Gothic" w:eastAsia="MS UI Gothic"/>
        </w:rPr>
      </w:pPr>
      <w:r>
        <w:rPr>
          <w:spacing w:val="2"/>
          <w:w w:val="105"/>
        </w:rPr>
        <w:t>第一条 为规范煤矿安全监察罚款管</w:t>
      </w:r>
      <w:r>
        <w:rPr>
          <w:spacing w:val="3"/>
        </w:rPr>
        <w:t>理工作</w:t>
      </w:r>
      <w:r>
        <w:rPr>
          <w:rFonts w:hint="eastAsia" w:ascii="MS UI Gothic" w:hAnsi="MS UI Gothic" w:eastAsia="MS UI Gothic"/>
          <w:spacing w:val="23"/>
          <w:w w:val="80"/>
        </w:rPr>
        <w:t xml:space="preserve">ꎬ </w:t>
      </w:r>
      <w:r>
        <w:rPr>
          <w:spacing w:val="3"/>
        </w:rPr>
        <w:t>依法实施煤矿安全监察</w:t>
      </w:r>
      <w:r>
        <w:rPr>
          <w:rFonts w:hint="eastAsia" w:ascii="MS UI Gothic" w:hAnsi="MS UI Gothic" w:eastAsia="MS UI Gothic"/>
          <w:spacing w:val="23"/>
          <w:w w:val="80"/>
        </w:rPr>
        <w:t xml:space="preserve">ꎬ </w:t>
      </w:r>
      <w:r>
        <w:rPr>
          <w:spacing w:val="2"/>
        </w:rPr>
        <w:t>根据安</w:t>
      </w:r>
      <w:r>
        <w:rPr>
          <w:spacing w:val="3"/>
          <w:w w:val="105"/>
        </w:rPr>
        <w:t>全生产法</w:t>
      </w:r>
      <w:r>
        <w:rPr>
          <w:rFonts w:hint="eastAsia" w:ascii="MS UI Gothic" w:hAnsi="MS UI Gothic" w:eastAsia="MS UI Gothic"/>
          <w:spacing w:val="11"/>
          <w:w w:val="80"/>
        </w:rPr>
        <w:t xml:space="preserve">、 </w:t>
      </w:r>
      <w:r>
        <w:rPr>
          <w:spacing w:val="3"/>
          <w:w w:val="105"/>
        </w:rPr>
        <w:t>煤矿安全监察条例</w:t>
      </w:r>
      <w:r>
        <w:rPr>
          <w:rFonts w:hint="eastAsia" w:ascii="MS UI Gothic" w:hAnsi="MS UI Gothic" w:eastAsia="MS UI Gothic"/>
          <w:spacing w:val="11"/>
          <w:w w:val="80"/>
        </w:rPr>
        <w:t xml:space="preserve">、 </w:t>
      </w:r>
      <w:r>
        <w:rPr>
          <w:spacing w:val="2"/>
          <w:w w:val="105"/>
        </w:rPr>
        <w:t>罚款决定</w:t>
      </w:r>
      <w:r>
        <w:rPr>
          <w:spacing w:val="2"/>
        </w:rPr>
        <w:t xml:space="preserve">与罚款收缴分离实施办法和财政部关于做好煤矿安全监察罚没收入管理工作的通知 </w:t>
      </w:r>
      <w:r>
        <w:rPr>
          <w:rFonts w:hint="eastAsia" w:ascii="MS UI Gothic" w:hAnsi="MS UI Gothic" w:eastAsia="MS UI Gothic"/>
          <w:spacing w:val="-36"/>
          <w:w w:val="150"/>
        </w:rPr>
        <w:t xml:space="preserve">( </w:t>
      </w:r>
      <w:r>
        <w:rPr>
          <w:spacing w:val="15"/>
          <w:w w:val="105"/>
        </w:rPr>
        <w:t xml:space="preserve">以下简称财政部 </w:t>
      </w:r>
      <w:r>
        <w:rPr>
          <w:rFonts w:hint="eastAsia" w:ascii="MS UI Gothic" w:hAnsi="MS UI Gothic" w:eastAsia="MS UI Gothic"/>
          <w:spacing w:val="-10"/>
          <w:w w:val="80"/>
        </w:rPr>
        <w:t xml:space="preserve">« </w:t>
      </w:r>
      <w:r>
        <w:rPr>
          <w:spacing w:val="19"/>
          <w:w w:val="105"/>
        </w:rPr>
        <w:t>通知</w:t>
      </w:r>
      <w:r>
        <w:rPr>
          <w:rFonts w:hint="eastAsia" w:ascii="MS UI Gothic" w:hAnsi="MS UI Gothic" w:eastAsia="MS UI Gothic"/>
          <w:spacing w:val="8"/>
          <w:w w:val="80"/>
        </w:rPr>
        <w:t xml:space="preserve">» </w:t>
      </w:r>
      <w:r>
        <w:rPr>
          <w:rFonts w:hint="eastAsia" w:ascii="MS UI Gothic" w:hAnsi="MS UI Gothic" w:eastAsia="MS UI Gothic"/>
          <w:spacing w:val="16"/>
          <w:w w:val="150"/>
        </w:rPr>
        <w:t xml:space="preserve">) </w:t>
      </w:r>
      <w:r>
        <w:rPr>
          <w:spacing w:val="15"/>
          <w:w w:val="105"/>
        </w:rPr>
        <w:t>等有关规</w:t>
      </w:r>
      <w:r>
        <w:rPr>
          <w:spacing w:val="3"/>
          <w:w w:val="105"/>
        </w:rPr>
        <w:t>定</w:t>
      </w:r>
      <w:r>
        <w:rPr>
          <w:rFonts w:hint="eastAsia" w:ascii="MS UI Gothic" w:hAnsi="MS UI Gothic" w:eastAsia="MS UI Gothic"/>
          <w:w w:val="80"/>
        </w:rPr>
        <w:t xml:space="preserve">ꎬ </w:t>
      </w:r>
      <w:r>
        <w:rPr>
          <w:spacing w:val="3"/>
          <w:w w:val="105"/>
        </w:rPr>
        <w:t>制定本办法</w:t>
      </w:r>
      <w:r>
        <w:rPr>
          <w:rFonts w:hint="eastAsia" w:ascii="MS UI Gothic" w:hAnsi="MS UI Gothic" w:eastAsia="MS UI Gothic"/>
          <w:w w:val="80"/>
        </w:rPr>
        <w:t>ꎮ</w:t>
      </w:r>
    </w:p>
    <w:p>
      <w:pPr>
        <w:pStyle w:val="6"/>
        <w:spacing w:line="292" w:lineRule="auto"/>
        <w:ind w:right="38"/>
        <w:rPr>
          <w:rFonts w:hint="eastAsia" w:ascii="MS UI Gothic" w:eastAsia="MS UI Gothic"/>
        </w:rPr>
      </w:pPr>
      <w:r>
        <w:rPr>
          <w:w w:val="105"/>
        </w:rPr>
        <w:t>第二条 煤矿安全监察机构依照安全生产法</w:t>
      </w:r>
      <w:r>
        <w:rPr>
          <w:rFonts w:hint="eastAsia" w:ascii="MS UI Gothic" w:eastAsia="MS UI Gothic"/>
          <w:w w:val="80"/>
        </w:rPr>
        <w:t xml:space="preserve">、 </w:t>
      </w:r>
      <w:r>
        <w:rPr>
          <w:w w:val="105"/>
        </w:rPr>
        <w:t>煤矿安全监察条例和安全生产违法行为处罚办法</w:t>
      </w:r>
      <w:r>
        <w:rPr>
          <w:rFonts w:hint="eastAsia" w:ascii="MS UI Gothic" w:eastAsia="MS UI Gothic"/>
          <w:w w:val="80"/>
        </w:rPr>
        <w:t xml:space="preserve">、 </w:t>
      </w:r>
      <w:r>
        <w:rPr>
          <w:w w:val="105"/>
        </w:rPr>
        <w:t>煤矿安全监察行政处罚办法等有关法律</w:t>
      </w:r>
      <w:r>
        <w:rPr>
          <w:rFonts w:hint="eastAsia" w:ascii="MS UI Gothic" w:eastAsia="MS UI Gothic"/>
          <w:w w:val="80"/>
        </w:rPr>
        <w:t xml:space="preserve">、 </w:t>
      </w:r>
      <w:r>
        <w:rPr>
          <w:w w:val="105"/>
        </w:rPr>
        <w:t>法规和规章的规定</w:t>
      </w:r>
      <w:r>
        <w:rPr>
          <w:rFonts w:hint="eastAsia" w:ascii="MS UI Gothic" w:eastAsia="MS UI Gothic"/>
          <w:w w:val="80"/>
        </w:rPr>
        <w:t xml:space="preserve">ꎬ </w:t>
      </w:r>
      <w:r>
        <w:rPr>
          <w:w w:val="105"/>
        </w:rPr>
        <w:t>对</w:t>
      </w:r>
      <w:r>
        <w:t>煤矿安全违法行为依法实施罚款</w:t>
      </w:r>
      <w:r>
        <w:rPr>
          <w:rFonts w:hint="eastAsia" w:ascii="MS UI Gothic" w:eastAsia="MS UI Gothic"/>
          <w:w w:val="80"/>
        </w:rPr>
        <w:t xml:space="preserve">ꎬ </w:t>
      </w:r>
      <w:r>
        <w:t>适用本</w:t>
      </w:r>
      <w:r>
        <w:rPr>
          <w:w w:val="105"/>
        </w:rPr>
        <w:t>办法</w:t>
      </w:r>
      <w:r>
        <w:rPr>
          <w:rFonts w:hint="eastAsia" w:ascii="MS UI Gothic" w:eastAsia="MS UI Gothic"/>
          <w:w w:val="80"/>
        </w:rPr>
        <w:t>ꎮ</w:t>
      </w:r>
    </w:p>
    <w:p>
      <w:pPr>
        <w:pStyle w:val="6"/>
        <w:spacing w:line="292" w:lineRule="auto"/>
        <w:ind w:right="38"/>
        <w:rPr>
          <w:rFonts w:hint="eastAsia" w:ascii="MS UI Gothic" w:hAnsi="MS UI Gothic" w:eastAsia="MS UI Gothic"/>
        </w:rPr>
      </w:pPr>
      <w:r>
        <w:t xml:space="preserve">第三条 省级煤矿安全监察机构按照财政部 </w:t>
      </w:r>
      <w:r>
        <w:rPr>
          <w:rFonts w:hint="eastAsia" w:ascii="MS UI Gothic" w:hAnsi="MS UI Gothic" w:eastAsia="MS UI Gothic"/>
          <w:w w:val="80"/>
        </w:rPr>
        <w:t xml:space="preserve">« </w:t>
      </w:r>
      <w:r>
        <w:t>通知</w:t>
      </w:r>
      <w:r>
        <w:rPr>
          <w:rFonts w:hint="eastAsia" w:ascii="MS UI Gothic" w:hAnsi="MS UI Gothic" w:eastAsia="MS UI Gothic"/>
          <w:w w:val="80"/>
        </w:rPr>
        <w:t xml:space="preserve">» </w:t>
      </w:r>
      <w:r>
        <w:t>的规定</w:t>
      </w:r>
      <w:r>
        <w:rPr>
          <w:rFonts w:hint="eastAsia" w:ascii="MS UI Gothic" w:hAnsi="MS UI Gothic" w:eastAsia="MS UI Gothic"/>
          <w:w w:val="80"/>
        </w:rPr>
        <w:t xml:space="preserve">ꎬ </w:t>
      </w:r>
      <w:r>
        <w:t>统一到省级财政部门和相关部门办理煤矿安全监察罚款许可证</w:t>
      </w:r>
      <w:r>
        <w:rPr>
          <w:rFonts w:hint="eastAsia" w:ascii="MS UI Gothic" w:hAnsi="MS UI Gothic" w:eastAsia="MS UI Gothic"/>
          <w:w w:val="80"/>
        </w:rPr>
        <w:t>ꎮ</w:t>
      </w:r>
    </w:p>
    <w:p>
      <w:pPr>
        <w:pStyle w:val="6"/>
        <w:spacing w:line="292" w:lineRule="auto"/>
        <w:ind w:right="38"/>
        <w:rPr>
          <w:rFonts w:hint="eastAsia" w:ascii="MS UI Gothic" w:eastAsia="MS UI Gothic"/>
        </w:rPr>
      </w:pPr>
      <w:r>
        <w:rPr>
          <w:w w:val="105"/>
        </w:rPr>
        <w:t>第四条 省级煤矿安全监察机构商财政部驻各地财政监察专员办事处</w:t>
      </w:r>
      <w:r>
        <w:rPr>
          <w:rFonts w:hint="eastAsia" w:ascii="MS UI Gothic" w:eastAsia="MS UI Gothic"/>
          <w:w w:val="80"/>
        </w:rPr>
        <w:t xml:space="preserve">、 </w:t>
      </w:r>
      <w:r>
        <w:rPr>
          <w:w w:val="105"/>
        </w:rPr>
        <w:t>省财政</w:t>
      </w:r>
      <w:r>
        <w:t>厅后</w:t>
      </w:r>
      <w:r>
        <w:rPr>
          <w:rFonts w:hint="eastAsia" w:ascii="MS UI Gothic" w:eastAsia="MS UI Gothic"/>
          <w:w w:val="80"/>
        </w:rPr>
        <w:t xml:space="preserve">ꎬ </w:t>
      </w:r>
      <w:r>
        <w:t>可与一至二个国有商业银行签订煤矿安全监察罚款代收代缴协议</w:t>
      </w:r>
      <w:r>
        <w:rPr>
          <w:rFonts w:hint="eastAsia" w:ascii="MS UI Gothic" w:eastAsia="MS UI Gothic"/>
          <w:w w:val="80"/>
        </w:rPr>
        <w:t xml:space="preserve">ꎬ </w:t>
      </w:r>
      <w:r>
        <w:t>并将代收代缴协议报国家煤矿安全监察局和财政部</w:t>
      </w:r>
      <w:r>
        <w:rPr>
          <w:w w:val="105"/>
        </w:rPr>
        <w:t>驻各地财政监察专员办事处备案</w:t>
      </w:r>
      <w:r>
        <w:rPr>
          <w:rFonts w:hint="eastAsia" w:ascii="MS UI Gothic" w:eastAsia="MS UI Gothic"/>
          <w:w w:val="80"/>
        </w:rPr>
        <w:t>ꎮ</w:t>
      </w:r>
    </w:p>
    <w:p>
      <w:pPr>
        <w:pStyle w:val="6"/>
        <w:spacing w:line="292" w:lineRule="auto"/>
        <w:ind w:right="38"/>
        <w:rPr>
          <w:rFonts w:hint="eastAsia" w:ascii="MS UI Gothic" w:hAnsi="MS UI Gothic" w:eastAsia="MS UI Gothic"/>
        </w:rPr>
      </w:pPr>
      <w:r>
        <w:rPr>
          <w:spacing w:val="2"/>
        </w:rPr>
        <w:t>罚款代收银行的确定以及会计科目的</w:t>
      </w:r>
      <w:r>
        <w:rPr>
          <w:spacing w:val="5"/>
          <w:w w:val="105"/>
        </w:rPr>
        <w:t xml:space="preserve">使用应严格按照财政部 </w:t>
      </w:r>
      <w:r>
        <w:rPr>
          <w:rFonts w:hint="eastAsia" w:ascii="MS UI Gothic" w:hAnsi="MS UI Gothic" w:eastAsia="MS UI Gothic"/>
          <w:spacing w:val="-17"/>
          <w:w w:val="80"/>
        </w:rPr>
        <w:t xml:space="preserve">« </w:t>
      </w:r>
      <w:r>
        <w:rPr>
          <w:spacing w:val="14"/>
          <w:w w:val="105"/>
        </w:rPr>
        <w:t>罚款代收代缴</w:t>
      </w:r>
      <w:r>
        <w:rPr>
          <w:spacing w:val="7"/>
          <w:w w:val="105"/>
        </w:rPr>
        <w:t>管理办法</w:t>
      </w:r>
      <w:r>
        <w:rPr>
          <w:rFonts w:hint="eastAsia" w:ascii="MS UI Gothic" w:hAnsi="MS UI Gothic" w:eastAsia="MS UI Gothic"/>
          <w:spacing w:val="11"/>
          <w:w w:val="80"/>
        </w:rPr>
        <w:t xml:space="preserve">» </w:t>
      </w:r>
      <w:r>
        <w:rPr>
          <w:spacing w:val="15"/>
          <w:w w:val="105"/>
        </w:rPr>
        <w:t>的规定办理</w:t>
      </w:r>
      <w:r>
        <w:rPr>
          <w:rFonts w:hint="eastAsia" w:ascii="MS UI Gothic" w:hAnsi="MS UI Gothic" w:eastAsia="MS UI Gothic"/>
          <w:spacing w:val="6"/>
          <w:w w:val="80"/>
        </w:rPr>
        <w:t xml:space="preserve">ꎮ </w:t>
      </w:r>
      <w:r>
        <w:rPr>
          <w:spacing w:val="17"/>
          <w:w w:val="105"/>
        </w:rPr>
        <w:t>代收银行的代</w:t>
      </w:r>
      <w:r>
        <w:rPr>
          <w:spacing w:val="3"/>
          <w:w w:val="105"/>
        </w:rPr>
        <w:t>收手续费按照财政部</w:t>
      </w:r>
      <w:r>
        <w:rPr>
          <w:rFonts w:hint="eastAsia" w:ascii="MS UI Gothic" w:hAnsi="MS UI Gothic" w:eastAsia="MS UI Gothic"/>
          <w:spacing w:val="-4"/>
          <w:w w:val="80"/>
        </w:rPr>
        <w:t xml:space="preserve">、 </w:t>
      </w:r>
      <w:r>
        <w:rPr>
          <w:spacing w:val="2"/>
          <w:w w:val="105"/>
        </w:rPr>
        <w:t>中国人民银行关于</w:t>
      </w:r>
      <w:r>
        <w:rPr>
          <w:spacing w:val="25"/>
        </w:rPr>
        <w:t>代收罚款手续费有关问题的通知规定</w:t>
      </w:r>
      <w:r>
        <w:rPr>
          <w:spacing w:val="3"/>
          <w:w w:val="105"/>
        </w:rPr>
        <w:t>执行</w:t>
      </w:r>
      <w:r>
        <w:rPr>
          <w:rFonts w:hint="eastAsia" w:ascii="MS UI Gothic" w:hAnsi="MS UI Gothic" w:eastAsia="MS UI Gothic"/>
          <w:w w:val="80"/>
        </w:rPr>
        <w:t>ꎮ</w:t>
      </w:r>
    </w:p>
    <w:p>
      <w:pPr>
        <w:pStyle w:val="6"/>
        <w:spacing w:line="292" w:lineRule="auto"/>
        <w:ind w:right="38"/>
        <w:rPr>
          <w:rFonts w:hint="eastAsia" w:ascii="MS UI Gothic" w:eastAsia="MS UI Gothic"/>
        </w:rPr>
      </w:pPr>
      <w:r>
        <w:rPr>
          <w:spacing w:val="4"/>
        </w:rPr>
        <w:t>第五条 罚款票据使用财政部门统一</w:t>
      </w:r>
      <w:r>
        <w:rPr>
          <w:spacing w:val="3"/>
        </w:rPr>
        <w:t>印制的代收罚款收据</w:t>
      </w:r>
      <w:r>
        <w:rPr>
          <w:rFonts w:hint="eastAsia" w:ascii="MS UI Gothic" w:eastAsia="MS UI Gothic"/>
          <w:spacing w:val="21"/>
          <w:w w:val="80"/>
        </w:rPr>
        <w:t xml:space="preserve">ꎬ </w:t>
      </w:r>
      <w:r>
        <w:rPr>
          <w:spacing w:val="2"/>
        </w:rPr>
        <w:t>并由代收银行负责</w:t>
      </w:r>
      <w:r>
        <w:rPr>
          <w:spacing w:val="3"/>
        </w:rPr>
        <w:t>管理</w:t>
      </w:r>
      <w:r>
        <w:rPr>
          <w:rFonts w:hint="eastAsia" w:ascii="MS UI Gothic" w:eastAsia="MS UI Gothic"/>
          <w:w w:val="80"/>
        </w:rPr>
        <w:t>ꎮ</w:t>
      </w:r>
    </w:p>
    <w:p>
      <w:pPr>
        <w:pStyle w:val="6"/>
        <w:spacing w:before="85" w:line="292" w:lineRule="auto"/>
        <w:ind w:right="442"/>
        <w:rPr>
          <w:rFonts w:hint="eastAsia" w:ascii="MS UI Gothic" w:eastAsia="MS UI Gothic"/>
        </w:rPr>
      </w:pPr>
      <w:r>
        <w:br w:type="column"/>
      </w:r>
      <w:r>
        <w:t>煤矿安全监察机构可领取小额当场罚款票据</w:t>
      </w:r>
      <w:r>
        <w:rPr>
          <w:rFonts w:hint="eastAsia" w:ascii="MS UI Gothic" w:eastAsia="MS UI Gothic"/>
          <w:w w:val="80"/>
        </w:rPr>
        <w:t xml:space="preserve">ꎬ </w:t>
      </w:r>
      <w:r>
        <w:t>并负责管理</w:t>
      </w:r>
      <w:r>
        <w:rPr>
          <w:rFonts w:hint="eastAsia" w:ascii="MS UI Gothic" w:eastAsia="MS UI Gothic"/>
          <w:w w:val="80"/>
        </w:rPr>
        <w:t xml:space="preserve">ꎮ </w:t>
      </w:r>
      <w:r>
        <w:t>当场罚款票据的使用</w:t>
      </w:r>
      <w:r>
        <w:rPr>
          <w:rFonts w:hint="eastAsia" w:ascii="MS UI Gothic" w:eastAsia="MS UI Gothic"/>
          <w:w w:val="80"/>
        </w:rPr>
        <w:t xml:space="preserve">ꎬ </w:t>
      </w:r>
      <w:r>
        <w:t>应当符合当场处罚罚款票据管理暂行规定</w:t>
      </w:r>
      <w:r>
        <w:rPr>
          <w:rFonts w:hint="eastAsia" w:ascii="MS UI Gothic" w:eastAsia="MS UI Gothic"/>
          <w:w w:val="80"/>
        </w:rPr>
        <w:t>ꎮ</w:t>
      </w:r>
    </w:p>
    <w:p>
      <w:pPr>
        <w:pStyle w:val="6"/>
        <w:spacing w:line="292" w:lineRule="auto"/>
        <w:ind w:right="442"/>
        <w:rPr>
          <w:rFonts w:hint="eastAsia" w:ascii="MS UI Gothic" w:eastAsia="MS UI Gothic"/>
        </w:rPr>
      </w:pPr>
      <w:r>
        <w:t>第六条 煤矿安全监察罚款收入纳入中央预算</w:t>
      </w:r>
      <w:r>
        <w:rPr>
          <w:rFonts w:hint="eastAsia" w:ascii="MS UI Gothic" w:eastAsia="MS UI Gothic"/>
          <w:w w:val="80"/>
        </w:rPr>
        <w:t xml:space="preserve">ꎬ </w:t>
      </w:r>
      <w:r>
        <w:t>实行</w:t>
      </w:r>
      <w:r>
        <w:rPr>
          <w:rFonts w:hint="eastAsia" w:ascii="MS UI Gothic" w:eastAsia="MS UI Gothic"/>
        </w:rPr>
        <w:t xml:space="preserve">" </w:t>
      </w:r>
      <w:r>
        <w:t>收支两条线</w:t>
      </w:r>
      <w:r>
        <w:rPr>
          <w:rFonts w:hint="eastAsia" w:ascii="MS UI Gothic" w:eastAsia="MS UI Gothic"/>
        </w:rPr>
        <w:t xml:space="preserve">" </w:t>
      </w:r>
      <w:r>
        <w:t>管理</w:t>
      </w:r>
      <w:r>
        <w:rPr>
          <w:rFonts w:hint="eastAsia" w:ascii="MS UI Gothic" w:eastAsia="MS UI Gothic"/>
          <w:w w:val="80"/>
        </w:rPr>
        <w:t>ꎮ</w:t>
      </w:r>
    </w:p>
    <w:p>
      <w:pPr>
        <w:pStyle w:val="6"/>
        <w:spacing w:line="290" w:lineRule="auto"/>
        <w:ind w:right="442"/>
        <w:jc w:val="left"/>
        <w:rPr>
          <w:rFonts w:hint="eastAsia" w:ascii="MS UI Gothic" w:eastAsia="MS UI Gothic"/>
        </w:rPr>
      </w:pPr>
      <w:r>
        <w:t>煤矿安全监察罚款的缴库由代收银行</w:t>
      </w:r>
      <w:r>
        <w:rPr>
          <w:w w:val="105"/>
        </w:rPr>
        <w:t>按照财政部有关规定办理</w:t>
      </w:r>
      <w:r>
        <w:rPr>
          <w:rFonts w:hint="eastAsia" w:ascii="MS UI Gothic" w:eastAsia="MS UI Gothic"/>
          <w:w w:val="80"/>
        </w:rPr>
        <w:t>ꎮ</w:t>
      </w:r>
    </w:p>
    <w:p>
      <w:pPr>
        <w:pStyle w:val="6"/>
        <w:spacing w:before="2" w:line="292" w:lineRule="auto"/>
        <w:ind w:right="442"/>
        <w:rPr>
          <w:rFonts w:hint="eastAsia" w:ascii="MS UI Gothic" w:hAnsi="MS UI Gothic" w:eastAsia="MS UI Gothic"/>
        </w:rPr>
      </w:pPr>
      <w:r>
        <w:t xml:space="preserve">第七条 煤矿安全监察罚款按照财政部 </w:t>
      </w:r>
      <w:r>
        <w:rPr>
          <w:rFonts w:hint="eastAsia" w:ascii="MS UI Gothic" w:hAnsi="MS UI Gothic" w:eastAsia="MS UI Gothic"/>
          <w:w w:val="80"/>
        </w:rPr>
        <w:t xml:space="preserve">« </w:t>
      </w:r>
      <w:r>
        <w:t>通知</w:t>
      </w:r>
      <w:r>
        <w:rPr>
          <w:rFonts w:hint="eastAsia" w:ascii="MS UI Gothic" w:hAnsi="MS UI Gothic" w:eastAsia="MS UI Gothic"/>
          <w:w w:val="80"/>
        </w:rPr>
        <w:t xml:space="preserve">» </w:t>
      </w:r>
      <w:r>
        <w:t>的要求</w:t>
      </w:r>
      <w:r>
        <w:rPr>
          <w:rFonts w:hint="eastAsia" w:ascii="MS UI Gothic" w:hAnsi="MS UI Gothic" w:eastAsia="MS UI Gothic"/>
          <w:w w:val="80"/>
        </w:rPr>
        <w:t xml:space="preserve">ꎬ </w:t>
      </w:r>
      <w:r>
        <w:t>由银行内部交款单分列</w:t>
      </w:r>
      <w:r>
        <w:rPr>
          <w:rFonts w:hint="eastAsia" w:ascii="MS UI Gothic" w:hAnsi="MS UI Gothic" w:eastAsia="MS UI Gothic"/>
          <w:w w:val="80"/>
        </w:rPr>
        <w:t xml:space="preserve">ꎬ </w:t>
      </w:r>
      <w:r>
        <w:t>并直接缴入中央和地方金库</w:t>
      </w:r>
      <w:r>
        <w:rPr>
          <w:rFonts w:hint="eastAsia" w:ascii="MS UI Gothic" w:hAnsi="MS UI Gothic" w:eastAsia="MS UI Gothic"/>
          <w:w w:val="80"/>
        </w:rPr>
        <w:t>ꎮ</w:t>
      </w:r>
    </w:p>
    <w:p>
      <w:pPr>
        <w:pStyle w:val="6"/>
        <w:spacing w:line="292" w:lineRule="auto"/>
        <w:ind w:right="442"/>
        <w:rPr>
          <w:rFonts w:hint="eastAsia" w:ascii="MS UI Gothic" w:eastAsia="MS UI Gothic"/>
        </w:rPr>
      </w:pPr>
      <w:r>
        <w:rPr>
          <w:w w:val="105"/>
        </w:rPr>
        <w:t>第八条 煤矿安全罚款实行处罚决定与罚款收缴分离</w:t>
      </w:r>
      <w:r>
        <w:rPr>
          <w:rFonts w:hint="eastAsia" w:ascii="MS UI Gothic" w:eastAsia="MS UI Gothic"/>
          <w:w w:val="80"/>
        </w:rPr>
        <w:t>ꎮ</w:t>
      </w:r>
    </w:p>
    <w:p>
      <w:pPr>
        <w:pStyle w:val="6"/>
        <w:spacing w:line="292" w:lineRule="auto"/>
        <w:ind w:right="442"/>
        <w:rPr>
          <w:rFonts w:hint="eastAsia" w:ascii="MS UI Gothic" w:eastAsia="MS UI Gothic"/>
        </w:rPr>
      </w:pPr>
      <w:r>
        <w:t>煤矿安全监察机构依法对有关煤矿安全违法行为实施罚款</w:t>
      </w:r>
      <w:r>
        <w:rPr>
          <w:rFonts w:hint="eastAsia" w:ascii="MS UI Gothic" w:eastAsia="MS UI Gothic"/>
          <w:w w:val="80"/>
        </w:rPr>
        <w:t xml:space="preserve">ꎬ </w:t>
      </w:r>
      <w:r>
        <w:t>制作煤矿安全监察行政处罚决定书</w:t>
      </w:r>
      <w:r>
        <w:rPr>
          <w:rFonts w:hint="eastAsia" w:ascii="MS UI Gothic" w:eastAsia="MS UI Gothic"/>
          <w:w w:val="80"/>
        </w:rPr>
        <w:t xml:space="preserve">ꎻ </w:t>
      </w:r>
      <w:r>
        <w:t>被处罚人持煤矿安全监察行政处罚决定书到指定的代收银行及其</w:t>
      </w:r>
      <w:r>
        <w:rPr>
          <w:w w:val="105"/>
        </w:rPr>
        <w:t>分支机构缴纳罚款</w:t>
      </w:r>
      <w:r>
        <w:rPr>
          <w:rFonts w:hint="eastAsia" w:ascii="MS UI Gothic" w:eastAsia="MS UI Gothic"/>
          <w:w w:val="80"/>
        </w:rPr>
        <w:t>ꎮ</w:t>
      </w:r>
    </w:p>
    <w:p>
      <w:pPr>
        <w:pStyle w:val="6"/>
        <w:spacing w:line="292" w:lineRule="auto"/>
        <w:ind w:right="442"/>
        <w:rPr>
          <w:rFonts w:hint="eastAsia" w:ascii="MS UI Gothic" w:eastAsia="MS UI Gothic"/>
        </w:rPr>
      </w:pPr>
      <w:r>
        <w:t>煤矿安全监察机构财务人员定期到代收银行索取缴款票据</w:t>
      </w:r>
      <w:r>
        <w:rPr>
          <w:rFonts w:hint="eastAsia" w:ascii="MS UI Gothic" w:eastAsia="MS UI Gothic"/>
          <w:w w:val="80"/>
        </w:rPr>
        <w:t xml:space="preserve">ꎬ </w:t>
      </w:r>
      <w:r>
        <w:t>并进行核对</w:t>
      </w:r>
      <w:r>
        <w:rPr>
          <w:rFonts w:hint="eastAsia" w:ascii="MS UI Gothic" w:eastAsia="MS UI Gothic"/>
          <w:w w:val="80"/>
        </w:rPr>
        <w:t xml:space="preserve">、 </w:t>
      </w:r>
      <w:r>
        <w:t>登记和统计</w:t>
      </w:r>
      <w:r>
        <w:rPr>
          <w:rFonts w:hint="eastAsia" w:ascii="MS UI Gothic" w:eastAsia="MS UI Gothic"/>
          <w:w w:val="80"/>
        </w:rPr>
        <w:t>ꎮ</w:t>
      </w:r>
    </w:p>
    <w:p>
      <w:pPr>
        <w:pStyle w:val="6"/>
        <w:spacing w:line="292" w:lineRule="auto"/>
        <w:ind w:right="442"/>
        <w:rPr>
          <w:rFonts w:hint="eastAsia" w:ascii="MS UI Gothic" w:eastAsia="MS UI Gothic"/>
        </w:rPr>
      </w:pPr>
      <w:r>
        <w:rPr>
          <w:spacing w:val="2"/>
          <w:w w:val="105"/>
        </w:rPr>
        <w:t>第九条 各煤矿安全监察办事处每月</w:t>
      </w:r>
      <w:r>
        <w:rPr>
          <w:spacing w:val="-21"/>
          <w:w w:val="105"/>
        </w:rPr>
        <w:t xml:space="preserve">终了后 </w:t>
      </w:r>
      <w:r>
        <w:rPr>
          <w:rFonts w:hint="eastAsia" w:ascii="MS UI Gothic" w:eastAsia="MS UI Gothic"/>
          <w:spacing w:val="-12"/>
          <w:w w:val="80"/>
        </w:rPr>
        <w:t xml:space="preserve">５ </w:t>
      </w:r>
      <w:r>
        <w:rPr>
          <w:spacing w:val="2"/>
          <w:w w:val="105"/>
        </w:rPr>
        <w:t>日内将煤矿安全监察罚款统计表</w:t>
      </w:r>
      <w:r>
        <w:rPr>
          <w:spacing w:val="3"/>
          <w:w w:val="105"/>
        </w:rPr>
        <w:t>报省级煤矿安全监察机构</w:t>
      </w:r>
      <w:r>
        <w:rPr>
          <w:rFonts w:hint="eastAsia" w:ascii="MS UI Gothic" w:eastAsia="MS UI Gothic"/>
          <w:w w:val="80"/>
        </w:rPr>
        <w:t>ꎮ</w:t>
      </w:r>
    </w:p>
    <w:p>
      <w:pPr>
        <w:pStyle w:val="6"/>
        <w:spacing w:line="292" w:lineRule="auto"/>
        <w:ind w:right="442"/>
        <w:rPr>
          <w:rFonts w:hint="eastAsia" w:ascii="MS UI Gothic" w:eastAsia="MS UI Gothic"/>
        </w:rPr>
      </w:pPr>
      <w:r>
        <w:t>省级煤矿安全监察机构将本省区煤矿安全监察罚款统计表汇总后</w:t>
      </w:r>
      <w:r>
        <w:rPr>
          <w:rFonts w:hint="eastAsia" w:ascii="MS UI Gothic" w:eastAsia="MS UI Gothic"/>
          <w:w w:val="80"/>
        </w:rPr>
        <w:t xml:space="preserve">ꎬ </w:t>
      </w:r>
      <w:r>
        <w:t xml:space="preserve">在每月终了后 </w:t>
      </w:r>
      <w:r>
        <w:rPr>
          <w:rFonts w:hint="eastAsia" w:ascii="MS UI Gothic" w:eastAsia="MS UI Gothic"/>
          <w:w w:val="80"/>
        </w:rPr>
        <w:t xml:space="preserve">８ </w:t>
      </w:r>
      <w:r>
        <w:t>日内报国家煤矿安全监察局</w:t>
      </w:r>
      <w:r>
        <w:rPr>
          <w:rFonts w:hint="eastAsia" w:ascii="MS UI Gothic" w:eastAsia="MS UI Gothic"/>
          <w:w w:val="80"/>
        </w:rPr>
        <w:t>ꎮ</w:t>
      </w:r>
    </w:p>
    <w:p>
      <w:pPr>
        <w:pStyle w:val="6"/>
        <w:spacing w:line="292" w:lineRule="auto"/>
        <w:ind w:right="442"/>
        <w:rPr>
          <w:rFonts w:hint="eastAsia" w:ascii="MS UI Gothic" w:eastAsia="MS UI Gothic"/>
        </w:rPr>
      </w:pPr>
      <w:r>
        <w:rPr>
          <w:w w:val="105"/>
        </w:rPr>
        <w:t>第十条 煤矿安全监察机构罚款收入</w:t>
      </w:r>
      <w:r>
        <w:t>的缴库情况</w:t>
      </w:r>
      <w:r>
        <w:rPr>
          <w:rFonts w:hint="eastAsia" w:ascii="MS UI Gothic" w:eastAsia="MS UI Gothic"/>
          <w:w w:val="80"/>
        </w:rPr>
        <w:t xml:space="preserve">ꎬ </w:t>
      </w:r>
      <w:r>
        <w:t>应接受财政部驻各地财政监</w:t>
      </w:r>
      <w:r>
        <w:rPr>
          <w:w w:val="105"/>
        </w:rPr>
        <w:t>察专员办事处的检查和监督</w:t>
      </w:r>
      <w:r>
        <w:rPr>
          <w:rFonts w:hint="eastAsia" w:ascii="MS UI Gothic" w:eastAsia="MS UI Gothic"/>
          <w:w w:val="80"/>
        </w:rPr>
        <w:t>ꎮ</w:t>
      </w:r>
    </w:p>
    <w:p>
      <w:pPr>
        <w:pStyle w:val="6"/>
        <w:spacing w:line="292" w:lineRule="auto"/>
        <w:ind w:right="440"/>
        <w:rPr>
          <w:rFonts w:hint="eastAsia" w:ascii="MS UI Gothic" w:eastAsia="MS UI Gothic"/>
        </w:rPr>
      </w:pPr>
      <w:r>
        <w:rPr>
          <w:w w:val="105"/>
        </w:rPr>
        <w:t>第十一条 煤矿安全监察罚款应严格</w:t>
      </w:r>
      <w:r>
        <w:t>执行国家有关罚款收支管理的有关规定</w:t>
      </w:r>
      <w:r>
        <w:rPr>
          <w:rFonts w:hint="eastAsia" w:ascii="MS UI Gothic" w:eastAsia="MS UI Gothic"/>
          <w:w w:val="80"/>
        </w:rPr>
        <w:t>ꎬ</w:t>
      </w:r>
    </w:p>
    <w:p>
      <w:pPr>
        <w:spacing w:after="0" w:line="292"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３８５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55" o:spid="_x0000_s2155" o:spt="203" style="height:2.15pt;width:398.25pt;" coordsize="7965,43">
            <o:lock v:ext="edit"/>
            <v:line id="_x0000_s2156" o:spid="_x0000_s2156" o:spt="20" style="position:absolute;left:0;top:39;height:0;width:7965;" stroked="t" coordsize="21600,21600">
              <v:path arrowok="t"/>
              <v:fill focussize="0,0"/>
              <v:stroke weight="0.388031496062992pt" color="#231F20"/>
              <v:imagedata o:title=""/>
              <o:lock v:ext="edit"/>
            </v:line>
            <v:line id="_x0000_s2157" o:spid="_x0000_s215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hAnsi="MS UI Gothic" w:eastAsia="MS UI Gothic"/>
        </w:rPr>
      </w:pPr>
      <w:r>
        <w:rPr>
          <w:w w:val="105"/>
        </w:rPr>
        <w:t xml:space="preserve">对违反 </w:t>
      </w:r>
      <w:r>
        <w:rPr>
          <w:rFonts w:hint="eastAsia" w:ascii="MS UI Gothic" w:hAnsi="MS UI Gothic" w:eastAsia="MS UI Gothic"/>
          <w:w w:val="105"/>
        </w:rPr>
        <w:t xml:space="preserve">“ </w:t>
      </w:r>
      <w:r>
        <w:rPr>
          <w:w w:val="105"/>
        </w:rPr>
        <w:t>收支两条线</w:t>
      </w:r>
      <w:r>
        <w:rPr>
          <w:rFonts w:hint="eastAsia" w:ascii="MS UI Gothic" w:hAnsi="MS UI Gothic" w:eastAsia="MS UI Gothic"/>
          <w:w w:val="105"/>
        </w:rPr>
        <w:t xml:space="preserve">” </w:t>
      </w:r>
      <w:r>
        <w:rPr>
          <w:w w:val="105"/>
        </w:rPr>
        <w:t>管理的机构和个</w:t>
      </w:r>
      <w:r>
        <w:t>人</w:t>
      </w:r>
      <w:r>
        <w:rPr>
          <w:rFonts w:hint="eastAsia" w:ascii="MS UI Gothic" w:hAnsi="MS UI Gothic" w:eastAsia="MS UI Gothic"/>
          <w:w w:val="80"/>
        </w:rPr>
        <w:t xml:space="preserve">ꎬ </w:t>
      </w:r>
      <w:r>
        <w:t>依照国务院违反行政事业性收费和罚没款收入收支两条线管理规定行政处分暂</w:t>
      </w:r>
      <w:r>
        <w:rPr>
          <w:w w:val="105"/>
        </w:rPr>
        <w:t>行规定追究责任</w:t>
      </w:r>
      <w:r>
        <w:rPr>
          <w:rFonts w:hint="eastAsia" w:ascii="MS UI Gothic" w:hAnsi="MS UI Gothic" w:eastAsia="MS UI Gothic"/>
          <w:w w:val="80"/>
        </w:rPr>
        <w:t>ꎮ</w:t>
      </w:r>
    </w:p>
    <w:p>
      <w:pPr>
        <w:pStyle w:val="6"/>
        <w:tabs>
          <w:tab w:val="left" w:pos="1088"/>
        </w:tabs>
        <w:spacing w:before="124"/>
        <w:ind w:left="0" w:right="128" w:firstLine="0"/>
        <w:jc w:val="right"/>
        <w:rPr>
          <w:rFonts w:hint="eastAsia" w:ascii="MS UI Gothic" w:eastAsia="MS UI Gothic"/>
        </w:rPr>
      </w:pPr>
      <w:r>
        <w:br w:type="column"/>
      </w:r>
      <w:r>
        <w:rPr>
          <w:spacing w:val="3"/>
        </w:rPr>
        <w:t>第十</w:t>
      </w:r>
      <w:r>
        <w:rPr>
          <w:spacing w:val="11"/>
        </w:rPr>
        <w:t>二</w:t>
      </w:r>
      <w:r>
        <w:t>条</w:t>
      </w:r>
      <w:r>
        <w:tab/>
      </w:r>
      <w:r>
        <w:rPr>
          <w:spacing w:val="17"/>
        </w:rPr>
        <w:t>本办法</w:t>
      </w:r>
      <w:r>
        <w:t>自</w:t>
      </w:r>
      <w:r>
        <w:rPr>
          <w:spacing w:val="-66"/>
        </w:rPr>
        <w:t xml:space="preserve"> </w:t>
      </w:r>
      <w:r>
        <w:rPr>
          <w:rFonts w:hint="eastAsia" w:ascii="MS UI Gothic" w:eastAsia="MS UI Gothic"/>
        </w:rPr>
        <w:t>２００３</w:t>
      </w:r>
      <w:r>
        <w:rPr>
          <w:rFonts w:hint="eastAsia" w:ascii="MS UI Gothic" w:eastAsia="MS UI Gothic"/>
          <w:spacing w:val="-22"/>
        </w:rPr>
        <w:t xml:space="preserve"> </w:t>
      </w:r>
      <w:r>
        <w:t>年</w:t>
      </w:r>
      <w:r>
        <w:rPr>
          <w:spacing w:val="-65"/>
        </w:rPr>
        <w:t xml:space="preserve"> </w:t>
      </w:r>
      <w:r>
        <w:rPr>
          <w:rFonts w:hint="eastAsia" w:ascii="MS UI Gothic" w:eastAsia="MS UI Gothic"/>
        </w:rPr>
        <w:t>８</w:t>
      </w:r>
      <w:r>
        <w:rPr>
          <w:rFonts w:hint="eastAsia" w:ascii="MS UI Gothic" w:eastAsia="MS UI Gothic"/>
          <w:spacing w:val="-22"/>
        </w:rPr>
        <w:t xml:space="preserve"> </w:t>
      </w:r>
      <w:r>
        <w:t>月</w:t>
      </w:r>
      <w:r>
        <w:rPr>
          <w:spacing w:val="-65"/>
        </w:rPr>
        <w:t xml:space="preserve"> </w:t>
      </w:r>
      <w:r>
        <w:rPr>
          <w:rFonts w:hint="eastAsia" w:ascii="MS UI Gothic" w:eastAsia="MS UI Gothic"/>
        </w:rPr>
        <w:t>１</w:t>
      </w:r>
    </w:p>
    <w:p>
      <w:pPr>
        <w:pStyle w:val="6"/>
        <w:spacing w:before="58"/>
        <w:ind w:left="0" w:right="126" w:firstLine="0"/>
        <w:jc w:val="right"/>
      </w:pPr>
      <w:r>
        <w:rPr>
          <w:spacing w:val="8"/>
        </w:rPr>
        <w:t>日起施行</w:t>
      </w:r>
      <w:r>
        <w:rPr>
          <w:rFonts w:hint="eastAsia" w:ascii="MS UI Gothic" w:eastAsia="MS UI Gothic"/>
          <w:spacing w:val="1"/>
          <w:w w:val="80"/>
        </w:rPr>
        <w:t xml:space="preserve">ꎮ   </w:t>
      </w:r>
      <w:r>
        <w:rPr>
          <w:spacing w:val="17"/>
        </w:rPr>
        <w:t>国家煤矿安全监察局发布的</w:t>
      </w:r>
    </w:p>
    <w:p>
      <w:pPr>
        <w:pStyle w:val="6"/>
        <w:spacing w:before="58" w:line="295" w:lineRule="auto"/>
        <w:ind w:left="383" w:right="126" w:firstLine="0"/>
        <w:jc w:val="left"/>
        <w:rPr>
          <w:rFonts w:hint="eastAsia" w:ascii="MS UI Gothic" w:hAnsi="MS UI Gothic" w:eastAsia="MS UI Gothic"/>
        </w:rPr>
      </w:pPr>
      <w:r>
        <w:rPr>
          <w:rFonts w:hint="eastAsia" w:ascii="MS UI Gothic" w:hAnsi="MS UI Gothic" w:eastAsia="MS UI Gothic"/>
          <w:w w:val="80"/>
        </w:rPr>
        <w:t xml:space="preserve">« </w:t>
      </w:r>
      <w:r>
        <w:t>煤矿安全监察罚款管理暂行办法</w:t>
      </w:r>
      <w:r>
        <w:rPr>
          <w:rFonts w:hint="eastAsia" w:ascii="MS UI Gothic" w:hAnsi="MS UI Gothic" w:eastAsia="MS UI Gothic"/>
          <w:w w:val="80"/>
        </w:rPr>
        <w:t xml:space="preserve">» </w:t>
      </w:r>
      <w:r>
        <w:t>同时废止</w:t>
      </w:r>
      <w:r>
        <w:rPr>
          <w:rFonts w:hint="eastAsia" w:ascii="MS UI Gothic" w:hAnsi="MS UI Gothic" w:eastAsia="MS UI Gothic"/>
          <w:w w:val="80"/>
        </w:rPr>
        <w:t>ꎮ</w:t>
      </w:r>
    </w:p>
    <w:p>
      <w:pPr>
        <w:spacing w:after="0" w:line="295" w:lineRule="auto"/>
        <w:jc w:val="left"/>
        <w:rPr>
          <w:rFonts w:hint="eastAsia" w:ascii="MS UI Gothic" w:hAnsi="MS UI Gothic" w:eastAsia="MS UI Gothic"/>
        </w:rPr>
        <w:sectPr>
          <w:type w:val="continuous"/>
          <w:pgSz w:w="10500" w:h="14750"/>
          <w:pgMar w:top="1400" w:right="980" w:bottom="280" w:left="980" w:header="720" w:footer="720" w:gutter="0"/>
          <w:cols w:equalWidth="0" w:num="2">
            <w:col w:w="4210" w:space="40"/>
            <w:col w:w="4290"/>
          </w:cols>
        </w:sectPr>
      </w:pPr>
    </w:p>
    <w:p>
      <w:pPr>
        <w:pStyle w:val="6"/>
        <w:ind w:left="0" w:firstLine="0"/>
        <w:jc w:val="left"/>
        <w:rPr>
          <w:rFonts w:ascii="MS UI Gothic"/>
          <w:sz w:val="8"/>
        </w:rPr>
      </w:pPr>
    </w:p>
    <w:p>
      <w:pPr>
        <w:pStyle w:val="4"/>
        <w:spacing w:before="195"/>
        <w:ind w:left="286"/>
        <w:rPr>
          <w:rFonts w:hint="eastAsia" w:ascii="Microsoft Yi Baiti" w:eastAsia="Microsoft Yi Baiti"/>
        </w:rPr>
      </w:pPr>
      <w:r>
        <w:t xml:space="preserve">中华人民共和国矿山安全法 </w:t>
      </w:r>
      <w:r>
        <w:rPr>
          <w:rFonts w:hint="eastAsia" w:ascii="Microsoft Yi Baiti" w:eastAsia="Microsoft Yi Baiti"/>
        </w:rPr>
        <w:t>(</w:t>
      </w:r>
      <w:r>
        <w:rPr>
          <w:rFonts w:hint="eastAsia" w:ascii="MS UI Gothic" w:eastAsia="MS UI Gothic"/>
        </w:rPr>
        <w:t xml:space="preserve">２００９ </w:t>
      </w:r>
      <w:r>
        <w:t>年修正</w:t>
      </w:r>
      <w:r>
        <w:rPr>
          <w:rFonts w:hint="eastAsia" w:ascii="Microsoft Yi Baiti" w:eastAsia="Microsoft Yi Baiti"/>
        </w:rPr>
        <w:t>)</w:t>
      </w:r>
    </w:p>
    <w:p>
      <w:pPr>
        <w:pStyle w:val="6"/>
        <w:spacing w:before="366"/>
        <w:ind w:left="860" w:firstLine="0"/>
        <w:rPr>
          <w:rFonts w:hint="eastAsia" w:ascii="MS UI Gothic" w:eastAsia="MS UI Gothic"/>
        </w:rPr>
      </w:pPr>
      <w:r>
        <w:rPr>
          <w:rFonts w:hint="eastAsia" w:ascii="Microsoft Yi Baiti" w:eastAsia="Microsoft Yi Baiti"/>
          <w:spacing w:val="2"/>
        </w:rPr>
        <w:t>(</w:t>
      </w:r>
      <w:r>
        <w:rPr>
          <w:rFonts w:hint="eastAsia" w:ascii="MS UI Gothic" w:eastAsia="MS UI Gothic"/>
          <w:spacing w:val="-4"/>
        </w:rPr>
        <w:t xml:space="preserve">１９９２ </w:t>
      </w:r>
      <w:r>
        <w:rPr>
          <w:spacing w:val="-35"/>
        </w:rPr>
        <w:t xml:space="preserve">年 </w:t>
      </w:r>
      <w:r>
        <w:rPr>
          <w:rFonts w:hint="eastAsia" w:ascii="MS UI Gothic" w:eastAsia="MS UI Gothic"/>
          <w:spacing w:val="-9"/>
        </w:rPr>
        <w:t xml:space="preserve">１１ </w:t>
      </w:r>
      <w:r>
        <w:rPr>
          <w:spacing w:val="-35"/>
        </w:rPr>
        <w:t xml:space="preserve">月 </w:t>
      </w:r>
      <w:r>
        <w:rPr>
          <w:rFonts w:hint="eastAsia" w:ascii="MS UI Gothic" w:eastAsia="MS UI Gothic"/>
          <w:spacing w:val="-13"/>
        </w:rPr>
        <w:t xml:space="preserve">７ </w:t>
      </w:r>
      <w:r>
        <w:rPr>
          <w:spacing w:val="-1"/>
        </w:rPr>
        <w:t xml:space="preserve">日第七届全国人民代表大会常务委员会第二十八次会议通过 </w:t>
      </w:r>
      <w:r>
        <w:rPr>
          <w:rFonts w:hint="eastAsia" w:ascii="MS UI Gothic" w:eastAsia="MS UI Gothic"/>
        </w:rPr>
        <w:t>１９９２</w:t>
      </w:r>
    </w:p>
    <w:p>
      <w:pPr>
        <w:pStyle w:val="6"/>
        <w:spacing w:before="59" w:line="295" w:lineRule="auto"/>
        <w:ind w:left="440" w:right="126" w:firstLine="0"/>
        <w:rPr>
          <w:rFonts w:hint="eastAsia" w:ascii="Microsoft Yi Baiti" w:hAnsi="Microsoft Yi Baiti" w:eastAsia="Microsoft Yi Baiti"/>
        </w:rPr>
      </w:pPr>
      <w:r>
        <w:rPr>
          <w:spacing w:val="-34"/>
        </w:rPr>
        <w:t xml:space="preserve">年 </w:t>
      </w:r>
      <w:r>
        <w:rPr>
          <w:rFonts w:hint="eastAsia" w:ascii="MS UI Gothic" w:hAnsi="MS UI Gothic" w:eastAsia="MS UI Gothic"/>
          <w:spacing w:val="-8"/>
        </w:rPr>
        <w:t xml:space="preserve">１１ </w:t>
      </w:r>
      <w:r>
        <w:rPr>
          <w:spacing w:val="-36"/>
        </w:rPr>
        <w:t xml:space="preserve">月 </w:t>
      </w:r>
      <w:r>
        <w:rPr>
          <w:rFonts w:hint="eastAsia" w:ascii="MS UI Gothic" w:hAnsi="MS UI Gothic" w:eastAsia="MS UI Gothic"/>
          <w:spacing w:val="-12"/>
        </w:rPr>
        <w:t xml:space="preserve">７ </w:t>
      </w:r>
      <w:r>
        <w:rPr>
          <w:spacing w:val="-4"/>
        </w:rPr>
        <w:t xml:space="preserve">日中华人民共和国主席令第 </w:t>
      </w:r>
      <w:r>
        <w:rPr>
          <w:rFonts w:hint="eastAsia" w:ascii="MS UI Gothic" w:hAnsi="MS UI Gothic" w:eastAsia="MS UI Gothic"/>
          <w:spacing w:val="-8"/>
        </w:rPr>
        <w:t xml:space="preserve">６５ </w:t>
      </w:r>
      <w:r>
        <w:rPr>
          <w:spacing w:val="-18"/>
        </w:rPr>
        <w:t xml:space="preserve">号公布 根据 </w:t>
      </w:r>
      <w:r>
        <w:rPr>
          <w:rFonts w:hint="eastAsia" w:ascii="MS UI Gothic" w:hAnsi="MS UI Gothic" w:eastAsia="MS UI Gothic"/>
          <w:spacing w:val="-5"/>
        </w:rPr>
        <w:t xml:space="preserve">２００９ </w:t>
      </w:r>
      <w:r>
        <w:rPr>
          <w:spacing w:val="-37"/>
        </w:rPr>
        <w:t xml:space="preserve">年 </w:t>
      </w:r>
      <w:r>
        <w:rPr>
          <w:rFonts w:hint="eastAsia" w:ascii="MS UI Gothic" w:hAnsi="MS UI Gothic" w:eastAsia="MS UI Gothic"/>
          <w:spacing w:val="-11"/>
        </w:rPr>
        <w:t xml:space="preserve">８ </w:t>
      </w:r>
      <w:r>
        <w:rPr>
          <w:spacing w:val="-36"/>
        </w:rPr>
        <w:t xml:space="preserve">月 </w:t>
      </w:r>
      <w:r>
        <w:rPr>
          <w:rFonts w:hint="eastAsia" w:ascii="MS UI Gothic" w:hAnsi="MS UI Gothic" w:eastAsia="MS UI Gothic"/>
          <w:spacing w:val="-8"/>
        </w:rPr>
        <w:t xml:space="preserve">２７ </w:t>
      </w:r>
      <w:r>
        <w:rPr>
          <w:spacing w:val="2"/>
        </w:rPr>
        <w:t>日中华人民共和国</w:t>
      </w:r>
      <w:r>
        <w:rPr>
          <w:spacing w:val="-5"/>
        </w:rPr>
        <w:t xml:space="preserve">主席令第 </w:t>
      </w:r>
      <w:r>
        <w:rPr>
          <w:rFonts w:hint="eastAsia" w:ascii="MS UI Gothic" w:hAnsi="MS UI Gothic" w:eastAsia="MS UI Gothic"/>
          <w:spacing w:val="6"/>
        </w:rPr>
        <w:t xml:space="preserve">１８ </w:t>
      </w:r>
      <w:r>
        <w:rPr>
          <w:spacing w:val="23"/>
        </w:rPr>
        <w:t xml:space="preserve">号 </w:t>
      </w:r>
      <w:r>
        <w:rPr>
          <w:rFonts w:hint="eastAsia" w:ascii="Microsoft Yi Baiti" w:hAnsi="Microsoft Yi Baiti" w:eastAsia="Microsoft Yi Baiti"/>
          <w:spacing w:val="-30"/>
        </w:rPr>
        <w:t xml:space="preserve">« </w:t>
      </w:r>
      <w:r>
        <w:rPr>
          <w:spacing w:val="3"/>
        </w:rPr>
        <w:t>全国人民代表大会常务委员会关于修改部分法律的决定</w:t>
      </w:r>
      <w:r>
        <w:rPr>
          <w:rFonts w:hint="eastAsia" w:ascii="Microsoft Yi Baiti" w:hAnsi="Microsoft Yi Baiti" w:eastAsia="Microsoft Yi Baiti"/>
          <w:spacing w:val="41"/>
        </w:rPr>
        <w:t xml:space="preserve">» </w:t>
      </w:r>
      <w:r>
        <w:t>修正 自公布</w:t>
      </w:r>
      <w:r>
        <w:rPr>
          <w:spacing w:val="3"/>
        </w:rPr>
        <w:t>之日起施行</w:t>
      </w:r>
      <w:r>
        <w:rPr>
          <w:rFonts w:hint="eastAsia" w:ascii="Microsoft Yi Baiti" w:hAnsi="Microsoft Yi Baiti" w:eastAsia="Microsoft Yi Baiti"/>
        </w:rPr>
        <w:t>)</w:t>
      </w:r>
    </w:p>
    <w:p>
      <w:pPr>
        <w:pStyle w:val="6"/>
        <w:ind w:left="0" w:firstLine="0"/>
        <w:jc w:val="left"/>
        <w:rPr>
          <w:rFonts w:ascii="Microsoft Yi Baiti"/>
        </w:rPr>
      </w:pPr>
    </w:p>
    <w:p>
      <w:pPr>
        <w:spacing w:after="0"/>
        <w:jc w:val="left"/>
        <w:rPr>
          <w:rFonts w:ascii="Microsoft Yi Baiti"/>
        </w:rPr>
        <w:sectPr>
          <w:type w:val="continuous"/>
          <w:pgSz w:w="10500" w:h="14750"/>
          <w:pgMar w:top="1400" w:right="980" w:bottom="280" w:left="980" w:header="720" w:footer="720" w:gutter="0"/>
        </w:sectPr>
      </w:pPr>
    </w:p>
    <w:p>
      <w:pPr>
        <w:pStyle w:val="6"/>
        <w:spacing w:before="6"/>
        <w:ind w:left="0" w:firstLine="0"/>
        <w:jc w:val="left"/>
        <w:rPr>
          <w:rFonts w:ascii="Microsoft Yi Baiti"/>
          <w:sz w:val="25"/>
        </w:rPr>
      </w:pPr>
    </w:p>
    <w:p>
      <w:pPr>
        <w:pStyle w:val="6"/>
        <w:tabs>
          <w:tab w:val="left" w:pos="2327"/>
          <w:tab w:val="left" w:pos="2956"/>
        </w:tabs>
        <w:spacing w:before="1"/>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5" w:lineRule="auto"/>
        <w:ind w:left="440" w:right="1"/>
        <w:rPr>
          <w:rFonts w:hint="eastAsia" w:ascii="MS UI Gothic" w:eastAsia="MS UI Gothic"/>
        </w:rPr>
      </w:pPr>
      <w:r>
        <w:rPr>
          <w:spacing w:val="3"/>
        </w:rPr>
        <w:t>第一条 为了保障矿山生产安全</w:t>
      </w:r>
      <w:r>
        <w:rPr>
          <w:rFonts w:hint="eastAsia" w:ascii="MS UI Gothic" w:eastAsia="MS UI Gothic"/>
          <w:spacing w:val="8"/>
          <w:w w:val="80"/>
        </w:rPr>
        <w:t xml:space="preserve">ꎬ </w:t>
      </w:r>
      <w:r>
        <w:t>防</w:t>
      </w:r>
      <w:r>
        <w:rPr>
          <w:spacing w:val="3"/>
        </w:rPr>
        <w:t>止矿山事故</w:t>
      </w:r>
      <w:r>
        <w:rPr>
          <w:rFonts w:hint="eastAsia" w:ascii="MS UI Gothic" w:eastAsia="MS UI Gothic"/>
          <w:spacing w:val="23"/>
          <w:w w:val="80"/>
        </w:rPr>
        <w:t xml:space="preserve">ꎬ </w:t>
      </w:r>
      <w:r>
        <w:rPr>
          <w:spacing w:val="3"/>
        </w:rPr>
        <w:t>保护矿山职工人身安全</w:t>
      </w:r>
      <w:r>
        <w:rPr>
          <w:rFonts w:hint="eastAsia" w:ascii="MS UI Gothic" w:eastAsia="MS UI Gothic"/>
          <w:spacing w:val="23"/>
          <w:w w:val="80"/>
        </w:rPr>
        <w:t xml:space="preserve">ꎬ </w:t>
      </w:r>
      <w:r>
        <w:t>促</w:t>
      </w:r>
      <w:r>
        <w:rPr>
          <w:spacing w:val="3"/>
        </w:rPr>
        <w:t>进采矿业的发展</w:t>
      </w:r>
      <w:r>
        <w:rPr>
          <w:rFonts w:hint="eastAsia" w:ascii="MS UI Gothic" w:eastAsia="MS UI Gothic"/>
          <w:spacing w:val="2"/>
          <w:w w:val="80"/>
        </w:rPr>
        <w:t xml:space="preserve">ꎬ </w:t>
      </w:r>
      <w:r>
        <w:rPr>
          <w:spacing w:val="3"/>
        </w:rPr>
        <w:t>制定本法</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第二条 在中华人民共和国领域和中</w:t>
      </w:r>
      <w:r>
        <w:rPr>
          <w:spacing w:val="2"/>
        </w:rPr>
        <w:t>华人民共和国管辖的其他海域从事矿产资</w:t>
      </w:r>
      <w:r>
        <w:rPr>
          <w:spacing w:val="3"/>
          <w:w w:val="105"/>
        </w:rPr>
        <w:t>源开采活动</w:t>
      </w:r>
      <w:r>
        <w:rPr>
          <w:rFonts w:hint="eastAsia" w:ascii="MS UI Gothic" w:eastAsia="MS UI Gothic"/>
          <w:spacing w:val="21"/>
          <w:w w:val="80"/>
        </w:rPr>
        <w:t xml:space="preserve">ꎬ </w:t>
      </w:r>
      <w:r>
        <w:rPr>
          <w:spacing w:val="3"/>
          <w:w w:val="105"/>
        </w:rPr>
        <w:t>必须遵守本法</w:t>
      </w:r>
      <w:r>
        <w:rPr>
          <w:rFonts w:hint="eastAsia" w:ascii="MS UI Gothic" w:eastAsia="MS UI Gothic"/>
          <w:w w:val="80"/>
        </w:rPr>
        <w:t>ꎮ</w:t>
      </w:r>
    </w:p>
    <w:p>
      <w:pPr>
        <w:pStyle w:val="6"/>
        <w:spacing w:line="295" w:lineRule="auto"/>
        <w:ind w:left="440"/>
        <w:rPr>
          <w:rFonts w:hint="eastAsia" w:ascii="MS UI Gothic" w:eastAsia="MS UI Gothic"/>
        </w:rPr>
      </w:pPr>
      <w:r>
        <w:rPr>
          <w:spacing w:val="4"/>
        </w:rPr>
        <w:t>第三条 矿山企业必须具有保障安全</w:t>
      </w:r>
      <w:r>
        <w:rPr>
          <w:spacing w:val="3"/>
        </w:rPr>
        <w:t>生产的设施</w:t>
      </w:r>
      <w:r>
        <w:rPr>
          <w:rFonts w:hint="eastAsia" w:ascii="MS UI Gothic" w:eastAsia="MS UI Gothic"/>
          <w:spacing w:val="23"/>
          <w:w w:val="80"/>
        </w:rPr>
        <w:t xml:space="preserve">ꎬ </w:t>
      </w:r>
      <w:r>
        <w:rPr>
          <w:spacing w:val="9"/>
        </w:rPr>
        <w:t>建立</w:t>
      </w:r>
      <w:r>
        <w:rPr>
          <w:rFonts w:hint="eastAsia" w:ascii="MS UI Gothic" w:eastAsia="MS UI Gothic"/>
          <w:w w:val="80"/>
        </w:rPr>
        <w:t xml:space="preserve">、 </w:t>
      </w:r>
      <w:r>
        <w:rPr>
          <w:spacing w:val="13"/>
        </w:rPr>
        <w:t>健全安全管理制度</w:t>
      </w:r>
      <w:r>
        <w:rPr>
          <w:rFonts w:hint="eastAsia" w:ascii="MS UI Gothic" w:eastAsia="MS UI Gothic"/>
          <w:w w:val="80"/>
        </w:rPr>
        <w:t>ꎬ</w:t>
      </w:r>
      <w:r>
        <w:rPr>
          <w:spacing w:val="3"/>
        </w:rPr>
        <w:t>采取有效措施改善职工劳动条件</w:t>
      </w:r>
      <w:r>
        <w:rPr>
          <w:rFonts w:hint="eastAsia" w:ascii="MS UI Gothic" w:eastAsia="MS UI Gothic"/>
          <w:spacing w:val="21"/>
          <w:w w:val="80"/>
        </w:rPr>
        <w:t xml:space="preserve">ꎬ </w:t>
      </w:r>
      <w:r>
        <w:rPr>
          <w:spacing w:val="1"/>
        </w:rPr>
        <w:t>加强矿</w:t>
      </w:r>
      <w:r>
        <w:rPr>
          <w:spacing w:val="3"/>
        </w:rPr>
        <w:t>山安全管理工作</w:t>
      </w:r>
      <w:r>
        <w:rPr>
          <w:rFonts w:hint="eastAsia" w:ascii="MS UI Gothic" w:eastAsia="MS UI Gothic"/>
          <w:spacing w:val="1"/>
          <w:w w:val="80"/>
        </w:rPr>
        <w:t xml:space="preserve">ꎬ </w:t>
      </w:r>
      <w:r>
        <w:rPr>
          <w:spacing w:val="3"/>
        </w:rPr>
        <w:t>保证安全生产</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第四条 国务院劳动行政主管部门对</w:t>
      </w:r>
      <w:r>
        <w:rPr>
          <w:spacing w:val="3"/>
          <w:w w:val="105"/>
        </w:rPr>
        <w:t>全国矿山安全工作实施统一监督</w:t>
      </w:r>
      <w:r>
        <w:rPr>
          <w:rFonts w:hint="eastAsia" w:ascii="MS UI Gothic" w:eastAsia="MS UI Gothic"/>
          <w:w w:val="80"/>
        </w:rPr>
        <w:t>ꎮ</w:t>
      </w:r>
    </w:p>
    <w:p>
      <w:pPr>
        <w:pStyle w:val="6"/>
        <w:spacing w:line="295" w:lineRule="auto"/>
        <w:ind w:left="440" w:right="1"/>
        <w:rPr>
          <w:rFonts w:hint="eastAsia" w:ascii="MS UI Gothic" w:eastAsia="MS UI Gothic"/>
        </w:rPr>
      </w:pPr>
      <w:r>
        <w:t>县级以上地方各级人民政府劳动行政主管部门对本行政区域内的矿山安全工作</w:t>
      </w:r>
      <w:r>
        <w:rPr>
          <w:w w:val="105"/>
        </w:rPr>
        <w:t>实施统一监督</w:t>
      </w:r>
      <w:r>
        <w:rPr>
          <w:rFonts w:hint="eastAsia" w:ascii="MS UI Gothic" w:eastAsia="MS UI Gothic"/>
          <w:w w:val="80"/>
        </w:rPr>
        <w:t>ꎮ</w:t>
      </w:r>
    </w:p>
    <w:p>
      <w:pPr>
        <w:pStyle w:val="6"/>
        <w:spacing w:line="295" w:lineRule="auto"/>
        <w:ind w:left="440" w:right="1"/>
        <w:jc w:val="left"/>
        <w:rPr>
          <w:rFonts w:hint="eastAsia" w:ascii="MS UI Gothic" w:eastAsia="MS UI Gothic"/>
        </w:rPr>
      </w:pPr>
      <w:r>
        <w:t>县级以上人民政府管理矿山企业的主</w:t>
      </w:r>
      <w:r>
        <w:rPr>
          <w:w w:val="105"/>
        </w:rPr>
        <w:t>管部门对矿山安全工作进行管理</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第五条 国家鼓励矿山安全科学技术</w:t>
      </w:r>
      <w:r>
        <w:rPr>
          <w:spacing w:val="3"/>
        </w:rPr>
        <w:t>研究</w:t>
      </w:r>
      <w:r>
        <w:rPr>
          <w:rFonts w:hint="eastAsia" w:ascii="MS UI Gothic" w:eastAsia="MS UI Gothic"/>
          <w:spacing w:val="15"/>
          <w:w w:val="80"/>
        </w:rPr>
        <w:t xml:space="preserve">ꎬ </w:t>
      </w:r>
      <w:r>
        <w:rPr>
          <w:spacing w:val="3"/>
        </w:rPr>
        <w:t>推广先进技术</w:t>
      </w:r>
      <w:r>
        <w:rPr>
          <w:rFonts w:hint="eastAsia" w:ascii="MS UI Gothic" w:eastAsia="MS UI Gothic"/>
          <w:spacing w:val="15"/>
          <w:w w:val="80"/>
        </w:rPr>
        <w:t xml:space="preserve">ꎬ </w:t>
      </w:r>
      <w:r>
        <w:rPr>
          <w:spacing w:val="3"/>
        </w:rPr>
        <w:t>改进安全设施</w:t>
      </w:r>
      <w:r>
        <w:rPr>
          <w:rFonts w:hint="eastAsia" w:ascii="MS UI Gothic" w:eastAsia="MS UI Gothic"/>
          <w:spacing w:val="15"/>
          <w:w w:val="80"/>
        </w:rPr>
        <w:t xml:space="preserve">ꎬ </w:t>
      </w:r>
      <w:r>
        <w:t>提</w:t>
      </w:r>
      <w:r>
        <w:rPr>
          <w:spacing w:val="3"/>
        </w:rPr>
        <w:t>高矿山安全生产水平</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3"/>
        </w:rPr>
        <w:t>第六条 对坚持矿山安全生产</w:t>
      </w:r>
      <w:r>
        <w:rPr>
          <w:rFonts w:hint="eastAsia" w:ascii="MS UI Gothic" w:eastAsia="MS UI Gothic"/>
          <w:spacing w:val="8"/>
          <w:w w:val="80"/>
        </w:rPr>
        <w:t xml:space="preserve">ꎬ </w:t>
      </w:r>
      <w:r>
        <w:rPr>
          <w:spacing w:val="1"/>
        </w:rPr>
        <w:t>防止</w:t>
      </w:r>
      <w:r>
        <w:rPr>
          <w:spacing w:val="3"/>
        </w:rPr>
        <w:t>矿山事故</w:t>
      </w:r>
      <w:r>
        <w:rPr>
          <w:rFonts w:hint="eastAsia" w:ascii="MS UI Gothic" w:eastAsia="MS UI Gothic"/>
          <w:spacing w:val="23"/>
          <w:w w:val="80"/>
        </w:rPr>
        <w:t xml:space="preserve">ꎬ </w:t>
      </w:r>
      <w:r>
        <w:rPr>
          <w:spacing w:val="3"/>
        </w:rPr>
        <w:t>参加矿山抢险救护</w:t>
      </w:r>
      <w:r>
        <w:rPr>
          <w:rFonts w:hint="eastAsia" w:ascii="MS UI Gothic" w:eastAsia="MS UI Gothic"/>
          <w:spacing w:val="23"/>
          <w:w w:val="80"/>
        </w:rPr>
        <w:t xml:space="preserve">ꎬ </w:t>
      </w:r>
      <w:r>
        <w:rPr>
          <w:spacing w:val="2"/>
        </w:rPr>
        <w:t>进行矿山安全科学技术研究方面取得显著成绩的单</w:t>
      </w:r>
      <w:r>
        <w:rPr>
          <w:spacing w:val="3"/>
        </w:rPr>
        <w:t>位和个人</w:t>
      </w:r>
      <w:r>
        <w:rPr>
          <w:rFonts w:hint="eastAsia" w:ascii="MS UI Gothic" w:eastAsia="MS UI Gothic"/>
          <w:spacing w:val="2"/>
          <w:w w:val="80"/>
        </w:rPr>
        <w:t xml:space="preserve">ꎬ </w:t>
      </w:r>
      <w:r>
        <w:rPr>
          <w:spacing w:val="3"/>
        </w:rPr>
        <w:t>给予奖励</w:t>
      </w:r>
      <w:r>
        <w:rPr>
          <w:rFonts w:hint="eastAsia" w:ascii="MS UI Gothic" w:eastAsia="MS UI Gothic"/>
          <w:w w:val="80"/>
        </w:rPr>
        <w:t>ꎮ</w:t>
      </w:r>
    </w:p>
    <w:p>
      <w:pPr>
        <w:pStyle w:val="6"/>
        <w:spacing w:before="7"/>
        <w:ind w:left="0" w:firstLine="0"/>
        <w:jc w:val="left"/>
        <w:rPr>
          <w:rFonts w:ascii="MS UI Gothic"/>
        </w:rPr>
      </w:pPr>
      <w:r>
        <w:br w:type="column"/>
      </w:r>
    </w:p>
    <w:p>
      <w:pPr>
        <w:pStyle w:val="6"/>
        <w:tabs>
          <w:tab w:val="left" w:pos="1743"/>
        </w:tabs>
        <w:ind w:left="905" w:firstLine="0"/>
        <w:jc w:val="left"/>
      </w:pPr>
      <w:r>
        <w:rPr>
          <w:spacing w:val="3"/>
          <w:w w:val="105"/>
        </w:rPr>
        <w:t>第二</w:t>
      </w:r>
      <w:r>
        <w:rPr>
          <w:w w:val="105"/>
        </w:rPr>
        <w:t>章</w:t>
      </w:r>
      <w:r>
        <w:rPr>
          <w:w w:val="105"/>
        </w:rPr>
        <w:tab/>
      </w:r>
      <w:r>
        <w:rPr>
          <w:spacing w:val="3"/>
          <w:w w:val="105"/>
        </w:rPr>
        <w:t>矿山建设的安全保</w:t>
      </w:r>
      <w:r>
        <w:rPr>
          <w:w w:val="105"/>
        </w:rPr>
        <w:t>障</w:t>
      </w:r>
    </w:p>
    <w:p>
      <w:pPr>
        <w:pStyle w:val="6"/>
        <w:spacing w:before="215" w:line="290" w:lineRule="auto"/>
        <w:ind w:left="381" w:right="126"/>
        <w:rPr>
          <w:rFonts w:hint="eastAsia" w:ascii="MS UI Gothic" w:eastAsia="MS UI Gothic"/>
        </w:rPr>
      </w:pPr>
      <w:r>
        <w:rPr>
          <w:w w:val="105"/>
        </w:rPr>
        <w:t>第七条 矿山建设工程的安全设施必须和主体工程同时设计</w:t>
      </w:r>
      <w:r>
        <w:rPr>
          <w:rFonts w:hint="eastAsia" w:ascii="MS UI Gothic" w:eastAsia="MS UI Gothic"/>
          <w:w w:val="80"/>
        </w:rPr>
        <w:t xml:space="preserve">、 </w:t>
      </w:r>
      <w:r>
        <w:rPr>
          <w:w w:val="105"/>
        </w:rPr>
        <w:t>同时施工</w:t>
      </w:r>
      <w:r>
        <w:rPr>
          <w:rFonts w:hint="eastAsia" w:ascii="MS UI Gothic" w:eastAsia="MS UI Gothic"/>
          <w:w w:val="80"/>
        </w:rPr>
        <w:t xml:space="preserve">、 </w:t>
      </w:r>
      <w:r>
        <w:rPr>
          <w:w w:val="105"/>
        </w:rPr>
        <w:t>同时投入生产和使用</w:t>
      </w:r>
      <w:r>
        <w:rPr>
          <w:rFonts w:hint="eastAsia" w:ascii="MS UI Gothic" w:eastAsia="MS UI Gothic"/>
          <w:w w:val="80"/>
        </w:rPr>
        <w:t>ꎮ</w:t>
      </w:r>
    </w:p>
    <w:p>
      <w:pPr>
        <w:pStyle w:val="6"/>
        <w:spacing w:before="2" w:line="292" w:lineRule="auto"/>
        <w:ind w:left="381" w:right="124"/>
        <w:rPr>
          <w:rFonts w:hint="eastAsia" w:ascii="MS UI Gothic" w:eastAsia="MS UI Gothic"/>
        </w:rPr>
      </w:pPr>
      <w:r>
        <w:t>第八条 矿山建设工程的设计文件</w:t>
      </w:r>
      <w:r>
        <w:rPr>
          <w:rFonts w:hint="eastAsia" w:ascii="MS UI Gothic" w:eastAsia="MS UI Gothic"/>
          <w:w w:val="80"/>
        </w:rPr>
        <w:t>ꎬ</w:t>
      </w:r>
      <w:r>
        <w:t>必须符合矿山安全规程和行业技术规范</w:t>
      </w:r>
      <w:r>
        <w:rPr>
          <w:rFonts w:hint="eastAsia" w:ascii="MS UI Gothic" w:eastAsia="MS UI Gothic"/>
          <w:w w:val="80"/>
        </w:rPr>
        <w:t>ꎬ</w:t>
      </w:r>
      <w:r>
        <w:t>并按照国家规定经管理矿山企业的主管部门批准</w:t>
      </w:r>
      <w:r>
        <w:rPr>
          <w:rFonts w:hint="eastAsia" w:ascii="MS UI Gothic" w:eastAsia="MS UI Gothic"/>
          <w:w w:val="80"/>
        </w:rPr>
        <w:t xml:space="preserve">ꎻ </w:t>
      </w:r>
      <w:r>
        <w:t>不符合矿山安全规程和行业技术规范的</w:t>
      </w:r>
      <w:r>
        <w:rPr>
          <w:rFonts w:hint="eastAsia" w:ascii="MS UI Gothic" w:eastAsia="MS UI Gothic"/>
          <w:w w:val="80"/>
        </w:rPr>
        <w:t xml:space="preserve">ꎬ </w:t>
      </w:r>
      <w:r>
        <w:t>不得批准</w:t>
      </w:r>
      <w:r>
        <w:rPr>
          <w:rFonts w:hint="eastAsia" w:ascii="MS UI Gothic" w:eastAsia="MS UI Gothic"/>
          <w:w w:val="80"/>
        </w:rPr>
        <w:t>ꎮ</w:t>
      </w:r>
    </w:p>
    <w:p>
      <w:pPr>
        <w:pStyle w:val="6"/>
        <w:spacing w:line="292" w:lineRule="auto"/>
        <w:ind w:left="381" w:right="126"/>
        <w:jc w:val="left"/>
        <w:rPr>
          <w:rFonts w:hint="eastAsia" w:ascii="MS UI Gothic" w:eastAsia="MS UI Gothic"/>
        </w:rPr>
      </w:pPr>
      <w:r>
        <w:t>矿山建设工程安全设施的设计必须有</w:t>
      </w:r>
      <w:r>
        <w:rPr>
          <w:w w:val="105"/>
        </w:rPr>
        <w:t>劳动行政主管部门参加审查</w:t>
      </w:r>
      <w:r>
        <w:rPr>
          <w:rFonts w:hint="eastAsia" w:ascii="MS UI Gothic" w:eastAsia="MS UI Gothic"/>
          <w:w w:val="80"/>
        </w:rPr>
        <w:t>ꎮ</w:t>
      </w:r>
    </w:p>
    <w:p>
      <w:pPr>
        <w:pStyle w:val="6"/>
        <w:spacing w:line="290" w:lineRule="auto"/>
        <w:ind w:left="381" w:right="126"/>
        <w:rPr>
          <w:rFonts w:hint="eastAsia" w:ascii="MS UI Gothic" w:eastAsia="MS UI Gothic"/>
        </w:rPr>
      </w:pPr>
      <w:r>
        <w:t>矿山安全规程和行业技术规范</w:t>
      </w:r>
      <w:r>
        <w:rPr>
          <w:rFonts w:hint="eastAsia" w:ascii="MS UI Gothic" w:eastAsia="MS UI Gothic"/>
          <w:w w:val="80"/>
        </w:rPr>
        <w:t xml:space="preserve">ꎬ </w:t>
      </w:r>
      <w:r>
        <w:t>由国务院管理矿山企业的主管部门制定</w:t>
      </w:r>
      <w:r>
        <w:rPr>
          <w:rFonts w:hint="eastAsia" w:ascii="MS UI Gothic" w:eastAsia="MS UI Gothic"/>
          <w:w w:val="80"/>
        </w:rPr>
        <w:t>ꎮ</w:t>
      </w:r>
    </w:p>
    <w:p>
      <w:pPr>
        <w:pStyle w:val="6"/>
        <w:tabs>
          <w:tab w:val="left" w:pos="1638"/>
        </w:tabs>
        <w:spacing w:line="290" w:lineRule="auto"/>
        <w:ind w:left="381" w:right="126"/>
        <w:jc w:val="left"/>
        <w:rPr>
          <w:rFonts w:hint="eastAsia" w:ascii="MS UI Gothic" w:eastAsia="MS UI Gothic"/>
        </w:rPr>
      </w:pPr>
      <w:r>
        <w:rPr>
          <w:spacing w:val="3"/>
          <w:w w:val="110"/>
        </w:rPr>
        <w:t>第九</w:t>
      </w:r>
      <w:r>
        <w:rPr>
          <w:w w:val="110"/>
        </w:rPr>
        <w:t>条</w:t>
      </w:r>
      <w:r>
        <w:rPr>
          <w:w w:val="110"/>
        </w:rPr>
        <w:tab/>
      </w:r>
      <w:r>
        <w:rPr>
          <w:spacing w:val="3"/>
        </w:rPr>
        <w:t>矿山设计下列项目必须符</w:t>
      </w:r>
      <w:r>
        <w:t>合</w:t>
      </w:r>
      <w:r>
        <w:rPr>
          <w:spacing w:val="3"/>
          <w:w w:val="110"/>
        </w:rPr>
        <w:t>矿山安全规程和行业技术规范</w:t>
      </w:r>
      <w:r>
        <w:rPr>
          <w:rFonts w:hint="eastAsia" w:ascii="MS UI Gothic" w:eastAsia="MS UI Gothic"/>
          <w:w w:val="235"/>
        </w:rPr>
        <w:t>:</w:t>
      </w:r>
    </w:p>
    <w:p>
      <w:pPr>
        <w:pStyle w:val="6"/>
        <w:spacing w:line="292" w:lineRule="auto"/>
        <w:ind w:left="381" w:right="126"/>
        <w:jc w:val="left"/>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9"/>
          <w:w w:val="150"/>
        </w:rPr>
        <w:t xml:space="preserve">) </w:t>
      </w:r>
      <w:r>
        <w:rPr>
          <w:spacing w:val="5"/>
          <w:w w:val="105"/>
        </w:rPr>
        <w:t>矿井的通风系统和供风量</w:t>
      </w:r>
      <w:r>
        <w:rPr>
          <w:rFonts w:hint="eastAsia" w:ascii="MS UI Gothic" w:eastAsia="MS UI Gothic"/>
          <w:w w:val="80"/>
        </w:rPr>
        <w:t xml:space="preserve">、  </w:t>
      </w:r>
      <w:r>
        <w:rPr>
          <w:w w:val="105"/>
        </w:rPr>
        <w:t>风</w:t>
      </w:r>
      <w:r>
        <w:rPr>
          <w:spacing w:val="3"/>
          <w:w w:val="105"/>
        </w:rPr>
        <w:t>质</w:t>
      </w:r>
      <w:r>
        <w:rPr>
          <w:rFonts w:hint="eastAsia" w:ascii="MS UI Gothic" w:eastAsia="MS UI Gothic"/>
          <w:spacing w:val="2"/>
          <w:w w:val="80"/>
        </w:rPr>
        <w:t xml:space="preserve">、 </w:t>
      </w:r>
      <w:r>
        <w:rPr>
          <w:spacing w:val="3"/>
          <w:w w:val="105"/>
        </w:rPr>
        <w:t>风速</w:t>
      </w:r>
      <w:r>
        <w:rPr>
          <w:rFonts w:hint="eastAsia" w:ascii="MS UI Gothic" w:eastAsia="MS UI Gothic"/>
          <w:w w:val="80"/>
        </w:rPr>
        <w:t>ꎻ</w:t>
      </w:r>
    </w:p>
    <w:p>
      <w:pPr>
        <w:pStyle w:val="6"/>
        <w:spacing w:line="292" w:lineRule="auto"/>
        <w:ind w:left="381" w:right="126"/>
        <w:jc w:val="left"/>
        <w:rPr>
          <w:rFonts w:hint="eastAsia" w:ascii="MS UI Gothic" w:eastAsia="MS UI Gothic"/>
        </w:rPr>
      </w:pPr>
      <w:r>
        <w:rPr>
          <w:rFonts w:hint="eastAsia" w:ascii="MS UI Gothic" w:eastAsia="MS UI Gothic"/>
          <w:spacing w:val="-38"/>
          <w:w w:val="150"/>
        </w:rPr>
        <w:t xml:space="preserve">( </w:t>
      </w:r>
      <w:r>
        <w:rPr>
          <w:spacing w:val="5"/>
          <w:w w:val="105"/>
        </w:rPr>
        <w:t>二</w:t>
      </w:r>
      <w:r>
        <w:rPr>
          <w:rFonts w:hint="eastAsia" w:ascii="MS UI Gothic" w:eastAsia="MS UI Gothic"/>
          <w:spacing w:val="12"/>
          <w:w w:val="150"/>
        </w:rPr>
        <w:t xml:space="preserve">) </w:t>
      </w:r>
      <w:r>
        <w:rPr>
          <w:spacing w:val="23"/>
          <w:w w:val="105"/>
        </w:rPr>
        <w:t>露天矿的边坡角和台阶的宽</w:t>
      </w:r>
      <w:r>
        <w:rPr>
          <w:spacing w:val="3"/>
          <w:w w:val="105"/>
        </w:rPr>
        <w:t>度</w:t>
      </w:r>
      <w:r>
        <w:rPr>
          <w:rFonts w:hint="eastAsia" w:ascii="MS UI Gothic" w:eastAsia="MS UI Gothic"/>
          <w:spacing w:val="2"/>
          <w:w w:val="80"/>
        </w:rPr>
        <w:t xml:space="preserve">、 </w:t>
      </w:r>
      <w:r>
        <w:rPr>
          <w:spacing w:val="3"/>
          <w:w w:val="105"/>
        </w:rPr>
        <w:t>高度</w:t>
      </w:r>
      <w:r>
        <w:rPr>
          <w:rFonts w:hint="eastAsia" w:ascii="MS UI Gothic" w:eastAsia="MS UI Gothic"/>
          <w:w w:val="80"/>
        </w:rPr>
        <w:t>ꎻ</w:t>
      </w:r>
    </w:p>
    <w:p>
      <w:pPr>
        <w:pStyle w:val="6"/>
        <w:spacing w:line="254" w:lineRule="exact"/>
        <w:ind w:left="800" w:firstLine="0"/>
        <w:jc w:val="left"/>
        <w:rPr>
          <w:rFonts w:hint="eastAsia" w:ascii="MS UI Gothic" w:eastAsia="MS UI Gothic"/>
        </w:rPr>
      </w:pPr>
      <w:r>
        <w:rPr>
          <w:rFonts w:hint="eastAsia" w:ascii="MS UI Gothic" w:eastAsia="MS UI Gothic"/>
          <w:w w:val="150"/>
        </w:rPr>
        <w:t xml:space="preserve">( </w:t>
      </w:r>
      <w:r>
        <w:rPr>
          <w:w w:val="115"/>
        </w:rPr>
        <w:t>三</w:t>
      </w:r>
      <w:r>
        <w:rPr>
          <w:rFonts w:hint="eastAsia" w:ascii="MS UI Gothic" w:eastAsia="MS UI Gothic"/>
          <w:w w:val="150"/>
        </w:rPr>
        <w:t xml:space="preserve">) </w:t>
      </w:r>
      <w:r>
        <w:rPr>
          <w:w w:val="115"/>
        </w:rPr>
        <w:t>供电系统</w:t>
      </w:r>
      <w:r>
        <w:rPr>
          <w:rFonts w:hint="eastAsia" w:ascii="MS UI Gothic" w:eastAsia="MS UI Gothic"/>
          <w:w w:val="80"/>
        </w:rPr>
        <w:t>ꎻ</w:t>
      </w:r>
    </w:p>
    <w:p>
      <w:pPr>
        <w:pStyle w:val="6"/>
        <w:spacing w:before="54"/>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提升</w:t>
      </w:r>
      <w:r>
        <w:rPr>
          <w:rFonts w:hint="eastAsia" w:ascii="MS UI Gothic" w:eastAsia="MS UI Gothic"/>
          <w:w w:val="80"/>
        </w:rPr>
        <w:t xml:space="preserve">、 </w:t>
      </w:r>
      <w:r>
        <w:rPr>
          <w:w w:val="110"/>
        </w:rPr>
        <w:t>运输系统</w:t>
      </w:r>
      <w:r>
        <w:rPr>
          <w:rFonts w:hint="eastAsia" w:ascii="MS UI Gothic" w:eastAsia="MS UI Gothic"/>
          <w:w w:val="80"/>
        </w:rPr>
        <w:t>ꎻ</w:t>
      </w:r>
    </w:p>
    <w:p>
      <w:pPr>
        <w:pStyle w:val="6"/>
        <w:spacing w:before="55" w:line="292" w:lineRule="auto"/>
        <w:ind w:left="381" w:right="126"/>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防水</w:t>
      </w:r>
      <w:r>
        <w:rPr>
          <w:rFonts w:hint="eastAsia" w:ascii="MS UI Gothic" w:eastAsia="MS UI Gothic"/>
          <w:w w:val="80"/>
        </w:rPr>
        <w:t xml:space="preserve">、 </w:t>
      </w:r>
      <w:r>
        <w:rPr>
          <w:w w:val="105"/>
        </w:rPr>
        <w:t>排水系统和防火</w:t>
      </w:r>
      <w:r>
        <w:rPr>
          <w:rFonts w:hint="eastAsia" w:ascii="MS UI Gothic" w:eastAsia="MS UI Gothic"/>
          <w:w w:val="80"/>
        </w:rPr>
        <w:t xml:space="preserve">、 </w:t>
      </w:r>
      <w:r>
        <w:rPr>
          <w:w w:val="105"/>
        </w:rPr>
        <w:t>灭火系统</w:t>
      </w:r>
      <w:r>
        <w:rPr>
          <w:rFonts w:hint="eastAsia" w:ascii="MS UI Gothic" w:eastAsia="MS UI Gothic"/>
          <w:w w:val="80"/>
        </w:rPr>
        <w:t>ꎻ</w:t>
      </w:r>
    </w:p>
    <w:p>
      <w:pPr>
        <w:pStyle w:val="6"/>
        <w:spacing w:line="256" w:lineRule="exact"/>
        <w:ind w:left="800"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防瓦斯系统和防尘系统</w:t>
      </w:r>
      <w:r>
        <w:rPr>
          <w:rFonts w:hint="eastAsia" w:ascii="MS UI Gothic" w:eastAsia="MS UI Gothic"/>
          <w:w w:val="80"/>
        </w:rPr>
        <w:t>ꎻ</w:t>
      </w:r>
    </w:p>
    <w:p>
      <w:pPr>
        <w:pStyle w:val="6"/>
        <w:spacing w:before="54"/>
        <w:ind w:left="800" w:firstLine="0"/>
        <w:jc w:val="left"/>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有关矿山安全的其他项目</w:t>
      </w:r>
      <w:r>
        <w:rPr>
          <w:rFonts w:hint="eastAsia" w:ascii="MS UI Gothic" w:eastAsia="MS UI Gothic"/>
          <w:w w:val="80"/>
        </w:rPr>
        <w:t>ꎮ</w:t>
      </w:r>
    </w:p>
    <w:p>
      <w:pPr>
        <w:pStyle w:val="6"/>
        <w:tabs>
          <w:tab w:val="left" w:pos="1638"/>
        </w:tabs>
        <w:spacing w:before="56"/>
        <w:ind w:left="800" w:firstLine="0"/>
        <w:jc w:val="left"/>
      </w:pPr>
      <w:r>
        <w:rPr>
          <w:spacing w:val="3"/>
          <w:w w:val="105"/>
        </w:rPr>
        <w:t>第十</w:t>
      </w:r>
      <w:r>
        <w:rPr>
          <w:w w:val="105"/>
        </w:rPr>
        <w:t>条</w:t>
      </w:r>
      <w:r>
        <w:rPr>
          <w:w w:val="105"/>
        </w:rPr>
        <w:tab/>
      </w:r>
      <w:r>
        <w:rPr>
          <w:spacing w:val="3"/>
          <w:w w:val="105"/>
        </w:rPr>
        <w:t>每个矿井必须有两个以上</w:t>
      </w:r>
      <w:r>
        <w:rPr>
          <w:w w:val="105"/>
        </w:rPr>
        <w:t>能</w:t>
      </w:r>
    </w:p>
    <w:p>
      <w:pPr>
        <w:spacing w:after="0"/>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３８６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58" o:spid="_x0000_s2158" o:spt="203" style="height:2.15pt;width:398.25pt;" coordsize="7965,43">
            <o:lock v:ext="edit"/>
            <v:line id="_x0000_s2159" o:spid="_x0000_s2159" o:spt="20" style="position:absolute;left:0;top:39;height:0;width:7965;" stroked="t" coordsize="21600,21600">
              <v:path arrowok="t"/>
              <v:fill focussize="0,0"/>
              <v:stroke weight="0.388031496062992pt" color="#231F20"/>
              <v:imagedata o:title=""/>
              <o:lock v:ext="edit"/>
            </v:line>
            <v:line id="_x0000_s2160" o:spid="_x0000_s216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行人的安全出口</w:t>
      </w:r>
      <w:r>
        <w:rPr>
          <w:rFonts w:hint="eastAsia" w:ascii="MS UI Gothic" w:eastAsia="MS UI Gothic"/>
          <w:w w:val="80"/>
        </w:rPr>
        <w:t xml:space="preserve">ꎬ </w:t>
      </w:r>
      <w:r>
        <w:t>出口之间的直线水平距离必须符合矿山安全规程和行业技术规范</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第十一条 矿山必须有与外界相通的</w:t>
      </w:r>
      <w:r>
        <w:rPr>
          <w:rFonts w:hint="eastAsia" w:ascii="MS UI Gothic" w:eastAsia="MS UI Gothic"/>
          <w:w w:val="80"/>
        </w:rPr>
        <w:t xml:space="preserve">、 </w:t>
      </w:r>
      <w:r>
        <w:rPr>
          <w:w w:val="105"/>
        </w:rPr>
        <w:t>符合安全要求的运输和通讯设施</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第十二条 矿山建设工程必须按照管</w:t>
      </w:r>
      <w:r>
        <w:rPr>
          <w:spacing w:val="11"/>
        </w:rPr>
        <w:t>理矿山企业的主管部门批准的设计文件</w:t>
      </w:r>
      <w:r>
        <w:rPr>
          <w:spacing w:val="3"/>
          <w:w w:val="105"/>
        </w:rPr>
        <w:t>施工</w:t>
      </w:r>
      <w:r>
        <w:rPr>
          <w:rFonts w:hint="eastAsia" w:ascii="MS UI Gothic" w:eastAsia="MS UI Gothic"/>
          <w:w w:val="80"/>
        </w:rPr>
        <w:t>ꎮ</w:t>
      </w:r>
    </w:p>
    <w:p>
      <w:pPr>
        <w:pStyle w:val="6"/>
        <w:spacing w:line="295" w:lineRule="auto"/>
        <w:ind w:right="38"/>
        <w:rPr>
          <w:rFonts w:hint="eastAsia" w:ascii="MS UI Gothic" w:eastAsia="MS UI Gothic"/>
        </w:rPr>
      </w:pPr>
      <w:r>
        <w:rPr>
          <w:spacing w:val="3"/>
        </w:rPr>
        <w:t>矿山建设工程安全设施竣工后</w:t>
      </w:r>
      <w:r>
        <w:rPr>
          <w:rFonts w:hint="eastAsia" w:ascii="MS UI Gothic" w:eastAsia="MS UI Gothic"/>
          <w:spacing w:val="16"/>
          <w:w w:val="80"/>
        </w:rPr>
        <w:t xml:space="preserve">ꎬ </w:t>
      </w:r>
      <w:r>
        <w:rPr>
          <w:spacing w:val="1"/>
        </w:rPr>
        <w:t>由管</w:t>
      </w:r>
      <w:r>
        <w:rPr>
          <w:spacing w:val="3"/>
        </w:rPr>
        <w:t>理矿山企业的主管部门验收</w:t>
      </w:r>
      <w:r>
        <w:rPr>
          <w:rFonts w:hint="eastAsia" w:ascii="MS UI Gothic" w:eastAsia="MS UI Gothic"/>
          <w:spacing w:val="21"/>
          <w:w w:val="80"/>
        </w:rPr>
        <w:t xml:space="preserve">ꎬ </w:t>
      </w:r>
      <w:r>
        <w:rPr>
          <w:spacing w:val="2"/>
        </w:rPr>
        <w:t>并须有劳动</w:t>
      </w:r>
      <w:r>
        <w:rPr>
          <w:spacing w:val="3"/>
        </w:rPr>
        <w:t>行政主管部门参加</w:t>
      </w:r>
      <w:r>
        <w:rPr>
          <w:rFonts w:hint="eastAsia" w:ascii="MS UI Gothic" w:eastAsia="MS UI Gothic"/>
          <w:spacing w:val="21"/>
          <w:w w:val="80"/>
        </w:rPr>
        <w:t xml:space="preserve">ꎻ </w:t>
      </w:r>
      <w:r>
        <w:rPr>
          <w:spacing w:val="2"/>
        </w:rPr>
        <w:t>不符合矿山安全规程</w:t>
      </w:r>
      <w:r>
        <w:rPr>
          <w:spacing w:val="3"/>
        </w:rPr>
        <w:t>和行业技术规范的</w:t>
      </w:r>
      <w:r>
        <w:rPr>
          <w:rFonts w:hint="eastAsia" w:ascii="MS UI Gothic" w:eastAsia="MS UI Gothic"/>
          <w:spacing w:val="23"/>
          <w:w w:val="80"/>
        </w:rPr>
        <w:t xml:space="preserve">ꎬ </w:t>
      </w:r>
      <w:r>
        <w:rPr>
          <w:spacing w:val="3"/>
        </w:rPr>
        <w:t>不得验收</w:t>
      </w:r>
      <w:r>
        <w:rPr>
          <w:rFonts w:hint="eastAsia" w:ascii="MS UI Gothic" w:eastAsia="MS UI Gothic"/>
          <w:spacing w:val="23"/>
          <w:w w:val="80"/>
        </w:rPr>
        <w:t xml:space="preserve">ꎬ </w:t>
      </w:r>
      <w:r>
        <w:rPr>
          <w:spacing w:val="2"/>
        </w:rPr>
        <w:t>不得投入</w:t>
      </w:r>
      <w:r>
        <w:rPr>
          <w:spacing w:val="3"/>
        </w:rPr>
        <w:t>生产</w:t>
      </w:r>
      <w:r>
        <w:rPr>
          <w:rFonts w:hint="eastAsia" w:ascii="MS UI Gothic" w:eastAsia="MS UI Gothic"/>
          <w:w w:val="80"/>
        </w:rPr>
        <w:t>ꎮ</w:t>
      </w:r>
    </w:p>
    <w:p>
      <w:pPr>
        <w:pStyle w:val="6"/>
        <w:tabs>
          <w:tab w:val="left" w:pos="1487"/>
        </w:tabs>
        <w:spacing w:before="147"/>
        <w:ind w:left="648" w:firstLine="0"/>
        <w:jc w:val="left"/>
      </w:pPr>
      <w:r>
        <w:rPr>
          <w:spacing w:val="3"/>
          <w:w w:val="105"/>
        </w:rPr>
        <w:t>第三</w:t>
      </w:r>
      <w:r>
        <w:rPr>
          <w:w w:val="105"/>
        </w:rPr>
        <w:t>章</w:t>
      </w:r>
      <w:r>
        <w:rPr>
          <w:w w:val="105"/>
        </w:rPr>
        <w:tab/>
      </w:r>
      <w:r>
        <w:rPr>
          <w:spacing w:val="3"/>
          <w:w w:val="105"/>
        </w:rPr>
        <w:t>矿山开采的安全保</w:t>
      </w:r>
      <w:r>
        <w:rPr>
          <w:w w:val="105"/>
        </w:rPr>
        <w:t>障</w:t>
      </w:r>
    </w:p>
    <w:p>
      <w:pPr>
        <w:pStyle w:val="6"/>
        <w:spacing w:before="215" w:line="295" w:lineRule="auto"/>
        <w:ind w:right="38"/>
        <w:rPr>
          <w:rFonts w:hint="eastAsia" w:ascii="MS UI Gothic" w:eastAsia="MS UI Gothic"/>
        </w:rPr>
      </w:pPr>
      <w:r>
        <w:rPr>
          <w:w w:val="105"/>
        </w:rPr>
        <w:t>第十三条 矿山开采必须具备保障安</w:t>
      </w:r>
      <w:r>
        <w:t>全生产的条件</w:t>
      </w:r>
      <w:r>
        <w:rPr>
          <w:rFonts w:hint="eastAsia" w:ascii="MS UI Gothic" w:eastAsia="MS UI Gothic"/>
          <w:w w:val="80"/>
        </w:rPr>
        <w:t xml:space="preserve">ꎬ </w:t>
      </w:r>
      <w:r>
        <w:t>执行开采不同矿种的矿山</w:t>
      </w:r>
      <w:r>
        <w:rPr>
          <w:w w:val="105"/>
        </w:rPr>
        <w:t>安全规程和行业技术规范</w:t>
      </w:r>
      <w:r>
        <w:rPr>
          <w:rFonts w:hint="eastAsia" w:ascii="MS UI Gothic" w:eastAsia="MS UI Gothic"/>
          <w:w w:val="80"/>
        </w:rPr>
        <w:t>ꎮ</w:t>
      </w:r>
    </w:p>
    <w:p>
      <w:pPr>
        <w:pStyle w:val="6"/>
        <w:spacing w:line="295" w:lineRule="auto"/>
        <w:ind w:right="38"/>
        <w:rPr>
          <w:rFonts w:hint="eastAsia" w:ascii="MS UI Gothic" w:eastAsia="MS UI Gothic"/>
        </w:rPr>
      </w:pPr>
      <w:r>
        <w:t>第十四条  矿山设计规定保留的矿柱</w:t>
      </w:r>
      <w:r>
        <w:rPr>
          <w:rFonts w:hint="eastAsia" w:ascii="MS UI Gothic" w:eastAsia="MS UI Gothic"/>
        </w:rPr>
        <w:t xml:space="preserve">、 </w:t>
      </w:r>
      <w:r>
        <w:t>岩柱</w:t>
      </w:r>
      <w:r>
        <w:rPr>
          <w:rFonts w:hint="eastAsia" w:ascii="MS UI Gothic" w:eastAsia="MS UI Gothic"/>
          <w:w w:val="80"/>
        </w:rPr>
        <w:t xml:space="preserve">ꎬ </w:t>
      </w:r>
      <w:r>
        <w:t>在规定的期限内</w:t>
      </w:r>
      <w:r>
        <w:rPr>
          <w:rFonts w:hint="eastAsia" w:ascii="MS UI Gothic" w:eastAsia="MS UI Gothic"/>
          <w:w w:val="80"/>
        </w:rPr>
        <w:t xml:space="preserve">ꎬ </w:t>
      </w:r>
      <w:r>
        <w:t>应当予以保护</w:t>
      </w:r>
      <w:r>
        <w:rPr>
          <w:rFonts w:hint="eastAsia" w:ascii="MS UI Gothic" w:eastAsia="MS UI Gothic"/>
          <w:w w:val="80"/>
        </w:rPr>
        <w:t xml:space="preserve">ꎬ </w:t>
      </w:r>
      <w:r>
        <w:t>不得开采或者毁坏</w:t>
      </w:r>
      <w:r>
        <w:rPr>
          <w:rFonts w:hint="eastAsia" w:ascii="MS UI Gothic" w:eastAsia="MS UI Gothic"/>
          <w:w w:val="80"/>
        </w:rPr>
        <w:t>ꎮ</w:t>
      </w:r>
    </w:p>
    <w:p>
      <w:pPr>
        <w:pStyle w:val="6"/>
        <w:spacing w:line="295" w:lineRule="auto"/>
        <w:ind w:right="38"/>
        <w:rPr>
          <w:rFonts w:hint="eastAsia" w:ascii="MS UI Gothic" w:eastAsia="MS UI Gothic"/>
        </w:rPr>
      </w:pPr>
      <w:r>
        <w:t>第十五条 矿山使用的有特殊安全要求的设备</w:t>
      </w:r>
      <w:r>
        <w:rPr>
          <w:rFonts w:hint="eastAsia" w:ascii="MS UI Gothic" w:eastAsia="MS UI Gothic"/>
          <w:w w:val="80"/>
        </w:rPr>
        <w:t xml:space="preserve">、 </w:t>
      </w:r>
      <w:r>
        <w:t>器材</w:t>
      </w:r>
      <w:r>
        <w:rPr>
          <w:rFonts w:hint="eastAsia" w:ascii="MS UI Gothic" w:eastAsia="MS UI Gothic"/>
          <w:w w:val="80"/>
        </w:rPr>
        <w:t xml:space="preserve">、 </w:t>
      </w:r>
      <w:r>
        <w:t>防护用品和安全检测仪器</w:t>
      </w:r>
      <w:r>
        <w:rPr>
          <w:rFonts w:hint="eastAsia" w:ascii="MS UI Gothic" w:eastAsia="MS UI Gothic"/>
          <w:w w:val="80"/>
        </w:rPr>
        <w:t xml:space="preserve">ꎬ </w:t>
      </w:r>
      <w:r>
        <w:t>必须符合国家安全标准或者行业安全标准</w:t>
      </w:r>
      <w:r>
        <w:rPr>
          <w:rFonts w:hint="eastAsia" w:ascii="MS UI Gothic" w:eastAsia="MS UI Gothic"/>
          <w:w w:val="80"/>
        </w:rPr>
        <w:t xml:space="preserve">ꎻ </w:t>
      </w:r>
      <w:r>
        <w:t>不符合国家安全标准或者行业安全标准的</w:t>
      </w:r>
      <w:r>
        <w:rPr>
          <w:rFonts w:hint="eastAsia" w:ascii="MS UI Gothic" w:eastAsia="MS UI Gothic"/>
          <w:w w:val="80"/>
        </w:rPr>
        <w:t xml:space="preserve">ꎬ </w:t>
      </w:r>
      <w:r>
        <w:t>不得使用</w:t>
      </w:r>
      <w:r>
        <w:rPr>
          <w:rFonts w:hint="eastAsia" w:ascii="MS UI Gothic" w:eastAsia="MS UI Gothic"/>
          <w:w w:val="80"/>
        </w:rPr>
        <w:t>ꎮ</w:t>
      </w:r>
    </w:p>
    <w:p>
      <w:pPr>
        <w:pStyle w:val="6"/>
        <w:spacing w:line="295" w:lineRule="auto"/>
        <w:ind w:right="38"/>
        <w:rPr>
          <w:rFonts w:hint="eastAsia" w:ascii="MS UI Gothic" w:eastAsia="MS UI Gothic"/>
        </w:rPr>
      </w:pPr>
      <w:r>
        <w:rPr>
          <w:spacing w:val="4"/>
        </w:rPr>
        <w:t>第十六条 矿山企业必须对机电设备</w:t>
      </w:r>
      <w:r>
        <w:rPr>
          <w:spacing w:val="10"/>
        </w:rPr>
        <w:t>及其防护装置</w:t>
      </w:r>
      <w:r>
        <w:rPr>
          <w:rFonts w:hint="eastAsia" w:ascii="MS UI Gothic" w:eastAsia="MS UI Gothic"/>
          <w:spacing w:val="16"/>
          <w:w w:val="80"/>
        </w:rPr>
        <w:t xml:space="preserve">、 </w:t>
      </w:r>
      <w:r>
        <w:rPr>
          <w:spacing w:val="19"/>
        </w:rPr>
        <w:t>安全检测仪器</w:t>
      </w:r>
      <w:r>
        <w:rPr>
          <w:rFonts w:hint="eastAsia" w:ascii="MS UI Gothic" w:eastAsia="MS UI Gothic"/>
          <w:spacing w:val="16"/>
          <w:w w:val="80"/>
        </w:rPr>
        <w:t xml:space="preserve">ꎬ </w:t>
      </w:r>
      <w:r>
        <w:rPr>
          <w:spacing w:val="15"/>
        </w:rPr>
        <w:t>定期检</w:t>
      </w:r>
      <w:r>
        <w:rPr>
          <w:spacing w:val="3"/>
        </w:rPr>
        <w:t>查</w:t>
      </w:r>
      <w:r>
        <w:rPr>
          <w:rFonts w:hint="eastAsia" w:ascii="MS UI Gothic" w:eastAsia="MS UI Gothic"/>
          <w:spacing w:val="1"/>
          <w:w w:val="80"/>
        </w:rPr>
        <w:t xml:space="preserve">、 </w:t>
      </w:r>
      <w:r>
        <w:rPr>
          <w:spacing w:val="3"/>
        </w:rPr>
        <w:t>维修</w:t>
      </w:r>
      <w:r>
        <w:rPr>
          <w:rFonts w:hint="eastAsia" w:ascii="MS UI Gothic" w:eastAsia="MS UI Gothic"/>
          <w:spacing w:val="2"/>
          <w:w w:val="80"/>
        </w:rPr>
        <w:t xml:space="preserve">ꎬ </w:t>
      </w:r>
      <w:r>
        <w:rPr>
          <w:spacing w:val="3"/>
        </w:rPr>
        <w:t>保证使用安全</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第十七条 矿山企业必须对作业场所</w:t>
      </w:r>
      <w:r>
        <w:rPr>
          <w:spacing w:val="2"/>
        </w:rPr>
        <w:t>中的有毒有害物质和井下空气含氧量进行</w:t>
      </w:r>
      <w:r>
        <w:rPr>
          <w:spacing w:val="3"/>
          <w:w w:val="105"/>
        </w:rPr>
        <w:t>检测</w:t>
      </w:r>
      <w:r>
        <w:rPr>
          <w:rFonts w:hint="eastAsia" w:ascii="MS UI Gothic" w:eastAsia="MS UI Gothic"/>
          <w:spacing w:val="22"/>
          <w:w w:val="80"/>
        </w:rPr>
        <w:t xml:space="preserve">ꎬ </w:t>
      </w:r>
      <w:r>
        <w:rPr>
          <w:spacing w:val="3"/>
          <w:w w:val="105"/>
        </w:rPr>
        <w:t>保证符合安全要求</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第十八条 矿山企业必须对下列危害</w:t>
      </w:r>
      <w:r>
        <w:rPr>
          <w:w w:val="110"/>
        </w:rPr>
        <w:t>安全的事故隐患采取预防措施</w:t>
      </w:r>
      <w:r>
        <w:rPr>
          <w:rFonts w:hint="eastAsia" w:ascii="MS UI Gothic" w:eastAsia="MS UI Gothic"/>
          <w:w w:val="235"/>
        </w:rPr>
        <w:t>:</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冒顶</w:t>
      </w:r>
      <w:r>
        <w:rPr>
          <w:rFonts w:hint="eastAsia" w:ascii="MS UI Gothic" w:eastAsia="MS UI Gothic"/>
          <w:w w:val="80"/>
        </w:rPr>
        <w:t xml:space="preserve">、 </w:t>
      </w:r>
      <w:r>
        <w:rPr>
          <w:w w:val="105"/>
        </w:rPr>
        <w:t>片帮</w:t>
      </w:r>
      <w:r>
        <w:rPr>
          <w:rFonts w:hint="eastAsia" w:ascii="MS UI Gothic" w:eastAsia="MS UI Gothic"/>
          <w:w w:val="80"/>
        </w:rPr>
        <w:t xml:space="preserve">、 </w:t>
      </w:r>
      <w:r>
        <w:rPr>
          <w:w w:val="105"/>
        </w:rPr>
        <w:t>边坡滑落和地表塌陷</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瓦斯爆炸</w:t>
      </w:r>
      <w:r>
        <w:rPr>
          <w:rFonts w:hint="eastAsia" w:ascii="MS UI Gothic" w:eastAsia="MS UI Gothic"/>
          <w:w w:val="80"/>
        </w:rPr>
        <w:t xml:space="preserve">、 </w:t>
      </w:r>
      <w:r>
        <w:rPr>
          <w:w w:val="110"/>
        </w:rPr>
        <w:t>煤尘爆炸</w:t>
      </w:r>
      <w:r>
        <w:rPr>
          <w:rFonts w:hint="eastAsia" w:ascii="MS UI Gothic" w:eastAsia="MS UI Gothic"/>
          <w:w w:val="80"/>
        </w:rPr>
        <w:t>ꎻ</w:t>
      </w:r>
    </w:p>
    <w:p>
      <w:pPr>
        <w:pStyle w:val="6"/>
        <w:spacing w:before="43" w:line="295" w:lineRule="auto"/>
        <w:ind w:left="543" w:right="206" w:firstLine="0"/>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冲击地压</w:t>
      </w:r>
      <w:r>
        <w:rPr>
          <w:rFonts w:hint="eastAsia" w:ascii="MS UI Gothic" w:eastAsia="MS UI Gothic"/>
          <w:w w:val="80"/>
        </w:rPr>
        <w:t xml:space="preserve">、 </w:t>
      </w:r>
      <w:r>
        <w:rPr>
          <w:w w:val="105"/>
        </w:rPr>
        <w:t>瓦斯突出</w:t>
      </w:r>
      <w:r>
        <w:rPr>
          <w:rFonts w:hint="eastAsia" w:ascii="MS UI Gothic" w:eastAsia="MS UI Gothic"/>
          <w:w w:val="80"/>
        </w:rPr>
        <w:t xml:space="preserve">、 </w:t>
      </w:r>
      <w:r>
        <w:rPr>
          <w:w w:val="105"/>
        </w:rPr>
        <w:t>井喷</w:t>
      </w:r>
      <w:r>
        <w:rPr>
          <w:rFonts w:hint="eastAsia" w:ascii="MS UI Gothic" w:eastAsia="MS UI Gothic"/>
          <w:w w:val="80"/>
        </w:rPr>
        <w:t>ꎻ</w:t>
      </w: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地面和井下的火灾</w:t>
      </w:r>
      <w:r>
        <w:rPr>
          <w:rFonts w:hint="eastAsia" w:ascii="MS UI Gothic" w:eastAsia="MS UI Gothic"/>
          <w:w w:val="80"/>
        </w:rPr>
        <w:t xml:space="preserve">、 </w:t>
      </w:r>
      <w:r>
        <w:rPr>
          <w:w w:val="105"/>
        </w:rPr>
        <w:t>水害</w:t>
      </w:r>
      <w:r>
        <w:rPr>
          <w:rFonts w:hint="eastAsia" w:ascii="MS UI Gothic" w:eastAsia="MS UI Gothic"/>
          <w:w w:val="80"/>
        </w:rPr>
        <w:t>ꎻ</w:t>
      </w:r>
    </w:p>
    <w:p>
      <w:pPr>
        <w:pStyle w:val="6"/>
        <w:spacing w:before="123" w:line="295" w:lineRule="auto"/>
        <w:ind w:right="442"/>
        <w:rPr>
          <w:rFonts w:hint="eastAsia" w:ascii="MS UI Gothic" w:eastAsia="MS UI Gothic"/>
        </w:rPr>
      </w:pPr>
      <w:r>
        <w:br w:type="column"/>
      </w:r>
      <w:r>
        <w:rPr>
          <w:rFonts w:hint="eastAsia" w:ascii="MS UI Gothic" w:eastAsia="MS UI Gothic"/>
          <w:w w:val="120"/>
        </w:rPr>
        <w:t xml:space="preserve">( </w:t>
      </w:r>
      <w:r>
        <w:rPr>
          <w:w w:val="110"/>
        </w:rPr>
        <w:t>五</w:t>
      </w:r>
      <w:r>
        <w:rPr>
          <w:rFonts w:hint="eastAsia" w:ascii="MS UI Gothic" w:eastAsia="MS UI Gothic"/>
          <w:w w:val="120"/>
        </w:rPr>
        <w:t xml:space="preserve">) </w:t>
      </w:r>
      <w:r>
        <w:rPr>
          <w:w w:val="110"/>
        </w:rPr>
        <w:t>爆破器材和爆破作业发生的危害</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粉尘</w:t>
      </w:r>
      <w:r>
        <w:rPr>
          <w:rFonts w:hint="eastAsia" w:ascii="MS UI Gothic" w:eastAsia="MS UI Gothic"/>
          <w:w w:val="80"/>
        </w:rPr>
        <w:t xml:space="preserve">、 </w:t>
      </w:r>
      <w:r>
        <w:rPr>
          <w:w w:val="105"/>
        </w:rPr>
        <w:t>有毒有害气体</w:t>
      </w:r>
      <w:r>
        <w:rPr>
          <w:rFonts w:hint="eastAsia" w:ascii="MS UI Gothic" w:eastAsia="MS UI Gothic"/>
          <w:w w:val="80"/>
        </w:rPr>
        <w:t xml:space="preserve">、 </w:t>
      </w:r>
      <w:r>
        <w:rPr>
          <w:w w:val="105"/>
        </w:rPr>
        <w:t>放射性物质和其他有害物质引起的危害</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5"/>
        </w:rPr>
        <w:t>七</w:t>
      </w:r>
      <w:r>
        <w:rPr>
          <w:rFonts w:hint="eastAsia" w:ascii="MS UI Gothic" w:eastAsia="MS UI Gothic"/>
          <w:w w:val="150"/>
        </w:rPr>
        <w:t xml:space="preserve">) </w:t>
      </w:r>
      <w:r>
        <w:rPr>
          <w:w w:val="115"/>
        </w:rPr>
        <w:t>其他危害</w:t>
      </w:r>
      <w:r>
        <w:rPr>
          <w:rFonts w:hint="eastAsia" w:ascii="MS UI Gothic" w:eastAsia="MS UI Gothic"/>
          <w:w w:val="80"/>
        </w:rPr>
        <w:t>ꎮ</w:t>
      </w:r>
    </w:p>
    <w:p>
      <w:pPr>
        <w:pStyle w:val="6"/>
        <w:spacing w:before="57" w:line="295" w:lineRule="auto"/>
        <w:ind w:right="442"/>
        <w:rPr>
          <w:rFonts w:hint="eastAsia" w:ascii="MS UI Gothic" w:eastAsia="MS UI Gothic"/>
        </w:rPr>
      </w:pPr>
      <w:r>
        <w:t>第十九条 矿山企业对使用机械</w:t>
      </w:r>
      <w:r>
        <w:rPr>
          <w:rFonts w:hint="eastAsia" w:ascii="MS UI Gothic" w:eastAsia="MS UI Gothic"/>
          <w:w w:val="80"/>
        </w:rPr>
        <w:t xml:space="preserve">、 </w:t>
      </w:r>
      <w:r>
        <w:t>电气设备</w:t>
      </w:r>
      <w:r>
        <w:rPr>
          <w:rFonts w:hint="eastAsia" w:ascii="MS UI Gothic" w:eastAsia="MS UI Gothic"/>
          <w:w w:val="80"/>
        </w:rPr>
        <w:t xml:space="preserve">ꎬ </w:t>
      </w:r>
      <w:r>
        <w:t>排土场</w:t>
      </w:r>
      <w:r>
        <w:rPr>
          <w:rFonts w:hint="eastAsia" w:ascii="MS UI Gothic" w:eastAsia="MS UI Gothic"/>
          <w:w w:val="80"/>
        </w:rPr>
        <w:t xml:space="preserve">、 </w:t>
      </w:r>
      <w:r>
        <w:t>矸石山</w:t>
      </w:r>
      <w:r>
        <w:rPr>
          <w:rFonts w:hint="eastAsia" w:ascii="MS UI Gothic" w:eastAsia="MS UI Gothic"/>
          <w:w w:val="80"/>
        </w:rPr>
        <w:t xml:space="preserve">、 </w:t>
      </w:r>
      <w:r>
        <w:t>尾矿库和矿山闭坑后可能引起的危害</w:t>
      </w:r>
      <w:r>
        <w:rPr>
          <w:rFonts w:hint="eastAsia" w:ascii="MS UI Gothic" w:eastAsia="MS UI Gothic"/>
          <w:w w:val="80"/>
        </w:rPr>
        <w:t xml:space="preserve">ꎬ </w:t>
      </w:r>
      <w:r>
        <w:t>应当采取预防措施</w:t>
      </w:r>
      <w:r>
        <w:rPr>
          <w:rFonts w:hint="eastAsia" w:ascii="MS UI Gothic" w:eastAsia="MS UI Gothic"/>
          <w:w w:val="80"/>
        </w:rPr>
        <w:t>ꎮ</w:t>
      </w:r>
    </w:p>
    <w:p>
      <w:pPr>
        <w:pStyle w:val="6"/>
        <w:spacing w:before="154"/>
        <w:ind w:left="648" w:firstLine="0"/>
      </w:pPr>
      <w:r>
        <w:rPr>
          <w:w w:val="105"/>
        </w:rPr>
        <w:t>第四章 矿山企业的安全管理</w:t>
      </w:r>
    </w:p>
    <w:p>
      <w:pPr>
        <w:pStyle w:val="6"/>
        <w:tabs>
          <w:tab w:val="left" w:pos="1591"/>
        </w:tabs>
        <w:spacing w:before="215" w:line="295" w:lineRule="auto"/>
        <w:ind w:right="442"/>
        <w:jc w:val="left"/>
        <w:rPr>
          <w:rFonts w:hint="eastAsia" w:ascii="MS UI Gothic" w:eastAsia="MS UI Gothic"/>
        </w:rPr>
      </w:pPr>
      <w:r>
        <w:rPr>
          <w:spacing w:val="3"/>
        </w:rPr>
        <w:t>第二十</w:t>
      </w:r>
      <w:r>
        <w:t>条</w:t>
      </w:r>
      <w:r>
        <w:tab/>
      </w:r>
      <w:r>
        <w:rPr>
          <w:spacing w:val="3"/>
        </w:rPr>
        <w:t>矿山企业必须建立</w:t>
      </w:r>
      <w:r>
        <w:rPr>
          <w:rFonts w:hint="eastAsia" w:ascii="MS UI Gothic" w:eastAsia="MS UI Gothic"/>
          <w:w w:val="80"/>
        </w:rPr>
        <w:t>、</w:t>
      </w:r>
      <w:r>
        <w:rPr>
          <w:rFonts w:hint="eastAsia" w:ascii="MS UI Gothic" w:eastAsia="MS UI Gothic"/>
          <w:spacing w:val="4"/>
          <w:w w:val="80"/>
        </w:rPr>
        <w:t xml:space="preserve"> </w:t>
      </w:r>
      <w:r>
        <w:rPr>
          <w:spacing w:val="3"/>
        </w:rPr>
        <w:t>健</w:t>
      </w:r>
      <w:r>
        <w:t>全</w:t>
      </w:r>
      <w:r>
        <w:rPr>
          <w:spacing w:val="3"/>
        </w:rPr>
        <w:t>安全生产责任制</w:t>
      </w:r>
      <w:r>
        <w:rPr>
          <w:rFonts w:hint="eastAsia" w:ascii="MS UI Gothic" w:eastAsia="MS UI Gothic"/>
          <w:w w:val="80"/>
        </w:rPr>
        <w:t>ꎮ</w:t>
      </w:r>
    </w:p>
    <w:p>
      <w:pPr>
        <w:pStyle w:val="6"/>
        <w:spacing w:line="255" w:lineRule="exact"/>
        <w:ind w:left="543" w:firstLine="0"/>
        <w:jc w:val="left"/>
        <w:rPr>
          <w:rFonts w:hint="eastAsia" w:ascii="MS UI Gothic" w:eastAsia="MS UI Gothic"/>
        </w:rPr>
      </w:pPr>
      <w:r>
        <w:t>矿长对本企业的安全生产工作负责</w:t>
      </w:r>
      <w:r>
        <w:rPr>
          <w:rFonts w:hint="eastAsia" w:ascii="MS UI Gothic" w:eastAsia="MS UI Gothic"/>
          <w:w w:val="80"/>
        </w:rPr>
        <w:t>ꎮ</w:t>
      </w:r>
    </w:p>
    <w:p>
      <w:pPr>
        <w:pStyle w:val="6"/>
        <w:spacing w:before="58" w:line="295" w:lineRule="auto"/>
        <w:ind w:right="440"/>
        <w:rPr>
          <w:rFonts w:hint="eastAsia" w:ascii="MS UI Gothic" w:eastAsia="MS UI Gothic"/>
        </w:rPr>
      </w:pPr>
      <w:r>
        <w:rPr>
          <w:w w:val="105"/>
        </w:rPr>
        <w:t>第二十一条 矿长应当定期向职工代</w:t>
      </w:r>
      <w:r>
        <w:t>表大会或者职工大会报告安全生产工作</w:t>
      </w:r>
      <w:r>
        <w:rPr>
          <w:rFonts w:hint="eastAsia" w:ascii="MS UI Gothic" w:eastAsia="MS UI Gothic"/>
          <w:w w:val="80"/>
        </w:rPr>
        <w:t>ꎬ</w:t>
      </w:r>
      <w:r>
        <w:rPr>
          <w:w w:val="105"/>
        </w:rPr>
        <w:t>发挥职工代表大会的监督作用</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第二十二条 矿山企业职工必须遵守有关矿山安全的法律</w:t>
      </w:r>
      <w:r>
        <w:rPr>
          <w:rFonts w:hint="eastAsia" w:ascii="MS UI Gothic" w:eastAsia="MS UI Gothic"/>
          <w:w w:val="80"/>
        </w:rPr>
        <w:t xml:space="preserve">、 </w:t>
      </w:r>
      <w:r>
        <w:rPr>
          <w:w w:val="105"/>
        </w:rPr>
        <w:t>法规和企业规章制度</w:t>
      </w:r>
      <w:r>
        <w:rPr>
          <w:rFonts w:hint="eastAsia" w:ascii="MS UI Gothic" w:eastAsia="MS UI Gothic"/>
          <w:w w:val="80"/>
        </w:rPr>
        <w:t>ꎮ</w:t>
      </w:r>
    </w:p>
    <w:p>
      <w:pPr>
        <w:pStyle w:val="6"/>
        <w:spacing w:line="295" w:lineRule="auto"/>
        <w:ind w:right="442"/>
        <w:rPr>
          <w:rFonts w:hint="eastAsia" w:ascii="MS UI Gothic" w:eastAsia="MS UI Gothic"/>
        </w:rPr>
      </w:pPr>
      <w:r>
        <w:t>矿山企业职工有权对危害安全的行为</w:t>
      </w:r>
      <w:r>
        <w:rPr>
          <w:rFonts w:hint="eastAsia" w:ascii="MS UI Gothic" w:eastAsia="MS UI Gothic"/>
          <w:w w:val="80"/>
        </w:rPr>
        <w:t xml:space="preserve">ꎬ </w:t>
      </w:r>
      <w:r>
        <w:t>提出批评</w:t>
      </w:r>
      <w:r>
        <w:rPr>
          <w:rFonts w:hint="eastAsia" w:ascii="MS UI Gothic" w:eastAsia="MS UI Gothic"/>
          <w:w w:val="80"/>
        </w:rPr>
        <w:t xml:space="preserve">、 </w:t>
      </w:r>
      <w:r>
        <w:t>检举和控告</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第二十三条 矿山企业工会依法维护</w:t>
      </w:r>
      <w:r>
        <w:t>职工生产安全的合法权益</w:t>
      </w:r>
      <w:r>
        <w:rPr>
          <w:rFonts w:hint="eastAsia" w:ascii="MS UI Gothic" w:eastAsia="MS UI Gothic"/>
          <w:w w:val="80"/>
        </w:rPr>
        <w:t xml:space="preserve">ꎬ </w:t>
      </w:r>
      <w:r>
        <w:t>组织职工对矿</w:t>
      </w:r>
      <w:r>
        <w:rPr>
          <w:w w:val="105"/>
        </w:rPr>
        <w:t>山安全工作进行监督</w:t>
      </w:r>
      <w:r>
        <w:rPr>
          <w:rFonts w:hint="eastAsia" w:ascii="MS UI Gothic" w:eastAsia="MS UI Gothic"/>
          <w:w w:val="80"/>
        </w:rPr>
        <w:t>ꎮ</w:t>
      </w:r>
    </w:p>
    <w:p>
      <w:pPr>
        <w:pStyle w:val="6"/>
        <w:spacing w:line="295" w:lineRule="auto"/>
        <w:ind w:right="442"/>
        <w:rPr>
          <w:rFonts w:hint="eastAsia" w:ascii="MS UI Gothic" w:eastAsia="MS UI Gothic"/>
        </w:rPr>
      </w:pPr>
      <w:r>
        <w:t>第二十四条 矿山企业违反有关安全的法律</w:t>
      </w:r>
      <w:r>
        <w:rPr>
          <w:rFonts w:hint="eastAsia" w:ascii="MS UI Gothic" w:eastAsia="MS UI Gothic"/>
          <w:w w:val="80"/>
        </w:rPr>
        <w:t xml:space="preserve">、 </w:t>
      </w:r>
      <w:r>
        <w:t>法规</w:t>
      </w:r>
      <w:r>
        <w:rPr>
          <w:rFonts w:hint="eastAsia" w:ascii="MS UI Gothic" w:eastAsia="MS UI Gothic"/>
          <w:w w:val="80"/>
        </w:rPr>
        <w:t xml:space="preserve">ꎬ </w:t>
      </w:r>
      <w:r>
        <w:t>工会有权要求企业行政方面或者有关部门认真处理</w:t>
      </w:r>
      <w:r>
        <w:rPr>
          <w:rFonts w:hint="eastAsia" w:ascii="MS UI Gothic" w:eastAsia="MS UI Gothic"/>
          <w:w w:val="80"/>
        </w:rPr>
        <w:t>ꎮ</w:t>
      </w:r>
    </w:p>
    <w:p>
      <w:pPr>
        <w:pStyle w:val="6"/>
        <w:spacing w:line="295" w:lineRule="auto"/>
        <w:ind w:right="442"/>
        <w:rPr>
          <w:rFonts w:hint="eastAsia" w:ascii="MS UI Gothic" w:eastAsia="MS UI Gothic"/>
        </w:rPr>
      </w:pPr>
      <w:r>
        <w:t>矿山企业召开讨论有关安全生产的会议</w:t>
      </w:r>
      <w:r>
        <w:rPr>
          <w:rFonts w:hint="eastAsia" w:ascii="MS UI Gothic" w:eastAsia="MS UI Gothic"/>
          <w:w w:val="80"/>
        </w:rPr>
        <w:t xml:space="preserve">ꎬ </w:t>
      </w:r>
      <w:r>
        <w:t>应当有工会代表参加</w:t>
      </w:r>
      <w:r>
        <w:rPr>
          <w:rFonts w:hint="eastAsia" w:ascii="MS UI Gothic" w:eastAsia="MS UI Gothic"/>
          <w:w w:val="80"/>
        </w:rPr>
        <w:t xml:space="preserve">ꎬ </w:t>
      </w:r>
      <w:r>
        <w:t>工会有权提出意见和建议</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第二十五条 矿山企业工会发现企业行政方面违章指挥</w:t>
      </w:r>
      <w:r>
        <w:rPr>
          <w:rFonts w:hint="eastAsia" w:ascii="MS UI Gothic" w:eastAsia="MS UI Gothic"/>
          <w:w w:val="80"/>
        </w:rPr>
        <w:t xml:space="preserve">、 </w:t>
      </w:r>
      <w:r>
        <w:rPr>
          <w:w w:val="105"/>
        </w:rPr>
        <w:t>强令工人冒险作业或</w:t>
      </w:r>
      <w:r>
        <w:t>者生产过程中发现明显重大事故隐患和职业危害</w:t>
      </w:r>
      <w:r>
        <w:rPr>
          <w:rFonts w:hint="eastAsia" w:ascii="MS UI Gothic" w:eastAsia="MS UI Gothic"/>
          <w:w w:val="80"/>
        </w:rPr>
        <w:t xml:space="preserve">ꎬ </w:t>
      </w:r>
      <w:r>
        <w:t>有权提出解决的建议</w:t>
      </w:r>
      <w:r>
        <w:rPr>
          <w:rFonts w:hint="eastAsia" w:ascii="MS UI Gothic" w:eastAsia="MS UI Gothic"/>
          <w:w w:val="80"/>
        </w:rPr>
        <w:t xml:space="preserve">ꎻ </w:t>
      </w:r>
      <w:r>
        <w:t>发现危及职工生命安全的情况时</w:t>
      </w:r>
      <w:r>
        <w:rPr>
          <w:rFonts w:hint="eastAsia" w:ascii="MS UI Gothic" w:eastAsia="MS UI Gothic"/>
          <w:w w:val="80"/>
        </w:rPr>
        <w:t xml:space="preserve">ꎬ </w:t>
      </w:r>
      <w:r>
        <w:t>有权向矿山企业行政方面建议组织职工撤离危险现场</w:t>
      </w:r>
      <w:r>
        <w:rPr>
          <w:rFonts w:hint="eastAsia" w:ascii="MS UI Gothic" w:eastAsia="MS UI Gothic"/>
          <w:w w:val="80"/>
        </w:rPr>
        <w:t xml:space="preserve">ꎬ </w:t>
      </w:r>
      <w:r>
        <w:t>矿山企业行政方面必须及时作出处理决定</w:t>
      </w:r>
      <w:r>
        <w:rPr>
          <w:rFonts w:hint="eastAsia" w:ascii="MS UI Gothic" w:eastAsia="MS UI Gothic"/>
          <w:w w:val="80"/>
        </w:rPr>
        <w:t>ꎮ</w:t>
      </w:r>
    </w:p>
    <w:p>
      <w:pPr>
        <w:pStyle w:val="6"/>
        <w:tabs>
          <w:tab w:val="left" w:pos="1801"/>
        </w:tabs>
        <w:spacing w:line="251" w:lineRule="exact"/>
        <w:ind w:left="543" w:firstLine="0"/>
        <w:jc w:val="left"/>
      </w:pPr>
      <w:r>
        <w:rPr>
          <w:spacing w:val="3"/>
          <w:w w:val="105"/>
        </w:rPr>
        <w:t>第二十六</w:t>
      </w:r>
      <w:r>
        <w:rPr>
          <w:w w:val="105"/>
        </w:rPr>
        <w:t>条</w:t>
      </w:r>
      <w:r>
        <w:rPr>
          <w:w w:val="105"/>
        </w:rPr>
        <w:tab/>
      </w:r>
      <w:r>
        <w:rPr>
          <w:spacing w:val="3"/>
          <w:w w:val="105"/>
        </w:rPr>
        <w:t>矿山企业必须对职工</w:t>
      </w:r>
      <w:r>
        <w:rPr>
          <w:w w:val="105"/>
        </w:rPr>
        <w:t>进</w:t>
      </w:r>
    </w:p>
    <w:p>
      <w:pPr>
        <w:spacing w:after="0" w:line="251"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３８７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61" o:spid="_x0000_s2161" o:spt="203" style="height:2.15pt;width:398.25pt;" coordsize="7965,43">
            <o:lock v:ext="edit"/>
            <v:line id="_x0000_s2162" o:spid="_x0000_s2162" o:spt="20" style="position:absolute;left:0;top:39;height:0;width:7965;" stroked="t" coordsize="21600,21600">
              <v:path arrowok="t"/>
              <v:fill focussize="0,0"/>
              <v:stroke weight="0.388031496062992pt" color="#231F20"/>
              <v:imagedata o:title=""/>
              <o:lock v:ext="edit"/>
            </v:line>
            <v:line id="_x0000_s2163" o:spid="_x0000_s216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jc w:val="left"/>
        <w:rPr>
          <w:rFonts w:hint="eastAsia" w:ascii="MS UI Gothic" w:eastAsia="MS UI Gothic"/>
        </w:rPr>
      </w:pPr>
      <w:r>
        <w:t>行安全教育</w:t>
      </w:r>
      <w:r>
        <w:rPr>
          <w:rFonts w:hint="eastAsia" w:ascii="MS UI Gothic" w:eastAsia="MS UI Gothic"/>
        </w:rPr>
        <w:t xml:space="preserve">、 </w:t>
      </w:r>
      <w:r>
        <w:t>培训</w:t>
      </w:r>
      <w:r>
        <w:rPr>
          <w:rFonts w:hint="eastAsia" w:ascii="MS UI Gothic" w:eastAsia="MS UI Gothic"/>
          <w:w w:val="80"/>
        </w:rPr>
        <w:t xml:space="preserve">ꎻ </w:t>
      </w:r>
      <w:r>
        <w:t>未经安全教育</w:t>
      </w:r>
      <w:r>
        <w:rPr>
          <w:rFonts w:hint="eastAsia" w:ascii="MS UI Gothic" w:eastAsia="MS UI Gothic"/>
        </w:rPr>
        <w:t xml:space="preserve">、 </w:t>
      </w:r>
      <w:r>
        <w:t>培训的</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line="295" w:lineRule="auto"/>
        <w:ind w:left="440"/>
        <w:rPr>
          <w:rFonts w:hint="eastAsia" w:ascii="MS UI Gothic" w:eastAsia="MS UI Gothic"/>
        </w:rPr>
      </w:pPr>
      <w:r>
        <w:t>矿山企业安全生产的特种作业人员必须接受专门培训</w:t>
      </w:r>
      <w:r>
        <w:rPr>
          <w:rFonts w:hint="eastAsia" w:ascii="MS UI Gothic" w:eastAsia="MS UI Gothic"/>
          <w:w w:val="80"/>
        </w:rPr>
        <w:t xml:space="preserve">ꎬ </w:t>
      </w:r>
      <w:r>
        <w:t>经考核合格取得操作资格证书的</w:t>
      </w:r>
      <w:r>
        <w:rPr>
          <w:rFonts w:hint="eastAsia" w:ascii="MS UI Gothic" w:eastAsia="MS UI Gothic"/>
          <w:w w:val="80"/>
        </w:rPr>
        <w:t xml:space="preserve">ꎬ </w:t>
      </w:r>
      <w:r>
        <w:t>方可上岗作业</w:t>
      </w:r>
      <w:r>
        <w:rPr>
          <w:rFonts w:hint="eastAsia" w:ascii="MS UI Gothic" w:eastAsia="MS UI Gothic"/>
          <w:w w:val="80"/>
        </w:rPr>
        <w:t>ꎮ</w:t>
      </w:r>
    </w:p>
    <w:p>
      <w:pPr>
        <w:pStyle w:val="6"/>
        <w:spacing w:line="295" w:lineRule="auto"/>
        <w:ind w:left="440"/>
        <w:rPr>
          <w:rFonts w:hint="eastAsia" w:ascii="MS UI Gothic" w:eastAsia="MS UI Gothic"/>
        </w:rPr>
      </w:pPr>
      <w:r>
        <w:t>第二十七条 矿长必须经过考核</w:t>
      </w:r>
      <w:r>
        <w:rPr>
          <w:rFonts w:hint="eastAsia" w:ascii="MS UI Gothic" w:eastAsia="MS UI Gothic"/>
          <w:w w:val="80"/>
        </w:rPr>
        <w:t xml:space="preserve">ꎬ </w:t>
      </w:r>
      <w:r>
        <w:t>具备安全专业知识</w:t>
      </w:r>
      <w:r>
        <w:rPr>
          <w:rFonts w:hint="eastAsia" w:ascii="MS UI Gothic" w:eastAsia="MS UI Gothic"/>
          <w:w w:val="80"/>
        </w:rPr>
        <w:t xml:space="preserve">ꎬ </w:t>
      </w:r>
      <w:r>
        <w:t>具有领导安全生产和处理矿山事故的能力</w:t>
      </w:r>
      <w:r>
        <w:rPr>
          <w:rFonts w:hint="eastAsia" w:ascii="MS UI Gothic" w:eastAsia="MS UI Gothic"/>
          <w:w w:val="80"/>
        </w:rPr>
        <w:t>ꎮ</w:t>
      </w:r>
    </w:p>
    <w:p>
      <w:pPr>
        <w:pStyle w:val="6"/>
        <w:spacing w:line="295" w:lineRule="auto"/>
        <w:ind w:left="440"/>
        <w:jc w:val="left"/>
        <w:rPr>
          <w:rFonts w:hint="eastAsia" w:ascii="MS UI Gothic" w:eastAsia="MS UI Gothic"/>
        </w:rPr>
      </w:pPr>
      <w:r>
        <w:rPr>
          <w:spacing w:val="2"/>
        </w:rPr>
        <w:t>矿山企业安全工作人员必须具备必要</w:t>
      </w:r>
      <w:r>
        <w:rPr>
          <w:spacing w:val="3"/>
          <w:w w:val="105"/>
        </w:rPr>
        <w:t>的安全专业知识和矿山安全工作经验</w:t>
      </w:r>
      <w:r>
        <w:rPr>
          <w:rFonts w:hint="eastAsia" w:ascii="MS UI Gothic" w:eastAsia="MS UI Gothic"/>
          <w:w w:val="80"/>
        </w:rPr>
        <w:t>ꎮ</w:t>
      </w:r>
    </w:p>
    <w:p>
      <w:pPr>
        <w:pStyle w:val="6"/>
        <w:tabs>
          <w:tab w:val="left" w:pos="2117"/>
        </w:tabs>
        <w:spacing w:line="295" w:lineRule="auto"/>
        <w:ind w:left="440"/>
        <w:jc w:val="left"/>
        <w:rPr>
          <w:rFonts w:hint="eastAsia" w:ascii="MS UI Gothic" w:eastAsia="MS UI Gothic"/>
        </w:rPr>
      </w:pPr>
      <w:r>
        <w:rPr>
          <w:spacing w:val="3"/>
          <w:w w:val="105"/>
        </w:rPr>
        <w:t>第二十八</w:t>
      </w:r>
      <w:r>
        <w:rPr>
          <w:w w:val="105"/>
        </w:rPr>
        <w:t>条</w:t>
      </w:r>
      <w:r>
        <w:rPr>
          <w:w w:val="105"/>
        </w:rPr>
        <w:tab/>
      </w:r>
      <w:r>
        <w:rPr>
          <w:spacing w:val="3"/>
        </w:rPr>
        <w:t>矿山企业必须向职工</w:t>
      </w:r>
      <w:r>
        <w:rPr>
          <w:spacing w:val="-12"/>
        </w:rPr>
        <w:t>发</w:t>
      </w:r>
      <w:r>
        <w:rPr>
          <w:spacing w:val="3"/>
          <w:w w:val="105"/>
        </w:rPr>
        <w:t>放保障安全生产所需的劳动防护用品</w:t>
      </w:r>
      <w:r>
        <w:rPr>
          <w:rFonts w:hint="eastAsia" w:ascii="MS UI Gothic" w:eastAsia="MS UI Gothic"/>
          <w:w w:val="80"/>
        </w:rPr>
        <w:t>ꎮ</w:t>
      </w:r>
    </w:p>
    <w:p>
      <w:pPr>
        <w:pStyle w:val="6"/>
        <w:tabs>
          <w:tab w:val="left" w:pos="2117"/>
        </w:tabs>
        <w:spacing w:line="295" w:lineRule="auto"/>
        <w:ind w:left="440"/>
        <w:jc w:val="left"/>
        <w:rPr>
          <w:rFonts w:hint="eastAsia" w:ascii="MS UI Gothic" w:eastAsia="MS UI Gothic"/>
        </w:rPr>
      </w:pPr>
      <w:r>
        <w:rPr>
          <w:spacing w:val="3"/>
          <w:w w:val="105"/>
        </w:rPr>
        <w:t>第二十九</w:t>
      </w:r>
      <w:r>
        <w:rPr>
          <w:w w:val="105"/>
        </w:rPr>
        <w:t>条</w:t>
      </w:r>
      <w:r>
        <w:rPr>
          <w:w w:val="105"/>
        </w:rPr>
        <w:tab/>
      </w:r>
      <w:r>
        <w:rPr>
          <w:spacing w:val="3"/>
        </w:rPr>
        <w:t>矿山企业不得录用未</w:t>
      </w:r>
      <w:r>
        <w:rPr>
          <w:spacing w:val="-12"/>
        </w:rPr>
        <w:t>成</w:t>
      </w:r>
      <w:r>
        <w:rPr>
          <w:spacing w:val="3"/>
          <w:w w:val="105"/>
        </w:rPr>
        <w:t>年人从事矿山井下劳动</w:t>
      </w:r>
      <w:r>
        <w:rPr>
          <w:rFonts w:hint="eastAsia" w:ascii="MS UI Gothic" w:eastAsia="MS UI Gothic"/>
          <w:w w:val="80"/>
        </w:rPr>
        <w:t>ꎮ</w:t>
      </w:r>
    </w:p>
    <w:p>
      <w:pPr>
        <w:pStyle w:val="6"/>
        <w:spacing w:line="295" w:lineRule="auto"/>
        <w:ind w:left="440"/>
        <w:rPr>
          <w:rFonts w:hint="eastAsia" w:ascii="MS UI Gothic" w:eastAsia="MS UI Gothic"/>
        </w:rPr>
      </w:pPr>
      <w:r>
        <w:t>矿山企业对女职工按照国家规定实行特殊劳动保护</w:t>
      </w:r>
      <w:r>
        <w:rPr>
          <w:rFonts w:hint="eastAsia" w:ascii="MS UI Gothic" w:eastAsia="MS UI Gothic"/>
          <w:w w:val="80"/>
        </w:rPr>
        <w:t xml:space="preserve">ꎬ </w:t>
      </w:r>
      <w:r>
        <w:t>不得分配女职工从事矿山井下劳动</w:t>
      </w:r>
      <w:r>
        <w:rPr>
          <w:rFonts w:hint="eastAsia" w:ascii="MS UI Gothic" w:eastAsia="MS UI Gothic"/>
          <w:w w:val="80"/>
        </w:rPr>
        <w:t>ꎮ</w:t>
      </w:r>
    </w:p>
    <w:p>
      <w:pPr>
        <w:pStyle w:val="6"/>
        <w:spacing w:line="295" w:lineRule="auto"/>
        <w:ind w:left="440"/>
        <w:rPr>
          <w:rFonts w:hint="eastAsia" w:ascii="MS UI Gothic" w:eastAsia="MS UI Gothic"/>
        </w:rPr>
      </w:pPr>
      <w:r>
        <w:t>第三十条 矿山企业必须制定矿山事故防范措施</w:t>
      </w:r>
      <w:r>
        <w:rPr>
          <w:rFonts w:hint="eastAsia" w:ascii="MS UI Gothic" w:eastAsia="MS UI Gothic"/>
          <w:w w:val="80"/>
        </w:rPr>
        <w:t xml:space="preserve">ꎬ </w:t>
      </w:r>
      <w:r>
        <w:t>并组织落实</w:t>
      </w:r>
      <w:r>
        <w:rPr>
          <w:rFonts w:hint="eastAsia" w:ascii="MS UI Gothic" w:eastAsia="MS UI Gothic"/>
          <w:w w:val="80"/>
        </w:rPr>
        <w:t>ꎮ</w:t>
      </w:r>
    </w:p>
    <w:p>
      <w:pPr>
        <w:pStyle w:val="6"/>
        <w:spacing w:line="295" w:lineRule="auto"/>
        <w:ind w:left="440"/>
        <w:rPr>
          <w:rFonts w:hint="eastAsia" w:ascii="MS UI Gothic" w:eastAsia="MS UI Gothic"/>
        </w:rPr>
      </w:pPr>
      <w:r>
        <w:t>第三十一条 矿山企业应当建立由专职或者兼职人员组成的救护和医疗急救组织</w:t>
      </w:r>
      <w:r>
        <w:rPr>
          <w:rFonts w:hint="eastAsia" w:ascii="MS UI Gothic" w:eastAsia="MS UI Gothic"/>
          <w:w w:val="80"/>
        </w:rPr>
        <w:t xml:space="preserve">ꎬ </w:t>
      </w:r>
      <w:r>
        <w:t>配备必要的装备</w:t>
      </w:r>
      <w:r>
        <w:rPr>
          <w:rFonts w:hint="eastAsia" w:ascii="MS UI Gothic" w:eastAsia="MS UI Gothic"/>
          <w:w w:val="80"/>
        </w:rPr>
        <w:t xml:space="preserve">、 </w:t>
      </w:r>
      <w:r>
        <w:t>器材和药物</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第三十二条 矿山企业必须从矿产品</w:t>
      </w:r>
      <w:r>
        <w:t>销售额中按照国家规定提取安全技术措拖专项费用</w:t>
      </w:r>
      <w:r>
        <w:rPr>
          <w:rFonts w:hint="eastAsia" w:ascii="MS UI Gothic" w:eastAsia="MS UI Gothic"/>
          <w:w w:val="80"/>
        </w:rPr>
        <w:t xml:space="preserve">ꎮ </w:t>
      </w:r>
      <w:r>
        <w:t>安全技术措施专项费用必须全部用于改善矿山安全生产条件</w:t>
      </w:r>
      <w:r>
        <w:rPr>
          <w:rFonts w:hint="eastAsia" w:ascii="MS UI Gothic" w:eastAsia="MS UI Gothic"/>
          <w:w w:val="80"/>
        </w:rPr>
        <w:t xml:space="preserve">ꎬ </w:t>
      </w:r>
      <w:r>
        <w:t>不得挪作</w:t>
      </w:r>
      <w:r>
        <w:rPr>
          <w:w w:val="105"/>
        </w:rPr>
        <w:t>他用</w:t>
      </w:r>
      <w:r>
        <w:rPr>
          <w:rFonts w:hint="eastAsia" w:ascii="MS UI Gothic" w:eastAsia="MS UI Gothic"/>
          <w:w w:val="80"/>
        </w:rPr>
        <w:t>ꎮ</w:t>
      </w:r>
    </w:p>
    <w:p>
      <w:pPr>
        <w:pStyle w:val="6"/>
        <w:tabs>
          <w:tab w:val="left" w:pos="1698"/>
        </w:tabs>
        <w:spacing w:before="136"/>
        <w:ind w:left="860" w:firstLine="0"/>
        <w:jc w:val="left"/>
      </w:pPr>
      <w:r>
        <w:rPr>
          <w:spacing w:val="3"/>
          <w:w w:val="105"/>
        </w:rPr>
        <w:t>第五</w:t>
      </w:r>
      <w:r>
        <w:rPr>
          <w:w w:val="105"/>
        </w:rPr>
        <w:t>章</w:t>
      </w:r>
      <w:r>
        <w:rPr>
          <w:w w:val="105"/>
        </w:rPr>
        <w:tab/>
      </w:r>
      <w:r>
        <w:rPr>
          <w:spacing w:val="3"/>
          <w:w w:val="105"/>
        </w:rPr>
        <w:t>矿山安全的监督和管</w:t>
      </w:r>
      <w:r>
        <w:rPr>
          <w:w w:val="105"/>
        </w:rPr>
        <w:t>理</w:t>
      </w:r>
    </w:p>
    <w:p>
      <w:pPr>
        <w:pStyle w:val="6"/>
        <w:spacing w:before="215" w:line="295" w:lineRule="auto"/>
        <w:ind w:left="440"/>
        <w:rPr>
          <w:rFonts w:hint="eastAsia" w:ascii="MS UI Gothic" w:eastAsia="MS UI Gothic"/>
        </w:rPr>
      </w:pPr>
      <w:r>
        <w:rPr>
          <w:w w:val="105"/>
        </w:rPr>
        <w:t>第三十三条 县级以上各级人民政府</w:t>
      </w:r>
      <w:r>
        <w:t>劳动行政主管部门对矿山安全工作行使下</w:t>
      </w:r>
      <w:r>
        <w:rPr>
          <w:w w:val="110"/>
        </w:rPr>
        <w:t>列监督职责</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检查矿山企业和管理矿山企业的主管部门贯彻执行矿山安全法律</w:t>
      </w:r>
      <w:r>
        <w:rPr>
          <w:rFonts w:hint="eastAsia" w:ascii="MS UI Gothic" w:eastAsia="MS UI Gothic"/>
          <w:w w:val="80"/>
        </w:rPr>
        <w:t xml:space="preserve">、 </w:t>
      </w:r>
      <w:r>
        <w:rPr>
          <w:w w:val="105"/>
        </w:rPr>
        <w:t>法规的情况</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参加矿山建设工程安全设施的</w:t>
      </w:r>
      <w:r>
        <w:rPr>
          <w:w w:val="110"/>
        </w:rPr>
        <w:t>设计审查和竣工验收</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0"/>
          <w:w w:val="110"/>
        </w:rPr>
        <w:t>检查矿山劳动条件和安全</w:t>
      </w:r>
      <w:r>
        <w:rPr>
          <w:spacing w:val="3"/>
          <w:w w:val="110"/>
        </w:rPr>
        <w:t>状况</w:t>
      </w:r>
      <w:r>
        <w:rPr>
          <w:rFonts w:hint="eastAsia" w:ascii="MS UI Gothic" w:eastAsia="MS UI Gothic"/>
          <w:w w:val="80"/>
        </w:rPr>
        <w:t>ꎻ</w:t>
      </w:r>
    </w:p>
    <w:p>
      <w:pPr>
        <w:pStyle w:val="6"/>
        <w:spacing w:before="124" w:line="295" w:lineRule="auto"/>
        <w:ind w:left="383" w:right="124"/>
        <w:jc w:val="left"/>
        <w:rPr>
          <w:rFonts w:hint="eastAsia" w:ascii="MS UI Gothic" w:eastAsia="MS UI Gothic"/>
        </w:rPr>
      </w:pPr>
      <w:r>
        <w:br w:type="column"/>
      </w: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检查矿山企业职工安全教育</w:t>
      </w:r>
      <w:r>
        <w:rPr>
          <w:rFonts w:hint="eastAsia" w:ascii="MS UI Gothic" w:eastAsia="MS UI Gothic"/>
          <w:w w:val="80"/>
        </w:rPr>
        <w:t>、</w:t>
      </w:r>
      <w:r>
        <w:rPr>
          <w:w w:val="105"/>
        </w:rPr>
        <w:t>培训工作</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监督矿山企业提取和使用安全</w:t>
      </w:r>
      <w:r>
        <w:rPr>
          <w:w w:val="110"/>
        </w:rPr>
        <w:t>技术措施专项费用的情况</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参加并监督矿山事故的调查和</w:t>
      </w:r>
      <w:r>
        <w:rPr>
          <w:w w:val="110"/>
        </w:rPr>
        <w:t>处理</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行政法规规定的其他监督职责</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第三十四条 县级以上人民政府管理</w:t>
      </w:r>
      <w:r>
        <w:t>矿山企业的主管部门对矿山安全工作行使</w:t>
      </w:r>
      <w:r>
        <w:rPr>
          <w:w w:val="110"/>
        </w:rPr>
        <w:t>下列管理职责</w:t>
      </w:r>
      <w:r>
        <w:rPr>
          <w:rFonts w:hint="eastAsia" w:ascii="MS UI Gothic" w:eastAsia="MS UI Gothic"/>
          <w:w w:val="235"/>
        </w:rPr>
        <w:t>:</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检查矿山企业贯彻执行矿山安全法律</w:t>
      </w:r>
      <w:r>
        <w:rPr>
          <w:rFonts w:hint="eastAsia" w:ascii="MS UI Gothic" w:eastAsia="MS UI Gothic"/>
          <w:w w:val="80"/>
        </w:rPr>
        <w:t xml:space="preserve">、 </w:t>
      </w:r>
      <w:r>
        <w:rPr>
          <w:w w:val="105"/>
        </w:rPr>
        <w:t>法规的情况</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spacing w:val="-21"/>
          <w:w w:val="105"/>
        </w:rPr>
        <w:t xml:space="preserve">( </w:t>
      </w:r>
      <w:r>
        <w:rPr>
          <w:spacing w:val="3"/>
          <w:w w:val="105"/>
        </w:rPr>
        <w:t>二</w:t>
      </w:r>
      <w:r>
        <w:rPr>
          <w:rFonts w:hint="eastAsia" w:ascii="MS UI Gothic" w:eastAsia="MS UI Gothic"/>
          <w:spacing w:val="5"/>
          <w:w w:val="105"/>
        </w:rPr>
        <w:t xml:space="preserve">) </w:t>
      </w:r>
      <w:r>
        <w:rPr>
          <w:spacing w:val="5"/>
          <w:w w:val="105"/>
        </w:rPr>
        <w:t>审查批准矿山建设工程安全设</w:t>
      </w:r>
      <w:r>
        <w:rPr>
          <w:spacing w:val="3"/>
          <w:w w:val="110"/>
        </w:rPr>
        <w:t>施的设计</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负责矿山建设工程安全设施的</w:t>
      </w:r>
      <w:r>
        <w:rPr>
          <w:spacing w:val="3"/>
          <w:w w:val="110"/>
        </w:rPr>
        <w:t>竣工验收</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组织矿长和矿山企业安全工作</w:t>
      </w:r>
      <w:r>
        <w:rPr>
          <w:w w:val="110"/>
        </w:rPr>
        <w:t>人员的培训工作</w:t>
      </w:r>
      <w:r>
        <w:rPr>
          <w:rFonts w:hint="eastAsia" w:ascii="MS UI Gothic" w:eastAsia="MS UI Gothic"/>
          <w:w w:val="80"/>
        </w:rPr>
        <w:t>ꎻ</w:t>
      </w:r>
    </w:p>
    <w:p>
      <w:pPr>
        <w:pStyle w:val="6"/>
        <w:spacing w:line="255" w:lineRule="exact"/>
        <w:ind w:left="802" w:firstLine="0"/>
        <w:jc w:val="left"/>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调查和处理重大矿山事故</w:t>
      </w:r>
      <w:r>
        <w:rPr>
          <w:rFonts w:hint="eastAsia" w:ascii="MS UI Gothic" w:eastAsia="MS UI Gothic"/>
          <w:w w:val="80"/>
        </w:rPr>
        <w:t>ꎻ</w:t>
      </w:r>
    </w:p>
    <w:p>
      <w:pPr>
        <w:pStyle w:val="6"/>
        <w:spacing w:before="45" w:line="295" w:lineRule="auto"/>
        <w:ind w:left="383"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行政法规规定的其他管理职责</w:t>
      </w:r>
      <w:r>
        <w:rPr>
          <w:rFonts w:hint="eastAsia" w:ascii="MS UI Gothic" w:eastAsia="MS UI Gothic"/>
          <w:w w:val="80"/>
        </w:rPr>
        <w:t>ꎮ</w:t>
      </w:r>
    </w:p>
    <w:p>
      <w:pPr>
        <w:pStyle w:val="6"/>
        <w:spacing w:line="295" w:lineRule="auto"/>
        <w:ind w:left="383" w:right="126"/>
        <w:rPr>
          <w:rFonts w:hint="eastAsia" w:ascii="MS UI Gothic" w:eastAsia="MS UI Gothic"/>
        </w:rPr>
      </w:pPr>
      <w:r>
        <w:t>第三十五条 劳动行政主管部门的矿山安全监督人员有权进入矿山企业</w:t>
      </w:r>
      <w:r>
        <w:rPr>
          <w:rFonts w:hint="eastAsia" w:ascii="MS UI Gothic" w:eastAsia="MS UI Gothic"/>
          <w:w w:val="80"/>
        </w:rPr>
        <w:t xml:space="preserve">ꎬ </w:t>
      </w:r>
      <w:r>
        <w:t>在现场检查安全状况</w:t>
      </w:r>
      <w:r>
        <w:rPr>
          <w:rFonts w:hint="eastAsia" w:ascii="MS UI Gothic" w:eastAsia="MS UI Gothic"/>
          <w:w w:val="80"/>
        </w:rPr>
        <w:t xml:space="preserve">ꎻ </w:t>
      </w:r>
      <w:r>
        <w:t>发现有危及职工安全的紧急险情时</w:t>
      </w:r>
      <w:r>
        <w:rPr>
          <w:rFonts w:hint="eastAsia" w:ascii="MS UI Gothic" w:eastAsia="MS UI Gothic"/>
          <w:w w:val="80"/>
        </w:rPr>
        <w:t xml:space="preserve">ꎬ </w:t>
      </w:r>
      <w:r>
        <w:t>应当要求矿山企业立即处理</w:t>
      </w:r>
      <w:r>
        <w:rPr>
          <w:rFonts w:hint="eastAsia" w:ascii="MS UI Gothic" w:eastAsia="MS UI Gothic"/>
          <w:w w:val="80"/>
        </w:rPr>
        <w:t>ꎮ</w:t>
      </w:r>
    </w:p>
    <w:p>
      <w:pPr>
        <w:pStyle w:val="6"/>
        <w:tabs>
          <w:tab w:val="left" w:pos="2059"/>
        </w:tabs>
        <w:spacing w:before="151"/>
        <w:ind w:left="1221" w:firstLine="0"/>
        <w:jc w:val="left"/>
      </w:pPr>
      <w:r>
        <w:rPr>
          <w:spacing w:val="3"/>
          <w:w w:val="105"/>
        </w:rPr>
        <w:t>第六</w:t>
      </w:r>
      <w:r>
        <w:rPr>
          <w:w w:val="105"/>
        </w:rPr>
        <w:t>章</w:t>
      </w:r>
      <w:r>
        <w:rPr>
          <w:w w:val="105"/>
        </w:rPr>
        <w:tab/>
      </w:r>
      <w:r>
        <w:rPr>
          <w:spacing w:val="3"/>
          <w:w w:val="105"/>
        </w:rPr>
        <w:t>矿山事故处</w:t>
      </w:r>
      <w:r>
        <w:rPr>
          <w:w w:val="105"/>
        </w:rPr>
        <w:t>理</w:t>
      </w:r>
    </w:p>
    <w:p>
      <w:pPr>
        <w:pStyle w:val="6"/>
        <w:spacing w:before="216" w:line="295" w:lineRule="auto"/>
        <w:ind w:left="383" w:right="126"/>
        <w:rPr>
          <w:rFonts w:hint="eastAsia" w:ascii="MS UI Gothic" w:eastAsia="MS UI Gothic"/>
        </w:rPr>
      </w:pPr>
      <w:r>
        <w:t>第三十六条 发生矿山事故</w:t>
      </w:r>
      <w:r>
        <w:rPr>
          <w:rFonts w:hint="eastAsia" w:ascii="MS UI Gothic" w:eastAsia="MS UI Gothic"/>
          <w:w w:val="80"/>
        </w:rPr>
        <w:t xml:space="preserve">ꎬ </w:t>
      </w:r>
      <w:r>
        <w:t>矿山企业必须立即组织抢救</w:t>
      </w:r>
      <w:r>
        <w:rPr>
          <w:rFonts w:hint="eastAsia" w:ascii="MS UI Gothic" w:eastAsia="MS UI Gothic"/>
          <w:w w:val="80"/>
        </w:rPr>
        <w:t xml:space="preserve">ꎬ </w:t>
      </w:r>
      <w:r>
        <w:t>防止事故扩大</w:t>
      </w:r>
      <w:r>
        <w:rPr>
          <w:rFonts w:hint="eastAsia" w:ascii="MS UI Gothic" w:eastAsia="MS UI Gothic"/>
          <w:w w:val="80"/>
        </w:rPr>
        <w:t xml:space="preserve">ꎬ </w:t>
      </w:r>
      <w:r>
        <w:t>减少人员伤亡和财产损失</w:t>
      </w:r>
      <w:r>
        <w:rPr>
          <w:rFonts w:hint="eastAsia" w:ascii="MS UI Gothic" w:eastAsia="MS UI Gothic"/>
          <w:w w:val="80"/>
        </w:rPr>
        <w:t xml:space="preserve">ꎬ </w:t>
      </w:r>
      <w:r>
        <w:t>对伤亡事故必须立即如实报告劳动行政主管部门和管理矿山企业的主管部门</w:t>
      </w:r>
      <w:r>
        <w:rPr>
          <w:rFonts w:hint="eastAsia" w:ascii="MS UI Gothic" w:eastAsia="MS UI Gothic"/>
          <w:w w:val="80"/>
        </w:rPr>
        <w:t>ꎮ</w:t>
      </w:r>
    </w:p>
    <w:p>
      <w:pPr>
        <w:pStyle w:val="6"/>
        <w:spacing w:line="295" w:lineRule="auto"/>
        <w:ind w:left="383" w:right="126"/>
        <w:rPr>
          <w:rFonts w:hint="eastAsia" w:ascii="MS UI Gothic" w:eastAsia="MS UI Gothic"/>
        </w:rPr>
      </w:pPr>
      <w:r>
        <w:t>第三十七条 发生一般矿山事故</w:t>
      </w:r>
      <w:r>
        <w:rPr>
          <w:rFonts w:hint="eastAsia" w:ascii="MS UI Gothic" w:eastAsia="MS UI Gothic"/>
          <w:w w:val="80"/>
        </w:rPr>
        <w:t xml:space="preserve">ꎬ </w:t>
      </w:r>
      <w:r>
        <w:t>由矿山企业负责调查和处理</w:t>
      </w:r>
      <w:r>
        <w:rPr>
          <w:rFonts w:hint="eastAsia" w:ascii="MS UI Gothic" w:eastAsia="MS UI Gothic"/>
          <w:w w:val="80"/>
        </w:rPr>
        <w:t>ꎮ</w:t>
      </w:r>
    </w:p>
    <w:p>
      <w:pPr>
        <w:pStyle w:val="6"/>
        <w:spacing w:line="295" w:lineRule="auto"/>
        <w:ind w:left="383" w:right="126"/>
        <w:rPr>
          <w:rFonts w:hint="eastAsia" w:ascii="MS UI Gothic" w:eastAsia="MS UI Gothic"/>
        </w:rPr>
      </w:pPr>
      <w:r>
        <w:t>发生重大矿山事故</w:t>
      </w:r>
      <w:r>
        <w:rPr>
          <w:rFonts w:hint="eastAsia" w:ascii="MS UI Gothic" w:eastAsia="MS UI Gothic"/>
          <w:w w:val="80"/>
        </w:rPr>
        <w:t xml:space="preserve">ꎬ </w:t>
      </w:r>
      <w:r>
        <w:t>由政府及其有关部门</w:t>
      </w:r>
      <w:r>
        <w:rPr>
          <w:rFonts w:hint="eastAsia" w:ascii="MS UI Gothic" w:eastAsia="MS UI Gothic"/>
          <w:w w:val="80"/>
        </w:rPr>
        <w:t xml:space="preserve">、 </w:t>
      </w:r>
      <w:r>
        <w:t>工会和矿山企业按照行政法规的规定进行调查和处理</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３８８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64" o:spid="_x0000_s2164" o:spt="203" style="height:2.15pt;width:398.25pt;" coordsize="7965,43">
            <o:lock v:ext="edit"/>
            <v:line id="_x0000_s2165" o:spid="_x0000_s2165" o:spt="20" style="position:absolute;left:0;top:39;height:0;width:7965;" stroked="t" coordsize="21600,21600">
              <v:path arrowok="t"/>
              <v:fill focussize="0,0"/>
              <v:stroke weight="0.388031496062992pt" color="#231F20"/>
              <v:imagedata o:title=""/>
              <o:lock v:ext="edit"/>
            </v:line>
            <v:line id="_x0000_s2166" o:spid="_x0000_s216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5" w:line="295" w:lineRule="auto"/>
        <w:ind w:right="39"/>
        <w:rPr>
          <w:rFonts w:hint="eastAsia" w:ascii="MS UI Gothic" w:eastAsia="MS UI Gothic"/>
        </w:rPr>
      </w:pPr>
      <w:r>
        <w:rPr>
          <w:spacing w:val="2"/>
          <w:w w:val="105"/>
        </w:rPr>
        <w:t>第三十八条 矿山企业对矿山事故中</w:t>
      </w:r>
      <w:r>
        <w:rPr>
          <w:spacing w:val="11"/>
        </w:rPr>
        <w:t>伤亡的职工按照国家规定给予抚恤或者</w:t>
      </w:r>
      <w:r>
        <w:rPr>
          <w:spacing w:val="3"/>
          <w:w w:val="105"/>
        </w:rPr>
        <w:t>补偿</w:t>
      </w:r>
      <w:r>
        <w:rPr>
          <w:rFonts w:hint="eastAsia" w:ascii="MS UI Gothic" w:eastAsia="MS UI Gothic"/>
          <w:w w:val="80"/>
        </w:rPr>
        <w:t>ꎮ</w:t>
      </w:r>
    </w:p>
    <w:p>
      <w:pPr>
        <w:pStyle w:val="6"/>
        <w:spacing w:line="295" w:lineRule="auto"/>
        <w:ind w:right="39"/>
        <w:rPr>
          <w:rFonts w:hint="eastAsia" w:ascii="MS UI Gothic" w:eastAsia="MS UI Gothic"/>
        </w:rPr>
      </w:pPr>
      <w:r>
        <w:rPr>
          <w:spacing w:val="3"/>
        </w:rPr>
        <w:t>第三十九条 矿山事故发生后</w:t>
      </w:r>
      <w:r>
        <w:rPr>
          <w:rFonts w:hint="eastAsia" w:ascii="MS UI Gothic" w:eastAsia="MS UI Gothic"/>
          <w:spacing w:val="8"/>
          <w:w w:val="80"/>
        </w:rPr>
        <w:t xml:space="preserve">ꎬ </w:t>
      </w:r>
      <w:r>
        <w:rPr>
          <w:spacing w:val="1"/>
        </w:rPr>
        <w:t>应当</w:t>
      </w:r>
      <w:r>
        <w:rPr>
          <w:spacing w:val="3"/>
        </w:rPr>
        <w:t>尽快消除现场危险</w:t>
      </w:r>
      <w:r>
        <w:rPr>
          <w:rFonts w:hint="eastAsia" w:ascii="MS UI Gothic" w:eastAsia="MS UI Gothic"/>
          <w:spacing w:val="23"/>
          <w:w w:val="80"/>
        </w:rPr>
        <w:t xml:space="preserve">ꎬ </w:t>
      </w:r>
      <w:r>
        <w:rPr>
          <w:spacing w:val="3"/>
        </w:rPr>
        <w:t>查明事故原因</w:t>
      </w:r>
      <w:r>
        <w:rPr>
          <w:rFonts w:hint="eastAsia" w:ascii="MS UI Gothic" w:eastAsia="MS UI Gothic"/>
          <w:spacing w:val="23"/>
          <w:w w:val="80"/>
        </w:rPr>
        <w:t xml:space="preserve">ꎬ </w:t>
      </w:r>
      <w:r>
        <w:rPr>
          <w:spacing w:val="1"/>
        </w:rPr>
        <w:t>提出</w:t>
      </w:r>
      <w:r>
        <w:rPr>
          <w:spacing w:val="6"/>
        </w:rPr>
        <w:t>防范措施</w:t>
      </w:r>
      <w:r>
        <w:rPr>
          <w:rFonts w:hint="eastAsia" w:ascii="MS UI Gothic" w:eastAsia="MS UI Gothic"/>
          <w:spacing w:val="2"/>
          <w:w w:val="80"/>
        </w:rPr>
        <w:t xml:space="preserve">ꎮ </w:t>
      </w:r>
      <w:r>
        <w:rPr>
          <w:spacing w:val="20"/>
        </w:rPr>
        <w:t>现场危险消除后</w:t>
      </w:r>
      <w:r>
        <w:rPr>
          <w:rFonts w:hint="eastAsia" w:ascii="MS UI Gothic" w:eastAsia="MS UI Gothic"/>
          <w:spacing w:val="3"/>
          <w:w w:val="80"/>
        </w:rPr>
        <w:t xml:space="preserve">ꎬ </w:t>
      </w:r>
      <w:r>
        <w:rPr>
          <w:spacing w:val="17"/>
        </w:rPr>
        <w:t>方可恢复</w:t>
      </w:r>
      <w:r>
        <w:rPr>
          <w:spacing w:val="3"/>
        </w:rPr>
        <w:t>生产</w:t>
      </w:r>
      <w:r>
        <w:rPr>
          <w:rFonts w:hint="eastAsia" w:ascii="MS UI Gothic" w:eastAsia="MS UI Gothic"/>
          <w:w w:val="80"/>
        </w:rPr>
        <w:t>ꎮ</w:t>
      </w:r>
    </w:p>
    <w:p>
      <w:pPr>
        <w:pStyle w:val="6"/>
        <w:tabs>
          <w:tab w:val="left" w:pos="1906"/>
        </w:tabs>
        <w:spacing w:before="152"/>
        <w:ind w:left="1067" w:firstLine="0"/>
        <w:jc w:val="left"/>
      </w:pPr>
      <w:r>
        <w:rPr>
          <w:spacing w:val="3"/>
          <w:w w:val="105"/>
        </w:rPr>
        <w:t>第七</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right="39"/>
        <w:rPr>
          <w:rFonts w:hint="eastAsia" w:ascii="MS UI Gothic" w:eastAsia="MS UI Gothic"/>
        </w:rPr>
      </w:pPr>
      <w:r>
        <w:rPr>
          <w:w w:val="105"/>
        </w:rPr>
        <w:t>第四十条 违反本法规定</w:t>
      </w:r>
      <w:r>
        <w:rPr>
          <w:rFonts w:hint="eastAsia" w:ascii="MS UI Gothic" w:eastAsia="MS UI Gothic"/>
          <w:w w:val="80"/>
        </w:rPr>
        <w:t xml:space="preserve">ꎬ </w:t>
      </w:r>
      <w:r>
        <w:rPr>
          <w:w w:val="105"/>
        </w:rPr>
        <w:t>有下列行</w:t>
      </w:r>
      <w:r>
        <w:t>为之一的</w:t>
      </w:r>
      <w:r>
        <w:rPr>
          <w:rFonts w:hint="eastAsia" w:ascii="MS UI Gothic" w:eastAsia="MS UI Gothic"/>
          <w:w w:val="80"/>
        </w:rPr>
        <w:t xml:space="preserve">ꎬ </w:t>
      </w:r>
      <w:r>
        <w:t>由劳动行政主管部门责令改正</w:t>
      </w:r>
      <w:r>
        <w:rPr>
          <w:rFonts w:hint="eastAsia" w:ascii="MS UI Gothic" w:eastAsia="MS UI Gothic"/>
          <w:w w:val="80"/>
        </w:rPr>
        <w:t xml:space="preserve">ꎬ </w:t>
      </w:r>
      <w:r>
        <w:t>可以并处罚款</w:t>
      </w:r>
      <w:r>
        <w:rPr>
          <w:rFonts w:hint="eastAsia" w:ascii="MS UI Gothic" w:eastAsia="MS UI Gothic"/>
          <w:w w:val="80"/>
        </w:rPr>
        <w:t xml:space="preserve">ꎻ </w:t>
      </w:r>
      <w:r>
        <w:t>情节严重的</w:t>
      </w:r>
      <w:r>
        <w:rPr>
          <w:rFonts w:hint="eastAsia" w:ascii="MS UI Gothic" w:eastAsia="MS UI Gothic"/>
          <w:w w:val="80"/>
        </w:rPr>
        <w:t xml:space="preserve">ꎬ </w:t>
      </w:r>
      <w:r>
        <w:t>提请县级以上人民政府决定责令停产整顿</w:t>
      </w:r>
      <w:r>
        <w:rPr>
          <w:rFonts w:hint="eastAsia" w:ascii="MS UI Gothic" w:eastAsia="MS UI Gothic"/>
          <w:w w:val="80"/>
        </w:rPr>
        <w:t xml:space="preserve">ꎻ </w:t>
      </w:r>
      <w:r>
        <w:t>对主管人员和直接责任人员由其所在单位或者</w:t>
      </w:r>
      <w:r>
        <w:rPr>
          <w:w w:val="105"/>
        </w:rPr>
        <w:t>上级主管机关给予行政处分</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未对职工进行安全教育</w:t>
      </w:r>
      <w:r>
        <w:rPr>
          <w:rFonts w:hint="eastAsia" w:ascii="MS UI Gothic" w:eastAsia="MS UI Gothic"/>
          <w:w w:val="80"/>
        </w:rPr>
        <w:t xml:space="preserve">、 </w:t>
      </w:r>
      <w:r>
        <w:rPr>
          <w:w w:val="105"/>
        </w:rPr>
        <w:t>培训</w:t>
      </w:r>
      <w:r>
        <w:rPr>
          <w:rFonts w:hint="eastAsia" w:ascii="MS UI Gothic" w:eastAsia="MS UI Gothic"/>
          <w:w w:val="80"/>
        </w:rPr>
        <w:t xml:space="preserve">ꎬ </w:t>
      </w:r>
      <w:r>
        <w:rPr>
          <w:w w:val="105"/>
        </w:rPr>
        <w:t>分配职工上岗作业的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使用不符合国家安全标准或者行业安全标准的设备</w:t>
      </w:r>
      <w:r>
        <w:rPr>
          <w:rFonts w:hint="eastAsia" w:ascii="MS UI Gothic" w:eastAsia="MS UI Gothic"/>
          <w:w w:val="80"/>
        </w:rPr>
        <w:t xml:space="preserve">、 </w:t>
      </w:r>
      <w:r>
        <w:rPr>
          <w:w w:val="105"/>
        </w:rPr>
        <w:t>器材</w:t>
      </w:r>
      <w:r>
        <w:rPr>
          <w:rFonts w:hint="eastAsia" w:ascii="MS UI Gothic" w:eastAsia="MS UI Gothic"/>
          <w:w w:val="80"/>
        </w:rPr>
        <w:t xml:space="preserve">、 </w:t>
      </w:r>
      <w:r>
        <w:rPr>
          <w:w w:val="105"/>
        </w:rPr>
        <w:t>防护用品</w:t>
      </w:r>
      <w:r>
        <w:rPr>
          <w:rFonts w:hint="eastAsia" w:ascii="MS UI Gothic" w:eastAsia="MS UI Gothic"/>
          <w:w w:val="80"/>
        </w:rPr>
        <w:t>、</w:t>
      </w:r>
      <w:r>
        <w:rPr>
          <w:w w:val="105"/>
        </w:rPr>
        <w:t>安全检测仪器的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未按照规定提取或者使用安全</w:t>
      </w:r>
      <w:r>
        <w:rPr>
          <w:w w:val="110"/>
        </w:rPr>
        <w:t>技术措施专项费用的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拒绝矿山安全监督人员现场检查或者在被检查时隐瞒事故隐患</w:t>
      </w:r>
      <w:r>
        <w:rPr>
          <w:rFonts w:hint="eastAsia" w:ascii="MS UI Gothic" w:eastAsia="MS UI Gothic"/>
          <w:w w:val="80"/>
        </w:rPr>
        <w:t xml:space="preserve">、 </w:t>
      </w:r>
      <w:r>
        <w:rPr>
          <w:w w:val="105"/>
        </w:rPr>
        <w:t>不如实反映情况的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未按照规定及时</w:t>
      </w:r>
      <w:r>
        <w:rPr>
          <w:rFonts w:hint="eastAsia" w:ascii="MS UI Gothic" w:eastAsia="MS UI Gothic"/>
          <w:w w:val="80"/>
        </w:rPr>
        <w:t xml:space="preserve">、  </w:t>
      </w:r>
      <w:r>
        <w:rPr>
          <w:w w:val="105"/>
        </w:rPr>
        <w:t>如实报告矿山事故的</w:t>
      </w:r>
      <w:r>
        <w:rPr>
          <w:rFonts w:hint="eastAsia" w:ascii="MS UI Gothic" w:eastAsia="MS UI Gothic"/>
          <w:w w:val="80"/>
        </w:rPr>
        <w:t>ꎮ</w:t>
      </w:r>
    </w:p>
    <w:p>
      <w:pPr>
        <w:pStyle w:val="6"/>
        <w:spacing w:line="295" w:lineRule="auto"/>
        <w:ind w:right="39"/>
        <w:rPr>
          <w:rFonts w:hint="eastAsia" w:ascii="MS UI Gothic" w:eastAsia="MS UI Gothic"/>
        </w:rPr>
      </w:pPr>
      <w:r>
        <w:t>第四十一条 矿长不具备安全专业知识的</w:t>
      </w:r>
      <w:r>
        <w:rPr>
          <w:rFonts w:hint="eastAsia" w:ascii="MS UI Gothic" w:eastAsia="MS UI Gothic"/>
          <w:w w:val="80"/>
        </w:rPr>
        <w:t xml:space="preserve">ꎬ </w:t>
      </w:r>
      <w:r>
        <w:t>安全生产的特种作业人员未取得操作资格证书上岗作业的</w:t>
      </w:r>
      <w:r>
        <w:rPr>
          <w:rFonts w:hint="eastAsia" w:ascii="MS UI Gothic" w:eastAsia="MS UI Gothic"/>
          <w:w w:val="80"/>
        </w:rPr>
        <w:t xml:space="preserve">ꎬ </w:t>
      </w:r>
      <w:r>
        <w:t>由劳动行政主管部门责令限期改正</w:t>
      </w:r>
      <w:r>
        <w:rPr>
          <w:rFonts w:hint="eastAsia" w:ascii="MS UI Gothic" w:eastAsia="MS UI Gothic"/>
          <w:w w:val="80"/>
        </w:rPr>
        <w:t xml:space="preserve">ꎻ </w:t>
      </w:r>
      <w:r>
        <w:t>逾期不改正的</w:t>
      </w:r>
      <w:r>
        <w:rPr>
          <w:rFonts w:hint="eastAsia" w:ascii="MS UI Gothic" w:eastAsia="MS UI Gothic"/>
          <w:w w:val="80"/>
        </w:rPr>
        <w:t xml:space="preserve">ꎬ </w:t>
      </w:r>
      <w:r>
        <w:t>提请县级以上人民政府决定责令停产</w:t>
      </w:r>
      <w:r>
        <w:rPr>
          <w:rFonts w:hint="eastAsia" w:ascii="MS UI Gothic" w:eastAsia="MS UI Gothic"/>
          <w:w w:val="80"/>
        </w:rPr>
        <w:t xml:space="preserve">ꎬ </w:t>
      </w:r>
      <w:r>
        <w:t>调整配备合格人员后</w:t>
      </w:r>
      <w:r>
        <w:rPr>
          <w:rFonts w:hint="eastAsia" w:ascii="MS UI Gothic" w:eastAsia="MS UI Gothic"/>
          <w:w w:val="80"/>
        </w:rPr>
        <w:t xml:space="preserve">ꎬ </w:t>
      </w:r>
      <w:r>
        <w:t>方可恢复生产</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第四十二条 矿山建设工程安全设施</w:t>
      </w:r>
      <w:r>
        <w:t>的设计未经允准擅自施工的</w:t>
      </w:r>
      <w:r>
        <w:rPr>
          <w:rFonts w:hint="eastAsia" w:ascii="MS UI Gothic" w:eastAsia="MS UI Gothic"/>
          <w:w w:val="80"/>
        </w:rPr>
        <w:t xml:space="preserve">ꎬ </w:t>
      </w:r>
      <w:r>
        <w:t>由管理矿山企业的主管部门责令停止施工</w:t>
      </w:r>
      <w:r>
        <w:rPr>
          <w:rFonts w:hint="eastAsia" w:ascii="MS UI Gothic" w:eastAsia="MS UI Gothic"/>
          <w:w w:val="80"/>
        </w:rPr>
        <w:t xml:space="preserve">ꎻ </w:t>
      </w:r>
      <w:r>
        <w:t>拒不执行的</w:t>
      </w:r>
      <w:r>
        <w:rPr>
          <w:rFonts w:hint="eastAsia" w:ascii="MS UI Gothic" w:eastAsia="MS UI Gothic"/>
          <w:w w:val="80"/>
        </w:rPr>
        <w:t xml:space="preserve">ꎬ </w:t>
      </w:r>
      <w:r>
        <w:t>由管理矿山企业的主管部门提请县级以上人民政府决定由有关主管部门吊销其</w:t>
      </w:r>
      <w:r>
        <w:rPr>
          <w:w w:val="105"/>
        </w:rPr>
        <w:t>采矿许可证和营业执照</w:t>
      </w:r>
      <w:r>
        <w:rPr>
          <w:rFonts w:hint="eastAsia" w:ascii="MS UI Gothic" w:eastAsia="MS UI Gothic"/>
          <w:w w:val="80"/>
        </w:rPr>
        <w:t>ꎮ</w:t>
      </w:r>
    </w:p>
    <w:p>
      <w:pPr>
        <w:pStyle w:val="6"/>
        <w:spacing w:before="85" w:line="295" w:lineRule="auto"/>
        <w:ind w:right="440"/>
        <w:rPr>
          <w:rFonts w:hint="eastAsia" w:ascii="MS UI Gothic" w:eastAsia="MS UI Gothic"/>
        </w:rPr>
      </w:pPr>
      <w:r>
        <w:br w:type="column"/>
      </w:r>
      <w:r>
        <w:rPr>
          <w:w w:val="105"/>
        </w:rPr>
        <w:t>第四十三条 矿山建设工程的安全设</w:t>
      </w:r>
      <w:r>
        <w:t>施未经验收或者验收不合格擅自投入生产的</w:t>
      </w:r>
      <w:r>
        <w:rPr>
          <w:rFonts w:hint="eastAsia" w:ascii="MS UI Gothic" w:eastAsia="MS UI Gothic"/>
          <w:w w:val="80"/>
        </w:rPr>
        <w:t xml:space="preserve">ꎬ </w:t>
      </w:r>
      <w:r>
        <w:t>由劳动行政主管部门会同管理矿山企业的主管部门责令停止生产</w:t>
      </w:r>
      <w:r>
        <w:rPr>
          <w:rFonts w:hint="eastAsia" w:ascii="MS UI Gothic" w:eastAsia="MS UI Gothic"/>
          <w:w w:val="80"/>
        </w:rPr>
        <w:t xml:space="preserve">ꎬ </w:t>
      </w:r>
      <w:r>
        <w:t>并由劳动行政主管部门处以罚款</w:t>
      </w:r>
      <w:r>
        <w:rPr>
          <w:rFonts w:hint="eastAsia" w:ascii="MS UI Gothic" w:eastAsia="MS UI Gothic"/>
          <w:w w:val="80"/>
        </w:rPr>
        <w:t xml:space="preserve">ꎻ </w:t>
      </w:r>
      <w:r>
        <w:t>拒不停止生产的</w:t>
      </w:r>
      <w:r>
        <w:rPr>
          <w:rFonts w:hint="eastAsia" w:ascii="MS UI Gothic" w:eastAsia="MS UI Gothic"/>
          <w:w w:val="80"/>
        </w:rPr>
        <w:t>ꎬ</w:t>
      </w:r>
      <w:r>
        <w:t>由劳动行政主管部门提请县级以上人民政府决定由有关主管部门吊销其采矿许可证</w:t>
      </w:r>
      <w:r>
        <w:rPr>
          <w:w w:val="105"/>
        </w:rPr>
        <w:t>和营业执照</w:t>
      </w:r>
      <w:r>
        <w:rPr>
          <w:rFonts w:hint="eastAsia" w:ascii="MS UI Gothic" w:eastAsia="MS UI Gothic"/>
          <w:w w:val="80"/>
        </w:rPr>
        <w:t>ꎮ</w:t>
      </w:r>
    </w:p>
    <w:p>
      <w:pPr>
        <w:pStyle w:val="6"/>
        <w:spacing w:line="295" w:lineRule="auto"/>
        <w:ind w:right="440"/>
        <w:rPr>
          <w:rFonts w:hint="eastAsia" w:ascii="MS UI Gothic" w:eastAsia="MS UI Gothic"/>
        </w:rPr>
      </w:pPr>
      <w:r>
        <w:rPr>
          <w:spacing w:val="2"/>
          <w:w w:val="105"/>
        </w:rPr>
        <w:t>第四十四条 已经投入生产的矿山企</w:t>
      </w:r>
      <w:r>
        <w:rPr>
          <w:spacing w:val="3"/>
        </w:rPr>
        <w:t>业</w:t>
      </w:r>
      <w:r>
        <w:rPr>
          <w:rFonts w:hint="eastAsia" w:ascii="MS UI Gothic" w:eastAsia="MS UI Gothic"/>
          <w:spacing w:val="19"/>
          <w:w w:val="80"/>
        </w:rPr>
        <w:t xml:space="preserve">ꎬ </w:t>
      </w:r>
      <w:r>
        <w:rPr>
          <w:spacing w:val="6"/>
        </w:rPr>
        <w:t>不具备安全生产条件而强行开采的</w:t>
      </w:r>
      <w:r>
        <w:rPr>
          <w:rFonts w:hint="eastAsia" w:ascii="MS UI Gothic" w:eastAsia="MS UI Gothic"/>
          <w:w w:val="80"/>
        </w:rPr>
        <w:t>ꎬ</w:t>
      </w:r>
      <w:r>
        <w:rPr>
          <w:spacing w:val="2"/>
        </w:rPr>
        <w:t>由劳动行政主管部门会同管理矿山企业的</w:t>
      </w:r>
      <w:r>
        <w:rPr>
          <w:spacing w:val="3"/>
        </w:rPr>
        <w:t>主管部门责令限期改进</w:t>
      </w:r>
      <w:r>
        <w:rPr>
          <w:rFonts w:hint="eastAsia" w:ascii="MS UI Gothic" w:eastAsia="MS UI Gothic"/>
          <w:spacing w:val="19"/>
          <w:w w:val="80"/>
        </w:rPr>
        <w:t xml:space="preserve">ꎻ </w:t>
      </w:r>
      <w:r>
        <w:rPr>
          <w:spacing w:val="2"/>
        </w:rPr>
        <w:t>逾期仍不具备安</w:t>
      </w:r>
      <w:r>
        <w:rPr>
          <w:spacing w:val="3"/>
        </w:rPr>
        <w:t>全生产条件的</w:t>
      </w:r>
      <w:r>
        <w:rPr>
          <w:rFonts w:hint="eastAsia" w:ascii="MS UI Gothic" w:eastAsia="MS UI Gothic"/>
          <w:spacing w:val="19"/>
          <w:w w:val="80"/>
        </w:rPr>
        <w:t xml:space="preserve">ꎬ </w:t>
      </w:r>
      <w:r>
        <w:rPr>
          <w:spacing w:val="2"/>
        </w:rPr>
        <w:t>由劳动行政主管部门提请县级以上人民政府决定责令停产整顿或者由有关主管部门吊销其采矿许可证和营业</w:t>
      </w:r>
      <w:r>
        <w:rPr>
          <w:spacing w:val="3"/>
          <w:w w:val="105"/>
        </w:rPr>
        <w:t>执照</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第四十五条 当事人对行政处罚决定</w:t>
      </w:r>
      <w:r>
        <w:rPr>
          <w:spacing w:val="3"/>
        </w:rPr>
        <w:t>不服的</w:t>
      </w:r>
      <w:r>
        <w:rPr>
          <w:rFonts w:hint="eastAsia" w:ascii="MS UI Gothic" w:eastAsia="MS UI Gothic"/>
          <w:spacing w:val="20"/>
          <w:w w:val="80"/>
        </w:rPr>
        <w:t xml:space="preserve">ꎬ </w:t>
      </w:r>
      <w:r>
        <w:rPr>
          <w:spacing w:val="2"/>
        </w:rPr>
        <w:t>可以在接到处罚决定通知之日起十五日内向作出处罚决定的机关的上一级</w:t>
      </w:r>
      <w:r>
        <w:rPr>
          <w:spacing w:val="3"/>
        </w:rPr>
        <w:t>机关申请复议</w:t>
      </w:r>
      <w:r>
        <w:rPr>
          <w:rFonts w:hint="eastAsia" w:ascii="MS UI Gothic" w:eastAsia="MS UI Gothic"/>
          <w:spacing w:val="20"/>
          <w:w w:val="80"/>
        </w:rPr>
        <w:t xml:space="preserve">ꎻ </w:t>
      </w:r>
      <w:r>
        <w:rPr>
          <w:spacing w:val="2"/>
        </w:rPr>
        <w:t>当事人也可以在接到处罚决定通知之日起十五日内直接向人民法院</w:t>
      </w:r>
      <w:r>
        <w:rPr>
          <w:spacing w:val="3"/>
          <w:w w:val="105"/>
        </w:rPr>
        <w:t>起诉</w:t>
      </w:r>
      <w:r>
        <w:rPr>
          <w:rFonts w:hint="eastAsia" w:ascii="MS UI Gothic" w:eastAsia="MS UI Gothic"/>
          <w:w w:val="80"/>
        </w:rPr>
        <w:t>ꎮ</w:t>
      </w:r>
    </w:p>
    <w:p>
      <w:pPr>
        <w:pStyle w:val="6"/>
        <w:spacing w:line="295" w:lineRule="auto"/>
        <w:ind w:right="442"/>
        <w:rPr>
          <w:rFonts w:hint="eastAsia" w:ascii="MS UI Gothic" w:eastAsia="MS UI Gothic"/>
        </w:rPr>
      </w:pPr>
      <w:r>
        <w:t>复议机关应当在接到复议申请之日起六十日内作出复议决定</w:t>
      </w:r>
      <w:r>
        <w:rPr>
          <w:rFonts w:hint="eastAsia" w:ascii="MS UI Gothic" w:eastAsia="MS UI Gothic"/>
          <w:w w:val="80"/>
        </w:rPr>
        <w:t xml:space="preserve">ꎮ </w:t>
      </w:r>
      <w:r>
        <w:t>当事人对复议决定不服的</w:t>
      </w:r>
      <w:r>
        <w:rPr>
          <w:rFonts w:hint="eastAsia" w:ascii="MS UI Gothic" w:eastAsia="MS UI Gothic"/>
          <w:w w:val="80"/>
        </w:rPr>
        <w:t xml:space="preserve">ꎬ </w:t>
      </w:r>
      <w:r>
        <w:t>可以在接到复议决定之日起十五日内向人民法院起诉</w:t>
      </w:r>
      <w:r>
        <w:rPr>
          <w:rFonts w:hint="eastAsia" w:ascii="MS UI Gothic" w:eastAsia="MS UI Gothic"/>
          <w:w w:val="80"/>
        </w:rPr>
        <w:t xml:space="preserve">ꎮ </w:t>
      </w:r>
      <w:r>
        <w:t>复议机关逾期不作出复议决定的</w:t>
      </w:r>
      <w:r>
        <w:rPr>
          <w:rFonts w:hint="eastAsia" w:ascii="MS UI Gothic" w:eastAsia="MS UI Gothic"/>
          <w:w w:val="80"/>
        </w:rPr>
        <w:t xml:space="preserve">ꎬ </w:t>
      </w:r>
      <w:r>
        <w:t>当事人可以在复议期满</w:t>
      </w:r>
      <w:r>
        <w:rPr>
          <w:w w:val="105"/>
        </w:rPr>
        <w:t>之日起十五日内向人民法院起诉</w:t>
      </w:r>
      <w:r>
        <w:rPr>
          <w:rFonts w:hint="eastAsia" w:ascii="MS UI Gothic" w:eastAsia="MS UI Gothic"/>
          <w:w w:val="80"/>
        </w:rPr>
        <w:t>ꎮ</w:t>
      </w:r>
    </w:p>
    <w:p>
      <w:pPr>
        <w:pStyle w:val="6"/>
        <w:spacing w:line="295" w:lineRule="auto"/>
        <w:ind w:right="442"/>
        <w:rPr>
          <w:rFonts w:hint="eastAsia" w:ascii="MS UI Gothic" w:eastAsia="MS UI Gothic"/>
        </w:rPr>
      </w:pPr>
      <w:r>
        <w:t>当事人逾期不申请复议也不向人民法</w:t>
      </w:r>
      <w:r>
        <w:rPr>
          <w:w w:val="105"/>
        </w:rPr>
        <w:t>院起诉</w:t>
      </w:r>
      <w:r>
        <w:rPr>
          <w:rFonts w:hint="eastAsia" w:ascii="MS UI Gothic" w:eastAsia="MS UI Gothic"/>
          <w:w w:val="80"/>
        </w:rPr>
        <w:t xml:space="preserve">、 </w:t>
      </w:r>
      <w:r>
        <w:rPr>
          <w:w w:val="105"/>
        </w:rPr>
        <w:t>又不履行处罚决定的</w:t>
      </w:r>
      <w:r>
        <w:rPr>
          <w:rFonts w:hint="eastAsia" w:ascii="MS UI Gothic" w:eastAsia="MS UI Gothic"/>
          <w:w w:val="80"/>
        </w:rPr>
        <w:t xml:space="preserve">ꎬ </w:t>
      </w:r>
      <w:r>
        <w:rPr>
          <w:w w:val="105"/>
        </w:rPr>
        <w:t>作出处罚</w:t>
      </w:r>
      <w:r>
        <w:t>决定的机关可以申请人民法院强制执行</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第四十六条 矿山企业主管人员违章</w:t>
      </w:r>
      <w:r>
        <w:rPr>
          <w:spacing w:val="3"/>
        </w:rPr>
        <w:t>指挥</w:t>
      </w:r>
      <w:r>
        <w:rPr>
          <w:rFonts w:hint="eastAsia" w:ascii="MS UI Gothic" w:eastAsia="MS UI Gothic"/>
          <w:spacing w:val="11"/>
          <w:w w:val="80"/>
        </w:rPr>
        <w:t xml:space="preserve">、 </w:t>
      </w:r>
      <w:r>
        <w:rPr>
          <w:spacing w:val="3"/>
        </w:rPr>
        <w:t>强令工人冒险作业</w:t>
      </w:r>
      <w:r>
        <w:rPr>
          <w:rFonts w:hint="eastAsia" w:ascii="MS UI Gothic" w:eastAsia="MS UI Gothic"/>
          <w:spacing w:val="11"/>
          <w:w w:val="80"/>
        </w:rPr>
        <w:t xml:space="preserve">ꎬ </w:t>
      </w:r>
      <w:r>
        <w:rPr>
          <w:spacing w:val="2"/>
        </w:rPr>
        <w:t>因而发生重大</w:t>
      </w:r>
      <w:r>
        <w:rPr>
          <w:spacing w:val="3"/>
        </w:rPr>
        <w:t>伤亡事故的</w:t>
      </w:r>
      <w:r>
        <w:rPr>
          <w:rFonts w:hint="eastAsia" w:ascii="MS UI Gothic" w:eastAsia="MS UI Gothic"/>
          <w:spacing w:val="20"/>
          <w:w w:val="80"/>
        </w:rPr>
        <w:t xml:space="preserve">ꎬ </w:t>
      </w:r>
      <w:r>
        <w:rPr>
          <w:spacing w:val="2"/>
        </w:rPr>
        <w:t>依照刑法有关规定追究刑事</w:t>
      </w:r>
      <w:r>
        <w:rPr>
          <w:spacing w:val="3"/>
        </w:rPr>
        <w:t>责任</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第四十七条 矿山企业主管人员对矿</w:t>
      </w:r>
      <w:r>
        <w:rPr>
          <w:spacing w:val="3"/>
        </w:rPr>
        <w:t>山事故隐患不采取措施</w:t>
      </w:r>
      <w:r>
        <w:rPr>
          <w:rFonts w:hint="eastAsia" w:ascii="MS UI Gothic" w:eastAsia="MS UI Gothic"/>
          <w:spacing w:val="20"/>
          <w:w w:val="80"/>
        </w:rPr>
        <w:t xml:space="preserve">ꎬ </w:t>
      </w:r>
      <w:r>
        <w:rPr>
          <w:spacing w:val="2"/>
        </w:rPr>
        <w:t>因而发生重大伤</w:t>
      </w:r>
      <w:r>
        <w:rPr>
          <w:spacing w:val="8"/>
        </w:rPr>
        <w:t>亡事故的</w:t>
      </w:r>
      <w:r>
        <w:rPr>
          <w:rFonts w:hint="eastAsia" w:ascii="MS UI Gothic" w:eastAsia="MS UI Gothic"/>
          <w:spacing w:val="23"/>
          <w:w w:val="80"/>
        </w:rPr>
        <w:t xml:space="preserve">ꎬ </w:t>
      </w:r>
      <w:r>
        <w:rPr>
          <w:spacing w:val="17"/>
        </w:rPr>
        <w:t>依照刑法有关规定追究刑事</w:t>
      </w:r>
      <w:r>
        <w:rPr>
          <w:spacing w:val="3"/>
        </w:rPr>
        <w:t>责任</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３８９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67" o:spid="_x0000_s2167" o:spt="203" style="height:2.15pt;width:398.25pt;" coordsize="7965,43">
            <o:lock v:ext="edit"/>
            <v:line id="_x0000_s2168" o:spid="_x0000_s2168" o:spt="20" style="position:absolute;left:0;top:39;height:0;width:7965;" stroked="t" coordsize="21600,21600">
              <v:path arrowok="t"/>
              <v:fill focussize="0,0"/>
              <v:stroke weight="0.388031496062992pt" color="#231F20"/>
              <v:imagedata o:title=""/>
              <o:lock v:ext="edit"/>
            </v:line>
            <v:line id="_x0000_s2169" o:spid="_x0000_s216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t>第四十八条 矿山安全监督人员和安全管理人员滥用职权</w:t>
      </w:r>
      <w:r>
        <w:rPr>
          <w:rFonts w:hint="eastAsia" w:ascii="MS UI Gothic" w:eastAsia="MS UI Gothic"/>
          <w:w w:val="80"/>
        </w:rPr>
        <w:t xml:space="preserve">ꎬ </w:t>
      </w:r>
      <w:r>
        <w:t>玩忽职守</w:t>
      </w:r>
      <w:r>
        <w:rPr>
          <w:rFonts w:hint="eastAsia" w:ascii="MS UI Gothic" w:eastAsia="MS UI Gothic"/>
        </w:rPr>
        <w:t xml:space="preserve">、 </w:t>
      </w:r>
      <w:r>
        <w:t>徇私舞弊</w:t>
      </w:r>
      <w:r>
        <w:rPr>
          <w:rFonts w:hint="eastAsia" w:ascii="MS UI Gothic" w:eastAsia="MS UI Gothic"/>
          <w:w w:val="80"/>
        </w:rPr>
        <w:t xml:space="preserve">ꎬ </w:t>
      </w:r>
      <w:r>
        <w:t>构成犯罪的</w:t>
      </w:r>
      <w:r>
        <w:rPr>
          <w:rFonts w:hint="eastAsia" w:ascii="MS UI Gothic" w:eastAsia="MS UI Gothic"/>
          <w:w w:val="80"/>
        </w:rPr>
        <w:t xml:space="preserve">ꎬ </w:t>
      </w:r>
      <w:r>
        <w:t>依法追究刑事责任</w:t>
      </w:r>
      <w:r>
        <w:rPr>
          <w:rFonts w:hint="eastAsia" w:ascii="MS UI Gothic" w:eastAsia="MS UI Gothic"/>
          <w:w w:val="80"/>
        </w:rPr>
        <w:t xml:space="preserve">ꎻ </w:t>
      </w:r>
      <w:r>
        <w:t>不构成犯罪的</w:t>
      </w:r>
      <w:r>
        <w:rPr>
          <w:rFonts w:hint="eastAsia" w:ascii="MS UI Gothic" w:eastAsia="MS UI Gothic"/>
          <w:w w:val="80"/>
        </w:rPr>
        <w:t xml:space="preserve">ꎬ </w:t>
      </w:r>
      <w:r>
        <w:t>给予行政处分</w:t>
      </w:r>
      <w:r>
        <w:rPr>
          <w:rFonts w:hint="eastAsia" w:ascii="MS UI Gothic" w:eastAsia="MS UI Gothic"/>
          <w:w w:val="80"/>
        </w:rPr>
        <w:t>ꎮ</w:t>
      </w:r>
    </w:p>
    <w:p>
      <w:pPr>
        <w:pStyle w:val="6"/>
        <w:tabs>
          <w:tab w:val="left" w:pos="2327"/>
          <w:tab w:val="left" w:pos="2956"/>
        </w:tabs>
        <w:spacing w:before="154"/>
        <w:ind w:left="1488" w:firstLine="0"/>
        <w:jc w:val="left"/>
      </w:pPr>
      <w:r>
        <w:rPr>
          <w:spacing w:val="3"/>
          <w:w w:val="105"/>
        </w:rPr>
        <w:t>第八</w:t>
      </w:r>
      <w:r>
        <w:rPr>
          <w:w w:val="105"/>
        </w:rPr>
        <w:t>章</w:t>
      </w:r>
      <w:r>
        <w:rPr>
          <w:w w:val="105"/>
        </w:rPr>
        <w:tab/>
      </w:r>
      <w:r>
        <w:rPr>
          <w:w w:val="105"/>
        </w:rPr>
        <w:t>附</w:t>
      </w:r>
      <w:r>
        <w:rPr>
          <w:w w:val="105"/>
        </w:rPr>
        <w:tab/>
      </w:r>
      <w:r>
        <w:rPr>
          <w:w w:val="105"/>
        </w:rPr>
        <w:t>则</w:t>
      </w:r>
    </w:p>
    <w:p>
      <w:pPr>
        <w:pStyle w:val="6"/>
        <w:spacing w:before="215" w:line="295" w:lineRule="auto"/>
        <w:ind w:left="440"/>
        <w:rPr>
          <w:rFonts w:hint="eastAsia" w:ascii="MS UI Gothic" w:eastAsia="MS UI Gothic"/>
        </w:rPr>
      </w:pPr>
      <w:r>
        <w:t>第四十九条 国务院劳动行政主管部门根据本法制定实施条例</w:t>
      </w:r>
      <w:r>
        <w:rPr>
          <w:rFonts w:hint="eastAsia" w:ascii="MS UI Gothic" w:eastAsia="MS UI Gothic"/>
          <w:w w:val="80"/>
        </w:rPr>
        <w:t xml:space="preserve">ꎬ </w:t>
      </w:r>
      <w:r>
        <w:t>报国务院批准施行</w:t>
      </w:r>
      <w:r>
        <w:rPr>
          <w:rFonts w:hint="eastAsia" w:ascii="MS UI Gothic" w:eastAsia="MS UI Gothic"/>
          <w:w w:val="80"/>
        </w:rPr>
        <w:t>ꎮ</w:t>
      </w:r>
    </w:p>
    <w:p>
      <w:pPr>
        <w:pStyle w:val="6"/>
        <w:spacing w:line="295" w:lineRule="auto"/>
        <w:ind w:left="440"/>
        <w:rPr>
          <w:rFonts w:hint="eastAsia" w:ascii="MS UI Gothic" w:eastAsia="MS UI Gothic"/>
        </w:rPr>
      </w:pPr>
      <w:r>
        <w:t>省</w:t>
      </w:r>
      <w:r>
        <w:rPr>
          <w:rFonts w:hint="eastAsia" w:ascii="MS UI Gothic" w:eastAsia="MS UI Gothic"/>
          <w:w w:val="80"/>
        </w:rPr>
        <w:t xml:space="preserve">、 </w:t>
      </w:r>
      <w:r>
        <w:t>自治区</w:t>
      </w:r>
      <w:r>
        <w:rPr>
          <w:rFonts w:hint="eastAsia" w:ascii="MS UI Gothic" w:eastAsia="MS UI Gothic"/>
          <w:w w:val="80"/>
        </w:rPr>
        <w:t xml:space="preserve">、 </w:t>
      </w:r>
      <w:r>
        <w:t>直辖市人民代表大会常务委员会可以根据本法和本地区的实际情况</w:t>
      </w:r>
      <w:r>
        <w:rPr>
          <w:rFonts w:hint="eastAsia" w:ascii="MS UI Gothic" w:eastAsia="MS UI Gothic"/>
          <w:w w:val="80"/>
        </w:rPr>
        <w:t xml:space="preserve">ꎬ </w:t>
      </w:r>
      <w:r>
        <w:t>制定实施办法</w:t>
      </w:r>
      <w:r>
        <w:rPr>
          <w:rFonts w:hint="eastAsia" w:ascii="MS UI Gothic" w:eastAsia="MS UI Gothic"/>
          <w:w w:val="80"/>
        </w:rPr>
        <w:t>ꎮ</w:t>
      </w:r>
    </w:p>
    <w:p>
      <w:pPr>
        <w:pStyle w:val="6"/>
        <w:tabs>
          <w:tab w:val="left" w:pos="1908"/>
        </w:tabs>
        <w:spacing w:line="254" w:lineRule="exact"/>
        <w:ind w:left="860" w:firstLine="0"/>
        <w:jc w:val="left"/>
      </w:pPr>
      <w:r>
        <w:rPr>
          <w:spacing w:val="3"/>
          <w:w w:val="105"/>
        </w:rPr>
        <w:t>第五十</w:t>
      </w:r>
      <w:r>
        <w:rPr>
          <w:w w:val="105"/>
        </w:rPr>
        <w:t>条</w:t>
      </w:r>
      <w:r>
        <w:rPr>
          <w:w w:val="105"/>
        </w:rPr>
        <w:tab/>
      </w:r>
      <w:r>
        <w:rPr>
          <w:spacing w:val="3"/>
        </w:rPr>
        <w:t>本法自一九九三年五月</w:t>
      </w:r>
      <w:r>
        <w:rPr>
          <w:spacing w:val="-12"/>
        </w:rPr>
        <w:t>一</w:t>
      </w:r>
    </w:p>
    <w:p>
      <w:pPr>
        <w:pStyle w:val="6"/>
        <w:spacing w:before="124"/>
        <w:ind w:left="383" w:firstLine="0"/>
        <w:jc w:val="left"/>
        <w:rPr>
          <w:rFonts w:hint="eastAsia" w:ascii="MS UI Gothic" w:eastAsia="MS UI Gothic"/>
        </w:rPr>
      </w:pPr>
      <w:r>
        <w:br w:type="column"/>
      </w:r>
      <w:r>
        <w:t>日起施行</w:t>
      </w:r>
      <w:r>
        <w:rPr>
          <w:rFonts w:hint="eastAsia" w:ascii="MS UI Gothic" w:eastAsia="MS UI Gothic"/>
          <w:w w:val="80"/>
        </w:rPr>
        <w:t>ꎮ</w:t>
      </w:r>
    </w:p>
    <w:p>
      <w:pPr>
        <w:pStyle w:val="6"/>
        <w:spacing w:before="58"/>
        <w:ind w:left="802" w:firstLine="0"/>
        <w:jc w:val="left"/>
      </w:pPr>
      <w:r>
        <w:rPr>
          <w:w w:val="115"/>
        </w:rPr>
        <w:t>附</w:t>
      </w:r>
      <w:r>
        <w:rPr>
          <w:rFonts w:hint="eastAsia" w:ascii="Microsoft Yi Baiti" w:eastAsia="Microsoft Yi Baiti"/>
          <w:w w:val="195"/>
        </w:rPr>
        <w:t xml:space="preserve">: </w:t>
      </w:r>
      <w:r>
        <w:rPr>
          <w:w w:val="115"/>
        </w:rPr>
        <w:t>刑法有关条款</w:t>
      </w:r>
    </w:p>
    <w:p>
      <w:pPr>
        <w:pStyle w:val="6"/>
        <w:spacing w:before="58" w:line="295" w:lineRule="auto"/>
        <w:ind w:left="383" w:right="126"/>
        <w:rPr>
          <w:rFonts w:hint="eastAsia" w:ascii="MS UI Gothic" w:eastAsia="MS UI Gothic"/>
        </w:rPr>
      </w:pPr>
      <w:r>
        <w:t>第一百一十四条 工厂</w:t>
      </w:r>
      <w:r>
        <w:rPr>
          <w:rFonts w:hint="eastAsia" w:ascii="MS UI Gothic" w:eastAsia="MS UI Gothic"/>
          <w:w w:val="80"/>
        </w:rPr>
        <w:t xml:space="preserve">、 </w:t>
      </w:r>
      <w:r>
        <w:t>矿山</w:t>
      </w:r>
      <w:r>
        <w:rPr>
          <w:rFonts w:hint="eastAsia" w:ascii="MS UI Gothic" w:eastAsia="MS UI Gothic"/>
          <w:w w:val="80"/>
        </w:rPr>
        <w:t xml:space="preserve">、  </w:t>
      </w:r>
      <w:r>
        <w:t>林场</w:t>
      </w:r>
      <w:r>
        <w:rPr>
          <w:rFonts w:hint="eastAsia" w:ascii="MS UI Gothic" w:eastAsia="MS UI Gothic"/>
          <w:w w:val="80"/>
        </w:rPr>
        <w:t xml:space="preserve">、 </w:t>
      </w:r>
      <w:r>
        <w:t>建筑企业或者其他企业</w:t>
      </w:r>
      <w:r>
        <w:rPr>
          <w:rFonts w:hint="eastAsia" w:ascii="MS UI Gothic" w:eastAsia="MS UI Gothic"/>
          <w:w w:val="80"/>
        </w:rPr>
        <w:t xml:space="preserve">、 </w:t>
      </w:r>
      <w:r>
        <w:t>事业单位的职工</w:t>
      </w:r>
      <w:r>
        <w:rPr>
          <w:rFonts w:hint="eastAsia" w:ascii="MS UI Gothic" w:eastAsia="MS UI Gothic"/>
          <w:w w:val="80"/>
        </w:rPr>
        <w:t xml:space="preserve">ꎬ </w:t>
      </w:r>
      <w:r>
        <w:t>由于不服管理</w:t>
      </w:r>
      <w:r>
        <w:rPr>
          <w:rFonts w:hint="eastAsia" w:ascii="MS UI Gothic" w:eastAsia="MS UI Gothic"/>
          <w:w w:val="80"/>
        </w:rPr>
        <w:t xml:space="preserve">、 </w:t>
      </w:r>
      <w:r>
        <w:t>违反规章制度</w:t>
      </w:r>
      <w:r>
        <w:rPr>
          <w:rFonts w:hint="eastAsia" w:ascii="MS UI Gothic" w:eastAsia="MS UI Gothic"/>
          <w:w w:val="80"/>
        </w:rPr>
        <w:t xml:space="preserve">ꎬ </w:t>
      </w:r>
      <w:r>
        <w:t>或者强令工人违章冒险作业</w:t>
      </w:r>
      <w:r>
        <w:rPr>
          <w:rFonts w:hint="eastAsia" w:ascii="MS UI Gothic" w:eastAsia="MS UI Gothic"/>
          <w:w w:val="80"/>
        </w:rPr>
        <w:t xml:space="preserve">ꎬ </w:t>
      </w:r>
      <w:r>
        <w:t>因而发生重大伤亡事故</w:t>
      </w:r>
      <w:r>
        <w:rPr>
          <w:rFonts w:hint="eastAsia" w:ascii="MS UI Gothic" w:eastAsia="MS UI Gothic"/>
          <w:w w:val="80"/>
        </w:rPr>
        <w:t xml:space="preserve">ꎬ </w:t>
      </w:r>
      <w:r>
        <w:t>造成严重后果的</w:t>
      </w:r>
      <w:r>
        <w:rPr>
          <w:rFonts w:hint="eastAsia" w:ascii="MS UI Gothic" w:eastAsia="MS UI Gothic"/>
          <w:w w:val="80"/>
        </w:rPr>
        <w:t xml:space="preserve">ꎬ </w:t>
      </w:r>
      <w:r>
        <w:t>处三年以下有期徒刑或者拘役</w:t>
      </w:r>
      <w:r>
        <w:rPr>
          <w:rFonts w:hint="eastAsia" w:ascii="MS UI Gothic" w:eastAsia="MS UI Gothic"/>
          <w:w w:val="80"/>
        </w:rPr>
        <w:t xml:space="preserve">ꎻ </w:t>
      </w:r>
      <w:r>
        <w:t>情节特别恶劣的</w:t>
      </w:r>
      <w:r>
        <w:rPr>
          <w:rFonts w:hint="eastAsia" w:ascii="MS UI Gothic" w:eastAsia="MS UI Gothic"/>
          <w:w w:val="80"/>
        </w:rPr>
        <w:t xml:space="preserve">ꎬ </w:t>
      </w:r>
      <w:r>
        <w:t>处三年以上七年以下有期徒刑</w:t>
      </w:r>
      <w:r>
        <w:rPr>
          <w:rFonts w:hint="eastAsia" w:ascii="MS UI Gothic" w:eastAsia="MS UI Gothic"/>
          <w:w w:val="80"/>
        </w:rPr>
        <w:t xml:space="preserve">ꎮ </w:t>
      </w:r>
      <w:r>
        <w:t>第一百八十七条 国家工作人员由于玩忽职守</w:t>
      </w:r>
      <w:r>
        <w:rPr>
          <w:rFonts w:hint="eastAsia" w:ascii="MS UI Gothic" w:eastAsia="MS UI Gothic"/>
          <w:w w:val="80"/>
        </w:rPr>
        <w:t xml:space="preserve">ꎬ </w:t>
      </w:r>
      <w:r>
        <w:t>致使公共财产</w:t>
      </w:r>
      <w:r>
        <w:rPr>
          <w:rFonts w:hint="eastAsia" w:ascii="MS UI Gothic" w:eastAsia="MS UI Gothic"/>
          <w:w w:val="80"/>
        </w:rPr>
        <w:t xml:space="preserve">、 </w:t>
      </w:r>
      <w:r>
        <w:t>国家和人民利益遭受重大损失的</w:t>
      </w:r>
      <w:r>
        <w:rPr>
          <w:rFonts w:hint="eastAsia" w:ascii="MS UI Gothic" w:eastAsia="MS UI Gothic"/>
          <w:w w:val="80"/>
        </w:rPr>
        <w:t xml:space="preserve">ꎬ </w:t>
      </w:r>
      <w:r>
        <w:t>处五年以下有期徒刑或者拘役</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8"/>
        <w:ind w:left="0" w:firstLine="0"/>
        <w:jc w:val="left"/>
        <w:rPr>
          <w:rFonts w:ascii="MS UI Gothic"/>
          <w:sz w:val="12"/>
        </w:rPr>
      </w:pPr>
    </w:p>
    <w:p>
      <w:pPr>
        <w:pStyle w:val="4"/>
        <w:spacing w:before="195"/>
        <w:ind w:left="286"/>
        <w:rPr>
          <w:rFonts w:hint="eastAsia" w:ascii="Microsoft Yi Baiti" w:eastAsia="Microsoft Yi Baiti"/>
        </w:rPr>
      </w:pPr>
      <w:r>
        <w:t xml:space="preserve">中华人民共和国矿山安全法实施条例 </w:t>
      </w:r>
      <w:r>
        <w:rPr>
          <w:rFonts w:hint="eastAsia" w:ascii="Microsoft Yi Baiti" w:eastAsia="Microsoft Yi Baiti"/>
        </w:rPr>
        <w:t>(</w:t>
      </w:r>
      <w:r>
        <w:rPr>
          <w:rFonts w:hint="eastAsia" w:ascii="MS UI Gothic" w:eastAsia="MS UI Gothic"/>
        </w:rPr>
        <w:t xml:space="preserve">１９９６ </w:t>
      </w:r>
      <w:r>
        <w:t>年公布</w:t>
      </w:r>
      <w:r>
        <w:rPr>
          <w:rFonts w:hint="eastAsia" w:ascii="Microsoft Yi Baiti" w:eastAsia="Microsoft Yi Baiti"/>
        </w:rPr>
        <w:t>)</w:t>
      </w:r>
    </w:p>
    <w:p>
      <w:pPr>
        <w:pStyle w:val="6"/>
        <w:spacing w:before="366"/>
        <w:ind w:left="860" w:firstLine="0"/>
        <w:jc w:val="left"/>
        <w:rPr>
          <w:rFonts w:hint="eastAsia" w:ascii="Microsoft Yi Baiti" w:eastAsia="Microsoft Yi Baiti"/>
        </w:rPr>
      </w:pPr>
      <w:r>
        <w:rPr>
          <w:rFonts w:hint="eastAsia" w:ascii="Microsoft Yi Baiti" w:eastAsia="Microsoft Yi Baiti"/>
        </w:rPr>
        <w:t>(</w:t>
      </w:r>
      <w:r>
        <w:rPr>
          <w:rFonts w:hint="eastAsia" w:ascii="MS UI Gothic" w:eastAsia="MS UI Gothic"/>
        </w:rPr>
        <w:t xml:space="preserve">１９９５ </w:t>
      </w:r>
      <w:r>
        <w:t xml:space="preserve">年 </w:t>
      </w:r>
      <w:r>
        <w:rPr>
          <w:rFonts w:hint="eastAsia" w:ascii="MS UI Gothic" w:eastAsia="MS UI Gothic"/>
        </w:rPr>
        <w:t xml:space="preserve">１０ </w:t>
      </w:r>
      <w:r>
        <w:t xml:space="preserve">月 </w:t>
      </w:r>
      <w:r>
        <w:rPr>
          <w:rFonts w:hint="eastAsia" w:ascii="MS UI Gothic" w:eastAsia="MS UI Gothic"/>
        </w:rPr>
        <w:t xml:space="preserve">１１ </w:t>
      </w:r>
      <w:r>
        <w:t xml:space="preserve">日国务院批准 </w:t>
      </w:r>
      <w:r>
        <w:rPr>
          <w:rFonts w:hint="eastAsia" w:ascii="MS UI Gothic" w:eastAsia="MS UI Gothic"/>
        </w:rPr>
        <w:t xml:space="preserve">１９９６ </w:t>
      </w:r>
      <w:r>
        <w:t xml:space="preserve">年 </w:t>
      </w:r>
      <w:r>
        <w:rPr>
          <w:rFonts w:hint="eastAsia" w:ascii="MS UI Gothic" w:eastAsia="MS UI Gothic"/>
        </w:rPr>
        <w:t xml:space="preserve">１０ </w:t>
      </w:r>
      <w:r>
        <w:t xml:space="preserve">月 </w:t>
      </w:r>
      <w:r>
        <w:rPr>
          <w:rFonts w:hint="eastAsia" w:ascii="MS UI Gothic" w:eastAsia="MS UI Gothic"/>
        </w:rPr>
        <w:t xml:space="preserve">３０ </w:t>
      </w:r>
      <w:r>
        <w:t xml:space="preserve">日劳动部令第 </w:t>
      </w:r>
      <w:r>
        <w:rPr>
          <w:rFonts w:hint="eastAsia" w:ascii="MS UI Gothic" w:eastAsia="MS UI Gothic"/>
        </w:rPr>
        <w:t xml:space="preserve">４ </w:t>
      </w:r>
      <w:r>
        <w:t>号发布</w:t>
      </w:r>
      <w:r>
        <w:rPr>
          <w:rFonts w:hint="eastAsia" w:ascii="Microsoft Yi Baiti" w:eastAsia="Microsoft Yi Baiti"/>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11"/>
        <w:ind w:left="0" w:firstLine="0"/>
        <w:jc w:val="left"/>
        <w:rPr>
          <w:sz w:val="16"/>
        </w:rPr>
      </w:pPr>
    </w:p>
    <w:p>
      <w:pPr>
        <w:pStyle w:val="6"/>
        <w:spacing w:line="288" w:lineRule="auto"/>
        <w:ind w:left="440"/>
        <w:rPr>
          <w:rFonts w:hint="eastAsia" w:ascii="MS UI Gothic" w:hAnsi="MS UI Gothic" w:eastAsia="MS UI Gothic"/>
        </w:rPr>
      </w:pPr>
      <w:r>
        <w:rPr>
          <w:spacing w:val="3"/>
          <w:w w:val="105"/>
        </w:rPr>
        <w:t xml:space="preserve">第一条 根据 </w:t>
      </w:r>
      <w:r>
        <w:rPr>
          <w:rFonts w:hint="eastAsia" w:ascii="MS UI Gothic" w:hAnsi="MS UI Gothic" w:eastAsia="MS UI Gothic"/>
          <w:spacing w:val="-12"/>
          <w:w w:val="80"/>
        </w:rPr>
        <w:t xml:space="preserve">« </w:t>
      </w:r>
      <w:r>
        <w:rPr>
          <w:spacing w:val="15"/>
          <w:w w:val="105"/>
        </w:rPr>
        <w:t>中华人民共和国矿</w:t>
      </w:r>
      <w:r>
        <w:rPr>
          <w:spacing w:val="3"/>
          <w:w w:val="105"/>
        </w:rPr>
        <w:t>山安全法</w:t>
      </w:r>
      <w:r>
        <w:rPr>
          <w:rFonts w:hint="eastAsia" w:ascii="MS UI Gothic" w:hAnsi="MS UI Gothic" w:eastAsia="MS UI Gothic"/>
          <w:spacing w:val="23"/>
          <w:w w:val="80"/>
        </w:rPr>
        <w:t xml:space="preserve">» </w:t>
      </w:r>
      <w:r>
        <w:rPr>
          <w:rFonts w:hint="eastAsia" w:ascii="MS UI Gothic" w:hAnsi="MS UI Gothic" w:eastAsia="MS UI Gothic"/>
          <w:spacing w:val="-38"/>
          <w:w w:val="150"/>
        </w:rPr>
        <w:t xml:space="preserve">( </w:t>
      </w:r>
      <w:r>
        <w:rPr>
          <w:spacing w:val="-3"/>
          <w:w w:val="105"/>
        </w:rPr>
        <w:t xml:space="preserve">以下简称 </w:t>
      </w:r>
      <w:r>
        <w:rPr>
          <w:rFonts w:hint="eastAsia" w:ascii="MS UI Gothic" w:hAnsi="MS UI Gothic" w:eastAsia="MS UI Gothic"/>
          <w:spacing w:val="-17"/>
          <w:w w:val="80"/>
        </w:rPr>
        <w:t xml:space="preserve">« </w:t>
      </w:r>
      <w:r>
        <w:rPr>
          <w:spacing w:val="4"/>
          <w:w w:val="105"/>
        </w:rPr>
        <w:t>矿山安全法</w:t>
      </w:r>
      <w:r>
        <w:rPr>
          <w:rFonts w:hint="eastAsia" w:ascii="MS UI Gothic" w:hAnsi="MS UI Gothic" w:eastAsia="MS UI Gothic"/>
          <w:spacing w:val="24"/>
          <w:w w:val="80"/>
        </w:rPr>
        <w:t xml:space="preserve">» </w:t>
      </w:r>
      <w:r>
        <w:rPr>
          <w:rFonts w:hint="eastAsia" w:ascii="MS UI Gothic" w:hAnsi="MS UI Gothic" w:eastAsia="MS UI Gothic"/>
          <w:spacing w:val="-38"/>
          <w:w w:val="150"/>
        </w:rPr>
        <w:t xml:space="preserve">) </w:t>
      </w:r>
      <w:r>
        <w:rPr>
          <w:rFonts w:hint="eastAsia" w:ascii="MS UI Gothic" w:hAnsi="MS UI Gothic" w:eastAsia="MS UI Gothic"/>
          <w:w w:val="80"/>
        </w:rPr>
        <w:t>ꎬ</w:t>
      </w:r>
      <w:r>
        <w:rPr>
          <w:spacing w:val="3"/>
          <w:w w:val="105"/>
        </w:rPr>
        <w:t>制定本条例</w:t>
      </w:r>
      <w:r>
        <w:rPr>
          <w:rFonts w:hint="eastAsia" w:ascii="MS UI Gothic" w:hAnsi="MS UI Gothic" w:eastAsia="MS UI Gothic"/>
          <w:w w:val="80"/>
        </w:rPr>
        <w:t>ꎮ</w:t>
      </w:r>
    </w:p>
    <w:p>
      <w:pPr>
        <w:pStyle w:val="6"/>
        <w:spacing w:before="7" w:line="290" w:lineRule="auto"/>
        <w:ind w:left="440" w:right="1"/>
        <w:rPr>
          <w:rFonts w:hint="eastAsia" w:ascii="MS UI Gothic" w:hAnsi="MS UI Gothic" w:eastAsia="MS UI Gothic"/>
        </w:rPr>
      </w:pPr>
      <w:r>
        <w:rPr>
          <w:w w:val="110"/>
        </w:rPr>
        <w:t xml:space="preserve">第二条 </w:t>
      </w:r>
      <w:r>
        <w:rPr>
          <w:rFonts w:hint="eastAsia" w:ascii="MS UI Gothic" w:hAnsi="MS UI Gothic" w:eastAsia="MS UI Gothic"/>
        </w:rPr>
        <w:t xml:space="preserve">« </w:t>
      </w:r>
      <w:r>
        <w:rPr>
          <w:w w:val="110"/>
        </w:rPr>
        <w:t>矿山安全法</w:t>
      </w:r>
      <w:r>
        <w:rPr>
          <w:rFonts w:hint="eastAsia" w:ascii="MS UI Gothic" w:hAnsi="MS UI Gothic" w:eastAsia="MS UI Gothic"/>
        </w:rPr>
        <w:t xml:space="preserve">» </w:t>
      </w:r>
      <w:r>
        <w:rPr>
          <w:w w:val="110"/>
        </w:rPr>
        <w:t>及本条例中下列用语的含义</w:t>
      </w:r>
      <w:r>
        <w:rPr>
          <w:rFonts w:hint="eastAsia" w:ascii="MS UI Gothic" w:hAnsi="MS UI Gothic" w:eastAsia="MS UI Gothic"/>
          <w:w w:val="235"/>
        </w:rPr>
        <w:t>:</w:t>
      </w:r>
    </w:p>
    <w:p>
      <w:pPr>
        <w:pStyle w:val="6"/>
        <w:spacing w:before="1" w:line="290" w:lineRule="auto"/>
        <w:ind w:left="440" w:right="1"/>
        <w:rPr>
          <w:rFonts w:hint="eastAsia" w:ascii="MS UI Gothic" w:eastAsia="MS UI Gothic"/>
        </w:rPr>
      </w:pPr>
      <w:r>
        <w:t>矿山</w:t>
      </w:r>
      <w:r>
        <w:rPr>
          <w:rFonts w:hint="eastAsia" w:ascii="MS UI Gothic" w:eastAsia="MS UI Gothic"/>
          <w:w w:val="80"/>
        </w:rPr>
        <w:t xml:space="preserve">ꎬ </w:t>
      </w:r>
      <w:r>
        <w:t>是指在依法批准的矿区范围内从事矿产资源开采活动的场所及其附属设施</w:t>
      </w:r>
      <w:r>
        <w:rPr>
          <w:rFonts w:hint="eastAsia" w:ascii="MS UI Gothic" w:eastAsia="MS UI Gothic"/>
          <w:w w:val="80"/>
        </w:rPr>
        <w:t>ꎮ</w:t>
      </w:r>
    </w:p>
    <w:p>
      <w:pPr>
        <w:pStyle w:val="6"/>
        <w:spacing w:before="1" w:line="292" w:lineRule="auto"/>
        <w:ind w:left="440" w:right="1"/>
        <w:rPr>
          <w:rFonts w:hint="eastAsia" w:ascii="MS UI Gothic" w:eastAsia="MS UI Gothic"/>
        </w:rPr>
      </w:pPr>
      <w:r>
        <w:t>矿产资源开采活动</w:t>
      </w:r>
      <w:r>
        <w:rPr>
          <w:rFonts w:hint="eastAsia" w:ascii="MS UI Gothic" w:eastAsia="MS UI Gothic"/>
          <w:w w:val="80"/>
        </w:rPr>
        <w:t xml:space="preserve">ꎬ </w:t>
      </w:r>
      <w:r>
        <w:t>是指在依法批准的矿区范围内从事矿产资源勘探和矿山建设</w:t>
      </w:r>
      <w:r>
        <w:rPr>
          <w:rFonts w:hint="eastAsia" w:ascii="MS UI Gothic" w:eastAsia="MS UI Gothic"/>
          <w:w w:val="80"/>
        </w:rPr>
        <w:t xml:space="preserve">、 </w:t>
      </w:r>
      <w:r>
        <w:t>生产</w:t>
      </w:r>
      <w:r>
        <w:rPr>
          <w:rFonts w:hint="eastAsia" w:ascii="MS UI Gothic" w:eastAsia="MS UI Gothic"/>
          <w:w w:val="80"/>
        </w:rPr>
        <w:t xml:space="preserve">、 </w:t>
      </w:r>
      <w:r>
        <w:t>闭坑及有关活动</w:t>
      </w:r>
      <w:r>
        <w:rPr>
          <w:rFonts w:hint="eastAsia" w:ascii="MS UI Gothic" w:eastAsia="MS UI Gothic"/>
          <w:w w:val="80"/>
        </w:rPr>
        <w:t>ꎮ</w:t>
      </w:r>
    </w:p>
    <w:p>
      <w:pPr>
        <w:pStyle w:val="6"/>
        <w:spacing w:line="290" w:lineRule="auto"/>
        <w:ind w:left="440" w:right="1"/>
        <w:rPr>
          <w:rFonts w:hint="eastAsia" w:ascii="MS UI Gothic" w:eastAsia="MS UI Gothic"/>
        </w:rPr>
      </w:pPr>
      <w:r>
        <w:t>第三条 国家采取政策和措施</w:t>
      </w:r>
      <w:r>
        <w:rPr>
          <w:rFonts w:hint="eastAsia" w:ascii="MS UI Gothic" w:eastAsia="MS UI Gothic"/>
          <w:w w:val="80"/>
        </w:rPr>
        <w:t xml:space="preserve">ꎬ </w:t>
      </w:r>
      <w:r>
        <w:t>支持发展矿山安全教育</w:t>
      </w:r>
      <w:r>
        <w:rPr>
          <w:rFonts w:hint="eastAsia" w:ascii="MS UI Gothic" w:eastAsia="MS UI Gothic"/>
          <w:w w:val="80"/>
        </w:rPr>
        <w:t xml:space="preserve">ꎬ </w:t>
      </w:r>
      <w:r>
        <w:t>鼓励矿山安全开采技术</w:t>
      </w:r>
      <w:r>
        <w:rPr>
          <w:rFonts w:hint="eastAsia" w:ascii="MS UI Gothic" w:eastAsia="MS UI Gothic"/>
          <w:w w:val="80"/>
        </w:rPr>
        <w:t xml:space="preserve">、 </w:t>
      </w:r>
      <w:r>
        <w:t>安全管理方法</w:t>
      </w:r>
      <w:r>
        <w:rPr>
          <w:rFonts w:hint="eastAsia" w:ascii="MS UI Gothic" w:eastAsia="MS UI Gothic"/>
          <w:w w:val="80"/>
        </w:rPr>
        <w:t xml:space="preserve">、 </w:t>
      </w:r>
      <w:r>
        <w:t>安全设备与仪器的研究和推广</w:t>
      </w:r>
      <w:r>
        <w:rPr>
          <w:rFonts w:hint="eastAsia" w:ascii="MS UI Gothic" w:eastAsia="MS UI Gothic"/>
          <w:w w:val="80"/>
        </w:rPr>
        <w:t xml:space="preserve">ꎬ </w:t>
      </w:r>
      <w:r>
        <w:t>促进矿山安全科学技术进步</w:t>
      </w:r>
      <w:r>
        <w:rPr>
          <w:rFonts w:hint="eastAsia" w:ascii="MS UI Gothic" w:eastAsia="MS UI Gothic"/>
          <w:w w:val="80"/>
        </w:rPr>
        <w:t>ꎮ</w:t>
      </w:r>
    </w:p>
    <w:p>
      <w:pPr>
        <w:pStyle w:val="6"/>
        <w:spacing w:line="290" w:lineRule="auto"/>
        <w:ind w:left="440" w:right="1"/>
        <w:rPr>
          <w:rFonts w:hint="eastAsia" w:ascii="MS UI Gothic" w:eastAsia="MS UI Gothic"/>
        </w:rPr>
      </w:pPr>
      <w:r>
        <w:rPr>
          <w:w w:val="105"/>
        </w:rPr>
        <w:t>第四条 各级人民政府</w:t>
      </w:r>
      <w:r>
        <w:rPr>
          <w:rFonts w:hint="eastAsia" w:ascii="MS UI Gothic" w:eastAsia="MS UI Gothic"/>
          <w:w w:val="80"/>
        </w:rPr>
        <w:t xml:space="preserve">、 </w:t>
      </w:r>
      <w:r>
        <w:rPr>
          <w:w w:val="105"/>
        </w:rPr>
        <w:t>政府有关部</w:t>
      </w:r>
      <w:r>
        <w:t>门或者企业事业单位对有下列情形之一的单位和个人</w:t>
      </w:r>
      <w:r>
        <w:rPr>
          <w:rFonts w:hint="eastAsia" w:ascii="MS UI Gothic" w:eastAsia="MS UI Gothic"/>
          <w:w w:val="80"/>
        </w:rPr>
        <w:t xml:space="preserve">ꎬ </w:t>
      </w:r>
      <w:r>
        <w:t>按照国家有关规定给予</w:t>
      </w:r>
      <w:r>
        <w:rPr>
          <w:w w:val="105"/>
        </w:rPr>
        <w:t>奖励</w:t>
      </w:r>
      <w:r>
        <w:rPr>
          <w:rFonts w:hint="eastAsia" w:ascii="MS UI Gothic" w:eastAsia="MS UI Gothic"/>
          <w:w w:val="235"/>
        </w:rPr>
        <w:t>:</w:t>
      </w:r>
    </w:p>
    <w:p>
      <w:pPr>
        <w:pStyle w:val="6"/>
        <w:spacing w:before="175" w:line="292" w:lineRule="auto"/>
        <w:ind w:left="381" w:right="126"/>
        <w:rPr>
          <w:rFonts w:hint="eastAsia" w:ascii="MS UI Gothic" w:eastAsia="MS UI Gothic"/>
        </w:rPr>
      </w:pPr>
      <w:r>
        <w:br w:type="column"/>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在矿山安全管理和监督工作中</w:t>
      </w:r>
      <w:r>
        <w:rPr>
          <w:rFonts w:hint="eastAsia" w:ascii="MS UI Gothic" w:eastAsia="MS UI Gothic"/>
          <w:w w:val="80"/>
        </w:rPr>
        <w:t xml:space="preserve">ꎬ </w:t>
      </w:r>
      <w:r>
        <w:rPr>
          <w:w w:val="105"/>
        </w:rPr>
        <w:t>忠于职守</w:t>
      </w:r>
      <w:r>
        <w:rPr>
          <w:rFonts w:hint="eastAsia" w:ascii="MS UI Gothic" w:eastAsia="MS UI Gothic"/>
          <w:w w:val="80"/>
        </w:rPr>
        <w:t xml:space="preserve">ꎬ </w:t>
      </w:r>
      <w:r>
        <w:rPr>
          <w:w w:val="105"/>
        </w:rPr>
        <w:t>作出显著成绩的</w:t>
      </w:r>
      <w:r>
        <w:rPr>
          <w:rFonts w:hint="eastAsia" w:ascii="MS UI Gothic" w:eastAsia="MS UI Gothic"/>
          <w:w w:val="80"/>
        </w:rPr>
        <w:t>ꎻ</w:t>
      </w:r>
    </w:p>
    <w:p>
      <w:pPr>
        <w:pStyle w:val="6"/>
        <w:spacing w:line="290"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防止矿山事故或者抢险救护有</w:t>
      </w:r>
      <w:r>
        <w:rPr>
          <w:w w:val="110"/>
        </w:rPr>
        <w:t>功的</w:t>
      </w:r>
      <w:r>
        <w:rPr>
          <w:rFonts w:hint="eastAsia" w:ascii="MS UI Gothic" w:eastAsia="MS UI Gothic"/>
          <w:w w:val="80"/>
        </w:rPr>
        <w:t>ꎻ</w:t>
      </w:r>
    </w:p>
    <w:p>
      <w:pPr>
        <w:pStyle w:val="6"/>
        <w:spacing w:line="290"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在推广矿山安全技术</w:t>
      </w:r>
      <w:r>
        <w:rPr>
          <w:rFonts w:hint="eastAsia" w:ascii="MS UI Gothic" w:eastAsia="MS UI Gothic"/>
          <w:w w:val="80"/>
        </w:rPr>
        <w:t xml:space="preserve">、  </w:t>
      </w:r>
      <w:r>
        <w:rPr>
          <w:w w:val="105"/>
        </w:rPr>
        <w:t>改进矿山安全设施方面</w:t>
      </w:r>
      <w:r>
        <w:rPr>
          <w:rFonts w:hint="eastAsia" w:ascii="MS UI Gothic" w:eastAsia="MS UI Gothic"/>
          <w:w w:val="80"/>
        </w:rPr>
        <w:t xml:space="preserve">ꎬ </w:t>
      </w:r>
      <w:r>
        <w:rPr>
          <w:w w:val="105"/>
        </w:rPr>
        <w:t>作出显著成绩的</w:t>
      </w:r>
      <w:r>
        <w:rPr>
          <w:rFonts w:hint="eastAsia" w:ascii="MS UI Gothic" w:eastAsia="MS UI Gothic"/>
          <w:w w:val="80"/>
        </w:rPr>
        <w:t>ꎻ</w:t>
      </w:r>
    </w:p>
    <w:p>
      <w:pPr>
        <w:pStyle w:val="6"/>
        <w:spacing w:before="1" w:line="290"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在矿山安全生产方面提出合理化建议</w:t>
      </w:r>
      <w:r>
        <w:rPr>
          <w:rFonts w:hint="eastAsia" w:ascii="MS UI Gothic" w:eastAsia="MS UI Gothic"/>
          <w:w w:val="80"/>
        </w:rPr>
        <w:t xml:space="preserve">ꎬ </w:t>
      </w:r>
      <w:r>
        <w:rPr>
          <w:w w:val="105"/>
        </w:rPr>
        <w:t>效果显著的</w:t>
      </w:r>
      <w:r>
        <w:rPr>
          <w:rFonts w:hint="eastAsia" w:ascii="MS UI Gothic" w:eastAsia="MS UI Gothic"/>
          <w:w w:val="80"/>
        </w:rPr>
        <w:t>ꎻ</w:t>
      </w:r>
    </w:p>
    <w:p>
      <w:pPr>
        <w:pStyle w:val="6"/>
        <w:spacing w:before="3" w:line="290"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在改善矿山劳动条件或者预防</w:t>
      </w:r>
      <w:r>
        <w:t>矿山事故方面有发明创造和科研成果</w:t>
      </w:r>
      <w:r>
        <w:rPr>
          <w:rFonts w:hint="eastAsia" w:ascii="MS UI Gothic" w:eastAsia="MS UI Gothic"/>
          <w:w w:val="80"/>
        </w:rPr>
        <w:t xml:space="preserve">ꎬ </w:t>
      </w:r>
      <w:r>
        <w:t>效</w:t>
      </w:r>
      <w:r>
        <w:rPr>
          <w:w w:val="105"/>
        </w:rPr>
        <w:t>果显著的</w:t>
      </w:r>
      <w:r>
        <w:rPr>
          <w:rFonts w:hint="eastAsia" w:ascii="MS UI Gothic" w:eastAsia="MS UI Gothic"/>
          <w:w w:val="80"/>
        </w:rPr>
        <w:t>ꎮ</w:t>
      </w:r>
    </w:p>
    <w:p>
      <w:pPr>
        <w:pStyle w:val="6"/>
        <w:tabs>
          <w:tab w:val="left" w:pos="1743"/>
        </w:tabs>
        <w:spacing w:before="155"/>
        <w:ind w:left="905" w:firstLine="0"/>
        <w:jc w:val="left"/>
      </w:pPr>
      <w:r>
        <w:rPr>
          <w:spacing w:val="3"/>
          <w:w w:val="105"/>
        </w:rPr>
        <w:t>第二</w:t>
      </w:r>
      <w:r>
        <w:rPr>
          <w:w w:val="105"/>
        </w:rPr>
        <w:t>章</w:t>
      </w:r>
      <w:r>
        <w:rPr>
          <w:w w:val="105"/>
        </w:rPr>
        <w:tab/>
      </w:r>
      <w:r>
        <w:rPr>
          <w:spacing w:val="3"/>
          <w:w w:val="105"/>
        </w:rPr>
        <w:t>矿山建设的安全保</w:t>
      </w:r>
      <w:r>
        <w:rPr>
          <w:w w:val="105"/>
        </w:rPr>
        <w:t>障</w:t>
      </w:r>
    </w:p>
    <w:p>
      <w:pPr>
        <w:pStyle w:val="6"/>
        <w:spacing w:before="215" w:line="288" w:lineRule="auto"/>
        <w:ind w:left="381" w:right="126"/>
        <w:rPr>
          <w:rFonts w:hint="eastAsia" w:ascii="MS UI Gothic" w:eastAsia="MS UI Gothic"/>
        </w:rPr>
      </w:pPr>
      <w:r>
        <w:rPr>
          <w:w w:val="105"/>
        </w:rPr>
        <w:t>第五条 矿山设计使用的地质勘探报</w:t>
      </w:r>
      <w:r>
        <w:rPr>
          <w:w w:val="110"/>
        </w:rPr>
        <w:t>告书</w:t>
      </w:r>
      <w:r>
        <w:rPr>
          <w:rFonts w:hint="eastAsia" w:ascii="MS UI Gothic" w:eastAsia="MS UI Gothic"/>
          <w:w w:val="80"/>
        </w:rPr>
        <w:t xml:space="preserve">ꎬ </w:t>
      </w:r>
      <w:r>
        <w:rPr>
          <w:w w:val="110"/>
        </w:rPr>
        <w:t>应当包括下列技术资料</w:t>
      </w:r>
      <w:r>
        <w:rPr>
          <w:rFonts w:hint="eastAsia" w:ascii="MS UI Gothic" w:eastAsia="MS UI Gothic"/>
          <w:w w:val="235"/>
        </w:rPr>
        <w:t>:</w:t>
      </w:r>
    </w:p>
    <w:p>
      <w:pPr>
        <w:pStyle w:val="6"/>
        <w:spacing w:before="4" w:line="290" w:lineRule="auto"/>
        <w:ind w:left="381" w:right="124"/>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较大的断层</w:t>
      </w:r>
      <w:r>
        <w:rPr>
          <w:rFonts w:hint="eastAsia" w:ascii="MS UI Gothic" w:eastAsia="MS UI Gothic"/>
          <w:w w:val="80"/>
        </w:rPr>
        <w:t xml:space="preserve">、 </w:t>
      </w:r>
      <w:r>
        <w:rPr>
          <w:w w:val="105"/>
        </w:rPr>
        <w:t>破碎带</w:t>
      </w:r>
      <w:r>
        <w:rPr>
          <w:rFonts w:hint="eastAsia" w:ascii="MS UI Gothic" w:eastAsia="MS UI Gothic"/>
          <w:w w:val="80"/>
        </w:rPr>
        <w:t xml:space="preserve">、 </w:t>
      </w:r>
      <w:r>
        <w:rPr>
          <w:w w:val="105"/>
        </w:rPr>
        <w:t>滑坡</w:t>
      </w:r>
      <w:r>
        <w:rPr>
          <w:rFonts w:hint="eastAsia" w:ascii="MS UI Gothic" w:eastAsia="MS UI Gothic"/>
          <w:w w:val="80"/>
        </w:rPr>
        <w:t>、</w:t>
      </w:r>
      <w:r>
        <w:rPr>
          <w:w w:val="105"/>
        </w:rPr>
        <w:t>泥石流的性质和规模</w:t>
      </w:r>
      <w:r>
        <w:rPr>
          <w:rFonts w:hint="eastAsia" w:ascii="MS UI Gothic" w:eastAsia="MS UI Gothic"/>
          <w:w w:val="80"/>
        </w:rPr>
        <w:t>ꎻ</w:t>
      </w:r>
    </w:p>
    <w:p>
      <w:pPr>
        <w:pStyle w:val="6"/>
        <w:spacing w:before="1" w:line="290" w:lineRule="auto"/>
        <w:ind w:left="381" w:right="126"/>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 xml:space="preserve">含水层 </w:t>
      </w:r>
      <w:r>
        <w:rPr>
          <w:rFonts w:hint="eastAsia" w:ascii="MS UI Gothic" w:eastAsia="MS UI Gothic"/>
          <w:w w:val="150"/>
        </w:rPr>
        <w:t xml:space="preserve">( </w:t>
      </w:r>
      <w:r>
        <w:rPr>
          <w:w w:val="105"/>
        </w:rPr>
        <w:t>包括溶洞</w:t>
      </w:r>
      <w:r>
        <w:rPr>
          <w:rFonts w:hint="eastAsia" w:ascii="MS UI Gothic" w:eastAsia="MS UI Gothic"/>
          <w:w w:val="150"/>
        </w:rPr>
        <w:t xml:space="preserve">) </w:t>
      </w:r>
      <w:r>
        <w:rPr>
          <w:w w:val="105"/>
        </w:rPr>
        <w:t>和隔水层的岩性</w:t>
      </w:r>
      <w:r>
        <w:rPr>
          <w:rFonts w:hint="eastAsia" w:ascii="MS UI Gothic" w:eastAsia="MS UI Gothic"/>
          <w:w w:val="80"/>
        </w:rPr>
        <w:t xml:space="preserve">、 </w:t>
      </w:r>
      <w:r>
        <w:rPr>
          <w:w w:val="105"/>
        </w:rPr>
        <w:t>层厚</w:t>
      </w:r>
      <w:r>
        <w:rPr>
          <w:rFonts w:hint="eastAsia" w:ascii="MS UI Gothic" w:eastAsia="MS UI Gothic"/>
          <w:w w:val="80"/>
        </w:rPr>
        <w:t xml:space="preserve">、 </w:t>
      </w:r>
      <w:r>
        <w:rPr>
          <w:w w:val="105"/>
        </w:rPr>
        <w:t>产状</w:t>
      </w:r>
      <w:r>
        <w:rPr>
          <w:rFonts w:hint="eastAsia" w:ascii="MS UI Gothic" w:eastAsia="MS UI Gothic"/>
          <w:w w:val="80"/>
        </w:rPr>
        <w:t xml:space="preserve">ꎬ </w:t>
      </w:r>
      <w:r>
        <w:rPr>
          <w:w w:val="105"/>
        </w:rPr>
        <w:t>含水层之间</w:t>
      </w:r>
      <w:r>
        <w:rPr>
          <w:rFonts w:hint="eastAsia" w:ascii="MS UI Gothic" w:eastAsia="MS UI Gothic"/>
          <w:w w:val="80"/>
        </w:rPr>
        <w:t xml:space="preserve">、 </w:t>
      </w:r>
      <w:r>
        <w:rPr>
          <w:w w:val="105"/>
        </w:rPr>
        <w:t>地面</w:t>
      </w:r>
      <w:r>
        <w:t>水和地下水之间的水力联系</w:t>
      </w:r>
      <w:r>
        <w:rPr>
          <w:rFonts w:hint="eastAsia" w:ascii="MS UI Gothic" w:eastAsia="MS UI Gothic"/>
          <w:w w:val="80"/>
        </w:rPr>
        <w:t xml:space="preserve">ꎬ </w:t>
      </w:r>
      <w:r>
        <w:t>地下水的潜</w:t>
      </w:r>
      <w:r>
        <w:rPr>
          <w:w w:val="105"/>
        </w:rPr>
        <w:t>水位</w:t>
      </w:r>
      <w:r>
        <w:rPr>
          <w:rFonts w:hint="eastAsia" w:ascii="MS UI Gothic" w:eastAsia="MS UI Gothic"/>
          <w:w w:val="80"/>
        </w:rPr>
        <w:t xml:space="preserve">、 </w:t>
      </w:r>
      <w:r>
        <w:rPr>
          <w:w w:val="105"/>
        </w:rPr>
        <w:t>水质</w:t>
      </w:r>
      <w:r>
        <w:rPr>
          <w:rFonts w:hint="eastAsia" w:ascii="MS UI Gothic" w:eastAsia="MS UI Gothic"/>
          <w:w w:val="80"/>
        </w:rPr>
        <w:t xml:space="preserve">、 </w:t>
      </w:r>
      <w:r>
        <w:rPr>
          <w:w w:val="105"/>
        </w:rPr>
        <w:t>水量和流向</w:t>
      </w:r>
      <w:r>
        <w:rPr>
          <w:rFonts w:hint="eastAsia" w:ascii="MS UI Gothic" w:eastAsia="MS UI Gothic"/>
          <w:w w:val="80"/>
        </w:rPr>
        <w:t xml:space="preserve">ꎬ </w:t>
      </w:r>
      <w:r>
        <w:rPr>
          <w:w w:val="105"/>
        </w:rPr>
        <w:t>地面水流系统</w:t>
      </w:r>
    </w:p>
    <w:p>
      <w:pPr>
        <w:spacing w:after="0" w:line="290"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３９０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70" o:spid="_x0000_s2170" o:spt="203" style="height:2.15pt;width:398.25pt;" coordsize="7965,43">
            <o:lock v:ext="edit"/>
            <v:line id="_x0000_s2171" o:spid="_x0000_s2171" o:spt="20" style="position:absolute;left:0;top:39;height:0;width:7965;" stroked="t" coordsize="21600,21600">
              <v:path arrowok="t"/>
              <v:fill focussize="0,0"/>
              <v:stroke weight="0.388031496062992pt" color="#231F20"/>
              <v:imagedata o:title=""/>
              <o:lock v:ext="edit"/>
            </v:line>
            <v:line id="_x0000_s2172" o:spid="_x0000_s217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jc w:val="left"/>
        <w:rPr>
          <w:rFonts w:hint="eastAsia" w:ascii="MS UI Gothic" w:eastAsia="MS UI Gothic"/>
        </w:rPr>
      </w:pPr>
      <w:r>
        <w:t>和有关水利工程的疏水能力以及当地历年</w:t>
      </w:r>
      <w:r>
        <w:rPr>
          <w:w w:val="105"/>
        </w:rPr>
        <w:t>降水量和最高洪水位</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矿山设计范围内原有小窑</w:t>
      </w:r>
      <w:r>
        <w:rPr>
          <w:rFonts w:hint="eastAsia" w:ascii="MS UI Gothic" w:eastAsia="MS UI Gothic"/>
          <w:w w:val="80"/>
        </w:rPr>
        <w:t xml:space="preserve">、  </w:t>
      </w:r>
      <w:r>
        <w:rPr>
          <w:w w:val="105"/>
        </w:rPr>
        <w:t>老窑的分布范围</w:t>
      </w:r>
      <w:r>
        <w:rPr>
          <w:rFonts w:hint="eastAsia" w:ascii="MS UI Gothic" w:eastAsia="MS UI Gothic"/>
          <w:w w:val="80"/>
        </w:rPr>
        <w:t xml:space="preserve">、 </w:t>
      </w:r>
      <w:r>
        <w:rPr>
          <w:w w:val="105"/>
        </w:rPr>
        <w:t>开采深度和积水情况</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沼气</w:t>
      </w:r>
      <w:r>
        <w:rPr>
          <w:rFonts w:hint="eastAsia" w:ascii="MS UI Gothic" w:eastAsia="MS UI Gothic"/>
          <w:w w:val="80"/>
        </w:rPr>
        <w:t xml:space="preserve">、 </w:t>
      </w:r>
      <w:r>
        <w:rPr>
          <w:w w:val="105"/>
        </w:rPr>
        <w:t>二氧化碳赋存情况</w:t>
      </w:r>
      <w:r>
        <w:rPr>
          <w:rFonts w:hint="eastAsia" w:ascii="MS UI Gothic" w:eastAsia="MS UI Gothic"/>
          <w:w w:val="80"/>
        </w:rPr>
        <w:t xml:space="preserve">ꎬ </w:t>
      </w:r>
      <w:r>
        <w:rPr>
          <w:w w:val="105"/>
        </w:rPr>
        <w:t>矿物自然发火和矿尘爆炸的可能性</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对人体有害的矿物组份</w:t>
      </w:r>
      <w:r>
        <w:rPr>
          <w:rFonts w:hint="eastAsia" w:ascii="MS UI Gothic" w:eastAsia="MS UI Gothic"/>
          <w:w w:val="80"/>
        </w:rPr>
        <w:t xml:space="preserve">、  </w:t>
      </w:r>
      <w:r>
        <w:rPr>
          <w:w w:val="105"/>
        </w:rPr>
        <w:t>含量</w:t>
      </w:r>
      <w:r>
        <w:t>和变化规律</w:t>
      </w:r>
      <w:r>
        <w:rPr>
          <w:rFonts w:hint="eastAsia" w:ascii="MS UI Gothic" w:eastAsia="MS UI Gothic"/>
          <w:w w:val="80"/>
        </w:rPr>
        <w:t xml:space="preserve">ꎬ </w:t>
      </w:r>
      <w:r>
        <w:t>勘探区至少一年的天然放射</w:t>
      </w:r>
      <w:r>
        <w:rPr>
          <w:w w:val="105"/>
        </w:rPr>
        <w:t>性本底数据</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地温异常和热水矿区的岩石热导率</w:t>
      </w:r>
      <w:r>
        <w:rPr>
          <w:rFonts w:hint="eastAsia" w:ascii="MS UI Gothic" w:eastAsia="MS UI Gothic"/>
          <w:w w:val="80"/>
        </w:rPr>
        <w:t xml:space="preserve">、 </w:t>
      </w:r>
      <w:r>
        <w:rPr>
          <w:w w:val="105"/>
        </w:rPr>
        <w:t>地温梯度</w:t>
      </w:r>
      <w:r>
        <w:rPr>
          <w:rFonts w:hint="eastAsia" w:ascii="MS UI Gothic" w:eastAsia="MS UI Gothic"/>
          <w:w w:val="80"/>
        </w:rPr>
        <w:t xml:space="preserve">、 </w:t>
      </w:r>
      <w:r>
        <w:rPr>
          <w:w w:val="105"/>
        </w:rPr>
        <w:t>热水来源</w:t>
      </w:r>
      <w:r>
        <w:rPr>
          <w:rFonts w:hint="eastAsia" w:ascii="MS UI Gothic" w:eastAsia="MS UI Gothic"/>
          <w:w w:val="80"/>
        </w:rPr>
        <w:t xml:space="preserve">、 </w:t>
      </w:r>
      <w:r>
        <w:rPr>
          <w:w w:val="105"/>
        </w:rPr>
        <w:t>水温</w:t>
      </w:r>
      <w:r>
        <w:rPr>
          <w:rFonts w:hint="eastAsia" w:ascii="MS UI Gothic" w:eastAsia="MS UI Gothic"/>
          <w:w w:val="80"/>
        </w:rPr>
        <w:t xml:space="preserve">、 </w:t>
      </w:r>
      <w:r>
        <w:rPr>
          <w:w w:val="105"/>
        </w:rPr>
        <w:t>水压和水量</w:t>
      </w:r>
      <w:r>
        <w:rPr>
          <w:rFonts w:hint="eastAsia" w:ascii="MS UI Gothic" w:eastAsia="MS UI Gothic"/>
          <w:w w:val="80"/>
        </w:rPr>
        <w:t xml:space="preserve">ꎬ </w:t>
      </w:r>
      <w:r>
        <w:rPr>
          <w:w w:val="105"/>
        </w:rPr>
        <w:t>以及圈定的热害区范围</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23"/>
          <w:w w:val="110"/>
        </w:rPr>
        <w:t>七</w:t>
      </w:r>
      <w:r>
        <w:rPr>
          <w:rFonts w:hint="eastAsia" w:ascii="MS UI Gothic" w:eastAsia="MS UI Gothic"/>
          <w:spacing w:val="19"/>
          <w:w w:val="150"/>
        </w:rPr>
        <w:t xml:space="preserve">) </w:t>
      </w:r>
      <w:r>
        <w:rPr>
          <w:spacing w:val="-21"/>
          <w:w w:val="110"/>
        </w:rPr>
        <w:t>工 业</w:t>
      </w:r>
      <w:r>
        <w:rPr>
          <w:rFonts w:hint="eastAsia" w:ascii="MS UI Gothic" w:eastAsia="MS UI Gothic"/>
          <w:spacing w:val="7"/>
          <w:w w:val="80"/>
        </w:rPr>
        <w:t xml:space="preserve">、 </w:t>
      </w:r>
      <w:r>
        <w:rPr>
          <w:spacing w:val="-36"/>
          <w:w w:val="110"/>
        </w:rPr>
        <w:t>生 活 用 水 的 水 源 和</w:t>
      </w:r>
      <w:r>
        <w:rPr>
          <w:spacing w:val="3"/>
          <w:w w:val="110"/>
        </w:rPr>
        <w:t>水质</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钻孔封孔资料</w:t>
      </w:r>
      <w:r>
        <w:rPr>
          <w:rFonts w:hint="eastAsia" w:ascii="MS UI Gothic" w:eastAsia="MS UI Gothic"/>
          <w:w w:val="80"/>
        </w:rPr>
        <w:t>ꎻ</w:t>
      </w:r>
    </w:p>
    <w:p>
      <w:pPr>
        <w:pStyle w:val="6"/>
        <w:spacing w:before="49"/>
        <w:ind w:left="543" w:firstLine="0"/>
        <w:rPr>
          <w:rFonts w:hint="eastAsia" w:ascii="MS UI Gothic" w:eastAsia="MS UI Gothic"/>
        </w:rPr>
      </w:pPr>
      <w:r>
        <w:rPr>
          <w:rFonts w:hint="eastAsia" w:ascii="MS UI Gothic" w:eastAsia="MS UI Gothic"/>
          <w:w w:val="150"/>
        </w:rPr>
        <w:t xml:space="preserve">( </w:t>
      </w:r>
      <w:r>
        <w:rPr>
          <w:w w:val="110"/>
        </w:rPr>
        <w:t>九</w:t>
      </w:r>
      <w:r>
        <w:rPr>
          <w:rFonts w:hint="eastAsia" w:ascii="MS UI Gothic" w:eastAsia="MS UI Gothic"/>
          <w:w w:val="150"/>
        </w:rPr>
        <w:t xml:space="preserve">) </w:t>
      </w:r>
      <w:r>
        <w:rPr>
          <w:w w:val="110"/>
        </w:rPr>
        <w:t>矿山设计需要的其他资料</w:t>
      </w:r>
      <w:r>
        <w:rPr>
          <w:rFonts w:hint="eastAsia" w:ascii="MS UI Gothic" w:eastAsia="MS UI Gothic"/>
          <w:w w:val="80"/>
        </w:rPr>
        <w:t>ꎮ</w:t>
      </w:r>
    </w:p>
    <w:p>
      <w:pPr>
        <w:pStyle w:val="6"/>
        <w:spacing w:before="58" w:line="295" w:lineRule="auto"/>
        <w:ind w:right="38"/>
        <w:rPr>
          <w:rFonts w:hint="eastAsia" w:ascii="MS UI Gothic" w:eastAsia="MS UI Gothic"/>
        </w:rPr>
      </w:pPr>
      <w:r>
        <w:rPr>
          <w:w w:val="105"/>
        </w:rPr>
        <w:t>第六条 编制矿山建设项目的可行性</w:t>
      </w:r>
      <w:r>
        <w:t>研究报告和总体设计</w:t>
      </w:r>
      <w:r>
        <w:rPr>
          <w:rFonts w:hint="eastAsia" w:ascii="MS UI Gothic" w:eastAsia="MS UI Gothic"/>
          <w:w w:val="80"/>
        </w:rPr>
        <w:t xml:space="preserve">ꎬ </w:t>
      </w:r>
      <w:r>
        <w:t>应当对矿山开采的</w:t>
      </w:r>
      <w:r>
        <w:rPr>
          <w:w w:val="105"/>
        </w:rPr>
        <w:t>安全条件进行论证</w:t>
      </w:r>
      <w:r>
        <w:rPr>
          <w:rFonts w:hint="eastAsia" w:ascii="MS UI Gothic" w:eastAsia="MS UI Gothic"/>
          <w:w w:val="80"/>
        </w:rPr>
        <w:t>ꎮ</w:t>
      </w:r>
    </w:p>
    <w:p>
      <w:pPr>
        <w:pStyle w:val="6"/>
        <w:spacing w:line="295" w:lineRule="auto"/>
        <w:ind w:right="38"/>
        <w:rPr>
          <w:rFonts w:hint="eastAsia" w:ascii="MS UI Gothic" w:eastAsia="MS UI Gothic"/>
        </w:rPr>
      </w:pPr>
      <w:r>
        <w:t>矿山建设项目的初步设计</w:t>
      </w:r>
      <w:r>
        <w:rPr>
          <w:rFonts w:hint="eastAsia" w:ascii="MS UI Gothic" w:eastAsia="MS UI Gothic"/>
          <w:w w:val="80"/>
        </w:rPr>
        <w:t xml:space="preserve">ꎬ </w:t>
      </w:r>
      <w:r>
        <w:t>应当编制安全专篇</w:t>
      </w:r>
      <w:r>
        <w:rPr>
          <w:rFonts w:hint="eastAsia" w:ascii="MS UI Gothic" w:eastAsia="MS UI Gothic"/>
          <w:w w:val="80"/>
        </w:rPr>
        <w:t xml:space="preserve">ꎮ </w:t>
      </w:r>
      <w:r>
        <w:t>安全专篇的编写要求</w:t>
      </w:r>
      <w:r>
        <w:rPr>
          <w:rFonts w:hint="eastAsia" w:ascii="MS UI Gothic" w:eastAsia="MS UI Gothic"/>
          <w:w w:val="80"/>
        </w:rPr>
        <w:t xml:space="preserve">ꎬ </w:t>
      </w:r>
      <w:r>
        <w:t>由国务院劳动行政主管部门规定</w:t>
      </w:r>
      <w:r>
        <w:rPr>
          <w:rFonts w:hint="eastAsia" w:ascii="MS UI Gothic" w:eastAsia="MS UI Gothic"/>
          <w:w w:val="80"/>
        </w:rPr>
        <w:t>ꎮ</w:t>
      </w:r>
    </w:p>
    <w:p>
      <w:pPr>
        <w:pStyle w:val="6"/>
        <w:spacing w:line="295" w:lineRule="auto"/>
        <w:ind w:right="38"/>
        <w:rPr>
          <w:rFonts w:hint="eastAsia" w:ascii="MS UI Gothic" w:hAnsi="MS UI Gothic" w:eastAsia="MS UI Gothic"/>
        </w:rPr>
      </w:pPr>
      <w:r>
        <w:t xml:space="preserve">第七条 根据 </w:t>
      </w:r>
      <w:r>
        <w:rPr>
          <w:rFonts w:hint="eastAsia" w:ascii="MS UI Gothic" w:hAnsi="MS UI Gothic" w:eastAsia="MS UI Gothic"/>
          <w:w w:val="80"/>
        </w:rPr>
        <w:t xml:space="preserve">« </w:t>
      </w:r>
      <w:r>
        <w:t>矿山安全法</w:t>
      </w:r>
      <w:r>
        <w:rPr>
          <w:rFonts w:hint="eastAsia" w:ascii="MS UI Gothic" w:hAnsi="MS UI Gothic" w:eastAsia="MS UI Gothic"/>
          <w:w w:val="80"/>
        </w:rPr>
        <w:t xml:space="preserve">»  </w:t>
      </w:r>
      <w:r>
        <w:t>第八条的规定</w:t>
      </w:r>
      <w:r>
        <w:rPr>
          <w:rFonts w:hint="eastAsia" w:ascii="MS UI Gothic" w:hAnsi="MS UI Gothic" w:eastAsia="MS UI Gothic"/>
          <w:w w:val="80"/>
        </w:rPr>
        <w:t xml:space="preserve">ꎬ </w:t>
      </w:r>
      <w:r>
        <w:t>矿山建设单位在向管理矿山企业的主管部门报送审批矿山建设工程安全设施设计文件时</w:t>
      </w:r>
      <w:r>
        <w:rPr>
          <w:rFonts w:hint="eastAsia" w:ascii="MS UI Gothic" w:hAnsi="MS UI Gothic" w:eastAsia="MS UI Gothic"/>
          <w:w w:val="80"/>
        </w:rPr>
        <w:t xml:space="preserve">ꎬ </w:t>
      </w:r>
      <w:r>
        <w:t>应当同时报送劳动行政主管部门审查</w:t>
      </w:r>
      <w:r>
        <w:rPr>
          <w:rFonts w:hint="eastAsia" w:ascii="MS UI Gothic" w:hAnsi="MS UI Gothic" w:eastAsia="MS UI Gothic"/>
          <w:w w:val="80"/>
        </w:rPr>
        <w:t xml:space="preserve">ꎻ </w:t>
      </w:r>
      <w:r>
        <w:t>没有劳动行政主管部门的审查意见</w:t>
      </w:r>
      <w:r>
        <w:rPr>
          <w:rFonts w:hint="eastAsia" w:ascii="MS UI Gothic" w:hAnsi="MS UI Gothic" w:eastAsia="MS UI Gothic"/>
          <w:w w:val="80"/>
        </w:rPr>
        <w:t xml:space="preserve">ꎬ </w:t>
      </w:r>
      <w:r>
        <w:t>管理矿山企业的主管部门不得批准</w:t>
      </w:r>
      <w:r>
        <w:rPr>
          <w:rFonts w:hint="eastAsia" w:ascii="MS UI Gothic" w:hAnsi="MS UI Gothic" w:eastAsia="MS UI Gothic"/>
          <w:w w:val="80"/>
        </w:rPr>
        <w:t>ꎮ</w:t>
      </w:r>
    </w:p>
    <w:p>
      <w:pPr>
        <w:pStyle w:val="6"/>
        <w:spacing w:line="295" w:lineRule="auto"/>
        <w:ind w:right="38"/>
        <w:rPr>
          <w:rFonts w:hint="eastAsia" w:ascii="MS UI Gothic" w:eastAsia="MS UI Gothic"/>
        </w:rPr>
      </w:pPr>
      <w:r>
        <w:t>经批准的矿山建设工程安全设施设计需要修改时</w:t>
      </w:r>
      <w:r>
        <w:rPr>
          <w:rFonts w:hint="eastAsia" w:ascii="MS UI Gothic" w:eastAsia="MS UI Gothic"/>
          <w:w w:val="80"/>
        </w:rPr>
        <w:t xml:space="preserve">ꎬ </w:t>
      </w:r>
      <w:r>
        <w:t>应当征求原参加审查的劳动</w:t>
      </w:r>
      <w:r>
        <w:rPr>
          <w:w w:val="105"/>
        </w:rPr>
        <w:t>行政主管部门的意见</w:t>
      </w:r>
      <w:r>
        <w:rPr>
          <w:rFonts w:hint="eastAsia" w:ascii="MS UI Gothic" w:eastAsia="MS UI Gothic"/>
          <w:w w:val="80"/>
        </w:rPr>
        <w:t>ꎮ</w:t>
      </w:r>
    </w:p>
    <w:p>
      <w:pPr>
        <w:pStyle w:val="6"/>
        <w:spacing w:line="295" w:lineRule="auto"/>
        <w:ind w:right="38"/>
        <w:rPr>
          <w:rFonts w:hint="eastAsia" w:ascii="MS UI Gothic" w:eastAsia="MS UI Gothic"/>
        </w:rPr>
      </w:pPr>
      <w:r>
        <w:t>第八条 矿山建设工程应当按照经批准的设计文件施工</w:t>
      </w:r>
      <w:r>
        <w:rPr>
          <w:rFonts w:hint="eastAsia" w:ascii="MS UI Gothic" w:eastAsia="MS UI Gothic"/>
          <w:w w:val="80"/>
        </w:rPr>
        <w:t xml:space="preserve">ꎬ </w:t>
      </w:r>
      <w:r>
        <w:t>保证施工质量</w:t>
      </w:r>
      <w:r>
        <w:rPr>
          <w:rFonts w:hint="eastAsia" w:ascii="MS UI Gothic" w:eastAsia="MS UI Gothic"/>
          <w:w w:val="80"/>
        </w:rPr>
        <w:t xml:space="preserve">ꎻ </w:t>
      </w:r>
      <w:r>
        <w:t>工程竣工后</w:t>
      </w:r>
      <w:r>
        <w:rPr>
          <w:rFonts w:hint="eastAsia" w:ascii="MS UI Gothic" w:eastAsia="MS UI Gothic"/>
          <w:w w:val="80"/>
        </w:rPr>
        <w:t xml:space="preserve">ꎬ </w:t>
      </w:r>
      <w:r>
        <w:t>应当按照国家有关规定申请验收</w:t>
      </w:r>
      <w:r>
        <w:rPr>
          <w:rFonts w:hint="eastAsia" w:ascii="MS UI Gothic" w:eastAsia="MS UI Gothic"/>
          <w:w w:val="80"/>
        </w:rPr>
        <w:t>ꎮ</w:t>
      </w:r>
    </w:p>
    <w:p>
      <w:pPr>
        <w:pStyle w:val="6"/>
        <w:spacing w:line="295" w:lineRule="auto"/>
        <w:ind w:right="38"/>
      </w:pPr>
      <w:r>
        <w:t xml:space="preserve">建设单位应当在验收前 </w:t>
      </w:r>
      <w:r>
        <w:rPr>
          <w:rFonts w:hint="eastAsia" w:ascii="MS UI Gothic" w:eastAsia="MS UI Gothic"/>
        </w:rPr>
        <w:t xml:space="preserve">６０ </w:t>
      </w:r>
      <w:r>
        <w:t>日向管理矿山企业的主管部门</w:t>
      </w:r>
      <w:r>
        <w:rPr>
          <w:rFonts w:hint="eastAsia" w:ascii="MS UI Gothic" w:eastAsia="MS UI Gothic"/>
        </w:rPr>
        <w:t xml:space="preserve">、 </w:t>
      </w:r>
      <w:r>
        <w:t>劳动行政主管部门报送矿山建设工程安全设施施工</w:t>
      </w:r>
      <w:r>
        <w:rPr>
          <w:rFonts w:hint="eastAsia" w:ascii="MS UI Gothic" w:eastAsia="MS UI Gothic"/>
        </w:rPr>
        <w:t xml:space="preserve">、 </w:t>
      </w:r>
      <w:r>
        <w:t>竣工情</w:t>
      </w:r>
    </w:p>
    <w:p>
      <w:pPr>
        <w:pStyle w:val="6"/>
        <w:spacing w:before="123"/>
        <w:ind w:firstLine="0"/>
        <w:jc w:val="left"/>
        <w:rPr>
          <w:rFonts w:hint="eastAsia" w:ascii="MS UI Gothic" w:eastAsia="MS UI Gothic"/>
        </w:rPr>
      </w:pPr>
      <w:r>
        <w:br w:type="column"/>
      </w:r>
      <w:r>
        <w:t>况的综合报告</w:t>
      </w:r>
      <w:r>
        <w:rPr>
          <w:rFonts w:hint="eastAsia" w:ascii="MS UI Gothic" w:eastAsia="MS UI Gothic"/>
          <w:w w:val="80"/>
        </w:rPr>
        <w:t>ꎮ</w:t>
      </w:r>
    </w:p>
    <w:p>
      <w:pPr>
        <w:pStyle w:val="6"/>
        <w:spacing w:before="58" w:line="295" w:lineRule="auto"/>
        <w:ind w:right="440"/>
        <w:rPr>
          <w:rFonts w:hint="eastAsia" w:ascii="MS UI Gothic" w:eastAsia="MS UI Gothic"/>
        </w:rPr>
      </w:pPr>
      <w:r>
        <w:t>第九条 管理矿山企业的主管部门</w:t>
      </w:r>
      <w:r>
        <w:rPr>
          <w:rFonts w:hint="eastAsia" w:ascii="MS UI Gothic" w:eastAsia="MS UI Gothic"/>
        </w:rPr>
        <w:t>、</w:t>
      </w:r>
      <w:r>
        <w:t>劳动行政主管部门应当自收到建设单位报迭的矿山建设工程安全设施施工</w:t>
      </w:r>
      <w:r>
        <w:rPr>
          <w:rFonts w:hint="eastAsia" w:ascii="MS UI Gothic" w:eastAsia="MS UI Gothic"/>
        </w:rPr>
        <w:t xml:space="preserve">、 </w:t>
      </w:r>
      <w:r>
        <w:t xml:space="preserve">竣工情况的综合报告之日起 </w:t>
      </w:r>
      <w:r>
        <w:rPr>
          <w:rFonts w:hint="eastAsia" w:ascii="MS UI Gothic" w:eastAsia="MS UI Gothic"/>
          <w:w w:val="85"/>
        </w:rPr>
        <w:t xml:space="preserve">３０ </w:t>
      </w:r>
      <w:r>
        <w:t>日内</w:t>
      </w:r>
      <w:r>
        <w:rPr>
          <w:rFonts w:hint="eastAsia" w:ascii="MS UI Gothic" w:eastAsia="MS UI Gothic"/>
          <w:w w:val="85"/>
        </w:rPr>
        <w:t xml:space="preserve">ꎬ </w:t>
      </w:r>
      <w:r>
        <w:t>对矿山建设工程的安全设施进行检查</w:t>
      </w:r>
      <w:r>
        <w:rPr>
          <w:rFonts w:hint="eastAsia" w:ascii="MS UI Gothic" w:eastAsia="MS UI Gothic"/>
          <w:w w:val="85"/>
        </w:rPr>
        <w:t xml:space="preserve">ꎻ </w:t>
      </w:r>
      <w:r>
        <w:t>不符合矿山安全规程</w:t>
      </w:r>
      <w:r>
        <w:rPr>
          <w:rFonts w:hint="eastAsia" w:ascii="MS UI Gothic" w:eastAsia="MS UI Gothic"/>
        </w:rPr>
        <w:t xml:space="preserve">、 </w:t>
      </w:r>
      <w:r>
        <w:t>行业技术规范的</w:t>
      </w:r>
      <w:r>
        <w:rPr>
          <w:rFonts w:hint="eastAsia" w:ascii="MS UI Gothic" w:eastAsia="MS UI Gothic"/>
          <w:w w:val="85"/>
        </w:rPr>
        <w:t xml:space="preserve">ꎬ </w:t>
      </w:r>
      <w:r>
        <w:t>不得验收</w:t>
      </w:r>
      <w:r>
        <w:rPr>
          <w:rFonts w:hint="eastAsia" w:ascii="MS UI Gothic" w:eastAsia="MS UI Gothic"/>
          <w:w w:val="85"/>
        </w:rPr>
        <w:t>ꎬ</w:t>
      </w:r>
      <w:r>
        <w:t>不得投入生产或者使用</w:t>
      </w:r>
      <w:r>
        <w:rPr>
          <w:rFonts w:hint="eastAsia" w:ascii="MS UI Gothic" w:eastAsia="MS UI Gothic"/>
          <w:w w:val="85"/>
        </w:rPr>
        <w:t>ꎮ</w:t>
      </w:r>
    </w:p>
    <w:p>
      <w:pPr>
        <w:pStyle w:val="6"/>
        <w:spacing w:line="295" w:lineRule="auto"/>
        <w:ind w:right="440"/>
        <w:rPr>
          <w:rFonts w:hint="eastAsia" w:ascii="MS UI Gothic" w:eastAsia="MS UI Gothic"/>
        </w:rPr>
      </w:pPr>
      <w:r>
        <w:rPr>
          <w:w w:val="105"/>
        </w:rPr>
        <w:t>第十条 矿山应当有保障安全生产</w:t>
      </w:r>
      <w:r>
        <w:rPr>
          <w:rFonts w:hint="eastAsia" w:ascii="MS UI Gothic" w:eastAsia="MS UI Gothic"/>
          <w:w w:val="80"/>
        </w:rPr>
        <w:t>、</w:t>
      </w:r>
      <w:r>
        <w:t>预防事故和职业危害的安全设施</w:t>
      </w:r>
      <w:r>
        <w:rPr>
          <w:rFonts w:hint="eastAsia" w:ascii="MS UI Gothic" w:eastAsia="MS UI Gothic"/>
          <w:w w:val="80"/>
        </w:rPr>
        <w:t xml:space="preserve">ꎬ </w:t>
      </w:r>
      <w:r>
        <w:t>并符合</w:t>
      </w:r>
      <w:r>
        <w:rPr>
          <w:w w:val="105"/>
        </w:rPr>
        <w:t>下列基本要求</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21"/>
          <w:w w:val="105"/>
        </w:rPr>
        <w:t xml:space="preserve">( </w:t>
      </w:r>
      <w:r>
        <w:rPr>
          <w:spacing w:val="3"/>
          <w:w w:val="105"/>
        </w:rPr>
        <w:t>一</w:t>
      </w:r>
      <w:r>
        <w:rPr>
          <w:rFonts w:hint="eastAsia" w:ascii="MS UI Gothic" w:eastAsia="MS UI Gothic"/>
          <w:spacing w:val="5"/>
          <w:w w:val="105"/>
        </w:rPr>
        <w:t xml:space="preserve">) </w:t>
      </w:r>
      <w:r>
        <w:rPr>
          <w:spacing w:val="5"/>
          <w:w w:val="105"/>
        </w:rPr>
        <w:t>每个矿井至少有两个独立的能</w:t>
      </w:r>
      <w:r>
        <w:rPr>
          <w:spacing w:val="3"/>
        </w:rPr>
        <w:t>行人的直达地面的安全出口</w:t>
      </w:r>
      <w:r>
        <w:rPr>
          <w:rFonts w:hint="eastAsia" w:ascii="MS UI Gothic" w:eastAsia="MS UI Gothic"/>
          <w:spacing w:val="20"/>
          <w:w w:val="80"/>
        </w:rPr>
        <w:t xml:space="preserve">ꎮ </w:t>
      </w:r>
      <w:r>
        <w:rPr>
          <w:spacing w:val="2"/>
        </w:rPr>
        <w:t>矿井的每个</w:t>
      </w:r>
      <w:r>
        <w:rPr>
          <w:spacing w:val="-1"/>
          <w:w w:val="110"/>
        </w:rPr>
        <w:t xml:space="preserve">生产水平 </w:t>
      </w:r>
      <w:r>
        <w:rPr>
          <w:rFonts w:hint="eastAsia" w:ascii="MS UI Gothic" w:eastAsia="MS UI Gothic"/>
          <w:spacing w:val="-34"/>
          <w:w w:val="150"/>
        </w:rPr>
        <w:t xml:space="preserve">( </w:t>
      </w:r>
      <w:r>
        <w:rPr>
          <w:spacing w:val="20"/>
          <w:w w:val="110"/>
        </w:rPr>
        <w:t>中段</w:t>
      </w:r>
      <w:r>
        <w:rPr>
          <w:rFonts w:hint="eastAsia" w:ascii="MS UI Gothic" w:eastAsia="MS UI Gothic"/>
          <w:spacing w:val="3"/>
          <w:w w:val="150"/>
        </w:rPr>
        <w:t xml:space="preserve">) </w:t>
      </w:r>
      <w:r>
        <w:rPr>
          <w:spacing w:val="12"/>
          <w:w w:val="110"/>
        </w:rPr>
        <w:t xml:space="preserve">和各个采区 </w:t>
      </w:r>
      <w:r>
        <w:rPr>
          <w:rFonts w:hint="eastAsia" w:ascii="MS UI Gothic" w:eastAsia="MS UI Gothic"/>
          <w:spacing w:val="-34"/>
          <w:w w:val="150"/>
        </w:rPr>
        <w:t xml:space="preserve">( </w:t>
      </w:r>
      <w:r>
        <w:rPr>
          <w:spacing w:val="21"/>
          <w:w w:val="110"/>
        </w:rPr>
        <w:t>盘区</w:t>
      </w:r>
      <w:r>
        <w:rPr>
          <w:rFonts w:hint="eastAsia" w:ascii="MS UI Gothic" w:eastAsia="MS UI Gothic"/>
          <w:w w:val="150"/>
        </w:rPr>
        <w:t xml:space="preserve">) </w:t>
      </w:r>
      <w:r>
        <w:rPr>
          <w:spacing w:val="3"/>
        </w:rPr>
        <w:t>至少有两个能行人的安全出口</w:t>
      </w:r>
      <w:r>
        <w:rPr>
          <w:rFonts w:hint="eastAsia" w:ascii="MS UI Gothic" w:eastAsia="MS UI Gothic"/>
          <w:spacing w:val="20"/>
          <w:w w:val="80"/>
        </w:rPr>
        <w:t xml:space="preserve">ꎬ </w:t>
      </w:r>
      <w:r>
        <w:rPr>
          <w:spacing w:val="2"/>
        </w:rPr>
        <w:t>并与直达</w:t>
      </w:r>
      <w:r>
        <w:rPr>
          <w:spacing w:val="3"/>
          <w:w w:val="110"/>
        </w:rPr>
        <w:t>地面的出口相通</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每个矿井有抽立的采用机械通</w:t>
      </w:r>
      <w:r>
        <w:t>风的通风系统</w:t>
      </w:r>
      <w:r>
        <w:rPr>
          <w:rFonts w:hint="eastAsia" w:ascii="MS UI Gothic" w:eastAsia="MS UI Gothic"/>
          <w:w w:val="80"/>
        </w:rPr>
        <w:t xml:space="preserve">ꎬ </w:t>
      </w:r>
      <w:r>
        <w:t>保证井下作业场所有足够的风量</w:t>
      </w:r>
      <w:r>
        <w:rPr>
          <w:rFonts w:hint="eastAsia" w:ascii="MS UI Gothic" w:eastAsia="MS UI Gothic"/>
          <w:w w:val="80"/>
        </w:rPr>
        <w:t xml:space="preserve">ꎻ </w:t>
      </w:r>
      <w:r>
        <w:t>但是</w:t>
      </w:r>
      <w:r>
        <w:rPr>
          <w:rFonts w:hint="eastAsia" w:ascii="MS UI Gothic" w:eastAsia="MS UI Gothic"/>
          <w:w w:val="80"/>
        </w:rPr>
        <w:t xml:space="preserve">ꎬ </w:t>
      </w:r>
      <w:r>
        <w:t>小型非沼气矿井在保证井下作业场所所需风量的前提下</w:t>
      </w:r>
      <w:r>
        <w:rPr>
          <w:rFonts w:hint="eastAsia" w:ascii="MS UI Gothic" w:eastAsia="MS UI Gothic"/>
          <w:w w:val="80"/>
        </w:rPr>
        <w:t xml:space="preserve">ꎬ </w:t>
      </w:r>
      <w:r>
        <w:t>可以采用</w:t>
      </w:r>
      <w:r>
        <w:rPr>
          <w:w w:val="105"/>
        </w:rPr>
        <w:t>自然通风</w:t>
      </w:r>
      <w:r>
        <w:rPr>
          <w:rFonts w:hint="eastAsia" w:ascii="MS UI Gothic" w:eastAsia="MS UI Gothic"/>
          <w:w w:val="80"/>
        </w:rPr>
        <w:t>ꎮ</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井巷断面能满足行人</w:t>
      </w:r>
      <w:r>
        <w:rPr>
          <w:rFonts w:hint="eastAsia" w:ascii="MS UI Gothic" w:eastAsia="MS UI Gothic"/>
          <w:w w:val="80"/>
        </w:rPr>
        <w:t xml:space="preserve">、 </w:t>
      </w:r>
      <w:r>
        <w:rPr>
          <w:w w:val="105"/>
        </w:rPr>
        <w:t>运输</w:t>
      </w:r>
      <w:r>
        <w:rPr>
          <w:rFonts w:hint="eastAsia" w:ascii="MS UI Gothic" w:eastAsia="MS UI Gothic"/>
          <w:w w:val="80"/>
        </w:rPr>
        <w:t>、</w:t>
      </w:r>
      <w:r>
        <w:rPr>
          <w:w w:val="105"/>
        </w:rPr>
        <w:t>通风和安全设施</w:t>
      </w:r>
      <w:r>
        <w:rPr>
          <w:rFonts w:hint="eastAsia" w:ascii="MS UI Gothic" w:eastAsia="MS UI Gothic"/>
          <w:w w:val="80"/>
        </w:rPr>
        <w:t xml:space="preserve">、 </w:t>
      </w:r>
      <w:r>
        <w:rPr>
          <w:w w:val="105"/>
        </w:rPr>
        <w:t>设备的安装</w:t>
      </w:r>
      <w:r>
        <w:rPr>
          <w:rFonts w:hint="eastAsia" w:ascii="MS UI Gothic" w:eastAsia="MS UI Gothic"/>
          <w:w w:val="80"/>
        </w:rPr>
        <w:t xml:space="preserve">、 </w:t>
      </w:r>
      <w:r>
        <w:rPr>
          <w:w w:val="105"/>
        </w:rPr>
        <w:t>维修及施工需要</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井巷支护和采场顶板管理能保</w:t>
      </w:r>
      <w:r>
        <w:rPr>
          <w:w w:val="110"/>
        </w:rPr>
        <w:t>证作业场所的安全</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相邻矿井之间</w:t>
      </w:r>
      <w:r>
        <w:rPr>
          <w:rFonts w:hint="eastAsia" w:ascii="MS UI Gothic" w:eastAsia="MS UI Gothic"/>
          <w:w w:val="80"/>
        </w:rPr>
        <w:t xml:space="preserve">、 </w:t>
      </w:r>
      <w:r>
        <w:rPr>
          <w:w w:val="105"/>
        </w:rPr>
        <w:t>矿井与露天矿之间</w:t>
      </w:r>
      <w:r>
        <w:rPr>
          <w:rFonts w:hint="eastAsia" w:ascii="MS UI Gothic" w:eastAsia="MS UI Gothic"/>
          <w:w w:val="80"/>
        </w:rPr>
        <w:t xml:space="preserve">、 </w:t>
      </w:r>
      <w:r>
        <w:rPr>
          <w:w w:val="105"/>
        </w:rPr>
        <w:t>矿井与老窑之间留有足够的安全隔</w:t>
      </w:r>
      <w:r>
        <w:t>离矿柱</w:t>
      </w:r>
      <w:r>
        <w:rPr>
          <w:rFonts w:hint="eastAsia" w:ascii="MS UI Gothic" w:eastAsia="MS UI Gothic"/>
          <w:w w:val="80"/>
        </w:rPr>
        <w:t xml:space="preserve">ꎮ </w:t>
      </w:r>
      <w:r>
        <w:t>矿山井巷布置留有足够的保障井</w:t>
      </w:r>
      <w:r>
        <w:rPr>
          <w:w w:val="105"/>
        </w:rPr>
        <w:t>上和井下安全的矿柱或者岩柱</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露天矿山的阶段高度</w:t>
      </w:r>
      <w:r>
        <w:rPr>
          <w:rFonts w:hint="eastAsia" w:ascii="MS UI Gothic" w:eastAsia="MS UI Gothic"/>
          <w:w w:val="80"/>
        </w:rPr>
        <w:t xml:space="preserve">、 </w:t>
      </w:r>
      <w:r>
        <w:rPr>
          <w:w w:val="105"/>
        </w:rPr>
        <w:t>平台宽</w:t>
      </w:r>
      <w:r>
        <w:t>度和边坡角能满足安全作业和边坡稳定的需要</w:t>
      </w:r>
      <w:r>
        <w:rPr>
          <w:rFonts w:hint="eastAsia" w:ascii="MS UI Gothic" w:eastAsia="MS UI Gothic"/>
          <w:w w:val="80"/>
        </w:rPr>
        <w:t xml:space="preserve">ꎮ </w:t>
      </w:r>
      <w:r>
        <w:t>船采沙矿的采池边界与地面建筑</w:t>
      </w:r>
      <w:r>
        <w:rPr>
          <w:w w:val="105"/>
        </w:rPr>
        <w:t>物</w:t>
      </w:r>
      <w:r>
        <w:rPr>
          <w:rFonts w:hint="eastAsia" w:ascii="MS UI Gothic" w:eastAsia="MS UI Gothic"/>
          <w:w w:val="80"/>
        </w:rPr>
        <w:t xml:space="preserve">、 </w:t>
      </w:r>
      <w:r>
        <w:rPr>
          <w:w w:val="105"/>
        </w:rPr>
        <w:t>设备之间有足够的安全距离</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有地面和井下的防水</w:t>
      </w:r>
      <w:r>
        <w:rPr>
          <w:rFonts w:hint="eastAsia" w:ascii="MS UI Gothic" w:eastAsia="MS UI Gothic"/>
          <w:w w:val="80"/>
        </w:rPr>
        <w:t xml:space="preserve">、 </w:t>
      </w:r>
      <w:r>
        <w:rPr>
          <w:w w:val="105"/>
        </w:rPr>
        <w:t>排水系</w:t>
      </w:r>
      <w:r>
        <w:t>统</w:t>
      </w:r>
      <w:r>
        <w:rPr>
          <w:rFonts w:hint="eastAsia" w:ascii="MS UI Gothic" w:eastAsia="MS UI Gothic"/>
          <w:w w:val="80"/>
        </w:rPr>
        <w:t xml:space="preserve">ꎬ </w:t>
      </w:r>
      <w:r>
        <w:t>有防止地表水泄入井下和露天采场的</w:t>
      </w:r>
      <w:r>
        <w:rPr>
          <w:w w:val="105"/>
        </w:rPr>
        <w:t>措施</w:t>
      </w:r>
      <w:r>
        <w:rPr>
          <w:rFonts w:hint="eastAsia" w:ascii="MS UI Gothic" w:eastAsia="MS UI Gothic"/>
          <w:w w:val="80"/>
        </w:rPr>
        <w:t>ꎮ</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八</w:t>
      </w:r>
      <w:r>
        <w:rPr>
          <w:rFonts w:hint="eastAsia" w:ascii="MS UI Gothic" w:eastAsia="MS UI Gothic"/>
          <w:w w:val="105"/>
        </w:rPr>
        <w:t xml:space="preserve">) </w:t>
      </w:r>
      <w:r>
        <w:rPr>
          <w:w w:val="105"/>
        </w:rPr>
        <w:t>溜矿井有防止和处理堵塞的安</w:t>
      </w:r>
      <w:r>
        <w:rPr>
          <w:w w:val="110"/>
        </w:rPr>
        <w:t>全措施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３９１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73" o:spid="_x0000_s2173" o:spt="203" style="height:2.15pt;width:398.25pt;" coordsize="7965,43">
            <o:lock v:ext="edit"/>
            <v:line id="_x0000_s2174" o:spid="_x0000_s2174" o:spt="20" style="position:absolute;left:0;top:39;height:0;width:7965;" stroked="t" coordsize="21600,21600">
              <v:path arrowok="t"/>
              <v:fill focussize="0,0"/>
              <v:stroke weight="0.388031496062992pt" color="#231F20"/>
              <v:imagedata o:title=""/>
              <o:lock v:ext="edit"/>
            </v:line>
            <v:line id="_x0000_s2175" o:spid="_x0000_s217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有自然发火可能性的矿井</w:t>
      </w:r>
      <w:r>
        <w:rPr>
          <w:rFonts w:hint="eastAsia" w:ascii="MS UI Gothic" w:eastAsia="MS UI Gothic"/>
          <w:w w:val="80"/>
        </w:rPr>
        <w:t xml:space="preserve">ꎬ </w:t>
      </w:r>
      <w:r>
        <w:rPr>
          <w:w w:val="105"/>
        </w:rPr>
        <w:t>主</w:t>
      </w:r>
      <w:r>
        <w:t>要运输巷道布置在岩层或者不易自然发火的矿层内</w:t>
      </w:r>
      <w:r>
        <w:rPr>
          <w:rFonts w:hint="eastAsia" w:ascii="MS UI Gothic" w:eastAsia="MS UI Gothic"/>
          <w:w w:val="80"/>
        </w:rPr>
        <w:t xml:space="preserve">ꎬ </w:t>
      </w:r>
      <w:r>
        <w:t>并采用预防性灌浆或者其他有</w:t>
      </w:r>
      <w:r>
        <w:rPr>
          <w:w w:val="105"/>
        </w:rPr>
        <w:t>效的预防自然发火的措施</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矿山地面消防设施符合国家有</w:t>
      </w:r>
      <w:r>
        <w:t>关消防的规定</w:t>
      </w:r>
      <w:r>
        <w:rPr>
          <w:rFonts w:hint="eastAsia" w:ascii="MS UI Gothic" w:eastAsia="MS UI Gothic"/>
          <w:w w:val="80"/>
        </w:rPr>
        <w:t xml:space="preserve">ꎮ </w:t>
      </w:r>
      <w:r>
        <w:t>矿井有防灭火设施和</w:t>
      </w:r>
      <w:r>
        <w:rPr>
          <w:w w:val="105"/>
        </w:rPr>
        <w:t>器材</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十一</w:t>
      </w:r>
      <w:r>
        <w:rPr>
          <w:rFonts w:hint="eastAsia" w:ascii="MS UI Gothic" w:eastAsia="MS UI Gothic"/>
          <w:w w:val="105"/>
        </w:rPr>
        <w:t xml:space="preserve">) </w:t>
      </w:r>
      <w:r>
        <w:rPr>
          <w:w w:val="105"/>
        </w:rPr>
        <w:t>地面及井下供配电系统符合</w:t>
      </w:r>
      <w:r>
        <w:rPr>
          <w:w w:val="110"/>
        </w:rPr>
        <w:t>国家有关规定</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10"/>
        </w:rPr>
        <w:t xml:space="preserve">( </w:t>
      </w:r>
      <w:r>
        <w:rPr>
          <w:w w:val="110"/>
        </w:rPr>
        <w:t>十二</w:t>
      </w:r>
      <w:r>
        <w:rPr>
          <w:rFonts w:hint="eastAsia" w:ascii="MS UI Gothic" w:eastAsia="MS UI Gothic"/>
          <w:w w:val="110"/>
        </w:rPr>
        <w:t xml:space="preserve">) </w:t>
      </w:r>
      <w:r>
        <w:rPr>
          <w:w w:val="110"/>
        </w:rPr>
        <w:t>矿山提升运输设备</w:t>
      </w:r>
      <w:r>
        <w:rPr>
          <w:rFonts w:hint="eastAsia" w:ascii="MS UI Gothic" w:eastAsia="MS UI Gothic"/>
        </w:rPr>
        <w:t xml:space="preserve">、 </w:t>
      </w:r>
      <w:r>
        <w:rPr>
          <w:w w:val="110"/>
        </w:rPr>
        <w:t>装置及</w:t>
      </w:r>
      <w:r>
        <w:rPr>
          <w:w w:val="115"/>
        </w:rPr>
        <w:t>设施符合下列要求</w:t>
      </w:r>
      <w:r>
        <w:rPr>
          <w:rFonts w:hint="eastAsia" w:ascii="MS UI Gothic" w:eastAsia="MS UI Gothic"/>
          <w:w w:val="235"/>
        </w:rPr>
        <w:t>:</w:t>
      </w:r>
    </w:p>
    <w:p>
      <w:pPr>
        <w:pStyle w:val="6"/>
        <w:spacing w:line="295" w:lineRule="auto"/>
        <w:ind w:left="440" w:right="1" w:firstLine="413"/>
        <w:rPr>
          <w:rFonts w:hint="eastAsia" w:ascii="MS UI Gothic" w:eastAsia="MS UI Gothic"/>
        </w:rPr>
      </w:pPr>
      <w:r>
        <w:rPr>
          <w:rFonts w:hint="eastAsia" w:ascii="MS UI Gothic" w:eastAsia="MS UI Gothic"/>
        </w:rPr>
        <w:t xml:space="preserve">１ </w:t>
      </w:r>
      <w:r>
        <w:t>钢丝绳</w:t>
      </w:r>
      <w:r>
        <w:rPr>
          <w:rFonts w:hint="eastAsia" w:ascii="MS UI Gothic" w:eastAsia="MS UI Gothic"/>
        </w:rPr>
        <w:t xml:space="preserve">、 </w:t>
      </w:r>
      <w:r>
        <w:t>连接装置</w:t>
      </w:r>
      <w:r>
        <w:rPr>
          <w:rFonts w:hint="eastAsia" w:ascii="MS UI Gothic" w:eastAsia="MS UI Gothic"/>
        </w:rPr>
        <w:t xml:space="preserve">、 </w:t>
      </w:r>
      <w:r>
        <w:t>提升容器以及保险链有足够的安全系数</w:t>
      </w:r>
      <w:r>
        <w:rPr>
          <w:rFonts w:hint="eastAsia" w:ascii="MS UI Gothic" w:eastAsia="MS UI Gothic"/>
          <w:w w:val="85"/>
        </w:rPr>
        <w:t>ꎻ</w:t>
      </w:r>
    </w:p>
    <w:p>
      <w:pPr>
        <w:pStyle w:val="6"/>
        <w:spacing w:line="295" w:lineRule="auto"/>
        <w:ind w:left="440" w:right="1" w:firstLine="413"/>
        <w:rPr>
          <w:rFonts w:hint="eastAsia" w:ascii="MS UI Gothic" w:eastAsia="MS UI Gothic"/>
        </w:rPr>
      </w:pPr>
      <w:r>
        <w:rPr>
          <w:rFonts w:hint="eastAsia" w:ascii="MS UI Gothic" w:eastAsia="MS UI Gothic"/>
        </w:rPr>
        <w:t xml:space="preserve">２ </w:t>
      </w:r>
      <w:r>
        <w:t>提升容器与井壁</w:t>
      </w:r>
      <w:r>
        <w:rPr>
          <w:rFonts w:hint="eastAsia" w:ascii="MS UI Gothic" w:eastAsia="MS UI Gothic"/>
        </w:rPr>
        <w:t xml:space="preserve">、 </w:t>
      </w:r>
      <w:r>
        <w:t>罐道梁之间及两个提升容器之间有足够的间隙</w:t>
      </w:r>
      <w:r>
        <w:rPr>
          <w:rFonts w:hint="eastAsia" w:ascii="MS UI Gothic" w:eastAsia="MS UI Gothic"/>
          <w:w w:val="85"/>
        </w:rPr>
        <w:t>ꎻ</w:t>
      </w:r>
    </w:p>
    <w:p>
      <w:pPr>
        <w:pStyle w:val="6"/>
        <w:spacing w:line="295" w:lineRule="auto"/>
        <w:ind w:left="440" w:right="1" w:firstLine="413"/>
        <w:rPr>
          <w:rFonts w:hint="eastAsia" w:ascii="MS UI Gothic" w:eastAsia="MS UI Gothic"/>
        </w:rPr>
      </w:pPr>
      <w:r>
        <w:rPr>
          <w:rFonts w:hint="eastAsia" w:ascii="MS UI Gothic" w:eastAsia="MS UI Gothic"/>
        </w:rPr>
        <w:t>３</w:t>
      </w:r>
      <w:r>
        <w:rPr>
          <w:rFonts w:hint="eastAsia" w:ascii="MS UI Gothic" w:eastAsia="MS UI Gothic"/>
          <w:spacing w:val="16"/>
        </w:rPr>
        <w:t xml:space="preserve"> </w:t>
      </w:r>
      <w:r>
        <w:rPr>
          <w:spacing w:val="11"/>
        </w:rPr>
        <w:t>提升绞车和提升容器有可靠的安</w:t>
      </w:r>
      <w:r>
        <w:rPr>
          <w:spacing w:val="3"/>
        </w:rPr>
        <w:t>全保护装置</w:t>
      </w:r>
      <w:r>
        <w:rPr>
          <w:rFonts w:hint="eastAsia" w:ascii="MS UI Gothic" w:eastAsia="MS UI Gothic"/>
          <w:w w:val="85"/>
        </w:rPr>
        <w:t>ꎻ</w:t>
      </w:r>
    </w:p>
    <w:p>
      <w:pPr>
        <w:pStyle w:val="6"/>
        <w:spacing w:line="295" w:lineRule="auto"/>
        <w:ind w:left="440" w:right="1" w:firstLine="413"/>
        <w:rPr>
          <w:rFonts w:hint="eastAsia" w:ascii="MS UI Gothic" w:eastAsia="MS UI Gothic"/>
        </w:rPr>
      </w:pPr>
      <w:r>
        <w:rPr>
          <w:rFonts w:hint="eastAsia" w:ascii="MS UI Gothic" w:eastAsia="MS UI Gothic"/>
        </w:rPr>
        <w:t>４</w:t>
      </w:r>
      <w:r>
        <w:rPr>
          <w:rFonts w:hint="eastAsia" w:ascii="MS UI Gothic" w:eastAsia="MS UI Gothic"/>
          <w:spacing w:val="35"/>
        </w:rPr>
        <w:t xml:space="preserve"> </w:t>
      </w:r>
      <w:r>
        <w:rPr>
          <w:spacing w:val="8"/>
        </w:rPr>
        <w:t>电机车</w:t>
      </w:r>
      <w:r>
        <w:rPr>
          <w:rFonts w:hint="eastAsia" w:ascii="MS UI Gothic" w:eastAsia="MS UI Gothic"/>
          <w:spacing w:val="23"/>
        </w:rPr>
        <w:t xml:space="preserve">、 </w:t>
      </w:r>
      <w:r>
        <w:rPr>
          <w:spacing w:val="12"/>
        </w:rPr>
        <w:t>架线</w:t>
      </w:r>
      <w:r>
        <w:rPr>
          <w:rFonts w:hint="eastAsia" w:ascii="MS UI Gothic" w:eastAsia="MS UI Gothic"/>
          <w:spacing w:val="23"/>
        </w:rPr>
        <w:t xml:space="preserve">、 </w:t>
      </w:r>
      <w:r>
        <w:rPr>
          <w:spacing w:val="16"/>
        </w:rPr>
        <w:t>轨道的选型能满</w:t>
      </w:r>
      <w:r>
        <w:rPr>
          <w:spacing w:val="3"/>
        </w:rPr>
        <w:t>足安全要求</w:t>
      </w:r>
      <w:r>
        <w:rPr>
          <w:rFonts w:hint="eastAsia" w:ascii="MS UI Gothic" w:eastAsia="MS UI Gothic"/>
          <w:w w:val="85"/>
        </w:rPr>
        <w:t>ꎻ</w:t>
      </w:r>
    </w:p>
    <w:p>
      <w:pPr>
        <w:pStyle w:val="6"/>
        <w:spacing w:line="295" w:lineRule="auto"/>
        <w:ind w:left="440" w:right="1" w:firstLine="413"/>
        <w:rPr>
          <w:rFonts w:hint="eastAsia" w:ascii="MS UI Gothic" w:eastAsia="MS UI Gothic"/>
        </w:rPr>
      </w:pPr>
      <w:r>
        <w:rPr>
          <w:rFonts w:hint="eastAsia" w:ascii="MS UI Gothic" w:eastAsia="MS UI Gothic"/>
        </w:rPr>
        <w:t>５</w:t>
      </w:r>
      <w:r>
        <w:rPr>
          <w:rFonts w:hint="eastAsia" w:ascii="MS UI Gothic" w:eastAsia="MS UI Gothic"/>
          <w:spacing w:val="16"/>
        </w:rPr>
        <w:t xml:space="preserve"> </w:t>
      </w:r>
      <w:r>
        <w:rPr>
          <w:spacing w:val="11"/>
        </w:rPr>
        <w:t>运送人员的机械设备有可靠的安</w:t>
      </w:r>
      <w:r>
        <w:rPr>
          <w:spacing w:val="3"/>
        </w:rPr>
        <w:t>全保护装置</w:t>
      </w:r>
      <w:r>
        <w:rPr>
          <w:rFonts w:hint="eastAsia" w:ascii="MS UI Gothic" w:eastAsia="MS UI Gothic"/>
          <w:w w:val="85"/>
        </w:rPr>
        <w:t>ꎻ</w:t>
      </w:r>
    </w:p>
    <w:p>
      <w:pPr>
        <w:pStyle w:val="6"/>
        <w:spacing w:line="295" w:lineRule="auto"/>
        <w:ind w:left="440" w:right="1" w:firstLine="413"/>
        <w:rPr>
          <w:rFonts w:hint="eastAsia" w:ascii="MS UI Gothic" w:eastAsia="MS UI Gothic"/>
        </w:rPr>
      </w:pPr>
      <w:r>
        <w:rPr>
          <w:rFonts w:hint="eastAsia" w:ascii="MS UI Gothic" w:eastAsia="MS UI Gothic"/>
        </w:rPr>
        <w:t xml:space="preserve">６ </w:t>
      </w:r>
      <w:r>
        <w:t>提升运输设备有灵敏可靠的信号装置</w:t>
      </w:r>
      <w:r>
        <w:rPr>
          <w:rFonts w:hint="eastAsia" w:ascii="MS UI Gothic" w:eastAsia="MS UI Gothic"/>
          <w:w w:val="85"/>
        </w:rPr>
        <w:t>ꎮ</w:t>
      </w:r>
    </w:p>
    <w:p>
      <w:pPr>
        <w:pStyle w:val="6"/>
        <w:spacing w:line="295" w:lineRule="auto"/>
        <w:ind w:left="440"/>
        <w:rPr>
          <w:rFonts w:hint="eastAsia" w:ascii="MS UI Gothic" w:eastAsia="MS UI Gothic"/>
        </w:rPr>
      </w:pPr>
      <w:r>
        <w:rPr>
          <w:rFonts w:hint="eastAsia" w:ascii="MS UI Gothic" w:eastAsia="MS UI Gothic"/>
          <w:spacing w:val="-41"/>
          <w:w w:val="150"/>
        </w:rPr>
        <w:t xml:space="preserve">( </w:t>
      </w:r>
      <w:r>
        <w:rPr>
          <w:spacing w:val="12"/>
          <w:w w:val="105"/>
        </w:rPr>
        <w:t>十三</w:t>
      </w:r>
      <w:r>
        <w:rPr>
          <w:rFonts w:hint="eastAsia" w:ascii="MS UI Gothic" w:eastAsia="MS UI Gothic"/>
          <w:spacing w:val="-12"/>
          <w:w w:val="150"/>
        </w:rPr>
        <w:t xml:space="preserve">) </w:t>
      </w:r>
      <w:r>
        <w:rPr>
          <w:spacing w:val="15"/>
          <w:w w:val="105"/>
        </w:rPr>
        <w:t>每个矿井有防尘供水系统</w:t>
      </w:r>
      <w:r>
        <w:rPr>
          <w:rFonts w:hint="eastAsia" w:ascii="MS UI Gothic" w:eastAsia="MS UI Gothic"/>
          <w:spacing w:val="-12"/>
          <w:w w:val="80"/>
        </w:rPr>
        <w:t>ꎮ</w:t>
      </w:r>
      <w:r>
        <w:rPr>
          <w:spacing w:val="2"/>
        </w:rPr>
        <w:t>地面和井下所有产生粉尘的作业地点有综</w:t>
      </w:r>
      <w:r>
        <w:rPr>
          <w:spacing w:val="3"/>
          <w:w w:val="105"/>
        </w:rPr>
        <w:t>合防尘措施</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十四</w:t>
      </w:r>
      <w:r>
        <w:rPr>
          <w:rFonts w:hint="eastAsia" w:ascii="MS UI Gothic" w:eastAsia="MS UI Gothic"/>
          <w:w w:val="150"/>
        </w:rPr>
        <w:t xml:space="preserve">) </w:t>
      </w:r>
      <w:r>
        <w:rPr>
          <w:w w:val="105"/>
        </w:rPr>
        <w:t>有瓦斯</w:t>
      </w:r>
      <w:r>
        <w:rPr>
          <w:rFonts w:hint="eastAsia" w:ascii="MS UI Gothic" w:eastAsia="MS UI Gothic"/>
          <w:w w:val="80"/>
        </w:rPr>
        <w:t xml:space="preserve">、 </w:t>
      </w:r>
      <w:r>
        <w:rPr>
          <w:w w:val="105"/>
        </w:rPr>
        <w:t>矿尘爆炸可能性的</w:t>
      </w:r>
      <w:r>
        <w:t>矿井</w:t>
      </w:r>
      <w:r>
        <w:rPr>
          <w:rFonts w:hint="eastAsia" w:ascii="MS UI Gothic" w:eastAsia="MS UI Gothic"/>
          <w:w w:val="80"/>
        </w:rPr>
        <w:t xml:space="preserve">ꎬ </w:t>
      </w:r>
      <w:r>
        <w:t>采用防爆电器设备</w:t>
      </w:r>
      <w:r>
        <w:rPr>
          <w:rFonts w:hint="eastAsia" w:ascii="MS UI Gothic" w:eastAsia="MS UI Gothic"/>
          <w:w w:val="80"/>
        </w:rPr>
        <w:t xml:space="preserve">ꎬ </w:t>
      </w:r>
      <w:r>
        <w:t>并采取防尘和</w:t>
      </w:r>
      <w:r>
        <w:rPr>
          <w:w w:val="105"/>
        </w:rPr>
        <w:t>隔爆措施</w:t>
      </w:r>
      <w:r>
        <w:rPr>
          <w:rFonts w:hint="eastAsia" w:ascii="MS UI Gothic" w:eastAsia="MS UI Gothic"/>
          <w:w w:val="80"/>
        </w:rPr>
        <w:t>ꎮ</w:t>
      </w:r>
    </w:p>
    <w:p>
      <w:pPr>
        <w:pStyle w:val="6"/>
        <w:spacing w:line="295" w:lineRule="auto"/>
        <w:ind w:left="440" w:right="1"/>
        <w:rPr>
          <w:rFonts w:hint="eastAsia" w:ascii="MS UI Gothic" w:eastAsia="MS UI Gothic"/>
        </w:rPr>
      </w:pPr>
      <w:r>
        <w:rPr>
          <w:rFonts w:hint="eastAsia" w:ascii="MS UI Gothic" w:eastAsia="MS UI Gothic"/>
          <w:w w:val="110"/>
        </w:rPr>
        <w:t xml:space="preserve">( </w:t>
      </w:r>
      <w:r>
        <w:rPr>
          <w:w w:val="110"/>
        </w:rPr>
        <w:t>十五</w:t>
      </w:r>
      <w:r>
        <w:rPr>
          <w:rFonts w:hint="eastAsia" w:ascii="MS UI Gothic" w:eastAsia="MS UI Gothic"/>
          <w:w w:val="110"/>
        </w:rPr>
        <w:t xml:space="preserve">) </w:t>
      </w:r>
      <w:r>
        <w:rPr>
          <w:w w:val="110"/>
        </w:rPr>
        <w:t>开采放射性矿物的矿井</w:t>
      </w:r>
      <w:r>
        <w:rPr>
          <w:rFonts w:hint="eastAsia" w:ascii="MS UI Gothic" w:eastAsia="MS UI Gothic"/>
          <w:w w:val="80"/>
        </w:rPr>
        <w:t xml:space="preserve">ꎬ </w:t>
      </w:r>
      <w:r>
        <w:rPr>
          <w:w w:val="110"/>
        </w:rPr>
        <w:t>符</w:t>
      </w:r>
      <w:r>
        <w:rPr>
          <w:w w:val="115"/>
        </w:rPr>
        <w:t>合下列要求</w:t>
      </w:r>
      <w:r>
        <w:rPr>
          <w:rFonts w:hint="eastAsia" w:ascii="MS UI Gothic" w:eastAsia="MS UI Gothic"/>
          <w:w w:val="235"/>
        </w:rPr>
        <w:t>:</w:t>
      </w:r>
    </w:p>
    <w:p>
      <w:pPr>
        <w:pStyle w:val="6"/>
        <w:spacing w:line="295" w:lineRule="auto"/>
        <w:ind w:left="440" w:right="1" w:firstLine="413"/>
        <w:rPr>
          <w:rFonts w:hint="eastAsia" w:ascii="MS UI Gothic" w:eastAsia="MS UI Gothic"/>
        </w:rPr>
      </w:pPr>
      <w:r>
        <w:rPr>
          <w:rFonts w:hint="eastAsia" w:ascii="MS UI Gothic" w:eastAsia="MS UI Gothic"/>
        </w:rPr>
        <w:t xml:space="preserve">１ </w:t>
      </w:r>
      <w:r>
        <w:t>矿井进风量和风质能满足降氛的需要</w:t>
      </w:r>
      <w:r>
        <w:rPr>
          <w:rFonts w:hint="eastAsia" w:ascii="MS UI Gothic" w:eastAsia="MS UI Gothic"/>
          <w:w w:val="85"/>
        </w:rPr>
        <w:t xml:space="preserve">ꎬ </w:t>
      </w:r>
      <w:r>
        <w:t>避免串联通风和污风循环</w:t>
      </w:r>
      <w:r>
        <w:rPr>
          <w:rFonts w:hint="eastAsia" w:ascii="MS UI Gothic" w:eastAsia="MS UI Gothic"/>
          <w:w w:val="85"/>
        </w:rPr>
        <w:t>ꎻ</w:t>
      </w:r>
    </w:p>
    <w:p>
      <w:pPr>
        <w:pStyle w:val="6"/>
        <w:spacing w:line="295" w:lineRule="auto"/>
        <w:ind w:left="440" w:right="1" w:firstLine="413"/>
        <w:rPr>
          <w:rFonts w:hint="eastAsia" w:ascii="MS UI Gothic" w:eastAsia="MS UI Gothic"/>
        </w:rPr>
      </w:pPr>
      <w:r>
        <w:rPr>
          <w:rFonts w:hint="eastAsia" w:ascii="MS UI Gothic" w:eastAsia="MS UI Gothic"/>
        </w:rPr>
        <w:t xml:space="preserve">２ </w:t>
      </w:r>
      <w:r>
        <w:t>主要进风道开在矿脉之外</w:t>
      </w:r>
      <w:r>
        <w:rPr>
          <w:rFonts w:hint="eastAsia" w:ascii="MS UI Gothic" w:eastAsia="MS UI Gothic"/>
          <w:w w:val="85"/>
        </w:rPr>
        <w:t xml:space="preserve">ꎬ </w:t>
      </w:r>
      <w:r>
        <w:t>穿矿脉或者岩体裂隙发育的进风巷道有防止氡析出的措施</w:t>
      </w:r>
      <w:r>
        <w:rPr>
          <w:rFonts w:hint="eastAsia" w:ascii="MS UI Gothic" w:eastAsia="MS UI Gothic"/>
          <w:w w:val="85"/>
        </w:rPr>
        <w:t>ꎻ</w:t>
      </w:r>
    </w:p>
    <w:p>
      <w:pPr>
        <w:pStyle w:val="6"/>
        <w:spacing w:line="254" w:lineRule="exact"/>
        <w:ind w:left="854" w:firstLine="0"/>
        <w:jc w:val="left"/>
        <w:rPr>
          <w:rFonts w:hint="eastAsia" w:ascii="MS UI Gothic" w:eastAsia="MS UI Gothic"/>
        </w:rPr>
      </w:pPr>
      <w:r>
        <w:rPr>
          <w:rFonts w:hint="eastAsia" w:ascii="MS UI Gothic" w:eastAsia="MS UI Gothic"/>
        </w:rPr>
        <w:t xml:space="preserve">３ </w:t>
      </w:r>
      <w:r>
        <w:t>采用后退式回采</w:t>
      </w:r>
      <w:r>
        <w:rPr>
          <w:rFonts w:hint="eastAsia" w:ascii="MS UI Gothic" w:eastAsia="MS UI Gothic"/>
          <w:w w:val="85"/>
        </w:rPr>
        <w:t>ꎻ</w:t>
      </w:r>
    </w:p>
    <w:p>
      <w:pPr>
        <w:pStyle w:val="6"/>
        <w:spacing w:before="32" w:line="295" w:lineRule="auto"/>
        <w:ind w:left="440" w:right="1" w:firstLine="413"/>
        <w:rPr>
          <w:rFonts w:hint="eastAsia" w:ascii="MS UI Gothic" w:eastAsia="MS UI Gothic"/>
        </w:rPr>
      </w:pPr>
      <w:r>
        <w:rPr>
          <w:rFonts w:hint="eastAsia" w:ascii="MS UI Gothic" w:eastAsia="MS UI Gothic"/>
        </w:rPr>
        <w:t xml:space="preserve">４ </w:t>
      </w:r>
      <w:r>
        <w:t>能防止井下污水散流</w:t>
      </w:r>
      <w:r>
        <w:rPr>
          <w:rFonts w:hint="eastAsia" w:ascii="MS UI Gothic" w:eastAsia="MS UI Gothic"/>
          <w:w w:val="85"/>
        </w:rPr>
        <w:t xml:space="preserve">ꎬ </w:t>
      </w:r>
      <w:r>
        <w:t>并采取封闭的排放污水系统</w:t>
      </w:r>
      <w:r>
        <w:rPr>
          <w:rFonts w:hint="eastAsia" w:ascii="MS UI Gothic" w:eastAsia="MS UI Gothic"/>
          <w:w w:val="85"/>
        </w:rPr>
        <w:t>ꎮ</w:t>
      </w:r>
    </w:p>
    <w:p>
      <w:pPr>
        <w:pStyle w:val="6"/>
        <w:spacing w:before="124" w:line="295" w:lineRule="auto"/>
        <w:ind w:left="381" w:right="126"/>
        <w:rPr>
          <w:rFonts w:hint="eastAsia" w:ascii="MS UI Gothic" w:eastAsia="MS UI Gothic"/>
        </w:rPr>
      </w:pPr>
      <w:r>
        <w:br w:type="column"/>
      </w:r>
      <w:r>
        <w:rPr>
          <w:rFonts w:hint="eastAsia" w:ascii="MS UI Gothic" w:eastAsia="MS UI Gothic"/>
          <w:w w:val="105"/>
        </w:rPr>
        <w:t xml:space="preserve">( </w:t>
      </w:r>
      <w:r>
        <w:rPr>
          <w:w w:val="105"/>
        </w:rPr>
        <w:t>十六</w:t>
      </w:r>
      <w:r>
        <w:rPr>
          <w:rFonts w:hint="eastAsia" w:ascii="MS UI Gothic" w:eastAsia="MS UI Gothic"/>
          <w:w w:val="105"/>
        </w:rPr>
        <w:t xml:space="preserve">) </w:t>
      </w:r>
      <w:r>
        <w:rPr>
          <w:w w:val="105"/>
        </w:rPr>
        <w:t>矿山储存爆破材料的场所符</w:t>
      </w:r>
      <w:r>
        <w:rPr>
          <w:w w:val="110"/>
        </w:rPr>
        <w:t>合国家有关规定</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十七</w:t>
      </w:r>
      <w:r>
        <w:rPr>
          <w:rFonts w:hint="eastAsia" w:ascii="MS UI Gothic" w:eastAsia="MS UI Gothic"/>
          <w:w w:val="150"/>
        </w:rPr>
        <w:t xml:space="preserve">) </w:t>
      </w:r>
      <w:r>
        <w:rPr>
          <w:w w:val="105"/>
        </w:rPr>
        <w:t>排土场</w:t>
      </w:r>
      <w:r>
        <w:rPr>
          <w:rFonts w:hint="eastAsia" w:ascii="MS UI Gothic" w:eastAsia="MS UI Gothic"/>
          <w:w w:val="80"/>
        </w:rPr>
        <w:t xml:space="preserve">、 </w:t>
      </w:r>
      <w:r>
        <w:rPr>
          <w:w w:val="105"/>
        </w:rPr>
        <w:t>矸石山有防止发生</w:t>
      </w:r>
      <w:r>
        <w:t>泥石流和其他危害的安全措施</w:t>
      </w:r>
      <w:r>
        <w:rPr>
          <w:rFonts w:hint="eastAsia" w:ascii="MS UI Gothic" w:eastAsia="MS UI Gothic"/>
          <w:w w:val="80"/>
        </w:rPr>
        <w:t xml:space="preserve">ꎬ </w:t>
      </w:r>
      <w:r>
        <w:t>尾矿库有</w:t>
      </w:r>
      <w:r>
        <w:rPr>
          <w:w w:val="105"/>
        </w:rPr>
        <w:t>防止溃坝等事故的安全设施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十八</w:t>
      </w:r>
      <w:r>
        <w:rPr>
          <w:rFonts w:hint="eastAsia" w:ascii="MS UI Gothic" w:eastAsia="MS UI Gothic"/>
          <w:w w:val="150"/>
        </w:rPr>
        <w:t xml:space="preserve">) </w:t>
      </w:r>
      <w:r>
        <w:rPr>
          <w:w w:val="105"/>
        </w:rPr>
        <w:t>有防止山体滑坡和因采矿活动引起地表塌陷造成危害的预防措施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十九</w:t>
      </w:r>
      <w:r>
        <w:rPr>
          <w:rFonts w:hint="eastAsia" w:ascii="MS UI Gothic" w:eastAsia="MS UI Gothic"/>
          <w:w w:val="150"/>
        </w:rPr>
        <w:t xml:space="preserve">) </w:t>
      </w:r>
      <w:r>
        <w:rPr>
          <w:w w:val="105"/>
        </w:rPr>
        <w:t>每个矿井配置足够数量的通</w:t>
      </w:r>
      <w:r>
        <w:t>风检测仪表和有毒有害气体与井下环境检测仪器</w:t>
      </w:r>
      <w:r>
        <w:rPr>
          <w:rFonts w:hint="eastAsia" w:ascii="MS UI Gothic" w:eastAsia="MS UI Gothic"/>
          <w:w w:val="80"/>
        </w:rPr>
        <w:t xml:space="preserve">ꎮ </w:t>
      </w:r>
      <w:r>
        <w:t>开采有瓦斯突出的矿井</w:t>
      </w:r>
      <w:r>
        <w:rPr>
          <w:rFonts w:hint="eastAsia" w:ascii="MS UI Gothic" w:eastAsia="MS UI Gothic"/>
          <w:w w:val="80"/>
        </w:rPr>
        <w:t xml:space="preserve">ꎬ </w:t>
      </w:r>
      <w:r>
        <w:t>装备监</w:t>
      </w:r>
      <w:r>
        <w:rPr>
          <w:w w:val="105"/>
        </w:rPr>
        <w:t>测系统或者检测仪器</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二十</w:t>
      </w:r>
      <w:r>
        <w:rPr>
          <w:rFonts w:hint="eastAsia" w:ascii="MS UI Gothic" w:eastAsia="MS UI Gothic"/>
          <w:w w:val="150"/>
        </w:rPr>
        <w:t xml:space="preserve">) </w:t>
      </w:r>
      <w:r>
        <w:rPr>
          <w:w w:val="105"/>
        </w:rPr>
        <w:t>有与外界相通的</w:t>
      </w:r>
      <w:r>
        <w:rPr>
          <w:rFonts w:hint="eastAsia" w:ascii="MS UI Gothic" w:eastAsia="MS UI Gothic"/>
          <w:w w:val="80"/>
        </w:rPr>
        <w:t xml:space="preserve">、  </w:t>
      </w:r>
      <w:r>
        <w:rPr>
          <w:w w:val="105"/>
        </w:rPr>
        <w:t>符合安全要求的运输设施和通讯设施</w:t>
      </w:r>
      <w:r>
        <w:rPr>
          <w:rFonts w:hint="eastAsia" w:ascii="MS UI Gothic" w:eastAsia="MS UI Gothic"/>
          <w:w w:val="80"/>
        </w:rPr>
        <w:t>ꎮ</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二十一</w:t>
      </w:r>
      <w:r>
        <w:rPr>
          <w:rFonts w:hint="eastAsia" w:ascii="MS UI Gothic" w:eastAsia="MS UI Gothic"/>
          <w:w w:val="150"/>
        </w:rPr>
        <w:t xml:space="preserve">) </w:t>
      </w:r>
      <w:r>
        <w:rPr>
          <w:w w:val="110"/>
        </w:rPr>
        <w:t>有更衣室</w:t>
      </w:r>
      <w:r>
        <w:rPr>
          <w:rFonts w:hint="eastAsia" w:ascii="MS UI Gothic" w:eastAsia="MS UI Gothic"/>
          <w:w w:val="80"/>
        </w:rPr>
        <w:t xml:space="preserve">、 </w:t>
      </w:r>
      <w:r>
        <w:rPr>
          <w:w w:val="110"/>
        </w:rPr>
        <w:t>浴室等设施</w:t>
      </w:r>
      <w:r>
        <w:rPr>
          <w:rFonts w:hint="eastAsia" w:ascii="MS UI Gothic" w:eastAsia="MS UI Gothic"/>
          <w:w w:val="80"/>
        </w:rPr>
        <w:t>ꎮ</w:t>
      </w:r>
    </w:p>
    <w:p>
      <w:pPr>
        <w:pStyle w:val="6"/>
        <w:spacing w:before="207"/>
        <w:ind w:left="905" w:firstLine="0"/>
      </w:pPr>
      <w:r>
        <w:rPr>
          <w:w w:val="105"/>
        </w:rPr>
        <w:t>第三章 矿山开采的安全保障</w:t>
      </w:r>
    </w:p>
    <w:p>
      <w:pPr>
        <w:pStyle w:val="6"/>
        <w:spacing w:before="215" w:line="295" w:lineRule="auto"/>
        <w:ind w:left="381" w:right="126"/>
        <w:rPr>
          <w:rFonts w:hint="eastAsia" w:ascii="MS UI Gothic" w:eastAsia="MS UI Gothic"/>
        </w:rPr>
      </w:pPr>
      <w:r>
        <w:t>第十一条 采掘作业应当编制作业规程</w:t>
      </w:r>
      <w:r>
        <w:rPr>
          <w:rFonts w:hint="eastAsia" w:ascii="MS UI Gothic" w:eastAsia="MS UI Gothic"/>
          <w:w w:val="80"/>
        </w:rPr>
        <w:t xml:space="preserve">ꎬ </w:t>
      </w:r>
      <w:r>
        <w:t>规定保证作业人员安全的技术措施和组织措施</w:t>
      </w:r>
      <w:r>
        <w:rPr>
          <w:rFonts w:hint="eastAsia" w:ascii="MS UI Gothic" w:eastAsia="MS UI Gothic"/>
          <w:w w:val="80"/>
        </w:rPr>
        <w:t xml:space="preserve">ꎬ </w:t>
      </w:r>
      <w:r>
        <w:t>并在情况变化时及时予以修改和补充</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第十二条 矿山开采应当有下列图纸</w:t>
      </w:r>
      <w:r>
        <w:rPr>
          <w:w w:val="115"/>
        </w:rPr>
        <w:t>资料</w:t>
      </w:r>
      <w:r>
        <w:rPr>
          <w:rFonts w:hint="eastAsia" w:ascii="MS UI Gothic" w:eastAsia="MS UI Gothic"/>
          <w:w w:val="235"/>
        </w:rPr>
        <w:t>:</w:t>
      </w:r>
    </w:p>
    <w:p>
      <w:pPr>
        <w:pStyle w:val="6"/>
        <w:spacing w:line="295" w:lineRule="auto"/>
        <w:ind w:left="381" w:right="80"/>
        <w:jc w:val="left"/>
        <w:rPr>
          <w:rFonts w:hint="eastAsia" w:ascii="MS UI Gothic" w:eastAsia="MS UI Gothic"/>
        </w:rPr>
      </w:pPr>
      <w:r>
        <w:rPr>
          <w:rFonts w:hint="eastAsia" w:ascii="MS UI Gothic" w:eastAsia="MS UI Gothic"/>
          <w:w w:val="110"/>
        </w:rPr>
        <w:t xml:space="preserve">( </w:t>
      </w:r>
      <w:r>
        <w:rPr>
          <w:w w:val="110"/>
        </w:rPr>
        <w:t>一</w:t>
      </w:r>
      <w:r>
        <w:rPr>
          <w:rFonts w:hint="eastAsia" w:ascii="MS UI Gothic" w:eastAsia="MS UI Gothic"/>
          <w:w w:val="110"/>
        </w:rPr>
        <w:t xml:space="preserve">) </w:t>
      </w:r>
      <w:r>
        <w:rPr>
          <w:w w:val="110"/>
        </w:rPr>
        <w:t xml:space="preserve">地质图 </w:t>
      </w:r>
      <w:r>
        <w:rPr>
          <w:rFonts w:hint="eastAsia" w:ascii="MS UI Gothic" w:eastAsia="MS UI Gothic"/>
          <w:w w:val="110"/>
        </w:rPr>
        <w:t xml:space="preserve">( </w:t>
      </w:r>
      <w:r>
        <w:rPr>
          <w:w w:val="110"/>
        </w:rPr>
        <w:t>包括水文地质图和工</w:t>
      </w:r>
      <w:r>
        <w:rPr>
          <w:w w:val="115"/>
        </w:rPr>
        <w:t>程地质图</w:t>
      </w:r>
      <w:r>
        <w:rPr>
          <w:rFonts w:hint="eastAsia" w:ascii="MS UI Gothic" w:eastAsia="MS UI Gothic"/>
          <w:w w:val="150"/>
        </w:rPr>
        <w:t xml:space="preserve">) </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矿山总布置图和矿井井上</w:t>
      </w:r>
      <w:r>
        <w:rPr>
          <w:rFonts w:hint="eastAsia" w:ascii="MS UI Gothic" w:eastAsia="MS UI Gothic"/>
          <w:w w:val="80"/>
        </w:rPr>
        <w:t xml:space="preserve">、  </w:t>
      </w:r>
      <w:r>
        <w:rPr>
          <w:w w:val="105"/>
        </w:rPr>
        <w:t>井下对照图</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矿井</w:t>
      </w:r>
      <w:r>
        <w:rPr>
          <w:rFonts w:hint="eastAsia" w:ascii="MS UI Gothic" w:eastAsia="MS UI Gothic"/>
          <w:w w:val="80"/>
        </w:rPr>
        <w:t xml:space="preserve">、 </w:t>
      </w:r>
      <w:r>
        <w:rPr>
          <w:w w:val="105"/>
        </w:rPr>
        <w:t>巷道</w:t>
      </w:r>
      <w:r>
        <w:rPr>
          <w:rFonts w:hint="eastAsia" w:ascii="MS UI Gothic" w:eastAsia="MS UI Gothic"/>
          <w:w w:val="80"/>
        </w:rPr>
        <w:t xml:space="preserve">、 </w:t>
      </w:r>
      <w:r>
        <w:rPr>
          <w:w w:val="105"/>
        </w:rPr>
        <w:t>采场布置图</w:t>
      </w:r>
      <w:r>
        <w:rPr>
          <w:rFonts w:hint="eastAsia" w:ascii="MS UI Gothic" w:eastAsia="MS UI Gothic"/>
          <w:w w:val="80"/>
        </w:rPr>
        <w:t>ꎻ</w:t>
      </w:r>
    </w:p>
    <w:p>
      <w:pPr>
        <w:pStyle w:val="6"/>
        <w:spacing w:before="52" w:line="295" w:lineRule="auto"/>
        <w:ind w:left="381" w:right="126"/>
        <w:jc w:val="left"/>
        <w:rPr>
          <w:rFonts w:hint="eastAsia" w:ascii="MS UI Gothic" w:eastAsia="MS UI Gothic"/>
        </w:rPr>
      </w:pPr>
      <w:r>
        <w:rPr>
          <w:rFonts w:hint="eastAsia" w:ascii="MS UI Gothic" w:eastAsia="MS UI Gothic"/>
          <w:spacing w:val="-21"/>
          <w:w w:val="105"/>
        </w:rPr>
        <w:t xml:space="preserve">( </w:t>
      </w:r>
      <w:r>
        <w:rPr>
          <w:spacing w:val="3"/>
          <w:w w:val="105"/>
        </w:rPr>
        <w:t>四</w:t>
      </w:r>
      <w:r>
        <w:rPr>
          <w:rFonts w:hint="eastAsia" w:ascii="MS UI Gothic" w:eastAsia="MS UI Gothic"/>
          <w:spacing w:val="5"/>
          <w:w w:val="105"/>
        </w:rPr>
        <w:t xml:space="preserve">) </w:t>
      </w:r>
      <w:r>
        <w:rPr>
          <w:spacing w:val="5"/>
          <w:w w:val="105"/>
        </w:rPr>
        <w:t>矿山生产和安全保障的主要系</w:t>
      </w:r>
      <w:r>
        <w:rPr>
          <w:spacing w:val="3"/>
          <w:w w:val="110"/>
        </w:rPr>
        <w:t>统图</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第十三条 矿山企业应当在采矿许可</w:t>
      </w:r>
      <w:r>
        <w:rPr>
          <w:spacing w:val="30"/>
        </w:rPr>
        <w:t>证批准的范围开采</w:t>
      </w:r>
      <w:r>
        <w:rPr>
          <w:rFonts w:hint="eastAsia" w:ascii="MS UI Gothic" w:eastAsia="MS UI Gothic"/>
          <w:spacing w:val="20"/>
          <w:w w:val="80"/>
        </w:rPr>
        <w:t xml:space="preserve">ꎬ </w:t>
      </w:r>
      <w:r>
        <w:rPr>
          <w:spacing w:val="30"/>
        </w:rPr>
        <w:t>禁止越层</w:t>
      </w:r>
      <w:r>
        <w:rPr>
          <w:rFonts w:hint="eastAsia" w:ascii="MS UI Gothic" w:eastAsia="MS UI Gothic"/>
          <w:spacing w:val="20"/>
          <w:w w:val="80"/>
        </w:rPr>
        <w:t xml:space="preserve">、 </w:t>
      </w:r>
      <w:r>
        <w:rPr>
          <w:spacing w:val="20"/>
        </w:rPr>
        <w:t>越界</w:t>
      </w:r>
      <w:r>
        <w:rPr>
          <w:spacing w:val="3"/>
        </w:rPr>
        <w:t>开采</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w w:val="105"/>
        </w:rPr>
        <w:t>第十四条 矿山使用的下列设备</w:t>
      </w:r>
      <w:r>
        <w:rPr>
          <w:rFonts w:hint="eastAsia" w:ascii="MS UI Gothic" w:eastAsia="MS UI Gothic"/>
          <w:spacing w:val="19"/>
          <w:w w:val="80"/>
        </w:rPr>
        <w:t xml:space="preserve">、 </w:t>
      </w:r>
      <w:r>
        <w:rPr>
          <w:w w:val="105"/>
        </w:rPr>
        <w:t>器</w:t>
      </w:r>
      <w:r>
        <w:rPr>
          <w:spacing w:val="3"/>
          <w:w w:val="105"/>
        </w:rPr>
        <w:t>材</w:t>
      </w:r>
      <w:r>
        <w:rPr>
          <w:rFonts w:hint="eastAsia" w:ascii="MS UI Gothic" w:eastAsia="MS UI Gothic"/>
          <w:spacing w:val="-1"/>
          <w:w w:val="80"/>
        </w:rPr>
        <w:t xml:space="preserve">、 </w:t>
      </w:r>
      <w:r>
        <w:rPr>
          <w:spacing w:val="3"/>
          <w:w w:val="105"/>
        </w:rPr>
        <w:t>防护用品和安全检测仪器</w:t>
      </w:r>
      <w:r>
        <w:rPr>
          <w:rFonts w:hint="eastAsia" w:ascii="MS UI Gothic" w:eastAsia="MS UI Gothic"/>
          <w:w w:val="80"/>
        </w:rPr>
        <w:t xml:space="preserve">ꎬ </w:t>
      </w:r>
      <w:r>
        <w:rPr>
          <w:spacing w:val="2"/>
          <w:w w:val="105"/>
        </w:rPr>
        <w:t>应当符合</w:t>
      </w:r>
      <w:r>
        <w:rPr>
          <w:spacing w:val="3"/>
        </w:rPr>
        <w:t>国家安全标准或者行业安全标准</w:t>
      </w:r>
      <w:r>
        <w:rPr>
          <w:rFonts w:hint="eastAsia" w:ascii="MS UI Gothic" w:eastAsia="MS UI Gothic"/>
          <w:spacing w:val="20"/>
          <w:w w:val="80"/>
        </w:rPr>
        <w:t xml:space="preserve">ꎻ </w:t>
      </w:r>
      <w:r>
        <w:rPr>
          <w:spacing w:val="1"/>
        </w:rPr>
        <w:t>不符合</w:t>
      </w:r>
      <w:r>
        <w:rPr>
          <w:spacing w:val="3"/>
        </w:rPr>
        <w:t>国家安全标准或者行业安全标准的</w:t>
      </w:r>
      <w:r>
        <w:rPr>
          <w:rFonts w:hint="eastAsia" w:ascii="MS UI Gothic" w:eastAsia="MS UI Gothic"/>
          <w:spacing w:val="20"/>
          <w:w w:val="80"/>
        </w:rPr>
        <w:t xml:space="preserve">ꎬ </w:t>
      </w:r>
      <w:r>
        <w:rPr>
          <w:spacing w:val="1"/>
        </w:rPr>
        <w:t>不得</w:t>
      </w:r>
      <w:r>
        <w:rPr>
          <w:spacing w:val="3"/>
          <w:w w:val="105"/>
        </w:rPr>
        <w:t>使用</w:t>
      </w:r>
      <w:r>
        <w:rPr>
          <w:rFonts w:hint="eastAsia" w:ascii="MS UI Gothic" w:eastAsia="MS UI Gothic"/>
          <w:w w:val="235"/>
        </w:rPr>
        <w:t>:</w:t>
      </w:r>
    </w:p>
    <w:p>
      <w:pPr>
        <w:pStyle w:val="6"/>
        <w:spacing w:line="295" w:lineRule="auto"/>
        <w:ind w:left="381" w:right="126"/>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采掘</w:t>
      </w:r>
      <w:r>
        <w:rPr>
          <w:rFonts w:hint="eastAsia" w:ascii="MS UI Gothic" w:eastAsia="MS UI Gothic"/>
        </w:rPr>
        <w:t xml:space="preserve">、 </w:t>
      </w:r>
      <w:r>
        <w:rPr>
          <w:w w:val="105"/>
        </w:rPr>
        <w:t>支护</w:t>
      </w:r>
      <w:r>
        <w:rPr>
          <w:rFonts w:hint="eastAsia" w:ascii="MS UI Gothic" w:eastAsia="MS UI Gothic"/>
        </w:rPr>
        <w:t xml:space="preserve">、 </w:t>
      </w:r>
      <w:r>
        <w:rPr>
          <w:w w:val="105"/>
        </w:rPr>
        <w:t>装载</w:t>
      </w:r>
      <w:r>
        <w:rPr>
          <w:rFonts w:hint="eastAsia" w:ascii="MS UI Gothic" w:eastAsia="MS UI Gothic"/>
        </w:rPr>
        <w:t xml:space="preserve">、 </w:t>
      </w:r>
      <w:r>
        <w:rPr>
          <w:w w:val="105"/>
        </w:rPr>
        <w:t>运输</w:t>
      </w:r>
      <w:r>
        <w:rPr>
          <w:rFonts w:hint="eastAsia" w:ascii="MS UI Gothic" w:eastAsia="MS UI Gothic"/>
        </w:rPr>
        <w:t xml:space="preserve">、 </w:t>
      </w:r>
      <w:r>
        <w:rPr>
          <w:w w:val="105"/>
        </w:rPr>
        <w:t>提升</w:t>
      </w:r>
      <w:r>
        <w:rPr>
          <w:rFonts w:hint="eastAsia" w:ascii="MS UI Gothic" w:eastAsia="MS UI Gothic"/>
        </w:rPr>
        <w:t xml:space="preserve">、 </w:t>
      </w:r>
      <w:r>
        <w:rPr>
          <w:w w:val="105"/>
        </w:rPr>
        <w:t>通风</w:t>
      </w:r>
      <w:r>
        <w:rPr>
          <w:rFonts w:hint="eastAsia" w:ascii="MS UI Gothic" w:eastAsia="MS UI Gothic"/>
        </w:rPr>
        <w:t xml:space="preserve">、 </w:t>
      </w:r>
      <w:r>
        <w:rPr>
          <w:w w:val="105"/>
        </w:rPr>
        <w:t>排水</w:t>
      </w:r>
      <w:r>
        <w:rPr>
          <w:rFonts w:hint="eastAsia" w:ascii="MS UI Gothic" w:eastAsia="MS UI Gothic"/>
        </w:rPr>
        <w:t xml:space="preserve">、 </w:t>
      </w:r>
      <w:r>
        <w:rPr>
          <w:w w:val="105"/>
        </w:rPr>
        <w:t>瓦斯抽放</w:t>
      </w:r>
      <w:r>
        <w:rPr>
          <w:rFonts w:hint="eastAsia" w:ascii="MS UI Gothic" w:eastAsia="MS UI Gothic"/>
        </w:rPr>
        <w:t xml:space="preserve">、 </w:t>
      </w:r>
      <w:r>
        <w:rPr>
          <w:w w:val="105"/>
        </w:rPr>
        <w:t>压缩空气和</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2176" o:spid="_x0000_s2176" style="position:absolute;left:0pt;margin-left:0pt;margin-top:700.1pt;height:1.75pt;width:398.25pt;mso-position-horizontal-relative:page;z-index:252126208;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３９２</w:t>
      </w:r>
    </w:p>
    <w:p>
      <w:pPr>
        <w:pStyle w:val="6"/>
        <w:spacing w:before="297" w:line="240" w:lineRule="exact"/>
        <w:ind w:firstLine="0"/>
        <w:jc w:val="left"/>
        <w:rPr>
          <w:rFonts w:hint="eastAsia" w:ascii="MS UI Gothic" w:eastAsia="MS UI Gothic"/>
        </w:rPr>
      </w:pPr>
      <w:r>
        <w:rPr>
          <w:w w:val="95"/>
        </w:rPr>
        <w:t>起重设备</w:t>
      </w:r>
      <w:r>
        <w:rPr>
          <w:rFonts w:hint="eastAsia" w:ascii="MS UI Gothic" w:eastAsia="MS UI Gothic"/>
          <w:w w:val="80"/>
        </w:rPr>
        <w:t>ꎻ</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pPr>
      <w:r>
        <w:t>控制采剥工作面的阶段高度</w:t>
      </w:r>
      <w:r>
        <w:rPr>
          <w:rFonts w:hint="eastAsia" w:ascii="MS UI Gothic" w:eastAsia="MS UI Gothic"/>
        </w:rPr>
        <w:t xml:space="preserve">、 </w:t>
      </w:r>
      <w:r>
        <w:t>宽度</w:t>
      </w:r>
      <w:r>
        <w:rPr>
          <w:rFonts w:hint="eastAsia" w:ascii="MS UI Gothic" w:eastAsia="MS UI Gothic"/>
        </w:rPr>
        <w:t xml:space="preserve">、 </w:t>
      </w:r>
      <w:r>
        <w:t>边坡</w:t>
      </w:r>
    </w:p>
    <w:p>
      <w:pPr>
        <w:spacing w:after="0" w:line="240" w:lineRule="exact"/>
        <w:jc w:val="left"/>
        <w:sectPr>
          <w:pgSz w:w="10500" w:h="14750"/>
          <w:pgMar w:top="960" w:right="980" w:bottom="280" w:left="980" w:header="720" w:footer="720" w:gutter="0"/>
          <w:cols w:equalWidth="0" w:num="2">
            <w:col w:w="1106" w:space="1195"/>
            <w:col w:w="6239"/>
          </w:cols>
        </w:sectPr>
      </w:pPr>
    </w:p>
    <w:p>
      <w:pPr>
        <w:pStyle w:val="6"/>
        <w:spacing w:before="74"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电动机</w:t>
      </w:r>
      <w:r>
        <w:rPr>
          <w:rFonts w:hint="eastAsia" w:ascii="MS UI Gothic" w:eastAsia="MS UI Gothic"/>
          <w:w w:val="80"/>
        </w:rPr>
        <w:t xml:space="preserve">、 </w:t>
      </w:r>
      <w:r>
        <w:rPr>
          <w:w w:val="105"/>
        </w:rPr>
        <w:t>变压器</w:t>
      </w:r>
      <w:r>
        <w:rPr>
          <w:rFonts w:hint="eastAsia" w:ascii="MS UI Gothic" w:eastAsia="MS UI Gothic"/>
          <w:w w:val="80"/>
        </w:rPr>
        <w:t xml:space="preserve">、 </w:t>
      </w:r>
      <w:r>
        <w:rPr>
          <w:w w:val="105"/>
        </w:rPr>
        <w:t>配电柜</w:t>
      </w:r>
      <w:r>
        <w:rPr>
          <w:rFonts w:hint="eastAsia" w:ascii="MS UI Gothic" w:eastAsia="MS UI Gothic"/>
          <w:w w:val="80"/>
        </w:rPr>
        <w:t xml:space="preserve">、 </w:t>
      </w:r>
      <w:r>
        <w:rPr>
          <w:w w:val="105"/>
        </w:rPr>
        <w:t>电器开关</w:t>
      </w:r>
      <w:r>
        <w:rPr>
          <w:rFonts w:hint="eastAsia" w:ascii="MS UI Gothic" w:eastAsia="MS UI Gothic"/>
          <w:w w:val="80"/>
        </w:rPr>
        <w:t xml:space="preserve">、 </w:t>
      </w:r>
      <w:r>
        <w:rPr>
          <w:w w:val="105"/>
        </w:rPr>
        <w:t>电控装置</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爆破器材</w:t>
      </w:r>
      <w:r>
        <w:rPr>
          <w:rFonts w:hint="eastAsia" w:ascii="MS UI Gothic" w:eastAsia="MS UI Gothic"/>
          <w:w w:val="80"/>
        </w:rPr>
        <w:t xml:space="preserve">、 </w:t>
      </w:r>
      <w:r>
        <w:rPr>
          <w:w w:val="105"/>
        </w:rPr>
        <w:t>通讯器材</w:t>
      </w:r>
      <w:r>
        <w:rPr>
          <w:rFonts w:hint="eastAsia" w:ascii="MS UI Gothic" w:eastAsia="MS UI Gothic"/>
          <w:w w:val="80"/>
        </w:rPr>
        <w:t xml:space="preserve">、 </w:t>
      </w:r>
      <w:r>
        <w:rPr>
          <w:w w:val="105"/>
        </w:rPr>
        <w:t>矿灯</w:t>
      </w:r>
      <w:r>
        <w:rPr>
          <w:rFonts w:hint="eastAsia" w:ascii="MS UI Gothic" w:eastAsia="MS UI Gothic"/>
          <w:w w:val="80"/>
        </w:rPr>
        <w:t>、</w:t>
      </w:r>
      <w:r>
        <w:rPr>
          <w:w w:val="105"/>
        </w:rPr>
        <w:t>电缆</w:t>
      </w:r>
      <w:r>
        <w:rPr>
          <w:rFonts w:hint="eastAsia" w:ascii="MS UI Gothic" w:eastAsia="MS UI Gothic"/>
          <w:w w:val="80"/>
        </w:rPr>
        <w:t xml:space="preserve">、 </w:t>
      </w:r>
      <w:r>
        <w:rPr>
          <w:w w:val="105"/>
        </w:rPr>
        <w:t>钢丝绳</w:t>
      </w:r>
      <w:r>
        <w:rPr>
          <w:rFonts w:hint="eastAsia" w:ascii="MS UI Gothic" w:eastAsia="MS UI Gothic"/>
          <w:w w:val="80"/>
        </w:rPr>
        <w:t xml:space="preserve">、 </w:t>
      </w:r>
      <w:r>
        <w:rPr>
          <w:w w:val="105"/>
        </w:rPr>
        <w:t>支护材料</w:t>
      </w:r>
      <w:r>
        <w:rPr>
          <w:rFonts w:hint="eastAsia" w:ascii="MS UI Gothic" w:eastAsia="MS UI Gothic"/>
          <w:w w:val="80"/>
        </w:rPr>
        <w:t xml:space="preserve">、 </w:t>
      </w:r>
      <w:r>
        <w:rPr>
          <w:w w:val="105"/>
        </w:rPr>
        <w:t>防火材料</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各种安全卫生检测仪器仪表</w:t>
      </w:r>
      <w:r>
        <w:rPr>
          <w:rFonts w:hint="eastAsia" w:ascii="MS UI Gothic" w:eastAsia="MS UI Gothic"/>
          <w:w w:val="80"/>
        </w:rPr>
        <w:t>ꎻ</w:t>
      </w:r>
    </w:p>
    <w:p>
      <w:pPr>
        <w:pStyle w:val="6"/>
        <w:spacing w:before="57"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自救器</w:t>
      </w:r>
      <w:r>
        <w:rPr>
          <w:rFonts w:hint="eastAsia" w:ascii="MS UI Gothic" w:eastAsia="MS UI Gothic"/>
          <w:w w:val="80"/>
        </w:rPr>
        <w:t xml:space="preserve">、 </w:t>
      </w:r>
      <w:r>
        <w:rPr>
          <w:w w:val="105"/>
        </w:rPr>
        <w:t>安全帽</w:t>
      </w:r>
      <w:r>
        <w:rPr>
          <w:rFonts w:hint="eastAsia" w:ascii="MS UI Gothic" w:eastAsia="MS UI Gothic"/>
          <w:w w:val="80"/>
        </w:rPr>
        <w:t xml:space="preserve">、 </w:t>
      </w:r>
      <w:r>
        <w:rPr>
          <w:w w:val="105"/>
        </w:rPr>
        <w:t>防尘防毒口罩或者面罩</w:t>
      </w:r>
      <w:r>
        <w:rPr>
          <w:rFonts w:hint="eastAsia" w:ascii="MS UI Gothic" w:eastAsia="MS UI Gothic"/>
          <w:w w:val="80"/>
        </w:rPr>
        <w:t xml:space="preserve">、 </w:t>
      </w:r>
      <w:r>
        <w:rPr>
          <w:w w:val="105"/>
        </w:rPr>
        <w:t>防护服</w:t>
      </w:r>
      <w:r>
        <w:rPr>
          <w:rFonts w:hint="eastAsia" w:ascii="MS UI Gothic" w:eastAsia="MS UI Gothic"/>
          <w:w w:val="80"/>
        </w:rPr>
        <w:t xml:space="preserve">、 </w:t>
      </w:r>
      <w:r>
        <w:rPr>
          <w:w w:val="105"/>
        </w:rPr>
        <w:t>防护鞋等防护用品和救护设备</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经有关主管部门认定的其他有特殊安全要求的设备和器材</w:t>
      </w:r>
      <w:r>
        <w:rPr>
          <w:rFonts w:hint="eastAsia" w:ascii="MS UI Gothic" w:eastAsia="MS UI Gothic"/>
          <w:w w:val="80"/>
        </w:rPr>
        <w:t>ꎮ</w:t>
      </w:r>
    </w:p>
    <w:p>
      <w:pPr>
        <w:pStyle w:val="6"/>
        <w:spacing w:line="295" w:lineRule="auto"/>
        <w:ind w:right="38"/>
        <w:rPr>
          <w:rFonts w:hint="eastAsia" w:ascii="MS UI Gothic" w:eastAsia="MS UI Gothic"/>
        </w:rPr>
      </w:pPr>
      <w:r>
        <w:t>第十五条 矿山企业应当对机电设备及其防护装置</w:t>
      </w:r>
      <w:r>
        <w:rPr>
          <w:rFonts w:hint="eastAsia" w:ascii="MS UI Gothic" w:eastAsia="MS UI Gothic"/>
          <w:w w:val="80"/>
        </w:rPr>
        <w:t xml:space="preserve">、 </w:t>
      </w:r>
      <w:r>
        <w:t>安全检测仪器定期检查</w:t>
      </w:r>
      <w:r>
        <w:rPr>
          <w:rFonts w:hint="eastAsia" w:ascii="MS UI Gothic" w:eastAsia="MS UI Gothic"/>
          <w:w w:val="80"/>
        </w:rPr>
        <w:t>、</w:t>
      </w:r>
      <w:r>
        <w:t>维修</w:t>
      </w:r>
      <w:r>
        <w:rPr>
          <w:rFonts w:hint="eastAsia" w:ascii="MS UI Gothic" w:eastAsia="MS UI Gothic"/>
          <w:w w:val="80"/>
        </w:rPr>
        <w:t xml:space="preserve">ꎬ </w:t>
      </w:r>
      <w:r>
        <w:t>并建立技术档案</w:t>
      </w:r>
      <w:r>
        <w:rPr>
          <w:rFonts w:hint="eastAsia" w:ascii="MS UI Gothic" w:eastAsia="MS UI Gothic"/>
          <w:w w:val="80"/>
        </w:rPr>
        <w:t xml:space="preserve">ꎬ </w:t>
      </w:r>
      <w:r>
        <w:t>保证使用安全</w:t>
      </w:r>
      <w:r>
        <w:rPr>
          <w:rFonts w:hint="eastAsia" w:ascii="MS UI Gothic" w:eastAsia="MS UI Gothic"/>
          <w:w w:val="80"/>
        </w:rPr>
        <w:t>ꎮ</w:t>
      </w:r>
    </w:p>
    <w:p>
      <w:pPr>
        <w:pStyle w:val="6"/>
        <w:spacing w:line="295" w:lineRule="auto"/>
        <w:ind w:right="39"/>
        <w:rPr>
          <w:rFonts w:hint="eastAsia" w:ascii="MS UI Gothic" w:eastAsia="MS UI Gothic"/>
        </w:rPr>
      </w:pPr>
      <w:r>
        <w:t>非负责设备运行的人员</w:t>
      </w:r>
      <w:r>
        <w:rPr>
          <w:rFonts w:hint="eastAsia" w:ascii="MS UI Gothic" w:eastAsia="MS UI Gothic"/>
          <w:w w:val="80"/>
        </w:rPr>
        <w:t xml:space="preserve">ꎬ </w:t>
      </w:r>
      <w:r>
        <w:t>不得操作设备</w:t>
      </w:r>
      <w:r>
        <w:rPr>
          <w:rFonts w:hint="eastAsia" w:ascii="MS UI Gothic" w:eastAsia="MS UI Gothic"/>
          <w:w w:val="80"/>
        </w:rPr>
        <w:t xml:space="preserve">ꎮ </w:t>
      </w:r>
      <w:r>
        <w:t>非值班电气人员</w:t>
      </w:r>
      <w:r>
        <w:rPr>
          <w:rFonts w:hint="eastAsia" w:ascii="MS UI Gothic" w:eastAsia="MS UI Gothic"/>
          <w:w w:val="80"/>
        </w:rPr>
        <w:t xml:space="preserve">ꎬ </w:t>
      </w:r>
      <w:r>
        <w:t>不得进行电气作业</w:t>
      </w:r>
      <w:r>
        <w:rPr>
          <w:rFonts w:hint="eastAsia" w:ascii="MS UI Gothic" w:eastAsia="MS UI Gothic"/>
          <w:w w:val="80"/>
        </w:rPr>
        <w:t xml:space="preserve">ꎮ </w:t>
      </w:r>
      <w:r>
        <w:t>操作电气设备的人员</w:t>
      </w:r>
      <w:r>
        <w:rPr>
          <w:rFonts w:hint="eastAsia" w:ascii="MS UI Gothic" w:eastAsia="MS UI Gothic"/>
          <w:w w:val="80"/>
        </w:rPr>
        <w:t xml:space="preserve">ꎬ </w:t>
      </w:r>
      <w:r>
        <w:t>应当有可靠的绝缘保护</w:t>
      </w:r>
      <w:r>
        <w:rPr>
          <w:rFonts w:hint="eastAsia" w:ascii="MS UI Gothic" w:eastAsia="MS UI Gothic"/>
          <w:w w:val="80"/>
        </w:rPr>
        <w:t xml:space="preserve">ꎮ </w:t>
      </w:r>
      <w:r>
        <w:t>检修电气设备时</w:t>
      </w:r>
      <w:r>
        <w:rPr>
          <w:rFonts w:hint="eastAsia" w:ascii="MS UI Gothic" w:eastAsia="MS UI Gothic"/>
          <w:w w:val="80"/>
        </w:rPr>
        <w:t xml:space="preserve">ꎬ </w:t>
      </w:r>
      <w:r>
        <w:t>不得带电作业</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第十六条 矿山作业场所空气中的有</w:t>
      </w:r>
      <w:r>
        <w:t>毒有害物质的浓度</w:t>
      </w:r>
      <w:r>
        <w:rPr>
          <w:rFonts w:hint="eastAsia" w:ascii="MS UI Gothic" w:eastAsia="MS UI Gothic"/>
          <w:w w:val="80"/>
        </w:rPr>
        <w:t xml:space="preserve">ꎬ </w:t>
      </w:r>
      <w:r>
        <w:t>不得超过国家标准或者行业标准</w:t>
      </w:r>
      <w:r>
        <w:rPr>
          <w:rFonts w:hint="eastAsia" w:ascii="MS UI Gothic" w:eastAsia="MS UI Gothic"/>
          <w:w w:val="80"/>
        </w:rPr>
        <w:t xml:space="preserve">ꎻ </w:t>
      </w:r>
      <w:r>
        <w:t>矿山企业应当按照国家规定</w:t>
      </w:r>
      <w:r>
        <w:rPr>
          <w:w w:val="105"/>
        </w:rPr>
        <w:t>的方法</w:t>
      </w:r>
      <w:r>
        <w:rPr>
          <w:rFonts w:hint="eastAsia" w:ascii="MS UI Gothic" w:eastAsia="MS UI Gothic"/>
          <w:w w:val="80"/>
        </w:rPr>
        <w:t xml:space="preserve">ꎬ </w:t>
      </w:r>
      <w:r>
        <w:rPr>
          <w:w w:val="105"/>
        </w:rPr>
        <w:t>按照下列要求定期检测</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粉尘作业点</w:t>
      </w:r>
      <w:r>
        <w:rPr>
          <w:rFonts w:hint="eastAsia" w:ascii="MS UI Gothic" w:eastAsia="MS UI Gothic"/>
          <w:w w:val="80"/>
        </w:rPr>
        <w:t xml:space="preserve">ꎬ </w:t>
      </w:r>
      <w:r>
        <w:rPr>
          <w:w w:val="105"/>
        </w:rPr>
        <w:t>每月至少检测两次</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4"/>
          <w:w w:val="150"/>
        </w:rPr>
        <w:t xml:space="preserve">) </w:t>
      </w:r>
      <w:r>
        <w:rPr>
          <w:spacing w:val="5"/>
          <w:w w:val="105"/>
        </w:rPr>
        <w:t>三硝基甲苯作业点</w:t>
      </w:r>
      <w:r>
        <w:rPr>
          <w:rFonts w:hint="eastAsia" w:ascii="MS UI Gothic" w:eastAsia="MS UI Gothic"/>
          <w:spacing w:val="13"/>
          <w:w w:val="80"/>
        </w:rPr>
        <w:t xml:space="preserve">ꎬ </w:t>
      </w:r>
      <w:r>
        <w:rPr>
          <w:spacing w:val="8"/>
          <w:w w:val="105"/>
        </w:rPr>
        <w:t>每月至少</w:t>
      </w:r>
      <w:r>
        <w:rPr>
          <w:spacing w:val="3"/>
          <w:w w:val="105"/>
        </w:rPr>
        <w:t>检测一次</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4"/>
          <w:w w:val="150"/>
        </w:rPr>
        <w:t xml:space="preserve">) </w:t>
      </w:r>
      <w:r>
        <w:rPr>
          <w:spacing w:val="5"/>
          <w:w w:val="105"/>
        </w:rPr>
        <w:t>放射性物质作业点</w:t>
      </w:r>
      <w:r>
        <w:rPr>
          <w:rFonts w:hint="eastAsia" w:ascii="MS UI Gothic" w:eastAsia="MS UI Gothic"/>
          <w:spacing w:val="13"/>
          <w:w w:val="80"/>
        </w:rPr>
        <w:t xml:space="preserve">ꎬ </w:t>
      </w:r>
      <w:r>
        <w:rPr>
          <w:spacing w:val="8"/>
          <w:w w:val="105"/>
        </w:rPr>
        <w:t>每月至少</w:t>
      </w:r>
      <w:r>
        <w:rPr>
          <w:spacing w:val="3"/>
          <w:w w:val="105"/>
        </w:rPr>
        <w:t>检测三次</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其他有毒有害物质作业点</w:t>
      </w:r>
      <w:r>
        <w:rPr>
          <w:rFonts w:hint="eastAsia" w:ascii="MS UI Gothic" w:eastAsia="MS UI Gothic"/>
          <w:w w:val="80"/>
        </w:rPr>
        <w:t xml:space="preserve">ꎬ </w:t>
      </w:r>
      <w:r>
        <w:rPr>
          <w:w w:val="105"/>
        </w:rPr>
        <w:t>井</w:t>
      </w:r>
      <w:r>
        <w:t>下每月至少检测一次</w:t>
      </w:r>
      <w:r>
        <w:rPr>
          <w:rFonts w:hint="eastAsia" w:ascii="MS UI Gothic" w:eastAsia="MS UI Gothic"/>
          <w:w w:val="80"/>
        </w:rPr>
        <w:t xml:space="preserve">ꎬ </w:t>
      </w:r>
      <w:r>
        <w:t>地面每季度至少检</w:t>
      </w:r>
      <w:r>
        <w:rPr>
          <w:w w:val="105"/>
        </w:rPr>
        <w:t>测一次</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采用个体采样方法检测呼吸性粉尘的</w:t>
      </w:r>
      <w:r>
        <w:rPr>
          <w:rFonts w:hint="eastAsia" w:ascii="MS UI Gothic" w:eastAsia="MS UI Gothic"/>
          <w:w w:val="80"/>
        </w:rPr>
        <w:t xml:space="preserve">ꎬ </w:t>
      </w:r>
      <w:r>
        <w:rPr>
          <w:w w:val="105"/>
        </w:rPr>
        <w:t>每季度至少检测一次</w:t>
      </w:r>
      <w:r>
        <w:rPr>
          <w:rFonts w:hint="eastAsia" w:ascii="MS UI Gothic" w:eastAsia="MS UI Gothic"/>
          <w:w w:val="80"/>
        </w:rPr>
        <w:t>ꎮ</w:t>
      </w:r>
    </w:p>
    <w:p>
      <w:pPr>
        <w:pStyle w:val="6"/>
        <w:spacing w:line="295" w:lineRule="auto"/>
        <w:ind w:right="39"/>
        <w:rPr>
          <w:rFonts w:hint="eastAsia" w:ascii="MS UI Gothic" w:eastAsia="MS UI Gothic"/>
        </w:rPr>
      </w:pPr>
      <w:r>
        <w:t>第十七条 井下采掘作业</w:t>
      </w:r>
      <w:r>
        <w:rPr>
          <w:rFonts w:hint="eastAsia" w:ascii="MS UI Gothic" w:eastAsia="MS UI Gothic"/>
          <w:w w:val="80"/>
        </w:rPr>
        <w:t xml:space="preserve">ꎬ </w:t>
      </w:r>
      <w:r>
        <w:t>必须按照作业规程的规定管理顶帮</w:t>
      </w:r>
      <w:r>
        <w:rPr>
          <w:rFonts w:hint="eastAsia" w:ascii="MS UI Gothic" w:eastAsia="MS UI Gothic"/>
          <w:w w:val="80"/>
        </w:rPr>
        <w:t xml:space="preserve">ꎮ </w:t>
      </w:r>
      <w:r>
        <w:t>采掘作业通过地质破碎带或者其他顶帮破碎地点时</w:t>
      </w:r>
      <w:r>
        <w:rPr>
          <w:rFonts w:hint="eastAsia" w:ascii="MS UI Gothic" w:eastAsia="MS UI Gothic"/>
          <w:w w:val="80"/>
        </w:rPr>
        <w:t xml:space="preserve">ꎬ </w:t>
      </w:r>
      <w:r>
        <w:t>应当加强支护</w:t>
      </w:r>
      <w:r>
        <w:rPr>
          <w:rFonts w:hint="eastAsia" w:ascii="MS UI Gothic" w:eastAsia="MS UI Gothic"/>
          <w:w w:val="80"/>
        </w:rPr>
        <w:t>ꎮ</w:t>
      </w:r>
    </w:p>
    <w:p>
      <w:pPr>
        <w:pStyle w:val="6"/>
        <w:spacing w:line="253" w:lineRule="exact"/>
        <w:ind w:left="543" w:firstLine="0"/>
        <w:rPr>
          <w:rFonts w:hint="eastAsia" w:ascii="MS UI Gothic" w:eastAsia="MS UI Gothic"/>
        </w:rPr>
      </w:pPr>
      <w:r>
        <w:t>露天采剥作业</w:t>
      </w:r>
      <w:r>
        <w:rPr>
          <w:rFonts w:hint="eastAsia" w:ascii="MS UI Gothic" w:eastAsia="MS UI Gothic"/>
          <w:w w:val="80"/>
        </w:rPr>
        <w:t xml:space="preserve">ꎬ </w:t>
      </w:r>
      <w:r>
        <w:t>应当按照设计规定</w:t>
      </w:r>
      <w:r>
        <w:rPr>
          <w:rFonts w:hint="eastAsia" w:ascii="MS UI Gothic" w:eastAsia="MS UI Gothic"/>
          <w:w w:val="80"/>
        </w:rPr>
        <w:t>ꎬ</w:t>
      </w:r>
    </w:p>
    <w:p>
      <w:pPr>
        <w:pStyle w:val="6"/>
        <w:spacing w:before="74" w:line="295" w:lineRule="auto"/>
        <w:ind w:right="440" w:firstLine="0"/>
        <w:rPr>
          <w:rFonts w:hint="eastAsia" w:ascii="MS UI Gothic" w:eastAsia="MS UI Gothic"/>
        </w:rPr>
      </w:pPr>
      <w:r>
        <w:br w:type="column"/>
      </w:r>
      <w:r>
        <w:t>角和最终边坡角</w:t>
      </w:r>
      <w:r>
        <w:rPr>
          <w:rFonts w:hint="eastAsia" w:ascii="MS UI Gothic" w:eastAsia="MS UI Gothic"/>
          <w:w w:val="80"/>
        </w:rPr>
        <w:t xml:space="preserve">ꎮ </w:t>
      </w:r>
      <w:r>
        <w:t>采剥作业和排土作业</w:t>
      </w:r>
      <w:r>
        <w:rPr>
          <w:rFonts w:hint="eastAsia" w:ascii="MS UI Gothic" w:eastAsia="MS UI Gothic"/>
          <w:w w:val="80"/>
        </w:rPr>
        <w:t>ꎬ</w:t>
      </w:r>
      <w:r>
        <w:t>不得对深部或者邻近井巷造成危害</w:t>
      </w:r>
      <w:r>
        <w:rPr>
          <w:rFonts w:hint="eastAsia" w:ascii="MS UI Gothic" w:eastAsia="MS UI Gothic"/>
          <w:w w:val="80"/>
        </w:rPr>
        <w:t>ꎮ</w:t>
      </w:r>
    </w:p>
    <w:p>
      <w:pPr>
        <w:pStyle w:val="6"/>
        <w:spacing w:line="295" w:lineRule="auto"/>
        <w:ind w:right="442"/>
        <w:rPr>
          <w:rFonts w:hint="eastAsia" w:ascii="MS UI Gothic" w:eastAsia="MS UI Gothic"/>
        </w:rPr>
      </w:pPr>
      <w:r>
        <w:t>第十八条 煤矿和其他有瓦斯爆炸可能性的矿井</w:t>
      </w:r>
      <w:r>
        <w:rPr>
          <w:rFonts w:hint="eastAsia" w:ascii="MS UI Gothic" w:eastAsia="MS UI Gothic"/>
          <w:w w:val="80"/>
        </w:rPr>
        <w:t xml:space="preserve">ꎬ </w:t>
      </w:r>
      <w:r>
        <w:t>应当严格执行瓦斯检查制度</w:t>
      </w:r>
      <w:r>
        <w:rPr>
          <w:rFonts w:hint="eastAsia" w:ascii="MS UI Gothic" w:eastAsia="MS UI Gothic"/>
          <w:w w:val="80"/>
        </w:rPr>
        <w:t xml:space="preserve">ꎬ </w:t>
      </w:r>
      <w:r>
        <w:t>任何人不得携带烟草和点火用具下井</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第十九条 在下列条件下从事矿山开</w:t>
      </w:r>
      <w:r>
        <w:t>采</w:t>
      </w:r>
      <w:r>
        <w:rPr>
          <w:rFonts w:hint="eastAsia" w:ascii="MS UI Gothic" w:eastAsia="MS UI Gothic"/>
          <w:w w:val="80"/>
        </w:rPr>
        <w:t xml:space="preserve">ꎬ </w:t>
      </w:r>
      <w:r>
        <w:t>应当编制专门设计文件</w:t>
      </w:r>
      <w:r>
        <w:rPr>
          <w:rFonts w:hint="eastAsia" w:ascii="MS UI Gothic" w:eastAsia="MS UI Gothic"/>
          <w:w w:val="80"/>
        </w:rPr>
        <w:t xml:space="preserve">ꎬ </w:t>
      </w:r>
      <w:r>
        <w:t>并报管理矿</w:t>
      </w:r>
      <w:r>
        <w:rPr>
          <w:w w:val="105"/>
        </w:rPr>
        <w:t>山企业的主管部门批准</w:t>
      </w:r>
      <w:r>
        <w:rPr>
          <w:rFonts w:hint="eastAsia" w:ascii="MS UI Gothic" w:eastAsia="MS UI Gothic"/>
          <w:w w:val="235"/>
        </w:rPr>
        <w:t>:</w:t>
      </w:r>
    </w:p>
    <w:p>
      <w:pPr>
        <w:pStyle w:val="6"/>
        <w:spacing w:line="295" w:lineRule="auto"/>
        <w:ind w:left="543" w:right="1869" w:firstLine="0"/>
        <w:rPr>
          <w:rFonts w:hint="eastAsia" w:ascii="MS UI Gothic" w:eastAsia="MS UI Gothic"/>
        </w:rPr>
      </w:pPr>
      <w:r>
        <w:rPr>
          <w:rFonts w:hint="eastAsia" w:ascii="MS UI Gothic" w:eastAsia="MS UI Gothic"/>
          <w:spacing w:val="-38"/>
          <w:w w:val="135"/>
        </w:rPr>
        <w:t xml:space="preserve">( </w:t>
      </w:r>
      <w:r>
        <w:rPr>
          <w:spacing w:val="3"/>
          <w:w w:val="110"/>
        </w:rPr>
        <w:t>一</w:t>
      </w:r>
      <w:r>
        <w:rPr>
          <w:rFonts w:hint="eastAsia" w:ascii="MS UI Gothic" w:eastAsia="MS UI Gothic"/>
          <w:spacing w:val="-20"/>
          <w:w w:val="135"/>
        </w:rPr>
        <w:t xml:space="preserve">) </w:t>
      </w:r>
      <w:r>
        <w:rPr>
          <w:spacing w:val="3"/>
          <w:w w:val="110"/>
        </w:rPr>
        <w:t>有瓦斯突出的</w:t>
      </w:r>
      <w:r>
        <w:rPr>
          <w:rFonts w:hint="eastAsia" w:ascii="MS UI Gothic" w:eastAsia="MS UI Gothic"/>
          <w:spacing w:val="-11"/>
          <w:w w:val="80"/>
        </w:rPr>
        <w:t>ꎻ</w:t>
      </w:r>
      <w:r>
        <w:rPr>
          <w:rFonts w:hint="eastAsia" w:ascii="MS UI Gothic" w:eastAsia="MS UI Gothic"/>
          <w:spacing w:val="-38"/>
          <w:w w:val="135"/>
        </w:rPr>
        <w:t xml:space="preserve">( </w:t>
      </w:r>
      <w:r>
        <w:rPr>
          <w:spacing w:val="3"/>
          <w:w w:val="110"/>
        </w:rPr>
        <w:t>二</w:t>
      </w:r>
      <w:r>
        <w:rPr>
          <w:rFonts w:hint="eastAsia" w:ascii="MS UI Gothic" w:eastAsia="MS UI Gothic"/>
          <w:spacing w:val="-20"/>
          <w:w w:val="135"/>
        </w:rPr>
        <w:t xml:space="preserve">) </w:t>
      </w:r>
      <w:r>
        <w:rPr>
          <w:spacing w:val="3"/>
          <w:w w:val="110"/>
        </w:rPr>
        <w:t>有冲击地压的</w:t>
      </w:r>
      <w:r>
        <w:rPr>
          <w:rFonts w:hint="eastAsia" w:ascii="MS UI Gothic" w:eastAsia="MS UI Gothic"/>
          <w:spacing w:val="-11"/>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在需要保护的建筑物</w:t>
      </w:r>
      <w:r>
        <w:rPr>
          <w:rFonts w:hint="eastAsia" w:ascii="MS UI Gothic" w:eastAsia="MS UI Gothic"/>
          <w:w w:val="80"/>
        </w:rPr>
        <w:t xml:space="preserve">、 </w:t>
      </w:r>
      <w:r>
        <w:rPr>
          <w:w w:val="105"/>
        </w:rPr>
        <w:t>构筑物和铁路下面开采的</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在水体下面开采的</w:t>
      </w:r>
      <w:r>
        <w:rPr>
          <w:rFonts w:hint="eastAsia" w:ascii="MS UI Gothic" w:eastAsia="MS UI Gothic"/>
          <w:w w:val="80"/>
        </w:rPr>
        <w:t>ꎻ</w:t>
      </w:r>
    </w:p>
    <w:p>
      <w:pPr>
        <w:pStyle w:val="6"/>
        <w:spacing w:before="50" w:line="295" w:lineRule="auto"/>
        <w:ind w:right="442"/>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在地温异常或者有热水涌出的</w:t>
      </w:r>
      <w:r>
        <w:rPr>
          <w:w w:val="110"/>
        </w:rPr>
        <w:t>地区开采的</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第二十条 有自然发火可能性的矿</w:t>
      </w:r>
      <w:r>
        <w:rPr>
          <w:w w:val="110"/>
        </w:rPr>
        <w:t>井</w:t>
      </w:r>
      <w:r>
        <w:rPr>
          <w:rFonts w:hint="eastAsia" w:ascii="MS UI Gothic" w:eastAsia="MS UI Gothic"/>
          <w:w w:val="80"/>
        </w:rPr>
        <w:t xml:space="preserve">ꎬ </w:t>
      </w:r>
      <w:r>
        <w:rPr>
          <w:w w:val="110"/>
        </w:rPr>
        <w:t>应当采取下列措施</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及时清出采场浮矿和其他可燃物质</w:t>
      </w:r>
      <w:r>
        <w:rPr>
          <w:rFonts w:hint="eastAsia" w:ascii="MS UI Gothic" w:eastAsia="MS UI Gothic"/>
          <w:w w:val="80"/>
        </w:rPr>
        <w:t xml:space="preserve">ꎬ </w:t>
      </w:r>
      <w:r>
        <w:rPr>
          <w:w w:val="105"/>
        </w:rPr>
        <w:t>回采结束后及时封闭采空区</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采取防火灌浆或者其他有效的</w:t>
      </w:r>
      <w:r>
        <w:rPr>
          <w:w w:val="110"/>
        </w:rPr>
        <w:t>预防自然发火的措施</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定期检查井巷和采区封闭情</w:t>
      </w:r>
      <w:r>
        <w:t>况</w:t>
      </w:r>
      <w:r>
        <w:rPr>
          <w:rFonts w:hint="eastAsia" w:ascii="MS UI Gothic" w:eastAsia="MS UI Gothic"/>
          <w:w w:val="80"/>
        </w:rPr>
        <w:t xml:space="preserve">ꎬ </w:t>
      </w:r>
      <w:r>
        <w:t>测定可能自然发火地点的温度和风</w:t>
      </w:r>
      <w:r>
        <w:rPr>
          <w:w w:val="105"/>
        </w:rPr>
        <w:t>量</w:t>
      </w:r>
      <w:r>
        <w:rPr>
          <w:rFonts w:hint="eastAsia" w:ascii="MS UI Gothic" w:eastAsia="MS UI Gothic"/>
          <w:w w:val="80"/>
        </w:rPr>
        <w:t xml:space="preserve">ꎻ </w:t>
      </w:r>
      <w:r>
        <w:rPr>
          <w:w w:val="105"/>
        </w:rPr>
        <w:t>定期检测火区内的温度</w:t>
      </w:r>
      <w:r>
        <w:rPr>
          <w:rFonts w:hint="eastAsia" w:ascii="MS UI Gothic" w:eastAsia="MS UI Gothic"/>
          <w:w w:val="80"/>
        </w:rPr>
        <w:t xml:space="preserve">、 </w:t>
      </w:r>
      <w:r>
        <w:rPr>
          <w:w w:val="105"/>
        </w:rPr>
        <w:t>气压和空气成份</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第二十一条 井下采掘作业遇下列情</w:t>
      </w:r>
      <w:r>
        <w:rPr>
          <w:w w:val="110"/>
        </w:rPr>
        <w:t>形之一时</w:t>
      </w:r>
      <w:r>
        <w:rPr>
          <w:rFonts w:hint="eastAsia" w:ascii="MS UI Gothic" w:eastAsia="MS UI Gothic"/>
          <w:w w:val="80"/>
        </w:rPr>
        <w:t xml:space="preserve">ꎬ </w:t>
      </w:r>
      <w:r>
        <w:rPr>
          <w:w w:val="110"/>
        </w:rPr>
        <w:t>应当探水前进</w:t>
      </w:r>
      <w:r>
        <w:rPr>
          <w:rFonts w:hint="eastAsia" w:ascii="MS UI Gothic" w:eastAsia="MS UI Gothic"/>
          <w:w w:val="235"/>
        </w:rPr>
        <w:t>:</w:t>
      </w:r>
    </w:p>
    <w:p>
      <w:pPr>
        <w:pStyle w:val="6"/>
        <w:spacing w:line="295" w:lineRule="auto"/>
        <w:ind w:right="442"/>
        <w:jc w:val="left"/>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4"/>
          <w:w w:val="150"/>
        </w:rPr>
        <w:t xml:space="preserve">) </w:t>
      </w:r>
      <w:r>
        <w:rPr>
          <w:spacing w:val="5"/>
          <w:w w:val="105"/>
        </w:rPr>
        <w:t>接近承压含水层或者含水的断</w:t>
      </w:r>
      <w:r>
        <w:rPr>
          <w:spacing w:val="3"/>
          <w:w w:val="105"/>
        </w:rPr>
        <w:t>层</w:t>
      </w:r>
      <w:r>
        <w:rPr>
          <w:rFonts w:hint="eastAsia" w:ascii="MS UI Gothic" w:eastAsia="MS UI Gothic"/>
          <w:spacing w:val="16"/>
          <w:w w:val="80"/>
        </w:rPr>
        <w:t xml:space="preserve">、 </w:t>
      </w:r>
      <w:r>
        <w:rPr>
          <w:spacing w:val="3"/>
          <w:w w:val="105"/>
        </w:rPr>
        <w:t>流砂层</w:t>
      </w:r>
      <w:r>
        <w:rPr>
          <w:rFonts w:hint="eastAsia" w:ascii="MS UI Gothic" w:eastAsia="MS UI Gothic"/>
          <w:spacing w:val="16"/>
          <w:w w:val="80"/>
        </w:rPr>
        <w:t xml:space="preserve">、 </w:t>
      </w:r>
      <w:r>
        <w:rPr>
          <w:spacing w:val="3"/>
          <w:w w:val="105"/>
        </w:rPr>
        <w:t>砾石层</w:t>
      </w:r>
      <w:r>
        <w:rPr>
          <w:rFonts w:hint="eastAsia" w:ascii="MS UI Gothic" w:eastAsia="MS UI Gothic"/>
          <w:spacing w:val="16"/>
          <w:w w:val="80"/>
        </w:rPr>
        <w:t xml:space="preserve">、 </w:t>
      </w:r>
      <w:r>
        <w:rPr>
          <w:spacing w:val="3"/>
          <w:w w:val="105"/>
        </w:rPr>
        <w:t>溶洞</w:t>
      </w:r>
      <w:r>
        <w:rPr>
          <w:rFonts w:hint="eastAsia" w:ascii="MS UI Gothic" w:eastAsia="MS UI Gothic"/>
          <w:spacing w:val="16"/>
          <w:w w:val="80"/>
        </w:rPr>
        <w:t xml:space="preserve">、 </w:t>
      </w:r>
      <w:r>
        <w:rPr>
          <w:spacing w:val="3"/>
          <w:w w:val="105"/>
        </w:rPr>
        <w:t>陷落柱时</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4"/>
          <w:w w:val="150"/>
        </w:rPr>
        <w:t xml:space="preserve">) </w:t>
      </w:r>
      <w:r>
        <w:rPr>
          <w:spacing w:val="5"/>
          <w:w w:val="105"/>
        </w:rPr>
        <w:t>接近与地表水体相通的地质破</w:t>
      </w:r>
      <w:r>
        <w:rPr>
          <w:spacing w:val="3"/>
        </w:rPr>
        <w:t>碎带或者接近连通承压层的未封钻孔时</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接近积水的老窑</w:t>
      </w:r>
      <w:r>
        <w:rPr>
          <w:rFonts w:hint="eastAsia" w:ascii="MS UI Gothic" w:eastAsia="MS UI Gothic"/>
          <w:w w:val="80"/>
        </w:rPr>
        <w:t xml:space="preserve">、 </w:t>
      </w:r>
      <w:r>
        <w:rPr>
          <w:w w:val="105"/>
        </w:rPr>
        <w:t>旧巷或者灌过泥浆的采空区时</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发现有出水征兆时</w:t>
      </w:r>
      <w:r>
        <w:rPr>
          <w:rFonts w:hint="eastAsia" w:ascii="MS UI Gothic" w:eastAsia="MS UI Gothic"/>
          <w:w w:val="80"/>
        </w:rPr>
        <w:t>ꎻ</w:t>
      </w:r>
    </w:p>
    <w:p>
      <w:pPr>
        <w:pStyle w:val="6"/>
        <w:spacing w:before="43" w:line="295" w:lineRule="auto"/>
        <w:ind w:right="442"/>
        <w:jc w:val="left"/>
        <w:rPr>
          <w:rFonts w:hint="eastAsia" w:ascii="MS UI Gothic" w:eastAsia="MS UI Gothic"/>
        </w:rPr>
      </w:pPr>
      <w:r>
        <w:rPr>
          <w:rFonts w:hint="eastAsia" w:ascii="MS UI Gothic" w:eastAsia="MS UI Gothic"/>
          <w:spacing w:val="-36"/>
          <w:w w:val="130"/>
        </w:rPr>
        <w:t xml:space="preserve">( </w:t>
      </w:r>
      <w:r>
        <w:rPr>
          <w:spacing w:val="29"/>
          <w:w w:val="110"/>
        </w:rPr>
        <w:t>五</w:t>
      </w:r>
      <w:r>
        <w:rPr>
          <w:rFonts w:hint="eastAsia" w:ascii="MS UI Gothic" w:eastAsia="MS UI Gothic"/>
          <w:spacing w:val="-13"/>
          <w:w w:val="130"/>
        </w:rPr>
        <w:t xml:space="preserve">) </w:t>
      </w:r>
      <w:r>
        <w:rPr>
          <w:spacing w:val="41"/>
          <w:w w:val="110"/>
        </w:rPr>
        <w:t>掘开隔离矿柱或者岩柱放</w:t>
      </w:r>
      <w:r>
        <w:rPr>
          <w:spacing w:val="3"/>
          <w:w w:val="110"/>
        </w:rPr>
        <w:t>水时</w:t>
      </w:r>
      <w:r>
        <w:rPr>
          <w:rFonts w:hint="eastAsia" w:ascii="MS UI Gothic" w:eastAsia="MS UI Gothic"/>
          <w:w w:val="80"/>
        </w:rPr>
        <w:t>ꎮ</w:t>
      </w:r>
    </w:p>
    <w:p>
      <w:pPr>
        <w:pStyle w:val="6"/>
        <w:tabs>
          <w:tab w:val="left" w:pos="1801"/>
        </w:tabs>
        <w:spacing w:line="255" w:lineRule="exact"/>
        <w:ind w:left="543" w:firstLine="0"/>
        <w:jc w:val="left"/>
      </w:pPr>
      <w:r>
        <w:rPr>
          <w:spacing w:val="3"/>
        </w:rPr>
        <w:t>第二十二</w:t>
      </w:r>
      <w:r>
        <w:t>条</w:t>
      </w:r>
      <w:r>
        <w:tab/>
      </w:r>
      <w:r>
        <w:rPr>
          <w:spacing w:val="3"/>
        </w:rPr>
        <w:t>井下风量</w:t>
      </w:r>
      <w:r>
        <w:rPr>
          <w:rFonts w:hint="eastAsia" w:ascii="MS UI Gothic" w:eastAsia="MS UI Gothic"/>
        </w:rPr>
        <w:t>、</w:t>
      </w:r>
      <w:r>
        <w:rPr>
          <w:rFonts w:hint="eastAsia" w:ascii="MS UI Gothic" w:eastAsia="MS UI Gothic"/>
          <w:spacing w:val="42"/>
        </w:rPr>
        <w:t xml:space="preserve"> </w:t>
      </w:r>
      <w:r>
        <w:rPr>
          <w:spacing w:val="3"/>
        </w:rPr>
        <w:t>风质</w:t>
      </w:r>
      <w:r>
        <w:rPr>
          <w:rFonts w:hint="eastAsia" w:ascii="MS UI Gothic" w:eastAsia="MS UI Gothic"/>
        </w:rPr>
        <w:t>、</w:t>
      </w:r>
      <w:r>
        <w:rPr>
          <w:rFonts w:hint="eastAsia" w:ascii="MS UI Gothic" w:eastAsia="MS UI Gothic"/>
          <w:spacing w:val="43"/>
        </w:rPr>
        <w:t xml:space="preserve"> </w:t>
      </w:r>
      <w:r>
        <w:rPr>
          <w:spacing w:val="3"/>
        </w:rPr>
        <w:t>风</w:t>
      </w:r>
      <w:r>
        <w:t>速</w:t>
      </w:r>
    </w:p>
    <w:p>
      <w:pPr>
        <w:spacing w:after="0" w:line="255"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３９３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77" o:spid="_x0000_s2177" o:spt="203" style="height:2.15pt;width:398.25pt;" coordsize="7965,43">
            <o:lock v:ext="edit"/>
            <v:line id="_x0000_s2178" o:spid="_x0000_s2178" o:spt="20" style="position:absolute;left:0;top:39;height:0;width:7965;" stroked="t" coordsize="21600,21600">
              <v:path arrowok="t"/>
              <v:fill focussize="0,0"/>
              <v:stroke weight="0.388031496062992pt" color="#231F20"/>
              <v:imagedata o:title=""/>
              <o:lock v:ext="edit"/>
            </v:line>
            <v:line id="_x0000_s2179" o:spid="_x0000_s217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和作业环境的气候</w:t>
      </w:r>
      <w:r>
        <w:rPr>
          <w:rFonts w:hint="eastAsia" w:ascii="MS UI Gothic" w:eastAsia="MS UI Gothic"/>
          <w:w w:val="80"/>
        </w:rPr>
        <w:t xml:space="preserve">ꎬ </w:t>
      </w:r>
      <w:r>
        <w:t>必须符合矿山安全规程的规定</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3"/>
          <w:w w:val="95"/>
        </w:rPr>
        <w:t>采掘工作面进风风流中</w:t>
      </w:r>
      <w:r>
        <w:rPr>
          <w:rFonts w:hint="eastAsia" w:ascii="MS UI Gothic" w:eastAsia="MS UI Gothic"/>
          <w:spacing w:val="7"/>
          <w:w w:val="90"/>
        </w:rPr>
        <w:t xml:space="preserve">ꎬ  </w:t>
      </w:r>
      <w:r>
        <w:rPr>
          <w:spacing w:val="2"/>
          <w:w w:val="95"/>
        </w:rPr>
        <w:t>按照体积计</w:t>
      </w:r>
      <w:r>
        <w:rPr>
          <w:spacing w:val="3"/>
          <w:w w:val="95"/>
        </w:rPr>
        <w:t>算</w:t>
      </w:r>
      <w:r>
        <w:rPr>
          <w:rFonts w:hint="eastAsia" w:ascii="MS UI Gothic" w:eastAsia="MS UI Gothic"/>
          <w:spacing w:val="19"/>
          <w:w w:val="90"/>
        </w:rPr>
        <w:t xml:space="preserve">ꎬ </w:t>
      </w:r>
      <w:r>
        <w:rPr>
          <w:spacing w:val="6"/>
          <w:w w:val="95"/>
        </w:rPr>
        <w:t xml:space="preserve">氧气不得低于 </w:t>
      </w:r>
      <w:r>
        <w:rPr>
          <w:rFonts w:hint="eastAsia" w:ascii="MS UI Gothic" w:eastAsia="MS UI Gothic"/>
          <w:w w:val="95"/>
        </w:rPr>
        <w:t>２０</w:t>
      </w:r>
      <w:r>
        <w:rPr>
          <w:spacing w:val="-32"/>
          <w:w w:val="95"/>
        </w:rPr>
        <w:t xml:space="preserve">％ </w:t>
      </w:r>
      <w:r>
        <w:rPr>
          <w:rFonts w:hint="eastAsia" w:ascii="MS UI Gothic" w:eastAsia="MS UI Gothic"/>
          <w:spacing w:val="23"/>
          <w:w w:val="90"/>
        </w:rPr>
        <w:t xml:space="preserve">ꎬ </w:t>
      </w:r>
      <w:r>
        <w:rPr>
          <w:spacing w:val="17"/>
          <w:w w:val="95"/>
        </w:rPr>
        <w:t>二氧化碳不得</w:t>
      </w:r>
      <w:r>
        <w:rPr>
          <w:spacing w:val="-16"/>
          <w:w w:val="95"/>
        </w:rPr>
        <w:t xml:space="preserve">超过 </w:t>
      </w:r>
      <w:r>
        <w:rPr>
          <w:rFonts w:hint="eastAsia" w:ascii="MS UI Gothic" w:eastAsia="MS UI Gothic"/>
          <w:w w:val="95"/>
        </w:rPr>
        <w:t>０</w:t>
      </w:r>
      <w:r>
        <w:rPr>
          <w:rFonts w:hint="eastAsia" w:ascii="MS UI Gothic" w:eastAsia="MS UI Gothic"/>
          <w:spacing w:val="-4"/>
          <w:w w:val="95"/>
        </w:rPr>
        <w:t xml:space="preserve"> ５</w:t>
      </w:r>
      <w:r>
        <w:rPr>
          <w:spacing w:val="-30"/>
          <w:w w:val="95"/>
        </w:rPr>
        <w:t xml:space="preserve">％ </w:t>
      </w:r>
      <w:r>
        <w:rPr>
          <w:rFonts w:hint="eastAsia" w:ascii="MS UI Gothic" w:eastAsia="MS UI Gothic"/>
          <w:w w:val="90"/>
        </w:rPr>
        <w:t>ꎮ</w:t>
      </w:r>
    </w:p>
    <w:p>
      <w:pPr>
        <w:pStyle w:val="6"/>
        <w:spacing w:line="295" w:lineRule="auto"/>
        <w:ind w:left="435" w:right="1" w:firstLine="425"/>
        <w:rPr>
          <w:rFonts w:hint="eastAsia" w:ascii="MS UI Gothic" w:hAnsi="MS UI Gothic" w:eastAsia="MS UI Gothic"/>
        </w:rPr>
      </w:pPr>
      <w:r>
        <w:t>井下作业地点的空气温度不得超过</w:t>
      </w:r>
      <w:r>
        <w:rPr>
          <w:rFonts w:hint="eastAsia" w:ascii="MS UI Gothic" w:hAnsi="MS UI Gothic" w:eastAsia="MS UI Gothic"/>
          <w:w w:val="95"/>
        </w:rPr>
        <w:t xml:space="preserve">２８ ℃ </w:t>
      </w:r>
      <w:r>
        <w:rPr>
          <w:rFonts w:hint="eastAsia" w:ascii="MS UI Gothic" w:hAnsi="MS UI Gothic" w:eastAsia="MS UI Gothic"/>
          <w:w w:val="85"/>
        </w:rPr>
        <w:t xml:space="preserve">ꎻ </w:t>
      </w:r>
      <w:r>
        <w:t>超过时</w:t>
      </w:r>
      <w:r>
        <w:rPr>
          <w:rFonts w:hint="eastAsia" w:ascii="MS UI Gothic" w:hAnsi="MS UI Gothic" w:eastAsia="MS UI Gothic"/>
          <w:w w:val="85"/>
        </w:rPr>
        <w:t xml:space="preserve">ꎬ </w:t>
      </w:r>
      <w:r>
        <w:t>应当采取降温或者其他防护措施</w:t>
      </w:r>
      <w:r>
        <w:rPr>
          <w:rFonts w:hint="eastAsia" w:ascii="MS UI Gothic" w:hAnsi="MS UI Gothic" w:eastAsia="MS UI Gothic"/>
          <w:w w:val="85"/>
        </w:rPr>
        <w:t>ꎮ</w:t>
      </w:r>
    </w:p>
    <w:p>
      <w:pPr>
        <w:pStyle w:val="6"/>
        <w:spacing w:line="295" w:lineRule="auto"/>
        <w:ind w:left="440" w:right="1"/>
        <w:rPr>
          <w:rFonts w:hint="eastAsia" w:ascii="MS UI Gothic" w:eastAsia="MS UI Gothic"/>
        </w:rPr>
      </w:pPr>
      <w:r>
        <w:rPr>
          <w:w w:val="105"/>
        </w:rPr>
        <w:t>第二十三条 开采放射性矿物的矿</w:t>
      </w:r>
      <w:r>
        <w:t>井</w:t>
      </w:r>
      <w:r>
        <w:rPr>
          <w:rFonts w:hint="eastAsia" w:ascii="MS UI Gothic" w:eastAsia="MS UI Gothic"/>
          <w:w w:val="80"/>
        </w:rPr>
        <w:t xml:space="preserve">ꎬ </w:t>
      </w:r>
      <w:r>
        <w:t>必须采取下列措施</w:t>
      </w:r>
      <w:r>
        <w:rPr>
          <w:rFonts w:hint="eastAsia" w:ascii="MS UI Gothic" w:eastAsia="MS UI Gothic"/>
          <w:w w:val="80"/>
        </w:rPr>
        <w:t xml:space="preserve">ꎬ </w:t>
      </w:r>
      <w:r>
        <w:t>减少氧气析</w:t>
      </w:r>
      <w:r>
        <w:rPr>
          <w:w w:val="105"/>
        </w:rPr>
        <w:t>出量</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及时封闭采空区和已经报废或</w:t>
      </w:r>
      <w:r>
        <w:rPr>
          <w:w w:val="110"/>
        </w:rPr>
        <w:t>者暂时不用的井巷</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用留矿法作业的采场采用下行</w:t>
      </w:r>
      <w:r>
        <w:rPr>
          <w:w w:val="110"/>
        </w:rPr>
        <w:t>通风</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严格管理井下污水</w:t>
      </w:r>
      <w:r>
        <w:rPr>
          <w:rFonts w:hint="eastAsia" w:ascii="MS UI Gothic" w:eastAsia="MS UI Gothic"/>
          <w:w w:val="80"/>
        </w:rPr>
        <w:t>ꎮ</w:t>
      </w:r>
    </w:p>
    <w:p>
      <w:pPr>
        <w:pStyle w:val="6"/>
        <w:spacing w:before="48" w:line="295" w:lineRule="auto"/>
        <w:ind w:left="440"/>
        <w:rPr>
          <w:rFonts w:hint="eastAsia" w:ascii="MS UI Gothic" w:eastAsia="MS UI Gothic"/>
        </w:rPr>
      </w:pPr>
      <w:r>
        <w:t>第二十四条 矿山的爆破作业和爆破材料的制造</w:t>
      </w:r>
      <w:r>
        <w:rPr>
          <w:rFonts w:hint="eastAsia" w:ascii="MS UI Gothic" w:eastAsia="MS UI Gothic"/>
          <w:w w:val="80"/>
        </w:rPr>
        <w:t xml:space="preserve">、 </w:t>
      </w:r>
      <w:r>
        <w:t>储存</w:t>
      </w:r>
      <w:r>
        <w:rPr>
          <w:rFonts w:hint="eastAsia" w:ascii="MS UI Gothic" w:eastAsia="MS UI Gothic"/>
          <w:w w:val="80"/>
        </w:rPr>
        <w:t xml:space="preserve">、 </w:t>
      </w:r>
      <w:r>
        <w:t>运输</w:t>
      </w:r>
      <w:r>
        <w:rPr>
          <w:rFonts w:hint="eastAsia" w:ascii="MS UI Gothic" w:eastAsia="MS UI Gothic"/>
          <w:w w:val="80"/>
        </w:rPr>
        <w:t xml:space="preserve">、 </w:t>
      </w:r>
      <w:r>
        <w:t>试验及销毁</w:t>
      </w:r>
      <w:r>
        <w:rPr>
          <w:rFonts w:hint="eastAsia" w:ascii="MS UI Gothic" w:eastAsia="MS UI Gothic"/>
          <w:w w:val="80"/>
        </w:rPr>
        <w:t>ꎬ</w:t>
      </w:r>
      <w:r>
        <w:t>必须严格执行国家有关规定</w:t>
      </w:r>
      <w:r>
        <w:rPr>
          <w:rFonts w:hint="eastAsia" w:ascii="MS UI Gothic" w:eastAsia="MS UI Gothic"/>
          <w:w w:val="80"/>
        </w:rPr>
        <w:t>ꎮ</w:t>
      </w:r>
    </w:p>
    <w:p>
      <w:pPr>
        <w:pStyle w:val="6"/>
        <w:spacing w:line="295" w:lineRule="auto"/>
        <w:ind w:left="440" w:right="1"/>
        <w:rPr>
          <w:rFonts w:hint="eastAsia" w:ascii="MS UI Gothic" w:eastAsia="MS UI Gothic"/>
        </w:rPr>
      </w:pPr>
      <w:r>
        <w:t>第二十五条 矿山企业对地面</w:t>
      </w:r>
      <w:r>
        <w:rPr>
          <w:rFonts w:hint="eastAsia" w:ascii="MS UI Gothic" w:eastAsia="MS UI Gothic"/>
          <w:w w:val="80"/>
        </w:rPr>
        <w:t xml:space="preserve">、 </w:t>
      </w:r>
      <w:r>
        <w:t>井下产生粉尘的作业</w:t>
      </w:r>
      <w:r>
        <w:rPr>
          <w:rFonts w:hint="eastAsia" w:ascii="MS UI Gothic" w:eastAsia="MS UI Gothic"/>
          <w:w w:val="80"/>
        </w:rPr>
        <w:t xml:space="preserve">ꎬ </w:t>
      </w:r>
      <w:r>
        <w:t>应当采取综合防尘措施</w:t>
      </w:r>
      <w:r>
        <w:rPr>
          <w:rFonts w:hint="eastAsia" w:ascii="MS UI Gothic" w:eastAsia="MS UI Gothic"/>
          <w:w w:val="80"/>
        </w:rPr>
        <w:t xml:space="preserve">ꎬ </w:t>
      </w:r>
      <w:r>
        <w:t>控制粉尘危害</w:t>
      </w:r>
      <w:r>
        <w:rPr>
          <w:rFonts w:hint="eastAsia" w:ascii="MS UI Gothic" w:eastAsia="MS UI Gothic"/>
          <w:w w:val="80"/>
        </w:rPr>
        <w:t>ꎮ</w:t>
      </w:r>
    </w:p>
    <w:p>
      <w:pPr>
        <w:pStyle w:val="6"/>
        <w:spacing w:line="254" w:lineRule="exact"/>
        <w:ind w:left="860" w:firstLine="0"/>
        <w:rPr>
          <w:rFonts w:hint="eastAsia" w:ascii="MS UI Gothic" w:eastAsia="MS UI Gothic"/>
        </w:rPr>
      </w:pPr>
      <w:r>
        <w:t>井下风动凿岩</w:t>
      </w:r>
      <w:r>
        <w:rPr>
          <w:rFonts w:hint="eastAsia" w:ascii="MS UI Gothic" w:eastAsia="MS UI Gothic"/>
          <w:w w:val="80"/>
        </w:rPr>
        <w:t xml:space="preserve">ꎬ </w:t>
      </w:r>
      <w:r>
        <w:t>禁止干打眼</w:t>
      </w:r>
      <w:r>
        <w:rPr>
          <w:rFonts w:hint="eastAsia" w:ascii="MS UI Gothic" w:eastAsia="MS UI Gothic"/>
          <w:w w:val="80"/>
        </w:rPr>
        <w:t>ꎮ</w:t>
      </w:r>
    </w:p>
    <w:p>
      <w:pPr>
        <w:pStyle w:val="6"/>
        <w:spacing w:before="56" w:line="295" w:lineRule="auto"/>
        <w:ind w:left="440" w:right="1"/>
        <w:rPr>
          <w:rFonts w:hint="eastAsia" w:ascii="MS UI Gothic" w:eastAsia="MS UI Gothic"/>
        </w:rPr>
      </w:pPr>
      <w:r>
        <w:t>第二十六条 矿山企业应当建立</w:t>
      </w:r>
      <w:r>
        <w:rPr>
          <w:rFonts w:hint="eastAsia" w:ascii="MS UI Gothic" w:eastAsia="MS UI Gothic"/>
          <w:w w:val="80"/>
        </w:rPr>
        <w:t xml:space="preserve">、 </w:t>
      </w:r>
      <w:r>
        <w:t>健全对地面陷落区</w:t>
      </w:r>
      <w:r>
        <w:rPr>
          <w:rFonts w:hint="eastAsia" w:ascii="MS UI Gothic" w:eastAsia="MS UI Gothic"/>
          <w:w w:val="80"/>
        </w:rPr>
        <w:t xml:space="preserve">、 </w:t>
      </w:r>
      <w:r>
        <w:t>排土场</w:t>
      </w:r>
      <w:r>
        <w:rPr>
          <w:rFonts w:hint="eastAsia" w:ascii="MS UI Gothic" w:eastAsia="MS UI Gothic"/>
          <w:w w:val="80"/>
        </w:rPr>
        <w:t xml:space="preserve">、 </w:t>
      </w:r>
      <w:r>
        <w:t>矸石山</w:t>
      </w:r>
      <w:r>
        <w:rPr>
          <w:rFonts w:hint="eastAsia" w:ascii="MS UI Gothic" w:eastAsia="MS UI Gothic"/>
          <w:w w:val="80"/>
        </w:rPr>
        <w:t xml:space="preserve">、 </w:t>
      </w:r>
      <w:r>
        <w:t>尾矿库的检查和维护制度</w:t>
      </w:r>
      <w:r>
        <w:rPr>
          <w:rFonts w:hint="eastAsia" w:ascii="MS UI Gothic" w:eastAsia="MS UI Gothic"/>
          <w:w w:val="80"/>
        </w:rPr>
        <w:t xml:space="preserve">ꎻ </w:t>
      </w:r>
      <w:r>
        <w:t>对可能发生的危害</w:t>
      </w:r>
      <w:r>
        <w:rPr>
          <w:rFonts w:hint="eastAsia" w:ascii="MS UI Gothic" w:eastAsia="MS UI Gothic"/>
          <w:w w:val="80"/>
        </w:rPr>
        <w:t xml:space="preserve">ꎬ </w:t>
      </w:r>
      <w:r>
        <w:t>应当采取预防措施</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第二十七条 矿山企业应当按照国家</w:t>
      </w:r>
      <w:r>
        <w:t>有关规定关闭矿山</w:t>
      </w:r>
      <w:r>
        <w:rPr>
          <w:rFonts w:hint="eastAsia" w:ascii="MS UI Gothic" w:eastAsia="MS UI Gothic"/>
          <w:w w:val="80"/>
        </w:rPr>
        <w:t xml:space="preserve">ꎬ </w:t>
      </w:r>
      <w:r>
        <w:t>对关闭矿山后可能引起的危害采取预防措施</w:t>
      </w:r>
      <w:r>
        <w:rPr>
          <w:rFonts w:hint="eastAsia" w:ascii="MS UI Gothic" w:eastAsia="MS UI Gothic"/>
          <w:w w:val="80"/>
        </w:rPr>
        <w:t xml:space="preserve">ꎮ </w:t>
      </w:r>
      <w:r>
        <w:t>关闭矿山报告应</w:t>
      </w:r>
      <w:r>
        <w:rPr>
          <w:w w:val="105"/>
        </w:rPr>
        <w:t>当包括下列内容</w:t>
      </w:r>
      <w:r>
        <w:rPr>
          <w:rFonts w:hint="eastAsia" w:ascii="MS UI Gothic" w:eastAsia="MS UI Gothic"/>
          <w:w w:val="235"/>
        </w:rPr>
        <w:t>:</w:t>
      </w:r>
    </w:p>
    <w:p>
      <w:pPr>
        <w:pStyle w:val="6"/>
        <w:spacing w:line="295" w:lineRule="auto"/>
        <w:ind w:left="860" w:right="168" w:firstLine="0"/>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采掘范围及采空区处理情况</w:t>
      </w:r>
      <w:r>
        <w:rPr>
          <w:rFonts w:hint="eastAsia" w:ascii="MS UI Gothic" w:eastAsia="MS UI Gothic"/>
          <w:w w:val="80"/>
        </w:rPr>
        <w:t>ꎻ</w:t>
      </w: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对矿井采取的封闭措施</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0"/>
          <w:w w:val="110"/>
        </w:rPr>
        <w:t>对其他不安全因素的处理</w:t>
      </w:r>
      <w:r>
        <w:rPr>
          <w:spacing w:val="3"/>
          <w:w w:val="110"/>
        </w:rPr>
        <w:t>办法</w:t>
      </w:r>
      <w:r>
        <w:rPr>
          <w:rFonts w:hint="eastAsia" w:ascii="MS UI Gothic" w:eastAsia="MS UI Gothic"/>
          <w:w w:val="80"/>
        </w:rPr>
        <w:t>ꎮ</w:t>
      </w:r>
    </w:p>
    <w:p>
      <w:pPr>
        <w:pStyle w:val="6"/>
        <w:spacing w:before="147"/>
        <w:ind w:left="964" w:firstLine="0"/>
      </w:pPr>
      <w:r>
        <w:rPr>
          <w:w w:val="105"/>
        </w:rPr>
        <w:t>第四章 矿山企业的安全管理</w:t>
      </w:r>
    </w:p>
    <w:p>
      <w:pPr>
        <w:pStyle w:val="6"/>
        <w:spacing w:before="216" w:line="295" w:lineRule="auto"/>
        <w:ind w:left="440" w:right="1"/>
        <w:rPr>
          <w:rFonts w:hint="eastAsia" w:ascii="MS UI Gothic" w:eastAsia="MS UI Gothic"/>
        </w:rPr>
      </w:pPr>
      <w:r>
        <w:rPr>
          <w:w w:val="105"/>
        </w:rPr>
        <w:t>第二十八条 矿山企业应当建立</w:t>
      </w:r>
      <w:r>
        <w:rPr>
          <w:rFonts w:hint="eastAsia" w:ascii="MS UI Gothic" w:eastAsia="MS UI Gothic"/>
        </w:rPr>
        <w:t xml:space="preserve">、 </w:t>
      </w:r>
      <w:r>
        <w:rPr>
          <w:w w:val="105"/>
        </w:rPr>
        <w:t>健</w:t>
      </w:r>
      <w:r>
        <w:rPr>
          <w:w w:val="110"/>
        </w:rPr>
        <w:t>全下列安全生产责任制</w:t>
      </w:r>
      <w:r>
        <w:rPr>
          <w:rFonts w:hint="eastAsia" w:ascii="MS UI Gothic" w:eastAsia="MS UI Gothic"/>
          <w:w w:val="235"/>
        </w:rPr>
        <w:t>:</w:t>
      </w:r>
    </w:p>
    <w:p>
      <w:pPr>
        <w:pStyle w:val="6"/>
        <w:spacing w:before="124" w:line="295" w:lineRule="auto"/>
        <w:ind w:left="381" w:right="126"/>
        <w:rPr>
          <w:rFonts w:hint="eastAsia" w:ascii="MS UI Gothic" w:eastAsia="MS UI Gothic"/>
        </w:rPr>
      </w:pPr>
      <w:r>
        <w:br w:type="column"/>
      </w:r>
      <w:r>
        <w:rPr>
          <w:rFonts w:hint="eastAsia" w:ascii="MS UI Gothic" w:eastAsia="MS UI Gothic"/>
          <w:spacing w:val="-37"/>
          <w:w w:val="135"/>
        </w:rPr>
        <w:t xml:space="preserve">( </w:t>
      </w:r>
      <w:r>
        <w:rPr>
          <w:spacing w:val="29"/>
          <w:w w:val="110"/>
        </w:rPr>
        <w:t>一</w:t>
      </w:r>
      <w:r>
        <w:rPr>
          <w:rFonts w:hint="eastAsia" w:ascii="MS UI Gothic" w:eastAsia="MS UI Gothic"/>
          <w:spacing w:val="-14"/>
          <w:w w:val="135"/>
        </w:rPr>
        <w:t xml:space="preserve">) </w:t>
      </w:r>
      <w:r>
        <w:rPr>
          <w:spacing w:val="40"/>
          <w:w w:val="110"/>
        </w:rPr>
        <w:t>行政领导岗位安全生产责</w:t>
      </w:r>
      <w:r>
        <w:rPr>
          <w:spacing w:val="3"/>
          <w:w w:val="110"/>
        </w:rPr>
        <w:t>任制</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职能机构安全生产责任制</w:t>
      </w:r>
      <w:r>
        <w:rPr>
          <w:rFonts w:hint="eastAsia" w:ascii="MS UI Gothic" w:eastAsia="MS UI Gothic"/>
          <w:w w:val="80"/>
        </w:rPr>
        <w:t>ꎻ</w:t>
      </w:r>
    </w:p>
    <w:p>
      <w:pPr>
        <w:pStyle w:val="6"/>
        <w:spacing w:before="58"/>
        <w:ind w:left="80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岗位人员的安全生产责任制</w:t>
      </w:r>
      <w:r>
        <w:rPr>
          <w:rFonts w:hint="eastAsia" w:ascii="MS UI Gothic" w:eastAsia="MS UI Gothic"/>
          <w:w w:val="80"/>
        </w:rPr>
        <w:t>ꎮ</w:t>
      </w:r>
    </w:p>
    <w:p>
      <w:pPr>
        <w:pStyle w:val="6"/>
        <w:spacing w:before="58" w:line="295" w:lineRule="auto"/>
        <w:ind w:left="381" w:right="124"/>
        <w:rPr>
          <w:rFonts w:hint="eastAsia" w:ascii="MS UI Gothic" w:eastAsia="MS UI Gothic"/>
        </w:rPr>
      </w:pPr>
      <w:r>
        <w:rPr>
          <w:spacing w:val="-1"/>
          <w:w w:val="110"/>
        </w:rPr>
        <w:t xml:space="preserve">第二十九条 矿长 </w:t>
      </w:r>
      <w:r>
        <w:rPr>
          <w:rFonts w:hint="eastAsia" w:ascii="MS UI Gothic" w:eastAsia="MS UI Gothic"/>
          <w:spacing w:val="-39"/>
          <w:w w:val="150"/>
        </w:rPr>
        <w:t xml:space="preserve">( </w:t>
      </w:r>
      <w:r>
        <w:rPr>
          <w:spacing w:val="9"/>
          <w:w w:val="110"/>
        </w:rPr>
        <w:t>含矿务局局长</w:t>
      </w:r>
      <w:r>
        <w:rPr>
          <w:rFonts w:hint="eastAsia" w:ascii="MS UI Gothic" w:eastAsia="MS UI Gothic"/>
          <w:w w:val="80"/>
        </w:rPr>
        <w:t>、</w:t>
      </w:r>
      <w:r>
        <w:rPr>
          <w:spacing w:val="8"/>
          <w:w w:val="105"/>
        </w:rPr>
        <w:t>矿山公司经理</w:t>
      </w:r>
      <w:r>
        <w:rPr>
          <w:rFonts w:hint="eastAsia" w:ascii="MS UI Gothic" w:eastAsia="MS UI Gothic"/>
          <w:spacing w:val="16"/>
          <w:w w:val="80"/>
        </w:rPr>
        <w:t xml:space="preserve">ꎬ </w:t>
      </w:r>
      <w:r>
        <w:rPr>
          <w:spacing w:val="17"/>
          <w:w w:val="105"/>
        </w:rPr>
        <w:t>下同</w:t>
      </w:r>
      <w:r>
        <w:rPr>
          <w:rFonts w:hint="eastAsia" w:ascii="MS UI Gothic" w:eastAsia="MS UI Gothic"/>
          <w:spacing w:val="16"/>
          <w:w w:val="105"/>
        </w:rPr>
        <w:t xml:space="preserve">) </w:t>
      </w:r>
      <w:r>
        <w:rPr>
          <w:spacing w:val="18"/>
          <w:w w:val="105"/>
        </w:rPr>
        <w:t>对本企业的安全</w:t>
      </w:r>
      <w:r>
        <w:rPr>
          <w:spacing w:val="3"/>
          <w:w w:val="110"/>
        </w:rPr>
        <w:t>生产工作负有下列责任</w:t>
      </w:r>
      <w:r>
        <w:rPr>
          <w:rFonts w:hint="eastAsia" w:ascii="MS UI Gothic" w:eastAsia="MS UI Gothic"/>
          <w:w w:val="235"/>
        </w:rPr>
        <w:t>:</w:t>
      </w:r>
    </w:p>
    <w:p>
      <w:pPr>
        <w:pStyle w:val="6"/>
        <w:spacing w:line="295" w:lineRule="auto"/>
        <w:ind w:left="381" w:right="126"/>
        <w:rPr>
          <w:rFonts w:hint="eastAsia" w:ascii="MS UI Gothic" w:hAnsi="MS UI Gothic" w:eastAsia="MS UI Gothic"/>
        </w:rPr>
      </w:pPr>
      <w:r>
        <w:rPr>
          <w:rFonts w:hint="eastAsia" w:ascii="MS UI Gothic" w:hAnsi="MS UI Gothic" w:eastAsia="MS UI Gothic"/>
          <w:w w:val="150"/>
        </w:rPr>
        <w:t xml:space="preserve">( </w:t>
      </w:r>
      <w:r>
        <w:rPr>
          <w:w w:val="105"/>
        </w:rPr>
        <w:t>一</w:t>
      </w:r>
      <w:r>
        <w:rPr>
          <w:rFonts w:hint="eastAsia" w:ascii="MS UI Gothic" w:hAnsi="MS UI Gothic" w:eastAsia="MS UI Gothic"/>
          <w:w w:val="150"/>
        </w:rPr>
        <w:t xml:space="preserve">) </w:t>
      </w:r>
      <w:r>
        <w:rPr>
          <w:w w:val="105"/>
        </w:rPr>
        <w:t xml:space="preserve">认真贯彻执行 </w:t>
      </w:r>
      <w:r>
        <w:rPr>
          <w:rFonts w:hint="eastAsia" w:ascii="MS UI Gothic" w:hAnsi="MS UI Gothic" w:eastAsia="MS UI Gothic"/>
          <w:w w:val="80"/>
        </w:rPr>
        <w:t xml:space="preserve">« </w:t>
      </w:r>
      <w:r>
        <w:rPr>
          <w:w w:val="105"/>
        </w:rPr>
        <w:t>矿山安全法</w:t>
      </w:r>
      <w:r>
        <w:rPr>
          <w:rFonts w:hint="eastAsia" w:ascii="MS UI Gothic" w:hAnsi="MS UI Gothic" w:eastAsia="MS UI Gothic"/>
          <w:w w:val="80"/>
        </w:rPr>
        <w:t xml:space="preserve">» </w:t>
      </w:r>
      <w:r>
        <w:rPr>
          <w:w w:val="105"/>
        </w:rPr>
        <w:t>和本条例以及其他法律</w:t>
      </w:r>
      <w:r>
        <w:rPr>
          <w:rFonts w:hint="eastAsia" w:ascii="MS UI Gothic" w:hAnsi="MS UI Gothic" w:eastAsia="MS UI Gothic"/>
          <w:w w:val="80"/>
        </w:rPr>
        <w:t xml:space="preserve">、 </w:t>
      </w:r>
      <w:r>
        <w:rPr>
          <w:w w:val="105"/>
        </w:rPr>
        <w:t>法规中有关矿山安全生产的规定</w:t>
      </w:r>
      <w:r>
        <w:rPr>
          <w:rFonts w:hint="eastAsia" w:ascii="MS UI Gothic" w:hAns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35"/>
        </w:rPr>
        <w:t xml:space="preserve">( </w:t>
      </w:r>
      <w:r>
        <w:rPr>
          <w:spacing w:val="29"/>
          <w:w w:val="110"/>
        </w:rPr>
        <w:t>二</w:t>
      </w:r>
      <w:r>
        <w:rPr>
          <w:rFonts w:hint="eastAsia" w:ascii="MS UI Gothic" w:eastAsia="MS UI Gothic"/>
          <w:spacing w:val="-14"/>
          <w:w w:val="135"/>
        </w:rPr>
        <w:t xml:space="preserve">) </w:t>
      </w:r>
      <w:r>
        <w:rPr>
          <w:spacing w:val="40"/>
          <w:w w:val="110"/>
        </w:rPr>
        <w:t>制定本企业安全生产管理</w:t>
      </w:r>
      <w:r>
        <w:rPr>
          <w:spacing w:val="3"/>
          <w:w w:val="110"/>
        </w:rPr>
        <w:t>制度</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根据需要配备合格的安全工作</w:t>
      </w:r>
      <w:r>
        <w:rPr>
          <w:spacing w:val="3"/>
          <w:w w:val="105"/>
        </w:rPr>
        <w:t>人员</w:t>
      </w:r>
      <w:r>
        <w:rPr>
          <w:rFonts w:hint="eastAsia" w:ascii="MS UI Gothic" w:eastAsia="MS UI Gothic"/>
          <w:spacing w:val="7"/>
          <w:w w:val="80"/>
        </w:rPr>
        <w:t xml:space="preserve">ꎬ </w:t>
      </w:r>
      <w:r>
        <w:rPr>
          <w:spacing w:val="3"/>
          <w:w w:val="105"/>
        </w:rPr>
        <w:t>对每个作业场所进行跟班检查</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9"/>
          <w:w w:val="150"/>
        </w:rPr>
        <w:t xml:space="preserve">( </w:t>
      </w:r>
      <w:r>
        <w:rPr>
          <w:spacing w:val="3"/>
          <w:w w:val="105"/>
        </w:rPr>
        <w:t>四</w:t>
      </w:r>
      <w:r>
        <w:rPr>
          <w:rFonts w:hint="eastAsia" w:ascii="MS UI Gothic" w:eastAsia="MS UI Gothic"/>
          <w:spacing w:val="-3"/>
          <w:w w:val="150"/>
        </w:rPr>
        <w:t xml:space="preserve">) </w:t>
      </w:r>
      <w:r>
        <w:rPr>
          <w:spacing w:val="5"/>
          <w:w w:val="105"/>
        </w:rPr>
        <w:t>采取有效措施</w:t>
      </w:r>
      <w:r>
        <w:rPr>
          <w:rFonts w:hint="eastAsia" w:ascii="MS UI Gothic" w:eastAsia="MS UI Gothic"/>
          <w:spacing w:val="13"/>
          <w:w w:val="80"/>
        </w:rPr>
        <w:t xml:space="preserve">ꎬ </w:t>
      </w:r>
      <w:r>
        <w:rPr>
          <w:spacing w:val="9"/>
          <w:w w:val="105"/>
        </w:rPr>
        <w:t>改善职工劳动</w:t>
      </w:r>
      <w:r>
        <w:rPr>
          <w:spacing w:val="3"/>
          <w:w w:val="105"/>
        </w:rPr>
        <w:t>条件</w:t>
      </w:r>
      <w:r>
        <w:rPr>
          <w:rFonts w:hint="eastAsia" w:ascii="MS UI Gothic" w:eastAsia="MS UI Gothic"/>
          <w:spacing w:val="1"/>
          <w:w w:val="80"/>
        </w:rPr>
        <w:t xml:space="preserve">ꎬ </w:t>
      </w:r>
      <w:r>
        <w:rPr>
          <w:spacing w:val="17"/>
          <w:w w:val="105"/>
        </w:rPr>
        <w:t>保证安全生产所需要的材料</w:t>
      </w:r>
      <w:r>
        <w:rPr>
          <w:rFonts w:hint="eastAsia" w:ascii="MS UI Gothic" w:eastAsia="MS UI Gothic"/>
          <w:spacing w:val="4"/>
          <w:w w:val="80"/>
        </w:rPr>
        <w:t xml:space="preserve">、 </w:t>
      </w:r>
      <w:r>
        <w:rPr>
          <w:w w:val="105"/>
        </w:rPr>
        <w:t>设</w:t>
      </w:r>
      <w:r>
        <w:rPr>
          <w:spacing w:val="3"/>
          <w:w w:val="105"/>
        </w:rPr>
        <w:t>备</w:t>
      </w:r>
      <w:r>
        <w:rPr>
          <w:rFonts w:hint="eastAsia" w:ascii="MS UI Gothic" w:eastAsia="MS UI Gothic"/>
          <w:spacing w:val="13"/>
          <w:w w:val="80"/>
        </w:rPr>
        <w:t xml:space="preserve">、 </w:t>
      </w:r>
      <w:r>
        <w:rPr>
          <w:spacing w:val="3"/>
          <w:w w:val="105"/>
        </w:rPr>
        <w:t>仪器和劳动防护用品的及时供应</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依照本条例的规定</w:t>
      </w:r>
      <w:r>
        <w:rPr>
          <w:rFonts w:hint="eastAsia" w:ascii="MS UI Gothic" w:eastAsia="MS UI Gothic"/>
          <w:w w:val="80"/>
        </w:rPr>
        <w:t xml:space="preserve">ꎬ </w:t>
      </w:r>
      <w:r>
        <w:rPr>
          <w:w w:val="105"/>
        </w:rPr>
        <w:t>对职工进行安全教育</w:t>
      </w:r>
      <w:r>
        <w:rPr>
          <w:rFonts w:hint="eastAsia" w:ascii="MS UI Gothic" w:eastAsia="MS UI Gothic"/>
          <w:w w:val="80"/>
        </w:rPr>
        <w:t xml:space="preserve">、 </w:t>
      </w:r>
      <w:r>
        <w:rPr>
          <w:w w:val="105"/>
        </w:rPr>
        <w:t>培训</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20"/>
        </w:rPr>
        <w:t xml:space="preserve">( </w:t>
      </w:r>
      <w:r>
        <w:rPr>
          <w:w w:val="110"/>
        </w:rPr>
        <w:t>六</w:t>
      </w:r>
      <w:r>
        <w:rPr>
          <w:rFonts w:hint="eastAsia" w:ascii="MS UI Gothic" w:eastAsia="MS UI Gothic"/>
          <w:w w:val="120"/>
        </w:rPr>
        <w:t xml:space="preserve">) </w:t>
      </w:r>
      <w:r>
        <w:rPr>
          <w:w w:val="110"/>
        </w:rPr>
        <w:t>制定矿山灾害的预防和应急计划</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及时采取措施</w:t>
      </w:r>
      <w:r>
        <w:rPr>
          <w:rFonts w:hint="eastAsia" w:ascii="MS UI Gothic" w:eastAsia="MS UI Gothic"/>
          <w:w w:val="80"/>
        </w:rPr>
        <w:t xml:space="preserve">ꎬ </w:t>
      </w:r>
      <w:r>
        <w:rPr>
          <w:w w:val="105"/>
        </w:rPr>
        <w:t>处理矿山存在的事故隐患</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及时</w:t>
      </w:r>
      <w:r>
        <w:rPr>
          <w:rFonts w:hint="eastAsia" w:ascii="MS UI Gothic" w:eastAsia="MS UI Gothic"/>
          <w:w w:val="80"/>
        </w:rPr>
        <w:t xml:space="preserve">、 </w:t>
      </w:r>
      <w:r>
        <w:rPr>
          <w:w w:val="105"/>
        </w:rPr>
        <w:t>如实向劳动行政主管部</w:t>
      </w:r>
      <w:r>
        <w:t>门和管理矿山企业的主管部门报告矿山</w:t>
      </w:r>
      <w:r>
        <w:rPr>
          <w:w w:val="105"/>
        </w:rPr>
        <w:t>事故</w:t>
      </w:r>
      <w:r>
        <w:rPr>
          <w:rFonts w:hint="eastAsia" w:ascii="MS UI Gothic" w:eastAsia="MS UI Gothic"/>
          <w:w w:val="80"/>
        </w:rPr>
        <w:t>ꎮ</w:t>
      </w:r>
    </w:p>
    <w:p>
      <w:pPr>
        <w:pStyle w:val="6"/>
        <w:spacing w:line="295" w:lineRule="auto"/>
        <w:ind w:left="381" w:right="124"/>
        <w:rPr>
          <w:rFonts w:hint="eastAsia" w:ascii="MS UI Gothic" w:eastAsia="MS UI Gothic"/>
        </w:rPr>
      </w:pPr>
      <w:r>
        <w:t>第三十条 矿山企业应当根据需要</w:t>
      </w:r>
      <w:r>
        <w:rPr>
          <w:rFonts w:hint="eastAsia" w:ascii="MS UI Gothic" w:eastAsia="MS UI Gothic"/>
          <w:w w:val="80"/>
        </w:rPr>
        <w:t>ꎬ</w:t>
      </w:r>
      <w:r>
        <w:t>设置安全机构或者配备专职安全工作人员</w:t>
      </w:r>
      <w:r>
        <w:rPr>
          <w:rFonts w:hint="eastAsia" w:ascii="MS UI Gothic" w:eastAsia="MS UI Gothic"/>
          <w:w w:val="80"/>
        </w:rPr>
        <w:t xml:space="preserve">ꎮ </w:t>
      </w:r>
      <w:r>
        <w:t>专职安全工作人员应当经过培训</w:t>
      </w:r>
      <w:r>
        <w:rPr>
          <w:rFonts w:hint="eastAsia" w:ascii="MS UI Gothic" w:eastAsia="MS UI Gothic"/>
          <w:w w:val="80"/>
        </w:rPr>
        <w:t xml:space="preserve">ꎬ </w:t>
      </w:r>
      <w:r>
        <w:t>具备必要的安全专业知识和矿山安全工作经验</w:t>
      </w:r>
      <w:r>
        <w:rPr>
          <w:rFonts w:hint="eastAsia" w:ascii="MS UI Gothic" w:eastAsia="MS UI Gothic"/>
          <w:w w:val="80"/>
        </w:rPr>
        <w:t xml:space="preserve">ꎬ </w:t>
      </w:r>
      <w:r>
        <w:t>能胜任现场安全检查工作</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第三十一条 矿长应当定期向职工代</w:t>
      </w:r>
      <w:r>
        <w:t>表大会或者职工大会报告下列事项</w:t>
      </w:r>
      <w:r>
        <w:rPr>
          <w:rFonts w:hint="eastAsia" w:ascii="MS UI Gothic" w:eastAsia="MS UI Gothic"/>
          <w:w w:val="80"/>
        </w:rPr>
        <w:t xml:space="preserve">ꎬ </w:t>
      </w:r>
      <w:r>
        <w:t>接受</w:t>
      </w:r>
      <w:r>
        <w:rPr>
          <w:w w:val="110"/>
        </w:rPr>
        <w:t>民主监督</w:t>
      </w:r>
      <w:r>
        <w:rPr>
          <w:rFonts w:hint="eastAsia" w:ascii="MS UI Gothic" w:eastAsia="MS UI Gothic"/>
          <w:w w:val="235"/>
        </w:rPr>
        <w:t>:</w:t>
      </w:r>
    </w:p>
    <w:p>
      <w:pPr>
        <w:pStyle w:val="6"/>
        <w:spacing w:line="254" w:lineRule="exact"/>
        <w:ind w:left="800"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企业安全生产重大决策</w:t>
      </w:r>
      <w:r>
        <w:rPr>
          <w:rFonts w:hint="eastAsia" w:ascii="MS UI Gothic" w:eastAsia="MS UI Gothic"/>
          <w:w w:val="80"/>
        </w:rPr>
        <w:t>ꎻ</w:t>
      </w:r>
    </w:p>
    <w:p>
      <w:pPr>
        <w:pStyle w:val="6"/>
        <w:spacing w:before="37" w:line="295" w:lineRule="auto"/>
        <w:ind w:left="381" w:right="126"/>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企业安全技术措施计划及其执</w:t>
      </w:r>
      <w:r>
        <w:rPr>
          <w:w w:val="110"/>
        </w:rPr>
        <w:t>行情况</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职工安全教育</w:t>
      </w:r>
      <w:r>
        <w:rPr>
          <w:rFonts w:hint="eastAsia" w:ascii="MS UI Gothic" w:eastAsia="MS UI Gothic"/>
          <w:w w:val="80"/>
        </w:rPr>
        <w:t xml:space="preserve">、  </w:t>
      </w:r>
      <w:r>
        <w:rPr>
          <w:w w:val="105"/>
        </w:rPr>
        <w:t>培训计划及其执行情况</w:t>
      </w:r>
      <w:r>
        <w:rPr>
          <w:rFonts w:hint="eastAsia" w:ascii="MS UI Gothic" w:eastAsia="MS UI Gothic"/>
          <w:w w:val="80"/>
        </w:rPr>
        <w:t>ꎻ</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３９４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80" o:spid="_x0000_s2180" o:spt="203" style="height:2.15pt;width:398.25pt;" coordsize="7965,43">
            <o:lock v:ext="edit"/>
            <v:line id="_x0000_s2181" o:spid="_x0000_s2181" o:spt="20" style="position:absolute;left:0;top:39;height:0;width:7965;" stroked="t" coordsize="21600,21600">
              <v:path arrowok="t"/>
              <v:fill focussize="0,0"/>
              <v:stroke weight="0.388031496062992pt" color="#231F20"/>
              <v:imagedata o:title=""/>
              <o:lock v:ext="edit"/>
            </v:line>
            <v:line id="_x0000_s2182" o:spid="_x0000_s218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jc w:val="left"/>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职工提出的改善劳动条件的建</w:t>
      </w:r>
      <w:r>
        <w:rPr>
          <w:w w:val="110"/>
        </w:rPr>
        <w:t>议和要求的处理情况</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重大事故处理情况</w:t>
      </w:r>
      <w:r>
        <w:rPr>
          <w:rFonts w:hint="eastAsia" w:ascii="MS UI Gothic" w:eastAsia="MS UI Gothic"/>
          <w:w w:val="80"/>
        </w:rPr>
        <w:t>ꎻ</w:t>
      </w:r>
    </w:p>
    <w:p>
      <w:pPr>
        <w:pStyle w:val="6"/>
        <w:spacing w:before="58" w:line="295" w:lineRule="auto"/>
        <w:ind w:right="39"/>
        <w:jc w:val="left"/>
        <w:rPr>
          <w:rFonts w:hint="eastAsia" w:ascii="MS UI Gothic" w:eastAsia="MS UI Gothic"/>
        </w:rPr>
      </w:pPr>
      <w:r>
        <w:rPr>
          <w:rFonts w:hint="eastAsia" w:ascii="MS UI Gothic" w:eastAsia="MS UI Gothic"/>
          <w:spacing w:val="-34"/>
          <w:w w:val="125"/>
        </w:rPr>
        <w:t xml:space="preserve">( </w:t>
      </w:r>
      <w:r>
        <w:rPr>
          <w:spacing w:val="29"/>
          <w:w w:val="110"/>
        </w:rPr>
        <w:t>六</w:t>
      </w:r>
      <w:r>
        <w:rPr>
          <w:rFonts w:hint="eastAsia" w:ascii="MS UI Gothic" w:eastAsia="MS UI Gothic"/>
          <w:spacing w:val="-11"/>
          <w:w w:val="125"/>
        </w:rPr>
        <w:t xml:space="preserve">) </w:t>
      </w:r>
      <w:r>
        <w:rPr>
          <w:spacing w:val="41"/>
          <w:w w:val="110"/>
        </w:rPr>
        <w:t>有关安全生产的其他重要</w:t>
      </w:r>
      <w:r>
        <w:rPr>
          <w:spacing w:val="3"/>
          <w:w w:val="110"/>
        </w:rPr>
        <w:t>事项</w:t>
      </w:r>
      <w:r>
        <w:rPr>
          <w:rFonts w:hint="eastAsia" w:ascii="MS UI Gothic" w:eastAsia="MS UI Gothic"/>
          <w:w w:val="80"/>
        </w:rPr>
        <w:t>ꎮ</w:t>
      </w:r>
    </w:p>
    <w:p>
      <w:pPr>
        <w:pStyle w:val="6"/>
        <w:tabs>
          <w:tab w:val="left" w:pos="1801"/>
        </w:tabs>
        <w:spacing w:line="295" w:lineRule="auto"/>
        <w:ind w:right="39"/>
        <w:jc w:val="left"/>
        <w:rPr>
          <w:rFonts w:hint="eastAsia" w:ascii="MS UI Gothic" w:eastAsia="MS UI Gothic"/>
        </w:rPr>
      </w:pPr>
      <w:r>
        <w:rPr>
          <w:spacing w:val="3"/>
          <w:w w:val="110"/>
        </w:rPr>
        <w:t>第三十二</w:t>
      </w:r>
      <w:r>
        <w:rPr>
          <w:w w:val="110"/>
        </w:rPr>
        <w:t>条</w:t>
      </w:r>
      <w:r>
        <w:rPr>
          <w:w w:val="110"/>
        </w:rPr>
        <w:tab/>
      </w:r>
      <w:r>
        <w:rPr>
          <w:spacing w:val="3"/>
        </w:rPr>
        <w:t>矿山企业职工享有下</w:t>
      </w:r>
      <w:r>
        <w:t>列</w:t>
      </w:r>
      <w:r>
        <w:rPr>
          <w:spacing w:val="3"/>
          <w:w w:val="115"/>
        </w:rPr>
        <w:t>权利</w:t>
      </w:r>
      <w:r>
        <w:rPr>
          <w:rFonts w:hint="eastAsia" w:ascii="MS UI Gothic" w:eastAsia="MS UI Gothic"/>
          <w:w w:val="235"/>
        </w:rPr>
        <w:t>:</w:t>
      </w:r>
    </w:p>
    <w:p>
      <w:pPr>
        <w:pStyle w:val="6"/>
        <w:spacing w:line="295" w:lineRule="auto"/>
        <w:ind w:right="39"/>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有权获得作业场所安全与职业</w:t>
      </w:r>
      <w:r>
        <w:rPr>
          <w:w w:val="110"/>
        </w:rPr>
        <w:t>危害方面的信息</w:t>
      </w:r>
      <w:r>
        <w:rPr>
          <w:rFonts w:hint="eastAsia" w:ascii="MS UI Gothic" w:eastAsia="MS UI Gothic"/>
          <w:w w:val="80"/>
        </w:rPr>
        <w:t>ꎻ</w:t>
      </w:r>
    </w:p>
    <w:p>
      <w:pPr>
        <w:pStyle w:val="6"/>
        <w:spacing w:line="295" w:lineRule="auto"/>
        <w:ind w:right="39"/>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有权向有关部门和工会组织反映矿山安全状况和存在的问题</w:t>
      </w:r>
      <w:r>
        <w:rPr>
          <w:rFonts w:hint="eastAsia" w:ascii="MS UI Gothic" w:eastAsia="MS UI Gothic"/>
          <w:w w:val="80"/>
        </w:rPr>
        <w:t>ꎻ</w:t>
      </w:r>
    </w:p>
    <w:p>
      <w:pPr>
        <w:pStyle w:val="6"/>
        <w:spacing w:line="295" w:lineRule="auto"/>
        <w:ind w:right="39"/>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对任何危害职工安全健康的决定和行为</w:t>
      </w:r>
      <w:r>
        <w:rPr>
          <w:rFonts w:hint="eastAsia" w:ascii="MS UI Gothic" w:eastAsia="MS UI Gothic"/>
          <w:w w:val="80"/>
        </w:rPr>
        <w:t xml:space="preserve">ꎬ </w:t>
      </w:r>
      <w:r>
        <w:rPr>
          <w:w w:val="105"/>
        </w:rPr>
        <w:t>有权提出批评</w:t>
      </w:r>
      <w:r>
        <w:rPr>
          <w:rFonts w:hint="eastAsia" w:ascii="MS UI Gothic" w:eastAsia="MS UI Gothic"/>
          <w:w w:val="80"/>
        </w:rPr>
        <w:t xml:space="preserve">、 </w:t>
      </w:r>
      <w:r>
        <w:rPr>
          <w:w w:val="105"/>
        </w:rPr>
        <w:t>检举和控告</w:t>
      </w:r>
      <w:r>
        <w:rPr>
          <w:rFonts w:hint="eastAsia" w:ascii="MS UI Gothic" w:eastAsia="MS UI Gothic"/>
          <w:w w:val="80"/>
        </w:rPr>
        <w:t>ꎮ</w:t>
      </w:r>
    </w:p>
    <w:p>
      <w:pPr>
        <w:pStyle w:val="6"/>
        <w:tabs>
          <w:tab w:val="left" w:pos="1801"/>
        </w:tabs>
        <w:spacing w:line="295" w:lineRule="auto"/>
        <w:ind w:right="39"/>
        <w:jc w:val="left"/>
        <w:rPr>
          <w:rFonts w:hint="eastAsia" w:ascii="MS UI Gothic" w:eastAsia="MS UI Gothic"/>
        </w:rPr>
      </w:pPr>
      <w:r>
        <w:rPr>
          <w:spacing w:val="3"/>
          <w:w w:val="110"/>
        </w:rPr>
        <w:t>第三十三</w:t>
      </w:r>
      <w:r>
        <w:rPr>
          <w:w w:val="110"/>
        </w:rPr>
        <w:t>条</w:t>
      </w:r>
      <w:r>
        <w:rPr>
          <w:w w:val="110"/>
        </w:rPr>
        <w:tab/>
      </w:r>
      <w:r>
        <w:rPr>
          <w:spacing w:val="3"/>
        </w:rPr>
        <w:t>矿山企业职工应当履</w:t>
      </w:r>
      <w:r>
        <w:t>行</w:t>
      </w:r>
      <w:r>
        <w:rPr>
          <w:spacing w:val="3"/>
          <w:w w:val="110"/>
        </w:rPr>
        <w:t>下列义务</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遵守有关矿山安全的法律</w:t>
      </w:r>
      <w:r>
        <w:rPr>
          <w:rFonts w:hint="eastAsia" w:ascii="MS UI Gothic" w:eastAsia="MS UI Gothic"/>
          <w:w w:val="80"/>
        </w:rPr>
        <w:t xml:space="preserve">、  </w:t>
      </w:r>
      <w:r>
        <w:rPr>
          <w:w w:val="105"/>
        </w:rPr>
        <w:t>法规和企业规章制度</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3"/>
          <w:w w:val="125"/>
        </w:rPr>
        <w:t xml:space="preserve">( </w:t>
      </w:r>
      <w:r>
        <w:rPr>
          <w:spacing w:val="23"/>
          <w:w w:val="110"/>
        </w:rPr>
        <w:t>二</w:t>
      </w:r>
      <w:r>
        <w:rPr>
          <w:rFonts w:hint="eastAsia" w:ascii="MS UI Gothic" w:eastAsia="MS UI Gothic"/>
          <w:spacing w:val="-12"/>
          <w:w w:val="125"/>
        </w:rPr>
        <w:t xml:space="preserve">) </w:t>
      </w:r>
      <w:r>
        <w:rPr>
          <w:spacing w:val="33"/>
          <w:w w:val="110"/>
        </w:rPr>
        <w:t>维护矿山企业的生产设备</w:t>
      </w:r>
      <w:r>
        <w:rPr>
          <w:rFonts w:hint="eastAsia" w:ascii="MS UI Gothic" w:eastAsia="MS UI Gothic"/>
          <w:w w:val="80"/>
        </w:rPr>
        <w:t>、</w:t>
      </w:r>
      <w:r>
        <w:rPr>
          <w:spacing w:val="3"/>
          <w:w w:val="110"/>
        </w:rPr>
        <w:t>设施</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接受安全教育和培训</w:t>
      </w:r>
      <w:r>
        <w:rPr>
          <w:rFonts w:hint="eastAsia" w:ascii="MS UI Gothic" w:eastAsia="MS UI Gothic"/>
          <w:w w:val="80"/>
        </w:rPr>
        <w:t>ꎻ</w:t>
      </w:r>
    </w:p>
    <w:p>
      <w:pPr>
        <w:pStyle w:val="6"/>
        <w:spacing w:before="47"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及时报告危险情况</w:t>
      </w:r>
      <w:r>
        <w:rPr>
          <w:rFonts w:hint="eastAsia" w:ascii="MS UI Gothic" w:eastAsia="MS UI Gothic"/>
          <w:w w:val="80"/>
        </w:rPr>
        <w:t xml:space="preserve">ꎬ </w:t>
      </w:r>
      <w:r>
        <w:rPr>
          <w:w w:val="105"/>
        </w:rPr>
        <w:t>参加抢险救护</w:t>
      </w:r>
      <w:r>
        <w:rPr>
          <w:rFonts w:hint="eastAsia" w:ascii="MS UI Gothic" w:eastAsia="MS UI Gothic"/>
          <w:w w:val="80"/>
        </w:rPr>
        <w:t>ꎮ</w:t>
      </w:r>
    </w:p>
    <w:p>
      <w:pPr>
        <w:pStyle w:val="6"/>
        <w:spacing w:line="295" w:lineRule="auto"/>
        <w:ind w:right="39"/>
        <w:rPr>
          <w:rFonts w:hint="eastAsia" w:ascii="MS UI Gothic" w:eastAsia="MS UI Gothic"/>
        </w:rPr>
      </w:pPr>
      <w:r>
        <w:t>第三十四条 矿山企业工会有权督促企业行政方面加强职工的安全教育</w:t>
      </w:r>
      <w:r>
        <w:rPr>
          <w:rFonts w:hint="eastAsia" w:ascii="MS UI Gothic" w:eastAsia="MS UI Gothic"/>
          <w:w w:val="80"/>
        </w:rPr>
        <w:t xml:space="preserve">、 </w:t>
      </w:r>
      <w:r>
        <w:t>培训工作</w:t>
      </w:r>
      <w:r>
        <w:rPr>
          <w:rFonts w:hint="eastAsia" w:ascii="MS UI Gothic" w:eastAsia="MS UI Gothic"/>
          <w:w w:val="80"/>
        </w:rPr>
        <w:t xml:space="preserve">ꎬ </w:t>
      </w:r>
      <w:r>
        <w:t>开展安全宣传活动</w:t>
      </w:r>
      <w:r>
        <w:rPr>
          <w:rFonts w:hint="eastAsia" w:ascii="MS UI Gothic" w:eastAsia="MS UI Gothic"/>
          <w:w w:val="80"/>
        </w:rPr>
        <w:t xml:space="preserve">ꎬ </w:t>
      </w:r>
      <w:r>
        <w:t>提高职工的安全生产意识和技术素质</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第三十五条 矿山企业应当按照下列</w:t>
      </w:r>
      <w:r>
        <w:rPr>
          <w:w w:val="110"/>
        </w:rPr>
        <w:t>规定对职工进行安全教育</w:t>
      </w:r>
      <w:r>
        <w:rPr>
          <w:rFonts w:hint="eastAsia" w:ascii="MS UI Gothic" w:eastAsia="MS UI Gothic"/>
        </w:rPr>
        <w:t xml:space="preserve">、 </w:t>
      </w:r>
      <w:r>
        <w:rPr>
          <w:w w:val="110"/>
        </w:rPr>
        <w:t>培训</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45"/>
        </w:rPr>
        <w:t xml:space="preserve">( </w:t>
      </w:r>
      <w:r>
        <w:t>一</w:t>
      </w:r>
      <w:r>
        <w:rPr>
          <w:rFonts w:hint="eastAsia" w:ascii="MS UI Gothic" w:eastAsia="MS UI Gothic"/>
          <w:w w:val="145"/>
        </w:rPr>
        <w:t xml:space="preserve">) </w:t>
      </w:r>
      <w:r>
        <w:t>新进矿山的井下作业职工</w:t>
      </w:r>
      <w:r>
        <w:rPr>
          <w:rFonts w:hint="eastAsia" w:ascii="MS UI Gothic" w:eastAsia="MS UI Gothic"/>
          <w:w w:val="80"/>
        </w:rPr>
        <w:t xml:space="preserve">ꎬ </w:t>
      </w:r>
      <w:r>
        <w:t>接受安全教育</w:t>
      </w:r>
      <w:r>
        <w:rPr>
          <w:rFonts w:hint="eastAsia" w:ascii="MS UI Gothic" w:eastAsia="MS UI Gothic"/>
          <w:w w:val="80"/>
        </w:rPr>
        <w:t xml:space="preserve">、 </w:t>
      </w:r>
      <w:r>
        <w:t xml:space="preserve">培训的时间不得少于 </w:t>
      </w:r>
      <w:r>
        <w:rPr>
          <w:rFonts w:hint="eastAsia" w:ascii="MS UI Gothic" w:eastAsia="MS UI Gothic"/>
          <w:w w:val="80"/>
        </w:rPr>
        <w:t xml:space="preserve">７２ </w:t>
      </w:r>
      <w:r>
        <w:t>小时</w:t>
      </w:r>
      <w:r>
        <w:rPr>
          <w:rFonts w:hint="eastAsia" w:ascii="MS UI Gothic" w:eastAsia="MS UI Gothic"/>
          <w:w w:val="80"/>
        </w:rPr>
        <w:t xml:space="preserve">ꎬ </w:t>
      </w:r>
      <w:r>
        <w:t>考试合格后</w:t>
      </w:r>
      <w:r>
        <w:rPr>
          <w:rFonts w:hint="eastAsia" w:ascii="MS UI Gothic" w:eastAsia="MS UI Gothic"/>
          <w:w w:val="80"/>
        </w:rPr>
        <w:t xml:space="preserve">ꎬ </w:t>
      </w:r>
      <w:r>
        <w:t xml:space="preserve">必须在有安全工作经验的职工带领下工作满 </w:t>
      </w:r>
      <w:r>
        <w:rPr>
          <w:rFonts w:hint="eastAsia" w:ascii="MS UI Gothic" w:eastAsia="MS UI Gothic"/>
          <w:w w:val="80"/>
        </w:rPr>
        <w:t xml:space="preserve">４ </w:t>
      </w:r>
      <w:r>
        <w:t>个月</w:t>
      </w:r>
      <w:r>
        <w:rPr>
          <w:rFonts w:hint="eastAsia" w:ascii="MS UI Gothic" w:eastAsia="MS UI Gothic"/>
          <w:w w:val="80"/>
        </w:rPr>
        <w:t xml:space="preserve">ꎬ </w:t>
      </w:r>
      <w:r>
        <w:t>然后经再次考核合格</w:t>
      </w:r>
      <w:r>
        <w:rPr>
          <w:rFonts w:hint="eastAsia" w:ascii="MS UI Gothic" w:eastAsia="MS UI Gothic"/>
          <w:w w:val="80"/>
        </w:rPr>
        <w:t xml:space="preserve">ꎬ </w:t>
      </w:r>
      <w:r>
        <w:t>方可独立工作</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45"/>
        </w:rPr>
        <w:t xml:space="preserve">( </w:t>
      </w:r>
      <w:r>
        <w:t>二</w:t>
      </w:r>
      <w:r>
        <w:rPr>
          <w:rFonts w:hint="eastAsia" w:ascii="MS UI Gothic" w:eastAsia="MS UI Gothic"/>
          <w:w w:val="145"/>
        </w:rPr>
        <w:t xml:space="preserve">) </w:t>
      </w:r>
      <w:r>
        <w:t>新进露天矿的职工</w:t>
      </w:r>
      <w:r>
        <w:rPr>
          <w:rFonts w:hint="eastAsia" w:ascii="MS UI Gothic" w:eastAsia="MS UI Gothic"/>
          <w:w w:val="80"/>
        </w:rPr>
        <w:t xml:space="preserve">ꎬ </w:t>
      </w:r>
      <w:r>
        <w:t>接受安全教育</w:t>
      </w:r>
      <w:r>
        <w:rPr>
          <w:rFonts w:hint="eastAsia" w:ascii="MS UI Gothic" w:eastAsia="MS UI Gothic"/>
          <w:w w:val="80"/>
        </w:rPr>
        <w:t xml:space="preserve">、 </w:t>
      </w:r>
      <w:r>
        <w:t xml:space="preserve">培训的时间不得少于 </w:t>
      </w:r>
      <w:r>
        <w:rPr>
          <w:rFonts w:hint="eastAsia" w:ascii="MS UI Gothic" w:eastAsia="MS UI Gothic"/>
          <w:w w:val="80"/>
        </w:rPr>
        <w:t xml:space="preserve">４０ </w:t>
      </w:r>
      <w:r>
        <w:t>小时</w:t>
      </w:r>
      <w:r>
        <w:rPr>
          <w:rFonts w:hint="eastAsia" w:ascii="MS UI Gothic" w:eastAsia="MS UI Gothic"/>
          <w:w w:val="80"/>
        </w:rPr>
        <w:t xml:space="preserve">ꎬ </w:t>
      </w:r>
      <w:r>
        <w:t>经考试合格后</w:t>
      </w:r>
      <w:r>
        <w:rPr>
          <w:rFonts w:hint="eastAsia" w:ascii="MS UI Gothic" w:eastAsia="MS UI Gothic"/>
          <w:w w:val="80"/>
        </w:rPr>
        <w:t xml:space="preserve">ꎬ </w:t>
      </w:r>
      <w:r>
        <w:t>方可上岗作业</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对调换工种和采用新工艺作业</w:t>
      </w:r>
      <w:r>
        <w:t>的人员</w:t>
      </w:r>
      <w:r>
        <w:rPr>
          <w:rFonts w:hint="eastAsia" w:ascii="MS UI Gothic" w:eastAsia="MS UI Gothic"/>
          <w:w w:val="80"/>
        </w:rPr>
        <w:t xml:space="preserve">ꎬ </w:t>
      </w:r>
      <w:r>
        <w:t>必须重新培训</w:t>
      </w:r>
      <w:r>
        <w:rPr>
          <w:rFonts w:hint="eastAsia" w:ascii="MS UI Gothic" w:eastAsia="MS UI Gothic"/>
          <w:w w:val="80"/>
        </w:rPr>
        <w:t xml:space="preserve">ꎬ </w:t>
      </w:r>
      <w:r>
        <w:t>经考试合格后</w:t>
      </w:r>
      <w:r>
        <w:rPr>
          <w:rFonts w:hint="eastAsia" w:ascii="MS UI Gothic" w:eastAsia="MS UI Gothic"/>
          <w:w w:val="80"/>
        </w:rPr>
        <w:t>ꎬ</w:t>
      </w:r>
      <w:r>
        <w:rPr>
          <w:w w:val="105"/>
        </w:rPr>
        <w:t>方可上岗作业</w:t>
      </w:r>
      <w:r>
        <w:rPr>
          <w:rFonts w:hint="eastAsia" w:ascii="MS UI Gothic" w:eastAsia="MS UI Gothic"/>
          <w:w w:val="80"/>
        </w:rPr>
        <w:t>ꎻ</w:t>
      </w:r>
    </w:p>
    <w:p>
      <w:pPr>
        <w:pStyle w:val="6"/>
        <w:spacing w:before="123" w:line="295" w:lineRule="auto"/>
        <w:ind w:right="442"/>
        <w:rPr>
          <w:rFonts w:hint="eastAsia" w:ascii="MS UI Gothic" w:eastAsia="MS UI Gothic"/>
        </w:rPr>
      </w:pPr>
      <w:r>
        <w:br w:type="column"/>
      </w:r>
      <w:r>
        <w:rPr>
          <w:rFonts w:hint="eastAsia" w:ascii="MS UI Gothic" w:eastAsia="MS UI Gothic"/>
          <w:w w:val="145"/>
        </w:rPr>
        <w:t xml:space="preserve">( </w:t>
      </w:r>
      <w:r>
        <w:t>四</w:t>
      </w:r>
      <w:r>
        <w:rPr>
          <w:rFonts w:hint="eastAsia" w:ascii="MS UI Gothic" w:eastAsia="MS UI Gothic"/>
          <w:w w:val="145"/>
        </w:rPr>
        <w:t xml:space="preserve">) </w:t>
      </w:r>
      <w:r>
        <w:t>所有生产作业人员</w:t>
      </w:r>
      <w:r>
        <w:rPr>
          <w:rFonts w:hint="eastAsia" w:ascii="MS UI Gothic" w:eastAsia="MS UI Gothic"/>
          <w:w w:val="85"/>
        </w:rPr>
        <w:t xml:space="preserve">ꎬ </w:t>
      </w:r>
      <w:r>
        <w:t>每年接受在职安全教育</w:t>
      </w:r>
      <w:r>
        <w:rPr>
          <w:rFonts w:hint="eastAsia" w:ascii="MS UI Gothic" w:eastAsia="MS UI Gothic"/>
        </w:rPr>
        <w:t xml:space="preserve">、 </w:t>
      </w:r>
      <w:r>
        <w:t xml:space="preserve">培训的时间不少于 </w:t>
      </w:r>
      <w:r>
        <w:rPr>
          <w:rFonts w:hint="eastAsia" w:ascii="MS UI Gothic" w:eastAsia="MS UI Gothic"/>
          <w:w w:val="85"/>
        </w:rPr>
        <w:t xml:space="preserve">２０ </w:t>
      </w:r>
      <w:r>
        <w:t>小时</w:t>
      </w:r>
      <w:r>
        <w:rPr>
          <w:rFonts w:hint="eastAsia" w:ascii="MS UI Gothic" w:eastAsia="MS UI Gothic"/>
          <w:w w:val="85"/>
        </w:rPr>
        <w:t>ꎮ</w:t>
      </w:r>
    </w:p>
    <w:p>
      <w:pPr>
        <w:pStyle w:val="6"/>
        <w:spacing w:line="295" w:lineRule="auto"/>
        <w:ind w:right="442"/>
        <w:rPr>
          <w:rFonts w:hint="eastAsia" w:ascii="MS UI Gothic" w:eastAsia="MS UI Gothic"/>
        </w:rPr>
      </w:pPr>
      <w:r>
        <w:t>职工安全教育</w:t>
      </w:r>
      <w:r>
        <w:rPr>
          <w:rFonts w:hint="eastAsia" w:ascii="MS UI Gothic" w:eastAsia="MS UI Gothic"/>
        </w:rPr>
        <w:t xml:space="preserve">、 </w:t>
      </w:r>
      <w:r>
        <w:t>培训期间</w:t>
      </w:r>
      <w:r>
        <w:rPr>
          <w:rFonts w:hint="eastAsia" w:ascii="MS UI Gothic" w:eastAsia="MS UI Gothic"/>
          <w:w w:val="80"/>
        </w:rPr>
        <w:t xml:space="preserve">ꎬ </w:t>
      </w:r>
      <w:r>
        <w:t>矿山企业应当支付工资</w:t>
      </w:r>
      <w:r>
        <w:rPr>
          <w:rFonts w:hint="eastAsia" w:ascii="MS UI Gothic" w:eastAsia="MS UI Gothic"/>
          <w:w w:val="80"/>
        </w:rPr>
        <w:t>ꎮ</w:t>
      </w:r>
    </w:p>
    <w:p>
      <w:pPr>
        <w:pStyle w:val="6"/>
        <w:spacing w:line="295" w:lineRule="auto"/>
        <w:ind w:right="442"/>
        <w:rPr>
          <w:rFonts w:hint="eastAsia" w:ascii="MS UI Gothic" w:eastAsia="MS UI Gothic"/>
        </w:rPr>
      </w:pPr>
      <w:r>
        <w:t>职工安全教育</w:t>
      </w:r>
      <w:r>
        <w:rPr>
          <w:rFonts w:hint="eastAsia" w:ascii="MS UI Gothic" w:eastAsia="MS UI Gothic"/>
        </w:rPr>
        <w:t xml:space="preserve">、 </w:t>
      </w:r>
      <w:r>
        <w:t>培训情况和考核结果</w:t>
      </w:r>
      <w:r>
        <w:rPr>
          <w:rFonts w:hint="eastAsia" w:ascii="MS UI Gothic" w:eastAsia="MS UI Gothic"/>
          <w:w w:val="80"/>
        </w:rPr>
        <w:t xml:space="preserve">ꎬ </w:t>
      </w:r>
      <w:r>
        <w:t>应当记录存档</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第三十六条 矿山企业对职工的安全教育</w:t>
      </w:r>
      <w:r>
        <w:rPr>
          <w:rFonts w:hint="eastAsia" w:ascii="MS UI Gothic" w:eastAsia="MS UI Gothic"/>
          <w:w w:val="80"/>
        </w:rPr>
        <w:t xml:space="preserve">、 </w:t>
      </w:r>
      <w:r>
        <w:rPr>
          <w:w w:val="105"/>
        </w:rPr>
        <w:t>培训</w:t>
      </w:r>
      <w:r>
        <w:rPr>
          <w:rFonts w:hint="eastAsia" w:ascii="MS UI Gothic" w:eastAsia="MS UI Gothic"/>
          <w:w w:val="80"/>
        </w:rPr>
        <w:t xml:space="preserve">ꎬ </w:t>
      </w:r>
      <w:r>
        <w:rPr>
          <w:w w:val="105"/>
        </w:rPr>
        <w:t>应当包括下列内容</w:t>
      </w:r>
      <w:r>
        <w:rPr>
          <w:rFonts w:hint="eastAsia" w:ascii="MS UI Gothic" w:eastAsia="MS UI Gothic"/>
          <w:w w:val="235"/>
        </w:rPr>
        <w:t>:</w:t>
      </w:r>
    </w:p>
    <w:p>
      <w:pPr>
        <w:pStyle w:val="6"/>
        <w:spacing w:line="295" w:lineRule="auto"/>
        <w:ind w:right="442"/>
        <w:rPr>
          <w:rFonts w:hint="eastAsia" w:ascii="MS UI Gothic" w:hAnsi="MS UI Gothic" w:eastAsia="MS UI Gothic"/>
        </w:rPr>
      </w:pPr>
      <w:r>
        <w:rPr>
          <w:rFonts w:hint="eastAsia" w:ascii="MS UI Gothic" w:hAnsi="MS UI Gothic" w:eastAsia="MS UI Gothic"/>
          <w:w w:val="150"/>
        </w:rPr>
        <w:t xml:space="preserve">( </w:t>
      </w:r>
      <w:r>
        <w:rPr>
          <w:w w:val="105"/>
        </w:rPr>
        <w:t>一</w:t>
      </w:r>
      <w:r>
        <w:rPr>
          <w:rFonts w:hint="eastAsia" w:ascii="MS UI Gothic" w:hAnsi="MS UI Gothic" w:eastAsia="MS UI Gothic"/>
          <w:w w:val="150"/>
        </w:rPr>
        <w:t xml:space="preserve">) </w:t>
      </w:r>
      <w:r>
        <w:rPr>
          <w:rFonts w:hint="eastAsia" w:ascii="MS UI Gothic" w:hAnsi="MS UI Gothic" w:eastAsia="MS UI Gothic"/>
          <w:w w:val="80"/>
        </w:rPr>
        <w:t xml:space="preserve">« </w:t>
      </w:r>
      <w:r>
        <w:rPr>
          <w:w w:val="105"/>
        </w:rPr>
        <w:t>矿山安全法</w:t>
      </w:r>
      <w:r>
        <w:rPr>
          <w:rFonts w:hint="eastAsia" w:ascii="MS UI Gothic" w:hAnsi="MS UI Gothic" w:eastAsia="MS UI Gothic"/>
          <w:w w:val="80"/>
        </w:rPr>
        <w:t xml:space="preserve">» </w:t>
      </w:r>
      <w:r>
        <w:rPr>
          <w:w w:val="105"/>
        </w:rPr>
        <w:t>及本条例赋予矿山职工的权利与义务</w:t>
      </w:r>
      <w:r>
        <w:rPr>
          <w:rFonts w:hint="eastAsia" w:ascii="MS UI Gothic" w:hAns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矿山安全规程及矿山企业有关</w:t>
      </w:r>
      <w:r>
        <w:rPr>
          <w:w w:val="110"/>
        </w:rPr>
        <w:t>安全管理的规章制度</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20"/>
        </w:rPr>
        <w:t xml:space="preserve">( </w:t>
      </w:r>
      <w:r>
        <w:rPr>
          <w:w w:val="110"/>
        </w:rPr>
        <w:t>三</w:t>
      </w:r>
      <w:r>
        <w:rPr>
          <w:rFonts w:hint="eastAsia" w:ascii="MS UI Gothic" w:eastAsia="MS UI Gothic"/>
          <w:w w:val="120"/>
        </w:rPr>
        <w:t xml:space="preserve">) </w:t>
      </w:r>
      <w:r>
        <w:rPr>
          <w:w w:val="110"/>
        </w:rPr>
        <w:t>与职工本职工作有关的安全知识</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各种事故征兆的识别</w:t>
      </w:r>
      <w:r>
        <w:rPr>
          <w:rFonts w:hint="eastAsia" w:ascii="MS UI Gothic" w:eastAsia="MS UI Gothic"/>
          <w:w w:val="80"/>
        </w:rPr>
        <w:t xml:space="preserve">、 </w:t>
      </w:r>
      <w:r>
        <w:rPr>
          <w:w w:val="105"/>
        </w:rPr>
        <w:t>发生紧急危险情况时的应急措施和撤退路线</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自救装备的使用和有关急救方</w:t>
      </w:r>
      <w:r>
        <w:rPr>
          <w:w w:val="110"/>
        </w:rPr>
        <w:t>面的知识</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六</w:t>
      </w:r>
      <w:r>
        <w:rPr>
          <w:rFonts w:hint="eastAsia" w:ascii="MS UI Gothic" w:eastAsia="MS UI Gothic"/>
          <w:spacing w:val="-13"/>
          <w:w w:val="130"/>
        </w:rPr>
        <w:t xml:space="preserve">) </w:t>
      </w:r>
      <w:r>
        <w:rPr>
          <w:spacing w:val="41"/>
          <w:w w:val="110"/>
        </w:rPr>
        <w:t>有关主管部门规定的其他</w:t>
      </w:r>
      <w:r>
        <w:rPr>
          <w:spacing w:val="3"/>
          <w:w w:val="110"/>
        </w:rPr>
        <w:t>内容</w:t>
      </w:r>
      <w:r>
        <w:rPr>
          <w:rFonts w:hint="eastAsia" w:ascii="MS UI Gothic" w:eastAsia="MS UI Gothic"/>
          <w:w w:val="80"/>
        </w:rPr>
        <w:t>ꎮ</w:t>
      </w:r>
    </w:p>
    <w:p>
      <w:pPr>
        <w:pStyle w:val="6"/>
        <w:spacing w:line="295" w:lineRule="auto"/>
        <w:ind w:right="440"/>
        <w:rPr>
          <w:rFonts w:hint="eastAsia" w:ascii="MS UI Gothic" w:eastAsia="MS UI Gothic"/>
        </w:rPr>
      </w:pPr>
      <w:r>
        <w:rPr>
          <w:spacing w:val="12"/>
        </w:rPr>
        <w:t>第三十七条 瓦斯检查工</w:t>
      </w:r>
      <w:r>
        <w:rPr>
          <w:rFonts w:hint="eastAsia" w:ascii="MS UI Gothic" w:eastAsia="MS UI Gothic"/>
          <w:spacing w:val="17"/>
          <w:w w:val="80"/>
        </w:rPr>
        <w:t xml:space="preserve">、 </w:t>
      </w:r>
      <w:r>
        <w:rPr>
          <w:spacing w:val="11"/>
        </w:rPr>
        <w:t>爆破工</w:t>
      </w:r>
      <w:r>
        <w:rPr>
          <w:rFonts w:hint="eastAsia" w:ascii="MS UI Gothic" w:eastAsia="MS UI Gothic"/>
          <w:w w:val="80"/>
        </w:rPr>
        <w:t>、</w:t>
      </w:r>
      <w:r>
        <w:rPr>
          <w:spacing w:val="3"/>
        </w:rPr>
        <w:t>通风工</w:t>
      </w:r>
      <w:r>
        <w:rPr>
          <w:rFonts w:hint="eastAsia" w:ascii="MS UI Gothic" w:eastAsia="MS UI Gothic"/>
          <w:spacing w:val="11"/>
          <w:w w:val="80"/>
        </w:rPr>
        <w:t xml:space="preserve">、 </w:t>
      </w:r>
      <w:r>
        <w:rPr>
          <w:spacing w:val="3"/>
        </w:rPr>
        <w:t>信号工</w:t>
      </w:r>
      <w:r>
        <w:rPr>
          <w:rFonts w:hint="eastAsia" w:ascii="MS UI Gothic" w:eastAsia="MS UI Gothic"/>
          <w:spacing w:val="12"/>
          <w:w w:val="80"/>
        </w:rPr>
        <w:t xml:space="preserve">、 </w:t>
      </w:r>
      <w:r>
        <w:rPr>
          <w:spacing w:val="3"/>
        </w:rPr>
        <w:t>拥罐工</w:t>
      </w:r>
      <w:r>
        <w:rPr>
          <w:rFonts w:hint="eastAsia" w:ascii="MS UI Gothic" w:eastAsia="MS UI Gothic"/>
          <w:spacing w:val="12"/>
          <w:w w:val="80"/>
        </w:rPr>
        <w:t xml:space="preserve">、 </w:t>
      </w:r>
      <w:r>
        <w:rPr>
          <w:spacing w:val="3"/>
        </w:rPr>
        <w:t>电工</w:t>
      </w:r>
      <w:r>
        <w:rPr>
          <w:rFonts w:hint="eastAsia" w:ascii="MS UI Gothic" w:eastAsia="MS UI Gothic"/>
          <w:spacing w:val="8"/>
          <w:w w:val="80"/>
        </w:rPr>
        <w:t xml:space="preserve">、  </w:t>
      </w:r>
      <w:r>
        <w:rPr>
          <w:spacing w:val="2"/>
        </w:rPr>
        <w:t>金属焊</w:t>
      </w:r>
      <w:r>
        <w:rPr>
          <w:spacing w:val="14"/>
        </w:rPr>
        <w:t xml:space="preserve">接 </w:t>
      </w:r>
      <w:r>
        <w:rPr>
          <w:rFonts w:hint="eastAsia" w:ascii="MS UI Gothic" w:eastAsia="MS UI Gothic"/>
          <w:spacing w:val="-34"/>
          <w:w w:val="150"/>
        </w:rPr>
        <w:t xml:space="preserve">( </w:t>
      </w:r>
      <w:r>
        <w:rPr>
          <w:spacing w:val="4"/>
        </w:rPr>
        <w:t>切割</w:t>
      </w:r>
      <w:r>
        <w:rPr>
          <w:rFonts w:hint="eastAsia" w:ascii="MS UI Gothic" w:eastAsia="MS UI Gothic"/>
          <w:spacing w:val="30"/>
          <w:w w:val="150"/>
        </w:rPr>
        <w:t xml:space="preserve">) </w:t>
      </w:r>
      <w:r>
        <w:rPr>
          <w:spacing w:val="3"/>
        </w:rPr>
        <w:t>工</w:t>
      </w:r>
      <w:r>
        <w:rPr>
          <w:rFonts w:hint="eastAsia" w:ascii="MS UI Gothic" w:eastAsia="MS UI Gothic"/>
          <w:spacing w:val="15"/>
          <w:w w:val="80"/>
        </w:rPr>
        <w:t xml:space="preserve">、 </w:t>
      </w:r>
      <w:r>
        <w:rPr>
          <w:spacing w:val="7"/>
        </w:rPr>
        <w:t>矿井泵工</w:t>
      </w:r>
      <w:r>
        <w:rPr>
          <w:rFonts w:hint="eastAsia" w:ascii="MS UI Gothic" w:eastAsia="MS UI Gothic"/>
          <w:spacing w:val="17"/>
          <w:w w:val="80"/>
        </w:rPr>
        <w:t xml:space="preserve">、 </w:t>
      </w:r>
      <w:r>
        <w:rPr>
          <w:spacing w:val="9"/>
        </w:rPr>
        <w:t>瓦斯抽放工</w:t>
      </w:r>
      <w:r>
        <w:rPr>
          <w:rFonts w:hint="eastAsia" w:ascii="MS UI Gothic" w:eastAsia="MS UI Gothic"/>
          <w:w w:val="80"/>
        </w:rPr>
        <w:t>、</w:t>
      </w:r>
      <w:r>
        <w:rPr>
          <w:spacing w:val="3"/>
        </w:rPr>
        <w:t>主扇风机操作工</w:t>
      </w:r>
      <w:r>
        <w:rPr>
          <w:rFonts w:hint="eastAsia" w:ascii="MS UI Gothic" w:eastAsia="MS UI Gothic"/>
          <w:spacing w:val="22"/>
          <w:w w:val="80"/>
        </w:rPr>
        <w:t xml:space="preserve">、 </w:t>
      </w:r>
      <w:r>
        <w:rPr>
          <w:spacing w:val="3"/>
        </w:rPr>
        <w:t>主提升机操作工</w:t>
      </w:r>
      <w:r>
        <w:rPr>
          <w:rFonts w:hint="eastAsia" w:ascii="MS UI Gothic" w:eastAsia="MS UI Gothic"/>
          <w:spacing w:val="22"/>
          <w:w w:val="80"/>
        </w:rPr>
        <w:t xml:space="preserve">、 </w:t>
      </w:r>
      <w:r>
        <w:rPr>
          <w:spacing w:val="1"/>
        </w:rPr>
        <w:t>绞车</w:t>
      </w:r>
      <w:r>
        <w:rPr>
          <w:spacing w:val="3"/>
        </w:rPr>
        <w:t>操作工</w:t>
      </w:r>
      <w:r>
        <w:rPr>
          <w:rFonts w:hint="eastAsia" w:ascii="MS UI Gothic" w:eastAsia="MS UI Gothic"/>
          <w:spacing w:val="15"/>
          <w:w w:val="80"/>
        </w:rPr>
        <w:t xml:space="preserve">、 </w:t>
      </w:r>
      <w:r>
        <w:rPr>
          <w:spacing w:val="3"/>
        </w:rPr>
        <w:t>输送机操作工</w:t>
      </w:r>
      <w:r>
        <w:rPr>
          <w:rFonts w:hint="eastAsia" w:ascii="MS UI Gothic" w:eastAsia="MS UI Gothic"/>
          <w:spacing w:val="15"/>
          <w:w w:val="80"/>
        </w:rPr>
        <w:t xml:space="preserve">、 </w:t>
      </w:r>
      <w:r>
        <w:rPr>
          <w:spacing w:val="3"/>
        </w:rPr>
        <w:t>尾矿工</w:t>
      </w:r>
      <w:r>
        <w:rPr>
          <w:rFonts w:hint="eastAsia" w:ascii="MS UI Gothic" w:eastAsia="MS UI Gothic"/>
          <w:spacing w:val="16"/>
          <w:w w:val="80"/>
        </w:rPr>
        <w:t xml:space="preserve">、 </w:t>
      </w:r>
      <w:r>
        <w:rPr>
          <w:spacing w:val="2"/>
        </w:rPr>
        <w:t>安全检查工和矿内机动车司机等特种作业人员应</w:t>
      </w:r>
      <w:r>
        <w:rPr>
          <w:spacing w:val="3"/>
        </w:rPr>
        <w:t>当接受专门技术培训</w:t>
      </w:r>
      <w:r>
        <w:rPr>
          <w:rFonts w:hint="eastAsia" w:ascii="MS UI Gothic" w:eastAsia="MS UI Gothic"/>
          <w:spacing w:val="19"/>
          <w:w w:val="80"/>
        </w:rPr>
        <w:t xml:space="preserve">ꎬ </w:t>
      </w:r>
      <w:r>
        <w:rPr>
          <w:spacing w:val="2"/>
        </w:rPr>
        <w:t>经考核合格取得操</w:t>
      </w:r>
      <w:r>
        <w:rPr>
          <w:spacing w:val="3"/>
        </w:rPr>
        <w:t>作资格证书后</w:t>
      </w:r>
      <w:r>
        <w:rPr>
          <w:rFonts w:hint="eastAsia" w:ascii="MS UI Gothic" w:eastAsia="MS UI Gothic"/>
          <w:spacing w:val="23"/>
          <w:w w:val="80"/>
        </w:rPr>
        <w:t xml:space="preserve">ꎬ </w:t>
      </w:r>
      <w:r>
        <w:rPr>
          <w:spacing w:val="3"/>
        </w:rPr>
        <w:t>方可上岗作业</w:t>
      </w:r>
      <w:r>
        <w:rPr>
          <w:rFonts w:hint="eastAsia" w:ascii="MS UI Gothic" w:eastAsia="MS UI Gothic"/>
          <w:spacing w:val="23"/>
          <w:w w:val="80"/>
        </w:rPr>
        <w:t xml:space="preserve">ꎮ </w:t>
      </w:r>
      <w:r>
        <w:rPr>
          <w:spacing w:val="2"/>
        </w:rPr>
        <w:t>特种作业</w:t>
      </w:r>
      <w:r>
        <w:rPr>
          <w:spacing w:val="3"/>
        </w:rPr>
        <w:t>人员的考核</w:t>
      </w:r>
      <w:r>
        <w:rPr>
          <w:rFonts w:hint="eastAsia" w:ascii="MS UI Gothic" w:eastAsia="MS UI Gothic"/>
          <w:spacing w:val="16"/>
          <w:w w:val="80"/>
        </w:rPr>
        <w:t xml:space="preserve">、 </w:t>
      </w:r>
      <w:r>
        <w:rPr>
          <w:spacing w:val="2"/>
        </w:rPr>
        <w:t>发证工作按照国家有关规定</w:t>
      </w:r>
      <w:r>
        <w:rPr>
          <w:spacing w:val="3"/>
        </w:rPr>
        <w:t>执行</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第三十八条 对矿长安全资格的考</w:t>
      </w:r>
      <w:r>
        <w:rPr>
          <w:w w:val="110"/>
        </w:rPr>
        <w:t>核</w:t>
      </w:r>
      <w:r>
        <w:rPr>
          <w:rFonts w:hint="eastAsia" w:ascii="MS UI Gothic" w:eastAsia="MS UI Gothic"/>
          <w:w w:val="80"/>
        </w:rPr>
        <w:t xml:space="preserve">ꎬ </w:t>
      </w:r>
      <w:r>
        <w:rPr>
          <w:w w:val="110"/>
        </w:rPr>
        <w:t>应当包括下列内容</w:t>
      </w:r>
      <w:r>
        <w:rPr>
          <w:rFonts w:hint="eastAsia" w:ascii="MS UI Gothic" w:eastAsia="MS UI Gothic"/>
          <w:w w:val="235"/>
        </w:rPr>
        <w:t>:</w:t>
      </w:r>
    </w:p>
    <w:p>
      <w:pPr>
        <w:pStyle w:val="6"/>
        <w:spacing w:line="295" w:lineRule="auto"/>
        <w:ind w:right="440"/>
        <w:rPr>
          <w:rFonts w:hint="eastAsia" w:ascii="MS UI Gothic" w:hAnsi="MS UI Gothic" w:eastAsia="MS UI Gothic"/>
        </w:rPr>
      </w:pPr>
      <w:r>
        <w:rPr>
          <w:rFonts w:hint="eastAsia" w:ascii="MS UI Gothic" w:hAnsi="MS UI Gothic" w:eastAsia="MS UI Gothic"/>
          <w:w w:val="150"/>
        </w:rPr>
        <w:t xml:space="preserve">( </w:t>
      </w:r>
      <w:r>
        <w:rPr>
          <w:w w:val="105"/>
        </w:rPr>
        <w:t>一</w:t>
      </w:r>
      <w:r>
        <w:rPr>
          <w:rFonts w:hint="eastAsia" w:ascii="MS UI Gothic" w:hAnsi="MS UI Gothic" w:eastAsia="MS UI Gothic"/>
          <w:w w:val="150"/>
        </w:rPr>
        <w:t xml:space="preserve">) </w:t>
      </w:r>
      <w:r>
        <w:rPr>
          <w:rFonts w:hint="eastAsia" w:ascii="MS UI Gothic" w:hAnsi="MS UI Gothic" w:eastAsia="MS UI Gothic"/>
          <w:w w:val="80"/>
        </w:rPr>
        <w:t xml:space="preserve">« </w:t>
      </w:r>
      <w:r>
        <w:rPr>
          <w:w w:val="105"/>
        </w:rPr>
        <w:t>矿山安全法</w:t>
      </w:r>
      <w:r>
        <w:rPr>
          <w:rFonts w:hint="eastAsia" w:ascii="MS UI Gothic" w:hAnsi="MS UI Gothic" w:eastAsia="MS UI Gothic"/>
          <w:w w:val="80"/>
        </w:rPr>
        <w:t xml:space="preserve">» </w:t>
      </w:r>
      <w:r>
        <w:rPr>
          <w:w w:val="105"/>
        </w:rPr>
        <w:t>和有关法律</w:t>
      </w:r>
      <w:r>
        <w:rPr>
          <w:rFonts w:hint="eastAsia" w:ascii="MS UI Gothic" w:hAnsi="MS UI Gothic" w:eastAsia="MS UI Gothic"/>
          <w:w w:val="80"/>
        </w:rPr>
        <w:t>、</w:t>
      </w:r>
      <w:r>
        <w:rPr>
          <w:w w:val="105"/>
        </w:rPr>
        <w:t>法规及矿山安全规程</w:t>
      </w:r>
      <w:r>
        <w:rPr>
          <w:rFonts w:hint="eastAsia" w:ascii="MS UI Gothic" w:hAns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spacing w:val="-34"/>
          <w:w w:val="120"/>
        </w:rPr>
        <w:t xml:space="preserve">( </w:t>
      </w:r>
      <w:r>
        <w:rPr>
          <w:spacing w:val="3"/>
          <w:w w:val="110"/>
        </w:rPr>
        <w:t>二</w:t>
      </w:r>
      <w:r>
        <w:rPr>
          <w:rFonts w:hint="eastAsia" w:ascii="MS UI Gothic" w:eastAsia="MS UI Gothic"/>
          <w:spacing w:val="-16"/>
          <w:w w:val="120"/>
        </w:rPr>
        <w:t xml:space="preserve">) </w:t>
      </w:r>
      <w:r>
        <w:rPr>
          <w:spacing w:val="3"/>
          <w:w w:val="110"/>
        </w:rPr>
        <w:t>矿山安全知识</w:t>
      </w:r>
      <w:r>
        <w:rPr>
          <w:rFonts w:hint="eastAsia" w:ascii="MS UI Gothic" w:eastAsia="MS UI Gothic"/>
          <w:w w:val="80"/>
        </w:rPr>
        <w:t>ꎻ</w:t>
      </w:r>
    </w:p>
    <w:p>
      <w:pPr>
        <w:pStyle w:val="6"/>
        <w:spacing w:before="32" w:line="295" w:lineRule="auto"/>
        <w:ind w:left="543" w:right="1450" w:firstLine="0"/>
        <w:rPr>
          <w:rFonts w:hint="eastAsia" w:ascii="MS UI Gothic" w:eastAsia="MS UI Gothic"/>
        </w:rPr>
      </w:pPr>
      <w:r>
        <w:rPr>
          <w:rFonts w:hint="eastAsia" w:ascii="MS UI Gothic" w:eastAsia="MS UI Gothic"/>
          <w:spacing w:val="-23"/>
          <w:w w:val="105"/>
        </w:rPr>
        <w:t xml:space="preserve">( </w:t>
      </w:r>
      <w:r>
        <w:rPr>
          <w:spacing w:val="3"/>
          <w:w w:val="105"/>
        </w:rPr>
        <w:t>三</w:t>
      </w:r>
      <w:r>
        <w:rPr>
          <w:rFonts w:hint="eastAsia" w:ascii="MS UI Gothic" w:eastAsia="MS UI Gothic"/>
          <w:spacing w:val="24"/>
          <w:w w:val="105"/>
        </w:rPr>
        <w:t xml:space="preserve">) </w:t>
      </w:r>
      <w:r>
        <w:rPr>
          <w:spacing w:val="3"/>
          <w:w w:val="105"/>
        </w:rPr>
        <w:t>安全生产管理能力</w:t>
      </w:r>
      <w:r>
        <w:rPr>
          <w:rFonts w:hint="eastAsia" w:ascii="MS UI Gothic" w:eastAsia="MS UI Gothic"/>
          <w:w w:val="80"/>
        </w:rPr>
        <w:t>ꎻ</w:t>
      </w:r>
      <w:r>
        <w:rPr>
          <w:rFonts w:hint="eastAsia" w:ascii="MS UI Gothic" w:eastAsia="MS UI Gothic"/>
          <w:spacing w:val="-23"/>
          <w:w w:val="105"/>
        </w:rPr>
        <w:t xml:space="preserve">( </w:t>
      </w:r>
      <w:r>
        <w:rPr>
          <w:spacing w:val="3"/>
          <w:w w:val="105"/>
        </w:rPr>
        <w:t>四</w:t>
      </w:r>
      <w:r>
        <w:rPr>
          <w:rFonts w:hint="eastAsia" w:ascii="MS UI Gothic" w:eastAsia="MS UI Gothic"/>
          <w:spacing w:val="24"/>
          <w:w w:val="105"/>
        </w:rPr>
        <w:t xml:space="preserve">) </w:t>
      </w:r>
      <w:r>
        <w:rPr>
          <w:spacing w:val="3"/>
          <w:w w:val="105"/>
        </w:rPr>
        <w:t>矿山事故处理能力</w:t>
      </w:r>
      <w:r>
        <w:rPr>
          <w:rFonts w:hint="eastAsia" w:ascii="MS UI Gothic" w:eastAsia="MS UI Gothic"/>
          <w:w w:val="80"/>
        </w:rPr>
        <w:t>ꎻ</w:t>
      </w:r>
      <w:r>
        <w:rPr>
          <w:rFonts w:hint="eastAsia" w:ascii="MS UI Gothic" w:eastAsia="MS UI Gothic"/>
          <w:spacing w:val="-38"/>
          <w:w w:val="150"/>
        </w:rPr>
        <w:t xml:space="preserve">( </w:t>
      </w:r>
      <w:r>
        <w:rPr>
          <w:spacing w:val="3"/>
          <w:w w:val="110"/>
        </w:rPr>
        <w:t>五</w:t>
      </w:r>
      <w:r>
        <w:rPr>
          <w:rFonts w:hint="eastAsia" w:ascii="MS UI Gothic" w:eastAsia="MS UI Gothic"/>
          <w:spacing w:val="3"/>
          <w:w w:val="150"/>
        </w:rPr>
        <w:t xml:space="preserve">) </w:t>
      </w:r>
      <w:r>
        <w:rPr>
          <w:spacing w:val="3"/>
          <w:w w:val="110"/>
        </w:rPr>
        <w:t>安全生产业绩</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３９５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83" o:spid="_x0000_s2183" o:spt="203" style="height:2.15pt;width:398.25pt;" coordsize="7965,43">
            <o:lock v:ext="edit"/>
            <v:line id="_x0000_s2184" o:spid="_x0000_s2184" o:spt="20" style="position:absolute;left:0;top:39;height:0;width:7965;" stroked="t" coordsize="21600,21600">
              <v:path arrowok="t"/>
              <v:fill focussize="0,0"/>
              <v:stroke weight="0.388031496062992pt" color="#231F20"/>
              <v:imagedata o:title=""/>
              <o:lock v:ext="edit"/>
            </v:line>
            <v:line id="_x0000_s2185" o:spid="_x0000_s218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rPr>
          <w:w w:val="105"/>
        </w:rPr>
        <w:t>第三十九条 矿山企业向职工发放的</w:t>
      </w:r>
      <w:r>
        <w:t>劳动防护用品应当是经过鉴定和检验合格的产品</w:t>
      </w:r>
      <w:r>
        <w:rPr>
          <w:rFonts w:hint="eastAsia" w:ascii="MS UI Gothic" w:eastAsia="MS UI Gothic"/>
          <w:w w:val="80"/>
        </w:rPr>
        <w:t xml:space="preserve">ꎮ </w:t>
      </w:r>
      <w:r>
        <w:t>劳动防护用品的发放标准由国务</w:t>
      </w:r>
      <w:r>
        <w:rPr>
          <w:w w:val="105"/>
        </w:rPr>
        <w:t>院劳动行政主管部门制定</w:t>
      </w:r>
      <w:r>
        <w:rPr>
          <w:rFonts w:hint="eastAsia" w:ascii="MS UI Gothic" w:eastAsia="MS UI Gothic"/>
          <w:w w:val="80"/>
        </w:rPr>
        <w:t>ꎮ</w:t>
      </w:r>
    </w:p>
    <w:p>
      <w:pPr>
        <w:pStyle w:val="6"/>
        <w:spacing w:line="295" w:lineRule="auto"/>
        <w:ind w:left="440"/>
        <w:rPr>
          <w:rFonts w:hint="eastAsia" w:ascii="MS UI Gothic" w:eastAsia="MS UI Gothic"/>
        </w:rPr>
      </w:pPr>
      <w:r>
        <w:t>第四十条 矿山企业应当每年编制矿山灾害预防和应急计划</w:t>
      </w:r>
      <w:r>
        <w:rPr>
          <w:rFonts w:hint="eastAsia" w:ascii="MS UI Gothic" w:eastAsia="MS UI Gothic"/>
          <w:w w:val="80"/>
        </w:rPr>
        <w:t xml:space="preserve">ꎻ </w:t>
      </w:r>
      <w:r>
        <w:t>在每季度末</w:t>
      </w:r>
      <w:r>
        <w:rPr>
          <w:rFonts w:hint="eastAsia" w:ascii="MS UI Gothic" w:eastAsia="MS UI Gothic"/>
          <w:w w:val="80"/>
        </w:rPr>
        <w:t xml:space="preserve">ꎬ </w:t>
      </w:r>
      <w:r>
        <w:t>应当根据实际情况对计划及时进行修改</w:t>
      </w:r>
      <w:r>
        <w:rPr>
          <w:rFonts w:hint="eastAsia" w:ascii="MS UI Gothic" w:eastAsia="MS UI Gothic"/>
          <w:w w:val="80"/>
        </w:rPr>
        <w:t xml:space="preserve">ꎬ </w:t>
      </w:r>
      <w:r>
        <w:t>制定相应的措施</w:t>
      </w:r>
      <w:r>
        <w:rPr>
          <w:rFonts w:hint="eastAsia" w:ascii="MS UI Gothic" w:eastAsia="MS UI Gothic"/>
          <w:w w:val="80"/>
        </w:rPr>
        <w:t>ꎮ</w:t>
      </w:r>
    </w:p>
    <w:p>
      <w:pPr>
        <w:pStyle w:val="6"/>
        <w:spacing w:line="295" w:lineRule="auto"/>
        <w:ind w:left="440"/>
        <w:rPr>
          <w:rFonts w:hint="eastAsia" w:ascii="MS UI Gothic" w:eastAsia="MS UI Gothic"/>
        </w:rPr>
      </w:pPr>
      <w:r>
        <w:t>矿山企业应当使每个职工熟悉矿山灾害预防和应急计划</w:t>
      </w:r>
      <w:r>
        <w:rPr>
          <w:rFonts w:hint="eastAsia" w:ascii="MS UI Gothic" w:eastAsia="MS UI Gothic"/>
          <w:w w:val="80"/>
        </w:rPr>
        <w:t xml:space="preserve">ꎬ </w:t>
      </w:r>
      <w:r>
        <w:t>并且每年至少组织一</w:t>
      </w:r>
      <w:r>
        <w:rPr>
          <w:w w:val="105"/>
        </w:rPr>
        <w:t>次矿山救灾演习</w:t>
      </w:r>
      <w:r>
        <w:rPr>
          <w:rFonts w:hint="eastAsia" w:ascii="MS UI Gothic" w:eastAsia="MS UI Gothic"/>
          <w:w w:val="80"/>
        </w:rPr>
        <w:t>ꎮ</w:t>
      </w:r>
    </w:p>
    <w:p>
      <w:pPr>
        <w:pStyle w:val="6"/>
        <w:spacing w:line="295" w:lineRule="auto"/>
        <w:ind w:left="440"/>
        <w:rPr>
          <w:rFonts w:hint="eastAsia" w:ascii="MS UI Gothic" w:eastAsia="MS UI Gothic"/>
        </w:rPr>
      </w:pPr>
      <w:r>
        <w:t>矿山企业应当根据国家有关规定</w:t>
      </w:r>
      <w:r>
        <w:rPr>
          <w:rFonts w:hint="eastAsia" w:ascii="MS UI Gothic" w:eastAsia="MS UI Gothic"/>
          <w:w w:val="80"/>
        </w:rPr>
        <w:t xml:space="preserve">ꎬ </w:t>
      </w:r>
      <w:r>
        <w:t>按照不同作业场所的要求</w:t>
      </w:r>
      <w:r>
        <w:rPr>
          <w:rFonts w:hint="eastAsia" w:ascii="MS UI Gothic" w:eastAsia="MS UI Gothic"/>
          <w:w w:val="80"/>
        </w:rPr>
        <w:t xml:space="preserve">ꎬ </w:t>
      </w:r>
      <w:r>
        <w:t>设置矿山安全标志</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第四十一条 矿山企业应当建立由专</w:t>
      </w:r>
      <w:r>
        <w:t>职的或者兼职的人员组成的矿山救护和医疗急救组织</w:t>
      </w:r>
      <w:r>
        <w:rPr>
          <w:rFonts w:hint="eastAsia" w:ascii="MS UI Gothic" w:eastAsia="MS UI Gothic"/>
          <w:w w:val="80"/>
        </w:rPr>
        <w:t xml:space="preserve">ꎮ </w:t>
      </w:r>
      <w:r>
        <w:t>不具备单独建立专业救护和医疗急救组织的小型矿山企业</w:t>
      </w:r>
      <w:r>
        <w:rPr>
          <w:rFonts w:hint="eastAsia" w:ascii="MS UI Gothic" w:eastAsia="MS UI Gothic"/>
          <w:w w:val="80"/>
        </w:rPr>
        <w:t xml:space="preserve">ꎬ </w:t>
      </w:r>
      <w:r>
        <w:t>除应当建立兼职的救护和医疗急救组织外</w:t>
      </w:r>
      <w:r>
        <w:rPr>
          <w:rFonts w:hint="eastAsia" w:ascii="MS UI Gothic" w:eastAsia="MS UI Gothic"/>
          <w:w w:val="80"/>
        </w:rPr>
        <w:t xml:space="preserve">ꎬ </w:t>
      </w:r>
      <w:r>
        <w:t>还应当与邻近的有专业的救护和医疗急救组织的矿山企业签订救护和急救协议</w:t>
      </w:r>
      <w:r>
        <w:rPr>
          <w:rFonts w:hint="eastAsia" w:ascii="MS UI Gothic" w:eastAsia="MS UI Gothic"/>
          <w:w w:val="80"/>
        </w:rPr>
        <w:t xml:space="preserve">ꎬ </w:t>
      </w:r>
      <w:r>
        <w:t>或者与邻近的矿山企业联合建立专业救护和医疗急</w:t>
      </w:r>
      <w:r>
        <w:rPr>
          <w:w w:val="105"/>
        </w:rPr>
        <w:t>救组织</w:t>
      </w:r>
      <w:r>
        <w:rPr>
          <w:rFonts w:hint="eastAsia" w:ascii="MS UI Gothic" w:eastAsia="MS UI Gothic"/>
          <w:w w:val="80"/>
        </w:rPr>
        <w:t>ꎮ</w:t>
      </w:r>
    </w:p>
    <w:p>
      <w:pPr>
        <w:pStyle w:val="6"/>
        <w:spacing w:line="295" w:lineRule="auto"/>
        <w:ind w:left="440"/>
        <w:rPr>
          <w:rFonts w:hint="eastAsia" w:ascii="MS UI Gothic" w:eastAsia="MS UI Gothic"/>
        </w:rPr>
      </w:pPr>
      <w:r>
        <w:t>矿山救护和医疗急救组织应当有固定场所</w:t>
      </w:r>
      <w:r>
        <w:rPr>
          <w:rFonts w:hint="eastAsia" w:ascii="MS UI Gothic" w:eastAsia="MS UI Gothic"/>
          <w:w w:val="80"/>
        </w:rPr>
        <w:t xml:space="preserve">、 </w:t>
      </w:r>
      <w:r>
        <w:t>训练器械和训练场地</w:t>
      </w:r>
      <w:r>
        <w:rPr>
          <w:rFonts w:hint="eastAsia" w:ascii="MS UI Gothic" w:eastAsia="MS UI Gothic"/>
          <w:w w:val="80"/>
        </w:rPr>
        <w:t>ꎮ</w:t>
      </w:r>
    </w:p>
    <w:p>
      <w:pPr>
        <w:pStyle w:val="6"/>
        <w:spacing w:line="295" w:lineRule="auto"/>
        <w:ind w:left="440"/>
        <w:rPr>
          <w:rFonts w:hint="eastAsia" w:ascii="MS UI Gothic" w:eastAsia="MS UI Gothic"/>
        </w:rPr>
      </w:pPr>
      <w:r>
        <w:t>矿山救护和医疗急救组织的规模和装备标准</w:t>
      </w:r>
      <w:r>
        <w:rPr>
          <w:rFonts w:hint="eastAsia" w:ascii="MS UI Gothic" w:eastAsia="MS UI Gothic"/>
          <w:w w:val="80"/>
        </w:rPr>
        <w:t xml:space="preserve">ꎬ </w:t>
      </w:r>
      <w:r>
        <w:t>由国务院管理矿山企业的有关主</w:t>
      </w:r>
      <w:r>
        <w:rPr>
          <w:w w:val="105"/>
        </w:rPr>
        <w:t>管部门规定</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第四十二条 矿山企业必须按照国家</w:t>
      </w:r>
      <w:r>
        <w:rPr>
          <w:spacing w:val="3"/>
        </w:rPr>
        <w:t>规定的安全条件进行生产</w:t>
      </w:r>
      <w:r>
        <w:rPr>
          <w:rFonts w:hint="eastAsia" w:ascii="MS UI Gothic" w:eastAsia="MS UI Gothic"/>
          <w:spacing w:val="21"/>
          <w:w w:val="80"/>
        </w:rPr>
        <w:t xml:space="preserve">ꎬ </w:t>
      </w:r>
      <w:r>
        <w:rPr>
          <w:spacing w:val="2"/>
        </w:rPr>
        <w:t>并安排一部分</w:t>
      </w:r>
      <w:r>
        <w:rPr>
          <w:spacing w:val="3"/>
        </w:rPr>
        <w:t>资金</w:t>
      </w:r>
      <w:r>
        <w:rPr>
          <w:rFonts w:hint="eastAsia" w:ascii="MS UI Gothic" w:eastAsia="MS UI Gothic"/>
          <w:spacing w:val="21"/>
          <w:w w:val="80"/>
        </w:rPr>
        <w:t xml:space="preserve">ꎬ </w:t>
      </w:r>
      <w:r>
        <w:rPr>
          <w:spacing w:val="2"/>
        </w:rPr>
        <w:t>用于下列改善矿山安全生产条件的</w:t>
      </w:r>
      <w:r>
        <w:rPr>
          <w:spacing w:val="3"/>
          <w:w w:val="105"/>
        </w:rPr>
        <w:t>项目</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spacing w:val="-36"/>
          <w:w w:val="130"/>
        </w:rPr>
        <w:t xml:space="preserve">( </w:t>
      </w:r>
      <w:r>
        <w:rPr>
          <w:spacing w:val="29"/>
          <w:w w:val="110"/>
        </w:rPr>
        <w:t>一</w:t>
      </w:r>
      <w:r>
        <w:rPr>
          <w:rFonts w:hint="eastAsia" w:ascii="MS UI Gothic" w:eastAsia="MS UI Gothic"/>
          <w:spacing w:val="-13"/>
          <w:w w:val="130"/>
        </w:rPr>
        <w:t xml:space="preserve">) </w:t>
      </w:r>
      <w:r>
        <w:rPr>
          <w:spacing w:val="40"/>
          <w:w w:val="110"/>
        </w:rPr>
        <w:t>预防矿山事故的安全技术</w:t>
      </w:r>
      <w:r>
        <w:rPr>
          <w:spacing w:val="3"/>
          <w:w w:val="110"/>
        </w:rPr>
        <w:t>措施</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21"/>
          <w:w w:val="105"/>
        </w:rPr>
        <w:t xml:space="preserve">( </w:t>
      </w:r>
      <w:r>
        <w:rPr>
          <w:spacing w:val="3"/>
          <w:w w:val="105"/>
        </w:rPr>
        <w:t>二</w:t>
      </w:r>
      <w:r>
        <w:rPr>
          <w:rFonts w:hint="eastAsia" w:ascii="MS UI Gothic" w:eastAsia="MS UI Gothic"/>
          <w:spacing w:val="6"/>
          <w:w w:val="105"/>
        </w:rPr>
        <w:t xml:space="preserve">) </w:t>
      </w:r>
      <w:r>
        <w:rPr>
          <w:spacing w:val="5"/>
          <w:w w:val="105"/>
        </w:rPr>
        <w:t>预防职业危害的劳动卫生技术</w:t>
      </w:r>
      <w:r>
        <w:rPr>
          <w:spacing w:val="3"/>
          <w:w w:val="110"/>
        </w:rPr>
        <w:t>措施</w:t>
      </w:r>
      <w:r>
        <w:rPr>
          <w:rFonts w:hint="eastAsia" w:ascii="MS UI Gothic" w:eastAsia="MS UI Gothic"/>
          <w:w w:val="80"/>
        </w:rPr>
        <w:t>ꎻ</w:t>
      </w:r>
    </w:p>
    <w:p>
      <w:pPr>
        <w:pStyle w:val="6"/>
        <w:spacing w:line="255"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职工的安全培训</w:t>
      </w:r>
      <w:r>
        <w:rPr>
          <w:rFonts w:hint="eastAsia" w:ascii="MS UI Gothic" w:eastAsia="MS UI Gothic"/>
          <w:w w:val="80"/>
        </w:rPr>
        <w:t>ꎻ</w:t>
      </w:r>
    </w:p>
    <w:p>
      <w:pPr>
        <w:pStyle w:val="6"/>
        <w:spacing w:before="31" w:line="295" w:lineRule="auto"/>
        <w:ind w:left="440"/>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改善矿山安全生产条件的其他</w:t>
      </w:r>
      <w:r>
        <w:rPr>
          <w:w w:val="110"/>
        </w:rPr>
        <w:t>技术措施</w:t>
      </w:r>
      <w:r>
        <w:rPr>
          <w:rFonts w:hint="eastAsia" w:ascii="MS UI Gothic" w:eastAsia="MS UI Gothic"/>
          <w:w w:val="80"/>
        </w:rPr>
        <w:t>ꎮ</w:t>
      </w:r>
    </w:p>
    <w:p>
      <w:pPr>
        <w:pStyle w:val="6"/>
        <w:spacing w:before="124" w:line="295" w:lineRule="auto"/>
        <w:ind w:left="377" w:right="126" w:firstLine="425"/>
        <w:rPr>
          <w:rFonts w:hint="eastAsia" w:ascii="MS UI Gothic" w:eastAsia="MS UI Gothic"/>
        </w:rPr>
      </w:pPr>
      <w:r>
        <w:br w:type="column"/>
      </w:r>
      <w:r>
        <w:rPr>
          <w:w w:val="95"/>
        </w:rPr>
        <w:t>前款所需资金</w:t>
      </w:r>
      <w:r>
        <w:rPr>
          <w:rFonts w:hint="eastAsia" w:ascii="MS UI Gothic" w:eastAsia="MS UI Gothic"/>
          <w:w w:val="90"/>
        </w:rPr>
        <w:t xml:space="preserve">ꎬ  </w:t>
      </w:r>
      <w:r>
        <w:rPr>
          <w:w w:val="95"/>
        </w:rPr>
        <w:t xml:space="preserve">由矿山企业按矿山维简费的 </w:t>
      </w:r>
      <w:r>
        <w:rPr>
          <w:rFonts w:hint="eastAsia" w:ascii="MS UI Gothic" w:eastAsia="MS UI Gothic"/>
          <w:w w:val="95"/>
        </w:rPr>
        <w:t>２０</w:t>
      </w:r>
      <w:r>
        <w:rPr>
          <w:w w:val="95"/>
        </w:rPr>
        <w:t>％ 的比例具实列支</w:t>
      </w:r>
      <w:r>
        <w:rPr>
          <w:rFonts w:hint="eastAsia" w:ascii="MS UI Gothic" w:eastAsia="MS UI Gothic"/>
          <w:w w:val="90"/>
        </w:rPr>
        <w:t xml:space="preserve">ꎻ </w:t>
      </w:r>
      <w:r>
        <w:rPr>
          <w:w w:val="95"/>
        </w:rPr>
        <w:t>没有矿山维简费的矿山企业</w:t>
      </w:r>
      <w:r>
        <w:rPr>
          <w:rFonts w:hint="eastAsia" w:ascii="MS UI Gothic" w:eastAsia="MS UI Gothic"/>
          <w:w w:val="90"/>
        </w:rPr>
        <w:t xml:space="preserve">ꎬ </w:t>
      </w:r>
      <w:r>
        <w:rPr>
          <w:w w:val="95"/>
        </w:rPr>
        <w:t>按固定资产折旧费的</w:t>
      </w:r>
      <w:r>
        <w:rPr>
          <w:rFonts w:hint="eastAsia" w:ascii="MS UI Gothic" w:eastAsia="MS UI Gothic"/>
          <w:w w:val="95"/>
        </w:rPr>
        <w:t>２０</w:t>
      </w:r>
      <w:r>
        <w:rPr>
          <w:w w:val="95"/>
        </w:rPr>
        <w:t>％ 的比例具实列支</w:t>
      </w:r>
      <w:r>
        <w:rPr>
          <w:rFonts w:hint="eastAsia" w:ascii="MS UI Gothic" w:eastAsia="MS UI Gothic"/>
          <w:w w:val="90"/>
        </w:rPr>
        <w:t>ꎮ</w:t>
      </w:r>
    </w:p>
    <w:p>
      <w:pPr>
        <w:pStyle w:val="6"/>
        <w:tabs>
          <w:tab w:val="left" w:pos="1092"/>
        </w:tabs>
        <w:spacing w:before="154"/>
        <w:ind w:left="254" w:firstLine="0"/>
        <w:jc w:val="center"/>
      </w:pPr>
      <w:r>
        <w:rPr>
          <w:spacing w:val="3"/>
          <w:w w:val="105"/>
        </w:rPr>
        <w:t>第五</w:t>
      </w:r>
      <w:r>
        <w:rPr>
          <w:w w:val="105"/>
        </w:rPr>
        <w:t>章</w:t>
      </w:r>
      <w:r>
        <w:rPr>
          <w:w w:val="105"/>
        </w:rPr>
        <w:tab/>
      </w:r>
      <w:r>
        <w:rPr>
          <w:spacing w:val="3"/>
          <w:w w:val="105"/>
        </w:rPr>
        <w:t>矿山安全的监督和管</w:t>
      </w:r>
      <w:r>
        <w:rPr>
          <w:w w:val="105"/>
        </w:rPr>
        <w:t>理</w:t>
      </w:r>
    </w:p>
    <w:p>
      <w:pPr>
        <w:pStyle w:val="6"/>
        <w:spacing w:before="215" w:line="295" w:lineRule="auto"/>
        <w:ind w:left="383" w:right="126"/>
        <w:rPr>
          <w:rFonts w:hint="eastAsia" w:ascii="MS UI Gothic" w:eastAsia="MS UI Gothic"/>
        </w:rPr>
      </w:pPr>
      <w:r>
        <w:t>第四十三条 县级以上各级人民政府劳动行政主管部门</w:t>
      </w:r>
      <w:r>
        <w:rPr>
          <w:rFonts w:hint="eastAsia" w:ascii="MS UI Gothic" w:eastAsia="MS UI Gothic"/>
          <w:w w:val="80"/>
        </w:rPr>
        <w:t xml:space="preserve">ꎬ </w:t>
      </w:r>
      <w:r>
        <w:t>应当根据矿山安全监督工作的实际需要</w:t>
      </w:r>
      <w:r>
        <w:rPr>
          <w:rFonts w:hint="eastAsia" w:ascii="MS UI Gothic" w:eastAsia="MS UI Gothic"/>
          <w:w w:val="80"/>
        </w:rPr>
        <w:t xml:space="preserve">ꎬ </w:t>
      </w:r>
      <w:r>
        <w:t>配备矿山安全监督人员</w:t>
      </w:r>
      <w:r>
        <w:rPr>
          <w:rFonts w:hint="eastAsia" w:ascii="MS UI Gothic" w:eastAsia="MS UI Gothic"/>
          <w:w w:val="80"/>
        </w:rPr>
        <w:t>ꎮ</w:t>
      </w:r>
    </w:p>
    <w:p>
      <w:pPr>
        <w:pStyle w:val="6"/>
        <w:spacing w:line="295" w:lineRule="auto"/>
        <w:ind w:left="383" w:right="126"/>
        <w:rPr>
          <w:rFonts w:hint="eastAsia" w:ascii="MS UI Gothic" w:eastAsia="MS UI Gothic"/>
        </w:rPr>
      </w:pPr>
      <w:r>
        <w:t>矿山安全监督人员必须熟悉矿山安全技术知识</w:t>
      </w:r>
      <w:r>
        <w:rPr>
          <w:rFonts w:hint="eastAsia" w:ascii="MS UI Gothic" w:eastAsia="MS UI Gothic"/>
          <w:w w:val="80"/>
        </w:rPr>
        <w:t xml:space="preserve">ꎬ </w:t>
      </w:r>
      <w:r>
        <w:t>具有矿山安全工作经验</w:t>
      </w:r>
      <w:r>
        <w:rPr>
          <w:rFonts w:hint="eastAsia" w:ascii="MS UI Gothic" w:eastAsia="MS UI Gothic"/>
          <w:w w:val="80"/>
        </w:rPr>
        <w:t xml:space="preserve">ꎬ </w:t>
      </w:r>
      <w:r>
        <w:t>能胜任矿山安全检查工作</w:t>
      </w:r>
      <w:r>
        <w:rPr>
          <w:rFonts w:hint="eastAsia" w:ascii="MS UI Gothic" w:eastAsia="MS UI Gothic"/>
          <w:w w:val="80"/>
        </w:rPr>
        <w:t>ꎮ</w:t>
      </w:r>
    </w:p>
    <w:p>
      <w:pPr>
        <w:pStyle w:val="6"/>
        <w:spacing w:line="295" w:lineRule="auto"/>
        <w:ind w:left="383" w:right="126"/>
        <w:jc w:val="left"/>
        <w:rPr>
          <w:rFonts w:hint="eastAsia" w:ascii="MS UI Gothic" w:eastAsia="MS UI Gothic"/>
        </w:rPr>
      </w:pPr>
      <w:r>
        <w:t>矿山安全监督证件和专用标志由国务</w:t>
      </w:r>
      <w:r>
        <w:rPr>
          <w:w w:val="105"/>
        </w:rPr>
        <w:t>院劳动行政主管部门统一制作</w:t>
      </w:r>
      <w:r>
        <w:rPr>
          <w:rFonts w:hint="eastAsia" w:ascii="MS UI Gothic" w:eastAsia="MS UI Gothic"/>
          <w:w w:val="80"/>
        </w:rPr>
        <w:t>ꎮ</w:t>
      </w:r>
    </w:p>
    <w:p>
      <w:pPr>
        <w:pStyle w:val="6"/>
        <w:spacing w:line="295" w:lineRule="auto"/>
        <w:ind w:left="383" w:right="126"/>
        <w:rPr>
          <w:rFonts w:hint="eastAsia" w:ascii="MS UI Gothic" w:eastAsia="MS UI Gothic"/>
        </w:rPr>
      </w:pPr>
      <w:r>
        <w:t>第四十四条 矿山安全监督人员在执行职务时</w:t>
      </w:r>
      <w:r>
        <w:rPr>
          <w:rFonts w:hint="eastAsia" w:ascii="MS UI Gothic" w:eastAsia="MS UI Gothic"/>
          <w:w w:val="80"/>
        </w:rPr>
        <w:t xml:space="preserve">ꎬ </w:t>
      </w:r>
      <w:r>
        <w:t>有权进入现场检查</w:t>
      </w:r>
      <w:r>
        <w:rPr>
          <w:rFonts w:hint="eastAsia" w:ascii="MS UI Gothic" w:eastAsia="MS UI Gothic"/>
          <w:w w:val="80"/>
        </w:rPr>
        <w:t xml:space="preserve">ꎬ </w:t>
      </w:r>
      <w:r>
        <w:t>参加有关会议</w:t>
      </w:r>
      <w:r>
        <w:rPr>
          <w:rFonts w:hint="eastAsia" w:ascii="MS UI Gothic" w:eastAsia="MS UI Gothic"/>
          <w:w w:val="80"/>
        </w:rPr>
        <w:t xml:space="preserve">ꎬ </w:t>
      </w:r>
      <w:r>
        <w:t>无偿调阅有关资料</w:t>
      </w:r>
      <w:r>
        <w:rPr>
          <w:rFonts w:hint="eastAsia" w:ascii="MS UI Gothic" w:eastAsia="MS UI Gothic"/>
          <w:w w:val="80"/>
        </w:rPr>
        <w:t xml:space="preserve">ꎬ </w:t>
      </w:r>
      <w:r>
        <w:t>向有关单位和人员了解情况</w:t>
      </w:r>
      <w:r>
        <w:rPr>
          <w:rFonts w:hint="eastAsia" w:ascii="MS UI Gothic" w:eastAsia="MS UI Gothic"/>
          <w:w w:val="80"/>
        </w:rPr>
        <w:t>ꎮ</w:t>
      </w:r>
    </w:p>
    <w:p>
      <w:pPr>
        <w:pStyle w:val="6"/>
        <w:spacing w:line="295" w:lineRule="auto"/>
        <w:ind w:left="383" w:right="126"/>
        <w:rPr>
          <w:rFonts w:hint="eastAsia" w:ascii="MS UI Gothic" w:eastAsia="MS UI Gothic"/>
        </w:rPr>
      </w:pPr>
      <w:r>
        <w:t>矿山安全监督人员进入现场检查</w:t>
      </w:r>
      <w:r>
        <w:rPr>
          <w:rFonts w:hint="eastAsia" w:ascii="MS UI Gothic" w:eastAsia="MS UI Gothic"/>
          <w:w w:val="80"/>
        </w:rPr>
        <w:t xml:space="preserve">ꎬ </w:t>
      </w:r>
      <w:r>
        <w:t>发现有危及职工安全健康的情况时</w:t>
      </w:r>
      <w:r>
        <w:rPr>
          <w:rFonts w:hint="eastAsia" w:ascii="MS UI Gothic" w:eastAsia="MS UI Gothic"/>
          <w:w w:val="80"/>
        </w:rPr>
        <w:t xml:space="preserve">ꎬ </w:t>
      </w:r>
      <w:r>
        <w:t>有权要求矿山企业立即改正或者限期解决</w:t>
      </w:r>
      <w:r>
        <w:rPr>
          <w:rFonts w:hint="eastAsia" w:ascii="MS UI Gothic" w:eastAsia="MS UI Gothic"/>
          <w:w w:val="80"/>
        </w:rPr>
        <w:t xml:space="preserve">ꎻ </w:t>
      </w:r>
      <w:r>
        <w:t>情况紧急时</w:t>
      </w:r>
      <w:r>
        <w:rPr>
          <w:rFonts w:hint="eastAsia" w:ascii="MS UI Gothic" w:eastAsia="MS UI Gothic"/>
          <w:w w:val="80"/>
        </w:rPr>
        <w:t xml:space="preserve">ꎬ </w:t>
      </w:r>
      <w:r>
        <w:t>有权要求矿山企业立即停止作业</w:t>
      </w:r>
      <w:r>
        <w:rPr>
          <w:rFonts w:hint="eastAsia" w:ascii="MS UI Gothic" w:eastAsia="MS UI Gothic"/>
          <w:w w:val="80"/>
        </w:rPr>
        <w:t xml:space="preserve">ꎬ </w:t>
      </w:r>
      <w:r>
        <w:t>从危险区内撤出作业人员</w:t>
      </w:r>
      <w:r>
        <w:rPr>
          <w:rFonts w:hint="eastAsia" w:ascii="MS UI Gothic" w:eastAsia="MS UI Gothic"/>
          <w:w w:val="80"/>
        </w:rPr>
        <w:t>ꎮ</w:t>
      </w:r>
    </w:p>
    <w:p>
      <w:pPr>
        <w:pStyle w:val="6"/>
        <w:spacing w:line="295" w:lineRule="auto"/>
        <w:ind w:left="383" w:right="126"/>
        <w:rPr>
          <w:rFonts w:hint="eastAsia" w:ascii="MS UI Gothic" w:eastAsia="MS UI Gothic"/>
        </w:rPr>
      </w:pPr>
      <w:r>
        <w:t>劳动行政主管部门可以委托检测机构对矿山作业场所和危险性较大的在用设</w:t>
      </w:r>
      <w:r>
        <w:rPr>
          <w:w w:val="105"/>
        </w:rPr>
        <w:t>备</w:t>
      </w:r>
      <w:r>
        <w:rPr>
          <w:rFonts w:hint="eastAsia" w:ascii="MS UI Gothic" w:eastAsia="MS UI Gothic"/>
          <w:w w:val="80"/>
        </w:rPr>
        <w:t xml:space="preserve">、 </w:t>
      </w:r>
      <w:r>
        <w:rPr>
          <w:w w:val="105"/>
        </w:rPr>
        <w:t>仪器</w:t>
      </w:r>
      <w:r>
        <w:rPr>
          <w:rFonts w:hint="eastAsia" w:ascii="MS UI Gothic" w:eastAsia="MS UI Gothic"/>
          <w:w w:val="80"/>
        </w:rPr>
        <w:t xml:space="preserve">、 </w:t>
      </w:r>
      <w:r>
        <w:rPr>
          <w:w w:val="105"/>
        </w:rPr>
        <w:t>器材进行抽检</w:t>
      </w:r>
      <w:r>
        <w:rPr>
          <w:rFonts w:hint="eastAsia" w:ascii="MS UI Gothic" w:eastAsia="MS UI Gothic"/>
          <w:w w:val="80"/>
        </w:rPr>
        <w:t>ꎮ</w:t>
      </w:r>
    </w:p>
    <w:p>
      <w:pPr>
        <w:pStyle w:val="6"/>
        <w:spacing w:line="295" w:lineRule="auto"/>
        <w:ind w:left="383" w:right="126"/>
        <w:rPr>
          <w:rFonts w:hint="eastAsia" w:ascii="MS UI Gothic" w:hAnsi="MS UI Gothic" w:eastAsia="MS UI Gothic"/>
        </w:rPr>
      </w:pPr>
      <w:r>
        <w:t xml:space="preserve">劳动行政主管部门对检查中发现的违反 </w:t>
      </w:r>
      <w:r>
        <w:rPr>
          <w:rFonts w:hint="eastAsia" w:ascii="MS UI Gothic" w:hAnsi="MS UI Gothic" w:eastAsia="MS UI Gothic"/>
          <w:w w:val="80"/>
        </w:rPr>
        <w:t xml:space="preserve">« </w:t>
      </w:r>
      <w:r>
        <w:t>矿山安全法</w:t>
      </w:r>
      <w:r>
        <w:rPr>
          <w:rFonts w:hint="eastAsia" w:ascii="MS UI Gothic" w:hAnsi="MS UI Gothic" w:eastAsia="MS UI Gothic"/>
          <w:w w:val="80"/>
        </w:rPr>
        <w:t xml:space="preserve">» </w:t>
      </w:r>
      <w:r>
        <w:t>和本条例以及其他法律</w:t>
      </w:r>
      <w:r>
        <w:rPr>
          <w:rFonts w:hint="eastAsia" w:ascii="MS UI Gothic" w:hAnsi="MS UI Gothic" w:eastAsia="MS UI Gothic"/>
          <w:w w:val="80"/>
        </w:rPr>
        <w:t xml:space="preserve">、 </w:t>
      </w:r>
      <w:r>
        <w:t>法规有关矿山安全的规定的情况</w:t>
      </w:r>
      <w:r>
        <w:rPr>
          <w:rFonts w:hint="eastAsia" w:ascii="MS UI Gothic" w:hAnsi="MS UI Gothic" w:eastAsia="MS UI Gothic"/>
          <w:w w:val="80"/>
        </w:rPr>
        <w:t xml:space="preserve">ꎬ </w:t>
      </w:r>
      <w:r>
        <w:t>应当依法提出处理意见</w:t>
      </w:r>
      <w:r>
        <w:rPr>
          <w:rFonts w:hint="eastAsia" w:ascii="MS UI Gothic" w:hAnsi="MS UI Gothic" w:eastAsia="MS UI Gothic"/>
          <w:w w:val="80"/>
        </w:rPr>
        <w:t>ꎮ</w:t>
      </w:r>
    </w:p>
    <w:p>
      <w:pPr>
        <w:pStyle w:val="6"/>
        <w:spacing w:line="295" w:lineRule="auto"/>
        <w:ind w:left="383" w:right="126"/>
        <w:rPr>
          <w:rFonts w:hint="eastAsia" w:ascii="MS UI Gothic" w:eastAsia="MS UI Gothic"/>
        </w:rPr>
      </w:pPr>
      <w:r>
        <w:t>第四十五条 矿山安全监督人员执行公务时</w:t>
      </w:r>
      <w:r>
        <w:rPr>
          <w:rFonts w:hint="eastAsia" w:ascii="MS UI Gothic" w:eastAsia="MS UI Gothic"/>
          <w:w w:val="80"/>
        </w:rPr>
        <w:t xml:space="preserve">ꎬ </w:t>
      </w:r>
      <w:r>
        <w:t>应当出示矿山安全监督证件</w:t>
      </w:r>
      <w:r>
        <w:rPr>
          <w:rFonts w:hint="eastAsia" w:ascii="MS UI Gothic" w:eastAsia="MS UI Gothic"/>
          <w:w w:val="80"/>
        </w:rPr>
        <w:t xml:space="preserve">ꎬ </w:t>
      </w:r>
      <w:r>
        <w:t>秉公执法</w:t>
      </w:r>
      <w:r>
        <w:rPr>
          <w:rFonts w:hint="eastAsia" w:ascii="MS UI Gothic" w:eastAsia="MS UI Gothic"/>
          <w:w w:val="80"/>
        </w:rPr>
        <w:t xml:space="preserve">ꎬ </w:t>
      </w:r>
      <w:r>
        <w:t>并遵守有关规定</w:t>
      </w:r>
      <w:r>
        <w:rPr>
          <w:rFonts w:hint="eastAsia" w:ascii="MS UI Gothic" w:eastAsia="MS UI Gothic"/>
          <w:w w:val="80"/>
        </w:rPr>
        <w:t>ꎮ</w:t>
      </w:r>
    </w:p>
    <w:p>
      <w:pPr>
        <w:pStyle w:val="6"/>
        <w:tabs>
          <w:tab w:val="left" w:pos="1092"/>
        </w:tabs>
        <w:spacing w:before="135"/>
        <w:ind w:left="254" w:firstLine="0"/>
        <w:jc w:val="center"/>
      </w:pPr>
      <w:r>
        <w:rPr>
          <w:spacing w:val="3"/>
          <w:w w:val="105"/>
        </w:rPr>
        <w:t>第六</w:t>
      </w:r>
      <w:r>
        <w:rPr>
          <w:w w:val="105"/>
        </w:rPr>
        <w:t>章</w:t>
      </w:r>
      <w:r>
        <w:rPr>
          <w:w w:val="105"/>
        </w:rPr>
        <w:tab/>
      </w:r>
      <w:r>
        <w:rPr>
          <w:spacing w:val="3"/>
          <w:w w:val="105"/>
        </w:rPr>
        <w:t>矿山事故处</w:t>
      </w:r>
      <w:r>
        <w:rPr>
          <w:w w:val="105"/>
        </w:rPr>
        <w:t>理</w:t>
      </w:r>
    </w:p>
    <w:p>
      <w:pPr>
        <w:pStyle w:val="6"/>
        <w:spacing w:before="216" w:line="295" w:lineRule="auto"/>
        <w:ind w:left="383" w:right="126"/>
      </w:pPr>
      <w:r>
        <w:rPr>
          <w:w w:val="105"/>
        </w:rPr>
        <w:t>第四十六条 矿山发生事故后</w:t>
      </w:r>
      <w:r>
        <w:rPr>
          <w:rFonts w:hint="eastAsia" w:ascii="MS UI Gothic" w:eastAsia="MS UI Gothic"/>
          <w:w w:val="80"/>
        </w:rPr>
        <w:t xml:space="preserve">ꎬ </w:t>
      </w:r>
      <w:r>
        <w:rPr>
          <w:w w:val="105"/>
        </w:rPr>
        <w:t>事故</w:t>
      </w:r>
      <w:r>
        <w:t>现场有关人员应当立即报告矿长或者有关主管人员</w:t>
      </w:r>
      <w:r>
        <w:rPr>
          <w:rFonts w:hint="eastAsia" w:ascii="MS UI Gothic" w:eastAsia="MS UI Gothic"/>
          <w:w w:val="80"/>
        </w:rPr>
        <w:t xml:space="preserve">ꎻ </w:t>
      </w:r>
      <w:r>
        <w:t>矿长或者有关主管人员接到事</w:t>
      </w:r>
    </w:p>
    <w:p>
      <w:pPr>
        <w:spacing w:after="0" w:line="295" w:lineRule="auto"/>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３９６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86" o:spid="_x0000_s2186" o:spt="203" style="height:2.15pt;width:398.25pt;" coordsize="7965,43">
            <o:lock v:ext="edit"/>
            <v:line id="_x0000_s2187" o:spid="_x0000_s2187" o:spt="20" style="position:absolute;left:0;top:39;height:0;width:7965;" stroked="t" coordsize="21600,21600">
              <v:path arrowok="t"/>
              <v:fill focussize="0,0"/>
              <v:stroke weight="0.388031496062992pt" color="#231F20"/>
              <v:imagedata o:title=""/>
              <o:lock v:ext="edit"/>
            </v:line>
            <v:line id="_x0000_s2188" o:spid="_x0000_s218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故报告后</w:t>
      </w:r>
      <w:r>
        <w:rPr>
          <w:rFonts w:hint="eastAsia" w:ascii="MS UI Gothic" w:eastAsia="MS UI Gothic"/>
          <w:w w:val="80"/>
        </w:rPr>
        <w:t xml:space="preserve">ꎬ </w:t>
      </w:r>
      <w:r>
        <w:t>必须立即采取有效措施</w:t>
      </w:r>
      <w:r>
        <w:rPr>
          <w:rFonts w:hint="eastAsia" w:ascii="MS UI Gothic" w:eastAsia="MS UI Gothic"/>
          <w:w w:val="80"/>
        </w:rPr>
        <w:t xml:space="preserve">ꎬ </w:t>
      </w:r>
      <w:r>
        <w:t>组织抢救</w:t>
      </w:r>
      <w:r>
        <w:rPr>
          <w:rFonts w:hint="eastAsia" w:ascii="MS UI Gothic" w:eastAsia="MS UI Gothic"/>
          <w:w w:val="80"/>
        </w:rPr>
        <w:t xml:space="preserve">ꎬ </w:t>
      </w:r>
      <w:r>
        <w:t>防止事故扩大</w:t>
      </w:r>
      <w:r>
        <w:rPr>
          <w:rFonts w:hint="eastAsia" w:ascii="MS UI Gothic" w:eastAsia="MS UI Gothic"/>
          <w:w w:val="80"/>
        </w:rPr>
        <w:t xml:space="preserve">ꎬ </w:t>
      </w:r>
      <w:r>
        <w:t>尽力减少人员伤亡和财产损失</w:t>
      </w:r>
      <w:r>
        <w:rPr>
          <w:rFonts w:hint="eastAsia" w:ascii="MS UI Gothic" w:eastAsia="MS UI Gothic"/>
          <w:w w:val="80"/>
        </w:rPr>
        <w:t>ꎮ</w:t>
      </w:r>
    </w:p>
    <w:p>
      <w:pPr>
        <w:pStyle w:val="6"/>
        <w:spacing w:line="295" w:lineRule="auto"/>
        <w:ind w:right="39"/>
        <w:rPr>
          <w:rFonts w:hint="eastAsia" w:ascii="MS UI Gothic" w:eastAsia="MS UI Gothic"/>
        </w:rPr>
      </w:pPr>
      <w:r>
        <w:rPr>
          <w:spacing w:val="3"/>
        </w:rPr>
        <w:t>第四十七条 矿山发生重伤</w:t>
      </w:r>
      <w:r>
        <w:rPr>
          <w:rFonts w:hint="eastAsia" w:ascii="MS UI Gothic" w:eastAsia="MS UI Gothic"/>
        </w:rPr>
        <w:t xml:space="preserve">、  </w:t>
      </w:r>
      <w:r>
        <w:rPr>
          <w:spacing w:val="2"/>
        </w:rPr>
        <w:t>死亡事故后</w:t>
      </w:r>
      <w:r>
        <w:rPr>
          <w:rFonts w:hint="eastAsia" w:ascii="MS UI Gothic" w:eastAsia="MS UI Gothic"/>
          <w:spacing w:val="25"/>
          <w:w w:val="85"/>
        </w:rPr>
        <w:t xml:space="preserve">ꎬ </w:t>
      </w:r>
      <w:r>
        <w:t xml:space="preserve">矿山企业应当在 </w:t>
      </w:r>
      <w:r>
        <w:rPr>
          <w:rFonts w:hint="eastAsia" w:ascii="MS UI Gothic" w:eastAsia="MS UI Gothic"/>
          <w:spacing w:val="5"/>
          <w:w w:val="85"/>
        </w:rPr>
        <w:t xml:space="preserve">２４ </w:t>
      </w:r>
      <w:r>
        <w:rPr>
          <w:spacing w:val="10"/>
        </w:rPr>
        <w:t>小时内如实向</w:t>
      </w:r>
      <w:r>
        <w:rPr>
          <w:spacing w:val="2"/>
        </w:rPr>
        <w:t>劳动行政主管部门和管理矿山企业的主管</w:t>
      </w:r>
      <w:r>
        <w:rPr>
          <w:spacing w:val="3"/>
        </w:rPr>
        <w:t>部门报告</w:t>
      </w:r>
      <w:r>
        <w:rPr>
          <w:rFonts w:hint="eastAsia" w:ascii="MS UI Gothic" w:eastAsia="MS UI Gothic"/>
          <w:w w:val="85"/>
        </w:rPr>
        <w:t>ꎮ</w:t>
      </w:r>
    </w:p>
    <w:p>
      <w:pPr>
        <w:pStyle w:val="6"/>
        <w:spacing w:line="295" w:lineRule="auto"/>
        <w:ind w:right="39"/>
        <w:rPr>
          <w:rFonts w:hint="eastAsia" w:ascii="MS UI Gothic" w:eastAsia="MS UI Gothic"/>
        </w:rPr>
      </w:pPr>
      <w:r>
        <w:rPr>
          <w:spacing w:val="2"/>
          <w:w w:val="105"/>
        </w:rPr>
        <w:t>第四十八条 劳动行政主管部门和管</w:t>
      </w:r>
      <w:r>
        <w:rPr>
          <w:spacing w:val="2"/>
        </w:rPr>
        <w:t>理矿山企业的主管部门接到死亡事故或者</w:t>
      </w:r>
      <w:r>
        <w:rPr>
          <w:spacing w:val="-16"/>
          <w:w w:val="105"/>
        </w:rPr>
        <w:t xml:space="preserve">口次重伤 </w:t>
      </w:r>
      <w:r>
        <w:rPr>
          <w:rFonts w:hint="eastAsia" w:ascii="MS UI Gothic" w:eastAsia="MS UI Gothic"/>
          <w:spacing w:val="-12"/>
          <w:w w:val="80"/>
        </w:rPr>
        <w:t xml:space="preserve">３ </w:t>
      </w:r>
      <w:r>
        <w:rPr>
          <w:spacing w:val="3"/>
          <w:w w:val="105"/>
        </w:rPr>
        <w:t>人以上的事故报告后</w:t>
      </w:r>
      <w:r>
        <w:rPr>
          <w:rFonts w:hint="eastAsia" w:ascii="MS UI Gothic" w:eastAsia="MS UI Gothic"/>
          <w:spacing w:val="-2"/>
          <w:w w:val="80"/>
        </w:rPr>
        <w:t xml:space="preserve">ꎬ </w:t>
      </w:r>
      <w:r>
        <w:rPr>
          <w:spacing w:val="3"/>
          <w:w w:val="105"/>
        </w:rPr>
        <w:t>应当立</w:t>
      </w:r>
      <w:r>
        <w:rPr>
          <w:spacing w:val="3"/>
        </w:rPr>
        <w:t>即报告本级人民政府</w:t>
      </w:r>
      <w:r>
        <w:rPr>
          <w:rFonts w:hint="eastAsia" w:ascii="MS UI Gothic" w:eastAsia="MS UI Gothic"/>
          <w:spacing w:val="21"/>
          <w:w w:val="80"/>
        </w:rPr>
        <w:t xml:space="preserve">ꎬ </w:t>
      </w:r>
      <w:r>
        <w:rPr>
          <w:spacing w:val="2"/>
        </w:rPr>
        <w:t>并报各自的上一级</w:t>
      </w:r>
      <w:r>
        <w:rPr>
          <w:spacing w:val="3"/>
          <w:w w:val="105"/>
        </w:rPr>
        <w:t>主管部门</w:t>
      </w:r>
      <w:r>
        <w:rPr>
          <w:rFonts w:hint="eastAsia" w:ascii="MS UI Gothic" w:eastAsia="MS UI Gothic"/>
          <w:w w:val="80"/>
        </w:rPr>
        <w:t>ꎮ</w:t>
      </w:r>
    </w:p>
    <w:p>
      <w:pPr>
        <w:pStyle w:val="6"/>
        <w:spacing w:line="295" w:lineRule="auto"/>
        <w:ind w:right="38"/>
        <w:rPr>
          <w:rFonts w:hint="eastAsia" w:ascii="MS UI Gothic" w:eastAsia="MS UI Gothic"/>
        </w:rPr>
      </w:pPr>
      <w:r>
        <w:rPr>
          <w:spacing w:val="3"/>
        </w:rPr>
        <w:t>第四十九条 发生伤亡事故</w:t>
      </w:r>
      <w:r>
        <w:rPr>
          <w:rFonts w:hint="eastAsia" w:ascii="MS UI Gothic" w:eastAsia="MS UI Gothic"/>
          <w:spacing w:val="8"/>
          <w:w w:val="80"/>
        </w:rPr>
        <w:t xml:space="preserve">ꎬ </w:t>
      </w:r>
      <w:r>
        <w:rPr>
          <w:spacing w:val="2"/>
        </w:rPr>
        <w:t>矿山企</w:t>
      </w:r>
      <w:r>
        <w:rPr>
          <w:spacing w:val="3"/>
        </w:rPr>
        <w:t>业和有关单位应当保护事故现场</w:t>
      </w:r>
      <w:r>
        <w:rPr>
          <w:rFonts w:hint="eastAsia" w:ascii="MS UI Gothic" w:eastAsia="MS UI Gothic"/>
          <w:spacing w:val="21"/>
          <w:w w:val="80"/>
        </w:rPr>
        <w:t xml:space="preserve">ꎻ </w:t>
      </w:r>
      <w:r>
        <w:rPr>
          <w:spacing w:val="1"/>
        </w:rPr>
        <w:t>因抢救</w:t>
      </w:r>
      <w:r>
        <w:rPr>
          <w:spacing w:val="3"/>
        </w:rPr>
        <w:t>事故</w:t>
      </w:r>
      <w:r>
        <w:rPr>
          <w:rFonts w:hint="eastAsia" w:ascii="MS UI Gothic" w:eastAsia="MS UI Gothic"/>
          <w:spacing w:val="23"/>
          <w:w w:val="80"/>
        </w:rPr>
        <w:t xml:space="preserve">ꎬ </w:t>
      </w:r>
      <w:r>
        <w:rPr>
          <w:spacing w:val="3"/>
        </w:rPr>
        <w:t>需要移动现场部分物品时</w:t>
      </w:r>
      <w:r>
        <w:rPr>
          <w:rFonts w:hint="eastAsia" w:ascii="MS UI Gothic" w:eastAsia="MS UI Gothic"/>
          <w:spacing w:val="23"/>
          <w:w w:val="80"/>
        </w:rPr>
        <w:t xml:space="preserve">ꎬ </w:t>
      </w:r>
      <w:r>
        <w:rPr>
          <w:spacing w:val="2"/>
        </w:rPr>
        <w:t>必须作</w:t>
      </w:r>
      <w:r>
        <w:rPr>
          <w:spacing w:val="3"/>
        </w:rPr>
        <w:t>出标志</w:t>
      </w:r>
      <w:r>
        <w:rPr>
          <w:rFonts w:hint="eastAsia" w:ascii="MS UI Gothic" w:eastAsia="MS UI Gothic"/>
          <w:spacing w:val="9"/>
          <w:w w:val="80"/>
        </w:rPr>
        <w:t xml:space="preserve">ꎬ </w:t>
      </w:r>
      <w:r>
        <w:rPr>
          <w:spacing w:val="9"/>
        </w:rPr>
        <w:t>绘制事故现场图</w:t>
      </w:r>
      <w:r>
        <w:rPr>
          <w:rFonts w:hint="eastAsia" w:ascii="MS UI Gothic" w:eastAsia="MS UI Gothic"/>
          <w:spacing w:val="12"/>
          <w:w w:val="80"/>
        </w:rPr>
        <w:t xml:space="preserve">ꎬ </w:t>
      </w:r>
      <w:r>
        <w:rPr>
          <w:spacing w:val="12"/>
        </w:rPr>
        <w:t>并详细记录</w:t>
      </w:r>
      <w:r>
        <w:rPr>
          <w:rFonts w:hint="eastAsia" w:ascii="MS UI Gothic" w:eastAsia="MS UI Gothic"/>
          <w:w w:val="80"/>
        </w:rPr>
        <w:t>ꎻ</w:t>
      </w:r>
      <w:r>
        <w:rPr>
          <w:spacing w:val="3"/>
        </w:rPr>
        <w:t>在消除现场危险</w:t>
      </w:r>
      <w:r>
        <w:rPr>
          <w:rFonts w:hint="eastAsia" w:ascii="MS UI Gothic" w:eastAsia="MS UI Gothic"/>
          <w:spacing w:val="23"/>
          <w:w w:val="80"/>
        </w:rPr>
        <w:t xml:space="preserve">ꎬ </w:t>
      </w:r>
      <w:r>
        <w:rPr>
          <w:spacing w:val="3"/>
        </w:rPr>
        <w:t>采取防范措施后</w:t>
      </w:r>
      <w:r>
        <w:rPr>
          <w:rFonts w:hint="eastAsia" w:ascii="MS UI Gothic" w:eastAsia="MS UI Gothic"/>
          <w:spacing w:val="23"/>
          <w:w w:val="80"/>
        </w:rPr>
        <w:t xml:space="preserve">ꎬ </w:t>
      </w:r>
      <w:r>
        <w:rPr>
          <w:spacing w:val="1"/>
        </w:rPr>
        <w:t>方可</w:t>
      </w:r>
      <w:r>
        <w:rPr>
          <w:spacing w:val="3"/>
        </w:rPr>
        <w:t>恢复生产</w:t>
      </w:r>
      <w:r>
        <w:rPr>
          <w:rFonts w:hint="eastAsia" w:ascii="MS UI Gothic" w:eastAsia="MS UI Gothic"/>
          <w:w w:val="80"/>
        </w:rPr>
        <w:t>ꎮ</w:t>
      </w:r>
    </w:p>
    <w:p>
      <w:pPr>
        <w:pStyle w:val="6"/>
        <w:spacing w:line="295" w:lineRule="auto"/>
        <w:ind w:right="39"/>
        <w:rPr>
          <w:rFonts w:hint="eastAsia" w:ascii="MS UI Gothic" w:eastAsia="MS UI Gothic"/>
        </w:rPr>
      </w:pPr>
      <w:r>
        <w:t>第五十条 矿山事故发生后</w:t>
      </w:r>
      <w:r>
        <w:rPr>
          <w:rFonts w:hint="eastAsia" w:ascii="MS UI Gothic" w:eastAsia="MS UI Gothic"/>
          <w:w w:val="80"/>
        </w:rPr>
        <w:t xml:space="preserve">ꎬ </w:t>
      </w:r>
      <w:r>
        <w:t>有关部门应当按照国家有关规定</w:t>
      </w:r>
      <w:r>
        <w:rPr>
          <w:rFonts w:hint="eastAsia" w:ascii="MS UI Gothic" w:eastAsia="MS UI Gothic"/>
          <w:w w:val="80"/>
        </w:rPr>
        <w:t xml:space="preserve">ꎬ </w:t>
      </w:r>
      <w:r>
        <w:t>进行事故调查处理</w:t>
      </w:r>
      <w:r>
        <w:rPr>
          <w:rFonts w:hint="eastAsia" w:ascii="MS UI Gothic" w:eastAsia="MS UI Gothic"/>
          <w:w w:val="80"/>
        </w:rPr>
        <w:t>ꎮ</w:t>
      </w:r>
    </w:p>
    <w:p>
      <w:pPr>
        <w:pStyle w:val="6"/>
        <w:spacing w:line="295" w:lineRule="auto"/>
        <w:ind w:right="39"/>
        <w:rPr>
          <w:rFonts w:hint="eastAsia" w:ascii="MS UI Gothic" w:eastAsia="MS UI Gothic"/>
        </w:rPr>
      </w:pPr>
      <w:r>
        <w:rPr>
          <w:w w:val="95"/>
        </w:rPr>
        <w:t xml:space="preserve">第五十一条   矿山事故调查处理工作应当自事故发生之日起 </w:t>
      </w:r>
      <w:r>
        <w:rPr>
          <w:rFonts w:hint="eastAsia" w:ascii="MS UI Gothic" w:eastAsia="MS UI Gothic"/>
          <w:w w:val="95"/>
        </w:rPr>
        <w:t xml:space="preserve">９０ </w:t>
      </w:r>
      <w:r>
        <w:rPr>
          <w:w w:val="95"/>
        </w:rPr>
        <w:t>日内结束</w:t>
      </w:r>
      <w:r>
        <w:rPr>
          <w:rFonts w:hint="eastAsia" w:ascii="MS UI Gothic" w:eastAsia="MS UI Gothic"/>
          <w:w w:val="90"/>
        </w:rPr>
        <w:t xml:space="preserve">ꎻ </w:t>
      </w:r>
      <w:r>
        <w:rPr>
          <w:w w:val="95"/>
        </w:rPr>
        <w:t>遇有特殊情况</w:t>
      </w:r>
      <w:r>
        <w:rPr>
          <w:rFonts w:hint="eastAsia" w:ascii="MS UI Gothic" w:eastAsia="MS UI Gothic"/>
          <w:w w:val="90"/>
        </w:rPr>
        <w:t xml:space="preserve">ꎬ </w:t>
      </w:r>
      <w:r>
        <w:rPr>
          <w:w w:val="95"/>
        </w:rPr>
        <w:t>可以适当延长</w:t>
      </w:r>
      <w:r>
        <w:rPr>
          <w:rFonts w:hint="eastAsia" w:ascii="MS UI Gothic" w:eastAsia="MS UI Gothic"/>
          <w:w w:val="90"/>
        </w:rPr>
        <w:t xml:space="preserve">ꎬ </w:t>
      </w:r>
      <w:r>
        <w:rPr>
          <w:w w:val="95"/>
        </w:rPr>
        <w:t xml:space="preserve">但是不得超过 </w:t>
      </w:r>
      <w:r>
        <w:rPr>
          <w:rFonts w:hint="eastAsia" w:ascii="MS UI Gothic" w:eastAsia="MS UI Gothic"/>
          <w:w w:val="95"/>
        </w:rPr>
        <w:t xml:space="preserve">１８０ </w:t>
      </w:r>
      <w:r>
        <w:rPr>
          <w:w w:val="95"/>
        </w:rPr>
        <w:t>日</w:t>
      </w:r>
      <w:r>
        <w:rPr>
          <w:rFonts w:hint="eastAsia" w:ascii="MS UI Gothic" w:eastAsia="MS UI Gothic"/>
          <w:w w:val="90"/>
        </w:rPr>
        <w:t xml:space="preserve">ꎮ </w:t>
      </w:r>
      <w:r>
        <w:rPr>
          <w:w w:val="95"/>
        </w:rPr>
        <w:t>矿山事故处理结案后</w:t>
      </w:r>
      <w:r>
        <w:rPr>
          <w:rFonts w:hint="eastAsia" w:ascii="MS UI Gothic" w:eastAsia="MS UI Gothic"/>
          <w:w w:val="90"/>
        </w:rPr>
        <w:t xml:space="preserve">ꎬ </w:t>
      </w:r>
      <w:r>
        <w:rPr>
          <w:w w:val="95"/>
        </w:rPr>
        <w:t>应当公布处理结果</w:t>
      </w:r>
      <w:r>
        <w:rPr>
          <w:rFonts w:hint="eastAsia" w:ascii="MS UI Gothic" w:eastAsia="MS UI Gothic"/>
          <w:w w:val="90"/>
        </w:rPr>
        <w:t>ꎮ</w:t>
      </w:r>
    </w:p>
    <w:p>
      <w:pPr>
        <w:pStyle w:val="6"/>
        <w:tabs>
          <w:tab w:val="left" w:pos="1906"/>
        </w:tabs>
        <w:spacing w:before="137"/>
        <w:ind w:left="1067" w:firstLine="0"/>
        <w:jc w:val="left"/>
      </w:pPr>
      <w:r>
        <w:rPr>
          <w:spacing w:val="3"/>
          <w:w w:val="105"/>
        </w:rPr>
        <w:t>第七</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right="39"/>
        <w:rPr>
          <w:rFonts w:hint="eastAsia" w:ascii="MS UI Gothic" w:hAnsi="MS UI Gothic" w:eastAsia="MS UI Gothic"/>
        </w:rPr>
      </w:pPr>
      <w:r>
        <w:rPr>
          <w:w w:val="105"/>
        </w:rPr>
        <w:t xml:space="preserve">第五十二条 依照 </w:t>
      </w:r>
      <w:r>
        <w:rPr>
          <w:rFonts w:hint="eastAsia" w:ascii="MS UI Gothic" w:hAnsi="MS UI Gothic" w:eastAsia="MS UI Gothic"/>
          <w:w w:val="80"/>
        </w:rPr>
        <w:t xml:space="preserve">« </w:t>
      </w:r>
      <w:r>
        <w:rPr>
          <w:w w:val="105"/>
        </w:rPr>
        <w:t>矿山安全法</w:t>
      </w:r>
      <w:r>
        <w:rPr>
          <w:rFonts w:hint="eastAsia" w:ascii="MS UI Gothic" w:hAnsi="MS UI Gothic" w:eastAsia="MS UI Gothic"/>
          <w:w w:val="80"/>
        </w:rPr>
        <w:t xml:space="preserve">» </w:t>
      </w:r>
      <w:r>
        <w:t>第四十条规定处以罚款的</w:t>
      </w:r>
      <w:r>
        <w:rPr>
          <w:rFonts w:hint="eastAsia" w:ascii="MS UI Gothic" w:hAnsi="MS UI Gothic" w:eastAsia="MS UI Gothic"/>
          <w:w w:val="80"/>
        </w:rPr>
        <w:t xml:space="preserve">ꎬ </w:t>
      </w:r>
      <w:r>
        <w:t>分别按照下列</w:t>
      </w:r>
      <w:r>
        <w:rPr>
          <w:w w:val="105"/>
        </w:rPr>
        <w:t>规定执行</w:t>
      </w:r>
      <w:r>
        <w:rPr>
          <w:rFonts w:hint="eastAsia" w:ascii="MS UI Gothic" w:hAns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16"/>
          <w:w w:val="150"/>
        </w:rPr>
        <w:t xml:space="preserve">) </w:t>
      </w:r>
      <w:r>
        <w:rPr>
          <w:spacing w:val="28"/>
          <w:w w:val="105"/>
        </w:rPr>
        <w:t>未对职工进行安全教育</w:t>
      </w:r>
      <w:r>
        <w:rPr>
          <w:rFonts w:hint="eastAsia" w:ascii="MS UI Gothic" w:eastAsia="MS UI Gothic"/>
          <w:spacing w:val="7"/>
          <w:w w:val="80"/>
        </w:rPr>
        <w:t xml:space="preserve">、 </w:t>
      </w:r>
      <w:r>
        <w:rPr>
          <w:spacing w:val="-13"/>
          <w:w w:val="105"/>
        </w:rPr>
        <w:t>培</w:t>
      </w:r>
      <w:r>
        <w:rPr>
          <w:spacing w:val="3"/>
          <w:w w:val="105"/>
        </w:rPr>
        <w:t>训</w:t>
      </w:r>
      <w:r>
        <w:rPr>
          <w:rFonts w:hint="eastAsia" w:ascii="MS UI Gothic" w:eastAsia="MS UI Gothic"/>
          <w:spacing w:val="-2"/>
          <w:w w:val="80"/>
        </w:rPr>
        <w:t xml:space="preserve">ꎬ </w:t>
      </w:r>
      <w:r>
        <w:rPr>
          <w:spacing w:val="3"/>
          <w:w w:val="105"/>
        </w:rPr>
        <w:t>分配职工上岗作业的</w:t>
      </w:r>
      <w:r>
        <w:rPr>
          <w:rFonts w:hint="eastAsia" w:ascii="MS UI Gothic" w:eastAsia="MS UI Gothic"/>
          <w:spacing w:val="-1"/>
          <w:w w:val="80"/>
        </w:rPr>
        <w:t xml:space="preserve">ꎬ </w:t>
      </w:r>
      <w:r>
        <w:rPr>
          <w:spacing w:val="-41"/>
          <w:w w:val="105"/>
        </w:rPr>
        <w:t xml:space="preserve">处 </w:t>
      </w:r>
      <w:r>
        <w:rPr>
          <w:rFonts w:hint="eastAsia" w:ascii="MS UI Gothic" w:eastAsia="MS UI Gothic"/>
          <w:spacing w:val="-12"/>
          <w:w w:val="80"/>
        </w:rPr>
        <w:t xml:space="preserve">４ </w:t>
      </w:r>
      <w:r>
        <w:rPr>
          <w:spacing w:val="3"/>
          <w:w w:val="105"/>
        </w:rPr>
        <w:t>万元以下的罚款</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使用不符合国家安全标准或者</w:t>
      </w:r>
      <w:r>
        <w:rPr>
          <w:spacing w:val="3"/>
          <w:w w:val="105"/>
        </w:rPr>
        <w:t>行业安全标准的设备</w:t>
      </w:r>
      <w:r>
        <w:rPr>
          <w:rFonts w:hint="eastAsia" w:ascii="MS UI Gothic" w:eastAsia="MS UI Gothic"/>
          <w:spacing w:val="11"/>
          <w:w w:val="80"/>
        </w:rPr>
        <w:t xml:space="preserve">、 </w:t>
      </w:r>
      <w:r>
        <w:rPr>
          <w:spacing w:val="3"/>
          <w:w w:val="105"/>
        </w:rPr>
        <w:t>器材</w:t>
      </w:r>
      <w:r>
        <w:rPr>
          <w:rFonts w:hint="eastAsia" w:ascii="MS UI Gothic" w:eastAsia="MS UI Gothic"/>
          <w:spacing w:val="11"/>
          <w:w w:val="80"/>
        </w:rPr>
        <w:t xml:space="preserve">、 </w:t>
      </w:r>
      <w:r>
        <w:rPr>
          <w:spacing w:val="2"/>
          <w:w w:val="105"/>
        </w:rPr>
        <w:t>防护用品和</w:t>
      </w:r>
      <w:r>
        <w:rPr>
          <w:spacing w:val="3"/>
          <w:w w:val="105"/>
        </w:rPr>
        <w:t>安全检测仪器的</w:t>
      </w:r>
      <w:r>
        <w:rPr>
          <w:rFonts w:hint="eastAsia" w:ascii="MS UI Gothic" w:eastAsia="MS UI Gothic"/>
          <w:spacing w:val="-1"/>
          <w:w w:val="80"/>
        </w:rPr>
        <w:t xml:space="preserve">ꎬ </w:t>
      </w:r>
      <w:r>
        <w:rPr>
          <w:spacing w:val="-41"/>
          <w:w w:val="105"/>
        </w:rPr>
        <w:t xml:space="preserve">处 </w:t>
      </w:r>
      <w:r>
        <w:rPr>
          <w:rFonts w:hint="eastAsia" w:ascii="MS UI Gothic" w:eastAsia="MS UI Gothic"/>
          <w:spacing w:val="-12"/>
          <w:w w:val="80"/>
        </w:rPr>
        <w:t xml:space="preserve">５ </w:t>
      </w:r>
      <w:r>
        <w:rPr>
          <w:spacing w:val="3"/>
          <w:w w:val="105"/>
        </w:rPr>
        <w:t>万元以下的罚款</w:t>
      </w:r>
      <w:r>
        <w:rPr>
          <w:rFonts w:hint="eastAsia" w:ascii="MS UI Gothic" w:eastAsia="MS UI Gothic"/>
          <w:w w:val="80"/>
        </w:rPr>
        <w:t>ꎻ</w:t>
      </w:r>
    </w:p>
    <w:p>
      <w:pPr>
        <w:pStyle w:val="6"/>
        <w:spacing w:line="295" w:lineRule="auto"/>
        <w:ind w:right="39"/>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未按照规定提取或者使用安全技术措施专项费用的</w:t>
      </w:r>
      <w:r>
        <w:rPr>
          <w:rFonts w:hint="eastAsia" w:ascii="MS UI Gothic" w:eastAsia="MS UI Gothic"/>
          <w:w w:val="80"/>
        </w:rPr>
        <w:t xml:space="preserve">ꎬ </w:t>
      </w:r>
      <w:r>
        <w:rPr>
          <w:w w:val="105"/>
        </w:rPr>
        <w:t xml:space="preserve">处 </w:t>
      </w:r>
      <w:r>
        <w:rPr>
          <w:rFonts w:hint="eastAsia" w:ascii="MS UI Gothic" w:eastAsia="MS UI Gothic"/>
          <w:w w:val="80"/>
        </w:rPr>
        <w:t xml:space="preserve">５ </w:t>
      </w:r>
      <w:r>
        <w:rPr>
          <w:w w:val="105"/>
        </w:rPr>
        <w:t>万元以下的</w:t>
      </w:r>
    </w:p>
    <w:p>
      <w:pPr>
        <w:spacing w:before="123"/>
        <w:ind w:left="130" w:right="0" w:firstLine="0"/>
        <w:jc w:val="left"/>
        <w:rPr>
          <w:rFonts w:hint="eastAsia" w:ascii="MS UI Gothic" w:eastAsia="MS UI Gothic"/>
          <w:sz w:val="20"/>
        </w:rPr>
      </w:pPr>
      <w:r>
        <w:br w:type="column"/>
      </w:r>
      <w:r>
        <w:rPr>
          <w:sz w:val="20"/>
        </w:rPr>
        <w:t>罚款</w:t>
      </w:r>
      <w:r>
        <w:rPr>
          <w:rFonts w:hint="eastAsia" w:ascii="MS UI Gothic" w:eastAsia="MS UI Gothic"/>
          <w:w w:val="80"/>
          <w:sz w:val="20"/>
        </w:rPr>
        <w:t>ꎻ</w:t>
      </w:r>
    </w:p>
    <w:p>
      <w:pPr>
        <w:pStyle w:val="6"/>
        <w:spacing w:before="58" w:line="295" w:lineRule="auto"/>
        <w:ind w:left="130"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拒绝矿山安全监督人员现场检</w:t>
      </w:r>
      <w:r>
        <w:t>查或者在被检查时隐瞒事故隐患</w:t>
      </w:r>
      <w:r>
        <w:rPr>
          <w:rFonts w:hint="eastAsia" w:ascii="MS UI Gothic" w:eastAsia="MS UI Gothic"/>
          <w:w w:val="80"/>
        </w:rPr>
        <w:t xml:space="preserve">ꎬ </w:t>
      </w:r>
      <w:r>
        <w:t>不如实</w:t>
      </w:r>
      <w:r>
        <w:rPr>
          <w:w w:val="105"/>
        </w:rPr>
        <w:t>反映情况的</w:t>
      </w:r>
      <w:r>
        <w:rPr>
          <w:rFonts w:hint="eastAsia" w:ascii="MS UI Gothic" w:eastAsia="MS UI Gothic"/>
          <w:w w:val="80"/>
        </w:rPr>
        <w:t xml:space="preserve">ꎬ </w:t>
      </w:r>
      <w:r>
        <w:rPr>
          <w:w w:val="105"/>
        </w:rPr>
        <w:t xml:space="preserve">处 </w:t>
      </w:r>
      <w:r>
        <w:rPr>
          <w:rFonts w:hint="eastAsia" w:ascii="MS UI Gothic" w:eastAsia="MS UI Gothic"/>
          <w:w w:val="80"/>
        </w:rPr>
        <w:t xml:space="preserve">２ </w:t>
      </w:r>
      <w:r>
        <w:rPr>
          <w:w w:val="105"/>
        </w:rPr>
        <w:t>万元以下的罚款</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spacing w:val="-37"/>
          <w:w w:val="150"/>
        </w:rPr>
        <w:t xml:space="preserve">( </w:t>
      </w:r>
      <w:r>
        <w:rPr>
          <w:spacing w:val="3"/>
          <w:w w:val="105"/>
        </w:rPr>
        <w:t>五</w:t>
      </w:r>
      <w:r>
        <w:rPr>
          <w:rFonts w:hint="eastAsia" w:ascii="MS UI Gothic" w:eastAsia="MS UI Gothic"/>
          <w:spacing w:val="9"/>
          <w:w w:val="150"/>
        </w:rPr>
        <w:t xml:space="preserve">) </w:t>
      </w:r>
      <w:r>
        <w:rPr>
          <w:spacing w:val="5"/>
          <w:w w:val="105"/>
        </w:rPr>
        <w:t>未按照规定及时</w:t>
      </w:r>
      <w:r>
        <w:rPr>
          <w:rFonts w:hint="eastAsia" w:ascii="MS UI Gothic" w:eastAsia="MS UI Gothic"/>
          <w:w w:val="80"/>
        </w:rPr>
        <w:t xml:space="preserve">、 </w:t>
      </w:r>
      <w:r>
        <w:rPr>
          <w:spacing w:val="8"/>
          <w:w w:val="105"/>
        </w:rPr>
        <w:t>如实报告矿</w:t>
      </w:r>
      <w:r>
        <w:rPr>
          <w:spacing w:val="3"/>
          <w:w w:val="105"/>
        </w:rPr>
        <w:t>山事故的</w:t>
      </w:r>
      <w:r>
        <w:rPr>
          <w:rFonts w:hint="eastAsia" w:ascii="MS UI Gothic" w:eastAsia="MS UI Gothic"/>
          <w:spacing w:val="19"/>
          <w:w w:val="80"/>
        </w:rPr>
        <w:t xml:space="preserve">ꎬ </w:t>
      </w:r>
      <w:r>
        <w:rPr>
          <w:spacing w:val="-32"/>
          <w:w w:val="105"/>
        </w:rPr>
        <w:t xml:space="preserve">处 </w:t>
      </w:r>
      <w:r>
        <w:rPr>
          <w:rFonts w:hint="eastAsia" w:ascii="MS UI Gothic" w:eastAsia="MS UI Gothic"/>
          <w:spacing w:val="-1"/>
          <w:w w:val="80"/>
        </w:rPr>
        <w:t xml:space="preserve">３ </w:t>
      </w:r>
      <w:r>
        <w:rPr>
          <w:spacing w:val="3"/>
          <w:w w:val="105"/>
        </w:rPr>
        <w:t>万元以下的罚款</w:t>
      </w:r>
      <w:r>
        <w:rPr>
          <w:rFonts w:hint="eastAsia" w:ascii="MS UI Gothic" w:eastAsia="MS UI Gothic"/>
          <w:w w:val="80"/>
        </w:rPr>
        <w:t>ꎮ</w:t>
      </w:r>
    </w:p>
    <w:p>
      <w:pPr>
        <w:pStyle w:val="6"/>
        <w:spacing w:line="295" w:lineRule="auto"/>
        <w:ind w:right="442" w:firstLine="425"/>
        <w:rPr>
          <w:rFonts w:hint="eastAsia" w:ascii="MS UI Gothic" w:hAnsi="MS UI Gothic" w:eastAsia="MS UI Gothic"/>
        </w:rPr>
      </w:pPr>
      <w:r>
        <w:t xml:space="preserve">第五十三条 依照 </w:t>
      </w:r>
      <w:r>
        <w:rPr>
          <w:rFonts w:hint="eastAsia" w:ascii="MS UI Gothic" w:hAnsi="MS UI Gothic" w:eastAsia="MS UI Gothic"/>
          <w:w w:val="85"/>
        </w:rPr>
        <w:t xml:space="preserve">« </w:t>
      </w:r>
      <w:r>
        <w:t>矿山安全法</w:t>
      </w:r>
      <w:r>
        <w:rPr>
          <w:rFonts w:hint="eastAsia" w:ascii="MS UI Gothic" w:hAnsi="MS UI Gothic" w:eastAsia="MS UI Gothic"/>
          <w:w w:val="85"/>
        </w:rPr>
        <w:t xml:space="preserve">» </w:t>
      </w:r>
      <w:r>
        <w:t>第四十三条规定处以罚款的</w:t>
      </w:r>
      <w:r>
        <w:rPr>
          <w:rFonts w:hint="eastAsia" w:ascii="MS UI Gothic" w:hAnsi="MS UI Gothic" w:eastAsia="MS UI Gothic"/>
          <w:w w:val="85"/>
        </w:rPr>
        <w:t xml:space="preserve">ꎬ </w:t>
      </w:r>
      <w:r>
        <w:t>罚款幅度为</w:t>
      </w:r>
      <w:r>
        <w:rPr>
          <w:rFonts w:hint="eastAsia" w:ascii="MS UI Gothic" w:hAnsi="MS UI Gothic" w:eastAsia="MS UI Gothic"/>
          <w:w w:val="85"/>
        </w:rPr>
        <w:t xml:space="preserve">５ </w:t>
      </w:r>
      <w:r>
        <w:t xml:space="preserve">万元以上 </w:t>
      </w:r>
      <w:r>
        <w:rPr>
          <w:rFonts w:hint="eastAsia" w:ascii="MS UI Gothic" w:hAnsi="MS UI Gothic" w:eastAsia="MS UI Gothic"/>
          <w:w w:val="85"/>
        </w:rPr>
        <w:t xml:space="preserve">１０ </w:t>
      </w:r>
      <w:r>
        <w:t>万元以下</w:t>
      </w:r>
      <w:r>
        <w:rPr>
          <w:rFonts w:hint="eastAsia" w:ascii="MS UI Gothic" w:hAnsi="MS UI Gothic" w:eastAsia="MS UI Gothic"/>
          <w:w w:val="85"/>
        </w:rPr>
        <w:t>ꎮ</w:t>
      </w:r>
    </w:p>
    <w:p>
      <w:pPr>
        <w:pStyle w:val="6"/>
        <w:spacing w:line="295" w:lineRule="auto"/>
        <w:ind w:left="130" w:right="440"/>
        <w:rPr>
          <w:rFonts w:hint="eastAsia" w:ascii="MS UI Gothic" w:eastAsia="MS UI Gothic"/>
        </w:rPr>
      </w:pPr>
      <w:r>
        <w:rPr>
          <w:spacing w:val="3"/>
        </w:rPr>
        <w:t>第五十四条  违反本条例第十五条</w:t>
      </w:r>
      <w:r>
        <w:rPr>
          <w:rFonts w:hint="eastAsia" w:ascii="MS UI Gothic" w:eastAsia="MS UI Gothic"/>
          <w:w w:val="80"/>
        </w:rPr>
        <w:t>、</w:t>
      </w:r>
      <w:r>
        <w:rPr>
          <w:spacing w:val="3"/>
        </w:rPr>
        <w:t>第十六条</w:t>
      </w:r>
      <w:r>
        <w:rPr>
          <w:rFonts w:hint="eastAsia" w:ascii="MS UI Gothic" w:eastAsia="MS UI Gothic"/>
          <w:spacing w:val="15"/>
          <w:w w:val="80"/>
        </w:rPr>
        <w:t xml:space="preserve">、 </w:t>
      </w:r>
      <w:r>
        <w:rPr>
          <w:spacing w:val="3"/>
        </w:rPr>
        <w:t>第十七条</w:t>
      </w:r>
      <w:r>
        <w:rPr>
          <w:rFonts w:hint="eastAsia" w:ascii="MS UI Gothic" w:eastAsia="MS UI Gothic"/>
          <w:spacing w:val="15"/>
          <w:w w:val="80"/>
        </w:rPr>
        <w:t xml:space="preserve">、 </w:t>
      </w:r>
      <w:r>
        <w:rPr>
          <w:spacing w:val="3"/>
        </w:rPr>
        <w:t>第十八条</w:t>
      </w:r>
      <w:r>
        <w:rPr>
          <w:rFonts w:hint="eastAsia" w:ascii="MS UI Gothic" w:eastAsia="MS UI Gothic"/>
          <w:spacing w:val="16"/>
          <w:w w:val="80"/>
        </w:rPr>
        <w:t xml:space="preserve">、 </w:t>
      </w:r>
      <w:r>
        <w:rPr>
          <w:spacing w:val="2"/>
        </w:rPr>
        <w:t>第十九</w:t>
      </w:r>
      <w:r>
        <w:rPr>
          <w:spacing w:val="3"/>
        </w:rPr>
        <w:t>条</w:t>
      </w:r>
      <w:r>
        <w:rPr>
          <w:rFonts w:hint="eastAsia" w:ascii="MS UI Gothic" w:eastAsia="MS UI Gothic"/>
          <w:spacing w:val="14"/>
          <w:w w:val="80"/>
        </w:rPr>
        <w:t xml:space="preserve">、 </w:t>
      </w:r>
      <w:r>
        <w:rPr>
          <w:spacing w:val="13"/>
        </w:rPr>
        <w:t>第二十条</w:t>
      </w:r>
      <w:r>
        <w:rPr>
          <w:rFonts w:hint="eastAsia" w:ascii="MS UI Gothic" w:eastAsia="MS UI Gothic"/>
          <w:spacing w:val="21"/>
          <w:w w:val="80"/>
        </w:rPr>
        <w:t xml:space="preserve">、 </w:t>
      </w:r>
      <w:r>
        <w:rPr>
          <w:spacing w:val="19"/>
        </w:rPr>
        <w:t>第二十一条</w:t>
      </w:r>
      <w:r>
        <w:rPr>
          <w:rFonts w:hint="eastAsia" w:ascii="MS UI Gothic" w:eastAsia="MS UI Gothic"/>
          <w:spacing w:val="22"/>
          <w:w w:val="80"/>
        </w:rPr>
        <w:t xml:space="preserve">、 </w:t>
      </w:r>
      <w:r>
        <w:rPr>
          <w:spacing w:val="18"/>
        </w:rPr>
        <w:t>第二十二</w:t>
      </w:r>
      <w:r>
        <w:rPr>
          <w:spacing w:val="3"/>
        </w:rPr>
        <w:t>条</w:t>
      </w:r>
      <w:r>
        <w:rPr>
          <w:rFonts w:hint="eastAsia" w:ascii="MS UI Gothic" w:eastAsia="MS UI Gothic"/>
          <w:spacing w:val="7"/>
          <w:w w:val="80"/>
        </w:rPr>
        <w:t xml:space="preserve">、 </w:t>
      </w:r>
      <w:r>
        <w:rPr>
          <w:spacing w:val="3"/>
        </w:rPr>
        <w:t>第二十三条</w:t>
      </w:r>
      <w:r>
        <w:rPr>
          <w:rFonts w:hint="eastAsia" w:ascii="MS UI Gothic" w:eastAsia="MS UI Gothic"/>
          <w:spacing w:val="7"/>
          <w:w w:val="80"/>
        </w:rPr>
        <w:t xml:space="preserve">、 </w:t>
      </w:r>
      <w:r>
        <w:rPr>
          <w:spacing w:val="3"/>
        </w:rPr>
        <w:t>第二十五条规定的</w:t>
      </w:r>
      <w:r>
        <w:rPr>
          <w:rFonts w:hint="eastAsia" w:ascii="MS UI Gothic" w:eastAsia="MS UI Gothic"/>
          <w:spacing w:val="7"/>
          <w:w w:val="80"/>
        </w:rPr>
        <w:t xml:space="preserve">ꎬ </w:t>
      </w:r>
      <w:r>
        <w:t>由</w:t>
      </w:r>
      <w:r>
        <w:rPr>
          <w:spacing w:val="1"/>
        </w:rPr>
        <w:t>劳动行政主管部门责令改正</w:t>
      </w:r>
      <w:r>
        <w:rPr>
          <w:rFonts w:hint="eastAsia" w:ascii="MS UI Gothic" w:eastAsia="MS UI Gothic"/>
          <w:spacing w:val="10"/>
          <w:w w:val="80"/>
        </w:rPr>
        <w:t xml:space="preserve">ꎬ </w:t>
      </w:r>
      <w:r>
        <w:rPr>
          <w:spacing w:val="-10"/>
        </w:rPr>
        <w:t xml:space="preserve">可以处 </w:t>
      </w:r>
      <w:r>
        <w:rPr>
          <w:rFonts w:hint="eastAsia" w:ascii="MS UI Gothic" w:eastAsia="MS UI Gothic"/>
          <w:spacing w:val="10"/>
          <w:w w:val="80"/>
        </w:rPr>
        <w:t xml:space="preserve">２ </w:t>
      </w:r>
      <w:r>
        <w:t>万</w:t>
      </w:r>
      <w:r>
        <w:rPr>
          <w:spacing w:val="3"/>
        </w:rPr>
        <w:t>元以下的罚款</w:t>
      </w:r>
      <w:r>
        <w:rPr>
          <w:rFonts w:hint="eastAsia" w:ascii="MS UI Gothic" w:eastAsia="MS UI Gothic"/>
          <w:w w:val="80"/>
        </w:rPr>
        <w:t>ꎮ</w:t>
      </w:r>
    </w:p>
    <w:p>
      <w:pPr>
        <w:pStyle w:val="6"/>
        <w:spacing w:line="295" w:lineRule="auto"/>
        <w:ind w:left="130" w:right="442"/>
        <w:rPr>
          <w:rFonts w:hint="eastAsia" w:ascii="MS UI Gothic" w:hAnsi="MS UI Gothic" w:eastAsia="MS UI Gothic"/>
        </w:rPr>
      </w:pPr>
      <w:r>
        <w:t>第五十五条 当事人收到罚款通知书后</w:t>
      </w:r>
      <w:r>
        <w:rPr>
          <w:rFonts w:hint="eastAsia" w:ascii="MS UI Gothic" w:hAnsi="MS UI Gothic" w:eastAsia="MS UI Gothic"/>
          <w:w w:val="85"/>
        </w:rPr>
        <w:t xml:space="preserve">ꎬ </w:t>
      </w:r>
      <w:r>
        <w:t xml:space="preserve">应当在 </w:t>
      </w:r>
      <w:r>
        <w:rPr>
          <w:rFonts w:hint="eastAsia" w:ascii="MS UI Gothic" w:hAnsi="MS UI Gothic" w:eastAsia="MS UI Gothic"/>
        </w:rPr>
        <w:t xml:space="preserve">１５ </w:t>
      </w:r>
      <w:r>
        <w:t>日内到指定的金融机构缴纳罚款</w:t>
      </w:r>
      <w:r>
        <w:rPr>
          <w:rFonts w:hint="eastAsia" w:ascii="MS UI Gothic" w:hAnsi="MS UI Gothic" w:eastAsia="MS UI Gothic"/>
          <w:w w:val="85"/>
        </w:rPr>
        <w:t xml:space="preserve">ꎻ </w:t>
      </w:r>
      <w:r>
        <w:t>逾期不缴纳的</w:t>
      </w:r>
      <w:r>
        <w:rPr>
          <w:rFonts w:hint="eastAsia" w:ascii="MS UI Gothic" w:hAnsi="MS UI Gothic" w:eastAsia="MS UI Gothic"/>
          <w:w w:val="85"/>
        </w:rPr>
        <w:t xml:space="preserve">ꎬ </w:t>
      </w:r>
      <w:r>
        <w:t xml:space="preserve">自逾期之日起每日加收 </w:t>
      </w:r>
      <w:r>
        <w:rPr>
          <w:rFonts w:hint="eastAsia" w:ascii="MS UI Gothic" w:hAnsi="MS UI Gothic" w:eastAsia="MS UI Gothic"/>
        </w:rPr>
        <w:t>３</w:t>
      </w:r>
      <w:r>
        <w:t>‰的滞纳金</w:t>
      </w:r>
      <w:r>
        <w:rPr>
          <w:rFonts w:hint="eastAsia" w:ascii="MS UI Gothic" w:hAnsi="MS UI Gothic" w:eastAsia="MS UI Gothic"/>
          <w:w w:val="85"/>
        </w:rPr>
        <w:t>ꎮ</w:t>
      </w:r>
    </w:p>
    <w:p>
      <w:pPr>
        <w:pStyle w:val="6"/>
        <w:spacing w:line="295" w:lineRule="auto"/>
        <w:ind w:left="130" w:right="442"/>
        <w:rPr>
          <w:rFonts w:hint="eastAsia" w:ascii="MS UI Gothic" w:eastAsia="MS UI Gothic"/>
        </w:rPr>
      </w:pPr>
      <w:r>
        <w:rPr>
          <w:w w:val="105"/>
        </w:rPr>
        <w:t>第五十六条 矿山企业主管人员有下</w:t>
      </w:r>
      <w:r>
        <w:t>列行为之一</w:t>
      </w:r>
      <w:r>
        <w:rPr>
          <w:rFonts w:hint="eastAsia" w:ascii="MS UI Gothic" w:eastAsia="MS UI Gothic"/>
          <w:w w:val="80"/>
        </w:rPr>
        <w:t xml:space="preserve">ꎬ </w:t>
      </w:r>
      <w:r>
        <w:t>造成矿山事故的</w:t>
      </w:r>
      <w:r>
        <w:rPr>
          <w:rFonts w:hint="eastAsia" w:ascii="MS UI Gothic" w:eastAsia="MS UI Gothic"/>
          <w:w w:val="80"/>
        </w:rPr>
        <w:t xml:space="preserve">ꎬ </w:t>
      </w:r>
      <w:r>
        <w:t>按照规定给予纪律处分</w:t>
      </w:r>
      <w:r>
        <w:rPr>
          <w:rFonts w:hint="eastAsia" w:ascii="MS UI Gothic" w:eastAsia="MS UI Gothic"/>
          <w:w w:val="80"/>
        </w:rPr>
        <w:t xml:space="preserve">ꎻ </w:t>
      </w:r>
      <w:r>
        <w:t>构成犯罪的</w:t>
      </w:r>
      <w:r>
        <w:rPr>
          <w:rFonts w:hint="eastAsia" w:ascii="MS UI Gothic" w:eastAsia="MS UI Gothic"/>
          <w:w w:val="80"/>
        </w:rPr>
        <w:t xml:space="preserve">ꎬ </w:t>
      </w:r>
      <w:r>
        <w:t>由司法机关</w:t>
      </w:r>
      <w:r>
        <w:rPr>
          <w:w w:val="105"/>
        </w:rPr>
        <w:t>依法追究刑事责任</w:t>
      </w:r>
      <w:r>
        <w:rPr>
          <w:rFonts w:hint="eastAsia" w:ascii="MS UI Gothic" w:eastAsia="MS UI Gothic"/>
          <w:w w:val="235"/>
        </w:rPr>
        <w:t>:</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违章指挥</w:t>
      </w:r>
      <w:r>
        <w:rPr>
          <w:rFonts w:hint="eastAsia" w:ascii="MS UI Gothic" w:eastAsia="MS UI Gothic"/>
          <w:w w:val="80"/>
        </w:rPr>
        <w:t xml:space="preserve">、 </w:t>
      </w:r>
      <w:r>
        <w:rPr>
          <w:w w:val="105"/>
        </w:rPr>
        <w:t>强令工人违章</w:t>
      </w:r>
      <w:r>
        <w:rPr>
          <w:rFonts w:hint="eastAsia" w:ascii="MS UI Gothic" w:eastAsia="MS UI Gothic"/>
          <w:w w:val="80"/>
        </w:rPr>
        <w:t xml:space="preserve">、 </w:t>
      </w:r>
      <w:r>
        <w:rPr>
          <w:w w:val="105"/>
        </w:rPr>
        <w:t>冒险作业的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对工人屡次违章作业熟视无睹</w:t>
      </w:r>
      <w:r>
        <w:rPr>
          <w:rFonts w:hint="eastAsia" w:ascii="MS UI Gothic" w:eastAsia="MS UI Gothic"/>
          <w:w w:val="80"/>
        </w:rPr>
        <w:t xml:space="preserve">ꎬ </w:t>
      </w:r>
      <w:r>
        <w:rPr>
          <w:w w:val="105"/>
        </w:rPr>
        <w:t>不加制止的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对重大事故预兆或者已发现的</w:t>
      </w:r>
      <w:r>
        <w:rPr>
          <w:w w:val="110"/>
        </w:rPr>
        <w:t>隐患不及时采取措施的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不执行劳动行政主管部门的监</w:t>
      </w:r>
      <w:r>
        <w:t>督指令或者不采纳有关部门提出的整顿意</w:t>
      </w:r>
      <w:r>
        <w:rPr>
          <w:w w:val="105"/>
        </w:rPr>
        <w:t>见</w:t>
      </w:r>
      <w:r>
        <w:rPr>
          <w:rFonts w:hint="eastAsia" w:ascii="MS UI Gothic" w:eastAsia="MS UI Gothic"/>
          <w:w w:val="80"/>
        </w:rPr>
        <w:t xml:space="preserve">ꎬ </w:t>
      </w:r>
      <w:r>
        <w:rPr>
          <w:w w:val="105"/>
        </w:rPr>
        <w:t>造成严重后果的</w:t>
      </w:r>
      <w:r>
        <w:rPr>
          <w:rFonts w:hint="eastAsia" w:ascii="MS UI Gothic" w:eastAsia="MS UI Gothic"/>
          <w:w w:val="80"/>
        </w:rPr>
        <w:t>ꎮ</w:t>
      </w:r>
    </w:p>
    <w:p>
      <w:pPr>
        <w:pStyle w:val="6"/>
        <w:tabs>
          <w:tab w:val="left" w:pos="2016"/>
          <w:tab w:val="left" w:pos="2645"/>
        </w:tabs>
        <w:spacing w:before="133"/>
        <w:ind w:left="1178" w:firstLine="0"/>
        <w:jc w:val="left"/>
      </w:pPr>
      <w:r>
        <w:rPr>
          <w:spacing w:val="3"/>
          <w:w w:val="105"/>
        </w:rPr>
        <w:t>第八</w:t>
      </w:r>
      <w:r>
        <w:rPr>
          <w:w w:val="105"/>
        </w:rPr>
        <w:t>章</w:t>
      </w:r>
      <w:r>
        <w:rPr>
          <w:w w:val="105"/>
        </w:rPr>
        <w:tab/>
      </w:r>
      <w:r>
        <w:rPr>
          <w:w w:val="105"/>
        </w:rPr>
        <w:t>附</w:t>
      </w:r>
      <w:r>
        <w:rPr>
          <w:w w:val="105"/>
        </w:rPr>
        <w:tab/>
      </w:r>
      <w:r>
        <w:rPr>
          <w:w w:val="105"/>
        </w:rPr>
        <w:t>则</w:t>
      </w:r>
    </w:p>
    <w:p>
      <w:pPr>
        <w:pStyle w:val="6"/>
        <w:spacing w:before="215" w:line="295" w:lineRule="auto"/>
        <w:ind w:left="130" w:right="442"/>
        <w:rPr>
          <w:rFonts w:hint="eastAsia" w:ascii="MS UI Gothic" w:hAnsi="MS UI Gothic" w:eastAsia="MS UI Gothic"/>
        </w:rPr>
      </w:pPr>
      <w:r>
        <w:rPr>
          <w:w w:val="105"/>
        </w:rPr>
        <w:t xml:space="preserve">第五十七条 国务院管理矿山企业的主管部门根据 </w:t>
      </w:r>
      <w:r>
        <w:rPr>
          <w:rFonts w:hint="eastAsia" w:ascii="MS UI Gothic" w:hAnsi="MS UI Gothic" w:eastAsia="MS UI Gothic"/>
          <w:w w:val="80"/>
        </w:rPr>
        <w:t xml:space="preserve">« </w:t>
      </w:r>
      <w:r>
        <w:rPr>
          <w:w w:val="105"/>
        </w:rPr>
        <w:t>矿山安全法</w:t>
      </w:r>
      <w:r>
        <w:rPr>
          <w:rFonts w:hint="eastAsia" w:ascii="MS UI Gothic" w:hAnsi="MS UI Gothic" w:eastAsia="MS UI Gothic"/>
          <w:w w:val="80"/>
        </w:rPr>
        <w:t xml:space="preserve">» </w:t>
      </w:r>
      <w:r>
        <w:rPr>
          <w:w w:val="105"/>
        </w:rPr>
        <w:t>和本条例</w:t>
      </w:r>
      <w:r>
        <w:t>修订或者制定的矿山安全规程和行业技术规范</w:t>
      </w:r>
      <w:r>
        <w:rPr>
          <w:rFonts w:hint="eastAsia" w:ascii="MS UI Gothic" w:hAnsi="MS UI Gothic" w:eastAsia="MS UI Gothic"/>
          <w:w w:val="80"/>
        </w:rPr>
        <w:t xml:space="preserve">ꎬ </w:t>
      </w:r>
      <w:r>
        <w:t>报国务院劳动行政主管部门备案</w:t>
      </w:r>
      <w:r>
        <w:rPr>
          <w:rFonts w:hint="eastAsia" w:ascii="MS UI Gothic" w:hAnsi="MS UI Gothic" w:eastAsia="MS UI Gothic"/>
          <w:w w:val="80"/>
        </w:rPr>
        <w:t>ꎮ</w:t>
      </w:r>
    </w:p>
    <w:p>
      <w:pPr>
        <w:pStyle w:val="6"/>
        <w:tabs>
          <w:tab w:val="left" w:pos="1807"/>
        </w:tabs>
        <w:spacing w:line="253" w:lineRule="exact"/>
        <w:ind w:left="549" w:firstLine="0"/>
        <w:jc w:val="left"/>
      </w:pPr>
      <w:r>
        <w:rPr>
          <w:spacing w:val="3"/>
          <w:w w:val="105"/>
        </w:rPr>
        <w:t>第五十八</w:t>
      </w:r>
      <w:r>
        <w:rPr>
          <w:w w:val="105"/>
        </w:rPr>
        <w:t>条</w:t>
      </w:r>
      <w:r>
        <w:rPr>
          <w:w w:val="105"/>
        </w:rPr>
        <w:tab/>
      </w:r>
      <w:r>
        <w:rPr>
          <w:spacing w:val="3"/>
          <w:w w:val="105"/>
        </w:rPr>
        <w:t>石油天然气开采的安</w:t>
      </w:r>
      <w:r>
        <w:rPr>
          <w:w w:val="105"/>
        </w:rPr>
        <w:t>全</w:t>
      </w:r>
    </w:p>
    <w:p>
      <w:pPr>
        <w:spacing w:after="0" w:line="253" w:lineRule="exact"/>
        <w:jc w:val="left"/>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３９７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89" o:spid="_x0000_s2189" o:spt="203" style="height:2.15pt;width:398.25pt;" coordsize="7965,43">
            <o:lock v:ext="edit"/>
            <v:line id="_x0000_s2190" o:spid="_x0000_s2190" o:spt="20" style="position:absolute;left:0;top:39;height:0;width:7965;" stroked="t" coordsize="21600,21600">
              <v:path arrowok="t"/>
              <v:fill focussize="0,0"/>
              <v:stroke weight="0.388031496062992pt" color="#231F20"/>
              <v:imagedata o:title=""/>
              <o:lock v:ext="edit"/>
            </v:line>
            <v:line id="_x0000_s2191" o:spid="_x0000_s219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规定</w:t>
      </w:r>
      <w:r>
        <w:rPr>
          <w:rFonts w:hint="eastAsia" w:ascii="MS UI Gothic" w:eastAsia="MS UI Gothic"/>
          <w:w w:val="80"/>
        </w:rPr>
        <w:t xml:space="preserve">ꎬ </w:t>
      </w:r>
      <w:r>
        <w:t>由国务院劳动行政主管部门会同石油工业主管部门制定</w:t>
      </w:r>
      <w:r>
        <w:rPr>
          <w:rFonts w:hint="eastAsia" w:ascii="MS UI Gothic" w:eastAsia="MS UI Gothic"/>
          <w:w w:val="80"/>
        </w:rPr>
        <w:t xml:space="preserve">ꎬ </w:t>
      </w:r>
      <w:r>
        <w:t>报国务院批准后施行</w:t>
      </w:r>
      <w:r>
        <w:rPr>
          <w:rFonts w:hint="eastAsia" w:ascii="MS UI Gothic" w:eastAsia="MS UI Gothic"/>
          <w:w w:val="80"/>
        </w:rPr>
        <w:t>ꎮ</w:t>
      </w:r>
    </w:p>
    <w:p>
      <w:pPr>
        <w:pStyle w:val="4"/>
        <w:spacing w:before="298"/>
        <w:ind w:left="440"/>
        <w:jc w:val="left"/>
      </w:pPr>
      <w:r>
        <w:t>非煤矿山安全规章</w:t>
      </w:r>
    </w:p>
    <w:p>
      <w:pPr>
        <w:pStyle w:val="6"/>
        <w:tabs>
          <w:tab w:val="left" w:pos="2129"/>
        </w:tabs>
        <w:spacing w:before="124" w:line="295" w:lineRule="auto"/>
        <w:ind w:left="383" w:right="126"/>
        <w:jc w:val="left"/>
        <w:rPr>
          <w:rFonts w:hint="eastAsia" w:ascii="MS UI Gothic" w:eastAsia="MS UI Gothic"/>
        </w:rPr>
      </w:pPr>
      <w:r>
        <w:br w:type="column"/>
      </w:r>
      <w:r>
        <w:rPr>
          <w:spacing w:val="3"/>
        </w:rPr>
        <w:t>第五</w:t>
      </w:r>
      <w:r>
        <w:rPr>
          <w:spacing w:val="15"/>
        </w:rPr>
        <w:t>十</w:t>
      </w:r>
      <w:r>
        <w:rPr>
          <w:spacing w:val="19"/>
        </w:rPr>
        <w:t>九</w:t>
      </w:r>
      <w:r>
        <w:t>条</w:t>
      </w:r>
      <w:r>
        <w:tab/>
      </w:r>
      <w:r>
        <w:rPr>
          <w:spacing w:val="21"/>
        </w:rPr>
        <w:t>本条例自发布之日</w:t>
      </w:r>
      <w:r>
        <w:rPr>
          <w:spacing w:val="-14"/>
        </w:rPr>
        <w:t>起</w:t>
      </w:r>
      <w:r>
        <w:rPr>
          <w:spacing w:val="3"/>
        </w:rPr>
        <w:t>施行</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0"/>
        <w:ind w:left="0" w:firstLine="0"/>
        <w:jc w:val="left"/>
        <w:rPr>
          <w:rFonts w:ascii="MS UI Gothic"/>
          <w:sz w:val="21"/>
        </w:rPr>
      </w:pPr>
    </w:p>
    <w:p>
      <w:pPr>
        <w:pStyle w:val="4"/>
        <w:spacing w:before="74"/>
      </w:pPr>
      <w:r>
        <w:t>国家安全生产监督管理总局令</w:t>
      </w:r>
    </w:p>
    <w:p>
      <w:pPr>
        <w:pStyle w:val="6"/>
        <w:spacing w:before="1"/>
        <w:ind w:left="0" w:firstLine="0"/>
        <w:jc w:val="left"/>
        <w:rPr>
          <w:sz w:val="27"/>
        </w:rPr>
      </w:pPr>
    </w:p>
    <w:p>
      <w:pPr>
        <w:pStyle w:val="5"/>
        <w:ind w:left="312"/>
      </w:pPr>
      <w:r>
        <w:t xml:space="preserve">第 </w:t>
      </w:r>
      <w:r>
        <w:rPr>
          <w:rFonts w:hint="eastAsia" w:ascii="MS UI Gothic" w:eastAsia="MS UI Gothic"/>
        </w:rPr>
        <w:t xml:space="preserve">３８ </w:t>
      </w:r>
      <w:r>
        <w:t>号</w:t>
      </w:r>
    </w:p>
    <w:p>
      <w:pPr>
        <w:pStyle w:val="6"/>
        <w:spacing w:before="354" w:line="295" w:lineRule="auto"/>
        <w:ind w:left="440" w:right="126"/>
        <w:rPr>
          <w:rFonts w:hint="eastAsia" w:ascii="MS UI Gothic" w:hAnsi="MS UI Gothic" w:eastAsia="MS UI Gothic"/>
        </w:rPr>
      </w:pPr>
      <w:r>
        <w:rPr>
          <w:w w:val="95"/>
        </w:rPr>
        <w:t xml:space="preserve">新修订的 </w:t>
      </w:r>
      <w:r>
        <w:rPr>
          <w:rFonts w:hint="eastAsia" w:ascii="MS UI Gothic" w:hAnsi="MS UI Gothic" w:eastAsia="MS UI Gothic"/>
          <w:w w:val="95"/>
        </w:rPr>
        <w:t xml:space="preserve">« </w:t>
      </w:r>
      <w:r>
        <w:rPr>
          <w:w w:val="95"/>
        </w:rPr>
        <w:t>尾矿库安全监督管理规定</w:t>
      </w:r>
      <w:r>
        <w:rPr>
          <w:rFonts w:hint="eastAsia" w:ascii="MS UI Gothic" w:hAnsi="MS UI Gothic" w:eastAsia="MS UI Gothic"/>
          <w:w w:val="95"/>
        </w:rPr>
        <w:t xml:space="preserve">» </w:t>
      </w:r>
      <w:r>
        <w:rPr>
          <w:w w:val="95"/>
        </w:rPr>
        <w:t xml:space="preserve">已经 </w:t>
      </w:r>
      <w:r>
        <w:rPr>
          <w:rFonts w:hint="eastAsia" w:ascii="MS UI Gothic" w:hAnsi="MS UI Gothic" w:eastAsia="MS UI Gothic"/>
          <w:w w:val="95"/>
        </w:rPr>
        <w:t xml:space="preserve">２０１１ </w:t>
      </w:r>
      <w:r>
        <w:rPr>
          <w:w w:val="95"/>
        </w:rPr>
        <w:t xml:space="preserve">年 </w:t>
      </w:r>
      <w:r>
        <w:rPr>
          <w:rFonts w:hint="eastAsia" w:ascii="MS UI Gothic" w:hAnsi="MS UI Gothic" w:eastAsia="MS UI Gothic"/>
          <w:w w:val="95"/>
        </w:rPr>
        <w:t xml:space="preserve">４ </w:t>
      </w:r>
      <w:r>
        <w:rPr>
          <w:w w:val="95"/>
        </w:rPr>
        <w:t xml:space="preserve">月 </w:t>
      </w:r>
      <w:r>
        <w:rPr>
          <w:rFonts w:hint="eastAsia" w:ascii="MS UI Gothic" w:hAnsi="MS UI Gothic" w:eastAsia="MS UI Gothic"/>
          <w:w w:val="95"/>
        </w:rPr>
        <w:t xml:space="preserve">１８ </w:t>
      </w:r>
      <w:r>
        <w:rPr>
          <w:w w:val="95"/>
        </w:rPr>
        <w:t>日国家安全生产监督管理总局局长办公会议审议通过</w:t>
      </w:r>
      <w:r>
        <w:rPr>
          <w:rFonts w:hint="eastAsia" w:ascii="MS UI Gothic" w:hAnsi="MS UI Gothic" w:eastAsia="MS UI Gothic"/>
          <w:w w:val="85"/>
        </w:rPr>
        <w:t xml:space="preserve">ꎬ </w:t>
      </w:r>
      <w:r>
        <w:rPr>
          <w:w w:val="95"/>
        </w:rPr>
        <w:t>现予公布</w:t>
      </w:r>
      <w:r>
        <w:rPr>
          <w:rFonts w:hint="eastAsia" w:ascii="MS UI Gothic" w:hAnsi="MS UI Gothic" w:eastAsia="MS UI Gothic"/>
          <w:w w:val="85"/>
        </w:rPr>
        <w:t xml:space="preserve">ꎬ </w:t>
      </w:r>
      <w:r>
        <w:rPr>
          <w:w w:val="95"/>
        </w:rPr>
        <w:t xml:space="preserve">自 </w:t>
      </w:r>
      <w:r>
        <w:rPr>
          <w:rFonts w:hint="eastAsia" w:ascii="MS UI Gothic" w:hAnsi="MS UI Gothic" w:eastAsia="MS UI Gothic"/>
          <w:w w:val="95"/>
        </w:rPr>
        <w:t xml:space="preserve">２０１１ </w:t>
      </w:r>
      <w:r>
        <w:rPr>
          <w:w w:val="95"/>
        </w:rPr>
        <w:t xml:space="preserve">年 </w:t>
      </w:r>
      <w:r>
        <w:rPr>
          <w:rFonts w:hint="eastAsia" w:ascii="MS UI Gothic" w:hAnsi="MS UI Gothic" w:eastAsia="MS UI Gothic"/>
          <w:w w:val="95"/>
        </w:rPr>
        <w:t xml:space="preserve">７ </w:t>
      </w:r>
      <w:r>
        <w:rPr>
          <w:w w:val="95"/>
        </w:rPr>
        <w:t xml:space="preserve">月 </w:t>
      </w:r>
      <w:r>
        <w:rPr>
          <w:rFonts w:hint="eastAsia" w:ascii="MS UI Gothic" w:hAnsi="MS UI Gothic" w:eastAsia="MS UI Gothic"/>
          <w:w w:val="95"/>
        </w:rPr>
        <w:t xml:space="preserve">１ </w:t>
      </w:r>
      <w:r>
        <w:rPr>
          <w:w w:val="95"/>
        </w:rPr>
        <w:t>日起施行</w:t>
      </w:r>
      <w:r>
        <w:rPr>
          <w:rFonts w:hint="eastAsia" w:ascii="MS UI Gothic" w:hAnsi="MS UI Gothic" w:eastAsia="MS UI Gothic"/>
          <w:w w:val="85"/>
        </w:rPr>
        <w:t xml:space="preserve">ꎮ  </w:t>
      </w:r>
      <w:r>
        <w:rPr>
          <w:w w:val="95"/>
        </w:rPr>
        <w:t xml:space="preserve">国家安全生产监督管理总局 </w:t>
      </w:r>
      <w:r>
        <w:rPr>
          <w:rFonts w:hint="eastAsia" w:ascii="MS UI Gothic" w:hAnsi="MS UI Gothic" w:eastAsia="MS UI Gothic"/>
          <w:w w:val="95"/>
        </w:rPr>
        <w:t xml:space="preserve">２００６ </w:t>
      </w:r>
      <w:r>
        <w:rPr>
          <w:w w:val="95"/>
        </w:rPr>
        <w:t xml:space="preserve">年公布的  </w:t>
      </w:r>
      <w:r>
        <w:rPr>
          <w:rFonts w:hint="eastAsia" w:ascii="MS UI Gothic" w:hAnsi="MS UI Gothic" w:eastAsia="MS UI Gothic"/>
          <w:w w:val="95"/>
        </w:rPr>
        <w:t xml:space="preserve">« </w:t>
      </w:r>
      <w:r>
        <w:rPr>
          <w:w w:val="95"/>
        </w:rPr>
        <w:t>尾矿库安全监督管理规定</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 xml:space="preserve">国家安全生产监督管理总局令第 </w:t>
      </w:r>
      <w:r>
        <w:rPr>
          <w:rFonts w:hint="eastAsia" w:ascii="MS UI Gothic" w:hAnsi="MS UI Gothic" w:eastAsia="MS UI Gothic"/>
          <w:w w:val="95"/>
        </w:rPr>
        <w:t xml:space="preserve">６ </w:t>
      </w:r>
      <w:r>
        <w:rPr>
          <w:w w:val="95"/>
        </w:rPr>
        <w:t>号</w:t>
      </w:r>
      <w:r>
        <w:rPr>
          <w:rFonts w:hint="eastAsia" w:ascii="MS UI Gothic" w:hAnsi="MS UI Gothic" w:eastAsia="MS UI Gothic"/>
          <w:w w:val="140"/>
        </w:rPr>
        <w:t xml:space="preserve">) </w:t>
      </w:r>
      <w:r>
        <w:rPr>
          <w:w w:val="95"/>
        </w:rPr>
        <w:t>同时废止</w:t>
      </w:r>
      <w:r>
        <w:rPr>
          <w:rFonts w:hint="eastAsia" w:ascii="MS UI Gothic" w:hAnsi="MS UI Gothic" w:eastAsia="MS UI Gothic"/>
          <w:w w:val="85"/>
        </w:rPr>
        <w:t>ꎮ</w:t>
      </w:r>
    </w:p>
    <w:p>
      <w:pPr>
        <w:pStyle w:val="6"/>
        <w:spacing w:before="8"/>
        <w:ind w:left="0" w:firstLine="0"/>
        <w:jc w:val="left"/>
        <w:rPr>
          <w:rFonts w:ascii="MS UI Gothic"/>
          <w:sz w:val="10"/>
        </w:rPr>
      </w:pPr>
    </w:p>
    <w:p>
      <w:pPr>
        <w:pStyle w:val="6"/>
        <w:spacing w:before="175"/>
        <w:ind w:left="0" w:right="126" w:firstLine="0"/>
        <w:jc w:val="right"/>
      </w:pPr>
      <w:r>
        <w:t>二</w:t>
      </w:r>
      <w:r>
        <w:rPr>
          <w:rFonts w:hint="eastAsia" w:ascii="MS UI Gothic" w:hAnsi="MS UI Gothic" w:eastAsia="MS UI Gothic"/>
        </w:rPr>
        <w:t>○</w:t>
      </w:r>
      <w:r>
        <w:t>一一年五月四日</w:t>
      </w:r>
    </w:p>
    <w:p>
      <w:pPr>
        <w:pStyle w:val="4"/>
        <w:ind w:left="286"/>
        <w:rPr>
          <w:rFonts w:hint="eastAsia" w:ascii="Microsoft Yi Baiti" w:eastAsia="Microsoft Yi Baiti"/>
        </w:rPr>
      </w:pPr>
      <w:r>
        <w:t xml:space="preserve">尾矿库安全监督管理规定 </w:t>
      </w:r>
      <w:r>
        <w:rPr>
          <w:rFonts w:hint="eastAsia" w:ascii="Microsoft Yi Baiti" w:eastAsia="Microsoft Yi Baiti"/>
        </w:rPr>
        <w:t>(</w:t>
      </w:r>
      <w:r>
        <w:rPr>
          <w:rFonts w:hint="eastAsia" w:ascii="MS UI Gothic" w:eastAsia="MS UI Gothic"/>
        </w:rPr>
        <w:t xml:space="preserve">２０１１ </w:t>
      </w:r>
      <w:r>
        <w:t>年公布</w:t>
      </w:r>
      <w:r>
        <w:rPr>
          <w:rFonts w:hint="eastAsia" w:ascii="Microsoft Yi Baiti" w:eastAsia="Microsoft Yi Baiti"/>
        </w:rPr>
        <w:t>)</w:t>
      </w:r>
    </w:p>
    <w:p>
      <w:pPr>
        <w:pStyle w:val="6"/>
        <w:spacing w:before="4"/>
        <w:ind w:left="0" w:firstLine="0"/>
        <w:jc w:val="left"/>
        <w:rPr>
          <w:rFonts w:ascii="Microsoft Yi Baiti"/>
          <w:sz w:val="27"/>
        </w:rPr>
      </w:pPr>
    </w:p>
    <w:p>
      <w:pPr>
        <w:spacing w:after="0"/>
        <w:jc w:val="left"/>
        <w:rPr>
          <w:rFonts w:ascii="Microsoft Yi Baiti"/>
          <w:sz w:val="27"/>
        </w:rPr>
        <w:sectPr>
          <w:type w:val="continuous"/>
          <w:pgSz w:w="10500" w:h="14750"/>
          <w:pgMar w:top="1400" w:right="980" w:bottom="280" w:left="980" w:header="720" w:footer="720" w:gutter="0"/>
        </w:sectPr>
      </w:pPr>
    </w:p>
    <w:p>
      <w:pPr>
        <w:pStyle w:val="6"/>
        <w:spacing w:before="5"/>
        <w:ind w:left="0" w:firstLine="0"/>
        <w:jc w:val="left"/>
        <w:rPr>
          <w:rFonts w:ascii="Microsoft Yi Baiti"/>
          <w:sz w:val="23"/>
        </w:rPr>
      </w:pPr>
    </w:p>
    <w:p>
      <w:pPr>
        <w:pStyle w:val="6"/>
        <w:tabs>
          <w:tab w:val="left" w:pos="2327"/>
          <w:tab w:val="left" w:pos="2956"/>
        </w:tabs>
        <w:spacing w:before="1"/>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302" w:lineRule="auto"/>
        <w:ind w:left="440" w:right="1"/>
        <w:rPr>
          <w:rFonts w:hint="eastAsia" w:ascii="MS UI Gothic" w:hAnsi="MS UI Gothic" w:eastAsia="MS UI Gothic"/>
        </w:rPr>
      </w:pPr>
      <w:r>
        <w:rPr>
          <w:spacing w:val="4"/>
        </w:rPr>
        <w:t>第一条 为了预防和减少尾矿库生产</w:t>
      </w:r>
      <w:r>
        <w:rPr>
          <w:spacing w:val="8"/>
        </w:rPr>
        <w:t>安全事故</w:t>
      </w:r>
      <w:r>
        <w:rPr>
          <w:rFonts w:hint="eastAsia" w:ascii="MS UI Gothic" w:hAnsi="MS UI Gothic" w:eastAsia="MS UI Gothic"/>
          <w:spacing w:val="24"/>
          <w:w w:val="80"/>
        </w:rPr>
        <w:t xml:space="preserve">ꎬ </w:t>
      </w:r>
      <w:r>
        <w:rPr>
          <w:spacing w:val="16"/>
        </w:rPr>
        <w:t>保障人民群众生命和财产安</w:t>
      </w:r>
      <w:r>
        <w:rPr>
          <w:spacing w:val="3"/>
        </w:rPr>
        <w:t>全</w:t>
      </w:r>
      <w:r>
        <w:rPr>
          <w:rFonts w:hint="eastAsia" w:ascii="MS UI Gothic" w:hAnsi="MS UI Gothic" w:eastAsia="MS UI Gothic"/>
          <w:spacing w:val="10"/>
          <w:w w:val="80"/>
        </w:rPr>
        <w:t xml:space="preserve">ꎬ </w:t>
      </w:r>
      <w:r>
        <w:rPr>
          <w:spacing w:val="-9"/>
        </w:rPr>
        <w:t xml:space="preserve">根据 </w:t>
      </w:r>
      <w:r>
        <w:rPr>
          <w:rFonts w:hint="eastAsia" w:ascii="MS UI Gothic" w:hAnsi="MS UI Gothic" w:eastAsia="MS UI Gothic"/>
          <w:spacing w:val="-24"/>
        </w:rPr>
        <w:t xml:space="preserve">« </w:t>
      </w:r>
      <w:r>
        <w:rPr>
          <w:spacing w:val="3"/>
        </w:rPr>
        <w:t>安全生产法</w:t>
      </w:r>
      <w:r>
        <w:rPr>
          <w:rFonts w:hint="eastAsia" w:ascii="MS UI Gothic" w:hAnsi="MS UI Gothic" w:eastAsia="MS UI Gothic"/>
          <w:spacing w:val="-4"/>
        </w:rPr>
        <w:t xml:space="preserve">»、 « </w:t>
      </w:r>
      <w:r>
        <w:rPr>
          <w:spacing w:val="7"/>
        </w:rPr>
        <w:t>矿山安全法</w:t>
      </w:r>
      <w:r>
        <w:rPr>
          <w:rFonts w:hint="eastAsia" w:ascii="MS UI Gothic" w:hAnsi="MS UI Gothic" w:eastAsia="MS UI Gothic"/>
        </w:rPr>
        <w:t xml:space="preserve">» </w:t>
      </w:r>
      <w:r>
        <w:rPr>
          <w:spacing w:val="3"/>
        </w:rPr>
        <w:t>等有关法律</w:t>
      </w:r>
      <w:r>
        <w:rPr>
          <w:rFonts w:hint="eastAsia" w:ascii="MS UI Gothic" w:hAnsi="MS UI Gothic" w:eastAsia="MS UI Gothic"/>
          <w:spacing w:val="16"/>
        </w:rPr>
        <w:t xml:space="preserve">、 </w:t>
      </w:r>
      <w:r>
        <w:rPr>
          <w:spacing w:val="3"/>
        </w:rPr>
        <w:t>行政法规</w:t>
      </w:r>
      <w:r>
        <w:rPr>
          <w:rFonts w:hint="eastAsia" w:ascii="MS UI Gothic" w:hAnsi="MS UI Gothic" w:eastAsia="MS UI Gothic"/>
          <w:spacing w:val="22"/>
          <w:w w:val="80"/>
        </w:rPr>
        <w:t xml:space="preserve">ꎬ </w:t>
      </w:r>
      <w:r>
        <w:rPr>
          <w:spacing w:val="3"/>
        </w:rPr>
        <w:t>制定本规定</w:t>
      </w:r>
      <w:r>
        <w:rPr>
          <w:rFonts w:hint="eastAsia" w:ascii="MS UI Gothic" w:hAnsi="MS UI Gothic" w:eastAsia="MS UI Gothic"/>
          <w:w w:val="80"/>
        </w:rPr>
        <w:t>ꎮ</w:t>
      </w:r>
    </w:p>
    <w:p>
      <w:pPr>
        <w:pStyle w:val="6"/>
        <w:spacing w:line="300" w:lineRule="auto"/>
        <w:ind w:left="440" w:right="1"/>
        <w:rPr>
          <w:rFonts w:hint="eastAsia" w:ascii="MS UI Gothic" w:eastAsia="MS UI Gothic"/>
        </w:rPr>
      </w:pPr>
      <w:r>
        <w:rPr>
          <w:spacing w:val="21"/>
        </w:rPr>
        <w:t>第二条 尾矿库的建设</w:t>
      </w:r>
      <w:r>
        <w:rPr>
          <w:rFonts w:hint="eastAsia" w:ascii="MS UI Gothic" w:eastAsia="MS UI Gothic"/>
          <w:spacing w:val="17"/>
          <w:w w:val="80"/>
        </w:rPr>
        <w:t xml:space="preserve">、 </w:t>
      </w:r>
      <w:r>
        <w:rPr>
          <w:spacing w:val="13"/>
        </w:rPr>
        <w:t>运行</w:t>
      </w:r>
      <w:r>
        <w:rPr>
          <w:rFonts w:hint="eastAsia" w:ascii="MS UI Gothic" w:eastAsia="MS UI Gothic"/>
          <w:spacing w:val="11"/>
          <w:w w:val="80"/>
        </w:rPr>
        <w:t xml:space="preserve">、  </w:t>
      </w:r>
      <w:r>
        <w:rPr>
          <w:spacing w:val="-13"/>
        </w:rPr>
        <w:t>回</w:t>
      </w:r>
      <w:r>
        <w:rPr>
          <w:spacing w:val="3"/>
        </w:rPr>
        <w:t>采</w:t>
      </w:r>
      <w:r>
        <w:rPr>
          <w:rFonts w:hint="eastAsia" w:ascii="MS UI Gothic" w:eastAsia="MS UI Gothic"/>
          <w:spacing w:val="11"/>
          <w:w w:val="80"/>
        </w:rPr>
        <w:t xml:space="preserve">、 </w:t>
      </w:r>
      <w:r>
        <w:rPr>
          <w:spacing w:val="3"/>
        </w:rPr>
        <w:t>闭库及其安全管理与监督工作</w:t>
      </w:r>
      <w:r>
        <w:rPr>
          <w:rFonts w:hint="eastAsia" w:ascii="MS UI Gothic" w:eastAsia="MS UI Gothic"/>
          <w:spacing w:val="11"/>
          <w:w w:val="80"/>
        </w:rPr>
        <w:t xml:space="preserve">ꎬ </w:t>
      </w:r>
      <w:r>
        <w:rPr>
          <w:spacing w:val="1"/>
        </w:rPr>
        <w:t>适用</w:t>
      </w:r>
      <w:r>
        <w:rPr>
          <w:spacing w:val="3"/>
        </w:rPr>
        <w:t>本规定</w:t>
      </w:r>
      <w:r>
        <w:rPr>
          <w:rFonts w:hint="eastAsia" w:ascii="MS UI Gothic" w:eastAsia="MS UI Gothic"/>
          <w:spacing w:val="16"/>
          <w:w w:val="80"/>
        </w:rPr>
        <w:t xml:space="preserve">ꎮ </w:t>
      </w:r>
      <w:r>
        <w:rPr>
          <w:spacing w:val="3"/>
        </w:rPr>
        <w:t>核工业矿山尾矿库</w:t>
      </w:r>
      <w:r>
        <w:rPr>
          <w:rFonts w:hint="eastAsia" w:ascii="MS UI Gothic" w:eastAsia="MS UI Gothic"/>
          <w:spacing w:val="14"/>
          <w:w w:val="80"/>
        </w:rPr>
        <w:t xml:space="preserve">、 </w:t>
      </w:r>
      <w:r>
        <w:rPr>
          <w:spacing w:val="6"/>
        </w:rPr>
        <w:t>电厂灰渣库</w:t>
      </w:r>
      <w:r>
        <w:rPr>
          <w:spacing w:val="3"/>
        </w:rPr>
        <w:t>的安全监督管理工作</w:t>
      </w:r>
      <w:r>
        <w:rPr>
          <w:rFonts w:hint="eastAsia" w:ascii="MS UI Gothic" w:eastAsia="MS UI Gothic"/>
          <w:w w:val="80"/>
        </w:rPr>
        <w:t xml:space="preserve">ꎬ </w:t>
      </w:r>
      <w:r>
        <w:rPr>
          <w:spacing w:val="3"/>
        </w:rPr>
        <w:t>不适用本规定</w:t>
      </w:r>
      <w:r>
        <w:rPr>
          <w:rFonts w:hint="eastAsia" w:ascii="MS UI Gothic" w:eastAsia="MS UI Gothic"/>
          <w:w w:val="80"/>
        </w:rPr>
        <w:t>ꎮ</w:t>
      </w:r>
    </w:p>
    <w:p>
      <w:pPr>
        <w:pStyle w:val="6"/>
        <w:spacing w:line="300" w:lineRule="auto"/>
        <w:ind w:left="440"/>
        <w:rPr>
          <w:rFonts w:hint="eastAsia" w:ascii="MS UI Gothic" w:hAnsi="MS UI Gothic" w:eastAsia="MS UI Gothic"/>
        </w:rPr>
      </w:pPr>
      <w:r>
        <w:rPr>
          <w:spacing w:val="8"/>
        </w:rPr>
        <w:t>第三条 尾矿库建设</w:t>
      </w:r>
      <w:r>
        <w:rPr>
          <w:rFonts w:hint="eastAsia" w:ascii="MS UI Gothic" w:hAnsi="MS UI Gothic" w:eastAsia="MS UI Gothic"/>
          <w:spacing w:val="24"/>
        </w:rPr>
        <w:t xml:space="preserve">、 </w:t>
      </w:r>
      <w:r>
        <w:rPr>
          <w:spacing w:val="9"/>
        </w:rPr>
        <w:t>运行</w:t>
      </w:r>
      <w:r>
        <w:rPr>
          <w:rFonts w:hint="eastAsia" w:ascii="MS UI Gothic" w:hAnsi="MS UI Gothic" w:eastAsia="MS UI Gothic"/>
          <w:spacing w:val="24"/>
        </w:rPr>
        <w:t xml:space="preserve">、 </w:t>
      </w:r>
      <w:r>
        <w:rPr>
          <w:spacing w:val="9"/>
        </w:rPr>
        <w:t>回采</w:t>
      </w:r>
      <w:r>
        <w:rPr>
          <w:rFonts w:hint="eastAsia" w:ascii="MS UI Gothic" w:hAnsi="MS UI Gothic" w:eastAsia="MS UI Gothic"/>
        </w:rPr>
        <w:t>、</w:t>
      </w:r>
      <w:r>
        <w:rPr>
          <w:spacing w:val="2"/>
        </w:rPr>
        <w:t>闭库的安全技术要求以及尾矿库等别划分</w:t>
      </w:r>
      <w:r>
        <w:rPr>
          <w:spacing w:val="3"/>
        </w:rPr>
        <w:t>标准</w:t>
      </w:r>
      <w:r>
        <w:rPr>
          <w:rFonts w:hint="eastAsia" w:ascii="MS UI Gothic" w:hAnsi="MS UI Gothic" w:eastAsia="MS UI Gothic"/>
          <w:spacing w:val="23"/>
          <w:w w:val="90"/>
        </w:rPr>
        <w:t xml:space="preserve">ꎬ </w:t>
      </w:r>
      <w:r>
        <w:rPr>
          <w:spacing w:val="18"/>
        </w:rPr>
        <w:t xml:space="preserve">按照 </w:t>
      </w:r>
      <w:r>
        <w:rPr>
          <w:rFonts w:hint="eastAsia" w:ascii="MS UI Gothic" w:hAnsi="MS UI Gothic" w:eastAsia="MS UI Gothic"/>
          <w:spacing w:val="-11"/>
        </w:rPr>
        <w:t xml:space="preserve">« </w:t>
      </w:r>
      <w:r>
        <w:rPr>
          <w:spacing w:val="44"/>
        </w:rPr>
        <w:t>尾矿库安全技术规程</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spacing w:val="-2"/>
          <w:w w:val="95"/>
        </w:rPr>
        <w:t>Ａ</w:t>
      </w:r>
      <w:r>
        <w:rPr>
          <w:rFonts w:hint="eastAsia" w:ascii="MS UI Gothic" w:hAnsi="MS UI Gothic" w:eastAsia="MS UI Gothic"/>
          <w:w w:val="85"/>
        </w:rPr>
        <w:t>Ｑ</w:t>
      </w:r>
      <w:r>
        <w:rPr>
          <w:rFonts w:hint="eastAsia" w:ascii="MS UI Gothic" w:hAnsi="MS UI Gothic" w:eastAsia="MS UI Gothic"/>
        </w:rPr>
        <w:t xml:space="preserve"> </w:t>
      </w:r>
      <w:r>
        <w:rPr>
          <w:rFonts w:hint="eastAsia" w:ascii="MS UI Gothic" w:hAnsi="MS UI Gothic" w:eastAsia="MS UI Gothic"/>
          <w:spacing w:val="1"/>
          <w:w w:val="75"/>
        </w:rPr>
        <w:t>２００６</w:t>
      </w:r>
      <w:r>
        <w:rPr>
          <w:rFonts w:hint="eastAsia" w:ascii="MS UI Gothic" w:hAnsi="MS UI Gothic" w:eastAsia="MS UI Gothic"/>
          <w:spacing w:val="3"/>
          <w:w w:val="153"/>
        </w:rPr>
        <w:t>—</w:t>
      </w:r>
      <w:r>
        <w:rPr>
          <w:rFonts w:hint="eastAsia" w:ascii="MS UI Gothic" w:hAnsi="MS UI Gothic" w:eastAsia="MS UI Gothic"/>
          <w:spacing w:val="-1"/>
          <w:w w:val="75"/>
        </w:rPr>
        <w:t>２００５</w:t>
      </w:r>
      <w:r>
        <w:rPr>
          <w:rFonts w:hint="eastAsia" w:ascii="MS UI Gothic" w:hAnsi="MS UI Gothic" w:eastAsia="MS UI Gothic"/>
          <w:w w:val="168"/>
        </w:rPr>
        <w:t>)</w:t>
      </w:r>
      <w:r>
        <w:rPr>
          <w:rFonts w:hint="eastAsia" w:ascii="MS UI Gothic" w:hAnsi="MS UI Gothic" w:eastAsia="MS UI Gothic"/>
          <w:spacing w:val="2"/>
        </w:rPr>
        <w:t xml:space="preserve">  </w:t>
      </w:r>
      <w:r>
        <w:rPr>
          <w:spacing w:val="3"/>
          <w:w w:val="102"/>
        </w:rPr>
        <w:t>执行</w:t>
      </w:r>
      <w:r>
        <w:rPr>
          <w:rFonts w:hint="eastAsia" w:ascii="MS UI Gothic" w:hAnsi="MS UI Gothic" w:eastAsia="MS UI Gothic"/>
          <w:w w:val="51"/>
        </w:rPr>
        <w:t>ꎮ</w:t>
      </w:r>
    </w:p>
    <w:p>
      <w:pPr>
        <w:pStyle w:val="6"/>
        <w:spacing w:line="300" w:lineRule="auto"/>
        <w:ind w:left="440" w:right="1"/>
        <w:rPr>
          <w:rFonts w:hint="eastAsia" w:ascii="MS UI Gothic" w:eastAsia="MS UI Gothic"/>
        </w:rPr>
      </w:pPr>
      <w:r>
        <w:rPr>
          <w:w w:val="105"/>
        </w:rPr>
        <w:t xml:space="preserve">第四条 尾矿库生产经营单位 </w:t>
      </w:r>
      <w:r>
        <w:rPr>
          <w:rFonts w:hint="eastAsia" w:ascii="MS UI Gothic" w:eastAsia="MS UI Gothic"/>
          <w:w w:val="150"/>
        </w:rPr>
        <w:t xml:space="preserve">( </w:t>
      </w:r>
      <w:r>
        <w:rPr>
          <w:w w:val="105"/>
        </w:rPr>
        <w:t>以下简称生产经营单位</w:t>
      </w:r>
      <w:r>
        <w:rPr>
          <w:rFonts w:hint="eastAsia" w:ascii="MS UI Gothic" w:eastAsia="MS UI Gothic"/>
          <w:w w:val="150"/>
        </w:rPr>
        <w:t xml:space="preserve">) </w:t>
      </w:r>
      <w:r>
        <w:rPr>
          <w:w w:val="105"/>
        </w:rPr>
        <w:t>应当建立健全尾</w:t>
      </w:r>
      <w:r>
        <w:t>矿库安全生产责任制</w:t>
      </w:r>
      <w:r>
        <w:rPr>
          <w:rFonts w:hint="eastAsia" w:ascii="MS UI Gothic" w:eastAsia="MS UI Gothic"/>
          <w:w w:val="80"/>
        </w:rPr>
        <w:t xml:space="preserve">ꎬ </w:t>
      </w:r>
      <w:r>
        <w:t>建立健全安全生产规章制度和安全技术操作规程</w:t>
      </w:r>
      <w:r>
        <w:rPr>
          <w:rFonts w:hint="eastAsia" w:ascii="MS UI Gothic" w:eastAsia="MS UI Gothic"/>
          <w:w w:val="80"/>
        </w:rPr>
        <w:t xml:space="preserve">ꎬ </w:t>
      </w:r>
      <w:r>
        <w:t>对尾矿库</w:t>
      </w:r>
      <w:r>
        <w:rPr>
          <w:w w:val="105"/>
        </w:rPr>
        <w:t>实施有效的安全管理</w:t>
      </w:r>
      <w:r>
        <w:rPr>
          <w:rFonts w:hint="eastAsia" w:ascii="MS UI Gothic" w:eastAsia="MS UI Gothic"/>
          <w:w w:val="80"/>
        </w:rPr>
        <w:t>ꎮ</w:t>
      </w:r>
    </w:p>
    <w:p>
      <w:pPr>
        <w:pStyle w:val="6"/>
        <w:spacing w:before="85" w:line="300" w:lineRule="auto"/>
        <w:ind w:left="381" w:right="124"/>
        <w:rPr>
          <w:rFonts w:hint="eastAsia" w:ascii="MS UI Gothic" w:eastAsia="MS UI Gothic"/>
        </w:rPr>
      </w:pPr>
      <w:r>
        <w:br w:type="column"/>
      </w:r>
      <w:r>
        <w:rPr>
          <w:w w:val="105"/>
        </w:rPr>
        <w:t>第五条 生产经营单位应当保证尾矿</w:t>
      </w:r>
      <w:r>
        <w:t>库具备安全生产条件所必需的资金投入</w:t>
      </w:r>
      <w:r>
        <w:rPr>
          <w:rFonts w:hint="eastAsia" w:ascii="MS UI Gothic" w:eastAsia="MS UI Gothic"/>
          <w:w w:val="80"/>
        </w:rPr>
        <w:t>ꎬ</w:t>
      </w:r>
      <w:r>
        <w:t>建立相应的安全管理机构或者配备相应的</w:t>
      </w:r>
      <w:r>
        <w:rPr>
          <w:w w:val="105"/>
        </w:rPr>
        <w:t>安全管理人员</w:t>
      </w:r>
      <w:r>
        <w:rPr>
          <w:rFonts w:hint="eastAsia" w:ascii="MS UI Gothic" w:eastAsia="MS UI Gothic"/>
          <w:w w:val="80"/>
        </w:rPr>
        <w:t xml:space="preserve">、 </w:t>
      </w:r>
      <w:r>
        <w:rPr>
          <w:w w:val="105"/>
        </w:rPr>
        <w:t>专业技术人员</w:t>
      </w:r>
      <w:r>
        <w:rPr>
          <w:rFonts w:hint="eastAsia" w:ascii="MS UI Gothic" w:eastAsia="MS UI Gothic"/>
          <w:w w:val="80"/>
        </w:rPr>
        <w:t>ꎮ</w:t>
      </w:r>
    </w:p>
    <w:p>
      <w:pPr>
        <w:pStyle w:val="6"/>
        <w:spacing w:line="300" w:lineRule="auto"/>
        <w:ind w:left="381" w:right="126"/>
        <w:rPr>
          <w:rFonts w:hint="eastAsia" w:ascii="MS UI Gothic" w:eastAsia="MS UI Gothic"/>
        </w:rPr>
      </w:pPr>
      <w:r>
        <w:rPr>
          <w:w w:val="105"/>
        </w:rPr>
        <w:t>第六条 生产经营单位主要负责人和</w:t>
      </w:r>
      <w:r>
        <w:t>安全管理人员应当依照有关规定经培训考核合格并取得安全资格证书后</w:t>
      </w:r>
      <w:r>
        <w:rPr>
          <w:rFonts w:hint="eastAsia" w:ascii="MS UI Gothic" w:eastAsia="MS UI Gothic"/>
          <w:w w:val="80"/>
        </w:rPr>
        <w:t xml:space="preserve">ꎬ </w:t>
      </w:r>
      <w:r>
        <w:t>方可</w:t>
      </w:r>
      <w:r>
        <w:rPr>
          <w:w w:val="105"/>
        </w:rPr>
        <w:t>任职</w:t>
      </w:r>
      <w:r>
        <w:rPr>
          <w:rFonts w:hint="eastAsia" w:ascii="MS UI Gothic" w:eastAsia="MS UI Gothic"/>
          <w:w w:val="80"/>
        </w:rPr>
        <w:t>ꎮ</w:t>
      </w:r>
    </w:p>
    <w:p>
      <w:pPr>
        <w:pStyle w:val="6"/>
        <w:spacing w:line="300" w:lineRule="auto"/>
        <w:ind w:left="381" w:right="124"/>
        <w:rPr>
          <w:rFonts w:hint="eastAsia" w:ascii="MS UI Gothic" w:eastAsia="MS UI Gothic"/>
        </w:rPr>
      </w:pPr>
      <w:r>
        <w:t>直接从事尾矿库放矿</w:t>
      </w:r>
      <w:r>
        <w:rPr>
          <w:rFonts w:hint="eastAsia" w:ascii="MS UI Gothic" w:eastAsia="MS UI Gothic"/>
          <w:w w:val="80"/>
        </w:rPr>
        <w:t xml:space="preserve">、 </w:t>
      </w:r>
      <w:r>
        <w:t>筑坝</w:t>
      </w:r>
      <w:r>
        <w:rPr>
          <w:rFonts w:hint="eastAsia" w:ascii="MS UI Gothic" w:eastAsia="MS UI Gothic"/>
          <w:w w:val="80"/>
        </w:rPr>
        <w:t xml:space="preserve">、 </w:t>
      </w:r>
      <w:r>
        <w:t>巡坝</w:t>
      </w:r>
      <w:r>
        <w:rPr>
          <w:rFonts w:hint="eastAsia" w:ascii="MS UI Gothic" w:eastAsia="MS UI Gothic"/>
          <w:w w:val="80"/>
        </w:rPr>
        <w:t>、</w:t>
      </w:r>
      <w:r>
        <w:t>排洪和排渗设施操作的作业人员必须取得特种作业操作证书</w:t>
      </w:r>
      <w:r>
        <w:rPr>
          <w:rFonts w:hint="eastAsia" w:ascii="MS UI Gothic" w:eastAsia="MS UI Gothic"/>
          <w:w w:val="80"/>
        </w:rPr>
        <w:t xml:space="preserve">ꎬ </w:t>
      </w:r>
      <w:r>
        <w:t>方可上岗作业</w:t>
      </w:r>
      <w:r>
        <w:rPr>
          <w:rFonts w:hint="eastAsia" w:ascii="MS UI Gothic" w:eastAsia="MS UI Gothic"/>
          <w:w w:val="80"/>
        </w:rPr>
        <w:t>ꎮ</w:t>
      </w:r>
    </w:p>
    <w:p>
      <w:pPr>
        <w:pStyle w:val="6"/>
        <w:spacing w:line="300" w:lineRule="auto"/>
        <w:ind w:left="381" w:right="124"/>
        <w:rPr>
          <w:rFonts w:hint="eastAsia" w:ascii="MS UI Gothic" w:eastAsia="MS UI Gothic"/>
        </w:rPr>
      </w:pPr>
      <w:r>
        <w:rPr>
          <w:w w:val="105"/>
        </w:rPr>
        <w:t>第七条 国家安全生产监督管理总局</w:t>
      </w:r>
      <w:r>
        <w:t>负责对国务院或者国务院有关部门审批</w:t>
      </w:r>
      <w:r>
        <w:rPr>
          <w:rFonts w:hint="eastAsia" w:ascii="MS UI Gothic" w:eastAsia="MS UI Gothic"/>
          <w:w w:val="80"/>
        </w:rPr>
        <w:t>、</w:t>
      </w:r>
      <w:r>
        <w:rPr>
          <w:w w:val="105"/>
        </w:rPr>
        <w:t>核准</w:t>
      </w:r>
      <w:r>
        <w:rPr>
          <w:rFonts w:hint="eastAsia" w:ascii="MS UI Gothic" w:eastAsia="MS UI Gothic"/>
          <w:w w:val="80"/>
        </w:rPr>
        <w:t xml:space="preserve">、 </w:t>
      </w:r>
      <w:r>
        <w:rPr>
          <w:w w:val="105"/>
        </w:rPr>
        <w:t>备案的尾矿库建设项目进行安全设施设计审查和竣工验收</w:t>
      </w:r>
      <w:r>
        <w:rPr>
          <w:rFonts w:hint="eastAsia" w:ascii="MS UI Gothic" w:eastAsia="MS UI Gothic"/>
          <w:w w:val="80"/>
        </w:rPr>
        <w:t>ꎮ</w:t>
      </w:r>
    </w:p>
    <w:p>
      <w:pPr>
        <w:pStyle w:val="6"/>
        <w:spacing w:line="300" w:lineRule="auto"/>
        <w:ind w:left="381" w:right="126"/>
        <w:rPr>
          <w:rFonts w:hint="eastAsia" w:ascii="MS UI Gothic" w:eastAsia="MS UI Gothic"/>
        </w:rPr>
      </w:pPr>
      <w:r>
        <w:t>前款规定以外的其他尾矿库建设项目安全设施设计审查和竣工验收</w:t>
      </w:r>
      <w:r>
        <w:rPr>
          <w:rFonts w:hint="eastAsia" w:ascii="MS UI Gothic" w:eastAsia="MS UI Gothic"/>
          <w:w w:val="80"/>
        </w:rPr>
        <w:t xml:space="preserve">ꎬ </w:t>
      </w:r>
      <w:r>
        <w:t>由省级安全生产监督管理部门按照分级管理的原则</w:t>
      </w:r>
      <w:r>
        <w:rPr>
          <w:w w:val="105"/>
        </w:rPr>
        <w:t>作出规定</w:t>
      </w:r>
      <w:r>
        <w:rPr>
          <w:rFonts w:hint="eastAsia" w:ascii="MS UI Gothic" w:eastAsia="MS UI Gothic"/>
          <w:w w:val="80"/>
        </w:rPr>
        <w:t>ꎮ</w:t>
      </w:r>
    </w:p>
    <w:p>
      <w:pPr>
        <w:spacing w:after="0" w:line="300"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３９８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92" o:spid="_x0000_s2192" o:spt="203" style="height:2.15pt;width:398.25pt;" coordsize="7965,43">
            <o:lock v:ext="edit"/>
            <v:line id="_x0000_s2193" o:spid="_x0000_s2193" o:spt="20" style="position:absolute;left:0;top:39;height:0;width:7965;" stroked="t" coordsize="21600,21600">
              <v:path arrowok="t"/>
              <v:fill focussize="0,0"/>
              <v:stroke weight="0.388031496062992pt" color="#231F20"/>
              <v:imagedata o:title=""/>
              <o:lock v:ext="edit"/>
            </v:line>
            <v:line id="_x0000_s2194" o:spid="_x0000_s219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t>尾矿库日常安全生产监督管理工作</w:t>
      </w:r>
      <w:r>
        <w:rPr>
          <w:rFonts w:hint="eastAsia" w:ascii="MS UI Gothic" w:eastAsia="MS UI Gothic"/>
          <w:w w:val="80"/>
        </w:rPr>
        <w:t>ꎬ</w:t>
      </w:r>
      <w:r>
        <w:t>实行分级负责</w:t>
      </w:r>
      <w:r>
        <w:rPr>
          <w:rFonts w:hint="eastAsia" w:ascii="MS UI Gothic" w:eastAsia="MS UI Gothic"/>
          <w:w w:val="80"/>
        </w:rPr>
        <w:t xml:space="preserve">、 </w:t>
      </w:r>
      <w:r>
        <w:t>属地监管原则</w:t>
      </w:r>
      <w:r>
        <w:rPr>
          <w:rFonts w:hint="eastAsia" w:ascii="MS UI Gothic" w:eastAsia="MS UI Gothic"/>
          <w:w w:val="80"/>
        </w:rPr>
        <w:t xml:space="preserve">ꎬ </w:t>
      </w:r>
      <w:r>
        <w:t>由省级安全生产监督管理部门结合本行政区域实际制定具体规定</w:t>
      </w:r>
      <w:r>
        <w:rPr>
          <w:rFonts w:hint="eastAsia" w:ascii="MS UI Gothic" w:eastAsia="MS UI Gothic"/>
          <w:w w:val="80"/>
        </w:rPr>
        <w:t xml:space="preserve">ꎬ </w:t>
      </w:r>
      <w:r>
        <w:t>报国家安全生产监督管理总局备案</w:t>
      </w:r>
      <w:r>
        <w:rPr>
          <w:rFonts w:hint="eastAsia" w:ascii="MS UI Gothic" w:eastAsia="MS UI Gothic"/>
          <w:w w:val="80"/>
        </w:rPr>
        <w:t>ꎮ</w:t>
      </w:r>
    </w:p>
    <w:p>
      <w:pPr>
        <w:pStyle w:val="6"/>
        <w:spacing w:line="295" w:lineRule="auto"/>
        <w:ind w:right="39"/>
        <w:rPr>
          <w:rFonts w:hint="eastAsia" w:ascii="MS UI Gothic" w:eastAsia="MS UI Gothic"/>
        </w:rPr>
      </w:pPr>
      <w:r>
        <w:t>第八条 鼓励生产经营单位应用尾矿库在线监测</w:t>
      </w:r>
      <w:r>
        <w:rPr>
          <w:rFonts w:hint="eastAsia" w:ascii="MS UI Gothic" w:eastAsia="MS UI Gothic"/>
          <w:w w:val="80"/>
        </w:rPr>
        <w:t xml:space="preserve">、 </w:t>
      </w:r>
      <w:r>
        <w:t>尾矿充填</w:t>
      </w:r>
      <w:r>
        <w:rPr>
          <w:rFonts w:hint="eastAsia" w:ascii="MS UI Gothic" w:eastAsia="MS UI Gothic"/>
          <w:w w:val="80"/>
        </w:rPr>
        <w:t xml:space="preserve">、 </w:t>
      </w:r>
      <w:r>
        <w:t>干式排尾</w:t>
      </w:r>
      <w:r>
        <w:rPr>
          <w:rFonts w:hint="eastAsia" w:ascii="MS UI Gothic" w:eastAsia="MS UI Gothic"/>
          <w:w w:val="80"/>
        </w:rPr>
        <w:t xml:space="preserve">、 </w:t>
      </w:r>
      <w:r>
        <w:t>尾矿综合利用等先进适用技术</w:t>
      </w:r>
      <w:r>
        <w:rPr>
          <w:rFonts w:hint="eastAsia" w:ascii="MS UI Gothic" w:eastAsia="MS UI Gothic"/>
          <w:w w:val="80"/>
        </w:rPr>
        <w:t>ꎮ</w:t>
      </w:r>
    </w:p>
    <w:p>
      <w:pPr>
        <w:pStyle w:val="6"/>
        <w:spacing w:line="295" w:lineRule="auto"/>
        <w:ind w:right="39"/>
        <w:rPr>
          <w:rFonts w:hint="eastAsia" w:ascii="MS UI Gothic" w:eastAsia="MS UI Gothic"/>
        </w:rPr>
      </w:pPr>
      <w:r>
        <w:t>一等</w:t>
      </w:r>
      <w:r>
        <w:rPr>
          <w:rFonts w:hint="eastAsia" w:ascii="MS UI Gothic" w:eastAsia="MS UI Gothic"/>
          <w:w w:val="80"/>
        </w:rPr>
        <w:t xml:space="preserve">、 </w:t>
      </w:r>
      <w:r>
        <w:t>二等</w:t>
      </w:r>
      <w:r>
        <w:rPr>
          <w:rFonts w:hint="eastAsia" w:ascii="MS UI Gothic" w:eastAsia="MS UI Gothic"/>
          <w:w w:val="80"/>
        </w:rPr>
        <w:t xml:space="preserve">、 </w:t>
      </w:r>
      <w:r>
        <w:t>三等尾矿库应当安装在线监测系统</w:t>
      </w:r>
      <w:r>
        <w:rPr>
          <w:rFonts w:hint="eastAsia" w:ascii="MS UI Gothic" w:eastAsia="MS UI Gothic"/>
          <w:w w:val="80"/>
        </w:rPr>
        <w:t xml:space="preserve">ꎮ </w:t>
      </w:r>
      <w:r>
        <w:t>鼓励生产经营单位将尾矿回采再利用后进行回填</w:t>
      </w:r>
      <w:r>
        <w:rPr>
          <w:rFonts w:hint="eastAsia" w:ascii="MS UI Gothic" w:eastAsia="MS UI Gothic"/>
          <w:w w:val="80"/>
        </w:rPr>
        <w:t>ꎮ</w:t>
      </w:r>
    </w:p>
    <w:p>
      <w:pPr>
        <w:pStyle w:val="6"/>
        <w:tabs>
          <w:tab w:val="left" w:pos="1906"/>
        </w:tabs>
        <w:spacing w:before="149"/>
        <w:ind w:left="1067" w:firstLine="0"/>
        <w:jc w:val="left"/>
      </w:pPr>
      <w:r>
        <w:rPr>
          <w:spacing w:val="3"/>
          <w:w w:val="105"/>
        </w:rPr>
        <w:t>第二</w:t>
      </w:r>
      <w:r>
        <w:rPr>
          <w:w w:val="105"/>
        </w:rPr>
        <w:t>章</w:t>
      </w:r>
      <w:r>
        <w:rPr>
          <w:w w:val="105"/>
        </w:rPr>
        <w:tab/>
      </w:r>
      <w:r>
        <w:rPr>
          <w:spacing w:val="3"/>
        </w:rPr>
        <w:t>尾矿库建</w:t>
      </w:r>
      <w:r>
        <w:t>设</w:t>
      </w:r>
    </w:p>
    <w:p>
      <w:pPr>
        <w:pStyle w:val="6"/>
        <w:spacing w:before="215" w:line="295" w:lineRule="auto"/>
        <w:ind w:right="38"/>
        <w:rPr>
          <w:rFonts w:hint="eastAsia" w:ascii="MS UI Gothic" w:hAnsi="MS UI Gothic" w:eastAsia="MS UI Gothic"/>
        </w:rPr>
      </w:pPr>
      <w:r>
        <w:rPr>
          <w:spacing w:val="12"/>
          <w:w w:val="105"/>
        </w:rPr>
        <w:t>第九条 尾矿库建设项目包括新建</w:t>
      </w:r>
      <w:r>
        <w:rPr>
          <w:rFonts w:hint="eastAsia" w:ascii="MS UI Gothic" w:hAnsi="MS UI Gothic" w:eastAsia="MS UI Gothic"/>
          <w:w w:val="80"/>
        </w:rPr>
        <w:t>、</w:t>
      </w:r>
      <w:r>
        <w:rPr>
          <w:spacing w:val="3"/>
          <w:w w:val="105"/>
        </w:rPr>
        <w:t>改建</w:t>
      </w:r>
      <w:r>
        <w:rPr>
          <w:rFonts w:hint="eastAsia" w:ascii="MS UI Gothic" w:hAnsi="MS UI Gothic" w:eastAsia="MS UI Gothic"/>
          <w:spacing w:val="11"/>
          <w:w w:val="80"/>
        </w:rPr>
        <w:t xml:space="preserve">、 </w:t>
      </w:r>
      <w:r>
        <w:rPr>
          <w:spacing w:val="3"/>
          <w:w w:val="105"/>
        </w:rPr>
        <w:t>扩建以及回采</w:t>
      </w:r>
      <w:r>
        <w:rPr>
          <w:rFonts w:hint="eastAsia" w:ascii="MS UI Gothic" w:hAnsi="MS UI Gothic" w:eastAsia="MS UI Gothic"/>
          <w:spacing w:val="11"/>
          <w:w w:val="80"/>
        </w:rPr>
        <w:t xml:space="preserve">、 </w:t>
      </w:r>
      <w:r>
        <w:rPr>
          <w:spacing w:val="2"/>
          <w:w w:val="105"/>
        </w:rPr>
        <w:t>闭库的尾矿库建设</w:t>
      </w:r>
      <w:r>
        <w:rPr>
          <w:spacing w:val="3"/>
        </w:rPr>
        <w:t>工程</w:t>
      </w:r>
      <w:r>
        <w:rPr>
          <w:rFonts w:hint="eastAsia" w:ascii="MS UI Gothic" w:hAnsi="MS UI Gothic" w:eastAsia="MS UI Gothic"/>
          <w:spacing w:val="2"/>
          <w:w w:val="80"/>
        </w:rPr>
        <w:t xml:space="preserve">ꎮ </w:t>
      </w:r>
      <w:r>
        <w:rPr>
          <w:spacing w:val="2"/>
        </w:rPr>
        <w:t>尾矿库建设项目安全设施设计审查</w:t>
      </w:r>
      <w:r>
        <w:rPr>
          <w:spacing w:val="3"/>
          <w:w w:val="105"/>
        </w:rPr>
        <w:t>与竣工验收应当符合有关法律</w:t>
      </w:r>
      <w:r>
        <w:rPr>
          <w:rFonts w:hint="eastAsia" w:ascii="MS UI Gothic" w:hAnsi="MS UI Gothic" w:eastAsia="MS UI Gothic"/>
          <w:spacing w:val="-4"/>
          <w:w w:val="80"/>
        </w:rPr>
        <w:t xml:space="preserve">、 </w:t>
      </w:r>
      <w:r>
        <w:rPr>
          <w:spacing w:val="2"/>
          <w:w w:val="105"/>
        </w:rPr>
        <w:t>行政法规</w:t>
      </w:r>
      <w:r>
        <w:rPr>
          <w:spacing w:val="-26"/>
          <w:w w:val="105"/>
        </w:rPr>
        <w:t xml:space="preserve">及 </w:t>
      </w:r>
      <w:r>
        <w:rPr>
          <w:rFonts w:hint="eastAsia" w:ascii="MS UI Gothic" w:hAnsi="MS UI Gothic" w:eastAsia="MS UI Gothic"/>
          <w:spacing w:val="-19"/>
          <w:w w:val="80"/>
        </w:rPr>
        <w:t xml:space="preserve">« </w:t>
      </w:r>
      <w:r>
        <w:rPr>
          <w:spacing w:val="14"/>
          <w:w w:val="105"/>
        </w:rPr>
        <w:t>非煤矿矿山建设项目安全设施设计</w:t>
      </w:r>
      <w:r>
        <w:rPr>
          <w:spacing w:val="3"/>
          <w:w w:val="105"/>
        </w:rPr>
        <w:t>审查与竣工验收办法</w:t>
      </w:r>
      <w:r>
        <w:rPr>
          <w:rFonts w:hint="eastAsia" w:ascii="MS UI Gothic" w:hAnsi="MS UI Gothic" w:eastAsia="MS UI Gothic"/>
          <w:spacing w:val="7"/>
          <w:w w:val="80"/>
        </w:rPr>
        <w:t xml:space="preserve">» </w:t>
      </w:r>
      <w:r>
        <w:rPr>
          <w:spacing w:val="3"/>
          <w:w w:val="105"/>
        </w:rPr>
        <w:t>的规定</w:t>
      </w:r>
      <w:r>
        <w:rPr>
          <w:rFonts w:hint="eastAsia" w:ascii="MS UI Gothic" w:hAnsi="MS UI Gothic" w:eastAsia="MS UI Gothic"/>
          <w:w w:val="80"/>
        </w:rPr>
        <w:t>ꎮ</w:t>
      </w:r>
    </w:p>
    <w:p>
      <w:pPr>
        <w:pStyle w:val="6"/>
        <w:spacing w:line="295" w:lineRule="auto"/>
        <w:ind w:right="38"/>
        <w:rPr>
          <w:rFonts w:hint="eastAsia" w:ascii="MS UI Gothic" w:eastAsia="MS UI Gothic"/>
        </w:rPr>
      </w:pPr>
      <w:r>
        <w:rPr>
          <w:w w:val="105"/>
        </w:rPr>
        <w:t>第十条 尾矿库的勘察单位应当具有</w:t>
      </w:r>
      <w:r>
        <w:t>矿山工程或者岩土工程类勘察资质</w:t>
      </w:r>
      <w:r>
        <w:rPr>
          <w:rFonts w:hint="eastAsia" w:ascii="MS UI Gothic" w:eastAsia="MS UI Gothic"/>
          <w:w w:val="80"/>
        </w:rPr>
        <w:t xml:space="preserve">ꎮ </w:t>
      </w:r>
      <w:r>
        <w:t>设计单位应当具有金属非金属矿山工程设计资质</w:t>
      </w:r>
      <w:r>
        <w:rPr>
          <w:rFonts w:hint="eastAsia" w:ascii="MS UI Gothic" w:eastAsia="MS UI Gothic"/>
          <w:w w:val="80"/>
        </w:rPr>
        <w:t xml:space="preserve">ꎮ </w:t>
      </w:r>
      <w:r>
        <w:t>安全评价单位应当具有尾矿库评价资质</w:t>
      </w:r>
      <w:r>
        <w:rPr>
          <w:rFonts w:hint="eastAsia" w:ascii="MS UI Gothic" w:eastAsia="MS UI Gothic"/>
          <w:w w:val="80"/>
        </w:rPr>
        <w:t xml:space="preserve">ꎮ </w:t>
      </w:r>
      <w:r>
        <w:t>施工单位应当具有矿山工程施工资质</w:t>
      </w:r>
      <w:r>
        <w:rPr>
          <w:rFonts w:hint="eastAsia" w:ascii="MS UI Gothic" w:eastAsia="MS UI Gothic"/>
          <w:w w:val="80"/>
        </w:rPr>
        <w:t xml:space="preserve">ꎮ </w:t>
      </w:r>
      <w:r>
        <w:t>施工监理单位应当具有矿山工程监理</w:t>
      </w:r>
      <w:r>
        <w:rPr>
          <w:w w:val="105"/>
        </w:rPr>
        <w:t>资质</w:t>
      </w:r>
      <w:r>
        <w:rPr>
          <w:rFonts w:hint="eastAsia" w:ascii="MS UI Gothic" w:eastAsia="MS UI Gothic"/>
          <w:w w:val="80"/>
        </w:rPr>
        <w:t xml:space="preserve">ꎮ </w:t>
      </w:r>
      <w:r>
        <w:rPr>
          <w:w w:val="105"/>
        </w:rPr>
        <w:t>尾矿库的勘察</w:t>
      </w:r>
      <w:r>
        <w:rPr>
          <w:rFonts w:hint="eastAsia" w:ascii="MS UI Gothic" w:eastAsia="MS UI Gothic"/>
          <w:w w:val="80"/>
        </w:rPr>
        <w:t xml:space="preserve">、 </w:t>
      </w:r>
      <w:r>
        <w:rPr>
          <w:w w:val="105"/>
        </w:rPr>
        <w:t>设计</w:t>
      </w:r>
      <w:r>
        <w:rPr>
          <w:rFonts w:hint="eastAsia" w:ascii="MS UI Gothic" w:eastAsia="MS UI Gothic"/>
          <w:w w:val="80"/>
        </w:rPr>
        <w:t xml:space="preserve">、 </w:t>
      </w:r>
      <w:r>
        <w:rPr>
          <w:w w:val="105"/>
        </w:rPr>
        <w:t>安全评价</w:t>
      </w:r>
      <w:r>
        <w:rPr>
          <w:rFonts w:hint="eastAsia" w:ascii="MS UI Gothic" w:eastAsia="MS UI Gothic"/>
          <w:w w:val="80"/>
        </w:rPr>
        <w:t>、</w:t>
      </w:r>
      <w:r>
        <w:rPr>
          <w:w w:val="105"/>
        </w:rPr>
        <w:t>施工</w:t>
      </w:r>
      <w:r>
        <w:rPr>
          <w:rFonts w:hint="eastAsia" w:ascii="MS UI Gothic" w:eastAsia="MS UI Gothic"/>
          <w:w w:val="80"/>
        </w:rPr>
        <w:t xml:space="preserve">、 </w:t>
      </w:r>
      <w:r>
        <w:rPr>
          <w:w w:val="105"/>
        </w:rPr>
        <w:t>监理等单位除符合前款规定外</w:t>
      </w:r>
      <w:r>
        <w:rPr>
          <w:rFonts w:hint="eastAsia" w:ascii="MS UI Gothic" w:eastAsia="MS UI Gothic"/>
          <w:w w:val="80"/>
        </w:rPr>
        <w:t xml:space="preserve">ꎬ </w:t>
      </w:r>
      <w:r>
        <w:rPr>
          <w:w w:val="105"/>
        </w:rPr>
        <w:t>还应当按照尾矿库的等别符合下列规定</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t>一</w:t>
      </w:r>
      <w:r>
        <w:rPr>
          <w:rFonts w:hint="eastAsia" w:ascii="MS UI Gothic" w:eastAsia="MS UI Gothic"/>
          <w:w w:val="150"/>
        </w:rPr>
        <w:t xml:space="preserve">) </w:t>
      </w:r>
      <w:r>
        <w:t>一等</w:t>
      </w:r>
      <w:r>
        <w:rPr>
          <w:rFonts w:hint="eastAsia" w:ascii="MS UI Gothic" w:eastAsia="MS UI Gothic"/>
          <w:w w:val="80"/>
        </w:rPr>
        <w:t xml:space="preserve">、 </w:t>
      </w:r>
      <w:r>
        <w:t>二等</w:t>
      </w:r>
      <w:r>
        <w:rPr>
          <w:rFonts w:hint="eastAsia" w:ascii="MS UI Gothic" w:eastAsia="MS UI Gothic"/>
          <w:w w:val="80"/>
        </w:rPr>
        <w:t xml:space="preserve">、 </w:t>
      </w:r>
      <w:r>
        <w:t>三等尾矿库建设项目</w:t>
      </w:r>
      <w:r>
        <w:rPr>
          <w:rFonts w:hint="eastAsia" w:ascii="MS UI Gothic" w:eastAsia="MS UI Gothic"/>
          <w:w w:val="80"/>
        </w:rPr>
        <w:t xml:space="preserve">ꎬ </w:t>
      </w:r>
      <w:r>
        <w:t>其勘察</w:t>
      </w:r>
      <w:r>
        <w:rPr>
          <w:rFonts w:hint="eastAsia" w:ascii="MS UI Gothic" w:eastAsia="MS UI Gothic"/>
          <w:w w:val="80"/>
        </w:rPr>
        <w:t xml:space="preserve">、 </w:t>
      </w:r>
      <w:r>
        <w:t>设计</w:t>
      </w:r>
      <w:r>
        <w:rPr>
          <w:rFonts w:hint="eastAsia" w:ascii="MS UI Gothic" w:eastAsia="MS UI Gothic"/>
          <w:w w:val="80"/>
        </w:rPr>
        <w:t xml:space="preserve">、 </w:t>
      </w:r>
      <w:r>
        <w:t>安全评价</w:t>
      </w:r>
      <w:r>
        <w:rPr>
          <w:rFonts w:hint="eastAsia" w:ascii="MS UI Gothic" w:eastAsia="MS UI Gothic"/>
          <w:w w:val="80"/>
        </w:rPr>
        <w:t xml:space="preserve">、  </w:t>
      </w:r>
      <w:r>
        <w:t>监理单位具有甲级资质</w:t>
      </w:r>
      <w:r>
        <w:rPr>
          <w:rFonts w:hint="eastAsia" w:ascii="MS UI Gothic" w:eastAsia="MS UI Gothic"/>
          <w:w w:val="80"/>
        </w:rPr>
        <w:t xml:space="preserve">ꎬ </w:t>
      </w:r>
      <w:r>
        <w:t>施工单位具有总承包一级或者特级资质</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t>二</w:t>
      </w:r>
      <w:r>
        <w:rPr>
          <w:rFonts w:hint="eastAsia" w:ascii="MS UI Gothic" w:eastAsia="MS UI Gothic"/>
          <w:w w:val="150"/>
        </w:rPr>
        <w:t xml:space="preserve">) </w:t>
      </w:r>
      <w:r>
        <w:t>四等</w:t>
      </w:r>
      <w:r>
        <w:rPr>
          <w:rFonts w:hint="eastAsia" w:ascii="MS UI Gothic" w:eastAsia="MS UI Gothic"/>
          <w:w w:val="80"/>
        </w:rPr>
        <w:t xml:space="preserve">、 </w:t>
      </w:r>
      <w:r>
        <w:t>五等尾矿库建设项目</w:t>
      </w:r>
      <w:r>
        <w:rPr>
          <w:rFonts w:hint="eastAsia" w:ascii="MS UI Gothic" w:eastAsia="MS UI Gothic"/>
          <w:w w:val="80"/>
        </w:rPr>
        <w:t>ꎬ</w:t>
      </w:r>
      <w:r>
        <w:t>其勘察</w:t>
      </w:r>
      <w:r>
        <w:rPr>
          <w:rFonts w:hint="eastAsia" w:ascii="MS UI Gothic" w:eastAsia="MS UI Gothic"/>
          <w:w w:val="80"/>
        </w:rPr>
        <w:t xml:space="preserve">、 </w:t>
      </w:r>
      <w:r>
        <w:t>设计</w:t>
      </w:r>
      <w:r>
        <w:rPr>
          <w:rFonts w:hint="eastAsia" w:ascii="MS UI Gothic" w:eastAsia="MS UI Gothic"/>
          <w:w w:val="80"/>
        </w:rPr>
        <w:t xml:space="preserve">、 </w:t>
      </w:r>
      <w:r>
        <w:t>安全评价</w:t>
      </w:r>
      <w:r>
        <w:rPr>
          <w:rFonts w:hint="eastAsia" w:ascii="MS UI Gothic" w:eastAsia="MS UI Gothic"/>
          <w:w w:val="80"/>
        </w:rPr>
        <w:t xml:space="preserve">、 </w:t>
      </w:r>
      <w:r>
        <w:t>监理单位具有乙级或者乙级以上资质</w:t>
      </w:r>
      <w:r>
        <w:rPr>
          <w:rFonts w:hint="eastAsia" w:ascii="MS UI Gothic" w:eastAsia="MS UI Gothic"/>
          <w:w w:val="80"/>
        </w:rPr>
        <w:t xml:space="preserve">ꎬ </w:t>
      </w:r>
      <w:r>
        <w:t>施工单位具有总承包三级或者三级以上资质</w:t>
      </w:r>
      <w:r>
        <w:rPr>
          <w:rFonts w:hint="eastAsia" w:ascii="MS UI Gothic" w:eastAsia="MS UI Gothic"/>
          <w:w w:val="80"/>
        </w:rPr>
        <w:t xml:space="preserve">ꎬ </w:t>
      </w:r>
      <w:r>
        <w:t>或者专业承包一级</w:t>
      </w:r>
      <w:r>
        <w:rPr>
          <w:rFonts w:hint="eastAsia" w:ascii="MS UI Gothic" w:eastAsia="MS UI Gothic"/>
          <w:w w:val="80"/>
        </w:rPr>
        <w:t xml:space="preserve">、 </w:t>
      </w:r>
      <w:r>
        <w:t>二级资质</w:t>
      </w:r>
      <w:r>
        <w:rPr>
          <w:rFonts w:hint="eastAsia" w:ascii="MS UI Gothic" w:eastAsia="MS UI Gothic"/>
          <w:w w:val="80"/>
        </w:rPr>
        <w:t>ꎮ</w:t>
      </w:r>
    </w:p>
    <w:p>
      <w:pPr>
        <w:pStyle w:val="6"/>
        <w:spacing w:line="295" w:lineRule="auto"/>
        <w:ind w:right="39"/>
      </w:pPr>
      <w:r>
        <w:rPr>
          <w:w w:val="105"/>
        </w:rPr>
        <w:t>第十一条 尾矿库建设项目初步设计</w:t>
      </w:r>
      <w:r>
        <w:t>应当包括安全设施设计</w:t>
      </w:r>
      <w:r>
        <w:rPr>
          <w:rFonts w:hint="eastAsia" w:ascii="MS UI Gothic" w:eastAsia="MS UI Gothic"/>
          <w:w w:val="80"/>
        </w:rPr>
        <w:t xml:space="preserve">ꎬ </w:t>
      </w:r>
      <w:r>
        <w:t>并编制安全专</w:t>
      </w:r>
    </w:p>
    <w:p>
      <w:pPr>
        <w:pStyle w:val="6"/>
        <w:spacing w:before="123" w:line="295" w:lineRule="auto"/>
        <w:ind w:right="442" w:firstLine="0"/>
        <w:rPr>
          <w:rFonts w:hint="eastAsia" w:ascii="MS UI Gothic" w:eastAsia="MS UI Gothic"/>
        </w:rPr>
      </w:pPr>
      <w:r>
        <w:br w:type="column"/>
      </w:r>
      <w:r>
        <w:t>篇</w:t>
      </w:r>
      <w:r>
        <w:rPr>
          <w:rFonts w:hint="eastAsia" w:ascii="MS UI Gothic" w:eastAsia="MS UI Gothic"/>
          <w:w w:val="80"/>
        </w:rPr>
        <w:t xml:space="preserve">ꎮ </w:t>
      </w:r>
      <w:r>
        <w:t>安全专篇应当对尾矿库库址及尾矿坝稳定性</w:t>
      </w:r>
      <w:r>
        <w:rPr>
          <w:rFonts w:hint="eastAsia" w:ascii="MS UI Gothic" w:eastAsia="MS UI Gothic"/>
          <w:w w:val="80"/>
        </w:rPr>
        <w:t xml:space="preserve">、 </w:t>
      </w:r>
      <w:r>
        <w:t>尾矿库防洪能力</w:t>
      </w:r>
      <w:r>
        <w:rPr>
          <w:rFonts w:hint="eastAsia" w:ascii="MS UI Gothic" w:eastAsia="MS UI Gothic"/>
          <w:w w:val="80"/>
        </w:rPr>
        <w:t xml:space="preserve">、 </w:t>
      </w:r>
      <w:r>
        <w:t>排洪设施和安全观测设施的可靠性进行充分论证</w:t>
      </w:r>
      <w:r>
        <w:rPr>
          <w:rFonts w:hint="eastAsia" w:ascii="MS UI Gothic" w:eastAsia="MS UI Gothic"/>
          <w:w w:val="80"/>
        </w:rPr>
        <w:t>ꎮ</w:t>
      </w:r>
    </w:p>
    <w:p>
      <w:pPr>
        <w:pStyle w:val="6"/>
        <w:spacing w:line="295" w:lineRule="auto"/>
        <w:ind w:right="442"/>
        <w:rPr>
          <w:rFonts w:hint="eastAsia" w:ascii="MS UI Gothic" w:eastAsia="MS UI Gothic"/>
        </w:rPr>
      </w:pPr>
      <w:r>
        <w:t>第十二条 尾矿库库址应当由设计单位根据库容</w:t>
      </w:r>
      <w:r>
        <w:rPr>
          <w:rFonts w:hint="eastAsia" w:ascii="MS UI Gothic" w:eastAsia="MS UI Gothic"/>
          <w:w w:val="80"/>
        </w:rPr>
        <w:t xml:space="preserve">、 </w:t>
      </w:r>
      <w:r>
        <w:t>坝高</w:t>
      </w:r>
      <w:r>
        <w:rPr>
          <w:rFonts w:hint="eastAsia" w:ascii="MS UI Gothic" w:eastAsia="MS UI Gothic"/>
          <w:w w:val="80"/>
        </w:rPr>
        <w:t xml:space="preserve">、 </w:t>
      </w:r>
      <w:r>
        <w:t>库区地形条件</w:t>
      </w:r>
      <w:r>
        <w:rPr>
          <w:rFonts w:hint="eastAsia" w:ascii="MS UI Gothic" w:eastAsia="MS UI Gothic"/>
          <w:w w:val="80"/>
        </w:rPr>
        <w:t xml:space="preserve">、 </w:t>
      </w:r>
      <w:r>
        <w:t>水文地质</w:t>
      </w:r>
      <w:r>
        <w:rPr>
          <w:rFonts w:hint="eastAsia" w:ascii="MS UI Gothic" w:eastAsia="MS UI Gothic"/>
          <w:w w:val="80"/>
        </w:rPr>
        <w:t xml:space="preserve">、 </w:t>
      </w:r>
      <w:r>
        <w:t>气象</w:t>
      </w:r>
      <w:r>
        <w:rPr>
          <w:rFonts w:hint="eastAsia" w:ascii="MS UI Gothic" w:eastAsia="MS UI Gothic"/>
          <w:w w:val="80"/>
        </w:rPr>
        <w:t xml:space="preserve">、 </w:t>
      </w:r>
      <w:r>
        <w:t>下游居民区和重要工业构筑物等情况</w:t>
      </w:r>
      <w:r>
        <w:rPr>
          <w:rFonts w:hint="eastAsia" w:ascii="MS UI Gothic" w:eastAsia="MS UI Gothic"/>
          <w:w w:val="80"/>
        </w:rPr>
        <w:t xml:space="preserve">ꎬ </w:t>
      </w:r>
      <w:r>
        <w:t>经科学论证后</w:t>
      </w:r>
      <w:r>
        <w:rPr>
          <w:rFonts w:hint="eastAsia" w:ascii="MS UI Gothic" w:eastAsia="MS UI Gothic"/>
          <w:w w:val="80"/>
        </w:rPr>
        <w:t xml:space="preserve">ꎬ </w:t>
      </w:r>
      <w:r>
        <w:t>合理确定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第十三条 尾矿库建设项目应当进行</w:t>
      </w:r>
      <w:r>
        <w:t>安全设施设计并经安全生产监督管理部门审查批准后方可施工</w:t>
      </w:r>
      <w:r>
        <w:rPr>
          <w:rFonts w:hint="eastAsia" w:ascii="MS UI Gothic" w:eastAsia="MS UI Gothic"/>
          <w:w w:val="80"/>
        </w:rPr>
        <w:t xml:space="preserve">ꎮ </w:t>
      </w:r>
      <w:r>
        <w:t>无安全设施设计或者安全设施设计未经审查批准的</w:t>
      </w:r>
      <w:r>
        <w:rPr>
          <w:rFonts w:hint="eastAsia" w:ascii="MS UI Gothic" w:eastAsia="MS UI Gothic"/>
          <w:w w:val="80"/>
        </w:rPr>
        <w:t xml:space="preserve">ꎬ </w:t>
      </w:r>
      <w:r>
        <w:t>不得</w:t>
      </w:r>
      <w:r>
        <w:rPr>
          <w:w w:val="105"/>
        </w:rPr>
        <w:t>施工</w:t>
      </w:r>
      <w:r>
        <w:rPr>
          <w:rFonts w:hint="eastAsia" w:ascii="MS UI Gothic" w:eastAsia="MS UI Gothic"/>
          <w:w w:val="80"/>
        </w:rPr>
        <w:t>ꎮ</w:t>
      </w:r>
    </w:p>
    <w:p>
      <w:pPr>
        <w:pStyle w:val="6"/>
        <w:spacing w:line="295" w:lineRule="auto"/>
        <w:ind w:right="442"/>
        <w:jc w:val="left"/>
        <w:rPr>
          <w:rFonts w:hint="eastAsia" w:ascii="MS UI Gothic" w:eastAsia="MS UI Gothic"/>
        </w:rPr>
      </w:pPr>
      <w:r>
        <w:t>严禁未经设计并审查批准擅自加高尾</w:t>
      </w:r>
      <w:r>
        <w:rPr>
          <w:w w:val="105"/>
        </w:rPr>
        <w:t>矿库坝体</w:t>
      </w:r>
      <w:r>
        <w:rPr>
          <w:rFonts w:hint="eastAsia" w:ascii="MS UI Gothic" w:eastAsia="MS UI Gothic"/>
          <w:w w:val="80"/>
        </w:rPr>
        <w:t>ꎮ</w:t>
      </w:r>
    </w:p>
    <w:p>
      <w:pPr>
        <w:pStyle w:val="6"/>
        <w:spacing w:line="295" w:lineRule="auto"/>
        <w:ind w:right="442"/>
        <w:rPr>
          <w:rFonts w:hint="eastAsia" w:ascii="MS UI Gothic" w:eastAsia="MS UI Gothic"/>
        </w:rPr>
      </w:pPr>
      <w:r>
        <w:t>第十四条 尾矿库施工应当执行有关法律</w:t>
      </w:r>
      <w:r>
        <w:rPr>
          <w:rFonts w:hint="eastAsia" w:ascii="MS UI Gothic" w:eastAsia="MS UI Gothic"/>
          <w:w w:val="80"/>
        </w:rPr>
        <w:t xml:space="preserve">、 </w:t>
      </w:r>
      <w:r>
        <w:t>行政法规和国家标准</w:t>
      </w:r>
      <w:r>
        <w:rPr>
          <w:rFonts w:hint="eastAsia" w:ascii="MS UI Gothic" w:eastAsia="MS UI Gothic"/>
          <w:w w:val="80"/>
        </w:rPr>
        <w:t xml:space="preserve">、 </w:t>
      </w:r>
      <w:r>
        <w:t>行业标准的规定</w:t>
      </w:r>
      <w:r>
        <w:rPr>
          <w:rFonts w:hint="eastAsia" w:ascii="MS UI Gothic" w:eastAsia="MS UI Gothic"/>
          <w:w w:val="80"/>
        </w:rPr>
        <w:t xml:space="preserve">ꎬ </w:t>
      </w:r>
      <w:r>
        <w:t>严格按照设计施工</w:t>
      </w:r>
      <w:r>
        <w:rPr>
          <w:rFonts w:hint="eastAsia" w:ascii="MS UI Gothic" w:eastAsia="MS UI Gothic"/>
          <w:w w:val="80"/>
        </w:rPr>
        <w:t xml:space="preserve">ꎬ </w:t>
      </w:r>
      <w:r>
        <w:t>确保工程质量</w:t>
      </w:r>
      <w:r>
        <w:rPr>
          <w:rFonts w:hint="eastAsia" w:ascii="MS UI Gothic" w:eastAsia="MS UI Gothic"/>
          <w:w w:val="80"/>
        </w:rPr>
        <w:t xml:space="preserve">ꎬ </w:t>
      </w:r>
      <w:r>
        <w:t>并做好施工记录</w:t>
      </w:r>
      <w:r>
        <w:rPr>
          <w:rFonts w:hint="eastAsia" w:ascii="MS UI Gothic" w:eastAsia="MS UI Gothic"/>
          <w:w w:val="80"/>
        </w:rPr>
        <w:t>ꎮ</w:t>
      </w:r>
    </w:p>
    <w:p>
      <w:pPr>
        <w:pStyle w:val="6"/>
        <w:spacing w:line="295" w:lineRule="auto"/>
        <w:ind w:right="440"/>
        <w:rPr>
          <w:rFonts w:hint="eastAsia" w:ascii="MS UI Gothic" w:eastAsia="MS UI Gothic"/>
        </w:rPr>
      </w:pPr>
      <w:r>
        <w:t>生产经营单位应当建立尾矿库工程档案和日常管理档案</w:t>
      </w:r>
      <w:r>
        <w:rPr>
          <w:rFonts w:hint="eastAsia" w:ascii="MS UI Gothic" w:eastAsia="MS UI Gothic"/>
          <w:w w:val="80"/>
        </w:rPr>
        <w:t xml:space="preserve">ꎬ </w:t>
      </w:r>
      <w:r>
        <w:t>特别是隐蔽工程档案</w:t>
      </w:r>
      <w:r>
        <w:rPr>
          <w:rFonts w:hint="eastAsia" w:ascii="MS UI Gothic" w:eastAsia="MS UI Gothic"/>
          <w:w w:val="80"/>
        </w:rPr>
        <w:t xml:space="preserve">、 </w:t>
      </w:r>
      <w:r>
        <w:t>安全检查档案和隐患排查治理档案</w:t>
      </w:r>
      <w:r>
        <w:rPr>
          <w:rFonts w:hint="eastAsia" w:ascii="MS UI Gothic" w:eastAsia="MS UI Gothic"/>
          <w:w w:val="80"/>
        </w:rPr>
        <w:t>ꎬ</w:t>
      </w:r>
      <w:r>
        <w:t>并长期保存</w:t>
      </w:r>
      <w:r>
        <w:rPr>
          <w:rFonts w:hint="eastAsia" w:ascii="MS UI Gothic" w:eastAsia="MS UI Gothic"/>
          <w:w w:val="80"/>
        </w:rPr>
        <w:t>ꎮ</w:t>
      </w:r>
    </w:p>
    <w:p>
      <w:pPr>
        <w:pStyle w:val="6"/>
        <w:spacing w:line="295" w:lineRule="auto"/>
        <w:ind w:right="442"/>
        <w:rPr>
          <w:rFonts w:hint="eastAsia" w:ascii="MS UI Gothic" w:eastAsia="MS UI Gothic"/>
        </w:rPr>
      </w:pPr>
      <w:r>
        <w:t>第十五条 施工中需要对设计进行局部修改的</w:t>
      </w:r>
      <w:r>
        <w:rPr>
          <w:rFonts w:hint="eastAsia" w:ascii="MS UI Gothic" w:eastAsia="MS UI Gothic"/>
          <w:w w:val="80"/>
        </w:rPr>
        <w:t xml:space="preserve">ꎬ </w:t>
      </w:r>
      <w:r>
        <w:t>应当经原设计单位同意</w:t>
      </w:r>
      <w:r>
        <w:rPr>
          <w:rFonts w:hint="eastAsia" w:ascii="MS UI Gothic" w:eastAsia="MS UI Gothic"/>
          <w:w w:val="80"/>
        </w:rPr>
        <w:t xml:space="preserve">ꎻ </w:t>
      </w:r>
      <w:r>
        <w:t>对涉及尾矿库库址</w:t>
      </w:r>
      <w:r>
        <w:rPr>
          <w:rFonts w:hint="eastAsia" w:ascii="MS UI Gothic" w:eastAsia="MS UI Gothic"/>
          <w:w w:val="80"/>
        </w:rPr>
        <w:t xml:space="preserve">、 </w:t>
      </w:r>
      <w:r>
        <w:t>等别</w:t>
      </w:r>
      <w:r>
        <w:rPr>
          <w:rFonts w:hint="eastAsia" w:ascii="MS UI Gothic" w:eastAsia="MS UI Gothic"/>
          <w:w w:val="80"/>
        </w:rPr>
        <w:t xml:space="preserve">、 </w:t>
      </w:r>
      <w:r>
        <w:t>排洪方式</w:t>
      </w:r>
      <w:r>
        <w:rPr>
          <w:rFonts w:hint="eastAsia" w:ascii="MS UI Gothic" w:eastAsia="MS UI Gothic"/>
          <w:w w:val="80"/>
        </w:rPr>
        <w:t xml:space="preserve">、 </w:t>
      </w:r>
      <w:r>
        <w:t>尾矿坝坝型等重大设计变更的</w:t>
      </w:r>
      <w:r>
        <w:rPr>
          <w:rFonts w:hint="eastAsia" w:ascii="MS UI Gothic" w:eastAsia="MS UI Gothic"/>
          <w:w w:val="80"/>
        </w:rPr>
        <w:t xml:space="preserve">ꎬ </w:t>
      </w:r>
      <w:r>
        <w:t>应当报原审批部门批准</w:t>
      </w:r>
      <w:r>
        <w:rPr>
          <w:rFonts w:hint="eastAsia" w:ascii="MS UI Gothic" w:eastAsia="MS UI Gothic"/>
          <w:w w:val="80"/>
        </w:rPr>
        <w:t>ꎮ</w:t>
      </w:r>
    </w:p>
    <w:p>
      <w:pPr>
        <w:pStyle w:val="6"/>
        <w:spacing w:line="295" w:lineRule="auto"/>
        <w:ind w:right="442"/>
        <w:rPr>
          <w:rFonts w:hint="eastAsia" w:ascii="MS UI Gothic" w:eastAsia="MS UI Gothic"/>
        </w:rPr>
      </w:pPr>
      <w:r>
        <w:t>第十六条 尾矿库建设项目安全设施试运行应当向安全生产监督管理部门备案</w:t>
      </w:r>
      <w:r>
        <w:rPr>
          <w:rFonts w:hint="eastAsia" w:ascii="MS UI Gothic" w:eastAsia="MS UI Gothic"/>
          <w:w w:val="80"/>
        </w:rPr>
        <w:t xml:space="preserve">ꎬ </w:t>
      </w:r>
      <w:r>
        <w:t xml:space="preserve">试运行时间不得超过 </w:t>
      </w:r>
      <w:r>
        <w:rPr>
          <w:rFonts w:hint="eastAsia" w:ascii="MS UI Gothic" w:eastAsia="MS UI Gothic"/>
          <w:w w:val="80"/>
        </w:rPr>
        <w:t xml:space="preserve">６ </w:t>
      </w:r>
      <w:r>
        <w:t>个月</w:t>
      </w:r>
      <w:r>
        <w:rPr>
          <w:rFonts w:hint="eastAsia" w:ascii="MS UI Gothic" w:eastAsia="MS UI Gothic"/>
          <w:w w:val="80"/>
        </w:rPr>
        <w:t xml:space="preserve">ꎬ </w:t>
      </w:r>
      <w:r>
        <w:t>且尾砂排放不得超过初期坝坝顶标高</w:t>
      </w:r>
      <w:r>
        <w:rPr>
          <w:rFonts w:hint="eastAsia" w:ascii="MS UI Gothic" w:eastAsia="MS UI Gothic"/>
          <w:w w:val="80"/>
        </w:rPr>
        <w:t xml:space="preserve">ꎮ </w:t>
      </w:r>
      <w:r>
        <w:t>试运行结束后</w:t>
      </w:r>
      <w:r>
        <w:rPr>
          <w:rFonts w:hint="eastAsia" w:ascii="MS UI Gothic" w:eastAsia="MS UI Gothic"/>
          <w:w w:val="80"/>
        </w:rPr>
        <w:t xml:space="preserve">ꎬ </w:t>
      </w:r>
      <w:r>
        <w:t>应当向安全生产监督管理部门申请安全设施竣工验收</w:t>
      </w:r>
      <w:r>
        <w:rPr>
          <w:rFonts w:hint="eastAsia" w:ascii="MS UI Gothic" w:eastAsia="MS UI Gothic"/>
          <w:w w:val="80"/>
        </w:rPr>
        <w:t>ꎮ</w:t>
      </w:r>
    </w:p>
    <w:p>
      <w:pPr>
        <w:pStyle w:val="6"/>
        <w:spacing w:line="295" w:lineRule="auto"/>
        <w:ind w:right="442"/>
      </w:pPr>
      <w:r>
        <w:rPr>
          <w:w w:val="105"/>
        </w:rPr>
        <w:t>第十七条 尾矿库建设项目安全设施</w:t>
      </w:r>
      <w:r>
        <w:t>经安全生产监督管理部门验收合格后</w:t>
      </w:r>
      <w:r>
        <w:rPr>
          <w:rFonts w:hint="eastAsia" w:ascii="MS UI Gothic" w:hAnsi="MS UI Gothic" w:eastAsia="MS UI Gothic"/>
          <w:w w:val="80"/>
        </w:rPr>
        <w:t xml:space="preserve">ꎬ </w:t>
      </w:r>
      <w:r>
        <w:t>生</w:t>
      </w:r>
      <w:r>
        <w:rPr>
          <w:w w:val="105"/>
        </w:rPr>
        <w:t xml:space="preserve">产经营单位应当及时按照 </w:t>
      </w:r>
      <w:r>
        <w:rPr>
          <w:rFonts w:hint="eastAsia" w:ascii="MS UI Gothic" w:hAnsi="MS UI Gothic" w:eastAsia="MS UI Gothic"/>
          <w:w w:val="80"/>
        </w:rPr>
        <w:t xml:space="preserve">« </w:t>
      </w:r>
      <w:r>
        <w:rPr>
          <w:w w:val="105"/>
        </w:rPr>
        <w:t>非煤矿矿山企业安全生产许可证实施办法</w:t>
      </w:r>
      <w:r>
        <w:rPr>
          <w:rFonts w:hint="eastAsia" w:ascii="MS UI Gothic" w:hAnsi="MS UI Gothic" w:eastAsia="MS UI Gothic"/>
          <w:w w:val="80"/>
        </w:rPr>
        <w:t xml:space="preserve">» </w:t>
      </w:r>
      <w:r>
        <w:rPr>
          <w:w w:val="105"/>
        </w:rPr>
        <w:t>的有关</w:t>
      </w:r>
      <w:r>
        <w:t>规定</w:t>
      </w:r>
      <w:r>
        <w:rPr>
          <w:rFonts w:hint="eastAsia" w:ascii="MS UI Gothic" w:hAnsi="MS UI Gothic" w:eastAsia="MS UI Gothic"/>
          <w:w w:val="80"/>
        </w:rPr>
        <w:t xml:space="preserve">ꎬ </w:t>
      </w:r>
      <w:r>
        <w:t>申请尾矿库安全生产许可证</w:t>
      </w:r>
      <w:r>
        <w:rPr>
          <w:rFonts w:hint="eastAsia" w:ascii="MS UI Gothic" w:hAnsi="MS UI Gothic" w:eastAsia="MS UI Gothic"/>
          <w:w w:val="80"/>
        </w:rPr>
        <w:t xml:space="preserve">ꎮ </w:t>
      </w:r>
      <w:r>
        <w:t>未依法取得安全生产许可证的尾矿库</w:t>
      </w:r>
      <w:r>
        <w:rPr>
          <w:rFonts w:hint="eastAsia" w:ascii="MS UI Gothic" w:hAnsi="MS UI Gothic" w:eastAsia="MS UI Gothic"/>
          <w:w w:val="80"/>
        </w:rPr>
        <w:t xml:space="preserve">ꎬ </w:t>
      </w:r>
      <w:r>
        <w:t>不得投</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３９９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195" o:spid="_x0000_s2195" o:spt="203" style="height:2.15pt;width:398.25pt;" coordsize="7965,43">
            <o:lock v:ext="edit"/>
            <v:line id="_x0000_s2196" o:spid="_x0000_s2196" o:spt="20" style="position:absolute;left:0;top:39;height:0;width:7965;" stroked="t" coordsize="21600,21600">
              <v:path arrowok="t"/>
              <v:fill focussize="0,0"/>
              <v:stroke weight="0.388031496062992pt" color="#231F20"/>
              <v:imagedata o:title=""/>
              <o:lock v:ext="edit"/>
            </v:line>
            <v:line id="_x0000_s2197" o:spid="_x0000_s219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入生产运行</w:t>
      </w:r>
      <w:r>
        <w:rPr>
          <w:rFonts w:hint="eastAsia" w:ascii="MS UI Gothic" w:eastAsia="MS UI Gothic"/>
          <w:w w:val="80"/>
        </w:rPr>
        <w:t xml:space="preserve">ꎮ </w:t>
      </w:r>
      <w:r>
        <w:t>生产经营单位在申请尾矿库安全生产许可证时</w:t>
      </w:r>
      <w:r>
        <w:rPr>
          <w:rFonts w:hint="eastAsia" w:ascii="MS UI Gothic" w:eastAsia="MS UI Gothic"/>
          <w:w w:val="80"/>
        </w:rPr>
        <w:t xml:space="preserve">ꎬ </w:t>
      </w:r>
      <w:r>
        <w:t>对于验收申请时已提交的符合颁证条件的文件</w:t>
      </w:r>
      <w:r>
        <w:rPr>
          <w:rFonts w:hint="eastAsia" w:ascii="MS UI Gothic" w:eastAsia="MS UI Gothic"/>
          <w:w w:val="80"/>
        </w:rPr>
        <w:t xml:space="preserve">、 </w:t>
      </w:r>
      <w:r>
        <w:t>资料可以不再提交</w:t>
      </w:r>
      <w:r>
        <w:rPr>
          <w:rFonts w:hint="eastAsia" w:ascii="MS UI Gothic" w:eastAsia="MS UI Gothic"/>
          <w:w w:val="80"/>
        </w:rPr>
        <w:t xml:space="preserve">ꎻ </w:t>
      </w:r>
      <w:r>
        <w:t>安全生产监督管理部门在审核颁发安全生产许可证时</w:t>
      </w:r>
      <w:r>
        <w:rPr>
          <w:rFonts w:hint="eastAsia" w:ascii="MS UI Gothic" w:eastAsia="MS UI Gothic"/>
          <w:w w:val="80"/>
        </w:rPr>
        <w:t xml:space="preserve">ꎬ </w:t>
      </w:r>
      <w:r>
        <w:t>可以不再审查</w:t>
      </w:r>
      <w:r>
        <w:rPr>
          <w:rFonts w:hint="eastAsia" w:ascii="MS UI Gothic" w:eastAsia="MS UI Gothic"/>
          <w:w w:val="80"/>
        </w:rPr>
        <w:t>ꎮ</w:t>
      </w:r>
    </w:p>
    <w:p>
      <w:pPr>
        <w:pStyle w:val="6"/>
        <w:tabs>
          <w:tab w:val="left" w:pos="2222"/>
        </w:tabs>
        <w:spacing w:before="153"/>
        <w:ind w:left="1384" w:firstLine="0"/>
        <w:jc w:val="left"/>
      </w:pPr>
      <w:r>
        <w:rPr>
          <w:spacing w:val="3"/>
          <w:w w:val="105"/>
        </w:rPr>
        <w:t>第三</w:t>
      </w:r>
      <w:r>
        <w:rPr>
          <w:w w:val="105"/>
        </w:rPr>
        <w:t>章</w:t>
      </w:r>
      <w:r>
        <w:rPr>
          <w:w w:val="105"/>
        </w:rPr>
        <w:tab/>
      </w:r>
      <w:r>
        <w:rPr>
          <w:spacing w:val="3"/>
          <w:w w:val="105"/>
        </w:rPr>
        <w:t>尾矿库运</w:t>
      </w:r>
      <w:r>
        <w:rPr>
          <w:w w:val="105"/>
        </w:rPr>
        <w:t>行</w:t>
      </w:r>
    </w:p>
    <w:p>
      <w:pPr>
        <w:pStyle w:val="6"/>
        <w:spacing w:before="216" w:line="295" w:lineRule="auto"/>
        <w:ind w:left="440"/>
        <w:rPr>
          <w:rFonts w:hint="eastAsia" w:ascii="MS UI Gothic" w:eastAsia="MS UI Gothic"/>
        </w:rPr>
      </w:pPr>
      <w:r>
        <w:rPr>
          <w:w w:val="105"/>
        </w:rPr>
        <w:t>第十八条 对生产运行的尾矿库</w:t>
      </w:r>
      <w:r>
        <w:rPr>
          <w:rFonts w:hint="eastAsia" w:ascii="MS UI Gothic" w:eastAsia="MS UI Gothic"/>
          <w:w w:val="80"/>
        </w:rPr>
        <w:t xml:space="preserve">ꎬ </w:t>
      </w:r>
      <w:r>
        <w:rPr>
          <w:w w:val="105"/>
        </w:rPr>
        <w:t>未</w:t>
      </w:r>
      <w:r>
        <w:t>经技术论证和安全生产监督管理部门的批准</w:t>
      </w:r>
      <w:r>
        <w:rPr>
          <w:rFonts w:hint="eastAsia" w:ascii="MS UI Gothic" w:eastAsia="MS UI Gothic"/>
          <w:w w:val="80"/>
        </w:rPr>
        <w:t xml:space="preserve">ꎬ </w:t>
      </w:r>
      <w:r>
        <w:t>任何单位和个人不得对下列事项进行</w:t>
      </w:r>
      <w:r>
        <w:rPr>
          <w:w w:val="105"/>
        </w:rPr>
        <w:t>变更</w:t>
      </w:r>
      <w:r>
        <w:rPr>
          <w:rFonts w:hint="eastAsia" w:ascii="MS UI Gothic" w:eastAsia="MS UI Gothic"/>
          <w:w w:val="235"/>
        </w:rPr>
        <w:t>:</w:t>
      </w:r>
    </w:p>
    <w:p>
      <w:pPr>
        <w:pStyle w:val="6"/>
        <w:spacing w:line="295" w:lineRule="auto"/>
        <w:ind w:left="860" w:right="1819" w:firstLine="0"/>
        <w:jc w:val="left"/>
        <w:rPr>
          <w:rFonts w:hint="eastAsia" w:ascii="MS UI Gothic" w:eastAsia="MS UI Gothic"/>
        </w:rPr>
      </w:pPr>
      <w:r>
        <w:rPr>
          <w:rFonts w:hint="eastAsia" w:ascii="MS UI Gothic" w:eastAsia="MS UI Gothic"/>
          <w:w w:val="110"/>
        </w:rPr>
        <w:t xml:space="preserve">( </w:t>
      </w:r>
      <w:r>
        <w:rPr>
          <w:w w:val="110"/>
        </w:rPr>
        <w:t>一</w:t>
      </w:r>
      <w:r>
        <w:rPr>
          <w:rFonts w:hint="eastAsia" w:ascii="MS UI Gothic" w:eastAsia="MS UI Gothic"/>
          <w:w w:val="110"/>
        </w:rPr>
        <w:t xml:space="preserve">) </w:t>
      </w:r>
      <w:r>
        <w:rPr>
          <w:w w:val="110"/>
        </w:rPr>
        <w:t>筑坝方式</w:t>
      </w:r>
      <w:r>
        <w:rPr>
          <w:rFonts w:hint="eastAsia" w:ascii="MS UI Gothic" w:eastAsia="MS UI Gothic"/>
          <w:w w:val="80"/>
        </w:rPr>
        <w:t>ꎻ</w:t>
      </w:r>
      <w:r>
        <w:rPr>
          <w:rFonts w:hint="eastAsia" w:ascii="MS UI Gothic" w:eastAsia="MS UI Gothic"/>
          <w:w w:val="110"/>
        </w:rPr>
        <w:t xml:space="preserve">( </w:t>
      </w:r>
      <w:r>
        <w:rPr>
          <w:w w:val="110"/>
        </w:rPr>
        <w:t>二</w:t>
      </w:r>
      <w:r>
        <w:rPr>
          <w:rFonts w:hint="eastAsia" w:ascii="MS UI Gothic" w:eastAsia="MS UI Gothic"/>
          <w:w w:val="110"/>
        </w:rPr>
        <w:t xml:space="preserve">) </w:t>
      </w:r>
      <w:r>
        <w:rPr>
          <w:w w:val="110"/>
        </w:rPr>
        <w:t>排放方式</w:t>
      </w:r>
      <w:r>
        <w:rPr>
          <w:rFonts w:hint="eastAsia" w:ascii="MS UI Gothic" w:eastAsia="MS UI Gothic"/>
          <w:w w:val="80"/>
        </w:rPr>
        <w:t>ꎻ</w:t>
      </w:r>
    </w:p>
    <w:p>
      <w:pPr>
        <w:pStyle w:val="6"/>
        <w:spacing w:line="255" w:lineRule="exact"/>
        <w:ind w:left="860"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尾矿物化特性</w:t>
      </w:r>
      <w:r>
        <w:rPr>
          <w:rFonts w:hint="eastAsia" w:ascii="MS UI Gothic" w:eastAsia="MS UI Gothic"/>
          <w:w w:val="80"/>
        </w:rPr>
        <w:t>ꎻ</w:t>
      </w:r>
    </w:p>
    <w:p>
      <w:pPr>
        <w:pStyle w:val="6"/>
        <w:spacing w:before="55" w:line="295" w:lineRule="auto"/>
        <w:ind w:left="440"/>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坝型</w:t>
      </w:r>
      <w:r>
        <w:rPr>
          <w:rFonts w:hint="eastAsia" w:ascii="MS UI Gothic" w:eastAsia="MS UI Gothic"/>
          <w:w w:val="80"/>
        </w:rPr>
        <w:t xml:space="preserve">、 </w:t>
      </w:r>
      <w:r>
        <w:rPr>
          <w:w w:val="105"/>
        </w:rPr>
        <w:t>坝外坡坡比</w:t>
      </w:r>
      <w:r>
        <w:rPr>
          <w:rFonts w:hint="eastAsia" w:ascii="MS UI Gothic" w:eastAsia="MS UI Gothic"/>
          <w:w w:val="80"/>
        </w:rPr>
        <w:t xml:space="preserve">、 </w:t>
      </w:r>
      <w:r>
        <w:rPr>
          <w:w w:val="105"/>
        </w:rPr>
        <w:t>最终堆积标高和最终坝轴线的位置</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spacing w:val="-41"/>
          <w:w w:val="150"/>
        </w:rPr>
        <w:t xml:space="preserve">( </w:t>
      </w:r>
      <w:r>
        <w:rPr>
          <w:spacing w:val="3"/>
          <w:w w:val="110"/>
        </w:rPr>
        <w:t>五</w:t>
      </w:r>
      <w:r>
        <w:rPr>
          <w:rFonts w:hint="eastAsia" w:ascii="MS UI Gothic" w:eastAsia="MS UI Gothic"/>
          <w:spacing w:val="-11"/>
          <w:w w:val="150"/>
        </w:rPr>
        <w:t xml:space="preserve">) </w:t>
      </w:r>
      <w:r>
        <w:rPr>
          <w:spacing w:val="24"/>
          <w:w w:val="110"/>
        </w:rPr>
        <w:t>坝体防渗</w:t>
      </w:r>
      <w:r>
        <w:rPr>
          <w:rFonts w:hint="eastAsia" w:ascii="MS UI Gothic" w:eastAsia="MS UI Gothic"/>
          <w:spacing w:val="7"/>
          <w:w w:val="80"/>
        </w:rPr>
        <w:t xml:space="preserve">、 </w:t>
      </w:r>
      <w:r>
        <w:rPr>
          <w:spacing w:val="24"/>
          <w:w w:val="110"/>
        </w:rPr>
        <w:t>排渗及反滤层的</w:t>
      </w:r>
      <w:r>
        <w:rPr>
          <w:spacing w:val="3"/>
          <w:w w:val="110"/>
        </w:rPr>
        <w:t>设置</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spacing w:val="-38"/>
          <w:w w:val="150"/>
        </w:rPr>
        <w:t xml:space="preserve">( </w:t>
      </w:r>
      <w:r>
        <w:rPr>
          <w:spacing w:val="23"/>
          <w:w w:val="110"/>
        </w:rPr>
        <w:t>六</w:t>
      </w:r>
      <w:r>
        <w:rPr>
          <w:rFonts w:hint="eastAsia" w:ascii="MS UI Gothic" w:eastAsia="MS UI Gothic"/>
          <w:spacing w:val="19"/>
          <w:w w:val="150"/>
        </w:rPr>
        <w:t xml:space="preserve">) </w:t>
      </w:r>
      <w:r>
        <w:rPr>
          <w:spacing w:val="-33"/>
          <w:w w:val="110"/>
        </w:rPr>
        <w:t>排 洪 系 统 的 型 式</w:t>
      </w:r>
      <w:r>
        <w:rPr>
          <w:rFonts w:hint="eastAsia" w:ascii="MS UI Gothic" w:eastAsia="MS UI Gothic"/>
          <w:spacing w:val="7"/>
          <w:w w:val="80"/>
        </w:rPr>
        <w:t xml:space="preserve">、 </w:t>
      </w:r>
      <w:r>
        <w:rPr>
          <w:spacing w:val="-30"/>
          <w:w w:val="110"/>
        </w:rPr>
        <w:t>布 置 及</w:t>
      </w:r>
      <w:r>
        <w:rPr>
          <w:spacing w:val="3"/>
          <w:w w:val="110"/>
        </w:rPr>
        <w:t>尺寸</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设计以外的尾矿</w:t>
      </w:r>
      <w:r>
        <w:rPr>
          <w:rFonts w:hint="eastAsia" w:ascii="MS UI Gothic" w:eastAsia="MS UI Gothic"/>
          <w:w w:val="80"/>
        </w:rPr>
        <w:t xml:space="preserve">、 </w:t>
      </w:r>
      <w:r>
        <w:rPr>
          <w:w w:val="105"/>
        </w:rPr>
        <w:t>废料或者废水进库等</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第十九条 尾矿库应当每三年至少进</w:t>
      </w:r>
      <w:r>
        <w:t>行一次安全现状评价</w:t>
      </w:r>
      <w:r>
        <w:rPr>
          <w:rFonts w:hint="eastAsia" w:ascii="MS UI Gothic" w:eastAsia="MS UI Gothic"/>
          <w:w w:val="80"/>
        </w:rPr>
        <w:t xml:space="preserve">ꎮ </w:t>
      </w:r>
      <w:r>
        <w:t>安全现状评价应当</w:t>
      </w:r>
      <w:r>
        <w:rPr>
          <w:w w:val="105"/>
        </w:rPr>
        <w:t>符合国家标准或者行业标准的要求</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尾矿库安全现状评价工作应当有能够</w:t>
      </w:r>
      <w:r>
        <w:rPr>
          <w:spacing w:val="12"/>
          <w:w w:val="105"/>
        </w:rPr>
        <w:t>进行尾矿坝稳定性验算</w:t>
      </w:r>
      <w:r>
        <w:rPr>
          <w:rFonts w:hint="eastAsia" w:ascii="MS UI Gothic" w:eastAsia="MS UI Gothic"/>
          <w:spacing w:val="3"/>
          <w:w w:val="80"/>
        </w:rPr>
        <w:t xml:space="preserve">、 </w:t>
      </w:r>
      <w:r>
        <w:rPr>
          <w:spacing w:val="13"/>
          <w:w w:val="105"/>
        </w:rPr>
        <w:t>尾矿库水文计</w:t>
      </w:r>
      <w:r>
        <w:rPr>
          <w:spacing w:val="3"/>
          <w:w w:val="105"/>
        </w:rPr>
        <w:t>算</w:t>
      </w:r>
      <w:r>
        <w:rPr>
          <w:rFonts w:hint="eastAsia" w:ascii="MS UI Gothic" w:eastAsia="MS UI Gothic"/>
          <w:spacing w:val="13"/>
          <w:w w:val="80"/>
        </w:rPr>
        <w:t xml:space="preserve">、 </w:t>
      </w:r>
      <w:r>
        <w:rPr>
          <w:spacing w:val="3"/>
          <w:w w:val="105"/>
        </w:rPr>
        <w:t>构筑物计算的专业技术人员参加</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上游式尾矿坝堆积至二分之一至三分</w:t>
      </w:r>
      <w:r>
        <w:rPr>
          <w:spacing w:val="3"/>
        </w:rPr>
        <w:t>之二最终设计坝高时</w:t>
      </w:r>
      <w:r>
        <w:rPr>
          <w:rFonts w:hint="eastAsia" w:ascii="MS UI Gothic" w:eastAsia="MS UI Gothic"/>
          <w:spacing w:val="21"/>
          <w:w w:val="80"/>
        </w:rPr>
        <w:t xml:space="preserve">ꎬ </w:t>
      </w:r>
      <w:r>
        <w:rPr>
          <w:spacing w:val="2"/>
        </w:rPr>
        <w:t>应当对坝体进行一</w:t>
      </w:r>
      <w:r>
        <w:rPr>
          <w:spacing w:val="3"/>
        </w:rPr>
        <w:t>次全面勘察</w:t>
      </w:r>
      <w:r>
        <w:rPr>
          <w:rFonts w:hint="eastAsia" w:ascii="MS UI Gothic" w:eastAsia="MS UI Gothic"/>
          <w:w w:val="80"/>
        </w:rPr>
        <w:t xml:space="preserve">ꎬ </w:t>
      </w:r>
      <w:r>
        <w:rPr>
          <w:spacing w:val="3"/>
        </w:rPr>
        <w:t>并进行稳定性专项评价</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第二十条 尾矿库经安全现状评价或者专家论证被确定为危库</w:t>
      </w:r>
      <w:r>
        <w:rPr>
          <w:rFonts w:hint="eastAsia" w:ascii="MS UI Gothic" w:eastAsia="MS UI Gothic"/>
          <w:w w:val="80"/>
        </w:rPr>
        <w:t xml:space="preserve">、 </w:t>
      </w:r>
      <w:r>
        <w:rPr>
          <w:w w:val="105"/>
        </w:rPr>
        <w:t>险库和病库</w:t>
      </w:r>
      <w:r>
        <w:t>的</w:t>
      </w:r>
      <w:r>
        <w:rPr>
          <w:rFonts w:hint="eastAsia" w:ascii="MS UI Gothic" w:eastAsia="MS UI Gothic"/>
          <w:w w:val="80"/>
        </w:rPr>
        <w:t xml:space="preserve">ꎬ </w:t>
      </w:r>
      <w:r>
        <w:t>生产经营单位应当分别采取下列</w:t>
      </w:r>
      <w:r>
        <w:rPr>
          <w:w w:val="105"/>
        </w:rPr>
        <w:t>措施</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确定为危库的</w:t>
      </w:r>
      <w:r>
        <w:rPr>
          <w:rFonts w:hint="eastAsia" w:ascii="MS UI Gothic" w:eastAsia="MS UI Gothic"/>
          <w:w w:val="80"/>
        </w:rPr>
        <w:t xml:space="preserve">ꎬ </w:t>
      </w:r>
      <w:r>
        <w:rPr>
          <w:w w:val="105"/>
        </w:rPr>
        <w:t>应当立即停</w:t>
      </w:r>
      <w:r>
        <w:t>产</w:t>
      </w:r>
      <w:r>
        <w:rPr>
          <w:rFonts w:hint="eastAsia" w:ascii="MS UI Gothic" w:eastAsia="MS UI Gothic"/>
          <w:w w:val="80"/>
        </w:rPr>
        <w:t xml:space="preserve">ꎬ </w:t>
      </w:r>
      <w:r>
        <w:t>进行抢险</w:t>
      </w:r>
      <w:r>
        <w:rPr>
          <w:rFonts w:hint="eastAsia" w:ascii="MS UI Gothic" w:eastAsia="MS UI Gothic"/>
          <w:w w:val="80"/>
        </w:rPr>
        <w:t xml:space="preserve">ꎬ </w:t>
      </w:r>
      <w:r>
        <w:t>并向尾矿库所在地县级人</w:t>
      </w:r>
      <w:r>
        <w:rPr>
          <w:w w:val="105"/>
        </w:rPr>
        <w:t>民政府</w:t>
      </w:r>
      <w:r>
        <w:rPr>
          <w:rFonts w:hint="eastAsia" w:ascii="MS UI Gothic" w:eastAsia="MS UI Gothic"/>
          <w:w w:val="80"/>
        </w:rPr>
        <w:t xml:space="preserve">、 </w:t>
      </w:r>
      <w:r>
        <w:rPr>
          <w:w w:val="105"/>
        </w:rPr>
        <w:t>安全生产监督管理部门和上级主管单位报告</w:t>
      </w:r>
      <w:r>
        <w:rPr>
          <w:rFonts w:hint="eastAsia" w:ascii="MS UI Gothic" w:eastAsia="MS UI Gothic"/>
          <w:w w:val="80"/>
        </w:rPr>
        <w:t>ꎻ</w:t>
      </w:r>
    </w:p>
    <w:p>
      <w:pPr>
        <w:pStyle w:val="6"/>
        <w:spacing w:before="124" w:line="295" w:lineRule="auto"/>
        <w:ind w:left="383" w:right="126"/>
        <w:rPr>
          <w:rFonts w:hint="eastAsia" w:ascii="MS UI Gothic" w:eastAsia="MS UI Gothic"/>
        </w:rPr>
      </w:pPr>
      <w:r>
        <w:br w:type="column"/>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确定为险库的</w:t>
      </w:r>
      <w:r>
        <w:rPr>
          <w:rFonts w:hint="eastAsia" w:ascii="MS UI Gothic" w:eastAsia="MS UI Gothic"/>
          <w:w w:val="80"/>
        </w:rPr>
        <w:t xml:space="preserve">ꎬ </w:t>
      </w:r>
      <w:r>
        <w:rPr>
          <w:w w:val="105"/>
        </w:rPr>
        <w:t>应当立即停</w:t>
      </w:r>
      <w:r>
        <w:t>产</w:t>
      </w:r>
      <w:r>
        <w:rPr>
          <w:rFonts w:hint="eastAsia" w:ascii="MS UI Gothic" w:eastAsia="MS UI Gothic"/>
          <w:w w:val="80"/>
        </w:rPr>
        <w:t xml:space="preserve">ꎬ </w:t>
      </w:r>
      <w:r>
        <w:t>在限定的时间内消除险情</w:t>
      </w:r>
      <w:r>
        <w:rPr>
          <w:rFonts w:hint="eastAsia" w:ascii="MS UI Gothic" w:eastAsia="MS UI Gothic"/>
          <w:w w:val="80"/>
        </w:rPr>
        <w:t xml:space="preserve">ꎬ </w:t>
      </w:r>
      <w:r>
        <w:t>并向尾矿</w:t>
      </w:r>
      <w:r>
        <w:rPr>
          <w:w w:val="105"/>
        </w:rPr>
        <w:t>库所在地县级人民政府</w:t>
      </w:r>
      <w:r>
        <w:rPr>
          <w:rFonts w:hint="eastAsia" w:ascii="MS UI Gothic" w:eastAsia="MS UI Gothic"/>
          <w:w w:val="80"/>
        </w:rPr>
        <w:t xml:space="preserve">、 </w:t>
      </w:r>
      <w:r>
        <w:rPr>
          <w:w w:val="105"/>
        </w:rPr>
        <w:t>安全生产监督管理部门和上级主管单位报告</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确定为病库的</w:t>
      </w:r>
      <w:r>
        <w:rPr>
          <w:rFonts w:hint="eastAsia" w:ascii="MS UI Gothic" w:eastAsia="MS UI Gothic"/>
          <w:w w:val="80"/>
        </w:rPr>
        <w:t xml:space="preserve">ꎬ </w:t>
      </w:r>
      <w:r>
        <w:rPr>
          <w:w w:val="105"/>
        </w:rPr>
        <w:t>应当在限定的</w:t>
      </w:r>
      <w:r>
        <w:t>时间内按照正常库标准进行整治</w:t>
      </w:r>
      <w:r>
        <w:rPr>
          <w:rFonts w:hint="eastAsia" w:ascii="MS UI Gothic" w:eastAsia="MS UI Gothic"/>
          <w:w w:val="80"/>
        </w:rPr>
        <w:t xml:space="preserve">ꎬ </w:t>
      </w:r>
      <w:r>
        <w:t>消除事</w:t>
      </w:r>
      <w:r>
        <w:rPr>
          <w:w w:val="105"/>
        </w:rPr>
        <w:t>故隐患</w:t>
      </w:r>
      <w:r>
        <w:rPr>
          <w:rFonts w:hint="eastAsia" w:ascii="MS UI Gothic" w:eastAsia="MS UI Gothic"/>
          <w:w w:val="80"/>
        </w:rPr>
        <w:t>ꎮ</w:t>
      </w:r>
    </w:p>
    <w:p>
      <w:pPr>
        <w:pStyle w:val="6"/>
        <w:spacing w:line="295" w:lineRule="auto"/>
        <w:ind w:left="383" w:right="124"/>
        <w:rPr>
          <w:rFonts w:hint="eastAsia" w:ascii="MS UI Gothic" w:eastAsia="MS UI Gothic"/>
        </w:rPr>
      </w:pPr>
      <w:r>
        <w:t>第二十一条 生产经营单位应当建立健全防汛责任制</w:t>
      </w:r>
      <w:r>
        <w:rPr>
          <w:rFonts w:hint="eastAsia" w:ascii="MS UI Gothic" w:eastAsia="MS UI Gothic"/>
          <w:w w:val="85"/>
        </w:rPr>
        <w:t xml:space="preserve">ꎬ </w:t>
      </w:r>
      <w:r>
        <w:t xml:space="preserve">实施 </w:t>
      </w:r>
      <w:r>
        <w:rPr>
          <w:rFonts w:hint="eastAsia" w:ascii="MS UI Gothic" w:eastAsia="MS UI Gothic"/>
          <w:w w:val="85"/>
        </w:rPr>
        <w:t xml:space="preserve">２４ </w:t>
      </w:r>
      <w:r>
        <w:t>小时监测监控和值班值守</w:t>
      </w:r>
      <w:r>
        <w:rPr>
          <w:rFonts w:hint="eastAsia" w:ascii="MS UI Gothic" w:eastAsia="MS UI Gothic"/>
          <w:w w:val="85"/>
        </w:rPr>
        <w:t xml:space="preserve">ꎬ </w:t>
      </w:r>
      <w:r>
        <w:t>并针对可能发生的垮坝</w:t>
      </w:r>
      <w:r>
        <w:rPr>
          <w:rFonts w:hint="eastAsia" w:ascii="MS UI Gothic" w:eastAsia="MS UI Gothic"/>
        </w:rPr>
        <w:t xml:space="preserve">、 </w:t>
      </w:r>
      <w:r>
        <w:t>漫顶</w:t>
      </w:r>
      <w:r>
        <w:rPr>
          <w:rFonts w:hint="eastAsia" w:ascii="MS UI Gothic" w:eastAsia="MS UI Gothic"/>
        </w:rPr>
        <w:t xml:space="preserve">、 </w:t>
      </w:r>
      <w:r>
        <w:t>排洪设施损毁等生产安全事故和影响尾矿库运行的洪水</w:t>
      </w:r>
      <w:r>
        <w:rPr>
          <w:rFonts w:hint="eastAsia" w:ascii="MS UI Gothic" w:eastAsia="MS UI Gothic"/>
        </w:rPr>
        <w:t xml:space="preserve">、 </w:t>
      </w:r>
      <w:r>
        <w:t>泥石流</w:t>
      </w:r>
      <w:r>
        <w:rPr>
          <w:rFonts w:hint="eastAsia" w:ascii="MS UI Gothic" w:eastAsia="MS UI Gothic"/>
        </w:rPr>
        <w:t xml:space="preserve">、 </w:t>
      </w:r>
      <w:r>
        <w:t>山体滑坡</w:t>
      </w:r>
      <w:r>
        <w:rPr>
          <w:rFonts w:hint="eastAsia" w:ascii="MS UI Gothic" w:eastAsia="MS UI Gothic"/>
        </w:rPr>
        <w:t>、</w:t>
      </w:r>
      <w:r>
        <w:t>地震等重大险情制定并及时修订应急救援预案</w:t>
      </w:r>
      <w:r>
        <w:rPr>
          <w:rFonts w:hint="eastAsia" w:ascii="MS UI Gothic" w:eastAsia="MS UI Gothic"/>
          <w:w w:val="85"/>
        </w:rPr>
        <w:t xml:space="preserve">ꎬ </w:t>
      </w:r>
      <w:r>
        <w:t>配备必要的应急救援器材</w:t>
      </w:r>
      <w:r>
        <w:rPr>
          <w:rFonts w:hint="eastAsia" w:ascii="MS UI Gothic" w:eastAsia="MS UI Gothic"/>
        </w:rPr>
        <w:t xml:space="preserve">、 </w:t>
      </w:r>
      <w:r>
        <w:t>设备</w:t>
      </w:r>
      <w:r>
        <w:rPr>
          <w:rFonts w:hint="eastAsia" w:ascii="MS UI Gothic" w:eastAsia="MS UI Gothic"/>
          <w:w w:val="85"/>
        </w:rPr>
        <w:t>ꎬ</w:t>
      </w:r>
      <w:r>
        <w:t>放置在便于应急时使用的地方</w:t>
      </w:r>
      <w:r>
        <w:rPr>
          <w:rFonts w:hint="eastAsia" w:ascii="MS UI Gothic" w:eastAsia="MS UI Gothic"/>
          <w:w w:val="85"/>
        </w:rPr>
        <w:t xml:space="preserve">ꎮ </w:t>
      </w:r>
      <w:r>
        <w:t>应急预案应当按照规定报相应的安全生产监督管理部门备案</w:t>
      </w:r>
      <w:r>
        <w:rPr>
          <w:rFonts w:hint="eastAsia" w:ascii="MS UI Gothic" w:eastAsia="MS UI Gothic"/>
          <w:w w:val="85"/>
        </w:rPr>
        <w:t xml:space="preserve">ꎬ </w:t>
      </w:r>
      <w:r>
        <w:t>并每年至少进行一次演练</w:t>
      </w:r>
      <w:r>
        <w:rPr>
          <w:rFonts w:hint="eastAsia" w:ascii="MS UI Gothic" w:eastAsia="MS UI Gothic"/>
          <w:w w:val="85"/>
        </w:rPr>
        <w:t>ꎮ</w:t>
      </w:r>
    </w:p>
    <w:p>
      <w:pPr>
        <w:pStyle w:val="6"/>
        <w:spacing w:line="295" w:lineRule="auto"/>
        <w:ind w:left="383" w:right="126"/>
        <w:rPr>
          <w:rFonts w:hint="eastAsia" w:ascii="MS UI Gothic" w:eastAsia="MS UI Gothic"/>
        </w:rPr>
      </w:pPr>
      <w:r>
        <w:t>第二十二条 生产经营单位应当编制尾矿库年度</w:t>
      </w:r>
      <w:r>
        <w:rPr>
          <w:rFonts w:hint="eastAsia" w:ascii="MS UI Gothic" w:eastAsia="MS UI Gothic"/>
          <w:w w:val="80"/>
        </w:rPr>
        <w:t xml:space="preserve">、 </w:t>
      </w:r>
      <w:r>
        <w:t>季度作业计划</w:t>
      </w:r>
      <w:r>
        <w:rPr>
          <w:rFonts w:hint="eastAsia" w:ascii="MS UI Gothic" w:eastAsia="MS UI Gothic"/>
          <w:w w:val="80"/>
        </w:rPr>
        <w:t xml:space="preserve">ꎬ </w:t>
      </w:r>
      <w:r>
        <w:t>严格按照作业计划生产运行</w:t>
      </w:r>
      <w:r>
        <w:rPr>
          <w:rFonts w:hint="eastAsia" w:ascii="MS UI Gothic" w:eastAsia="MS UI Gothic"/>
          <w:w w:val="80"/>
        </w:rPr>
        <w:t xml:space="preserve">ꎬ </w:t>
      </w:r>
      <w:r>
        <w:t>做好记录并长期保存</w:t>
      </w:r>
      <w:r>
        <w:rPr>
          <w:rFonts w:hint="eastAsia" w:ascii="MS UI Gothic" w:eastAsia="MS UI Gothic"/>
          <w:w w:val="80"/>
        </w:rPr>
        <w:t>ꎮ</w:t>
      </w:r>
    </w:p>
    <w:p>
      <w:pPr>
        <w:pStyle w:val="6"/>
        <w:spacing w:line="295" w:lineRule="auto"/>
        <w:ind w:left="383" w:right="124"/>
        <w:rPr>
          <w:rFonts w:hint="eastAsia" w:ascii="MS UI Gothic" w:hAnsi="MS UI Gothic" w:eastAsia="MS UI Gothic"/>
        </w:rPr>
      </w:pPr>
      <w:r>
        <w:t>第二十三条 生产经营单位应当建立尾矿库事故隐患排查治理制度</w:t>
      </w:r>
      <w:r>
        <w:rPr>
          <w:rFonts w:hint="eastAsia" w:ascii="MS UI Gothic" w:hAnsi="MS UI Gothic" w:eastAsia="MS UI Gothic"/>
          <w:w w:val="80"/>
        </w:rPr>
        <w:t xml:space="preserve">ꎬ </w:t>
      </w:r>
      <w:r>
        <w:t xml:space="preserve">按照本规定和 </w:t>
      </w:r>
      <w:r>
        <w:rPr>
          <w:rFonts w:hint="eastAsia" w:ascii="MS UI Gothic" w:hAnsi="MS UI Gothic" w:eastAsia="MS UI Gothic"/>
          <w:w w:val="80"/>
        </w:rPr>
        <w:t xml:space="preserve">« </w:t>
      </w:r>
      <w:r>
        <w:t>尾矿库安全技术规程</w:t>
      </w:r>
      <w:r>
        <w:rPr>
          <w:rFonts w:hint="eastAsia" w:ascii="MS UI Gothic" w:hAnsi="MS UI Gothic" w:eastAsia="MS UI Gothic"/>
          <w:w w:val="80"/>
        </w:rPr>
        <w:t xml:space="preserve">» </w:t>
      </w:r>
      <w:r>
        <w:t>的规定</w:t>
      </w:r>
      <w:r>
        <w:rPr>
          <w:rFonts w:hint="eastAsia" w:ascii="MS UI Gothic" w:hAnsi="MS UI Gothic" w:eastAsia="MS UI Gothic"/>
          <w:w w:val="80"/>
        </w:rPr>
        <w:t>ꎬ</w:t>
      </w:r>
      <w:r>
        <w:t>定期组织尾矿库专项检查</w:t>
      </w:r>
      <w:r>
        <w:rPr>
          <w:rFonts w:hint="eastAsia" w:ascii="MS UI Gothic" w:hAnsi="MS UI Gothic" w:eastAsia="MS UI Gothic"/>
          <w:w w:val="80"/>
        </w:rPr>
        <w:t xml:space="preserve">ꎬ </w:t>
      </w:r>
      <w:r>
        <w:t>对发现的事故隐患及时进行治理</w:t>
      </w:r>
      <w:r>
        <w:rPr>
          <w:rFonts w:hint="eastAsia" w:ascii="MS UI Gothic" w:hAnsi="MS UI Gothic" w:eastAsia="MS UI Gothic"/>
          <w:w w:val="80"/>
        </w:rPr>
        <w:t xml:space="preserve">ꎬ </w:t>
      </w:r>
      <w:r>
        <w:t>并建立隐患排查治理档案</w:t>
      </w:r>
      <w:r>
        <w:rPr>
          <w:rFonts w:hint="eastAsia" w:ascii="MS UI Gothic" w:hAnsi="MS UI Gothic" w:eastAsia="MS UI Gothic"/>
          <w:w w:val="80"/>
        </w:rPr>
        <w:t>ꎮ</w:t>
      </w:r>
    </w:p>
    <w:p>
      <w:pPr>
        <w:pStyle w:val="6"/>
        <w:spacing w:line="295" w:lineRule="auto"/>
        <w:ind w:left="383" w:right="126"/>
        <w:rPr>
          <w:rFonts w:hint="eastAsia" w:ascii="MS UI Gothic" w:eastAsia="MS UI Gothic"/>
        </w:rPr>
      </w:pPr>
      <w:r>
        <w:rPr>
          <w:w w:val="105"/>
        </w:rPr>
        <w:t>第二十四条 尾矿库出现下列重大险</w:t>
      </w:r>
      <w:r>
        <w:t>情之一的</w:t>
      </w:r>
      <w:r>
        <w:rPr>
          <w:rFonts w:hint="eastAsia" w:ascii="MS UI Gothic" w:eastAsia="MS UI Gothic"/>
          <w:w w:val="80"/>
        </w:rPr>
        <w:t xml:space="preserve">ꎬ </w:t>
      </w:r>
      <w:r>
        <w:t>生产经营单位应当按照安全监管权限和职责立即报告当地县级安全生产监督管理部门和人民政府</w:t>
      </w:r>
      <w:r>
        <w:rPr>
          <w:rFonts w:hint="eastAsia" w:ascii="MS UI Gothic" w:eastAsia="MS UI Gothic"/>
          <w:w w:val="80"/>
        </w:rPr>
        <w:t xml:space="preserve">ꎬ </w:t>
      </w:r>
      <w:r>
        <w:t>并启动应急预</w:t>
      </w:r>
      <w:r>
        <w:rPr>
          <w:w w:val="105"/>
        </w:rPr>
        <w:t>案</w:t>
      </w:r>
      <w:r>
        <w:rPr>
          <w:rFonts w:hint="eastAsia" w:ascii="MS UI Gothic" w:eastAsia="MS UI Gothic"/>
          <w:w w:val="80"/>
        </w:rPr>
        <w:t xml:space="preserve">ꎬ </w:t>
      </w:r>
      <w:r>
        <w:rPr>
          <w:w w:val="105"/>
        </w:rPr>
        <w:t>进行抢险</w:t>
      </w:r>
      <w:r>
        <w:rPr>
          <w:rFonts w:hint="eastAsia" w:ascii="MS UI Gothic" w:eastAsia="MS UI Gothic"/>
          <w:w w:val="235"/>
        </w:rPr>
        <w:t>:</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坝体出现严重的管涌</w:t>
      </w:r>
      <w:r>
        <w:rPr>
          <w:rFonts w:hint="eastAsia" w:ascii="MS UI Gothic" w:eastAsia="MS UI Gothic"/>
          <w:w w:val="80"/>
        </w:rPr>
        <w:t xml:space="preserve">、  </w:t>
      </w:r>
      <w:r>
        <w:rPr>
          <w:w w:val="105"/>
        </w:rPr>
        <w:t>流土等现象的</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坝体出现严重裂缝</w:t>
      </w:r>
      <w:r>
        <w:rPr>
          <w:rFonts w:hint="eastAsia" w:ascii="MS UI Gothic" w:eastAsia="MS UI Gothic"/>
          <w:w w:val="80"/>
        </w:rPr>
        <w:t xml:space="preserve">、  </w:t>
      </w:r>
      <w:r>
        <w:rPr>
          <w:w w:val="105"/>
        </w:rPr>
        <w:t>坍塌和滑动迹象的</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库内水位超过限制的最高洪水</w:t>
      </w:r>
      <w:r>
        <w:rPr>
          <w:w w:val="110"/>
        </w:rPr>
        <w:t>位的</w:t>
      </w:r>
      <w:r>
        <w:rPr>
          <w:rFonts w:hint="eastAsia" w:ascii="MS UI Gothic" w:eastAsia="MS UI Gothic"/>
          <w:w w:val="80"/>
        </w:rPr>
        <w:t>ꎻ</w:t>
      </w:r>
    </w:p>
    <w:p>
      <w:pPr>
        <w:pStyle w:val="6"/>
        <w:spacing w:line="295" w:lineRule="auto"/>
        <w:ind w:left="507" w:right="126" w:firstLine="294"/>
        <w:jc w:val="left"/>
        <w:rPr>
          <w:rFonts w:hint="eastAsia" w:ascii="MS UI Gothic" w:eastAsia="MS UI Gothic"/>
        </w:rPr>
      </w:pPr>
      <w:r>
        <w:pict>
          <v:shape id="_x0000_s2198" o:spid="_x0000_s2198" o:spt="202" type="#_x0000_t202" style="position:absolute;left:0pt;margin-left:280.6pt;margin-top:12pt;height:24.35pt;width:5.15pt;mso-position-horizontal-relative:page;z-index:25213440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rPr>
                  </w:pPr>
                  <w:r>
                    <w:rPr>
                      <w:rFonts w:ascii="MS UI Gothic"/>
                      <w:w w:val="168"/>
                    </w:rPr>
                    <w:t>(</w:t>
                  </w:r>
                </w:p>
              </w:txbxContent>
            </v:textbox>
          </v:shape>
        </w:pict>
      </w:r>
      <w:r>
        <w:rPr>
          <w:rFonts w:hint="eastAsia" w:ascii="MS UI Gothic" w:eastAsia="MS UI Gothic"/>
          <w:w w:val="120"/>
        </w:rPr>
        <w:t xml:space="preserve">( </w:t>
      </w:r>
      <w:r>
        <w:rPr>
          <w:w w:val="110"/>
        </w:rPr>
        <w:t>四</w:t>
      </w:r>
      <w:r>
        <w:rPr>
          <w:rFonts w:hint="eastAsia" w:ascii="MS UI Gothic" w:eastAsia="MS UI Gothic"/>
          <w:w w:val="120"/>
        </w:rPr>
        <w:t xml:space="preserve">) </w:t>
      </w:r>
      <w:r>
        <w:rPr>
          <w:w w:val="110"/>
        </w:rPr>
        <w:t>在用排水井倒塌或者排水管洞</w:t>
      </w:r>
      <w:r>
        <w:rPr>
          <w:rFonts w:hint="eastAsia" w:ascii="MS UI Gothic" w:eastAsia="MS UI Gothic"/>
          <w:w w:val="150"/>
        </w:rPr>
        <w:t xml:space="preserve">) </w:t>
      </w:r>
      <w:r>
        <w:rPr>
          <w:w w:val="110"/>
        </w:rPr>
        <w:t>坍塌堵塞的</w:t>
      </w:r>
      <w:r>
        <w:rPr>
          <w:rFonts w:hint="eastAsia" w:ascii="MS UI Gothic" w:eastAsia="MS UI Gothic"/>
          <w:w w:val="80"/>
        </w:rPr>
        <w:t>ꎻ</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４００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199" o:spid="_x0000_s2199" o:spt="203" style="height:2.15pt;width:398.25pt;" coordsize="7965,43">
            <o:lock v:ext="edit"/>
            <v:line id="_x0000_s2200" o:spid="_x0000_s2200" o:spt="20" style="position:absolute;left:0;top:39;height:0;width:7965;" stroked="t" coordsize="21600,21600">
              <v:path arrowok="t"/>
              <v:fill focussize="0,0"/>
              <v:stroke weight="0.388031496062992pt" color="#231F20"/>
              <v:imagedata o:title=""/>
              <o:lock v:ext="edit"/>
            </v:line>
            <v:line id="_x0000_s2201" o:spid="_x0000_s220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rFonts w:hint="eastAsia" w:ascii="MS UI Gothic" w:eastAsia="MS UI Gothic"/>
          <w:w w:val="115"/>
        </w:rPr>
        <w:t xml:space="preserve">( </w:t>
      </w:r>
      <w:r>
        <w:rPr>
          <w:w w:val="110"/>
        </w:rPr>
        <w:t>五</w:t>
      </w:r>
      <w:r>
        <w:rPr>
          <w:rFonts w:hint="eastAsia" w:ascii="MS UI Gothic" w:eastAsia="MS UI Gothic"/>
          <w:w w:val="115"/>
        </w:rPr>
        <w:t xml:space="preserve">) </w:t>
      </w:r>
      <w:r>
        <w:rPr>
          <w:w w:val="110"/>
        </w:rPr>
        <w:t>其他危及尾矿库安全的重大险情</w:t>
      </w:r>
      <w:r>
        <w:rPr>
          <w:rFonts w:hint="eastAsia" w:ascii="MS UI Gothic" w:eastAsia="MS UI Gothic"/>
          <w:w w:val="80"/>
        </w:rPr>
        <w:t>ꎮ</w:t>
      </w:r>
    </w:p>
    <w:p>
      <w:pPr>
        <w:pStyle w:val="6"/>
        <w:spacing w:line="295" w:lineRule="auto"/>
        <w:ind w:right="38"/>
        <w:rPr>
          <w:rFonts w:hint="eastAsia" w:ascii="MS UI Gothic" w:eastAsia="MS UI Gothic"/>
        </w:rPr>
      </w:pPr>
      <w:r>
        <w:t>第二十五条  尾矿库发生坝体坍塌</w:t>
      </w:r>
      <w:r>
        <w:rPr>
          <w:rFonts w:hint="eastAsia" w:ascii="MS UI Gothic" w:eastAsia="MS UI Gothic"/>
          <w:w w:val="80"/>
        </w:rPr>
        <w:t>、</w:t>
      </w:r>
      <w:r>
        <w:t>洪水漫顶等事故时</w:t>
      </w:r>
      <w:r>
        <w:rPr>
          <w:rFonts w:hint="eastAsia" w:ascii="MS UI Gothic" w:eastAsia="MS UI Gothic"/>
          <w:w w:val="80"/>
        </w:rPr>
        <w:t xml:space="preserve">ꎬ </w:t>
      </w:r>
      <w:r>
        <w:t>生产经营单位应当立即启动应急预案</w:t>
      </w:r>
      <w:r>
        <w:rPr>
          <w:rFonts w:hint="eastAsia" w:ascii="MS UI Gothic" w:eastAsia="MS UI Gothic"/>
          <w:w w:val="80"/>
        </w:rPr>
        <w:t xml:space="preserve">ꎬ </w:t>
      </w:r>
      <w:r>
        <w:t>进行抢险</w:t>
      </w:r>
      <w:r>
        <w:rPr>
          <w:rFonts w:hint="eastAsia" w:ascii="MS UI Gothic" w:eastAsia="MS UI Gothic"/>
          <w:w w:val="80"/>
        </w:rPr>
        <w:t xml:space="preserve">ꎬ </w:t>
      </w:r>
      <w:r>
        <w:t>防止事故扩大</w:t>
      </w:r>
      <w:r>
        <w:rPr>
          <w:rFonts w:hint="eastAsia" w:ascii="MS UI Gothic" w:eastAsia="MS UI Gothic"/>
          <w:w w:val="80"/>
        </w:rPr>
        <w:t xml:space="preserve">ꎬ </w:t>
      </w:r>
      <w:r>
        <w:t>避免和减少人员伤亡及财产损失</w:t>
      </w:r>
      <w:r>
        <w:rPr>
          <w:rFonts w:hint="eastAsia" w:ascii="MS UI Gothic" w:eastAsia="MS UI Gothic"/>
          <w:w w:val="80"/>
        </w:rPr>
        <w:t xml:space="preserve">ꎬ </w:t>
      </w:r>
      <w:r>
        <w:t>并立即报告当地县级安全生产监督管理部门和人民政府</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第二十六条 未经生产经营单位进行</w:t>
      </w:r>
      <w:r>
        <w:t>技术论证并同意</w:t>
      </w:r>
      <w:r>
        <w:rPr>
          <w:rFonts w:hint="eastAsia" w:ascii="MS UI Gothic" w:eastAsia="MS UI Gothic"/>
          <w:w w:val="80"/>
        </w:rPr>
        <w:t xml:space="preserve">ꎬ </w:t>
      </w:r>
      <w:r>
        <w:t>以及尾矿库建设项目安全设施设计原审批部门批准</w:t>
      </w:r>
      <w:r>
        <w:rPr>
          <w:rFonts w:hint="eastAsia" w:ascii="MS UI Gothic" w:eastAsia="MS UI Gothic"/>
          <w:w w:val="80"/>
        </w:rPr>
        <w:t xml:space="preserve">ꎬ </w:t>
      </w:r>
      <w:r>
        <w:t>任何单位和</w:t>
      </w:r>
      <w:r>
        <w:rPr>
          <w:w w:val="105"/>
        </w:rPr>
        <w:t>个人不得在库区从事爆破</w:t>
      </w:r>
      <w:r>
        <w:rPr>
          <w:rFonts w:hint="eastAsia" w:ascii="MS UI Gothic" w:eastAsia="MS UI Gothic"/>
          <w:w w:val="80"/>
        </w:rPr>
        <w:t xml:space="preserve">、 </w:t>
      </w:r>
      <w:r>
        <w:rPr>
          <w:w w:val="105"/>
        </w:rPr>
        <w:t>采砂</w:t>
      </w:r>
      <w:r>
        <w:rPr>
          <w:rFonts w:hint="eastAsia" w:ascii="MS UI Gothic" w:eastAsia="MS UI Gothic"/>
          <w:w w:val="80"/>
        </w:rPr>
        <w:t xml:space="preserve">、 </w:t>
      </w:r>
      <w:r>
        <w:rPr>
          <w:w w:val="105"/>
        </w:rPr>
        <w:t>地下采矿等危害尾矿库安全的作业</w:t>
      </w:r>
      <w:r>
        <w:rPr>
          <w:rFonts w:hint="eastAsia" w:ascii="MS UI Gothic" w:eastAsia="MS UI Gothic"/>
          <w:w w:val="80"/>
        </w:rPr>
        <w:t>ꎮ</w:t>
      </w:r>
    </w:p>
    <w:p>
      <w:pPr>
        <w:pStyle w:val="6"/>
        <w:tabs>
          <w:tab w:val="left" w:pos="1591"/>
        </w:tabs>
        <w:spacing w:before="147"/>
        <w:ind w:left="753" w:firstLine="0"/>
        <w:jc w:val="left"/>
      </w:pPr>
      <w:r>
        <w:rPr>
          <w:spacing w:val="3"/>
          <w:w w:val="105"/>
        </w:rPr>
        <w:t>第四</w:t>
      </w:r>
      <w:r>
        <w:rPr>
          <w:w w:val="105"/>
        </w:rPr>
        <w:t>章</w:t>
      </w:r>
      <w:r>
        <w:rPr>
          <w:w w:val="105"/>
        </w:rPr>
        <w:tab/>
      </w:r>
      <w:r>
        <w:rPr>
          <w:spacing w:val="3"/>
          <w:w w:val="105"/>
        </w:rPr>
        <w:t>尾矿库回采和闭</w:t>
      </w:r>
      <w:r>
        <w:rPr>
          <w:w w:val="105"/>
        </w:rPr>
        <w:t>库</w:t>
      </w:r>
    </w:p>
    <w:p>
      <w:pPr>
        <w:pStyle w:val="6"/>
        <w:spacing w:before="215" w:line="295" w:lineRule="auto"/>
        <w:ind w:right="39"/>
        <w:rPr>
          <w:rFonts w:hint="eastAsia" w:ascii="MS UI Gothic" w:eastAsia="MS UI Gothic"/>
        </w:rPr>
      </w:pPr>
      <w:r>
        <w:t>第二十七条 尾矿回采再利用工程应当进行回采勘察</w:t>
      </w:r>
      <w:r>
        <w:rPr>
          <w:rFonts w:hint="eastAsia" w:ascii="MS UI Gothic" w:eastAsia="MS UI Gothic"/>
          <w:w w:val="80"/>
        </w:rPr>
        <w:t xml:space="preserve">、 </w:t>
      </w:r>
      <w:r>
        <w:t>安全预评价和回采设计</w:t>
      </w:r>
      <w:r>
        <w:rPr>
          <w:rFonts w:hint="eastAsia" w:ascii="MS UI Gothic" w:eastAsia="MS UI Gothic"/>
          <w:w w:val="80"/>
        </w:rPr>
        <w:t xml:space="preserve">ꎬ </w:t>
      </w:r>
      <w:r>
        <w:t>回采设计应当包括安全设施设计</w:t>
      </w:r>
      <w:r>
        <w:rPr>
          <w:rFonts w:hint="eastAsia" w:ascii="MS UI Gothic" w:eastAsia="MS UI Gothic"/>
          <w:w w:val="80"/>
        </w:rPr>
        <w:t xml:space="preserve">ꎬ </w:t>
      </w:r>
      <w:r>
        <w:t>并编制安全专篇</w:t>
      </w:r>
      <w:r>
        <w:rPr>
          <w:rFonts w:hint="eastAsia" w:ascii="MS UI Gothic" w:eastAsia="MS UI Gothic"/>
          <w:w w:val="80"/>
        </w:rPr>
        <w:t>ꎮ</w:t>
      </w:r>
    </w:p>
    <w:p>
      <w:pPr>
        <w:pStyle w:val="6"/>
        <w:spacing w:line="295" w:lineRule="auto"/>
        <w:ind w:right="38"/>
        <w:rPr>
          <w:rFonts w:hint="eastAsia" w:ascii="MS UI Gothic" w:eastAsia="MS UI Gothic"/>
        </w:rPr>
      </w:pPr>
      <w:r>
        <w:t>安全预评价报告应当向安全生产监督管理部门备案</w:t>
      </w:r>
      <w:r>
        <w:rPr>
          <w:rFonts w:hint="eastAsia" w:ascii="MS UI Gothic" w:eastAsia="MS UI Gothic"/>
          <w:w w:val="80"/>
        </w:rPr>
        <w:t xml:space="preserve">ꎮ </w:t>
      </w:r>
      <w:r>
        <w:t>回采安全设施设计应当报安全生产监督管理部门审查批准</w:t>
      </w:r>
      <w:r>
        <w:rPr>
          <w:rFonts w:hint="eastAsia" w:ascii="MS UI Gothic" w:eastAsia="MS UI Gothic"/>
          <w:w w:val="80"/>
        </w:rPr>
        <w:t xml:space="preserve">ꎮ </w:t>
      </w:r>
      <w:r>
        <w:t>生产经营单位应当按照回采设计实施尾矿回采</w:t>
      </w:r>
      <w:r>
        <w:rPr>
          <w:rFonts w:hint="eastAsia" w:ascii="MS UI Gothic" w:eastAsia="MS UI Gothic"/>
          <w:w w:val="80"/>
        </w:rPr>
        <w:t>ꎬ</w:t>
      </w:r>
      <w:r>
        <w:t>并在尾矿回采期间进行日常安全管理和检查</w:t>
      </w:r>
      <w:r>
        <w:rPr>
          <w:rFonts w:hint="eastAsia" w:ascii="MS UI Gothic" w:eastAsia="MS UI Gothic"/>
          <w:w w:val="80"/>
        </w:rPr>
        <w:t xml:space="preserve">ꎬ </w:t>
      </w:r>
      <w:r>
        <w:t>防止尾矿回采作业对尾矿坝安全造成</w:t>
      </w:r>
      <w:r>
        <w:rPr>
          <w:w w:val="105"/>
        </w:rPr>
        <w:t>影响</w:t>
      </w:r>
      <w:r>
        <w:rPr>
          <w:rFonts w:hint="eastAsia" w:ascii="MS UI Gothic" w:eastAsia="MS UI Gothic"/>
          <w:w w:val="80"/>
        </w:rPr>
        <w:t>ꎮ</w:t>
      </w:r>
    </w:p>
    <w:p>
      <w:pPr>
        <w:pStyle w:val="6"/>
        <w:spacing w:line="295" w:lineRule="auto"/>
        <w:ind w:right="39"/>
        <w:rPr>
          <w:rFonts w:hint="eastAsia" w:ascii="MS UI Gothic" w:eastAsia="MS UI Gothic"/>
        </w:rPr>
      </w:pPr>
      <w:r>
        <w:t>尾矿全部回采后不再进行排尾作业的</w:t>
      </w:r>
      <w:r>
        <w:rPr>
          <w:rFonts w:hint="eastAsia" w:ascii="MS UI Gothic" w:eastAsia="MS UI Gothic"/>
          <w:w w:val="80"/>
        </w:rPr>
        <w:t xml:space="preserve">ꎬ </w:t>
      </w:r>
      <w:r>
        <w:t>生产经营单位应当及时报安全生产监督管理部门履行尾矿库注销手续</w:t>
      </w:r>
      <w:r>
        <w:rPr>
          <w:rFonts w:hint="eastAsia" w:ascii="MS UI Gothic" w:eastAsia="MS UI Gothic"/>
          <w:w w:val="80"/>
        </w:rPr>
        <w:t xml:space="preserve">ꎮ </w:t>
      </w:r>
      <w:r>
        <w:t>具体办</w:t>
      </w:r>
      <w:r>
        <w:rPr>
          <w:w w:val="105"/>
        </w:rPr>
        <w:t>法由省级安全生产监督管理部门制定</w:t>
      </w:r>
      <w:r>
        <w:rPr>
          <w:rFonts w:hint="eastAsia" w:ascii="MS UI Gothic" w:eastAsia="MS UI Gothic"/>
          <w:w w:val="80"/>
        </w:rPr>
        <w:t>ꎮ</w:t>
      </w:r>
    </w:p>
    <w:p>
      <w:pPr>
        <w:pStyle w:val="6"/>
        <w:spacing w:line="295" w:lineRule="auto"/>
        <w:ind w:right="39"/>
      </w:pPr>
      <w:r>
        <w:rPr>
          <w:w w:val="105"/>
        </w:rPr>
        <w:t>第二十八条 尾矿库运行到设计最终</w:t>
      </w:r>
      <w:r>
        <w:t>标高或者不再进行排尾作业的</w:t>
      </w:r>
      <w:r>
        <w:rPr>
          <w:rFonts w:hint="eastAsia" w:ascii="MS UI Gothic" w:eastAsia="MS UI Gothic"/>
          <w:w w:val="80"/>
        </w:rPr>
        <w:t xml:space="preserve">ꎬ </w:t>
      </w:r>
      <w:r>
        <w:t>应当在一年内完成闭库</w:t>
      </w:r>
      <w:r>
        <w:rPr>
          <w:rFonts w:hint="eastAsia" w:ascii="MS UI Gothic" w:eastAsia="MS UI Gothic"/>
          <w:w w:val="80"/>
        </w:rPr>
        <w:t xml:space="preserve">ꎮ </w:t>
      </w:r>
      <w:r>
        <w:t>特殊情况不能按期完成闭库的</w:t>
      </w:r>
      <w:r>
        <w:rPr>
          <w:rFonts w:hint="eastAsia" w:ascii="MS UI Gothic" w:eastAsia="MS UI Gothic"/>
          <w:w w:val="80"/>
        </w:rPr>
        <w:t xml:space="preserve">ꎬ </w:t>
      </w:r>
      <w:r>
        <w:t>应当报经相应的安全生产监督管理部门同意后方可延期</w:t>
      </w:r>
      <w:r>
        <w:rPr>
          <w:rFonts w:hint="eastAsia" w:ascii="MS UI Gothic" w:eastAsia="MS UI Gothic"/>
          <w:w w:val="80"/>
        </w:rPr>
        <w:t xml:space="preserve">ꎬ </w:t>
      </w:r>
      <w:r>
        <w:t>但延长期限不得超</w:t>
      </w:r>
    </w:p>
    <w:p>
      <w:pPr>
        <w:pStyle w:val="6"/>
        <w:spacing w:line="236" w:lineRule="exact"/>
        <w:ind w:firstLine="0"/>
        <w:rPr>
          <w:rFonts w:hint="eastAsia" w:ascii="MS UI Gothic" w:eastAsia="MS UI Gothic"/>
        </w:rPr>
      </w:pPr>
      <w:r>
        <w:t xml:space="preserve">过 </w:t>
      </w:r>
      <w:r>
        <w:rPr>
          <w:rFonts w:hint="eastAsia" w:ascii="MS UI Gothic" w:eastAsia="MS UI Gothic"/>
        </w:rPr>
        <w:t xml:space="preserve">６ </w:t>
      </w:r>
      <w:r>
        <w:t>个月</w:t>
      </w:r>
      <w:r>
        <w:rPr>
          <w:rFonts w:hint="eastAsia" w:ascii="MS UI Gothic" w:eastAsia="MS UI Gothic"/>
          <w:w w:val="80"/>
        </w:rPr>
        <w:t>ꎮ</w:t>
      </w:r>
    </w:p>
    <w:p>
      <w:pPr>
        <w:pStyle w:val="6"/>
        <w:spacing w:before="123" w:line="295" w:lineRule="auto"/>
        <w:ind w:right="440"/>
        <w:rPr>
          <w:rFonts w:hint="eastAsia" w:ascii="MS UI Gothic" w:eastAsia="MS UI Gothic"/>
        </w:rPr>
      </w:pPr>
      <w:r>
        <w:br w:type="column"/>
      </w:r>
      <w:r>
        <w:t xml:space="preserve">第二十九条 尾矿库运行到设计最终标高的前 </w:t>
      </w:r>
      <w:r>
        <w:rPr>
          <w:rFonts w:hint="eastAsia" w:ascii="MS UI Gothic" w:eastAsia="MS UI Gothic"/>
          <w:w w:val="85"/>
        </w:rPr>
        <w:t xml:space="preserve">１２ </w:t>
      </w:r>
      <w:r>
        <w:t>个月内</w:t>
      </w:r>
      <w:r>
        <w:rPr>
          <w:rFonts w:hint="eastAsia" w:ascii="MS UI Gothic" w:eastAsia="MS UI Gothic"/>
          <w:w w:val="85"/>
        </w:rPr>
        <w:t xml:space="preserve">ꎬ </w:t>
      </w:r>
      <w:r>
        <w:t>生产经营单位应当进行闭库前的安全现状评价和闭库设计</w:t>
      </w:r>
      <w:r>
        <w:rPr>
          <w:rFonts w:hint="eastAsia" w:ascii="MS UI Gothic" w:eastAsia="MS UI Gothic"/>
          <w:w w:val="85"/>
        </w:rPr>
        <w:t>ꎬ</w:t>
      </w:r>
      <w:r>
        <w:t>闭库设计应当包括安全设施设计</w:t>
      </w:r>
      <w:r>
        <w:rPr>
          <w:rFonts w:hint="eastAsia" w:ascii="MS UI Gothic" w:eastAsia="MS UI Gothic"/>
          <w:w w:val="85"/>
        </w:rPr>
        <w:t xml:space="preserve">ꎬ </w:t>
      </w:r>
      <w:r>
        <w:t>并编制安全专篇</w:t>
      </w:r>
      <w:r>
        <w:rPr>
          <w:rFonts w:hint="eastAsia" w:ascii="MS UI Gothic" w:eastAsia="MS UI Gothic"/>
          <w:w w:val="85"/>
        </w:rPr>
        <w:t>ꎮ</w:t>
      </w:r>
    </w:p>
    <w:p>
      <w:pPr>
        <w:pStyle w:val="6"/>
        <w:spacing w:line="295" w:lineRule="auto"/>
        <w:ind w:right="442"/>
        <w:jc w:val="left"/>
        <w:rPr>
          <w:rFonts w:hint="eastAsia" w:ascii="MS UI Gothic" w:eastAsia="MS UI Gothic"/>
        </w:rPr>
      </w:pPr>
      <w:r>
        <w:t>闭库安全设施设计应当经有关安全生</w:t>
      </w:r>
      <w:r>
        <w:rPr>
          <w:w w:val="105"/>
        </w:rPr>
        <w:t>产监督管理部门审查批准</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第三十条 生产经营单位申请尾矿库</w:t>
      </w:r>
      <w:r>
        <w:t>闭库工程安全设施验收</w:t>
      </w:r>
      <w:r>
        <w:rPr>
          <w:rFonts w:hint="eastAsia" w:ascii="MS UI Gothic" w:eastAsia="MS UI Gothic"/>
          <w:w w:val="80"/>
        </w:rPr>
        <w:t xml:space="preserve">ꎬ </w:t>
      </w:r>
      <w:r>
        <w:t>应当具备下列</w:t>
      </w:r>
      <w:r>
        <w:rPr>
          <w:w w:val="110"/>
        </w:rPr>
        <w:t>条件</w:t>
      </w:r>
      <w:r>
        <w:rPr>
          <w:rFonts w:hint="eastAsia" w:ascii="MS UI Gothic" w:eastAsia="MS UI Gothic"/>
          <w:w w:val="235"/>
        </w:rPr>
        <w:t>:</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尾矿库已停止使用</w:t>
      </w:r>
      <w:r>
        <w:rPr>
          <w:rFonts w:hint="eastAsia" w:ascii="MS UI Gothic" w:eastAsia="MS UI Gothic"/>
          <w:w w:val="80"/>
        </w:rPr>
        <w:t>ꎻ</w:t>
      </w:r>
    </w:p>
    <w:p>
      <w:pPr>
        <w:pStyle w:val="6"/>
        <w:spacing w:before="53"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闭库前的安全现状评价报告已报有关安全生产监督管理部门备案</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4"/>
          <w:w w:val="150"/>
        </w:rPr>
        <w:t xml:space="preserve">) </w:t>
      </w:r>
      <w:r>
        <w:rPr>
          <w:spacing w:val="5"/>
          <w:w w:val="105"/>
        </w:rPr>
        <w:t>尾矿库闭库工程安全设施设计</w:t>
      </w:r>
      <w:r>
        <w:rPr>
          <w:spacing w:val="24"/>
        </w:rPr>
        <w:t>已经有关安全生产监督管理部门审查</w:t>
      </w:r>
      <w:r>
        <w:rPr>
          <w:spacing w:val="3"/>
          <w:w w:val="105"/>
        </w:rPr>
        <w:t>批准</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四</w:t>
      </w:r>
      <w:r>
        <w:rPr>
          <w:rFonts w:hint="eastAsia" w:ascii="MS UI Gothic" w:eastAsia="MS UI Gothic"/>
          <w:spacing w:val="4"/>
          <w:w w:val="150"/>
        </w:rPr>
        <w:t xml:space="preserve">) </w:t>
      </w:r>
      <w:r>
        <w:rPr>
          <w:spacing w:val="5"/>
          <w:w w:val="105"/>
        </w:rPr>
        <w:t>有完备的闭库工程安全设施施</w:t>
      </w:r>
      <w:r>
        <w:rPr>
          <w:spacing w:val="3"/>
          <w:w w:val="105"/>
        </w:rPr>
        <w:t>工记录</w:t>
      </w:r>
      <w:r>
        <w:rPr>
          <w:rFonts w:hint="eastAsia" w:ascii="MS UI Gothic" w:eastAsia="MS UI Gothic"/>
          <w:spacing w:val="11"/>
          <w:w w:val="80"/>
        </w:rPr>
        <w:t xml:space="preserve">、 </w:t>
      </w:r>
      <w:r>
        <w:rPr>
          <w:spacing w:val="3"/>
          <w:w w:val="105"/>
        </w:rPr>
        <w:t>竣工报告</w:t>
      </w:r>
      <w:r>
        <w:rPr>
          <w:rFonts w:hint="eastAsia" w:ascii="MS UI Gothic" w:eastAsia="MS UI Gothic"/>
          <w:spacing w:val="12"/>
          <w:w w:val="80"/>
        </w:rPr>
        <w:t xml:space="preserve">、 </w:t>
      </w:r>
      <w:r>
        <w:rPr>
          <w:spacing w:val="2"/>
          <w:w w:val="105"/>
        </w:rPr>
        <w:t>竣工图和施工监理报</w:t>
      </w:r>
      <w:r>
        <w:rPr>
          <w:spacing w:val="3"/>
          <w:w w:val="105"/>
        </w:rPr>
        <w:t>告等</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行政法规和国家标准</w:t>
      </w:r>
      <w:r>
        <w:rPr>
          <w:rFonts w:hint="eastAsia" w:ascii="MS UI Gothic" w:eastAsia="MS UI Gothic"/>
          <w:w w:val="80"/>
        </w:rPr>
        <w:t>、</w:t>
      </w:r>
      <w:r>
        <w:rPr>
          <w:w w:val="105"/>
        </w:rPr>
        <w:t>行业标准规定的其他条件</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第三十一条 生产经营单位向安全生</w:t>
      </w:r>
      <w:r>
        <w:rPr>
          <w:spacing w:val="2"/>
        </w:rPr>
        <w:t>产监督管理部门提交尾矿库闭库工程安全</w:t>
      </w:r>
      <w:r>
        <w:rPr>
          <w:spacing w:val="3"/>
        </w:rPr>
        <w:t>设施验收申请报告</w:t>
      </w:r>
      <w:r>
        <w:rPr>
          <w:rFonts w:hint="eastAsia" w:ascii="MS UI Gothic" w:eastAsia="MS UI Gothic"/>
          <w:spacing w:val="20"/>
          <w:w w:val="80"/>
        </w:rPr>
        <w:t xml:space="preserve">ꎬ </w:t>
      </w:r>
      <w:r>
        <w:rPr>
          <w:spacing w:val="2"/>
        </w:rPr>
        <w:t>应当包括下列内容及</w:t>
      </w:r>
      <w:r>
        <w:rPr>
          <w:spacing w:val="3"/>
          <w:w w:val="105"/>
        </w:rPr>
        <w:t>资料</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5"/>
          <w:w w:val="105"/>
        </w:rPr>
        <w:t>一</w:t>
      </w:r>
      <w:r>
        <w:rPr>
          <w:rFonts w:hint="eastAsia" w:ascii="MS UI Gothic" w:eastAsia="MS UI Gothic"/>
          <w:spacing w:val="12"/>
          <w:w w:val="150"/>
        </w:rPr>
        <w:t xml:space="preserve">) </w:t>
      </w:r>
      <w:r>
        <w:rPr>
          <w:spacing w:val="23"/>
          <w:w w:val="105"/>
        </w:rPr>
        <w:t>尾矿库库址所在行政区域位</w:t>
      </w:r>
      <w:r>
        <w:rPr>
          <w:spacing w:val="3"/>
          <w:w w:val="105"/>
        </w:rPr>
        <w:t>置</w:t>
      </w:r>
      <w:r>
        <w:rPr>
          <w:rFonts w:hint="eastAsia" w:ascii="MS UI Gothic" w:eastAsia="MS UI Gothic"/>
          <w:spacing w:val="11"/>
          <w:w w:val="80"/>
        </w:rPr>
        <w:t xml:space="preserve">、 </w:t>
      </w:r>
      <w:r>
        <w:rPr>
          <w:spacing w:val="3"/>
          <w:w w:val="105"/>
        </w:rPr>
        <w:t>占地面积及尾矿库下游村庄</w:t>
      </w:r>
      <w:r>
        <w:rPr>
          <w:rFonts w:hint="eastAsia" w:ascii="MS UI Gothic" w:eastAsia="MS UI Gothic"/>
          <w:spacing w:val="12"/>
          <w:w w:val="80"/>
        </w:rPr>
        <w:t xml:space="preserve">、 </w:t>
      </w:r>
      <w:r>
        <w:rPr>
          <w:spacing w:val="2"/>
          <w:w w:val="105"/>
        </w:rPr>
        <w:t>居民等</w:t>
      </w:r>
      <w:r>
        <w:rPr>
          <w:spacing w:val="3"/>
          <w:w w:val="105"/>
        </w:rPr>
        <w:t>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尾矿库建设和运行时间以及在</w:t>
      </w:r>
      <w:r>
        <w:t>建设和运行中曾经出现过的重大问题及其</w:t>
      </w:r>
      <w:r>
        <w:rPr>
          <w:w w:val="105"/>
        </w:rPr>
        <w:t>处理措施</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t>三</w:t>
      </w:r>
      <w:r>
        <w:rPr>
          <w:rFonts w:hint="eastAsia" w:ascii="MS UI Gothic" w:eastAsia="MS UI Gothic"/>
          <w:w w:val="150"/>
        </w:rPr>
        <w:t xml:space="preserve">) </w:t>
      </w:r>
      <w:r>
        <w:t>尾矿库主要技术参数</w:t>
      </w:r>
      <w:r>
        <w:rPr>
          <w:rFonts w:hint="eastAsia" w:ascii="MS UI Gothic" w:eastAsia="MS UI Gothic"/>
          <w:w w:val="80"/>
        </w:rPr>
        <w:t xml:space="preserve">ꎬ </w:t>
      </w:r>
      <w:r>
        <w:t>包括初期坝结构</w:t>
      </w:r>
      <w:r>
        <w:rPr>
          <w:rFonts w:hint="eastAsia" w:ascii="MS UI Gothic" w:eastAsia="MS UI Gothic"/>
          <w:w w:val="80"/>
        </w:rPr>
        <w:t xml:space="preserve">、 </w:t>
      </w:r>
      <w:r>
        <w:t>筑坝材料</w:t>
      </w:r>
      <w:r>
        <w:rPr>
          <w:rFonts w:hint="eastAsia" w:ascii="MS UI Gothic" w:eastAsia="MS UI Gothic"/>
          <w:w w:val="80"/>
        </w:rPr>
        <w:t xml:space="preserve">、 </w:t>
      </w:r>
      <w:r>
        <w:t>堆坝方式</w:t>
      </w:r>
      <w:r>
        <w:rPr>
          <w:rFonts w:hint="eastAsia" w:ascii="MS UI Gothic" w:eastAsia="MS UI Gothic"/>
          <w:w w:val="80"/>
        </w:rPr>
        <w:t xml:space="preserve">、 </w:t>
      </w:r>
      <w:r>
        <w:t>坝高</w:t>
      </w:r>
      <w:r>
        <w:rPr>
          <w:rFonts w:hint="eastAsia" w:ascii="MS UI Gothic" w:eastAsia="MS UI Gothic"/>
          <w:w w:val="80"/>
        </w:rPr>
        <w:t>、</w:t>
      </w:r>
      <w:r>
        <w:t>总库容</w:t>
      </w:r>
      <w:r>
        <w:rPr>
          <w:rFonts w:hint="eastAsia" w:ascii="MS UI Gothic" w:eastAsia="MS UI Gothic"/>
          <w:w w:val="80"/>
        </w:rPr>
        <w:t xml:space="preserve">、 </w:t>
      </w:r>
      <w:r>
        <w:t>尾矿坝外坡坡比</w:t>
      </w:r>
      <w:r>
        <w:rPr>
          <w:rFonts w:hint="eastAsia" w:ascii="MS UI Gothic" w:eastAsia="MS UI Gothic"/>
          <w:w w:val="80"/>
        </w:rPr>
        <w:t xml:space="preserve">、 </w:t>
      </w:r>
      <w:r>
        <w:t>尾矿粒度</w:t>
      </w:r>
      <w:r>
        <w:rPr>
          <w:rFonts w:hint="eastAsia" w:ascii="MS UI Gothic" w:eastAsia="MS UI Gothic"/>
          <w:w w:val="80"/>
        </w:rPr>
        <w:t xml:space="preserve">、 </w:t>
      </w:r>
      <w:r>
        <w:t>尾矿堆积量</w:t>
      </w:r>
      <w:r>
        <w:rPr>
          <w:rFonts w:hint="eastAsia" w:ascii="MS UI Gothic" w:eastAsia="MS UI Gothic"/>
          <w:w w:val="80"/>
        </w:rPr>
        <w:t xml:space="preserve">、 </w:t>
      </w:r>
      <w:r>
        <w:t>防洪排水型式等</w:t>
      </w:r>
      <w:r>
        <w:rPr>
          <w:rFonts w:hint="eastAsia" w:ascii="MS UI Gothic" w:eastAsia="MS UI Gothic"/>
          <w:w w:val="80"/>
        </w:rPr>
        <w:t>ꎻ</w:t>
      </w:r>
    </w:p>
    <w:p>
      <w:pPr>
        <w:pStyle w:val="6"/>
        <w:spacing w:line="237" w:lineRule="exact"/>
        <w:ind w:left="543" w:firstLine="0"/>
      </w:pPr>
      <w:r>
        <w:rPr>
          <w:rFonts w:hint="eastAsia" w:ascii="MS UI Gothic" w:eastAsia="MS UI Gothic"/>
          <w:w w:val="150"/>
        </w:rPr>
        <w:t xml:space="preserve">( </w:t>
      </w:r>
      <w:r>
        <w:rPr>
          <w:w w:val="115"/>
        </w:rPr>
        <w:t>四</w:t>
      </w:r>
      <w:r>
        <w:rPr>
          <w:rFonts w:hint="eastAsia" w:ascii="MS UI Gothic" w:eastAsia="MS UI Gothic"/>
          <w:w w:val="150"/>
        </w:rPr>
        <w:t xml:space="preserve">) </w:t>
      </w:r>
      <w:r>
        <w:rPr>
          <w:w w:val="115"/>
        </w:rPr>
        <w:t>闭库工程安全设施设计及审批</w:t>
      </w:r>
    </w:p>
    <w:p>
      <w:pPr>
        <w:spacing w:after="0" w:line="237" w:lineRule="exact"/>
        <w:sectPr>
          <w:type w:val="continuous"/>
          <w:pgSz w:w="10500" w:h="14750"/>
          <w:pgMar w:top="1400" w:right="980" w:bottom="280" w:left="980" w:header="720" w:footer="720" w:gutter="0"/>
          <w:cols w:equalWidth="0" w:num="2">
            <w:col w:w="3936" w:space="256"/>
            <w:col w:w="4348"/>
          </w:cols>
        </w:sectPr>
      </w:pPr>
    </w:p>
    <w:p>
      <w:pPr>
        <w:pStyle w:val="6"/>
        <w:spacing w:before="58"/>
        <w:ind w:left="0" w:right="38" w:firstLine="0"/>
        <w:jc w:val="right"/>
      </w:pPr>
      <w:r>
        <w:rPr>
          <w:spacing w:val="-3"/>
        </w:rPr>
        <w:t xml:space="preserve">库容小于 </w:t>
      </w:r>
      <w:r>
        <w:rPr>
          <w:rFonts w:hint="eastAsia" w:ascii="MS UI Gothic" w:eastAsia="MS UI Gothic"/>
          <w:spacing w:val="4"/>
        </w:rPr>
        <w:t xml:space="preserve">１０ </w:t>
      </w:r>
      <w:r>
        <w:rPr>
          <w:spacing w:val="9"/>
        </w:rPr>
        <w:t>万立方米且总坝高低于</w:t>
      </w:r>
    </w:p>
    <w:p>
      <w:pPr>
        <w:pStyle w:val="6"/>
        <w:spacing w:before="58" w:line="240" w:lineRule="exact"/>
        <w:ind w:left="0" w:right="38" w:firstLine="0"/>
        <w:jc w:val="right"/>
      </w:pPr>
      <w:r>
        <w:rPr>
          <w:rFonts w:hint="eastAsia" w:ascii="MS UI Gothic" w:eastAsia="MS UI Gothic"/>
          <w:w w:val="85"/>
        </w:rPr>
        <w:t xml:space="preserve">１０ </w:t>
      </w:r>
      <w:r>
        <w:rPr>
          <w:spacing w:val="10"/>
        </w:rPr>
        <w:t>米的小型尾矿库闭库程序</w:t>
      </w:r>
      <w:r>
        <w:rPr>
          <w:rFonts w:hint="eastAsia" w:ascii="MS UI Gothic" w:eastAsia="MS UI Gothic"/>
          <w:spacing w:val="2"/>
          <w:w w:val="85"/>
        </w:rPr>
        <w:t xml:space="preserve">ꎬ  </w:t>
      </w:r>
      <w:r>
        <w:rPr>
          <w:spacing w:val="12"/>
        </w:rPr>
        <w:t>由省级安</w:t>
      </w:r>
    </w:p>
    <w:p>
      <w:pPr>
        <w:spacing w:before="58"/>
        <w:ind w:left="118" w:right="0" w:firstLine="0"/>
        <w:jc w:val="left"/>
        <w:rPr>
          <w:rFonts w:hint="eastAsia" w:ascii="MS UI Gothic" w:eastAsia="MS UI Gothic"/>
          <w:sz w:val="20"/>
        </w:rPr>
      </w:pPr>
      <w:r>
        <w:br w:type="column"/>
      </w:r>
      <w:r>
        <w:rPr>
          <w:sz w:val="20"/>
        </w:rPr>
        <w:t>文件</w:t>
      </w:r>
      <w:r>
        <w:rPr>
          <w:rFonts w:hint="eastAsia" w:ascii="MS UI Gothic" w:eastAsia="MS UI Gothic"/>
          <w:w w:val="80"/>
          <w:sz w:val="20"/>
        </w:rPr>
        <w:t>ꎻ</w:t>
      </w:r>
    </w:p>
    <w:p>
      <w:pPr>
        <w:pStyle w:val="6"/>
        <w:spacing w:before="58" w:line="240" w:lineRule="exact"/>
        <w:ind w:left="538" w:firstLine="0"/>
        <w:jc w:val="left"/>
      </w:pPr>
      <w:r>
        <w:rPr>
          <w:rFonts w:hint="eastAsia" w:ascii="MS UI Gothic" w:eastAsia="MS UI Gothic"/>
          <w:w w:val="150"/>
        </w:rPr>
        <w:t xml:space="preserve">( </w:t>
      </w:r>
      <w:r>
        <w:rPr>
          <w:w w:val="115"/>
        </w:rPr>
        <w:t>五</w:t>
      </w:r>
      <w:r>
        <w:rPr>
          <w:rFonts w:hint="eastAsia" w:ascii="MS UI Gothic" w:eastAsia="MS UI Gothic"/>
          <w:w w:val="150"/>
        </w:rPr>
        <w:t xml:space="preserve">) </w:t>
      </w:r>
      <w:r>
        <w:rPr>
          <w:w w:val="115"/>
        </w:rPr>
        <w:t>闭库工程安全设施设计的主要</w:t>
      </w:r>
    </w:p>
    <w:p>
      <w:pPr>
        <w:spacing w:after="0" w:line="240" w:lineRule="exact"/>
        <w:jc w:val="left"/>
        <w:sectPr>
          <w:type w:val="continuous"/>
          <w:pgSz w:w="10500" w:h="14750"/>
          <w:pgMar w:top="1400" w:right="980" w:bottom="280" w:left="980" w:header="720" w:footer="720" w:gutter="0"/>
          <w:cols w:equalWidth="0" w:num="2">
            <w:col w:w="3934" w:space="264"/>
            <w:col w:w="4342"/>
          </w:cols>
        </w:sectPr>
      </w:pPr>
    </w:p>
    <w:p>
      <w:pPr>
        <w:pStyle w:val="6"/>
        <w:tabs>
          <w:tab w:val="left" w:pos="4316"/>
        </w:tabs>
        <w:spacing w:before="75"/>
        <w:ind w:firstLine="0"/>
        <w:jc w:val="left"/>
        <w:rPr>
          <w:rFonts w:hint="eastAsia" w:ascii="MS UI Gothic" w:eastAsia="MS UI Gothic"/>
        </w:rPr>
      </w:pPr>
      <w:r>
        <w:rPr>
          <w:spacing w:val="3"/>
        </w:rPr>
        <w:t>全生产监督管理部门根据本地实际制定</w:t>
      </w:r>
      <w:r>
        <w:rPr>
          <w:rFonts w:hint="eastAsia" w:ascii="MS UI Gothic" w:eastAsia="MS UI Gothic"/>
          <w:w w:val="80"/>
        </w:rPr>
        <w:t>ꎮ</w:t>
      </w:r>
      <w:r>
        <w:rPr>
          <w:rFonts w:hint="eastAsia" w:ascii="MS UI Gothic" w:eastAsia="MS UI Gothic"/>
          <w:w w:val="80"/>
        </w:rPr>
        <w:tab/>
      </w:r>
      <w:r>
        <w:rPr>
          <w:spacing w:val="3"/>
        </w:rPr>
        <w:t>工程措施和闭库工程施工概况</w:t>
      </w:r>
      <w:r>
        <w:rPr>
          <w:rFonts w:hint="eastAsia" w:ascii="MS UI Gothic" w:eastAsia="MS UI Gothic"/>
          <w:w w:val="80"/>
        </w:rPr>
        <w:t>ꎻ</w:t>
      </w:r>
    </w:p>
    <w:p>
      <w:pPr>
        <w:spacing w:after="0"/>
        <w:jc w:val="left"/>
        <w:rPr>
          <w:rFonts w:hint="eastAsia" w:ascii="MS UI Gothic" w:eastAsia="MS UI Gothic"/>
        </w:rPr>
        <w:sectPr>
          <w:type w:val="continuous"/>
          <w:pgSz w:w="10500" w:h="14750"/>
          <w:pgMar w:top="1400" w:right="980" w:bottom="280" w:left="980" w:header="720" w:footer="720" w:gutter="0"/>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４０１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02" o:spid="_x0000_s2202" o:spt="203" style="height:2.15pt;width:398.25pt;" coordsize="7965,43">
            <o:lock v:ext="edit"/>
            <v:line id="_x0000_s2203" o:spid="_x0000_s2203" o:spt="20" style="position:absolute;left:0;top:39;height:0;width:7965;" stroked="t" coordsize="21600,21600">
              <v:path arrowok="t"/>
              <v:fill focussize="0,0"/>
              <v:stroke weight="0.388031496062992pt" color="#231F20"/>
              <v:imagedata o:title=""/>
              <o:lock v:ext="edit"/>
            </v:line>
            <v:line id="_x0000_s2204" o:spid="_x0000_s220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860" w:firstLine="0"/>
        <w:rPr>
          <w:rFonts w:hint="eastAsia" w:ascii="MS UI Gothic" w:eastAsia="MS UI Gothic"/>
        </w:rPr>
      </w:pPr>
      <w:r>
        <w:rPr>
          <w:rFonts w:hint="eastAsia" w:ascii="MS UI Gothic" w:eastAsia="MS UI Gothic"/>
          <w:spacing w:val="-43"/>
          <w:w w:val="150"/>
        </w:rPr>
        <w:t xml:space="preserve">( </w:t>
      </w:r>
      <w:r>
        <w:rPr>
          <w:spacing w:val="3"/>
          <w:w w:val="110"/>
        </w:rPr>
        <w:t>六</w:t>
      </w:r>
      <w:r>
        <w:rPr>
          <w:rFonts w:hint="eastAsia" w:ascii="MS UI Gothic" w:eastAsia="MS UI Gothic"/>
          <w:spacing w:val="-25"/>
          <w:w w:val="150"/>
        </w:rPr>
        <w:t xml:space="preserve">) </w:t>
      </w:r>
      <w:r>
        <w:rPr>
          <w:spacing w:val="3"/>
          <w:w w:val="110"/>
        </w:rPr>
        <w:t>闭库工程安全验收评价报告</w:t>
      </w:r>
      <w:r>
        <w:rPr>
          <w:rFonts w:hint="eastAsia" w:ascii="MS UI Gothic" w:eastAsia="MS UI Gothic"/>
          <w:w w:val="80"/>
        </w:rPr>
        <w:t>ꎻ</w:t>
      </w:r>
    </w:p>
    <w:p>
      <w:pPr>
        <w:pStyle w:val="6"/>
        <w:spacing w:before="58" w:line="295" w:lineRule="auto"/>
        <w:ind w:left="440" w:right="1"/>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闭库工程安全设施竣工报告及</w:t>
      </w:r>
      <w:r>
        <w:rPr>
          <w:w w:val="110"/>
        </w:rPr>
        <w:t>竣工图</w:t>
      </w:r>
      <w:r>
        <w:rPr>
          <w:rFonts w:hint="eastAsia" w:ascii="MS UI Gothic" w:eastAsia="MS UI Gothic"/>
          <w:w w:val="80"/>
        </w:rPr>
        <w:t>ꎻ</w:t>
      </w:r>
    </w:p>
    <w:p>
      <w:pPr>
        <w:pStyle w:val="6"/>
        <w:spacing w:line="295" w:lineRule="auto"/>
        <w:ind w:left="860" w:right="1426" w:firstLine="0"/>
        <w:rPr>
          <w:rFonts w:hint="eastAsia" w:ascii="MS UI Gothic" w:eastAsia="MS UI Gothic"/>
        </w:rPr>
      </w:pPr>
      <w:r>
        <w:rPr>
          <w:rFonts w:hint="eastAsia" w:ascii="MS UI Gothic" w:eastAsia="MS UI Gothic"/>
          <w:spacing w:val="-36"/>
          <w:w w:val="130"/>
        </w:rPr>
        <w:t xml:space="preserve">( </w:t>
      </w:r>
      <w:r>
        <w:rPr>
          <w:spacing w:val="3"/>
          <w:w w:val="110"/>
        </w:rPr>
        <w:t>八</w:t>
      </w:r>
      <w:r>
        <w:rPr>
          <w:rFonts w:hint="eastAsia" w:ascii="MS UI Gothic" w:eastAsia="MS UI Gothic"/>
          <w:spacing w:val="-18"/>
          <w:w w:val="130"/>
        </w:rPr>
        <w:t xml:space="preserve">) </w:t>
      </w:r>
      <w:r>
        <w:rPr>
          <w:spacing w:val="3"/>
          <w:w w:val="110"/>
        </w:rPr>
        <w:t>施工监理报告</w:t>
      </w:r>
      <w:r>
        <w:rPr>
          <w:rFonts w:hint="eastAsia" w:ascii="MS UI Gothic" w:eastAsia="MS UI Gothic"/>
          <w:spacing w:val="-11"/>
          <w:w w:val="80"/>
        </w:rPr>
        <w:t>ꎻ</w:t>
      </w:r>
      <w:r>
        <w:rPr>
          <w:rFonts w:hint="eastAsia" w:ascii="MS UI Gothic" w:eastAsia="MS UI Gothic"/>
          <w:spacing w:val="-34"/>
          <w:w w:val="120"/>
        </w:rPr>
        <w:t xml:space="preserve">( </w:t>
      </w:r>
      <w:r>
        <w:rPr>
          <w:spacing w:val="3"/>
          <w:w w:val="110"/>
        </w:rPr>
        <w:t>九</w:t>
      </w:r>
      <w:r>
        <w:rPr>
          <w:rFonts w:hint="eastAsia" w:ascii="MS UI Gothic" w:eastAsia="MS UI Gothic"/>
          <w:spacing w:val="-15"/>
          <w:w w:val="120"/>
        </w:rPr>
        <w:t xml:space="preserve">) </w:t>
      </w:r>
      <w:r>
        <w:rPr>
          <w:spacing w:val="3"/>
          <w:w w:val="110"/>
        </w:rPr>
        <w:t>其他相关资料</w:t>
      </w:r>
      <w:r>
        <w:rPr>
          <w:rFonts w:hint="eastAsia" w:ascii="MS UI Gothic" w:eastAsia="MS UI Gothic"/>
          <w:spacing w:val="-11"/>
          <w:w w:val="80"/>
        </w:rPr>
        <w:t>ꎮ</w:t>
      </w:r>
    </w:p>
    <w:p>
      <w:pPr>
        <w:pStyle w:val="6"/>
        <w:spacing w:line="295" w:lineRule="auto"/>
        <w:ind w:left="440" w:right="1"/>
        <w:rPr>
          <w:rFonts w:hint="eastAsia" w:ascii="MS UI Gothic" w:eastAsia="MS UI Gothic"/>
        </w:rPr>
      </w:pPr>
      <w:r>
        <w:rPr>
          <w:spacing w:val="2"/>
          <w:w w:val="105"/>
        </w:rPr>
        <w:t>第三十二条 尾矿库闭库工作及闭库</w:t>
      </w:r>
      <w:r>
        <w:rPr>
          <w:spacing w:val="3"/>
        </w:rPr>
        <w:t>后的安全管理由原生产经营单位负责</w:t>
      </w:r>
      <w:r>
        <w:rPr>
          <w:rFonts w:hint="eastAsia" w:ascii="MS UI Gothic" w:eastAsia="MS UI Gothic"/>
          <w:spacing w:val="21"/>
          <w:w w:val="80"/>
        </w:rPr>
        <w:t xml:space="preserve">ꎮ </w:t>
      </w:r>
      <w:r>
        <w:t>对</w:t>
      </w:r>
      <w:r>
        <w:rPr>
          <w:spacing w:val="3"/>
        </w:rPr>
        <w:t>解散或者关闭破产的生产经营单位</w:t>
      </w:r>
      <w:r>
        <w:rPr>
          <w:rFonts w:hint="eastAsia" w:ascii="MS UI Gothic" w:eastAsia="MS UI Gothic"/>
          <w:spacing w:val="21"/>
          <w:w w:val="80"/>
        </w:rPr>
        <w:t xml:space="preserve">ꎬ </w:t>
      </w:r>
      <w:r>
        <w:rPr>
          <w:spacing w:val="1"/>
        </w:rPr>
        <w:t>其已</w:t>
      </w:r>
      <w:r>
        <w:rPr>
          <w:spacing w:val="3"/>
        </w:rPr>
        <w:t>关闭或者废弃的尾矿库的管理工作</w:t>
      </w:r>
      <w:r>
        <w:rPr>
          <w:rFonts w:hint="eastAsia" w:ascii="MS UI Gothic" w:eastAsia="MS UI Gothic"/>
          <w:spacing w:val="21"/>
          <w:w w:val="80"/>
        </w:rPr>
        <w:t xml:space="preserve">ꎬ </w:t>
      </w:r>
      <w:r>
        <w:rPr>
          <w:spacing w:val="1"/>
        </w:rPr>
        <w:t>由生</w:t>
      </w:r>
      <w:r>
        <w:rPr>
          <w:spacing w:val="10"/>
        </w:rPr>
        <w:t>产经营单位出资人或其上级主管单位负</w:t>
      </w:r>
      <w:r>
        <w:rPr>
          <w:spacing w:val="3"/>
        </w:rPr>
        <w:t>责</w:t>
      </w:r>
      <w:r>
        <w:rPr>
          <w:rFonts w:hint="eastAsia" w:ascii="MS UI Gothic" w:eastAsia="MS UI Gothic"/>
          <w:spacing w:val="18"/>
          <w:w w:val="80"/>
        </w:rPr>
        <w:t xml:space="preserve">ꎻ </w:t>
      </w:r>
      <w:r>
        <w:rPr>
          <w:spacing w:val="13"/>
        </w:rPr>
        <w:t>无上级主管单位或者出资人不明确</w:t>
      </w:r>
      <w:r>
        <w:rPr>
          <w:spacing w:val="3"/>
        </w:rPr>
        <w:t>的</w:t>
      </w:r>
      <w:r>
        <w:rPr>
          <w:rFonts w:hint="eastAsia" w:ascii="MS UI Gothic" w:eastAsia="MS UI Gothic"/>
          <w:spacing w:val="21"/>
          <w:w w:val="80"/>
        </w:rPr>
        <w:t xml:space="preserve">ꎬ </w:t>
      </w:r>
      <w:r>
        <w:rPr>
          <w:spacing w:val="2"/>
        </w:rPr>
        <w:t>由安全生产监督管理部门提请县级以</w:t>
      </w:r>
      <w:r>
        <w:rPr>
          <w:spacing w:val="3"/>
          <w:w w:val="105"/>
        </w:rPr>
        <w:t>上人民政府指定管理单位</w:t>
      </w:r>
      <w:r>
        <w:rPr>
          <w:rFonts w:hint="eastAsia" w:ascii="MS UI Gothic" w:eastAsia="MS UI Gothic"/>
          <w:w w:val="80"/>
        </w:rPr>
        <w:t>ꎮ</w:t>
      </w:r>
    </w:p>
    <w:p>
      <w:pPr>
        <w:pStyle w:val="6"/>
        <w:tabs>
          <w:tab w:val="left" w:pos="2222"/>
        </w:tabs>
        <w:spacing w:before="148"/>
        <w:ind w:left="1384" w:firstLine="0"/>
        <w:jc w:val="left"/>
      </w:pPr>
      <w:r>
        <w:rPr>
          <w:spacing w:val="3"/>
          <w:w w:val="105"/>
        </w:rPr>
        <w:t>第五</w:t>
      </w:r>
      <w:r>
        <w:rPr>
          <w:w w:val="105"/>
        </w:rPr>
        <w:t>章</w:t>
      </w:r>
      <w:r>
        <w:rPr>
          <w:w w:val="105"/>
        </w:rPr>
        <w:tab/>
      </w:r>
      <w:r>
        <w:rPr>
          <w:w w:val="105"/>
        </w:rPr>
        <w:t>监</w:t>
      </w:r>
      <w:r>
        <w:rPr>
          <w:spacing w:val="-34"/>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left="440"/>
        <w:rPr>
          <w:rFonts w:hint="eastAsia" w:ascii="MS UI Gothic" w:hAnsi="MS UI Gothic" w:eastAsia="MS UI Gothic"/>
        </w:rPr>
      </w:pPr>
      <w:r>
        <w:t>第三十三条 安全生产监督管理部门应当严格按照有关法律</w:t>
      </w:r>
      <w:r>
        <w:rPr>
          <w:rFonts w:hint="eastAsia" w:ascii="MS UI Gothic" w:hAnsi="MS UI Gothic" w:eastAsia="MS UI Gothic"/>
          <w:w w:val="80"/>
        </w:rPr>
        <w:t xml:space="preserve">、 </w:t>
      </w:r>
      <w:r>
        <w:t>行政法规</w:t>
      </w:r>
      <w:r>
        <w:rPr>
          <w:rFonts w:hint="eastAsia" w:ascii="MS UI Gothic" w:hAnsi="MS UI Gothic" w:eastAsia="MS UI Gothic"/>
          <w:w w:val="80"/>
        </w:rPr>
        <w:t xml:space="preserve">、 </w:t>
      </w:r>
      <w:r>
        <w:t>国家标准</w:t>
      </w:r>
      <w:r>
        <w:rPr>
          <w:rFonts w:hint="eastAsia" w:ascii="MS UI Gothic" w:hAnsi="MS UI Gothic" w:eastAsia="MS UI Gothic"/>
          <w:w w:val="80"/>
        </w:rPr>
        <w:t xml:space="preserve">、 </w:t>
      </w:r>
      <w:r>
        <w:t xml:space="preserve">行业标准以及本规定要求和 </w:t>
      </w:r>
      <w:r>
        <w:rPr>
          <w:rFonts w:hint="eastAsia" w:ascii="MS UI Gothic" w:hAnsi="MS UI Gothic" w:eastAsia="MS UI Gothic"/>
        </w:rPr>
        <w:t xml:space="preserve">“ </w:t>
      </w:r>
      <w:r>
        <w:t>分级属地</w:t>
      </w:r>
      <w:r>
        <w:rPr>
          <w:rFonts w:hint="eastAsia" w:ascii="MS UI Gothic" w:hAnsi="MS UI Gothic" w:eastAsia="MS UI Gothic"/>
        </w:rPr>
        <w:t xml:space="preserve">” </w:t>
      </w:r>
      <w:r>
        <w:t>的原则</w:t>
      </w:r>
      <w:r>
        <w:rPr>
          <w:rFonts w:hint="eastAsia" w:ascii="MS UI Gothic" w:hAnsi="MS UI Gothic" w:eastAsia="MS UI Gothic"/>
          <w:w w:val="80"/>
        </w:rPr>
        <w:t xml:space="preserve">ꎬ </w:t>
      </w:r>
      <w:r>
        <w:t>进行尾矿库建设项目安全设施设计审查</w:t>
      </w:r>
      <w:r>
        <w:rPr>
          <w:rFonts w:hint="eastAsia" w:ascii="MS UI Gothic" w:hAnsi="MS UI Gothic" w:eastAsia="MS UI Gothic"/>
          <w:w w:val="80"/>
        </w:rPr>
        <w:t xml:space="preserve">、 </w:t>
      </w:r>
      <w:r>
        <w:t>竣工验收和闭库工程安全设施验收</w:t>
      </w:r>
      <w:r>
        <w:rPr>
          <w:rFonts w:hint="eastAsia" w:ascii="MS UI Gothic" w:hAnsi="MS UI Gothic" w:eastAsia="MS UI Gothic"/>
          <w:w w:val="80"/>
        </w:rPr>
        <w:t xml:space="preserve">ꎻ </w:t>
      </w:r>
      <w:r>
        <w:t>不符合规定条件的</w:t>
      </w:r>
      <w:r>
        <w:rPr>
          <w:rFonts w:hint="eastAsia" w:ascii="MS UI Gothic" w:hAnsi="MS UI Gothic" w:eastAsia="MS UI Gothic"/>
          <w:w w:val="80"/>
        </w:rPr>
        <w:t xml:space="preserve">ꎬ </w:t>
      </w:r>
      <w:r>
        <w:t>不得批准或者通过验收</w:t>
      </w:r>
      <w:r>
        <w:rPr>
          <w:rFonts w:hint="eastAsia" w:ascii="MS UI Gothic" w:hAnsi="MS UI Gothic" w:eastAsia="MS UI Gothic"/>
          <w:w w:val="80"/>
        </w:rPr>
        <w:t xml:space="preserve">ꎮ </w:t>
      </w:r>
      <w:r>
        <w:t>进行审查或者验收</w:t>
      </w:r>
      <w:r>
        <w:rPr>
          <w:rFonts w:hint="eastAsia" w:ascii="MS UI Gothic" w:hAnsi="MS UI Gothic" w:eastAsia="MS UI Gothic"/>
          <w:w w:val="80"/>
        </w:rPr>
        <w:t>ꎬ</w:t>
      </w:r>
      <w:r>
        <w:t>不得收取费用</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rPr>
          <w:w w:val="105"/>
        </w:rPr>
        <w:t>第三十四条 安全生产监督管理部门</w:t>
      </w:r>
      <w:r>
        <w:t>应当建立本行政区域内尾矿库安全生产监</w:t>
      </w:r>
      <w:r>
        <w:rPr>
          <w:w w:val="105"/>
        </w:rPr>
        <w:t>督检查档案</w:t>
      </w:r>
      <w:r>
        <w:rPr>
          <w:rFonts w:hint="eastAsia" w:ascii="MS UI Gothic" w:eastAsia="MS UI Gothic"/>
          <w:w w:val="80"/>
        </w:rPr>
        <w:t xml:space="preserve">ꎬ </w:t>
      </w:r>
      <w:r>
        <w:rPr>
          <w:w w:val="105"/>
        </w:rPr>
        <w:t>记录监督检查结果</w:t>
      </w:r>
      <w:r>
        <w:rPr>
          <w:rFonts w:hint="eastAsia" w:ascii="MS UI Gothic" w:eastAsia="MS UI Gothic"/>
          <w:w w:val="80"/>
        </w:rPr>
        <w:t xml:space="preserve">、 </w:t>
      </w:r>
      <w:r>
        <w:rPr>
          <w:w w:val="105"/>
        </w:rPr>
        <w:t>生产安全事故及违法行为查处等情况</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第三十五条 安全生产监督管理部门</w:t>
      </w:r>
      <w:r>
        <w:t>应当加强对尾矿库生产经营单位安全生产的监督检查</w:t>
      </w:r>
      <w:r>
        <w:rPr>
          <w:rFonts w:hint="eastAsia" w:ascii="MS UI Gothic" w:eastAsia="MS UI Gothic"/>
          <w:w w:val="80"/>
        </w:rPr>
        <w:t xml:space="preserve">ꎬ </w:t>
      </w:r>
      <w:r>
        <w:t>对检查中发现的事故隐患和</w:t>
      </w:r>
      <w:r>
        <w:rPr>
          <w:w w:val="105"/>
        </w:rPr>
        <w:t>违法违规生产行为</w:t>
      </w:r>
      <w:r>
        <w:rPr>
          <w:rFonts w:hint="eastAsia" w:ascii="MS UI Gothic" w:eastAsia="MS UI Gothic"/>
          <w:w w:val="80"/>
        </w:rPr>
        <w:t xml:space="preserve">ꎬ </w:t>
      </w:r>
      <w:r>
        <w:rPr>
          <w:w w:val="105"/>
        </w:rPr>
        <w:t>依法作出处理</w:t>
      </w:r>
      <w:r>
        <w:rPr>
          <w:rFonts w:hint="eastAsia" w:ascii="MS UI Gothic" w:eastAsia="MS UI Gothic"/>
          <w:w w:val="80"/>
        </w:rPr>
        <w:t>ꎮ</w:t>
      </w:r>
    </w:p>
    <w:p>
      <w:pPr>
        <w:pStyle w:val="6"/>
        <w:spacing w:line="295" w:lineRule="auto"/>
        <w:ind w:left="440" w:right="1"/>
        <w:rPr>
          <w:rFonts w:hint="eastAsia" w:ascii="MS UI Gothic" w:eastAsia="MS UI Gothic"/>
        </w:rPr>
      </w:pPr>
      <w:r>
        <w:t>第三十六条 安全生产监督管理部门应当建立尾矿库安全生产举报制度</w:t>
      </w:r>
      <w:r>
        <w:rPr>
          <w:rFonts w:hint="eastAsia" w:ascii="MS UI Gothic" w:eastAsia="MS UI Gothic"/>
          <w:w w:val="80"/>
        </w:rPr>
        <w:t xml:space="preserve">ꎬ </w:t>
      </w:r>
      <w:r>
        <w:t>公开举报电话</w:t>
      </w:r>
      <w:r>
        <w:rPr>
          <w:rFonts w:hint="eastAsia" w:ascii="MS UI Gothic" w:eastAsia="MS UI Gothic"/>
          <w:w w:val="80"/>
        </w:rPr>
        <w:t xml:space="preserve">、 </w:t>
      </w:r>
      <w:r>
        <w:t>信箱或者电子邮件地址</w:t>
      </w:r>
      <w:r>
        <w:rPr>
          <w:rFonts w:hint="eastAsia" w:ascii="MS UI Gothic" w:eastAsia="MS UI Gothic"/>
          <w:w w:val="80"/>
        </w:rPr>
        <w:t xml:space="preserve">ꎬ </w:t>
      </w:r>
      <w:r>
        <w:t>受理有关举报</w:t>
      </w:r>
      <w:r>
        <w:rPr>
          <w:rFonts w:hint="eastAsia" w:ascii="MS UI Gothic" w:eastAsia="MS UI Gothic"/>
          <w:w w:val="80"/>
        </w:rPr>
        <w:t xml:space="preserve">ꎻ </w:t>
      </w:r>
      <w:r>
        <w:t>对受理的举报</w:t>
      </w:r>
      <w:r>
        <w:rPr>
          <w:rFonts w:hint="eastAsia" w:ascii="MS UI Gothic" w:eastAsia="MS UI Gothic"/>
          <w:w w:val="80"/>
        </w:rPr>
        <w:t xml:space="preserve">ꎬ </w:t>
      </w:r>
      <w:r>
        <w:t>应当认真调查核实</w:t>
      </w:r>
      <w:r>
        <w:rPr>
          <w:rFonts w:hint="eastAsia" w:ascii="MS UI Gothic" w:eastAsia="MS UI Gothic"/>
          <w:w w:val="80"/>
        </w:rPr>
        <w:t xml:space="preserve">ꎻ </w:t>
      </w:r>
      <w:r>
        <w:t>经查证属实的</w:t>
      </w:r>
      <w:r>
        <w:rPr>
          <w:rFonts w:hint="eastAsia" w:ascii="MS UI Gothic" w:eastAsia="MS UI Gothic"/>
          <w:w w:val="80"/>
        </w:rPr>
        <w:t xml:space="preserve">ꎬ </w:t>
      </w:r>
      <w:r>
        <w:t>应当依法作出处理</w:t>
      </w:r>
      <w:r>
        <w:rPr>
          <w:rFonts w:hint="eastAsia" w:ascii="MS UI Gothic" w:eastAsia="MS UI Gothic"/>
          <w:w w:val="80"/>
        </w:rPr>
        <w:t>ꎮ</w:t>
      </w:r>
    </w:p>
    <w:p>
      <w:pPr>
        <w:pStyle w:val="6"/>
        <w:spacing w:line="251" w:lineRule="exact"/>
        <w:ind w:left="860" w:firstLine="0"/>
      </w:pPr>
      <w:r>
        <w:rPr>
          <w:w w:val="105"/>
        </w:rPr>
        <w:t>第三十七条 安全生产监督管理部门</w:t>
      </w:r>
    </w:p>
    <w:p>
      <w:pPr>
        <w:pStyle w:val="6"/>
        <w:spacing w:before="124" w:line="295" w:lineRule="auto"/>
        <w:ind w:left="381" w:right="126" w:firstLine="0"/>
        <w:rPr>
          <w:rFonts w:hint="eastAsia" w:ascii="MS UI Gothic" w:eastAsia="MS UI Gothic"/>
        </w:rPr>
      </w:pPr>
      <w:r>
        <w:br w:type="column"/>
      </w:r>
      <w:r>
        <w:t>应当加强本行政区域内生产经营单位应急预案的备案管理</w:t>
      </w:r>
      <w:r>
        <w:rPr>
          <w:rFonts w:hint="eastAsia" w:ascii="MS UI Gothic" w:eastAsia="MS UI Gothic"/>
          <w:w w:val="80"/>
        </w:rPr>
        <w:t xml:space="preserve">ꎬ </w:t>
      </w:r>
      <w:r>
        <w:t>并将尾矿库事故应急救援纳入地方各级人民政府应急救援体系</w:t>
      </w:r>
      <w:r>
        <w:rPr>
          <w:rFonts w:hint="eastAsia" w:ascii="MS UI Gothic" w:eastAsia="MS UI Gothic"/>
          <w:w w:val="80"/>
        </w:rPr>
        <w:t>ꎮ</w:t>
      </w:r>
    </w:p>
    <w:p>
      <w:pPr>
        <w:pStyle w:val="6"/>
        <w:tabs>
          <w:tab w:val="left" w:pos="2162"/>
        </w:tabs>
        <w:spacing w:before="155"/>
        <w:ind w:left="1324" w:firstLine="0"/>
        <w:jc w:val="left"/>
      </w:pPr>
      <w:r>
        <w:rPr>
          <w:spacing w:val="3"/>
          <w:w w:val="105"/>
        </w:rPr>
        <w:t>第六</w:t>
      </w:r>
      <w:r>
        <w:rPr>
          <w:w w:val="105"/>
        </w:rPr>
        <w:t>章</w:t>
      </w:r>
      <w:r>
        <w:rPr>
          <w:w w:val="105"/>
        </w:rPr>
        <w:tab/>
      </w:r>
      <w:r>
        <w:rPr>
          <w:w w:val="105"/>
        </w:rPr>
        <w:t>法</w:t>
      </w:r>
      <w:r>
        <w:rPr>
          <w:spacing w:val="-33"/>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left="381" w:right="126"/>
        <w:rPr>
          <w:rFonts w:hint="eastAsia" w:ascii="MS UI Gothic" w:eastAsia="MS UI Gothic"/>
        </w:rPr>
      </w:pPr>
      <w:r>
        <w:t>第三十八条 安全生产监督管理部门的工作人员</w:t>
      </w:r>
      <w:r>
        <w:rPr>
          <w:rFonts w:hint="eastAsia" w:ascii="MS UI Gothic" w:eastAsia="MS UI Gothic"/>
          <w:w w:val="80"/>
        </w:rPr>
        <w:t xml:space="preserve">ꎬ </w:t>
      </w:r>
      <w:r>
        <w:t>未依法履行尾矿库安全监督管理职责的</w:t>
      </w:r>
      <w:r>
        <w:rPr>
          <w:rFonts w:hint="eastAsia" w:ascii="MS UI Gothic" w:eastAsia="MS UI Gothic"/>
          <w:w w:val="80"/>
        </w:rPr>
        <w:t xml:space="preserve">ꎬ </w:t>
      </w:r>
      <w:r>
        <w:t>依照有关规定给予行政处分</w:t>
      </w:r>
      <w:r>
        <w:rPr>
          <w:rFonts w:hint="eastAsia" w:ascii="MS UI Gothic" w:eastAsia="MS UI Gothic"/>
          <w:w w:val="80"/>
        </w:rPr>
        <w:t>ꎮ</w:t>
      </w:r>
    </w:p>
    <w:p>
      <w:pPr>
        <w:pStyle w:val="6"/>
        <w:spacing w:line="295" w:lineRule="auto"/>
        <w:ind w:left="381" w:right="124"/>
        <w:rPr>
          <w:rFonts w:hint="eastAsia" w:ascii="MS UI Gothic" w:eastAsia="MS UI Gothic"/>
        </w:rPr>
      </w:pPr>
      <w:r>
        <w:t>第三十九条 生产经营单位或者尾矿库管理单位违反本规定第八条第二款</w:t>
      </w:r>
      <w:r>
        <w:rPr>
          <w:rFonts w:hint="eastAsia" w:ascii="MS UI Gothic" w:eastAsia="MS UI Gothic"/>
          <w:w w:val="80"/>
        </w:rPr>
        <w:t xml:space="preserve">、 </w:t>
      </w:r>
      <w:r>
        <w:t>第十九条</w:t>
      </w:r>
      <w:r>
        <w:rPr>
          <w:rFonts w:hint="eastAsia" w:ascii="MS UI Gothic" w:eastAsia="MS UI Gothic"/>
          <w:w w:val="80"/>
        </w:rPr>
        <w:t xml:space="preserve">、 </w:t>
      </w:r>
      <w:r>
        <w:t>第二十条</w:t>
      </w:r>
      <w:r>
        <w:rPr>
          <w:rFonts w:hint="eastAsia" w:ascii="MS UI Gothic" w:eastAsia="MS UI Gothic"/>
          <w:w w:val="80"/>
        </w:rPr>
        <w:t xml:space="preserve">、 </w:t>
      </w:r>
      <w:r>
        <w:t>第二十一条</w:t>
      </w:r>
      <w:r>
        <w:rPr>
          <w:rFonts w:hint="eastAsia" w:ascii="MS UI Gothic" w:eastAsia="MS UI Gothic"/>
          <w:w w:val="80"/>
        </w:rPr>
        <w:t xml:space="preserve">、 </w:t>
      </w:r>
      <w:r>
        <w:t>第二十二条</w:t>
      </w:r>
      <w:r>
        <w:rPr>
          <w:rFonts w:hint="eastAsia" w:ascii="MS UI Gothic" w:eastAsia="MS UI Gothic"/>
          <w:w w:val="80"/>
        </w:rPr>
        <w:t xml:space="preserve">、 </w:t>
      </w:r>
      <w:r>
        <w:t>第二十三条</w:t>
      </w:r>
      <w:r>
        <w:rPr>
          <w:rFonts w:hint="eastAsia" w:ascii="MS UI Gothic" w:eastAsia="MS UI Gothic"/>
          <w:w w:val="80"/>
        </w:rPr>
        <w:t xml:space="preserve">、 </w:t>
      </w:r>
      <w:r>
        <w:t>第二十四条</w:t>
      </w:r>
      <w:r>
        <w:rPr>
          <w:rFonts w:hint="eastAsia" w:ascii="MS UI Gothic" w:eastAsia="MS UI Gothic"/>
          <w:w w:val="80"/>
        </w:rPr>
        <w:t xml:space="preserve">、 </w:t>
      </w:r>
      <w:r>
        <w:t>第二十六条</w:t>
      </w:r>
      <w:r>
        <w:rPr>
          <w:rFonts w:hint="eastAsia" w:ascii="MS UI Gothic" w:eastAsia="MS UI Gothic"/>
          <w:w w:val="80"/>
        </w:rPr>
        <w:t xml:space="preserve">、 </w:t>
      </w:r>
      <w:r>
        <w:t>第二十九条第一款规定的</w:t>
      </w:r>
      <w:r>
        <w:rPr>
          <w:rFonts w:hint="eastAsia" w:ascii="MS UI Gothic" w:eastAsia="MS UI Gothic"/>
          <w:w w:val="80"/>
        </w:rPr>
        <w:t xml:space="preserve">ꎬ </w:t>
      </w:r>
      <w:r>
        <w:t>给予警告</w:t>
      </w:r>
      <w:r>
        <w:rPr>
          <w:rFonts w:hint="eastAsia" w:ascii="MS UI Gothic" w:eastAsia="MS UI Gothic"/>
          <w:w w:val="80"/>
        </w:rPr>
        <w:t xml:space="preserve">ꎬ </w:t>
      </w:r>
      <w:r>
        <w:t xml:space="preserve">并处 </w:t>
      </w:r>
      <w:r>
        <w:rPr>
          <w:rFonts w:hint="eastAsia" w:ascii="MS UI Gothic" w:eastAsia="MS UI Gothic"/>
          <w:w w:val="80"/>
        </w:rPr>
        <w:t xml:space="preserve">１ </w:t>
      </w:r>
      <w:r>
        <w:t xml:space="preserve">万元以上 </w:t>
      </w:r>
      <w:r>
        <w:rPr>
          <w:rFonts w:hint="eastAsia" w:ascii="MS UI Gothic" w:eastAsia="MS UI Gothic"/>
          <w:w w:val="80"/>
        </w:rPr>
        <w:t xml:space="preserve">３ </w:t>
      </w:r>
      <w:r>
        <w:t>万元以下的罚款</w:t>
      </w:r>
      <w:r>
        <w:rPr>
          <w:rFonts w:hint="eastAsia" w:ascii="MS UI Gothic" w:eastAsia="MS UI Gothic"/>
          <w:w w:val="80"/>
        </w:rPr>
        <w:t>ꎻ</w:t>
      </w:r>
      <w:r>
        <w:t>对主管人员和直接责任人员由其所在单位或者上级主管单位给予行政处分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第四十条 生产经营单位或者尾矿库管理单位违反本规定第十八条规定的</w:t>
      </w:r>
      <w:r>
        <w:rPr>
          <w:rFonts w:hint="eastAsia" w:ascii="MS UI Gothic" w:eastAsia="MS UI Gothic"/>
          <w:w w:val="80"/>
        </w:rPr>
        <w:t xml:space="preserve">ꎬ </w:t>
      </w:r>
      <w:r>
        <w:t>给予警告</w:t>
      </w:r>
      <w:r>
        <w:rPr>
          <w:rFonts w:hint="eastAsia" w:ascii="MS UI Gothic" w:eastAsia="MS UI Gothic"/>
          <w:w w:val="80"/>
        </w:rPr>
        <w:t xml:space="preserve">ꎬ </w:t>
      </w:r>
      <w:r>
        <w:t xml:space="preserve">并处 </w:t>
      </w:r>
      <w:r>
        <w:rPr>
          <w:rFonts w:hint="eastAsia" w:ascii="MS UI Gothic" w:eastAsia="MS UI Gothic"/>
          <w:w w:val="80"/>
        </w:rPr>
        <w:t xml:space="preserve">３ </w:t>
      </w:r>
      <w:r>
        <w:t>万元的罚款</w:t>
      </w:r>
      <w:r>
        <w:rPr>
          <w:rFonts w:hint="eastAsia" w:ascii="MS UI Gothic" w:eastAsia="MS UI Gothic"/>
          <w:w w:val="80"/>
        </w:rPr>
        <w:t xml:space="preserve">ꎻ </w:t>
      </w:r>
      <w:r>
        <w:t>情节严重的</w:t>
      </w:r>
      <w:r>
        <w:rPr>
          <w:rFonts w:hint="eastAsia" w:ascii="MS UI Gothic" w:eastAsia="MS UI Gothic"/>
          <w:w w:val="80"/>
        </w:rPr>
        <w:t xml:space="preserve">ꎬ </w:t>
      </w:r>
      <w:r>
        <w:t>依法责令停产整顿或者提请县级以上地方人民政府按照规定权限予以关闭</w:t>
      </w:r>
      <w:r>
        <w:rPr>
          <w:rFonts w:hint="eastAsia" w:ascii="MS UI Gothic" w:eastAsia="MS UI Gothic"/>
          <w:w w:val="80"/>
        </w:rPr>
        <w:t>ꎮ</w:t>
      </w:r>
    </w:p>
    <w:p>
      <w:pPr>
        <w:pStyle w:val="6"/>
        <w:spacing w:line="295" w:lineRule="auto"/>
        <w:ind w:left="381" w:right="126"/>
        <w:rPr>
          <w:rFonts w:hint="eastAsia" w:ascii="MS UI Gothic" w:eastAsia="MS UI Gothic"/>
        </w:rPr>
      </w:pPr>
      <w:r>
        <w:t>第四十一条 生产经营单位违反本规定第二十八条第一款规定不主动实施闭库的</w:t>
      </w:r>
      <w:r>
        <w:rPr>
          <w:rFonts w:hint="eastAsia" w:ascii="MS UI Gothic" w:eastAsia="MS UI Gothic"/>
          <w:w w:val="80"/>
        </w:rPr>
        <w:t xml:space="preserve">ꎬ </w:t>
      </w:r>
      <w:r>
        <w:t>给予警告</w:t>
      </w:r>
      <w:r>
        <w:rPr>
          <w:rFonts w:hint="eastAsia" w:ascii="MS UI Gothic" w:eastAsia="MS UI Gothic"/>
          <w:w w:val="80"/>
        </w:rPr>
        <w:t xml:space="preserve">ꎬ </w:t>
      </w:r>
      <w:r>
        <w:t xml:space="preserve">并处 </w:t>
      </w:r>
      <w:r>
        <w:rPr>
          <w:rFonts w:hint="eastAsia" w:ascii="MS UI Gothic" w:eastAsia="MS UI Gothic"/>
          <w:w w:val="80"/>
        </w:rPr>
        <w:t xml:space="preserve">３ </w:t>
      </w:r>
      <w:r>
        <w:t>万元的罚款</w:t>
      </w:r>
      <w:r>
        <w:rPr>
          <w:rFonts w:hint="eastAsia" w:ascii="MS UI Gothic" w:eastAsia="MS UI Gothic"/>
          <w:w w:val="80"/>
        </w:rPr>
        <w:t>ꎮ</w:t>
      </w:r>
    </w:p>
    <w:p>
      <w:pPr>
        <w:pStyle w:val="6"/>
        <w:spacing w:line="295" w:lineRule="auto"/>
        <w:ind w:left="381" w:right="124"/>
        <w:rPr>
          <w:rFonts w:hint="eastAsia" w:ascii="MS UI Gothic" w:eastAsia="MS UI Gothic"/>
        </w:rPr>
      </w:pPr>
      <w:r>
        <w:t>第四十二条 本规定规定的行政处罚由安全生产监督管理部门决定</w:t>
      </w:r>
      <w:r>
        <w:rPr>
          <w:rFonts w:hint="eastAsia" w:ascii="MS UI Gothic" w:eastAsia="MS UI Gothic"/>
          <w:w w:val="80"/>
        </w:rPr>
        <w:t xml:space="preserve">ꎮ </w:t>
      </w:r>
      <w:r>
        <w:t>法律</w:t>
      </w:r>
      <w:r>
        <w:rPr>
          <w:rFonts w:hint="eastAsia" w:ascii="MS UI Gothic" w:eastAsia="MS UI Gothic"/>
          <w:w w:val="80"/>
        </w:rPr>
        <w:t xml:space="preserve">、 </w:t>
      </w:r>
      <w:r>
        <w:t>行政法规对行政处罚决定机关和处罚种类</w:t>
      </w:r>
      <w:r>
        <w:rPr>
          <w:rFonts w:hint="eastAsia" w:ascii="MS UI Gothic" w:eastAsia="MS UI Gothic"/>
          <w:w w:val="80"/>
        </w:rPr>
        <w:t>、</w:t>
      </w:r>
      <w:r>
        <w:t>幅度另有规定的</w:t>
      </w:r>
      <w:r>
        <w:rPr>
          <w:rFonts w:hint="eastAsia" w:ascii="MS UI Gothic" w:eastAsia="MS UI Gothic"/>
          <w:w w:val="80"/>
        </w:rPr>
        <w:t xml:space="preserve">ꎬ </w:t>
      </w:r>
      <w:r>
        <w:t>依照其规定</w:t>
      </w:r>
      <w:r>
        <w:rPr>
          <w:rFonts w:hint="eastAsia" w:ascii="MS UI Gothic" w:eastAsia="MS UI Gothic"/>
          <w:w w:val="80"/>
        </w:rPr>
        <w:t>ꎮ</w:t>
      </w:r>
    </w:p>
    <w:p>
      <w:pPr>
        <w:pStyle w:val="6"/>
        <w:tabs>
          <w:tab w:val="left" w:pos="2267"/>
          <w:tab w:val="left" w:pos="2896"/>
        </w:tabs>
        <w:spacing w:before="137"/>
        <w:ind w:left="1429" w:firstLine="0"/>
        <w:jc w:val="left"/>
      </w:pPr>
      <w:r>
        <w:rPr>
          <w:spacing w:val="3"/>
          <w:w w:val="105"/>
        </w:rPr>
        <w:t>第七</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tabs>
          <w:tab w:val="left" w:pos="2088"/>
        </w:tabs>
        <w:spacing w:line="295" w:lineRule="auto"/>
        <w:ind w:left="375" w:right="126" w:firstLine="425"/>
        <w:jc w:val="right"/>
        <w:rPr>
          <w:rFonts w:hint="eastAsia" w:ascii="MS UI Gothic" w:hAnsi="MS UI Gothic" w:eastAsia="MS UI Gothic"/>
        </w:rPr>
      </w:pPr>
      <w:r>
        <w:pict>
          <v:shape id="_x0000_s2205" o:spid="_x0000_s2205" o:spt="202" type="#_x0000_t202" style="position:absolute;left:0pt;margin-left:280.35pt;margin-top:12pt;height:24.35pt;width:5.15pt;mso-position-horizontal-relative:page;z-index:-27562598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spacing w:val="3"/>
          <w:w w:val="95"/>
        </w:rPr>
        <w:t>第四十</w:t>
      </w:r>
      <w:r>
        <w:rPr>
          <w:spacing w:val="11"/>
          <w:w w:val="95"/>
        </w:rPr>
        <w:t>三</w:t>
      </w:r>
      <w:r>
        <w:rPr>
          <w:w w:val="95"/>
        </w:rPr>
        <w:t>条</w:t>
      </w:r>
      <w:r>
        <w:rPr>
          <w:w w:val="95"/>
        </w:rPr>
        <w:tab/>
      </w:r>
      <w:r>
        <w:rPr>
          <w:spacing w:val="13"/>
          <w:w w:val="95"/>
        </w:rPr>
        <w:t>本规定</w:t>
      </w:r>
      <w:r>
        <w:rPr>
          <w:w w:val="95"/>
        </w:rPr>
        <w:t>自</w:t>
      </w:r>
      <w:r>
        <w:rPr>
          <w:spacing w:val="-41"/>
          <w:w w:val="95"/>
        </w:rPr>
        <w:t xml:space="preserve"> </w:t>
      </w:r>
      <w:r>
        <w:rPr>
          <w:rFonts w:hint="eastAsia" w:ascii="MS UI Gothic" w:hAnsi="MS UI Gothic" w:eastAsia="MS UI Gothic"/>
          <w:w w:val="95"/>
        </w:rPr>
        <w:t>２０１１</w:t>
      </w:r>
      <w:r>
        <w:rPr>
          <w:rFonts w:hint="eastAsia" w:ascii="MS UI Gothic" w:hAnsi="MS UI Gothic" w:eastAsia="MS UI Gothic"/>
          <w:spacing w:val="2"/>
          <w:w w:val="95"/>
        </w:rPr>
        <w:t xml:space="preserve"> </w:t>
      </w:r>
      <w:r>
        <w:rPr>
          <w:w w:val="95"/>
        </w:rPr>
        <w:t>年</w:t>
      </w:r>
      <w:r>
        <w:rPr>
          <w:spacing w:val="-40"/>
          <w:w w:val="95"/>
        </w:rPr>
        <w:t xml:space="preserve"> </w:t>
      </w:r>
      <w:r>
        <w:rPr>
          <w:rFonts w:hint="eastAsia" w:ascii="MS UI Gothic" w:hAnsi="MS UI Gothic" w:eastAsia="MS UI Gothic"/>
          <w:w w:val="95"/>
        </w:rPr>
        <w:t>７</w:t>
      </w:r>
      <w:r>
        <w:rPr>
          <w:rFonts w:hint="eastAsia" w:ascii="MS UI Gothic" w:hAnsi="MS UI Gothic" w:eastAsia="MS UI Gothic"/>
          <w:spacing w:val="2"/>
          <w:w w:val="95"/>
        </w:rPr>
        <w:t xml:space="preserve"> </w:t>
      </w:r>
      <w:r>
        <w:rPr>
          <w:spacing w:val="-13"/>
          <w:w w:val="95"/>
        </w:rPr>
        <w:t>月</w:t>
      </w:r>
      <w:r>
        <w:rPr>
          <w:spacing w:val="3"/>
          <w:w w:val="95"/>
        </w:rPr>
        <w:t>日起施行</w:t>
      </w:r>
      <w:r>
        <w:rPr>
          <w:rFonts w:hint="eastAsia" w:ascii="MS UI Gothic" w:hAnsi="MS UI Gothic" w:eastAsia="MS UI Gothic"/>
          <w:w w:val="85"/>
        </w:rPr>
        <w:t>ꎮ</w:t>
      </w:r>
      <w:r>
        <w:rPr>
          <w:rFonts w:hint="eastAsia" w:ascii="MS UI Gothic" w:hAnsi="MS UI Gothic" w:eastAsia="MS UI Gothic"/>
          <w:spacing w:val="31"/>
          <w:w w:val="85"/>
        </w:rPr>
        <w:t xml:space="preserve"> </w:t>
      </w:r>
      <w:r>
        <w:rPr>
          <w:spacing w:val="3"/>
          <w:w w:val="95"/>
        </w:rPr>
        <w:t>国</w:t>
      </w:r>
      <w:r>
        <w:rPr>
          <w:spacing w:val="5"/>
          <w:w w:val="95"/>
        </w:rPr>
        <w:t>家</w:t>
      </w:r>
      <w:r>
        <w:rPr>
          <w:spacing w:val="9"/>
          <w:w w:val="95"/>
        </w:rPr>
        <w:t>安全生产监督管理总</w:t>
      </w:r>
      <w:r>
        <w:rPr>
          <w:w w:val="95"/>
        </w:rPr>
        <w:t>局</w:t>
      </w:r>
      <w:r>
        <w:rPr>
          <w:w w:val="102"/>
        </w:rPr>
        <w:t xml:space="preserve"> </w:t>
      </w:r>
      <w:r>
        <w:rPr>
          <w:rFonts w:hint="eastAsia" w:ascii="MS UI Gothic" w:hAnsi="MS UI Gothic" w:eastAsia="MS UI Gothic"/>
          <w:w w:val="95"/>
        </w:rPr>
        <w:t>２００６</w:t>
      </w:r>
      <w:r>
        <w:rPr>
          <w:rFonts w:hint="eastAsia" w:ascii="MS UI Gothic" w:hAnsi="MS UI Gothic" w:eastAsia="MS UI Gothic"/>
          <w:spacing w:val="24"/>
          <w:w w:val="95"/>
        </w:rPr>
        <w:t xml:space="preserve"> </w:t>
      </w:r>
      <w:r>
        <w:rPr>
          <w:spacing w:val="5"/>
          <w:w w:val="95"/>
        </w:rPr>
        <w:t>年</w:t>
      </w:r>
      <w:r>
        <w:rPr>
          <w:spacing w:val="15"/>
          <w:w w:val="95"/>
        </w:rPr>
        <w:t>公布</w:t>
      </w:r>
      <w:r>
        <w:rPr>
          <w:w w:val="95"/>
        </w:rPr>
        <w:t>的</w:t>
      </w:r>
      <w:r>
        <w:rPr>
          <w:spacing w:val="71"/>
          <w:w w:val="95"/>
        </w:rPr>
        <w:t xml:space="preserve"> </w:t>
      </w:r>
      <w:r>
        <w:rPr>
          <w:rFonts w:hint="eastAsia" w:ascii="MS UI Gothic" w:hAnsi="MS UI Gothic" w:eastAsia="MS UI Gothic"/>
          <w:w w:val="95"/>
        </w:rPr>
        <w:t>«</w:t>
      </w:r>
      <w:r>
        <w:rPr>
          <w:rFonts w:hint="eastAsia" w:ascii="MS UI Gothic" w:hAnsi="MS UI Gothic" w:eastAsia="MS UI Gothic"/>
          <w:spacing w:val="-16"/>
          <w:w w:val="95"/>
        </w:rPr>
        <w:t xml:space="preserve"> </w:t>
      </w:r>
      <w:r>
        <w:rPr>
          <w:spacing w:val="15"/>
          <w:w w:val="95"/>
        </w:rPr>
        <w:t>尾矿库安全监督管理</w:t>
      </w:r>
      <w:r>
        <w:rPr>
          <w:w w:val="95"/>
        </w:rPr>
        <w:t>规</w:t>
      </w:r>
      <w:r>
        <w:rPr>
          <w:spacing w:val="3"/>
          <w:w w:val="95"/>
        </w:rPr>
        <w:t>定</w:t>
      </w:r>
      <w:r>
        <w:rPr>
          <w:rFonts w:hint="eastAsia" w:ascii="MS UI Gothic" w:hAnsi="MS UI Gothic" w:eastAsia="MS UI Gothic"/>
          <w:w w:val="95"/>
        </w:rPr>
        <w:t>»</w:t>
      </w:r>
      <w:r>
        <w:rPr>
          <w:rFonts w:hint="eastAsia" w:ascii="MS UI Gothic" w:hAnsi="MS UI Gothic" w:eastAsia="MS UI Gothic"/>
          <w:spacing w:val="30"/>
          <w:w w:val="95"/>
        </w:rPr>
        <w:t xml:space="preserve"> </w:t>
      </w:r>
      <w:r>
        <w:rPr>
          <w:rFonts w:hint="eastAsia" w:ascii="MS UI Gothic" w:hAnsi="MS UI Gothic" w:eastAsia="MS UI Gothic"/>
          <w:w w:val="140"/>
        </w:rPr>
        <w:t>(</w:t>
      </w:r>
      <w:r>
        <w:rPr>
          <w:rFonts w:hint="eastAsia" w:ascii="MS UI Gothic" w:hAnsi="MS UI Gothic" w:eastAsia="MS UI Gothic"/>
          <w:spacing w:val="-38"/>
          <w:w w:val="140"/>
        </w:rPr>
        <w:t xml:space="preserve"> </w:t>
      </w:r>
      <w:r>
        <w:rPr>
          <w:spacing w:val="9"/>
          <w:w w:val="95"/>
        </w:rPr>
        <w:t>国家安</w:t>
      </w:r>
      <w:r>
        <w:rPr>
          <w:spacing w:val="11"/>
          <w:w w:val="95"/>
        </w:rPr>
        <w:t>全生产监督管理总局令</w:t>
      </w:r>
      <w:r>
        <w:rPr>
          <w:w w:val="95"/>
        </w:rPr>
        <w:t>第</w:t>
      </w:r>
      <w:r>
        <w:rPr>
          <w:spacing w:val="20"/>
          <w:w w:val="95"/>
        </w:rPr>
        <w:t xml:space="preserve"> </w:t>
      </w:r>
      <w:r>
        <w:rPr>
          <w:rFonts w:hint="eastAsia" w:ascii="MS UI Gothic" w:hAnsi="MS UI Gothic" w:eastAsia="MS UI Gothic"/>
          <w:w w:val="95"/>
        </w:rPr>
        <w:t>６</w:t>
      </w:r>
    </w:p>
    <w:p>
      <w:pPr>
        <w:pStyle w:val="6"/>
        <w:spacing w:line="253" w:lineRule="exact"/>
        <w:ind w:left="381" w:firstLine="0"/>
        <w:rPr>
          <w:rFonts w:hint="eastAsia" w:ascii="MS UI Gothic" w:eastAsia="MS UI Gothic"/>
        </w:rPr>
      </w:pPr>
      <w:r>
        <w:rPr>
          <w:w w:val="105"/>
        </w:rPr>
        <w:t>号</w:t>
      </w:r>
      <w:r>
        <w:rPr>
          <w:rFonts w:hint="eastAsia" w:ascii="MS UI Gothic" w:eastAsia="MS UI Gothic"/>
          <w:w w:val="150"/>
        </w:rPr>
        <w:t xml:space="preserve">) </w:t>
      </w:r>
      <w:r>
        <w:rPr>
          <w:w w:val="105"/>
        </w:rPr>
        <w:t>同时废止</w:t>
      </w:r>
      <w:r>
        <w:rPr>
          <w:rFonts w:hint="eastAsia" w:ascii="MS UI Gothic" w:eastAsia="MS UI Gothic"/>
          <w:w w:val="80"/>
        </w:rPr>
        <w:t>ꎮ</w:t>
      </w:r>
    </w:p>
    <w:p>
      <w:pPr>
        <w:spacing w:after="0" w:line="253" w:lineRule="exac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４０２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06" o:spid="_x0000_s2206" o:spt="203" style="height:2.15pt;width:398.25pt;" coordsize="7965,43">
            <o:lock v:ext="edit"/>
            <v:line id="_x0000_s2207" o:spid="_x0000_s2207" o:spt="20" style="position:absolute;left:0;top:39;height:0;width:7965;" stroked="t" coordsize="21600,21600">
              <v:path arrowok="t"/>
              <v:fill focussize="0,0"/>
              <v:stroke weight="0.388031496062992pt" color="#231F20"/>
              <v:imagedata o:title=""/>
              <o:lock v:ext="edit"/>
            </v:line>
            <v:line id="_x0000_s2208" o:spid="_x0000_s2208" o:spt="20" style="position:absolute;left:0;top:4;height:0;width:7965;" stroked="t" coordsize="21600,21600">
              <v:path arrowok="t"/>
              <v:fill focussize="0,0"/>
              <v:stroke weight="0.388031496062992pt" color="#231F20"/>
              <v:imagedata o:title=""/>
              <o:lock v:ext="edit"/>
            </v:line>
            <w10:wrap type="none"/>
            <w10:anchorlock/>
          </v:group>
        </w:pict>
      </w:r>
    </w:p>
    <w:p>
      <w:pPr>
        <w:pStyle w:val="6"/>
        <w:ind w:left="0" w:firstLine="0"/>
        <w:jc w:val="left"/>
        <w:rPr>
          <w:rFonts w:ascii="Microsoft Yi Baiti"/>
        </w:rPr>
      </w:pPr>
    </w:p>
    <w:p>
      <w:pPr>
        <w:pStyle w:val="6"/>
        <w:spacing w:before="9"/>
        <w:ind w:left="0" w:firstLine="0"/>
        <w:jc w:val="left"/>
        <w:rPr>
          <w:rFonts w:ascii="Microsoft Yi Baiti"/>
        </w:rPr>
      </w:pPr>
    </w:p>
    <w:p>
      <w:pPr>
        <w:pStyle w:val="4"/>
        <w:spacing w:before="74"/>
        <w:ind w:right="630"/>
      </w:pPr>
      <w:r>
        <w:t>国家安全生产监督管理总局令</w:t>
      </w:r>
    </w:p>
    <w:p>
      <w:pPr>
        <w:pStyle w:val="6"/>
        <w:ind w:left="0" w:firstLine="0"/>
        <w:jc w:val="left"/>
        <w:rPr>
          <w:sz w:val="27"/>
        </w:rPr>
      </w:pPr>
    </w:p>
    <w:p>
      <w:pPr>
        <w:pStyle w:val="5"/>
        <w:ind w:right="628"/>
      </w:pPr>
      <w:r>
        <w:t xml:space="preserve">第 </w:t>
      </w:r>
      <w:r>
        <w:rPr>
          <w:rFonts w:hint="eastAsia" w:ascii="MS UI Gothic" w:eastAsia="MS UI Gothic"/>
        </w:rPr>
        <w:t xml:space="preserve">７８ </w:t>
      </w:r>
      <w:r>
        <w:t>号</w:t>
      </w:r>
    </w:p>
    <w:p>
      <w:pPr>
        <w:pStyle w:val="6"/>
        <w:spacing w:before="354"/>
        <w:ind w:left="0" w:right="444" w:firstLine="0"/>
        <w:jc w:val="right"/>
        <w:rPr>
          <w:rFonts w:hint="eastAsia" w:ascii="MS UI Gothic" w:hAnsi="MS UI Gothic" w:eastAsia="MS UI Gothic"/>
        </w:rPr>
      </w:pPr>
      <w:r>
        <w:rPr>
          <w:rFonts w:hint="eastAsia" w:ascii="MS UI Gothic" w:hAnsi="MS UI Gothic" w:eastAsia="MS UI Gothic"/>
          <w:spacing w:val="-21"/>
        </w:rPr>
        <w:t xml:space="preserve">« </w:t>
      </w:r>
      <w:r>
        <w:rPr>
          <w:spacing w:val="4"/>
        </w:rPr>
        <w:t>国家安全监管总局关于废止和修改非煤矿矿山领域九部规章的决定</w:t>
      </w:r>
      <w:r>
        <w:rPr>
          <w:rFonts w:hint="eastAsia" w:ascii="MS UI Gothic" w:hAnsi="MS UI Gothic" w:eastAsia="MS UI Gothic"/>
        </w:rPr>
        <w:t xml:space="preserve">»  </w:t>
      </w:r>
      <w:r>
        <w:rPr>
          <w:spacing w:val="-11"/>
        </w:rPr>
        <w:t xml:space="preserve">已经 </w:t>
      </w:r>
      <w:r>
        <w:rPr>
          <w:rFonts w:hint="eastAsia" w:ascii="MS UI Gothic" w:hAnsi="MS UI Gothic" w:eastAsia="MS UI Gothic"/>
        </w:rPr>
        <w:t>２０１５</w:t>
      </w:r>
    </w:p>
    <w:p>
      <w:pPr>
        <w:pStyle w:val="6"/>
        <w:spacing w:before="58"/>
        <w:ind w:left="0" w:right="442" w:firstLine="0"/>
        <w:jc w:val="right"/>
      </w:pPr>
      <w:r>
        <w:rPr>
          <w:spacing w:val="-18"/>
          <w:w w:val="95"/>
        </w:rPr>
        <w:t xml:space="preserve">年 </w:t>
      </w:r>
      <w:r>
        <w:rPr>
          <w:rFonts w:hint="eastAsia" w:ascii="MS UI Gothic" w:eastAsia="MS UI Gothic"/>
          <w:spacing w:val="7"/>
          <w:w w:val="95"/>
        </w:rPr>
        <w:t xml:space="preserve">３ </w:t>
      </w:r>
      <w:r>
        <w:rPr>
          <w:spacing w:val="-16"/>
          <w:w w:val="95"/>
        </w:rPr>
        <w:t xml:space="preserve">月 </w:t>
      </w:r>
      <w:r>
        <w:rPr>
          <w:rFonts w:hint="eastAsia" w:ascii="MS UI Gothic" w:eastAsia="MS UI Gothic"/>
          <w:spacing w:val="5"/>
          <w:w w:val="95"/>
        </w:rPr>
        <w:t xml:space="preserve">２３ </w:t>
      </w:r>
      <w:r>
        <w:rPr>
          <w:spacing w:val="3"/>
          <w:w w:val="95"/>
        </w:rPr>
        <w:t>日国家安全生产监督管理总局局长办公会议审议通过</w:t>
      </w:r>
      <w:r>
        <w:rPr>
          <w:rFonts w:hint="eastAsia" w:ascii="MS UI Gothic" w:eastAsia="MS UI Gothic"/>
          <w:spacing w:val="8"/>
          <w:w w:val="90"/>
        </w:rPr>
        <w:t xml:space="preserve">ꎬ  </w:t>
      </w:r>
      <w:r>
        <w:rPr>
          <w:spacing w:val="3"/>
          <w:w w:val="95"/>
        </w:rPr>
        <w:t>现予公布</w:t>
      </w:r>
      <w:r>
        <w:rPr>
          <w:rFonts w:hint="eastAsia" w:ascii="MS UI Gothic" w:eastAsia="MS UI Gothic"/>
          <w:spacing w:val="9"/>
          <w:w w:val="90"/>
        </w:rPr>
        <w:t xml:space="preserve">ꎬ  </w:t>
      </w:r>
      <w:r>
        <w:rPr>
          <w:spacing w:val="-13"/>
          <w:w w:val="95"/>
        </w:rPr>
        <w:t xml:space="preserve">自 </w:t>
      </w:r>
      <w:r>
        <w:rPr>
          <w:rFonts w:hint="eastAsia" w:ascii="MS UI Gothic" w:eastAsia="MS UI Gothic"/>
          <w:spacing w:val="4"/>
          <w:w w:val="95"/>
        </w:rPr>
        <w:t xml:space="preserve">２０１５ </w:t>
      </w:r>
      <w:r>
        <w:rPr>
          <w:w w:val="95"/>
        </w:rPr>
        <w:t>年</w:t>
      </w:r>
    </w:p>
    <w:p>
      <w:pPr>
        <w:pStyle w:val="6"/>
        <w:spacing w:before="58"/>
        <w:ind w:left="118" w:firstLine="0"/>
        <w:jc w:val="left"/>
        <w:rPr>
          <w:rFonts w:hint="eastAsia" w:ascii="MS UI Gothic" w:eastAsia="MS UI Gothic"/>
        </w:rPr>
      </w:pPr>
      <w:r>
        <w:rPr>
          <w:rFonts w:hint="eastAsia" w:ascii="MS UI Gothic" w:eastAsia="MS UI Gothic"/>
        </w:rPr>
        <w:t xml:space="preserve">７ </w:t>
      </w:r>
      <w:r>
        <w:t xml:space="preserve">月 </w:t>
      </w:r>
      <w:r>
        <w:rPr>
          <w:rFonts w:hint="eastAsia" w:ascii="MS UI Gothic" w:eastAsia="MS UI Gothic"/>
        </w:rPr>
        <w:t xml:space="preserve">１ </w:t>
      </w:r>
      <w:r>
        <w:t>日起施行</w:t>
      </w:r>
      <w:r>
        <w:rPr>
          <w:rFonts w:hint="eastAsia" w:ascii="MS UI Gothic" w:eastAsia="MS UI Gothic"/>
          <w:w w:val="80"/>
        </w:rPr>
        <w:t>ꎮ</w:t>
      </w:r>
    </w:p>
    <w:p>
      <w:pPr>
        <w:pStyle w:val="6"/>
        <w:spacing w:before="6"/>
        <w:ind w:left="0" w:firstLine="0"/>
        <w:jc w:val="left"/>
        <w:rPr>
          <w:rFonts w:ascii="MS UI Gothic"/>
          <w:sz w:val="15"/>
        </w:rPr>
      </w:pPr>
    </w:p>
    <w:p>
      <w:pPr>
        <w:pStyle w:val="6"/>
        <w:spacing w:before="175"/>
        <w:ind w:left="0" w:right="442" w:firstLine="0"/>
        <w:jc w:val="right"/>
      </w:pPr>
      <w:r>
        <w:rPr>
          <w:rFonts w:hint="eastAsia" w:ascii="MS UI Gothic" w:eastAsia="MS UI Gothic"/>
          <w:w w:val="95"/>
        </w:rPr>
        <w:t xml:space="preserve">２０１５ </w:t>
      </w:r>
      <w:r>
        <w:rPr>
          <w:w w:val="95"/>
        </w:rPr>
        <w:t xml:space="preserve">年 </w:t>
      </w:r>
      <w:r>
        <w:rPr>
          <w:rFonts w:hint="eastAsia" w:ascii="MS UI Gothic" w:eastAsia="MS UI Gothic"/>
          <w:w w:val="95"/>
        </w:rPr>
        <w:t xml:space="preserve">５ </w:t>
      </w:r>
      <w:r>
        <w:rPr>
          <w:w w:val="95"/>
        </w:rPr>
        <w:t xml:space="preserve">月 </w:t>
      </w:r>
      <w:r>
        <w:rPr>
          <w:rFonts w:hint="eastAsia" w:ascii="MS UI Gothic" w:eastAsia="MS UI Gothic"/>
          <w:w w:val="95"/>
        </w:rPr>
        <w:t xml:space="preserve">２６ </w:t>
      </w:r>
      <w:r>
        <w:rPr>
          <w:w w:val="95"/>
        </w:rPr>
        <w:t>日</w:t>
      </w:r>
    </w:p>
    <w:p>
      <w:pPr>
        <w:pStyle w:val="4"/>
        <w:ind w:left="629"/>
        <w:jc w:val="left"/>
        <w:rPr>
          <w:rFonts w:hint="eastAsia" w:ascii="Microsoft Yi Baiti" w:eastAsia="Microsoft Yi Baiti"/>
        </w:rPr>
      </w:pPr>
      <w:r>
        <w:t xml:space="preserve">非煤矿矿山企业安全生产许可证实施办法 </w:t>
      </w:r>
      <w:r>
        <w:rPr>
          <w:rFonts w:hint="eastAsia" w:ascii="Microsoft Yi Baiti" w:eastAsia="Microsoft Yi Baiti"/>
        </w:rPr>
        <w:t>(</w:t>
      </w:r>
      <w:r>
        <w:rPr>
          <w:rFonts w:hint="eastAsia" w:ascii="MS UI Gothic" w:eastAsia="MS UI Gothic"/>
        </w:rPr>
        <w:t xml:space="preserve">２０１５ </w:t>
      </w:r>
      <w:r>
        <w:t>年公布</w:t>
      </w:r>
      <w:r>
        <w:rPr>
          <w:rFonts w:hint="eastAsia" w:ascii="Microsoft Yi Baiti" w:eastAsia="Microsoft Yi Baiti"/>
        </w:rPr>
        <w:t>)</w:t>
      </w:r>
    </w:p>
    <w:p>
      <w:pPr>
        <w:pStyle w:val="6"/>
        <w:spacing w:before="5"/>
        <w:ind w:left="0" w:firstLine="0"/>
        <w:jc w:val="left"/>
        <w:rPr>
          <w:rFonts w:ascii="Microsoft Yi Baiti"/>
          <w:sz w:val="27"/>
        </w:rPr>
      </w:pPr>
    </w:p>
    <w:p>
      <w:pPr>
        <w:spacing w:after="0"/>
        <w:jc w:val="left"/>
        <w:rPr>
          <w:rFonts w:ascii="Microsoft Yi Baiti"/>
          <w:sz w:val="27"/>
        </w:rPr>
        <w:sectPr>
          <w:type w:val="continuous"/>
          <w:pgSz w:w="10500" w:h="14750"/>
          <w:pgMar w:top="1400" w:right="980" w:bottom="280" w:left="980" w:header="720" w:footer="720" w:gutter="0"/>
        </w:sectPr>
      </w:pPr>
    </w:p>
    <w:p>
      <w:pPr>
        <w:pStyle w:val="6"/>
        <w:spacing w:before="5"/>
        <w:ind w:left="0" w:firstLine="0"/>
        <w:jc w:val="left"/>
        <w:rPr>
          <w:rFonts w:ascii="Microsoft Yi Baiti"/>
          <w:sz w:val="23"/>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304" w:lineRule="auto"/>
        <w:ind w:right="38"/>
      </w:pPr>
      <w:r>
        <w:rPr>
          <w:w w:val="105"/>
        </w:rPr>
        <w:t>第一条 为了严格规范非煤矿矿山企</w:t>
      </w:r>
      <w:r>
        <w:t>业安全生产条件</w:t>
      </w:r>
      <w:r>
        <w:rPr>
          <w:rFonts w:hint="eastAsia" w:ascii="MS UI Gothic" w:eastAsia="MS UI Gothic"/>
          <w:w w:val="80"/>
        </w:rPr>
        <w:t xml:space="preserve">ꎬ </w:t>
      </w:r>
      <w:r>
        <w:t>做好非煤矿矿山企业安全生产许可证的颁发管理工作</w:t>
      </w:r>
      <w:r>
        <w:rPr>
          <w:rFonts w:hint="eastAsia" w:ascii="MS UI Gothic" w:eastAsia="MS UI Gothic"/>
          <w:w w:val="80"/>
        </w:rPr>
        <w:t xml:space="preserve">ꎬ </w:t>
      </w:r>
      <w:r>
        <w:t>根据</w:t>
      </w:r>
    </w:p>
    <w:p>
      <w:pPr>
        <w:pStyle w:val="6"/>
        <w:spacing w:line="302" w:lineRule="auto"/>
        <w:ind w:right="38" w:firstLine="0"/>
        <w:jc w:val="left"/>
        <w:rPr>
          <w:rFonts w:hint="eastAsia" w:ascii="MS UI Gothic" w:hAnsi="MS UI Gothic" w:eastAsia="MS UI Gothic"/>
        </w:rPr>
      </w:pPr>
      <w:r>
        <w:rPr>
          <w:rFonts w:hint="eastAsia" w:ascii="MS UI Gothic" w:hAnsi="MS UI Gothic" w:eastAsia="MS UI Gothic"/>
        </w:rPr>
        <w:t xml:space="preserve">« </w:t>
      </w:r>
      <w:r>
        <w:t>安全生产许可证条例</w:t>
      </w:r>
      <w:r>
        <w:rPr>
          <w:rFonts w:hint="eastAsia" w:ascii="MS UI Gothic" w:hAnsi="MS UI Gothic" w:eastAsia="MS UI Gothic"/>
        </w:rPr>
        <w:t xml:space="preserve">» </w:t>
      </w:r>
      <w:r>
        <w:t>等法律</w:t>
      </w:r>
      <w:r>
        <w:rPr>
          <w:rFonts w:hint="eastAsia" w:ascii="MS UI Gothic" w:hAnsi="MS UI Gothic" w:eastAsia="MS UI Gothic"/>
        </w:rPr>
        <w:t xml:space="preserve">、 </w:t>
      </w:r>
      <w:r>
        <w:t>行政法规</w:t>
      </w:r>
      <w:r>
        <w:rPr>
          <w:rFonts w:hint="eastAsia" w:ascii="MS UI Gothic" w:hAnsi="MS UI Gothic" w:eastAsia="MS UI Gothic"/>
          <w:w w:val="80"/>
        </w:rPr>
        <w:t xml:space="preserve">ꎬ </w:t>
      </w:r>
      <w:r>
        <w:t>制定本实施办法</w:t>
      </w:r>
      <w:r>
        <w:rPr>
          <w:rFonts w:hint="eastAsia" w:ascii="MS UI Gothic" w:hAnsi="MS UI Gothic" w:eastAsia="MS UI Gothic"/>
          <w:w w:val="80"/>
        </w:rPr>
        <w:t>ꎮ</w:t>
      </w:r>
    </w:p>
    <w:p>
      <w:pPr>
        <w:pStyle w:val="6"/>
        <w:spacing w:line="302" w:lineRule="auto"/>
        <w:ind w:right="38"/>
        <w:rPr>
          <w:rFonts w:hint="eastAsia" w:ascii="MS UI Gothic" w:eastAsia="MS UI Gothic"/>
        </w:rPr>
      </w:pPr>
      <w:r>
        <w:rPr>
          <w:w w:val="105"/>
        </w:rPr>
        <w:t>第二条 非煤矿矿山企业必须依照本实施办法的规定取得安全生产许可证</w:t>
      </w:r>
      <w:r>
        <w:rPr>
          <w:rFonts w:hint="eastAsia" w:ascii="MS UI Gothic" w:eastAsia="MS UI Gothic"/>
          <w:w w:val="80"/>
        </w:rPr>
        <w:t>ꎮ</w:t>
      </w:r>
    </w:p>
    <w:p>
      <w:pPr>
        <w:pStyle w:val="6"/>
        <w:spacing w:line="302" w:lineRule="auto"/>
        <w:ind w:right="38"/>
        <w:rPr>
          <w:rFonts w:hint="eastAsia" w:ascii="MS UI Gothic" w:eastAsia="MS UI Gothic"/>
        </w:rPr>
      </w:pPr>
      <w:r>
        <w:t>未取得安全生产许可证的</w:t>
      </w:r>
      <w:r>
        <w:rPr>
          <w:rFonts w:hint="eastAsia" w:ascii="MS UI Gothic" w:eastAsia="MS UI Gothic"/>
          <w:w w:val="80"/>
        </w:rPr>
        <w:t xml:space="preserve">ꎬ </w:t>
      </w:r>
      <w:r>
        <w:t>不得从事生产活动</w:t>
      </w:r>
      <w:r>
        <w:rPr>
          <w:rFonts w:hint="eastAsia" w:ascii="MS UI Gothic" w:eastAsia="MS UI Gothic"/>
          <w:w w:val="80"/>
        </w:rPr>
        <w:t>ꎮ</w:t>
      </w:r>
    </w:p>
    <w:p>
      <w:pPr>
        <w:pStyle w:val="6"/>
        <w:spacing w:line="300" w:lineRule="auto"/>
        <w:ind w:right="38"/>
        <w:rPr>
          <w:rFonts w:hint="eastAsia" w:ascii="MS UI Gothic" w:eastAsia="MS UI Gothic"/>
        </w:rPr>
      </w:pPr>
      <w:r>
        <w:rPr>
          <w:w w:val="105"/>
        </w:rPr>
        <w:t>第三条 非煤矿矿山企业安全生产许可证的颁发管理工作实行企业申请</w:t>
      </w:r>
      <w:r>
        <w:rPr>
          <w:rFonts w:hint="eastAsia" w:ascii="MS UI Gothic" w:eastAsia="MS UI Gothic"/>
          <w:w w:val="80"/>
        </w:rPr>
        <w:t xml:space="preserve">、 </w:t>
      </w:r>
      <w:r>
        <w:rPr>
          <w:w w:val="105"/>
        </w:rPr>
        <w:t>两级发证</w:t>
      </w:r>
      <w:r>
        <w:rPr>
          <w:rFonts w:hint="eastAsia" w:ascii="MS UI Gothic" w:eastAsia="MS UI Gothic"/>
          <w:w w:val="80"/>
        </w:rPr>
        <w:t xml:space="preserve">、 </w:t>
      </w:r>
      <w:r>
        <w:rPr>
          <w:w w:val="105"/>
        </w:rPr>
        <w:t>属地监管的原则</w:t>
      </w:r>
      <w:r>
        <w:rPr>
          <w:rFonts w:hint="eastAsia" w:ascii="MS UI Gothic" w:eastAsia="MS UI Gothic"/>
          <w:w w:val="80"/>
        </w:rPr>
        <w:t>ꎮ</w:t>
      </w:r>
    </w:p>
    <w:p>
      <w:pPr>
        <w:pStyle w:val="6"/>
        <w:spacing w:line="302" w:lineRule="auto"/>
        <w:ind w:right="38"/>
        <w:rPr>
          <w:rFonts w:hint="eastAsia" w:ascii="MS UI Gothic" w:eastAsia="MS UI Gothic"/>
        </w:rPr>
      </w:pPr>
      <w:r>
        <w:rPr>
          <w:w w:val="105"/>
        </w:rPr>
        <w:t>第四条 国家安全生产监督管理总局指导</w:t>
      </w:r>
      <w:r>
        <w:rPr>
          <w:rFonts w:hint="eastAsia" w:ascii="MS UI Gothic" w:eastAsia="MS UI Gothic"/>
          <w:w w:val="80"/>
        </w:rPr>
        <w:t xml:space="preserve">、 </w:t>
      </w:r>
      <w:r>
        <w:rPr>
          <w:w w:val="105"/>
        </w:rPr>
        <w:t>监督全国非煤矿矿山企业安全生产</w:t>
      </w:r>
      <w:r>
        <w:t>许可证的颁发管理工作</w:t>
      </w:r>
      <w:r>
        <w:rPr>
          <w:rFonts w:hint="eastAsia" w:ascii="MS UI Gothic" w:eastAsia="MS UI Gothic"/>
          <w:w w:val="80"/>
        </w:rPr>
        <w:t xml:space="preserve">ꎬ </w:t>
      </w:r>
      <w:r>
        <w:t>负责海洋石油天然气企业安全生产许可证的颁发和管理</w:t>
      </w:r>
      <w:r>
        <w:rPr>
          <w:rFonts w:hint="eastAsia" w:ascii="MS UI Gothic" w:eastAsia="MS UI Gothic"/>
          <w:w w:val="80"/>
        </w:rPr>
        <w:t>ꎮ</w:t>
      </w:r>
    </w:p>
    <w:p>
      <w:pPr>
        <w:pStyle w:val="6"/>
        <w:spacing w:line="302" w:lineRule="auto"/>
        <w:ind w:right="38"/>
        <w:rPr>
          <w:rFonts w:hint="eastAsia" w:ascii="MS UI Gothic" w:eastAsia="MS UI Gothic"/>
        </w:rPr>
      </w:pPr>
      <w:r>
        <w:rPr>
          <w:spacing w:val="3"/>
          <w:w w:val="105"/>
        </w:rPr>
        <w:t>省</w:t>
      </w:r>
      <w:r>
        <w:rPr>
          <w:rFonts w:hint="eastAsia" w:ascii="MS UI Gothic" w:eastAsia="MS UI Gothic"/>
          <w:spacing w:val="13"/>
          <w:w w:val="80"/>
        </w:rPr>
        <w:t xml:space="preserve">、 </w:t>
      </w:r>
      <w:r>
        <w:rPr>
          <w:spacing w:val="3"/>
          <w:w w:val="105"/>
        </w:rPr>
        <w:t>自治区</w:t>
      </w:r>
      <w:r>
        <w:rPr>
          <w:rFonts w:hint="eastAsia" w:ascii="MS UI Gothic" w:eastAsia="MS UI Gothic"/>
          <w:spacing w:val="13"/>
          <w:w w:val="80"/>
        </w:rPr>
        <w:t xml:space="preserve">、 </w:t>
      </w:r>
      <w:r>
        <w:rPr>
          <w:spacing w:val="2"/>
          <w:w w:val="105"/>
        </w:rPr>
        <w:t>直辖市人民政府安全生</w:t>
      </w:r>
      <w:r>
        <w:rPr>
          <w:spacing w:val="4"/>
          <w:w w:val="105"/>
        </w:rPr>
        <w:t xml:space="preserve">产监督管理部门 </w:t>
      </w:r>
      <w:r>
        <w:rPr>
          <w:rFonts w:hint="eastAsia" w:ascii="MS UI Gothic" w:eastAsia="MS UI Gothic"/>
          <w:spacing w:val="-37"/>
          <w:w w:val="150"/>
        </w:rPr>
        <w:t xml:space="preserve">( </w:t>
      </w:r>
      <w:r>
        <w:rPr>
          <w:spacing w:val="15"/>
          <w:w w:val="105"/>
        </w:rPr>
        <w:t>以下简称省级安全生</w:t>
      </w:r>
      <w:r>
        <w:rPr>
          <w:spacing w:val="11"/>
          <w:w w:val="105"/>
        </w:rPr>
        <w:t>产许可证颁发管理机关</w:t>
      </w:r>
      <w:r>
        <w:rPr>
          <w:rFonts w:hint="eastAsia" w:ascii="MS UI Gothic" w:eastAsia="MS UI Gothic"/>
          <w:spacing w:val="-6"/>
          <w:w w:val="150"/>
        </w:rPr>
        <w:t xml:space="preserve">) </w:t>
      </w:r>
      <w:r>
        <w:rPr>
          <w:spacing w:val="14"/>
          <w:w w:val="105"/>
        </w:rPr>
        <w:t>负责本行政区</w:t>
      </w:r>
      <w:r>
        <w:rPr>
          <w:spacing w:val="2"/>
        </w:rPr>
        <w:t>域内除本条第一款规定以外的非煤矿矿山</w:t>
      </w:r>
      <w:r>
        <w:rPr>
          <w:spacing w:val="3"/>
          <w:w w:val="105"/>
        </w:rPr>
        <w:t>企业安全生产许可证的颁发和管理</w:t>
      </w:r>
      <w:r>
        <w:rPr>
          <w:rFonts w:hint="eastAsia" w:ascii="MS UI Gothic" w:eastAsia="MS UI Gothic"/>
          <w:w w:val="80"/>
        </w:rPr>
        <w:t>ꎮ</w:t>
      </w:r>
    </w:p>
    <w:p>
      <w:pPr>
        <w:pStyle w:val="6"/>
        <w:spacing w:line="302" w:lineRule="auto"/>
        <w:ind w:right="38"/>
        <w:jc w:val="left"/>
      </w:pPr>
      <w:r>
        <w:t>省级安全生产许可证颁发管理机关可以委托设区的市级安全生产监督管理部门</w:t>
      </w:r>
    </w:p>
    <w:p>
      <w:pPr>
        <w:pStyle w:val="6"/>
        <w:spacing w:before="84" w:line="300" w:lineRule="auto"/>
        <w:ind w:right="442" w:firstLine="0"/>
        <w:rPr>
          <w:rFonts w:hint="eastAsia" w:ascii="MS UI Gothic" w:eastAsia="MS UI Gothic"/>
        </w:rPr>
      </w:pPr>
      <w:r>
        <w:br w:type="column"/>
      </w:r>
      <w:r>
        <w:t>实施非煤矿矿山企业安全生产许可证的颁发管理工作</w:t>
      </w:r>
      <w:r>
        <w:rPr>
          <w:rFonts w:hint="eastAsia" w:ascii="MS UI Gothic" w:eastAsia="MS UI Gothic"/>
          <w:w w:val="80"/>
        </w:rPr>
        <w:t xml:space="preserve">ꎻ </w:t>
      </w:r>
      <w:r>
        <w:t>但中央管理企业所属非煤矿矿山的安全生产许可证颁发管理工作不得</w:t>
      </w:r>
      <w:r>
        <w:rPr>
          <w:w w:val="105"/>
        </w:rPr>
        <w:t>委托实施</w:t>
      </w:r>
      <w:r>
        <w:rPr>
          <w:rFonts w:hint="eastAsia" w:ascii="MS UI Gothic" w:eastAsia="MS UI Gothic"/>
          <w:w w:val="80"/>
        </w:rPr>
        <w:t>ꎮ</w:t>
      </w:r>
    </w:p>
    <w:p>
      <w:pPr>
        <w:pStyle w:val="6"/>
        <w:spacing w:before="3" w:line="300" w:lineRule="auto"/>
        <w:ind w:right="442"/>
        <w:rPr>
          <w:rFonts w:hint="eastAsia" w:ascii="MS UI Gothic" w:eastAsia="MS UI Gothic"/>
        </w:rPr>
      </w:pPr>
      <w:r>
        <w:rPr>
          <w:w w:val="105"/>
        </w:rPr>
        <w:t>第五条 本实施办法所称的非煤矿矿</w:t>
      </w:r>
      <w:r>
        <w:t>山企业包括金属非金属矿山企业及其尾矿</w:t>
      </w:r>
      <w:r>
        <w:rPr>
          <w:w w:val="105"/>
        </w:rPr>
        <w:t>库</w:t>
      </w:r>
      <w:r>
        <w:rPr>
          <w:rFonts w:hint="eastAsia" w:ascii="MS UI Gothic" w:eastAsia="MS UI Gothic"/>
          <w:w w:val="80"/>
        </w:rPr>
        <w:t xml:space="preserve">、 </w:t>
      </w:r>
      <w:r>
        <w:rPr>
          <w:w w:val="105"/>
        </w:rPr>
        <w:t>地质勘探单位</w:t>
      </w:r>
      <w:r>
        <w:rPr>
          <w:rFonts w:hint="eastAsia" w:ascii="MS UI Gothic" w:eastAsia="MS UI Gothic"/>
          <w:w w:val="80"/>
        </w:rPr>
        <w:t xml:space="preserve">、 </w:t>
      </w:r>
      <w:r>
        <w:rPr>
          <w:w w:val="105"/>
        </w:rPr>
        <w:t>采掘施工企业</w:t>
      </w:r>
      <w:r>
        <w:rPr>
          <w:rFonts w:hint="eastAsia" w:ascii="MS UI Gothic" w:eastAsia="MS UI Gothic"/>
          <w:w w:val="80"/>
        </w:rPr>
        <w:t xml:space="preserve">、 </w:t>
      </w:r>
      <w:r>
        <w:rPr>
          <w:w w:val="105"/>
        </w:rPr>
        <w:t>石油天然气企业</w:t>
      </w:r>
      <w:r>
        <w:rPr>
          <w:rFonts w:hint="eastAsia" w:ascii="MS UI Gothic" w:eastAsia="MS UI Gothic"/>
          <w:w w:val="80"/>
        </w:rPr>
        <w:t>ꎮ</w:t>
      </w:r>
    </w:p>
    <w:p>
      <w:pPr>
        <w:pStyle w:val="6"/>
        <w:spacing w:before="6" w:line="302" w:lineRule="auto"/>
        <w:ind w:right="442"/>
        <w:rPr>
          <w:rFonts w:hint="eastAsia" w:ascii="MS UI Gothic" w:eastAsia="MS UI Gothic"/>
        </w:rPr>
      </w:pPr>
      <w:r>
        <w:t>金属非金属矿山企业</w:t>
      </w:r>
      <w:r>
        <w:rPr>
          <w:rFonts w:hint="eastAsia" w:ascii="MS UI Gothic" w:eastAsia="MS UI Gothic"/>
          <w:w w:val="80"/>
        </w:rPr>
        <w:t xml:space="preserve">ꎬ </w:t>
      </w:r>
      <w:r>
        <w:t>是指从事金属</w:t>
      </w:r>
      <w:r>
        <w:rPr>
          <w:w w:val="105"/>
        </w:rPr>
        <w:t>和非金属矿产资源开采活动的下列单位</w:t>
      </w:r>
      <w:r>
        <w:rPr>
          <w:rFonts w:hint="eastAsia" w:ascii="MS UI Gothic" w:eastAsia="MS UI Gothic"/>
          <w:w w:val="105"/>
        </w:rPr>
        <w:t>:</w:t>
      </w:r>
    </w:p>
    <w:p>
      <w:pPr>
        <w:pStyle w:val="6"/>
        <w:spacing w:line="300" w:lineRule="auto"/>
        <w:ind w:right="442" w:firstLine="413"/>
        <w:rPr>
          <w:rFonts w:hint="eastAsia" w:ascii="MS UI Gothic" w:eastAsia="MS UI Gothic"/>
        </w:rPr>
      </w:pPr>
      <w:r>
        <w:rPr>
          <w:rFonts w:hint="eastAsia" w:ascii="MS UI Gothic" w:eastAsia="MS UI Gothic"/>
        </w:rPr>
        <w:t xml:space="preserve">１ </w:t>
      </w:r>
      <w:r>
        <w:t>专门从事矿产资源开采的生产单位</w:t>
      </w:r>
      <w:r>
        <w:rPr>
          <w:rFonts w:hint="eastAsia" w:ascii="MS UI Gothic" w:eastAsia="MS UI Gothic"/>
          <w:w w:val="85"/>
        </w:rPr>
        <w:t>ꎻ</w:t>
      </w:r>
    </w:p>
    <w:p>
      <w:pPr>
        <w:pStyle w:val="6"/>
        <w:spacing w:line="302" w:lineRule="auto"/>
        <w:ind w:right="442" w:firstLine="413"/>
        <w:rPr>
          <w:rFonts w:hint="eastAsia" w:ascii="MS UI Gothic" w:eastAsia="MS UI Gothic"/>
        </w:rPr>
      </w:pPr>
      <w:r>
        <w:rPr>
          <w:rFonts w:hint="eastAsia" w:ascii="MS UI Gothic" w:eastAsia="MS UI Gothic"/>
        </w:rPr>
        <w:t xml:space="preserve">２ </w:t>
      </w:r>
      <w:r>
        <w:t>从事矿产资源开采</w:t>
      </w:r>
      <w:r>
        <w:rPr>
          <w:rFonts w:hint="eastAsia" w:ascii="MS UI Gothic" w:eastAsia="MS UI Gothic"/>
        </w:rPr>
        <w:t xml:space="preserve">、 </w:t>
      </w:r>
      <w:r>
        <w:t>加工的联合生产企业及其矿山生产单位</w:t>
      </w:r>
      <w:r>
        <w:rPr>
          <w:rFonts w:hint="eastAsia" w:ascii="MS UI Gothic" w:eastAsia="MS UI Gothic"/>
          <w:w w:val="85"/>
        </w:rPr>
        <w:t>ꎻ</w:t>
      </w:r>
    </w:p>
    <w:p>
      <w:pPr>
        <w:pStyle w:val="6"/>
        <w:spacing w:line="302" w:lineRule="auto"/>
        <w:ind w:right="442" w:firstLine="413"/>
        <w:rPr>
          <w:rFonts w:hint="eastAsia" w:ascii="MS UI Gothic" w:eastAsia="MS UI Gothic"/>
        </w:rPr>
      </w:pPr>
      <w:r>
        <w:rPr>
          <w:rFonts w:hint="eastAsia" w:ascii="MS UI Gothic" w:eastAsia="MS UI Gothic"/>
        </w:rPr>
        <w:t xml:space="preserve">３ </w:t>
      </w:r>
      <w:r>
        <w:t>其他非矿山企业中从事矿山生产的单位</w:t>
      </w:r>
      <w:r>
        <w:rPr>
          <w:rFonts w:hint="eastAsia" w:ascii="MS UI Gothic" w:eastAsia="MS UI Gothic"/>
          <w:w w:val="85"/>
        </w:rPr>
        <w:t>ꎮ</w:t>
      </w:r>
    </w:p>
    <w:p>
      <w:pPr>
        <w:pStyle w:val="6"/>
        <w:spacing w:line="300" w:lineRule="auto"/>
        <w:ind w:right="440"/>
        <w:rPr>
          <w:rFonts w:hint="eastAsia" w:ascii="MS UI Gothic" w:eastAsia="MS UI Gothic"/>
        </w:rPr>
      </w:pPr>
      <w:r>
        <w:t>尾矿库</w:t>
      </w:r>
      <w:r>
        <w:rPr>
          <w:rFonts w:hint="eastAsia" w:ascii="MS UI Gothic" w:eastAsia="MS UI Gothic"/>
          <w:w w:val="80"/>
        </w:rPr>
        <w:t xml:space="preserve">ꎬ </w:t>
      </w:r>
      <w:r>
        <w:t>是指筑坝拦截谷口或者围地构成的</w:t>
      </w:r>
      <w:r>
        <w:rPr>
          <w:rFonts w:hint="eastAsia" w:ascii="MS UI Gothic" w:eastAsia="MS UI Gothic"/>
          <w:w w:val="80"/>
        </w:rPr>
        <w:t xml:space="preserve">ꎬ </w:t>
      </w:r>
      <w:r>
        <w:t>用以贮存金属非金属矿石选别后排出尾矿的场所</w:t>
      </w:r>
      <w:r>
        <w:rPr>
          <w:rFonts w:hint="eastAsia" w:ascii="MS UI Gothic" w:eastAsia="MS UI Gothic"/>
          <w:w w:val="80"/>
        </w:rPr>
        <w:t xml:space="preserve">ꎬ </w:t>
      </w:r>
      <w:r>
        <w:t>包括氧化铝厂赤泥库</w:t>
      </w:r>
      <w:r>
        <w:rPr>
          <w:rFonts w:hint="eastAsia" w:ascii="MS UI Gothic" w:eastAsia="MS UI Gothic"/>
          <w:w w:val="80"/>
        </w:rPr>
        <w:t>ꎬ</w:t>
      </w:r>
      <w:r>
        <w:t>不包括核工业矿山尾矿库及电厂灰渣库</w:t>
      </w:r>
      <w:r>
        <w:rPr>
          <w:rFonts w:hint="eastAsia" w:ascii="MS UI Gothic" w:eastAsia="MS UI Gothic"/>
          <w:w w:val="80"/>
        </w:rPr>
        <w:t>ꎮ</w:t>
      </w:r>
    </w:p>
    <w:p>
      <w:pPr>
        <w:pStyle w:val="6"/>
        <w:spacing w:before="1" w:line="300" w:lineRule="auto"/>
        <w:ind w:right="440"/>
        <w:rPr>
          <w:rFonts w:hint="eastAsia" w:ascii="MS UI Gothic" w:eastAsia="MS UI Gothic"/>
        </w:rPr>
      </w:pPr>
      <w:r>
        <w:t>地质勘探单位</w:t>
      </w:r>
      <w:r>
        <w:rPr>
          <w:rFonts w:hint="eastAsia" w:ascii="MS UI Gothic" w:eastAsia="MS UI Gothic"/>
          <w:w w:val="80"/>
        </w:rPr>
        <w:t xml:space="preserve">ꎬ </w:t>
      </w:r>
      <w:r>
        <w:t>是指采用钻探工程</w:t>
      </w:r>
      <w:r>
        <w:rPr>
          <w:rFonts w:hint="eastAsia" w:ascii="MS UI Gothic" w:eastAsia="MS UI Gothic"/>
          <w:w w:val="80"/>
        </w:rPr>
        <w:t>、</w:t>
      </w:r>
      <w:r>
        <w:t>坑探工程对金属非金属矿产资源进行勘探作业的单位</w:t>
      </w:r>
      <w:r>
        <w:rPr>
          <w:rFonts w:hint="eastAsia" w:ascii="MS UI Gothic" w:eastAsia="MS UI Gothic"/>
          <w:w w:val="80"/>
        </w:rPr>
        <w:t>ꎮ</w:t>
      </w:r>
    </w:p>
    <w:p>
      <w:pPr>
        <w:pStyle w:val="6"/>
        <w:spacing w:before="3" w:line="302" w:lineRule="auto"/>
        <w:ind w:right="442"/>
        <w:rPr>
          <w:rFonts w:hint="eastAsia" w:ascii="MS UI Gothic" w:eastAsia="MS UI Gothic"/>
        </w:rPr>
      </w:pPr>
      <w:r>
        <w:t>采掘施工企业</w:t>
      </w:r>
      <w:r>
        <w:rPr>
          <w:rFonts w:hint="eastAsia" w:ascii="MS UI Gothic" w:eastAsia="MS UI Gothic"/>
          <w:w w:val="80"/>
        </w:rPr>
        <w:t xml:space="preserve">ꎬ </w:t>
      </w:r>
      <w:r>
        <w:t>是指承担金属非金属矿山采掘工程施工的单位</w:t>
      </w:r>
      <w:r>
        <w:rPr>
          <w:rFonts w:hint="eastAsia" w:ascii="MS UI Gothic" w:eastAsia="MS UI Gothic"/>
          <w:w w:val="80"/>
        </w:rPr>
        <w:t>ꎮ</w:t>
      </w:r>
    </w:p>
    <w:p>
      <w:pPr>
        <w:spacing w:after="0" w:line="302"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４０３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09" o:spid="_x0000_s2209" o:spt="203" style="height:2.15pt;width:398.25pt;" coordsize="7965,43">
            <o:lock v:ext="edit"/>
            <v:line id="_x0000_s2210" o:spid="_x0000_s2210" o:spt="20" style="position:absolute;left:0;top:39;height:0;width:7965;" stroked="t" coordsize="21600,21600">
              <v:path arrowok="t"/>
              <v:fill focussize="0,0"/>
              <v:stroke weight="0.388031496062992pt" color="#231F20"/>
              <v:imagedata o:title=""/>
              <o:lock v:ext="edit"/>
            </v:line>
            <v:line id="_x0000_s2211" o:spid="_x0000_s221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spacing w:val="3"/>
        </w:rPr>
        <w:t>石油天然气企业</w:t>
      </w:r>
      <w:r>
        <w:rPr>
          <w:rFonts w:hint="eastAsia" w:ascii="MS UI Gothic" w:eastAsia="MS UI Gothic"/>
          <w:spacing w:val="16"/>
          <w:w w:val="80"/>
        </w:rPr>
        <w:t xml:space="preserve">ꎬ </w:t>
      </w:r>
      <w:r>
        <w:rPr>
          <w:spacing w:val="2"/>
        </w:rPr>
        <w:t>是指从事石油和天</w:t>
      </w:r>
      <w:r>
        <w:rPr>
          <w:spacing w:val="3"/>
        </w:rPr>
        <w:t>然气勘探</w:t>
      </w:r>
      <w:r>
        <w:rPr>
          <w:rFonts w:hint="eastAsia" w:ascii="MS UI Gothic" w:eastAsia="MS UI Gothic"/>
          <w:spacing w:val="4"/>
          <w:w w:val="80"/>
        </w:rPr>
        <w:t xml:space="preserve">、 </w:t>
      </w:r>
      <w:r>
        <w:rPr>
          <w:spacing w:val="3"/>
        </w:rPr>
        <w:t>开发生产</w:t>
      </w:r>
      <w:r>
        <w:rPr>
          <w:rFonts w:hint="eastAsia" w:ascii="MS UI Gothic" w:eastAsia="MS UI Gothic"/>
          <w:spacing w:val="5"/>
          <w:w w:val="80"/>
        </w:rPr>
        <w:t xml:space="preserve">、 </w:t>
      </w:r>
      <w:r>
        <w:rPr>
          <w:spacing w:val="3"/>
        </w:rPr>
        <w:t>储运的单位</w:t>
      </w:r>
      <w:r>
        <w:rPr>
          <w:rFonts w:hint="eastAsia" w:ascii="MS UI Gothic" w:eastAsia="MS UI Gothic"/>
          <w:w w:val="80"/>
        </w:rPr>
        <w:t>ꎮ</w:t>
      </w:r>
    </w:p>
    <w:p>
      <w:pPr>
        <w:pStyle w:val="6"/>
        <w:spacing w:before="156"/>
        <w:ind w:left="964" w:firstLine="0"/>
      </w:pPr>
      <w:r>
        <w:rPr>
          <w:spacing w:val="2"/>
          <w:w w:val="105"/>
        </w:rPr>
        <w:t>第二章 安全生产条件和申请</w:t>
      </w:r>
    </w:p>
    <w:p>
      <w:pPr>
        <w:pStyle w:val="6"/>
        <w:spacing w:before="215" w:line="295" w:lineRule="auto"/>
        <w:ind w:left="440" w:right="1"/>
        <w:rPr>
          <w:rFonts w:hint="eastAsia" w:ascii="MS UI Gothic" w:eastAsia="MS UI Gothic"/>
        </w:rPr>
      </w:pPr>
      <w:r>
        <w:rPr>
          <w:w w:val="105"/>
        </w:rPr>
        <w:t>第六条 非煤矿矿山企业取得安全生产许可证</w:t>
      </w:r>
      <w:r>
        <w:rPr>
          <w:rFonts w:hint="eastAsia" w:ascii="MS UI Gothic" w:eastAsia="MS UI Gothic"/>
          <w:w w:val="80"/>
        </w:rPr>
        <w:t xml:space="preserve">ꎬ </w:t>
      </w:r>
      <w:r>
        <w:rPr>
          <w:w w:val="105"/>
        </w:rPr>
        <w:t>应当具备下列安全生产条件</w:t>
      </w:r>
      <w:r>
        <w:rPr>
          <w:rFonts w:hint="eastAsia" w:ascii="MS UI Gothic" w:eastAsia="MS UI Gothic"/>
          <w:w w:val="10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建立健全主要负责人</w:t>
      </w:r>
      <w:r>
        <w:rPr>
          <w:rFonts w:hint="eastAsia" w:ascii="MS UI Gothic" w:eastAsia="MS UI Gothic"/>
          <w:w w:val="80"/>
        </w:rPr>
        <w:t xml:space="preserve">、  </w:t>
      </w:r>
      <w:r>
        <w:rPr>
          <w:w w:val="105"/>
        </w:rPr>
        <w:t>分管负责人</w:t>
      </w:r>
      <w:r>
        <w:rPr>
          <w:rFonts w:hint="eastAsia" w:ascii="MS UI Gothic" w:eastAsia="MS UI Gothic"/>
          <w:w w:val="80"/>
        </w:rPr>
        <w:t xml:space="preserve">、 </w:t>
      </w:r>
      <w:r>
        <w:rPr>
          <w:w w:val="105"/>
        </w:rPr>
        <w:t>安全生产管理人员</w:t>
      </w:r>
      <w:r>
        <w:rPr>
          <w:rFonts w:hint="eastAsia" w:ascii="MS UI Gothic" w:eastAsia="MS UI Gothic"/>
          <w:w w:val="80"/>
        </w:rPr>
        <w:t xml:space="preserve">、 </w:t>
      </w:r>
      <w:r>
        <w:rPr>
          <w:w w:val="105"/>
        </w:rPr>
        <w:t>职能部门</w:t>
      </w:r>
      <w:r>
        <w:rPr>
          <w:rFonts w:hint="eastAsia" w:ascii="MS UI Gothic" w:eastAsia="MS UI Gothic"/>
          <w:w w:val="80"/>
        </w:rPr>
        <w:t xml:space="preserve">、 </w:t>
      </w:r>
      <w:r>
        <w:rPr>
          <w:w w:val="105"/>
        </w:rPr>
        <w:t>岗</w:t>
      </w:r>
      <w:r>
        <w:t>位安全生产责任制</w:t>
      </w:r>
      <w:r>
        <w:rPr>
          <w:rFonts w:hint="eastAsia" w:ascii="MS UI Gothic" w:eastAsia="MS UI Gothic"/>
          <w:w w:val="80"/>
        </w:rPr>
        <w:t xml:space="preserve">ꎻ </w:t>
      </w:r>
      <w:r>
        <w:t>制定安全检查制度</w:t>
      </w:r>
      <w:r>
        <w:rPr>
          <w:rFonts w:hint="eastAsia" w:ascii="MS UI Gothic" w:eastAsia="MS UI Gothic"/>
          <w:w w:val="80"/>
        </w:rPr>
        <w:t>、</w:t>
      </w:r>
      <w:r>
        <w:rPr>
          <w:w w:val="105"/>
        </w:rPr>
        <w:t>职业危害预防制度</w:t>
      </w:r>
      <w:r>
        <w:rPr>
          <w:rFonts w:hint="eastAsia" w:ascii="MS UI Gothic" w:eastAsia="MS UI Gothic"/>
          <w:w w:val="80"/>
        </w:rPr>
        <w:t xml:space="preserve">、 </w:t>
      </w:r>
      <w:r>
        <w:rPr>
          <w:w w:val="105"/>
        </w:rPr>
        <w:t>安全教育培训制度</w:t>
      </w:r>
      <w:r>
        <w:rPr>
          <w:rFonts w:hint="eastAsia" w:ascii="MS UI Gothic" w:eastAsia="MS UI Gothic"/>
          <w:w w:val="80"/>
        </w:rPr>
        <w:t>、</w:t>
      </w:r>
      <w:r>
        <w:rPr>
          <w:w w:val="105"/>
        </w:rPr>
        <w:t>生产安全事故管理制度</w:t>
      </w:r>
      <w:r>
        <w:rPr>
          <w:rFonts w:hint="eastAsia" w:ascii="MS UI Gothic" w:eastAsia="MS UI Gothic"/>
          <w:w w:val="80"/>
        </w:rPr>
        <w:t xml:space="preserve">、 </w:t>
      </w:r>
      <w:r>
        <w:rPr>
          <w:w w:val="105"/>
        </w:rPr>
        <w:t>重大危险源监控和重大隐患整改制度</w:t>
      </w:r>
      <w:r>
        <w:rPr>
          <w:rFonts w:hint="eastAsia" w:ascii="MS UI Gothic" w:eastAsia="MS UI Gothic"/>
          <w:w w:val="80"/>
        </w:rPr>
        <w:t xml:space="preserve">、 </w:t>
      </w:r>
      <w:r>
        <w:rPr>
          <w:w w:val="105"/>
        </w:rPr>
        <w:t>设备安全管理制度</w:t>
      </w:r>
      <w:r>
        <w:rPr>
          <w:rFonts w:hint="eastAsia" w:ascii="MS UI Gothic" w:eastAsia="MS UI Gothic"/>
          <w:w w:val="80"/>
        </w:rPr>
        <w:t xml:space="preserve">、 </w:t>
      </w:r>
      <w:r>
        <w:rPr>
          <w:w w:val="105"/>
        </w:rPr>
        <w:t>安全生产档案管理制度</w:t>
      </w:r>
      <w:r>
        <w:rPr>
          <w:rFonts w:hint="eastAsia" w:ascii="MS UI Gothic" w:eastAsia="MS UI Gothic"/>
          <w:w w:val="80"/>
        </w:rPr>
        <w:t xml:space="preserve">、 </w:t>
      </w:r>
      <w:r>
        <w:rPr>
          <w:w w:val="105"/>
        </w:rPr>
        <w:t>安全生产奖</w:t>
      </w:r>
      <w:r>
        <w:t>惩制度等规章制度</w:t>
      </w:r>
      <w:r>
        <w:rPr>
          <w:rFonts w:hint="eastAsia" w:ascii="MS UI Gothic" w:eastAsia="MS UI Gothic"/>
          <w:w w:val="80"/>
        </w:rPr>
        <w:t xml:space="preserve">ꎻ </w:t>
      </w:r>
      <w:r>
        <w:t>制定作业安全规程和</w:t>
      </w:r>
      <w:r>
        <w:rPr>
          <w:w w:val="105"/>
        </w:rPr>
        <w:t>各工种操作规程</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安全投入符合安全生产要求</w:t>
      </w:r>
      <w:r>
        <w:rPr>
          <w:rFonts w:hint="eastAsia" w:ascii="MS UI Gothic" w:eastAsia="MS UI Gothic"/>
          <w:w w:val="80"/>
        </w:rPr>
        <w:t>ꎬ</w:t>
      </w:r>
      <w:r>
        <w:t>依照国家有关规定足额提取安全生产</w:t>
      </w:r>
      <w:r>
        <w:rPr>
          <w:w w:val="105"/>
        </w:rPr>
        <w:t>费用</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设置安全生产管理机构</w:t>
      </w:r>
      <w:r>
        <w:rPr>
          <w:rFonts w:hint="eastAsia" w:ascii="MS UI Gothic" w:eastAsia="MS UI Gothic"/>
          <w:w w:val="80"/>
        </w:rPr>
        <w:t xml:space="preserve">ꎬ </w:t>
      </w:r>
      <w:r>
        <w:rPr>
          <w:w w:val="105"/>
        </w:rPr>
        <w:t>或者配备专职安全生产管理人员</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主要负责人和安全生产管理人</w:t>
      </w:r>
      <w:r>
        <w:t>员经安全生产监督管理部门考核合格</w:t>
      </w:r>
      <w:r>
        <w:rPr>
          <w:rFonts w:hint="eastAsia" w:ascii="MS UI Gothic" w:eastAsia="MS UI Gothic"/>
          <w:w w:val="80"/>
        </w:rPr>
        <w:t xml:space="preserve">ꎬ </w:t>
      </w:r>
      <w:r>
        <w:t>取</w:t>
      </w:r>
      <w:r>
        <w:rPr>
          <w:w w:val="105"/>
        </w:rPr>
        <w:t>得安全资格证书</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特种作业人员经有关业务主管</w:t>
      </w:r>
      <w:r>
        <w:t>部门考核合格</w:t>
      </w:r>
      <w:r>
        <w:rPr>
          <w:rFonts w:hint="eastAsia" w:ascii="MS UI Gothic" w:eastAsia="MS UI Gothic"/>
          <w:w w:val="80"/>
        </w:rPr>
        <w:t xml:space="preserve">ꎬ </w:t>
      </w:r>
      <w:r>
        <w:t>取得特种作业操作资格</w:t>
      </w:r>
      <w:r>
        <w:rPr>
          <w:w w:val="105"/>
        </w:rPr>
        <w:t>证书</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其他从业人员依照规定接受安全生产教育和培训</w:t>
      </w:r>
      <w:r>
        <w:rPr>
          <w:rFonts w:hint="eastAsia" w:ascii="MS UI Gothic" w:eastAsia="MS UI Gothic"/>
          <w:w w:val="80"/>
        </w:rPr>
        <w:t xml:space="preserve">ꎬ </w:t>
      </w:r>
      <w:r>
        <w:rPr>
          <w:w w:val="105"/>
        </w:rPr>
        <w:t>并经考试合格</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依法参加工伤保险</w:t>
      </w:r>
      <w:r>
        <w:rPr>
          <w:rFonts w:hint="eastAsia" w:ascii="MS UI Gothic" w:eastAsia="MS UI Gothic"/>
          <w:w w:val="80"/>
        </w:rPr>
        <w:t xml:space="preserve">ꎬ </w:t>
      </w:r>
      <w:r>
        <w:rPr>
          <w:w w:val="105"/>
        </w:rPr>
        <w:t>为从业人员缴纳保险费</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制定防治职业危害的具体措</w:t>
      </w:r>
      <w:r>
        <w:t>施</w:t>
      </w:r>
      <w:r>
        <w:rPr>
          <w:rFonts w:hint="eastAsia" w:ascii="MS UI Gothic" w:eastAsia="MS UI Gothic"/>
          <w:w w:val="80"/>
        </w:rPr>
        <w:t xml:space="preserve">ꎬ </w:t>
      </w:r>
      <w:r>
        <w:t>并为从业人员配备符合国家标准或者</w:t>
      </w:r>
      <w:r>
        <w:rPr>
          <w:w w:val="105"/>
        </w:rPr>
        <w:t>行业标准的劳动防护用品</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新建</w:t>
      </w:r>
      <w:r>
        <w:rPr>
          <w:rFonts w:hint="eastAsia" w:ascii="MS UI Gothic" w:eastAsia="MS UI Gothic"/>
          <w:w w:val="80"/>
        </w:rPr>
        <w:t xml:space="preserve">、 </w:t>
      </w:r>
      <w:r>
        <w:rPr>
          <w:w w:val="105"/>
        </w:rPr>
        <w:t>改建</w:t>
      </w:r>
      <w:r>
        <w:rPr>
          <w:rFonts w:hint="eastAsia" w:ascii="MS UI Gothic" w:eastAsia="MS UI Gothic"/>
          <w:w w:val="80"/>
        </w:rPr>
        <w:t xml:space="preserve">、 </w:t>
      </w:r>
      <w:r>
        <w:rPr>
          <w:w w:val="105"/>
        </w:rPr>
        <w:t>扩建工程项目依</w:t>
      </w:r>
      <w:r>
        <w:t>法进行安全评价</w:t>
      </w:r>
      <w:r>
        <w:rPr>
          <w:rFonts w:hint="eastAsia" w:ascii="MS UI Gothic" w:eastAsia="MS UI Gothic"/>
          <w:w w:val="80"/>
        </w:rPr>
        <w:t xml:space="preserve">ꎬ </w:t>
      </w:r>
      <w:r>
        <w:t>其安全设施经验收</w:t>
      </w:r>
      <w:r>
        <w:rPr>
          <w:w w:val="105"/>
        </w:rPr>
        <w:t>合格</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危险性较大的设备</w:t>
      </w:r>
      <w:r>
        <w:rPr>
          <w:rFonts w:hint="eastAsia" w:ascii="MS UI Gothic" w:eastAsia="MS UI Gothic"/>
          <w:w w:val="80"/>
        </w:rPr>
        <w:t xml:space="preserve">、 </w:t>
      </w:r>
      <w:r>
        <w:rPr>
          <w:w w:val="105"/>
        </w:rPr>
        <w:t>设施按照国家有关规定进行定期检测检验</w:t>
      </w:r>
      <w:r>
        <w:rPr>
          <w:rFonts w:hint="eastAsia" w:ascii="MS UI Gothic" w:eastAsia="MS UI Gothic"/>
          <w:w w:val="80"/>
        </w:rPr>
        <w:t>ꎻ</w:t>
      </w:r>
    </w:p>
    <w:p>
      <w:pPr>
        <w:pStyle w:val="6"/>
        <w:spacing w:line="255" w:lineRule="exact"/>
        <w:ind w:left="860" w:firstLine="0"/>
      </w:pPr>
      <w:r>
        <w:rPr>
          <w:rFonts w:hint="eastAsia" w:ascii="MS UI Gothic" w:eastAsia="MS UI Gothic"/>
          <w:w w:val="115"/>
        </w:rPr>
        <w:t xml:space="preserve">( </w:t>
      </w:r>
      <w:r>
        <w:rPr>
          <w:w w:val="110"/>
        </w:rPr>
        <w:t>十一</w:t>
      </w:r>
      <w:r>
        <w:rPr>
          <w:rFonts w:hint="eastAsia" w:ascii="MS UI Gothic" w:eastAsia="MS UI Gothic"/>
          <w:w w:val="115"/>
        </w:rPr>
        <w:t xml:space="preserve">) </w:t>
      </w:r>
      <w:r>
        <w:rPr>
          <w:w w:val="110"/>
        </w:rPr>
        <w:t>制定事故应急救援预案</w:t>
      </w:r>
      <w:r>
        <w:rPr>
          <w:rFonts w:hint="eastAsia" w:ascii="MS UI Gothic" w:eastAsia="MS UI Gothic"/>
          <w:w w:val="80"/>
        </w:rPr>
        <w:t xml:space="preserve">ꎬ </w:t>
      </w:r>
      <w:r>
        <w:rPr>
          <w:w w:val="110"/>
        </w:rPr>
        <w:t>建</w:t>
      </w:r>
    </w:p>
    <w:p>
      <w:pPr>
        <w:pStyle w:val="6"/>
        <w:spacing w:before="124" w:line="295" w:lineRule="auto"/>
        <w:ind w:left="381" w:right="126" w:firstLine="0"/>
        <w:rPr>
          <w:rFonts w:hint="eastAsia" w:ascii="MS UI Gothic" w:eastAsia="MS UI Gothic"/>
        </w:rPr>
      </w:pPr>
      <w:r>
        <w:br w:type="column"/>
      </w:r>
      <w:r>
        <w:t>立事故应急救援组织</w:t>
      </w:r>
      <w:r>
        <w:rPr>
          <w:rFonts w:hint="eastAsia" w:ascii="MS UI Gothic" w:eastAsia="MS UI Gothic"/>
          <w:w w:val="80"/>
        </w:rPr>
        <w:t xml:space="preserve">ꎬ </w:t>
      </w:r>
      <w:r>
        <w:t>配备必要的应急救援器材</w:t>
      </w:r>
      <w:r>
        <w:rPr>
          <w:rFonts w:hint="eastAsia" w:ascii="MS UI Gothic" w:eastAsia="MS UI Gothic"/>
          <w:w w:val="80"/>
        </w:rPr>
        <w:t xml:space="preserve">、 </w:t>
      </w:r>
      <w:r>
        <w:t>设备</w:t>
      </w:r>
      <w:r>
        <w:rPr>
          <w:rFonts w:hint="eastAsia" w:ascii="MS UI Gothic" w:eastAsia="MS UI Gothic"/>
          <w:w w:val="80"/>
        </w:rPr>
        <w:t xml:space="preserve">ꎻ </w:t>
      </w:r>
      <w:r>
        <w:t>生产规模较小可以不建立事故应急救援组织的</w:t>
      </w:r>
      <w:r>
        <w:rPr>
          <w:rFonts w:hint="eastAsia" w:ascii="MS UI Gothic" w:eastAsia="MS UI Gothic"/>
          <w:w w:val="80"/>
        </w:rPr>
        <w:t xml:space="preserve">ꎬ </w:t>
      </w:r>
      <w:r>
        <w:t>应当指定兼职的应急救援人员</w:t>
      </w:r>
      <w:r>
        <w:rPr>
          <w:rFonts w:hint="eastAsia" w:ascii="MS UI Gothic" w:eastAsia="MS UI Gothic"/>
          <w:w w:val="80"/>
        </w:rPr>
        <w:t xml:space="preserve">ꎬ </w:t>
      </w:r>
      <w:r>
        <w:t>并与邻近的矿山救护队或者其他应急救援组织签订救护协议</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十二</w:t>
      </w:r>
      <w:r>
        <w:rPr>
          <w:rFonts w:hint="eastAsia" w:ascii="MS UI Gothic" w:eastAsia="MS UI Gothic"/>
          <w:spacing w:val="9"/>
          <w:w w:val="150"/>
        </w:rPr>
        <w:t xml:space="preserve">) </w:t>
      </w:r>
      <w:r>
        <w:rPr>
          <w:spacing w:val="7"/>
          <w:w w:val="105"/>
        </w:rPr>
        <w:t>符合有关国家标准</w:t>
      </w:r>
      <w:r>
        <w:rPr>
          <w:rFonts w:hint="eastAsia" w:ascii="MS UI Gothic" w:eastAsia="MS UI Gothic"/>
          <w:w w:val="80"/>
        </w:rPr>
        <w:t xml:space="preserve">、  </w:t>
      </w:r>
      <w:r>
        <w:rPr>
          <w:spacing w:val="7"/>
          <w:w w:val="105"/>
        </w:rPr>
        <w:t>行业标</w:t>
      </w:r>
      <w:r>
        <w:rPr>
          <w:spacing w:val="3"/>
          <w:w w:val="105"/>
        </w:rPr>
        <w:t>准规定的其他条件</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第七条 海洋石油天然气企业申请领</w:t>
      </w:r>
      <w:r>
        <w:rPr>
          <w:spacing w:val="3"/>
        </w:rPr>
        <w:t>取安全生产许可证</w:t>
      </w:r>
      <w:r>
        <w:rPr>
          <w:rFonts w:hint="eastAsia" w:ascii="MS UI Gothic" w:eastAsia="MS UI Gothic"/>
          <w:spacing w:val="20"/>
          <w:w w:val="80"/>
        </w:rPr>
        <w:t xml:space="preserve">ꎬ </w:t>
      </w:r>
      <w:r>
        <w:rPr>
          <w:spacing w:val="2"/>
        </w:rPr>
        <w:t>向国家安全生产监督</w:t>
      </w:r>
      <w:r>
        <w:rPr>
          <w:spacing w:val="3"/>
          <w:w w:val="105"/>
        </w:rPr>
        <w:t>管理总局提出申请</w:t>
      </w:r>
      <w:r>
        <w:rPr>
          <w:rFonts w:hint="eastAsia" w:ascii="MS UI Gothic" w:eastAsia="MS UI Gothic"/>
          <w:w w:val="80"/>
        </w:rPr>
        <w:t>ꎮ</w:t>
      </w:r>
    </w:p>
    <w:p>
      <w:pPr>
        <w:pStyle w:val="6"/>
        <w:spacing w:line="295" w:lineRule="auto"/>
        <w:ind w:left="381" w:right="126"/>
        <w:rPr>
          <w:rFonts w:hint="eastAsia" w:ascii="MS UI Gothic" w:eastAsia="MS UI Gothic"/>
        </w:rPr>
      </w:pPr>
      <w:r>
        <w:t>本条第一款规定以外的其他非煤矿矿山企业申请领取安全生产许可证</w:t>
      </w:r>
      <w:r>
        <w:rPr>
          <w:rFonts w:hint="eastAsia" w:ascii="MS UI Gothic" w:eastAsia="MS UI Gothic"/>
          <w:w w:val="80"/>
        </w:rPr>
        <w:t xml:space="preserve">ꎬ </w:t>
      </w:r>
      <w:r>
        <w:t>向企业所在地省级安全生产许可证颁发管理机关或其委托的设区的市级安全生产监督管理</w:t>
      </w:r>
      <w:r>
        <w:rPr>
          <w:w w:val="105"/>
        </w:rPr>
        <w:t>部门提出申请</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第八条 非煤矿矿山企业申请领取安</w:t>
      </w:r>
      <w:r>
        <w:t>全生产许可证</w:t>
      </w:r>
      <w:r>
        <w:rPr>
          <w:rFonts w:hint="eastAsia" w:ascii="MS UI Gothic" w:eastAsia="MS UI Gothic"/>
          <w:w w:val="80"/>
        </w:rPr>
        <w:t xml:space="preserve">ꎬ </w:t>
      </w:r>
      <w:r>
        <w:t>应当提交下列文件</w:t>
      </w:r>
      <w:r>
        <w:rPr>
          <w:rFonts w:hint="eastAsia" w:ascii="MS UI Gothic" w:eastAsia="MS UI Gothic"/>
          <w:w w:val="80"/>
        </w:rPr>
        <w:t>、</w:t>
      </w:r>
      <w:r>
        <w:rPr>
          <w:w w:val="105"/>
        </w:rPr>
        <w:t>资料</w:t>
      </w:r>
      <w:r>
        <w:rPr>
          <w:rFonts w:hint="eastAsia" w:ascii="MS UI Gothic" w:eastAsia="MS UI Gothic"/>
          <w:w w:val="235"/>
        </w:rPr>
        <w:t>:</w:t>
      </w:r>
    </w:p>
    <w:p>
      <w:pPr>
        <w:pStyle w:val="6"/>
        <w:spacing w:line="295" w:lineRule="auto"/>
        <w:ind w:left="800" w:right="714" w:firstLine="0"/>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安全生产许可证申请书</w:t>
      </w:r>
      <w:r>
        <w:rPr>
          <w:rFonts w:hint="eastAsia" w:ascii="MS UI Gothic" w:eastAsia="MS UI Gothic"/>
          <w:w w:val="80"/>
        </w:rPr>
        <w:t>ꎻ</w:t>
      </w: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工商营业执照复印件</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采矿许可证复印件</w:t>
      </w:r>
      <w:r>
        <w:rPr>
          <w:rFonts w:hint="eastAsia" w:ascii="MS UI Gothic" w:eastAsia="MS UI Gothic"/>
          <w:w w:val="80"/>
        </w:rPr>
        <w:t>ꎻ</w:t>
      </w:r>
    </w:p>
    <w:p>
      <w:pPr>
        <w:pStyle w:val="6"/>
        <w:spacing w:before="44"/>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各种安全生产责任制复印件</w:t>
      </w:r>
      <w:r>
        <w:rPr>
          <w:rFonts w:hint="eastAsia" w:ascii="MS UI Gothic" w:eastAsia="MS UI Gothic"/>
          <w:w w:val="80"/>
        </w:rPr>
        <w:t>ꎻ</w:t>
      </w:r>
    </w:p>
    <w:p>
      <w:pPr>
        <w:pStyle w:val="6"/>
        <w:spacing w:before="58" w:line="295" w:lineRule="auto"/>
        <w:ind w:left="381" w:right="126"/>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安全生产规章制度和操作规程</w:t>
      </w:r>
      <w:r>
        <w:rPr>
          <w:w w:val="110"/>
        </w:rPr>
        <w:t>目录清单</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设置安全生产管理机构或者配</w:t>
      </w:r>
      <w:r>
        <w:t>备专职安全生产管理人员的文件复印件</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主要负责人和安全生产管理人</w:t>
      </w:r>
      <w:r>
        <w:rPr>
          <w:w w:val="110"/>
        </w:rPr>
        <w:t>员安全资格证书复印件</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21"/>
          <w:w w:val="105"/>
        </w:rPr>
        <w:t xml:space="preserve">( </w:t>
      </w:r>
      <w:r>
        <w:rPr>
          <w:spacing w:val="3"/>
          <w:w w:val="105"/>
        </w:rPr>
        <w:t>八</w:t>
      </w:r>
      <w:r>
        <w:rPr>
          <w:rFonts w:hint="eastAsia" w:ascii="MS UI Gothic" w:eastAsia="MS UI Gothic"/>
          <w:spacing w:val="5"/>
          <w:w w:val="105"/>
        </w:rPr>
        <w:t xml:space="preserve">) </w:t>
      </w:r>
      <w:r>
        <w:rPr>
          <w:spacing w:val="5"/>
          <w:w w:val="105"/>
        </w:rPr>
        <w:t>特种作业人员操作资格证书复</w:t>
      </w:r>
      <w:r>
        <w:rPr>
          <w:spacing w:val="3"/>
          <w:w w:val="110"/>
        </w:rPr>
        <w:t>印件</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21"/>
          <w:w w:val="105"/>
        </w:rPr>
        <w:t xml:space="preserve">( </w:t>
      </w:r>
      <w:r>
        <w:rPr>
          <w:spacing w:val="3"/>
          <w:w w:val="105"/>
        </w:rPr>
        <w:t>九</w:t>
      </w:r>
      <w:r>
        <w:rPr>
          <w:rFonts w:hint="eastAsia" w:ascii="MS UI Gothic" w:eastAsia="MS UI Gothic"/>
          <w:spacing w:val="5"/>
          <w:w w:val="105"/>
        </w:rPr>
        <w:t xml:space="preserve">) </w:t>
      </w:r>
      <w:r>
        <w:rPr>
          <w:spacing w:val="5"/>
          <w:w w:val="105"/>
        </w:rPr>
        <w:t>足额提取安全生产费用的证明</w:t>
      </w:r>
      <w:r>
        <w:rPr>
          <w:spacing w:val="3"/>
          <w:w w:val="110"/>
        </w:rPr>
        <w:t>材料</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为从业人员缴纳工伤保险费的</w:t>
      </w:r>
      <w:r>
        <w:t>证明材料</w:t>
      </w:r>
      <w:r>
        <w:rPr>
          <w:rFonts w:hint="eastAsia" w:ascii="MS UI Gothic" w:eastAsia="MS UI Gothic"/>
          <w:w w:val="80"/>
        </w:rPr>
        <w:t xml:space="preserve">ꎻ </w:t>
      </w:r>
      <w:r>
        <w:t>因特殊情况不能办理工伤保险的</w:t>
      </w:r>
      <w:r>
        <w:rPr>
          <w:rFonts w:hint="eastAsia" w:ascii="MS UI Gothic" w:eastAsia="MS UI Gothic"/>
          <w:w w:val="80"/>
        </w:rPr>
        <w:t xml:space="preserve">ꎬ </w:t>
      </w:r>
      <w:r>
        <w:t>可以出具办理安全生产责任保险的证</w:t>
      </w:r>
      <w:r>
        <w:rPr>
          <w:w w:val="105"/>
        </w:rPr>
        <w:t>明材料</w:t>
      </w:r>
      <w:r>
        <w:rPr>
          <w:rFonts w:hint="eastAsia" w:ascii="MS UI Gothic" w:eastAsia="MS UI Gothic"/>
          <w:w w:val="80"/>
        </w:rPr>
        <w:t>ꎻ</w:t>
      </w:r>
    </w:p>
    <w:p>
      <w:pPr>
        <w:pStyle w:val="6"/>
        <w:spacing w:line="295" w:lineRule="auto"/>
        <w:ind w:left="381" w:right="126"/>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涉及人身安全</w:t>
      </w:r>
      <w:r>
        <w:rPr>
          <w:rFonts w:hint="eastAsia" w:ascii="MS UI Gothic" w:eastAsia="MS UI Gothic"/>
        </w:rPr>
        <w:t xml:space="preserve">、 </w:t>
      </w:r>
      <w:r>
        <w:rPr>
          <w:w w:val="105"/>
        </w:rPr>
        <w:t>危险性较大</w:t>
      </w:r>
      <w:r>
        <w:t>的海洋石油开采特种设备和矿山井下特种设备由具备相应资质的检测检验机构出具</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４０４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12" o:spid="_x0000_s2212" o:spt="203" style="height:2.15pt;width:398.25pt;" coordsize="7965,43">
            <o:lock v:ext="edit"/>
            <v:line id="_x0000_s2213" o:spid="_x0000_s2213" o:spt="20" style="position:absolute;left:0;top:39;height:0;width:7965;" stroked="t" coordsize="21600,21600">
              <v:path arrowok="t"/>
              <v:fill focussize="0,0"/>
              <v:stroke weight="0.388031496062992pt" color="#231F20"/>
              <v:imagedata o:title=""/>
              <o:lock v:ext="edit"/>
            </v:line>
            <v:line id="_x0000_s2214" o:spid="_x0000_s221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合格的检测检验报告</w:t>
      </w:r>
      <w:r>
        <w:rPr>
          <w:rFonts w:hint="eastAsia" w:ascii="MS UI Gothic" w:eastAsia="MS UI Gothic"/>
          <w:w w:val="80"/>
        </w:rPr>
        <w:t xml:space="preserve">ꎬ </w:t>
      </w:r>
      <w:r>
        <w:t>并取得安全使用证或者安全标志</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十二</w:t>
      </w:r>
      <w:r>
        <w:rPr>
          <w:rFonts w:hint="eastAsia" w:ascii="MS UI Gothic" w:eastAsia="MS UI Gothic"/>
          <w:w w:val="150"/>
        </w:rPr>
        <w:t xml:space="preserve">) </w:t>
      </w:r>
      <w:r>
        <w:rPr>
          <w:w w:val="105"/>
        </w:rPr>
        <w:t>事故应急救援预案</w:t>
      </w:r>
      <w:r>
        <w:rPr>
          <w:rFonts w:hint="eastAsia" w:ascii="MS UI Gothic" w:eastAsia="MS UI Gothic"/>
          <w:w w:val="80"/>
        </w:rPr>
        <w:t xml:space="preserve">ꎬ </w:t>
      </w:r>
      <w:r>
        <w:rPr>
          <w:w w:val="105"/>
        </w:rPr>
        <w:t>设立事</w:t>
      </w:r>
      <w:r>
        <w:t>故应急救援组织的文件或者与矿山救护</w:t>
      </w:r>
      <w:r>
        <w:rPr>
          <w:w w:val="105"/>
        </w:rPr>
        <w:t>队</w:t>
      </w:r>
      <w:r>
        <w:rPr>
          <w:rFonts w:hint="eastAsia" w:ascii="MS UI Gothic" w:eastAsia="MS UI Gothic"/>
          <w:w w:val="80"/>
        </w:rPr>
        <w:t xml:space="preserve">、 </w:t>
      </w:r>
      <w:r>
        <w:rPr>
          <w:w w:val="105"/>
        </w:rPr>
        <w:t>其他应急救援组织签订的救护协议</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十三</w:t>
      </w:r>
      <w:r>
        <w:rPr>
          <w:rFonts w:hint="eastAsia" w:ascii="MS UI Gothic" w:eastAsia="MS UI Gothic"/>
          <w:w w:val="105"/>
        </w:rPr>
        <w:t xml:space="preserve">) </w:t>
      </w:r>
      <w:r>
        <w:rPr>
          <w:w w:val="105"/>
        </w:rPr>
        <w:t>矿山建设项目安全设施验收</w:t>
      </w:r>
      <w:r>
        <w:rPr>
          <w:w w:val="110"/>
        </w:rPr>
        <w:t>合格的书面报告</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第九条 非煤矿矿山企业总部申请领</w:t>
      </w:r>
      <w:r>
        <w:rPr>
          <w:spacing w:val="3"/>
        </w:rPr>
        <w:t>取安全生产许可证</w:t>
      </w:r>
      <w:r>
        <w:rPr>
          <w:rFonts w:hint="eastAsia" w:ascii="MS UI Gothic" w:eastAsia="MS UI Gothic"/>
          <w:spacing w:val="21"/>
          <w:w w:val="80"/>
        </w:rPr>
        <w:t xml:space="preserve">ꎬ </w:t>
      </w:r>
      <w:r>
        <w:rPr>
          <w:spacing w:val="2"/>
        </w:rPr>
        <w:t>不需要提交本实施办</w:t>
      </w:r>
      <w:r>
        <w:rPr>
          <w:spacing w:val="-1"/>
          <w:w w:val="110"/>
        </w:rPr>
        <w:t xml:space="preserve">法第八条第 </w:t>
      </w:r>
      <w:r>
        <w:rPr>
          <w:rFonts w:hint="eastAsia" w:ascii="MS UI Gothic" w:eastAsia="MS UI Gothic"/>
          <w:spacing w:val="-36"/>
          <w:w w:val="150"/>
        </w:rPr>
        <w:t xml:space="preserve">( </w:t>
      </w:r>
      <w:r>
        <w:rPr>
          <w:spacing w:val="3"/>
          <w:w w:val="110"/>
        </w:rPr>
        <w:t>三</w:t>
      </w:r>
      <w:r>
        <w:rPr>
          <w:rFonts w:hint="eastAsia" w:ascii="MS UI Gothic" w:eastAsia="MS UI Gothic"/>
          <w:spacing w:val="21"/>
          <w:w w:val="150"/>
        </w:rPr>
        <w:t>)</w:t>
      </w:r>
      <w:r>
        <w:rPr>
          <w:rFonts w:hint="eastAsia" w:ascii="MS UI Gothic" w:eastAsia="MS UI Gothic"/>
          <w:spacing w:val="23"/>
          <w:w w:val="80"/>
        </w:rPr>
        <w:t xml:space="preserve">、 </w:t>
      </w:r>
      <w:r>
        <w:rPr>
          <w:rFonts w:hint="eastAsia" w:ascii="MS UI Gothic" w:eastAsia="MS UI Gothic"/>
          <w:spacing w:val="-36"/>
          <w:w w:val="150"/>
        </w:rPr>
        <w:t xml:space="preserve">( </w:t>
      </w:r>
      <w:r>
        <w:rPr>
          <w:spacing w:val="7"/>
          <w:w w:val="110"/>
        </w:rPr>
        <w:t>八</w:t>
      </w:r>
      <w:r>
        <w:rPr>
          <w:rFonts w:hint="eastAsia" w:ascii="MS UI Gothic" w:eastAsia="MS UI Gothic"/>
          <w:spacing w:val="21"/>
          <w:w w:val="150"/>
        </w:rPr>
        <w:t>)</w:t>
      </w:r>
      <w:r>
        <w:rPr>
          <w:rFonts w:hint="eastAsia" w:ascii="MS UI Gothic" w:eastAsia="MS UI Gothic"/>
          <w:spacing w:val="7"/>
          <w:w w:val="80"/>
        </w:rPr>
        <w:t xml:space="preserve">、 </w:t>
      </w:r>
      <w:r>
        <w:rPr>
          <w:rFonts w:hint="eastAsia" w:ascii="MS UI Gothic" w:eastAsia="MS UI Gothic"/>
          <w:spacing w:val="-34"/>
          <w:w w:val="150"/>
        </w:rPr>
        <w:t xml:space="preserve">( </w:t>
      </w:r>
      <w:r>
        <w:rPr>
          <w:spacing w:val="7"/>
          <w:w w:val="110"/>
        </w:rPr>
        <w:t>九</w:t>
      </w:r>
      <w:r>
        <w:rPr>
          <w:rFonts w:hint="eastAsia" w:ascii="MS UI Gothic" w:eastAsia="MS UI Gothic"/>
          <w:spacing w:val="21"/>
          <w:w w:val="150"/>
        </w:rPr>
        <w:t>)</w:t>
      </w:r>
      <w:r>
        <w:rPr>
          <w:rFonts w:hint="eastAsia" w:ascii="MS UI Gothic" w:eastAsia="MS UI Gothic"/>
          <w:spacing w:val="7"/>
          <w:w w:val="80"/>
        </w:rPr>
        <w:t xml:space="preserve">、 </w:t>
      </w:r>
      <w:r>
        <w:rPr>
          <w:rFonts w:hint="eastAsia" w:ascii="MS UI Gothic" w:eastAsia="MS UI Gothic"/>
          <w:spacing w:val="-35"/>
          <w:w w:val="150"/>
        </w:rPr>
        <w:t xml:space="preserve">( </w:t>
      </w:r>
      <w:r>
        <w:rPr>
          <w:spacing w:val="7"/>
          <w:w w:val="110"/>
        </w:rPr>
        <w:t>十</w:t>
      </w:r>
      <w:r>
        <w:rPr>
          <w:rFonts w:hint="eastAsia" w:ascii="MS UI Gothic" w:eastAsia="MS UI Gothic"/>
          <w:spacing w:val="21"/>
          <w:w w:val="150"/>
        </w:rPr>
        <w:t>)</w:t>
      </w:r>
      <w:r>
        <w:rPr>
          <w:rFonts w:hint="eastAsia" w:ascii="MS UI Gothic" w:eastAsia="MS UI Gothic"/>
          <w:w w:val="80"/>
        </w:rPr>
        <w:t>、</w:t>
      </w:r>
    </w:p>
    <w:p>
      <w:pPr>
        <w:pStyle w:val="6"/>
        <w:spacing w:line="295" w:lineRule="auto"/>
        <w:ind w:right="39" w:firstLine="0"/>
        <w:rPr>
          <w:rFonts w:hint="eastAsia" w:ascii="MS UI Gothic" w:eastAsia="MS UI Gothic"/>
        </w:rPr>
      </w:pPr>
      <w:r>
        <w:rPr>
          <w:rFonts w:hint="eastAsia" w:ascii="MS UI Gothic" w:eastAsia="MS UI Gothic"/>
          <w:w w:val="150"/>
        </w:rPr>
        <w:t xml:space="preserve">( </w:t>
      </w:r>
      <w:r>
        <w:rPr>
          <w:w w:val="115"/>
        </w:rPr>
        <w:t>十一</w:t>
      </w:r>
      <w:r>
        <w:rPr>
          <w:rFonts w:hint="eastAsia" w:ascii="MS UI Gothic" w:eastAsia="MS UI Gothic"/>
          <w:w w:val="150"/>
        </w:rPr>
        <w:t>)</w:t>
      </w:r>
      <w:r>
        <w:rPr>
          <w:rFonts w:hint="eastAsia" w:ascii="MS UI Gothic" w:eastAsia="MS UI Gothic"/>
          <w:w w:val="80"/>
        </w:rPr>
        <w:t xml:space="preserve">、 </w:t>
      </w:r>
      <w:r>
        <w:rPr>
          <w:rFonts w:hint="eastAsia" w:ascii="MS UI Gothic" w:eastAsia="MS UI Gothic"/>
          <w:w w:val="150"/>
        </w:rPr>
        <w:t xml:space="preserve">( </w:t>
      </w:r>
      <w:r>
        <w:rPr>
          <w:w w:val="115"/>
        </w:rPr>
        <w:t>十二</w:t>
      </w:r>
      <w:r>
        <w:rPr>
          <w:rFonts w:hint="eastAsia" w:ascii="MS UI Gothic" w:eastAsia="MS UI Gothic"/>
          <w:w w:val="150"/>
        </w:rPr>
        <w:t>)</w:t>
      </w:r>
      <w:r>
        <w:rPr>
          <w:rFonts w:hint="eastAsia" w:ascii="MS UI Gothic" w:eastAsia="MS UI Gothic"/>
          <w:w w:val="80"/>
        </w:rPr>
        <w:t xml:space="preserve">、 </w:t>
      </w:r>
      <w:r>
        <w:rPr>
          <w:rFonts w:hint="eastAsia" w:ascii="MS UI Gothic" w:eastAsia="MS UI Gothic"/>
          <w:w w:val="150"/>
        </w:rPr>
        <w:t xml:space="preserve">( </w:t>
      </w:r>
      <w:r>
        <w:rPr>
          <w:w w:val="115"/>
        </w:rPr>
        <w:t>十三</w:t>
      </w:r>
      <w:r>
        <w:rPr>
          <w:rFonts w:hint="eastAsia" w:ascii="MS UI Gothic" w:eastAsia="MS UI Gothic"/>
          <w:w w:val="150"/>
        </w:rPr>
        <w:t xml:space="preserve">) </w:t>
      </w:r>
      <w:r>
        <w:rPr>
          <w:w w:val="115"/>
        </w:rPr>
        <w:t>项规定的文件</w:t>
      </w:r>
      <w:r>
        <w:rPr>
          <w:rFonts w:hint="eastAsia" w:ascii="MS UI Gothic" w:eastAsia="MS UI Gothic"/>
          <w:w w:val="80"/>
        </w:rPr>
        <w:t xml:space="preserve">、 </w:t>
      </w:r>
      <w:r>
        <w:rPr>
          <w:w w:val="115"/>
        </w:rPr>
        <w:t>资料</w:t>
      </w:r>
      <w:r>
        <w:rPr>
          <w:rFonts w:hint="eastAsia" w:ascii="MS UI Gothic" w:eastAsia="MS UI Gothic"/>
          <w:w w:val="80"/>
        </w:rPr>
        <w:t>ꎮ</w:t>
      </w:r>
    </w:p>
    <w:p>
      <w:pPr>
        <w:pStyle w:val="6"/>
        <w:spacing w:line="295" w:lineRule="auto"/>
        <w:ind w:right="39"/>
        <w:rPr>
          <w:rFonts w:hint="eastAsia" w:ascii="MS UI Gothic" w:hAnsi="MS UI Gothic" w:eastAsia="MS UI Gothic"/>
        </w:rPr>
      </w:pPr>
      <w:r>
        <w:rPr>
          <w:spacing w:val="4"/>
        </w:rPr>
        <w:t>第十条 金属非金属矿山企业从事爆</w:t>
      </w:r>
      <w:r>
        <w:rPr>
          <w:spacing w:val="3"/>
        </w:rPr>
        <w:t>破作业的</w:t>
      </w:r>
      <w:r>
        <w:rPr>
          <w:rFonts w:hint="eastAsia" w:ascii="MS UI Gothic" w:hAnsi="MS UI Gothic" w:eastAsia="MS UI Gothic"/>
          <w:spacing w:val="21"/>
          <w:w w:val="80"/>
        </w:rPr>
        <w:t xml:space="preserve">ꎬ </w:t>
      </w:r>
      <w:r>
        <w:rPr>
          <w:spacing w:val="2"/>
        </w:rPr>
        <w:t>除应当依照本实施办法第八条</w:t>
      </w:r>
      <w:r>
        <w:rPr>
          <w:spacing w:val="3"/>
        </w:rPr>
        <w:t>的规定提交相应文件</w:t>
      </w:r>
      <w:r>
        <w:rPr>
          <w:rFonts w:hint="eastAsia" w:ascii="MS UI Gothic" w:hAnsi="MS UI Gothic" w:eastAsia="MS UI Gothic"/>
          <w:spacing w:val="11"/>
          <w:w w:val="80"/>
        </w:rPr>
        <w:t xml:space="preserve">、 </w:t>
      </w:r>
      <w:r>
        <w:rPr>
          <w:spacing w:val="3"/>
        </w:rPr>
        <w:t>资料外</w:t>
      </w:r>
      <w:r>
        <w:rPr>
          <w:rFonts w:hint="eastAsia" w:ascii="MS UI Gothic" w:hAnsi="MS UI Gothic" w:eastAsia="MS UI Gothic"/>
          <w:spacing w:val="11"/>
          <w:w w:val="80"/>
        </w:rPr>
        <w:t xml:space="preserve">ꎬ </w:t>
      </w:r>
      <w:r>
        <w:rPr>
          <w:spacing w:val="2"/>
        </w:rPr>
        <w:t>还应当提</w:t>
      </w:r>
      <w:r>
        <w:rPr>
          <w:spacing w:val="4"/>
        </w:rPr>
        <w:t xml:space="preserve">交 </w:t>
      </w:r>
      <w:r>
        <w:rPr>
          <w:rFonts w:hint="eastAsia" w:ascii="MS UI Gothic" w:hAnsi="MS UI Gothic" w:eastAsia="MS UI Gothic"/>
          <w:spacing w:val="-14"/>
          <w:w w:val="80"/>
        </w:rPr>
        <w:t xml:space="preserve">« </w:t>
      </w:r>
      <w:r>
        <w:rPr>
          <w:spacing w:val="3"/>
        </w:rPr>
        <w:t>爆破作业单位许可证</w:t>
      </w:r>
      <w:r>
        <w:rPr>
          <w:rFonts w:hint="eastAsia" w:ascii="MS UI Gothic" w:hAnsi="MS UI Gothic" w:eastAsia="MS UI Gothic"/>
          <w:spacing w:val="-10"/>
          <w:w w:val="80"/>
        </w:rPr>
        <w:t>» ꎮ</w:t>
      </w:r>
    </w:p>
    <w:p>
      <w:pPr>
        <w:pStyle w:val="6"/>
        <w:spacing w:line="295" w:lineRule="auto"/>
        <w:ind w:right="39"/>
        <w:rPr>
          <w:rFonts w:hint="eastAsia" w:ascii="MS UI Gothic" w:eastAsia="MS UI Gothic"/>
        </w:rPr>
      </w:pPr>
      <w:r>
        <w:rPr>
          <w:spacing w:val="2"/>
          <w:w w:val="105"/>
        </w:rPr>
        <w:t>第十一条 尾矿库申请领取安全生产</w:t>
      </w:r>
      <w:r>
        <w:rPr>
          <w:spacing w:val="3"/>
        </w:rPr>
        <w:t>许可证</w:t>
      </w:r>
      <w:r>
        <w:rPr>
          <w:rFonts w:hint="eastAsia" w:ascii="MS UI Gothic" w:eastAsia="MS UI Gothic"/>
          <w:spacing w:val="21"/>
          <w:w w:val="80"/>
        </w:rPr>
        <w:t xml:space="preserve">ꎬ </w:t>
      </w:r>
      <w:r>
        <w:rPr>
          <w:spacing w:val="2"/>
        </w:rPr>
        <w:t>不需要提交本实施办法第八条第</w:t>
      </w:r>
      <w:r>
        <w:rPr>
          <w:rFonts w:hint="eastAsia" w:ascii="MS UI Gothic" w:eastAsia="MS UI Gothic"/>
          <w:spacing w:val="-35"/>
          <w:w w:val="150"/>
        </w:rPr>
        <w:t xml:space="preserve">( </w:t>
      </w:r>
      <w:r>
        <w:rPr>
          <w:spacing w:val="3"/>
          <w:w w:val="105"/>
        </w:rPr>
        <w:t>三</w:t>
      </w:r>
      <w:r>
        <w:rPr>
          <w:rFonts w:hint="eastAsia" w:ascii="MS UI Gothic" w:eastAsia="MS UI Gothic"/>
          <w:spacing w:val="14"/>
          <w:w w:val="150"/>
        </w:rPr>
        <w:t xml:space="preserve">) </w:t>
      </w:r>
      <w:r>
        <w:rPr>
          <w:spacing w:val="3"/>
          <w:w w:val="105"/>
        </w:rPr>
        <w:t>项规定的文件</w:t>
      </w:r>
      <w:r>
        <w:rPr>
          <w:rFonts w:hint="eastAsia" w:ascii="MS UI Gothic" w:eastAsia="MS UI Gothic"/>
          <w:spacing w:val="1"/>
          <w:w w:val="80"/>
        </w:rPr>
        <w:t xml:space="preserve">、 </w:t>
      </w:r>
      <w:r>
        <w:rPr>
          <w:spacing w:val="3"/>
          <w:w w:val="105"/>
        </w:rPr>
        <w:t>资料</w:t>
      </w:r>
      <w:r>
        <w:rPr>
          <w:rFonts w:hint="eastAsia" w:ascii="MS UI Gothic" w:eastAsia="MS UI Gothic"/>
          <w:w w:val="80"/>
        </w:rPr>
        <w:t>ꎮ</w:t>
      </w:r>
    </w:p>
    <w:p>
      <w:pPr>
        <w:pStyle w:val="6"/>
        <w:spacing w:line="295" w:lineRule="auto"/>
        <w:ind w:right="39"/>
      </w:pPr>
      <w:r>
        <w:rPr>
          <w:spacing w:val="2"/>
          <w:w w:val="105"/>
        </w:rPr>
        <w:t>第十二条 地质勘探单位申请领取安</w:t>
      </w:r>
      <w:r>
        <w:rPr>
          <w:spacing w:val="3"/>
        </w:rPr>
        <w:t>全生产许可证</w:t>
      </w:r>
      <w:r>
        <w:rPr>
          <w:rFonts w:hint="eastAsia" w:ascii="MS UI Gothic" w:eastAsia="MS UI Gothic"/>
          <w:spacing w:val="21"/>
          <w:w w:val="80"/>
        </w:rPr>
        <w:t xml:space="preserve">ꎬ </w:t>
      </w:r>
      <w:r>
        <w:rPr>
          <w:spacing w:val="2"/>
        </w:rPr>
        <w:t>不需要提交本实施办法第</w:t>
      </w:r>
      <w:r>
        <w:rPr>
          <w:spacing w:val="2"/>
          <w:w w:val="105"/>
        </w:rPr>
        <w:t xml:space="preserve">八条第 </w:t>
      </w:r>
      <w:r>
        <w:rPr>
          <w:rFonts w:hint="eastAsia" w:ascii="MS UI Gothic" w:eastAsia="MS UI Gothic"/>
          <w:spacing w:val="-34"/>
          <w:w w:val="150"/>
        </w:rPr>
        <w:t xml:space="preserve">( </w:t>
      </w:r>
      <w:r>
        <w:rPr>
          <w:spacing w:val="5"/>
          <w:w w:val="105"/>
        </w:rPr>
        <w:t>三</w:t>
      </w:r>
      <w:r>
        <w:rPr>
          <w:rFonts w:hint="eastAsia" w:ascii="MS UI Gothic" w:eastAsia="MS UI Gothic"/>
          <w:spacing w:val="21"/>
          <w:w w:val="150"/>
        </w:rPr>
        <w:t>)</w:t>
      </w:r>
      <w:r>
        <w:rPr>
          <w:rFonts w:hint="eastAsia" w:ascii="MS UI Gothic" w:eastAsia="MS UI Gothic"/>
          <w:spacing w:val="21"/>
          <w:w w:val="80"/>
        </w:rPr>
        <w:t xml:space="preserve">、 </w:t>
      </w:r>
      <w:r>
        <w:rPr>
          <w:rFonts w:hint="eastAsia" w:ascii="MS UI Gothic" w:eastAsia="MS UI Gothic"/>
          <w:spacing w:val="-34"/>
          <w:w w:val="150"/>
        </w:rPr>
        <w:t xml:space="preserve">( </w:t>
      </w:r>
      <w:r>
        <w:rPr>
          <w:spacing w:val="5"/>
          <w:w w:val="105"/>
        </w:rPr>
        <w:t>九</w:t>
      </w:r>
      <w:r>
        <w:rPr>
          <w:rFonts w:hint="eastAsia" w:ascii="MS UI Gothic" w:eastAsia="MS UI Gothic"/>
          <w:spacing w:val="21"/>
          <w:w w:val="150"/>
        </w:rPr>
        <w:t>)</w:t>
      </w:r>
      <w:r>
        <w:rPr>
          <w:rFonts w:hint="eastAsia" w:ascii="MS UI Gothic" w:eastAsia="MS UI Gothic"/>
          <w:spacing w:val="21"/>
          <w:w w:val="80"/>
        </w:rPr>
        <w:t xml:space="preserve">、 </w:t>
      </w:r>
      <w:r>
        <w:rPr>
          <w:rFonts w:hint="eastAsia" w:ascii="MS UI Gothic" w:eastAsia="MS UI Gothic"/>
          <w:spacing w:val="-34"/>
          <w:w w:val="150"/>
        </w:rPr>
        <w:t xml:space="preserve">( </w:t>
      </w:r>
      <w:r>
        <w:rPr>
          <w:spacing w:val="6"/>
          <w:w w:val="105"/>
        </w:rPr>
        <w:t>十三</w:t>
      </w:r>
      <w:r>
        <w:rPr>
          <w:rFonts w:hint="eastAsia" w:ascii="MS UI Gothic" w:eastAsia="MS UI Gothic"/>
          <w:spacing w:val="20"/>
          <w:w w:val="150"/>
        </w:rPr>
        <w:t xml:space="preserve">) </w:t>
      </w:r>
      <w:r>
        <w:rPr>
          <w:spacing w:val="5"/>
          <w:w w:val="105"/>
        </w:rPr>
        <w:t>项规定的</w:t>
      </w:r>
      <w:r>
        <w:rPr>
          <w:spacing w:val="3"/>
          <w:w w:val="105"/>
        </w:rPr>
        <w:t>文件</w:t>
      </w:r>
      <w:r>
        <w:rPr>
          <w:rFonts w:hint="eastAsia" w:ascii="MS UI Gothic" w:eastAsia="MS UI Gothic"/>
          <w:spacing w:val="-2"/>
          <w:w w:val="80"/>
        </w:rPr>
        <w:t xml:space="preserve">、 </w:t>
      </w:r>
      <w:r>
        <w:rPr>
          <w:spacing w:val="3"/>
          <w:w w:val="105"/>
        </w:rPr>
        <w:t>资料</w:t>
      </w:r>
      <w:r>
        <w:rPr>
          <w:rFonts w:hint="eastAsia" w:ascii="MS UI Gothic" w:eastAsia="MS UI Gothic"/>
          <w:spacing w:val="-1"/>
          <w:w w:val="80"/>
        </w:rPr>
        <w:t xml:space="preserve">ꎬ </w:t>
      </w:r>
      <w:r>
        <w:rPr>
          <w:spacing w:val="2"/>
          <w:w w:val="105"/>
        </w:rPr>
        <w:t>但应当提交地质勘查资质证</w:t>
      </w:r>
      <w:r>
        <w:rPr>
          <w:spacing w:val="3"/>
        </w:rPr>
        <w:t>书复印件</w:t>
      </w:r>
      <w:r>
        <w:rPr>
          <w:rFonts w:hint="eastAsia" w:ascii="MS UI Gothic" w:eastAsia="MS UI Gothic"/>
          <w:spacing w:val="23"/>
          <w:w w:val="80"/>
        </w:rPr>
        <w:t xml:space="preserve">ꎻ </w:t>
      </w:r>
      <w:r>
        <w:rPr>
          <w:spacing w:val="3"/>
        </w:rPr>
        <w:t>从事爆破作业的</w:t>
      </w:r>
      <w:r>
        <w:rPr>
          <w:rFonts w:hint="eastAsia" w:ascii="MS UI Gothic" w:eastAsia="MS UI Gothic"/>
          <w:spacing w:val="23"/>
          <w:w w:val="80"/>
        </w:rPr>
        <w:t xml:space="preserve">ꎬ </w:t>
      </w:r>
      <w:r>
        <w:rPr>
          <w:spacing w:val="2"/>
        </w:rPr>
        <w:t>还应当提交</w:t>
      </w:r>
    </w:p>
    <w:p>
      <w:pPr>
        <w:pStyle w:val="6"/>
        <w:spacing w:line="252" w:lineRule="exact"/>
        <w:ind w:firstLine="0"/>
        <w:jc w:val="left"/>
        <w:rPr>
          <w:rFonts w:hint="eastAsia" w:ascii="MS UI Gothic" w:hAnsi="MS UI Gothic" w:eastAsia="MS UI Gothic"/>
        </w:rPr>
      </w:pPr>
      <w:r>
        <w:rPr>
          <w:rFonts w:hint="eastAsia" w:ascii="MS UI Gothic" w:hAnsi="MS UI Gothic" w:eastAsia="MS UI Gothic"/>
        </w:rPr>
        <w:t xml:space="preserve">« </w:t>
      </w:r>
      <w:r>
        <w:t>爆破作业单位许可证</w:t>
      </w:r>
      <w:r>
        <w:rPr>
          <w:rFonts w:hint="eastAsia" w:ascii="MS UI Gothic" w:hAnsi="MS UI Gothic" w:eastAsia="MS UI Gothic"/>
        </w:rPr>
        <w:t xml:space="preserve">» </w:t>
      </w:r>
      <w:r>
        <w:rPr>
          <w:rFonts w:hint="eastAsia" w:ascii="MS UI Gothic" w:hAnsi="MS UI Gothic" w:eastAsia="MS UI Gothic"/>
          <w:w w:val="80"/>
        </w:rPr>
        <w:t>ꎮ</w:t>
      </w:r>
    </w:p>
    <w:p>
      <w:pPr>
        <w:pStyle w:val="6"/>
        <w:spacing w:before="43" w:line="295" w:lineRule="auto"/>
        <w:ind w:right="39"/>
        <w:rPr>
          <w:rFonts w:hint="eastAsia" w:ascii="MS UI Gothic" w:hAnsi="MS UI Gothic" w:eastAsia="MS UI Gothic"/>
        </w:rPr>
      </w:pPr>
      <w:r>
        <w:rPr>
          <w:spacing w:val="2"/>
          <w:w w:val="105"/>
        </w:rPr>
        <w:t>第十三条 采掘施工企业申请领取安</w:t>
      </w:r>
      <w:r>
        <w:rPr>
          <w:spacing w:val="3"/>
        </w:rPr>
        <w:t>全生产许可证</w:t>
      </w:r>
      <w:r>
        <w:rPr>
          <w:rFonts w:hint="eastAsia" w:ascii="MS UI Gothic" w:hAnsi="MS UI Gothic" w:eastAsia="MS UI Gothic"/>
          <w:spacing w:val="21"/>
          <w:w w:val="80"/>
        </w:rPr>
        <w:t xml:space="preserve">ꎬ </w:t>
      </w:r>
      <w:r>
        <w:rPr>
          <w:spacing w:val="2"/>
        </w:rPr>
        <w:t>不需要提交本实施办法第</w:t>
      </w:r>
      <w:r>
        <w:rPr>
          <w:spacing w:val="2"/>
          <w:w w:val="105"/>
        </w:rPr>
        <w:t xml:space="preserve">八条第 </w:t>
      </w:r>
      <w:r>
        <w:rPr>
          <w:rFonts w:hint="eastAsia" w:ascii="MS UI Gothic" w:hAnsi="MS UI Gothic" w:eastAsia="MS UI Gothic"/>
          <w:spacing w:val="-34"/>
          <w:w w:val="150"/>
        </w:rPr>
        <w:t xml:space="preserve">( </w:t>
      </w:r>
      <w:r>
        <w:rPr>
          <w:spacing w:val="5"/>
          <w:w w:val="105"/>
        </w:rPr>
        <w:t>三</w:t>
      </w:r>
      <w:r>
        <w:rPr>
          <w:rFonts w:hint="eastAsia" w:ascii="MS UI Gothic" w:hAnsi="MS UI Gothic" w:eastAsia="MS UI Gothic"/>
          <w:spacing w:val="21"/>
          <w:w w:val="150"/>
        </w:rPr>
        <w:t>)</w:t>
      </w:r>
      <w:r>
        <w:rPr>
          <w:rFonts w:hint="eastAsia" w:ascii="MS UI Gothic" w:hAnsi="MS UI Gothic" w:eastAsia="MS UI Gothic"/>
          <w:spacing w:val="21"/>
          <w:w w:val="80"/>
        </w:rPr>
        <w:t xml:space="preserve">、 </w:t>
      </w:r>
      <w:r>
        <w:rPr>
          <w:rFonts w:hint="eastAsia" w:ascii="MS UI Gothic" w:hAnsi="MS UI Gothic" w:eastAsia="MS UI Gothic"/>
          <w:spacing w:val="-34"/>
          <w:w w:val="150"/>
        </w:rPr>
        <w:t xml:space="preserve">( </w:t>
      </w:r>
      <w:r>
        <w:rPr>
          <w:spacing w:val="5"/>
          <w:w w:val="105"/>
        </w:rPr>
        <w:t>九</w:t>
      </w:r>
      <w:r>
        <w:rPr>
          <w:rFonts w:hint="eastAsia" w:ascii="MS UI Gothic" w:hAnsi="MS UI Gothic" w:eastAsia="MS UI Gothic"/>
          <w:spacing w:val="21"/>
          <w:w w:val="150"/>
        </w:rPr>
        <w:t>)</w:t>
      </w:r>
      <w:r>
        <w:rPr>
          <w:rFonts w:hint="eastAsia" w:ascii="MS UI Gothic" w:hAnsi="MS UI Gothic" w:eastAsia="MS UI Gothic"/>
          <w:spacing w:val="21"/>
          <w:w w:val="80"/>
        </w:rPr>
        <w:t xml:space="preserve">、 </w:t>
      </w:r>
      <w:r>
        <w:rPr>
          <w:rFonts w:hint="eastAsia" w:ascii="MS UI Gothic" w:hAnsi="MS UI Gothic" w:eastAsia="MS UI Gothic"/>
          <w:spacing w:val="-34"/>
          <w:w w:val="150"/>
        </w:rPr>
        <w:t xml:space="preserve">( </w:t>
      </w:r>
      <w:r>
        <w:rPr>
          <w:spacing w:val="6"/>
          <w:w w:val="105"/>
        </w:rPr>
        <w:t>十三</w:t>
      </w:r>
      <w:r>
        <w:rPr>
          <w:rFonts w:hint="eastAsia" w:ascii="MS UI Gothic" w:hAnsi="MS UI Gothic" w:eastAsia="MS UI Gothic"/>
          <w:spacing w:val="20"/>
          <w:w w:val="150"/>
        </w:rPr>
        <w:t xml:space="preserve">) </w:t>
      </w:r>
      <w:r>
        <w:rPr>
          <w:spacing w:val="5"/>
          <w:w w:val="105"/>
        </w:rPr>
        <w:t>项规定的</w:t>
      </w:r>
      <w:r>
        <w:rPr>
          <w:spacing w:val="3"/>
          <w:w w:val="105"/>
        </w:rPr>
        <w:t>文件</w:t>
      </w:r>
      <w:r>
        <w:rPr>
          <w:rFonts w:hint="eastAsia" w:ascii="MS UI Gothic" w:hAnsi="MS UI Gothic" w:eastAsia="MS UI Gothic"/>
          <w:spacing w:val="-2"/>
          <w:w w:val="80"/>
        </w:rPr>
        <w:t xml:space="preserve">、 </w:t>
      </w:r>
      <w:r>
        <w:rPr>
          <w:spacing w:val="3"/>
          <w:w w:val="105"/>
        </w:rPr>
        <w:t>资料</w:t>
      </w:r>
      <w:r>
        <w:rPr>
          <w:rFonts w:hint="eastAsia" w:ascii="MS UI Gothic" w:hAnsi="MS UI Gothic" w:eastAsia="MS UI Gothic"/>
          <w:spacing w:val="-1"/>
          <w:w w:val="80"/>
        </w:rPr>
        <w:t xml:space="preserve">ꎬ </w:t>
      </w:r>
      <w:r>
        <w:rPr>
          <w:spacing w:val="2"/>
          <w:w w:val="105"/>
        </w:rPr>
        <w:t>但应当提交矿山工程施工相</w:t>
      </w:r>
      <w:r>
        <w:rPr>
          <w:spacing w:val="3"/>
        </w:rPr>
        <w:t>关资质证书复印件</w:t>
      </w:r>
      <w:r>
        <w:rPr>
          <w:rFonts w:hint="eastAsia" w:ascii="MS UI Gothic" w:hAnsi="MS UI Gothic" w:eastAsia="MS UI Gothic"/>
          <w:spacing w:val="23"/>
          <w:w w:val="80"/>
        </w:rPr>
        <w:t xml:space="preserve">ꎻ </w:t>
      </w:r>
      <w:r>
        <w:rPr>
          <w:spacing w:val="3"/>
        </w:rPr>
        <w:t>从事爆破作业的</w:t>
      </w:r>
      <w:r>
        <w:rPr>
          <w:rFonts w:hint="eastAsia" w:ascii="MS UI Gothic" w:hAnsi="MS UI Gothic" w:eastAsia="MS UI Gothic"/>
          <w:spacing w:val="23"/>
          <w:w w:val="80"/>
        </w:rPr>
        <w:t xml:space="preserve">ꎬ </w:t>
      </w:r>
      <w:r>
        <w:t>还</w:t>
      </w:r>
      <w:r>
        <w:rPr>
          <w:spacing w:val="-2"/>
          <w:w w:val="105"/>
        </w:rPr>
        <w:t xml:space="preserve">应当提交 </w:t>
      </w:r>
      <w:r>
        <w:rPr>
          <w:rFonts w:hint="eastAsia" w:ascii="MS UI Gothic" w:hAnsi="MS UI Gothic" w:eastAsia="MS UI Gothic"/>
          <w:spacing w:val="-16"/>
          <w:w w:val="80"/>
        </w:rPr>
        <w:t xml:space="preserve">« </w:t>
      </w:r>
      <w:r>
        <w:rPr>
          <w:spacing w:val="3"/>
          <w:w w:val="105"/>
        </w:rPr>
        <w:t>爆破作业单位许可证</w:t>
      </w:r>
      <w:r>
        <w:rPr>
          <w:rFonts w:hint="eastAsia" w:ascii="MS UI Gothic" w:hAnsi="MS UI Gothic" w:eastAsia="MS UI Gothic"/>
          <w:spacing w:val="-11"/>
          <w:w w:val="80"/>
        </w:rPr>
        <w:t>» ꎮ</w:t>
      </w:r>
    </w:p>
    <w:p>
      <w:pPr>
        <w:pStyle w:val="6"/>
        <w:spacing w:line="295" w:lineRule="auto"/>
        <w:ind w:right="38"/>
        <w:rPr>
          <w:rFonts w:hint="eastAsia" w:ascii="MS UI Gothic" w:eastAsia="MS UI Gothic"/>
        </w:rPr>
      </w:pPr>
      <w:r>
        <w:rPr>
          <w:spacing w:val="2"/>
          <w:w w:val="105"/>
        </w:rPr>
        <w:t>第十四条 石油天然气勘探单位申请</w:t>
      </w:r>
      <w:r>
        <w:rPr>
          <w:spacing w:val="3"/>
        </w:rPr>
        <w:t>领取安全生产许可证</w:t>
      </w:r>
      <w:r>
        <w:rPr>
          <w:rFonts w:hint="eastAsia" w:ascii="MS UI Gothic" w:eastAsia="MS UI Gothic"/>
          <w:spacing w:val="21"/>
          <w:w w:val="80"/>
        </w:rPr>
        <w:t xml:space="preserve">ꎬ </w:t>
      </w:r>
      <w:r>
        <w:rPr>
          <w:spacing w:val="2"/>
        </w:rPr>
        <w:t>不需要提交本实施</w:t>
      </w:r>
      <w:r>
        <w:rPr>
          <w:spacing w:val="3"/>
          <w:w w:val="105"/>
        </w:rPr>
        <w:t xml:space="preserve">办法第八条第 </w:t>
      </w:r>
      <w:r>
        <w:rPr>
          <w:rFonts w:hint="eastAsia" w:ascii="MS UI Gothic" w:eastAsia="MS UI Gothic"/>
          <w:spacing w:val="-34"/>
          <w:w w:val="150"/>
        </w:rPr>
        <w:t xml:space="preserve">( </w:t>
      </w:r>
      <w:r>
        <w:rPr>
          <w:spacing w:val="7"/>
          <w:w w:val="105"/>
        </w:rPr>
        <w:t>三</w:t>
      </w:r>
      <w:r>
        <w:rPr>
          <w:rFonts w:hint="eastAsia" w:ascii="MS UI Gothic" w:eastAsia="MS UI Gothic"/>
          <w:spacing w:val="21"/>
          <w:w w:val="150"/>
        </w:rPr>
        <w:t>)</w:t>
      </w:r>
      <w:r>
        <w:rPr>
          <w:rFonts w:hint="eastAsia" w:ascii="MS UI Gothic" w:eastAsia="MS UI Gothic"/>
          <w:spacing w:val="9"/>
          <w:w w:val="80"/>
        </w:rPr>
        <w:t xml:space="preserve">、 </w:t>
      </w:r>
      <w:r>
        <w:rPr>
          <w:rFonts w:hint="eastAsia" w:ascii="MS UI Gothic" w:eastAsia="MS UI Gothic"/>
          <w:spacing w:val="-34"/>
          <w:w w:val="150"/>
        </w:rPr>
        <w:t xml:space="preserve">( </w:t>
      </w:r>
      <w:r>
        <w:rPr>
          <w:spacing w:val="8"/>
          <w:w w:val="105"/>
        </w:rPr>
        <w:t>十三</w:t>
      </w:r>
      <w:r>
        <w:rPr>
          <w:rFonts w:hint="eastAsia" w:ascii="MS UI Gothic" w:eastAsia="MS UI Gothic"/>
          <w:spacing w:val="18"/>
          <w:w w:val="150"/>
        </w:rPr>
        <w:t xml:space="preserve">) </w:t>
      </w:r>
      <w:r>
        <w:rPr>
          <w:spacing w:val="8"/>
          <w:w w:val="105"/>
        </w:rPr>
        <w:t>项规定的</w:t>
      </w:r>
      <w:r>
        <w:rPr>
          <w:spacing w:val="3"/>
          <w:w w:val="105"/>
        </w:rPr>
        <w:t>文件</w:t>
      </w:r>
      <w:r>
        <w:rPr>
          <w:rFonts w:hint="eastAsia" w:ascii="MS UI Gothic" w:eastAsia="MS UI Gothic"/>
          <w:spacing w:val="-1"/>
          <w:w w:val="80"/>
        </w:rPr>
        <w:t xml:space="preserve">、 </w:t>
      </w:r>
      <w:r>
        <w:rPr>
          <w:spacing w:val="3"/>
          <w:w w:val="105"/>
        </w:rPr>
        <w:t>资料</w:t>
      </w:r>
      <w:r>
        <w:rPr>
          <w:rFonts w:hint="eastAsia" w:ascii="MS UI Gothic" w:eastAsia="MS UI Gothic"/>
          <w:spacing w:val="-1"/>
          <w:w w:val="80"/>
        </w:rPr>
        <w:t xml:space="preserve">ꎻ </w:t>
      </w:r>
      <w:r>
        <w:rPr>
          <w:spacing w:val="2"/>
          <w:w w:val="105"/>
        </w:rPr>
        <w:t>石油天然气管道储运单位申</w:t>
      </w:r>
      <w:r>
        <w:rPr>
          <w:spacing w:val="2"/>
        </w:rPr>
        <w:t>请领取安全生产许可证不需要提交本实施</w:t>
      </w:r>
      <w:r>
        <w:rPr>
          <w:spacing w:val="26"/>
          <w:w w:val="105"/>
        </w:rPr>
        <w:t xml:space="preserve">办法第八条第 </w:t>
      </w:r>
      <w:r>
        <w:rPr>
          <w:rFonts w:hint="eastAsia" w:ascii="MS UI Gothic" w:eastAsia="MS UI Gothic"/>
          <w:spacing w:val="-24"/>
          <w:w w:val="150"/>
        </w:rPr>
        <w:t xml:space="preserve">( </w:t>
      </w:r>
      <w:r>
        <w:rPr>
          <w:spacing w:val="31"/>
          <w:w w:val="105"/>
        </w:rPr>
        <w:t>三</w:t>
      </w:r>
      <w:r>
        <w:rPr>
          <w:rFonts w:hint="eastAsia" w:ascii="MS UI Gothic" w:eastAsia="MS UI Gothic"/>
          <w:spacing w:val="23"/>
          <w:w w:val="150"/>
        </w:rPr>
        <w:t xml:space="preserve">) </w:t>
      </w:r>
      <w:r>
        <w:rPr>
          <w:spacing w:val="38"/>
          <w:w w:val="105"/>
        </w:rPr>
        <w:t>项规定的文件</w:t>
      </w:r>
      <w:r>
        <w:rPr>
          <w:rFonts w:hint="eastAsia" w:ascii="MS UI Gothic" w:eastAsia="MS UI Gothic"/>
          <w:w w:val="80"/>
        </w:rPr>
        <w:t>、</w:t>
      </w:r>
      <w:r>
        <w:rPr>
          <w:spacing w:val="3"/>
          <w:w w:val="105"/>
        </w:rPr>
        <w:t>资料</w:t>
      </w:r>
      <w:r>
        <w:rPr>
          <w:rFonts w:hint="eastAsia" w:ascii="MS UI Gothic" w:eastAsia="MS UI Gothic"/>
          <w:w w:val="80"/>
        </w:rPr>
        <w:t>ꎮ</w:t>
      </w:r>
    </w:p>
    <w:p>
      <w:pPr>
        <w:pStyle w:val="6"/>
        <w:tabs>
          <w:tab w:val="left" w:pos="1591"/>
        </w:tabs>
        <w:spacing w:line="251" w:lineRule="exact"/>
        <w:ind w:left="543" w:firstLine="0"/>
        <w:jc w:val="left"/>
      </w:pPr>
      <w:r>
        <w:rPr>
          <w:spacing w:val="3"/>
          <w:w w:val="105"/>
        </w:rPr>
        <w:t>第十五</w:t>
      </w:r>
      <w:r>
        <w:rPr>
          <w:w w:val="105"/>
        </w:rPr>
        <w:t>条</w:t>
      </w:r>
      <w:r>
        <w:rPr>
          <w:w w:val="105"/>
        </w:rPr>
        <w:tab/>
      </w:r>
      <w:r>
        <w:rPr>
          <w:spacing w:val="3"/>
        </w:rPr>
        <w:t>非煤矿矿山企业应当对</w:t>
      </w:r>
      <w:r>
        <w:t>其</w:t>
      </w:r>
    </w:p>
    <w:p>
      <w:pPr>
        <w:pStyle w:val="6"/>
        <w:spacing w:before="123" w:line="295" w:lineRule="auto"/>
        <w:ind w:right="442" w:firstLine="0"/>
        <w:jc w:val="left"/>
        <w:rPr>
          <w:rFonts w:hint="eastAsia" w:ascii="MS UI Gothic" w:eastAsia="MS UI Gothic"/>
        </w:rPr>
      </w:pPr>
      <w:r>
        <w:br w:type="column"/>
      </w:r>
      <w:r>
        <w:t>向安全生产许可证颁发管理机关提交的文</w:t>
      </w:r>
      <w:r>
        <w:rPr>
          <w:w w:val="105"/>
        </w:rPr>
        <w:t>件</w:t>
      </w:r>
      <w:r>
        <w:rPr>
          <w:rFonts w:hint="eastAsia" w:ascii="MS UI Gothic" w:eastAsia="MS UI Gothic"/>
          <w:w w:val="80"/>
        </w:rPr>
        <w:t xml:space="preserve">、 </w:t>
      </w:r>
      <w:r>
        <w:rPr>
          <w:w w:val="105"/>
        </w:rPr>
        <w:t>资料实质内容的真实性负责</w:t>
      </w:r>
      <w:r>
        <w:rPr>
          <w:rFonts w:hint="eastAsia" w:ascii="MS UI Gothic" w:eastAsia="MS UI Gothic"/>
          <w:w w:val="80"/>
        </w:rPr>
        <w:t>ꎮ</w:t>
      </w:r>
    </w:p>
    <w:p>
      <w:pPr>
        <w:pStyle w:val="6"/>
        <w:spacing w:line="295" w:lineRule="auto"/>
        <w:ind w:right="442"/>
        <w:rPr>
          <w:rFonts w:hint="eastAsia" w:ascii="MS UI Gothic" w:eastAsia="MS UI Gothic"/>
        </w:rPr>
      </w:pPr>
      <w:r>
        <w:t>从事安全评价</w:t>
      </w:r>
      <w:r>
        <w:rPr>
          <w:rFonts w:hint="eastAsia" w:ascii="MS UI Gothic" w:eastAsia="MS UI Gothic"/>
          <w:w w:val="80"/>
        </w:rPr>
        <w:t xml:space="preserve">、 </w:t>
      </w:r>
      <w:r>
        <w:t>检测检验的中介机构应当对其出具的安全评价报告</w:t>
      </w:r>
      <w:r>
        <w:rPr>
          <w:rFonts w:hint="eastAsia" w:ascii="MS UI Gothic" w:eastAsia="MS UI Gothic"/>
          <w:w w:val="80"/>
        </w:rPr>
        <w:t xml:space="preserve">、 </w:t>
      </w:r>
      <w:r>
        <w:t>检测检验结果负责</w:t>
      </w:r>
      <w:r>
        <w:rPr>
          <w:rFonts w:hint="eastAsia" w:ascii="MS UI Gothic" w:eastAsia="MS UI Gothic"/>
          <w:w w:val="80"/>
        </w:rPr>
        <w:t>ꎮ</w:t>
      </w:r>
    </w:p>
    <w:p>
      <w:pPr>
        <w:pStyle w:val="6"/>
        <w:tabs>
          <w:tab w:val="left" w:pos="1591"/>
        </w:tabs>
        <w:spacing w:before="153"/>
        <w:ind w:left="753" w:firstLine="0"/>
        <w:jc w:val="left"/>
      </w:pPr>
      <w:r>
        <w:rPr>
          <w:spacing w:val="3"/>
        </w:rPr>
        <w:t>第三</w:t>
      </w:r>
      <w:r>
        <w:t>章</w:t>
      </w:r>
      <w:r>
        <w:tab/>
      </w:r>
      <w:r>
        <w:rPr>
          <w:spacing w:val="3"/>
        </w:rPr>
        <w:t>受理</w:t>
      </w:r>
      <w:r>
        <w:rPr>
          <w:rFonts w:hint="eastAsia" w:ascii="Microsoft Yi Baiti" w:eastAsia="Microsoft Yi Baiti"/>
        </w:rPr>
        <w:t>、</w:t>
      </w:r>
      <w:r>
        <w:rPr>
          <w:rFonts w:hint="eastAsia" w:ascii="Microsoft Yi Baiti" w:eastAsia="Microsoft Yi Baiti"/>
          <w:spacing w:val="18"/>
        </w:rPr>
        <w:t xml:space="preserve"> </w:t>
      </w:r>
      <w:r>
        <w:rPr>
          <w:spacing w:val="3"/>
        </w:rPr>
        <w:t>审核和颁</w:t>
      </w:r>
      <w:r>
        <w:t>发</w:t>
      </w:r>
    </w:p>
    <w:p>
      <w:pPr>
        <w:pStyle w:val="6"/>
        <w:spacing w:before="216" w:line="295" w:lineRule="auto"/>
        <w:ind w:right="442"/>
        <w:rPr>
          <w:rFonts w:hint="eastAsia" w:ascii="MS UI Gothic" w:eastAsia="MS UI Gothic"/>
        </w:rPr>
      </w:pPr>
      <w:r>
        <w:rPr>
          <w:w w:val="105"/>
        </w:rPr>
        <w:t>第十六条 安全生产许可证颁发管理</w:t>
      </w:r>
      <w:r>
        <w:t>机关对非煤矿矿山企业提交的申请书及文</w:t>
      </w:r>
      <w:r>
        <w:rPr>
          <w:w w:val="105"/>
        </w:rPr>
        <w:t>件</w:t>
      </w:r>
      <w:r>
        <w:rPr>
          <w:rFonts w:hint="eastAsia" w:ascii="MS UI Gothic" w:eastAsia="MS UI Gothic"/>
          <w:w w:val="80"/>
        </w:rPr>
        <w:t xml:space="preserve">、 </w:t>
      </w:r>
      <w:r>
        <w:rPr>
          <w:w w:val="105"/>
        </w:rPr>
        <w:t>资料</w:t>
      </w:r>
      <w:r>
        <w:rPr>
          <w:rFonts w:hint="eastAsia" w:ascii="MS UI Gothic" w:eastAsia="MS UI Gothic"/>
          <w:w w:val="80"/>
        </w:rPr>
        <w:t xml:space="preserve">ꎬ </w:t>
      </w:r>
      <w:r>
        <w:rPr>
          <w:w w:val="105"/>
        </w:rPr>
        <w:t>应当依照下列规定分别处理</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申请事项不属于本机关职权范</w:t>
      </w:r>
      <w:r>
        <w:t>围的</w:t>
      </w:r>
      <w:r>
        <w:rPr>
          <w:rFonts w:hint="eastAsia" w:ascii="MS UI Gothic" w:eastAsia="MS UI Gothic"/>
          <w:w w:val="80"/>
        </w:rPr>
        <w:t xml:space="preserve">ꎬ </w:t>
      </w:r>
      <w:r>
        <w:t>应当即时作出不予受理的决定</w:t>
      </w:r>
      <w:r>
        <w:rPr>
          <w:rFonts w:hint="eastAsia" w:ascii="MS UI Gothic" w:eastAsia="MS UI Gothic"/>
          <w:w w:val="80"/>
        </w:rPr>
        <w:t xml:space="preserve">ꎬ </w:t>
      </w:r>
      <w:r>
        <w:t>并</w:t>
      </w:r>
      <w:r>
        <w:rPr>
          <w:w w:val="105"/>
        </w:rPr>
        <w:t>告知申请人向有关机关申请</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申请材料存在可以当场更正的</w:t>
      </w:r>
      <w:r>
        <w:t>错误的</w:t>
      </w:r>
      <w:r>
        <w:rPr>
          <w:rFonts w:hint="eastAsia" w:ascii="MS UI Gothic" w:eastAsia="MS UI Gothic"/>
          <w:w w:val="80"/>
        </w:rPr>
        <w:t xml:space="preserve">ꎬ </w:t>
      </w:r>
      <w:r>
        <w:t>应当允许或者要求申请人当场更</w:t>
      </w:r>
      <w:r>
        <w:rPr>
          <w:w w:val="105"/>
        </w:rPr>
        <w:t>正</w:t>
      </w:r>
      <w:r>
        <w:rPr>
          <w:rFonts w:hint="eastAsia" w:ascii="MS UI Gothic" w:eastAsia="MS UI Gothic"/>
          <w:w w:val="80"/>
        </w:rPr>
        <w:t xml:space="preserve">ꎬ </w:t>
      </w:r>
      <w:r>
        <w:rPr>
          <w:w w:val="105"/>
        </w:rPr>
        <w:t>并即时出具受理的书面凭证</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3"/>
          <w:w w:val="150"/>
        </w:rPr>
        <w:t xml:space="preserve">) </w:t>
      </w:r>
      <w:r>
        <w:rPr>
          <w:spacing w:val="5"/>
          <w:w w:val="105"/>
        </w:rPr>
        <w:t>申请材料不齐全或者不符合要</w:t>
      </w:r>
      <w:r>
        <w:rPr>
          <w:spacing w:val="4"/>
          <w:w w:val="105"/>
        </w:rPr>
        <w:t>求的</w:t>
      </w:r>
      <w:r>
        <w:rPr>
          <w:rFonts w:hint="eastAsia" w:ascii="MS UI Gothic" w:eastAsia="MS UI Gothic"/>
          <w:spacing w:val="-1"/>
          <w:w w:val="80"/>
        </w:rPr>
        <w:t xml:space="preserve">ꎬ </w:t>
      </w:r>
      <w:r>
        <w:rPr>
          <w:spacing w:val="-9"/>
          <w:w w:val="105"/>
        </w:rPr>
        <w:t xml:space="preserve">应当当场或者在 </w:t>
      </w:r>
      <w:r>
        <w:rPr>
          <w:rFonts w:hint="eastAsia" w:ascii="MS UI Gothic" w:eastAsia="MS UI Gothic"/>
          <w:spacing w:val="-11"/>
          <w:w w:val="80"/>
        </w:rPr>
        <w:t xml:space="preserve">５ </w:t>
      </w:r>
      <w:r>
        <w:rPr>
          <w:spacing w:val="2"/>
          <w:w w:val="105"/>
        </w:rPr>
        <w:t>个工作日内一次</w:t>
      </w:r>
      <w:r>
        <w:rPr>
          <w:spacing w:val="4"/>
        </w:rPr>
        <w:t>性书面告知申请人需要补正的全部内容</w:t>
      </w:r>
      <w:r>
        <w:rPr>
          <w:rFonts w:hint="eastAsia" w:ascii="MS UI Gothic" w:eastAsia="MS UI Gothic"/>
          <w:w w:val="80"/>
        </w:rPr>
        <w:t>ꎬ</w:t>
      </w:r>
      <w:r>
        <w:rPr>
          <w:spacing w:val="3"/>
        </w:rPr>
        <w:t>逾期不告知的</w:t>
      </w:r>
      <w:r>
        <w:rPr>
          <w:rFonts w:hint="eastAsia" w:ascii="MS UI Gothic" w:eastAsia="MS UI Gothic"/>
          <w:spacing w:val="19"/>
          <w:w w:val="80"/>
        </w:rPr>
        <w:t xml:space="preserve">ꎬ </w:t>
      </w:r>
      <w:r>
        <w:rPr>
          <w:spacing w:val="2"/>
        </w:rPr>
        <w:t>自收到申请材料之日起即</w:t>
      </w:r>
      <w:r>
        <w:rPr>
          <w:spacing w:val="3"/>
          <w:w w:val="105"/>
        </w:rPr>
        <w:t>为受理</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申请材料齐全</w:t>
      </w:r>
      <w:r>
        <w:rPr>
          <w:rFonts w:hint="eastAsia" w:ascii="MS UI Gothic" w:eastAsia="MS UI Gothic"/>
          <w:w w:val="80"/>
        </w:rPr>
        <w:t xml:space="preserve">、 </w:t>
      </w:r>
      <w:r>
        <w:rPr>
          <w:w w:val="105"/>
        </w:rPr>
        <w:t>符合要求或者</w:t>
      </w:r>
      <w:r>
        <w:t>依照要求全部补正的</w:t>
      </w:r>
      <w:r>
        <w:rPr>
          <w:rFonts w:hint="eastAsia" w:ascii="MS UI Gothic" w:eastAsia="MS UI Gothic"/>
          <w:w w:val="80"/>
        </w:rPr>
        <w:t xml:space="preserve">ꎬ </w:t>
      </w:r>
      <w:r>
        <w:t>自收到申请材料或</w:t>
      </w:r>
      <w:r>
        <w:rPr>
          <w:w w:val="105"/>
        </w:rPr>
        <w:t>者全部补正材料之日起为受理</w:t>
      </w:r>
      <w:r>
        <w:rPr>
          <w:rFonts w:hint="eastAsia" w:ascii="MS UI Gothic" w:eastAsia="MS UI Gothic"/>
          <w:w w:val="80"/>
        </w:rPr>
        <w:t>ꎮ</w:t>
      </w:r>
    </w:p>
    <w:p>
      <w:pPr>
        <w:pStyle w:val="6"/>
        <w:spacing w:line="295" w:lineRule="auto"/>
        <w:ind w:right="442"/>
        <w:rPr>
          <w:rFonts w:hint="eastAsia" w:ascii="MS UI Gothic" w:eastAsia="MS UI Gothic"/>
        </w:rPr>
      </w:pPr>
      <w:r>
        <w:t>第十七条 安全生产许可证颁发管理机关应当依照本实施办法规定的法定条件组织</w:t>
      </w:r>
      <w:r>
        <w:rPr>
          <w:rFonts w:hint="eastAsia" w:ascii="MS UI Gothic" w:eastAsia="MS UI Gothic"/>
          <w:w w:val="85"/>
        </w:rPr>
        <w:t xml:space="preserve">ꎬ </w:t>
      </w:r>
      <w:r>
        <w:t>对非煤矿矿山企业提交的申请材料进行审查</w:t>
      </w:r>
      <w:r>
        <w:rPr>
          <w:rFonts w:hint="eastAsia" w:ascii="MS UI Gothic" w:eastAsia="MS UI Gothic"/>
          <w:w w:val="85"/>
        </w:rPr>
        <w:t xml:space="preserve">ꎬ </w:t>
      </w:r>
      <w:r>
        <w:t xml:space="preserve">并在受理申请之日起 </w:t>
      </w:r>
      <w:r>
        <w:rPr>
          <w:rFonts w:hint="eastAsia" w:ascii="MS UI Gothic" w:eastAsia="MS UI Gothic"/>
          <w:w w:val="85"/>
        </w:rPr>
        <w:t xml:space="preserve">４５ </w:t>
      </w:r>
      <w:r>
        <w:t>日内作出颁发或者不予颁发安全生产许可证的决定</w:t>
      </w:r>
      <w:r>
        <w:rPr>
          <w:rFonts w:hint="eastAsia" w:ascii="MS UI Gothic" w:eastAsia="MS UI Gothic"/>
          <w:w w:val="85"/>
        </w:rPr>
        <w:t xml:space="preserve">ꎮ </w:t>
      </w:r>
      <w:r>
        <w:t>安全生产许可证颁发管理机关认为有必要到现场对非煤矿矿山企业提交的申请材料进行复核的</w:t>
      </w:r>
      <w:r>
        <w:rPr>
          <w:rFonts w:hint="eastAsia" w:ascii="MS UI Gothic" w:eastAsia="MS UI Gothic"/>
          <w:w w:val="85"/>
        </w:rPr>
        <w:t xml:space="preserve">ꎬ </w:t>
      </w:r>
      <w:r>
        <w:t>应当到现场进行复核</w:t>
      </w:r>
      <w:r>
        <w:rPr>
          <w:rFonts w:hint="eastAsia" w:ascii="MS UI Gothic" w:eastAsia="MS UI Gothic"/>
          <w:w w:val="85"/>
        </w:rPr>
        <w:t xml:space="preserve">ꎮ </w:t>
      </w:r>
      <w:r>
        <w:t>复核时间不计算在本款规定的期限内</w:t>
      </w:r>
      <w:r>
        <w:rPr>
          <w:rFonts w:hint="eastAsia" w:ascii="MS UI Gothic" w:eastAsia="MS UI Gothic"/>
          <w:w w:val="85"/>
        </w:rPr>
        <w:t>ꎮ</w:t>
      </w:r>
    </w:p>
    <w:p>
      <w:pPr>
        <w:pStyle w:val="6"/>
        <w:spacing w:line="295" w:lineRule="auto"/>
        <w:ind w:right="442"/>
        <w:rPr>
          <w:rFonts w:hint="eastAsia" w:ascii="MS UI Gothic" w:eastAsia="MS UI Gothic"/>
        </w:rPr>
      </w:pPr>
      <w:r>
        <w:t>对决定颁发的</w:t>
      </w:r>
      <w:r>
        <w:rPr>
          <w:rFonts w:hint="eastAsia" w:ascii="MS UI Gothic" w:eastAsia="MS UI Gothic"/>
          <w:w w:val="85"/>
        </w:rPr>
        <w:t xml:space="preserve">ꎬ </w:t>
      </w:r>
      <w:r>
        <w:t xml:space="preserve">安全生产许可证颁发管理机关应当自决定之日起 </w:t>
      </w:r>
      <w:r>
        <w:rPr>
          <w:rFonts w:hint="eastAsia" w:ascii="MS UI Gothic" w:eastAsia="MS UI Gothic"/>
          <w:w w:val="85"/>
        </w:rPr>
        <w:t xml:space="preserve">１０ </w:t>
      </w:r>
      <w:r>
        <w:t>个工作日内送达或者通知申请人领取安全生产许可证</w:t>
      </w:r>
      <w:r>
        <w:rPr>
          <w:rFonts w:hint="eastAsia" w:ascii="MS UI Gothic" w:eastAsia="MS UI Gothic"/>
          <w:w w:val="85"/>
        </w:rPr>
        <w:t xml:space="preserve">ꎻ </w:t>
      </w:r>
      <w:r>
        <w:t>对决定不予颁发的</w:t>
      </w:r>
      <w:r>
        <w:rPr>
          <w:rFonts w:hint="eastAsia" w:ascii="MS UI Gothic" w:eastAsia="MS UI Gothic"/>
          <w:w w:val="85"/>
        </w:rPr>
        <w:t xml:space="preserve">ꎬ </w:t>
      </w:r>
      <w:r>
        <w:t xml:space="preserve">应当在 </w:t>
      </w:r>
      <w:r>
        <w:rPr>
          <w:rFonts w:hint="eastAsia" w:ascii="MS UI Gothic" w:eastAsia="MS UI Gothic"/>
          <w:w w:val="85"/>
        </w:rPr>
        <w:t xml:space="preserve">１０ </w:t>
      </w:r>
      <w:r>
        <w:t>个工作日内书面通知申请人并说明理由</w:t>
      </w:r>
      <w:r>
        <w:rPr>
          <w:rFonts w:hint="eastAsia" w:ascii="MS UI Gothic" w:eastAsia="MS UI Gothic"/>
          <w:w w:val="85"/>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４０５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15" o:spid="_x0000_s2215" o:spt="203" style="height:2.15pt;width:398.25pt;" coordsize="7965,43">
            <o:lock v:ext="edit"/>
            <v:line id="_x0000_s2216" o:spid="_x0000_s2216" o:spt="20" style="position:absolute;left:0;top:39;height:0;width:7965;" stroked="t" coordsize="21600,21600">
              <v:path arrowok="t"/>
              <v:fill focussize="0,0"/>
              <v:stroke weight="0.388031496062992pt" color="#231F20"/>
              <v:imagedata o:title=""/>
              <o:lock v:ext="edit"/>
            </v:line>
            <v:line id="_x0000_s2217" o:spid="_x0000_s221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w w:val="105"/>
        </w:rPr>
        <w:t>第十八条 安全生产许可证颁发管理</w:t>
      </w:r>
      <w:r>
        <w:t>机关应当依照下列规定颁发非煤矿矿山企</w:t>
      </w:r>
      <w:r>
        <w:rPr>
          <w:w w:val="110"/>
        </w:rPr>
        <w:t>业安全生产许可证</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对中央管理的金属非金属矿山</w:t>
      </w:r>
      <w:r>
        <w:t>企业总部</w:t>
      </w:r>
      <w:r>
        <w:rPr>
          <w:rFonts w:hint="eastAsia" w:ascii="MS UI Gothic" w:eastAsia="MS UI Gothic"/>
          <w:w w:val="80"/>
        </w:rPr>
        <w:t xml:space="preserve">ꎬ </w:t>
      </w:r>
      <w:r>
        <w:t>向企业总部颁发安全生产许</w:t>
      </w:r>
      <w:r>
        <w:rPr>
          <w:w w:val="105"/>
        </w:rPr>
        <w:t>可证</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对金属非金属矿山企业</w:t>
      </w:r>
      <w:r>
        <w:rPr>
          <w:rFonts w:hint="eastAsia" w:ascii="MS UI Gothic" w:eastAsia="MS UI Gothic"/>
          <w:w w:val="80"/>
        </w:rPr>
        <w:t xml:space="preserve">ꎬ </w:t>
      </w:r>
      <w:r>
        <w:rPr>
          <w:w w:val="105"/>
        </w:rPr>
        <w:t>向企</w:t>
      </w:r>
      <w:r>
        <w:t>业及其所属各独立生产系统分别颁发安全生产许可证</w:t>
      </w:r>
      <w:r>
        <w:rPr>
          <w:rFonts w:hint="eastAsia" w:ascii="MS UI Gothic" w:eastAsia="MS UI Gothic"/>
          <w:w w:val="80"/>
        </w:rPr>
        <w:t xml:space="preserve">ꎻ </w:t>
      </w:r>
      <w:r>
        <w:t>对于只有一个独立生产系统的企业</w:t>
      </w:r>
      <w:r>
        <w:rPr>
          <w:rFonts w:hint="eastAsia" w:ascii="MS UI Gothic" w:eastAsia="MS UI Gothic"/>
          <w:w w:val="80"/>
        </w:rPr>
        <w:t xml:space="preserve">ꎬ </w:t>
      </w:r>
      <w:r>
        <w:t>只向企业颁发安全生产许可证</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对中央管理的陆上石油天然气企业</w:t>
      </w:r>
      <w:r>
        <w:rPr>
          <w:rFonts w:hint="eastAsia" w:ascii="MS UI Gothic" w:eastAsia="MS UI Gothic"/>
          <w:w w:val="80"/>
        </w:rPr>
        <w:t xml:space="preserve">ꎬ </w:t>
      </w:r>
      <w:r>
        <w:rPr>
          <w:w w:val="105"/>
        </w:rPr>
        <w:t>向企业总部直接管理的分公司</w:t>
      </w:r>
      <w:r>
        <w:rPr>
          <w:rFonts w:hint="eastAsia" w:ascii="MS UI Gothic" w:eastAsia="MS UI Gothic"/>
          <w:w w:val="80"/>
        </w:rPr>
        <w:t xml:space="preserve">、 </w:t>
      </w:r>
      <w:r>
        <w:rPr>
          <w:w w:val="105"/>
        </w:rPr>
        <w:t>子公司以及下一级与油气勘探</w:t>
      </w:r>
      <w:r>
        <w:rPr>
          <w:rFonts w:hint="eastAsia" w:ascii="MS UI Gothic" w:eastAsia="MS UI Gothic"/>
          <w:w w:val="80"/>
        </w:rPr>
        <w:t xml:space="preserve">、 </w:t>
      </w:r>
      <w:r>
        <w:rPr>
          <w:w w:val="105"/>
        </w:rPr>
        <w:t>开发生产</w:t>
      </w:r>
      <w:r>
        <w:rPr>
          <w:rFonts w:hint="eastAsia" w:ascii="MS UI Gothic" w:eastAsia="MS UI Gothic"/>
          <w:w w:val="80"/>
        </w:rPr>
        <w:t>、</w:t>
      </w:r>
      <w:r>
        <w:t>储运直接相关的生产作业单位分别颁发安</w:t>
      </w:r>
      <w:r>
        <w:rPr>
          <w:w w:val="105"/>
        </w:rPr>
        <w:t>全生产许可证</w:t>
      </w:r>
      <w:r>
        <w:rPr>
          <w:rFonts w:hint="eastAsia" w:ascii="MS UI Gothic" w:eastAsia="MS UI Gothic"/>
          <w:w w:val="80"/>
        </w:rPr>
        <w:t xml:space="preserve">ꎻ </w:t>
      </w:r>
      <w:r>
        <w:rPr>
          <w:w w:val="105"/>
        </w:rPr>
        <w:t>对设有分公司</w:t>
      </w:r>
      <w:r>
        <w:rPr>
          <w:rFonts w:hint="eastAsia" w:ascii="MS UI Gothic" w:eastAsia="MS UI Gothic"/>
          <w:w w:val="80"/>
        </w:rPr>
        <w:t xml:space="preserve">、 </w:t>
      </w:r>
      <w:r>
        <w:rPr>
          <w:w w:val="105"/>
        </w:rPr>
        <w:t>子公司的</w:t>
      </w:r>
      <w:r>
        <w:t>地方石油天然气企业</w:t>
      </w:r>
      <w:r>
        <w:rPr>
          <w:rFonts w:hint="eastAsia" w:ascii="MS UI Gothic" w:eastAsia="MS UI Gothic"/>
          <w:w w:val="80"/>
        </w:rPr>
        <w:t xml:space="preserve">ꎬ </w:t>
      </w:r>
      <w:r>
        <w:t>向企业总部及其分</w:t>
      </w:r>
      <w:r>
        <w:rPr>
          <w:w w:val="105"/>
        </w:rPr>
        <w:t>公司</w:t>
      </w:r>
      <w:r>
        <w:rPr>
          <w:rFonts w:hint="eastAsia" w:ascii="MS UI Gothic" w:eastAsia="MS UI Gothic"/>
          <w:w w:val="80"/>
        </w:rPr>
        <w:t xml:space="preserve">、 </w:t>
      </w:r>
      <w:r>
        <w:rPr>
          <w:w w:val="105"/>
        </w:rPr>
        <w:t>子公司颁发安全生产许可证</w:t>
      </w:r>
      <w:r>
        <w:rPr>
          <w:rFonts w:hint="eastAsia" w:ascii="MS UI Gothic" w:eastAsia="MS UI Gothic"/>
          <w:w w:val="80"/>
        </w:rPr>
        <w:t xml:space="preserve">ꎻ </w:t>
      </w:r>
      <w:r>
        <w:rPr>
          <w:w w:val="105"/>
        </w:rPr>
        <w:t>对其</w:t>
      </w:r>
      <w:r>
        <w:t>他陆上石油天然气企业</w:t>
      </w:r>
      <w:r>
        <w:rPr>
          <w:rFonts w:hint="eastAsia" w:ascii="MS UI Gothic" w:eastAsia="MS UI Gothic"/>
          <w:w w:val="80"/>
        </w:rPr>
        <w:t xml:space="preserve">ꎬ </w:t>
      </w:r>
      <w:r>
        <w:t>向具有法人资格</w:t>
      </w:r>
      <w:r>
        <w:rPr>
          <w:w w:val="105"/>
        </w:rPr>
        <w:t>的企业颁发安全生产许可证</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对海洋石油天然气企业</w:t>
      </w:r>
      <w:r>
        <w:rPr>
          <w:rFonts w:hint="eastAsia" w:ascii="MS UI Gothic" w:eastAsia="MS UI Gothic"/>
          <w:w w:val="80"/>
        </w:rPr>
        <w:t xml:space="preserve">ꎬ </w:t>
      </w:r>
      <w:r>
        <w:rPr>
          <w:w w:val="105"/>
        </w:rPr>
        <w:t>向企业及其直接管理的分公司</w:t>
      </w:r>
      <w:r>
        <w:rPr>
          <w:rFonts w:hint="eastAsia" w:ascii="MS UI Gothic" w:eastAsia="MS UI Gothic"/>
          <w:w w:val="80"/>
        </w:rPr>
        <w:t xml:space="preserve">、 </w:t>
      </w:r>
      <w:r>
        <w:rPr>
          <w:w w:val="105"/>
        </w:rPr>
        <w:t>子公司以及下</w:t>
      </w:r>
      <w:r>
        <w:t>一级与油气开发生产直接相关的生产作业</w:t>
      </w:r>
      <w:r>
        <w:rPr>
          <w:w w:val="105"/>
        </w:rPr>
        <w:t>单位</w:t>
      </w:r>
      <w:r>
        <w:rPr>
          <w:rFonts w:hint="eastAsia" w:ascii="MS UI Gothic" w:eastAsia="MS UI Gothic"/>
          <w:w w:val="80"/>
        </w:rPr>
        <w:t xml:space="preserve">、 </w:t>
      </w:r>
      <w:r>
        <w:rPr>
          <w:w w:val="105"/>
        </w:rPr>
        <w:t>独立生产系统分别颁发安全生产许</w:t>
      </w:r>
      <w:r>
        <w:t>可证</w:t>
      </w:r>
      <w:r>
        <w:rPr>
          <w:rFonts w:hint="eastAsia" w:ascii="MS UI Gothic" w:eastAsia="MS UI Gothic"/>
          <w:w w:val="80"/>
        </w:rPr>
        <w:t xml:space="preserve">ꎻ </w:t>
      </w:r>
      <w:r>
        <w:t>对其他海洋石油天然气企业</w:t>
      </w:r>
      <w:r>
        <w:rPr>
          <w:rFonts w:hint="eastAsia" w:ascii="MS UI Gothic" w:eastAsia="MS UI Gothic"/>
          <w:w w:val="80"/>
        </w:rPr>
        <w:t xml:space="preserve">ꎬ </w:t>
      </w:r>
      <w:r>
        <w:t>向具有法人资格的企业颁发安全生产许可证</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对地质勘探单位</w:t>
      </w:r>
      <w:r>
        <w:rPr>
          <w:rFonts w:hint="eastAsia" w:ascii="MS UI Gothic" w:eastAsia="MS UI Gothic"/>
          <w:w w:val="80"/>
        </w:rPr>
        <w:t xml:space="preserve">ꎬ </w:t>
      </w:r>
      <w:r>
        <w:rPr>
          <w:w w:val="105"/>
        </w:rPr>
        <w:t>向最下级具</w:t>
      </w:r>
      <w:r>
        <w:t>有企事业法人资格的单位颁发安全生产许可证</w:t>
      </w:r>
      <w:r>
        <w:rPr>
          <w:rFonts w:hint="eastAsia" w:ascii="MS UI Gothic" w:eastAsia="MS UI Gothic"/>
          <w:w w:val="80"/>
        </w:rPr>
        <w:t xml:space="preserve">ꎮ </w:t>
      </w:r>
      <w:r>
        <w:t>对采掘施工企业</w:t>
      </w:r>
      <w:r>
        <w:rPr>
          <w:rFonts w:hint="eastAsia" w:ascii="MS UI Gothic" w:eastAsia="MS UI Gothic"/>
          <w:w w:val="80"/>
        </w:rPr>
        <w:t xml:space="preserve">ꎬ </w:t>
      </w:r>
      <w:r>
        <w:t>向企业颁发安全</w:t>
      </w:r>
      <w:r>
        <w:rPr>
          <w:w w:val="105"/>
        </w:rPr>
        <w:t>生产许可证</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对尾矿库单独颁发安全生产许</w:t>
      </w:r>
      <w:r>
        <w:rPr>
          <w:w w:val="110"/>
        </w:rPr>
        <w:t>可证</w:t>
      </w:r>
      <w:r>
        <w:rPr>
          <w:rFonts w:hint="eastAsia" w:ascii="MS UI Gothic" w:eastAsia="MS UI Gothic"/>
          <w:w w:val="80"/>
        </w:rPr>
        <w:t>ꎮ</w:t>
      </w:r>
    </w:p>
    <w:p>
      <w:pPr>
        <w:pStyle w:val="6"/>
        <w:tabs>
          <w:tab w:val="left" w:pos="1488"/>
        </w:tabs>
        <w:spacing w:before="133"/>
        <w:ind w:left="650" w:firstLine="0"/>
        <w:jc w:val="left"/>
      </w:pPr>
      <w:r>
        <w:rPr>
          <w:spacing w:val="3"/>
          <w:w w:val="105"/>
        </w:rPr>
        <w:t>第四</w:t>
      </w:r>
      <w:r>
        <w:rPr>
          <w:w w:val="105"/>
        </w:rPr>
        <w:t>章</w:t>
      </w:r>
      <w:r>
        <w:rPr>
          <w:w w:val="105"/>
        </w:rPr>
        <w:tab/>
      </w:r>
      <w:r>
        <w:rPr>
          <w:spacing w:val="3"/>
          <w:w w:val="105"/>
        </w:rPr>
        <w:t>安全生产许可证延期和变</w:t>
      </w:r>
      <w:r>
        <w:rPr>
          <w:w w:val="105"/>
        </w:rPr>
        <w:t>更</w:t>
      </w:r>
    </w:p>
    <w:p>
      <w:pPr>
        <w:pStyle w:val="6"/>
        <w:spacing w:before="215" w:line="295" w:lineRule="auto"/>
        <w:ind w:left="440"/>
        <w:rPr>
          <w:rFonts w:hint="eastAsia" w:ascii="MS UI Gothic" w:eastAsia="MS UI Gothic"/>
        </w:rPr>
      </w:pPr>
      <w:r>
        <w:rPr>
          <w:spacing w:val="2"/>
          <w:w w:val="105"/>
        </w:rPr>
        <w:t>第十九条 安全生产许可证的有效期</w:t>
      </w:r>
      <w:r>
        <w:rPr>
          <w:spacing w:val="-42"/>
          <w:w w:val="105"/>
        </w:rPr>
        <w:t xml:space="preserve">为 </w:t>
      </w:r>
      <w:r>
        <w:rPr>
          <w:rFonts w:hint="eastAsia" w:ascii="MS UI Gothic" w:eastAsia="MS UI Gothic"/>
          <w:spacing w:val="-12"/>
          <w:w w:val="80"/>
        </w:rPr>
        <w:t xml:space="preserve">３ </w:t>
      </w:r>
      <w:r>
        <w:rPr>
          <w:spacing w:val="3"/>
          <w:w w:val="105"/>
        </w:rPr>
        <w:t>年</w:t>
      </w:r>
      <w:r>
        <w:rPr>
          <w:rFonts w:hint="eastAsia" w:ascii="MS UI Gothic" w:eastAsia="MS UI Gothic"/>
          <w:spacing w:val="-3"/>
          <w:w w:val="80"/>
        </w:rPr>
        <w:t xml:space="preserve">ꎮ </w:t>
      </w:r>
      <w:r>
        <w:rPr>
          <w:spacing w:val="2"/>
          <w:w w:val="105"/>
        </w:rPr>
        <w:t>安全生产许可证有效期满后需要</w:t>
      </w:r>
      <w:r>
        <w:rPr>
          <w:spacing w:val="3"/>
        </w:rPr>
        <w:t>延期的</w:t>
      </w:r>
      <w:r>
        <w:rPr>
          <w:rFonts w:hint="eastAsia" w:ascii="MS UI Gothic" w:eastAsia="MS UI Gothic"/>
          <w:spacing w:val="21"/>
          <w:w w:val="80"/>
        </w:rPr>
        <w:t xml:space="preserve">ꎬ </w:t>
      </w:r>
      <w:r>
        <w:rPr>
          <w:spacing w:val="2"/>
        </w:rPr>
        <w:t>非煤矿矿山企业应当在安全生产</w:t>
      </w:r>
      <w:r>
        <w:rPr>
          <w:spacing w:val="-8"/>
          <w:w w:val="105"/>
        </w:rPr>
        <w:t xml:space="preserve">许可证有效期届满前 </w:t>
      </w:r>
      <w:r>
        <w:rPr>
          <w:rFonts w:hint="eastAsia" w:ascii="MS UI Gothic" w:eastAsia="MS UI Gothic"/>
          <w:spacing w:val="-14"/>
          <w:w w:val="80"/>
        </w:rPr>
        <w:t xml:space="preserve">３ </w:t>
      </w:r>
      <w:r>
        <w:rPr>
          <w:spacing w:val="2"/>
          <w:w w:val="105"/>
        </w:rPr>
        <w:t>个月向原安全生产</w:t>
      </w:r>
      <w:r>
        <w:rPr>
          <w:spacing w:val="4"/>
        </w:rPr>
        <w:t>许可证颁发管理机关申请办理延期手续</w:t>
      </w:r>
      <w:r>
        <w:rPr>
          <w:rFonts w:hint="eastAsia" w:ascii="MS UI Gothic" w:eastAsia="MS UI Gothic"/>
          <w:w w:val="80"/>
        </w:rPr>
        <w:t>ꎬ</w:t>
      </w:r>
      <w:r>
        <w:rPr>
          <w:spacing w:val="3"/>
          <w:w w:val="105"/>
        </w:rPr>
        <w:t>并提交下列文件</w:t>
      </w:r>
      <w:r>
        <w:rPr>
          <w:rFonts w:hint="eastAsia" w:ascii="MS UI Gothic" w:eastAsia="MS UI Gothic"/>
          <w:spacing w:val="3"/>
          <w:w w:val="80"/>
        </w:rPr>
        <w:t xml:space="preserve">、 </w:t>
      </w:r>
      <w:r>
        <w:rPr>
          <w:spacing w:val="3"/>
          <w:w w:val="105"/>
        </w:rPr>
        <w:t>资料</w:t>
      </w:r>
      <w:r>
        <w:rPr>
          <w:rFonts w:hint="eastAsia" w:ascii="MS UI Gothic" w:eastAsia="MS UI Gothic"/>
          <w:w w:val="235"/>
        </w:rPr>
        <w:t>:</w:t>
      </w:r>
    </w:p>
    <w:p>
      <w:pPr>
        <w:pStyle w:val="6"/>
        <w:spacing w:before="124"/>
        <w:ind w:left="800" w:firstLine="0"/>
        <w:jc w:val="left"/>
        <w:rPr>
          <w:rFonts w:hint="eastAsia" w:ascii="MS UI Gothic" w:eastAsia="MS UI Gothic"/>
        </w:rPr>
      </w:pPr>
      <w:r>
        <w:br w:type="column"/>
      </w: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延期申请书</w:t>
      </w:r>
      <w:r>
        <w:rPr>
          <w:rFonts w:hint="eastAsia" w:ascii="MS UI Gothic" w:eastAsia="MS UI Gothic"/>
          <w:w w:val="80"/>
        </w:rPr>
        <w:t>ꎻ</w:t>
      </w:r>
    </w:p>
    <w:p>
      <w:pPr>
        <w:pStyle w:val="6"/>
        <w:spacing w:before="58"/>
        <w:ind w:left="800"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安全生产许可证正本和副本</w:t>
      </w:r>
      <w:r>
        <w:rPr>
          <w:rFonts w:hint="eastAsia" w:ascii="MS UI Gothic" w:eastAsia="MS UI Gothic"/>
          <w:w w:val="80"/>
        </w:rPr>
        <w:t>ꎻ</w:t>
      </w:r>
    </w:p>
    <w:p>
      <w:pPr>
        <w:pStyle w:val="6"/>
        <w:spacing w:before="58"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本实施办法第二章规定的相应文件</w:t>
      </w:r>
      <w:r>
        <w:rPr>
          <w:rFonts w:hint="eastAsia" w:ascii="MS UI Gothic" w:eastAsia="MS UI Gothic"/>
          <w:w w:val="80"/>
        </w:rPr>
        <w:t xml:space="preserve">、 </w:t>
      </w:r>
      <w:r>
        <w:rPr>
          <w:w w:val="105"/>
        </w:rPr>
        <w:t>资料</w:t>
      </w:r>
      <w:r>
        <w:rPr>
          <w:rFonts w:hint="eastAsia" w:ascii="MS UI Gothic" w:eastAsia="MS UI Gothic"/>
          <w:w w:val="80"/>
        </w:rPr>
        <w:t>ꎮ</w:t>
      </w:r>
    </w:p>
    <w:p>
      <w:pPr>
        <w:pStyle w:val="6"/>
        <w:spacing w:line="295" w:lineRule="auto"/>
        <w:ind w:left="381" w:right="126"/>
        <w:rPr>
          <w:rFonts w:hint="eastAsia" w:ascii="MS UI Gothic" w:eastAsia="MS UI Gothic"/>
        </w:rPr>
      </w:pPr>
      <w:r>
        <w:t>金属非金属矿山独立生产系统和尾矿库</w:t>
      </w:r>
      <w:r>
        <w:rPr>
          <w:rFonts w:hint="eastAsia" w:ascii="MS UI Gothic" w:eastAsia="MS UI Gothic"/>
          <w:w w:val="80"/>
        </w:rPr>
        <w:t xml:space="preserve">ꎬ </w:t>
      </w:r>
      <w:r>
        <w:t>以及石油天然气独立生产系统和作业单位还应当提交由具备相应资质的中介服务机构出具的合格的安全现状评价报告</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rPr>
        <w:t>金属非金属矿山独立生产系统和尾矿</w:t>
      </w:r>
      <w:r>
        <w:rPr>
          <w:spacing w:val="-7"/>
          <w:w w:val="105"/>
        </w:rPr>
        <w:t xml:space="preserve">库在提出延期申请之前 </w:t>
      </w:r>
      <w:r>
        <w:rPr>
          <w:rFonts w:hint="eastAsia" w:ascii="MS UI Gothic" w:eastAsia="MS UI Gothic"/>
          <w:spacing w:val="-12"/>
          <w:w w:val="80"/>
        </w:rPr>
        <w:t xml:space="preserve">６ </w:t>
      </w:r>
      <w:r>
        <w:rPr>
          <w:spacing w:val="2"/>
          <w:w w:val="105"/>
        </w:rPr>
        <w:t>个月内经考评合</w:t>
      </w:r>
      <w:r>
        <w:rPr>
          <w:spacing w:val="3"/>
        </w:rPr>
        <w:t>格达到安全标准化等级的</w:t>
      </w:r>
      <w:r>
        <w:rPr>
          <w:rFonts w:hint="eastAsia" w:ascii="MS UI Gothic" w:eastAsia="MS UI Gothic"/>
          <w:spacing w:val="20"/>
          <w:w w:val="80"/>
        </w:rPr>
        <w:t xml:space="preserve">ꎬ </w:t>
      </w:r>
      <w:r>
        <w:rPr>
          <w:spacing w:val="2"/>
        </w:rPr>
        <w:t>可以不提交安</w:t>
      </w:r>
      <w:r>
        <w:rPr>
          <w:spacing w:val="3"/>
        </w:rPr>
        <w:t>全现状评价报告</w:t>
      </w:r>
      <w:r>
        <w:rPr>
          <w:rFonts w:hint="eastAsia" w:ascii="MS UI Gothic" w:eastAsia="MS UI Gothic"/>
          <w:spacing w:val="20"/>
          <w:w w:val="80"/>
        </w:rPr>
        <w:t xml:space="preserve">ꎬ </w:t>
      </w:r>
      <w:r>
        <w:rPr>
          <w:spacing w:val="2"/>
        </w:rPr>
        <w:t>但需要提交安全标准化</w:t>
      </w:r>
      <w:r>
        <w:rPr>
          <w:spacing w:val="3"/>
          <w:w w:val="105"/>
        </w:rPr>
        <w:t>等级的证明材料</w:t>
      </w:r>
      <w:r>
        <w:rPr>
          <w:rFonts w:hint="eastAsia" w:ascii="MS UI Gothic" w:eastAsia="MS UI Gothic"/>
          <w:w w:val="80"/>
        </w:rPr>
        <w:t>ꎮ</w:t>
      </w:r>
    </w:p>
    <w:p>
      <w:pPr>
        <w:pStyle w:val="6"/>
        <w:spacing w:line="295" w:lineRule="auto"/>
        <w:ind w:left="381" w:right="124"/>
        <w:rPr>
          <w:rFonts w:hint="eastAsia" w:ascii="MS UI Gothic" w:eastAsia="MS UI Gothic"/>
        </w:rPr>
      </w:pPr>
      <w:r>
        <w:t>安全生产许可证颁发管理机关应当依照本实施办法第十六条</w:t>
      </w:r>
      <w:r>
        <w:rPr>
          <w:rFonts w:hint="eastAsia" w:ascii="MS UI Gothic" w:eastAsia="MS UI Gothic"/>
          <w:w w:val="80"/>
        </w:rPr>
        <w:t xml:space="preserve">、 </w:t>
      </w:r>
      <w:r>
        <w:t>第十七条的规定</w:t>
      </w:r>
      <w:r>
        <w:rPr>
          <w:rFonts w:hint="eastAsia" w:ascii="MS UI Gothic" w:eastAsia="MS UI Gothic"/>
          <w:w w:val="80"/>
        </w:rPr>
        <w:t xml:space="preserve">ꎬ </w:t>
      </w:r>
      <w:r>
        <w:t>对非煤矿矿山企业提交的材料进行审查</w:t>
      </w:r>
      <w:r>
        <w:rPr>
          <w:rFonts w:hint="eastAsia" w:ascii="MS UI Gothic" w:eastAsia="MS UI Gothic"/>
          <w:w w:val="80"/>
        </w:rPr>
        <w:t xml:space="preserve">ꎬ </w:t>
      </w:r>
      <w:r>
        <w:t>并作出是否准予延期的决定</w:t>
      </w:r>
      <w:r>
        <w:rPr>
          <w:rFonts w:hint="eastAsia" w:ascii="MS UI Gothic" w:eastAsia="MS UI Gothic"/>
          <w:w w:val="80"/>
        </w:rPr>
        <w:t xml:space="preserve">ꎮ </w:t>
      </w:r>
      <w:r>
        <w:t>决定准予延期的</w:t>
      </w:r>
      <w:r>
        <w:rPr>
          <w:rFonts w:hint="eastAsia" w:ascii="MS UI Gothic" w:eastAsia="MS UI Gothic"/>
          <w:w w:val="80"/>
        </w:rPr>
        <w:t xml:space="preserve">ꎬ </w:t>
      </w:r>
      <w:r>
        <w:t>应当收回原安全生产许可证</w:t>
      </w:r>
      <w:r>
        <w:rPr>
          <w:rFonts w:hint="eastAsia" w:ascii="MS UI Gothic" w:eastAsia="MS UI Gothic"/>
          <w:w w:val="80"/>
        </w:rPr>
        <w:t>ꎬ</w:t>
      </w:r>
      <w:r>
        <w:t>换发新的安全生产许可证</w:t>
      </w:r>
      <w:r>
        <w:rPr>
          <w:rFonts w:hint="eastAsia" w:ascii="MS UI Gothic" w:eastAsia="MS UI Gothic"/>
          <w:w w:val="80"/>
        </w:rPr>
        <w:t xml:space="preserve">ꎻ </w:t>
      </w:r>
      <w:r>
        <w:t>决定不准予延期的</w:t>
      </w:r>
      <w:r>
        <w:rPr>
          <w:rFonts w:hint="eastAsia" w:ascii="MS UI Gothic" w:eastAsia="MS UI Gothic"/>
          <w:w w:val="80"/>
        </w:rPr>
        <w:t xml:space="preserve">ꎬ </w:t>
      </w:r>
      <w:r>
        <w:t>应当书面告知申请人并说明理由</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第二十条 非煤矿矿山企业符合下列</w:t>
      </w:r>
      <w:r>
        <w:t>条件的</w:t>
      </w:r>
      <w:r>
        <w:rPr>
          <w:rFonts w:hint="eastAsia" w:ascii="MS UI Gothic" w:eastAsia="MS UI Gothic"/>
          <w:w w:val="80"/>
        </w:rPr>
        <w:t xml:space="preserve">ꎬ </w:t>
      </w:r>
      <w:r>
        <w:t>当安全生产许可证有效期届满申请延期时</w:t>
      </w:r>
      <w:r>
        <w:rPr>
          <w:rFonts w:hint="eastAsia" w:ascii="MS UI Gothic" w:eastAsia="MS UI Gothic"/>
          <w:w w:val="80"/>
        </w:rPr>
        <w:t xml:space="preserve">ꎬ </w:t>
      </w:r>
      <w:r>
        <w:t>经原安全生产许可证颁发管理</w:t>
      </w:r>
      <w:r>
        <w:rPr>
          <w:w w:val="105"/>
        </w:rPr>
        <w:t>机关同意</w:t>
      </w:r>
      <w:r>
        <w:rPr>
          <w:rFonts w:hint="eastAsia" w:ascii="MS UI Gothic" w:eastAsia="MS UI Gothic"/>
          <w:w w:val="80"/>
        </w:rPr>
        <w:t xml:space="preserve">ꎬ </w:t>
      </w:r>
      <w:r>
        <w:rPr>
          <w:w w:val="105"/>
        </w:rPr>
        <w:t>不再审查</w:t>
      </w:r>
      <w:r>
        <w:rPr>
          <w:rFonts w:hint="eastAsia" w:ascii="MS UI Gothic" w:eastAsia="MS UI Gothic"/>
          <w:w w:val="80"/>
        </w:rPr>
        <w:t xml:space="preserve">ꎬ </w:t>
      </w:r>
      <w:r>
        <w:rPr>
          <w:w w:val="105"/>
        </w:rPr>
        <w:t>直接办理延期手续</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严格遵守有关安全生产的法律</w:t>
      </w:r>
      <w:r>
        <w:rPr>
          <w:w w:val="110"/>
        </w:rPr>
        <w:t>法规的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取得安全生产许可证后</w:t>
      </w:r>
      <w:r>
        <w:rPr>
          <w:rFonts w:hint="eastAsia" w:ascii="MS UI Gothic" w:eastAsia="MS UI Gothic"/>
          <w:w w:val="80"/>
        </w:rPr>
        <w:t xml:space="preserve">ꎬ </w:t>
      </w:r>
      <w:r>
        <w:rPr>
          <w:w w:val="105"/>
        </w:rPr>
        <w:t>加强</w:t>
      </w:r>
      <w:r>
        <w:t>日常安全生产管理</w:t>
      </w:r>
      <w:r>
        <w:rPr>
          <w:rFonts w:hint="eastAsia" w:ascii="MS UI Gothic" w:eastAsia="MS UI Gothic"/>
          <w:w w:val="80"/>
        </w:rPr>
        <w:t xml:space="preserve">ꎬ </w:t>
      </w:r>
      <w:r>
        <w:t>未降低安全生产条件</w:t>
      </w:r>
      <w:r>
        <w:rPr>
          <w:rFonts w:hint="eastAsia" w:ascii="MS UI Gothic" w:eastAsia="MS UI Gothic"/>
          <w:w w:val="80"/>
        </w:rPr>
        <w:t xml:space="preserve">ꎬ </w:t>
      </w:r>
      <w:r>
        <w:t>并达到安全标准化等级二级以上的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接受安全生产许可证颁发管理</w:t>
      </w:r>
      <w:r>
        <w:t>机关及所在地人民政府安全生产监督管理</w:t>
      </w:r>
      <w:r>
        <w:rPr>
          <w:w w:val="105"/>
        </w:rPr>
        <w:t>部门的监督检查的</w:t>
      </w:r>
      <w:r>
        <w:rPr>
          <w:rFonts w:hint="eastAsia" w:ascii="MS UI Gothic" w:eastAsia="MS UI Gothic"/>
          <w:w w:val="80"/>
        </w:rPr>
        <w:t>ꎻ</w:t>
      </w:r>
    </w:p>
    <w:p>
      <w:pPr>
        <w:pStyle w:val="6"/>
        <w:spacing w:line="254" w:lineRule="exact"/>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未发生死亡事故的</w:t>
      </w:r>
      <w:r>
        <w:rPr>
          <w:rFonts w:hint="eastAsia" w:ascii="MS UI Gothic" w:eastAsia="MS UI Gothic"/>
          <w:w w:val="80"/>
        </w:rPr>
        <w:t>ꎮ</w:t>
      </w:r>
    </w:p>
    <w:p>
      <w:pPr>
        <w:pStyle w:val="6"/>
        <w:spacing w:before="36" w:line="295" w:lineRule="auto"/>
        <w:ind w:left="381" w:right="124"/>
        <w:rPr>
          <w:rFonts w:hint="eastAsia" w:ascii="MS UI Gothic" w:eastAsia="MS UI Gothic"/>
        </w:rPr>
      </w:pPr>
      <w:r>
        <w:rPr>
          <w:w w:val="105"/>
        </w:rPr>
        <w:t>第二十一条 非煤矿矿山企业在安全</w:t>
      </w:r>
      <w:r>
        <w:t>生产许可证有效期内有下列情形之一的</w:t>
      </w:r>
      <w:r>
        <w:rPr>
          <w:rFonts w:hint="eastAsia" w:ascii="MS UI Gothic" w:eastAsia="MS UI Gothic"/>
          <w:w w:val="80"/>
        </w:rPr>
        <w:t>ꎬ</w:t>
      </w:r>
      <w:r>
        <w:rPr>
          <w:w w:val="105"/>
        </w:rPr>
        <w:t xml:space="preserve">应当自工商营业执照变更之日起 </w:t>
      </w:r>
      <w:r>
        <w:rPr>
          <w:rFonts w:hint="eastAsia" w:ascii="MS UI Gothic" w:eastAsia="MS UI Gothic"/>
          <w:w w:val="80"/>
        </w:rPr>
        <w:t xml:space="preserve">３０ </w:t>
      </w:r>
      <w:r>
        <w:rPr>
          <w:w w:val="105"/>
        </w:rPr>
        <w:t>个工</w:t>
      </w:r>
      <w:r>
        <w:t>作日内向原安全生产许可证颁发管理机关</w:t>
      </w:r>
      <w:r>
        <w:rPr>
          <w:w w:val="105"/>
        </w:rPr>
        <w:t>申请变更安全生产许可证</w:t>
      </w:r>
      <w:r>
        <w:rPr>
          <w:rFonts w:hint="eastAsia" w:ascii="MS UI Gothic" w:eastAsia="MS UI Gothic"/>
          <w:w w:val="230"/>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４０６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18" o:spid="_x0000_s2218" o:spt="203" style="height:2.15pt;width:398.25pt;" coordsize="7965,43">
            <o:lock v:ext="edit"/>
            <v:line id="_x0000_s2219" o:spid="_x0000_s2219" o:spt="20" style="position:absolute;left:0;top:39;height:0;width:7965;" stroked="t" coordsize="21600,21600">
              <v:path arrowok="t"/>
              <v:fill focussize="0,0"/>
              <v:stroke weight="0.388031496062992pt" color="#231F20"/>
              <v:imagedata o:title=""/>
              <o:lock v:ext="edit"/>
            </v:line>
            <v:line id="_x0000_s2220" o:spid="_x0000_s222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left="543" w:firstLine="0"/>
        <w:jc w:val="left"/>
        <w:rPr>
          <w:rFonts w:hint="eastAsia" w:ascii="MS UI Gothic" w:eastAsia="MS UI Gothic"/>
        </w:rPr>
      </w:pPr>
      <w:r>
        <w:rPr>
          <w:rFonts w:hint="eastAsia" w:ascii="MS UI Gothic" w:eastAsia="MS UI Gothic"/>
          <w:spacing w:val="-23"/>
          <w:w w:val="105"/>
        </w:rPr>
        <w:t xml:space="preserve">( </w:t>
      </w:r>
      <w:r>
        <w:rPr>
          <w:spacing w:val="3"/>
          <w:w w:val="105"/>
        </w:rPr>
        <w:t>一</w:t>
      </w:r>
      <w:r>
        <w:rPr>
          <w:rFonts w:hint="eastAsia" w:ascii="MS UI Gothic" w:eastAsia="MS UI Gothic"/>
          <w:spacing w:val="25"/>
          <w:w w:val="105"/>
        </w:rPr>
        <w:t xml:space="preserve">) </w:t>
      </w:r>
      <w:r>
        <w:rPr>
          <w:spacing w:val="3"/>
          <w:w w:val="105"/>
        </w:rPr>
        <w:t>变更单位名称的</w:t>
      </w:r>
      <w:r>
        <w:rPr>
          <w:rFonts w:hint="eastAsia" w:ascii="MS UI Gothic" w:eastAsia="MS UI Gothic"/>
          <w:w w:val="80"/>
        </w:rPr>
        <w:t>ꎻ</w:t>
      </w:r>
    </w:p>
    <w:p>
      <w:pPr>
        <w:pStyle w:val="6"/>
        <w:spacing w:before="58" w:line="295" w:lineRule="auto"/>
        <w:ind w:left="543" w:right="1047" w:firstLine="0"/>
        <w:jc w:val="left"/>
        <w:rPr>
          <w:rFonts w:hint="eastAsia" w:ascii="MS UI Gothic" w:eastAsia="MS UI Gothic"/>
        </w:rPr>
      </w:pPr>
      <w:r>
        <w:rPr>
          <w:rFonts w:hint="eastAsia" w:ascii="MS UI Gothic" w:eastAsia="MS UI Gothic"/>
          <w:spacing w:val="-23"/>
          <w:w w:val="105"/>
        </w:rPr>
        <w:t xml:space="preserve">( </w:t>
      </w:r>
      <w:r>
        <w:rPr>
          <w:spacing w:val="3"/>
          <w:w w:val="105"/>
        </w:rPr>
        <w:t>二</w:t>
      </w:r>
      <w:r>
        <w:rPr>
          <w:rFonts w:hint="eastAsia" w:ascii="MS UI Gothic" w:eastAsia="MS UI Gothic"/>
          <w:spacing w:val="24"/>
          <w:w w:val="105"/>
        </w:rPr>
        <w:t xml:space="preserve">) </w:t>
      </w:r>
      <w:r>
        <w:rPr>
          <w:spacing w:val="3"/>
          <w:w w:val="105"/>
        </w:rPr>
        <w:t>变更主要负责人的</w:t>
      </w:r>
      <w:r>
        <w:rPr>
          <w:rFonts w:hint="eastAsia" w:ascii="MS UI Gothic" w:eastAsia="MS UI Gothic"/>
          <w:w w:val="80"/>
        </w:rPr>
        <w:t>ꎻ</w:t>
      </w:r>
      <w:r>
        <w:rPr>
          <w:rFonts w:hint="eastAsia" w:ascii="MS UI Gothic" w:eastAsia="MS UI Gothic"/>
          <w:spacing w:val="-40"/>
          <w:w w:val="150"/>
        </w:rPr>
        <w:t xml:space="preserve">( </w:t>
      </w:r>
      <w:r>
        <w:rPr>
          <w:spacing w:val="3"/>
          <w:w w:val="110"/>
        </w:rPr>
        <w:t>三</w:t>
      </w:r>
      <w:r>
        <w:rPr>
          <w:rFonts w:hint="eastAsia" w:ascii="MS UI Gothic" w:eastAsia="MS UI Gothic"/>
          <w:spacing w:val="-9"/>
          <w:w w:val="150"/>
        </w:rPr>
        <w:t xml:space="preserve">) </w:t>
      </w:r>
      <w:r>
        <w:rPr>
          <w:spacing w:val="3"/>
          <w:w w:val="110"/>
        </w:rPr>
        <w:t>变更单位地址的</w:t>
      </w:r>
      <w:r>
        <w:rPr>
          <w:rFonts w:hint="eastAsia" w:ascii="MS UI Gothic" w:eastAsia="MS UI Gothic"/>
          <w:w w:val="80"/>
        </w:rPr>
        <w:t>ꎻ</w:t>
      </w:r>
    </w:p>
    <w:p>
      <w:pPr>
        <w:pStyle w:val="6"/>
        <w:spacing w:line="295" w:lineRule="auto"/>
        <w:ind w:left="543" w:right="1256" w:firstLine="0"/>
        <w:jc w:val="left"/>
        <w:rPr>
          <w:rFonts w:hint="eastAsia" w:ascii="MS UI Gothic" w:eastAsia="MS UI Gothic"/>
        </w:rPr>
      </w:pPr>
      <w:r>
        <w:rPr>
          <w:rFonts w:hint="eastAsia" w:ascii="MS UI Gothic" w:eastAsia="MS UI Gothic"/>
          <w:spacing w:val="-30"/>
          <w:w w:val="110"/>
        </w:rPr>
        <w:t xml:space="preserve">( </w:t>
      </w:r>
      <w:r>
        <w:rPr>
          <w:spacing w:val="3"/>
          <w:w w:val="110"/>
        </w:rPr>
        <w:t>四</w:t>
      </w:r>
      <w:r>
        <w:rPr>
          <w:rFonts w:hint="eastAsia" w:ascii="MS UI Gothic" w:eastAsia="MS UI Gothic"/>
          <w:spacing w:val="-10"/>
          <w:w w:val="110"/>
        </w:rPr>
        <w:t xml:space="preserve">) </w:t>
      </w:r>
      <w:r>
        <w:rPr>
          <w:spacing w:val="3"/>
          <w:w w:val="110"/>
        </w:rPr>
        <w:t>变更经济类型的</w:t>
      </w:r>
      <w:r>
        <w:rPr>
          <w:rFonts w:hint="eastAsia" w:ascii="MS UI Gothic" w:eastAsia="MS UI Gothic"/>
          <w:w w:val="80"/>
        </w:rPr>
        <w:t>ꎻ</w:t>
      </w:r>
      <w:r>
        <w:rPr>
          <w:rFonts w:hint="eastAsia" w:ascii="MS UI Gothic" w:eastAsia="MS UI Gothic"/>
          <w:spacing w:val="-23"/>
          <w:w w:val="105"/>
        </w:rPr>
        <w:t xml:space="preserve">( </w:t>
      </w:r>
      <w:r>
        <w:rPr>
          <w:spacing w:val="3"/>
          <w:w w:val="105"/>
        </w:rPr>
        <w:t>五</w:t>
      </w:r>
      <w:r>
        <w:rPr>
          <w:rFonts w:hint="eastAsia" w:ascii="MS UI Gothic" w:eastAsia="MS UI Gothic"/>
          <w:spacing w:val="25"/>
          <w:w w:val="105"/>
        </w:rPr>
        <w:t xml:space="preserve">) </w:t>
      </w:r>
      <w:r>
        <w:rPr>
          <w:spacing w:val="3"/>
          <w:w w:val="105"/>
        </w:rPr>
        <w:t>变更许可范围的</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第二十二条 非煤矿矿山企业申请变</w:t>
      </w:r>
      <w:r>
        <w:t>更安全生产许可证时</w:t>
      </w:r>
      <w:r>
        <w:rPr>
          <w:rFonts w:hint="eastAsia" w:ascii="MS UI Gothic" w:eastAsia="MS UI Gothic"/>
          <w:w w:val="80"/>
        </w:rPr>
        <w:t xml:space="preserve">ꎬ </w:t>
      </w:r>
      <w:r>
        <w:t>应当提交下列文</w:t>
      </w:r>
      <w:r>
        <w:rPr>
          <w:w w:val="105"/>
        </w:rPr>
        <w:t>件</w:t>
      </w:r>
      <w:r>
        <w:rPr>
          <w:rFonts w:hint="eastAsia" w:ascii="MS UI Gothic" w:eastAsia="MS UI Gothic"/>
          <w:w w:val="80"/>
        </w:rPr>
        <w:t xml:space="preserve">、 </w:t>
      </w:r>
      <w:r>
        <w:rPr>
          <w:w w:val="105"/>
        </w:rPr>
        <w:t>资料</w:t>
      </w:r>
      <w:r>
        <w:rPr>
          <w:rFonts w:hint="eastAsia" w:ascii="MS UI Gothic" w:eastAsia="MS UI Gothic"/>
          <w:w w:val="235"/>
        </w:rPr>
        <w:t>:</w:t>
      </w:r>
    </w:p>
    <w:p>
      <w:pPr>
        <w:pStyle w:val="6"/>
        <w:spacing w:line="254" w:lineRule="exact"/>
        <w:ind w:left="543" w:firstLine="0"/>
        <w:rPr>
          <w:rFonts w:hint="eastAsia" w:ascii="MS UI Gothic" w:eastAsia="MS UI Gothic"/>
        </w:rPr>
      </w:pPr>
      <w:r>
        <w:rPr>
          <w:rFonts w:hint="eastAsia" w:ascii="MS UI Gothic" w:eastAsia="MS UI Gothic"/>
          <w:w w:val="150"/>
        </w:rPr>
        <w:t xml:space="preserve">( </w:t>
      </w:r>
      <w:r>
        <w:rPr>
          <w:w w:val="115"/>
        </w:rPr>
        <w:t>一</w:t>
      </w:r>
      <w:r>
        <w:rPr>
          <w:rFonts w:hint="eastAsia" w:ascii="MS UI Gothic" w:eastAsia="MS UI Gothic"/>
          <w:w w:val="150"/>
        </w:rPr>
        <w:t xml:space="preserve">) </w:t>
      </w:r>
      <w:r>
        <w:rPr>
          <w:w w:val="115"/>
        </w:rPr>
        <w:t>变更申请书</w:t>
      </w:r>
      <w:r>
        <w:rPr>
          <w:rFonts w:hint="eastAsia" w:ascii="MS UI Gothic" w:eastAsia="MS UI Gothic"/>
          <w:w w:val="80"/>
        </w:rPr>
        <w:t>ꎻ</w:t>
      </w:r>
    </w:p>
    <w:p>
      <w:pPr>
        <w:pStyle w:val="6"/>
        <w:spacing w:before="55"/>
        <w:ind w:left="543"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安全生产许可证正本和副本</w:t>
      </w:r>
      <w:r>
        <w:rPr>
          <w:rFonts w:hint="eastAsia" w:ascii="MS UI Gothic" w:eastAsia="MS UI Gothic"/>
          <w:w w:val="80"/>
        </w:rPr>
        <w:t>ꎻ</w:t>
      </w:r>
    </w:p>
    <w:p>
      <w:pPr>
        <w:pStyle w:val="6"/>
        <w:spacing w:before="58"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变更后的工商营业执照</w:t>
      </w:r>
      <w:r>
        <w:rPr>
          <w:rFonts w:hint="eastAsia" w:ascii="MS UI Gothic" w:eastAsia="MS UI Gothic"/>
          <w:w w:val="80"/>
        </w:rPr>
        <w:t xml:space="preserve">、  </w:t>
      </w:r>
      <w:r>
        <w:rPr>
          <w:w w:val="105"/>
        </w:rPr>
        <w:t>采矿许可证复印件及变更说明材料</w:t>
      </w:r>
      <w:r>
        <w:rPr>
          <w:rFonts w:hint="eastAsia" w:ascii="MS UI Gothic" w:eastAsia="MS UI Gothic"/>
          <w:w w:val="80"/>
        </w:rPr>
        <w:t>ꎮ</w:t>
      </w:r>
    </w:p>
    <w:p>
      <w:pPr>
        <w:pStyle w:val="6"/>
        <w:spacing w:line="295" w:lineRule="auto"/>
        <w:ind w:right="39"/>
        <w:rPr>
          <w:rFonts w:hint="eastAsia" w:ascii="MS UI Gothic" w:eastAsia="MS UI Gothic"/>
        </w:rPr>
      </w:pPr>
      <w:r>
        <w:rPr>
          <w:w w:val="105"/>
        </w:rPr>
        <w:t xml:space="preserve">变更本实施办法第二十一条第 </w:t>
      </w:r>
      <w:r>
        <w:rPr>
          <w:rFonts w:hint="eastAsia" w:ascii="MS UI Gothic" w:eastAsia="MS UI Gothic"/>
          <w:w w:val="150"/>
        </w:rPr>
        <w:t xml:space="preserve">( </w:t>
      </w:r>
      <w:r>
        <w:rPr>
          <w:w w:val="105"/>
        </w:rPr>
        <w:t>二</w:t>
      </w:r>
      <w:r>
        <w:rPr>
          <w:rFonts w:hint="eastAsia" w:ascii="MS UI Gothic" w:eastAsia="MS UI Gothic"/>
          <w:w w:val="150"/>
        </w:rPr>
        <w:t xml:space="preserve">) </w:t>
      </w:r>
      <w:r>
        <w:t>项的</w:t>
      </w:r>
      <w:r>
        <w:rPr>
          <w:rFonts w:hint="eastAsia" w:ascii="MS UI Gothic" w:eastAsia="MS UI Gothic"/>
          <w:w w:val="80"/>
        </w:rPr>
        <w:t xml:space="preserve">ꎬ </w:t>
      </w:r>
      <w:r>
        <w:t>还应当提交变更后的主要负责人的</w:t>
      </w:r>
      <w:r>
        <w:rPr>
          <w:w w:val="105"/>
        </w:rPr>
        <w:t>安全资格证书复印件</w:t>
      </w:r>
      <w:r>
        <w:rPr>
          <w:rFonts w:hint="eastAsia" w:ascii="MS UI Gothic" w:eastAsia="MS UI Gothic"/>
          <w:w w:val="80"/>
        </w:rPr>
        <w:t>ꎮ</w:t>
      </w:r>
    </w:p>
    <w:p>
      <w:pPr>
        <w:pStyle w:val="6"/>
        <w:spacing w:line="295" w:lineRule="auto"/>
        <w:ind w:right="38"/>
        <w:rPr>
          <w:rFonts w:hint="eastAsia" w:ascii="MS UI Gothic" w:eastAsia="MS UI Gothic"/>
        </w:rPr>
      </w:pPr>
      <w:r>
        <w:t>对已经受理的变更申请</w:t>
      </w:r>
      <w:r>
        <w:rPr>
          <w:rFonts w:hint="eastAsia" w:ascii="MS UI Gothic" w:eastAsia="MS UI Gothic"/>
          <w:w w:val="85"/>
        </w:rPr>
        <w:t xml:space="preserve">ꎬ </w:t>
      </w:r>
      <w:r>
        <w:t>安全生产许可证颁发管理机关对申请人提交的文件</w:t>
      </w:r>
      <w:r>
        <w:rPr>
          <w:rFonts w:hint="eastAsia" w:ascii="MS UI Gothic" w:eastAsia="MS UI Gothic"/>
          <w:w w:val="85"/>
        </w:rPr>
        <w:t>、</w:t>
      </w:r>
      <w:r>
        <w:t>资料审查无误后</w:t>
      </w:r>
      <w:r>
        <w:rPr>
          <w:rFonts w:hint="eastAsia" w:ascii="MS UI Gothic" w:eastAsia="MS UI Gothic"/>
          <w:w w:val="85"/>
        </w:rPr>
        <w:t xml:space="preserve">ꎬ </w:t>
      </w:r>
      <w:r>
        <w:t xml:space="preserve">应当在 </w:t>
      </w:r>
      <w:r>
        <w:rPr>
          <w:rFonts w:hint="eastAsia" w:ascii="MS UI Gothic" w:eastAsia="MS UI Gothic"/>
          <w:w w:val="85"/>
        </w:rPr>
        <w:t xml:space="preserve">１０ </w:t>
      </w:r>
      <w:r>
        <w:t>个工作日内办理变更手续</w:t>
      </w:r>
      <w:r>
        <w:rPr>
          <w:rFonts w:hint="eastAsia" w:ascii="MS UI Gothic" w:eastAsia="MS UI Gothic"/>
          <w:w w:val="85"/>
        </w:rPr>
        <w:t>ꎮ</w:t>
      </w:r>
    </w:p>
    <w:p>
      <w:pPr>
        <w:pStyle w:val="6"/>
        <w:spacing w:line="295" w:lineRule="auto"/>
        <w:ind w:right="39"/>
        <w:rPr>
          <w:rFonts w:hint="eastAsia" w:ascii="MS UI Gothic" w:eastAsia="MS UI Gothic"/>
        </w:rPr>
      </w:pPr>
      <w:r>
        <w:rPr>
          <w:w w:val="105"/>
        </w:rPr>
        <w:t>第二十三条 安全生产许可证申请书</w:t>
      </w:r>
      <w:r>
        <w:rPr>
          <w:rFonts w:hint="eastAsia" w:ascii="MS UI Gothic" w:eastAsia="MS UI Gothic"/>
          <w:w w:val="80"/>
        </w:rPr>
        <w:t xml:space="preserve">、 </w:t>
      </w:r>
      <w:r>
        <w:rPr>
          <w:w w:val="105"/>
        </w:rPr>
        <w:t>审查书</w:t>
      </w:r>
      <w:r>
        <w:rPr>
          <w:rFonts w:hint="eastAsia" w:ascii="MS UI Gothic" w:eastAsia="MS UI Gothic"/>
          <w:w w:val="80"/>
        </w:rPr>
        <w:t xml:space="preserve">、 </w:t>
      </w:r>
      <w:r>
        <w:rPr>
          <w:w w:val="105"/>
        </w:rPr>
        <w:t>延期申请书和变更申请书由国家安全生产监督管理总局统一格式</w:t>
      </w:r>
      <w:r>
        <w:rPr>
          <w:rFonts w:hint="eastAsia" w:ascii="MS UI Gothic" w:eastAsia="MS UI Gothic"/>
          <w:w w:val="80"/>
        </w:rPr>
        <w:t>ꎮ</w:t>
      </w:r>
    </w:p>
    <w:p>
      <w:pPr>
        <w:pStyle w:val="6"/>
        <w:spacing w:line="295" w:lineRule="auto"/>
        <w:ind w:right="39"/>
        <w:rPr>
          <w:rFonts w:hint="eastAsia" w:ascii="MS UI Gothic" w:eastAsia="MS UI Gothic"/>
        </w:rPr>
      </w:pPr>
      <w:r>
        <w:t>第二十四条 非煤矿矿山企业安全生产许可证分为正本和副本</w:t>
      </w:r>
      <w:r>
        <w:rPr>
          <w:rFonts w:hint="eastAsia" w:ascii="MS UI Gothic" w:eastAsia="MS UI Gothic"/>
          <w:w w:val="80"/>
        </w:rPr>
        <w:t xml:space="preserve">ꎬ </w:t>
      </w:r>
      <w:r>
        <w:t>正本和副本具有同等法律效力</w:t>
      </w:r>
      <w:r>
        <w:rPr>
          <w:rFonts w:hint="eastAsia" w:ascii="MS UI Gothic" w:eastAsia="MS UI Gothic"/>
          <w:w w:val="80"/>
        </w:rPr>
        <w:t xml:space="preserve">ꎬ </w:t>
      </w:r>
      <w:r>
        <w:t>正本为悬挂式</w:t>
      </w:r>
      <w:r>
        <w:rPr>
          <w:rFonts w:hint="eastAsia" w:ascii="MS UI Gothic" w:eastAsia="MS UI Gothic"/>
          <w:w w:val="80"/>
        </w:rPr>
        <w:t xml:space="preserve">ꎬ </w:t>
      </w:r>
      <w:r>
        <w:t>副本为折页式</w:t>
      </w:r>
      <w:r>
        <w:rPr>
          <w:rFonts w:hint="eastAsia" w:ascii="MS UI Gothic" w:eastAsia="MS UI Gothic"/>
          <w:w w:val="80"/>
        </w:rPr>
        <w:t>ꎮ</w:t>
      </w:r>
    </w:p>
    <w:p>
      <w:pPr>
        <w:pStyle w:val="6"/>
        <w:spacing w:line="295" w:lineRule="auto"/>
        <w:ind w:right="39"/>
        <w:rPr>
          <w:rFonts w:hint="eastAsia" w:ascii="MS UI Gothic" w:eastAsia="MS UI Gothic"/>
        </w:rPr>
      </w:pPr>
      <w:r>
        <w:t>非煤矿矿山企业安全生产许可证由国家安全生产监督管理总局统一印制和</w:t>
      </w:r>
      <w:r>
        <w:rPr>
          <w:w w:val="105"/>
        </w:rPr>
        <w:t>编号</w:t>
      </w:r>
      <w:r>
        <w:rPr>
          <w:rFonts w:hint="eastAsia" w:ascii="MS UI Gothic" w:eastAsia="MS UI Gothic"/>
          <w:w w:val="80"/>
        </w:rPr>
        <w:t>ꎮ</w:t>
      </w:r>
    </w:p>
    <w:p>
      <w:pPr>
        <w:pStyle w:val="6"/>
        <w:tabs>
          <w:tab w:val="left" w:pos="1172"/>
        </w:tabs>
        <w:spacing w:before="142"/>
        <w:ind w:left="334" w:firstLine="0"/>
        <w:jc w:val="left"/>
      </w:pPr>
      <w:r>
        <w:rPr>
          <w:spacing w:val="3"/>
          <w:w w:val="105"/>
        </w:rPr>
        <w:t>第五</w:t>
      </w:r>
      <w:r>
        <w:rPr>
          <w:w w:val="105"/>
        </w:rPr>
        <w:t>章</w:t>
      </w:r>
      <w:r>
        <w:rPr>
          <w:w w:val="105"/>
        </w:rPr>
        <w:tab/>
      </w:r>
      <w:r>
        <w:rPr>
          <w:spacing w:val="3"/>
          <w:w w:val="105"/>
        </w:rPr>
        <w:t>安全生产许可证的监督管</w:t>
      </w:r>
      <w:r>
        <w:rPr>
          <w:w w:val="105"/>
        </w:rPr>
        <w:t>理</w:t>
      </w:r>
    </w:p>
    <w:p>
      <w:pPr>
        <w:pStyle w:val="6"/>
        <w:spacing w:before="11"/>
        <w:ind w:left="0" w:firstLine="0"/>
        <w:jc w:val="left"/>
        <w:rPr>
          <w:sz w:val="16"/>
        </w:rPr>
      </w:pPr>
    </w:p>
    <w:p>
      <w:pPr>
        <w:pStyle w:val="6"/>
        <w:spacing w:line="295" w:lineRule="auto"/>
        <w:ind w:right="39"/>
        <w:rPr>
          <w:rFonts w:hint="eastAsia" w:ascii="MS UI Gothic" w:eastAsia="MS UI Gothic"/>
        </w:rPr>
      </w:pPr>
      <w:r>
        <w:t>第二十五条 非煤矿矿山企业取得安全生产许可证后</w:t>
      </w:r>
      <w:r>
        <w:rPr>
          <w:rFonts w:hint="eastAsia" w:ascii="MS UI Gothic" w:eastAsia="MS UI Gothic"/>
          <w:w w:val="80"/>
        </w:rPr>
        <w:t xml:space="preserve">ꎬ </w:t>
      </w:r>
      <w:r>
        <w:t>应当加强日常安全生产管理</w:t>
      </w:r>
      <w:r>
        <w:rPr>
          <w:rFonts w:hint="eastAsia" w:ascii="MS UI Gothic" w:eastAsia="MS UI Gothic"/>
          <w:w w:val="80"/>
        </w:rPr>
        <w:t xml:space="preserve">ꎬ </w:t>
      </w:r>
      <w:r>
        <w:t>不得降低安全生产条件</w:t>
      </w:r>
      <w:r>
        <w:rPr>
          <w:rFonts w:hint="eastAsia" w:ascii="MS UI Gothic" w:eastAsia="MS UI Gothic"/>
          <w:w w:val="80"/>
        </w:rPr>
        <w:t xml:space="preserve">ꎬ </w:t>
      </w:r>
      <w:r>
        <w:t>并接受所在地县级以上安全生产监督管理部门的监督检查</w:t>
      </w:r>
      <w:r>
        <w:rPr>
          <w:rFonts w:hint="eastAsia" w:ascii="MS UI Gothic" w:eastAsia="MS UI Gothic"/>
          <w:w w:val="80"/>
        </w:rPr>
        <w:t>ꎮ</w:t>
      </w:r>
    </w:p>
    <w:p>
      <w:pPr>
        <w:pStyle w:val="6"/>
        <w:spacing w:line="295" w:lineRule="auto"/>
        <w:ind w:right="39"/>
      </w:pPr>
      <w:r>
        <w:rPr>
          <w:w w:val="105"/>
        </w:rPr>
        <w:t>第二十六条 地质勘探单位</w:t>
      </w:r>
      <w:r>
        <w:rPr>
          <w:rFonts w:hint="eastAsia" w:ascii="MS UI Gothic" w:eastAsia="MS UI Gothic"/>
          <w:w w:val="80"/>
        </w:rPr>
        <w:t xml:space="preserve">、 </w:t>
      </w:r>
      <w:r>
        <w:rPr>
          <w:w w:val="105"/>
        </w:rPr>
        <w:t>采掘施工单位在登记注册的省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w:t>
      </w:r>
      <w:r>
        <w:t>以外从事作业的</w:t>
      </w:r>
      <w:r>
        <w:rPr>
          <w:rFonts w:hint="eastAsia" w:ascii="MS UI Gothic" w:eastAsia="MS UI Gothic"/>
          <w:w w:val="80"/>
        </w:rPr>
        <w:t xml:space="preserve">ꎬ </w:t>
      </w:r>
      <w:r>
        <w:t>应当向作业所在地县级</w:t>
      </w:r>
    </w:p>
    <w:p>
      <w:pPr>
        <w:pStyle w:val="6"/>
        <w:spacing w:before="123"/>
        <w:ind w:firstLine="0"/>
        <w:jc w:val="left"/>
      </w:pPr>
      <w:r>
        <w:br w:type="column"/>
      </w:r>
      <w:r>
        <w:rPr>
          <w:w w:val="105"/>
        </w:rPr>
        <w:t>以上安全生产监督管理部门书面报告</w:t>
      </w:r>
    </w:p>
    <w:p>
      <w:pPr>
        <w:pStyle w:val="6"/>
        <w:spacing w:before="58" w:line="295" w:lineRule="auto"/>
        <w:ind w:right="442"/>
        <w:rPr>
          <w:rFonts w:hint="eastAsia" w:ascii="MS UI Gothic" w:eastAsia="MS UI Gothic"/>
        </w:rPr>
      </w:pPr>
      <w:r>
        <w:t>第二十七条 非煤矿矿山企业不得转让</w:t>
      </w:r>
      <w:r>
        <w:rPr>
          <w:rFonts w:hint="eastAsia" w:ascii="MS UI Gothic" w:eastAsia="MS UI Gothic"/>
          <w:w w:val="80"/>
        </w:rPr>
        <w:t xml:space="preserve">、 </w:t>
      </w:r>
      <w:r>
        <w:t>冒用</w:t>
      </w:r>
      <w:r>
        <w:rPr>
          <w:rFonts w:hint="eastAsia" w:ascii="MS UI Gothic" w:eastAsia="MS UI Gothic"/>
          <w:w w:val="80"/>
        </w:rPr>
        <w:t xml:space="preserve">、 </w:t>
      </w:r>
      <w:r>
        <w:t>买卖</w:t>
      </w:r>
      <w:r>
        <w:rPr>
          <w:rFonts w:hint="eastAsia" w:ascii="MS UI Gothic" w:eastAsia="MS UI Gothic"/>
          <w:w w:val="80"/>
        </w:rPr>
        <w:t xml:space="preserve">、 </w:t>
      </w:r>
      <w:r>
        <w:t>出租</w:t>
      </w:r>
      <w:r>
        <w:rPr>
          <w:rFonts w:hint="eastAsia" w:ascii="MS UI Gothic" w:eastAsia="MS UI Gothic"/>
          <w:w w:val="80"/>
        </w:rPr>
        <w:t xml:space="preserve">、  </w:t>
      </w:r>
      <w:r>
        <w:t>出借或者使用伪造的安全生产许可证</w:t>
      </w:r>
      <w:r>
        <w:rPr>
          <w:rFonts w:hint="eastAsia" w:ascii="MS UI Gothic" w:eastAsia="MS UI Gothic"/>
          <w:w w:val="80"/>
        </w:rPr>
        <w:t>ꎮ</w:t>
      </w:r>
    </w:p>
    <w:p>
      <w:pPr>
        <w:pStyle w:val="6"/>
        <w:spacing w:line="295" w:lineRule="auto"/>
        <w:ind w:right="442"/>
        <w:rPr>
          <w:rFonts w:hint="eastAsia" w:ascii="MS UI Gothic" w:eastAsia="MS UI Gothic"/>
        </w:rPr>
      </w:pPr>
      <w:r>
        <w:t>第二十八条 非煤矿矿山企业发现在安全生产许可证有效期内采矿许可证到期失效的</w:t>
      </w:r>
      <w:r>
        <w:rPr>
          <w:rFonts w:hint="eastAsia" w:ascii="MS UI Gothic" w:eastAsia="MS UI Gothic"/>
          <w:w w:val="85"/>
        </w:rPr>
        <w:t xml:space="preserve">ꎬ </w:t>
      </w:r>
      <w:r>
        <w:t xml:space="preserve">应当在采矿许可证到期前 </w:t>
      </w:r>
      <w:r>
        <w:rPr>
          <w:rFonts w:hint="eastAsia" w:ascii="MS UI Gothic" w:eastAsia="MS UI Gothic"/>
          <w:w w:val="85"/>
        </w:rPr>
        <w:t xml:space="preserve">１５ </w:t>
      </w:r>
      <w:r>
        <w:t>日内向原安全生产许可证颁发管理机关报告</w:t>
      </w:r>
      <w:r>
        <w:rPr>
          <w:rFonts w:hint="eastAsia" w:ascii="MS UI Gothic" w:eastAsia="MS UI Gothic"/>
          <w:w w:val="85"/>
        </w:rPr>
        <w:t xml:space="preserve">ꎬ </w:t>
      </w:r>
      <w:r>
        <w:t>并交回安全生产许可证正本和副本</w:t>
      </w:r>
      <w:r>
        <w:rPr>
          <w:rFonts w:hint="eastAsia" w:ascii="MS UI Gothic" w:eastAsia="MS UI Gothic"/>
          <w:w w:val="85"/>
        </w:rPr>
        <w:t>ꎮ</w:t>
      </w:r>
    </w:p>
    <w:p>
      <w:pPr>
        <w:pStyle w:val="6"/>
        <w:spacing w:line="295" w:lineRule="auto"/>
        <w:ind w:right="442"/>
        <w:rPr>
          <w:rFonts w:hint="eastAsia" w:ascii="MS UI Gothic" w:eastAsia="MS UI Gothic"/>
        </w:rPr>
      </w:pPr>
      <w:r>
        <w:rPr>
          <w:spacing w:val="3"/>
        </w:rPr>
        <w:t>采矿许可证被暂扣</w:t>
      </w:r>
      <w:r>
        <w:rPr>
          <w:rFonts w:hint="eastAsia" w:ascii="MS UI Gothic" w:eastAsia="MS UI Gothic"/>
          <w:spacing w:val="20"/>
          <w:w w:val="80"/>
        </w:rPr>
        <w:t xml:space="preserve">、 </w:t>
      </w:r>
      <w:r>
        <w:rPr>
          <w:spacing w:val="3"/>
        </w:rPr>
        <w:t>撤销</w:t>
      </w:r>
      <w:r>
        <w:rPr>
          <w:rFonts w:hint="eastAsia" w:ascii="MS UI Gothic" w:eastAsia="MS UI Gothic"/>
          <w:spacing w:val="20"/>
          <w:w w:val="80"/>
        </w:rPr>
        <w:t xml:space="preserve">、 </w:t>
      </w:r>
      <w:r>
        <w:rPr>
          <w:spacing w:val="2"/>
        </w:rPr>
        <w:t>吊销和注</w:t>
      </w:r>
      <w:r>
        <w:rPr>
          <w:spacing w:val="3"/>
        </w:rPr>
        <w:t>销的</w:t>
      </w:r>
      <w:r>
        <w:rPr>
          <w:rFonts w:hint="eastAsia" w:ascii="MS UI Gothic" w:eastAsia="MS UI Gothic"/>
          <w:spacing w:val="9"/>
          <w:w w:val="80"/>
        </w:rPr>
        <w:t xml:space="preserve">ꎬ </w:t>
      </w:r>
      <w:r>
        <w:rPr>
          <w:spacing w:val="17"/>
        </w:rPr>
        <w:t>非煤矿矿山企业应当在暂扣</w:t>
      </w:r>
      <w:r>
        <w:rPr>
          <w:rFonts w:hint="eastAsia" w:ascii="MS UI Gothic" w:eastAsia="MS UI Gothic"/>
          <w:spacing w:val="16"/>
          <w:w w:val="80"/>
        </w:rPr>
        <w:t xml:space="preserve">、 </w:t>
      </w:r>
      <w:r>
        <w:t>撤</w:t>
      </w:r>
      <w:r>
        <w:rPr>
          <w:spacing w:val="3"/>
        </w:rPr>
        <w:t>销</w:t>
      </w:r>
      <w:r>
        <w:rPr>
          <w:rFonts w:hint="eastAsia" w:ascii="MS UI Gothic" w:eastAsia="MS UI Gothic"/>
          <w:spacing w:val="20"/>
          <w:w w:val="80"/>
        </w:rPr>
        <w:t xml:space="preserve">、 </w:t>
      </w:r>
      <w:r>
        <w:rPr>
          <w:spacing w:val="-3"/>
        </w:rPr>
        <w:t xml:space="preserve">吊销和注销后 </w:t>
      </w:r>
      <w:r>
        <w:rPr>
          <w:rFonts w:hint="eastAsia" w:ascii="MS UI Gothic" w:eastAsia="MS UI Gothic"/>
          <w:spacing w:val="14"/>
          <w:w w:val="80"/>
        </w:rPr>
        <w:t xml:space="preserve">５ </w:t>
      </w:r>
      <w:r>
        <w:rPr>
          <w:spacing w:val="2"/>
        </w:rPr>
        <w:t>日内向原安全生产许</w:t>
      </w:r>
      <w:r>
        <w:rPr>
          <w:spacing w:val="3"/>
        </w:rPr>
        <w:t>可证颁发管理机关报告</w:t>
      </w:r>
      <w:r>
        <w:rPr>
          <w:rFonts w:hint="eastAsia" w:ascii="MS UI Gothic" w:eastAsia="MS UI Gothic"/>
          <w:spacing w:val="20"/>
          <w:w w:val="80"/>
        </w:rPr>
        <w:t xml:space="preserve">ꎬ </w:t>
      </w:r>
      <w:r>
        <w:rPr>
          <w:spacing w:val="2"/>
        </w:rPr>
        <w:t>并交回安全生产</w:t>
      </w:r>
      <w:r>
        <w:rPr>
          <w:spacing w:val="3"/>
        </w:rPr>
        <w:t>许可证正本和副本</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第二十九条 安全生产许可证颁发管</w:t>
      </w:r>
      <w:r>
        <w:rPr>
          <w:spacing w:val="13"/>
        </w:rPr>
        <w:t>理机关应当坚持公开</w:t>
      </w:r>
      <w:r>
        <w:rPr>
          <w:rFonts w:hint="eastAsia" w:ascii="MS UI Gothic" w:eastAsia="MS UI Gothic"/>
          <w:spacing w:val="3"/>
          <w:w w:val="80"/>
        </w:rPr>
        <w:t xml:space="preserve">、 </w:t>
      </w:r>
      <w:r>
        <w:rPr>
          <w:spacing w:val="13"/>
        </w:rPr>
        <w:t>公平</w:t>
      </w:r>
      <w:r>
        <w:rPr>
          <w:rFonts w:hint="eastAsia" w:ascii="MS UI Gothic" w:eastAsia="MS UI Gothic"/>
          <w:spacing w:val="2"/>
          <w:w w:val="80"/>
        </w:rPr>
        <w:t xml:space="preserve">、  </w:t>
      </w:r>
      <w:r>
        <w:rPr>
          <w:spacing w:val="17"/>
        </w:rPr>
        <w:t>公正的原</w:t>
      </w:r>
      <w:r>
        <w:rPr>
          <w:spacing w:val="3"/>
        </w:rPr>
        <w:t>则</w:t>
      </w:r>
      <w:r>
        <w:rPr>
          <w:rFonts w:hint="eastAsia" w:ascii="MS UI Gothic" w:eastAsia="MS UI Gothic"/>
          <w:spacing w:val="11"/>
          <w:w w:val="80"/>
        </w:rPr>
        <w:t xml:space="preserve">ꎬ </w:t>
      </w:r>
      <w:r>
        <w:rPr>
          <w:spacing w:val="3"/>
        </w:rPr>
        <w:t>严格依照本实施办法的规定审查</w:t>
      </w:r>
      <w:r>
        <w:rPr>
          <w:rFonts w:hint="eastAsia" w:ascii="MS UI Gothic" w:eastAsia="MS UI Gothic"/>
          <w:spacing w:val="11"/>
          <w:w w:val="80"/>
        </w:rPr>
        <w:t xml:space="preserve">、 </w:t>
      </w:r>
      <w:r>
        <w:t>颁</w:t>
      </w:r>
      <w:r>
        <w:rPr>
          <w:spacing w:val="3"/>
        </w:rPr>
        <w:t>发安全生产许可证</w:t>
      </w:r>
      <w:r>
        <w:rPr>
          <w:rFonts w:hint="eastAsia" w:ascii="MS UI Gothic" w:eastAsia="MS UI Gothic"/>
          <w:w w:val="80"/>
        </w:rPr>
        <w:t>ꎮ</w:t>
      </w:r>
    </w:p>
    <w:p>
      <w:pPr>
        <w:pStyle w:val="6"/>
        <w:spacing w:line="295" w:lineRule="auto"/>
        <w:ind w:right="442"/>
        <w:rPr>
          <w:rFonts w:hint="eastAsia" w:ascii="MS UI Gothic" w:eastAsia="MS UI Gothic"/>
        </w:rPr>
      </w:pPr>
      <w:r>
        <w:t>安全生产许可证颁发管理机关工作人员在安全生产许可证颁发</w:t>
      </w:r>
      <w:r>
        <w:rPr>
          <w:rFonts w:hint="eastAsia" w:ascii="MS UI Gothic" w:eastAsia="MS UI Gothic"/>
          <w:w w:val="80"/>
        </w:rPr>
        <w:t xml:space="preserve">、 </w:t>
      </w:r>
      <w:r>
        <w:t>管理和监督检查工作中</w:t>
      </w:r>
      <w:r>
        <w:rPr>
          <w:rFonts w:hint="eastAsia" w:ascii="MS UI Gothic" w:eastAsia="MS UI Gothic"/>
          <w:w w:val="80"/>
        </w:rPr>
        <w:t xml:space="preserve">ꎬ </w:t>
      </w:r>
      <w:r>
        <w:t>不得索取或者接受非煤矿矿山企业的财物</w:t>
      </w:r>
      <w:r>
        <w:rPr>
          <w:rFonts w:hint="eastAsia" w:ascii="MS UI Gothic" w:eastAsia="MS UI Gothic"/>
          <w:w w:val="80"/>
        </w:rPr>
        <w:t xml:space="preserve">ꎬ </w:t>
      </w:r>
      <w:r>
        <w:t>不得谋取其他利益</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第三十条 安全生产许可证颁发管理</w:t>
      </w:r>
      <w:r>
        <w:t>机关发现有下列情形之一的</w:t>
      </w:r>
      <w:r>
        <w:rPr>
          <w:rFonts w:hint="eastAsia" w:ascii="MS UI Gothic" w:eastAsia="MS UI Gothic"/>
          <w:w w:val="80"/>
        </w:rPr>
        <w:t xml:space="preserve">ꎬ </w:t>
      </w:r>
      <w:r>
        <w:t>应当撤销已</w:t>
      </w:r>
      <w:r>
        <w:rPr>
          <w:w w:val="105"/>
        </w:rPr>
        <w:t>经颁发的安全生产许可证</w:t>
      </w:r>
      <w:r>
        <w:rPr>
          <w:rFonts w:hint="eastAsia" w:ascii="MS UI Gothic" w:eastAsia="MS UI Gothic"/>
          <w:w w:val="235"/>
        </w:rPr>
        <w:t>:</w:t>
      </w:r>
    </w:p>
    <w:p>
      <w:pPr>
        <w:pStyle w:val="6"/>
        <w:spacing w:line="295" w:lineRule="auto"/>
        <w:ind w:right="442"/>
        <w:jc w:val="left"/>
        <w:rPr>
          <w:rFonts w:hint="eastAsia" w:ascii="MS UI Gothic" w:eastAsia="MS UI Gothic"/>
        </w:rPr>
      </w:pPr>
      <w:r>
        <w:rPr>
          <w:rFonts w:hint="eastAsia" w:ascii="MS UI Gothic" w:eastAsia="MS UI Gothic"/>
          <w:w w:val="120"/>
        </w:rPr>
        <w:t xml:space="preserve">( </w:t>
      </w:r>
      <w:r>
        <w:rPr>
          <w:w w:val="110"/>
        </w:rPr>
        <w:t>一</w:t>
      </w:r>
      <w:r>
        <w:rPr>
          <w:rFonts w:hint="eastAsia" w:ascii="MS UI Gothic" w:eastAsia="MS UI Gothic"/>
          <w:w w:val="120"/>
        </w:rPr>
        <w:t xml:space="preserve">) </w:t>
      </w:r>
      <w:r>
        <w:rPr>
          <w:w w:val="110"/>
        </w:rPr>
        <w:t>超越职权颁发安全生产许可证的</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违反本实施办法规定的程序颁</w:t>
      </w:r>
      <w:r>
        <w:rPr>
          <w:w w:val="110"/>
        </w:rPr>
        <w:t>发安全生产许可证的</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不具备本实施办法规定的安全生产条件颁发安全生产许可证的</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以欺骗</w:t>
      </w:r>
      <w:r>
        <w:rPr>
          <w:rFonts w:hint="eastAsia" w:ascii="MS UI Gothic" w:eastAsia="MS UI Gothic"/>
          <w:w w:val="80"/>
        </w:rPr>
        <w:t xml:space="preserve">、 </w:t>
      </w:r>
      <w:r>
        <w:rPr>
          <w:w w:val="105"/>
        </w:rPr>
        <w:t>贿赂等不正当手段取得安全生产许可证的</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第三十一条 取得安全生产许可证的</w:t>
      </w:r>
      <w:r>
        <w:t>非煤矿矿山企业有下列情形之一的</w:t>
      </w:r>
      <w:r>
        <w:rPr>
          <w:rFonts w:hint="eastAsia" w:ascii="MS UI Gothic" w:eastAsia="MS UI Gothic"/>
          <w:w w:val="80"/>
        </w:rPr>
        <w:t xml:space="preserve">ꎬ </w:t>
      </w:r>
      <w:r>
        <w:t>安全生产许可证颁发管理机关应当注销其安全</w:t>
      </w:r>
      <w:r>
        <w:rPr>
          <w:w w:val="105"/>
        </w:rPr>
        <w:t>生产许可证</w:t>
      </w:r>
      <w:r>
        <w:rPr>
          <w:rFonts w:hint="eastAsia" w:ascii="MS UI Gothic" w:eastAsia="MS UI Gothic"/>
          <w:w w:val="235"/>
        </w:rPr>
        <w:t>:</w:t>
      </w:r>
    </w:p>
    <w:p>
      <w:pPr>
        <w:pStyle w:val="6"/>
        <w:spacing w:line="253" w:lineRule="exact"/>
        <w:ind w:left="543"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终止生产活动的</w:t>
      </w:r>
      <w:r>
        <w:rPr>
          <w:rFonts w:hint="eastAsia" w:ascii="MS UI Gothic" w:eastAsia="MS UI Gothic"/>
          <w:w w:val="80"/>
        </w:rPr>
        <w:t>ꎻ</w:t>
      </w:r>
    </w:p>
    <w:p>
      <w:pPr>
        <w:pStyle w:val="6"/>
        <w:spacing w:before="33"/>
        <w:ind w:left="543" w:firstLine="0"/>
        <w:jc w:val="left"/>
      </w:pPr>
      <w:r>
        <w:rPr>
          <w:rFonts w:hint="eastAsia" w:ascii="MS UI Gothic" w:eastAsia="MS UI Gothic"/>
          <w:spacing w:val="-40"/>
          <w:w w:val="150"/>
        </w:rPr>
        <w:t xml:space="preserve">( </w:t>
      </w:r>
      <w:r>
        <w:rPr>
          <w:spacing w:val="29"/>
          <w:w w:val="115"/>
        </w:rPr>
        <w:t>二</w:t>
      </w:r>
      <w:r>
        <w:rPr>
          <w:rFonts w:hint="eastAsia" w:ascii="MS UI Gothic" w:eastAsia="MS UI Gothic"/>
          <w:spacing w:val="-2"/>
          <w:w w:val="150"/>
        </w:rPr>
        <w:t xml:space="preserve">) </w:t>
      </w:r>
      <w:r>
        <w:rPr>
          <w:spacing w:val="41"/>
          <w:w w:val="115"/>
        </w:rPr>
        <w:t>安全生产许可证被依法撤</w:t>
      </w:r>
    </w:p>
    <w:p>
      <w:pPr>
        <w:spacing w:after="0"/>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４０７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21" o:spid="_x0000_s2221" o:spt="203" style="height:2.15pt;width:398.25pt;" coordsize="7965,43">
            <o:lock v:ext="edit"/>
            <v:line id="_x0000_s2222" o:spid="_x0000_s2222" o:spt="20" style="position:absolute;left:0;top:39;height:0;width:7965;" stroked="t" coordsize="21600,21600">
              <v:path arrowok="t"/>
              <v:fill focussize="0,0"/>
              <v:stroke weight="0.388031496062992pt" color="#231F20"/>
              <v:imagedata o:title=""/>
              <o:lock v:ext="edit"/>
            </v:line>
            <v:line id="_x0000_s2223" o:spid="_x0000_s222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rPr>
          <w:spacing w:val="3"/>
          <w:w w:val="85"/>
        </w:rPr>
        <w:t>销的</w:t>
      </w:r>
      <w:r>
        <w:rPr>
          <w:rFonts w:hint="eastAsia" w:ascii="MS UI Gothic" w:eastAsia="MS UI Gothic"/>
          <w:w w:val="80"/>
        </w:rPr>
        <w:t>ꎻ</w:t>
      </w:r>
    </w:p>
    <w:p>
      <w:pPr>
        <w:pStyle w:val="6"/>
        <w:spacing w:before="58" w:line="295" w:lineRule="auto"/>
        <w:ind w:left="440"/>
        <w:jc w:val="left"/>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0"/>
          <w:w w:val="110"/>
        </w:rPr>
        <w:t>安全生产许可证被依法吊</w:t>
      </w:r>
      <w:r>
        <w:rPr>
          <w:spacing w:val="3"/>
          <w:w w:val="110"/>
        </w:rPr>
        <w:t>销的</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第三十二条 非煤矿矿山企业隐瞒有</w:t>
      </w:r>
      <w:r>
        <w:rPr>
          <w:spacing w:val="2"/>
        </w:rPr>
        <w:t>关情况或者提供虚假材料申请安全生产许</w:t>
      </w:r>
      <w:r>
        <w:rPr>
          <w:spacing w:val="3"/>
        </w:rPr>
        <w:t>可证的</w:t>
      </w:r>
      <w:r>
        <w:rPr>
          <w:rFonts w:hint="eastAsia" w:ascii="MS UI Gothic" w:eastAsia="MS UI Gothic"/>
          <w:spacing w:val="21"/>
          <w:w w:val="80"/>
        </w:rPr>
        <w:t xml:space="preserve">ꎬ </w:t>
      </w:r>
      <w:r>
        <w:rPr>
          <w:spacing w:val="2"/>
        </w:rPr>
        <w:t>安全生产许可证颁发管理机关不</w:t>
      </w:r>
      <w:r>
        <w:rPr>
          <w:spacing w:val="2"/>
          <w:w w:val="105"/>
        </w:rPr>
        <w:t>予受理</w:t>
      </w:r>
      <w:r>
        <w:rPr>
          <w:rFonts w:hint="eastAsia" w:ascii="MS UI Gothic" w:eastAsia="MS UI Gothic"/>
          <w:spacing w:val="-2"/>
          <w:w w:val="80"/>
        </w:rPr>
        <w:t xml:space="preserve">ꎬ </w:t>
      </w:r>
      <w:r>
        <w:rPr>
          <w:spacing w:val="-16"/>
          <w:w w:val="105"/>
        </w:rPr>
        <w:t xml:space="preserve">该企业在 </w:t>
      </w:r>
      <w:r>
        <w:rPr>
          <w:rFonts w:hint="eastAsia" w:ascii="MS UI Gothic" w:eastAsia="MS UI Gothic"/>
          <w:spacing w:val="-12"/>
          <w:w w:val="80"/>
        </w:rPr>
        <w:t xml:space="preserve">１ </w:t>
      </w:r>
      <w:r>
        <w:rPr>
          <w:spacing w:val="2"/>
          <w:w w:val="105"/>
        </w:rPr>
        <w:t>年内不得再次申请安</w:t>
      </w:r>
      <w:r>
        <w:rPr>
          <w:spacing w:val="3"/>
          <w:w w:val="105"/>
        </w:rPr>
        <w:t>全生产许可证</w:t>
      </w:r>
      <w:r>
        <w:rPr>
          <w:rFonts w:hint="eastAsia" w:ascii="MS UI Gothic" w:eastAsia="MS UI Gothic"/>
          <w:w w:val="80"/>
        </w:rPr>
        <w:t>ꎮ</w:t>
      </w:r>
    </w:p>
    <w:p>
      <w:pPr>
        <w:pStyle w:val="6"/>
        <w:spacing w:line="295" w:lineRule="auto"/>
        <w:ind w:left="440"/>
        <w:rPr>
          <w:rFonts w:hint="eastAsia" w:ascii="MS UI Gothic" w:eastAsia="MS UI Gothic"/>
        </w:rPr>
      </w:pPr>
      <w:r>
        <w:t>非煤矿矿山企业以欺骗</w:t>
      </w:r>
      <w:r>
        <w:rPr>
          <w:rFonts w:hint="eastAsia" w:ascii="MS UI Gothic" w:eastAsia="MS UI Gothic"/>
          <w:w w:val="80"/>
        </w:rPr>
        <w:t xml:space="preserve">、 </w:t>
      </w:r>
      <w:r>
        <w:t>贿赂等不正当手段取得安全生产许可证后被依法予以撤销的</w:t>
      </w:r>
      <w:r>
        <w:rPr>
          <w:rFonts w:hint="eastAsia" w:ascii="MS UI Gothic" w:eastAsia="MS UI Gothic"/>
          <w:w w:val="80"/>
        </w:rPr>
        <w:t xml:space="preserve">ꎬ </w:t>
      </w:r>
      <w:r>
        <w:t xml:space="preserve">该企业 </w:t>
      </w:r>
      <w:r>
        <w:rPr>
          <w:rFonts w:hint="eastAsia" w:ascii="MS UI Gothic" w:eastAsia="MS UI Gothic"/>
          <w:w w:val="80"/>
        </w:rPr>
        <w:t xml:space="preserve">３ </w:t>
      </w:r>
      <w:r>
        <w:t>年内不得再次申请安全生产许可证</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第三十三条 县级以上地方人民政府</w:t>
      </w:r>
      <w:r>
        <w:t>安全生产监督管理部门负责本行政区域内取得安全生产许可证的非煤矿矿山企业的日常监督检查</w:t>
      </w:r>
      <w:r>
        <w:rPr>
          <w:rFonts w:hint="eastAsia" w:ascii="MS UI Gothic" w:eastAsia="MS UI Gothic"/>
          <w:w w:val="80"/>
        </w:rPr>
        <w:t xml:space="preserve">ꎬ </w:t>
      </w:r>
      <w:r>
        <w:t>并将监督检查中发现的问题及时报告安全生产许可证颁发管理机关</w:t>
      </w:r>
      <w:r>
        <w:rPr>
          <w:rFonts w:hint="eastAsia" w:ascii="MS UI Gothic" w:eastAsia="MS UI Gothic"/>
          <w:w w:val="80"/>
        </w:rPr>
        <w:t xml:space="preserve">ꎮ </w:t>
      </w:r>
      <w:r>
        <w:t>中央管理的非煤矿矿山企业由设区的市级以上地方人民政府安全生产监督管理</w:t>
      </w:r>
      <w:r>
        <w:rPr>
          <w:w w:val="105"/>
        </w:rPr>
        <w:t>部门负责日常监督检查</w:t>
      </w:r>
      <w:r>
        <w:rPr>
          <w:rFonts w:hint="eastAsia" w:ascii="MS UI Gothic" w:eastAsia="MS UI Gothic"/>
          <w:w w:val="80"/>
        </w:rPr>
        <w:t>ꎮ</w:t>
      </w:r>
    </w:p>
    <w:p>
      <w:pPr>
        <w:pStyle w:val="6"/>
        <w:spacing w:line="295" w:lineRule="auto"/>
        <w:ind w:left="440"/>
        <w:rPr>
          <w:rFonts w:hint="eastAsia" w:ascii="MS UI Gothic" w:eastAsia="MS UI Gothic"/>
        </w:rPr>
      </w:pPr>
      <w:r>
        <w:t>国家安全生产监督管理总局负责取得安全生产许可证的中央管理的非煤矿矿山企业总部和海洋石油天然气企业的日常监</w:t>
      </w:r>
      <w:r>
        <w:rPr>
          <w:w w:val="105"/>
        </w:rPr>
        <w:t>督检查</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第三十四条 安全生产许可证颁发管</w:t>
      </w:r>
      <w:r>
        <w:rPr>
          <w:spacing w:val="-17"/>
          <w:w w:val="105"/>
        </w:rPr>
        <w:t xml:space="preserve">理机关每 </w:t>
      </w:r>
      <w:r>
        <w:rPr>
          <w:rFonts w:hint="eastAsia" w:ascii="MS UI Gothic" w:eastAsia="MS UI Gothic"/>
          <w:spacing w:val="-14"/>
          <w:w w:val="80"/>
        </w:rPr>
        <w:t xml:space="preserve">６ </w:t>
      </w:r>
      <w:r>
        <w:rPr>
          <w:spacing w:val="2"/>
          <w:w w:val="105"/>
        </w:rPr>
        <w:t>个月向社会公布取得安全生产</w:t>
      </w:r>
      <w:r>
        <w:rPr>
          <w:spacing w:val="3"/>
          <w:w w:val="105"/>
        </w:rPr>
        <w:t>许可证的非煤矿矿山企业名单</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第三十五条 安全生产许可证颁发管</w:t>
      </w:r>
      <w:r>
        <w:t>理机关应当将非煤矿矿山企业安全生产许可证颁发管理情况通报非煤矿矿山企业所在地县级以上地方人民政府及其安全生产</w:t>
      </w:r>
      <w:r>
        <w:rPr>
          <w:w w:val="105"/>
        </w:rPr>
        <w:t>监督管理部门</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第三十六条 安全生产许可证颁发管</w:t>
      </w:r>
      <w:r>
        <w:t>理机关应当加强对非煤矿矿山企业安全生</w:t>
      </w:r>
      <w:r>
        <w:rPr>
          <w:w w:val="105"/>
        </w:rPr>
        <w:t>产许可证的监督管理</w:t>
      </w:r>
      <w:r>
        <w:rPr>
          <w:rFonts w:hint="eastAsia" w:ascii="MS UI Gothic" w:eastAsia="MS UI Gothic"/>
          <w:w w:val="80"/>
        </w:rPr>
        <w:t xml:space="preserve">ꎬ </w:t>
      </w:r>
      <w:r>
        <w:rPr>
          <w:w w:val="105"/>
        </w:rPr>
        <w:t>建立</w:t>
      </w:r>
      <w:r>
        <w:rPr>
          <w:rFonts w:hint="eastAsia" w:ascii="MS UI Gothic" w:eastAsia="MS UI Gothic"/>
          <w:w w:val="80"/>
        </w:rPr>
        <w:t xml:space="preserve">、 </w:t>
      </w:r>
      <w:r>
        <w:rPr>
          <w:w w:val="105"/>
        </w:rPr>
        <w:t>健全非煤矿</w:t>
      </w:r>
      <w:r>
        <w:t>矿山企业安全生产许可证信息管理制度</w:t>
      </w:r>
      <w:r>
        <w:rPr>
          <w:rFonts w:hint="eastAsia" w:ascii="MS UI Gothic" w:eastAsia="MS UI Gothic"/>
          <w:w w:val="80"/>
        </w:rPr>
        <w:t>ꎮ</w:t>
      </w:r>
    </w:p>
    <w:p>
      <w:pPr>
        <w:pStyle w:val="6"/>
        <w:spacing w:line="295" w:lineRule="auto"/>
        <w:ind w:left="440"/>
      </w:pPr>
      <w:r>
        <w:t xml:space="preserve">省级安全生产许可证颁发管理机关应当在安全生产许可证颁发之日起 </w:t>
      </w:r>
      <w:r>
        <w:rPr>
          <w:rFonts w:hint="eastAsia" w:ascii="MS UI Gothic" w:eastAsia="MS UI Gothic"/>
        </w:rPr>
        <w:t xml:space="preserve">１ </w:t>
      </w:r>
      <w:r>
        <w:t>个月内将颁发和管理情况录入到全国统一的非煤</w:t>
      </w:r>
    </w:p>
    <w:p>
      <w:pPr>
        <w:pStyle w:val="6"/>
        <w:spacing w:before="124"/>
        <w:ind w:left="383" w:firstLine="0"/>
        <w:jc w:val="left"/>
        <w:rPr>
          <w:rFonts w:hint="eastAsia" w:ascii="MS UI Gothic" w:eastAsia="MS UI Gothic"/>
        </w:rPr>
      </w:pPr>
      <w:r>
        <w:br w:type="column"/>
      </w:r>
      <w:r>
        <w:t>矿矿山企业安全生产许可证管理系统</w:t>
      </w:r>
      <w:r>
        <w:rPr>
          <w:rFonts w:hint="eastAsia" w:ascii="MS UI Gothic" w:eastAsia="MS UI Gothic"/>
          <w:w w:val="80"/>
        </w:rPr>
        <w:t>ꎮ</w:t>
      </w:r>
    </w:p>
    <w:p>
      <w:pPr>
        <w:pStyle w:val="6"/>
        <w:spacing w:before="58" w:line="295" w:lineRule="auto"/>
        <w:ind w:left="383" w:right="126"/>
        <w:rPr>
          <w:rFonts w:hint="eastAsia" w:ascii="MS UI Gothic" w:hAnsi="MS UI Gothic" w:eastAsia="MS UI Gothic"/>
        </w:rPr>
      </w:pPr>
      <w:r>
        <w:rPr>
          <w:w w:val="105"/>
        </w:rPr>
        <w:t xml:space="preserve">第三十七条 任何单位或者个人对违反 </w:t>
      </w:r>
      <w:r>
        <w:rPr>
          <w:rFonts w:hint="eastAsia" w:ascii="MS UI Gothic" w:hAnsi="MS UI Gothic" w:eastAsia="MS UI Gothic"/>
          <w:w w:val="80"/>
        </w:rPr>
        <w:t xml:space="preserve">« </w:t>
      </w:r>
      <w:r>
        <w:rPr>
          <w:w w:val="105"/>
        </w:rPr>
        <w:t>安全生产许可证条例</w:t>
      </w:r>
      <w:r>
        <w:rPr>
          <w:rFonts w:hint="eastAsia" w:ascii="MS UI Gothic" w:hAnsi="MS UI Gothic" w:eastAsia="MS UI Gothic"/>
          <w:w w:val="80"/>
        </w:rPr>
        <w:t xml:space="preserve">» </w:t>
      </w:r>
      <w:r>
        <w:rPr>
          <w:w w:val="105"/>
        </w:rPr>
        <w:t>和本实施办</w:t>
      </w:r>
      <w:r>
        <w:t>法规定的行为</w:t>
      </w:r>
      <w:r>
        <w:rPr>
          <w:rFonts w:hint="eastAsia" w:ascii="MS UI Gothic" w:hAnsi="MS UI Gothic" w:eastAsia="MS UI Gothic"/>
          <w:w w:val="80"/>
        </w:rPr>
        <w:t xml:space="preserve">ꎬ </w:t>
      </w:r>
      <w:r>
        <w:t>有权向安全生产许可证颁发管理机关或者监察机关等有关部门</w:t>
      </w:r>
      <w:r>
        <w:rPr>
          <w:w w:val="105"/>
        </w:rPr>
        <w:t>举报</w:t>
      </w:r>
      <w:r>
        <w:rPr>
          <w:rFonts w:hint="eastAsia" w:ascii="MS UI Gothic" w:hAnsi="MS UI Gothic" w:eastAsia="MS UI Gothic"/>
          <w:w w:val="80"/>
        </w:rPr>
        <w:t>ꎮ</w:t>
      </w:r>
    </w:p>
    <w:p>
      <w:pPr>
        <w:pStyle w:val="6"/>
        <w:tabs>
          <w:tab w:val="left" w:pos="2269"/>
          <w:tab w:val="left" w:pos="2898"/>
        </w:tabs>
        <w:spacing w:before="153"/>
        <w:ind w:left="1431" w:firstLine="0"/>
        <w:jc w:val="left"/>
      </w:pPr>
      <w:r>
        <w:rPr>
          <w:spacing w:val="3"/>
          <w:w w:val="105"/>
        </w:rPr>
        <w:t>第六</w:t>
      </w:r>
      <w:r>
        <w:rPr>
          <w:w w:val="105"/>
        </w:rPr>
        <w:t>章</w:t>
      </w:r>
      <w:r>
        <w:rPr>
          <w:w w:val="105"/>
        </w:rPr>
        <w:tab/>
      </w:r>
      <w:r>
        <w:rPr>
          <w:w w:val="105"/>
        </w:rPr>
        <w:t>罚</w:t>
      </w:r>
      <w:r>
        <w:rPr>
          <w:w w:val="105"/>
        </w:rPr>
        <w:tab/>
      </w:r>
      <w:r>
        <w:rPr>
          <w:w w:val="105"/>
        </w:rPr>
        <w:t>则</w:t>
      </w:r>
    </w:p>
    <w:p>
      <w:pPr>
        <w:pStyle w:val="6"/>
        <w:spacing w:before="216" w:line="295" w:lineRule="auto"/>
        <w:ind w:left="383" w:right="124"/>
        <w:rPr>
          <w:rFonts w:hint="eastAsia" w:ascii="MS UI Gothic" w:eastAsia="MS UI Gothic"/>
        </w:rPr>
      </w:pPr>
      <w:r>
        <w:rPr>
          <w:w w:val="105"/>
        </w:rPr>
        <w:t>第三十八条 安全生产许可证颁发管</w:t>
      </w:r>
      <w:r>
        <w:t>理机关工作人员有下列行为之一的</w:t>
      </w:r>
      <w:r>
        <w:rPr>
          <w:rFonts w:hint="eastAsia" w:ascii="MS UI Gothic" w:eastAsia="MS UI Gothic"/>
          <w:w w:val="80"/>
        </w:rPr>
        <w:t xml:space="preserve">ꎬ </w:t>
      </w:r>
      <w:r>
        <w:t>给予降级或者撤职的行政处分</w:t>
      </w:r>
      <w:r>
        <w:rPr>
          <w:rFonts w:hint="eastAsia" w:ascii="MS UI Gothic" w:eastAsia="MS UI Gothic"/>
          <w:w w:val="80"/>
        </w:rPr>
        <w:t xml:space="preserve">ꎻ </w:t>
      </w:r>
      <w:r>
        <w:t>构成犯罪的</w:t>
      </w:r>
      <w:r>
        <w:rPr>
          <w:rFonts w:hint="eastAsia" w:ascii="MS UI Gothic" w:eastAsia="MS UI Gothic"/>
          <w:w w:val="80"/>
        </w:rPr>
        <w:t>ꎬ</w:t>
      </w:r>
      <w:r>
        <w:rPr>
          <w:w w:val="105"/>
        </w:rPr>
        <w:t>依法追究刑事责任</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向不符合本实施办法规定的安</w:t>
      </w:r>
      <w:r>
        <w:rPr>
          <w:spacing w:val="2"/>
        </w:rPr>
        <w:t>全生产条件的非煤矿矿山企业颁发安全生</w:t>
      </w:r>
      <w:r>
        <w:rPr>
          <w:spacing w:val="3"/>
          <w:w w:val="105"/>
        </w:rPr>
        <w:t>产许可证的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发现非煤矿矿山企业未依法取</w:t>
      </w:r>
      <w:r>
        <w:rPr>
          <w:spacing w:val="3"/>
        </w:rPr>
        <w:t>得安全生产许可证擅自从事生产活动</w:t>
      </w:r>
      <w:r>
        <w:rPr>
          <w:rFonts w:hint="eastAsia" w:ascii="MS UI Gothic" w:eastAsia="MS UI Gothic"/>
          <w:spacing w:val="20"/>
          <w:w w:val="80"/>
        </w:rPr>
        <w:t xml:space="preserve">ꎬ </w:t>
      </w:r>
      <w:r>
        <w:t>不</w:t>
      </w:r>
      <w:r>
        <w:rPr>
          <w:spacing w:val="3"/>
          <w:w w:val="105"/>
        </w:rPr>
        <w:t>依法处理的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发现取得安全生产许可证的非</w:t>
      </w:r>
      <w:r>
        <w:t>煤矿矿山企业不再具备本实施办法规定的</w:t>
      </w:r>
      <w:r>
        <w:rPr>
          <w:w w:val="105"/>
        </w:rPr>
        <w:t>安全生产条件</w:t>
      </w:r>
      <w:r>
        <w:rPr>
          <w:rFonts w:hint="eastAsia" w:ascii="MS UI Gothic" w:eastAsia="MS UI Gothic"/>
          <w:w w:val="80"/>
        </w:rPr>
        <w:t xml:space="preserve">ꎬ </w:t>
      </w:r>
      <w:r>
        <w:rPr>
          <w:w w:val="105"/>
        </w:rPr>
        <w:t>不依法处理的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接到对违反本实施办法规定行为的举报后</w:t>
      </w:r>
      <w:r>
        <w:rPr>
          <w:rFonts w:hint="eastAsia" w:ascii="MS UI Gothic" w:eastAsia="MS UI Gothic"/>
          <w:w w:val="80"/>
        </w:rPr>
        <w:t xml:space="preserve">ꎬ </w:t>
      </w:r>
      <w:r>
        <w:rPr>
          <w:w w:val="105"/>
        </w:rPr>
        <w:t>不及时处理的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在安全生产许可证颁发</w:t>
      </w:r>
      <w:r>
        <w:rPr>
          <w:rFonts w:hint="eastAsia" w:ascii="MS UI Gothic" w:eastAsia="MS UI Gothic"/>
          <w:w w:val="80"/>
        </w:rPr>
        <w:t xml:space="preserve">、  </w:t>
      </w:r>
      <w:r>
        <w:rPr>
          <w:w w:val="105"/>
        </w:rPr>
        <w:t>管理</w:t>
      </w:r>
      <w:r>
        <w:t>和监督检查工作中</w:t>
      </w:r>
      <w:r>
        <w:rPr>
          <w:rFonts w:hint="eastAsia" w:ascii="MS UI Gothic" w:eastAsia="MS UI Gothic"/>
          <w:w w:val="80"/>
        </w:rPr>
        <w:t xml:space="preserve">ꎬ </w:t>
      </w:r>
      <w:r>
        <w:t>索取或者接受非煤矿矿山企业的财物</w:t>
      </w:r>
      <w:r>
        <w:rPr>
          <w:rFonts w:hint="eastAsia" w:ascii="MS UI Gothic" w:eastAsia="MS UI Gothic"/>
          <w:w w:val="80"/>
        </w:rPr>
        <w:t xml:space="preserve">ꎬ </w:t>
      </w:r>
      <w:r>
        <w:t>或者谋取其他利益的</w:t>
      </w:r>
      <w:r>
        <w:rPr>
          <w:rFonts w:hint="eastAsia" w:ascii="MS UI Gothic" w:eastAsia="MS UI Gothic"/>
          <w:w w:val="80"/>
        </w:rPr>
        <w:t>ꎮ</w:t>
      </w:r>
    </w:p>
    <w:p>
      <w:pPr>
        <w:pStyle w:val="6"/>
        <w:spacing w:line="295" w:lineRule="auto"/>
        <w:ind w:left="377" w:right="124" w:firstLine="425"/>
        <w:rPr>
          <w:rFonts w:hint="eastAsia" w:ascii="MS UI Gothic" w:eastAsia="MS UI Gothic"/>
        </w:rPr>
      </w:pPr>
      <w:r>
        <w:rPr>
          <w:spacing w:val="12"/>
        </w:rPr>
        <w:t>第三十九条 承担安全评价</w:t>
      </w:r>
      <w:r>
        <w:rPr>
          <w:rFonts w:hint="eastAsia" w:ascii="MS UI Gothic" w:eastAsia="MS UI Gothic"/>
          <w:spacing w:val="13"/>
          <w:w w:val="85"/>
        </w:rPr>
        <w:t xml:space="preserve">、 </w:t>
      </w:r>
      <w:r>
        <w:rPr>
          <w:spacing w:val="9"/>
        </w:rPr>
        <w:t>认证</w:t>
      </w:r>
      <w:r>
        <w:rPr>
          <w:rFonts w:hint="eastAsia" w:ascii="MS UI Gothic" w:eastAsia="MS UI Gothic"/>
          <w:w w:val="85"/>
        </w:rPr>
        <w:t>、</w:t>
      </w:r>
      <w:r>
        <w:rPr>
          <w:spacing w:val="3"/>
        </w:rPr>
        <w:t>检测</w:t>
      </w:r>
      <w:r>
        <w:rPr>
          <w:rFonts w:hint="eastAsia" w:ascii="MS UI Gothic" w:eastAsia="MS UI Gothic"/>
          <w:spacing w:val="2"/>
          <w:w w:val="85"/>
        </w:rPr>
        <w:t xml:space="preserve">、 </w:t>
      </w:r>
      <w:r>
        <w:rPr>
          <w:spacing w:val="16"/>
        </w:rPr>
        <w:t>检验工作的机构</w:t>
      </w:r>
      <w:r>
        <w:rPr>
          <w:rFonts w:hint="eastAsia" w:ascii="MS UI Gothic" w:eastAsia="MS UI Gothic"/>
          <w:spacing w:val="9"/>
          <w:w w:val="85"/>
        </w:rPr>
        <w:t xml:space="preserve">ꎬ </w:t>
      </w:r>
      <w:r>
        <w:rPr>
          <w:spacing w:val="19"/>
        </w:rPr>
        <w:t>出具虚假证明</w:t>
      </w:r>
      <w:r>
        <w:rPr>
          <w:spacing w:val="3"/>
        </w:rPr>
        <w:t>的</w:t>
      </w:r>
      <w:r>
        <w:rPr>
          <w:rFonts w:hint="eastAsia" w:ascii="MS UI Gothic" w:eastAsia="MS UI Gothic"/>
          <w:spacing w:val="15"/>
          <w:w w:val="85"/>
        </w:rPr>
        <w:t xml:space="preserve">ꎬ </w:t>
      </w:r>
      <w:r>
        <w:rPr>
          <w:spacing w:val="8"/>
        </w:rPr>
        <w:t>没收违法所得</w:t>
      </w:r>
      <w:r>
        <w:rPr>
          <w:rFonts w:hint="eastAsia" w:ascii="MS UI Gothic" w:eastAsia="MS UI Gothic"/>
          <w:spacing w:val="18"/>
          <w:w w:val="85"/>
        </w:rPr>
        <w:t xml:space="preserve">ꎻ </w:t>
      </w:r>
      <w:r>
        <w:rPr>
          <w:spacing w:val="-1"/>
        </w:rPr>
        <w:t xml:space="preserve">违法所得在 </w:t>
      </w:r>
      <w:r>
        <w:rPr>
          <w:rFonts w:hint="eastAsia" w:ascii="MS UI Gothic" w:eastAsia="MS UI Gothic"/>
          <w:w w:val="85"/>
        </w:rPr>
        <w:t xml:space="preserve">１０ </w:t>
      </w:r>
      <w:r>
        <w:rPr>
          <w:spacing w:val="6"/>
        </w:rPr>
        <w:t>万元</w:t>
      </w:r>
      <w:r>
        <w:rPr>
          <w:spacing w:val="3"/>
        </w:rPr>
        <w:t>以上的</w:t>
      </w:r>
      <w:r>
        <w:rPr>
          <w:rFonts w:hint="eastAsia" w:ascii="MS UI Gothic" w:eastAsia="MS UI Gothic"/>
          <w:spacing w:val="25"/>
          <w:w w:val="85"/>
        </w:rPr>
        <w:t xml:space="preserve">ꎬ </w:t>
      </w:r>
      <w:r>
        <w:rPr>
          <w:spacing w:val="-6"/>
        </w:rPr>
        <w:t xml:space="preserve">并处违法所得 </w:t>
      </w:r>
      <w:r>
        <w:rPr>
          <w:rFonts w:hint="eastAsia" w:ascii="MS UI Gothic" w:eastAsia="MS UI Gothic"/>
          <w:spacing w:val="2"/>
          <w:w w:val="85"/>
        </w:rPr>
        <w:t xml:space="preserve">２ </w:t>
      </w:r>
      <w:r>
        <w:rPr>
          <w:spacing w:val="-12"/>
        </w:rPr>
        <w:t xml:space="preserve">倍以上 </w:t>
      </w:r>
      <w:r>
        <w:rPr>
          <w:rFonts w:hint="eastAsia" w:ascii="MS UI Gothic" w:eastAsia="MS UI Gothic"/>
          <w:spacing w:val="2"/>
          <w:w w:val="85"/>
        </w:rPr>
        <w:t xml:space="preserve">５ </w:t>
      </w:r>
      <w:r>
        <w:rPr>
          <w:spacing w:val="3"/>
        </w:rPr>
        <w:t>倍以下的罚款</w:t>
      </w:r>
      <w:r>
        <w:rPr>
          <w:rFonts w:hint="eastAsia" w:ascii="MS UI Gothic" w:eastAsia="MS UI Gothic"/>
          <w:spacing w:val="12"/>
          <w:w w:val="85"/>
        </w:rPr>
        <w:t xml:space="preserve">ꎻ </w:t>
      </w:r>
      <w:r>
        <w:rPr>
          <w:spacing w:val="2"/>
        </w:rPr>
        <w:t>没有违法所得或者违法所得不足</w:t>
      </w:r>
      <w:r>
        <w:rPr>
          <w:rFonts w:hint="eastAsia" w:ascii="MS UI Gothic" w:eastAsia="MS UI Gothic"/>
          <w:spacing w:val="-1"/>
          <w:w w:val="85"/>
        </w:rPr>
        <w:t xml:space="preserve">１０ </w:t>
      </w:r>
      <w:r>
        <w:rPr>
          <w:spacing w:val="3"/>
        </w:rPr>
        <w:t>万元的</w:t>
      </w:r>
      <w:r>
        <w:rPr>
          <w:rFonts w:hint="eastAsia" w:ascii="MS UI Gothic" w:eastAsia="MS UI Gothic"/>
          <w:spacing w:val="16"/>
          <w:w w:val="85"/>
        </w:rPr>
        <w:t xml:space="preserve">ꎬ </w:t>
      </w:r>
      <w:r>
        <w:rPr>
          <w:spacing w:val="-7"/>
        </w:rPr>
        <w:t xml:space="preserve">单处或者并处 </w:t>
      </w:r>
      <w:r>
        <w:rPr>
          <w:rFonts w:hint="eastAsia" w:ascii="MS UI Gothic" w:eastAsia="MS UI Gothic"/>
          <w:spacing w:val="-2"/>
          <w:w w:val="85"/>
        </w:rPr>
        <w:t xml:space="preserve">１０ </w:t>
      </w:r>
      <w:r>
        <w:rPr>
          <w:spacing w:val="-9"/>
        </w:rPr>
        <w:t xml:space="preserve">万元以上 </w:t>
      </w:r>
      <w:r>
        <w:rPr>
          <w:rFonts w:hint="eastAsia" w:ascii="MS UI Gothic" w:eastAsia="MS UI Gothic"/>
          <w:w w:val="85"/>
        </w:rPr>
        <w:t xml:space="preserve">２０ </w:t>
      </w:r>
      <w:r>
        <w:rPr>
          <w:spacing w:val="3"/>
        </w:rPr>
        <w:t>万元以下的罚款</w:t>
      </w:r>
      <w:r>
        <w:rPr>
          <w:rFonts w:hint="eastAsia" w:ascii="MS UI Gothic" w:eastAsia="MS UI Gothic"/>
          <w:spacing w:val="12"/>
          <w:w w:val="85"/>
        </w:rPr>
        <w:t xml:space="preserve">ꎻ </w:t>
      </w:r>
      <w:r>
        <w:rPr>
          <w:spacing w:val="2"/>
        </w:rPr>
        <w:t>对其直接负责的主管人</w:t>
      </w:r>
      <w:r>
        <w:rPr>
          <w:spacing w:val="-2"/>
        </w:rPr>
        <w:t xml:space="preserve">员和其他直接责任人员处 </w:t>
      </w:r>
      <w:r>
        <w:rPr>
          <w:rFonts w:hint="eastAsia" w:ascii="MS UI Gothic" w:eastAsia="MS UI Gothic"/>
          <w:spacing w:val="10"/>
          <w:w w:val="85"/>
        </w:rPr>
        <w:t xml:space="preserve">２ </w:t>
      </w:r>
      <w:r>
        <w:rPr>
          <w:spacing w:val="-6"/>
        </w:rPr>
        <w:t xml:space="preserve">万元以上 </w:t>
      </w:r>
      <w:r>
        <w:rPr>
          <w:rFonts w:hint="eastAsia" w:ascii="MS UI Gothic" w:eastAsia="MS UI Gothic"/>
          <w:spacing w:val="13"/>
          <w:w w:val="85"/>
        </w:rPr>
        <w:t xml:space="preserve">５ </w:t>
      </w:r>
      <w:r>
        <w:t>万</w:t>
      </w:r>
      <w:r>
        <w:rPr>
          <w:spacing w:val="3"/>
        </w:rPr>
        <w:t>元以下的罚款</w:t>
      </w:r>
      <w:r>
        <w:rPr>
          <w:rFonts w:hint="eastAsia" w:ascii="MS UI Gothic" w:eastAsia="MS UI Gothic"/>
          <w:spacing w:val="17"/>
          <w:w w:val="85"/>
        </w:rPr>
        <w:t xml:space="preserve">ꎻ </w:t>
      </w:r>
      <w:r>
        <w:rPr>
          <w:spacing w:val="3"/>
        </w:rPr>
        <w:t>给他人造成损害的</w:t>
      </w:r>
      <w:r>
        <w:rPr>
          <w:rFonts w:hint="eastAsia" w:ascii="MS UI Gothic" w:eastAsia="MS UI Gothic"/>
          <w:spacing w:val="18"/>
          <w:w w:val="85"/>
        </w:rPr>
        <w:t xml:space="preserve">ꎬ </w:t>
      </w:r>
      <w:r>
        <w:rPr>
          <w:spacing w:val="1"/>
        </w:rPr>
        <w:t>与建</w:t>
      </w:r>
      <w:r>
        <w:rPr>
          <w:spacing w:val="5"/>
        </w:rPr>
        <w:t>设单位承担连带赔偿责任</w:t>
      </w:r>
      <w:r>
        <w:rPr>
          <w:rFonts w:hint="eastAsia" w:ascii="MS UI Gothic" w:eastAsia="MS UI Gothic"/>
          <w:spacing w:val="14"/>
          <w:w w:val="85"/>
        </w:rPr>
        <w:t xml:space="preserve">ꎻ </w:t>
      </w:r>
      <w:r>
        <w:rPr>
          <w:spacing w:val="11"/>
        </w:rPr>
        <w:t>构成犯罪的</w:t>
      </w:r>
      <w:r>
        <w:rPr>
          <w:rFonts w:hint="eastAsia" w:ascii="MS UI Gothic" w:eastAsia="MS UI Gothic"/>
          <w:w w:val="85"/>
        </w:rPr>
        <w:t>ꎬ</w:t>
      </w:r>
      <w:r>
        <w:rPr>
          <w:spacing w:val="3"/>
        </w:rPr>
        <w:t>依照刑法有关规定追究刑事责任</w:t>
      </w:r>
      <w:r>
        <w:rPr>
          <w:rFonts w:hint="eastAsia" w:ascii="MS UI Gothic" w:eastAsia="MS UI Gothic"/>
          <w:w w:val="85"/>
        </w:rPr>
        <w:t>ꎮ</w:t>
      </w:r>
    </w:p>
    <w:p>
      <w:pPr>
        <w:pStyle w:val="6"/>
        <w:spacing w:line="295" w:lineRule="auto"/>
        <w:ind w:left="383" w:right="126"/>
        <w:rPr>
          <w:rFonts w:hint="eastAsia" w:ascii="MS UI Gothic" w:eastAsia="MS UI Gothic"/>
        </w:rPr>
      </w:pPr>
      <w:r>
        <w:t>对有前款违法行为的机构</w:t>
      </w:r>
      <w:r>
        <w:rPr>
          <w:rFonts w:hint="eastAsia" w:ascii="MS UI Gothic" w:eastAsia="MS UI Gothic"/>
          <w:w w:val="80"/>
        </w:rPr>
        <w:t xml:space="preserve">ꎬ </w:t>
      </w:r>
      <w:r>
        <w:t>吊销其相应资质</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４０８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24" o:spid="_x0000_s2224" o:spt="203" style="height:2.15pt;width:398.25pt;" coordsize="7965,43">
            <o:lock v:ext="edit"/>
            <v:line id="_x0000_s2225" o:spid="_x0000_s2225" o:spt="20" style="position:absolute;left:0;top:39;height:0;width:7965;" stroked="t" coordsize="21600,21600">
              <v:path arrowok="t"/>
              <v:fill focussize="0,0"/>
              <v:stroke weight="0.388031496062992pt" color="#231F20"/>
              <v:imagedata o:title=""/>
              <o:lock v:ext="edit"/>
            </v:line>
            <v:line id="_x0000_s2226" o:spid="_x0000_s222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w w:val="105"/>
        </w:rPr>
        <w:t>第四十条 取得安全生产许可证的非</w:t>
      </w:r>
      <w:r>
        <w:t>煤矿矿山企业不再具备本实施办法第六条规定的安全生产条件之一的</w:t>
      </w:r>
      <w:r>
        <w:rPr>
          <w:rFonts w:hint="eastAsia" w:ascii="MS UI Gothic" w:eastAsia="MS UI Gothic"/>
          <w:w w:val="80"/>
        </w:rPr>
        <w:t xml:space="preserve">ꎬ </w:t>
      </w:r>
      <w:r>
        <w:t>应当暂扣或</w:t>
      </w:r>
      <w:r>
        <w:rPr>
          <w:w w:val="105"/>
        </w:rPr>
        <w:t>者吊销其安全生产许可证</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第四十一条 取得安全生产许可证的</w:t>
      </w:r>
      <w:r>
        <w:t>非煤矿矿山企业有下列行为之一的</w:t>
      </w:r>
      <w:r>
        <w:rPr>
          <w:rFonts w:hint="eastAsia" w:ascii="MS UI Gothic" w:eastAsia="MS UI Gothic"/>
          <w:w w:val="80"/>
        </w:rPr>
        <w:t xml:space="preserve">ꎬ </w:t>
      </w:r>
      <w:r>
        <w:t>吊销</w:t>
      </w:r>
      <w:r>
        <w:rPr>
          <w:w w:val="105"/>
        </w:rPr>
        <w:t>其安全生产许可证</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倒卖</w:t>
      </w:r>
      <w:r>
        <w:rPr>
          <w:rFonts w:hint="eastAsia" w:ascii="MS UI Gothic" w:eastAsia="MS UI Gothic"/>
          <w:w w:val="80"/>
        </w:rPr>
        <w:t xml:space="preserve">、 </w:t>
      </w:r>
      <w:r>
        <w:rPr>
          <w:w w:val="105"/>
        </w:rPr>
        <w:t>出租</w:t>
      </w:r>
      <w:r>
        <w:rPr>
          <w:rFonts w:hint="eastAsia" w:ascii="MS UI Gothic" w:eastAsia="MS UI Gothic"/>
          <w:w w:val="80"/>
        </w:rPr>
        <w:t xml:space="preserve">、 </w:t>
      </w:r>
      <w:r>
        <w:rPr>
          <w:w w:val="105"/>
        </w:rPr>
        <w:t>出借或者以其他形式非法转让安全生产许可证的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暂扣安全生产许可证后未按期</w:t>
      </w:r>
      <w:r>
        <w:rPr>
          <w:spacing w:val="25"/>
        </w:rPr>
        <w:t>整改或者整改后仍不具备安全生产条</w:t>
      </w:r>
      <w:r>
        <w:rPr>
          <w:spacing w:val="3"/>
          <w:w w:val="105"/>
        </w:rPr>
        <w:t>件的</w:t>
      </w:r>
      <w:r>
        <w:rPr>
          <w:rFonts w:hint="eastAsia" w:ascii="MS UI Gothic" w:eastAsia="MS UI Gothic"/>
          <w:w w:val="80"/>
        </w:rPr>
        <w:t>ꎮ</w:t>
      </w:r>
    </w:p>
    <w:p>
      <w:pPr>
        <w:pStyle w:val="6"/>
        <w:spacing w:line="295" w:lineRule="auto"/>
        <w:ind w:right="38"/>
        <w:rPr>
          <w:rFonts w:hint="eastAsia" w:ascii="MS UI Gothic" w:eastAsia="MS UI Gothic"/>
        </w:rPr>
      </w:pPr>
      <w:r>
        <w:rPr>
          <w:spacing w:val="4"/>
        </w:rPr>
        <w:t>第四十二条 非煤矿矿山企业有下列</w:t>
      </w:r>
      <w:r>
        <w:rPr>
          <w:spacing w:val="3"/>
        </w:rPr>
        <w:t>行为之一的</w:t>
      </w:r>
      <w:r>
        <w:rPr>
          <w:rFonts w:hint="eastAsia" w:ascii="MS UI Gothic" w:eastAsia="MS UI Gothic"/>
          <w:spacing w:val="23"/>
          <w:w w:val="80"/>
        </w:rPr>
        <w:t xml:space="preserve">ꎬ </w:t>
      </w:r>
      <w:r>
        <w:rPr>
          <w:spacing w:val="3"/>
        </w:rPr>
        <w:t>责令停止生产</w:t>
      </w:r>
      <w:r>
        <w:rPr>
          <w:rFonts w:hint="eastAsia" w:ascii="MS UI Gothic" w:eastAsia="MS UI Gothic"/>
          <w:spacing w:val="23"/>
          <w:w w:val="80"/>
        </w:rPr>
        <w:t xml:space="preserve">ꎬ </w:t>
      </w:r>
      <w:r>
        <w:rPr>
          <w:spacing w:val="2"/>
        </w:rPr>
        <w:t>没收违法所</w:t>
      </w:r>
      <w:r>
        <w:rPr>
          <w:spacing w:val="3"/>
        </w:rPr>
        <w:t>得</w:t>
      </w:r>
      <w:r>
        <w:rPr>
          <w:rFonts w:hint="eastAsia" w:ascii="MS UI Gothic" w:eastAsia="MS UI Gothic"/>
          <w:spacing w:val="2"/>
          <w:w w:val="80"/>
        </w:rPr>
        <w:t xml:space="preserve">ꎬ </w:t>
      </w:r>
      <w:r>
        <w:rPr>
          <w:spacing w:val="6"/>
        </w:rPr>
        <w:t xml:space="preserve">并处 </w:t>
      </w:r>
      <w:r>
        <w:rPr>
          <w:rFonts w:hint="eastAsia" w:ascii="MS UI Gothic" w:eastAsia="MS UI Gothic"/>
          <w:w w:val="80"/>
        </w:rPr>
        <w:t xml:space="preserve">１０ </w:t>
      </w:r>
      <w:r>
        <w:rPr>
          <w:spacing w:val="19"/>
        </w:rPr>
        <w:t xml:space="preserve">万元以上 </w:t>
      </w:r>
      <w:r>
        <w:rPr>
          <w:rFonts w:hint="eastAsia" w:ascii="MS UI Gothic" w:eastAsia="MS UI Gothic"/>
          <w:w w:val="80"/>
        </w:rPr>
        <w:t xml:space="preserve">５０ </w:t>
      </w:r>
      <w:r>
        <w:rPr>
          <w:spacing w:val="28"/>
        </w:rPr>
        <w:t>万元以下的</w:t>
      </w:r>
      <w:r>
        <w:rPr>
          <w:spacing w:val="3"/>
        </w:rPr>
        <w:t>罚款</w:t>
      </w:r>
      <w:r>
        <w:rPr>
          <w:rFonts w:hint="eastAsia" w:ascii="MS UI Gothic" w:eastAsia="MS UI Gothic"/>
          <w:w w:val="230"/>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未取得安全生产许可证</w:t>
      </w:r>
      <w:r>
        <w:rPr>
          <w:rFonts w:hint="eastAsia" w:ascii="MS UI Gothic" w:eastAsia="MS UI Gothic"/>
          <w:w w:val="80"/>
        </w:rPr>
        <w:t xml:space="preserve">ꎬ </w:t>
      </w:r>
      <w:r>
        <w:rPr>
          <w:w w:val="105"/>
        </w:rPr>
        <w:t>擅自进行生产的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spacing w:val="-36"/>
          <w:w w:val="130"/>
        </w:rPr>
        <w:t xml:space="preserve">( </w:t>
      </w:r>
      <w:r>
        <w:rPr>
          <w:spacing w:val="29"/>
          <w:w w:val="110"/>
        </w:rPr>
        <w:t>二</w:t>
      </w:r>
      <w:r>
        <w:rPr>
          <w:rFonts w:hint="eastAsia" w:ascii="MS UI Gothic" w:eastAsia="MS UI Gothic"/>
          <w:spacing w:val="-13"/>
          <w:w w:val="130"/>
        </w:rPr>
        <w:t xml:space="preserve">) </w:t>
      </w:r>
      <w:r>
        <w:rPr>
          <w:spacing w:val="40"/>
          <w:w w:val="110"/>
        </w:rPr>
        <w:t>接受转让的安全生产许可</w:t>
      </w:r>
      <w:r>
        <w:rPr>
          <w:spacing w:val="3"/>
          <w:w w:val="110"/>
        </w:rPr>
        <w:t>证的</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冒用安全生产许可证的</w:t>
      </w:r>
      <w:r>
        <w:rPr>
          <w:rFonts w:hint="eastAsia" w:ascii="MS UI Gothic" w:eastAsia="MS UI Gothic"/>
          <w:w w:val="80"/>
        </w:rPr>
        <w:t>ꎻ</w:t>
      </w:r>
    </w:p>
    <w:p>
      <w:pPr>
        <w:pStyle w:val="6"/>
        <w:spacing w:before="44" w:line="295" w:lineRule="auto"/>
        <w:ind w:right="38"/>
        <w:rPr>
          <w:rFonts w:hint="eastAsia" w:ascii="MS UI Gothic" w:eastAsia="MS UI Gothic"/>
        </w:rPr>
      </w:pPr>
      <w:r>
        <w:rPr>
          <w:rFonts w:hint="eastAsia" w:ascii="MS UI Gothic" w:eastAsia="MS UI Gothic"/>
          <w:spacing w:val="-36"/>
          <w:w w:val="130"/>
        </w:rPr>
        <w:t xml:space="preserve">( </w:t>
      </w:r>
      <w:r>
        <w:rPr>
          <w:spacing w:val="29"/>
          <w:w w:val="110"/>
        </w:rPr>
        <w:t>四</w:t>
      </w:r>
      <w:r>
        <w:rPr>
          <w:rFonts w:hint="eastAsia" w:ascii="MS UI Gothic" w:eastAsia="MS UI Gothic"/>
          <w:spacing w:val="-13"/>
          <w:w w:val="130"/>
        </w:rPr>
        <w:t xml:space="preserve">) </w:t>
      </w:r>
      <w:r>
        <w:rPr>
          <w:spacing w:val="40"/>
          <w:w w:val="110"/>
        </w:rPr>
        <w:t>使用伪造的安全生产许可</w:t>
      </w:r>
      <w:r>
        <w:rPr>
          <w:spacing w:val="3"/>
          <w:w w:val="110"/>
        </w:rPr>
        <w:t>证的</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第四十三条 非煤矿矿山企业在安全</w:t>
      </w:r>
      <w:r>
        <w:t>生产许可证有效期内出现采矿许可证有效</w:t>
      </w:r>
      <w:r>
        <w:rPr>
          <w:w w:val="105"/>
        </w:rPr>
        <w:t>期届满和采矿许可证被暂扣</w:t>
      </w:r>
      <w:r>
        <w:rPr>
          <w:rFonts w:hint="eastAsia" w:ascii="MS UI Gothic" w:eastAsia="MS UI Gothic"/>
          <w:w w:val="80"/>
        </w:rPr>
        <w:t xml:space="preserve">、 </w:t>
      </w:r>
      <w:r>
        <w:rPr>
          <w:w w:val="105"/>
        </w:rPr>
        <w:t>撤销</w:t>
      </w:r>
      <w:r>
        <w:rPr>
          <w:rFonts w:hint="eastAsia" w:ascii="MS UI Gothic" w:eastAsia="MS UI Gothic"/>
          <w:w w:val="80"/>
        </w:rPr>
        <w:t xml:space="preserve">、 </w:t>
      </w:r>
      <w:r>
        <w:rPr>
          <w:w w:val="105"/>
        </w:rPr>
        <w:t>吊销</w:t>
      </w:r>
      <w:r>
        <w:rPr>
          <w:rFonts w:hint="eastAsia" w:ascii="MS UI Gothic" w:eastAsia="MS UI Gothic"/>
          <w:w w:val="80"/>
        </w:rPr>
        <w:t xml:space="preserve">、 </w:t>
      </w:r>
      <w:r>
        <w:rPr>
          <w:w w:val="105"/>
        </w:rPr>
        <w:t>注销的情况</w:t>
      </w:r>
      <w:r>
        <w:rPr>
          <w:rFonts w:hint="eastAsia" w:ascii="MS UI Gothic" w:eastAsia="MS UI Gothic"/>
          <w:w w:val="80"/>
        </w:rPr>
        <w:t xml:space="preserve">ꎬ </w:t>
      </w:r>
      <w:r>
        <w:rPr>
          <w:w w:val="105"/>
        </w:rPr>
        <w:t>未依照本实施办法第二</w:t>
      </w:r>
      <w:r>
        <w:t>十八条的规定向安全生产许可证颁发管理机关报告并交回安全生产许可证的</w:t>
      </w:r>
      <w:r>
        <w:rPr>
          <w:rFonts w:hint="eastAsia" w:ascii="MS UI Gothic" w:eastAsia="MS UI Gothic"/>
          <w:w w:val="80"/>
        </w:rPr>
        <w:t xml:space="preserve">ꎬ </w:t>
      </w:r>
      <w:r>
        <w:t xml:space="preserve">处 </w:t>
      </w:r>
      <w:r>
        <w:rPr>
          <w:rFonts w:hint="eastAsia" w:ascii="MS UI Gothic" w:eastAsia="MS UI Gothic"/>
          <w:w w:val="80"/>
        </w:rPr>
        <w:t>１</w:t>
      </w:r>
    </w:p>
    <w:p>
      <w:pPr>
        <w:pStyle w:val="6"/>
        <w:spacing w:line="251" w:lineRule="exact"/>
        <w:ind w:firstLine="0"/>
        <w:rPr>
          <w:rFonts w:hint="eastAsia" w:ascii="MS UI Gothic" w:eastAsia="MS UI Gothic"/>
        </w:rPr>
      </w:pPr>
      <w:r>
        <w:t xml:space="preserve">万元以上 </w:t>
      </w:r>
      <w:r>
        <w:rPr>
          <w:rFonts w:hint="eastAsia" w:ascii="MS UI Gothic" w:eastAsia="MS UI Gothic"/>
        </w:rPr>
        <w:t xml:space="preserve">３ </w:t>
      </w:r>
      <w:r>
        <w:t>万元以下罚款</w:t>
      </w:r>
      <w:r>
        <w:rPr>
          <w:rFonts w:hint="eastAsia" w:ascii="MS UI Gothic" w:eastAsia="MS UI Gothic"/>
          <w:w w:val="80"/>
        </w:rPr>
        <w:t>ꎮ</w:t>
      </w:r>
    </w:p>
    <w:p>
      <w:pPr>
        <w:pStyle w:val="6"/>
        <w:spacing w:before="56" w:line="295" w:lineRule="auto"/>
        <w:ind w:right="38"/>
        <w:rPr>
          <w:rFonts w:hint="eastAsia" w:ascii="MS UI Gothic" w:eastAsia="MS UI Gothic"/>
        </w:rPr>
      </w:pPr>
      <w:r>
        <w:t>第四十四条 非煤矿矿山企业在安全生产许可证有效期内</w:t>
      </w:r>
      <w:r>
        <w:rPr>
          <w:rFonts w:hint="eastAsia" w:ascii="MS UI Gothic" w:eastAsia="MS UI Gothic"/>
          <w:w w:val="80"/>
        </w:rPr>
        <w:t xml:space="preserve">ꎬ </w:t>
      </w:r>
      <w:r>
        <w:t>出现需要变更安全生产许可证的情形</w:t>
      </w:r>
      <w:r>
        <w:rPr>
          <w:rFonts w:hint="eastAsia" w:ascii="MS UI Gothic" w:eastAsia="MS UI Gothic"/>
          <w:w w:val="80"/>
        </w:rPr>
        <w:t xml:space="preserve">ꎬ </w:t>
      </w:r>
      <w:r>
        <w:t>未按本实施办法第二十一条的规定申请</w:t>
      </w:r>
      <w:r>
        <w:rPr>
          <w:rFonts w:hint="eastAsia" w:ascii="MS UI Gothic" w:eastAsia="MS UI Gothic"/>
          <w:w w:val="80"/>
        </w:rPr>
        <w:t xml:space="preserve">、 </w:t>
      </w:r>
      <w:r>
        <w:t>办理变更手续的</w:t>
      </w:r>
      <w:r>
        <w:rPr>
          <w:rFonts w:hint="eastAsia" w:ascii="MS UI Gothic" w:eastAsia="MS UI Gothic"/>
          <w:w w:val="80"/>
        </w:rPr>
        <w:t xml:space="preserve">ꎬ </w:t>
      </w:r>
      <w:r>
        <w:t>责令限期办理变更手续</w:t>
      </w:r>
      <w:r>
        <w:rPr>
          <w:rFonts w:hint="eastAsia" w:ascii="MS UI Gothic" w:eastAsia="MS UI Gothic"/>
          <w:w w:val="80"/>
        </w:rPr>
        <w:t xml:space="preserve">ꎬ </w:t>
      </w:r>
      <w:r>
        <w:t xml:space="preserve">并处 </w:t>
      </w:r>
      <w:r>
        <w:rPr>
          <w:rFonts w:hint="eastAsia" w:ascii="MS UI Gothic" w:eastAsia="MS UI Gothic"/>
          <w:w w:val="80"/>
        </w:rPr>
        <w:t xml:space="preserve">１ </w:t>
      </w:r>
      <w:r>
        <w:t xml:space="preserve">万元以上 </w:t>
      </w:r>
      <w:r>
        <w:rPr>
          <w:rFonts w:hint="eastAsia" w:ascii="MS UI Gothic" w:eastAsia="MS UI Gothic"/>
          <w:w w:val="80"/>
        </w:rPr>
        <w:t xml:space="preserve">３ </w:t>
      </w:r>
      <w:r>
        <w:t>万元以下罚款</w:t>
      </w:r>
      <w:r>
        <w:rPr>
          <w:rFonts w:hint="eastAsia" w:ascii="MS UI Gothic" w:eastAsia="MS UI Gothic"/>
          <w:w w:val="80"/>
        </w:rPr>
        <w:t>ꎮ</w:t>
      </w:r>
    </w:p>
    <w:p>
      <w:pPr>
        <w:pStyle w:val="6"/>
        <w:spacing w:line="295" w:lineRule="auto"/>
        <w:ind w:right="38"/>
      </w:pPr>
      <w:r>
        <w:rPr>
          <w:spacing w:val="3"/>
          <w:w w:val="105"/>
        </w:rPr>
        <w:t>地质勘探单位</w:t>
      </w:r>
      <w:r>
        <w:rPr>
          <w:rFonts w:hint="eastAsia" w:ascii="MS UI Gothic" w:eastAsia="MS UI Gothic"/>
          <w:spacing w:val="-1"/>
          <w:w w:val="80"/>
        </w:rPr>
        <w:t xml:space="preserve">、 </w:t>
      </w:r>
      <w:r>
        <w:rPr>
          <w:spacing w:val="2"/>
          <w:w w:val="105"/>
        </w:rPr>
        <w:t>采掘施工单位在登记</w:t>
      </w:r>
      <w:r>
        <w:rPr>
          <w:spacing w:val="27"/>
        </w:rPr>
        <w:t>注册地以外进行跨省作业</w:t>
      </w:r>
      <w:r>
        <w:rPr>
          <w:rFonts w:hint="eastAsia" w:ascii="MS UI Gothic" w:eastAsia="MS UI Gothic"/>
          <w:spacing w:val="2"/>
          <w:w w:val="80"/>
        </w:rPr>
        <w:t xml:space="preserve">ꎬ  </w:t>
      </w:r>
      <w:r>
        <w:rPr>
          <w:spacing w:val="27"/>
        </w:rPr>
        <w:t>以及跨省</w:t>
      </w:r>
      <w:r>
        <w:rPr>
          <w:rFonts w:hint="eastAsia" w:ascii="MS UI Gothic" w:eastAsia="MS UI Gothic"/>
          <w:spacing w:val="-24"/>
          <w:w w:val="150"/>
        </w:rPr>
        <w:t xml:space="preserve">( </w:t>
      </w:r>
      <w:r>
        <w:rPr>
          <w:spacing w:val="3"/>
          <w:w w:val="105"/>
        </w:rPr>
        <w:t>自治区</w:t>
      </w:r>
      <w:r>
        <w:rPr>
          <w:rFonts w:hint="eastAsia" w:ascii="MS UI Gothic" w:eastAsia="MS UI Gothic"/>
          <w:spacing w:val="19"/>
          <w:w w:val="80"/>
        </w:rPr>
        <w:t xml:space="preserve">、 </w:t>
      </w:r>
      <w:r>
        <w:rPr>
          <w:spacing w:val="7"/>
          <w:w w:val="105"/>
        </w:rPr>
        <w:t>直辖市</w:t>
      </w:r>
      <w:r>
        <w:rPr>
          <w:rFonts w:hint="eastAsia" w:ascii="MS UI Gothic" w:eastAsia="MS UI Gothic"/>
          <w:spacing w:val="8"/>
          <w:w w:val="150"/>
        </w:rPr>
        <w:t xml:space="preserve">) </w:t>
      </w:r>
      <w:r>
        <w:rPr>
          <w:spacing w:val="8"/>
          <w:w w:val="105"/>
        </w:rPr>
        <w:t>运营的石油天然气管</w:t>
      </w:r>
    </w:p>
    <w:p>
      <w:pPr>
        <w:pStyle w:val="6"/>
        <w:spacing w:before="123" w:line="295" w:lineRule="auto"/>
        <w:ind w:left="130" w:right="442" w:firstLine="0"/>
        <w:rPr>
          <w:rFonts w:hint="eastAsia" w:ascii="MS UI Gothic" w:eastAsia="MS UI Gothic"/>
        </w:rPr>
      </w:pPr>
      <w:r>
        <w:br w:type="column"/>
      </w:r>
      <w:r>
        <w:t>道管理的单位</w:t>
      </w:r>
      <w:r>
        <w:rPr>
          <w:rFonts w:hint="eastAsia" w:ascii="MS UI Gothic" w:eastAsia="MS UI Gothic"/>
          <w:w w:val="80"/>
        </w:rPr>
        <w:t xml:space="preserve">ꎬ </w:t>
      </w:r>
      <w:r>
        <w:t>未按照本实施办法第二十六条的规定书面报告的</w:t>
      </w:r>
      <w:r>
        <w:rPr>
          <w:rFonts w:hint="eastAsia" w:ascii="MS UI Gothic" w:eastAsia="MS UI Gothic"/>
          <w:w w:val="80"/>
        </w:rPr>
        <w:t xml:space="preserve">ꎬ </w:t>
      </w:r>
      <w:r>
        <w:t>责令限期办理书面报告手续</w:t>
      </w:r>
      <w:r>
        <w:rPr>
          <w:rFonts w:hint="eastAsia" w:ascii="MS UI Gothic" w:eastAsia="MS UI Gothic"/>
          <w:w w:val="80"/>
        </w:rPr>
        <w:t xml:space="preserve">ꎬ </w:t>
      </w:r>
      <w:r>
        <w:t xml:space="preserve">并处 </w:t>
      </w:r>
      <w:r>
        <w:rPr>
          <w:rFonts w:hint="eastAsia" w:ascii="MS UI Gothic" w:eastAsia="MS UI Gothic"/>
          <w:w w:val="80"/>
        </w:rPr>
        <w:t xml:space="preserve">１ </w:t>
      </w:r>
      <w:r>
        <w:t xml:space="preserve">万元以上 </w:t>
      </w:r>
      <w:r>
        <w:rPr>
          <w:rFonts w:hint="eastAsia" w:ascii="MS UI Gothic" w:eastAsia="MS UI Gothic"/>
          <w:w w:val="80"/>
        </w:rPr>
        <w:t xml:space="preserve">３ </w:t>
      </w:r>
      <w:r>
        <w:t>万元以下的罚款</w:t>
      </w:r>
      <w:r>
        <w:rPr>
          <w:rFonts w:hint="eastAsia" w:ascii="MS UI Gothic" w:eastAsia="MS UI Gothic"/>
          <w:w w:val="80"/>
        </w:rPr>
        <w:t>ꎮ</w:t>
      </w:r>
    </w:p>
    <w:p>
      <w:pPr>
        <w:pStyle w:val="6"/>
        <w:spacing w:line="295" w:lineRule="auto"/>
        <w:ind w:left="130" w:right="442"/>
        <w:rPr>
          <w:rFonts w:hint="eastAsia" w:ascii="MS UI Gothic" w:eastAsia="MS UI Gothic"/>
        </w:rPr>
      </w:pPr>
      <w:r>
        <w:t>第四十五条 非煤矿矿山企业在安全生产许可证有效期满未办理延期手续</w:t>
      </w:r>
      <w:r>
        <w:rPr>
          <w:rFonts w:hint="eastAsia" w:ascii="MS UI Gothic" w:eastAsia="MS UI Gothic"/>
          <w:w w:val="85"/>
        </w:rPr>
        <w:t xml:space="preserve">ꎬ </w:t>
      </w:r>
      <w:r>
        <w:t>继续进行生产的</w:t>
      </w:r>
      <w:r>
        <w:rPr>
          <w:rFonts w:hint="eastAsia" w:ascii="MS UI Gothic" w:eastAsia="MS UI Gothic"/>
          <w:w w:val="85"/>
        </w:rPr>
        <w:t xml:space="preserve">ꎬ </w:t>
      </w:r>
      <w:r>
        <w:t>责令停止生产</w:t>
      </w:r>
      <w:r>
        <w:rPr>
          <w:rFonts w:hint="eastAsia" w:ascii="MS UI Gothic" w:eastAsia="MS UI Gothic"/>
          <w:w w:val="85"/>
        </w:rPr>
        <w:t xml:space="preserve">ꎬ </w:t>
      </w:r>
      <w:r>
        <w:t>限期补办延期手续</w:t>
      </w:r>
      <w:r>
        <w:rPr>
          <w:rFonts w:hint="eastAsia" w:ascii="MS UI Gothic" w:eastAsia="MS UI Gothic"/>
          <w:w w:val="85"/>
        </w:rPr>
        <w:t xml:space="preserve">ꎬ </w:t>
      </w:r>
      <w:r>
        <w:t>没收违法所得</w:t>
      </w:r>
      <w:r>
        <w:rPr>
          <w:rFonts w:hint="eastAsia" w:ascii="MS UI Gothic" w:eastAsia="MS UI Gothic"/>
          <w:w w:val="85"/>
        </w:rPr>
        <w:t xml:space="preserve">ꎬ </w:t>
      </w:r>
      <w:r>
        <w:t xml:space="preserve">并处 </w:t>
      </w:r>
      <w:r>
        <w:rPr>
          <w:rFonts w:hint="eastAsia" w:ascii="MS UI Gothic" w:eastAsia="MS UI Gothic"/>
          <w:w w:val="85"/>
        </w:rPr>
        <w:t xml:space="preserve">５ </w:t>
      </w:r>
      <w:r>
        <w:t xml:space="preserve">万元以上 </w:t>
      </w:r>
      <w:r>
        <w:rPr>
          <w:rFonts w:hint="eastAsia" w:ascii="MS UI Gothic" w:eastAsia="MS UI Gothic"/>
          <w:w w:val="85"/>
        </w:rPr>
        <w:t xml:space="preserve">１０ </w:t>
      </w:r>
      <w:r>
        <w:t>万元以下的罚款</w:t>
      </w:r>
      <w:r>
        <w:rPr>
          <w:rFonts w:hint="eastAsia" w:ascii="MS UI Gothic" w:eastAsia="MS UI Gothic"/>
          <w:w w:val="85"/>
        </w:rPr>
        <w:t xml:space="preserve">ꎻ </w:t>
      </w:r>
      <w:r>
        <w:t>逾期仍不办理延期手续</w:t>
      </w:r>
      <w:r>
        <w:rPr>
          <w:rFonts w:hint="eastAsia" w:ascii="MS UI Gothic" w:eastAsia="MS UI Gothic"/>
          <w:w w:val="85"/>
        </w:rPr>
        <w:t xml:space="preserve">ꎬ </w:t>
      </w:r>
      <w:r>
        <w:t>继续进行生产的</w:t>
      </w:r>
      <w:r>
        <w:rPr>
          <w:rFonts w:hint="eastAsia" w:ascii="MS UI Gothic" w:eastAsia="MS UI Gothic"/>
          <w:w w:val="85"/>
        </w:rPr>
        <w:t xml:space="preserve">ꎬ </w:t>
      </w:r>
      <w:r>
        <w:t>依照本实施办法第四十二条的规定处罚</w:t>
      </w:r>
      <w:r>
        <w:rPr>
          <w:rFonts w:hint="eastAsia" w:ascii="MS UI Gothic" w:eastAsia="MS UI Gothic"/>
          <w:w w:val="85"/>
        </w:rPr>
        <w:t>ꎮ</w:t>
      </w:r>
    </w:p>
    <w:p>
      <w:pPr>
        <w:pStyle w:val="6"/>
        <w:spacing w:line="295" w:lineRule="auto"/>
        <w:ind w:right="442" w:firstLine="425"/>
        <w:rPr>
          <w:rFonts w:hint="eastAsia" w:ascii="MS UI Gothic" w:eastAsia="MS UI Gothic"/>
        </w:rPr>
      </w:pPr>
      <w:r>
        <w:t>第四十六条 非煤矿矿山企业转让安全生产许可证的</w:t>
      </w:r>
      <w:r>
        <w:rPr>
          <w:rFonts w:hint="eastAsia" w:ascii="MS UI Gothic" w:eastAsia="MS UI Gothic"/>
          <w:w w:val="85"/>
        </w:rPr>
        <w:t xml:space="preserve">ꎬ </w:t>
      </w:r>
      <w:r>
        <w:t>没收违法所得</w:t>
      </w:r>
      <w:r>
        <w:rPr>
          <w:rFonts w:hint="eastAsia" w:ascii="MS UI Gothic" w:eastAsia="MS UI Gothic"/>
          <w:w w:val="85"/>
        </w:rPr>
        <w:t xml:space="preserve">ꎬ </w:t>
      </w:r>
      <w:r>
        <w:t>并处</w:t>
      </w:r>
      <w:r>
        <w:rPr>
          <w:rFonts w:hint="eastAsia" w:ascii="MS UI Gothic" w:eastAsia="MS UI Gothic"/>
          <w:w w:val="85"/>
        </w:rPr>
        <w:t xml:space="preserve">１０ </w:t>
      </w:r>
      <w:r>
        <w:t xml:space="preserve">万元以上 </w:t>
      </w:r>
      <w:r>
        <w:rPr>
          <w:rFonts w:hint="eastAsia" w:ascii="MS UI Gothic" w:eastAsia="MS UI Gothic"/>
          <w:w w:val="85"/>
        </w:rPr>
        <w:t xml:space="preserve">５０ </w:t>
      </w:r>
      <w:r>
        <w:t>万元以下的罚款</w:t>
      </w:r>
      <w:r>
        <w:rPr>
          <w:rFonts w:hint="eastAsia" w:ascii="MS UI Gothic" w:eastAsia="MS UI Gothic"/>
          <w:w w:val="85"/>
        </w:rPr>
        <w:t>ꎮ</w:t>
      </w:r>
    </w:p>
    <w:p>
      <w:pPr>
        <w:pStyle w:val="6"/>
        <w:spacing w:line="295" w:lineRule="auto"/>
        <w:ind w:left="130" w:right="442"/>
        <w:rPr>
          <w:rFonts w:hint="eastAsia" w:ascii="MS UI Gothic" w:eastAsia="MS UI Gothic"/>
        </w:rPr>
      </w:pPr>
      <w:r>
        <w:rPr>
          <w:w w:val="105"/>
        </w:rPr>
        <w:t>第四十七条 本实施办法规定的行政</w:t>
      </w:r>
      <w:r>
        <w:t>处罚</w:t>
      </w:r>
      <w:r>
        <w:rPr>
          <w:rFonts w:hint="eastAsia" w:ascii="MS UI Gothic" w:eastAsia="MS UI Gothic"/>
          <w:w w:val="80"/>
        </w:rPr>
        <w:t xml:space="preserve">ꎬ </w:t>
      </w:r>
      <w:r>
        <w:t>由安全生产许可证颁发管理机关决定</w:t>
      </w:r>
      <w:r>
        <w:rPr>
          <w:rFonts w:hint="eastAsia" w:ascii="MS UI Gothic" w:eastAsia="MS UI Gothic"/>
          <w:w w:val="80"/>
        </w:rPr>
        <w:t xml:space="preserve">ꎮ </w:t>
      </w:r>
      <w:r>
        <w:t>安全生产许可证颁发管理机关可以委托县级以上安全生产监督管理部门实施行</w:t>
      </w:r>
      <w:r>
        <w:rPr>
          <w:w w:val="105"/>
        </w:rPr>
        <w:t>政处罚</w:t>
      </w:r>
      <w:r>
        <w:rPr>
          <w:rFonts w:hint="eastAsia" w:ascii="MS UI Gothic" w:eastAsia="MS UI Gothic"/>
          <w:w w:val="80"/>
        </w:rPr>
        <w:t xml:space="preserve">ꎮ </w:t>
      </w:r>
      <w:r>
        <w:rPr>
          <w:w w:val="105"/>
        </w:rPr>
        <w:t>但撤销</w:t>
      </w:r>
      <w:r>
        <w:rPr>
          <w:rFonts w:hint="eastAsia" w:ascii="MS UI Gothic" w:eastAsia="MS UI Gothic"/>
          <w:w w:val="80"/>
        </w:rPr>
        <w:t xml:space="preserve">、 </w:t>
      </w:r>
      <w:r>
        <w:rPr>
          <w:w w:val="105"/>
        </w:rPr>
        <w:t>吊销安全生产许可证和撤销有关资格的行政处罚除外</w:t>
      </w:r>
      <w:r>
        <w:rPr>
          <w:rFonts w:hint="eastAsia" w:ascii="MS UI Gothic" w:eastAsia="MS UI Gothic"/>
          <w:w w:val="80"/>
        </w:rPr>
        <w:t>ꎮ</w:t>
      </w:r>
    </w:p>
    <w:p>
      <w:pPr>
        <w:pStyle w:val="6"/>
        <w:tabs>
          <w:tab w:val="left" w:pos="2016"/>
          <w:tab w:val="left" w:pos="2645"/>
        </w:tabs>
        <w:spacing w:before="141"/>
        <w:ind w:left="1178" w:firstLine="0"/>
        <w:jc w:val="left"/>
      </w:pPr>
      <w:r>
        <w:rPr>
          <w:spacing w:val="3"/>
          <w:w w:val="105"/>
        </w:rPr>
        <w:t>第七</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spacing w:line="295" w:lineRule="auto"/>
        <w:ind w:left="130" w:right="442"/>
        <w:rPr>
          <w:rFonts w:hint="eastAsia" w:ascii="MS UI Gothic" w:eastAsia="MS UI Gothic"/>
        </w:rPr>
      </w:pPr>
      <w:r>
        <w:rPr>
          <w:w w:val="105"/>
        </w:rPr>
        <w:t>第四十八条 本实施办法所称非煤矿</w:t>
      </w:r>
      <w:r>
        <w:t>矿山企业独立生产系统</w:t>
      </w:r>
      <w:r>
        <w:rPr>
          <w:rFonts w:hint="eastAsia" w:ascii="MS UI Gothic" w:eastAsia="MS UI Gothic"/>
          <w:w w:val="80"/>
        </w:rPr>
        <w:t xml:space="preserve">ꎬ </w:t>
      </w:r>
      <w:r>
        <w:t>是指具有相对独</w:t>
      </w:r>
      <w:r>
        <w:rPr>
          <w:w w:val="105"/>
        </w:rPr>
        <w:t>立的采掘生产系统及通风</w:t>
      </w:r>
      <w:r>
        <w:rPr>
          <w:rFonts w:hint="eastAsia" w:ascii="MS UI Gothic" w:eastAsia="MS UI Gothic"/>
          <w:w w:val="80"/>
        </w:rPr>
        <w:t xml:space="preserve">、 </w:t>
      </w:r>
      <w:r>
        <w:rPr>
          <w:w w:val="105"/>
        </w:rPr>
        <w:t xml:space="preserve">运输 </w:t>
      </w:r>
      <w:r>
        <w:rPr>
          <w:rFonts w:hint="eastAsia" w:ascii="MS UI Gothic" w:eastAsia="MS UI Gothic"/>
          <w:w w:val="150"/>
        </w:rPr>
        <w:t xml:space="preserve">( </w:t>
      </w:r>
      <w:r>
        <w:rPr>
          <w:w w:val="105"/>
        </w:rPr>
        <w:t>提升</w:t>
      </w:r>
      <w:r>
        <w:rPr>
          <w:rFonts w:hint="eastAsia" w:ascii="MS UI Gothic" w:eastAsia="MS UI Gothic"/>
          <w:w w:val="150"/>
        </w:rPr>
        <w:t>)</w:t>
      </w:r>
      <w:r>
        <w:rPr>
          <w:rFonts w:hint="eastAsia" w:ascii="MS UI Gothic" w:eastAsia="MS UI Gothic"/>
          <w:w w:val="80"/>
        </w:rPr>
        <w:t xml:space="preserve">、 </w:t>
      </w:r>
      <w:r>
        <w:rPr>
          <w:w w:val="105"/>
        </w:rPr>
        <w:t>供配电</w:t>
      </w:r>
      <w:r>
        <w:rPr>
          <w:rFonts w:hint="eastAsia" w:ascii="MS UI Gothic" w:eastAsia="MS UI Gothic"/>
          <w:w w:val="80"/>
        </w:rPr>
        <w:t xml:space="preserve">、 </w:t>
      </w:r>
      <w:r>
        <w:rPr>
          <w:w w:val="105"/>
        </w:rPr>
        <w:t>防排水等辅助系统的作业单位</w:t>
      </w:r>
      <w:r>
        <w:rPr>
          <w:rFonts w:hint="eastAsia" w:ascii="MS UI Gothic" w:eastAsia="MS UI Gothic"/>
          <w:w w:val="80"/>
        </w:rPr>
        <w:t>ꎮ</w:t>
      </w:r>
    </w:p>
    <w:p>
      <w:pPr>
        <w:pStyle w:val="6"/>
        <w:spacing w:line="295" w:lineRule="auto"/>
        <w:ind w:left="130" w:right="442"/>
        <w:rPr>
          <w:rFonts w:hint="eastAsia" w:ascii="MS UI Gothic" w:eastAsia="MS UI Gothic"/>
        </w:rPr>
      </w:pPr>
      <w:r>
        <w:t>第四十九条 危险性较小的地热</w:t>
      </w:r>
      <w:r>
        <w:rPr>
          <w:rFonts w:hint="eastAsia" w:ascii="MS UI Gothic" w:eastAsia="MS UI Gothic"/>
          <w:w w:val="80"/>
        </w:rPr>
        <w:t xml:space="preserve">、 </w:t>
      </w:r>
      <w:r>
        <w:t>温泉</w:t>
      </w:r>
      <w:r>
        <w:rPr>
          <w:rFonts w:hint="eastAsia" w:ascii="MS UI Gothic" w:eastAsia="MS UI Gothic"/>
          <w:w w:val="80"/>
        </w:rPr>
        <w:t xml:space="preserve">、 </w:t>
      </w:r>
      <w:r>
        <w:t>矿泉水</w:t>
      </w:r>
      <w:r>
        <w:rPr>
          <w:rFonts w:hint="eastAsia" w:ascii="MS UI Gothic" w:eastAsia="MS UI Gothic"/>
          <w:w w:val="80"/>
        </w:rPr>
        <w:t xml:space="preserve">、 </w:t>
      </w:r>
      <w:r>
        <w:t>卤水</w:t>
      </w:r>
      <w:r>
        <w:rPr>
          <w:rFonts w:hint="eastAsia" w:ascii="MS UI Gothic" w:eastAsia="MS UI Gothic"/>
          <w:w w:val="80"/>
        </w:rPr>
        <w:t xml:space="preserve">、 </w:t>
      </w:r>
      <w:r>
        <w:t>砖瓦用粘土等资源开采活动的安全生产许可</w:t>
      </w:r>
      <w:r>
        <w:rPr>
          <w:rFonts w:hint="eastAsia" w:ascii="MS UI Gothic" w:eastAsia="MS UI Gothic"/>
          <w:w w:val="80"/>
        </w:rPr>
        <w:t xml:space="preserve">ꎬ </w:t>
      </w:r>
      <w:r>
        <w:t>由省级安全生产许可证颁发管理机关决定</w:t>
      </w:r>
      <w:r>
        <w:rPr>
          <w:rFonts w:hint="eastAsia" w:ascii="MS UI Gothic" w:eastAsia="MS UI Gothic"/>
          <w:w w:val="80"/>
        </w:rPr>
        <w:t>ꎮ</w:t>
      </w:r>
    </w:p>
    <w:p>
      <w:pPr>
        <w:pStyle w:val="6"/>
        <w:spacing w:line="295" w:lineRule="auto"/>
        <w:ind w:left="130" w:right="442"/>
        <w:rPr>
          <w:rFonts w:hint="eastAsia" w:ascii="MS UI Gothic" w:eastAsia="MS UI Gothic"/>
        </w:rPr>
      </w:pPr>
      <w:r>
        <w:rPr>
          <w:w w:val="105"/>
        </w:rPr>
        <w:t>第五十条 同时开采煤炭与金属非金属矿产资源且以煤炭</w:t>
      </w:r>
      <w:r>
        <w:rPr>
          <w:rFonts w:hint="eastAsia" w:ascii="MS UI Gothic" w:eastAsia="MS UI Gothic"/>
          <w:w w:val="80"/>
        </w:rPr>
        <w:t xml:space="preserve">、 </w:t>
      </w:r>
      <w:r>
        <w:rPr>
          <w:w w:val="105"/>
        </w:rPr>
        <w:t>煤层气为主采矿种</w:t>
      </w:r>
      <w:r>
        <w:t>的煤系矿山企业应当申请领取煤矿企业安全生产许可证</w:t>
      </w:r>
      <w:r>
        <w:rPr>
          <w:rFonts w:hint="eastAsia" w:ascii="MS UI Gothic" w:eastAsia="MS UI Gothic"/>
          <w:w w:val="80"/>
        </w:rPr>
        <w:t xml:space="preserve">ꎬ </w:t>
      </w:r>
      <w:r>
        <w:t>不再申请领取非煤矿矿山</w:t>
      </w:r>
      <w:r>
        <w:rPr>
          <w:w w:val="105"/>
        </w:rPr>
        <w:t>企业安全生产许可证</w:t>
      </w:r>
      <w:r>
        <w:rPr>
          <w:rFonts w:hint="eastAsia" w:ascii="MS UI Gothic" w:eastAsia="MS UI Gothic"/>
          <w:w w:val="80"/>
        </w:rPr>
        <w:t>ꎮ</w:t>
      </w:r>
    </w:p>
    <w:p>
      <w:pPr>
        <w:pStyle w:val="6"/>
        <w:spacing w:line="295" w:lineRule="auto"/>
        <w:ind w:left="130" w:right="442"/>
        <w:rPr>
          <w:rFonts w:hint="eastAsia" w:ascii="MS UI Gothic" w:eastAsia="MS UI Gothic"/>
        </w:rPr>
      </w:pPr>
      <w:r>
        <w:rPr>
          <w:spacing w:val="2"/>
          <w:w w:val="105"/>
        </w:rPr>
        <w:t>第五十一条 本实施办法自公布之日</w:t>
      </w:r>
      <w:r>
        <w:rPr>
          <w:spacing w:val="3"/>
          <w:w w:val="105"/>
        </w:rPr>
        <w:t>起施行</w:t>
      </w:r>
      <w:r>
        <w:rPr>
          <w:rFonts w:hint="eastAsia" w:ascii="MS UI Gothic" w:eastAsia="MS UI Gothic"/>
          <w:spacing w:val="-9"/>
          <w:w w:val="90"/>
        </w:rPr>
        <w:t xml:space="preserve">ꎮ ２００４ </w:t>
      </w:r>
      <w:r>
        <w:rPr>
          <w:spacing w:val="-44"/>
          <w:w w:val="105"/>
        </w:rPr>
        <w:t xml:space="preserve">年 </w:t>
      </w:r>
      <w:r>
        <w:rPr>
          <w:rFonts w:hint="eastAsia" w:ascii="MS UI Gothic" w:eastAsia="MS UI Gothic"/>
          <w:spacing w:val="-16"/>
          <w:w w:val="90"/>
        </w:rPr>
        <w:t xml:space="preserve">５ </w:t>
      </w:r>
      <w:r>
        <w:rPr>
          <w:spacing w:val="-43"/>
          <w:w w:val="105"/>
        </w:rPr>
        <w:t xml:space="preserve">月 </w:t>
      </w:r>
      <w:r>
        <w:rPr>
          <w:rFonts w:hint="eastAsia" w:ascii="MS UI Gothic" w:eastAsia="MS UI Gothic"/>
          <w:spacing w:val="-11"/>
          <w:w w:val="90"/>
        </w:rPr>
        <w:t xml:space="preserve">１７ </w:t>
      </w:r>
      <w:r>
        <w:rPr>
          <w:spacing w:val="9"/>
          <w:w w:val="105"/>
        </w:rPr>
        <w:t>日原国家安全生</w:t>
      </w:r>
      <w:r>
        <w:rPr>
          <w:spacing w:val="10"/>
          <w:w w:val="105"/>
        </w:rPr>
        <w:t xml:space="preserve">产监督管理局 </w:t>
      </w:r>
      <w:r>
        <w:rPr>
          <w:rFonts w:hint="eastAsia" w:ascii="MS UI Gothic" w:eastAsia="MS UI Gothic"/>
          <w:spacing w:val="-28"/>
          <w:w w:val="140"/>
        </w:rPr>
        <w:t xml:space="preserve">( </w:t>
      </w:r>
      <w:r>
        <w:rPr>
          <w:spacing w:val="24"/>
          <w:w w:val="105"/>
        </w:rPr>
        <w:t>国家煤矿安全监察局</w:t>
      </w:r>
      <w:r>
        <w:rPr>
          <w:rFonts w:hint="eastAsia" w:ascii="MS UI Gothic" w:eastAsia="MS UI Gothic"/>
          <w:w w:val="140"/>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2"/>
            <w:col w:w="4354"/>
          </w:cols>
        </w:sectPr>
      </w:pPr>
    </w:p>
    <w:p>
      <w:pPr>
        <w:spacing w:before="192"/>
        <w:ind w:left="2645" w:right="484" w:firstLine="0"/>
        <w:jc w:val="center"/>
        <w:rPr>
          <w:sz w:val="17"/>
        </w:rPr>
      </w:pPr>
      <w:r>
        <w:rPr>
          <w:sz w:val="17"/>
        </w:rPr>
        <w:t>四</w:t>
      </w:r>
      <w:r>
        <w:rPr>
          <w:rFonts w:hint="eastAsia" w:ascii="Microsoft Yi Baiti" w:eastAsia="Microsoft Yi Baiti"/>
          <w:sz w:val="17"/>
        </w:rPr>
        <w:t xml:space="preserve">、 </w:t>
      </w:r>
      <w:r>
        <w:rPr>
          <w:sz w:val="17"/>
        </w:rPr>
        <w:t>安 全 生 产 法</w:t>
      </w:r>
    </w:p>
    <w:p>
      <w:pPr>
        <w:pStyle w:val="6"/>
        <w:spacing w:before="8"/>
        <w:ind w:left="0" w:firstLine="0"/>
        <w:jc w:val="left"/>
        <w:rPr>
          <w:sz w:val="23"/>
        </w:rPr>
      </w:pPr>
    </w:p>
    <w:p>
      <w:pPr>
        <w:pStyle w:val="6"/>
        <w:tabs>
          <w:tab w:val="left" w:pos="4632"/>
        </w:tabs>
        <w:ind w:left="440" w:firstLine="0"/>
        <w:jc w:val="left"/>
        <w:rPr>
          <w:rFonts w:hint="eastAsia" w:ascii="MS UI Gothic" w:hAnsi="MS UI Gothic" w:eastAsia="MS UI Gothic"/>
        </w:rPr>
      </w:pPr>
      <w:r>
        <w:rPr>
          <w:spacing w:val="3"/>
        </w:rPr>
        <w:t>公</w:t>
      </w:r>
      <w:r>
        <w:rPr>
          <w:spacing w:val="11"/>
        </w:rPr>
        <w:t>布</w:t>
      </w:r>
      <w:r>
        <w:t>的</w:t>
      </w:r>
      <w:r>
        <w:rPr>
          <w:spacing w:val="53"/>
        </w:rPr>
        <w:t xml:space="preserve"> </w:t>
      </w:r>
      <w:r>
        <w:rPr>
          <w:rFonts w:hint="eastAsia" w:ascii="MS UI Gothic" w:hAnsi="MS UI Gothic" w:eastAsia="MS UI Gothic"/>
          <w:w w:val="80"/>
        </w:rPr>
        <w:t>«</w:t>
      </w:r>
      <w:r>
        <w:rPr>
          <w:rFonts w:hint="eastAsia" w:ascii="MS UI Gothic" w:hAnsi="MS UI Gothic" w:eastAsia="MS UI Gothic"/>
          <w:spacing w:val="-11"/>
          <w:w w:val="80"/>
        </w:rPr>
        <w:t xml:space="preserve"> </w:t>
      </w:r>
      <w:r>
        <w:rPr>
          <w:spacing w:val="17"/>
        </w:rPr>
        <w:t>非煤矿山企业安全生产</w:t>
      </w:r>
      <w:r>
        <w:rPr>
          <w:spacing w:val="19"/>
        </w:rPr>
        <w:t>许可</w:t>
      </w:r>
      <w:r>
        <w:t>证</w:t>
      </w:r>
      <w:r>
        <w:tab/>
      </w:r>
      <w:r>
        <w:rPr>
          <w:spacing w:val="3"/>
        </w:rPr>
        <w:t>实施办法</w:t>
      </w:r>
      <w:r>
        <w:rPr>
          <w:rFonts w:hint="eastAsia" w:ascii="MS UI Gothic" w:hAnsi="MS UI Gothic" w:eastAsia="MS UI Gothic"/>
          <w:w w:val="80"/>
        </w:rPr>
        <w:t>»</w:t>
      </w:r>
      <w:r>
        <w:rPr>
          <w:rFonts w:hint="eastAsia" w:ascii="MS UI Gothic" w:hAnsi="MS UI Gothic" w:eastAsia="MS UI Gothic"/>
          <w:spacing w:val="17"/>
          <w:w w:val="80"/>
        </w:rPr>
        <w:t xml:space="preserve"> </w:t>
      </w:r>
      <w:r>
        <w:rPr>
          <w:spacing w:val="3"/>
        </w:rPr>
        <w:t>同时废止</w:t>
      </w:r>
      <w:r>
        <w:rPr>
          <w:rFonts w:hint="eastAsia" w:ascii="MS UI Gothic" w:hAnsi="MS UI Gothic" w:eastAsia="MS UI Gothic"/>
          <w:w w:val="80"/>
        </w:rPr>
        <w:t>ꎮ</w:t>
      </w:r>
    </w:p>
    <w:p>
      <w:pPr>
        <w:pStyle w:val="4"/>
        <w:ind w:left="2645" w:right="486"/>
      </w:pPr>
      <w:r>
        <w:t>国家安全生产监督管理总局令</w:t>
      </w:r>
    </w:p>
    <w:p>
      <w:pPr>
        <w:pStyle w:val="6"/>
        <w:ind w:left="0" w:firstLine="0"/>
        <w:jc w:val="left"/>
        <w:rPr>
          <w:sz w:val="27"/>
        </w:rPr>
      </w:pPr>
    </w:p>
    <w:p>
      <w:pPr>
        <w:pStyle w:val="5"/>
        <w:spacing w:before="1"/>
        <w:ind w:left="2645" w:right="484"/>
      </w:pPr>
      <w:r>
        <w:t xml:space="preserve">第 </w:t>
      </w:r>
      <w:r>
        <w:rPr>
          <w:rFonts w:hint="eastAsia" w:ascii="MS UI Gothic" w:eastAsia="MS UI Gothic"/>
        </w:rPr>
        <w:t xml:space="preserve">６２ </w:t>
      </w:r>
      <w:r>
        <w:t>号</w:t>
      </w:r>
    </w:p>
    <w:p>
      <w:pPr>
        <w:pStyle w:val="6"/>
        <w:spacing w:before="159"/>
        <w:ind w:left="440" w:firstLine="0"/>
        <w:jc w:val="left"/>
        <w:rPr>
          <w:rFonts w:hint="eastAsia" w:ascii="MS UI Gothic" w:eastAsia="MS UI Gothic"/>
        </w:rPr>
      </w:pPr>
      <w:r>
        <w:br w:type="column"/>
      </w:r>
      <w:r>
        <w:rPr>
          <w:rFonts w:hint="eastAsia" w:ascii="MS UI Gothic" w:eastAsia="MS UI Gothic"/>
          <w:spacing w:val="1"/>
          <w:w w:val="75"/>
        </w:rPr>
        <w:t>４０９</w:t>
      </w:r>
    </w:p>
    <w:p>
      <w:pPr>
        <w:spacing w:after="0"/>
        <w:jc w:val="left"/>
        <w:rPr>
          <w:rFonts w:hint="eastAsia" w:ascii="MS UI Gothic" w:eastAsia="MS UI Gothic"/>
        </w:rPr>
        <w:sectPr>
          <w:pgSz w:w="10500" w:h="14750"/>
          <w:pgMar w:top="960" w:right="980" w:bottom="280" w:left="980" w:header="720" w:footer="720" w:gutter="0"/>
          <w:cols w:equalWidth="0" w:num="2">
            <w:col w:w="6682" w:space="390"/>
            <w:col w:w="1468"/>
          </w:cols>
        </w:sectPr>
      </w:pPr>
    </w:p>
    <w:p>
      <w:pPr>
        <w:pStyle w:val="6"/>
        <w:ind w:left="0" w:firstLine="0"/>
        <w:jc w:val="left"/>
        <w:rPr>
          <w:rFonts w:ascii="MS UI Gothic"/>
          <w:sz w:val="14"/>
        </w:rPr>
      </w:pPr>
    </w:p>
    <w:p>
      <w:pPr>
        <w:pStyle w:val="6"/>
        <w:spacing w:before="174"/>
        <w:ind w:left="860" w:firstLine="0"/>
        <w:jc w:val="left"/>
      </w:pPr>
      <w:r>
        <w:rPr>
          <w:rFonts w:hint="eastAsia" w:ascii="MS UI Gothic" w:hAnsi="MS UI Gothic" w:eastAsia="MS UI Gothic"/>
        </w:rPr>
        <w:t xml:space="preserve">« </w:t>
      </w:r>
      <w:r>
        <w:t>非煤矿山外包工程安全管理暂行办法</w:t>
      </w:r>
      <w:r>
        <w:rPr>
          <w:rFonts w:hint="eastAsia" w:ascii="MS UI Gothic" w:hAnsi="MS UI Gothic" w:eastAsia="MS UI Gothic"/>
        </w:rPr>
        <w:t xml:space="preserve">» </w:t>
      </w:r>
      <w:r>
        <w:t xml:space="preserve">已经 </w:t>
      </w:r>
      <w:r>
        <w:rPr>
          <w:rFonts w:hint="eastAsia" w:ascii="MS UI Gothic" w:hAnsi="MS UI Gothic" w:eastAsia="MS UI Gothic"/>
        </w:rPr>
        <w:t xml:space="preserve">２０１３ </w:t>
      </w:r>
      <w:r>
        <w:t xml:space="preserve">年 </w:t>
      </w:r>
      <w:r>
        <w:rPr>
          <w:rFonts w:hint="eastAsia" w:ascii="MS UI Gothic" w:hAnsi="MS UI Gothic" w:eastAsia="MS UI Gothic"/>
        </w:rPr>
        <w:t xml:space="preserve">７ </w:t>
      </w:r>
      <w:r>
        <w:t xml:space="preserve">月 </w:t>
      </w:r>
      <w:r>
        <w:rPr>
          <w:rFonts w:hint="eastAsia" w:ascii="MS UI Gothic" w:hAnsi="MS UI Gothic" w:eastAsia="MS UI Gothic"/>
        </w:rPr>
        <w:t xml:space="preserve">２９ </w:t>
      </w:r>
      <w:r>
        <w:t>日国家安全生产监督</w:t>
      </w:r>
    </w:p>
    <w:p>
      <w:pPr>
        <w:pStyle w:val="6"/>
        <w:spacing w:before="58"/>
        <w:ind w:left="440" w:firstLine="0"/>
        <w:jc w:val="left"/>
        <w:rPr>
          <w:rFonts w:hint="eastAsia" w:ascii="MS UI Gothic" w:eastAsia="MS UI Gothic"/>
        </w:rPr>
      </w:pPr>
      <w:r>
        <w:rPr>
          <w:w w:val="95"/>
        </w:rPr>
        <w:t>管理总局局长办公会议审议通过</w:t>
      </w:r>
      <w:r>
        <w:rPr>
          <w:rFonts w:hint="eastAsia" w:ascii="MS UI Gothic" w:eastAsia="MS UI Gothic"/>
          <w:w w:val="90"/>
        </w:rPr>
        <w:t xml:space="preserve">ꎬ </w:t>
      </w:r>
      <w:r>
        <w:rPr>
          <w:w w:val="95"/>
        </w:rPr>
        <w:t>现予公布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２０１３ </w:t>
      </w:r>
      <w:r>
        <w:rPr>
          <w:w w:val="95"/>
        </w:rPr>
        <w:t xml:space="preserve">年 </w:t>
      </w:r>
      <w:r>
        <w:rPr>
          <w:rFonts w:hint="eastAsia" w:ascii="MS UI Gothic" w:eastAsia="MS UI Gothic"/>
          <w:w w:val="95"/>
        </w:rPr>
        <w:t xml:space="preserve">１０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spacing w:before="373"/>
        <w:ind w:left="0" w:right="126" w:firstLine="0"/>
        <w:jc w:val="right"/>
      </w:pPr>
      <w:r>
        <w:rPr>
          <w:rFonts w:hint="eastAsia" w:ascii="MS UI Gothic" w:eastAsia="MS UI Gothic"/>
          <w:w w:val="95"/>
        </w:rPr>
        <w:t xml:space="preserve">２０１３ </w:t>
      </w:r>
      <w:r>
        <w:rPr>
          <w:w w:val="95"/>
        </w:rPr>
        <w:t xml:space="preserve">年 </w:t>
      </w:r>
      <w:r>
        <w:rPr>
          <w:rFonts w:hint="eastAsia" w:ascii="MS UI Gothic" w:eastAsia="MS UI Gothic"/>
          <w:w w:val="95"/>
        </w:rPr>
        <w:t xml:space="preserve">８ </w:t>
      </w:r>
      <w:r>
        <w:rPr>
          <w:w w:val="95"/>
        </w:rPr>
        <w:t xml:space="preserve">月 </w:t>
      </w:r>
      <w:r>
        <w:rPr>
          <w:rFonts w:hint="eastAsia" w:ascii="MS UI Gothic" w:eastAsia="MS UI Gothic"/>
          <w:w w:val="95"/>
        </w:rPr>
        <w:t xml:space="preserve">２３ </w:t>
      </w:r>
      <w:r>
        <w:rPr>
          <w:w w:val="95"/>
        </w:rPr>
        <w:t>日</w:t>
      </w:r>
    </w:p>
    <w:p>
      <w:pPr>
        <w:pStyle w:val="4"/>
        <w:ind w:left="286"/>
        <w:rPr>
          <w:rFonts w:hint="eastAsia" w:ascii="Microsoft Yi Baiti" w:eastAsia="Microsoft Yi Baiti"/>
        </w:rPr>
      </w:pPr>
      <w:r>
        <w:t xml:space="preserve">非煤矿山外包工程安全管理暂行办法 </w:t>
      </w:r>
      <w:r>
        <w:rPr>
          <w:rFonts w:hint="eastAsia" w:ascii="Microsoft Yi Baiti" w:eastAsia="Microsoft Yi Baiti"/>
        </w:rPr>
        <w:t>(</w:t>
      </w:r>
      <w:r>
        <w:rPr>
          <w:rFonts w:hint="eastAsia" w:ascii="MS UI Gothic" w:eastAsia="MS UI Gothic"/>
        </w:rPr>
        <w:t xml:space="preserve">２０１３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r>
        <w:pict>
          <v:shape id="_x0000_s2227" o:spid="_x0000_s2227" style="position:absolute;left:0pt;margin-left:0pt;margin-top:748.3pt;height:1.75pt;width:398.25pt;mso-position-horizontal-relative:page;mso-position-vertical-relative:page;z-index:252145664;mso-width-relative:page;mso-height-relative:page;" filled="f" stroked="t" coordorigin="0,14966" coordsize="7965,35" path="m1419,1480l9384,1480m1419,1445l9384,1445e">
            <v:path arrowok="t"/>
            <v:fill on="f" focussize="0,0"/>
            <v:stroke weight="0.388031496062992pt" color="#231F20"/>
            <v:imagedata o:title=""/>
            <o:lock v:ext="edit"/>
          </v:shape>
        </w:pict>
      </w: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302" w:lineRule="auto"/>
        <w:ind w:left="440"/>
        <w:rPr>
          <w:rFonts w:hint="eastAsia" w:ascii="MS UI Gothic" w:hAnsi="MS UI Gothic" w:eastAsia="MS UI Gothic"/>
        </w:rPr>
      </w:pPr>
      <w:r>
        <w:t>第一条 为了加强非煤矿山外包工程的安全管理和监督</w:t>
      </w:r>
      <w:r>
        <w:rPr>
          <w:rFonts w:hint="eastAsia" w:ascii="MS UI Gothic" w:hAnsi="MS UI Gothic" w:eastAsia="MS UI Gothic"/>
          <w:w w:val="80"/>
        </w:rPr>
        <w:t xml:space="preserve">ꎬ </w:t>
      </w:r>
      <w:r>
        <w:t>明确安全生产责任</w:t>
      </w:r>
      <w:r>
        <w:rPr>
          <w:rFonts w:hint="eastAsia" w:ascii="MS UI Gothic" w:hAnsi="MS UI Gothic" w:eastAsia="MS UI Gothic"/>
          <w:w w:val="80"/>
        </w:rPr>
        <w:t>ꎬ</w:t>
      </w:r>
      <w:r>
        <w:t xml:space="preserve">防止和减少生产安全事故 </w:t>
      </w:r>
      <w:r>
        <w:rPr>
          <w:rFonts w:hint="eastAsia" w:ascii="MS UI Gothic" w:hAnsi="MS UI Gothic" w:eastAsia="MS UI Gothic"/>
          <w:w w:val="150"/>
        </w:rPr>
        <w:t xml:space="preserve">( </w:t>
      </w:r>
      <w:r>
        <w:t>以下简称事故</w:t>
      </w:r>
      <w:r>
        <w:rPr>
          <w:rFonts w:hint="eastAsia" w:ascii="MS UI Gothic" w:hAnsi="MS UI Gothic" w:eastAsia="MS UI Gothic"/>
          <w:w w:val="150"/>
        </w:rPr>
        <w:t xml:space="preserve">) </w:t>
      </w:r>
      <w:r>
        <w:rPr>
          <w:rFonts w:hint="eastAsia" w:ascii="MS UI Gothic" w:hAnsi="MS UI Gothic" w:eastAsia="MS UI Gothic"/>
          <w:w w:val="80"/>
        </w:rPr>
        <w:t xml:space="preserve">ꎬ </w:t>
      </w:r>
      <w:r>
        <w:t xml:space="preserve">依据 </w:t>
      </w:r>
      <w:r>
        <w:rPr>
          <w:rFonts w:hint="eastAsia" w:ascii="MS UI Gothic" w:hAnsi="MS UI Gothic" w:eastAsia="MS UI Gothic"/>
          <w:w w:val="80"/>
        </w:rPr>
        <w:t xml:space="preserve">« </w:t>
      </w:r>
      <w:r>
        <w:t>中华人民共和国安全生产法</w:t>
      </w:r>
      <w:r>
        <w:rPr>
          <w:rFonts w:hint="eastAsia" w:ascii="MS UI Gothic" w:hAnsi="MS UI Gothic" w:eastAsia="MS UI Gothic"/>
          <w:w w:val="80"/>
        </w:rPr>
        <w:t xml:space="preserve">»、 « </w:t>
      </w:r>
      <w:r>
        <w:t>中华人民共和国矿山安全法</w:t>
      </w:r>
      <w:r>
        <w:rPr>
          <w:rFonts w:hint="eastAsia" w:ascii="MS UI Gothic" w:hAnsi="MS UI Gothic" w:eastAsia="MS UI Gothic"/>
          <w:w w:val="80"/>
        </w:rPr>
        <w:t xml:space="preserve">»  </w:t>
      </w:r>
      <w:r>
        <w:t>和其他有关法律</w:t>
      </w:r>
      <w:r>
        <w:rPr>
          <w:rFonts w:hint="eastAsia" w:ascii="MS UI Gothic" w:hAnsi="MS UI Gothic" w:eastAsia="MS UI Gothic"/>
          <w:w w:val="80"/>
        </w:rPr>
        <w:t xml:space="preserve">、 </w:t>
      </w:r>
      <w:r>
        <w:t>行政法规</w:t>
      </w:r>
      <w:r>
        <w:rPr>
          <w:rFonts w:hint="eastAsia" w:ascii="MS UI Gothic" w:hAnsi="MS UI Gothic" w:eastAsia="MS UI Gothic"/>
          <w:w w:val="80"/>
        </w:rPr>
        <w:t xml:space="preserve">ꎬ </w:t>
      </w:r>
      <w:r>
        <w:t>制定本办法</w:t>
      </w:r>
      <w:r>
        <w:rPr>
          <w:rFonts w:hint="eastAsia" w:ascii="MS UI Gothic" w:hAnsi="MS UI Gothic" w:eastAsia="MS UI Gothic"/>
          <w:w w:val="80"/>
        </w:rPr>
        <w:t>ꎮ</w:t>
      </w:r>
    </w:p>
    <w:p>
      <w:pPr>
        <w:pStyle w:val="6"/>
        <w:spacing w:before="2" w:line="302" w:lineRule="auto"/>
        <w:ind w:left="440"/>
        <w:rPr>
          <w:rFonts w:hint="eastAsia" w:ascii="MS UI Gothic" w:eastAsia="MS UI Gothic"/>
        </w:rPr>
      </w:pPr>
      <w:r>
        <w:t>第二条 在依法批准的矿区范围内</w:t>
      </w:r>
      <w:r>
        <w:rPr>
          <w:rFonts w:hint="eastAsia" w:ascii="MS UI Gothic" w:eastAsia="MS UI Gothic"/>
          <w:w w:val="80"/>
        </w:rPr>
        <w:t>ꎬ</w:t>
      </w:r>
      <w:r>
        <w:t>以外包工程的方式从事金属非金属矿山的勘探</w:t>
      </w:r>
      <w:r>
        <w:rPr>
          <w:rFonts w:hint="eastAsia" w:ascii="MS UI Gothic" w:eastAsia="MS UI Gothic"/>
          <w:w w:val="80"/>
        </w:rPr>
        <w:t xml:space="preserve">、 </w:t>
      </w:r>
      <w:r>
        <w:t>建设</w:t>
      </w:r>
      <w:r>
        <w:rPr>
          <w:rFonts w:hint="eastAsia" w:ascii="MS UI Gothic" w:eastAsia="MS UI Gothic"/>
          <w:w w:val="80"/>
        </w:rPr>
        <w:t xml:space="preserve">、 </w:t>
      </w:r>
      <w:r>
        <w:t>生产</w:t>
      </w:r>
      <w:r>
        <w:rPr>
          <w:rFonts w:hint="eastAsia" w:ascii="MS UI Gothic" w:eastAsia="MS UI Gothic"/>
          <w:w w:val="80"/>
        </w:rPr>
        <w:t xml:space="preserve">、 </w:t>
      </w:r>
      <w:r>
        <w:t>闭坑等工程施工作业活动</w:t>
      </w:r>
      <w:r>
        <w:rPr>
          <w:rFonts w:hint="eastAsia" w:ascii="MS UI Gothic" w:eastAsia="MS UI Gothic"/>
          <w:w w:val="80"/>
        </w:rPr>
        <w:t xml:space="preserve">ꎬ </w:t>
      </w:r>
      <w:r>
        <w:t>以及石油天然气的勘探</w:t>
      </w:r>
      <w:r>
        <w:rPr>
          <w:rFonts w:hint="eastAsia" w:ascii="MS UI Gothic" w:eastAsia="MS UI Gothic"/>
          <w:w w:val="80"/>
        </w:rPr>
        <w:t xml:space="preserve">、 </w:t>
      </w:r>
      <w:r>
        <w:t>开发</w:t>
      </w:r>
      <w:r>
        <w:rPr>
          <w:rFonts w:hint="eastAsia" w:ascii="MS UI Gothic" w:eastAsia="MS UI Gothic"/>
          <w:w w:val="80"/>
        </w:rPr>
        <w:t xml:space="preserve">、 </w:t>
      </w:r>
      <w:r>
        <w:t>储运等工程与技术服务活动的安全管理和监督</w:t>
      </w:r>
      <w:r>
        <w:rPr>
          <w:rFonts w:hint="eastAsia" w:ascii="MS UI Gothic" w:eastAsia="MS UI Gothic"/>
          <w:w w:val="80"/>
        </w:rPr>
        <w:t xml:space="preserve">ꎬ </w:t>
      </w:r>
      <w:r>
        <w:t>适用本办法</w:t>
      </w:r>
      <w:r>
        <w:rPr>
          <w:rFonts w:hint="eastAsia" w:ascii="MS UI Gothic" w:eastAsia="MS UI Gothic"/>
          <w:w w:val="80"/>
        </w:rPr>
        <w:t>ꎮ</w:t>
      </w:r>
    </w:p>
    <w:p>
      <w:pPr>
        <w:pStyle w:val="6"/>
        <w:spacing w:line="302" w:lineRule="auto"/>
        <w:ind w:left="440" w:right="1"/>
        <w:rPr>
          <w:rFonts w:hint="eastAsia" w:ascii="MS UI Gothic" w:eastAsia="MS UI Gothic"/>
        </w:rPr>
      </w:pPr>
      <w:r>
        <w:t>从事非煤矿山各类房屋建筑及其附属设施的建造和安装</w:t>
      </w:r>
      <w:r>
        <w:rPr>
          <w:rFonts w:hint="eastAsia" w:ascii="MS UI Gothic" w:eastAsia="MS UI Gothic"/>
          <w:w w:val="80"/>
        </w:rPr>
        <w:t xml:space="preserve">ꎬ </w:t>
      </w:r>
      <w:r>
        <w:t>以及露天采矿场矿区范围以外地面交通建设的外包工程的安全</w:t>
      </w:r>
      <w:r>
        <w:rPr>
          <w:w w:val="105"/>
        </w:rPr>
        <w:t>管理和监督</w:t>
      </w:r>
      <w:r>
        <w:rPr>
          <w:rFonts w:hint="eastAsia" w:ascii="MS UI Gothic" w:eastAsia="MS UI Gothic"/>
          <w:w w:val="80"/>
        </w:rPr>
        <w:t xml:space="preserve">ꎬ </w:t>
      </w:r>
      <w:r>
        <w:rPr>
          <w:w w:val="105"/>
        </w:rPr>
        <w:t>不适用本办法</w:t>
      </w:r>
      <w:r>
        <w:rPr>
          <w:rFonts w:hint="eastAsia" w:ascii="MS UI Gothic" w:eastAsia="MS UI Gothic"/>
          <w:w w:val="80"/>
        </w:rPr>
        <w:t>ꎮ</w:t>
      </w:r>
    </w:p>
    <w:p>
      <w:pPr>
        <w:pStyle w:val="6"/>
        <w:spacing w:line="300" w:lineRule="auto"/>
        <w:ind w:left="440" w:right="1"/>
        <w:rPr>
          <w:rFonts w:hint="eastAsia" w:ascii="MS UI Gothic" w:eastAsia="MS UI Gothic"/>
        </w:rPr>
      </w:pPr>
      <w:r>
        <w:rPr>
          <w:w w:val="105"/>
        </w:rPr>
        <w:t xml:space="preserve">第三条 非煤矿山外包工程 </w:t>
      </w:r>
      <w:r>
        <w:rPr>
          <w:rFonts w:hint="eastAsia" w:ascii="MS UI Gothic" w:eastAsia="MS UI Gothic"/>
          <w:w w:val="150"/>
        </w:rPr>
        <w:t xml:space="preserve">( </w:t>
      </w:r>
      <w:r>
        <w:rPr>
          <w:w w:val="105"/>
        </w:rPr>
        <w:t>以下简称外包工程</w:t>
      </w:r>
      <w:r>
        <w:rPr>
          <w:rFonts w:hint="eastAsia" w:ascii="MS UI Gothic" w:eastAsia="MS UI Gothic"/>
          <w:w w:val="150"/>
        </w:rPr>
        <w:t xml:space="preserve">) </w:t>
      </w:r>
      <w:r>
        <w:rPr>
          <w:w w:val="105"/>
        </w:rPr>
        <w:t>的安全生产</w:t>
      </w:r>
      <w:r>
        <w:rPr>
          <w:rFonts w:hint="eastAsia" w:ascii="MS UI Gothic" w:eastAsia="MS UI Gothic"/>
          <w:w w:val="80"/>
        </w:rPr>
        <w:t xml:space="preserve">ꎬ </w:t>
      </w:r>
      <w:r>
        <w:rPr>
          <w:w w:val="105"/>
        </w:rPr>
        <w:t>由发包单</w:t>
      </w:r>
      <w:r>
        <w:t>位负主体责任</w:t>
      </w:r>
      <w:r>
        <w:rPr>
          <w:rFonts w:hint="eastAsia" w:ascii="MS UI Gothic" w:eastAsia="MS UI Gothic"/>
          <w:w w:val="80"/>
        </w:rPr>
        <w:t xml:space="preserve">ꎬ </w:t>
      </w:r>
      <w:r>
        <w:t>承包单位对其施工现场的</w:t>
      </w:r>
      <w:r>
        <w:rPr>
          <w:w w:val="105"/>
        </w:rPr>
        <w:t>安全生产负责</w:t>
      </w:r>
      <w:r>
        <w:rPr>
          <w:rFonts w:hint="eastAsia" w:ascii="MS UI Gothic" w:eastAsia="MS UI Gothic"/>
          <w:w w:val="80"/>
        </w:rPr>
        <w:t>ꎮ</w:t>
      </w:r>
    </w:p>
    <w:p>
      <w:pPr>
        <w:pStyle w:val="6"/>
        <w:spacing w:line="302" w:lineRule="auto"/>
        <w:ind w:left="440" w:right="1"/>
        <w:rPr>
          <w:rFonts w:hint="eastAsia" w:ascii="MS UI Gothic" w:eastAsia="MS UI Gothic"/>
        </w:rPr>
      </w:pPr>
      <w:r>
        <w:t>外包工程有多个承包单位的</w:t>
      </w:r>
      <w:r>
        <w:rPr>
          <w:rFonts w:hint="eastAsia" w:ascii="MS UI Gothic" w:eastAsia="MS UI Gothic"/>
          <w:w w:val="80"/>
        </w:rPr>
        <w:t xml:space="preserve">ꎬ </w:t>
      </w:r>
      <w:r>
        <w:t>发包单位应当对多个承包单位的安全生产工作实施统一协调</w:t>
      </w:r>
      <w:r>
        <w:rPr>
          <w:rFonts w:hint="eastAsia" w:ascii="MS UI Gothic" w:eastAsia="MS UI Gothic"/>
          <w:w w:val="80"/>
        </w:rPr>
        <w:t xml:space="preserve">、 </w:t>
      </w:r>
      <w:r>
        <w:t>管理</w:t>
      </w:r>
      <w:r>
        <w:rPr>
          <w:rFonts w:hint="eastAsia" w:ascii="MS UI Gothic" w:eastAsia="MS UI Gothic"/>
          <w:w w:val="80"/>
        </w:rPr>
        <w:t>ꎮ</w:t>
      </w:r>
    </w:p>
    <w:p>
      <w:pPr>
        <w:pStyle w:val="6"/>
        <w:spacing w:before="174" w:line="300" w:lineRule="auto"/>
        <w:ind w:left="381" w:right="124"/>
        <w:rPr>
          <w:rFonts w:hint="eastAsia" w:ascii="MS UI Gothic" w:eastAsia="MS UI Gothic"/>
        </w:rPr>
      </w:pPr>
      <w:r>
        <w:br w:type="column"/>
      </w:r>
      <w:r>
        <w:t>第四条 承担外包工程的勘察单位</w:t>
      </w:r>
      <w:r>
        <w:rPr>
          <w:rFonts w:hint="eastAsia" w:ascii="MS UI Gothic" w:eastAsia="MS UI Gothic"/>
          <w:w w:val="80"/>
        </w:rPr>
        <w:t>、</w:t>
      </w:r>
      <w:r>
        <w:t>设计单位</w:t>
      </w:r>
      <w:r>
        <w:rPr>
          <w:rFonts w:hint="eastAsia" w:ascii="MS UI Gothic" w:eastAsia="MS UI Gothic"/>
          <w:w w:val="80"/>
        </w:rPr>
        <w:t xml:space="preserve">、 </w:t>
      </w:r>
      <w:r>
        <w:t>监理单位</w:t>
      </w:r>
      <w:r>
        <w:rPr>
          <w:rFonts w:hint="eastAsia" w:ascii="MS UI Gothic" w:eastAsia="MS UI Gothic"/>
          <w:w w:val="80"/>
        </w:rPr>
        <w:t xml:space="preserve">、 </w:t>
      </w:r>
      <w:r>
        <w:t>技术服务机构及其他有关单位应当依照法律</w:t>
      </w:r>
      <w:r>
        <w:rPr>
          <w:rFonts w:hint="eastAsia" w:ascii="MS UI Gothic" w:eastAsia="MS UI Gothic"/>
          <w:w w:val="80"/>
        </w:rPr>
        <w:t xml:space="preserve">、 </w:t>
      </w:r>
      <w:r>
        <w:t>法规</w:t>
      </w:r>
      <w:r>
        <w:rPr>
          <w:rFonts w:hint="eastAsia" w:ascii="MS UI Gothic" w:eastAsia="MS UI Gothic"/>
          <w:w w:val="80"/>
        </w:rPr>
        <w:t xml:space="preserve">、 </w:t>
      </w:r>
      <w:r>
        <w:t>规章和国家标准</w:t>
      </w:r>
      <w:r>
        <w:rPr>
          <w:rFonts w:hint="eastAsia" w:ascii="MS UI Gothic" w:eastAsia="MS UI Gothic"/>
          <w:w w:val="80"/>
        </w:rPr>
        <w:t xml:space="preserve">、 </w:t>
      </w:r>
      <w:r>
        <w:t>行业标准的规定</w:t>
      </w:r>
      <w:r>
        <w:rPr>
          <w:rFonts w:hint="eastAsia" w:ascii="MS UI Gothic" w:eastAsia="MS UI Gothic"/>
          <w:w w:val="80"/>
        </w:rPr>
        <w:t xml:space="preserve">ꎬ </w:t>
      </w:r>
      <w:r>
        <w:t>履行各自的安全生产职责</w:t>
      </w:r>
      <w:r>
        <w:rPr>
          <w:rFonts w:hint="eastAsia" w:ascii="MS UI Gothic" w:eastAsia="MS UI Gothic"/>
          <w:w w:val="80"/>
        </w:rPr>
        <w:t xml:space="preserve">ꎬ </w:t>
      </w:r>
      <w:r>
        <w:t>承担相应的安全生产责任</w:t>
      </w:r>
      <w:r>
        <w:rPr>
          <w:rFonts w:hint="eastAsia" w:ascii="MS UI Gothic" w:eastAsia="MS UI Gothic"/>
          <w:w w:val="80"/>
        </w:rPr>
        <w:t>ꎮ</w:t>
      </w:r>
    </w:p>
    <w:p>
      <w:pPr>
        <w:pStyle w:val="6"/>
        <w:spacing w:before="5" w:line="302" w:lineRule="auto"/>
        <w:ind w:left="381" w:right="126"/>
        <w:rPr>
          <w:rFonts w:hint="eastAsia" w:ascii="MS UI Gothic" w:eastAsia="MS UI Gothic"/>
        </w:rPr>
      </w:pPr>
      <w:r>
        <w:rPr>
          <w:w w:val="105"/>
        </w:rPr>
        <w:t>第五条 非煤矿山企业应当建立外包</w:t>
      </w:r>
      <w:r>
        <w:t>工程安全生产的激励和约束机制</w:t>
      </w:r>
      <w:r>
        <w:rPr>
          <w:rFonts w:hint="eastAsia" w:ascii="MS UI Gothic" w:eastAsia="MS UI Gothic"/>
          <w:w w:val="80"/>
        </w:rPr>
        <w:t xml:space="preserve">ꎬ </w:t>
      </w:r>
      <w:r>
        <w:t>提升非</w:t>
      </w:r>
      <w:r>
        <w:rPr>
          <w:w w:val="105"/>
        </w:rPr>
        <w:t>煤矿山外包工程安全生产管理水平</w:t>
      </w:r>
      <w:r>
        <w:rPr>
          <w:rFonts w:hint="eastAsia" w:ascii="MS UI Gothic" w:eastAsia="MS UI Gothic"/>
          <w:w w:val="80"/>
        </w:rPr>
        <w:t>ꎮ</w:t>
      </w:r>
    </w:p>
    <w:p>
      <w:pPr>
        <w:pStyle w:val="6"/>
        <w:tabs>
          <w:tab w:val="left" w:pos="1533"/>
        </w:tabs>
        <w:spacing w:before="163"/>
        <w:ind w:left="695" w:firstLine="0"/>
        <w:jc w:val="left"/>
      </w:pPr>
      <w:r>
        <w:rPr>
          <w:spacing w:val="3"/>
          <w:w w:val="105"/>
        </w:rPr>
        <w:t>第二</w:t>
      </w:r>
      <w:r>
        <w:rPr>
          <w:w w:val="105"/>
        </w:rPr>
        <w:t>章</w:t>
      </w:r>
      <w:r>
        <w:rPr>
          <w:w w:val="105"/>
        </w:rPr>
        <w:tab/>
      </w:r>
      <w:r>
        <w:rPr>
          <w:spacing w:val="3"/>
          <w:w w:val="105"/>
        </w:rPr>
        <w:t>发包单位的安全生产职</w:t>
      </w:r>
      <w:r>
        <w:rPr>
          <w:w w:val="105"/>
        </w:rPr>
        <w:t>责</w:t>
      </w:r>
    </w:p>
    <w:p>
      <w:pPr>
        <w:pStyle w:val="6"/>
        <w:spacing w:before="216" w:line="302" w:lineRule="auto"/>
        <w:ind w:left="381" w:right="126"/>
        <w:rPr>
          <w:rFonts w:hint="eastAsia" w:ascii="MS UI Gothic" w:eastAsia="MS UI Gothic"/>
        </w:rPr>
      </w:pPr>
      <w:r>
        <w:rPr>
          <w:w w:val="105"/>
        </w:rPr>
        <w:t>第六条 发包单位应当依法设置安全</w:t>
      </w:r>
      <w:r>
        <w:t>生产管理机构或者配备专职安全生产管理人员</w:t>
      </w:r>
      <w:r>
        <w:rPr>
          <w:rFonts w:hint="eastAsia" w:ascii="MS UI Gothic" w:eastAsia="MS UI Gothic"/>
          <w:w w:val="80"/>
        </w:rPr>
        <w:t xml:space="preserve">ꎬ </w:t>
      </w:r>
      <w:r>
        <w:t>对外包工程的安全生产实施管理和</w:t>
      </w:r>
      <w:r>
        <w:rPr>
          <w:w w:val="105"/>
        </w:rPr>
        <w:t>监督</w:t>
      </w:r>
      <w:r>
        <w:rPr>
          <w:rFonts w:hint="eastAsia" w:ascii="MS UI Gothic" w:eastAsia="MS UI Gothic"/>
          <w:w w:val="80"/>
        </w:rPr>
        <w:t>ꎮ</w:t>
      </w:r>
    </w:p>
    <w:p>
      <w:pPr>
        <w:pStyle w:val="6"/>
        <w:spacing w:before="3" w:line="300" w:lineRule="auto"/>
        <w:ind w:left="381" w:right="126"/>
        <w:rPr>
          <w:rFonts w:hint="eastAsia" w:ascii="MS UI Gothic" w:eastAsia="MS UI Gothic"/>
        </w:rPr>
      </w:pPr>
      <w:r>
        <w:t>发包单位不得擅自压缩外包工程合同约定的工期</w:t>
      </w:r>
      <w:r>
        <w:rPr>
          <w:rFonts w:hint="eastAsia" w:ascii="MS UI Gothic" w:eastAsia="MS UI Gothic"/>
          <w:w w:val="80"/>
        </w:rPr>
        <w:t xml:space="preserve">ꎬ </w:t>
      </w:r>
      <w:r>
        <w:t>不得违章指挥或者强令承包</w:t>
      </w:r>
      <w:r>
        <w:rPr>
          <w:w w:val="105"/>
        </w:rPr>
        <w:t>单位及其从业人员冒险作业</w:t>
      </w:r>
      <w:r>
        <w:rPr>
          <w:rFonts w:hint="eastAsia" w:ascii="MS UI Gothic" w:eastAsia="MS UI Gothic"/>
          <w:w w:val="80"/>
        </w:rPr>
        <w:t>ꎮ</w:t>
      </w:r>
    </w:p>
    <w:p>
      <w:pPr>
        <w:pStyle w:val="6"/>
        <w:spacing w:before="3" w:line="300" w:lineRule="auto"/>
        <w:ind w:left="381" w:right="126"/>
        <w:jc w:val="left"/>
        <w:rPr>
          <w:rFonts w:hint="eastAsia" w:ascii="MS UI Gothic" w:eastAsia="MS UI Gothic"/>
        </w:rPr>
      </w:pPr>
      <w:r>
        <w:t>发包单位应当依法取得非煤矿山安全</w:t>
      </w:r>
      <w:r>
        <w:rPr>
          <w:w w:val="105"/>
        </w:rPr>
        <w:t>生产许可证</w:t>
      </w:r>
      <w:r>
        <w:rPr>
          <w:rFonts w:hint="eastAsia" w:ascii="MS UI Gothic" w:eastAsia="MS UI Gothic"/>
          <w:w w:val="80"/>
        </w:rPr>
        <w:t>ꎮ</w:t>
      </w:r>
    </w:p>
    <w:p>
      <w:pPr>
        <w:pStyle w:val="6"/>
        <w:spacing w:before="2" w:line="300" w:lineRule="auto"/>
        <w:ind w:left="381" w:right="124"/>
        <w:rPr>
          <w:rFonts w:hint="eastAsia" w:ascii="MS UI Gothic" w:eastAsia="MS UI Gothic"/>
        </w:rPr>
      </w:pPr>
      <w:r>
        <w:rPr>
          <w:w w:val="105"/>
        </w:rPr>
        <w:t>第七条 发包单位应当审查承包单位</w:t>
      </w:r>
      <w:r>
        <w:t>的非煤矿山安全生产许可证和相应资质</w:t>
      </w:r>
      <w:r>
        <w:rPr>
          <w:rFonts w:hint="eastAsia" w:ascii="MS UI Gothic" w:eastAsia="MS UI Gothic"/>
          <w:w w:val="80"/>
        </w:rPr>
        <w:t>ꎬ</w:t>
      </w:r>
      <w:r>
        <w:t>不得将外包工程发包给不具备安全生产许</w:t>
      </w:r>
      <w:r>
        <w:rPr>
          <w:w w:val="105"/>
        </w:rPr>
        <w:t>可证和相应资质的承包单位</w:t>
      </w:r>
      <w:r>
        <w:rPr>
          <w:rFonts w:hint="eastAsia" w:ascii="MS UI Gothic" w:eastAsia="MS UI Gothic"/>
          <w:w w:val="80"/>
        </w:rPr>
        <w:t>ꎮ</w:t>
      </w:r>
    </w:p>
    <w:p>
      <w:pPr>
        <w:pStyle w:val="6"/>
        <w:spacing w:before="5"/>
        <w:ind w:left="800" w:firstLine="0"/>
        <w:jc w:val="left"/>
        <w:rPr>
          <w:rFonts w:hint="eastAsia" w:ascii="MS UI Gothic" w:eastAsia="MS UI Gothic"/>
        </w:rPr>
      </w:pPr>
      <w:r>
        <w:t>承包单位的项目部承担施工作业的</w:t>
      </w:r>
      <w:r>
        <w:rPr>
          <w:rFonts w:hint="eastAsia" w:ascii="MS UI Gothic" w:eastAsia="MS UI Gothic"/>
          <w:w w:val="80"/>
        </w:rPr>
        <w:t>ꎬ</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４１０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28" o:spid="_x0000_s2228" o:spt="203" style="height:2.15pt;width:398.25pt;" coordsize="7965,43">
            <o:lock v:ext="edit"/>
            <v:line id="_x0000_s2229" o:spid="_x0000_s2229" o:spt="20" style="position:absolute;left:0;top:39;height:0;width:7965;" stroked="t" coordsize="21600,21600">
              <v:path arrowok="t"/>
              <v:fill focussize="0,0"/>
              <v:stroke weight="0.388031496062992pt" color="#231F20"/>
              <v:imagedata o:title=""/>
              <o:lock v:ext="edit"/>
            </v:line>
            <v:line id="_x0000_s2230" o:spid="_x0000_s22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5" w:line="295" w:lineRule="auto"/>
        <w:ind w:right="38" w:firstLine="0"/>
        <w:rPr>
          <w:rFonts w:hint="eastAsia" w:ascii="MS UI Gothic" w:eastAsia="MS UI Gothic"/>
        </w:rPr>
      </w:pPr>
      <w:r>
        <w:t>发包单位除审查承包单位的安全生产许可证和相应资质外</w:t>
      </w:r>
      <w:r>
        <w:rPr>
          <w:rFonts w:hint="eastAsia" w:ascii="MS UI Gothic" w:eastAsia="MS UI Gothic"/>
          <w:w w:val="80"/>
        </w:rPr>
        <w:t xml:space="preserve">ꎬ </w:t>
      </w:r>
      <w:r>
        <w:t>还应当审查项目部的安</w:t>
      </w:r>
      <w:r>
        <w:rPr>
          <w:w w:val="105"/>
        </w:rPr>
        <w:t>全生产管理机构</w:t>
      </w:r>
      <w:r>
        <w:rPr>
          <w:rFonts w:hint="eastAsia" w:ascii="MS UI Gothic" w:eastAsia="MS UI Gothic"/>
          <w:w w:val="80"/>
        </w:rPr>
        <w:t xml:space="preserve">、 </w:t>
      </w:r>
      <w:r>
        <w:rPr>
          <w:w w:val="105"/>
        </w:rPr>
        <w:t>规章制度和操作规程</w:t>
      </w:r>
      <w:r>
        <w:rPr>
          <w:rFonts w:hint="eastAsia" w:ascii="MS UI Gothic" w:eastAsia="MS UI Gothic"/>
          <w:w w:val="80"/>
        </w:rPr>
        <w:t>、</w:t>
      </w:r>
      <w:r>
        <w:rPr>
          <w:w w:val="105"/>
        </w:rPr>
        <w:t>工程技术人员</w:t>
      </w:r>
      <w:r>
        <w:rPr>
          <w:rFonts w:hint="eastAsia" w:ascii="MS UI Gothic" w:eastAsia="MS UI Gothic"/>
          <w:w w:val="80"/>
        </w:rPr>
        <w:t xml:space="preserve">、 </w:t>
      </w:r>
      <w:r>
        <w:rPr>
          <w:w w:val="105"/>
        </w:rPr>
        <w:t>主要设备设施</w:t>
      </w:r>
      <w:r>
        <w:rPr>
          <w:rFonts w:hint="eastAsia" w:ascii="MS UI Gothic" w:eastAsia="MS UI Gothic"/>
          <w:w w:val="80"/>
        </w:rPr>
        <w:t xml:space="preserve">、 </w:t>
      </w:r>
      <w:r>
        <w:rPr>
          <w:w w:val="105"/>
        </w:rPr>
        <w:t>安全教育培训和负责人</w:t>
      </w:r>
      <w:r>
        <w:rPr>
          <w:rFonts w:hint="eastAsia" w:ascii="MS UI Gothic" w:eastAsia="MS UI Gothic"/>
          <w:w w:val="80"/>
        </w:rPr>
        <w:t xml:space="preserve">、 </w:t>
      </w:r>
      <w:r>
        <w:rPr>
          <w:w w:val="105"/>
        </w:rPr>
        <w:t>安全生产管理人员</w:t>
      </w:r>
      <w:r>
        <w:rPr>
          <w:rFonts w:hint="eastAsia" w:ascii="MS UI Gothic" w:eastAsia="MS UI Gothic"/>
          <w:w w:val="80"/>
        </w:rPr>
        <w:t xml:space="preserve">、 </w:t>
      </w:r>
      <w:r>
        <w:rPr>
          <w:w w:val="105"/>
        </w:rPr>
        <w:t>特种作业人员持证上岗等情况</w:t>
      </w:r>
      <w:r>
        <w:rPr>
          <w:rFonts w:hint="eastAsia" w:ascii="MS UI Gothic" w:eastAsia="MS UI Gothic"/>
          <w:w w:val="80"/>
        </w:rPr>
        <w:t>ꎮ</w:t>
      </w:r>
    </w:p>
    <w:p>
      <w:pPr>
        <w:pStyle w:val="6"/>
        <w:spacing w:line="295" w:lineRule="auto"/>
        <w:ind w:right="39"/>
        <w:rPr>
          <w:rFonts w:hint="eastAsia" w:ascii="MS UI Gothic" w:eastAsia="MS UI Gothic"/>
        </w:rPr>
      </w:pPr>
      <w:r>
        <w:t>承担施工作业的项目部不符合本办法第二十一条规定的安全生产条件的</w:t>
      </w:r>
      <w:r>
        <w:rPr>
          <w:rFonts w:hint="eastAsia" w:ascii="MS UI Gothic" w:eastAsia="MS UI Gothic"/>
          <w:w w:val="80"/>
        </w:rPr>
        <w:t xml:space="preserve">ꎬ </w:t>
      </w:r>
      <w:r>
        <w:t>发包</w:t>
      </w:r>
      <w:r>
        <w:rPr>
          <w:w w:val="105"/>
        </w:rPr>
        <w:t>单位不得向该承包单位发包工程</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第八条 发包单位应当与承包单位签</w:t>
      </w:r>
      <w:r>
        <w:t>订安全生产管理协议</w:t>
      </w:r>
      <w:r>
        <w:rPr>
          <w:rFonts w:hint="eastAsia" w:ascii="MS UI Gothic" w:eastAsia="MS UI Gothic"/>
          <w:w w:val="80"/>
        </w:rPr>
        <w:t xml:space="preserve">ꎬ </w:t>
      </w:r>
      <w:r>
        <w:t>明确各自的安全生产管理职责</w:t>
      </w:r>
      <w:r>
        <w:rPr>
          <w:rFonts w:hint="eastAsia" w:ascii="MS UI Gothic" w:eastAsia="MS UI Gothic"/>
          <w:w w:val="80"/>
        </w:rPr>
        <w:t xml:space="preserve">ꎮ </w:t>
      </w:r>
      <w:r>
        <w:t>安全生产管理协议应当包括</w:t>
      </w:r>
      <w:r>
        <w:rPr>
          <w:w w:val="105"/>
        </w:rPr>
        <w:t>下列内容</w:t>
      </w:r>
      <w:r>
        <w:rPr>
          <w:rFonts w:hint="eastAsia" w:ascii="MS UI Gothic" w:eastAsia="MS UI Gothic"/>
          <w:w w:val="235"/>
        </w:rPr>
        <w:t>:</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安全投入保障</w:t>
      </w:r>
      <w:r>
        <w:rPr>
          <w:rFonts w:hint="eastAsia" w:ascii="MS UI Gothic" w:eastAsia="MS UI Gothic"/>
          <w:w w:val="80"/>
        </w:rPr>
        <w:t>ꎻ</w:t>
      </w:r>
    </w:p>
    <w:p>
      <w:pPr>
        <w:pStyle w:val="6"/>
        <w:spacing w:before="51" w:line="295" w:lineRule="auto"/>
        <w:ind w:left="543" w:right="837" w:firstLine="0"/>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安全设施和施工条件</w:t>
      </w:r>
      <w:r>
        <w:rPr>
          <w:rFonts w:hint="eastAsia" w:ascii="MS UI Gothic" w:eastAsia="MS UI Gothic"/>
          <w:w w:val="80"/>
        </w:rPr>
        <w:t>ꎻ</w:t>
      </w: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隐患排查与治理</w:t>
      </w:r>
      <w:r>
        <w:rPr>
          <w:rFonts w:hint="eastAsia" w:ascii="MS UI Gothic" w:eastAsia="MS UI Gothic"/>
          <w:w w:val="80"/>
        </w:rPr>
        <w:t>ꎻ</w:t>
      </w:r>
    </w:p>
    <w:p>
      <w:pPr>
        <w:pStyle w:val="6"/>
        <w:spacing w:line="295" w:lineRule="auto"/>
        <w:ind w:left="543" w:right="1256" w:firstLine="0"/>
        <w:jc w:val="left"/>
        <w:rPr>
          <w:rFonts w:hint="eastAsia" w:ascii="MS UI Gothic" w:eastAsia="MS UI Gothic"/>
        </w:rPr>
      </w:pPr>
      <w:r>
        <w:rPr>
          <w:rFonts w:hint="eastAsia" w:ascii="MS UI Gothic" w:eastAsia="MS UI Gothic"/>
          <w:spacing w:val="-30"/>
          <w:w w:val="110"/>
        </w:rPr>
        <w:t xml:space="preserve">( </w:t>
      </w:r>
      <w:r>
        <w:rPr>
          <w:spacing w:val="3"/>
          <w:w w:val="110"/>
        </w:rPr>
        <w:t>四</w:t>
      </w:r>
      <w:r>
        <w:rPr>
          <w:rFonts w:hint="eastAsia" w:ascii="MS UI Gothic" w:eastAsia="MS UI Gothic"/>
          <w:spacing w:val="-10"/>
          <w:w w:val="110"/>
        </w:rPr>
        <w:t xml:space="preserve">) </w:t>
      </w:r>
      <w:r>
        <w:rPr>
          <w:spacing w:val="3"/>
          <w:w w:val="110"/>
        </w:rPr>
        <w:t>安全教育与培训</w:t>
      </w:r>
      <w:r>
        <w:rPr>
          <w:rFonts w:hint="eastAsia" w:ascii="MS UI Gothic" w:eastAsia="MS UI Gothic"/>
          <w:w w:val="80"/>
        </w:rPr>
        <w:t>ꎻ</w:t>
      </w:r>
      <w:r>
        <w:rPr>
          <w:rFonts w:hint="eastAsia" w:ascii="MS UI Gothic" w:eastAsia="MS UI Gothic"/>
          <w:spacing w:val="-40"/>
          <w:w w:val="150"/>
        </w:rPr>
        <w:t xml:space="preserve">( </w:t>
      </w:r>
      <w:r>
        <w:rPr>
          <w:spacing w:val="3"/>
          <w:w w:val="110"/>
        </w:rPr>
        <w:t>五</w:t>
      </w:r>
      <w:r>
        <w:rPr>
          <w:rFonts w:hint="eastAsia" w:ascii="MS UI Gothic" w:eastAsia="MS UI Gothic"/>
          <w:spacing w:val="-6"/>
          <w:w w:val="150"/>
        </w:rPr>
        <w:t xml:space="preserve">) </w:t>
      </w:r>
      <w:r>
        <w:rPr>
          <w:spacing w:val="3"/>
          <w:w w:val="110"/>
        </w:rPr>
        <w:t>事故应急救援</w:t>
      </w:r>
      <w:r>
        <w:rPr>
          <w:rFonts w:hint="eastAsia" w:ascii="MS UI Gothic" w:eastAsia="MS UI Gothic"/>
          <w:w w:val="80"/>
        </w:rPr>
        <w:t>ꎻ</w:t>
      </w:r>
    </w:p>
    <w:p>
      <w:pPr>
        <w:pStyle w:val="6"/>
        <w:spacing w:line="295" w:lineRule="auto"/>
        <w:ind w:left="543" w:right="1256" w:firstLine="0"/>
        <w:jc w:val="left"/>
        <w:rPr>
          <w:rFonts w:hint="eastAsia" w:ascii="MS UI Gothic" w:eastAsia="MS UI Gothic"/>
        </w:rPr>
      </w:pPr>
      <w:r>
        <w:rPr>
          <w:rFonts w:hint="eastAsia" w:ascii="MS UI Gothic" w:eastAsia="MS UI Gothic"/>
          <w:spacing w:val="-30"/>
          <w:w w:val="110"/>
        </w:rPr>
        <w:t xml:space="preserve">( </w:t>
      </w:r>
      <w:r>
        <w:rPr>
          <w:spacing w:val="3"/>
          <w:w w:val="110"/>
        </w:rPr>
        <w:t>六</w:t>
      </w:r>
      <w:r>
        <w:rPr>
          <w:rFonts w:hint="eastAsia" w:ascii="MS UI Gothic" w:eastAsia="MS UI Gothic"/>
          <w:spacing w:val="-10"/>
          <w:w w:val="110"/>
        </w:rPr>
        <w:t xml:space="preserve">) </w:t>
      </w:r>
      <w:r>
        <w:rPr>
          <w:spacing w:val="3"/>
          <w:w w:val="110"/>
        </w:rPr>
        <w:t>安全检查与考评</w:t>
      </w:r>
      <w:r>
        <w:rPr>
          <w:rFonts w:hint="eastAsia" w:ascii="MS UI Gothic" w:eastAsia="MS UI Gothic"/>
          <w:w w:val="80"/>
        </w:rPr>
        <w:t>ꎻ</w:t>
      </w:r>
      <w:r>
        <w:rPr>
          <w:rFonts w:hint="eastAsia" w:ascii="MS UI Gothic" w:eastAsia="MS UI Gothic"/>
          <w:spacing w:val="-37"/>
          <w:w w:val="150"/>
        </w:rPr>
        <w:t xml:space="preserve">( </w:t>
      </w:r>
      <w:r>
        <w:rPr>
          <w:spacing w:val="3"/>
          <w:w w:val="110"/>
        </w:rPr>
        <w:t>七</w:t>
      </w:r>
      <w:r>
        <w:rPr>
          <w:rFonts w:hint="eastAsia" w:ascii="MS UI Gothic" w:eastAsia="MS UI Gothic"/>
          <w:spacing w:val="9"/>
          <w:w w:val="150"/>
        </w:rPr>
        <w:t xml:space="preserve">) </w:t>
      </w:r>
      <w:r>
        <w:rPr>
          <w:spacing w:val="3"/>
          <w:w w:val="110"/>
        </w:rPr>
        <w:t>违约责任</w:t>
      </w:r>
      <w:r>
        <w:rPr>
          <w:rFonts w:hint="eastAsia" w:ascii="MS UI Gothic" w:eastAsia="MS UI Gothic"/>
          <w:w w:val="80"/>
        </w:rPr>
        <w:t>ꎮ</w:t>
      </w:r>
    </w:p>
    <w:p>
      <w:pPr>
        <w:pStyle w:val="6"/>
        <w:spacing w:line="295" w:lineRule="auto"/>
        <w:ind w:right="39"/>
        <w:jc w:val="left"/>
        <w:rPr>
          <w:rFonts w:hint="eastAsia" w:ascii="MS UI Gothic" w:eastAsia="MS UI Gothic"/>
        </w:rPr>
      </w:pPr>
      <w:r>
        <w:t>安全生产管理协议的文本格式由国家</w:t>
      </w:r>
      <w:r>
        <w:rPr>
          <w:w w:val="105"/>
        </w:rPr>
        <w:t>安全生产监督管理总局另行制定</w:t>
      </w:r>
      <w:r>
        <w:rPr>
          <w:rFonts w:hint="eastAsia" w:ascii="MS UI Gothic" w:eastAsia="MS UI Gothic"/>
          <w:w w:val="80"/>
        </w:rPr>
        <w:t>ꎮ</w:t>
      </w:r>
    </w:p>
    <w:p>
      <w:pPr>
        <w:pStyle w:val="6"/>
        <w:spacing w:line="295" w:lineRule="auto"/>
        <w:ind w:right="39"/>
        <w:rPr>
          <w:rFonts w:hint="eastAsia" w:ascii="MS UI Gothic" w:eastAsia="MS UI Gothic"/>
        </w:rPr>
      </w:pPr>
      <w:r>
        <w:t>第九条 发包单位是外包工程安全投入的责任主体</w:t>
      </w:r>
      <w:r>
        <w:rPr>
          <w:rFonts w:hint="eastAsia" w:ascii="MS UI Gothic" w:eastAsia="MS UI Gothic"/>
          <w:w w:val="80"/>
        </w:rPr>
        <w:t xml:space="preserve">ꎬ </w:t>
      </w:r>
      <w:r>
        <w:t>应当按照国家有关规定和合同约定及时</w:t>
      </w:r>
      <w:r>
        <w:rPr>
          <w:rFonts w:hint="eastAsia" w:ascii="MS UI Gothic" w:eastAsia="MS UI Gothic"/>
          <w:w w:val="80"/>
        </w:rPr>
        <w:t xml:space="preserve">、 </w:t>
      </w:r>
      <w:r>
        <w:t>足额向承包单位提供保障施工作业安全所需的资金</w:t>
      </w:r>
      <w:r>
        <w:rPr>
          <w:rFonts w:hint="eastAsia" w:ascii="MS UI Gothic" w:eastAsia="MS UI Gothic"/>
          <w:w w:val="80"/>
        </w:rPr>
        <w:t xml:space="preserve">ꎬ </w:t>
      </w:r>
      <w:r>
        <w:t>明确安全投入项目和金额</w:t>
      </w:r>
      <w:r>
        <w:rPr>
          <w:rFonts w:hint="eastAsia" w:ascii="MS UI Gothic" w:eastAsia="MS UI Gothic"/>
          <w:w w:val="80"/>
        </w:rPr>
        <w:t xml:space="preserve">ꎬ </w:t>
      </w:r>
      <w:r>
        <w:t>并监督承包单位落实到位</w:t>
      </w:r>
      <w:r>
        <w:rPr>
          <w:rFonts w:hint="eastAsia" w:ascii="MS UI Gothic" w:eastAsia="MS UI Gothic"/>
          <w:w w:val="80"/>
        </w:rPr>
        <w:t>ꎮ</w:t>
      </w:r>
    </w:p>
    <w:p>
      <w:pPr>
        <w:pStyle w:val="6"/>
        <w:spacing w:line="295" w:lineRule="auto"/>
        <w:ind w:right="39"/>
        <w:rPr>
          <w:rFonts w:hint="eastAsia" w:ascii="MS UI Gothic" w:eastAsia="MS UI Gothic"/>
        </w:rPr>
      </w:pPr>
      <w:r>
        <w:t>对合同约定以外发生的隐患排查治理和地下矿山通风</w:t>
      </w:r>
      <w:r>
        <w:rPr>
          <w:rFonts w:hint="eastAsia" w:ascii="MS UI Gothic" w:eastAsia="MS UI Gothic"/>
          <w:w w:val="80"/>
        </w:rPr>
        <w:t xml:space="preserve">、 </w:t>
      </w:r>
      <w:r>
        <w:t>支护</w:t>
      </w:r>
      <w:r>
        <w:rPr>
          <w:rFonts w:hint="eastAsia" w:ascii="MS UI Gothic" w:eastAsia="MS UI Gothic"/>
          <w:w w:val="80"/>
        </w:rPr>
        <w:t xml:space="preserve">、 </w:t>
      </w:r>
      <w:r>
        <w:t>防治水等所需的费用</w:t>
      </w:r>
      <w:r>
        <w:rPr>
          <w:rFonts w:hint="eastAsia" w:ascii="MS UI Gothic" w:eastAsia="MS UI Gothic"/>
          <w:w w:val="80"/>
        </w:rPr>
        <w:t xml:space="preserve">ꎬ </w:t>
      </w:r>
      <w:r>
        <w:t>发包单位应当提供合同价款以外的资金</w:t>
      </w:r>
      <w:r>
        <w:rPr>
          <w:rFonts w:hint="eastAsia" w:ascii="MS UI Gothic" w:eastAsia="MS UI Gothic"/>
          <w:w w:val="80"/>
        </w:rPr>
        <w:t xml:space="preserve">ꎬ </w:t>
      </w:r>
      <w:r>
        <w:t>保障安全生产需要</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第十条 石油天然气总发包单位</w:t>
      </w:r>
      <w:r>
        <w:rPr>
          <w:rFonts w:hint="eastAsia" w:ascii="MS UI Gothic" w:eastAsia="MS UI Gothic"/>
          <w:w w:val="80"/>
        </w:rPr>
        <w:t xml:space="preserve">、 </w:t>
      </w:r>
      <w:r>
        <w:rPr>
          <w:w w:val="105"/>
        </w:rPr>
        <w:t>分</w:t>
      </w:r>
      <w:r>
        <w:t>项发包单位以及金属非金属矿山总发包单位</w:t>
      </w:r>
      <w:r>
        <w:rPr>
          <w:rFonts w:hint="eastAsia" w:ascii="MS UI Gothic" w:eastAsia="MS UI Gothic"/>
          <w:w w:val="80"/>
        </w:rPr>
        <w:t xml:space="preserve">ꎬ </w:t>
      </w:r>
      <w:r>
        <w:t>应当每半年对其承包单位的施工资</w:t>
      </w:r>
      <w:r>
        <w:rPr>
          <w:w w:val="105"/>
        </w:rPr>
        <w:t>质</w:t>
      </w:r>
      <w:r>
        <w:rPr>
          <w:rFonts w:hint="eastAsia" w:ascii="MS UI Gothic" w:eastAsia="MS UI Gothic"/>
          <w:w w:val="80"/>
        </w:rPr>
        <w:t xml:space="preserve">、 </w:t>
      </w:r>
      <w:r>
        <w:rPr>
          <w:w w:val="105"/>
        </w:rPr>
        <w:t>安全生产管理机构</w:t>
      </w:r>
      <w:r>
        <w:rPr>
          <w:rFonts w:hint="eastAsia" w:ascii="MS UI Gothic" w:eastAsia="MS UI Gothic"/>
          <w:w w:val="80"/>
        </w:rPr>
        <w:t xml:space="preserve">、 </w:t>
      </w:r>
      <w:r>
        <w:rPr>
          <w:w w:val="105"/>
        </w:rPr>
        <w:t>规章制度和操作规程</w:t>
      </w:r>
      <w:r>
        <w:rPr>
          <w:rFonts w:hint="eastAsia" w:ascii="MS UI Gothic" w:eastAsia="MS UI Gothic"/>
          <w:w w:val="80"/>
        </w:rPr>
        <w:t xml:space="preserve">、 </w:t>
      </w:r>
      <w:r>
        <w:rPr>
          <w:w w:val="105"/>
        </w:rPr>
        <w:t>施工现场安全管理和履行本办法第</w:t>
      </w:r>
      <w:r>
        <w:t>二十七条规定的信息报告义务等情况进行一次检查</w:t>
      </w:r>
      <w:r>
        <w:rPr>
          <w:rFonts w:hint="eastAsia" w:ascii="MS UI Gothic" w:eastAsia="MS UI Gothic"/>
          <w:w w:val="80"/>
        </w:rPr>
        <w:t xml:space="preserve">ꎻ </w:t>
      </w:r>
      <w:r>
        <w:t>发现承包单位存在安全生产问</w:t>
      </w:r>
      <w:r>
        <w:rPr>
          <w:w w:val="105"/>
        </w:rPr>
        <w:t>题的</w:t>
      </w:r>
      <w:r>
        <w:rPr>
          <w:rFonts w:hint="eastAsia" w:ascii="MS UI Gothic" w:eastAsia="MS UI Gothic"/>
          <w:w w:val="80"/>
        </w:rPr>
        <w:t xml:space="preserve">ꎬ </w:t>
      </w:r>
      <w:r>
        <w:rPr>
          <w:w w:val="105"/>
        </w:rPr>
        <w:t>应当督促其立即整改</w:t>
      </w:r>
      <w:r>
        <w:rPr>
          <w:rFonts w:hint="eastAsia" w:ascii="MS UI Gothic" w:eastAsia="MS UI Gothic"/>
          <w:w w:val="80"/>
        </w:rPr>
        <w:t>ꎮ</w:t>
      </w:r>
    </w:p>
    <w:p>
      <w:pPr>
        <w:pStyle w:val="6"/>
        <w:spacing w:before="85" w:line="295" w:lineRule="auto"/>
        <w:ind w:right="440"/>
        <w:rPr>
          <w:rFonts w:hint="eastAsia" w:ascii="MS UI Gothic" w:eastAsia="MS UI Gothic"/>
        </w:rPr>
      </w:pPr>
      <w:r>
        <w:br w:type="column"/>
      </w:r>
      <w:r>
        <w:t>第十一条 金属非金属矿山分项发包单位</w:t>
      </w:r>
      <w:r>
        <w:rPr>
          <w:rFonts w:hint="eastAsia" w:ascii="MS UI Gothic" w:eastAsia="MS UI Gothic"/>
          <w:w w:val="80"/>
        </w:rPr>
        <w:t xml:space="preserve">ꎬ </w:t>
      </w:r>
      <w:r>
        <w:t>应当将承包单位及其项目部纳入本单位的安全管理体系</w:t>
      </w:r>
      <w:r>
        <w:rPr>
          <w:rFonts w:hint="eastAsia" w:ascii="MS UI Gothic" w:eastAsia="MS UI Gothic"/>
          <w:w w:val="80"/>
        </w:rPr>
        <w:t xml:space="preserve">ꎬ </w:t>
      </w:r>
      <w:r>
        <w:t>实行统一管理</w:t>
      </w:r>
      <w:r>
        <w:rPr>
          <w:rFonts w:hint="eastAsia" w:ascii="MS UI Gothic" w:eastAsia="MS UI Gothic"/>
          <w:w w:val="80"/>
        </w:rPr>
        <w:t xml:space="preserve">ꎬ </w:t>
      </w:r>
      <w:r>
        <w:t>重点加强对地下矿山领导带班下井</w:t>
      </w:r>
      <w:r>
        <w:rPr>
          <w:rFonts w:hint="eastAsia" w:ascii="MS UI Gothic" w:eastAsia="MS UI Gothic"/>
          <w:w w:val="80"/>
        </w:rPr>
        <w:t xml:space="preserve">、 </w:t>
      </w:r>
      <w:r>
        <w:t>地下矿山从业人员出入井统计</w:t>
      </w:r>
      <w:r>
        <w:rPr>
          <w:rFonts w:hint="eastAsia" w:ascii="MS UI Gothic" w:eastAsia="MS UI Gothic"/>
          <w:w w:val="80"/>
        </w:rPr>
        <w:t xml:space="preserve">、 </w:t>
      </w:r>
      <w:r>
        <w:t>特种作业人员</w:t>
      </w:r>
      <w:r>
        <w:rPr>
          <w:rFonts w:hint="eastAsia" w:ascii="MS UI Gothic" w:eastAsia="MS UI Gothic"/>
          <w:w w:val="80"/>
        </w:rPr>
        <w:t>、</w:t>
      </w:r>
      <w:r>
        <w:t>民用爆炸物品</w:t>
      </w:r>
      <w:r>
        <w:rPr>
          <w:rFonts w:hint="eastAsia" w:ascii="MS UI Gothic" w:eastAsia="MS UI Gothic"/>
          <w:w w:val="80"/>
        </w:rPr>
        <w:t xml:space="preserve">、 </w:t>
      </w:r>
      <w:r>
        <w:t>隐患排查与治理</w:t>
      </w:r>
      <w:r>
        <w:rPr>
          <w:rFonts w:hint="eastAsia" w:ascii="MS UI Gothic" w:eastAsia="MS UI Gothic"/>
          <w:w w:val="80"/>
        </w:rPr>
        <w:t xml:space="preserve">、 </w:t>
      </w:r>
      <w:r>
        <w:t>职业病防护等管理</w:t>
      </w:r>
      <w:r>
        <w:rPr>
          <w:rFonts w:hint="eastAsia" w:ascii="MS UI Gothic" w:eastAsia="MS UI Gothic"/>
          <w:w w:val="80"/>
        </w:rPr>
        <w:t xml:space="preserve">ꎬ </w:t>
      </w:r>
      <w:r>
        <w:t>并对外包工程的作业现场实施全过程监督检查</w:t>
      </w:r>
      <w:r>
        <w:rPr>
          <w:rFonts w:hint="eastAsia" w:ascii="MS UI Gothic" w:eastAsia="MS UI Gothic"/>
          <w:w w:val="80"/>
        </w:rPr>
        <w:t>ꎮ</w:t>
      </w:r>
    </w:p>
    <w:p>
      <w:pPr>
        <w:pStyle w:val="6"/>
        <w:spacing w:line="295" w:lineRule="auto"/>
        <w:ind w:right="442"/>
        <w:rPr>
          <w:rFonts w:hint="eastAsia" w:ascii="MS UI Gothic" w:eastAsia="MS UI Gothic"/>
        </w:rPr>
      </w:pPr>
      <w:r>
        <w:t>第十二条 金属非金属矿山总发包单位对地下矿山一个生产系统进行分项发包的</w:t>
      </w:r>
      <w:r>
        <w:rPr>
          <w:rFonts w:hint="eastAsia" w:ascii="MS UI Gothic" w:eastAsia="MS UI Gothic"/>
          <w:w w:val="80"/>
        </w:rPr>
        <w:t xml:space="preserve">ꎬ </w:t>
      </w:r>
      <w:r>
        <w:t xml:space="preserve">承包单位原则上不得超过 </w:t>
      </w:r>
      <w:r>
        <w:rPr>
          <w:rFonts w:hint="eastAsia" w:ascii="MS UI Gothic" w:eastAsia="MS UI Gothic"/>
          <w:w w:val="80"/>
        </w:rPr>
        <w:t xml:space="preserve">３ </w:t>
      </w:r>
      <w:r>
        <w:t>家</w:t>
      </w:r>
      <w:r>
        <w:rPr>
          <w:rFonts w:hint="eastAsia" w:ascii="MS UI Gothic" w:eastAsia="MS UI Gothic"/>
          <w:w w:val="80"/>
        </w:rPr>
        <w:t xml:space="preserve">ꎬ </w:t>
      </w:r>
      <w:r>
        <w:t>避免相互影响生产</w:t>
      </w:r>
      <w:r>
        <w:rPr>
          <w:rFonts w:hint="eastAsia" w:ascii="MS UI Gothic" w:eastAsia="MS UI Gothic"/>
          <w:w w:val="80"/>
        </w:rPr>
        <w:t xml:space="preserve">、 </w:t>
      </w:r>
      <w:r>
        <w:t>作业安全</w:t>
      </w:r>
      <w:r>
        <w:rPr>
          <w:rFonts w:hint="eastAsia" w:ascii="MS UI Gothic" w:eastAsia="MS UI Gothic"/>
          <w:w w:val="80"/>
        </w:rPr>
        <w:t>ꎮ</w:t>
      </w:r>
    </w:p>
    <w:p>
      <w:pPr>
        <w:pStyle w:val="6"/>
        <w:spacing w:line="295" w:lineRule="auto"/>
        <w:ind w:right="442"/>
        <w:rPr>
          <w:rFonts w:hint="eastAsia" w:ascii="MS UI Gothic" w:eastAsia="MS UI Gothic"/>
        </w:rPr>
      </w:pPr>
      <w:r>
        <w:t>前款规定的发包单位在地下矿山正常生产期间</w:t>
      </w:r>
      <w:r>
        <w:rPr>
          <w:rFonts w:hint="eastAsia" w:ascii="MS UI Gothic" w:eastAsia="MS UI Gothic"/>
          <w:w w:val="80"/>
        </w:rPr>
        <w:t xml:space="preserve">ꎬ </w:t>
      </w:r>
      <w:r>
        <w:t>不得将主通风</w:t>
      </w:r>
      <w:r>
        <w:rPr>
          <w:rFonts w:hint="eastAsia" w:ascii="MS UI Gothic" w:eastAsia="MS UI Gothic"/>
          <w:w w:val="80"/>
        </w:rPr>
        <w:t xml:space="preserve">、 </w:t>
      </w:r>
      <w:r>
        <w:t>主提升</w:t>
      </w:r>
      <w:r>
        <w:rPr>
          <w:rFonts w:hint="eastAsia" w:ascii="MS UI Gothic" w:eastAsia="MS UI Gothic"/>
          <w:w w:val="80"/>
        </w:rPr>
        <w:t xml:space="preserve">、 </w:t>
      </w:r>
      <w:r>
        <w:t>供排水</w:t>
      </w:r>
      <w:r>
        <w:rPr>
          <w:rFonts w:hint="eastAsia" w:ascii="MS UI Gothic" w:eastAsia="MS UI Gothic"/>
          <w:w w:val="80"/>
        </w:rPr>
        <w:t xml:space="preserve">、 </w:t>
      </w:r>
      <w:r>
        <w:t>供配电</w:t>
      </w:r>
      <w:r>
        <w:rPr>
          <w:rFonts w:hint="eastAsia" w:ascii="MS UI Gothic" w:eastAsia="MS UI Gothic"/>
          <w:w w:val="80"/>
        </w:rPr>
        <w:t xml:space="preserve">、 </w:t>
      </w:r>
      <w:r>
        <w:t>主供风系统及其设备设施的运行管理进行分项发包</w:t>
      </w:r>
      <w:r>
        <w:rPr>
          <w:rFonts w:hint="eastAsia" w:ascii="MS UI Gothic" w:eastAsia="MS UI Gothic"/>
          <w:w w:val="80"/>
        </w:rPr>
        <w:t>ꎮ</w:t>
      </w:r>
    </w:p>
    <w:p>
      <w:pPr>
        <w:pStyle w:val="6"/>
        <w:spacing w:line="295" w:lineRule="auto"/>
        <w:ind w:right="442"/>
        <w:rPr>
          <w:rFonts w:hint="eastAsia" w:ascii="MS UI Gothic" w:eastAsia="MS UI Gothic"/>
        </w:rPr>
      </w:pPr>
      <w:r>
        <w:t>第十三条 发包单位应当向承包单位进行外包工程的技术交底</w:t>
      </w:r>
      <w:r>
        <w:rPr>
          <w:rFonts w:hint="eastAsia" w:ascii="MS UI Gothic" w:eastAsia="MS UI Gothic"/>
          <w:w w:val="80"/>
        </w:rPr>
        <w:t xml:space="preserve">ꎬ </w:t>
      </w:r>
      <w:r>
        <w:t>按照合同约定向承包单位提供与外包工程安全生产相关的勘察</w:t>
      </w:r>
      <w:r>
        <w:rPr>
          <w:rFonts w:hint="eastAsia" w:ascii="MS UI Gothic" w:eastAsia="MS UI Gothic"/>
          <w:w w:val="80"/>
        </w:rPr>
        <w:t xml:space="preserve">、 </w:t>
      </w:r>
      <w:r>
        <w:t>设计</w:t>
      </w:r>
      <w:r>
        <w:rPr>
          <w:rFonts w:hint="eastAsia" w:ascii="MS UI Gothic" w:eastAsia="MS UI Gothic"/>
          <w:w w:val="80"/>
        </w:rPr>
        <w:t xml:space="preserve">、 </w:t>
      </w:r>
      <w:r>
        <w:t>风险评价</w:t>
      </w:r>
      <w:r>
        <w:rPr>
          <w:rFonts w:hint="eastAsia" w:ascii="MS UI Gothic" w:eastAsia="MS UI Gothic"/>
          <w:w w:val="80"/>
        </w:rPr>
        <w:t xml:space="preserve">、 </w:t>
      </w:r>
      <w:r>
        <w:t>检测检验和应急救援等资料</w:t>
      </w:r>
      <w:r>
        <w:rPr>
          <w:rFonts w:hint="eastAsia" w:ascii="MS UI Gothic" w:eastAsia="MS UI Gothic"/>
          <w:w w:val="80"/>
        </w:rPr>
        <w:t xml:space="preserve">ꎬ </w:t>
      </w:r>
      <w:r>
        <w:t>并保证资料的真实性</w:t>
      </w:r>
      <w:r>
        <w:rPr>
          <w:rFonts w:hint="eastAsia" w:ascii="MS UI Gothic" w:eastAsia="MS UI Gothic"/>
          <w:w w:val="80"/>
        </w:rPr>
        <w:t xml:space="preserve">、 </w:t>
      </w:r>
      <w:r>
        <w:t>完整性和有效性</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第十四条 发包单位应当建立健全外</w:t>
      </w:r>
      <w:r>
        <w:rPr>
          <w:spacing w:val="3"/>
        </w:rPr>
        <w:t>包工程安全生产考核机制</w:t>
      </w:r>
      <w:r>
        <w:rPr>
          <w:rFonts w:hint="eastAsia" w:ascii="MS UI Gothic" w:eastAsia="MS UI Gothic"/>
          <w:spacing w:val="20"/>
          <w:w w:val="80"/>
        </w:rPr>
        <w:t xml:space="preserve">ꎬ </w:t>
      </w:r>
      <w:r>
        <w:rPr>
          <w:spacing w:val="2"/>
        </w:rPr>
        <w:t>对承包单位每</w:t>
      </w:r>
      <w:r>
        <w:rPr>
          <w:spacing w:val="3"/>
          <w:w w:val="105"/>
        </w:rPr>
        <w:t>年至少进行一次安全生产考核</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第十五条 发包单位应当按照国家有</w:t>
      </w:r>
      <w:r>
        <w:rPr>
          <w:spacing w:val="3"/>
        </w:rPr>
        <w:t>关规定建立应急救援组织</w:t>
      </w:r>
      <w:r>
        <w:rPr>
          <w:rFonts w:hint="eastAsia" w:ascii="MS UI Gothic" w:eastAsia="MS UI Gothic"/>
          <w:spacing w:val="20"/>
          <w:w w:val="80"/>
        </w:rPr>
        <w:t xml:space="preserve">ꎬ </w:t>
      </w:r>
      <w:r>
        <w:rPr>
          <w:spacing w:val="2"/>
        </w:rPr>
        <w:t>编制本单位事</w:t>
      </w:r>
      <w:r>
        <w:rPr>
          <w:spacing w:val="3"/>
        </w:rPr>
        <w:t>故应急预案</w:t>
      </w:r>
      <w:r>
        <w:rPr>
          <w:rFonts w:hint="eastAsia" w:ascii="MS UI Gothic" w:eastAsia="MS UI Gothic"/>
          <w:spacing w:val="1"/>
          <w:w w:val="80"/>
        </w:rPr>
        <w:t xml:space="preserve">ꎬ </w:t>
      </w:r>
      <w:r>
        <w:rPr>
          <w:spacing w:val="3"/>
        </w:rPr>
        <w:t>并定期组织演练</w:t>
      </w:r>
      <w:r>
        <w:rPr>
          <w:rFonts w:hint="eastAsia" w:ascii="MS UI Gothic" w:eastAsia="MS UI Gothic"/>
          <w:w w:val="80"/>
        </w:rPr>
        <w:t>ꎮ</w:t>
      </w:r>
    </w:p>
    <w:p>
      <w:pPr>
        <w:pStyle w:val="6"/>
        <w:spacing w:line="295" w:lineRule="auto"/>
        <w:ind w:right="442"/>
        <w:rPr>
          <w:rFonts w:hint="eastAsia" w:ascii="MS UI Gothic" w:eastAsia="MS UI Gothic"/>
        </w:rPr>
      </w:pPr>
      <w:r>
        <w:t>外包工程实行总发包的</w:t>
      </w:r>
      <w:r>
        <w:rPr>
          <w:rFonts w:hint="eastAsia" w:ascii="MS UI Gothic" w:eastAsia="MS UI Gothic"/>
          <w:w w:val="80"/>
        </w:rPr>
        <w:t xml:space="preserve">ꎬ </w:t>
      </w:r>
      <w:r>
        <w:t>发包单位应当督促总承包单位统一组织编制外包工程事故应急预案</w:t>
      </w:r>
      <w:r>
        <w:rPr>
          <w:rFonts w:hint="eastAsia" w:ascii="MS UI Gothic" w:eastAsia="MS UI Gothic"/>
          <w:w w:val="80"/>
        </w:rPr>
        <w:t xml:space="preserve">ꎻ </w:t>
      </w:r>
      <w:r>
        <w:t>实行分项发包的</w:t>
      </w:r>
      <w:r>
        <w:rPr>
          <w:rFonts w:hint="eastAsia" w:ascii="MS UI Gothic" w:eastAsia="MS UI Gothic"/>
          <w:w w:val="80"/>
        </w:rPr>
        <w:t xml:space="preserve">ꎬ </w:t>
      </w:r>
      <w:r>
        <w:t>发包单位应当将承包单位编制的外包工程现场应急处置方案纳入本单位应急预案体系</w:t>
      </w:r>
      <w:r>
        <w:rPr>
          <w:rFonts w:hint="eastAsia" w:ascii="MS UI Gothic" w:eastAsia="MS UI Gothic"/>
          <w:w w:val="80"/>
        </w:rPr>
        <w:t xml:space="preserve">ꎬ </w:t>
      </w:r>
      <w:r>
        <w:t>并定期组织演练</w:t>
      </w:r>
      <w:r>
        <w:rPr>
          <w:rFonts w:hint="eastAsia" w:ascii="MS UI Gothic" w:eastAsia="MS UI Gothic"/>
          <w:w w:val="80"/>
        </w:rPr>
        <w:t>ꎮ</w:t>
      </w:r>
    </w:p>
    <w:p>
      <w:pPr>
        <w:pStyle w:val="6"/>
        <w:spacing w:line="295" w:lineRule="auto"/>
        <w:ind w:right="442"/>
      </w:pPr>
      <w:r>
        <w:t>第十六条 发包单位在接到外包工程事故报告后</w:t>
      </w:r>
      <w:r>
        <w:rPr>
          <w:rFonts w:hint="eastAsia" w:ascii="MS UI Gothic" w:hAnsi="MS UI Gothic" w:eastAsia="MS UI Gothic"/>
          <w:w w:val="80"/>
        </w:rPr>
        <w:t xml:space="preserve">ꎬ </w:t>
      </w:r>
      <w:r>
        <w:t>应当立即启动相关事故应急预案</w:t>
      </w:r>
      <w:r>
        <w:rPr>
          <w:rFonts w:hint="eastAsia" w:ascii="MS UI Gothic" w:hAnsi="MS UI Gothic" w:eastAsia="MS UI Gothic"/>
          <w:w w:val="80"/>
        </w:rPr>
        <w:t xml:space="preserve">ꎬ </w:t>
      </w:r>
      <w:r>
        <w:t>或者采取有效措施</w:t>
      </w:r>
      <w:r>
        <w:rPr>
          <w:rFonts w:hint="eastAsia" w:ascii="MS UI Gothic" w:hAnsi="MS UI Gothic" w:eastAsia="MS UI Gothic"/>
          <w:w w:val="80"/>
        </w:rPr>
        <w:t xml:space="preserve">ꎬ </w:t>
      </w:r>
      <w:r>
        <w:t>组织抢救</w:t>
      </w:r>
      <w:r>
        <w:rPr>
          <w:rFonts w:hint="eastAsia" w:ascii="MS UI Gothic" w:hAnsi="MS UI Gothic" w:eastAsia="MS UI Gothic"/>
          <w:w w:val="80"/>
        </w:rPr>
        <w:t xml:space="preserve">ꎬ </w:t>
      </w:r>
      <w:r>
        <w:t>防止事故扩大</w:t>
      </w:r>
      <w:r>
        <w:rPr>
          <w:rFonts w:hint="eastAsia" w:ascii="MS UI Gothic" w:hAnsi="MS UI Gothic" w:eastAsia="MS UI Gothic"/>
          <w:w w:val="80"/>
        </w:rPr>
        <w:t xml:space="preserve">ꎬ </w:t>
      </w:r>
      <w:r>
        <w:t xml:space="preserve">并依照 </w:t>
      </w:r>
      <w:r>
        <w:rPr>
          <w:rFonts w:hint="eastAsia" w:ascii="MS UI Gothic" w:hAnsi="MS UI Gothic" w:eastAsia="MS UI Gothic"/>
          <w:w w:val="80"/>
        </w:rPr>
        <w:t xml:space="preserve">« </w:t>
      </w:r>
      <w:r>
        <w:t>生产安全事故报告和调查处理条例</w:t>
      </w:r>
      <w:r>
        <w:rPr>
          <w:rFonts w:hint="eastAsia" w:ascii="MS UI Gothic" w:hAnsi="MS UI Gothic" w:eastAsia="MS UI Gothic"/>
          <w:w w:val="80"/>
        </w:rPr>
        <w:t xml:space="preserve">» </w:t>
      </w:r>
      <w:r>
        <w:t>的规定</w:t>
      </w:r>
      <w:r>
        <w:rPr>
          <w:rFonts w:hint="eastAsia" w:ascii="MS UI Gothic" w:hAnsi="MS UI Gothic" w:eastAsia="MS UI Gothic"/>
          <w:w w:val="80"/>
        </w:rPr>
        <w:t xml:space="preserve">ꎬ </w:t>
      </w:r>
      <w:r>
        <w:t>立即如实</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４１１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31" o:spid="_x0000_s2231" o:spt="203" style="height:2.15pt;width:398.25pt;" coordsize="7965,43">
            <o:lock v:ext="edit"/>
            <v:line id="_x0000_s2232" o:spid="_x0000_s2232" o:spt="20" style="position:absolute;left:0;top:39;height:0;width:7965;" stroked="t" coordsize="21600,21600">
              <v:path arrowok="t"/>
              <v:fill focussize="0,0"/>
              <v:stroke weight="0.388031496062992pt" color="#231F20"/>
              <v:imagedata o:title=""/>
              <o:lock v:ext="edit"/>
            </v:line>
            <v:line id="_x0000_s2233" o:spid="_x0000_s22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地向事故发生地县级以上人民政府安全生产监督管理部门和负有安全生产监督管理</w:t>
      </w:r>
      <w:r>
        <w:rPr>
          <w:w w:val="105"/>
        </w:rPr>
        <w:t>职责的有关部门报告</w:t>
      </w:r>
      <w:r>
        <w:rPr>
          <w:rFonts w:hint="eastAsia" w:ascii="MS UI Gothic" w:eastAsia="MS UI Gothic"/>
          <w:w w:val="80"/>
        </w:rPr>
        <w:t>ꎮ</w:t>
      </w:r>
    </w:p>
    <w:p>
      <w:pPr>
        <w:pStyle w:val="6"/>
        <w:spacing w:line="295" w:lineRule="auto"/>
        <w:ind w:left="440" w:right="1"/>
        <w:rPr>
          <w:rFonts w:hint="eastAsia" w:ascii="MS UI Gothic" w:eastAsia="MS UI Gothic"/>
        </w:rPr>
      </w:pPr>
      <w:r>
        <w:t>外包工程发生事故的</w:t>
      </w:r>
      <w:r>
        <w:rPr>
          <w:rFonts w:hint="eastAsia" w:ascii="MS UI Gothic" w:eastAsia="MS UI Gothic"/>
          <w:w w:val="80"/>
        </w:rPr>
        <w:t xml:space="preserve">ꎬ </w:t>
      </w:r>
      <w:r>
        <w:t>其事故数据纳入发包单位的统计范围</w:t>
      </w:r>
      <w:r>
        <w:rPr>
          <w:rFonts w:hint="eastAsia" w:ascii="MS UI Gothic" w:eastAsia="MS UI Gothic"/>
          <w:w w:val="80"/>
        </w:rPr>
        <w:t>ꎮ</w:t>
      </w:r>
    </w:p>
    <w:p>
      <w:pPr>
        <w:pStyle w:val="6"/>
        <w:spacing w:line="295" w:lineRule="auto"/>
        <w:ind w:left="440" w:right="1"/>
        <w:jc w:val="left"/>
        <w:rPr>
          <w:rFonts w:hint="eastAsia" w:ascii="MS UI Gothic" w:eastAsia="MS UI Gothic"/>
        </w:rPr>
      </w:pPr>
      <w:r>
        <w:rPr>
          <w:spacing w:val="2"/>
        </w:rPr>
        <w:t>发包单位和承包单位应当根据事故调</w:t>
      </w:r>
      <w:r>
        <w:rPr>
          <w:spacing w:val="3"/>
          <w:w w:val="105"/>
        </w:rPr>
        <w:t>查报告及其批复承担相应的事故责任</w:t>
      </w:r>
      <w:r>
        <w:rPr>
          <w:rFonts w:hint="eastAsia" w:ascii="MS UI Gothic" w:eastAsia="MS UI Gothic"/>
          <w:w w:val="80"/>
        </w:rPr>
        <w:t>ꎮ</w:t>
      </w:r>
    </w:p>
    <w:p>
      <w:pPr>
        <w:pStyle w:val="6"/>
        <w:tabs>
          <w:tab w:val="left" w:pos="1593"/>
        </w:tabs>
        <w:spacing w:before="152"/>
        <w:ind w:left="755" w:firstLine="0"/>
        <w:jc w:val="left"/>
      </w:pPr>
      <w:r>
        <w:rPr>
          <w:spacing w:val="3"/>
          <w:w w:val="105"/>
        </w:rPr>
        <w:t>第三</w:t>
      </w:r>
      <w:r>
        <w:rPr>
          <w:w w:val="105"/>
        </w:rPr>
        <w:t>章</w:t>
      </w:r>
      <w:r>
        <w:rPr>
          <w:w w:val="105"/>
        </w:rPr>
        <w:tab/>
      </w:r>
      <w:r>
        <w:rPr>
          <w:spacing w:val="3"/>
        </w:rPr>
        <w:t>承包单位的安全生产职</w:t>
      </w:r>
      <w:r>
        <w:t>责</w:t>
      </w:r>
    </w:p>
    <w:p>
      <w:pPr>
        <w:pStyle w:val="6"/>
        <w:spacing w:before="215" w:line="295" w:lineRule="auto"/>
        <w:ind w:left="440" w:right="1"/>
        <w:rPr>
          <w:rFonts w:hint="eastAsia" w:ascii="MS UI Gothic" w:eastAsia="MS UI Gothic"/>
        </w:rPr>
      </w:pPr>
      <w:r>
        <w:t>第十七条 承包单位应当依照有关法律</w:t>
      </w:r>
      <w:r>
        <w:rPr>
          <w:rFonts w:hint="eastAsia" w:ascii="MS UI Gothic" w:eastAsia="MS UI Gothic"/>
          <w:w w:val="80"/>
        </w:rPr>
        <w:t xml:space="preserve">、 </w:t>
      </w:r>
      <w:r>
        <w:t>法规</w:t>
      </w:r>
      <w:r>
        <w:rPr>
          <w:rFonts w:hint="eastAsia" w:ascii="MS UI Gothic" w:eastAsia="MS UI Gothic"/>
          <w:w w:val="80"/>
        </w:rPr>
        <w:t xml:space="preserve">、 </w:t>
      </w:r>
      <w:r>
        <w:t>规章和国家标准</w:t>
      </w:r>
      <w:r>
        <w:rPr>
          <w:rFonts w:hint="eastAsia" w:ascii="MS UI Gothic" w:eastAsia="MS UI Gothic"/>
          <w:w w:val="80"/>
        </w:rPr>
        <w:t xml:space="preserve">、 </w:t>
      </w:r>
      <w:r>
        <w:t>行业标准的规定</w:t>
      </w:r>
      <w:r>
        <w:rPr>
          <w:rFonts w:hint="eastAsia" w:ascii="MS UI Gothic" w:eastAsia="MS UI Gothic"/>
          <w:w w:val="80"/>
        </w:rPr>
        <w:t xml:space="preserve">ꎬ </w:t>
      </w:r>
      <w:r>
        <w:t>以及承包合同和安全生产管理协议的约定</w:t>
      </w:r>
      <w:r>
        <w:rPr>
          <w:rFonts w:hint="eastAsia" w:ascii="MS UI Gothic" w:eastAsia="MS UI Gothic"/>
          <w:w w:val="80"/>
        </w:rPr>
        <w:t xml:space="preserve">ꎬ </w:t>
      </w:r>
      <w:r>
        <w:t>组织施工作业</w:t>
      </w:r>
      <w:r>
        <w:rPr>
          <w:rFonts w:hint="eastAsia" w:ascii="MS UI Gothic" w:eastAsia="MS UI Gothic"/>
          <w:w w:val="80"/>
        </w:rPr>
        <w:t xml:space="preserve">ꎬ </w:t>
      </w:r>
      <w:r>
        <w:t>确保安全生产</w:t>
      </w:r>
      <w:r>
        <w:rPr>
          <w:rFonts w:hint="eastAsia" w:ascii="MS UI Gothic" w:eastAsia="MS UI Gothic"/>
          <w:w w:val="80"/>
        </w:rPr>
        <w:t>ꎮ</w:t>
      </w:r>
    </w:p>
    <w:p>
      <w:pPr>
        <w:pStyle w:val="6"/>
        <w:spacing w:line="295" w:lineRule="auto"/>
        <w:ind w:left="440" w:right="1"/>
        <w:jc w:val="left"/>
        <w:rPr>
          <w:rFonts w:hint="eastAsia" w:ascii="MS UI Gothic" w:eastAsia="MS UI Gothic"/>
        </w:rPr>
      </w:pPr>
      <w:r>
        <w:t>承包单位有权拒绝发包单位的违章指</w:t>
      </w:r>
      <w:r>
        <w:rPr>
          <w:w w:val="105"/>
        </w:rPr>
        <w:t>挥和强令冒险作业</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第十八条 外包工程实行总承包的</w:t>
      </w:r>
      <w:r>
        <w:rPr>
          <w:rFonts w:hint="eastAsia" w:ascii="MS UI Gothic" w:eastAsia="MS UI Gothic"/>
          <w:w w:val="80"/>
        </w:rPr>
        <w:t>ꎬ</w:t>
      </w:r>
      <w:r>
        <w:t>总承包单位对施工现场的安全生产负总责</w:t>
      </w:r>
      <w:r>
        <w:rPr>
          <w:rFonts w:hint="eastAsia" w:ascii="MS UI Gothic" w:eastAsia="MS UI Gothic"/>
          <w:w w:val="80"/>
        </w:rPr>
        <w:t xml:space="preserve">ꎻ </w:t>
      </w:r>
      <w:r>
        <w:t>分项承包单位按照分包合同的约定对总承包单位负责</w:t>
      </w:r>
      <w:r>
        <w:rPr>
          <w:rFonts w:hint="eastAsia" w:ascii="MS UI Gothic" w:eastAsia="MS UI Gothic"/>
          <w:w w:val="80"/>
        </w:rPr>
        <w:t xml:space="preserve">ꎮ </w:t>
      </w:r>
      <w:r>
        <w:t>总承包单位和分项承包单位对分包工程的安全生产承担连带</w:t>
      </w:r>
      <w:r>
        <w:rPr>
          <w:w w:val="105"/>
        </w:rPr>
        <w:t>责任</w:t>
      </w:r>
      <w:r>
        <w:rPr>
          <w:rFonts w:hint="eastAsia" w:ascii="MS UI Gothic" w:eastAsia="MS UI Gothic"/>
          <w:w w:val="80"/>
        </w:rPr>
        <w:t>ꎮ</w:t>
      </w:r>
    </w:p>
    <w:p>
      <w:pPr>
        <w:pStyle w:val="6"/>
        <w:spacing w:line="295" w:lineRule="auto"/>
        <w:ind w:left="440" w:right="1"/>
        <w:rPr>
          <w:rFonts w:hint="eastAsia" w:ascii="MS UI Gothic" w:eastAsia="MS UI Gothic"/>
        </w:rPr>
      </w:pPr>
      <w:r>
        <w:t>总承包单位依法将外包工程分包给其他单位的</w:t>
      </w:r>
      <w:r>
        <w:rPr>
          <w:rFonts w:hint="eastAsia" w:ascii="MS UI Gothic" w:eastAsia="MS UI Gothic"/>
          <w:w w:val="80"/>
        </w:rPr>
        <w:t xml:space="preserve">ꎬ </w:t>
      </w:r>
      <w:r>
        <w:t>其外包工程的主体部分应当由</w:t>
      </w:r>
      <w:r>
        <w:rPr>
          <w:w w:val="105"/>
        </w:rPr>
        <w:t>总承包单位自行完成</w:t>
      </w:r>
      <w:r>
        <w:rPr>
          <w:rFonts w:hint="eastAsia" w:ascii="MS UI Gothic" w:eastAsia="MS UI Gothic"/>
          <w:w w:val="80"/>
        </w:rPr>
        <w:t>ꎮ</w:t>
      </w:r>
    </w:p>
    <w:p>
      <w:pPr>
        <w:pStyle w:val="6"/>
        <w:spacing w:line="295" w:lineRule="auto"/>
        <w:ind w:left="440" w:right="1"/>
        <w:rPr>
          <w:rFonts w:hint="eastAsia" w:ascii="MS UI Gothic" w:eastAsia="MS UI Gothic"/>
        </w:rPr>
      </w:pPr>
      <w:r>
        <w:t>禁止承包单位转包其承揽的外包工程</w:t>
      </w:r>
      <w:r>
        <w:rPr>
          <w:rFonts w:hint="eastAsia" w:ascii="MS UI Gothic" w:eastAsia="MS UI Gothic"/>
          <w:w w:val="80"/>
        </w:rPr>
        <w:t xml:space="preserve">ꎮ </w:t>
      </w:r>
      <w:r>
        <w:t>禁止分项承包单位将其承揽的外包工程再次分包</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第十九条 承包单位应当依法取得非</w:t>
      </w:r>
      <w:r>
        <w:t>煤矿山安全生产许可证和相应等级的施工</w:t>
      </w:r>
      <w:r>
        <w:rPr>
          <w:w w:val="105"/>
        </w:rPr>
        <w:t>资质</w:t>
      </w:r>
      <w:r>
        <w:rPr>
          <w:rFonts w:hint="eastAsia" w:ascii="MS UI Gothic" w:eastAsia="MS UI Gothic"/>
          <w:w w:val="80"/>
        </w:rPr>
        <w:t xml:space="preserve">ꎬ </w:t>
      </w:r>
      <w:r>
        <w:rPr>
          <w:w w:val="105"/>
        </w:rPr>
        <w:t>并在其资质范围内承包工程</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t>承包金属非金属矿山建设和闭坑工程的资质等级</w:t>
      </w:r>
      <w:r>
        <w:rPr>
          <w:rFonts w:hint="eastAsia" w:ascii="MS UI Gothic" w:hAnsi="MS UI Gothic" w:eastAsia="MS UI Gothic"/>
          <w:w w:val="80"/>
        </w:rPr>
        <w:t xml:space="preserve">ꎬ </w:t>
      </w:r>
      <w:r>
        <w:t xml:space="preserve">应当符合 </w:t>
      </w:r>
      <w:r>
        <w:rPr>
          <w:rFonts w:hint="eastAsia" w:ascii="MS UI Gothic" w:hAnsi="MS UI Gothic" w:eastAsia="MS UI Gothic"/>
          <w:w w:val="80"/>
        </w:rPr>
        <w:t xml:space="preserve">« </w:t>
      </w:r>
      <w:r>
        <w:t>建筑业企业资质等级标准</w:t>
      </w:r>
      <w:r>
        <w:rPr>
          <w:rFonts w:hint="eastAsia" w:ascii="MS UI Gothic" w:hAnsi="MS UI Gothic" w:eastAsia="MS UI Gothic"/>
          <w:w w:val="80"/>
        </w:rPr>
        <w:t xml:space="preserve">» </w:t>
      </w:r>
      <w:r>
        <w:t>的规定</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rPr>
          <w:w w:val="105"/>
        </w:rPr>
        <w:t>承包金属非金属矿山生产</w:t>
      </w:r>
      <w:r>
        <w:rPr>
          <w:rFonts w:hint="eastAsia" w:ascii="MS UI Gothic" w:eastAsia="MS UI Gothic"/>
          <w:w w:val="80"/>
        </w:rPr>
        <w:t xml:space="preserve">、 </w:t>
      </w:r>
      <w:r>
        <w:rPr>
          <w:w w:val="105"/>
        </w:rPr>
        <w:t>作业工程的资质等级</w:t>
      </w:r>
      <w:r>
        <w:rPr>
          <w:rFonts w:hint="eastAsia" w:ascii="MS UI Gothic" w:eastAsia="MS UI Gothic"/>
          <w:w w:val="80"/>
        </w:rPr>
        <w:t xml:space="preserve">ꎬ </w:t>
      </w:r>
      <w:r>
        <w:rPr>
          <w:w w:val="105"/>
        </w:rPr>
        <w:t>应当符合下列要求</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2"/>
          <w:w w:val="150"/>
        </w:rPr>
        <w:t xml:space="preserve">) </w:t>
      </w:r>
      <w:r>
        <w:rPr>
          <w:spacing w:val="5"/>
          <w:w w:val="105"/>
        </w:rPr>
        <w:t>总承包大型地下矿山工程和深</w:t>
      </w:r>
      <w:r>
        <w:rPr>
          <w:spacing w:val="3"/>
          <w:w w:val="105"/>
        </w:rPr>
        <w:t>凹露天</w:t>
      </w:r>
      <w:r>
        <w:rPr>
          <w:rFonts w:hint="eastAsia" w:ascii="MS UI Gothic" w:eastAsia="MS UI Gothic"/>
          <w:spacing w:val="-5"/>
          <w:w w:val="80"/>
        </w:rPr>
        <w:t xml:space="preserve">、 </w:t>
      </w:r>
      <w:r>
        <w:rPr>
          <w:spacing w:val="2"/>
          <w:w w:val="105"/>
        </w:rPr>
        <w:t>高陡边坡及地质条件复杂的大型</w:t>
      </w:r>
      <w:r>
        <w:rPr>
          <w:spacing w:val="3"/>
        </w:rPr>
        <w:t>露天矿山工程的</w:t>
      </w:r>
      <w:r>
        <w:rPr>
          <w:rFonts w:hint="eastAsia" w:ascii="MS UI Gothic" w:eastAsia="MS UI Gothic"/>
          <w:spacing w:val="21"/>
          <w:w w:val="80"/>
        </w:rPr>
        <w:t xml:space="preserve">ꎬ </w:t>
      </w:r>
      <w:r>
        <w:rPr>
          <w:spacing w:val="2"/>
        </w:rPr>
        <w:t>具备矿山工程施工总承</w:t>
      </w:r>
      <w:r>
        <w:rPr>
          <w:spacing w:val="-5"/>
          <w:w w:val="105"/>
        </w:rPr>
        <w:t xml:space="preserve">包二级以上 </w:t>
      </w:r>
      <w:r>
        <w:rPr>
          <w:rFonts w:hint="eastAsia" w:ascii="MS UI Gothic" w:eastAsia="MS UI Gothic"/>
          <w:spacing w:val="-39"/>
          <w:w w:val="150"/>
        </w:rPr>
        <w:t xml:space="preserve">( </w:t>
      </w:r>
      <w:r>
        <w:rPr>
          <w:spacing w:val="3"/>
          <w:w w:val="105"/>
        </w:rPr>
        <w:t>含本级</w:t>
      </w:r>
      <w:r>
        <w:rPr>
          <w:rFonts w:hint="eastAsia" w:ascii="MS UI Gothic" w:eastAsia="MS UI Gothic"/>
          <w:spacing w:val="10"/>
          <w:w w:val="80"/>
        </w:rPr>
        <w:t xml:space="preserve">ꎬ </w:t>
      </w:r>
      <w:r>
        <w:rPr>
          <w:spacing w:val="3"/>
          <w:w w:val="105"/>
        </w:rPr>
        <w:t>下同</w:t>
      </w:r>
      <w:r>
        <w:rPr>
          <w:rFonts w:hint="eastAsia" w:ascii="MS UI Gothic" w:eastAsia="MS UI Gothic"/>
          <w:spacing w:val="-5"/>
          <w:w w:val="150"/>
        </w:rPr>
        <w:t xml:space="preserve">) </w:t>
      </w:r>
      <w:r>
        <w:rPr>
          <w:spacing w:val="3"/>
          <w:w w:val="105"/>
        </w:rPr>
        <w:t>施工资质</w:t>
      </w:r>
      <w:r>
        <w:rPr>
          <w:rFonts w:hint="eastAsia" w:ascii="MS UI Gothic" w:eastAsia="MS UI Gothic"/>
          <w:w w:val="80"/>
        </w:rPr>
        <w:t>ꎻ</w:t>
      </w:r>
    </w:p>
    <w:p>
      <w:pPr>
        <w:pStyle w:val="6"/>
        <w:spacing w:before="124" w:line="295" w:lineRule="auto"/>
        <w:ind w:left="381" w:right="126"/>
        <w:rPr>
          <w:rFonts w:hint="eastAsia" w:ascii="MS UI Gothic" w:eastAsia="MS UI Gothic"/>
        </w:rPr>
      </w:pPr>
      <w:r>
        <w:br w:type="column"/>
      </w: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总承包中型</w:t>
      </w:r>
      <w:r>
        <w:rPr>
          <w:rFonts w:hint="eastAsia" w:ascii="MS UI Gothic" w:eastAsia="MS UI Gothic"/>
          <w:w w:val="80"/>
        </w:rPr>
        <w:t xml:space="preserve">、 </w:t>
      </w:r>
      <w:r>
        <w:rPr>
          <w:w w:val="105"/>
        </w:rPr>
        <w:t>小型地下矿山工</w:t>
      </w:r>
      <w:r>
        <w:t>程的</w:t>
      </w:r>
      <w:r>
        <w:rPr>
          <w:rFonts w:hint="eastAsia" w:ascii="MS UI Gothic" w:eastAsia="MS UI Gothic"/>
          <w:w w:val="80"/>
        </w:rPr>
        <w:t xml:space="preserve">ꎬ </w:t>
      </w:r>
      <w:r>
        <w:t>具备矿山工程施工总承包三级以上</w:t>
      </w:r>
      <w:r>
        <w:rPr>
          <w:w w:val="105"/>
        </w:rPr>
        <w:t>施工资质</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总承包其他露天矿山工程和分</w:t>
      </w:r>
      <w:r>
        <w:t>项承包金属非金属矿山工程的</w:t>
      </w:r>
      <w:r>
        <w:rPr>
          <w:rFonts w:hint="eastAsia" w:ascii="MS UI Gothic" w:eastAsia="MS UI Gothic"/>
          <w:w w:val="80"/>
        </w:rPr>
        <w:t xml:space="preserve">ꎬ </w:t>
      </w:r>
      <w:r>
        <w:t>具备矿山工程施工总承包或者相关的专业承包资质</w:t>
      </w:r>
      <w:r>
        <w:rPr>
          <w:rFonts w:hint="eastAsia" w:ascii="MS UI Gothic" w:eastAsia="MS UI Gothic"/>
          <w:w w:val="80"/>
        </w:rPr>
        <w:t xml:space="preserve">ꎬ </w:t>
      </w:r>
      <w:r>
        <w:t>具体规定由省级人民政府安全生产监</w:t>
      </w:r>
      <w:r>
        <w:rPr>
          <w:w w:val="105"/>
        </w:rPr>
        <w:t>督管理部门制定</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t>承包尾矿库外包工程的资质</w:t>
      </w:r>
      <w:r>
        <w:rPr>
          <w:rFonts w:hint="eastAsia" w:ascii="MS UI Gothic" w:hAnsi="MS UI Gothic" w:eastAsia="MS UI Gothic"/>
          <w:w w:val="80"/>
        </w:rPr>
        <w:t xml:space="preserve">ꎬ </w:t>
      </w:r>
      <w:r>
        <w:t xml:space="preserve">应当符合 </w:t>
      </w:r>
      <w:r>
        <w:rPr>
          <w:rFonts w:hint="eastAsia" w:ascii="MS UI Gothic" w:hAnsi="MS UI Gothic" w:eastAsia="MS UI Gothic"/>
          <w:w w:val="80"/>
        </w:rPr>
        <w:t xml:space="preserve">« </w:t>
      </w:r>
      <w:r>
        <w:t>尾矿库安全监督管理规定</w:t>
      </w:r>
      <w:r>
        <w:rPr>
          <w:rFonts w:hint="eastAsia" w:ascii="MS UI Gothic" w:hAnsi="MS UI Gothic" w:eastAsia="MS UI Gothic"/>
          <w:w w:val="80"/>
        </w:rPr>
        <w:t>» ꎮ</w:t>
      </w:r>
    </w:p>
    <w:p>
      <w:pPr>
        <w:pStyle w:val="6"/>
        <w:spacing w:line="295" w:lineRule="auto"/>
        <w:ind w:left="381" w:right="126"/>
        <w:rPr>
          <w:rFonts w:hint="eastAsia" w:ascii="MS UI Gothic" w:hAnsi="MS UI Gothic" w:eastAsia="MS UI Gothic"/>
        </w:rPr>
      </w:pPr>
      <w:r>
        <w:t>承包金属非金属矿山地质勘探工程的资质等级</w:t>
      </w:r>
      <w:r>
        <w:rPr>
          <w:rFonts w:hint="eastAsia" w:ascii="MS UI Gothic" w:hAnsi="MS UI Gothic" w:eastAsia="MS UI Gothic"/>
          <w:w w:val="80"/>
        </w:rPr>
        <w:t xml:space="preserve">ꎬ </w:t>
      </w:r>
      <w:r>
        <w:t xml:space="preserve">应当符合 </w:t>
      </w:r>
      <w:r>
        <w:rPr>
          <w:rFonts w:hint="eastAsia" w:ascii="MS UI Gothic" w:hAnsi="MS UI Gothic" w:eastAsia="MS UI Gothic"/>
          <w:w w:val="80"/>
        </w:rPr>
        <w:t xml:space="preserve">« </w:t>
      </w:r>
      <w:r>
        <w:t>金属与非金属矿产资源地质勘探安全生产监督管理暂行规定</w:t>
      </w:r>
      <w:r>
        <w:rPr>
          <w:rFonts w:hint="eastAsia" w:ascii="MS UI Gothic" w:hAnsi="MS UI Gothic" w:eastAsia="MS UI Gothic"/>
          <w:w w:val="80"/>
        </w:rPr>
        <w:t>» ꎮ</w:t>
      </w:r>
    </w:p>
    <w:p>
      <w:pPr>
        <w:pStyle w:val="6"/>
        <w:spacing w:line="295" w:lineRule="auto"/>
        <w:ind w:left="381" w:right="126"/>
        <w:rPr>
          <w:rFonts w:hint="eastAsia" w:ascii="MS UI Gothic" w:eastAsia="MS UI Gothic"/>
        </w:rPr>
      </w:pPr>
      <w:r>
        <w:rPr>
          <w:w w:val="105"/>
        </w:rPr>
        <w:t>承包石油天然气勘探</w:t>
      </w:r>
      <w:r>
        <w:rPr>
          <w:rFonts w:hint="eastAsia" w:ascii="MS UI Gothic" w:eastAsia="MS UI Gothic"/>
          <w:w w:val="80"/>
        </w:rPr>
        <w:t xml:space="preserve">、 </w:t>
      </w:r>
      <w:r>
        <w:rPr>
          <w:w w:val="105"/>
        </w:rPr>
        <w:t>开发工程的资</w:t>
      </w:r>
      <w:r>
        <w:t>质等级</w:t>
      </w:r>
      <w:r>
        <w:rPr>
          <w:rFonts w:hint="eastAsia" w:ascii="MS UI Gothic" w:eastAsia="MS UI Gothic"/>
          <w:w w:val="80"/>
        </w:rPr>
        <w:t xml:space="preserve">ꎬ </w:t>
      </w:r>
      <w:r>
        <w:t>由国家安全生产监督管理总局或者国务院有关部门按照各自的管理权限</w:t>
      </w:r>
      <w:r>
        <w:rPr>
          <w:w w:val="105"/>
        </w:rPr>
        <w:t>确定</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第二十条 承包单位应当加强对所属</w:t>
      </w:r>
      <w:r>
        <w:t>项目部的安全管理</w:t>
      </w:r>
      <w:r>
        <w:rPr>
          <w:rFonts w:hint="eastAsia" w:ascii="MS UI Gothic" w:eastAsia="MS UI Gothic"/>
          <w:w w:val="80"/>
        </w:rPr>
        <w:t xml:space="preserve">ꎬ </w:t>
      </w:r>
      <w:r>
        <w:t>每半年至少进行一次安全生产检查</w:t>
      </w:r>
      <w:r>
        <w:rPr>
          <w:rFonts w:hint="eastAsia" w:ascii="MS UI Gothic" w:eastAsia="MS UI Gothic"/>
          <w:w w:val="80"/>
        </w:rPr>
        <w:t xml:space="preserve">ꎬ </w:t>
      </w:r>
      <w:r>
        <w:t>对项目部人员每年至少进</w:t>
      </w:r>
      <w:r>
        <w:rPr>
          <w:w w:val="105"/>
        </w:rPr>
        <w:t>行一次安全生产教育培训与考核</w:t>
      </w:r>
      <w:r>
        <w:rPr>
          <w:rFonts w:hint="eastAsia" w:ascii="MS UI Gothic" w:eastAsia="MS UI Gothic"/>
          <w:w w:val="80"/>
        </w:rPr>
        <w:t>ꎮ</w:t>
      </w:r>
    </w:p>
    <w:p>
      <w:pPr>
        <w:pStyle w:val="6"/>
        <w:spacing w:line="295" w:lineRule="auto"/>
        <w:ind w:left="381" w:right="126"/>
        <w:rPr>
          <w:rFonts w:hint="eastAsia" w:ascii="MS UI Gothic" w:eastAsia="MS UI Gothic"/>
        </w:rPr>
      </w:pPr>
      <w:r>
        <w:t>禁止承包单位以转让</w:t>
      </w:r>
      <w:r>
        <w:rPr>
          <w:rFonts w:hint="eastAsia" w:ascii="MS UI Gothic" w:eastAsia="MS UI Gothic"/>
          <w:w w:val="80"/>
        </w:rPr>
        <w:t xml:space="preserve">、 </w:t>
      </w:r>
      <w:r>
        <w:t>出租</w:t>
      </w:r>
      <w:r>
        <w:rPr>
          <w:rFonts w:hint="eastAsia" w:ascii="MS UI Gothic" w:eastAsia="MS UI Gothic"/>
          <w:w w:val="80"/>
        </w:rPr>
        <w:t xml:space="preserve">、 </w:t>
      </w:r>
      <w:r>
        <w:t>出借资质证书等方式允许他人以本单位的名义承揽工程</w:t>
      </w:r>
      <w:r>
        <w:rPr>
          <w:rFonts w:hint="eastAsia" w:ascii="MS UI Gothic" w:eastAsia="MS UI Gothic"/>
          <w:w w:val="80"/>
        </w:rPr>
        <w:t>ꎮ</w:t>
      </w:r>
    </w:p>
    <w:p>
      <w:pPr>
        <w:pStyle w:val="6"/>
        <w:spacing w:line="295" w:lineRule="auto"/>
        <w:ind w:left="381" w:right="126"/>
        <w:rPr>
          <w:rFonts w:hint="eastAsia" w:ascii="MS UI Gothic" w:eastAsia="MS UI Gothic"/>
        </w:rPr>
      </w:pPr>
      <w:r>
        <w:t>第二十一条 承包单位及其项目部应当根据承揽工程的规模和特点</w:t>
      </w:r>
      <w:r>
        <w:rPr>
          <w:rFonts w:hint="eastAsia" w:ascii="MS UI Gothic" w:eastAsia="MS UI Gothic"/>
          <w:w w:val="80"/>
        </w:rPr>
        <w:t xml:space="preserve">ꎬ </w:t>
      </w:r>
      <w:r>
        <w:t>依法健全安全生产责任体系</w:t>
      </w:r>
      <w:r>
        <w:rPr>
          <w:rFonts w:hint="eastAsia" w:ascii="MS UI Gothic" w:eastAsia="MS UI Gothic"/>
          <w:w w:val="80"/>
        </w:rPr>
        <w:t xml:space="preserve">ꎬ </w:t>
      </w:r>
      <w:r>
        <w:t>完善安全生产管理基本制度</w:t>
      </w:r>
      <w:r>
        <w:rPr>
          <w:rFonts w:hint="eastAsia" w:ascii="MS UI Gothic" w:eastAsia="MS UI Gothic"/>
          <w:w w:val="80"/>
        </w:rPr>
        <w:t xml:space="preserve">ꎬ </w:t>
      </w:r>
      <w:r>
        <w:t>设置安全生产管理机构</w:t>
      </w:r>
      <w:r>
        <w:rPr>
          <w:rFonts w:hint="eastAsia" w:ascii="MS UI Gothic" w:eastAsia="MS UI Gothic"/>
          <w:w w:val="80"/>
        </w:rPr>
        <w:t xml:space="preserve">ꎬ </w:t>
      </w:r>
      <w:r>
        <w:t>配备专职安全生产管理人员和有关工程技术人员</w:t>
      </w:r>
      <w:r>
        <w:rPr>
          <w:rFonts w:hint="eastAsia" w:ascii="MS UI Gothic" w:eastAsia="MS UI Gothic"/>
          <w:w w:val="80"/>
        </w:rPr>
        <w:t>ꎮ</w:t>
      </w:r>
    </w:p>
    <w:p>
      <w:pPr>
        <w:pStyle w:val="6"/>
        <w:spacing w:line="295" w:lineRule="auto"/>
        <w:ind w:left="381" w:right="126"/>
        <w:rPr>
          <w:rFonts w:hint="eastAsia" w:ascii="MS UI Gothic" w:eastAsia="MS UI Gothic"/>
        </w:rPr>
      </w:pPr>
      <w:r>
        <w:rPr>
          <w:w w:val="95"/>
        </w:rPr>
        <w:t>承包地下矿山工程的项目部应当配备 与工程施工作业相适应的专职工程技术人  员</w:t>
      </w:r>
      <w:r>
        <w:rPr>
          <w:rFonts w:hint="eastAsia" w:ascii="MS UI Gothic" w:eastAsia="MS UI Gothic"/>
          <w:w w:val="90"/>
        </w:rPr>
        <w:t xml:space="preserve">ꎬ </w:t>
      </w:r>
      <w:r>
        <w:rPr>
          <w:w w:val="95"/>
        </w:rPr>
        <w:t xml:space="preserve">其中至少有 </w:t>
      </w:r>
      <w:r>
        <w:rPr>
          <w:rFonts w:hint="eastAsia" w:ascii="MS UI Gothic" w:eastAsia="MS UI Gothic"/>
          <w:w w:val="95"/>
        </w:rPr>
        <w:t xml:space="preserve">１ </w:t>
      </w:r>
      <w:r>
        <w:rPr>
          <w:w w:val="95"/>
        </w:rPr>
        <w:t xml:space="preserve">名注册安全工程师或者具有 </w:t>
      </w:r>
      <w:r>
        <w:rPr>
          <w:rFonts w:hint="eastAsia" w:ascii="MS UI Gothic" w:eastAsia="MS UI Gothic"/>
          <w:w w:val="95"/>
        </w:rPr>
        <w:t xml:space="preserve">５ </w:t>
      </w:r>
      <w:r>
        <w:rPr>
          <w:w w:val="95"/>
        </w:rPr>
        <w:t>年以上井下工作经验的安全生产管理人员</w:t>
      </w:r>
      <w:r>
        <w:rPr>
          <w:rFonts w:hint="eastAsia" w:ascii="MS UI Gothic" w:eastAsia="MS UI Gothic"/>
          <w:w w:val="90"/>
        </w:rPr>
        <w:t xml:space="preserve">ꎮ  </w:t>
      </w:r>
      <w:r>
        <w:rPr>
          <w:w w:val="95"/>
        </w:rPr>
        <w:t xml:space="preserve">项目部具备初中以上文化程度的从业人员比例应当不低于 </w:t>
      </w:r>
      <w:r>
        <w:rPr>
          <w:rFonts w:hint="eastAsia" w:ascii="MS UI Gothic" w:eastAsia="MS UI Gothic"/>
          <w:w w:val="95"/>
        </w:rPr>
        <w:t>５０</w:t>
      </w:r>
      <w:r>
        <w:rPr>
          <w:w w:val="95"/>
        </w:rPr>
        <w:t xml:space="preserve">％ </w:t>
      </w:r>
      <w:r>
        <w:rPr>
          <w:rFonts w:hint="eastAsia" w:ascii="MS UI Gothic" w:eastAsia="MS UI Gothic"/>
          <w:w w:val="90"/>
        </w:rPr>
        <w:t>ꎮ</w:t>
      </w:r>
    </w:p>
    <w:p>
      <w:pPr>
        <w:pStyle w:val="6"/>
        <w:spacing w:line="295" w:lineRule="auto"/>
        <w:ind w:left="381" w:right="126"/>
      </w:pPr>
      <w:r>
        <w:t>项目部负责人应当取得安全生产管理人员安全资格证后方可上岗</w:t>
      </w:r>
      <w:r>
        <w:rPr>
          <w:rFonts w:hint="eastAsia" w:ascii="MS UI Gothic" w:eastAsia="MS UI Gothic"/>
          <w:w w:val="80"/>
        </w:rPr>
        <w:t xml:space="preserve">ꎮ </w:t>
      </w:r>
      <w:r>
        <w:t>承包地下矿</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４１２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34" o:spid="_x0000_s2234" o:spt="203" style="height:2.15pt;width:398.25pt;" coordsize="7965,43">
            <o:lock v:ext="edit"/>
            <v:line id="_x0000_s2235" o:spid="_x0000_s2235" o:spt="20" style="position:absolute;left:0;top:39;height:0;width:7965;" stroked="t" coordsize="21600,21600">
              <v:path arrowok="t"/>
              <v:fill focussize="0,0"/>
              <v:stroke weight="0.388031496062992pt" color="#231F20"/>
              <v:imagedata o:title=""/>
              <o:lock v:ext="edit"/>
            </v:line>
            <v:line id="_x0000_s2236" o:spid="_x0000_s223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jc w:val="left"/>
        <w:rPr>
          <w:rFonts w:hint="eastAsia" w:ascii="MS UI Gothic" w:eastAsia="MS UI Gothic"/>
        </w:rPr>
      </w:pPr>
      <w:r>
        <w:t>山工程的项目部负责人不得同时兼任其他</w:t>
      </w:r>
      <w:r>
        <w:rPr>
          <w:w w:val="105"/>
        </w:rPr>
        <w:t>工程的项目部负责人</w:t>
      </w:r>
      <w:r>
        <w:rPr>
          <w:rFonts w:hint="eastAsia" w:ascii="MS UI Gothic" w:eastAsia="MS UI Gothic"/>
          <w:w w:val="80"/>
        </w:rPr>
        <w:t>ꎮ</w:t>
      </w:r>
    </w:p>
    <w:p>
      <w:pPr>
        <w:pStyle w:val="6"/>
        <w:spacing w:line="295" w:lineRule="auto"/>
        <w:ind w:right="39"/>
        <w:rPr>
          <w:rFonts w:hint="eastAsia" w:ascii="MS UI Gothic" w:eastAsia="MS UI Gothic"/>
        </w:rPr>
      </w:pPr>
      <w:r>
        <w:t>第二十二条  承包单位应当依照法律</w:t>
      </w:r>
      <w:r>
        <w:rPr>
          <w:rFonts w:hint="eastAsia" w:ascii="MS UI Gothic" w:eastAsia="MS UI Gothic"/>
          <w:w w:val="80"/>
        </w:rPr>
        <w:t xml:space="preserve">、 </w:t>
      </w:r>
      <w:r>
        <w:t>法规</w:t>
      </w:r>
      <w:r>
        <w:rPr>
          <w:rFonts w:hint="eastAsia" w:ascii="MS UI Gothic" w:eastAsia="MS UI Gothic"/>
          <w:w w:val="80"/>
        </w:rPr>
        <w:t xml:space="preserve">、 </w:t>
      </w:r>
      <w:r>
        <w:t>规章的规定以及承包合同和安全生产管理协议的约定</w:t>
      </w:r>
      <w:r>
        <w:rPr>
          <w:rFonts w:hint="eastAsia" w:ascii="MS UI Gothic" w:eastAsia="MS UI Gothic"/>
          <w:w w:val="80"/>
        </w:rPr>
        <w:t xml:space="preserve">ꎬ </w:t>
      </w:r>
      <w:r>
        <w:t>及时将发包单位投入的安全资金落实到位</w:t>
      </w:r>
      <w:r>
        <w:rPr>
          <w:rFonts w:hint="eastAsia" w:ascii="MS UI Gothic" w:eastAsia="MS UI Gothic"/>
          <w:w w:val="80"/>
        </w:rPr>
        <w:t xml:space="preserve">ꎬ </w:t>
      </w:r>
      <w:r>
        <w:t>不得挪作他用</w:t>
      </w:r>
      <w:r>
        <w:rPr>
          <w:rFonts w:hint="eastAsia" w:ascii="MS UI Gothic" w:eastAsia="MS UI Gothic"/>
          <w:w w:val="80"/>
        </w:rPr>
        <w:t>ꎮ</w:t>
      </w:r>
    </w:p>
    <w:p>
      <w:pPr>
        <w:pStyle w:val="6"/>
        <w:spacing w:line="295" w:lineRule="auto"/>
        <w:ind w:right="39"/>
        <w:rPr>
          <w:rFonts w:hint="eastAsia" w:ascii="MS UI Gothic" w:eastAsia="MS UI Gothic"/>
        </w:rPr>
      </w:pPr>
      <w:r>
        <w:t>第二十三条 承包单位应当依照有关规定制定施工方案</w:t>
      </w:r>
      <w:r>
        <w:rPr>
          <w:rFonts w:hint="eastAsia" w:ascii="MS UI Gothic" w:eastAsia="MS UI Gothic"/>
          <w:w w:val="80"/>
        </w:rPr>
        <w:t xml:space="preserve">ꎬ </w:t>
      </w:r>
      <w:r>
        <w:t>加强现场作业安全管理</w:t>
      </w:r>
      <w:r>
        <w:rPr>
          <w:rFonts w:hint="eastAsia" w:ascii="MS UI Gothic" w:eastAsia="MS UI Gothic"/>
          <w:w w:val="80"/>
        </w:rPr>
        <w:t xml:space="preserve">ꎬ </w:t>
      </w:r>
      <w:r>
        <w:t>定期排查并及时治理事故隐患</w:t>
      </w:r>
      <w:r>
        <w:rPr>
          <w:rFonts w:hint="eastAsia" w:ascii="MS UI Gothic" w:eastAsia="MS UI Gothic"/>
          <w:w w:val="80"/>
        </w:rPr>
        <w:t xml:space="preserve">ꎬ </w:t>
      </w:r>
      <w:r>
        <w:t>落实各项规章制度和安全操作规程</w:t>
      </w:r>
      <w:r>
        <w:rPr>
          <w:rFonts w:hint="eastAsia" w:ascii="MS UI Gothic" w:eastAsia="MS UI Gothic"/>
          <w:w w:val="80"/>
        </w:rPr>
        <w:t>ꎮ</w:t>
      </w:r>
    </w:p>
    <w:p>
      <w:pPr>
        <w:pStyle w:val="6"/>
        <w:spacing w:line="295" w:lineRule="auto"/>
        <w:ind w:right="39"/>
        <w:rPr>
          <w:rFonts w:hint="eastAsia" w:ascii="MS UI Gothic" w:eastAsia="MS UI Gothic"/>
        </w:rPr>
      </w:pPr>
      <w:r>
        <w:t>承包单位发现事故隐患后应当立即治理</w:t>
      </w:r>
      <w:r>
        <w:rPr>
          <w:rFonts w:hint="eastAsia" w:ascii="MS UI Gothic" w:eastAsia="MS UI Gothic"/>
          <w:w w:val="80"/>
        </w:rPr>
        <w:t xml:space="preserve">ꎻ </w:t>
      </w:r>
      <w:r>
        <w:t>不能立即治理的应当采取必要的防范措施</w:t>
      </w:r>
      <w:r>
        <w:rPr>
          <w:rFonts w:hint="eastAsia" w:ascii="MS UI Gothic" w:eastAsia="MS UI Gothic"/>
          <w:w w:val="80"/>
        </w:rPr>
        <w:t xml:space="preserve">ꎬ </w:t>
      </w:r>
      <w:r>
        <w:t>并及时书面报告发包单位协商解决</w:t>
      </w:r>
      <w:r>
        <w:rPr>
          <w:rFonts w:hint="eastAsia" w:ascii="MS UI Gothic" w:eastAsia="MS UI Gothic"/>
          <w:w w:val="80"/>
        </w:rPr>
        <w:t xml:space="preserve">ꎬ </w:t>
      </w:r>
      <w:r>
        <w:t>消除事故隐患</w:t>
      </w:r>
      <w:r>
        <w:rPr>
          <w:rFonts w:hint="eastAsia" w:ascii="MS UI Gothic" w:eastAsia="MS UI Gothic"/>
          <w:w w:val="80"/>
        </w:rPr>
        <w:t>ꎮ</w:t>
      </w:r>
    </w:p>
    <w:p>
      <w:pPr>
        <w:pStyle w:val="6"/>
        <w:spacing w:line="295" w:lineRule="auto"/>
        <w:ind w:right="39"/>
        <w:rPr>
          <w:rFonts w:hint="eastAsia" w:ascii="MS UI Gothic" w:hAnsi="MS UI Gothic" w:eastAsia="MS UI Gothic"/>
        </w:rPr>
      </w:pPr>
      <w:r>
        <w:rPr>
          <w:spacing w:val="2"/>
        </w:rPr>
        <w:t>地下矿山工程承包单位及其项目部的主要负责人和领导班子其他成员应当严格</w:t>
      </w:r>
      <w:r>
        <w:rPr>
          <w:spacing w:val="-16"/>
          <w:w w:val="105"/>
        </w:rPr>
        <w:t xml:space="preserve">依照 </w:t>
      </w:r>
      <w:r>
        <w:rPr>
          <w:rFonts w:hint="eastAsia" w:ascii="MS UI Gothic" w:hAnsi="MS UI Gothic" w:eastAsia="MS UI Gothic"/>
          <w:spacing w:val="-17"/>
          <w:w w:val="80"/>
        </w:rPr>
        <w:t xml:space="preserve">« </w:t>
      </w:r>
      <w:r>
        <w:rPr>
          <w:spacing w:val="15"/>
          <w:w w:val="105"/>
        </w:rPr>
        <w:t>金属非金属地下矿山企业领导带</w:t>
      </w:r>
      <w:r>
        <w:rPr>
          <w:spacing w:val="11"/>
          <w:w w:val="105"/>
        </w:rPr>
        <w:t>班下井及监督检查暂行规定</w:t>
      </w:r>
      <w:r>
        <w:rPr>
          <w:rFonts w:hint="eastAsia" w:ascii="MS UI Gothic" w:hAnsi="MS UI Gothic" w:eastAsia="MS UI Gothic"/>
          <w:spacing w:val="9"/>
          <w:w w:val="80"/>
        </w:rPr>
        <w:t xml:space="preserve">» </w:t>
      </w:r>
      <w:r>
        <w:rPr>
          <w:spacing w:val="13"/>
          <w:w w:val="105"/>
        </w:rPr>
        <w:t>执行带班</w:t>
      </w:r>
      <w:r>
        <w:rPr>
          <w:spacing w:val="3"/>
          <w:w w:val="105"/>
        </w:rPr>
        <w:t>下井制度</w:t>
      </w:r>
      <w:r>
        <w:rPr>
          <w:rFonts w:hint="eastAsia" w:ascii="MS UI Gothic" w:hAnsi="MS UI Gothic" w:eastAsia="MS UI Gothic"/>
          <w:w w:val="80"/>
        </w:rPr>
        <w:t>ꎮ</w:t>
      </w:r>
    </w:p>
    <w:p>
      <w:pPr>
        <w:pStyle w:val="6"/>
        <w:spacing w:line="295" w:lineRule="auto"/>
        <w:ind w:right="38"/>
        <w:rPr>
          <w:rFonts w:hint="eastAsia" w:ascii="MS UI Gothic" w:eastAsia="MS UI Gothic"/>
        </w:rPr>
      </w:pPr>
      <w:r>
        <w:rPr>
          <w:spacing w:val="2"/>
          <w:w w:val="105"/>
        </w:rPr>
        <w:t>第二十四条 承包单位应当接受发包</w:t>
      </w:r>
      <w:r>
        <w:rPr>
          <w:spacing w:val="3"/>
        </w:rPr>
        <w:t>单位组织的安全生产培训与指导</w:t>
      </w:r>
      <w:r>
        <w:rPr>
          <w:rFonts w:hint="eastAsia" w:ascii="MS UI Gothic" w:eastAsia="MS UI Gothic"/>
          <w:spacing w:val="21"/>
          <w:w w:val="80"/>
        </w:rPr>
        <w:t xml:space="preserve">ꎬ </w:t>
      </w:r>
      <w:r>
        <w:rPr>
          <w:spacing w:val="1"/>
        </w:rPr>
        <w:t>加强对</w:t>
      </w:r>
      <w:r>
        <w:rPr>
          <w:spacing w:val="4"/>
        </w:rPr>
        <w:t>本单位从业人员的安全生产教育和培训</w:t>
      </w:r>
      <w:r>
        <w:rPr>
          <w:rFonts w:hint="eastAsia" w:ascii="MS UI Gothic" w:eastAsia="MS UI Gothic"/>
          <w:w w:val="80"/>
        </w:rPr>
        <w:t>ꎬ</w:t>
      </w:r>
      <w:r>
        <w:rPr>
          <w:spacing w:val="2"/>
        </w:rPr>
        <w:t>保证从业人员掌握必需的安全生产知识和</w:t>
      </w:r>
      <w:r>
        <w:rPr>
          <w:spacing w:val="3"/>
          <w:w w:val="105"/>
        </w:rPr>
        <w:t>操作技能</w:t>
      </w:r>
      <w:r>
        <w:rPr>
          <w:rFonts w:hint="eastAsia" w:ascii="MS UI Gothic" w:eastAsia="MS UI Gothic"/>
          <w:w w:val="80"/>
        </w:rPr>
        <w:t>ꎮ</w:t>
      </w:r>
    </w:p>
    <w:p>
      <w:pPr>
        <w:pStyle w:val="6"/>
        <w:spacing w:line="295" w:lineRule="auto"/>
        <w:ind w:right="39"/>
        <w:rPr>
          <w:rFonts w:hint="eastAsia" w:ascii="MS UI Gothic" w:eastAsia="MS UI Gothic"/>
        </w:rPr>
      </w:pPr>
      <w:r>
        <w:t>第二十五条  外包工程实行总承包的</w:t>
      </w:r>
      <w:r>
        <w:rPr>
          <w:rFonts w:hint="eastAsia" w:ascii="MS UI Gothic" w:eastAsia="MS UI Gothic"/>
          <w:w w:val="80"/>
        </w:rPr>
        <w:t xml:space="preserve">ꎬ </w:t>
      </w:r>
      <w:r>
        <w:t>总承包单位应当统一组织编制外包工程应急预案</w:t>
      </w:r>
      <w:r>
        <w:rPr>
          <w:rFonts w:hint="eastAsia" w:ascii="MS UI Gothic" w:eastAsia="MS UI Gothic"/>
          <w:w w:val="80"/>
        </w:rPr>
        <w:t xml:space="preserve">ꎮ </w:t>
      </w:r>
      <w:r>
        <w:t>总承包单位和分项承包单位应当按照国家有关规定和应急预案的要求</w:t>
      </w:r>
      <w:r>
        <w:rPr>
          <w:rFonts w:hint="eastAsia" w:ascii="MS UI Gothic" w:eastAsia="MS UI Gothic"/>
          <w:w w:val="80"/>
        </w:rPr>
        <w:t xml:space="preserve">ꎬ </w:t>
      </w:r>
      <w:r>
        <w:t>分别建立应急救援组织或者指定应急救援人员</w:t>
      </w:r>
      <w:r>
        <w:rPr>
          <w:rFonts w:hint="eastAsia" w:ascii="MS UI Gothic" w:eastAsia="MS UI Gothic"/>
          <w:w w:val="80"/>
        </w:rPr>
        <w:t xml:space="preserve">ꎬ </w:t>
      </w:r>
      <w:r>
        <w:t>配备救援设备设施和器材</w:t>
      </w:r>
      <w:r>
        <w:rPr>
          <w:rFonts w:hint="eastAsia" w:ascii="MS UI Gothic" w:eastAsia="MS UI Gothic"/>
          <w:w w:val="80"/>
        </w:rPr>
        <w:t xml:space="preserve">ꎬ </w:t>
      </w:r>
      <w:r>
        <w:t>并定期组织演练</w:t>
      </w:r>
      <w:r>
        <w:rPr>
          <w:rFonts w:hint="eastAsia" w:ascii="MS UI Gothic" w:eastAsia="MS UI Gothic"/>
          <w:w w:val="80"/>
        </w:rPr>
        <w:t>ꎮ</w:t>
      </w:r>
    </w:p>
    <w:p>
      <w:pPr>
        <w:pStyle w:val="6"/>
        <w:spacing w:line="295" w:lineRule="auto"/>
        <w:ind w:right="39"/>
        <w:rPr>
          <w:rFonts w:hint="eastAsia" w:ascii="MS UI Gothic" w:eastAsia="MS UI Gothic"/>
        </w:rPr>
      </w:pPr>
      <w:r>
        <w:t>外包工程实行分项承包的</w:t>
      </w:r>
      <w:r>
        <w:rPr>
          <w:rFonts w:hint="eastAsia" w:ascii="MS UI Gothic" w:eastAsia="MS UI Gothic"/>
          <w:w w:val="80"/>
        </w:rPr>
        <w:t xml:space="preserve">ꎬ </w:t>
      </w:r>
      <w:r>
        <w:t>分项承包单位应当根据建设工程施工的特点</w:t>
      </w:r>
      <w:r>
        <w:rPr>
          <w:rFonts w:hint="eastAsia" w:ascii="MS UI Gothic" w:eastAsia="MS UI Gothic"/>
          <w:w w:val="80"/>
        </w:rPr>
        <w:t xml:space="preserve">、 </w:t>
      </w:r>
      <w:r>
        <w:t>范围以及施工现场容易发生事故的部位和环节</w:t>
      </w:r>
      <w:r>
        <w:rPr>
          <w:rFonts w:hint="eastAsia" w:ascii="MS UI Gothic" w:eastAsia="MS UI Gothic"/>
          <w:w w:val="80"/>
        </w:rPr>
        <w:t xml:space="preserve">ꎬ </w:t>
      </w:r>
      <w:r>
        <w:t>编制现场应急处置方案</w:t>
      </w:r>
      <w:r>
        <w:rPr>
          <w:rFonts w:hint="eastAsia" w:ascii="MS UI Gothic" w:eastAsia="MS UI Gothic"/>
          <w:w w:val="80"/>
        </w:rPr>
        <w:t xml:space="preserve">ꎬ </w:t>
      </w:r>
      <w:r>
        <w:t>并配合发包单位定期进行演练</w:t>
      </w:r>
      <w:r>
        <w:rPr>
          <w:rFonts w:hint="eastAsia" w:ascii="MS UI Gothic" w:eastAsia="MS UI Gothic"/>
          <w:w w:val="80"/>
        </w:rPr>
        <w:t>ꎮ</w:t>
      </w:r>
    </w:p>
    <w:p>
      <w:pPr>
        <w:pStyle w:val="6"/>
        <w:spacing w:line="295" w:lineRule="auto"/>
        <w:ind w:right="38"/>
      </w:pPr>
      <w:r>
        <w:rPr>
          <w:w w:val="105"/>
        </w:rPr>
        <w:t>第二十六条 外包工程发生事故后</w:t>
      </w:r>
      <w:r>
        <w:rPr>
          <w:rFonts w:hint="eastAsia" w:ascii="MS UI Gothic" w:eastAsia="MS UI Gothic"/>
          <w:w w:val="80"/>
        </w:rPr>
        <w:t>ꎬ</w:t>
      </w:r>
      <w:r>
        <w:t>事故现场有关人员应当立即向承包单位及</w:t>
      </w:r>
    </w:p>
    <w:p>
      <w:pPr>
        <w:pStyle w:val="6"/>
        <w:spacing w:before="123"/>
        <w:ind w:firstLine="0"/>
        <w:jc w:val="left"/>
        <w:rPr>
          <w:rFonts w:hint="eastAsia" w:ascii="MS UI Gothic" w:eastAsia="MS UI Gothic"/>
        </w:rPr>
      </w:pPr>
      <w:r>
        <w:br w:type="column"/>
      </w:r>
      <w:r>
        <w:t>项目部负责人报告</w:t>
      </w:r>
      <w:r>
        <w:rPr>
          <w:rFonts w:hint="eastAsia" w:ascii="MS UI Gothic" w:eastAsia="MS UI Gothic"/>
          <w:w w:val="80"/>
        </w:rPr>
        <w:t>ꎮ</w:t>
      </w:r>
    </w:p>
    <w:p>
      <w:pPr>
        <w:pStyle w:val="6"/>
        <w:spacing w:before="58" w:line="295" w:lineRule="auto"/>
        <w:ind w:right="440"/>
        <w:rPr>
          <w:rFonts w:hint="eastAsia" w:ascii="MS UI Gothic" w:eastAsia="MS UI Gothic"/>
        </w:rPr>
      </w:pPr>
      <w:r>
        <w:t>承包单位及项目部负责人接到事故报告后</w:t>
      </w:r>
      <w:r>
        <w:rPr>
          <w:rFonts w:hint="eastAsia" w:ascii="MS UI Gothic" w:eastAsia="MS UI Gothic"/>
          <w:w w:val="80"/>
        </w:rPr>
        <w:t xml:space="preserve">ꎬ </w:t>
      </w:r>
      <w:r>
        <w:t>应当立即如实地向发包单位报告</w:t>
      </w:r>
      <w:r>
        <w:rPr>
          <w:rFonts w:hint="eastAsia" w:ascii="MS UI Gothic" w:eastAsia="MS UI Gothic"/>
          <w:w w:val="80"/>
        </w:rPr>
        <w:t>ꎬ</w:t>
      </w:r>
      <w:r>
        <w:t>并启动相应的应急预案</w:t>
      </w:r>
      <w:r>
        <w:rPr>
          <w:rFonts w:hint="eastAsia" w:ascii="MS UI Gothic" w:eastAsia="MS UI Gothic"/>
          <w:w w:val="80"/>
        </w:rPr>
        <w:t xml:space="preserve">ꎬ </w:t>
      </w:r>
      <w:r>
        <w:t>采取有效措施</w:t>
      </w:r>
      <w:r>
        <w:rPr>
          <w:rFonts w:hint="eastAsia" w:ascii="MS UI Gothic" w:eastAsia="MS UI Gothic"/>
          <w:w w:val="80"/>
        </w:rPr>
        <w:t>ꎬ</w:t>
      </w:r>
      <w:r>
        <w:t>组织抢救</w:t>
      </w:r>
      <w:r>
        <w:rPr>
          <w:rFonts w:hint="eastAsia" w:ascii="MS UI Gothic" w:eastAsia="MS UI Gothic"/>
          <w:w w:val="80"/>
        </w:rPr>
        <w:t xml:space="preserve">ꎬ </w:t>
      </w:r>
      <w:r>
        <w:t>防止事故扩大</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第二十七条 承包单位在登记注册地以外的省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直辖市从事施工作业</w:t>
      </w:r>
      <w:r>
        <w:t>的</w:t>
      </w:r>
      <w:r>
        <w:rPr>
          <w:rFonts w:hint="eastAsia" w:ascii="MS UI Gothic" w:eastAsia="MS UI Gothic"/>
          <w:w w:val="80"/>
        </w:rPr>
        <w:t xml:space="preserve">ꎬ </w:t>
      </w:r>
      <w:r>
        <w:t>应当向作业所在地的县级人民政府安全生产监督管理部门书面报告外包工程概</w:t>
      </w:r>
      <w:r>
        <w:rPr>
          <w:w w:val="105"/>
        </w:rPr>
        <w:t>况和本单位资质等级</w:t>
      </w:r>
      <w:r>
        <w:rPr>
          <w:rFonts w:hint="eastAsia" w:ascii="MS UI Gothic" w:eastAsia="MS UI Gothic"/>
          <w:w w:val="80"/>
        </w:rPr>
        <w:t xml:space="preserve">、 </w:t>
      </w:r>
      <w:r>
        <w:rPr>
          <w:w w:val="105"/>
        </w:rPr>
        <w:t>主要负责人</w:t>
      </w:r>
      <w:r>
        <w:rPr>
          <w:rFonts w:hint="eastAsia" w:ascii="MS UI Gothic" w:eastAsia="MS UI Gothic"/>
          <w:w w:val="80"/>
        </w:rPr>
        <w:t xml:space="preserve">、 </w:t>
      </w:r>
      <w:r>
        <w:rPr>
          <w:w w:val="105"/>
        </w:rPr>
        <w:t>安全生产管理人员</w:t>
      </w:r>
      <w:r>
        <w:rPr>
          <w:rFonts w:hint="eastAsia" w:ascii="MS UI Gothic" w:eastAsia="MS UI Gothic"/>
          <w:w w:val="80"/>
        </w:rPr>
        <w:t xml:space="preserve">、 </w:t>
      </w:r>
      <w:r>
        <w:rPr>
          <w:w w:val="105"/>
        </w:rPr>
        <w:t>特种作业人员</w:t>
      </w:r>
      <w:r>
        <w:rPr>
          <w:rFonts w:hint="eastAsia" w:ascii="MS UI Gothic" w:eastAsia="MS UI Gothic"/>
          <w:w w:val="80"/>
        </w:rPr>
        <w:t xml:space="preserve">、 </w:t>
      </w:r>
      <w:r>
        <w:rPr>
          <w:w w:val="105"/>
        </w:rPr>
        <w:t>主要安全设施设备等情况</w:t>
      </w:r>
      <w:r>
        <w:rPr>
          <w:rFonts w:hint="eastAsia" w:ascii="MS UI Gothic" w:eastAsia="MS UI Gothic"/>
          <w:w w:val="80"/>
        </w:rPr>
        <w:t xml:space="preserve">ꎬ </w:t>
      </w:r>
      <w:r>
        <w:rPr>
          <w:w w:val="105"/>
        </w:rPr>
        <w:t>并接受其监督检查</w:t>
      </w:r>
      <w:r>
        <w:rPr>
          <w:rFonts w:hint="eastAsia" w:ascii="MS UI Gothic" w:eastAsia="MS UI Gothic"/>
          <w:w w:val="80"/>
        </w:rPr>
        <w:t>ꎮ</w:t>
      </w:r>
    </w:p>
    <w:p>
      <w:pPr>
        <w:pStyle w:val="6"/>
        <w:tabs>
          <w:tab w:val="left" w:pos="1906"/>
        </w:tabs>
        <w:spacing w:before="149"/>
        <w:ind w:left="1067" w:firstLine="0"/>
        <w:jc w:val="left"/>
      </w:pPr>
      <w:r>
        <w:rPr>
          <w:spacing w:val="3"/>
          <w:w w:val="105"/>
        </w:rPr>
        <w:t>第四</w:t>
      </w:r>
      <w:r>
        <w:rPr>
          <w:w w:val="105"/>
        </w:rPr>
        <w:t>章</w:t>
      </w:r>
      <w:r>
        <w:rPr>
          <w:w w:val="105"/>
        </w:rPr>
        <w:tab/>
      </w:r>
      <w:r>
        <w:rPr>
          <w:w w:val="105"/>
        </w:rPr>
        <w:t>监</w:t>
      </w:r>
      <w:r>
        <w:rPr>
          <w:spacing w:val="-33"/>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right="442"/>
        <w:rPr>
          <w:rFonts w:hint="eastAsia" w:ascii="MS UI Gothic" w:eastAsia="MS UI Gothic"/>
        </w:rPr>
      </w:pPr>
      <w:r>
        <w:rPr>
          <w:w w:val="105"/>
        </w:rPr>
        <w:t>第二十八条 承包单位发生较大以上</w:t>
      </w:r>
      <w:r>
        <w:t>责任事故或者一年内发生三起以上一般事故的</w:t>
      </w:r>
      <w:r>
        <w:rPr>
          <w:rFonts w:hint="eastAsia" w:ascii="MS UI Gothic" w:eastAsia="MS UI Gothic"/>
          <w:w w:val="80"/>
        </w:rPr>
        <w:t xml:space="preserve">ꎬ </w:t>
      </w:r>
      <w:r>
        <w:t>事故发生地的省级人民政府安全生产监督管理部门应当向承包单位登记注册地的省级人民政府安全生产监督管理部门</w:t>
      </w:r>
      <w:r>
        <w:rPr>
          <w:w w:val="105"/>
        </w:rPr>
        <w:t>通报</w:t>
      </w:r>
      <w:r>
        <w:rPr>
          <w:rFonts w:hint="eastAsia" w:ascii="MS UI Gothic" w:eastAsia="MS UI Gothic"/>
          <w:w w:val="80"/>
        </w:rPr>
        <w:t>ꎮ</w:t>
      </w:r>
    </w:p>
    <w:p>
      <w:pPr>
        <w:pStyle w:val="6"/>
        <w:spacing w:line="295" w:lineRule="auto"/>
        <w:ind w:right="442"/>
        <w:rPr>
          <w:rFonts w:hint="eastAsia" w:ascii="MS UI Gothic" w:eastAsia="MS UI Gothic"/>
        </w:rPr>
      </w:pPr>
      <w:r>
        <w:t>发生重大以上事故的</w:t>
      </w:r>
      <w:r>
        <w:rPr>
          <w:rFonts w:hint="eastAsia" w:ascii="MS UI Gothic" w:eastAsia="MS UI Gothic"/>
          <w:w w:val="80"/>
        </w:rPr>
        <w:t xml:space="preserve">ꎬ </w:t>
      </w:r>
      <w:r>
        <w:t>事故发生地省级人民政府安全生产监督管理部门应当邀请承包单位的安全生产许可证颁发机关参</w:t>
      </w:r>
      <w:r>
        <w:rPr>
          <w:w w:val="105"/>
        </w:rPr>
        <w:t>加事故调查处理工作</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第二十九条 安全生产监督管理部门</w:t>
      </w:r>
      <w:r>
        <w:t>应当加强对外包工程的安全生产监督检</w:t>
      </w:r>
      <w:r>
        <w:rPr>
          <w:w w:val="105"/>
        </w:rPr>
        <w:t>查</w:t>
      </w:r>
      <w:r>
        <w:rPr>
          <w:rFonts w:hint="eastAsia" w:ascii="MS UI Gothic" w:eastAsia="MS UI Gothic"/>
          <w:w w:val="80"/>
        </w:rPr>
        <w:t xml:space="preserve">ꎬ </w:t>
      </w:r>
      <w:r>
        <w:rPr>
          <w:w w:val="105"/>
        </w:rPr>
        <w:t>重点检查下列事项</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发包单位非煤矿山安全生产许可证</w:t>
      </w:r>
      <w:r>
        <w:rPr>
          <w:rFonts w:hint="eastAsia" w:ascii="MS UI Gothic" w:eastAsia="MS UI Gothic"/>
          <w:w w:val="80"/>
        </w:rPr>
        <w:t xml:space="preserve">、 </w:t>
      </w:r>
      <w:r>
        <w:rPr>
          <w:w w:val="105"/>
        </w:rPr>
        <w:t>安全生产管理协议</w:t>
      </w:r>
      <w:r>
        <w:rPr>
          <w:rFonts w:hint="eastAsia" w:ascii="MS UI Gothic" w:eastAsia="MS UI Gothic"/>
          <w:w w:val="80"/>
        </w:rPr>
        <w:t xml:space="preserve">、 </w:t>
      </w:r>
      <w:r>
        <w:rPr>
          <w:w w:val="105"/>
        </w:rPr>
        <w:t>安全投入等情况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承包单位的施工资质</w:t>
      </w:r>
      <w:r>
        <w:rPr>
          <w:rFonts w:hint="eastAsia" w:ascii="MS UI Gothic" w:eastAsia="MS UI Gothic"/>
          <w:w w:val="80"/>
        </w:rPr>
        <w:t xml:space="preserve">、 </w:t>
      </w:r>
      <w:r>
        <w:rPr>
          <w:w w:val="105"/>
        </w:rPr>
        <w:t>应当依法取得的非煤矿山安全生产许可证</w:t>
      </w:r>
      <w:r>
        <w:rPr>
          <w:rFonts w:hint="eastAsia" w:ascii="MS UI Gothic" w:eastAsia="MS UI Gothic"/>
          <w:w w:val="80"/>
        </w:rPr>
        <w:t xml:space="preserve">、 </w:t>
      </w:r>
      <w:r>
        <w:rPr>
          <w:w w:val="105"/>
        </w:rPr>
        <w:t>安全投入落实</w:t>
      </w:r>
      <w:r>
        <w:rPr>
          <w:rFonts w:hint="eastAsia" w:ascii="MS UI Gothic" w:eastAsia="MS UI Gothic"/>
          <w:w w:val="80"/>
        </w:rPr>
        <w:t xml:space="preserve">、 </w:t>
      </w:r>
      <w:r>
        <w:rPr>
          <w:w w:val="105"/>
        </w:rPr>
        <w:t>承包单位及其项目部的安全生产管理机构</w:t>
      </w:r>
      <w:r>
        <w:rPr>
          <w:rFonts w:hint="eastAsia" w:ascii="MS UI Gothic" w:eastAsia="MS UI Gothic"/>
          <w:w w:val="80"/>
        </w:rPr>
        <w:t xml:space="preserve">、 </w:t>
      </w:r>
      <w:r>
        <w:rPr>
          <w:w w:val="105"/>
        </w:rPr>
        <w:t>技术力量配备</w:t>
      </w:r>
      <w:r>
        <w:rPr>
          <w:rFonts w:hint="eastAsia" w:ascii="MS UI Gothic" w:eastAsia="MS UI Gothic"/>
          <w:w w:val="80"/>
        </w:rPr>
        <w:t xml:space="preserve">、 </w:t>
      </w:r>
      <w:r>
        <w:rPr>
          <w:w w:val="105"/>
        </w:rPr>
        <w:t>相关人员的安全资格和持证等情况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违法发包</w:t>
      </w:r>
      <w:r>
        <w:rPr>
          <w:rFonts w:hint="eastAsia" w:ascii="MS UI Gothic" w:eastAsia="MS UI Gothic"/>
          <w:w w:val="80"/>
        </w:rPr>
        <w:t xml:space="preserve">、 </w:t>
      </w:r>
      <w:r>
        <w:rPr>
          <w:w w:val="105"/>
        </w:rPr>
        <w:t>转包</w:t>
      </w:r>
      <w:r>
        <w:rPr>
          <w:rFonts w:hint="eastAsia" w:ascii="MS UI Gothic" w:eastAsia="MS UI Gothic"/>
          <w:w w:val="80"/>
        </w:rPr>
        <w:t xml:space="preserve">、 </w:t>
      </w:r>
      <w:r>
        <w:rPr>
          <w:w w:val="105"/>
        </w:rPr>
        <w:t>分项发包等行为</w:t>
      </w:r>
      <w:r>
        <w:rPr>
          <w:rFonts w:hint="eastAsia" w:ascii="MS UI Gothic" w:eastAsia="MS UI Gothic"/>
          <w:w w:val="80"/>
        </w:rPr>
        <w:t>ꎮ</w:t>
      </w:r>
    </w:p>
    <w:p>
      <w:pPr>
        <w:pStyle w:val="6"/>
        <w:spacing w:line="295" w:lineRule="auto"/>
        <w:ind w:right="442"/>
      </w:pPr>
      <w:r>
        <w:rPr>
          <w:w w:val="105"/>
        </w:rPr>
        <w:t>第三十条 安全生产监督管理部门应</w:t>
      </w:r>
      <w:r>
        <w:t>当建立外包工程安全生产信息平台</w:t>
      </w:r>
      <w:r>
        <w:rPr>
          <w:rFonts w:hint="eastAsia" w:ascii="MS UI Gothic" w:eastAsia="MS UI Gothic"/>
          <w:w w:val="80"/>
        </w:rPr>
        <w:t xml:space="preserve">ꎬ </w:t>
      </w:r>
      <w:r>
        <w:t>将承</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４１３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37" o:spid="_x0000_s2237" o:spt="203" style="height:2.15pt;width:398.25pt;" coordsize="7965,43">
            <o:lock v:ext="edit"/>
            <v:line id="_x0000_s2238" o:spid="_x0000_s2238" o:spt="20" style="position:absolute;left:0;top:39;height:0;width:7965;" stroked="t" coordsize="21600,21600">
              <v:path arrowok="t"/>
              <v:fill focussize="0,0"/>
              <v:stroke weight="0.388031496062992pt" color="#231F20"/>
              <v:imagedata o:title=""/>
              <o:lock v:ext="edit"/>
            </v:line>
            <v:line id="_x0000_s2239" o:spid="_x0000_s223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包单位取得有关许可</w:t>
      </w:r>
      <w:r>
        <w:rPr>
          <w:rFonts w:hint="eastAsia" w:ascii="MS UI Gothic" w:eastAsia="MS UI Gothic"/>
          <w:w w:val="80"/>
        </w:rPr>
        <w:t xml:space="preserve">、 </w:t>
      </w:r>
      <w:r>
        <w:t>施工资质和承揽工程</w:t>
      </w:r>
      <w:r>
        <w:rPr>
          <w:rFonts w:hint="eastAsia" w:ascii="MS UI Gothic" w:eastAsia="MS UI Gothic"/>
          <w:w w:val="80"/>
        </w:rPr>
        <w:t xml:space="preserve">、 </w:t>
      </w:r>
      <w:r>
        <w:t>发生事故等情况载入承包单位安全生产业绩档案</w:t>
      </w:r>
      <w:r>
        <w:rPr>
          <w:rFonts w:hint="eastAsia" w:ascii="MS UI Gothic" w:eastAsia="MS UI Gothic"/>
          <w:w w:val="80"/>
        </w:rPr>
        <w:t xml:space="preserve">ꎬ </w:t>
      </w:r>
      <w:r>
        <w:t>实施安全生产信誉评定和公告制度</w:t>
      </w:r>
      <w:r>
        <w:rPr>
          <w:rFonts w:hint="eastAsia" w:ascii="MS UI Gothic" w:eastAsia="MS UI Gothic"/>
          <w:w w:val="80"/>
        </w:rPr>
        <w:t>ꎮ</w:t>
      </w:r>
    </w:p>
    <w:p>
      <w:pPr>
        <w:pStyle w:val="6"/>
        <w:spacing w:line="295" w:lineRule="auto"/>
        <w:ind w:left="440"/>
        <w:rPr>
          <w:rFonts w:hint="eastAsia" w:ascii="MS UI Gothic" w:eastAsia="MS UI Gothic"/>
        </w:rPr>
      </w:pPr>
      <w:r>
        <w:t>第三十一条 外包工程发生事故的</w:t>
      </w:r>
      <w:r>
        <w:rPr>
          <w:rFonts w:hint="eastAsia" w:ascii="MS UI Gothic" w:eastAsia="MS UI Gothic"/>
          <w:w w:val="80"/>
        </w:rPr>
        <w:t>ꎬ</w:t>
      </w:r>
      <w:r>
        <w:t>事故数据应当纳入事故发生地的统计范围</w:t>
      </w:r>
      <w:r>
        <w:rPr>
          <w:rFonts w:hint="eastAsia" w:ascii="MS UI Gothic" w:eastAsia="MS UI Gothic"/>
          <w:w w:val="80"/>
        </w:rPr>
        <w:t>ꎮ</w:t>
      </w:r>
    </w:p>
    <w:p>
      <w:pPr>
        <w:pStyle w:val="6"/>
        <w:tabs>
          <w:tab w:val="left" w:pos="2222"/>
        </w:tabs>
        <w:spacing w:before="152"/>
        <w:ind w:left="1384" w:firstLine="0"/>
        <w:jc w:val="left"/>
      </w:pPr>
      <w:r>
        <w:rPr>
          <w:spacing w:val="3"/>
          <w:w w:val="105"/>
        </w:rPr>
        <w:t>第五</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left="435" w:right="1" w:firstLine="425"/>
        <w:rPr>
          <w:rFonts w:hint="eastAsia" w:ascii="MS UI Gothic" w:eastAsia="MS UI Gothic"/>
        </w:rPr>
      </w:pPr>
      <w:r>
        <w:t>第三十二条 发包单位违反本办法第六条的规定</w:t>
      </w:r>
      <w:r>
        <w:rPr>
          <w:rFonts w:hint="eastAsia" w:ascii="MS UI Gothic" w:eastAsia="MS UI Gothic"/>
          <w:w w:val="80"/>
        </w:rPr>
        <w:t xml:space="preserve">ꎬ </w:t>
      </w:r>
      <w:r>
        <w:t>违章指挥或者强令承包单位及其从业人员冒险作业的</w:t>
      </w:r>
      <w:r>
        <w:rPr>
          <w:rFonts w:hint="eastAsia" w:ascii="MS UI Gothic" w:eastAsia="MS UI Gothic"/>
          <w:w w:val="80"/>
        </w:rPr>
        <w:t xml:space="preserve">ꎬ </w:t>
      </w:r>
      <w:r>
        <w:t>责令改正</w:t>
      </w:r>
      <w:r>
        <w:rPr>
          <w:rFonts w:hint="eastAsia" w:ascii="MS UI Gothic" w:eastAsia="MS UI Gothic"/>
          <w:w w:val="80"/>
        </w:rPr>
        <w:t xml:space="preserve">ꎬ </w:t>
      </w:r>
      <w:r>
        <w:t>处</w:t>
      </w:r>
      <w:r>
        <w:rPr>
          <w:rFonts w:hint="eastAsia" w:ascii="MS UI Gothic" w:eastAsia="MS UI Gothic"/>
          <w:w w:val="80"/>
        </w:rPr>
        <w:t xml:space="preserve">２ </w:t>
      </w:r>
      <w:r>
        <w:t xml:space="preserve">万元以上 </w:t>
      </w:r>
      <w:r>
        <w:rPr>
          <w:rFonts w:hint="eastAsia" w:ascii="MS UI Gothic" w:eastAsia="MS UI Gothic"/>
          <w:w w:val="80"/>
        </w:rPr>
        <w:t xml:space="preserve">３ </w:t>
      </w:r>
      <w:r>
        <w:t>万元以下的罚款</w:t>
      </w:r>
      <w:r>
        <w:rPr>
          <w:rFonts w:hint="eastAsia" w:ascii="MS UI Gothic" w:eastAsia="MS UI Gothic"/>
          <w:w w:val="80"/>
        </w:rPr>
        <w:t xml:space="preserve">ꎻ </w:t>
      </w:r>
      <w:r>
        <w:t>造成损失的</w:t>
      </w:r>
      <w:r>
        <w:rPr>
          <w:rFonts w:hint="eastAsia" w:ascii="MS UI Gothic" w:eastAsia="MS UI Gothic"/>
          <w:w w:val="80"/>
        </w:rPr>
        <w:t xml:space="preserve">ꎬ </w:t>
      </w:r>
      <w:r>
        <w:t>依法承担赔偿责任</w:t>
      </w:r>
      <w:r>
        <w:rPr>
          <w:rFonts w:hint="eastAsia" w:ascii="MS UI Gothic" w:eastAsia="MS UI Gothic"/>
          <w:w w:val="80"/>
        </w:rPr>
        <w:t>ꎮ</w:t>
      </w:r>
    </w:p>
    <w:p>
      <w:pPr>
        <w:pStyle w:val="6"/>
        <w:spacing w:line="295" w:lineRule="auto"/>
        <w:ind w:left="440"/>
        <w:rPr>
          <w:rFonts w:hint="eastAsia" w:ascii="MS UI Gothic" w:eastAsia="MS UI Gothic"/>
        </w:rPr>
      </w:pPr>
      <w:r>
        <w:t>第三十三条  发包单位与承包单位</w:t>
      </w:r>
      <w:r>
        <w:rPr>
          <w:rFonts w:hint="eastAsia" w:ascii="MS UI Gothic" w:eastAsia="MS UI Gothic"/>
          <w:w w:val="80"/>
        </w:rPr>
        <w:t>、</w:t>
      </w:r>
      <w:r>
        <w:t>总承包单位与分项承包单位未依照本办法第八条规定签订安全生产管理协议的</w:t>
      </w:r>
      <w:r>
        <w:rPr>
          <w:rFonts w:hint="eastAsia" w:ascii="MS UI Gothic" w:eastAsia="MS UI Gothic"/>
          <w:w w:val="80"/>
        </w:rPr>
        <w:t xml:space="preserve">ꎬ </w:t>
      </w:r>
      <w:r>
        <w:t>责令限期改正</w:t>
      </w:r>
      <w:r>
        <w:rPr>
          <w:rFonts w:hint="eastAsia" w:ascii="MS UI Gothic" w:eastAsia="MS UI Gothic"/>
          <w:w w:val="80"/>
        </w:rPr>
        <w:t xml:space="preserve">ꎬ </w:t>
      </w:r>
      <w:r>
        <w:t xml:space="preserve">处 </w:t>
      </w:r>
      <w:r>
        <w:rPr>
          <w:rFonts w:hint="eastAsia" w:ascii="MS UI Gothic" w:eastAsia="MS UI Gothic"/>
          <w:w w:val="80"/>
        </w:rPr>
        <w:t xml:space="preserve">１ </w:t>
      </w:r>
      <w:r>
        <w:t xml:space="preserve">万元以上 </w:t>
      </w:r>
      <w:r>
        <w:rPr>
          <w:rFonts w:hint="eastAsia" w:ascii="MS UI Gothic" w:eastAsia="MS UI Gothic"/>
          <w:w w:val="80"/>
        </w:rPr>
        <w:t xml:space="preserve">２ </w:t>
      </w:r>
      <w:r>
        <w:t>万元以下的罚款</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第三十四条 有关发包单位有下列行</w:t>
      </w:r>
      <w:r>
        <w:t>为之一的</w:t>
      </w:r>
      <w:r>
        <w:rPr>
          <w:rFonts w:hint="eastAsia" w:ascii="MS UI Gothic" w:eastAsia="MS UI Gothic"/>
          <w:w w:val="80"/>
        </w:rPr>
        <w:t xml:space="preserve">ꎬ </w:t>
      </w:r>
      <w:r>
        <w:t>责令限期改正</w:t>
      </w:r>
      <w:r>
        <w:rPr>
          <w:rFonts w:hint="eastAsia" w:ascii="MS UI Gothic" w:eastAsia="MS UI Gothic"/>
          <w:w w:val="80"/>
        </w:rPr>
        <w:t xml:space="preserve">ꎬ </w:t>
      </w:r>
      <w:r>
        <w:t>给予警告</w:t>
      </w:r>
      <w:r>
        <w:rPr>
          <w:rFonts w:hint="eastAsia" w:ascii="MS UI Gothic" w:eastAsia="MS UI Gothic"/>
          <w:w w:val="80"/>
        </w:rPr>
        <w:t xml:space="preserve">ꎬ </w:t>
      </w:r>
      <w:r>
        <w:t>并</w:t>
      </w:r>
      <w:r>
        <w:rPr>
          <w:w w:val="105"/>
        </w:rPr>
        <w:t xml:space="preserve">处 </w:t>
      </w:r>
      <w:r>
        <w:rPr>
          <w:rFonts w:hint="eastAsia" w:ascii="MS UI Gothic" w:eastAsia="MS UI Gothic"/>
          <w:w w:val="80"/>
        </w:rPr>
        <w:t xml:space="preserve">１ </w:t>
      </w:r>
      <w:r>
        <w:rPr>
          <w:w w:val="105"/>
        </w:rPr>
        <w:t xml:space="preserve">万元以上 </w:t>
      </w:r>
      <w:r>
        <w:rPr>
          <w:rFonts w:hint="eastAsia" w:ascii="MS UI Gothic" w:eastAsia="MS UI Gothic"/>
          <w:w w:val="80"/>
        </w:rPr>
        <w:t xml:space="preserve">３ </w:t>
      </w:r>
      <w:r>
        <w:rPr>
          <w:w w:val="105"/>
        </w:rPr>
        <w:t>万元以下的罚款</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违反本办法第十条</w:t>
      </w:r>
      <w:r>
        <w:rPr>
          <w:rFonts w:hint="eastAsia" w:ascii="MS UI Gothic" w:eastAsia="MS UI Gothic"/>
          <w:w w:val="80"/>
        </w:rPr>
        <w:t xml:space="preserve">、 </w:t>
      </w:r>
      <w:r>
        <w:rPr>
          <w:w w:val="105"/>
        </w:rPr>
        <w:t>第十四条</w:t>
      </w:r>
      <w:r>
        <w:t>的规定</w:t>
      </w:r>
      <w:r>
        <w:rPr>
          <w:rFonts w:hint="eastAsia" w:ascii="MS UI Gothic" w:eastAsia="MS UI Gothic"/>
          <w:w w:val="80"/>
        </w:rPr>
        <w:t xml:space="preserve">ꎬ </w:t>
      </w:r>
      <w:r>
        <w:t>未对承包单位实施安全生产监督</w:t>
      </w:r>
      <w:r>
        <w:rPr>
          <w:w w:val="105"/>
        </w:rPr>
        <w:t>检查或者考核的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违反本办法第十一条的规定</w:t>
      </w:r>
      <w:r>
        <w:rPr>
          <w:rFonts w:hint="eastAsia" w:ascii="MS UI Gothic" w:eastAsia="MS UI Gothic"/>
          <w:w w:val="80"/>
        </w:rPr>
        <w:t>ꎬ</w:t>
      </w:r>
      <w:r>
        <w:t>未将承包单位及其项目部纳入本单位的安</w:t>
      </w:r>
      <w:r>
        <w:rPr>
          <w:w w:val="105"/>
        </w:rPr>
        <w:t>全管理体系</w:t>
      </w:r>
      <w:r>
        <w:rPr>
          <w:rFonts w:hint="eastAsia" w:ascii="MS UI Gothic" w:eastAsia="MS UI Gothic"/>
          <w:w w:val="80"/>
        </w:rPr>
        <w:t xml:space="preserve">ꎬ </w:t>
      </w:r>
      <w:r>
        <w:rPr>
          <w:w w:val="105"/>
        </w:rPr>
        <w:t>实行统一管理的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违反本办法第十三条的规定</w:t>
      </w:r>
      <w:r>
        <w:rPr>
          <w:rFonts w:hint="eastAsia" w:ascii="MS UI Gothic" w:eastAsia="MS UI Gothic"/>
          <w:w w:val="80"/>
        </w:rPr>
        <w:t>ꎬ</w:t>
      </w:r>
      <w:r>
        <w:t>未向承包单位进行外包工程技术交底</w:t>
      </w:r>
      <w:r>
        <w:rPr>
          <w:rFonts w:hint="eastAsia" w:ascii="MS UI Gothic" w:eastAsia="MS UI Gothic"/>
          <w:w w:val="80"/>
        </w:rPr>
        <w:t xml:space="preserve">ꎬ </w:t>
      </w:r>
      <w:r>
        <w:t>或者未按照合同约定向承包单位提供有关资</w:t>
      </w:r>
      <w:r>
        <w:rPr>
          <w:w w:val="105"/>
        </w:rPr>
        <w:t>料的</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第三十五条 对地下矿山实行分项发</w:t>
      </w:r>
      <w:r>
        <w:rPr>
          <w:spacing w:val="10"/>
        </w:rPr>
        <w:t>包的发包单位违反本办法第十二条的规</w:t>
      </w:r>
      <w:r>
        <w:rPr>
          <w:spacing w:val="3"/>
        </w:rPr>
        <w:t>定</w:t>
      </w:r>
      <w:r>
        <w:rPr>
          <w:rFonts w:hint="eastAsia" w:ascii="MS UI Gothic" w:eastAsia="MS UI Gothic"/>
          <w:spacing w:val="22"/>
          <w:w w:val="80"/>
        </w:rPr>
        <w:t xml:space="preserve">ꎬ </w:t>
      </w:r>
      <w:r>
        <w:rPr>
          <w:spacing w:val="15"/>
        </w:rPr>
        <w:t>在地下矿山正常生产期间</w:t>
      </w:r>
      <w:r>
        <w:rPr>
          <w:rFonts w:hint="eastAsia" w:ascii="MS UI Gothic" w:eastAsia="MS UI Gothic"/>
          <w:spacing w:val="3"/>
          <w:w w:val="80"/>
        </w:rPr>
        <w:t xml:space="preserve">ꎬ </w:t>
      </w:r>
      <w:r>
        <w:rPr>
          <w:spacing w:val="11"/>
        </w:rPr>
        <w:t>将主通</w:t>
      </w:r>
      <w:r>
        <w:rPr>
          <w:spacing w:val="3"/>
        </w:rPr>
        <w:t>风</w:t>
      </w:r>
      <w:r>
        <w:rPr>
          <w:rFonts w:hint="eastAsia" w:ascii="MS UI Gothic" w:eastAsia="MS UI Gothic"/>
          <w:spacing w:val="12"/>
          <w:w w:val="80"/>
        </w:rPr>
        <w:t xml:space="preserve">、 </w:t>
      </w:r>
      <w:r>
        <w:rPr>
          <w:spacing w:val="3"/>
        </w:rPr>
        <w:t>主提升</w:t>
      </w:r>
      <w:r>
        <w:rPr>
          <w:rFonts w:hint="eastAsia" w:ascii="MS UI Gothic" w:eastAsia="MS UI Gothic"/>
          <w:spacing w:val="12"/>
          <w:w w:val="80"/>
        </w:rPr>
        <w:t xml:space="preserve">、 </w:t>
      </w:r>
      <w:r>
        <w:rPr>
          <w:spacing w:val="3"/>
        </w:rPr>
        <w:t>供排水</w:t>
      </w:r>
      <w:r>
        <w:rPr>
          <w:rFonts w:hint="eastAsia" w:ascii="MS UI Gothic" w:eastAsia="MS UI Gothic"/>
          <w:spacing w:val="12"/>
          <w:w w:val="80"/>
        </w:rPr>
        <w:t xml:space="preserve">、 </w:t>
      </w:r>
      <w:r>
        <w:rPr>
          <w:spacing w:val="3"/>
        </w:rPr>
        <w:t>供配电</w:t>
      </w:r>
      <w:r>
        <w:rPr>
          <w:rFonts w:hint="eastAsia" w:ascii="MS UI Gothic" w:eastAsia="MS UI Gothic"/>
          <w:spacing w:val="8"/>
          <w:w w:val="80"/>
        </w:rPr>
        <w:t xml:space="preserve">、  </w:t>
      </w:r>
      <w:r>
        <w:rPr>
          <w:spacing w:val="2"/>
        </w:rPr>
        <w:t>主供风系统及其设备设施的运行管理进行分项发包</w:t>
      </w:r>
      <w:r>
        <w:rPr>
          <w:spacing w:val="3"/>
        </w:rPr>
        <w:t>的</w:t>
      </w:r>
      <w:r>
        <w:rPr>
          <w:rFonts w:hint="eastAsia" w:ascii="MS UI Gothic" w:eastAsia="MS UI Gothic"/>
          <w:spacing w:val="22"/>
          <w:w w:val="80"/>
        </w:rPr>
        <w:t xml:space="preserve">ꎬ </w:t>
      </w:r>
      <w:r>
        <w:rPr>
          <w:spacing w:val="3"/>
        </w:rPr>
        <w:t>责令限期改正</w:t>
      </w:r>
      <w:r>
        <w:rPr>
          <w:rFonts w:hint="eastAsia" w:ascii="MS UI Gothic" w:eastAsia="MS UI Gothic"/>
          <w:spacing w:val="23"/>
          <w:w w:val="80"/>
        </w:rPr>
        <w:t xml:space="preserve">ꎬ </w:t>
      </w:r>
      <w:r>
        <w:rPr>
          <w:spacing w:val="-28"/>
        </w:rPr>
        <w:t xml:space="preserve">处 </w:t>
      </w:r>
      <w:r>
        <w:rPr>
          <w:rFonts w:hint="eastAsia" w:ascii="MS UI Gothic" w:eastAsia="MS UI Gothic"/>
          <w:spacing w:val="1"/>
          <w:w w:val="80"/>
        </w:rPr>
        <w:t xml:space="preserve">２ </w:t>
      </w:r>
      <w:r>
        <w:rPr>
          <w:spacing w:val="-10"/>
        </w:rPr>
        <w:t xml:space="preserve">万元以上 </w:t>
      </w:r>
      <w:r>
        <w:rPr>
          <w:rFonts w:hint="eastAsia" w:ascii="MS UI Gothic" w:eastAsia="MS UI Gothic"/>
          <w:spacing w:val="1"/>
          <w:w w:val="80"/>
        </w:rPr>
        <w:t xml:space="preserve">３ </w:t>
      </w:r>
      <w:r>
        <w:rPr>
          <w:spacing w:val="3"/>
        </w:rPr>
        <w:t>万元以下罚款</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rPr>
          <w:w w:val="95"/>
        </w:rPr>
        <w:t>第三十六条   承包地下矿山工程的项目部负责人违反本办法第二十一条的规 定</w:t>
      </w:r>
      <w:r>
        <w:rPr>
          <w:rFonts w:hint="eastAsia" w:ascii="MS UI Gothic" w:eastAsia="MS UI Gothic"/>
          <w:w w:val="90"/>
        </w:rPr>
        <w:t xml:space="preserve">ꎬ  </w:t>
      </w:r>
      <w:r>
        <w:rPr>
          <w:w w:val="95"/>
        </w:rPr>
        <w:t>同时兼任其他工程的项目部负责人的</w:t>
      </w:r>
      <w:r>
        <w:rPr>
          <w:rFonts w:hint="eastAsia" w:ascii="MS UI Gothic" w:eastAsia="MS UI Gothic"/>
          <w:w w:val="90"/>
        </w:rPr>
        <w:t xml:space="preserve">ꎬ </w:t>
      </w:r>
      <w:r>
        <w:rPr>
          <w:w w:val="95"/>
        </w:rPr>
        <w:t>责令限期改正</w:t>
      </w:r>
      <w:r>
        <w:rPr>
          <w:rFonts w:hint="eastAsia" w:ascii="MS UI Gothic" w:eastAsia="MS UI Gothic"/>
          <w:w w:val="90"/>
        </w:rPr>
        <w:t xml:space="preserve">ꎬ </w:t>
      </w:r>
      <w:r>
        <w:rPr>
          <w:w w:val="95"/>
        </w:rPr>
        <w:t xml:space="preserve">处 </w:t>
      </w:r>
      <w:r>
        <w:rPr>
          <w:rFonts w:hint="eastAsia" w:ascii="MS UI Gothic" w:eastAsia="MS UI Gothic"/>
          <w:w w:val="95"/>
        </w:rPr>
        <w:t xml:space="preserve">５０００ </w:t>
      </w:r>
      <w:r>
        <w:rPr>
          <w:w w:val="95"/>
        </w:rPr>
        <w:t xml:space="preserve">元以上 </w:t>
      </w:r>
      <w:r>
        <w:rPr>
          <w:rFonts w:hint="eastAsia" w:ascii="MS UI Gothic" w:eastAsia="MS UI Gothic"/>
          <w:w w:val="95"/>
        </w:rPr>
        <w:t xml:space="preserve">１ </w:t>
      </w:r>
      <w:r>
        <w:rPr>
          <w:w w:val="95"/>
        </w:rPr>
        <w:t>万元以下罚款</w:t>
      </w:r>
      <w:r>
        <w:rPr>
          <w:rFonts w:hint="eastAsia" w:ascii="MS UI Gothic" w:eastAsia="MS UI Gothic"/>
          <w:w w:val="90"/>
        </w:rPr>
        <w:t>ꎮ</w:t>
      </w:r>
    </w:p>
    <w:p>
      <w:pPr>
        <w:pStyle w:val="6"/>
        <w:spacing w:line="295" w:lineRule="auto"/>
        <w:ind w:left="381" w:right="126"/>
        <w:rPr>
          <w:rFonts w:hint="eastAsia" w:ascii="MS UI Gothic" w:eastAsia="MS UI Gothic"/>
        </w:rPr>
      </w:pPr>
      <w:r>
        <w:rPr>
          <w:w w:val="105"/>
        </w:rPr>
        <w:t>第三十七条 承包单位有下列行为之一的</w:t>
      </w:r>
      <w:r>
        <w:rPr>
          <w:rFonts w:hint="eastAsia" w:ascii="MS UI Gothic" w:eastAsia="MS UI Gothic"/>
          <w:w w:val="80"/>
        </w:rPr>
        <w:t xml:space="preserve">ꎬ </w:t>
      </w:r>
      <w:r>
        <w:rPr>
          <w:w w:val="105"/>
        </w:rPr>
        <w:t>责令限期改正</w:t>
      </w:r>
      <w:r>
        <w:rPr>
          <w:rFonts w:hint="eastAsia" w:ascii="MS UI Gothic" w:eastAsia="MS UI Gothic"/>
          <w:w w:val="80"/>
        </w:rPr>
        <w:t xml:space="preserve">ꎬ </w:t>
      </w:r>
      <w:r>
        <w:rPr>
          <w:w w:val="105"/>
        </w:rPr>
        <w:t>给予警告</w:t>
      </w:r>
      <w:r>
        <w:rPr>
          <w:rFonts w:hint="eastAsia" w:ascii="MS UI Gothic" w:eastAsia="MS UI Gothic"/>
          <w:w w:val="80"/>
        </w:rPr>
        <w:t xml:space="preserve">ꎬ </w:t>
      </w:r>
      <w:r>
        <w:rPr>
          <w:w w:val="105"/>
        </w:rPr>
        <w:t xml:space="preserve">并处 </w:t>
      </w:r>
      <w:r>
        <w:rPr>
          <w:rFonts w:hint="eastAsia" w:ascii="MS UI Gothic" w:eastAsia="MS UI Gothic"/>
          <w:w w:val="80"/>
        </w:rPr>
        <w:t xml:space="preserve">１ </w:t>
      </w:r>
      <w:r>
        <w:rPr>
          <w:w w:val="105"/>
        </w:rPr>
        <w:t xml:space="preserve">万元以上 </w:t>
      </w:r>
      <w:r>
        <w:rPr>
          <w:rFonts w:hint="eastAsia" w:ascii="MS UI Gothic" w:eastAsia="MS UI Gothic"/>
          <w:w w:val="80"/>
        </w:rPr>
        <w:t xml:space="preserve">３ </w:t>
      </w:r>
      <w:r>
        <w:rPr>
          <w:w w:val="105"/>
        </w:rPr>
        <w:t>万元以下罚款</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违反本办法第二十二条的规</w:t>
      </w:r>
      <w:r>
        <w:t>定</w:t>
      </w:r>
      <w:r>
        <w:rPr>
          <w:rFonts w:hint="eastAsia" w:ascii="MS UI Gothic" w:eastAsia="MS UI Gothic"/>
          <w:w w:val="80"/>
        </w:rPr>
        <w:t xml:space="preserve">ꎬ </w:t>
      </w:r>
      <w:r>
        <w:t>将发包单位投入的安全资金挪作他</w:t>
      </w:r>
      <w:r>
        <w:rPr>
          <w:w w:val="105"/>
        </w:rPr>
        <w:t>用的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未按照本办法第二十三条的规</w:t>
      </w:r>
      <w:r>
        <w:rPr>
          <w:w w:val="110"/>
        </w:rPr>
        <w:t>定排查治理事故隐患的</w:t>
      </w:r>
      <w:r>
        <w:rPr>
          <w:rFonts w:hint="eastAsia" w:ascii="MS UI Gothic" w:eastAsia="MS UI Gothic"/>
          <w:w w:val="80"/>
        </w:rPr>
        <w:t>ꎮ</w:t>
      </w:r>
    </w:p>
    <w:p>
      <w:pPr>
        <w:pStyle w:val="6"/>
        <w:spacing w:line="295" w:lineRule="auto"/>
        <w:ind w:left="381" w:right="126"/>
        <w:rPr>
          <w:rFonts w:hint="eastAsia" w:ascii="MS UI Gothic" w:eastAsia="MS UI Gothic"/>
        </w:rPr>
      </w:pPr>
      <w:r>
        <w:t>第三十八条 承包单位违反本办法第二十条规定对项目部疏于管理</w:t>
      </w:r>
      <w:r>
        <w:rPr>
          <w:rFonts w:hint="eastAsia" w:ascii="MS UI Gothic" w:eastAsia="MS UI Gothic"/>
          <w:w w:val="80"/>
        </w:rPr>
        <w:t xml:space="preserve">ꎬ </w:t>
      </w:r>
      <w:r>
        <w:t>未定期对项目部人员进行安全生产教育培训与考核或者未对项目部进行安全生产检查的</w:t>
      </w:r>
      <w:r>
        <w:rPr>
          <w:rFonts w:hint="eastAsia" w:ascii="MS UI Gothic" w:eastAsia="MS UI Gothic"/>
          <w:w w:val="80"/>
        </w:rPr>
        <w:t xml:space="preserve">ꎬ </w:t>
      </w:r>
      <w:r>
        <w:t>责令限期改正</w:t>
      </w:r>
      <w:r>
        <w:rPr>
          <w:rFonts w:hint="eastAsia" w:ascii="MS UI Gothic" w:eastAsia="MS UI Gothic"/>
          <w:w w:val="80"/>
        </w:rPr>
        <w:t xml:space="preserve">ꎬ </w:t>
      </w:r>
      <w:r>
        <w:t xml:space="preserve">处 </w:t>
      </w:r>
      <w:r>
        <w:rPr>
          <w:rFonts w:hint="eastAsia" w:ascii="MS UI Gothic" w:eastAsia="MS UI Gothic"/>
          <w:w w:val="80"/>
        </w:rPr>
        <w:t xml:space="preserve">１ </w:t>
      </w:r>
      <w:r>
        <w:t xml:space="preserve">万元以上 </w:t>
      </w:r>
      <w:r>
        <w:rPr>
          <w:rFonts w:hint="eastAsia" w:ascii="MS UI Gothic" w:eastAsia="MS UI Gothic"/>
          <w:w w:val="80"/>
        </w:rPr>
        <w:t xml:space="preserve">３ </w:t>
      </w:r>
      <w:r>
        <w:t>万元以下罚款</w:t>
      </w:r>
      <w:r>
        <w:rPr>
          <w:rFonts w:hint="eastAsia" w:ascii="MS UI Gothic" w:eastAsia="MS UI Gothic"/>
          <w:w w:val="80"/>
        </w:rPr>
        <w:t>ꎮ</w:t>
      </w:r>
    </w:p>
    <w:p>
      <w:pPr>
        <w:pStyle w:val="6"/>
        <w:spacing w:line="295" w:lineRule="auto"/>
        <w:ind w:left="381" w:right="126"/>
        <w:rPr>
          <w:rFonts w:hint="eastAsia" w:ascii="MS UI Gothic" w:eastAsia="MS UI Gothic"/>
        </w:rPr>
      </w:pPr>
      <w:r>
        <w:t>承包单位允许他人以本单位的名义承揽工程的</w:t>
      </w:r>
      <w:r>
        <w:rPr>
          <w:rFonts w:hint="eastAsia" w:ascii="MS UI Gothic" w:eastAsia="MS UI Gothic"/>
          <w:w w:val="80"/>
        </w:rPr>
        <w:t xml:space="preserve">ꎬ </w:t>
      </w:r>
      <w:r>
        <w:t>移送有关部门依法处理</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第三十九条 承包单位违反本办法第</w:t>
      </w:r>
      <w:r>
        <w:rPr>
          <w:spacing w:val="3"/>
        </w:rPr>
        <w:t>二十七条的规定</w:t>
      </w:r>
      <w:r>
        <w:rPr>
          <w:rFonts w:hint="eastAsia" w:ascii="MS UI Gothic" w:eastAsia="MS UI Gothic"/>
          <w:spacing w:val="11"/>
          <w:w w:val="80"/>
        </w:rPr>
        <w:t xml:space="preserve">ꎬ </w:t>
      </w:r>
      <w:r>
        <w:rPr>
          <w:spacing w:val="3"/>
        </w:rPr>
        <w:t>在登记注册的省</w:t>
      </w:r>
      <w:r>
        <w:rPr>
          <w:rFonts w:hint="eastAsia" w:ascii="MS UI Gothic" w:eastAsia="MS UI Gothic"/>
          <w:spacing w:val="11"/>
          <w:w w:val="80"/>
        </w:rPr>
        <w:t xml:space="preserve">、 </w:t>
      </w:r>
      <w:r>
        <w:rPr>
          <w:spacing w:val="1"/>
        </w:rPr>
        <w:t>自治</w:t>
      </w:r>
      <w:r>
        <w:rPr>
          <w:spacing w:val="3"/>
        </w:rPr>
        <w:t>区</w:t>
      </w:r>
      <w:r>
        <w:rPr>
          <w:rFonts w:hint="eastAsia" w:ascii="MS UI Gothic" w:eastAsia="MS UI Gothic"/>
          <w:spacing w:val="11"/>
          <w:w w:val="80"/>
        </w:rPr>
        <w:t xml:space="preserve">、 </w:t>
      </w:r>
      <w:r>
        <w:rPr>
          <w:spacing w:val="3"/>
        </w:rPr>
        <w:t>直辖市以外从事施工作业</w:t>
      </w:r>
      <w:r>
        <w:rPr>
          <w:rFonts w:hint="eastAsia" w:ascii="MS UI Gothic" w:eastAsia="MS UI Gothic"/>
          <w:spacing w:val="11"/>
          <w:w w:val="80"/>
        </w:rPr>
        <w:t xml:space="preserve">ꎬ </w:t>
      </w:r>
      <w:r>
        <w:rPr>
          <w:spacing w:val="2"/>
        </w:rPr>
        <w:t>未向作业所在地县级人民政府安全生产监督管理部门书面报告本单位取得有关许可和施工资</w:t>
      </w:r>
      <w:r>
        <w:rPr>
          <w:spacing w:val="3"/>
        </w:rPr>
        <w:t>质</w:t>
      </w:r>
      <w:r>
        <w:rPr>
          <w:rFonts w:hint="eastAsia" w:ascii="MS UI Gothic" w:eastAsia="MS UI Gothic"/>
          <w:spacing w:val="23"/>
          <w:w w:val="80"/>
        </w:rPr>
        <w:t xml:space="preserve">ꎬ </w:t>
      </w:r>
      <w:r>
        <w:rPr>
          <w:spacing w:val="3"/>
        </w:rPr>
        <w:t>以及所承包工程情况的</w:t>
      </w:r>
      <w:r>
        <w:rPr>
          <w:rFonts w:hint="eastAsia" w:ascii="MS UI Gothic" w:eastAsia="MS UI Gothic"/>
          <w:spacing w:val="23"/>
          <w:w w:val="80"/>
        </w:rPr>
        <w:t xml:space="preserve">ꎬ </w:t>
      </w:r>
      <w:r>
        <w:rPr>
          <w:spacing w:val="2"/>
        </w:rPr>
        <w:t>责令限期改</w:t>
      </w:r>
      <w:r>
        <w:rPr>
          <w:spacing w:val="3"/>
        </w:rPr>
        <w:t>正</w:t>
      </w:r>
      <w:r>
        <w:rPr>
          <w:rFonts w:hint="eastAsia" w:ascii="MS UI Gothic" w:eastAsia="MS UI Gothic"/>
          <w:spacing w:val="24"/>
          <w:w w:val="80"/>
        </w:rPr>
        <w:t xml:space="preserve">ꎬ </w:t>
      </w:r>
      <w:r>
        <w:rPr>
          <w:spacing w:val="-27"/>
        </w:rPr>
        <w:t xml:space="preserve">处 </w:t>
      </w:r>
      <w:r>
        <w:rPr>
          <w:rFonts w:hint="eastAsia" w:ascii="MS UI Gothic" w:eastAsia="MS UI Gothic"/>
          <w:spacing w:val="2"/>
          <w:w w:val="80"/>
        </w:rPr>
        <w:t xml:space="preserve">１ </w:t>
      </w:r>
      <w:r>
        <w:rPr>
          <w:spacing w:val="-10"/>
        </w:rPr>
        <w:t xml:space="preserve">万元以上 </w:t>
      </w:r>
      <w:r>
        <w:rPr>
          <w:rFonts w:hint="eastAsia" w:ascii="MS UI Gothic" w:eastAsia="MS UI Gothic"/>
          <w:spacing w:val="2"/>
          <w:w w:val="80"/>
        </w:rPr>
        <w:t xml:space="preserve">３ </w:t>
      </w:r>
      <w:r>
        <w:rPr>
          <w:spacing w:val="3"/>
        </w:rPr>
        <w:t>万元以下的罚款</w:t>
      </w:r>
      <w:r>
        <w:rPr>
          <w:rFonts w:hint="eastAsia" w:ascii="MS UI Gothic" w:eastAsia="MS UI Gothic"/>
          <w:w w:val="80"/>
        </w:rPr>
        <w:t>ꎮ</w:t>
      </w:r>
    </w:p>
    <w:p>
      <w:pPr>
        <w:pStyle w:val="6"/>
        <w:spacing w:line="295" w:lineRule="auto"/>
        <w:ind w:left="381" w:right="124"/>
        <w:rPr>
          <w:rFonts w:hint="eastAsia" w:ascii="MS UI Gothic" w:eastAsia="MS UI Gothic"/>
        </w:rPr>
      </w:pPr>
      <w:r>
        <w:t>第四十条 安全生产监督管理部门的行政执法人员在外包工程安全监督管理过程中滥用职权</w:t>
      </w:r>
      <w:r>
        <w:rPr>
          <w:rFonts w:hint="eastAsia" w:ascii="MS UI Gothic" w:eastAsia="MS UI Gothic"/>
          <w:w w:val="80"/>
        </w:rPr>
        <w:t xml:space="preserve">、 </w:t>
      </w:r>
      <w:r>
        <w:t>玩忽职守</w:t>
      </w:r>
      <w:r>
        <w:rPr>
          <w:rFonts w:hint="eastAsia" w:ascii="MS UI Gothic" w:eastAsia="MS UI Gothic"/>
          <w:w w:val="80"/>
        </w:rPr>
        <w:t xml:space="preserve">、 </w:t>
      </w:r>
      <w:r>
        <w:t>徇私舞弊的</w:t>
      </w:r>
      <w:r>
        <w:rPr>
          <w:rFonts w:hint="eastAsia" w:ascii="MS UI Gothic" w:eastAsia="MS UI Gothic"/>
          <w:w w:val="80"/>
        </w:rPr>
        <w:t>ꎬ</w:t>
      </w:r>
      <w:r>
        <w:t>依照有关规定给予处分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第四十一条  本办法规定的行政处罚</w:t>
      </w:r>
      <w:r>
        <w:rPr>
          <w:rFonts w:hint="eastAsia" w:ascii="MS UI Gothic" w:eastAsia="MS UI Gothic"/>
          <w:w w:val="80"/>
        </w:rPr>
        <w:t xml:space="preserve">ꎬ </w:t>
      </w:r>
      <w:r>
        <w:t>由县级人民政府以上安全生产监督管理部门实施</w:t>
      </w:r>
      <w:r>
        <w:rPr>
          <w:rFonts w:hint="eastAsia" w:ascii="MS UI Gothic" w:eastAsia="MS UI Gothic"/>
          <w:w w:val="80"/>
        </w:rPr>
        <w:t>ꎮ</w:t>
      </w:r>
    </w:p>
    <w:p>
      <w:pPr>
        <w:pStyle w:val="6"/>
        <w:spacing w:line="295" w:lineRule="auto"/>
        <w:ind w:left="381" w:right="126"/>
        <w:rPr>
          <w:rFonts w:hint="eastAsia" w:ascii="MS UI Gothic" w:eastAsia="MS UI Gothic"/>
        </w:rPr>
      </w:pPr>
      <w:r>
        <w:t>有关法律</w:t>
      </w:r>
      <w:r>
        <w:rPr>
          <w:rFonts w:hint="eastAsia" w:ascii="MS UI Gothic" w:eastAsia="MS UI Gothic"/>
          <w:w w:val="80"/>
        </w:rPr>
        <w:t xml:space="preserve">、 </w:t>
      </w:r>
      <w:r>
        <w:t>行政法规</w:t>
      </w:r>
      <w:r>
        <w:rPr>
          <w:rFonts w:hint="eastAsia" w:ascii="MS UI Gothic" w:eastAsia="MS UI Gothic"/>
          <w:w w:val="80"/>
        </w:rPr>
        <w:t xml:space="preserve">、 </w:t>
      </w:r>
      <w:r>
        <w:t>规章对非煤矿山外包工程安全生产违法行为的行政处罚另有规定的</w:t>
      </w:r>
      <w:r>
        <w:rPr>
          <w:rFonts w:hint="eastAsia" w:ascii="MS UI Gothic" w:eastAsia="MS UI Gothic"/>
          <w:w w:val="80"/>
        </w:rPr>
        <w:t xml:space="preserve">ꎬ </w:t>
      </w:r>
      <w:r>
        <w:t>依照其规定</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４１４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40" o:spid="_x0000_s2240" o:spt="203" style="height:2.15pt;width:398.25pt;" coordsize="7965,43">
            <o:lock v:ext="edit"/>
            <v:line id="_x0000_s2241" o:spid="_x0000_s2241" o:spt="20" style="position:absolute;left:0;top:39;height:0;width:7965;" stroked="t" coordsize="21600,21600">
              <v:path arrowok="t"/>
              <v:fill focussize="0,0"/>
              <v:stroke weight="0.388031496062992pt" color="#231F20"/>
              <v:imagedata o:title=""/>
              <o:lock v:ext="edit"/>
            </v:line>
            <v:line id="_x0000_s2242" o:spid="_x0000_s224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2011"/>
          <w:tab w:val="left" w:pos="2639"/>
        </w:tabs>
        <w:ind w:left="1172"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215" w:line="295" w:lineRule="auto"/>
        <w:ind w:right="39"/>
        <w:rPr>
          <w:rFonts w:hint="eastAsia" w:ascii="MS UI Gothic" w:eastAsia="MS UI Gothic"/>
        </w:rPr>
      </w:pPr>
      <w:r>
        <w:rPr>
          <w:w w:val="110"/>
        </w:rPr>
        <w:t>第四十二条 本办法下列用语的</w:t>
      </w:r>
      <w:r>
        <w:rPr>
          <w:w w:val="115"/>
        </w:rPr>
        <w:t>含义</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4"/>
          <w:w w:val="105"/>
        </w:rPr>
        <w:t>非煤矿山</w:t>
      </w:r>
      <w:r>
        <w:rPr>
          <w:rFonts w:hint="eastAsia" w:ascii="MS UI Gothic" w:eastAsia="MS UI Gothic"/>
          <w:spacing w:val="18"/>
          <w:w w:val="80"/>
        </w:rPr>
        <w:t xml:space="preserve">ꎬ </w:t>
      </w:r>
      <w:r>
        <w:rPr>
          <w:spacing w:val="11"/>
          <w:w w:val="105"/>
        </w:rPr>
        <w:t>是指金属矿</w:t>
      </w:r>
      <w:r>
        <w:rPr>
          <w:rFonts w:hint="eastAsia" w:ascii="MS UI Gothic" w:eastAsia="MS UI Gothic"/>
          <w:spacing w:val="18"/>
          <w:w w:val="80"/>
        </w:rPr>
        <w:t xml:space="preserve">、 </w:t>
      </w:r>
      <w:r>
        <w:rPr>
          <w:spacing w:val="6"/>
          <w:w w:val="105"/>
        </w:rPr>
        <w:t>非金</w:t>
      </w:r>
      <w:r>
        <w:rPr>
          <w:spacing w:val="3"/>
          <w:w w:val="105"/>
        </w:rPr>
        <w:t>属矿</w:t>
      </w:r>
      <w:r>
        <w:rPr>
          <w:rFonts w:hint="eastAsia" w:ascii="MS UI Gothic" w:eastAsia="MS UI Gothic"/>
          <w:spacing w:val="-2"/>
          <w:w w:val="80"/>
        </w:rPr>
        <w:t xml:space="preserve">、 </w:t>
      </w:r>
      <w:r>
        <w:rPr>
          <w:spacing w:val="3"/>
          <w:w w:val="105"/>
        </w:rPr>
        <w:t>水气矿和除煤矿以外的能源矿</w:t>
      </w:r>
      <w:r>
        <w:rPr>
          <w:rFonts w:hint="eastAsia" w:ascii="MS UI Gothic" w:eastAsia="MS UI Gothic"/>
          <w:spacing w:val="-1"/>
          <w:w w:val="80"/>
        </w:rPr>
        <w:t xml:space="preserve">ꎬ </w:t>
      </w:r>
      <w:r>
        <w:rPr>
          <w:w w:val="105"/>
        </w:rPr>
        <w:t>以</w:t>
      </w:r>
      <w:r>
        <w:rPr>
          <w:spacing w:val="6"/>
          <w:w w:val="105"/>
        </w:rPr>
        <w:t xml:space="preserve">及石油天然气管道储运 </w:t>
      </w:r>
      <w:r>
        <w:rPr>
          <w:rFonts w:hint="eastAsia" w:ascii="MS UI Gothic" w:eastAsia="MS UI Gothic"/>
          <w:spacing w:val="-37"/>
          <w:w w:val="150"/>
        </w:rPr>
        <w:t xml:space="preserve">( </w:t>
      </w:r>
      <w:r>
        <w:rPr>
          <w:spacing w:val="14"/>
          <w:w w:val="105"/>
        </w:rPr>
        <w:t>不含成品油管</w:t>
      </w:r>
      <w:r>
        <w:rPr>
          <w:spacing w:val="3"/>
          <w:w w:val="105"/>
        </w:rPr>
        <w:t>道</w:t>
      </w:r>
      <w:r>
        <w:rPr>
          <w:rFonts w:hint="eastAsia" w:ascii="MS UI Gothic" w:eastAsia="MS UI Gothic"/>
          <w:spacing w:val="13"/>
          <w:w w:val="150"/>
        </w:rPr>
        <w:t xml:space="preserve">) </w:t>
      </w:r>
      <w:r>
        <w:rPr>
          <w:spacing w:val="3"/>
          <w:w w:val="105"/>
        </w:rPr>
        <w:t>及其附属设施的总称</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金属非金属矿山</w:t>
      </w:r>
      <w:r>
        <w:rPr>
          <w:rFonts w:hint="eastAsia" w:ascii="MS UI Gothic" w:eastAsia="MS UI Gothic"/>
          <w:w w:val="80"/>
        </w:rPr>
        <w:t xml:space="preserve">ꎬ </w:t>
      </w:r>
      <w:r>
        <w:rPr>
          <w:w w:val="105"/>
        </w:rPr>
        <w:t>是指金属矿</w:t>
      </w:r>
      <w:r>
        <w:rPr>
          <w:rFonts w:hint="eastAsia" w:ascii="MS UI Gothic" w:eastAsia="MS UI Gothic"/>
          <w:w w:val="80"/>
        </w:rPr>
        <w:t xml:space="preserve">、 </w:t>
      </w:r>
      <w:r>
        <w:rPr>
          <w:w w:val="105"/>
        </w:rPr>
        <w:t>非金属矿</w:t>
      </w:r>
      <w:r>
        <w:rPr>
          <w:rFonts w:hint="eastAsia" w:ascii="MS UI Gothic" w:eastAsia="MS UI Gothic"/>
          <w:w w:val="80"/>
        </w:rPr>
        <w:t xml:space="preserve">、 </w:t>
      </w:r>
      <w:r>
        <w:rPr>
          <w:w w:val="105"/>
        </w:rPr>
        <w:t>水气矿和除煤矿</w:t>
      </w:r>
      <w:r>
        <w:rPr>
          <w:rFonts w:hint="eastAsia" w:ascii="MS UI Gothic" w:eastAsia="MS UI Gothic"/>
          <w:w w:val="80"/>
        </w:rPr>
        <w:t xml:space="preserve">、 </w:t>
      </w:r>
      <w:r>
        <w:rPr>
          <w:w w:val="105"/>
        </w:rPr>
        <w:t>石油天然气以外的能源矿</w:t>
      </w:r>
      <w:r>
        <w:rPr>
          <w:rFonts w:hint="eastAsia" w:ascii="MS UI Gothic" w:eastAsia="MS UI Gothic"/>
          <w:w w:val="80"/>
        </w:rPr>
        <w:t xml:space="preserve">ꎬ </w:t>
      </w:r>
      <w:r>
        <w:rPr>
          <w:w w:val="105"/>
        </w:rPr>
        <w:t>以及选矿厂</w:t>
      </w:r>
      <w:r>
        <w:rPr>
          <w:rFonts w:hint="eastAsia" w:ascii="MS UI Gothic" w:eastAsia="MS UI Gothic"/>
          <w:w w:val="80"/>
        </w:rPr>
        <w:t xml:space="preserve">、 </w:t>
      </w:r>
      <w:r>
        <w:rPr>
          <w:w w:val="105"/>
        </w:rPr>
        <w:t>尾矿库</w:t>
      </w:r>
      <w:r>
        <w:rPr>
          <w:rFonts w:hint="eastAsia" w:ascii="MS UI Gothic" w:eastAsia="MS UI Gothic"/>
          <w:w w:val="80"/>
        </w:rPr>
        <w:t xml:space="preserve">、 </w:t>
      </w:r>
      <w:r>
        <w:rPr>
          <w:w w:val="105"/>
        </w:rPr>
        <w:t>排土场等矿山附属设施的总称</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外包工程</w:t>
      </w:r>
      <w:r>
        <w:rPr>
          <w:rFonts w:hint="eastAsia" w:ascii="MS UI Gothic" w:eastAsia="MS UI Gothic"/>
          <w:w w:val="80"/>
        </w:rPr>
        <w:t xml:space="preserve">ꎬ </w:t>
      </w:r>
      <w:r>
        <w:rPr>
          <w:w w:val="105"/>
        </w:rPr>
        <w:t>是指发包单位与本</w:t>
      </w:r>
      <w:r>
        <w:t>单位以外的承包单位签订合同</w:t>
      </w:r>
      <w:r>
        <w:rPr>
          <w:rFonts w:hint="eastAsia" w:ascii="MS UI Gothic" w:eastAsia="MS UI Gothic"/>
          <w:w w:val="80"/>
        </w:rPr>
        <w:t xml:space="preserve">ꎬ </w:t>
      </w:r>
      <w:r>
        <w:t>由承包单位承揽与矿产资源开采活动有关的工程</w:t>
      </w:r>
      <w:r>
        <w:rPr>
          <w:rFonts w:hint="eastAsia" w:ascii="MS UI Gothic" w:eastAsia="MS UI Gothic"/>
          <w:w w:val="80"/>
        </w:rPr>
        <w:t>、</w:t>
      </w:r>
      <w:r>
        <w:rPr>
          <w:w w:val="105"/>
        </w:rPr>
        <w:t>作业活动或者技术服务项目</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发包单位</w:t>
      </w:r>
      <w:r>
        <w:rPr>
          <w:rFonts w:hint="eastAsia" w:ascii="MS UI Gothic" w:eastAsia="MS UI Gothic"/>
          <w:w w:val="80"/>
        </w:rPr>
        <w:t xml:space="preserve">ꎬ </w:t>
      </w:r>
      <w:r>
        <w:rPr>
          <w:w w:val="105"/>
        </w:rPr>
        <w:t>是指将矿产资源开采活动有关的工程</w:t>
      </w:r>
      <w:r>
        <w:rPr>
          <w:rFonts w:hint="eastAsia" w:ascii="MS UI Gothic" w:eastAsia="MS UI Gothic"/>
          <w:w w:val="80"/>
        </w:rPr>
        <w:t xml:space="preserve">、 </w:t>
      </w:r>
      <w:r>
        <w:rPr>
          <w:w w:val="105"/>
        </w:rPr>
        <w:t>作业活动或者技术服</w:t>
      </w:r>
      <w:r>
        <w:t>务项目</w:t>
      </w:r>
      <w:r>
        <w:rPr>
          <w:rFonts w:hint="eastAsia" w:ascii="MS UI Gothic" w:eastAsia="MS UI Gothic"/>
          <w:w w:val="80"/>
        </w:rPr>
        <w:t xml:space="preserve">ꎬ </w:t>
      </w:r>
      <w:r>
        <w:t>发包给外单位施工的非煤矿山</w:t>
      </w:r>
      <w:r>
        <w:rPr>
          <w:w w:val="105"/>
        </w:rPr>
        <w:t>企业</w:t>
      </w:r>
      <w:r>
        <w:rPr>
          <w:rFonts w:hint="eastAsia" w:ascii="MS UI Gothic" w:eastAsia="MS UI Gothic"/>
          <w:w w:val="80"/>
        </w:rPr>
        <w:t>ꎻ</w:t>
      </w:r>
    </w:p>
    <w:p>
      <w:pPr>
        <w:pStyle w:val="6"/>
        <w:spacing w:line="295" w:lineRule="auto"/>
        <w:ind w:right="39"/>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分项发包</w:t>
      </w:r>
      <w:r>
        <w:rPr>
          <w:rFonts w:hint="eastAsia" w:ascii="MS UI Gothic" w:eastAsia="MS UI Gothic"/>
          <w:w w:val="80"/>
        </w:rPr>
        <w:t xml:space="preserve">ꎬ </w:t>
      </w:r>
      <w:r>
        <w:rPr>
          <w:w w:val="105"/>
        </w:rPr>
        <w:t>是指发包单位将矿产资源开采活动有关的工程</w:t>
      </w:r>
      <w:r>
        <w:rPr>
          <w:rFonts w:hint="eastAsia" w:ascii="MS UI Gothic" w:eastAsia="MS UI Gothic"/>
          <w:w w:val="80"/>
        </w:rPr>
        <w:t xml:space="preserve">、 </w:t>
      </w:r>
      <w:r>
        <w:rPr>
          <w:w w:val="105"/>
        </w:rPr>
        <w:t>作业活动或</w:t>
      </w:r>
    </w:p>
    <w:p>
      <w:pPr>
        <w:pStyle w:val="6"/>
        <w:spacing w:before="123" w:line="295" w:lineRule="auto"/>
        <w:ind w:right="442" w:firstLine="0"/>
        <w:rPr>
          <w:rFonts w:hint="eastAsia" w:ascii="MS UI Gothic" w:eastAsia="MS UI Gothic"/>
        </w:rPr>
      </w:pPr>
      <w:r>
        <w:br w:type="column"/>
      </w:r>
      <w:r>
        <w:t>者技术服务项目</w:t>
      </w:r>
      <w:r>
        <w:rPr>
          <w:rFonts w:hint="eastAsia" w:ascii="MS UI Gothic" w:eastAsia="MS UI Gothic"/>
          <w:w w:val="80"/>
        </w:rPr>
        <w:t xml:space="preserve">ꎬ </w:t>
      </w:r>
      <w:r>
        <w:t>分为若干部分发包给若干承包单位进行施工的行为</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总承包单位</w:t>
      </w:r>
      <w:r>
        <w:rPr>
          <w:rFonts w:hint="eastAsia" w:ascii="MS UI Gothic" w:eastAsia="MS UI Gothic"/>
          <w:w w:val="80"/>
        </w:rPr>
        <w:t xml:space="preserve">ꎬ </w:t>
      </w:r>
      <w:r>
        <w:rPr>
          <w:w w:val="105"/>
        </w:rPr>
        <w:t>是指整体承揽矿</w:t>
      </w:r>
      <w:r>
        <w:t>产资源开采活动或者独立生产系统的所有</w:t>
      </w:r>
      <w:r>
        <w:rPr>
          <w:w w:val="105"/>
        </w:rPr>
        <w:t>工程</w:t>
      </w:r>
      <w:r>
        <w:rPr>
          <w:rFonts w:hint="eastAsia" w:ascii="MS UI Gothic" w:eastAsia="MS UI Gothic"/>
          <w:w w:val="80"/>
        </w:rPr>
        <w:t xml:space="preserve">、 </w:t>
      </w:r>
      <w:r>
        <w:rPr>
          <w:w w:val="105"/>
        </w:rPr>
        <w:t>作业活动或者技术服务项目的承包单位</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承包单位</w:t>
      </w:r>
      <w:r>
        <w:rPr>
          <w:rFonts w:hint="eastAsia" w:ascii="MS UI Gothic" w:eastAsia="MS UI Gothic"/>
          <w:w w:val="80"/>
        </w:rPr>
        <w:t xml:space="preserve">ꎬ </w:t>
      </w:r>
      <w:r>
        <w:rPr>
          <w:w w:val="105"/>
        </w:rPr>
        <w:t>是指承揽矿产资源开采活动有关的工程</w:t>
      </w:r>
      <w:r>
        <w:rPr>
          <w:rFonts w:hint="eastAsia" w:ascii="MS UI Gothic" w:eastAsia="MS UI Gothic"/>
          <w:w w:val="80"/>
        </w:rPr>
        <w:t xml:space="preserve">、 </w:t>
      </w:r>
      <w:r>
        <w:rPr>
          <w:w w:val="105"/>
        </w:rPr>
        <w:t>作业活动或者技术服务项目的单位</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项目部</w:t>
      </w:r>
      <w:r>
        <w:rPr>
          <w:rFonts w:hint="eastAsia" w:ascii="MS UI Gothic" w:eastAsia="MS UI Gothic"/>
          <w:w w:val="80"/>
        </w:rPr>
        <w:t xml:space="preserve">ꎬ </w:t>
      </w:r>
      <w:r>
        <w:rPr>
          <w:w w:val="105"/>
        </w:rPr>
        <w:t>是指承包单位在承揽</w:t>
      </w:r>
      <w:r>
        <w:t>工程所在地设立的</w:t>
      </w:r>
      <w:r>
        <w:rPr>
          <w:rFonts w:hint="eastAsia" w:ascii="MS UI Gothic" w:eastAsia="MS UI Gothic"/>
          <w:w w:val="80"/>
        </w:rPr>
        <w:t xml:space="preserve">ꎬ </w:t>
      </w:r>
      <w:r>
        <w:t>负责其所承揽工程施</w:t>
      </w:r>
      <w:r>
        <w:rPr>
          <w:w w:val="105"/>
        </w:rPr>
        <w:t>工的管理机构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生产期间</w:t>
      </w:r>
      <w:r>
        <w:rPr>
          <w:rFonts w:hint="eastAsia" w:ascii="MS UI Gothic" w:eastAsia="MS UI Gothic"/>
          <w:w w:val="80"/>
        </w:rPr>
        <w:t xml:space="preserve">ꎬ </w:t>
      </w:r>
      <w:r>
        <w:rPr>
          <w:w w:val="105"/>
        </w:rPr>
        <w:t>是指新建矿山正式投入生产后或者矿山改建</w:t>
      </w:r>
      <w:r>
        <w:rPr>
          <w:rFonts w:hint="eastAsia" w:ascii="MS UI Gothic" w:eastAsia="MS UI Gothic"/>
          <w:w w:val="80"/>
        </w:rPr>
        <w:t xml:space="preserve">、 </w:t>
      </w:r>
      <w:r>
        <w:rPr>
          <w:w w:val="105"/>
        </w:rPr>
        <w:t>扩建时仍然进行生产</w:t>
      </w:r>
      <w:r>
        <w:rPr>
          <w:rFonts w:hint="eastAsia" w:ascii="MS UI Gothic" w:eastAsia="MS UI Gothic"/>
          <w:w w:val="80"/>
        </w:rPr>
        <w:t xml:space="preserve">ꎬ </w:t>
      </w:r>
      <w:r>
        <w:rPr>
          <w:w w:val="105"/>
        </w:rPr>
        <w:t>并规模出产矿产品的时期</w:t>
      </w:r>
      <w:r>
        <w:rPr>
          <w:rFonts w:hint="eastAsia" w:ascii="MS UI Gothic" w:eastAsia="MS UI Gothic"/>
          <w:w w:val="80"/>
        </w:rPr>
        <w:t>ꎮ</w:t>
      </w:r>
    </w:p>
    <w:p>
      <w:pPr>
        <w:pStyle w:val="6"/>
        <w:spacing w:line="295" w:lineRule="auto"/>
        <w:ind w:right="442"/>
        <w:rPr>
          <w:rFonts w:hint="eastAsia" w:ascii="MS UI Gothic" w:eastAsia="MS UI Gothic"/>
        </w:rPr>
      </w:pPr>
      <w:r>
        <w:t>第四十三条 省</w:t>
      </w:r>
      <w:r>
        <w:rPr>
          <w:rFonts w:hint="eastAsia" w:ascii="MS UI Gothic" w:eastAsia="MS UI Gothic"/>
          <w:w w:val="80"/>
        </w:rPr>
        <w:t xml:space="preserve">、 </w:t>
      </w:r>
      <w:r>
        <w:t>自治区</w:t>
      </w:r>
      <w:r>
        <w:rPr>
          <w:rFonts w:hint="eastAsia" w:ascii="MS UI Gothic" w:eastAsia="MS UI Gothic"/>
          <w:w w:val="80"/>
        </w:rPr>
        <w:t xml:space="preserve">、  </w:t>
      </w:r>
      <w:r>
        <w:t>直辖市人民政府安全生产监督管理部门可以根据本办法制定实施细则</w:t>
      </w:r>
      <w:r>
        <w:rPr>
          <w:rFonts w:hint="eastAsia" w:ascii="MS UI Gothic" w:eastAsia="MS UI Gothic"/>
          <w:w w:val="80"/>
        </w:rPr>
        <w:t xml:space="preserve">ꎬ </w:t>
      </w:r>
      <w:r>
        <w:t>并报国家安全生产监督管理总局备案</w:t>
      </w:r>
      <w:r>
        <w:rPr>
          <w:rFonts w:hint="eastAsia" w:ascii="MS UI Gothic" w:eastAsia="MS UI Gothic"/>
          <w:w w:val="80"/>
        </w:rPr>
        <w:t>ꎮ</w:t>
      </w:r>
    </w:p>
    <w:p>
      <w:pPr>
        <w:pStyle w:val="6"/>
        <w:spacing w:line="295" w:lineRule="auto"/>
        <w:ind w:left="280" w:right="442" w:firstLine="263"/>
        <w:rPr>
          <w:rFonts w:hint="eastAsia" w:ascii="MS UI Gothic" w:eastAsia="MS UI Gothic"/>
        </w:rPr>
      </w:pPr>
      <w:r>
        <w:pict>
          <v:shape id="_x0000_s2243" o:spid="_x0000_s2243" o:spt="202" type="#_x0000_t202" style="position:absolute;left:0pt;margin-left:264.5pt;margin-top:12pt;height:24.35pt;width:5.15pt;mso-position-horizontal-relative:page;z-index:25215180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第四十四条 本办法自 </w:t>
      </w:r>
      <w:r>
        <w:rPr>
          <w:rFonts w:hint="eastAsia" w:ascii="MS UI Gothic" w:eastAsia="MS UI Gothic"/>
          <w:w w:val="95"/>
        </w:rPr>
        <w:t xml:space="preserve">２０１３ </w:t>
      </w:r>
      <w:r>
        <w:rPr>
          <w:w w:val="95"/>
        </w:rPr>
        <w:t xml:space="preserve">年 </w:t>
      </w:r>
      <w:r>
        <w:rPr>
          <w:rFonts w:hint="eastAsia" w:ascii="MS UI Gothic" w:eastAsia="MS UI Gothic"/>
          <w:w w:val="95"/>
        </w:rPr>
        <w:t xml:space="preserve">１０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6"/>
        <w:ind w:left="0" w:firstLine="0"/>
        <w:jc w:val="left"/>
        <w:rPr>
          <w:rFonts w:ascii="MS UI Gothic"/>
          <w:sz w:val="16"/>
        </w:rPr>
      </w:pPr>
    </w:p>
    <w:p>
      <w:pPr>
        <w:pStyle w:val="4"/>
        <w:spacing w:before="74"/>
        <w:ind w:right="630"/>
      </w:pPr>
      <w:r>
        <w:t>国家安全生产监督管理总局令</w:t>
      </w:r>
    </w:p>
    <w:p>
      <w:pPr>
        <w:pStyle w:val="6"/>
        <w:spacing w:before="1"/>
        <w:ind w:left="0" w:firstLine="0"/>
        <w:jc w:val="left"/>
        <w:rPr>
          <w:sz w:val="27"/>
        </w:rPr>
      </w:pPr>
    </w:p>
    <w:p>
      <w:pPr>
        <w:pStyle w:val="5"/>
        <w:ind w:right="628"/>
      </w:pPr>
      <w:r>
        <w:t xml:space="preserve">第 </w:t>
      </w:r>
      <w:r>
        <w:rPr>
          <w:rFonts w:hint="eastAsia" w:ascii="MS UI Gothic" w:eastAsia="MS UI Gothic"/>
        </w:rPr>
        <w:t xml:space="preserve">３９ </w:t>
      </w:r>
      <w:r>
        <w:t>号</w:t>
      </w:r>
    </w:p>
    <w:p>
      <w:pPr>
        <w:pStyle w:val="6"/>
        <w:spacing w:before="354"/>
        <w:ind w:left="543" w:firstLine="0"/>
      </w:pPr>
      <w:r>
        <w:t xml:space="preserve">新修订的 </w:t>
      </w:r>
      <w:r>
        <w:rPr>
          <w:rFonts w:hint="eastAsia" w:ascii="MS UI Gothic" w:hAnsi="MS UI Gothic" w:eastAsia="MS UI Gothic"/>
        </w:rPr>
        <w:t xml:space="preserve">« </w:t>
      </w:r>
      <w:r>
        <w:t>小型露天采石场安全管理与监督检查规定</w:t>
      </w:r>
      <w:r>
        <w:rPr>
          <w:rFonts w:hint="eastAsia" w:ascii="MS UI Gothic" w:hAnsi="MS UI Gothic" w:eastAsia="MS UI Gothic"/>
        </w:rPr>
        <w:t xml:space="preserve">» </w:t>
      </w:r>
      <w:r>
        <w:t xml:space="preserve">已经 </w:t>
      </w:r>
      <w:r>
        <w:rPr>
          <w:rFonts w:hint="eastAsia" w:ascii="MS UI Gothic" w:hAnsi="MS UI Gothic" w:eastAsia="MS UI Gothic"/>
        </w:rPr>
        <w:t xml:space="preserve">２０１１ </w:t>
      </w:r>
      <w:r>
        <w:t xml:space="preserve">年 </w:t>
      </w:r>
      <w:r>
        <w:rPr>
          <w:rFonts w:hint="eastAsia" w:ascii="MS UI Gothic" w:hAnsi="MS UI Gothic" w:eastAsia="MS UI Gothic"/>
        </w:rPr>
        <w:t xml:space="preserve">４ </w:t>
      </w:r>
      <w:r>
        <w:t xml:space="preserve">月 </w:t>
      </w:r>
      <w:r>
        <w:rPr>
          <w:rFonts w:hint="eastAsia" w:ascii="MS UI Gothic" w:hAnsi="MS UI Gothic" w:eastAsia="MS UI Gothic"/>
        </w:rPr>
        <w:t xml:space="preserve">１８ </w:t>
      </w:r>
      <w:r>
        <w:t>日国家</w:t>
      </w:r>
    </w:p>
    <w:p>
      <w:pPr>
        <w:pStyle w:val="6"/>
        <w:spacing w:before="58" w:line="295" w:lineRule="auto"/>
        <w:ind w:left="118" w:right="440" w:firstLine="5"/>
        <w:rPr>
          <w:rFonts w:hint="eastAsia" w:ascii="MS UI Gothic" w:hAnsi="MS UI Gothic" w:eastAsia="MS UI Gothic"/>
        </w:rPr>
      </w:pPr>
      <w:r>
        <w:rPr>
          <w:w w:val="95"/>
        </w:rPr>
        <w:t>安全生产监督管理总局局长办公会议审议通过</w:t>
      </w:r>
      <w:r>
        <w:rPr>
          <w:rFonts w:hint="eastAsia" w:ascii="MS UI Gothic" w:hAnsi="MS UI Gothic" w:eastAsia="MS UI Gothic"/>
          <w:w w:val="85"/>
        </w:rPr>
        <w:t xml:space="preserve">ꎬ </w:t>
      </w:r>
      <w:r>
        <w:rPr>
          <w:w w:val="95"/>
        </w:rPr>
        <w:t>现予公布</w:t>
      </w:r>
      <w:r>
        <w:rPr>
          <w:rFonts w:hint="eastAsia" w:ascii="MS UI Gothic" w:hAnsi="MS UI Gothic" w:eastAsia="MS UI Gothic"/>
          <w:w w:val="85"/>
        </w:rPr>
        <w:t xml:space="preserve">ꎬ </w:t>
      </w:r>
      <w:r>
        <w:rPr>
          <w:w w:val="95"/>
        </w:rPr>
        <w:t xml:space="preserve">自 </w:t>
      </w:r>
      <w:r>
        <w:rPr>
          <w:rFonts w:hint="eastAsia" w:ascii="MS UI Gothic" w:hAnsi="MS UI Gothic" w:eastAsia="MS UI Gothic"/>
          <w:w w:val="95"/>
        </w:rPr>
        <w:t xml:space="preserve">２０１１ </w:t>
      </w:r>
      <w:r>
        <w:rPr>
          <w:w w:val="95"/>
        </w:rPr>
        <w:t xml:space="preserve">年 </w:t>
      </w:r>
      <w:r>
        <w:rPr>
          <w:rFonts w:hint="eastAsia" w:ascii="MS UI Gothic" w:hAnsi="MS UI Gothic" w:eastAsia="MS UI Gothic"/>
          <w:w w:val="95"/>
        </w:rPr>
        <w:t xml:space="preserve">７ </w:t>
      </w:r>
      <w:r>
        <w:rPr>
          <w:w w:val="95"/>
        </w:rPr>
        <w:t xml:space="preserve">月 </w:t>
      </w:r>
      <w:r>
        <w:rPr>
          <w:rFonts w:hint="eastAsia" w:ascii="MS UI Gothic" w:hAnsi="MS UI Gothic" w:eastAsia="MS UI Gothic"/>
          <w:w w:val="95"/>
        </w:rPr>
        <w:t xml:space="preserve">１ </w:t>
      </w:r>
      <w:r>
        <w:rPr>
          <w:w w:val="95"/>
        </w:rPr>
        <w:t>日起施行</w:t>
      </w:r>
      <w:r>
        <w:rPr>
          <w:rFonts w:hint="eastAsia" w:ascii="MS UI Gothic" w:hAnsi="MS UI Gothic" w:eastAsia="MS UI Gothic"/>
          <w:w w:val="85"/>
        </w:rPr>
        <w:t>ꎮ</w:t>
      </w:r>
      <w:r>
        <w:rPr>
          <w:rFonts w:hint="eastAsia" w:ascii="MS UI Gothic" w:hAnsi="MS UI Gothic" w:eastAsia="MS UI Gothic"/>
          <w:w w:val="95"/>
        </w:rPr>
        <w:t xml:space="preserve">２００４ </w:t>
      </w:r>
      <w:r>
        <w:rPr>
          <w:w w:val="95"/>
        </w:rPr>
        <w:t xml:space="preserve">年 </w:t>
      </w:r>
      <w:r>
        <w:rPr>
          <w:rFonts w:hint="eastAsia" w:ascii="MS UI Gothic" w:hAnsi="MS UI Gothic" w:eastAsia="MS UI Gothic"/>
          <w:w w:val="95"/>
        </w:rPr>
        <w:t xml:space="preserve">１２ </w:t>
      </w:r>
      <w:r>
        <w:rPr>
          <w:w w:val="95"/>
        </w:rPr>
        <w:t xml:space="preserve">月 </w:t>
      </w:r>
      <w:r>
        <w:rPr>
          <w:rFonts w:hint="eastAsia" w:ascii="MS UI Gothic" w:hAnsi="MS UI Gothic" w:eastAsia="MS UI Gothic"/>
          <w:w w:val="95"/>
        </w:rPr>
        <w:t xml:space="preserve">２８ </w:t>
      </w:r>
      <w:r>
        <w:rPr>
          <w:w w:val="95"/>
        </w:rPr>
        <w:t xml:space="preserve">日原国家安全生产监督管理局 </w:t>
      </w:r>
      <w:r>
        <w:rPr>
          <w:rFonts w:hint="eastAsia" w:ascii="MS UI Gothic" w:hAnsi="MS UI Gothic" w:eastAsia="MS UI Gothic"/>
          <w:w w:val="140"/>
        </w:rPr>
        <w:t xml:space="preserve">( </w:t>
      </w:r>
      <w:r>
        <w:rPr>
          <w:w w:val="95"/>
        </w:rPr>
        <w:t>国家煤矿安全监察局</w:t>
      </w:r>
      <w:r>
        <w:rPr>
          <w:rFonts w:hint="eastAsia" w:ascii="MS UI Gothic" w:hAnsi="MS UI Gothic" w:eastAsia="MS UI Gothic"/>
          <w:w w:val="140"/>
        </w:rPr>
        <w:t xml:space="preserve">) </w:t>
      </w:r>
      <w:r>
        <w:rPr>
          <w:w w:val="95"/>
        </w:rPr>
        <w:t xml:space="preserve">公布的 </w:t>
      </w:r>
      <w:r>
        <w:rPr>
          <w:rFonts w:hint="eastAsia" w:ascii="MS UI Gothic" w:hAnsi="MS UI Gothic" w:eastAsia="MS UI Gothic"/>
          <w:w w:val="95"/>
        </w:rPr>
        <w:t xml:space="preserve">« </w:t>
      </w:r>
      <w:r>
        <w:rPr>
          <w:w w:val="95"/>
        </w:rPr>
        <w:t>小型露天采石场安全生产暂行规定</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 xml:space="preserve">原国家安全生产监督管理局  </w:t>
      </w:r>
      <w:r>
        <w:rPr>
          <w:rFonts w:hint="eastAsia" w:ascii="MS UI Gothic" w:hAnsi="MS UI Gothic" w:eastAsia="MS UI Gothic"/>
          <w:w w:val="95"/>
        </w:rPr>
        <w:t xml:space="preserve">‹ </w:t>
      </w:r>
      <w:r>
        <w:rPr>
          <w:w w:val="95"/>
        </w:rPr>
        <w:t>国家煤矿安全监察局</w:t>
      </w:r>
      <w:r>
        <w:rPr>
          <w:rFonts w:hint="eastAsia" w:ascii="MS UI Gothic" w:hAnsi="MS UI Gothic" w:eastAsia="MS UI Gothic"/>
          <w:w w:val="95"/>
        </w:rPr>
        <w:t xml:space="preserve">› </w:t>
      </w:r>
      <w:r>
        <w:rPr>
          <w:w w:val="95"/>
        </w:rPr>
        <w:t xml:space="preserve">令第 </w:t>
      </w:r>
      <w:r>
        <w:rPr>
          <w:rFonts w:hint="eastAsia" w:ascii="MS UI Gothic" w:hAnsi="MS UI Gothic" w:eastAsia="MS UI Gothic"/>
          <w:w w:val="95"/>
        </w:rPr>
        <w:t xml:space="preserve">１９ </w:t>
      </w:r>
      <w:r>
        <w:rPr>
          <w:w w:val="95"/>
        </w:rPr>
        <w:t>号</w:t>
      </w:r>
      <w:r>
        <w:rPr>
          <w:rFonts w:hint="eastAsia" w:ascii="MS UI Gothic" w:hAnsi="MS UI Gothic" w:eastAsia="MS UI Gothic"/>
          <w:w w:val="140"/>
        </w:rPr>
        <w:t xml:space="preserve">) </w:t>
      </w:r>
      <w:r>
        <w:rPr>
          <w:w w:val="95"/>
        </w:rPr>
        <w:t>同时废止</w:t>
      </w:r>
      <w:r>
        <w:rPr>
          <w:rFonts w:hint="eastAsia" w:ascii="MS UI Gothic" w:hAnsi="MS UI Gothic" w:eastAsia="MS UI Gothic"/>
          <w:w w:val="85"/>
        </w:rPr>
        <w:t>ꎮ</w:t>
      </w:r>
    </w:p>
    <w:p>
      <w:pPr>
        <w:pStyle w:val="6"/>
        <w:spacing w:before="8"/>
        <w:ind w:left="0" w:firstLine="0"/>
        <w:jc w:val="left"/>
        <w:rPr>
          <w:rFonts w:ascii="MS UI Gothic"/>
          <w:sz w:val="10"/>
        </w:rPr>
      </w:pPr>
    </w:p>
    <w:p>
      <w:pPr>
        <w:pStyle w:val="6"/>
        <w:spacing w:before="175"/>
        <w:ind w:left="0" w:right="442" w:firstLine="0"/>
        <w:jc w:val="right"/>
      </w:pPr>
      <w:r>
        <w:t>二</w:t>
      </w:r>
      <w:r>
        <w:rPr>
          <w:rFonts w:hint="eastAsia" w:ascii="MS UI Gothic" w:hAnsi="MS UI Gothic" w:eastAsia="MS UI Gothic"/>
        </w:rPr>
        <w:t>○</w:t>
      </w:r>
      <w:r>
        <w:t>一一年五月四日</w:t>
      </w:r>
    </w:p>
    <w:p>
      <w:pPr>
        <w:spacing w:after="0"/>
        <w:jc w:val="right"/>
        <w:sectPr>
          <w:type w:val="continuous"/>
          <w:pgSz w:w="10500" w:h="14750"/>
          <w:pgMar w:top="1400" w:right="980" w:bottom="280" w:left="980" w:header="720" w:footer="720" w:gutter="0"/>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４１５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44" o:spid="_x0000_s2244" o:spt="203" style="height:2.15pt;width:398.25pt;" coordsize="7965,43">
            <o:lock v:ext="edit"/>
            <v:line id="_x0000_s2245" o:spid="_x0000_s2245" o:spt="20" style="position:absolute;left:0;top:39;height:0;width:7965;" stroked="t" coordsize="21600,21600">
              <v:path arrowok="t"/>
              <v:fill focussize="0,0"/>
              <v:stroke weight="0.388031496062992pt" color="#231F20"/>
              <v:imagedata o:title=""/>
              <o:lock v:ext="edit"/>
            </v:line>
            <v:line id="_x0000_s2246" o:spid="_x0000_s224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4"/>
        <w:ind w:left="0" w:firstLine="0"/>
        <w:jc w:val="left"/>
        <w:rPr>
          <w:rFonts w:ascii="MS UI Gothic"/>
          <w:sz w:val="23"/>
        </w:rPr>
      </w:pPr>
    </w:p>
    <w:p>
      <w:pPr>
        <w:pStyle w:val="4"/>
        <w:spacing w:before="195"/>
        <w:ind w:left="945"/>
        <w:jc w:val="left"/>
        <w:rPr>
          <w:rFonts w:hint="eastAsia" w:ascii="Microsoft Yi Baiti" w:eastAsia="Microsoft Yi Baiti"/>
        </w:rPr>
      </w:pPr>
      <w:r>
        <w:t xml:space="preserve">小型露天采石场安全管理与监督检查规定 </w:t>
      </w:r>
      <w:r>
        <w:rPr>
          <w:rFonts w:hint="eastAsia" w:ascii="Microsoft Yi Baiti" w:eastAsia="Microsoft Yi Baiti"/>
        </w:rPr>
        <w:t>(</w:t>
      </w:r>
      <w:r>
        <w:rPr>
          <w:rFonts w:hint="eastAsia" w:ascii="MS UI Gothic" w:eastAsia="MS UI Gothic"/>
        </w:rPr>
        <w:t xml:space="preserve">２０１１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1279"/>
          <w:tab w:val="left" w:pos="1908"/>
        </w:tabs>
        <w:ind w:left="440" w:firstLine="0"/>
        <w:jc w:val="center"/>
      </w:pPr>
      <w:r>
        <w:rPr>
          <w:spacing w:val="3"/>
          <w:w w:val="105"/>
        </w:rPr>
        <w:t>第一</w:t>
      </w:r>
      <w:r>
        <w:rPr>
          <w:w w:val="105"/>
        </w:rPr>
        <w:t>章</w:t>
      </w:r>
      <w:r>
        <w:rPr>
          <w:w w:val="105"/>
        </w:rPr>
        <w:tab/>
      </w:r>
      <w:r>
        <w:rPr>
          <w:w w:val="105"/>
        </w:rPr>
        <w:t>总</w:t>
      </w:r>
      <w:r>
        <w:rPr>
          <w:w w:val="105"/>
        </w:rPr>
        <w:tab/>
      </w:r>
      <w:r>
        <w:rPr>
          <w:w w:val="105"/>
        </w:rPr>
        <w:t>则</w:t>
      </w:r>
    </w:p>
    <w:p>
      <w:pPr>
        <w:pStyle w:val="6"/>
        <w:spacing w:before="216" w:line="292" w:lineRule="auto"/>
        <w:ind w:left="440"/>
        <w:rPr>
          <w:rFonts w:hint="eastAsia" w:ascii="MS UI Gothic" w:hAnsi="MS UI Gothic" w:eastAsia="MS UI Gothic"/>
        </w:rPr>
      </w:pPr>
      <w:r>
        <w:t>第一条 为预防和减少小型露天采石场生产安全事故</w:t>
      </w:r>
      <w:r>
        <w:rPr>
          <w:rFonts w:hint="eastAsia" w:ascii="MS UI Gothic" w:hAnsi="MS UI Gothic" w:eastAsia="MS UI Gothic"/>
          <w:w w:val="80"/>
        </w:rPr>
        <w:t xml:space="preserve">ꎬ </w:t>
      </w:r>
      <w:r>
        <w:t>保障从业人员的安全与健康</w:t>
      </w:r>
      <w:r>
        <w:rPr>
          <w:rFonts w:hint="eastAsia" w:ascii="MS UI Gothic" w:hAnsi="MS UI Gothic" w:eastAsia="MS UI Gothic"/>
          <w:w w:val="80"/>
        </w:rPr>
        <w:t xml:space="preserve">ꎬ </w:t>
      </w:r>
      <w:r>
        <w:t xml:space="preserve">根据 </w:t>
      </w:r>
      <w:r>
        <w:rPr>
          <w:rFonts w:hint="eastAsia" w:ascii="MS UI Gothic" w:hAnsi="MS UI Gothic" w:eastAsia="MS UI Gothic"/>
        </w:rPr>
        <w:t xml:space="preserve">« </w:t>
      </w:r>
      <w:r>
        <w:t>安全生产法</w:t>
      </w:r>
      <w:r>
        <w:rPr>
          <w:rFonts w:hint="eastAsia" w:ascii="MS UI Gothic" w:hAnsi="MS UI Gothic" w:eastAsia="MS UI Gothic"/>
        </w:rPr>
        <w:t xml:space="preserve">»、 « </w:t>
      </w:r>
      <w:r>
        <w:t>矿山安全法</w:t>
      </w:r>
      <w:r>
        <w:rPr>
          <w:rFonts w:hint="eastAsia" w:ascii="MS UI Gothic" w:hAnsi="MS UI Gothic" w:eastAsia="MS UI Gothic"/>
        </w:rPr>
        <w:t xml:space="preserve">»、 « </w:t>
      </w:r>
      <w:r>
        <w:t>安全生产许可证条例</w:t>
      </w:r>
      <w:r>
        <w:rPr>
          <w:rFonts w:hint="eastAsia" w:ascii="MS UI Gothic" w:hAnsi="MS UI Gothic" w:eastAsia="MS UI Gothic"/>
        </w:rPr>
        <w:t xml:space="preserve">» </w:t>
      </w:r>
      <w:r>
        <w:t>等有关法律</w:t>
      </w:r>
      <w:r>
        <w:rPr>
          <w:rFonts w:hint="eastAsia" w:ascii="MS UI Gothic" w:hAnsi="MS UI Gothic" w:eastAsia="MS UI Gothic"/>
        </w:rPr>
        <w:t xml:space="preserve">、 </w:t>
      </w:r>
      <w:r>
        <w:t>行政法规</w:t>
      </w:r>
      <w:r>
        <w:rPr>
          <w:rFonts w:hint="eastAsia" w:ascii="MS UI Gothic" w:hAnsi="MS UI Gothic" w:eastAsia="MS UI Gothic"/>
          <w:w w:val="80"/>
        </w:rPr>
        <w:t xml:space="preserve">ꎬ </w:t>
      </w:r>
      <w:r>
        <w:t>制定本规定</w:t>
      </w:r>
      <w:r>
        <w:rPr>
          <w:rFonts w:hint="eastAsia" w:ascii="MS UI Gothic" w:hAnsi="MS UI Gothic" w:eastAsia="MS UI Gothic"/>
          <w:w w:val="80"/>
        </w:rPr>
        <w:t>ꎮ</w:t>
      </w:r>
    </w:p>
    <w:p>
      <w:pPr>
        <w:pStyle w:val="6"/>
        <w:spacing w:line="292" w:lineRule="auto"/>
        <w:ind w:left="440"/>
        <w:rPr>
          <w:rFonts w:hint="eastAsia" w:ascii="MS UI Gothic" w:eastAsia="MS UI Gothic"/>
        </w:rPr>
      </w:pPr>
      <w:r>
        <w:rPr>
          <w:w w:val="105"/>
        </w:rPr>
        <w:t xml:space="preserve">第二条 年生产规模不超过 </w:t>
      </w:r>
      <w:r>
        <w:rPr>
          <w:rFonts w:hint="eastAsia" w:ascii="MS UI Gothic" w:eastAsia="MS UI Gothic"/>
          <w:w w:val="85"/>
        </w:rPr>
        <w:t xml:space="preserve">５０ </w:t>
      </w:r>
      <w:r>
        <w:rPr>
          <w:w w:val="105"/>
        </w:rPr>
        <w:t xml:space="preserve">万吨的山坡型露天采石作业单位 </w:t>
      </w:r>
      <w:r>
        <w:rPr>
          <w:rFonts w:hint="eastAsia" w:ascii="MS UI Gothic" w:eastAsia="MS UI Gothic"/>
          <w:w w:val="145"/>
        </w:rPr>
        <w:t xml:space="preserve">( </w:t>
      </w:r>
      <w:r>
        <w:rPr>
          <w:w w:val="105"/>
        </w:rPr>
        <w:t>以下统称小型露天采石场</w:t>
      </w:r>
      <w:r>
        <w:rPr>
          <w:rFonts w:hint="eastAsia" w:ascii="MS UI Gothic" w:eastAsia="MS UI Gothic"/>
          <w:w w:val="145"/>
        </w:rPr>
        <w:t xml:space="preserve">) </w:t>
      </w:r>
      <w:r>
        <w:rPr>
          <w:w w:val="105"/>
        </w:rPr>
        <w:t>的安全生产及对其监督管理</w:t>
      </w:r>
      <w:r>
        <w:rPr>
          <w:rFonts w:hint="eastAsia" w:ascii="MS UI Gothic" w:eastAsia="MS UI Gothic"/>
          <w:w w:val="85"/>
        </w:rPr>
        <w:t xml:space="preserve">ꎬ </w:t>
      </w:r>
      <w:r>
        <w:rPr>
          <w:w w:val="105"/>
        </w:rPr>
        <w:t>适用本规定</w:t>
      </w:r>
      <w:r>
        <w:rPr>
          <w:rFonts w:hint="eastAsia" w:ascii="MS UI Gothic" w:eastAsia="MS UI Gothic"/>
          <w:w w:val="85"/>
        </w:rPr>
        <w:t>ꎮ</w:t>
      </w:r>
    </w:p>
    <w:p>
      <w:pPr>
        <w:pStyle w:val="6"/>
        <w:spacing w:line="292" w:lineRule="auto"/>
        <w:ind w:left="440"/>
        <w:rPr>
          <w:rFonts w:hint="eastAsia" w:ascii="MS UI Gothic" w:eastAsia="MS UI Gothic"/>
        </w:rPr>
      </w:pPr>
      <w:r>
        <w:t>开采型材和金属矿产资源的小型露天矿山的安全生产及对其监督管理</w:t>
      </w:r>
      <w:r>
        <w:rPr>
          <w:rFonts w:hint="eastAsia" w:ascii="MS UI Gothic" w:eastAsia="MS UI Gothic"/>
          <w:w w:val="80"/>
        </w:rPr>
        <w:t xml:space="preserve">ꎬ </w:t>
      </w:r>
      <w:r>
        <w:t>不适用本规定</w:t>
      </w:r>
      <w:r>
        <w:rPr>
          <w:rFonts w:hint="eastAsia" w:ascii="MS UI Gothic" w:eastAsia="MS UI Gothic"/>
          <w:w w:val="80"/>
        </w:rPr>
        <w:t>ꎮ</w:t>
      </w:r>
    </w:p>
    <w:p>
      <w:pPr>
        <w:pStyle w:val="6"/>
        <w:spacing w:line="292" w:lineRule="auto"/>
        <w:ind w:left="440"/>
        <w:rPr>
          <w:rFonts w:hint="eastAsia" w:ascii="MS UI Gothic" w:eastAsia="MS UI Gothic"/>
        </w:rPr>
      </w:pPr>
      <w:r>
        <w:rPr>
          <w:w w:val="105"/>
        </w:rPr>
        <w:t>第三条 县级以上地方人民政府安全</w:t>
      </w:r>
      <w:r>
        <w:t>生产监督管理部门对小型露天采石场的安全生产实施监督管理</w:t>
      </w:r>
      <w:r>
        <w:rPr>
          <w:rFonts w:hint="eastAsia" w:ascii="MS UI Gothic" w:eastAsia="MS UI Gothic"/>
          <w:w w:val="80"/>
        </w:rPr>
        <w:t xml:space="preserve">ꎮ </w:t>
      </w:r>
      <w:r>
        <w:t>所辖区域内有小型</w:t>
      </w:r>
      <w:r>
        <w:rPr>
          <w:w w:val="105"/>
        </w:rPr>
        <w:t xml:space="preserve">露天采石场的乡 </w:t>
      </w:r>
      <w:r>
        <w:rPr>
          <w:rFonts w:hint="eastAsia" w:ascii="MS UI Gothic" w:eastAsia="MS UI Gothic"/>
          <w:w w:val="150"/>
        </w:rPr>
        <w:t xml:space="preserve">( </w:t>
      </w:r>
      <w:r>
        <w:rPr>
          <w:w w:val="105"/>
        </w:rPr>
        <w:t>镇</w:t>
      </w:r>
      <w:r>
        <w:rPr>
          <w:rFonts w:hint="eastAsia" w:ascii="MS UI Gothic" w:eastAsia="MS UI Gothic"/>
          <w:w w:val="150"/>
        </w:rPr>
        <w:t xml:space="preserve">) </w:t>
      </w:r>
      <w:r>
        <w:rPr>
          <w:w w:val="105"/>
        </w:rPr>
        <w:t>应当明确负责安全生产工作的管理人员及其职责</w:t>
      </w:r>
      <w:r>
        <w:rPr>
          <w:rFonts w:hint="eastAsia" w:ascii="MS UI Gothic" w:eastAsia="MS UI Gothic"/>
          <w:w w:val="80"/>
        </w:rPr>
        <w:t>ꎮ</w:t>
      </w:r>
    </w:p>
    <w:p>
      <w:pPr>
        <w:pStyle w:val="6"/>
        <w:tabs>
          <w:tab w:val="left" w:pos="1279"/>
        </w:tabs>
        <w:spacing w:before="148"/>
        <w:ind w:left="440" w:firstLine="0"/>
        <w:jc w:val="center"/>
      </w:pPr>
      <w:r>
        <w:rPr>
          <w:spacing w:val="3"/>
          <w:w w:val="105"/>
        </w:rPr>
        <w:t>第二</w:t>
      </w:r>
      <w:r>
        <w:rPr>
          <w:w w:val="105"/>
        </w:rPr>
        <w:t>章</w:t>
      </w:r>
      <w:r>
        <w:rPr>
          <w:w w:val="105"/>
        </w:rPr>
        <w:tab/>
      </w:r>
      <w:r>
        <w:rPr>
          <w:spacing w:val="3"/>
          <w:w w:val="105"/>
        </w:rPr>
        <w:t>安全生产保</w:t>
      </w:r>
      <w:r>
        <w:rPr>
          <w:w w:val="105"/>
        </w:rPr>
        <w:t>障</w:t>
      </w:r>
    </w:p>
    <w:p>
      <w:pPr>
        <w:pStyle w:val="6"/>
        <w:spacing w:before="215" w:line="292" w:lineRule="auto"/>
        <w:ind w:left="440"/>
        <w:rPr>
          <w:rFonts w:hint="eastAsia" w:ascii="MS UI Gothic" w:eastAsia="MS UI Gothic"/>
        </w:rPr>
      </w:pPr>
      <w:r>
        <w:t>第四条 小型露天采石场主要负责人对本单位的安全生产工作负总责</w:t>
      </w:r>
      <w:r>
        <w:rPr>
          <w:rFonts w:hint="eastAsia" w:ascii="MS UI Gothic" w:eastAsia="MS UI Gothic"/>
          <w:w w:val="80"/>
        </w:rPr>
        <w:t xml:space="preserve">ꎬ </w:t>
      </w:r>
      <w:r>
        <w:t>应当组织制定和落实安全生产责任制</w:t>
      </w:r>
      <w:r>
        <w:rPr>
          <w:rFonts w:hint="eastAsia" w:ascii="MS UI Gothic" w:eastAsia="MS UI Gothic"/>
          <w:w w:val="80"/>
        </w:rPr>
        <w:t xml:space="preserve">ꎬ </w:t>
      </w:r>
      <w:r>
        <w:t>改善劳动条 件和作业环境</w:t>
      </w:r>
      <w:r>
        <w:rPr>
          <w:rFonts w:hint="eastAsia" w:ascii="MS UI Gothic" w:eastAsia="MS UI Gothic"/>
          <w:w w:val="80"/>
        </w:rPr>
        <w:t xml:space="preserve">ꎬ </w:t>
      </w:r>
      <w:r>
        <w:t>保证安全生产投入的有效实施</w:t>
      </w:r>
      <w:r>
        <w:rPr>
          <w:rFonts w:hint="eastAsia" w:ascii="MS UI Gothic" w:eastAsia="MS UI Gothic"/>
          <w:w w:val="80"/>
        </w:rPr>
        <w:t>ꎮ</w:t>
      </w:r>
    </w:p>
    <w:p>
      <w:pPr>
        <w:pStyle w:val="6"/>
        <w:spacing w:line="292" w:lineRule="auto"/>
        <w:ind w:left="440"/>
        <w:rPr>
          <w:rFonts w:hint="eastAsia" w:ascii="MS UI Gothic" w:eastAsia="MS UI Gothic"/>
        </w:rPr>
      </w:pPr>
      <w:r>
        <w:rPr>
          <w:spacing w:val="2"/>
        </w:rPr>
        <w:t>主要负责人经安全生产监督管理部门</w:t>
      </w:r>
      <w:r>
        <w:rPr>
          <w:spacing w:val="13"/>
        </w:rPr>
        <w:t>考核合格并取得安全资格证书后</w:t>
      </w:r>
      <w:r>
        <w:rPr>
          <w:rFonts w:hint="eastAsia" w:ascii="MS UI Gothic" w:eastAsia="MS UI Gothic"/>
          <w:w w:val="80"/>
        </w:rPr>
        <w:t xml:space="preserve">ꎬ </w:t>
      </w:r>
      <w:r>
        <w:rPr>
          <w:spacing w:val="4"/>
        </w:rPr>
        <w:t>方可</w:t>
      </w:r>
      <w:r>
        <w:rPr>
          <w:spacing w:val="3"/>
        </w:rPr>
        <w:t>任职</w:t>
      </w:r>
      <w:r>
        <w:rPr>
          <w:rFonts w:hint="eastAsia" w:ascii="MS UI Gothic" w:eastAsia="MS UI Gothic"/>
          <w:w w:val="80"/>
        </w:rPr>
        <w:t>ꎮ</w:t>
      </w:r>
    </w:p>
    <w:p>
      <w:pPr>
        <w:pStyle w:val="6"/>
        <w:spacing w:line="292" w:lineRule="auto"/>
        <w:ind w:left="440"/>
        <w:rPr>
          <w:rFonts w:hint="eastAsia" w:ascii="MS UI Gothic" w:eastAsia="MS UI Gothic"/>
        </w:rPr>
      </w:pPr>
      <w:r>
        <w:rPr>
          <w:spacing w:val="2"/>
          <w:w w:val="105"/>
        </w:rPr>
        <w:t>第五条 小型露天采石场应当建立健</w:t>
      </w:r>
      <w:r>
        <w:rPr>
          <w:spacing w:val="10"/>
        </w:rPr>
        <w:t>全安全生产管理制度和岗位安全操作规</w:t>
      </w:r>
      <w:r>
        <w:rPr>
          <w:spacing w:val="3"/>
        </w:rPr>
        <w:t>程</w:t>
      </w:r>
      <w:r>
        <w:rPr>
          <w:rFonts w:hint="eastAsia" w:ascii="MS UI Gothic" w:eastAsia="MS UI Gothic"/>
          <w:spacing w:val="18"/>
          <w:w w:val="80"/>
        </w:rPr>
        <w:t xml:space="preserve">ꎬ </w:t>
      </w:r>
      <w:r>
        <w:rPr>
          <w:spacing w:val="31"/>
        </w:rPr>
        <w:t>至少配备一名专职安全生产管理</w:t>
      </w:r>
      <w:r>
        <w:rPr>
          <w:spacing w:val="3"/>
          <w:w w:val="105"/>
        </w:rPr>
        <w:t>人员</w:t>
      </w:r>
      <w:r>
        <w:rPr>
          <w:rFonts w:hint="eastAsia" w:ascii="MS UI Gothic" w:eastAsia="MS UI Gothic"/>
          <w:w w:val="80"/>
        </w:rPr>
        <w:t>ꎮ</w:t>
      </w:r>
    </w:p>
    <w:p>
      <w:pPr>
        <w:pStyle w:val="6"/>
        <w:spacing w:line="292" w:lineRule="auto"/>
        <w:ind w:left="440"/>
        <w:rPr>
          <w:rFonts w:hint="eastAsia" w:ascii="MS UI Gothic" w:eastAsia="MS UI Gothic"/>
        </w:rPr>
      </w:pPr>
      <w:r>
        <w:t>安全生产管理人员应当按照国家有关规定取得安全资格证书后</w:t>
      </w:r>
      <w:r>
        <w:rPr>
          <w:rFonts w:hint="eastAsia" w:ascii="MS UI Gothic" w:eastAsia="MS UI Gothic"/>
          <w:w w:val="80"/>
        </w:rPr>
        <w:t xml:space="preserve">ꎬ </w:t>
      </w:r>
      <w:r>
        <w:t>方可任职</w:t>
      </w:r>
      <w:r>
        <w:rPr>
          <w:rFonts w:hint="eastAsia" w:ascii="MS UI Gothic" w:eastAsia="MS UI Gothic"/>
          <w:w w:val="80"/>
        </w:rPr>
        <w:t>ꎮ</w:t>
      </w:r>
    </w:p>
    <w:p>
      <w:pPr>
        <w:pStyle w:val="6"/>
        <w:tabs>
          <w:tab w:val="left" w:pos="1698"/>
        </w:tabs>
        <w:spacing w:line="256" w:lineRule="exact"/>
        <w:ind w:left="860" w:firstLine="0"/>
        <w:jc w:val="left"/>
      </w:pPr>
      <w:r>
        <w:rPr>
          <w:spacing w:val="3"/>
          <w:w w:val="105"/>
        </w:rPr>
        <w:t>第六</w:t>
      </w:r>
      <w:r>
        <w:rPr>
          <w:w w:val="105"/>
        </w:rPr>
        <w:t>条</w:t>
      </w:r>
      <w:r>
        <w:rPr>
          <w:w w:val="105"/>
        </w:rPr>
        <w:tab/>
      </w:r>
      <w:r>
        <w:rPr>
          <w:spacing w:val="3"/>
        </w:rPr>
        <w:t>小型露天采石场应当至少</w:t>
      </w:r>
      <w:r>
        <w:t>配</w:t>
      </w:r>
    </w:p>
    <w:p>
      <w:pPr>
        <w:pStyle w:val="6"/>
        <w:spacing w:before="175" w:line="292" w:lineRule="auto"/>
        <w:ind w:left="383" w:right="126" w:firstLine="0"/>
        <w:rPr>
          <w:rFonts w:hint="eastAsia" w:ascii="MS UI Gothic" w:eastAsia="MS UI Gothic"/>
        </w:rPr>
      </w:pPr>
      <w:r>
        <w:br w:type="column"/>
      </w:r>
      <w:r>
        <w:t>备一名专业技术人员</w:t>
      </w:r>
      <w:r>
        <w:rPr>
          <w:rFonts w:hint="eastAsia" w:ascii="MS UI Gothic" w:eastAsia="MS UI Gothic"/>
          <w:w w:val="80"/>
        </w:rPr>
        <w:t xml:space="preserve">ꎬ </w:t>
      </w:r>
      <w:r>
        <w:t>或者聘用专业技术人员</w:t>
      </w:r>
      <w:r>
        <w:rPr>
          <w:rFonts w:hint="eastAsia" w:ascii="MS UI Gothic" w:eastAsia="MS UI Gothic"/>
          <w:w w:val="80"/>
        </w:rPr>
        <w:t xml:space="preserve">、 </w:t>
      </w:r>
      <w:r>
        <w:t>注册安全工程师</w:t>
      </w:r>
      <w:r>
        <w:rPr>
          <w:rFonts w:hint="eastAsia" w:ascii="MS UI Gothic" w:eastAsia="MS UI Gothic"/>
          <w:w w:val="80"/>
        </w:rPr>
        <w:t xml:space="preserve">、 </w:t>
      </w:r>
      <w:r>
        <w:t>委托相关技术服务机构为其提供安全生产管理服务</w:t>
      </w:r>
      <w:r>
        <w:rPr>
          <w:rFonts w:hint="eastAsia" w:ascii="MS UI Gothic" w:eastAsia="MS UI Gothic"/>
          <w:w w:val="80"/>
        </w:rPr>
        <w:t>ꎮ</w:t>
      </w:r>
    </w:p>
    <w:p>
      <w:pPr>
        <w:pStyle w:val="6"/>
        <w:spacing w:line="292" w:lineRule="auto"/>
        <w:ind w:left="383" w:right="126"/>
        <w:rPr>
          <w:rFonts w:hint="eastAsia" w:ascii="MS UI Gothic" w:eastAsia="MS UI Gothic"/>
        </w:rPr>
      </w:pPr>
      <w:r>
        <w:t xml:space="preserve">第七条 小型露天采石场新进矿山的作业人员应当接受不少于 </w:t>
      </w:r>
      <w:r>
        <w:rPr>
          <w:rFonts w:hint="eastAsia" w:ascii="MS UI Gothic" w:eastAsia="MS UI Gothic"/>
          <w:w w:val="85"/>
        </w:rPr>
        <w:t xml:space="preserve">４０ </w:t>
      </w:r>
      <w:r>
        <w:t>小时的安全培训</w:t>
      </w:r>
      <w:r>
        <w:rPr>
          <w:rFonts w:hint="eastAsia" w:ascii="MS UI Gothic" w:eastAsia="MS UI Gothic"/>
          <w:w w:val="85"/>
        </w:rPr>
        <w:t xml:space="preserve">ꎬ </w:t>
      </w:r>
      <w:r>
        <w:t xml:space="preserve">已在岗的作业人员应当每年接受不少于 </w:t>
      </w:r>
      <w:r>
        <w:rPr>
          <w:rFonts w:hint="eastAsia" w:ascii="MS UI Gothic" w:eastAsia="MS UI Gothic"/>
          <w:w w:val="85"/>
        </w:rPr>
        <w:t xml:space="preserve">２０ </w:t>
      </w:r>
      <w:r>
        <w:t>小时的安全再培训</w:t>
      </w:r>
      <w:r>
        <w:rPr>
          <w:rFonts w:hint="eastAsia" w:ascii="MS UI Gothic" w:eastAsia="MS UI Gothic"/>
          <w:w w:val="85"/>
        </w:rPr>
        <w:t>ꎮ</w:t>
      </w:r>
    </w:p>
    <w:p>
      <w:pPr>
        <w:pStyle w:val="6"/>
        <w:spacing w:line="292" w:lineRule="auto"/>
        <w:ind w:left="383" w:right="126"/>
        <w:rPr>
          <w:rFonts w:hint="eastAsia" w:ascii="MS UI Gothic" w:eastAsia="MS UI Gothic"/>
        </w:rPr>
      </w:pPr>
      <w:r>
        <w:t>特种作业人员必须按照国家有关规定经专门的安全技术培训并考核合格</w:t>
      </w:r>
      <w:r>
        <w:rPr>
          <w:rFonts w:hint="eastAsia" w:ascii="MS UI Gothic" w:eastAsia="MS UI Gothic"/>
          <w:w w:val="80"/>
        </w:rPr>
        <w:t xml:space="preserve">ꎬ </w:t>
      </w:r>
      <w:r>
        <w:t>取得特种作业操作证书后</w:t>
      </w:r>
      <w:r>
        <w:rPr>
          <w:rFonts w:hint="eastAsia" w:ascii="MS UI Gothic" w:eastAsia="MS UI Gothic"/>
          <w:w w:val="80"/>
        </w:rPr>
        <w:t xml:space="preserve">ꎬ </w:t>
      </w:r>
      <w:r>
        <w:t>方可上岗作业</w:t>
      </w:r>
      <w:r>
        <w:rPr>
          <w:rFonts w:hint="eastAsia" w:ascii="MS UI Gothic" w:eastAsia="MS UI Gothic"/>
          <w:w w:val="80"/>
        </w:rPr>
        <w:t>ꎮ</w:t>
      </w:r>
    </w:p>
    <w:p>
      <w:pPr>
        <w:pStyle w:val="6"/>
        <w:spacing w:line="292" w:lineRule="auto"/>
        <w:ind w:left="383" w:right="126"/>
        <w:rPr>
          <w:rFonts w:hint="eastAsia" w:ascii="MS UI Gothic" w:eastAsia="MS UI Gothic"/>
        </w:rPr>
      </w:pPr>
      <w:r>
        <w:t>第八条 小型露天采石场必须参加工伤保险</w:t>
      </w:r>
      <w:r>
        <w:rPr>
          <w:rFonts w:hint="eastAsia" w:ascii="MS UI Gothic" w:eastAsia="MS UI Gothic"/>
          <w:w w:val="80"/>
        </w:rPr>
        <w:t xml:space="preserve">ꎬ </w:t>
      </w:r>
      <w:r>
        <w:t>按照国家有关规定提取和使用安全生产费用</w:t>
      </w:r>
      <w:r>
        <w:rPr>
          <w:rFonts w:hint="eastAsia" w:ascii="MS UI Gothic" w:eastAsia="MS UI Gothic"/>
          <w:w w:val="80"/>
        </w:rPr>
        <w:t>ꎮ</w:t>
      </w:r>
    </w:p>
    <w:p>
      <w:pPr>
        <w:pStyle w:val="6"/>
        <w:spacing w:line="292" w:lineRule="auto"/>
        <w:ind w:left="383" w:right="124"/>
        <w:rPr>
          <w:rFonts w:hint="eastAsia" w:ascii="MS UI Gothic" w:eastAsia="MS UI Gothic"/>
        </w:rPr>
      </w:pPr>
      <w:r>
        <w:t>第九条 新建</w:t>
      </w:r>
      <w:r>
        <w:rPr>
          <w:rFonts w:hint="eastAsia" w:ascii="MS UI Gothic" w:eastAsia="MS UI Gothic"/>
          <w:w w:val="80"/>
        </w:rPr>
        <w:t xml:space="preserve">、 </w:t>
      </w:r>
      <w:r>
        <w:t>改建</w:t>
      </w:r>
      <w:r>
        <w:rPr>
          <w:rFonts w:hint="eastAsia" w:ascii="MS UI Gothic" w:eastAsia="MS UI Gothic"/>
          <w:w w:val="80"/>
        </w:rPr>
        <w:t xml:space="preserve">、  </w:t>
      </w:r>
      <w:r>
        <w:t>扩建小型露天采石场应当由具有建设主管部门认定资质的设计单位编制开采设计或者开采方案</w:t>
      </w:r>
      <w:r>
        <w:rPr>
          <w:rFonts w:hint="eastAsia" w:ascii="MS UI Gothic" w:eastAsia="MS UI Gothic"/>
          <w:w w:val="80"/>
        </w:rPr>
        <w:t>ꎮ</w:t>
      </w:r>
      <w:r>
        <w:t>采石场布置和开采方式发生重大变化时</w:t>
      </w:r>
      <w:r>
        <w:rPr>
          <w:rFonts w:hint="eastAsia" w:ascii="MS UI Gothic" w:eastAsia="MS UI Gothic"/>
          <w:w w:val="80"/>
        </w:rPr>
        <w:t>ꎬ</w:t>
      </w:r>
      <w:r>
        <w:t>应当重新编制开采设计或者开采方案</w:t>
      </w:r>
      <w:r>
        <w:rPr>
          <w:rFonts w:hint="eastAsia" w:ascii="MS UI Gothic" w:eastAsia="MS UI Gothic"/>
          <w:w w:val="80"/>
        </w:rPr>
        <w:t xml:space="preserve">ꎬ </w:t>
      </w:r>
      <w:r>
        <w:t>并由原审查部门审查批准</w:t>
      </w:r>
      <w:r>
        <w:rPr>
          <w:rFonts w:hint="eastAsia" w:ascii="MS UI Gothic" w:eastAsia="MS UI Gothic"/>
          <w:w w:val="80"/>
        </w:rPr>
        <w:t>ꎮ</w:t>
      </w:r>
    </w:p>
    <w:p>
      <w:pPr>
        <w:pStyle w:val="6"/>
        <w:spacing w:line="292" w:lineRule="auto"/>
        <w:ind w:left="383" w:right="126"/>
        <w:rPr>
          <w:rFonts w:hint="eastAsia" w:ascii="MS UI Gothic" w:eastAsia="MS UI Gothic"/>
        </w:rPr>
      </w:pPr>
      <w:r>
        <w:rPr>
          <w:w w:val="105"/>
        </w:rPr>
        <w:t>第十条 小型露天采石场新建</w:t>
      </w:r>
      <w:r>
        <w:rPr>
          <w:rFonts w:hint="eastAsia" w:ascii="MS UI Gothic" w:eastAsia="MS UI Gothic"/>
          <w:w w:val="80"/>
        </w:rPr>
        <w:t xml:space="preserve">、 </w:t>
      </w:r>
      <w:r>
        <w:rPr>
          <w:w w:val="105"/>
        </w:rPr>
        <w:t>改建</w:t>
      </w:r>
      <w:r>
        <w:rPr>
          <w:rFonts w:hint="eastAsia" w:ascii="MS UI Gothic" w:eastAsia="MS UI Gothic"/>
          <w:w w:val="80"/>
        </w:rPr>
        <w:t xml:space="preserve">、 </w:t>
      </w:r>
      <w:r>
        <w:rPr>
          <w:w w:val="105"/>
        </w:rPr>
        <w:t>扩建工程项目安全设施应当按照规定履行设计审查和竣工验收审批程序</w:t>
      </w:r>
      <w:r>
        <w:rPr>
          <w:rFonts w:hint="eastAsia" w:ascii="MS UI Gothic" w:eastAsia="MS UI Gothic"/>
          <w:w w:val="80"/>
        </w:rPr>
        <w:t>ꎮ</w:t>
      </w:r>
    </w:p>
    <w:p>
      <w:pPr>
        <w:pStyle w:val="6"/>
        <w:spacing w:line="292" w:lineRule="auto"/>
        <w:ind w:left="383" w:right="126"/>
        <w:rPr>
          <w:rFonts w:hint="eastAsia" w:ascii="MS UI Gothic" w:eastAsia="MS UI Gothic"/>
        </w:rPr>
      </w:pPr>
      <w:r>
        <w:rPr>
          <w:spacing w:val="2"/>
        </w:rPr>
        <w:t>对于不需要进行上部剥离作业的新建</w:t>
      </w:r>
      <w:r>
        <w:rPr>
          <w:spacing w:val="12"/>
        </w:rPr>
        <w:t>小型露天采石场</w:t>
      </w:r>
      <w:r>
        <w:rPr>
          <w:rFonts w:hint="eastAsia" w:ascii="MS UI Gothic" w:eastAsia="MS UI Gothic"/>
          <w:spacing w:val="23"/>
          <w:w w:val="80"/>
        </w:rPr>
        <w:t xml:space="preserve">ꎬ </w:t>
      </w:r>
      <w:r>
        <w:rPr>
          <w:spacing w:val="16"/>
        </w:rPr>
        <w:t>符合有关安全生产法</w:t>
      </w:r>
      <w:r>
        <w:rPr>
          <w:spacing w:val="3"/>
        </w:rPr>
        <w:t>律</w:t>
      </w:r>
      <w:r>
        <w:rPr>
          <w:rFonts w:hint="eastAsia" w:ascii="MS UI Gothic" w:eastAsia="MS UI Gothic"/>
          <w:spacing w:val="7"/>
          <w:w w:val="80"/>
        </w:rPr>
        <w:t xml:space="preserve">、 </w:t>
      </w:r>
      <w:r>
        <w:rPr>
          <w:spacing w:val="3"/>
        </w:rPr>
        <w:t>法规</w:t>
      </w:r>
      <w:r>
        <w:rPr>
          <w:rFonts w:hint="eastAsia" w:ascii="MS UI Gothic" w:eastAsia="MS UI Gothic"/>
          <w:spacing w:val="7"/>
          <w:w w:val="80"/>
        </w:rPr>
        <w:t xml:space="preserve">、 </w:t>
      </w:r>
      <w:r>
        <w:rPr>
          <w:spacing w:val="3"/>
        </w:rPr>
        <w:t>标准要求</w:t>
      </w:r>
      <w:r>
        <w:rPr>
          <w:rFonts w:hint="eastAsia" w:ascii="MS UI Gothic" w:eastAsia="MS UI Gothic"/>
          <w:spacing w:val="7"/>
          <w:w w:val="80"/>
        </w:rPr>
        <w:t xml:space="preserve">ꎬ </w:t>
      </w:r>
      <w:r>
        <w:rPr>
          <w:spacing w:val="2"/>
        </w:rPr>
        <w:t>经安全生产监督管</w:t>
      </w:r>
      <w:r>
        <w:rPr>
          <w:spacing w:val="3"/>
        </w:rPr>
        <w:t>理部门检查同意</w:t>
      </w:r>
      <w:r>
        <w:rPr>
          <w:rFonts w:hint="eastAsia" w:ascii="MS UI Gothic" w:eastAsia="MS UI Gothic"/>
          <w:spacing w:val="20"/>
          <w:w w:val="80"/>
        </w:rPr>
        <w:t xml:space="preserve">ꎬ </w:t>
      </w:r>
      <w:r>
        <w:rPr>
          <w:spacing w:val="2"/>
        </w:rPr>
        <w:t>可以不进行安全设施竣</w:t>
      </w:r>
      <w:r>
        <w:rPr>
          <w:spacing w:val="5"/>
        </w:rPr>
        <w:t>工验收</w:t>
      </w:r>
      <w:r>
        <w:rPr>
          <w:rFonts w:hint="eastAsia" w:ascii="MS UI Gothic" w:eastAsia="MS UI Gothic"/>
          <w:spacing w:val="23"/>
          <w:w w:val="80"/>
        </w:rPr>
        <w:t xml:space="preserve">ꎬ </w:t>
      </w:r>
      <w:r>
        <w:rPr>
          <w:spacing w:val="17"/>
        </w:rPr>
        <w:t>直接依法申请领取安全生产许</w:t>
      </w:r>
      <w:r>
        <w:rPr>
          <w:spacing w:val="3"/>
        </w:rPr>
        <w:t>可证</w:t>
      </w:r>
      <w:r>
        <w:rPr>
          <w:rFonts w:hint="eastAsia" w:ascii="MS UI Gothic" w:eastAsia="MS UI Gothic"/>
          <w:w w:val="80"/>
        </w:rPr>
        <w:t>ꎮ</w:t>
      </w:r>
    </w:p>
    <w:p>
      <w:pPr>
        <w:pStyle w:val="6"/>
        <w:spacing w:line="292" w:lineRule="auto"/>
        <w:ind w:left="383" w:right="126"/>
        <w:rPr>
          <w:rFonts w:hint="eastAsia" w:ascii="MS UI Gothic" w:eastAsia="MS UI Gothic"/>
        </w:rPr>
      </w:pPr>
      <w:r>
        <w:rPr>
          <w:spacing w:val="4"/>
        </w:rPr>
        <w:t>第十一条 小型露天采石场应当依法</w:t>
      </w:r>
      <w:r>
        <w:rPr>
          <w:spacing w:val="3"/>
        </w:rPr>
        <w:t>取得非煤矿矿山企业安全生产许可证</w:t>
      </w:r>
      <w:r>
        <w:rPr>
          <w:rFonts w:hint="eastAsia" w:ascii="MS UI Gothic" w:eastAsia="MS UI Gothic"/>
          <w:spacing w:val="20"/>
          <w:w w:val="80"/>
        </w:rPr>
        <w:t xml:space="preserve">ꎮ </w:t>
      </w:r>
      <w:r>
        <w:t>未</w:t>
      </w:r>
      <w:r>
        <w:rPr>
          <w:spacing w:val="12"/>
        </w:rPr>
        <w:t>取得安全生产许可证的</w:t>
      </w:r>
      <w:r>
        <w:rPr>
          <w:rFonts w:hint="eastAsia" w:ascii="MS UI Gothic" w:eastAsia="MS UI Gothic"/>
          <w:spacing w:val="23"/>
          <w:w w:val="80"/>
        </w:rPr>
        <w:t xml:space="preserve">ꎬ </w:t>
      </w:r>
      <w:r>
        <w:rPr>
          <w:spacing w:val="15"/>
        </w:rPr>
        <w:t>不得从事生产</w:t>
      </w:r>
      <w:r>
        <w:rPr>
          <w:spacing w:val="3"/>
        </w:rPr>
        <w:t>活动</w:t>
      </w:r>
      <w:r>
        <w:rPr>
          <w:rFonts w:hint="eastAsia" w:ascii="MS UI Gothic" w:eastAsia="MS UI Gothic"/>
          <w:w w:val="80"/>
        </w:rPr>
        <w:t>ꎮ</w:t>
      </w:r>
    </w:p>
    <w:p>
      <w:pPr>
        <w:pStyle w:val="6"/>
        <w:spacing w:line="292" w:lineRule="auto"/>
        <w:ind w:left="383" w:right="126"/>
      </w:pPr>
      <w:r>
        <w:t>在安全生产许可证有效期内采矿许可证到期失效的</w:t>
      </w:r>
      <w:r>
        <w:rPr>
          <w:rFonts w:hint="eastAsia" w:ascii="MS UI Gothic" w:eastAsia="MS UI Gothic"/>
          <w:w w:val="85"/>
        </w:rPr>
        <w:t xml:space="preserve">ꎬ </w:t>
      </w:r>
      <w:r>
        <w:t xml:space="preserve">小型露天采石场应当在采矿许可证到期前 </w:t>
      </w:r>
      <w:r>
        <w:rPr>
          <w:rFonts w:hint="eastAsia" w:ascii="MS UI Gothic" w:eastAsia="MS UI Gothic"/>
          <w:w w:val="85"/>
        </w:rPr>
        <w:t xml:space="preserve">１５ </w:t>
      </w:r>
      <w:r>
        <w:t>日内向原安全生产许可证颁发管理机关报告</w:t>
      </w:r>
      <w:r>
        <w:rPr>
          <w:rFonts w:hint="eastAsia" w:ascii="MS UI Gothic" w:eastAsia="MS UI Gothic"/>
          <w:w w:val="85"/>
        </w:rPr>
        <w:t xml:space="preserve">ꎬ </w:t>
      </w:r>
      <w:r>
        <w:t>并交回安全生产</w:t>
      </w:r>
    </w:p>
    <w:p>
      <w:pPr>
        <w:spacing w:after="0" w:line="292" w:lineRule="auto"/>
        <w:sectPr>
          <w:type w:val="continuous"/>
          <w:pgSz w:w="10500" w:h="14750"/>
          <w:pgMar w:top="1400" w:right="980" w:bottom="280" w:left="980" w:header="720" w:footer="720" w:gutter="0"/>
          <w:cols w:equalWidth="0" w:num="2">
            <w:col w:w="4210" w:space="40"/>
            <w:col w:w="4290"/>
          </w:cols>
        </w:sectPr>
      </w:pPr>
    </w:p>
    <w:p>
      <w:pPr>
        <w:tabs>
          <w:tab w:val="left" w:pos="2426"/>
        </w:tabs>
        <w:spacing w:before="162"/>
        <w:ind w:left="280" w:right="0" w:firstLine="0"/>
        <w:jc w:val="left"/>
        <w:rPr>
          <w:rFonts w:hint="eastAsia" w:ascii="Microsoft Yi Baiti" w:eastAsia="Microsoft Yi Baiti"/>
          <w:sz w:val="17"/>
        </w:rPr>
      </w:pPr>
      <w:r>
        <w:pict>
          <v:group id="_x0000_s2247" o:spid="_x0000_s2247" o:spt="203" style="position:absolute;left:0pt;margin-left:55.1pt;margin-top:23.85pt;height:2.15pt;width:398.25pt;mso-position-horizontal-relative:page;mso-wrap-distance-bottom:0pt;mso-wrap-distance-top:0pt;z-index:-251162624;mso-width-relative:page;mso-height-relative:page;" coordorigin="1103,477" coordsize="7965,43">
            <o:lock v:ext="edit"/>
            <v:line id="_x0000_s2248" o:spid="_x0000_s2248" o:spt="20" style="position:absolute;left:1103;top:516;height:0;width:7964;" stroked="t" coordsize="21600,21600">
              <v:path arrowok="t"/>
              <v:fill focussize="0,0"/>
              <v:stroke weight="0.388031496062992pt" color="#231F20"/>
              <v:imagedata o:title=""/>
              <o:lock v:ext="edit"/>
            </v:line>
            <v:line id="_x0000_s2249" o:spid="_x0000_s2249"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４１６</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316"/>
        </w:tabs>
        <w:spacing w:before="163" w:line="240" w:lineRule="exact"/>
        <w:ind w:firstLine="0"/>
        <w:jc w:val="left"/>
      </w:pPr>
      <w:r>
        <w:rPr>
          <w:spacing w:val="3"/>
        </w:rPr>
        <w:t>许可证正本和副本</w:t>
      </w:r>
      <w:r>
        <w:rPr>
          <w:rFonts w:hint="eastAsia" w:ascii="MS UI Gothic" w:eastAsia="MS UI Gothic"/>
          <w:w w:val="80"/>
        </w:rPr>
        <w:t>ꎮ</w:t>
      </w:r>
      <w:r>
        <w:rPr>
          <w:rFonts w:hint="eastAsia" w:ascii="MS UI Gothic" w:eastAsia="MS UI Gothic"/>
          <w:w w:val="80"/>
        </w:rPr>
        <w:tab/>
      </w:r>
      <w:r>
        <w:rPr>
          <w:spacing w:val="3"/>
        </w:rPr>
        <w:t>规定</w:t>
      </w:r>
      <w:r>
        <w:rPr>
          <w:rFonts w:hint="eastAsia" w:ascii="MS UI Gothic" w:eastAsia="MS UI Gothic"/>
          <w:w w:val="80"/>
        </w:rPr>
        <w:t>ꎬ</w:t>
      </w:r>
      <w:r>
        <w:rPr>
          <w:rFonts w:hint="eastAsia" w:ascii="MS UI Gothic" w:eastAsia="MS UI Gothic"/>
          <w:spacing w:val="15"/>
          <w:w w:val="80"/>
        </w:rPr>
        <w:t xml:space="preserve"> </w:t>
      </w:r>
      <w:r>
        <w:rPr>
          <w:spacing w:val="3"/>
        </w:rPr>
        <w:t>由具有相应资格的爆破作业人员</w:t>
      </w:r>
      <w:r>
        <w:t>进</w:t>
      </w:r>
    </w:p>
    <w:p>
      <w:pPr>
        <w:spacing w:after="0" w:line="240" w:lineRule="exact"/>
        <w:jc w:val="left"/>
        <w:sectPr>
          <w:pgSz w:w="10500" w:h="14750"/>
          <w:pgMar w:top="960" w:right="980" w:bottom="280" w:left="980" w:header="720" w:footer="720" w:gutter="0"/>
        </w:sectPr>
      </w:pPr>
    </w:p>
    <w:p>
      <w:pPr>
        <w:pStyle w:val="6"/>
        <w:spacing w:before="74" w:line="295" w:lineRule="auto"/>
        <w:ind w:right="38"/>
        <w:rPr>
          <w:rFonts w:hint="eastAsia" w:ascii="MS UI Gothic" w:eastAsia="MS UI Gothic"/>
        </w:rPr>
      </w:pPr>
      <w:r>
        <w:rPr>
          <w:w w:val="95"/>
        </w:rPr>
        <w:t xml:space="preserve">第十二条   相邻的采石场开采范围之间最小距离应当大于 </w:t>
      </w:r>
      <w:r>
        <w:rPr>
          <w:rFonts w:hint="eastAsia" w:ascii="MS UI Gothic" w:eastAsia="MS UI Gothic"/>
          <w:w w:val="95"/>
        </w:rPr>
        <w:t xml:space="preserve">３００ </w:t>
      </w:r>
      <w:r>
        <w:rPr>
          <w:w w:val="95"/>
        </w:rPr>
        <w:t>米</w:t>
      </w:r>
      <w:r>
        <w:rPr>
          <w:rFonts w:hint="eastAsia" w:ascii="MS UI Gothic" w:eastAsia="MS UI Gothic"/>
          <w:w w:val="90"/>
        </w:rPr>
        <w:t xml:space="preserve">ꎮ </w:t>
      </w:r>
      <w:r>
        <w:rPr>
          <w:w w:val="95"/>
        </w:rPr>
        <w:t>对可能危及对方生产安全的</w:t>
      </w:r>
      <w:r>
        <w:rPr>
          <w:rFonts w:hint="eastAsia" w:ascii="MS UI Gothic" w:eastAsia="MS UI Gothic"/>
          <w:w w:val="90"/>
        </w:rPr>
        <w:t xml:space="preserve">ꎬ  </w:t>
      </w:r>
      <w:r>
        <w:rPr>
          <w:w w:val="95"/>
        </w:rPr>
        <w:t>双方应当签订安全生产管理协议</w:t>
      </w:r>
      <w:r>
        <w:rPr>
          <w:rFonts w:hint="eastAsia" w:ascii="MS UI Gothic" w:eastAsia="MS UI Gothic"/>
          <w:w w:val="90"/>
        </w:rPr>
        <w:t xml:space="preserve">ꎬ  </w:t>
      </w:r>
      <w:r>
        <w:rPr>
          <w:w w:val="95"/>
        </w:rPr>
        <w:t>明确各自的安全生产管理职责和应当采取的安全措施</w:t>
      </w:r>
      <w:r>
        <w:rPr>
          <w:rFonts w:hint="eastAsia" w:ascii="MS UI Gothic" w:eastAsia="MS UI Gothic"/>
          <w:w w:val="90"/>
        </w:rPr>
        <w:t xml:space="preserve">ꎬ  </w:t>
      </w:r>
      <w:r>
        <w:rPr>
          <w:w w:val="95"/>
        </w:rPr>
        <w:t>指定专门人员进行安全检查与协调</w:t>
      </w:r>
      <w:r>
        <w:rPr>
          <w:rFonts w:hint="eastAsia" w:ascii="MS UI Gothic" w:eastAsia="MS UI Gothic"/>
          <w:w w:val="90"/>
        </w:rPr>
        <w:t>ꎮ</w:t>
      </w:r>
    </w:p>
    <w:p>
      <w:pPr>
        <w:pStyle w:val="6"/>
        <w:spacing w:line="295" w:lineRule="auto"/>
        <w:ind w:right="38"/>
        <w:rPr>
          <w:rFonts w:hint="eastAsia" w:ascii="MS UI Gothic" w:hAnsi="MS UI Gothic" w:eastAsia="MS UI Gothic"/>
        </w:rPr>
      </w:pPr>
      <w:r>
        <w:t>第十三条 小型露天采石场应当采用中深孔爆破</w:t>
      </w:r>
      <w:r>
        <w:rPr>
          <w:rFonts w:hint="eastAsia" w:ascii="MS UI Gothic" w:hAnsi="MS UI Gothic" w:eastAsia="MS UI Gothic"/>
          <w:w w:val="80"/>
        </w:rPr>
        <w:t xml:space="preserve">ꎬ </w:t>
      </w:r>
      <w:r>
        <w:t>严禁采用扩壶爆破</w:t>
      </w:r>
      <w:r>
        <w:rPr>
          <w:rFonts w:hint="eastAsia" w:ascii="MS UI Gothic" w:hAnsi="MS UI Gothic" w:eastAsia="MS UI Gothic"/>
          <w:w w:val="80"/>
        </w:rPr>
        <w:t xml:space="preserve">、 </w:t>
      </w:r>
      <w:r>
        <w:t>掏底崩落</w:t>
      </w:r>
      <w:r>
        <w:rPr>
          <w:rFonts w:hint="eastAsia" w:ascii="MS UI Gothic" w:hAnsi="MS UI Gothic" w:eastAsia="MS UI Gothic"/>
          <w:w w:val="80"/>
        </w:rPr>
        <w:t xml:space="preserve">、 </w:t>
      </w:r>
      <w:r>
        <w:t xml:space="preserve">掏挖开采和不分层的 </w:t>
      </w:r>
      <w:r>
        <w:rPr>
          <w:rFonts w:hint="eastAsia" w:ascii="MS UI Gothic" w:hAnsi="MS UI Gothic" w:eastAsia="MS UI Gothic"/>
        </w:rPr>
        <w:t xml:space="preserve">“ </w:t>
      </w:r>
      <w:r>
        <w:t>一面墙</w:t>
      </w:r>
      <w:r>
        <w:rPr>
          <w:rFonts w:hint="eastAsia" w:ascii="MS UI Gothic" w:hAnsi="MS UI Gothic" w:eastAsia="MS UI Gothic"/>
        </w:rPr>
        <w:t xml:space="preserve">” </w:t>
      </w:r>
      <w:r>
        <w:t>等开采方式</w:t>
      </w:r>
      <w:r>
        <w:rPr>
          <w:rFonts w:hint="eastAsia" w:ascii="MS UI Gothic" w:hAnsi="MS UI Gothic" w:eastAsia="MS UI Gothic"/>
          <w:w w:val="80"/>
        </w:rPr>
        <w:t>ꎮ</w:t>
      </w:r>
    </w:p>
    <w:p>
      <w:pPr>
        <w:pStyle w:val="6"/>
        <w:spacing w:line="295" w:lineRule="auto"/>
        <w:ind w:right="38"/>
        <w:rPr>
          <w:rFonts w:hint="eastAsia" w:ascii="MS UI Gothic" w:eastAsia="MS UI Gothic"/>
        </w:rPr>
      </w:pPr>
      <w:r>
        <w:t>不具备实施中深孔爆破条 件的</w:t>
      </w:r>
      <w:r>
        <w:rPr>
          <w:rFonts w:hint="eastAsia" w:ascii="MS UI Gothic" w:eastAsia="MS UI Gothic"/>
          <w:w w:val="80"/>
        </w:rPr>
        <w:t xml:space="preserve">ꎬ </w:t>
      </w:r>
      <w:r>
        <w:t>由所在地安全生产监督管理部门聘请有关专家进行论证</w:t>
      </w:r>
      <w:r>
        <w:rPr>
          <w:rFonts w:hint="eastAsia" w:ascii="MS UI Gothic" w:eastAsia="MS UI Gothic"/>
          <w:w w:val="80"/>
        </w:rPr>
        <w:t xml:space="preserve">ꎬ </w:t>
      </w:r>
      <w:r>
        <w:t>经论证符合要求的</w:t>
      </w:r>
      <w:r>
        <w:rPr>
          <w:rFonts w:hint="eastAsia" w:ascii="MS UI Gothic" w:eastAsia="MS UI Gothic"/>
          <w:w w:val="80"/>
        </w:rPr>
        <w:t xml:space="preserve">ꎬ </w:t>
      </w:r>
      <w:r>
        <w:t>方可采用浅孔爆破开采</w:t>
      </w:r>
      <w:r>
        <w:rPr>
          <w:rFonts w:hint="eastAsia" w:ascii="MS UI Gothic" w:eastAsia="MS UI Gothic"/>
          <w:w w:val="80"/>
        </w:rPr>
        <w:t>ꎮ</w:t>
      </w:r>
    </w:p>
    <w:p>
      <w:pPr>
        <w:pStyle w:val="6"/>
        <w:spacing w:line="295" w:lineRule="auto"/>
        <w:ind w:right="38"/>
        <w:jc w:val="left"/>
        <w:rPr>
          <w:rFonts w:hint="eastAsia" w:ascii="MS UI Gothic" w:eastAsia="MS UI Gothic"/>
        </w:rPr>
      </w:pPr>
      <w:r>
        <w:rPr>
          <w:spacing w:val="2"/>
        </w:rPr>
        <w:t xml:space="preserve">小型露天采石场实施中深孔爆破条  </w:t>
      </w:r>
      <w:r>
        <w:rPr>
          <w:spacing w:val="3"/>
        </w:rPr>
        <w:t>件的审核办法</w:t>
      </w:r>
      <w:r>
        <w:rPr>
          <w:rFonts w:hint="eastAsia" w:ascii="MS UI Gothic" w:eastAsia="MS UI Gothic"/>
          <w:spacing w:val="21"/>
          <w:w w:val="80"/>
        </w:rPr>
        <w:t xml:space="preserve">ꎬ </w:t>
      </w:r>
      <w:r>
        <w:rPr>
          <w:spacing w:val="2"/>
        </w:rPr>
        <w:t>由省级安全生产监督管理</w:t>
      </w:r>
      <w:r>
        <w:rPr>
          <w:spacing w:val="3"/>
        </w:rPr>
        <w:t>部门制定</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第十四条 不采用爆破方式直接使用</w:t>
      </w:r>
      <w:r>
        <w:t>挖掘机进行采矿作业的</w:t>
      </w:r>
      <w:r>
        <w:rPr>
          <w:rFonts w:hint="eastAsia" w:ascii="MS UI Gothic" w:eastAsia="MS UI Gothic"/>
          <w:w w:val="80"/>
        </w:rPr>
        <w:t xml:space="preserve">ꎬ </w:t>
      </w:r>
      <w:r>
        <w:t>台阶高度不得超</w:t>
      </w:r>
      <w:r>
        <w:rPr>
          <w:w w:val="105"/>
        </w:rPr>
        <w:t>过挖掘机最大挖掘高度</w:t>
      </w:r>
      <w:r>
        <w:rPr>
          <w:rFonts w:hint="eastAsia" w:ascii="MS UI Gothic" w:eastAsia="MS UI Gothic"/>
          <w:w w:val="80"/>
        </w:rPr>
        <w:t>ꎮ</w:t>
      </w:r>
    </w:p>
    <w:p>
      <w:pPr>
        <w:pStyle w:val="6"/>
        <w:spacing w:line="295" w:lineRule="auto"/>
        <w:ind w:right="38"/>
      </w:pPr>
      <w:r>
        <w:t>第十五条 小型露天采石场应当采用台阶式开采</w:t>
      </w:r>
      <w:r>
        <w:rPr>
          <w:rFonts w:hint="eastAsia" w:ascii="MS UI Gothic" w:eastAsia="MS UI Gothic"/>
          <w:w w:val="80"/>
        </w:rPr>
        <w:t xml:space="preserve">ꎮ </w:t>
      </w:r>
      <w:r>
        <w:t>不能采用台阶式开采的</w:t>
      </w:r>
      <w:r>
        <w:rPr>
          <w:rFonts w:hint="eastAsia" w:ascii="MS UI Gothic" w:eastAsia="MS UI Gothic"/>
          <w:w w:val="80"/>
        </w:rPr>
        <w:t xml:space="preserve">ꎬ </w:t>
      </w:r>
      <w:r>
        <w:t>应</w:t>
      </w:r>
    </w:p>
    <w:p>
      <w:pPr>
        <w:pStyle w:val="6"/>
        <w:spacing w:line="238" w:lineRule="exact"/>
        <w:ind w:firstLine="0"/>
        <w:jc w:val="left"/>
        <w:rPr>
          <w:rFonts w:hint="eastAsia" w:ascii="MS UI Gothic" w:eastAsia="MS UI Gothic"/>
        </w:rPr>
      </w:pPr>
      <w:r>
        <w:t>当自上而下分层顺序开采</w:t>
      </w:r>
      <w:r>
        <w:rPr>
          <w:rFonts w:hint="eastAsia" w:ascii="MS UI Gothic" w:eastAsia="MS UI Gothic"/>
          <w:w w:val="80"/>
        </w:rPr>
        <w:t>ꎮ</w:t>
      </w:r>
    </w:p>
    <w:p>
      <w:pPr>
        <w:pStyle w:val="6"/>
        <w:spacing w:before="74" w:line="295" w:lineRule="auto"/>
        <w:ind w:right="442" w:firstLine="0"/>
        <w:rPr>
          <w:rFonts w:hint="eastAsia" w:ascii="MS UI Gothic" w:eastAsia="MS UI Gothic"/>
        </w:rPr>
      </w:pPr>
      <w:r>
        <w:br w:type="column"/>
      </w:r>
      <w:r>
        <w:t>行爆破</w:t>
      </w:r>
      <w:r>
        <w:rPr>
          <w:rFonts w:hint="eastAsia" w:ascii="MS UI Gothic" w:eastAsia="MS UI Gothic"/>
          <w:w w:val="80"/>
        </w:rPr>
        <w:t xml:space="preserve">ꎬ </w:t>
      </w:r>
      <w:r>
        <w:t>设置爆破警戒范围</w:t>
      </w:r>
      <w:r>
        <w:rPr>
          <w:rFonts w:hint="eastAsia" w:ascii="MS UI Gothic" w:eastAsia="MS UI Gothic"/>
          <w:w w:val="80"/>
        </w:rPr>
        <w:t xml:space="preserve">ꎬ </w:t>
      </w:r>
      <w:r>
        <w:t>实行定时爆破制度</w:t>
      </w:r>
      <w:r>
        <w:rPr>
          <w:rFonts w:hint="eastAsia" w:ascii="MS UI Gothic" w:eastAsia="MS UI Gothic"/>
          <w:w w:val="80"/>
        </w:rPr>
        <w:t xml:space="preserve">ꎮ </w:t>
      </w:r>
      <w:r>
        <w:t>不得在爆破警戒范围内避炮</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禁止在雷雨</w:t>
      </w:r>
      <w:r>
        <w:rPr>
          <w:rFonts w:hint="eastAsia" w:ascii="MS UI Gothic" w:eastAsia="MS UI Gothic"/>
          <w:spacing w:val="20"/>
          <w:w w:val="80"/>
        </w:rPr>
        <w:t xml:space="preserve">、 </w:t>
      </w:r>
      <w:r>
        <w:rPr>
          <w:spacing w:val="3"/>
        </w:rPr>
        <w:t>大雾</w:t>
      </w:r>
      <w:r>
        <w:rPr>
          <w:rFonts w:hint="eastAsia" w:ascii="MS UI Gothic" w:eastAsia="MS UI Gothic"/>
          <w:spacing w:val="20"/>
          <w:w w:val="80"/>
        </w:rPr>
        <w:t xml:space="preserve">、 </w:t>
      </w:r>
      <w:r>
        <w:rPr>
          <w:spacing w:val="2"/>
        </w:rPr>
        <w:t>大风等恶劣天气</w:t>
      </w:r>
      <w:r>
        <w:rPr>
          <w:spacing w:val="3"/>
        </w:rPr>
        <w:t>条 件下进行爆破作业</w:t>
      </w:r>
      <w:r>
        <w:rPr>
          <w:rFonts w:hint="eastAsia" w:ascii="MS UI Gothic" w:eastAsia="MS UI Gothic"/>
          <w:spacing w:val="9"/>
          <w:w w:val="80"/>
        </w:rPr>
        <w:t xml:space="preserve">ꎮ </w:t>
      </w:r>
      <w:r>
        <w:rPr>
          <w:spacing w:val="2"/>
        </w:rPr>
        <w:t>雷电高发地区应</w:t>
      </w:r>
      <w:r>
        <w:rPr>
          <w:spacing w:val="3"/>
        </w:rPr>
        <w:t>当选用非电起爆系统</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第十七条 对爆破后产生的大块矿岩</w:t>
      </w:r>
      <w:r>
        <w:rPr>
          <w:spacing w:val="3"/>
        </w:rPr>
        <w:t>应当采用机械方式进行破碎</w:t>
      </w:r>
      <w:r>
        <w:rPr>
          <w:rFonts w:hint="eastAsia" w:ascii="MS UI Gothic" w:eastAsia="MS UI Gothic"/>
          <w:spacing w:val="20"/>
          <w:w w:val="80"/>
        </w:rPr>
        <w:t xml:space="preserve">ꎬ </w:t>
      </w:r>
      <w:r>
        <w:rPr>
          <w:spacing w:val="2"/>
        </w:rPr>
        <w:t>不得使用爆</w:t>
      </w:r>
      <w:r>
        <w:rPr>
          <w:spacing w:val="3"/>
          <w:w w:val="105"/>
        </w:rPr>
        <w:t>破方式进行二次破碎</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第十八条 承包爆破作业的专业服务</w:t>
      </w:r>
      <w:r>
        <w:t>单位应当取得爆破作业单位许可证</w:t>
      </w:r>
      <w:r>
        <w:rPr>
          <w:rFonts w:hint="eastAsia" w:ascii="MS UI Gothic" w:eastAsia="MS UI Gothic"/>
          <w:w w:val="80"/>
        </w:rPr>
        <w:t xml:space="preserve">ꎬ </w:t>
      </w:r>
      <w:r>
        <w:t>承包采矿和剥离作业的采掘施工单位应当持有</w:t>
      </w:r>
      <w:r>
        <w:rPr>
          <w:w w:val="105"/>
        </w:rPr>
        <w:t>非煤矿矿山企业安全生产许可证</w:t>
      </w:r>
      <w:r>
        <w:rPr>
          <w:rFonts w:hint="eastAsia" w:ascii="MS UI Gothic" w:eastAsia="MS UI Gothic"/>
          <w:w w:val="80"/>
        </w:rPr>
        <w:t>ꎮ</w:t>
      </w:r>
    </w:p>
    <w:p>
      <w:pPr>
        <w:pStyle w:val="6"/>
        <w:spacing w:line="295" w:lineRule="auto"/>
        <w:ind w:right="440"/>
        <w:rPr>
          <w:rFonts w:hint="eastAsia" w:ascii="MS UI Gothic" w:eastAsia="MS UI Gothic"/>
        </w:rPr>
      </w:pPr>
      <w:r>
        <w:t>第十九条 采石场上部需要剥离的</w:t>
      </w:r>
      <w:r>
        <w:rPr>
          <w:rFonts w:hint="eastAsia" w:ascii="MS UI Gothic" w:eastAsia="MS UI Gothic"/>
          <w:w w:val="80"/>
        </w:rPr>
        <w:t>ꎬ</w:t>
      </w:r>
      <w:r>
        <w:t xml:space="preserve">剥离工作面应当超前于开采工作面 </w:t>
      </w:r>
      <w:r>
        <w:rPr>
          <w:rFonts w:hint="eastAsia" w:ascii="MS UI Gothic" w:eastAsia="MS UI Gothic"/>
          <w:w w:val="80"/>
        </w:rPr>
        <w:t xml:space="preserve">４ </w:t>
      </w:r>
      <w:r>
        <w:t>米以上</w:t>
      </w:r>
      <w:r>
        <w:rPr>
          <w:rFonts w:hint="eastAsia" w:ascii="MS UI Gothic" w:eastAsia="MS UI Gothic"/>
          <w:w w:val="80"/>
        </w:rPr>
        <w:t>ꎮ</w:t>
      </w:r>
    </w:p>
    <w:p>
      <w:pPr>
        <w:pStyle w:val="6"/>
        <w:spacing w:line="295" w:lineRule="auto"/>
        <w:ind w:right="442"/>
        <w:rPr>
          <w:rFonts w:hint="eastAsia" w:ascii="MS UI Gothic" w:eastAsia="MS UI Gothic"/>
        </w:rPr>
      </w:pPr>
      <w:r>
        <w:t>第二十条 小型露天采石场在作业前和作业中以及每次爆破后</w:t>
      </w:r>
      <w:r>
        <w:rPr>
          <w:rFonts w:hint="eastAsia" w:ascii="MS UI Gothic" w:eastAsia="MS UI Gothic"/>
          <w:w w:val="80"/>
        </w:rPr>
        <w:t xml:space="preserve">ꎬ </w:t>
      </w:r>
      <w:r>
        <w:t>应当对坡面进行安全检查</w:t>
      </w:r>
      <w:r>
        <w:rPr>
          <w:rFonts w:hint="eastAsia" w:ascii="MS UI Gothic" w:eastAsia="MS UI Gothic"/>
          <w:w w:val="80"/>
        </w:rPr>
        <w:t xml:space="preserve">ꎮ </w:t>
      </w:r>
      <w:r>
        <w:t>发现工作面有裂痕</w:t>
      </w:r>
      <w:r>
        <w:rPr>
          <w:rFonts w:hint="eastAsia" w:ascii="MS UI Gothic" w:eastAsia="MS UI Gothic"/>
          <w:w w:val="80"/>
        </w:rPr>
        <w:t xml:space="preserve">ꎬ </w:t>
      </w:r>
      <w:r>
        <w:t>或者在坡面上有浮石</w:t>
      </w:r>
      <w:r>
        <w:rPr>
          <w:rFonts w:hint="eastAsia" w:ascii="MS UI Gothic" w:eastAsia="MS UI Gothic"/>
          <w:w w:val="80"/>
        </w:rPr>
        <w:t xml:space="preserve">、 </w:t>
      </w:r>
      <w:r>
        <w:t>危石和伞檐体可能塌落时</w:t>
      </w:r>
      <w:r>
        <w:rPr>
          <w:rFonts w:hint="eastAsia" w:ascii="MS UI Gothic" w:eastAsia="MS UI Gothic"/>
          <w:w w:val="80"/>
        </w:rPr>
        <w:t xml:space="preserve">ꎬ </w:t>
      </w:r>
      <w:r>
        <w:t>应当立即停止作业并撤离人员至安全地点</w:t>
      </w:r>
      <w:r>
        <w:rPr>
          <w:rFonts w:hint="eastAsia" w:ascii="MS UI Gothic" w:eastAsia="MS UI Gothic"/>
          <w:w w:val="80"/>
        </w:rPr>
        <w:t xml:space="preserve">ꎬ </w:t>
      </w:r>
      <w:r>
        <w:t>采取安全措施和消除隐患</w:t>
      </w:r>
      <w:r>
        <w:rPr>
          <w:rFonts w:hint="eastAsia" w:ascii="MS UI Gothic" w:eastAsia="MS UI Gothic"/>
          <w:w w:val="80"/>
        </w:rPr>
        <w:t>ꎮ</w:t>
      </w:r>
    </w:p>
    <w:p>
      <w:pPr>
        <w:pStyle w:val="6"/>
        <w:spacing w:line="251" w:lineRule="exact"/>
        <w:ind w:left="543" w:firstLine="0"/>
        <w:jc w:val="left"/>
      </w:pPr>
      <w:r>
        <w:rPr>
          <w:spacing w:val="2"/>
        </w:rPr>
        <w:t>采石场的入口道路及相关危险源点应</w:t>
      </w:r>
    </w:p>
    <w:p>
      <w:pPr>
        <w:pStyle w:val="6"/>
        <w:spacing w:before="46" w:line="240" w:lineRule="exact"/>
        <w:ind w:firstLine="0"/>
      </w:pPr>
      <w:r>
        <w:rPr>
          <w:spacing w:val="3"/>
        </w:rPr>
        <w:t>当设置安全警示标志</w:t>
      </w:r>
      <w:r>
        <w:rPr>
          <w:rFonts w:hint="eastAsia" w:ascii="MS UI Gothic" w:eastAsia="MS UI Gothic"/>
          <w:spacing w:val="15"/>
          <w:w w:val="80"/>
        </w:rPr>
        <w:t xml:space="preserve">ꎬ  </w:t>
      </w:r>
      <w:r>
        <w:rPr>
          <w:spacing w:val="2"/>
        </w:rPr>
        <w:t>严禁任何人员在边</w:t>
      </w:r>
    </w:p>
    <w:p>
      <w:pPr>
        <w:spacing w:after="0" w:line="240" w:lineRule="exact"/>
        <w:sectPr>
          <w:type w:val="continuous"/>
          <w:pgSz w:w="10500" w:h="14750"/>
          <w:pgMar w:top="1400" w:right="980" w:bottom="280" w:left="980" w:header="720" w:footer="720" w:gutter="0"/>
          <w:cols w:equalWidth="0" w:num="2">
            <w:col w:w="3934" w:space="258"/>
            <w:col w:w="4348"/>
          </w:cols>
        </w:sectPr>
      </w:pPr>
    </w:p>
    <w:p>
      <w:pPr>
        <w:pStyle w:val="6"/>
        <w:spacing w:before="58" w:line="295" w:lineRule="auto"/>
        <w:ind w:right="38"/>
        <w:rPr>
          <w:rFonts w:hint="eastAsia" w:ascii="MS UI Gothic" w:eastAsia="MS UI Gothic"/>
        </w:rPr>
      </w:pPr>
      <w:r>
        <w:t>分层开采的分层高度</w:t>
      </w:r>
      <w:r>
        <w:rPr>
          <w:rFonts w:hint="eastAsia" w:ascii="MS UI Gothic" w:eastAsia="MS UI Gothic"/>
          <w:w w:val="80"/>
        </w:rPr>
        <w:t xml:space="preserve">、  </w:t>
      </w:r>
      <w:r>
        <w:t>最大开采高度</w:t>
      </w:r>
      <w:r>
        <w:rPr>
          <w:rFonts w:hint="eastAsia" w:ascii="MS UI Gothic" w:eastAsia="MS UI Gothic"/>
          <w:w w:val="145"/>
        </w:rPr>
        <w:t xml:space="preserve">( </w:t>
      </w:r>
      <w:r>
        <w:t>第一分层的坡顶线到最后一分层的坡底线的垂直距离</w:t>
      </w:r>
      <w:r>
        <w:rPr>
          <w:rFonts w:hint="eastAsia" w:ascii="MS UI Gothic" w:eastAsia="MS UI Gothic"/>
          <w:w w:val="145"/>
        </w:rPr>
        <w:t xml:space="preserve">) </w:t>
      </w:r>
      <w:r>
        <w:t>和最终边坡角由设计确定</w:t>
      </w:r>
      <w:r>
        <w:rPr>
          <w:rFonts w:hint="eastAsia" w:ascii="MS UI Gothic" w:eastAsia="MS UI Gothic"/>
          <w:w w:val="80"/>
        </w:rPr>
        <w:t xml:space="preserve">ꎬ </w:t>
      </w:r>
      <w:r>
        <w:t>实施浅孔爆破作业时</w:t>
      </w:r>
      <w:r>
        <w:rPr>
          <w:rFonts w:hint="eastAsia" w:ascii="MS UI Gothic" w:eastAsia="MS UI Gothic"/>
          <w:w w:val="80"/>
        </w:rPr>
        <w:t xml:space="preserve">ꎬ </w:t>
      </w:r>
      <w:r>
        <w:t xml:space="preserve">分层数不得超过 </w:t>
      </w:r>
      <w:r>
        <w:rPr>
          <w:rFonts w:hint="eastAsia" w:ascii="MS UI Gothic" w:eastAsia="MS UI Gothic"/>
          <w:w w:val="80"/>
        </w:rPr>
        <w:t xml:space="preserve">６ </w:t>
      </w:r>
      <w:r>
        <w:t>个</w:t>
      </w:r>
      <w:r>
        <w:rPr>
          <w:rFonts w:hint="eastAsia" w:ascii="MS UI Gothic" w:eastAsia="MS UI Gothic"/>
          <w:w w:val="80"/>
        </w:rPr>
        <w:t xml:space="preserve">ꎬ </w:t>
      </w:r>
      <w:r>
        <w:t xml:space="preserve">最大开采高度不得超过 </w:t>
      </w:r>
      <w:r>
        <w:rPr>
          <w:rFonts w:hint="eastAsia" w:ascii="MS UI Gothic" w:eastAsia="MS UI Gothic"/>
          <w:w w:val="80"/>
        </w:rPr>
        <w:t xml:space="preserve">３０ </w:t>
      </w:r>
      <w:r>
        <w:t>米</w:t>
      </w:r>
      <w:r>
        <w:rPr>
          <w:rFonts w:hint="eastAsia" w:ascii="MS UI Gothic" w:eastAsia="MS UI Gothic"/>
          <w:w w:val="80"/>
        </w:rPr>
        <w:t>ꎻ</w:t>
      </w:r>
      <w:r>
        <w:t>实施中深孔爆破作业时</w:t>
      </w:r>
      <w:r>
        <w:rPr>
          <w:rFonts w:hint="eastAsia" w:ascii="MS UI Gothic" w:eastAsia="MS UI Gothic"/>
          <w:w w:val="80"/>
        </w:rPr>
        <w:t xml:space="preserve">ꎬ </w:t>
      </w:r>
      <w:r>
        <w:t xml:space="preserve">分层高度不得超过 </w:t>
      </w:r>
      <w:r>
        <w:rPr>
          <w:rFonts w:hint="eastAsia" w:ascii="MS UI Gothic" w:eastAsia="MS UI Gothic"/>
          <w:w w:val="80"/>
        </w:rPr>
        <w:t xml:space="preserve">２０ </w:t>
      </w:r>
      <w:r>
        <w:t>米</w:t>
      </w:r>
      <w:r>
        <w:rPr>
          <w:rFonts w:hint="eastAsia" w:ascii="MS UI Gothic" w:eastAsia="MS UI Gothic"/>
          <w:w w:val="80"/>
        </w:rPr>
        <w:t xml:space="preserve">ꎬ </w:t>
      </w:r>
      <w:r>
        <w:t xml:space="preserve">分层数不得超过 </w:t>
      </w:r>
      <w:r>
        <w:rPr>
          <w:rFonts w:hint="eastAsia" w:ascii="MS UI Gothic" w:eastAsia="MS UI Gothic"/>
          <w:w w:val="80"/>
        </w:rPr>
        <w:t xml:space="preserve">３ </w:t>
      </w:r>
      <w:r>
        <w:t>个</w:t>
      </w:r>
      <w:r>
        <w:rPr>
          <w:rFonts w:hint="eastAsia" w:ascii="MS UI Gothic" w:eastAsia="MS UI Gothic"/>
          <w:w w:val="80"/>
        </w:rPr>
        <w:t xml:space="preserve">ꎬ </w:t>
      </w:r>
      <w:r>
        <w:t xml:space="preserve">最大开采高度不得超过 </w:t>
      </w:r>
      <w:r>
        <w:rPr>
          <w:rFonts w:hint="eastAsia" w:ascii="MS UI Gothic" w:eastAsia="MS UI Gothic"/>
          <w:w w:val="80"/>
        </w:rPr>
        <w:t xml:space="preserve">６０ </w:t>
      </w:r>
      <w:r>
        <w:t>米</w:t>
      </w:r>
      <w:r>
        <w:rPr>
          <w:rFonts w:hint="eastAsia" w:ascii="MS UI Gothic" w:eastAsia="MS UI Gothic"/>
          <w:w w:val="80"/>
        </w:rPr>
        <w:t>ꎮ</w:t>
      </w:r>
    </w:p>
    <w:p>
      <w:pPr>
        <w:pStyle w:val="6"/>
        <w:spacing w:line="295" w:lineRule="auto"/>
        <w:ind w:right="39"/>
        <w:rPr>
          <w:rFonts w:hint="eastAsia" w:ascii="MS UI Gothic" w:eastAsia="MS UI Gothic"/>
        </w:rPr>
      </w:pPr>
      <w:r>
        <w:t>分层开采的凿岩平台宽度由设计确定</w:t>
      </w:r>
      <w:r>
        <w:rPr>
          <w:rFonts w:hint="eastAsia" w:ascii="MS UI Gothic" w:eastAsia="MS UI Gothic"/>
          <w:w w:val="80"/>
        </w:rPr>
        <w:t xml:space="preserve">ꎬ </w:t>
      </w:r>
      <w:r>
        <w:t xml:space="preserve">最小凿岩平台宽度不得小于 </w:t>
      </w:r>
      <w:r>
        <w:rPr>
          <w:rFonts w:hint="eastAsia" w:ascii="MS UI Gothic" w:eastAsia="MS UI Gothic"/>
          <w:w w:val="80"/>
        </w:rPr>
        <w:t xml:space="preserve">４ </w:t>
      </w:r>
      <w:r>
        <w:t>米</w:t>
      </w:r>
      <w:r>
        <w:rPr>
          <w:rFonts w:hint="eastAsia" w:ascii="MS UI Gothic" w:eastAsia="MS UI Gothic"/>
          <w:w w:val="80"/>
        </w:rPr>
        <w:t>ꎮ</w:t>
      </w:r>
    </w:p>
    <w:p>
      <w:pPr>
        <w:pStyle w:val="6"/>
        <w:spacing w:line="295" w:lineRule="auto"/>
        <w:ind w:right="39"/>
        <w:rPr>
          <w:rFonts w:hint="eastAsia" w:ascii="MS UI Gothic" w:eastAsia="MS UI Gothic"/>
        </w:rPr>
      </w:pPr>
      <w:r>
        <w:t>分层开采的底部装运平台宽度由设计确定</w:t>
      </w:r>
      <w:r>
        <w:rPr>
          <w:rFonts w:hint="eastAsia" w:ascii="MS UI Gothic" w:eastAsia="MS UI Gothic"/>
          <w:w w:val="80"/>
        </w:rPr>
        <w:t xml:space="preserve">ꎬ </w:t>
      </w:r>
      <w:r>
        <w:t>且应当满足调车作业所需的最小平</w:t>
      </w:r>
      <w:r>
        <w:rPr>
          <w:w w:val="105"/>
        </w:rPr>
        <w:t>台宽度要求</w:t>
      </w:r>
      <w:r>
        <w:rPr>
          <w:rFonts w:hint="eastAsia" w:ascii="MS UI Gothic" w:eastAsia="MS UI Gothic"/>
          <w:w w:val="80"/>
        </w:rPr>
        <w:t>ꎮ</w:t>
      </w:r>
    </w:p>
    <w:p>
      <w:pPr>
        <w:pStyle w:val="6"/>
        <w:spacing w:line="295" w:lineRule="auto"/>
        <w:ind w:right="39"/>
      </w:pPr>
      <w:r>
        <w:rPr>
          <w:w w:val="105"/>
        </w:rPr>
        <w:t>第十六条 小型露天采石场应当遵守</w:t>
      </w:r>
      <w:r>
        <w:t>国家有关民用爆炸物品和爆破作业的安全</w:t>
      </w:r>
    </w:p>
    <w:p>
      <w:pPr>
        <w:pStyle w:val="6"/>
        <w:spacing w:before="58"/>
        <w:ind w:firstLine="0"/>
        <w:jc w:val="left"/>
        <w:rPr>
          <w:rFonts w:hint="eastAsia" w:ascii="MS UI Gothic" w:eastAsia="MS UI Gothic"/>
        </w:rPr>
      </w:pPr>
      <w:r>
        <w:br w:type="column"/>
      </w:r>
      <w:r>
        <w:t>坡底部休息和停留</w:t>
      </w:r>
      <w:r>
        <w:rPr>
          <w:rFonts w:hint="eastAsia" w:ascii="MS UI Gothic" w:eastAsia="MS UI Gothic"/>
          <w:w w:val="80"/>
        </w:rPr>
        <w:t>ꎮ</w:t>
      </w:r>
    </w:p>
    <w:p>
      <w:pPr>
        <w:pStyle w:val="6"/>
        <w:spacing w:before="59" w:line="295" w:lineRule="auto"/>
        <w:ind w:right="442"/>
        <w:rPr>
          <w:rFonts w:hint="eastAsia" w:ascii="MS UI Gothic" w:eastAsia="MS UI Gothic"/>
        </w:rPr>
      </w:pPr>
      <w:r>
        <w:t>第二十一条 在坡面上进行排险作业时</w:t>
      </w:r>
      <w:r>
        <w:rPr>
          <w:rFonts w:hint="eastAsia" w:ascii="MS UI Gothic" w:eastAsia="MS UI Gothic"/>
          <w:w w:val="80"/>
        </w:rPr>
        <w:t xml:space="preserve">ꎬ </w:t>
      </w:r>
      <w:r>
        <w:t>作业人员应当系安全带</w:t>
      </w:r>
      <w:r>
        <w:rPr>
          <w:rFonts w:hint="eastAsia" w:ascii="MS UI Gothic" w:eastAsia="MS UI Gothic"/>
          <w:w w:val="80"/>
        </w:rPr>
        <w:t xml:space="preserve">ꎬ </w:t>
      </w:r>
      <w:r>
        <w:t>不得站在危石</w:t>
      </w:r>
      <w:r>
        <w:rPr>
          <w:rFonts w:hint="eastAsia" w:ascii="MS UI Gothic" w:eastAsia="MS UI Gothic"/>
          <w:w w:val="80"/>
        </w:rPr>
        <w:t xml:space="preserve">、 </w:t>
      </w:r>
      <w:r>
        <w:t>浮石上及悬空作业</w:t>
      </w:r>
      <w:r>
        <w:rPr>
          <w:rFonts w:hint="eastAsia" w:ascii="MS UI Gothic" w:eastAsia="MS UI Gothic"/>
          <w:w w:val="80"/>
        </w:rPr>
        <w:t xml:space="preserve">ꎮ </w:t>
      </w:r>
      <w:r>
        <w:t>严禁在同一坡面上下双层或者多层同时作业</w:t>
      </w:r>
      <w:r>
        <w:rPr>
          <w:rFonts w:hint="eastAsia" w:ascii="MS UI Gothic" w:eastAsia="MS UI Gothic"/>
          <w:w w:val="80"/>
        </w:rPr>
        <w:t>ꎮ</w:t>
      </w:r>
    </w:p>
    <w:p>
      <w:pPr>
        <w:pStyle w:val="6"/>
        <w:spacing w:line="295" w:lineRule="auto"/>
        <w:ind w:right="442"/>
        <w:rPr>
          <w:rFonts w:hint="eastAsia" w:ascii="MS UI Gothic" w:eastAsia="MS UI Gothic"/>
        </w:rPr>
      </w:pPr>
      <w:r>
        <w:t xml:space="preserve">距工作台阶坡底线 </w:t>
      </w:r>
      <w:r>
        <w:rPr>
          <w:rFonts w:hint="eastAsia" w:ascii="MS UI Gothic" w:eastAsia="MS UI Gothic"/>
          <w:w w:val="85"/>
        </w:rPr>
        <w:t xml:space="preserve">５０ </w:t>
      </w:r>
      <w:r>
        <w:t>米范围内不得从事碎石加工作业</w:t>
      </w:r>
      <w:r>
        <w:rPr>
          <w:rFonts w:hint="eastAsia" w:ascii="MS UI Gothic" w:eastAsia="MS UI Gothic"/>
          <w:w w:val="85"/>
        </w:rPr>
        <w:t>ꎮ</w:t>
      </w:r>
    </w:p>
    <w:p>
      <w:pPr>
        <w:pStyle w:val="6"/>
        <w:spacing w:line="295" w:lineRule="auto"/>
        <w:ind w:right="442"/>
        <w:rPr>
          <w:rFonts w:hint="eastAsia" w:ascii="MS UI Gothic" w:eastAsia="MS UI Gothic"/>
        </w:rPr>
      </w:pPr>
      <w:r>
        <w:t>第二十二条 小型露天采石场应当采用机械铲装作业</w:t>
      </w:r>
      <w:r>
        <w:rPr>
          <w:rFonts w:hint="eastAsia" w:ascii="MS UI Gothic" w:eastAsia="MS UI Gothic"/>
          <w:w w:val="80"/>
        </w:rPr>
        <w:t xml:space="preserve">ꎬ </w:t>
      </w:r>
      <w:r>
        <w:t>严禁使用人工装运矿岩</w:t>
      </w:r>
      <w:r>
        <w:rPr>
          <w:rFonts w:hint="eastAsia" w:ascii="MS UI Gothic" w:eastAsia="MS UI Gothic"/>
          <w:w w:val="80"/>
        </w:rPr>
        <w:t>ꎮ</w:t>
      </w:r>
    </w:p>
    <w:p>
      <w:pPr>
        <w:pStyle w:val="6"/>
        <w:spacing w:line="295" w:lineRule="auto"/>
        <w:ind w:right="440"/>
        <w:rPr>
          <w:rFonts w:hint="eastAsia" w:ascii="MS UI Gothic" w:eastAsia="MS UI Gothic"/>
        </w:rPr>
      </w:pPr>
      <w:r>
        <w:t>同一工作面有两台铲装机械作业时</w:t>
      </w:r>
      <w:r>
        <w:rPr>
          <w:rFonts w:hint="eastAsia" w:ascii="MS UI Gothic" w:eastAsia="MS UI Gothic"/>
          <w:w w:val="80"/>
        </w:rPr>
        <w:t>ꎬ</w:t>
      </w:r>
      <w:r>
        <w:t xml:space="preserve">最小间距应当大于铲装机械最大回转半径的 </w:t>
      </w:r>
      <w:r>
        <w:rPr>
          <w:rFonts w:hint="eastAsia" w:ascii="MS UI Gothic" w:eastAsia="MS UI Gothic"/>
          <w:w w:val="80"/>
        </w:rPr>
        <w:t xml:space="preserve">２ </w:t>
      </w:r>
      <w:r>
        <w:t>倍</w:t>
      </w:r>
      <w:r>
        <w:rPr>
          <w:rFonts w:hint="eastAsia" w:ascii="MS UI Gothic" w:eastAsia="MS UI Gothic"/>
          <w:w w:val="80"/>
        </w:rPr>
        <w:t>ꎮ</w:t>
      </w:r>
    </w:p>
    <w:p>
      <w:pPr>
        <w:pStyle w:val="6"/>
        <w:spacing w:line="295" w:lineRule="auto"/>
        <w:ind w:right="440"/>
      </w:pPr>
      <w:r>
        <w:t>严禁自卸汽车运载易燃</w:t>
      </w:r>
      <w:r>
        <w:rPr>
          <w:rFonts w:hint="eastAsia" w:ascii="MS UI Gothic" w:eastAsia="MS UI Gothic"/>
        </w:rPr>
        <w:t xml:space="preserve">、 </w:t>
      </w:r>
      <w:r>
        <w:t>易爆物品</w:t>
      </w:r>
      <w:r>
        <w:rPr>
          <w:rFonts w:hint="eastAsia" w:ascii="MS UI Gothic" w:eastAsia="MS UI Gothic"/>
          <w:w w:val="80"/>
        </w:rPr>
        <w:t>ꎻ</w:t>
      </w:r>
      <w:r>
        <w:t>严禁超载运输</w:t>
      </w:r>
      <w:r>
        <w:rPr>
          <w:rFonts w:hint="eastAsia" w:ascii="MS UI Gothic" w:eastAsia="MS UI Gothic"/>
          <w:w w:val="80"/>
        </w:rPr>
        <w:t xml:space="preserve">ꎻ </w:t>
      </w:r>
      <w:r>
        <w:t>装载与运输作业时</w:t>
      </w:r>
      <w:r>
        <w:rPr>
          <w:rFonts w:hint="eastAsia" w:ascii="MS UI Gothic" w:eastAsia="MS UI Gothic"/>
          <w:w w:val="80"/>
        </w:rPr>
        <w:t xml:space="preserve">ꎬ </w:t>
      </w:r>
      <w:r>
        <w:t>严禁</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４１７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50" o:spid="_x0000_s2250" o:spt="203" style="height:2.15pt;width:398.25pt;" coordsize="7965,43">
            <o:lock v:ext="edit"/>
            <v:line id="_x0000_s2251" o:spid="_x0000_s2251" o:spt="20" style="position:absolute;left:0;top:39;height:0;width:7965;" stroked="t" coordsize="21600,21600">
              <v:path arrowok="t"/>
              <v:fill focussize="0,0"/>
              <v:stroke weight="0.388031496062992pt" color="#231F20"/>
              <v:imagedata o:title=""/>
              <o:lock v:ext="edit"/>
            </v:line>
            <v:line id="_x0000_s2252" o:spid="_x0000_s225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rPr>
          <w:rFonts w:hint="eastAsia" w:ascii="MS UI Gothic" w:eastAsia="MS UI Gothic"/>
        </w:rPr>
      </w:pPr>
      <w:r>
        <w:t>在驾驶室外侧</w:t>
      </w:r>
      <w:r>
        <w:rPr>
          <w:rFonts w:hint="eastAsia" w:ascii="MS UI Gothic" w:eastAsia="MS UI Gothic"/>
        </w:rPr>
        <w:t xml:space="preserve">、 </w:t>
      </w:r>
      <w:r>
        <w:t>车斗内站人</w:t>
      </w:r>
      <w:r>
        <w:rPr>
          <w:rFonts w:hint="eastAsia" w:ascii="MS UI Gothic" w:eastAsia="MS UI Gothic"/>
          <w:w w:val="80"/>
        </w:rPr>
        <w:t>ꎮ</w:t>
      </w:r>
    </w:p>
    <w:p>
      <w:pPr>
        <w:pStyle w:val="6"/>
        <w:spacing w:before="58" w:line="295" w:lineRule="auto"/>
        <w:ind w:left="440"/>
        <w:rPr>
          <w:rFonts w:hint="eastAsia" w:ascii="MS UI Gothic" w:eastAsia="MS UI Gothic"/>
        </w:rPr>
      </w:pPr>
      <w:r>
        <w:t>第二十三条 废石</w:t>
      </w:r>
      <w:r>
        <w:rPr>
          <w:rFonts w:hint="eastAsia" w:ascii="MS UI Gothic" w:eastAsia="MS UI Gothic"/>
          <w:w w:val="80"/>
        </w:rPr>
        <w:t xml:space="preserve">、 </w:t>
      </w:r>
      <w:r>
        <w:t>废碴应当排放到废石场</w:t>
      </w:r>
      <w:r>
        <w:rPr>
          <w:rFonts w:hint="eastAsia" w:ascii="MS UI Gothic" w:eastAsia="MS UI Gothic"/>
          <w:w w:val="80"/>
        </w:rPr>
        <w:t xml:space="preserve">ꎮ </w:t>
      </w:r>
      <w:r>
        <w:t>废石场的设置应当符合设计要求和有关安全规定</w:t>
      </w:r>
      <w:r>
        <w:rPr>
          <w:rFonts w:hint="eastAsia" w:ascii="MS UI Gothic" w:eastAsia="MS UI Gothic"/>
          <w:w w:val="80"/>
        </w:rPr>
        <w:t xml:space="preserve">ꎮ </w:t>
      </w:r>
      <w:r>
        <w:t>顺山或顺沟排放废石</w:t>
      </w:r>
      <w:r>
        <w:rPr>
          <w:rFonts w:hint="eastAsia" w:ascii="MS UI Gothic" w:eastAsia="MS UI Gothic"/>
          <w:w w:val="80"/>
        </w:rPr>
        <w:t>、</w:t>
      </w:r>
      <w:r>
        <w:t>废碴的</w:t>
      </w:r>
      <w:r>
        <w:rPr>
          <w:rFonts w:hint="eastAsia" w:ascii="MS UI Gothic" w:eastAsia="MS UI Gothic"/>
          <w:w w:val="80"/>
        </w:rPr>
        <w:t xml:space="preserve">ꎬ </w:t>
      </w:r>
      <w:r>
        <w:t>应当有防止泥石流的具体措施</w:t>
      </w:r>
      <w:r>
        <w:rPr>
          <w:rFonts w:hint="eastAsia" w:ascii="MS UI Gothic" w:eastAsia="MS UI Gothic"/>
          <w:w w:val="80"/>
        </w:rPr>
        <w:t>ꎮ</w:t>
      </w:r>
    </w:p>
    <w:p>
      <w:pPr>
        <w:pStyle w:val="6"/>
        <w:spacing w:line="295" w:lineRule="auto"/>
        <w:ind w:left="440"/>
        <w:rPr>
          <w:rFonts w:hint="eastAsia" w:ascii="MS UI Gothic" w:eastAsia="MS UI Gothic"/>
        </w:rPr>
      </w:pPr>
      <w:r>
        <w:t>第二十四条  电气设备应当有接地</w:t>
      </w:r>
      <w:r>
        <w:rPr>
          <w:rFonts w:hint="eastAsia" w:ascii="MS UI Gothic" w:eastAsia="MS UI Gothic"/>
          <w:w w:val="80"/>
        </w:rPr>
        <w:t>、</w:t>
      </w:r>
      <w:r>
        <w:t>过流</w:t>
      </w:r>
      <w:r>
        <w:rPr>
          <w:rFonts w:hint="eastAsia" w:ascii="MS UI Gothic" w:eastAsia="MS UI Gothic"/>
          <w:w w:val="80"/>
        </w:rPr>
        <w:t xml:space="preserve">、 </w:t>
      </w:r>
      <w:r>
        <w:t>漏电保护装置</w:t>
      </w:r>
      <w:r>
        <w:rPr>
          <w:rFonts w:hint="eastAsia" w:ascii="MS UI Gothic" w:eastAsia="MS UI Gothic"/>
          <w:w w:val="80"/>
        </w:rPr>
        <w:t xml:space="preserve">ꎮ </w:t>
      </w:r>
      <w:r>
        <w:t>变电所应当有独立的避雷系统和防火</w:t>
      </w:r>
      <w:r>
        <w:rPr>
          <w:rFonts w:hint="eastAsia" w:ascii="MS UI Gothic" w:eastAsia="MS UI Gothic"/>
          <w:w w:val="80"/>
        </w:rPr>
        <w:t xml:space="preserve">、 </w:t>
      </w:r>
      <w:r>
        <w:t>防潮与防止小动物窜入带电部位的措施</w:t>
      </w:r>
      <w:r>
        <w:rPr>
          <w:rFonts w:hint="eastAsia" w:ascii="MS UI Gothic" w:eastAsia="MS UI Gothic"/>
          <w:w w:val="80"/>
        </w:rPr>
        <w:t>ꎮ</w:t>
      </w:r>
    </w:p>
    <w:p>
      <w:pPr>
        <w:pStyle w:val="6"/>
        <w:spacing w:line="295" w:lineRule="auto"/>
        <w:ind w:left="440" w:right="1"/>
        <w:rPr>
          <w:rFonts w:hint="eastAsia" w:ascii="MS UI Gothic" w:eastAsia="MS UI Gothic"/>
        </w:rPr>
      </w:pPr>
      <w:r>
        <w:t>第二十五条 小型露天采石场应当制定完善的防洪措施</w:t>
      </w:r>
      <w:r>
        <w:rPr>
          <w:rFonts w:hint="eastAsia" w:ascii="MS UI Gothic" w:eastAsia="MS UI Gothic"/>
          <w:w w:val="80"/>
        </w:rPr>
        <w:t xml:space="preserve">ꎮ </w:t>
      </w:r>
      <w:r>
        <w:t>对开采境界上方汇水影响安全的</w:t>
      </w:r>
      <w:r>
        <w:rPr>
          <w:rFonts w:hint="eastAsia" w:ascii="MS UI Gothic" w:eastAsia="MS UI Gothic"/>
          <w:w w:val="80"/>
        </w:rPr>
        <w:t xml:space="preserve">ꎬ </w:t>
      </w:r>
      <w:r>
        <w:t>应当设置截水沟</w:t>
      </w:r>
      <w:r>
        <w:rPr>
          <w:rFonts w:hint="eastAsia" w:ascii="MS UI Gothic" w:eastAsia="MS UI Gothic"/>
          <w:w w:val="80"/>
        </w:rPr>
        <w:t>ꎮ</w:t>
      </w:r>
    </w:p>
    <w:p>
      <w:pPr>
        <w:pStyle w:val="6"/>
        <w:spacing w:line="295" w:lineRule="auto"/>
        <w:ind w:left="440" w:right="1"/>
        <w:rPr>
          <w:rFonts w:hint="eastAsia" w:ascii="MS UI Gothic" w:eastAsia="MS UI Gothic"/>
        </w:rPr>
      </w:pPr>
      <w:r>
        <w:t>第二十六条 小型露天采石场应当制定应急救援预案</w:t>
      </w:r>
      <w:r>
        <w:rPr>
          <w:rFonts w:hint="eastAsia" w:ascii="MS UI Gothic" w:eastAsia="MS UI Gothic"/>
          <w:w w:val="80"/>
        </w:rPr>
        <w:t xml:space="preserve">ꎬ </w:t>
      </w:r>
      <w:r>
        <w:t>建立兼职救援队伍</w:t>
      </w:r>
      <w:r>
        <w:rPr>
          <w:rFonts w:hint="eastAsia" w:ascii="MS UI Gothic" w:eastAsia="MS UI Gothic"/>
          <w:w w:val="80"/>
        </w:rPr>
        <w:t xml:space="preserve">ꎬ </w:t>
      </w:r>
      <w:r>
        <w:t>明确救援人员的职责</w:t>
      </w:r>
      <w:r>
        <w:rPr>
          <w:rFonts w:hint="eastAsia" w:ascii="MS UI Gothic" w:eastAsia="MS UI Gothic"/>
          <w:w w:val="80"/>
        </w:rPr>
        <w:t xml:space="preserve">ꎬ </w:t>
      </w:r>
      <w:r>
        <w:t>并与邻近的矿山救护队或者其他具备救护条  件的单位签订救护协议</w:t>
      </w:r>
      <w:r>
        <w:rPr>
          <w:rFonts w:hint="eastAsia" w:ascii="MS UI Gothic" w:eastAsia="MS UI Gothic"/>
          <w:w w:val="80"/>
        </w:rPr>
        <w:t xml:space="preserve">ꎮ </w:t>
      </w:r>
      <w:r>
        <w:t>发生生产安全事故时</w:t>
      </w:r>
      <w:r>
        <w:rPr>
          <w:rFonts w:hint="eastAsia" w:ascii="MS UI Gothic" w:eastAsia="MS UI Gothic"/>
          <w:w w:val="80"/>
        </w:rPr>
        <w:t xml:space="preserve">ꎬ </w:t>
      </w:r>
      <w:r>
        <w:t>应当立即组织抢救</w:t>
      </w:r>
      <w:r>
        <w:rPr>
          <w:rFonts w:hint="eastAsia" w:ascii="MS UI Gothic" w:eastAsia="MS UI Gothic"/>
          <w:w w:val="80"/>
        </w:rPr>
        <w:t xml:space="preserve">ꎬ </w:t>
      </w:r>
      <w:r>
        <w:t xml:space="preserve">并在 </w:t>
      </w:r>
      <w:r>
        <w:rPr>
          <w:rFonts w:hint="eastAsia" w:ascii="MS UI Gothic" w:eastAsia="MS UI Gothic"/>
          <w:w w:val="80"/>
        </w:rPr>
        <w:t xml:space="preserve">１ </w:t>
      </w:r>
      <w:r>
        <w:t>小时内向当地安全生产监督管理部门报告</w:t>
      </w:r>
      <w:r>
        <w:rPr>
          <w:rFonts w:hint="eastAsia" w:ascii="MS UI Gothic" w:eastAsia="MS UI Gothic"/>
          <w:w w:val="80"/>
        </w:rPr>
        <w:t>ꎮ</w:t>
      </w:r>
    </w:p>
    <w:p>
      <w:pPr>
        <w:pStyle w:val="6"/>
        <w:spacing w:line="295" w:lineRule="auto"/>
        <w:ind w:left="440" w:right="1"/>
        <w:rPr>
          <w:rFonts w:hint="eastAsia" w:ascii="MS UI Gothic" w:eastAsia="MS UI Gothic"/>
        </w:rPr>
      </w:pPr>
      <w:r>
        <w:t>第二十七条 小型露天采石场应当加强粉尘检测和防治工作</w:t>
      </w:r>
      <w:r>
        <w:rPr>
          <w:rFonts w:hint="eastAsia" w:ascii="MS UI Gothic" w:eastAsia="MS UI Gothic"/>
          <w:w w:val="80"/>
        </w:rPr>
        <w:t xml:space="preserve">ꎬ </w:t>
      </w:r>
      <w:r>
        <w:t>采取有效措施防治职业危害</w:t>
      </w:r>
      <w:r>
        <w:rPr>
          <w:rFonts w:hint="eastAsia" w:ascii="MS UI Gothic" w:eastAsia="MS UI Gothic"/>
          <w:w w:val="80"/>
        </w:rPr>
        <w:t xml:space="preserve">ꎬ </w:t>
      </w:r>
      <w:r>
        <w:t>建立职工健康档案</w:t>
      </w:r>
      <w:r>
        <w:rPr>
          <w:rFonts w:hint="eastAsia" w:ascii="MS UI Gothic" w:eastAsia="MS UI Gothic"/>
          <w:w w:val="80"/>
        </w:rPr>
        <w:t xml:space="preserve">ꎬ </w:t>
      </w:r>
      <w:r>
        <w:t>为从业人员提供符合国家标准或者行业标准的劳动防护用品和劳动保护设施</w:t>
      </w:r>
      <w:r>
        <w:rPr>
          <w:rFonts w:hint="eastAsia" w:ascii="MS UI Gothic" w:eastAsia="MS UI Gothic"/>
          <w:w w:val="80"/>
        </w:rPr>
        <w:t xml:space="preserve">ꎬ </w:t>
      </w:r>
      <w:r>
        <w:t>并指导监督其正确使用</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第二十八条 小型露天采石场应当在</w:t>
      </w:r>
      <w:r>
        <w:t>每年年末测绘采石场开采现状平面图和剖</w:t>
      </w:r>
      <w:r>
        <w:rPr>
          <w:w w:val="105"/>
        </w:rPr>
        <w:t>面图</w:t>
      </w:r>
      <w:r>
        <w:rPr>
          <w:rFonts w:hint="eastAsia" w:ascii="MS UI Gothic" w:eastAsia="MS UI Gothic"/>
          <w:w w:val="80"/>
        </w:rPr>
        <w:t xml:space="preserve">ꎬ </w:t>
      </w:r>
      <w:r>
        <w:rPr>
          <w:w w:val="105"/>
        </w:rPr>
        <w:t>并归档管理</w:t>
      </w:r>
      <w:r>
        <w:rPr>
          <w:rFonts w:hint="eastAsia" w:ascii="MS UI Gothic" w:eastAsia="MS UI Gothic"/>
          <w:w w:val="80"/>
        </w:rPr>
        <w:t>ꎮ</w:t>
      </w:r>
    </w:p>
    <w:p>
      <w:pPr>
        <w:pStyle w:val="6"/>
        <w:tabs>
          <w:tab w:val="left" w:pos="2222"/>
        </w:tabs>
        <w:spacing w:before="136"/>
        <w:ind w:left="1384" w:firstLine="0"/>
        <w:jc w:val="left"/>
      </w:pPr>
      <w:r>
        <w:rPr>
          <w:spacing w:val="3"/>
          <w:w w:val="105"/>
        </w:rPr>
        <w:t>第三</w:t>
      </w:r>
      <w:r>
        <w:rPr>
          <w:w w:val="105"/>
        </w:rPr>
        <w:t>章</w:t>
      </w:r>
      <w:r>
        <w:rPr>
          <w:w w:val="105"/>
        </w:rPr>
        <w:tab/>
      </w:r>
      <w:r>
        <w:rPr>
          <w:w w:val="105"/>
        </w:rPr>
        <w:t>监</w:t>
      </w:r>
      <w:r>
        <w:rPr>
          <w:spacing w:val="-34"/>
          <w:w w:val="105"/>
        </w:rPr>
        <w:t xml:space="preserve"> </w:t>
      </w:r>
      <w:r>
        <w:rPr>
          <w:w w:val="105"/>
        </w:rPr>
        <w:t>督</w:t>
      </w:r>
      <w:r>
        <w:rPr>
          <w:spacing w:val="-33"/>
          <w:w w:val="105"/>
        </w:rPr>
        <w:t xml:space="preserve"> </w:t>
      </w:r>
      <w:r>
        <w:rPr>
          <w:w w:val="105"/>
        </w:rPr>
        <w:t>检</w:t>
      </w:r>
      <w:r>
        <w:rPr>
          <w:spacing w:val="-33"/>
          <w:w w:val="105"/>
        </w:rPr>
        <w:t xml:space="preserve"> </w:t>
      </w:r>
      <w:r>
        <w:rPr>
          <w:w w:val="105"/>
        </w:rPr>
        <w:t>查</w:t>
      </w:r>
    </w:p>
    <w:p>
      <w:pPr>
        <w:pStyle w:val="6"/>
        <w:spacing w:before="215" w:line="295" w:lineRule="auto"/>
        <w:ind w:left="440"/>
        <w:rPr>
          <w:rFonts w:hint="eastAsia" w:ascii="MS UI Gothic" w:eastAsia="MS UI Gothic"/>
        </w:rPr>
      </w:pPr>
      <w:r>
        <w:rPr>
          <w:w w:val="105"/>
        </w:rPr>
        <w:t>第二十九条 安全生产监督管理部门</w:t>
      </w:r>
      <w:r>
        <w:t>应当加强对小型露天采石场的监督检查</w:t>
      </w:r>
      <w:r>
        <w:rPr>
          <w:rFonts w:hint="eastAsia" w:ascii="MS UI Gothic" w:eastAsia="MS UI Gothic"/>
          <w:w w:val="80"/>
        </w:rPr>
        <w:t>ꎬ</w:t>
      </w:r>
      <w:r>
        <w:t>对检查中发现的事故隐患和安全生产违法违规行为</w:t>
      </w:r>
      <w:r>
        <w:rPr>
          <w:rFonts w:hint="eastAsia" w:ascii="MS UI Gothic" w:eastAsia="MS UI Gothic"/>
          <w:w w:val="80"/>
        </w:rPr>
        <w:t xml:space="preserve">ꎬ </w:t>
      </w:r>
      <w:r>
        <w:t>依法作出现场处理或者实施行</w:t>
      </w:r>
      <w:r>
        <w:rPr>
          <w:w w:val="105"/>
        </w:rPr>
        <w:t>政处罚</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第三十条 安全生产监督管理部门应</w:t>
      </w:r>
      <w:r>
        <w:t>当建立健全本行政区域内小型露天采石场</w:t>
      </w:r>
      <w:r>
        <w:rPr>
          <w:w w:val="105"/>
        </w:rPr>
        <w:t>的安全生产档案</w:t>
      </w:r>
      <w:r>
        <w:rPr>
          <w:rFonts w:hint="eastAsia" w:ascii="MS UI Gothic" w:eastAsia="MS UI Gothic"/>
          <w:w w:val="80"/>
        </w:rPr>
        <w:t xml:space="preserve">ꎬ </w:t>
      </w:r>
      <w:r>
        <w:rPr>
          <w:w w:val="105"/>
        </w:rPr>
        <w:t>记录监督检查结果</w:t>
      </w:r>
      <w:r>
        <w:rPr>
          <w:rFonts w:hint="eastAsia" w:ascii="MS UI Gothic" w:eastAsia="MS UI Gothic"/>
          <w:w w:val="80"/>
        </w:rPr>
        <w:t xml:space="preserve">、 </w:t>
      </w:r>
      <w:r>
        <w:rPr>
          <w:w w:val="105"/>
        </w:rPr>
        <w:t>生产安全事故和违法行为查处等情况</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rPr>
          <w:w w:val="95"/>
        </w:rPr>
        <w:t>第三十一条   对于未委托具备相应资质的设计</w:t>
      </w:r>
      <w:r>
        <w:t>单位编制开采设计或者开采</w:t>
      </w:r>
      <w:r>
        <w:rPr>
          <w:w w:val="95"/>
        </w:rPr>
        <w:t>方案</w:t>
      </w:r>
      <w:r>
        <w:rPr>
          <w:rFonts w:hint="eastAsia" w:ascii="MS UI Gothic" w:eastAsia="MS UI Gothic"/>
          <w:w w:val="90"/>
        </w:rPr>
        <w:t xml:space="preserve">ꎬ </w:t>
      </w:r>
      <w:r>
        <w:rPr>
          <w:w w:val="95"/>
        </w:rPr>
        <w:t xml:space="preserve">以及周边 </w:t>
      </w:r>
      <w:r>
        <w:rPr>
          <w:rFonts w:hint="eastAsia" w:ascii="MS UI Gothic" w:eastAsia="MS UI Gothic"/>
          <w:w w:val="95"/>
        </w:rPr>
        <w:t xml:space="preserve">３００ </w:t>
      </w:r>
      <w:r>
        <w:rPr>
          <w:w w:val="95"/>
        </w:rPr>
        <w:t>米范围内存在生产生活设施的小型露天采石场</w:t>
      </w:r>
      <w:r>
        <w:rPr>
          <w:rFonts w:hint="eastAsia" w:ascii="MS UI Gothic" w:eastAsia="MS UI Gothic"/>
          <w:w w:val="90"/>
        </w:rPr>
        <w:t xml:space="preserve">ꎬ  </w:t>
      </w:r>
      <w:r>
        <w:rPr>
          <w:w w:val="95"/>
        </w:rPr>
        <w:t>安全生产监督管理部门不得对其进行审查和验收</w:t>
      </w:r>
      <w:r>
        <w:rPr>
          <w:rFonts w:hint="eastAsia" w:ascii="MS UI Gothic" w:eastAsia="MS UI Gothic"/>
          <w:w w:val="90"/>
        </w:rPr>
        <w:t>ꎮ</w:t>
      </w:r>
    </w:p>
    <w:p>
      <w:pPr>
        <w:pStyle w:val="6"/>
        <w:spacing w:line="295" w:lineRule="auto"/>
        <w:ind w:left="381" w:right="126"/>
        <w:rPr>
          <w:rFonts w:hint="eastAsia" w:ascii="MS UI Gothic" w:eastAsia="MS UI Gothic"/>
        </w:rPr>
      </w:pPr>
      <w:r>
        <w:rPr>
          <w:w w:val="105"/>
        </w:rPr>
        <w:t>第三十二条 安全生产监督管理部门</w:t>
      </w:r>
      <w:r>
        <w:t>应当加强对小型露天采石场实施中深孔爆</w:t>
      </w:r>
      <w:r>
        <w:rPr>
          <w:w w:val="105"/>
        </w:rPr>
        <w:t>破条 件的监督检查</w:t>
      </w:r>
      <w:r>
        <w:rPr>
          <w:rFonts w:hint="eastAsia" w:ascii="MS UI Gothic" w:eastAsia="MS UI Gothic"/>
          <w:w w:val="80"/>
        </w:rPr>
        <w:t xml:space="preserve">ꎮ </w:t>
      </w:r>
      <w:r>
        <w:rPr>
          <w:w w:val="105"/>
        </w:rPr>
        <w:t>严格限制小型露天采石场采用浅孔爆破开采方式</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第三十三条 安全生产监督管理部门</w:t>
      </w:r>
      <w:r>
        <w:t>应当督促小型露天采石场加强对承包作业的采掘施工单位的管理</w:t>
      </w:r>
      <w:r>
        <w:rPr>
          <w:rFonts w:hint="eastAsia" w:ascii="MS UI Gothic" w:eastAsia="MS UI Gothic"/>
          <w:w w:val="80"/>
        </w:rPr>
        <w:t xml:space="preserve">ꎬ </w:t>
      </w:r>
      <w:r>
        <w:t>明确双方安全生</w:t>
      </w:r>
      <w:r>
        <w:rPr>
          <w:w w:val="105"/>
        </w:rPr>
        <w:t>产责任</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第三十四条 安全生产监督管理部门</w:t>
      </w:r>
      <w:r>
        <w:rPr>
          <w:spacing w:val="2"/>
        </w:rPr>
        <w:t>应当加强本行政区域内小型露天采石场应</w:t>
      </w:r>
      <w:r>
        <w:rPr>
          <w:spacing w:val="8"/>
          <w:w w:val="105"/>
        </w:rPr>
        <w:t>急预案的管理</w:t>
      </w:r>
      <w:r>
        <w:rPr>
          <w:rFonts w:hint="eastAsia" w:ascii="MS UI Gothic" w:eastAsia="MS UI Gothic"/>
          <w:spacing w:val="21"/>
          <w:w w:val="80"/>
        </w:rPr>
        <w:t xml:space="preserve">ꎬ </w:t>
      </w:r>
      <w:r>
        <w:rPr>
          <w:spacing w:val="6"/>
          <w:w w:val="105"/>
        </w:rPr>
        <w:t xml:space="preserve">督促乡 </w:t>
      </w:r>
      <w:r>
        <w:rPr>
          <w:rFonts w:hint="eastAsia" w:ascii="MS UI Gothic" w:eastAsia="MS UI Gothic"/>
          <w:spacing w:val="-33"/>
          <w:w w:val="150"/>
        </w:rPr>
        <w:t xml:space="preserve">( </w:t>
      </w:r>
      <w:r>
        <w:rPr>
          <w:spacing w:val="15"/>
          <w:w w:val="105"/>
        </w:rPr>
        <w:t>镇</w:t>
      </w:r>
      <w:r>
        <w:rPr>
          <w:rFonts w:hint="eastAsia" w:ascii="MS UI Gothic" w:eastAsia="MS UI Gothic"/>
          <w:spacing w:val="7"/>
          <w:w w:val="150"/>
        </w:rPr>
        <w:t xml:space="preserve">) </w:t>
      </w:r>
      <w:r>
        <w:rPr>
          <w:spacing w:val="14"/>
          <w:w w:val="105"/>
        </w:rPr>
        <w:t>人民政府</w:t>
      </w:r>
      <w:r>
        <w:rPr>
          <w:spacing w:val="3"/>
          <w:w w:val="105"/>
        </w:rPr>
        <w:t>做好事故应急救援的协调工作</w:t>
      </w:r>
      <w:r>
        <w:rPr>
          <w:rFonts w:hint="eastAsia" w:ascii="MS UI Gothic" w:eastAsia="MS UI Gothic"/>
          <w:w w:val="80"/>
        </w:rPr>
        <w:t>ꎮ</w:t>
      </w:r>
    </w:p>
    <w:p>
      <w:pPr>
        <w:pStyle w:val="6"/>
        <w:tabs>
          <w:tab w:val="left" w:pos="2162"/>
        </w:tabs>
        <w:spacing w:before="144"/>
        <w:ind w:left="1324" w:firstLine="0"/>
        <w:jc w:val="left"/>
      </w:pPr>
      <w:r>
        <w:rPr>
          <w:spacing w:val="3"/>
          <w:w w:val="105"/>
        </w:rPr>
        <w:t>第四</w:t>
      </w:r>
      <w:r>
        <w:rPr>
          <w:w w:val="105"/>
        </w:rPr>
        <w:t>章</w:t>
      </w:r>
      <w:r>
        <w:rPr>
          <w:w w:val="105"/>
        </w:rPr>
        <w:tab/>
      </w:r>
      <w:r>
        <w:rPr>
          <w:w w:val="105"/>
        </w:rPr>
        <w:t>法</w:t>
      </w:r>
      <w:r>
        <w:rPr>
          <w:spacing w:val="-38"/>
          <w:w w:val="105"/>
        </w:rPr>
        <w:t xml:space="preserve"> </w:t>
      </w:r>
      <w:r>
        <w:rPr>
          <w:w w:val="105"/>
        </w:rPr>
        <w:t>律</w:t>
      </w:r>
      <w:r>
        <w:rPr>
          <w:spacing w:val="-38"/>
          <w:w w:val="105"/>
        </w:rPr>
        <w:t xml:space="preserve"> </w:t>
      </w:r>
      <w:r>
        <w:rPr>
          <w:w w:val="105"/>
        </w:rPr>
        <w:t>责</w:t>
      </w:r>
      <w:r>
        <w:rPr>
          <w:spacing w:val="-38"/>
          <w:w w:val="105"/>
        </w:rPr>
        <w:t xml:space="preserve"> </w:t>
      </w:r>
      <w:r>
        <w:rPr>
          <w:w w:val="105"/>
        </w:rPr>
        <w:t>任</w:t>
      </w:r>
    </w:p>
    <w:p>
      <w:pPr>
        <w:pStyle w:val="6"/>
        <w:spacing w:before="215" w:line="295" w:lineRule="auto"/>
        <w:ind w:left="381" w:right="126"/>
        <w:rPr>
          <w:rFonts w:hint="eastAsia" w:ascii="MS UI Gothic" w:eastAsia="MS UI Gothic"/>
        </w:rPr>
      </w:pPr>
      <w:r>
        <w:rPr>
          <w:w w:val="105"/>
        </w:rPr>
        <w:t>第三十五条 安全生产监督管理部门</w:t>
      </w:r>
      <w:r>
        <w:t>及其工作人员违反法律法规和本规定</w:t>
      </w:r>
      <w:r>
        <w:rPr>
          <w:rFonts w:hint="eastAsia" w:ascii="MS UI Gothic" w:eastAsia="MS UI Gothic"/>
          <w:w w:val="80"/>
        </w:rPr>
        <w:t xml:space="preserve">ꎬ </w:t>
      </w:r>
      <w:r>
        <w:t>未依法履行对小型露天采石场安全生产监督</w:t>
      </w:r>
      <w:r>
        <w:rPr>
          <w:w w:val="105"/>
        </w:rPr>
        <w:t>检查职责的</w:t>
      </w:r>
      <w:r>
        <w:rPr>
          <w:rFonts w:hint="eastAsia" w:ascii="MS UI Gothic" w:eastAsia="MS UI Gothic"/>
          <w:w w:val="80"/>
        </w:rPr>
        <w:t xml:space="preserve">ꎬ </w:t>
      </w:r>
      <w:r>
        <w:rPr>
          <w:w w:val="105"/>
        </w:rPr>
        <w:t>依法给予行政处分</w:t>
      </w:r>
      <w:r>
        <w:rPr>
          <w:rFonts w:hint="eastAsia" w:ascii="MS UI Gothic" w:eastAsia="MS UI Gothic"/>
          <w:w w:val="80"/>
        </w:rPr>
        <w:t>ꎮ</w:t>
      </w:r>
    </w:p>
    <w:p>
      <w:pPr>
        <w:pStyle w:val="6"/>
        <w:spacing w:line="295" w:lineRule="auto"/>
        <w:ind w:left="381" w:right="126"/>
        <w:rPr>
          <w:rFonts w:hint="eastAsia" w:ascii="MS UI Gothic" w:eastAsia="MS UI Gothic"/>
        </w:rPr>
      </w:pPr>
      <w:r>
        <w:t>第三十六条 违反本规定第六条规定的</w:t>
      </w:r>
      <w:r>
        <w:rPr>
          <w:rFonts w:hint="eastAsia" w:ascii="MS UI Gothic" w:eastAsia="MS UI Gothic"/>
          <w:w w:val="80"/>
        </w:rPr>
        <w:t xml:space="preserve">ꎬ </w:t>
      </w:r>
      <w:r>
        <w:t>责令限期改正</w:t>
      </w:r>
      <w:r>
        <w:rPr>
          <w:rFonts w:hint="eastAsia" w:ascii="MS UI Gothic" w:eastAsia="MS UI Gothic"/>
          <w:w w:val="80"/>
        </w:rPr>
        <w:t xml:space="preserve">ꎬ </w:t>
      </w:r>
      <w:r>
        <w:t xml:space="preserve">并处 </w:t>
      </w:r>
      <w:r>
        <w:rPr>
          <w:rFonts w:hint="eastAsia" w:ascii="MS UI Gothic" w:eastAsia="MS UI Gothic"/>
        </w:rPr>
        <w:t xml:space="preserve">１ </w:t>
      </w:r>
      <w:r>
        <w:t>万元以下的罚款</w:t>
      </w:r>
      <w:r>
        <w:rPr>
          <w:rFonts w:hint="eastAsia" w:ascii="MS UI Gothic" w:eastAsia="MS UI Gothic"/>
          <w:w w:val="80"/>
        </w:rPr>
        <w:t>ꎮ</w:t>
      </w:r>
    </w:p>
    <w:p>
      <w:pPr>
        <w:pStyle w:val="6"/>
        <w:spacing w:line="295" w:lineRule="auto"/>
        <w:ind w:left="381" w:right="126"/>
        <w:rPr>
          <w:rFonts w:hint="eastAsia" w:ascii="MS UI Gothic" w:eastAsia="MS UI Gothic"/>
        </w:rPr>
      </w:pPr>
      <w:r>
        <w:t>第三十七条 违反本规定第十条第一款规定的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责令停止建设或者停产停业整顿</w:t>
      </w:r>
      <w:r>
        <w:rPr>
          <w:rFonts w:hint="eastAsia" w:ascii="MS UI Gothic" w:eastAsia="MS UI Gothic"/>
          <w:w w:val="80"/>
        </w:rPr>
        <w:t xml:space="preserve">ꎬ </w:t>
      </w:r>
      <w:r>
        <w:t>可以并处五万元以下的罚款</w:t>
      </w:r>
      <w:r>
        <w:rPr>
          <w:rFonts w:hint="eastAsia" w:ascii="MS UI Gothic" w:eastAsia="MS UI Gothic"/>
          <w:w w:val="80"/>
        </w:rPr>
        <w:t>ꎮ</w:t>
      </w:r>
    </w:p>
    <w:p>
      <w:pPr>
        <w:pStyle w:val="6"/>
        <w:spacing w:line="295" w:lineRule="auto"/>
        <w:ind w:left="381" w:right="126"/>
        <w:rPr>
          <w:rFonts w:hint="eastAsia" w:ascii="MS UI Gothic" w:eastAsia="MS UI Gothic"/>
        </w:rPr>
      </w:pPr>
      <w:r>
        <w:t>第三十八条 违反本规定第十一条第一款规定的</w:t>
      </w:r>
      <w:r>
        <w:rPr>
          <w:rFonts w:hint="eastAsia" w:ascii="MS UI Gothic" w:eastAsia="MS UI Gothic"/>
          <w:w w:val="85"/>
        </w:rPr>
        <w:t xml:space="preserve">ꎬ </w:t>
      </w:r>
      <w:r>
        <w:t>责令停止生产</w:t>
      </w:r>
      <w:r>
        <w:rPr>
          <w:rFonts w:hint="eastAsia" w:ascii="MS UI Gothic" w:eastAsia="MS UI Gothic"/>
          <w:w w:val="85"/>
        </w:rPr>
        <w:t xml:space="preserve">ꎬ </w:t>
      </w:r>
      <w:r>
        <w:t>没收违法所得</w:t>
      </w:r>
      <w:r>
        <w:rPr>
          <w:rFonts w:hint="eastAsia" w:ascii="MS UI Gothic" w:eastAsia="MS UI Gothic"/>
          <w:w w:val="85"/>
        </w:rPr>
        <w:t xml:space="preserve">ꎬ </w:t>
      </w:r>
      <w:r>
        <w:t xml:space="preserve">并处 </w:t>
      </w:r>
      <w:r>
        <w:rPr>
          <w:rFonts w:hint="eastAsia" w:ascii="MS UI Gothic" w:eastAsia="MS UI Gothic"/>
          <w:w w:val="85"/>
        </w:rPr>
        <w:t xml:space="preserve">１０ </w:t>
      </w:r>
      <w:r>
        <w:t xml:space="preserve">万元以上 </w:t>
      </w:r>
      <w:r>
        <w:rPr>
          <w:rFonts w:hint="eastAsia" w:ascii="MS UI Gothic" w:eastAsia="MS UI Gothic"/>
          <w:w w:val="85"/>
        </w:rPr>
        <w:t xml:space="preserve">５０ </w:t>
      </w:r>
      <w:r>
        <w:t>万元以下的罚款</w:t>
      </w:r>
      <w:r>
        <w:rPr>
          <w:rFonts w:hint="eastAsia" w:ascii="MS UI Gothic" w:eastAsia="MS UI Gothic"/>
          <w:w w:val="85"/>
        </w:rPr>
        <w:t>ꎮ</w:t>
      </w:r>
    </w:p>
    <w:p>
      <w:pPr>
        <w:pStyle w:val="6"/>
        <w:spacing w:line="295" w:lineRule="auto"/>
        <w:ind w:left="381" w:right="124"/>
      </w:pPr>
      <w:r>
        <w:t>第三十九条  违反本规定第十二条</w:t>
      </w:r>
      <w:r>
        <w:rPr>
          <w:rFonts w:hint="eastAsia" w:ascii="MS UI Gothic" w:eastAsia="MS UI Gothic"/>
          <w:w w:val="80"/>
        </w:rPr>
        <w:t>、</w:t>
      </w:r>
      <w:r>
        <w:t>第十三条第一</w:t>
      </w:r>
      <w:r>
        <w:rPr>
          <w:rFonts w:hint="eastAsia" w:ascii="MS UI Gothic" w:eastAsia="MS UI Gothic"/>
          <w:w w:val="80"/>
        </w:rPr>
        <w:t xml:space="preserve">、 </w:t>
      </w:r>
      <w:r>
        <w:t>二款</w:t>
      </w:r>
      <w:r>
        <w:rPr>
          <w:rFonts w:hint="eastAsia" w:ascii="MS UI Gothic" w:eastAsia="MS UI Gothic"/>
          <w:w w:val="80"/>
        </w:rPr>
        <w:t xml:space="preserve">、 </w:t>
      </w:r>
      <w:r>
        <w:t>第十四条</w:t>
      </w:r>
      <w:r>
        <w:rPr>
          <w:rFonts w:hint="eastAsia" w:ascii="MS UI Gothic" w:eastAsia="MS UI Gothic"/>
          <w:w w:val="80"/>
        </w:rPr>
        <w:t xml:space="preserve">、 </w:t>
      </w:r>
      <w:r>
        <w:t>第十五条</w:t>
      </w:r>
      <w:r>
        <w:rPr>
          <w:rFonts w:hint="eastAsia" w:ascii="MS UI Gothic" w:eastAsia="MS UI Gothic"/>
          <w:w w:val="80"/>
        </w:rPr>
        <w:t xml:space="preserve">、 </w:t>
      </w:r>
      <w:r>
        <w:t>第十六条</w:t>
      </w:r>
      <w:r>
        <w:rPr>
          <w:rFonts w:hint="eastAsia" w:ascii="MS UI Gothic" w:eastAsia="MS UI Gothic"/>
          <w:w w:val="80"/>
        </w:rPr>
        <w:t xml:space="preserve">、 </w:t>
      </w:r>
      <w:r>
        <w:t>第十七条</w:t>
      </w:r>
      <w:r>
        <w:rPr>
          <w:rFonts w:hint="eastAsia" w:ascii="MS UI Gothic" w:eastAsia="MS UI Gothic"/>
          <w:w w:val="80"/>
        </w:rPr>
        <w:t xml:space="preserve">、 </w:t>
      </w:r>
      <w:r>
        <w:t>第十九条</w:t>
      </w:r>
      <w:r>
        <w:rPr>
          <w:rFonts w:hint="eastAsia" w:ascii="MS UI Gothic" w:eastAsia="MS UI Gothic"/>
          <w:w w:val="80"/>
        </w:rPr>
        <w:t xml:space="preserve">、  </w:t>
      </w:r>
      <w:r>
        <w:t>第二十条第一款</w:t>
      </w:r>
      <w:r>
        <w:rPr>
          <w:rFonts w:hint="eastAsia" w:ascii="MS UI Gothic" w:eastAsia="MS UI Gothic"/>
          <w:w w:val="80"/>
        </w:rPr>
        <w:t xml:space="preserve">、 </w:t>
      </w:r>
      <w:r>
        <w:t>第二十一条</w:t>
      </w:r>
      <w:r>
        <w:rPr>
          <w:rFonts w:hint="eastAsia" w:ascii="MS UI Gothic" w:eastAsia="MS UI Gothic"/>
          <w:w w:val="80"/>
        </w:rPr>
        <w:t xml:space="preserve">、 </w:t>
      </w:r>
      <w:r>
        <w:t>第二十二条规定的</w:t>
      </w:r>
      <w:r>
        <w:rPr>
          <w:rFonts w:hint="eastAsia" w:ascii="MS UI Gothic" w:eastAsia="MS UI Gothic"/>
          <w:w w:val="80"/>
        </w:rPr>
        <w:t xml:space="preserve">ꎬ </w:t>
      </w:r>
      <w:r>
        <w:t>给予警告</w:t>
      </w:r>
      <w:r>
        <w:rPr>
          <w:rFonts w:hint="eastAsia" w:ascii="MS UI Gothic" w:eastAsia="MS UI Gothic"/>
          <w:w w:val="80"/>
        </w:rPr>
        <w:t xml:space="preserve">ꎬ </w:t>
      </w:r>
      <w:r>
        <w:t xml:space="preserve">并处 </w:t>
      </w:r>
      <w:r>
        <w:rPr>
          <w:rFonts w:hint="eastAsia" w:ascii="MS UI Gothic" w:eastAsia="MS UI Gothic"/>
          <w:w w:val="80"/>
        </w:rPr>
        <w:t xml:space="preserve">１ </w:t>
      </w:r>
      <w:r>
        <w:t xml:space="preserve">万元以上 </w:t>
      </w:r>
      <w:r>
        <w:rPr>
          <w:rFonts w:hint="eastAsia" w:ascii="MS UI Gothic" w:eastAsia="MS UI Gothic"/>
          <w:w w:val="80"/>
        </w:rPr>
        <w:t xml:space="preserve">３ </w:t>
      </w:r>
      <w:r>
        <w:t>万</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2253" o:spid="_x0000_s2253" style="position:absolute;left:0pt;margin-left:0pt;margin-top:700.1pt;height:1.75pt;width:398.25pt;mso-position-horizontal-relative:page;z-index:252155904;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４１８</w:t>
      </w:r>
    </w:p>
    <w:p>
      <w:pPr>
        <w:pStyle w:val="6"/>
        <w:spacing w:before="297" w:line="240" w:lineRule="exact"/>
        <w:ind w:firstLine="0"/>
        <w:jc w:val="left"/>
        <w:rPr>
          <w:rFonts w:hint="eastAsia" w:ascii="MS UI Gothic" w:eastAsia="MS UI Gothic"/>
        </w:rPr>
      </w:pPr>
      <w:r>
        <w:t>元以下的罚款</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2014" w:firstLine="0"/>
        <w:jc w:val="left"/>
      </w:pPr>
      <w:r>
        <w:rPr>
          <w:w w:val="105"/>
        </w:rPr>
        <w:t>民政府安全生产监督管理部门可以根据本</w:t>
      </w:r>
    </w:p>
    <w:p>
      <w:pPr>
        <w:spacing w:after="0" w:line="240" w:lineRule="exact"/>
        <w:jc w:val="left"/>
        <w:sectPr>
          <w:pgSz w:w="10500" w:h="14750"/>
          <w:pgMar w:top="960" w:right="980" w:bottom="280" w:left="980" w:header="720" w:footer="720" w:gutter="0"/>
          <w:cols w:equalWidth="0" w:num="2">
            <w:col w:w="1526" w:space="776"/>
            <w:col w:w="6238"/>
          </w:cols>
        </w:sectPr>
      </w:pPr>
    </w:p>
    <w:p>
      <w:pPr>
        <w:pStyle w:val="6"/>
        <w:spacing w:before="74" w:line="295" w:lineRule="auto"/>
        <w:ind w:right="38"/>
        <w:rPr>
          <w:rFonts w:hint="eastAsia" w:ascii="MS UI Gothic" w:eastAsia="MS UI Gothic"/>
        </w:rPr>
      </w:pPr>
      <w:r>
        <w:rPr>
          <w:spacing w:val="3"/>
        </w:rPr>
        <w:t>第四十条  违反本规定第二十三条</w:t>
      </w:r>
      <w:r>
        <w:rPr>
          <w:rFonts w:hint="eastAsia" w:ascii="MS UI Gothic" w:eastAsia="MS UI Gothic"/>
          <w:w w:val="80"/>
        </w:rPr>
        <w:t>、</w:t>
      </w:r>
      <w:r>
        <w:rPr>
          <w:spacing w:val="3"/>
        </w:rPr>
        <w:t>第二十四条</w:t>
      </w:r>
      <w:r>
        <w:rPr>
          <w:rFonts w:hint="eastAsia" w:ascii="MS UI Gothic" w:eastAsia="MS UI Gothic"/>
          <w:spacing w:val="23"/>
          <w:w w:val="80"/>
        </w:rPr>
        <w:t xml:space="preserve">、 </w:t>
      </w:r>
      <w:r>
        <w:rPr>
          <w:spacing w:val="3"/>
        </w:rPr>
        <w:t>第二十五条</w:t>
      </w:r>
      <w:r>
        <w:rPr>
          <w:rFonts w:hint="eastAsia" w:ascii="MS UI Gothic" w:eastAsia="MS UI Gothic"/>
          <w:spacing w:val="23"/>
          <w:w w:val="80"/>
        </w:rPr>
        <w:t xml:space="preserve">、 </w:t>
      </w:r>
      <w:r>
        <w:rPr>
          <w:spacing w:val="2"/>
        </w:rPr>
        <w:t>第二十八条规</w:t>
      </w:r>
      <w:r>
        <w:rPr>
          <w:spacing w:val="7"/>
        </w:rPr>
        <w:t>定的</w:t>
      </w:r>
      <w:r>
        <w:rPr>
          <w:rFonts w:hint="eastAsia" w:ascii="MS UI Gothic" w:eastAsia="MS UI Gothic"/>
          <w:spacing w:val="8"/>
          <w:w w:val="80"/>
        </w:rPr>
        <w:t xml:space="preserve">ꎬ </w:t>
      </w:r>
      <w:r>
        <w:rPr>
          <w:spacing w:val="27"/>
        </w:rPr>
        <w:t>给予警告</w:t>
      </w:r>
      <w:r>
        <w:rPr>
          <w:rFonts w:hint="eastAsia" w:ascii="MS UI Gothic" w:eastAsia="MS UI Gothic"/>
          <w:spacing w:val="10"/>
          <w:w w:val="80"/>
        </w:rPr>
        <w:t xml:space="preserve">ꎬ </w:t>
      </w:r>
      <w:r>
        <w:rPr>
          <w:spacing w:val="8"/>
        </w:rPr>
        <w:t xml:space="preserve">并处 </w:t>
      </w:r>
      <w:r>
        <w:rPr>
          <w:rFonts w:hint="eastAsia" w:ascii="MS UI Gothic" w:eastAsia="MS UI Gothic"/>
          <w:spacing w:val="22"/>
          <w:w w:val="80"/>
        </w:rPr>
        <w:t xml:space="preserve">２ </w:t>
      </w:r>
      <w:r>
        <w:rPr>
          <w:spacing w:val="30"/>
        </w:rPr>
        <w:t>万元以下的</w:t>
      </w:r>
      <w:r>
        <w:rPr>
          <w:spacing w:val="3"/>
        </w:rPr>
        <w:t>罚款</w:t>
      </w:r>
      <w:r>
        <w:rPr>
          <w:rFonts w:hint="eastAsia" w:ascii="MS UI Gothic" w:eastAsia="MS UI Gothic"/>
          <w:w w:val="80"/>
        </w:rPr>
        <w:t>ꎮ</w:t>
      </w:r>
    </w:p>
    <w:p>
      <w:pPr>
        <w:pStyle w:val="6"/>
        <w:spacing w:line="295" w:lineRule="auto"/>
        <w:ind w:right="39"/>
        <w:rPr>
          <w:rFonts w:hint="eastAsia" w:ascii="MS UI Gothic" w:eastAsia="MS UI Gothic"/>
        </w:rPr>
      </w:pPr>
      <w:r>
        <w:rPr>
          <w:spacing w:val="4"/>
        </w:rPr>
        <w:t>第四十一条 本规定规定的行政处罚</w:t>
      </w:r>
      <w:r>
        <w:rPr>
          <w:spacing w:val="3"/>
        </w:rPr>
        <w:t>由安全生产监督管理部门决定</w:t>
      </w:r>
      <w:r>
        <w:rPr>
          <w:rFonts w:hint="eastAsia" w:ascii="MS UI Gothic" w:eastAsia="MS UI Gothic"/>
          <w:spacing w:val="11"/>
          <w:w w:val="80"/>
        </w:rPr>
        <w:t xml:space="preserve">ꎮ </w:t>
      </w:r>
      <w:r>
        <w:rPr>
          <w:spacing w:val="3"/>
        </w:rPr>
        <w:t>法律</w:t>
      </w:r>
      <w:r>
        <w:rPr>
          <w:rFonts w:hint="eastAsia" w:ascii="MS UI Gothic" w:eastAsia="MS UI Gothic"/>
          <w:spacing w:val="11"/>
          <w:w w:val="80"/>
        </w:rPr>
        <w:t xml:space="preserve">、 </w:t>
      </w:r>
      <w:r>
        <w:t>行</w:t>
      </w:r>
      <w:r>
        <w:rPr>
          <w:spacing w:val="13"/>
        </w:rPr>
        <w:t>政法规对行政处罚另有规定的</w:t>
      </w:r>
      <w:r>
        <w:rPr>
          <w:rFonts w:hint="eastAsia" w:ascii="MS UI Gothic" w:eastAsia="MS UI Gothic"/>
          <w:spacing w:val="1"/>
          <w:w w:val="80"/>
        </w:rPr>
        <w:t xml:space="preserve">ꎬ </w:t>
      </w:r>
      <w:r>
        <w:rPr>
          <w:spacing w:val="14"/>
        </w:rPr>
        <w:t>依照其</w:t>
      </w:r>
      <w:r>
        <w:rPr>
          <w:spacing w:val="3"/>
        </w:rPr>
        <w:t>规定</w:t>
      </w:r>
      <w:r>
        <w:rPr>
          <w:rFonts w:hint="eastAsia" w:ascii="MS UI Gothic" w:eastAsia="MS UI Gothic"/>
          <w:w w:val="80"/>
        </w:rPr>
        <w:t>ꎮ</w:t>
      </w:r>
    </w:p>
    <w:p>
      <w:pPr>
        <w:pStyle w:val="6"/>
        <w:tabs>
          <w:tab w:val="left" w:pos="2011"/>
          <w:tab w:val="left" w:pos="2639"/>
        </w:tabs>
        <w:spacing w:before="151"/>
        <w:ind w:left="1172" w:firstLine="0"/>
        <w:jc w:val="left"/>
      </w:pPr>
      <w:r>
        <w:rPr>
          <w:spacing w:val="3"/>
          <w:w w:val="105"/>
        </w:rPr>
        <w:t>第五</w:t>
      </w:r>
      <w:r>
        <w:rPr>
          <w:w w:val="105"/>
        </w:rPr>
        <w:t>章</w:t>
      </w:r>
      <w:r>
        <w:rPr>
          <w:w w:val="105"/>
        </w:rPr>
        <w:tab/>
      </w:r>
      <w:r>
        <w:rPr>
          <w:w w:val="105"/>
        </w:rPr>
        <w:t>附</w:t>
      </w:r>
      <w:r>
        <w:rPr>
          <w:w w:val="105"/>
        </w:rPr>
        <w:tab/>
      </w:r>
      <w:r>
        <w:rPr>
          <w:w w:val="105"/>
        </w:rPr>
        <w:t>则</w:t>
      </w:r>
    </w:p>
    <w:p>
      <w:pPr>
        <w:pStyle w:val="6"/>
        <w:tabs>
          <w:tab w:val="left" w:pos="1801"/>
        </w:tabs>
        <w:spacing w:before="215"/>
        <w:ind w:left="543" w:firstLine="0"/>
        <w:jc w:val="left"/>
      </w:pPr>
      <w:r>
        <w:rPr>
          <w:spacing w:val="3"/>
        </w:rPr>
        <w:t>第四十二</w:t>
      </w:r>
      <w:r>
        <w:t>条</w:t>
      </w:r>
      <w:r>
        <w:tab/>
      </w:r>
      <w:r>
        <w:rPr>
          <w:spacing w:val="3"/>
        </w:rPr>
        <w:t>省</w:t>
      </w:r>
      <w:r>
        <w:rPr>
          <w:rFonts w:hint="eastAsia" w:ascii="MS UI Gothic" w:eastAsia="MS UI Gothic"/>
        </w:rPr>
        <w:t>、</w:t>
      </w:r>
      <w:r>
        <w:rPr>
          <w:rFonts w:hint="eastAsia" w:ascii="MS UI Gothic" w:eastAsia="MS UI Gothic"/>
          <w:spacing w:val="39"/>
        </w:rPr>
        <w:t xml:space="preserve"> </w:t>
      </w:r>
      <w:r>
        <w:rPr>
          <w:spacing w:val="3"/>
        </w:rPr>
        <w:t>自治区</w:t>
      </w:r>
      <w:r>
        <w:rPr>
          <w:rFonts w:hint="eastAsia" w:ascii="MS UI Gothic" w:eastAsia="MS UI Gothic"/>
        </w:rPr>
        <w:t>、</w:t>
      </w:r>
      <w:r>
        <w:rPr>
          <w:rFonts w:hint="eastAsia" w:ascii="MS UI Gothic" w:eastAsia="MS UI Gothic"/>
          <w:spacing w:val="39"/>
        </w:rPr>
        <w:t xml:space="preserve"> </w:t>
      </w:r>
      <w:r>
        <w:rPr>
          <w:spacing w:val="3"/>
        </w:rPr>
        <w:t>直辖市</w:t>
      </w:r>
      <w:r>
        <w:t>人</w:t>
      </w:r>
    </w:p>
    <w:p>
      <w:pPr>
        <w:pStyle w:val="6"/>
        <w:spacing w:before="74" w:line="295" w:lineRule="auto"/>
        <w:ind w:right="442" w:firstLine="0"/>
        <w:rPr>
          <w:rFonts w:hint="eastAsia" w:ascii="MS UI Gothic" w:eastAsia="MS UI Gothic"/>
        </w:rPr>
      </w:pPr>
      <w:r>
        <w:br w:type="column"/>
      </w:r>
      <w:r>
        <w:t>规定制定实施细则</w:t>
      </w:r>
      <w:r>
        <w:rPr>
          <w:rFonts w:hint="eastAsia" w:ascii="MS UI Gothic" w:eastAsia="MS UI Gothic"/>
          <w:w w:val="80"/>
        </w:rPr>
        <w:t xml:space="preserve">ꎬ </w:t>
      </w:r>
      <w:r>
        <w:t>报国家安全生产监督管理总局备案</w:t>
      </w:r>
      <w:r>
        <w:rPr>
          <w:rFonts w:hint="eastAsia" w:ascii="MS UI Gothic" w:eastAsia="MS UI Gothic"/>
          <w:w w:val="80"/>
        </w:rPr>
        <w:t>ꎮ</w:t>
      </w:r>
    </w:p>
    <w:p>
      <w:pPr>
        <w:pStyle w:val="6"/>
        <w:spacing w:line="255" w:lineRule="exact"/>
        <w:ind w:left="543" w:firstLine="0"/>
      </w:pPr>
      <w:r>
        <w:pict>
          <v:shape id="_x0000_s2254" o:spid="_x0000_s2254" o:spt="202" type="#_x0000_t202" style="position:absolute;left:0pt;margin-left:264.5pt;margin-top:11.9pt;height:24.35pt;width:5.15pt;mso-position-horizontal-relative:page;z-index:-27560652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spacing w:val="6"/>
        </w:rPr>
        <w:t xml:space="preserve">第四十三条 本规定自 </w:t>
      </w:r>
      <w:r>
        <w:rPr>
          <w:rFonts w:hint="eastAsia" w:ascii="MS UI Gothic" w:eastAsia="MS UI Gothic"/>
          <w:spacing w:val="-1"/>
        </w:rPr>
        <w:t xml:space="preserve">２０１１ </w:t>
      </w:r>
      <w:r>
        <w:rPr>
          <w:spacing w:val="-25"/>
        </w:rPr>
        <w:t xml:space="preserve">年 </w:t>
      </w:r>
      <w:r>
        <w:rPr>
          <w:rFonts w:hint="eastAsia" w:ascii="MS UI Gothic" w:eastAsia="MS UI Gothic"/>
          <w:spacing w:val="-3"/>
        </w:rPr>
        <w:t xml:space="preserve">７ </w:t>
      </w:r>
      <w:r>
        <w:t>月</w:t>
      </w:r>
    </w:p>
    <w:p>
      <w:pPr>
        <w:pStyle w:val="6"/>
        <w:spacing w:before="58" w:line="295" w:lineRule="auto"/>
        <w:ind w:right="442" w:firstLine="153"/>
      </w:pPr>
      <w:r>
        <w:rPr>
          <w:spacing w:val="3"/>
        </w:rPr>
        <w:t>日起施行</w:t>
      </w:r>
      <w:r>
        <w:rPr>
          <w:rFonts w:hint="eastAsia" w:ascii="MS UI Gothic" w:hAnsi="MS UI Gothic" w:eastAsia="MS UI Gothic"/>
          <w:spacing w:val="-4"/>
          <w:w w:val="90"/>
        </w:rPr>
        <w:t xml:space="preserve">ꎮ ２００４ </w:t>
      </w:r>
      <w:r>
        <w:rPr>
          <w:spacing w:val="-36"/>
        </w:rPr>
        <w:t xml:space="preserve">年 </w:t>
      </w:r>
      <w:r>
        <w:rPr>
          <w:rFonts w:hint="eastAsia" w:ascii="MS UI Gothic" w:hAnsi="MS UI Gothic" w:eastAsia="MS UI Gothic"/>
          <w:spacing w:val="-8"/>
          <w:w w:val="90"/>
        </w:rPr>
        <w:t xml:space="preserve">１２ </w:t>
      </w:r>
      <w:r>
        <w:rPr>
          <w:spacing w:val="-36"/>
        </w:rPr>
        <w:t xml:space="preserve">月 </w:t>
      </w:r>
      <w:r>
        <w:rPr>
          <w:rFonts w:hint="eastAsia" w:ascii="MS UI Gothic" w:hAnsi="MS UI Gothic" w:eastAsia="MS UI Gothic"/>
          <w:spacing w:val="-7"/>
          <w:w w:val="90"/>
        </w:rPr>
        <w:t xml:space="preserve">２８ </w:t>
      </w:r>
      <w:r>
        <w:rPr>
          <w:spacing w:val="5"/>
        </w:rPr>
        <w:t>日原国家安</w:t>
      </w:r>
      <w:r>
        <w:rPr>
          <w:spacing w:val="6"/>
          <w:w w:val="105"/>
        </w:rPr>
        <w:t xml:space="preserve">全生产监督管理局 </w:t>
      </w:r>
      <w:r>
        <w:rPr>
          <w:rFonts w:hint="eastAsia" w:ascii="MS UI Gothic" w:hAnsi="MS UI Gothic" w:eastAsia="MS UI Gothic"/>
          <w:spacing w:val="-33"/>
          <w:w w:val="140"/>
        </w:rPr>
        <w:t xml:space="preserve">( </w:t>
      </w:r>
      <w:r>
        <w:rPr>
          <w:spacing w:val="14"/>
          <w:w w:val="105"/>
        </w:rPr>
        <w:t>国家煤矿安全监察</w:t>
      </w:r>
      <w:r>
        <w:rPr>
          <w:spacing w:val="3"/>
          <w:w w:val="105"/>
        </w:rPr>
        <w:t>局</w:t>
      </w:r>
      <w:r>
        <w:rPr>
          <w:rFonts w:hint="eastAsia" w:ascii="MS UI Gothic" w:hAnsi="MS UI Gothic" w:eastAsia="MS UI Gothic"/>
          <w:spacing w:val="6"/>
          <w:w w:val="140"/>
        </w:rPr>
        <w:t xml:space="preserve">) </w:t>
      </w:r>
      <w:r>
        <w:rPr>
          <w:spacing w:val="-2"/>
          <w:w w:val="105"/>
        </w:rPr>
        <w:t xml:space="preserve">公布的 </w:t>
      </w:r>
      <w:r>
        <w:rPr>
          <w:rFonts w:hint="eastAsia" w:ascii="MS UI Gothic" w:hAnsi="MS UI Gothic" w:eastAsia="MS UI Gothic"/>
          <w:spacing w:val="-16"/>
          <w:w w:val="90"/>
        </w:rPr>
        <w:t xml:space="preserve">« </w:t>
      </w:r>
      <w:r>
        <w:rPr>
          <w:spacing w:val="15"/>
          <w:w w:val="105"/>
        </w:rPr>
        <w:t>小型露天采石场安全生产</w:t>
      </w:r>
      <w:r>
        <w:rPr>
          <w:spacing w:val="3"/>
          <w:w w:val="105"/>
        </w:rPr>
        <w:t>暂行规定</w:t>
      </w:r>
      <w:r>
        <w:rPr>
          <w:rFonts w:hint="eastAsia" w:ascii="MS UI Gothic" w:hAnsi="MS UI Gothic" w:eastAsia="MS UI Gothic"/>
          <w:spacing w:val="16"/>
          <w:w w:val="90"/>
        </w:rPr>
        <w:t xml:space="preserve">» </w:t>
      </w:r>
      <w:r>
        <w:rPr>
          <w:rFonts w:hint="eastAsia" w:ascii="MS UI Gothic" w:hAnsi="MS UI Gothic" w:eastAsia="MS UI Gothic"/>
          <w:spacing w:val="-36"/>
          <w:w w:val="140"/>
        </w:rPr>
        <w:t xml:space="preserve">( </w:t>
      </w:r>
      <w:r>
        <w:rPr>
          <w:spacing w:val="6"/>
          <w:w w:val="105"/>
        </w:rPr>
        <w:t>原国家安全生产监督管理局</w:t>
      </w:r>
    </w:p>
    <w:p>
      <w:pPr>
        <w:pStyle w:val="6"/>
        <w:spacing w:line="295" w:lineRule="auto"/>
        <w:ind w:right="442" w:firstLine="0"/>
        <w:rPr>
          <w:rFonts w:hint="eastAsia" w:ascii="MS UI Gothic" w:hAnsi="MS UI Gothic" w:eastAsia="MS UI Gothic"/>
        </w:rPr>
      </w:pPr>
      <w:r>
        <w:rPr>
          <w:rFonts w:hint="eastAsia" w:ascii="MS UI Gothic" w:hAnsi="MS UI Gothic" w:eastAsia="MS UI Gothic"/>
          <w:w w:val="95"/>
        </w:rPr>
        <w:t xml:space="preserve">‹ </w:t>
      </w:r>
      <w:r>
        <w:t>国家煤矿安全监察局</w:t>
      </w:r>
      <w:r>
        <w:rPr>
          <w:rFonts w:hint="eastAsia" w:ascii="MS UI Gothic" w:hAnsi="MS UI Gothic" w:eastAsia="MS UI Gothic"/>
          <w:w w:val="95"/>
        </w:rPr>
        <w:t xml:space="preserve">› </w:t>
      </w:r>
      <w:r>
        <w:t xml:space="preserve">令第 </w:t>
      </w:r>
      <w:r>
        <w:rPr>
          <w:rFonts w:hint="eastAsia" w:ascii="MS UI Gothic" w:hAnsi="MS UI Gothic" w:eastAsia="MS UI Gothic"/>
          <w:w w:val="95"/>
        </w:rPr>
        <w:t xml:space="preserve">１９ </w:t>
      </w:r>
      <w:r>
        <w:t>号</w:t>
      </w:r>
      <w:r>
        <w:rPr>
          <w:rFonts w:hint="eastAsia" w:ascii="MS UI Gothic" w:hAnsi="MS UI Gothic" w:eastAsia="MS UI Gothic"/>
          <w:w w:val="145"/>
        </w:rPr>
        <w:t xml:space="preserve">) </w:t>
      </w:r>
      <w:r>
        <w:t>同时废止</w:t>
      </w:r>
      <w:r>
        <w:rPr>
          <w:rFonts w:hint="eastAsia" w:ascii="MS UI Gothic" w:hAnsi="MS UI Gothic" w:eastAsia="MS UI Gothic"/>
          <w:w w:val="8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3936" w:space="256"/>
            <w:col w:w="4348"/>
          </w:cols>
        </w:sectPr>
      </w:pPr>
    </w:p>
    <w:p>
      <w:pPr>
        <w:pStyle w:val="6"/>
        <w:spacing w:before="4"/>
        <w:ind w:left="0" w:firstLine="0"/>
        <w:jc w:val="left"/>
        <w:rPr>
          <w:rFonts w:ascii="MS UI Gothic"/>
          <w:sz w:val="22"/>
        </w:rPr>
      </w:pPr>
    </w:p>
    <w:p>
      <w:pPr>
        <w:pStyle w:val="4"/>
        <w:spacing w:before="74"/>
        <w:ind w:right="630"/>
      </w:pPr>
      <w:r>
        <w:t>国家安全生产监督管理总局令</w:t>
      </w:r>
    </w:p>
    <w:p>
      <w:pPr>
        <w:pStyle w:val="6"/>
        <w:ind w:left="0" w:firstLine="0"/>
        <w:jc w:val="left"/>
        <w:rPr>
          <w:sz w:val="27"/>
        </w:rPr>
      </w:pPr>
    </w:p>
    <w:p>
      <w:pPr>
        <w:pStyle w:val="5"/>
        <w:ind w:right="628"/>
      </w:pPr>
      <w:r>
        <w:t xml:space="preserve">第 </w:t>
      </w:r>
      <w:r>
        <w:rPr>
          <w:rFonts w:hint="eastAsia" w:ascii="MS UI Gothic" w:eastAsia="MS UI Gothic"/>
        </w:rPr>
        <w:t xml:space="preserve">３４ </w:t>
      </w:r>
      <w:r>
        <w:t>号</w:t>
      </w:r>
    </w:p>
    <w:p>
      <w:pPr>
        <w:pStyle w:val="6"/>
        <w:spacing w:before="354"/>
        <w:ind w:left="0" w:right="442" w:firstLine="0"/>
        <w:jc w:val="right"/>
      </w:pPr>
      <w:r>
        <w:rPr>
          <w:rFonts w:hint="eastAsia" w:ascii="MS UI Gothic" w:hAnsi="MS UI Gothic" w:eastAsia="MS UI Gothic"/>
          <w:spacing w:val="-23"/>
        </w:rPr>
        <w:t xml:space="preserve">« </w:t>
      </w:r>
      <w:r>
        <w:rPr>
          <w:spacing w:val="3"/>
        </w:rPr>
        <w:t>金属非金属地下矿山企业领导带班下井及监督检查暂行规定</w:t>
      </w:r>
      <w:r>
        <w:rPr>
          <w:rFonts w:hint="eastAsia" w:ascii="MS UI Gothic" w:hAnsi="MS UI Gothic" w:eastAsia="MS UI Gothic"/>
          <w:spacing w:val="19"/>
        </w:rPr>
        <w:t xml:space="preserve">» </w:t>
      </w:r>
      <w:r>
        <w:rPr>
          <w:spacing w:val="-17"/>
        </w:rPr>
        <w:t xml:space="preserve">已经 </w:t>
      </w:r>
      <w:r>
        <w:rPr>
          <w:rFonts w:hint="eastAsia" w:ascii="MS UI Gothic" w:hAnsi="MS UI Gothic" w:eastAsia="MS UI Gothic"/>
          <w:spacing w:val="-3"/>
        </w:rPr>
        <w:t xml:space="preserve">２０１０ </w:t>
      </w:r>
      <w:r>
        <w:rPr>
          <w:spacing w:val="-29"/>
        </w:rPr>
        <w:t xml:space="preserve">年 </w:t>
      </w:r>
      <w:r>
        <w:rPr>
          <w:rFonts w:hint="eastAsia" w:ascii="MS UI Gothic" w:hAnsi="MS UI Gothic" w:eastAsia="MS UI Gothic"/>
          <w:spacing w:val="-5"/>
        </w:rPr>
        <w:t xml:space="preserve">１０ </w:t>
      </w:r>
      <w:r>
        <w:t>月</w:t>
      </w:r>
    </w:p>
    <w:p>
      <w:pPr>
        <w:pStyle w:val="6"/>
        <w:spacing w:before="58" w:line="240" w:lineRule="exact"/>
        <w:ind w:left="0" w:right="444" w:firstLine="0"/>
        <w:jc w:val="right"/>
        <w:rPr>
          <w:rFonts w:hint="eastAsia" w:ascii="MS UI Gothic" w:eastAsia="MS UI Gothic"/>
        </w:rPr>
      </w:pPr>
      <w:r>
        <w:rPr>
          <w:rFonts w:hint="eastAsia" w:ascii="MS UI Gothic" w:eastAsia="MS UI Gothic"/>
          <w:spacing w:val="2"/>
          <w:w w:val="95"/>
        </w:rPr>
        <w:t xml:space="preserve">９ </w:t>
      </w:r>
      <w:r>
        <w:rPr>
          <w:spacing w:val="3"/>
          <w:w w:val="95"/>
        </w:rPr>
        <w:t>日国家安全生产监督管理总局局长办公会议审议通过</w:t>
      </w:r>
      <w:r>
        <w:rPr>
          <w:rFonts w:hint="eastAsia" w:ascii="MS UI Gothic" w:eastAsia="MS UI Gothic"/>
          <w:spacing w:val="3"/>
          <w:w w:val="90"/>
        </w:rPr>
        <w:t xml:space="preserve">ꎬ  </w:t>
      </w:r>
      <w:r>
        <w:rPr>
          <w:spacing w:val="3"/>
          <w:w w:val="95"/>
        </w:rPr>
        <w:t>现予公布</w:t>
      </w:r>
      <w:r>
        <w:rPr>
          <w:rFonts w:hint="eastAsia" w:ascii="MS UI Gothic" w:eastAsia="MS UI Gothic"/>
          <w:spacing w:val="3"/>
          <w:w w:val="90"/>
        </w:rPr>
        <w:t xml:space="preserve">ꎬ  </w:t>
      </w:r>
      <w:r>
        <w:rPr>
          <w:spacing w:val="-17"/>
          <w:w w:val="95"/>
        </w:rPr>
        <w:t xml:space="preserve">自 </w:t>
      </w:r>
      <w:r>
        <w:rPr>
          <w:rFonts w:hint="eastAsia" w:ascii="MS UI Gothic" w:eastAsia="MS UI Gothic"/>
          <w:spacing w:val="2"/>
          <w:w w:val="95"/>
        </w:rPr>
        <w:t xml:space="preserve">２０１０ </w:t>
      </w:r>
      <w:r>
        <w:rPr>
          <w:spacing w:val="-17"/>
          <w:w w:val="95"/>
        </w:rPr>
        <w:t xml:space="preserve">年 </w:t>
      </w:r>
      <w:r>
        <w:rPr>
          <w:rFonts w:hint="eastAsia" w:ascii="MS UI Gothic" w:eastAsia="MS UI Gothic"/>
          <w:spacing w:val="4"/>
          <w:w w:val="95"/>
        </w:rPr>
        <w:t xml:space="preserve">１１ </w:t>
      </w:r>
      <w:r>
        <w:rPr>
          <w:spacing w:val="-17"/>
          <w:w w:val="95"/>
        </w:rPr>
        <w:t xml:space="preserve">月 </w:t>
      </w:r>
      <w:r>
        <w:rPr>
          <w:rFonts w:hint="eastAsia" w:ascii="MS UI Gothic" w:eastAsia="MS UI Gothic"/>
          <w:w w:val="95"/>
        </w:rPr>
        <w:t>１５</w:t>
      </w:r>
    </w:p>
    <w:p>
      <w:pPr>
        <w:spacing w:after="0" w:line="240" w:lineRule="exact"/>
        <w:jc w:val="right"/>
        <w:rPr>
          <w:rFonts w:hint="eastAsia" w:ascii="MS UI Gothic" w:eastAsia="MS UI Gothic"/>
        </w:rPr>
        <w:sectPr>
          <w:type w:val="continuous"/>
          <w:pgSz w:w="10500" w:h="14750"/>
          <w:pgMar w:top="1400" w:right="980" w:bottom="280" w:left="980" w:header="720" w:footer="720" w:gutter="0"/>
        </w:sectPr>
      </w:pPr>
    </w:p>
    <w:p>
      <w:pPr>
        <w:pStyle w:val="6"/>
        <w:spacing w:before="74"/>
        <w:ind w:firstLine="0"/>
        <w:jc w:val="left"/>
        <w:rPr>
          <w:rFonts w:hint="eastAsia" w:ascii="MS UI Gothic" w:eastAsia="MS UI Gothic"/>
        </w:rPr>
      </w:pPr>
      <w:r>
        <w:rPr>
          <w:w w:val="95"/>
        </w:rPr>
        <w:t>日起施行</w:t>
      </w:r>
      <w:r>
        <w:rPr>
          <w:rFonts w:hint="eastAsia" w:ascii="MS UI Gothic" w:eastAsia="MS UI Gothic"/>
          <w:w w:val="80"/>
        </w:rPr>
        <w:t>ꎮ</w:t>
      </w:r>
    </w:p>
    <w:p>
      <w:pPr>
        <w:pStyle w:val="6"/>
        <w:spacing w:before="11"/>
        <w:ind w:left="0" w:firstLine="0"/>
        <w:jc w:val="left"/>
        <w:rPr>
          <w:rFonts w:ascii="MS UI Gothic"/>
          <w:sz w:val="54"/>
        </w:rPr>
      </w:pPr>
      <w:r>
        <w:br w:type="column"/>
      </w:r>
    </w:p>
    <w:p>
      <w:pPr>
        <w:pStyle w:val="6"/>
        <w:ind w:left="4526" w:firstLine="0"/>
        <w:jc w:val="left"/>
      </w:pPr>
      <w:r>
        <w:rPr>
          <w:w w:val="105"/>
        </w:rPr>
        <w:t>二</w:t>
      </w:r>
      <w:r>
        <w:rPr>
          <w:rFonts w:hint="eastAsia" w:ascii="MS UI Gothic" w:hAnsi="MS UI Gothic" w:eastAsia="MS UI Gothic"/>
          <w:w w:val="105"/>
        </w:rPr>
        <w:t>○</w:t>
      </w:r>
      <w:r>
        <w:rPr>
          <w:w w:val="105"/>
        </w:rPr>
        <w:t>一</w:t>
      </w:r>
      <w:r>
        <w:rPr>
          <w:rFonts w:hint="eastAsia" w:ascii="MS UI Gothic" w:hAnsi="MS UI Gothic" w:eastAsia="MS UI Gothic"/>
          <w:w w:val="105"/>
        </w:rPr>
        <w:t>○</w:t>
      </w:r>
      <w:r>
        <w:rPr>
          <w:w w:val="105"/>
        </w:rPr>
        <w:t>年十月十三日</w:t>
      </w:r>
    </w:p>
    <w:p>
      <w:pPr>
        <w:pStyle w:val="4"/>
        <w:spacing w:line="266" w:lineRule="auto"/>
        <w:ind w:left="559" w:right="1911" w:hanging="435"/>
        <w:jc w:val="left"/>
        <w:rPr>
          <w:rFonts w:hint="eastAsia" w:ascii="Microsoft Yi Baiti" w:eastAsia="Microsoft Yi Baiti"/>
        </w:rPr>
      </w:pPr>
      <w:r>
        <w:t xml:space="preserve">金属非金属地下矿山企业领导带班下井及监督检查暂行规定 </w:t>
      </w:r>
      <w:r>
        <w:rPr>
          <w:rFonts w:hint="eastAsia" w:ascii="Microsoft Yi Baiti" w:eastAsia="Microsoft Yi Baiti"/>
        </w:rPr>
        <w:t>(</w:t>
      </w:r>
      <w:r>
        <w:rPr>
          <w:rFonts w:hint="eastAsia" w:ascii="MS UI Gothic" w:eastAsia="MS UI Gothic"/>
        </w:rPr>
        <w:t xml:space="preserve">２０１０ </w:t>
      </w:r>
      <w:r>
        <w:t>年公布</w:t>
      </w:r>
      <w:r>
        <w:rPr>
          <w:rFonts w:hint="eastAsia" w:ascii="Microsoft Yi Baiti" w:eastAsia="Microsoft Yi Baiti"/>
        </w:rPr>
        <w:t>)</w:t>
      </w:r>
    </w:p>
    <w:p>
      <w:pPr>
        <w:spacing w:after="0" w:line="266" w:lineRule="auto"/>
        <w:jc w:val="left"/>
        <w:rPr>
          <w:rFonts w:hint="eastAsia" w:ascii="Microsoft Yi Baiti" w:eastAsia="Microsoft Yi Baiti"/>
        </w:rPr>
        <w:sectPr>
          <w:type w:val="continuous"/>
          <w:pgSz w:w="10500" w:h="14750"/>
          <w:pgMar w:top="1400" w:right="980" w:bottom="280" w:left="980" w:header="720" w:footer="720" w:gutter="0"/>
          <w:cols w:equalWidth="0" w:num="2">
            <w:col w:w="1106" w:space="361"/>
            <w:col w:w="7073"/>
          </w:cols>
        </w:sectPr>
      </w:pPr>
    </w:p>
    <w:p>
      <w:pPr>
        <w:pStyle w:val="6"/>
        <w:ind w:left="0" w:firstLine="0"/>
        <w:jc w:val="left"/>
        <w:rPr>
          <w:rFonts w:ascii="Microsoft Yi Baiti"/>
          <w:sz w:val="15"/>
        </w:rPr>
      </w:pPr>
    </w:p>
    <w:p>
      <w:pPr>
        <w:spacing w:after="0"/>
        <w:jc w:val="left"/>
        <w:rPr>
          <w:rFonts w:ascii="Microsoft Yi Baiti"/>
          <w:sz w:val="15"/>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11"/>
        <w:ind w:left="0" w:firstLine="0"/>
        <w:jc w:val="left"/>
        <w:rPr>
          <w:sz w:val="16"/>
        </w:rPr>
      </w:pPr>
    </w:p>
    <w:p>
      <w:pPr>
        <w:pStyle w:val="6"/>
        <w:spacing w:line="295" w:lineRule="auto"/>
        <w:ind w:right="38"/>
      </w:pPr>
      <w:r>
        <w:t>第一条 为落实金属非金属地下矿山企业领导带班下井制度</w:t>
      </w:r>
      <w:r>
        <w:rPr>
          <w:rFonts w:hint="eastAsia" w:ascii="MS UI Gothic" w:eastAsia="MS UI Gothic"/>
          <w:w w:val="80"/>
        </w:rPr>
        <w:t xml:space="preserve">ꎬ </w:t>
      </w:r>
      <w:r>
        <w:t>强化现场安全管理</w:t>
      </w:r>
      <w:r>
        <w:rPr>
          <w:rFonts w:hint="eastAsia" w:ascii="MS UI Gothic" w:eastAsia="MS UI Gothic"/>
          <w:w w:val="80"/>
        </w:rPr>
        <w:t xml:space="preserve">ꎬ </w:t>
      </w:r>
      <w:r>
        <w:t>及时发现和消除事故隐患</w:t>
      </w:r>
      <w:r>
        <w:rPr>
          <w:rFonts w:hint="eastAsia" w:ascii="MS UI Gothic" w:eastAsia="MS UI Gothic"/>
          <w:w w:val="80"/>
        </w:rPr>
        <w:t xml:space="preserve">ꎬ </w:t>
      </w:r>
      <w:r>
        <w:t>根据</w:t>
      </w:r>
    </w:p>
    <w:p>
      <w:pPr>
        <w:pStyle w:val="6"/>
        <w:spacing w:line="295" w:lineRule="auto"/>
        <w:ind w:right="38" w:firstLine="0"/>
        <w:rPr>
          <w:rFonts w:hint="eastAsia" w:ascii="MS UI Gothic" w:hAnsi="MS UI Gothic" w:eastAsia="MS UI Gothic"/>
        </w:rPr>
      </w:pPr>
      <w:r>
        <w:rPr>
          <w:rFonts w:hint="eastAsia" w:ascii="MS UI Gothic" w:hAnsi="MS UI Gothic" w:eastAsia="MS UI Gothic"/>
          <w:w w:val="95"/>
        </w:rPr>
        <w:t xml:space="preserve">« </w:t>
      </w:r>
      <w:r>
        <w:rPr>
          <w:w w:val="95"/>
        </w:rPr>
        <w:t>国务院关于进一步加强企业安全生产工作的通知</w:t>
      </w:r>
      <w:r>
        <w:rPr>
          <w:rFonts w:hint="eastAsia" w:ascii="MS UI Gothic" w:hAnsi="MS UI Gothic" w:eastAsia="MS UI Gothic"/>
          <w:w w:val="95"/>
        </w:rPr>
        <w:t xml:space="preserve">» </w:t>
      </w:r>
      <w:r>
        <w:rPr>
          <w:rFonts w:hint="eastAsia" w:ascii="MS UI Gothic" w:hAnsi="MS UI Gothic" w:eastAsia="MS UI Gothic"/>
          <w:w w:val="140"/>
        </w:rPr>
        <w:t xml:space="preserve">( </w:t>
      </w:r>
      <w:r>
        <w:rPr>
          <w:w w:val="95"/>
        </w:rPr>
        <w:t xml:space="preserve">国发 </w:t>
      </w:r>
      <w:r>
        <w:rPr>
          <w:rFonts w:hint="eastAsia" w:ascii="MS UI Gothic" w:hAnsi="MS UI Gothic" w:eastAsia="MS UI Gothic"/>
          <w:w w:val="95"/>
        </w:rPr>
        <w:t xml:space="preserve">〔２０１０〕 ２３ </w:t>
      </w:r>
      <w:r>
        <w:rPr>
          <w:w w:val="95"/>
        </w:rPr>
        <w:t>号</w:t>
      </w:r>
      <w:r>
        <w:rPr>
          <w:rFonts w:hint="eastAsia" w:ascii="MS UI Gothic" w:hAnsi="MS UI Gothic" w:eastAsia="MS UI Gothic"/>
          <w:w w:val="140"/>
        </w:rPr>
        <w:t xml:space="preserve">) </w:t>
      </w:r>
      <w:r>
        <w:rPr>
          <w:w w:val="95"/>
        </w:rPr>
        <w:t>和国家有关规定</w:t>
      </w:r>
      <w:r>
        <w:rPr>
          <w:rFonts w:hint="eastAsia" w:ascii="MS UI Gothic" w:hAnsi="MS UI Gothic" w:eastAsia="MS UI Gothic"/>
          <w:w w:val="85"/>
        </w:rPr>
        <w:t xml:space="preserve">ꎬ </w:t>
      </w:r>
      <w:r>
        <w:rPr>
          <w:w w:val="95"/>
        </w:rPr>
        <w:t>制定本规定</w:t>
      </w:r>
      <w:r>
        <w:rPr>
          <w:rFonts w:hint="eastAsia" w:ascii="MS UI Gothic" w:hAnsi="MS UI Gothic" w:eastAsia="MS UI Gothic"/>
          <w:w w:val="85"/>
        </w:rPr>
        <w:t>ꎮ</w:t>
      </w:r>
    </w:p>
    <w:p>
      <w:pPr>
        <w:pStyle w:val="6"/>
        <w:tabs>
          <w:tab w:val="left" w:pos="1417"/>
        </w:tabs>
        <w:spacing w:line="254" w:lineRule="exact"/>
        <w:ind w:left="543" w:firstLine="0"/>
        <w:jc w:val="left"/>
      </w:pPr>
      <w:r>
        <w:rPr>
          <w:spacing w:val="3"/>
          <w:w w:val="105"/>
        </w:rPr>
        <w:t>第二</w:t>
      </w:r>
      <w:r>
        <w:rPr>
          <w:w w:val="105"/>
        </w:rPr>
        <w:t>条</w:t>
      </w:r>
      <w:r>
        <w:rPr>
          <w:w w:val="105"/>
        </w:rPr>
        <w:tab/>
      </w:r>
      <w:r>
        <w:rPr>
          <w:spacing w:val="21"/>
        </w:rPr>
        <w:t>金属非金属地下矿山企</w:t>
      </w:r>
      <w:r>
        <w:t>业</w:t>
      </w:r>
    </w:p>
    <w:p>
      <w:pPr>
        <w:pStyle w:val="6"/>
        <w:spacing w:before="56" w:line="240" w:lineRule="exact"/>
        <w:ind w:firstLine="0"/>
      </w:pPr>
      <w:r>
        <w:rPr>
          <w:rFonts w:hint="eastAsia" w:ascii="MS UI Gothic" w:eastAsia="MS UI Gothic"/>
          <w:spacing w:val="-21"/>
          <w:w w:val="105"/>
        </w:rPr>
        <w:t xml:space="preserve">( </w:t>
      </w:r>
      <w:r>
        <w:rPr>
          <w:spacing w:val="4"/>
          <w:w w:val="105"/>
        </w:rPr>
        <w:t>以下简称矿山企业</w:t>
      </w:r>
      <w:r>
        <w:rPr>
          <w:rFonts w:hint="eastAsia" w:ascii="MS UI Gothic" w:eastAsia="MS UI Gothic"/>
          <w:spacing w:val="3"/>
          <w:w w:val="105"/>
        </w:rPr>
        <w:t xml:space="preserve">)  </w:t>
      </w:r>
      <w:r>
        <w:rPr>
          <w:spacing w:val="7"/>
          <w:w w:val="105"/>
        </w:rPr>
        <w:t>领导带班下井和县</w:t>
      </w:r>
    </w:p>
    <w:p>
      <w:pPr>
        <w:pStyle w:val="6"/>
        <w:spacing w:before="175" w:line="295" w:lineRule="auto"/>
        <w:ind w:right="442"/>
        <w:rPr>
          <w:rFonts w:hint="eastAsia" w:ascii="MS UI Gothic" w:eastAsia="MS UI Gothic"/>
        </w:rPr>
      </w:pPr>
      <w:r>
        <w:br w:type="column"/>
      </w:r>
      <w:r>
        <w:t>第三条 本规定所称的矿山企业</w:t>
      </w:r>
      <w:r>
        <w:rPr>
          <w:rFonts w:hint="eastAsia" w:ascii="MS UI Gothic" w:eastAsia="MS UI Gothic"/>
          <w:w w:val="80"/>
        </w:rPr>
        <w:t xml:space="preserve">ꎬ </w:t>
      </w:r>
      <w:r>
        <w:t>是指金属非金属地下矿山生产企业及其所属各独立生产系统的矿井和新建</w:t>
      </w:r>
      <w:r>
        <w:rPr>
          <w:rFonts w:hint="eastAsia" w:ascii="MS UI Gothic" w:eastAsia="MS UI Gothic"/>
          <w:w w:val="80"/>
        </w:rPr>
        <w:t xml:space="preserve">、 </w:t>
      </w:r>
      <w:r>
        <w:t>改建</w:t>
      </w:r>
      <w:r>
        <w:rPr>
          <w:rFonts w:hint="eastAsia" w:ascii="MS UI Gothic" w:eastAsia="MS UI Gothic"/>
          <w:w w:val="80"/>
        </w:rPr>
        <w:t xml:space="preserve">、 </w:t>
      </w:r>
      <w:r>
        <w:t>扩建</w:t>
      </w:r>
      <w:r>
        <w:rPr>
          <w:rFonts w:hint="eastAsia" w:ascii="MS UI Gothic" w:eastAsia="MS UI Gothic"/>
          <w:w w:val="80"/>
        </w:rPr>
        <w:t xml:space="preserve">、 </w:t>
      </w:r>
      <w:r>
        <w:t>技术改造等建设矿井</w:t>
      </w:r>
      <w:r>
        <w:rPr>
          <w:rFonts w:hint="eastAsia" w:ascii="MS UI Gothic" w:eastAsia="MS UI Gothic"/>
          <w:w w:val="80"/>
        </w:rPr>
        <w:t>ꎮ</w:t>
      </w:r>
    </w:p>
    <w:p>
      <w:pPr>
        <w:pStyle w:val="6"/>
        <w:spacing w:line="295" w:lineRule="auto"/>
        <w:ind w:right="442"/>
        <w:rPr>
          <w:rFonts w:hint="eastAsia" w:ascii="MS UI Gothic" w:eastAsia="MS UI Gothic"/>
        </w:rPr>
      </w:pPr>
      <w:r>
        <w:t>本规定所称的矿山企业领导</w:t>
      </w:r>
      <w:r>
        <w:rPr>
          <w:rFonts w:hint="eastAsia" w:ascii="MS UI Gothic" w:eastAsia="MS UI Gothic"/>
          <w:w w:val="80"/>
        </w:rPr>
        <w:t xml:space="preserve">ꎬ </w:t>
      </w:r>
      <w:r>
        <w:t>是指矿山企业的主要负责人</w:t>
      </w:r>
      <w:r>
        <w:rPr>
          <w:rFonts w:hint="eastAsia" w:ascii="MS UI Gothic" w:eastAsia="MS UI Gothic"/>
          <w:w w:val="80"/>
        </w:rPr>
        <w:t xml:space="preserve">、 </w:t>
      </w:r>
      <w:r>
        <w:t>领导班子成员和副总工程师</w:t>
      </w:r>
      <w:r>
        <w:rPr>
          <w:rFonts w:hint="eastAsia" w:ascii="MS UI Gothic" w:eastAsia="MS UI Gothic"/>
          <w:w w:val="80"/>
        </w:rPr>
        <w:t>ꎮ</w:t>
      </w:r>
    </w:p>
    <w:p>
      <w:pPr>
        <w:pStyle w:val="6"/>
        <w:spacing w:line="254" w:lineRule="exact"/>
      </w:pPr>
      <w:r>
        <w:rPr>
          <w:spacing w:val="2"/>
          <w:w w:val="105"/>
        </w:rPr>
        <w:t>第四条 矿山企业是落实领导带班下</w:t>
      </w:r>
    </w:p>
    <w:p>
      <w:pPr>
        <w:pStyle w:val="6"/>
        <w:spacing w:before="1" w:line="310" w:lineRule="atLeast"/>
        <w:ind w:right="442" w:firstLine="0"/>
        <w:jc w:val="left"/>
      </w:pPr>
      <w:r>
        <w:rPr>
          <w:spacing w:val="3"/>
        </w:rPr>
        <w:t>井制度的责任主体</w:t>
      </w:r>
      <w:r>
        <w:rPr>
          <w:rFonts w:hint="eastAsia" w:ascii="MS UI Gothic" w:eastAsia="MS UI Gothic"/>
          <w:spacing w:val="20"/>
          <w:w w:val="80"/>
        </w:rPr>
        <w:t xml:space="preserve">ꎬ </w:t>
      </w:r>
      <w:r>
        <w:rPr>
          <w:spacing w:val="2"/>
        </w:rPr>
        <w:t>必须确保每个班次至</w:t>
      </w:r>
      <w:r>
        <w:rPr>
          <w:spacing w:val="-14"/>
        </w:rPr>
        <w:t xml:space="preserve">少有 </w:t>
      </w:r>
      <w:r>
        <w:rPr>
          <w:rFonts w:hint="eastAsia" w:ascii="MS UI Gothic" w:eastAsia="MS UI Gothic"/>
          <w:spacing w:val="8"/>
          <w:w w:val="80"/>
        </w:rPr>
        <w:t xml:space="preserve">１ </w:t>
      </w:r>
      <w:r>
        <w:rPr>
          <w:spacing w:val="3"/>
        </w:rPr>
        <w:t>名领导在井下现场带班</w:t>
      </w:r>
      <w:r>
        <w:rPr>
          <w:rFonts w:hint="eastAsia" w:ascii="MS UI Gothic" w:eastAsia="MS UI Gothic"/>
          <w:spacing w:val="7"/>
          <w:w w:val="80"/>
        </w:rPr>
        <w:t xml:space="preserve">ꎬ  </w:t>
      </w:r>
      <w:r>
        <w:rPr>
          <w:spacing w:val="3"/>
        </w:rPr>
        <w:t>并与工人</w:t>
      </w:r>
    </w:p>
    <w:p>
      <w:pPr>
        <w:spacing w:after="0" w:line="310" w:lineRule="atLeast"/>
        <w:jc w:val="left"/>
        <w:sectPr>
          <w:type w:val="continuous"/>
          <w:pgSz w:w="10500" w:h="14750"/>
          <w:pgMar w:top="1400" w:right="980" w:bottom="280" w:left="980" w:header="720" w:footer="720" w:gutter="0"/>
          <w:cols w:equalWidth="0" w:num="2">
            <w:col w:w="3934" w:space="258"/>
            <w:col w:w="4348"/>
          </w:cols>
        </w:sectPr>
      </w:pPr>
    </w:p>
    <w:p>
      <w:pPr>
        <w:pStyle w:val="6"/>
        <w:spacing w:before="63" w:line="295" w:lineRule="auto"/>
        <w:ind w:right="38" w:firstLine="0"/>
        <w:jc w:val="left"/>
        <w:rPr>
          <w:rFonts w:hint="eastAsia" w:ascii="MS UI Gothic" w:eastAsia="MS UI Gothic"/>
        </w:rPr>
      </w:pPr>
      <w:r>
        <w:t>级以上安全生产监督管理部门对其实施监督检查</w:t>
      </w:r>
      <w:r>
        <w:rPr>
          <w:rFonts w:hint="eastAsia" w:ascii="MS UI Gothic" w:eastAsia="MS UI Gothic"/>
          <w:w w:val="80"/>
        </w:rPr>
        <w:t xml:space="preserve">ꎬ </w:t>
      </w:r>
      <w:r>
        <w:t>适用本规定</w:t>
      </w:r>
      <w:r>
        <w:rPr>
          <w:rFonts w:hint="eastAsia" w:ascii="MS UI Gothic" w:eastAsia="MS UI Gothic"/>
          <w:w w:val="80"/>
        </w:rPr>
        <w:t>ꎮ</w:t>
      </w:r>
    </w:p>
    <w:p>
      <w:pPr>
        <w:pStyle w:val="6"/>
        <w:spacing w:before="63"/>
        <w:ind w:firstLine="0"/>
        <w:jc w:val="left"/>
        <w:rPr>
          <w:rFonts w:hint="eastAsia" w:ascii="MS UI Gothic" w:eastAsia="MS UI Gothic"/>
        </w:rPr>
      </w:pPr>
      <w:r>
        <w:br w:type="column"/>
      </w:r>
      <w:r>
        <w:t>同时下井</w:t>
      </w:r>
      <w:r>
        <w:rPr>
          <w:rFonts w:hint="eastAsia" w:ascii="MS UI Gothic" w:eastAsia="MS UI Gothic"/>
        </w:rPr>
        <w:t xml:space="preserve">、 </w:t>
      </w:r>
      <w:r>
        <w:t>同时升井</w:t>
      </w:r>
      <w:r>
        <w:rPr>
          <w:rFonts w:hint="eastAsia" w:ascii="MS UI Gothic" w:eastAsia="MS UI Gothic"/>
          <w:w w:val="80"/>
        </w:rPr>
        <w:t>ꎮ</w:t>
      </w:r>
    </w:p>
    <w:p>
      <w:pPr>
        <w:pStyle w:val="6"/>
        <w:spacing w:before="58"/>
        <w:ind w:left="543" w:firstLine="0"/>
        <w:jc w:val="left"/>
      </w:pPr>
      <w:r>
        <w:rPr>
          <w:w w:val="105"/>
        </w:rPr>
        <w:t>矿山企业的主要负责人对落实领导带</w:t>
      </w:r>
    </w:p>
    <w:p>
      <w:pPr>
        <w:spacing w:after="0"/>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４１９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55" o:spid="_x0000_s2255" o:spt="203" style="height:2.15pt;width:398.25pt;" coordsize="7965,43">
            <o:lock v:ext="edit"/>
            <v:line id="_x0000_s2256" o:spid="_x0000_s2256" o:spt="20" style="position:absolute;left:0;top:39;height:0;width:7965;" stroked="t" coordsize="21600,21600">
              <v:path arrowok="t"/>
              <v:fill focussize="0,0"/>
              <v:stroke weight="0.388031496062992pt" color="#231F20"/>
              <v:imagedata o:title=""/>
              <o:lock v:ext="edit"/>
            </v:line>
            <v:line id="_x0000_s2257" o:spid="_x0000_s225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班下井制度全面负责</w:t>
      </w:r>
      <w:r>
        <w:rPr>
          <w:rFonts w:hint="eastAsia" w:ascii="MS UI Gothic" w:eastAsia="MS UI Gothic"/>
          <w:w w:val="80"/>
        </w:rPr>
        <w:t>ꎮ</w:t>
      </w:r>
    </w:p>
    <w:p>
      <w:pPr>
        <w:pStyle w:val="6"/>
        <w:spacing w:before="58" w:line="295" w:lineRule="auto"/>
        <w:ind w:left="440" w:right="1"/>
        <w:rPr>
          <w:rFonts w:hint="eastAsia" w:ascii="MS UI Gothic" w:eastAsia="MS UI Gothic"/>
        </w:rPr>
      </w:pPr>
      <w:r>
        <w:rPr>
          <w:w w:val="105"/>
        </w:rPr>
        <w:t>第五条 安全生产监督管理部门对矿</w:t>
      </w:r>
      <w:r>
        <w:t>山企业落实领导带班下井制度情况进行监督检查</w:t>
      </w:r>
      <w:r>
        <w:rPr>
          <w:rFonts w:hint="eastAsia" w:ascii="MS UI Gothic" w:eastAsia="MS UI Gothic"/>
          <w:w w:val="80"/>
        </w:rPr>
        <w:t xml:space="preserve">ꎬ </w:t>
      </w:r>
      <w:r>
        <w:t>并依法作出现场处理或者实施行</w:t>
      </w:r>
      <w:r>
        <w:rPr>
          <w:w w:val="105"/>
        </w:rPr>
        <w:t>政处罚</w:t>
      </w:r>
      <w:r>
        <w:rPr>
          <w:rFonts w:hint="eastAsia" w:ascii="MS UI Gothic" w:eastAsia="MS UI Gothic"/>
          <w:w w:val="80"/>
        </w:rPr>
        <w:t>ꎮ</w:t>
      </w:r>
    </w:p>
    <w:p>
      <w:pPr>
        <w:pStyle w:val="6"/>
        <w:spacing w:line="295" w:lineRule="auto"/>
        <w:ind w:left="440" w:right="1"/>
        <w:rPr>
          <w:rFonts w:hint="eastAsia" w:ascii="MS UI Gothic" w:hAnsi="MS UI Gothic" w:eastAsia="MS UI Gothic"/>
        </w:rPr>
      </w:pPr>
      <w:r>
        <w:rPr>
          <w:w w:val="105"/>
        </w:rPr>
        <w:t xml:space="preserve">有关行业主管部门应当根据 </w:t>
      </w:r>
      <w:r>
        <w:rPr>
          <w:rFonts w:hint="eastAsia" w:ascii="MS UI Gothic" w:hAnsi="MS UI Gothic" w:eastAsia="MS UI Gothic"/>
          <w:w w:val="80"/>
        </w:rPr>
        <w:t xml:space="preserve">« </w:t>
      </w:r>
      <w:r>
        <w:rPr>
          <w:w w:val="105"/>
        </w:rPr>
        <w:t>国务</w:t>
      </w:r>
      <w:r>
        <w:t>院关于进一步加强企业安全生产工作的通</w:t>
      </w:r>
      <w:r>
        <w:rPr>
          <w:w w:val="105"/>
        </w:rPr>
        <w:t>知</w:t>
      </w:r>
      <w:r>
        <w:rPr>
          <w:rFonts w:hint="eastAsia" w:ascii="MS UI Gothic" w:hAnsi="MS UI Gothic" w:eastAsia="MS UI Gothic"/>
          <w:w w:val="80"/>
        </w:rPr>
        <w:t xml:space="preserve">» </w:t>
      </w:r>
      <w:r>
        <w:rPr>
          <w:w w:val="105"/>
        </w:rPr>
        <w:t>的要求</w:t>
      </w:r>
      <w:r>
        <w:rPr>
          <w:rFonts w:hint="eastAsia" w:ascii="MS UI Gothic" w:hAnsi="MS UI Gothic" w:eastAsia="MS UI Gothic"/>
          <w:w w:val="80"/>
        </w:rPr>
        <w:t xml:space="preserve">ꎬ </w:t>
      </w:r>
      <w:r>
        <w:rPr>
          <w:w w:val="105"/>
        </w:rPr>
        <w:t>按照各自职责做好矿山企</w:t>
      </w:r>
      <w:r>
        <w:t>业领导带班下井制度的落实工作</w:t>
      </w:r>
      <w:r>
        <w:rPr>
          <w:rFonts w:hint="eastAsia" w:ascii="MS UI Gothic" w:hAnsi="MS UI Gothic" w:eastAsia="MS UI Gothic"/>
          <w:w w:val="80"/>
        </w:rPr>
        <w:t xml:space="preserve">ꎬ </w:t>
      </w:r>
      <w:r>
        <w:t>配合安全生产监督管理部门开展矿山企业领导带班下井情况的监督检查和考核奖惩等</w:t>
      </w:r>
      <w:r>
        <w:rPr>
          <w:w w:val="105"/>
        </w:rPr>
        <w:t>工作</w:t>
      </w:r>
      <w:r>
        <w:rPr>
          <w:rFonts w:hint="eastAsia" w:ascii="MS UI Gothic" w:hAnsi="MS UI Gothic" w:eastAsia="MS UI Gothic"/>
          <w:w w:val="80"/>
        </w:rPr>
        <w:t>ꎮ</w:t>
      </w:r>
    </w:p>
    <w:p>
      <w:pPr>
        <w:pStyle w:val="6"/>
        <w:spacing w:line="295" w:lineRule="auto"/>
        <w:ind w:left="440"/>
        <w:rPr>
          <w:rFonts w:hint="eastAsia" w:ascii="MS UI Gothic" w:eastAsia="MS UI Gothic"/>
        </w:rPr>
      </w:pPr>
      <w:r>
        <w:t>第六条 任何单位和个人发现矿山企业领导未按照规定执行带班下井制度或者弄虚作假的</w:t>
      </w:r>
      <w:r>
        <w:rPr>
          <w:rFonts w:hint="eastAsia" w:ascii="MS UI Gothic" w:eastAsia="MS UI Gothic"/>
          <w:w w:val="80"/>
        </w:rPr>
        <w:t xml:space="preserve">ꎬ </w:t>
      </w:r>
      <w:r>
        <w:t>均有权向安全生产监督管理部门举报和报告</w:t>
      </w:r>
      <w:r>
        <w:rPr>
          <w:rFonts w:hint="eastAsia" w:ascii="MS UI Gothic" w:eastAsia="MS UI Gothic"/>
          <w:w w:val="80"/>
        </w:rPr>
        <w:t xml:space="preserve">ꎮ </w:t>
      </w:r>
      <w:r>
        <w:t>对举报和报告属实的</w:t>
      </w:r>
      <w:r>
        <w:rPr>
          <w:rFonts w:hint="eastAsia" w:ascii="MS UI Gothic" w:eastAsia="MS UI Gothic"/>
          <w:w w:val="80"/>
        </w:rPr>
        <w:t>ꎬ</w:t>
      </w:r>
      <w:r>
        <w:t>给予奖励</w:t>
      </w:r>
      <w:r>
        <w:rPr>
          <w:rFonts w:hint="eastAsia" w:ascii="MS UI Gothic" w:eastAsia="MS UI Gothic"/>
          <w:w w:val="80"/>
        </w:rPr>
        <w:t>ꎮ</w:t>
      </w:r>
    </w:p>
    <w:p>
      <w:pPr>
        <w:pStyle w:val="6"/>
        <w:tabs>
          <w:tab w:val="left" w:pos="2222"/>
        </w:tabs>
        <w:spacing w:before="145"/>
        <w:ind w:left="1384" w:firstLine="0"/>
        <w:jc w:val="left"/>
      </w:pPr>
      <w:r>
        <w:rPr>
          <w:spacing w:val="3"/>
          <w:w w:val="105"/>
        </w:rPr>
        <w:t>第二</w:t>
      </w:r>
      <w:r>
        <w:rPr>
          <w:w w:val="105"/>
        </w:rPr>
        <w:t>章</w:t>
      </w:r>
      <w:r>
        <w:rPr>
          <w:w w:val="105"/>
        </w:rPr>
        <w:tab/>
      </w:r>
      <w:r>
        <w:rPr>
          <w:w w:val="105"/>
        </w:rPr>
        <w:t>带</w:t>
      </w:r>
      <w:r>
        <w:rPr>
          <w:spacing w:val="-34"/>
          <w:w w:val="105"/>
        </w:rPr>
        <w:t xml:space="preserve"> </w:t>
      </w:r>
      <w:r>
        <w:rPr>
          <w:w w:val="105"/>
        </w:rPr>
        <w:t>班</w:t>
      </w:r>
      <w:r>
        <w:rPr>
          <w:spacing w:val="-33"/>
          <w:w w:val="105"/>
        </w:rPr>
        <w:t xml:space="preserve"> </w:t>
      </w:r>
      <w:r>
        <w:rPr>
          <w:w w:val="105"/>
        </w:rPr>
        <w:t>下</w:t>
      </w:r>
      <w:r>
        <w:rPr>
          <w:spacing w:val="-33"/>
          <w:w w:val="105"/>
        </w:rPr>
        <w:t xml:space="preserve"> </w:t>
      </w:r>
      <w:r>
        <w:rPr>
          <w:w w:val="105"/>
        </w:rPr>
        <w:t>井</w:t>
      </w:r>
    </w:p>
    <w:p>
      <w:pPr>
        <w:pStyle w:val="6"/>
        <w:spacing w:before="215" w:line="295" w:lineRule="auto"/>
        <w:ind w:left="440" w:right="1"/>
        <w:rPr>
          <w:rFonts w:hint="eastAsia" w:ascii="MS UI Gothic" w:eastAsia="MS UI Gothic"/>
        </w:rPr>
      </w:pPr>
      <w:r>
        <w:t>第七条 矿山企业应当建立健全领导带班下井制度</w:t>
      </w:r>
      <w:r>
        <w:rPr>
          <w:rFonts w:hint="eastAsia" w:ascii="MS UI Gothic" w:eastAsia="MS UI Gothic"/>
          <w:w w:val="80"/>
        </w:rPr>
        <w:t xml:space="preserve">ꎬ </w:t>
      </w:r>
      <w:r>
        <w:t>制定领导带班下井考核奖惩办法和月度计划</w:t>
      </w:r>
      <w:r>
        <w:rPr>
          <w:rFonts w:hint="eastAsia" w:ascii="MS UI Gothic" w:eastAsia="MS UI Gothic"/>
          <w:w w:val="80"/>
        </w:rPr>
        <w:t xml:space="preserve">ꎬ </w:t>
      </w:r>
      <w:r>
        <w:t>建立和完善领导带班下井档案</w:t>
      </w:r>
      <w:r>
        <w:rPr>
          <w:rFonts w:hint="eastAsia" w:ascii="MS UI Gothic" w:eastAsia="MS UI Gothic"/>
          <w:w w:val="80"/>
        </w:rPr>
        <w:t>ꎮ</w:t>
      </w:r>
    </w:p>
    <w:p>
      <w:pPr>
        <w:pStyle w:val="6"/>
        <w:spacing w:line="295" w:lineRule="auto"/>
        <w:ind w:left="440" w:right="1"/>
        <w:rPr>
          <w:rFonts w:hint="eastAsia" w:ascii="MS UI Gothic" w:eastAsia="MS UI Gothic"/>
        </w:rPr>
      </w:pPr>
      <w:r>
        <w:t>领导带班下井制度应当按照矿山企业的隶属关系报所在地县级以上安全生产监</w:t>
      </w:r>
      <w:r>
        <w:rPr>
          <w:w w:val="105"/>
        </w:rPr>
        <w:t>督管理部门备案</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第八条 矿山企业领导带班下井月度</w:t>
      </w:r>
      <w:r>
        <w:t>计划</w:t>
      </w:r>
      <w:r>
        <w:rPr>
          <w:rFonts w:hint="eastAsia" w:ascii="MS UI Gothic" w:eastAsia="MS UI Gothic"/>
          <w:w w:val="80"/>
        </w:rPr>
        <w:t xml:space="preserve">ꎬ </w:t>
      </w:r>
      <w:r>
        <w:t>应当明确每个工作班次带班下井的</w:t>
      </w:r>
      <w:r>
        <w:rPr>
          <w:w w:val="105"/>
        </w:rPr>
        <w:t>领导名单</w:t>
      </w:r>
      <w:r>
        <w:rPr>
          <w:rFonts w:hint="eastAsia" w:ascii="MS UI Gothic" w:eastAsia="MS UI Gothic"/>
          <w:w w:val="80"/>
        </w:rPr>
        <w:t xml:space="preserve">、 </w:t>
      </w:r>
      <w:r>
        <w:rPr>
          <w:w w:val="105"/>
        </w:rPr>
        <w:t>下井及升井的时间以及特殊情</w:t>
      </w:r>
      <w:r>
        <w:t>况下的请假与调换人员审批程序等内容</w:t>
      </w:r>
      <w:r>
        <w:rPr>
          <w:rFonts w:hint="eastAsia" w:ascii="MS UI Gothic" w:eastAsia="MS UI Gothic"/>
          <w:w w:val="80"/>
        </w:rPr>
        <w:t>ꎮ</w:t>
      </w:r>
    </w:p>
    <w:p>
      <w:pPr>
        <w:pStyle w:val="6"/>
        <w:spacing w:line="295" w:lineRule="auto"/>
        <w:ind w:left="440" w:right="1"/>
        <w:rPr>
          <w:rFonts w:hint="eastAsia" w:ascii="MS UI Gothic" w:eastAsia="MS UI Gothic"/>
        </w:rPr>
      </w:pPr>
      <w:r>
        <w:t>领导带班下井月度计划应当在本单位网站和办公楼及矿井井口予以公告</w:t>
      </w:r>
      <w:r>
        <w:rPr>
          <w:rFonts w:hint="eastAsia" w:ascii="MS UI Gothic" w:eastAsia="MS UI Gothic"/>
          <w:w w:val="80"/>
        </w:rPr>
        <w:t xml:space="preserve">ꎬ </w:t>
      </w:r>
      <w:r>
        <w:t>接受群众监督</w:t>
      </w:r>
      <w:r>
        <w:rPr>
          <w:rFonts w:hint="eastAsia" w:ascii="MS UI Gothic" w:eastAsia="MS UI Gothic"/>
          <w:w w:val="80"/>
        </w:rPr>
        <w:t>ꎮ</w:t>
      </w:r>
    </w:p>
    <w:p>
      <w:pPr>
        <w:pStyle w:val="6"/>
        <w:spacing w:line="295" w:lineRule="auto"/>
        <w:ind w:left="440" w:right="1"/>
        <w:rPr>
          <w:rFonts w:hint="eastAsia" w:ascii="MS UI Gothic" w:eastAsia="MS UI Gothic"/>
        </w:rPr>
      </w:pPr>
      <w:r>
        <w:t>第九条 矿山企业应当每月对领导带班下井情况进行考核</w:t>
      </w:r>
      <w:r>
        <w:rPr>
          <w:rFonts w:hint="eastAsia" w:ascii="MS UI Gothic" w:eastAsia="MS UI Gothic"/>
          <w:w w:val="80"/>
        </w:rPr>
        <w:t xml:space="preserve">ꎮ </w:t>
      </w:r>
      <w:r>
        <w:t>领导带班下井情况与其经济收入挂钩</w:t>
      </w:r>
      <w:r>
        <w:rPr>
          <w:rFonts w:hint="eastAsia" w:ascii="MS UI Gothic" w:eastAsia="MS UI Gothic"/>
          <w:w w:val="80"/>
        </w:rPr>
        <w:t xml:space="preserve">ꎬ </w:t>
      </w:r>
      <w:r>
        <w:t>对按照规定带班下井并认真履行职责的</w:t>
      </w:r>
      <w:r>
        <w:rPr>
          <w:rFonts w:hint="eastAsia" w:ascii="MS UI Gothic" w:eastAsia="MS UI Gothic"/>
          <w:w w:val="80"/>
        </w:rPr>
        <w:t xml:space="preserve">ꎬ </w:t>
      </w:r>
      <w:r>
        <w:t>给予奖励</w:t>
      </w:r>
      <w:r>
        <w:rPr>
          <w:rFonts w:hint="eastAsia" w:ascii="MS UI Gothic" w:eastAsia="MS UI Gothic"/>
          <w:w w:val="80"/>
        </w:rPr>
        <w:t xml:space="preserve">ꎻ </w:t>
      </w:r>
      <w:r>
        <w:t>对未按照规定带班下井</w:t>
      </w:r>
      <w:r>
        <w:rPr>
          <w:rFonts w:hint="eastAsia" w:ascii="MS UI Gothic" w:eastAsia="MS UI Gothic"/>
          <w:w w:val="80"/>
        </w:rPr>
        <w:t xml:space="preserve">、 </w:t>
      </w:r>
      <w:r>
        <w:t>冒名顶替下井或者弄虚作假的</w:t>
      </w:r>
      <w:r>
        <w:rPr>
          <w:rFonts w:hint="eastAsia" w:ascii="MS UI Gothic" w:eastAsia="MS UI Gothic"/>
          <w:w w:val="80"/>
        </w:rPr>
        <w:t xml:space="preserve">ꎬ </w:t>
      </w:r>
      <w:r>
        <w:t>按照有关规定予以处理</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t>矿山企业领导带班下井的月度计划完成情况</w:t>
      </w:r>
      <w:r>
        <w:rPr>
          <w:rFonts w:hint="eastAsia" w:ascii="MS UI Gothic" w:eastAsia="MS UI Gothic"/>
          <w:w w:val="80"/>
        </w:rPr>
        <w:t xml:space="preserve">ꎬ </w:t>
      </w:r>
      <w:r>
        <w:t>应当在矿山企业公示栏公示</w:t>
      </w:r>
      <w:r>
        <w:rPr>
          <w:rFonts w:hint="eastAsia" w:ascii="MS UI Gothic" w:eastAsia="MS UI Gothic"/>
          <w:w w:val="80"/>
        </w:rPr>
        <w:t xml:space="preserve">ꎬ </w:t>
      </w:r>
      <w:r>
        <w:t>接受群众监督</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第十条 矿山企业领导带班下井时</w:t>
      </w:r>
      <w:r>
        <w:rPr>
          <w:rFonts w:hint="eastAsia" w:ascii="MS UI Gothic" w:eastAsia="MS UI Gothic"/>
          <w:w w:val="80"/>
        </w:rPr>
        <w:t>ꎬ</w:t>
      </w:r>
      <w:r>
        <w:rPr>
          <w:w w:val="110"/>
        </w:rPr>
        <w:t>应当履行下列职责</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加强对井下重点部位</w:t>
      </w:r>
      <w:r>
        <w:rPr>
          <w:rFonts w:hint="eastAsia" w:ascii="MS UI Gothic" w:eastAsia="MS UI Gothic"/>
          <w:w w:val="80"/>
        </w:rPr>
        <w:t xml:space="preserve">、  </w:t>
      </w:r>
      <w:r>
        <w:rPr>
          <w:w w:val="105"/>
        </w:rPr>
        <w:t>关键环</w:t>
      </w:r>
      <w:r>
        <w:t>节的安全检查及检查巡视</w:t>
      </w:r>
      <w:r>
        <w:rPr>
          <w:rFonts w:hint="eastAsia" w:ascii="MS UI Gothic" w:eastAsia="MS UI Gothic"/>
          <w:w w:val="80"/>
        </w:rPr>
        <w:t xml:space="preserve">ꎬ </w:t>
      </w:r>
      <w:r>
        <w:t>全面掌握井下</w:t>
      </w:r>
      <w:r>
        <w:rPr>
          <w:w w:val="105"/>
        </w:rPr>
        <w:t>的安全生产情况</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及时发现和组织消除事故隐患</w:t>
      </w:r>
      <w:r>
        <w:t>和险情</w:t>
      </w:r>
      <w:r>
        <w:rPr>
          <w:rFonts w:hint="eastAsia" w:ascii="MS UI Gothic" w:eastAsia="MS UI Gothic"/>
          <w:w w:val="80"/>
        </w:rPr>
        <w:t xml:space="preserve">ꎬ </w:t>
      </w:r>
      <w:r>
        <w:t>及时制止违章违纪行为</w:t>
      </w:r>
      <w:r>
        <w:rPr>
          <w:rFonts w:hint="eastAsia" w:ascii="MS UI Gothic" w:eastAsia="MS UI Gothic"/>
          <w:w w:val="80"/>
        </w:rPr>
        <w:t xml:space="preserve">ꎬ </w:t>
      </w:r>
      <w:r>
        <w:t>严禁违</w:t>
      </w:r>
      <w:r>
        <w:rPr>
          <w:w w:val="105"/>
        </w:rPr>
        <w:t>章指挥</w:t>
      </w:r>
      <w:r>
        <w:rPr>
          <w:rFonts w:hint="eastAsia" w:ascii="MS UI Gothic" w:eastAsia="MS UI Gothic"/>
          <w:w w:val="80"/>
        </w:rPr>
        <w:t xml:space="preserve">ꎬ </w:t>
      </w:r>
      <w:r>
        <w:rPr>
          <w:w w:val="105"/>
        </w:rPr>
        <w:t>严禁超能力组织生产</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遇到险情时</w:t>
      </w:r>
      <w:r>
        <w:rPr>
          <w:rFonts w:hint="eastAsia" w:ascii="MS UI Gothic" w:eastAsia="MS UI Gothic"/>
          <w:w w:val="80"/>
        </w:rPr>
        <w:t xml:space="preserve">ꎬ </w:t>
      </w:r>
      <w:r>
        <w:rPr>
          <w:w w:val="105"/>
        </w:rPr>
        <w:t>立即下达停产撤人命令</w:t>
      </w:r>
      <w:r>
        <w:rPr>
          <w:rFonts w:hint="eastAsia" w:ascii="MS UI Gothic" w:eastAsia="MS UI Gothic"/>
          <w:w w:val="80"/>
        </w:rPr>
        <w:t xml:space="preserve">ꎬ </w:t>
      </w:r>
      <w:r>
        <w:rPr>
          <w:w w:val="105"/>
        </w:rPr>
        <w:t>组织涉险区域人员及时</w:t>
      </w:r>
      <w:r>
        <w:rPr>
          <w:rFonts w:hint="eastAsia" w:ascii="MS UI Gothic" w:eastAsia="MS UI Gothic"/>
          <w:w w:val="80"/>
        </w:rPr>
        <w:t xml:space="preserve">、 </w:t>
      </w:r>
      <w:r>
        <w:rPr>
          <w:w w:val="105"/>
        </w:rPr>
        <w:t>有序撤离到安全地点</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第十一条 矿山企业领导应当认真填</w:t>
      </w:r>
      <w:r>
        <w:t>写带班下井交接班记录</w:t>
      </w:r>
      <w:r>
        <w:rPr>
          <w:rFonts w:hint="eastAsia" w:ascii="MS UI Gothic" w:eastAsia="MS UI Gothic"/>
          <w:w w:val="80"/>
        </w:rPr>
        <w:t xml:space="preserve">ꎬ </w:t>
      </w:r>
      <w:r>
        <w:t>并向接班的领导</w:t>
      </w:r>
      <w:r>
        <w:rPr>
          <w:w w:val="105"/>
        </w:rPr>
        <w:t>详细说明井下安全生产状况</w:t>
      </w:r>
      <w:r>
        <w:rPr>
          <w:rFonts w:hint="eastAsia" w:ascii="MS UI Gothic" w:eastAsia="MS UI Gothic"/>
          <w:w w:val="80"/>
        </w:rPr>
        <w:t xml:space="preserve">、 </w:t>
      </w:r>
      <w:r>
        <w:rPr>
          <w:w w:val="105"/>
        </w:rPr>
        <w:t>存在的主要问题及其处理情况</w:t>
      </w:r>
      <w:r>
        <w:rPr>
          <w:rFonts w:hint="eastAsia" w:ascii="MS UI Gothic" w:eastAsia="MS UI Gothic"/>
          <w:w w:val="80"/>
        </w:rPr>
        <w:t xml:space="preserve">、 </w:t>
      </w:r>
      <w:r>
        <w:rPr>
          <w:w w:val="105"/>
        </w:rPr>
        <w:t>需要注意的事项等</w:t>
      </w:r>
      <w:r>
        <w:rPr>
          <w:rFonts w:hint="eastAsia" w:ascii="MS UI Gothic" w:eastAsia="MS UI Gothic"/>
          <w:w w:val="80"/>
        </w:rPr>
        <w:t>ꎮ</w:t>
      </w:r>
    </w:p>
    <w:p>
      <w:pPr>
        <w:pStyle w:val="6"/>
        <w:spacing w:line="295" w:lineRule="auto"/>
        <w:ind w:left="381" w:right="126"/>
        <w:rPr>
          <w:rFonts w:hint="eastAsia" w:ascii="MS UI Gothic" w:eastAsia="MS UI Gothic"/>
        </w:rPr>
      </w:pPr>
      <w:r>
        <w:t>第十二条 矿山企业领导升井后</w:t>
      </w:r>
      <w:r>
        <w:rPr>
          <w:rFonts w:hint="eastAsia" w:ascii="MS UI Gothic" w:eastAsia="MS UI Gothic"/>
          <w:w w:val="80"/>
        </w:rPr>
        <w:t xml:space="preserve">ꎬ </w:t>
      </w:r>
      <w:r>
        <w:t>应当及时将下井及升井的时间</w:t>
      </w:r>
      <w:r>
        <w:rPr>
          <w:rFonts w:hint="eastAsia" w:ascii="MS UI Gothic" w:eastAsia="MS UI Gothic"/>
          <w:w w:val="80"/>
        </w:rPr>
        <w:t xml:space="preserve">、 </w:t>
      </w:r>
      <w:r>
        <w:t>地点</w:t>
      </w:r>
      <w:r>
        <w:rPr>
          <w:rFonts w:hint="eastAsia" w:ascii="MS UI Gothic" w:eastAsia="MS UI Gothic"/>
          <w:w w:val="80"/>
        </w:rPr>
        <w:t xml:space="preserve">、 </w:t>
      </w:r>
      <w:r>
        <w:t>经过路线</w:t>
      </w:r>
      <w:r>
        <w:rPr>
          <w:rFonts w:hint="eastAsia" w:ascii="MS UI Gothic" w:eastAsia="MS UI Gothic"/>
          <w:w w:val="80"/>
        </w:rPr>
        <w:t xml:space="preserve">、 </w:t>
      </w:r>
      <w:r>
        <w:t>发现的问题及处理结果等有关情况进行登记</w:t>
      </w:r>
      <w:r>
        <w:rPr>
          <w:rFonts w:hint="eastAsia" w:ascii="MS UI Gothic" w:eastAsia="MS UI Gothic"/>
          <w:w w:val="80"/>
        </w:rPr>
        <w:t xml:space="preserve">ꎬ </w:t>
      </w:r>
      <w:r>
        <w:t>以存档备查</w:t>
      </w:r>
      <w:r>
        <w:rPr>
          <w:rFonts w:hint="eastAsia" w:ascii="MS UI Gothic" w:eastAsia="MS UI Gothic"/>
          <w:w w:val="80"/>
        </w:rPr>
        <w:t>ꎮ</w:t>
      </w:r>
    </w:p>
    <w:p>
      <w:pPr>
        <w:pStyle w:val="6"/>
        <w:spacing w:line="295" w:lineRule="auto"/>
        <w:ind w:left="381" w:right="126"/>
        <w:rPr>
          <w:rFonts w:hint="eastAsia" w:ascii="MS UI Gothic" w:eastAsia="MS UI Gothic"/>
        </w:rPr>
      </w:pPr>
      <w:r>
        <w:t>第十三条 矿山企业从业人员应当遵章守纪</w:t>
      </w:r>
      <w:r>
        <w:rPr>
          <w:rFonts w:hint="eastAsia" w:ascii="MS UI Gothic" w:eastAsia="MS UI Gothic"/>
          <w:w w:val="80"/>
        </w:rPr>
        <w:t xml:space="preserve">ꎬ </w:t>
      </w:r>
      <w:r>
        <w:t>服从带班下井领导的指挥和管理</w:t>
      </w:r>
      <w:r>
        <w:rPr>
          <w:rFonts w:hint="eastAsia" w:ascii="MS UI Gothic" w:eastAsia="MS UI Gothic"/>
          <w:w w:val="80"/>
        </w:rPr>
        <w:t>ꎮ</w:t>
      </w:r>
    </w:p>
    <w:p>
      <w:pPr>
        <w:pStyle w:val="6"/>
        <w:spacing w:line="295" w:lineRule="auto"/>
        <w:ind w:left="381" w:right="126"/>
        <w:rPr>
          <w:rFonts w:hint="eastAsia" w:ascii="MS UI Gothic" w:eastAsia="MS UI Gothic"/>
        </w:rPr>
      </w:pPr>
      <w:r>
        <w:t>矿山企业没有领导带班下井的</w:t>
      </w:r>
      <w:r>
        <w:rPr>
          <w:rFonts w:hint="eastAsia" w:ascii="MS UI Gothic" w:eastAsia="MS UI Gothic"/>
          <w:w w:val="80"/>
        </w:rPr>
        <w:t xml:space="preserve">ꎬ </w:t>
      </w:r>
      <w:r>
        <w:t>矿山企业从业人员有权拒绝下井作业</w:t>
      </w:r>
      <w:r>
        <w:rPr>
          <w:rFonts w:hint="eastAsia" w:ascii="MS UI Gothic" w:eastAsia="MS UI Gothic"/>
          <w:w w:val="80"/>
        </w:rPr>
        <w:t xml:space="preserve">ꎮ </w:t>
      </w:r>
      <w:r>
        <w:t>从业人员在井下作业过程中</w:t>
      </w:r>
      <w:r>
        <w:rPr>
          <w:rFonts w:hint="eastAsia" w:ascii="MS UI Gothic" w:eastAsia="MS UI Gothic"/>
          <w:w w:val="80"/>
        </w:rPr>
        <w:t xml:space="preserve">ꎬ </w:t>
      </w:r>
      <w:r>
        <w:t>发现并确认带班下井领导无故提前升井的</w:t>
      </w:r>
      <w:r>
        <w:rPr>
          <w:rFonts w:hint="eastAsia" w:ascii="MS UI Gothic" w:eastAsia="MS UI Gothic"/>
          <w:w w:val="80"/>
        </w:rPr>
        <w:t xml:space="preserve">ꎬ </w:t>
      </w:r>
      <w:r>
        <w:t>经向班组长或者队长说明后有权提前升井</w:t>
      </w:r>
      <w:r>
        <w:rPr>
          <w:rFonts w:hint="eastAsia" w:ascii="MS UI Gothic" w:eastAsia="MS UI Gothic"/>
          <w:w w:val="80"/>
        </w:rPr>
        <w:t>ꎮ</w:t>
      </w:r>
    </w:p>
    <w:p>
      <w:pPr>
        <w:pStyle w:val="6"/>
        <w:spacing w:line="295" w:lineRule="auto"/>
        <w:ind w:left="381" w:right="126"/>
        <w:rPr>
          <w:rFonts w:hint="eastAsia" w:ascii="MS UI Gothic" w:eastAsia="MS UI Gothic"/>
        </w:rPr>
      </w:pPr>
      <w:r>
        <w:t>矿山企业不得因从业人员依据前款规定拒绝下井或者提前升井而降低从业人员</w:t>
      </w:r>
      <w:r>
        <w:rPr>
          <w:w w:val="105"/>
        </w:rPr>
        <w:t>工资</w:t>
      </w:r>
      <w:r>
        <w:rPr>
          <w:rFonts w:hint="eastAsia" w:ascii="MS UI Gothic" w:eastAsia="MS UI Gothic"/>
          <w:w w:val="80"/>
        </w:rPr>
        <w:t xml:space="preserve">、 </w:t>
      </w:r>
      <w:r>
        <w:rPr>
          <w:w w:val="105"/>
        </w:rPr>
        <w:t>福利等待遇或者解除与其订立的劳动合同</w:t>
      </w:r>
      <w:r>
        <w:rPr>
          <w:rFonts w:hint="eastAsia" w:ascii="MS UI Gothic" w:eastAsia="MS UI Gothic"/>
          <w:w w:val="80"/>
        </w:rPr>
        <w:t>ꎮ</w:t>
      </w:r>
    </w:p>
    <w:p>
      <w:pPr>
        <w:pStyle w:val="6"/>
        <w:tabs>
          <w:tab w:val="left" w:pos="2162"/>
        </w:tabs>
        <w:spacing w:before="130"/>
        <w:ind w:left="1324" w:firstLine="0"/>
        <w:jc w:val="left"/>
      </w:pPr>
      <w:r>
        <w:rPr>
          <w:spacing w:val="3"/>
          <w:w w:val="105"/>
        </w:rPr>
        <w:t>第三</w:t>
      </w:r>
      <w:r>
        <w:rPr>
          <w:w w:val="105"/>
        </w:rPr>
        <w:t>章</w:t>
      </w:r>
      <w:r>
        <w:rPr>
          <w:w w:val="105"/>
        </w:rPr>
        <w:tab/>
      </w:r>
      <w:r>
        <w:rPr>
          <w:w w:val="105"/>
        </w:rPr>
        <w:t>监</w:t>
      </w:r>
      <w:r>
        <w:rPr>
          <w:spacing w:val="-33"/>
          <w:w w:val="105"/>
        </w:rPr>
        <w:t xml:space="preserve"> </w:t>
      </w:r>
      <w:r>
        <w:rPr>
          <w:w w:val="105"/>
        </w:rPr>
        <w:t>督</w:t>
      </w:r>
      <w:r>
        <w:rPr>
          <w:spacing w:val="-33"/>
          <w:w w:val="105"/>
        </w:rPr>
        <w:t xml:space="preserve"> </w:t>
      </w:r>
      <w:r>
        <w:rPr>
          <w:w w:val="105"/>
        </w:rPr>
        <w:t>检</w:t>
      </w:r>
      <w:r>
        <w:rPr>
          <w:spacing w:val="-33"/>
          <w:w w:val="105"/>
        </w:rPr>
        <w:t xml:space="preserve"> </w:t>
      </w:r>
      <w:r>
        <w:rPr>
          <w:w w:val="105"/>
        </w:rPr>
        <w:t>查</w:t>
      </w:r>
    </w:p>
    <w:p>
      <w:pPr>
        <w:pStyle w:val="6"/>
        <w:spacing w:before="216" w:line="295" w:lineRule="auto"/>
        <w:ind w:left="381" w:right="124"/>
      </w:pPr>
      <w:r>
        <w:t>第十四条 安全生产监督管理部门应当将矿山企业领导带班下井制度的建立</w:t>
      </w:r>
      <w:r>
        <w:rPr>
          <w:rFonts w:hint="eastAsia" w:ascii="MS UI Gothic" w:eastAsia="MS UI Gothic"/>
        </w:rPr>
        <w:t>、</w:t>
      </w:r>
      <w:r>
        <w:t>执行</w:t>
      </w:r>
      <w:r>
        <w:rPr>
          <w:rFonts w:hint="eastAsia" w:ascii="MS UI Gothic" w:eastAsia="MS UI Gothic"/>
        </w:rPr>
        <w:t xml:space="preserve">、 </w:t>
      </w:r>
      <w:r>
        <w:t>考核</w:t>
      </w:r>
      <w:r>
        <w:rPr>
          <w:rFonts w:hint="eastAsia" w:ascii="MS UI Gothic" w:eastAsia="MS UI Gothic"/>
        </w:rPr>
        <w:t xml:space="preserve">、 </w:t>
      </w:r>
      <w:r>
        <w:t>奖惩等情况作为安全监管的</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４２０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58" o:spid="_x0000_s2258" o:spt="203" style="height:2.15pt;width:398.25pt;" coordsize="7965,43">
            <o:lock v:ext="edit"/>
            <v:line id="_x0000_s2259" o:spid="_x0000_s2259" o:spt="20" style="position:absolute;left:0;top:39;height:0;width:7965;" stroked="t" coordsize="21600,21600">
              <v:path arrowok="t"/>
              <v:fill focussize="0,0"/>
              <v:stroke weight="0.388031496062992pt" color="#231F20"/>
              <v:imagedata o:title=""/>
              <o:lock v:ext="edit"/>
            </v:line>
            <v:line id="_x0000_s2260" o:spid="_x0000_s226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重要内容</w:t>
      </w:r>
      <w:r>
        <w:rPr>
          <w:rFonts w:hint="eastAsia" w:ascii="MS UI Gothic" w:eastAsia="MS UI Gothic"/>
          <w:w w:val="80"/>
        </w:rPr>
        <w:t xml:space="preserve">ꎬ </w:t>
      </w:r>
      <w:r>
        <w:t>并将其纳入年度安全监管执法工作计划</w:t>
      </w:r>
      <w:r>
        <w:rPr>
          <w:rFonts w:hint="eastAsia" w:ascii="MS UI Gothic" w:eastAsia="MS UI Gothic"/>
          <w:w w:val="80"/>
        </w:rPr>
        <w:t xml:space="preserve">ꎬ </w:t>
      </w:r>
      <w:r>
        <w:t>定期进行检查</w:t>
      </w:r>
      <w:r>
        <w:rPr>
          <w:rFonts w:hint="eastAsia" w:ascii="MS UI Gothic" w:eastAsia="MS UI Gothic"/>
          <w:w w:val="80"/>
        </w:rPr>
        <w:t>ꎮ</w:t>
      </w:r>
    </w:p>
    <w:p>
      <w:pPr>
        <w:pStyle w:val="6"/>
        <w:spacing w:line="295" w:lineRule="auto"/>
        <w:ind w:right="38"/>
        <w:rPr>
          <w:rFonts w:hint="eastAsia" w:ascii="MS UI Gothic" w:eastAsia="MS UI Gothic"/>
        </w:rPr>
      </w:pPr>
      <w:r>
        <w:t>第十五条 安全生产监督管理部门应当充分发挥电视</w:t>
      </w:r>
      <w:r>
        <w:rPr>
          <w:rFonts w:hint="eastAsia" w:ascii="MS UI Gothic" w:eastAsia="MS UI Gothic"/>
          <w:w w:val="80"/>
        </w:rPr>
        <w:t xml:space="preserve">、 </w:t>
      </w:r>
      <w:r>
        <w:t>广播</w:t>
      </w:r>
      <w:r>
        <w:rPr>
          <w:rFonts w:hint="eastAsia" w:ascii="MS UI Gothic" w:eastAsia="MS UI Gothic"/>
          <w:w w:val="80"/>
        </w:rPr>
        <w:t xml:space="preserve">、 </w:t>
      </w:r>
      <w:r>
        <w:t>报纸</w:t>
      </w:r>
      <w:r>
        <w:rPr>
          <w:rFonts w:hint="eastAsia" w:ascii="MS UI Gothic" w:eastAsia="MS UI Gothic"/>
          <w:w w:val="80"/>
        </w:rPr>
        <w:t xml:space="preserve">、 </w:t>
      </w:r>
      <w:r>
        <w:t>网络等新闻媒体的作用</w:t>
      </w:r>
      <w:r>
        <w:rPr>
          <w:rFonts w:hint="eastAsia" w:ascii="MS UI Gothic" w:eastAsia="MS UI Gothic"/>
          <w:w w:val="80"/>
        </w:rPr>
        <w:t xml:space="preserve">ꎬ </w:t>
      </w:r>
      <w:r>
        <w:t>加强对本行政区域内矿山企业领导带班下井情况的社会监督</w:t>
      </w:r>
      <w:r>
        <w:rPr>
          <w:rFonts w:hint="eastAsia" w:ascii="MS UI Gothic" w:eastAsia="MS UI Gothic"/>
          <w:w w:val="80"/>
        </w:rPr>
        <w:t>ꎮ</w:t>
      </w:r>
    </w:p>
    <w:p>
      <w:pPr>
        <w:pStyle w:val="6"/>
        <w:spacing w:line="295" w:lineRule="auto"/>
        <w:ind w:right="38"/>
        <w:rPr>
          <w:rFonts w:hint="eastAsia" w:ascii="MS UI Gothic" w:eastAsia="MS UI Gothic"/>
        </w:rPr>
      </w:pPr>
      <w:r>
        <w:t>第十六条 安全生产监督管理部门应当建立举报制度</w:t>
      </w:r>
      <w:r>
        <w:rPr>
          <w:rFonts w:hint="eastAsia" w:ascii="MS UI Gothic" w:eastAsia="MS UI Gothic"/>
          <w:w w:val="80"/>
        </w:rPr>
        <w:t xml:space="preserve">ꎬ </w:t>
      </w:r>
      <w:r>
        <w:t>公开举报电话</w:t>
      </w:r>
      <w:r>
        <w:rPr>
          <w:rFonts w:hint="eastAsia" w:ascii="MS UI Gothic" w:eastAsia="MS UI Gothic"/>
          <w:w w:val="80"/>
        </w:rPr>
        <w:t xml:space="preserve">、 </w:t>
      </w:r>
      <w:r>
        <w:t>信箱或者电子邮件地址</w:t>
      </w:r>
      <w:r>
        <w:rPr>
          <w:rFonts w:hint="eastAsia" w:ascii="MS UI Gothic" w:eastAsia="MS UI Gothic"/>
          <w:w w:val="80"/>
        </w:rPr>
        <w:t xml:space="preserve">ꎬ </w:t>
      </w:r>
      <w:r>
        <w:t>受理有关举报</w:t>
      </w:r>
      <w:r>
        <w:rPr>
          <w:rFonts w:hint="eastAsia" w:ascii="MS UI Gothic" w:eastAsia="MS UI Gothic"/>
          <w:w w:val="80"/>
        </w:rPr>
        <w:t xml:space="preserve">ꎻ </w:t>
      </w:r>
      <w:r>
        <w:t>对于受理的举报</w:t>
      </w:r>
      <w:r>
        <w:rPr>
          <w:rFonts w:hint="eastAsia" w:ascii="MS UI Gothic" w:eastAsia="MS UI Gothic"/>
          <w:w w:val="80"/>
        </w:rPr>
        <w:t xml:space="preserve">ꎬ </w:t>
      </w:r>
      <w:r>
        <w:t>应当认真调查核实</w:t>
      </w:r>
      <w:r>
        <w:rPr>
          <w:rFonts w:hint="eastAsia" w:ascii="MS UI Gothic" w:eastAsia="MS UI Gothic"/>
          <w:w w:val="80"/>
        </w:rPr>
        <w:t xml:space="preserve">ꎻ </w:t>
      </w:r>
      <w:r>
        <w:t>经查证属实的</w:t>
      </w:r>
      <w:r>
        <w:rPr>
          <w:rFonts w:hint="eastAsia" w:ascii="MS UI Gothic" w:eastAsia="MS UI Gothic"/>
          <w:w w:val="80"/>
        </w:rPr>
        <w:t xml:space="preserve">ꎬ </w:t>
      </w:r>
      <w:r>
        <w:t>依法从重处罚</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第十七条 安全生产监督管理部门应</w:t>
      </w:r>
      <w:r>
        <w:t>当定期将矿山企业领导带班下井制度监督检查结果和处罚情况予以公告</w:t>
      </w:r>
      <w:r>
        <w:rPr>
          <w:rFonts w:hint="eastAsia" w:ascii="MS UI Gothic" w:eastAsia="MS UI Gothic"/>
          <w:w w:val="80"/>
        </w:rPr>
        <w:t xml:space="preserve">ꎬ </w:t>
      </w:r>
      <w:r>
        <w:t>接受社会</w:t>
      </w:r>
      <w:r>
        <w:rPr>
          <w:w w:val="105"/>
        </w:rPr>
        <w:t>监督</w:t>
      </w:r>
      <w:r>
        <w:rPr>
          <w:rFonts w:hint="eastAsia" w:ascii="MS UI Gothic" w:eastAsia="MS UI Gothic"/>
          <w:w w:val="80"/>
        </w:rPr>
        <w:t>ꎮ</w:t>
      </w:r>
    </w:p>
    <w:p>
      <w:pPr>
        <w:pStyle w:val="6"/>
        <w:tabs>
          <w:tab w:val="left" w:pos="1906"/>
        </w:tabs>
        <w:spacing w:before="145"/>
        <w:ind w:left="1067" w:firstLine="0"/>
        <w:jc w:val="left"/>
      </w:pPr>
      <w:r>
        <w:rPr>
          <w:spacing w:val="3"/>
          <w:w w:val="105"/>
        </w:rPr>
        <w:t>第四</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11"/>
        <w:ind w:left="0" w:firstLine="0"/>
        <w:jc w:val="left"/>
        <w:rPr>
          <w:sz w:val="16"/>
        </w:rPr>
      </w:pPr>
    </w:p>
    <w:p>
      <w:pPr>
        <w:pStyle w:val="6"/>
        <w:spacing w:line="295" w:lineRule="auto"/>
        <w:ind w:right="38"/>
        <w:rPr>
          <w:rFonts w:hint="eastAsia" w:ascii="MS UI Gothic" w:eastAsia="MS UI Gothic"/>
        </w:rPr>
      </w:pPr>
      <w:r>
        <w:t>第十八条 矿山企业未按照规定建立健全领导带班下井制度或者未制定领导带班下井月度计划的</w:t>
      </w:r>
      <w:r>
        <w:rPr>
          <w:rFonts w:hint="eastAsia" w:ascii="MS UI Gothic" w:eastAsia="MS UI Gothic"/>
          <w:w w:val="80"/>
        </w:rPr>
        <w:t xml:space="preserve">ꎬ </w:t>
      </w:r>
      <w:r>
        <w:t>给予警告</w:t>
      </w:r>
      <w:r>
        <w:rPr>
          <w:rFonts w:hint="eastAsia" w:ascii="MS UI Gothic" w:eastAsia="MS UI Gothic"/>
          <w:w w:val="80"/>
        </w:rPr>
        <w:t xml:space="preserve">ꎬ </w:t>
      </w:r>
      <w:r>
        <w:t xml:space="preserve">并处 </w:t>
      </w:r>
      <w:r>
        <w:rPr>
          <w:rFonts w:hint="eastAsia" w:ascii="MS UI Gothic" w:eastAsia="MS UI Gothic"/>
          <w:w w:val="80"/>
        </w:rPr>
        <w:t xml:space="preserve">３ </w:t>
      </w:r>
      <w:r>
        <w:t>万元的罚款</w:t>
      </w:r>
      <w:r>
        <w:rPr>
          <w:rFonts w:hint="eastAsia" w:ascii="MS UI Gothic" w:eastAsia="MS UI Gothic"/>
          <w:w w:val="80"/>
        </w:rPr>
        <w:t xml:space="preserve">ꎻ </w:t>
      </w:r>
      <w:r>
        <w:t>对其主要负责人给予警告</w:t>
      </w:r>
      <w:r>
        <w:rPr>
          <w:rFonts w:hint="eastAsia" w:ascii="MS UI Gothic" w:eastAsia="MS UI Gothic"/>
          <w:w w:val="80"/>
        </w:rPr>
        <w:t xml:space="preserve">ꎬ </w:t>
      </w:r>
      <w:r>
        <w:t xml:space="preserve">并处 </w:t>
      </w:r>
      <w:r>
        <w:rPr>
          <w:rFonts w:hint="eastAsia" w:ascii="MS UI Gothic" w:eastAsia="MS UI Gothic"/>
          <w:w w:val="80"/>
        </w:rPr>
        <w:t xml:space="preserve">１ </w:t>
      </w:r>
      <w:r>
        <w:t>万元的罚款</w:t>
      </w:r>
      <w:r>
        <w:rPr>
          <w:rFonts w:hint="eastAsia" w:ascii="MS UI Gothic" w:eastAsia="MS UI Gothic"/>
          <w:w w:val="80"/>
        </w:rPr>
        <w:t xml:space="preserve">ꎻ </w:t>
      </w:r>
      <w:r>
        <w:t>情节严重的</w:t>
      </w:r>
      <w:r>
        <w:rPr>
          <w:rFonts w:hint="eastAsia" w:ascii="MS UI Gothic" w:eastAsia="MS UI Gothic"/>
          <w:w w:val="80"/>
        </w:rPr>
        <w:t xml:space="preserve">ꎬ </w:t>
      </w:r>
      <w:r>
        <w:t>依法暂扣其安全生产许可证</w:t>
      </w:r>
      <w:r>
        <w:rPr>
          <w:rFonts w:hint="eastAsia" w:ascii="MS UI Gothic" w:eastAsia="MS UI Gothic"/>
          <w:w w:val="80"/>
        </w:rPr>
        <w:t xml:space="preserve">ꎬ </w:t>
      </w:r>
      <w:r>
        <w:t>责令停产整顿</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第十九条 矿山企业存在下列行为之</w:t>
      </w:r>
      <w:r>
        <w:rPr>
          <w:spacing w:val="3"/>
          <w:w w:val="105"/>
        </w:rPr>
        <w:t>一的</w:t>
      </w:r>
      <w:r>
        <w:rPr>
          <w:rFonts w:hint="eastAsia" w:ascii="MS UI Gothic" w:eastAsia="MS UI Gothic"/>
          <w:spacing w:val="3"/>
          <w:w w:val="80"/>
        </w:rPr>
        <w:t xml:space="preserve">ꎬ </w:t>
      </w:r>
      <w:r>
        <w:rPr>
          <w:spacing w:val="16"/>
          <w:w w:val="105"/>
        </w:rPr>
        <w:t>责令限期整改</w:t>
      </w:r>
      <w:r>
        <w:rPr>
          <w:rFonts w:hint="eastAsia" w:ascii="MS UI Gothic" w:eastAsia="MS UI Gothic"/>
          <w:spacing w:val="7"/>
          <w:w w:val="80"/>
        </w:rPr>
        <w:t xml:space="preserve">ꎬ </w:t>
      </w:r>
      <w:r>
        <w:rPr>
          <w:spacing w:val="-16"/>
          <w:w w:val="105"/>
        </w:rPr>
        <w:t xml:space="preserve">并处 </w:t>
      </w:r>
      <w:r>
        <w:rPr>
          <w:rFonts w:hint="eastAsia" w:ascii="MS UI Gothic" w:eastAsia="MS UI Gothic"/>
          <w:spacing w:val="-3"/>
          <w:w w:val="80"/>
        </w:rPr>
        <w:t xml:space="preserve">３ </w:t>
      </w:r>
      <w:r>
        <w:rPr>
          <w:spacing w:val="15"/>
          <w:w w:val="105"/>
        </w:rPr>
        <w:t>万元的罚</w:t>
      </w:r>
      <w:r>
        <w:rPr>
          <w:spacing w:val="3"/>
          <w:w w:val="105"/>
        </w:rPr>
        <w:t>款</w:t>
      </w:r>
      <w:r>
        <w:rPr>
          <w:rFonts w:hint="eastAsia" w:ascii="MS UI Gothic" w:eastAsia="MS UI Gothic"/>
          <w:spacing w:val="-1"/>
          <w:w w:val="80"/>
        </w:rPr>
        <w:t xml:space="preserve">ꎻ </w:t>
      </w:r>
      <w:r>
        <w:rPr>
          <w:spacing w:val="3"/>
          <w:w w:val="105"/>
        </w:rPr>
        <w:t>对其主要负责人给予警告</w:t>
      </w:r>
      <w:r>
        <w:rPr>
          <w:rFonts w:hint="eastAsia" w:ascii="MS UI Gothic" w:eastAsia="MS UI Gothic"/>
          <w:spacing w:val="-1"/>
          <w:w w:val="80"/>
        </w:rPr>
        <w:t xml:space="preserve">ꎬ </w:t>
      </w:r>
      <w:r>
        <w:rPr>
          <w:spacing w:val="-27"/>
          <w:w w:val="105"/>
        </w:rPr>
        <w:t xml:space="preserve">并处 </w:t>
      </w:r>
      <w:r>
        <w:rPr>
          <w:rFonts w:hint="eastAsia" w:ascii="MS UI Gothic" w:eastAsia="MS UI Gothic"/>
          <w:spacing w:val="-11"/>
          <w:w w:val="80"/>
        </w:rPr>
        <w:t xml:space="preserve">１ </w:t>
      </w:r>
      <w:r>
        <w:rPr>
          <w:w w:val="105"/>
        </w:rPr>
        <w:t>万</w:t>
      </w:r>
      <w:r>
        <w:rPr>
          <w:spacing w:val="3"/>
          <w:w w:val="105"/>
        </w:rPr>
        <w:t>元的罚款</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领导带班下井制度未按照规定报安全生产监督管理部门备案的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未按照规定公告领导带班下井</w:t>
      </w:r>
      <w:r>
        <w:rPr>
          <w:w w:val="110"/>
        </w:rPr>
        <w:t>月度计划的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未按照规定公示领导带班下井</w:t>
      </w:r>
      <w:r>
        <w:rPr>
          <w:w w:val="110"/>
        </w:rPr>
        <w:t>月度计划完成情况的</w:t>
      </w:r>
      <w:r>
        <w:rPr>
          <w:rFonts w:hint="eastAsia" w:ascii="MS UI Gothic" w:eastAsia="MS UI Gothic"/>
          <w:w w:val="80"/>
        </w:rPr>
        <w:t>ꎮ</w:t>
      </w:r>
    </w:p>
    <w:p>
      <w:pPr>
        <w:pStyle w:val="6"/>
        <w:spacing w:line="295" w:lineRule="auto"/>
        <w:ind w:left="118" w:right="38" w:firstLine="425"/>
        <w:rPr>
          <w:rFonts w:hint="eastAsia" w:ascii="MS UI Gothic" w:eastAsia="MS UI Gothic"/>
        </w:rPr>
      </w:pPr>
      <w:r>
        <w:t>第二十条 矿山企业领导未按照规定填写带班下井交接班记录</w:t>
      </w:r>
      <w:r>
        <w:rPr>
          <w:rFonts w:hint="eastAsia" w:ascii="MS UI Gothic" w:eastAsia="MS UI Gothic"/>
          <w:w w:val="80"/>
        </w:rPr>
        <w:t xml:space="preserve">、 </w:t>
      </w:r>
      <w:r>
        <w:t>带班下井登记档案</w:t>
      </w:r>
      <w:r>
        <w:rPr>
          <w:rFonts w:hint="eastAsia" w:ascii="MS UI Gothic" w:eastAsia="MS UI Gothic"/>
          <w:w w:val="80"/>
        </w:rPr>
        <w:t xml:space="preserve">ꎬ </w:t>
      </w:r>
      <w:r>
        <w:t>或者弄虚作假的</w:t>
      </w:r>
      <w:r>
        <w:rPr>
          <w:rFonts w:hint="eastAsia" w:ascii="MS UI Gothic" w:eastAsia="MS UI Gothic"/>
          <w:w w:val="80"/>
        </w:rPr>
        <w:t xml:space="preserve">ꎬ </w:t>
      </w:r>
      <w:r>
        <w:t>给予警告</w:t>
      </w:r>
      <w:r>
        <w:rPr>
          <w:rFonts w:hint="eastAsia" w:ascii="MS UI Gothic" w:eastAsia="MS UI Gothic"/>
          <w:w w:val="80"/>
        </w:rPr>
        <w:t xml:space="preserve">ꎬ </w:t>
      </w:r>
      <w:r>
        <w:t>并处</w:t>
      </w:r>
      <w:r>
        <w:rPr>
          <w:rFonts w:hint="eastAsia" w:ascii="MS UI Gothic" w:eastAsia="MS UI Gothic"/>
          <w:w w:val="80"/>
        </w:rPr>
        <w:t xml:space="preserve">１ </w:t>
      </w:r>
      <w:r>
        <w:t>万元的罚款</w:t>
      </w:r>
      <w:r>
        <w:rPr>
          <w:rFonts w:hint="eastAsia" w:ascii="MS UI Gothic" w:eastAsia="MS UI Gothic"/>
          <w:w w:val="80"/>
        </w:rPr>
        <w:t>ꎮ</w:t>
      </w:r>
    </w:p>
    <w:p>
      <w:pPr>
        <w:pStyle w:val="6"/>
        <w:spacing w:line="295" w:lineRule="auto"/>
        <w:ind w:right="38"/>
      </w:pPr>
      <w:r>
        <w:t>第二十一条 矿山企业领导未按照规定带班下井的</w:t>
      </w:r>
      <w:r>
        <w:rPr>
          <w:rFonts w:hint="eastAsia" w:ascii="MS UI Gothic" w:eastAsia="MS UI Gothic"/>
          <w:w w:val="80"/>
        </w:rPr>
        <w:t xml:space="preserve">ꎬ </w:t>
      </w:r>
      <w:r>
        <w:t>对矿山企业给予警告</w:t>
      </w:r>
      <w:r>
        <w:rPr>
          <w:rFonts w:hint="eastAsia" w:ascii="MS UI Gothic" w:eastAsia="MS UI Gothic"/>
          <w:w w:val="80"/>
        </w:rPr>
        <w:t xml:space="preserve">ꎬ </w:t>
      </w:r>
      <w:r>
        <w:t>处</w:t>
      </w:r>
    </w:p>
    <w:p>
      <w:pPr>
        <w:pStyle w:val="6"/>
        <w:spacing w:before="123" w:line="295" w:lineRule="auto"/>
        <w:ind w:right="442" w:hanging="6"/>
        <w:rPr>
          <w:rFonts w:hint="eastAsia" w:ascii="MS UI Gothic" w:eastAsia="MS UI Gothic"/>
        </w:rPr>
      </w:pPr>
      <w:r>
        <w:br w:type="column"/>
      </w:r>
      <w:r>
        <w:rPr>
          <w:rFonts w:hint="eastAsia" w:ascii="MS UI Gothic" w:eastAsia="MS UI Gothic"/>
        </w:rPr>
        <w:t xml:space="preserve">３ </w:t>
      </w:r>
      <w:r>
        <w:t>万元的罚款</w:t>
      </w:r>
      <w:r>
        <w:rPr>
          <w:rFonts w:hint="eastAsia" w:ascii="MS UI Gothic" w:eastAsia="MS UI Gothic"/>
          <w:w w:val="80"/>
        </w:rPr>
        <w:t xml:space="preserve">ꎻ </w:t>
      </w:r>
      <w:r>
        <w:t>情节严重的</w:t>
      </w:r>
      <w:r>
        <w:rPr>
          <w:rFonts w:hint="eastAsia" w:ascii="MS UI Gothic" w:eastAsia="MS UI Gothic"/>
          <w:w w:val="80"/>
        </w:rPr>
        <w:t xml:space="preserve">ꎬ </w:t>
      </w:r>
      <w:r>
        <w:t>依法责令停产整顿</w:t>
      </w:r>
      <w:r>
        <w:rPr>
          <w:rFonts w:hint="eastAsia" w:ascii="MS UI Gothic" w:eastAsia="MS UI Gothic"/>
          <w:w w:val="80"/>
        </w:rPr>
        <w:t xml:space="preserve">ꎻ </w:t>
      </w:r>
      <w:r>
        <w:t>对违反规定的矿山企业领导按照擅离职守处理</w:t>
      </w:r>
      <w:r>
        <w:rPr>
          <w:rFonts w:hint="eastAsia" w:ascii="MS UI Gothic" w:eastAsia="MS UI Gothic"/>
          <w:w w:val="80"/>
        </w:rPr>
        <w:t xml:space="preserve">ꎬ </w:t>
      </w:r>
      <w:r>
        <w:t xml:space="preserve">并处 </w:t>
      </w:r>
      <w:r>
        <w:rPr>
          <w:rFonts w:hint="eastAsia" w:ascii="MS UI Gothic" w:eastAsia="MS UI Gothic"/>
        </w:rPr>
        <w:t xml:space="preserve">１ </w:t>
      </w:r>
      <w:r>
        <w:t>万元的罚款</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第二十二条 对发生生产安全事故而</w:t>
      </w:r>
      <w:r>
        <w:t>没有领导带班下井的矿山企业</w:t>
      </w:r>
      <w:r>
        <w:rPr>
          <w:rFonts w:hint="eastAsia" w:ascii="MS UI Gothic" w:eastAsia="MS UI Gothic"/>
          <w:w w:val="80"/>
        </w:rPr>
        <w:t xml:space="preserve">ꎬ </w:t>
      </w:r>
      <w:r>
        <w:t>依法责令停产整顿</w:t>
      </w:r>
      <w:r>
        <w:rPr>
          <w:rFonts w:hint="eastAsia" w:ascii="MS UI Gothic" w:eastAsia="MS UI Gothic"/>
          <w:w w:val="80"/>
        </w:rPr>
        <w:t xml:space="preserve">ꎬ </w:t>
      </w:r>
      <w:r>
        <w:t>暂扣或者吊销安全生产许可证</w:t>
      </w:r>
      <w:r>
        <w:rPr>
          <w:rFonts w:hint="eastAsia" w:ascii="MS UI Gothic" w:eastAsia="MS UI Gothic"/>
          <w:w w:val="80"/>
        </w:rPr>
        <w:t xml:space="preserve">ꎬ </w:t>
      </w:r>
      <w:r>
        <w:t>并依照下列规定处以罚款</w:t>
      </w:r>
      <w:r>
        <w:rPr>
          <w:rFonts w:hint="eastAsia" w:ascii="MS UI Gothic" w:eastAsia="MS UI Gothic"/>
          <w:w w:val="80"/>
        </w:rPr>
        <w:t xml:space="preserve">ꎻ </w:t>
      </w:r>
      <w:r>
        <w:t>情节严重</w:t>
      </w:r>
      <w:r>
        <w:rPr>
          <w:w w:val="105"/>
        </w:rPr>
        <w:t>的</w:t>
      </w:r>
      <w:r>
        <w:rPr>
          <w:rFonts w:hint="eastAsia" w:ascii="MS UI Gothic" w:eastAsia="MS UI Gothic"/>
          <w:w w:val="80"/>
        </w:rPr>
        <w:t xml:space="preserve">ꎬ </w:t>
      </w:r>
      <w:r>
        <w:rPr>
          <w:w w:val="105"/>
        </w:rPr>
        <w:t>提请有关人民政府依法予以关闭</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19"/>
          <w:w w:val="145"/>
        </w:rPr>
        <w:t>(</w:t>
      </w:r>
      <w:r>
        <w:rPr>
          <w:spacing w:val="3"/>
          <w:w w:val="105"/>
        </w:rPr>
        <w:t>一</w:t>
      </w:r>
      <w:r>
        <w:rPr>
          <w:rFonts w:hint="eastAsia" w:ascii="MS UI Gothic" w:eastAsia="MS UI Gothic"/>
          <w:spacing w:val="1"/>
          <w:w w:val="145"/>
        </w:rPr>
        <w:t xml:space="preserve">) </w:t>
      </w:r>
      <w:r>
        <w:rPr>
          <w:spacing w:val="18"/>
          <w:w w:val="105"/>
        </w:rPr>
        <w:t>发生一般事故</w:t>
      </w:r>
      <w:r>
        <w:rPr>
          <w:rFonts w:hint="eastAsia" w:ascii="MS UI Gothic" w:eastAsia="MS UI Gothic"/>
          <w:spacing w:val="17"/>
          <w:w w:val="85"/>
        </w:rPr>
        <w:t xml:space="preserve">ꎬ </w:t>
      </w:r>
      <w:r>
        <w:rPr>
          <w:spacing w:val="-27"/>
          <w:w w:val="105"/>
        </w:rPr>
        <w:t xml:space="preserve">处 </w:t>
      </w:r>
      <w:r>
        <w:rPr>
          <w:rFonts w:hint="eastAsia" w:ascii="MS UI Gothic" w:eastAsia="MS UI Gothic"/>
          <w:spacing w:val="2"/>
          <w:w w:val="85"/>
        </w:rPr>
        <w:t xml:space="preserve">２０ </w:t>
      </w:r>
      <w:r>
        <w:rPr>
          <w:spacing w:val="14"/>
          <w:w w:val="105"/>
        </w:rPr>
        <w:t>万元的</w:t>
      </w:r>
      <w:r>
        <w:rPr>
          <w:spacing w:val="3"/>
          <w:w w:val="105"/>
        </w:rPr>
        <w:t>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spacing w:val="19"/>
          <w:w w:val="145"/>
        </w:rPr>
        <w:t>(</w:t>
      </w:r>
      <w:r>
        <w:rPr>
          <w:spacing w:val="3"/>
          <w:w w:val="105"/>
        </w:rPr>
        <w:t>二</w:t>
      </w:r>
      <w:r>
        <w:rPr>
          <w:rFonts w:hint="eastAsia" w:ascii="MS UI Gothic" w:eastAsia="MS UI Gothic"/>
          <w:spacing w:val="1"/>
          <w:w w:val="145"/>
        </w:rPr>
        <w:t xml:space="preserve">) </w:t>
      </w:r>
      <w:r>
        <w:rPr>
          <w:spacing w:val="18"/>
          <w:w w:val="105"/>
        </w:rPr>
        <w:t>发生较大事故</w:t>
      </w:r>
      <w:r>
        <w:rPr>
          <w:rFonts w:hint="eastAsia" w:ascii="MS UI Gothic" w:eastAsia="MS UI Gothic"/>
          <w:spacing w:val="17"/>
          <w:w w:val="85"/>
        </w:rPr>
        <w:t xml:space="preserve">ꎬ </w:t>
      </w:r>
      <w:r>
        <w:rPr>
          <w:spacing w:val="-27"/>
          <w:w w:val="105"/>
        </w:rPr>
        <w:t xml:space="preserve">处 </w:t>
      </w:r>
      <w:r>
        <w:rPr>
          <w:rFonts w:hint="eastAsia" w:ascii="MS UI Gothic" w:eastAsia="MS UI Gothic"/>
          <w:spacing w:val="2"/>
          <w:w w:val="85"/>
        </w:rPr>
        <w:t xml:space="preserve">５０ </w:t>
      </w:r>
      <w:r>
        <w:rPr>
          <w:spacing w:val="14"/>
          <w:w w:val="105"/>
        </w:rPr>
        <w:t>万元的</w:t>
      </w:r>
      <w:r>
        <w:rPr>
          <w:spacing w:val="3"/>
          <w:w w:val="105"/>
        </w:rPr>
        <w:t>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三</w:t>
      </w:r>
      <w:r>
        <w:rPr>
          <w:rFonts w:hint="eastAsia" w:ascii="MS UI Gothic" w:eastAsia="MS UI Gothic"/>
          <w:spacing w:val="2"/>
          <w:w w:val="140"/>
        </w:rPr>
        <w:t xml:space="preserve">) </w:t>
      </w:r>
      <w:r>
        <w:rPr>
          <w:spacing w:val="6"/>
          <w:w w:val="105"/>
        </w:rPr>
        <w:t>发生重大事故</w:t>
      </w:r>
      <w:r>
        <w:rPr>
          <w:rFonts w:hint="eastAsia" w:ascii="MS UI Gothic" w:eastAsia="MS UI Gothic"/>
          <w:spacing w:val="14"/>
          <w:w w:val="85"/>
        </w:rPr>
        <w:t xml:space="preserve">ꎬ </w:t>
      </w:r>
      <w:r>
        <w:rPr>
          <w:spacing w:val="-31"/>
          <w:w w:val="105"/>
        </w:rPr>
        <w:t xml:space="preserve">处 </w:t>
      </w:r>
      <w:r>
        <w:rPr>
          <w:rFonts w:hint="eastAsia" w:ascii="MS UI Gothic" w:eastAsia="MS UI Gothic"/>
          <w:spacing w:val="-1"/>
          <w:w w:val="85"/>
        </w:rPr>
        <w:t xml:space="preserve">２００ </w:t>
      </w:r>
      <w:r>
        <w:rPr>
          <w:spacing w:val="8"/>
          <w:w w:val="105"/>
        </w:rPr>
        <w:t>万元的</w:t>
      </w:r>
      <w:r>
        <w:rPr>
          <w:spacing w:val="3"/>
          <w:w w:val="105"/>
        </w:rPr>
        <w:t>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四</w:t>
      </w:r>
      <w:r>
        <w:rPr>
          <w:rFonts w:hint="eastAsia" w:ascii="MS UI Gothic" w:eastAsia="MS UI Gothic"/>
          <w:spacing w:val="2"/>
          <w:w w:val="140"/>
        </w:rPr>
        <w:t xml:space="preserve">) </w:t>
      </w:r>
      <w:r>
        <w:rPr>
          <w:spacing w:val="7"/>
          <w:w w:val="105"/>
        </w:rPr>
        <w:t>发生特别重大事故</w:t>
      </w:r>
      <w:r>
        <w:rPr>
          <w:rFonts w:hint="eastAsia" w:ascii="MS UI Gothic" w:eastAsia="MS UI Gothic"/>
          <w:spacing w:val="14"/>
          <w:w w:val="85"/>
        </w:rPr>
        <w:t xml:space="preserve">ꎬ </w:t>
      </w:r>
      <w:r>
        <w:rPr>
          <w:spacing w:val="-31"/>
          <w:w w:val="105"/>
        </w:rPr>
        <w:t xml:space="preserve">处 </w:t>
      </w:r>
      <w:r>
        <w:rPr>
          <w:rFonts w:hint="eastAsia" w:ascii="MS UI Gothic" w:eastAsia="MS UI Gothic"/>
          <w:spacing w:val="-1"/>
          <w:w w:val="85"/>
        </w:rPr>
        <w:t xml:space="preserve">５００ </w:t>
      </w:r>
      <w:r>
        <w:rPr>
          <w:w w:val="105"/>
        </w:rPr>
        <w:t>万</w:t>
      </w:r>
      <w:r>
        <w:rPr>
          <w:spacing w:val="3"/>
          <w:w w:val="105"/>
        </w:rPr>
        <w:t>元的罚款</w:t>
      </w:r>
      <w:r>
        <w:rPr>
          <w:rFonts w:hint="eastAsia" w:ascii="MS UI Gothic" w:eastAsia="MS UI Gothic"/>
          <w:w w:val="85"/>
        </w:rPr>
        <w:t>ꎮ</w:t>
      </w:r>
    </w:p>
    <w:p>
      <w:pPr>
        <w:pStyle w:val="6"/>
        <w:spacing w:line="295" w:lineRule="auto"/>
        <w:ind w:right="440"/>
        <w:rPr>
          <w:rFonts w:hint="eastAsia" w:ascii="MS UI Gothic" w:eastAsia="MS UI Gothic"/>
        </w:rPr>
      </w:pPr>
      <w:r>
        <w:rPr>
          <w:w w:val="105"/>
        </w:rPr>
        <w:t>第二十三条 对发生生产安全事故而</w:t>
      </w:r>
      <w:r>
        <w:t>没有领导带班下井的矿山企业</w:t>
      </w:r>
      <w:r>
        <w:rPr>
          <w:rFonts w:hint="eastAsia" w:ascii="MS UI Gothic" w:eastAsia="MS UI Gothic"/>
          <w:w w:val="80"/>
        </w:rPr>
        <w:t xml:space="preserve">ꎬ </w:t>
      </w:r>
      <w:r>
        <w:t>对其主要负责人依法暂扣或者吊销其安全资格证</w:t>
      </w:r>
      <w:r>
        <w:rPr>
          <w:rFonts w:hint="eastAsia" w:ascii="MS UI Gothic" w:eastAsia="MS UI Gothic"/>
          <w:w w:val="80"/>
        </w:rPr>
        <w:t>ꎬ</w:t>
      </w:r>
      <w:r>
        <w:rPr>
          <w:w w:val="105"/>
        </w:rPr>
        <w:t>并依照下列规定处以罚款</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一</w:t>
      </w:r>
      <w:r>
        <w:rPr>
          <w:rFonts w:hint="eastAsia" w:ascii="MS UI Gothic" w:eastAsia="MS UI Gothic"/>
          <w:w w:val="140"/>
        </w:rPr>
        <w:t xml:space="preserve">) </w:t>
      </w:r>
      <w:r>
        <w:rPr>
          <w:spacing w:val="5"/>
          <w:w w:val="105"/>
        </w:rPr>
        <w:t>发生一般事故</w:t>
      </w:r>
      <w:r>
        <w:rPr>
          <w:rFonts w:hint="eastAsia" w:ascii="MS UI Gothic" w:eastAsia="MS UI Gothic"/>
          <w:spacing w:val="12"/>
          <w:w w:val="85"/>
        </w:rPr>
        <w:t xml:space="preserve">ꎬ </w:t>
      </w:r>
      <w:r>
        <w:rPr>
          <w:spacing w:val="9"/>
          <w:w w:val="105"/>
        </w:rPr>
        <w:t>处上一年年收</w:t>
      </w:r>
      <w:r>
        <w:rPr>
          <w:spacing w:val="-25"/>
          <w:w w:val="105"/>
        </w:rPr>
        <w:t xml:space="preserve">入 </w:t>
      </w:r>
      <w:r>
        <w:rPr>
          <w:rFonts w:hint="eastAsia" w:ascii="MS UI Gothic" w:eastAsia="MS UI Gothic"/>
          <w:w w:val="85"/>
        </w:rPr>
        <w:t>３０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二</w:t>
      </w:r>
      <w:r>
        <w:rPr>
          <w:rFonts w:hint="eastAsia" w:ascii="MS UI Gothic" w:eastAsia="MS UI Gothic"/>
          <w:w w:val="140"/>
        </w:rPr>
        <w:t xml:space="preserve">) </w:t>
      </w:r>
      <w:r>
        <w:rPr>
          <w:spacing w:val="5"/>
          <w:w w:val="105"/>
        </w:rPr>
        <w:t>发生较大事故</w:t>
      </w:r>
      <w:r>
        <w:rPr>
          <w:rFonts w:hint="eastAsia" w:ascii="MS UI Gothic" w:eastAsia="MS UI Gothic"/>
          <w:spacing w:val="12"/>
          <w:w w:val="85"/>
        </w:rPr>
        <w:t xml:space="preserve">ꎬ </w:t>
      </w:r>
      <w:r>
        <w:rPr>
          <w:spacing w:val="9"/>
          <w:w w:val="105"/>
        </w:rPr>
        <w:t>处上一年年收</w:t>
      </w:r>
      <w:r>
        <w:rPr>
          <w:spacing w:val="-25"/>
          <w:w w:val="105"/>
        </w:rPr>
        <w:t xml:space="preserve">入 </w:t>
      </w:r>
      <w:r>
        <w:rPr>
          <w:rFonts w:hint="eastAsia" w:ascii="MS UI Gothic" w:eastAsia="MS UI Gothic"/>
          <w:w w:val="85"/>
        </w:rPr>
        <w:t>４０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spacing w:val="-36"/>
          <w:w w:val="140"/>
        </w:rPr>
        <w:t xml:space="preserve">( </w:t>
      </w:r>
      <w:r>
        <w:rPr>
          <w:spacing w:val="3"/>
          <w:w w:val="105"/>
        </w:rPr>
        <w:t>三</w:t>
      </w:r>
      <w:r>
        <w:rPr>
          <w:rFonts w:hint="eastAsia" w:ascii="MS UI Gothic" w:eastAsia="MS UI Gothic"/>
          <w:w w:val="140"/>
        </w:rPr>
        <w:t xml:space="preserve">) </w:t>
      </w:r>
      <w:r>
        <w:rPr>
          <w:spacing w:val="5"/>
          <w:w w:val="105"/>
        </w:rPr>
        <w:t>发生重大事故</w:t>
      </w:r>
      <w:r>
        <w:rPr>
          <w:rFonts w:hint="eastAsia" w:ascii="MS UI Gothic" w:eastAsia="MS UI Gothic"/>
          <w:spacing w:val="12"/>
          <w:w w:val="85"/>
        </w:rPr>
        <w:t xml:space="preserve">ꎬ </w:t>
      </w:r>
      <w:r>
        <w:rPr>
          <w:spacing w:val="9"/>
          <w:w w:val="105"/>
        </w:rPr>
        <w:t>处上一年年收</w:t>
      </w:r>
      <w:r>
        <w:rPr>
          <w:spacing w:val="-25"/>
          <w:w w:val="105"/>
        </w:rPr>
        <w:t xml:space="preserve">入 </w:t>
      </w:r>
      <w:r>
        <w:rPr>
          <w:rFonts w:hint="eastAsia" w:ascii="MS UI Gothic" w:eastAsia="MS UI Gothic"/>
          <w:w w:val="85"/>
        </w:rPr>
        <w:t>６０</w:t>
      </w:r>
      <w:r>
        <w:rPr>
          <w:spacing w:val="-26"/>
          <w:w w:val="85"/>
        </w:rPr>
        <w:t xml:space="preserve">％ </w:t>
      </w:r>
      <w:r>
        <w:rPr>
          <w:spacing w:val="3"/>
          <w:w w:val="105"/>
        </w:rPr>
        <w:t>的罚款</w:t>
      </w:r>
      <w:r>
        <w:rPr>
          <w:rFonts w:hint="eastAsia" w:ascii="MS UI Gothic" w:eastAsia="MS UI Gothic"/>
          <w:w w:val="85"/>
        </w:rPr>
        <w:t>ꎻ</w:t>
      </w:r>
    </w:p>
    <w:p>
      <w:pPr>
        <w:pStyle w:val="6"/>
        <w:spacing w:line="295" w:lineRule="auto"/>
        <w:ind w:right="442"/>
        <w:rPr>
          <w:rFonts w:hint="eastAsia" w:ascii="MS UI Gothic" w:eastAsia="MS UI Gothic"/>
        </w:rPr>
      </w:pPr>
      <w:r>
        <w:rPr>
          <w:rFonts w:hint="eastAsia" w:ascii="MS UI Gothic" w:eastAsia="MS UI Gothic"/>
          <w:w w:val="140"/>
        </w:rPr>
        <w:t xml:space="preserve">( </w:t>
      </w:r>
      <w:r>
        <w:rPr>
          <w:w w:val="105"/>
        </w:rPr>
        <w:t>四</w:t>
      </w:r>
      <w:r>
        <w:rPr>
          <w:rFonts w:hint="eastAsia" w:ascii="MS UI Gothic" w:eastAsia="MS UI Gothic"/>
          <w:w w:val="140"/>
        </w:rPr>
        <w:t xml:space="preserve">) </w:t>
      </w:r>
      <w:r>
        <w:rPr>
          <w:w w:val="105"/>
        </w:rPr>
        <w:t>发生特别重大事故</w:t>
      </w:r>
      <w:r>
        <w:rPr>
          <w:rFonts w:hint="eastAsia" w:ascii="MS UI Gothic" w:eastAsia="MS UI Gothic"/>
          <w:w w:val="85"/>
        </w:rPr>
        <w:t xml:space="preserve">ꎬ </w:t>
      </w:r>
      <w:r>
        <w:rPr>
          <w:w w:val="105"/>
        </w:rPr>
        <w:t xml:space="preserve">处上一年年收入 </w:t>
      </w:r>
      <w:r>
        <w:rPr>
          <w:rFonts w:hint="eastAsia" w:ascii="MS UI Gothic" w:eastAsia="MS UI Gothic"/>
          <w:w w:val="85"/>
        </w:rPr>
        <w:t>８０</w:t>
      </w:r>
      <w:r>
        <w:rPr>
          <w:w w:val="85"/>
        </w:rPr>
        <w:t xml:space="preserve">％ </w:t>
      </w:r>
      <w:r>
        <w:rPr>
          <w:w w:val="105"/>
        </w:rPr>
        <w:t>的罚款</w:t>
      </w:r>
      <w:r>
        <w:rPr>
          <w:rFonts w:hint="eastAsia" w:ascii="MS UI Gothic" w:eastAsia="MS UI Gothic"/>
          <w:w w:val="85"/>
        </w:rPr>
        <w:t>ꎮ</w:t>
      </w:r>
    </w:p>
    <w:p>
      <w:pPr>
        <w:pStyle w:val="6"/>
        <w:spacing w:line="295" w:lineRule="auto"/>
        <w:ind w:right="440"/>
        <w:rPr>
          <w:rFonts w:hint="eastAsia" w:ascii="MS UI Gothic" w:eastAsia="MS UI Gothic"/>
        </w:rPr>
      </w:pPr>
      <w:r>
        <w:rPr>
          <w:w w:val="105"/>
        </w:rPr>
        <w:t>对重大</w:t>
      </w:r>
      <w:r>
        <w:rPr>
          <w:rFonts w:hint="eastAsia" w:ascii="MS UI Gothic" w:eastAsia="MS UI Gothic"/>
          <w:w w:val="80"/>
        </w:rPr>
        <w:t xml:space="preserve">、 </w:t>
      </w:r>
      <w:r>
        <w:rPr>
          <w:w w:val="105"/>
        </w:rPr>
        <w:t>特别重大生产安全事故负有</w:t>
      </w:r>
      <w:r>
        <w:t>主要责任的矿山企业</w:t>
      </w:r>
      <w:r>
        <w:rPr>
          <w:rFonts w:hint="eastAsia" w:ascii="MS UI Gothic" w:eastAsia="MS UI Gothic"/>
          <w:w w:val="80"/>
        </w:rPr>
        <w:t xml:space="preserve">ꎬ </w:t>
      </w:r>
      <w:r>
        <w:t>其主要负责人终身</w:t>
      </w:r>
      <w:r>
        <w:rPr>
          <w:w w:val="105"/>
        </w:rPr>
        <w:t xml:space="preserve">不得担任任何矿山企业的矿长 </w:t>
      </w:r>
      <w:r>
        <w:rPr>
          <w:rFonts w:hint="eastAsia" w:ascii="MS UI Gothic" w:eastAsia="MS UI Gothic"/>
          <w:w w:val="150"/>
        </w:rPr>
        <w:t xml:space="preserve">( </w:t>
      </w:r>
      <w:r>
        <w:rPr>
          <w:w w:val="105"/>
        </w:rPr>
        <w:t>董事长</w:t>
      </w:r>
      <w:r>
        <w:rPr>
          <w:rFonts w:hint="eastAsia" w:ascii="MS UI Gothic" w:eastAsia="MS UI Gothic"/>
          <w:w w:val="80"/>
        </w:rPr>
        <w:t>、</w:t>
      </w:r>
      <w:r>
        <w:rPr>
          <w:w w:val="105"/>
        </w:rPr>
        <w:t>总经理</w:t>
      </w:r>
      <w:r>
        <w:rPr>
          <w:rFonts w:hint="eastAsia" w:ascii="MS UI Gothic" w:eastAsia="MS UI Gothic"/>
          <w:w w:val="150"/>
        </w:rPr>
        <w:t xml:space="preserve">) </w:t>
      </w:r>
      <w:r>
        <w:rPr>
          <w:rFonts w:hint="eastAsia" w:ascii="MS UI Gothic" w:eastAsia="MS UI Gothic"/>
          <w:w w:val="80"/>
        </w:rPr>
        <w:t>ꎮ</w:t>
      </w:r>
    </w:p>
    <w:p>
      <w:pPr>
        <w:pStyle w:val="6"/>
        <w:tabs>
          <w:tab w:val="left" w:pos="2011"/>
          <w:tab w:val="left" w:pos="2639"/>
        </w:tabs>
        <w:spacing w:before="132"/>
        <w:ind w:left="1172" w:firstLine="0"/>
        <w:jc w:val="left"/>
      </w:pPr>
      <w:r>
        <w:rPr>
          <w:spacing w:val="3"/>
          <w:w w:val="105"/>
        </w:rPr>
        <w:t>第五</w:t>
      </w:r>
      <w:r>
        <w:rPr>
          <w:w w:val="105"/>
        </w:rPr>
        <w:t>章</w:t>
      </w:r>
      <w:r>
        <w:rPr>
          <w:w w:val="105"/>
        </w:rPr>
        <w:tab/>
      </w:r>
      <w:r>
        <w:rPr>
          <w:w w:val="105"/>
        </w:rPr>
        <w:t>附</w:t>
      </w:r>
      <w:r>
        <w:rPr>
          <w:w w:val="105"/>
        </w:rPr>
        <w:tab/>
      </w:r>
      <w:r>
        <w:rPr>
          <w:w w:val="105"/>
        </w:rPr>
        <w:t>则</w:t>
      </w:r>
    </w:p>
    <w:p>
      <w:pPr>
        <w:pStyle w:val="6"/>
        <w:spacing w:before="215" w:line="295" w:lineRule="auto"/>
        <w:ind w:right="442"/>
        <w:rPr>
          <w:rFonts w:hint="eastAsia" w:ascii="MS UI Gothic" w:eastAsia="MS UI Gothic"/>
        </w:rPr>
      </w:pPr>
      <w:r>
        <w:rPr>
          <w:w w:val="105"/>
        </w:rPr>
        <w:t>第二十四条 各省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w:t>
      </w:r>
      <w:r>
        <w:t>人民政府安全生产监督管理部门可以根据实际情况制定实施细则</w:t>
      </w:r>
      <w:r>
        <w:rPr>
          <w:rFonts w:hint="eastAsia" w:ascii="MS UI Gothic" w:eastAsia="MS UI Gothic"/>
          <w:w w:val="80"/>
        </w:rPr>
        <w:t xml:space="preserve">ꎬ </w:t>
      </w:r>
      <w:r>
        <w:t>报国家安全生产</w:t>
      </w:r>
      <w:r>
        <w:rPr>
          <w:w w:val="105"/>
        </w:rPr>
        <w:t>监督管理总局备案</w:t>
      </w:r>
      <w:r>
        <w:rPr>
          <w:rFonts w:hint="eastAsia" w:ascii="MS UI Gothic" w:eastAsia="MS UI Gothic"/>
          <w:w w:val="80"/>
        </w:rPr>
        <w:t>ꎮ</w:t>
      </w:r>
    </w:p>
    <w:p>
      <w:pPr>
        <w:pStyle w:val="6"/>
        <w:tabs>
          <w:tab w:val="left" w:pos="1801"/>
        </w:tabs>
        <w:spacing w:line="253" w:lineRule="exact"/>
        <w:ind w:left="543" w:firstLine="0"/>
        <w:jc w:val="left"/>
      </w:pPr>
      <w:r>
        <w:rPr>
          <w:spacing w:val="3"/>
          <w:w w:val="105"/>
        </w:rPr>
        <w:t>第二十五</w:t>
      </w:r>
      <w:r>
        <w:rPr>
          <w:w w:val="105"/>
        </w:rPr>
        <w:t>条</w:t>
      </w:r>
      <w:r>
        <w:rPr>
          <w:w w:val="105"/>
        </w:rPr>
        <w:tab/>
      </w:r>
      <w:r>
        <w:rPr>
          <w:spacing w:val="3"/>
          <w:w w:val="105"/>
        </w:rPr>
        <w:t>为矿山企业提供采掘</w:t>
      </w:r>
      <w:r>
        <w:rPr>
          <w:w w:val="105"/>
        </w:rPr>
        <w:t>工</w:t>
      </w:r>
    </w:p>
    <w:p>
      <w:pPr>
        <w:spacing w:after="0" w:line="253"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４２１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61" o:spid="_x0000_s2261" o:spt="203" style="height:2.15pt;width:398.25pt;" coordsize="7965,43">
            <o:lock v:ext="edit"/>
            <v:line id="_x0000_s2262" o:spid="_x0000_s2262" o:spt="20" style="position:absolute;left:0;top:39;height:0;width:7965;" stroked="t" coordsize="21600,21600">
              <v:path arrowok="t"/>
              <v:fill focussize="0,0"/>
              <v:stroke weight="0.388031496062992pt" color="#231F20"/>
              <v:imagedata o:title=""/>
              <o:lock v:ext="edit"/>
            </v:line>
            <v:line id="_x0000_s2263" o:spid="_x0000_s226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38" w:firstLine="0"/>
        <w:jc w:val="left"/>
        <w:rPr>
          <w:rFonts w:hint="eastAsia" w:ascii="MS UI Gothic" w:eastAsia="MS UI Gothic"/>
        </w:rPr>
      </w:pPr>
      <w:r>
        <w:t>程服务的采掘施工企业领导带班下井</w:t>
      </w:r>
      <w:r>
        <w:rPr>
          <w:rFonts w:hint="eastAsia" w:ascii="MS UI Gothic" w:eastAsia="MS UI Gothic"/>
          <w:w w:val="80"/>
        </w:rPr>
        <w:t xml:space="preserve">ꎬ </w:t>
      </w:r>
      <w:r>
        <w:t>按照本规定执行</w:t>
      </w:r>
      <w:r>
        <w:rPr>
          <w:rFonts w:hint="eastAsia" w:ascii="MS UI Gothic" w:eastAsia="MS UI Gothic"/>
          <w:w w:val="80"/>
        </w:rPr>
        <w:t>ꎮ</w:t>
      </w:r>
    </w:p>
    <w:p>
      <w:pPr>
        <w:pStyle w:val="6"/>
        <w:tabs>
          <w:tab w:val="left" w:pos="1859"/>
        </w:tabs>
        <w:spacing w:before="124" w:line="295" w:lineRule="auto"/>
        <w:ind w:left="440" w:right="126" w:firstLine="161"/>
        <w:jc w:val="left"/>
        <w:rPr>
          <w:rFonts w:hint="eastAsia" w:ascii="MS UI Gothic" w:eastAsia="MS UI Gothic"/>
        </w:rPr>
      </w:pPr>
      <w:r>
        <w:br w:type="column"/>
      </w:r>
      <w:r>
        <w:rPr>
          <w:spacing w:val="3"/>
          <w:w w:val="95"/>
        </w:rPr>
        <w:t>第二十六</w:t>
      </w:r>
      <w:r>
        <w:rPr>
          <w:w w:val="95"/>
        </w:rPr>
        <w:t>条</w:t>
      </w:r>
      <w:r>
        <w:rPr>
          <w:w w:val="95"/>
        </w:rPr>
        <w:tab/>
      </w:r>
      <w:r>
        <w:rPr>
          <w:spacing w:val="3"/>
          <w:w w:val="95"/>
        </w:rPr>
        <w:t>本办法</w:t>
      </w:r>
      <w:r>
        <w:rPr>
          <w:w w:val="95"/>
        </w:rPr>
        <w:t>自</w:t>
      </w:r>
      <w:r>
        <w:rPr>
          <w:spacing w:val="-58"/>
          <w:w w:val="95"/>
        </w:rPr>
        <w:t xml:space="preserve"> </w:t>
      </w:r>
      <w:r>
        <w:rPr>
          <w:rFonts w:hint="eastAsia" w:ascii="MS UI Gothic" w:eastAsia="MS UI Gothic"/>
          <w:w w:val="95"/>
        </w:rPr>
        <w:t>２０１０</w:t>
      </w:r>
      <w:r>
        <w:rPr>
          <w:rFonts w:hint="eastAsia" w:ascii="MS UI Gothic" w:eastAsia="MS UI Gothic"/>
          <w:spacing w:val="-13"/>
          <w:w w:val="95"/>
        </w:rPr>
        <w:t xml:space="preserve"> </w:t>
      </w:r>
      <w:r>
        <w:rPr>
          <w:w w:val="95"/>
        </w:rPr>
        <w:t>年</w:t>
      </w:r>
      <w:r>
        <w:rPr>
          <w:spacing w:val="-55"/>
          <w:w w:val="95"/>
        </w:rPr>
        <w:t xml:space="preserve"> </w:t>
      </w:r>
      <w:r>
        <w:rPr>
          <w:rFonts w:hint="eastAsia" w:ascii="MS UI Gothic" w:eastAsia="MS UI Gothic"/>
          <w:w w:val="95"/>
        </w:rPr>
        <w:t>１１</w:t>
      </w:r>
      <w:r>
        <w:rPr>
          <w:rFonts w:hint="eastAsia" w:ascii="MS UI Gothic" w:eastAsia="MS UI Gothic"/>
          <w:spacing w:val="-12"/>
          <w:w w:val="95"/>
        </w:rPr>
        <w:t xml:space="preserve"> </w:t>
      </w:r>
      <w:r>
        <w:rPr>
          <w:spacing w:val="-14"/>
          <w:w w:val="95"/>
        </w:rPr>
        <w:t>月</w:t>
      </w:r>
      <w:r>
        <w:rPr>
          <w:spacing w:val="3"/>
          <w:w w:val="95"/>
        </w:rPr>
        <w:t>日起施行</w:t>
      </w:r>
      <w:r>
        <w:rPr>
          <w:rFonts w:hint="eastAsia" w:ascii="MS UI Gothic" w:eastAsia="MS UI Gothic"/>
          <w:w w:val="9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50" w:space="200"/>
            <w:col w:w="4090"/>
          </w:cols>
        </w:sectPr>
      </w:pPr>
    </w:p>
    <w:p>
      <w:pPr>
        <w:pStyle w:val="6"/>
        <w:spacing w:before="7"/>
        <w:ind w:left="0" w:firstLine="0"/>
        <w:jc w:val="left"/>
        <w:rPr>
          <w:rFonts w:ascii="MS UI Gothic"/>
          <w:sz w:val="17"/>
        </w:rPr>
      </w:pPr>
    </w:p>
    <w:p>
      <w:pPr>
        <w:pStyle w:val="4"/>
        <w:spacing w:before="74"/>
      </w:pPr>
      <w:r>
        <w:pict>
          <v:shape id="_x0000_s2264" o:spid="_x0000_s2264" o:spt="202" type="#_x0000_t202" style="position:absolute;left:0pt;margin-left:280.35pt;margin-top:-30.75pt;height:24.35pt;width:10.3pt;mso-position-horizontal-relative:page;z-index:25216102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１５</w:t>
                  </w:r>
                </w:p>
              </w:txbxContent>
            </v:textbox>
          </v:shape>
        </w:pict>
      </w:r>
      <w:r>
        <w:t>国家安全生产监督管理总局令</w:t>
      </w:r>
    </w:p>
    <w:p>
      <w:pPr>
        <w:pStyle w:val="6"/>
        <w:spacing w:before="1"/>
        <w:ind w:left="0" w:firstLine="0"/>
        <w:jc w:val="left"/>
        <w:rPr>
          <w:sz w:val="27"/>
        </w:rPr>
      </w:pPr>
    </w:p>
    <w:p>
      <w:pPr>
        <w:pStyle w:val="5"/>
        <w:ind w:left="312"/>
      </w:pPr>
      <w:r>
        <w:t xml:space="preserve">第 </w:t>
      </w:r>
      <w:r>
        <w:rPr>
          <w:rFonts w:hint="eastAsia" w:ascii="MS UI Gothic" w:eastAsia="MS UI Gothic"/>
        </w:rPr>
        <w:t xml:space="preserve">７８ </w:t>
      </w:r>
      <w:r>
        <w:t>号</w:t>
      </w:r>
    </w:p>
    <w:p>
      <w:pPr>
        <w:pStyle w:val="6"/>
        <w:spacing w:before="354"/>
        <w:ind w:left="0" w:right="128" w:firstLine="0"/>
        <w:jc w:val="right"/>
        <w:rPr>
          <w:rFonts w:hint="eastAsia" w:ascii="MS UI Gothic" w:hAnsi="MS UI Gothic" w:eastAsia="MS UI Gothic"/>
        </w:rPr>
      </w:pPr>
      <w:r>
        <w:rPr>
          <w:rFonts w:hint="eastAsia" w:ascii="MS UI Gothic" w:hAnsi="MS UI Gothic" w:eastAsia="MS UI Gothic"/>
          <w:spacing w:val="-21"/>
        </w:rPr>
        <w:t xml:space="preserve">« </w:t>
      </w:r>
      <w:r>
        <w:rPr>
          <w:spacing w:val="4"/>
        </w:rPr>
        <w:t>国家安全监管总局关于废止和修改非煤矿矿山领域九部规章的决定</w:t>
      </w:r>
      <w:r>
        <w:rPr>
          <w:rFonts w:hint="eastAsia" w:ascii="MS UI Gothic" w:hAnsi="MS UI Gothic" w:eastAsia="MS UI Gothic"/>
        </w:rPr>
        <w:t xml:space="preserve">»  </w:t>
      </w:r>
      <w:r>
        <w:rPr>
          <w:spacing w:val="-11"/>
        </w:rPr>
        <w:t xml:space="preserve">已经 </w:t>
      </w:r>
      <w:r>
        <w:rPr>
          <w:rFonts w:hint="eastAsia" w:ascii="MS UI Gothic" w:hAnsi="MS UI Gothic" w:eastAsia="MS UI Gothic"/>
        </w:rPr>
        <w:t>２０１５</w:t>
      </w:r>
    </w:p>
    <w:p>
      <w:pPr>
        <w:pStyle w:val="6"/>
        <w:spacing w:before="58"/>
        <w:ind w:left="0" w:right="126" w:firstLine="0"/>
        <w:jc w:val="right"/>
      </w:pPr>
      <w:r>
        <w:rPr>
          <w:spacing w:val="-18"/>
          <w:w w:val="95"/>
        </w:rPr>
        <w:t xml:space="preserve">年 </w:t>
      </w:r>
      <w:r>
        <w:rPr>
          <w:rFonts w:hint="eastAsia" w:ascii="MS UI Gothic" w:eastAsia="MS UI Gothic"/>
          <w:spacing w:val="7"/>
          <w:w w:val="95"/>
        </w:rPr>
        <w:t xml:space="preserve">３ </w:t>
      </w:r>
      <w:r>
        <w:rPr>
          <w:spacing w:val="-16"/>
          <w:w w:val="95"/>
        </w:rPr>
        <w:t xml:space="preserve">月 </w:t>
      </w:r>
      <w:r>
        <w:rPr>
          <w:rFonts w:hint="eastAsia" w:ascii="MS UI Gothic" w:eastAsia="MS UI Gothic"/>
          <w:spacing w:val="5"/>
          <w:w w:val="95"/>
        </w:rPr>
        <w:t xml:space="preserve">２３ </w:t>
      </w:r>
      <w:r>
        <w:rPr>
          <w:spacing w:val="3"/>
          <w:w w:val="95"/>
        </w:rPr>
        <w:t>日国家安全生产监督管理总局局长办公会议审议通过</w:t>
      </w:r>
      <w:r>
        <w:rPr>
          <w:rFonts w:hint="eastAsia" w:ascii="MS UI Gothic" w:eastAsia="MS UI Gothic"/>
          <w:spacing w:val="8"/>
          <w:w w:val="90"/>
        </w:rPr>
        <w:t xml:space="preserve">ꎬ  </w:t>
      </w:r>
      <w:r>
        <w:rPr>
          <w:spacing w:val="3"/>
          <w:w w:val="95"/>
        </w:rPr>
        <w:t>现予公布</w:t>
      </w:r>
      <w:r>
        <w:rPr>
          <w:rFonts w:hint="eastAsia" w:ascii="MS UI Gothic" w:eastAsia="MS UI Gothic"/>
          <w:spacing w:val="9"/>
          <w:w w:val="90"/>
        </w:rPr>
        <w:t xml:space="preserve">ꎬ  </w:t>
      </w:r>
      <w:r>
        <w:rPr>
          <w:spacing w:val="-13"/>
          <w:w w:val="95"/>
        </w:rPr>
        <w:t xml:space="preserve">自 </w:t>
      </w:r>
      <w:r>
        <w:rPr>
          <w:rFonts w:hint="eastAsia" w:ascii="MS UI Gothic" w:eastAsia="MS UI Gothic"/>
          <w:spacing w:val="4"/>
          <w:w w:val="95"/>
        </w:rPr>
        <w:t xml:space="preserve">２０１５ </w:t>
      </w:r>
      <w:r>
        <w:rPr>
          <w:w w:val="95"/>
        </w:rPr>
        <w:t>年</w:t>
      </w:r>
    </w:p>
    <w:p>
      <w:pPr>
        <w:pStyle w:val="6"/>
        <w:spacing w:before="58"/>
        <w:ind w:left="435" w:firstLine="0"/>
        <w:jc w:val="left"/>
        <w:rPr>
          <w:rFonts w:hint="eastAsia" w:ascii="MS UI Gothic" w:eastAsia="MS UI Gothic"/>
        </w:rPr>
      </w:pPr>
      <w:r>
        <w:rPr>
          <w:rFonts w:hint="eastAsia" w:ascii="MS UI Gothic" w:eastAsia="MS UI Gothic"/>
        </w:rPr>
        <w:t xml:space="preserve">７ </w:t>
      </w:r>
      <w:r>
        <w:t xml:space="preserve">月 </w:t>
      </w:r>
      <w:r>
        <w:rPr>
          <w:rFonts w:hint="eastAsia" w:ascii="MS UI Gothic" w:eastAsia="MS UI Gothic"/>
        </w:rPr>
        <w:t xml:space="preserve">１ </w:t>
      </w:r>
      <w:r>
        <w:t>日起施行</w:t>
      </w:r>
      <w:r>
        <w:rPr>
          <w:rFonts w:hint="eastAsia" w:ascii="MS UI Gothic" w:eastAsia="MS UI Gothic"/>
          <w:w w:val="80"/>
        </w:rPr>
        <w:t>ꎮ</w:t>
      </w:r>
    </w:p>
    <w:p>
      <w:pPr>
        <w:pStyle w:val="6"/>
        <w:spacing w:before="6"/>
        <w:ind w:left="0" w:firstLine="0"/>
        <w:jc w:val="left"/>
        <w:rPr>
          <w:rFonts w:ascii="MS UI Gothic"/>
          <w:sz w:val="15"/>
        </w:rPr>
      </w:pPr>
    </w:p>
    <w:p>
      <w:pPr>
        <w:pStyle w:val="6"/>
        <w:spacing w:before="174"/>
        <w:ind w:left="0" w:right="126" w:firstLine="0"/>
        <w:jc w:val="right"/>
      </w:pPr>
      <w:r>
        <w:rPr>
          <w:rFonts w:hint="eastAsia" w:ascii="MS UI Gothic" w:eastAsia="MS UI Gothic"/>
          <w:w w:val="95"/>
        </w:rPr>
        <w:t xml:space="preserve">２０１５ </w:t>
      </w:r>
      <w:r>
        <w:rPr>
          <w:w w:val="95"/>
        </w:rPr>
        <w:t xml:space="preserve">年 </w:t>
      </w:r>
      <w:r>
        <w:rPr>
          <w:rFonts w:hint="eastAsia" w:ascii="MS UI Gothic" w:eastAsia="MS UI Gothic"/>
          <w:w w:val="95"/>
        </w:rPr>
        <w:t xml:space="preserve">５ </w:t>
      </w:r>
      <w:r>
        <w:rPr>
          <w:w w:val="95"/>
        </w:rPr>
        <w:t xml:space="preserve">月 </w:t>
      </w:r>
      <w:r>
        <w:rPr>
          <w:rFonts w:hint="eastAsia" w:ascii="MS UI Gothic" w:eastAsia="MS UI Gothic"/>
          <w:w w:val="95"/>
        </w:rPr>
        <w:t xml:space="preserve">２６ </w:t>
      </w:r>
      <w:r>
        <w:rPr>
          <w:w w:val="95"/>
        </w:rPr>
        <w:t>日</w:t>
      </w:r>
    </w:p>
    <w:p>
      <w:pPr>
        <w:pStyle w:val="4"/>
        <w:spacing w:line="266" w:lineRule="auto"/>
        <w:ind w:left="2342" w:right="1595" w:hanging="435"/>
        <w:jc w:val="left"/>
        <w:rPr>
          <w:rFonts w:hint="eastAsia" w:ascii="Microsoft Yi Baiti" w:eastAsia="Microsoft Yi Baiti"/>
        </w:rPr>
      </w:pPr>
      <w:r>
        <w:t xml:space="preserve">金属与非金属矿产资源地质勘探安全生产监督管理暂行规定 </w:t>
      </w:r>
      <w:r>
        <w:rPr>
          <w:rFonts w:hint="eastAsia" w:ascii="Microsoft Yi Baiti" w:eastAsia="Microsoft Yi Baiti"/>
        </w:rPr>
        <w:t>(</w:t>
      </w:r>
      <w:r>
        <w:rPr>
          <w:rFonts w:hint="eastAsia" w:ascii="MS UI Gothic" w:eastAsia="MS UI Gothic"/>
        </w:rPr>
        <w:t xml:space="preserve">２０１５ </w:t>
      </w:r>
      <w:r>
        <w:t>年公布</w:t>
      </w:r>
      <w:r>
        <w:rPr>
          <w:rFonts w:hint="eastAsia" w:ascii="Microsoft Yi Baiti" w:eastAsia="Microsoft Yi Baiti"/>
        </w:rPr>
        <w:t>)</w:t>
      </w:r>
    </w:p>
    <w:p>
      <w:pPr>
        <w:pStyle w:val="6"/>
        <w:ind w:left="0" w:firstLine="0"/>
        <w:jc w:val="left"/>
        <w:rPr>
          <w:rFonts w:ascii="Microsoft Yi Baiti"/>
          <w:sz w:val="15"/>
        </w:rPr>
      </w:pPr>
    </w:p>
    <w:p>
      <w:pPr>
        <w:spacing w:after="0"/>
        <w:jc w:val="left"/>
        <w:rPr>
          <w:rFonts w:ascii="Microsoft Yi Baiti"/>
          <w:sz w:val="15"/>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spacing w:before="1"/>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300" w:lineRule="auto"/>
        <w:ind w:left="440" w:right="1"/>
        <w:rPr>
          <w:rFonts w:hint="eastAsia" w:ascii="MS UI Gothic" w:eastAsia="MS UI Gothic"/>
        </w:rPr>
      </w:pPr>
      <w:r>
        <w:t>第一条 为加强金属与非金属矿产资源地质勘探作业安全的监督管理</w:t>
      </w:r>
      <w:r>
        <w:rPr>
          <w:rFonts w:hint="eastAsia" w:ascii="MS UI Gothic" w:eastAsia="MS UI Gothic"/>
          <w:w w:val="80"/>
        </w:rPr>
        <w:t xml:space="preserve">ꎬ </w:t>
      </w:r>
      <w:r>
        <w:t>预防和减少生产安全事故</w:t>
      </w:r>
      <w:r>
        <w:rPr>
          <w:rFonts w:hint="eastAsia" w:ascii="MS UI Gothic" w:eastAsia="MS UI Gothic"/>
          <w:w w:val="80"/>
        </w:rPr>
        <w:t xml:space="preserve">ꎬ </w:t>
      </w:r>
      <w:r>
        <w:t>根据安全生产法等有关法律</w:t>
      </w:r>
      <w:r>
        <w:rPr>
          <w:rFonts w:hint="eastAsia" w:ascii="MS UI Gothic" w:eastAsia="MS UI Gothic"/>
          <w:w w:val="80"/>
        </w:rPr>
        <w:t xml:space="preserve">、 </w:t>
      </w:r>
      <w:r>
        <w:t>行政法规</w:t>
      </w:r>
      <w:r>
        <w:rPr>
          <w:rFonts w:hint="eastAsia" w:ascii="MS UI Gothic" w:eastAsia="MS UI Gothic"/>
          <w:w w:val="80"/>
        </w:rPr>
        <w:t xml:space="preserve">ꎬ </w:t>
      </w:r>
      <w:r>
        <w:t>制定本规定</w:t>
      </w:r>
      <w:r>
        <w:rPr>
          <w:rFonts w:hint="eastAsia" w:ascii="MS UI Gothic" w:eastAsia="MS UI Gothic"/>
          <w:w w:val="80"/>
        </w:rPr>
        <w:t>ꎮ</w:t>
      </w:r>
    </w:p>
    <w:p>
      <w:pPr>
        <w:pStyle w:val="6"/>
        <w:spacing w:before="1" w:line="300" w:lineRule="auto"/>
        <w:ind w:left="440"/>
        <w:rPr>
          <w:rFonts w:hint="eastAsia" w:ascii="MS UI Gothic" w:eastAsia="MS UI Gothic"/>
        </w:rPr>
      </w:pPr>
      <w:r>
        <w:t>第二条 从事金属与非金属矿产资源地质勘探作业的安全生产及其监督管理</w:t>
      </w:r>
      <w:r>
        <w:rPr>
          <w:rFonts w:hint="eastAsia" w:ascii="MS UI Gothic" w:eastAsia="MS UI Gothic"/>
          <w:w w:val="80"/>
        </w:rPr>
        <w:t>ꎬ</w:t>
      </w:r>
      <w:r>
        <w:t>适用本规定</w:t>
      </w:r>
      <w:r>
        <w:rPr>
          <w:rFonts w:hint="eastAsia" w:ascii="MS UI Gothic" w:eastAsia="MS UI Gothic"/>
          <w:w w:val="80"/>
        </w:rPr>
        <w:t>ꎮ</w:t>
      </w:r>
    </w:p>
    <w:p>
      <w:pPr>
        <w:pStyle w:val="6"/>
        <w:spacing w:line="300" w:lineRule="auto"/>
        <w:ind w:left="440" w:right="1"/>
        <w:jc w:val="left"/>
        <w:rPr>
          <w:rFonts w:hint="eastAsia" w:ascii="MS UI Gothic" w:eastAsia="MS UI Gothic"/>
        </w:rPr>
      </w:pPr>
      <w:r>
        <w:t>生产矿山企业的探矿活动不适用本规定</w:t>
      </w:r>
      <w:r>
        <w:rPr>
          <w:rFonts w:hint="eastAsia" w:ascii="MS UI Gothic" w:eastAsia="MS UI Gothic"/>
          <w:w w:val="80"/>
        </w:rPr>
        <w:t>ꎮ</w:t>
      </w:r>
    </w:p>
    <w:p>
      <w:pPr>
        <w:pStyle w:val="6"/>
        <w:spacing w:line="300" w:lineRule="auto"/>
        <w:ind w:left="440"/>
        <w:rPr>
          <w:rFonts w:hint="eastAsia" w:ascii="MS UI Gothic" w:eastAsia="MS UI Gothic"/>
        </w:rPr>
      </w:pPr>
      <w:r>
        <w:rPr>
          <w:w w:val="105"/>
        </w:rPr>
        <w:t>第三条 本规定所称地质勘探作业</w:t>
      </w:r>
      <w:r>
        <w:rPr>
          <w:rFonts w:hint="eastAsia" w:ascii="MS UI Gothic" w:eastAsia="MS UI Gothic"/>
          <w:w w:val="80"/>
        </w:rPr>
        <w:t>ꎬ</w:t>
      </w:r>
      <w:r>
        <w:t>是指在依法批准的勘查作业区范围内从事金属与非金属矿产资源地质勘探的活动</w:t>
      </w:r>
      <w:r>
        <w:rPr>
          <w:rFonts w:hint="eastAsia" w:ascii="MS UI Gothic" w:eastAsia="MS UI Gothic"/>
          <w:w w:val="80"/>
        </w:rPr>
        <w:t>ꎮ</w:t>
      </w:r>
    </w:p>
    <w:p>
      <w:pPr>
        <w:pStyle w:val="6"/>
        <w:spacing w:line="300" w:lineRule="auto"/>
        <w:ind w:left="440" w:right="1"/>
        <w:rPr>
          <w:rFonts w:hint="eastAsia" w:ascii="MS UI Gothic" w:eastAsia="MS UI Gothic"/>
        </w:rPr>
      </w:pPr>
      <w:r>
        <w:t>本规定所称地质勘探单位</w:t>
      </w:r>
      <w:r>
        <w:rPr>
          <w:rFonts w:hint="eastAsia" w:ascii="MS UI Gothic" w:eastAsia="MS UI Gothic"/>
          <w:w w:val="80"/>
        </w:rPr>
        <w:t xml:space="preserve">ꎬ </w:t>
      </w:r>
      <w:r>
        <w:t>是指依法取得地质勘查资质并从事金属与非金属矿</w:t>
      </w:r>
      <w:r>
        <w:rPr>
          <w:w w:val="105"/>
        </w:rPr>
        <w:t>产资源地质勘探活动的企事业单位</w:t>
      </w:r>
      <w:r>
        <w:rPr>
          <w:rFonts w:hint="eastAsia" w:ascii="MS UI Gothic" w:eastAsia="MS UI Gothic"/>
          <w:w w:val="80"/>
        </w:rPr>
        <w:t>ꎮ</w:t>
      </w:r>
    </w:p>
    <w:p>
      <w:pPr>
        <w:pStyle w:val="6"/>
        <w:spacing w:line="300" w:lineRule="auto"/>
        <w:ind w:left="440" w:right="1"/>
        <w:rPr>
          <w:rFonts w:hint="eastAsia" w:ascii="MS UI Gothic" w:eastAsia="MS UI Gothic"/>
        </w:rPr>
      </w:pPr>
      <w:r>
        <w:rPr>
          <w:w w:val="105"/>
        </w:rPr>
        <w:t>第四条 地质勘探单位对本单位地质</w:t>
      </w:r>
      <w:r>
        <w:t>勘探作业安全生产负主体责任</w:t>
      </w:r>
      <w:r>
        <w:rPr>
          <w:rFonts w:hint="eastAsia" w:ascii="MS UI Gothic" w:eastAsia="MS UI Gothic"/>
          <w:w w:val="80"/>
        </w:rPr>
        <w:t xml:space="preserve">ꎬ </w:t>
      </w:r>
      <w:r>
        <w:t>其主要负责人对本单位的安全生产工作全面负责</w:t>
      </w:r>
      <w:r>
        <w:rPr>
          <w:rFonts w:hint="eastAsia" w:ascii="MS UI Gothic" w:eastAsia="MS UI Gothic"/>
          <w:w w:val="80"/>
        </w:rPr>
        <w:t>ꎮ</w:t>
      </w:r>
    </w:p>
    <w:p>
      <w:pPr>
        <w:pStyle w:val="6"/>
        <w:spacing w:line="300" w:lineRule="auto"/>
        <w:ind w:left="440" w:right="1"/>
      </w:pPr>
      <w:r>
        <w:t>国务院有关部门和省</w:t>
      </w:r>
      <w:r>
        <w:rPr>
          <w:rFonts w:hint="eastAsia" w:ascii="MS UI Gothic" w:eastAsia="MS UI Gothic"/>
        </w:rPr>
        <w:t xml:space="preserve">、 </w:t>
      </w:r>
      <w:r>
        <w:t>自治区</w:t>
      </w:r>
      <w:r>
        <w:rPr>
          <w:rFonts w:hint="eastAsia" w:ascii="MS UI Gothic" w:eastAsia="MS UI Gothic"/>
        </w:rPr>
        <w:t xml:space="preserve">、 </w:t>
      </w:r>
      <w:r>
        <w:t>直辖市人民政府所属从事矿产地质勘探及管理</w:t>
      </w:r>
    </w:p>
    <w:p>
      <w:pPr>
        <w:pStyle w:val="6"/>
        <w:spacing w:before="175" w:line="297" w:lineRule="auto"/>
        <w:ind w:left="381" w:right="126" w:firstLine="0"/>
        <w:rPr>
          <w:rFonts w:hint="eastAsia" w:ascii="MS UI Gothic" w:eastAsia="MS UI Gothic"/>
        </w:rPr>
      </w:pPr>
      <w:r>
        <w:br w:type="column"/>
      </w:r>
      <w:r>
        <w:rPr>
          <w:w w:val="105"/>
        </w:rPr>
        <w:t xml:space="preserve">的企事业法人组织 </w:t>
      </w:r>
      <w:r>
        <w:rPr>
          <w:rFonts w:hint="eastAsia" w:ascii="MS UI Gothic" w:eastAsia="MS UI Gothic"/>
          <w:w w:val="150"/>
        </w:rPr>
        <w:t xml:space="preserve">( </w:t>
      </w:r>
      <w:r>
        <w:rPr>
          <w:w w:val="105"/>
        </w:rPr>
        <w:t>以下统称地质勘探主管单位</w:t>
      </w:r>
      <w:r>
        <w:rPr>
          <w:rFonts w:hint="eastAsia" w:ascii="MS UI Gothic" w:eastAsia="MS UI Gothic"/>
          <w:w w:val="125"/>
        </w:rPr>
        <w:t xml:space="preserve">) </w:t>
      </w:r>
      <w:r>
        <w:rPr>
          <w:rFonts w:hint="eastAsia" w:ascii="MS UI Gothic" w:eastAsia="MS UI Gothic"/>
          <w:w w:val="80"/>
        </w:rPr>
        <w:t xml:space="preserve">ꎬ </w:t>
      </w:r>
      <w:r>
        <w:rPr>
          <w:w w:val="105"/>
        </w:rPr>
        <w:t>负责对其所属地质勘探单位的安全生产工作进行监督和管理</w:t>
      </w:r>
      <w:r>
        <w:rPr>
          <w:rFonts w:hint="eastAsia" w:ascii="MS UI Gothic" w:eastAsia="MS UI Gothic"/>
          <w:w w:val="80"/>
        </w:rPr>
        <w:t>ꎮ</w:t>
      </w:r>
    </w:p>
    <w:p>
      <w:pPr>
        <w:pStyle w:val="6"/>
        <w:spacing w:before="3" w:line="300" w:lineRule="auto"/>
        <w:ind w:left="381" w:right="126"/>
        <w:rPr>
          <w:rFonts w:hint="eastAsia" w:ascii="MS UI Gothic" w:eastAsia="MS UI Gothic"/>
        </w:rPr>
      </w:pPr>
      <w:r>
        <w:rPr>
          <w:w w:val="105"/>
        </w:rPr>
        <w:t>第五条 国家安全生产监督管理总局</w:t>
      </w:r>
      <w:r>
        <w:t>对全国地质勘探作业的安全生产工作实施</w:t>
      </w:r>
      <w:r>
        <w:rPr>
          <w:w w:val="105"/>
        </w:rPr>
        <w:t>监督管理</w:t>
      </w:r>
      <w:r>
        <w:rPr>
          <w:rFonts w:hint="eastAsia" w:ascii="MS UI Gothic" w:eastAsia="MS UI Gothic"/>
          <w:w w:val="80"/>
        </w:rPr>
        <w:t>ꎮ</w:t>
      </w:r>
    </w:p>
    <w:p>
      <w:pPr>
        <w:pStyle w:val="6"/>
        <w:spacing w:line="300" w:lineRule="auto"/>
        <w:ind w:left="381" w:right="126"/>
        <w:rPr>
          <w:rFonts w:hint="eastAsia" w:ascii="MS UI Gothic" w:eastAsia="MS UI Gothic"/>
        </w:rPr>
      </w:pPr>
      <w:r>
        <w:t>县级以上地方各级人民政府安全生产监督管理部门对本行政区域内地质勘探作</w:t>
      </w:r>
      <w:r>
        <w:rPr>
          <w:w w:val="105"/>
        </w:rPr>
        <w:t>业的安全生产工作实施监督管理</w:t>
      </w:r>
      <w:r>
        <w:rPr>
          <w:rFonts w:hint="eastAsia" w:ascii="MS UI Gothic" w:eastAsia="MS UI Gothic"/>
          <w:w w:val="80"/>
        </w:rPr>
        <w:t>ꎮ</w:t>
      </w:r>
    </w:p>
    <w:p>
      <w:pPr>
        <w:pStyle w:val="6"/>
        <w:tabs>
          <w:tab w:val="left" w:pos="2057"/>
        </w:tabs>
        <w:spacing w:before="157"/>
        <w:ind w:left="1219" w:firstLine="0"/>
        <w:jc w:val="left"/>
      </w:pPr>
      <w:r>
        <w:rPr>
          <w:spacing w:val="3"/>
          <w:w w:val="105"/>
        </w:rPr>
        <w:t>第二</w:t>
      </w:r>
      <w:r>
        <w:rPr>
          <w:w w:val="105"/>
        </w:rPr>
        <w:t>章</w:t>
      </w:r>
      <w:r>
        <w:rPr>
          <w:w w:val="105"/>
        </w:rPr>
        <w:tab/>
      </w:r>
      <w:r>
        <w:rPr>
          <w:spacing w:val="3"/>
          <w:w w:val="105"/>
        </w:rPr>
        <w:t>安全生产职</w:t>
      </w:r>
      <w:r>
        <w:rPr>
          <w:w w:val="105"/>
        </w:rPr>
        <w:t>责</w:t>
      </w:r>
    </w:p>
    <w:p>
      <w:pPr>
        <w:pStyle w:val="6"/>
        <w:spacing w:before="215" w:line="300" w:lineRule="auto"/>
        <w:ind w:left="381" w:right="124"/>
        <w:rPr>
          <w:rFonts w:hint="eastAsia" w:ascii="MS UI Gothic" w:eastAsia="MS UI Gothic"/>
        </w:rPr>
      </w:pPr>
      <w:r>
        <w:t>第六条 地质勘探单位应当遵守有关安全生产法律</w:t>
      </w:r>
      <w:r>
        <w:rPr>
          <w:rFonts w:hint="eastAsia" w:ascii="MS UI Gothic" w:eastAsia="MS UI Gothic"/>
          <w:w w:val="80"/>
        </w:rPr>
        <w:t xml:space="preserve">、 </w:t>
      </w:r>
      <w:r>
        <w:t>法规</w:t>
      </w:r>
      <w:r>
        <w:rPr>
          <w:rFonts w:hint="eastAsia" w:ascii="MS UI Gothic" w:eastAsia="MS UI Gothic"/>
          <w:w w:val="80"/>
        </w:rPr>
        <w:t xml:space="preserve">、 </w:t>
      </w:r>
      <w:r>
        <w:t>规章</w:t>
      </w:r>
      <w:r>
        <w:rPr>
          <w:rFonts w:hint="eastAsia" w:ascii="MS UI Gothic" w:eastAsia="MS UI Gothic"/>
          <w:w w:val="80"/>
        </w:rPr>
        <w:t xml:space="preserve">、 </w:t>
      </w:r>
      <w:r>
        <w:t>国家标准以及行业标准的规定</w:t>
      </w:r>
      <w:r>
        <w:rPr>
          <w:rFonts w:hint="eastAsia" w:ascii="MS UI Gothic" w:eastAsia="MS UI Gothic"/>
          <w:w w:val="80"/>
        </w:rPr>
        <w:t xml:space="preserve">ꎬ </w:t>
      </w:r>
      <w:r>
        <w:t>加强安全生产管理</w:t>
      </w:r>
      <w:r>
        <w:rPr>
          <w:rFonts w:hint="eastAsia" w:ascii="MS UI Gothic" w:eastAsia="MS UI Gothic"/>
          <w:w w:val="80"/>
        </w:rPr>
        <w:t>ꎬ</w:t>
      </w:r>
      <w:r>
        <w:t>排查治理事故隐患</w:t>
      </w:r>
      <w:r>
        <w:rPr>
          <w:rFonts w:hint="eastAsia" w:ascii="MS UI Gothic" w:eastAsia="MS UI Gothic"/>
          <w:w w:val="80"/>
        </w:rPr>
        <w:t xml:space="preserve">ꎬ </w:t>
      </w:r>
      <w:r>
        <w:t>确保安全生产</w:t>
      </w:r>
      <w:r>
        <w:rPr>
          <w:rFonts w:hint="eastAsia" w:ascii="MS UI Gothic" w:eastAsia="MS UI Gothic"/>
          <w:w w:val="80"/>
        </w:rPr>
        <w:t>ꎮ</w:t>
      </w:r>
    </w:p>
    <w:p>
      <w:pPr>
        <w:pStyle w:val="6"/>
        <w:spacing w:before="2" w:line="300" w:lineRule="auto"/>
        <w:ind w:left="381" w:right="126"/>
        <w:rPr>
          <w:rFonts w:hint="eastAsia" w:ascii="MS UI Gothic" w:eastAsia="MS UI Gothic"/>
        </w:rPr>
      </w:pPr>
      <w:r>
        <w:rPr>
          <w:w w:val="105"/>
        </w:rPr>
        <w:t>第七条 从事钻探工程</w:t>
      </w:r>
      <w:r>
        <w:rPr>
          <w:rFonts w:hint="eastAsia" w:ascii="MS UI Gothic" w:eastAsia="MS UI Gothic"/>
          <w:w w:val="80"/>
        </w:rPr>
        <w:t xml:space="preserve">、 </w:t>
      </w:r>
      <w:r>
        <w:rPr>
          <w:w w:val="105"/>
        </w:rPr>
        <w:t>坑探工程施</w:t>
      </w:r>
      <w:r>
        <w:t>工的地质勘探单位应当取得安全生产许</w:t>
      </w:r>
      <w:r>
        <w:rPr>
          <w:w w:val="105"/>
        </w:rPr>
        <w:t>可证</w:t>
      </w:r>
      <w:r>
        <w:rPr>
          <w:rFonts w:hint="eastAsia" w:ascii="MS UI Gothic" w:eastAsia="MS UI Gothic"/>
          <w:w w:val="80"/>
        </w:rPr>
        <w:t>ꎮ</w:t>
      </w:r>
    </w:p>
    <w:p>
      <w:pPr>
        <w:pStyle w:val="6"/>
        <w:spacing w:line="300" w:lineRule="auto"/>
        <w:ind w:left="381" w:right="124"/>
      </w:pPr>
      <w:r>
        <w:rPr>
          <w:w w:val="105"/>
        </w:rPr>
        <w:t>第八条 地质勘探单位从事地质勘探</w:t>
      </w:r>
      <w:r>
        <w:t>活动</w:t>
      </w:r>
      <w:r>
        <w:rPr>
          <w:rFonts w:hint="eastAsia" w:ascii="MS UI Gothic" w:eastAsia="MS UI Gothic"/>
          <w:w w:val="80"/>
        </w:rPr>
        <w:t xml:space="preserve">ꎬ </w:t>
      </w:r>
      <w:r>
        <w:t>应当持本单位地质勘查资质证书和地质勘探项目任务批准文件或者合同书</w:t>
      </w:r>
      <w:r>
        <w:rPr>
          <w:rFonts w:hint="eastAsia" w:ascii="MS UI Gothic" w:eastAsia="MS UI Gothic"/>
          <w:w w:val="80"/>
        </w:rPr>
        <w:t>ꎬ</w:t>
      </w:r>
      <w:r>
        <w:t>向工作区域所在地县级安全生产监督管理</w:t>
      </w:r>
    </w:p>
    <w:p>
      <w:pPr>
        <w:spacing w:after="0" w:line="300"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４２２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65" o:spid="_x0000_s2265" o:spt="203" style="height:2.15pt;width:398.25pt;" coordsize="7965,43">
            <o:lock v:ext="edit"/>
            <v:line id="_x0000_s2266" o:spid="_x0000_s2266" o:spt="20" style="position:absolute;left:0;top:39;height:0;width:7965;" stroked="t" coordsize="21600,21600">
              <v:path arrowok="t"/>
              <v:fill focussize="0,0"/>
              <v:stroke weight="0.388031496062992pt" color="#231F20"/>
              <v:imagedata o:title=""/>
              <o:lock v:ext="edit"/>
            </v:line>
            <v:line id="_x0000_s2267" o:spid="_x0000_s226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firstLine="0"/>
        <w:jc w:val="left"/>
        <w:rPr>
          <w:rFonts w:hint="eastAsia" w:ascii="MS UI Gothic" w:eastAsia="MS UI Gothic"/>
        </w:rPr>
      </w:pPr>
      <w:r>
        <w:t>部门备案</w:t>
      </w:r>
      <w:r>
        <w:rPr>
          <w:rFonts w:hint="eastAsia" w:ascii="MS UI Gothic" w:eastAsia="MS UI Gothic"/>
          <w:w w:val="80"/>
        </w:rPr>
        <w:t xml:space="preserve">ꎬ </w:t>
      </w:r>
      <w:r>
        <w:t>并接受其监督检查</w:t>
      </w:r>
      <w:r>
        <w:rPr>
          <w:rFonts w:hint="eastAsia" w:ascii="MS UI Gothic" w:eastAsia="MS UI Gothic"/>
          <w:w w:val="80"/>
        </w:rPr>
        <w:t>ꎮ</w:t>
      </w:r>
    </w:p>
    <w:p>
      <w:pPr>
        <w:pStyle w:val="6"/>
        <w:spacing w:before="58" w:line="295" w:lineRule="auto"/>
        <w:ind w:right="38"/>
        <w:rPr>
          <w:rFonts w:hint="eastAsia" w:ascii="MS UI Gothic" w:eastAsia="MS UI Gothic"/>
        </w:rPr>
      </w:pPr>
      <w:r>
        <w:rPr>
          <w:w w:val="105"/>
        </w:rPr>
        <w:t>第九条 地质勘探单位应当建立健全</w:t>
      </w:r>
      <w:r>
        <w:rPr>
          <w:w w:val="110"/>
        </w:rPr>
        <w:t>下列安全生产制度和规程</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主要负责人</w:t>
      </w:r>
      <w:r>
        <w:rPr>
          <w:rFonts w:hint="eastAsia" w:ascii="MS UI Gothic" w:eastAsia="MS UI Gothic"/>
          <w:w w:val="80"/>
        </w:rPr>
        <w:t xml:space="preserve">、 </w:t>
      </w:r>
      <w:r>
        <w:rPr>
          <w:w w:val="105"/>
        </w:rPr>
        <w:t>分管负责人</w:t>
      </w:r>
      <w:r>
        <w:rPr>
          <w:rFonts w:hint="eastAsia" w:ascii="MS UI Gothic" w:eastAsia="MS UI Gothic"/>
          <w:w w:val="80"/>
        </w:rPr>
        <w:t xml:space="preserve">、 </w:t>
      </w:r>
      <w:r>
        <w:rPr>
          <w:w w:val="105"/>
        </w:rPr>
        <w:t>安全生产管理人员和职能部门</w:t>
      </w:r>
      <w:r>
        <w:rPr>
          <w:rFonts w:hint="eastAsia" w:ascii="MS UI Gothic" w:eastAsia="MS UI Gothic"/>
          <w:w w:val="80"/>
        </w:rPr>
        <w:t xml:space="preserve">、 </w:t>
      </w:r>
      <w:r>
        <w:rPr>
          <w:w w:val="105"/>
        </w:rPr>
        <w:t>岗位的安全生产责任制度</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岗位作业安全规程和工种操作</w:t>
      </w:r>
      <w:r>
        <w:rPr>
          <w:w w:val="110"/>
        </w:rPr>
        <w:t>规程</w:t>
      </w:r>
      <w:r>
        <w:rPr>
          <w:rFonts w:hint="eastAsia" w:ascii="MS UI Gothic" w:eastAsia="MS UI Gothic"/>
          <w:w w:val="80"/>
        </w:rPr>
        <w:t>ꎻ</w:t>
      </w:r>
    </w:p>
    <w:p>
      <w:pPr>
        <w:pStyle w:val="6"/>
        <w:spacing w:line="295" w:lineRule="auto"/>
        <w:ind w:left="543" w:right="626" w:firstLine="0"/>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现场安全生产检查制度</w:t>
      </w:r>
      <w:r>
        <w:rPr>
          <w:rFonts w:hint="eastAsia" w:ascii="MS UI Gothic" w:eastAsia="MS UI Gothic"/>
          <w:w w:val="80"/>
        </w:rPr>
        <w:t>ꎻ</w:t>
      </w: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安全生产教育培训制度</w:t>
      </w:r>
      <w:r>
        <w:rPr>
          <w:rFonts w:hint="eastAsia" w:ascii="MS UI Gothic" w:eastAsia="MS UI Gothic"/>
          <w:w w:val="80"/>
        </w:rPr>
        <w:t>ꎻ</w:t>
      </w:r>
    </w:p>
    <w:p>
      <w:pPr>
        <w:pStyle w:val="6"/>
        <w:spacing w:line="295" w:lineRule="auto"/>
        <w:ind w:left="543" w:right="416" w:firstLine="0"/>
        <w:jc w:val="left"/>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重大危险源检测监控制度</w:t>
      </w:r>
      <w:r>
        <w:rPr>
          <w:rFonts w:hint="eastAsia" w:ascii="MS UI Gothic" w:eastAsia="MS UI Gothic"/>
          <w:w w:val="80"/>
        </w:rPr>
        <w:t>ꎻ</w:t>
      </w: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安全投入保障制度</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七</w:t>
      </w:r>
      <w:r>
        <w:rPr>
          <w:rFonts w:hint="eastAsia" w:ascii="MS UI Gothic" w:eastAsia="MS UI Gothic"/>
          <w:w w:val="150"/>
        </w:rPr>
        <w:t xml:space="preserve">) </w:t>
      </w:r>
      <w:r>
        <w:rPr>
          <w:w w:val="110"/>
        </w:rPr>
        <w:t>事故隐患排查治理制度</w:t>
      </w:r>
      <w:r>
        <w:rPr>
          <w:rFonts w:hint="eastAsia" w:ascii="MS UI Gothic" w:eastAsia="MS UI Gothic"/>
          <w:w w:val="80"/>
        </w:rPr>
        <w:t>ꎻ</w:t>
      </w:r>
    </w:p>
    <w:p>
      <w:pPr>
        <w:pStyle w:val="6"/>
        <w:spacing w:before="51" w:line="295" w:lineRule="auto"/>
        <w:ind w:right="38"/>
        <w:jc w:val="left"/>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事故信息报告</w:t>
      </w:r>
      <w:r>
        <w:rPr>
          <w:rFonts w:hint="eastAsia" w:ascii="MS UI Gothic" w:eastAsia="MS UI Gothic"/>
          <w:w w:val="80"/>
        </w:rPr>
        <w:t xml:space="preserve">、  </w:t>
      </w:r>
      <w:r>
        <w:rPr>
          <w:w w:val="105"/>
        </w:rPr>
        <w:t>应急预案管理和演练制度</w:t>
      </w:r>
      <w:r>
        <w:rPr>
          <w:rFonts w:hint="eastAsia" w:ascii="MS UI Gothic" w:eastAsia="MS UI Gothic"/>
          <w:w w:val="80"/>
        </w:rPr>
        <w:t>ꎻ</w:t>
      </w:r>
    </w:p>
    <w:p>
      <w:pPr>
        <w:pStyle w:val="6"/>
        <w:spacing w:line="295" w:lineRule="auto"/>
        <w:ind w:right="38"/>
        <w:jc w:val="left"/>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劳动防护用品</w:t>
      </w:r>
      <w:r>
        <w:rPr>
          <w:rFonts w:hint="eastAsia" w:ascii="MS UI Gothic" w:eastAsia="MS UI Gothic"/>
          <w:w w:val="80"/>
        </w:rPr>
        <w:t xml:space="preserve">、  </w:t>
      </w:r>
      <w:r>
        <w:rPr>
          <w:w w:val="105"/>
        </w:rPr>
        <w:t>野外救生用品和野外特殊生活用品配备使用制度</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十</w:t>
      </w:r>
      <w:r>
        <w:rPr>
          <w:rFonts w:hint="eastAsia" w:ascii="MS UI Gothic" w:eastAsia="MS UI Gothic"/>
          <w:w w:val="150"/>
        </w:rPr>
        <w:t xml:space="preserve">) </w:t>
      </w:r>
      <w:r>
        <w:rPr>
          <w:w w:val="110"/>
        </w:rPr>
        <w:t>安全生产考核和奖惩制度</w:t>
      </w:r>
      <w:r>
        <w:rPr>
          <w:rFonts w:hint="eastAsia" w:ascii="MS UI Gothic" w:eastAsia="MS UI Gothic"/>
          <w:w w:val="80"/>
        </w:rPr>
        <w:t>ꎻ</w:t>
      </w:r>
    </w:p>
    <w:p>
      <w:pPr>
        <w:pStyle w:val="6"/>
        <w:spacing w:before="57" w:line="295" w:lineRule="auto"/>
        <w:ind w:right="38"/>
        <w:jc w:val="left"/>
        <w:rPr>
          <w:rFonts w:hint="eastAsia" w:ascii="MS UI Gothic" w:eastAsia="MS UI Gothic"/>
        </w:rPr>
      </w:pPr>
      <w:r>
        <w:rPr>
          <w:rFonts w:hint="eastAsia" w:ascii="MS UI Gothic" w:eastAsia="MS UI Gothic"/>
          <w:w w:val="115"/>
        </w:rPr>
        <w:t xml:space="preserve">( </w:t>
      </w:r>
      <w:r>
        <w:rPr>
          <w:w w:val="110"/>
        </w:rPr>
        <w:t>十一</w:t>
      </w:r>
      <w:r>
        <w:rPr>
          <w:rFonts w:hint="eastAsia" w:ascii="MS UI Gothic" w:eastAsia="MS UI Gothic"/>
          <w:w w:val="115"/>
        </w:rPr>
        <w:t xml:space="preserve">) </w:t>
      </w:r>
      <w:r>
        <w:rPr>
          <w:w w:val="110"/>
        </w:rPr>
        <w:t>其他必须建立的安全生产制度</w:t>
      </w:r>
      <w:r>
        <w:rPr>
          <w:rFonts w:hint="eastAsia" w:ascii="MS UI Gothic" w:eastAsia="MS UI Gothic"/>
          <w:w w:val="80"/>
        </w:rPr>
        <w:t>ꎮ</w:t>
      </w:r>
    </w:p>
    <w:p>
      <w:pPr>
        <w:pStyle w:val="6"/>
        <w:tabs>
          <w:tab w:val="left" w:pos="1382"/>
        </w:tabs>
        <w:spacing w:line="295" w:lineRule="auto"/>
        <w:ind w:right="38"/>
        <w:jc w:val="left"/>
      </w:pPr>
      <w:r>
        <w:rPr>
          <w:spacing w:val="3"/>
          <w:w w:val="105"/>
        </w:rPr>
        <w:t>第十</w:t>
      </w:r>
      <w:r>
        <w:rPr>
          <w:w w:val="105"/>
        </w:rPr>
        <w:t>条</w:t>
      </w:r>
      <w:r>
        <w:rPr>
          <w:w w:val="105"/>
        </w:rPr>
        <w:tab/>
      </w:r>
      <w:r>
        <w:rPr>
          <w:spacing w:val="3"/>
        </w:rPr>
        <w:t>地质勘探单位及其主管单</w:t>
      </w:r>
      <w:r>
        <w:t>位</w:t>
      </w:r>
      <w:r>
        <w:rPr>
          <w:spacing w:val="3"/>
        </w:rPr>
        <w:t>应当按照下列规定设置安全生产管理机</w:t>
      </w:r>
      <w:r>
        <w:t>构</w:t>
      </w:r>
    </w:p>
    <w:p>
      <w:pPr>
        <w:pStyle w:val="6"/>
        <w:spacing w:line="238" w:lineRule="exact"/>
        <w:ind w:firstLine="0"/>
        <w:jc w:val="left"/>
        <w:rPr>
          <w:rFonts w:hint="eastAsia" w:ascii="MS UI Gothic" w:eastAsia="MS UI Gothic"/>
        </w:rPr>
      </w:pPr>
      <w:r>
        <w:rPr>
          <w:w w:val="115"/>
        </w:rPr>
        <w:t>或者配备专职安全生产管理人员</w:t>
      </w:r>
      <w:r>
        <w:rPr>
          <w:rFonts w:hint="eastAsia" w:ascii="MS UI Gothic" w:eastAsia="MS UI Gothic"/>
          <w:w w:val="235"/>
        </w:rPr>
        <w:t>:</w:t>
      </w:r>
    </w:p>
    <w:p>
      <w:pPr>
        <w:pStyle w:val="6"/>
        <w:spacing w:before="123" w:line="295" w:lineRule="auto"/>
        <w:ind w:right="442" w:firstLine="0"/>
        <w:rPr>
          <w:rFonts w:hint="eastAsia" w:ascii="MS UI Gothic" w:eastAsia="MS UI Gothic"/>
        </w:rPr>
      </w:pPr>
      <w:r>
        <w:br w:type="column"/>
      </w:r>
      <w:r>
        <w:t>人和安全生产管理人员应当具备与本单位所从事地质勘探活动相适应的安全生产知识和管理能力</w:t>
      </w:r>
      <w:r>
        <w:rPr>
          <w:rFonts w:hint="eastAsia" w:ascii="MS UI Gothic" w:eastAsia="MS UI Gothic"/>
          <w:w w:val="80"/>
        </w:rPr>
        <w:t xml:space="preserve">ꎬ </w:t>
      </w:r>
      <w:r>
        <w:t>并经安全生产监督管理部</w:t>
      </w:r>
      <w:r>
        <w:rPr>
          <w:w w:val="105"/>
        </w:rPr>
        <w:t>门考核合格后方可任职</w:t>
      </w:r>
      <w:r>
        <w:rPr>
          <w:rFonts w:hint="eastAsia" w:ascii="MS UI Gothic" w:eastAsia="MS UI Gothic"/>
          <w:w w:val="80"/>
        </w:rPr>
        <w:t>ꎮ</w:t>
      </w:r>
    </w:p>
    <w:p>
      <w:pPr>
        <w:pStyle w:val="6"/>
        <w:spacing w:line="295" w:lineRule="auto"/>
        <w:ind w:right="442"/>
        <w:rPr>
          <w:rFonts w:hint="eastAsia" w:ascii="MS UI Gothic" w:eastAsia="MS UI Gothic"/>
        </w:rPr>
      </w:pPr>
      <w:r>
        <w:t>地质勘探单位的特种作业人员必须经专门的安全技术培训并考核合格</w:t>
      </w:r>
      <w:r>
        <w:rPr>
          <w:rFonts w:hint="eastAsia" w:ascii="MS UI Gothic" w:eastAsia="MS UI Gothic"/>
          <w:w w:val="80"/>
        </w:rPr>
        <w:t xml:space="preserve">ꎬ </w:t>
      </w:r>
      <w:r>
        <w:t>取得特种作业操作证后</w:t>
      </w:r>
      <w:r>
        <w:rPr>
          <w:rFonts w:hint="eastAsia" w:ascii="MS UI Gothic" w:eastAsia="MS UI Gothic"/>
          <w:w w:val="80"/>
        </w:rPr>
        <w:t xml:space="preserve">ꎬ </w:t>
      </w:r>
      <w:r>
        <w:t>方可上岗作业</w:t>
      </w:r>
      <w:r>
        <w:rPr>
          <w:rFonts w:hint="eastAsia" w:ascii="MS UI Gothic" w:eastAsia="MS UI Gothic"/>
          <w:w w:val="80"/>
        </w:rPr>
        <w:t>ꎮ</w:t>
      </w:r>
    </w:p>
    <w:p>
      <w:pPr>
        <w:pStyle w:val="6"/>
        <w:spacing w:line="295" w:lineRule="auto"/>
        <w:ind w:right="440"/>
        <w:rPr>
          <w:rFonts w:hint="eastAsia" w:ascii="MS UI Gothic" w:eastAsia="MS UI Gothic"/>
        </w:rPr>
      </w:pPr>
      <w:r>
        <w:t>第十二条 地质勘探单位从事坑探工程作业的人员</w:t>
      </w:r>
      <w:r>
        <w:rPr>
          <w:rFonts w:hint="eastAsia" w:ascii="MS UI Gothic" w:eastAsia="MS UI Gothic"/>
          <w:w w:val="85"/>
        </w:rPr>
        <w:t xml:space="preserve">ꎬ </w:t>
      </w:r>
      <w:r>
        <w:t xml:space="preserve">首次上岗作业前应当接受不少于 </w:t>
      </w:r>
      <w:r>
        <w:rPr>
          <w:rFonts w:hint="eastAsia" w:ascii="MS UI Gothic" w:eastAsia="MS UI Gothic"/>
          <w:w w:val="85"/>
        </w:rPr>
        <w:t xml:space="preserve">７２ </w:t>
      </w:r>
      <w:r>
        <w:t>小时的安全生产教育和培训</w:t>
      </w:r>
      <w:r>
        <w:rPr>
          <w:rFonts w:hint="eastAsia" w:ascii="MS UI Gothic" w:eastAsia="MS UI Gothic"/>
          <w:w w:val="85"/>
        </w:rPr>
        <w:t>ꎬ</w:t>
      </w:r>
    </w:p>
    <w:p>
      <w:pPr>
        <w:pStyle w:val="6"/>
        <w:spacing w:line="295" w:lineRule="auto"/>
        <w:ind w:right="442" w:firstLine="0"/>
        <w:rPr>
          <w:rFonts w:hint="eastAsia" w:ascii="MS UI Gothic" w:eastAsia="MS UI Gothic"/>
        </w:rPr>
      </w:pPr>
      <w:r>
        <w:t xml:space="preserve">以后每年应当接受不少于 </w:t>
      </w:r>
      <w:r>
        <w:rPr>
          <w:rFonts w:hint="eastAsia" w:ascii="MS UI Gothic" w:eastAsia="MS UI Gothic"/>
          <w:w w:val="85"/>
        </w:rPr>
        <w:t xml:space="preserve">２０ </w:t>
      </w:r>
      <w:r>
        <w:t>小时的安全生产再培训</w:t>
      </w:r>
      <w:r>
        <w:rPr>
          <w:rFonts w:hint="eastAsia" w:ascii="MS UI Gothic" w:eastAsia="MS UI Gothic"/>
          <w:w w:val="85"/>
        </w:rPr>
        <w:t>ꎮ</w:t>
      </w:r>
    </w:p>
    <w:p>
      <w:pPr>
        <w:pStyle w:val="6"/>
        <w:spacing w:line="295" w:lineRule="auto"/>
        <w:ind w:right="442"/>
        <w:rPr>
          <w:rFonts w:hint="eastAsia" w:ascii="MS UI Gothic" w:eastAsia="MS UI Gothic"/>
        </w:rPr>
      </w:pPr>
      <w:r>
        <w:t>第十三条 地质勘探单位应当按照国家有关规定提取和使用安全生产费用</w:t>
      </w:r>
      <w:r>
        <w:rPr>
          <w:rFonts w:hint="eastAsia" w:ascii="MS UI Gothic" w:eastAsia="MS UI Gothic"/>
          <w:w w:val="80"/>
        </w:rPr>
        <w:t xml:space="preserve">ꎮ </w:t>
      </w:r>
      <w:r>
        <w:t>安全生产费用列入生产成本</w:t>
      </w:r>
      <w:r>
        <w:rPr>
          <w:rFonts w:hint="eastAsia" w:ascii="MS UI Gothic" w:eastAsia="MS UI Gothic"/>
          <w:w w:val="80"/>
        </w:rPr>
        <w:t xml:space="preserve">ꎬ </w:t>
      </w:r>
      <w:r>
        <w:t>并实行专户存储</w:t>
      </w:r>
      <w:r>
        <w:rPr>
          <w:rFonts w:hint="eastAsia" w:ascii="MS UI Gothic" w:eastAsia="MS UI Gothic"/>
          <w:w w:val="80"/>
        </w:rPr>
        <w:t xml:space="preserve">、 </w:t>
      </w:r>
      <w:r>
        <w:t>规范使用</w:t>
      </w:r>
      <w:r>
        <w:rPr>
          <w:rFonts w:hint="eastAsia" w:ascii="MS UI Gothic" w:eastAsia="MS UI Gothic"/>
          <w:w w:val="80"/>
        </w:rPr>
        <w:t>ꎮ</w:t>
      </w:r>
    </w:p>
    <w:p>
      <w:pPr>
        <w:pStyle w:val="6"/>
        <w:spacing w:line="295" w:lineRule="auto"/>
        <w:ind w:right="442"/>
        <w:rPr>
          <w:rFonts w:hint="eastAsia" w:ascii="MS UI Gothic" w:hAnsi="MS UI Gothic" w:eastAsia="MS UI Gothic"/>
        </w:rPr>
      </w:pPr>
      <w:r>
        <w:t>第十四条 地质勘探工程的设计</w:t>
      </w:r>
      <w:r>
        <w:rPr>
          <w:rFonts w:hint="eastAsia" w:ascii="MS UI Gothic" w:hAnsi="MS UI Gothic" w:eastAsia="MS UI Gothic"/>
        </w:rPr>
        <w:t xml:space="preserve">、 </w:t>
      </w:r>
      <w:r>
        <w:t xml:space="preserve">施工和安全管理应当符合 </w:t>
      </w:r>
      <w:r>
        <w:rPr>
          <w:rFonts w:hint="eastAsia" w:ascii="MS UI Gothic" w:hAnsi="MS UI Gothic" w:eastAsia="MS UI Gothic"/>
        </w:rPr>
        <w:t xml:space="preserve">« </w:t>
      </w:r>
      <w:r>
        <w:t>地质勘探安全</w:t>
      </w:r>
      <w:r>
        <w:rPr>
          <w:w w:val="102"/>
        </w:rPr>
        <w:t>规程</w:t>
      </w:r>
      <w:r>
        <w:rPr>
          <w:rFonts w:hint="eastAsia" w:ascii="MS UI Gothic" w:hAnsi="MS UI Gothic" w:eastAsia="MS UI Gothic"/>
          <w:w w:val="76"/>
        </w:rPr>
        <w:t>»</w:t>
      </w:r>
      <w:r>
        <w:rPr>
          <w:rFonts w:hint="eastAsia" w:ascii="MS UI Gothic" w:hAnsi="MS UI Gothic" w:eastAsia="MS UI Gothic"/>
        </w:rPr>
        <w:t xml:space="preserve">  </w:t>
      </w:r>
      <w:r>
        <w:rPr>
          <w:rFonts w:hint="eastAsia" w:ascii="MS UI Gothic" w:hAnsi="MS UI Gothic" w:eastAsia="MS UI Gothic"/>
          <w:w w:val="168"/>
        </w:rPr>
        <w:t>(</w:t>
      </w:r>
      <w:r>
        <w:rPr>
          <w:rFonts w:hint="eastAsia" w:ascii="MS UI Gothic" w:hAnsi="MS UI Gothic" w:eastAsia="MS UI Gothic"/>
        </w:rPr>
        <w:t xml:space="preserve"> </w:t>
      </w:r>
      <w:r>
        <w:rPr>
          <w:rFonts w:hint="eastAsia" w:ascii="MS UI Gothic" w:hAnsi="MS UI Gothic" w:eastAsia="MS UI Gothic"/>
          <w:w w:val="95"/>
        </w:rPr>
        <w:t>Ａ</w:t>
      </w:r>
      <w:r>
        <w:rPr>
          <w:rFonts w:hint="eastAsia" w:ascii="MS UI Gothic" w:hAnsi="MS UI Gothic" w:eastAsia="MS UI Gothic"/>
          <w:w w:val="85"/>
        </w:rPr>
        <w:t>Ｑ</w:t>
      </w:r>
      <w:r>
        <w:rPr>
          <w:rFonts w:hint="eastAsia" w:ascii="MS UI Gothic" w:hAnsi="MS UI Gothic" w:eastAsia="MS UI Gothic"/>
        </w:rPr>
        <w:t xml:space="preserve"> </w:t>
      </w:r>
      <w:r>
        <w:rPr>
          <w:rFonts w:hint="eastAsia" w:ascii="MS UI Gothic" w:hAnsi="MS UI Gothic" w:eastAsia="MS UI Gothic"/>
          <w:w w:val="75"/>
        </w:rPr>
        <w:t>２００４</w:t>
      </w:r>
      <w:r>
        <w:rPr>
          <w:rFonts w:hint="eastAsia" w:ascii="MS UI Gothic" w:hAnsi="MS UI Gothic" w:eastAsia="MS UI Gothic"/>
          <w:w w:val="153"/>
        </w:rPr>
        <w:t>—</w:t>
      </w:r>
      <w:r>
        <w:rPr>
          <w:rFonts w:hint="eastAsia" w:ascii="MS UI Gothic" w:hAnsi="MS UI Gothic" w:eastAsia="MS UI Gothic"/>
          <w:w w:val="75"/>
        </w:rPr>
        <w:t>２００５</w:t>
      </w:r>
      <w:r>
        <w:rPr>
          <w:rFonts w:hint="eastAsia" w:ascii="MS UI Gothic" w:hAnsi="MS UI Gothic" w:eastAsia="MS UI Gothic"/>
          <w:w w:val="168"/>
        </w:rPr>
        <w:t>)</w:t>
      </w:r>
      <w:r>
        <w:rPr>
          <w:rFonts w:hint="eastAsia" w:ascii="MS UI Gothic" w:hAnsi="MS UI Gothic" w:eastAsia="MS UI Gothic"/>
        </w:rPr>
        <w:t xml:space="preserve">  </w:t>
      </w:r>
      <w:r>
        <w:rPr>
          <w:w w:val="102"/>
        </w:rPr>
        <w:t>的规定</w:t>
      </w:r>
      <w:r>
        <w:rPr>
          <w:rFonts w:hint="eastAsia" w:ascii="MS UI Gothic" w:hAnsi="MS UI Gothic" w:eastAsia="MS UI Gothic"/>
          <w:w w:val="51"/>
        </w:rPr>
        <w:t>ꎮ</w:t>
      </w:r>
    </w:p>
    <w:p>
      <w:pPr>
        <w:pStyle w:val="6"/>
        <w:spacing w:line="295" w:lineRule="auto"/>
        <w:ind w:right="442"/>
      </w:pPr>
      <w:r>
        <w:rPr>
          <w:w w:val="105"/>
        </w:rPr>
        <w:t>第十五条 坑探工程的设计方案中应</w:t>
      </w:r>
      <w:r>
        <w:t>当设有安全专篇</w:t>
      </w:r>
      <w:r>
        <w:rPr>
          <w:rFonts w:hint="eastAsia" w:ascii="MS UI Gothic" w:eastAsia="MS UI Gothic"/>
          <w:w w:val="80"/>
        </w:rPr>
        <w:t xml:space="preserve">ꎮ </w:t>
      </w:r>
      <w:r>
        <w:t>安全专篇应当经所在地安全生产监督管理部门审查同意</w:t>
      </w:r>
      <w:r>
        <w:rPr>
          <w:rFonts w:hint="eastAsia" w:ascii="MS UI Gothic" w:eastAsia="MS UI Gothic"/>
          <w:w w:val="80"/>
        </w:rPr>
        <w:t xml:space="preserve">ꎻ </w:t>
      </w:r>
      <w:r>
        <w:t>未经审</w:t>
      </w:r>
    </w:p>
    <w:p>
      <w:pPr>
        <w:pStyle w:val="6"/>
        <w:spacing w:line="238" w:lineRule="exact"/>
        <w:ind w:firstLine="0"/>
        <w:rPr>
          <w:rFonts w:hint="eastAsia" w:ascii="MS UI Gothic" w:eastAsia="MS UI Gothic"/>
        </w:rPr>
      </w:pPr>
      <w:r>
        <w:t>查同意的</w:t>
      </w:r>
      <w:r>
        <w:rPr>
          <w:rFonts w:hint="eastAsia" w:ascii="MS UI Gothic" w:eastAsia="MS UI Gothic"/>
          <w:w w:val="80"/>
        </w:rPr>
        <w:t xml:space="preserve">ꎬ </w:t>
      </w:r>
      <w:r>
        <w:t>有关单位不得施工</w:t>
      </w:r>
      <w:r>
        <w:rPr>
          <w:rFonts w:hint="eastAsia" w:ascii="MS UI Gothic" w:eastAsia="MS UI Gothic"/>
          <w:w w:val="80"/>
        </w:rPr>
        <w:t>ꎮ</w:t>
      </w:r>
    </w:p>
    <w:p>
      <w:pPr>
        <w:spacing w:after="0" w:line="238" w:lineRule="exac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374" w:line="240" w:lineRule="exact"/>
        <w:ind w:left="118" w:firstLine="0"/>
        <w:jc w:val="left"/>
        <w:rPr>
          <w:rFonts w:hint="eastAsia" w:ascii="MS UI Gothic" w:eastAsia="MS UI Gothic"/>
        </w:rPr>
      </w:pPr>
      <w:r>
        <w:rPr>
          <w:rFonts w:hint="eastAsia" w:ascii="MS UI Gothic" w:eastAsia="MS UI Gothic"/>
          <w:w w:val="75"/>
        </w:rPr>
        <w:t>３００</w:t>
      </w:r>
    </w:p>
    <w:p>
      <w:pPr>
        <w:pStyle w:val="6"/>
        <w:spacing w:before="6" w:line="310" w:lineRule="atLeast"/>
        <w:ind w:left="18" w:right="38" w:firstLine="58"/>
        <w:jc w:val="left"/>
        <w:rPr>
          <w:rFonts w:hint="eastAsia" w:ascii="MS UI Gothic" w:eastAsia="MS UI Gothic"/>
        </w:rPr>
      </w:pPr>
      <w:r>
        <w:br w:type="column"/>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地质勘探单位从业人员超过</w:t>
      </w:r>
      <w:r>
        <w:t>人的</w:t>
      </w:r>
      <w:r>
        <w:rPr>
          <w:rFonts w:hint="eastAsia" w:ascii="MS UI Gothic" w:eastAsia="MS UI Gothic"/>
          <w:w w:val="80"/>
        </w:rPr>
        <w:t xml:space="preserve">ꎬ </w:t>
      </w:r>
      <w:r>
        <w:t>应当设置安全生产管理机构</w:t>
      </w:r>
      <w:r>
        <w:rPr>
          <w:rFonts w:hint="eastAsia" w:ascii="MS UI Gothic" w:eastAsia="MS UI Gothic"/>
          <w:w w:val="80"/>
        </w:rPr>
        <w:t>ꎬ</w:t>
      </w:r>
    </w:p>
    <w:p>
      <w:pPr>
        <w:pStyle w:val="6"/>
        <w:spacing w:before="6" w:line="310" w:lineRule="atLeast"/>
        <w:ind w:left="118" w:right="442"/>
        <w:jc w:val="left"/>
      </w:pPr>
      <w:r>
        <w:br w:type="column"/>
      </w:r>
      <w:r>
        <w:t>坑探工程安全专篇的具体审查办法由省</w:t>
      </w:r>
      <w:r>
        <w:rPr>
          <w:rFonts w:hint="eastAsia" w:ascii="MS UI Gothic" w:eastAsia="MS UI Gothic"/>
        </w:rPr>
        <w:t xml:space="preserve">、 </w:t>
      </w:r>
      <w:r>
        <w:t>自治区</w:t>
      </w:r>
      <w:r>
        <w:rPr>
          <w:rFonts w:hint="eastAsia" w:ascii="MS UI Gothic" w:eastAsia="MS UI Gothic"/>
        </w:rPr>
        <w:t xml:space="preserve">、 </w:t>
      </w:r>
      <w:r>
        <w:t>直辖市人民政府安全生产监</w:t>
      </w:r>
    </w:p>
    <w:p>
      <w:pPr>
        <w:spacing w:after="0" w:line="310" w:lineRule="atLeast"/>
        <w:jc w:val="left"/>
        <w:sectPr>
          <w:type w:val="continuous"/>
          <w:pgSz w:w="10500" w:h="14750"/>
          <w:pgMar w:top="1400" w:right="980" w:bottom="280" w:left="980" w:header="720" w:footer="720" w:gutter="0"/>
          <w:cols w:equalWidth="0" w:num="3">
            <w:col w:w="428" w:space="40"/>
            <w:col w:w="3469" w:space="261"/>
            <w:col w:w="4342"/>
          </w:cols>
        </w:sectPr>
      </w:pPr>
    </w:p>
    <w:p>
      <w:pPr>
        <w:pStyle w:val="6"/>
        <w:spacing w:before="62" w:line="295" w:lineRule="auto"/>
        <w:ind w:right="39" w:firstLine="0"/>
        <w:rPr>
          <w:rFonts w:hint="eastAsia" w:ascii="MS UI Gothic" w:eastAsia="MS UI Gothic"/>
        </w:rPr>
      </w:pPr>
      <w:r>
        <w:rPr>
          <w:w w:val="95"/>
        </w:rPr>
        <w:t xml:space="preserve">并按不低于从业人员 </w:t>
      </w:r>
      <w:r>
        <w:rPr>
          <w:rFonts w:hint="eastAsia" w:ascii="MS UI Gothic" w:eastAsia="MS UI Gothic"/>
          <w:w w:val="95"/>
        </w:rPr>
        <w:t>１</w:t>
      </w:r>
      <w:r>
        <w:rPr>
          <w:w w:val="95"/>
        </w:rPr>
        <w:t>％ 的比例配备专职安全生产管理人员</w:t>
      </w:r>
      <w:r>
        <w:rPr>
          <w:rFonts w:hint="eastAsia" w:ascii="MS UI Gothic" w:eastAsia="MS UI Gothic"/>
          <w:w w:val="90"/>
        </w:rPr>
        <w:t xml:space="preserve">ꎻ </w:t>
      </w:r>
      <w:r>
        <w:rPr>
          <w:w w:val="95"/>
        </w:rPr>
        <w:t xml:space="preserve">从业人员在 </w:t>
      </w:r>
      <w:r>
        <w:rPr>
          <w:rFonts w:hint="eastAsia" w:ascii="MS UI Gothic" w:eastAsia="MS UI Gothic"/>
          <w:w w:val="95"/>
        </w:rPr>
        <w:t xml:space="preserve">３００ </w:t>
      </w:r>
      <w:r>
        <w:rPr>
          <w:w w:val="95"/>
        </w:rPr>
        <w:t>人以下的</w:t>
      </w:r>
      <w:r>
        <w:rPr>
          <w:rFonts w:hint="eastAsia" w:ascii="MS UI Gothic" w:eastAsia="MS UI Gothic"/>
          <w:w w:val="90"/>
        </w:rPr>
        <w:t xml:space="preserve">ꎬ </w:t>
      </w:r>
      <w:r>
        <w:rPr>
          <w:w w:val="95"/>
        </w:rPr>
        <w:t xml:space="preserve">应当配备不少于 </w:t>
      </w:r>
      <w:r>
        <w:rPr>
          <w:rFonts w:hint="eastAsia" w:ascii="MS UI Gothic" w:eastAsia="MS UI Gothic"/>
          <w:w w:val="95"/>
        </w:rPr>
        <w:t xml:space="preserve">２ </w:t>
      </w:r>
      <w:r>
        <w:rPr>
          <w:w w:val="95"/>
        </w:rPr>
        <w:t>名的专职安全生产管理人员</w:t>
      </w:r>
      <w:r>
        <w:rPr>
          <w:rFonts w:hint="eastAsia" w:ascii="MS UI Gothic" w:eastAsia="MS UI Gothic"/>
          <w:w w:val="90"/>
        </w:rPr>
        <w:t>ꎻ</w:t>
      </w:r>
    </w:p>
    <w:p>
      <w:pPr>
        <w:pStyle w:val="6"/>
        <w:spacing w:line="295" w:lineRule="auto"/>
        <w:ind w:right="38"/>
        <w:rPr>
          <w:rFonts w:hint="eastAsia" w:ascii="MS UI Gothic" w:hAnsi="MS UI Gothic" w:eastAsia="MS UI Gothic"/>
        </w:rPr>
      </w:pPr>
      <w:r>
        <w:rPr>
          <w:rFonts w:hint="eastAsia" w:ascii="MS UI Gothic" w:hAnsi="MS UI Gothic" w:eastAsia="MS UI Gothic"/>
          <w:w w:val="140"/>
        </w:rPr>
        <w:t xml:space="preserve">( </w:t>
      </w:r>
      <w:r>
        <w:rPr>
          <w:w w:val="95"/>
        </w:rPr>
        <w:t>二</w:t>
      </w:r>
      <w:r>
        <w:rPr>
          <w:rFonts w:hint="eastAsia" w:ascii="MS UI Gothic" w:hAnsi="MS UI Gothic" w:eastAsia="MS UI Gothic"/>
          <w:w w:val="140"/>
        </w:rPr>
        <w:t xml:space="preserve">)  </w:t>
      </w:r>
      <w:r>
        <w:rPr>
          <w:w w:val="95"/>
        </w:rPr>
        <w:t xml:space="preserve">所属地质勘探单位从业人员总数在 </w:t>
      </w:r>
      <w:r>
        <w:rPr>
          <w:rFonts w:hint="eastAsia" w:ascii="MS UI Gothic" w:hAnsi="MS UI Gothic" w:eastAsia="MS UI Gothic"/>
          <w:w w:val="95"/>
        </w:rPr>
        <w:t xml:space="preserve">３０００ </w:t>
      </w:r>
      <w:r>
        <w:rPr>
          <w:w w:val="95"/>
        </w:rPr>
        <w:t>人以上的地质勘探主管单位</w:t>
      </w:r>
      <w:r>
        <w:rPr>
          <w:rFonts w:hint="eastAsia" w:ascii="MS UI Gothic" w:hAnsi="MS UI Gothic" w:eastAsia="MS UI Gothic"/>
          <w:w w:val="85"/>
        </w:rPr>
        <w:t>ꎬ</w:t>
      </w:r>
      <w:r>
        <w:rPr>
          <w:w w:val="95"/>
        </w:rPr>
        <w:t>应当设置安全生产管理机构</w:t>
      </w:r>
      <w:r>
        <w:rPr>
          <w:rFonts w:hint="eastAsia" w:ascii="MS UI Gothic" w:hAnsi="MS UI Gothic" w:eastAsia="MS UI Gothic"/>
          <w:w w:val="85"/>
        </w:rPr>
        <w:t xml:space="preserve">ꎬ   </w:t>
      </w:r>
      <w:r>
        <w:rPr>
          <w:w w:val="95"/>
        </w:rPr>
        <w:t xml:space="preserve">并按不低于从业人员总数 </w:t>
      </w:r>
      <w:r>
        <w:rPr>
          <w:rFonts w:hint="eastAsia" w:ascii="MS UI Gothic" w:hAnsi="MS UI Gothic" w:eastAsia="MS UI Gothic"/>
          <w:w w:val="95"/>
        </w:rPr>
        <w:t>１</w:t>
      </w:r>
      <w:r>
        <w:rPr>
          <w:w w:val="95"/>
        </w:rPr>
        <w:t>‰的比例配备专职安全生产管理人员</w:t>
      </w:r>
      <w:r>
        <w:rPr>
          <w:rFonts w:hint="eastAsia" w:ascii="MS UI Gothic" w:hAnsi="MS UI Gothic" w:eastAsia="MS UI Gothic"/>
          <w:w w:val="85"/>
        </w:rPr>
        <w:t xml:space="preserve">ꎻ </w:t>
      </w:r>
      <w:r>
        <w:rPr>
          <w:w w:val="95"/>
        </w:rPr>
        <w:t xml:space="preserve">从业人员总数在 </w:t>
      </w:r>
      <w:r>
        <w:rPr>
          <w:rFonts w:hint="eastAsia" w:ascii="MS UI Gothic" w:hAnsi="MS UI Gothic" w:eastAsia="MS UI Gothic"/>
          <w:w w:val="95"/>
        </w:rPr>
        <w:t xml:space="preserve">３０００ </w:t>
      </w:r>
      <w:r>
        <w:rPr>
          <w:w w:val="95"/>
        </w:rPr>
        <w:t>人以下的</w:t>
      </w:r>
      <w:r>
        <w:rPr>
          <w:rFonts w:hint="eastAsia" w:ascii="MS UI Gothic" w:hAnsi="MS UI Gothic" w:eastAsia="MS UI Gothic"/>
          <w:w w:val="85"/>
        </w:rPr>
        <w:t xml:space="preserve">ꎬ   </w:t>
      </w:r>
      <w:r>
        <w:rPr>
          <w:w w:val="95"/>
        </w:rPr>
        <w:t xml:space="preserve">应当设置安全生产管理机构或者配备不少于 </w:t>
      </w:r>
      <w:r>
        <w:rPr>
          <w:rFonts w:hint="eastAsia" w:ascii="MS UI Gothic" w:hAnsi="MS UI Gothic" w:eastAsia="MS UI Gothic"/>
          <w:w w:val="95"/>
        </w:rPr>
        <w:t xml:space="preserve">１ </w:t>
      </w:r>
      <w:r>
        <w:rPr>
          <w:w w:val="95"/>
        </w:rPr>
        <w:t>名的专职安全生产管理人员</w:t>
      </w:r>
      <w:r>
        <w:rPr>
          <w:rFonts w:hint="eastAsia" w:ascii="MS UI Gothic" w:hAnsi="MS UI Gothic" w:eastAsia="MS UI Gothic"/>
          <w:w w:val="85"/>
        </w:rPr>
        <w:t>ꎮ</w:t>
      </w:r>
    </w:p>
    <w:p>
      <w:pPr>
        <w:pStyle w:val="6"/>
        <w:spacing w:line="295" w:lineRule="auto"/>
        <w:ind w:right="39"/>
        <w:jc w:val="left"/>
        <w:rPr>
          <w:rFonts w:hint="eastAsia" w:ascii="MS UI Gothic" w:eastAsia="MS UI Gothic"/>
        </w:rPr>
      </w:pPr>
      <w:r>
        <w:t>专职安全生产管理人员中应当按照规</w:t>
      </w:r>
      <w:r>
        <w:rPr>
          <w:w w:val="105"/>
        </w:rPr>
        <w:t>定配备注册安全工程师</w:t>
      </w:r>
      <w:r>
        <w:rPr>
          <w:rFonts w:hint="eastAsia" w:ascii="MS UI Gothic" w:eastAsia="MS UI Gothic"/>
          <w:w w:val="80"/>
        </w:rPr>
        <w:t>ꎮ</w:t>
      </w:r>
    </w:p>
    <w:p>
      <w:pPr>
        <w:pStyle w:val="6"/>
        <w:tabs>
          <w:tab w:val="left" w:pos="1591"/>
        </w:tabs>
        <w:spacing w:line="255" w:lineRule="exact"/>
        <w:ind w:left="543" w:firstLine="0"/>
        <w:jc w:val="left"/>
      </w:pPr>
      <w:r>
        <w:rPr>
          <w:spacing w:val="3"/>
          <w:w w:val="105"/>
        </w:rPr>
        <w:t>第十一</w:t>
      </w:r>
      <w:r>
        <w:rPr>
          <w:w w:val="105"/>
        </w:rPr>
        <w:t>条</w:t>
      </w:r>
      <w:r>
        <w:rPr>
          <w:w w:val="105"/>
        </w:rPr>
        <w:tab/>
      </w:r>
      <w:r>
        <w:rPr>
          <w:spacing w:val="3"/>
        </w:rPr>
        <w:t>地质勘探单位的主要负</w:t>
      </w:r>
      <w:r>
        <w:t>责</w:t>
      </w:r>
    </w:p>
    <w:p>
      <w:pPr>
        <w:pStyle w:val="6"/>
        <w:spacing w:before="62"/>
        <w:ind w:firstLine="0"/>
        <w:jc w:val="left"/>
        <w:rPr>
          <w:rFonts w:hint="eastAsia" w:ascii="MS UI Gothic" w:eastAsia="MS UI Gothic"/>
        </w:rPr>
      </w:pPr>
      <w:r>
        <w:br w:type="column"/>
      </w:r>
      <w:r>
        <w:t>督管理部门制定</w:t>
      </w:r>
      <w:r>
        <w:rPr>
          <w:rFonts w:hint="eastAsia" w:ascii="MS UI Gothic" w:eastAsia="MS UI Gothic"/>
          <w:w w:val="80"/>
        </w:rPr>
        <w:t>ꎮ</w:t>
      </w:r>
    </w:p>
    <w:p>
      <w:pPr>
        <w:pStyle w:val="6"/>
        <w:spacing w:before="58" w:line="295" w:lineRule="auto"/>
        <w:ind w:right="442"/>
        <w:rPr>
          <w:rFonts w:hint="eastAsia" w:ascii="MS UI Gothic" w:eastAsia="MS UI Gothic"/>
        </w:rPr>
      </w:pPr>
      <w:r>
        <w:rPr>
          <w:spacing w:val="2"/>
          <w:w w:val="105"/>
        </w:rPr>
        <w:t>第十六条 地质勘探单位不得将其承</w:t>
      </w:r>
      <w:r>
        <w:rPr>
          <w:spacing w:val="2"/>
        </w:rPr>
        <w:t>担的地质勘探工程项目转包给不具备安全</w:t>
      </w:r>
      <w:r>
        <w:rPr>
          <w:spacing w:val="2"/>
          <w:w w:val="105"/>
        </w:rPr>
        <w:t>生产条 件或者相应地质勘查资质的地质</w:t>
      </w:r>
      <w:r>
        <w:rPr>
          <w:spacing w:val="3"/>
        </w:rPr>
        <w:t>勘探单位</w:t>
      </w:r>
      <w:r>
        <w:rPr>
          <w:rFonts w:hint="eastAsia" w:ascii="MS UI Gothic" w:eastAsia="MS UI Gothic"/>
          <w:spacing w:val="20"/>
          <w:w w:val="80"/>
        </w:rPr>
        <w:t xml:space="preserve">ꎬ </w:t>
      </w:r>
      <w:r>
        <w:rPr>
          <w:spacing w:val="2"/>
        </w:rPr>
        <w:t>不得允许其他单位以本单位的</w:t>
      </w:r>
      <w:r>
        <w:rPr>
          <w:spacing w:val="3"/>
          <w:w w:val="105"/>
        </w:rPr>
        <w:t>名义从事地质勘探活动</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第十七条 地质勘探单位不得以探矿</w:t>
      </w:r>
      <w:r>
        <w:rPr>
          <w:spacing w:val="3"/>
          <w:w w:val="105"/>
        </w:rPr>
        <w:t>名义从事非法采矿活动</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第十八条 地质勘探单位应当为从业人员配备必要的劳动防护用品</w:t>
      </w:r>
      <w:r>
        <w:rPr>
          <w:rFonts w:hint="eastAsia" w:ascii="MS UI Gothic" w:eastAsia="MS UI Gothic"/>
          <w:w w:val="80"/>
        </w:rPr>
        <w:t xml:space="preserve">、 </w:t>
      </w:r>
      <w:r>
        <w:rPr>
          <w:w w:val="105"/>
        </w:rPr>
        <w:t>野外救生用品和野外特殊生活用品</w:t>
      </w:r>
      <w:r>
        <w:rPr>
          <w:rFonts w:hint="eastAsia" w:ascii="MS UI Gothic" w:eastAsia="MS UI Gothic"/>
          <w:w w:val="80"/>
        </w:rPr>
        <w:t>ꎮ</w:t>
      </w:r>
    </w:p>
    <w:p>
      <w:pPr>
        <w:pStyle w:val="6"/>
        <w:spacing w:line="295" w:lineRule="auto"/>
        <w:ind w:right="442"/>
      </w:pPr>
      <w:r>
        <w:rPr>
          <w:w w:val="105"/>
        </w:rPr>
        <w:t>第十九条 地质勘探单位应当根据本</w:t>
      </w:r>
      <w:r>
        <w:t>单位实际情况制定野外作业突发事件等安全生产应急预案</w:t>
      </w:r>
      <w:r>
        <w:rPr>
          <w:rFonts w:hint="eastAsia" w:ascii="MS UI Gothic" w:eastAsia="MS UI Gothic"/>
          <w:w w:val="80"/>
        </w:rPr>
        <w:t xml:space="preserve">ꎬ </w:t>
      </w:r>
      <w:r>
        <w:t>建立健全应急救援组织</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４２３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68" o:spid="_x0000_s2268" o:spt="203" style="height:2.15pt;width:398.25pt;" coordsize="7965,43">
            <o:lock v:ext="edit"/>
            <v:line id="_x0000_s2269" o:spid="_x0000_s2269" o:spt="20" style="position:absolute;left:0;top:39;height:0;width:7965;" stroked="t" coordsize="21600,21600">
              <v:path arrowok="t"/>
              <v:fill focussize="0,0"/>
              <v:stroke weight="0.388031496062992pt" color="#231F20"/>
              <v:imagedata o:title=""/>
              <o:lock v:ext="edit"/>
            </v:line>
            <v:line id="_x0000_s2270" o:spid="_x0000_s227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或者与邻近的应急救援组织签订救护协议</w:t>
      </w:r>
      <w:r>
        <w:rPr>
          <w:rFonts w:hint="eastAsia" w:ascii="MS UI Gothic" w:eastAsia="MS UI Gothic"/>
          <w:w w:val="80"/>
        </w:rPr>
        <w:t xml:space="preserve">ꎬ </w:t>
      </w:r>
      <w:r>
        <w:t>配备必要的应急救援器材和设备</w:t>
      </w:r>
      <w:r>
        <w:rPr>
          <w:rFonts w:hint="eastAsia" w:ascii="MS UI Gothic" w:eastAsia="MS UI Gothic"/>
          <w:w w:val="80"/>
        </w:rPr>
        <w:t xml:space="preserve">ꎬ </w:t>
      </w:r>
      <w:r>
        <w:t>按照有关规定组织开展应急演练</w:t>
      </w:r>
      <w:r>
        <w:rPr>
          <w:rFonts w:hint="eastAsia" w:ascii="MS UI Gothic" w:eastAsia="MS UI Gothic"/>
          <w:w w:val="80"/>
        </w:rPr>
        <w:t>ꎮ</w:t>
      </w:r>
    </w:p>
    <w:p>
      <w:pPr>
        <w:pStyle w:val="6"/>
        <w:spacing w:line="295" w:lineRule="auto"/>
        <w:ind w:left="440"/>
        <w:rPr>
          <w:rFonts w:hint="eastAsia" w:ascii="MS UI Gothic" w:eastAsia="MS UI Gothic"/>
        </w:rPr>
      </w:pPr>
      <w:r>
        <w:t>应急预案应当按照有关规定报安全生产监督管理部门和地质勘探主管单位</w:t>
      </w:r>
      <w:r>
        <w:rPr>
          <w:w w:val="105"/>
        </w:rPr>
        <w:t>备案</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第二十条 地质勘探主管单位应当按</w:t>
      </w:r>
      <w:r>
        <w:t>照国家有关规定</w:t>
      </w:r>
      <w:r>
        <w:rPr>
          <w:rFonts w:hint="eastAsia" w:ascii="MS UI Gothic" w:eastAsia="MS UI Gothic"/>
          <w:w w:val="80"/>
        </w:rPr>
        <w:t xml:space="preserve">ꎬ </w:t>
      </w:r>
      <w:r>
        <w:t>定期检查所属地质勘探单位落实安全生产责任制和安全生产费用</w:t>
      </w:r>
      <w:r>
        <w:rPr>
          <w:w w:val="105"/>
        </w:rPr>
        <w:t>提取使用</w:t>
      </w:r>
      <w:r>
        <w:rPr>
          <w:rFonts w:hint="eastAsia" w:ascii="MS UI Gothic" w:eastAsia="MS UI Gothic"/>
          <w:w w:val="80"/>
        </w:rPr>
        <w:t xml:space="preserve">、 </w:t>
      </w:r>
      <w:r>
        <w:rPr>
          <w:w w:val="105"/>
        </w:rPr>
        <w:t>安全生产教育培训</w:t>
      </w:r>
      <w:r>
        <w:rPr>
          <w:rFonts w:hint="eastAsia" w:ascii="MS UI Gothic" w:eastAsia="MS UI Gothic"/>
          <w:w w:val="80"/>
        </w:rPr>
        <w:t xml:space="preserve">、 </w:t>
      </w:r>
      <w:r>
        <w:rPr>
          <w:w w:val="105"/>
        </w:rPr>
        <w:t>事故隐患</w:t>
      </w:r>
      <w:r>
        <w:t>排查治理等情况</w:t>
      </w:r>
      <w:r>
        <w:rPr>
          <w:rFonts w:hint="eastAsia" w:ascii="MS UI Gothic" w:eastAsia="MS UI Gothic"/>
          <w:w w:val="80"/>
        </w:rPr>
        <w:t xml:space="preserve">ꎬ </w:t>
      </w:r>
      <w:r>
        <w:t>并组织实施安全生产绩</w:t>
      </w:r>
      <w:r>
        <w:rPr>
          <w:w w:val="105"/>
        </w:rPr>
        <w:t>效考核</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第二十一条 地质勘探单位发生生产</w:t>
      </w:r>
      <w:r>
        <w:t>安全事故后</w:t>
      </w:r>
      <w:r>
        <w:rPr>
          <w:rFonts w:hint="eastAsia" w:ascii="MS UI Gothic" w:eastAsia="MS UI Gothic"/>
          <w:w w:val="80"/>
        </w:rPr>
        <w:t xml:space="preserve">ꎬ </w:t>
      </w:r>
      <w:r>
        <w:t>应当按照有关规定向事故发生地县级以上安全生产监督管理部门和地</w:t>
      </w:r>
      <w:r>
        <w:rPr>
          <w:w w:val="105"/>
        </w:rPr>
        <w:t>质勘探主管单位报告</w:t>
      </w:r>
      <w:r>
        <w:rPr>
          <w:rFonts w:hint="eastAsia" w:ascii="MS UI Gothic" w:eastAsia="MS UI Gothic"/>
          <w:w w:val="80"/>
        </w:rPr>
        <w:t>ꎮ</w:t>
      </w:r>
    </w:p>
    <w:p>
      <w:pPr>
        <w:pStyle w:val="6"/>
        <w:tabs>
          <w:tab w:val="left" w:pos="2222"/>
        </w:tabs>
        <w:spacing w:before="144"/>
        <w:ind w:left="1384" w:firstLine="0"/>
        <w:jc w:val="left"/>
      </w:pPr>
      <w:r>
        <w:rPr>
          <w:spacing w:val="3"/>
          <w:w w:val="105"/>
        </w:rPr>
        <w:t>第三</w:t>
      </w:r>
      <w:r>
        <w:rPr>
          <w:w w:val="105"/>
        </w:rPr>
        <w:t>章</w:t>
      </w:r>
      <w:r>
        <w:rPr>
          <w:w w:val="105"/>
        </w:rPr>
        <w:tab/>
      </w:r>
      <w:r>
        <w:rPr>
          <w:w w:val="105"/>
        </w:rPr>
        <w:t>监</w:t>
      </w:r>
      <w:r>
        <w:rPr>
          <w:spacing w:val="-34"/>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11"/>
        <w:ind w:left="0" w:firstLine="0"/>
        <w:jc w:val="left"/>
        <w:rPr>
          <w:sz w:val="16"/>
        </w:rPr>
      </w:pPr>
    </w:p>
    <w:p>
      <w:pPr>
        <w:pStyle w:val="6"/>
        <w:spacing w:line="295" w:lineRule="auto"/>
        <w:ind w:left="440"/>
        <w:rPr>
          <w:rFonts w:hint="eastAsia" w:ascii="MS UI Gothic" w:eastAsia="MS UI Gothic"/>
        </w:rPr>
      </w:pPr>
      <w:r>
        <w:rPr>
          <w:w w:val="105"/>
        </w:rPr>
        <w:t>第二十二条 安全生产监督管理部门</w:t>
      </w:r>
      <w:r>
        <w:t>应当加强对地质勘探单位安全生产的监督检查</w:t>
      </w:r>
      <w:r>
        <w:rPr>
          <w:rFonts w:hint="eastAsia" w:ascii="MS UI Gothic" w:eastAsia="MS UI Gothic"/>
          <w:w w:val="80"/>
        </w:rPr>
        <w:t xml:space="preserve">ꎬ </w:t>
      </w:r>
      <w:r>
        <w:t>对检查中发现的事故隐患和安全生产违法违规行为</w:t>
      </w:r>
      <w:r>
        <w:rPr>
          <w:rFonts w:hint="eastAsia" w:ascii="MS UI Gothic" w:eastAsia="MS UI Gothic"/>
          <w:w w:val="80"/>
        </w:rPr>
        <w:t xml:space="preserve">ꎬ </w:t>
      </w:r>
      <w:r>
        <w:t>依法作出现场处理或者</w:t>
      </w:r>
      <w:r>
        <w:rPr>
          <w:w w:val="105"/>
        </w:rPr>
        <w:t>实施行政处罚</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第二十三条 安全生产监督管理部门</w:t>
      </w:r>
      <w:r>
        <w:t>应当建立完善地质勘探单位备案制度</w:t>
      </w:r>
      <w:r>
        <w:rPr>
          <w:rFonts w:hint="eastAsia" w:ascii="MS UI Gothic" w:eastAsia="MS UI Gothic"/>
          <w:w w:val="80"/>
        </w:rPr>
        <w:t xml:space="preserve">ꎬ </w:t>
      </w:r>
      <w:r>
        <w:t>及时掌握本行政区域内地质勘探单位的作业</w:t>
      </w:r>
      <w:r>
        <w:rPr>
          <w:w w:val="105"/>
        </w:rPr>
        <w:t>情况</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第二十四条 安全生产监督管理部门</w:t>
      </w:r>
      <w:r>
        <w:t>应当按照本规定的要求开展对坑探工程安全专篇的审查</w:t>
      </w:r>
      <w:r>
        <w:rPr>
          <w:rFonts w:hint="eastAsia" w:ascii="MS UI Gothic" w:eastAsia="MS UI Gothic"/>
          <w:w w:val="80"/>
        </w:rPr>
        <w:t xml:space="preserve">ꎬ </w:t>
      </w:r>
      <w:r>
        <w:t>建立安全专篇审查档案</w:t>
      </w:r>
      <w:r>
        <w:rPr>
          <w:rFonts w:hint="eastAsia" w:ascii="MS UI Gothic" w:eastAsia="MS UI Gothic"/>
          <w:w w:val="80"/>
        </w:rPr>
        <w:t>ꎮ</w:t>
      </w:r>
    </w:p>
    <w:p>
      <w:pPr>
        <w:pStyle w:val="6"/>
        <w:tabs>
          <w:tab w:val="left" w:pos="2222"/>
        </w:tabs>
        <w:spacing w:before="147"/>
        <w:ind w:left="1384" w:firstLine="0"/>
        <w:jc w:val="left"/>
      </w:pPr>
      <w:r>
        <w:rPr>
          <w:spacing w:val="3"/>
          <w:w w:val="105"/>
        </w:rPr>
        <w:t>第四</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11"/>
        <w:ind w:left="0" w:firstLine="0"/>
        <w:jc w:val="left"/>
        <w:rPr>
          <w:sz w:val="16"/>
        </w:rPr>
      </w:pPr>
    </w:p>
    <w:p>
      <w:pPr>
        <w:pStyle w:val="6"/>
        <w:spacing w:line="295" w:lineRule="auto"/>
        <w:ind w:left="440"/>
        <w:rPr>
          <w:rFonts w:hint="eastAsia" w:ascii="MS UI Gothic" w:eastAsia="MS UI Gothic"/>
        </w:rPr>
      </w:pPr>
      <w:r>
        <w:rPr>
          <w:spacing w:val="2"/>
          <w:w w:val="105"/>
        </w:rPr>
        <w:t>第二十五条 地质勘探单位有下列情</w:t>
      </w:r>
      <w:r>
        <w:rPr>
          <w:spacing w:val="6"/>
        </w:rPr>
        <w:t>形之一的</w:t>
      </w:r>
      <w:r>
        <w:rPr>
          <w:rFonts w:hint="eastAsia" w:ascii="MS UI Gothic" w:eastAsia="MS UI Gothic"/>
          <w:spacing w:val="2"/>
          <w:w w:val="80"/>
        </w:rPr>
        <w:t xml:space="preserve">ꎬ </w:t>
      </w:r>
      <w:r>
        <w:rPr>
          <w:spacing w:val="19"/>
        </w:rPr>
        <w:t>责令限期改正</w:t>
      </w:r>
      <w:r>
        <w:rPr>
          <w:rFonts w:hint="eastAsia" w:ascii="MS UI Gothic" w:eastAsia="MS UI Gothic"/>
          <w:spacing w:val="4"/>
          <w:w w:val="80"/>
        </w:rPr>
        <w:t xml:space="preserve">ꎻ </w:t>
      </w:r>
      <w:r>
        <w:rPr>
          <w:spacing w:val="16"/>
        </w:rPr>
        <w:t>逾期未改正</w:t>
      </w:r>
      <w:r>
        <w:rPr>
          <w:spacing w:val="3"/>
          <w:w w:val="105"/>
        </w:rPr>
        <w:t>的</w:t>
      </w:r>
      <w:r>
        <w:rPr>
          <w:rFonts w:hint="eastAsia" w:ascii="MS UI Gothic" w:eastAsia="MS UI Gothic"/>
          <w:spacing w:val="-2"/>
          <w:w w:val="80"/>
        </w:rPr>
        <w:t xml:space="preserve">ꎬ </w:t>
      </w:r>
      <w:r>
        <w:rPr>
          <w:spacing w:val="3"/>
          <w:w w:val="105"/>
        </w:rPr>
        <w:t>责令停产停业整顿</w:t>
      </w:r>
      <w:r>
        <w:rPr>
          <w:rFonts w:hint="eastAsia" w:ascii="MS UI Gothic" w:eastAsia="MS UI Gothic"/>
          <w:spacing w:val="-1"/>
          <w:w w:val="80"/>
        </w:rPr>
        <w:t xml:space="preserve">ꎬ </w:t>
      </w:r>
      <w:r>
        <w:rPr>
          <w:spacing w:val="-15"/>
          <w:w w:val="105"/>
        </w:rPr>
        <w:t xml:space="preserve">可以并处 </w:t>
      </w:r>
      <w:r>
        <w:rPr>
          <w:rFonts w:hint="eastAsia" w:ascii="MS UI Gothic" w:eastAsia="MS UI Gothic"/>
          <w:spacing w:val="-12"/>
          <w:w w:val="80"/>
        </w:rPr>
        <w:t xml:space="preserve">２ </w:t>
      </w:r>
      <w:r>
        <w:rPr>
          <w:spacing w:val="3"/>
          <w:w w:val="105"/>
        </w:rPr>
        <w:t>万元以下的罚款</w:t>
      </w:r>
      <w:r>
        <w:rPr>
          <w:rFonts w:hint="eastAsia" w:ascii="MS UI Gothic" w:eastAsia="MS UI Gothic"/>
          <w:w w:val="235"/>
        </w:rPr>
        <w:t>:</w:t>
      </w:r>
    </w:p>
    <w:p>
      <w:pPr>
        <w:pStyle w:val="6"/>
        <w:spacing w:before="124" w:line="295" w:lineRule="auto"/>
        <w:ind w:left="383" w:right="126"/>
        <w:rPr>
          <w:rFonts w:hint="eastAsia" w:ascii="MS UI Gothic" w:eastAsia="MS UI Gothic"/>
        </w:rPr>
      </w:pPr>
      <w:r>
        <w:br w:type="column"/>
      </w:r>
      <w:r>
        <w:rPr>
          <w:rFonts w:hint="eastAsia" w:ascii="MS UI Gothic" w:eastAsia="MS UI Gothic"/>
          <w:spacing w:val="-38"/>
          <w:w w:val="150"/>
        </w:rPr>
        <w:t xml:space="preserve">( </w:t>
      </w:r>
      <w:r>
        <w:rPr>
          <w:spacing w:val="3"/>
          <w:w w:val="105"/>
        </w:rPr>
        <w:t>一</w:t>
      </w:r>
      <w:r>
        <w:rPr>
          <w:rFonts w:hint="eastAsia" w:ascii="MS UI Gothic" w:eastAsia="MS UI Gothic"/>
          <w:spacing w:val="3"/>
          <w:w w:val="150"/>
        </w:rPr>
        <w:t xml:space="preserve">) </w:t>
      </w:r>
      <w:r>
        <w:rPr>
          <w:spacing w:val="5"/>
          <w:w w:val="105"/>
        </w:rPr>
        <w:t>未按照本规定设立安全生产管</w:t>
      </w:r>
      <w:r>
        <w:rPr>
          <w:spacing w:val="24"/>
        </w:rPr>
        <w:t>理机构或者配备专职安全生产管理人</w:t>
      </w:r>
      <w:r>
        <w:rPr>
          <w:spacing w:val="3"/>
          <w:w w:val="105"/>
        </w:rPr>
        <w:t>员的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spacing w:val="-34"/>
          <w:w w:val="120"/>
        </w:rPr>
        <w:t xml:space="preserve">( </w:t>
      </w:r>
      <w:r>
        <w:rPr>
          <w:spacing w:val="5"/>
          <w:w w:val="110"/>
        </w:rPr>
        <w:t>二</w:t>
      </w:r>
      <w:r>
        <w:rPr>
          <w:rFonts w:hint="eastAsia" w:ascii="MS UI Gothic" w:eastAsia="MS UI Gothic"/>
          <w:spacing w:val="-13"/>
          <w:w w:val="120"/>
        </w:rPr>
        <w:t xml:space="preserve">) </w:t>
      </w:r>
      <w:r>
        <w:rPr>
          <w:spacing w:val="23"/>
          <w:w w:val="110"/>
        </w:rPr>
        <w:t>特种作业人员未持证上岗作</w:t>
      </w:r>
      <w:r>
        <w:rPr>
          <w:spacing w:val="3"/>
          <w:w w:val="110"/>
        </w:rPr>
        <w:t>业的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从事坑探工程作业的人员未按照规定进行安全生产教育和培训的</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2"/>
          <w:w w:val="105"/>
        </w:rPr>
        <w:t>第二十六条 地质勘探单位有下列情形之一的</w:t>
      </w:r>
      <w:r>
        <w:rPr>
          <w:rFonts w:hint="eastAsia" w:ascii="MS UI Gothic" w:eastAsia="MS UI Gothic"/>
          <w:w w:val="80"/>
        </w:rPr>
        <w:t xml:space="preserve">ꎬ </w:t>
      </w:r>
      <w:r>
        <w:rPr>
          <w:spacing w:val="3"/>
          <w:w w:val="105"/>
        </w:rPr>
        <w:t>给予警告</w:t>
      </w:r>
      <w:r>
        <w:rPr>
          <w:rFonts w:hint="eastAsia" w:ascii="MS UI Gothic" w:eastAsia="MS UI Gothic"/>
          <w:w w:val="80"/>
        </w:rPr>
        <w:t xml:space="preserve">ꎬ </w:t>
      </w:r>
      <w:r>
        <w:rPr>
          <w:spacing w:val="-27"/>
          <w:w w:val="105"/>
        </w:rPr>
        <w:t xml:space="preserve">并处 </w:t>
      </w:r>
      <w:r>
        <w:rPr>
          <w:rFonts w:hint="eastAsia" w:ascii="MS UI Gothic" w:eastAsia="MS UI Gothic"/>
          <w:spacing w:val="-11"/>
          <w:w w:val="80"/>
        </w:rPr>
        <w:t xml:space="preserve">３ </w:t>
      </w:r>
      <w:r>
        <w:rPr>
          <w:spacing w:val="3"/>
          <w:w w:val="105"/>
        </w:rPr>
        <w:t>万元以下的罚款</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未按照本规定建立有关安全生</w:t>
      </w:r>
      <w:r>
        <w:rPr>
          <w:w w:val="110"/>
        </w:rPr>
        <w:t>产制度和规程的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未按照规定提取和使用安全生</w:t>
      </w:r>
      <w:r>
        <w:rPr>
          <w:w w:val="110"/>
        </w:rPr>
        <w:t>产费用的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坑探工程安全专篇未经安全生产监督管理部门审查同意擅自施工的</w:t>
      </w:r>
      <w:r>
        <w:rPr>
          <w:rFonts w:hint="eastAsia" w:ascii="MS UI Gothic" w:eastAsia="MS UI Gothic"/>
          <w:w w:val="80"/>
        </w:rPr>
        <w:t>ꎮ</w:t>
      </w:r>
    </w:p>
    <w:p>
      <w:pPr>
        <w:pStyle w:val="6"/>
        <w:spacing w:line="295" w:lineRule="auto"/>
        <w:ind w:left="383" w:right="126"/>
        <w:rPr>
          <w:rFonts w:hint="eastAsia" w:ascii="MS UI Gothic" w:eastAsia="MS UI Gothic"/>
        </w:rPr>
      </w:pPr>
      <w:r>
        <w:t>第二十七条 地质勘探单位未按照规定向工作区域所在地县级安全生产监督管理部门备案的</w:t>
      </w:r>
      <w:r>
        <w:rPr>
          <w:rFonts w:hint="eastAsia" w:ascii="MS UI Gothic" w:eastAsia="MS UI Gothic"/>
          <w:w w:val="80"/>
        </w:rPr>
        <w:t xml:space="preserve">ꎬ </w:t>
      </w:r>
      <w:r>
        <w:t>给予警告</w:t>
      </w:r>
      <w:r>
        <w:rPr>
          <w:rFonts w:hint="eastAsia" w:ascii="MS UI Gothic" w:eastAsia="MS UI Gothic"/>
          <w:w w:val="80"/>
        </w:rPr>
        <w:t xml:space="preserve">ꎬ </w:t>
      </w:r>
      <w:r>
        <w:t xml:space="preserve">并处 </w:t>
      </w:r>
      <w:r>
        <w:rPr>
          <w:rFonts w:hint="eastAsia" w:ascii="MS UI Gothic" w:eastAsia="MS UI Gothic"/>
          <w:w w:val="80"/>
        </w:rPr>
        <w:t xml:space="preserve">２ </w:t>
      </w:r>
      <w:r>
        <w:t>万元以下的罚款</w:t>
      </w:r>
      <w:r>
        <w:rPr>
          <w:rFonts w:hint="eastAsia" w:ascii="MS UI Gothic" w:eastAsia="MS UI Gothic"/>
          <w:w w:val="80"/>
        </w:rPr>
        <w:t>ꎮ</w:t>
      </w:r>
    </w:p>
    <w:p>
      <w:pPr>
        <w:pStyle w:val="6"/>
        <w:spacing w:line="295" w:lineRule="auto"/>
        <w:ind w:left="383" w:right="126"/>
        <w:rPr>
          <w:rFonts w:hint="eastAsia" w:ascii="MS UI Gothic" w:eastAsia="MS UI Gothic"/>
        </w:rPr>
      </w:pPr>
      <w:r>
        <w:t>第二十八条 地质勘探单位将其承担的地质勘探工程项目转包给不具备安全生产条  件或者相应资质的地质勘探单位的</w:t>
      </w:r>
      <w:r>
        <w:rPr>
          <w:rFonts w:hint="eastAsia" w:ascii="MS UI Gothic" w:eastAsia="MS UI Gothic"/>
          <w:w w:val="80"/>
        </w:rPr>
        <w:t xml:space="preserve">ꎬ </w:t>
      </w:r>
      <w:r>
        <w:t>责令限期改正</w:t>
      </w:r>
      <w:r>
        <w:rPr>
          <w:rFonts w:hint="eastAsia" w:ascii="MS UI Gothic" w:eastAsia="MS UI Gothic"/>
          <w:w w:val="80"/>
        </w:rPr>
        <w:t xml:space="preserve">ꎬ </w:t>
      </w:r>
      <w:r>
        <w:t>没收违法所得</w:t>
      </w:r>
      <w:r>
        <w:rPr>
          <w:rFonts w:hint="eastAsia" w:ascii="MS UI Gothic" w:eastAsia="MS UI Gothic"/>
          <w:w w:val="80"/>
        </w:rPr>
        <w:t xml:space="preserve">ꎻ </w:t>
      </w:r>
      <w:r>
        <w:t xml:space="preserve">违法所得 </w:t>
      </w:r>
      <w:r>
        <w:rPr>
          <w:rFonts w:hint="eastAsia" w:ascii="MS UI Gothic" w:eastAsia="MS UI Gothic"/>
          <w:w w:val="80"/>
        </w:rPr>
        <w:t xml:space="preserve">５ </w:t>
      </w:r>
      <w:r>
        <w:t>万元以上的</w:t>
      </w:r>
      <w:r>
        <w:rPr>
          <w:rFonts w:hint="eastAsia" w:ascii="MS UI Gothic" w:eastAsia="MS UI Gothic"/>
          <w:w w:val="80"/>
        </w:rPr>
        <w:t xml:space="preserve">ꎬ </w:t>
      </w:r>
      <w:r>
        <w:t xml:space="preserve">并处违法所得 </w:t>
      </w:r>
      <w:r>
        <w:rPr>
          <w:rFonts w:hint="eastAsia" w:ascii="MS UI Gothic" w:eastAsia="MS UI Gothic"/>
          <w:w w:val="80"/>
        </w:rPr>
        <w:t xml:space="preserve">１ </w:t>
      </w:r>
      <w:r>
        <w:t xml:space="preserve">倍以上 </w:t>
      </w:r>
      <w:r>
        <w:rPr>
          <w:rFonts w:hint="eastAsia" w:ascii="MS UI Gothic" w:eastAsia="MS UI Gothic"/>
          <w:w w:val="80"/>
        </w:rPr>
        <w:t xml:space="preserve">５ </w:t>
      </w:r>
      <w:r>
        <w:t>倍以下的罚款</w:t>
      </w:r>
      <w:r>
        <w:rPr>
          <w:rFonts w:hint="eastAsia" w:ascii="MS UI Gothic" w:eastAsia="MS UI Gothic"/>
          <w:w w:val="80"/>
        </w:rPr>
        <w:t xml:space="preserve">ꎻ </w:t>
      </w:r>
      <w:r>
        <w:t xml:space="preserve">没有违法所得或者违法所得不足 </w:t>
      </w:r>
      <w:r>
        <w:rPr>
          <w:rFonts w:hint="eastAsia" w:ascii="MS UI Gothic" w:eastAsia="MS UI Gothic"/>
          <w:w w:val="80"/>
        </w:rPr>
        <w:t xml:space="preserve">５ </w:t>
      </w:r>
      <w:r>
        <w:t>万元的</w:t>
      </w:r>
      <w:r>
        <w:rPr>
          <w:rFonts w:hint="eastAsia" w:ascii="MS UI Gothic" w:eastAsia="MS UI Gothic"/>
          <w:w w:val="80"/>
        </w:rPr>
        <w:t xml:space="preserve">ꎬ </w:t>
      </w:r>
      <w:r>
        <w:t xml:space="preserve">单处或者并处 </w:t>
      </w:r>
      <w:r>
        <w:rPr>
          <w:rFonts w:hint="eastAsia" w:ascii="MS UI Gothic" w:eastAsia="MS UI Gothic"/>
          <w:w w:val="80"/>
        </w:rPr>
        <w:t xml:space="preserve">１ </w:t>
      </w:r>
      <w:r>
        <w:t xml:space="preserve">万元以上 </w:t>
      </w:r>
      <w:r>
        <w:rPr>
          <w:rFonts w:hint="eastAsia" w:ascii="MS UI Gothic" w:eastAsia="MS UI Gothic"/>
          <w:w w:val="80"/>
        </w:rPr>
        <w:t xml:space="preserve">５ </w:t>
      </w:r>
      <w:r>
        <w:t>万元以下的罚款</w:t>
      </w:r>
      <w:r>
        <w:rPr>
          <w:rFonts w:hint="eastAsia" w:ascii="MS UI Gothic" w:eastAsia="MS UI Gothic"/>
          <w:w w:val="80"/>
        </w:rPr>
        <w:t xml:space="preserve">ꎻ </w:t>
      </w:r>
      <w:r>
        <w:t>导致发生生产安全事故给他人造成损害的</w:t>
      </w:r>
      <w:r>
        <w:rPr>
          <w:rFonts w:hint="eastAsia" w:ascii="MS UI Gothic" w:eastAsia="MS UI Gothic"/>
          <w:w w:val="80"/>
        </w:rPr>
        <w:t xml:space="preserve">ꎬ </w:t>
      </w:r>
      <w:r>
        <w:t>与承包方承担连带赔偿责任</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第二十九条 本规定规定的行政处罚</w:t>
      </w:r>
      <w:r>
        <w:t>由县级以上安全生产监督管理部门实施</w:t>
      </w:r>
      <w:r>
        <w:rPr>
          <w:rFonts w:hint="eastAsia" w:ascii="MS UI Gothic" w:eastAsia="MS UI Gothic"/>
          <w:w w:val="80"/>
        </w:rPr>
        <w:t>ꎮ</w:t>
      </w:r>
    </w:p>
    <w:p>
      <w:pPr>
        <w:pStyle w:val="6"/>
        <w:tabs>
          <w:tab w:val="left" w:pos="2269"/>
          <w:tab w:val="left" w:pos="2898"/>
        </w:tabs>
        <w:spacing w:before="132"/>
        <w:ind w:left="1431" w:firstLine="0"/>
        <w:jc w:val="left"/>
      </w:pPr>
      <w:r>
        <w:rPr>
          <w:spacing w:val="3"/>
          <w:w w:val="105"/>
        </w:rPr>
        <w:t>第五</w:t>
      </w:r>
      <w:r>
        <w:rPr>
          <w:w w:val="105"/>
        </w:rPr>
        <w:t>章</w:t>
      </w:r>
      <w:r>
        <w:rPr>
          <w:w w:val="105"/>
        </w:rPr>
        <w:tab/>
      </w:r>
      <w:r>
        <w:rPr>
          <w:w w:val="105"/>
        </w:rPr>
        <w:t>附</w:t>
      </w:r>
      <w:r>
        <w:rPr>
          <w:w w:val="105"/>
        </w:rPr>
        <w:tab/>
      </w:r>
      <w:r>
        <w:rPr>
          <w:w w:val="105"/>
        </w:rPr>
        <w:t>则</w:t>
      </w:r>
    </w:p>
    <w:p>
      <w:pPr>
        <w:pStyle w:val="6"/>
        <w:tabs>
          <w:tab w:val="left" w:pos="1890"/>
        </w:tabs>
        <w:spacing w:before="215"/>
        <w:ind w:left="802" w:firstLine="0"/>
        <w:jc w:val="left"/>
        <w:rPr>
          <w:rFonts w:hint="eastAsia" w:ascii="MS UI Gothic" w:eastAsia="MS UI Gothic"/>
        </w:rPr>
      </w:pPr>
      <w:r>
        <w:rPr>
          <w:spacing w:val="3"/>
        </w:rPr>
        <w:t>第三</w:t>
      </w:r>
      <w:r>
        <w:rPr>
          <w:spacing w:val="11"/>
        </w:rPr>
        <w:t>十</w:t>
      </w:r>
      <w:r>
        <w:t>条</w:t>
      </w:r>
      <w:r>
        <w:tab/>
      </w:r>
      <w:r>
        <w:rPr>
          <w:spacing w:val="17"/>
        </w:rPr>
        <w:t>本规定</w:t>
      </w:r>
      <w:r>
        <w:t>自</w:t>
      </w:r>
      <w:r>
        <w:rPr>
          <w:spacing w:val="-56"/>
        </w:rPr>
        <w:t xml:space="preserve"> </w:t>
      </w:r>
      <w:r>
        <w:rPr>
          <w:rFonts w:hint="eastAsia" w:ascii="MS UI Gothic" w:eastAsia="MS UI Gothic"/>
        </w:rPr>
        <w:t>２０１１</w:t>
      </w:r>
      <w:r>
        <w:rPr>
          <w:rFonts w:hint="eastAsia" w:ascii="MS UI Gothic" w:eastAsia="MS UI Gothic"/>
          <w:spacing w:val="-12"/>
        </w:rPr>
        <w:t xml:space="preserve"> </w:t>
      </w:r>
      <w:r>
        <w:t>年</w:t>
      </w:r>
      <w:r>
        <w:rPr>
          <w:spacing w:val="-55"/>
        </w:rPr>
        <w:t xml:space="preserve"> </w:t>
      </w:r>
      <w:r>
        <w:rPr>
          <w:rFonts w:hint="eastAsia" w:ascii="MS UI Gothic" w:eastAsia="MS UI Gothic"/>
        </w:rPr>
        <w:t>１</w:t>
      </w:r>
      <w:r>
        <w:rPr>
          <w:rFonts w:hint="eastAsia" w:ascii="MS UI Gothic" w:eastAsia="MS UI Gothic"/>
          <w:spacing w:val="-12"/>
        </w:rPr>
        <w:t xml:space="preserve"> </w:t>
      </w:r>
      <w:r>
        <w:t>月</w:t>
      </w:r>
      <w:r>
        <w:rPr>
          <w:spacing w:val="-56"/>
        </w:rPr>
        <w:t xml:space="preserve"> </w:t>
      </w:r>
      <w:r>
        <w:rPr>
          <w:rFonts w:hint="eastAsia" w:ascii="MS UI Gothic" w:eastAsia="MS UI Gothic"/>
        </w:rPr>
        <w:t>１</w:t>
      </w:r>
    </w:p>
    <w:p>
      <w:pPr>
        <w:pStyle w:val="6"/>
        <w:spacing w:before="58"/>
        <w:ind w:left="383" w:firstLine="0"/>
        <w:jc w:val="left"/>
        <w:rPr>
          <w:rFonts w:hint="eastAsia" w:ascii="MS UI Gothic" w:eastAsia="MS UI Gothic"/>
        </w:rPr>
      </w:pPr>
      <w:r>
        <w:t>日起施行</w:t>
      </w:r>
      <w:r>
        <w:rPr>
          <w:rFonts w:hint="eastAsia" w:ascii="MS UI Gothic" w:eastAsia="MS UI Gothic"/>
          <w:w w:val="80"/>
        </w:rPr>
        <w:t>ꎮ</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pict>
          <v:shape id="_x0000_s2271" o:spid="_x0000_s2271" style="position:absolute;left:0pt;margin-left:0pt;margin-top:700.1pt;height:1.75pt;width:398.25pt;mso-position-horizontal-relative:page;z-index:25216409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４２４</w:t>
      </w:r>
    </w:p>
    <w:p>
      <w:pPr>
        <w:spacing w:before="192"/>
        <w:ind w:left="242" w:right="2043" w:firstLine="0"/>
        <w:jc w:val="center"/>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ind w:left="0" w:firstLine="0"/>
        <w:jc w:val="left"/>
        <w:rPr>
          <w:rFonts w:ascii="Microsoft Yi Baiti"/>
          <w:sz w:val="28"/>
        </w:rPr>
      </w:pPr>
    </w:p>
    <w:p>
      <w:pPr>
        <w:pStyle w:val="6"/>
        <w:spacing w:before="8"/>
        <w:ind w:left="0" w:firstLine="0"/>
        <w:jc w:val="left"/>
        <w:rPr>
          <w:rFonts w:ascii="Microsoft Yi Baiti"/>
          <w:sz w:val="30"/>
        </w:rPr>
      </w:pPr>
    </w:p>
    <w:p>
      <w:pPr>
        <w:pStyle w:val="4"/>
        <w:spacing w:before="0"/>
        <w:ind w:left="242" w:right="2053"/>
        <w:rPr>
          <w:rFonts w:hint="eastAsia" w:ascii="Microsoft Yi Baiti" w:eastAsia="Microsoft Yi Baiti"/>
        </w:rPr>
      </w:pPr>
      <w:r>
        <w:t xml:space="preserve">中华人民共和国建筑法 </w:t>
      </w:r>
      <w:r>
        <w:rPr>
          <w:rFonts w:hint="eastAsia" w:ascii="Microsoft Yi Baiti" w:eastAsia="Microsoft Yi Baiti"/>
        </w:rPr>
        <w:t>(</w:t>
      </w:r>
      <w:r>
        <w:rPr>
          <w:rFonts w:hint="eastAsia" w:ascii="MS UI Gothic" w:eastAsia="MS UI Gothic"/>
        </w:rPr>
        <w:t xml:space="preserve">２０１９ </w:t>
      </w:r>
      <w:r>
        <w:t>年修正</w:t>
      </w:r>
      <w:r>
        <w:rPr>
          <w:rFonts w:hint="eastAsia" w:ascii="Microsoft Yi Baiti" w:eastAsia="Microsoft Yi Baiti"/>
        </w:rPr>
        <w:t>)</w:t>
      </w:r>
    </w:p>
    <w:p>
      <w:pPr>
        <w:spacing w:after="0"/>
        <w:rPr>
          <w:rFonts w:hint="eastAsia" w:ascii="Microsoft Yi Baiti" w:eastAsia="Microsoft Yi Baiti"/>
        </w:rPr>
        <w:sectPr>
          <w:pgSz w:w="10500" w:h="14750"/>
          <w:pgMar w:top="960" w:right="980" w:bottom="280" w:left="980" w:header="720" w:footer="720" w:gutter="0"/>
          <w:cols w:equalWidth="0" w:num="2">
            <w:col w:w="1050" w:space="417"/>
            <w:col w:w="7073"/>
          </w:cols>
        </w:sectPr>
      </w:pPr>
    </w:p>
    <w:p>
      <w:pPr>
        <w:pStyle w:val="6"/>
        <w:spacing w:before="7"/>
        <w:ind w:left="0" w:firstLine="0"/>
        <w:jc w:val="left"/>
        <w:rPr>
          <w:rFonts w:ascii="Microsoft Yi Baiti"/>
          <w:sz w:val="18"/>
        </w:rPr>
      </w:pPr>
    </w:p>
    <w:p>
      <w:pPr>
        <w:pStyle w:val="6"/>
        <w:spacing w:before="174" w:line="295" w:lineRule="auto"/>
        <w:ind w:left="588" w:right="442" w:hanging="45"/>
        <w:jc w:val="left"/>
      </w:pPr>
      <w:r>
        <w:pict>
          <v:shape id="_x0000_s2272" o:spid="_x0000_s2272" o:spt="202" type="#_x0000_t202" style="position:absolute;left:0pt;margin-left:54.9pt;margin-top:20.7pt;height:24.35pt;width:20.6pt;mso-position-horizontal-relative:page;z-index:-27559833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２０１１</w:t>
                  </w:r>
                </w:p>
              </w:txbxContent>
            </v:textbox>
          </v:shape>
        </w:pict>
      </w:r>
      <w:r>
        <w:rPr>
          <w:rFonts w:hint="eastAsia" w:ascii="Microsoft Yi Baiti" w:hAnsi="Microsoft Yi Baiti" w:eastAsia="Microsoft Yi Baiti"/>
          <w:spacing w:val="2"/>
        </w:rPr>
        <w:t>(</w:t>
      </w:r>
      <w:r>
        <w:rPr>
          <w:rFonts w:hint="eastAsia" w:ascii="MS UI Gothic" w:hAnsi="MS UI Gothic" w:eastAsia="MS UI Gothic"/>
          <w:spacing w:val="-1"/>
        </w:rPr>
        <w:t xml:space="preserve">１９９７ </w:t>
      </w:r>
      <w:r>
        <w:rPr>
          <w:spacing w:val="-29"/>
        </w:rPr>
        <w:t xml:space="preserve">年 </w:t>
      </w:r>
      <w:r>
        <w:rPr>
          <w:rFonts w:hint="eastAsia" w:ascii="MS UI Gothic" w:hAnsi="MS UI Gothic" w:eastAsia="MS UI Gothic"/>
          <w:spacing w:val="-4"/>
        </w:rPr>
        <w:t xml:space="preserve">１１ </w:t>
      </w:r>
      <w:r>
        <w:rPr>
          <w:spacing w:val="-29"/>
        </w:rPr>
        <w:t xml:space="preserve">月 </w:t>
      </w:r>
      <w:r>
        <w:rPr>
          <w:rFonts w:hint="eastAsia" w:ascii="MS UI Gothic" w:hAnsi="MS UI Gothic" w:eastAsia="MS UI Gothic"/>
          <w:spacing w:val="-6"/>
        </w:rPr>
        <w:t xml:space="preserve">１ </w:t>
      </w:r>
      <w:r>
        <w:t>日第八届全国人民代表大会常务委员会第二十八次会议通过 根据</w:t>
      </w:r>
      <w:r>
        <w:rPr>
          <w:spacing w:val="-21"/>
        </w:rPr>
        <w:t xml:space="preserve">年 </w:t>
      </w:r>
      <w:r>
        <w:rPr>
          <w:rFonts w:hint="eastAsia" w:ascii="MS UI Gothic" w:hAnsi="MS UI Gothic" w:eastAsia="MS UI Gothic"/>
          <w:spacing w:val="4"/>
        </w:rPr>
        <w:t xml:space="preserve">４ </w:t>
      </w:r>
      <w:r>
        <w:rPr>
          <w:spacing w:val="-20"/>
        </w:rPr>
        <w:t xml:space="preserve">月 </w:t>
      </w:r>
      <w:r>
        <w:rPr>
          <w:rFonts w:hint="eastAsia" w:ascii="MS UI Gothic" w:hAnsi="MS UI Gothic" w:eastAsia="MS UI Gothic"/>
          <w:spacing w:val="2"/>
        </w:rPr>
        <w:t xml:space="preserve">２２ </w:t>
      </w:r>
      <w:r>
        <w:rPr>
          <w:spacing w:val="3"/>
        </w:rPr>
        <w:t xml:space="preserve">日第十一届全国人民代表大会常务委员会第二十次会议 </w:t>
      </w:r>
      <w:r>
        <w:rPr>
          <w:rFonts w:hint="eastAsia" w:ascii="Microsoft Yi Baiti" w:hAnsi="Microsoft Yi Baiti" w:eastAsia="Microsoft Yi Baiti"/>
          <w:spacing w:val="-34"/>
          <w:w w:val="110"/>
        </w:rPr>
        <w:t xml:space="preserve">« </w:t>
      </w:r>
      <w:r>
        <w:rPr>
          <w:spacing w:val="10"/>
        </w:rPr>
        <w:t xml:space="preserve">关于修改 </w:t>
      </w:r>
      <w:r>
        <w:rPr>
          <w:rFonts w:hint="eastAsia" w:ascii="Microsoft Yi Baiti" w:hAnsi="Microsoft Yi Baiti" w:eastAsia="Microsoft Yi Baiti"/>
          <w:spacing w:val="-69"/>
          <w:w w:val="190"/>
        </w:rPr>
        <w:t xml:space="preserve">‹ </w:t>
      </w:r>
      <w:r>
        <w:t>中</w:t>
      </w:r>
    </w:p>
    <w:p>
      <w:pPr>
        <w:pStyle w:val="6"/>
        <w:spacing w:line="295" w:lineRule="auto"/>
        <w:ind w:right="442" w:firstLine="0"/>
        <w:rPr>
          <w:rFonts w:hint="eastAsia" w:ascii="Microsoft Yi Baiti" w:hAnsi="Microsoft Yi Baiti" w:eastAsia="Microsoft Yi Baiti"/>
        </w:rPr>
      </w:pPr>
      <w:r>
        <w:rPr>
          <w:spacing w:val="3"/>
          <w:w w:val="105"/>
        </w:rPr>
        <w:t>华人民共和国建筑法</w:t>
      </w:r>
      <w:r>
        <w:rPr>
          <w:rFonts w:hint="eastAsia" w:ascii="Microsoft Yi Baiti" w:hAnsi="Microsoft Yi Baiti" w:eastAsia="Microsoft Yi Baiti"/>
          <w:spacing w:val="-5"/>
          <w:w w:val="105"/>
        </w:rPr>
        <w:t xml:space="preserve">› </w:t>
      </w:r>
      <w:r>
        <w:rPr>
          <w:spacing w:val="3"/>
          <w:w w:val="105"/>
        </w:rPr>
        <w:t>的决定</w:t>
      </w:r>
      <w:r>
        <w:rPr>
          <w:rFonts w:hint="eastAsia" w:ascii="Microsoft Yi Baiti" w:hAnsi="Microsoft Yi Baiti" w:eastAsia="Microsoft Yi Baiti"/>
          <w:spacing w:val="-4"/>
          <w:w w:val="105"/>
        </w:rPr>
        <w:t xml:space="preserve">» </w:t>
      </w:r>
      <w:r>
        <w:rPr>
          <w:spacing w:val="-11"/>
          <w:w w:val="105"/>
        </w:rPr>
        <w:t xml:space="preserve">第一次修正 根据 </w:t>
      </w:r>
      <w:r>
        <w:rPr>
          <w:rFonts w:hint="eastAsia" w:ascii="MS UI Gothic" w:hAnsi="MS UI Gothic" w:eastAsia="MS UI Gothic"/>
          <w:spacing w:val="-3"/>
          <w:w w:val="95"/>
        </w:rPr>
        <w:t xml:space="preserve">２０１９ </w:t>
      </w:r>
      <w:r>
        <w:rPr>
          <w:spacing w:val="-33"/>
          <w:w w:val="105"/>
        </w:rPr>
        <w:t xml:space="preserve">年 </w:t>
      </w:r>
      <w:r>
        <w:rPr>
          <w:rFonts w:hint="eastAsia" w:ascii="MS UI Gothic" w:hAnsi="MS UI Gothic" w:eastAsia="MS UI Gothic"/>
          <w:spacing w:val="-7"/>
          <w:w w:val="95"/>
        </w:rPr>
        <w:t xml:space="preserve">４ </w:t>
      </w:r>
      <w:r>
        <w:rPr>
          <w:spacing w:val="-33"/>
          <w:w w:val="105"/>
        </w:rPr>
        <w:t xml:space="preserve">月 </w:t>
      </w:r>
      <w:r>
        <w:rPr>
          <w:rFonts w:hint="eastAsia" w:ascii="MS UI Gothic" w:hAnsi="MS UI Gothic" w:eastAsia="MS UI Gothic"/>
          <w:spacing w:val="-5"/>
          <w:w w:val="95"/>
        </w:rPr>
        <w:t xml:space="preserve">２３ </w:t>
      </w:r>
      <w:r>
        <w:rPr>
          <w:spacing w:val="8"/>
          <w:w w:val="105"/>
        </w:rPr>
        <w:t>日第十三届全国人民</w:t>
      </w:r>
      <w:r>
        <w:rPr>
          <w:spacing w:val="1"/>
          <w:w w:val="105"/>
        </w:rPr>
        <w:t xml:space="preserve">代表大会常务委员会第十次会议 </w:t>
      </w:r>
      <w:r>
        <w:rPr>
          <w:rFonts w:hint="eastAsia" w:ascii="Microsoft Yi Baiti" w:hAnsi="Microsoft Yi Baiti" w:eastAsia="Microsoft Yi Baiti"/>
          <w:spacing w:val="-34"/>
          <w:w w:val="105"/>
        </w:rPr>
        <w:t xml:space="preserve">« </w:t>
      </w:r>
      <w:r>
        <w:rPr>
          <w:spacing w:val="5"/>
          <w:w w:val="105"/>
        </w:rPr>
        <w:t xml:space="preserve">关于修改 </w:t>
      </w:r>
      <w:r>
        <w:rPr>
          <w:rFonts w:hint="eastAsia" w:ascii="Microsoft Yi Baiti" w:hAnsi="Microsoft Yi Baiti" w:eastAsia="Microsoft Yi Baiti"/>
          <w:spacing w:val="-35"/>
          <w:w w:val="105"/>
        </w:rPr>
        <w:t xml:space="preserve">‹ </w:t>
      </w:r>
      <w:r>
        <w:rPr>
          <w:spacing w:val="8"/>
          <w:w w:val="105"/>
        </w:rPr>
        <w:t>中华人民共和国建筑法</w:t>
      </w:r>
      <w:r>
        <w:rPr>
          <w:rFonts w:hint="eastAsia" w:ascii="Microsoft Yi Baiti" w:hAnsi="Microsoft Yi Baiti" w:eastAsia="Microsoft Yi Baiti"/>
          <w:spacing w:val="17"/>
          <w:w w:val="105"/>
        </w:rPr>
        <w:t xml:space="preserve">› </w:t>
      </w:r>
      <w:r>
        <w:rPr>
          <w:spacing w:val="9"/>
          <w:w w:val="105"/>
        </w:rPr>
        <w:t>等八部法律的</w:t>
      </w:r>
      <w:r>
        <w:rPr>
          <w:spacing w:val="3"/>
          <w:w w:val="110"/>
        </w:rPr>
        <w:t>决定</w:t>
      </w:r>
      <w:r>
        <w:rPr>
          <w:rFonts w:hint="eastAsia" w:ascii="Microsoft Yi Baiti" w:hAnsi="Microsoft Yi Baiti" w:eastAsia="Microsoft Yi Baiti"/>
          <w:spacing w:val="13"/>
          <w:w w:val="110"/>
        </w:rPr>
        <w:t xml:space="preserve">» </w:t>
      </w:r>
      <w:r>
        <w:rPr>
          <w:spacing w:val="3"/>
          <w:w w:val="110"/>
        </w:rPr>
        <w:t>第二次修正</w:t>
      </w:r>
      <w:r>
        <w:rPr>
          <w:rFonts w:hint="eastAsia" w:ascii="Microsoft Yi Baiti" w:hAnsi="Microsoft Yi Baiti" w:eastAsia="Microsoft Yi Baiti"/>
          <w:w w:val="110"/>
        </w:rPr>
        <w:t>)</w:t>
      </w:r>
    </w:p>
    <w:p>
      <w:pPr>
        <w:pStyle w:val="6"/>
        <w:ind w:left="0" w:firstLine="0"/>
        <w:jc w:val="left"/>
        <w:rPr>
          <w:rFonts w:ascii="Microsoft Yi Baiti"/>
        </w:rPr>
      </w:pPr>
    </w:p>
    <w:p>
      <w:pPr>
        <w:spacing w:after="0"/>
        <w:jc w:val="left"/>
        <w:rPr>
          <w:rFonts w:ascii="Microsoft Yi Baiti"/>
        </w:rPr>
        <w:sectPr>
          <w:type w:val="continuous"/>
          <w:pgSz w:w="10500" w:h="14750"/>
          <w:pgMar w:top="1400" w:right="980" w:bottom="280" w:left="980" w:header="720" w:footer="720" w:gutter="0"/>
        </w:sectPr>
      </w:pPr>
    </w:p>
    <w:p>
      <w:pPr>
        <w:pStyle w:val="6"/>
        <w:spacing w:before="6"/>
        <w:ind w:left="0" w:firstLine="0"/>
        <w:jc w:val="left"/>
        <w:rPr>
          <w:rFonts w:ascii="Microsoft Yi Baiti"/>
          <w:sz w:val="25"/>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5" w:lineRule="auto"/>
        <w:ind w:right="39"/>
        <w:rPr>
          <w:rFonts w:hint="eastAsia" w:ascii="MS UI Gothic" w:eastAsia="MS UI Gothic"/>
        </w:rPr>
      </w:pPr>
      <w:r>
        <w:t>第一条 为了加强对建筑活动的监督管理</w:t>
      </w:r>
      <w:r>
        <w:rPr>
          <w:rFonts w:hint="eastAsia" w:ascii="MS UI Gothic" w:eastAsia="MS UI Gothic"/>
          <w:w w:val="80"/>
        </w:rPr>
        <w:t xml:space="preserve">ꎬ </w:t>
      </w:r>
      <w:r>
        <w:t>维护建筑市场秩序</w:t>
      </w:r>
      <w:r>
        <w:rPr>
          <w:rFonts w:hint="eastAsia" w:ascii="MS UI Gothic" w:eastAsia="MS UI Gothic"/>
          <w:w w:val="80"/>
        </w:rPr>
        <w:t xml:space="preserve">ꎬ </w:t>
      </w:r>
      <w:r>
        <w:t>保证建筑工程的质量和安全</w:t>
      </w:r>
      <w:r>
        <w:rPr>
          <w:rFonts w:hint="eastAsia" w:ascii="MS UI Gothic" w:eastAsia="MS UI Gothic"/>
          <w:w w:val="80"/>
        </w:rPr>
        <w:t xml:space="preserve">ꎬ </w:t>
      </w:r>
      <w:r>
        <w:t>促进建筑业健康发展</w:t>
      </w:r>
      <w:r>
        <w:rPr>
          <w:rFonts w:hint="eastAsia" w:ascii="MS UI Gothic" w:eastAsia="MS UI Gothic"/>
          <w:w w:val="80"/>
        </w:rPr>
        <w:t xml:space="preserve">ꎬ </w:t>
      </w:r>
      <w:r>
        <w:t>制定本法</w:t>
      </w:r>
      <w:r>
        <w:rPr>
          <w:rFonts w:hint="eastAsia" w:ascii="MS UI Gothic" w:eastAsia="MS UI Gothic"/>
          <w:w w:val="80"/>
        </w:rPr>
        <w:t>ꎮ</w:t>
      </w:r>
    </w:p>
    <w:p>
      <w:pPr>
        <w:pStyle w:val="6"/>
        <w:spacing w:line="295" w:lineRule="auto"/>
        <w:ind w:right="38"/>
        <w:rPr>
          <w:rFonts w:hint="eastAsia" w:ascii="MS UI Gothic" w:eastAsia="MS UI Gothic"/>
        </w:rPr>
      </w:pPr>
      <w:r>
        <w:t>第二条 在中华人民共和国境内从事建筑活动</w:t>
      </w:r>
      <w:r>
        <w:rPr>
          <w:rFonts w:hint="eastAsia" w:ascii="MS UI Gothic" w:eastAsia="MS UI Gothic"/>
          <w:w w:val="80"/>
        </w:rPr>
        <w:t xml:space="preserve">ꎬ </w:t>
      </w:r>
      <w:r>
        <w:t>实施对建筑活动的监督管理</w:t>
      </w:r>
      <w:r>
        <w:rPr>
          <w:rFonts w:hint="eastAsia" w:ascii="MS UI Gothic" w:eastAsia="MS UI Gothic"/>
          <w:w w:val="80"/>
        </w:rPr>
        <w:t>ꎬ</w:t>
      </w:r>
      <w:r>
        <w:t>应当遵守本法</w:t>
      </w:r>
      <w:r>
        <w:rPr>
          <w:rFonts w:hint="eastAsia" w:ascii="MS UI Gothic" w:eastAsia="MS UI Gothic"/>
          <w:w w:val="80"/>
        </w:rPr>
        <w:t>ꎮ</w:t>
      </w:r>
    </w:p>
    <w:p>
      <w:pPr>
        <w:pStyle w:val="6"/>
        <w:spacing w:line="295" w:lineRule="auto"/>
        <w:ind w:right="39"/>
        <w:rPr>
          <w:rFonts w:hint="eastAsia" w:ascii="MS UI Gothic" w:eastAsia="MS UI Gothic"/>
        </w:rPr>
      </w:pPr>
      <w:r>
        <w:t>本法所称建筑活动</w:t>
      </w:r>
      <w:r>
        <w:rPr>
          <w:rFonts w:hint="eastAsia" w:ascii="MS UI Gothic" w:eastAsia="MS UI Gothic"/>
          <w:w w:val="80"/>
        </w:rPr>
        <w:t xml:space="preserve">ꎬ </w:t>
      </w:r>
      <w:r>
        <w:t>是指各类房屋建筑及其附属设施的建造和与其配套的线路</w:t>
      </w:r>
      <w:r>
        <w:rPr>
          <w:rFonts w:hint="eastAsia" w:ascii="MS UI Gothic" w:eastAsia="MS UI Gothic"/>
          <w:w w:val="80"/>
        </w:rPr>
        <w:t xml:space="preserve">、 </w:t>
      </w:r>
      <w:r>
        <w:t>管道</w:t>
      </w:r>
      <w:r>
        <w:rPr>
          <w:rFonts w:hint="eastAsia" w:ascii="MS UI Gothic" w:eastAsia="MS UI Gothic"/>
          <w:w w:val="80"/>
        </w:rPr>
        <w:t xml:space="preserve">、 </w:t>
      </w:r>
      <w:r>
        <w:t>设备的安装活动</w:t>
      </w:r>
      <w:r>
        <w:rPr>
          <w:rFonts w:hint="eastAsia" w:ascii="MS UI Gothic" w:eastAsia="MS UI Gothic"/>
          <w:w w:val="80"/>
        </w:rPr>
        <w:t>ꎮ</w:t>
      </w:r>
    </w:p>
    <w:p>
      <w:pPr>
        <w:pStyle w:val="6"/>
        <w:spacing w:line="295" w:lineRule="auto"/>
        <w:ind w:right="39"/>
        <w:rPr>
          <w:rFonts w:hint="eastAsia" w:ascii="MS UI Gothic" w:eastAsia="MS UI Gothic"/>
        </w:rPr>
      </w:pPr>
      <w:r>
        <w:t>第三条 建筑活动应当确保建筑工程质量和安全</w:t>
      </w:r>
      <w:r>
        <w:rPr>
          <w:rFonts w:hint="eastAsia" w:ascii="MS UI Gothic" w:eastAsia="MS UI Gothic"/>
          <w:w w:val="80"/>
        </w:rPr>
        <w:t xml:space="preserve">ꎬ </w:t>
      </w:r>
      <w:r>
        <w:t>符合国家的建筑工程安全标准</w:t>
      </w:r>
      <w:r>
        <w:rPr>
          <w:rFonts w:hint="eastAsia" w:ascii="MS UI Gothic" w:eastAsia="MS UI Gothic"/>
          <w:w w:val="80"/>
        </w:rPr>
        <w:t>ꎮ</w:t>
      </w:r>
    </w:p>
    <w:p>
      <w:pPr>
        <w:pStyle w:val="6"/>
        <w:spacing w:line="295" w:lineRule="auto"/>
        <w:ind w:right="39"/>
        <w:rPr>
          <w:rFonts w:hint="eastAsia" w:ascii="MS UI Gothic" w:eastAsia="MS UI Gothic"/>
        </w:rPr>
      </w:pPr>
      <w:r>
        <w:t>第四条 国家扶持建筑业的发展</w:t>
      </w:r>
      <w:r>
        <w:rPr>
          <w:rFonts w:hint="eastAsia" w:ascii="MS UI Gothic" w:eastAsia="MS UI Gothic"/>
          <w:w w:val="80"/>
        </w:rPr>
        <w:t xml:space="preserve">ꎬ </w:t>
      </w:r>
      <w:r>
        <w:t>支持建筑科学技术研究</w:t>
      </w:r>
      <w:r>
        <w:rPr>
          <w:rFonts w:hint="eastAsia" w:ascii="MS UI Gothic" w:eastAsia="MS UI Gothic"/>
          <w:w w:val="80"/>
        </w:rPr>
        <w:t xml:space="preserve">ꎬ </w:t>
      </w:r>
      <w:r>
        <w:t>提高房屋建筑设计水平</w:t>
      </w:r>
      <w:r>
        <w:rPr>
          <w:rFonts w:hint="eastAsia" w:ascii="MS UI Gothic" w:eastAsia="MS UI Gothic"/>
          <w:w w:val="80"/>
        </w:rPr>
        <w:t xml:space="preserve">ꎬ </w:t>
      </w:r>
      <w:r>
        <w:t>鼓励节约能源和保护环境</w:t>
      </w:r>
      <w:r>
        <w:rPr>
          <w:rFonts w:hint="eastAsia" w:ascii="MS UI Gothic" w:eastAsia="MS UI Gothic"/>
          <w:w w:val="80"/>
        </w:rPr>
        <w:t xml:space="preserve">ꎬ </w:t>
      </w:r>
      <w:r>
        <w:t>提倡采用先进技术</w:t>
      </w:r>
      <w:r>
        <w:rPr>
          <w:rFonts w:hint="eastAsia" w:ascii="MS UI Gothic" w:eastAsia="MS UI Gothic"/>
          <w:w w:val="80"/>
        </w:rPr>
        <w:t xml:space="preserve">、 </w:t>
      </w:r>
      <w:r>
        <w:t>先进设备</w:t>
      </w:r>
      <w:r>
        <w:rPr>
          <w:rFonts w:hint="eastAsia" w:ascii="MS UI Gothic" w:eastAsia="MS UI Gothic"/>
          <w:w w:val="80"/>
        </w:rPr>
        <w:t xml:space="preserve">、 </w:t>
      </w:r>
      <w:r>
        <w:t>先进工艺</w:t>
      </w:r>
      <w:r>
        <w:rPr>
          <w:rFonts w:hint="eastAsia" w:ascii="MS UI Gothic" w:eastAsia="MS UI Gothic"/>
          <w:w w:val="80"/>
        </w:rPr>
        <w:t xml:space="preserve">、 </w:t>
      </w:r>
      <w:r>
        <w:t>新型建筑材料和现代管理方式</w:t>
      </w:r>
      <w:r>
        <w:rPr>
          <w:rFonts w:hint="eastAsia" w:ascii="MS UI Gothic" w:eastAsia="MS UI Gothic"/>
          <w:w w:val="80"/>
        </w:rPr>
        <w:t>ꎮ</w:t>
      </w:r>
    </w:p>
    <w:p>
      <w:pPr>
        <w:pStyle w:val="6"/>
        <w:spacing w:line="295" w:lineRule="auto"/>
        <w:ind w:right="39"/>
        <w:rPr>
          <w:rFonts w:hint="eastAsia" w:ascii="MS UI Gothic" w:eastAsia="MS UI Gothic"/>
        </w:rPr>
      </w:pPr>
      <w:r>
        <w:t>第五条  从事建筑活动应当遵守法律</w:t>
      </w:r>
      <w:r>
        <w:rPr>
          <w:rFonts w:hint="eastAsia" w:ascii="MS UI Gothic" w:eastAsia="MS UI Gothic"/>
          <w:w w:val="80"/>
        </w:rPr>
        <w:t xml:space="preserve">、 </w:t>
      </w:r>
      <w:r>
        <w:t>法规</w:t>
      </w:r>
      <w:r>
        <w:rPr>
          <w:rFonts w:hint="eastAsia" w:ascii="MS UI Gothic" w:eastAsia="MS UI Gothic"/>
          <w:w w:val="80"/>
        </w:rPr>
        <w:t xml:space="preserve">ꎬ </w:t>
      </w:r>
      <w:r>
        <w:t>不得损害社会公共利益和他人的合法权益</w:t>
      </w:r>
      <w:r>
        <w:rPr>
          <w:rFonts w:hint="eastAsia" w:ascii="MS UI Gothic" w:eastAsia="MS UI Gothic"/>
          <w:w w:val="80"/>
        </w:rPr>
        <w:t>ꎮ</w:t>
      </w:r>
    </w:p>
    <w:p>
      <w:pPr>
        <w:pStyle w:val="6"/>
        <w:spacing w:line="295" w:lineRule="auto"/>
        <w:ind w:right="39"/>
        <w:jc w:val="left"/>
        <w:rPr>
          <w:rFonts w:hint="eastAsia" w:ascii="MS UI Gothic" w:eastAsia="MS UI Gothic"/>
        </w:rPr>
      </w:pPr>
      <w:r>
        <w:t>任何单位和个人都不得妨碍和阻挠依</w:t>
      </w:r>
      <w:r>
        <w:rPr>
          <w:w w:val="105"/>
        </w:rPr>
        <w:t>法进行的建筑活动</w:t>
      </w:r>
      <w:r>
        <w:rPr>
          <w:rFonts w:hint="eastAsia" w:ascii="MS UI Gothic" w:eastAsia="MS UI Gothic"/>
          <w:w w:val="80"/>
        </w:rPr>
        <w:t>ꎮ</w:t>
      </w:r>
    </w:p>
    <w:p>
      <w:pPr>
        <w:pStyle w:val="6"/>
        <w:tabs>
          <w:tab w:val="left" w:pos="1382"/>
        </w:tabs>
        <w:spacing w:line="295" w:lineRule="auto"/>
        <w:ind w:right="39"/>
        <w:jc w:val="left"/>
        <w:rPr>
          <w:rFonts w:hint="eastAsia" w:ascii="MS UI Gothic" w:eastAsia="MS UI Gothic"/>
        </w:rPr>
      </w:pPr>
      <w:r>
        <w:rPr>
          <w:spacing w:val="3"/>
          <w:w w:val="105"/>
        </w:rPr>
        <w:t>第六</w:t>
      </w:r>
      <w:r>
        <w:rPr>
          <w:w w:val="105"/>
        </w:rPr>
        <w:t>条</w:t>
      </w:r>
      <w:r>
        <w:rPr>
          <w:w w:val="105"/>
        </w:rPr>
        <w:tab/>
      </w:r>
      <w:r>
        <w:rPr>
          <w:spacing w:val="3"/>
        </w:rPr>
        <w:t>国务院建设行政主管部门</w:t>
      </w:r>
      <w:r>
        <w:t>对</w:t>
      </w:r>
      <w:r>
        <w:rPr>
          <w:spacing w:val="3"/>
          <w:w w:val="105"/>
        </w:rPr>
        <w:t>全国的建筑活动实施统一监督管理</w:t>
      </w:r>
      <w:r>
        <w:rPr>
          <w:rFonts w:hint="eastAsia" w:ascii="MS UI Gothic" w:eastAsia="MS UI Gothic"/>
          <w:w w:val="80"/>
        </w:rPr>
        <w:t>ꎮ</w:t>
      </w:r>
    </w:p>
    <w:p>
      <w:pPr>
        <w:pStyle w:val="6"/>
        <w:spacing w:before="6"/>
        <w:ind w:left="0" w:firstLine="0"/>
        <w:jc w:val="left"/>
        <w:rPr>
          <w:rFonts w:ascii="MS UI Gothic"/>
        </w:rPr>
      </w:pPr>
      <w:r>
        <w:br w:type="column"/>
      </w:r>
    </w:p>
    <w:p>
      <w:pPr>
        <w:pStyle w:val="6"/>
        <w:tabs>
          <w:tab w:val="left" w:pos="838"/>
        </w:tabs>
        <w:ind w:left="0" w:right="318" w:firstLine="0"/>
        <w:jc w:val="center"/>
      </w:pPr>
      <w:r>
        <w:rPr>
          <w:spacing w:val="3"/>
          <w:w w:val="105"/>
        </w:rPr>
        <w:t>第二</w:t>
      </w:r>
      <w:r>
        <w:rPr>
          <w:w w:val="105"/>
        </w:rPr>
        <w:t>章</w:t>
      </w:r>
      <w:r>
        <w:rPr>
          <w:w w:val="105"/>
        </w:rPr>
        <w:tab/>
      </w:r>
      <w:r>
        <w:rPr>
          <w:w w:val="105"/>
        </w:rPr>
        <w:t>建</w:t>
      </w:r>
      <w:r>
        <w:rPr>
          <w:spacing w:val="-33"/>
          <w:w w:val="105"/>
        </w:rPr>
        <w:t xml:space="preserve"> </w:t>
      </w:r>
      <w:r>
        <w:rPr>
          <w:w w:val="105"/>
        </w:rPr>
        <w:t>筑</w:t>
      </w:r>
      <w:r>
        <w:rPr>
          <w:spacing w:val="-33"/>
          <w:w w:val="105"/>
        </w:rPr>
        <w:t xml:space="preserve"> </w:t>
      </w:r>
      <w:r>
        <w:rPr>
          <w:w w:val="105"/>
        </w:rPr>
        <w:t>许</w:t>
      </w:r>
      <w:r>
        <w:rPr>
          <w:spacing w:val="-33"/>
          <w:w w:val="105"/>
        </w:rPr>
        <w:t xml:space="preserve"> </w:t>
      </w:r>
      <w:r>
        <w:rPr>
          <w:w w:val="105"/>
        </w:rPr>
        <w:t>可</w:t>
      </w:r>
    </w:p>
    <w:p>
      <w:pPr>
        <w:pStyle w:val="6"/>
        <w:spacing w:before="4"/>
        <w:ind w:left="0" w:firstLine="0"/>
        <w:jc w:val="left"/>
        <w:rPr>
          <w:sz w:val="28"/>
        </w:rPr>
      </w:pPr>
    </w:p>
    <w:p>
      <w:pPr>
        <w:pStyle w:val="6"/>
        <w:tabs>
          <w:tab w:val="left" w:pos="838"/>
        </w:tabs>
        <w:spacing w:before="1"/>
        <w:ind w:left="0" w:right="318" w:firstLine="0"/>
        <w:jc w:val="center"/>
      </w:pPr>
      <w:r>
        <w:rPr>
          <w:spacing w:val="3"/>
          <w:w w:val="105"/>
        </w:rPr>
        <w:t>第一</w:t>
      </w:r>
      <w:r>
        <w:rPr>
          <w:w w:val="105"/>
        </w:rPr>
        <w:t>节</w:t>
      </w:r>
      <w:r>
        <w:rPr>
          <w:w w:val="105"/>
        </w:rPr>
        <w:tab/>
      </w:r>
      <w:r>
        <w:rPr>
          <w:spacing w:val="3"/>
          <w:w w:val="105"/>
        </w:rPr>
        <w:t>建筑工程施工许</w:t>
      </w:r>
      <w:r>
        <w:rPr>
          <w:w w:val="105"/>
        </w:rPr>
        <w:t>可</w:t>
      </w:r>
    </w:p>
    <w:p>
      <w:pPr>
        <w:pStyle w:val="6"/>
        <w:spacing w:before="10"/>
        <w:ind w:left="0" w:firstLine="0"/>
        <w:jc w:val="left"/>
        <w:rPr>
          <w:sz w:val="16"/>
        </w:rPr>
      </w:pPr>
    </w:p>
    <w:p>
      <w:pPr>
        <w:pStyle w:val="6"/>
        <w:spacing w:line="292" w:lineRule="auto"/>
        <w:ind w:right="442"/>
        <w:rPr>
          <w:rFonts w:hint="eastAsia" w:ascii="MS UI Gothic" w:eastAsia="MS UI Gothic"/>
        </w:rPr>
      </w:pPr>
      <w:r>
        <w:rPr>
          <w:w w:val="105"/>
        </w:rPr>
        <w:t>第七条 建筑工程开工前</w:t>
      </w:r>
      <w:r>
        <w:rPr>
          <w:rFonts w:hint="eastAsia" w:ascii="MS UI Gothic" w:eastAsia="MS UI Gothic"/>
          <w:w w:val="80"/>
        </w:rPr>
        <w:t xml:space="preserve">ꎬ </w:t>
      </w:r>
      <w:r>
        <w:rPr>
          <w:w w:val="105"/>
        </w:rPr>
        <w:t>建设单位</w:t>
      </w:r>
      <w:r>
        <w:t>应当按照国家有关规定向工程所在地县级以上人民政府建设行政主管部门申请领取施工许可证</w:t>
      </w:r>
      <w:r>
        <w:rPr>
          <w:rFonts w:hint="eastAsia" w:ascii="MS UI Gothic" w:eastAsia="MS UI Gothic"/>
          <w:w w:val="80"/>
        </w:rPr>
        <w:t xml:space="preserve">ꎻ </w:t>
      </w:r>
      <w:r>
        <w:t>但是</w:t>
      </w:r>
      <w:r>
        <w:rPr>
          <w:rFonts w:hint="eastAsia" w:ascii="MS UI Gothic" w:eastAsia="MS UI Gothic"/>
          <w:w w:val="80"/>
        </w:rPr>
        <w:t xml:space="preserve">ꎬ </w:t>
      </w:r>
      <w:r>
        <w:t>国务院建设行政主管</w:t>
      </w:r>
      <w:r>
        <w:rPr>
          <w:w w:val="105"/>
        </w:rPr>
        <w:t>部门确定的限额以下的小型工程除外</w:t>
      </w:r>
      <w:r>
        <w:rPr>
          <w:rFonts w:hint="eastAsia" w:ascii="MS UI Gothic" w:eastAsia="MS UI Gothic"/>
          <w:w w:val="80"/>
        </w:rPr>
        <w:t>ꎮ</w:t>
      </w:r>
    </w:p>
    <w:p>
      <w:pPr>
        <w:pStyle w:val="6"/>
        <w:spacing w:line="292" w:lineRule="auto"/>
        <w:ind w:right="442"/>
        <w:rPr>
          <w:rFonts w:hint="eastAsia" w:ascii="MS UI Gothic" w:eastAsia="MS UI Gothic"/>
        </w:rPr>
      </w:pPr>
      <w:r>
        <w:t>按照国务院规定的权限和程序批准开工报告的建筑工程</w:t>
      </w:r>
      <w:r>
        <w:rPr>
          <w:rFonts w:hint="eastAsia" w:ascii="MS UI Gothic" w:eastAsia="MS UI Gothic"/>
          <w:w w:val="80"/>
        </w:rPr>
        <w:t xml:space="preserve">ꎬ </w:t>
      </w:r>
      <w:r>
        <w:t>不再领取施工许可证</w:t>
      </w:r>
      <w:r>
        <w:rPr>
          <w:rFonts w:hint="eastAsia" w:ascii="MS UI Gothic" w:eastAsia="MS UI Gothic"/>
          <w:w w:val="80"/>
        </w:rPr>
        <w:t>ꎮ</w:t>
      </w:r>
    </w:p>
    <w:p>
      <w:pPr>
        <w:pStyle w:val="6"/>
        <w:tabs>
          <w:tab w:val="left" w:pos="1382"/>
        </w:tabs>
        <w:spacing w:line="290" w:lineRule="auto"/>
        <w:ind w:right="442"/>
        <w:jc w:val="left"/>
        <w:rPr>
          <w:rFonts w:hint="eastAsia" w:ascii="MS UI Gothic" w:eastAsia="MS UI Gothic"/>
        </w:rPr>
      </w:pPr>
      <w:r>
        <w:rPr>
          <w:spacing w:val="3"/>
          <w:w w:val="110"/>
        </w:rPr>
        <w:t>第八</w:t>
      </w:r>
      <w:r>
        <w:rPr>
          <w:w w:val="110"/>
        </w:rPr>
        <w:t>条</w:t>
      </w:r>
      <w:r>
        <w:rPr>
          <w:w w:val="110"/>
        </w:rPr>
        <w:tab/>
      </w:r>
      <w:r>
        <w:rPr>
          <w:spacing w:val="3"/>
        </w:rPr>
        <w:t>申请领取施工许可证</w:t>
      </w:r>
      <w:r>
        <w:rPr>
          <w:rFonts w:hint="eastAsia" w:ascii="MS UI Gothic" w:eastAsia="MS UI Gothic"/>
          <w:w w:val="80"/>
        </w:rPr>
        <w:t>ꎬ</w:t>
      </w:r>
      <w:r>
        <w:rPr>
          <w:rFonts w:hint="eastAsia" w:ascii="MS UI Gothic" w:eastAsia="MS UI Gothic"/>
          <w:spacing w:val="13"/>
          <w:w w:val="80"/>
        </w:rPr>
        <w:t xml:space="preserve"> </w:t>
      </w:r>
      <w:r>
        <w:rPr>
          <w:spacing w:val="3"/>
        </w:rPr>
        <w:t>应</w:t>
      </w:r>
      <w:r>
        <w:t>当</w:t>
      </w:r>
      <w:r>
        <w:rPr>
          <w:spacing w:val="3"/>
          <w:w w:val="110"/>
        </w:rPr>
        <w:t>具备下列条件</w:t>
      </w:r>
      <w:r>
        <w:rPr>
          <w:rFonts w:hint="eastAsia" w:ascii="MS UI Gothic" w:eastAsia="MS UI Gothic"/>
          <w:w w:val="235"/>
        </w:rPr>
        <w:t>:</w:t>
      </w:r>
    </w:p>
    <w:p>
      <w:pPr>
        <w:pStyle w:val="6"/>
        <w:spacing w:line="292" w:lineRule="auto"/>
        <w:ind w:right="442"/>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已经办理该建筑工程用地批准</w:t>
      </w:r>
      <w:r>
        <w:rPr>
          <w:w w:val="110"/>
        </w:rPr>
        <w:t>手续</w:t>
      </w:r>
      <w:r>
        <w:rPr>
          <w:rFonts w:hint="eastAsia" w:ascii="MS UI Gothic" w:eastAsia="MS UI Gothic"/>
          <w:w w:val="80"/>
        </w:rPr>
        <w:t>ꎻ</w:t>
      </w:r>
    </w:p>
    <w:p>
      <w:pPr>
        <w:pStyle w:val="6"/>
        <w:spacing w:line="292" w:lineRule="auto"/>
        <w:ind w:right="442"/>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依法应当办理建设工程规划许</w:t>
      </w:r>
      <w:r>
        <w:t>可证的</w:t>
      </w:r>
      <w:r>
        <w:rPr>
          <w:rFonts w:hint="eastAsia" w:ascii="MS UI Gothic" w:eastAsia="MS UI Gothic"/>
          <w:w w:val="80"/>
        </w:rPr>
        <w:t xml:space="preserve">ꎬ </w:t>
      </w:r>
      <w:r>
        <w:t>已经取得建设工程规划许可证</w:t>
      </w:r>
      <w:r>
        <w:rPr>
          <w:rFonts w:hint="eastAsia" w:ascii="MS UI Gothic" w:eastAsia="MS UI Gothic"/>
          <w:w w:val="80"/>
        </w:rPr>
        <w:t>ꎻ</w:t>
      </w:r>
    </w:p>
    <w:p>
      <w:pPr>
        <w:pStyle w:val="6"/>
        <w:spacing w:line="290" w:lineRule="auto"/>
        <w:ind w:right="442"/>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需要拆迁的</w:t>
      </w:r>
      <w:r>
        <w:rPr>
          <w:rFonts w:hint="eastAsia" w:ascii="MS UI Gothic" w:eastAsia="MS UI Gothic"/>
          <w:w w:val="80"/>
        </w:rPr>
        <w:t xml:space="preserve">ꎬ </w:t>
      </w:r>
      <w:r>
        <w:rPr>
          <w:w w:val="105"/>
        </w:rPr>
        <w:t>其拆迁进度符合施工要求</w:t>
      </w:r>
      <w:r>
        <w:rPr>
          <w:rFonts w:hint="eastAsia" w:ascii="MS UI Gothic" w:eastAsia="MS UI Gothic"/>
          <w:w w:val="80"/>
        </w:rPr>
        <w:t>ꎻ</w:t>
      </w:r>
    </w:p>
    <w:p>
      <w:pPr>
        <w:pStyle w:val="6"/>
        <w:ind w:left="543"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已经确定建筑施工企业</w:t>
      </w:r>
      <w:r>
        <w:rPr>
          <w:rFonts w:hint="eastAsia" w:ascii="MS UI Gothic" w:eastAsia="MS UI Gothic"/>
          <w:w w:val="80"/>
        </w:rPr>
        <w:t>ꎻ</w:t>
      </w:r>
    </w:p>
    <w:p>
      <w:pPr>
        <w:pStyle w:val="6"/>
        <w:spacing w:before="56" w:line="292" w:lineRule="auto"/>
        <w:ind w:right="440"/>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有满足施工需要的资金安排</w:t>
      </w:r>
      <w:r>
        <w:rPr>
          <w:rFonts w:hint="eastAsia" w:ascii="MS UI Gothic" w:eastAsia="MS UI Gothic"/>
          <w:w w:val="80"/>
        </w:rPr>
        <w:t>、</w:t>
      </w:r>
      <w:r>
        <w:rPr>
          <w:w w:val="105"/>
        </w:rPr>
        <w:t>施工图纸及技术资料</w:t>
      </w:r>
      <w:r>
        <w:rPr>
          <w:rFonts w:hint="eastAsia" w:ascii="MS UI Gothic" w:eastAsia="MS UI Gothic"/>
          <w:w w:val="80"/>
        </w:rPr>
        <w:t>ꎻ</w:t>
      </w:r>
    </w:p>
    <w:p>
      <w:pPr>
        <w:pStyle w:val="6"/>
        <w:spacing w:line="292" w:lineRule="auto"/>
        <w:ind w:right="442"/>
        <w:jc w:val="left"/>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有保证工程质量和安全的具体</w:t>
      </w:r>
      <w:r>
        <w:rPr>
          <w:w w:val="110"/>
        </w:rPr>
        <w:t>措施</w:t>
      </w:r>
      <w:r>
        <w:rPr>
          <w:rFonts w:hint="eastAsia" w:ascii="MS UI Gothic" w:eastAsia="MS UI Gothic"/>
          <w:w w:val="80"/>
        </w:rPr>
        <w:t>ꎮ</w:t>
      </w:r>
    </w:p>
    <w:p>
      <w:pPr>
        <w:pStyle w:val="6"/>
        <w:spacing w:line="292" w:lineRule="auto"/>
        <w:ind w:right="442"/>
        <w:rPr>
          <w:rFonts w:hint="eastAsia" w:ascii="MS UI Gothic" w:eastAsia="MS UI Gothic"/>
        </w:rPr>
      </w:pPr>
      <w:r>
        <w:t>建设行政主管部门应当自收到申请之日起七日内</w:t>
      </w:r>
      <w:r>
        <w:rPr>
          <w:rFonts w:hint="eastAsia" w:ascii="MS UI Gothic" w:eastAsia="MS UI Gothic"/>
          <w:w w:val="80"/>
        </w:rPr>
        <w:t xml:space="preserve">ꎬ </w:t>
      </w:r>
      <w:r>
        <w:t>对符合条件的申请颁发施工许可证</w:t>
      </w:r>
      <w:r>
        <w:rPr>
          <w:rFonts w:hint="eastAsia" w:ascii="MS UI Gothic" w:eastAsia="MS UI Gothic"/>
          <w:w w:val="80"/>
        </w:rPr>
        <w:t>ꎮ</w:t>
      </w:r>
    </w:p>
    <w:p>
      <w:pPr>
        <w:pStyle w:val="6"/>
        <w:spacing w:line="292" w:lineRule="auto"/>
        <w:ind w:right="442"/>
      </w:pPr>
      <w:r>
        <w:rPr>
          <w:w w:val="105"/>
        </w:rPr>
        <w:t>第九条 建设单位应当自领取施工许</w:t>
      </w:r>
      <w:r>
        <w:t>可证之日起三个月内开工</w:t>
      </w:r>
      <w:r>
        <w:rPr>
          <w:rFonts w:hint="eastAsia" w:ascii="MS UI Gothic" w:eastAsia="MS UI Gothic"/>
          <w:w w:val="80"/>
        </w:rPr>
        <w:t xml:space="preserve">ꎮ </w:t>
      </w:r>
      <w:r>
        <w:t>因故不能按期</w:t>
      </w:r>
    </w:p>
    <w:p>
      <w:pPr>
        <w:spacing w:after="0" w:line="292"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４２５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73" o:spid="_x0000_s2273" o:spt="203" style="height:2.15pt;width:398.25pt;" coordsize="7965,43">
            <o:lock v:ext="edit"/>
            <v:line id="_x0000_s2274" o:spid="_x0000_s2274" o:spt="20" style="position:absolute;left:0;top:39;height:0;width:7965;" stroked="t" coordsize="21600,21600">
              <v:path arrowok="t"/>
              <v:fill focussize="0,0"/>
              <v:stroke weight="0.388031496062992pt" color="#231F20"/>
              <v:imagedata o:title=""/>
              <o:lock v:ext="edit"/>
            </v:line>
            <v:line id="_x0000_s2275" o:spid="_x0000_s227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开工的</w:t>
      </w:r>
      <w:r>
        <w:rPr>
          <w:rFonts w:hint="eastAsia" w:ascii="MS UI Gothic" w:eastAsia="MS UI Gothic"/>
          <w:w w:val="80"/>
        </w:rPr>
        <w:t xml:space="preserve">ꎬ </w:t>
      </w:r>
      <w:r>
        <w:t>应当向发证机关申请延期</w:t>
      </w:r>
      <w:r>
        <w:rPr>
          <w:rFonts w:hint="eastAsia" w:ascii="MS UI Gothic" w:eastAsia="MS UI Gothic"/>
          <w:w w:val="80"/>
        </w:rPr>
        <w:t xml:space="preserve">ꎻ </w:t>
      </w:r>
      <w:r>
        <w:t>延期以两次为限</w:t>
      </w:r>
      <w:r>
        <w:rPr>
          <w:rFonts w:hint="eastAsia" w:ascii="MS UI Gothic" w:eastAsia="MS UI Gothic"/>
          <w:w w:val="80"/>
        </w:rPr>
        <w:t xml:space="preserve">ꎬ </w:t>
      </w:r>
      <w:r>
        <w:t>每次不超过三个月</w:t>
      </w:r>
      <w:r>
        <w:rPr>
          <w:rFonts w:hint="eastAsia" w:ascii="MS UI Gothic" w:eastAsia="MS UI Gothic"/>
          <w:w w:val="80"/>
        </w:rPr>
        <w:t xml:space="preserve">ꎮ </w:t>
      </w:r>
      <w:r>
        <w:t>既不开工又不申请延期或者超过延期时限的</w:t>
      </w:r>
      <w:r>
        <w:rPr>
          <w:rFonts w:hint="eastAsia" w:ascii="MS UI Gothic" w:eastAsia="MS UI Gothic"/>
          <w:w w:val="80"/>
        </w:rPr>
        <w:t xml:space="preserve">ꎬ </w:t>
      </w:r>
      <w:r>
        <w:t>施工许可证自行废止</w:t>
      </w:r>
      <w:r>
        <w:rPr>
          <w:rFonts w:hint="eastAsia" w:ascii="MS UI Gothic" w:eastAsia="MS UI Gothic"/>
          <w:w w:val="80"/>
        </w:rPr>
        <w:t>ꎮ</w:t>
      </w:r>
    </w:p>
    <w:p>
      <w:pPr>
        <w:pStyle w:val="6"/>
        <w:spacing w:line="295" w:lineRule="auto"/>
        <w:ind w:left="440"/>
        <w:rPr>
          <w:rFonts w:hint="eastAsia" w:ascii="MS UI Gothic" w:eastAsia="MS UI Gothic"/>
        </w:rPr>
      </w:pPr>
      <w:r>
        <w:t>第十条 在建的建筑工程因故中止施工的</w:t>
      </w:r>
      <w:r>
        <w:rPr>
          <w:rFonts w:hint="eastAsia" w:ascii="MS UI Gothic" w:eastAsia="MS UI Gothic"/>
          <w:w w:val="80"/>
        </w:rPr>
        <w:t xml:space="preserve">ꎬ </w:t>
      </w:r>
      <w:r>
        <w:t>建设单位应当自中止施工之日起一个月内</w:t>
      </w:r>
      <w:r>
        <w:rPr>
          <w:rFonts w:hint="eastAsia" w:ascii="MS UI Gothic" w:eastAsia="MS UI Gothic"/>
          <w:w w:val="80"/>
        </w:rPr>
        <w:t xml:space="preserve">ꎬ </w:t>
      </w:r>
      <w:r>
        <w:t>向发证机关报告</w:t>
      </w:r>
      <w:r>
        <w:rPr>
          <w:rFonts w:hint="eastAsia" w:ascii="MS UI Gothic" w:eastAsia="MS UI Gothic"/>
          <w:w w:val="80"/>
        </w:rPr>
        <w:t xml:space="preserve">ꎬ </w:t>
      </w:r>
      <w:r>
        <w:t>并按照规定做好建筑工程的维护管理工作</w:t>
      </w:r>
      <w:r>
        <w:rPr>
          <w:rFonts w:hint="eastAsia" w:ascii="MS UI Gothic" w:eastAsia="MS UI Gothic"/>
          <w:w w:val="80"/>
        </w:rPr>
        <w:t>ꎮ</w:t>
      </w:r>
    </w:p>
    <w:p>
      <w:pPr>
        <w:pStyle w:val="6"/>
        <w:spacing w:line="295" w:lineRule="auto"/>
        <w:ind w:left="440"/>
        <w:rPr>
          <w:rFonts w:hint="eastAsia" w:ascii="MS UI Gothic" w:eastAsia="MS UI Gothic"/>
        </w:rPr>
      </w:pPr>
      <w:r>
        <w:t>建筑工程恢复施工时</w:t>
      </w:r>
      <w:r>
        <w:rPr>
          <w:rFonts w:hint="eastAsia" w:ascii="MS UI Gothic" w:eastAsia="MS UI Gothic"/>
          <w:w w:val="80"/>
        </w:rPr>
        <w:t xml:space="preserve">ꎬ </w:t>
      </w:r>
      <w:r>
        <w:t>应当向发证机关报告</w:t>
      </w:r>
      <w:r>
        <w:rPr>
          <w:rFonts w:hint="eastAsia" w:ascii="MS UI Gothic" w:eastAsia="MS UI Gothic"/>
          <w:w w:val="80"/>
        </w:rPr>
        <w:t xml:space="preserve">ꎻ </w:t>
      </w:r>
      <w:r>
        <w:t>中止施工满一年的工程恢复施工前</w:t>
      </w:r>
      <w:r>
        <w:rPr>
          <w:rFonts w:hint="eastAsia" w:ascii="MS UI Gothic" w:eastAsia="MS UI Gothic"/>
          <w:w w:val="80"/>
        </w:rPr>
        <w:t xml:space="preserve">ꎬ </w:t>
      </w:r>
      <w:r>
        <w:t>建设单位应当报发证机关核验施工许可证</w:t>
      </w:r>
      <w:r>
        <w:rPr>
          <w:rFonts w:hint="eastAsia" w:ascii="MS UI Gothic" w:eastAsia="MS UI Gothic"/>
          <w:w w:val="80"/>
        </w:rPr>
        <w:t>ꎮ</w:t>
      </w:r>
    </w:p>
    <w:p>
      <w:pPr>
        <w:pStyle w:val="6"/>
        <w:spacing w:line="295" w:lineRule="auto"/>
        <w:ind w:left="440"/>
        <w:rPr>
          <w:rFonts w:hint="eastAsia" w:ascii="MS UI Gothic" w:eastAsia="MS UI Gothic"/>
        </w:rPr>
      </w:pPr>
      <w:r>
        <w:t>第十一条 按照国务院有关规定批准开工报告的建筑工程</w:t>
      </w:r>
      <w:r>
        <w:rPr>
          <w:rFonts w:hint="eastAsia" w:ascii="MS UI Gothic" w:eastAsia="MS UI Gothic"/>
          <w:w w:val="80"/>
        </w:rPr>
        <w:t xml:space="preserve">ꎬ </w:t>
      </w:r>
      <w:r>
        <w:t>因故不能按期开工或者中止施工的</w:t>
      </w:r>
      <w:r>
        <w:rPr>
          <w:rFonts w:hint="eastAsia" w:ascii="MS UI Gothic" w:eastAsia="MS UI Gothic"/>
          <w:w w:val="80"/>
        </w:rPr>
        <w:t xml:space="preserve">ꎬ </w:t>
      </w:r>
      <w:r>
        <w:t>应当及时向批准机关报告情况</w:t>
      </w:r>
      <w:r>
        <w:rPr>
          <w:rFonts w:hint="eastAsia" w:ascii="MS UI Gothic" w:eastAsia="MS UI Gothic"/>
          <w:w w:val="80"/>
        </w:rPr>
        <w:t xml:space="preserve">ꎮ </w:t>
      </w:r>
      <w:r>
        <w:t>因故不能按期开工超过六个月的</w:t>
      </w:r>
      <w:r>
        <w:rPr>
          <w:rFonts w:hint="eastAsia" w:ascii="MS UI Gothic" w:eastAsia="MS UI Gothic"/>
          <w:w w:val="80"/>
        </w:rPr>
        <w:t xml:space="preserve">ꎬ </w:t>
      </w:r>
      <w:r>
        <w:t>应当重新办理开工报告的批准手续</w:t>
      </w:r>
      <w:r>
        <w:rPr>
          <w:rFonts w:hint="eastAsia" w:ascii="MS UI Gothic" w:eastAsia="MS UI Gothic"/>
          <w:w w:val="80"/>
        </w:rPr>
        <w:t>ꎮ</w:t>
      </w:r>
    </w:p>
    <w:p>
      <w:pPr>
        <w:pStyle w:val="6"/>
        <w:tabs>
          <w:tab w:val="left" w:pos="2222"/>
        </w:tabs>
        <w:spacing w:before="144"/>
        <w:ind w:left="1384" w:firstLine="0"/>
        <w:jc w:val="left"/>
      </w:pPr>
      <w:r>
        <w:rPr>
          <w:spacing w:val="3"/>
          <w:w w:val="105"/>
        </w:rPr>
        <w:t>第二</w:t>
      </w:r>
      <w:r>
        <w:rPr>
          <w:w w:val="105"/>
        </w:rPr>
        <w:t>节</w:t>
      </w:r>
      <w:r>
        <w:rPr>
          <w:w w:val="105"/>
        </w:rPr>
        <w:tab/>
      </w:r>
      <w:r>
        <w:rPr>
          <w:w w:val="105"/>
        </w:rPr>
        <w:t>从</w:t>
      </w:r>
      <w:r>
        <w:rPr>
          <w:spacing w:val="-34"/>
          <w:w w:val="105"/>
        </w:rPr>
        <w:t xml:space="preserve"> </w:t>
      </w:r>
      <w:r>
        <w:rPr>
          <w:w w:val="105"/>
        </w:rPr>
        <w:t>业</w:t>
      </w:r>
      <w:r>
        <w:rPr>
          <w:spacing w:val="-33"/>
          <w:w w:val="105"/>
        </w:rPr>
        <w:t xml:space="preserve"> </w:t>
      </w:r>
      <w:r>
        <w:rPr>
          <w:w w:val="105"/>
        </w:rPr>
        <w:t>资</w:t>
      </w:r>
      <w:r>
        <w:rPr>
          <w:spacing w:val="-33"/>
          <w:w w:val="105"/>
        </w:rPr>
        <w:t xml:space="preserve"> </w:t>
      </w:r>
      <w:r>
        <w:rPr>
          <w:w w:val="105"/>
        </w:rPr>
        <w:t>格</w:t>
      </w:r>
    </w:p>
    <w:p>
      <w:pPr>
        <w:pStyle w:val="6"/>
        <w:spacing w:before="10"/>
        <w:ind w:left="0" w:firstLine="0"/>
        <w:jc w:val="left"/>
        <w:rPr>
          <w:sz w:val="16"/>
        </w:rPr>
      </w:pPr>
    </w:p>
    <w:p>
      <w:pPr>
        <w:pStyle w:val="6"/>
        <w:spacing w:line="295" w:lineRule="auto"/>
        <w:ind w:left="440"/>
        <w:rPr>
          <w:rFonts w:hint="eastAsia" w:ascii="MS UI Gothic" w:eastAsia="MS UI Gothic"/>
        </w:rPr>
      </w:pPr>
      <w:r>
        <w:rPr>
          <w:w w:val="105"/>
        </w:rPr>
        <w:t>第十二条 从事建筑活动的建筑施工企业</w:t>
      </w:r>
      <w:r>
        <w:rPr>
          <w:rFonts w:hint="eastAsia" w:ascii="MS UI Gothic" w:eastAsia="MS UI Gothic"/>
          <w:w w:val="80"/>
        </w:rPr>
        <w:t xml:space="preserve">、 </w:t>
      </w:r>
      <w:r>
        <w:rPr>
          <w:w w:val="105"/>
        </w:rPr>
        <w:t>勘察单位</w:t>
      </w:r>
      <w:r>
        <w:rPr>
          <w:rFonts w:hint="eastAsia" w:ascii="MS UI Gothic" w:eastAsia="MS UI Gothic"/>
          <w:w w:val="80"/>
        </w:rPr>
        <w:t xml:space="preserve">、 </w:t>
      </w:r>
      <w:r>
        <w:rPr>
          <w:w w:val="105"/>
        </w:rPr>
        <w:t>设计单位和工程监理单位</w:t>
      </w:r>
      <w:r>
        <w:rPr>
          <w:rFonts w:hint="eastAsia" w:ascii="MS UI Gothic" w:eastAsia="MS UI Gothic"/>
          <w:w w:val="80"/>
        </w:rPr>
        <w:t xml:space="preserve">ꎬ </w:t>
      </w:r>
      <w:r>
        <w:rPr>
          <w:w w:val="105"/>
        </w:rPr>
        <w:t>应当具备下列条件</w:t>
      </w:r>
      <w:r>
        <w:rPr>
          <w:rFonts w:hint="eastAsia" w:ascii="MS UI Gothic" w:eastAsia="MS UI Gothic"/>
          <w:w w:val="235"/>
        </w:rPr>
        <w:t>:</w:t>
      </w:r>
    </w:p>
    <w:p>
      <w:pPr>
        <w:pStyle w:val="6"/>
        <w:spacing w:line="254" w:lineRule="exact"/>
        <w:ind w:left="860" w:firstLine="0"/>
        <w:rPr>
          <w:rFonts w:hint="eastAsia" w:ascii="MS UI Gothic" w:eastAsia="MS UI Gothic"/>
        </w:rPr>
      </w:pPr>
      <w:r>
        <w:rPr>
          <w:rFonts w:hint="eastAsia" w:ascii="MS UI Gothic" w:eastAsia="MS UI Gothic"/>
          <w:spacing w:val="-41"/>
          <w:w w:val="145"/>
        </w:rPr>
        <w:t xml:space="preserve">( </w:t>
      </w:r>
      <w:r>
        <w:rPr>
          <w:spacing w:val="3"/>
          <w:w w:val="110"/>
        </w:rPr>
        <w:t>一</w:t>
      </w:r>
      <w:r>
        <w:rPr>
          <w:rFonts w:hint="eastAsia" w:ascii="MS UI Gothic" w:eastAsia="MS UI Gothic"/>
          <w:spacing w:val="-22"/>
          <w:w w:val="145"/>
        </w:rPr>
        <w:t xml:space="preserve">) </w:t>
      </w:r>
      <w:r>
        <w:rPr>
          <w:spacing w:val="3"/>
          <w:w w:val="110"/>
        </w:rPr>
        <w:t>有符合国家规定的注册资本</w:t>
      </w:r>
      <w:r>
        <w:rPr>
          <w:rFonts w:hint="eastAsia" w:ascii="MS UI Gothic" w:eastAsia="MS UI Gothic"/>
          <w:w w:val="80"/>
        </w:rPr>
        <w:t>ꎻ</w:t>
      </w:r>
    </w:p>
    <w:p>
      <w:pPr>
        <w:pStyle w:val="6"/>
        <w:spacing w:before="58"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有与其从事的建筑活动相适应的具有法定执业资格的专业技术人员</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有从事相关建筑活动所应有的</w:t>
      </w:r>
      <w:r>
        <w:rPr>
          <w:w w:val="110"/>
        </w:rPr>
        <w:t>技术装备</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法律</w:t>
      </w:r>
      <w:r>
        <w:rPr>
          <w:rFonts w:hint="eastAsia" w:ascii="MS UI Gothic" w:eastAsia="MS UI Gothic"/>
          <w:w w:val="80"/>
        </w:rPr>
        <w:t xml:space="preserve">、 </w:t>
      </w:r>
      <w:r>
        <w:rPr>
          <w:w w:val="110"/>
        </w:rPr>
        <w:t>行政法规规定的其他条件</w:t>
      </w:r>
      <w:r>
        <w:rPr>
          <w:rFonts w:hint="eastAsia" w:ascii="MS UI Gothic" w:eastAsia="MS UI Gothic"/>
          <w:w w:val="80"/>
        </w:rPr>
        <w:t>ꎮ</w:t>
      </w:r>
    </w:p>
    <w:p>
      <w:pPr>
        <w:pStyle w:val="6"/>
        <w:spacing w:line="295" w:lineRule="auto"/>
        <w:ind w:left="440"/>
        <w:rPr>
          <w:rFonts w:hint="eastAsia" w:ascii="MS UI Gothic" w:eastAsia="MS UI Gothic"/>
        </w:rPr>
      </w:pPr>
      <w:r>
        <w:t>第十三条 从事建筑活动的建筑施工企业</w:t>
      </w:r>
      <w:r>
        <w:rPr>
          <w:rFonts w:hint="eastAsia" w:ascii="MS UI Gothic" w:eastAsia="MS UI Gothic"/>
          <w:w w:val="80"/>
        </w:rPr>
        <w:t xml:space="preserve">、 </w:t>
      </w:r>
      <w:r>
        <w:t>勘察单位</w:t>
      </w:r>
      <w:r>
        <w:rPr>
          <w:rFonts w:hint="eastAsia" w:ascii="MS UI Gothic" w:eastAsia="MS UI Gothic"/>
          <w:w w:val="80"/>
        </w:rPr>
        <w:t xml:space="preserve">、 </w:t>
      </w:r>
      <w:r>
        <w:t>设计单位和工程监理单位</w:t>
      </w:r>
      <w:r>
        <w:rPr>
          <w:rFonts w:hint="eastAsia" w:ascii="MS UI Gothic" w:eastAsia="MS UI Gothic"/>
          <w:w w:val="80"/>
        </w:rPr>
        <w:t xml:space="preserve">ꎬ </w:t>
      </w:r>
      <w:r>
        <w:t>按照其拥有的注册资本</w:t>
      </w:r>
      <w:r>
        <w:rPr>
          <w:rFonts w:hint="eastAsia" w:ascii="MS UI Gothic" w:eastAsia="MS UI Gothic"/>
          <w:w w:val="80"/>
        </w:rPr>
        <w:t xml:space="preserve">、 </w:t>
      </w:r>
      <w:r>
        <w:t>专业技术人员</w:t>
      </w:r>
      <w:r>
        <w:rPr>
          <w:rFonts w:hint="eastAsia" w:ascii="MS UI Gothic" w:eastAsia="MS UI Gothic"/>
          <w:w w:val="80"/>
        </w:rPr>
        <w:t xml:space="preserve">、 </w:t>
      </w:r>
      <w:r>
        <w:t>技术装备和已完成的建筑工程业绩等资质条件</w:t>
      </w:r>
      <w:r>
        <w:rPr>
          <w:rFonts w:hint="eastAsia" w:ascii="MS UI Gothic" w:eastAsia="MS UI Gothic"/>
          <w:w w:val="80"/>
        </w:rPr>
        <w:t xml:space="preserve">ꎬ </w:t>
      </w:r>
      <w:r>
        <w:t>划分为不同的资质等级</w:t>
      </w:r>
      <w:r>
        <w:rPr>
          <w:rFonts w:hint="eastAsia" w:ascii="MS UI Gothic" w:eastAsia="MS UI Gothic"/>
          <w:w w:val="80"/>
        </w:rPr>
        <w:t xml:space="preserve">ꎬ </w:t>
      </w:r>
      <w:r>
        <w:t>经资质审查合格</w:t>
      </w:r>
      <w:r>
        <w:rPr>
          <w:rFonts w:hint="eastAsia" w:ascii="MS UI Gothic" w:eastAsia="MS UI Gothic"/>
          <w:w w:val="80"/>
        </w:rPr>
        <w:t xml:space="preserve">ꎬ </w:t>
      </w:r>
      <w:r>
        <w:t>取得相应等级的资质证书后</w:t>
      </w:r>
      <w:r>
        <w:rPr>
          <w:rFonts w:hint="eastAsia" w:ascii="MS UI Gothic" w:eastAsia="MS UI Gothic"/>
          <w:w w:val="80"/>
        </w:rPr>
        <w:t xml:space="preserve">ꎬ </w:t>
      </w:r>
      <w:r>
        <w:t>方可在其资质等级许可的范围内从事建筑活动</w:t>
      </w:r>
      <w:r>
        <w:rPr>
          <w:rFonts w:hint="eastAsia" w:ascii="MS UI Gothic" w:eastAsia="MS UI Gothic"/>
          <w:w w:val="80"/>
        </w:rPr>
        <w:t>ꎮ</w:t>
      </w:r>
    </w:p>
    <w:p>
      <w:pPr>
        <w:pStyle w:val="6"/>
        <w:spacing w:line="295" w:lineRule="auto"/>
        <w:ind w:left="440"/>
      </w:pPr>
      <w:r>
        <w:rPr>
          <w:w w:val="105"/>
        </w:rPr>
        <w:t>第十四条 从事建筑活动的专业技术</w:t>
      </w:r>
      <w:r>
        <w:t>人员</w:t>
      </w:r>
      <w:r>
        <w:rPr>
          <w:rFonts w:hint="eastAsia" w:ascii="MS UI Gothic" w:eastAsia="MS UI Gothic"/>
          <w:w w:val="80"/>
        </w:rPr>
        <w:t xml:space="preserve">ꎬ </w:t>
      </w:r>
      <w:r>
        <w:t>应当依法取得相应的执业资格证</w:t>
      </w:r>
    </w:p>
    <w:p>
      <w:pPr>
        <w:pStyle w:val="6"/>
        <w:spacing w:before="124" w:line="295" w:lineRule="auto"/>
        <w:ind w:left="383" w:right="126" w:firstLine="0"/>
        <w:jc w:val="left"/>
        <w:rPr>
          <w:rFonts w:hint="eastAsia" w:ascii="MS UI Gothic" w:eastAsia="MS UI Gothic"/>
        </w:rPr>
      </w:pPr>
      <w:r>
        <w:br w:type="column"/>
      </w:r>
      <w:r>
        <w:t>书</w:t>
      </w:r>
      <w:r>
        <w:rPr>
          <w:rFonts w:hint="eastAsia" w:ascii="MS UI Gothic" w:eastAsia="MS UI Gothic"/>
          <w:w w:val="80"/>
        </w:rPr>
        <w:t xml:space="preserve">ꎬ </w:t>
      </w:r>
      <w:r>
        <w:t>并在执业资格证书许可的范围内从事建筑活动</w:t>
      </w:r>
      <w:r>
        <w:rPr>
          <w:rFonts w:hint="eastAsia" w:ascii="MS UI Gothic" w:eastAsia="MS UI Gothic"/>
          <w:w w:val="80"/>
        </w:rPr>
        <w:t>ꎮ</w:t>
      </w:r>
    </w:p>
    <w:p>
      <w:pPr>
        <w:pStyle w:val="6"/>
        <w:tabs>
          <w:tab w:val="left" w:pos="1092"/>
        </w:tabs>
        <w:spacing w:before="156"/>
        <w:ind w:left="254" w:firstLine="0"/>
        <w:jc w:val="center"/>
      </w:pPr>
      <w:r>
        <w:rPr>
          <w:spacing w:val="3"/>
          <w:w w:val="105"/>
        </w:rPr>
        <w:t>第三</w:t>
      </w:r>
      <w:r>
        <w:rPr>
          <w:w w:val="105"/>
        </w:rPr>
        <w:t>章</w:t>
      </w:r>
      <w:r>
        <w:rPr>
          <w:w w:val="105"/>
        </w:rPr>
        <w:tab/>
      </w:r>
      <w:r>
        <w:rPr>
          <w:spacing w:val="3"/>
          <w:w w:val="105"/>
        </w:rPr>
        <w:t>建筑工程发包与承</w:t>
      </w:r>
      <w:r>
        <w:rPr>
          <w:w w:val="105"/>
        </w:rPr>
        <w:t>包</w:t>
      </w:r>
    </w:p>
    <w:p>
      <w:pPr>
        <w:pStyle w:val="6"/>
        <w:ind w:left="0" w:firstLine="0"/>
        <w:jc w:val="left"/>
        <w:rPr>
          <w:sz w:val="29"/>
        </w:rPr>
      </w:pPr>
    </w:p>
    <w:p>
      <w:pPr>
        <w:pStyle w:val="6"/>
        <w:tabs>
          <w:tab w:val="left" w:pos="1092"/>
        </w:tabs>
        <w:spacing w:before="1"/>
        <w:ind w:left="254" w:firstLine="0"/>
        <w:jc w:val="center"/>
      </w:pPr>
      <w:r>
        <w:rPr>
          <w:spacing w:val="3"/>
          <w:w w:val="105"/>
        </w:rPr>
        <w:t>第一</w:t>
      </w:r>
      <w:r>
        <w:rPr>
          <w:w w:val="105"/>
        </w:rPr>
        <w:t>节</w:t>
      </w:r>
      <w:r>
        <w:rPr>
          <w:w w:val="105"/>
        </w:rPr>
        <w:tab/>
      </w:r>
      <w:r>
        <w:rPr>
          <w:w w:val="105"/>
        </w:rPr>
        <w:t>一</w:t>
      </w:r>
      <w:r>
        <w:rPr>
          <w:spacing w:val="-33"/>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line="295" w:lineRule="auto"/>
        <w:ind w:left="383" w:right="126"/>
        <w:rPr>
          <w:rFonts w:hint="eastAsia" w:ascii="MS UI Gothic" w:eastAsia="MS UI Gothic"/>
        </w:rPr>
      </w:pPr>
      <w:r>
        <w:rPr>
          <w:w w:val="105"/>
        </w:rPr>
        <w:t>第十五条 建筑工程的发包单位与承</w:t>
      </w:r>
      <w:r>
        <w:t>包单位应当依法订立书面合同</w:t>
      </w:r>
      <w:r>
        <w:rPr>
          <w:rFonts w:hint="eastAsia" w:ascii="MS UI Gothic" w:eastAsia="MS UI Gothic"/>
          <w:w w:val="80"/>
        </w:rPr>
        <w:t xml:space="preserve">ꎬ </w:t>
      </w:r>
      <w:r>
        <w:t>明确双方</w:t>
      </w:r>
      <w:r>
        <w:rPr>
          <w:w w:val="105"/>
        </w:rPr>
        <w:t>的权利和义务</w:t>
      </w:r>
      <w:r>
        <w:rPr>
          <w:rFonts w:hint="eastAsia" w:ascii="MS UI Gothic" w:eastAsia="MS UI Gothic"/>
          <w:w w:val="80"/>
        </w:rPr>
        <w:t>ꎮ</w:t>
      </w:r>
    </w:p>
    <w:p>
      <w:pPr>
        <w:pStyle w:val="6"/>
        <w:spacing w:line="295" w:lineRule="auto"/>
        <w:ind w:left="383" w:right="126"/>
        <w:rPr>
          <w:rFonts w:hint="eastAsia" w:ascii="MS UI Gothic" w:eastAsia="MS UI Gothic"/>
        </w:rPr>
      </w:pPr>
      <w:r>
        <w:t>发包单位和承包单位应当全面履行合同约定的义务</w:t>
      </w:r>
      <w:r>
        <w:rPr>
          <w:rFonts w:hint="eastAsia" w:ascii="MS UI Gothic" w:eastAsia="MS UI Gothic"/>
          <w:w w:val="80"/>
        </w:rPr>
        <w:t xml:space="preserve">ꎮ </w:t>
      </w:r>
      <w:r>
        <w:t>不按照合同约定履行义务的</w:t>
      </w:r>
      <w:r>
        <w:rPr>
          <w:rFonts w:hint="eastAsia" w:ascii="MS UI Gothic" w:eastAsia="MS UI Gothic"/>
          <w:w w:val="80"/>
        </w:rPr>
        <w:t xml:space="preserve">ꎬ </w:t>
      </w:r>
      <w:r>
        <w:t>依法承担违约责任</w:t>
      </w:r>
      <w:r>
        <w:rPr>
          <w:rFonts w:hint="eastAsia" w:ascii="MS UI Gothic" w:eastAsia="MS UI Gothic"/>
          <w:w w:val="80"/>
        </w:rPr>
        <w:t>ꎮ</w:t>
      </w:r>
    </w:p>
    <w:p>
      <w:pPr>
        <w:pStyle w:val="6"/>
        <w:spacing w:line="295" w:lineRule="auto"/>
        <w:ind w:left="383" w:right="126"/>
        <w:rPr>
          <w:rFonts w:hint="eastAsia" w:ascii="MS UI Gothic" w:eastAsia="MS UI Gothic"/>
        </w:rPr>
      </w:pPr>
      <w:r>
        <w:t>第十六条 建筑工程发包与承包的招标投标活动</w:t>
      </w:r>
      <w:r>
        <w:rPr>
          <w:rFonts w:hint="eastAsia" w:ascii="MS UI Gothic" w:eastAsia="MS UI Gothic"/>
          <w:w w:val="80"/>
        </w:rPr>
        <w:t xml:space="preserve">ꎬ </w:t>
      </w:r>
      <w:r>
        <w:t>应当遵循公开</w:t>
      </w:r>
      <w:r>
        <w:rPr>
          <w:rFonts w:hint="eastAsia" w:ascii="MS UI Gothic" w:eastAsia="MS UI Gothic"/>
          <w:w w:val="80"/>
        </w:rPr>
        <w:t xml:space="preserve">、 </w:t>
      </w:r>
      <w:r>
        <w:t>公正</w:t>
      </w:r>
      <w:r>
        <w:rPr>
          <w:rFonts w:hint="eastAsia" w:ascii="MS UI Gothic" w:eastAsia="MS UI Gothic"/>
          <w:w w:val="80"/>
        </w:rPr>
        <w:t xml:space="preserve">、 </w:t>
      </w:r>
      <w:r>
        <w:t>平等竞争的原则</w:t>
      </w:r>
      <w:r>
        <w:rPr>
          <w:rFonts w:hint="eastAsia" w:ascii="MS UI Gothic" w:eastAsia="MS UI Gothic"/>
          <w:w w:val="80"/>
        </w:rPr>
        <w:t xml:space="preserve">ꎬ </w:t>
      </w:r>
      <w:r>
        <w:t>择优选择承包单位</w:t>
      </w:r>
      <w:r>
        <w:rPr>
          <w:rFonts w:hint="eastAsia" w:ascii="MS UI Gothic" w:eastAsia="MS UI Gothic"/>
          <w:w w:val="80"/>
        </w:rPr>
        <w:t>ꎮ</w:t>
      </w:r>
    </w:p>
    <w:p>
      <w:pPr>
        <w:pStyle w:val="6"/>
        <w:spacing w:line="295" w:lineRule="auto"/>
        <w:ind w:left="383" w:right="126"/>
        <w:rPr>
          <w:rFonts w:hint="eastAsia" w:ascii="MS UI Gothic" w:eastAsia="MS UI Gothic"/>
        </w:rPr>
      </w:pPr>
      <w:r>
        <w:t>建筑工程的招标投标</w:t>
      </w:r>
      <w:r>
        <w:rPr>
          <w:rFonts w:hint="eastAsia" w:ascii="MS UI Gothic" w:eastAsia="MS UI Gothic"/>
          <w:w w:val="80"/>
        </w:rPr>
        <w:t xml:space="preserve">ꎬ </w:t>
      </w:r>
      <w:r>
        <w:t>本法没有规定的</w:t>
      </w:r>
      <w:r>
        <w:rPr>
          <w:rFonts w:hint="eastAsia" w:ascii="MS UI Gothic" w:eastAsia="MS UI Gothic"/>
          <w:w w:val="80"/>
        </w:rPr>
        <w:t xml:space="preserve">ꎬ </w:t>
      </w:r>
      <w:r>
        <w:t>适用有关招标投标法律的规定</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第十七条 发包单位及其工作人员在建筑工程发包中不得收受贿赂</w:t>
      </w:r>
      <w:r>
        <w:rPr>
          <w:rFonts w:hint="eastAsia" w:ascii="MS UI Gothic" w:eastAsia="MS UI Gothic"/>
          <w:w w:val="80"/>
        </w:rPr>
        <w:t xml:space="preserve">、 </w:t>
      </w:r>
      <w:r>
        <w:rPr>
          <w:w w:val="105"/>
        </w:rPr>
        <w:t>回扣或者索取其他好处</w:t>
      </w:r>
      <w:r>
        <w:rPr>
          <w:rFonts w:hint="eastAsia" w:ascii="MS UI Gothic" w:eastAsia="MS UI Gothic"/>
          <w:w w:val="80"/>
        </w:rPr>
        <w:t>ꎮ</w:t>
      </w:r>
    </w:p>
    <w:p>
      <w:pPr>
        <w:pStyle w:val="6"/>
        <w:spacing w:line="295" w:lineRule="auto"/>
        <w:ind w:left="383" w:right="126"/>
        <w:rPr>
          <w:rFonts w:hint="eastAsia" w:ascii="MS UI Gothic" w:eastAsia="MS UI Gothic"/>
        </w:rPr>
      </w:pPr>
      <w:r>
        <w:t>承包单位及其工作人员不得利用向发</w:t>
      </w:r>
      <w:r>
        <w:rPr>
          <w:w w:val="105"/>
        </w:rPr>
        <w:t>包单位及其工作人员行贿</w:t>
      </w:r>
      <w:r>
        <w:rPr>
          <w:rFonts w:hint="eastAsia" w:ascii="MS UI Gothic" w:eastAsia="MS UI Gothic"/>
          <w:w w:val="80"/>
        </w:rPr>
        <w:t xml:space="preserve">、 </w:t>
      </w:r>
      <w:r>
        <w:rPr>
          <w:w w:val="105"/>
        </w:rPr>
        <w:t>提供回扣或者给予其他好处等不正当手段承揽工程</w:t>
      </w:r>
      <w:r>
        <w:rPr>
          <w:rFonts w:hint="eastAsia" w:ascii="MS UI Gothic" w:eastAsia="MS UI Gothic"/>
          <w:w w:val="80"/>
        </w:rPr>
        <w:t>ꎮ</w:t>
      </w:r>
    </w:p>
    <w:p>
      <w:pPr>
        <w:pStyle w:val="6"/>
        <w:spacing w:line="295" w:lineRule="auto"/>
        <w:ind w:left="383" w:right="126"/>
        <w:rPr>
          <w:rFonts w:hint="eastAsia" w:ascii="MS UI Gothic" w:eastAsia="MS UI Gothic"/>
        </w:rPr>
      </w:pPr>
      <w:r>
        <w:t>第十八条 建筑工程造价应当按照国家有关规定</w:t>
      </w:r>
      <w:r>
        <w:rPr>
          <w:rFonts w:hint="eastAsia" w:ascii="MS UI Gothic" w:eastAsia="MS UI Gothic"/>
          <w:w w:val="80"/>
        </w:rPr>
        <w:t xml:space="preserve">ꎬ </w:t>
      </w:r>
      <w:r>
        <w:t>由发包单位与承包单位在合同中约定</w:t>
      </w:r>
      <w:r>
        <w:rPr>
          <w:rFonts w:hint="eastAsia" w:ascii="MS UI Gothic" w:eastAsia="MS UI Gothic"/>
          <w:w w:val="80"/>
        </w:rPr>
        <w:t xml:space="preserve">ꎮ </w:t>
      </w:r>
      <w:r>
        <w:t>公开招标发包的</w:t>
      </w:r>
      <w:r>
        <w:rPr>
          <w:rFonts w:hint="eastAsia" w:ascii="MS UI Gothic" w:eastAsia="MS UI Gothic"/>
          <w:w w:val="80"/>
        </w:rPr>
        <w:t xml:space="preserve">ꎬ </w:t>
      </w:r>
      <w:r>
        <w:t>其造价的约定</w:t>
      </w:r>
      <w:r>
        <w:rPr>
          <w:rFonts w:hint="eastAsia" w:ascii="MS UI Gothic" w:eastAsia="MS UI Gothic"/>
          <w:w w:val="80"/>
        </w:rPr>
        <w:t xml:space="preserve">ꎬ </w:t>
      </w:r>
      <w:r>
        <w:t>须遵守招标投标法律的规定</w:t>
      </w:r>
      <w:r>
        <w:rPr>
          <w:rFonts w:hint="eastAsia" w:ascii="MS UI Gothic" w:eastAsia="MS UI Gothic"/>
          <w:w w:val="80"/>
        </w:rPr>
        <w:t>ꎮ</w:t>
      </w:r>
    </w:p>
    <w:p>
      <w:pPr>
        <w:pStyle w:val="6"/>
        <w:spacing w:line="295" w:lineRule="auto"/>
        <w:ind w:left="383" w:right="126"/>
        <w:rPr>
          <w:rFonts w:hint="eastAsia" w:ascii="MS UI Gothic" w:eastAsia="MS UI Gothic"/>
        </w:rPr>
      </w:pPr>
      <w:r>
        <w:t>发包单位应当按照合同的约定</w:t>
      </w:r>
      <w:r>
        <w:rPr>
          <w:rFonts w:hint="eastAsia" w:ascii="MS UI Gothic" w:eastAsia="MS UI Gothic"/>
          <w:w w:val="80"/>
        </w:rPr>
        <w:t xml:space="preserve">ꎬ </w:t>
      </w:r>
      <w:r>
        <w:t>及时拨付工程款项</w:t>
      </w:r>
      <w:r>
        <w:rPr>
          <w:rFonts w:hint="eastAsia" w:ascii="MS UI Gothic" w:eastAsia="MS UI Gothic"/>
          <w:w w:val="80"/>
        </w:rPr>
        <w:t>ꎮ</w:t>
      </w:r>
    </w:p>
    <w:p>
      <w:pPr>
        <w:pStyle w:val="6"/>
        <w:tabs>
          <w:tab w:val="left" w:pos="1092"/>
          <w:tab w:val="left" w:pos="1721"/>
        </w:tabs>
        <w:spacing w:before="139"/>
        <w:ind w:left="254" w:firstLine="0"/>
        <w:jc w:val="center"/>
      </w:pPr>
      <w:r>
        <w:rPr>
          <w:spacing w:val="3"/>
          <w:w w:val="105"/>
        </w:rPr>
        <w:t>第二</w:t>
      </w:r>
      <w:r>
        <w:rPr>
          <w:w w:val="105"/>
        </w:rPr>
        <w:t>节</w:t>
      </w:r>
      <w:r>
        <w:rPr>
          <w:w w:val="105"/>
        </w:rPr>
        <w:tab/>
      </w:r>
      <w:r>
        <w:rPr>
          <w:w w:val="105"/>
        </w:rPr>
        <w:t>发</w:t>
      </w:r>
      <w:r>
        <w:rPr>
          <w:w w:val="105"/>
        </w:rPr>
        <w:tab/>
      </w:r>
      <w:r>
        <w:rPr>
          <w:w w:val="105"/>
        </w:rPr>
        <w:t>包</w:t>
      </w:r>
    </w:p>
    <w:p>
      <w:pPr>
        <w:pStyle w:val="6"/>
        <w:spacing w:before="10"/>
        <w:ind w:left="0" w:firstLine="0"/>
        <w:jc w:val="left"/>
        <w:rPr>
          <w:sz w:val="16"/>
        </w:rPr>
      </w:pPr>
    </w:p>
    <w:p>
      <w:pPr>
        <w:pStyle w:val="6"/>
        <w:spacing w:line="295" w:lineRule="auto"/>
        <w:ind w:left="383" w:right="126"/>
        <w:rPr>
          <w:rFonts w:hint="eastAsia" w:ascii="MS UI Gothic" w:eastAsia="MS UI Gothic"/>
        </w:rPr>
      </w:pPr>
      <w:r>
        <w:t>第十九条 建筑工程依法实行招标发包</w:t>
      </w:r>
      <w:r>
        <w:rPr>
          <w:rFonts w:hint="eastAsia" w:ascii="MS UI Gothic" w:eastAsia="MS UI Gothic"/>
          <w:w w:val="80"/>
        </w:rPr>
        <w:t xml:space="preserve">ꎬ </w:t>
      </w:r>
      <w:r>
        <w:t>对不适于招标发包的可以直接发包</w:t>
      </w:r>
      <w:r>
        <w:rPr>
          <w:rFonts w:hint="eastAsia" w:ascii="MS UI Gothic" w:eastAsia="MS UI Gothic"/>
          <w:w w:val="80"/>
        </w:rPr>
        <w:t>ꎮ</w:t>
      </w:r>
    </w:p>
    <w:p>
      <w:pPr>
        <w:pStyle w:val="6"/>
        <w:spacing w:line="295" w:lineRule="auto"/>
        <w:ind w:left="383" w:right="124"/>
        <w:rPr>
          <w:rFonts w:hint="eastAsia" w:ascii="MS UI Gothic" w:eastAsia="MS UI Gothic"/>
        </w:rPr>
      </w:pPr>
      <w:r>
        <w:t>第二十条  建筑工程实行公开招标的</w:t>
      </w:r>
      <w:r>
        <w:rPr>
          <w:rFonts w:hint="eastAsia" w:ascii="MS UI Gothic" w:eastAsia="MS UI Gothic"/>
          <w:w w:val="80"/>
        </w:rPr>
        <w:t xml:space="preserve">ꎬ </w:t>
      </w:r>
      <w:r>
        <w:t>发包单位应当依照法定程序和方式</w:t>
      </w:r>
      <w:r>
        <w:rPr>
          <w:rFonts w:hint="eastAsia" w:ascii="MS UI Gothic" w:eastAsia="MS UI Gothic"/>
          <w:w w:val="80"/>
        </w:rPr>
        <w:t>ꎬ</w:t>
      </w:r>
      <w:r>
        <w:t>发布招标公告</w:t>
      </w:r>
      <w:r>
        <w:rPr>
          <w:rFonts w:hint="eastAsia" w:ascii="MS UI Gothic" w:eastAsia="MS UI Gothic"/>
          <w:w w:val="80"/>
        </w:rPr>
        <w:t xml:space="preserve">ꎬ </w:t>
      </w:r>
      <w:r>
        <w:t>提供载有招标工程的主要技术要求</w:t>
      </w:r>
      <w:r>
        <w:rPr>
          <w:rFonts w:hint="eastAsia" w:ascii="MS UI Gothic" w:eastAsia="MS UI Gothic"/>
          <w:w w:val="80"/>
        </w:rPr>
        <w:t xml:space="preserve">、 </w:t>
      </w:r>
      <w:r>
        <w:t>主要的合同条款</w:t>
      </w:r>
      <w:r>
        <w:rPr>
          <w:rFonts w:hint="eastAsia" w:ascii="MS UI Gothic" w:eastAsia="MS UI Gothic"/>
          <w:w w:val="80"/>
        </w:rPr>
        <w:t xml:space="preserve">、 </w:t>
      </w:r>
      <w:r>
        <w:t>评标的标准和方法以及开标</w:t>
      </w:r>
      <w:r>
        <w:rPr>
          <w:rFonts w:hint="eastAsia" w:ascii="MS UI Gothic" w:eastAsia="MS UI Gothic"/>
          <w:w w:val="80"/>
        </w:rPr>
        <w:t xml:space="preserve">、 </w:t>
      </w:r>
      <w:r>
        <w:t>评标</w:t>
      </w:r>
      <w:r>
        <w:rPr>
          <w:rFonts w:hint="eastAsia" w:ascii="MS UI Gothic" w:eastAsia="MS UI Gothic"/>
          <w:w w:val="80"/>
        </w:rPr>
        <w:t xml:space="preserve">、 </w:t>
      </w:r>
      <w:r>
        <w:t>定标的程序等内容的招标文件</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４２６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76" o:spid="_x0000_s2276" o:spt="203" style="height:2.15pt;width:398.25pt;" coordsize="7965,43">
            <o:lock v:ext="edit"/>
            <v:line id="_x0000_s2277" o:spid="_x0000_s2277" o:spt="20" style="position:absolute;left:0;top:39;height:0;width:7965;" stroked="t" coordsize="21600,21600">
              <v:path arrowok="t"/>
              <v:fill focussize="0,0"/>
              <v:stroke weight="0.388031496062992pt" color="#231F20"/>
              <v:imagedata o:title=""/>
              <o:lock v:ext="edit"/>
            </v:line>
            <v:line id="_x0000_s2278" o:spid="_x0000_s227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t>开标应当在招标文件规定的时间</w:t>
      </w:r>
      <w:r>
        <w:rPr>
          <w:rFonts w:hint="eastAsia" w:ascii="MS UI Gothic" w:eastAsia="MS UI Gothic"/>
          <w:w w:val="80"/>
        </w:rPr>
        <w:t xml:space="preserve">、 </w:t>
      </w:r>
      <w:r>
        <w:t>地点公开进行</w:t>
      </w:r>
      <w:r>
        <w:rPr>
          <w:rFonts w:hint="eastAsia" w:ascii="MS UI Gothic" w:eastAsia="MS UI Gothic"/>
          <w:w w:val="80"/>
        </w:rPr>
        <w:t xml:space="preserve">ꎮ </w:t>
      </w:r>
      <w:r>
        <w:t>开标后应当按照招标文件规定的评标标准和程序对标书进行评价</w:t>
      </w:r>
      <w:r>
        <w:rPr>
          <w:rFonts w:hint="eastAsia" w:ascii="MS UI Gothic" w:eastAsia="MS UI Gothic"/>
          <w:w w:val="80"/>
        </w:rPr>
        <w:t xml:space="preserve">、 </w:t>
      </w:r>
      <w:r>
        <w:t>比较</w:t>
      </w:r>
      <w:r>
        <w:rPr>
          <w:rFonts w:hint="eastAsia" w:ascii="MS UI Gothic" w:eastAsia="MS UI Gothic"/>
          <w:w w:val="80"/>
        </w:rPr>
        <w:t xml:space="preserve">ꎬ </w:t>
      </w:r>
      <w:r>
        <w:t>在具备相应资质条件的投标者中</w:t>
      </w:r>
      <w:r>
        <w:rPr>
          <w:rFonts w:hint="eastAsia" w:ascii="MS UI Gothic" w:eastAsia="MS UI Gothic"/>
          <w:w w:val="80"/>
        </w:rPr>
        <w:t xml:space="preserve">ꎬ </w:t>
      </w:r>
      <w:r>
        <w:t>择优选定中标者</w:t>
      </w:r>
      <w:r>
        <w:rPr>
          <w:rFonts w:hint="eastAsia" w:ascii="MS UI Gothic" w:eastAsia="MS UI Gothic"/>
          <w:w w:val="80"/>
        </w:rPr>
        <w:t>ꎮ</w:t>
      </w:r>
    </w:p>
    <w:p>
      <w:pPr>
        <w:pStyle w:val="6"/>
        <w:spacing w:line="295" w:lineRule="auto"/>
        <w:ind w:right="38"/>
        <w:rPr>
          <w:rFonts w:hint="eastAsia" w:ascii="MS UI Gothic" w:eastAsia="MS UI Gothic"/>
        </w:rPr>
      </w:pPr>
      <w:r>
        <w:t>第二十一条  建筑工程招标的开标</w:t>
      </w:r>
      <w:r>
        <w:rPr>
          <w:rFonts w:hint="eastAsia" w:ascii="MS UI Gothic" w:eastAsia="MS UI Gothic"/>
          <w:w w:val="80"/>
        </w:rPr>
        <w:t>、</w:t>
      </w:r>
      <w:r>
        <w:t>评标</w:t>
      </w:r>
      <w:r>
        <w:rPr>
          <w:rFonts w:hint="eastAsia" w:ascii="MS UI Gothic" w:eastAsia="MS UI Gothic"/>
          <w:w w:val="80"/>
        </w:rPr>
        <w:t xml:space="preserve">、 </w:t>
      </w:r>
      <w:r>
        <w:t>定标由建设单位依法组织实施</w:t>
      </w:r>
      <w:r>
        <w:rPr>
          <w:rFonts w:hint="eastAsia" w:ascii="MS UI Gothic" w:eastAsia="MS UI Gothic"/>
          <w:w w:val="80"/>
        </w:rPr>
        <w:t xml:space="preserve">ꎬ </w:t>
      </w:r>
      <w:r>
        <w:t>并接受有关行政主管部门的监督</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第二十二条 建筑工程实行招标发包</w:t>
      </w:r>
      <w:r>
        <w:t>的</w:t>
      </w:r>
      <w:r>
        <w:rPr>
          <w:rFonts w:hint="eastAsia" w:ascii="MS UI Gothic" w:eastAsia="MS UI Gothic"/>
          <w:w w:val="80"/>
        </w:rPr>
        <w:t xml:space="preserve">ꎬ </w:t>
      </w:r>
      <w:r>
        <w:t>发包单位应当将建筑工程发包给依法中标的承包单位</w:t>
      </w:r>
      <w:r>
        <w:rPr>
          <w:rFonts w:hint="eastAsia" w:ascii="MS UI Gothic" w:eastAsia="MS UI Gothic"/>
          <w:w w:val="80"/>
        </w:rPr>
        <w:t xml:space="preserve">ꎮ </w:t>
      </w:r>
      <w:r>
        <w:t>建筑工程实行直接发包的</w:t>
      </w:r>
      <w:r>
        <w:rPr>
          <w:rFonts w:hint="eastAsia" w:ascii="MS UI Gothic" w:eastAsia="MS UI Gothic"/>
          <w:w w:val="80"/>
        </w:rPr>
        <w:t xml:space="preserve">ꎬ </w:t>
      </w:r>
      <w:r>
        <w:t>发包单位应当将建筑工程发包给具有</w:t>
      </w:r>
      <w:r>
        <w:rPr>
          <w:w w:val="105"/>
        </w:rPr>
        <w:t>相应资质条件的承包单位</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第二十三条 政府及其所属部门不得</w:t>
      </w:r>
      <w:r>
        <w:t>滥用行政权力</w:t>
      </w:r>
      <w:r>
        <w:rPr>
          <w:rFonts w:hint="eastAsia" w:ascii="MS UI Gothic" w:eastAsia="MS UI Gothic"/>
          <w:w w:val="80"/>
        </w:rPr>
        <w:t xml:space="preserve">ꎬ </w:t>
      </w:r>
      <w:r>
        <w:t>限定发包单位将招标发包</w:t>
      </w:r>
      <w:r>
        <w:rPr>
          <w:w w:val="105"/>
        </w:rPr>
        <w:t>的建筑工程发包给指定的承包单位</w:t>
      </w:r>
      <w:r>
        <w:rPr>
          <w:rFonts w:hint="eastAsia" w:ascii="MS UI Gothic" w:eastAsia="MS UI Gothic"/>
          <w:w w:val="80"/>
        </w:rPr>
        <w:t>ꎮ</w:t>
      </w:r>
    </w:p>
    <w:p>
      <w:pPr>
        <w:pStyle w:val="6"/>
        <w:spacing w:line="295" w:lineRule="auto"/>
        <w:ind w:right="39"/>
        <w:rPr>
          <w:rFonts w:hint="eastAsia" w:ascii="MS UI Gothic" w:eastAsia="MS UI Gothic"/>
        </w:rPr>
      </w:pPr>
      <w:r>
        <w:t>第二十四条 提倡对建筑工程实行总承包</w:t>
      </w:r>
      <w:r>
        <w:rPr>
          <w:rFonts w:hint="eastAsia" w:ascii="MS UI Gothic" w:eastAsia="MS UI Gothic"/>
          <w:w w:val="80"/>
        </w:rPr>
        <w:t xml:space="preserve">ꎬ </w:t>
      </w:r>
      <w:r>
        <w:t>禁止将建筑工程肢解发包</w:t>
      </w:r>
      <w:r>
        <w:rPr>
          <w:rFonts w:hint="eastAsia" w:ascii="MS UI Gothic" w:eastAsia="MS UI Gothic"/>
          <w:w w:val="80"/>
        </w:rPr>
        <w:t>ꎮ</w:t>
      </w:r>
    </w:p>
    <w:p>
      <w:pPr>
        <w:pStyle w:val="6"/>
        <w:spacing w:line="295" w:lineRule="auto"/>
        <w:ind w:right="39"/>
        <w:rPr>
          <w:rFonts w:hint="eastAsia" w:ascii="MS UI Gothic" w:eastAsia="MS UI Gothic"/>
        </w:rPr>
      </w:pPr>
      <w:r>
        <w:t>建筑工程的发包单位可以将建筑工程的勘察</w:t>
      </w:r>
      <w:r>
        <w:rPr>
          <w:rFonts w:hint="eastAsia" w:ascii="MS UI Gothic" w:eastAsia="MS UI Gothic"/>
          <w:w w:val="80"/>
        </w:rPr>
        <w:t xml:space="preserve">、 </w:t>
      </w:r>
      <w:r>
        <w:t>设计</w:t>
      </w:r>
      <w:r>
        <w:rPr>
          <w:rFonts w:hint="eastAsia" w:ascii="MS UI Gothic" w:eastAsia="MS UI Gothic"/>
          <w:w w:val="80"/>
        </w:rPr>
        <w:t xml:space="preserve">、 </w:t>
      </w:r>
      <w:r>
        <w:t>施工</w:t>
      </w:r>
      <w:r>
        <w:rPr>
          <w:rFonts w:hint="eastAsia" w:ascii="MS UI Gothic" w:eastAsia="MS UI Gothic"/>
          <w:w w:val="80"/>
        </w:rPr>
        <w:t xml:space="preserve">、 </w:t>
      </w:r>
      <w:r>
        <w:t>设备采购一并发包给一个工程总承包单位</w:t>
      </w:r>
      <w:r>
        <w:rPr>
          <w:rFonts w:hint="eastAsia" w:ascii="MS UI Gothic" w:eastAsia="MS UI Gothic"/>
          <w:w w:val="80"/>
        </w:rPr>
        <w:t xml:space="preserve">ꎬ </w:t>
      </w:r>
      <w:r>
        <w:t>也可以将建筑工程勘察</w:t>
      </w:r>
      <w:r>
        <w:rPr>
          <w:rFonts w:hint="eastAsia" w:ascii="MS UI Gothic" w:eastAsia="MS UI Gothic"/>
          <w:w w:val="80"/>
        </w:rPr>
        <w:t xml:space="preserve">、 </w:t>
      </w:r>
      <w:r>
        <w:t>设计</w:t>
      </w:r>
      <w:r>
        <w:rPr>
          <w:rFonts w:hint="eastAsia" w:ascii="MS UI Gothic" w:eastAsia="MS UI Gothic"/>
          <w:w w:val="80"/>
        </w:rPr>
        <w:t xml:space="preserve">、 </w:t>
      </w:r>
      <w:r>
        <w:t>施工</w:t>
      </w:r>
      <w:r>
        <w:rPr>
          <w:rFonts w:hint="eastAsia" w:ascii="MS UI Gothic" w:eastAsia="MS UI Gothic"/>
          <w:w w:val="80"/>
        </w:rPr>
        <w:t xml:space="preserve">、 </w:t>
      </w:r>
      <w:r>
        <w:t>设备采购的一项或者多项发包给一个工程总承包单位</w:t>
      </w:r>
      <w:r>
        <w:rPr>
          <w:rFonts w:hint="eastAsia" w:ascii="MS UI Gothic" w:eastAsia="MS UI Gothic"/>
          <w:w w:val="80"/>
        </w:rPr>
        <w:t xml:space="preserve">ꎻ </w:t>
      </w:r>
      <w:r>
        <w:t>但是</w:t>
      </w:r>
      <w:r>
        <w:rPr>
          <w:rFonts w:hint="eastAsia" w:ascii="MS UI Gothic" w:eastAsia="MS UI Gothic"/>
          <w:w w:val="80"/>
        </w:rPr>
        <w:t xml:space="preserve">ꎬ </w:t>
      </w:r>
      <w:r>
        <w:t>不得将应当由一个承包单位完成的建筑工程肢解成若干部分发包给几个承包单位</w:t>
      </w:r>
      <w:r>
        <w:rPr>
          <w:rFonts w:hint="eastAsia" w:ascii="MS UI Gothic" w:eastAsia="MS UI Gothic"/>
          <w:w w:val="80"/>
        </w:rPr>
        <w:t>ꎮ</w:t>
      </w:r>
    </w:p>
    <w:p>
      <w:pPr>
        <w:pStyle w:val="6"/>
        <w:spacing w:line="295" w:lineRule="auto"/>
        <w:ind w:right="39"/>
        <w:rPr>
          <w:rFonts w:hint="eastAsia" w:ascii="MS UI Gothic" w:eastAsia="MS UI Gothic"/>
        </w:rPr>
      </w:pPr>
      <w:r>
        <w:t>第二十五条 按照合同约定</w:t>
      </w:r>
      <w:r>
        <w:rPr>
          <w:rFonts w:hint="eastAsia" w:ascii="MS UI Gothic" w:eastAsia="MS UI Gothic"/>
          <w:w w:val="80"/>
        </w:rPr>
        <w:t xml:space="preserve">ꎬ </w:t>
      </w:r>
      <w:r>
        <w:t>建筑材料</w:t>
      </w:r>
      <w:r>
        <w:rPr>
          <w:rFonts w:hint="eastAsia" w:ascii="MS UI Gothic" w:eastAsia="MS UI Gothic"/>
          <w:w w:val="80"/>
        </w:rPr>
        <w:t xml:space="preserve">、 </w:t>
      </w:r>
      <w:r>
        <w:t>建筑构配件和设备由工程承包单位采购的</w:t>
      </w:r>
      <w:r>
        <w:rPr>
          <w:rFonts w:hint="eastAsia" w:ascii="MS UI Gothic" w:eastAsia="MS UI Gothic"/>
          <w:w w:val="80"/>
        </w:rPr>
        <w:t xml:space="preserve">ꎬ </w:t>
      </w:r>
      <w:r>
        <w:t>发包单位不得指定承包单位购入用于工程的建筑材料</w:t>
      </w:r>
      <w:r>
        <w:rPr>
          <w:rFonts w:hint="eastAsia" w:ascii="MS UI Gothic" w:eastAsia="MS UI Gothic"/>
          <w:w w:val="80"/>
        </w:rPr>
        <w:t xml:space="preserve">、 </w:t>
      </w:r>
      <w:r>
        <w:t>建筑构配件和设备或者指定生产厂</w:t>
      </w:r>
      <w:r>
        <w:rPr>
          <w:rFonts w:hint="eastAsia" w:ascii="MS UI Gothic" w:eastAsia="MS UI Gothic"/>
          <w:w w:val="80"/>
        </w:rPr>
        <w:t xml:space="preserve">、 </w:t>
      </w:r>
      <w:r>
        <w:t>供应商</w:t>
      </w:r>
      <w:r>
        <w:rPr>
          <w:rFonts w:hint="eastAsia" w:ascii="MS UI Gothic" w:eastAsia="MS UI Gothic"/>
          <w:w w:val="80"/>
        </w:rPr>
        <w:t>ꎮ</w:t>
      </w:r>
    </w:p>
    <w:p>
      <w:pPr>
        <w:pStyle w:val="6"/>
        <w:tabs>
          <w:tab w:val="left" w:pos="2011"/>
          <w:tab w:val="left" w:pos="2639"/>
        </w:tabs>
        <w:spacing w:before="133"/>
        <w:ind w:left="1172" w:firstLine="0"/>
        <w:jc w:val="left"/>
      </w:pPr>
      <w:r>
        <w:rPr>
          <w:spacing w:val="3"/>
          <w:w w:val="105"/>
        </w:rPr>
        <w:t>第三</w:t>
      </w:r>
      <w:r>
        <w:rPr>
          <w:w w:val="105"/>
        </w:rPr>
        <w:t>节</w:t>
      </w:r>
      <w:r>
        <w:rPr>
          <w:w w:val="105"/>
        </w:rPr>
        <w:tab/>
      </w:r>
      <w:r>
        <w:rPr>
          <w:w w:val="105"/>
        </w:rPr>
        <w:t>承</w:t>
      </w:r>
      <w:r>
        <w:rPr>
          <w:w w:val="105"/>
        </w:rPr>
        <w:tab/>
      </w:r>
      <w:r>
        <w:rPr>
          <w:w w:val="105"/>
        </w:rPr>
        <w:t>包</w:t>
      </w:r>
    </w:p>
    <w:p>
      <w:pPr>
        <w:pStyle w:val="6"/>
        <w:spacing w:before="10"/>
        <w:ind w:left="0" w:firstLine="0"/>
        <w:jc w:val="left"/>
        <w:rPr>
          <w:sz w:val="16"/>
        </w:rPr>
      </w:pPr>
    </w:p>
    <w:p>
      <w:pPr>
        <w:pStyle w:val="6"/>
        <w:spacing w:line="295" w:lineRule="auto"/>
        <w:ind w:right="39"/>
        <w:rPr>
          <w:rFonts w:hint="eastAsia" w:ascii="MS UI Gothic" w:eastAsia="MS UI Gothic"/>
        </w:rPr>
      </w:pPr>
      <w:r>
        <w:rPr>
          <w:w w:val="105"/>
        </w:rPr>
        <w:t>第二十六条 承包建筑工程的单位应</w:t>
      </w:r>
      <w:r>
        <w:t>当持有依法取得的资质证书</w:t>
      </w:r>
      <w:r>
        <w:rPr>
          <w:rFonts w:hint="eastAsia" w:ascii="MS UI Gothic" w:eastAsia="MS UI Gothic"/>
          <w:w w:val="80"/>
        </w:rPr>
        <w:t xml:space="preserve">ꎬ </w:t>
      </w:r>
      <w:r>
        <w:t>并在其资质</w:t>
      </w:r>
      <w:r>
        <w:rPr>
          <w:w w:val="105"/>
        </w:rPr>
        <w:t>等级许可的业务范围内承揽工程</w:t>
      </w:r>
      <w:r>
        <w:rPr>
          <w:rFonts w:hint="eastAsia" w:ascii="MS UI Gothic" w:eastAsia="MS UI Gothic"/>
          <w:w w:val="80"/>
        </w:rPr>
        <w:t>ꎮ</w:t>
      </w:r>
    </w:p>
    <w:p>
      <w:pPr>
        <w:pStyle w:val="6"/>
        <w:spacing w:line="295" w:lineRule="auto"/>
        <w:ind w:right="39"/>
      </w:pPr>
      <w:r>
        <w:t>禁止建筑施工企业超越本企业资质等级许可的业务范围或者以任何形式用其他建筑施工企业的名义承揽工程</w:t>
      </w:r>
      <w:r>
        <w:rPr>
          <w:rFonts w:hint="eastAsia" w:ascii="MS UI Gothic" w:eastAsia="MS UI Gothic"/>
          <w:w w:val="80"/>
        </w:rPr>
        <w:t xml:space="preserve">ꎮ </w:t>
      </w:r>
      <w:r>
        <w:t>禁止建筑</w:t>
      </w:r>
    </w:p>
    <w:p>
      <w:pPr>
        <w:pStyle w:val="6"/>
        <w:spacing w:before="123" w:line="295" w:lineRule="auto"/>
        <w:ind w:right="442" w:firstLine="0"/>
        <w:rPr>
          <w:rFonts w:hint="eastAsia" w:ascii="MS UI Gothic" w:eastAsia="MS UI Gothic"/>
        </w:rPr>
      </w:pPr>
      <w:r>
        <w:br w:type="column"/>
      </w:r>
      <w:r>
        <w:t>施工企业以任何形式允许其他单位或者个人使用本企业的资质证书</w:t>
      </w:r>
      <w:r>
        <w:rPr>
          <w:rFonts w:hint="eastAsia" w:ascii="MS UI Gothic" w:eastAsia="MS UI Gothic"/>
          <w:w w:val="80"/>
        </w:rPr>
        <w:t xml:space="preserve">、 </w:t>
      </w:r>
      <w:r>
        <w:t>营业执照</w:t>
      </w:r>
      <w:r>
        <w:rPr>
          <w:rFonts w:hint="eastAsia" w:ascii="MS UI Gothic" w:eastAsia="MS UI Gothic"/>
          <w:w w:val="80"/>
        </w:rPr>
        <w:t xml:space="preserve">ꎬ </w:t>
      </w:r>
      <w:r>
        <w:t>以本企业的名义承揽工程</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第二十七条 大型建筑工程或者结构</w:t>
      </w:r>
      <w:r>
        <w:rPr>
          <w:spacing w:val="3"/>
        </w:rPr>
        <w:t>复杂的建筑工程</w:t>
      </w:r>
      <w:r>
        <w:rPr>
          <w:rFonts w:hint="eastAsia" w:ascii="MS UI Gothic" w:eastAsia="MS UI Gothic"/>
          <w:spacing w:val="20"/>
          <w:w w:val="80"/>
        </w:rPr>
        <w:t xml:space="preserve">ꎬ </w:t>
      </w:r>
      <w:r>
        <w:rPr>
          <w:spacing w:val="2"/>
        </w:rPr>
        <w:t>可以由两个以上的承包</w:t>
      </w:r>
      <w:r>
        <w:rPr>
          <w:spacing w:val="3"/>
        </w:rPr>
        <w:t>单位联合共同承包</w:t>
      </w:r>
      <w:r>
        <w:rPr>
          <w:rFonts w:hint="eastAsia" w:ascii="MS UI Gothic" w:eastAsia="MS UI Gothic"/>
          <w:spacing w:val="20"/>
          <w:w w:val="80"/>
        </w:rPr>
        <w:t xml:space="preserve">ꎮ </w:t>
      </w:r>
      <w:r>
        <w:rPr>
          <w:spacing w:val="2"/>
        </w:rPr>
        <w:t>共同承包的各方对承</w:t>
      </w:r>
      <w:r>
        <w:rPr>
          <w:spacing w:val="3"/>
          <w:w w:val="105"/>
        </w:rPr>
        <w:t>包合同的履行承担连带责任</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两个以上不同资质等级的单位实行联</w:t>
      </w:r>
      <w:r>
        <w:rPr>
          <w:spacing w:val="3"/>
        </w:rPr>
        <w:t>合共同承包的</w:t>
      </w:r>
      <w:r>
        <w:rPr>
          <w:rFonts w:hint="eastAsia" w:ascii="MS UI Gothic" w:eastAsia="MS UI Gothic"/>
          <w:spacing w:val="20"/>
          <w:w w:val="80"/>
        </w:rPr>
        <w:t xml:space="preserve">ꎬ </w:t>
      </w:r>
      <w:r>
        <w:rPr>
          <w:spacing w:val="2"/>
        </w:rPr>
        <w:t>应当按照资质等级低的单</w:t>
      </w:r>
      <w:r>
        <w:rPr>
          <w:spacing w:val="3"/>
          <w:w w:val="105"/>
        </w:rPr>
        <w:t>位的业务许可范围承揽工程</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第二十八条 禁止承包单位将其承包</w:t>
      </w:r>
      <w:r>
        <w:t>的全部建筑工程转包给他人</w:t>
      </w:r>
      <w:r>
        <w:rPr>
          <w:rFonts w:hint="eastAsia" w:ascii="MS UI Gothic" w:eastAsia="MS UI Gothic"/>
          <w:w w:val="80"/>
        </w:rPr>
        <w:t xml:space="preserve">ꎬ </w:t>
      </w:r>
      <w:r>
        <w:t>禁止承包单位将其承包的全部建筑工程肢解以后以分</w:t>
      </w:r>
      <w:r>
        <w:rPr>
          <w:w w:val="105"/>
        </w:rPr>
        <w:t>包的名义分别转包给他人</w:t>
      </w:r>
      <w:r>
        <w:rPr>
          <w:rFonts w:hint="eastAsia" w:ascii="MS UI Gothic" w:eastAsia="MS UI Gothic"/>
          <w:w w:val="80"/>
        </w:rPr>
        <w:t>ꎮ</w:t>
      </w:r>
    </w:p>
    <w:p>
      <w:pPr>
        <w:pStyle w:val="6"/>
        <w:spacing w:line="295" w:lineRule="auto"/>
        <w:ind w:right="442"/>
        <w:rPr>
          <w:rFonts w:hint="eastAsia" w:ascii="MS UI Gothic" w:eastAsia="MS UI Gothic"/>
        </w:rPr>
      </w:pPr>
      <w:r>
        <w:t>第二十九条 建筑工程总承包单位可以将承包工程中的部分工程发包给具有相应资质条件的分包单位</w:t>
      </w:r>
      <w:r>
        <w:rPr>
          <w:rFonts w:hint="eastAsia" w:ascii="MS UI Gothic" w:eastAsia="MS UI Gothic"/>
          <w:w w:val="80"/>
        </w:rPr>
        <w:t xml:space="preserve">ꎻ </w:t>
      </w:r>
      <w:r>
        <w:t>但是</w:t>
      </w:r>
      <w:r>
        <w:rPr>
          <w:rFonts w:hint="eastAsia" w:ascii="MS UI Gothic" w:eastAsia="MS UI Gothic"/>
          <w:w w:val="80"/>
        </w:rPr>
        <w:t xml:space="preserve">ꎬ </w:t>
      </w:r>
      <w:r>
        <w:t>除总承包合同中约定的分包外</w:t>
      </w:r>
      <w:r>
        <w:rPr>
          <w:rFonts w:hint="eastAsia" w:ascii="MS UI Gothic" w:eastAsia="MS UI Gothic"/>
          <w:w w:val="80"/>
        </w:rPr>
        <w:t xml:space="preserve">ꎬ </w:t>
      </w:r>
      <w:r>
        <w:t>必须经建设单位认可</w:t>
      </w:r>
      <w:r>
        <w:rPr>
          <w:rFonts w:hint="eastAsia" w:ascii="MS UI Gothic" w:eastAsia="MS UI Gothic"/>
          <w:w w:val="80"/>
        </w:rPr>
        <w:t xml:space="preserve">ꎮ </w:t>
      </w:r>
      <w:r>
        <w:t>施工总承包的</w:t>
      </w:r>
      <w:r>
        <w:rPr>
          <w:rFonts w:hint="eastAsia" w:ascii="MS UI Gothic" w:eastAsia="MS UI Gothic"/>
          <w:w w:val="80"/>
        </w:rPr>
        <w:t xml:space="preserve">ꎬ </w:t>
      </w:r>
      <w:r>
        <w:t>建筑工程主体结构的施工必须由总承包单位自行完成</w:t>
      </w:r>
      <w:r>
        <w:rPr>
          <w:rFonts w:hint="eastAsia" w:ascii="MS UI Gothic" w:eastAsia="MS UI Gothic"/>
          <w:w w:val="80"/>
        </w:rPr>
        <w:t>ꎮ</w:t>
      </w:r>
    </w:p>
    <w:p>
      <w:pPr>
        <w:pStyle w:val="6"/>
        <w:spacing w:line="295" w:lineRule="auto"/>
        <w:ind w:right="442"/>
        <w:rPr>
          <w:rFonts w:hint="eastAsia" w:ascii="MS UI Gothic" w:eastAsia="MS UI Gothic"/>
        </w:rPr>
      </w:pPr>
      <w:r>
        <w:t>建筑工程总承包单位按照总承包合同的约定对建设单位负责</w:t>
      </w:r>
      <w:r>
        <w:rPr>
          <w:rFonts w:hint="eastAsia" w:ascii="MS UI Gothic" w:eastAsia="MS UI Gothic"/>
          <w:w w:val="80"/>
        </w:rPr>
        <w:t xml:space="preserve">ꎻ </w:t>
      </w:r>
      <w:r>
        <w:t>分包单位按照分包合同的约定对总承包单位负责</w:t>
      </w:r>
      <w:r>
        <w:rPr>
          <w:rFonts w:hint="eastAsia" w:ascii="MS UI Gothic" w:eastAsia="MS UI Gothic"/>
          <w:w w:val="80"/>
        </w:rPr>
        <w:t xml:space="preserve">ꎮ </w:t>
      </w:r>
      <w:r>
        <w:t>总承包单位和分包单位就分包工程对建设单位承</w:t>
      </w:r>
      <w:r>
        <w:rPr>
          <w:w w:val="105"/>
        </w:rPr>
        <w:t>担连带责任</w:t>
      </w:r>
      <w:r>
        <w:rPr>
          <w:rFonts w:hint="eastAsia" w:ascii="MS UI Gothic" w:eastAsia="MS UI Gothic"/>
          <w:w w:val="80"/>
        </w:rPr>
        <w:t>ꎮ</w:t>
      </w:r>
    </w:p>
    <w:p>
      <w:pPr>
        <w:pStyle w:val="6"/>
        <w:spacing w:line="295" w:lineRule="auto"/>
        <w:ind w:right="442"/>
        <w:rPr>
          <w:rFonts w:hint="eastAsia" w:ascii="MS UI Gothic" w:eastAsia="MS UI Gothic"/>
        </w:rPr>
      </w:pPr>
      <w:r>
        <w:t>禁止总承包单位将工程分包给不具备相应资质条件的单位</w:t>
      </w:r>
      <w:r>
        <w:rPr>
          <w:rFonts w:hint="eastAsia" w:ascii="MS UI Gothic" w:eastAsia="MS UI Gothic"/>
          <w:w w:val="80"/>
        </w:rPr>
        <w:t xml:space="preserve">ꎮ </w:t>
      </w:r>
      <w:r>
        <w:t>禁止分包单位将其</w:t>
      </w:r>
      <w:r>
        <w:rPr>
          <w:w w:val="105"/>
        </w:rPr>
        <w:t>承包的工程再分包</w:t>
      </w:r>
      <w:r>
        <w:rPr>
          <w:rFonts w:hint="eastAsia" w:ascii="MS UI Gothic" w:eastAsia="MS UI Gothic"/>
          <w:w w:val="80"/>
        </w:rPr>
        <w:t>ꎮ</w:t>
      </w:r>
    </w:p>
    <w:p>
      <w:pPr>
        <w:pStyle w:val="6"/>
        <w:tabs>
          <w:tab w:val="left" w:pos="1801"/>
        </w:tabs>
        <w:spacing w:before="135"/>
        <w:ind w:left="963" w:firstLine="0"/>
        <w:jc w:val="left"/>
      </w:pPr>
      <w:r>
        <w:rPr>
          <w:spacing w:val="3"/>
          <w:w w:val="105"/>
        </w:rPr>
        <w:t>第四</w:t>
      </w:r>
      <w:r>
        <w:rPr>
          <w:w w:val="105"/>
        </w:rPr>
        <w:t>章</w:t>
      </w:r>
      <w:r>
        <w:rPr>
          <w:w w:val="105"/>
        </w:rPr>
        <w:tab/>
      </w:r>
      <w:r>
        <w:rPr>
          <w:spacing w:val="3"/>
          <w:w w:val="105"/>
        </w:rPr>
        <w:t>建筑工程监</w:t>
      </w:r>
      <w:r>
        <w:rPr>
          <w:w w:val="105"/>
        </w:rPr>
        <w:t>理</w:t>
      </w:r>
    </w:p>
    <w:p>
      <w:pPr>
        <w:pStyle w:val="6"/>
        <w:tabs>
          <w:tab w:val="left" w:pos="1644"/>
        </w:tabs>
        <w:spacing w:before="215" w:line="295" w:lineRule="auto"/>
        <w:ind w:right="442"/>
        <w:jc w:val="left"/>
        <w:rPr>
          <w:rFonts w:hint="eastAsia" w:ascii="MS UI Gothic" w:eastAsia="MS UI Gothic"/>
        </w:rPr>
      </w:pPr>
      <w:r>
        <w:rPr>
          <w:spacing w:val="3"/>
        </w:rPr>
        <w:t>第三</w:t>
      </w:r>
      <w:r>
        <w:rPr>
          <w:spacing w:val="15"/>
        </w:rPr>
        <w:t>十</w:t>
      </w:r>
      <w:r>
        <w:t>条</w:t>
      </w:r>
      <w:r>
        <w:tab/>
      </w:r>
      <w:r>
        <w:rPr>
          <w:spacing w:val="21"/>
        </w:rPr>
        <w:t>国家推行建筑工程监</w:t>
      </w:r>
      <w:r>
        <w:rPr>
          <w:spacing w:val="-14"/>
        </w:rPr>
        <w:t>理</w:t>
      </w:r>
      <w:r>
        <w:rPr>
          <w:spacing w:val="3"/>
        </w:rPr>
        <w:t>制度</w:t>
      </w:r>
      <w:r>
        <w:rPr>
          <w:rFonts w:hint="eastAsia" w:ascii="MS UI Gothic" w:eastAsia="MS UI Gothic"/>
          <w:w w:val="80"/>
        </w:rPr>
        <w:t>ꎮ</w:t>
      </w:r>
    </w:p>
    <w:p>
      <w:pPr>
        <w:pStyle w:val="6"/>
        <w:spacing w:line="295" w:lineRule="auto"/>
        <w:ind w:right="442"/>
        <w:jc w:val="left"/>
        <w:rPr>
          <w:rFonts w:hint="eastAsia" w:ascii="MS UI Gothic" w:eastAsia="MS UI Gothic"/>
        </w:rPr>
      </w:pPr>
      <w:r>
        <w:t>国务院可以规定实行强制监理的建筑</w:t>
      </w:r>
      <w:r>
        <w:rPr>
          <w:w w:val="105"/>
        </w:rPr>
        <w:t>工程的范围</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第三十一条 实行监理的建筑工程</w:t>
      </w:r>
      <w:r>
        <w:rPr>
          <w:rFonts w:hint="eastAsia" w:ascii="MS UI Gothic" w:eastAsia="MS UI Gothic"/>
          <w:w w:val="80"/>
        </w:rPr>
        <w:t>ꎬ</w:t>
      </w:r>
      <w:r>
        <w:t>由建设单位委托具有相应资质条件的工程监理单位监理</w:t>
      </w:r>
      <w:r>
        <w:rPr>
          <w:rFonts w:hint="eastAsia" w:ascii="MS UI Gothic" w:eastAsia="MS UI Gothic"/>
          <w:w w:val="80"/>
        </w:rPr>
        <w:t xml:space="preserve">ꎮ </w:t>
      </w:r>
      <w:r>
        <w:t>建设单位与其委托的工程</w:t>
      </w:r>
      <w:r>
        <w:rPr>
          <w:w w:val="105"/>
        </w:rPr>
        <w:t>监理单位应当订立书面委托监理合同</w:t>
      </w:r>
      <w:r>
        <w:rPr>
          <w:rFonts w:hint="eastAsia" w:ascii="MS UI Gothic" w:eastAsia="MS UI Gothic"/>
          <w:w w:val="80"/>
        </w:rPr>
        <w:t>ꎮ</w:t>
      </w:r>
    </w:p>
    <w:p>
      <w:pPr>
        <w:pStyle w:val="6"/>
        <w:tabs>
          <w:tab w:val="left" w:pos="1801"/>
        </w:tabs>
        <w:spacing w:line="253" w:lineRule="exact"/>
        <w:ind w:left="543" w:firstLine="0"/>
        <w:jc w:val="left"/>
      </w:pPr>
      <w:r>
        <w:rPr>
          <w:spacing w:val="3"/>
          <w:w w:val="105"/>
        </w:rPr>
        <w:t>第三十二</w:t>
      </w:r>
      <w:r>
        <w:rPr>
          <w:w w:val="105"/>
        </w:rPr>
        <w:t>条</w:t>
      </w:r>
      <w:r>
        <w:rPr>
          <w:w w:val="105"/>
        </w:rPr>
        <w:tab/>
      </w:r>
      <w:r>
        <w:rPr>
          <w:spacing w:val="3"/>
          <w:w w:val="105"/>
        </w:rPr>
        <w:t>建筑工程监理应当依</w:t>
      </w:r>
      <w:r>
        <w:rPr>
          <w:w w:val="105"/>
        </w:rPr>
        <w:t>照</w:t>
      </w:r>
    </w:p>
    <w:p>
      <w:pPr>
        <w:spacing w:after="0" w:line="253"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４２７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79" o:spid="_x0000_s2279" o:spt="203" style="height:2.15pt;width:398.25pt;" coordsize="7965,43">
            <o:lock v:ext="edit"/>
            <v:line id="_x0000_s2280" o:spid="_x0000_s2280" o:spt="20" style="position:absolute;left:0;top:39;height:0;width:7965;" stroked="t" coordsize="21600,21600">
              <v:path arrowok="t"/>
              <v:fill focussize="0,0"/>
              <v:stroke weight="0.388031496062992pt" color="#231F20"/>
              <v:imagedata o:title=""/>
              <o:lock v:ext="edit"/>
            </v:line>
            <v:line id="_x0000_s2281" o:spid="_x0000_s228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法律</w:t>
      </w:r>
      <w:r>
        <w:rPr>
          <w:rFonts w:hint="eastAsia" w:ascii="MS UI Gothic" w:eastAsia="MS UI Gothic"/>
          <w:w w:val="80"/>
        </w:rPr>
        <w:t xml:space="preserve">、 </w:t>
      </w:r>
      <w:r>
        <w:t>行政法规及有关的技术标准</w:t>
      </w:r>
      <w:r>
        <w:rPr>
          <w:rFonts w:hint="eastAsia" w:ascii="MS UI Gothic" w:eastAsia="MS UI Gothic"/>
          <w:w w:val="80"/>
        </w:rPr>
        <w:t xml:space="preserve">、 </w:t>
      </w:r>
      <w:r>
        <w:t>设计文件和建筑工程承包合同</w:t>
      </w:r>
      <w:r>
        <w:rPr>
          <w:rFonts w:hint="eastAsia" w:ascii="MS UI Gothic" w:eastAsia="MS UI Gothic"/>
          <w:w w:val="80"/>
        </w:rPr>
        <w:t xml:space="preserve">ꎬ </w:t>
      </w:r>
      <w:r>
        <w:t>对承包单位在施工质量</w:t>
      </w:r>
      <w:r>
        <w:rPr>
          <w:rFonts w:hint="eastAsia" w:ascii="MS UI Gothic" w:eastAsia="MS UI Gothic"/>
          <w:w w:val="80"/>
        </w:rPr>
        <w:t xml:space="preserve">、 </w:t>
      </w:r>
      <w:r>
        <w:t>建设工期和建设资金使用等方面</w:t>
      </w:r>
      <w:r>
        <w:rPr>
          <w:rFonts w:hint="eastAsia" w:ascii="MS UI Gothic" w:eastAsia="MS UI Gothic"/>
          <w:w w:val="80"/>
        </w:rPr>
        <w:t xml:space="preserve">ꎬ </w:t>
      </w:r>
      <w:r>
        <w:t>代表建设单位实施监督</w:t>
      </w:r>
      <w:r>
        <w:rPr>
          <w:rFonts w:hint="eastAsia" w:ascii="MS UI Gothic" w:eastAsia="MS UI Gothic"/>
          <w:w w:val="80"/>
        </w:rPr>
        <w:t>ꎮ</w:t>
      </w:r>
    </w:p>
    <w:p>
      <w:pPr>
        <w:pStyle w:val="6"/>
        <w:spacing w:line="295" w:lineRule="auto"/>
        <w:ind w:left="440" w:right="1"/>
        <w:rPr>
          <w:rFonts w:hint="eastAsia" w:ascii="MS UI Gothic" w:eastAsia="MS UI Gothic"/>
        </w:rPr>
      </w:pPr>
      <w:r>
        <w:t>工程监理人员认为工程施工不符合工程设计要求</w:t>
      </w:r>
      <w:r>
        <w:rPr>
          <w:rFonts w:hint="eastAsia" w:ascii="MS UI Gothic" w:eastAsia="MS UI Gothic"/>
          <w:w w:val="80"/>
        </w:rPr>
        <w:t xml:space="preserve">、 </w:t>
      </w:r>
      <w:r>
        <w:t>施工技术标准和合同约定的</w:t>
      </w:r>
      <w:r>
        <w:rPr>
          <w:rFonts w:hint="eastAsia" w:ascii="MS UI Gothic" w:eastAsia="MS UI Gothic"/>
          <w:w w:val="80"/>
        </w:rPr>
        <w:t xml:space="preserve">ꎬ </w:t>
      </w:r>
      <w:r>
        <w:t>有权要求建筑施工企业改正</w:t>
      </w:r>
      <w:r>
        <w:rPr>
          <w:rFonts w:hint="eastAsia" w:ascii="MS UI Gothic" w:eastAsia="MS UI Gothic"/>
          <w:w w:val="80"/>
        </w:rPr>
        <w:t>ꎮ</w:t>
      </w:r>
    </w:p>
    <w:p>
      <w:pPr>
        <w:pStyle w:val="6"/>
        <w:spacing w:line="295" w:lineRule="auto"/>
        <w:ind w:left="440" w:right="1"/>
        <w:rPr>
          <w:rFonts w:hint="eastAsia" w:ascii="MS UI Gothic" w:eastAsia="MS UI Gothic"/>
        </w:rPr>
      </w:pPr>
      <w:r>
        <w:t>工程监理人员发现工程设计不符合建筑工程质量标准或者合同约定的质量要求的</w:t>
      </w:r>
      <w:r>
        <w:rPr>
          <w:rFonts w:hint="eastAsia" w:ascii="MS UI Gothic" w:eastAsia="MS UI Gothic"/>
          <w:w w:val="80"/>
        </w:rPr>
        <w:t xml:space="preserve">ꎬ </w:t>
      </w:r>
      <w:r>
        <w:t>应当报告建设单位要求设计单位</w:t>
      </w:r>
      <w:r>
        <w:rPr>
          <w:w w:val="105"/>
        </w:rPr>
        <w:t>改正</w:t>
      </w:r>
      <w:r>
        <w:rPr>
          <w:rFonts w:hint="eastAsia" w:ascii="MS UI Gothic" w:eastAsia="MS UI Gothic"/>
          <w:w w:val="80"/>
        </w:rPr>
        <w:t>ꎮ</w:t>
      </w:r>
    </w:p>
    <w:p>
      <w:pPr>
        <w:pStyle w:val="6"/>
        <w:spacing w:line="295" w:lineRule="auto"/>
        <w:ind w:left="440"/>
        <w:rPr>
          <w:rFonts w:hint="eastAsia" w:ascii="MS UI Gothic" w:eastAsia="MS UI Gothic"/>
        </w:rPr>
      </w:pPr>
      <w:r>
        <w:t>第三十三条 实施建筑工程监理前</w:t>
      </w:r>
      <w:r>
        <w:rPr>
          <w:rFonts w:hint="eastAsia" w:ascii="MS UI Gothic" w:eastAsia="MS UI Gothic"/>
          <w:w w:val="80"/>
        </w:rPr>
        <w:t>ꎬ</w:t>
      </w:r>
      <w:r>
        <w:t>建设单位应当将委托的工程监理单位</w:t>
      </w:r>
      <w:r>
        <w:rPr>
          <w:rFonts w:hint="eastAsia" w:ascii="MS UI Gothic" w:eastAsia="MS UI Gothic"/>
          <w:w w:val="80"/>
        </w:rPr>
        <w:t xml:space="preserve">、 </w:t>
      </w:r>
      <w:r>
        <w:t>监理的内容及监理权限</w:t>
      </w:r>
      <w:r>
        <w:rPr>
          <w:rFonts w:hint="eastAsia" w:ascii="MS UI Gothic" w:eastAsia="MS UI Gothic"/>
          <w:w w:val="80"/>
        </w:rPr>
        <w:t xml:space="preserve">ꎬ </w:t>
      </w:r>
      <w:r>
        <w:t>书面通知被监理的建筑施工企业</w:t>
      </w:r>
      <w:r>
        <w:rPr>
          <w:rFonts w:hint="eastAsia" w:ascii="MS UI Gothic" w:eastAsia="MS UI Gothic"/>
          <w:w w:val="80"/>
        </w:rPr>
        <w:t>ꎮ</w:t>
      </w:r>
    </w:p>
    <w:p>
      <w:pPr>
        <w:pStyle w:val="6"/>
        <w:spacing w:line="295" w:lineRule="auto"/>
        <w:ind w:left="440" w:right="1"/>
        <w:rPr>
          <w:rFonts w:hint="eastAsia" w:ascii="MS UI Gothic" w:eastAsia="MS UI Gothic"/>
        </w:rPr>
      </w:pPr>
      <w:r>
        <w:t>第三十四条 工程监理单位应当在其资质等级许可的监理范围内</w:t>
      </w:r>
      <w:r>
        <w:rPr>
          <w:rFonts w:hint="eastAsia" w:ascii="MS UI Gothic" w:eastAsia="MS UI Gothic"/>
          <w:w w:val="80"/>
        </w:rPr>
        <w:t xml:space="preserve">ꎬ </w:t>
      </w:r>
      <w:r>
        <w:t>承担工程监理业务</w:t>
      </w:r>
      <w:r>
        <w:rPr>
          <w:rFonts w:hint="eastAsia" w:ascii="MS UI Gothic" w:eastAsia="MS UI Gothic"/>
          <w:w w:val="80"/>
        </w:rPr>
        <w:t>ꎮ</w:t>
      </w:r>
    </w:p>
    <w:p>
      <w:pPr>
        <w:pStyle w:val="6"/>
        <w:spacing w:line="295" w:lineRule="auto"/>
        <w:ind w:left="440" w:right="1"/>
        <w:rPr>
          <w:rFonts w:hint="eastAsia" w:ascii="MS UI Gothic" w:eastAsia="MS UI Gothic"/>
        </w:rPr>
      </w:pPr>
      <w:r>
        <w:t>工程监理单位应当根据建设单位的委托</w:t>
      </w:r>
      <w:r>
        <w:rPr>
          <w:rFonts w:hint="eastAsia" w:ascii="MS UI Gothic" w:eastAsia="MS UI Gothic"/>
          <w:w w:val="80"/>
        </w:rPr>
        <w:t xml:space="preserve">ꎬ </w:t>
      </w:r>
      <w:r>
        <w:t>客观</w:t>
      </w:r>
      <w:r>
        <w:rPr>
          <w:rFonts w:hint="eastAsia" w:ascii="MS UI Gothic" w:eastAsia="MS UI Gothic"/>
          <w:w w:val="80"/>
        </w:rPr>
        <w:t xml:space="preserve">、 </w:t>
      </w:r>
      <w:r>
        <w:t>公正地执行监理任务</w:t>
      </w:r>
      <w:r>
        <w:rPr>
          <w:rFonts w:hint="eastAsia" w:ascii="MS UI Gothic" w:eastAsia="MS UI Gothic"/>
          <w:w w:val="80"/>
        </w:rPr>
        <w:t>ꎮ</w:t>
      </w:r>
    </w:p>
    <w:p>
      <w:pPr>
        <w:pStyle w:val="6"/>
        <w:spacing w:line="295" w:lineRule="auto"/>
        <w:ind w:left="440" w:right="1"/>
        <w:rPr>
          <w:rFonts w:hint="eastAsia" w:ascii="MS UI Gothic" w:eastAsia="MS UI Gothic"/>
        </w:rPr>
      </w:pPr>
      <w:r>
        <w:t>工程监理单位与被监理工程的承包单</w:t>
      </w:r>
      <w:r>
        <w:rPr>
          <w:w w:val="105"/>
        </w:rPr>
        <w:t>位以及建筑材料</w:t>
      </w:r>
      <w:r>
        <w:rPr>
          <w:rFonts w:hint="eastAsia" w:ascii="MS UI Gothic" w:eastAsia="MS UI Gothic"/>
          <w:w w:val="80"/>
        </w:rPr>
        <w:t xml:space="preserve">、 </w:t>
      </w:r>
      <w:r>
        <w:rPr>
          <w:w w:val="105"/>
        </w:rPr>
        <w:t>建筑构配件和设备供应</w:t>
      </w:r>
      <w:r>
        <w:t>单位不得有隶属关系或者其他利害关系</w:t>
      </w:r>
      <w:r>
        <w:rPr>
          <w:rFonts w:hint="eastAsia" w:ascii="MS UI Gothic" w:eastAsia="MS UI Gothic"/>
          <w:w w:val="80"/>
        </w:rPr>
        <w:t>ꎮ</w:t>
      </w:r>
    </w:p>
    <w:p>
      <w:pPr>
        <w:pStyle w:val="6"/>
        <w:spacing w:line="295" w:lineRule="auto"/>
        <w:ind w:left="440" w:right="1"/>
        <w:rPr>
          <w:rFonts w:hint="eastAsia" w:ascii="MS UI Gothic" w:eastAsia="MS UI Gothic"/>
        </w:rPr>
      </w:pPr>
      <w:r>
        <w:t>工程监理单位不得转让工程监理业务</w:t>
      </w:r>
      <w:r>
        <w:rPr>
          <w:rFonts w:hint="eastAsia" w:ascii="MS UI Gothic" w:eastAsia="MS UI Gothic"/>
          <w:w w:val="80"/>
        </w:rPr>
        <w:t>ꎮ</w:t>
      </w:r>
    </w:p>
    <w:p>
      <w:pPr>
        <w:pStyle w:val="6"/>
        <w:spacing w:line="295" w:lineRule="auto"/>
        <w:ind w:left="440" w:right="1"/>
        <w:rPr>
          <w:rFonts w:hint="eastAsia" w:ascii="MS UI Gothic" w:eastAsia="MS UI Gothic"/>
        </w:rPr>
      </w:pPr>
      <w:r>
        <w:t>第三十五条 工程监理单位不按照委托监理合同的约定履行监理义务</w:t>
      </w:r>
      <w:r>
        <w:rPr>
          <w:rFonts w:hint="eastAsia" w:ascii="MS UI Gothic" w:eastAsia="MS UI Gothic"/>
          <w:w w:val="80"/>
        </w:rPr>
        <w:t xml:space="preserve">ꎬ </w:t>
      </w:r>
      <w:r>
        <w:t>对应当监督检查的项目不检查或者不按照规定检查</w:t>
      </w:r>
      <w:r>
        <w:rPr>
          <w:rFonts w:hint="eastAsia" w:ascii="MS UI Gothic" w:eastAsia="MS UI Gothic"/>
          <w:w w:val="80"/>
        </w:rPr>
        <w:t xml:space="preserve">ꎬ </w:t>
      </w:r>
      <w:r>
        <w:t>给建设单位造成损失的</w:t>
      </w:r>
      <w:r>
        <w:rPr>
          <w:rFonts w:hint="eastAsia" w:ascii="MS UI Gothic" w:eastAsia="MS UI Gothic"/>
          <w:w w:val="80"/>
        </w:rPr>
        <w:t xml:space="preserve">ꎬ </w:t>
      </w:r>
      <w:r>
        <w:t>应当承担相应的赔偿责任</w:t>
      </w:r>
      <w:r>
        <w:rPr>
          <w:rFonts w:hint="eastAsia" w:ascii="MS UI Gothic" w:eastAsia="MS UI Gothic"/>
          <w:w w:val="80"/>
        </w:rPr>
        <w:t>ꎮ</w:t>
      </w:r>
    </w:p>
    <w:p>
      <w:pPr>
        <w:pStyle w:val="6"/>
        <w:spacing w:line="295" w:lineRule="auto"/>
        <w:ind w:left="440" w:right="1"/>
        <w:rPr>
          <w:rFonts w:hint="eastAsia" w:ascii="MS UI Gothic" w:eastAsia="MS UI Gothic"/>
        </w:rPr>
      </w:pPr>
      <w:r>
        <w:t>工程监理单位与承包单位串通</w:t>
      </w:r>
      <w:r>
        <w:rPr>
          <w:rFonts w:hint="eastAsia" w:ascii="MS UI Gothic" w:eastAsia="MS UI Gothic"/>
          <w:w w:val="80"/>
        </w:rPr>
        <w:t xml:space="preserve">ꎬ </w:t>
      </w:r>
      <w:r>
        <w:t>为承包单位谋取非法利益</w:t>
      </w:r>
      <w:r>
        <w:rPr>
          <w:rFonts w:hint="eastAsia" w:ascii="MS UI Gothic" w:eastAsia="MS UI Gothic"/>
          <w:w w:val="80"/>
        </w:rPr>
        <w:t xml:space="preserve">ꎬ </w:t>
      </w:r>
      <w:r>
        <w:t>给建设单位造成损失的</w:t>
      </w:r>
      <w:r>
        <w:rPr>
          <w:rFonts w:hint="eastAsia" w:ascii="MS UI Gothic" w:eastAsia="MS UI Gothic"/>
          <w:w w:val="80"/>
        </w:rPr>
        <w:t xml:space="preserve">ꎬ </w:t>
      </w:r>
      <w:r>
        <w:t>应当与承包单位承担连带赔偿责任</w:t>
      </w:r>
      <w:r>
        <w:rPr>
          <w:rFonts w:hint="eastAsia" w:ascii="MS UI Gothic" w:eastAsia="MS UI Gothic"/>
          <w:w w:val="80"/>
        </w:rPr>
        <w:t>ꎮ</w:t>
      </w:r>
    </w:p>
    <w:p>
      <w:pPr>
        <w:pStyle w:val="6"/>
        <w:tabs>
          <w:tab w:val="left" w:pos="1908"/>
        </w:tabs>
        <w:spacing w:before="130"/>
        <w:ind w:left="1069" w:firstLine="0"/>
        <w:jc w:val="left"/>
      </w:pPr>
      <w:r>
        <w:rPr>
          <w:spacing w:val="3"/>
          <w:w w:val="105"/>
        </w:rPr>
        <w:t>第五</w:t>
      </w:r>
      <w:r>
        <w:rPr>
          <w:w w:val="105"/>
        </w:rPr>
        <w:t>章</w:t>
      </w:r>
      <w:r>
        <w:rPr>
          <w:w w:val="105"/>
        </w:rPr>
        <w:tab/>
      </w:r>
      <w:r>
        <w:rPr>
          <w:spacing w:val="3"/>
          <w:w w:val="105"/>
        </w:rPr>
        <w:t>建筑安全生产管</w:t>
      </w:r>
      <w:r>
        <w:rPr>
          <w:w w:val="105"/>
        </w:rPr>
        <w:t>理</w:t>
      </w:r>
    </w:p>
    <w:p>
      <w:pPr>
        <w:pStyle w:val="6"/>
        <w:spacing w:before="216" w:line="295" w:lineRule="auto"/>
        <w:ind w:left="440" w:right="1"/>
      </w:pPr>
      <w:r>
        <w:rPr>
          <w:w w:val="105"/>
        </w:rPr>
        <w:t>第三十六条 建筑工程安全生产管理必须坚持安全第一</w:t>
      </w:r>
      <w:r>
        <w:rPr>
          <w:rFonts w:hint="eastAsia" w:ascii="MS UI Gothic" w:eastAsia="MS UI Gothic"/>
          <w:w w:val="80"/>
        </w:rPr>
        <w:t xml:space="preserve">、 </w:t>
      </w:r>
      <w:r>
        <w:rPr>
          <w:w w:val="105"/>
        </w:rPr>
        <w:t>预防为主的方针</w:t>
      </w:r>
      <w:r>
        <w:rPr>
          <w:rFonts w:hint="eastAsia" w:ascii="MS UI Gothic" w:eastAsia="MS UI Gothic"/>
          <w:w w:val="80"/>
        </w:rPr>
        <w:t xml:space="preserve">ꎬ </w:t>
      </w:r>
      <w:r>
        <w:rPr>
          <w:w w:val="105"/>
        </w:rPr>
        <w:t>建</w:t>
      </w:r>
      <w:r>
        <w:t>立健全安全生产的责任制度和群防群治</w:t>
      </w:r>
    </w:p>
    <w:p>
      <w:pPr>
        <w:spacing w:before="124"/>
        <w:ind w:left="381" w:right="0" w:firstLine="0"/>
        <w:jc w:val="left"/>
        <w:rPr>
          <w:rFonts w:hint="eastAsia" w:ascii="MS UI Gothic" w:eastAsia="MS UI Gothic"/>
          <w:sz w:val="20"/>
        </w:rPr>
      </w:pPr>
      <w:r>
        <w:br w:type="column"/>
      </w:r>
      <w:r>
        <w:rPr>
          <w:sz w:val="20"/>
        </w:rPr>
        <w:t>制度</w:t>
      </w:r>
      <w:r>
        <w:rPr>
          <w:rFonts w:hint="eastAsia" w:ascii="MS UI Gothic" w:eastAsia="MS UI Gothic"/>
          <w:w w:val="80"/>
          <w:sz w:val="20"/>
        </w:rPr>
        <w:t>ꎮ</w:t>
      </w:r>
    </w:p>
    <w:p>
      <w:pPr>
        <w:pStyle w:val="6"/>
        <w:spacing w:before="58" w:line="295" w:lineRule="auto"/>
        <w:ind w:left="381" w:right="126"/>
        <w:rPr>
          <w:rFonts w:hint="eastAsia" w:ascii="MS UI Gothic" w:eastAsia="MS UI Gothic"/>
        </w:rPr>
      </w:pPr>
      <w:r>
        <w:rPr>
          <w:spacing w:val="2"/>
          <w:w w:val="105"/>
        </w:rPr>
        <w:t>第三十七条 建筑工程设计应当符合</w:t>
      </w:r>
      <w:r>
        <w:rPr>
          <w:spacing w:val="2"/>
        </w:rPr>
        <w:t>按照国家规定制定的建筑安全规程和技术</w:t>
      </w:r>
      <w:r>
        <w:rPr>
          <w:spacing w:val="3"/>
          <w:w w:val="105"/>
        </w:rPr>
        <w:t>规范</w:t>
      </w:r>
      <w:r>
        <w:rPr>
          <w:rFonts w:hint="eastAsia" w:ascii="MS UI Gothic" w:eastAsia="MS UI Gothic"/>
          <w:spacing w:val="21"/>
          <w:w w:val="80"/>
        </w:rPr>
        <w:t xml:space="preserve">ꎬ </w:t>
      </w:r>
      <w:r>
        <w:rPr>
          <w:spacing w:val="3"/>
          <w:w w:val="105"/>
        </w:rPr>
        <w:t>保证工程的安全性能</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第三十八条 建筑施工企业在编制施</w:t>
      </w:r>
      <w:r>
        <w:rPr>
          <w:spacing w:val="3"/>
        </w:rPr>
        <w:t>工组织设计时</w:t>
      </w:r>
      <w:r>
        <w:rPr>
          <w:rFonts w:hint="eastAsia" w:ascii="MS UI Gothic" w:eastAsia="MS UI Gothic"/>
          <w:spacing w:val="20"/>
          <w:w w:val="80"/>
        </w:rPr>
        <w:t xml:space="preserve">ꎬ </w:t>
      </w:r>
      <w:r>
        <w:rPr>
          <w:spacing w:val="2"/>
        </w:rPr>
        <w:t>应当根据建筑工程的特点</w:t>
      </w:r>
      <w:r>
        <w:rPr>
          <w:spacing w:val="3"/>
        </w:rPr>
        <w:t>制定相应的安全技术措施</w:t>
      </w:r>
      <w:r>
        <w:rPr>
          <w:rFonts w:hint="eastAsia" w:ascii="MS UI Gothic" w:eastAsia="MS UI Gothic"/>
          <w:spacing w:val="20"/>
          <w:w w:val="80"/>
        </w:rPr>
        <w:t xml:space="preserve">ꎻ </w:t>
      </w:r>
      <w:r>
        <w:rPr>
          <w:spacing w:val="2"/>
        </w:rPr>
        <w:t>对专业性较强</w:t>
      </w:r>
      <w:r>
        <w:rPr>
          <w:spacing w:val="3"/>
        </w:rPr>
        <w:t>的工程项目</w:t>
      </w:r>
      <w:r>
        <w:rPr>
          <w:rFonts w:hint="eastAsia" w:ascii="MS UI Gothic" w:eastAsia="MS UI Gothic"/>
          <w:spacing w:val="20"/>
          <w:w w:val="80"/>
        </w:rPr>
        <w:t xml:space="preserve">ꎬ </w:t>
      </w:r>
      <w:r>
        <w:rPr>
          <w:spacing w:val="2"/>
        </w:rPr>
        <w:t>应当编制专项安全施工组织</w:t>
      </w:r>
      <w:r>
        <w:rPr>
          <w:spacing w:val="3"/>
        </w:rPr>
        <w:t>设计</w:t>
      </w:r>
      <w:r>
        <w:rPr>
          <w:rFonts w:hint="eastAsia" w:ascii="MS UI Gothic" w:eastAsia="MS UI Gothic"/>
          <w:spacing w:val="2"/>
          <w:w w:val="80"/>
        </w:rPr>
        <w:t xml:space="preserve">ꎬ </w:t>
      </w:r>
      <w:r>
        <w:rPr>
          <w:spacing w:val="3"/>
        </w:rPr>
        <w:t>并采取安全技术措施</w:t>
      </w:r>
      <w:r>
        <w:rPr>
          <w:rFonts w:hint="eastAsia" w:ascii="MS UI Gothic" w:eastAsia="MS UI Gothic"/>
          <w:w w:val="80"/>
        </w:rPr>
        <w:t>ꎮ</w:t>
      </w:r>
    </w:p>
    <w:p>
      <w:pPr>
        <w:pStyle w:val="6"/>
        <w:spacing w:line="295" w:lineRule="auto"/>
        <w:ind w:left="381" w:right="126"/>
        <w:rPr>
          <w:rFonts w:hint="eastAsia" w:ascii="MS UI Gothic" w:eastAsia="MS UI Gothic"/>
        </w:rPr>
      </w:pPr>
      <w:r>
        <w:t>第三十九条 建筑施工企业应当在施工现场采取维护安全</w:t>
      </w:r>
      <w:r>
        <w:rPr>
          <w:rFonts w:hint="eastAsia" w:ascii="MS UI Gothic" w:eastAsia="MS UI Gothic"/>
          <w:w w:val="80"/>
        </w:rPr>
        <w:t xml:space="preserve">、 </w:t>
      </w:r>
      <w:r>
        <w:t>防范危险</w:t>
      </w:r>
      <w:r>
        <w:rPr>
          <w:rFonts w:hint="eastAsia" w:ascii="MS UI Gothic" w:eastAsia="MS UI Gothic"/>
          <w:w w:val="80"/>
        </w:rPr>
        <w:t xml:space="preserve">、 </w:t>
      </w:r>
      <w:r>
        <w:t>预防火灾等措施</w:t>
      </w:r>
      <w:r>
        <w:rPr>
          <w:rFonts w:hint="eastAsia" w:ascii="MS UI Gothic" w:eastAsia="MS UI Gothic"/>
          <w:w w:val="80"/>
        </w:rPr>
        <w:t xml:space="preserve">ꎻ </w:t>
      </w:r>
      <w:r>
        <w:t>有条件的</w:t>
      </w:r>
      <w:r>
        <w:rPr>
          <w:rFonts w:hint="eastAsia" w:ascii="MS UI Gothic" w:eastAsia="MS UI Gothic"/>
          <w:w w:val="80"/>
        </w:rPr>
        <w:t xml:space="preserve">ꎬ </w:t>
      </w:r>
      <w:r>
        <w:t>应当对施工现场实行封闭管理</w:t>
      </w:r>
      <w:r>
        <w:rPr>
          <w:rFonts w:hint="eastAsia" w:ascii="MS UI Gothic" w:eastAsia="MS UI Gothic"/>
          <w:w w:val="80"/>
        </w:rPr>
        <w:t>ꎮ</w:t>
      </w:r>
    </w:p>
    <w:p>
      <w:pPr>
        <w:pStyle w:val="6"/>
        <w:spacing w:line="295" w:lineRule="auto"/>
        <w:ind w:left="381" w:right="126"/>
        <w:rPr>
          <w:rFonts w:hint="eastAsia" w:ascii="MS UI Gothic" w:eastAsia="MS UI Gothic"/>
        </w:rPr>
      </w:pPr>
      <w:r>
        <w:t>施工现场对毗邻的建筑物</w:t>
      </w:r>
      <w:r>
        <w:rPr>
          <w:rFonts w:hint="eastAsia" w:ascii="MS UI Gothic" w:eastAsia="MS UI Gothic"/>
          <w:w w:val="80"/>
        </w:rPr>
        <w:t xml:space="preserve">、 </w:t>
      </w:r>
      <w:r>
        <w:t>构筑物和特殊作业环境可能造成损害的</w:t>
      </w:r>
      <w:r>
        <w:rPr>
          <w:rFonts w:hint="eastAsia" w:ascii="MS UI Gothic" w:eastAsia="MS UI Gothic"/>
          <w:w w:val="80"/>
        </w:rPr>
        <w:t xml:space="preserve">ꎬ </w:t>
      </w:r>
      <w:r>
        <w:t>建筑施工企业应当采取安全防护措施</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第四十条 建设单位应当向建筑施工</w:t>
      </w:r>
      <w:r>
        <w:t>企业提供与施工现场相关的地下管线资料</w:t>
      </w:r>
      <w:r>
        <w:rPr>
          <w:rFonts w:hint="eastAsia" w:ascii="MS UI Gothic" w:eastAsia="MS UI Gothic"/>
          <w:w w:val="80"/>
        </w:rPr>
        <w:t xml:space="preserve">ꎬ </w:t>
      </w:r>
      <w:r>
        <w:t>建筑施工企业应当采取措施加以</w:t>
      </w:r>
      <w:r>
        <w:rPr>
          <w:w w:val="105"/>
        </w:rPr>
        <w:t>保护</w:t>
      </w:r>
      <w:r>
        <w:rPr>
          <w:rFonts w:hint="eastAsia" w:ascii="MS UI Gothic" w:eastAsia="MS UI Gothic"/>
          <w:w w:val="80"/>
        </w:rPr>
        <w:t>ꎮ</w:t>
      </w:r>
    </w:p>
    <w:p>
      <w:pPr>
        <w:pStyle w:val="6"/>
        <w:spacing w:line="295" w:lineRule="auto"/>
        <w:ind w:left="381" w:right="126"/>
        <w:rPr>
          <w:rFonts w:hint="eastAsia" w:ascii="MS UI Gothic" w:eastAsia="MS UI Gothic"/>
        </w:rPr>
      </w:pPr>
      <w:r>
        <w:t>第四十一条 建筑施工企业应当遵守有关环境保护和安全生产的法律</w:t>
      </w:r>
      <w:r>
        <w:rPr>
          <w:rFonts w:hint="eastAsia" w:ascii="MS UI Gothic" w:eastAsia="MS UI Gothic"/>
          <w:w w:val="80"/>
        </w:rPr>
        <w:t xml:space="preserve">、 </w:t>
      </w:r>
      <w:r>
        <w:t>法规的规定</w:t>
      </w:r>
      <w:r>
        <w:rPr>
          <w:rFonts w:hint="eastAsia" w:ascii="MS UI Gothic" w:eastAsia="MS UI Gothic"/>
          <w:w w:val="80"/>
        </w:rPr>
        <w:t xml:space="preserve">ꎬ </w:t>
      </w:r>
      <w:r>
        <w:t>采取控制和处理施工现场的各种粉尘</w:t>
      </w:r>
      <w:r>
        <w:rPr>
          <w:rFonts w:hint="eastAsia" w:ascii="MS UI Gothic" w:eastAsia="MS UI Gothic"/>
          <w:w w:val="80"/>
        </w:rPr>
        <w:t xml:space="preserve">、 </w:t>
      </w:r>
      <w:r>
        <w:t>废气</w:t>
      </w:r>
      <w:r>
        <w:rPr>
          <w:rFonts w:hint="eastAsia" w:ascii="MS UI Gothic" w:eastAsia="MS UI Gothic"/>
          <w:w w:val="80"/>
        </w:rPr>
        <w:t xml:space="preserve">、 </w:t>
      </w:r>
      <w:r>
        <w:t>废水</w:t>
      </w:r>
      <w:r>
        <w:rPr>
          <w:rFonts w:hint="eastAsia" w:ascii="MS UI Gothic" w:eastAsia="MS UI Gothic"/>
          <w:w w:val="80"/>
        </w:rPr>
        <w:t xml:space="preserve">、 </w:t>
      </w:r>
      <w:r>
        <w:t>固体废物以及噪声</w:t>
      </w:r>
      <w:r>
        <w:rPr>
          <w:rFonts w:hint="eastAsia" w:ascii="MS UI Gothic" w:eastAsia="MS UI Gothic"/>
          <w:w w:val="80"/>
        </w:rPr>
        <w:t xml:space="preserve">、  </w:t>
      </w:r>
      <w:r>
        <w:t>振动对环境的污染和危害的措施</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第四十二条 有下列情形之一的</w:t>
      </w:r>
      <w:r>
        <w:rPr>
          <w:rFonts w:hint="eastAsia" w:ascii="MS UI Gothic" w:eastAsia="MS UI Gothic"/>
          <w:w w:val="80"/>
        </w:rPr>
        <w:t xml:space="preserve">ꎬ </w:t>
      </w:r>
      <w:r>
        <w:rPr>
          <w:w w:val="105"/>
        </w:rPr>
        <w:t>建</w:t>
      </w:r>
      <w:r>
        <w:t>设单位应当按照国家有关规定办理申请批</w:t>
      </w:r>
      <w:r>
        <w:rPr>
          <w:w w:val="110"/>
        </w:rPr>
        <w:t>准手续</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需要临时占用规划批准范围以</w:t>
      </w:r>
      <w:r>
        <w:rPr>
          <w:w w:val="110"/>
        </w:rPr>
        <w:t>外场地的</w:t>
      </w:r>
      <w:r>
        <w:rPr>
          <w:rFonts w:hint="eastAsia" w:ascii="MS UI Gothic" w:eastAsia="MS UI Gothic"/>
          <w:w w:val="80"/>
        </w:rPr>
        <w:t>ꎻ</w:t>
      </w:r>
    </w:p>
    <w:p>
      <w:pPr>
        <w:pStyle w:val="6"/>
        <w:spacing w:line="295" w:lineRule="auto"/>
        <w:ind w:left="381" w:right="124"/>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可能损坏道路</w:t>
      </w:r>
      <w:r>
        <w:rPr>
          <w:rFonts w:hint="eastAsia" w:ascii="MS UI Gothic" w:eastAsia="MS UI Gothic"/>
          <w:w w:val="80"/>
        </w:rPr>
        <w:t xml:space="preserve">、 </w:t>
      </w:r>
      <w:r>
        <w:rPr>
          <w:w w:val="105"/>
        </w:rPr>
        <w:t>管线</w:t>
      </w:r>
      <w:r>
        <w:rPr>
          <w:rFonts w:hint="eastAsia" w:ascii="MS UI Gothic" w:eastAsia="MS UI Gothic"/>
          <w:w w:val="80"/>
        </w:rPr>
        <w:t xml:space="preserve">、 </w:t>
      </w:r>
      <w:r>
        <w:rPr>
          <w:w w:val="105"/>
        </w:rPr>
        <w:t>电力</w:t>
      </w:r>
      <w:r>
        <w:rPr>
          <w:rFonts w:hint="eastAsia" w:ascii="MS UI Gothic" w:eastAsia="MS UI Gothic"/>
          <w:w w:val="80"/>
        </w:rPr>
        <w:t>、</w:t>
      </w:r>
      <w:r>
        <w:rPr>
          <w:w w:val="105"/>
        </w:rPr>
        <w:t>邮电通讯等公共设施的</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需要临时停水</w:t>
      </w:r>
      <w:r>
        <w:rPr>
          <w:rFonts w:hint="eastAsia" w:ascii="MS UI Gothic" w:eastAsia="MS UI Gothic"/>
          <w:w w:val="80"/>
        </w:rPr>
        <w:t xml:space="preserve">、 </w:t>
      </w:r>
      <w:r>
        <w:rPr>
          <w:w w:val="105"/>
        </w:rPr>
        <w:t>停电</w:t>
      </w:r>
      <w:r>
        <w:rPr>
          <w:rFonts w:hint="eastAsia" w:ascii="MS UI Gothic" w:eastAsia="MS UI Gothic"/>
          <w:w w:val="80"/>
        </w:rPr>
        <w:t xml:space="preserve">、 </w:t>
      </w:r>
      <w:r>
        <w:rPr>
          <w:w w:val="105"/>
        </w:rPr>
        <w:t>中断道路交通的</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需要进行爆破作业的</w:t>
      </w:r>
      <w:r>
        <w:rPr>
          <w:rFonts w:hint="eastAsia" w:ascii="MS UI Gothic" w:eastAsia="MS UI Gothic"/>
          <w:w w:val="80"/>
        </w:rPr>
        <w:t>ꎻ</w:t>
      </w:r>
    </w:p>
    <w:p>
      <w:pPr>
        <w:pStyle w:val="6"/>
        <w:spacing w:before="34"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法规规定需要办理报批手续的其他情形</w:t>
      </w:r>
      <w:r>
        <w:rPr>
          <w:rFonts w:hint="eastAsia" w:ascii="MS UI Gothic" w:eastAsia="MS UI Gothic"/>
          <w:w w:val="80"/>
        </w:rPr>
        <w:t>ꎮ</w:t>
      </w:r>
    </w:p>
    <w:p>
      <w:pPr>
        <w:pStyle w:val="6"/>
        <w:spacing w:line="295" w:lineRule="auto"/>
        <w:ind w:left="381" w:right="126"/>
      </w:pPr>
      <w:r>
        <w:rPr>
          <w:w w:val="105"/>
        </w:rPr>
        <w:t>第四十三条 建设行政主管部门负责</w:t>
      </w:r>
      <w:r>
        <w:t>建筑安全生产的管理</w:t>
      </w:r>
      <w:r>
        <w:rPr>
          <w:rFonts w:hint="eastAsia" w:ascii="MS UI Gothic" w:eastAsia="MS UI Gothic"/>
          <w:w w:val="80"/>
        </w:rPr>
        <w:t xml:space="preserve">ꎬ </w:t>
      </w:r>
      <w:r>
        <w:t>并依法接受劳动行</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４２８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82" o:spid="_x0000_s2282" o:spt="203" style="height:2.15pt;width:398.25pt;" coordsize="7965,43">
            <o:lock v:ext="edit"/>
            <v:line id="_x0000_s2283" o:spid="_x0000_s2283" o:spt="20" style="position:absolute;left:0;top:39;height:0;width:7965;" stroked="t" coordsize="21600,21600">
              <v:path arrowok="t"/>
              <v:fill focussize="0,0"/>
              <v:stroke weight="0.388031496062992pt" color="#231F20"/>
              <v:imagedata o:title=""/>
              <o:lock v:ext="edit"/>
            </v:line>
            <v:line id="_x0000_s2284" o:spid="_x0000_s228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7"/>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3" w:line="295" w:lineRule="auto"/>
        <w:ind w:right="38" w:firstLine="0"/>
        <w:rPr>
          <w:rFonts w:hint="eastAsia" w:ascii="MS UI Gothic" w:eastAsia="MS UI Gothic"/>
        </w:rPr>
      </w:pPr>
      <w:r>
        <w:t>政主管部门对建筑安全生产的指导和监督</w:t>
      </w:r>
      <w:r>
        <w:rPr>
          <w:rFonts w:hint="eastAsia" w:ascii="MS UI Gothic" w:eastAsia="MS UI Gothic"/>
          <w:w w:val="80"/>
        </w:rPr>
        <w:t>ꎮ</w:t>
      </w:r>
    </w:p>
    <w:p>
      <w:pPr>
        <w:pStyle w:val="6"/>
        <w:spacing w:line="295" w:lineRule="auto"/>
        <w:ind w:right="38"/>
        <w:rPr>
          <w:rFonts w:hint="eastAsia" w:ascii="MS UI Gothic" w:eastAsia="MS UI Gothic"/>
        </w:rPr>
      </w:pPr>
      <w:r>
        <w:t>第四十四条 建筑施工企业必须依法加强对建筑安全生产的管理</w:t>
      </w:r>
      <w:r>
        <w:rPr>
          <w:rFonts w:hint="eastAsia" w:ascii="MS UI Gothic" w:eastAsia="MS UI Gothic"/>
          <w:w w:val="80"/>
        </w:rPr>
        <w:t xml:space="preserve">ꎬ </w:t>
      </w:r>
      <w:r>
        <w:t>执行安全生产责任制度</w:t>
      </w:r>
      <w:r>
        <w:rPr>
          <w:rFonts w:hint="eastAsia" w:ascii="MS UI Gothic" w:eastAsia="MS UI Gothic"/>
          <w:w w:val="80"/>
        </w:rPr>
        <w:t xml:space="preserve">ꎬ </w:t>
      </w:r>
      <w:r>
        <w:t>采取有效措施</w:t>
      </w:r>
      <w:r>
        <w:rPr>
          <w:rFonts w:hint="eastAsia" w:ascii="MS UI Gothic" w:eastAsia="MS UI Gothic"/>
          <w:w w:val="80"/>
        </w:rPr>
        <w:t xml:space="preserve">ꎬ </w:t>
      </w:r>
      <w:r>
        <w:t>防止伤亡和其他安全生产事故的发生</w:t>
      </w:r>
      <w:r>
        <w:rPr>
          <w:rFonts w:hint="eastAsia" w:ascii="MS UI Gothic" w:eastAsia="MS UI Gothic"/>
          <w:w w:val="80"/>
        </w:rPr>
        <w:t>ꎮ</w:t>
      </w:r>
    </w:p>
    <w:p>
      <w:pPr>
        <w:pStyle w:val="6"/>
        <w:spacing w:line="295" w:lineRule="auto"/>
        <w:ind w:right="38"/>
        <w:jc w:val="left"/>
        <w:rPr>
          <w:rFonts w:hint="eastAsia" w:ascii="MS UI Gothic" w:eastAsia="MS UI Gothic"/>
        </w:rPr>
      </w:pPr>
      <w:r>
        <w:t>建筑施工企业的法定代表人对本企业</w:t>
      </w:r>
      <w:r>
        <w:rPr>
          <w:w w:val="105"/>
        </w:rPr>
        <w:t>的安全生产负责</w:t>
      </w:r>
      <w:r>
        <w:rPr>
          <w:rFonts w:hint="eastAsia" w:ascii="MS UI Gothic" w:eastAsia="MS UI Gothic"/>
          <w:w w:val="80"/>
        </w:rPr>
        <w:t>ꎮ</w:t>
      </w:r>
    </w:p>
    <w:p>
      <w:pPr>
        <w:pStyle w:val="6"/>
        <w:spacing w:line="295" w:lineRule="auto"/>
        <w:ind w:right="38"/>
        <w:rPr>
          <w:rFonts w:hint="eastAsia" w:ascii="MS UI Gothic" w:eastAsia="MS UI Gothic"/>
        </w:rPr>
      </w:pPr>
      <w:r>
        <w:t>第四十五条 施工现场安全由建筑施工企业负责</w:t>
      </w:r>
      <w:r>
        <w:rPr>
          <w:rFonts w:hint="eastAsia" w:ascii="MS UI Gothic" w:eastAsia="MS UI Gothic"/>
          <w:w w:val="80"/>
        </w:rPr>
        <w:t xml:space="preserve">ꎮ </w:t>
      </w:r>
      <w:r>
        <w:t>实行施工总承包的</w:t>
      </w:r>
      <w:r>
        <w:rPr>
          <w:rFonts w:hint="eastAsia" w:ascii="MS UI Gothic" w:eastAsia="MS UI Gothic"/>
          <w:w w:val="80"/>
        </w:rPr>
        <w:t xml:space="preserve">ꎬ </w:t>
      </w:r>
      <w:r>
        <w:t>由总承包单位负责</w:t>
      </w:r>
      <w:r>
        <w:rPr>
          <w:rFonts w:hint="eastAsia" w:ascii="MS UI Gothic" w:eastAsia="MS UI Gothic"/>
          <w:w w:val="80"/>
        </w:rPr>
        <w:t xml:space="preserve">ꎮ </w:t>
      </w:r>
      <w:r>
        <w:t>分包单位向总承包单位负责</w:t>
      </w:r>
      <w:r>
        <w:rPr>
          <w:rFonts w:hint="eastAsia" w:ascii="MS UI Gothic" w:eastAsia="MS UI Gothic"/>
          <w:w w:val="80"/>
        </w:rPr>
        <w:t xml:space="preserve">ꎬ </w:t>
      </w:r>
      <w:r>
        <w:t>服从总承包单位对施工现场的安全生产管理</w:t>
      </w:r>
      <w:r>
        <w:rPr>
          <w:rFonts w:hint="eastAsia" w:ascii="MS UI Gothic" w:eastAsia="MS UI Gothic"/>
          <w:w w:val="80"/>
        </w:rPr>
        <w:t>ꎮ</w:t>
      </w:r>
    </w:p>
    <w:p>
      <w:pPr>
        <w:pStyle w:val="6"/>
        <w:spacing w:line="295" w:lineRule="auto"/>
        <w:ind w:right="38"/>
        <w:rPr>
          <w:rFonts w:hint="eastAsia" w:ascii="MS UI Gothic" w:eastAsia="MS UI Gothic"/>
        </w:rPr>
      </w:pPr>
      <w:r>
        <w:t>第四十六条 建筑施工企业应当建立健全劳动安全生产教育培训制度</w:t>
      </w:r>
      <w:r>
        <w:rPr>
          <w:rFonts w:hint="eastAsia" w:ascii="MS UI Gothic" w:eastAsia="MS UI Gothic"/>
          <w:w w:val="80"/>
        </w:rPr>
        <w:t xml:space="preserve">ꎬ </w:t>
      </w:r>
      <w:r>
        <w:t>加强对职工安全生产的教育培训</w:t>
      </w:r>
      <w:r>
        <w:rPr>
          <w:rFonts w:hint="eastAsia" w:ascii="MS UI Gothic" w:eastAsia="MS UI Gothic"/>
          <w:w w:val="80"/>
        </w:rPr>
        <w:t xml:space="preserve">ꎻ </w:t>
      </w:r>
      <w:r>
        <w:t>未经安全生产教育培训的人员</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line="295" w:lineRule="auto"/>
        <w:ind w:right="38"/>
        <w:rPr>
          <w:rFonts w:hint="eastAsia" w:ascii="MS UI Gothic" w:eastAsia="MS UI Gothic"/>
        </w:rPr>
      </w:pPr>
      <w:r>
        <w:t>第四十七条 建筑施工企业和作业人员在施工过程中</w:t>
      </w:r>
      <w:r>
        <w:rPr>
          <w:rFonts w:hint="eastAsia" w:ascii="MS UI Gothic" w:eastAsia="MS UI Gothic"/>
          <w:w w:val="80"/>
        </w:rPr>
        <w:t xml:space="preserve">ꎬ </w:t>
      </w:r>
      <w:r>
        <w:t>应当遵守有关安全生产的法律</w:t>
      </w:r>
      <w:r>
        <w:rPr>
          <w:rFonts w:hint="eastAsia" w:ascii="MS UI Gothic" w:eastAsia="MS UI Gothic"/>
          <w:w w:val="80"/>
        </w:rPr>
        <w:t xml:space="preserve">、 </w:t>
      </w:r>
      <w:r>
        <w:t>法规和建筑行业安全规章</w:t>
      </w:r>
      <w:r>
        <w:rPr>
          <w:rFonts w:hint="eastAsia" w:ascii="MS UI Gothic" w:eastAsia="MS UI Gothic"/>
          <w:w w:val="80"/>
        </w:rPr>
        <w:t xml:space="preserve">、  </w:t>
      </w:r>
      <w:r>
        <w:t>规程</w:t>
      </w:r>
      <w:r>
        <w:rPr>
          <w:rFonts w:hint="eastAsia" w:ascii="MS UI Gothic" w:eastAsia="MS UI Gothic"/>
          <w:w w:val="80"/>
        </w:rPr>
        <w:t xml:space="preserve">ꎬ </w:t>
      </w:r>
      <w:r>
        <w:t>不得违章指挥或者违章作业</w:t>
      </w:r>
      <w:r>
        <w:rPr>
          <w:rFonts w:hint="eastAsia" w:ascii="MS UI Gothic" w:eastAsia="MS UI Gothic"/>
          <w:w w:val="80"/>
        </w:rPr>
        <w:t xml:space="preserve">ꎮ </w:t>
      </w:r>
      <w:r>
        <w:t>作业人员有权对影响人身健康的作业程序和作业条件提出改进意见</w:t>
      </w:r>
      <w:r>
        <w:rPr>
          <w:rFonts w:hint="eastAsia" w:ascii="MS UI Gothic" w:eastAsia="MS UI Gothic"/>
          <w:w w:val="80"/>
        </w:rPr>
        <w:t xml:space="preserve">ꎬ </w:t>
      </w:r>
      <w:r>
        <w:t>有权获得安全生产所需的防护用品</w:t>
      </w:r>
      <w:r>
        <w:rPr>
          <w:rFonts w:hint="eastAsia" w:ascii="MS UI Gothic" w:eastAsia="MS UI Gothic"/>
          <w:w w:val="80"/>
        </w:rPr>
        <w:t xml:space="preserve">ꎮ </w:t>
      </w:r>
      <w:r>
        <w:t>作业人员对危及生命安全和人身健康的行为有权提出批评</w:t>
      </w:r>
      <w:r>
        <w:rPr>
          <w:rFonts w:hint="eastAsia" w:ascii="MS UI Gothic" w:eastAsia="MS UI Gothic"/>
          <w:w w:val="80"/>
        </w:rPr>
        <w:t xml:space="preserve">、 </w:t>
      </w:r>
      <w:r>
        <w:t>检举和控告</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第四十八条 建筑施工企业应当依法</w:t>
      </w:r>
      <w:r>
        <w:t>为职工参加工伤保险缴纳工伤保险费</w:t>
      </w:r>
      <w:r>
        <w:rPr>
          <w:rFonts w:hint="eastAsia" w:ascii="MS UI Gothic" w:eastAsia="MS UI Gothic"/>
          <w:w w:val="80"/>
        </w:rPr>
        <w:t xml:space="preserve">ꎮ </w:t>
      </w:r>
      <w:r>
        <w:t>鼓励企业为从事危险作业的职工办理意外伤</w:t>
      </w:r>
      <w:r>
        <w:rPr>
          <w:w w:val="105"/>
        </w:rPr>
        <w:t>害保险</w:t>
      </w:r>
      <w:r>
        <w:rPr>
          <w:rFonts w:hint="eastAsia" w:ascii="MS UI Gothic" w:eastAsia="MS UI Gothic"/>
          <w:w w:val="80"/>
        </w:rPr>
        <w:t xml:space="preserve">ꎬ </w:t>
      </w:r>
      <w:r>
        <w:rPr>
          <w:w w:val="105"/>
        </w:rPr>
        <w:t>支付保险费</w:t>
      </w:r>
      <w:r>
        <w:rPr>
          <w:rFonts w:hint="eastAsia" w:ascii="MS UI Gothic" w:eastAsia="MS UI Gothic"/>
          <w:w w:val="80"/>
        </w:rPr>
        <w:t>ꎮ</w:t>
      </w:r>
    </w:p>
    <w:p>
      <w:pPr>
        <w:pStyle w:val="6"/>
        <w:spacing w:line="295" w:lineRule="auto"/>
        <w:ind w:right="38"/>
        <w:rPr>
          <w:rFonts w:hint="eastAsia" w:ascii="MS UI Gothic" w:eastAsia="MS UI Gothic"/>
        </w:rPr>
      </w:pPr>
      <w:r>
        <w:t>第四十九条 涉及建筑主体和承重结构变动的装修工程</w:t>
      </w:r>
      <w:r>
        <w:rPr>
          <w:rFonts w:hint="eastAsia" w:ascii="MS UI Gothic" w:eastAsia="MS UI Gothic"/>
          <w:w w:val="80"/>
        </w:rPr>
        <w:t xml:space="preserve">ꎬ </w:t>
      </w:r>
      <w:r>
        <w:t>建设单位应当在施工前委托原设计单位或者具有相应资质条件的设计单位提出设计方案</w:t>
      </w:r>
      <w:r>
        <w:rPr>
          <w:rFonts w:hint="eastAsia" w:ascii="MS UI Gothic" w:eastAsia="MS UI Gothic"/>
          <w:w w:val="80"/>
        </w:rPr>
        <w:t xml:space="preserve">ꎻ </w:t>
      </w:r>
      <w:r>
        <w:t>没有设计方案的</w:t>
      </w:r>
      <w:r>
        <w:rPr>
          <w:rFonts w:hint="eastAsia" w:ascii="MS UI Gothic" w:eastAsia="MS UI Gothic"/>
          <w:w w:val="80"/>
        </w:rPr>
        <w:t xml:space="preserve">ꎬ </w:t>
      </w:r>
      <w:r>
        <w:t>不得施工</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第五十条 房屋拆除应当由具备保证</w:t>
      </w:r>
      <w:r>
        <w:t>安全条件的建筑施工单位承担</w:t>
      </w:r>
      <w:r>
        <w:rPr>
          <w:rFonts w:hint="eastAsia" w:ascii="MS UI Gothic" w:eastAsia="MS UI Gothic"/>
          <w:w w:val="80"/>
        </w:rPr>
        <w:t xml:space="preserve">ꎬ </w:t>
      </w:r>
      <w:r>
        <w:t>由建筑施</w:t>
      </w:r>
      <w:r>
        <w:rPr>
          <w:w w:val="105"/>
        </w:rPr>
        <w:t>工单位负责人对安全负责</w:t>
      </w:r>
      <w:r>
        <w:rPr>
          <w:rFonts w:hint="eastAsia" w:ascii="MS UI Gothic" w:eastAsia="MS UI Gothic"/>
          <w:w w:val="80"/>
        </w:rPr>
        <w:t>ꎮ</w:t>
      </w:r>
    </w:p>
    <w:p>
      <w:pPr>
        <w:pStyle w:val="6"/>
        <w:tabs>
          <w:tab w:val="left" w:pos="1801"/>
        </w:tabs>
        <w:spacing w:line="254" w:lineRule="exact"/>
        <w:ind w:left="543" w:firstLine="0"/>
        <w:jc w:val="left"/>
      </w:pPr>
      <w:r>
        <w:rPr>
          <w:spacing w:val="3"/>
        </w:rPr>
        <w:t>第五十一</w:t>
      </w:r>
      <w:r>
        <w:t>条</w:t>
      </w:r>
      <w:r>
        <w:tab/>
      </w:r>
      <w:r>
        <w:rPr>
          <w:spacing w:val="3"/>
        </w:rPr>
        <w:t>施工中发生事故时</w:t>
      </w:r>
      <w:r>
        <w:rPr>
          <w:rFonts w:hint="eastAsia" w:ascii="MS UI Gothic" w:eastAsia="MS UI Gothic"/>
          <w:w w:val="80"/>
        </w:rPr>
        <w:t>ꎬ</w:t>
      </w:r>
      <w:r>
        <w:rPr>
          <w:rFonts w:hint="eastAsia" w:ascii="MS UI Gothic" w:eastAsia="MS UI Gothic"/>
          <w:spacing w:val="4"/>
          <w:w w:val="80"/>
        </w:rPr>
        <w:t xml:space="preserve"> </w:t>
      </w:r>
      <w:r>
        <w:t>建</w:t>
      </w:r>
    </w:p>
    <w:p>
      <w:pPr>
        <w:pStyle w:val="6"/>
        <w:spacing w:before="83" w:line="295" w:lineRule="auto"/>
        <w:ind w:right="442" w:firstLine="0"/>
        <w:rPr>
          <w:rFonts w:hint="eastAsia" w:ascii="MS UI Gothic" w:eastAsia="MS UI Gothic"/>
        </w:rPr>
      </w:pPr>
      <w:r>
        <w:br w:type="column"/>
      </w:r>
      <w:r>
        <w:t>筑施工企业应当采取紧急措施减少人员伤亡和事故损失</w:t>
      </w:r>
      <w:r>
        <w:rPr>
          <w:rFonts w:hint="eastAsia" w:ascii="MS UI Gothic" w:eastAsia="MS UI Gothic"/>
          <w:w w:val="80"/>
        </w:rPr>
        <w:t xml:space="preserve">ꎬ </w:t>
      </w:r>
      <w:r>
        <w:t>并按照国家有关规定及时</w:t>
      </w:r>
      <w:r>
        <w:rPr>
          <w:w w:val="105"/>
        </w:rPr>
        <w:t>向有关部门报告</w:t>
      </w:r>
      <w:r>
        <w:rPr>
          <w:rFonts w:hint="eastAsia" w:ascii="MS UI Gothic" w:eastAsia="MS UI Gothic"/>
          <w:w w:val="80"/>
        </w:rPr>
        <w:t>ꎮ</w:t>
      </w:r>
    </w:p>
    <w:p>
      <w:pPr>
        <w:pStyle w:val="6"/>
        <w:tabs>
          <w:tab w:val="left" w:pos="1591"/>
        </w:tabs>
        <w:spacing w:before="155"/>
        <w:ind w:left="753" w:firstLine="0"/>
        <w:jc w:val="left"/>
      </w:pPr>
      <w:r>
        <w:rPr>
          <w:spacing w:val="3"/>
          <w:w w:val="105"/>
        </w:rPr>
        <w:t>第六</w:t>
      </w:r>
      <w:r>
        <w:rPr>
          <w:w w:val="105"/>
        </w:rPr>
        <w:t>章</w:t>
      </w:r>
      <w:r>
        <w:rPr>
          <w:w w:val="105"/>
        </w:rPr>
        <w:tab/>
      </w:r>
      <w:r>
        <w:rPr>
          <w:spacing w:val="3"/>
          <w:w w:val="105"/>
        </w:rPr>
        <w:t>建筑工程质量管</w:t>
      </w:r>
      <w:r>
        <w:rPr>
          <w:w w:val="105"/>
        </w:rPr>
        <w:t>理</w:t>
      </w:r>
    </w:p>
    <w:p>
      <w:pPr>
        <w:pStyle w:val="6"/>
        <w:spacing w:before="215" w:line="295" w:lineRule="auto"/>
        <w:ind w:right="440"/>
        <w:rPr>
          <w:rFonts w:hint="eastAsia" w:ascii="MS UI Gothic" w:eastAsia="MS UI Gothic"/>
        </w:rPr>
      </w:pPr>
      <w:r>
        <w:rPr>
          <w:spacing w:val="12"/>
        </w:rPr>
        <w:t>第五十二条 建筑工程勘察</w:t>
      </w:r>
      <w:r>
        <w:rPr>
          <w:rFonts w:hint="eastAsia" w:ascii="MS UI Gothic" w:eastAsia="MS UI Gothic"/>
          <w:spacing w:val="18"/>
          <w:w w:val="80"/>
        </w:rPr>
        <w:t xml:space="preserve">、 </w:t>
      </w:r>
      <w:r>
        <w:rPr>
          <w:spacing w:val="9"/>
        </w:rPr>
        <w:t>设计</w:t>
      </w:r>
      <w:r>
        <w:rPr>
          <w:rFonts w:hint="eastAsia" w:ascii="MS UI Gothic" w:eastAsia="MS UI Gothic"/>
          <w:w w:val="80"/>
        </w:rPr>
        <w:t>、</w:t>
      </w:r>
      <w:r>
        <w:rPr>
          <w:spacing w:val="2"/>
        </w:rPr>
        <w:t>施工的质量必须符合国家有关建筑工程安</w:t>
      </w:r>
      <w:r>
        <w:rPr>
          <w:spacing w:val="11"/>
        </w:rPr>
        <w:t>全标准的要求</w:t>
      </w:r>
      <w:r>
        <w:rPr>
          <w:rFonts w:hint="eastAsia" w:ascii="MS UI Gothic" w:eastAsia="MS UI Gothic"/>
          <w:spacing w:val="23"/>
          <w:w w:val="80"/>
        </w:rPr>
        <w:t xml:space="preserve">ꎬ </w:t>
      </w:r>
      <w:r>
        <w:rPr>
          <w:spacing w:val="17"/>
        </w:rPr>
        <w:t>具体管理办法由国务院</w:t>
      </w:r>
      <w:r>
        <w:rPr>
          <w:spacing w:val="3"/>
        </w:rPr>
        <w:t>规定</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有关建筑工程安全的国家标准不能适</w:t>
      </w:r>
      <w:r>
        <w:rPr>
          <w:spacing w:val="27"/>
        </w:rPr>
        <w:t>应确保建筑安全的要求时</w:t>
      </w:r>
      <w:r>
        <w:rPr>
          <w:rFonts w:hint="eastAsia" w:ascii="MS UI Gothic" w:eastAsia="MS UI Gothic"/>
          <w:spacing w:val="2"/>
          <w:w w:val="80"/>
        </w:rPr>
        <w:t xml:space="preserve">ꎬ </w:t>
      </w:r>
      <w:r>
        <w:rPr>
          <w:spacing w:val="27"/>
        </w:rPr>
        <w:t>应当及时</w:t>
      </w:r>
      <w:r>
        <w:rPr>
          <w:spacing w:val="3"/>
        </w:rPr>
        <w:t>修订</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第五十三条 国家对从事建筑活动的</w:t>
      </w:r>
      <w:r>
        <w:t>单位推行质量体系认证制度</w:t>
      </w:r>
      <w:r>
        <w:rPr>
          <w:rFonts w:hint="eastAsia" w:ascii="MS UI Gothic" w:eastAsia="MS UI Gothic"/>
          <w:w w:val="80"/>
        </w:rPr>
        <w:t xml:space="preserve">ꎮ </w:t>
      </w:r>
      <w:r>
        <w:t>从事建筑活动的单位根据自愿原则可以向国务院产品质量监督管理部门或者国务院产品质量监督管理部门授权的部门认可的认证机构申请质量体系认证</w:t>
      </w:r>
      <w:r>
        <w:rPr>
          <w:rFonts w:hint="eastAsia" w:ascii="MS UI Gothic" w:eastAsia="MS UI Gothic"/>
          <w:w w:val="80"/>
        </w:rPr>
        <w:t xml:space="preserve">ꎮ </w:t>
      </w:r>
      <w:r>
        <w:t>经认证合格的</w:t>
      </w:r>
      <w:r>
        <w:rPr>
          <w:rFonts w:hint="eastAsia" w:ascii="MS UI Gothic" w:eastAsia="MS UI Gothic"/>
          <w:w w:val="80"/>
        </w:rPr>
        <w:t xml:space="preserve">ꎬ </w:t>
      </w:r>
      <w:r>
        <w:t>由认证</w:t>
      </w:r>
      <w:r>
        <w:rPr>
          <w:w w:val="105"/>
        </w:rPr>
        <w:t>机构颁发质量体系认证证书</w:t>
      </w:r>
      <w:r>
        <w:rPr>
          <w:rFonts w:hint="eastAsia" w:ascii="MS UI Gothic" w:eastAsia="MS UI Gothic"/>
          <w:w w:val="80"/>
        </w:rPr>
        <w:t>ꎮ</w:t>
      </w:r>
    </w:p>
    <w:p>
      <w:pPr>
        <w:pStyle w:val="6"/>
        <w:spacing w:line="295" w:lineRule="auto"/>
        <w:ind w:right="440"/>
        <w:rPr>
          <w:rFonts w:hint="eastAsia" w:ascii="MS UI Gothic" w:eastAsia="MS UI Gothic"/>
        </w:rPr>
      </w:pPr>
      <w:r>
        <w:t>第五十四条 建设单位不得以任何理由</w:t>
      </w:r>
      <w:r>
        <w:rPr>
          <w:rFonts w:hint="eastAsia" w:ascii="MS UI Gothic" w:eastAsia="MS UI Gothic"/>
          <w:w w:val="80"/>
        </w:rPr>
        <w:t xml:space="preserve">ꎬ </w:t>
      </w:r>
      <w:r>
        <w:t>要求建筑设计单位或者建筑施工企业在工程设计或者施工作业中</w:t>
      </w:r>
      <w:r>
        <w:rPr>
          <w:rFonts w:hint="eastAsia" w:ascii="MS UI Gothic" w:eastAsia="MS UI Gothic"/>
          <w:w w:val="80"/>
        </w:rPr>
        <w:t xml:space="preserve">ꎬ </w:t>
      </w:r>
      <w:r>
        <w:t>违反法律</w:t>
      </w:r>
      <w:r>
        <w:rPr>
          <w:rFonts w:hint="eastAsia" w:ascii="MS UI Gothic" w:eastAsia="MS UI Gothic"/>
          <w:w w:val="80"/>
        </w:rPr>
        <w:t>、</w:t>
      </w:r>
      <w:r>
        <w:t>行政法规和建筑工程质量</w:t>
      </w:r>
      <w:r>
        <w:rPr>
          <w:rFonts w:hint="eastAsia" w:ascii="MS UI Gothic" w:eastAsia="MS UI Gothic"/>
          <w:w w:val="80"/>
        </w:rPr>
        <w:t xml:space="preserve">、 </w:t>
      </w:r>
      <w:r>
        <w:t>安全标准</w:t>
      </w:r>
      <w:r>
        <w:rPr>
          <w:rFonts w:hint="eastAsia" w:ascii="MS UI Gothic" w:eastAsia="MS UI Gothic"/>
          <w:w w:val="80"/>
        </w:rPr>
        <w:t xml:space="preserve">ꎬ </w:t>
      </w:r>
      <w:r>
        <w:t>降低工程质量</w:t>
      </w:r>
      <w:r>
        <w:rPr>
          <w:rFonts w:hint="eastAsia" w:ascii="MS UI Gothic" w:eastAsia="MS UI Gothic"/>
          <w:w w:val="80"/>
        </w:rPr>
        <w:t>ꎮ</w:t>
      </w:r>
    </w:p>
    <w:p>
      <w:pPr>
        <w:pStyle w:val="6"/>
        <w:spacing w:line="295" w:lineRule="auto"/>
        <w:ind w:right="442"/>
        <w:rPr>
          <w:rFonts w:hint="eastAsia" w:ascii="MS UI Gothic" w:eastAsia="MS UI Gothic"/>
        </w:rPr>
      </w:pPr>
      <w:r>
        <w:t>建筑设计单位和建筑施工企业对建设单位违反前款规定提出的降低工程质量的</w:t>
      </w:r>
      <w:r>
        <w:rPr>
          <w:w w:val="105"/>
        </w:rPr>
        <w:t>要求</w:t>
      </w:r>
      <w:r>
        <w:rPr>
          <w:rFonts w:hint="eastAsia" w:ascii="MS UI Gothic" w:eastAsia="MS UI Gothic"/>
          <w:w w:val="80"/>
        </w:rPr>
        <w:t xml:space="preserve">ꎬ </w:t>
      </w:r>
      <w:r>
        <w:rPr>
          <w:w w:val="105"/>
        </w:rPr>
        <w:t>应当予以拒绝</w:t>
      </w:r>
      <w:r>
        <w:rPr>
          <w:rFonts w:hint="eastAsia" w:ascii="MS UI Gothic" w:eastAsia="MS UI Gothic"/>
          <w:w w:val="80"/>
        </w:rPr>
        <w:t>ꎮ</w:t>
      </w:r>
    </w:p>
    <w:p>
      <w:pPr>
        <w:pStyle w:val="6"/>
        <w:spacing w:line="295" w:lineRule="auto"/>
        <w:ind w:right="440"/>
        <w:rPr>
          <w:rFonts w:hint="eastAsia" w:ascii="MS UI Gothic" w:eastAsia="MS UI Gothic"/>
        </w:rPr>
      </w:pPr>
      <w:r>
        <w:t>第五十五条  建筑工程实行总承包的</w:t>
      </w:r>
      <w:r>
        <w:rPr>
          <w:rFonts w:hint="eastAsia" w:ascii="MS UI Gothic" w:eastAsia="MS UI Gothic"/>
          <w:w w:val="80"/>
        </w:rPr>
        <w:t xml:space="preserve">ꎬ </w:t>
      </w:r>
      <w:r>
        <w:t>工程质量由工程总承包单位负责</w:t>
      </w:r>
      <w:r>
        <w:rPr>
          <w:rFonts w:hint="eastAsia" w:ascii="MS UI Gothic" w:eastAsia="MS UI Gothic"/>
          <w:w w:val="80"/>
        </w:rPr>
        <w:t xml:space="preserve">ꎬ </w:t>
      </w:r>
      <w:r>
        <w:t>总承包单位将建筑工程分包给其他单位的</w:t>
      </w:r>
      <w:r>
        <w:rPr>
          <w:rFonts w:hint="eastAsia" w:ascii="MS UI Gothic" w:eastAsia="MS UI Gothic"/>
          <w:w w:val="80"/>
        </w:rPr>
        <w:t>ꎬ</w:t>
      </w:r>
      <w:r>
        <w:t>应当对分包工程的质量与分包单位承担连带责任</w:t>
      </w:r>
      <w:r>
        <w:rPr>
          <w:rFonts w:hint="eastAsia" w:ascii="MS UI Gothic" w:eastAsia="MS UI Gothic"/>
          <w:w w:val="80"/>
        </w:rPr>
        <w:t xml:space="preserve">ꎮ </w:t>
      </w:r>
      <w:r>
        <w:t>分包单位应当接受总承包单位的质量管理</w:t>
      </w:r>
      <w:r>
        <w:rPr>
          <w:rFonts w:hint="eastAsia" w:ascii="MS UI Gothic" w:eastAsia="MS UI Gothic"/>
          <w:w w:val="80"/>
        </w:rPr>
        <w:t>ꎮ</w:t>
      </w:r>
    </w:p>
    <w:p>
      <w:pPr>
        <w:pStyle w:val="6"/>
        <w:spacing w:line="295" w:lineRule="auto"/>
        <w:ind w:right="442"/>
      </w:pPr>
      <w:r>
        <w:t>第五十六条 建筑工程的勘察</w:t>
      </w:r>
      <w:r>
        <w:rPr>
          <w:rFonts w:hint="eastAsia" w:ascii="MS UI Gothic" w:eastAsia="MS UI Gothic"/>
          <w:w w:val="80"/>
        </w:rPr>
        <w:t xml:space="preserve">、 </w:t>
      </w:r>
      <w:r>
        <w:t>设计单位必须对其勘察</w:t>
      </w:r>
      <w:r>
        <w:rPr>
          <w:rFonts w:hint="eastAsia" w:ascii="MS UI Gothic" w:eastAsia="MS UI Gothic"/>
          <w:w w:val="80"/>
        </w:rPr>
        <w:t xml:space="preserve">、 </w:t>
      </w:r>
      <w:r>
        <w:t>设计的质量负责</w:t>
      </w:r>
      <w:r>
        <w:rPr>
          <w:rFonts w:hint="eastAsia" w:ascii="MS UI Gothic" w:eastAsia="MS UI Gothic"/>
          <w:w w:val="80"/>
        </w:rPr>
        <w:t xml:space="preserve">ꎮ </w:t>
      </w:r>
      <w:r>
        <w:t>勘察</w:t>
      </w:r>
      <w:r>
        <w:rPr>
          <w:rFonts w:hint="eastAsia" w:ascii="MS UI Gothic" w:eastAsia="MS UI Gothic"/>
          <w:w w:val="80"/>
        </w:rPr>
        <w:t xml:space="preserve">、 </w:t>
      </w:r>
      <w:r>
        <w:t>设计文件应当符合有关法律</w:t>
      </w:r>
      <w:r>
        <w:rPr>
          <w:rFonts w:hint="eastAsia" w:ascii="MS UI Gothic" w:eastAsia="MS UI Gothic"/>
          <w:w w:val="80"/>
        </w:rPr>
        <w:t xml:space="preserve">、 </w:t>
      </w:r>
      <w:r>
        <w:t>行政法规的规定和建筑工程质量</w:t>
      </w:r>
      <w:r>
        <w:rPr>
          <w:rFonts w:hint="eastAsia" w:ascii="MS UI Gothic" w:eastAsia="MS UI Gothic"/>
          <w:w w:val="80"/>
        </w:rPr>
        <w:t xml:space="preserve">、 </w:t>
      </w:r>
      <w:r>
        <w:t>安全标准</w:t>
      </w:r>
      <w:r>
        <w:rPr>
          <w:rFonts w:hint="eastAsia" w:ascii="MS UI Gothic" w:eastAsia="MS UI Gothic"/>
          <w:w w:val="80"/>
        </w:rPr>
        <w:t xml:space="preserve">、 </w:t>
      </w:r>
      <w:r>
        <w:t>建筑工程勘察</w:t>
      </w:r>
      <w:r>
        <w:rPr>
          <w:rFonts w:hint="eastAsia" w:ascii="MS UI Gothic" w:eastAsia="MS UI Gothic"/>
          <w:w w:val="80"/>
        </w:rPr>
        <w:t xml:space="preserve">、 </w:t>
      </w:r>
      <w:r>
        <w:t>设计技术规范以及合同的约定</w:t>
      </w:r>
      <w:r>
        <w:rPr>
          <w:rFonts w:hint="eastAsia" w:ascii="MS UI Gothic" w:eastAsia="MS UI Gothic"/>
          <w:w w:val="80"/>
        </w:rPr>
        <w:t xml:space="preserve">ꎮ </w:t>
      </w:r>
      <w:r>
        <w:t>设计文件选用的建筑材料</w:t>
      </w:r>
      <w:r>
        <w:rPr>
          <w:rFonts w:hint="eastAsia" w:ascii="MS UI Gothic" w:eastAsia="MS UI Gothic"/>
          <w:w w:val="80"/>
        </w:rPr>
        <w:t xml:space="preserve">、 </w:t>
      </w:r>
      <w:r>
        <w:t>建筑构配</w:t>
      </w:r>
    </w:p>
    <w:p>
      <w:pPr>
        <w:spacing w:after="0" w:line="295" w:lineRule="auto"/>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４２９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85" o:spid="_x0000_s2285" o:spt="203" style="height:2.15pt;width:398.25pt;" coordsize="7965,43">
            <o:lock v:ext="edit"/>
            <v:line id="_x0000_s2286" o:spid="_x0000_s2286" o:spt="20" style="position:absolute;left:0;top:39;height:0;width:7965;" stroked="t" coordsize="21600,21600">
              <v:path arrowok="t"/>
              <v:fill focussize="0,0"/>
              <v:stroke weight="0.388031496062992pt" color="#231F20"/>
              <v:imagedata o:title=""/>
              <o:lock v:ext="edit"/>
            </v:line>
            <v:line id="_x0000_s2287" o:spid="_x0000_s228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件和设备</w:t>
      </w:r>
      <w:r>
        <w:rPr>
          <w:rFonts w:hint="eastAsia" w:ascii="MS UI Gothic" w:eastAsia="MS UI Gothic"/>
          <w:w w:val="80"/>
        </w:rPr>
        <w:t xml:space="preserve">ꎬ </w:t>
      </w:r>
      <w:r>
        <w:t>应当注明其规格</w:t>
      </w:r>
      <w:r>
        <w:rPr>
          <w:rFonts w:hint="eastAsia" w:ascii="MS UI Gothic" w:eastAsia="MS UI Gothic"/>
          <w:w w:val="80"/>
        </w:rPr>
        <w:t xml:space="preserve">、 </w:t>
      </w:r>
      <w:r>
        <w:t>型号</w:t>
      </w:r>
      <w:r>
        <w:rPr>
          <w:rFonts w:hint="eastAsia" w:ascii="MS UI Gothic" w:eastAsia="MS UI Gothic"/>
          <w:w w:val="80"/>
        </w:rPr>
        <w:t xml:space="preserve">、 </w:t>
      </w:r>
      <w:r>
        <w:t>性能等技术指标</w:t>
      </w:r>
      <w:r>
        <w:rPr>
          <w:rFonts w:hint="eastAsia" w:ascii="MS UI Gothic" w:eastAsia="MS UI Gothic"/>
          <w:w w:val="80"/>
        </w:rPr>
        <w:t xml:space="preserve">ꎬ </w:t>
      </w:r>
      <w:r>
        <w:t>其质量要求必须符合国家规定的标准</w:t>
      </w:r>
      <w:r>
        <w:rPr>
          <w:rFonts w:hint="eastAsia" w:ascii="MS UI Gothic" w:eastAsia="MS UI Gothic"/>
          <w:w w:val="80"/>
        </w:rPr>
        <w:t>ꎮ</w:t>
      </w:r>
    </w:p>
    <w:p>
      <w:pPr>
        <w:pStyle w:val="6"/>
        <w:spacing w:line="295" w:lineRule="auto"/>
        <w:ind w:left="440"/>
        <w:rPr>
          <w:rFonts w:hint="eastAsia" w:ascii="MS UI Gothic" w:eastAsia="MS UI Gothic"/>
        </w:rPr>
      </w:pPr>
      <w:r>
        <w:t>第五十七条 建筑设计单位对设计文件选用的建筑材料</w:t>
      </w:r>
      <w:r>
        <w:rPr>
          <w:rFonts w:hint="eastAsia" w:ascii="MS UI Gothic" w:eastAsia="MS UI Gothic"/>
          <w:w w:val="80"/>
        </w:rPr>
        <w:t xml:space="preserve">、 </w:t>
      </w:r>
      <w:r>
        <w:t>建筑构配件和设备</w:t>
      </w:r>
      <w:r>
        <w:rPr>
          <w:rFonts w:hint="eastAsia" w:ascii="MS UI Gothic" w:eastAsia="MS UI Gothic"/>
          <w:w w:val="80"/>
        </w:rPr>
        <w:t>ꎬ</w:t>
      </w:r>
      <w:r>
        <w:t>不得指定生产厂</w:t>
      </w:r>
      <w:r>
        <w:rPr>
          <w:rFonts w:hint="eastAsia" w:ascii="MS UI Gothic" w:eastAsia="MS UI Gothic"/>
          <w:w w:val="80"/>
        </w:rPr>
        <w:t xml:space="preserve">、 </w:t>
      </w:r>
      <w:r>
        <w:t>供应商</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第五十八条 建筑施工企业对工程的施工质量负责</w:t>
      </w:r>
      <w:r>
        <w:rPr>
          <w:rFonts w:hint="eastAsia" w:ascii="MS UI Gothic" w:eastAsia="MS UI Gothic"/>
          <w:w w:val="80"/>
        </w:rPr>
        <w:t>ꎮ</w:t>
      </w:r>
    </w:p>
    <w:p>
      <w:pPr>
        <w:pStyle w:val="6"/>
        <w:spacing w:line="295" w:lineRule="auto"/>
        <w:ind w:left="440" w:right="1"/>
        <w:rPr>
          <w:rFonts w:hint="eastAsia" w:ascii="MS UI Gothic" w:eastAsia="MS UI Gothic"/>
        </w:rPr>
      </w:pPr>
      <w:r>
        <w:t>建筑施工企业必须按照工程设计图纸和施工技术标准施工</w:t>
      </w:r>
      <w:r>
        <w:rPr>
          <w:rFonts w:hint="eastAsia" w:ascii="MS UI Gothic" w:eastAsia="MS UI Gothic"/>
          <w:w w:val="80"/>
        </w:rPr>
        <w:t xml:space="preserve">ꎬ </w:t>
      </w:r>
      <w:r>
        <w:t>不得偷工减料</w:t>
      </w:r>
      <w:r>
        <w:rPr>
          <w:rFonts w:hint="eastAsia" w:ascii="MS UI Gothic" w:eastAsia="MS UI Gothic"/>
          <w:w w:val="80"/>
        </w:rPr>
        <w:t xml:space="preserve">ꎮ </w:t>
      </w:r>
      <w:r>
        <w:t>工程设计的修改由原设计单位负责</w:t>
      </w:r>
      <w:r>
        <w:rPr>
          <w:rFonts w:hint="eastAsia" w:ascii="MS UI Gothic" w:eastAsia="MS UI Gothic"/>
          <w:w w:val="80"/>
        </w:rPr>
        <w:t xml:space="preserve">ꎬ </w:t>
      </w:r>
      <w:r>
        <w:t>建筑施工企业不得擅自修改工程设计</w:t>
      </w:r>
      <w:r>
        <w:rPr>
          <w:rFonts w:hint="eastAsia" w:ascii="MS UI Gothic" w:eastAsia="MS UI Gothic"/>
          <w:w w:val="80"/>
        </w:rPr>
        <w:t>ꎮ</w:t>
      </w:r>
    </w:p>
    <w:p>
      <w:pPr>
        <w:pStyle w:val="6"/>
        <w:spacing w:line="295" w:lineRule="auto"/>
        <w:ind w:left="440" w:right="1"/>
        <w:rPr>
          <w:rFonts w:hint="eastAsia" w:ascii="MS UI Gothic" w:eastAsia="MS UI Gothic"/>
        </w:rPr>
      </w:pPr>
      <w:r>
        <w:t>第五十九条 建筑施工企业必须按照工程设计要求</w:t>
      </w:r>
      <w:r>
        <w:rPr>
          <w:rFonts w:hint="eastAsia" w:ascii="MS UI Gothic" w:eastAsia="MS UI Gothic"/>
          <w:w w:val="80"/>
        </w:rPr>
        <w:t xml:space="preserve">、 </w:t>
      </w:r>
      <w:r>
        <w:t>施工技术标准和合同的约定</w:t>
      </w:r>
      <w:r>
        <w:rPr>
          <w:rFonts w:hint="eastAsia" w:ascii="MS UI Gothic" w:eastAsia="MS UI Gothic"/>
          <w:w w:val="80"/>
        </w:rPr>
        <w:t xml:space="preserve">ꎬ </w:t>
      </w:r>
      <w:r>
        <w:t>对建筑材料</w:t>
      </w:r>
      <w:r>
        <w:rPr>
          <w:rFonts w:hint="eastAsia" w:ascii="MS UI Gothic" w:eastAsia="MS UI Gothic"/>
          <w:w w:val="80"/>
        </w:rPr>
        <w:t xml:space="preserve">、 </w:t>
      </w:r>
      <w:r>
        <w:t>建筑构配件和设备进行检验</w:t>
      </w:r>
      <w:r>
        <w:rPr>
          <w:rFonts w:hint="eastAsia" w:ascii="MS UI Gothic" w:eastAsia="MS UI Gothic"/>
          <w:w w:val="80"/>
        </w:rPr>
        <w:t xml:space="preserve">ꎬ </w:t>
      </w:r>
      <w:r>
        <w:t>不合格的不得使用</w:t>
      </w:r>
      <w:r>
        <w:rPr>
          <w:rFonts w:hint="eastAsia" w:ascii="MS UI Gothic" w:eastAsia="MS UI Gothic"/>
          <w:w w:val="80"/>
        </w:rPr>
        <w:t>ꎮ</w:t>
      </w:r>
    </w:p>
    <w:p>
      <w:pPr>
        <w:pStyle w:val="6"/>
        <w:spacing w:line="295" w:lineRule="auto"/>
        <w:ind w:left="440" w:right="1"/>
        <w:rPr>
          <w:rFonts w:hint="eastAsia" w:ascii="MS UI Gothic" w:eastAsia="MS UI Gothic"/>
        </w:rPr>
      </w:pPr>
      <w:r>
        <w:t>第六十条  建筑物在合理使用寿命内</w:t>
      </w:r>
      <w:r>
        <w:rPr>
          <w:rFonts w:hint="eastAsia" w:ascii="MS UI Gothic" w:eastAsia="MS UI Gothic"/>
          <w:w w:val="80"/>
        </w:rPr>
        <w:t xml:space="preserve">ꎬ </w:t>
      </w:r>
      <w:r>
        <w:t>必须确保地基基础工程和主体结构的质量</w:t>
      </w:r>
      <w:r>
        <w:rPr>
          <w:rFonts w:hint="eastAsia" w:ascii="MS UI Gothic" w:eastAsia="MS UI Gothic"/>
          <w:w w:val="80"/>
        </w:rPr>
        <w:t>ꎮ</w:t>
      </w:r>
    </w:p>
    <w:p>
      <w:pPr>
        <w:pStyle w:val="6"/>
        <w:spacing w:line="295" w:lineRule="auto"/>
        <w:ind w:left="440" w:right="1"/>
        <w:rPr>
          <w:rFonts w:hint="eastAsia" w:ascii="MS UI Gothic" w:eastAsia="MS UI Gothic"/>
        </w:rPr>
      </w:pPr>
      <w:r>
        <w:t>建筑工程竣工时</w:t>
      </w:r>
      <w:r>
        <w:rPr>
          <w:rFonts w:hint="eastAsia" w:ascii="MS UI Gothic" w:eastAsia="MS UI Gothic"/>
          <w:w w:val="80"/>
        </w:rPr>
        <w:t xml:space="preserve">ꎬ </w:t>
      </w:r>
      <w:r>
        <w:t>屋顶</w:t>
      </w:r>
      <w:r>
        <w:rPr>
          <w:rFonts w:hint="eastAsia" w:ascii="MS UI Gothic" w:eastAsia="MS UI Gothic"/>
        </w:rPr>
        <w:t xml:space="preserve">、 </w:t>
      </w:r>
      <w:r>
        <w:t>墙面不得留有渗漏</w:t>
      </w:r>
      <w:r>
        <w:rPr>
          <w:rFonts w:hint="eastAsia" w:ascii="MS UI Gothic" w:eastAsia="MS UI Gothic"/>
        </w:rPr>
        <w:t xml:space="preserve">、 </w:t>
      </w:r>
      <w:r>
        <w:t>开裂等质量缺陷</w:t>
      </w:r>
      <w:r>
        <w:rPr>
          <w:rFonts w:hint="eastAsia" w:ascii="MS UI Gothic" w:eastAsia="MS UI Gothic"/>
          <w:w w:val="80"/>
        </w:rPr>
        <w:t xml:space="preserve">ꎻ </w:t>
      </w:r>
      <w:r>
        <w:t>对已发现的质量缺陷</w:t>
      </w:r>
      <w:r>
        <w:rPr>
          <w:rFonts w:hint="eastAsia" w:ascii="MS UI Gothic" w:eastAsia="MS UI Gothic"/>
          <w:w w:val="80"/>
        </w:rPr>
        <w:t xml:space="preserve">ꎬ </w:t>
      </w:r>
      <w:r>
        <w:t>建筑施工企业应当修复</w:t>
      </w:r>
      <w:r>
        <w:rPr>
          <w:rFonts w:hint="eastAsia" w:ascii="MS UI Gothic" w:eastAsia="MS UI Gothic"/>
          <w:w w:val="80"/>
        </w:rPr>
        <w:t>ꎮ</w:t>
      </w:r>
    </w:p>
    <w:p>
      <w:pPr>
        <w:pStyle w:val="6"/>
        <w:spacing w:line="295" w:lineRule="auto"/>
        <w:ind w:left="440"/>
        <w:rPr>
          <w:rFonts w:hint="eastAsia" w:ascii="MS UI Gothic" w:eastAsia="MS UI Gothic"/>
        </w:rPr>
      </w:pPr>
      <w:r>
        <w:t>第六十一条 交付竣工验收的建筑工程</w:t>
      </w:r>
      <w:r>
        <w:rPr>
          <w:rFonts w:hint="eastAsia" w:ascii="MS UI Gothic" w:eastAsia="MS UI Gothic"/>
          <w:w w:val="80"/>
        </w:rPr>
        <w:t xml:space="preserve">ꎬ </w:t>
      </w:r>
      <w:r>
        <w:t>必须符合规定的建筑工程质量标准</w:t>
      </w:r>
      <w:r>
        <w:rPr>
          <w:rFonts w:hint="eastAsia" w:ascii="MS UI Gothic" w:eastAsia="MS UI Gothic"/>
          <w:w w:val="80"/>
        </w:rPr>
        <w:t>ꎬ</w:t>
      </w:r>
      <w:r>
        <w:t>有完整的工程技术经济资料和经签署的工程保修书</w:t>
      </w:r>
      <w:r>
        <w:rPr>
          <w:rFonts w:hint="eastAsia" w:ascii="MS UI Gothic" w:eastAsia="MS UI Gothic"/>
          <w:w w:val="80"/>
        </w:rPr>
        <w:t xml:space="preserve">ꎬ </w:t>
      </w:r>
      <w:r>
        <w:t>并具备国家规定的其他竣工条件</w:t>
      </w:r>
      <w:r>
        <w:rPr>
          <w:rFonts w:hint="eastAsia" w:ascii="MS UI Gothic" w:eastAsia="MS UI Gothic"/>
          <w:w w:val="80"/>
        </w:rPr>
        <w:t>ꎮ</w:t>
      </w:r>
    </w:p>
    <w:p>
      <w:pPr>
        <w:pStyle w:val="6"/>
        <w:spacing w:line="295" w:lineRule="auto"/>
        <w:ind w:left="440" w:right="1"/>
        <w:rPr>
          <w:rFonts w:hint="eastAsia" w:ascii="MS UI Gothic" w:eastAsia="MS UI Gothic"/>
        </w:rPr>
      </w:pPr>
      <w:r>
        <w:t>建筑工程竣工经验收合格后</w:t>
      </w:r>
      <w:r>
        <w:rPr>
          <w:rFonts w:hint="eastAsia" w:ascii="MS UI Gothic" w:eastAsia="MS UI Gothic"/>
          <w:w w:val="80"/>
        </w:rPr>
        <w:t xml:space="preserve">ꎬ </w:t>
      </w:r>
      <w:r>
        <w:t>方可交付使用</w:t>
      </w:r>
      <w:r>
        <w:rPr>
          <w:rFonts w:hint="eastAsia" w:ascii="MS UI Gothic" w:eastAsia="MS UI Gothic"/>
          <w:w w:val="80"/>
        </w:rPr>
        <w:t xml:space="preserve">ꎻ </w:t>
      </w:r>
      <w:r>
        <w:t>未经验收或者验收不合格的</w:t>
      </w:r>
      <w:r>
        <w:rPr>
          <w:rFonts w:hint="eastAsia" w:ascii="MS UI Gothic" w:eastAsia="MS UI Gothic"/>
          <w:w w:val="80"/>
        </w:rPr>
        <w:t xml:space="preserve">ꎬ </w:t>
      </w:r>
      <w:r>
        <w:t>不得交付使用</w:t>
      </w:r>
      <w:r>
        <w:rPr>
          <w:rFonts w:hint="eastAsia" w:ascii="MS UI Gothic" w:eastAsia="MS UI Gothic"/>
          <w:w w:val="80"/>
        </w:rPr>
        <w:t>ꎮ</w:t>
      </w:r>
    </w:p>
    <w:p>
      <w:pPr>
        <w:pStyle w:val="6"/>
        <w:spacing w:line="295" w:lineRule="auto"/>
        <w:ind w:left="440" w:right="1"/>
        <w:rPr>
          <w:rFonts w:hint="eastAsia" w:ascii="MS UI Gothic" w:eastAsia="MS UI Gothic"/>
        </w:rPr>
      </w:pPr>
      <w:r>
        <w:t>第六十二条 建筑工程实行质量保修制度</w:t>
      </w:r>
      <w:r>
        <w:rPr>
          <w:rFonts w:hint="eastAsia" w:ascii="MS UI Gothic" w:eastAsia="MS UI Gothic"/>
          <w:w w:val="80"/>
        </w:rPr>
        <w:t>ꎮ</w:t>
      </w:r>
    </w:p>
    <w:p>
      <w:pPr>
        <w:pStyle w:val="6"/>
        <w:spacing w:line="295" w:lineRule="auto"/>
        <w:ind w:left="440" w:right="1"/>
      </w:pPr>
      <w:r>
        <w:t>建筑工程的保修范围应当包括地基基础工程</w:t>
      </w:r>
      <w:r>
        <w:rPr>
          <w:rFonts w:hint="eastAsia" w:ascii="MS UI Gothic" w:eastAsia="MS UI Gothic"/>
          <w:w w:val="80"/>
        </w:rPr>
        <w:t xml:space="preserve">、 </w:t>
      </w:r>
      <w:r>
        <w:t>主体结构工程</w:t>
      </w:r>
      <w:r>
        <w:rPr>
          <w:rFonts w:hint="eastAsia" w:ascii="MS UI Gothic" w:eastAsia="MS UI Gothic"/>
          <w:w w:val="80"/>
        </w:rPr>
        <w:t xml:space="preserve">、 </w:t>
      </w:r>
      <w:r>
        <w:t>屋面防水工程和其他土建工程</w:t>
      </w:r>
      <w:r>
        <w:rPr>
          <w:rFonts w:hint="eastAsia" w:ascii="MS UI Gothic" w:eastAsia="MS UI Gothic"/>
          <w:w w:val="80"/>
        </w:rPr>
        <w:t xml:space="preserve">ꎬ </w:t>
      </w:r>
      <w:r>
        <w:t>以及电气管线</w:t>
      </w:r>
      <w:r>
        <w:rPr>
          <w:rFonts w:hint="eastAsia" w:ascii="MS UI Gothic" w:eastAsia="MS UI Gothic"/>
          <w:w w:val="80"/>
        </w:rPr>
        <w:t xml:space="preserve">、 </w:t>
      </w:r>
      <w:r>
        <w:t>上下水管线的安装工程</w:t>
      </w:r>
      <w:r>
        <w:rPr>
          <w:rFonts w:hint="eastAsia" w:ascii="MS UI Gothic" w:eastAsia="MS UI Gothic"/>
          <w:w w:val="80"/>
        </w:rPr>
        <w:t xml:space="preserve">ꎬ </w:t>
      </w:r>
      <w:r>
        <w:t>供热</w:t>
      </w:r>
      <w:r>
        <w:rPr>
          <w:rFonts w:hint="eastAsia" w:ascii="MS UI Gothic" w:eastAsia="MS UI Gothic"/>
          <w:w w:val="80"/>
        </w:rPr>
        <w:t xml:space="preserve">、 </w:t>
      </w:r>
      <w:r>
        <w:t>供冷系统工程等项目</w:t>
      </w:r>
      <w:r>
        <w:rPr>
          <w:rFonts w:hint="eastAsia" w:ascii="MS UI Gothic" w:eastAsia="MS UI Gothic"/>
          <w:w w:val="80"/>
        </w:rPr>
        <w:t xml:space="preserve">ꎻ </w:t>
      </w:r>
      <w:r>
        <w:t>保修的期限应当按照保证建筑物合理寿命年限内正常使用</w:t>
      </w:r>
      <w:r>
        <w:rPr>
          <w:rFonts w:hint="eastAsia" w:ascii="MS UI Gothic" w:eastAsia="MS UI Gothic"/>
          <w:w w:val="80"/>
        </w:rPr>
        <w:t xml:space="preserve">ꎬ </w:t>
      </w:r>
      <w:r>
        <w:t>维护使用者合法权益的原则确定</w:t>
      </w:r>
      <w:r>
        <w:rPr>
          <w:rFonts w:hint="eastAsia" w:ascii="MS UI Gothic" w:eastAsia="MS UI Gothic"/>
          <w:w w:val="80"/>
        </w:rPr>
        <w:t xml:space="preserve">ꎮ </w:t>
      </w:r>
      <w:r>
        <w:t>具体的保修范围和最低保</w:t>
      </w:r>
    </w:p>
    <w:p>
      <w:pPr>
        <w:pStyle w:val="6"/>
        <w:spacing w:before="124"/>
        <w:ind w:left="381" w:firstLine="0"/>
        <w:jc w:val="left"/>
        <w:rPr>
          <w:rFonts w:hint="eastAsia" w:ascii="MS UI Gothic" w:eastAsia="MS UI Gothic"/>
        </w:rPr>
      </w:pPr>
      <w:r>
        <w:br w:type="column"/>
      </w:r>
      <w:r>
        <w:t>修期限由国务院规定</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w w:val="105"/>
        </w:rPr>
        <w:t>第六十三条 任何单位和个人对建筑工程的质量事故</w:t>
      </w:r>
      <w:r>
        <w:rPr>
          <w:rFonts w:hint="eastAsia" w:ascii="MS UI Gothic" w:eastAsia="MS UI Gothic"/>
          <w:w w:val="80"/>
        </w:rPr>
        <w:t xml:space="preserve">、 </w:t>
      </w:r>
      <w:r>
        <w:rPr>
          <w:w w:val="105"/>
        </w:rPr>
        <w:t>质量缺陷都有权向建设</w:t>
      </w:r>
      <w:r>
        <w:t>行政主管部门或者其他有关部门进行检</w:t>
      </w:r>
      <w:r>
        <w:rPr>
          <w:w w:val="105"/>
        </w:rPr>
        <w:t>举</w:t>
      </w:r>
      <w:r>
        <w:rPr>
          <w:rFonts w:hint="eastAsia" w:ascii="MS UI Gothic" w:eastAsia="MS UI Gothic"/>
          <w:w w:val="80"/>
        </w:rPr>
        <w:t xml:space="preserve">、 </w:t>
      </w:r>
      <w:r>
        <w:rPr>
          <w:w w:val="105"/>
        </w:rPr>
        <w:t>控告</w:t>
      </w:r>
      <w:r>
        <w:rPr>
          <w:rFonts w:hint="eastAsia" w:ascii="MS UI Gothic" w:eastAsia="MS UI Gothic"/>
          <w:w w:val="80"/>
        </w:rPr>
        <w:t xml:space="preserve">、 </w:t>
      </w:r>
      <w:r>
        <w:rPr>
          <w:w w:val="105"/>
        </w:rPr>
        <w:t>投诉</w:t>
      </w:r>
      <w:r>
        <w:rPr>
          <w:rFonts w:hint="eastAsia" w:ascii="MS UI Gothic" w:eastAsia="MS UI Gothic"/>
          <w:w w:val="80"/>
        </w:rPr>
        <w:t>ꎮ</w:t>
      </w:r>
    </w:p>
    <w:p>
      <w:pPr>
        <w:pStyle w:val="6"/>
        <w:tabs>
          <w:tab w:val="left" w:pos="2162"/>
        </w:tabs>
        <w:spacing w:before="154"/>
        <w:ind w:left="1324" w:firstLine="0"/>
        <w:jc w:val="left"/>
      </w:pPr>
      <w:r>
        <w:rPr>
          <w:spacing w:val="3"/>
          <w:w w:val="105"/>
        </w:rPr>
        <w:t>第七</w:t>
      </w:r>
      <w:r>
        <w:rPr>
          <w:w w:val="105"/>
        </w:rPr>
        <w:t>章</w:t>
      </w:r>
      <w:r>
        <w:rPr>
          <w:w w:val="105"/>
        </w:rPr>
        <w:tab/>
      </w:r>
      <w:r>
        <w:rPr>
          <w:w w:val="105"/>
        </w:rPr>
        <w:t>法</w:t>
      </w:r>
      <w:r>
        <w:rPr>
          <w:spacing w:val="-33"/>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left="381" w:right="126"/>
        <w:rPr>
          <w:rFonts w:hint="eastAsia" w:ascii="MS UI Gothic" w:eastAsia="MS UI Gothic"/>
        </w:rPr>
      </w:pPr>
      <w:r>
        <w:t>第六十四条 违反本法规定</w:t>
      </w:r>
      <w:r>
        <w:rPr>
          <w:rFonts w:hint="eastAsia" w:ascii="MS UI Gothic" w:eastAsia="MS UI Gothic"/>
          <w:w w:val="80"/>
        </w:rPr>
        <w:t xml:space="preserve">ꎬ </w:t>
      </w:r>
      <w:r>
        <w:t>未取得施工许可证或者开工报告未经批准擅自施工的</w:t>
      </w:r>
      <w:r>
        <w:rPr>
          <w:rFonts w:hint="eastAsia" w:ascii="MS UI Gothic" w:eastAsia="MS UI Gothic"/>
          <w:w w:val="80"/>
        </w:rPr>
        <w:t xml:space="preserve">ꎬ </w:t>
      </w:r>
      <w:r>
        <w:t>责令改正</w:t>
      </w:r>
      <w:r>
        <w:rPr>
          <w:rFonts w:hint="eastAsia" w:ascii="MS UI Gothic" w:eastAsia="MS UI Gothic"/>
          <w:w w:val="80"/>
        </w:rPr>
        <w:t xml:space="preserve">ꎬ </w:t>
      </w:r>
      <w:r>
        <w:t>对不符合开工条件的责令停止施工</w:t>
      </w:r>
      <w:r>
        <w:rPr>
          <w:rFonts w:hint="eastAsia" w:ascii="MS UI Gothic" w:eastAsia="MS UI Gothic"/>
          <w:w w:val="80"/>
        </w:rPr>
        <w:t xml:space="preserve">ꎬ </w:t>
      </w:r>
      <w:r>
        <w:t>可以处以罚款</w:t>
      </w:r>
      <w:r>
        <w:rPr>
          <w:rFonts w:hint="eastAsia" w:ascii="MS UI Gothic" w:eastAsia="MS UI Gothic"/>
          <w:w w:val="80"/>
        </w:rPr>
        <w:t>ꎮ</w:t>
      </w:r>
    </w:p>
    <w:p>
      <w:pPr>
        <w:pStyle w:val="6"/>
        <w:spacing w:line="295" w:lineRule="auto"/>
        <w:ind w:left="381" w:right="126"/>
        <w:rPr>
          <w:rFonts w:hint="eastAsia" w:ascii="MS UI Gothic" w:eastAsia="MS UI Gothic"/>
        </w:rPr>
      </w:pPr>
      <w:r>
        <w:t>第六十五条 发包单位将工程发包给不具有相应资质条件的承包单位的</w:t>
      </w:r>
      <w:r>
        <w:rPr>
          <w:rFonts w:hint="eastAsia" w:ascii="MS UI Gothic" w:eastAsia="MS UI Gothic"/>
          <w:w w:val="80"/>
        </w:rPr>
        <w:t xml:space="preserve">ꎬ </w:t>
      </w:r>
      <w:r>
        <w:t>或者违反本法规定将建筑工程肢解发包的</w:t>
      </w:r>
      <w:r>
        <w:rPr>
          <w:rFonts w:hint="eastAsia" w:ascii="MS UI Gothic" w:eastAsia="MS UI Gothic"/>
          <w:w w:val="80"/>
        </w:rPr>
        <w:t xml:space="preserve">ꎬ </w:t>
      </w:r>
      <w:r>
        <w:t>责令改正</w:t>
      </w:r>
      <w:r>
        <w:rPr>
          <w:rFonts w:hint="eastAsia" w:ascii="MS UI Gothic" w:eastAsia="MS UI Gothic"/>
          <w:w w:val="80"/>
        </w:rPr>
        <w:t xml:space="preserve">ꎬ </w:t>
      </w:r>
      <w:r>
        <w:t>处以罚款</w:t>
      </w:r>
      <w:r>
        <w:rPr>
          <w:rFonts w:hint="eastAsia" w:ascii="MS UI Gothic" w:eastAsia="MS UI Gothic"/>
          <w:w w:val="80"/>
        </w:rPr>
        <w:t>ꎮ</w:t>
      </w:r>
    </w:p>
    <w:p>
      <w:pPr>
        <w:pStyle w:val="6"/>
        <w:spacing w:line="295" w:lineRule="auto"/>
        <w:ind w:left="381" w:right="126"/>
        <w:rPr>
          <w:rFonts w:hint="eastAsia" w:ascii="MS UI Gothic" w:eastAsia="MS UI Gothic"/>
        </w:rPr>
      </w:pPr>
      <w:r>
        <w:t>超越本单位资质等级承揽工程的</w:t>
      </w:r>
      <w:r>
        <w:rPr>
          <w:rFonts w:hint="eastAsia" w:ascii="MS UI Gothic" w:eastAsia="MS UI Gothic"/>
          <w:w w:val="80"/>
        </w:rPr>
        <w:t xml:space="preserve">ꎬ </w:t>
      </w:r>
      <w:r>
        <w:t>责令停止违法行为</w:t>
      </w:r>
      <w:r>
        <w:rPr>
          <w:rFonts w:hint="eastAsia" w:ascii="MS UI Gothic" w:eastAsia="MS UI Gothic"/>
          <w:w w:val="80"/>
        </w:rPr>
        <w:t xml:space="preserve">ꎬ </w:t>
      </w:r>
      <w:r>
        <w:t>处以罚款</w:t>
      </w:r>
      <w:r>
        <w:rPr>
          <w:rFonts w:hint="eastAsia" w:ascii="MS UI Gothic" w:eastAsia="MS UI Gothic"/>
          <w:w w:val="80"/>
        </w:rPr>
        <w:t xml:space="preserve">ꎬ </w:t>
      </w:r>
      <w:r>
        <w:t>可以责令停业整顿</w:t>
      </w:r>
      <w:r>
        <w:rPr>
          <w:rFonts w:hint="eastAsia" w:ascii="MS UI Gothic" w:eastAsia="MS UI Gothic"/>
          <w:w w:val="80"/>
        </w:rPr>
        <w:t xml:space="preserve">ꎬ </w:t>
      </w:r>
      <w:r>
        <w:t>降低资质等级</w:t>
      </w:r>
      <w:r>
        <w:rPr>
          <w:rFonts w:hint="eastAsia" w:ascii="MS UI Gothic" w:eastAsia="MS UI Gothic"/>
          <w:w w:val="80"/>
        </w:rPr>
        <w:t xml:space="preserve">ꎻ </w:t>
      </w:r>
      <w:r>
        <w:t>情节严重的</w:t>
      </w:r>
      <w:r>
        <w:rPr>
          <w:rFonts w:hint="eastAsia" w:ascii="MS UI Gothic" w:eastAsia="MS UI Gothic"/>
          <w:w w:val="80"/>
        </w:rPr>
        <w:t xml:space="preserve">ꎬ </w:t>
      </w:r>
      <w:r>
        <w:t>吊销资质证书</w:t>
      </w:r>
      <w:r>
        <w:rPr>
          <w:rFonts w:hint="eastAsia" w:ascii="MS UI Gothic" w:eastAsia="MS UI Gothic"/>
          <w:w w:val="80"/>
        </w:rPr>
        <w:t xml:space="preserve">ꎻ </w:t>
      </w:r>
      <w:r>
        <w:t>有违法所得的</w:t>
      </w:r>
      <w:r>
        <w:rPr>
          <w:rFonts w:hint="eastAsia" w:ascii="MS UI Gothic" w:eastAsia="MS UI Gothic"/>
          <w:w w:val="80"/>
        </w:rPr>
        <w:t xml:space="preserve">ꎬ </w:t>
      </w:r>
      <w:r>
        <w:t>予以没收</w:t>
      </w:r>
      <w:r>
        <w:rPr>
          <w:rFonts w:hint="eastAsia" w:ascii="MS UI Gothic" w:eastAsia="MS UI Gothic"/>
          <w:w w:val="80"/>
        </w:rPr>
        <w:t>ꎮ</w:t>
      </w:r>
    </w:p>
    <w:p>
      <w:pPr>
        <w:pStyle w:val="6"/>
        <w:spacing w:line="295" w:lineRule="auto"/>
        <w:ind w:left="381" w:right="126"/>
        <w:rPr>
          <w:rFonts w:hint="eastAsia" w:ascii="MS UI Gothic" w:eastAsia="MS UI Gothic"/>
        </w:rPr>
      </w:pPr>
      <w:r>
        <w:t>未取得资质证书承揽工程的</w:t>
      </w:r>
      <w:r>
        <w:rPr>
          <w:rFonts w:hint="eastAsia" w:ascii="MS UI Gothic" w:eastAsia="MS UI Gothic"/>
          <w:w w:val="80"/>
        </w:rPr>
        <w:t xml:space="preserve">ꎬ </w:t>
      </w:r>
      <w:r>
        <w:t>予以取缔</w:t>
      </w:r>
      <w:r>
        <w:rPr>
          <w:rFonts w:hint="eastAsia" w:ascii="MS UI Gothic" w:eastAsia="MS UI Gothic"/>
          <w:w w:val="80"/>
        </w:rPr>
        <w:t xml:space="preserve">ꎬ </w:t>
      </w:r>
      <w:r>
        <w:t>并处罚款</w:t>
      </w:r>
      <w:r>
        <w:rPr>
          <w:rFonts w:hint="eastAsia" w:ascii="MS UI Gothic" w:eastAsia="MS UI Gothic"/>
          <w:w w:val="80"/>
        </w:rPr>
        <w:t xml:space="preserve">ꎻ </w:t>
      </w:r>
      <w:r>
        <w:t>有违法所得的</w:t>
      </w:r>
      <w:r>
        <w:rPr>
          <w:rFonts w:hint="eastAsia" w:ascii="MS UI Gothic" w:eastAsia="MS UI Gothic"/>
          <w:w w:val="80"/>
        </w:rPr>
        <w:t xml:space="preserve">ꎬ </w:t>
      </w:r>
      <w:r>
        <w:t>予以没收</w:t>
      </w:r>
      <w:r>
        <w:rPr>
          <w:rFonts w:hint="eastAsia" w:ascii="MS UI Gothic" w:eastAsia="MS UI Gothic"/>
          <w:w w:val="80"/>
        </w:rPr>
        <w:t>ꎮ</w:t>
      </w:r>
    </w:p>
    <w:p>
      <w:pPr>
        <w:pStyle w:val="6"/>
        <w:spacing w:line="295" w:lineRule="auto"/>
        <w:ind w:left="381" w:right="126"/>
        <w:rPr>
          <w:rFonts w:hint="eastAsia" w:ascii="MS UI Gothic" w:eastAsia="MS UI Gothic"/>
        </w:rPr>
      </w:pPr>
      <w:r>
        <w:t>以欺骗手段取得资质证书的</w:t>
      </w:r>
      <w:r>
        <w:rPr>
          <w:rFonts w:hint="eastAsia" w:ascii="MS UI Gothic" w:eastAsia="MS UI Gothic"/>
          <w:w w:val="80"/>
        </w:rPr>
        <w:t xml:space="preserve">ꎬ </w:t>
      </w:r>
      <w:r>
        <w:t>吊销资质证书</w:t>
      </w:r>
      <w:r>
        <w:rPr>
          <w:rFonts w:hint="eastAsia" w:ascii="MS UI Gothic" w:eastAsia="MS UI Gothic"/>
          <w:w w:val="80"/>
        </w:rPr>
        <w:t xml:space="preserve">ꎬ </w:t>
      </w:r>
      <w:r>
        <w:t>处以罚款</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第六十六条 建筑施工企业转让</w:t>
      </w:r>
      <w:r>
        <w:rPr>
          <w:rFonts w:hint="eastAsia" w:ascii="MS UI Gothic" w:eastAsia="MS UI Gothic"/>
          <w:w w:val="80"/>
        </w:rPr>
        <w:t xml:space="preserve">、 </w:t>
      </w:r>
      <w:r>
        <w:t>出借资质证书或者以其他方式允许他人以本企业的名义承揽工程的</w:t>
      </w:r>
      <w:r>
        <w:rPr>
          <w:rFonts w:hint="eastAsia" w:ascii="MS UI Gothic" w:eastAsia="MS UI Gothic"/>
          <w:w w:val="80"/>
        </w:rPr>
        <w:t xml:space="preserve">ꎬ </w:t>
      </w:r>
      <w:r>
        <w:t>责令改正</w:t>
      </w:r>
      <w:r>
        <w:rPr>
          <w:rFonts w:hint="eastAsia" w:ascii="MS UI Gothic" w:eastAsia="MS UI Gothic"/>
          <w:w w:val="80"/>
        </w:rPr>
        <w:t xml:space="preserve">ꎬ </w:t>
      </w:r>
      <w:r>
        <w:t>没收违法所得</w:t>
      </w:r>
      <w:r>
        <w:rPr>
          <w:rFonts w:hint="eastAsia" w:ascii="MS UI Gothic" w:eastAsia="MS UI Gothic"/>
          <w:w w:val="80"/>
        </w:rPr>
        <w:t xml:space="preserve">ꎬ </w:t>
      </w:r>
      <w:r>
        <w:t>并处罚款</w:t>
      </w:r>
      <w:r>
        <w:rPr>
          <w:rFonts w:hint="eastAsia" w:ascii="MS UI Gothic" w:eastAsia="MS UI Gothic"/>
          <w:w w:val="80"/>
        </w:rPr>
        <w:t xml:space="preserve">ꎬ </w:t>
      </w:r>
      <w:r>
        <w:t>可以责令停业整顿</w:t>
      </w:r>
      <w:r>
        <w:rPr>
          <w:rFonts w:hint="eastAsia" w:ascii="MS UI Gothic" w:eastAsia="MS UI Gothic"/>
          <w:w w:val="80"/>
        </w:rPr>
        <w:t xml:space="preserve">ꎬ </w:t>
      </w:r>
      <w:r>
        <w:t>降低资质等级</w:t>
      </w:r>
      <w:r>
        <w:rPr>
          <w:rFonts w:hint="eastAsia" w:ascii="MS UI Gothic" w:eastAsia="MS UI Gothic"/>
          <w:w w:val="80"/>
        </w:rPr>
        <w:t xml:space="preserve">ꎻ </w:t>
      </w:r>
      <w:r>
        <w:t>情节严重的</w:t>
      </w:r>
      <w:r>
        <w:rPr>
          <w:rFonts w:hint="eastAsia" w:ascii="MS UI Gothic" w:eastAsia="MS UI Gothic"/>
          <w:w w:val="80"/>
        </w:rPr>
        <w:t xml:space="preserve">ꎬ </w:t>
      </w:r>
      <w:r>
        <w:t>吊销资质证书</w:t>
      </w:r>
      <w:r>
        <w:rPr>
          <w:rFonts w:hint="eastAsia" w:ascii="MS UI Gothic" w:eastAsia="MS UI Gothic"/>
          <w:w w:val="80"/>
        </w:rPr>
        <w:t xml:space="preserve">ꎮ </w:t>
      </w:r>
      <w:r>
        <w:t>对因该项承揽工程不符合规定的质量标准造成的损失</w:t>
      </w:r>
      <w:r>
        <w:rPr>
          <w:rFonts w:hint="eastAsia" w:ascii="MS UI Gothic" w:eastAsia="MS UI Gothic"/>
          <w:w w:val="80"/>
        </w:rPr>
        <w:t xml:space="preserve">ꎬ </w:t>
      </w:r>
      <w:r>
        <w:t>建筑施工企业与使用本企业名义的单位或者个人承担连带赔偿责任</w:t>
      </w:r>
      <w:r>
        <w:rPr>
          <w:rFonts w:hint="eastAsia" w:ascii="MS UI Gothic" w:eastAsia="MS UI Gothic"/>
          <w:w w:val="80"/>
        </w:rPr>
        <w:t>ꎮ</w:t>
      </w:r>
    </w:p>
    <w:p>
      <w:pPr>
        <w:pStyle w:val="6"/>
        <w:spacing w:line="295" w:lineRule="auto"/>
        <w:ind w:left="381" w:right="124"/>
        <w:rPr>
          <w:rFonts w:hint="eastAsia" w:ascii="MS UI Gothic" w:eastAsia="MS UI Gothic"/>
        </w:rPr>
      </w:pPr>
      <w:r>
        <w:t>第六十七条 承包单位将承包的工程转包的</w:t>
      </w:r>
      <w:r>
        <w:rPr>
          <w:rFonts w:hint="eastAsia" w:ascii="MS UI Gothic" w:eastAsia="MS UI Gothic"/>
          <w:w w:val="80"/>
        </w:rPr>
        <w:t xml:space="preserve">ꎬ </w:t>
      </w:r>
      <w:r>
        <w:t>或者违反本法规定进行分包的</w:t>
      </w:r>
      <w:r>
        <w:rPr>
          <w:rFonts w:hint="eastAsia" w:ascii="MS UI Gothic" w:eastAsia="MS UI Gothic"/>
          <w:w w:val="80"/>
        </w:rPr>
        <w:t>ꎬ</w:t>
      </w:r>
      <w:r>
        <w:t>责令改正</w:t>
      </w:r>
      <w:r>
        <w:rPr>
          <w:rFonts w:hint="eastAsia" w:ascii="MS UI Gothic" w:eastAsia="MS UI Gothic"/>
          <w:w w:val="80"/>
        </w:rPr>
        <w:t xml:space="preserve">ꎬ </w:t>
      </w:r>
      <w:r>
        <w:t>没收违法所得</w:t>
      </w:r>
      <w:r>
        <w:rPr>
          <w:rFonts w:hint="eastAsia" w:ascii="MS UI Gothic" w:eastAsia="MS UI Gothic"/>
          <w:w w:val="80"/>
        </w:rPr>
        <w:t xml:space="preserve">ꎬ </w:t>
      </w:r>
      <w:r>
        <w:t>并处罚款</w:t>
      </w:r>
      <w:r>
        <w:rPr>
          <w:rFonts w:hint="eastAsia" w:ascii="MS UI Gothic" w:eastAsia="MS UI Gothic"/>
          <w:w w:val="80"/>
        </w:rPr>
        <w:t xml:space="preserve">ꎬ </w:t>
      </w:r>
      <w:r>
        <w:t>可以责令停业整顿</w:t>
      </w:r>
      <w:r>
        <w:rPr>
          <w:rFonts w:hint="eastAsia" w:ascii="MS UI Gothic" w:eastAsia="MS UI Gothic"/>
          <w:w w:val="80"/>
        </w:rPr>
        <w:t xml:space="preserve">ꎬ </w:t>
      </w:r>
      <w:r>
        <w:t>降低资质等级</w:t>
      </w:r>
      <w:r>
        <w:rPr>
          <w:rFonts w:hint="eastAsia" w:ascii="MS UI Gothic" w:eastAsia="MS UI Gothic"/>
          <w:w w:val="80"/>
        </w:rPr>
        <w:t xml:space="preserve">ꎻ </w:t>
      </w:r>
      <w:r>
        <w:t>情节严重的</w:t>
      </w:r>
      <w:r>
        <w:rPr>
          <w:rFonts w:hint="eastAsia" w:ascii="MS UI Gothic" w:eastAsia="MS UI Gothic"/>
          <w:w w:val="80"/>
        </w:rPr>
        <w:t xml:space="preserve">ꎬ </w:t>
      </w:r>
      <w:r>
        <w:t>吊销资质证书</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４３０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288" o:spid="_x0000_s2288" o:spt="203" style="height:2.15pt;width:398.25pt;" coordsize="7965,43">
            <o:lock v:ext="edit"/>
            <v:line id="_x0000_s2289" o:spid="_x0000_s2289" o:spt="20" style="position:absolute;left:0;top:39;height:0;width:7965;" stroked="t" coordsize="21600,21600">
              <v:path arrowok="t"/>
              <v:fill focussize="0,0"/>
              <v:stroke weight="0.388031496062992pt" color="#231F20"/>
              <v:imagedata o:title=""/>
              <o:lock v:ext="edit"/>
            </v:line>
            <v:line id="_x0000_s2290" o:spid="_x0000_s229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spacing w:val="6"/>
        </w:rPr>
        <w:t>承包单位有前款规定的违法行为的</w:t>
      </w:r>
      <w:r>
        <w:rPr>
          <w:rFonts w:hint="eastAsia" w:ascii="MS UI Gothic" w:eastAsia="MS UI Gothic"/>
          <w:w w:val="80"/>
        </w:rPr>
        <w:t>ꎬ</w:t>
      </w:r>
      <w:r>
        <w:rPr>
          <w:spacing w:val="2"/>
        </w:rPr>
        <w:t>对因转包工程或者违法分包的工程不符合</w:t>
      </w:r>
      <w:r>
        <w:rPr>
          <w:spacing w:val="3"/>
        </w:rPr>
        <w:t>规定的质量标准造成的损失</w:t>
      </w:r>
      <w:r>
        <w:rPr>
          <w:rFonts w:hint="eastAsia" w:ascii="MS UI Gothic" w:eastAsia="MS UI Gothic"/>
          <w:spacing w:val="21"/>
          <w:w w:val="80"/>
        </w:rPr>
        <w:t xml:space="preserve">ꎬ </w:t>
      </w:r>
      <w:r>
        <w:rPr>
          <w:spacing w:val="2"/>
        </w:rPr>
        <w:t>与接受转包</w:t>
      </w:r>
      <w:r>
        <w:rPr>
          <w:spacing w:val="3"/>
          <w:w w:val="105"/>
        </w:rPr>
        <w:t>或者分包的单位承担连带赔偿责任</w:t>
      </w:r>
      <w:r>
        <w:rPr>
          <w:rFonts w:hint="eastAsia" w:ascii="MS UI Gothic" w:eastAsia="MS UI Gothic"/>
          <w:w w:val="80"/>
        </w:rPr>
        <w:t>ꎮ</w:t>
      </w:r>
    </w:p>
    <w:p>
      <w:pPr>
        <w:pStyle w:val="6"/>
        <w:spacing w:line="295" w:lineRule="auto"/>
        <w:ind w:right="39"/>
        <w:rPr>
          <w:rFonts w:hint="eastAsia" w:ascii="MS UI Gothic" w:eastAsia="MS UI Gothic"/>
        </w:rPr>
      </w:pPr>
      <w:r>
        <w:rPr>
          <w:spacing w:val="4"/>
        </w:rPr>
        <w:t>第六十八条 在工程发包与承包中索</w:t>
      </w:r>
      <w:r>
        <w:rPr>
          <w:spacing w:val="3"/>
        </w:rPr>
        <w:t>贿</w:t>
      </w:r>
      <w:r>
        <w:rPr>
          <w:rFonts w:hint="eastAsia" w:ascii="MS UI Gothic" w:eastAsia="MS UI Gothic"/>
          <w:spacing w:val="23"/>
          <w:w w:val="80"/>
        </w:rPr>
        <w:t xml:space="preserve">、 </w:t>
      </w:r>
      <w:r>
        <w:rPr>
          <w:spacing w:val="3"/>
        </w:rPr>
        <w:t>受贿</w:t>
      </w:r>
      <w:r>
        <w:rPr>
          <w:rFonts w:hint="eastAsia" w:ascii="MS UI Gothic" w:eastAsia="MS UI Gothic"/>
          <w:spacing w:val="23"/>
          <w:w w:val="80"/>
        </w:rPr>
        <w:t xml:space="preserve">、 </w:t>
      </w:r>
      <w:r>
        <w:rPr>
          <w:spacing w:val="3"/>
        </w:rPr>
        <w:t>行贿</w:t>
      </w:r>
      <w:r>
        <w:rPr>
          <w:rFonts w:hint="eastAsia" w:ascii="MS UI Gothic" w:eastAsia="MS UI Gothic"/>
          <w:spacing w:val="23"/>
          <w:w w:val="80"/>
        </w:rPr>
        <w:t xml:space="preserve">ꎬ </w:t>
      </w:r>
      <w:r>
        <w:rPr>
          <w:spacing w:val="3"/>
        </w:rPr>
        <w:t>构成犯罪的</w:t>
      </w:r>
      <w:r>
        <w:rPr>
          <w:rFonts w:hint="eastAsia" w:ascii="MS UI Gothic" w:eastAsia="MS UI Gothic"/>
          <w:spacing w:val="24"/>
          <w:w w:val="80"/>
        </w:rPr>
        <w:t xml:space="preserve">ꎬ </w:t>
      </w:r>
      <w:r>
        <w:rPr>
          <w:spacing w:val="2"/>
        </w:rPr>
        <w:t>依法追究</w:t>
      </w:r>
      <w:r>
        <w:rPr>
          <w:spacing w:val="6"/>
        </w:rPr>
        <w:t>刑事责任</w:t>
      </w:r>
      <w:r>
        <w:rPr>
          <w:rFonts w:hint="eastAsia" w:ascii="MS UI Gothic" w:eastAsia="MS UI Gothic"/>
          <w:spacing w:val="2"/>
          <w:w w:val="80"/>
        </w:rPr>
        <w:t xml:space="preserve">ꎻ </w:t>
      </w:r>
      <w:r>
        <w:rPr>
          <w:spacing w:val="19"/>
        </w:rPr>
        <w:t>不构成犯罪的</w:t>
      </w:r>
      <w:r>
        <w:rPr>
          <w:rFonts w:hint="eastAsia" w:ascii="MS UI Gothic" w:eastAsia="MS UI Gothic"/>
          <w:spacing w:val="3"/>
          <w:w w:val="80"/>
        </w:rPr>
        <w:t xml:space="preserve">ꎬ </w:t>
      </w:r>
      <w:r>
        <w:rPr>
          <w:spacing w:val="18"/>
        </w:rPr>
        <w:t>分别处以罚</w:t>
      </w:r>
      <w:r>
        <w:rPr>
          <w:spacing w:val="3"/>
        </w:rPr>
        <w:t>款</w:t>
      </w:r>
      <w:r>
        <w:rPr>
          <w:rFonts w:hint="eastAsia" w:ascii="MS UI Gothic" w:eastAsia="MS UI Gothic"/>
          <w:spacing w:val="23"/>
          <w:w w:val="80"/>
        </w:rPr>
        <w:t xml:space="preserve">ꎬ </w:t>
      </w:r>
      <w:r>
        <w:rPr>
          <w:spacing w:val="3"/>
        </w:rPr>
        <w:t>没收贿赂的财物</w:t>
      </w:r>
      <w:r>
        <w:rPr>
          <w:rFonts w:hint="eastAsia" w:ascii="MS UI Gothic" w:eastAsia="MS UI Gothic"/>
          <w:spacing w:val="23"/>
          <w:w w:val="80"/>
        </w:rPr>
        <w:t xml:space="preserve">ꎬ </w:t>
      </w:r>
      <w:r>
        <w:rPr>
          <w:spacing w:val="2"/>
        </w:rPr>
        <w:t>对直接负责的主管</w:t>
      </w:r>
      <w:r>
        <w:rPr>
          <w:spacing w:val="3"/>
        </w:rPr>
        <w:t>人员和其他直接责任人员给予处分</w:t>
      </w:r>
      <w:r>
        <w:rPr>
          <w:rFonts w:hint="eastAsia" w:ascii="MS UI Gothic" w:eastAsia="MS UI Gothic"/>
          <w:w w:val="80"/>
        </w:rPr>
        <w:t>ꎮ</w:t>
      </w:r>
    </w:p>
    <w:p>
      <w:pPr>
        <w:pStyle w:val="6"/>
        <w:spacing w:line="295" w:lineRule="auto"/>
        <w:ind w:right="39"/>
        <w:rPr>
          <w:rFonts w:hint="eastAsia" w:ascii="MS UI Gothic" w:eastAsia="MS UI Gothic"/>
        </w:rPr>
      </w:pPr>
      <w:r>
        <w:t>对在工程承包中行贿的承包单位</w:t>
      </w:r>
      <w:r>
        <w:rPr>
          <w:rFonts w:hint="eastAsia" w:ascii="MS UI Gothic" w:eastAsia="MS UI Gothic"/>
          <w:w w:val="80"/>
        </w:rPr>
        <w:t xml:space="preserve">ꎬ </w:t>
      </w:r>
      <w:r>
        <w:t>除依照前款规定处罚外</w:t>
      </w:r>
      <w:r>
        <w:rPr>
          <w:rFonts w:hint="eastAsia" w:ascii="MS UI Gothic" w:eastAsia="MS UI Gothic"/>
          <w:w w:val="80"/>
        </w:rPr>
        <w:t xml:space="preserve">ꎬ </w:t>
      </w:r>
      <w:r>
        <w:t>可以责令停业整顿</w:t>
      </w:r>
      <w:r>
        <w:rPr>
          <w:rFonts w:hint="eastAsia" w:ascii="MS UI Gothic" w:eastAsia="MS UI Gothic"/>
          <w:w w:val="80"/>
        </w:rPr>
        <w:t xml:space="preserve">ꎬ </w:t>
      </w:r>
      <w:r>
        <w:t>降低资质等级或者吊销资质证书</w:t>
      </w:r>
      <w:r>
        <w:rPr>
          <w:rFonts w:hint="eastAsia" w:ascii="MS UI Gothic" w:eastAsia="MS UI Gothic"/>
          <w:w w:val="80"/>
        </w:rPr>
        <w:t>ꎮ</w:t>
      </w:r>
    </w:p>
    <w:p>
      <w:pPr>
        <w:pStyle w:val="6"/>
        <w:spacing w:line="295" w:lineRule="auto"/>
        <w:ind w:right="39"/>
        <w:rPr>
          <w:rFonts w:hint="eastAsia" w:ascii="MS UI Gothic" w:eastAsia="MS UI Gothic"/>
        </w:rPr>
      </w:pPr>
      <w:r>
        <w:t>第六十九条 工程监理单位与建设单位或者建筑施工企业串通</w:t>
      </w:r>
      <w:r>
        <w:rPr>
          <w:rFonts w:hint="eastAsia" w:ascii="MS UI Gothic" w:eastAsia="MS UI Gothic"/>
          <w:w w:val="80"/>
        </w:rPr>
        <w:t xml:space="preserve">ꎬ </w:t>
      </w:r>
      <w:r>
        <w:t>弄虚作假</w:t>
      </w:r>
      <w:r>
        <w:rPr>
          <w:rFonts w:hint="eastAsia" w:ascii="MS UI Gothic" w:eastAsia="MS UI Gothic"/>
        </w:rPr>
        <w:t xml:space="preserve">、 </w:t>
      </w:r>
      <w:r>
        <w:t>降低工程质量的</w:t>
      </w:r>
      <w:r>
        <w:rPr>
          <w:rFonts w:hint="eastAsia" w:ascii="MS UI Gothic" w:eastAsia="MS UI Gothic"/>
          <w:w w:val="80"/>
        </w:rPr>
        <w:t xml:space="preserve">ꎬ </w:t>
      </w:r>
      <w:r>
        <w:t>责令改正</w:t>
      </w:r>
      <w:r>
        <w:rPr>
          <w:rFonts w:hint="eastAsia" w:ascii="MS UI Gothic" w:eastAsia="MS UI Gothic"/>
          <w:w w:val="80"/>
        </w:rPr>
        <w:t xml:space="preserve">ꎬ </w:t>
      </w:r>
      <w:r>
        <w:t>处以罚款</w:t>
      </w:r>
      <w:r>
        <w:rPr>
          <w:rFonts w:hint="eastAsia" w:ascii="MS UI Gothic" w:eastAsia="MS UI Gothic"/>
          <w:w w:val="80"/>
        </w:rPr>
        <w:t xml:space="preserve">ꎬ </w:t>
      </w:r>
      <w:r>
        <w:t>降低资质等级或者吊销资质证书</w:t>
      </w:r>
      <w:r>
        <w:rPr>
          <w:rFonts w:hint="eastAsia" w:ascii="MS UI Gothic" w:eastAsia="MS UI Gothic"/>
          <w:w w:val="80"/>
        </w:rPr>
        <w:t xml:space="preserve">ꎻ </w:t>
      </w:r>
      <w:r>
        <w:t>有违法所得的</w:t>
      </w:r>
      <w:r>
        <w:rPr>
          <w:rFonts w:hint="eastAsia" w:ascii="MS UI Gothic" w:eastAsia="MS UI Gothic"/>
          <w:w w:val="80"/>
        </w:rPr>
        <w:t xml:space="preserve">ꎬ </w:t>
      </w:r>
      <w:r>
        <w:t>予以没收</w:t>
      </w:r>
      <w:r>
        <w:rPr>
          <w:rFonts w:hint="eastAsia" w:ascii="MS UI Gothic" w:eastAsia="MS UI Gothic"/>
          <w:w w:val="80"/>
        </w:rPr>
        <w:t xml:space="preserve">ꎻ </w:t>
      </w:r>
      <w:r>
        <w:t>造成损失的</w:t>
      </w:r>
      <w:r>
        <w:rPr>
          <w:rFonts w:hint="eastAsia" w:ascii="MS UI Gothic" w:eastAsia="MS UI Gothic"/>
          <w:w w:val="80"/>
        </w:rPr>
        <w:t xml:space="preserve">ꎬ </w:t>
      </w:r>
      <w:r>
        <w:t>承担连带赔偿责任</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39"/>
        <w:rPr>
          <w:rFonts w:hint="eastAsia" w:ascii="MS UI Gothic" w:eastAsia="MS UI Gothic"/>
        </w:rPr>
      </w:pPr>
      <w:r>
        <w:t>工程监理单位转让监理业务的</w:t>
      </w:r>
      <w:r>
        <w:rPr>
          <w:rFonts w:hint="eastAsia" w:ascii="MS UI Gothic" w:eastAsia="MS UI Gothic"/>
          <w:w w:val="80"/>
        </w:rPr>
        <w:t xml:space="preserve">ꎬ </w:t>
      </w:r>
      <w:r>
        <w:t>责令改正</w:t>
      </w:r>
      <w:r>
        <w:rPr>
          <w:rFonts w:hint="eastAsia" w:ascii="MS UI Gothic" w:eastAsia="MS UI Gothic"/>
          <w:w w:val="80"/>
        </w:rPr>
        <w:t xml:space="preserve">ꎬ </w:t>
      </w:r>
      <w:r>
        <w:t>没收违法所得</w:t>
      </w:r>
      <w:r>
        <w:rPr>
          <w:rFonts w:hint="eastAsia" w:ascii="MS UI Gothic" w:eastAsia="MS UI Gothic"/>
          <w:w w:val="80"/>
        </w:rPr>
        <w:t xml:space="preserve">ꎬ </w:t>
      </w:r>
      <w:r>
        <w:t>可以责令停业整顿</w:t>
      </w:r>
      <w:r>
        <w:rPr>
          <w:rFonts w:hint="eastAsia" w:ascii="MS UI Gothic" w:eastAsia="MS UI Gothic"/>
          <w:w w:val="80"/>
        </w:rPr>
        <w:t xml:space="preserve">ꎬ </w:t>
      </w:r>
      <w:r>
        <w:t>降低资质等级</w:t>
      </w:r>
      <w:r>
        <w:rPr>
          <w:rFonts w:hint="eastAsia" w:ascii="MS UI Gothic" w:eastAsia="MS UI Gothic"/>
          <w:w w:val="80"/>
        </w:rPr>
        <w:t xml:space="preserve">ꎻ </w:t>
      </w:r>
      <w:r>
        <w:t>情节严重的</w:t>
      </w:r>
      <w:r>
        <w:rPr>
          <w:rFonts w:hint="eastAsia" w:ascii="MS UI Gothic" w:eastAsia="MS UI Gothic"/>
          <w:w w:val="80"/>
        </w:rPr>
        <w:t xml:space="preserve">ꎬ </w:t>
      </w:r>
      <w:r>
        <w:t>吊销资质证书</w:t>
      </w:r>
      <w:r>
        <w:rPr>
          <w:rFonts w:hint="eastAsia" w:ascii="MS UI Gothic" w:eastAsia="MS UI Gothic"/>
          <w:w w:val="80"/>
        </w:rPr>
        <w:t>ꎮ</w:t>
      </w:r>
    </w:p>
    <w:p>
      <w:pPr>
        <w:pStyle w:val="6"/>
        <w:spacing w:line="295" w:lineRule="auto"/>
        <w:ind w:right="39"/>
        <w:rPr>
          <w:rFonts w:hint="eastAsia" w:ascii="MS UI Gothic" w:eastAsia="MS UI Gothic"/>
        </w:rPr>
      </w:pPr>
      <w:r>
        <w:rPr>
          <w:spacing w:val="3"/>
        </w:rPr>
        <w:t>第七十条 违反本法规定</w:t>
      </w:r>
      <w:r>
        <w:rPr>
          <w:rFonts w:hint="eastAsia" w:ascii="MS UI Gothic" w:eastAsia="MS UI Gothic"/>
          <w:spacing w:val="8"/>
          <w:w w:val="80"/>
        </w:rPr>
        <w:t xml:space="preserve">ꎬ </w:t>
      </w:r>
      <w:r>
        <w:rPr>
          <w:spacing w:val="2"/>
        </w:rPr>
        <w:t>涉及建筑主体或者承重结构变动的装修工程擅自施</w:t>
      </w:r>
      <w:r>
        <w:rPr>
          <w:spacing w:val="3"/>
        </w:rPr>
        <w:t>工的</w:t>
      </w:r>
      <w:r>
        <w:rPr>
          <w:rFonts w:hint="eastAsia" w:ascii="MS UI Gothic" w:eastAsia="MS UI Gothic"/>
          <w:spacing w:val="16"/>
          <w:w w:val="80"/>
        </w:rPr>
        <w:t xml:space="preserve">ꎬ </w:t>
      </w:r>
      <w:r>
        <w:rPr>
          <w:spacing w:val="18"/>
        </w:rPr>
        <w:t>责令改正</w:t>
      </w:r>
      <w:r>
        <w:rPr>
          <w:rFonts w:hint="eastAsia" w:ascii="MS UI Gothic" w:eastAsia="MS UI Gothic"/>
          <w:spacing w:val="19"/>
          <w:w w:val="80"/>
        </w:rPr>
        <w:t xml:space="preserve">ꎬ </w:t>
      </w:r>
      <w:r>
        <w:rPr>
          <w:spacing w:val="18"/>
        </w:rPr>
        <w:t>处以罚款</w:t>
      </w:r>
      <w:r>
        <w:rPr>
          <w:rFonts w:hint="eastAsia" w:ascii="MS UI Gothic" w:eastAsia="MS UI Gothic"/>
          <w:spacing w:val="20"/>
          <w:w w:val="80"/>
        </w:rPr>
        <w:t xml:space="preserve">ꎻ </w:t>
      </w:r>
      <w:r>
        <w:rPr>
          <w:spacing w:val="18"/>
        </w:rPr>
        <w:t>造成损失</w:t>
      </w:r>
      <w:r>
        <w:rPr>
          <w:spacing w:val="3"/>
        </w:rPr>
        <w:t>的</w:t>
      </w:r>
      <w:r>
        <w:rPr>
          <w:rFonts w:hint="eastAsia" w:ascii="MS UI Gothic" w:eastAsia="MS UI Gothic"/>
          <w:spacing w:val="15"/>
          <w:w w:val="80"/>
        </w:rPr>
        <w:t xml:space="preserve">ꎬ </w:t>
      </w:r>
      <w:r>
        <w:rPr>
          <w:spacing w:val="3"/>
        </w:rPr>
        <w:t>承担赔偿责任</w:t>
      </w:r>
      <w:r>
        <w:rPr>
          <w:rFonts w:hint="eastAsia" w:ascii="MS UI Gothic" w:eastAsia="MS UI Gothic"/>
          <w:spacing w:val="15"/>
          <w:w w:val="80"/>
        </w:rPr>
        <w:t xml:space="preserve">ꎻ </w:t>
      </w:r>
      <w:r>
        <w:rPr>
          <w:spacing w:val="3"/>
        </w:rPr>
        <w:t>构成犯罪的</w:t>
      </w:r>
      <w:r>
        <w:rPr>
          <w:rFonts w:hint="eastAsia" w:ascii="MS UI Gothic" w:eastAsia="MS UI Gothic"/>
          <w:spacing w:val="15"/>
          <w:w w:val="80"/>
        </w:rPr>
        <w:t xml:space="preserve">ꎬ </w:t>
      </w:r>
      <w:r>
        <w:rPr>
          <w:spacing w:val="1"/>
        </w:rPr>
        <w:t>依法追</w:t>
      </w:r>
      <w:r>
        <w:rPr>
          <w:spacing w:val="3"/>
        </w:rPr>
        <w:t>究刑事责任</w:t>
      </w:r>
      <w:r>
        <w:rPr>
          <w:rFonts w:hint="eastAsia" w:ascii="MS UI Gothic" w:eastAsia="MS UI Gothic"/>
          <w:w w:val="80"/>
        </w:rPr>
        <w:t>ꎮ</w:t>
      </w:r>
    </w:p>
    <w:p>
      <w:pPr>
        <w:pStyle w:val="6"/>
        <w:spacing w:line="295" w:lineRule="auto"/>
        <w:ind w:right="39"/>
        <w:rPr>
          <w:rFonts w:hint="eastAsia" w:ascii="MS UI Gothic" w:eastAsia="MS UI Gothic"/>
        </w:rPr>
      </w:pPr>
      <w:r>
        <w:rPr>
          <w:spacing w:val="4"/>
        </w:rPr>
        <w:t>第七十一条 建筑施工企业违反本法</w:t>
      </w:r>
      <w:r>
        <w:rPr>
          <w:spacing w:val="3"/>
        </w:rPr>
        <w:t>规定</w:t>
      </w:r>
      <w:r>
        <w:rPr>
          <w:rFonts w:hint="eastAsia" w:ascii="MS UI Gothic" w:eastAsia="MS UI Gothic"/>
          <w:spacing w:val="21"/>
          <w:w w:val="80"/>
        </w:rPr>
        <w:t xml:space="preserve">ꎬ </w:t>
      </w:r>
      <w:r>
        <w:rPr>
          <w:spacing w:val="2"/>
        </w:rPr>
        <w:t>对建筑安全事故隐患不采取措施予</w:t>
      </w:r>
      <w:r>
        <w:rPr>
          <w:spacing w:val="3"/>
        </w:rPr>
        <w:t>以消除的</w:t>
      </w:r>
      <w:r>
        <w:rPr>
          <w:rFonts w:hint="eastAsia" w:ascii="MS UI Gothic" w:eastAsia="MS UI Gothic"/>
          <w:spacing w:val="15"/>
          <w:w w:val="80"/>
        </w:rPr>
        <w:t xml:space="preserve">ꎬ </w:t>
      </w:r>
      <w:r>
        <w:rPr>
          <w:spacing w:val="3"/>
        </w:rPr>
        <w:t>责令改正</w:t>
      </w:r>
      <w:r>
        <w:rPr>
          <w:rFonts w:hint="eastAsia" w:ascii="MS UI Gothic" w:eastAsia="MS UI Gothic"/>
          <w:spacing w:val="15"/>
          <w:w w:val="80"/>
        </w:rPr>
        <w:t xml:space="preserve">ꎬ </w:t>
      </w:r>
      <w:r>
        <w:rPr>
          <w:spacing w:val="3"/>
        </w:rPr>
        <w:t>可以处以罚款</w:t>
      </w:r>
      <w:r>
        <w:rPr>
          <w:rFonts w:hint="eastAsia" w:ascii="MS UI Gothic" w:eastAsia="MS UI Gothic"/>
          <w:spacing w:val="15"/>
          <w:w w:val="80"/>
        </w:rPr>
        <w:t xml:space="preserve">ꎻ </w:t>
      </w:r>
      <w:r>
        <w:t>情</w:t>
      </w:r>
      <w:r>
        <w:rPr>
          <w:spacing w:val="3"/>
        </w:rPr>
        <w:t>节严重的</w:t>
      </w:r>
      <w:r>
        <w:rPr>
          <w:rFonts w:hint="eastAsia" w:ascii="MS UI Gothic" w:eastAsia="MS UI Gothic"/>
          <w:spacing w:val="23"/>
          <w:w w:val="80"/>
        </w:rPr>
        <w:t xml:space="preserve">ꎬ </w:t>
      </w:r>
      <w:r>
        <w:rPr>
          <w:spacing w:val="3"/>
        </w:rPr>
        <w:t>责令停业整顿</w:t>
      </w:r>
      <w:r>
        <w:rPr>
          <w:rFonts w:hint="eastAsia" w:ascii="MS UI Gothic" w:eastAsia="MS UI Gothic"/>
          <w:spacing w:val="23"/>
          <w:w w:val="80"/>
        </w:rPr>
        <w:t xml:space="preserve">ꎬ </w:t>
      </w:r>
      <w:r>
        <w:rPr>
          <w:spacing w:val="2"/>
        </w:rPr>
        <w:t>降低资质等级</w:t>
      </w:r>
      <w:r>
        <w:rPr>
          <w:spacing w:val="3"/>
        </w:rPr>
        <w:t>或者吊销资质证书</w:t>
      </w:r>
      <w:r>
        <w:rPr>
          <w:rFonts w:hint="eastAsia" w:ascii="MS UI Gothic" w:eastAsia="MS UI Gothic"/>
          <w:spacing w:val="23"/>
          <w:w w:val="80"/>
        </w:rPr>
        <w:t xml:space="preserve">ꎻ </w:t>
      </w:r>
      <w:r>
        <w:rPr>
          <w:spacing w:val="3"/>
        </w:rPr>
        <w:t>构成犯罪的</w:t>
      </w:r>
      <w:r>
        <w:rPr>
          <w:rFonts w:hint="eastAsia" w:ascii="MS UI Gothic" w:eastAsia="MS UI Gothic"/>
          <w:spacing w:val="23"/>
          <w:w w:val="80"/>
        </w:rPr>
        <w:t xml:space="preserve">ꎬ </w:t>
      </w:r>
      <w:r>
        <w:rPr>
          <w:spacing w:val="2"/>
        </w:rPr>
        <w:t>依法追</w:t>
      </w:r>
      <w:r>
        <w:rPr>
          <w:spacing w:val="3"/>
        </w:rPr>
        <w:t>究刑事责任</w:t>
      </w:r>
      <w:r>
        <w:rPr>
          <w:rFonts w:hint="eastAsia" w:ascii="MS UI Gothic" w:eastAsia="MS UI Gothic"/>
          <w:w w:val="80"/>
        </w:rPr>
        <w:t>ꎮ</w:t>
      </w:r>
    </w:p>
    <w:p>
      <w:pPr>
        <w:pStyle w:val="6"/>
        <w:spacing w:line="295" w:lineRule="auto"/>
        <w:ind w:right="38"/>
        <w:rPr>
          <w:rFonts w:hint="eastAsia" w:ascii="MS UI Gothic" w:eastAsia="MS UI Gothic"/>
        </w:rPr>
      </w:pPr>
      <w:r>
        <w:t>建筑施工企业的管理人员违章指挥</w:t>
      </w:r>
      <w:r>
        <w:rPr>
          <w:rFonts w:hint="eastAsia" w:ascii="MS UI Gothic" w:eastAsia="MS UI Gothic"/>
          <w:w w:val="80"/>
        </w:rPr>
        <w:t>、</w:t>
      </w:r>
      <w:r>
        <w:t>强令职工冒险作业</w:t>
      </w:r>
      <w:r>
        <w:rPr>
          <w:rFonts w:hint="eastAsia" w:ascii="MS UI Gothic" w:eastAsia="MS UI Gothic"/>
          <w:w w:val="80"/>
        </w:rPr>
        <w:t xml:space="preserve">ꎬ </w:t>
      </w:r>
      <w:r>
        <w:t>因而发生重大伤亡事故或者造成其他严重后果的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tabs>
          <w:tab w:val="left" w:pos="1871"/>
        </w:tabs>
        <w:spacing w:line="253" w:lineRule="exact"/>
        <w:ind w:left="543" w:firstLine="0"/>
        <w:jc w:val="left"/>
      </w:pPr>
      <w:r>
        <w:rPr>
          <w:spacing w:val="3"/>
          <w:w w:val="105"/>
        </w:rPr>
        <w:t>第七</w:t>
      </w:r>
      <w:r>
        <w:rPr>
          <w:spacing w:val="15"/>
          <w:w w:val="105"/>
        </w:rPr>
        <w:t>十</w:t>
      </w:r>
      <w:r>
        <w:rPr>
          <w:spacing w:val="19"/>
          <w:w w:val="105"/>
        </w:rPr>
        <w:t>二</w:t>
      </w:r>
      <w:r>
        <w:rPr>
          <w:w w:val="105"/>
        </w:rPr>
        <w:t>条</w:t>
      </w:r>
      <w:r>
        <w:rPr>
          <w:w w:val="105"/>
        </w:rPr>
        <w:tab/>
      </w:r>
      <w:r>
        <w:rPr>
          <w:spacing w:val="21"/>
        </w:rPr>
        <w:t>建设单位违反本法</w:t>
      </w:r>
      <w:r>
        <w:t>规</w:t>
      </w:r>
    </w:p>
    <w:p>
      <w:pPr>
        <w:pStyle w:val="6"/>
        <w:spacing w:before="123" w:line="295" w:lineRule="auto"/>
        <w:ind w:right="442" w:firstLine="0"/>
        <w:rPr>
          <w:rFonts w:hint="eastAsia" w:ascii="MS UI Gothic" w:eastAsia="MS UI Gothic"/>
        </w:rPr>
      </w:pPr>
      <w:r>
        <w:br w:type="column"/>
      </w:r>
      <w:r>
        <w:t>定</w:t>
      </w:r>
      <w:r>
        <w:rPr>
          <w:rFonts w:hint="eastAsia" w:ascii="MS UI Gothic" w:eastAsia="MS UI Gothic"/>
          <w:w w:val="80"/>
        </w:rPr>
        <w:t xml:space="preserve">ꎬ </w:t>
      </w:r>
      <w:r>
        <w:t>要求建筑设计单位或者建筑施工企业违反建筑工程质量</w:t>
      </w:r>
      <w:r>
        <w:rPr>
          <w:rFonts w:hint="eastAsia" w:ascii="MS UI Gothic" w:eastAsia="MS UI Gothic"/>
        </w:rPr>
        <w:t xml:space="preserve">、 </w:t>
      </w:r>
      <w:r>
        <w:t>安全标准</w:t>
      </w:r>
      <w:r>
        <w:rPr>
          <w:rFonts w:hint="eastAsia" w:ascii="MS UI Gothic" w:eastAsia="MS UI Gothic"/>
          <w:w w:val="80"/>
        </w:rPr>
        <w:t xml:space="preserve">ꎬ </w:t>
      </w:r>
      <w:r>
        <w:t>降低工程质量的</w:t>
      </w:r>
      <w:r>
        <w:rPr>
          <w:rFonts w:hint="eastAsia" w:ascii="MS UI Gothic" w:eastAsia="MS UI Gothic"/>
          <w:w w:val="80"/>
        </w:rPr>
        <w:t xml:space="preserve">ꎬ </w:t>
      </w:r>
      <w:r>
        <w:t>责令改正</w:t>
      </w:r>
      <w:r>
        <w:rPr>
          <w:rFonts w:hint="eastAsia" w:ascii="MS UI Gothic" w:eastAsia="MS UI Gothic"/>
          <w:w w:val="80"/>
        </w:rPr>
        <w:t xml:space="preserve">ꎬ </w:t>
      </w:r>
      <w:r>
        <w:t>可以处以罚款</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440"/>
        <w:rPr>
          <w:rFonts w:hint="eastAsia" w:ascii="MS UI Gothic" w:eastAsia="MS UI Gothic"/>
        </w:rPr>
      </w:pPr>
      <w:r>
        <w:t>第七十三条 建筑设计单位不按照建筑工程质量</w:t>
      </w:r>
      <w:r>
        <w:rPr>
          <w:rFonts w:hint="eastAsia" w:ascii="MS UI Gothic" w:eastAsia="MS UI Gothic"/>
        </w:rPr>
        <w:t xml:space="preserve">、 </w:t>
      </w:r>
      <w:r>
        <w:t>安全标准进行设计的</w:t>
      </w:r>
      <w:r>
        <w:rPr>
          <w:rFonts w:hint="eastAsia" w:ascii="MS UI Gothic" w:eastAsia="MS UI Gothic"/>
          <w:w w:val="80"/>
        </w:rPr>
        <w:t xml:space="preserve">ꎬ </w:t>
      </w:r>
      <w:r>
        <w:t>责令改正</w:t>
      </w:r>
      <w:r>
        <w:rPr>
          <w:rFonts w:hint="eastAsia" w:ascii="MS UI Gothic" w:eastAsia="MS UI Gothic"/>
          <w:w w:val="80"/>
        </w:rPr>
        <w:t xml:space="preserve">ꎬ </w:t>
      </w:r>
      <w:r>
        <w:t>处以罚款</w:t>
      </w:r>
      <w:r>
        <w:rPr>
          <w:rFonts w:hint="eastAsia" w:ascii="MS UI Gothic" w:eastAsia="MS UI Gothic"/>
          <w:w w:val="80"/>
        </w:rPr>
        <w:t xml:space="preserve">ꎻ </w:t>
      </w:r>
      <w:r>
        <w:t>造成工程质量事故的</w:t>
      </w:r>
      <w:r>
        <w:rPr>
          <w:rFonts w:hint="eastAsia" w:ascii="MS UI Gothic" w:eastAsia="MS UI Gothic"/>
          <w:w w:val="80"/>
        </w:rPr>
        <w:t>ꎬ</w:t>
      </w:r>
      <w:r>
        <w:t>责令停业整顿</w:t>
      </w:r>
      <w:r>
        <w:rPr>
          <w:rFonts w:hint="eastAsia" w:ascii="MS UI Gothic" w:eastAsia="MS UI Gothic"/>
          <w:w w:val="80"/>
        </w:rPr>
        <w:t xml:space="preserve">ꎬ </w:t>
      </w:r>
      <w:r>
        <w:t>降低资质等级或者吊销资质证书</w:t>
      </w:r>
      <w:r>
        <w:rPr>
          <w:rFonts w:hint="eastAsia" w:ascii="MS UI Gothic" w:eastAsia="MS UI Gothic"/>
          <w:w w:val="80"/>
        </w:rPr>
        <w:t xml:space="preserve">ꎬ </w:t>
      </w:r>
      <w:r>
        <w:t>没收违法所得</w:t>
      </w:r>
      <w:r>
        <w:rPr>
          <w:rFonts w:hint="eastAsia" w:ascii="MS UI Gothic" w:eastAsia="MS UI Gothic"/>
          <w:w w:val="80"/>
        </w:rPr>
        <w:t xml:space="preserve">ꎬ </w:t>
      </w:r>
      <w:r>
        <w:t>并处罚款</w:t>
      </w:r>
      <w:r>
        <w:rPr>
          <w:rFonts w:hint="eastAsia" w:ascii="MS UI Gothic" w:eastAsia="MS UI Gothic"/>
          <w:w w:val="80"/>
        </w:rPr>
        <w:t xml:space="preserve">ꎻ </w:t>
      </w:r>
      <w:r>
        <w:t>造成损失的</w:t>
      </w:r>
      <w:r>
        <w:rPr>
          <w:rFonts w:hint="eastAsia" w:ascii="MS UI Gothic" w:eastAsia="MS UI Gothic"/>
          <w:w w:val="80"/>
        </w:rPr>
        <w:t xml:space="preserve">ꎬ </w:t>
      </w:r>
      <w:r>
        <w:t>承担赔偿责任</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440"/>
        <w:rPr>
          <w:rFonts w:hint="eastAsia" w:ascii="MS UI Gothic" w:eastAsia="MS UI Gothic"/>
        </w:rPr>
      </w:pPr>
      <w:r>
        <w:t>第七十四条 建筑施工企业在施工中偷工减料的</w:t>
      </w:r>
      <w:r>
        <w:rPr>
          <w:rFonts w:hint="eastAsia" w:ascii="MS UI Gothic" w:eastAsia="MS UI Gothic"/>
          <w:w w:val="80"/>
        </w:rPr>
        <w:t xml:space="preserve">ꎬ </w:t>
      </w:r>
      <w:r>
        <w:t>使用不合格的建筑材料</w:t>
      </w:r>
      <w:r>
        <w:rPr>
          <w:rFonts w:hint="eastAsia" w:ascii="MS UI Gothic" w:eastAsia="MS UI Gothic"/>
          <w:w w:val="80"/>
        </w:rPr>
        <w:t xml:space="preserve">、 </w:t>
      </w:r>
      <w:r>
        <w:t>建筑构配件和设备的</w:t>
      </w:r>
      <w:r>
        <w:rPr>
          <w:rFonts w:hint="eastAsia" w:ascii="MS UI Gothic" w:eastAsia="MS UI Gothic"/>
          <w:w w:val="80"/>
        </w:rPr>
        <w:t xml:space="preserve">ꎬ </w:t>
      </w:r>
      <w:r>
        <w:t>或者有其他不按照工程设计图纸或者施工技术标准施工的行为的</w:t>
      </w:r>
      <w:r>
        <w:rPr>
          <w:rFonts w:hint="eastAsia" w:ascii="MS UI Gothic" w:eastAsia="MS UI Gothic"/>
          <w:w w:val="80"/>
        </w:rPr>
        <w:t xml:space="preserve">ꎬ </w:t>
      </w:r>
      <w:r>
        <w:t>责令改正</w:t>
      </w:r>
      <w:r>
        <w:rPr>
          <w:rFonts w:hint="eastAsia" w:ascii="MS UI Gothic" w:eastAsia="MS UI Gothic"/>
          <w:w w:val="80"/>
        </w:rPr>
        <w:t xml:space="preserve">ꎬ </w:t>
      </w:r>
      <w:r>
        <w:t>处以罚款</w:t>
      </w:r>
      <w:r>
        <w:rPr>
          <w:rFonts w:hint="eastAsia" w:ascii="MS UI Gothic" w:eastAsia="MS UI Gothic"/>
          <w:w w:val="80"/>
        </w:rPr>
        <w:t xml:space="preserve">ꎻ </w:t>
      </w:r>
      <w:r>
        <w:t>情节严重的</w:t>
      </w:r>
      <w:r>
        <w:rPr>
          <w:rFonts w:hint="eastAsia" w:ascii="MS UI Gothic" w:eastAsia="MS UI Gothic"/>
          <w:w w:val="80"/>
        </w:rPr>
        <w:t>ꎬ</w:t>
      </w:r>
      <w:r>
        <w:t>责令停业整顿</w:t>
      </w:r>
      <w:r>
        <w:rPr>
          <w:rFonts w:hint="eastAsia" w:ascii="MS UI Gothic" w:eastAsia="MS UI Gothic"/>
          <w:w w:val="80"/>
        </w:rPr>
        <w:t xml:space="preserve">ꎬ </w:t>
      </w:r>
      <w:r>
        <w:t>降低资质等级或者吊销资质证书</w:t>
      </w:r>
      <w:r>
        <w:rPr>
          <w:rFonts w:hint="eastAsia" w:ascii="MS UI Gothic" w:eastAsia="MS UI Gothic"/>
          <w:w w:val="80"/>
        </w:rPr>
        <w:t xml:space="preserve">ꎻ </w:t>
      </w:r>
      <w:r>
        <w:t>造成建筑工程质量不符合规定的质量标准的</w:t>
      </w:r>
      <w:r>
        <w:rPr>
          <w:rFonts w:hint="eastAsia" w:ascii="MS UI Gothic" w:eastAsia="MS UI Gothic"/>
          <w:w w:val="80"/>
        </w:rPr>
        <w:t xml:space="preserve">ꎬ </w:t>
      </w:r>
      <w:r>
        <w:t>负责返工</w:t>
      </w:r>
      <w:r>
        <w:rPr>
          <w:rFonts w:hint="eastAsia" w:ascii="MS UI Gothic" w:eastAsia="MS UI Gothic"/>
          <w:w w:val="80"/>
        </w:rPr>
        <w:t xml:space="preserve">、 </w:t>
      </w:r>
      <w:r>
        <w:t>修理</w:t>
      </w:r>
      <w:r>
        <w:rPr>
          <w:rFonts w:hint="eastAsia" w:ascii="MS UI Gothic" w:eastAsia="MS UI Gothic"/>
          <w:w w:val="80"/>
        </w:rPr>
        <w:t xml:space="preserve">ꎬ </w:t>
      </w:r>
      <w:r>
        <w:t>并赔偿因此造成的损失</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442"/>
        <w:rPr>
          <w:rFonts w:hint="eastAsia" w:ascii="MS UI Gothic" w:eastAsia="MS UI Gothic"/>
        </w:rPr>
      </w:pPr>
      <w:r>
        <w:t>第七十五条 建筑施工企业违反本法规定</w:t>
      </w:r>
      <w:r>
        <w:rPr>
          <w:rFonts w:hint="eastAsia" w:ascii="MS UI Gothic" w:eastAsia="MS UI Gothic"/>
          <w:w w:val="80"/>
        </w:rPr>
        <w:t xml:space="preserve">ꎬ </w:t>
      </w:r>
      <w:r>
        <w:t>不履行保修义务或者拖延履行保修义务的</w:t>
      </w:r>
      <w:r>
        <w:rPr>
          <w:rFonts w:hint="eastAsia" w:ascii="MS UI Gothic" w:eastAsia="MS UI Gothic"/>
          <w:w w:val="80"/>
        </w:rPr>
        <w:t xml:space="preserve">ꎬ </w:t>
      </w:r>
      <w:r>
        <w:t>责令改正</w:t>
      </w:r>
      <w:r>
        <w:rPr>
          <w:rFonts w:hint="eastAsia" w:ascii="MS UI Gothic" w:eastAsia="MS UI Gothic"/>
          <w:w w:val="80"/>
        </w:rPr>
        <w:t xml:space="preserve">ꎬ </w:t>
      </w:r>
      <w:r>
        <w:t>可以处以罚款</w:t>
      </w:r>
      <w:r>
        <w:rPr>
          <w:rFonts w:hint="eastAsia" w:ascii="MS UI Gothic" w:eastAsia="MS UI Gothic"/>
          <w:w w:val="80"/>
        </w:rPr>
        <w:t xml:space="preserve">ꎬ </w:t>
      </w:r>
      <w:r>
        <w:t>并对在保修期内因屋顶</w:t>
      </w:r>
      <w:r>
        <w:rPr>
          <w:rFonts w:hint="eastAsia" w:ascii="MS UI Gothic" w:eastAsia="MS UI Gothic"/>
          <w:w w:val="80"/>
        </w:rPr>
        <w:t xml:space="preserve">、 </w:t>
      </w:r>
      <w:r>
        <w:t>墙面渗漏</w:t>
      </w:r>
      <w:r>
        <w:rPr>
          <w:rFonts w:hint="eastAsia" w:ascii="MS UI Gothic" w:eastAsia="MS UI Gothic"/>
          <w:w w:val="80"/>
        </w:rPr>
        <w:t xml:space="preserve">、 </w:t>
      </w:r>
      <w:r>
        <w:t>开裂等质量缺陷造成的损失</w:t>
      </w:r>
      <w:r>
        <w:rPr>
          <w:rFonts w:hint="eastAsia" w:ascii="MS UI Gothic" w:eastAsia="MS UI Gothic"/>
          <w:w w:val="80"/>
        </w:rPr>
        <w:t xml:space="preserve">ꎬ </w:t>
      </w:r>
      <w:r>
        <w:t>承担赔偿责任</w:t>
      </w:r>
      <w:r>
        <w:rPr>
          <w:rFonts w:hint="eastAsia" w:ascii="MS UI Gothic" w:eastAsia="MS UI Gothic"/>
          <w:w w:val="80"/>
        </w:rPr>
        <w:t>ꎮ</w:t>
      </w:r>
    </w:p>
    <w:p>
      <w:pPr>
        <w:pStyle w:val="6"/>
        <w:spacing w:line="295" w:lineRule="auto"/>
        <w:ind w:right="442"/>
        <w:rPr>
          <w:rFonts w:hint="eastAsia" w:ascii="MS UI Gothic" w:eastAsia="MS UI Gothic"/>
        </w:rPr>
      </w:pPr>
      <w:r>
        <w:t>第七十六条 本法规定的责令停业整顿</w:t>
      </w:r>
      <w:r>
        <w:rPr>
          <w:rFonts w:hint="eastAsia" w:ascii="MS UI Gothic" w:eastAsia="MS UI Gothic"/>
          <w:w w:val="80"/>
        </w:rPr>
        <w:t xml:space="preserve">、 </w:t>
      </w:r>
      <w:r>
        <w:t>降低资质等级和吊销资质证书的行政处罚</w:t>
      </w:r>
      <w:r>
        <w:rPr>
          <w:rFonts w:hint="eastAsia" w:ascii="MS UI Gothic" w:eastAsia="MS UI Gothic"/>
          <w:w w:val="80"/>
        </w:rPr>
        <w:t xml:space="preserve">ꎬ </w:t>
      </w:r>
      <w:r>
        <w:t>由颁发资质证书的机关决定</w:t>
      </w:r>
      <w:r>
        <w:rPr>
          <w:rFonts w:hint="eastAsia" w:ascii="MS UI Gothic" w:eastAsia="MS UI Gothic"/>
          <w:w w:val="80"/>
        </w:rPr>
        <w:t xml:space="preserve">ꎻ </w:t>
      </w:r>
      <w:r>
        <w:t>其他行政处罚</w:t>
      </w:r>
      <w:r>
        <w:rPr>
          <w:rFonts w:hint="eastAsia" w:ascii="MS UI Gothic" w:eastAsia="MS UI Gothic"/>
          <w:w w:val="80"/>
        </w:rPr>
        <w:t xml:space="preserve">ꎬ </w:t>
      </w:r>
      <w:r>
        <w:t>由建设行政主管部门或者有关部门依照法律和国务院规定的职权范围决定</w:t>
      </w:r>
      <w:r>
        <w:rPr>
          <w:rFonts w:hint="eastAsia" w:ascii="MS UI Gothic" w:eastAsia="MS UI Gothic"/>
          <w:w w:val="80"/>
        </w:rPr>
        <w:t>ꎮ</w:t>
      </w:r>
    </w:p>
    <w:p>
      <w:pPr>
        <w:pStyle w:val="6"/>
        <w:spacing w:line="295" w:lineRule="auto"/>
        <w:ind w:right="442"/>
        <w:rPr>
          <w:rFonts w:hint="eastAsia" w:ascii="MS UI Gothic" w:eastAsia="MS UI Gothic"/>
        </w:rPr>
      </w:pPr>
      <w:r>
        <w:t>依照本法规定被吊销资质证书的</w:t>
      </w:r>
      <w:r>
        <w:rPr>
          <w:rFonts w:hint="eastAsia" w:ascii="MS UI Gothic" w:eastAsia="MS UI Gothic"/>
          <w:w w:val="80"/>
        </w:rPr>
        <w:t xml:space="preserve">ꎬ </w:t>
      </w:r>
      <w:r>
        <w:t>由工商行政管理部门吊销其营业执照</w:t>
      </w:r>
      <w:r>
        <w:rPr>
          <w:rFonts w:hint="eastAsia" w:ascii="MS UI Gothic" w:eastAsia="MS UI Gothic"/>
          <w:w w:val="80"/>
        </w:rPr>
        <w:t>ꎮ</w:t>
      </w:r>
    </w:p>
    <w:p>
      <w:pPr>
        <w:pStyle w:val="6"/>
        <w:spacing w:line="295" w:lineRule="auto"/>
        <w:ind w:right="442"/>
      </w:pPr>
      <w:r>
        <w:rPr>
          <w:w w:val="105"/>
        </w:rPr>
        <w:t>第七十七条 违反本法规定</w:t>
      </w:r>
      <w:r>
        <w:rPr>
          <w:rFonts w:hint="eastAsia" w:ascii="MS UI Gothic" w:eastAsia="MS UI Gothic"/>
          <w:w w:val="80"/>
        </w:rPr>
        <w:t xml:space="preserve">ꎬ </w:t>
      </w:r>
      <w:r>
        <w:rPr>
          <w:w w:val="105"/>
        </w:rPr>
        <w:t>对不具</w:t>
      </w:r>
      <w:r>
        <w:t>备相应资质等级条件的单位颁发该等级资质证书的</w:t>
      </w:r>
      <w:r>
        <w:rPr>
          <w:rFonts w:hint="eastAsia" w:ascii="MS UI Gothic" w:eastAsia="MS UI Gothic"/>
          <w:w w:val="80"/>
        </w:rPr>
        <w:t xml:space="preserve">ꎬ </w:t>
      </w:r>
      <w:r>
        <w:t>由其上级机关责令收回所发的资质证书</w:t>
      </w:r>
      <w:r>
        <w:rPr>
          <w:rFonts w:hint="eastAsia" w:ascii="MS UI Gothic" w:eastAsia="MS UI Gothic"/>
          <w:w w:val="80"/>
        </w:rPr>
        <w:t xml:space="preserve">ꎬ </w:t>
      </w:r>
      <w:r>
        <w:t>对直接负责的主管人员和其他直接责任人员给予行政处分</w:t>
      </w:r>
      <w:r>
        <w:rPr>
          <w:rFonts w:hint="eastAsia" w:ascii="MS UI Gothic" w:eastAsia="MS UI Gothic"/>
          <w:w w:val="80"/>
        </w:rPr>
        <w:t xml:space="preserve">ꎻ </w:t>
      </w:r>
      <w:r>
        <w:t>构成犯罪</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４３１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91" o:spid="_x0000_s2291" o:spt="203" style="height:2.15pt;width:398.25pt;" coordsize="7965,43">
            <o:lock v:ext="edit"/>
            <v:line id="_x0000_s2292" o:spid="_x0000_s2292" o:spt="20" style="position:absolute;left:0;top:39;height:0;width:7965;" stroked="t" coordsize="21600,21600">
              <v:path arrowok="t"/>
              <v:fill focussize="0,0"/>
              <v:stroke weight="0.388031496062992pt" color="#231F20"/>
              <v:imagedata o:title=""/>
              <o:lock v:ext="edit"/>
            </v:line>
            <v:line id="_x0000_s2293" o:spid="_x0000_s229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rPr>
          <w:rFonts w:hint="eastAsia" w:ascii="MS UI Gothic" w:eastAsia="MS UI Gothic"/>
        </w:rPr>
      </w:pPr>
      <w:r>
        <w:t>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before="58" w:line="295" w:lineRule="auto"/>
        <w:ind w:left="440"/>
        <w:rPr>
          <w:rFonts w:hint="eastAsia" w:ascii="MS UI Gothic" w:eastAsia="MS UI Gothic"/>
        </w:rPr>
      </w:pPr>
      <w:r>
        <w:t>第七十八条 政府及其所属部门的工作人员违反本法规定</w:t>
      </w:r>
      <w:r>
        <w:rPr>
          <w:rFonts w:hint="eastAsia" w:ascii="MS UI Gothic" w:eastAsia="MS UI Gothic"/>
          <w:w w:val="80"/>
        </w:rPr>
        <w:t xml:space="preserve">ꎬ </w:t>
      </w:r>
      <w:r>
        <w:t>限定发包单位将招标发包的工程发包给指定的承包单位的</w:t>
      </w:r>
      <w:r>
        <w:rPr>
          <w:rFonts w:hint="eastAsia" w:ascii="MS UI Gothic" w:eastAsia="MS UI Gothic"/>
          <w:w w:val="80"/>
        </w:rPr>
        <w:t>ꎬ</w:t>
      </w:r>
      <w:r>
        <w:t>由上级机关责令改正</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440" w:right="1"/>
        <w:rPr>
          <w:rFonts w:hint="eastAsia" w:ascii="MS UI Gothic" w:eastAsia="MS UI Gothic"/>
        </w:rPr>
      </w:pPr>
      <w:r>
        <w:t>第七十九条 负责颁发建筑工程施工许可证的部门及其工作人员对不符合施工条件的建筑工程颁发施工许可证的</w:t>
      </w:r>
      <w:r>
        <w:rPr>
          <w:rFonts w:hint="eastAsia" w:ascii="MS UI Gothic" w:eastAsia="MS UI Gothic"/>
          <w:w w:val="80"/>
        </w:rPr>
        <w:t xml:space="preserve">ꎬ </w:t>
      </w:r>
      <w:r>
        <w:t>负责工程质量监督检查或者竣工验收的部门及其工作人员对不合格的建筑工程出具质量合格文件或者按合格工程验收的</w:t>
      </w:r>
      <w:r>
        <w:rPr>
          <w:rFonts w:hint="eastAsia" w:ascii="MS UI Gothic" w:eastAsia="MS UI Gothic"/>
          <w:w w:val="80"/>
        </w:rPr>
        <w:t xml:space="preserve">ꎬ </w:t>
      </w:r>
      <w:r>
        <w:t>由上级机关责令改正</w:t>
      </w:r>
      <w:r>
        <w:rPr>
          <w:rFonts w:hint="eastAsia" w:ascii="MS UI Gothic" w:eastAsia="MS UI Gothic"/>
          <w:w w:val="80"/>
        </w:rPr>
        <w:t xml:space="preserve">ꎬ </w:t>
      </w:r>
      <w:r>
        <w:t>对责任人员给予行政处分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 xml:space="preserve">ꎻ </w:t>
      </w:r>
      <w:r>
        <w:t>造成损失的</w:t>
      </w:r>
      <w:r>
        <w:rPr>
          <w:rFonts w:hint="eastAsia" w:ascii="MS UI Gothic" w:eastAsia="MS UI Gothic"/>
          <w:w w:val="80"/>
        </w:rPr>
        <w:t xml:space="preserve">ꎬ </w:t>
      </w:r>
      <w:r>
        <w:t>由该部门承担相应的赔偿责任</w:t>
      </w:r>
      <w:r>
        <w:rPr>
          <w:rFonts w:hint="eastAsia" w:ascii="MS UI Gothic" w:eastAsia="MS UI Gothic"/>
          <w:w w:val="80"/>
        </w:rPr>
        <w:t>ꎮ</w:t>
      </w:r>
    </w:p>
    <w:p>
      <w:pPr>
        <w:pStyle w:val="6"/>
        <w:spacing w:line="295" w:lineRule="auto"/>
        <w:ind w:left="440"/>
        <w:rPr>
          <w:rFonts w:hint="eastAsia" w:ascii="MS UI Gothic" w:eastAsia="MS UI Gothic"/>
        </w:rPr>
      </w:pPr>
      <w:r>
        <w:t>第八十条 在建筑物的合理使用寿命内</w:t>
      </w:r>
      <w:r>
        <w:rPr>
          <w:rFonts w:hint="eastAsia" w:ascii="MS UI Gothic" w:eastAsia="MS UI Gothic"/>
          <w:w w:val="80"/>
        </w:rPr>
        <w:t xml:space="preserve">ꎬ </w:t>
      </w:r>
      <w:r>
        <w:t>因建筑工程质量不合格受到损害的</w:t>
      </w:r>
      <w:r>
        <w:rPr>
          <w:rFonts w:hint="eastAsia" w:ascii="MS UI Gothic" w:eastAsia="MS UI Gothic"/>
          <w:w w:val="80"/>
        </w:rPr>
        <w:t>ꎬ</w:t>
      </w:r>
      <w:r>
        <w:t>有权向责任者要求赔偿</w:t>
      </w:r>
      <w:r>
        <w:rPr>
          <w:rFonts w:hint="eastAsia" w:ascii="MS UI Gothic" w:eastAsia="MS UI Gothic"/>
          <w:w w:val="80"/>
        </w:rPr>
        <w:t>ꎮ</w:t>
      </w:r>
    </w:p>
    <w:p>
      <w:pPr>
        <w:pStyle w:val="6"/>
        <w:tabs>
          <w:tab w:val="left" w:pos="2327"/>
          <w:tab w:val="left" w:pos="2956"/>
        </w:tabs>
        <w:spacing w:before="143"/>
        <w:ind w:left="1488" w:firstLine="0"/>
        <w:jc w:val="left"/>
      </w:pPr>
      <w:r>
        <w:rPr>
          <w:spacing w:val="3"/>
          <w:w w:val="105"/>
        </w:rPr>
        <w:t>第八</w:t>
      </w:r>
      <w:r>
        <w:rPr>
          <w:w w:val="105"/>
        </w:rPr>
        <w:t>章</w:t>
      </w:r>
      <w:r>
        <w:rPr>
          <w:w w:val="105"/>
        </w:rPr>
        <w:tab/>
      </w:r>
      <w:r>
        <w:rPr>
          <w:w w:val="105"/>
        </w:rPr>
        <w:t>附</w:t>
      </w:r>
      <w:r>
        <w:rPr>
          <w:w w:val="105"/>
        </w:rPr>
        <w:tab/>
      </w:r>
      <w:r>
        <w:rPr>
          <w:w w:val="105"/>
        </w:rPr>
        <w:t>则</w:t>
      </w:r>
    </w:p>
    <w:p>
      <w:pPr>
        <w:pStyle w:val="6"/>
        <w:spacing w:before="215" w:line="295" w:lineRule="auto"/>
        <w:ind w:left="440" w:right="1"/>
      </w:pPr>
      <w:r>
        <w:t>第八十一条 本法关于施工许可</w:t>
      </w:r>
      <w:r>
        <w:rPr>
          <w:rFonts w:hint="eastAsia" w:ascii="MS UI Gothic" w:eastAsia="MS UI Gothic"/>
        </w:rPr>
        <w:t xml:space="preserve">、 </w:t>
      </w:r>
      <w:r>
        <w:t>建筑施工企业资质审查和建筑工程发包</w:t>
      </w:r>
      <w:r>
        <w:rPr>
          <w:rFonts w:hint="eastAsia" w:ascii="MS UI Gothic" w:eastAsia="MS UI Gothic"/>
        </w:rPr>
        <w:t xml:space="preserve">、 </w:t>
      </w:r>
      <w:r>
        <w:t>承</w:t>
      </w:r>
    </w:p>
    <w:p>
      <w:pPr>
        <w:pStyle w:val="6"/>
        <w:spacing w:before="124" w:line="295" w:lineRule="auto"/>
        <w:ind w:left="381" w:right="126" w:firstLine="0"/>
        <w:rPr>
          <w:rFonts w:hint="eastAsia" w:ascii="MS UI Gothic" w:eastAsia="MS UI Gothic"/>
        </w:rPr>
      </w:pPr>
      <w:r>
        <w:br w:type="column"/>
      </w:r>
      <w:r>
        <w:t>包</w:t>
      </w:r>
      <w:r>
        <w:rPr>
          <w:rFonts w:hint="eastAsia" w:ascii="MS UI Gothic" w:eastAsia="MS UI Gothic"/>
          <w:w w:val="80"/>
        </w:rPr>
        <w:t xml:space="preserve">、 </w:t>
      </w:r>
      <w:r>
        <w:t>禁止转包</w:t>
      </w:r>
      <w:r>
        <w:rPr>
          <w:rFonts w:hint="eastAsia" w:ascii="MS UI Gothic" w:eastAsia="MS UI Gothic"/>
          <w:w w:val="80"/>
        </w:rPr>
        <w:t xml:space="preserve">ꎬ </w:t>
      </w:r>
      <w:r>
        <w:t>以及建筑工程监理</w:t>
      </w:r>
      <w:r>
        <w:rPr>
          <w:rFonts w:hint="eastAsia" w:ascii="MS UI Gothic" w:eastAsia="MS UI Gothic"/>
          <w:w w:val="80"/>
        </w:rPr>
        <w:t xml:space="preserve">、 </w:t>
      </w:r>
      <w:r>
        <w:t>建筑工程安全和质量管理的规定</w:t>
      </w:r>
      <w:r>
        <w:rPr>
          <w:rFonts w:hint="eastAsia" w:ascii="MS UI Gothic" w:eastAsia="MS UI Gothic"/>
          <w:w w:val="80"/>
        </w:rPr>
        <w:t xml:space="preserve">ꎬ </w:t>
      </w:r>
      <w:r>
        <w:t>适用于其他专业建筑工程的建筑活动</w:t>
      </w:r>
      <w:r>
        <w:rPr>
          <w:rFonts w:hint="eastAsia" w:ascii="MS UI Gothic" w:eastAsia="MS UI Gothic"/>
          <w:w w:val="80"/>
        </w:rPr>
        <w:t xml:space="preserve">ꎬ </w:t>
      </w:r>
      <w:r>
        <w:t>具体办法由国务院规定</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4"/>
        </w:rPr>
        <w:t>第八十二条 建设行政主管部门和其</w:t>
      </w:r>
      <w:r>
        <w:rPr>
          <w:spacing w:val="11"/>
        </w:rPr>
        <w:t>他有关部门在对建筑活动实施监督管理</w:t>
      </w:r>
      <w:r>
        <w:rPr>
          <w:spacing w:val="3"/>
        </w:rPr>
        <w:t>中</w:t>
      </w:r>
      <w:r>
        <w:rPr>
          <w:rFonts w:hint="eastAsia" w:ascii="MS UI Gothic" w:eastAsia="MS UI Gothic"/>
          <w:spacing w:val="19"/>
          <w:w w:val="80"/>
        </w:rPr>
        <w:t xml:space="preserve">ꎬ </w:t>
      </w:r>
      <w:r>
        <w:rPr>
          <w:spacing w:val="6"/>
        </w:rPr>
        <w:t>除按照国务院有关规定收取费用外</w:t>
      </w:r>
      <w:r>
        <w:rPr>
          <w:rFonts w:hint="eastAsia" w:ascii="MS UI Gothic" w:eastAsia="MS UI Gothic"/>
          <w:w w:val="80"/>
        </w:rPr>
        <w:t>ꎬ</w:t>
      </w:r>
      <w:r>
        <w:rPr>
          <w:spacing w:val="3"/>
        </w:rPr>
        <w:t>不得收取其他费用</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8"/>
        </w:rPr>
        <w:t>第八十三条 省</w:t>
      </w:r>
      <w:r>
        <w:rPr>
          <w:rFonts w:hint="eastAsia" w:ascii="MS UI Gothic" w:eastAsia="MS UI Gothic"/>
          <w:spacing w:val="12"/>
          <w:w w:val="80"/>
        </w:rPr>
        <w:t xml:space="preserve">、 </w:t>
      </w:r>
      <w:r>
        <w:rPr>
          <w:spacing w:val="3"/>
        </w:rPr>
        <w:t>自治区</w:t>
      </w:r>
      <w:r>
        <w:rPr>
          <w:rFonts w:hint="eastAsia" w:ascii="MS UI Gothic" w:eastAsia="MS UI Gothic"/>
          <w:spacing w:val="8"/>
          <w:w w:val="80"/>
        </w:rPr>
        <w:t xml:space="preserve">、  </w:t>
      </w:r>
      <w:r>
        <w:rPr>
          <w:spacing w:val="2"/>
        </w:rPr>
        <w:t>直辖市人民政府确定的小型房屋建筑工程的建筑活</w:t>
      </w:r>
      <w:r>
        <w:rPr>
          <w:spacing w:val="3"/>
        </w:rPr>
        <w:t>动</w:t>
      </w:r>
      <w:r>
        <w:rPr>
          <w:rFonts w:hint="eastAsia" w:ascii="MS UI Gothic" w:eastAsia="MS UI Gothic"/>
          <w:spacing w:val="2"/>
          <w:w w:val="80"/>
        </w:rPr>
        <w:t xml:space="preserve">ꎬ </w:t>
      </w:r>
      <w:r>
        <w:rPr>
          <w:spacing w:val="3"/>
        </w:rPr>
        <w:t>参照本法执行</w:t>
      </w:r>
      <w:r>
        <w:rPr>
          <w:rFonts w:hint="eastAsia" w:ascii="MS UI Gothic" w:eastAsia="MS UI Gothic"/>
          <w:w w:val="80"/>
        </w:rPr>
        <w:t>ꎮ</w:t>
      </w:r>
    </w:p>
    <w:p>
      <w:pPr>
        <w:pStyle w:val="6"/>
        <w:spacing w:line="295" w:lineRule="auto"/>
        <w:ind w:left="381" w:right="126"/>
        <w:rPr>
          <w:rFonts w:hint="eastAsia" w:ascii="MS UI Gothic" w:eastAsia="MS UI Gothic"/>
        </w:rPr>
      </w:pPr>
      <w:r>
        <w:t>依法核定作为文物保护的纪念建筑物和古建筑等的修缮</w:t>
      </w:r>
      <w:r>
        <w:rPr>
          <w:rFonts w:hint="eastAsia" w:ascii="MS UI Gothic" w:eastAsia="MS UI Gothic"/>
          <w:w w:val="80"/>
        </w:rPr>
        <w:t xml:space="preserve">ꎬ </w:t>
      </w:r>
      <w:r>
        <w:t>依照文物保护的有关</w:t>
      </w:r>
      <w:r>
        <w:rPr>
          <w:w w:val="105"/>
        </w:rPr>
        <w:t>法律规定执行</w:t>
      </w:r>
      <w:r>
        <w:rPr>
          <w:rFonts w:hint="eastAsia" w:ascii="MS UI Gothic" w:eastAsia="MS UI Gothic"/>
          <w:w w:val="80"/>
        </w:rPr>
        <w:t>ꎮ</w:t>
      </w:r>
    </w:p>
    <w:p>
      <w:pPr>
        <w:pStyle w:val="6"/>
        <w:spacing w:line="295" w:lineRule="auto"/>
        <w:ind w:left="381" w:right="126"/>
        <w:rPr>
          <w:rFonts w:hint="eastAsia" w:ascii="MS UI Gothic" w:eastAsia="MS UI Gothic"/>
        </w:rPr>
      </w:pPr>
      <w:r>
        <w:t>抢险救灾及其他临时性房屋建筑和农民自建低层住宅的建筑活动</w:t>
      </w:r>
      <w:r>
        <w:rPr>
          <w:rFonts w:hint="eastAsia" w:ascii="MS UI Gothic" w:eastAsia="MS UI Gothic"/>
          <w:w w:val="80"/>
        </w:rPr>
        <w:t xml:space="preserve">ꎬ </w:t>
      </w:r>
      <w:r>
        <w:t>不适用本法</w:t>
      </w:r>
      <w:r>
        <w:rPr>
          <w:rFonts w:hint="eastAsia" w:ascii="MS UI Gothic" w:eastAsia="MS UI Gothic"/>
          <w:w w:val="80"/>
        </w:rPr>
        <w:t>ꎮ</w:t>
      </w:r>
    </w:p>
    <w:p>
      <w:pPr>
        <w:pStyle w:val="6"/>
        <w:spacing w:line="295" w:lineRule="auto"/>
        <w:ind w:left="381" w:right="126"/>
        <w:rPr>
          <w:rFonts w:hint="eastAsia" w:ascii="MS UI Gothic" w:eastAsia="MS UI Gothic"/>
        </w:rPr>
      </w:pPr>
      <w:r>
        <w:t>第八十四条 军用房屋建筑工程建筑活动的具体管理办法</w:t>
      </w:r>
      <w:r>
        <w:rPr>
          <w:rFonts w:hint="eastAsia" w:ascii="MS UI Gothic" w:eastAsia="MS UI Gothic"/>
          <w:w w:val="80"/>
        </w:rPr>
        <w:t xml:space="preserve">ꎬ </w:t>
      </w:r>
      <w:r>
        <w:t>由国务院</w:t>
      </w:r>
      <w:r>
        <w:rPr>
          <w:rFonts w:hint="eastAsia" w:ascii="MS UI Gothic" w:eastAsia="MS UI Gothic"/>
          <w:w w:val="80"/>
        </w:rPr>
        <w:t xml:space="preserve">、 </w:t>
      </w:r>
      <w:r>
        <w:t>中央军事委员会依据本法制定</w:t>
      </w:r>
      <w:r>
        <w:rPr>
          <w:rFonts w:hint="eastAsia" w:ascii="MS UI Gothic" w:eastAsia="MS UI Gothic"/>
          <w:w w:val="80"/>
        </w:rPr>
        <w:t>ꎮ</w:t>
      </w:r>
    </w:p>
    <w:p>
      <w:pPr>
        <w:pStyle w:val="6"/>
        <w:spacing w:line="254" w:lineRule="exact"/>
        <w:ind w:left="800" w:firstLine="0"/>
        <w:rPr>
          <w:rFonts w:hint="eastAsia" w:ascii="MS UI Gothic" w:eastAsia="MS UI Gothic"/>
        </w:rPr>
      </w:pPr>
      <w:r>
        <w:t xml:space="preserve">第八十五条 本法自 </w:t>
      </w:r>
      <w:r>
        <w:rPr>
          <w:rFonts w:hint="eastAsia" w:ascii="MS UI Gothic" w:eastAsia="MS UI Gothic"/>
        </w:rPr>
        <w:t xml:space="preserve">１９９８ </w:t>
      </w:r>
      <w:r>
        <w:t xml:space="preserve">年 </w:t>
      </w:r>
      <w:r>
        <w:rPr>
          <w:rFonts w:hint="eastAsia" w:ascii="MS UI Gothic" w:eastAsia="MS UI Gothic"/>
        </w:rPr>
        <w:t xml:space="preserve">３ </w:t>
      </w:r>
      <w:r>
        <w:t xml:space="preserve">月 </w:t>
      </w:r>
      <w:r>
        <w:rPr>
          <w:rFonts w:hint="eastAsia" w:ascii="MS UI Gothic" w:eastAsia="MS UI Gothic"/>
        </w:rPr>
        <w:t>１</w:t>
      </w:r>
    </w:p>
    <w:p>
      <w:pPr>
        <w:pStyle w:val="6"/>
        <w:spacing w:before="45"/>
        <w:ind w:left="381" w:firstLine="0"/>
        <w:jc w:val="left"/>
        <w:rPr>
          <w:rFonts w:hint="eastAsia" w:ascii="MS UI Gothic" w:eastAsia="MS UI Gothic"/>
        </w:rPr>
      </w:pPr>
      <w:r>
        <w:t>日起施行</w:t>
      </w:r>
      <w:r>
        <w:rPr>
          <w:rFonts w:hint="eastAsia" w:ascii="MS UI Gothic" w:eastAsia="MS UI Gothic"/>
          <w:w w:val="80"/>
        </w:rPr>
        <w:t>ꎮ</w:t>
      </w:r>
    </w:p>
    <w:p>
      <w:pPr>
        <w:spacing w:after="0"/>
        <w:jc w:val="left"/>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8"/>
        <w:ind w:left="0" w:firstLine="0"/>
        <w:jc w:val="left"/>
        <w:rPr>
          <w:rFonts w:ascii="MS UI Gothic"/>
          <w:sz w:val="17"/>
        </w:rPr>
      </w:pPr>
    </w:p>
    <w:p>
      <w:pPr>
        <w:pStyle w:val="4"/>
        <w:spacing w:before="74"/>
      </w:pPr>
      <w:r>
        <w:t>中华人民共和国国务院令</w:t>
      </w:r>
    </w:p>
    <w:p>
      <w:pPr>
        <w:pStyle w:val="6"/>
        <w:ind w:left="0" w:firstLine="0"/>
        <w:jc w:val="left"/>
        <w:rPr>
          <w:sz w:val="27"/>
        </w:rPr>
      </w:pPr>
    </w:p>
    <w:p>
      <w:pPr>
        <w:pStyle w:val="5"/>
      </w:pPr>
      <w:r>
        <w:t xml:space="preserve">第 </w:t>
      </w:r>
      <w:r>
        <w:rPr>
          <w:rFonts w:hint="eastAsia" w:ascii="MS UI Gothic" w:eastAsia="MS UI Gothic"/>
        </w:rPr>
        <w:t xml:space="preserve">３９３ </w:t>
      </w:r>
      <w:r>
        <w:t>号</w:t>
      </w:r>
    </w:p>
    <w:p>
      <w:pPr>
        <w:pStyle w:val="6"/>
        <w:spacing w:before="354"/>
        <w:ind w:left="860" w:firstLine="0"/>
        <w:jc w:val="left"/>
      </w:pPr>
      <w:r>
        <w:rPr>
          <w:rFonts w:hint="eastAsia" w:ascii="MS UI Gothic" w:hAnsi="MS UI Gothic" w:eastAsia="MS UI Gothic"/>
          <w:spacing w:val="-24"/>
        </w:rPr>
        <w:t xml:space="preserve">« </w:t>
      </w:r>
      <w:r>
        <w:rPr>
          <w:spacing w:val="3"/>
        </w:rPr>
        <w:t>建设工程安全生产管理条例</w:t>
      </w:r>
      <w:r>
        <w:rPr>
          <w:rFonts w:hint="eastAsia" w:ascii="MS UI Gothic" w:hAnsi="MS UI Gothic" w:eastAsia="MS UI Gothic"/>
          <w:spacing w:val="12"/>
        </w:rPr>
        <w:t xml:space="preserve">» </w:t>
      </w:r>
      <w:r>
        <w:rPr>
          <w:spacing w:val="-22"/>
        </w:rPr>
        <w:t xml:space="preserve">已经 </w:t>
      </w:r>
      <w:r>
        <w:rPr>
          <w:rFonts w:hint="eastAsia" w:ascii="MS UI Gothic" w:hAnsi="MS UI Gothic" w:eastAsia="MS UI Gothic"/>
          <w:spacing w:val="-4"/>
        </w:rPr>
        <w:t xml:space="preserve">２００３ </w:t>
      </w:r>
      <w:r>
        <w:rPr>
          <w:spacing w:val="-32"/>
        </w:rPr>
        <w:t xml:space="preserve">年 </w:t>
      </w:r>
      <w:r>
        <w:rPr>
          <w:rFonts w:hint="eastAsia" w:ascii="MS UI Gothic" w:hAnsi="MS UI Gothic" w:eastAsia="MS UI Gothic"/>
          <w:spacing w:val="-7"/>
        </w:rPr>
        <w:t xml:space="preserve">１１ </w:t>
      </w:r>
      <w:r>
        <w:rPr>
          <w:spacing w:val="-32"/>
        </w:rPr>
        <w:t xml:space="preserve">月 </w:t>
      </w:r>
      <w:r>
        <w:rPr>
          <w:rFonts w:hint="eastAsia" w:ascii="MS UI Gothic" w:hAnsi="MS UI Gothic" w:eastAsia="MS UI Gothic"/>
          <w:spacing w:val="-6"/>
        </w:rPr>
        <w:t xml:space="preserve">１２ </w:t>
      </w:r>
      <w:r>
        <w:rPr>
          <w:spacing w:val="-5"/>
        </w:rPr>
        <w:t xml:space="preserve">日国务院第 </w:t>
      </w:r>
      <w:r>
        <w:rPr>
          <w:rFonts w:hint="eastAsia" w:ascii="MS UI Gothic" w:hAnsi="MS UI Gothic" w:eastAsia="MS UI Gothic"/>
          <w:spacing w:val="-6"/>
        </w:rPr>
        <w:t xml:space="preserve">２８ </w:t>
      </w:r>
      <w:r>
        <w:rPr>
          <w:spacing w:val="7"/>
        </w:rPr>
        <w:t>次常务会议通</w:t>
      </w:r>
    </w:p>
    <w:p>
      <w:pPr>
        <w:pStyle w:val="6"/>
        <w:spacing w:before="58"/>
        <w:ind w:left="440" w:firstLine="0"/>
        <w:jc w:val="left"/>
        <w:rPr>
          <w:rFonts w:hint="eastAsia" w:ascii="MS UI Gothic" w:eastAsia="MS UI Gothic"/>
        </w:rPr>
      </w:pPr>
      <w:r>
        <w:rPr>
          <w:w w:val="95"/>
        </w:rPr>
        <w:t>过</w:t>
      </w:r>
      <w:r>
        <w:rPr>
          <w:rFonts w:hint="eastAsia" w:ascii="MS UI Gothic" w:eastAsia="MS UI Gothic"/>
          <w:w w:val="90"/>
        </w:rPr>
        <w:t xml:space="preserve">ꎬ </w:t>
      </w:r>
      <w:r>
        <w:rPr>
          <w:w w:val="95"/>
        </w:rPr>
        <w:t>现予公布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２００４ </w:t>
      </w:r>
      <w:r>
        <w:rPr>
          <w:w w:val="95"/>
        </w:rPr>
        <w:t xml:space="preserve">年 </w:t>
      </w:r>
      <w:r>
        <w:rPr>
          <w:rFonts w:hint="eastAsia" w:ascii="MS UI Gothic" w:eastAsia="MS UI Gothic"/>
          <w:w w:val="95"/>
        </w:rPr>
        <w:t xml:space="preserve">２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4"/>
        <w:ind w:left="286"/>
        <w:rPr>
          <w:rFonts w:hint="eastAsia" w:ascii="Microsoft Yi Baiti" w:eastAsia="Microsoft Yi Baiti"/>
        </w:rPr>
      </w:pPr>
      <w:r>
        <w:t xml:space="preserve">建设工程安全生产管理条例 </w:t>
      </w:r>
      <w:r>
        <w:rPr>
          <w:rFonts w:hint="eastAsia" w:ascii="Microsoft Yi Baiti" w:eastAsia="Microsoft Yi Baiti"/>
        </w:rPr>
        <w:t>(</w:t>
      </w:r>
      <w:r>
        <w:rPr>
          <w:rFonts w:hint="eastAsia" w:ascii="MS UI Gothic" w:eastAsia="MS UI Gothic"/>
        </w:rPr>
        <w:t xml:space="preserve">２００３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11"/>
        <w:ind w:left="0" w:firstLine="0"/>
        <w:jc w:val="left"/>
        <w:rPr>
          <w:sz w:val="16"/>
        </w:rPr>
      </w:pPr>
    </w:p>
    <w:p>
      <w:pPr>
        <w:pStyle w:val="6"/>
        <w:spacing w:line="295" w:lineRule="auto"/>
        <w:ind w:left="440"/>
        <w:rPr>
          <w:rFonts w:hint="eastAsia" w:ascii="MS UI Gothic" w:hAnsi="MS UI Gothic" w:eastAsia="MS UI Gothic"/>
        </w:rPr>
      </w:pPr>
      <w:r>
        <w:t>第一条 为了加强建设工程安全生产监督管理</w:t>
      </w:r>
      <w:r>
        <w:rPr>
          <w:rFonts w:hint="eastAsia" w:ascii="MS UI Gothic" w:hAnsi="MS UI Gothic" w:eastAsia="MS UI Gothic"/>
          <w:w w:val="80"/>
        </w:rPr>
        <w:t xml:space="preserve">ꎬ </w:t>
      </w:r>
      <w:r>
        <w:t>保障人民群众生命和财产安全</w:t>
      </w:r>
      <w:r>
        <w:rPr>
          <w:rFonts w:hint="eastAsia" w:ascii="MS UI Gothic" w:hAnsi="MS UI Gothic" w:eastAsia="MS UI Gothic"/>
          <w:w w:val="80"/>
        </w:rPr>
        <w:t xml:space="preserve">ꎬ </w:t>
      </w:r>
      <w:r>
        <w:t xml:space="preserve">根据 </w:t>
      </w:r>
      <w:r>
        <w:rPr>
          <w:rFonts w:hint="eastAsia" w:ascii="MS UI Gothic" w:hAnsi="MS UI Gothic" w:eastAsia="MS UI Gothic"/>
          <w:w w:val="80"/>
        </w:rPr>
        <w:t xml:space="preserve">« </w:t>
      </w:r>
      <w:r>
        <w:t>中华人民共和国建筑法</w:t>
      </w:r>
      <w:r>
        <w:rPr>
          <w:rFonts w:hint="eastAsia" w:ascii="MS UI Gothic" w:hAnsi="MS UI Gothic" w:eastAsia="MS UI Gothic"/>
          <w:w w:val="80"/>
        </w:rPr>
        <w:t>»、</w:t>
      </w:r>
    </w:p>
    <w:p>
      <w:pPr>
        <w:pStyle w:val="6"/>
        <w:spacing w:before="175" w:line="295" w:lineRule="auto"/>
        <w:ind w:left="381" w:right="126" w:firstLine="0"/>
        <w:jc w:val="left"/>
        <w:rPr>
          <w:rFonts w:hint="eastAsia" w:ascii="MS UI Gothic" w:hAnsi="MS UI Gothic" w:eastAsia="MS UI Gothic"/>
        </w:rPr>
      </w:pPr>
      <w:r>
        <w:br w:type="column"/>
      </w:r>
      <w:r>
        <w:rPr>
          <w:rFonts w:hint="eastAsia" w:ascii="MS UI Gothic" w:hAnsi="MS UI Gothic" w:eastAsia="MS UI Gothic"/>
        </w:rPr>
        <w:t xml:space="preserve">« </w:t>
      </w:r>
      <w:r>
        <w:t>中华人民共和国安全生产法</w:t>
      </w:r>
      <w:r>
        <w:rPr>
          <w:rFonts w:hint="eastAsia" w:ascii="MS UI Gothic" w:hAnsi="MS UI Gothic" w:eastAsia="MS UI Gothic"/>
        </w:rPr>
        <w:t xml:space="preserve">» </w:t>
      </w:r>
      <w:r>
        <w:rPr>
          <w:rFonts w:hint="eastAsia" w:ascii="MS UI Gothic" w:hAnsi="MS UI Gothic" w:eastAsia="MS UI Gothic"/>
          <w:w w:val="80"/>
        </w:rPr>
        <w:t xml:space="preserve">ꎬ </w:t>
      </w:r>
      <w:r>
        <w:t>制定本条例</w:t>
      </w:r>
      <w:r>
        <w:rPr>
          <w:rFonts w:hint="eastAsia" w:ascii="MS UI Gothic" w:hAnsi="MS UI Gothic" w:eastAsia="MS UI Gothic"/>
          <w:w w:val="80"/>
        </w:rPr>
        <w:t>ꎮ</w:t>
      </w:r>
    </w:p>
    <w:p>
      <w:pPr>
        <w:pStyle w:val="6"/>
        <w:spacing w:line="295" w:lineRule="auto"/>
        <w:ind w:left="381" w:right="126"/>
      </w:pPr>
      <w:r>
        <w:t>第二条 在中华人民共和国境内从事建设工程的新建</w:t>
      </w:r>
      <w:r>
        <w:rPr>
          <w:rFonts w:hint="eastAsia" w:ascii="MS UI Gothic" w:eastAsia="MS UI Gothic"/>
        </w:rPr>
        <w:t xml:space="preserve">、 </w:t>
      </w:r>
      <w:r>
        <w:t>扩建</w:t>
      </w:r>
      <w:r>
        <w:rPr>
          <w:rFonts w:hint="eastAsia" w:ascii="MS UI Gothic" w:eastAsia="MS UI Gothic"/>
        </w:rPr>
        <w:t xml:space="preserve">、 </w:t>
      </w:r>
      <w:r>
        <w:t>改建和拆除等有关活动及实施对建设工程安全生产的监督</w:t>
      </w:r>
    </w:p>
    <w:p>
      <w:pPr>
        <w:spacing w:after="0" w:line="295" w:lineRule="auto"/>
        <w:sectPr>
          <w:type w:val="continuous"/>
          <w:pgSz w:w="10500" w:h="14750"/>
          <w:pgMar w:top="1400" w:right="980" w:bottom="280" w:left="980" w:header="720" w:footer="720" w:gutter="0"/>
          <w:cols w:equalWidth="0" w:num="2">
            <w:col w:w="4212" w:space="40"/>
            <w:col w:w="4288"/>
          </w:cols>
        </w:sectPr>
      </w:pPr>
    </w:p>
    <w:p>
      <w:pPr>
        <w:tabs>
          <w:tab w:val="left" w:pos="2426"/>
        </w:tabs>
        <w:spacing w:before="162"/>
        <w:ind w:left="280" w:right="0" w:firstLine="0"/>
        <w:jc w:val="left"/>
        <w:rPr>
          <w:rFonts w:hint="eastAsia" w:ascii="Microsoft Yi Baiti" w:eastAsia="Microsoft Yi Baiti"/>
          <w:sz w:val="17"/>
        </w:rPr>
      </w:pPr>
      <w:r>
        <w:pict>
          <v:group id="_x0000_s2294" o:spid="_x0000_s2294" o:spt="203" style="position:absolute;left:0pt;margin-left:55.1pt;margin-top:23.85pt;height:2.15pt;width:398.25pt;mso-position-horizontal-relative:page;mso-wrap-distance-bottom:0pt;mso-wrap-distance-top:0pt;z-index:-251143168;mso-width-relative:page;mso-height-relative:page;" coordorigin="1103,477" coordsize="7965,43">
            <o:lock v:ext="edit"/>
            <v:line id="_x0000_s2295" o:spid="_x0000_s2295" o:spt="20" style="position:absolute;left:1103;top:516;height:0;width:7964;" stroked="t" coordsize="21600,21600">
              <v:path arrowok="t"/>
              <v:fill focussize="0,0"/>
              <v:stroke weight="0.388031496062992pt" color="#231F20"/>
              <v:imagedata o:title=""/>
              <o:lock v:ext="edit"/>
            </v:line>
            <v:line id="_x0000_s2296" o:spid="_x0000_s2296"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４３２</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316"/>
        </w:tabs>
        <w:spacing w:before="163" w:line="240" w:lineRule="exact"/>
        <w:ind w:firstLine="0"/>
        <w:jc w:val="left"/>
        <w:rPr>
          <w:rFonts w:hint="eastAsia" w:ascii="MS UI Gothic" w:eastAsia="MS UI Gothic"/>
        </w:rPr>
      </w:pPr>
      <w:r>
        <w:rPr>
          <w:spacing w:val="3"/>
        </w:rPr>
        <w:t>管理</w:t>
      </w:r>
      <w:r>
        <w:rPr>
          <w:rFonts w:hint="eastAsia" w:ascii="MS UI Gothic" w:eastAsia="MS UI Gothic"/>
          <w:w w:val="80"/>
        </w:rPr>
        <w:t>ꎬ</w:t>
      </w:r>
      <w:r>
        <w:rPr>
          <w:rFonts w:hint="eastAsia" w:ascii="MS UI Gothic" w:eastAsia="MS UI Gothic"/>
          <w:spacing w:val="28"/>
          <w:w w:val="80"/>
        </w:rPr>
        <w:t xml:space="preserve"> </w:t>
      </w:r>
      <w:r>
        <w:rPr>
          <w:spacing w:val="3"/>
        </w:rPr>
        <w:t>必须遵守本条例</w:t>
      </w:r>
      <w:r>
        <w:rPr>
          <w:rFonts w:hint="eastAsia" w:ascii="MS UI Gothic" w:eastAsia="MS UI Gothic"/>
          <w:w w:val="80"/>
        </w:rPr>
        <w:t>ꎮ</w:t>
      </w:r>
      <w:r>
        <w:rPr>
          <w:rFonts w:hint="eastAsia" w:ascii="MS UI Gothic" w:eastAsia="MS UI Gothic"/>
          <w:w w:val="80"/>
        </w:rPr>
        <w:tab/>
      </w:r>
      <w:r>
        <w:rPr>
          <w:spacing w:val="3"/>
        </w:rPr>
        <w:t>措施的资料</w:t>
      </w:r>
      <w:r>
        <w:rPr>
          <w:rFonts w:hint="eastAsia" w:ascii="MS UI Gothic" w:eastAsia="MS UI Gothic"/>
          <w:w w:val="80"/>
        </w:rPr>
        <w:t>ꎮ</w:t>
      </w:r>
    </w:p>
    <w:p>
      <w:pPr>
        <w:spacing w:after="0" w:line="240" w:lineRule="exact"/>
        <w:jc w:val="left"/>
        <w:rPr>
          <w:rFonts w:hint="eastAsia" w:ascii="MS UI Gothic" w:eastAsia="MS UI Gothic"/>
        </w:rPr>
        <w:sectPr>
          <w:pgSz w:w="10500" w:h="14750"/>
          <w:pgMar w:top="960" w:right="980" w:bottom="280" w:left="980" w:header="720" w:footer="720" w:gutter="0"/>
        </w:sectPr>
      </w:pPr>
    </w:p>
    <w:p>
      <w:pPr>
        <w:pStyle w:val="6"/>
        <w:spacing w:before="74" w:line="295" w:lineRule="auto"/>
        <w:ind w:right="39"/>
        <w:rPr>
          <w:rFonts w:hint="eastAsia" w:ascii="MS UI Gothic" w:eastAsia="MS UI Gothic"/>
        </w:rPr>
      </w:pPr>
      <w:r>
        <w:t>本条例所称建设工程</w:t>
      </w:r>
      <w:r>
        <w:rPr>
          <w:rFonts w:hint="eastAsia" w:ascii="MS UI Gothic" w:eastAsia="MS UI Gothic"/>
          <w:w w:val="80"/>
        </w:rPr>
        <w:t xml:space="preserve">ꎬ </w:t>
      </w:r>
      <w:r>
        <w:t>是指土木工程</w:t>
      </w:r>
      <w:r>
        <w:rPr>
          <w:rFonts w:hint="eastAsia" w:ascii="MS UI Gothic" w:eastAsia="MS UI Gothic"/>
          <w:w w:val="80"/>
        </w:rPr>
        <w:t xml:space="preserve">、 </w:t>
      </w:r>
      <w:r>
        <w:t>建筑工程</w:t>
      </w:r>
      <w:r>
        <w:rPr>
          <w:rFonts w:hint="eastAsia" w:ascii="MS UI Gothic" w:eastAsia="MS UI Gothic"/>
          <w:w w:val="80"/>
        </w:rPr>
        <w:t xml:space="preserve">、 </w:t>
      </w:r>
      <w:r>
        <w:t>线路管道和设备安装工程及装修工程</w:t>
      </w:r>
      <w:r>
        <w:rPr>
          <w:rFonts w:hint="eastAsia" w:ascii="MS UI Gothic" w:eastAsia="MS UI Gothic"/>
          <w:w w:val="80"/>
        </w:rPr>
        <w:t>ꎮ</w:t>
      </w:r>
    </w:p>
    <w:p>
      <w:pPr>
        <w:pStyle w:val="6"/>
        <w:spacing w:line="295" w:lineRule="auto"/>
        <w:ind w:right="39"/>
        <w:rPr>
          <w:rFonts w:hint="eastAsia" w:ascii="MS UI Gothic" w:eastAsia="MS UI Gothic"/>
        </w:rPr>
      </w:pPr>
      <w:r>
        <w:t>第三条 建设工程安全生产管理</w:t>
      </w:r>
      <w:r>
        <w:rPr>
          <w:rFonts w:hint="eastAsia" w:ascii="MS UI Gothic" w:eastAsia="MS UI Gothic"/>
          <w:w w:val="80"/>
        </w:rPr>
        <w:t xml:space="preserve">ꎬ </w:t>
      </w:r>
      <w:r>
        <w:t>坚持安全第一</w:t>
      </w:r>
      <w:r>
        <w:rPr>
          <w:rFonts w:hint="eastAsia" w:ascii="MS UI Gothic" w:eastAsia="MS UI Gothic"/>
          <w:w w:val="80"/>
        </w:rPr>
        <w:t xml:space="preserve">、 </w:t>
      </w:r>
      <w:r>
        <w:t>预防为主的方针</w:t>
      </w:r>
      <w:r>
        <w:rPr>
          <w:rFonts w:hint="eastAsia" w:ascii="MS UI Gothic" w:eastAsia="MS UI Gothic"/>
          <w:w w:val="80"/>
        </w:rPr>
        <w:t>ꎮ</w:t>
      </w:r>
    </w:p>
    <w:p>
      <w:pPr>
        <w:pStyle w:val="6"/>
        <w:spacing w:line="295" w:lineRule="auto"/>
        <w:ind w:right="39"/>
        <w:rPr>
          <w:rFonts w:hint="eastAsia" w:ascii="MS UI Gothic" w:eastAsia="MS UI Gothic"/>
        </w:rPr>
      </w:pPr>
      <w:r>
        <w:t>第四条 建设单位</w:t>
      </w:r>
      <w:r>
        <w:rPr>
          <w:rFonts w:hint="eastAsia" w:ascii="MS UI Gothic" w:eastAsia="MS UI Gothic"/>
          <w:w w:val="80"/>
        </w:rPr>
        <w:t xml:space="preserve">、 </w:t>
      </w:r>
      <w:r>
        <w:t>勘察单位</w:t>
      </w:r>
      <w:r>
        <w:rPr>
          <w:rFonts w:hint="eastAsia" w:ascii="MS UI Gothic" w:eastAsia="MS UI Gothic"/>
          <w:w w:val="80"/>
        </w:rPr>
        <w:t xml:space="preserve">、  </w:t>
      </w:r>
      <w:r>
        <w:t>设计单位</w:t>
      </w:r>
      <w:r>
        <w:rPr>
          <w:rFonts w:hint="eastAsia" w:ascii="MS UI Gothic" w:eastAsia="MS UI Gothic"/>
          <w:w w:val="80"/>
        </w:rPr>
        <w:t xml:space="preserve">、 </w:t>
      </w:r>
      <w:r>
        <w:t>施工单位</w:t>
      </w:r>
      <w:r>
        <w:rPr>
          <w:rFonts w:hint="eastAsia" w:ascii="MS UI Gothic" w:eastAsia="MS UI Gothic"/>
          <w:w w:val="80"/>
        </w:rPr>
        <w:t xml:space="preserve">、 </w:t>
      </w:r>
      <w:r>
        <w:t>工程监理单位及其他与建设工程安全生产有关的单位</w:t>
      </w:r>
      <w:r>
        <w:rPr>
          <w:rFonts w:hint="eastAsia" w:ascii="MS UI Gothic" w:eastAsia="MS UI Gothic"/>
          <w:w w:val="80"/>
        </w:rPr>
        <w:t xml:space="preserve">ꎬ </w:t>
      </w:r>
      <w:r>
        <w:t>必须遵守安全生产法律</w:t>
      </w:r>
      <w:r>
        <w:rPr>
          <w:rFonts w:hint="eastAsia" w:ascii="MS UI Gothic" w:eastAsia="MS UI Gothic"/>
          <w:w w:val="80"/>
        </w:rPr>
        <w:t xml:space="preserve">、 </w:t>
      </w:r>
      <w:r>
        <w:t>法规的规定</w:t>
      </w:r>
      <w:r>
        <w:rPr>
          <w:rFonts w:hint="eastAsia" w:ascii="MS UI Gothic" w:eastAsia="MS UI Gothic"/>
          <w:w w:val="80"/>
        </w:rPr>
        <w:t xml:space="preserve">ꎬ </w:t>
      </w:r>
      <w:r>
        <w:t>保证建设工程安全生产</w:t>
      </w:r>
      <w:r>
        <w:rPr>
          <w:rFonts w:hint="eastAsia" w:ascii="MS UI Gothic" w:eastAsia="MS UI Gothic"/>
          <w:w w:val="80"/>
        </w:rPr>
        <w:t xml:space="preserve">ꎬ </w:t>
      </w:r>
      <w:r>
        <w:t>依法承担建设工程安全生产责任</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第五条 国家鼓励建设工程安全生产</w:t>
      </w:r>
      <w:r>
        <w:rPr>
          <w:spacing w:val="4"/>
        </w:rPr>
        <w:t>的科学技术研究和先进技术的推广应用</w:t>
      </w:r>
      <w:r>
        <w:rPr>
          <w:rFonts w:hint="eastAsia" w:ascii="MS UI Gothic" w:eastAsia="MS UI Gothic"/>
          <w:w w:val="80"/>
        </w:rPr>
        <w:t>ꎬ</w:t>
      </w:r>
      <w:r>
        <w:rPr>
          <w:spacing w:val="3"/>
          <w:w w:val="105"/>
        </w:rPr>
        <w:t>推进建设工程安全生产的科学管理</w:t>
      </w:r>
      <w:r>
        <w:rPr>
          <w:rFonts w:hint="eastAsia" w:ascii="MS UI Gothic" w:eastAsia="MS UI Gothic"/>
          <w:w w:val="80"/>
        </w:rPr>
        <w:t>ꎮ</w:t>
      </w:r>
    </w:p>
    <w:p>
      <w:pPr>
        <w:pStyle w:val="6"/>
        <w:tabs>
          <w:tab w:val="left" w:pos="1487"/>
        </w:tabs>
        <w:spacing w:before="146"/>
        <w:ind w:left="648" w:firstLine="0"/>
        <w:jc w:val="left"/>
      </w:pPr>
      <w:r>
        <w:rPr>
          <w:spacing w:val="3"/>
          <w:w w:val="105"/>
        </w:rPr>
        <w:t>第二</w:t>
      </w:r>
      <w:r>
        <w:rPr>
          <w:w w:val="105"/>
        </w:rPr>
        <w:t>章</w:t>
      </w:r>
      <w:r>
        <w:rPr>
          <w:w w:val="105"/>
        </w:rPr>
        <w:tab/>
      </w:r>
      <w:r>
        <w:rPr>
          <w:spacing w:val="3"/>
        </w:rPr>
        <w:t>建设单位的安全责</w:t>
      </w:r>
      <w:r>
        <w:t>任</w:t>
      </w:r>
    </w:p>
    <w:p>
      <w:pPr>
        <w:pStyle w:val="6"/>
        <w:spacing w:before="215" w:line="295" w:lineRule="auto"/>
        <w:ind w:right="39"/>
        <w:rPr>
          <w:rFonts w:hint="eastAsia" w:ascii="MS UI Gothic" w:eastAsia="MS UI Gothic"/>
        </w:rPr>
      </w:pPr>
      <w:r>
        <w:t>第六条 建设单位应当向施工单位提供施工现场及毗邻区域内供水</w:t>
      </w:r>
      <w:r>
        <w:rPr>
          <w:rFonts w:hint="eastAsia" w:ascii="MS UI Gothic" w:eastAsia="MS UI Gothic"/>
          <w:w w:val="80"/>
        </w:rPr>
        <w:t xml:space="preserve">、 </w:t>
      </w:r>
      <w:r>
        <w:t>排水</w:t>
      </w:r>
      <w:r>
        <w:rPr>
          <w:rFonts w:hint="eastAsia" w:ascii="MS UI Gothic" w:eastAsia="MS UI Gothic"/>
          <w:w w:val="80"/>
        </w:rPr>
        <w:t xml:space="preserve">、 </w:t>
      </w:r>
      <w:r>
        <w:t>供电</w:t>
      </w:r>
      <w:r>
        <w:rPr>
          <w:rFonts w:hint="eastAsia" w:ascii="MS UI Gothic" w:eastAsia="MS UI Gothic"/>
          <w:w w:val="80"/>
        </w:rPr>
        <w:t xml:space="preserve">、 </w:t>
      </w:r>
      <w:r>
        <w:t>供气</w:t>
      </w:r>
      <w:r>
        <w:rPr>
          <w:rFonts w:hint="eastAsia" w:ascii="MS UI Gothic" w:eastAsia="MS UI Gothic"/>
          <w:w w:val="80"/>
        </w:rPr>
        <w:t xml:space="preserve">、 </w:t>
      </w:r>
      <w:r>
        <w:t>供热</w:t>
      </w:r>
      <w:r>
        <w:rPr>
          <w:rFonts w:hint="eastAsia" w:ascii="MS UI Gothic" w:eastAsia="MS UI Gothic"/>
          <w:w w:val="80"/>
        </w:rPr>
        <w:t xml:space="preserve">、 </w:t>
      </w:r>
      <w:r>
        <w:t>通信</w:t>
      </w:r>
      <w:r>
        <w:rPr>
          <w:rFonts w:hint="eastAsia" w:ascii="MS UI Gothic" w:eastAsia="MS UI Gothic"/>
          <w:w w:val="80"/>
        </w:rPr>
        <w:t xml:space="preserve">、  </w:t>
      </w:r>
      <w:r>
        <w:t>广播电视等地下管线资料</w:t>
      </w:r>
      <w:r>
        <w:rPr>
          <w:rFonts w:hint="eastAsia" w:ascii="MS UI Gothic" w:eastAsia="MS UI Gothic"/>
          <w:w w:val="80"/>
        </w:rPr>
        <w:t xml:space="preserve">ꎬ </w:t>
      </w:r>
      <w:r>
        <w:t>气象和水文观测资料</w:t>
      </w:r>
      <w:r>
        <w:rPr>
          <w:rFonts w:hint="eastAsia" w:ascii="MS UI Gothic" w:eastAsia="MS UI Gothic"/>
          <w:w w:val="80"/>
        </w:rPr>
        <w:t xml:space="preserve">ꎬ </w:t>
      </w:r>
      <w:r>
        <w:t>相邻建筑物和构筑物</w:t>
      </w:r>
      <w:r>
        <w:rPr>
          <w:rFonts w:hint="eastAsia" w:ascii="MS UI Gothic" w:eastAsia="MS UI Gothic"/>
          <w:w w:val="80"/>
        </w:rPr>
        <w:t xml:space="preserve">、 </w:t>
      </w:r>
      <w:r>
        <w:t>地下工程的有关资料</w:t>
      </w:r>
      <w:r>
        <w:rPr>
          <w:rFonts w:hint="eastAsia" w:ascii="MS UI Gothic" w:eastAsia="MS UI Gothic"/>
          <w:w w:val="80"/>
        </w:rPr>
        <w:t xml:space="preserve">ꎬ </w:t>
      </w:r>
      <w:r>
        <w:t>并保证资料的真实</w:t>
      </w:r>
      <w:r>
        <w:rPr>
          <w:rFonts w:hint="eastAsia" w:ascii="MS UI Gothic" w:eastAsia="MS UI Gothic"/>
          <w:w w:val="80"/>
        </w:rPr>
        <w:t xml:space="preserve">、 </w:t>
      </w:r>
      <w:r>
        <w:t>准确</w:t>
      </w:r>
      <w:r>
        <w:rPr>
          <w:rFonts w:hint="eastAsia" w:ascii="MS UI Gothic" w:eastAsia="MS UI Gothic"/>
          <w:w w:val="80"/>
        </w:rPr>
        <w:t xml:space="preserve">、 </w:t>
      </w:r>
      <w:r>
        <w:t>完整</w:t>
      </w:r>
      <w:r>
        <w:rPr>
          <w:rFonts w:hint="eastAsia" w:ascii="MS UI Gothic" w:eastAsia="MS UI Gothic"/>
          <w:w w:val="80"/>
        </w:rPr>
        <w:t>ꎮ</w:t>
      </w:r>
    </w:p>
    <w:p>
      <w:pPr>
        <w:pStyle w:val="6"/>
        <w:spacing w:line="295" w:lineRule="auto"/>
        <w:ind w:right="39"/>
        <w:rPr>
          <w:rFonts w:hint="eastAsia" w:ascii="MS UI Gothic" w:eastAsia="MS UI Gothic"/>
        </w:rPr>
      </w:pPr>
      <w:r>
        <w:t>建设单位因建设工程需要</w:t>
      </w:r>
      <w:r>
        <w:rPr>
          <w:rFonts w:hint="eastAsia" w:ascii="MS UI Gothic" w:eastAsia="MS UI Gothic"/>
          <w:w w:val="80"/>
        </w:rPr>
        <w:t xml:space="preserve">ꎬ </w:t>
      </w:r>
      <w:r>
        <w:t>向有关部门或者单位查询前款规定的资料时</w:t>
      </w:r>
      <w:r>
        <w:rPr>
          <w:rFonts w:hint="eastAsia" w:ascii="MS UI Gothic" w:eastAsia="MS UI Gothic"/>
          <w:w w:val="80"/>
        </w:rPr>
        <w:t xml:space="preserve">ꎬ </w:t>
      </w:r>
      <w:r>
        <w:t>有关部门或者单位应当及时提供</w:t>
      </w:r>
      <w:r>
        <w:rPr>
          <w:rFonts w:hint="eastAsia" w:ascii="MS UI Gothic" w:eastAsia="MS UI Gothic"/>
          <w:w w:val="80"/>
        </w:rPr>
        <w:t>ꎮ</w:t>
      </w:r>
    </w:p>
    <w:p>
      <w:pPr>
        <w:pStyle w:val="6"/>
        <w:spacing w:line="295" w:lineRule="auto"/>
        <w:ind w:right="39"/>
        <w:rPr>
          <w:rFonts w:hint="eastAsia" w:ascii="MS UI Gothic" w:eastAsia="MS UI Gothic"/>
        </w:rPr>
      </w:pPr>
      <w:r>
        <w:t>第七条  建设单位不得对勘察</w:t>
      </w:r>
      <w:r>
        <w:rPr>
          <w:rFonts w:hint="eastAsia" w:ascii="MS UI Gothic" w:eastAsia="MS UI Gothic"/>
          <w:w w:val="80"/>
        </w:rPr>
        <w:t xml:space="preserve">、  </w:t>
      </w:r>
      <w:r>
        <w:t>设计</w:t>
      </w:r>
      <w:r>
        <w:rPr>
          <w:rFonts w:hint="eastAsia" w:ascii="MS UI Gothic" w:eastAsia="MS UI Gothic"/>
          <w:w w:val="80"/>
        </w:rPr>
        <w:t xml:space="preserve">、 </w:t>
      </w:r>
      <w:r>
        <w:t>施工</w:t>
      </w:r>
      <w:r>
        <w:rPr>
          <w:rFonts w:hint="eastAsia" w:ascii="MS UI Gothic" w:eastAsia="MS UI Gothic"/>
          <w:w w:val="80"/>
        </w:rPr>
        <w:t xml:space="preserve">、 </w:t>
      </w:r>
      <w:r>
        <w:t>工程监理等单位提出不符合建设工程安全生产法律</w:t>
      </w:r>
      <w:r>
        <w:rPr>
          <w:rFonts w:hint="eastAsia" w:ascii="MS UI Gothic" w:eastAsia="MS UI Gothic"/>
          <w:w w:val="80"/>
        </w:rPr>
        <w:t xml:space="preserve">、 </w:t>
      </w:r>
      <w:r>
        <w:t>法规和强制性标准规定的要求</w:t>
      </w:r>
      <w:r>
        <w:rPr>
          <w:rFonts w:hint="eastAsia" w:ascii="MS UI Gothic" w:eastAsia="MS UI Gothic"/>
          <w:w w:val="80"/>
        </w:rPr>
        <w:t xml:space="preserve">ꎬ </w:t>
      </w:r>
      <w:r>
        <w:t>不得压缩合同约定的工期</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第八条 建设单位在编制工程概算</w:t>
      </w:r>
      <w:r>
        <w:t>时</w:t>
      </w:r>
      <w:r>
        <w:rPr>
          <w:rFonts w:hint="eastAsia" w:ascii="MS UI Gothic" w:eastAsia="MS UI Gothic"/>
          <w:w w:val="80"/>
        </w:rPr>
        <w:t xml:space="preserve">ꎬ </w:t>
      </w:r>
      <w:r>
        <w:t>应当确定建设工程安全作业环境及安</w:t>
      </w:r>
      <w:r>
        <w:rPr>
          <w:w w:val="105"/>
        </w:rPr>
        <w:t>全施工措施所需费用</w:t>
      </w:r>
      <w:r>
        <w:rPr>
          <w:rFonts w:hint="eastAsia" w:ascii="MS UI Gothic" w:eastAsia="MS UI Gothic"/>
          <w:w w:val="80"/>
        </w:rPr>
        <w:t>ꎮ</w:t>
      </w:r>
    </w:p>
    <w:p>
      <w:pPr>
        <w:pStyle w:val="6"/>
        <w:spacing w:line="295" w:lineRule="auto"/>
        <w:ind w:right="39"/>
        <w:rPr>
          <w:rFonts w:hint="eastAsia" w:ascii="MS UI Gothic" w:eastAsia="MS UI Gothic"/>
        </w:rPr>
      </w:pPr>
      <w:r>
        <w:t>第九条 建设单位不得明示或者暗示施工单位购买</w:t>
      </w:r>
      <w:r>
        <w:rPr>
          <w:rFonts w:hint="eastAsia" w:ascii="MS UI Gothic" w:eastAsia="MS UI Gothic"/>
          <w:w w:val="80"/>
        </w:rPr>
        <w:t xml:space="preserve">、 </w:t>
      </w:r>
      <w:r>
        <w:t>租赁</w:t>
      </w:r>
      <w:r>
        <w:rPr>
          <w:rFonts w:hint="eastAsia" w:ascii="MS UI Gothic" w:eastAsia="MS UI Gothic"/>
          <w:w w:val="80"/>
        </w:rPr>
        <w:t xml:space="preserve">、 </w:t>
      </w:r>
      <w:r>
        <w:t>使用不符合安全施工要求的安全防护用具</w:t>
      </w:r>
      <w:r>
        <w:rPr>
          <w:rFonts w:hint="eastAsia" w:ascii="MS UI Gothic" w:eastAsia="MS UI Gothic"/>
          <w:w w:val="80"/>
        </w:rPr>
        <w:t xml:space="preserve">、 </w:t>
      </w:r>
      <w:r>
        <w:t>机械设备</w:t>
      </w:r>
      <w:r>
        <w:rPr>
          <w:rFonts w:hint="eastAsia" w:ascii="MS UI Gothic" w:eastAsia="MS UI Gothic"/>
          <w:w w:val="80"/>
        </w:rPr>
        <w:t xml:space="preserve">、 </w:t>
      </w:r>
      <w:r>
        <w:t>施工机具及配件</w:t>
      </w:r>
      <w:r>
        <w:rPr>
          <w:rFonts w:hint="eastAsia" w:ascii="MS UI Gothic" w:eastAsia="MS UI Gothic"/>
          <w:w w:val="80"/>
        </w:rPr>
        <w:t xml:space="preserve">、 </w:t>
      </w:r>
      <w:r>
        <w:t>消防设施和器材</w:t>
      </w:r>
      <w:r>
        <w:rPr>
          <w:rFonts w:hint="eastAsia" w:ascii="MS UI Gothic" w:eastAsia="MS UI Gothic"/>
          <w:w w:val="80"/>
        </w:rPr>
        <w:t>ꎮ</w:t>
      </w:r>
    </w:p>
    <w:p>
      <w:pPr>
        <w:pStyle w:val="6"/>
        <w:spacing w:line="295" w:lineRule="auto"/>
        <w:ind w:right="39"/>
      </w:pPr>
      <w:r>
        <w:rPr>
          <w:w w:val="105"/>
        </w:rPr>
        <w:t>第十条 建设单位在申请领取施工许</w:t>
      </w:r>
      <w:r>
        <w:t>可证时</w:t>
      </w:r>
      <w:r>
        <w:rPr>
          <w:rFonts w:hint="eastAsia" w:ascii="MS UI Gothic" w:eastAsia="MS UI Gothic"/>
          <w:w w:val="80"/>
        </w:rPr>
        <w:t xml:space="preserve">ꎬ </w:t>
      </w:r>
      <w:r>
        <w:t>应当提供建设工程有关安全施工</w:t>
      </w:r>
    </w:p>
    <w:p>
      <w:pPr>
        <w:pStyle w:val="6"/>
        <w:spacing w:before="74" w:line="295" w:lineRule="auto"/>
        <w:ind w:right="440"/>
        <w:rPr>
          <w:rFonts w:hint="eastAsia" w:ascii="MS UI Gothic" w:eastAsia="MS UI Gothic"/>
        </w:rPr>
      </w:pPr>
      <w:r>
        <w:br w:type="column"/>
      </w:r>
      <w:r>
        <w:t>依法批准开工报告的建设工程</w:t>
      </w:r>
      <w:r>
        <w:rPr>
          <w:rFonts w:hint="eastAsia" w:ascii="MS UI Gothic" w:eastAsia="MS UI Gothic"/>
          <w:w w:val="85"/>
        </w:rPr>
        <w:t xml:space="preserve">ꎬ </w:t>
      </w:r>
      <w:r>
        <w:t xml:space="preserve">建设单位应当自开工报告批准之日起 </w:t>
      </w:r>
      <w:r>
        <w:rPr>
          <w:rFonts w:hint="eastAsia" w:ascii="MS UI Gothic" w:eastAsia="MS UI Gothic"/>
          <w:w w:val="85"/>
        </w:rPr>
        <w:t xml:space="preserve">１５ </w:t>
      </w:r>
      <w:r>
        <w:t>日内</w:t>
      </w:r>
      <w:r>
        <w:rPr>
          <w:rFonts w:hint="eastAsia" w:ascii="MS UI Gothic" w:eastAsia="MS UI Gothic"/>
          <w:w w:val="85"/>
        </w:rPr>
        <w:t>ꎬ</w:t>
      </w:r>
      <w:r>
        <w:t>将保证安全施工的措施报送建设工程所在地的县级以上地方人民政府建设行政主管部门或者其他有关部门备案</w:t>
      </w:r>
      <w:r>
        <w:rPr>
          <w:rFonts w:hint="eastAsia" w:ascii="MS UI Gothic" w:eastAsia="MS UI Gothic"/>
          <w:w w:val="85"/>
        </w:rPr>
        <w:t>ꎮ</w:t>
      </w:r>
    </w:p>
    <w:p>
      <w:pPr>
        <w:pStyle w:val="6"/>
        <w:spacing w:line="295" w:lineRule="auto"/>
        <w:ind w:right="442"/>
        <w:rPr>
          <w:rFonts w:hint="eastAsia" w:ascii="MS UI Gothic" w:eastAsia="MS UI Gothic"/>
        </w:rPr>
      </w:pPr>
      <w:r>
        <w:rPr>
          <w:w w:val="105"/>
        </w:rPr>
        <w:t>第十一条 建设单位应当将拆除工程发包给具有相应资质等级的施工单位</w:t>
      </w:r>
      <w:r>
        <w:rPr>
          <w:rFonts w:hint="eastAsia" w:ascii="MS UI Gothic" w:eastAsia="MS UI Gothic"/>
          <w:w w:val="80"/>
        </w:rPr>
        <w:t>ꎮ</w:t>
      </w:r>
    </w:p>
    <w:p>
      <w:pPr>
        <w:pStyle w:val="6"/>
        <w:spacing w:line="295" w:lineRule="auto"/>
        <w:ind w:right="442"/>
        <w:rPr>
          <w:rFonts w:hint="eastAsia" w:ascii="MS UI Gothic" w:eastAsia="MS UI Gothic"/>
        </w:rPr>
      </w:pPr>
      <w:r>
        <w:rPr>
          <w:w w:val="105"/>
        </w:rPr>
        <w:t xml:space="preserve">建设单位应当在拆除工程施工 </w:t>
      </w:r>
      <w:r>
        <w:rPr>
          <w:rFonts w:hint="eastAsia" w:ascii="MS UI Gothic" w:eastAsia="MS UI Gothic"/>
          <w:w w:val="80"/>
        </w:rPr>
        <w:t xml:space="preserve">１５ </w:t>
      </w:r>
      <w:r>
        <w:rPr>
          <w:w w:val="105"/>
        </w:rPr>
        <w:t>日</w:t>
      </w:r>
      <w:r>
        <w:t>前</w:t>
      </w:r>
      <w:r>
        <w:rPr>
          <w:rFonts w:hint="eastAsia" w:ascii="MS UI Gothic" w:eastAsia="MS UI Gothic"/>
          <w:w w:val="80"/>
        </w:rPr>
        <w:t xml:space="preserve">ꎬ </w:t>
      </w:r>
      <w:r>
        <w:t>将下列资料报送建设工程所在地的县级以上地方人民政府建设行政主管部门或</w:t>
      </w:r>
      <w:r>
        <w:rPr>
          <w:w w:val="105"/>
        </w:rPr>
        <w:t>者其他有关部门备案</w:t>
      </w:r>
      <w:r>
        <w:rPr>
          <w:rFonts w:hint="eastAsia" w:ascii="MS UI Gothic" w:eastAsia="MS UI Gothic"/>
          <w:w w:val="230"/>
        </w:rPr>
        <w:t>:</w:t>
      </w:r>
    </w:p>
    <w:p>
      <w:pPr>
        <w:pStyle w:val="6"/>
        <w:spacing w:line="253" w:lineRule="exact"/>
        <w:ind w:left="543"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施工单位资质等级证明</w:t>
      </w:r>
      <w:r>
        <w:rPr>
          <w:rFonts w:hint="eastAsia" w:ascii="MS UI Gothic" w:eastAsia="MS UI Gothic"/>
          <w:w w:val="80"/>
        </w:rPr>
        <w:t>ꎻ</w:t>
      </w:r>
    </w:p>
    <w:p>
      <w:pPr>
        <w:pStyle w:val="6"/>
        <w:spacing w:before="53"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拟拆除建筑物</w:t>
      </w:r>
      <w:r>
        <w:rPr>
          <w:rFonts w:hint="eastAsia" w:ascii="MS UI Gothic" w:eastAsia="MS UI Gothic"/>
          <w:w w:val="80"/>
        </w:rPr>
        <w:t xml:space="preserve">、 </w:t>
      </w:r>
      <w:r>
        <w:rPr>
          <w:w w:val="105"/>
        </w:rPr>
        <w:t>构筑物及可能危及毗邻建筑的说明</w:t>
      </w:r>
      <w:r>
        <w:rPr>
          <w:rFonts w:hint="eastAsia" w:ascii="MS UI Gothic" w:eastAsia="MS UI Gothic"/>
          <w:w w:val="80"/>
        </w:rPr>
        <w:t>ꎻ</w:t>
      </w:r>
    </w:p>
    <w:p>
      <w:pPr>
        <w:pStyle w:val="6"/>
        <w:spacing w:line="255" w:lineRule="exact"/>
        <w:ind w:left="543"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拆除施工组织方案</w:t>
      </w:r>
      <w:r>
        <w:rPr>
          <w:rFonts w:hint="eastAsia" w:ascii="MS UI Gothic" w:eastAsia="MS UI Gothic"/>
          <w:w w:val="80"/>
        </w:rPr>
        <w:t>ꎻ</w:t>
      </w:r>
    </w:p>
    <w:p>
      <w:pPr>
        <w:pStyle w:val="6"/>
        <w:spacing w:before="58"/>
        <w:ind w:left="543"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堆放</w:t>
      </w:r>
      <w:r>
        <w:rPr>
          <w:rFonts w:hint="eastAsia" w:ascii="MS UI Gothic" w:eastAsia="MS UI Gothic"/>
          <w:w w:val="80"/>
        </w:rPr>
        <w:t xml:space="preserve">、 </w:t>
      </w:r>
      <w:r>
        <w:rPr>
          <w:w w:val="110"/>
        </w:rPr>
        <w:t>清除废弃物的措施</w:t>
      </w:r>
      <w:r>
        <w:rPr>
          <w:rFonts w:hint="eastAsia" w:ascii="MS UI Gothic" w:eastAsia="MS UI Gothic"/>
          <w:w w:val="80"/>
        </w:rPr>
        <w:t>ꎮ</w:t>
      </w:r>
    </w:p>
    <w:p>
      <w:pPr>
        <w:pStyle w:val="6"/>
        <w:spacing w:before="58" w:line="295" w:lineRule="auto"/>
        <w:ind w:right="442"/>
        <w:rPr>
          <w:rFonts w:hint="eastAsia" w:ascii="MS UI Gothic" w:eastAsia="MS UI Gothic"/>
        </w:rPr>
      </w:pPr>
      <w:r>
        <w:t>实施爆破作业的</w:t>
      </w:r>
      <w:r>
        <w:rPr>
          <w:rFonts w:hint="eastAsia" w:ascii="MS UI Gothic" w:eastAsia="MS UI Gothic"/>
          <w:w w:val="80"/>
        </w:rPr>
        <w:t xml:space="preserve">ꎬ </w:t>
      </w:r>
      <w:r>
        <w:t>应当遵守国家有关民用爆炸物品管理的规定</w:t>
      </w:r>
      <w:r>
        <w:rPr>
          <w:rFonts w:hint="eastAsia" w:ascii="MS UI Gothic" w:eastAsia="MS UI Gothic"/>
          <w:w w:val="80"/>
        </w:rPr>
        <w:t>ꎮ</w:t>
      </w:r>
    </w:p>
    <w:p>
      <w:pPr>
        <w:pStyle w:val="6"/>
        <w:tabs>
          <w:tab w:val="left" w:pos="1067"/>
        </w:tabs>
        <w:spacing w:before="155" w:line="295" w:lineRule="auto"/>
        <w:ind w:left="1067" w:right="547" w:hanging="839"/>
        <w:jc w:val="left"/>
      </w:pPr>
      <w:r>
        <w:rPr>
          <w:spacing w:val="3"/>
        </w:rPr>
        <w:t>第三</w:t>
      </w:r>
      <w:r>
        <w:t>章</w:t>
      </w:r>
      <w:r>
        <w:tab/>
      </w:r>
      <w:r>
        <w:rPr>
          <w:spacing w:val="3"/>
        </w:rPr>
        <w:t>勘察</w:t>
      </w:r>
      <w:r>
        <w:rPr>
          <w:rFonts w:hint="eastAsia" w:ascii="Microsoft Yi Baiti" w:eastAsia="Microsoft Yi Baiti"/>
        </w:rPr>
        <w:t>、</w:t>
      </w:r>
      <w:r>
        <w:rPr>
          <w:rFonts w:hint="eastAsia" w:ascii="Microsoft Yi Baiti" w:eastAsia="Microsoft Yi Baiti"/>
          <w:spacing w:val="15"/>
        </w:rPr>
        <w:t xml:space="preserve"> </w:t>
      </w:r>
      <w:r>
        <w:rPr>
          <w:spacing w:val="3"/>
        </w:rPr>
        <w:t>设计</w:t>
      </w:r>
      <w:r>
        <w:rPr>
          <w:rFonts w:hint="eastAsia" w:ascii="Microsoft Yi Baiti" w:eastAsia="Microsoft Yi Baiti"/>
        </w:rPr>
        <w:t>、</w:t>
      </w:r>
      <w:r>
        <w:rPr>
          <w:rFonts w:hint="eastAsia" w:ascii="Microsoft Yi Baiti" w:eastAsia="Microsoft Yi Baiti"/>
          <w:spacing w:val="16"/>
        </w:rPr>
        <w:t xml:space="preserve"> </w:t>
      </w:r>
      <w:r>
        <w:rPr>
          <w:spacing w:val="3"/>
        </w:rPr>
        <w:t>工程监理及其</w:t>
      </w:r>
      <w:r>
        <w:t>他</w:t>
      </w:r>
      <w:r>
        <w:rPr>
          <w:spacing w:val="3"/>
        </w:rPr>
        <w:t>有关单位的安全责</w:t>
      </w:r>
      <w:r>
        <w:t>任</w:t>
      </w:r>
    </w:p>
    <w:p>
      <w:pPr>
        <w:pStyle w:val="6"/>
        <w:spacing w:before="156" w:line="295" w:lineRule="auto"/>
        <w:ind w:right="440"/>
        <w:rPr>
          <w:rFonts w:hint="eastAsia" w:ascii="MS UI Gothic" w:eastAsia="MS UI Gothic"/>
        </w:rPr>
      </w:pPr>
      <w:r>
        <w:t>第十二条 勘察单位应当按照法律</w:t>
      </w:r>
      <w:r>
        <w:rPr>
          <w:rFonts w:hint="eastAsia" w:ascii="MS UI Gothic" w:eastAsia="MS UI Gothic"/>
          <w:w w:val="80"/>
        </w:rPr>
        <w:t>、</w:t>
      </w:r>
      <w:r>
        <w:t>法规和工程建设强制性标准进行勘察</w:t>
      </w:r>
      <w:r>
        <w:rPr>
          <w:rFonts w:hint="eastAsia" w:ascii="MS UI Gothic" w:eastAsia="MS UI Gothic"/>
          <w:w w:val="80"/>
        </w:rPr>
        <w:t xml:space="preserve">ꎬ </w:t>
      </w:r>
      <w:r>
        <w:t>提供的勘察文件应当真实</w:t>
      </w:r>
      <w:r>
        <w:rPr>
          <w:rFonts w:hint="eastAsia" w:ascii="MS UI Gothic" w:eastAsia="MS UI Gothic"/>
          <w:w w:val="80"/>
        </w:rPr>
        <w:t xml:space="preserve">、 </w:t>
      </w:r>
      <w:r>
        <w:t>准确</w:t>
      </w:r>
      <w:r>
        <w:rPr>
          <w:rFonts w:hint="eastAsia" w:ascii="MS UI Gothic" w:eastAsia="MS UI Gothic"/>
          <w:w w:val="80"/>
        </w:rPr>
        <w:t xml:space="preserve">ꎬ </w:t>
      </w:r>
      <w:r>
        <w:t>满足建设工程安全生产的需要</w:t>
      </w:r>
      <w:r>
        <w:rPr>
          <w:rFonts w:hint="eastAsia" w:ascii="MS UI Gothic" w:eastAsia="MS UI Gothic"/>
          <w:w w:val="80"/>
        </w:rPr>
        <w:t>ꎮ</w:t>
      </w:r>
    </w:p>
    <w:p>
      <w:pPr>
        <w:pStyle w:val="6"/>
        <w:spacing w:line="295" w:lineRule="auto"/>
        <w:ind w:right="442"/>
        <w:rPr>
          <w:rFonts w:hint="eastAsia" w:ascii="MS UI Gothic" w:eastAsia="MS UI Gothic"/>
        </w:rPr>
      </w:pPr>
      <w:r>
        <w:t>勘察单位在勘察作业时</w:t>
      </w:r>
      <w:r>
        <w:rPr>
          <w:rFonts w:hint="eastAsia" w:ascii="MS UI Gothic" w:eastAsia="MS UI Gothic"/>
          <w:w w:val="80"/>
        </w:rPr>
        <w:t xml:space="preserve">ꎬ </w:t>
      </w:r>
      <w:r>
        <w:t>应当严格执行操作规程</w:t>
      </w:r>
      <w:r>
        <w:rPr>
          <w:rFonts w:hint="eastAsia" w:ascii="MS UI Gothic" w:eastAsia="MS UI Gothic"/>
          <w:w w:val="80"/>
        </w:rPr>
        <w:t xml:space="preserve">ꎬ </w:t>
      </w:r>
      <w:r>
        <w:t>采取措施保证各类管线</w:t>
      </w:r>
      <w:r>
        <w:rPr>
          <w:rFonts w:hint="eastAsia" w:ascii="MS UI Gothic" w:eastAsia="MS UI Gothic"/>
          <w:w w:val="80"/>
        </w:rPr>
        <w:t xml:space="preserve">、 </w:t>
      </w:r>
      <w:r>
        <w:t>设施和周边建筑物</w:t>
      </w:r>
      <w:r>
        <w:rPr>
          <w:rFonts w:hint="eastAsia" w:ascii="MS UI Gothic" w:eastAsia="MS UI Gothic"/>
          <w:w w:val="80"/>
        </w:rPr>
        <w:t xml:space="preserve">、 </w:t>
      </w:r>
      <w:r>
        <w:t>构筑物的安全</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第十三条 设计单位应当按照法律</w:t>
      </w:r>
      <w:r>
        <w:rPr>
          <w:rFonts w:hint="eastAsia" w:ascii="MS UI Gothic" w:eastAsia="MS UI Gothic"/>
          <w:w w:val="80"/>
        </w:rPr>
        <w:t>、</w:t>
      </w:r>
      <w:r>
        <w:t>法规和工程建设强制性标准进行设计</w:t>
      </w:r>
      <w:r>
        <w:rPr>
          <w:rFonts w:hint="eastAsia" w:ascii="MS UI Gothic" w:eastAsia="MS UI Gothic"/>
          <w:w w:val="80"/>
        </w:rPr>
        <w:t xml:space="preserve">ꎬ </w:t>
      </w:r>
      <w:r>
        <w:t>防止因设计不合理导致生产安全事故的</w:t>
      </w:r>
      <w:r>
        <w:rPr>
          <w:w w:val="105"/>
        </w:rPr>
        <w:t>发生</w:t>
      </w:r>
      <w:r>
        <w:rPr>
          <w:rFonts w:hint="eastAsia" w:ascii="MS UI Gothic" w:eastAsia="MS UI Gothic"/>
          <w:w w:val="80"/>
        </w:rPr>
        <w:t>ꎮ</w:t>
      </w:r>
    </w:p>
    <w:p>
      <w:pPr>
        <w:pStyle w:val="6"/>
        <w:spacing w:line="295" w:lineRule="auto"/>
        <w:ind w:right="442"/>
        <w:rPr>
          <w:rFonts w:hint="eastAsia" w:ascii="MS UI Gothic" w:eastAsia="MS UI Gothic"/>
        </w:rPr>
      </w:pPr>
      <w:r>
        <w:t>设计单位应当考虑施工安全操作和防护的需要</w:t>
      </w:r>
      <w:r>
        <w:rPr>
          <w:rFonts w:hint="eastAsia" w:ascii="MS UI Gothic" w:eastAsia="MS UI Gothic"/>
          <w:w w:val="80"/>
        </w:rPr>
        <w:t xml:space="preserve">ꎬ </w:t>
      </w:r>
      <w:r>
        <w:t>对涉及施工安全的重点部位和环节在设计文件中注明</w:t>
      </w:r>
      <w:r>
        <w:rPr>
          <w:rFonts w:hint="eastAsia" w:ascii="MS UI Gothic" w:eastAsia="MS UI Gothic"/>
          <w:w w:val="80"/>
        </w:rPr>
        <w:t xml:space="preserve">ꎬ </w:t>
      </w:r>
      <w:r>
        <w:t>并对防范生产安</w:t>
      </w:r>
      <w:r>
        <w:rPr>
          <w:w w:val="105"/>
        </w:rPr>
        <w:t>全事故提出指导意见</w:t>
      </w:r>
      <w:r>
        <w:rPr>
          <w:rFonts w:hint="eastAsia" w:ascii="MS UI Gothic" w:eastAsia="MS UI Gothic"/>
          <w:w w:val="80"/>
        </w:rPr>
        <w:t>ꎮ</w:t>
      </w:r>
    </w:p>
    <w:p>
      <w:pPr>
        <w:pStyle w:val="6"/>
        <w:spacing w:line="295" w:lineRule="auto"/>
        <w:ind w:right="442"/>
      </w:pPr>
      <w:r>
        <w:t>采用新结构</w:t>
      </w:r>
      <w:r>
        <w:rPr>
          <w:rFonts w:hint="eastAsia" w:ascii="MS UI Gothic" w:eastAsia="MS UI Gothic"/>
          <w:w w:val="80"/>
        </w:rPr>
        <w:t xml:space="preserve">、 </w:t>
      </w:r>
      <w:r>
        <w:t>新材料</w:t>
      </w:r>
      <w:r>
        <w:rPr>
          <w:rFonts w:hint="eastAsia" w:ascii="MS UI Gothic" w:eastAsia="MS UI Gothic"/>
          <w:w w:val="80"/>
        </w:rPr>
        <w:t xml:space="preserve">、 </w:t>
      </w:r>
      <w:r>
        <w:t>新工艺的建设工程和特殊结构的建设工程</w:t>
      </w:r>
      <w:r>
        <w:rPr>
          <w:rFonts w:hint="eastAsia" w:ascii="MS UI Gothic" w:eastAsia="MS UI Gothic"/>
          <w:w w:val="80"/>
        </w:rPr>
        <w:t xml:space="preserve">ꎬ </w:t>
      </w:r>
      <w:r>
        <w:t>设计单位应</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４３３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297" o:spid="_x0000_s2297" o:spt="203" style="height:2.15pt;width:398.25pt;" coordsize="7965,43">
            <o:lock v:ext="edit"/>
            <v:line id="_x0000_s2298" o:spid="_x0000_s2298" o:spt="20" style="position:absolute;left:0;top:39;height:0;width:7965;" stroked="t" coordsize="21600,21600">
              <v:path arrowok="t"/>
              <v:fill focussize="0,0"/>
              <v:stroke weight="0.388031496062992pt" color="#231F20"/>
              <v:imagedata o:title=""/>
              <o:lock v:ext="edit"/>
            </v:line>
            <v:line id="_x0000_s2299" o:spid="_x0000_s229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jc w:val="left"/>
        <w:rPr>
          <w:rFonts w:hint="eastAsia" w:ascii="MS UI Gothic" w:eastAsia="MS UI Gothic"/>
        </w:rPr>
      </w:pPr>
      <w:r>
        <w:t>当在设计中提出保障施工作业人员安全和</w:t>
      </w:r>
      <w:r>
        <w:rPr>
          <w:w w:val="105"/>
        </w:rPr>
        <w:t>预防生产安全事故的措施建议</w:t>
      </w:r>
      <w:r>
        <w:rPr>
          <w:rFonts w:hint="eastAsia" w:ascii="MS UI Gothic" w:eastAsia="MS UI Gothic"/>
          <w:w w:val="80"/>
        </w:rPr>
        <w:t>ꎮ</w:t>
      </w:r>
    </w:p>
    <w:p>
      <w:pPr>
        <w:pStyle w:val="6"/>
        <w:spacing w:line="295" w:lineRule="auto"/>
        <w:ind w:left="440"/>
        <w:jc w:val="left"/>
        <w:rPr>
          <w:rFonts w:hint="eastAsia" w:ascii="MS UI Gothic" w:eastAsia="MS UI Gothic"/>
        </w:rPr>
      </w:pPr>
      <w:r>
        <w:t>设计单位和注册建筑师等注册执业人</w:t>
      </w:r>
      <w:r>
        <w:rPr>
          <w:w w:val="105"/>
        </w:rPr>
        <w:t>员应当对其设计负责</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第十四条 工程监理单位应当审查施</w:t>
      </w:r>
      <w:r>
        <w:t>工组织设计中的安全技术措施或者专项施</w:t>
      </w:r>
      <w:r>
        <w:rPr>
          <w:w w:val="105"/>
        </w:rPr>
        <w:t>工方案是否符合工程建设强制性标准</w:t>
      </w:r>
      <w:r>
        <w:rPr>
          <w:rFonts w:hint="eastAsia" w:ascii="MS UI Gothic" w:eastAsia="MS UI Gothic"/>
          <w:w w:val="80"/>
        </w:rPr>
        <w:t>ꎮ</w:t>
      </w:r>
    </w:p>
    <w:p>
      <w:pPr>
        <w:pStyle w:val="6"/>
        <w:spacing w:line="295" w:lineRule="auto"/>
        <w:ind w:left="440"/>
        <w:rPr>
          <w:rFonts w:hint="eastAsia" w:ascii="MS UI Gothic" w:eastAsia="MS UI Gothic"/>
        </w:rPr>
      </w:pPr>
      <w:r>
        <w:t>工程监理单位在实施监理过程中</w:t>
      </w:r>
      <w:r>
        <w:rPr>
          <w:rFonts w:hint="eastAsia" w:ascii="MS UI Gothic" w:eastAsia="MS UI Gothic"/>
          <w:w w:val="80"/>
        </w:rPr>
        <w:t xml:space="preserve">ꎬ </w:t>
      </w:r>
      <w:r>
        <w:t>发现存在安全事故隐患的</w:t>
      </w:r>
      <w:r>
        <w:rPr>
          <w:rFonts w:hint="eastAsia" w:ascii="MS UI Gothic" w:eastAsia="MS UI Gothic"/>
          <w:w w:val="80"/>
        </w:rPr>
        <w:t xml:space="preserve">ꎬ </w:t>
      </w:r>
      <w:r>
        <w:t>应当要求施工单位整改</w:t>
      </w:r>
      <w:r>
        <w:rPr>
          <w:rFonts w:hint="eastAsia" w:ascii="MS UI Gothic" w:eastAsia="MS UI Gothic"/>
          <w:w w:val="80"/>
        </w:rPr>
        <w:t xml:space="preserve">ꎻ </w:t>
      </w:r>
      <w:r>
        <w:t>情况严重的</w:t>
      </w:r>
      <w:r>
        <w:rPr>
          <w:rFonts w:hint="eastAsia" w:ascii="MS UI Gothic" w:eastAsia="MS UI Gothic"/>
          <w:w w:val="80"/>
        </w:rPr>
        <w:t xml:space="preserve">ꎬ </w:t>
      </w:r>
      <w:r>
        <w:t>应当要求施工单位暂时停止施工</w:t>
      </w:r>
      <w:r>
        <w:rPr>
          <w:rFonts w:hint="eastAsia" w:ascii="MS UI Gothic" w:eastAsia="MS UI Gothic"/>
          <w:w w:val="80"/>
        </w:rPr>
        <w:t xml:space="preserve">ꎬ </w:t>
      </w:r>
      <w:r>
        <w:t>并及时报告建设单位</w:t>
      </w:r>
      <w:r>
        <w:rPr>
          <w:rFonts w:hint="eastAsia" w:ascii="MS UI Gothic" w:eastAsia="MS UI Gothic"/>
          <w:w w:val="80"/>
        </w:rPr>
        <w:t xml:space="preserve">ꎮ </w:t>
      </w:r>
      <w:r>
        <w:t>施工单位拒不整改或者不停止施工的</w:t>
      </w:r>
      <w:r>
        <w:rPr>
          <w:rFonts w:hint="eastAsia" w:ascii="MS UI Gothic" w:eastAsia="MS UI Gothic"/>
          <w:w w:val="80"/>
        </w:rPr>
        <w:t xml:space="preserve">ꎬ </w:t>
      </w:r>
      <w:r>
        <w:t>工程监理单位应当及时向有关主管部门报告</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工程监理单位和监理工程师应当按照</w:t>
      </w:r>
      <w:r>
        <w:rPr>
          <w:spacing w:val="3"/>
          <w:w w:val="105"/>
        </w:rPr>
        <w:t>法律</w:t>
      </w:r>
      <w:r>
        <w:rPr>
          <w:rFonts w:hint="eastAsia" w:ascii="MS UI Gothic" w:eastAsia="MS UI Gothic"/>
          <w:spacing w:val="-5"/>
          <w:w w:val="80"/>
        </w:rPr>
        <w:t xml:space="preserve">、 </w:t>
      </w:r>
      <w:r>
        <w:rPr>
          <w:spacing w:val="2"/>
          <w:w w:val="105"/>
        </w:rPr>
        <w:t>法规和工程建设强制性标准实施监</w:t>
      </w:r>
      <w:r>
        <w:rPr>
          <w:spacing w:val="3"/>
        </w:rPr>
        <w:t>理</w:t>
      </w:r>
      <w:r>
        <w:rPr>
          <w:rFonts w:hint="eastAsia" w:ascii="MS UI Gothic" w:eastAsia="MS UI Gothic"/>
          <w:spacing w:val="18"/>
          <w:w w:val="80"/>
        </w:rPr>
        <w:t xml:space="preserve">ꎬ </w:t>
      </w:r>
      <w:r>
        <w:rPr>
          <w:spacing w:val="31"/>
        </w:rPr>
        <w:t>并对建设工程安全生产承担监理</w:t>
      </w:r>
      <w:r>
        <w:rPr>
          <w:spacing w:val="3"/>
          <w:w w:val="105"/>
        </w:rPr>
        <w:t>责任</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第十五条 为建设工程提供机械设备</w:t>
      </w:r>
      <w:r>
        <w:rPr>
          <w:spacing w:val="3"/>
        </w:rPr>
        <w:t>和配件的单位</w:t>
      </w:r>
      <w:r>
        <w:rPr>
          <w:rFonts w:hint="eastAsia" w:ascii="MS UI Gothic" w:eastAsia="MS UI Gothic"/>
          <w:spacing w:val="21"/>
          <w:w w:val="80"/>
        </w:rPr>
        <w:t xml:space="preserve">ꎬ </w:t>
      </w:r>
      <w:r>
        <w:rPr>
          <w:spacing w:val="2"/>
        </w:rPr>
        <w:t>应当按照安全施工的要求</w:t>
      </w:r>
      <w:r>
        <w:rPr>
          <w:spacing w:val="3"/>
          <w:w w:val="105"/>
        </w:rPr>
        <w:t>配备齐全有效的保险</w:t>
      </w:r>
      <w:r>
        <w:rPr>
          <w:rFonts w:hint="eastAsia" w:ascii="MS UI Gothic" w:eastAsia="MS UI Gothic"/>
          <w:spacing w:val="-5"/>
          <w:w w:val="80"/>
        </w:rPr>
        <w:t xml:space="preserve">、 </w:t>
      </w:r>
      <w:r>
        <w:rPr>
          <w:spacing w:val="2"/>
          <w:w w:val="105"/>
        </w:rPr>
        <w:t>限位等安全设施和</w:t>
      </w:r>
      <w:r>
        <w:rPr>
          <w:spacing w:val="3"/>
          <w:w w:val="105"/>
        </w:rPr>
        <w:t>装置</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第十六条 出租的机械设备和施工机具及配件</w:t>
      </w:r>
      <w:r>
        <w:rPr>
          <w:rFonts w:hint="eastAsia" w:ascii="MS UI Gothic" w:eastAsia="MS UI Gothic"/>
          <w:w w:val="80"/>
        </w:rPr>
        <w:t xml:space="preserve">ꎬ </w:t>
      </w:r>
      <w:r>
        <w:rPr>
          <w:w w:val="105"/>
        </w:rPr>
        <w:t xml:space="preserve">应当具有生产 </w:t>
      </w:r>
      <w:r>
        <w:rPr>
          <w:rFonts w:hint="eastAsia" w:ascii="MS UI Gothic" w:eastAsia="MS UI Gothic"/>
          <w:w w:val="150"/>
        </w:rPr>
        <w:t xml:space="preserve">( </w:t>
      </w:r>
      <w:r>
        <w:rPr>
          <w:w w:val="105"/>
        </w:rPr>
        <w:t>制造</w:t>
      </w:r>
      <w:r>
        <w:rPr>
          <w:rFonts w:hint="eastAsia" w:ascii="MS UI Gothic" w:eastAsia="MS UI Gothic"/>
          <w:w w:val="150"/>
        </w:rPr>
        <w:t xml:space="preserve">) </w:t>
      </w:r>
      <w:r>
        <w:rPr>
          <w:w w:val="105"/>
        </w:rPr>
        <w:t>许可证</w:t>
      </w:r>
      <w:r>
        <w:rPr>
          <w:rFonts w:hint="eastAsia" w:ascii="MS UI Gothic" w:eastAsia="MS UI Gothic"/>
          <w:w w:val="80"/>
        </w:rPr>
        <w:t xml:space="preserve">、 </w:t>
      </w:r>
      <w:r>
        <w:rPr>
          <w:w w:val="105"/>
        </w:rPr>
        <w:t>产品合格证</w:t>
      </w:r>
      <w:r>
        <w:rPr>
          <w:rFonts w:hint="eastAsia" w:ascii="MS UI Gothic" w:eastAsia="MS UI Gothic"/>
          <w:w w:val="80"/>
        </w:rPr>
        <w:t>ꎮ</w:t>
      </w:r>
    </w:p>
    <w:p>
      <w:pPr>
        <w:pStyle w:val="6"/>
        <w:spacing w:line="295" w:lineRule="auto"/>
        <w:ind w:left="440"/>
        <w:rPr>
          <w:rFonts w:hint="eastAsia" w:ascii="MS UI Gothic" w:eastAsia="MS UI Gothic"/>
        </w:rPr>
      </w:pPr>
      <w:r>
        <w:t>出租单位应当对出租的机械设备和施工机具及配件的安全性能进行检测</w:t>
      </w:r>
      <w:r>
        <w:rPr>
          <w:rFonts w:hint="eastAsia" w:ascii="MS UI Gothic" w:eastAsia="MS UI Gothic"/>
          <w:w w:val="80"/>
        </w:rPr>
        <w:t xml:space="preserve">ꎬ </w:t>
      </w:r>
      <w:r>
        <w:t>在签订租赁协议时</w:t>
      </w:r>
      <w:r>
        <w:rPr>
          <w:rFonts w:hint="eastAsia" w:ascii="MS UI Gothic" w:eastAsia="MS UI Gothic"/>
          <w:w w:val="80"/>
        </w:rPr>
        <w:t xml:space="preserve">ꎬ </w:t>
      </w:r>
      <w:r>
        <w:t>应当出具检测合格证明</w:t>
      </w:r>
      <w:r>
        <w:rPr>
          <w:rFonts w:hint="eastAsia" w:ascii="MS UI Gothic" w:eastAsia="MS UI Gothic"/>
          <w:w w:val="80"/>
        </w:rPr>
        <w:t>ꎮ</w:t>
      </w:r>
    </w:p>
    <w:p>
      <w:pPr>
        <w:pStyle w:val="6"/>
        <w:spacing w:line="295" w:lineRule="auto"/>
        <w:ind w:left="440"/>
        <w:jc w:val="left"/>
        <w:rPr>
          <w:rFonts w:hint="eastAsia" w:ascii="MS UI Gothic" w:eastAsia="MS UI Gothic"/>
        </w:rPr>
      </w:pPr>
      <w:r>
        <w:t>禁止出租检测不合格的机械设备和施</w:t>
      </w:r>
      <w:r>
        <w:rPr>
          <w:w w:val="105"/>
        </w:rPr>
        <w:t>工机具及配件</w:t>
      </w:r>
      <w:r>
        <w:rPr>
          <w:rFonts w:hint="eastAsia" w:ascii="MS UI Gothic" w:eastAsia="MS UI Gothic"/>
          <w:w w:val="80"/>
        </w:rPr>
        <w:t>ꎮ</w:t>
      </w:r>
    </w:p>
    <w:p>
      <w:pPr>
        <w:pStyle w:val="6"/>
        <w:spacing w:line="295" w:lineRule="auto"/>
        <w:ind w:left="440"/>
        <w:rPr>
          <w:rFonts w:hint="eastAsia" w:ascii="MS UI Gothic" w:eastAsia="MS UI Gothic"/>
        </w:rPr>
      </w:pPr>
      <w:r>
        <w:t>第十七条 在施工现场安装</w:t>
      </w:r>
      <w:r>
        <w:rPr>
          <w:rFonts w:hint="eastAsia" w:ascii="MS UI Gothic" w:eastAsia="MS UI Gothic"/>
          <w:w w:val="80"/>
        </w:rPr>
        <w:t xml:space="preserve">、 </w:t>
      </w:r>
      <w:r>
        <w:t>拆卸施工起重机械和整体提升脚手架</w:t>
      </w:r>
      <w:r>
        <w:rPr>
          <w:rFonts w:hint="eastAsia" w:ascii="MS UI Gothic" w:eastAsia="MS UI Gothic"/>
          <w:w w:val="80"/>
        </w:rPr>
        <w:t xml:space="preserve">、 </w:t>
      </w:r>
      <w:r>
        <w:t>模板等自升式架设设施</w:t>
      </w:r>
      <w:r>
        <w:rPr>
          <w:rFonts w:hint="eastAsia" w:ascii="MS UI Gothic" w:eastAsia="MS UI Gothic"/>
          <w:w w:val="80"/>
        </w:rPr>
        <w:t xml:space="preserve">ꎬ </w:t>
      </w:r>
      <w:r>
        <w:t>必须由具有相应资质的单位承担</w:t>
      </w:r>
      <w:r>
        <w:rPr>
          <w:rFonts w:hint="eastAsia" w:ascii="MS UI Gothic" w:eastAsia="MS UI Gothic"/>
          <w:w w:val="80"/>
        </w:rPr>
        <w:t>ꎮ</w:t>
      </w:r>
    </w:p>
    <w:p>
      <w:pPr>
        <w:pStyle w:val="6"/>
        <w:spacing w:line="295" w:lineRule="auto"/>
        <w:ind w:left="440"/>
        <w:rPr>
          <w:rFonts w:hint="eastAsia" w:ascii="MS UI Gothic" w:eastAsia="MS UI Gothic"/>
        </w:rPr>
      </w:pPr>
      <w:r>
        <w:t>安装</w:t>
      </w:r>
      <w:r>
        <w:rPr>
          <w:rFonts w:hint="eastAsia" w:ascii="MS UI Gothic" w:eastAsia="MS UI Gothic"/>
          <w:w w:val="80"/>
        </w:rPr>
        <w:t xml:space="preserve">、 </w:t>
      </w:r>
      <w:r>
        <w:t>拆卸施工起重机械和整体提升脚手架</w:t>
      </w:r>
      <w:r>
        <w:rPr>
          <w:rFonts w:hint="eastAsia" w:ascii="MS UI Gothic" w:eastAsia="MS UI Gothic"/>
          <w:w w:val="80"/>
        </w:rPr>
        <w:t xml:space="preserve">、 </w:t>
      </w:r>
      <w:r>
        <w:t>模板等自升式架设设施</w:t>
      </w:r>
      <w:r>
        <w:rPr>
          <w:rFonts w:hint="eastAsia" w:ascii="MS UI Gothic" w:eastAsia="MS UI Gothic"/>
          <w:w w:val="80"/>
        </w:rPr>
        <w:t xml:space="preserve">ꎬ </w:t>
      </w:r>
      <w:r>
        <w:t>应当编制拆装方案</w:t>
      </w:r>
      <w:r>
        <w:rPr>
          <w:rFonts w:hint="eastAsia" w:ascii="MS UI Gothic" w:eastAsia="MS UI Gothic"/>
          <w:w w:val="80"/>
        </w:rPr>
        <w:t xml:space="preserve">、 </w:t>
      </w:r>
      <w:r>
        <w:t>制定安全施工措施</w:t>
      </w:r>
      <w:r>
        <w:rPr>
          <w:rFonts w:hint="eastAsia" w:ascii="MS UI Gothic" w:eastAsia="MS UI Gothic"/>
          <w:w w:val="80"/>
        </w:rPr>
        <w:t xml:space="preserve">ꎬ </w:t>
      </w:r>
      <w:r>
        <w:t>并由专业技术人员现场监督</w:t>
      </w:r>
      <w:r>
        <w:rPr>
          <w:rFonts w:hint="eastAsia" w:ascii="MS UI Gothic" w:eastAsia="MS UI Gothic"/>
          <w:w w:val="80"/>
        </w:rPr>
        <w:t>ꎮ</w:t>
      </w:r>
    </w:p>
    <w:p>
      <w:pPr>
        <w:pStyle w:val="6"/>
        <w:spacing w:line="295" w:lineRule="auto"/>
        <w:ind w:left="440"/>
      </w:pPr>
      <w:r>
        <w:rPr>
          <w:w w:val="105"/>
        </w:rPr>
        <w:t>施工起重机械和整体提升脚手架</w:t>
      </w:r>
      <w:r>
        <w:rPr>
          <w:rFonts w:hint="eastAsia" w:ascii="MS UI Gothic" w:eastAsia="MS UI Gothic"/>
          <w:w w:val="80"/>
        </w:rPr>
        <w:t xml:space="preserve">、 </w:t>
      </w:r>
      <w:r>
        <w:rPr>
          <w:w w:val="105"/>
        </w:rPr>
        <w:t>模</w:t>
      </w:r>
      <w:r>
        <w:t>板等自升式架设设施安装完毕后</w:t>
      </w:r>
      <w:r>
        <w:rPr>
          <w:rFonts w:hint="eastAsia" w:ascii="MS UI Gothic" w:eastAsia="MS UI Gothic"/>
          <w:w w:val="80"/>
        </w:rPr>
        <w:t xml:space="preserve">ꎬ </w:t>
      </w:r>
      <w:r>
        <w:t>安装单</w:t>
      </w:r>
    </w:p>
    <w:p>
      <w:pPr>
        <w:pStyle w:val="6"/>
        <w:spacing w:before="124" w:line="295" w:lineRule="auto"/>
        <w:ind w:left="383" w:right="126" w:firstLine="0"/>
        <w:rPr>
          <w:rFonts w:hint="eastAsia" w:ascii="MS UI Gothic" w:eastAsia="MS UI Gothic"/>
        </w:rPr>
      </w:pPr>
      <w:r>
        <w:br w:type="column"/>
      </w:r>
      <w:r>
        <w:t>位应当自检</w:t>
      </w:r>
      <w:r>
        <w:rPr>
          <w:rFonts w:hint="eastAsia" w:ascii="MS UI Gothic" w:eastAsia="MS UI Gothic"/>
          <w:w w:val="80"/>
        </w:rPr>
        <w:t xml:space="preserve">ꎬ </w:t>
      </w:r>
      <w:r>
        <w:t>出具自检合格证明</w:t>
      </w:r>
      <w:r>
        <w:rPr>
          <w:rFonts w:hint="eastAsia" w:ascii="MS UI Gothic" w:eastAsia="MS UI Gothic"/>
          <w:w w:val="80"/>
        </w:rPr>
        <w:t xml:space="preserve">ꎬ </w:t>
      </w:r>
      <w:r>
        <w:t>并向施工单位进行安全使用说明</w:t>
      </w:r>
      <w:r>
        <w:rPr>
          <w:rFonts w:hint="eastAsia" w:ascii="MS UI Gothic" w:eastAsia="MS UI Gothic"/>
          <w:w w:val="80"/>
        </w:rPr>
        <w:t xml:space="preserve">ꎬ </w:t>
      </w:r>
      <w:r>
        <w:t>办理验收手续并签字</w:t>
      </w:r>
      <w:r>
        <w:rPr>
          <w:rFonts w:hint="eastAsia" w:ascii="MS UI Gothic" w:eastAsia="MS UI Gothic"/>
          <w:w w:val="80"/>
        </w:rPr>
        <w:t>ꎮ</w:t>
      </w:r>
    </w:p>
    <w:p>
      <w:pPr>
        <w:pStyle w:val="6"/>
        <w:spacing w:line="295" w:lineRule="auto"/>
        <w:ind w:left="383" w:right="126"/>
        <w:rPr>
          <w:rFonts w:hint="eastAsia" w:ascii="MS UI Gothic" w:eastAsia="MS UI Gothic"/>
        </w:rPr>
      </w:pPr>
      <w:r>
        <w:t>第十八条 施工起重机械和整体提升脚手架</w:t>
      </w:r>
      <w:r>
        <w:rPr>
          <w:rFonts w:hint="eastAsia" w:ascii="MS UI Gothic" w:eastAsia="MS UI Gothic"/>
          <w:w w:val="80"/>
        </w:rPr>
        <w:t xml:space="preserve">、 </w:t>
      </w:r>
      <w:r>
        <w:t>模板等自升式架设设施的使用达到国家规定的检验检测期限的</w:t>
      </w:r>
      <w:r>
        <w:rPr>
          <w:rFonts w:hint="eastAsia" w:ascii="MS UI Gothic" w:eastAsia="MS UI Gothic"/>
          <w:w w:val="80"/>
        </w:rPr>
        <w:t xml:space="preserve">ꎬ </w:t>
      </w:r>
      <w:r>
        <w:t>必须经具有专业资质的检验检测机构检测</w:t>
      </w:r>
      <w:r>
        <w:rPr>
          <w:rFonts w:hint="eastAsia" w:ascii="MS UI Gothic" w:eastAsia="MS UI Gothic"/>
          <w:w w:val="80"/>
        </w:rPr>
        <w:t xml:space="preserve">ꎮ </w:t>
      </w:r>
      <w:r>
        <w:t>经检测不合格的</w:t>
      </w:r>
      <w:r>
        <w:rPr>
          <w:rFonts w:hint="eastAsia" w:ascii="MS UI Gothic" w:eastAsia="MS UI Gothic"/>
          <w:w w:val="80"/>
        </w:rPr>
        <w:t xml:space="preserve">ꎬ </w:t>
      </w:r>
      <w:r>
        <w:t>不得继续使用</w:t>
      </w:r>
      <w:r>
        <w:rPr>
          <w:rFonts w:hint="eastAsia" w:ascii="MS UI Gothic" w:eastAsia="MS UI Gothic"/>
          <w:w w:val="80"/>
        </w:rPr>
        <w:t>ꎮ</w:t>
      </w:r>
    </w:p>
    <w:p>
      <w:pPr>
        <w:pStyle w:val="6"/>
        <w:spacing w:line="295" w:lineRule="auto"/>
        <w:ind w:left="383" w:right="126"/>
        <w:rPr>
          <w:rFonts w:hint="eastAsia" w:ascii="MS UI Gothic" w:eastAsia="MS UI Gothic"/>
        </w:rPr>
      </w:pPr>
      <w:r>
        <w:t>第十九条 检验检测机构对检测合格的施工起重机械和整体提升脚手架</w:t>
      </w:r>
      <w:r>
        <w:rPr>
          <w:rFonts w:hint="eastAsia" w:ascii="MS UI Gothic" w:eastAsia="MS UI Gothic"/>
          <w:w w:val="80"/>
        </w:rPr>
        <w:t xml:space="preserve">、 </w:t>
      </w:r>
      <w:r>
        <w:t>模板等自升式架设设施</w:t>
      </w:r>
      <w:r>
        <w:rPr>
          <w:rFonts w:hint="eastAsia" w:ascii="MS UI Gothic" w:eastAsia="MS UI Gothic"/>
          <w:w w:val="80"/>
        </w:rPr>
        <w:t xml:space="preserve">ꎬ </w:t>
      </w:r>
      <w:r>
        <w:t>应当出具安全合格证明文件</w:t>
      </w:r>
      <w:r>
        <w:rPr>
          <w:rFonts w:hint="eastAsia" w:ascii="MS UI Gothic" w:eastAsia="MS UI Gothic"/>
          <w:w w:val="80"/>
        </w:rPr>
        <w:t xml:space="preserve">ꎬ </w:t>
      </w:r>
      <w:r>
        <w:t>并对检测结果负责</w:t>
      </w:r>
      <w:r>
        <w:rPr>
          <w:rFonts w:hint="eastAsia" w:ascii="MS UI Gothic" w:eastAsia="MS UI Gothic"/>
          <w:w w:val="80"/>
        </w:rPr>
        <w:t>ꎮ</w:t>
      </w:r>
    </w:p>
    <w:p>
      <w:pPr>
        <w:pStyle w:val="6"/>
        <w:tabs>
          <w:tab w:val="left" w:pos="1745"/>
        </w:tabs>
        <w:spacing w:before="148"/>
        <w:ind w:left="907" w:firstLine="0"/>
        <w:jc w:val="left"/>
      </w:pPr>
      <w:r>
        <w:rPr>
          <w:spacing w:val="3"/>
          <w:w w:val="105"/>
        </w:rPr>
        <w:t>第四</w:t>
      </w:r>
      <w:r>
        <w:rPr>
          <w:w w:val="105"/>
        </w:rPr>
        <w:t>章</w:t>
      </w:r>
      <w:r>
        <w:rPr>
          <w:w w:val="105"/>
        </w:rPr>
        <w:tab/>
      </w:r>
      <w:r>
        <w:rPr>
          <w:spacing w:val="3"/>
          <w:w w:val="105"/>
        </w:rPr>
        <w:t>施工单位的安全责</w:t>
      </w:r>
      <w:r>
        <w:rPr>
          <w:w w:val="105"/>
        </w:rPr>
        <w:t>任</w:t>
      </w:r>
    </w:p>
    <w:p>
      <w:pPr>
        <w:pStyle w:val="6"/>
        <w:spacing w:before="215" w:line="295" w:lineRule="auto"/>
        <w:ind w:left="383" w:right="124"/>
        <w:rPr>
          <w:rFonts w:hint="eastAsia" w:ascii="MS UI Gothic" w:eastAsia="MS UI Gothic"/>
        </w:rPr>
      </w:pPr>
      <w:r>
        <w:t>第二十条 施工单位从事建设工程的新建</w:t>
      </w:r>
      <w:r>
        <w:rPr>
          <w:rFonts w:hint="eastAsia" w:ascii="MS UI Gothic" w:eastAsia="MS UI Gothic"/>
          <w:w w:val="80"/>
        </w:rPr>
        <w:t xml:space="preserve">、 </w:t>
      </w:r>
      <w:r>
        <w:t>扩建</w:t>
      </w:r>
      <w:r>
        <w:rPr>
          <w:rFonts w:hint="eastAsia" w:ascii="MS UI Gothic" w:eastAsia="MS UI Gothic"/>
          <w:w w:val="80"/>
        </w:rPr>
        <w:t xml:space="preserve">、 </w:t>
      </w:r>
      <w:r>
        <w:t>改建和拆除等活动</w:t>
      </w:r>
      <w:r>
        <w:rPr>
          <w:rFonts w:hint="eastAsia" w:ascii="MS UI Gothic" w:eastAsia="MS UI Gothic"/>
          <w:w w:val="80"/>
        </w:rPr>
        <w:t xml:space="preserve">ꎬ </w:t>
      </w:r>
      <w:r>
        <w:t>应当具备国家规定的注册资本</w:t>
      </w:r>
      <w:r>
        <w:rPr>
          <w:rFonts w:hint="eastAsia" w:ascii="MS UI Gothic" w:eastAsia="MS UI Gothic"/>
          <w:w w:val="80"/>
        </w:rPr>
        <w:t xml:space="preserve">、 </w:t>
      </w:r>
      <w:r>
        <w:t>专业技术人员</w:t>
      </w:r>
      <w:r>
        <w:rPr>
          <w:rFonts w:hint="eastAsia" w:ascii="MS UI Gothic" w:eastAsia="MS UI Gothic"/>
          <w:w w:val="80"/>
        </w:rPr>
        <w:t>、</w:t>
      </w:r>
      <w:r>
        <w:t>技术装备和安全生产等条件</w:t>
      </w:r>
      <w:r>
        <w:rPr>
          <w:rFonts w:hint="eastAsia" w:ascii="MS UI Gothic" w:eastAsia="MS UI Gothic"/>
          <w:w w:val="80"/>
        </w:rPr>
        <w:t xml:space="preserve">ꎬ </w:t>
      </w:r>
      <w:r>
        <w:t>依法取得相应等级的资质证书</w:t>
      </w:r>
      <w:r>
        <w:rPr>
          <w:rFonts w:hint="eastAsia" w:ascii="MS UI Gothic" w:eastAsia="MS UI Gothic"/>
          <w:w w:val="80"/>
        </w:rPr>
        <w:t xml:space="preserve">ꎬ </w:t>
      </w:r>
      <w:r>
        <w:t>并在其资质等级许可的范围内承揽工程</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第二十一条 施工单位主要负责人依</w:t>
      </w:r>
      <w:r>
        <w:t>法对本单位的安全生产工作全面负责</w:t>
      </w:r>
      <w:r>
        <w:rPr>
          <w:rFonts w:hint="eastAsia" w:ascii="MS UI Gothic" w:eastAsia="MS UI Gothic"/>
          <w:w w:val="80"/>
        </w:rPr>
        <w:t xml:space="preserve">ꎮ </w:t>
      </w:r>
      <w:r>
        <w:t>施工单位应当建立健全安全生产责任制度和安全生产教育培训制度</w:t>
      </w:r>
      <w:r>
        <w:rPr>
          <w:rFonts w:hint="eastAsia" w:ascii="MS UI Gothic" w:eastAsia="MS UI Gothic"/>
          <w:w w:val="80"/>
        </w:rPr>
        <w:t xml:space="preserve">ꎬ </w:t>
      </w:r>
      <w:r>
        <w:t>制定安全生产规章制度和操作规程</w:t>
      </w:r>
      <w:r>
        <w:rPr>
          <w:rFonts w:hint="eastAsia" w:ascii="MS UI Gothic" w:eastAsia="MS UI Gothic"/>
          <w:w w:val="80"/>
        </w:rPr>
        <w:t xml:space="preserve">ꎬ </w:t>
      </w:r>
      <w:r>
        <w:t>保证本单位安全生产条件所需资金的投入</w:t>
      </w:r>
      <w:r>
        <w:rPr>
          <w:rFonts w:hint="eastAsia" w:ascii="MS UI Gothic" w:eastAsia="MS UI Gothic"/>
          <w:w w:val="80"/>
        </w:rPr>
        <w:t xml:space="preserve">ꎬ </w:t>
      </w:r>
      <w:r>
        <w:t>对所承担的建设工程进行定期和专项安全检查</w:t>
      </w:r>
      <w:r>
        <w:rPr>
          <w:rFonts w:hint="eastAsia" w:ascii="MS UI Gothic" w:eastAsia="MS UI Gothic"/>
          <w:w w:val="80"/>
        </w:rPr>
        <w:t xml:space="preserve">ꎬ </w:t>
      </w:r>
      <w:r>
        <w:t>并做好安全</w:t>
      </w:r>
      <w:r>
        <w:rPr>
          <w:w w:val="105"/>
        </w:rPr>
        <w:t>检查记录</w:t>
      </w:r>
      <w:r>
        <w:rPr>
          <w:rFonts w:hint="eastAsia" w:ascii="MS UI Gothic" w:eastAsia="MS UI Gothic"/>
          <w:w w:val="80"/>
        </w:rPr>
        <w:t>ꎮ</w:t>
      </w:r>
    </w:p>
    <w:p>
      <w:pPr>
        <w:pStyle w:val="6"/>
        <w:spacing w:line="295" w:lineRule="auto"/>
        <w:ind w:left="383" w:right="126"/>
        <w:rPr>
          <w:rFonts w:hint="eastAsia" w:ascii="MS UI Gothic" w:eastAsia="MS UI Gothic"/>
        </w:rPr>
      </w:pPr>
      <w:r>
        <w:t>施工单位的项目负责人应当由取得相应执业资格的人员担任</w:t>
      </w:r>
      <w:r>
        <w:rPr>
          <w:rFonts w:hint="eastAsia" w:ascii="MS UI Gothic" w:eastAsia="MS UI Gothic"/>
          <w:w w:val="80"/>
        </w:rPr>
        <w:t xml:space="preserve">ꎬ </w:t>
      </w:r>
      <w:r>
        <w:t>对建设工程项目的安全施工负责</w:t>
      </w:r>
      <w:r>
        <w:rPr>
          <w:rFonts w:hint="eastAsia" w:ascii="MS UI Gothic" w:eastAsia="MS UI Gothic"/>
          <w:w w:val="80"/>
        </w:rPr>
        <w:t xml:space="preserve">ꎬ </w:t>
      </w:r>
      <w:r>
        <w:t>落实安全生产责任制度</w:t>
      </w:r>
      <w:r>
        <w:rPr>
          <w:rFonts w:hint="eastAsia" w:ascii="MS UI Gothic" w:eastAsia="MS UI Gothic"/>
          <w:w w:val="80"/>
        </w:rPr>
        <w:t xml:space="preserve">、 </w:t>
      </w:r>
      <w:r>
        <w:t>安全生产规章制度和操作规程</w:t>
      </w:r>
      <w:r>
        <w:rPr>
          <w:rFonts w:hint="eastAsia" w:ascii="MS UI Gothic" w:eastAsia="MS UI Gothic"/>
          <w:w w:val="80"/>
        </w:rPr>
        <w:t xml:space="preserve">ꎬ </w:t>
      </w:r>
      <w:r>
        <w:t>确保安全生产费用的有效使用</w:t>
      </w:r>
      <w:r>
        <w:rPr>
          <w:rFonts w:hint="eastAsia" w:ascii="MS UI Gothic" w:eastAsia="MS UI Gothic"/>
          <w:w w:val="80"/>
        </w:rPr>
        <w:t xml:space="preserve">ꎬ </w:t>
      </w:r>
      <w:r>
        <w:t>并根据工程的特点组织制定安全施工措施</w:t>
      </w:r>
      <w:r>
        <w:rPr>
          <w:rFonts w:hint="eastAsia" w:ascii="MS UI Gothic" w:eastAsia="MS UI Gothic"/>
          <w:w w:val="80"/>
        </w:rPr>
        <w:t xml:space="preserve">ꎬ </w:t>
      </w:r>
      <w:r>
        <w:t>消除安全事故隐患</w:t>
      </w:r>
      <w:r>
        <w:rPr>
          <w:rFonts w:hint="eastAsia" w:ascii="MS UI Gothic" w:eastAsia="MS UI Gothic"/>
          <w:w w:val="80"/>
        </w:rPr>
        <w:t xml:space="preserve">ꎬ </w:t>
      </w:r>
      <w:r>
        <w:t>及时</w:t>
      </w:r>
      <w:r>
        <w:rPr>
          <w:rFonts w:hint="eastAsia" w:ascii="MS UI Gothic" w:eastAsia="MS UI Gothic"/>
          <w:w w:val="80"/>
        </w:rPr>
        <w:t xml:space="preserve">、 </w:t>
      </w:r>
      <w:r>
        <w:t>如实报告生产安全事故</w:t>
      </w:r>
      <w:r>
        <w:rPr>
          <w:rFonts w:hint="eastAsia" w:ascii="MS UI Gothic" w:eastAsia="MS UI Gothic"/>
          <w:w w:val="80"/>
        </w:rPr>
        <w:t>ꎮ</w:t>
      </w:r>
    </w:p>
    <w:p>
      <w:pPr>
        <w:pStyle w:val="6"/>
        <w:spacing w:line="295" w:lineRule="auto"/>
        <w:ind w:left="383" w:right="124"/>
        <w:rPr>
          <w:rFonts w:hint="eastAsia" w:ascii="MS UI Gothic" w:eastAsia="MS UI Gothic"/>
        </w:rPr>
      </w:pPr>
      <w:r>
        <w:rPr>
          <w:w w:val="105"/>
        </w:rPr>
        <w:t>第二十二条 施工单位对列入建设工</w:t>
      </w:r>
      <w:r>
        <w:t>程概算的安全作业环境及安全施工措施所需费用</w:t>
      </w:r>
      <w:r>
        <w:rPr>
          <w:rFonts w:hint="eastAsia" w:ascii="MS UI Gothic" w:eastAsia="MS UI Gothic"/>
          <w:w w:val="80"/>
        </w:rPr>
        <w:t xml:space="preserve">ꎬ </w:t>
      </w:r>
      <w:r>
        <w:t>应当用于施工安全防护用具及设</w:t>
      </w:r>
      <w:r>
        <w:rPr>
          <w:w w:val="105"/>
        </w:rPr>
        <w:t>施的采购和更新</w:t>
      </w:r>
      <w:r>
        <w:rPr>
          <w:rFonts w:hint="eastAsia" w:ascii="MS UI Gothic" w:eastAsia="MS UI Gothic"/>
          <w:w w:val="80"/>
        </w:rPr>
        <w:t xml:space="preserve">、 </w:t>
      </w:r>
      <w:r>
        <w:rPr>
          <w:w w:val="105"/>
        </w:rPr>
        <w:t>安全施工措施的落实</w:t>
      </w:r>
      <w:r>
        <w:rPr>
          <w:rFonts w:hint="eastAsia" w:ascii="MS UI Gothic" w:eastAsia="MS UI Gothic"/>
          <w:w w:val="80"/>
        </w:rPr>
        <w:t>、</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４３４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00" o:spid="_x0000_s2300" o:spt="203" style="height:2.15pt;width:398.25pt;" coordsize="7965,43">
            <o:lock v:ext="edit"/>
            <v:line id="_x0000_s2301" o:spid="_x0000_s2301" o:spt="20" style="position:absolute;left:0;top:39;height:0;width:7965;" stroked="t" coordsize="21600,21600">
              <v:path arrowok="t"/>
              <v:fill focussize="0,0"/>
              <v:stroke weight="0.388031496062992pt" color="#231F20"/>
              <v:imagedata o:title=""/>
              <o:lock v:ext="edit"/>
            </v:line>
            <v:line id="_x0000_s2302" o:spid="_x0000_s230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ind w:left="150" w:right="377" w:firstLine="0"/>
        <w:jc w:val="center"/>
        <w:rPr>
          <w:rFonts w:hint="eastAsia" w:ascii="MS UI Gothic" w:eastAsia="MS UI Gothic"/>
        </w:rPr>
      </w:pPr>
      <w:r>
        <w:t>安全生产条件的改善</w:t>
      </w:r>
      <w:r>
        <w:rPr>
          <w:rFonts w:hint="eastAsia" w:ascii="MS UI Gothic" w:eastAsia="MS UI Gothic"/>
          <w:w w:val="80"/>
        </w:rPr>
        <w:t xml:space="preserve">ꎬ </w:t>
      </w:r>
      <w:r>
        <w:t>不得挪作他用</w:t>
      </w:r>
      <w:r>
        <w:rPr>
          <w:rFonts w:hint="eastAsia" w:ascii="MS UI Gothic" w:eastAsia="MS UI Gothic"/>
          <w:w w:val="80"/>
        </w:rPr>
        <w:t>ꎮ</w:t>
      </w:r>
    </w:p>
    <w:p>
      <w:pPr>
        <w:pStyle w:val="6"/>
        <w:spacing w:before="58" w:line="295" w:lineRule="auto"/>
        <w:ind w:right="39"/>
        <w:rPr>
          <w:rFonts w:hint="eastAsia" w:ascii="MS UI Gothic" w:eastAsia="MS UI Gothic"/>
        </w:rPr>
      </w:pPr>
      <w:r>
        <w:t>第二十三条 施工单位应当设立安全生产管理机构</w:t>
      </w:r>
      <w:r>
        <w:rPr>
          <w:rFonts w:hint="eastAsia" w:ascii="MS UI Gothic" w:eastAsia="MS UI Gothic"/>
          <w:w w:val="80"/>
        </w:rPr>
        <w:t xml:space="preserve">ꎬ </w:t>
      </w:r>
      <w:r>
        <w:t>配备专职安全生产管理人员</w:t>
      </w:r>
      <w:r>
        <w:rPr>
          <w:rFonts w:hint="eastAsia" w:ascii="MS UI Gothic" w:eastAsia="MS UI Gothic"/>
          <w:w w:val="80"/>
        </w:rPr>
        <w:t>ꎮ</w:t>
      </w:r>
    </w:p>
    <w:p>
      <w:pPr>
        <w:pStyle w:val="6"/>
        <w:spacing w:line="295" w:lineRule="auto"/>
        <w:ind w:right="38"/>
        <w:rPr>
          <w:rFonts w:hint="eastAsia" w:ascii="MS UI Gothic" w:eastAsia="MS UI Gothic"/>
        </w:rPr>
      </w:pPr>
      <w:r>
        <w:rPr>
          <w:spacing w:val="2"/>
        </w:rPr>
        <w:t>专职安全生产管理人员负责对安全生</w:t>
      </w:r>
      <w:r>
        <w:rPr>
          <w:spacing w:val="12"/>
        </w:rPr>
        <w:t>产进行现场监督检查</w:t>
      </w:r>
      <w:r>
        <w:rPr>
          <w:rFonts w:hint="eastAsia" w:ascii="MS UI Gothic" w:eastAsia="MS UI Gothic"/>
          <w:w w:val="80"/>
        </w:rPr>
        <w:t xml:space="preserve">ꎮ </w:t>
      </w:r>
      <w:r>
        <w:rPr>
          <w:spacing w:val="16"/>
        </w:rPr>
        <w:t>发现安全事故隐</w:t>
      </w:r>
      <w:r>
        <w:rPr>
          <w:spacing w:val="3"/>
        </w:rPr>
        <w:t>患</w:t>
      </w:r>
      <w:r>
        <w:rPr>
          <w:rFonts w:hint="eastAsia" w:ascii="MS UI Gothic" w:eastAsia="MS UI Gothic"/>
          <w:spacing w:val="21"/>
          <w:w w:val="80"/>
        </w:rPr>
        <w:t xml:space="preserve">ꎬ </w:t>
      </w:r>
      <w:r>
        <w:rPr>
          <w:spacing w:val="2"/>
        </w:rPr>
        <w:t>应当及时向项目负责人和安全生产管</w:t>
      </w:r>
      <w:r>
        <w:rPr>
          <w:spacing w:val="3"/>
        </w:rPr>
        <w:t>理机构报告</w:t>
      </w:r>
      <w:r>
        <w:rPr>
          <w:rFonts w:hint="eastAsia" w:ascii="MS UI Gothic" w:eastAsia="MS UI Gothic"/>
          <w:spacing w:val="23"/>
          <w:w w:val="80"/>
        </w:rPr>
        <w:t xml:space="preserve">ꎻ </w:t>
      </w:r>
      <w:r>
        <w:rPr>
          <w:spacing w:val="12"/>
        </w:rPr>
        <w:t>对违章指挥</w:t>
      </w:r>
      <w:r>
        <w:rPr>
          <w:rFonts w:hint="eastAsia" w:ascii="MS UI Gothic" w:eastAsia="MS UI Gothic"/>
          <w:w w:val="80"/>
        </w:rPr>
        <w:t xml:space="preserve">、 </w:t>
      </w:r>
      <w:r>
        <w:rPr>
          <w:spacing w:val="12"/>
        </w:rPr>
        <w:t>违章操作的</w:t>
      </w:r>
      <w:r>
        <w:rPr>
          <w:rFonts w:hint="eastAsia" w:ascii="MS UI Gothic" w:eastAsia="MS UI Gothic"/>
          <w:w w:val="80"/>
        </w:rPr>
        <w:t>ꎬ</w:t>
      </w:r>
      <w:r>
        <w:rPr>
          <w:spacing w:val="3"/>
        </w:rPr>
        <w:t>应当立即制止</w:t>
      </w:r>
      <w:r>
        <w:rPr>
          <w:rFonts w:hint="eastAsia" w:ascii="MS UI Gothic" w:eastAsia="MS UI Gothic"/>
          <w:w w:val="80"/>
        </w:rPr>
        <w:t>ꎮ</w:t>
      </w:r>
    </w:p>
    <w:p>
      <w:pPr>
        <w:pStyle w:val="6"/>
        <w:spacing w:line="295" w:lineRule="auto"/>
        <w:ind w:right="39"/>
        <w:rPr>
          <w:rFonts w:hint="eastAsia" w:ascii="MS UI Gothic" w:eastAsia="MS UI Gothic"/>
        </w:rPr>
      </w:pPr>
      <w:r>
        <w:rPr>
          <w:spacing w:val="2"/>
        </w:rPr>
        <w:t>专职安全生产管理人员的配备办法由国务院建设行政主管部门会同国务院其他</w:t>
      </w:r>
      <w:r>
        <w:rPr>
          <w:spacing w:val="3"/>
          <w:w w:val="105"/>
        </w:rPr>
        <w:t>有关部门制定</w:t>
      </w:r>
      <w:r>
        <w:rPr>
          <w:rFonts w:hint="eastAsia" w:ascii="MS UI Gothic" w:eastAsia="MS UI Gothic"/>
          <w:w w:val="80"/>
        </w:rPr>
        <w:t>ꎮ</w:t>
      </w:r>
    </w:p>
    <w:p>
      <w:pPr>
        <w:pStyle w:val="6"/>
        <w:spacing w:line="295" w:lineRule="auto"/>
        <w:ind w:right="39"/>
        <w:rPr>
          <w:rFonts w:hint="eastAsia" w:ascii="MS UI Gothic" w:eastAsia="MS UI Gothic"/>
        </w:rPr>
      </w:pPr>
      <w:r>
        <w:t>第二十四条 建设工程实行施工总承包的</w:t>
      </w:r>
      <w:r>
        <w:rPr>
          <w:rFonts w:hint="eastAsia" w:ascii="MS UI Gothic" w:eastAsia="MS UI Gothic"/>
          <w:w w:val="80"/>
        </w:rPr>
        <w:t xml:space="preserve">ꎬ </w:t>
      </w:r>
      <w:r>
        <w:t>由总承包单位对施工现场的安全生产负总责</w:t>
      </w:r>
      <w:r>
        <w:rPr>
          <w:rFonts w:hint="eastAsia" w:ascii="MS UI Gothic" w:eastAsia="MS UI Gothic"/>
          <w:w w:val="80"/>
        </w:rPr>
        <w:t>ꎮ</w:t>
      </w:r>
    </w:p>
    <w:p>
      <w:pPr>
        <w:pStyle w:val="6"/>
        <w:spacing w:line="295" w:lineRule="auto"/>
        <w:ind w:right="39"/>
        <w:jc w:val="left"/>
        <w:rPr>
          <w:rFonts w:hint="eastAsia" w:ascii="MS UI Gothic" w:eastAsia="MS UI Gothic"/>
        </w:rPr>
      </w:pPr>
      <w:r>
        <w:t>总承包单位应当自行完成建设工程主</w:t>
      </w:r>
      <w:r>
        <w:rPr>
          <w:w w:val="105"/>
        </w:rPr>
        <w:t>体结构的施工</w:t>
      </w:r>
      <w:r>
        <w:rPr>
          <w:rFonts w:hint="eastAsia" w:ascii="MS UI Gothic" w:eastAsia="MS UI Gothic"/>
          <w:w w:val="80"/>
        </w:rPr>
        <w:t>ꎮ</w:t>
      </w:r>
    </w:p>
    <w:p>
      <w:pPr>
        <w:pStyle w:val="6"/>
        <w:spacing w:line="295" w:lineRule="auto"/>
        <w:ind w:right="39"/>
        <w:rPr>
          <w:rFonts w:hint="eastAsia" w:ascii="MS UI Gothic" w:eastAsia="MS UI Gothic"/>
        </w:rPr>
      </w:pPr>
      <w:r>
        <w:t>总承包单位依法将建设工程分包给其他单位的</w:t>
      </w:r>
      <w:r>
        <w:rPr>
          <w:rFonts w:hint="eastAsia" w:ascii="MS UI Gothic" w:eastAsia="MS UI Gothic"/>
          <w:w w:val="80"/>
        </w:rPr>
        <w:t xml:space="preserve">ꎬ </w:t>
      </w:r>
      <w:r>
        <w:t>分包合同中应当明确各自的安</w:t>
      </w:r>
      <w:r>
        <w:rPr>
          <w:w w:val="105"/>
        </w:rPr>
        <w:t>全生产方面的权利</w:t>
      </w:r>
      <w:r>
        <w:rPr>
          <w:rFonts w:hint="eastAsia" w:ascii="MS UI Gothic" w:eastAsia="MS UI Gothic"/>
          <w:w w:val="80"/>
        </w:rPr>
        <w:t xml:space="preserve">、 </w:t>
      </w:r>
      <w:r>
        <w:rPr>
          <w:w w:val="105"/>
        </w:rPr>
        <w:t>义务</w:t>
      </w:r>
      <w:r>
        <w:rPr>
          <w:rFonts w:hint="eastAsia" w:ascii="MS UI Gothic" w:eastAsia="MS UI Gothic"/>
          <w:w w:val="80"/>
        </w:rPr>
        <w:t xml:space="preserve">ꎮ </w:t>
      </w:r>
      <w:r>
        <w:rPr>
          <w:w w:val="105"/>
        </w:rPr>
        <w:t>总承包单位和</w:t>
      </w:r>
      <w:r>
        <w:t>分包单位对分包工程的安全生产承担连带</w:t>
      </w:r>
      <w:r>
        <w:rPr>
          <w:w w:val="105"/>
        </w:rPr>
        <w:t>责任</w:t>
      </w:r>
      <w:r>
        <w:rPr>
          <w:rFonts w:hint="eastAsia" w:ascii="MS UI Gothic" w:eastAsia="MS UI Gothic"/>
          <w:w w:val="80"/>
        </w:rPr>
        <w:t>ꎮ</w:t>
      </w:r>
    </w:p>
    <w:p>
      <w:pPr>
        <w:pStyle w:val="6"/>
        <w:spacing w:line="295" w:lineRule="auto"/>
        <w:ind w:right="39"/>
        <w:rPr>
          <w:rFonts w:hint="eastAsia" w:ascii="MS UI Gothic" w:eastAsia="MS UI Gothic"/>
        </w:rPr>
      </w:pPr>
      <w:r>
        <w:t>分包单位应当服从总承包单位的安全生产管理</w:t>
      </w:r>
      <w:r>
        <w:rPr>
          <w:rFonts w:hint="eastAsia" w:ascii="MS UI Gothic" w:eastAsia="MS UI Gothic"/>
          <w:w w:val="80"/>
        </w:rPr>
        <w:t xml:space="preserve">ꎬ </w:t>
      </w:r>
      <w:r>
        <w:t>分包单位不服从管理导致生产安全事故的</w:t>
      </w:r>
      <w:r>
        <w:rPr>
          <w:rFonts w:hint="eastAsia" w:ascii="MS UI Gothic" w:eastAsia="MS UI Gothic"/>
          <w:w w:val="80"/>
        </w:rPr>
        <w:t xml:space="preserve">ꎬ </w:t>
      </w:r>
      <w:r>
        <w:t>由分包单位承担主要责任</w:t>
      </w:r>
      <w:r>
        <w:rPr>
          <w:rFonts w:hint="eastAsia" w:ascii="MS UI Gothic" w:eastAsia="MS UI Gothic"/>
          <w:w w:val="80"/>
        </w:rPr>
        <w:t>ꎮ</w:t>
      </w:r>
    </w:p>
    <w:p>
      <w:pPr>
        <w:pStyle w:val="6"/>
        <w:spacing w:line="295" w:lineRule="auto"/>
        <w:ind w:right="39"/>
        <w:rPr>
          <w:rFonts w:hint="eastAsia" w:ascii="MS UI Gothic" w:eastAsia="MS UI Gothic"/>
        </w:rPr>
      </w:pPr>
      <w:r>
        <w:t>第二十五条  垂直运输机械作业人员</w:t>
      </w:r>
      <w:r>
        <w:rPr>
          <w:rFonts w:hint="eastAsia" w:ascii="MS UI Gothic" w:eastAsia="MS UI Gothic"/>
          <w:w w:val="80"/>
        </w:rPr>
        <w:t xml:space="preserve">、 </w:t>
      </w:r>
      <w:r>
        <w:t>安装拆卸工</w:t>
      </w:r>
      <w:r>
        <w:rPr>
          <w:rFonts w:hint="eastAsia" w:ascii="MS UI Gothic" w:eastAsia="MS UI Gothic"/>
          <w:w w:val="80"/>
        </w:rPr>
        <w:t xml:space="preserve">、 </w:t>
      </w:r>
      <w:r>
        <w:t>爆破作业人员</w:t>
      </w:r>
      <w:r>
        <w:rPr>
          <w:rFonts w:hint="eastAsia" w:ascii="MS UI Gothic" w:eastAsia="MS UI Gothic"/>
          <w:w w:val="80"/>
        </w:rPr>
        <w:t xml:space="preserve">、 </w:t>
      </w:r>
      <w:r>
        <w:t>起重信号工</w:t>
      </w:r>
      <w:r>
        <w:rPr>
          <w:rFonts w:hint="eastAsia" w:ascii="MS UI Gothic" w:eastAsia="MS UI Gothic"/>
          <w:w w:val="80"/>
        </w:rPr>
        <w:t xml:space="preserve">、 </w:t>
      </w:r>
      <w:r>
        <w:t>登高架设作业人员等特种作业人员</w:t>
      </w:r>
      <w:r>
        <w:rPr>
          <w:rFonts w:hint="eastAsia" w:ascii="MS UI Gothic" w:eastAsia="MS UI Gothic"/>
          <w:w w:val="80"/>
        </w:rPr>
        <w:t xml:space="preserve">ꎬ </w:t>
      </w:r>
      <w:r>
        <w:t>必须按照国家有关规定经过专门的安全作业培训</w:t>
      </w:r>
      <w:r>
        <w:rPr>
          <w:rFonts w:hint="eastAsia" w:ascii="MS UI Gothic" w:eastAsia="MS UI Gothic"/>
          <w:w w:val="80"/>
        </w:rPr>
        <w:t xml:space="preserve">ꎬ </w:t>
      </w:r>
      <w:r>
        <w:t>并取得特种作业操作资格证书后</w:t>
      </w:r>
      <w:r>
        <w:rPr>
          <w:rFonts w:hint="eastAsia" w:ascii="MS UI Gothic" w:eastAsia="MS UI Gothic"/>
          <w:w w:val="80"/>
        </w:rPr>
        <w:t xml:space="preserve">ꎬ </w:t>
      </w:r>
      <w:r>
        <w:t>方可上岗作业</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第二十六条 施工单位应当在施工组</w:t>
      </w:r>
      <w:r>
        <w:t>织设计中编制安全技术措施和施工现场临时用电方案</w:t>
      </w:r>
      <w:r>
        <w:rPr>
          <w:rFonts w:hint="eastAsia" w:ascii="MS UI Gothic" w:eastAsia="MS UI Gothic"/>
          <w:w w:val="80"/>
        </w:rPr>
        <w:t xml:space="preserve">ꎬ </w:t>
      </w:r>
      <w:r>
        <w:t>对下列达到一定规模的危险性较大的分部分项工程编制专项施工方案</w:t>
      </w:r>
      <w:r>
        <w:rPr>
          <w:rFonts w:hint="eastAsia" w:ascii="MS UI Gothic" w:eastAsia="MS UI Gothic"/>
          <w:w w:val="80"/>
        </w:rPr>
        <w:t xml:space="preserve">ꎬ </w:t>
      </w:r>
      <w:r>
        <w:t>并附具安全验算结果</w:t>
      </w:r>
      <w:r>
        <w:rPr>
          <w:rFonts w:hint="eastAsia" w:ascii="MS UI Gothic" w:eastAsia="MS UI Gothic"/>
          <w:w w:val="80"/>
        </w:rPr>
        <w:t xml:space="preserve">ꎬ </w:t>
      </w:r>
      <w:r>
        <w:t>经施工单位技</w:t>
      </w:r>
      <w:r>
        <w:rPr>
          <w:w w:val="105"/>
        </w:rPr>
        <w:t>术负责人</w:t>
      </w:r>
      <w:r>
        <w:rPr>
          <w:rFonts w:hint="eastAsia" w:ascii="MS UI Gothic" w:eastAsia="MS UI Gothic"/>
          <w:w w:val="80"/>
        </w:rPr>
        <w:t xml:space="preserve">、 </w:t>
      </w:r>
      <w:r>
        <w:rPr>
          <w:w w:val="105"/>
        </w:rPr>
        <w:t>总监理工程师签字后实施</w:t>
      </w:r>
      <w:r>
        <w:rPr>
          <w:rFonts w:hint="eastAsia" w:ascii="MS UI Gothic" w:eastAsia="MS UI Gothic"/>
          <w:w w:val="80"/>
        </w:rPr>
        <w:t xml:space="preserve">ꎬ </w:t>
      </w:r>
      <w:r>
        <w:rPr>
          <w:w w:val="105"/>
        </w:rPr>
        <w:t>由专职安全生产管理人员进行现场监督</w:t>
      </w:r>
      <w:r>
        <w:rPr>
          <w:rFonts w:hint="eastAsia" w:ascii="MS UI Gothic" w:eastAsia="MS UI Gothic"/>
          <w:w w:val="235"/>
        </w:rPr>
        <w:t>:</w:t>
      </w:r>
    </w:p>
    <w:p>
      <w:pPr>
        <w:pStyle w:val="6"/>
        <w:spacing w:line="251" w:lineRule="exact"/>
        <w:ind w:left="84" w:right="377" w:firstLine="0"/>
        <w:jc w:val="center"/>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基坑支护与降水工程</w:t>
      </w:r>
      <w:r>
        <w:rPr>
          <w:rFonts w:hint="eastAsia" w:ascii="MS UI Gothic" w:eastAsia="MS UI Gothic"/>
          <w:w w:val="80"/>
        </w:rPr>
        <w:t>ꎻ</w:t>
      </w:r>
    </w:p>
    <w:p>
      <w:pPr>
        <w:pStyle w:val="6"/>
        <w:spacing w:before="123" w:line="295" w:lineRule="auto"/>
        <w:ind w:left="543" w:right="1835" w:firstLine="0"/>
        <w:jc w:val="left"/>
        <w:rPr>
          <w:rFonts w:hint="eastAsia" w:ascii="MS UI Gothic" w:eastAsia="MS UI Gothic"/>
        </w:rPr>
      </w:pPr>
      <w:r>
        <w:br w:type="column"/>
      </w:r>
      <w:r>
        <w:rPr>
          <w:rFonts w:hint="eastAsia" w:ascii="MS UI Gothic" w:eastAsia="MS UI Gothic"/>
          <w:w w:val="110"/>
        </w:rPr>
        <w:t xml:space="preserve">( </w:t>
      </w:r>
      <w:r>
        <w:rPr>
          <w:w w:val="110"/>
        </w:rPr>
        <w:t>二</w:t>
      </w:r>
      <w:r>
        <w:rPr>
          <w:rFonts w:hint="eastAsia" w:ascii="MS UI Gothic" w:eastAsia="MS UI Gothic"/>
          <w:w w:val="110"/>
        </w:rPr>
        <w:t xml:space="preserve">) </w:t>
      </w:r>
      <w:r>
        <w:rPr>
          <w:w w:val="110"/>
        </w:rPr>
        <w:t>土方开挖工程</w:t>
      </w:r>
      <w:r>
        <w:rPr>
          <w:rFonts w:hint="eastAsia" w:ascii="MS UI Gothic" w:eastAsia="MS UI Gothic"/>
          <w:w w:val="80"/>
        </w:rPr>
        <w:t>ꎻ</w:t>
      </w:r>
      <w:r>
        <w:rPr>
          <w:rFonts w:hint="eastAsia" w:ascii="MS UI Gothic" w:eastAsia="MS UI Gothic"/>
          <w:w w:val="150"/>
        </w:rPr>
        <w:t xml:space="preserve">( </w:t>
      </w:r>
      <w:r>
        <w:rPr>
          <w:w w:val="115"/>
        </w:rPr>
        <w:t>三</w:t>
      </w:r>
      <w:r>
        <w:rPr>
          <w:rFonts w:hint="eastAsia" w:ascii="MS UI Gothic" w:eastAsia="MS UI Gothic"/>
          <w:w w:val="150"/>
        </w:rPr>
        <w:t xml:space="preserve">) </w:t>
      </w:r>
      <w:r>
        <w:rPr>
          <w:w w:val="115"/>
        </w:rPr>
        <w:t>模板工程</w:t>
      </w:r>
      <w:r>
        <w:rPr>
          <w:rFonts w:hint="eastAsia" w:ascii="MS UI Gothic" w:eastAsia="MS UI Gothic"/>
          <w:w w:val="80"/>
        </w:rPr>
        <w:t>ꎻ</w:t>
      </w:r>
    </w:p>
    <w:p>
      <w:pPr>
        <w:pStyle w:val="6"/>
        <w:spacing w:line="295" w:lineRule="auto"/>
        <w:ind w:left="543" w:right="1869" w:firstLine="0"/>
        <w:jc w:val="left"/>
        <w:rPr>
          <w:rFonts w:hint="eastAsia" w:ascii="MS UI Gothic" w:eastAsia="MS UI Gothic"/>
        </w:rPr>
      </w:pPr>
      <w:r>
        <w:rPr>
          <w:rFonts w:hint="eastAsia" w:ascii="MS UI Gothic" w:eastAsia="MS UI Gothic"/>
          <w:spacing w:val="-38"/>
          <w:w w:val="135"/>
        </w:rPr>
        <w:t xml:space="preserve">( </w:t>
      </w:r>
      <w:r>
        <w:rPr>
          <w:spacing w:val="3"/>
          <w:w w:val="110"/>
        </w:rPr>
        <w:t>四</w:t>
      </w:r>
      <w:r>
        <w:rPr>
          <w:rFonts w:hint="eastAsia" w:ascii="MS UI Gothic" w:eastAsia="MS UI Gothic"/>
          <w:spacing w:val="-20"/>
          <w:w w:val="135"/>
        </w:rPr>
        <w:t xml:space="preserve">) </w:t>
      </w:r>
      <w:r>
        <w:rPr>
          <w:spacing w:val="3"/>
          <w:w w:val="110"/>
        </w:rPr>
        <w:t>起重吊装工程</w:t>
      </w:r>
      <w:r>
        <w:rPr>
          <w:rFonts w:hint="eastAsia" w:ascii="MS UI Gothic" w:eastAsia="MS UI Gothic"/>
          <w:spacing w:val="-11"/>
          <w:w w:val="80"/>
        </w:rPr>
        <w:t>ꎻ</w:t>
      </w:r>
      <w:r>
        <w:rPr>
          <w:rFonts w:hint="eastAsia" w:ascii="MS UI Gothic" w:eastAsia="MS UI Gothic"/>
          <w:spacing w:val="-39"/>
          <w:w w:val="150"/>
        </w:rPr>
        <w:t xml:space="preserve">( </w:t>
      </w:r>
      <w:r>
        <w:rPr>
          <w:spacing w:val="3"/>
          <w:w w:val="110"/>
        </w:rPr>
        <w:t>五</w:t>
      </w:r>
      <w:r>
        <w:rPr>
          <w:rFonts w:hint="eastAsia" w:ascii="MS UI Gothic" w:eastAsia="MS UI Gothic"/>
          <w:spacing w:val="-3"/>
          <w:w w:val="150"/>
        </w:rPr>
        <w:t xml:space="preserve">) </w:t>
      </w:r>
      <w:r>
        <w:rPr>
          <w:spacing w:val="3"/>
          <w:w w:val="110"/>
        </w:rPr>
        <w:t>脚手架工程</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拆除</w:t>
      </w:r>
      <w:r>
        <w:rPr>
          <w:rFonts w:hint="eastAsia" w:ascii="MS UI Gothic" w:eastAsia="MS UI Gothic"/>
          <w:w w:val="80"/>
        </w:rPr>
        <w:t xml:space="preserve">、 </w:t>
      </w:r>
      <w:r>
        <w:rPr>
          <w:w w:val="110"/>
        </w:rPr>
        <w:t>爆破工程</w:t>
      </w:r>
      <w:r>
        <w:rPr>
          <w:rFonts w:hint="eastAsia" w:ascii="MS UI Gothic" w:eastAsia="MS UI Gothic"/>
          <w:w w:val="80"/>
        </w:rPr>
        <w:t>ꎻ</w:t>
      </w:r>
    </w:p>
    <w:p>
      <w:pPr>
        <w:pStyle w:val="6"/>
        <w:spacing w:before="57"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七</w:t>
      </w:r>
      <w:r>
        <w:rPr>
          <w:rFonts w:hint="eastAsia" w:ascii="MS UI Gothic" w:eastAsia="MS UI Gothic"/>
          <w:spacing w:val="4"/>
          <w:w w:val="150"/>
        </w:rPr>
        <w:t xml:space="preserve">) </w:t>
      </w:r>
      <w:r>
        <w:rPr>
          <w:spacing w:val="5"/>
          <w:w w:val="105"/>
        </w:rPr>
        <w:t>国务院建设行政主管部门或者</w:t>
      </w:r>
      <w:r>
        <w:rPr>
          <w:spacing w:val="11"/>
        </w:rPr>
        <w:t>其他有关部门规定的其他危险性较大的</w:t>
      </w:r>
      <w:r>
        <w:rPr>
          <w:spacing w:val="3"/>
          <w:w w:val="105"/>
        </w:rPr>
        <w:t>工程</w:t>
      </w:r>
      <w:r>
        <w:rPr>
          <w:rFonts w:hint="eastAsia" w:ascii="MS UI Gothic" w:eastAsia="MS UI Gothic"/>
          <w:w w:val="80"/>
        </w:rPr>
        <w:t>ꎮ</w:t>
      </w:r>
    </w:p>
    <w:p>
      <w:pPr>
        <w:pStyle w:val="6"/>
        <w:spacing w:line="295" w:lineRule="auto"/>
        <w:ind w:right="440"/>
        <w:rPr>
          <w:rFonts w:hint="eastAsia" w:ascii="MS UI Gothic" w:eastAsia="MS UI Gothic"/>
        </w:rPr>
      </w:pPr>
      <w:r>
        <w:rPr>
          <w:spacing w:val="3"/>
        </w:rPr>
        <w:t>对前款所列工程中涉及深基坑</w:t>
      </w:r>
      <w:r>
        <w:rPr>
          <w:rFonts w:hint="eastAsia" w:ascii="MS UI Gothic" w:eastAsia="MS UI Gothic"/>
          <w:spacing w:val="12"/>
          <w:w w:val="80"/>
        </w:rPr>
        <w:t xml:space="preserve">、 </w:t>
      </w:r>
      <w:r>
        <w:rPr>
          <w:spacing w:val="1"/>
        </w:rPr>
        <w:t>地下</w:t>
      </w:r>
      <w:r>
        <w:rPr>
          <w:spacing w:val="8"/>
        </w:rPr>
        <w:t>暗挖工程</w:t>
      </w:r>
      <w:r>
        <w:rPr>
          <w:rFonts w:hint="eastAsia" w:ascii="MS UI Gothic" w:eastAsia="MS UI Gothic"/>
          <w:spacing w:val="21"/>
          <w:w w:val="80"/>
        </w:rPr>
        <w:t xml:space="preserve">、 </w:t>
      </w:r>
      <w:r>
        <w:rPr>
          <w:spacing w:val="17"/>
        </w:rPr>
        <w:t>高大模板工程的专项施工方</w:t>
      </w:r>
      <w:r>
        <w:rPr>
          <w:spacing w:val="3"/>
        </w:rPr>
        <w:t>案</w:t>
      </w:r>
      <w:r>
        <w:rPr>
          <w:rFonts w:hint="eastAsia" w:ascii="MS UI Gothic" w:eastAsia="MS UI Gothic"/>
          <w:spacing w:val="16"/>
          <w:w w:val="80"/>
        </w:rPr>
        <w:t xml:space="preserve">ꎬ </w:t>
      </w:r>
      <w:r>
        <w:rPr>
          <w:spacing w:val="6"/>
        </w:rPr>
        <w:t>施工单位还应当组织专家进行论证</w:t>
      </w:r>
      <w:r>
        <w:rPr>
          <w:rFonts w:hint="eastAsia" w:ascii="MS UI Gothic" w:eastAsia="MS UI Gothic"/>
          <w:w w:val="80"/>
        </w:rPr>
        <w:t>、</w:t>
      </w:r>
      <w:r>
        <w:rPr>
          <w:spacing w:val="3"/>
        </w:rPr>
        <w:t>审查</w:t>
      </w:r>
      <w:r>
        <w:rPr>
          <w:rFonts w:hint="eastAsia" w:ascii="MS UI Gothic" w:eastAsia="MS UI Gothic"/>
          <w:w w:val="80"/>
        </w:rPr>
        <w:t>ꎮ</w:t>
      </w:r>
    </w:p>
    <w:p>
      <w:pPr>
        <w:pStyle w:val="6"/>
        <w:spacing w:line="295" w:lineRule="auto"/>
        <w:ind w:right="442"/>
        <w:rPr>
          <w:rFonts w:hint="eastAsia" w:ascii="MS UI Gothic" w:eastAsia="MS UI Gothic"/>
        </w:rPr>
      </w:pPr>
      <w:r>
        <w:t>本条第一款规定的达到一定规模的危险性较大工程的标准</w:t>
      </w:r>
      <w:r>
        <w:rPr>
          <w:rFonts w:hint="eastAsia" w:ascii="MS UI Gothic" w:eastAsia="MS UI Gothic"/>
          <w:w w:val="80"/>
        </w:rPr>
        <w:t xml:space="preserve">ꎬ </w:t>
      </w:r>
      <w:r>
        <w:t>由国务院建设行政主管部门会同国务院其他有关部门制定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第二十七条 建设工程施工前</w:t>
      </w:r>
      <w:r>
        <w:rPr>
          <w:rFonts w:hint="eastAsia" w:ascii="MS UI Gothic" w:eastAsia="MS UI Gothic"/>
          <w:w w:val="80"/>
        </w:rPr>
        <w:t xml:space="preserve">ꎬ </w:t>
      </w:r>
      <w:r>
        <w:rPr>
          <w:w w:val="105"/>
        </w:rPr>
        <w:t>施工</w:t>
      </w:r>
      <w:r>
        <w:t>单位负责项目管理的技术人员应当对有关</w:t>
      </w:r>
      <w:r>
        <w:rPr>
          <w:w w:val="105"/>
        </w:rPr>
        <w:t>安全施工的技术要求向施工作业班组</w:t>
      </w:r>
      <w:r>
        <w:rPr>
          <w:rFonts w:hint="eastAsia" w:ascii="MS UI Gothic" w:eastAsia="MS UI Gothic"/>
          <w:w w:val="80"/>
        </w:rPr>
        <w:t xml:space="preserve">、 </w:t>
      </w:r>
      <w:r>
        <w:rPr>
          <w:w w:val="105"/>
        </w:rPr>
        <w:t>作</w:t>
      </w:r>
      <w:r>
        <w:t>业人员作出详细说明</w:t>
      </w:r>
      <w:r>
        <w:rPr>
          <w:rFonts w:hint="eastAsia" w:ascii="MS UI Gothic" w:eastAsia="MS UI Gothic"/>
          <w:w w:val="80"/>
        </w:rPr>
        <w:t xml:space="preserve">ꎬ </w:t>
      </w:r>
      <w:r>
        <w:t>并由双方签字</w:t>
      </w:r>
      <w:r>
        <w:rPr>
          <w:w w:val="105"/>
        </w:rPr>
        <w:t>确认</w:t>
      </w:r>
      <w:r>
        <w:rPr>
          <w:rFonts w:hint="eastAsia" w:ascii="MS UI Gothic" w:eastAsia="MS UI Gothic"/>
          <w:w w:val="80"/>
        </w:rPr>
        <w:t>ꎮ</w:t>
      </w:r>
    </w:p>
    <w:p>
      <w:pPr>
        <w:pStyle w:val="6"/>
        <w:spacing w:line="295" w:lineRule="auto"/>
        <w:ind w:right="440"/>
        <w:rPr>
          <w:rFonts w:hint="eastAsia" w:ascii="MS UI Gothic" w:eastAsia="MS UI Gothic"/>
        </w:rPr>
      </w:pPr>
      <w:r>
        <w:t>第二十八条 施工单位应当在施工现场入口处</w:t>
      </w:r>
      <w:r>
        <w:rPr>
          <w:rFonts w:hint="eastAsia" w:ascii="MS UI Gothic" w:eastAsia="MS UI Gothic"/>
          <w:w w:val="80"/>
        </w:rPr>
        <w:t xml:space="preserve">、 </w:t>
      </w:r>
      <w:r>
        <w:t>施工起重机械</w:t>
      </w:r>
      <w:r>
        <w:rPr>
          <w:rFonts w:hint="eastAsia" w:ascii="MS UI Gothic" w:eastAsia="MS UI Gothic"/>
          <w:w w:val="80"/>
        </w:rPr>
        <w:t xml:space="preserve">、  </w:t>
      </w:r>
      <w:r>
        <w:t>临时用电设施</w:t>
      </w:r>
      <w:r>
        <w:rPr>
          <w:rFonts w:hint="eastAsia" w:ascii="MS UI Gothic" w:eastAsia="MS UI Gothic"/>
          <w:w w:val="80"/>
        </w:rPr>
        <w:t xml:space="preserve">、 </w:t>
      </w:r>
      <w:r>
        <w:t>脚手架</w:t>
      </w:r>
      <w:r>
        <w:rPr>
          <w:rFonts w:hint="eastAsia" w:ascii="MS UI Gothic" w:eastAsia="MS UI Gothic"/>
          <w:w w:val="80"/>
        </w:rPr>
        <w:t xml:space="preserve">、 </w:t>
      </w:r>
      <w:r>
        <w:t>出入通道口</w:t>
      </w:r>
      <w:r>
        <w:rPr>
          <w:rFonts w:hint="eastAsia" w:ascii="MS UI Gothic" w:eastAsia="MS UI Gothic"/>
          <w:w w:val="80"/>
        </w:rPr>
        <w:t xml:space="preserve">、 </w:t>
      </w:r>
      <w:r>
        <w:t>楼梯口</w:t>
      </w:r>
      <w:r>
        <w:rPr>
          <w:rFonts w:hint="eastAsia" w:ascii="MS UI Gothic" w:eastAsia="MS UI Gothic"/>
          <w:w w:val="80"/>
        </w:rPr>
        <w:t xml:space="preserve">、  </w:t>
      </w:r>
      <w:r>
        <w:t>电梯井口</w:t>
      </w:r>
      <w:r>
        <w:rPr>
          <w:rFonts w:hint="eastAsia" w:ascii="MS UI Gothic" w:eastAsia="MS UI Gothic"/>
          <w:w w:val="80"/>
        </w:rPr>
        <w:t xml:space="preserve">、 </w:t>
      </w:r>
      <w:r>
        <w:t>孔洞口</w:t>
      </w:r>
      <w:r>
        <w:rPr>
          <w:rFonts w:hint="eastAsia" w:ascii="MS UI Gothic" w:eastAsia="MS UI Gothic"/>
          <w:w w:val="80"/>
        </w:rPr>
        <w:t xml:space="preserve">、 </w:t>
      </w:r>
      <w:r>
        <w:t>桥梁口</w:t>
      </w:r>
      <w:r>
        <w:rPr>
          <w:rFonts w:hint="eastAsia" w:ascii="MS UI Gothic" w:eastAsia="MS UI Gothic"/>
          <w:w w:val="80"/>
        </w:rPr>
        <w:t xml:space="preserve">、 </w:t>
      </w:r>
      <w:r>
        <w:t>隧道口</w:t>
      </w:r>
      <w:r>
        <w:rPr>
          <w:rFonts w:hint="eastAsia" w:ascii="MS UI Gothic" w:eastAsia="MS UI Gothic"/>
          <w:w w:val="80"/>
        </w:rPr>
        <w:t xml:space="preserve">、  </w:t>
      </w:r>
      <w:r>
        <w:t>基坑边沿</w:t>
      </w:r>
      <w:r>
        <w:rPr>
          <w:rFonts w:hint="eastAsia" w:ascii="MS UI Gothic" w:eastAsia="MS UI Gothic"/>
          <w:w w:val="80"/>
        </w:rPr>
        <w:t xml:space="preserve">、 </w:t>
      </w:r>
      <w:r>
        <w:t>爆破物及有害危险气体和液体存放处等危险部位</w:t>
      </w:r>
      <w:r>
        <w:rPr>
          <w:rFonts w:hint="eastAsia" w:ascii="MS UI Gothic" w:eastAsia="MS UI Gothic"/>
          <w:w w:val="80"/>
        </w:rPr>
        <w:t xml:space="preserve">ꎬ </w:t>
      </w:r>
      <w:r>
        <w:t>设置明显的安全警示标志</w:t>
      </w:r>
      <w:r>
        <w:rPr>
          <w:rFonts w:hint="eastAsia" w:ascii="MS UI Gothic" w:eastAsia="MS UI Gothic"/>
          <w:w w:val="80"/>
        </w:rPr>
        <w:t>ꎮ</w:t>
      </w:r>
      <w:r>
        <w:t>安全警示标志必须符合国家标准</w:t>
      </w:r>
      <w:r>
        <w:rPr>
          <w:rFonts w:hint="eastAsia" w:ascii="MS UI Gothic" w:eastAsia="MS UI Gothic"/>
          <w:w w:val="80"/>
        </w:rPr>
        <w:t>ꎮ</w:t>
      </w:r>
    </w:p>
    <w:p>
      <w:pPr>
        <w:pStyle w:val="6"/>
        <w:spacing w:line="295" w:lineRule="auto"/>
        <w:ind w:right="442"/>
        <w:rPr>
          <w:rFonts w:hint="eastAsia" w:ascii="MS UI Gothic" w:eastAsia="MS UI Gothic"/>
        </w:rPr>
      </w:pPr>
      <w:r>
        <w:t>施工单位应当根据不同施工阶段和周围环境及季节</w:t>
      </w:r>
      <w:r>
        <w:rPr>
          <w:rFonts w:hint="eastAsia" w:ascii="MS UI Gothic" w:eastAsia="MS UI Gothic"/>
          <w:w w:val="80"/>
        </w:rPr>
        <w:t xml:space="preserve">、 </w:t>
      </w:r>
      <w:r>
        <w:t>气候的变化</w:t>
      </w:r>
      <w:r>
        <w:rPr>
          <w:rFonts w:hint="eastAsia" w:ascii="MS UI Gothic" w:eastAsia="MS UI Gothic"/>
          <w:w w:val="80"/>
        </w:rPr>
        <w:t xml:space="preserve">ꎬ </w:t>
      </w:r>
      <w:r>
        <w:t>在施工现场采取相应的安全施工措施</w:t>
      </w:r>
      <w:r>
        <w:rPr>
          <w:rFonts w:hint="eastAsia" w:ascii="MS UI Gothic" w:eastAsia="MS UI Gothic"/>
          <w:w w:val="80"/>
        </w:rPr>
        <w:t xml:space="preserve">ꎮ </w:t>
      </w:r>
      <w:r>
        <w:t>施工现场暂时停止施工的</w:t>
      </w:r>
      <w:r>
        <w:rPr>
          <w:rFonts w:hint="eastAsia" w:ascii="MS UI Gothic" w:eastAsia="MS UI Gothic"/>
          <w:w w:val="80"/>
        </w:rPr>
        <w:t xml:space="preserve">ꎬ </w:t>
      </w:r>
      <w:r>
        <w:t>施工单位应当做好现场防护</w:t>
      </w:r>
      <w:r>
        <w:rPr>
          <w:rFonts w:hint="eastAsia" w:ascii="MS UI Gothic" w:eastAsia="MS UI Gothic"/>
          <w:w w:val="80"/>
        </w:rPr>
        <w:t xml:space="preserve">ꎬ </w:t>
      </w:r>
      <w:r>
        <w:t>所需费用由责任方承担</w:t>
      </w:r>
      <w:r>
        <w:rPr>
          <w:rFonts w:hint="eastAsia" w:ascii="MS UI Gothic" w:eastAsia="MS UI Gothic"/>
          <w:w w:val="80"/>
        </w:rPr>
        <w:t xml:space="preserve">ꎬ </w:t>
      </w:r>
      <w:r>
        <w:t>或者按照合同约定执行</w:t>
      </w:r>
      <w:r>
        <w:rPr>
          <w:rFonts w:hint="eastAsia" w:ascii="MS UI Gothic" w:eastAsia="MS UI Gothic"/>
          <w:w w:val="80"/>
        </w:rPr>
        <w:t>ꎮ</w:t>
      </w:r>
    </w:p>
    <w:p>
      <w:pPr>
        <w:pStyle w:val="6"/>
        <w:spacing w:line="295" w:lineRule="auto"/>
        <w:ind w:right="442"/>
      </w:pPr>
      <w:r>
        <w:t>第二十九条 施工单位应当将施工现场的办公</w:t>
      </w:r>
      <w:r>
        <w:rPr>
          <w:rFonts w:hint="eastAsia" w:ascii="MS UI Gothic" w:eastAsia="MS UI Gothic"/>
          <w:w w:val="80"/>
        </w:rPr>
        <w:t xml:space="preserve">、 </w:t>
      </w:r>
      <w:r>
        <w:t>生活区与作业区分开设置</w:t>
      </w:r>
      <w:r>
        <w:rPr>
          <w:rFonts w:hint="eastAsia" w:ascii="MS UI Gothic" w:eastAsia="MS UI Gothic"/>
          <w:w w:val="80"/>
        </w:rPr>
        <w:t xml:space="preserve">ꎬ </w:t>
      </w:r>
      <w:r>
        <w:t>并保持安全距离</w:t>
      </w:r>
      <w:r>
        <w:rPr>
          <w:rFonts w:hint="eastAsia" w:ascii="MS UI Gothic" w:eastAsia="MS UI Gothic"/>
          <w:w w:val="80"/>
        </w:rPr>
        <w:t xml:space="preserve">ꎻ </w:t>
      </w:r>
      <w:r>
        <w:t>办公</w:t>
      </w:r>
      <w:r>
        <w:rPr>
          <w:rFonts w:hint="eastAsia" w:ascii="MS UI Gothic" w:eastAsia="MS UI Gothic"/>
          <w:w w:val="80"/>
        </w:rPr>
        <w:t xml:space="preserve">、 </w:t>
      </w:r>
      <w:r>
        <w:t>生活区的选址应当符合安全性要求</w:t>
      </w:r>
      <w:r>
        <w:rPr>
          <w:rFonts w:hint="eastAsia" w:ascii="MS UI Gothic" w:eastAsia="MS UI Gothic"/>
          <w:w w:val="80"/>
        </w:rPr>
        <w:t xml:space="preserve">ꎮ </w:t>
      </w:r>
      <w:r>
        <w:t>职工的膳食</w:t>
      </w:r>
      <w:r>
        <w:rPr>
          <w:rFonts w:hint="eastAsia" w:ascii="MS UI Gothic" w:eastAsia="MS UI Gothic"/>
          <w:w w:val="80"/>
        </w:rPr>
        <w:t xml:space="preserve">、 </w:t>
      </w:r>
      <w:r>
        <w:t>饮水</w:t>
      </w:r>
      <w:r>
        <w:rPr>
          <w:rFonts w:hint="eastAsia" w:ascii="MS UI Gothic" w:eastAsia="MS UI Gothic"/>
          <w:w w:val="80"/>
        </w:rPr>
        <w:t xml:space="preserve">、 </w:t>
      </w:r>
      <w:r>
        <w:t>休息场所等应当符合卫生标准</w:t>
      </w:r>
      <w:r>
        <w:rPr>
          <w:rFonts w:hint="eastAsia" w:ascii="MS UI Gothic" w:eastAsia="MS UI Gothic"/>
          <w:w w:val="80"/>
        </w:rPr>
        <w:t xml:space="preserve">ꎮ </w:t>
      </w:r>
      <w:r>
        <w:t>施工单位不得在尚未竣工的建筑物内设置员工集体</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４３５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03" o:spid="_x0000_s2303" o:spt="203" style="height:2.15pt;width:398.25pt;" coordsize="7965,43">
            <o:lock v:ext="edit"/>
            <v:line id="_x0000_s2304" o:spid="_x0000_s2304" o:spt="20" style="position:absolute;left:0;top:39;height:0;width:7965;" stroked="t" coordsize="21600,21600">
              <v:path arrowok="t"/>
              <v:fill focussize="0,0"/>
              <v:stroke weight="0.388031496062992pt" color="#231F20"/>
              <v:imagedata o:title=""/>
              <o:lock v:ext="edit"/>
            </v:line>
            <v:line id="_x0000_s2305" o:spid="_x0000_s230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宿舍</w:t>
      </w:r>
      <w:r>
        <w:rPr>
          <w:rFonts w:hint="eastAsia" w:ascii="MS UI Gothic" w:eastAsia="MS UI Gothic"/>
          <w:w w:val="80"/>
        </w:rPr>
        <w:t>ꎮ</w:t>
      </w:r>
    </w:p>
    <w:p>
      <w:pPr>
        <w:pStyle w:val="6"/>
        <w:spacing w:before="58" w:line="295" w:lineRule="auto"/>
        <w:ind w:left="440" w:right="1"/>
        <w:rPr>
          <w:rFonts w:hint="eastAsia" w:ascii="MS UI Gothic" w:eastAsia="MS UI Gothic"/>
        </w:rPr>
      </w:pPr>
      <w:r>
        <w:t>施工现场临时搭建的建筑物应当符合安全使用要求</w:t>
      </w:r>
      <w:r>
        <w:rPr>
          <w:rFonts w:hint="eastAsia" w:ascii="MS UI Gothic" w:eastAsia="MS UI Gothic"/>
          <w:w w:val="80"/>
        </w:rPr>
        <w:t xml:space="preserve">ꎮ </w:t>
      </w:r>
      <w:r>
        <w:t>施工现场使用的装配式活</w:t>
      </w:r>
      <w:r>
        <w:rPr>
          <w:w w:val="105"/>
        </w:rPr>
        <w:t>动房屋应当具有产品合格证</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第三十条 施工单位对因建设工程施工可能造成损害的毗邻建筑物</w:t>
      </w:r>
      <w:r>
        <w:rPr>
          <w:rFonts w:hint="eastAsia" w:ascii="MS UI Gothic" w:eastAsia="MS UI Gothic"/>
          <w:w w:val="80"/>
        </w:rPr>
        <w:t xml:space="preserve">、 </w:t>
      </w:r>
      <w:r>
        <w:rPr>
          <w:w w:val="105"/>
        </w:rPr>
        <w:t>构筑物和地下管线等</w:t>
      </w:r>
      <w:r>
        <w:rPr>
          <w:rFonts w:hint="eastAsia" w:ascii="MS UI Gothic" w:eastAsia="MS UI Gothic"/>
          <w:w w:val="80"/>
        </w:rPr>
        <w:t xml:space="preserve">ꎬ </w:t>
      </w:r>
      <w:r>
        <w:rPr>
          <w:w w:val="105"/>
        </w:rPr>
        <w:t>应当采取专项防护措施</w:t>
      </w:r>
      <w:r>
        <w:rPr>
          <w:rFonts w:hint="eastAsia" w:ascii="MS UI Gothic" w:eastAsia="MS UI Gothic"/>
          <w:w w:val="80"/>
        </w:rPr>
        <w:t>ꎮ</w:t>
      </w:r>
    </w:p>
    <w:p>
      <w:pPr>
        <w:pStyle w:val="6"/>
        <w:spacing w:line="295" w:lineRule="auto"/>
        <w:ind w:left="440"/>
        <w:rPr>
          <w:rFonts w:hint="eastAsia" w:ascii="MS UI Gothic" w:eastAsia="MS UI Gothic"/>
        </w:rPr>
      </w:pPr>
      <w:r>
        <w:t>施工单位应当遵守有关环境保护法律</w:t>
      </w:r>
      <w:r>
        <w:rPr>
          <w:rFonts w:hint="eastAsia" w:ascii="MS UI Gothic" w:eastAsia="MS UI Gothic"/>
          <w:w w:val="80"/>
        </w:rPr>
        <w:t xml:space="preserve">、 </w:t>
      </w:r>
      <w:r>
        <w:t>法规的规定</w:t>
      </w:r>
      <w:r>
        <w:rPr>
          <w:rFonts w:hint="eastAsia" w:ascii="MS UI Gothic" w:eastAsia="MS UI Gothic"/>
          <w:w w:val="80"/>
        </w:rPr>
        <w:t xml:space="preserve">ꎬ </w:t>
      </w:r>
      <w:r>
        <w:t>在施工现场采取措施</w:t>
      </w:r>
      <w:r>
        <w:rPr>
          <w:rFonts w:hint="eastAsia" w:ascii="MS UI Gothic" w:eastAsia="MS UI Gothic"/>
          <w:w w:val="80"/>
        </w:rPr>
        <w:t>ꎬ</w:t>
      </w:r>
      <w:r>
        <w:t>防止或者减少粉尘</w:t>
      </w:r>
      <w:r>
        <w:rPr>
          <w:rFonts w:hint="eastAsia" w:ascii="MS UI Gothic" w:eastAsia="MS UI Gothic"/>
          <w:w w:val="80"/>
        </w:rPr>
        <w:t xml:space="preserve">、 </w:t>
      </w:r>
      <w:r>
        <w:t>废气</w:t>
      </w:r>
      <w:r>
        <w:rPr>
          <w:rFonts w:hint="eastAsia" w:ascii="MS UI Gothic" w:eastAsia="MS UI Gothic"/>
          <w:w w:val="80"/>
        </w:rPr>
        <w:t xml:space="preserve">、 </w:t>
      </w:r>
      <w:r>
        <w:t>废水</w:t>
      </w:r>
      <w:r>
        <w:rPr>
          <w:rFonts w:hint="eastAsia" w:ascii="MS UI Gothic" w:eastAsia="MS UI Gothic"/>
          <w:w w:val="80"/>
        </w:rPr>
        <w:t xml:space="preserve">、 </w:t>
      </w:r>
      <w:r>
        <w:t>固体废物</w:t>
      </w:r>
      <w:r>
        <w:rPr>
          <w:rFonts w:hint="eastAsia" w:ascii="MS UI Gothic" w:eastAsia="MS UI Gothic"/>
          <w:w w:val="80"/>
        </w:rPr>
        <w:t xml:space="preserve">、 </w:t>
      </w:r>
      <w:r>
        <w:t>噪声</w:t>
      </w:r>
      <w:r>
        <w:rPr>
          <w:rFonts w:hint="eastAsia" w:ascii="MS UI Gothic" w:eastAsia="MS UI Gothic"/>
          <w:w w:val="80"/>
        </w:rPr>
        <w:t xml:space="preserve">、 </w:t>
      </w:r>
      <w:r>
        <w:t>振动和施工照明对人和环境的危害和污染</w:t>
      </w:r>
      <w:r>
        <w:rPr>
          <w:rFonts w:hint="eastAsia" w:ascii="MS UI Gothic" w:eastAsia="MS UI Gothic"/>
          <w:w w:val="80"/>
        </w:rPr>
        <w:t>ꎮ</w:t>
      </w:r>
    </w:p>
    <w:p>
      <w:pPr>
        <w:pStyle w:val="6"/>
        <w:spacing w:line="295" w:lineRule="auto"/>
        <w:ind w:left="440" w:right="1"/>
        <w:rPr>
          <w:rFonts w:hint="eastAsia" w:ascii="MS UI Gothic" w:eastAsia="MS UI Gothic"/>
        </w:rPr>
      </w:pPr>
      <w:r>
        <w:t>在城市市区内的建设工程</w:t>
      </w:r>
      <w:r>
        <w:rPr>
          <w:rFonts w:hint="eastAsia" w:ascii="MS UI Gothic" w:eastAsia="MS UI Gothic"/>
          <w:w w:val="80"/>
        </w:rPr>
        <w:t xml:space="preserve">ꎬ </w:t>
      </w:r>
      <w:r>
        <w:t>施工单位应当对施工现场实行封闭围挡</w:t>
      </w:r>
      <w:r>
        <w:rPr>
          <w:rFonts w:hint="eastAsia" w:ascii="MS UI Gothic" w:eastAsia="MS UI Gothic"/>
          <w:w w:val="80"/>
        </w:rPr>
        <w:t>ꎮ</w:t>
      </w:r>
    </w:p>
    <w:p>
      <w:pPr>
        <w:pStyle w:val="6"/>
        <w:spacing w:line="295" w:lineRule="auto"/>
        <w:ind w:left="440" w:right="1"/>
        <w:rPr>
          <w:rFonts w:hint="eastAsia" w:ascii="MS UI Gothic" w:eastAsia="MS UI Gothic"/>
        </w:rPr>
      </w:pPr>
      <w:r>
        <w:t>第三十一条 施工单位应当在施工现场建立消防安全责任制度</w:t>
      </w:r>
      <w:r>
        <w:rPr>
          <w:rFonts w:hint="eastAsia" w:ascii="MS UI Gothic" w:eastAsia="MS UI Gothic"/>
          <w:w w:val="80"/>
        </w:rPr>
        <w:t xml:space="preserve">ꎬ </w:t>
      </w:r>
      <w:r>
        <w:t>确定消防安全责任人</w:t>
      </w:r>
      <w:r>
        <w:rPr>
          <w:rFonts w:hint="eastAsia" w:ascii="MS UI Gothic" w:eastAsia="MS UI Gothic"/>
          <w:w w:val="80"/>
        </w:rPr>
        <w:t xml:space="preserve">ꎬ </w:t>
      </w:r>
      <w:r>
        <w:t>制定用火</w:t>
      </w:r>
      <w:r>
        <w:rPr>
          <w:rFonts w:hint="eastAsia" w:ascii="MS UI Gothic" w:eastAsia="MS UI Gothic"/>
          <w:w w:val="80"/>
        </w:rPr>
        <w:t xml:space="preserve">、 </w:t>
      </w:r>
      <w:r>
        <w:t>用电</w:t>
      </w:r>
      <w:r>
        <w:rPr>
          <w:rFonts w:hint="eastAsia" w:ascii="MS UI Gothic" w:eastAsia="MS UI Gothic"/>
          <w:w w:val="80"/>
        </w:rPr>
        <w:t xml:space="preserve">、 </w:t>
      </w:r>
      <w:r>
        <w:t>使用易燃易爆材料等各项消防安全管理制度和操作规程</w:t>
      </w:r>
      <w:r>
        <w:rPr>
          <w:rFonts w:hint="eastAsia" w:ascii="MS UI Gothic" w:eastAsia="MS UI Gothic"/>
          <w:w w:val="80"/>
        </w:rPr>
        <w:t xml:space="preserve">ꎬ </w:t>
      </w:r>
      <w:r>
        <w:t>设置消防通道</w:t>
      </w:r>
      <w:r>
        <w:rPr>
          <w:rFonts w:hint="eastAsia" w:ascii="MS UI Gothic" w:eastAsia="MS UI Gothic"/>
          <w:w w:val="80"/>
        </w:rPr>
        <w:t xml:space="preserve">、 </w:t>
      </w:r>
      <w:r>
        <w:t>消防水源</w:t>
      </w:r>
      <w:r>
        <w:rPr>
          <w:rFonts w:hint="eastAsia" w:ascii="MS UI Gothic" w:eastAsia="MS UI Gothic"/>
          <w:w w:val="80"/>
        </w:rPr>
        <w:t xml:space="preserve">ꎬ </w:t>
      </w:r>
      <w:r>
        <w:t>配备消防设施和灭火器材</w:t>
      </w:r>
      <w:r>
        <w:rPr>
          <w:rFonts w:hint="eastAsia" w:ascii="MS UI Gothic" w:eastAsia="MS UI Gothic"/>
          <w:w w:val="80"/>
        </w:rPr>
        <w:t xml:space="preserve">ꎬ </w:t>
      </w:r>
      <w:r>
        <w:t>并在施工现场入口处设置明显标志</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第三十二条 施工单位应当向作业人</w:t>
      </w:r>
      <w:r>
        <w:t>员提供安全防护用具和安全防护服装</w:t>
      </w:r>
      <w:r>
        <w:rPr>
          <w:rFonts w:hint="eastAsia" w:ascii="MS UI Gothic" w:eastAsia="MS UI Gothic"/>
          <w:w w:val="80"/>
        </w:rPr>
        <w:t xml:space="preserve">ꎬ </w:t>
      </w:r>
      <w:r>
        <w:t>并书面告知危险岗位的操作规程和违章操作</w:t>
      </w:r>
      <w:r>
        <w:rPr>
          <w:w w:val="105"/>
        </w:rPr>
        <w:t>的危害</w:t>
      </w:r>
      <w:r>
        <w:rPr>
          <w:rFonts w:hint="eastAsia" w:ascii="MS UI Gothic" w:eastAsia="MS UI Gothic"/>
          <w:w w:val="80"/>
        </w:rPr>
        <w:t>ꎮ</w:t>
      </w:r>
    </w:p>
    <w:p>
      <w:pPr>
        <w:pStyle w:val="6"/>
        <w:spacing w:line="295" w:lineRule="auto"/>
        <w:ind w:left="440" w:right="1"/>
        <w:rPr>
          <w:rFonts w:hint="eastAsia" w:ascii="MS UI Gothic" w:eastAsia="MS UI Gothic"/>
        </w:rPr>
      </w:pPr>
      <w:r>
        <w:t>作业人员有权对施工现场的作业条</w:t>
      </w:r>
      <w:r>
        <w:rPr>
          <w:w w:val="105"/>
        </w:rPr>
        <w:t>件</w:t>
      </w:r>
      <w:r>
        <w:rPr>
          <w:rFonts w:hint="eastAsia" w:ascii="MS UI Gothic" w:eastAsia="MS UI Gothic"/>
          <w:w w:val="80"/>
        </w:rPr>
        <w:t xml:space="preserve">、 </w:t>
      </w:r>
      <w:r>
        <w:rPr>
          <w:w w:val="105"/>
        </w:rPr>
        <w:t>作业程序和作业方式中存在的安全问题提出批评</w:t>
      </w:r>
      <w:r>
        <w:rPr>
          <w:rFonts w:hint="eastAsia" w:ascii="MS UI Gothic" w:eastAsia="MS UI Gothic"/>
          <w:w w:val="80"/>
        </w:rPr>
        <w:t xml:space="preserve">、 </w:t>
      </w:r>
      <w:r>
        <w:rPr>
          <w:w w:val="105"/>
        </w:rPr>
        <w:t>检举和控告</w:t>
      </w:r>
      <w:r>
        <w:rPr>
          <w:rFonts w:hint="eastAsia" w:ascii="MS UI Gothic" w:eastAsia="MS UI Gothic"/>
          <w:w w:val="80"/>
        </w:rPr>
        <w:t xml:space="preserve">ꎬ </w:t>
      </w:r>
      <w:r>
        <w:rPr>
          <w:w w:val="105"/>
        </w:rPr>
        <w:t>有权拒绝违章指挥和强令冒险作业</w:t>
      </w:r>
      <w:r>
        <w:rPr>
          <w:rFonts w:hint="eastAsia" w:ascii="MS UI Gothic" w:eastAsia="MS UI Gothic"/>
          <w:w w:val="80"/>
        </w:rPr>
        <w:t>ꎮ</w:t>
      </w:r>
    </w:p>
    <w:p>
      <w:pPr>
        <w:pStyle w:val="6"/>
        <w:spacing w:line="295" w:lineRule="auto"/>
        <w:ind w:left="440" w:right="1"/>
        <w:rPr>
          <w:rFonts w:hint="eastAsia" w:ascii="MS UI Gothic" w:eastAsia="MS UI Gothic"/>
        </w:rPr>
      </w:pPr>
      <w:r>
        <w:t>在施工中发生危及人身安全的紧急情况时</w:t>
      </w:r>
      <w:r>
        <w:rPr>
          <w:rFonts w:hint="eastAsia" w:ascii="MS UI Gothic" w:eastAsia="MS UI Gothic"/>
          <w:w w:val="80"/>
        </w:rPr>
        <w:t xml:space="preserve">ꎬ </w:t>
      </w:r>
      <w:r>
        <w:t>作业人员有权立即停止作业或者在</w:t>
      </w:r>
      <w:r>
        <w:rPr>
          <w:w w:val="105"/>
        </w:rPr>
        <w:t>采取必要的应急措施后撤离危险区域</w:t>
      </w:r>
      <w:r>
        <w:rPr>
          <w:rFonts w:hint="eastAsia" w:ascii="MS UI Gothic" w:eastAsia="MS UI Gothic"/>
          <w:w w:val="80"/>
        </w:rPr>
        <w:t>ꎮ</w:t>
      </w:r>
    </w:p>
    <w:p>
      <w:pPr>
        <w:pStyle w:val="6"/>
        <w:spacing w:line="295" w:lineRule="auto"/>
        <w:ind w:left="440" w:right="1"/>
        <w:rPr>
          <w:rFonts w:hint="eastAsia" w:ascii="MS UI Gothic" w:eastAsia="MS UI Gothic"/>
        </w:rPr>
      </w:pPr>
      <w:r>
        <w:t>第三十三条 作业人员应当遵守安全施工的强制性标准</w:t>
      </w:r>
      <w:r>
        <w:rPr>
          <w:rFonts w:hint="eastAsia" w:ascii="MS UI Gothic" w:eastAsia="MS UI Gothic"/>
          <w:w w:val="80"/>
        </w:rPr>
        <w:t xml:space="preserve">、 </w:t>
      </w:r>
      <w:r>
        <w:t>规章制度和操作规程</w:t>
      </w:r>
      <w:r>
        <w:rPr>
          <w:rFonts w:hint="eastAsia" w:ascii="MS UI Gothic" w:eastAsia="MS UI Gothic"/>
          <w:w w:val="80"/>
        </w:rPr>
        <w:t xml:space="preserve">ꎬ </w:t>
      </w:r>
      <w:r>
        <w:t>正确使用安全防护用具</w:t>
      </w:r>
      <w:r>
        <w:rPr>
          <w:rFonts w:hint="eastAsia" w:ascii="MS UI Gothic" w:eastAsia="MS UI Gothic"/>
          <w:w w:val="80"/>
        </w:rPr>
        <w:t xml:space="preserve">、 </w:t>
      </w:r>
      <w:r>
        <w:t>机械设备等</w:t>
      </w:r>
      <w:r>
        <w:rPr>
          <w:rFonts w:hint="eastAsia" w:ascii="MS UI Gothic" w:eastAsia="MS UI Gothic"/>
          <w:w w:val="80"/>
        </w:rPr>
        <w:t>ꎮ</w:t>
      </w:r>
    </w:p>
    <w:p>
      <w:pPr>
        <w:pStyle w:val="6"/>
        <w:spacing w:line="295" w:lineRule="auto"/>
        <w:ind w:left="440" w:right="1"/>
      </w:pPr>
      <w:r>
        <w:rPr>
          <w:w w:val="105"/>
        </w:rPr>
        <w:t>第三十四条 施工单位采购</w:t>
      </w:r>
      <w:r>
        <w:rPr>
          <w:rFonts w:hint="eastAsia" w:ascii="MS UI Gothic" w:eastAsia="MS UI Gothic"/>
          <w:w w:val="80"/>
        </w:rPr>
        <w:t xml:space="preserve">、 </w:t>
      </w:r>
      <w:r>
        <w:rPr>
          <w:w w:val="105"/>
        </w:rPr>
        <w:t>租赁的安全防护用具</w:t>
      </w:r>
      <w:r>
        <w:rPr>
          <w:rFonts w:hint="eastAsia" w:ascii="MS UI Gothic" w:eastAsia="MS UI Gothic"/>
          <w:w w:val="80"/>
        </w:rPr>
        <w:t xml:space="preserve">、 </w:t>
      </w:r>
      <w:r>
        <w:rPr>
          <w:w w:val="105"/>
        </w:rPr>
        <w:t>机械设备</w:t>
      </w:r>
      <w:r>
        <w:rPr>
          <w:rFonts w:hint="eastAsia" w:ascii="MS UI Gothic" w:eastAsia="MS UI Gothic"/>
          <w:w w:val="80"/>
        </w:rPr>
        <w:t xml:space="preserve">、 </w:t>
      </w:r>
      <w:r>
        <w:rPr>
          <w:w w:val="105"/>
        </w:rPr>
        <w:t>施工机具及配件</w:t>
      </w:r>
      <w:r>
        <w:rPr>
          <w:rFonts w:hint="eastAsia" w:ascii="MS UI Gothic" w:eastAsia="MS UI Gothic"/>
          <w:w w:val="80"/>
        </w:rPr>
        <w:t xml:space="preserve">ꎬ </w:t>
      </w:r>
      <w:r>
        <w:rPr>
          <w:w w:val="105"/>
        </w:rPr>
        <w:t xml:space="preserve">应当具有生产 </w:t>
      </w:r>
      <w:r>
        <w:rPr>
          <w:rFonts w:hint="eastAsia" w:ascii="MS UI Gothic" w:eastAsia="MS UI Gothic"/>
          <w:w w:val="150"/>
        </w:rPr>
        <w:t xml:space="preserve">( </w:t>
      </w:r>
      <w:r>
        <w:rPr>
          <w:w w:val="105"/>
        </w:rPr>
        <w:t>制造</w:t>
      </w:r>
      <w:r>
        <w:rPr>
          <w:rFonts w:hint="eastAsia" w:ascii="MS UI Gothic" w:eastAsia="MS UI Gothic"/>
          <w:w w:val="150"/>
        </w:rPr>
        <w:t xml:space="preserve">) </w:t>
      </w:r>
      <w:r>
        <w:rPr>
          <w:w w:val="105"/>
        </w:rPr>
        <w:t>许可证</w:t>
      </w:r>
      <w:r>
        <w:rPr>
          <w:rFonts w:hint="eastAsia" w:ascii="MS UI Gothic" w:eastAsia="MS UI Gothic"/>
          <w:w w:val="80"/>
        </w:rPr>
        <w:t xml:space="preserve">、  </w:t>
      </w:r>
      <w:r>
        <w:rPr>
          <w:w w:val="105"/>
        </w:rPr>
        <w:t>产</w:t>
      </w:r>
    </w:p>
    <w:p>
      <w:pPr>
        <w:pStyle w:val="6"/>
        <w:spacing w:before="124" w:line="295" w:lineRule="auto"/>
        <w:ind w:left="381" w:right="126" w:firstLine="0"/>
        <w:rPr>
          <w:rFonts w:hint="eastAsia" w:ascii="MS UI Gothic" w:eastAsia="MS UI Gothic"/>
        </w:rPr>
      </w:pPr>
      <w:r>
        <w:br w:type="column"/>
      </w:r>
      <w:r>
        <w:t>品合格证</w:t>
      </w:r>
      <w:r>
        <w:rPr>
          <w:rFonts w:hint="eastAsia" w:ascii="MS UI Gothic" w:eastAsia="MS UI Gothic"/>
          <w:w w:val="80"/>
        </w:rPr>
        <w:t xml:space="preserve">ꎬ </w:t>
      </w:r>
      <w:r>
        <w:t>并在进入施工现场前进行查验</w:t>
      </w:r>
      <w:r>
        <w:rPr>
          <w:rFonts w:hint="eastAsia" w:ascii="MS UI Gothic" w:eastAsia="MS UI Gothic"/>
          <w:w w:val="80"/>
        </w:rPr>
        <w:t>ꎮ</w:t>
      </w:r>
    </w:p>
    <w:p>
      <w:pPr>
        <w:pStyle w:val="6"/>
        <w:spacing w:line="295" w:lineRule="auto"/>
        <w:ind w:left="381" w:right="126"/>
        <w:rPr>
          <w:rFonts w:hint="eastAsia" w:ascii="MS UI Gothic" w:eastAsia="MS UI Gothic"/>
        </w:rPr>
      </w:pPr>
      <w:r>
        <w:t>施工现场的安全防护用具</w:t>
      </w:r>
      <w:r>
        <w:rPr>
          <w:rFonts w:hint="eastAsia" w:ascii="MS UI Gothic" w:eastAsia="MS UI Gothic"/>
          <w:w w:val="80"/>
        </w:rPr>
        <w:t xml:space="preserve">、 </w:t>
      </w:r>
      <w:r>
        <w:t>机械设备</w:t>
      </w:r>
      <w:r>
        <w:rPr>
          <w:rFonts w:hint="eastAsia" w:ascii="MS UI Gothic" w:eastAsia="MS UI Gothic"/>
          <w:w w:val="80"/>
        </w:rPr>
        <w:t xml:space="preserve">、 </w:t>
      </w:r>
      <w:r>
        <w:t>施工机具及配件必须由专人管理</w:t>
      </w:r>
      <w:r>
        <w:rPr>
          <w:rFonts w:hint="eastAsia" w:ascii="MS UI Gothic" w:eastAsia="MS UI Gothic"/>
          <w:w w:val="80"/>
        </w:rPr>
        <w:t xml:space="preserve">ꎬ </w:t>
      </w:r>
      <w:r>
        <w:t>定期进行检查</w:t>
      </w:r>
      <w:r>
        <w:rPr>
          <w:rFonts w:hint="eastAsia" w:ascii="MS UI Gothic" w:eastAsia="MS UI Gothic"/>
          <w:w w:val="80"/>
        </w:rPr>
        <w:t xml:space="preserve">、 </w:t>
      </w:r>
      <w:r>
        <w:t>维修和保养</w:t>
      </w:r>
      <w:r>
        <w:rPr>
          <w:rFonts w:hint="eastAsia" w:ascii="MS UI Gothic" w:eastAsia="MS UI Gothic"/>
          <w:w w:val="80"/>
        </w:rPr>
        <w:t xml:space="preserve">ꎬ </w:t>
      </w:r>
      <w:r>
        <w:t>建立相应的资料档案</w:t>
      </w:r>
      <w:r>
        <w:rPr>
          <w:rFonts w:hint="eastAsia" w:ascii="MS UI Gothic" w:eastAsia="MS UI Gothic"/>
          <w:w w:val="80"/>
        </w:rPr>
        <w:t xml:space="preserve">ꎬ </w:t>
      </w:r>
      <w:r>
        <w:t>并按照国家有关规定及时报废</w:t>
      </w:r>
      <w:r>
        <w:rPr>
          <w:rFonts w:hint="eastAsia" w:ascii="MS UI Gothic" w:eastAsia="MS UI Gothic"/>
          <w:w w:val="80"/>
        </w:rPr>
        <w:t>ꎮ</w:t>
      </w:r>
    </w:p>
    <w:p>
      <w:pPr>
        <w:pStyle w:val="6"/>
        <w:spacing w:line="295" w:lineRule="auto"/>
        <w:ind w:left="381" w:right="126"/>
        <w:rPr>
          <w:rFonts w:hint="eastAsia" w:ascii="MS UI Gothic" w:eastAsia="MS UI Gothic"/>
        </w:rPr>
      </w:pPr>
      <w:r>
        <w:t>第三十五条 施工单位在使用施工起重机械和整体提升脚手架</w:t>
      </w:r>
      <w:r>
        <w:rPr>
          <w:rFonts w:hint="eastAsia" w:ascii="MS UI Gothic" w:eastAsia="MS UI Gothic"/>
          <w:w w:val="80"/>
        </w:rPr>
        <w:t xml:space="preserve">、 </w:t>
      </w:r>
      <w:r>
        <w:t>模板等自升式架设设施前</w:t>
      </w:r>
      <w:r>
        <w:rPr>
          <w:rFonts w:hint="eastAsia" w:ascii="MS UI Gothic" w:eastAsia="MS UI Gothic"/>
          <w:w w:val="80"/>
        </w:rPr>
        <w:t xml:space="preserve">ꎬ </w:t>
      </w:r>
      <w:r>
        <w:t>应当组织有关单位进行验收</w:t>
      </w:r>
      <w:r>
        <w:rPr>
          <w:rFonts w:hint="eastAsia" w:ascii="MS UI Gothic" w:eastAsia="MS UI Gothic"/>
          <w:w w:val="80"/>
        </w:rPr>
        <w:t xml:space="preserve">ꎬ </w:t>
      </w:r>
      <w:r>
        <w:t>也可以委托具有相应资质的检验检测机构进行验收</w:t>
      </w:r>
      <w:r>
        <w:rPr>
          <w:rFonts w:hint="eastAsia" w:ascii="MS UI Gothic" w:eastAsia="MS UI Gothic"/>
          <w:w w:val="80"/>
        </w:rPr>
        <w:t xml:space="preserve">ꎻ </w:t>
      </w:r>
      <w:r>
        <w:t>使用承租的机械设备和施工机具及配件的</w:t>
      </w:r>
      <w:r>
        <w:rPr>
          <w:rFonts w:hint="eastAsia" w:ascii="MS UI Gothic" w:eastAsia="MS UI Gothic"/>
          <w:w w:val="80"/>
        </w:rPr>
        <w:t xml:space="preserve">ꎬ </w:t>
      </w:r>
      <w:r>
        <w:t>由施工总承包单位</w:t>
      </w:r>
      <w:r>
        <w:rPr>
          <w:rFonts w:hint="eastAsia" w:ascii="MS UI Gothic" w:eastAsia="MS UI Gothic"/>
          <w:w w:val="80"/>
        </w:rPr>
        <w:t xml:space="preserve">、 </w:t>
      </w:r>
      <w:r>
        <w:t>分包单位</w:t>
      </w:r>
      <w:r>
        <w:rPr>
          <w:rFonts w:hint="eastAsia" w:ascii="MS UI Gothic" w:eastAsia="MS UI Gothic"/>
          <w:w w:val="80"/>
        </w:rPr>
        <w:t xml:space="preserve">、 </w:t>
      </w:r>
      <w:r>
        <w:t>出租单位和安装单位共同进行验收</w:t>
      </w:r>
      <w:r>
        <w:rPr>
          <w:rFonts w:hint="eastAsia" w:ascii="MS UI Gothic" w:eastAsia="MS UI Gothic"/>
          <w:w w:val="80"/>
        </w:rPr>
        <w:t xml:space="preserve">ꎮ </w:t>
      </w:r>
      <w:r>
        <w:t>验收合格的方可使用</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rPr>
          <w:rFonts w:hint="eastAsia" w:ascii="MS UI Gothic" w:hAnsi="MS UI Gothic" w:eastAsia="MS UI Gothic"/>
          <w:w w:val="80"/>
        </w:rPr>
        <w:t xml:space="preserve">« </w:t>
      </w:r>
      <w:r>
        <w:t>特种设备安全监察条例</w:t>
      </w:r>
      <w:r>
        <w:rPr>
          <w:rFonts w:hint="eastAsia" w:ascii="MS UI Gothic" w:hAnsi="MS UI Gothic" w:eastAsia="MS UI Gothic"/>
          <w:w w:val="80"/>
        </w:rPr>
        <w:t xml:space="preserve">» </w:t>
      </w:r>
      <w:r>
        <w:t>规定的施工起重机械</w:t>
      </w:r>
      <w:r>
        <w:rPr>
          <w:rFonts w:hint="eastAsia" w:ascii="MS UI Gothic" w:hAnsi="MS UI Gothic" w:eastAsia="MS UI Gothic"/>
          <w:w w:val="80"/>
        </w:rPr>
        <w:t xml:space="preserve">ꎬ </w:t>
      </w:r>
      <w:r>
        <w:t>在验收前应当经有相应资质的检验检测机构监督检验合格</w:t>
      </w:r>
      <w:r>
        <w:rPr>
          <w:rFonts w:hint="eastAsia" w:ascii="MS UI Gothic" w:hAnsi="MS UI Gothic" w:eastAsia="MS UI Gothic"/>
          <w:w w:val="80"/>
        </w:rPr>
        <w:t>ꎮ</w:t>
      </w:r>
    </w:p>
    <w:p>
      <w:pPr>
        <w:pStyle w:val="6"/>
        <w:spacing w:line="295" w:lineRule="auto"/>
        <w:ind w:left="381" w:right="126"/>
        <w:rPr>
          <w:rFonts w:hint="eastAsia" w:ascii="MS UI Gothic" w:eastAsia="MS UI Gothic"/>
        </w:rPr>
      </w:pPr>
      <w:r>
        <w:t>施工单位应当自施工起重机械和整体提升脚手架</w:t>
      </w:r>
      <w:r>
        <w:rPr>
          <w:rFonts w:hint="eastAsia" w:ascii="MS UI Gothic" w:eastAsia="MS UI Gothic"/>
        </w:rPr>
        <w:t xml:space="preserve">、 </w:t>
      </w:r>
      <w:r>
        <w:t xml:space="preserve">模板等自升式架设设施验收合格之日起 </w:t>
      </w:r>
      <w:r>
        <w:rPr>
          <w:rFonts w:hint="eastAsia" w:ascii="MS UI Gothic" w:eastAsia="MS UI Gothic"/>
          <w:w w:val="85"/>
        </w:rPr>
        <w:t xml:space="preserve">３０ </w:t>
      </w:r>
      <w:r>
        <w:t>日内</w:t>
      </w:r>
      <w:r>
        <w:rPr>
          <w:rFonts w:hint="eastAsia" w:ascii="MS UI Gothic" w:eastAsia="MS UI Gothic"/>
          <w:w w:val="85"/>
        </w:rPr>
        <w:t xml:space="preserve">ꎬ </w:t>
      </w:r>
      <w:r>
        <w:t>向建设行政主管部门或者其他有关部门登记</w:t>
      </w:r>
      <w:r>
        <w:rPr>
          <w:rFonts w:hint="eastAsia" w:ascii="MS UI Gothic" w:eastAsia="MS UI Gothic"/>
          <w:w w:val="85"/>
        </w:rPr>
        <w:t xml:space="preserve">ꎮ </w:t>
      </w:r>
      <w:r>
        <w:t>登记标志应当置于或者附着于该设备的显著位置</w:t>
      </w:r>
      <w:r>
        <w:rPr>
          <w:rFonts w:hint="eastAsia" w:ascii="MS UI Gothic" w:eastAsia="MS UI Gothic"/>
          <w:w w:val="85"/>
        </w:rPr>
        <w:t>ꎮ</w:t>
      </w:r>
    </w:p>
    <w:p>
      <w:pPr>
        <w:pStyle w:val="6"/>
        <w:spacing w:line="295" w:lineRule="auto"/>
        <w:ind w:left="381" w:right="126"/>
        <w:rPr>
          <w:rFonts w:hint="eastAsia" w:ascii="MS UI Gothic" w:eastAsia="MS UI Gothic"/>
        </w:rPr>
      </w:pPr>
      <w:r>
        <w:rPr>
          <w:w w:val="105"/>
        </w:rPr>
        <w:t>第三十六条 施工单位的主要负责人</w:t>
      </w:r>
      <w:r>
        <w:rPr>
          <w:rFonts w:hint="eastAsia" w:ascii="MS UI Gothic" w:eastAsia="MS UI Gothic"/>
          <w:w w:val="80"/>
        </w:rPr>
        <w:t xml:space="preserve">、 </w:t>
      </w:r>
      <w:r>
        <w:rPr>
          <w:w w:val="105"/>
        </w:rPr>
        <w:t>项目负责人</w:t>
      </w:r>
      <w:r>
        <w:rPr>
          <w:rFonts w:hint="eastAsia" w:ascii="MS UI Gothic" w:eastAsia="MS UI Gothic"/>
          <w:w w:val="80"/>
        </w:rPr>
        <w:t xml:space="preserve">、 </w:t>
      </w:r>
      <w:r>
        <w:rPr>
          <w:w w:val="105"/>
        </w:rPr>
        <w:t>专职安全生产管理人员</w:t>
      </w:r>
      <w:r>
        <w:t>应当经建设行政主管部门或者其他有关部</w:t>
      </w:r>
      <w:r>
        <w:rPr>
          <w:w w:val="105"/>
        </w:rPr>
        <w:t>门考核合格后方可任职</w:t>
      </w:r>
      <w:r>
        <w:rPr>
          <w:rFonts w:hint="eastAsia" w:ascii="MS UI Gothic" w:eastAsia="MS UI Gothic"/>
          <w:w w:val="80"/>
        </w:rPr>
        <w:t>ꎮ</w:t>
      </w:r>
    </w:p>
    <w:p>
      <w:pPr>
        <w:pStyle w:val="6"/>
        <w:spacing w:line="295" w:lineRule="auto"/>
        <w:ind w:left="381" w:right="126"/>
        <w:rPr>
          <w:rFonts w:hint="eastAsia" w:ascii="MS UI Gothic" w:eastAsia="MS UI Gothic"/>
        </w:rPr>
      </w:pPr>
      <w:r>
        <w:t>施工单位应当对管理人员和作业人员每年至少进行一次安全生产教育培训</w:t>
      </w:r>
      <w:r>
        <w:rPr>
          <w:rFonts w:hint="eastAsia" w:ascii="MS UI Gothic" w:eastAsia="MS UI Gothic"/>
          <w:w w:val="80"/>
        </w:rPr>
        <w:t xml:space="preserve">ꎬ </w:t>
      </w:r>
      <w:r>
        <w:t>其教育培训情况记入个人工作档案</w:t>
      </w:r>
      <w:r>
        <w:rPr>
          <w:rFonts w:hint="eastAsia" w:ascii="MS UI Gothic" w:eastAsia="MS UI Gothic"/>
          <w:w w:val="80"/>
        </w:rPr>
        <w:t xml:space="preserve">ꎮ </w:t>
      </w:r>
      <w:r>
        <w:t>安全生产教育培训考核不合格的人员</w:t>
      </w:r>
      <w:r>
        <w:rPr>
          <w:rFonts w:hint="eastAsia" w:ascii="MS UI Gothic" w:eastAsia="MS UI Gothic"/>
          <w:w w:val="80"/>
        </w:rPr>
        <w:t xml:space="preserve">ꎬ </w:t>
      </w:r>
      <w:r>
        <w:t>不得上岗</w:t>
      </w:r>
      <w:r>
        <w:rPr>
          <w:rFonts w:hint="eastAsia" w:ascii="MS UI Gothic" w:eastAsia="MS UI Gothic"/>
          <w:w w:val="80"/>
        </w:rPr>
        <w:t>ꎮ</w:t>
      </w:r>
    </w:p>
    <w:p>
      <w:pPr>
        <w:pStyle w:val="6"/>
        <w:spacing w:line="295" w:lineRule="auto"/>
        <w:ind w:left="381" w:right="126"/>
        <w:rPr>
          <w:rFonts w:hint="eastAsia" w:ascii="MS UI Gothic" w:eastAsia="MS UI Gothic"/>
        </w:rPr>
      </w:pPr>
      <w:r>
        <w:t>第三十七条 作业人员进入新的岗位或者新的施工现场前</w:t>
      </w:r>
      <w:r>
        <w:rPr>
          <w:rFonts w:hint="eastAsia" w:ascii="MS UI Gothic" w:eastAsia="MS UI Gothic"/>
          <w:w w:val="80"/>
        </w:rPr>
        <w:t xml:space="preserve">ꎬ </w:t>
      </w:r>
      <w:r>
        <w:t>应当接受安全生产教育培训</w:t>
      </w:r>
      <w:r>
        <w:rPr>
          <w:rFonts w:hint="eastAsia" w:ascii="MS UI Gothic" w:eastAsia="MS UI Gothic"/>
          <w:w w:val="80"/>
        </w:rPr>
        <w:t xml:space="preserve">ꎮ </w:t>
      </w:r>
      <w:r>
        <w:t>未经教育培训或者教育培训考核不合格的人员</w:t>
      </w:r>
      <w:r>
        <w:rPr>
          <w:rFonts w:hint="eastAsia" w:ascii="MS UI Gothic" w:eastAsia="MS UI Gothic"/>
          <w:w w:val="80"/>
        </w:rPr>
        <w:t xml:space="preserve">ꎬ </w:t>
      </w:r>
      <w:r>
        <w:t>不得上岗作业</w:t>
      </w:r>
      <w:r>
        <w:rPr>
          <w:rFonts w:hint="eastAsia" w:ascii="MS UI Gothic" w:eastAsia="MS UI Gothic"/>
          <w:w w:val="80"/>
        </w:rPr>
        <w:t>ꎮ</w:t>
      </w:r>
    </w:p>
    <w:p>
      <w:pPr>
        <w:pStyle w:val="6"/>
        <w:spacing w:line="295" w:lineRule="auto"/>
        <w:ind w:left="381" w:right="126"/>
        <w:rPr>
          <w:rFonts w:hint="eastAsia" w:ascii="MS UI Gothic" w:eastAsia="MS UI Gothic"/>
        </w:rPr>
      </w:pPr>
      <w:r>
        <w:t>施工单位在采用新技术</w:t>
      </w:r>
      <w:r>
        <w:rPr>
          <w:rFonts w:hint="eastAsia" w:ascii="MS UI Gothic" w:eastAsia="MS UI Gothic"/>
          <w:w w:val="80"/>
        </w:rPr>
        <w:t xml:space="preserve">、 </w:t>
      </w:r>
      <w:r>
        <w:t>新工艺</w:t>
      </w:r>
      <w:r>
        <w:rPr>
          <w:rFonts w:hint="eastAsia" w:ascii="MS UI Gothic" w:eastAsia="MS UI Gothic"/>
          <w:w w:val="80"/>
        </w:rPr>
        <w:t xml:space="preserve">、 </w:t>
      </w:r>
      <w:r>
        <w:t>新设备</w:t>
      </w:r>
      <w:r>
        <w:rPr>
          <w:rFonts w:hint="eastAsia" w:ascii="MS UI Gothic" w:eastAsia="MS UI Gothic"/>
          <w:w w:val="80"/>
        </w:rPr>
        <w:t xml:space="preserve">、 </w:t>
      </w:r>
      <w:r>
        <w:t>新材料时</w:t>
      </w:r>
      <w:r>
        <w:rPr>
          <w:rFonts w:hint="eastAsia" w:ascii="MS UI Gothic" w:eastAsia="MS UI Gothic"/>
          <w:w w:val="80"/>
        </w:rPr>
        <w:t xml:space="preserve">ꎬ </w:t>
      </w:r>
      <w:r>
        <w:t>应当对作业人员进行相应的安全生产教育培训</w:t>
      </w:r>
      <w:r>
        <w:rPr>
          <w:rFonts w:hint="eastAsia" w:ascii="MS UI Gothic" w:eastAsia="MS UI Gothic"/>
          <w:w w:val="80"/>
        </w:rPr>
        <w:t>ꎮ</w:t>
      </w:r>
    </w:p>
    <w:p>
      <w:pPr>
        <w:pStyle w:val="6"/>
        <w:tabs>
          <w:tab w:val="left" w:pos="2057"/>
        </w:tabs>
        <w:spacing w:line="254" w:lineRule="exact"/>
        <w:ind w:left="800" w:firstLine="0"/>
        <w:jc w:val="left"/>
      </w:pPr>
      <w:r>
        <w:rPr>
          <w:spacing w:val="3"/>
          <w:w w:val="105"/>
        </w:rPr>
        <w:t>第三十八</w:t>
      </w:r>
      <w:r>
        <w:rPr>
          <w:w w:val="105"/>
        </w:rPr>
        <w:t>条</w:t>
      </w:r>
      <w:r>
        <w:rPr>
          <w:w w:val="105"/>
        </w:rPr>
        <w:tab/>
      </w:r>
      <w:r>
        <w:rPr>
          <w:spacing w:val="3"/>
          <w:w w:val="105"/>
        </w:rPr>
        <w:t>施工单位应当为施工</w:t>
      </w:r>
      <w:r>
        <w:rPr>
          <w:w w:val="105"/>
        </w:rPr>
        <w:t>现</w:t>
      </w:r>
    </w:p>
    <w:p>
      <w:pPr>
        <w:spacing w:after="0" w:line="254"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４３６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06" o:spid="_x0000_s2306" o:spt="203" style="height:2.15pt;width:398.25pt;" coordsize="7965,43">
            <o:lock v:ext="edit"/>
            <v:line id="_x0000_s2307" o:spid="_x0000_s2307" o:spt="20" style="position:absolute;left:0;top:39;height:0;width:7965;" stroked="t" coordsize="21600,21600">
              <v:path arrowok="t"/>
              <v:fill focussize="0,0"/>
              <v:stroke weight="0.388031496062992pt" color="#231F20"/>
              <v:imagedata o:title=""/>
              <o:lock v:ext="edit"/>
            </v:line>
            <v:line id="_x0000_s2308" o:spid="_x0000_s230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icrosoft Yi Baiti"/>
          <w:sz w:val="10"/>
        </w:rPr>
      </w:pPr>
    </w:p>
    <w:p>
      <w:pPr>
        <w:spacing w:after="0"/>
        <w:jc w:val="left"/>
        <w:rPr>
          <w:rFonts w:ascii="Microsoft Yi Baiti"/>
          <w:sz w:val="10"/>
        </w:rPr>
        <w:sectPr>
          <w:type w:val="continuous"/>
          <w:pgSz w:w="10500" w:h="14750"/>
          <w:pgMar w:top="1400" w:right="980" w:bottom="280" w:left="980" w:header="720" w:footer="720" w:gutter="0"/>
        </w:sectPr>
      </w:pPr>
    </w:p>
    <w:p>
      <w:pPr>
        <w:pStyle w:val="6"/>
        <w:spacing w:before="85" w:line="295" w:lineRule="auto"/>
        <w:ind w:right="38" w:firstLine="0"/>
        <w:jc w:val="left"/>
        <w:rPr>
          <w:rFonts w:hint="eastAsia" w:ascii="MS UI Gothic" w:eastAsia="MS UI Gothic"/>
        </w:rPr>
      </w:pPr>
      <w:r>
        <w:t>场从事危险作业的人员办理意外伤害保险</w:t>
      </w:r>
      <w:r>
        <w:rPr>
          <w:rFonts w:hint="eastAsia" w:ascii="MS UI Gothic" w:eastAsia="MS UI Gothic"/>
          <w:w w:val="80"/>
        </w:rPr>
        <w:t>ꎮ</w:t>
      </w:r>
    </w:p>
    <w:p>
      <w:pPr>
        <w:pStyle w:val="6"/>
        <w:spacing w:line="295" w:lineRule="auto"/>
        <w:ind w:right="38"/>
        <w:rPr>
          <w:rFonts w:hint="eastAsia" w:ascii="MS UI Gothic" w:eastAsia="MS UI Gothic"/>
        </w:rPr>
      </w:pPr>
      <w:r>
        <w:t>意外伤害保险费由施工单位支付</w:t>
      </w:r>
      <w:r>
        <w:rPr>
          <w:rFonts w:hint="eastAsia" w:ascii="MS UI Gothic" w:eastAsia="MS UI Gothic"/>
          <w:w w:val="80"/>
        </w:rPr>
        <w:t xml:space="preserve">ꎮ </w:t>
      </w:r>
      <w:r>
        <w:t>实行施工总承包的</w:t>
      </w:r>
      <w:r>
        <w:rPr>
          <w:rFonts w:hint="eastAsia" w:ascii="MS UI Gothic" w:eastAsia="MS UI Gothic"/>
          <w:w w:val="80"/>
        </w:rPr>
        <w:t xml:space="preserve">ꎬ </w:t>
      </w:r>
      <w:r>
        <w:t>由总承包单位支付意外伤害保险费</w:t>
      </w:r>
      <w:r>
        <w:rPr>
          <w:rFonts w:hint="eastAsia" w:ascii="MS UI Gothic" w:eastAsia="MS UI Gothic"/>
          <w:w w:val="80"/>
        </w:rPr>
        <w:t xml:space="preserve">ꎮ </w:t>
      </w:r>
      <w:r>
        <w:t>意外伤害保险期限自建设工程开工之日起至竣工验收合格止</w:t>
      </w:r>
      <w:r>
        <w:rPr>
          <w:rFonts w:hint="eastAsia" w:ascii="MS UI Gothic" w:eastAsia="MS UI Gothic"/>
          <w:w w:val="80"/>
        </w:rPr>
        <w:t>ꎮ</w:t>
      </w:r>
    </w:p>
    <w:p>
      <w:pPr>
        <w:pStyle w:val="6"/>
        <w:tabs>
          <w:tab w:val="left" w:pos="1906"/>
        </w:tabs>
        <w:spacing w:before="152"/>
        <w:ind w:left="1067" w:firstLine="0"/>
        <w:jc w:val="left"/>
      </w:pPr>
      <w:r>
        <w:rPr>
          <w:spacing w:val="3"/>
          <w:w w:val="105"/>
        </w:rPr>
        <w:t>第五</w:t>
      </w:r>
      <w:r>
        <w:rPr>
          <w:w w:val="105"/>
        </w:rPr>
        <w:t>章</w:t>
      </w:r>
      <w:r>
        <w:rPr>
          <w:w w:val="105"/>
        </w:rPr>
        <w:tab/>
      </w:r>
      <w:r>
        <w:rPr>
          <w:w w:val="105"/>
        </w:rPr>
        <w:t>监</w:t>
      </w:r>
      <w:r>
        <w:rPr>
          <w:spacing w:val="-38"/>
          <w:w w:val="105"/>
        </w:rPr>
        <w:t xml:space="preserve"> </w:t>
      </w:r>
      <w:r>
        <w:rPr>
          <w:w w:val="105"/>
        </w:rPr>
        <w:t>督</w:t>
      </w:r>
      <w:r>
        <w:rPr>
          <w:spacing w:val="-38"/>
          <w:w w:val="105"/>
        </w:rPr>
        <w:t xml:space="preserve"> </w:t>
      </w:r>
      <w:r>
        <w:rPr>
          <w:w w:val="105"/>
        </w:rPr>
        <w:t>管</w:t>
      </w:r>
      <w:r>
        <w:rPr>
          <w:spacing w:val="-38"/>
          <w:w w:val="105"/>
        </w:rPr>
        <w:t xml:space="preserve"> </w:t>
      </w:r>
      <w:r>
        <w:rPr>
          <w:w w:val="105"/>
        </w:rPr>
        <w:t>理</w:t>
      </w:r>
    </w:p>
    <w:p>
      <w:pPr>
        <w:pStyle w:val="6"/>
        <w:spacing w:before="11"/>
        <w:ind w:left="0" w:firstLine="0"/>
        <w:jc w:val="left"/>
        <w:rPr>
          <w:sz w:val="16"/>
        </w:rPr>
      </w:pPr>
    </w:p>
    <w:p>
      <w:pPr>
        <w:pStyle w:val="6"/>
        <w:spacing w:line="295" w:lineRule="auto"/>
        <w:ind w:right="38"/>
        <w:rPr>
          <w:rFonts w:hint="eastAsia" w:ascii="MS UI Gothic" w:hAnsi="MS UI Gothic" w:eastAsia="MS UI Gothic"/>
        </w:rPr>
      </w:pPr>
      <w:r>
        <w:rPr>
          <w:spacing w:val="2"/>
          <w:w w:val="105"/>
        </w:rPr>
        <w:t>第三十九条 国务院负责安全生产监</w:t>
      </w:r>
      <w:r>
        <w:rPr>
          <w:spacing w:val="4"/>
          <w:w w:val="105"/>
        </w:rPr>
        <w:t xml:space="preserve">督管理的部门依照 </w:t>
      </w:r>
      <w:r>
        <w:rPr>
          <w:rFonts w:hint="eastAsia" w:ascii="MS UI Gothic" w:hAnsi="MS UI Gothic" w:eastAsia="MS UI Gothic"/>
          <w:spacing w:val="-17"/>
          <w:w w:val="80"/>
        </w:rPr>
        <w:t xml:space="preserve">« </w:t>
      </w:r>
      <w:r>
        <w:rPr>
          <w:spacing w:val="14"/>
          <w:w w:val="105"/>
        </w:rPr>
        <w:t>中华人民共和国安</w:t>
      </w:r>
      <w:r>
        <w:rPr>
          <w:spacing w:val="7"/>
          <w:w w:val="105"/>
        </w:rPr>
        <w:t>全生产法</w:t>
      </w:r>
      <w:r>
        <w:rPr>
          <w:rFonts w:hint="eastAsia" w:ascii="MS UI Gothic" w:hAnsi="MS UI Gothic" w:eastAsia="MS UI Gothic"/>
          <w:spacing w:val="11"/>
          <w:w w:val="80"/>
        </w:rPr>
        <w:t xml:space="preserve">» </w:t>
      </w:r>
      <w:r>
        <w:rPr>
          <w:spacing w:val="13"/>
          <w:w w:val="105"/>
        </w:rPr>
        <w:t>的规定</w:t>
      </w:r>
      <w:r>
        <w:rPr>
          <w:rFonts w:hint="eastAsia" w:ascii="MS UI Gothic" w:hAnsi="MS UI Gothic" w:eastAsia="MS UI Gothic"/>
          <w:spacing w:val="6"/>
          <w:w w:val="80"/>
        </w:rPr>
        <w:t xml:space="preserve">ꎬ </w:t>
      </w:r>
      <w:r>
        <w:rPr>
          <w:spacing w:val="18"/>
          <w:w w:val="105"/>
        </w:rPr>
        <w:t>对全国建设工程安</w:t>
      </w:r>
      <w:r>
        <w:rPr>
          <w:spacing w:val="3"/>
          <w:w w:val="105"/>
        </w:rPr>
        <w:t>全生产工作实施综合监督管理</w:t>
      </w:r>
      <w:r>
        <w:rPr>
          <w:rFonts w:hint="eastAsia" w:ascii="MS UI Gothic" w:hAnsi="MS UI Gothic" w:eastAsia="MS UI Gothic"/>
          <w:w w:val="80"/>
        </w:rPr>
        <w:t>ꎮ</w:t>
      </w:r>
    </w:p>
    <w:p>
      <w:pPr>
        <w:pStyle w:val="6"/>
        <w:spacing w:line="295" w:lineRule="auto"/>
        <w:ind w:right="38"/>
        <w:rPr>
          <w:rFonts w:hint="eastAsia" w:ascii="MS UI Gothic" w:hAnsi="MS UI Gothic" w:eastAsia="MS UI Gothic"/>
        </w:rPr>
      </w:pPr>
      <w:r>
        <w:t>县级以上地方人民政府负责安全生产</w:t>
      </w:r>
      <w:r>
        <w:rPr>
          <w:w w:val="105"/>
        </w:rPr>
        <w:t xml:space="preserve">监督管理的部门依照 </w:t>
      </w:r>
      <w:r>
        <w:rPr>
          <w:rFonts w:hint="eastAsia" w:ascii="MS UI Gothic" w:hAnsi="MS UI Gothic" w:eastAsia="MS UI Gothic"/>
          <w:w w:val="80"/>
        </w:rPr>
        <w:t xml:space="preserve">« </w:t>
      </w:r>
      <w:r>
        <w:rPr>
          <w:w w:val="105"/>
        </w:rPr>
        <w:t>中华人民共和国安全生产法</w:t>
      </w:r>
      <w:r>
        <w:rPr>
          <w:rFonts w:hint="eastAsia" w:ascii="MS UI Gothic" w:hAnsi="MS UI Gothic" w:eastAsia="MS UI Gothic"/>
          <w:w w:val="80"/>
        </w:rPr>
        <w:t xml:space="preserve">» </w:t>
      </w:r>
      <w:r>
        <w:rPr>
          <w:w w:val="105"/>
        </w:rPr>
        <w:t>的规定</w:t>
      </w:r>
      <w:r>
        <w:rPr>
          <w:rFonts w:hint="eastAsia" w:ascii="MS UI Gothic" w:hAnsi="MS UI Gothic" w:eastAsia="MS UI Gothic"/>
          <w:w w:val="80"/>
        </w:rPr>
        <w:t xml:space="preserve">ꎬ </w:t>
      </w:r>
      <w:r>
        <w:rPr>
          <w:w w:val="105"/>
        </w:rPr>
        <w:t>对本行政区域内</w:t>
      </w:r>
      <w:r>
        <w:t>建设工程安全生产工作实施综合监督</w:t>
      </w:r>
      <w:r>
        <w:rPr>
          <w:w w:val="105"/>
        </w:rPr>
        <w:t>管理</w:t>
      </w:r>
      <w:r>
        <w:rPr>
          <w:rFonts w:hint="eastAsia" w:ascii="MS UI Gothic" w:hAnsi="MS UI Gothic" w:eastAsia="MS UI Gothic"/>
          <w:w w:val="80"/>
        </w:rPr>
        <w:t>ꎮ</w:t>
      </w:r>
    </w:p>
    <w:p>
      <w:pPr>
        <w:pStyle w:val="6"/>
        <w:spacing w:line="295" w:lineRule="auto"/>
        <w:ind w:right="38"/>
        <w:rPr>
          <w:rFonts w:hint="eastAsia" w:ascii="MS UI Gothic" w:eastAsia="MS UI Gothic"/>
        </w:rPr>
      </w:pPr>
      <w:r>
        <w:rPr>
          <w:w w:val="105"/>
        </w:rPr>
        <w:t>第四十条 国务院建设行政主管部门</w:t>
      </w:r>
      <w:r>
        <w:t>对全国的建设工程安全生产实施监督管</w:t>
      </w:r>
      <w:r>
        <w:rPr>
          <w:w w:val="105"/>
        </w:rPr>
        <w:t>理</w:t>
      </w:r>
      <w:r>
        <w:rPr>
          <w:rFonts w:hint="eastAsia" w:ascii="MS UI Gothic" w:eastAsia="MS UI Gothic"/>
          <w:w w:val="80"/>
        </w:rPr>
        <w:t xml:space="preserve">ꎮ </w:t>
      </w:r>
      <w:r>
        <w:rPr>
          <w:w w:val="105"/>
        </w:rPr>
        <w:t>国务院铁路</w:t>
      </w:r>
      <w:r>
        <w:rPr>
          <w:rFonts w:hint="eastAsia" w:ascii="MS UI Gothic" w:eastAsia="MS UI Gothic"/>
          <w:w w:val="80"/>
        </w:rPr>
        <w:t xml:space="preserve">、 </w:t>
      </w:r>
      <w:r>
        <w:rPr>
          <w:w w:val="105"/>
        </w:rPr>
        <w:t>交通</w:t>
      </w:r>
      <w:r>
        <w:rPr>
          <w:rFonts w:hint="eastAsia" w:ascii="MS UI Gothic" w:eastAsia="MS UI Gothic"/>
          <w:w w:val="80"/>
        </w:rPr>
        <w:t xml:space="preserve">、 </w:t>
      </w:r>
      <w:r>
        <w:rPr>
          <w:w w:val="105"/>
        </w:rPr>
        <w:t>水利等有关部门</w:t>
      </w:r>
      <w:r>
        <w:t>按照国务院规定的职责分工</w:t>
      </w:r>
      <w:r>
        <w:rPr>
          <w:rFonts w:hint="eastAsia" w:ascii="MS UI Gothic" w:eastAsia="MS UI Gothic"/>
          <w:w w:val="80"/>
        </w:rPr>
        <w:t xml:space="preserve">ꎬ </w:t>
      </w:r>
      <w:r>
        <w:t>负责有关专</w:t>
      </w:r>
      <w:r>
        <w:rPr>
          <w:w w:val="105"/>
        </w:rPr>
        <w:t>业建设工程安全生产的监督管理</w:t>
      </w:r>
      <w:r>
        <w:rPr>
          <w:rFonts w:hint="eastAsia" w:ascii="MS UI Gothic" w:eastAsia="MS UI Gothic"/>
          <w:w w:val="80"/>
        </w:rPr>
        <w:t>ꎮ</w:t>
      </w:r>
    </w:p>
    <w:p>
      <w:pPr>
        <w:pStyle w:val="6"/>
        <w:spacing w:line="295" w:lineRule="auto"/>
        <w:ind w:right="38"/>
        <w:rPr>
          <w:rFonts w:hint="eastAsia" w:ascii="MS UI Gothic" w:eastAsia="MS UI Gothic"/>
        </w:rPr>
      </w:pPr>
      <w:r>
        <w:t>县级以上地方人民政府建设行政主管部门对本行政区域内的建设工程安全生产实施监督管理</w:t>
      </w:r>
      <w:r>
        <w:rPr>
          <w:rFonts w:hint="eastAsia" w:ascii="MS UI Gothic" w:eastAsia="MS UI Gothic"/>
          <w:w w:val="80"/>
        </w:rPr>
        <w:t xml:space="preserve">ꎮ </w:t>
      </w:r>
      <w:r>
        <w:t>县级以上地方人民政府交</w:t>
      </w:r>
      <w:r>
        <w:rPr>
          <w:w w:val="105"/>
        </w:rPr>
        <w:t>通</w:t>
      </w:r>
      <w:r>
        <w:rPr>
          <w:rFonts w:hint="eastAsia" w:ascii="MS UI Gothic" w:eastAsia="MS UI Gothic"/>
          <w:w w:val="80"/>
        </w:rPr>
        <w:t xml:space="preserve">、 </w:t>
      </w:r>
      <w:r>
        <w:rPr>
          <w:w w:val="105"/>
        </w:rPr>
        <w:t>水利等有关部门在各自的职责范围</w:t>
      </w:r>
      <w:r>
        <w:t>内</w:t>
      </w:r>
      <w:r>
        <w:rPr>
          <w:rFonts w:hint="eastAsia" w:ascii="MS UI Gothic" w:eastAsia="MS UI Gothic"/>
          <w:w w:val="80"/>
        </w:rPr>
        <w:t xml:space="preserve">ꎬ </w:t>
      </w:r>
      <w:r>
        <w:t>负责本行政区域内的专业建设工程安</w:t>
      </w:r>
      <w:r>
        <w:rPr>
          <w:w w:val="105"/>
        </w:rPr>
        <w:t>全生产的监督管理</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第四十一条 建设行政主管部门和其他有关部门应当将本条例第十条</w:t>
      </w:r>
      <w:r>
        <w:rPr>
          <w:rFonts w:hint="eastAsia" w:ascii="MS UI Gothic" w:eastAsia="MS UI Gothic"/>
          <w:w w:val="80"/>
        </w:rPr>
        <w:t xml:space="preserve">、 </w:t>
      </w:r>
      <w:r>
        <w:rPr>
          <w:w w:val="105"/>
        </w:rPr>
        <w:t>第十一</w:t>
      </w:r>
      <w:r>
        <w:t>条规定的有关资料的主要内容抄送同级负</w:t>
      </w:r>
      <w:r>
        <w:rPr>
          <w:w w:val="105"/>
        </w:rPr>
        <w:t>责安全生产监督管理的部门</w:t>
      </w:r>
      <w:r>
        <w:rPr>
          <w:rFonts w:hint="eastAsia" w:ascii="MS UI Gothic" w:eastAsia="MS UI Gothic"/>
          <w:w w:val="80"/>
        </w:rPr>
        <w:t>ꎮ</w:t>
      </w:r>
    </w:p>
    <w:p>
      <w:pPr>
        <w:pStyle w:val="6"/>
        <w:spacing w:line="295" w:lineRule="auto"/>
        <w:ind w:right="38"/>
        <w:rPr>
          <w:rFonts w:hint="eastAsia" w:ascii="MS UI Gothic" w:eastAsia="MS UI Gothic"/>
        </w:rPr>
      </w:pPr>
      <w:r>
        <w:t>第四十二条 建设行政主管部门在审核发放施工许可证时</w:t>
      </w:r>
      <w:r>
        <w:rPr>
          <w:rFonts w:hint="eastAsia" w:ascii="MS UI Gothic" w:eastAsia="MS UI Gothic"/>
          <w:w w:val="80"/>
        </w:rPr>
        <w:t xml:space="preserve">ꎬ </w:t>
      </w:r>
      <w:r>
        <w:t>应当对建设工程是否有安全施工措施进行审查</w:t>
      </w:r>
      <w:r>
        <w:rPr>
          <w:rFonts w:hint="eastAsia" w:ascii="MS UI Gothic" w:eastAsia="MS UI Gothic"/>
          <w:w w:val="80"/>
        </w:rPr>
        <w:t xml:space="preserve">ꎬ </w:t>
      </w:r>
      <w:r>
        <w:t>对没有安全施工措施的</w:t>
      </w:r>
      <w:r>
        <w:rPr>
          <w:rFonts w:hint="eastAsia" w:ascii="MS UI Gothic" w:eastAsia="MS UI Gothic"/>
          <w:w w:val="80"/>
        </w:rPr>
        <w:t xml:space="preserve">ꎬ </w:t>
      </w:r>
      <w:r>
        <w:t>不得颁发施工许可证</w:t>
      </w:r>
      <w:r>
        <w:rPr>
          <w:rFonts w:hint="eastAsia" w:ascii="MS UI Gothic" w:eastAsia="MS UI Gothic"/>
          <w:w w:val="80"/>
        </w:rPr>
        <w:t>ꎮ</w:t>
      </w:r>
    </w:p>
    <w:p>
      <w:pPr>
        <w:pStyle w:val="6"/>
        <w:spacing w:line="295" w:lineRule="auto"/>
        <w:ind w:right="38"/>
        <w:rPr>
          <w:rFonts w:hint="eastAsia" w:ascii="MS UI Gothic" w:eastAsia="MS UI Gothic"/>
        </w:rPr>
      </w:pPr>
      <w:r>
        <w:t>建设行政主管部门或者其他有关部门对建设工程是否有安全施工措施进行审查</w:t>
      </w:r>
      <w:r>
        <w:rPr>
          <w:w w:val="105"/>
        </w:rPr>
        <w:t>时</w:t>
      </w:r>
      <w:r>
        <w:rPr>
          <w:rFonts w:hint="eastAsia" w:ascii="MS UI Gothic" w:eastAsia="MS UI Gothic"/>
          <w:w w:val="80"/>
        </w:rPr>
        <w:t xml:space="preserve">ꎬ </w:t>
      </w:r>
      <w:r>
        <w:rPr>
          <w:w w:val="105"/>
        </w:rPr>
        <w:t>不得收取费用</w:t>
      </w:r>
      <w:r>
        <w:rPr>
          <w:rFonts w:hint="eastAsia" w:ascii="MS UI Gothic" w:eastAsia="MS UI Gothic"/>
          <w:w w:val="80"/>
        </w:rPr>
        <w:t>ꎮ</w:t>
      </w:r>
    </w:p>
    <w:p>
      <w:pPr>
        <w:pStyle w:val="6"/>
        <w:spacing w:before="85" w:line="295" w:lineRule="auto"/>
        <w:ind w:right="442"/>
        <w:rPr>
          <w:rFonts w:hint="eastAsia" w:ascii="MS UI Gothic" w:eastAsia="MS UI Gothic"/>
        </w:rPr>
      </w:pPr>
      <w:r>
        <w:br w:type="column"/>
      </w:r>
      <w:r>
        <w:rPr>
          <w:w w:val="105"/>
        </w:rPr>
        <w:t>第四十三条 县级以上人民政府负有</w:t>
      </w:r>
      <w:r>
        <w:t>建设工程安全生产监督管理职责的部门在各自的职责范围内履行安全监督检查职责</w:t>
      </w:r>
      <w:r>
        <w:rPr>
          <w:w w:val="105"/>
        </w:rPr>
        <w:t>时</w:t>
      </w:r>
      <w:r>
        <w:rPr>
          <w:rFonts w:hint="eastAsia" w:ascii="MS UI Gothic" w:eastAsia="MS UI Gothic"/>
          <w:w w:val="80"/>
        </w:rPr>
        <w:t xml:space="preserve">ꎬ </w:t>
      </w:r>
      <w:r>
        <w:rPr>
          <w:w w:val="105"/>
        </w:rPr>
        <w:t>有权采取下列措施</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要求被检查单位提供有关建设工程安全生产的文件和资料</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进入被检查单位施工现场进行</w:t>
      </w:r>
      <w:r>
        <w:rPr>
          <w:w w:val="110"/>
        </w:rPr>
        <w:t>检查</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纠正施工中违反安全生产要求</w:t>
      </w:r>
      <w:r>
        <w:rPr>
          <w:spacing w:val="3"/>
          <w:w w:val="110"/>
        </w:rPr>
        <w:t>的行为</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5"/>
          <w:w w:val="105"/>
        </w:rPr>
        <w:t>四</w:t>
      </w:r>
      <w:r>
        <w:rPr>
          <w:rFonts w:hint="eastAsia" w:ascii="MS UI Gothic" w:eastAsia="MS UI Gothic"/>
          <w:spacing w:val="12"/>
          <w:w w:val="150"/>
        </w:rPr>
        <w:t xml:space="preserve">) </w:t>
      </w:r>
      <w:r>
        <w:rPr>
          <w:spacing w:val="23"/>
          <w:w w:val="105"/>
        </w:rPr>
        <w:t>对检查中发现的安全事故隐</w:t>
      </w:r>
      <w:r>
        <w:rPr>
          <w:spacing w:val="3"/>
        </w:rPr>
        <w:t>患</w:t>
      </w:r>
      <w:r>
        <w:rPr>
          <w:rFonts w:hint="eastAsia" w:ascii="MS UI Gothic" w:eastAsia="MS UI Gothic"/>
          <w:spacing w:val="23"/>
          <w:w w:val="80"/>
        </w:rPr>
        <w:t xml:space="preserve">ꎬ </w:t>
      </w:r>
      <w:r>
        <w:rPr>
          <w:spacing w:val="3"/>
        </w:rPr>
        <w:t>责令立即排除</w:t>
      </w:r>
      <w:r>
        <w:rPr>
          <w:rFonts w:hint="eastAsia" w:ascii="MS UI Gothic" w:eastAsia="MS UI Gothic"/>
          <w:spacing w:val="23"/>
          <w:w w:val="80"/>
        </w:rPr>
        <w:t xml:space="preserve">ꎻ </w:t>
      </w:r>
      <w:r>
        <w:rPr>
          <w:spacing w:val="2"/>
        </w:rPr>
        <w:t>重大安全事故隐患排</w:t>
      </w:r>
      <w:r>
        <w:rPr>
          <w:spacing w:val="3"/>
        </w:rPr>
        <w:t>除前或者排除过程中无法保证安全的</w:t>
      </w:r>
      <w:r>
        <w:rPr>
          <w:rFonts w:hint="eastAsia" w:ascii="MS UI Gothic" w:eastAsia="MS UI Gothic"/>
          <w:spacing w:val="20"/>
          <w:w w:val="80"/>
        </w:rPr>
        <w:t xml:space="preserve">ꎬ </w:t>
      </w:r>
      <w:r>
        <w:t>责</w:t>
      </w:r>
      <w:r>
        <w:rPr>
          <w:spacing w:val="2"/>
        </w:rPr>
        <w:t>令从危险区域内撤出作业人员或者暂时停</w:t>
      </w:r>
      <w:r>
        <w:rPr>
          <w:spacing w:val="3"/>
          <w:w w:val="105"/>
        </w:rPr>
        <w:t>止施工</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第四十四条 建设行政主管部门或者</w:t>
      </w:r>
      <w:r>
        <w:t>其他有关部门可以将施工现场的监督检查委托给建设工程安全监督机构具体实施</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第四十五条 国家对严重危及施工安全的工艺</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材料实行淘汰制度</w:t>
      </w:r>
      <w:r>
        <w:rPr>
          <w:rFonts w:hint="eastAsia" w:ascii="MS UI Gothic" w:eastAsia="MS UI Gothic"/>
          <w:w w:val="80"/>
        </w:rPr>
        <w:t xml:space="preserve">ꎮ </w:t>
      </w:r>
      <w:r>
        <w:rPr>
          <w:w w:val="105"/>
        </w:rPr>
        <w:t>具</w:t>
      </w:r>
      <w:r>
        <w:t>体目录由国务院建设行政主管部门会同国</w:t>
      </w:r>
      <w:r>
        <w:rPr>
          <w:w w:val="105"/>
        </w:rPr>
        <w:t>务院其他有关部门制定并公布</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第四十六条 县级以上人民政府建设</w:t>
      </w:r>
      <w:r>
        <w:t>行政主管部门和其他有关部门应当及时受理对建设工程生产安全事故及安全事故隐</w:t>
      </w:r>
      <w:r>
        <w:rPr>
          <w:w w:val="105"/>
        </w:rPr>
        <w:t>患的检举</w:t>
      </w:r>
      <w:r>
        <w:rPr>
          <w:rFonts w:hint="eastAsia" w:ascii="MS UI Gothic" w:eastAsia="MS UI Gothic"/>
          <w:w w:val="80"/>
        </w:rPr>
        <w:t xml:space="preserve">、 </w:t>
      </w:r>
      <w:r>
        <w:rPr>
          <w:w w:val="105"/>
        </w:rPr>
        <w:t>控告和投诉</w:t>
      </w:r>
      <w:r>
        <w:rPr>
          <w:rFonts w:hint="eastAsia" w:ascii="MS UI Gothic" w:eastAsia="MS UI Gothic"/>
          <w:w w:val="80"/>
        </w:rPr>
        <w:t>ꎮ</w:t>
      </w:r>
    </w:p>
    <w:p>
      <w:pPr>
        <w:pStyle w:val="6"/>
        <w:tabs>
          <w:tab w:val="left" w:pos="1487"/>
        </w:tabs>
        <w:spacing w:before="137" w:line="295" w:lineRule="auto"/>
        <w:ind w:left="1277" w:right="966" w:hanging="629"/>
        <w:jc w:val="left"/>
      </w:pPr>
      <w:r>
        <w:rPr>
          <w:spacing w:val="3"/>
          <w:w w:val="105"/>
        </w:rPr>
        <w:t>第六</w:t>
      </w:r>
      <w:r>
        <w:rPr>
          <w:w w:val="105"/>
        </w:rPr>
        <w:t>章</w:t>
      </w:r>
      <w:r>
        <w:rPr>
          <w:w w:val="105"/>
        </w:rPr>
        <w:tab/>
      </w:r>
      <w:r>
        <w:rPr>
          <w:w w:val="105"/>
        </w:rPr>
        <w:tab/>
      </w:r>
      <w:r>
        <w:rPr>
          <w:spacing w:val="3"/>
        </w:rPr>
        <w:t>生产安全事故的应</w:t>
      </w:r>
      <w:r>
        <w:rPr>
          <w:spacing w:val="-11"/>
        </w:rPr>
        <w:t>急</w:t>
      </w:r>
      <w:r>
        <w:rPr>
          <w:spacing w:val="3"/>
          <w:w w:val="105"/>
        </w:rPr>
        <w:t>救援和调查处</w:t>
      </w:r>
      <w:r>
        <w:rPr>
          <w:w w:val="105"/>
        </w:rPr>
        <w:t>理</w:t>
      </w:r>
    </w:p>
    <w:p>
      <w:pPr>
        <w:pStyle w:val="6"/>
        <w:spacing w:before="155" w:line="295" w:lineRule="auto"/>
        <w:ind w:right="442"/>
        <w:rPr>
          <w:rFonts w:hint="eastAsia" w:ascii="MS UI Gothic" w:eastAsia="MS UI Gothic"/>
        </w:rPr>
      </w:pPr>
      <w:r>
        <w:rPr>
          <w:spacing w:val="2"/>
          <w:w w:val="105"/>
        </w:rPr>
        <w:t>第四十七条 县级以上地方人民政府</w:t>
      </w:r>
      <w:r>
        <w:rPr>
          <w:spacing w:val="2"/>
        </w:rPr>
        <w:t>建设行政主管部门应当根据本级人民政府</w:t>
      </w:r>
      <w:r>
        <w:rPr>
          <w:spacing w:val="3"/>
        </w:rPr>
        <w:t>的要求</w:t>
      </w:r>
      <w:r>
        <w:rPr>
          <w:rFonts w:hint="eastAsia" w:ascii="MS UI Gothic" w:eastAsia="MS UI Gothic"/>
          <w:spacing w:val="20"/>
          <w:w w:val="80"/>
        </w:rPr>
        <w:t xml:space="preserve">ꎬ </w:t>
      </w:r>
      <w:r>
        <w:rPr>
          <w:spacing w:val="2"/>
        </w:rPr>
        <w:t>制定本行政区域内建设工程特大</w:t>
      </w:r>
      <w:r>
        <w:rPr>
          <w:spacing w:val="3"/>
          <w:w w:val="105"/>
        </w:rPr>
        <w:t>生产安全事故应急救援预案</w:t>
      </w:r>
      <w:r>
        <w:rPr>
          <w:rFonts w:hint="eastAsia" w:ascii="MS UI Gothic" w:eastAsia="MS UI Gothic"/>
          <w:w w:val="80"/>
        </w:rPr>
        <w:t>ꎮ</w:t>
      </w:r>
    </w:p>
    <w:p>
      <w:pPr>
        <w:pStyle w:val="6"/>
        <w:spacing w:line="295" w:lineRule="auto"/>
        <w:ind w:right="442"/>
        <w:rPr>
          <w:rFonts w:hint="eastAsia" w:ascii="MS UI Gothic" w:eastAsia="MS UI Gothic"/>
        </w:rPr>
      </w:pPr>
      <w:r>
        <w:t>第四十八条 施工单位应当制定本单位生产安全事故应急救援预案</w:t>
      </w:r>
      <w:r>
        <w:rPr>
          <w:rFonts w:hint="eastAsia" w:ascii="MS UI Gothic" w:eastAsia="MS UI Gothic"/>
          <w:w w:val="80"/>
        </w:rPr>
        <w:t xml:space="preserve">ꎬ </w:t>
      </w:r>
      <w:r>
        <w:t>建立应急救援组织或者配备应急救援人员</w:t>
      </w:r>
      <w:r>
        <w:rPr>
          <w:rFonts w:hint="eastAsia" w:ascii="MS UI Gothic" w:eastAsia="MS UI Gothic"/>
          <w:w w:val="80"/>
        </w:rPr>
        <w:t xml:space="preserve">ꎬ </w:t>
      </w:r>
      <w:r>
        <w:t>配备必要的应急救援器材</w:t>
      </w:r>
      <w:r>
        <w:rPr>
          <w:rFonts w:hint="eastAsia" w:ascii="MS UI Gothic" w:eastAsia="MS UI Gothic"/>
          <w:w w:val="80"/>
        </w:rPr>
        <w:t xml:space="preserve">、 </w:t>
      </w:r>
      <w:r>
        <w:t>设备</w:t>
      </w:r>
      <w:r>
        <w:rPr>
          <w:rFonts w:hint="eastAsia" w:ascii="MS UI Gothic" w:eastAsia="MS UI Gothic"/>
          <w:w w:val="80"/>
        </w:rPr>
        <w:t xml:space="preserve">ꎬ </w:t>
      </w:r>
      <w:r>
        <w:t>并定期组织演练</w:t>
      </w:r>
      <w:r>
        <w:rPr>
          <w:rFonts w:hint="eastAsia" w:ascii="MS UI Gothic" w:eastAsia="MS UI Gothic"/>
          <w:w w:val="80"/>
        </w:rPr>
        <w:t>ꎮ</w:t>
      </w:r>
    </w:p>
    <w:p>
      <w:pPr>
        <w:pStyle w:val="6"/>
        <w:tabs>
          <w:tab w:val="left" w:pos="1801"/>
        </w:tabs>
        <w:spacing w:line="252" w:lineRule="exact"/>
        <w:ind w:left="543" w:firstLine="0"/>
        <w:jc w:val="left"/>
      </w:pPr>
      <w:r>
        <w:rPr>
          <w:spacing w:val="3"/>
          <w:w w:val="105"/>
        </w:rPr>
        <w:t>第四十九</w:t>
      </w:r>
      <w:r>
        <w:rPr>
          <w:w w:val="105"/>
        </w:rPr>
        <w:t>条</w:t>
      </w:r>
      <w:r>
        <w:rPr>
          <w:w w:val="105"/>
        </w:rPr>
        <w:tab/>
      </w:r>
      <w:r>
        <w:rPr>
          <w:spacing w:val="3"/>
          <w:w w:val="105"/>
        </w:rPr>
        <w:t>施工单位应当根据建</w:t>
      </w:r>
      <w:r>
        <w:rPr>
          <w:w w:val="105"/>
        </w:rPr>
        <w:t>设</w:t>
      </w:r>
    </w:p>
    <w:p>
      <w:pPr>
        <w:spacing w:after="0" w:line="252"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４３７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09" o:spid="_x0000_s2309" o:spt="203" style="height:2.15pt;width:398.25pt;" coordsize="7965,43">
            <o:lock v:ext="edit"/>
            <v:line id="_x0000_s2310" o:spid="_x0000_s2310" o:spt="20" style="position:absolute;left:0;top:39;height:0;width:7965;" stroked="t" coordsize="21600,21600">
              <v:path arrowok="t"/>
              <v:fill focussize="0,0"/>
              <v:stroke weight="0.388031496062992pt" color="#231F20"/>
              <v:imagedata o:title=""/>
              <o:lock v:ext="edit"/>
            </v:line>
            <v:line id="_x0000_s2311" o:spid="_x0000_s231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工程施工的特点</w:t>
      </w:r>
      <w:r>
        <w:rPr>
          <w:rFonts w:hint="eastAsia" w:ascii="MS UI Gothic" w:eastAsia="MS UI Gothic"/>
          <w:w w:val="80"/>
        </w:rPr>
        <w:t xml:space="preserve">、 </w:t>
      </w:r>
      <w:r>
        <w:t>范围</w:t>
      </w:r>
      <w:r>
        <w:rPr>
          <w:rFonts w:hint="eastAsia" w:ascii="MS UI Gothic" w:eastAsia="MS UI Gothic"/>
          <w:w w:val="80"/>
        </w:rPr>
        <w:t xml:space="preserve">ꎬ </w:t>
      </w:r>
      <w:r>
        <w:t>对施工现场易发生重大事故的部位</w:t>
      </w:r>
      <w:r>
        <w:rPr>
          <w:rFonts w:hint="eastAsia" w:ascii="MS UI Gothic" w:eastAsia="MS UI Gothic"/>
          <w:w w:val="80"/>
        </w:rPr>
        <w:t xml:space="preserve">、 </w:t>
      </w:r>
      <w:r>
        <w:t>环节进行监控</w:t>
      </w:r>
      <w:r>
        <w:rPr>
          <w:rFonts w:hint="eastAsia" w:ascii="MS UI Gothic" w:eastAsia="MS UI Gothic"/>
          <w:w w:val="80"/>
        </w:rPr>
        <w:t xml:space="preserve">ꎬ </w:t>
      </w:r>
      <w:r>
        <w:t>制定施工现场生产安全事故应急救援预案</w:t>
      </w:r>
      <w:r>
        <w:rPr>
          <w:rFonts w:hint="eastAsia" w:ascii="MS UI Gothic" w:eastAsia="MS UI Gothic"/>
          <w:w w:val="80"/>
        </w:rPr>
        <w:t xml:space="preserve">ꎮ </w:t>
      </w:r>
      <w:r>
        <w:t>实行施工总承包的</w:t>
      </w:r>
      <w:r>
        <w:rPr>
          <w:rFonts w:hint="eastAsia" w:ascii="MS UI Gothic" w:eastAsia="MS UI Gothic"/>
          <w:w w:val="80"/>
        </w:rPr>
        <w:t xml:space="preserve">ꎬ </w:t>
      </w:r>
      <w:r>
        <w:t>由总承包单位统一组织编制建设工程生产安全事故应急救援预案</w:t>
      </w:r>
      <w:r>
        <w:rPr>
          <w:rFonts w:hint="eastAsia" w:ascii="MS UI Gothic" w:eastAsia="MS UI Gothic"/>
          <w:w w:val="80"/>
        </w:rPr>
        <w:t xml:space="preserve">ꎬ </w:t>
      </w:r>
      <w:r>
        <w:t>工程总承包单位和分包单位按照应急救援预案</w:t>
      </w:r>
      <w:r>
        <w:rPr>
          <w:rFonts w:hint="eastAsia" w:ascii="MS UI Gothic" w:eastAsia="MS UI Gothic"/>
          <w:w w:val="80"/>
        </w:rPr>
        <w:t xml:space="preserve">ꎬ </w:t>
      </w:r>
      <w:r>
        <w:t>各自建立应急救援组织或者配备应急救援人员</w:t>
      </w:r>
      <w:r>
        <w:rPr>
          <w:rFonts w:hint="eastAsia" w:ascii="MS UI Gothic" w:eastAsia="MS UI Gothic"/>
          <w:w w:val="80"/>
        </w:rPr>
        <w:t xml:space="preserve">ꎬ </w:t>
      </w:r>
      <w:r>
        <w:t>配备救援器材</w:t>
      </w:r>
      <w:r>
        <w:rPr>
          <w:rFonts w:hint="eastAsia" w:ascii="MS UI Gothic" w:eastAsia="MS UI Gothic"/>
          <w:w w:val="80"/>
        </w:rPr>
        <w:t xml:space="preserve">、 </w:t>
      </w:r>
      <w:r>
        <w:t>设备</w:t>
      </w:r>
      <w:r>
        <w:rPr>
          <w:rFonts w:hint="eastAsia" w:ascii="MS UI Gothic" w:eastAsia="MS UI Gothic"/>
          <w:w w:val="80"/>
        </w:rPr>
        <w:t>ꎬ</w:t>
      </w:r>
      <w:r>
        <w:t>并定期组织演练</w:t>
      </w:r>
      <w:r>
        <w:rPr>
          <w:rFonts w:hint="eastAsia" w:ascii="MS UI Gothic" w:eastAsia="MS UI Gothic"/>
          <w:w w:val="80"/>
        </w:rPr>
        <w:t>ꎮ</w:t>
      </w:r>
    </w:p>
    <w:p>
      <w:pPr>
        <w:pStyle w:val="6"/>
        <w:spacing w:line="295" w:lineRule="auto"/>
        <w:ind w:left="440" w:right="1"/>
        <w:rPr>
          <w:rFonts w:hint="eastAsia" w:ascii="MS UI Gothic" w:eastAsia="MS UI Gothic"/>
        </w:rPr>
      </w:pPr>
      <w:r>
        <w:t>第五十条 施工单位发生生产安全事故</w:t>
      </w:r>
      <w:r>
        <w:rPr>
          <w:rFonts w:hint="eastAsia" w:ascii="MS UI Gothic" w:eastAsia="MS UI Gothic"/>
          <w:w w:val="80"/>
        </w:rPr>
        <w:t xml:space="preserve">ꎬ </w:t>
      </w:r>
      <w:r>
        <w:t>应当按照国家有关伤亡事故报告和调查处理的规定</w:t>
      </w:r>
      <w:r>
        <w:rPr>
          <w:rFonts w:hint="eastAsia" w:ascii="MS UI Gothic" w:eastAsia="MS UI Gothic"/>
          <w:w w:val="80"/>
        </w:rPr>
        <w:t xml:space="preserve">ꎬ </w:t>
      </w:r>
      <w:r>
        <w:t>及时</w:t>
      </w:r>
      <w:r>
        <w:rPr>
          <w:rFonts w:hint="eastAsia" w:ascii="MS UI Gothic" w:eastAsia="MS UI Gothic"/>
          <w:w w:val="80"/>
        </w:rPr>
        <w:t xml:space="preserve">、 </w:t>
      </w:r>
      <w:r>
        <w:t>如实地向负责安全生产监督管理的部门</w:t>
      </w:r>
      <w:r>
        <w:rPr>
          <w:rFonts w:hint="eastAsia" w:ascii="MS UI Gothic" w:eastAsia="MS UI Gothic"/>
          <w:w w:val="80"/>
        </w:rPr>
        <w:t xml:space="preserve">、 </w:t>
      </w:r>
      <w:r>
        <w:t>建设行政主管部门或者其他有关部门报告</w:t>
      </w:r>
      <w:r>
        <w:rPr>
          <w:rFonts w:hint="eastAsia" w:ascii="MS UI Gothic" w:eastAsia="MS UI Gothic"/>
          <w:w w:val="80"/>
        </w:rPr>
        <w:t xml:space="preserve">ꎻ </w:t>
      </w:r>
      <w:r>
        <w:t>特种设备发生事故的</w:t>
      </w:r>
      <w:r>
        <w:rPr>
          <w:rFonts w:hint="eastAsia" w:ascii="MS UI Gothic" w:eastAsia="MS UI Gothic"/>
          <w:w w:val="80"/>
        </w:rPr>
        <w:t xml:space="preserve">ꎬ </w:t>
      </w:r>
      <w:r>
        <w:t>还应当同时向特种设备安全监督管理部门报告</w:t>
      </w:r>
      <w:r>
        <w:rPr>
          <w:rFonts w:hint="eastAsia" w:ascii="MS UI Gothic" w:eastAsia="MS UI Gothic"/>
          <w:w w:val="80"/>
        </w:rPr>
        <w:t xml:space="preserve">ꎮ </w:t>
      </w:r>
      <w:r>
        <w:t>接到报告的部门应当按照国家有关规定</w:t>
      </w:r>
      <w:r>
        <w:rPr>
          <w:rFonts w:hint="eastAsia" w:ascii="MS UI Gothic" w:eastAsia="MS UI Gothic"/>
          <w:w w:val="80"/>
        </w:rPr>
        <w:t xml:space="preserve">ꎬ </w:t>
      </w:r>
      <w:r>
        <w:t>如实上报</w:t>
      </w:r>
      <w:r>
        <w:rPr>
          <w:rFonts w:hint="eastAsia" w:ascii="MS UI Gothic" w:eastAsia="MS UI Gothic"/>
          <w:w w:val="80"/>
        </w:rPr>
        <w:t>ꎮ</w:t>
      </w:r>
    </w:p>
    <w:p>
      <w:pPr>
        <w:pStyle w:val="6"/>
        <w:spacing w:line="295" w:lineRule="auto"/>
        <w:ind w:left="440" w:right="1"/>
        <w:rPr>
          <w:rFonts w:hint="eastAsia" w:ascii="MS UI Gothic" w:eastAsia="MS UI Gothic"/>
        </w:rPr>
      </w:pPr>
      <w:r>
        <w:t>实行施工总承包的建设工程</w:t>
      </w:r>
      <w:r>
        <w:rPr>
          <w:rFonts w:hint="eastAsia" w:ascii="MS UI Gothic" w:eastAsia="MS UI Gothic"/>
          <w:w w:val="80"/>
        </w:rPr>
        <w:t xml:space="preserve">ꎬ </w:t>
      </w:r>
      <w:r>
        <w:t>由总承包单位负责上报事故</w:t>
      </w:r>
      <w:r>
        <w:rPr>
          <w:rFonts w:hint="eastAsia" w:ascii="MS UI Gothic" w:eastAsia="MS UI Gothic"/>
          <w:w w:val="80"/>
        </w:rPr>
        <w:t>ꎮ</w:t>
      </w:r>
    </w:p>
    <w:p>
      <w:pPr>
        <w:pStyle w:val="6"/>
        <w:spacing w:line="295" w:lineRule="auto"/>
        <w:ind w:left="440"/>
        <w:rPr>
          <w:rFonts w:hint="eastAsia" w:ascii="MS UI Gothic" w:eastAsia="MS UI Gothic"/>
        </w:rPr>
      </w:pPr>
      <w:r>
        <w:rPr>
          <w:spacing w:val="10"/>
        </w:rPr>
        <w:t>第五十一条 发生生产安全事故后</w:t>
      </w:r>
      <w:r>
        <w:rPr>
          <w:rFonts w:hint="eastAsia" w:ascii="MS UI Gothic" w:eastAsia="MS UI Gothic"/>
          <w:w w:val="80"/>
        </w:rPr>
        <w:t>ꎬ</w:t>
      </w:r>
      <w:r>
        <w:rPr>
          <w:spacing w:val="3"/>
        </w:rPr>
        <w:t>施工单位应当采取措施防止事故扩大</w:t>
      </w:r>
      <w:r>
        <w:rPr>
          <w:rFonts w:hint="eastAsia" w:ascii="MS UI Gothic" w:eastAsia="MS UI Gothic"/>
          <w:spacing w:val="21"/>
          <w:w w:val="80"/>
        </w:rPr>
        <w:t xml:space="preserve">ꎬ </w:t>
      </w:r>
      <w:r>
        <w:t>保</w:t>
      </w:r>
      <w:r>
        <w:rPr>
          <w:spacing w:val="3"/>
        </w:rPr>
        <w:t>护事故现场</w:t>
      </w:r>
      <w:r>
        <w:rPr>
          <w:rFonts w:hint="eastAsia" w:ascii="MS UI Gothic" w:eastAsia="MS UI Gothic"/>
          <w:spacing w:val="23"/>
          <w:w w:val="80"/>
        </w:rPr>
        <w:t xml:space="preserve">ꎮ </w:t>
      </w:r>
      <w:r>
        <w:rPr>
          <w:spacing w:val="3"/>
        </w:rPr>
        <w:t>需要移动现场物品时</w:t>
      </w:r>
      <w:r>
        <w:rPr>
          <w:rFonts w:hint="eastAsia" w:ascii="MS UI Gothic" w:eastAsia="MS UI Gothic"/>
          <w:spacing w:val="23"/>
          <w:w w:val="80"/>
        </w:rPr>
        <w:t xml:space="preserve">ꎬ </w:t>
      </w:r>
      <w:r>
        <w:rPr>
          <w:spacing w:val="1"/>
        </w:rPr>
        <w:t>应当</w:t>
      </w:r>
      <w:r>
        <w:rPr>
          <w:spacing w:val="27"/>
        </w:rPr>
        <w:t>做出标记和书面记录</w:t>
      </w:r>
      <w:r>
        <w:rPr>
          <w:rFonts w:hint="eastAsia" w:ascii="MS UI Gothic" w:eastAsia="MS UI Gothic"/>
          <w:spacing w:val="3"/>
          <w:w w:val="80"/>
        </w:rPr>
        <w:t xml:space="preserve">ꎬ </w:t>
      </w:r>
      <w:r>
        <w:rPr>
          <w:spacing w:val="30"/>
        </w:rPr>
        <w:t>妥善保管有关</w:t>
      </w:r>
      <w:r>
        <w:rPr>
          <w:spacing w:val="3"/>
        </w:rPr>
        <w:t>证物</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第五十二条 建设工程生产安全事故</w:t>
      </w:r>
      <w:r>
        <w:rPr>
          <w:spacing w:val="3"/>
        </w:rPr>
        <w:t>的调查</w:t>
      </w:r>
      <w:r>
        <w:rPr>
          <w:rFonts w:hint="eastAsia" w:ascii="MS UI Gothic" w:eastAsia="MS UI Gothic"/>
          <w:spacing w:val="20"/>
          <w:w w:val="80"/>
        </w:rPr>
        <w:t xml:space="preserve">、 </w:t>
      </w:r>
      <w:r>
        <w:rPr>
          <w:spacing w:val="2"/>
        </w:rPr>
        <w:t>对事故责任单位和责任人的处罚</w:t>
      </w:r>
      <w:r>
        <w:rPr>
          <w:spacing w:val="18"/>
        </w:rPr>
        <w:t>与处理</w:t>
      </w:r>
      <w:r>
        <w:rPr>
          <w:rFonts w:hint="eastAsia" w:ascii="MS UI Gothic" w:eastAsia="MS UI Gothic"/>
          <w:spacing w:val="19"/>
          <w:w w:val="80"/>
        </w:rPr>
        <w:t xml:space="preserve">ꎬ </w:t>
      </w:r>
      <w:r>
        <w:rPr>
          <w:spacing w:val="32"/>
        </w:rPr>
        <w:t>按照有关法律</w:t>
      </w:r>
      <w:r>
        <w:rPr>
          <w:rFonts w:hint="eastAsia" w:ascii="MS UI Gothic" w:eastAsia="MS UI Gothic"/>
          <w:spacing w:val="21"/>
          <w:w w:val="80"/>
        </w:rPr>
        <w:t xml:space="preserve">、 </w:t>
      </w:r>
      <w:r>
        <w:rPr>
          <w:spacing w:val="32"/>
        </w:rPr>
        <w:t>法规的规定</w:t>
      </w:r>
      <w:r>
        <w:rPr>
          <w:spacing w:val="3"/>
        </w:rPr>
        <w:t>执行</w:t>
      </w:r>
      <w:r>
        <w:rPr>
          <w:rFonts w:hint="eastAsia" w:ascii="MS UI Gothic" w:eastAsia="MS UI Gothic"/>
          <w:w w:val="80"/>
        </w:rPr>
        <w:t>ꎮ</w:t>
      </w:r>
    </w:p>
    <w:p>
      <w:pPr>
        <w:pStyle w:val="6"/>
        <w:tabs>
          <w:tab w:val="left" w:pos="2222"/>
        </w:tabs>
        <w:spacing w:before="135"/>
        <w:ind w:left="1384" w:firstLine="0"/>
        <w:jc w:val="left"/>
      </w:pPr>
      <w:r>
        <w:rPr>
          <w:spacing w:val="3"/>
          <w:w w:val="105"/>
        </w:rPr>
        <w:t>第七</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left="440" w:right="1"/>
        <w:rPr>
          <w:rFonts w:hint="eastAsia" w:ascii="MS UI Gothic" w:eastAsia="MS UI Gothic"/>
        </w:rPr>
      </w:pPr>
      <w:r>
        <w:rPr>
          <w:w w:val="105"/>
        </w:rPr>
        <w:t>第五十三条 违反本条例的规定</w:t>
      </w:r>
      <w:r>
        <w:rPr>
          <w:rFonts w:hint="eastAsia" w:ascii="MS UI Gothic" w:eastAsia="MS UI Gothic"/>
          <w:w w:val="80"/>
        </w:rPr>
        <w:t xml:space="preserve">ꎬ </w:t>
      </w:r>
      <w:r>
        <w:rPr>
          <w:w w:val="105"/>
        </w:rPr>
        <w:t>县</w:t>
      </w:r>
      <w:r>
        <w:t>级以上人民政府建设行政主管部门或者其他有关行政管理部门的工作人员</w:t>
      </w:r>
      <w:r>
        <w:rPr>
          <w:rFonts w:hint="eastAsia" w:ascii="MS UI Gothic" w:eastAsia="MS UI Gothic"/>
          <w:w w:val="80"/>
        </w:rPr>
        <w:t xml:space="preserve">ꎬ </w:t>
      </w:r>
      <w:r>
        <w:t>有下列行为之一的</w:t>
      </w:r>
      <w:r>
        <w:rPr>
          <w:rFonts w:hint="eastAsia" w:ascii="MS UI Gothic" w:eastAsia="MS UI Gothic"/>
          <w:w w:val="80"/>
        </w:rPr>
        <w:t xml:space="preserve">ꎬ </w:t>
      </w:r>
      <w:r>
        <w:t>给予降级或者撤职的行政处分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依照刑法有关规定追究</w:t>
      </w:r>
      <w:r>
        <w:rPr>
          <w:w w:val="105"/>
        </w:rPr>
        <w:t>刑事责任</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对不具备安全生产条件的施工</w:t>
      </w:r>
      <w:r>
        <w:rPr>
          <w:w w:val="110"/>
        </w:rPr>
        <w:t>单位颁发资质证书的</w:t>
      </w:r>
      <w:r>
        <w:rPr>
          <w:rFonts w:hint="eastAsia" w:ascii="MS UI Gothic" w:eastAsia="MS UI Gothic"/>
          <w:w w:val="80"/>
        </w:rPr>
        <w:t>ꎻ</w:t>
      </w:r>
    </w:p>
    <w:p>
      <w:pPr>
        <w:pStyle w:val="6"/>
        <w:spacing w:line="255" w:lineRule="exact"/>
        <w:ind w:left="860" w:firstLine="0"/>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对没有安全施工措施的建设工</w:t>
      </w:r>
    </w:p>
    <w:p>
      <w:pPr>
        <w:pStyle w:val="6"/>
        <w:spacing w:before="124"/>
        <w:ind w:left="381" w:firstLine="0"/>
        <w:jc w:val="left"/>
        <w:rPr>
          <w:rFonts w:hint="eastAsia" w:ascii="MS UI Gothic" w:eastAsia="MS UI Gothic"/>
        </w:rPr>
      </w:pPr>
      <w:r>
        <w:br w:type="column"/>
      </w:r>
      <w:r>
        <w:t>程颁发施工许可证的</w:t>
      </w:r>
      <w:r>
        <w:rPr>
          <w:rFonts w:hint="eastAsia" w:ascii="MS UI Gothic" w:eastAsia="MS UI Gothic"/>
          <w:w w:val="80"/>
        </w:rPr>
        <w:t>ꎻ</w:t>
      </w:r>
    </w:p>
    <w:p>
      <w:pPr>
        <w:pStyle w:val="6"/>
        <w:spacing w:before="58"/>
        <w:ind w:left="80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发现违法行为不予查处的</w:t>
      </w:r>
      <w:r>
        <w:rPr>
          <w:rFonts w:hint="eastAsia" w:ascii="MS UI Gothic" w:eastAsia="MS UI Gothic"/>
          <w:w w:val="80"/>
        </w:rPr>
        <w:t>ꎻ</w:t>
      </w:r>
    </w:p>
    <w:p>
      <w:pPr>
        <w:pStyle w:val="6"/>
        <w:spacing w:before="58" w:line="295" w:lineRule="auto"/>
        <w:ind w:left="381"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不依法履行监督管理职责的其</w:t>
      </w:r>
      <w:r>
        <w:rPr>
          <w:w w:val="110"/>
        </w:rPr>
        <w:t>他行为</w:t>
      </w:r>
      <w:r>
        <w:rPr>
          <w:rFonts w:hint="eastAsia" w:ascii="MS UI Gothic" w:eastAsia="MS UI Gothic"/>
          <w:w w:val="80"/>
        </w:rPr>
        <w:t>ꎮ</w:t>
      </w:r>
    </w:p>
    <w:p>
      <w:pPr>
        <w:pStyle w:val="6"/>
        <w:spacing w:line="295" w:lineRule="auto"/>
        <w:ind w:left="381" w:right="126"/>
        <w:rPr>
          <w:rFonts w:hint="eastAsia" w:ascii="MS UI Gothic" w:eastAsia="MS UI Gothic"/>
        </w:rPr>
      </w:pPr>
      <w:r>
        <w:t>第五十四条 违反本条例的规定</w:t>
      </w:r>
      <w:r>
        <w:rPr>
          <w:rFonts w:hint="eastAsia" w:ascii="MS UI Gothic" w:eastAsia="MS UI Gothic"/>
          <w:w w:val="80"/>
        </w:rPr>
        <w:t xml:space="preserve">ꎬ </w:t>
      </w:r>
      <w:r>
        <w:t>建设单位未提供建设工程安全生产作业环境及安全施工措施所需费用的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责令该建设工程停止施工</w:t>
      </w:r>
      <w:r>
        <w:rPr>
          <w:rFonts w:hint="eastAsia" w:ascii="MS UI Gothic" w:eastAsia="MS UI Gothic"/>
          <w:w w:val="80"/>
        </w:rPr>
        <w:t>ꎮ</w:t>
      </w:r>
    </w:p>
    <w:p>
      <w:pPr>
        <w:pStyle w:val="6"/>
        <w:spacing w:line="295" w:lineRule="auto"/>
        <w:ind w:left="381" w:right="126"/>
        <w:rPr>
          <w:rFonts w:hint="eastAsia" w:ascii="MS UI Gothic" w:eastAsia="MS UI Gothic"/>
        </w:rPr>
      </w:pPr>
      <w:r>
        <w:t>建设单位未将保证安全施工的措施或者拆除工程的有关资料报送有关部门备案的</w:t>
      </w:r>
      <w:r>
        <w:rPr>
          <w:rFonts w:hint="eastAsia" w:ascii="MS UI Gothic" w:eastAsia="MS UI Gothic"/>
          <w:w w:val="80"/>
        </w:rPr>
        <w:t xml:space="preserve">ꎬ </w:t>
      </w:r>
      <w:r>
        <w:t>责令限期改正</w:t>
      </w:r>
      <w:r>
        <w:rPr>
          <w:rFonts w:hint="eastAsia" w:ascii="MS UI Gothic" w:eastAsia="MS UI Gothic"/>
          <w:w w:val="80"/>
        </w:rPr>
        <w:t xml:space="preserve">ꎬ </w:t>
      </w:r>
      <w:r>
        <w:t>给予警告</w:t>
      </w:r>
      <w:r>
        <w:rPr>
          <w:rFonts w:hint="eastAsia" w:ascii="MS UI Gothic" w:eastAsia="MS UI Gothic"/>
          <w:w w:val="80"/>
        </w:rPr>
        <w:t>ꎮ</w:t>
      </w:r>
    </w:p>
    <w:p>
      <w:pPr>
        <w:pStyle w:val="6"/>
        <w:spacing w:line="295" w:lineRule="auto"/>
        <w:ind w:left="381" w:right="124"/>
        <w:rPr>
          <w:rFonts w:hint="eastAsia" w:ascii="MS UI Gothic" w:eastAsia="MS UI Gothic"/>
        </w:rPr>
      </w:pPr>
      <w:r>
        <w:t>第五十五条 违反本条例的规定</w:t>
      </w:r>
      <w:r>
        <w:rPr>
          <w:rFonts w:hint="eastAsia" w:ascii="MS UI Gothic" w:eastAsia="MS UI Gothic"/>
          <w:w w:val="80"/>
        </w:rPr>
        <w:t xml:space="preserve">ꎬ </w:t>
      </w:r>
      <w:r>
        <w:t>建设单位有下列行为之一的</w:t>
      </w:r>
      <w:r>
        <w:rPr>
          <w:rFonts w:hint="eastAsia" w:ascii="MS UI Gothic" w:eastAsia="MS UI Gothic"/>
          <w:w w:val="80"/>
        </w:rPr>
        <w:t xml:space="preserve">ꎬ </w:t>
      </w:r>
      <w:r>
        <w:t>责令限期改正</w:t>
      </w:r>
      <w:r>
        <w:rPr>
          <w:rFonts w:hint="eastAsia" w:ascii="MS UI Gothic" w:eastAsia="MS UI Gothic"/>
          <w:w w:val="80"/>
        </w:rPr>
        <w:t xml:space="preserve">ꎬ </w:t>
      </w:r>
      <w:r>
        <w:t xml:space="preserve">处 </w:t>
      </w:r>
      <w:r>
        <w:rPr>
          <w:rFonts w:hint="eastAsia" w:ascii="MS UI Gothic" w:eastAsia="MS UI Gothic"/>
          <w:w w:val="80"/>
        </w:rPr>
        <w:t xml:space="preserve">２０ </w:t>
      </w:r>
      <w:r>
        <w:t xml:space="preserve">万元以上 </w:t>
      </w:r>
      <w:r>
        <w:rPr>
          <w:rFonts w:hint="eastAsia" w:ascii="MS UI Gothic" w:eastAsia="MS UI Gothic"/>
          <w:w w:val="80"/>
        </w:rPr>
        <w:t xml:space="preserve">５０ </w:t>
      </w:r>
      <w:r>
        <w:t>万元以下的罚款</w:t>
      </w:r>
      <w:r>
        <w:rPr>
          <w:rFonts w:hint="eastAsia" w:ascii="MS UI Gothic" w:eastAsia="MS UI Gothic"/>
          <w:w w:val="80"/>
        </w:rPr>
        <w:t>ꎻ</w:t>
      </w:r>
      <w:r>
        <w:t>造成重大安全事故</w:t>
      </w:r>
      <w:r>
        <w:rPr>
          <w:rFonts w:hint="eastAsia" w:ascii="MS UI Gothic" w:eastAsia="MS UI Gothic"/>
          <w:w w:val="80"/>
        </w:rPr>
        <w:t xml:space="preserve">ꎬ </w:t>
      </w:r>
      <w:r>
        <w:t>构成犯罪的</w:t>
      </w:r>
      <w:r>
        <w:rPr>
          <w:rFonts w:hint="eastAsia" w:ascii="MS UI Gothic" w:eastAsia="MS UI Gothic"/>
          <w:w w:val="80"/>
        </w:rPr>
        <w:t xml:space="preserve">ꎬ </w:t>
      </w:r>
      <w:r>
        <w:t>对直接责任人员</w:t>
      </w:r>
      <w:r>
        <w:rPr>
          <w:rFonts w:hint="eastAsia" w:ascii="MS UI Gothic" w:eastAsia="MS UI Gothic"/>
          <w:w w:val="80"/>
        </w:rPr>
        <w:t xml:space="preserve">ꎬ </w:t>
      </w:r>
      <w:r>
        <w:t>依照刑法有关规定追究刑事责任</w:t>
      </w:r>
      <w:r>
        <w:rPr>
          <w:rFonts w:hint="eastAsia" w:ascii="MS UI Gothic" w:eastAsia="MS UI Gothic"/>
          <w:w w:val="80"/>
        </w:rPr>
        <w:t xml:space="preserve">ꎻ </w:t>
      </w:r>
      <w:r>
        <w:t>造成损失的</w:t>
      </w:r>
      <w:r>
        <w:rPr>
          <w:rFonts w:hint="eastAsia" w:ascii="MS UI Gothic" w:eastAsia="MS UI Gothic"/>
          <w:w w:val="80"/>
        </w:rPr>
        <w:t xml:space="preserve">ꎬ </w:t>
      </w:r>
      <w:r>
        <w:t>依法承担赔偿责任</w:t>
      </w:r>
      <w:r>
        <w:rPr>
          <w:rFonts w:hint="eastAsia" w:ascii="MS UI Gothic" w:eastAsia="MS UI Gothic"/>
          <w:w w:val="230"/>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对勘察</w:t>
      </w:r>
      <w:r>
        <w:rPr>
          <w:rFonts w:hint="eastAsia" w:ascii="MS UI Gothic" w:eastAsia="MS UI Gothic"/>
          <w:w w:val="80"/>
        </w:rPr>
        <w:t xml:space="preserve">、 </w:t>
      </w:r>
      <w:r>
        <w:rPr>
          <w:w w:val="105"/>
        </w:rPr>
        <w:t>设计</w:t>
      </w:r>
      <w:r>
        <w:rPr>
          <w:rFonts w:hint="eastAsia" w:ascii="MS UI Gothic" w:eastAsia="MS UI Gothic"/>
          <w:w w:val="80"/>
        </w:rPr>
        <w:t xml:space="preserve">、 </w:t>
      </w:r>
      <w:r>
        <w:rPr>
          <w:w w:val="105"/>
        </w:rPr>
        <w:t>施工</w:t>
      </w:r>
      <w:r>
        <w:rPr>
          <w:rFonts w:hint="eastAsia" w:ascii="MS UI Gothic" w:eastAsia="MS UI Gothic"/>
          <w:w w:val="80"/>
        </w:rPr>
        <w:t xml:space="preserve">、 </w:t>
      </w:r>
      <w:r>
        <w:rPr>
          <w:w w:val="105"/>
        </w:rPr>
        <w:t>工程监理等单位提出不符合安全生产法律</w:t>
      </w:r>
      <w:r>
        <w:rPr>
          <w:rFonts w:hint="eastAsia" w:ascii="MS UI Gothic" w:eastAsia="MS UI Gothic"/>
          <w:w w:val="80"/>
        </w:rPr>
        <w:t xml:space="preserve">、 </w:t>
      </w:r>
      <w:r>
        <w:rPr>
          <w:w w:val="105"/>
        </w:rPr>
        <w:t>法规和强制性标准规定的要求的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要求施工单位压缩合同约定的</w:t>
      </w:r>
      <w:r>
        <w:rPr>
          <w:w w:val="110"/>
        </w:rPr>
        <w:t>工期的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将拆除工程发包给不具有相应</w:t>
      </w:r>
      <w:r>
        <w:rPr>
          <w:w w:val="110"/>
        </w:rPr>
        <w:t>资质等级的施工单位的</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第五十六条 违反本条例的规定</w:t>
      </w:r>
      <w:r>
        <w:rPr>
          <w:rFonts w:hint="eastAsia" w:ascii="MS UI Gothic" w:eastAsia="MS UI Gothic"/>
          <w:spacing w:val="7"/>
          <w:w w:val="80"/>
        </w:rPr>
        <w:t xml:space="preserve">ꎬ </w:t>
      </w:r>
      <w:r>
        <w:t>勘</w:t>
      </w:r>
      <w:r>
        <w:rPr>
          <w:spacing w:val="3"/>
        </w:rPr>
        <w:t>察单位</w:t>
      </w:r>
      <w:r>
        <w:rPr>
          <w:rFonts w:hint="eastAsia" w:ascii="MS UI Gothic" w:eastAsia="MS UI Gothic"/>
          <w:spacing w:val="11"/>
          <w:w w:val="80"/>
        </w:rPr>
        <w:t xml:space="preserve">、 </w:t>
      </w:r>
      <w:r>
        <w:rPr>
          <w:spacing w:val="3"/>
        </w:rPr>
        <w:t>设计单位有下列行为之一的</w:t>
      </w:r>
      <w:r>
        <w:rPr>
          <w:rFonts w:hint="eastAsia" w:ascii="MS UI Gothic" w:eastAsia="MS UI Gothic"/>
          <w:spacing w:val="11"/>
          <w:w w:val="80"/>
        </w:rPr>
        <w:t xml:space="preserve">ꎬ </w:t>
      </w:r>
      <w:r>
        <w:t>责</w:t>
      </w:r>
      <w:r>
        <w:rPr>
          <w:spacing w:val="3"/>
        </w:rPr>
        <w:t>令限期改正</w:t>
      </w:r>
      <w:r>
        <w:rPr>
          <w:rFonts w:hint="eastAsia" w:ascii="MS UI Gothic" w:eastAsia="MS UI Gothic"/>
          <w:spacing w:val="3"/>
          <w:w w:val="80"/>
        </w:rPr>
        <w:t xml:space="preserve">ꎬ </w:t>
      </w:r>
      <w:r>
        <w:rPr>
          <w:spacing w:val="-26"/>
        </w:rPr>
        <w:t xml:space="preserve">处 </w:t>
      </w:r>
      <w:r>
        <w:rPr>
          <w:rFonts w:hint="eastAsia" w:ascii="MS UI Gothic" w:eastAsia="MS UI Gothic"/>
          <w:spacing w:val="3"/>
          <w:w w:val="80"/>
        </w:rPr>
        <w:t xml:space="preserve">１０ </w:t>
      </w:r>
      <w:r>
        <w:rPr>
          <w:spacing w:val="-9"/>
        </w:rPr>
        <w:t xml:space="preserve">万元以上 </w:t>
      </w:r>
      <w:r>
        <w:rPr>
          <w:rFonts w:hint="eastAsia" w:ascii="MS UI Gothic" w:eastAsia="MS UI Gothic"/>
          <w:spacing w:val="2"/>
          <w:w w:val="80"/>
        </w:rPr>
        <w:t xml:space="preserve">３０ </w:t>
      </w:r>
      <w:r>
        <w:rPr>
          <w:spacing w:val="3"/>
        </w:rPr>
        <w:t>万元以下的罚款</w:t>
      </w:r>
      <w:r>
        <w:rPr>
          <w:rFonts w:hint="eastAsia" w:ascii="MS UI Gothic" w:eastAsia="MS UI Gothic"/>
          <w:spacing w:val="15"/>
          <w:w w:val="80"/>
        </w:rPr>
        <w:t xml:space="preserve">ꎻ </w:t>
      </w:r>
      <w:r>
        <w:rPr>
          <w:spacing w:val="3"/>
        </w:rPr>
        <w:t>情节严重的</w:t>
      </w:r>
      <w:r>
        <w:rPr>
          <w:rFonts w:hint="eastAsia" w:ascii="MS UI Gothic" w:eastAsia="MS UI Gothic"/>
          <w:spacing w:val="15"/>
          <w:w w:val="80"/>
        </w:rPr>
        <w:t xml:space="preserve">ꎬ </w:t>
      </w:r>
      <w:r>
        <w:rPr>
          <w:spacing w:val="3"/>
        </w:rPr>
        <w:t>责令停业整顿</w:t>
      </w:r>
      <w:r>
        <w:rPr>
          <w:rFonts w:hint="eastAsia" w:ascii="MS UI Gothic" w:eastAsia="MS UI Gothic"/>
          <w:spacing w:val="15"/>
          <w:w w:val="80"/>
        </w:rPr>
        <w:t xml:space="preserve">ꎬ </w:t>
      </w:r>
      <w:r>
        <w:t>降</w:t>
      </w:r>
      <w:r>
        <w:rPr>
          <w:spacing w:val="3"/>
        </w:rPr>
        <w:t>低资质等级</w:t>
      </w:r>
      <w:r>
        <w:rPr>
          <w:rFonts w:hint="eastAsia" w:ascii="MS UI Gothic" w:eastAsia="MS UI Gothic"/>
          <w:spacing w:val="23"/>
          <w:w w:val="80"/>
        </w:rPr>
        <w:t xml:space="preserve">ꎬ </w:t>
      </w:r>
      <w:r>
        <w:rPr>
          <w:spacing w:val="3"/>
        </w:rPr>
        <w:t>直至吊销资质证书</w:t>
      </w:r>
      <w:r>
        <w:rPr>
          <w:rFonts w:hint="eastAsia" w:ascii="MS UI Gothic" w:eastAsia="MS UI Gothic"/>
          <w:spacing w:val="23"/>
          <w:w w:val="80"/>
        </w:rPr>
        <w:t xml:space="preserve">ꎻ </w:t>
      </w:r>
      <w:r>
        <w:rPr>
          <w:spacing w:val="2"/>
        </w:rPr>
        <w:t>造成重</w:t>
      </w:r>
      <w:r>
        <w:rPr>
          <w:spacing w:val="3"/>
        </w:rPr>
        <w:t>大安全事故</w:t>
      </w:r>
      <w:r>
        <w:rPr>
          <w:rFonts w:hint="eastAsia" w:ascii="MS UI Gothic" w:eastAsia="MS UI Gothic"/>
          <w:spacing w:val="23"/>
          <w:w w:val="80"/>
        </w:rPr>
        <w:t xml:space="preserve">ꎬ </w:t>
      </w:r>
      <w:r>
        <w:rPr>
          <w:spacing w:val="3"/>
        </w:rPr>
        <w:t>构成犯罪的</w:t>
      </w:r>
      <w:r>
        <w:rPr>
          <w:rFonts w:hint="eastAsia" w:ascii="MS UI Gothic" w:eastAsia="MS UI Gothic"/>
          <w:spacing w:val="23"/>
          <w:w w:val="80"/>
        </w:rPr>
        <w:t xml:space="preserve">ꎬ </w:t>
      </w:r>
      <w:r>
        <w:rPr>
          <w:spacing w:val="2"/>
        </w:rPr>
        <w:t>对直接责任人</w:t>
      </w:r>
      <w:r>
        <w:rPr>
          <w:spacing w:val="3"/>
        </w:rPr>
        <w:t>员</w:t>
      </w:r>
      <w:r>
        <w:rPr>
          <w:rFonts w:hint="eastAsia" w:ascii="MS UI Gothic" w:eastAsia="MS UI Gothic"/>
          <w:spacing w:val="23"/>
          <w:w w:val="80"/>
        </w:rPr>
        <w:t xml:space="preserve">ꎬ </w:t>
      </w:r>
      <w:r>
        <w:rPr>
          <w:spacing w:val="3"/>
        </w:rPr>
        <w:t>依照刑法有关规定追究刑事责任</w:t>
      </w:r>
      <w:r>
        <w:rPr>
          <w:rFonts w:hint="eastAsia" w:ascii="MS UI Gothic" w:eastAsia="MS UI Gothic"/>
          <w:spacing w:val="23"/>
          <w:w w:val="80"/>
        </w:rPr>
        <w:t xml:space="preserve">ꎻ </w:t>
      </w:r>
      <w:r>
        <w:t>造</w:t>
      </w:r>
      <w:r>
        <w:rPr>
          <w:spacing w:val="3"/>
        </w:rPr>
        <w:t>成损失的</w:t>
      </w:r>
      <w:r>
        <w:rPr>
          <w:rFonts w:hint="eastAsia" w:ascii="MS UI Gothic" w:eastAsia="MS UI Gothic"/>
          <w:spacing w:val="5"/>
          <w:w w:val="80"/>
        </w:rPr>
        <w:t xml:space="preserve">ꎬ </w:t>
      </w:r>
      <w:r>
        <w:rPr>
          <w:spacing w:val="3"/>
        </w:rPr>
        <w:t>依法承担赔偿责任</w:t>
      </w:r>
      <w:r>
        <w:rPr>
          <w:rFonts w:hint="eastAsia" w:ascii="MS UI Gothic" w:eastAsia="MS UI Gothic"/>
          <w:w w:val="230"/>
        </w:rPr>
        <w:t>:</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9"/>
          <w:w w:val="150"/>
        </w:rPr>
        <w:t xml:space="preserve">) </w:t>
      </w:r>
      <w:r>
        <w:rPr>
          <w:spacing w:val="5"/>
          <w:w w:val="105"/>
        </w:rPr>
        <w:t>未按照法律</w:t>
      </w:r>
      <w:r>
        <w:rPr>
          <w:rFonts w:hint="eastAsia" w:ascii="MS UI Gothic" w:eastAsia="MS UI Gothic"/>
          <w:spacing w:val="23"/>
          <w:w w:val="80"/>
        </w:rPr>
        <w:t xml:space="preserve">、 </w:t>
      </w:r>
      <w:r>
        <w:rPr>
          <w:spacing w:val="9"/>
          <w:w w:val="105"/>
        </w:rPr>
        <w:t>法规和工程建设</w:t>
      </w:r>
      <w:r>
        <w:rPr>
          <w:spacing w:val="3"/>
          <w:w w:val="105"/>
        </w:rPr>
        <w:t>强制性标准进行勘察</w:t>
      </w:r>
      <w:r>
        <w:rPr>
          <w:rFonts w:hint="eastAsia" w:ascii="MS UI Gothic" w:eastAsia="MS UI Gothic"/>
          <w:spacing w:val="23"/>
          <w:w w:val="80"/>
        </w:rPr>
        <w:t xml:space="preserve">、 </w:t>
      </w:r>
      <w:r>
        <w:rPr>
          <w:spacing w:val="3"/>
          <w:w w:val="105"/>
        </w:rPr>
        <w:t>设计的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采用新结构</w:t>
      </w:r>
      <w:r>
        <w:rPr>
          <w:rFonts w:hint="eastAsia" w:ascii="MS UI Gothic" w:eastAsia="MS UI Gothic"/>
          <w:w w:val="80"/>
        </w:rPr>
        <w:t xml:space="preserve">、 </w:t>
      </w:r>
      <w:r>
        <w:rPr>
          <w:w w:val="105"/>
        </w:rPr>
        <w:t>新材料</w:t>
      </w:r>
      <w:r>
        <w:rPr>
          <w:rFonts w:hint="eastAsia" w:ascii="MS UI Gothic" w:eastAsia="MS UI Gothic"/>
          <w:w w:val="80"/>
        </w:rPr>
        <w:t xml:space="preserve">、 </w:t>
      </w:r>
      <w:r>
        <w:rPr>
          <w:w w:val="105"/>
        </w:rPr>
        <w:t>新工艺</w:t>
      </w:r>
      <w:r>
        <w:t>的建设工程和特殊结构的建设工程</w:t>
      </w:r>
      <w:r>
        <w:rPr>
          <w:rFonts w:hint="eastAsia" w:ascii="MS UI Gothic" w:eastAsia="MS UI Gothic"/>
          <w:w w:val="80"/>
        </w:rPr>
        <w:t xml:space="preserve">ꎬ </w:t>
      </w:r>
      <w:r>
        <w:t>设计单位未在设计中提出保障施工作业人员安</w:t>
      </w:r>
      <w:r>
        <w:rPr>
          <w:w w:val="105"/>
        </w:rPr>
        <w:t>全和预防生产安全事故的措施建议的</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４３８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12" o:spid="_x0000_s2312" o:spt="203" style="height:2.15pt;width:398.25pt;" coordsize="7965,43">
            <o:lock v:ext="edit"/>
            <v:line id="_x0000_s2313" o:spid="_x0000_s2313" o:spt="20" style="position:absolute;left:0;top:39;height:0;width:7965;" stroked="t" coordsize="21600,21600">
              <v:path arrowok="t"/>
              <v:fill focussize="0,0"/>
              <v:stroke weight="0.388031496062992pt" color="#231F20"/>
              <v:imagedata o:title=""/>
              <o:lock v:ext="edit"/>
            </v:line>
            <v:line id="_x0000_s2314" o:spid="_x0000_s231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t>第五十七条 违反本条例的规定</w:t>
      </w:r>
      <w:r>
        <w:rPr>
          <w:rFonts w:hint="eastAsia" w:ascii="MS UI Gothic" w:eastAsia="MS UI Gothic"/>
          <w:w w:val="80"/>
        </w:rPr>
        <w:t xml:space="preserve">ꎬ </w:t>
      </w:r>
      <w:r>
        <w:t>工程监理单位有下列行为之一的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责令停业整顿</w:t>
      </w:r>
      <w:r>
        <w:rPr>
          <w:rFonts w:hint="eastAsia" w:ascii="MS UI Gothic" w:eastAsia="MS UI Gothic"/>
          <w:w w:val="80"/>
        </w:rPr>
        <w:t xml:space="preserve">ꎬ </w:t>
      </w:r>
      <w:r>
        <w:t xml:space="preserve">并处 </w:t>
      </w:r>
      <w:r>
        <w:rPr>
          <w:rFonts w:hint="eastAsia" w:ascii="MS UI Gothic" w:eastAsia="MS UI Gothic"/>
          <w:w w:val="80"/>
        </w:rPr>
        <w:t xml:space="preserve">１０ </w:t>
      </w:r>
      <w:r>
        <w:t xml:space="preserve">万元以上 </w:t>
      </w:r>
      <w:r>
        <w:rPr>
          <w:rFonts w:hint="eastAsia" w:ascii="MS UI Gothic" w:eastAsia="MS UI Gothic"/>
          <w:w w:val="80"/>
        </w:rPr>
        <w:t xml:space="preserve">３０ </w:t>
      </w:r>
      <w:r>
        <w:t>万元以下的罚款</w:t>
      </w:r>
      <w:r>
        <w:rPr>
          <w:rFonts w:hint="eastAsia" w:ascii="MS UI Gothic" w:eastAsia="MS UI Gothic"/>
          <w:w w:val="80"/>
        </w:rPr>
        <w:t xml:space="preserve">ꎻ </w:t>
      </w:r>
      <w:r>
        <w:t>情节严重的</w:t>
      </w:r>
      <w:r>
        <w:rPr>
          <w:rFonts w:hint="eastAsia" w:ascii="MS UI Gothic" w:eastAsia="MS UI Gothic"/>
          <w:w w:val="80"/>
        </w:rPr>
        <w:t xml:space="preserve">ꎬ </w:t>
      </w:r>
      <w:r>
        <w:t>降低资质等级</w:t>
      </w:r>
      <w:r>
        <w:rPr>
          <w:rFonts w:hint="eastAsia" w:ascii="MS UI Gothic" w:eastAsia="MS UI Gothic"/>
          <w:w w:val="80"/>
        </w:rPr>
        <w:t xml:space="preserve">ꎬ </w:t>
      </w:r>
      <w:r>
        <w:t>直至吊销资质证书</w:t>
      </w:r>
      <w:r>
        <w:rPr>
          <w:rFonts w:hint="eastAsia" w:ascii="MS UI Gothic" w:eastAsia="MS UI Gothic"/>
          <w:w w:val="80"/>
        </w:rPr>
        <w:t xml:space="preserve">ꎻ </w:t>
      </w:r>
      <w:r>
        <w:t>造成重大安全事故</w:t>
      </w:r>
      <w:r>
        <w:rPr>
          <w:rFonts w:hint="eastAsia" w:ascii="MS UI Gothic" w:eastAsia="MS UI Gothic"/>
          <w:w w:val="80"/>
        </w:rPr>
        <w:t xml:space="preserve">ꎬ </w:t>
      </w:r>
      <w:r>
        <w:t>构成犯罪的</w:t>
      </w:r>
      <w:r>
        <w:rPr>
          <w:rFonts w:hint="eastAsia" w:ascii="MS UI Gothic" w:eastAsia="MS UI Gothic"/>
          <w:w w:val="80"/>
        </w:rPr>
        <w:t xml:space="preserve">ꎬ </w:t>
      </w:r>
      <w:r>
        <w:t>对直接责任人员</w:t>
      </w:r>
      <w:r>
        <w:rPr>
          <w:rFonts w:hint="eastAsia" w:ascii="MS UI Gothic" w:eastAsia="MS UI Gothic"/>
          <w:w w:val="80"/>
        </w:rPr>
        <w:t xml:space="preserve">ꎬ </w:t>
      </w:r>
      <w:r>
        <w:t>依照刑法有关规定追究刑事责任</w:t>
      </w:r>
      <w:r>
        <w:rPr>
          <w:rFonts w:hint="eastAsia" w:ascii="MS UI Gothic" w:eastAsia="MS UI Gothic"/>
          <w:w w:val="80"/>
        </w:rPr>
        <w:t xml:space="preserve">ꎻ </w:t>
      </w:r>
      <w:r>
        <w:t>造成损失的</w:t>
      </w:r>
      <w:r>
        <w:rPr>
          <w:rFonts w:hint="eastAsia" w:ascii="MS UI Gothic" w:eastAsia="MS UI Gothic"/>
          <w:w w:val="80"/>
        </w:rPr>
        <w:t xml:space="preserve">ꎬ </w:t>
      </w:r>
      <w:r>
        <w:t>依法承担赔偿责任</w:t>
      </w:r>
      <w:r>
        <w:rPr>
          <w:rFonts w:hint="eastAsia" w:ascii="MS UI Gothic" w:eastAsia="MS UI Gothic"/>
          <w:w w:val="230"/>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未对施工组织设计中的安全技术措施或者专项施工方案进行审查的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发现安全事故隐患未及时要求施工单位整改或者暂时停止施工的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施工单位拒不整改或者不停止施工</w:t>
      </w:r>
      <w:r>
        <w:rPr>
          <w:rFonts w:hint="eastAsia" w:ascii="MS UI Gothic" w:eastAsia="MS UI Gothic"/>
          <w:w w:val="80"/>
        </w:rPr>
        <w:t xml:space="preserve">ꎬ </w:t>
      </w:r>
      <w:r>
        <w:rPr>
          <w:w w:val="105"/>
        </w:rPr>
        <w:t>未及时向有关主管部门报告的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未依照法律</w:t>
      </w:r>
      <w:r>
        <w:rPr>
          <w:rFonts w:hint="eastAsia" w:ascii="MS UI Gothic" w:eastAsia="MS UI Gothic"/>
          <w:w w:val="80"/>
        </w:rPr>
        <w:t xml:space="preserve">、 </w:t>
      </w:r>
      <w:r>
        <w:rPr>
          <w:w w:val="105"/>
        </w:rPr>
        <w:t>法规和工程建设强制性标准实施监理的</w:t>
      </w:r>
      <w:r>
        <w:rPr>
          <w:rFonts w:hint="eastAsia" w:ascii="MS UI Gothic" w:eastAsia="MS UI Gothic"/>
          <w:w w:val="80"/>
        </w:rPr>
        <w:t>ꎮ</w:t>
      </w:r>
    </w:p>
    <w:p>
      <w:pPr>
        <w:pStyle w:val="6"/>
        <w:spacing w:line="295" w:lineRule="auto"/>
        <w:ind w:right="38"/>
        <w:rPr>
          <w:rFonts w:hint="eastAsia" w:ascii="MS UI Gothic" w:eastAsia="MS UI Gothic"/>
        </w:rPr>
      </w:pPr>
      <w:r>
        <w:rPr>
          <w:spacing w:val="4"/>
        </w:rPr>
        <w:t>第五十八条 注册执业人员未执行法</w:t>
      </w:r>
      <w:r>
        <w:rPr>
          <w:spacing w:val="3"/>
        </w:rPr>
        <w:t>律</w:t>
      </w:r>
      <w:r>
        <w:rPr>
          <w:rFonts w:hint="eastAsia" w:ascii="MS UI Gothic" w:eastAsia="MS UI Gothic"/>
          <w:spacing w:val="23"/>
        </w:rPr>
        <w:t xml:space="preserve">、 </w:t>
      </w:r>
      <w:r>
        <w:rPr>
          <w:spacing w:val="3"/>
        </w:rPr>
        <w:t>法规和工程建设强制性标准的</w:t>
      </w:r>
      <w:r>
        <w:rPr>
          <w:rFonts w:hint="eastAsia" w:ascii="MS UI Gothic" w:eastAsia="MS UI Gothic"/>
          <w:spacing w:val="5"/>
          <w:w w:val="80"/>
        </w:rPr>
        <w:t xml:space="preserve">ꎬ </w:t>
      </w:r>
      <w:r>
        <w:rPr>
          <w:spacing w:val="1"/>
        </w:rPr>
        <w:t>责令</w:t>
      </w:r>
      <w:r>
        <w:rPr>
          <w:spacing w:val="-10"/>
        </w:rPr>
        <w:t xml:space="preserve">停止执业 </w:t>
      </w:r>
      <w:r>
        <w:rPr>
          <w:rFonts w:hint="eastAsia" w:ascii="MS UI Gothic" w:eastAsia="MS UI Gothic"/>
          <w:spacing w:val="-5"/>
        </w:rPr>
        <w:t xml:space="preserve">３ </w:t>
      </w:r>
      <w:r>
        <w:rPr>
          <w:spacing w:val="-10"/>
        </w:rPr>
        <w:t xml:space="preserve">个月以上 </w:t>
      </w:r>
      <w:r>
        <w:rPr>
          <w:rFonts w:hint="eastAsia" w:ascii="MS UI Gothic" w:eastAsia="MS UI Gothic"/>
          <w:spacing w:val="-5"/>
        </w:rPr>
        <w:t xml:space="preserve">１ </w:t>
      </w:r>
      <w:r>
        <w:rPr>
          <w:spacing w:val="3"/>
        </w:rPr>
        <w:t>年以下</w:t>
      </w:r>
      <w:r>
        <w:rPr>
          <w:rFonts w:hint="eastAsia" w:ascii="MS UI Gothic" w:eastAsia="MS UI Gothic"/>
          <w:spacing w:val="22"/>
          <w:w w:val="80"/>
        </w:rPr>
        <w:t xml:space="preserve">ꎻ </w:t>
      </w:r>
      <w:r>
        <w:rPr>
          <w:spacing w:val="3"/>
        </w:rPr>
        <w:t>情节严重的</w:t>
      </w:r>
      <w:r>
        <w:rPr>
          <w:rFonts w:hint="eastAsia" w:ascii="MS UI Gothic" w:eastAsia="MS UI Gothic"/>
          <w:spacing w:val="17"/>
          <w:w w:val="80"/>
        </w:rPr>
        <w:t xml:space="preserve">ꎬ </w:t>
      </w:r>
      <w:r>
        <w:rPr>
          <w:spacing w:val="18"/>
        </w:rPr>
        <w:t>吊销执业资格证书</w:t>
      </w:r>
      <w:r>
        <w:rPr>
          <w:rFonts w:hint="eastAsia" w:ascii="MS UI Gothic" w:eastAsia="MS UI Gothic"/>
          <w:spacing w:val="21"/>
          <w:w w:val="80"/>
        </w:rPr>
        <w:t xml:space="preserve">ꎬ </w:t>
      </w:r>
      <w:r>
        <w:rPr>
          <w:rFonts w:hint="eastAsia" w:ascii="MS UI Gothic" w:eastAsia="MS UI Gothic"/>
          <w:spacing w:val="4"/>
        </w:rPr>
        <w:t xml:space="preserve">５ </w:t>
      </w:r>
      <w:r>
        <w:rPr>
          <w:spacing w:val="19"/>
        </w:rPr>
        <w:t>年内不予注</w:t>
      </w:r>
      <w:r>
        <w:rPr>
          <w:spacing w:val="3"/>
        </w:rPr>
        <w:t>册</w:t>
      </w:r>
      <w:r>
        <w:rPr>
          <w:rFonts w:hint="eastAsia" w:ascii="MS UI Gothic" w:eastAsia="MS UI Gothic"/>
          <w:spacing w:val="22"/>
          <w:w w:val="80"/>
        </w:rPr>
        <w:t xml:space="preserve">ꎻ </w:t>
      </w:r>
      <w:r>
        <w:rPr>
          <w:spacing w:val="15"/>
        </w:rPr>
        <w:t>造成重大安全事故的</w:t>
      </w:r>
      <w:r>
        <w:rPr>
          <w:rFonts w:hint="eastAsia" w:ascii="MS UI Gothic" w:eastAsia="MS UI Gothic"/>
          <w:spacing w:val="3"/>
          <w:w w:val="80"/>
        </w:rPr>
        <w:t xml:space="preserve">ꎬ </w:t>
      </w:r>
      <w:r>
        <w:rPr>
          <w:spacing w:val="18"/>
        </w:rPr>
        <w:t>终身不予注</w:t>
      </w:r>
      <w:r>
        <w:rPr>
          <w:spacing w:val="3"/>
        </w:rPr>
        <w:t>册</w:t>
      </w:r>
      <w:r>
        <w:rPr>
          <w:rFonts w:hint="eastAsia" w:ascii="MS UI Gothic" w:eastAsia="MS UI Gothic"/>
          <w:spacing w:val="23"/>
          <w:w w:val="80"/>
        </w:rPr>
        <w:t xml:space="preserve">ꎻ </w:t>
      </w:r>
      <w:r>
        <w:rPr>
          <w:spacing w:val="3"/>
        </w:rPr>
        <w:t>构成犯罪的</w:t>
      </w:r>
      <w:r>
        <w:rPr>
          <w:rFonts w:hint="eastAsia" w:ascii="MS UI Gothic" w:eastAsia="MS UI Gothic"/>
          <w:spacing w:val="23"/>
          <w:w w:val="80"/>
        </w:rPr>
        <w:t xml:space="preserve">ꎬ </w:t>
      </w:r>
      <w:r>
        <w:rPr>
          <w:spacing w:val="2"/>
        </w:rPr>
        <w:t>依照刑法有关规定追究</w:t>
      </w:r>
      <w:r>
        <w:rPr>
          <w:spacing w:val="3"/>
        </w:rPr>
        <w:t>刑事责任</w:t>
      </w:r>
      <w:r>
        <w:rPr>
          <w:rFonts w:hint="eastAsia" w:ascii="MS UI Gothic" w:eastAsia="MS UI Gothic"/>
          <w:w w:val="80"/>
        </w:rPr>
        <w:t>ꎮ</w:t>
      </w:r>
    </w:p>
    <w:p>
      <w:pPr>
        <w:pStyle w:val="6"/>
        <w:spacing w:line="295" w:lineRule="auto"/>
        <w:ind w:right="38"/>
        <w:rPr>
          <w:rFonts w:hint="eastAsia" w:ascii="MS UI Gothic" w:eastAsia="MS UI Gothic"/>
        </w:rPr>
      </w:pPr>
      <w:r>
        <w:t>第五十九条 违反本条例的规定</w:t>
      </w:r>
      <w:r>
        <w:rPr>
          <w:rFonts w:hint="eastAsia" w:ascii="MS UI Gothic" w:eastAsia="MS UI Gothic"/>
          <w:w w:val="80"/>
        </w:rPr>
        <w:t xml:space="preserve">ꎬ </w:t>
      </w:r>
      <w:r>
        <w:t>为建设工程提供机械设备和配件的单位</w:t>
      </w:r>
      <w:r>
        <w:rPr>
          <w:rFonts w:hint="eastAsia" w:ascii="MS UI Gothic" w:eastAsia="MS UI Gothic"/>
          <w:w w:val="80"/>
        </w:rPr>
        <w:t xml:space="preserve">ꎬ </w:t>
      </w:r>
      <w:r>
        <w:t>未按照安全施工的要求配备齐全有效的保险</w:t>
      </w:r>
      <w:r>
        <w:rPr>
          <w:rFonts w:hint="eastAsia" w:ascii="MS UI Gothic" w:eastAsia="MS UI Gothic"/>
          <w:w w:val="80"/>
        </w:rPr>
        <w:t xml:space="preserve">、 </w:t>
      </w:r>
      <w:r>
        <w:t>限位等安全设施和装置的</w:t>
      </w:r>
      <w:r>
        <w:rPr>
          <w:rFonts w:hint="eastAsia" w:ascii="MS UI Gothic" w:eastAsia="MS UI Gothic"/>
          <w:w w:val="80"/>
        </w:rPr>
        <w:t xml:space="preserve">ꎬ </w:t>
      </w:r>
      <w:r>
        <w:t>责令限期改正</w:t>
      </w:r>
      <w:r>
        <w:rPr>
          <w:rFonts w:hint="eastAsia" w:ascii="MS UI Gothic" w:eastAsia="MS UI Gothic"/>
          <w:w w:val="80"/>
        </w:rPr>
        <w:t xml:space="preserve">ꎬ </w:t>
      </w:r>
      <w:r>
        <w:t xml:space="preserve">处合同价款 </w:t>
      </w:r>
      <w:r>
        <w:rPr>
          <w:rFonts w:hint="eastAsia" w:ascii="MS UI Gothic" w:eastAsia="MS UI Gothic"/>
          <w:w w:val="80"/>
        </w:rPr>
        <w:t xml:space="preserve">１ </w:t>
      </w:r>
      <w:r>
        <w:t xml:space="preserve">倍以上 </w:t>
      </w:r>
      <w:r>
        <w:rPr>
          <w:rFonts w:hint="eastAsia" w:ascii="MS UI Gothic" w:eastAsia="MS UI Gothic"/>
          <w:w w:val="80"/>
        </w:rPr>
        <w:t xml:space="preserve">３ </w:t>
      </w:r>
      <w:r>
        <w:t>倍以下的罚款</w:t>
      </w:r>
      <w:r>
        <w:rPr>
          <w:rFonts w:hint="eastAsia" w:ascii="MS UI Gothic" w:eastAsia="MS UI Gothic"/>
          <w:w w:val="80"/>
        </w:rPr>
        <w:t xml:space="preserve">ꎻ </w:t>
      </w:r>
      <w:r>
        <w:t>造成损失的</w:t>
      </w:r>
      <w:r>
        <w:rPr>
          <w:rFonts w:hint="eastAsia" w:ascii="MS UI Gothic" w:eastAsia="MS UI Gothic"/>
          <w:w w:val="80"/>
        </w:rPr>
        <w:t xml:space="preserve">ꎬ </w:t>
      </w:r>
      <w:r>
        <w:t>依法承担赔偿责任</w:t>
      </w:r>
      <w:r>
        <w:rPr>
          <w:rFonts w:hint="eastAsia" w:ascii="MS UI Gothic" w:eastAsia="MS UI Gothic"/>
          <w:w w:val="80"/>
        </w:rPr>
        <w:t>ꎮ</w:t>
      </w:r>
    </w:p>
    <w:p>
      <w:pPr>
        <w:pStyle w:val="6"/>
        <w:spacing w:line="295" w:lineRule="auto"/>
        <w:ind w:right="38"/>
        <w:rPr>
          <w:rFonts w:hint="eastAsia" w:ascii="MS UI Gothic" w:eastAsia="MS UI Gothic"/>
        </w:rPr>
      </w:pPr>
      <w:r>
        <w:t>第六十条 违反本条例的规定</w:t>
      </w:r>
      <w:r>
        <w:rPr>
          <w:rFonts w:hint="eastAsia" w:ascii="MS UI Gothic" w:eastAsia="MS UI Gothic"/>
          <w:w w:val="85"/>
        </w:rPr>
        <w:t xml:space="preserve">ꎬ </w:t>
      </w:r>
      <w:r>
        <w:t>出租单位出租未经安全性能检测或者经检测不合格的机械设备和施工机具及配件的</w:t>
      </w:r>
      <w:r>
        <w:rPr>
          <w:rFonts w:hint="eastAsia" w:ascii="MS UI Gothic" w:eastAsia="MS UI Gothic"/>
          <w:w w:val="85"/>
        </w:rPr>
        <w:t xml:space="preserve">ꎬ </w:t>
      </w:r>
      <w:r>
        <w:t>责令停业整顿</w:t>
      </w:r>
      <w:r>
        <w:rPr>
          <w:rFonts w:hint="eastAsia" w:ascii="MS UI Gothic" w:eastAsia="MS UI Gothic"/>
          <w:w w:val="85"/>
        </w:rPr>
        <w:t xml:space="preserve">ꎬ </w:t>
      </w:r>
      <w:r>
        <w:t xml:space="preserve">并处 </w:t>
      </w:r>
      <w:r>
        <w:rPr>
          <w:rFonts w:hint="eastAsia" w:ascii="MS UI Gothic" w:eastAsia="MS UI Gothic"/>
        </w:rPr>
        <w:t xml:space="preserve">５ </w:t>
      </w:r>
      <w:r>
        <w:t xml:space="preserve">万元以上 </w:t>
      </w:r>
      <w:r>
        <w:rPr>
          <w:rFonts w:hint="eastAsia" w:ascii="MS UI Gothic" w:eastAsia="MS UI Gothic"/>
          <w:w w:val="85"/>
        </w:rPr>
        <w:t xml:space="preserve">１０ </w:t>
      </w:r>
      <w:r>
        <w:t>万元以下的罚款</w:t>
      </w:r>
      <w:r>
        <w:rPr>
          <w:rFonts w:hint="eastAsia" w:ascii="MS UI Gothic" w:eastAsia="MS UI Gothic"/>
          <w:w w:val="85"/>
        </w:rPr>
        <w:t xml:space="preserve">ꎻ </w:t>
      </w:r>
      <w:r>
        <w:t>造成损失的</w:t>
      </w:r>
      <w:r>
        <w:rPr>
          <w:rFonts w:hint="eastAsia" w:ascii="MS UI Gothic" w:eastAsia="MS UI Gothic"/>
          <w:w w:val="85"/>
        </w:rPr>
        <w:t xml:space="preserve">ꎬ </w:t>
      </w:r>
      <w:r>
        <w:t>依法承担赔偿责任</w:t>
      </w:r>
      <w:r>
        <w:rPr>
          <w:rFonts w:hint="eastAsia" w:ascii="MS UI Gothic" w:eastAsia="MS UI Gothic"/>
          <w:w w:val="85"/>
        </w:rPr>
        <w:t>ꎮ</w:t>
      </w:r>
    </w:p>
    <w:p>
      <w:pPr>
        <w:pStyle w:val="6"/>
        <w:spacing w:line="295" w:lineRule="auto"/>
        <w:ind w:right="38"/>
      </w:pPr>
      <w:r>
        <w:rPr>
          <w:w w:val="105"/>
        </w:rPr>
        <w:t>第六十一条 违反本条例的规定</w:t>
      </w:r>
      <w:r>
        <w:rPr>
          <w:rFonts w:hint="eastAsia" w:ascii="MS UI Gothic" w:eastAsia="MS UI Gothic"/>
          <w:w w:val="80"/>
        </w:rPr>
        <w:t xml:space="preserve">ꎬ </w:t>
      </w:r>
      <w:r>
        <w:rPr>
          <w:w w:val="105"/>
        </w:rPr>
        <w:t>施工起重机械和整体提升脚手架</w:t>
      </w:r>
      <w:r>
        <w:rPr>
          <w:rFonts w:hint="eastAsia" w:ascii="MS UI Gothic" w:eastAsia="MS UI Gothic"/>
          <w:w w:val="80"/>
        </w:rPr>
        <w:t xml:space="preserve">、 </w:t>
      </w:r>
      <w:r>
        <w:rPr>
          <w:w w:val="105"/>
        </w:rPr>
        <w:t>模板等自升式架设设施安装</w:t>
      </w:r>
      <w:r>
        <w:rPr>
          <w:rFonts w:hint="eastAsia" w:ascii="MS UI Gothic" w:eastAsia="MS UI Gothic"/>
          <w:w w:val="80"/>
        </w:rPr>
        <w:t xml:space="preserve">、 </w:t>
      </w:r>
      <w:r>
        <w:rPr>
          <w:w w:val="105"/>
        </w:rPr>
        <w:t>拆卸单位有下列行为</w:t>
      </w:r>
    </w:p>
    <w:p>
      <w:pPr>
        <w:pStyle w:val="6"/>
        <w:spacing w:before="123" w:line="295" w:lineRule="auto"/>
        <w:ind w:right="442" w:firstLine="5"/>
        <w:rPr>
          <w:rFonts w:hint="eastAsia" w:ascii="MS UI Gothic" w:eastAsia="MS UI Gothic"/>
        </w:rPr>
      </w:pPr>
      <w:r>
        <w:br w:type="column"/>
      </w:r>
      <w:r>
        <w:t>之一的</w:t>
      </w:r>
      <w:r>
        <w:rPr>
          <w:rFonts w:hint="eastAsia" w:ascii="MS UI Gothic" w:eastAsia="MS UI Gothic"/>
          <w:w w:val="80"/>
        </w:rPr>
        <w:t xml:space="preserve">ꎬ </w:t>
      </w:r>
      <w:r>
        <w:t>责令限期改正</w:t>
      </w:r>
      <w:r>
        <w:rPr>
          <w:rFonts w:hint="eastAsia" w:ascii="MS UI Gothic" w:eastAsia="MS UI Gothic"/>
          <w:w w:val="80"/>
        </w:rPr>
        <w:t xml:space="preserve">ꎬ </w:t>
      </w:r>
      <w:r>
        <w:t xml:space="preserve">处 </w:t>
      </w:r>
      <w:r>
        <w:rPr>
          <w:rFonts w:hint="eastAsia" w:ascii="MS UI Gothic" w:eastAsia="MS UI Gothic"/>
          <w:w w:val="80"/>
        </w:rPr>
        <w:t xml:space="preserve">５ </w:t>
      </w:r>
      <w:r>
        <w:t>万元以上</w:t>
      </w:r>
      <w:r>
        <w:rPr>
          <w:rFonts w:hint="eastAsia" w:ascii="MS UI Gothic" w:eastAsia="MS UI Gothic"/>
          <w:w w:val="80"/>
        </w:rPr>
        <w:t xml:space="preserve">１０ </w:t>
      </w:r>
      <w:r>
        <w:t>万元以下的罚款</w:t>
      </w:r>
      <w:r>
        <w:rPr>
          <w:rFonts w:hint="eastAsia" w:ascii="MS UI Gothic" w:eastAsia="MS UI Gothic"/>
          <w:w w:val="80"/>
        </w:rPr>
        <w:t xml:space="preserve">ꎻ </w:t>
      </w:r>
      <w:r>
        <w:t>情节严重的</w:t>
      </w:r>
      <w:r>
        <w:rPr>
          <w:rFonts w:hint="eastAsia" w:ascii="MS UI Gothic" w:eastAsia="MS UI Gothic"/>
          <w:w w:val="80"/>
        </w:rPr>
        <w:t xml:space="preserve">ꎬ </w:t>
      </w:r>
      <w:r>
        <w:t>责令停业整顿</w:t>
      </w:r>
      <w:r>
        <w:rPr>
          <w:rFonts w:hint="eastAsia" w:ascii="MS UI Gothic" w:eastAsia="MS UI Gothic"/>
          <w:w w:val="80"/>
        </w:rPr>
        <w:t xml:space="preserve">ꎬ </w:t>
      </w:r>
      <w:r>
        <w:t>降低资质等级</w:t>
      </w:r>
      <w:r>
        <w:rPr>
          <w:rFonts w:hint="eastAsia" w:ascii="MS UI Gothic" w:eastAsia="MS UI Gothic"/>
          <w:w w:val="80"/>
        </w:rPr>
        <w:t xml:space="preserve">ꎬ </w:t>
      </w:r>
      <w:r>
        <w:t>直至吊销资质证书</w:t>
      </w:r>
      <w:r>
        <w:rPr>
          <w:rFonts w:hint="eastAsia" w:ascii="MS UI Gothic" w:eastAsia="MS UI Gothic"/>
          <w:w w:val="80"/>
        </w:rPr>
        <w:t xml:space="preserve">ꎻ </w:t>
      </w:r>
      <w:r>
        <w:t>造成损失的</w:t>
      </w:r>
      <w:r>
        <w:rPr>
          <w:rFonts w:hint="eastAsia" w:ascii="MS UI Gothic" w:eastAsia="MS UI Gothic"/>
          <w:w w:val="80"/>
        </w:rPr>
        <w:t xml:space="preserve">ꎬ </w:t>
      </w:r>
      <w:r>
        <w:t>依法承担赔偿责任</w:t>
      </w:r>
      <w:r>
        <w:rPr>
          <w:rFonts w:hint="eastAsia" w:ascii="MS UI Gothic" w:eastAsia="MS UI Gothic"/>
          <w:w w:val="230"/>
        </w:rPr>
        <w:t>:</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未编制拆装方案</w:t>
      </w:r>
      <w:r>
        <w:rPr>
          <w:rFonts w:hint="eastAsia" w:ascii="MS UI Gothic" w:eastAsia="MS UI Gothic"/>
          <w:w w:val="80"/>
        </w:rPr>
        <w:t xml:space="preserve">、 </w:t>
      </w:r>
      <w:r>
        <w:rPr>
          <w:w w:val="105"/>
        </w:rPr>
        <w:t>制定安全施工措施的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spacing w:val="-36"/>
          <w:w w:val="130"/>
        </w:rPr>
        <w:t xml:space="preserve">( </w:t>
      </w:r>
      <w:r>
        <w:rPr>
          <w:spacing w:val="29"/>
          <w:w w:val="110"/>
        </w:rPr>
        <w:t>二</w:t>
      </w:r>
      <w:r>
        <w:rPr>
          <w:rFonts w:hint="eastAsia" w:ascii="MS UI Gothic" w:eastAsia="MS UI Gothic"/>
          <w:spacing w:val="-13"/>
          <w:w w:val="130"/>
        </w:rPr>
        <w:t xml:space="preserve">) </w:t>
      </w:r>
      <w:r>
        <w:rPr>
          <w:spacing w:val="41"/>
          <w:w w:val="110"/>
        </w:rPr>
        <w:t>未由专业技术人员现场监</w:t>
      </w:r>
      <w:r>
        <w:rPr>
          <w:spacing w:val="3"/>
          <w:w w:val="110"/>
        </w:rPr>
        <w:t>督的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未出具自检合格证明或者出具</w:t>
      </w:r>
      <w:r>
        <w:rPr>
          <w:w w:val="110"/>
        </w:rPr>
        <w:t>虚假证明的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未向施工单位进行安全使用说明</w:t>
      </w:r>
      <w:r>
        <w:rPr>
          <w:rFonts w:hint="eastAsia" w:ascii="MS UI Gothic" w:eastAsia="MS UI Gothic"/>
          <w:w w:val="80"/>
        </w:rPr>
        <w:t xml:space="preserve">ꎬ </w:t>
      </w:r>
      <w:r>
        <w:rPr>
          <w:w w:val="105"/>
        </w:rPr>
        <w:t>办理移交手续的</w:t>
      </w:r>
      <w:r>
        <w:rPr>
          <w:rFonts w:hint="eastAsia" w:ascii="MS UI Gothic" w:eastAsia="MS UI Gothic"/>
          <w:w w:val="80"/>
        </w:rPr>
        <w:t>ꎮ</w:t>
      </w:r>
    </w:p>
    <w:p>
      <w:pPr>
        <w:pStyle w:val="6"/>
        <w:spacing w:line="295" w:lineRule="auto"/>
        <w:ind w:left="130" w:right="440"/>
        <w:rPr>
          <w:rFonts w:hint="eastAsia" w:ascii="MS UI Gothic" w:eastAsia="MS UI Gothic"/>
        </w:rPr>
      </w:pPr>
      <w:r>
        <w:rPr>
          <w:w w:val="105"/>
        </w:rPr>
        <w:t>施工起重机械和整体提升脚手架</w:t>
      </w:r>
      <w:r>
        <w:rPr>
          <w:rFonts w:hint="eastAsia" w:ascii="MS UI Gothic" w:eastAsia="MS UI Gothic"/>
          <w:w w:val="80"/>
        </w:rPr>
        <w:t xml:space="preserve">、 </w:t>
      </w:r>
      <w:r>
        <w:rPr>
          <w:w w:val="105"/>
        </w:rPr>
        <w:t>模板等自升式架设设施安装</w:t>
      </w:r>
      <w:r>
        <w:rPr>
          <w:rFonts w:hint="eastAsia" w:ascii="MS UI Gothic" w:eastAsia="MS UI Gothic"/>
          <w:w w:val="80"/>
        </w:rPr>
        <w:t xml:space="preserve">、 </w:t>
      </w:r>
      <w:r>
        <w:rPr>
          <w:w w:val="105"/>
        </w:rPr>
        <w:t xml:space="preserve">拆卸单位有前款规定的第 </w:t>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项</w:t>
      </w:r>
      <w:r>
        <w:rPr>
          <w:rFonts w:hint="eastAsia" w:ascii="MS UI Gothic" w:eastAsia="MS UI Gothic"/>
          <w:w w:val="80"/>
        </w:rPr>
        <w:t xml:space="preserve">、 </w:t>
      </w:r>
      <w:r>
        <w:rPr>
          <w:w w:val="105"/>
        </w:rPr>
        <w:t xml:space="preserve">第 </w:t>
      </w: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项行为</w:t>
      </w:r>
      <w:r>
        <w:rPr>
          <w:rFonts w:hint="eastAsia" w:ascii="MS UI Gothic" w:eastAsia="MS UI Gothic"/>
          <w:w w:val="80"/>
        </w:rPr>
        <w:t>ꎬ</w:t>
      </w:r>
      <w:r>
        <w:t>经有关部门或者单位职工提出后</w:t>
      </w:r>
      <w:r>
        <w:rPr>
          <w:rFonts w:hint="eastAsia" w:ascii="MS UI Gothic" w:eastAsia="MS UI Gothic"/>
          <w:w w:val="80"/>
        </w:rPr>
        <w:t xml:space="preserve">ꎬ </w:t>
      </w:r>
      <w:r>
        <w:t>对事故隐患仍不采取措施</w:t>
      </w:r>
      <w:r>
        <w:rPr>
          <w:rFonts w:hint="eastAsia" w:ascii="MS UI Gothic" w:eastAsia="MS UI Gothic"/>
          <w:w w:val="80"/>
        </w:rPr>
        <w:t xml:space="preserve">ꎬ </w:t>
      </w:r>
      <w:r>
        <w:t>因而发生重大伤亡事故或者造成其他严重后果</w:t>
      </w:r>
      <w:r>
        <w:rPr>
          <w:rFonts w:hint="eastAsia" w:ascii="MS UI Gothic" w:eastAsia="MS UI Gothic"/>
          <w:w w:val="80"/>
        </w:rPr>
        <w:t xml:space="preserve">ꎬ </w:t>
      </w:r>
      <w:r>
        <w:t>构成犯罪的</w:t>
      </w:r>
      <w:r>
        <w:rPr>
          <w:rFonts w:hint="eastAsia" w:ascii="MS UI Gothic" w:eastAsia="MS UI Gothic"/>
          <w:w w:val="80"/>
        </w:rPr>
        <w:t>ꎬ</w:t>
      </w:r>
      <w:r>
        <w:t>对直接责任人员</w:t>
      </w:r>
      <w:r>
        <w:rPr>
          <w:rFonts w:hint="eastAsia" w:ascii="MS UI Gothic" w:eastAsia="MS UI Gothic"/>
          <w:w w:val="80"/>
        </w:rPr>
        <w:t xml:space="preserve">ꎬ </w:t>
      </w:r>
      <w:r>
        <w:t>依照刑法有关规定追究</w:t>
      </w:r>
      <w:r>
        <w:rPr>
          <w:w w:val="105"/>
        </w:rPr>
        <w:t>刑事责任</w:t>
      </w:r>
      <w:r>
        <w:rPr>
          <w:rFonts w:hint="eastAsia" w:ascii="MS UI Gothic" w:eastAsia="MS UI Gothic"/>
          <w:w w:val="80"/>
        </w:rPr>
        <w:t>ꎮ</w:t>
      </w:r>
    </w:p>
    <w:p>
      <w:pPr>
        <w:pStyle w:val="6"/>
        <w:spacing w:line="295" w:lineRule="auto"/>
        <w:ind w:left="130" w:right="442"/>
      </w:pPr>
      <w:r>
        <w:t>第六十二条 违反本条例的规定</w:t>
      </w:r>
      <w:r>
        <w:rPr>
          <w:rFonts w:hint="eastAsia" w:ascii="MS UI Gothic" w:eastAsia="MS UI Gothic"/>
          <w:w w:val="80"/>
        </w:rPr>
        <w:t xml:space="preserve">ꎬ </w:t>
      </w:r>
      <w:r>
        <w:t>施工单位有下列行为之一的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责令停业整顿</w:t>
      </w:r>
      <w:r>
        <w:rPr>
          <w:rFonts w:hint="eastAsia" w:ascii="MS UI Gothic" w:eastAsia="MS UI Gothic"/>
          <w:w w:val="80"/>
        </w:rPr>
        <w:t xml:space="preserve">ꎬ </w:t>
      </w:r>
      <w:r>
        <w:t>依照</w:t>
      </w:r>
    </w:p>
    <w:p>
      <w:pPr>
        <w:pStyle w:val="6"/>
        <w:spacing w:line="295" w:lineRule="auto"/>
        <w:ind w:left="130" w:right="442" w:firstLine="0"/>
        <w:rPr>
          <w:rFonts w:hint="eastAsia" w:ascii="MS UI Gothic" w:hAnsi="MS UI Gothic" w:eastAsia="MS UI Gothic"/>
        </w:rPr>
      </w:pPr>
      <w:r>
        <w:rPr>
          <w:rFonts w:hint="eastAsia" w:ascii="MS UI Gothic" w:hAnsi="MS UI Gothic" w:eastAsia="MS UI Gothic"/>
          <w:w w:val="80"/>
        </w:rPr>
        <w:t xml:space="preserve">« </w:t>
      </w:r>
      <w:r>
        <w:rPr>
          <w:w w:val="105"/>
        </w:rPr>
        <w:t>中华人民共和国安全生产法</w:t>
      </w:r>
      <w:r>
        <w:rPr>
          <w:rFonts w:hint="eastAsia" w:ascii="MS UI Gothic" w:hAnsi="MS UI Gothic" w:eastAsia="MS UI Gothic"/>
          <w:w w:val="80"/>
        </w:rPr>
        <w:t xml:space="preserve">» </w:t>
      </w:r>
      <w:r>
        <w:rPr>
          <w:w w:val="105"/>
        </w:rPr>
        <w:t>的有关规</w:t>
      </w:r>
      <w:r>
        <w:t>定处以罚款</w:t>
      </w:r>
      <w:r>
        <w:rPr>
          <w:rFonts w:hint="eastAsia" w:ascii="MS UI Gothic" w:hAnsi="MS UI Gothic" w:eastAsia="MS UI Gothic"/>
          <w:w w:val="80"/>
        </w:rPr>
        <w:t xml:space="preserve">ꎻ </w:t>
      </w:r>
      <w:r>
        <w:t>造成重大安全事故</w:t>
      </w:r>
      <w:r>
        <w:rPr>
          <w:rFonts w:hint="eastAsia" w:ascii="MS UI Gothic" w:hAnsi="MS UI Gothic" w:eastAsia="MS UI Gothic"/>
          <w:w w:val="80"/>
        </w:rPr>
        <w:t xml:space="preserve">ꎬ </w:t>
      </w:r>
      <w:r>
        <w:t>构成犯罪的</w:t>
      </w:r>
      <w:r>
        <w:rPr>
          <w:rFonts w:hint="eastAsia" w:ascii="MS UI Gothic" w:hAnsi="MS UI Gothic" w:eastAsia="MS UI Gothic"/>
          <w:w w:val="80"/>
        </w:rPr>
        <w:t xml:space="preserve">ꎬ </w:t>
      </w:r>
      <w:r>
        <w:t>对直接责任人员</w:t>
      </w:r>
      <w:r>
        <w:rPr>
          <w:rFonts w:hint="eastAsia" w:ascii="MS UI Gothic" w:hAnsi="MS UI Gothic" w:eastAsia="MS UI Gothic"/>
          <w:w w:val="80"/>
        </w:rPr>
        <w:t xml:space="preserve">ꎬ </w:t>
      </w:r>
      <w:r>
        <w:t>依照刑法有关规</w:t>
      </w:r>
      <w:r>
        <w:rPr>
          <w:w w:val="105"/>
        </w:rPr>
        <w:t>定追究刑事责任</w:t>
      </w:r>
      <w:r>
        <w:rPr>
          <w:rFonts w:hint="eastAsia" w:ascii="MS UI Gothic" w:hAnsi="MS UI Gothic" w:eastAsia="MS UI Gothic"/>
          <w:w w:val="235"/>
        </w:rPr>
        <w:t>:</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未设立安全生产管理机构</w:t>
      </w:r>
      <w:r>
        <w:rPr>
          <w:rFonts w:hint="eastAsia" w:ascii="MS UI Gothic" w:eastAsia="MS UI Gothic"/>
          <w:w w:val="80"/>
        </w:rPr>
        <w:t xml:space="preserve">、 </w:t>
      </w:r>
      <w:r>
        <w:rPr>
          <w:w w:val="105"/>
        </w:rPr>
        <w:t>配</w:t>
      </w:r>
      <w:r>
        <w:t>备专职安全生产管理人员或者分部分项工程施工时无专职安全生产管理人员现场监</w:t>
      </w:r>
      <w:r>
        <w:rPr>
          <w:w w:val="105"/>
        </w:rPr>
        <w:t>督的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施工单位的主要负责人</w:t>
      </w:r>
      <w:r>
        <w:rPr>
          <w:rFonts w:hint="eastAsia" w:ascii="MS UI Gothic" w:eastAsia="MS UI Gothic"/>
          <w:w w:val="80"/>
        </w:rPr>
        <w:t xml:space="preserve">、 </w:t>
      </w:r>
      <w:r>
        <w:rPr>
          <w:w w:val="105"/>
        </w:rPr>
        <w:t>项目负责人</w:t>
      </w:r>
      <w:r>
        <w:rPr>
          <w:rFonts w:hint="eastAsia" w:ascii="MS UI Gothic" w:eastAsia="MS UI Gothic"/>
          <w:w w:val="80"/>
        </w:rPr>
        <w:t xml:space="preserve">、 </w:t>
      </w:r>
      <w:r>
        <w:rPr>
          <w:w w:val="105"/>
        </w:rPr>
        <w:t>专职安全生产管理人员</w:t>
      </w:r>
      <w:r>
        <w:rPr>
          <w:rFonts w:hint="eastAsia" w:ascii="MS UI Gothic" w:eastAsia="MS UI Gothic"/>
          <w:w w:val="80"/>
        </w:rPr>
        <w:t xml:space="preserve">、 </w:t>
      </w:r>
      <w:r>
        <w:rPr>
          <w:w w:val="105"/>
        </w:rPr>
        <w:t>作业人</w:t>
      </w:r>
      <w:r>
        <w:t>员或者特种作业人员</w:t>
      </w:r>
      <w:r>
        <w:rPr>
          <w:rFonts w:hint="eastAsia" w:ascii="MS UI Gothic" w:eastAsia="MS UI Gothic"/>
          <w:w w:val="80"/>
        </w:rPr>
        <w:t xml:space="preserve">ꎬ </w:t>
      </w:r>
      <w:r>
        <w:t>未经安全教育培训</w:t>
      </w:r>
      <w:r>
        <w:rPr>
          <w:w w:val="105"/>
        </w:rPr>
        <w:t>或者经考核不合格即从事相关工作的</w:t>
      </w:r>
      <w:r>
        <w:rPr>
          <w:rFonts w:hint="eastAsia" w:ascii="MS UI Gothic" w:eastAsia="MS UI Gothic"/>
          <w:w w:val="80"/>
        </w:rPr>
        <w:t>ꎻ</w:t>
      </w:r>
    </w:p>
    <w:p>
      <w:pPr>
        <w:pStyle w:val="6"/>
        <w:spacing w:line="295" w:lineRule="auto"/>
        <w:ind w:left="130"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未在施工现场的危险部位设置</w:t>
      </w:r>
      <w:r>
        <w:t>明显的安全警示标志</w:t>
      </w:r>
      <w:r>
        <w:rPr>
          <w:rFonts w:hint="eastAsia" w:ascii="MS UI Gothic" w:eastAsia="MS UI Gothic"/>
          <w:w w:val="80"/>
        </w:rPr>
        <w:t xml:space="preserve">ꎬ </w:t>
      </w:r>
      <w:r>
        <w:t>或者未按照国家有</w:t>
      </w:r>
      <w:r>
        <w:rPr>
          <w:w w:val="105"/>
        </w:rPr>
        <w:t>关规定在施工现场设置消防通道</w:t>
      </w:r>
      <w:r>
        <w:rPr>
          <w:rFonts w:hint="eastAsia" w:ascii="MS UI Gothic" w:eastAsia="MS UI Gothic"/>
          <w:w w:val="80"/>
        </w:rPr>
        <w:t xml:space="preserve">、 </w:t>
      </w:r>
      <w:r>
        <w:rPr>
          <w:w w:val="105"/>
        </w:rPr>
        <w:t>消防水源</w:t>
      </w:r>
      <w:r>
        <w:rPr>
          <w:rFonts w:hint="eastAsia" w:ascii="MS UI Gothic" w:eastAsia="MS UI Gothic"/>
          <w:w w:val="80"/>
        </w:rPr>
        <w:t xml:space="preserve">、 </w:t>
      </w:r>
      <w:r>
        <w:rPr>
          <w:w w:val="105"/>
        </w:rPr>
        <w:t>配备消防设施和灭火器材的</w:t>
      </w:r>
      <w:r>
        <w:rPr>
          <w:rFonts w:hint="eastAsia" w:ascii="MS UI Gothic" w:eastAsia="MS UI Gothic"/>
          <w:w w:val="80"/>
        </w:rPr>
        <w:t>ꎻ</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2"/>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４３９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15" o:spid="_x0000_s2315" o:spt="203" style="height:2.15pt;width:398.25pt;" coordsize="7965,43">
            <o:lock v:ext="edit"/>
            <v:line id="_x0000_s2316" o:spid="_x0000_s2316" o:spt="20" style="position:absolute;left:0;top:39;height:0;width:7965;" stroked="t" coordsize="21600,21600">
              <v:path arrowok="t"/>
              <v:fill focussize="0,0"/>
              <v:stroke weight="0.388031496062992pt" color="#231F20"/>
              <v:imagedata o:title=""/>
              <o:lock v:ext="edit"/>
            </v:line>
            <v:line id="_x0000_s2317" o:spid="_x0000_s231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未向作业人员提供安全防护用</w:t>
      </w:r>
      <w:r>
        <w:rPr>
          <w:w w:val="110"/>
        </w:rPr>
        <w:t>具和安全防护服装的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未按照规定在施工起重机械和整体提升脚手架</w:t>
      </w:r>
      <w:r>
        <w:rPr>
          <w:rFonts w:hint="eastAsia" w:ascii="MS UI Gothic" w:eastAsia="MS UI Gothic"/>
          <w:w w:val="80"/>
        </w:rPr>
        <w:t xml:space="preserve">、 </w:t>
      </w:r>
      <w:r>
        <w:rPr>
          <w:w w:val="105"/>
        </w:rPr>
        <w:t>模板等自升式架设设施验收合格后登记的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使用国家明令淘汰</w:t>
      </w:r>
      <w:r>
        <w:rPr>
          <w:rFonts w:hint="eastAsia" w:ascii="MS UI Gothic" w:eastAsia="MS UI Gothic"/>
          <w:w w:val="80"/>
        </w:rPr>
        <w:t xml:space="preserve">、 </w:t>
      </w:r>
      <w:r>
        <w:rPr>
          <w:w w:val="105"/>
        </w:rPr>
        <w:t>禁止使用的危及施工安全的工艺</w:t>
      </w:r>
      <w:r>
        <w:rPr>
          <w:rFonts w:hint="eastAsia" w:ascii="MS UI Gothic" w:eastAsia="MS UI Gothic"/>
          <w:w w:val="80"/>
        </w:rPr>
        <w:t xml:space="preserve">、 </w:t>
      </w:r>
      <w:r>
        <w:rPr>
          <w:w w:val="105"/>
        </w:rPr>
        <w:t>设备</w:t>
      </w:r>
      <w:r>
        <w:rPr>
          <w:rFonts w:hint="eastAsia" w:ascii="MS UI Gothic" w:eastAsia="MS UI Gothic"/>
          <w:w w:val="80"/>
        </w:rPr>
        <w:t xml:space="preserve">、 </w:t>
      </w:r>
      <w:r>
        <w:rPr>
          <w:w w:val="105"/>
        </w:rPr>
        <w:t>材料的</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3"/>
          <w:w w:val="95"/>
        </w:rPr>
        <w:t>第六十三条  违反本条例的规定</w:t>
      </w:r>
      <w:r>
        <w:rPr>
          <w:rFonts w:hint="eastAsia" w:ascii="MS UI Gothic" w:eastAsia="MS UI Gothic"/>
          <w:spacing w:val="14"/>
          <w:w w:val="90"/>
        </w:rPr>
        <w:t xml:space="preserve">ꎬ  </w:t>
      </w:r>
      <w:r>
        <w:rPr>
          <w:w w:val="95"/>
        </w:rPr>
        <w:t>施</w:t>
      </w:r>
      <w:r>
        <w:rPr>
          <w:spacing w:val="2"/>
          <w:w w:val="95"/>
        </w:rPr>
        <w:t xml:space="preserve">工单位挪用列入建设工程概算的安全生产  </w:t>
      </w:r>
      <w:r>
        <w:rPr>
          <w:spacing w:val="3"/>
          <w:w w:val="95"/>
        </w:rPr>
        <w:t>作业环境及安全施工措施所需费用的</w:t>
      </w:r>
      <w:r>
        <w:rPr>
          <w:rFonts w:hint="eastAsia" w:ascii="MS UI Gothic" w:eastAsia="MS UI Gothic"/>
          <w:spacing w:val="16"/>
          <w:w w:val="90"/>
        </w:rPr>
        <w:t xml:space="preserve">ꎬ  </w:t>
      </w:r>
      <w:r>
        <w:rPr>
          <w:w w:val="95"/>
        </w:rPr>
        <w:t>责</w:t>
      </w:r>
      <w:r>
        <w:rPr>
          <w:spacing w:val="7"/>
          <w:w w:val="95"/>
        </w:rPr>
        <w:t>令限期改正</w:t>
      </w:r>
      <w:r>
        <w:rPr>
          <w:rFonts w:hint="eastAsia" w:ascii="MS UI Gothic" w:eastAsia="MS UI Gothic"/>
          <w:spacing w:val="18"/>
          <w:w w:val="90"/>
        </w:rPr>
        <w:t xml:space="preserve">ꎬ </w:t>
      </w:r>
      <w:r>
        <w:rPr>
          <w:spacing w:val="4"/>
          <w:w w:val="95"/>
        </w:rPr>
        <w:t xml:space="preserve">处挪用费用 </w:t>
      </w:r>
      <w:r>
        <w:rPr>
          <w:rFonts w:hint="eastAsia" w:ascii="MS UI Gothic" w:eastAsia="MS UI Gothic"/>
          <w:w w:val="95"/>
        </w:rPr>
        <w:t>２０</w:t>
      </w:r>
      <w:r>
        <w:rPr>
          <w:spacing w:val="-16"/>
          <w:w w:val="95"/>
        </w:rPr>
        <w:t xml:space="preserve">％ 以上 </w:t>
      </w:r>
      <w:r>
        <w:rPr>
          <w:rFonts w:hint="eastAsia" w:ascii="MS UI Gothic" w:eastAsia="MS UI Gothic"/>
          <w:w w:val="95"/>
        </w:rPr>
        <w:t>５０</w:t>
      </w:r>
      <w:r>
        <w:rPr>
          <w:w w:val="95"/>
        </w:rPr>
        <w:t xml:space="preserve">％ </w:t>
      </w:r>
      <w:r>
        <w:rPr>
          <w:spacing w:val="3"/>
          <w:w w:val="95"/>
        </w:rPr>
        <w:t>以下的罚款</w:t>
      </w:r>
      <w:r>
        <w:rPr>
          <w:rFonts w:hint="eastAsia" w:ascii="MS UI Gothic" w:eastAsia="MS UI Gothic"/>
          <w:spacing w:val="20"/>
          <w:w w:val="90"/>
        </w:rPr>
        <w:t xml:space="preserve">ꎻ </w:t>
      </w:r>
      <w:r>
        <w:rPr>
          <w:spacing w:val="3"/>
          <w:w w:val="95"/>
        </w:rPr>
        <w:t>造成损失的</w:t>
      </w:r>
      <w:r>
        <w:rPr>
          <w:rFonts w:hint="eastAsia" w:ascii="MS UI Gothic" w:eastAsia="MS UI Gothic"/>
          <w:spacing w:val="20"/>
          <w:w w:val="90"/>
        </w:rPr>
        <w:t xml:space="preserve">ꎬ </w:t>
      </w:r>
      <w:r>
        <w:rPr>
          <w:spacing w:val="2"/>
          <w:w w:val="95"/>
        </w:rPr>
        <w:t>依法承担赔偿</w:t>
      </w:r>
      <w:r>
        <w:rPr>
          <w:spacing w:val="3"/>
          <w:w w:val="95"/>
        </w:rPr>
        <w:t>责任</w:t>
      </w:r>
      <w:r>
        <w:rPr>
          <w:rFonts w:hint="eastAsia" w:ascii="MS UI Gothic" w:eastAsia="MS UI Gothic"/>
          <w:w w:val="90"/>
        </w:rPr>
        <w:t>ꎮ</w:t>
      </w:r>
    </w:p>
    <w:p>
      <w:pPr>
        <w:pStyle w:val="6"/>
        <w:spacing w:line="295" w:lineRule="auto"/>
        <w:ind w:left="435" w:right="1" w:firstLine="425"/>
        <w:rPr>
          <w:rFonts w:hint="eastAsia" w:ascii="MS UI Gothic" w:eastAsia="MS UI Gothic"/>
        </w:rPr>
      </w:pPr>
      <w:r>
        <w:t>第六十四条 违反本条例的规定</w:t>
      </w:r>
      <w:r>
        <w:rPr>
          <w:rFonts w:hint="eastAsia" w:ascii="MS UI Gothic" w:eastAsia="MS UI Gothic"/>
          <w:w w:val="80"/>
        </w:rPr>
        <w:t xml:space="preserve">ꎬ </w:t>
      </w:r>
      <w:r>
        <w:t>施工单位有下列行为之一的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责令停业整顿</w:t>
      </w:r>
      <w:r>
        <w:rPr>
          <w:rFonts w:hint="eastAsia" w:ascii="MS UI Gothic" w:eastAsia="MS UI Gothic"/>
          <w:w w:val="80"/>
        </w:rPr>
        <w:t xml:space="preserve">ꎬ </w:t>
      </w:r>
      <w:r>
        <w:t>并处</w:t>
      </w:r>
      <w:r>
        <w:rPr>
          <w:rFonts w:hint="eastAsia" w:ascii="MS UI Gothic" w:eastAsia="MS UI Gothic"/>
          <w:w w:val="80"/>
        </w:rPr>
        <w:t xml:space="preserve">５ </w:t>
      </w:r>
      <w:r>
        <w:t xml:space="preserve">万元以上 </w:t>
      </w:r>
      <w:r>
        <w:rPr>
          <w:rFonts w:hint="eastAsia" w:ascii="MS UI Gothic" w:eastAsia="MS UI Gothic"/>
          <w:w w:val="80"/>
        </w:rPr>
        <w:t xml:space="preserve">１０ </w:t>
      </w:r>
      <w:r>
        <w:t>万元以下的罚款</w:t>
      </w:r>
      <w:r>
        <w:rPr>
          <w:rFonts w:hint="eastAsia" w:ascii="MS UI Gothic" w:eastAsia="MS UI Gothic"/>
          <w:w w:val="80"/>
        </w:rPr>
        <w:t xml:space="preserve">ꎻ </w:t>
      </w:r>
      <w:r>
        <w:t>造成重大安全事故</w:t>
      </w:r>
      <w:r>
        <w:rPr>
          <w:rFonts w:hint="eastAsia" w:ascii="MS UI Gothic" w:eastAsia="MS UI Gothic"/>
          <w:w w:val="80"/>
        </w:rPr>
        <w:t xml:space="preserve">ꎬ </w:t>
      </w:r>
      <w:r>
        <w:t>构成犯罪的</w:t>
      </w:r>
      <w:r>
        <w:rPr>
          <w:rFonts w:hint="eastAsia" w:ascii="MS UI Gothic" w:eastAsia="MS UI Gothic"/>
          <w:w w:val="80"/>
        </w:rPr>
        <w:t xml:space="preserve">ꎬ </w:t>
      </w:r>
      <w:r>
        <w:t>对直接责任人员</w:t>
      </w:r>
      <w:r>
        <w:rPr>
          <w:rFonts w:hint="eastAsia" w:ascii="MS UI Gothic" w:eastAsia="MS UI Gothic"/>
          <w:w w:val="80"/>
        </w:rPr>
        <w:t xml:space="preserve">ꎬ </w:t>
      </w:r>
      <w:r>
        <w:t>依照刑法有关规定追究刑事责任</w:t>
      </w:r>
      <w:r>
        <w:rPr>
          <w:rFonts w:hint="eastAsia" w:ascii="MS UI Gothic" w:eastAsia="MS UI Gothic"/>
          <w:w w:val="230"/>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施工前未对有关安全施工的技</w:t>
      </w:r>
      <w:r>
        <w:rPr>
          <w:w w:val="110"/>
        </w:rPr>
        <w:t>术要求作出详细说明的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未根据不同施工阶段和周围环境及季节</w:t>
      </w:r>
      <w:r>
        <w:rPr>
          <w:rFonts w:hint="eastAsia" w:ascii="MS UI Gothic" w:eastAsia="MS UI Gothic"/>
          <w:w w:val="80"/>
        </w:rPr>
        <w:t xml:space="preserve">、 </w:t>
      </w:r>
      <w:r>
        <w:rPr>
          <w:w w:val="105"/>
        </w:rPr>
        <w:t>气候的变化</w:t>
      </w:r>
      <w:r>
        <w:rPr>
          <w:rFonts w:hint="eastAsia" w:ascii="MS UI Gothic" w:eastAsia="MS UI Gothic"/>
          <w:w w:val="80"/>
        </w:rPr>
        <w:t xml:space="preserve">ꎬ </w:t>
      </w:r>
      <w:r>
        <w:rPr>
          <w:w w:val="105"/>
        </w:rPr>
        <w:t>在施工现场采取</w:t>
      </w:r>
      <w:r>
        <w:t>相应的安全施工措施</w:t>
      </w:r>
      <w:r>
        <w:rPr>
          <w:rFonts w:hint="eastAsia" w:ascii="MS UI Gothic" w:eastAsia="MS UI Gothic"/>
          <w:w w:val="80"/>
        </w:rPr>
        <w:t xml:space="preserve">ꎬ </w:t>
      </w:r>
      <w:r>
        <w:t>或者在城市市区内的建设工程的施工现场未实行封闭围</w:t>
      </w:r>
      <w:r>
        <w:rPr>
          <w:w w:val="105"/>
        </w:rPr>
        <w:t>挡的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在尚未竣工的建筑物内设置员</w:t>
      </w:r>
      <w:r>
        <w:rPr>
          <w:w w:val="110"/>
        </w:rPr>
        <w:t>工集体宿舍的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四</w:t>
      </w:r>
      <w:r>
        <w:rPr>
          <w:rFonts w:hint="eastAsia" w:ascii="MS UI Gothic" w:eastAsia="MS UI Gothic"/>
          <w:spacing w:val="6"/>
          <w:w w:val="105"/>
        </w:rPr>
        <w:t xml:space="preserve">) </w:t>
      </w:r>
      <w:r>
        <w:rPr>
          <w:spacing w:val="5"/>
          <w:w w:val="105"/>
        </w:rPr>
        <w:t>施工现场临时搭建的建筑物不</w:t>
      </w:r>
      <w:r>
        <w:rPr>
          <w:spacing w:val="3"/>
          <w:w w:val="110"/>
        </w:rPr>
        <w:t>符合安全使用要求的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五</w:t>
      </w:r>
      <w:r>
        <w:rPr>
          <w:rFonts w:hint="eastAsia" w:ascii="MS UI Gothic" w:eastAsia="MS UI Gothic"/>
          <w:spacing w:val="2"/>
          <w:w w:val="150"/>
        </w:rPr>
        <w:t xml:space="preserve">) </w:t>
      </w:r>
      <w:r>
        <w:rPr>
          <w:spacing w:val="5"/>
          <w:w w:val="105"/>
        </w:rPr>
        <w:t>未对因建设工程施工可能造成</w:t>
      </w:r>
      <w:r>
        <w:rPr>
          <w:spacing w:val="3"/>
          <w:w w:val="105"/>
        </w:rPr>
        <w:t>损害的毗邻建筑物</w:t>
      </w:r>
      <w:r>
        <w:rPr>
          <w:rFonts w:hint="eastAsia" w:ascii="MS UI Gothic" w:eastAsia="MS UI Gothic"/>
          <w:spacing w:val="-5"/>
          <w:w w:val="80"/>
        </w:rPr>
        <w:t xml:space="preserve">、 </w:t>
      </w:r>
      <w:r>
        <w:rPr>
          <w:spacing w:val="2"/>
          <w:w w:val="105"/>
        </w:rPr>
        <w:t>构筑物和地下管线等</w:t>
      </w:r>
      <w:r>
        <w:rPr>
          <w:spacing w:val="3"/>
          <w:w w:val="105"/>
        </w:rPr>
        <w:t>采取专项防护措施的</w:t>
      </w:r>
      <w:r>
        <w:rPr>
          <w:rFonts w:hint="eastAsia" w:ascii="MS UI Gothic" w:eastAsia="MS UI Gothic"/>
          <w:w w:val="80"/>
        </w:rPr>
        <w:t>ꎮ</w:t>
      </w:r>
    </w:p>
    <w:p>
      <w:pPr>
        <w:pStyle w:val="6"/>
        <w:spacing w:line="295" w:lineRule="auto"/>
        <w:ind w:left="440"/>
        <w:rPr>
          <w:rFonts w:hint="eastAsia" w:ascii="MS UI Gothic" w:eastAsia="MS UI Gothic"/>
        </w:rPr>
      </w:pPr>
      <w:r>
        <w:rPr>
          <w:spacing w:val="19"/>
          <w:w w:val="105"/>
        </w:rPr>
        <w:t xml:space="preserve">施工单位有前款规定第 </w:t>
      </w:r>
      <w:r>
        <w:rPr>
          <w:rFonts w:hint="eastAsia" w:ascii="MS UI Gothic" w:eastAsia="MS UI Gothic"/>
          <w:spacing w:val="-29"/>
          <w:w w:val="150"/>
        </w:rPr>
        <w:t xml:space="preserve">( </w:t>
      </w:r>
      <w:r>
        <w:rPr>
          <w:spacing w:val="21"/>
          <w:w w:val="105"/>
        </w:rPr>
        <w:t>四</w:t>
      </w:r>
      <w:r>
        <w:rPr>
          <w:rFonts w:hint="eastAsia" w:ascii="MS UI Gothic" w:eastAsia="MS UI Gothic"/>
          <w:spacing w:val="19"/>
          <w:w w:val="150"/>
        </w:rPr>
        <w:t xml:space="preserve">) </w:t>
      </w:r>
      <w:r>
        <w:rPr>
          <w:spacing w:val="3"/>
          <w:w w:val="105"/>
        </w:rPr>
        <w:t>项</w:t>
      </w:r>
      <w:r>
        <w:rPr>
          <w:rFonts w:hint="eastAsia" w:ascii="MS UI Gothic" w:eastAsia="MS UI Gothic"/>
          <w:spacing w:val="-15"/>
          <w:w w:val="80"/>
        </w:rPr>
        <w:t>、</w:t>
      </w:r>
      <w:r>
        <w:rPr>
          <w:spacing w:val="-15"/>
          <w:w w:val="105"/>
        </w:rPr>
        <w:t xml:space="preserve">第 </w:t>
      </w:r>
      <w:r>
        <w:rPr>
          <w:rFonts w:hint="eastAsia" w:ascii="MS UI Gothic" w:eastAsia="MS UI Gothic"/>
          <w:spacing w:val="-38"/>
          <w:w w:val="150"/>
        </w:rPr>
        <w:t xml:space="preserve">( </w:t>
      </w:r>
      <w:r>
        <w:rPr>
          <w:spacing w:val="13"/>
          <w:w w:val="105"/>
        </w:rPr>
        <w:t>五</w:t>
      </w:r>
      <w:r>
        <w:rPr>
          <w:rFonts w:hint="eastAsia" w:ascii="MS UI Gothic" w:eastAsia="MS UI Gothic"/>
          <w:spacing w:val="2"/>
          <w:w w:val="150"/>
        </w:rPr>
        <w:t xml:space="preserve">) </w:t>
      </w:r>
      <w:r>
        <w:rPr>
          <w:spacing w:val="13"/>
          <w:w w:val="105"/>
        </w:rPr>
        <w:t>项行为</w:t>
      </w:r>
      <w:r>
        <w:rPr>
          <w:rFonts w:hint="eastAsia" w:ascii="MS UI Gothic" w:eastAsia="MS UI Gothic"/>
          <w:spacing w:val="17"/>
          <w:w w:val="80"/>
        </w:rPr>
        <w:t xml:space="preserve">ꎬ </w:t>
      </w:r>
      <w:r>
        <w:rPr>
          <w:spacing w:val="15"/>
          <w:w w:val="105"/>
        </w:rPr>
        <w:t>造成损失的</w:t>
      </w:r>
      <w:r>
        <w:rPr>
          <w:rFonts w:hint="eastAsia" w:ascii="MS UI Gothic" w:eastAsia="MS UI Gothic"/>
          <w:spacing w:val="17"/>
          <w:w w:val="80"/>
        </w:rPr>
        <w:t xml:space="preserve">ꎬ </w:t>
      </w:r>
      <w:r>
        <w:rPr>
          <w:spacing w:val="14"/>
          <w:w w:val="105"/>
        </w:rPr>
        <w:t>依法承</w:t>
      </w:r>
      <w:r>
        <w:rPr>
          <w:spacing w:val="3"/>
          <w:w w:val="105"/>
        </w:rPr>
        <w:t>担赔偿责任</w:t>
      </w:r>
      <w:r>
        <w:rPr>
          <w:rFonts w:hint="eastAsia" w:ascii="MS UI Gothic" w:eastAsia="MS UI Gothic"/>
          <w:w w:val="80"/>
        </w:rPr>
        <w:t>ꎮ</w:t>
      </w:r>
    </w:p>
    <w:p>
      <w:pPr>
        <w:pStyle w:val="6"/>
        <w:spacing w:line="295" w:lineRule="auto"/>
        <w:ind w:left="440" w:right="1"/>
      </w:pPr>
      <w:r>
        <w:t>第六十五条 违反本条例的规定</w:t>
      </w:r>
      <w:r>
        <w:rPr>
          <w:rFonts w:hint="eastAsia" w:ascii="MS UI Gothic" w:eastAsia="MS UI Gothic"/>
          <w:w w:val="80"/>
        </w:rPr>
        <w:t xml:space="preserve">ꎬ </w:t>
      </w:r>
      <w:r>
        <w:t>施工单位有下列行为之一的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责令停业整顿</w:t>
      </w:r>
      <w:r>
        <w:rPr>
          <w:rFonts w:hint="eastAsia" w:ascii="MS UI Gothic" w:eastAsia="MS UI Gothic"/>
          <w:w w:val="80"/>
        </w:rPr>
        <w:t xml:space="preserve">ꎬ </w:t>
      </w:r>
      <w:r>
        <w:t>并处</w:t>
      </w:r>
    </w:p>
    <w:p>
      <w:pPr>
        <w:pStyle w:val="6"/>
        <w:spacing w:before="124" w:line="295" w:lineRule="auto"/>
        <w:ind w:left="381" w:right="126" w:hanging="6"/>
        <w:rPr>
          <w:rFonts w:hint="eastAsia" w:ascii="MS UI Gothic" w:eastAsia="MS UI Gothic"/>
        </w:rPr>
      </w:pPr>
      <w:r>
        <w:br w:type="column"/>
      </w:r>
      <w:r>
        <w:rPr>
          <w:rFonts w:hint="eastAsia" w:ascii="MS UI Gothic" w:eastAsia="MS UI Gothic"/>
          <w:w w:val="80"/>
        </w:rPr>
        <w:t xml:space="preserve">１０ </w:t>
      </w:r>
      <w:r>
        <w:t xml:space="preserve">万元以上 </w:t>
      </w:r>
      <w:r>
        <w:rPr>
          <w:rFonts w:hint="eastAsia" w:ascii="MS UI Gothic" w:eastAsia="MS UI Gothic"/>
          <w:w w:val="80"/>
        </w:rPr>
        <w:t xml:space="preserve">３０ </w:t>
      </w:r>
      <w:r>
        <w:t>万元以下的罚款</w:t>
      </w:r>
      <w:r>
        <w:rPr>
          <w:rFonts w:hint="eastAsia" w:ascii="MS UI Gothic" w:eastAsia="MS UI Gothic"/>
          <w:w w:val="80"/>
        </w:rPr>
        <w:t xml:space="preserve">ꎻ </w:t>
      </w:r>
      <w:r>
        <w:t>情节严重的</w:t>
      </w:r>
      <w:r>
        <w:rPr>
          <w:rFonts w:hint="eastAsia" w:ascii="MS UI Gothic" w:eastAsia="MS UI Gothic"/>
          <w:w w:val="80"/>
        </w:rPr>
        <w:t xml:space="preserve">ꎬ </w:t>
      </w:r>
      <w:r>
        <w:t>降低资质等级</w:t>
      </w:r>
      <w:r>
        <w:rPr>
          <w:rFonts w:hint="eastAsia" w:ascii="MS UI Gothic" w:eastAsia="MS UI Gothic"/>
          <w:w w:val="80"/>
        </w:rPr>
        <w:t xml:space="preserve">ꎬ </w:t>
      </w:r>
      <w:r>
        <w:t>直至吊销资质证书</w:t>
      </w:r>
      <w:r>
        <w:rPr>
          <w:rFonts w:hint="eastAsia" w:ascii="MS UI Gothic" w:eastAsia="MS UI Gothic"/>
          <w:w w:val="80"/>
        </w:rPr>
        <w:t xml:space="preserve">ꎻ </w:t>
      </w:r>
      <w:r>
        <w:t>造成重大安全事故</w:t>
      </w:r>
      <w:r>
        <w:rPr>
          <w:rFonts w:hint="eastAsia" w:ascii="MS UI Gothic" w:eastAsia="MS UI Gothic"/>
          <w:w w:val="80"/>
        </w:rPr>
        <w:t xml:space="preserve">ꎬ </w:t>
      </w:r>
      <w:r>
        <w:t>构成犯罪的</w:t>
      </w:r>
      <w:r>
        <w:rPr>
          <w:rFonts w:hint="eastAsia" w:ascii="MS UI Gothic" w:eastAsia="MS UI Gothic"/>
          <w:w w:val="80"/>
        </w:rPr>
        <w:t xml:space="preserve">ꎬ </w:t>
      </w:r>
      <w:r>
        <w:t>对直接责任人员</w:t>
      </w:r>
      <w:r>
        <w:rPr>
          <w:rFonts w:hint="eastAsia" w:ascii="MS UI Gothic" w:eastAsia="MS UI Gothic"/>
          <w:w w:val="80"/>
        </w:rPr>
        <w:t xml:space="preserve">ꎬ </w:t>
      </w:r>
      <w:r>
        <w:t>依照刑法有关规定追究刑事责任</w:t>
      </w:r>
      <w:r>
        <w:rPr>
          <w:rFonts w:hint="eastAsia" w:ascii="MS UI Gothic" w:eastAsia="MS UI Gothic"/>
          <w:w w:val="80"/>
        </w:rPr>
        <w:t xml:space="preserve">ꎻ </w:t>
      </w:r>
      <w:r>
        <w:t>造成损失的</w:t>
      </w:r>
      <w:r>
        <w:rPr>
          <w:rFonts w:hint="eastAsia" w:ascii="MS UI Gothic" w:eastAsia="MS UI Gothic"/>
          <w:w w:val="80"/>
        </w:rPr>
        <w:t xml:space="preserve">ꎬ </w:t>
      </w:r>
      <w:r>
        <w:t>依法承担赔偿责任</w:t>
      </w:r>
      <w:r>
        <w:rPr>
          <w:rFonts w:hint="eastAsia" w:ascii="MS UI Gothic" w:eastAsia="MS UI Gothic"/>
          <w:w w:val="230"/>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安全防护用具</w:t>
      </w:r>
      <w:r>
        <w:rPr>
          <w:rFonts w:hint="eastAsia" w:ascii="MS UI Gothic" w:eastAsia="MS UI Gothic"/>
          <w:w w:val="80"/>
        </w:rPr>
        <w:t xml:space="preserve">、 </w:t>
      </w:r>
      <w:r>
        <w:rPr>
          <w:w w:val="105"/>
        </w:rPr>
        <w:t>机械设备</w:t>
      </w:r>
      <w:r>
        <w:rPr>
          <w:rFonts w:hint="eastAsia" w:ascii="MS UI Gothic" w:eastAsia="MS UI Gothic"/>
          <w:w w:val="80"/>
        </w:rPr>
        <w:t xml:space="preserve">、 </w:t>
      </w:r>
      <w:r>
        <w:rPr>
          <w:w w:val="105"/>
        </w:rPr>
        <w:t>施</w:t>
      </w:r>
      <w:r>
        <w:t>工机具及配件在进入施工现场前未经查验</w:t>
      </w:r>
      <w:r>
        <w:rPr>
          <w:w w:val="105"/>
        </w:rPr>
        <w:t>或者查验不合格即投入使用的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使用未经验收或者验收不合格的施工起重机械和整体提升脚手架</w:t>
      </w:r>
      <w:r>
        <w:rPr>
          <w:rFonts w:hint="eastAsia" w:ascii="MS UI Gothic" w:eastAsia="MS UI Gothic"/>
          <w:w w:val="80"/>
        </w:rPr>
        <w:t xml:space="preserve">、 </w:t>
      </w:r>
      <w:r>
        <w:rPr>
          <w:w w:val="105"/>
        </w:rPr>
        <w:t>模板等自升式架设设施的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委托不具有相应资质的单位承担施工现场安装</w:t>
      </w:r>
      <w:r>
        <w:rPr>
          <w:rFonts w:hint="eastAsia" w:ascii="MS UI Gothic" w:eastAsia="MS UI Gothic"/>
          <w:w w:val="80"/>
        </w:rPr>
        <w:t xml:space="preserve">、 </w:t>
      </w:r>
      <w:r>
        <w:rPr>
          <w:w w:val="105"/>
        </w:rPr>
        <w:t>拆卸施工起重机械和整体提升脚手架</w:t>
      </w:r>
      <w:r>
        <w:rPr>
          <w:rFonts w:hint="eastAsia" w:ascii="MS UI Gothic" w:eastAsia="MS UI Gothic"/>
          <w:w w:val="80"/>
        </w:rPr>
        <w:t xml:space="preserve">、 </w:t>
      </w:r>
      <w:r>
        <w:rPr>
          <w:w w:val="105"/>
        </w:rPr>
        <w:t>模板等自升式架设设施的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在施工组织设计中未编制安全技术措施</w:t>
      </w:r>
      <w:r>
        <w:rPr>
          <w:rFonts w:hint="eastAsia" w:ascii="MS UI Gothic" w:eastAsia="MS UI Gothic"/>
          <w:w w:val="80"/>
        </w:rPr>
        <w:t xml:space="preserve">、 </w:t>
      </w:r>
      <w:r>
        <w:rPr>
          <w:w w:val="105"/>
        </w:rPr>
        <w:t>施工现场临时用电方案或者专项施工方案的</w:t>
      </w:r>
      <w:r>
        <w:rPr>
          <w:rFonts w:hint="eastAsia" w:ascii="MS UI Gothic" w:eastAsia="MS UI Gothic"/>
          <w:w w:val="80"/>
        </w:rPr>
        <w:t>ꎮ</w:t>
      </w:r>
    </w:p>
    <w:p>
      <w:pPr>
        <w:pStyle w:val="6"/>
        <w:spacing w:line="295" w:lineRule="auto"/>
        <w:ind w:left="381" w:right="126"/>
        <w:rPr>
          <w:rFonts w:hint="eastAsia" w:ascii="MS UI Gothic" w:eastAsia="MS UI Gothic"/>
        </w:rPr>
      </w:pPr>
      <w:r>
        <w:t>第六十六条 违反本条例的规定</w:t>
      </w:r>
      <w:r>
        <w:rPr>
          <w:rFonts w:hint="eastAsia" w:ascii="MS UI Gothic" w:eastAsia="MS UI Gothic"/>
          <w:w w:val="80"/>
        </w:rPr>
        <w:t xml:space="preserve">ꎬ </w:t>
      </w:r>
      <w:r>
        <w:t>施工单位的主要负责人</w:t>
      </w:r>
      <w:r>
        <w:rPr>
          <w:rFonts w:hint="eastAsia" w:ascii="MS UI Gothic" w:eastAsia="MS UI Gothic"/>
          <w:w w:val="80"/>
        </w:rPr>
        <w:t xml:space="preserve">、 </w:t>
      </w:r>
      <w:r>
        <w:t>项目负责人未履行安全生产管理职责的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责令施工单位停业整顿</w:t>
      </w:r>
      <w:r>
        <w:rPr>
          <w:rFonts w:hint="eastAsia" w:ascii="MS UI Gothic" w:eastAsia="MS UI Gothic"/>
          <w:w w:val="80"/>
        </w:rPr>
        <w:t xml:space="preserve">ꎻ </w:t>
      </w:r>
      <w:r>
        <w:t>造成重大安全事故</w:t>
      </w:r>
      <w:r>
        <w:rPr>
          <w:rFonts w:hint="eastAsia" w:ascii="MS UI Gothic" w:eastAsia="MS UI Gothic"/>
          <w:w w:val="80"/>
        </w:rPr>
        <w:t xml:space="preserve">、 </w:t>
      </w:r>
      <w:r>
        <w:t>重大伤亡事故或者其他严重后果</w:t>
      </w:r>
      <w:r>
        <w:rPr>
          <w:rFonts w:hint="eastAsia" w:ascii="MS UI Gothic" w:eastAsia="MS UI Gothic"/>
          <w:w w:val="80"/>
        </w:rPr>
        <w:t xml:space="preserve">ꎬ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作业人员不服管理</w:t>
      </w:r>
      <w:r>
        <w:rPr>
          <w:rFonts w:hint="eastAsia" w:ascii="MS UI Gothic" w:eastAsia="MS UI Gothic"/>
          <w:w w:val="80"/>
        </w:rPr>
        <w:t xml:space="preserve">、 </w:t>
      </w:r>
      <w:r>
        <w:t>违反规章制度和操作规程冒险作业造成重大伤亡事故或者其他严重后果</w:t>
      </w:r>
      <w:r>
        <w:rPr>
          <w:rFonts w:hint="eastAsia" w:ascii="MS UI Gothic" w:eastAsia="MS UI Gothic"/>
          <w:w w:val="80"/>
        </w:rPr>
        <w:t xml:space="preserve">ꎬ </w:t>
      </w:r>
      <w:r>
        <w:t>构成犯罪的</w:t>
      </w:r>
      <w:r>
        <w:rPr>
          <w:rFonts w:hint="eastAsia" w:ascii="MS UI Gothic" w:eastAsia="MS UI Gothic"/>
          <w:w w:val="80"/>
        </w:rPr>
        <w:t xml:space="preserve">ꎬ </w:t>
      </w:r>
      <w:r>
        <w:t>依照刑法有关规定追究刑事责任</w:t>
      </w:r>
      <w:r>
        <w:rPr>
          <w:rFonts w:hint="eastAsia" w:ascii="MS UI Gothic" w:eastAsia="MS UI Gothic"/>
          <w:w w:val="80"/>
        </w:rPr>
        <w:t>ꎮ</w:t>
      </w:r>
    </w:p>
    <w:p>
      <w:pPr>
        <w:pStyle w:val="6"/>
        <w:spacing w:line="295" w:lineRule="auto"/>
        <w:ind w:left="375" w:right="126" w:firstLine="425"/>
        <w:rPr>
          <w:rFonts w:hint="eastAsia" w:ascii="MS UI Gothic" w:eastAsia="MS UI Gothic"/>
        </w:rPr>
      </w:pPr>
      <w:r>
        <w:t>施工单位的主要负责人</w:t>
      </w:r>
      <w:r>
        <w:rPr>
          <w:rFonts w:hint="eastAsia" w:ascii="MS UI Gothic" w:eastAsia="MS UI Gothic"/>
          <w:w w:val="85"/>
        </w:rPr>
        <w:t xml:space="preserve">、 </w:t>
      </w:r>
      <w:r>
        <w:t>项目负责人有前款违法行为</w:t>
      </w:r>
      <w:r>
        <w:rPr>
          <w:rFonts w:hint="eastAsia" w:ascii="MS UI Gothic" w:eastAsia="MS UI Gothic"/>
          <w:w w:val="85"/>
        </w:rPr>
        <w:t xml:space="preserve">ꎬ </w:t>
      </w:r>
      <w:r>
        <w:t>尚不够刑事处罚的</w:t>
      </w:r>
      <w:r>
        <w:rPr>
          <w:rFonts w:hint="eastAsia" w:ascii="MS UI Gothic" w:eastAsia="MS UI Gothic"/>
          <w:w w:val="85"/>
        </w:rPr>
        <w:t xml:space="preserve">ꎬ </w:t>
      </w:r>
      <w:r>
        <w:t>处</w:t>
      </w:r>
      <w:r>
        <w:rPr>
          <w:rFonts w:hint="eastAsia" w:ascii="MS UI Gothic" w:eastAsia="MS UI Gothic"/>
          <w:w w:val="85"/>
        </w:rPr>
        <w:t xml:space="preserve">２ </w:t>
      </w:r>
      <w:r>
        <w:t xml:space="preserve">万元以上 </w:t>
      </w:r>
      <w:r>
        <w:rPr>
          <w:rFonts w:hint="eastAsia" w:ascii="MS UI Gothic" w:eastAsia="MS UI Gothic"/>
          <w:w w:val="85"/>
        </w:rPr>
        <w:t xml:space="preserve">２０ </w:t>
      </w:r>
      <w:r>
        <w:t>万元以下的罚款或者按照管理权限给予撤职处分</w:t>
      </w:r>
      <w:r>
        <w:rPr>
          <w:rFonts w:hint="eastAsia" w:ascii="MS UI Gothic" w:eastAsia="MS UI Gothic"/>
          <w:w w:val="85"/>
        </w:rPr>
        <w:t xml:space="preserve">ꎻ </w:t>
      </w:r>
      <w:r>
        <w:t>自刑罚执行完毕或者受处分之日起</w:t>
      </w:r>
      <w:r>
        <w:rPr>
          <w:rFonts w:hint="eastAsia" w:ascii="MS UI Gothic" w:eastAsia="MS UI Gothic"/>
          <w:w w:val="85"/>
        </w:rPr>
        <w:t xml:space="preserve">ꎬ ５ </w:t>
      </w:r>
      <w:r>
        <w:t>年内不得担任任何施工单位的主要负责人</w:t>
      </w:r>
      <w:r>
        <w:rPr>
          <w:rFonts w:hint="eastAsia" w:ascii="MS UI Gothic" w:eastAsia="MS UI Gothic"/>
          <w:w w:val="85"/>
        </w:rPr>
        <w:t xml:space="preserve">、 </w:t>
      </w:r>
      <w:r>
        <w:t>项目负责人</w:t>
      </w:r>
      <w:r>
        <w:rPr>
          <w:rFonts w:hint="eastAsia" w:ascii="MS UI Gothic" w:eastAsia="MS UI Gothic"/>
          <w:w w:val="85"/>
        </w:rPr>
        <w:t>ꎮ</w:t>
      </w:r>
    </w:p>
    <w:p>
      <w:pPr>
        <w:pStyle w:val="6"/>
        <w:spacing w:line="295" w:lineRule="auto"/>
        <w:ind w:left="381" w:right="126"/>
      </w:pPr>
      <w:r>
        <w:t>第六十七条 施工单位取得资质证书后</w:t>
      </w:r>
      <w:r>
        <w:rPr>
          <w:rFonts w:hint="eastAsia" w:ascii="MS UI Gothic" w:eastAsia="MS UI Gothic"/>
          <w:w w:val="80"/>
        </w:rPr>
        <w:t xml:space="preserve">ꎬ </w:t>
      </w:r>
      <w:r>
        <w:t>降低安全生产条件的</w:t>
      </w:r>
      <w:r>
        <w:rPr>
          <w:rFonts w:hint="eastAsia" w:ascii="MS UI Gothic" w:eastAsia="MS UI Gothic"/>
          <w:w w:val="80"/>
        </w:rPr>
        <w:t xml:space="preserve">ꎬ </w:t>
      </w:r>
      <w:r>
        <w:t>责令限期改正</w:t>
      </w:r>
      <w:r>
        <w:rPr>
          <w:rFonts w:hint="eastAsia" w:ascii="MS UI Gothic" w:eastAsia="MS UI Gothic"/>
          <w:w w:val="80"/>
        </w:rPr>
        <w:t xml:space="preserve">ꎻ </w:t>
      </w:r>
      <w:r>
        <w:t>经整改仍未达到与其资质等级相适应</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４４０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18" o:spid="_x0000_s2318" o:spt="203" style="height:2.15pt;width:398.25pt;" coordsize="7965,43">
            <o:lock v:ext="edit"/>
            <v:line id="_x0000_s2319" o:spid="_x0000_s2319" o:spt="20" style="position:absolute;left:0;top:39;height:0;width:7965;" stroked="t" coordsize="21600,21600">
              <v:path arrowok="t"/>
              <v:fill focussize="0,0"/>
              <v:stroke weight="0.388031496062992pt" color="#231F20"/>
              <v:imagedata o:title=""/>
              <o:lock v:ext="edit"/>
            </v:line>
            <v:line id="_x0000_s2320" o:spid="_x0000_s232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jc w:val="left"/>
        <w:rPr>
          <w:rFonts w:hint="eastAsia" w:ascii="MS UI Gothic" w:eastAsia="MS UI Gothic"/>
        </w:rPr>
      </w:pPr>
      <w:r>
        <w:t>的安全生产条件的</w:t>
      </w:r>
      <w:r>
        <w:rPr>
          <w:rFonts w:hint="eastAsia" w:ascii="MS UI Gothic" w:eastAsia="MS UI Gothic"/>
          <w:w w:val="80"/>
        </w:rPr>
        <w:t xml:space="preserve">ꎬ </w:t>
      </w:r>
      <w:r>
        <w:t>责令停业整顿</w:t>
      </w:r>
      <w:r>
        <w:rPr>
          <w:rFonts w:hint="eastAsia" w:ascii="MS UI Gothic" w:eastAsia="MS UI Gothic"/>
          <w:w w:val="80"/>
        </w:rPr>
        <w:t xml:space="preserve">ꎬ </w:t>
      </w:r>
      <w:r>
        <w:t>降低其资质等级直至吊销资质证书</w:t>
      </w:r>
      <w:r>
        <w:rPr>
          <w:rFonts w:hint="eastAsia" w:ascii="MS UI Gothic" w:eastAsia="MS UI Gothic"/>
          <w:w w:val="80"/>
        </w:rPr>
        <w:t>ꎮ</w:t>
      </w:r>
    </w:p>
    <w:p>
      <w:pPr>
        <w:pStyle w:val="6"/>
        <w:spacing w:line="295" w:lineRule="auto"/>
        <w:ind w:right="38"/>
        <w:rPr>
          <w:rFonts w:hint="eastAsia" w:ascii="MS UI Gothic" w:eastAsia="MS UI Gothic"/>
        </w:rPr>
      </w:pPr>
      <w:r>
        <w:rPr>
          <w:spacing w:val="18"/>
          <w:w w:val="105"/>
        </w:rPr>
        <w:t>第六十八条 本条例规定的行政处</w:t>
      </w:r>
      <w:r>
        <w:rPr>
          <w:spacing w:val="3"/>
        </w:rPr>
        <w:t>罚</w:t>
      </w:r>
      <w:r>
        <w:rPr>
          <w:rFonts w:hint="eastAsia" w:ascii="MS UI Gothic" w:eastAsia="MS UI Gothic"/>
          <w:spacing w:val="21"/>
          <w:w w:val="80"/>
        </w:rPr>
        <w:t xml:space="preserve">ꎬ </w:t>
      </w:r>
      <w:r>
        <w:rPr>
          <w:spacing w:val="2"/>
        </w:rPr>
        <w:t>由建设行政主管部门或者其他有关部</w:t>
      </w:r>
      <w:r>
        <w:rPr>
          <w:spacing w:val="3"/>
          <w:w w:val="105"/>
        </w:rPr>
        <w:t>门依照法定职权决定</w:t>
      </w:r>
      <w:r>
        <w:rPr>
          <w:rFonts w:hint="eastAsia" w:ascii="MS UI Gothic" w:eastAsia="MS UI Gothic"/>
          <w:w w:val="80"/>
        </w:rPr>
        <w:t>ꎮ</w:t>
      </w:r>
    </w:p>
    <w:p>
      <w:pPr>
        <w:pStyle w:val="6"/>
        <w:spacing w:line="295" w:lineRule="auto"/>
        <w:ind w:right="38"/>
        <w:rPr>
          <w:rFonts w:hint="eastAsia" w:ascii="MS UI Gothic" w:eastAsia="MS UI Gothic"/>
        </w:rPr>
      </w:pPr>
      <w:r>
        <w:rPr>
          <w:spacing w:val="3"/>
        </w:rPr>
        <w:t>违反消防安全管理规定的行为</w:t>
      </w:r>
      <w:r>
        <w:rPr>
          <w:rFonts w:hint="eastAsia" w:ascii="MS UI Gothic" w:eastAsia="MS UI Gothic"/>
          <w:spacing w:val="16"/>
          <w:w w:val="80"/>
        </w:rPr>
        <w:t xml:space="preserve">ꎬ </w:t>
      </w:r>
      <w:r>
        <w:rPr>
          <w:spacing w:val="1"/>
        </w:rPr>
        <w:t>由公</w:t>
      </w:r>
      <w:r>
        <w:rPr>
          <w:spacing w:val="3"/>
        </w:rPr>
        <w:t>安消防机构依法处罚</w:t>
      </w:r>
      <w:r>
        <w:rPr>
          <w:rFonts w:hint="eastAsia" w:ascii="MS UI Gothic" w:eastAsia="MS UI Gothic"/>
          <w:w w:val="80"/>
        </w:rPr>
        <w:t>ꎮ</w:t>
      </w:r>
    </w:p>
    <w:p>
      <w:pPr>
        <w:pStyle w:val="6"/>
        <w:spacing w:line="295" w:lineRule="auto"/>
        <w:ind w:right="38"/>
        <w:rPr>
          <w:rFonts w:hint="eastAsia" w:ascii="MS UI Gothic" w:eastAsia="MS UI Gothic"/>
        </w:rPr>
      </w:pPr>
      <w:r>
        <w:t>有关法律</w:t>
      </w:r>
      <w:r>
        <w:rPr>
          <w:rFonts w:hint="eastAsia" w:ascii="MS UI Gothic" w:eastAsia="MS UI Gothic"/>
          <w:w w:val="80"/>
        </w:rPr>
        <w:t xml:space="preserve">、 </w:t>
      </w:r>
      <w:r>
        <w:t>行政法规对建设工程安全生产违法行为的行政处罚决定机关另有规定的</w:t>
      </w:r>
      <w:r>
        <w:rPr>
          <w:rFonts w:hint="eastAsia" w:ascii="MS UI Gothic" w:eastAsia="MS UI Gothic"/>
          <w:w w:val="80"/>
        </w:rPr>
        <w:t xml:space="preserve">ꎬ </w:t>
      </w:r>
      <w:r>
        <w:t>从其规定</w:t>
      </w:r>
      <w:r>
        <w:rPr>
          <w:rFonts w:hint="eastAsia" w:ascii="MS UI Gothic" w:eastAsia="MS UI Gothic"/>
          <w:w w:val="80"/>
        </w:rPr>
        <w:t>ꎮ</w:t>
      </w:r>
    </w:p>
    <w:p>
      <w:pPr>
        <w:pStyle w:val="4"/>
        <w:spacing w:before="293"/>
        <w:ind w:left="124"/>
        <w:jc w:val="left"/>
      </w:pPr>
      <w:r>
        <w:t>建筑安全规章</w:t>
      </w:r>
    </w:p>
    <w:p>
      <w:pPr>
        <w:pStyle w:val="6"/>
        <w:spacing w:before="11"/>
        <w:ind w:left="0" w:firstLine="0"/>
        <w:jc w:val="left"/>
        <w:rPr>
          <w:sz w:val="21"/>
        </w:rPr>
      </w:pPr>
      <w:r>
        <w:br w:type="column"/>
      </w:r>
    </w:p>
    <w:p>
      <w:pPr>
        <w:pStyle w:val="6"/>
        <w:tabs>
          <w:tab w:val="left" w:pos="2011"/>
          <w:tab w:val="left" w:pos="2639"/>
        </w:tabs>
        <w:ind w:left="1172" w:firstLine="0"/>
        <w:jc w:val="left"/>
      </w:pPr>
      <w:r>
        <w:rPr>
          <w:spacing w:val="3"/>
          <w:w w:val="105"/>
        </w:rPr>
        <w:t>第八</w:t>
      </w:r>
      <w:r>
        <w:rPr>
          <w:w w:val="105"/>
        </w:rPr>
        <w:t>章</w:t>
      </w:r>
      <w:r>
        <w:rPr>
          <w:w w:val="105"/>
        </w:rPr>
        <w:tab/>
      </w:r>
      <w:r>
        <w:rPr>
          <w:w w:val="105"/>
        </w:rPr>
        <w:t>附</w:t>
      </w:r>
      <w:r>
        <w:rPr>
          <w:w w:val="105"/>
        </w:rPr>
        <w:tab/>
      </w:r>
      <w:r>
        <w:rPr>
          <w:w w:val="105"/>
        </w:rPr>
        <w:t>则</w:t>
      </w:r>
    </w:p>
    <w:p>
      <w:pPr>
        <w:pStyle w:val="6"/>
        <w:spacing w:before="216" w:line="295" w:lineRule="auto"/>
        <w:ind w:right="442"/>
        <w:rPr>
          <w:rFonts w:hint="eastAsia" w:ascii="MS UI Gothic" w:eastAsia="MS UI Gothic"/>
        </w:rPr>
      </w:pPr>
      <w:r>
        <w:t>第六十九条 抢险救灾和农民自建低层住宅的安全生产管理</w:t>
      </w:r>
      <w:r>
        <w:rPr>
          <w:rFonts w:hint="eastAsia" w:ascii="MS UI Gothic" w:eastAsia="MS UI Gothic"/>
          <w:w w:val="80"/>
        </w:rPr>
        <w:t xml:space="preserve">ꎬ </w:t>
      </w:r>
      <w:r>
        <w:t>不适用本条例</w:t>
      </w:r>
      <w:r>
        <w:rPr>
          <w:rFonts w:hint="eastAsia" w:ascii="MS UI Gothic" w:eastAsia="MS UI Gothic"/>
          <w:w w:val="80"/>
        </w:rPr>
        <w:t>ꎮ</w:t>
      </w:r>
    </w:p>
    <w:p>
      <w:pPr>
        <w:pStyle w:val="6"/>
        <w:spacing w:line="295" w:lineRule="auto"/>
        <w:ind w:right="442"/>
        <w:rPr>
          <w:rFonts w:hint="eastAsia" w:ascii="MS UI Gothic" w:eastAsia="MS UI Gothic"/>
        </w:rPr>
      </w:pPr>
      <w:r>
        <w:t>第七十条 军事建设工程的安全生产管理</w:t>
      </w:r>
      <w:r>
        <w:rPr>
          <w:rFonts w:hint="eastAsia" w:ascii="MS UI Gothic" w:eastAsia="MS UI Gothic"/>
          <w:w w:val="80"/>
        </w:rPr>
        <w:t xml:space="preserve">ꎬ </w:t>
      </w:r>
      <w:r>
        <w:t>按照中央军事委员会的有关规定执行</w:t>
      </w:r>
      <w:r>
        <w:rPr>
          <w:rFonts w:hint="eastAsia" w:ascii="MS UI Gothic" w:eastAsia="MS UI Gothic"/>
          <w:w w:val="80"/>
        </w:rPr>
        <w:t>ꎮ</w:t>
      </w:r>
    </w:p>
    <w:p>
      <w:pPr>
        <w:pStyle w:val="6"/>
        <w:spacing w:line="295" w:lineRule="auto"/>
        <w:ind w:left="280" w:right="442" w:firstLine="263"/>
        <w:rPr>
          <w:rFonts w:hint="eastAsia" w:ascii="MS UI Gothic" w:eastAsia="MS UI Gothic"/>
        </w:rPr>
      </w:pPr>
      <w:r>
        <w:pict>
          <v:shape id="_x0000_s2321" o:spid="_x0000_s2321" o:spt="202" type="#_x0000_t202" style="position:absolute;left:0pt;margin-left:264.5pt;margin-top:12pt;height:24.35pt;width:5.15pt;mso-position-horizontal-relative:page;z-index:25218252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第七十一条 本条例自 </w:t>
      </w:r>
      <w:r>
        <w:rPr>
          <w:rFonts w:hint="eastAsia" w:ascii="MS UI Gothic" w:eastAsia="MS UI Gothic"/>
          <w:w w:val="95"/>
        </w:rPr>
        <w:t xml:space="preserve">２００４ </w:t>
      </w:r>
      <w:r>
        <w:rPr>
          <w:w w:val="95"/>
        </w:rPr>
        <w:t xml:space="preserve">年 </w:t>
      </w:r>
      <w:r>
        <w:rPr>
          <w:rFonts w:hint="eastAsia" w:ascii="MS UI Gothic" w:eastAsia="MS UI Gothic"/>
          <w:w w:val="95"/>
        </w:rPr>
        <w:t xml:space="preserve">２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10"/>
        <w:ind w:left="0" w:firstLine="0"/>
        <w:jc w:val="left"/>
        <w:rPr>
          <w:rFonts w:ascii="MS UI Gothic"/>
          <w:sz w:val="21"/>
        </w:rPr>
      </w:pPr>
    </w:p>
    <w:p>
      <w:pPr>
        <w:pStyle w:val="4"/>
        <w:spacing w:before="74"/>
        <w:ind w:right="630"/>
      </w:pPr>
      <w:r>
        <w:t>中华人民共和国建设部令</w:t>
      </w:r>
    </w:p>
    <w:p>
      <w:pPr>
        <w:pStyle w:val="6"/>
        <w:ind w:left="0" w:firstLine="0"/>
        <w:jc w:val="left"/>
        <w:rPr>
          <w:sz w:val="27"/>
        </w:rPr>
      </w:pPr>
    </w:p>
    <w:p>
      <w:pPr>
        <w:pStyle w:val="5"/>
        <w:ind w:right="630"/>
      </w:pPr>
      <w:r>
        <w:t xml:space="preserve">第 </w:t>
      </w:r>
      <w:r>
        <w:rPr>
          <w:rFonts w:hint="eastAsia" w:ascii="MS UI Gothic" w:eastAsia="MS UI Gothic"/>
        </w:rPr>
        <w:t xml:space="preserve">１２８ </w:t>
      </w:r>
      <w:r>
        <w:t>号</w:t>
      </w:r>
    </w:p>
    <w:p>
      <w:pPr>
        <w:pStyle w:val="6"/>
        <w:spacing w:before="354" w:line="295" w:lineRule="auto"/>
        <w:ind w:right="442"/>
        <w:jc w:val="left"/>
        <w:rPr>
          <w:rFonts w:hint="eastAsia" w:ascii="MS UI Gothic" w:hAnsi="MS UI Gothic" w:eastAsia="MS UI Gothic"/>
        </w:rPr>
      </w:pPr>
      <w:r>
        <w:rPr>
          <w:rFonts w:hint="eastAsia" w:ascii="MS UI Gothic" w:hAnsi="MS UI Gothic" w:eastAsia="MS UI Gothic"/>
          <w:w w:val="95"/>
        </w:rPr>
        <w:t xml:space="preserve">« </w:t>
      </w:r>
      <w:r>
        <w:rPr>
          <w:w w:val="95"/>
        </w:rPr>
        <w:t>建筑施工企业安全生产许可证管理规定</w:t>
      </w:r>
      <w:r>
        <w:rPr>
          <w:rFonts w:hint="eastAsia" w:ascii="MS UI Gothic" w:hAnsi="MS UI Gothic" w:eastAsia="MS UI Gothic"/>
          <w:w w:val="95"/>
        </w:rPr>
        <w:t xml:space="preserve">» </w:t>
      </w:r>
      <w:r>
        <w:rPr>
          <w:w w:val="95"/>
        </w:rPr>
        <w:t xml:space="preserve">已于 </w:t>
      </w:r>
      <w:r>
        <w:rPr>
          <w:rFonts w:hint="eastAsia" w:ascii="MS UI Gothic" w:hAnsi="MS UI Gothic" w:eastAsia="MS UI Gothic"/>
          <w:w w:val="95"/>
        </w:rPr>
        <w:t xml:space="preserve">２００４ </w:t>
      </w:r>
      <w:r>
        <w:rPr>
          <w:w w:val="95"/>
        </w:rPr>
        <w:t xml:space="preserve">年 </w:t>
      </w:r>
      <w:r>
        <w:rPr>
          <w:rFonts w:hint="eastAsia" w:ascii="MS UI Gothic" w:hAnsi="MS UI Gothic" w:eastAsia="MS UI Gothic"/>
          <w:w w:val="95"/>
        </w:rPr>
        <w:t xml:space="preserve">６ </w:t>
      </w:r>
      <w:r>
        <w:rPr>
          <w:w w:val="95"/>
        </w:rPr>
        <w:t xml:space="preserve">月 </w:t>
      </w:r>
      <w:r>
        <w:rPr>
          <w:rFonts w:hint="eastAsia" w:ascii="MS UI Gothic" w:hAnsi="MS UI Gothic" w:eastAsia="MS UI Gothic"/>
          <w:w w:val="95"/>
        </w:rPr>
        <w:t xml:space="preserve">２９ </w:t>
      </w:r>
      <w:r>
        <w:rPr>
          <w:w w:val="95"/>
        </w:rPr>
        <w:t xml:space="preserve">日经第 </w:t>
      </w:r>
      <w:r>
        <w:rPr>
          <w:rFonts w:hint="eastAsia" w:ascii="MS UI Gothic" w:hAnsi="MS UI Gothic" w:eastAsia="MS UI Gothic"/>
          <w:w w:val="95"/>
        </w:rPr>
        <w:t xml:space="preserve">３７ </w:t>
      </w:r>
      <w:r>
        <w:rPr>
          <w:w w:val="95"/>
        </w:rPr>
        <w:t>次部常务会议讨论通过</w:t>
      </w:r>
      <w:r>
        <w:rPr>
          <w:rFonts w:hint="eastAsia" w:ascii="MS UI Gothic" w:hAnsi="MS UI Gothic" w:eastAsia="MS UI Gothic"/>
          <w:w w:val="90"/>
        </w:rPr>
        <w:t xml:space="preserve">ꎬ </w:t>
      </w:r>
      <w:r>
        <w:rPr>
          <w:w w:val="95"/>
        </w:rPr>
        <w:t>现予发布</w:t>
      </w:r>
      <w:r>
        <w:rPr>
          <w:rFonts w:hint="eastAsia" w:ascii="MS UI Gothic" w:hAnsi="MS UI Gothic" w:eastAsia="MS UI Gothic"/>
          <w:w w:val="90"/>
        </w:rPr>
        <w:t xml:space="preserve">ꎬ </w:t>
      </w:r>
      <w:r>
        <w:rPr>
          <w:w w:val="95"/>
        </w:rPr>
        <w:t>自公布之日起施行</w:t>
      </w:r>
      <w:r>
        <w:rPr>
          <w:rFonts w:hint="eastAsia" w:ascii="MS UI Gothic" w:hAnsi="MS UI Gothic" w:eastAsia="MS UI Gothic"/>
          <w:w w:val="90"/>
        </w:rPr>
        <w:t>ꎮ</w:t>
      </w:r>
    </w:p>
    <w:p>
      <w:pPr>
        <w:pStyle w:val="6"/>
        <w:spacing w:before="10"/>
        <w:ind w:left="0" w:firstLine="0"/>
        <w:jc w:val="left"/>
        <w:rPr>
          <w:rFonts w:ascii="MS UI Gothic"/>
          <w:sz w:val="10"/>
        </w:rPr>
      </w:pPr>
    </w:p>
    <w:p>
      <w:pPr>
        <w:pStyle w:val="6"/>
        <w:spacing w:before="175"/>
        <w:ind w:left="0" w:right="442" w:firstLine="0"/>
        <w:jc w:val="right"/>
      </w:pPr>
      <w:r>
        <w:t>二</w:t>
      </w:r>
      <w:r>
        <w:rPr>
          <w:rFonts w:hint="eastAsia" w:ascii="MS UI Gothic" w:hAnsi="MS UI Gothic" w:eastAsia="MS UI Gothic"/>
        </w:rPr>
        <w:t>○○</w:t>
      </w:r>
      <w:r>
        <w:t>四年七月五日</w:t>
      </w:r>
    </w:p>
    <w:p>
      <w:pPr>
        <w:pStyle w:val="4"/>
        <w:ind w:left="769"/>
        <w:jc w:val="left"/>
        <w:rPr>
          <w:rFonts w:hint="eastAsia" w:ascii="Microsoft Yi Baiti" w:eastAsia="Microsoft Yi Baiti"/>
        </w:rPr>
      </w:pPr>
      <w:r>
        <w:t xml:space="preserve">建筑施工企业安全生产许可证管理规定 </w:t>
      </w:r>
      <w:r>
        <w:rPr>
          <w:rFonts w:hint="eastAsia" w:ascii="Microsoft Yi Baiti" w:eastAsia="Microsoft Yi Baiti"/>
        </w:rPr>
        <w:t>(</w:t>
      </w:r>
      <w:r>
        <w:rPr>
          <w:rFonts w:hint="eastAsia" w:ascii="MS UI Gothic" w:eastAsia="MS UI Gothic"/>
        </w:rPr>
        <w:t xml:space="preserve">２００４ </w:t>
      </w:r>
      <w:r>
        <w:t>年公布</w:t>
      </w:r>
      <w:r>
        <w:rPr>
          <w:rFonts w:hint="eastAsia" w:ascii="Microsoft Yi Baiti" w:eastAsia="Microsoft Yi Baiti"/>
        </w:rPr>
        <w:t>)</w:t>
      </w: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5" w:lineRule="auto"/>
        <w:ind w:right="38"/>
      </w:pPr>
      <w:r>
        <w:t>第一条 为了严格规范建筑施工企业安全生产条件</w:t>
      </w:r>
      <w:r>
        <w:rPr>
          <w:rFonts w:hint="eastAsia" w:ascii="MS UI Gothic" w:eastAsia="MS UI Gothic"/>
          <w:w w:val="80"/>
        </w:rPr>
        <w:t xml:space="preserve">ꎬ </w:t>
      </w:r>
      <w:r>
        <w:t>进一步加强安全生产监督管理</w:t>
      </w:r>
      <w:r>
        <w:rPr>
          <w:rFonts w:hint="eastAsia" w:ascii="MS UI Gothic" w:eastAsia="MS UI Gothic"/>
          <w:w w:val="80"/>
        </w:rPr>
        <w:t xml:space="preserve">ꎬ </w:t>
      </w:r>
      <w:r>
        <w:t>防止和减少生产安全事故</w:t>
      </w:r>
      <w:r>
        <w:rPr>
          <w:rFonts w:hint="eastAsia" w:ascii="MS UI Gothic" w:eastAsia="MS UI Gothic"/>
          <w:w w:val="80"/>
        </w:rPr>
        <w:t xml:space="preserve">ꎬ </w:t>
      </w:r>
      <w:r>
        <w:t>根据</w:t>
      </w:r>
    </w:p>
    <w:p>
      <w:pPr>
        <w:pStyle w:val="6"/>
        <w:spacing w:line="295" w:lineRule="auto"/>
        <w:ind w:right="38" w:firstLine="0"/>
        <w:rPr>
          <w:rFonts w:hint="eastAsia" w:ascii="MS UI Gothic" w:hAnsi="MS UI Gothic" w:eastAsia="MS UI Gothic"/>
        </w:rPr>
      </w:pPr>
      <w:r>
        <w:rPr>
          <w:rFonts w:hint="eastAsia" w:ascii="MS UI Gothic" w:hAnsi="MS UI Gothic" w:eastAsia="MS UI Gothic"/>
        </w:rPr>
        <w:t xml:space="preserve">« </w:t>
      </w:r>
      <w:r>
        <w:t>安全生产许可证条例</w:t>
      </w:r>
      <w:r>
        <w:rPr>
          <w:rFonts w:hint="eastAsia" w:ascii="MS UI Gothic" w:hAnsi="MS UI Gothic" w:eastAsia="MS UI Gothic"/>
        </w:rPr>
        <w:t xml:space="preserve">»、 « </w:t>
      </w:r>
      <w:r>
        <w:t>建设工程安全生产管理条例</w:t>
      </w:r>
      <w:r>
        <w:rPr>
          <w:rFonts w:hint="eastAsia" w:ascii="MS UI Gothic" w:hAnsi="MS UI Gothic" w:eastAsia="MS UI Gothic"/>
        </w:rPr>
        <w:t xml:space="preserve">» </w:t>
      </w:r>
      <w:r>
        <w:t>等有关行政法规</w:t>
      </w:r>
      <w:r>
        <w:rPr>
          <w:rFonts w:hint="eastAsia" w:ascii="MS UI Gothic" w:hAnsi="MS UI Gothic" w:eastAsia="MS UI Gothic"/>
          <w:w w:val="80"/>
        </w:rPr>
        <w:t xml:space="preserve">ꎬ </w:t>
      </w:r>
      <w:r>
        <w:t>制定本规定</w:t>
      </w:r>
      <w:r>
        <w:rPr>
          <w:rFonts w:hint="eastAsia" w:ascii="MS UI Gothic" w:hAnsi="MS UI Gothic" w:eastAsia="MS UI Gothic"/>
          <w:w w:val="80"/>
        </w:rPr>
        <w:t>ꎮ</w:t>
      </w:r>
    </w:p>
    <w:p>
      <w:pPr>
        <w:pStyle w:val="6"/>
        <w:spacing w:line="295" w:lineRule="auto"/>
        <w:ind w:right="38"/>
        <w:rPr>
          <w:rFonts w:hint="eastAsia" w:ascii="MS UI Gothic" w:eastAsia="MS UI Gothic"/>
        </w:rPr>
      </w:pPr>
      <w:r>
        <w:rPr>
          <w:w w:val="105"/>
        </w:rPr>
        <w:t>第二条 国家对建筑施工企业实行安全生产许可制度</w:t>
      </w:r>
      <w:r>
        <w:rPr>
          <w:rFonts w:hint="eastAsia" w:ascii="MS UI Gothic" w:eastAsia="MS UI Gothic"/>
          <w:w w:val="80"/>
        </w:rPr>
        <w:t>ꎮ</w:t>
      </w:r>
    </w:p>
    <w:p>
      <w:pPr>
        <w:pStyle w:val="6"/>
        <w:spacing w:line="295" w:lineRule="auto"/>
        <w:ind w:right="38"/>
        <w:rPr>
          <w:rFonts w:hint="eastAsia" w:ascii="MS UI Gothic" w:eastAsia="MS UI Gothic"/>
        </w:rPr>
      </w:pPr>
      <w:r>
        <w:t>建筑施工企业未取得安全生产许可证的</w:t>
      </w:r>
      <w:r>
        <w:rPr>
          <w:rFonts w:hint="eastAsia" w:ascii="MS UI Gothic" w:eastAsia="MS UI Gothic"/>
          <w:w w:val="80"/>
        </w:rPr>
        <w:t xml:space="preserve">ꎬ </w:t>
      </w:r>
      <w:r>
        <w:t>不得从事建筑施工活动</w:t>
      </w:r>
      <w:r>
        <w:rPr>
          <w:rFonts w:hint="eastAsia" w:ascii="MS UI Gothic" w:eastAsia="MS UI Gothic"/>
          <w:w w:val="80"/>
        </w:rPr>
        <w:t>ꎮ</w:t>
      </w:r>
    </w:p>
    <w:p>
      <w:pPr>
        <w:pStyle w:val="6"/>
        <w:spacing w:line="295" w:lineRule="auto"/>
        <w:ind w:right="38"/>
      </w:pPr>
      <w:r>
        <w:t>本规定所称建筑施工企业</w:t>
      </w:r>
      <w:r>
        <w:rPr>
          <w:rFonts w:hint="eastAsia" w:ascii="MS UI Gothic" w:eastAsia="MS UI Gothic"/>
          <w:w w:val="80"/>
        </w:rPr>
        <w:t xml:space="preserve">ꎬ </w:t>
      </w:r>
      <w:r>
        <w:t>是指从事土木工程</w:t>
      </w:r>
      <w:r>
        <w:rPr>
          <w:rFonts w:hint="eastAsia" w:ascii="MS UI Gothic" w:eastAsia="MS UI Gothic"/>
          <w:w w:val="80"/>
        </w:rPr>
        <w:t xml:space="preserve">、 </w:t>
      </w:r>
      <w:r>
        <w:t>建筑工程</w:t>
      </w:r>
      <w:r>
        <w:rPr>
          <w:rFonts w:hint="eastAsia" w:ascii="MS UI Gothic" w:eastAsia="MS UI Gothic"/>
          <w:w w:val="80"/>
        </w:rPr>
        <w:t xml:space="preserve">、 </w:t>
      </w:r>
      <w:r>
        <w:t>线路管道和设备安</w:t>
      </w:r>
    </w:p>
    <w:p>
      <w:pPr>
        <w:pStyle w:val="6"/>
        <w:spacing w:before="174" w:line="295" w:lineRule="auto"/>
        <w:ind w:right="442" w:firstLine="0"/>
        <w:jc w:val="left"/>
        <w:rPr>
          <w:rFonts w:hint="eastAsia" w:ascii="MS UI Gothic" w:eastAsia="MS UI Gothic"/>
        </w:rPr>
      </w:pPr>
      <w:r>
        <w:br w:type="column"/>
      </w:r>
      <w:r>
        <w:t>装工程及装修工程的新建</w:t>
      </w:r>
      <w:r>
        <w:rPr>
          <w:rFonts w:hint="eastAsia" w:ascii="MS UI Gothic" w:eastAsia="MS UI Gothic"/>
          <w:w w:val="80"/>
        </w:rPr>
        <w:t xml:space="preserve">、 </w:t>
      </w:r>
      <w:r>
        <w:t>扩建</w:t>
      </w:r>
      <w:r>
        <w:rPr>
          <w:rFonts w:hint="eastAsia" w:ascii="MS UI Gothic" w:eastAsia="MS UI Gothic"/>
          <w:w w:val="80"/>
        </w:rPr>
        <w:t xml:space="preserve">、 </w:t>
      </w:r>
      <w:r>
        <w:t>改建和拆除等有关活动的企业</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第三条 国务院建设主管部门负责中</w:t>
      </w:r>
      <w:r>
        <w:t>央管理的建筑施工企业安全生产许可证的</w:t>
      </w:r>
      <w:r>
        <w:rPr>
          <w:w w:val="105"/>
        </w:rPr>
        <w:t>颁发和管理</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直辖市人民政府建设主</w:t>
      </w:r>
      <w:r>
        <w:t>管部门负责本行政区域内前款规定以外的建筑施工企业安全生产许可证的颁发和管理</w:t>
      </w:r>
      <w:r>
        <w:rPr>
          <w:rFonts w:hint="eastAsia" w:ascii="MS UI Gothic" w:eastAsia="MS UI Gothic"/>
          <w:w w:val="80"/>
        </w:rPr>
        <w:t xml:space="preserve">ꎬ </w:t>
      </w:r>
      <w:r>
        <w:t>并接受国务院建设主管部门的指导和</w:t>
      </w:r>
      <w:r>
        <w:rPr>
          <w:w w:val="105"/>
        </w:rPr>
        <w:t>监督</w:t>
      </w:r>
      <w:r>
        <w:rPr>
          <w:rFonts w:hint="eastAsia" w:ascii="MS UI Gothic" w:eastAsia="MS UI Gothic"/>
          <w:w w:val="80"/>
        </w:rPr>
        <w:t>ꎮ</w:t>
      </w:r>
    </w:p>
    <w:p>
      <w:pPr>
        <w:pStyle w:val="6"/>
        <w:spacing w:line="295" w:lineRule="auto"/>
        <w:ind w:right="442"/>
      </w:pPr>
      <w:r>
        <w:rPr>
          <w:w w:val="105"/>
        </w:rPr>
        <w:t>市</w:t>
      </w:r>
      <w:r>
        <w:rPr>
          <w:rFonts w:hint="eastAsia" w:ascii="MS UI Gothic" w:eastAsia="MS UI Gothic"/>
          <w:w w:val="80"/>
        </w:rPr>
        <w:t xml:space="preserve">、 </w:t>
      </w:r>
      <w:r>
        <w:rPr>
          <w:w w:val="105"/>
        </w:rPr>
        <w:t>县人民政府建设主管部门负责本</w:t>
      </w:r>
      <w:r>
        <w:t>行政区域内建筑施工企业安全生产许可证的监督管理</w:t>
      </w:r>
      <w:r>
        <w:rPr>
          <w:rFonts w:hint="eastAsia" w:ascii="MS UI Gothic" w:eastAsia="MS UI Gothic"/>
          <w:w w:val="80"/>
        </w:rPr>
        <w:t xml:space="preserve">ꎬ </w:t>
      </w:r>
      <w:r>
        <w:t>并将监督检查中发现的企业违法行为及时报告安全生产许可证颁发管</w:t>
      </w:r>
    </w:p>
    <w:p>
      <w:pPr>
        <w:spacing w:after="0" w:line="295" w:lineRule="auto"/>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４４１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22" o:spid="_x0000_s2322" o:spt="203" style="height:2.15pt;width:398.25pt;" coordsize="7965,43">
            <o:lock v:ext="edit"/>
            <v:line id="_x0000_s2323" o:spid="_x0000_s2323" o:spt="20" style="position:absolute;left:0;top:39;height:0;width:7965;" stroked="t" coordsize="21600,21600">
              <v:path arrowok="t"/>
              <v:fill focussize="0,0"/>
              <v:stroke weight="0.388031496062992pt" color="#231F20"/>
              <v:imagedata o:title=""/>
              <o:lock v:ext="edit"/>
            </v:line>
            <v:line id="_x0000_s2324" o:spid="_x0000_s232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rPr>
          <w:w w:val="95"/>
        </w:rPr>
        <w:t>理机关</w:t>
      </w:r>
      <w:r>
        <w:rPr>
          <w:rFonts w:hint="eastAsia" w:ascii="MS UI Gothic" w:eastAsia="MS UI Gothic"/>
          <w:w w:val="80"/>
        </w:rPr>
        <w:t>ꎮ</w:t>
      </w:r>
    </w:p>
    <w:p>
      <w:pPr>
        <w:pStyle w:val="6"/>
        <w:ind w:left="0" w:firstLine="0"/>
        <w:jc w:val="left"/>
        <w:rPr>
          <w:rFonts w:ascii="MS UI Gothic"/>
          <w:sz w:val="24"/>
        </w:rPr>
      </w:pPr>
      <w:r>
        <w:br w:type="column"/>
      </w:r>
    </w:p>
    <w:p>
      <w:pPr>
        <w:pStyle w:val="6"/>
        <w:spacing w:before="6"/>
        <w:ind w:left="0" w:firstLine="0"/>
        <w:jc w:val="left"/>
        <w:rPr>
          <w:rFonts w:ascii="MS UI Gothic"/>
          <w:sz w:val="22"/>
        </w:rPr>
      </w:pPr>
    </w:p>
    <w:p>
      <w:pPr>
        <w:pStyle w:val="6"/>
        <w:tabs>
          <w:tab w:val="left" w:pos="905"/>
        </w:tabs>
        <w:ind w:left="66" w:firstLine="0"/>
        <w:jc w:val="left"/>
      </w:pPr>
      <w:r>
        <w:rPr>
          <w:spacing w:val="3"/>
          <w:w w:val="105"/>
        </w:rPr>
        <w:t>第二</w:t>
      </w:r>
      <w:r>
        <w:rPr>
          <w:w w:val="105"/>
        </w:rPr>
        <w:t>章</w:t>
      </w:r>
      <w:r>
        <w:rPr>
          <w:w w:val="105"/>
        </w:rPr>
        <w:tab/>
      </w:r>
      <w:r>
        <w:rPr>
          <w:spacing w:val="3"/>
          <w:w w:val="105"/>
        </w:rPr>
        <w:t>安全生产条</w:t>
      </w:r>
      <w:r>
        <w:rPr>
          <w:w w:val="105"/>
        </w:rPr>
        <w:t>件</w:t>
      </w:r>
    </w:p>
    <w:p>
      <w:pPr>
        <w:pStyle w:val="6"/>
        <w:tabs>
          <w:tab w:val="left" w:pos="1279"/>
          <w:tab w:val="left" w:pos="1593"/>
        </w:tabs>
        <w:spacing w:before="67" w:line="470" w:lineRule="atLeast"/>
        <w:ind w:left="755" w:right="126" w:hanging="315"/>
        <w:jc w:val="left"/>
      </w:pPr>
      <w:r>
        <w:br w:type="column"/>
      </w:r>
      <w:r>
        <w:rPr>
          <w:spacing w:val="3"/>
          <w:w w:val="105"/>
        </w:rPr>
        <w:t>第三</w:t>
      </w:r>
      <w:r>
        <w:rPr>
          <w:w w:val="105"/>
        </w:rPr>
        <w:t>章</w:t>
      </w:r>
      <w:r>
        <w:rPr>
          <w:w w:val="105"/>
        </w:rPr>
        <w:tab/>
      </w:r>
      <w:r>
        <w:rPr>
          <w:spacing w:val="3"/>
          <w:w w:val="105"/>
        </w:rPr>
        <w:t>安全生产许可证的申请与颁</w:t>
      </w:r>
      <w:r>
        <w:rPr>
          <w:w w:val="105"/>
        </w:rPr>
        <w:t>发</w:t>
      </w:r>
      <w:r>
        <w:rPr>
          <w:spacing w:val="3"/>
          <w:w w:val="105"/>
        </w:rPr>
        <w:t>第五</w:t>
      </w:r>
      <w:r>
        <w:rPr>
          <w:w w:val="105"/>
        </w:rPr>
        <w:t>条</w:t>
      </w:r>
      <w:r>
        <w:rPr>
          <w:w w:val="105"/>
        </w:rPr>
        <w:tab/>
      </w:r>
      <w:r>
        <w:rPr>
          <w:spacing w:val="3"/>
        </w:rPr>
        <w:t>建筑施工企业从事建筑施</w:t>
      </w:r>
      <w:r>
        <w:t>工</w:t>
      </w:r>
    </w:p>
    <w:p>
      <w:pPr>
        <w:spacing w:after="0" w:line="470" w:lineRule="atLeast"/>
        <w:jc w:val="left"/>
        <w:sectPr>
          <w:type w:val="continuous"/>
          <w:pgSz w:w="10500" w:h="14750"/>
          <w:pgMar w:top="1400" w:right="980" w:bottom="280" w:left="980" w:header="720" w:footer="720" w:gutter="0"/>
          <w:cols w:equalWidth="0" w:num="3">
            <w:col w:w="1173" w:space="40"/>
            <w:col w:w="2199" w:space="884"/>
            <w:col w:w="4244"/>
          </w:cols>
        </w:sectPr>
      </w:pPr>
    </w:p>
    <w:p>
      <w:pPr>
        <w:pStyle w:val="6"/>
        <w:spacing w:before="60" w:line="295" w:lineRule="auto"/>
        <w:ind w:left="440" w:right="1"/>
        <w:rPr>
          <w:rFonts w:hint="eastAsia" w:ascii="MS UI Gothic" w:eastAsia="MS UI Gothic"/>
        </w:rPr>
      </w:pPr>
      <w:r>
        <w:rPr>
          <w:w w:val="105"/>
        </w:rPr>
        <w:t>第四条 建筑施工企业取得安全生产</w:t>
      </w:r>
      <w:r>
        <w:rPr>
          <w:w w:val="110"/>
        </w:rPr>
        <w:t>许可证</w:t>
      </w:r>
      <w:r>
        <w:rPr>
          <w:rFonts w:hint="eastAsia" w:ascii="MS UI Gothic" w:eastAsia="MS UI Gothic"/>
          <w:w w:val="80"/>
        </w:rPr>
        <w:t xml:space="preserve">ꎬ </w:t>
      </w:r>
      <w:r>
        <w:rPr>
          <w:w w:val="110"/>
        </w:rPr>
        <w:t>应当具备下列安全生产条件</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建立</w:t>
      </w:r>
      <w:r>
        <w:rPr>
          <w:rFonts w:hint="eastAsia" w:ascii="MS UI Gothic" w:eastAsia="MS UI Gothic"/>
          <w:w w:val="80"/>
        </w:rPr>
        <w:t xml:space="preserve">、 </w:t>
      </w:r>
      <w:r>
        <w:rPr>
          <w:w w:val="105"/>
        </w:rPr>
        <w:t>健全安全生产责任制</w:t>
      </w:r>
      <w:r>
        <w:rPr>
          <w:rFonts w:hint="eastAsia" w:ascii="MS UI Gothic" w:eastAsia="MS UI Gothic"/>
          <w:w w:val="80"/>
        </w:rPr>
        <w:t>ꎬ</w:t>
      </w:r>
      <w:r>
        <w:t>制定完备的安全生产规章制度和操作</w:t>
      </w:r>
      <w:r>
        <w:rPr>
          <w:w w:val="105"/>
        </w:rPr>
        <w:t>规程</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保证本单位安全生产条件所需</w:t>
      </w:r>
      <w:r>
        <w:rPr>
          <w:w w:val="110"/>
        </w:rPr>
        <w:t>资金的投入</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设置安全生产管理机构</w:t>
      </w:r>
      <w:r>
        <w:rPr>
          <w:rFonts w:hint="eastAsia" w:ascii="MS UI Gothic" w:eastAsia="MS UI Gothic"/>
          <w:w w:val="80"/>
        </w:rPr>
        <w:t xml:space="preserve">ꎬ </w:t>
      </w:r>
      <w:r>
        <w:rPr>
          <w:w w:val="105"/>
        </w:rPr>
        <w:t>按照</w:t>
      </w:r>
      <w:r>
        <w:t>国家有关规定配备专职安全生产管理</w:t>
      </w:r>
      <w:r>
        <w:rPr>
          <w:w w:val="105"/>
        </w:rPr>
        <w:t>人员</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主要负责人</w:t>
      </w:r>
      <w:r>
        <w:rPr>
          <w:rFonts w:hint="eastAsia" w:ascii="MS UI Gothic" w:eastAsia="MS UI Gothic"/>
          <w:w w:val="80"/>
        </w:rPr>
        <w:t xml:space="preserve">、 </w:t>
      </w:r>
      <w:r>
        <w:rPr>
          <w:w w:val="105"/>
        </w:rPr>
        <w:t>项目负责人</w:t>
      </w:r>
      <w:r>
        <w:rPr>
          <w:rFonts w:hint="eastAsia" w:ascii="MS UI Gothic" w:eastAsia="MS UI Gothic"/>
          <w:w w:val="80"/>
        </w:rPr>
        <w:t xml:space="preserve">、 </w:t>
      </w:r>
      <w:r>
        <w:rPr>
          <w:w w:val="105"/>
        </w:rPr>
        <w:t>专</w:t>
      </w:r>
      <w:r>
        <w:t>职安全生产管理人员经建设主管部门或者</w:t>
      </w:r>
      <w:r>
        <w:rPr>
          <w:w w:val="105"/>
        </w:rPr>
        <w:t>其他有关部门考核合格</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特种作业人员经有关业务主管</w:t>
      </w:r>
      <w:r>
        <w:t>部门考核合格</w:t>
      </w:r>
      <w:r>
        <w:rPr>
          <w:rFonts w:hint="eastAsia" w:ascii="MS UI Gothic" w:eastAsia="MS UI Gothic"/>
          <w:w w:val="80"/>
        </w:rPr>
        <w:t xml:space="preserve">ꎬ </w:t>
      </w:r>
      <w:r>
        <w:t>取得特种作业操作资格</w:t>
      </w:r>
      <w:r>
        <w:rPr>
          <w:w w:val="105"/>
        </w:rPr>
        <w:t>证书</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管理人员和作业人员每年至少</w:t>
      </w:r>
      <w:r>
        <w:t>进行一次安全生产教育培训并考核合格</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依法参加工伤保险</w:t>
      </w:r>
      <w:r>
        <w:rPr>
          <w:rFonts w:hint="eastAsia" w:ascii="MS UI Gothic" w:eastAsia="MS UI Gothic"/>
          <w:w w:val="80"/>
        </w:rPr>
        <w:t xml:space="preserve">ꎬ </w:t>
      </w:r>
      <w:r>
        <w:rPr>
          <w:w w:val="105"/>
        </w:rPr>
        <w:t>依法为施</w:t>
      </w:r>
      <w:r>
        <w:t>工现场从事危险作业的人员办理意外伤害</w:t>
      </w:r>
      <w:r>
        <w:rPr>
          <w:w w:val="105"/>
        </w:rPr>
        <w:t>保险</w:t>
      </w:r>
      <w:r>
        <w:rPr>
          <w:rFonts w:hint="eastAsia" w:ascii="MS UI Gothic" w:eastAsia="MS UI Gothic"/>
          <w:w w:val="80"/>
        </w:rPr>
        <w:t xml:space="preserve">ꎬ </w:t>
      </w:r>
      <w:r>
        <w:rPr>
          <w:w w:val="105"/>
        </w:rPr>
        <w:t>为从业人员交纳保险费</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施工现场的办公</w:t>
      </w:r>
      <w:r>
        <w:rPr>
          <w:rFonts w:hint="eastAsia" w:ascii="MS UI Gothic" w:eastAsia="MS UI Gothic"/>
          <w:w w:val="80"/>
        </w:rPr>
        <w:t xml:space="preserve">、 </w:t>
      </w:r>
      <w:r>
        <w:rPr>
          <w:w w:val="105"/>
        </w:rPr>
        <w:t>生活区及作业场所和安全防护用具</w:t>
      </w:r>
      <w:r>
        <w:rPr>
          <w:rFonts w:hint="eastAsia" w:ascii="MS UI Gothic" w:eastAsia="MS UI Gothic"/>
          <w:w w:val="80"/>
        </w:rPr>
        <w:t xml:space="preserve">、 </w:t>
      </w:r>
      <w:r>
        <w:rPr>
          <w:w w:val="105"/>
        </w:rPr>
        <w:t>机械设备</w:t>
      </w:r>
      <w:r>
        <w:rPr>
          <w:rFonts w:hint="eastAsia" w:ascii="MS UI Gothic" w:eastAsia="MS UI Gothic"/>
          <w:w w:val="80"/>
        </w:rPr>
        <w:t xml:space="preserve">、 </w:t>
      </w:r>
      <w:r>
        <w:rPr>
          <w:w w:val="105"/>
        </w:rPr>
        <w:t>施工机具及配件符合有关安全生产法律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标准和规程的要求</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九</w:t>
      </w:r>
      <w:r>
        <w:rPr>
          <w:rFonts w:hint="eastAsia" w:ascii="MS UI Gothic" w:eastAsia="MS UI Gothic"/>
          <w:w w:val="150"/>
        </w:rPr>
        <w:t xml:space="preserve">) </w:t>
      </w:r>
      <w:r>
        <w:rPr>
          <w:w w:val="105"/>
        </w:rPr>
        <w:t>有职业危害防治措施</w:t>
      </w:r>
      <w:r>
        <w:rPr>
          <w:rFonts w:hint="eastAsia" w:ascii="MS UI Gothic" w:eastAsia="MS UI Gothic"/>
          <w:w w:val="80"/>
        </w:rPr>
        <w:t xml:space="preserve">ꎬ </w:t>
      </w:r>
      <w:r>
        <w:rPr>
          <w:w w:val="105"/>
        </w:rPr>
        <w:t>并为作</w:t>
      </w:r>
      <w:r>
        <w:t>业人员配备符合国家标准或者行业标准的</w:t>
      </w:r>
      <w:r>
        <w:rPr>
          <w:w w:val="105"/>
        </w:rPr>
        <w:t>安全防护用具和安全防护服装</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有对危险性较大的分部分项工程及施工现场易发生重大事故的部位</w:t>
      </w:r>
      <w:r>
        <w:rPr>
          <w:rFonts w:hint="eastAsia" w:ascii="MS UI Gothic" w:eastAsia="MS UI Gothic"/>
          <w:w w:val="80"/>
        </w:rPr>
        <w:t xml:space="preserve">、 </w:t>
      </w:r>
      <w:r>
        <w:rPr>
          <w:w w:val="105"/>
        </w:rPr>
        <w:t>环节的预防</w:t>
      </w:r>
      <w:r>
        <w:rPr>
          <w:rFonts w:hint="eastAsia" w:ascii="MS UI Gothic" w:eastAsia="MS UI Gothic"/>
          <w:w w:val="80"/>
        </w:rPr>
        <w:t xml:space="preserve">、 </w:t>
      </w:r>
      <w:r>
        <w:rPr>
          <w:w w:val="105"/>
        </w:rPr>
        <w:t>监控措施和应急预案</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十一</w:t>
      </w:r>
      <w:r>
        <w:rPr>
          <w:rFonts w:hint="eastAsia" w:ascii="MS UI Gothic" w:eastAsia="MS UI Gothic"/>
          <w:w w:val="150"/>
        </w:rPr>
        <w:t xml:space="preserve">) </w:t>
      </w:r>
      <w:r>
        <w:rPr>
          <w:w w:val="105"/>
        </w:rPr>
        <w:t>有生产安全事故应急救援预案</w:t>
      </w:r>
      <w:r>
        <w:rPr>
          <w:rFonts w:hint="eastAsia" w:ascii="MS UI Gothic" w:eastAsia="MS UI Gothic"/>
          <w:w w:val="80"/>
        </w:rPr>
        <w:t xml:space="preserve">、 </w:t>
      </w:r>
      <w:r>
        <w:rPr>
          <w:w w:val="105"/>
        </w:rPr>
        <w:t>应急救援组织或者应急救援人员</w:t>
      </w:r>
      <w:r>
        <w:rPr>
          <w:rFonts w:hint="eastAsia" w:ascii="MS UI Gothic" w:eastAsia="MS UI Gothic"/>
          <w:w w:val="80"/>
        </w:rPr>
        <w:t xml:space="preserve">ꎬ </w:t>
      </w:r>
      <w:r>
        <w:rPr>
          <w:w w:val="105"/>
        </w:rPr>
        <w:t>配备必要的应急救援器材</w:t>
      </w:r>
      <w:r>
        <w:rPr>
          <w:rFonts w:hint="eastAsia" w:ascii="MS UI Gothic" w:eastAsia="MS UI Gothic"/>
          <w:w w:val="80"/>
        </w:rPr>
        <w:t xml:space="preserve">、 </w:t>
      </w:r>
      <w:r>
        <w:rPr>
          <w:w w:val="105"/>
        </w:rPr>
        <w:t>设备</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8"/>
          <w:w w:val="110"/>
        </w:rPr>
        <w:t>十二</w:t>
      </w:r>
      <w:r>
        <w:rPr>
          <w:rFonts w:hint="eastAsia" w:ascii="MS UI Gothic" w:eastAsia="MS UI Gothic"/>
          <w:spacing w:val="17"/>
          <w:w w:val="150"/>
        </w:rPr>
        <w:t xml:space="preserve">) </w:t>
      </w:r>
      <w:r>
        <w:rPr>
          <w:spacing w:val="-21"/>
          <w:w w:val="110"/>
        </w:rPr>
        <w:t>法 律</w:t>
      </w:r>
      <w:r>
        <w:rPr>
          <w:rFonts w:hint="eastAsia" w:ascii="MS UI Gothic" w:eastAsia="MS UI Gothic"/>
          <w:spacing w:val="6"/>
          <w:w w:val="80"/>
        </w:rPr>
        <w:t xml:space="preserve">、 </w:t>
      </w:r>
      <w:r>
        <w:rPr>
          <w:spacing w:val="-35"/>
          <w:w w:val="110"/>
        </w:rPr>
        <w:t>法 规 规 定 的 其 他</w:t>
      </w:r>
      <w:r>
        <w:rPr>
          <w:spacing w:val="3"/>
          <w:w w:val="110"/>
        </w:rPr>
        <w:t>条件</w:t>
      </w:r>
      <w:r>
        <w:rPr>
          <w:rFonts w:hint="eastAsia" w:ascii="MS UI Gothic" w:eastAsia="MS UI Gothic"/>
          <w:w w:val="80"/>
        </w:rPr>
        <w:t>ꎮ</w:t>
      </w:r>
    </w:p>
    <w:p>
      <w:pPr>
        <w:pStyle w:val="6"/>
        <w:spacing w:before="60" w:line="295" w:lineRule="auto"/>
        <w:ind w:left="381" w:right="126" w:firstLine="0"/>
        <w:rPr>
          <w:rFonts w:hint="eastAsia" w:ascii="MS UI Gothic" w:eastAsia="MS UI Gothic"/>
        </w:rPr>
      </w:pPr>
      <w:r>
        <w:br w:type="column"/>
      </w:r>
      <w:r>
        <w:t>活动前</w:t>
      </w:r>
      <w:r>
        <w:rPr>
          <w:rFonts w:hint="eastAsia" w:ascii="MS UI Gothic" w:eastAsia="MS UI Gothic"/>
          <w:w w:val="80"/>
        </w:rPr>
        <w:t xml:space="preserve">ꎬ </w:t>
      </w:r>
      <w:r>
        <w:t>应当依照本规定向省级以上建设主管部门申请领取安全生产许可证</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 xml:space="preserve">中央管理的建筑施工企业 </w:t>
      </w:r>
      <w:r>
        <w:rPr>
          <w:rFonts w:hint="eastAsia" w:ascii="MS UI Gothic" w:eastAsia="MS UI Gothic"/>
          <w:w w:val="150"/>
        </w:rPr>
        <w:t xml:space="preserve">( </w:t>
      </w:r>
      <w:r>
        <w:rPr>
          <w:w w:val="105"/>
        </w:rPr>
        <w:t>集团公司</w:t>
      </w:r>
      <w:r>
        <w:rPr>
          <w:rFonts w:hint="eastAsia" w:ascii="MS UI Gothic" w:eastAsia="MS UI Gothic"/>
          <w:w w:val="80"/>
        </w:rPr>
        <w:t xml:space="preserve">、 </w:t>
      </w:r>
      <w:r>
        <w:rPr>
          <w:w w:val="105"/>
        </w:rPr>
        <w:t>总公司</w:t>
      </w:r>
      <w:r>
        <w:rPr>
          <w:rFonts w:hint="eastAsia" w:ascii="MS UI Gothic" w:eastAsia="MS UI Gothic"/>
          <w:w w:val="150"/>
        </w:rPr>
        <w:t xml:space="preserve">) </w:t>
      </w:r>
      <w:r>
        <w:rPr>
          <w:w w:val="105"/>
        </w:rPr>
        <w:t>应当向国务院建设主管部门申请领取安全生产许可证</w:t>
      </w:r>
      <w:r>
        <w:rPr>
          <w:rFonts w:hint="eastAsia" w:ascii="MS UI Gothic" w:eastAsia="MS UI Gothic"/>
          <w:w w:val="80"/>
        </w:rPr>
        <w:t>ꎮ</w:t>
      </w:r>
    </w:p>
    <w:p>
      <w:pPr>
        <w:pStyle w:val="6"/>
        <w:spacing w:line="295" w:lineRule="auto"/>
        <w:ind w:left="381" w:right="124"/>
        <w:rPr>
          <w:rFonts w:hint="eastAsia" w:ascii="MS UI Gothic" w:eastAsia="MS UI Gothic"/>
        </w:rPr>
      </w:pPr>
      <w:r>
        <w:t>前款规定以外的其他建筑施工企业</w:t>
      </w:r>
      <w:r>
        <w:rPr>
          <w:rFonts w:hint="eastAsia" w:ascii="MS UI Gothic" w:eastAsia="MS UI Gothic"/>
          <w:w w:val="80"/>
        </w:rPr>
        <w:t>ꎬ</w:t>
      </w:r>
      <w:r>
        <w:rPr>
          <w:w w:val="105"/>
        </w:rPr>
        <w:t xml:space="preserve">包括中央管理的建筑施工企业 </w:t>
      </w:r>
      <w:r>
        <w:rPr>
          <w:rFonts w:hint="eastAsia" w:ascii="MS UI Gothic" w:eastAsia="MS UI Gothic"/>
          <w:w w:val="150"/>
        </w:rPr>
        <w:t xml:space="preserve">( </w:t>
      </w:r>
      <w:r>
        <w:rPr>
          <w:w w:val="105"/>
        </w:rPr>
        <w:t>集团公司</w:t>
      </w:r>
      <w:r>
        <w:rPr>
          <w:rFonts w:hint="eastAsia" w:ascii="MS UI Gothic" w:eastAsia="MS UI Gothic"/>
          <w:w w:val="80"/>
        </w:rPr>
        <w:t xml:space="preserve">、 </w:t>
      </w:r>
      <w:r>
        <w:rPr>
          <w:w w:val="105"/>
        </w:rPr>
        <w:t>总公司</w:t>
      </w:r>
      <w:r>
        <w:rPr>
          <w:rFonts w:hint="eastAsia" w:ascii="MS UI Gothic" w:eastAsia="MS UI Gothic"/>
          <w:w w:val="150"/>
        </w:rPr>
        <w:t xml:space="preserve">) </w:t>
      </w:r>
      <w:r>
        <w:rPr>
          <w:w w:val="105"/>
        </w:rPr>
        <w:t>下属的建筑施工企业</w:t>
      </w:r>
      <w:r>
        <w:rPr>
          <w:rFonts w:hint="eastAsia" w:ascii="MS UI Gothic" w:eastAsia="MS UI Gothic"/>
          <w:w w:val="80"/>
        </w:rPr>
        <w:t xml:space="preserve">ꎬ </w:t>
      </w:r>
      <w:r>
        <w:rPr>
          <w:w w:val="105"/>
        </w:rPr>
        <w:t>应当向企业注册所在地省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w:t>
      </w:r>
      <w:r>
        <w:t>人民政府建设主管部门申请领取安全生产</w:t>
      </w:r>
      <w:r>
        <w:rPr>
          <w:w w:val="105"/>
        </w:rPr>
        <w:t>许可证</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第六条 建筑施工企业申请安全生产</w:t>
      </w:r>
      <w:r>
        <w:t>许可证时</w:t>
      </w:r>
      <w:r>
        <w:rPr>
          <w:rFonts w:hint="eastAsia" w:ascii="MS UI Gothic" w:eastAsia="MS UI Gothic"/>
          <w:w w:val="80"/>
        </w:rPr>
        <w:t xml:space="preserve">ꎬ </w:t>
      </w:r>
      <w:r>
        <w:t>应当向建设主管部门提供下列</w:t>
      </w:r>
      <w:r>
        <w:rPr>
          <w:w w:val="110"/>
        </w:rPr>
        <w:t>材料</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建筑施工企业安全生产许可证</w:t>
      </w:r>
      <w:r>
        <w:rPr>
          <w:w w:val="110"/>
        </w:rPr>
        <w:t>申请表</w:t>
      </w:r>
      <w:r>
        <w:rPr>
          <w:rFonts w:hint="eastAsia" w:ascii="MS UI Gothic" w:eastAsia="MS UI Gothic"/>
          <w:w w:val="80"/>
        </w:rPr>
        <w:t>ꎻ</w:t>
      </w:r>
    </w:p>
    <w:p>
      <w:pPr>
        <w:pStyle w:val="6"/>
        <w:spacing w:line="255" w:lineRule="exact"/>
        <w:ind w:left="80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企业法人营业执照</w:t>
      </w:r>
      <w:r>
        <w:rPr>
          <w:rFonts w:hint="eastAsia" w:ascii="MS UI Gothic" w:eastAsia="MS UI Gothic"/>
          <w:w w:val="80"/>
        </w:rPr>
        <w:t>ꎻ</w:t>
      </w:r>
    </w:p>
    <w:p>
      <w:pPr>
        <w:pStyle w:val="6"/>
        <w:spacing w:before="47" w:line="295" w:lineRule="auto"/>
        <w:ind w:left="381" w:right="124"/>
        <w:rPr>
          <w:rFonts w:hint="eastAsia" w:ascii="MS UI Gothic" w:eastAsia="MS UI Gothic"/>
        </w:rPr>
      </w:pPr>
      <w:r>
        <w:rPr>
          <w:rFonts w:hint="eastAsia" w:ascii="MS UI Gothic" w:eastAsia="MS UI Gothic"/>
          <w:spacing w:val="-33"/>
          <w:w w:val="150"/>
        </w:rPr>
        <w:t xml:space="preserve">( </w:t>
      </w:r>
      <w:r>
        <w:rPr>
          <w:spacing w:val="36"/>
          <w:w w:val="110"/>
        </w:rPr>
        <w:t>三</w:t>
      </w:r>
      <w:r>
        <w:rPr>
          <w:rFonts w:hint="eastAsia" w:ascii="MS UI Gothic" w:eastAsia="MS UI Gothic"/>
          <w:spacing w:val="19"/>
          <w:w w:val="150"/>
        </w:rPr>
        <w:t xml:space="preserve">) </w:t>
      </w:r>
      <w:r>
        <w:rPr>
          <w:spacing w:val="-33"/>
          <w:w w:val="110"/>
        </w:rPr>
        <w:t>第 四 条 规 定 的 相 关 文 件</w:t>
      </w:r>
      <w:r>
        <w:rPr>
          <w:rFonts w:hint="eastAsia" w:ascii="MS UI Gothic" w:eastAsia="MS UI Gothic"/>
          <w:spacing w:val="-14"/>
          <w:w w:val="80"/>
        </w:rPr>
        <w:t>、</w:t>
      </w:r>
      <w:r>
        <w:rPr>
          <w:spacing w:val="3"/>
          <w:w w:val="110"/>
        </w:rPr>
        <w:t>材料</w:t>
      </w:r>
      <w:r>
        <w:rPr>
          <w:rFonts w:hint="eastAsia" w:ascii="MS UI Gothic" w:eastAsia="MS UI Gothic"/>
          <w:w w:val="80"/>
        </w:rPr>
        <w:t>ꎮ</w:t>
      </w:r>
    </w:p>
    <w:p>
      <w:pPr>
        <w:pStyle w:val="6"/>
        <w:spacing w:line="295" w:lineRule="auto"/>
        <w:ind w:left="381" w:right="124"/>
        <w:rPr>
          <w:rFonts w:hint="eastAsia" w:ascii="MS UI Gothic" w:eastAsia="MS UI Gothic"/>
        </w:rPr>
      </w:pPr>
      <w:r>
        <w:t>建筑施工企业申请安全生产许可证</w:t>
      </w:r>
      <w:r>
        <w:rPr>
          <w:rFonts w:hint="eastAsia" w:ascii="MS UI Gothic" w:eastAsia="MS UI Gothic"/>
          <w:w w:val="80"/>
        </w:rPr>
        <w:t>ꎬ</w:t>
      </w:r>
      <w:r>
        <w:t>应当对申请材料实质内容的真实性负责</w:t>
      </w:r>
      <w:r>
        <w:rPr>
          <w:rFonts w:hint="eastAsia" w:ascii="MS UI Gothic" w:eastAsia="MS UI Gothic"/>
          <w:w w:val="80"/>
        </w:rPr>
        <w:t>ꎬ</w:t>
      </w:r>
      <w:r>
        <w:t>不得隐瞒有关情况或者提供虚假材料</w:t>
      </w:r>
      <w:r>
        <w:rPr>
          <w:rFonts w:hint="eastAsia" w:ascii="MS UI Gothic" w:eastAsia="MS UI Gothic"/>
          <w:w w:val="80"/>
        </w:rPr>
        <w:t>ꎮ</w:t>
      </w:r>
    </w:p>
    <w:p>
      <w:pPr>
        <w:pStyle w:val="6"/>
        <w:spacing w:line="295" w:lineRule="auto"/>
        <w:ind w:left="381" w:right="124"/>
        <w:rPr>
          <w:rFonts w:hint="eastAsia" w:ascii="MS UI Gothic" w:eastAsia="MS UI Gothic"/>
        </w:rPr>
      </w:pPr>
      <w:r>
        <w:t xml:space="preserve">第七条 建设主管部门应当自受理建筑施工企业的申请之日起 </w:t>
      </w:r>
      <w:r>
        <w:rPr>
          <w:rFonts w:hint="eastAsia" w:ascii="MS UI Gothic" w:eastAsia="MS UI Gothic"/>
          <w:w w:val="85"/>
        </w:rPr>
        <w:t xml:space="preserve">４５ </w:t>
      </w:r>
      <w:r>
        <w:t>日内审查完毕</w:t>
      </w:r>
      <w:r>
        <w:rPr>
          <w:rFonts w:hint="eastAsia" w:ascii="MS UI Gothic" w:eastAsia="MS UI Gothic"/>
          <w:w w:val="85"/>
        </w:rPr>
        <w:t xml:space="preserve">ꎻ </w:t>
      </w:r>
      <w:r>
        <w:t>经审查符合安全生产条件的</w:t>
      </w:r>
      <w:r>
        <w:rPr>
          <w:rFonts w:hint="eastAsia" w:ascii="MS UI Gothic" w:eastAsia="MS UI Gothic"/>
          <w:w w:val="85"/>
        </w:rPr>
        <w:t xml:space="preserve">ꎬ </w:t>
      </w:r>
      <w:r>
        <w:t>颁发安全生产许可证</w:t>
      </w:r>
      <w:r>
        <w:rPr>
          <w:rFonts w:hint="eastAsia" w:ascii="MS UI Gothic" w:eastAsia="MS UI Gothic"/>
          <w:w w:val="85"/>
        </w:rPr>
        <w:t xml:space="preserve">ꎻ </w:t>
      </w:r>
      <w:r>
        <w:t>不符合安全生产条件的</w:t>
      </w:r>
      <w:r>
        <w:rPr>
          <w:rFonts w:hint="eastAsia" w:ascii="MS UI Gothic" w:eastAsia="MS UI Gothic"/>
          <w:w w:val="85"/>
        </w:rPr>
        <w:t>ꎬ</w:t>
      </w:r>
      <w:r>
        <w:t>不予颁发安全生产许可证</w:t>
      </w:r>
      <w:r>
        <w:rPr>
          <w:rFonts w:hint="eastAsia" w:ascii="MS UI Gothic" w:eastAsia="MS UI Gothic"/>
          <w:w w:val="85"/>
        </w:rPr>
        <w:t xml:space="preserve">ꎬ </w:t>
      </w:r>
      <w:r>
        <w:t>书面通知企业并说明理由</w:t>
      </w:r>
      <w:r>
        <w:rPr>
          <w:rFonts w:hint="eastAsia" w:ascii="MS UI Gothic" w:eastAsia="MS UI Gothic"/>
          <w:w w:val="85"/>
        </w:rPr>
        <w:t xml:space="preserve">ꎮ </w:t>
      </w:r>
      <w:r>
        <w:t>企业自接到通知之日起应当进行整改</w:t>
      </w:r>
      <w:r>
        <w:rPr>
          <w:rFonts w:hint="eastAsia" w:ascii="MS UI Gothic" w:eastAsia="MS UI Gothic"/>
          <w:w w:val="85"/>
        </w:rPr>
        <w:t xml:space="preserve">ꎬ </w:t>
      </w:r>
      <w:r>
        <w:t>整改合格后方可再次提出申请</w:t>
      </w:r>
      <w:r>
        <w:rPr>
          <w:rFonts w:hint="eastAsia" w:ascii="MS UI Gothic" w:eastAsia="MS UI Gothic"/>
          <w:w w:val="85"/>
        </w:rPr>
        <w:t>ꎮ</w:t>
      </w:r>
    </w:p>
    <w:p>
      <w:pPr>
        <w:pStyle w:val="6"/>
        <w:spacing w:line="295" w:lineRule="auto"/>
        <w:ind w:left="381" w:right="126"/>
        <w:rPr>
          <w:rFonts w:hint="eastAsia" w:ascii="MS UI Gothic" w:eastAsia="MS UI Gothic"/>
        </w:rPr>
      </w:pPr>
      <w:r>
        <w:t>建设主管部门审查建筑施工企业安全生产许可证申请</w:t>
      </w:r>
      <w:r>
        <w:rPr>
          <w:rFonts w:hint="eastAsia" w:ascii="MS UI Gothic" w:eastAsia="MS UI Gothic"/>
          <w:w w:val="80"/>
        </w:rPr>
        <w:t xml:space="preserve">ꎬ </w:t>
      </w:r>
      <w:r>
        <w:t>涉及铁路</w:t>
      </w:r>
      <w:r>
        <w:rPr>
          <w:rFonts w:hint="eastAsia" w:ascii="MS UI Gothic" w:eastAsia="MS UI Gothic"/>
          <w:w w:val="80"/>
        </w:rPr>
        <w:t xml:space="preserve">、 </w:t>
      </w:r>
      <w:r>
        <w:t>交通</w:t>
      </w:r>
      <w:r>
        <w:rPr>
          <w:rFonts w:hint="eastAsia" w:ascii="MS UI Gothic" w:eastAsia="MS UI Gothic"/>
          <w:w w:val="80"/>
        </w:rPr>
        <w:t xml:space="preserve">、 </w:t>
      </w:r>
      <w:r>
        <w:t>水利等有关专业工程时</w:t>
      </w:r>
      <w:r>
        <w:rPr>
          <w:rFonts w:hint="eastAsia" w:ascii="MS UI Gothic" w:eastAsia="MS UI Gothic"/>
          <w:w w:val="80"/>
        </w:rPr>
        <w:t xml:space="preserve">ꎬ </w:t>
      </w:r>
      <w:r>
        <w:t>可以征求铁路</w:t>
      </w:r>
      <w:r>
        <w:rPr>
          <w:rFonts w:hint="eastAsia" w:ascii="MS UI Gothic" w:eastAsia="MS UI Gothic"/>
          <w:w w:val="80"/>
        </w:rPr>
        <w:t xml:space="preserve">、 </w:t>
      </w:r>
      <w:r>
        <w:t>交通</w:t>
      </w:r>
      <w:r>
        <w:rPr>
          <w:rFonts w:hint="eastAsia" w:ascii="MS UI Gothic" w:eastAsia="MS UI Gothic"/>
          <w:w w:val="80"/>
        </w:rPr>
        <w:t xml:space="preserve">、 </w:t>
      </w:r>
      <w:r>
        <w:t>水利等有关部门的意见</w:t>
      </w:r>
      <w:r>
        <w:rPr>
          <w:rFonts w:hint="eastAsia" w:ascii="MS UI Gothic" w:eastAsia="MS UI Gothic"/>
          <w:w w:val="80"/>
        </w:rPr>
        <w:t>ꎮ</w:t>
      </w:r>
    </w:p>
    <w:p>
      <w:pPr>
        <w:pStyle w:val="6"/>
        <w:spacing w:line="253" w:lineRule="exact"/>
        <w:ind w:left="800" w:firstLine="0"/>
      </w:pPr>
      <w:r>
        <w:rPr>
          <w:spacing w:val="2"/>
          <w:w w:val="105"/>
        </w:rPr>
        <w:t>第八条 安全生产许可证的有效期为</w:t>
      </w:r>
    </w:p>
    <w:p>
      <w:pPr>
        <w:pStyle w:val="6"/>
        <w:spacing w:before="48"/>
        <w:ind w:left="375" w:firstLine="0"/>
      </w:pPr>
      <w:r>
        <w:rPr>
          <w:rFonts w:hint="eastAsia" w:ascii="MS UI Gothic" w:eastAsia="MS UI Gothic"/>
          <w:spacing w:val="9"/>
          <w:w w:val="80"/>
        </w:rPr>
        <w:t xml:space="preserve">３ </w:t>
      </w:r>
      <w:r>
        <w:rPr>
          <w:spacing w:val="3"/>
        </w:rPr>
        <w:t>年</w:t>
      </w:r>
      <w:r>
        <w:rPr>
          <w:rFonts w:hint="eastAsia" w:ascii="MS UI Gothic" w:eastAsia="MS UI Gothic"/>
          <w:spacing w:val="8"/>
          <w:w w:val="80"/>
        </w:rPr>
        <w:t xml:space="preserve">ꎮ  </w:t>
      </w:r>
      <w:r>
        <w:rPr>
          <w:spacing w:val="3"/>
        </w:rPr>
        <w:t>安全生产许可证有效期满需要延期</w:t>
      </w:r>
    </w:p>
    <w:p>
      <w:pPr>
        <w:spacing w:after="0"/>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４４２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25" o:spid="_x0000_s2325" o:spt="203" style="height:2.15pt;width:398.25pt;" coordsize="7965,43">
            <o:lock v:ext="edit"/>
            <v:line id="_x0000_s2326" o:spid="_x0000_s2326" o:spt="20" style="position:absolute;left:0;top:39;height:0;width:7965;" stroked="t" coordsize="21600,21600">
              <v:path arrowok="t"/>
              <v:fill focussize="0,0"/>
              <v:stroke weight="0.388031496062992pt" color="#231F20"/>
              <v:imagedata o:title=""/>
              <o:lock v:ext="edit"/>
            </v:line>
            <v:line id="_x0000_s2327" o:spid="_x0000_s232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的</w:t>
      </w:r>
      <w:r>
        <w:rPr>
          <w:rFonts w:hint="eastAsia" w:ascii="MS UI Gothic" w:eastAsia="MS UI Gothic"/>
          <w:w w:val="80"/>
        </w:rPr>
        <w:t xml:space="preserve">ꎬ </w:t>
      </w:r>
      <w:r>
        <w:t xml:space="preserve">企业应当于期满前 </w:t>
      </w:r>
      <w:r>
        <w:rPr>
          <w:rFonts w:hint="eastAsia" w:ascii="MS UI Gothic" w:eastAsia="MS UI Gothic"/>
          <w:w w:val="80"/>
        </w:rPr>
        <w:t xml:space="preserve">３ </w:t>
      </w:r>
      <w:r>
        <w:t>个月向原安全生产许可证颁发管理机关申请办理延期手续</w:t>
      </w:r>
      <w:r>
        <w:rPr>
          <w:rFonts w:hint="eastAsia" w:ascii="MS UI Gothic" w:eastAsia="MS UI Gothic"/>
          <w:w w:val="80"/>
        </w:rPr>
        <w:t>ꎮ</w:t>
      </w:r>
    </w:p>
    <w:p>
      <w:pPr>
        <w:pStyle w:val="6"/>
        <w:spacing w:line="295" w:lineRule="auto"/>
        <w:ind w:right="39"/>
        <w:rPr>
          <w:rFonts w:hint="eastAsia" w:ascii="MS UI Gothic" w:eastAsia="MS UI Gothic"/>
        </w:rPr>
      </w:pPr>
      <w:r>
        <w:t>企业在安全生产许可证有效期内</w:t>
      </w:r>
      <w:r>
        <w:rPr>
          <w:rFonts w:hint="eastAsia" w:ascii="MS UI Gothic" w:eastAsia="MS UI Gothic"/>
          <w:w w:val="80"/>
        </w:rPr>
        <w:t xml:space="preserve">ꎬ </w:t>
      </w:r>
      <w:r>
        <w:t>严格遵守有关安全生产的法律法规</w:t>
      </w:r>
      <w:r>
        <w:rPr>
          <w:rFonts w:hint="eastAsia" w:ascii="MS UI Gothic" w:eastAsia="MS UI Gothic"/>
          <w:w w:val="80"/>
        </w:rPr>
        <w:t xml:space="preserve">ꎬ </w:t>
      </w:r>
      <w:r>
        <w:t>未发生死亡事故的</w:t>
      </w:r>
      <w:r>
        <w:rPr>
          <w:rFonts w:hint="eastAsia" w:ascii="MS UI Gothic" w:eastAsia="MS UI Gothic"/>
          <w:w w:val="80"/>
        </w:rPr>
        <w:t xml:space="preserve">ꎬ </w:t>
      </w:r>
      <w:r>
        <w:t>安全生产许可证有效期届满时</w:t>
      </w:r>
      <w:r>
        <w:rPr>
          <w:rFonts w:hint="eastAsia" w:ascii="MS UI Gothic" w:eastAsia="MS UI Gothic"/>
          <w:w w:val="80"/>
        </w:rPr>
        <w:t xml:space="preserve">ꎬ </w:t>
      </w:r>
      <w:r>
        <w:t>经原安全生产许可证颁发管理机关同意</w:t>
      </w:r>
      <w:r>
        <w:rPr>
          <w:rFonts w:hint="eastAsia" w:ascii="MS UI Gothic" w:eastAsia="MS UI Gothic"/>
          <w:w w:val="80"/>
        </w:rPr>
        <w:t xml:space="preserve">ꎬ </w:t>
      </w:r>
      <w:r>
        <w:t>不再审查</w:t>
      </w:r>
      <w:r>
        <w:rPr>
          <w:rFonts w:hint="eastAsia" w:ascii="MS UI Gothic" w:eastAsia="MS UI Gothic"/>
          <w:w w:val="80"/>
        </w:rPr>
        <w:t xml:space="preserve">ꎬ </w:t>
      </w:r>
      <w:r>
        <w:t xml:space="preserve">安全生产许可证有效期延期 </w:t>
      </w:r>
      <w:r>
        <w:rPr>
          <w:rFonts w:hint="eastAsia" w:ascii="MS UI Gothic" w:eastAsia="MS UI Gothic"/>
          <w:w w:val="80"/>
        </w:rPr>
        <w:t xml:space="preserve">３ </w:t>
      </w:r>
      <w:r>
        <w:t>年</w:t>
      </w:r>
      <w:r>
        <w:rPr>
          <w:rFonts w:hint="eastAsia" w:ascii="MS UI Gothic" w:eastAsia="MS UI Gothic"/>
          <w:w w:val="80"/>
        </w:rPr>
        <w:t>ꎮ</w:t>
      </w:r>
    </w:p>
    <w:p>
      <w:pPr>
        <w:pStyle w:val="6"/>
        <w:spacing w:line="295" w:lineRule="auto"/>
        <w:ind w:right="39"/>
        <w:rPr>
          <w:rFonts w:hint="eastAsia" w:ascii="MS UI Gothic" w:eastAsia="MS UI Gothic"/>
        </w:rPr>
      </w:pPr>
      <w:r>
        <w:t>第九条 建筑施工企业变更名称</w:t>
      </w:r>
      <w:r>
        <w:rPr>
          <w:rFonts w:hint="eastAsia" w:ascii="MS UI Gothic" w:eastAsia="MS UI Gothic"/>
          <w:w w:val="85"/>
        </w:rPr>
        <w:t xml:space="preserve">、 </w:t>
      </w:r>
      <w:r>
        <w:t>地址</w:t>
      </w:r>
      <w:r>
        <w:rPr>
          <w:rFonts w:hint="eastAsia" w:ascii="MS UI Gothic" w:eastAsia="MS UI Gothic"/>
          <w:w w:val="85"/>
        </w:rPr>
        <w:t xml:space="preserve">、 </w:t>
      </w:r>
      <w:r>
        <w:t>法定代表人等</w:t>
      </w:r>
      <w:r>
        <w:rPr>
          <w:rFonts w:hint="eastAsia" w:ascii="MS UI Gothic" w:eastAsia="MS UI Gothic"/>
          <w:w w:val="85"/>
        </w:rPr>
        <w:t xml:space="preserve">ꎬ </w:t>
      </w:r>
      <w:r>
        <w:t xml:space="preserve">应当在变更后 </w:t>
      </w:r>
      <w:r>
        <w:rPr>
          <w:rFonts w:hint="eastAsia" w:ascii="MS UI Gothic" w:eastAsia="MS UI Gothic"/>
          <w:w w:val="85"/>
        </w:rPr>
        <w:t xml:space="preserve">１０ </w:t>
      </w:r>
      <w:r>
        <w:t>日内</w:t>
      </w:r>
      <w:r>
        <w:rPr>
          <w:rFonts w:hint="eastAsia" w:ascii="MS UI Gothic" w:eastAsia="MS UI Gothic"/>
          <w:w w:val="85"/>
        </w:rPr>
        <w:t xml:space="preserve">ꎬ </w:t>
      </w:r>
      <w:r>
        <w:t>到原安全生产许可证颁发管理机关办理安全生产许可证变更手续</w:t>
      </w:r>
      <w:r>
        <w:rPr>
          <w:rFonts w:hint="eastAsia" w:ascii="MS UI Gothic" w:eastAsia="MS UI Gothic"/>
          <w:w w:val="85"/>
        </w:rPr>
        <w:t>ꎮ</w:t>
      </w:r>
    </w:p>
    <w:p>
      <w:pPr>
        <w:pStyle w:val="6"/>
        <w:spacing w:line="295" w:lineRule="auto"/>
        <w:ind w:right="38"/>
        <w:rPr>
          <w:rFonts w:hint="eastAsia" w:ascii="MS UI Gothic" w:eastAsia="MS UI Gothic"/>
        </w:rPr>
      </w:pPr>
      <w:r>
        <w:t>第十条 建筑施工企业破产</w:t>
      </w:r>
      <w:r>
        <w:rPr>
          <w:rFonts w:hint="eastAsia" w:ascii="MS UI Gothic" w:eastAsia="MS UI Gothic"/>
          <w:w w:val="80"/>
        </w:rPr>
        <w:t xml:space="preserve">、 </w:t>
      </w:r>
      <w:r>
        <w:t>倒闭</w:t>
      </w:r>
      <w:r>
        <w:rPr>
          <w:rFonts w:hint="eastAsia" w:ascii="MS UI Gothic" w:eastAsia="MS UI Gothic"/>
          <w:w w:val="80"/>
        </w:rPr>
        <w:t>、</w:t>
      </w:r>
      <w:r>
        <w:t>撤销的</w:t>
      </w:r>
      <w:r>
        <w:rPr>
          <w:rFonts w:hint="eastAsia" w:ascii="MS UI Gothic" w:eastAsia="MS UI Gothic"/>
          <w:w w:val="80"/>
        </w:rPr>
        <w:t xml:space="preserve">ꎬ </w:t>
      </w:r>
      <w:r>
        <w:t>应当将安全生产许可证交回原安全生产许可证颁发管理机关予以注销</w:t>
      </w:r>
      <w:r>
        <w:rPr>
          <w:rFonts w:hint="eastAsia" w:ascii="MS UI Gothic" w:eastAsia="MS UI Gothic"/>
          <w:w w:val="80"/>
        </w:rPr>
        <w:t>ꎮ</w:t>
      </w:r>
    </w:p>
    <w:p>
      <w:pPr>
        <w:pStyle w:val="6"/>
        <w:spacing w:line="295" w:lineRule="auto"/>
        <w:ind w:right="39"/>
        <w:rPr>
          <w:rFonts w:hint="eastAsia" w:ascii="MS UI Gothic" w:eastAsia="MS UI Gothic"/>
        </w:rPr>
      </w:pPr>
      <w:r>
        <w:t>第十一条 建筑施工企业遗失安全生产许可证</w:t>
      </w:r>
      <w:r>
        <w:rPr>
          <w:rFonts w:hint="eastAsia" w:ascii="MS UI Gothic" w:eastAsia="MS UI Gothic"/>
          <w:w w:val="80"/>
        </w:rPr>
        <w:t xml:space="preserve">ꎬ </w:t>
      </w:r>
      <w:r>
        <w:t>应当立即向原安全生产许可证颁发管理机关报告</w:t>
      </w:r>
      <w:r>
        <w:rPr>
          <w:rFonts w:hint="eastAsia" w:ascii="MS UI Gothic" w:eastAsia="MS UI Gothic"/>
          <w:w w:val="80"/>
        </w:rPr>
        <w:t xml:space="preserve">ꎬ </w:t>
      </w:r>
      <w:r>
        <w:t>并在公众媒体上声明作废后</w:t>
      </w:r>
      <w:r>
        <w:rPr>
          <w:rFonts w:hint="eastAsia" w:ascii="MS UI Gothic" w:eastAsia="MS UI Gothic"/>
          <w:w w:val="80"/>
        </w:rPr>
        <w:t xml:space="preserve">ꎬ </w:t>
      </w:r>
      <w:r>
        <w:t>方可申请补办</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第十二条 安全生产许可证申请表采用建设部规定的统一式样</w:t>
      </w:r>
      <w:r>
        <w:rPr>
          <w:rFonts w:hint="eastAsia" w:ascii="MS UI Gothic" w:eastAsia="MS UI Gothic"/>
          <w:w w:val="80"/>
        </w:rPr>
        <w:t>ꎮ</w:t>
      </w:r>
    </w:p>
    <w:p>
      <w:pPr>
        <w:pStyle w:val="6"/>
        <w:spacing w:line="295" w:lineRule="auto"/>
        <w:ind w:right="39"/>
        <w:jc w:val="left"/>
        <w:rPr>
          <w:rFonts w:hint="eastAsia" w:ascii="MS UI Gothic" w:eastAsia="MS UI Gothic"/>
        </w:rPr>
      </w:pPr>
      <w:r>
        <w:t>安全生产许可证采用国务院安全生产</w:t>
      </w:r>
      <w:r>
        <w:rPr>
          <w:w w:val="105"/>
        </w:rPr>
        <w:t>监督管理部门规定的统一式样</w:t>
      </w:r>
      <w:r>
        <w:rPr>
          <w:rFonts w:hint="eastAsia" w:ascii="MS UI Gothic" w:eastAsia="MS UI Gothic"/>
          <w:w w:val="80"/>
        </w:rPr>
        <w:t>ꎮ</w:t>
      </w:r>
    </w:p>
    <w:p>
      <w:pPr>
        <w:pStyle w:val="6"/>
        <w:spacing w:line="295" w:lineRule="auto"/>
        <w:ind w:right="38"/>
        <w:jc w:val="left"/>
        <w:rPr>
          <w:rFonts w:hint="eastAsia" w:ascii="MS UI Gothic" w:eastAsia="MS UI Gothic"/>
        </w:rPr>
      </w:pPr>
      <w:r>
        <w:t>安全生产许可证分正本和副本</w:t>
      </w:r>
      <w:r>
        <w:rPr>
          <w:rFonts w:hint="eastAsia" w:ascii="MS UI Gothic" w:eastAsia="MS UI Gothic"/>
          <w:w w:val="80"/>
        </w:rPr>
        <w:t xml:space="preserve">ꎬ </w:t>
      </w:r>
      <w:r>
        <w:t>正</w:t>
      </w:r>
      <w:r>
        <w:rPr>
          <w:rFonts w:hint="eastAsia" w:ascii="MS UI Gothic" w:eastAsia="MS UI Gothic"/>
          <w:w w:val="80"/>
        </w:rPr>
        <w:t>、</w:t>
      </w:r>
      <w:r>
        <w:t>副本具有同等法律效力</w:t>
      </w:r>
      <w:r>
        <w:rPr>
          <w:rFonts w:hint="eastAsia" w:ascii="MS UI Gothic" w:eastAsia="MS UI Gothic"/>
          <w:w w:val="80"/>
        </w:rPr>
        <w:t>ꎮ</w:t>
      </w:r>
    </w:p>
    <w:p>
      <w:pPr>
        <w:pStyle w:val="6"/>
        <w:tabs>
          <w:tab w:val="left" w:pos="1906"/>
        </w:tabs>
        <w:spacing w:before="137"/>
        <w:ind w:left="1067" w:firstLine="0"/>
        <w:jc w:val="left"/>
      </w:pPr>
      <w:r>
        <w:rPr>
          <w:spacing w:val="3"/>
          <w:w w:val="105"/>
        </w:rPr>
        <w:t>第四</w:t>
      </w:r>
      <w:r>
        <w:rPr>
          <w:w w:val="105"/>
        </w:rPr>
        <w:t>章</w:t>
      </w:r>
      <w:r>
        <w:rPr>
          <w:w w:val="105"/>
        </w:rPr>
        <w:tab/>
      </w:r>
      <w:r>
        <w:rPr>
          <w:w w:val="105"/>
        </w:rPr>
        <w:t>监</w:t>
      </w:r>
      <w:r>
        <w:rPr>
          <w:spacing w:val="-34"/>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right="39"/>
        <w:rPr>
          <w:rFonts w:hint="eastAsia" w:ascii="MS UI Gothic" w:eastAsia="MS UI Gothic"/>
        </w:rPr>
      </w:pPr>
      <w:r>
        <w:rPr>
          <w:w w:val="105"/>
        </w:rPr>
        <w:t>第十三条 县级以上人民政府建设主</w:t>
      </w:r>
      <w:r>
        <w:t>管部门应当加强对建筑施工企业安全生产许可证的监督管理</w:t>
      </w:r>
      <w:r>
        <w:rPr>
          <w:rFonts w:hint="eastAsia" w:ascii="MS UI Gothic" w:eastAsia="MS UI Gothic"/>
          <w:w w:val="80"/>
        </w:rPr>
        <w:t xml:space="preserve">ꎮ </w:t>
      </w:r>
      <w:r>
        <w:t>建设主管部门在审核发放施工许可证时</w:t>
      </w:r>
      <w:r>
        <w:rPr>
          <w:rFonts w:hint="eastAsia" w:ascii="MS UI Gothic" w:eastAsia="MS UI Gothic"/>
          <w:w w:val="80"/>
        </w:rPr>
        <w:t xml:space="preserve">ꎬ </w:t>
      </w:r>
      <w:r>
        <w:t>应当对已经确定的建筑施工企业是否有安全生产许可证进行审查</w:t>
      </w:r>
      <w:r>
        <w:rPr>
          <w:rFonts w:hint="eastAsia" w:ascii="MS UI Gothic" w:eastAsia="MS UI Gothic"/>
          <w:w w:val="80"/>
        </w:rPr>
        <w:t xml:space="preserve">ꎬ </w:t>
      </w:r>
      <w:r>
        <w:t>对没有取得安全生产许可证的</w:t>
      </w:r>
      <w:r>
        <w:rPr>
          <w:rFonts w:hint="eastAsia" w:ascii="MS UI Gothic" w:eastAsia="MS UI Gothic"/>
          <w:w w:val="80"/>
        </w:rPr>
        <w:t xml:space="preserve">ꎬ </w:t>
      </w:r>
      <w:r>
        <w:t>不得</w:t>
      </w:r>
      <w:r>
        <w:rPr>
          <w:w w:val="105"/>
        </w:rPr>
        <w:t>颁发施工许可证</w:t>
      </w:r>
      <w:r>
        <w:rPr>
          <w:rFonts w:hint="eastAsia" w:ascii="MS UI Gothic" w:eastAsia="MS UI Gothic"/>
          <w:w w:val="80"/>
        </w:rPr>
        <w:t>ꎮ</w:t>
      </w:r>
    </w:p>
    <w:p>
      <w:pPr>
        <w:pStyle w:val="6"/>
        <w:spacing w:line="295" w:lineRule="auto"/>
        <w:ind w:right="39"/>
      </w:pPr>
      <w:r>
        <w:rPr>
          <w:w w:val="105"/>
        </w:rPr>
        <w:t>第十四条 跨省从事建筑施工活动的</w:t>
      </w:r>
      <w:r>
        <w:t>建筑施工企业有违反本规定行为的</w:t>
      </w:r>
      <w:r>
        <w:rPr>
          <w:rFonts w:hint="eastAsia" w:ascii="MS UI Gothic" w:eastAsia="MS UI Gothic"/>
          <w:w w:val="80"/>
        </w:rPr>
        <w:t xml:space="preserve">ꎬ </w:t>
      </w:r>
      <w:r>
        <w:t>由工程所在地的省级人民政府建设主管部门将</w:t>
      </w:r>
      <w:r>
        <w:rPr>
          <w:w w:val="105"/>
        </w:rPr>
        <w:t>建筑施工企业在本地区的违法事实</w:t>
      </w:r>
      <w:r>
        <w:rPr>
          <w:rFonts w:hint="eastAsia" w:ascii="MS UI Gothic" w:eastAsia="MS UI Gothic"/>
          <w:w w:val="80"/>
        </w:rPr>
        <w:t xml:space="preserve">、 </w:t>
      </w:r>
      <w:r>
        <w:rPr>
          <w:w w:val="105"/>
        </w:rPr>
        <w:t>处理</w:t>
      </w:r>
    </w:p>
    <w:p>
      <w:pPr>
        <w:pStyle w:val="6"/>
        <w:spacing w:before="123" w:line="295" w:lineRule="auto"/>
        <w:ind w:right="442" w:firstLine="0"/>
        <w:jc w:val="left"/>
        <w:rPr>
          <w:rFonts w:hint="eastAsia" w:ascii="MS UI Gothic" w:eastAsia="MS UI Gothic"/>
        </w:rPr>
      </w:pPr>
      <w:r>
        <w:br w:type="column"/>
      </w:r>
      <w:r>
        <w:t>结果和处理建议抄告原安全生产许可证颁</w:t>
      </w:r>
      <w:r>
        <w:rPr>
          <w:w w:val="105"/>
        </w:rPr>
        <w:t>发管理机关</w:t>
      </w:r>
      <w:r>
        <w:rPr>
          <w:rFonts w:hint="eastAsia" w:ascii="MS UI Gothic" w:eastAsia="MS UI Gothic"/>
          <w:w w:val="80"/>
        </w:rPr>
        <w:t>ꎮ</w:t>
      </w:r>
    </w:p>
    <w:p>
      <w:pPr>
        <w:pStyle w:val="6"/>
        <w:spacing w:line="295" w:lineRule="auto"/>
        <w:ind w:right="442"/>
        <w:rPr>
          <w:rFonts w:hint="eastAsia" w:ascii="MS UI Gothic" w:eastAsia="MS UI Gothic"/>
        </w:rPr>
      </w:pPr>
      <w:r>
        <w:t>第十五条 建筑施工企业取得安全生产许可证后</w:t>
      </w:r>
      <w:r>
        <w:rPr>
          <w:rFonts w:hint="eastAsia" w:ascii="MS UI Gothic" w:eastAsia="MS UI Gothic"/>
          <w:w w:val="80"/>
        </w:rPr>
        <w:t xml:space="preserve">ꎬ </w:t>
      </w:r>
      <w:r>
        <w:t>不得降低安全生产条件</w:t>
      </w:r>
      <w:r>
        <w:rPr>
          <w:rFonts w:hint="eastAsia" w:ascii="MS UI Gothic" w:eastAsia="MS UI Gothic"/>
          <w:w w:val="80"/>
        </w:rPr>
        <w:t xml:space="preserve">ꎬ </w:t>
      </w:r>
      <w:r>
        <w:t>并应当加强日常安全生产管理</w:t>
      </w:r>
      <w:r>
        <w:rPr>
          <w:rFonts w:hint="eastAsia" w:ascii="MS UI Gothic" w:eastAsia="MS UI Gothic"/>
          <w:w w:val="80"/>
        </w:rPr>
        <w:t xml:space="preserve">ꎬ </w:t>
      </w:r>
      <w:r>
        <w:t>接受建设主管部门的监督检查</w:t>
      </w:r>
      <w:r>
        <w:rPr>
          <w:rFonts w:hint="eastAsia" w:ascii="MS UI Gothic" w:eastAsia="MS UI Gothic"/>
          <w:w w:val="80"/>
        </w:rPr>
        <w:t xml:space="preserve">ꎮ </w:t>
      </w:r>
      <w:r>
        <w:t>安全生产许可证颁发管理机关发现企业不再具备安全生产条件的</w:t>
      </w:r>
      <w:r>
        <w:rPr>
          <w:rFonts w:hint="eastAsia" w:ascii="MS UI Gothic" w:eastAsia="MS UI Gothic"/>
          <w:w w:val="80"/>
        </w:rPr>
        <w:t xml:space="preserve">ꎬ </w:t>
      </w:r>
      <w:r>
        <w:t>应当暂扣或者吊销安全生产许可证</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第十六条 安全生产许可证颁发管理</w:t>
      </w:r>
      <w:r>
        <w:t>机关或者其上级行政机关发现有下列情形之一的</w:t>
      </w:r>
      <w:r>
        <w:rPr>
          <w:rFonts w:hint="eastAsia" w:ascii="MS UI Gothic" w:eastAsia="MS UI Gothic"/>
          <w:w w:val="80"/>
        </w:rPr>
        <w:t xml:space="preserve">ꎬ </w:t>
      </w:r>
      <w:r>
        <w:t>可以撤销已经颁发的安全生产许</w:t>
      </w:r>
      <w:r>
        <w:rPr>
          <w:w w:val="105"/>
        </w:rPr>
        <w:t>可证</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安全生产许可证颁发管理机关工作人员滥用职权</w:t>
      </w:r>
      <w:r>
        <w:rPr>
          <w:rFonts w:hint="eastAsia" w:ascii="MS UI Gothic" w:eastAsia="MS UI Gothic"/>
          <w:w w:val="80"/>
        </w:rPr>
        <w:t xml:space="preserve">、 </w:t>
      </w:r>
      <w:r>
        <w:rPr>
          <w:w w:val="105"/>
        </w:rPr>
        <w:t>玩忽职守颁发安全生产许可证的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21"/>
          <w:w w:val="105"/>
        </w:rPr>
        <w:t xml:space="preserve">( </w:t>
      </w:r>
      <w:r>
        <w:rPr>
          <w:spacing w:val="3"/>
          <w:w w:val="105"/>
        </w:rPr>
        <w:t>二</w:t>
      </w:r>
      <w:r>
        <w:rPr>
          <w:rFonts w:hint="eastAsia" w:ascii="MS UI Gothic" w:eastAsia="MS UI Gothic"/>
          <w:spacing w:val="5"/>
          <w:w w:val="105"/>
        </w:rPr>
        <w:t xml:space="preserve">) </w:t>
      </w:r>
      <w:r>
        <w:rPr>
          <w:spacing w:val="5"/>
          <w:w w:val="105"/>
        </w:rPr>
        <w:t>超越法定职权颁发安全生产许</w:t>
      </w:r>
      <w:r>
        <w:rPr>
          <w:spacing w:val="3"/>
          <w:w w:val="110"/>
        </w:rPr>
        <w:t>可证的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违反法定程序颁发安全生产许</w:t>
      </w:r>
      <w:r>
        <w:rPr>
          <w:spacing w:val="3"/>
          <w:w w:val="110"/>
        </w:rPr>
        <w:t>可证的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对不具备安全生产条件的建筑施工企业颁发安全生产许可证的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依法可以撤销已经颁发的安全</w:t>
      </w:r>
      <w:r>
        <w:rPr>
          <w:w w:val="110"/>
        </w:rPr>
        <w:t>生产许可证的其他情形</w:t>
      </w:r>
      <w:r>
        <w:rPr>
          <w:rFonts w:hint="eastAsia" w:ascii="MS UI Gothic" w:eastAsia="MS UI Gothic"/>
          <w:w w:val="80"/>
        </w:rPr>
        <w:t>ꎮ</w:t>
      </w:r>
    </w:p>
    <w:p>
      <w:pPr>
        <w:pStyle w:val="6"/>
        <w:spacing w:line="295" w:lineRule="auto"/>
        <w:ind w:right="440"/>
        <w:rPr>
          <w:rFonts w:hint="eastAsia" w:ascii="MS UI Gothic" w:eastAsia="MS UI Gothic"/>
        </w:rPr>
      </w:pPr>
      <w:r>
        <w:t>依照前款规定撤销安全生产许可证</w:t>
      </w:r>
      <w:r>
        <w:rPr>
          <w:rFonts w:hint="eastAsia" w:ascii="MS UI Gothic" w:eastAsia="MS UI Gothic"/>
          <w:w w:val="80"/>
        </w:rPr>
        <w:t>ꎬ</w:t>
      </w:r>
      <w:r>
        <w:t>建筑施工企业的合法权益受到损害的</w:t>
      </w:r>
      <w:r>
        <w:rPr>
          <w:rFonts w:hint="eastAsia" w:ascii="MS UI Gothic" w:eastAsia="MS UI Gothic"/>
          <w:w w:val="80"/>
        </w:rPr>
        <w:t xml:space="preserve">ꎬ </w:t>
      </w:r>
      <w:r>
        <w:t>建设主管部门应当依法给予赔偿</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第十七条 安全生产许可证颁发管理机关应当建立</w:t>
      </w:r>
      <w:r>
        <w:rPr>
          <w:rFonts w:hint="eastAsia" w:ascii="MS UI Gothic" w:eastAsia="MS UI Gothic"/>
          <w:w w:val="80"/>
        </w:rPr>
        <w:t xml:space="preserve">、 </w:t>
      </w:r>
      <w:r>
        <w:rPr>
          <w:w w:val="105"/>
        </w:rPr>
        <w:t>健全安全生产许可证档案</w:t>
      </w:r>
      <w:r>
        <w:t>管理制度</w:t>
      </w:r>
      <w:r>
        <w:rPr>
          <w:rFonts w:hint="eastAsia" w:ascii="MS UI Gothic" w:eastAsia="MS UI Gothic"/>
          <w:w w:val="80"/>
        </w:rPr>
        <w:t xml:space="preserve">ꎬ </w:t>
      </w:r>
      <w:r>
        <w:t>定期向社会公布企业取得安全生产许可证的情况</w:t>
      </w:r>
      <w:r>
        <w:rPr>
          <w:rFonts w:hint="eastAsia" w:ascii="MS UI Gothic" w:eastAsia="MS UI Gothic"/>
          <w:w w:val="80"/>
        </w:rPr>
        <w:t xml:space="preserve">ꎬ </w:t>
      </w:r>
      <w:r>
        <w:t>每年向同级安全生产监督管理部门通报建筑施工企业安全生产</w:t>
      </w:r>
      <w:r>
        <w:rPr>
          <w:w w:val="105"/>
        </w:rPr>
        <w:t>许可证颁发和管理情况</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第十八条 建筑施工企业不得转让</w:t>
      </w:r>
      <w:r>
        <w:rPr>
          <w:rFonts w:hint="eastAsia" w:ascii="MS UI Gothic" w:eastAsia="MS UI Gothic"/>
          <w:w w:val="80"/>
        </w:rPr>
        <w:t>、</w:t>
      </w:r>
      <w:r>
        <w:t>冒用安全生产许可证或者使用伪造的安全</w:t>
      </w:r>
      <w:r>
        <w:rPr>
          <w:w w:val="105"/>
        </w:rPr>
        <w:t>生产许可证</w:t>
      </w:r>
      <w:r>
        <w:rPr>
          <w:rFonts w:hint="eastAsia" w:ascii="MS UI Gothic" w:eastAsia="MS UI Gothic"/>
          <w:w w:val="80"/>
        </w:rPr>
        <w:t>ꎮ</w:t>
      </w:r>
    </w:p>
    <w:p>
      <w:pPr>
        <w:pStyle w:val="6"/>
        <w:spacing w:line="295" w:lineRule="auto"/>
        <w:ind w:right="442"/>
        <w:rPr>
          <w:rFonts w:hint="eastAsia" w:ascii="MS UI Gothic" w:eastAsia="MS UI Gothic"/>
        </w:rPr>
      </w:pPr>
      <w:r>
        <w:t>第十九条 建设主管部门工作人员在安全生产许可证颁发</w:t>
      </w:r>
      <w:r>
        <w:rPr>
          <w:rFonts w:hint="eastAsia" w:ascii="MS UI Gothic" w:eastAsia="MS UI Gothic"/>
          <w:w w:val="80"/>
        </w:rPr>
        <w:t xml:space="preserve">、 </w:t>
      </w:r>
      <w:r>
        <w:t>管理和监督检查工作中</w:t>
      </w:r>
      <w:r>
        <w:rPr>
          <w:rFonts w:hint="eastAsia" w:ascii="MS UI Gothic" w:eastAsia="MS UI Gothic"/>
          <w:w w:val="80"/>
        </w:rPr>
        <w:t xml:space="preserve">ꎬ </w:t>
      </w:r>
      <w:r>
        <w:t>不得索取或者接受建筑施工企业的财物</w:t>
      </w:r>
      <w:r>
        <w:rPr>
          <w:rFonts w:hint="eastAsia" w:ascii="MS UI Gothic" w:eastAsia="MS UI Gothic"/>
          <w:w w:val="80"/>
        </w:rPr>
        <w:t xml:space="preserve">ꎬ </w:t>
      </w:r>
      <w:r>
        <w:t>不得谋取其他利益</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４４３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28" o:spid="_x0000_s2328" o:spt="203" style="height:2.15pt;width:398.25pt;" coordsize="7965,43">
            <o:lock v:ext="edit"/>
            <v:line id="_x0000_s2329" o:spid="_x0000_s2329" o:spt="20" style="position:absolute;left:0;top:39;height:0;width:7965;" stroked="t" coordsize="21600,21600">
              <v:path arrowok="t"/>
              <v:fill focussize="0,0"/>
              <v:stroke weight="0.388031496062992pt" color="#231F20"/>
              <v:imagedata o:title=""/>
              <o:lock v:ext="edit"/>
            </v:line>
            <v:line id="_x0000_s2330" o:spid="_x0000_s23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w w:val="105"/>
        </w:rPr>
        <w:t>第二十条 任何单位或者个人对违反</w:t>
      </w:r>
      <w:r>
        <w:t>本规定的行为</w:t>
      </w:r>
      <w:r>
        <w:rPr>
          <w:rFonts w:hint="eastAsia" w:ascii="MS UI Gothic" w:eastAsia="MS UI Gothic"/>
          <w:w w:val="80"/>
        </w:rPr>
        <w:t xml:space="preserve">ꎬ </w:t>
      </w:r>
      <w:r>
        <w:t>有权向安全生产许可证颁发管理机关或者监察机关等有关部门</w:t>
      </w:r>
      <w:r>
        <w:rPr>
          <w:w w:val="105"/>
        </w:rPr>
        <w:t>举报</w:t>
      </w:r>
      <w:r>
        <w:rPr>
          <w:rFonts w:hint="eastAsia" w:ascii="MS UI Gothic" w:eastAsia="MS UI Gothic"/>
          <w:w w:val="80"/>
        </w:rPr>
        <w:t>ꎮ</w:t>
      </w:r>
    </w:p>
    <w:p>
      <w:pPr>
        <w:pStyle w:val="6"/>
        <w:tabs>
          <w:tab w:val="left" w:pos="2327"/>
          <w:tab w:val="left" w:pos="2956"/>
        </w:tabs>
        <w:spacing w:before="154"/>
        <w:ind w:left="1488" w:firstLine="0"/>
        <w:jc w:val="left"/>
      </w:pPr>
      <w:r>
        <w:rPr>
          <w:spacing w:val="3"/>
          <w:w w:val="105"/>
        </w:rPr>
        <w:t>第五</w:t>
      </w:r>
      <w:r>
        <w:rPr>
          <w:w w:val="105"/>
        </w:rPr>
        <w:t>章</w:t>
      </w:r>
      <w:r>
        <w:rPr>
          <w:w w:val="105"/>
        </w:rPr>
        <w:tab/>
      </w:r>
      <w:r>
        <w:rPr>
          <w:w w:val="105"/>
        </w:rPr>
        <w:t>罚</w:t>
      </w:r>
      <w:r>
        <w:rPr>
          <w:w w:val="105"/>
        </w:rPr>
        <w:tab/>
      </w:r>
      <w:r>
        <w:rPr>
          <w:w w:val="105"/>
        </w:rPr>
        <w:t>则</w:t>
      </w:r>
    </w:p>
    <w:p>
      <w:pPr>
        <w:pStyle w:val="6"/>
        <w:spacing w:before="215" w:line="295" w:lineRule="auto"/>
        <w:ind w:left="440" w:right="1"/>
        <w:rPr>
          <w:rFonts w:hint="eastAsia" w:ascii="MS UI Gothic" w:eastAsia="MS UI Gothic"/>
        </w:rPr>
      </w:pPr>
      <w:r>
        <w:rPr>
          <w:w w:val="105"/>
        </w:rPr>
        <w:t>第二十一条 违反本规定</w:t>
      </w:r>
      <w:r>
        <w:rPr>
          <w:rFonts w:hint="eastAsia" w:ascii="MS UI Gothic" w:eastAsia="MS UI Gothic"/>
          <w:w w:val="80"/>
        </w:rPr>
        <w:t xml:space="preserve">ꎬ </w:t>
      </w:r>
      <w:r>
        <w:rPr>
          <w:w w:val="105"/>
        </w:rPr>
        <w:t>建设主管</w:t>
      </w:r>
      <w:r>
        <w:t>部门工作人员有下列行为之一的</w:t>
      </w:r>
      <w:r>
        <w:rPr>
          <w:rFonts w:hint="eastAsia" w:ascii="MS UI Gothic" w:eastAsia="MS UI Gothic"/>
          <w:w w:val="80"/>
        </w:rPr>
        <w:t xml:space="preserve">ꎬ </w:t>
      </w:r>
      <w:r>
        <w:t>给予降级或者撤职的行政处分</w:t>
      </w:r>
      <w:r>
        <w:rPr>
          <w:rFonts w:hint="eastAsia" w:ascii="MS UI Gothic" w:eastAsia="MS UI Gothic"/>
          <w:w w:val="80"/>
        </w:rPr>
        <w:t xml:space="preserve">ꎻ </w:t>
      </w:r>
      <w:r>
        <w:t>构成犯罪的</w:t>
      </w:r>
      <w:r>
        <w:rPr>
          <w:rFonts w:hint="eastAsia" w:ascii="MS UI Gothic" w:eastAsia="MS UI Gothic"/>
          <w:w w:val="80"/>
        </w:rPr>
        <w:t xml:space="preserve">ꎬ </w:t>
      </w:r>
      <w:r>
        <w:t>依</w:t>
      </w:r>
      <w:r>
        <w:rPr>
          <w:w w:val="105"/>
        </w:rPr>
        <w:t>法追究刑事责任</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向不符合安全生产条件的建筑施工企业颁发安全生产许可证的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发现建筑施工企业未依法取得</w:t>
      </w:r>
      <w:r>
        <w:t>安全生产许可证擅自从事建筑施工活动</w:t>
      </w:r>
      <w:r>
        <w:rPr>
          <w:rFonts w:hint="eastAsia" w:ascii="MS UI Gothic" w:eastAsia="MS UI Gothic"/>
          <w:w w:val="80"/>
        </w:rPr>
        <w:t>ꎬ</w:t>
      </w:r>
      <w:r>
        <w:rPr>
          <w:w w:val="105"/>
        </w:rPr>
        <w:t>不依法处理的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发现取得安全生产许可证的建</w:t>
      </w:r>
      <w:r>
        <w:t>筑施工企业不再具备安全生产条件</w:t>
      </w:r>
      <w:r>
        <w:rPr>
          <w:rFonts w:hint="eastAsia" w:ascii="MS UI Gothic" w:eastAsia="MS UI Gothic"/>
          <w:w w:val="80"/>
        </w:rPr>
        <w:t xml:space="preserve">ꎬ </w:t>
      </w:r>
      <w:r>
        <w:t>不依</w:t>
      </w:r>
      <w:r>
        <w:rPr>
          <w:w w:val="105"/>
        </w:rPr>
        <w:t>法处理的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接到对违反本规定行为的举报后</w:t>
      </w:r>
      <w:r>
        <w:rPr>
          <w:rFonts w:hint="eastAsia" w:ascii="MS UI Gothic" w:eastAsia="MS UI Gothic"/>
          <w:w w:val="80"/>
        </w:rPr>
        <w:t xml:space="preserve">ꎬ </w:t>
      </w:r>
      <w:r>
        <w:rPr>
          <w:w w:val="105"/>
        </w:rPr>
        <w:t>不及时处理的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在安全生产许可证颁发</w:t>
      </w:r>
      <w:r>
        <w:rPr>
          <w:rFonts w:hint="eastAsia" w:ascii="MS UI Gothic" w:eastAsia="MS UI Gothic"/>
          <w:w w:val="80"/>
        </w:rPr>
        <w:t xml:space="preserve">、 </w:t>
      </w:r>
      <w:r>
        <w:rPr>
          <w:w w:val="105"/>
        </w:rPr>
        <w:t>管理</w:t>
      </w:r>
      <w:r>
        <w:t>和监督检查工作中</w:t>
      </w:r>
      <w:r>
        <w:rPr>
          <w:rFonts w:hint="eastAsia" w:ascii="MS UI Gothic" w:eastAsia="MS UI Gothic"/>
          <w:w w:val="80"/>
        </w:rPr>
        <w:t xml:space="preserve">ꎬ </w:t>
      </w:r>
      <w:r>
        <w:t>索取或者接受建筑施</w:t>
      </w:r>
      <w:r>
        <w:rPr>
          <w:w w:val="105"/>
        </w:rPr>
        <w:t>工企业的财物</w:t>
      </w:r>
      <w:r>
        <w:rPr>
          <w:rFonts w:hint="eastAsia" w:ascii="MS UI Gothic" w:eastAsia="MS UI Gothic"/>
          <w:w w:val="80"/>
        </w:rPr>
        <w:t xml:space="preserve">ꎬ </w:t>
      </w:r>
      <w:r>
        <w:rPr>
          <w:w w:val="105"/>
        </w:rPr>
        <w:t>或者谋取其他利益的</w:t>
      </w:r>
      <w:r>
        <w:rPr>
          <w:rFonts w:hint="eastAsia" w:ascii="MS UI Gothic" w:eastAsia="MS UI Gothic"/>
          <w:w w:val="80"/>
        </w:rPr>
        <w:t>ꎮ</w:t>
      </w:r>
    </w:p>
    <w:p>
      <w:pPr>
        <w:pStyle w:val="6"/>
        <w:spacing w:line="295" w:lineRule="auto"/>
        <w:ind w:left="440" w:right="1"/>
        <w:rPr>
          <w:rFonts w:hint="eastAsia" w:ascii="MS UI Gothic" w:eastAsia="MS UI Gothic"/>
        </w:rPr>
      </w:pPr>
      <w:r>
        <w:t>由于建筑施工企业弄虚作假</w:t>
      </w:r>
      <w:r>
        <w:rPr>
          <w:rFonts w:hint="eastAsia" w:ascii="MS UI Gothic" w:eastAsia="MS UI Gothic"/>
          <w:w w:val="80"/>
        </w:rPr>
        <w:t xml:space="preserve">ꎬ </w:t>
      </w:r>
      <w:r>
        <w:t>造成前</w:t>
      </w:r>
      <w:r>
        <w:rPr>
          <w:w w:val="105"/>
        </w:rPr>
        <w:t xml:space="preserve">款第 </w:t>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项行为的</w:t>
      </w:r>
      <w:r>
        <w:rPr>
          <w:rFonts w:hint="eastAsia" w:ascii="MS UI Gothic" w:eastAsia="MS UI Gothic"/>
          <w:w w:val="80"/>
        </w:rPr>
        <w:t xml:space="preserve">ꎬ </w:t>
      </w:r>
      <w:r>
        <w:rPr>
          <w:w w:val="105"/>
        </w:rPr>
        <w:t>对建设主管部门工作人员不予处分</w:t>
      </w:r>
      <w:r>
        <w:rPr>
          <w:rFonts w:hint="eastAsia" w:ascii="MS UI Gothic" w:eastAsia="MS UI Gothic"/>
          <w:w w:val="80"/>
        </w:rPr>
        <w:t>ꎮ</w:t>
      </w:r>
    </w:p>
    <w:p>
      <w:pPr>
        <w:pStyle w:val="6"/>
        <w:spacing w:line="295" w:lineRule="auto"/>
        <w:ind w:left="440" w:right="1"/>
        <w:rPr>
          <w:rFonts w:hint="eastAsia" w:ascii="MS UI Gothic" w:eastAsia="MS UI Gothic"/>
        </w:rPr>
      </w:pPr>
      <w:r>
        <w:t>第二十二条 取得安全生产许可证的建筑施工企业</w:t>
      </w:r>
      <w:r>
        <w:rPr>
          <w:rFonts w:hint="eastAsia" w:ascii="MS UI Gothic" w:eastAsia="MS UI Gothic"/>
          <w:w w:val="80"/>
        </w:rPr>
        <w:t xml:space="preserve">ꎬ </w:t>
      </w:r>
      <w:r>
        <w:t>发生重大安全事故的</w:t>
      </w:r>
      <w:r>
        <w:rPr>
          <w:rFonts w:hint="eastAsia" w:ascii="MS UI Gothic" w:eastAsia="MS UI Gothic"/>
          <w:w w:val="80"/>
        </w:rPr>
        <w:t xml:space="preserve">ꎬ </w:t>
      </w:r>
      <w:r>
        <w:t>暂扣安全生产许可证并限期整改</w:t>
      </w:r>
      <w:r>
        <w:rPr>
          <w:rFonts w:hint="eastAsia" w:ascii="MS UI Gothic" w:eastAsia="MS UI Gothic"/>
          <w:w w:val="80"/>
        </w:rPr>
        <w:t>ꎮ</w:t>
      </w:r>
    </w:p>
    <w:p>
      <w:pPr>
        <w:pStyle w:val="6"/>
        <w:spacing w:line="295" w:lineRule="auto"/>
        <w:ind w:left="440" w:right="1"/>
        <w:rPr>
          <w:rFonts w:hint="eastAsia" w:ascii="MS UI Gothic" w:eastAsia="MS UI Gothic"/>
        </w:rPr>
      </w:pPr>
      <w:r>
        <w:t>第二十三条 建筑施工企业不再具备安全生产条件的</w:t>
      </w:r>
      <w:r>
        <w:rPr>
          <w:rFonts w:hint="eastAsia" w:ascii="MS UI Gothic" w:eastAsia="MS UI Gothic"/>
          <w:w w:val="80"/>
        </w:rPr>
        <w:t xml:space="preserve">ꎬ </w:t>
      </w:r>
      <w:r>
        <w:t>暂扣安全生产许可证并限期整改</w:t>
      </w:r>
      <w:r>
        <w:rPr>
          <w:rFonts w:hint="eastAsia" w:ascii="MS UI Gothic" w:eastAsia="MS UI Gothic"/>
          <w:w w:val="80"/>
        </w:rPr>
        <w:t xml:space="preserve">ꎻ </w:t>
      </w:r>
      <w:r>
        <w:t>情节严重的</w:t>
      </w:r>
      <w:r>
        <w:rPr>
          <w:rFonts w:hint="eastAsia" w:ascii="MS UI Gothic" w:eastAsia="MS UI Gothic"/>
          <w:w w:val="80"/>
        </w:rPr>
        <w:t xml:space="preserve">ꎬ </w:t>
      </w:r>
      <w:r>
        <w:t>吊销安全生产许可证</w:t>
      </w:r>
      <w:r>
        <w:rPr>
          <w:rFonts w:hint="eastAsia" w:ascii="MS UI Gothic" w:eastAsia="MS UI Gothic"/>
          <w:w w:val="80"/>
        </w:rPr>
        <w:t>ꎮ</w:t>
      </w:r>
    </w:p>
    <w:p>
      <w:pPr>
        <w:pStyle w:val="6"/>
        <w:spacing w:line="295" w:lineRule="auto"/>
        <w:ind w:left="440"/>
      </w:pPr>
      <w:r>
        <w:rPr>
          <w:spacing w:val="3"/>
        </w:rPr>
        <w:t>第二十四条 违反本规定</w:t>
      </w:r>
      <w:r>
        <w:rPr>
          <w:rFonts w:hint="eastAsia" w:ascii="MS UI Gothic" w:eastAsia="MS UI Gothic"/>
          <w:spacing w:val="3"/>
          <w:w w:val="85"/>
        </w:rPr>
        <w:t xml:space="preserve">ꎬ </w:t>
      </w:r>
      <w:r>
        <w:rPr>
          <w:spacing w:val="2"/>
        </w:rPr>
        <w:t>建筑施工企业未取得安全生产许可证擅自从事建筑</w:t>
      </w:r>
      <w:r>
        <w:rPr>
          <w:spacing w:val="3"/>
        </w:rPr>
        <w:t>施工活动的</w:t>
      </w:r>
      <w:r>
        <w:rPr>
          <w:rFonts w:hint="eastAsia" w:ascii="MS UI Gothic" w:eastAsia="MS UI Gothic"/>
          <w:spacing w:val="10"/>
          <w:w w:val="85"/>
        </w:rPr>
        <w:t xml:space="preserve">ꎬ </w:t>
      </w:r>
      <w:r>
        <w:rPr>
          <w:spacing w:val="11"/>
        </w:rPr>
        <w:t>责令其在建项目停止施工</w:t>
      </w:r>
      <w:r>
        <w:rPr>
          <w:rFonts w:hint="eastAsia" w:ascii="MS UI Gothic" w:eastAsia="MS UI Gothic"/>
          <w:w w:val="85"/>
        </w:rPr>
        <w:t>ꎬ</w:t>
      </w:r>
      <w:r>
        <w:rPr>
          <w:spacing w:val="3"/>
        </w:rPr>
        <w:t>没收违法所得</w:t>
      </w:r>
      <w:r>
        <w:rPr>
          <w:rFonts w:hint="eastAsia" w:ascii="MS UI Gothic" w:eastAsia="MS UI Gothic"/>
          <w:spacing w:val="20"/>
          <w:w w:val="85"/>
        </w:rPr>
        <w:t xml:space="preserve">ꎬ </w:t>
      </w:r>
      <w:r>
        <w:rPr>
          <w:spacing w:val="-18"/>
        </w:rPr>
        <w:t xml:space="preserve">并处 </w:t>
      </w:r>
      <w:r>
        <w:rPr>
          <w:rFonts w:hint="eastAsia" w:ascii="MS UI Gothic" w:eastAsia="MS UI Gothic"/>
          <w:spacing w:val="-1"/>
          <w:w w:val="85"/>
        </w:rPr>
        <w:t xml:space="preserve">１０ </w:t>
      </w:r>
      <w:r>
        <w:rPr>
          <w:spacing w:val="-10"/>
        </w:rPr>
        <w:t xml:space="preserve">万元以上 </w:t>
      </w:r>
      <w:r>
        <w:rPr>
          <w:rFonts w:hint="eastAsia" w:ascii="MS UI Gothic" w:eastAsia="MS UI Gothic"/>
          <w:spacing w:val="1"/>
          <w:w w:val="85"/>
        </w:rPr>
        <w:t xml:space="preserve">５０ </w:t>
      </w:r>
      <w:r>
        <w:rPr>
          <w:spacing w:val="3"/>
        </w:rPr>
        <w:t>万元以下的罚款</w:t>
      </w:r>
      <w:r>
        <w:rPr>
          <w:rFonts w:hint="eastAsia" w:ascii="MS UI Gothic" w:eastAsia="MS UI Gothic"/>
          <w:spacing w:val="14"/>
          <w:w w:val="85"/>
        </w:rPr>
        <w:t xml:space="preserve">ꎻ </w:t>
      </w:r>
      <w:r>
        <w:rPr>
          <w:spacing w:val="2"/>
        </w:rPr>
        <w:t>造成重大安全事故或者其他</w:t>
      </w:r>
      <w:r>
        <w:rPr>
          <w:spacing w:val="6"/>
        </w:rPr>
        <w:t>严重后果</w:t>
      </w:r>
      <w:r>
        <w:rPr>
          <w:rFonts w:hint="eastAsia" w:ascii="MS UI Gothic" w:eastAsia="MS UI Gothic"/>
          <w:spacing w:val="20"/>
          <w:w w:val="85"/>
        </w:rPr>
        <w:t xml:space="preserve">ꎬ </w:t>
      </w:r>
      <w:r>
        <w:rPr>
          <w:spacing w:val="19"/>
        </w:rPr>
        <w:t>构成犯罪的</w:t>
      </w:r>
      <w:r>
        <w:rPr>
          <w:rFonts w:hint="eastAsia" w:ascii="MS UI Gothic" w:eastAsia="MS UI Gothic"/>
          <w:spacing w:val="21"/>
          <w:w w:val="85"/>
        </w:rPr>
        <w:t xml:space="preserve">ꎬ </w:t>
      </w:r>
      <w:r>
        <w:rPr>
          <w:spacing w:val="19"/>
        </w:rPr>
        <w:t>依法追究刑事</w:t>
      </w:r>
    </w:p>
    <w:p>
      <w:pPr>
        <w:spacing w:before="124"/>
        <w:ind w:left="381" w:right="0" w:firstLine="0"/>
        <w:jc w:val="left"/>
        <w:rPr>
          <w:rFonts w:hint="eastAsia" w:ascii="MS UI Gothic" w:eastAsia="MS UI Gothic"/>
          <w:sz w:val="20"/>
        </w:rPr>
      </w:pPr>
      <w:r>
        <w:br w:type="column"/>
      </w:r>
      <w:r>
        <w:rPr>
          <w:spacing w:val="3"/>
          <w:w w:val="85"/>
          <w:sz w:val="20"/>
        </w:rPr>
        <w:t>责任</w:t>
      </w:r>
      <w:r>
        <w:rPr>
          <w:rFonts w:hint="eastAsia" w:ascii="MS UI Gothic" w:eastAsia="MS UI Gothic"/>
          <w:w w:val="80"/>
          <w:sz w:val="20"/>
        </w:rPr>
        <w:t>ꎮ</w:t>
      </w:r>
    </w:p>
    <w:p>
      <w:pPr>
        <w:pStyle w:val="6"/>
        <w:spacing w:before="58" w:line="295" w:lineRule="auto"/>
        <w:ind w:left="381" w:right="124"/>
        <w:rPr>
          <w:rFonts w:hint="eastAsia" w:ascii="MS UI Gothic" w:eastAsia="MS UI Gothic"/>
        </w:rPr>
      </w:pPr>
      <w:r>
        <w:rPr>
          <w:spacing w:val="3"/>
        </w:rPr>
        <w:t>第二十五条 违反本规定</w:t>
      </w:r>
      <w:r>
        <w:rPr>
          <w:rFonts w:hint="eastAsia" w:ascii="MS UI Gothic" w:eastAsia="MS UI Gothic"/>
          <w:spacing w:val="3"/>
          <w:w w:val="85"/>
        </w:rPr>
        <w:t xml:space="preserve">ꎬ </w:t>
      </w:r>
      <w:r>
        <w:rPr>
          <w:spacing w:val="2"/>
        </w:rPr>
        <w:t>安全生产</w:t>
      </w:r>
      <w:r>
        <w:rPr>
          <w:spacing w:val="3"/>
        </w:rPr>
        <w:t>许可证有效期满未办理延期手续</w:t>
      </w:r>
      <w:r>
        <w:rPr>
          <w:rFonts w:hint="eastAsia" w:ascii="MS UI Gothic" w:eastAsia="MS UI Gothic"/>
          <w:spacing w:val="12"/>
          <w:w w:val="85"/>
        </w:rPr>
        <w:t xml:space="preserve">ꎬ </w:t>
      </w:r>
      <w:r>
        <w:rPr>
          <w:spacing w:val="2"/>
        </w:rPr>
        <w:t>继续从</w:t>
      </w:r>
      <w:r>
        <w:rPr>
          <w:spacing w:val="3"/>
        </w:rPr>
        <w:t>事建筑施工活动的</w:t>
      </w:r>
      <w:r>
        <w:rPr>
          <w:rFonts w:hint="eastAsia" w:ascii="MS UI Gothic" w:eastAsia="MS UI Gothic"/>
          <w:spacing w:val="12"/>
          <w:w w:val="85"/>
        </w:rPr>
        <w:t xml:space="preserve">ꎬ </w:t>
      </w:r>
      <w:r>
        <w:rPr>
          <w:spacing w:val="2"/>
        </w:rPr>
        <w:t>责令其在建项目停止</w:t>
      </w:r>
      <w:r>
        <w:rPr>
          <w:spacing w:val="3"/>
        </w:rPr>
        <w:t>施工</w:t>
      </w:r>
      <w:r>
        <w:rPr>
          <w:rFonts w:hint="eastAsia" w:ascii="MS UI Gothic" w:eastAsia="MS UI Gothic"/>
          <w:spacing w:val="16"/>
          <w:w w:val="85"/>
        </w:rPr>
        <w:t xml:space="preserve">ꎬ </w:t>
      </w:r>
      <w:r>
        <w:rPr>
          <w:spacing w:val="17"/>
        </w:rPr>
        <w:t>限期补办延期手续</w:t>
      </w:r>
      <w:r>
        <w:rPr>
          <w:rFonts w:hint="eastAsia" w:ascii="MS UI Gothic" w:eastAsia="MS UI Gothic"/>
          <w:spacing w:val="21"/>
          <w:w w:val="85"/>
        </w:rPr>
        <w:t xml:space="preserve">ꎬ </w:t>
      </w:r>
      <w:r>
        <w:rPr>
          <w:spacing w:val="18"/>
        </w:rPr>
        <w:t>没收违法所</w:t>
      </w:r>
      <w:r>
        <w:rPr>
          <w:spacing w:val="3"/>
        </w:rPr>
        <w:t>得</w:t>
      </w:r>
      <w:r>
        <w:rPr>
          <w:rFonts w:hint="eastAsia" w:ascii="MS UI Gothic" w:eastAsia="MS UI Gothic"/>
          <w:spacing w:val="11"/>
          <w:w w:val="85"/>
        </w:rPr>
        <w:t xml:space="preserve">ꎬ </w:t>
      </w:r>
      <w:r>
        <w:rPr>
          <w:spacing w:val="-21"/>
        </w:rPr>
        <w:t xml:space="preserve">并处 </w:t>
      </w:r>
      <w:r>
        <w:rPr>
          <w:rFonts w:hint="eastAsia" w:ascii="MS UI Gothic" w:eastAsia="MS UI Gothic"/>
          <w:spacing w:val="-5"/>
          <w:w w:val="85"/>
        </w:rPr>
        <w:t xml:space="preserve">５ </w:t>
      </w:r>
      <w:r>
        <w:rPr>
          <w:spacing w:val="-11"/>
        </w:rPr>
        <w:t xml:space="preserve">万元以上 </w:t>
      </w:r>
      <w:r>
        <w:rPr>
          <w:rFonts w:hint="eastAsia" w:ascii="MS UI Gothic" w:eastAsia="MS UI Gothic"/>
          <w:spacing w:val="-4"/>
          <w:w w:val="85"/>
        </w:rPr>
        <w:t xml:space="preserve">１０ </w:t>
      </w:r>
      <w:r>
        <w:rPr>
          <w:spacing w:val="3"/>
        </w:rPr>
        <w:t>万元以下的罚款</w:t>
      </w:r>
      <w:r>
        <w:rPr>
          <w:rFonts w:hint="eastAsia" w:ascii="MS UI Gothic" w:eastAsia="MS UI Gothic"/>
          <w:w w:val="85"/>
        </w:rPr>
        <w:t>ꎻ</w:t>
      </w:r>
      <w:r>
        <w:rPr>
          <w:spacing w:val="3"/>
        </w:rPr>
        <w:t>逾期仍不办理延期手续</w:t>
      </w:r>
      <w:r>
        <w:rPr>
          <w:rFonts w:hint="eastAsia" w:ascii="MS UI Gothic" w:eastAsia="MS UI Gothic"/>
          <w:spacing w:val="12"/>
          <w:w w:val="85"/>
        </w:rPr>
        <w:t xml:space="preserve">ꎬ </w:t>
      </w:r>
      <w:r>
        <w:rPr>
          <w:spacing w:val="2"/>
        </w:rPr>
        <w:t>继续从事建筑施</w:t>
      </w:r>
      <w:r>
        <w:rPr>
          <w:spacing w:val="3"/>
        </w:rPr>
        <w:t>工活动的</w:t>
      </w:r>
      <w:r>
        <w:rPr>
          <w:rFonts w:hint="eastAsia" w:ascii="MS UI Gothic" w:eastAsia="MS UI Gothic"/>
          <w:spacing w:val="12"/>
          <w:w w:val="85"/>
        </w:rPr>
        <w:t xml:space="preserve">ꎬ </w:t>
      </w:r>
      <w:r>
        <w:rPr>
          <w:spacing w:val="2"/>
        </w:rPr>
        <w:t>依照本规定第二十四条的规定</w:t>
      </w:r>
      <w:r>
        <w:rPr>
          <w:spacing w:val="3"/>
        </w:rPr>
        <w:t>处罚</w:t>
      </w:r>
      <w:r>
        <w:rPr>
          <w:rFonts w:hint="eastAsia" w:ascii="MS UI Gothic" w:eastAsia="MS UI Gothic"/>
          <w:w w:val="85"/>
        </w:rPr>
        <w:t>ꎮ</w:t>
      </w:r>
    </w:p>
    <w:p>
      <w:pPr>
        <w:pStyle w:val="6"/>
        <w:spacing w:line="295" w:lineRule="auto"/>
        <w:ind w:left="381" w:right="124"/>
        <w:rPr>
          <w:rFonts w:hint="eastAsia" w:ascii="MS UI Gothic" w:eastAsia="MS UI Gothic"/>
        </w:rPr>
      </w:pPr>
      <w:r>
        <w:t>第二十六条 违反本规定</w:t>
      </w:r>
      <w:r>
        <w:rPr>
          <w:rFonts w:hint="eastAsia" w:ascii="MS UI Gothic" w:eastAsia="MS UI Gothic"/>
          <w:w w:val="85"/>
        </w:rPr>
        <w:t xml:space="preserve">ꎬ </w:t>
      </w:r>
      <w:r>
        <w:t>建筑施工企业转让安全生产许可证的</w:t>
      </w:r>
      <w:r>
        <w:rPr>
          <w:rFonts w:hint="eastAsia" w:ascii="MS UI Gothic" w:eastAsia="MS UI Gothic"/>
          <w:w w:val="85"/>
        </w:rPr>
        <w:t xml:space="preserve">ꎬ </w:t>
      </w:r>
      <w:r>
        <w:t>没收违法所得</w:t>
      </w:r>
      <w:r>
        <w:rPr>
          <w:rFonts w:hint="eastAsia" w:ascii="MS UI Gothic" w:eastAsia="MS UI Gothic"/>
          <w:w w:val="85"/>
        </w:rPr>
        <w:t xml:space="preserve">ꎬ </w:t>
      </w:r>
      <w:r>
        <w:t xml:space="preserve">处 </w:t>
      </w:r>
      <w:r>
        <w:rPr>
          <w:rFonts w:hint="eastAsia" w:ascii="MS UI Gothic" w:eastAsia="MS UI Gothic"/>
          <w:w w:val="85"/>
        </w:rPr>
        <w:t xml:space="preserve">１０ </w:t>
      </w:r>
      <w:r>
        <w:t xml:space="preserve">万元以上 </w:t>
      </w:r>
      <w:r>
        <w:rPr>
          <w:rFonts w:hint="eastAsia" w:ascii="MS UI Gothic" w:eastAsia="MS UI Gothic"/>
          <w:w w:val="85"/>
        </w:rPr>
        <w:t xml:space="preserve">５０ </w:t>
      </w:r>
      <w:r>
        <w:t>万元以下的罚款</w:t>
      </w:r>
      <w:r>
        <w:rPr>
          <w:rFonts w:hint="eastAsia" w:ascii="MS UI Gothic" w:eastAsia="MS UI Gothic"/>
          <w:w w:val="85"/>
        </w:rPr>
        <w:t>ꎬ</w:t>
      </w:r>
      <w:r>
        <w:t>并吊销安全生产许可证</w:t>
      </w:r>
      <w:r>
        <w:rPr>
          <w:rFonts w:hint="eastAsia" w:ascii="MS UI Gothic" w:eastAsia="MS UI Gothic"/>
          <w:w w:val="85"/>
        </w:rPr>
        <w:t xml:space="preserve">ꎻ </w:t>
      </w:r>
      <w:r>
        <w:t>构成犯罪的</w:t>
      </w:r>
      <w:r>
        <w:rPr>
          <w:rFonts w:hint="eastAsia" w:ascii="MS UI Gothic" w:eastAsia="MS UI Gothic"/>
          <w:w w:val="85"/>
        </w:rPr>
        <w:t xml:space="preserve">ꎬ </w:t>
      </w:r>
      <w:r>
        <w:t>依法追究刑事责任</w:t>
      </w:r>
      <w:r>
        <w:rPr>
          <w:rFonts w:hint="eastAsia" w:ascii="MS UI Gothic" w:eastAsia="MS UI Gothic"/>
          <w:w w:val="85"/>
        </w:rPr>
        <w:t xml:space="preserve">ꎻ </w:t>
      </w:r>
      <w:r>
        <w:t>接受转让的</w:t>
      </w:r>
      <w:r>
        <w:rPr>
          <w:rFonts w:hint="eastAsia" w:ascii="MS UI Gothic" w:eastAsia="MS UI Gothic"/>
          <w:w w:val="85"/>
        </w:rPr>
        <w:t xml:space="preserve">ꎬ </w:t>
      </w:r>
      <w:r>
        <w:t>依照本规定第二十四条的规定处罚</w:t>
      </w:r>
      <w:r>
        <w:rPr>
          <w:rFonts w:hint="eastAsia" w:ascii="MS UI Gothic" w:eastAsia="MS UI Gothic"/>
          <w:w w:val="85"/>
        </w:rPr>
        <w:t>ꎮ</w:t>
      </w:r>
    </w:p>
    <w:p>
      <w:pPr>
        <w:pStyle w:val="6"/>
        <w:spacing w:line="295" w:lineRule="auto"/>
        <w:ind w:left="381" w:right="126"/>
        <w:rPr>
          <w:rFonts w:hint="eastAsia" w:ascii="MS UI Gothic" w:eastAsia="MS UI Gothic"/>
        </w:rPr>
      </w:pPr>
      <w:r>
        <w:t>冒用安全生产许可证或者使用伪造的安全生产许可证的</w:t>
      </w:r>
      <w:r>
        <w:rPr>
          <w:rFonts w:hint="eastAsia" w:ascii="MS UI Gothic" w:eastAsia="MS UI Gothic"/>
          <w:w w:val="80"/>
        </w:rPr>
        <w:t xml:space="preserve">ꎬ </w:t>
      </w:r>
      <w:r>
        <w:t>依照本规定第二十四</w:t>
      </w:r>
      <w:r>
        <w:rPr>
          <w:w w:val="105"/>
        </w:rPr>
        <w:t>条的规定处罚</w:t>
      </w:r>
      <w:r>
        <w:rPr>
          <w:rFonts w:hint="eastAsia" w:ascii="MS UI Gothic" w:eastAsia="MS UI Gothic"/>
          <w:w w:val="80"/>
        </w:rPr>
        <w:t>ꎮ</w:t>
      </w:r>
    </w:p>
    <w:p>
      <w:pPr>
        <w:pStyle w:val="6"/>
        <w:spacing w:line="295" w:lineRule="auto"/>
        <w:ind w:left="381" w:right="126"/>
        <w:rPr>
          <w:rFonts w:hint="eastAsia" w:ascii="MS UI Gothic" w:eastAsia="MS UI Gothic"/>
        </w:rPr>
      </w:pPr>
      <w:r>
        <w:t>第二十七条 违反本规定</w:t>
      </w:r>
      <w:r>
        <w:rPr>
          <w:rFonts w:hint="eastAsia" w:ascii="MS UI Gothic" w:eastAsia="MS UI Gothic"/>
          <w:w w:val="80"/>
        </w:rPr>
        <w:t xml:space="preserve">ꎬ </w:t>
      </w:r>
      <w:r>
        <w:t>建筑施工企业隐瞒有关情况或者提供虚假材料申请安全生产许可证的</w:t>
      </w:r>
      <w:r>
        <w:rPr>
          <w:rFonts w:hint="eastAsia" w:ascii="MS UI Gothic" w:eastAsia="MS UI Gothic"/>
          <w:w w:val="80"/>
        </w:rPr>
        <w:t xml:space="preserve">ꎬ </w:t>
      </w:r>
      <w:r>
        <w:t>不予受理或者不予颁发安全生产许可证</w:t>
      </w:r>
      <w:r>
        <w:rPr>
          <w:rFonts w:hint="eastAsia" w:ascii="MS UI Gothic" w:eastAsia="MS UI Gothic"/>
          <w:w w:val="80"/>
        </w:rPr>
        <w:t xml:space="preserve">ꎬ </w:t>
      </w:r>
      <w:r>
        <w:t>并给予警告</w:t>
      </w:r>
      <w:r>
        <w:rPr>
          <w:rFonts w:hint="eastAsia" w:ascii="MS UI Gothic" w:eastAsia="MS UI Gothic"/>
          <w:w w:val="80"/>
        </w:rPr>
        <w:t xml:space="preserve">ꎬ １ </w:t>
      </w:r>
      <w:r>
        <w:t>年内不得申请安全生产许可证</w:t>
      </w:r>
      <w:r>
        <w:rPr>
          <w:rFonts w:hint="eastAsia" w:ascii="MS UI Gothic" w:eastAsia="MS UI Gothic"/>
          <w:w w:val="80"/>
        </w:rPr>
        <w:t>ꎮ</w:t>
      </w:r>
    </w:p>
    <w:p>
      <w:pPr>
        <w:pStyle w:val="6"/>
        <w:spacing w:line="295" w:lineRule="auto"/>
        <w:ind w:left="381" w:right="126"/>
        <w:rPr>
          <w:rFonts w:hint="eastAsia" w:ascii="MS UI Gothic" w:eastAsia="MS UI Gothic"/>
        </w:rPr>
      </w:pPr>
      <w:r>
        <w:t>建筑施工企业以欺骗</w:t>
      </w:r>
      <w:r>
        <w:rPr>
          <w:rFonts w:hint="eastAsia" w:ascii="MS UI Gothic" w:eastAsia="MS UI Gothic"/>
          <w:w w:val="80"/>
        </w:rPr>
        <w:t xml:space="preserve">、 </w:t>
      </w:r>
      <w:r>
        <w:t>贿赂等不正当手段取得安全生产许可证的</w:t>
      </w:r>
      <w:r>
        <w:rPr>
          <w:rFonts w:hint="eastAsia" w:ascii="MS UI Gothic" w:eastAsia="MS UI Gothic"/>
          <w:w w:val="80"/>
        </w:rPr>
        <w:t xml:space="preserve">ꎬ </w:t>
      </w:r>
      <w:r>
        <w:t>撤销安全生产许可证</w:t>
      </w:r>
      <w:r>
        <w:rPr>
          <w:rFonts w:hint="eastAsia" w:ascii="MS UI Gothic" w:eastAsia="MS UI Gothic"/>
          <w:w w:val="80"/>
        </w:rPr>
        <w:t xml:space="preserve">ꎬ ３ </w:t>
      </w:r>
      <w:r>
        <w:t>年内不得再次申请安全生产许可证</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81" w:right="126"/>
        <w:rPr>
          <w:rFonts w:hint="eastAsia" w:ascii="MS UI Gothic" w:eastAsia="MS UI Gothic"/>
        </w:rPr>
      </w:pPr>
      <w:r>
        <w:t>第二十八条 本规定的暂扣</w:t>
      </w:r>
      <w:r>
        <w:rPr>
          <w:rFonts w:hint="eastAsia" w:ascii="MS UI Gothic" w:eastAsia="MS UI Gothic"/>
          <w:w w:val="80"/>
        </w:rPr>
        <w:t xml:space="preserve">、 </w:t>
      </w:r>
      <w:r>
        <w:t>吊销安全生产许可证的行政处罚</w:t>
      </w:r>
      <w:r>
        <w:rPr>
          <w:rFonts w:hint="eastAsia" w:ascii="MS UI Gothic" w:eastAsia="MS UI Gothic"/>
          <w:w w:val="80"/>
        </w:rPr>
        <w:t xml:space="preserve">ꎬ </w:t>
      </w:r>
      <w:r>
        <w:t>由安全生产许可证的颁发管理机关决定</w:t>
      </w:r>
      <w:r>
        <w:rPr>
          <w:rFonts w:hint="eastAsia" w:ascii="MS UI Gothic" w:eastAsia="MS UI Gothic"/>
          <w:w w:val="80"/>
        </w:rPr>
        <w:t xml:space="preserve">ꎻ </w:t>
      </w:r>
      <w:r>
        <w:t>其他行政处罚</w:t>
      </w:r>
      <w:r>
        <w:rPr>
          <w:rFonts w:hint="eastAsia" w:ascii="MS UI Gothic" w:eastAsia="MS UI Gothic"/>
          <w:w w:val="80"/>
        </w:rPr>
        <w:t xml:space="preserve">ꎬ </w:t>
      </w:r>
      <w:r>
        <w:t>由县级以上地方人民政府建设主管部门决定</w:t>
      </w:r>
      <w:r>
        <w:rPr>
          <w:rFonts w:hint="eastAsia" w:ascii="MS UI Gothic" w:eastAsia="MS UI Gothic"/>
          <w:w w:val="80"/>
        </w:rPr>
        <w:t>ꎮ</w:t>
      </w:r>
    </w:p>
    <w:p>
      <w:pPr>
        <w:pStyle w:val="6"/>
        <w:tabs>
          <w:tab w:val="left" w:pos="2267"/>
          <w:tab w:val="left" w:pos="2896"/>
        </w:tabs>
        <w:spacing w:before="132"/>
        <w:ind w:left="1429"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215" w:line="295" w:lineRule="auto"/>
        <w:ind w:left="381" w:right="126"/>
      </w:pPr>
      <w:r>
        <w:rPr>
          <w:spacing w:val="2"/>
          <w:w w:val="105"/>
        </w:rPr>
        <w:t>第二十九条 本规定施行前已依法从</w:t>
      </w:r>
      <w:r>
        <w:rPr>
          <w:spacing w:val="3"/>
        </w:rPr>
        <w:t>事建筑施工活动的建筑施工企业</w:t>
      </w:r>
      <w:r>
        <w:rPr>
          <w:rFonts w:hint="eastAsia" w:ascii="MS UI Gothic" w:eastAsia="MS UI Gothic"/>
          <w:spacing w:val="15"/>
          <w:w w:val="80"/>
        </w:rPr>
        <w:t xml:space="preserve">ꎬ  </w:t>
      </w:r>
      <w:r>
        <w:rPr>
          <w:spacing w:val="2"/>
        </w:rPr>
        <w:t>应当自</w:t>
      </w:r>
    </w:p>
    <w:p>
      <w:pPr>
        <w:pStyle w:val="6"/>
        <w:spacing w:line="255" w:lineRule="exact"/>
        <w:ind w:left="381" w:firstLine="0"/>
        <w:jc w:val="left"/>
      </w:pPr>
      <w:r>
        <w:rPr>
          <w:rFonts w:hint="eastAsia" w:ascii="MS UI Gothic" w:hAnsi="MS UI Gothic" w:eastAsia="MS UI Gothic"/>
          <w:spacing w:val="-19"/>
        </w:rPr>
        <w:t xml:space="preserve">« </w:t>
      </w:r>
      <w:r>
        <w:rPr>
          <w:spacing w:val="35"/>
        </w:rPr>
        <w:t>安全生产许可证条例</w:t>
      </w:r>
      <w:r>
        <w:rPr>
          <w:rFonts w:hint="eastAsia" w:ascii="MS UI Gothic" w:hAnsi="MS UI Gothic" w:eastAsia="MS UI Gothic"/>
          <w:spacing w:val="14"/>
        </w:rPr>
        <w:t xml:space="preserve">»  </w:t>
      </w:r>
      <w:r>
        <w:rPr>
          <w:spacing w:val="33"/>
        </w:rPr>
        <w:t>施行之日起</w:t>
      </w:r>
    </w:p>
    <w:p>
      <w:pPr>
        <w:pStyle w:val="6"/>
        <w:spacing w:before="58"/>
        <w:ind w:left="381" w:firstLine="0"/>
        <w:jc w:val="left"/>
      </w:pPr>
      <w:r>
        <w:rPr>
          <w:rFonts w:hint="eastAsia" w:ascii="MS UI Gothic" w:eastAsia="MS UI Gothic"/>
          <w:spacing w:val="15"/>
          <w:w w:val="168"/>
        </w:rPr>
        <w:t>(</w:t>
      </w:r>
      <w:r>
        <w:rPr>
          <w:rFonts w:hint="eastAsia" w:ascii="MS UI Gothic" w:eastAsia="MS UI Gothic"/>
          <w:spacing w:val="-1"/>
          <w:w w:val="75"/>
        </w:rPr>
        <w:t>２００４</w:t>
      </w:r>
      <w:r>
        <w:rPr>
          <w:rFonts w:hint="eastAsia" w:ascii="MS UI Gothic" w:eastAsia="MS UI Gothic"/>
          <w:spacing w:val="-3"/>
        </w:rPr>
        <w:t xml:space="preserve"> </w:t>
      </w:r>
      <w:r>
        <w:rPr>
          <w:w w:val="102"/>
        </w:rPr>
        <w:t>年</w:t>
      </w:r>
      <w:r>
        <w:rPr>
          <w:spacing w:val="-62"/>
        </w:rPr>
        <w:t xml:space="preserve"> </w:t>
      </w:r>
      <w:r>
        <w:rPr>
          <w:rFonts w:hint="eastAsia" w:ascii="MS UI Gothic" w:eastAsia="MS UI Gothic"/>
          <w:w w:val="75"/>
        </w:rPr>
        <w:t>１</w:t>
      </w:r>
      <w:r>
        <w:rPr>
          <w:rFonts w:hint="eastAsia" w:ascii="MS UI Gothic" w:eastAsia="MS UI Gothic"/>
          <w:spacing w:val="-3"/>
        </w:rPr>
        <w:t xml:space="preserve"> </w:t>
      </w:r>
      <w:r>
        <w:rPr>
          <w:w w:val="102"/>
        </w:rPr>
        <w:t>月</w:t>
      </w:r>
      <w:r>
        <w:rPr>
          <w:spacing w:val="-62"/>
        </w:rPr>
        <w:t xml:space="preserve"> </w:t>
      </w:r>
      <w:r>
        <w:rPr>
          <w:rFonts w:hint="eastAsia" w:ascii="MS UI Gothic" w:eastAsia="MS UI Gothic"/>
          <w:w w:val="75"/>
        </w:rPr>
        <w:t>１３</w:t>
      </w:r>
      <w:r>
        <w:rPr>
          <w:rFonts w:hint="eastAsia" w:ascii="MS UI Gothic" w:eastAsia="MS UI Gothic"/>
          <w:spacing w:val="-3"/>
        </w:rPr>
        <w:t xml:space="preserve"> </w:t>
      </w:r>
      <w:r>
        <w:rPr>
          <w:spacing w:val="3"/>
          <w:w w:val="102"/>
        </w:rPr>
        <w:t>日起</w:t>
      </w:r>
      <w:r>
        <w:rPr>
          <w:rFonts w:hint="eastAsia" w:ascii="MS UI Gothic" w:eastAsia="MS UI Gothic"/>
          <w:w w:val="168"/>
        </w:rPr>
        <w:t>)</w:t>
      </w:r>
      <w:r>
        <w:rPr>
          <w:rFonts w:hint="eastAsia" w:ascii="MS UI Gothic" w:eastAsia="MS UI Gothic"/>
          <w:spacing w:val="-1"/>
        </w:rPr>
        <w:t xml:space="preserve">  </w:t>
      </w:r>
      <w:r>
        <w:rPr>
          <w:rFonts w:hint="eastAsia" w:ascii="MS UI Gothic" w:eastAsia="MS UI Gothic"/>
          <w:w w:val="75"/>
        </w:rPr>
        <w:t>１</w:t>
      </w:r>
      <w:r>
        <w:rPr>
          <w:rFonts w:hint="eastAsia" w:ascii="MS UI Gothic" w:eastAsia="MS UI Gothic"/>
          <w:spacing w:val="-3"/>
        </w:rPr>
        <w:t xml:space="preserve"> </w:t>
      </w:r>
      <w:r>
        <w:rPr>
          <w:spacing w:val="2"/>
          <w:w w:val="102"/>
        </w:rPr>
        <w:t>年内向建设主管</w:t>
      </w:r>
    </w:p>
    <w:p>
      <w:pPr>
        <w:spacing w:after="0"/>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４４４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31" o:spid="_x0000_s2331" o:spt="203" style="height:2.15pt;width:398.25pt;" coordsize="7965,43">
            <o:lock v:ext="edit"/>
            <v:line id="_x0000_s2332" o:spid="_x0000_s2332" o:spt="20" style="position:absolute;left:0;top:39;height:0;width:7965;" stroked="t" coordsize="21600,21600">
              <v:path arrowok="t"/>
              <v:fill focussize="0,0"/>
              <v:stroke weight="0.388031496062992pt" color="#231F20"/>
              <v:imagedata o:title=""/>
              <o:lock v:ext="edit"/>
            </v:line>
            <v:line id="_x0000_s2333" o:spid="_x0000_s23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pPr>
      <w:r>
        <w:t>部门申请办理建筑施工企业安全生产许可证</w:t>
      </w:r>
      <w:r>
        <w:rPr>
          <w:rFonts w:hint="eastAsia" w:ascii="MS UI Gothic" w:eastAsia="MS UI Gothic"/>
          <w:w w:val="80"/>
        </w:rPr>
        <w:t xml:space="preserve">ꎻ </w:t>
      </w:r>
      <w:r>
        <w:t>逾期不办理安全生产许可证</w:t>
      </w:r>
      <w:r>
        <w:rPr>
          <w:rFonts w:hint="eastAsia" w:ascii="MS UI Gothic" w:eastAsia="MS UI Gothic"/>
          <w:w w:val="80"/>
        </w:rPr>
        <w:t xml:space="preserve">ꎬ </w:t>
      </w:r>
      <w:r>
        <w:t>或者经审查不符合本规定的安全生产条件</w:t>
      </w:r>
      <w:r>
        <w:rPr>
          <w:rFonts w:hint="eastAsia" w:ascii="MS UI Gothic" w:eastAsia="MS UI Gothic"/>
          <w:w w:val="80"/>
        </w:rPr>
        <w:t xml:space="preserve">ꎬ </w:t>
      </w:r>
      <w:r>
        <w:t>未取得安全生产许可证</w:t>
      </w:r>
      <w:r>
        <w:rPr>
          <w:rFonts w:hint="eastAsia" w:ascii="MS UI Gothic" w:eastAsia="MS UI Gothic"/>
          <w:w w:val="80"/>
        </w:rPr>
        <w:t xml:space="preserve">ꎬ </w:t>
      </w:r>
      <w:r>
        <w:t>继续进行建筑施工活</w:t>
      </w:r>
    </w:p>
    <w:p>
      <w:pPr>
        <w:pStyle w:val="6"/>
        <w:spacing w:before="123" w:line="295" w:lineRule="auto"/>
        <w:ind w:right="442" w:firstLine="0"/>
        <w:jc w:val="left"/>
        <w:rPr>
          <w:rFonts w:hint="eastAsia" w:ascii="MS UI Gothic" w:eastAsia="MS UI Gothic"/>
        </w:rPr>
      </w:pPr>
      <w:r>
        <w:br w:type="column"/>
      </w:r>
      <w:r>
        <w:rPr>
          <w:spacing w:val="10"/>
        </w:rPr>
        <w:t>动的</w:t>
      </w:r>
      <w:r>
        <w:rPr>
          <w:rFonts w:hint="eastAsia" w:ascii="MS UI Gothic" w:eastAsia="MS UI Gothic"/>
          <w:spacing w:val="1"/>
          <w:w w:val="80"/>
        </w:rPr>
        <w:t xml:space="preserve">ꎬ </w:t>
      </w:r>
      <w:r>
        <w:rPr>
          <w:spacing w:val="31"/>
        </w:rPr>
        <w:t>依照本规定第二十四条的规定</w:t>
      </w:r>
      <w:r>
        <w:rPr>
          <w:spacing w:val="3"/>
        </w:rPr>
        <w:t>处罚</w:t>
      </w:r>
      <w:r>
        <w:rPr>
          <w:rFonts w:hint="eastAsia" w:ascii="MS UI Gothic" w:eastAsia="MS UI Gothic"/>
          <w:w w:val="80"/>
        </w:rPr>
        <w:t>ꎮ</w:t>
      </w:r>
    </w:p>
    <w:p>
      <w:pPr>
        <w:pStyle w:val="6"/>
        <w:tabs>
          <w:tab w:val="left" w:pos="1747"/>
        </w:tabs>
        <w:spacing w:line="295" w:lineRule="auto"/>
        <w:ind w:right="442"/>
        <w:jc w:val="left"/>
        <w:rPr>
          <w:rFonts w:hint="eastAsia" w:ascii="MS UI Gothic" w:eastAsia="MS UI Gothic"/>
        </w:rPr>
      </w:pPr>
      <w:r>
        <w:rPr>
          <w:spacing w:val="15"/>
        </w:rPr>
        <w:t>第</w:t>
      </w:r>
      <w:r>
        <w:rPr>
          <w:spacing w:val="34"/>
        </w:rPr>
        <w:t>三十</w:t>
      </w:r>
      <w:r>
        <w:t>条</w:t>
      </w:r>
      <w:r>
        <w:tab/>
      </w:r>
      <w:r>
        <w:rPr>
          <w:spacing w:val="36"/>
        </w:rPr>
        <w:t>本规定自公布之日</w:t>
      </w:r>
      <w:r>
        <w:rPr>
          <w:spacing w:val="-11"/>
        </w:rPr>
        <w:t>起</w:t>
      </w:r>
      <w:r>
        <w:rPr>
          <w:spacing w:val="3"/>
        </w:rPr>
        <w:t>施行</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6"/>
        <w:ind w:left="0" w:firstLine="0"/>
        <w:jc w:val="left"/>
        <w:rPr>
          <w:rFonts w:ascii="MS UI Gothic"/>
          <w:sz w:val="17"/>
        </w:rPr>
      </w:pPr>
    </w:p>
    <w:p>
      <w:pPr>
        <w:pStyle w:val="4"/>
        <w:spacing w:before="74"/>
        <w:ind w:right="630"/>
      </w:pPr>
      <w:r>
        <w:t>中华人民共和国建设部令</w:t>
      </w:r>
    </w:p>
    <w:p>
      <w:pPr>
        <w:pStyle w:val="6"/>
        <w:ind w:left="0" w:firstLine="0"/>
        <w:jc w:val="left"/>
        <w:rPr>
          <w:sz w:val="27"/>
        </w:rPr>
      </w:pPr>
    </w:p>
    <w:p>
      <w:pPr>
        <w:pStyle w:val="5"/>
        <w:spacing w:before="1"/>
        <w:ind w:right="630"/>
      </w:pPr>
      <w:r>
        <w:t xml:space="preserve">第 </w:t>
      </w:r>
      <w:r>
        <w:rPr>
          <w:rFonts w:hint="eastAsia" w:ascii="MS UI Gothic" w:eastAsia="MS UI Gothic"/>
        </w:rPr>
        <w:t xml:space="preserve">１６６ </w:t>
      </w:r>
      <w:r>
        <w:t>号</w:t>
      </w:r>
    </w:p>
    <w:p>
      <w:pPr>
        <w:pStyle w:val="6"/>
        <w:spacing w:before="353"/>
        <w:ind w:left="543" w:firstLine="0"/>
        <w:jc w:val="left"/>
      </w:pPr>
      <w:r>
        <w:rPr>
          <w:rFonts w:hint="eastAsia" w:ascii="MS UI Gothic" w:hAnsi="MS UI Gothic" w:eastAsia="MS UI Gothic"/>
        </w:rPr>
        <w:t xml:space="preserve">« </w:t>
      </w:r>
      <w:r>
        <w:t>建筑起重机械安全监督管理规定</w:t>
      </w:r>
      <w:r>
        <w:rPr>
          <w:rFonts w:hint="eastAsia" w:ascii="MS UI Gothic" w:hAnsi="MS UI Gothic" w:eastAsia="MS UI Gothic"/>
        </w:rPr>
        <w:t xml:space="preserve">» </w:t>
      </w:r>
      <w:r>
        <w:t xml:space="preserve">已于 </w:t>
      </w:r>
      <w:r>
        <w:rPr>
          <w:rFonts w:hint="eastAsia" w:ascii="MS UI Gothic" w:hAnsi="MS UI Gothic" w:eastAsia="MS UI Gothic"/>
        </w:rPr>
        <w:t xml:space="preserve">２００８ </w:t>
      </w:r>
      <w:r>
        <w:t xml:space="preserve">年 </w:t>
      </w:r>
      <w:r>
        <w:rPr>
          <w:rFonts w:hint="eastAsia" w:ascii="MS UI Gothic" w:hAnsi="MS UI Gothic" w:eastAsia="MS UI Gothic"/>
        </w:rPr>
        <w:t xml:space="preserve">１ </w:t>
      </w:r>
      <w:r>
        <w:t xml:space="preserve">月 </w:t>
      </w:r>
      <w:r>
        <w:rPr>
          <w:rFonts w:hint="eastAsia" w:ascii="MS UI Gothic" w:hAnsi="MS UI Gothic" w:eastAsia="MS UI Gothic"/>
        </w:rPr>
        <w:t xml:space="preserve">８ </w:t>
      </w:r>
      <w:r>
        <w:t xml:space="preserve">日经建设部第 </w:t>
      </w:r>
      <w:r>
        <w:rPr>
          <w:rFonts w:hint="eastAsia" w:ascii="MS UI Gothic" w:hAnsi="MS UI Gothic" w:eastAsia="MS UI Gothic"/>
        </w:rPr>
        <w:t xml:space="preserve">１４５ </w:t>
      </w:r>
      <w:r>
        <w:t>次常务会</w:t>
      </w:r>
    </w:p>
    <w:p>
      <w:pPr>
        <w:pStyle w:val="6"/>
        <w:spacing w:before="58"/>
        <w:ind w:firstLine="0"/>
        <w:jc w:val="left"/>
        <w:rPr>
          <w:rFonts w:hint="eastAsia" w:ascii="MS UI Gothic" w:eastAsia="MS UI Gothic"/>
        </w:rPr>
      </w:pPr>
      <w:r>
        <w:rPr>
          <w:w w:val="95"/>
        </w:rPr>
        <w:t>议讨论通过</w:t>
      </w:r>
      <w:r>
        <w:rPr>
          <w:rFonts w:hint="eastAsia" w:ascii="MS UI Gothic" w:eastAsia="MS UI Gothic"/>
          <w:w w:val="90"/>
        </w:rPr>
        <w:t xml:space="preserve">ꎬ </w:t>
      </w:r>
      <w:r>
        <w:rPr>
          <w:w w:val="95"/>
        </w:rPr>
        <w:t>现予发布</w:t>
      </w:r>
      <w:r>
        <w:rPr>
          <w:rFonts w:hint="eastAsia" w:ascii="MS UI Gothic" w:eastAsia="MS UI Gothic"/>
          <w:w w:val="90"/>
        </w:rPr>
        <w:t xml:space="preserve">ꎬ </w:t>
      </w:r>
      <w:r>
        <w:rPr>
          <w:w w:val="95"/>
        </w:rPr>
        <w:t xml:space="preserve">自 </w:t>
      </w:r>
      <w:r>
        <w:rPr>
          <w:rFonts w:hint="eastAsia" w:ascii="MS UI Gothic" w:eastAsia="MS UI Gothic"/>
          <w:w w:val="95"/>
        </w:rPr>
        <w:t xml:space="preserve">２００８ </w:t>
      </w:r>
      <w:r>
        <w:rPr>
          <w:w w:val="95"/>
        </w:rPr>
        <w:t xml:space="preserve">年 </w:t>
      </w:r>
      <w:r>
        <w:rPr>
          <w:rFonts w:hint="eastAsia" w:ascii="MS UI Gothic" w:eastAsia="MS UI Gothic"/>
          <w:w w:val="95"/>
        </w:rPr>
        <w:t xml:space="preserve">６ </w:t>
      </w:r>
      <w:r>
        <w:rPr>
          <w:w w:val="95"/>
        </w:rPr>
        <w:t xml:space="preserve">月 </w:t>
      </w:r>
      <w:r>
        <w:rPr>
          <w:rFonts w:hint="eastAsia" w:ascii="MS UI Gothic" w:eastAsia="MS UI Gothic"/>
          <w:w w:val="95"/>
        </w:rPr>
        <w:t xml:space="preserve">１ </w:t>
      </w:r>
      <w:r>
        <w:rPr>
          <w:w w:val="95"/>
        </w:rPr>
        <w:t>日起施行</w:t>
      </w:r>
      <w:r>
        <w:rPr>
          <w:rFonts w:hint="eastAsia" w:ascii="MS UI Gothic" w:eastAsia="MS UI Gothic"/>
          <w:w w:val="90"/>
        </w:rPr>
        <w:t>ꎮ</w:t>
      </w:r>
    </w:p>
    <w:p>
      <w:pPr>
        <w:pStyle w:val="6"/>
        <w:spacing w:before="6"/>
        <w:ind w:left="0" w:firstLine="0"/>
        <w:jc w:val="left"/>
        <w:rPr>
          <w:rFonts w:ascii="MS UI Gothic"/>
          <w:sz w:val="15"/>
        </w:rPr>
      </w:pPr>
    </w:p>
    <w:p>
      <w:pPr>
        <w:pStyle w:val="6"/>
        <w:spacing w:before="175"/>
        <w:ind w:left="0" w:right="442" w:firstLine="0"/>
        <w:jc w:val="right"/>
      </w:pPr>
      <w:r>
        <w:t>二</w:t>
      </w:r>
      <w:r>
        <w:rPr>
          <w:rFonts w:hint="eastAsia" w:ascii="MS UI Gothic" w:hAnsi="MS UI Gothic" w:eastAsia="MS UI Gothic"/>
        </w:rPr>
        <w:t>○○</w:t>
      </w:r>
      <w:r>
        <w:t>八年一月二十八日</w:t>
      </w:r>
    </w:p>
    <w:p>
      <w:pPr>
        <w:pStyle w:val="4"/>
        <w:ind w:right="654"/>
        <w:rPr>
          <w:rFonts w:hint="eastAsia" w:ascii="Microsoft Yi Baiti" w:eastAsia="Microsoft Yi Baiti"/>
        </w:rPr>
      </w:pPr>
      <w:r>
        <w:t xml:space="preserve">建筑起重机械安全监督管理规定 </w:t>
      </w:r>
      <w:r>
        <w:rPr>
          <w:rFonts w:hint="eastAsia" w:ascii="Microsoft Yi Baiti" w:eastAsia="Microsoft Yi Baiti"/>
        </w:rPr>
        <w:t>(</w:t>
      </w:r>
      <w:r>
        <w:rPr>
          <w:rFonts w:hint="eastAsia" w:ascii="MS UI Gothic" w:eastAsia="MS UI Gothic"/>
        </w:rPr>
        <w:t xml:space="preserve">２００８ </w:t>
      </w:r>
      <w:r>
        <w:t>年公布</w:t>
      </w:r>
      <w:r>
        <w:rPr>
          <w:rFonts w:hint="eastAsia" w:ascii="Microsoft Yi Baiti" w:eastAsia="Microsoft Yi Baiti"/>
        </w:rPr>
        <w:t>)</w:t>
      </w:r>
    </w:p>
    <w:p>
      <w:pPr>
        <w:pStyle w:val="6"/>
        <w:spacing w:before="4"/>
        <w:ind w:left="0" w:firstLine="0"/>
        <w:jc w:val="left"/>
        <w:rPr>
          <w:rFonts w:ascii="Microsoft Yi Baiti"/>
          <w:sz w:val="27"/>
        </w:rPr>
      </w:pPr>
    </w:p>
    <w:p>
      <w:pPr>
        <w:spacing w:after="0"/>
        <w:jc w:val="left"/>
        <w:rPr>
          <w:rFonts w:ascii="Microsoft Yi Baiti"/>
          <w:sz w:val="27"/>
        </w:rPr>
        <w:sectPr>
          <w:type w:val="continuous"/>
          <w:pgSz w:w="10500" w:h="14750"/>
          <w:pgMar w:top="1400" w:right="980" w:bottom="280" w:left="980" w:header="720" w:footer="720" w:gutter="0"/>
        </w:sectPr>
      </w:pPr>
    </w:p>
    <w:p>
      <w:pPr>
        <w:pStyle w:val="6"/>
        <w:spacing w:before="85" w:line="295" w:lineRule="auto"/>
        <w:ind w:right="38"/>
      </w:pPr>
      <w:r>
        <w:t>第一条 为了加强建筑起重机械的安全监督管理</w:t>
      </w:r>
      <w:r>
        <w:rPr>
          <w:rFonts w:hint="eastAsia" w:ascii="MS UI Gothic" w:eastAsia="MS UI Gothic"/>
          <w:w w:val="80"/>
        </w:rPr>
        <w:t xml:space="preserve">ꎬ </w:t>
      </w:r>
      <w:r>
        <w:t>防止和减少生产安全事故</w:t>
      </w:r>
      <w:r>
        <w:rPr>
          <w:rFonts w:hint="eastAsia" w:ascii="MS UI Gothic" w:eastAsia="MS UI Gothic"/>
          <w:w w:val="80"/>
        </w:rPr>
        <w:t>ꎬ</w:t>
      </w:r>
      <w:r>
        <w:t>保障人民群众生命和财产安全</w:t>
      </w:r>
      <w:r>
        <w:rPr>
          <w:rFonts w:hint="eastAsia" w:ascii="MS UI Gothic" w:eastAsia="MS UI Gothic"/>
          <w:w w:val="80"/>
        </w:rPr>
        <w:t xml:space="preserve">ꎬ </w:t>
      </w:r>
      <w:r>
        <w:t>依据</w:t>
      </w:r>
    </w:p>
    <w:p>
      <w:pPr>
        <w:pStyle w:val="6"/>
        <w:spacing w:line="295" w:lineRule="auto"/>
        <w:ind w:right="39" w:firstLine="0"/>
        <w:rPr>
          <w:rFonts w:hint="eastAsia" w:ascii="MS UI Gothic" w:hAnsi="MS UI Gothic" w:eastAsia="MS UI Gothic"/>
        </w:rPr>
      </w:pPr>
      <w:r>
        <w:rPr>
          <w:rFonts w:hint="eastAsia" w:ascii="MS UI Gothic" w:hAnsi="MS UI Gothic" w:eastAsia="MS UI Gothic"/>
        </w:rPr>
        <w:t xml:space="preserve">« </w:t>
      </w:r>
      <w:r>
        <w:t>建设工程安全生产管理条例</w:t>
      </w:r>
      <w:r>
        <w:rPr>
          <w:rFonts w:hint="eastAsia" w:ascii="MS UI Gothic" w:hAnsi="MS UI Gothic" w:eastAsia="MS UI Gothic"/>
        </w:rPr>
        <w:t xml:space="preserve">»、 « </w:t>
      </w:r>
      <w:r>
        <w:t>特种设备安全监察条例</w:t>
      </w:r>
      <w:r>
        <w:rPr>
          <w:rFonts w:hint="eastAsia" w:ascii="MS UI Gothic" w:hAnsi="MS UI Gothic" w:eastAsia="MS UI Gothic"/>
        </w:rPr>
        <w:t xml:space="preserve">»、 « </w:t>
      </w:r>
      <w:r>
        <w:t>安全生产许可证条例</w:t>
      </w:r>
      <w:r>
        <w:rPr>
          <w:rFonts w:hint="eastAsia" w:ascii="MS UI Gothic" w:hAnsi="MS UI Gothic" w:eastAsia="MS UI Gothic"/>
        </w:rPr>
        <w:t xml:space="preserve">» </w:t>
      </w:r>
      <w:r>
        <w:rPr>
          <w:rFonts w:hint="eastAsia" w:ascii="MS UI Gothic" w:hAnsi="MS UI Gothic" w:eastAsia="MS UI Gothic"/>
          <w:w w:val="80"/>
        </w:rPr>
        <w:t xml:space="preserve">ꎬ </w:t>
      </w:r>
      <w:r>
        <w:t>制定本规定</w:t>
      </w:r>
      <w:r>
        <w:rPr>
          <w:rFonts w:hint="eastAsia" w:ascii="MS UI Gothic" w:hAnsi="MS UI Gothic" w:eastAsia="MS UI Gothic"/>
          <w:w w:val="80"/>
        </w:rPr>
        <w:t>ꎮ</w:t>
      </w:r>
    </w:p>
    <w:p>
      <w:pPr>
        <w:pStyle w:val="6"/>
        <w:spacing w:line="295" w:lineRule="auto"/>
        <w:ind w:right="39"/>
        <w:rPr>
          <w:rFonts w:hint="eastAsia" w:ascii="MS UI Gothic" w:eastAsia="MS UI Gothic"/>
        </w:rPr>
      </w:pPr>
      <w:r>
        <w:t>第二条 建筑起重机械的租赁</w:t>
      </w:r>
      <w:r>
        <w:rPr>
          <w:rFonts w:hint="eastAsia" w:ascii="MS UI Gothic" w:eastAsia="MS UI Gothic"/>
        </w:rPr>
        <w:t xml:space="preserve">、 </w:t>
      </w:r>
      <w:r>
        <w:t>安装</w:t>
      </w:r>
      <w:r>
        <w:rPr>
          <w:rFonts w:hint="eastAsia" w:ascii="MS UI Gothic" w:eastAsia="MS UI Gothic"/>
        </w:rPr>
        <w:t xml:space="preserve">、 </w:t>
      </w:r>
      <w:r>
        <w:t>拆卸</w:t>
      </w:r>
      <w:r>
        <w:rPr>
          <w:rFonts w:hint="eastAsia" w:ascii="MS UI Gothic" w:eastAsia="MS UI Gothic"/>
        </w:rPr>
        <w:t xml:space="preserve">、 </w:t>
      </w:r>
      <w:r>
        <w:t>使用及其监督管理</w:t>
      </w:r>
      <w:r>
        <w:rPr>
          <w:rFonts w:hint="eastAsia" w:ascii="MS UI Gothic" w:eastAsia="MS UI Gothic"/>
          <w:w w:val="80"/>
        </w:rPr>
        <w:t xml:space="preserve">ꎬ </w:t>
      </w:r>
      <w:r>
        <w:t>适用本规定</w:t>
      </w:r>
      <w:r>
        <w:rPr>
          <w:rFonts w:hint="eastAsia" w:ascii="MS UI Gothic" w:eastAsia="MS UI Gothic"/>
          <w:w w:val="80"/>
        </w:rPr>
        <w:t>ꎮ</w:t>
      </w:r>
    </w:p>
    <w:p>
      <w:pPr>
        <w:pStyle w:val="6"/>
        <w:spacing w:line="295" w:lineRule="auto"/>
        <w:ind w:right="39"/>
        <w:rPr>
          <w:rFonts w:hint="eastAsia" w:ascii="MS UI Gothic" w:eastAsia="MS UI Gothic"/>
        </w:rPr>
      </w:pPr>
      <w:r>
        <w:t>本规定所称建筑起重机械</w:t>
      </w:r>
      <w:r>
        <w:rPr>
          <w:rFonts w:hint="eastAsia" w:ascii="MS UI Gothic" w:eastAsia="MS UI Gothic"/>
          <w:w w:val="80"/>
        </w:rPr>
        <w:t xml:space="preserve">ꎬ </w:t>
      </w:r>
      <w:r>
        <w:t>是指纳入特种设备目录</w:t>
      </w:r>
      <w:r>
        <w:rPr>
          <w:rFonts w:hint="eastAsia" w:ascii="MS UI Gothic" w:eastAsia="MS UI Gothic"/>
          <w:w w:val="80"/>
        </w:rPr>
        <w:t xml:space="preserve">ꎬ </w:t>
      </w:r>
      <w:r>
        <w:t>在房屋建筑工地和市政工程工地安装</w:t>
      </w:r>
      <w:r>
        <w:rPr>
          <w:rFonts w:hint="eastAsia" w:ascii="MS UI Gothic" w:eastAsia="MS UI Gothic"/>
          <w:w w:val="80"/>
        </w:rPr>
        <w:t xml:space="preserve">、 </w:t>
      </w:r>
      <w:r>
        <w:t>拆卸</w:t>
      </w:r>
      <w:r>
        <w:rPr>
          <w:rFonts w:hint="eastAsia" w:ascii="MS UI Gothic" w:eastAsia="MS UI Gothic"/>
          <w:w w:val="80"/>
        </w:rPr>
        <w:t xml:space="preserve">、 </w:t>
      </w:r>
      <w:r>
        <w:t>使用的起重机械</w:t>
      </w:r>
      <w:r>
        <w:rPr>
          <w:rFonts w:hint="eastAsia" w:ascii="MS UI Gothic" w:eastAsia="MS UI Gothic"/>
          <w:w w:val="80"/>
        </w:rPr>
        <w:t>ꎮ</w:t>
      </w:r>
    </w:p>
    <w:p>
      <w:pPr>
        <w:pStyle w:val="6"/>
        <w:spacing w:line="295" w:lineRule="auto"/>
        <w:ind w:right="39"/>
        <w:rPr>
          <w:rFonts w:hint="eastAsia" w:ascii="MS UI Gothic" w:eastAsia="MS UI Gothic"/>
        </w:rPr>
      </w:pPr>
      <w:r>
        <w:t>第三条 国务院建设主管部门对全国建筑起重机械的租赁</w:t>
      </w:r>
      <w:r>
        <w:rPr>
          <w:rFonts w:hint="eastAsia" w:ascii="MS UI Gothic" w:eastAsia="MS UI Gothic"/>
          <w:w w:val="80"/>
        </w:rPr>
        <w:t xml:space="preserve">、 </w:t>
      </w:r>
      <w:r>
        <w:t>安装</w:t>
      </w:r>
      <w:r>
        <w:rPr>
          <w:rFonts w:hint="eastAsia" w:ascii="MS UI Gothic" w:eastAsia="MS UI Gothic"/>
          <w:w w:val="80"/>
        </w:rPr>
        <w:t xml:space="preserve">、 </w:t>
      </w:r>
      <w:r>
        <w:t>拆卸</w:t>
      </w:r>
      <w:r>
        <w:rPr>
          <w:rFonts w:hint="eastAsia" w:ascii="MS UI Gothic" w:eastAsia="MS UI Gothic"/>
          <w:w w:val="80"/>
        </w:rPr>
        <w:t xml:space="preserve">、 </w:t>
      </w:r>
      <w:r>
        <w:t>使用实施监督管理</w:t>
      </w:r>
      <w:r>
        <w:rPr>
          <w:rFonts w:hint="eastAsia" w:ascii="MS UI Gothic" w:eastAsia="MS UI Gothic"/>
          <w:w w:val="80"/>
        </w:rPr>
        <w:t>ꎮ</w:t>
      </w:r>
    </w:p>
    <w:p>
      <w:pPr>
        <w:pStyle w:val="6"/>
        <w:spacing w:line="295" w:lineRule="auto"/>
        <w:ind w:right="38"/>
        <w:rPr>
          <w:rFonts w:hint="eastAsia" w:ascii="MS UI Gothic" w:eastAsia="MS UI Gothic"/>
        </w:rPr>
      </w:pPr>
      <w:r>
        <w:t>县级以上地方人民政府建设主管部门对本行政区域内的建筑起重机械的租赁</w:t>
      </w:r>
      <w:r>
        <w:rPr>
          <w:rFonts w:hint="eastAsia" w:ascii="MS UI Gothic" w:eastAsia="MS UI Gothic"/>
          <w:w w:val="80"/>
        </w:rPr>
        <w:t>、</w:t>
      </w:r>
      <w:r>
        <w:t>安装</w:t>
      </w:r>
      <w:r>
        <w:rPr>
          <w:rFonts w:hint="eastAsia" w:ascii="MS UI Gothic" w:eastAsia="MS UI Gothic"/>
          <w:w w:val="80"/>
        </w:rPr>
        <w:t xml:space="preserve">、 </w:t>
      </w:r>
      <w:r>
        <w:t>拆卸</w:t>
      </w:r>
      <w:r>
        <w:rPr>
          <w:rFonts w:hint="eastAsia" w:ascii="MS UI Gothic" w:eastAsia="MS UI Gothic"/>
          <w:w w:val="80"/>
        </w:rPr>
        <w:t xml:space="preserve">、 </w:t>
      </w:r>
      <w:r>
        <w:t>使用实施监督管理</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第四条 出租单位出租的建筑起重机械和使用单位购置</w:t>
      </w:r>
      <w:r>
        <w:rPr>
          <w:rFonts w:hint="eastAsia" w:ascii="MS UI Gothic" w:eastAsia="MS UI Gothic"/>
          <w:w w:val="80"/>
        </w:rPr>
        <w:t xml:space="preserve">、 </w:t>
      </w:r>
      <w:r>
        <w:rPr>
          <w:w w:val="105"/>
        </w:rPr>
        <w:t>租赁</w:t>
      </w:r>
      <w:r>
        <w:rPr>
          <w:rFonts w:hint="eastAsia" w:ascii="MS UI Gothic" w:eastAsia="MS UI Gothic"/>
          <w:w w:val="80"/>
        </w:rPr>
        <w:t xml:space="preserve">、 </w:t>
      </w:r>
      <w:r>
        <w:rPr>
          <w:w w:val="105"/>
        </w:rPr>
        <w:t>使用的建筑起重机械应当具有特种设备制造许可证</w:t>
      </w:r>
      <w:r>
        <w:rPr>
          <w:rFonts w:hint="eastAsia" w:ascii="MS UI Gothic" w:eastAsia="MS UI Gothic"/>
          <w:w w:val="80"/>
        </w:rPr>
        <w:t xml:space="preserve">、 </w:t>
      </w:r>
      <w:r>
        <w:rPr>
          <w:w w:val="105"/>
        </w:rPr>
        <w:t>产品合格证</w:t>
      </w:r>
      <w:r>
        <w:rPr>
          <w:rFonts w:hint="eastAsia" w:ascii="MS UI Gothic" w:eastAsia="MS UI Gothic"/>
          <w:w w:val="80"/>
        </w:rPr>
        <w:t xml:space="preserve">、 </w:t>
      </w:r>
      <w:r>
        <w:rPr>
          <w:w w:val="105"/>
        </w:rPr>
        <w:t>制造监督检验证明</w:t>
      </w:r>
      <w:r>
        <w:rPr>
          <w:rFonts w:hint="eastAsia" w:ascii="MS UI Gothic" w:eastAsia="MS UI Gothic"/>
          <w:w w:val="80"/>
        </w:rPr>
        <w:t>ꎮ</w:t>
      </w:r>
    </w:p>
    <w:p>
      <w:pPr>
        <w:pStyle w:val="6"/>
        <w:spacing w:before="85" w:line="295" w:lineRule="auto"/>
        <w:ind w:right="442"/>
        <w:rPr>
          <w:rFonts w:hint="eastAsia" w:ascii="MS UI Gothic" w:eastAsia="MS UI Gothic"/>
        </w:rPr>
      </w:pPr>
      <w:r>
        <w:br w:type="column"/>
      </w:r>
      <w:r>
        <w:rPr>
          <w:spacing w:val="2"/>
          <w:w w:val="105"/>
        </w:rPr>
        <w:t>第五条 出租单位在建筑起重机械首</w:t>
      </w:r>
      <w:r>
        <w:rPr>
          <w:spacing w:val="3"/>
        </w:rPr>
        <w:t>次出租前</w:t>
      </w:r>
      <w:r>
        <w:rPr>
          <w:rFonts w:hint="eastAsia" w:ascii="MS UI Gothic" w:eastAsia="MS UI Gothic"/>
          <w:spacing w:val="20"/>
          <w:w w:val="80"/>
        </w:rPr>
        <w:t xml:space="preserve">ꎬ </w:t>
      </w:r>
      <w:r>
        <w:rPr>
          <w:spacing w:val="2"/>
        </w:rPr>
        <w:t>自购建筑起重机械的使用单位</w:t>
      </w:r>
      <w:r>
        <w:rPr>
          <w:spacing w:val="3"/>
        </w:rPr>
        <w:t>在建筑起重机械首次安装前</w:t>
      </w:r>
      <w:r>
        <w:rPr>
          <w:rFonts w:hint="eastAsia" w:ascii="MS UI Gothic" w:eastAsia="MS UI Gothic"/>
          <w:spacing w:val="20"/>
          <w:w w:val="80"/>
        </w:rPr>
        <w:t xml:space="preserve">ꎬ </w:t>
      </w:r>
      <w:r>
        <w:rPr>
          <w:spacing w:val="2"/>
        </w:rPr>
        <w:t>应当持建筑</w:t>
      </w:r>
      <w:r>
        <w:rPr>
          <w:spacing w:val="3"/>
          <w:w w:val="105"/>
        </w:rPr>
        <w:t>起重机械特种设备制造许可证</w:t>
      </w:r>
      <w:r>
        <w:rPr>
          <w:rFonts w:hint="eastAsia" w:ascii="MS UI Gothic" w:eastAsia="MS UI Gothic"/>
          <w:spacing w:val="-2"/>
          <w:w w:val="80"/>
        </w:rPr>
        <w:t xml:space="preserve">、 </w:t>
      </w:r>
      <w:r>
        <w:rPr>
          <w:spacing w:val="2"/>
          <w:w w:val="105"/>
        </w:rPr>
        <w:t>产品合格</w:t>
      </w:r>
      <w:r>
        <w:rPr>
          <w:spacing w:val="2"/>
        </w:rPr>
        <w:t>证和制造监督检验证明到本单位工商注册所在地县级以上地方人民政府建设主管部</w:t>
      </w:r>
      <w:r>
        <w:rPr>
          <w:spacing w:val="3"/>
          <w:w w:val="105"/>
        </w:rPr>
        <w:t>门办理备案</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第六条 出租单位应当在签订的建筑</w:t>
      </w:r>
      <w:r>
        <w:rPr>
          <w:spacing w:val="3"/>
        </w:rPr>
        <w:t>起重机械租赁合同中</w:t>
      </w:r>
      <w:r>
        <w:rPr>
          <w:rFonts w:hint="eastAsia" w:ascii="MS UI Gothic" w:eastAsia="MS UI Gothic"/>
          <w:spacing w:val="20"/>
          <w:w w:val="80"/>
        </w:rPr>
        <w:t xml:space="preserve">ꎬ </w:t>
      </w:r>
      <w:r>
        <w:rPr>
          <w:spacing w:val="2"/>
        </w:rPr>
        <w:t>明确租赁双方的安</w:t>
      </w:r>
      <w:r>
        <w:rPr>
          <w:spacing w:val="3"/>
        </w:rPr>
        <w:t>全责任</w:t>
      </w:r>
      <w:r>
        <w:rPr>
          <w:rFonts w:hint="eastAsia" w:ascii="MS UI Gothic" w:eastAsia="MS UI Gothic"/>
          <w:spacing w:val="20"/>
          <w:w w:val="80"/>
        </w:rPr>
        <w:t xml:space="preserve">ꎬ </w:t>
      </w:r>
      <w:r>
        <w:rPr>
          <w:spacing w:val="2"/>
        </w:rPr>
        <w:t>并出具建筑起重机械特种设备制</w:t>
      </w:r>
      <w:r>
        <w:rPr>
          <w:spacing w:val="3"/>
        </w:rPr>
        <w:t>造许可证</w:t>
      </w:r>
      <w:r>
        <w:rPr>
          <w:rFonts w:hint="eastAsia" w:ascii="MS UI Gothic" w:eastAsia="MS UI Gothic"/>
          <w:spacing w:val="22"/>
          <w:w w:val="80"/>
        </w:rPr>
        <w:t xml:space="preserve">、 </w:t>
      </w:r>
      <w:r>
        <w:rPr>
          <w:spacing w:val="3"/>
        </w:rPr>
        <w:t>产品合格证</w:t>
      </w:r>
      <w:r>
        <w:rPr>
          <w:rFonts w:hint="eastAsia" w:ascii="MS UI Gothic" w:eastAsia="MS UI Gothic"/>
          <w:spacing w:val="23"/>
          <w:w w:val="80"/>
        </w:rPr>
        <w:t xml:space="preserve">、 </w:t>
      </w:r>
      <w:r>
        <w:rPr>
          <w:spacing w:val="2"/>
        </w:rPr>
        <w:t>制造监督检验证</w:t>
      </w:r>
      <w:r>
        <w:rPr>
          <w:spacing w:val="3"/>
        </w:rPr>
        <w:t>明</w:t>
      </w:r>
      <w:r>
        <w:rPr>
          <w:rFonts w:hint="eastAsia" w:ascii="MS UI Gothic" w:eastAsia="MS UI Gothic"/>
          <w:spacing w:val="11"/>
          <w:w w:val="80"/>
        </w:rPr>
        <w:t xml:space="preserve">、 </w:t>
      </w:r>
      <w:r>
        <w:rPr>
          <w:spacing w:val="3"/>
        </w:rPr>
        <w:t>备案证明和自检合格证明</w:t>
      </w:r>
      <w:r>
        <w:rPr>
          <w:rFonts w:hint="eastAsia" w:ascii="MS UI Gothic" w:eastAsia="MS UI Gothic"/>
          <w:spacing w:val="11"/>
          <w:w w:val="80"/>
        </w:rPr>
        <w:t xml:space="preserve">ꎬ </w:t>
      </w:r>
      <w:r>
        <w:rPr>
          <w:spacing w:val="2"/>
        </w:rPr>
        <w:t>提交安装</w:t>
      </w:r>
      <w:r>
        <w:rPr>
          <w:spacing w:val="3"/>
        </w:rPr>
        <w:t>使用说明书</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第七条 有下列情形之一的建筑起重</w:t>
      </w:r>
      <w:r>
        <w:rPr>
          <w:w w:val="110"/>
        </w:rPr>
        <w:t>机械</w:t>
      </w:r>
      <w:r>
        <w:rPr>
          <w:rFonts w:hint="eastAsia" w:ascii="MS UI Gothic" w:eastAsia="MS UI Gothic"/>
          <w:w w:val="80"/>
        </w:rPr>
        <w:t xml:space="preserve">ꎬ </w:t>
      </w:r>
      <w:r>
        <w:rPr>
          <w:w w:val="110"/>
        </w:rPr>
        <w:t>不得出租</w:t>
      </w:r>
      <w:r>
        <w:rPr>
          <w:rFonts w:hint="eastAsia" w:ascii="MS UI Gothic" w:eastAsia="MS UI Gothic"/>
          <w:w w:val="80"/>
        </w:rPr>
        <w:t xml:space="preserve">、 </w:t>
      </w:r>
      <w:r>
        <w:rPr>
          <w:w w:val="110"/>
        </w:rPr>
        <w:t>使用</w:t>
      </w:r>
      <w:r>
        <w:rPr>
          <w:rFonts w:hint="eastAsia" w:ascii="MS UI Gothic" w:eastAsia="MS UI Gothic"/>
          <w:w w:val="235"/>
        </w:rPr>
        <w:t>:</w:t>
      </w:r>
    </w:p>
    <w:p>
      <w:pPr>
        <w:pStyle w:val="6"/>
        <w:spacing w:line="295" w:lineRule="auto"/>
        <w:ind w:right="442"/>
        <w:jc w:val="left"/>
        <w:rPr>
          <w:rFonts w:hint="eastAsia" w:ascii="MS UI Gothic" w:eastAsia="MS UI Gothic"/>
        </w:rPr>
      </w:pPr>
      <w:r>
        <w:rPr>
          <w:rFonts w:hint="eastAsia" w:ascii="MS UI Gothic" w:eastAsia="MS UI Gothic"/>
          <w:w w:val="120"/>
        </w:rPr>
        <w:t xml:space="preserve">( </w:t>
      </w:r>
      <w:r>
        <w:rPr>
          <w:w w:val="110"/>
        </w:rPr>
        <w:t>一</w:t>
      </w:r>
      <w:r>
        <w:rPr>
          <w:rFonts w:hint="eastAsia" w:ascii="MS UI Gothic" w:eastAsia="MS UI Gothic"/>
          <w:w w:val="120"/>
        </w:rPr>
        <w:t xml:space="preserve">) </w:t>
      </w:r>
      <w:r>
        <w:rPr>
          <w:w w:val="110"/>
        </w:rPr>
        <w:t>属国家明令淘汰或者禁止使用的</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超过安全技术标准或者制造厂</w:t>
      </w:r>
      <w:r>
        <w:rPr>
          <w:w w:val="110"/>
        </w:rPr>
        <w:t>家规定的使用年限的</w:t>
      </w:r>
      <w:r>
        <w:rPr>
          <w:rFonts w:hint="eastAsia" w:ascii="MS UI Gothic" w:eastAsia="MS UI Gothic"/>
          <w:w w:val="80"/>
        </w:rPr>
        <w:t>ꎻ</w:t>
      </w:r>
    </w:p>
    <w:p>
      <w:pPr>
        <w:pStyle w:val="6"/>
        <w:spacing w:line="295" w:lineRule="auto"/>
        <w:ind w:right="442"/>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经检验达不到安全技术标准规</w:t>
      </w:r>
      <w:r>
        <w:rPr>
          <w:w w:val="110"/>
        </w:rPr>
        <w:t>定的</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没有完整安全技术档案的</w:t>
      </w:r>
      <w:r>
        <w:rPr>
          <w:rFonts w:hint="eastAsia" w:ascii="MS UI Gothic" w:eastAsia="MS UI Gothic"/>
          <w:w w:val="80"/>
        </w:rPr>
        <w:t>ꎻ</w:t>
      </w:r>
    </w:p>
    <w:p>
      <w:pPr>
        <w:spacing w:after="0" w:line="255" w:lineRule="exact"/>
        <w:jc w:val="left"/>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４４５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34" o:spid="_x0000_s2334" o:spt="203" style="height:2.15pt;width:398.25pt;" coordsize="7965,43">
            <o:lock v:ext="edit"/>
            <v:line id="_x0000_s2335" o:spid="_x0000_s2335" o:spt="20" style="position:absolute;left:0;top:39;height:0;width:7965;" stroked="t" coordsize="21600,21600">
              <v:path arrowok="t"/>
              <v:fill focussize="0,0"/>
              <v:stroke weight="0.388031496062992pt" color="#231F20"/>
              <v:imagedata o:title=""/>
              <o:lock v:ext="edit"/>
            </v:line>
            <v:line id="_x0000_s2336" o:spid="_x0000_s233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15"/>
        </w:rPr>
        <w:t xml:space="preserve">( </w:t>
      </w:r>
      <w:r>
        <w:rPr>
          <w:w w:val="110"/>
        </w:rPr>
        <w:t>五</w:t>
      </w:r>
      <w:r>
        <w:rPr>
          <w:rFonts w:hint="eastAsia" w:ascii="MS UI Gothic" w:eastAsia="MS UI Gothic"/>
          <w:w w:val="115"/>
        </w:rPr>
        <w:t xml:space="preserve">) </w:t>
      </w:r>
      <w:r>
        <w:rPr>
          <w:w w:val="110"/>
        </w:rPr>
        <w:t>没有齐全有效的安全保护装置的</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第八条 建筑起重机械有本规定第七</w:t>
      </w:r>
      <w:r>
        <w:rPr>
          <w:spacing w:val="3"/>
          <w:w w:val="105"/>
        </w:rPr>
        <w:t xml:space="preserve">条第 </w:t>
      </w:r>
      <w:r>
        <w:rPr>
          <w:rFonts w:hint="eastAsia" w:ascii="MS UI Gothic" w:eastAsia="MS UI Gothic"/>
          <w:spacing w:val="-32"/>
          <w:w w:val="150"/>
        </w:rPr>
        <w:t xml:space="preserve">( </w:t>
      </w:r>
      <w:r>
        <w:rPr>
          <w:spacing w:val="9"/>
          <w:w w:val="105"/>
        </w:rPr>
        <w:t>一</w:t>
      </w:r>
      <w:r>
        <w:rPr>
          <w:rFonts w:hint="eastAsia" w:ascii="MS UI Gothic" w:eastAsia="MS UI Gothic"/>
          <w:spacing w:val="21"/>
          <w:w w:val="150"/>
        </w:rPr>
        <w:t>)</w:t>
      </w:r>
      <w:r>
        <w:rPr>
          <w:rFonts w:hint="eastAsia" w:ascii="MS UI Gothic" w:eastAsia="MS UI Gothic"/>
          <w:spacing w:val="7"/>
          <w:w w:val="80"/>
        </w:rPr>
        <w:t xml:space="preserve">、  </w:t>
      </w:r>
      <w:r>
        <w:rPr>
          <w:rFonts w:hint="eastAsia" w:ascii="MS UI Gothic" w:eastAsia="MS UI Gothic"/>
          <w:spacing w:val="-32"/>
          <w:w w:val="150"/>
        </w:rPr>
        <w:t xml:space="preserve">( </w:t>
      </w:r>
      <w:r>
        <w:rPr>
          <w:spacing w:val="9"/>
          <w:w w:val="105"/>
        </w:rPr>
        <w:t>二</w:t>
      </w:r>
      <w:r>
        <w:rPr>
          <w:rFonts w:hint="eastAsia" w:ascii="MS UI Gothic" w:eastAsia="MS UI Gothic"/>
          <w:spacing w:val="21"/>
          <w:w w:val="150"/>
        </w:rPr>
        <w:t>)</w:t>
      </w:r>
      <w:r>
        <w:rPr>
          <w:rFonts w:hint="eastAsia" w:ascii="MS UI Gothic" w:eastAsia="MS UI Gothic"/>
          <w:spacing w:val="5"/>
          <w:w w:val="80"/>
        </w:rPr>
        <w:t xml:space="preserve">、   </w:t>
      </w:r>
      <w:r>
        <w:rPr>
          <w:rFonts w:hint="eastAsia" w:ascii="MS UI Gothic" w:eastAsia="MS UI Gothic"/>
          <w:spacing w:val="-32"/>
          <w:w w:val="150"/>
        </w:rPr>
        <w:t xml:space="preserve">( </w:t>
      </w:r>
      <w:r>
        <w:rPr>
          <w:spacing w:val="11"/>
          <w:w w:val="105"/>
        </w:rPr>
        <w:t>三</w:t>
      </w:r>
      <w:r>
        <w:rPr>
          <w:rFonts w:hint="eastAsia" w:ascii="MS UI Gothic" w:eastAsia="MS UI Gothic"/>
          <w:spacing w:val="23"/>
          <w:w w:val="150"/>
        </w:rPr>
        <w:t xml:space="preserve">) </w:t>
      </w:r>
      <w:r>
        <w:rPr>
          <w:spacing w:val="12"/>
          <w:w w:val="105"/>
        </w:rPr>
        <w:t>项情形之一</w:t>
      </w:r>
      <w:r>
        <w:rPr>
          <w:spacing w:val="3"/>
        </w:rPr>
        <w:t>的</w:t>
      </w:r>
      <w:r>
        <w:rPr>
          <w:rFonts w:hint="eastAsia" w:ascii="MS UI Gothic" w:eastAsia="MS UI Gothic"/>
          <w:spacing w:val="21"/>
          <w:w w:val="80"/>
        </w:rPr>
        <w:t xml:space="preserve">ꎬ </w:t>
      </w:r>
      <w:r>
        <w:rPr>
          <w:spacing w:val="2"/>
        </w:rPr>
        <w:t>出租单位或者自购建筑起重机械的使</w:t>
      </w:r>
      <w:r>
        <w:rPr>
          <w:spacing w:val="3"/>
        </w:rPr>
        <w:t>用单位应当予以报废</w:t>
      </w:r>
      <w:r>
        <w:rPr>
          <w:rFonts w:hint="eastAsia" w:ascii="MS UI Gothic" w:eastAsia="MS UI Gothic"/>
          <w:spacing w:val="21"/>
          <w:w w:val="80"/>
        </w:rPr>
        <w:t xml:space="preserve">ꎬ </w:t>
      </w:r>
      <w:r>
        <w:rPr>
          <w:spacing w:val="2"/>
        </w:rPr>
        <w:t>并向原备案机关办</w:t>
      </w:r>
      <w:r>
        <w:rPr>
          <w:spacing w:val="3"/>
          <w:w w:val="105"/>
        </w:rPr>
        <w:t>理注销手续</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8"/>
        </w:rPr>
        <w:t>第九条 出租单位</w:t>
      </w:r>
      <w:r>
        <w:rPr>
          <w:rFonts w:hint="eastAsia" w:ascii="MS UI Gothic" w:eastAsia="MS UI Gothic"/>
          <w:spacing w:val="16"/>
          <w:w w:val="80"/>
        </w:rPr>
        <w:t xml:space="preserve">、 </w:t>
      </w:r>
      <w:r>
        <w:rPr>
          <w:spacing w:val="2"/>
        </w:rPr>
        <w:t>自购建筑起重机</w:t>
      </w:r>
      <w:r>
        <w:rPr>
          <w:spacing w:val="3"/>
        </w:rPr>
        <w:t>械的使用单位</w:t>
      </w:r>
      <w:r>
        <w:rPr>
          <w:rFonts w:hint="eastAsia" w:ascii="MS UI Gothic" w:eastAsia="MS UI Gothic"/>
          <w:spacing w:val="21"/>
          <w:w w:val="80"/>
        </w:rPr>
        <w:t xml:space="preserve">ꎬ </w:t>
      </w:r>
      <w:r>
        <w:rPr>
          <w:spacing w:val="2"/>
        </w:rPr>
        <w:t>应当建立建筑起重机械安</w:t>
      </w:r>
      <w:r>
        <w:rPr>
          <w:spacing w:val="3"/>
        </w:rPr>
        <w:t>全技术档案</w:t>
      </w:r>
      <w:r>
        <w:rPr>
          <w:rFonts w:hint="eastAsia" w:ascii="MS UI Gothic" w:eastAsia="MS UI Gothic"/>
          <w:w w:val="80"/>
        </w:rPr>
        <w:t>ꎮ</w:t>
      </w:r>
    </w:p>
    <w:p>
      <w:pPr>
        <w:pStyle w:val="6"/>
        <w:spacing w:line="295" w:lineRule="auto"/>
        <w:ind w:left="440" w:right="1"/>
        <w:jc w:val="left"/>
        <w:rPr>
          <w:rFonts w:hint="eastAsia" w:ascii="MS UI Gothic" w:eastAsia="MS UI Gothic"/>
        </w:rPr>
      </w:pPr>
      <w:r>
        <w:t>建筑起重机械安全技术档案应当包括</w:t>
      </w:r>
      <w:r>
        <w:rPr>
          <w:w w:val="110"/>
        </w:rPr>
        <w:t>以下资料</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购销合同</w:t>
      </w:r>
      <w:r>
        <w:rPr>
          <w:rFonts w:hint="eastAsia" w:ascii="MS UI Gothic" w:eastAsia="MS UI Gothic"/>
          <w:w w:val="80"/>
        </w:rPr>
        <w:t xml:space="preserve">、 </w:t>
      </w:r>
      <w:r>
        <w:rPr>
          <w:w w:val="105"/>
        </w:rPr>
        <w:t>制造许可证</w:t>
      </w:r>
      <w:r>
        <w:rPr>
          <w:rFonts w:hint="eastAsia" w:ascii="MS UI Gothic" w:eastAsia="MS UI Gothic"/>
          <w:w w:val="80"/>
        </w:rPr>
        <w:t xml:space="preserve">、 </w:t>
      </w:r>
      <w:r>
        <w:rPr>
          <w:w w:val="105"/>
        </w:rPr>
        <w:t>产品合格证</w:t>
      </w:r>
      <w:r>
        <w:rPr>
          <w:rFonts w:hint="eastAsia" w:ascii="MS UI Gothic" w:eastAsia="MS UI Gothic"/>
          <w:w w:val="80"/>
        </w:rPr>
        <w:t xml:space="preserve">、 </w:t>
      </w:r>
      <w:r>
        <w:rPr>
          <w:w w:val="105"/>
        </w:rPr>
        <w:t>制造监督检验证明</w:t>
      </w:r>
      <w:r>
        <w:rPr>
          <w:rFonts w:hint="eastAsia" w:ascii="MS UI Gothic" w:eastAsia="MS UI Gothic"/>
          <w:w w:val="80"/>
        </w:rPr>
        <w:t xml:space="preserve">、 </w:t>
      </w:r>
      <w:r>
        <w:rPr>
          <w:w w:val="105"/>
        </w:rPr>
        <w:t>安装使用说明书</w:t>
      </w:r>
      <w:r>
        <w:rPr>
          <w:rFonts w:hint="eastAsia" w:ascii="MS UI Gothic" w:eastAsia="MS UI Gothic"/>
          <w:w w:val="80"/>
        </w:rPr>
        <w:t xml:space="preserve">、 </w:t>
      </w:r>
      <w:r>
        <w:rPr>
          <w:w w:val="105"/>
        </w:rPr>
        <w:t>备案证明等原始资料</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定期检验报告</w:t>
      </w:r>
      <w:r>
        <w:rPr>
          <w:rFonts w:hint="eastAsia" w:ascii="MS UI Gothic" w:eastAsia="MS UI Gothic"/>
          <w:w w:val="80"/>
        </w:rPr>
        <w:t xml:space="preserve">、  </w:t>
      </w:r>
      <w:r>
        <w:rPr>
          <w:w w:val="105"/>
        </w:rPr>
        <w:t>定期自行检查记录</w:t>
      </w:r>
      <w:r>
        <w:rPr>
          <w:rFonts w:hint="eastAsia" w:ascii="MS UI Gothic" w:eastAsia="MS UI Gothic"/>
          <w:w w:val="80"/>
        </w:rPr>
        <w:t xml:space="preserve">、 </w:t>
      </w:r>
      <w:r>
        <w:rPr>
          <w:w w:val="105"/>
        </w:rPr>
        <w:t>定期维护保养记录</w:t>
      </w:r>
      <w:r>
        <w:rPr>
          <w:rFonts w:hint="eastAsia" w:ascii="MS UI Gothic" w:eastAsia="MS UI Gothic"/>
          <w:w w:val="80"/>
        </w:rPr>
        <w:t xml:space="preserve">、 </w:t>
      </w:r>
      <w:r>
        <w:rPr>
          <w:w w:val="105"/>
        </w:rPr>
        <w:t>维修和技术改造记录</w:t>
      </w:r>
      <w:r>
        <w:rPr>
          <w:rFonts w:hint="eastAsia" w:ascii="MS UI Gothic" w:eastAsia="MS UI Gothic"/>
          <w:w w:val="80"/>
        </w:rPr>
        <w:t xml:space="preserve">、 </w:t>
      </w:r>
      <w:r>
        <w:rPr>
          <w:w w:val="105"/>
        </w:rPr>
        <w:t>运行故障和生产安全事故记录</w:t>
      </w:r>
      <w:r>
        <w:rPr>
          <w:rFonts w:hint="eastAsia" w:ascii="MS UI Gothic" w:eastAsia="MS UI Gothic"/>
          <w:w w:val="80"/>
        </w:rPr>
        <w:t>、</w:t>
      </w:r>
      <w:r>
        <w:rPr>
          <w:w w:val="105"/>
        </w:rPr>
        <w:t>累计运转记录等运行资料</w:t>
      </w:r>
      <w:r>
        <w:rPr>
          <w:rFonts w:hint="eastAsia" w:ascii="MS UI Gothic" w:eastAsia="MS UI Gothic"/>
          <w:w w:val="80"/>
        </w:rPr>
        <w:t>ꎻ</w:t>
      </w:r>
    </w:p>
    <w:p>
      <w:pPr>
        <w:pStyle w:val="6"/>
        <w:spacing w:line="253" w:lineRule="exact"/>
        <w:ind w:left="860" w:firstLine="0"/>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历次安装验收资料</w:t>
      </w:r>
      <w:r>
        <w:rPr>
          <w:rFonts w:hint="eastAsia" w:ascii="MS UI Gothic" w:eastAsia="MS UI Gothic"/>
          <w:w w:val="80"/>
        </w:rPr>
        <w:t>ꎮ</w:t>
      </w:r>
    </w:p>
    <w:p>
      <w:pPr>
        <w:pStyle w:val="6"/>
        <w:spacing w:before="46" w:line="295" w:lineRule="auto"/>
        <w:ind w:left="440"/>
        <w:rPr>
          <w:rFonts w:hint="eastAsia" w:ascii="MS UI Gothic" w:eastAsia="MS UI Gothic"/>
        </w:rPr>
      </w:pPr>
      <w:r>
        <w:rPr>
          <w:w w:val="105"/>
        </w:rPr>
        <w:t>第十条 从事建筑起重机械安装</w:t>
      </w:r>
      <w:r>
        <w:rPr>
          <w:rFonts w:hint="eastAsia" w:ascii="MS UI Gothic" w:eastAsia="MS UI Gothic"/>
          <w:w w:val="80"/>
        </w:rPr>
        <w:t xml:space="preserve">、 </w:t>
      </w:r>
      <w:r>
        <w:rPr>
          <w:w w:val="105"/>
        </w:rPr>
        <w:t xml:space="preserve">拆卸活动的单位 </w:t>
      </w:r>
      <w:r>
        <w:rPr>
          <w:rFonts w:hint="eastAsia" w:ascii="MS UI Gothic" w:eastAsia="MS UI Gothic"/>
          <w:w w:val="150"/>
        </w:rPr>
        <w:t xml:space="preserve">( </w:t>
      </w:r>
      <w:r>
        <w:rPr>
          <w:w w:val="105"/>
        </w:rPr>
        <w:t>以下简称安装单位</w:t>
      </w:r>
      <w:r>
        <w:rPr>
          <w:rFonts w:hint="eastAsia" w:ascii="MS UI Gothic" w:eastAsia="MS UI Gothic"/>
          <w:w w:val="150"/>
        </w:rPr>
        <w:t xml:space="preserve">) </w:t>
      </w:r>
      <w:r>
        <w:rPr>
          <w:w w:val="105"/>
        </w:rPr>
        <w:t>应</w:t>
      </w:r>
      <w:r>
        <w:t>当依法取得建设主管部门颁发的相应资质和建筑施工企业安全生产许可证</w:t>
      </w:r>
      <w:r>
        <w:rPr>
          <w:rFonts w:hint="eastAsia" w:ascii="MS UI Gothic" w:eastAsia="MS UI Gothic"/>
          <w:w w:val="80"/>
        </w:rPr>
        <w:t xml:space="preserve">ꎬ </w:t>
      </w:r>
      <w:r>
        <w:t>并在其资质许可范围内承揽建筑起重机械安装</w:t>
      </w:r>
      <w:r>
        <w:rPr>
          <w:rFonts w:hint="eastAsia" w:ascii="MS UI Gothic" w:eastAsia="MS UI Gothic"/>
          <w:w w:val="80"/>
        </w:rPr>
        <w:t>、</w:t>
      </w:r>
      <w:r>
        <w:rPr>
          <w:w w:val="105"/>
        </w:rPr>
        <w:t>拆卸工程</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第十一条 建筑起重机械使用单位和</w:t>
      </w:r>
      <w:r>
        <w:t>安装单位应当在签订的建筑起重机械安</w:t>
      </w:r>
      <w:r>
        <w:rPr>
          <w:w w:val="105"/>
        </w:rPr>
        <w:t>装</w:t>
      </w:r>
      <w:r>
        <w:rPr>
          <w:rFonts w:hint="eastAsia" w:ascii="MS UI Gothic" w:eastAsia="MS UI Gothic"/>
          <w:w w:val="80"/>
        </w:rPr>
        <w:t xml:space="preserve">、 </w:t>
      </w:r>
      <w:r>
        <w:rPr>
          <w:w w:val="105"/>
        </w:rPr>
        <w:t>拆卸合同中明确双方的安全生产责任</w:t>
      </w:r>
      <w:r>
        <w:rPr>
          <w:rFonts w:hint="eastAsia" w:ascii="MS UI Gothic" w:eastAsia="MS UI Gothic"/>
          <w:w w:val="80"/>
        </w:rPr>
        <w:t>ꎮ</w:t>
      </w:r>
    </w:p>
    <w:p>
      <w:pPr>
        <w:pStyle w:val="6"/>
        <w:spacing w:line="295" w:lineRule="auto"/>
        <w:ind w:left="440"/>
        <w:rPr>
          <w:rFonts w:hint="eastAsia" w:ascii="MS UI Gothic" w:eastAsia="MS UI Gothic"/>
        </w:rPr>
      </w:pPr>
      <w:r>
        <w:t>实行施工总承包的</w:t>
      </w:r>
      <w:r>
        <w:rPr>
          <w:rFonts w:hint="eastAsia" w:ascii="MS UI Gothic" w:eastAsia="MS UI Gothic"/>
          <w:w w:val="80"/>
        </w:rPr>
        <w:t xml:space="preserve">ꎬ </w:t>
      </w:r>
      <w:r>
        <w:t>施工总承包单位应当与安装单位签订建筑起重机械安装</w:t>
      </w:r>
      <w:r>
        <w:rPr>
          <w:rFonts w:hint="eastAsia" w:ascii="MS UI Gothic" w:eastAsia="MS UI Gothic"/>
          <w:w w:val="80"/>
        </w:rPr>
        <w:t>、</w:t>
      </w:r>
      <w:r>
        <w:t>拆卸工程安全协议书</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第十二条 安装单位应当履行下列安</w:t>
      </w:r>
      <w:r>
        <w:rPr>
          <w:w w:val="115"/>
        </w:rPr>
        <w:t>全职责</w:t>
      </w:r>
      <w:r>
        <w:rPr>
          <w:rFonts w:hint="eastAsia" w:ascii="MS UI Gothic" w:eastAsia="MS UI Gothic"/>
          <w:w w:val="235"/>
        </w:rPr>
        <w:t>:</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按照安全技术标准及建筑起重</w:t>
      </w:r>
      <w:r>
        <w:t>机械性能要求</w:t>
      </w:r>
      <w:r>
        <w:rPr>
          <w:rFonts w:hint="eastAsia" w:ascii="MS UI Gothic" w:eastAsia="MS UI Gothic"/>
          <w:w w:val="80"/>
        </w:rPr>
        <w:t xml:space="preserve">ꎬ </w:t>
      </w:r>
      <w:r>
        <w:t>编制建筑起重机械安装</w:t>
      </w:r>
      <w:r>
        <w:rPr>
          <w:rFonts w:hint="eastAsia" w:ascii="MS UI Gothic" w:eastAsia="MS UI Gothic"/>
          <w:w w:val="80"/>
        </w:rPr>
        <w:t>、</w:t>
      </w:r>
      <w:r>
        <w:t>拆卸工程专项施工方案</w:t>
      </w:r>
      <w:r>
        <w:rPr>
          <w:rFonts w:hint="eastAsia" w:ascii="MS UI Gothic" w:eastAsia="MS UI Gothic"/>
          <w:w w:val="80"/>
        </w:rPr>
        <w:t xml:space="preserve">ꎬ </w:t>
      </w:r>
      <w:r>
        <w:t>并由本单位技术</w:t>
      </w:r>
      <w:r>
        <w:rPr>
          <w:w w:val="105"/>
        </w:rPr>
        <w:t>负责人签字</w:t>
      </w:r>
      <w:r>
        <w:rPr>
          <w:rFonts w:hint="eastAsia" w:ascii="MS UI Gothic" w:eastAsia="MS UI Gothic"/>
          <w:w w:val="80"/>
        </w:rPr>
        <w:t>ꎻ</w:t>
      </w:r>
    </w:p>
    <w:p>
      <w:pPr>
        <w:pStyle w:val="6"/>
        <w:spacing w:before="124" w:line="295" w:lineRule="auto"/>
        <w:ind w:left="381" w:right="126"/>
        <w:rPr>
          <w:rFonts w:hint="eastAsia" w:ascii="MS UI Gothic" w:eastAsia="MS UI Gothic"/>
        </w:rPr>
      </w:pPr>
      <w:r>
        <w:br w:type="column"/>
      </w:r>
      <w:r>
        <w:rPr>
          <w:rFonts w:hint="eastAsia" w:ascii="MS UI Gothic" w:eastAsia="MS UI Gothic"/>
          <w:spacing w:val="-38"/>
          <w:w w:val="150"/>
        </w:rPr>
        <w:t xml:space="preserve">( </w:t>
      </w:r>
      <w:r>
        <w:rPr>
          <w:spacing w:val="3"/>
          <w:w w:val="105"/>
        </w:rPr>
        <w:t>二</w:t>
      </w:r>
      <w:r>
        <w:rPr>
          <w:rFonts w:hint="eastAsia" w:ascii="MS UI Gothic" w:eastAsia="MS UI Gothic"/>
          <w:spacing w:val="3"/>
          <w:w w:val="150"/>
        </w:rPr>
        <w:t xml:space="preserve">) </w:t>
      </w:r>
      <w:r>
        <w:rPr>
          <w:spacing w:val="5"/>
          <w:w w:val="105"/>
        </w:rPr>
        <w:t>按照安全技术标准及安装使用</w:t>
      </w:r>
      <w:r>
        <w:rPr>
          <w:spacing w:val="11"/>
        </w:rPr>
        <w:t>说明书等检查建筑起重机械及现场施工</w:t>
      </w:r>
      <w:r>
        <w:rPr>
          <w:spacing w:val="3"/>
          <w:w w:val="105"/>
        </w:rPr>
        <w:t>条件</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21"/>
          <w:w w:val="105"/>
        </w:rPr>
        <w:t xml:space="preserve">( </w:t>
      </w:r>
      <w:r>
        <w:rPr>
          <w:spacing w:val="3"/>
          <w:w w:val="105"/>
        </w:rPr>
        <w:t>三</w:t>
      </w:r>
      <w:r>
        <w:rPr>
          <w:rFonts w:hint="eastAsia" w:ascii="MS UI Gothic" w:eastAsia="MS UI Gothic"/>
          <w:spacing w:val="5"/>
          <w:w w:val="105"/>
        </w:rPr>
        <w:t xml:space="preserve">) </w:t>
      </w:r>
      <w:r>
        <w:rPr>
          <w:spacing w:val="5"/>
          <w:w w:val="105"/>
        </w:rPr>
        <w:t>组织安全施工技术交底并签字</w:t>
      </w:r>
      <w:r>
        <w:rPr>
          <w:spacing w:val="3"/>
          <w:w w:val="110"/>
        </w:rPr>
        <w:t>确认</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spacing w:val="-37"/>
          <w:w w:val="150"/>
        </w:rPr>
        <w:t xml:space="preserve">( </w:t>
      </w:r>
      <w:r>
        <w:rPr>
          <w:spacing w:val="3"/>
          <w:w w:val="105"/>
        </w:rPr>
        <w:t>四</w:t>
      </w:r>
      <w:r>
        <w:rPr>
          <w:rFonts w:hint="eastAsia" w:ascii="MS UI Gothic" w:eastAsia="MS UI Gothic"/>
          <w:spacing w:val="9"/>
          <w:w w:val="150"/>
        </w:rPr>
        <w:t xml:space="preserve">) </w:t>
      </w:r>
      <w:r>
        <w:rPr>
          <w:spacing w:val="5"/>
          <w:w w:val="105"/>
        </w:rPr>
        <w:t>制定建筑起重机械安装</w:t>
      </w:r>
      <w:r>
        <w:rPr>
          <w:rFonts w:hint="eastAsia" w:ascii="MS UI Gothic" w:eastAsia="MS UI Gothic"/>
          <w:w w:val="80"/>
        </w:rPr>
        <w:t xml:space="preserve">、  </w:t>
      </w:r>
      <w:r>
        <w:rPr>
          <w:spacing w:val="5"/>
          <w:w w:val="105"/>
        </w:rPr>
        <w:t>拆卸</w:t>
      </w:r>
      <w:r>
        <w:rPr>
          <w:spacing w:val="3"/>
          <w:w w:val="105"/>
        </w:rPr>
        <w:t>工程生产安全事故应急救援预案</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spacing w:val="-37"/>
          <w:w w:val="150"/>
        </w:rPr>
        <w:t xml:space="preserve">( </w:t>
      </w:r>
      <w:r>
        <w:rPr>
          <w:spacing w:val="3"/>
          <w:w w:val="105"/>
        </w:rPr>
        <w:t>五</w:t>
      </w:r>
      <w:r>
        <w:rPr>
          <w:rFonts w:hint="eastAsia" w:ascii="MS UI Gothic" w:eastAsia="MS UI Gothic"/>
          <w:spacing w:val="9"/>
          <w:w w:val="150"/>
        </w:rPr>
        <w:t xml:space="preserve">) </w:t>
      </w:r>
      <w:r>
        <w:rPr>
          <w:spacing w:val="5"/>
          <w:w w:val="105"/>
        </w:rPr>
        <w:t>将建筑起重机械安装</w:t>
      </w:r>
      <w:r>
        <w:rPr>
          <w:rFonts w:hint="eastAsia" w:ascii="MS UI Gothic" w:eastAsia="MS UI Gothic"/>
          <w:w w:val="80"/>
        </w:rPr>
        <w:t xml:space="preserve">、 </w:t>
      </w:r>
      <w:r>
        <w:rPr>
          <w:spacing w:val="7"/>
          <w:w w:val="105"/>
        </w:rPr>
        <w:t>拆卸工</w:t>
      </w:r>
      <w:r>
        <w:rPr>
          <w:spacing w:val="4"/>
        </w:rPr>
        <w:t>程专项施工方案</w:t>
      </w:r>
      <w:r>
        <w:rPr>
          <w:rFonts w:hint="eastAsia" w:ascii="MS UI Gothic" w:eastAsia="MS UI Gothic"/>
          <w:w w:val="80"/>
        </w:rPr>
        <w:t xml:space="preserve">ꎬ </w:t>
      </w:r>
      <w:r>
        <w:rPr>
          <w:spacing w:val="9"/>
        </w:rPr>
        <w:t>安装</w:t>
      </w:r>
      <w:r>
        <w:rPr>
          <w:rFonts w:hint="eastAsia" w:ascii="MS UI Gothic" w:eastAsia="MS UI Gothic"/>
          <w:spacing w:val="1"/>
          <w:w w:val="80"/>
        </w:rPr>
        <w:t xml:space="preserve">、 </w:t>
      </w:r>
      <w:r>
        <w:rPr>
          <w:spacing w:val="13"/>
        </w:rPr>
        <w:t>拆卸人员名单</w:t>
      </w:r>
      <w:r>
        <w:rPr>
          <w:rFonts w:hint="eastAsia" w:ascii="MS UI Gothic" w:eastAsia="MS UI Gothic"/>
          <w:w w:val="80"/>
        </w:rPr>
        <w:t>ꎬ</w:t>
      </w:r>
      <w:r>
        <w:rPr>
          <w:spacing w:val="3"/>
          <w:w w:val="105"/>
        </w:rPr>
        <w:t>安装</w:t>
      </w:r>
      <w:r>
        <w:rPr>
          <w:rFonts w:hint="eastAsia" w:ascii="MS UI Gothic" w:eastAsia="MS UI Gothic"/>
          <w:spacing w:val="-2"/>
          <w:w w:val="80"/>
        </w:rPr>
        <w:t xml:space="preserve">、 </w:t>
      </w:r>
      <w:r>
        <w:rPr>
          <w:spacing w:val="2"/>
          <w:w w:val="105"/>
        </w:rPr>
        <w:t>拆卸时间等材料报施工总承包单位</w:t>
      </w:r>
      <w:r>
        <w:rPr>
          <w:spacing w:val="3"/>
        </w:rPr>
        <w:t>和监理单位审核后</w:t>
      </w:r>
      <w:r>
        <w:rPr>
          <w:rFonts w:hint="eastAsia" w:ascii="MS UI Gothic" w:eastAsia="MS UI Gothic"/>
          <w:spacing w:val="19"/>
          <w:w w:val="80"/>
        </w:rPr>
        <w:t xml:space="preserve">ꎬ </w:t>
      </w:r>
      <w:r>
        <w:rPr>
          <w:spacing w:val="2"/>
        </w:rPr>
        <w:t>告知工程所在地县级</w:t>
      </w:r>
      <w:r>
        <w:rPr>
          <w:spacing w:val="3"/>
          <w:w w:val="105"/>
        </w:rPr>
        <w:t>以上地方人民政府建设主管部门</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第十三条 安装单位应当按照建筑起</w:t>
      </w:r>
      <w:r>
        <w:rPr>
          <w:spacing w:val="3"/>
          <w:w w:val="105"/>
        </w:rPr>
        <w:t>重机械安装</w:t>
      </w:r>
      <w:r>
        <w:rPr>
          <w:rFonts w:hint="eastAsia" w:ascii="MS UI Gothic" w:eastAsia="MS UI Gothic"/>
          <w:spacing w:val="-2"/>
          <w:w w:val="80"/>
        </w:rPr>
        <w:t xml:space="preserve">、 </w:t>
      </w:r>
      <w:r>
        <w:rPr>
          <w:spacing w:val="2"/>
          <w:w w:val="105"/>
        </w:rPr>
        <w:t>拆卸工程专项施工方案及安</w:t>
      </w:r>
      <w:r>
        <w:rPr>
          <w:spacing w:val="3"/>
          <w:w w:val="105"/>
        </w:rPr>
        <w:t>全操作规程组织安装</w:t>
      </w:r>
      <w:r>
        <w:rPr>
          <w:rFonts w:hint="eastAsia" w:ascii="MS UI Gothic" w:eastAsia="MS UI Gothic"/>
          <w:spacing w:val="21"/>
          <w:w w:val="80"/>
        </w:rPr>
        <w:t xml:space="preserve">、 </w:t>
      </w:r>
      <w:r>
        <w:rPr>
          <w:spacing w:val="3"/>
          <w:w w:val="105"/>
        </w:rPr>
        <w:t>拆卸作业</w:t>
      </w:r>
      <w:r>
        <w:rPr>
          <w:rFonts w:hint="eastAsia" w:ascii="MS UI Gothic" w:eastAsia="MS UI Gothic"/>
          <w:w w:val="80"/>
        </w:rPr>
        <w:t>ꎮ</w:t>
      </w:r>
    </w:p>
    <w:p>
      <w:pPr>
        <w:pStyle w:val="6"/>
        <w:spacing w:line="295" w:lineRule="auto"/>
        <w:ind w:left="381" w:right="126"/>
        <w:rPr>
          <w:rFonts w:hint="eastAsia" w:ascii="MS UI Gothic" w:eastAsia="MS UI Gothic"/>
        </w:rPr>
      </w:pPr>
      <w:r>
        <w:t>安装单位的专业技术人员</w:t>
      </w:r>
      <w:r>
        <w:rPr>
          <w:rFonts w:hint="eastAsia" w:ascii="MS UI Gothic" w:eastAsia="MS UI Gothic"/>
          <w:w w:val="80"/>
        </w:rPr>
        <w:t xml:space="preserve">、 </w:t>
      </w:r>
      <w:r>
        <w:t>专职安全生产管理人员应当进行现场监督</w:t>
      </w:r>
      <w:r>
        <w:rPr>
          <w:rFonts w:hint="eastAsia" w:ascii="MS UI Gothic" w:eastAsia="MS UI Gothic"/>
          <w:w w:val="80"/>
        </w:rPr>
        <w:t xml:space="preserve">ꎬ </w:t>
      </w:r>
      <w:r>
        <w:t>技术负责人应当定期巡查</w:t>
      </w:r>
      <w:r>
        <w:rPr>
          <w:rFonts w:hint="eastAsia" w:ascii="MS UI Gothic" w:eastAsia="MS UI Gothic"/>
          <w:w w:val="80"/>
        </w:rPr>
        <w:t>ꎮ</w:t>
      </w:r>
    </w:p>
    <w:p>
      <w:pPr>
        <w:pStyle w:val="6"/>
        <w:spacing w:line="295" w:lineRule="auto"/>
        <w:ind w:left="381" w:right="124"/>
        <w:rPr>
          <w:rFonts w:hint="eastAsia" w:ascii="MS UI Gothic" w:eastAsia="MS UI Gothic"/>
        </w:rPr>
      </w:pPr>
      <w:r>
        <w:t>第十四条  建筑起重机械安装完毕后</w:t>
      </w:r>
      <w:r>
        <w:rPr>
          <w:rFonts w:hint="eastAsia" w:ascii="MS UI Gothic" w:eastAsia="MS UI Gothic"/>
          <w:w w:val="80"/>
        </w:rPr>
        <w:t xml:space="preserve">ꎬ </w:t>
      </w:r>
      <w:r>
        <w:t>安装单位应当按照安全技术标准及安装使用说明书的有关要求对建筑起重机械进行自检</w:t>
      </w:r>
      <w:r>
        <w:rPr>
          <w:rFonts w:hint="eastAsia" w:ascii="MS UI Gothic" w:eastAsia="MS UI Gothic"/>
          <w:w w:val="80"/>
        </w:rPr>
        <w:t xml:space="preserve">、 </w:t>
      </w:r>
      <w:r>
        <w:t>调试和试运转</w:t>
      </w:r>
      <w:r>
        <w:rPr>
          <w:rFonts w:hint="eastAsia" w:ascii="MS UI Gothic" w:eastAsia="MS UI Gothic"/>
          <w:w w:val="80"/>
        </w:rPr>
        <w:t xml:space="preserve">ꎮ </w:t>
      </w:r>
      <w:r>
        <w:t>自检合格的</w:t>
      </w:r>
      <w:r>
        <w:rPr>
          <w:rFonts w:hint="eastAsia" w:ascii="MS UI Gothic" w:eastAsia="MS UI Gothic"/>
          <w:w w:val="80"/>
        </w:rPr>
        <w:t>ꎬ</w:t>
      </w:r>
      <w:r>
        <w:t>应当出具自检合格证明</w:t>
      </w:r>
      <w:r>
        <w:rPr>
          <w:rFonts w:hint="eastAsia" w:ascii="MS UI Gothic" w:eastAsia="MS UI Gothic"/>
          <w:w w:val="80"/>
        </w:rPr>
        <w:t xml:space="preserve">ꎬ </w:t>
      </w:r>
      <w:r>
        <w:t>并向使用单位进行安全使用说明</w:t>
      </w:r>
      <w:r>
        <w:rPr>
          <w:rFonts w:hint="eastAsia" w:ascii="MS UI Gothic" w:eastAsia="MS UI Gothic"/>
          <w:w w:val="80"/>
        </w:rPr>
        <w:t>ꎮ</w:t>
      </w:r>
    </w:p>
    <w:p>
      <w:pPr>
        <w:pStyle w:val="6"/>
        <w:spacing w:line="295" w:lineRule="auto"/>
        <w:ind w:left="381" w:right="126"/>
        <w:rPr>
          <w:rFonts w:hint="eastAsia" w:ascii="MS UI Gothic" w:eastAsia="MS UI Gothic"/>
        </w:rPr>
      </w:pPr>
      <w:r>
        <w:t>第十五条 安装单位应当建立建筑起重机械安装</w:t>
      </w:r>
      <w:r>
        <w:rPr>
          <w:rFonts w:hint="eastAsia" w:ascii="MS UI Gothic" w:eastAsia="MS UI Gothic"/>
          <w:w w:val="80"/>
        </w:rPr>
        <w:t xml:space="preserve">、 </w:t>
      </w:r>
      <w:r>
        <w:t>拆卸工程档案</w:t>
      </w:r>
      <w:r>
        <w:rPr>
          <w:rFonts w:hint="eastAsia" w:ascii="MS UI Gothic" w:eastAsia="MS UI Gothic"/>
          <w:w w:val="80"/>
        </w:rPr>
        <w:t>ꎮ</w:t>
      </w:r>
    </w:p>
    <w:p>
      <w:pPr>
        <w:pStyle w:val="6"/>
        <w:spacing w:line="295" w:lineRule="auto"/>
        <w:ind w:left="381" w:right="126"/>
        <w:jc w:val="left"/>
        <w:rPr>
          <w:rFonts w:hint="eastAsia" w:ascii="MS UI Gothic" w:eastAsia="MS UI Gothic"/>
        </w:rPr>
      </w:pPr>
      <w:r>
        <w:t>建筑起重机械安装</w:t>
      </w:r>
      <w:r>
        <w:rPr>
          <w:rFonts w:hint="eastAsia" w:ascii="MS UI Gothic" w:eastAsia="MS UI Gothic"/>
        </w:rPr>
        <w:t xml:space="preserve">、 </w:t>
      </w:r>
      <w:r>
        <w:t>拆卸工程档案应</w:t>
      </w:r>
      <w:r>
        <w:rPr>
          <w:w w:val="110"/>
        </w:rPr>
        <w:t>当包括以下资料</w:t>
      </w:r>
      <w:r>
        <w:rPr>
          <w:rFonts w:hint="eastAsia" w:ascii="MS UI Gothic" w:eastAsia="MS UI Gothic"/>
          <w:w w:val="235"/>
        </w:rPr>
        <w:t>:</w:t>
      </w:r>
    </w:p>
    <w:p>
      <w:pPr>
        <w:pStyle w:val="6"/>
        <w:spacing w:line="295" w:lineRule="auto"/>
        <w:ind w:left="381" w:right="126"/>
        <w:jc w:val="left"/>
        <w:rPr>
          <w:rFonts w:hint="eastAsia" w:ascii="MS UI Gothic" w:eastAsia="MS UI Gothic"/>
        </w:rPr>
      </w:pPr>
      <w:r>
        <w:rPr>
          <w:rFonts w:hint="eastAsia" w:ascii="MS UI Gothic" w:eastAsia="MS UI Gothic"/>
          <w:spacing w:val="-38"/>
          <w:w w:val="150"/>
        </w:rPr>
        <w:t xml:space="preserve">( </w:t>
      </w:r>
      <w:r>
        <w:rPr>
          <w:spacing w:val="23"/>
          <w:w w:val="110"/>
        </w:rPr>
        <w:t>一</w:t>
      </w:r>
      <w:r>
        <w:rPr>
          <w:rFonts w:hint="eastAsia" w:ascii="MS UI Gothic" w:eastAsia="MS UI Gothic"/>
          <w:spacing w:val="19"/>
          <w:w w:val="150"/>
        </w:rPr>
        <w:t xml:space="preserve">) </w:t>
      </w:r>
      <w:r>
        <w:rPr>
          <w:spacing w:val="-21"/>
          <w:w w:val="110"/>
        </w:rPr>
        <w:t>安 装</w:t>
      </w:r>
      <w:r>
        <w:rPr>
          <w:rFonts w:hint="eastAsia" w:ascii="MS UI Gothic" w:eastAsia="MS UI Gothic"/>
          <w:spacing w:val="8"/>
          <w:w w:val="80"/>
        </w:rPr>
        <w:t xml:space="preserve">、 </w:t>
      </w:r>
      <w:r>
        <w:rPr>
          <w:spacing w:val="-36"/>
          <w:w w:val="110"/>
        </w:rPr>
        <w:t>拆 卸 合 同 及 安 全 协</w:t>
      </w:r>
      <w:r>
        <w:rPr>
          <w:spacing w:val="3"/>
          <w:w w:val="110"/>
        </w:rPr>
        <w:t>议书</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spacing w:val="-38"/>
          <w:w w:val="150"/>
        </w:rPr>
        <w:t xml:space="preserve">( </w:t>
      </w:r>
      <w:r>
        <w:rPr>
          <w:spacing w:val="23"/>
          <w:w w:val="110"/>
        </w:rPr>
        <w:t>二</w:t>
      </w:r>
      <w:r>
        <w:rPr>
          <w:rFonts w:hint="eastAsia" w:ascii="MS UI Gothic" w:eastAsia="MS UI Gothic"/>
          <w:spacing w:val="19"/>
          <w:w w:val="150"/>
        </w:rPr>
        <w:t xml:space="preserve">) </w:t>
      </w:r>
      <w:r>
        <w:rPr>
          <w:spacing w:val="-21"/>
          <w:w w:val="110"/>
        </w:rPr>
        <w:t>安 装</w:t>
      </w:r>
      <w:r>
        <w:rPr>
          <w:rFonts w:hint="eastAsia" w:ascii="MS UI Gothic" w:eastAsia="MS UI Gothic"/>
          <w:spacing w:val="8"/>
          <w:w w:val="80"/>
        </w:rPr>
        <w:t xml:space="preserve">、 </w:t>
      </w:r>
      <w:r>
        <w:rPr>
          <w:spacing w:val="-36"/>
          <w:w w:val="110"/>
        </w:rPr>
        <w:t>拆 卸 工 程 专 项 施 工</w:t>
      </w:r>
      <w:r>
        <w:rPr>
          <w:spacing w:val="3"/>
          <w:w w:val="110"/>
        </w:rPr>
        <w:t>方案</w:t>
      </w:r>
      <w:r>
        <w:rPr>
          <w:rFonts w:hint="eastAsia" w:ascii="MS UI Gothic" w:eastAsia="MS UI Gothic"/>
          <w:w w:val="80"/>
        </w:rPr>
        <w:t>ꎻ</w:t>
      </w:r>
    </w:p>
    <w:p>
      <w:pPr>
        <w:pStyle w:val="6"/>
        <w:spacing w:line="295" w:lineRule="auto"/>
        <w:ind w:left="381" w:right="126"/>
        <w:jc w:val="left"/>
        <w:rPr>
          <w:rFonts w:hint="eastAsia" w:ascii="MS UI Gothic" w:eastAsia="MS UI Gothic"/>
        </w:rPr>
      </w:pPr>
      <w:r>
        <w:rPr>
          <w:rFonts w:hint="eastAsia" w:ascii="MS UI Gothic" w:eastAsia="MS UI Gothic"/>
          <w:spacing w:val="-37"/>
          <w:w w:val="135"/>
        </w:rPr>
        <w:t xml:space="preserve">( </w:t>
      </w:r>
      <w:r>
        <w:rPr>
          <w:spacing w:val="29"/>
          <w:w w:val="110"/>
        </w:rPr>
        <w:t>三</w:t>
      </w:r>
      <w:r>
        <w:rPr>
          <w:rFonts w:hint="eastAsia" w:ascii="MS UI Gothic" w:eastAsia="MS UI Gothic"/>
          <w:spacing w:val="-14"/>
          <w:w w:val="135"/>
        </w:rPr>
        <w:t xml:space="preserve">) </w:t>
      </w:r>
      <w:r>
        <w:rPr>
          <w:spacing w:val="40"/>
          <w:w w:val="110"/>
        </w:rPr>
        <w:t>安全施工技术交底的有关</w:t>
      </w:r>
      <w:r>
        <w:rPr>
          <w:spacing w:val="3"/>
          <w:w w:val="110"/>
        </w:rPr>
        <w:t>资料</w:t>
      </w:r>
      <w:r>
        <w:rPr>
          <w:rFonts w:hint="eastAsia" w:ascii="MS UI Gothic" w:eastAsia="MS UI Gothic"/>
          <w:w w:val="80"/>
        </w:rPr>
        <w:t>ꎻ</w:t>
      </w:r>
    </w:p>
    <w:p>
      <w:pPr>
        <w:pStyle w:val="6"/>
        <w:spacing w:line="255" w:lineRule="exact"/>
        <w:ind w:left="800"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安装工程验收资料</w:t>
      </w:r>
      <w:r>
        <w:rPr>
          <w:rFonts w:hint="eastAsia" w:ascii="MS UI Gothic" w:eastAsia="MS UI Gothic"/>
          <w:w w:val="80"/>
        </w:rPr>
        <w:t>ꎻ</w:t>
      </w:r>
    </w:p>
    <w:p>
      <w:pPr>
        <w:pStyle w:val="6"/>
        <w:spacing w:before="33"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安装</w:t>
      </w:r>
      <w:r>
        <w:rPr>
          <w:rFonts w:hint="eastAsia" w:ascii="MS UI Gothic" w:eastAsia="MS UI Gothic"/>
          <w:w w:val="80"/>
        </w:rPr>
        <w:t xml:space="preserve">、 </w:t>
      </w:r>
      <w:r>
        <w:rPr>
          <w:w w:val="105"/>
        </w:rPr>
        <w:t>拆卸工程生产安全事故应急救援预案</w:t>
      </w:r>
      <w:r>
        <w:rPr>
          <w:rFonts w:hint="eastAsia" w:ascii="MS UI Gothic" w:eastAsia="MS UI Gothic"/>
          <w:w w:val="80"/>
        </w:rPr>
        <w:t>ꎮ</w:t>
      </w:r>
    </w:p>
    <w:p>
      <w:pPr>
        <w:pStyle w:val="6"/>
        <w:spacing w:line="295" w:lineRule="auto"/>
        <w:ind w:left="381" w:right="126"/>
      </w:pPr>
      <w:r>
        <w:t>第十六条  建筑起重机械安装完毕后</w:t>
      </w:r>
      <w:r>
        <w:rPr>
          <w:rFonts w:hint="eastAsia" w:ascii="MS UI Gothic" w:eastAsia="MS UI Gothic"/>
          <w:w w:val="80"/>
        </w:rPr>
        <w:t xml:space="preserve">ꎬ </w:t>
      </w:r>
      <w:r>
        <w:t>使用单位应当组织出租</w:t>
      </w:r>
      <w:r>
        <w:rPr>
          <w:rFonts w:hint="eastAsia" w:ascii="MS UI Gothic" w:eastAsia="MS UI Gothic"/>
          <w:w w:val="80"/>
        </w:rPr>
        <w:t xml:space="preserve">、 </w:t>
      </w:r>
      <w:r>
        <w:t>安装</w:t>
      </w:r>
      <w:r>
        <w:rPr>
          <w:rFonts w:hint="eastAsia" w:ascii="MS UI Gothic" w:eastAsia="MS UI Gothic"/>
          <w:w w:val="80"/>
        </w:rPr>
        <w:t xml:space="preserve">、 </w:t>
      </w:r>
      <w:r>
        <w:t>监理</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４４６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37" o:spid="_x0000_s2337" o:spt="203" style="height:2.15pt;width:398.25pt;" coordsize="7965,43">
            <o:lock v:ext="edit"/>
            <v:line id="_x0000_s2338" o:spid="_x0000_s2338" o:spt="20" style="position:absolute;left:0;top:39;height:0;width:7965;" stroked="t" coordsize="21600,21600">
              <v:path arrowok="t"/>
              <v:fill focussize="0,0"/>
              <v:stroke weight="0.388031496062992pt" color="#231F20"/>
              <v:imagedata o:title=""/>
              <o:lock v:ext="edit"/>
            </v:line>
            <v:line id="_x0000_s2339" o:spid="_x0000_s233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等有关单位进行验收</w:t>
      </w:r>
      <w:r>
        <w:rPr>
          <w:rFonts w:hint="eastAsia" w:ascii="MS UI Gothic" w:eastAsia="MS UI Gothic"/>
          <w:w w:val="80"/>
        </w:rPr>
        <w:t xml:space="preserve">ꎬ </w:t>
      </w:r>
      <w:r>
        <w:t>或者委托具有相应资质的检验检测机构进行验收</w:t>
      </w:r>
      <w:r>
        <w:rPr>
          <w:rFonts w:hint="eastAsia" w:ascii="MS UI Gothic" w:eastAsia="MS UI Gothic"/>
          <w:w w:val="80"/>
        </w:rPr>
        <w:t xml:space="preserve">ꎮ </w:t>
      </w:r>
      <w:r>
        <w:t>建筑起重机械经验收合格后方可投入使用</w:t>
      </w:r>
      <w:r>
        <w:rPr>
          <w:rFonts w:hint="eastAsia" w:ascii="MS UI Gothic" w:eastAsia="MS UI Gothic"/>
          <w:w w:val="80"/>
        </w:rPr>
        <w:t xml:space="preserve">ꎬ </w:t>
      </w:r>
      <w:r>
        <w:t>未经验收或者验收不合格的不得使用</w:t>
      </w:r>
      <w:r>
        <w:rPr>
          <w:rFonts w:hint="eastAsia" w:ascii="MS UI Gothic" w:eastAsia="MS UI Gothic"/>
          <w:w w:val="80"/>
        </w:rPr>
        <w:t>ꎮ</w:t>
      </w:r>
    </w:p>
    <w:p>
      <w:pPr>
        <w:pStyle w:val="6"/>
        <w:spacing w:line="295" w:lineRule="auto"/>
        <w:ind w:right="38"/>
        <w:rPr>
          <w:rFonts w:hint="eastAsia" w:ascii="MS UI Gothic" w:eastAsia="MS UI Gothic"/>
        </w:rPr>
      </w:pPr>
      <w:r>
        <w:t>实行施工总承包的</w:t>
      </w:r>
      <w:r>
        <w:rPr>
          <w:rFonts w:hint="eastAsia" w:ascii="MS UI Gothic" w:eastAsia="MS UI Gothic"/>
          <w:w w:val="80"/>
        </w:rPr>
        <w:t xml:space="preserve">ꎬ </w:t>
      </w:r>
      <w:r>
        <w:t>由施工总承包单位组织验收</w:t>
      </w:r>
      <w:r>
        <w:rPr>
          <w:rFonts w:hint="eastAsia" w:ascii="MS UI Gothic" w:eastAsia="MS UI Gothic"/>
          <w:w w:val="80"/>
        </w:rPr>
        <w:t>ꎮ</w:t>
      </w:r>
    </w:p>
    <w:p>
      <w:pPr>
        <w:pStyle w:val="6"/>
        <w:spacing w:line="295" w:lineRule="auto"/>
        <w:ind w:right="38"/>
        <w:jc w:val="left"/>
        <w:rPr>
          <w:rFonts w:hint="eastAsia" w:ascii="MS UI Gothic" w:eastAsia="MS UI Gothic"/>
        </w:rPr>
      </w:pPr>
      <w:r>
        <w:t>建筑起重机械在验收前应当经有相应</w:t>
      </w:r>
      <w:r>
        <w:rPr>
          <w:w w:val="105"/>
        </w:rPr>
        <w:t>资质的检验检测机构监督检验合格</w:t>
      </w:r>
      <w:r>
        <w:rPr>
          <w:rFonts w:hint="eastAsia" w:ascii="MS UI Gothic" w:eastAsia="MS UI Gothic"/>
          <w:w w:val="80"/>
        </w:rPr>
        <w:t>ꎮ</w:t>
      </w:r>
    </w:p>
    <w:p>
      <w:pPr>
        <w:pStyle w:val="6"/>
        <w:spacing w:line="295" w:lineRule="auto"/>
        <w:ind w:right="38"/>
        <w:jc w:val="left"/>
        <w:rPr>
          <w:rFonts w:hint="eastAsia" w:ascii="MS UI Gothic" w:eastAsia="MS UI Gothic"/>
        </w:rPr>
      </w:pPr>
      <w:r>
        <w:rPr>
          <w:spacing w:val="2"/>
        </w:rPr>
        <w:t>检验检测机构和检验检测人员对检验</w:t>
      </w:r>
      <w:r>
        <w:rPr>
          <w:spacing w:val="3"/>
          <w:w w:val="105"/>
        </w:rPr>
        <w:t>检测结果</w:t>
      </w:r>
      <w:r>
        <w:rPr>
          <w:rFonts w:hint="eastAsia" w:ascii="MS UI Gothic" w:eastAsia="MS UI Gothic"/>
          <w:spacing w:val="-2"/>
          <w:w w:val="80"/>
        </w:rPr>
        <w:t xml:space="preserve">、 </w:t>
      </w:r>
      <w:r>
        <w:rPr>
          <w:spacing w:val="3"/>
          <w:w w:val="105"/>
        </w:rPr>
        <w:t>鉴定结论依法承担法律责任</w:t>
      </w:r>
      <w:r>
        <w:rPr>
          <w:rFonts w:hint="eastAsia" w:ascii="MS UI Gothic" w:eastAsia="MS UI Gothic"/>
          <w:w w:val="80"/>
        </w:rPr>
        <w:t>ꎮ</w:t>
      </w:r>
    </w:p>
    <w:p>
      <w:pPr>
        <w:pStyle w:val="6"/>
        <w:spacing w:line="295" w:lineRule="auto"/>
        <w:ind w:right="38"/>
        <w:rPr>
          <w:rFonts w:hint="eastAsia" w:ascii="MS UI Gothic" w:eastAsia="MS UI Gothic"/>
        </w:rPr>
      </w:pPr>
      <w:r>
        <w:rPr>
          <w:spacing w:val="4"/>
        </w:rPr>
        <w:t>第十七条 使用单位应当自建筑起重</w:t>
      </w:r>
      <w:r>
        <w:rPr>
          <w:spacing w:val="2"/>
        </w:rPr>
        <w:t xml:space="preserve">机械安装验收合格之日起 </w:t>
      </w:r>
      <w:r>
        <w:rPr>
          <w:rFonts w:hint="eastAsia" w:ascii="MS UI Gothic" w:eastAsia="MS UI Gothic"/>
          <w:spacing w:val="5"/>
          <w:w w:val="85"/>
        </w:rPr>
        <w:t xml:space="preserve">３０ </w:t>
      </w:r>
      <w:r>
        <w:rPr>
          <w:spacing w:val="8"/>
        </w:rPr>
        <w:t>日内</w:t>
      </w:r>
      <w:r>
        <w:rPr>
          <w:rFonts w:hint="eastAsia" w:ascii="MS UI Gothic" w:eastAsia="MS UI Gothic"/>
          <w:spacing w:val="3"/>
          <w:w w:val="85"/>
        </w:rPr>
        <w:t xml:space="preserve">ꎬ </w:t>
      </w:r>
      <w:r>
        <w:rPr>
          <w:spacing w:val="6"/>
        </w:rPr>
        <w:t>将建</w:t>
      </w:r>
      <w:r>
        <w:rPr>
          <w:spacing w:val="3"/>
        </w:rPr>
        <w:t>筑起重机械安装验收资料</w:t>
      </w:r>
      <w:r>
        <w:rPr>
          <w:rFonts w:hint="eastAsia" w:ascii="MS UI Gothic" w:eastAsia="MS UI Gothic"/>
          <w:spacing w:val="20"/>
        </w:rPr>
        <w:t xml:space="preserve">、 </w:t>
      </w:r>
      <w:r>
        <w:rPr>
          <w:spacing w:val="2"/>
        </w:rPr>
        <w:t>建筑起重机械</w:t>
      </w:r>
      <w:r>
        <w:rPr>
          <w:spacing w:val="3"/>
        </w:rPr>
        <w:t>安全管理制度</w:t>
      </w:r>
      <w:r>
        <w:rPr>
          <w:rFonts w:hint="eastAsia" w:ascii="MS UI Gothic" w:eastAsia="MS UI Gothic"/>
          <w:spacing w:val="21"/>
        </w:rPr>
        <w:t xml:space="preserve">、 </w:t>
      </w:r>
      <w:r>
        <w:rPr>
          <w:spacing w:val="3"/>
        </w:rPr>
        <w:t>特种作业人员名单等</w:t>
      </w:r>
      <w:r>
        <w:rPr>
          <w:rFonts w:hint="eastAsia" w:ascii="MS UI Gothic" w:eastAsia="MS UI Gothic"/>
          <w:w w:val="85"/>
        </w:rPr>
        <w:t xml:space="preserve">ꎬ  </w:t>
      </w:r>
      <w:r>
        <w:t>向</w:t>
      </w:r>
      <w:r>
        <w:rPr>
          <w:spacing w:val="2"/>
        </w:rPr>
        <w:t>工程所在地县级以上地方人民政府建设主</w:t>
      </w:r>
      <w:r>
        <w:rPr>
          <w:spacing w:val="3"/>
        </w:rPr>
        <w:t>管部门办理建筑起重机械使用登记</w:t>
      </w:r>
      <w:r>
        <w:rPr>
          <w:rFonts w:hint="eastAsia" w:ascii="MS UI Gothic" w:eastAsia="MS UI Gothic"/>
          <w:spacing w:val="14"/>
          <w:w w:val="85"/>
        </w:rPr>
        <w:t xml:space="preserve">ꎮ </w:t>
      </w:r>
      <w:r>
        <w:rPr>
          <w:spacing w:val="1"/>
        </w:rPr>
        <w:t>登记</w:t>
      </w:r>
      <w:r>
        <w:rPr>
          <w:spacing w:val="3"/>
        </w:rPr>
        <w:t>标志置于或者附着于该设备的显著位置</w:t>
      </w:r>
      <w:r>
        <w:rPr>
          <w:rFonts w:hint="eastAsia" w:ascii="MS UI Gothic" w:eastAsia="MS UI Gothic"/>
          <w:w w:val="85"/>
        </w:rPr>
        <w:t>ꎮ</w:t>
      </w:r>
    </w:p>
    <w:p>
      <w:pPr>
        <w:pStyle w:val="6"/>
        <w:spacing w:line="295" w:lineRule="auto"/>
        <w:ind w:right="38"/>
        <w:rPr>
          <w:rFonts w:hint="eastAsia" w:ascii="MS UI Gothic" w:eastAsia="MS UI Gothic"/>
        </w:rPr>
      </w:pPr>
      <w:r>
        <w:rPr>
          <w:w w:val="105"/>
        </w:rPr>
        <w:t>第十八条 使用单位应当履行下列安</w:t>
      </w:r>
      <w:r>
        <w:rPr>
          <w:w w:val="115"/>
        </w:rPr>
        <w:t>全职责</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根据不同施工阶段</w:t>
      </w:r>
      <w:r>
        <w:rPr>
          <w:rFonts w:hint="eastAsia" w:ascii="MS UI Gothic" w:eastAsia="MS UI Gothic"/>
          <w:w w:val="80"/>
        </w:rPr>
        <w:t xml:space="preserve">、  </w:t>
      </w:r>
      <w:r>
        <w:rPr>
          <w:w w:val="105"/>
        </w:rPr>
        <w:t>周围环境以及季节</w:t>
      </w:r>
      <w:r>
        <w:rPr>
          <w:rFonts w:hint="eastAsia" w:ascii="MS UI Gothic" w:eastAsia="MS UI Gothic"/>
          <w:w w:val="80"/>
        </w:rPr>
        <w:t xml:space="preserve">、 </w:t>
      </w:r>
      <w:r>
        <w:rPr>
          <w:w w:val="105"/>
        </w:rPr>
        <w:t>气候的变化</w:t>
      </w:r>
      <w:r>
        <w:rPr>
          <w:rFonts w:hint="eastAsia" w:ascii="MS UI Gothic" w:eastAsia="MS UI Gothic"/>
          <w:w w:val="80"/>
        </w:rPr>
        <w:t xml:space="preserve">ꎬ </w:t>
      </w:r>
      <w:r>
        <w:rPr>
          <w:w w:val="105"/>
        </w:rPr>
        <w:t>对建筑起重机械采取相应的安全防护措施</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制定建筑起重机械生产安全事</w:t>
      </w:r>
      <w:r>
        <w:rPr>
          <w:w w:val="110"/>
        </w:rPr>
        <w:t>故应急救援预案</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在建筑起重机械活动范围内设</w:t>
      </w:r>
      <w:r>
        <w:t>置明显的安全警示标志</w:t>
      </w:r>
      <w:r>
        <w:rPr>
          <w:rFonts w:hint="eastAsia" w:ascii="MS UI Gothic" w:eastAsia="MS UI Gothic"/>
          <w:w w:val="80"/>
        </w:rPr>
        <w:t xml:space="preserve">ꎬ </w:t>
      </w:r>
      <w:r>
        <w:t>对集中作业区做</w:t>
      </w:r>
      <w:r>
        <w:rPr>
          <w:w w:val="105"/>
        </w:rPr>
        <w:t>好安全防护</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设置相应的设备管理机构或者</w:t>
      </w:r>
      <w:r>
        <w:rPr>
          <w:w w:val="110"/>
        </w:rPr>
        <w:t>配备专职的设备管理人员</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指定专职设备管理人员</w:t>
      </w:r>
      <w:r>
        <w:rPr>
          <w:rFonts w:hint="eastAsia" w:ascii="MS UI Gothic" w:eastAsia="MS UI Gothic"/>
          <w:w w:val="80"/>
        </w:rPr>
        <w:t xml:space="preserve">、  </w:t>
      </w:r>
      <w:r>
        <w:rPr>
          <w:w w:val="105"/>
        </w:rPr>
        <w:t>专职安全生产管理人员进行现场监督检查</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建筑起重机械出现故障或者发</w:t>
      </w:r>
      <w:r>
        <w:t>生异常情况的</w:t>
      </w:r>
      <w:r>
        <w:rPr>
          <w:rFonts w:hint="eastAsia" w:ascii="MS UI Gothic" w:eastAsia="MS UI Gothic"/>
          <w:w w:val="80"/>
        </w:rPr>
        <w:t xml:space="preserve">ꎬ </w:t>
      </w:r>
      <w:r>
        <w:t>立即停止使用</w:t>
      </w:r>
      <w:r>
        <w:rPr>
          <w:rFonts w:hint="eastAsia" w:ascii="MS UI Gothic" w:eastAsia="MS UI Gothic"/>
          <w:w w:val="80"/>
        </w:rPr>
        <w:t xml:space="preserve">ꎬ </w:t>
      </w:r>
      <w:r>
        <w:t>消除故障</w:t>
      </w:r>
      <w:r>
        <w:rPr>
          <w:w w:val="105"/>
        </w:rPr>
        <w:t>和事故隐患后</w:t>
      </w:r>
      <w:r>
        <w:rPr>
          <w:rFonts w:hint="eastAsia" w:ascii="MS UI Gothic" w:eastAsia="MS UI Gothic"/>
          <w:w w:val="80"/>
        </w:rPr>
        <w:t xml:space="preserve">ꎬ </w:t>
      </w:r>
      <w:r>
        <w:rPr>
          <w:w w:val="105"/>
        </w:rPr>
        <w:t>方可重新投入使用</w:t>
      </w:r>
      <w:r>
        <w:rPr>
          <w:rFonts w:hint="eastAsia" w:ascii="MS UI Gothic" w:eastAsia="MS UI Gothic"/>
          <w:w w:val="80"/>
        </w:rPr>
        <w:t>ꎮ</w:t>
      </w:r>
    </w:p>
    <w:p>
      <w:pPr>
        <w:pStyle w:val="6"/>
        <w:spacing w:line="295" w:lineRule="auto"/>
        <w:ind w:right="38"/>
        <w:rPr>
          <w:rFonts w:hint="eastAsia" w:ascii="MS UI Gothic" w:eastAsia="MS UI Gothic"/>
        </w:rPr>
      </w:pPr>
      <w:r>
        <w:t>第十九条 使用单位应当对在用的建筑起重机械及其安全保护装置</w:t>
      </w:r>
      <w:r>
        <w:rPr>
          <w:rFonts w:hint="eastAsia" w:ascii="MS UI Gothic" w:eastAsia="MS UI Gothic"/>
          <w:w w:val="80"/>
        </w:rPr>
        <w:t xml:space="preserve">、 </w:t>
      </w:r>
      <w:r>
        <w:t>吊具</w:t>
      </w:r>
      <w:r>
        <w:rPr>
          <w:rFonts w:hint="eastAsia" w:ascii="MS UI Gothic" w:eastAsia="MS UI Gothic"/>
          <w:w w:val="80"/>
        </w:rPr>
        <w:t xml:space="preserve">、 </w:t>
      </w:r>
      <w:r>
        <w:t>索具等进行经常性和定期的检查</w:t>
      </w:r>
      <w:r>
        <w:rPr>
          <w:rFonts w:hint="eastAsia" w:ascii="MS UI Gothic" w:eastAsia="MS UI Gothic"/>
          <w:w w:val="80"/>
        </w:rPr>
        <w:t xml:space="preserve">、 </w:t>
      </w:r>
      <w:r>
        <w:t>维护和保养</w:t>
      </w:r>
      <w:r>
        <w:rPr>
          <w:rFonts w:hint="eastAsia" w:ascii="MS UI Gothic" w:eastAsia="MS UI Gothic"/>
          <w:w w:val="80"/>
        </w:rPr>
        <w:t xml:space="preserve">ꎬ </w:t>
      </w:r>
      <w:r>
        <w:t>并做好记录</w:t>
      </w:r>
      <w:r>
        <w:rPr>
          <w:rFonts w:hint="eastAsia" w:ascii="MS UI Gothic" w:eastAsia="MS UI Gothic"/>
          <w:w w:val="80"/>
        </w:rPr>
        <w:t>ꎮ</w:t>
      </w:r>
    </w:p>
    <w:p>
      <w:pPr>
        <w:pStyle w:val="6"/>
        <w:spacing w:line="253" w:lineRule="exact"/>
        <w:ind w:left="543" w:firstLine="0"/>
        <w:jc w:val="left"/>
      </w:pPr>
      <w:r>
        <w:t>使用单位在建筑起重机械租期结束</w:t>
      </w:r>
    </w:p>
    <w:p>
      <w:pPr>
        <w:pStyle w:val="6"/>
        <w:spacing w:before="123" w:line="295" w:lineRule="auto"/>
        <w:ind w:right="442" w:firstLine="0"/>
        <w:jc w:val="left"/>
        <w:rPr>
          <w:rFonts w:hint="eastAsia" w:ascii="MS UI Gothic" w:eastAsia="MS UI Gothic"/>
        </w:rPr>
      </w:pPr>
      <w:r>
        <w:br w:type="column"/>
      </w:r>
      <w:r>
        <w:t>后</w:t>
      </w:r>
      <w:r>
        <w:rPr>
          <w:rFonts w:hint="eastAsia" w:ascii="MS UI Gothic" w:eastAsia="MS UI Gothic"/>
          <w:w w:val="80"/>
        </w:rPr>
        <w:t xml:space="preserve">ꎬ </w:t>
      </w:r>
      <w:r>
        <w:t>应当将定期检查</w:t>
      </w:r>
      <w:r>
        <w:rPr>
          <w:rFonts w:hint="eastAsia" w:ascii="MS UI Gothic" w:eastAsia="MS UI Gothic"/>
        </w:rPr>
        <w:t xml:space="preserve">、 </w:t>
      </w:r>
      <w:r>
        <w:t>维护和保养记录移交出租单位</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建筑起重机械租赁合同对建筑起重机</w:t>
      </w:r>
      <w:r>
        <w:rPr>
          <w:spacing w:val="3"/>
        </w:rPr>
        <w:t>械的检查</w:t>
      </w:r>
      <w:r>
        <w:rPr>
          <w:rFonts w:hint="eastAsia" w:ascii="MS UI Gothic" w:eastAsia="MS UI Gothic"/>
          <w:spacing w:val="7"/>
          <w:w w:val="80"/>
        </w:rPr>
        <w:t xml:space="preserve">、 </w:t>
      </w:r>
      <w:r>
        <w:rPr>
          <w:spacing w:val="3"/>
        </w:rPr>
        <w:t>维护</w:t>
      </w:r>
      <w:r>
        <w:rPr>
          <w:rFonts w:hint="eastAsia" w:ascii="MS UI Gothic" w:eastAsia="MS UI Gothic"/>
          <w:spacing w:val="7"/>
          <w:w w:val="80"/>
        </w:rPr>
        <w:t xml:space="preserve">、 </w:t>
      </w:r>
      <w:r>
        <w:rPr>
          <w:spacing w:val="3"/>
        </w:rPr>
        <w:t>保养另有约定的</w:t>
      </w:r>
      <w:r>
        <w:rPr>
          <w:rFonts w:hint="eastAsia" w:ascii="MS UI Gothic" w:eastAsia="MS UI Gothic"/>
          <w:spacing w:val="7"/>
          <w:w w:val="80"/>
        </w:rPr>
        <w:t xml:space="preserve">ꎬ </w:t>
      </w:r>
      <w:r>
        <w:rPr>
          <w:spacing w:val="1"/>
        </w:rPr>
        <w:t>从其</w:t>
      </w:r>
      <w:r>
        <w:rPr>
          <w:spacing w:val="3"/>
        </w:rPr>
        <w:t>约定</w:t>
      </w:r>
      <w:r>
        <w:rPr>
          <w:rFonts w:hint="eastAsia" w:ascii="MS UI Gothic" w:eastAsia="MS UI Gothic"/>
          <w:w w:val="80"/>
        </w:rPr>
        <w:t>ꎮ</w:t>
      </w:r>
    </w:p>
    <w:p>
      <w:pPr>
        <w:pStyle w:val="6"/>
        <w:spacing w:line="295" w:lineRule="auto"/>
        <w:ind w:right="442"/>
        <w:rPr>
          <w:rFonts w:hint="eastAsia" w:ascii="MS UI Gothic" w:eastAsia="MS UI Gothic"/>
        </w:rPr>
      </w:pPr>
      <w:r>
        <w:rPr>
          <w:spacing w:val="2"/>
          <w:w w:val="105"/>
        </w:rPr>
        <w:t>第二十条 建筑起重机械在使用过程</w:t>
      </w:r>
      <w:r>
        <w:rPr>
          <w:spacing w:val="3"/>
        </w:rPr>
        <w:t>中需要附着的</w:t>
      </w:r>
      <w:r>
        <w:rPr>
          <w:rFonts w:hint="eastAsia" w:ascii="MS UI Gothic" w:eastAsia="MS UI Gothic"/>
          <w:spacing w:val="20"/>
          <w:w w:val="80"/>
        </w:rPr>
        <w:t xml:space="preserve">ꎬ </w:t>
      </w:r>
      <w:r>
        <w:rPr>
          <w:spacing w:val="2"/>
        </w:rPr>
        <w:t>使用单位应当委托原安装单位或者具有相应资质的安装单位按照专</w:t>
      </w:r>
      <w:r>
        <w:rPr>
          <w:spacing w:val="3"/>
        </w:rPr>
        <w:t>项施工方案实施</w:t>
      </w:r>
      <w:r>
        <w:rPr>
          <w:rFonts w:hint="eastAsia" w:ascii="MS UI Gothic" w:eastAsia="MS UI Gothic"/>
          <w:spacing w:val="20"/>
          <w:w w:val="80"/>
        </w:rPr>
        <w:t xml:space="preserve">ꎬ </w:t>
      </w:r>
      <w:r>
        <w:rPr>
          <w:spacing w:val="2"/>
        </w:rPr>
        <w:t>并按照本规定第十六条</w:t>
      </w:r>
      <w:r>
        <w:rPr>
          <w:spacing w:val="25"/>
        </w:rPr>
        <w:t>规定组织验收</w:t>
      </w:r>
      <w:r>
        <w:rPr>
          <w:rFonts w:hint="eastAsia" w:ascii="MS UI Gothic" w:eastAsia="MS UI Gothic"/>
          <w:spacing w:val="1"/>
          <w:w w:val="80"/>
        </w:rPr>
        <w:t xml:space="preserve">ꎮ </w:t>
      </w:r>
      <w:r>
        <w:rPr>
          <w:spacing w:val="30"/>
        </w:rPr>
        <w:t>验收合格后方可投入</w:t>
      </w:r>
      <w:r>
        <w:rPr>
          <w:spacing w:val="3"/>
          <w:w w:val="105"/>
        </w:rPr>
        <w:t>使用</w:t>
      </w:r>
      <w:r>
        <w:rPr>
          <w:rFonts w:hint="eastAsia" w:ascii="MS UI Gothic" w:eastAsia="MS UI Gothic"/>
          <w:w w:val="80"/>
        </w:rPr>
        <w:t>ꎮ</w:t>
      </w:r>
    </w:p>
    <w:p>
      <w:pPr>
        <w:pStyle w:val="6"/>
        <w:spacing w:line="295" w:lineRule="auto"/>
        <w:ind w:right="442"/>
        <w:rPr>
          <w:rFonts w:hint="eastAsia" w:ascii="MS UI Gothic" w:eastAsia="MS UI Gothic"/>
        </w:rPr>
      </w:pPr>
      <w:r>
        <w:t>建筑起重机械在使用过程中需要顶升的</w:t>
      </w:r>
      <w:r>
        <w:rPr>
          <w:rFonts w:hint="eastAsia" w:ascii="MS UI Gothic" w:eastAsia="MS UI Gothic"/>
          <w:w w:val="80"/>
        </w:rPr>
        <w:t xml:space="preserve">ꎬ </w:t>
      </w:r>
      <w:r>
        <w:t>使用单位委托原安装单位或者具有相应资质的安装单位按照专项施工方案实施</w:t>
      </w:r>
      <w:r>
        <w:rPr>
          <w:w w:val="105"/>
        </w:rPr>
        <w:t>后</w:t>
      </w:r>
      <w:r>
        <w:rPr>
          <w:rFonts w:hint="eastAsia" w:ascii="MS UI Gothic" w:eastAsia="MS UI Gothic"/>
          <w:w w:val="80"/>
        </w:rPr>
        <w:t xml:space="preserve">ꎬ </w:t>
      </w:r>
      <w:r>
        <w:rPr>
          <w:w w:val="105"/>
        </w:rPr>
        <w:t>即可投入使用</w:t>
      </w:r>
      <w:r>
        <w:rPr>
          <w:rFonts w:hint="eastAsia" w:ascii="MS UI Gothic" w:eastAsia="MS UI Gothic"/>
          <w:w w:val="80"/>
        </w:rPr>
        <w:t>ꎮ</w:t>
      </w:r>
    </w:p>
    <w:p>
      <w:pPr>
        <w:pStyle w:val="6"/>
        <w:spacing w:line="295" w:lineRule="auto"/>
        <w:ind w:right="442"/>
        <w:jc w:val="left"/>
        <w:rPr>
          <w:rFonts w:hint="eastAsia" w:ascii="MS UI Gothic" w:eastAsia="MS UI Gothic"/>
        </w:rPr>
      </w:pPr>
      <w:r>
        <w:t>禁止擅自在建筑起重机械上安装非原</w:t>
      </w:r>
      <w:r>
        <w:rPr>
          <w:w w:val="105"/>
        </w:rPr>
        <w:t>制造厂制造的标准节和附着装置</w:t>
      </w:r>
      <w:r>
        <w:rPr>
          <w:rFonts w:hint="eastAsia" w:ascii="MS UI Gothic" w:eastAsia="MS UI Gothic"/>
          <w:w w:val="80"/>
        </w:rPr>
        <w:t>ꎮ</w:t>
      </w:r>
    </w:p>
    <w:p>
      <w:pPr>
        <w:pStyle w:val="6"/>
        <w:tabs>
          <w:tab w:val="left" w:pos="1801"/>
        </w:tabs>
        <w:spacing w:line="295" w:lineRule="auto"/>
        <w:ind w:right="442"/>
        <w:jc w:val="left"/>
        <w:rPr>
          <w:rFonts w:hint="eastAsia" w:ascii="MS UI Gothic" w:eastAsia="MS UI Gothic"/>
        </w:rPr>
      </w:pPr>
      <w:r>
        <w:rPr>
          <w:spacing w:val="3"/>
          <w:w w:val="110"/>
        </w:rPr>
        <w:t>第二十一</w:t>
      </w:r>
      <w:r>
        <w:rPr>
          <w:w w:val="110"/>
        </w:rPr>
        <w:t>条</w:t>
      </w:r>
      <w:r>
        <w:rPr>
          <w:w w:val="110"/>
        </w:rPr>
        <w:tab/>
      </w:r>
      <w:r>
        <w:rPr>
          <w:spacing w:val="3"/>
        </w:rPr>
        <w:t>施工总承包单位应当</w:t>
      </w:r>
      <w:r>
        <w:t>履</w:t>
      </w:r>
      <w:r>
        <w:rPr>
          <w:spacing w:val="3"/>
          <w:w w:val="110"/>
        </w:rPr>
        <w:t>行下列安全职责</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向安装单位提供拟安装设备位</w:t>
      </w:r>
      <w:r>
        <w:t>置的基础施工资料</w:t>
      </w:r>
      <w:r>
        <w:rPr>
          <w:rFonts w:hint="eastAsia" w:ascii="MS UI Gothic" w:eastAsia="MS UI Gothic"/>
          <w:w w:val="80"/>
        </w:rPr>
        <w:t xml:space="preserve">ꎬ </w:t>
      </w:r>
      <w:r>
        <w:t>确保建筑起重机械进</w:t>
      </w:r>
      <w:r>
        <w:rPr>
          <w:w w:val="105"/>
        </w:rPr>
        <w:t>场安装</w:t>
      </w:r>
      <w:r>
        <w:rPr>
          <w:rFonts w:hint="eastAsia" w:ascii="MS UI Gothic" w:eastAsia="MS UI Gothic"/>
          <w:w w:val="80"/>
        </w:rPr>
        <w:t xml:space="preserve">、 </w:t>
      </w:r>
      <w:r>
        <w:rPr>
          <w:w w:val="105"/>
        </w:rPr>
        <w:t>拆卸所需的施工条件</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审核建筑起重机械的特种设备制造许可证</w:t>
      </w:r>
      <w:r>
        <w:rPr>
          <w:rFonts w:hint="eastAsia" w:ascii="MS UI Gothic" w:eastAsia="MS UI Gothic"/>
          <w:w w:val="80"/>
        </w:rPr>
        <w:t xml:space="preserve">、 </w:t>
      </w:r>
      <w:r>
        <w:rPr>
          <w:w w:val="105"/>
        </w:rPr>
        <w:t>产品合格证</w:t>
      </w:r>
      <w:r>
        <w:rPr>
          <w:rFonts w:hint="eastAsia" w:ascii="MS UI Gothic" w:eastAsia="MS UI Gothic"/>
          <w:w w:val="80"/>
        </w:rPr>
        <w:t xml:space="preserve">、 </w:t>
      </w:r>
      <w:r>
        <w:rPr>
          <w:w w:val="105"/>
        </w:rPr>
        <w:t>制造监督检验证明</w:t>
      </w:r>
      <w:r>
        <w:rPr>
          <w:rFonts w:hint="eastAsia" w:ascii="MS UI Gothic" w:eastAsia="MS UI Gothic"/>
          <w:w w:val="80"/>
        </w:rPr>
        <w:t xml:space="preserve">、 </w:t>
      </w:r>
      <w:r>
        <w:rPr>
          <w:w w:val="105"/>
        </w:rPr>
        <w:t>备案证明等文件</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审核安装单位</w:t>
      </w:r>
      <w:r>
        <w:rPr>
          <w:rFonts w:hint="eastAsia" w:ascii="MS UI Gothic" w:eastAsia="MS UI Gothic"/>
          <w:w w:val="80"/>
        </w:rPr>
        <w:t xml:space="preserve">、 </w:t>
      </w:r>
      <w:r>
        <w:rPr>
          <w:w w:val="105"/>
        </w:rPr>
        <w:t>使用单位的资质证书</w:t>
      </w:r>
      <w:r>
        <w:rPr>
          <w:rFonts w:hint="eastAsia" w:ascii="MS UI Gothic" w:eastAsia="MS UI Gothic"/>
          <w:w w:val="80"/>
        </w:rPr>
        <w:t xml:space="preserve">、 </w:t>
      </w:r>
      <w:r>
        <w:rPr>
          <w:w w:val="105"/>
        </w:rPr>
        <w:t>安全生产许可证和特种作业人员的特种作业操作资格证书</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审核安装单位制定的建筑起重机械安装</w:t>
      </w:r>
      <w:r>
        <w:rPr>
          <w:rFonts w:hint="eastAsia" w:ascii="MS UI Gothic" w:eastAsia="MS UI Gothic"/>
          <w:w w:val="80"/>
        </w:rPr>
        <w:t xml:space="preserve">、 </w:t>
      </w:r>
      <w:r>
        <w:rPr>
          <w:w w:val="105"/>
        </w:rPr>
        <w:t>拆卸工程专项施工方案和生产安全事故应急救援预案</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审核使用单位制定的建筑起重机械生产安全事故应急救援预案</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指定专职安全生产管理人员监督检查建筑起重机械安装</w:t>
      </w:r>
      <w:r>
        <w:rPr>
          <w:rFonts w:hint="eastAsia" w:ascii="MS UI Gothic" w:eastAsia="MS UI Gothic"/>
          <w:w w:val="80"/>
        </w:rPr>
        <w:t xml:space="preserve">、 </w:t>
      </w:r>
      <w:r>
        <w:rPr>
          <w:w w:val="105"/>
        </w:rPr>
        <w:t>拆卸</w:t>
      </w:r>
      <w:r>
        <w:rPr>
          <w:rFonts w:hint="eastAsia" w:ascii="MS UI Gothic" w:eastAsia="MS UI Gothic"/>
          <w:w w:val="80"/>
        </w:rPr>
        <w:t xml:space="preserve">、 </w:t>
      </w:r>
      <w:r>
        <w:rPr>
          <w:w w:val="105"/>
        </w:rPr>
        <w:t>使用情况</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施工现场有多台塔式起重机作</w:t>
      </w:r>
      <w:r>
        <w:t>业时</w:t>
      </w:r>
      <w:r>
        <w:rPr>
          <w:rFonts w:hint="eastAsia" w:ascii="MS UI Gothic" w:eastAsia="MS UI Gothic"/>
          <w:w w:val="80"/>
        </w:rPr>
        <w:t xml:space="preserve">ꎬ </w:t>
      </w:r>
      <w:r>
        <w:t>应当组织制定并实施防止塔式起重</w:t>
      </w:r>
      <w:r>
        <w:rPr>
          <w:w w:val="105"/>
        </w:rPr>
        <w:t>机相互碰撞的安全措施</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４４７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40" o:spid="_x0000_s2340" o:spt="203" style="height:2.15pt;width:398.25pt;" coordsize="7965,43">
            <o:lock v:ext="edit"/>
            <v:line id="_x0000_s2341" o:spid="_x0000_s2341" o:spt="20" style="position:absolute;left:0;top:39;height:0;width:7965;" stroked="t" coordsize="21600,21600">
              <v:path arrowok="t"/>
              <v:fill focussize="0,0"/>
              <v:stroke weight="0.388031496062992pt" color="#231F20"/>
              <v:imagedata o:title=""/>
              <o:lock v:ext="edit"/>
            </v:line>
            <v:line id="_x0000_s2342" o:spid="_x0000_s234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6"/>
        <w:ind w:left="0" w:firstLine="0"/>
        <w:jc w:val="left"/>
        <w:rPr>
          <w:rFonts w:ascii="MS UI Gothic"/>
          <w:sz w:val="8"/>
        </w:rPr>
      </w:pPr>
    </w:p>
    <w:p>
      <w:pPr>
        <w:spacing w:after="0"/>
        <w:jc w:val="left"/>
        <w:rPr>
          <w:rFonts w:ascii="MS UI Gothic"/>
          <w:sz w:val="8"/>
        </w:rPr>
        <w:sectPr>
          <w:type w:val="continuous"/>
          <w:pgSz w:w="10500" w:h="14750"/>
          <w:pgMar w:top="1400" w:right="980" w:bottom="280" w:left="980" w:header="720" w:footer="720" w:gutter="0"/>
        </w:sectPr>
      </w:pPr>
    </w:p>
    <w:p>
      <w:pPr>
        <w:pStyle w:val="6"/>
        <w:spacing w:before="85" w:line="295" w:lineRule="auto"/>
        <w:ind w:left="440" w:right="1"/>
        <w:rPr>
          <w:rFonts w:hint="eastAsia" w:ascii="MS UI Gothic" w:eastAsia="MS UI Gothic"/>
        </w:rPr>
      </w:pPr>
      <w:r>
        <w:rPr>
          <w:w w:val="105"/>
        </w:rPr>
        <w:t>第二十二条 监理单位应当履行下列</w:t>
      </w:r>
      <w:r>
        <w:rPr>
          <w:w w:val="110"/>
        </w:rPr>
        <w:t>安全职责</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审核建筑起重机械特种设备制造许可证</w:t>
      </w:r>
      <w:r>
        <w:rPr>
          <w:rFonts w:hint="eastAsia" w:ascii="MS UI Gothic" w:eastAsia="MS UI Gothic"/>
          <w:w w:val="80"/>
        </w:rPr>
        <w:t xml:space="preserve">、 </w:t>
      </w:r>
      <w:r>
        <w:rPr>
          <w:w w:val="105"/>
        </w:rPr>
        <w:t>产品合格证</w:t>
      </w:r>
      <w:r>
        <w:rPr>
          <w:rFonts w:hint="eastAsia" w:ascii="MS UI Gothic" w:eastAsia="MS UI Gothic"/>
          <w:w w:val="80"/>
        </w:rPr>
        <w:t xml:space="preserve">、 </w:t>
      </w:r>
      <w:r>
        <w:rPr>
          <w:w w:val="105"/>
        </w:rPr>
        <w:t>制造监督检验证明</w:t>
      </w:r>
      <w:r>
        <w:rPr>
          <w:rFonts w:hint="eastAsia" w:ascii="MS UI Gothic" w:eastAsia="MS UI Gothic"/>
          <w:w w:val="80"/>
        </w:rPr>
        <w:t xml:space="preserve">、 </w:t>
      </w:r>
      <w:r>
        <w:rPr>
          <w:w w:val="105"/>
        </w:rPr>
        <w:t>备案证明等文件</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审核建筑起重机械安装单位</w:t>
      </w:r>
      <w:r>
        <w:rPr>
          <w:rFonts w:hint="eastAsia" w:ascii="MS UI Gothic" w:eastAsia="MS UI Gothic"/>
          <w:w w:val="80"/>
        </w:rPr>
        <w:t>、</w:t>
      </w:r>
      <w:r>
        <w:rPr>
          <w:w w:val="105"/>
        </w:rPr>
        <w:t>使用单位的资质证书</w:t>
      </w:r>
      <w:r>
        <w:rPr>
          <w:rFonts w:hint="eastAsia" w:ascii="MS UI Gothic" w:eastAsia="MS UI Gothic"/>
          <w:w w:val="80"/>
        </w:rPr>
        <w:t xml:space="preserve">、 </w:t>
      </w:r>
      <w:r>
        <w:rPr>
          <w:w w:val="105"/>
        </w:rPr>
        <w:t>安全生产许可证和</w:t>
      </w:r>
      <w:r>
        <w:t>特种作业人员的特种作业操作资格证书</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审核建筑起重机械安装</w:t>
      </w:r>
      <w:r>
        <w:rPr>
          <w:rFonts w:hint="eastAsia" w:ascii="MS UI Gothic" w:eastAsia="MS UI Gothic"/>
          <w:w w:val="80"/>
        </w:rPr>
        <w:t xml:space="preserve">、 </w:t>
      </w:r>
      <w:r>
        <w:rPr>
          <w:w w:val="105"/>
        </w:rPr>
        <w:t>拆卸工程专项施工方案</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监督安装单位执行建筑起重机械安装</w:t>
      </w:r>
      <w:r>
        <w:rPr>
          <w:rFonts w:hint="eastAsia" w:ascii="MS UI Gothic" w:eastAsia="MS UI Gothic"/>
          <w:w w:val="80"/>
        </w:rPr>
        <w:t xml:space="preserve">、 </w:t>
      </w:r>
      <w:r>
        <w:rPr>
          <w:w w:val="105"/>
        </w:rPr>
        <w:t>拆卸工程专项施工方案情况</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监督检查建筑起重机械的使用</w:t>
      </w:r>
      <w:r>
        <w:rPr>
          <w:w w:val="110"/>
        </w:rPr>
        <w:t>情况</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发现存在生产安全事故隐患的</w:t>
      </w:r>
      <w:r>
        <w:rPr>
          <w:rFonts w:hint="eastAsia" w:ascii="MS UI Gothic" w:eastAsia="MS UI Gothic"/>
          <w:w w:val="80"/>
        </w:rPr>
        <w:t xml:space="preserve">ꎬ </w:t>
      </w:r>
      <w:r>
        <w:rPr>
          <w:w w:val="105"/>
        </w:rPr>
        <w:t>应当要求安装单位</w:t>
      </w:r>
      <w:r>
        <w:rPr>
          <w:rFonts w:hint="eastAsia" w:ascii="MS UI Gothic" w:eastAsia="MS UI Gothic"/>
          <w:w w:val="80"/>
        </w:rPr>
        <w:t xml:space="preserve">、 </w:t>
      </w:r>
      <w:r>
        <w:rPr>
          <w:w w:val="105"/>
        </w:rPr>
        <w:t>使用单位限期整</w:t>
      </w:r>
      <w:r>
        <w:t>改</w:t>
      </w:r>
      <w:r>
        <w:rPr>
          <w:rFonts w:hint="eastAsia" w:ascii="MS UI Gothic" w:eastAsia="MS UI Gothic"/>
          <w:w w:val="80"/>
        </w:rPr>
        <w:t xml:space="preserve">ꎬ </w:t>
      </w:r>
      <w:r>
        <w:t>对安装单位</w:t>
      </w:r>
      <w:r>
        <w:rPr>
          <w:rFonts w:hint="eastAsia" w:ascii="MS UI Gothic" w:eastAsia="MS UI Gothic"/>
          <w:w w:val="80"/>
        </w:rPr>
        <w:t xml:space="preserve">、 </w:t>
      </w:r>
      <w:r>
        <w:t>使用单位拒不整改的</w:t>
      </w:r>
      <w:r>
        <w:rPr>
          <w:rFonts w:hint="eastAsia" w:ascii="MS UI Gothic" w:eastAsia="MS UI Gothic"/>
          <w:w w:val="80"/>
        </w:rPr>
        <w:t>ꎬ</w:t>
      </w:r>
      <w:r>
        <w:rPr>
          <w:w w:val="105"/>
        </w:rPr>
        <w:t>及时向建设单位报告</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第二十三条 依法发包给两个及两个</w:t>
      </w:r>
      <w:r>
        <w:t>以上施工单位的工程</w:t>
      </w:r>
      <w:r>
        <w:rPr>
          <w:rFonts w:hint="eastAsia" w:ascii="MS UI Gothic" w:eastAsia="MS UI Gothic"/>
          <w:w w:val="80"/>
        </w:rPr>
        <w:t xml:space="preserve">ꎬ </w:t>
      </w:r>
      <w:r>
        <w:t>不同施工单位在同一施工现场使用多台塔式起重机作业时</w:t>
      </w:r>
      <w:r>
        <w:rPr>
          <w:rFonts w:hint="eastAsia" w:ascii="MS UI Gothic" w:eastAsia="MS UI Gothic"/>
          <w:w w:val="80"/>
        </w:rPr>
        <w:t>ꎬ</w:t>
      </w:r>
      <w:r>
        <w:t>建设单位应当协调组织制定防止塔式起重</w:t>
      </w:r>
      <w:r>
        <w:rPr>
          <w:w w:val="105"/>
        </w:rPr>
        <w:t>机相互碰撞的安全措施</w:t>
      </w:r>
      <w:r>
        <w:rPr>
          <w:rFonts w:hint="eastAsia" w:ascii="MS UI Gothic" w:eastAsia="MS UI Gothic"/>
          <w:w w:val="80"/>
        </w:rPr>
        <w:t>ꎮ</w:t>
      </w:r>
    </w:p>
    <w:p>
      <w:pPr>
        <w:pStyle w:val="6"/>
        <w:spacing w:line="295" w:lineRule="auto"/>
        <w:ind w:left="440" w:right="1"/>
        <w:rPr>
          <w:rFonts w:hint="eastAsia" w:ascii="MS UI Gothic" w:eastAsia="MS UI Gothic"/>
        </w:rPr>
      </w:pPr>
      <w:r>
        <w:t>安装单位</w:t>
      </w:r>
      <w:r>
        <w:rPr>
          <w:rFonts w:hint="eastAsia" w:ascii="MS UI Gothic" w:eastAsia="MS UI Gothic"/>
          <w:w w:val="80"/>
        </w:rPr>
        <w:t xml:space="preserve">、 </w:t>
      </w:r>
      <w:r>
        <w:t>使用单位拒不整改生产安全事故隐患的</w:t>
      </w:r>
      <w:r>
        <w:rPr>
          <w:rFonts w:hint="eastAsia" w:ascii="MS UI Gothic" w:eastAsia="MS UI Gothic"/>
          <w:w w:val="80"/>
        </w:rPr>
        <w:t xml:space="preserve">ꎬ </w:t>
      </w:r>
      <w:r>
        <w:t>建设单位接到监理单位报告后</w:t>
      </w:r>
      <w:r>
        <w:rPr>
          <w:rFonts w:hint="eastAsia" w:ascii="MS UI Gothic" w:eastAsia="MS UI Gothic"/>
          <w:w w:val="80"/>
        </w:rPr>
        <w:t xml:space="preserve">ꎬ </w:t>
      </w:r>
      <w:r>
        <w:t>应当责令安装单位</w:t>
      </w:r>
      <w:r>
        <w:rPr>
          <w:rFonts w:hint="eastAsia" w:ascii="MS UI Gothic" w:eastAsia="MS UI Gothic"/>
          <w:w w:val="80"/>
        </w:rPr>
        <w:t xml:space="preserve">、 </w:t>
      </w:r>
      <w:r>
        <w:t>使用单位立即停工整改</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第二十四条 建筑起重机械特种作业</w:t>
      </w:r>
      <w:r>
        <w:t>人员应当遵守建筑起重机械安全操作规程和安全管理制度</w:t>
      </w:r>
      <w:r>
        <w:rPr>
          <w:rFonts w:hint="eastAsia" w:ascii="MS UI Gothic" w:eastAsia="MS UI Gothic"/>
          <w:w w:val="80"/>
        </w:rPr>
        <w:t xml:space="preserve">ꎬ </w:t>
      </w:r>
      <w:r>
        <w:t>在作业中有权拒绝违章指挥和强令冒险作业</w:t>
      </w:r>
      <w:r>
        <w:rPr>
          <w:rFonts w:hint="eastAsia" w:ascii="MS UI Gothic" w:eastAsia="MS UI Gothic"/>
          <w:w w:val="80"/>
        </w:rPr>
        <w:t xml:space="preserve">ꎬ </w:t>
      </w:r>
      <w:r>
        <w:t>有权在发生危及人身安全的紧急情况时立即停止作业或者采</w:t>
      </w:r>
      <w:r>
        <w:rPr>
          <w:w w:val="105"/>
        </w:rPr>
        <w:t>取必要的应急措施后撤离危险区域</w:t>
      </w:r>
      <w:r>
        <w:rPr>
          <w:rFonts w:hint="eastAsia" w:ascii="MS UI Gothic" w:eastAsia="MS UI Gothic"/>
          <w:w w:val="80"/>
        </w:rPr>
        <w:t>ꎮ</w:t>
      </w:r>
    </w:p>
    <w:p>
      <w:pPr>
        <w:pStyle w:val="6"/>
        <w:spacing w:line="295" w:lineRule="auto"/>
        <w:ind w:left="440" w:right="1"/>
        <w:rPr>
          <w:rFonts w:hint="eastAsia" w:ascii="MS UI Gothic" w:eastAsia="MS UI Gothic"/>
        </w:rPr>
      </w:pPr>
      <w:r>
        <w:t>第二十五条 建筑起重机械安装拆卸工</w:t>
      </w:r>
      <w:r>
        <w:rPr>
          <w:rFonts w:hint="eastAsia" w:ascii="MS UI Gothic" w:eastAsia="MS UI Gothic"/>
          <w:w w:val="80"/>
        </w:rPr>
        <w:t xml:space="preserve">、 </w:t>
      </w:r>
      <w:r>
        <w:t>起重信号工</w:t>
      </w:r>
      <w:r>
        <w:rPr>
          <w:rFonts w:hint="eastAsia" w:ascii="MS UI Gothic" w:eastAsia="MS UI Gothic"/>
          <w:w w:val="80"/>
        </w:rPr>
        <w:t xml:space="preserve">、 </w:t>
      </w:r>
      <w:r>
        <w:t>起重司机</w:t>
      </w:r>
      <w:r>
        <w:rPr>
          <w:rFonts w:hint="eastAsia" w:ascii="MS UI Gothic" w:eastAsia="MS UI Gothic"/>
          <w:w w:val="80"/>
        </w:rPr>
        <w:t xml:space="preserve">、 </w:t>
      </w:r>
      <w:r>
        <w:t>司索工等特种作业人员应当经建设主管部门考核合格</w:t>
      </w:r>
      <w:r>
        <w:rPr>
          <w:rFonts w:hint="eastAsia" w:ascii="MS UI Gothic" w:eastAsia="MS UI Gothic"/>
          <w:w w:val="80"/>
        </w:rPr>
        <w:t xml:space="preserve">ꎬ </w:t>
      </w:r>
      <w:r>
        <w:t>并取得特种作业操作资格证书后</w:t>
      </w:r>
      <w:r>
        <w:rPr>
          <w:rFonts w:hint="eastAsia" w:ascii="MS UI Gothic" w:eastAsia="MS UI Gothic"/>
          <w:w w:val="80"/>
        </w:rPr>
        <w:t xml:space="preserve">ꎬ </w:t>
      </w:r>
      <w:r>
        <w:t>方可上岗作业</w:t>
      </w:r>
      <w:r>
        <w:rPr>
          <w:rFonts w:hint="eastAsia" w:ascii="MS UI Gothic" w:eastAsia="MS UI Gothic"/>
          <w:w w:val="80"/>
        </w:rPr>
        <w:t>ꎮ</w:t>
      </w:r>
    </w:p>
    <w:p>
      <w:pPr>
        <w:pStyle w:val="6"/>
        <w:spacing w:line="252" w:lineRule="exact"/>
        <w:ind w:left="860" w:firstLine="0"/>
        <w:jc w:val="left"/>
      </w:pPr>
      <w:r>
        <w:t>省</w:t>
      </w:r>
      <w:r>
        <w:rPr>
          <w:rFonts w:hint="eastAsia" w:ascii="MS UI Gothic" w:eastAsia="MS UI Gothic"/>
        </w:rPr>
        <w:t xml:space="preserve">、 </w:t>
      </w:r>
      <w:r>
        <w:t>自治区</w:t>
      </w:r>
      <w:r>
        <w:rPr>
          <w:rFonts w:hint="eastAsia" w:ascii="MS UI Gothic" w:eastAsia="MS UI Gothic"/>
        </w:rPr>
        <w:t xml:space="preserve">、 </w:t>
      </w:r>
      <w:r>
        <w:t>直辖市人民政府建设主</w:t>
      </w:r>
    </w:p>
    <w:p>
      <w:pPr>
        <w:pStyle w:val="6"/>
        <w:spacing w:before="85" w:line="295" w:lineRule="auto"/>
        <w:ind w:left="381" w:right="126" w:firstLine="0"/>
        <w:jc w:val="left"/>
        <w:rPr>
          <w:rFonts w:hint="eastAsia" w:ascii="MS UI Gothic" w:eastAsia="MS UI Gothic"/>
        </w:rPr>
      </w:pPr>
      <w:r>
        <w:br w:type="column"/>
      </w:r>
      <w:r>
        <w:t>管部门负责组织实施建筑施工企业特种作</w:t>
      </w:r>
      <w:r>
        <w:rPr>
          <w:w w:val="105"/>
        </w:rPr>
        <w:t>业人员的考核</w:t>
      </w:r>
      <w:r>
        <w:rPr>
          <w:rFonts w:hint="eastAsia" w:ascii="MS UI Gothic" w:eastAsia="MS UI Gothic"/>
          <w:w w:val="80"/>
        </w:rPr>
        <w:t>ꎮ</w:t>
      </w:r>
    </w:p>
    <w:p>
      <w:pPr>
        <w:pStyle w:val="6"/>
        <w:spacing w:line="295" w:lineRule="auto"/>
        <w:ind w:left="381" w:right="126"/>
        <w:rPr>
          <w:rFonts w:hint="eastAsia" w:ascii="MS UI Gothic" w:eastAsia="MS UI Gothic"/>
        </w:rPr>
      </w:pPr>
      <w:r>
        <w:t>特种作业人员的特种作业操作资格证书由国务院建设主管部门规定统一的</w:t>
      </w:r>
      <w:r>
        <w:rPr>
          <w:w w:val="105"/>
        </w:rPr>
        <w:t>样式</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第二十六条 建设主管部门履行安全</w:t>
      </w:r>
      <w:r>
        <w:rPr>
          <w:w w:val="110"/>
        </w:rPr>
        <w:t>监督检查职责时</w:t>
      </w:r>
      <w:r>
        <w:rPr>
          <w:rFonts w:hint="eastAsia" w:ascii="MS UI Gothic" w:eastAsia="MS UI Gothic"/>
          <w:w w:val="80"/>
        </w:rPr>
        <w:t xml:space="preserve">ꎬ </w:t>
      </w:r>
      <w:r>
        <w:rPr>
          <w:w w:val="110"/>
        </w:rPr>
        <w:t>有权采取下列措施</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要求被检查的单位提供有关建</w:t>
      </w:r>
      <w:r>
        <w:rPr>
          <w:w w:val="110"/>
        </w:rPr>
        <w:t>筑起重机械的文件和资料</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进入被检查单位和被检查单位</w:t>
      </w:r>
      <w:r>
        <w:rPr>
          <w:w w:val="110"/>
        </w:rPr>
        <w:t>的施工现场进行检查</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对检查中发现的建筑起重机械</w:t>
      </w:r>
      <w:r>
        <w:t>生产安全事故隐患</w:t>
      </w:r>
      <w:r>
        <w:rPr>
          <w:rFonts w:hint="eastAsia" w:ascii="MS UI Gothic" w:eastAsia="MS UI Gothic"/>
          <w:w w:val="80"/>
        </w:rPr>
        <w:t xml:space="preserve">ꎬ </w:t>
      </w:r>
      <w:r>
        <w:t>责令立即排除</w:t>
      </w:r>
      <w:r>
        <w:rPr>
          <w:rFonts w:hint="eastAsia" w:ascii="MS UI Gothic" w:eastAsia="MS UI Gothic"/>
          <w:w w:val="80"/>
        </w:rPr>
        <w:t xml:space="preserve">ꎻ </w:t>
      </w:r>
      <w:r>
        <w:t>重大生产安全事故隐患排除前或者排除过程中无法保证安全的</w:t>
      </w:r>
      <w:r>
        <w:rPr>
          <w:rFonts w:hint="eastAsia" w:ascii="MS UI Gothic" w:eastAsia="MS UI Gothic"/>
          <w:w w:val="80"/>
        </w:rPr>
        <w:t xml:space="preserve">ꎬ </w:t>
      </w:r>
      <w:r>
        <w:t>责令从危险区域撤出作</w:t>
      </w:r>
      <w:r>
        <w:rPr>
          <w:w w:val="105"/>
        </w:rPr>
        <w:t>业人员或者暂时停止施工</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第二十七条 负责办理备案或者登记</w:t>
      </w:r>
      <w:r>
        <w:t>的建设主管部门应当建立本行政区域内的建筑起重机械档案</w:t>
      </w:r>
      <w:r>
        <w:rPr>
          <w:rFonts w:hint="eastAsia" w:ascii="MS UI Gothic" w:eastAsia="MS UI Gothic"/>
          <w:w w:val="80"/>
        </w:rPr>
        <w:t xml:space="preserve">ꎬ </w:t>
      </w:r>
      <w:r>
        <w:t>按照有关规定对建筑起重机械进行统一编号</w:t>
      </w:r>
      <w:r>
        <w:rPr>
          <w:rFonts w:hint="eastAsia" w:ascii="MS UI Gothic" w:eastAsia="MS UI Gothic"/>
          <w:w w:val="80"/>
        </w:rPr>
        <w:t xml:space="preserve">ꎬ </w:t>
      </w:r>
      <w:r>
        <w:t>并定期向社会公</w:t>
      </w:r>
      <w:r>
        <w:rPr>
          <w:w w:val="105"/>
        </w:rPr>
        <w:t>布建筑起重机械的安全状况</w:t>
      </w:r>
      <w:r>
        <w:rPr>
          <w:rFonts w:hint="eastAsia" w:ascii="MS UI Gothic" w:eastAsia="MS UI Gothic"/>
          <w:w w:val="80"/>
        </w:rPr>
        <w:t>ꎮ</w:t>
      </w:r>
    </w:p>
    <w:p>
      <w:pPr>
        <w:pStyle w:val="6"/>
        <w:spacing w:line="295" w:lineRule="auto"/>
        <w:ind w:left="381" w:right="124"/>
        <w:rPr>
          <w:rFonts w:hint="eastAsia" w:ascii="MS UI Gothic" w:eastAsia="MS UI Gothic"/>
        </w:rPr>
      </w:pPr>
      <w:r>
        <w:t>第二十八条 违反本规定</w:t>
      </w:r>
      <w:r>
        <w:rPr>
          <w:rFonts w:hint="eastAsia" w:ascii="MS UI Gothic" w:eastAsia="MS UI Gothic"/>
          <w:w w:val="85"/>
        </w:rPr>
        <w:t xml:space="preserve">ꎬ </w:t>
      </w:r>
      <w:r>
        <w:t>出租单位</w:t>
      </w:r>
      <w:r>
        <w:rPr>
          <w:rFonts w:hint="eastAsia" w:ascii="MS UI Gothic" w:eastAsia="MS UI Gothic"/>
          <w:w w:val="85"/>
        </w:rPr>
        <w:t xml:space="preserve">、 </w:t>
      </w:r>
      <w:r>
        <w:t>自购建筑起重机械的使用单位</w:t>
      </w:r>
      <w:r>
        <w:rPr>
          <w:rFonts w:hint="eastAsia" w:ascii="MS UI Gothic" w:eastAsia="MS UI Gothic"/>
          <w:w w:val="85"/>
        </w:rPr>
        <w:t xml:space="preserve">ꎬ </w:t>
      </w:r>
      <w:r>
        <w:t>有下列行为之一的</w:t>
      </w:r>
      <w:r>
        <w:rPr>
          <w:rFonts w:hint="eastAsia" w:ascii="MS UI Gothic" w:eastAsia="MS UI Gothic"/>
          <w:w w:val="85"/>
        </w:rPr>
        <w:t xml:space="preserve">ꎬ </w:t>
      </w:r>
      <w:r>
        <w:t>由县级以上地方人民政府建设主管部门责令限期改正</w:t>
      </w:r>
      <w:r>
        <w:rPr>
          <w:rFonts w:hint="eastAsia" w:ascii="MS UI Gothic" w:eastAsia="MS UI Gothic"/>
          <w:w w:val="85"/>
        </w:rPr>
        <w:t xml:space="preserve">ꎬ </w:t>
      </w:r>
      <w:r>
        <w:t>予以警告</w:t>
      </w:r>
      <w:r>
        <w:rPr>
          <w:rFonts w:hint="eastAsia" w:ascii="MS UI Gothic" w:eastAsia="MS UI Gothic"/>
          <w:w w:val="85"/>
        </w:rPr>
        <w:t>ꎬ</w:t>
      </w:r>
      <w:r>
        <w:t xml:space="preserve">并处以 </w:t>
      </w:r>
      <w:r>
        <w:rPr>
          <w:rFonts w:hint="eastAsia" w:ascii="MS UI Gothic" w:eastAsia="MS UI Gothic"/>
          <w:w w:val="85"/>
        </w:rPr>
        <w:t xml:space="preserve">５０００ </w:t>
      </w:r>
      <w:r>
        <w:t xml:space="preserve">元以上 </w:t>
      </w:r>
      <w:r>
        <w:rPr>
          <w:rFonts w:hint="eastAsia" w:ascii="MS UI Gothic" w:eastAsia="MS UI Gothic"/>
          <w:w w:val="85"/>
        </w:rPr>
        <w:t xml:space="preserve">１ </w:t>
      </w:r>
      <w:r>
        <w:t>万元以下罚款</w:t>
      </w:r>
      <w:r>
        <w:rPr>
          <w:rFonts w:hint="eastAsia" w:ascii="MS UI Gothic" w:eastAsia="MS UI Gothic"/>
          <w:w w:val="225"/>
        </w:rPr>
        <w:t>:</w:t>
      </w:r>
    </w:p>
    <w:p>
      <w:pPr>
        <w:pStyle w:val="6"/>
        <w:spacing w:line="252" w:lineRule="exact"/>
        <w:ind w:left="800" w:firstLine="0"/>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未按照规定办理备案的</w:t>
      </w:r>
      <w:r>
        <w:rPr>
          <w:rFonts w:hint="eastAsia" w:ascii="MS UI Gothic" w:eastAsia="MS UI Gothic"/>
          <w:w w:val="80"/>
        </w:rPr>
        <w:t>ꎻ</w:t>
      </w:r>
    </w:p>
    <w:p>
      <w:pPr>
        <w:pStyle w:val="6"/>
        <w:spacing w:before="41"/>
        <w:ind w:left="800" w:firstLine="0"/>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未按照规定办理注销手续的</w:t>
      </w:r>
      <w:r>
        <w:rPr>
          <w:rFonts w:hint="eastAsia" w:ascii="MS UI Gothic" w:eastAsia="MS UI Gothic"/>
          <w:w w:val="80"/>
        </w:rPr>
        <w:t>ꎻ</w:t>
      </w:r>
    </w:p>
    <w:p>
      <w:pPr>
        <w:pStyle w:val="6"/>
        <w:spacing w:before="58" w:line="295" w:lineRule="auto"/>
        <w:ind w:left="381"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未按照规定建立建筑起重机械</w:t>
      </w:r>
      <w:r>
        <w:rPr>
          <w:w w:val="110"/>
        </w:rPr>
        <w:t>安全技术档案的</w:t>
      </w:r>
      <w:r>
        <w:rPr>
          <w:rFonts w:hint="eastAsia" w:ascii="MS UI Gothic" w:eastAsia="MS UI Gothic"/>
          <w:w w:val="80"/>
        </w:rPr>
        <w:t>ꎮ</w:t>
      </w:r>
    </w:p>
    <w:p>
      <w:pPr>
        <w:pStyle w:val="6"/>
        <w:tabs>
          <w:tab w:val="left" w:pos="2057"/>
        </w:tabs>
        <w:spacing w:line="295" w:lineRule="auto"/>
        <w:ind w:left="381" w:right="124"/>
        <w:jc w:val="right"/>
        <w:rPr>
          <w:rFonts w:hint="eastAsia" w:ascii="MS UI Gothic" w:eastAsia="MS UI Gothic"/>
        </w:rPr>
      </w:pPr>
      <w:r>
        <w:pict>
          <v:shape id="_x0000_s2343" o:spid="_x0000_s2343" o:spt="202" type="#_x0000_t202" style="position:absolute;left:0pt;margin-left:280.6pt;margin-top:74.85pt;height:24.35pt;width:5.15pt;mso-position-horizontal-relative:page;z-index:-275572736;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rPr>
                  </w:pPr>
                  <w:r>
                    <w:rPr>
                      <w:rFonts w:ascii="MS UI Gothic"/>
                      <w:w w:val="168"/>
                    </w:rPr>
                    <w:t>(</w:t>
                  </w:r>
                </w:p>
              </w:txbxContent>
            </v:textbox>
          </v:shape>
        </w:pict>
      </w:r>
      <w:r>
        <w:rPr>
          <w:spacing w:val="3"/>
          <w:w w:val="105"/>
        </w:rPr>
        <w:t>第二十九</w:t>
      </w:r>
      <w:r>
        <w:rPr>
          <w:w w:val="105"/>
        </w:rPr>
        <w:t>条</w:t>
      </w:r>
      <w:r>
        <w:rPr>
          <w:w w:val="105"/>
        </w:rPr>
        <w:tab/>
      </w:r>
      <w:r>
        <w:rPr>
          <w:spacing w:val="3"/>
        </w:rPr>
        <w:t>违反本规定</w:t>
      </w:r>
      <w:r>
        <w:rPr>
          <w:rFonts w:hint="eastAsia" w:ascii="MS UI Gothic" w:eastAsia="MS UI Gothic"/>
          <w:w w:val="85"/>
        </w:rPr>
        <w:t>ꎬ</w:t>
      </w:r>
      <w:r>
        <w:rPr>
          <w:rFonts w:hint="eastAsia" w:ascii="MS UI Gothic" w:eastAsia="MS UI Gothic"/>
          <w:spacing w:val="38"/>
          <w:w w:val="85"/>
        </w:rPr>
        <w:t xml:space="preserve"> </w:t>
      </w:r>
      <w:r>
        <w:rPr>
          <w:spacing w:val="3"/>
        </w:rPr>
        <w:t>安装单</w:t>
      </w:r>
      <w:r>
        <w:t>位</w:t>
      </w:r>
      <w:r>
        <w:rPr>
          <w:spacing w:val="3"/>
        </w:rPr>
        <w:t>有下列行为之一的</w:t>
      </w:r>
      <w:r>
        <w:rPr>
          <w:rFonts w:hint="eastAsia" w:ascii="MS UI Gothic" w:eastAsia="MS UI Gothic"/>
          <w:w w:val="85"/>
        </w:rPr>
        <w:t>ꎬ</w:t>
      </w:r>
      <w:r>
        <w:rPr>
          <w:rFonts w:hint="eastAsia" w:ascii="MS UI Gothic" w:eastAsia="MS UI Gothic"/>
          <w:spacing w:val="32"/>
          <w:w w:val="85"/>
        </w:rPr>
        <w:t xml:space="preserve"> </w:t>
      </w:r>
      <w:r>
        <w:rPr>
          <w:spacing w:val="3"/>
        </w:rPr>
        <w:t>由县级以上地方人</w:t>
      </w:r>
      <w:r>
        <w:t>民</w:t>
      </w:r>
      <w:r>
        <w:rPr>
          <w:spacing w:val="3"/>
        </w:rPr>
        <w:t>政府建设主管部门责令限期改正</w:t>
      </w:r>
      <w:r>
        <w:rPr>
          <w:rFonts w:hint="eastAsia" w:ascii="MS UI Gothic" w:eastAsia="MS UI Gothic"/>
          <w:w w:val="85"/>
        </w:rPr>
        <w:t>ꎬ</w:t>
      </w:r>
      <w:r>
        <w:rPr>
          <w:rFonts w:hint="eastAsia" w:ascii="MS UI Gothic" w:eastAsia="MS UI Gothic"/>
          <w:spacing w:val="32"/>
          <w:w w:val="85"/>
        </w:rPr>
        <w:t xml:space="preserve"> </w:t>
      </w:r>
      <w:r>
        <w:rPr>
          <w:spacing w:val="3"/>
        </w:rPr>
        <w:t>予以</w:t>
      </w:r>
      <w:r>
        <w:t>警</w:t>
      </w:r>
      <w:r>
        <w:rPr>
          <w:spacing w:val="3"/>
          <w:w w:val="105"/>
        </w:rPr>
        <w:t>告</w:t>
      </w:r>
      <w:r>
        <w:rPr>
          <w:rFonts w:hint="eastAsia" w:ascii="MS UI Gothic" w:eastAsia="MS UI Gothic"/>
          <w:w w:val="85"/>
        </w:rPr>
        <w:t>ꎬ</w:t>
      </w:r>
      <w:r>
        <w:rPr>
          <w:rFonts w:hint="eastAsia" w:ascii="MS UI Gothic" w:eastAsia="MS UI Gothic"/>
          <w:spacing w:val="-5"/>
          <w:w w:val="85"/>
        </w:rPr>
        <w:t xml:space="preserve"> </w:t>
      </w:r>
      <w:r>
        <w:rPr>
          <w:spacing w:val="3"/>
          <w:w w:val="105"/>
        </w:rPr>
        <w:t>并处</w:t>
      </w:r>
      <w:r>
        <w:rPr>
          <w:w w:val="105"/>
        </w:rPr>
        <w:t>以</w:t>
      </w:r>
      <w:r>
        <w:rPr>
          <w:spacing w:val="-83"/>
          <w:w w:val="105"/>
        </w:rPr>
        <w:t xml:space="preserve"> </w:t>
      </w:r>
      <w:r>
        <w:rPr>
          <w:rFonts w:hint="eastAsia" w:ascii="MS UI Gothic" w:eastAsia="MS UI Gothic"/>
          <w:w w:val="85"/>
        </w:rPr>
        <w:t>５０００</w:t>
      </w:r>
      <w:r>
        <w:rPr>
          <w:rFonts w:hint="eastAsia" w:ascii="MS UI Gothic" w:eastAsia="MS UI Gothic"/>
          <w:spacing w:val="-26"/>
          <w:w w:val="85"/>
        </w:rPr>
        <w:t xml:space="preserve"> </w:t>
      </w:r>
      <w:r>
        <w:rPr>
          <w:spacing w:val="3"/>
          <w:w w:val="105"/>
        </w:rPr>
        <w:t>元以</w:t>
      </w:r>
      <w:r>
        <w:rPr>
          <w:w w:val="105"/>
        </w:rPr>
        <w:t>上</w:t>
      </w:r>
      <w:r>
        <w:rPr>
          <w:spacing w:val="-82"/>
          <w:w w:val="105"/>
        </w:rPr>
        <w:t xml:space="preserve"> </w:t>
      </w:r>
      <w:r>
        <w:rPr>
          <w:rFonts w:hint="eastAsia" w:ascii="MS UI Gothic" w:eastAsia="MS UI Gothic"/>
          <w:w w:val="85"/>
        </w:rPr>
        <w:t>３</w:t>
      </w:r>
      <w:r>
        <w:rPr>
          <w:rFonts w:hint="eastAsia" w:ascii="MS UI Gothic" w:eastAsia="MS UI Gothic"/>
          <w:spacing w:val="-26"/>
          <w:w w:val="85"/>
        </w:rPr>
        <w:t xml:space="preserve"> </w:t>
      </w:r>
      <w:r>
        <w:rPr>
          <w:spacing w:val="3"/>
          <w:w w:val="105"/>
        </w:rPr>
        <w:t>万元以下罚款</w:t>
      </w:r>
      <w:r>
        <w:rPr>
          <w:rFonts w:hint="eastAsia" w:ascii="MS UI Gothic" w:eastAsia="MS UI Gothic"/>
          <w:w w:val="225"/>
        </w:rPr>
        <w:t>:</w:t>
      </w:r>
      <w:r>
        <w:rPr>
          <w:rFonts w:hint="eastAsia" w:ascii="MS UI Gothic" w:eastAsia="MS UI Gothic"/>
          <w:w w:val="253"/>
        </w:rPr>
        <w:t xml:space="preserve">  </w:t>
      </w:r>
      <w:r>
        <w:rPr>
          <w:rFonts w:hint="eastAsia" w:ascii="MS UI Gothic" w:eastAsia="MS UI Gothic"/>
          <w:w w:val="150"/>
        </w:rPr>
        <w:t>(</w:t>
      </w:r>
      <w:r>
        <w:rPr>
          <w:rFonts w:hint="eastAsia" w:ascii="MS UI Gothic" w:eastAsia="MS UI Gothic"/>
          <w:spacing w:val="-71"/>
          <w:w w:val="150"/>
        </w:rPr>
        <w:t xml:space="preserve"> </w:t>
      </w:r>
      <w:r>
        <w:rPr>
          <w:spacing w:val="25"/>
          <w:w w:val="105"/>
        </w:rPr>
        <w:t>一</w:t>
      </w:r>
      <w:r>
        <w:rPr>
          <w:rFonts w:hint="eastAsia" w:ascii="MS UI Gothic" w:eastAsia="MS UI Gothic"/>
          <w:w w:val="150"/>
        </w:rPr>
        <w:t>)</w:t>
      </w:r>
      <w:r>
        <w:rPr>
          <w:rFonts w:hint="eastAsia" w:ascii="MS UI Gothic" w:eastAsia="MS UI Gothic"/>
          <w:spacing w:val="58"/>
          <w:w w:val="150"/>
        </w:rPr>
        <w:t xml:space="preserve"> </w:t>
      </w:r>
      <w:r>
        <w:rPr>
          <w:spacing w:val="46"/>
          <w:w w:val="105"/>
        </w:rPr>
        <w:t>未</w:t>
      </w:r>
      <w:r>
        <w:rPr>
          <w:spacing w:val="48"/>
          <w:w w:val="105"/>
        </w:rPr>
        <w:t>履行第十二条</w:t>
      </w:r>
      <w:r>
        <w:rPr>
          <w:w w:val="105"/>
        </w:rPr>
        <w:t>第</w:t>
      </w:r>
      <w:r>
        <w:rPr>
          <w:spacing w:val="29"/>
          <w:w w:val="105"/>
        </w:rPr>
        <w:t xml:space="preserve"> </w:t>
      </w:r>
      <w:r>
        <w:rPr>
          <w:rFonts w:hint="eastAsia" w:ascii="MS UI Gothic" w:eastAsia="MS UI Gothic"/>
          <w:w w:val="150"/>
        </w:rPr>
        <w:t>(</w:t>
      </w:r>
      <w:r>
        <w:rPr>
          <w:rFonts w:hint="eastAsia" w:ascii="MS UI Gothic" w:eastAsia="MS UI Gothic"/>
          <w:spacing w:val="-42"/>
          <w:w w:val="150"/>
        </w:rPr>
        <w:t xml:space="preserve"> </w:t>
      </w:r>
      <w:r>
        <w:rPr>
          <w:spacing w:val="33"/>
          <w:w w:val="105"/>
        </w:rPr>
        <w:t>二</w:t>
      </w:r>
      <w:r>
        <w:rPr>
          <w:rFonts w:hint="eastAsia" w:ascii="MS UI Gothic" w:eastAsia="MS UI Gothic"/>
          <w:spacing w:val="21"/>
          <w:w w:val="150"/>
        </w:rPr>
        <w:t>)</w:t>
      </w:r>
      <w:r>
        <w:rPr>
          <w:rFonts w:hint="eastAsia" w:ascii="MS UI Gothic" w:eastAsia="MS UI Gothic"/>
          <w:w w:val="85"/>
        </w:rPr>
        <w:t>、</w:t>
      </w:r>
    </w:p>
    <w:p>
      <w:pPr>
        <w:pStyle w:val="6"/>
        <w:spacing w:line="252" w:lineRule="exact"/>
        <w:ind w:left="505" w:firstLine="0"/>
        <w:jc w:val="left"/>
        <w:rPr>
          <w:rFonts w:hint="eastAsia" w:ascii="MS UI Gothic" w:eastAsia="MS UI Gothic"/>
        </w:rPr>
      </w:pPr>
      <w:r>
        <w:rPr>
          <w:spacing w:val="3"/>
          <w:w w:val="115"/>
        </w:rPr>
        <w:t>四</w:t>
      </w:r>
      <w:r>
        <w:rPr>
          <w:rFonts w:hint="eastAsia" w:ascii="MS UI Gothic" w:eastAsia="MS UI Gothic"/>
          <w:spacing w:val="21"/>
          <w:w w:val="150"/>
        </w:rPr>
        <w:t>)</w:t>
      </w:r>
      <w:r>
        <w:rPr>
          <w:rFonts w:hint="eastAsia" w:ascii="MS UI Gothic" w:eastAsia="MS UI Gothic"/>
          <w:spacing w:val="21"/>
          <w:w w:val="80"/>
        </w:rPr>
        <w:t xml:space="preserve">、 </w:t>
      </w:r>
      <w:r>
        <w:rPr>
          <w:rFonts w:hint="eastAsia" w:ascii="MS UI Gothic" w:eastAsia="MS UI Gothic"/>
          <w:spacing w:val="-37"/>
          <w:w w:val="150"/>
        </w:rPr>
        <w:t xml:space="preserve">( </w:t>
      </w:r>
      <w:r>
        <w:rPr>
          <w:spacing w:val="3"/>
          <w:w w:val="115"/>
        </w:rPr>
        <w:t>五</w:t>
      </w:r>
      <w:r>
        <w:rPr>
          <w:rFonts w:hint="eastAsia" w:ascii="MS UI Gothic" w:eastAsia="MS UI Gothic"/>
          <w:spacing w:val="8"/>
          <w:w w:val="150"/>
        </w:rPr>
        <w:t xml:space="preserve">) </w:t>
      </w:r>
      <w:r>
        <w:rPr>
          <w:spacing w:val="3"/>
          <w:w w:val="115"/>
        </w:rPr>
        <w:t>项安全职责的</w:t>
      </w:r>
      <w:r>
        <w:rPr>
          <w:rFonts w:hint="eastAsia" w:ascii="MS UI Gothic" w:eastAsia="MS UI Gothic"/>
          <w:w w:val="80"/>
        </w:rPr>
        <w:t>ꎻ</w:t>
      </w:r>
    </w:p>
    <w:p>
      <w:pPr>
        <w:pStyle w:val="6"/>
        <w:spacing w:before="57" w:line="295" w:lineRule="auto"/>
        <w:ind w:left="381" w:right="126"/>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未按照规定建立建筑起重机械安装</w:t>
      </w:r>
      <w:r>
        <w:rPr>
          <w:rFonts w:hint="eastAsia" w:ascii="MS UI Gothic" w:eastAsia="MS UI Gothic"/>
          <w:w w:val="80"/>
        </w:rPr>
        <w:t xml:space="preserve">、 </w:t>
      </w:r>
      <w:r>
        <w:rPr>
          <w:w w:val="105"/>
        </w:rPr>
        <w:t>拆卸工程档案的</w:t>
      </w:r>
      <w:r>
        <w:rPr>
          <w:rFonts w:hint="eastAsia" w:ascii="MS UI Gothic" w:eastAsia="MS UI Gothic"/>
          <w:w w:val="80"/>
        </w:rPr>
        <w:t>ꎻ</w:t>
      </w:r>
    </w:p>
    <w:p>
      <w:pPr>
        <w:pStyle w:val="6"/>
        <w:spacing w:line="255" w:lineRule="exact"/>
        <w:ind w:left="800" w:firstLine="0"/>
        <w:jc w:val="left"/>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未按照建筑起重机械安装</w:t>
      </w:r>
      <w:r>
        <w:rPr>
          <w:rFonts w:hint="eastAsia" w:ascii="MS UI Gothic" w:eastAsia="MS UI Gothic"/>
        </w:rPr>
        <w:t xml:space="preserve">、 </w:t>
      </w:r>
      <w:r>
        <w:rPr>
          <w:w w:val="110"/>
        </w:rPr>
        <w:t>拆</w:t>
      </w:r>
    </w:p>
    <w:p>
      <w:pPr>
        <w:spacing w:after="0" w:line="255" w:lineRule="exact"/>
        <w:jc w:val="lef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４４８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44" o:spid="_x0000_s2344" o:spt="203" style="height:2.15pt;width:398.25pt;" coordsize="7965,43">
            <o:lock v:ext="edit"/>
            <v:line id="_x0000_s2345" o:spid="_x0000_s2345" o:spt="20" style="position:absolute;left:0;top:39;height:0;width:7965;" stroked="t" coordsize="21600,21600">
              <v:path arrowok="t"/>
              <v:fill focussize="0,0"/>
              <v:stroke weight="0.388031496062992pt" color="#231F20"/>
              <v:imagedata o:title=""/>
              <o:lock v:ext="edit"/>
            </v:line>
            <v:line id="_x0000_s2346" o:spid="_x0000_s234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卸工程专项施工方案及安全操作规程组织安装</w:t>
      </w:r>
      <w:r>
        <w:rPr>
          <w:rFonts w:hint="eastAsia" w:ascii="MS UI Gothic" w:eastAsia="MS UI Gothic"/>
          <w:w w:val="80"/>
        </w:rPr>
        <w:t xml:space="preserve">、 </w:t>
      </w:r>
      <w:r>
        <w:t>拆卸作业的</w:t>
      </w:r>
      <w:r>
        <w:rPr>
          <w:rFonts w:hint="eastAsia" w:ascii="MS UI Gothic" w:eastAsia="MS UI Gothic"/>
          <w:w w:val="80"/>
        </w:rPr>
        <w:t>ꎮ</w:t>
      </w:r>
    </w:p>
    <w:p>
      <w:pPr>
        <w:pStyle w:val="6"/>
        <w:spacing w:line="295" w:lineRule="auto"/>
        <w:ind w:right="38"/>
      </w:pPr>
      <w:r>
        <w:rPr>
          <w:spacing w:val="3"/>
        </w:rPr>
        <w:t>第三十条 违反本规定</w:t>
      </w:r>
      <w:r>
        <w:rPr>
          <w:rFonts w:hint="eastAsia" w:ascii="MS UI Gothic" w:eastAsia="MS UI Gothic"/>
          <w:spacing w:val="8"/>
          <w:w w:val="80"/>
        </w:rPr>
        <w:t xml:space="preserve">ꎬ </w:t>
      </w:r>
      <w:r>
        <w:rPr>
          <w:spacing w:val="2"/>
        </w:rPr>
        <w:t>使用单位有</w:t>
      </w:r>
      <w:r>
        <w:rPr>
          <w:spacing w:val="3"/>
        </w:rPr>
        <w:t>下列行为之一的</w:t>
      </w:r>
      <w:r>
        <w:rPr>
          <w:rFonts w:hint="eastAsia" w:ascii="MS UI Gothic" w:eastAsia="MS UI Gothic"/>
          <w:spacing w:val="21"/>
          <w:w w:val="80"/>
        </w:rPr>
        <w:t xml:space="preserve">ꎬ </w:t>
      </w:r>
      <w:r>
        <w:rPr>
          <w:spacing w:val="2"/>
        </w:rPr>
        <w:t>由县级以上地方人民政</w:t>
      </w:r>
      <w:r>
        <w:rPr>
          <w:spacing w:val="13"/>
        </w:rPr>
        <w:t>府建设主管部门责令限期改正</w:t>
      </w:r>
      <w:r>
        <w:rPr>
          <w:rFonts w:hint="eastAsia" w:ascii="MS UI Gothic" w:eastAsia="MS UI Gothic"/>
          <w:spacing w:val="1"/>
          <w:w w:val="80"/>
        </w:rPr>
        <w:t xml:space="preserve">ꎬ   </w:t>
      </w:r>
      <w:r>
        <w:rPr>
          <w:spacing w:val="14"/>
        </w:rPr>
        <w:t>予以警</w:t>
      </w:r>
    </w:p>
    <w:p>
      <w:pPr>
        <w:pStyle w:val="6"/>
        <w:spacing w:line="238" w:lineRule="exact"/>
        <w:ind w:firstLine="0"/>
        <w:rPr>
          <w:rFonts w:hint="eastAsia" w:ascii="MS UI Gothic" w:eastAsia="MS UI Gothic"/>
        </w:rPr>
      </w:pPr>
      <w:r>
        <w:rPr>
          <w:spacing w:val="3"/>
          <w:w w:val="105"/>
        </w:rPr>
        <w:t>告</w:t>
      </w:r>
      <w:r>
        <w:rPr>
          <w:rFonts w:hint="eastAsia" w:ascii="MS UI Gothic" w:eastAsia="MS UI Gothic"/>
          <w:spacing w:val="-3"/>
          <w:w w:val="85"/>
        </w:rPr>
        <w:t xml:space="preserve">ꎬ </w:t>
      </w:r>
      <w:r>
        <w:rPr>
          <w:spacing w:val="-20"/>
          <w:w w:val="105"/>
        </w:rPr>
        <w:t xml:space="preserve">并处以 </w:t>
      </w:r>
      <w:r>
        <w:rPr>
          <w:rFonts w:hint="eastAsia" w:ascii="MS UI Gothic" w:eastAsia="MS UI Gothic"/>
          <w:spacing w:val="-6"/>
          <w:w w:val="85"/>
        </w:rPr>
        <w:t xml:space="preserve">５０００ </w:t>
      </w:r>
      <w:r>
        <w:rPr>
          <w:spacing w:val="-20"/>
          <w:w w:val="105"/>
        </w:rPr>
        <w:t xml:space="preserve">元以上 </w:t>
      </w:r>
      <w:r>
        <w:rPr>
          <w:rFonts w:hint="eastAsia" w:ascii="MS UI Gothic" w:eastAsia="MS UI Gothic"/>
          <w:spacing w:val="-13"/>
          <w:w w:val="85"/>
        </w:rPr>
        <w:t xml:space="preserve">３ </w:t>
      </w:r>
      <w:r>
        <w:rPr>
          <w:spacing w:val="3"/>
          <w:w w:val="105"/>
        </w:rPr>
        <w:t>万元以下罚款</w:t>
      </w:r>
      <w:r>
        <w:rPr>
          <w:rFonts w:hint="eastAsia" w:ascii="MS UI Gothic" w:eastAsia="MS UI Gothic"/>
          <w:w w:val="225"/>
        </w:rPr>
        <w:t>:</w:t>
      </w:r>
    </w:p>
    <w:p>
      <w:pPr>
        <w:pStyle w:val="6"/>
        <w:spacing w:before="123"/>
        <w:ind w:firstLine="0"/>
        <w:jc w:val="left"/>
        <w:rPr>
          <w:rFonts w:hint="eastAsia" w:ascii="MS UI Gothic" w:eastAsia="MS UI Gothic"/>
        </w:rPr>
      </w:pPr>
      <w:r>
        <w:br w:type="column"/>
      </w:r>
      <w:r>
        <w:t>元以下罚款</w:t>
      </w:r>
      <w:r>
        <w:rPr>
          <w:rFonts w:hint="eastAsia" w:ascii="MS UI Gothic" w:eastAsia="MS UI Gothic"/>
          <w:w w:val="80"/>
        </w:rPr>
        <w:t>ꎮ</w:t>
      </w:r>
    </w:p>
    <w:p>
      <w:pPr>
        <w:pStyle w:val="6"/>
        <w:spacing w:before="4" w:line="310" w:lineRule="atLeast"/>
        <w:ind w:right="440"/>
        <w:rPr>
          <w:rFonts w:hint="eastAsia" w:ascii="MS UI Gothic" w:eastAsia="MS UI Gothic"/>
        </w:rPr>
      </w:pPr>
      <w:r>
        <w:rPr>
          <w:spacing w:val="3"/>
        </w:rPr>
        <w:t>第三十三条 违反本规定</w:t>
      </w:r>
      <w:r>
        <w:rPr>
          <w:rFonts w:hint="eastAsia" w:ascii="MS UI Gothic" w:eastAsia="MS UI Gothic"/>
          <w:spacing w:val="7"/>
          <w:w w:val="80"/>
        </w:rPr>
        <w:t xml:space="preserve">ꎬ </w:t>
      </w:r>
      <w:r>
        <w:rPr>
          <w:spacing w:val="2"/>
        </w:rPr>
        <w:t>建设单位</w:t>
      </w:r>
      <w:r>
        <w:rPr>
          <w:spacing w:val="3"/>
        </w:rPr>
        <w:t>有下列行为之一的</w:t>
      </w:r>
      <w:r>
        <w:rPr>
          <w:rFonts w:hint="eastAsia" w:ascii="MS UI Gothic" w:eastAsia="MS UI Gothic"/>
          <w:spacing w:val="19"/>
          <w:w w:val="80"/>
        </w:rPr>
        <w:t xml:space="preserve">ꎬ </w:t>
      </w:r>
      <w:r>
        <w:rPr>
          <w:spacing w:val="2"/>
        </w:rPr>
        <w:t>由县级以上地方人民</w:t>
      </w:r>
      <w:r>
        <w:rPr>
          <w:spacing w:val="3"/>
        </w:rPr>
        <w:t>政府建设主管部门责令限期改正</w:t>
      </w:r>
      <w:r>
        <w:rPr>
          <w:rFonts w:hint="eastAsia" w:ascii="MS UI Gothic" w:eastAsia="MS UI Gothic"/>
          <w:spacing w:val="19"/>
          <w:w w:val="80"/>
        </w:rPr>
        <w:t xml:space="preserve">ꎬ </w:t>
      </w:r>
      <w:r>
        <w:rPr>
          <w:spacing w:val="2"/>
        </w:rPr>
        <w:t>予以警</w:t>
      </w:r>
      <w:r>
        <w:rPr>
          <w:spacing w:val="3"/>
        </w:rPr>
        <w:t>告</w:t>
      </w:r>
      <w:r>
        <w:rPr>
          <w:rFonts w:hint="eastAsia" w:ascii="MS UI Gothic" w:eastAsia="MS UI Gothic"/>
          <w:spacing w:val="16"/>
          <w:w w:val="80"/>
        </w:rPr>
        <w:t xml:space="preserve">ꎬ </w:t>
      </w:r>
      <w:r>
        <w:rPr>
          <w:spacing w:val="-14"/>
        </w:rPr>
        <w:t xml:space="preserve">并处以 </w:t>
      </w:r>
      <w:r>
        <w:rPr>
          <w:rFonts w:hint="eastAsia" w:ascii="MS UI Gothic" w:eastAsia="MS UI Gothic"/>
          <w:spacing w:val="-1"/>
          <w:w w:val="80"/>
        </w:rPr>
        <w:t xml:space="preserve">５０００ </w:t>
      </w:r>
      <w:r>
        <w:rPr>
          <w:spacing w:val="-14"/>
        </w:rPr>
        <w:t xml:space="preserve">元以上 </w:t>
      </w:r>
      <w:r>
        <w:rPr>
          <w:rFonts w:hint="eastAsia" w:ascii="MS UI Gothic" w:eastAsia="MS UI Gothic"/>
          <w:spacing w:val="-2"/>
          <w:w w:val="80"/>
        </w:rPr>
        <w:t xml:space="preserve">３ </w:t>
      </w:r>
      <w:r>
        <w:rPr>
          <w:spacing w:val="3"/>
        </w:rPr>
        <w:t>万元以下罚款</w:t>
      </w:r>
      <w:r>
        <w:rPr>
          <w:rFonts w:hint="eastAsia" w:ascii="MS UI Gothic" w:eastAsia="MS UI Gothic"/>
          <w:w w:val="80"/>
        </w:rPr>
        <w:t>ꎻ</w:t>
      </w:r>
      <w:r>
        <w:rPr>
          <w:spacing w:val="3"/>
        </w:rPr>
        <w:t>逾期未改的</w:t>
      </w:r>
      <w:r>
        <w:rPr>
          <w:rFonts w:hint="eastAsia" w:ascii="MS UI Gothic" w:eastAsia="MS UI Gothic"/>
          <w:spacing w:val="4"/>
          <w:w w:val="80"/>
        </w:rPr>
        <w:t xml:space="preserve">ꎬ </w:t>
      </w:r>
      <w:r>
        <w:rPr>
          <w:spacing w:val="3"/>
        </w:rPr>
        <w:t>责令停止施工</w:t>
      </w:r>
      <w:r>
        <w:rPr>
          <w:rFonts w:hint="eastAsia" w:ascii="MS UI Gothic" w:eastAsia="MS UI Gothic"/>
          <w:w w:val="225"/>
        </w:rPr>
        <w:t>:</w:t>
      </w:r>
    </w:p>
    <w:p>
      <w:pPr>
        <w:spacing w:after="0" w:line="310" w:lineRule="atLeast"/>
        <w:rPr>
          <w:rFonts w:hint="eastAsia" w:ascii="MS UI Gothic" w:eastAsia="MS UI Gothic"/>
        </w:rPr>
        <w:sectPr>
          <w:type w:val="continuous"/>
          <w:pgSz w:w="10500" w:h="14750"/>
          <w:pgMar w:top="1400" w:right="980" w:bottom="280" w:left="980" w:header="720" w:footer="720" w:gutter="0"/>
          <w:cols w:equalWidth="0" w:num="2">
            <w:col w:w="3934" w:space="258"/>
            <w:col w:w="4348"/>
          </w:cols>
        </w:sectPr>
      </w:pPr>
    </w:p>
    <w:p>
      <w:pPr>
        <w:pStyle w:val="6"/>
        <w:spacing w:before="73" w:line="295" w:lineRule="auto"/>
        <w:ind w:right="38"/>
        <w:jc w:val="left"/>
        <w:rPr>
          <w:rFonts w:hint="eastAsia" w:ascii="MS UI Gothic" w:eastAsia="MS UI Gothic"/>
        </w:rPr>
      </w:pPr>
      <w:r>
        <w:rPr>
          <w:rFonts w:hint="eastAsia" w:ascii="MS UI Gothic" w:eastAsia="MS UI Gothic"/>
          <w:spacing w:val="-41"/>
          <w:w w:val="150"/>
        </w:rPr>
        <w:t xml:space="preserve">( </w:t>
      </w:r>
      <w:r>
        <w:rPr>
          <w:spacing w:val="25"/>
          <w:w w:val="115"/>
        </w:rPr>
        <w:t>一</w:t>
      </w:r>
      <w:r>
        <w:rPr>
          <w:rFonts w:hint="eastAsia" w:ascii="MS UI Gothic" w:eastAsia="MS UI Gothic"/>
          <w:spacing w:val="-11"/>
          <w:w w:val="150"/>
        </w:rPr>
        <w:t xml:space="preserve">) </w:t>
      </w:r>
      <w:r>
        <w:rPr>
          <w:spacing w:val="30"/>
          <w:w w:val="115"/>
        </w:rPr>
        <w:t xml:space="preserve">未履行第十八条第 </w:t>
      </w:r>
      <w:r>
        <w:rPr>
          <w:rFonts w:hint="eastAsia" w:ascii="MS UI Gothic" w:eastAsia="MS UI Gothic"/>
          <w:spacing w:val="-35"/>
          <w:w w:val="150"/>
        </w:rPr>
        <w:t xml:space="preserve">( </w:t>
      </w:r>
      <w:r>
        <w:rPr>
          <w:spacing w:val="32"/>
          <w:w w:val="115"/>
        </w:rPr>
        <w:t>一</w:t>
      </w:r>
      <w:r>
        <w:rPr>
          <w:rFonts w:hint="eastAsia" w:ascii="MS UI Gothic" w:eastAsia="MS UI Gothic"/>
          <w:spacing w:val="21"/>
          <w:w w:val="150"/>
        </w:rPr>
        <w:t>)</w:t>
      </w:r>
      <w:r>
        <w:rPr>
          <w:rFonts w:hint="eastAsia" w:ascii="MS UI Gothic" w:eastAsia="MS UI Gothic"/>
          <w:w w:val="80"/>
        </w:rPr>
        <w:t>、</w:t>
      </w:r>
      <w:r>
        <w:rPr>
          <w:rFonts w:hint="eastAsia" w:ascii="MS UI Gothic" w:eastAsia="MS UI Gothic"/>
          <w:spacing w:val="-38"/>
          <w:w w:val="150"/>
        </w:rPr>
        <w:t xml:space="preserve">( </w:t>
      </w:r>
      <w:r>
        <w:rPr>
          <w:spacing w:val="3"/>
          <w:w w:val="115"/>
        </w:rPr>
        <w:t>二</w:t>
      </w:r>
      <w:r>
        <w:rPr>
          <w:rFonts w:hint="eastAsia" w:ascii="MS UI Gothic" w:eastAsia="MS UI Gothic"/>
          <w:spacing w:val="21"/>
          <w:w w:val="150"/>
        </w:rPr>
        <w:t>)</w:t>
      </w:r>
      <w:r>
        <w:rPr>
          <w:rFonts w:hint="eastAsia" w:ascii="MS UI Gothic" w:eastAsia="MS UI Gothic"/>
          <w:spacing w:val="16"/>
          <w:w w:val="80"/>
        </w:rPr>
        <w:t xml:space="preserve">、 </w:t>
      </w:r>
      <w:r>
        <w:rPr>
          <w:rFonts w:hint="eastAsia" w:ascii="MS UI Gothic" w:eastAsia="MS UI Gothic"/>
          <w:spacing w:val="-38"/>
          <w:w w:val="150"/>
        </w:rPr>
        <w:t xml:space="preserve">( </w:t>
      </w:r>
      <w:r>
        <w:rPr>
          <w:spacing w:val="3"/>
          <w:w w:val="115"/>
        </w:rPr>
        <w:t>四</w:t>
      </w:r>
      <w:r>
        <w:rPr>
          <w:rFonts w:hint="eastAsia" w:ascii="MS UI Gothic" w:eastAsia="MS UI Gothic"/>
          <w:spacing w:val="21"/>
          <w:w w:val="150"/>
        </w:rPr>
        <w:t>)</w:t>
      </w:r>
      <w:r>
        <w:rPr>
          <w:rFonts w:hint="eastAsia" w:ascii="MS UI Gothic" w:eastAsia="MS UI Gothic"/>
          <w:spacing w:val="16"/>
          <w:w w:val="80"/>
        </w:rPr>
        <w:t xml:space="preserve">、 </w:t>
      </w:r>
      <w:r>
        <w:rPr>
          <w:rFonts w:hint="eastAsia" w:ascii="MS UI Gothic" w:eastAsia="MS UI Gothic"/>
          <w:spacing w:val="-38"/>
          <w:w w:val="150"/>
        </w:rPr>
        <w:t xml:space="preserve">( </w:t>
      </w:r>
      <w:r>
        <w:rPr>
          <w:spacing w:val="3"/>
          <w:w w:val="115"/>
        </w:rPr>
        <w:t>六</w:t>
      </w:r>
      <w:r>
        <w:rPr>
          <w:rFonts w:hint="eastAsia" w:ascii="MS UI Gothic" w:eastAsia="MS UI Gothic"/>
          <w:spacing w:val="3"/>
          <w:w w:val="150"/>
        </w:rPr>
        <w:t xml:space="preserve">) </w:t>
      </w:r>
      <w:r>
        <w:rPr>
          <w:spacing w:val="3"/>
          <w:w w:val="115"/>
        </w:rPr>
        <w:t>项安全职责的</w:t>
      </w:r>
      <w:r>
        <w:rPr>
          <w:rFonts w:hint="eastAsia" w:ascii="MS UI Gothic" w:eastAsia="MS UI Gothic"/>
          <w:w w:val="80"/>
        </w:rPr>
        <w:t>ꎻ</w:t>
      </w:r>
    </w:p>
    <w:p>
      <w:pPr>
        <w:pStyle w:val="6"/>
        <w:spacing w:line="238" w:lineRule="exact"/>
        <w:ind w:left="543" w:firstLine="0"/>
        <w:jc w:val="left"/>
      </w:pPr>
      <w:r>
        <w:rPr>
          <w:rFonts w:hint="eastAsia" w:ascii="MS UI Gothic" w:eastAsia="MS UI Gothic"/>
          <w:w w:val="110"/>
        </w:rPr>
        <w:t xml:space="preserve">( </w:t>
      </w:r>
      <w:r>
        <w:rPr>
          <w:w w:val="110"/>
        </w:rPr>
        <w:t>二</w:t>
      </w:r>
      <w:r>
        <w:rPr>
          <w:rFonts w:hint="eastAsia" w:ascii="MS UI Gothic" w:eastAsia="MS UI Gothic"/>
          <w:w w:val="110"/>
        </w:rPr>
        <w:t xml:space="preserve">) </w:t>
      </w:r>
      <w:r>
        <w:rPr>
          <w:w w:val="110"/>
        </w:rPr>
        <w:t>未指定专职设备管理人员进行</w:t>
      </w:r>
    </w:p>
    <w:p>
      <w:pPr>
        <w:pStyle w:val="6"/>
        <w:spacing w:before="73" w:line="295" w:lineRule="auto"/>
        <w:ind w:right="442"/>
        <w:jc w:val="left"/>
        <w:rPr>
          <w:rFonts w:hint="eastAsia" w:ascii="MS UI Gothic" w:eastAsia="MS UI Gothic"/>
        </w:rPr>
      </w:pPr>
      <w:r>
        <w:br w:type="column"/>
      </w: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未按照规定协调组织制定防止</w:t>
      </w:r>
      <w:r>
        <w:t>多台塔式起重机相互碰撞的安全措施的</w:t>
      </w:r>
      <w:r>
        <w:rPr>
          <w:rFonts w:hint="eastAsia" w:ascii="MS UI Gothic" w:eastAsia="MS UI Gothic"/>
          <w:w w:val="80"/>
        </w:rPr>
        <w:t>ꎻ</w:t>
      </w:r>
    </w:p>
    <w:p>
      <w:pPr>
        <w:pStyle w:val="6"/>
        <w:spacing w:line="238" w:lineRule="exact"/>
        <w:ind w:left="543" w:firstLine="0"/>
        <w:jc w:val="left"/>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接到监理单位报告后</w:t>
      </w:r>
      <w:r>
        <w:rPr>
          <w:rFonts w:hint="eastAsia" w:ascii="MS UI Gothic" w:eastAsia="MS UI Gothic"/>
          <w:w w:val="80"/>
        </w:rPr>
        <w:t xml:space="preserve">ꎬ </w:t>
      </w:r>
      <w:r>
        <w:rPr>
          <w:w w:val="110"/>
        </w:rPr>
        <w:t>未责令</w:t>
      </w:r>
    </w:p>
    <w:p>
      <w:pPr>
        <w:spacing w:after="0" w:line="238" w:lineRule="exact"/>
        <w:jc w:val="left"/>
        <w:sectPr>
          <w:type w:val="continuous"/>
          <w:pgSz w:w="10500" w:h="14750"/>
          <w:pgMar w:top="1400" w:right="980" w:bottom="280" w:left="980" w:header="720" w:footer="720" w:gutter="0"/>
          <w:cols w:equalWidth="0" w:num="2">
            <w:col w:w="3936" w:space="256"/>
            <w:col w:w="4348"/>
          </w:cols>
        </w:sectPr>
      </w:pPr>
    </w:p>
    <w:p>
      <w:pPr>
        <w:pStyle w:val="6"/>
        <w:spacing w:before="74"/>
        <w:ind w:firstLine="0"/>
        <w:jc w:val="left"/>
        <w:rPr>
          <w:rFonts w:hint="eastAsia" w:ascii="MS UI Gothic" w:eastAsia="MS UI Gothic"/>
        </w:rPr>
      </w:pPr>
      <w:r>
        <w:t>现场监督检查的</w:t>
      </w:r>
      <w:r>
        <w:rPr>
          <w:rFonts w:hint="eastAsia" w:ascii="MS UI Gothic" w:eastAsia="MS UI Gothic"/>
          <w:w w:val="80"/>
        </w:rPr>
        <w:t>ꎻ</w:t>
      </w:r>
    </w:p>
    <w:p>
      <w:pPr>
        <w:pStyle w:val="6"/>
        <w:spacing w:before="58"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擅自在建筑起重机械上安装非原制造厂制造的标准节和附着装置的</w:t>
      </w:r>
      <w:r>
        <w:rPr>
          <w:rFonts w:hint="eastAsia" w:ascii="MS UI Gothic" w:eastAsia="MS UI Gothic"/>
          <w:w w:val="80"/>
        </w:rPr>
        <w:t>ꎮ</w:t>
      </w:r>
    </w:p>
    <w:p>
      <w:pPr>
        <w:pStyle w:val="6"/>
        <w:spacing w:line="295" w:lineRule="auto"/>
        <w:ind w:left="118" w:right="38" w:firstLine="425"/>
        <w:rPr>
          <w:rFonts w:hint="eastAsia" w:ascii="MS UI Gothic" w:eastAsia="MS UI Gothic"/>
        </w:rPr>
      </w:pPr>
      <w:r>
        <w:rPr>
          <w:spacing w:val="3"/>
          <w:w w:val="105"/>
        </w:rPr>
        <w:t>第三十一条 违反本规定</w:t>
      </w:r>
      <w:r>
        <w:rPr>
          <w:rFonts w:hint="eastAsia" w:ascii="MS UI Gothic" w:eastAsia="MS UI Gothic"/>
          <w:spacing w:val="3"/>
          <w:w w:val="90"/>
        </w:rPr>
        <w:t xml:space="preserve">ꎬ </w:t>
      </w:r>
      <w:r>
        <w:rPr>
          <w:spacing w:val="2"/>
          <w:w w:val="105"/>
        </w:rPr>
        <w:t>施工总承</w:t>
      </w:r>
      <w:r>
        <w:rPr>
          <w:spacing w:val="-15"/>
          <w:w w:val="105"/>
        </w:rPr>
        <w:t xml:space="preserve">包单位未履 行 第 二 十 一 条 第 </w:t>
      </w:r>
      <w:r>
        <w:rPr>
          <w:rFonts w:hint="eastAsia" w:ascii="MS UI Gothic" w:eastAsia="MS UI Gothic"/>
          <w:spacing w:val="-19"/>
          <w:w w:val="140"/>
        </w:rPr>
        <w:t xml:space="preserve">( </w:t>
      </w:r>
      <w:r>
        <w:rPr>
          <w:spacing w:val="34"/>
          <w:w w:val="105"/>
        </w:rPr>
        <w:t>一</w:t>
      </w:r>
      <w:r>
        <w:rPr>
          <w:rFonts w:hint="eastAsia" w:ascii="MS UI Gothic" w:eastAsia="MS UI Gothic"/>
          <w:spacing w:val="21"/>
          <w:w w:val="140"/>
        </w:rPr>
        <w:t>)</w:t>
      </w:r>
      <w:r>
        <w:rPr>
          <w:rFonts w:hint="eastAsia" w:ascii="MS UI Gothic" w:eastAsia="MS UI Gothic"/>
          <w:w w:val="90"/>
        </w:rPr>
        <w:t>、</w:t>
      </w:r>
      <w:r>
        <w:rPr>
          <w:rFonts w:hint="eastAsia" w:ascii="MS UI Gothic" w:eastAsia="MS UI Gothic"/>
          <w:spacing w:val="-32"/>
          <w:w w:val="140"/>
        </w:rPr>
        <w:t xml:space="preserve">( </w:t>
      </w:r>
      <w:r>
        <w:rPr>
          <w:spacing w:val="3"/>
          <w:w w:val="105"/>
        </w:rPr>
        <w:t>三</w:t>
      </w:r>
      <w:r>
        <w:rPr>
          <w:rFonts w:hint="eastAsia" w:ascii="MS UI Gothic" w:eastAsia="MS UI Gothic"/>
          <w:spacing w:val="21"/>
          <w:w w:val="140"/>
        </w:rPr>
        <w:t>)</w:t>
      </w:r>
      <w:r>
        <w:rPr>
          <w:rFonts w:hint="eastAsia" w:ascii="MS UI Gothic" w:eastAsia="MS UI Gothic"/>
          <w:spacing w:val="17"/>
          <w:w w:val="90"/>
        </w:rPr>
        <w:t xml:space="preserve">、 </w:t>
      </w:r>
      <w:r>
        <w:rPr>
          <w:rFonts w:hint="eastAsia" w:ascii="MS UI Gothic" w:eastAsia="MS UI Gothic"/>
          <w:spacing w:val="-29"/>
          <w:w w:val="140"/>
        </w:rPr>
        <w:t xml:space="preserve">( </w:t>
      </w:r>
      <w:r>
        <w:rPr>
          <w:spacing w:val="7"/>
          <w:w w:val="105"/>
        </w:rPr>
        <w:t>四</w:t>
      </w:r>
      <w:r>
        <w:rPr>
          <w:rFonts w:hint="eastAsia" w:ascii="MS UI Gothic" w:eastAsia="MS UI Gothic"/>
          <w:spacing w:val="21"/>
          <w:w w:val="140"/>
        </w:rPr>
        <w:t>)</w:t>
      </w:r>
      <w:r>
        <w:rPr>
          <w:rFonts w:hint="eastAsia" w:ascii="MS UI Gothic" w:eastAsia="MS UI Gothic"/>
          <w:spacing w:val="25"/>
          <w:w w:val="90"/>
        </w:rPr>
        <w:t xml:space="preserve">、 </w:t>
      </w:r>
      <w:r>
        <w:rPr>
          <w:rFonts w:hint="eastAsia" w:ascii="MS UI Gothic" w:eastAsia="MS UI Gothic"/>
          <w:spacing w:val="-29"/>
          <w:w w:val="140"/>
        </w:rPr>
        <w:t xml:space="preserve">( </w:t>
      </w:r>
      <w:r>
        <w:rPr>
          <w:spacing w:val="7"/>
          <w:w w:val="105"/>
        </w:rPr>
        <w:t>五</w:t>
      </w:r>
      <w:r>
        <w:rPr>
          <w:rFonts w:hint="eastAsia" w:ascii="MS UI Gothic" w:eastAsia="MS UI Gothic"/>
          <w:spacing w:val="21"/>
          <w:w w:val="140"/>
        </w:rPr>
        <w:t>)</w:t>
      </w:r>
      <w:r>
        <w:rPr>
          <w:rFonts w:hint="eastAsia" w:ascii="MS UI Gothic" w:eastAsia="MS UI Gothic"/>
          <w:spacing w:val="25"/>
          <w:w w:val="90"/>
        </w:rPr>
        <w:t xml:space="preserve">、 </w:t>
      </w:r>
      <w:r>
        <w:rPr>
          <w:rFonts w:hint="eastAsia" w:ascii="MS UI Gothic" w:eastAsia="MS UI Gothic"/>
          <w:spacing w:val="-29"/>
          <w:w w:val="140"/>
        </w:rPr>
        <w:t xml:space="preserve">( </w:t>
      </w:r>
      <w:r>
        <w:rPr>
          <w:spacing w:val="7"/>
          <w:w w:val="105"/>
        </w:rPr>
        <w:t>七</w:t>
      </w:r>
      <w:r>
        <w:rPr>
          <w:rFonts w:hint="eastAsia" w:ascii="MS UI Gothic" w:eastAsia="MS UI Gothic"/>
          <w:spacing w:val="27"/>
          <w:w w:val="140"/>
        </w:rPr>
        <w:t xml:space="preserve">) </w:t>
      </w:r>
      <w:r>
        <w:rPr>
          <w:spacing w:val="5"/>
          <w:w w:val="105"/>
        </w:rPr>
        <w:t>项安全职责</w:t>
      </w:r>
      <w:r>
        <w:rPr>
          <w:spacing w:val="3"/>
        </w:rPr>
        <w:t>的</w:t>
      </w:r>
      <w:r>
        <w:rPr>
          <w:rFonts w:hint="eastAsia" w:ascii="MS UI Gothic" w:eastAsia="MS UI Gothic"/>
          <w:spacing w:val="6"/>
          <w:w w:val="90"/>
        </w:rPr>
        <w:t xml:space="preserve">ꎬ </w:t>
      </w:r>
      <w:r>
        <w:rPr>
          <w:spacing w:val="2"/>
        </w:rPr>
        <w:t>由县级以上地方人民政府建设主管部</w:t>
      </w:r>
      <w:r>
        <w:rPr>
          <w:spacing w:val="29"/>
        </w:rPr>
        <w:t>门责令限期改正</w:t>
      </w:r>
      <w:r>
        <w:rPr>
          <w:rFonts w:hint="eastAsia" w:ascii="MS UI Gothic" w:eastAsia="MS UI Gothic"/>
          <w:spacing w:val="20"/>
          <w:w w:val="90"/>
        </w:rPr>
        <w:t xml:space="preserve">ꎬ </w:t>
      </w:r>
      <w:r>
        <w:rPr>
          <w:spacing w:val="30"/>
        </w:rPr>
        <w:t>予以警告</w:t>
      </w:r>
      <w:r>
        <w:rPr>
          <w:rFonts w:hint="eastAsia" w:ascii="MS UI Gothic" w:eastAsia="MS UI Gothic"/>
          <w:spacing w:val="20"/>
          <w:w w:val="90"/>
        </w:rPr>
        <w:t xml:space="preserve">ꎬ </w:t>
      </w:r>
      <w:r>
        <w:rPr>
          <w:spacing w:val="26"/>
        </w:rPr>
        <w:t>并处以</w:t>
      </w:r>
      <w:r>
        <w:rPr>
          <w:rFonts w:hint="eastAsia" w:ascii="MS UI Gothic" w:eastAsia="MS UI Gothic"/>
          <w:spacing w:val="19"/>
          <w:w w:val="90"/>
        </w:rPr>
        <w:t xml:space="preserve">５０００ </w:t>
      </w:r>
      <w:r>
        <w:rPr>
          <w:spacing w:val="-15"/>
          <w:w w:val="105"/>
        </w:rPr>
        <w:t xml:space="preserve">元以上 </w:t>
      </w:r>
      <w:r>
        <w:rPr>
          <w:rFonts w:hint="eastAsia" w:ascii="MS UI Gothic" w:eastAsia="MS UI Gothic"/>
          <w:spacing w:val="-3"/>
          <w:w w:val="90"/>
        </w:rPr>
        <w:t xml:space="preserve">３ </w:t>
      </w:r>
      <w:r>
        <w:rPr>
          <w:spacing w:val="3"/>
          <w:w w:val="105"/>
        </w:rPr>
        <w:t>万元以下罚款</w:t>
      </w:r>
      <w:r>
        <w:rPr>
          <w:rFonts w:hint="eastAsia" w:ascii="MS UI Gothic" w:eastAsia="MS UI Gothic"/>
          <w:w w:val="90"/>
        </w:rPr>
        <w:t>ꎮ</w:t>
      </w:r>
    </w:p>
    <w:p>
      <w:pPr>
        <w:pStyle w:val="6"/>
        <w:spacing w:line="295" w:lineRule="auto"/>
        <w:ind w:right="38"/>
      </w:pPr>
      <w:r>
        <w:rPr>
          <w:spacing w:val="3"/>
          <w:w w:val="105"/>
        </w:rPr>
        <w:t>第三十二条 违反本规定</w:t>
      </w:r>
      <w:r>
        <w:rPr>
          <w:rFonts w:hint="eastAsia" w:ascii="MS UI Gothic" w:eastAsia="MS UI Gothic"/>
          <w:spacing w:val="3"/>
          <w:w w:val="90"/>
        </w:rPr>
        <w:t xml:space="preserve">ꎬ </w:t>
      </w:r>
      <w:r>
        <w:rPr>
          <w:spacing w:val="2"/>
          <w:w w:val="105"/>
        </w:rPr>
        <w:t>监理单位</w:t>
      </w:r>
      <w:r>
        <w:rPr>
          <w:spacing w:val="22"/>
          <w:w w:val="105"/>
        </w:rPr>
        <w:t xml:space="preserve">未履行第二十二条第 </w:t>
      </w:r>
      <w:r>
        <w:rPr>
          <w:rFonts w:hint="eastAsia" w:ascii="MS UI Gothic" w:eastAsia="MS UI Gothic"/>
          <w:spacing w:val="-25"/>
          <w:w w:val="140"/>
        </w:rPr>
        <w:t xml:space="preserve">( </w:t>
      </w:r>
      <w:r>
        <w:rPr>
          <w:spacing w:val="21"/>
          <w:w w:val="105"/>
        </w:rPr>
        <w:t>一</w:t>
      </w:r>
      <w:r>
        <w:rPr>
          <w:rFonts w:hint="eastAsia" w:ascii="MS UI Gothic" w:eastAsia="MS UI Gothic"/>
          <w:spacing w:val="21"/>
          <w:w w:val="140"/>
        </w:rPr>
        <w:t>)</w:t>
      </w:r>
      <w:r>
        <w:rPr>
          <w:rFonts w:hint="eastAsia" w:ascii="MS UI Gothic" w:eastAsia="MS UI Gothic"/>
          <w:spacing w:val="7"/>
          <w:w w:val="90"/>
        </w:rPr>
        <w:t xml:space="preserve">、     </w:t>
      </w:r>
      <w:r>
        <w:rPr>
          <w:rFonts w:hint="eastAsia" w:ascii="MS UI Gothic" w:eastAsia="MS UI Gothic"/>
          <w:spacing w:val="-24"/>
          <w:w w:val="140"/>
        </w:rPr>
        <w:t xml:space="preserve">( </w:t>
      </w:r>
      <w:r>
        <w:rPr>
          <w:spacing w:val="21"/>
          <w:w w:val="105"/>
        </w:rPr>
        <w:t>二</w:t>
      </w:r>
      <w:r>
        <w:rPr>
          <w:rFonts w:hint="eastAsia" w:ascii="MS UI Gothic" w:eastAsia="MS UI Gothic"/>
          <w:spacing w:val="21"/>
          <w:w w:val="140"/>
        </w:rPr>
        <w:t>)</w:t>
      </w:r>
      <w:r>
        <w:rPr>
          <w:rFonts w:hint="eastAsia" w:ascii="MS UI Gothic" w:eastAsia="MS UI Gothic"/>
          <w:spacing w:val="-13"/>
          <w:w w:val="90"/>
        </w:rPr>
        <w:t>、</w:t>
      </w:r>
      <w:r>
        <w:rPr>
          <w:rFonts w:hint="eastAsia" w:ascii="MS UI Gothic" w:eastAsia="MS UI Gothic"/>
          <w:spacing w:val="-35"/>
          <w:w w:val="140"/>
        </w:rPr>
        <w:t xml:space="preserve">( </w:t>
      </w:r>
      <w:r>
        <w:rPr>
          <w:spacing w:val="3"/>
          <w:w w:val="105"/>
        </w:rPr>
        <w:t>四</w:t>
      </w:r>
      <w:r>
        <w:rPr>
          <w:rFonts w:hint="eastAsia" w:ascii="MS UI Gothic" w:eastAsia="MS UI Gothic"/>
          <w:spacing w:val="21"/>
          <w:w w:val="140"/>
        </w:rPr>
        <w:t>)</w:t>
      </w:r>
      <w:r>
        <w:rPr>
          <w:rFonts w:hint="eastAsia" w:ascii="MS UI Gothic" w:eastAsia="MS UI Gothic"/>
          <w:spacing w:val="15"/>
          <w:w w:val="90"/>
        </w:rPr>
        <w:t xml:space="preserve">、 </w:t>
      </w:r>
      <w:r>
        <w:rPr>
          <w:rFonts w:hint="eastAsia" w:ascii="MS UI Gothic" w:eastAsia="MS UI Gothic"/>
          <w:spacing w:val="-34"/>
          <w:w w:val="140"/>
        </w:rPr>
        <w:t xml:space="preserve">( </w:t>
      </w:r>
      <w:r>
        <w:rPr>
          <w:spacing w:val="3"/>
          <w:w w:val="105"/>
        </w:rPr>
        <w:t>五</w:t>
      </w:r>
      <w:r>
        <w:rPr>
          <w:rFonts w:hint="eastAsia" w:ascii="MS UI Gothic" w:eastAsia="MS UI Gothic"/>
          <w:spacing w:val="7"/>
          <w:w w:val="140"/>
        </w:rPr>
        <w:t xml:space="preserve">) </w:t>
      </w:r>
      <w:r>
        <w:rPr>
          <w:spacing w:val="3"/>
          <w:w w:val="105"/>
        </w:rPr>
        <w:t>项安全职责的</w:t>
      </w:r>
      <w:r>
        <w:rPr>
          <w:rFonts w:hint="eastAsia" w:ascii="MS UI Gothic" w:eastAsia="MS UI Gothic"/>
          <w:spacing w:val="17"/>
          <w:w w:val="90"/>
        </w:rPr>
        <w:t xml:space="preserve">ꎬ </w:t>
      </w:r>
      <w:r>
        <w:rPr>
          <w:spacing w:val="5"/>
          <w:w w:val="105"/>
        </w:rPr>
        <w:t>由县级以上</w:t>
      </w:r>
      <w:r>
        <w:rPr>
          <w:spacing w:val="11"/>
        </w:rPr>
        <w:t>地方人民政府建设主管部门责令限期改</w:t>
      </w:r>
      <w:r>
        <w:rPr>
          <w:spacing w:val="3"/>
          <w:w w:val="105"/>
        </w:rPr>
        <w:t>正</w:t>
      </w:r>
      <w:r>
        <w:rPr>
          <w:rFonts w:hint="eastAsia" w:ascii="MS UI Gothic" w:eastAsia="MS UI Gothic"/>
          <w:spacing w:val="-7"/>
          <w:w w:val="90"/>
        </w:rPr>
        <w:t xml:space="preserve">ꎬ </w:t>
      </w:r>
      <w:r>
        <w:rPr>
          <w:spacing w:val="5"/>
          <w:w w:val="105"/>
        </w:rPr>
        <w:t>予以警告</w:t>
      </w:r>
      <w:r>
        <w:rPr>
          <w:rFonts w:hint="eastAsia" w:ascii="MS UI Gothic" w:eastAsia="MS UI Gothic"/>
          <w:spacing w:val="-6"/>
          <w:w w:val="90"/>
        </w:rPr>
        <w:t xml:space="preserve">ꎬ </w:t>
      </w:r>
      <w:r>
        <w:rPr>
          <w:spacing w:val="-14"/>
          <w:w w:val="105"/>
        </w:rPr>
        <w:t xml:space="preserve">并处以 </w:t>
      </w:r>
      <w:r>
        <w:rPr>
          <w:rFonts w:hint="eastAsia" w:ascii="MS UI Gothic" w:eastAsia="MS UI Gothic"/>
          <w:spacing w:val="-6"/>
          <w:w w:val="90"/>
        </w:rPr>
        <w:t xml:space="preserve">５０００ </w:t>
      </w:r>
      <w:r>
        <w:rPr>
          <w:spacing w:val="-13"/>
          <w:w w:val="105"/>
        </w:rPr>
        <w:t xml:space="preserve">元以上 </w:t>
      </w:r>
      <w:r>
        <w:rPr>
          <w:rFonts w:hint="eastAsia" w:ascii="MS UI Gothic" w:eastAsia="MS UI Gothic"/>
          <w:spacing w:val="-14"/>
          <w:w w:val="90"/>
        </w:rPr>
        <w:t xml:space="preserve">３ </w:t>
      </w:r>
      <w:r>
        <w:rPr>
          <w:w w:val="105"/>
        </w:rPr>
        <w:t>万</w:t>
      </w:r>
    </w:p>
    <w:p>
      <w:pPr>
        <w:pStyle w:val="6"/>
        <w:spacing w:before="74"/>
        <w:ind w:left="118" w:firstLine="0"/>
        <w:rPr>
          <w:rFonts w:hint="eastAsia" w:ascii="MS UI Gothic" w:eastAsia="MS UI Gothic"/>
        </w:rPr>
      </w:pPr>
      <w:r>
        <w:br w:type="column"/>
      </w:r>
      <w:r>
        <w:t>安装单位</w:t>
      </w:r>
      <w:r>
        <w:rPr>
          <w:rFonts w:hint="eastAsia" w:ascii="MS UI Gothic" w:eastAsia="MS UI Gothic"/>
          <w:w w:val="80"/>
        </w:rPr>
        <w:t xml:space="preserve">、 </w:t>
      </w:r>
      <w:r>
        <w:t>使用单位立即停工整改的</w:t>
      </w:r>
      <w:r>
        <w:rPr>
          <w:rFonts w:hint="eastAsia" w:ascii="MS UI Gothic" w:eastAsia="MS UI Gothic"/>
          <w:w w:val="80"/>
        </w:rPr>
        <w:t>ꎮ</w:t>
      </w:r>
    </w:p>
    <w:p>
      <w:pPr>
        <w:pStyle w:val="6"/>
        <w:spacing w:before="58" w:line="295" w:lineRule="auto"/>
        <w:ind w:left="118" w:right="442"/>
        <w:rPr>
          <w:rFonts w:hint="eastAsia" w:ascii="MS UI Gothic" w:eastAsia="MS UI Gothic"/>
        </w:rPr>
      </w:pPr>
      <w:r>
        <w:rPr>
          <w:w w:val="105"/>
        </w:rPr>
        <w:t>第三十四条 违反本规定</w:t>
      </w:r>
      <w:r>
        <w:rPr>
          <w:rFonts w:hint="eastAsia" w:ascii="MS UI Gothic" w:eastAsia="MS UI Gothic"/>
          <w:w w:val="80"/>
        </w:rPr>
        <w:t xml:space="preserve">ꎬ </w:t>
      </w:r>
      <w:r>
        <w:rPr>
          <w:w w:val="105"/>
        </w:rPr>
        <w:t>建设主管</w:t>
      </w:r>
      <w:r>
        <w:t>部门的工作人员有下列行为之一的</w:t>
      </w:r>
      <w:r>
        <w:rPr>
          <w:rFonts w:hint="eastAsia" w:ascii="MS UI Gothic" w:eastAsia="MS UI Gothic"/>
          <w:w w:val="80"/>
        </w:rPr>
        <w:t xml:space="preserve">ꎬ </w:t>
      </w:r>
      <w:r>
        <w:t>依法给予处分</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w:t>
      </w:r>
      <w:r>
        <w:rPr>
          <w:w w:val="105"/>
        </w:rPr>
        <w:t>责任</w:t>
      </w:r>
      <w:r>
        <w:rPr>
          <w:rFonts w:hint="eastAsia" w:ascii="MS UI Gothic" w:eastAsia="MS UI Gothic"/>
          <w:w w:val="235"/>
        </w:rPr>
        <w:t>:</w:t>
      </w:r>
    </w:p>
    <w:p>
      <w:pPr>
        <w:pStyle w:val="6"/>
        <w:spacing w:line="295" w:lineRule="auto"/>
        <w:ind w:left="118"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发现违反本规定的违法行为不</w:t>
      </w:r>
      <w:r>
        <w:rPr>
          <w:w w:val="110"/>
        </w:rPr>
        <w:t>依法查处的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发现在用的建筑起重机械存在严重生产安全事故隐患不依法处理的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不依法履行监督管理职责的其</w:t>
      </w:r>
      <w:r>
        <w:rPr>
          <w:w w:val="110"/>
        </w:rPr>
        <w:t>他行为</w:t>
      </w:r>
      <w:r>
        <w:rPr>
          <w:rFonts w:hint="eastAsia" w:ascii="MS UI Gothic" w:eastAsia="MS UI Gothic"/>
          <w:w w:val="80"/>
        </w:rPr>
        <w:t>ꎮ</w:t>
      </w:r>
    </w:p>
    <w:p>
      <w:pPr>
        <w:pStyle w:val="6"/>
        <w:spacing w:line="295" w:lineRule="auto"/>
        <w:ind w:left="274" w:right="442" w:firstLine="263"/>
        <w:rPr>
          <w:rFonts w:hint="eastAsia" w:ascii="MS UI Gothic" w:eastAsia="MS UI Gothic"/>
        </w:rPr>
      </w:pPr>
      <w:r>
        <w:pict>
          <v:shape id="_x0000_s2347" o:spid="_x0000_s2347" o:spt="202" type="#_x0000_t202" style="position:absolute;left:0pt;margin-left:264.5pt;margin-top:12pt;height:24.35pt;width:5.15pt;mso-position-horizontal-relative:page;z-index:25219276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第三十五条 本规定自 </w:t>
      </w:r>
      <w:r>
        <w:rPr>
          <w:rFonts w:hint="eastAsia" w:ascii="MS UI Gothic" w:eastAsia="MS UI Gothic"/>
          <w:w w:val="95"/>
        </w:rPr>
        <w:t xml:space="preserve">２００８ </w:t>
      </w:r>
      <w:r>
        <w:rPr>
          <w:w w:val="95"/>
        </w:rPr>
        <w:t xml:space="preserve">年 </w:t>
      </w:r>
      <w:r>
        <w:rPr>
          <w:rFonts w:hint="eastAsia" w:ascii="MS UI Gothic" w:eastAsia="MS UI Gothic"/>
          <w:w w:val="95"/>
        </w:rPr>
        <w:t xml:space="preserve">６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62"/>
            <w:col w:w="4342"/>
          </w:cols>
        </w:sectPr>
      </w:pPr>
    </w:p>
    <w:p>
      <w:pPr>
        <w:pStyle w:val="6"/>
        <w:spacing w:before="12"/>
        <w:ind w:left="0" w:firstLine="0"/>
        <w:jc w:val="left"/>
        <w:rPr>
          <w:rFonts w:ascii="MS UI Gothic"/>
          <w:sz w:val="16"/>
        </w:rPr>
      </w:pPr>
    </w:p>
    <w:p>
      <w:pPr>
        <w:pStyle w:val="4"/>
        <w:spacing w:before="74"/>
        <w:ind w:right="630"/>
      </w:pPr>
      <w:r>
        <w:t>中华人民共和国住房和城乡建设部令</w:t>
      </w:r>
    </w:p>
    <w:p>
      <w:pPr>
        <w:pStyle w:val="6"/>
        <w:ind w:left="0" w:firstLine="0"/>
        <w:jc w:val="left"/>
        <w:rPr>
          <w:sz w:val="27"/>
        </w:rPr>
      </w:pPr>
    </w:p>
    <w:p>
      <w:pPr>
        <w:pStyle w:val="5"/>
        <w:ind w:right="628"/>
      </w:pPr>
      <w:r>
        <w:t xml:space="preserve">第 </w:t>
      </w:r>
      <w:r>
        <w:rPr>
          <w:rFonts w:hint="eastAsia" w:ascii="MS UI Gothic" w:eastAsia="MS UI Gothic"/>
        </w:rPr>
        <w:t xml:space="preserve">１７ </w:t>
      </w:r>
      <w:r>
        <w:t>号</w:t>
      </w:r>
    </w:p>
    <w:p>
      <w:pPr>
        <w:pStyle w:val="6"/>
        <w:spacing w:before="354" w:line="295" w:lineRule="auto"/>
        <w:ind w:right="442"/>
        <w:jc w:val="left"/>
        <w:rPr>
          <w:rFonts w:hint="eastAsia" w:ascii="MS UI Gothic" w:hAnsi="MS UI Gothic" w:eastAsia="MS UI Gothic"/>
        </w:rPr>
      </w:pPr>
      <w:r>
        <w:rPr>
          <w:rFonts w:hint="eastAsia" w:ascii="MS UI Gothic" w:hAnsi="MS UI Gothic" w:eastAsia="MS UI Gothic"/>
          <w:w w:val="95"/>
        </w:rPr>
        <w:t xml:space="preserve">« </w:t>
      </w:r>
      <w:r>
        <w:rPr>
          <w:w w:val="95"/>
        </w:rPr>
        <w:t>建筑施工企业主要负责人</w:t>
      </w:r>
      <w:r>
        <w:rPr>
          <w:rFonts w:hint="eastAsia" w:ascii="MS UI Gothic" w:hAnsi="MS UI Gothic" w:eastAsia="MS UI Gothic"/>
          <w:w w:val="95"/>
        </w:rPr>
        <w:t xml:space="preserve">、       </w:t>
      </w:r>
      <w:r>
        <w:rPr>
          <w:w w:val="95"/>
        </w:rPr>
        <w:t>项目负责人和专职安全生产管理人员安全生产管理规定</w:t>
      </w:r>
      <w:r>
        <w:rPr>
          <w:rFonts w:hint="eastAsia" w:ascii="MS UI Gothic" w:hAnsi="MS UI Gothic" w:eastAsia="MS UI Gothic"/>
          <w:w w:val="95"/>
        </w:rPr>
        <w:t xml:space="preserve">» </w:t>
      </w:r>
      <w:r>
        <w:rPr>
          <w:w w:val="95"/>
        </w:rPr>
        <w:t xml:space="preserve">已经第 </w:t>
      </w:r>
      <w:r>
        <w:rPr>
          <w:rFonts w:hint="eastAsia" w:ascii="MS UI Gothic" w:hAnsi="MS UI Gothic" w:eastAsia="MS UI Gothic"/>
          <w:w w:val="95"/>
        </w:rPr>
        <w:t xml:space="preserve">１３ </w:t>
      </w:r>
      <w:r>
        <w:rPr>
          <w:w w:val="95"/>
        </w:rPr>
        <w:t>次部常务会议审议通过</w:t>
      </w:r>
      <w:r>
        <w:rPr>
          <w:rFonts w:hint="eastAsia" w:ascii="MS UI Gothic" w:hAnsi="MS UI Gothic" w:eastAsia="MS UI Gothic"/>
          <w:w w:val="90"/>
        </w:rPr>
        <w:t xml:space="preserve">ꎬ </w:t>
      </w:r>
      <w:r>
        <w:rPr>
          <w:w w:val="95"/>
        </w:rPr>
        <w:t>现予发布</w:t>
      </w:r>
      <w:r>
        <w:rPr>
          <w:rFonts w:hint="eastAsia" w:ascii="MS UI Gothic" w:hAnsi="MS UI Gothic" w:eastAsia="MS UI Gothic"/>
          <w:w w:val="90"/>
        </w:rPr>
        <w:t xml:space="preserve">ꎬ </w:t>
      </w:r>
      <w:r>
        <w:rPr>
          <w:w w:val="95"/>
        </w:rPr>
        <w:t xml:space="preserve">自 </w:t>
      </w:r>
      <w:r>
        <w:rPr>
          <w:rFonts w:hint="eastAsia" w:ascii="MS UI Gothic" w:hAnsi="MS UI Gothic" w:eastAsia="MS UI Gothic"/>
          <w:w w:val="95"/>
        </w:rPr>
        <w:t xml:space="preserve">２０１４ </w:t>
      </w:r>
      <w:r>
        <w:rPr>
          <w:w w:val="95"/>
        </w:rPr>
        <w:t xml:space="preserve">年 </w:t>
      </w:r>
      <w:r>
        <w:rPr>
          <w:rFonts w:hint="eastAsia" w:ascii="MS UI Gothic" w:hAnsi="MS UI Gothic" w:eastAsia="MS UI Gothic"/>
          <w:w w:val="95"/>
        </w:rPr>
        <w:t xml:space="preserve">９ </w:t>
      </w:r>
      <w:r>
        <w:rPr>
          <w:w w:val="95"/>
        </w:rPr>
        <w:t xml:space="preserve">月 </w:t>
      </w:r>
      <w:r>
        <w:rPr>
          <w:rFonts w:hint="eastAsia" w:ascii="MS UI Gothic" w:hAnsi="MS UI Gothic" w:eastAsia="MS UI Gothic"/>
          <w:w w:val="95"/>
        </w:rPr>
        <w:t xml:space="preserve">１ </w:t>
      </w:r>
      <w:r>
        <w:rPr>
          <w:w w:val="95"/>
        </w:rPr>
        <w:t>日起施行</w:t>
      </w:r>
      <w:r>
        <w:rPr>
          <w:rFonts w:hint="eastAsia" w:ascii="MS UI Gothic" w:hAnsi="MS UI Gothic" w:eastAsia="MS UI Gothic"/>
          <w:w w:val="90"/>
        </w:rPr>
        <w:t>ꎮ</w:t>
      </w:r>
    </w:p>
    <w:p>
      <w:pPr>
        <w:pStyle w:val="6"/>
        <w:spacing w:before="313"/>
        <w:ind w:left="0" w:right="442" w:firstLine="0"/>
        <w:jc w:val="right"/>
      </w:pPr>
      <w:r>
        <w:rPr>
          <w:rFonts w:hint="eastAsia" w:ascii="MS UI Gothic" w:eastAsia="MS UI Gothic"/>
          <w:w w:val="95"/>
        </w:rPr>
        <w:t xml:space="preserve">２０１４ </w:t>
      </w:r>
      <w:r>
        <w:rPr>
          <w:w w:val="95"/>
        </w:rPr>
        <w:t xml:space="preserve">年 </w:t>
      </w:r>
      <w:r>
        <w:rPr>
          <w:rFonts w:hint="eastAsia" w:ascii="MS UI Gothic" w:eastAsia="MS UI Gothic"/>
          <w:w w:val="95"/>
        </w:rPr>
        <w:t xml:space="preserve">６ </w:t>
      </w:r>
      <w:r>
        <w:rPr>
          <w:w w:val="95"/>
        </w:rPr>
        <w:t xml:space="preserve">月 </w:t>
      </w:r>
      <w:r>
        <w:rPr>
          <w:rFonts w:hint="eastAsia" w:ascii="MS UI Gothic" w:eastAsia="MS UI Gothic"/>
          <w:w w:val="95"/>
        </w:rPr>
        <w:t xml:space="preserve">２５ </w:t>
      </w:r>
      <w:r>
        <w:rPr>
          <w:w w:val="95"/>
        </w:rPr>
        <w:t>日</w:t>
      </w:r>
    </w:p>
    <w:p>
      <w:pPr>
        <w:spacing w:after="0"/>
        <w:jc w:val="right"/>
        <w:sectPr>
          <w:type w:val="continuous"/>
          <w:pgSz w:w="10500" w:h="14750"/>
          <w:pgMar w:top="1400" w:right="980" w:bottom="280" w:left="980" w:header="720" w:footer="720" w:gutter="0"/>
        </w:sectPr>
      </w:pPr>
    </w:p>
    <w:p>
      <w:pPr>
        <w:spacing w:before="192"/>
        <w:ind w:left="1351" w:right="0" w:firstLine="0"/>
        <w:jc w:val="center"/>
        <w:rPr>
          <w:sz w:val="17"/>
        </w:rPr>
      </w:pPr>
      <w:r>
        <w:rPr>
          <w:sz w:val="17"/>
        </w:rPr>
        <w:t>四</w:t>
      </w:r>
      <w:r>
        <w:rPr>
          <w:rFonts w:hint="eastAsia" w:ascii="Microsoft Yi Baiti" w:eastAsia="Microsoft Yi Baiti"/>
          <w:sz w:val="17"/>
        </w:rPr>
        <w:t xml:space="preserve">、 </w:t>
      </w:r>
      <w:r>
        <w:rPr>
          <w:sz w:val="17"/>
        </w:rPr>
        <w:t>安 全 生 产 法</w:t>
      </w:r>
    </w:p>
    <w:p>
      <w:pPr>
        <w:pStyle w:val="6"/>
        <w:ind w:left="0" w:firstLine="0"/>
        <w:jc w:val="left"/>
        <w:rPr>
          <w:sz w:val="24"/>
        </w:rPr>
      </w:pPr>
    </w:p>
    <w:p>
      <w:pPr>
        <w:pStyle w:val="6"/>
        <w:spacing w:before="1"/>
        <w:ind w:left="0" w:firstLine="0"/>
        <w:jc w:val="left"/>
        <w:rPr>
          <w:sz w:val="23"/>
        </w:rPr>
      </w:pPr>
    </w:p>
    <w:p>
      <w:pPr>
        <w:pStyle w:val="4"/>
        <w:spacing w:before="0" w:line="266" w:lineRule="auto"/>
        <w:ind w:left="1349"/>
        <w:rPr>
          <w:rFonts w:hint="eastAsia" w:ascii="Microsoft Yi Baiti" w:eastAsia="Microsoft Yi Baiti"/>
        </w:rPr>
      </w:pPr>
      <w:r>
        <w:t>建筑施工企业主要负责人</w:t>
      </w:r>
      <w:r>
        <w:rPr>
          <w:w w:val="90"/>
        </w:rPr>
        <w:t xml:space="preserve">、 </w:t>
      </w:r>
      <w:r>
        <w:t>项目负责人和专职安全生产管理人员安全生产管理规定 (</w:t>
      </w:r>
      <w:r>
        <w:rPr>
          <w:rFonts w:hint="eastAsia" w:ascii="MS UI Gothic" w:eastAsia="MS UI Gothic"/>
        </w:rPr>
        <w:t xml:space="preserve">２０１４ </w:t>
      </w:r>
      <w:r>
        <w:t>年公布</w:t>
      </w:r>
      <w:r>
        <w:rPr>
          <w:rFonts w:hint="eastAsia" w:ascii="Microsoft Yi Baiti" w:eastAsia="Microsoft Yi Baiti"/>
        </w:rPr>
        <w:t>)</w:t>
      </w:r>
    </w:p>
    <w:p>
      <w:pPr>
        <w:pStyle w:val="6"/>
        <w:spacing w:before="159"/>
        <w:ind w:left="-19" w:firstLine="0"/>
        <w:jc w:val="left"/>
        <w:rPr>
          <w:rFonts w:hint="eastAsia" w:ascii="MS UI Gothic" w:eastAsia="MS UI Gothic"/>
        </w:rPr>
      </w:pPr>
      <w:r>
        <w:br w:type="column"/>
      </w:r>
      <w:r>
        <w:rPr>
          <w:rFonts w:hint="eastAsia" w:ascii="MS UI Gothic" w:eastAsia="MS UI Gothic"/>
          <w:spacing w:val="1"/>
          <w:w w:val="75"/>
        </w:rPr>
        <w:t>４４９</w:t>
      </w:r>
    </w:p>
    <w:p>
      <w:pPr>
        <w:spacing w:after="0"/>
        <w:jc w:val="left"/>
        <w:rPr>
          <w:rFonts w:hint="eastAsia" w:ascii="MS UI Gothic" w:eastAsia="MS UI Gothic"/>
        </w:rPr>
        <w:sectPr>
          <w:pgSz w:w="10500" w:h="14750"/>
          <w:pgMar w:top="960" w:right="980" w:bottom="280" w:left="980" w:header="720" w:footer="720" w:gutter="0"/>
          <w:cols w:equalWidth="0" w:num="2">
            <w:col w:w="7492" w:space="40"/>
            <w:col w:w="1008"/>
          </w:cols>
        </w:sectPr>
      </w:pPr>
    </w:p>
    <w:p>
      <w:pPr>
        <w:pStyle w:val="6"/>
        <w:spacing w:before="1"/>
        <w:ind w:left="0" w:firstLine="0"/>
        <w:jc w:val="left"/>
        <w:rPr>
          <w:rFonts w:ascii="MS UI Gothic"/>
          <w:sz w:val="12"/>
        </w:rPr>
      </w:pPr>
    </w:p>
    <w:p>
      <w:pPr>
        <w:spacing w:after="0"/>
        <w:jc w:val="left"/>
        <w:rPr>
          <w:rFonts w:ascii="MS UI Gothic"/>
          <w:sz w:val="12"/>
        </w:rPr>
        <w:sectPr>
          <w:type w:val="continuous"/>
          <w:pgSz w:w="10500" w:h="14750"/>
          <w:pgMar w:top="1400" w:right="980" w:bottom="280" w:left="980" w:header="720" w:footer="720" w:gutter="0"/>
        </w:sectPr>
      </w:pPr>
    </w:p>
    <w:p>
      <w:pPr>
        <w:pStyle w:val="6"/>
        <w:spacing w:before="11"/>
        <w:ind w:left="0" w:firstLine="0"/>
        <w:jc w:val="left"/>
        <w:rPr>
          <w:rFonts w:ascii="MS UI Gothic"/>
          <w:sz w:val="25"/>
        </w:rPr>
      </w:pPr>
      <w:r>
        <w:pict>
          <v:shape id="_x0000_s2348" o:spid="_x0000_s2348" style="position:absolute;left:0pt;margin-left:0pt;margin-top:748.3pt;height:1.75pt;width:398.25pt;mso-position-horizontal-relative:page;mso-position-vertical-relative:page;z-index:252193792;mso-width-relative:page;mso-height-relative:page;" filled="f" stroked="t" coordorigin="0,14966" coordsize="7965,35" path="m1419,1480l9384,1480m1419,1445l9384,1445e">
            <v:path arrowok="t"/>
            <v:fill on="f" focussize="0,0"/>
            <v:stroke weight="0.388031496062992pt" color="#231F20"/>
            <v:imagedata o:title=""/>
            <o:lock v:ext="edit"/>
          </v:shape>
        </w:pict>
      </w: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0" w:lineRule="auto"/>
        <w:ind w:left="440"/>
        <w:rPr>
          <w:rFonts w:hint="eastAsia" w:ascii="MS UI Gothic" w:hAnsi="MS UI Gothic" w:eastAsia="MS UI Gothic"/>
        </w:rPr>
      </w:pPr>
      <w:r>
        <w:rPr>
          <w:w w:val="105"/>
        </w:rPr>
        <w:t>第一条 为了加强房屋建筑和市政基</w:t>
      </w:r>
      <w:r>
        <w:t>础设施工程施工安全监督管理</w:t>
      </w:r>
      <w:r>
        <w:rPr>
          <w:rFonts w:hint="eastAsia" w:ascii="MS UI Gothic" w:hAnsi="MS UI Gothic" w:eastAsia="MS UI Gothic"/>
          <w:w w:val="80"/>
        </w:rPr>
        <w:t xml:space="preserve">ꎬ </w:t>
      </w:r>
      <w:r>
        <w:t>提高建筑</w:t>
      </w:r>
      <w:r>
        <w:rPr>
          <w:w w:val="105"/>
        </w:rPr>
        <w:t>施工企业主要负责人</w:t>
      </w:r>
      <w:r>
        <w:rPr>
          <w:rFonts w:hint="eastAsia" w:ascii="MS UI Gothic" w:hAnsi="MS UI Gothic" w:eastAsia="MS UI Gothic"/>
          <w:w w:val="80"/>
        </w:rPr>
        <w:t xml:space="preserve">、 </w:t>
      </w:r>
      <w:r>
        <w:rPr>
          <w:w w:val="105"/>
        </w:rPr>
        <w:t xml:space="preserve">项目负责人和专职安全生产管理人员 </w:t>
      </w:r>
      <w:r>
        <w:rPr>
          <w:rFonts w:hint="eastAsia" w:ascii="MS UI Gothic" w:hAnsi="MS UI Gothic" w:eastAsia="MS UI Gothic"/>
          <w:w w:val="150"/>
        </w:rPr>
        <w:t xml:space="preserve">( </w:t>
      </w:r>
      <w:r>
        <w:rPr>
          <w:w w:val="105"/>
        </w:rPr>
        <w:t xml:space="preserve">以下合称 </w:t>
      </w:r>
      <w:r>
        <w:rPr>
          <w:rFonts w:hint="eastAsia" w:ascii="MS UI Gothic" w:hAnsi="MS UI Gothic" w:eastAsia="MS UI Gothic"/>
          <w:w w:val="105"/>
        </w:rPr>
        <w:t xml:space="preserve">“ </w:t>
      </w:r>
      <w:r>
        <w:rPr>
          <w:w w:val="105"/>
        </w:rPr>
        <w:t>安管人员</w:t>
      </w:r>
      <w:r>
        <w:rPr>
          <w:rFonts w:hint="eastAsia" w:ascii="MS UI Gothic" w:hAnsi="MS UI Gothic" w:eastAsia="MS UI Gothic"/>
          <w:w w:val="105"/>
        </w:rPr>
        <w:t xml:space="preserve">” </w:t>
      </w:r>
      <w:r>
        <w:rPr>
          <w:rFonts w:hint="eastAsia" w:ascii="MS UI Gothic" w:hAnsi="MS UI Gothic" w:eastAsia="MS UI Gothic"/>
          <w:w w:val="150"/>
        </w:rPr>
        <w:t xml:space="preserve">) </w:t>
      </w:r>
      <w:r>
        <w:rPr>
          <w:w w:val="105"/>
        </w:rPr>
        <w:t>的安全生产管理能力</w:t>
      </w:r>
      <w:r>
        <w:rPr>
          <w:rFonts w:hint="eastAsia" w:ascii="MS UI Gothic" w:hAnsi="MS UI Gothic" w:eastAsia="MS UI Gothic"/>
          <w:w w:val="80"/>
        </w:rPr>
        <w:t xml:space="preserve">ꎬ </w:t>
      </w:r>
      <w:r>
        <w:rPr>
          <w:w w:val="105"/>
        </w:rPr>
        <w:t xml:space="preserve">根据 </w:t>
      </w:r>
      <w:r>
        <w:rPr>
          <w:rFonts w:hint="eastAsia" w:ascii="MS UI Gothic" w:hAnsi="MS UI Gothic" w:eastAsia="MS UI Gothic"/>
          <w:w w:val="80"/>
        </w:rPr>
        <w:t xml:space="preserve">« </w:t>
      </w:r>
      <w:r>
        <w:rPr>
          <w:w w:val="105"/>
        </w:rPr>
        <w:t>中华人民共和国安全生产法</w:t>
      </w:r>
      <w:r>
        <w:rPr>
          <w:rFonts w:hint="eastAsia" w:ascii="MS UI Gothic" w:hAnsi="MS UI Gothic" w:eastAsia="MS UI Gothic"/>
          <w:w w:val="80"/>
        </w:rPr>
        <w:t xml:space="preserve">»、 « </w:t>
      </w:r>
      <w:r>
        <w:rPr>
          <w:w w:val="105"/>
        </w:rPr>
        <w:t>建设工程安全生产管理条例</w:t>
      </w:r>
      <w:r>
        <w:rPr>
          <w:rFonts w:hint="eastAsia" w:ascii="MS UI Gothic" w:hAnsi="MS UI Gothic" w:eastAsia="MS UI Gothic"/>
          <w:w w:val="80"/>
        </w:rPr>
        <w:t xml:space="preserve">» </w:t>
      </w:r>
      <w:r>
        <w:rPr>
          <w:w w:val="105"/>
        </w:rPr>
        <w:t>等法律法规</w:t>
      </w:r>
      <w:r>
        <w:rPr>
          <w:rFonts w:hint="eastAsia" w:ascii="MS UI Gothic" w:hAnsi="MS UI Gothic" w:eastAsia="MS UI Gothic"/>
          <w:w w:val="80"/>
        </w:rPr>
        <w:t xml:space="preserve">ꎬ </w:t>
      </w:r>
      <w:r>
        <w:rPr>
          <w:w w:val="105"/>
        </w:rPr>
        <w:t>制定本规定</w:t>
      </w:r>
      <w:r>
        <w:rPr>
          <w:rFonts w:hint="eastAsia" w:ascii="MS UI Gothic" w:hAnsi="MS UI Gothic" w:eastAsia="MS UI Gothic"/>
          <w:w w:val="80"/>
        </w:rPr>
        <w:t>ꎮ</w:t>
      </w:r>
    </w:p>
    <w:p>
      <w:pPr>
        <w:pStyle w:val="6"/>
        <w:spacing w:line="290" w:lineRule="auto"/>
        <w:ind w:left="440"/>
        <w:rPr>
          <w:rFonts w:hint="eastAsia" w:ascii="MS UI Gothic" w:hAnsi="MS UI Gothic" w:eastAsia="MS UI Gothic"/>
        </w:rPr>
      </w:pPr>
      <w:r>
        <w:t xml:space="preserve">第二条 在中华人民共和国境内从事房屋建筑和市政基础设施工程施工活动的建筑施工企业的 </w:t>
      </w:r>
      <w:r>
        <w:rPr>
          <w:rFonts w:hint="eastAsia" w:ascii="MS UI Gothic" w:hAnsi="MS UI Gothic" w:eastAsia="MS UI Gothic"/>
        </w:rPr>
        <w:t xml:space="preserve">“ </w:t>
      </w:r>
      <w:r>
        <w:t>安管人员</w:t>
      </w:r>
      <w:r>
        <w:rPr>
          <w:rFonts w:hint="eastAsia" w:ascii="MS UI Gothic" w:hAnsi="MS UI Gothic" w:eastAsia="MS UI Gothic"/>
        </w:rPr>
        <w:t xml:space="preserve">” </w:t>
      </w:r>
      <w:r>
        <w:rPr>
          <w:rFonts w:hint="eastAsia" w:ascii="MS UI Gothic" w:hAnsi="MS UI Gothic" w:eastAsia="MS UI Gothic"/>
          <w:w w:val="80"/>
        </w:rPr>
        <w:t xml:space="preserve">ꎬ </w:t>
      </w:r>
      <w:r>
        <w:t>参加安全生产考核</w:t>
      </w:r>
      <w:r>
        <w:rPr>
          <w:rFonts w:hint="eastAsia" w:ascii="MS UI Gothic" w:hAnsi="MS UI Gothic" w:eastAsia="MS UI Gothic"/>
          <w:w w:val="80"/>
        </w:rPr>
        <w:t xml:space="preserve">ꎬ </w:t>
      </w:r>
      <w:r>
        <w:t>履行安全生产责任</w:t>
      </w:r>
      <w:r>
        <w:rPr>
          <w:rFonts w:hint="eastAsia" w:ascii="MS UI Gothic" w:hAnsi="MS UI Gothic" w:eastAsia="MS UI Gothic"/>
          <w:w w:val="80"/>
        </w:rPr>
        <w:t xml:space="preserve">ꎬ </w:t>
      </w:r>
      <w:r>
        <w:t>以及对其实施安全生产监督管理</w:t>
      </w:r>
      <w:r>
        <w:rPr>
          <w:rFonts w:hint="eastAsia" w:ascii="MS UI Gothic" w:hAnsi="MS UI Gothic" w:eastAsia="MS UI Gothic"/>
          <w:w w:val="80"/>
        </w:rPr>
        <w:t xml:space="preserve">ꎬ </w:t>
      </w:r>
      <w:r>
        <w:t>应当符合本规定</w:t>
      </w:r>
      <w:r>
        <w:rPr>
          <w:rFonts w:hint="eastAsia" w:ascii="MS UI Gothic" w:hAnsi="MS UI Gothic" w:eastAsia="MS UI Gothic"/>
          <w:w w:val="80"/>
        </w:rPr>
        <w:t>ꎮ</w:t>
      </w:r>
    </w:p>
    <w:p>
      <w:pPr>
        <w:pStyle w:val="6"/>
        <w:spacing w:line="290" w:lineRule="auto"/>
        <w:ind w:left="440"/>
        <w:rPr>
          <w:rFonts w:hint="eastAsia" w:ascii="MS UI Gothic" w:eastAsia="MS UI Gothic"/>
        </w:rPr>
      </w:pPr>
      <w:r>
        <w:rPr>
          <w:w w:val="105"/>
        </w:rPr>
        <w:t>第三条 企业主要负责人</w:t>
      </w:r>
      <w:r>
        <w:rPr>
          <w:rFonts w:hint="eastAsia" w:ascii="MS UI Gothic" w:eastAsia="MS UI Gothic"/>
          <w:w w:val="80"/>
        </w:rPr>
        <w:t xml:space="preserve">ꎬ </w:t>
      </w:r>
      <w:r>
        <w:rPr>
          <w:w w:val="105"/>
        </w:rPr>
        <w:t>是指对本</w:t>
      </w:r>
      <w:r>
        <w:t>企业生产经营活动和安全生产工作具有决</w:t>
      </w:r>
      <w:r>
        <w:rPr>
          <w:w w:val="105"/>
        </w:rPr>
        <w:t>策权的领导人员</w:t>
      </w:r>
      <w:r>
        <w:rPr>
          <w:rFonts w:hint="eastAsia" w:ascii="MS UI Gothic" w:eastAsia="MS UI Gothic"/>
          <w:w w:val="80"/>
        </w:rPr>
        <w:t>ꎮ</w:t>
      </w:r>
    </w:p>
    <w:p>
      <w:pPr>
        <w:pStyle w:val="6"/>
        <w:spacing w:line="290" w:lineRule="auto"/>
        <w:ind w:left="440"/>
        <w:rPr>
          <w:rFonts w:hint="eastAsia" w:ascii="MS UI Gothic" w:eastAsia="MS UI Gothic"/>
        </w:rPr>
      </w:pPr>
      <w:r>
        <w:t>项目负责人</w:t>
      </w:r>
      <w:r>
        <w:rPr>
          <w:rFonts w:hint="eastAsia" w:ascii="MS UI Gothic" w:eastAsia="MS UI Gothic"/>
          <w:w w:val="80"/>
        </w:rPr>
        <w:t xml:space="preserve">ꎬ </w:t>
      </w:r>
      <w:r>
        <w:t>是指取得相应注册执业资格</w:t>
      </w:r>
      <w:r>
        <w:rPr>
          <w:rFonts w:hint="eastAsia" w:ascii="MS UI Gothic" w:eastAsia="MS UI Gothic"/>
          <w:w w:val="80"/>
        </w:rPr>
        <w:t xml:space="preserve">ꎬ </w:t>
      </w:r>
      <w:r>
        <w:t>由企业法定代表人授权</w:t>
      </w:r>
      <w:r>
        <w:rPr>
          <w:rFonts w:hint="eastAsia" w:ascii="MS UI Gothic" w:eastAsia="MS UI Gothic"/>
          <w:w w:val="80"/>
        </w:rPr>
        <w:t xml:space="preserve">ꎬ </w:t>
      </w:r>
      <w:r>
        <w:t>负责具体工程项目管理的人员</w:t>
      </w:r>
      <w:r>
        <w:rPr>
          <w:rFonts w:hint="eastAsia" w:ascii="MS UI Gothic" w:eastAsia="MS UI Gothic"/>
          <w:w w:val="80"/>
        </w:rPr>
        <w:t>ꎮ</w:t>
      </w:r>
    </w:p>
    <w:p>
      <w:pPr>
        <w:pStyle w:val="6"/>
        <w:spacing w:line="290" w:lineRule="auto"/>
        <w:ind w:left="440"/>
        <w:rPr>
          <w:rFonts w:hint="eastAsia" w:ascii="MS UI Gothic" w:eastAsia="MS UI Gothic"/>
        </w:rPr>
      </w:pPr>
      <w:r>
        <w:t>专职安全生产管理人员</w:t>
      </w:r>
      <w:r>
        <w:rPr>
          <w:rFonts w:hint="eastAsia" w:ascii="MS UI Gothic" w:eastAsia="MS UI Gothic"/>
          <w:w w:val="80"/>
        </w:rPr>
        <w:t xml:space="preserve">ꎬ </w:t>
      </w:r>
      <w:r>
        <w:t>是指在企业专职从事安全生产管理工作的人员</w:t>
      </w:r>
      <w:r>
        <w:rPr>
          <w:rFonts w:hint="eastAsia" w:ascii="MS UI Gothic" w:eastAsia="MS UI Gothic"/>
          <w:w w:val="80"/>
        </w:rPr>
        <w:t xml:space="preserve">ꎬ </w:t>
      </w:r>
      <w:r>
        <w:t>包括企业安全生产管理机构的人员和工程项目</w:t>
      </w:r>
      <w:r>
        <w:rPr>
          <w:w w:val="105"/>
        </w:rPr>
        <w:t>专职从事安全生产管理工作的人员</w:t>
      </w:r>
      <w:r>
        <w:rPr>
          <w:rFonts w:hint="eastAsia" w:ascii="MS UI Gothic" w:eastAsia="MS UI Gothic"/>
          <w:w w:val="80"/>
        </w:rPr>
        <w:t>ꎮ</w:t>
      </w:r>
    </w:p>
    <w:p>
      <w:pPr>
        <w:pStyle w:val="6"/>
        <w:spacing w:line="290" w:lineRule="auto"/>
        <w:ind w:left="440"/>
        <w:rPr>
          <w:rFonts w:hint="eastAsia" w:ascii="MS UI Gothic" w:hAnsi="MS UI Gothic" w:eastAsia="MS UI Gothic"/>
        </w:rPr>
      </w:pPr>
      <w:r>
        <w:rPr>
          <w:w w:val="105"/>
        </w:rPr>
        <w:t xml:space="preserve">第四条 国务院住房城乡建设主管部门负责对全国 </w:t>
      </w:r>
      <w:r>
        <w:rPr>
          <w:rFonts w:hint="eastAsia" w:ascii="MS UI Gothic" w:hAnsi="MS UI Gothic" w:eastAsia="MS UI Gothic"/>
          <w:w w:val="105"/>
        </w:rPr>
        <w:t xml:space="preserve">“ </w:t>
      </w:r>
      <w:r>
        <w:rPr>
          <w:w w:val="105"/>
        </w:rPr>
        <w:t>安管人员</w:t>
      </w:r>
      <w:r>
        <w:rPr>
          <w:rFonts w:hint="eastAsia" w:ascii="MS UI Gothic" w:hAnsi="MS UI Gothic" w:eastAsia="MS UI Gothic"/>
          <w:w w:val="105"/>
        </w:rPr>
        <w:t xml:space="preserve">” </w:t>
      </w:r>
      <w:r>
        <w:rPr>
          <w:w w:val="105"/>
        </w:rPr>
        <w:t>安全生产工作进行监督管理</w:t>
      </w:r>
      <w:r>
        <w:rPr>
          <w:rFonts w:hint="eastAsia" w:ascii="MS UI Gothic" w:hAnsi="MS UI Gothic" w:eastAsia="MS UI Gothic"/>
          <w:w w:val="80"/>
        </w:rPr>
        <w:t>ꎮ</w:t>
      </w:r>
    </w:p>
    <w:p>
      <w:pPr>
        <w:pStyle w:val="6"/>
        <w:spacing w:line="290" w:lineRule="auto"/>
        <w:ind w:left="440"/>
        <w:rPr>
          <w:rFonts w:hint="eastAsia" w:ascii="MS UI Gothic" w:hAnsi="MS UI Gothic" w:eastAsia="MS UI Gothic"/>
        </w:rPr>
      </w:pPr>
      <w:r>
        <w:t>县级以上地方人民政府住房城乡建设</w:t>
      </w:r>
      <w:r>
        <w:rPr>
          <w:w w:val="105"/>
        </w:rPr>
        <w:t xml:space="preserve">主管部门负责对本行政区域内 </w:t>
      </w:r>
      <w:r>
        <w:rPr>
          <w:rFonts w:hint="eastAsia" w:ascii="MS UI Gothic" w:hAnsi="MS UI Gothic" w:eastAsia="MS UI Gothic"/>
          <w:w w:val="105"/>
        </w:rPr>
        <w:t xml:space="preserve">“ </w:t>
      </w:r>
      <w:r>
        <w:rPr>
          <w:w w:val="105"/>
        </w:rPr>
        <w:t>安管人员</w:t>
      </w:r>
      <w:r>
        <w:rPr>
          <w:rFonts w:hint="eastAsia" w:ascii="MS UI Gothic" w:hAnsi="MS UI Gothic" w:eastAsia="MS UI Gothic"/>
          <w:w w:val="105"/>
        </w:rPr>
        <w:t xml:space="preserve">” </w:t>
      </w:r>
      <w:r>
        <w:rPr>
          <w:w w:val="105"/>
        </w:rPr>
        <w:t>安全生产工作进行监督管理</w:t>
      </w:r>
      <w:r>
        <w:rPr>
          <w:rFonts w:hint="eastAsia" w:ascii="MS UI Gothic" w:hAnsi="MS UI Gothic" w:eastAsia="MS UI Gothic"/>
          <w:w w:val="80"/>
        </w:rPr>
        <w:t>ꎮ</w:t>
      </w:r>
    </w:p>
    <w:p>
      <w:pPr>
        <w:pStyle w:val="6"/>
        <w:tabs>
          <w:tab w:val="left" w:pos="2222"/>
        </w:tabs>
        <w:spacing w:before="150"/>
        <w:ind w:left="1384" w:firstLine="0"/>
        <w:jc w:val="left"/>
      </w:pPr>
      <w:r>
        <w:rPr>
          <w:spacing w:val="3"/>
          <w:w w:val="105"/>
        </w:rPr>
        <w:t>第二</w:t>
      </w:r>
      <w:r>
        <w:rPr>
          <w:w w:val="105"/>
        </w:rPr>
        <w:t>章</w:t>
      </w:r>
      <w:r>
        <w:rPr>
          <w:w w:val="105"/>
        </w:rPr>
        <w:tab/>
      </w:r>
      <w:r>
        <w:rPr>
          <w:w w:val="105"/>
        </w:rPr>
        <w:t>考</w:t>
      </w:r>
      <w:r>
        <w:rPr>
          <w:spacing w:val="-34"/>
          <w:w w:val="105"/>
        </w:rPr>
        <w:t xml:space="preserve"> </w:t>
      </w:r>
      <w:r>
        <w:rPr>
          <w:w w:val="105"/>
        </w:rPr>
        <w:t>核</w:t>
      </w:r>
      <w:r>
        <w:rPr>
          <w:spacing w:val="-33"/>
          <w:w w:val="105"/>
        </w:rPr>
        <w:t xml:space="preserve"> </w:t>
      </w:r>
      <w:r>
        <w:rPr>
          <w:w w:val="105"/>
        </w:rPr>
        <w:t>发</w:t>
      </w:r>
      <w:r>
        <w:rPr>
          <w:spacing w:val="-33"/>
          <w:w w:val="105"/>
        </w:rPr>
        <w:t xml:space="preserve"> </w:t>
      </w:r>
      <w:r>
        <w:rPr>
          <w:w w:val="105"/>
        </w:rPr>
        <w:t>证</w:t>
      </w:r>
    </w:p>
    <w:p>
      <w:pPr>
        <w:pStyle w:val="6"/>
        <w:tabs>
          <w:tab w:val="left" w:pos="1842"/>
        </w:tabs>
        <w:spacing w:before="215"/>
        <w:ind w:left="860" w:firstLine="0"/>
        <w:jc w:val="left"/>
      </w:pPr>
      <w:r>
        <w:rPr>
          <w:spacing w:val="3"/>
          <w:w w:val="105"/>
        </w:rPr>
        <w:t>第</w:t>
      </w:r>
      <w:r>
        <w:rPr>
          <w:spacing w:val="13"/>
          <w:w w:val="105"/>
        </w:rPr>
        <w:t>五</w:t>
      </w:r>
      <w:r>
        <w:rPr>
          <w:w w:val="105"/>
        </w:rPr>
        <w:t>条</w:t>
      </w:r>
      <w:r>
        <w:rPr>
          <w:w w:val="105"/>
        </w:rPr>
        <w:tab/>
      </w:r>
      <w:r>
        <w:rPr>
          <w:rFonts w:hint="eastAsia" w:ascii="MS UI Gothic" w:hAnsi="MS UI Gothic" w:eastAsia="MS UI Gothic"/>
          <w:w w:val="105"/>
        </w:rPr>
        <w:t>“</w:t>
      </w:r>
      <w:r>
        <w:rPr>
          <w:rFonts w:hint="eastAsia" w:ascii="MS UI Gothic" w:hAnsi="MS UI Gothic" w:eastAsia="MS UI Gothic"/>
          <w:spacing w:val="-41"/>
          <w:w w:val="105"/>
        </w:rPr>
        <w:t xml:space="preserve"> </w:t>
      </w:r>
      <w:r>
        <w:rPr>
          <w:spacing w:val="17"/>
          <w:w w:val="105"/>
        </w:rPr>
        <w:t>安管人</w:t>
      </w:r>
      <w:r>
        <w:rPr>
          <w:spacing w:val="13"/>
          <w:w w:val="105"/>
        </w:rPr>
        <w:t>员</w:t>
      </w:r>
      <w:r>
        <w:rPr>
          <w:rFonts w:hint="eastAsia" w:ascii="MS UI Gothic" w:hAnsi="MS UI Gothic" w:eastAsia="MS UI Gothic"/>
          <w:w w:val="105"/>
        </w:rPr>
        <w:t>”</w:t>
      </w:r>
      <w:r>
        <w:rPr>
          <w:rFonts w:hint="eastAsia" w:ascii="MS UI Gothic" w:hAnsi="MS UI Gothic" w:eastAsia="MS UI Gothic"/>
          <w:spacing w:val="41"/>
          <w:w w:val="105"/>
        </w:rPr>
        <w:t xml:space="preserve"> </w:t>
      </w:r>
      <w:r>
        <w:rPr>
          <w:spacing w:val="19"/>
          <w:w w:val="105"/>
        </w:rPr>
        <w:t>应当通过</w:t>
      </w:r>
      <w:r>
        <w:rPr>
          <w:spacing w:val="-16"/>
          <w:w w:val="105"/>
        </w:rPr>
        <w:t>其</w:t>
      </w:r>
    </w:p>
    <w:p>
      <w:pPr>
        <w:pStyle w:val="6"/>
        <w:spacing w:before="174" w:line="300" w:lineRule="auto"/>
        <w:ind w:left="383" w:right="126" w:firstLine="0"/>
        <w:rPr>
          <w:rFonts w:hint="eastAsia" w:ascii="MS UI Gothic" w:eastAsia="MS UI Gothic"/>
        </w:rPr>
      </w:pPr>
      <w:r>
        <w:br w:type="column"/>
      </w:r>
      <w:r>
        <w:rPr>
          <w:w w:val="105"/>
        </w:rPr>
        <w:t>受聘企业</w:t>
      </w:r>
      <w:r>
        <w:rPr>
          <w:rFonts w:hint="eastAsia" w:ascii="MS UI Gothic" w:eastAsia="MS UI Gothic"/>
          <w:w w:val="80"/>
        </w:rPr>
        <w:t xml:space="preserve">ꎬ </w:t>
      </w:r>
      <w:r>
        <w:rPr>
          <w:w w:val="105"/>
        </w:rPr>
        <w:t>向企业工商注册地的省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 xml:space="preserve">直辖市人民政府住房城乡建设主管部门 </w:t>
      </w:r>
      <w:r>
        <w:rPr>
          <w:rFonts w:hint="eastAsia" w:ascii="MS UI Gothic" w:eastAsia="MS UI Gothic"/>
          <w:w w:val="150"/>
        </w:rPr>
        <w:t xml:space="preserve">( </w:t>
      </w:r>
      <w:r>
        <w:rPr>
          <w:w w:val="105"/>
        </w:rPr>
        <w:t>以下简称考核机关</w:t>
      </w:r>
      <w:r>
        <w:rPr>
          <w:rFonts w:hint="eastAsia" w:ascii="MS UI Gothic" w:eastAsia="MS UI Gothic"/>
          <w:w w:val="150"/>
        </w:rPr>
        <w:t xml:space="preserve">) </w:t>
      </w:r>
      <w:r>
        <w:rPr>
          <w:w w:val="105"/>
        </w:rPr>
        <w:t>申请安全生产</w:t>
      </w:r>
      <w:r>
        <w:t>考核</w:t>
      </w:r>
      <w:r>
        <w:rPr>
          <w:rFonts w:hint="eastAsia" w:ascii="MS UI Gothic" w:eastAsia="MS UI Gothic"/>
          <w:w w:val="80"/>
        </w:rPr>
        <w:t xml:space="preserve">ꎬ </w:t>
      </w:r>
      <w:r>
        <w:t>并取得安全生产考核合格证书</w:t>
      </w:r>
      <w:r>
        <w:rPr>
          <w:rFonts w:hint="eastAsia" w:ascii="MS UI Gothic" w:eastAsia="MS UI Gothic"/>
          <w:w w:val="80"/>
        </w:rPr>
        <w:t xml:space="preserve">ꎮ </w:t>
      </w:r>
      <w:r>
        <w:t>安</w:t>
      </w:r>
      <w:r>
        <w:rPr>
          <w:w w:val="105"/>
        </w:rPr>
        <w:t>全生产考核不得收费</w:t>
      </w:r>
      <w:r>
        <w:rPr>
          <w:rFonts w:hint="eastAsia" w:ascii="MS UI Gothic" w:eastAsia="MS UI Gothic"/>
          <w:w w:val="80"/>
        </w:rPr>
        <w:t>ꎮ</w:t>
      </w:r>
    </w:p>
    <w:p>
      <w:pPr>
        <w:pStyle w:val="6"/>
        <w:spacing w:line="300" w:lineRule="auto"/>
        <w:ind w:left="383" w:right="124"/>
        <w:rPr>
          <w:rFonts w:hint="eastAsia" w:ascii="MS UI Gothic" w:hAnsi="MS UI Gothic" w:eastAsia="MS UI Gothic"/>
        </w:rPr>
      </w:pPr>
      <w:r>
        <w:t>第六条   申请参加安全生产考核的</w:t>
      </w:r>
      <w:r>
        <w:rPr>
          <w:rFonts w:hint="eastAsia" w:ascii="MS UI Gothic" w:hAnsi="MS UI Gothic" w:eastAsia="MS UI Gothic"/>
        </w:rPr>
        <w:t xml:space="preserve">“ </w:t>
      </w:r>
      <w:r>
        <w:t>安管人员</w:t>
      </w:r>
      <w:r>
        <w:rPr>
          <w:rFonts w:hint="eastAsia" w:ascii="MS UI Gothic" w:hAnsi="MS UI Gothic" w:eastAsia="MS UI Gothic"/>
        </w:rPr>
        <w:t xml:space="preserve">” </w:t>
      </w:r>
      <w:r>
        <w:rPr>
          <w:rFonts w:hint="eastAsia" w:ascii="MS UI Gothic" w:hAnsi="MS UI Gothic" w:eastAsia="MS UI Gothic"/>
          <w:w w:val="80"/>
        </w:rPr>
        <w:t xml:space="preserve">ꎬ </w:t>
      </w:r>
      <w:r>
        <w:t>应当具备相应文化程度</w:t>
      </w:r>
      <w:r>
        <w:rPr>
          <w:rFonts w:hint="eastAsia" w:ascii="MS UI Gothic" w:hAnsi="MS UI Gothic" w:eastAsia="MS UI Gothic"/>
          <w:w w:val="80"/>
        </w:rPr>
        <w:t>、</w:t>
      </w:r>
      <w:r>
        <w:t>专业技术职称和一定安全生产工作经历</w:t>
      </w:r>
      <w:r>
        <w:rPr>
          <w:rFonts w:hint="eastAsia" w:ascii="MS UI Gothic" w:hAnsi="MS UI Gothic" w:eastAsia="MS UI Gothic"/>
          <w:w w:val="80"/>
        </w:rPr>
        <w:t>ꎬ</w:t>
      </w:r>
      <w:r>
        <w:t>与企业确立劳动关系</w:t>
      </w:r>
      <w:r>
        <w:rPr>
          <w:rFonts w:hint="eastAsia" w:ascii="MS UI Gothic" w:hAnsi="MS UI Gothic" w:eastAsia="MS UI Gothic"/>
          <w:w w:val="80"/>
        </w:rPr>
        <w:t xml:space="preserve">ꎬ </w:t>
      </w:r>
      <w:r>
        <w:t>并经企业年度安全生产教育培训合格</w:t>
      </w:r>
      <w:r>
        <w:rPr>
          <w:rFonts w:hint="eastAsia" w:ascii="MS UI Gothic" w:hAnsi="MS UI Gothic" w:eastAsia="MS UI Gothic"/>
          <w:w w:val="80"/>
        </w:rPr>
        <w:t>ꎮ</w:t>
      </w:r>
    </w:p>
    <w:p>
      <w:pPr>
        <w:pStyle w:val="6"/>
        <w:tabs>
          <w:tab w:val="left" w:pos="1640"/>
        </w:tabs>
        <w:spacing w:line="297" w:lineRule="auto"/>
        <w:ind w:left="383" w:right="126"/>
        <w:jc w:val="left"/>
        <w:rPr>
          <w:rFonts w:hint="eastAsia" w:ascii="MS UI Gothic" w:eastAsia="MS UI Gothic"/>
        </w:rPr>
      </w:pPr>
      <w:r>
        <w:rPr>
          <w:spacing w:val="3"/>
          <w:w w:val="105"/>
        </w:rPr>
        <w:t>第七</w:t>
      </w:r>
      <w:r>
        <w:rPr>
          <w:w w:val="105"/>
        </w:rPr>
        <w:t>条</w:t>
      </w:r>
      <w:r>
        <w:rPr>
          <w:w w:val="105"/>
        </w:rPr>
        <w:tab/>
      </w:r>
      <w:r>
        <w:rPr>
          <w:spacing w:val="3"/>
        </w:rPr>
        <w:t>安全生产考核包括安全生</w:t>
      </w:r>
      <w:r>
        <w:t>产</w:t>
      </w:r>
      <w:r>
        <w:rPr>
          <w:spacing w:val="3"/>
          <w:w w:val="105"/>
        </w:rPr>
        <w:t>知识考核和管理能力考核</w:t>
      </w:r>
      <w:r>
        <w:rPr>
          <w:rFonts w:hint="eastAsia" w:ascii="MS UI Gothic" w:eastAsia="MS UI Gothic"/>
          <w:w w:val="80"/>
        </w:rPr>
        <w:t>ꎮ</w:t>
      </w:r>
    </w:p>
    <w:p>
      <w:pPr>
        <w:pStyle w:val="6"/>
        <w:spacing w:line="300" w:lineRule="auto"/>
        <w:ind w:left="383" w:right="126"/>
        <w:rPr>
          <w:rFonts w:hint="eastAsia" w:ascii="MS UI Gothic" w:eastAsia="MS UI Gothic"/>
        </w:rPr>
      </w:pPr>
      <w:r>
        <w:rPr>
          <w:spacing w:val="3"/>
          <w:w w:val="105"/>
        </w:rPr>
        <w:t>安全生产知识考核内容包括</w:t>
      </w:r>
      <w:r>
        <w:rPr>
          <w:rFonts w:hint="eastAsia" w:ascii="MS UI Gothic" w:eastAsia="MS UI Gothic"/>
          <w:spacing w:val="-42"/>
          <w:w w:val="235"/>
        </w:rPr>
        <w:t xml:space="preserve">: </w:t>
      </w:r>
      <w:r>
        <w:rPr>
          <w:spacing w:val="1"/>
          <w:w w:val="105"/>
        </w:rPr>
        <w:t>建筑施</w:t>
      </w:r>
      <w:r>
        <w:rPr>
          <w:spacing w:val="12"/>
          <w:w w:val="105"/>
        </w:rPr>
        <w:t>工安全的法律法规</w:t>
      </w:r>
      <w:r>
        <w:rPr>
          <w:rFonts w:hint="eastAsia" w:ascii="MS UI Gothic" w:eastAsia="MS UI Gothic"/>
          <w:spacing w:val="18"/>
          <w:w w:val="80"/>
        </w:rPr>
        <w:t xml:space="preserve">、 </w:t>
      </w:r>
      <w:r>
        <w:rPr>
          <w:spacing w:val="18"/>
          <w:w w:val="105"/>
        </w:rPr>
        <w:t>规章制度</w:t>
      </w:r>
      <w:r>
        <w:rPr>
          <w:rFonts w:hint="eastAsia" w:ascii="MS UI Gothic" w:eastAsia="MS UI Gothic"/>
          <w:spacing w:val="18"/>
          <w:w w:val="80"/>
        </w:rPr>
        <w:t xml:space="preserve">、 </w:t>
      </w:r>
      <w:r>
        <w:rPr>
          <w:spacing w:val="15"/>
          <w:w w:val="105"/>
        </w:rPr>
        <w:t>标准规</w:t>
      </w:r>
      <w:r>
        <w:rPr>
          <w:spacing w:val="3"/>
          <w:w w:val="105"/>
        </w:rPr>
        <w:t>范</w:t>
      </w:r>
      <w:r>
        <w:rPr>
          <w:rFonts w:hint="eastAsia" w:ascii="MS UI Gothic" w:eastAsia="MS UI Gothic"/>
          <w:spacing w:val="14"/>
          <w:w w:val="80"/>
        </w:rPr>
        <w:t xml:space="preserve">ꎬ </w:t>
      </w:r>
      <w:r>
        <w:rPr>
          <w:spacing w:val="3"/>
          <w:w w:val="105"/>
        </w:rPr>
        <w:t>建筑施工安全管理基本理论等</w:t>
      </w:r>
      <w:r>
        <w:rPr>
          <w:rFonts w:hint="eastAsia" w:ascii="MS UI Gothic" w:eastAsia="MS UI Gothic"/>
          <w:w w:val="80"/>
        </w:rPr>
        <w:t>ꎮ</w:t>
      </w:r>
    </w:p>
    <w:p>
      <w:pPr>
        <w:pStyle w:val="6"/>
        <w:spacing w:line="300" w:lineRule="auto"/>
        <w:ind w:left="383" w:right="126"/>
        <w:rPr>
          <w:rFonts w:hint="eastAsia" w:ascii="MS UI Gothic" w:eastAsia="MS UI Gothic"/>
        </w:rPr>
      </w:pPr>
      <w:r>
        <w:rPr>
          <w:spacing w:val="3"/>
          <w:w w:val="105"/>
        </w:rPr>
        <w:t>安全生产管理能力考核内容包括</w:t>
      </w:r>
      <w:r>
        <w:rPr>
          <w:rFonts w:hint="eastAsia" w:ascii="MS UI Gothic" w:eastAsia="MS UI Gothic"/>
          <w:spacing w:val="-42"/>
          <w:w w:val="235"/>
        </w:rPr>
        <w:t xml:space="preserve">: </w:t>
      </w:r>
      <w:r>
        <w:rPr>
          <w:w w:val="105"/>
        </w:rPr>
        <w:t>建</w:t>
      </w:r>
      <w:r>
        <w:rPr>
          <w:spacing w:val="3"/>
          <w:w w:val="105"/>
        </w:rPr>
        <w:t>立和落实安全生产管理制度</w:t>
      </w:r>
      <w:r>
        <w:rPr>
          <w:rFonts w:hint="eastAsia" w:ascii="MS UI Gothic" w:eastAsia="MS UI Gothic"/>
          <w:spacing w:val="-2"/>
          <w:w w:val="80"/>
        </w:rPr>
        <w:t xml:space="preserve">、 </w:t>
      </w:r>
      <w:r>
        <w:rPr>
          <w:spacing w:val="2"/>
          <w:w w:val="105"/>
        </w:rPr>
        <w:t>辨识和监控</w:t>
      </w:r>
      <w:r>
        <w:rPr>
          <w:spacing w:val="3"/>
          <w:w w:val="105"/>
        </w:rPr>
        <w:t>危险性较大的分部分项工程</w:t>
      </w:r>
      <w:r>
        <w:rPr>
          <w:rFonts w:hint="eastAsia" w:ascii="MS UI Gothic" w:eastAsia="MS UI Gothic"/>
          <w:spacing w:val="-2"/>
          <w:w w:val="80"/>
        </w:rPr>
        <w:t xml:space="preserve">、 </w:t>
      </w:r>
      <w:r>
        <w:rPr>
          <w:spacing w:val="2"/>
          <w:w w:val="105"/>
        </w:rPr>
        <w:t>发现和消除</w:t>
      </w:r>
      <w:r>
        <w:rPr>
          <w:spacing w:val="3"/>
          <w:w w:val="105"/>
        </w:rPr>
        <w:t>安全事故隐患</w:t>
      </w:r>
      <w:r>
        <w:rPr>
          <w:rFonts w:hint="eastAsia" w:ascii="MS UI Gothic" w:eastAsia="MS UI Gothic"/>
          <w:spacing w:val="-2"/>
          <w:w w:val="80"/>
        </w:rPr>
        <w:t xml:space="preserve">、 </w:t>
      </w:r>
      <w:r>
        <w:rPr>
          <w:spacing w:val="2"/>
          <w:w w:val="105"/>
        </w:rPr>
        <w:t>报告和处置生产安全事故</w:t>
      </w:r>
      <w:r>
        <w:rPr>
          <w:spacing w:val="3"/>
          <w:w w:val="105"/>
        </w:rPr>
        <w:t>等方面的能力</w:t>
      </w:r>
      <w:r>
        <w:rPr>
          <w:rFonts w:hint="eastAsia" w:ascii="MS UI Gothic" w:eastAsia="MS UI Gothic"/>
          <w:w w:val="80"/>
        </w:rPr>
        <w:t>ꎮ</w:t>
      </w:r>
    </w:p>
    <w:p>
      <w:pPr>
        <w:pStyle w:val="6"/>
        <w:spacing w:line="300" w:lineRule="auto"/>
        <w:ind w:left="383" w:right="126"/>
        <w:rPr>
          <w:rFonts w:hint="eastAsia" w:ascii="MS UI Gothic" w:hAnsi="MS UI Gothic" w:eastAsia="MS UI Gothic"/>
        </w:rPr>
      </w:pPr>
      <w:r>
        <w:t>第八条 对安全生产考核合格的</w:t>
      </w:r>
      <w:r>
        <w:rPr>
          <w:rFonts w:hint="eastAsia" w:ascii="MS UI Gothic" w:hAnsi="MS UI Gothic" w:eastAsia="MS UI Gothic"/>
          <w:w w:val="85"/>
        </w:rPr>
        <w:t xml:space="preserve">ꎬ </w:t>
      </w:r>
      <w:r>
        <w:t xml:space="preserve">考核机关应当在 </w:t>
      </w:r>
      <w:r>
        <w:rPr>
          <w:rFonts w:hint="eastAsia" w:ascii="MS UI Gothic" w:hAnsi="MS UI Gothic" w:eastAsia="MS UI Gothic"/>
          <w:w w:val="85"/>
        </w:rPr>
        <w:t xml:space="preserve">２０ </w:t>
      </w:r>
      <w:r>
        <w:t>个工作日内核发安全生产考核合格证书</w:t>
      </w:r>
      <w:r>
        <w:rPr>
          <w:rFonts w:hint="eastAsia" w:ascii="MS UI Gothic" w:hAnsi="MS UI Gothic" w:eastAsia="MS UI Gothic"/>
          <w:w w:val="85"/>
        </w:rPr>
        <w:t xml:space="preserve">ꎬ </w:t>
      </w:r>
      <w:r>
        <w:t>并予以公告</w:t>
      </w:r>
      <w:r>
        <w:rPr>
          <w:rFonts w:hint="eastAsia" w:ascii="MS UI Gothic" w:hAnsi="MS UI Gothic" w:eastAsia="MS UI Gothic"/>
          <w:w w:val="85"/>
        </w:rPr>
        <w:t xml:space="preserve">ꎻ </w:t>
      </w:r>
      <w:r>
        <w:t>对不合格的</w:t>
      </w:r>
      <w:r>
        <w:rPr>
          <w:rFonts w:hint="eastAsia" w:ascii="MS UI Gothic" w:hAnsi="MS UI Gothic" w:eastAsia="MS UI Gothic"/>
          <w:w w:val="85"/>
        </w:rPr>
        <w:t xml:space="preserve">ꎬ </w:t>
      </w:r>
      <w:r>
        <w:t xml:space="preserve">应当通过 </w:t>
      </w:r>
      <w:r>
        <w:rPr>
          <w:rFonts w:hint="eastAsia" w:ascii="MS UI Gothic" w:hAnsi="MS UI Gothic" w:eastAsia="MS UI Gothic"/>
        </w:rPr>
        <w:t xml:space="preserve">“ </w:t>
      </w:r>
      <w:r>
        <w:t>安管人员</w:t>
      </w:r>
      <w:r>
        <w:rPr>
          <w:rFonts w:hint="eastAsia" w:ascii="MS UI Gothic" w:hAnsi="MS UI Gothic" w:eastAsia="MS UI Gothic"/>
        </w:rPr>
        <w:t xml:space="preserve">” </w:t>
      </w:r>
      <w:r>
        <w:t>所在企业通知本人并说明理由</w:t>
      </w:r>
      <w:r>
        <w:rPr>
          <w:rFonts w:hint="eastAsia" w:ascii="MS UI Gothic" w:hAnsi="MS UI Gothic" w:eastAsia="MS UI Gothic"/>
          <w:w w:val="85"/>
        </w:rPr>
        <w:t>ꎮ</w:t>
      </w:r>
    </w:p>
    <w:p>
      <w:pPr>
        <w:pStyle w:val="6"/>
        <w:tabs>
          <w:tab w:val="left" w:pos="1640"/>
        </w:tabs>
        <w:spacing w:line="300" w:lineRule="auto"/>
        <w:ind w:left="383" w:right="126"/>
        <w:jc w:val="left"/>
        <w:rPr>
          <w:rFonts w:hint="eastAsia" w:ascii="MS UI Gothic" w:eastAsia="MS UI Gothic"/>
        </w:rPr>
      </w:pPr>
      <w:r>
        <w:rPr>
          <w:spacing w:val="3"/>
        </w:rPr>
        <w:t>第九</w:t>
      </w:r>
      <w:r>
        <w:t>条</w:t>
      </w:r>
      <w:r>
        <w:tab/>
      </w:r>
      <w:r>
        <w:rPr>
          <w:spacing w:val="3"/>
        </w:rPr>
        <w:t>安全生产考核合格证书有</w:t>
      </w:r>
      <w:r>
        <w:t>效</w:t>
      </w:r>
      <w:r>
        <w:rPr>
          <w:spacing w:val="3"/>
        </w:rPr>
        <w:t>期</w:t>
      </w:r>
      <w:r>
        <w:t>为</w:t>
      </w:r>
      <w:r>
        <w:rPr>
          <w:spacing w:val="-54"/>
        </w:rPr>
        <w:t xml:space="preserve"> </w:t>
      </w:r>
      <w:r>
        <w:rPr>
          <w:rFonts w:hint="eastAsia" w:ascii="MS UI Gothic" w:eastAsia="MS UI Gothic"/>
          <w:w w:val="80"/>
        </w:rPr>
        <w:t>３</w:t>
      </w:r>
      <w:r>
        <w:rPr>
          <w:rFonts w:hint="eastAsia" w:ascii="MS UI Gothic" w:eastAsia="MS UI Gothic"/>
          <w:spacing w:val="6"/>
          <w:w w:val="80"/>
        </w:rPr>
        <w:t xml:space="preserve"> </w:t>
      </w:r>
      <w:r>
        <w:rPr>
          <w:spacing w:val="3"/>
        </w:rPr>
        <w:t>年</w:t>
      </w:r>
      <w:r>
        <w:rPr>
          <w:rFonts w:hint="eastAsia" w:ascii="MS UI Gothic" w:eastAsia="MS UI Gothic"/>
          <w:w w:val="80"/>
        </w:rPr>
        <w:t>ꎬ</w:t>
      </w:r>
      <w:r>
        <w:rPr>
          <w:rFonts w:hint="eastAsia" w:ascii="MS UI Gothic" w:eastAsia="MS UI Gothic"/>
          <w:spacing w:val="2"/>
          <w:w w:val="80"/>
        </w:rPr>
        <w:t xml:space="preserve"> </w:t>
      </w:r>
      <w:r>
        <w:rPr>
          <w:spacing w:val="3"/>
        </w:rPr>
        <w:t>证书在全国范围内有效</w:t>
      </w:r>
      <w:r>
        <w:rPr>
          <w:rFonts w:hint="eastAsia" w:ascii="MS UI Gothic" w:eastAsia="MS UI Gothic"/>
          <w:w w:val="80"/>
        </w:rPr>
        <w:t>ꎮ</w:t>
      </w:r>
    </w:p>
    <w:p>
      <w:pPr>
        <w:pStyle w:val="6"/>
        <w:spacing w:line="297" w:lineRule="auto"/>
        <w:ind w:left="383" w:right="126"/>
        <w:jc w:val="left"/>
        <w:rPr>
          <w:rFonts w:hint="eastAsia" w:ascii="MS UI Gothic" w:eastAsia="MS UI Gothic"/>
        </w:rPr>
      </w:pPr>
      <w:r>
        <w:t>证书式样由国务院住房城乡建设主管</w:t>
      </w:r>
      <w:r>
        <w:rPr>
          <w:w w:val="105"/>
        </w:rPr>
        <w:t>部门统一规定</w:t>
      </w:r>
      <w:r>
        <w:rPr>
          <w:rFonts w:hint="eastAsia" w:ascii="MS UI Gothic" w:eastAsia="MS UI Gothic"/>
          <w:w w:val="80"/>
        </w:rPr>
        <w:t>ꎮ</w:t>
      </w:r>
    </w:p>
    <w:p>
      <w:pPr>
        <w:pStyle w:val="6"/>
        <w:spacing w:line="300" w:lineRule="auto"/>
        <w:ind w:left="383" w:right="126"/>
        <w:rPr>
          <w:rFonts w:hint="eastAsia" w:ascii="MS UI Gothic" w:hAnsi="MS UI Gothic" w:eastAsia="MS UI Gothic"/>
        </w:rPr>
      </w:pPr>
      <w:r>
        <w:t>第十条 安全生产考核合格证书有效期届满需要延续的</w:t>
      </w:r>
      <w:r>
        <w:rPr>
          <w:rFonts w:hint="eastAsia" w:ascii="MS UI Gothic" w:hAnsi="MS UI Gothic" w:eastAsia="MS UI Gothic"/>
          <w:w w:val="80"/>
        </w:rPr>
        <w:t xml:space="preserve">ꎬ </w:t>
      </w:r>
      <w:r>
        <w:rPr>
          <w:rFonts w:hint="eastAsia" w:ascii="MS UI Gothic" w:hAnsi="MS UI Gothic" w:eastAsia="MS UI Gothic"/>
        </w:rPr>
        <w:t xml:space="preserve">“ </w:t>
      </w:r>
      <w:r>
        <w:t>安管人员</w:t>
      </w:r>
      <w:r>
        <w:rPr>
          <w:rFonts w:hint="eastAsia" w:ascii="MS UI Gothic" w:hAnsi="MS UI Gothic" w:eastAsia="MS UI Gothic"/>
        </w:rPr>
        <w:t xml:space="preserve">” </w:t>
      </w:r>
      <w:r>
        <w:t xml:space="preserve">应当在有效期届满前 </w:t>
      </w:r>
      <w:r>
        <w:rPr>
          <w:rFonts w:hint="eastAsia" w:ascii="MS UI Gothic" w:hAnsi="MS UI Gothic" w:eastAsia="MS UI Gothic"/>
          <w:w w:val="80"/>
        </w:rPr>
        <w:t xml:space="preserve">３ </w:t>
      </w:r>
      <w:r>
        <w:t>个月内</w:t>
      </w:r>
      <w:r>
        <w:rPr>
          <w:rFonts w:hint="eastAsia" w:ascii="MS UI Gothic" w:hAnsi="MS UI Gothic" w:eastAsia="MS UI Gothic"/>
          <w:w w:val="80"/>
        </w:rPr>
        <w:t xml:space="preserve">ꎬ </w:t>
      </w:r>
      <w:r>
        <w:t>由本人通过受聘企业向原考核机关申请证书延续</w:t>
      </w:r>
      <w:r>
        <w:rPr>
          <w:rFonts w:hint="eastAsia" w:ascii="MS UI Gothic" w:hAnsi="MS UI Gothic" w:eastAsia="MS UI Gothic"/>
          <w:w w:val="80"/>
        </w:rPr>
        <w:t xml:space="preserve">ꎮ </w:t>
      </w:r>
      <w:r>
        <w:t>准予证书延续的</w:t>
      </w:r>
      <w:r>
        <w:rPr>
          <w:rFonts w:hint="eastAsia" w:ascii="MS UI Gothic" w:hAnsi="MS UI Gothic" w:eastAsia="MS UI Gothic"/>
          <w:w w:val="80"/>
        </w:rPr>
        <w:t xml:space="preserve">ꎬ </w:t>
      </w:r>
      <w:r>
        <w:t xml:space="preserve">证书有效期延续 </w:t>
      </w:r>
      <w:r>
        <w:rPr>
          <w:rFonts w:hint="eastAsia" w:ascii="MS UI Gothic" w:hAnsi="MS UI Gothic" w:eastAsia="MS UI Gothic"/>
          <w:w w:val="80"/>
        </w:rPr>
        <w:t xml:space="preserve">３ </w:t>
      </w:r>
      <w:r>
        <w:t>年</w:t>
      </w:r>
      <w:r>
        <w:rPr>
          <w:rFonts w:hint="eastAsia" w:ascii="MS UI Gothic" w:hAnsi="MS UI Gothic" w:eastAsia="MS UI Gothic"/>
          <w:w w:val="80"/>
        </w:rPr>
        <w:t>ꎮ</w:t>
      </w:r>
    </w:p>
    <w:p>
      <w:pPr>
        <w:spacing w:after="0" w:line="300" w:lineRule="auto"/>
        <w:rPr>
          <w:rFonts w:hint="eastAsia" w:ascii="MS UI Gothic" w:hAns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４５０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49" o:spid="_x0000_s2349" o:spt="203" style="height:2.15pt;width:398.25pt;" coordsize="7965,43">
            <o:lock v:ext="edit"/>
            <v:line id="_x0000_s2350" o:spid="_x0000_s2350" o:spt="20" style="position:absolute;left:0;top:39;height:0;width:7965;" stroked="t" coordsize="21600,21600">
              <v:path arrowok="t"/>
              <v:fill focussize="0,0"/>
              <v:stroke weight="0.388031496062992pt" color="#231F20"/>
              <v:imagedata o:title=""/>
              <o:lock v:ext="edit"/>
            </v:line>
            <v:line id="_x0000_s2351" o:spid="_x0000_s235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t>对证书有效期内未因生产安全事故或者违反本规定受到行政处罚</w:t>
      </w:r>
      <w:r>
        <w:rPr>
          <w:rFonts w:hint="eastAsia" w:ascii="MS UI Gothic" w:eastAsia="MS UI Gothic"/>
          <w:w w:val="85"/>
        </w:rPr>
        <w:t xml:space="preserve">ꎬ </w:t>
      </w:r>
      <w:r>
        <w:t>信用档案中无不良行为记录</w:t>
      </w:r>
      <w:r>
        <w:rPr>
          <w:rFonts w:hint="eastAsia" w:ascii="MS UI Gothic" w:eastAsia="MS UI Gothic"/>
          <w:w w:val="85"/>
        </w:rPr>
        <w:t xml:space="preserve">ꎬ </w:t>
      </w:r>
      <w:r>
        <w:t>且已按规定参加企业和县级以上人民政府住房城乡建设主管部门组织的安全生产教育培训的</w:t>
      </w:r>
      <w:r>
        <w:rPr>
          <w:rFonts w:hint="eastAsia" w:ascii="MS UI Gothic" w:eastAsia="MS UI Gothic"/>
          <w:w w:val="85"/>
        </w:rPr>
        <w:t xml:space="preserve">ꎬ </w:t>
      </w:r>
      <w:r>
        <w:t xml:space="preserve">考核机关应当在受理延续申请之日起 </w:t>
      </w:r>
      <w:r>
        <w:rPr>
          <w:rFonts w:hint="eastAsia" w:ascii="MS UI Gothic" w:eastAsia="MS UI Gothic"/>
          <w:w w:val="85"/>
        </w:rPr>
        <w:t xml:space="preserve">２０ </w:t>
      </w:r>
      <w:r>
        <w:t>个工作日内</w:t>
      </w:r>
      <w:r>
        <w:rPr>
          <w:rFonts w:hint="eastAsia" w:ascii="MS UI Gothic" w:eastAsia="MS UI Gothic"/>
          <w:w w:val="85"/>
        </w:rPr>
        <w:t>ꎬ</w:t>
      </w:r>
      <w:r>
        <w:t>准予证书延续</w:t>
      </w:r>
      <w:r>
        <w:rPr>
          <w:rFonts w:hint="eastAsia" w:ascii="MS UI Gothic" w:eastAsia="MS UI Gothic"/>
          <w:w w:val="85"/>
        </w:rPr>
        <w:t>ꎮ</w:t>
      </w:r>
    </w:p>
    <w:p>
      <w:pPr>
        <w:pStyle w:val="6"/>
        <w:spacing w:line="295" w:lineRule="auto"/>
        <w:ind w:right="39"/>
        <w:rPr>
          <w:rFonts w:hint="eastAsia" w:ascii="MS UI Gothic" w:hAnsi="MS UI Gothic" w:eastAsia="MS UI Gothic"/>
        </w:rPr>
      </w:pPr>
      <w:r>
        <w:t xml:space="preserve">第十一条  </w:t>
      </w:r>
      <w:r>
        <w:rPr>
          <w:rFonts w:hint="eastAsia" w:ascii="MS UI Gothic" w:hAnsi="MS UI Gothic" w:eastAsia="MS UI Gothic"/>
        </w:rPr>
        <w:t xml:space="preserve">“ </w:t>
      </w:r>
      <w:r>
        <w:t>安管人员</w:t>
      </w:r>
      <w:r>
        <w:rPr>
          <w:rFonts w:hint="eastAsia" w:ascii="MS UI Gothic" w:hAnsi="MS UI Gothic" w:eastAsia="MS UI Gothic"/>
        </w:rPr>
        <w:t xml:space="preserve">”  </w:t>
      </w:r>
      <w:r>
        <w:t>变更受聘企业的</w:t>
      </w:r>
      <w:r>
        <w:rPr>
          <w:rFonts w:hint="eastAsia" w:ascii="MS UI Gothic" w:hAnsi="MS UI Gothic" w:eastAsia="MS UI Gothic"/>
          <w:w w:val="80"/>
        </w:rPr>
        <w:t xml:space="preserve">ꎬ </w:t>
      </w:r>
      <w:r>
        <w:t>应当与原聘用企业解除劳动关系</w:t>
      </w:r>
      <w:r>
        <w:rPr>
          <w:rFonts w:hint="eastAsia" w:ascii="MS UI Gothic" w:hAnsi="MS UI Gothic" w:eastAsia="MS UI Gothic"/>
          <w:w w:val="80"/>
        </w:rPr>
        <w:t xml:space="preserve">ꎬ </w:t>
      </w:r>
      <w:r>
        <w:t>并通过新聘用企业到考核机关申请办理证书变更手续</w:t>
      </w:r>
      <w:r>
        <w:rPr>
          <w:rFonts w:hint="eastAsia" w:ascii="MS UI Gothic" w:hAnsi="MS UI Gothic" w:eastAsia="MS UI Gothic"/>
          <w:w w:val="80"/>
        </w:rPr>
        <w:t xml:space="preserve">ꎮ </w:t>
      </w:r>
      <w:r>
        <w:t xml:space="preserve">考核机关应当在受理变更申请之日起 </w:t>
      </w:r>
      <w:r>
        <w:rPr>
          <w:rFonts w:hint="eastAsia" w:ascii="MS UI Gothic" w:hAnsi="MS UI Gothic" w:eastAsia="MS UI Gothic"/>
          <w:w w:val="80"/>
        </w:rPr>
        <w:t xml:space="preserve">５ </w:t>
      </w:r>
      <w:r>
        <w:t>个工作日内办理完毕</w:t>
      </w:r>
      <w:r>
        <w:rPr>
          <w:rFonts w:hint="eastAsia" w:ascii="MS UI Gothic" w:hAnsi="MS UI Gothic" w:eastAsia="MS UI Gothic"/>
          <w:w w:val="80"/>
        </w:rPr>
        <w:t>ꎮ</w:t>
      </w:r>
    </w:p>
    <w:p>
      <w:pPr>
        <w:pStyle w:val="6"/>
        <w:spacing w:line="295" w:lineRule="auto"/>
        <w:ind w:right="39"/>
        <w:rPr>
          <w:rFonts w:hint="eastAsia" w:ascii="MS UI Gothic" w:hAnsi="MS UI Gothic" w:eastAsia="MS UI Gothic"/>
        </w:rPr>
      </w:pPr>
      <w:r>
        <w:rPr>
          <w:spacing w:val="20"/>
        </w:rPr>
        <w:t xml:space="preserve">第十二条  </w:t>
      </w:r>
      <w:r>
        <w:rPr>
          <w:rFonts w:hint="eastAsia" w:ascii="MS UI Gothic" w:hAnsi="MS UI Gothic" w:eastAsia="MS UI Gothic"/>
          <w:spacing w:val="-13"/>
        </w:rPr>
        <w:t xml:space="preserve">“ </w:t>
      </w:r>
      <w:r>
        <w:rPr>
          <w:spacing w:val="16"/>
        </w:rPr>
        <w:t>安管人员</w:t>
      </w:r>
      <w:r>
        <w:rPr>
          <w:rFonts w:hint="eastAsia" w:ascii="MS UI Gothic" w:hAnsi="MS UI Gothic" w:eastAsia="MS UI Gothic"/>
          <w:spacing w:val="11"/>
        </w:rPr>
        <w:t xml:space="preserve">”  </w:t>
      </w:r>
      <w:r>
        <w:rPr>
          <w:spacing w:val="14"/>
        </w:rPr>
        <w:t>遗失安全</w:t>
      </w:r>
      <w:r>
        <w:rPr>
          <w:spacing w:val="3"/>
        </w:rPr>
        <w:t>生产考核合格证书的</w:t>
      </w:r>
      <w:r>
        <w:rPr>
          <w:rFonts w:hint="eastAsia" w:ascii="MS UI Gothic" w:hAnsi="MS UI Gothic" w:eastAsia="MS UI Gothic"/>
          <w:spacing w:val="21"/>
          <w:w w:val="80"/>
        </w:rPr>
        <w:t xml:space="preserve">ꎬ </w:t>
      </w:r>
      <w:r>
        <w:rPr>
          <w:spacing w:val="2"/>
        </w:rPr>
        <w:t>应当在公共媒体上</w:t>
      </w:r>
      <w:r>
        <w:rPr>
          <w:spacing w:val="3"/>
        </w:rPr>
        <w:t>声明作废</w:t>
      </w:r>
      <w:r>
        <w:rPr>
          <w:rFonts w:hint="eastAsia" w:ascii="MS UI Gothic" w:hAnsi="MS UI Gothic" w:eastAsia="MS UI Gothic"/>
          <w:spacing w:val="21"/>
          <w:w w:val="80"/>
        </w:rPr>
        <w:t xml:space="preserve">ꎬ </w:t>
      </w:r>
      <w:r>
        <w:rPr>
          <w:spacing w:val="2"/>
        </w:rPr>
        <w:t>通过其受聘企业向原考核机关</w:t>
      </w:r>
      <w:r>
        <w:rPr>
          <w:spacing w:val="3"/>
        </w:rPr>
        <w:t>申请补办</w:t>
      </w:r>
      <w:r>
        <w:rPr>
          <w:rFonts w:hint="eastAsia" w:ascii="MS UI Gothic" w:hAnsi="MS UI Gothic" w:eastAsia="MS UI Gothic"/>
          <w:spacing w:val="21"/>
          <w:w w:val="80"/>
        </w:rPr>
        <w:t xml:space="preserve">ꎮ </w:t>
      </w:r>
      <w:r>
        <w:rPr>
          <w:spacing w:val="2"/>
        </w:rPr>
        <w:t>考核机关应当在受理申请之日</w:t>
      </w:r>
      <w:r>
        <w:rPr>
          <w:spacing w:val="-25"/>
        </w:rPr>
        <w:t xml:space="preserve">起 </w:t>
      </w:r>
      <w:r>
        <w:rPr>
          <w:rFonts w:hint="eastAsia" w:ascii="MS UI Gothic" w:hAnsi="MS UI Gothic" w:eastAsia="MS UI Gothic"/>
          <w:spacing w:val="4"/>
          <w:w w:val="80"/>
        </w:rPr>
        <w:t xml:space="preserve">５ </w:t>
      </w:r>
      <w:r>
        <w:rPr>
          <w:spacing w:val="3"/>
        </w:rPr>
        <w:t>个工作日内办理完毕</w:t>
      </w:r>
      <w:r>
        <w:rPr>
          <w:rFonts w:hint="eastAsia" w:ascii="MS UI Gothic" w:hAnsi="MS UI Gothic" w:eastAsia="MS UI Gothic"/>
          <w:w w:val="80"/>
        </w:rPr>
        <w:t>ꎮ</w:t>
      </w:r>
    </w:p>
    <w:p>
      <w:pPr>
        <w:pStyle w:val="6"/>
        <w:spacing w:line="295" w:lineRule="auto"/>
        <w:ind w:right="38"/>
        <w:rPr>
          <w:rFonts w:hint="eastAsia" w:ascii="MS UI Gothic" w:hAnsi="MS UI Gothic" w:eastAsia="MS UI Gothic"/>
        </w:rPr>
      </w:pPr>
      <w:r>
        <w:rPr>
          <w:spacing w:val="12"/>
        </w:rPr>
        <w:t xml:space="preserve">第十三条  </w:t>
      </w:r>
      <w:r>
        <w:rPr>
          <w:rFonts w:hint="eastAsia" w:ascii="MS UI Gothic" w:hAnsi="MS UI Gothic" w:eastAsia="MS UI Gothic"/>
          <w:spacing w:val="-16"/>
        </w:rPr>
        <w:t xml:space="preserve">“ </w:t>
      </w:r>
      <w:r>
        <w:rPr>
          <w:spacing w:val="9"/>
        </w:rPr>
        <w:t>安管人员</w:t>
      </w:r>
      <w:r>
        <w:rPr>
          <w:rFonts w:hint="eastAsia" w:ascii="MS UI Gothic" w:hAnsi="MS UI Gothic" w:eastAsia="MS UI Gothic"/>
          <w:spacing w:val="9"/>
        </w:rPr>
        <w:t xml:space="preserve">”  </w:t>
      </w:r>
      <w:r>
        <w:rPr>
          <w:spacing w:val="9"/>
        </w:rPr>
        <w:t>不得涂改</w:t>
      </w:r>
      <w:r>
        <w:rPr>
          <w:rFonts w:hint="eastAsia" w:ascii="MS UI Gothic" w:hAnsi="MS UI Gothic" w:eastAsia="MS UI Gothic"/>
          <w:w w:val="80"/>
        </w:rPr>
        <w:t>、</w:t>
      </w:r>
      <w:r>
        <w:rPr>
          <w:spacing w:val="3"/>
        </w:rPr>
        <w:t>倒卖</w:t>
      </w:r>
      <w:r>
        <w:rPr>
          <w:rFonts w:hint="eastAsia" w:ascii="MS UI Gothic" w:hAnsi="MS UI Gothic" w:eastAsia="MS UI Gothic"/>
          <w:spacing w:val="23"/>
          <w:w w:val="80"/>
        </w:rPr>
        <w:t xml:space="preserve">、 </w:t>
      </w:r>
      <w:r>
        <w:rPr>
          <w:spacing w:val="3"/>
        </w:rPr>
        <w:t>出租</w:t>
      </w:r>
      <w:r>
        <w:rPr>
          <w:rFonts w:hint="eastAsia" w:ascii="MS UI Gothic" w:hAnsi="MS UI Gothic" w:eastAsia="MS UI Gothic"/>
          <w:spacing w:val="23"/>
          <w:w w:val="80"/>
        </w:rPr>
        <w:t xml:space="preserve">、 </w:t>
      </w:r>
      <w:r>
        <w:rPr>
          <w:spacing w:val="2"/>
        </w:rPr>
        <w:t>出借或者以其他形式非法转</w:t>
      </w:r>
      <w:r>
        <w:rPr>
          <w:spacing w:val="3"/>
        </w:rPr>
        <w:t>让安全生产考核合格证书</w:t>
      </w:r>
      <w:r>
        <w:rPr>
          <w:rFonts w:hint="eastAsia" w:ascii="MS UI Gothic" w:hAnsi="MS UI Gothic" w:eastAsia="MS UI Gothic"/>
          <w:w w:val="80"/>
        </w:rPr>
        <w:t>ꎮ</w:t>
      </w:r>
    </w:p>
    <w:p>
      <w:pPr>
        <w:pStyle w:val="6"/>
        <w:tabs>
          <w:tab w:val="left" w:pos="1906"/>
        </w:tabs>
        <w:spacing w:before="141"/>
        <w:ind w:left="1067" w:firstLine="0"/>
        <w:jc w:val="left"/>
      </w:pPr>
      <w:r>
        <w:rPr>
          <w:spacing w:val="3"/>
          <w:w w:val="105"/>
        </w:rPr>
        <w:t>第三</w:t>
      </w:r>
      <w:r>
        <w:rPr>
          <w:w w:val="105"/>
        </w:rPr>
        <w:t>章</w:t>
      </w:r>
      <w:r>
        <w:rPr>
          <w:w w:val="105"/>
        </w:rPr>
        <w:tab/>
      </w:r>
      <w:r>
        <w:rPr>
          <w:w w:val="105"/>
        </w:rPr>
        <w:t>安</w:t>
      </w:r>
      <w:r>
        <w:rPr>
          <w:spacing w:val="-34"/>
          <w:w w:val="105"/>
        </w:rPr>
        <w:t xml:space="preserve"> </w:t>
      </w:r>
      <w:r>
        <w:rPr>
          <w:w w:val="105"/>
        </w:rPr>
        <w:t>全</w:t>
      </w:r>
      <w:r>
        <w:rPr>
          <w:spacing w:val="-33"/>
          <w:w w:val="105"/>
        </w:rPr>
        <w:t xml:space="preserve"> </w:t>
      </w:r>
      <w:r>
        <w:rPr>
          <w:w w:val="105"/>
        </w:rPr>
        <w:t>责</w:t>
      </w:r>
      <w:r>
        <w:rPr>
          <w:spacing w:val="-33"/>
          <w:w w:val="105"/>
        </w:rPr>
        <w:t xml:space="preserve"> </w:t>
      </w:r>
      <w:r>
        <w:rPr>
          <w:w w:val="105"/>
        </w:rPr>
        <w:t>任</w:t>
      </w:r>
    </w:p>
    <w:p>
      <w:pPr>
        <w:pStyle w:val="6"/>
        <w:spacing w:before="11"/>
        <w:ind w:left="0" w:firstLine="0"/>
        <w:jc w:val="left"/>
        <w:rPr>
          <w:sz w:val="16"/>
        </w:rPr>
      </w:pPr>
    </w:p>
    <w:p>
      <w:pPr>
        <w:pStyle w:val="6"/>
        <w:spacing w:line="295" w:lineRule="auto"/>
        <w:ind w:right="39"/>
        <w:rPr>
          <w:rFonts w:hint="eastAsia" w:ascii="MS UI Gothic" w:eastAsia="MS UI Gothic"/>
        </w:rPr>
      </w:pPr>
      <w:r>
        <w:t>第十四条 主要负责人对本企业安全生产工作全面负责</w:t>
      </w:r>
      <w:r>
        <w:rPr>
          <w:rFonts w:hint="eastAsia" w:ascii="MS UI Gothic" w:eastAsia="MS UI Gothic"/>
          <w:w w:val="80"/>
        </w:rPr>
        <w:t xml:space="preserve">ꎬ </w:t>
      </w:r>
      <w:r>
        <w:t>应当建立健全企业安全生产管理体系</w:t>
      </w:r>
      <w:r>
        <w:rPr>
          <w:rFonts w:hint="eastAsia" w:ascii="MS UI Gothic" w:eastAsia="MS UI Gothic"/>
          <w:w w:val="80"/>
        </w:rPr>
        <w:t xml:space="preserve">ꎬ </w:t>
      </w:r>
      <w:r>
        <w:t>设置安全生产管理机构</w:t>
      </w:r>
      <w:r>
        <w:rPr>
          <w:rFonts w:hint="eastAsia" w:ascii="MS UI Gothic" w:eastAsia="MS UI Gothic"/>
          <w:w w:val="80"/>
        </w:rPr>
        <w:t xml:space="preserve">ꎬ </w:t>
      </w:r>
      <w:r>
        <w:t>配备专职安全生产管理人员</w:t>
      </w:r>
      <w:r>
        <w:rPr>
          <w:rFonts w:hint="eastAsia" w:ascii="MS UI Gothic" w:eastAsia="MS UI Gothic"/>
          <w:w w:val="80"/>
        </w:rPr>
        <w:t xml:space="preserve">ꎬ </w:t>
      </w:r>
      <w:r>
        <w:t>保证安全生产投入</w:t>
      </w:r>
      <w:r>
        <w:rPr>
          <w:rFonts w:hint="eastAsia" w:ascii="MS UI Gothic" w:eastAsia="MS UI Gothic"/>
          <w:w w:val="80"/>
        </w:rPr>
        <w:t xml:space="preserve">ꎬ </w:t>
      </w:r>
      <w:r>
        <w:t>督促检查本企业安全生产工作</w:t>
      </w:r>
      <w:r>
        <w:rPr>
          <w:rFonts w:hint="eastAsia" w:ascii="MS UI Gothic" w:eastAsia="MS UI Gothic"/>
          <w:w w:val="80"/>
        </w:rPr>
        <w:t xml:space="preserve">ꎬ </w:t>
      </w:r>
      <w:r>
        <w:t>及时消除安全事故隐患</w:t>
      </w:r>
      <w:r>
        <w:rPr>
          <w:rFonts w:hint="eastAsia" w:ascii="MS UI Gothic" w:eastAsia="MS UI Gothic"/>
          <w:w w:val="80"/>
        </w:rPr>
        <w:t xml:space="preserve">ꎬ </w:t>
      </w:r>
      <w:r>
        <w:t>落实安全生产责任</w:t>
      </w:r>
      <w:r>
        <w:rPr>
          <w:rFonts w:hint="eastAsia" w:ascii="MS UI Gothic" w:eastAsia="MS UI Gothic"/>
          <w:w w:val="80"/>
        </w:rPr>
        <w:t>ꎮ</w:t>
      </w:r>
    </w:p>
    <w:p>
      <w:pPr>
        <w:pStyle w:val="6"/>
        <w:spacing w:line="295" w:lineRule="auto"/>
        <w:ind w:right="39"/>
        <w:rPr>
          <w:rFonts w:hint="eastAsia" w:ascii="MS UI Gothic" w:eastAsia="MS UI Gothic"/>
        </w:rPr>
      </w:pPr>
      <w:r>
        <w:t>第十五条 主要负责人应当与项目负责人签订安全生产责任书</w:t>
      </w:r>
      <w:r>
        <w:rPr>
          <w:rFonts w:hint="eastAsia" w:ascii="MS UI Gothic" w:eastAsia="MS UI Gothic"/>
          <w:w w:val="80"/>
        </w:rPr>
        <w:t xml:space="preserve">ꎬ </w:t>
      </w:r>
      <w:r>
        <w:t>确定项目安全生产考核目标</w:t>
      </w:r>
      <w:r>
        <w:rPr>
          <w:rFonts w:hint="eastAsia" w:ascii="MS UI Gothic" w:eastAsia="MS UI Gothic"/>
          <w:w w:val="80"/>
        </w:rPr>
        <w:t xml:space="preserve">、 </w:t>
      </w:r>
      <w:r>
        <w:t>奖惩措施</w:t>
      </w:r>
      <w:r>
        <w:rPr>
          <w:rFonts w:hint="eastAsia" w:ascii="MS UI Gothic" w:eastAsia="MS UI Gothic"/>
          <w:w w:val="80"/>
        </w:rPr>
        <w:t xml:space="preserve">ꎬ </w:t>
      </w:r>
      <w:r>
        <w:t>以及企业为项目提供的安全管理和技术保障措施</w:t>
      </w:r>
      <w:r>
        <w:rPr>
          <w:rFonts w:hint="eastAsia" w:ascii="MS UI Gothic" w:eastAsia="MS UI Gothic"/>
          <w:w w:val="80"/>
        </w:rPr>
        <w:t>ꎮ</w:t>
      </w:r>
    </w:p>
    <w:p>
      <w:pPr>
        <w:pStyle w:val="6"/>
        <w:spacing w:line="295" w:lineRule="auto"/>
        <w:ind w:right="39"/>
        <w:rPr>
          <w:rFonts w:hint="eastAsia" w:ascii="MS UI Gothic" w:eastAsia="MS UI Gothic"/>
        </w:rPr>
      </w:pPr>
      <w:r>
        <w:t>工程项目实行总承包的</w:t>
      </w:r>
      <w:r>
        <w:rPr>
          <w:rFonts w:hint="eastAsia" w:ascii="MS UI Gothic" w:eastAsia="MS UI Gothic"/>
          <w:w w:val="80"/>
        </w:rPr>
        <w:t xml:space="preserve">ꎬ </w:t>
      </w:r>
      <w:r>
        <w:t>总承包企业应当与分包企业签订安全生产协议</w:t>
      </w:r>
      <w:r>
        <w:rPr>
          <w:rFonts w:hint="eastAsia" w:ascii="MS UI Gothic" w:eastAsia="MS UI Gothic"/>
          <w:w w:val="80"/>
        </w:rPr>
        <w:t xml:space="preserve">ꎬ </w:t>
      </w:r>
      <w:r>
        <w:t>明确双方安全生产责任</w:t>
      </w:r>
      <w:r>
        <w:rPr>
          <w:rFonts w:hint="eastAsia" w:ascii="MS UI Gothic" w:eastAsia="MS UI Gothic"/>
          <w:w w:val="80"/>
        </w:rPr>
        <w:t>ꎮ</w:t>
      </w:r>
    </w:p>
    <w:p>
      <w:pPr>
        <w:pStyle w:val="6"/>
        <w:spacing w:line="295" w:lineRule="auto"/>
        <w:ind w:right="39"/>
      </w:pPr>
      <w:r>
        <w:rPr>
          <w:w w:val="105"/>
        </w:rPr>
        <w:t>第十六条 主要负责人应当按规定检</w:t>
      </w:r>
      <w:r>
        <w:t>查企业所承担的工程项目</w:t>
      </w:r>
      <w:r>
        <w:rPr>
          <w:rFonts w:hint="eastAsia" w:ascii="MS UI Gothic" w:eastAsia="MS UI Gothic"/>
          <w:w w:val="80"/>
        </w:rPr>
        <w:t xml:space="preserve">ꎬ </w:t>
      </w:r>
      <w:r>
        <w:t>考核项目负责人安全生产管理能力</w:t>
      </w:r>
      <w:r>
        <w:rPr>
          <w:rFonts w:hint="eastAsia" w:ascii="MS UI Gothic" w:eastAsia="MS UI Gothic"/>
          <w:w w:val="80"/>
        </w:rPr>
        <w:t xml:space="preserve">ꎮ </w:t>
      </w:r>
      <w:r>
        <w:t>发现项目负责人履</w:t>
      </w:r>
    </w:p>
    <w:p>
      <w:pPr>
        <w:pStyle w:val="6"/>
        <w:spacing w:before="123" w:line="295" w:lineRule="auto"/>
        <w:ind w:right="440" w:firstLine="0"/>
        <w:rPr>
          <w:rFonts w:hint="eastAsia" w:ascii="MS UI Gothic" w:eastAsia="MS UI Gothic"/>
        </w:rPr>
      </w:pPr>
      <w:r>
        <w:br w:type="column"/>
      </w:r>
      <w:r>
        <w:rPr>
          <w:spacing w:val="3"/>
        </w:rPr>
        <w:t>职不到位的</w:t>
      </w:r>
      <w:r>
        <w:rPr>
          <w:rFonts w:hint="eastAsia" w:ascii="MS UI Gothic" w:eastAsia="MS UI Gothic"/>
          <w:spacing w:val="11"/>
          <w:w w:val="80"/>
        </w:rPr>
        <w:t xml:space="preserve">ꎬ </w:t>
      </w:r>
      <w:r>
        <w:rPr>
          <w:spacing w:val="13"/>
        </w:rPr>
        <w:t>应当责令其改正</w:t>
      </w:r>
      <w:r>
        <w:rPr>
          <w:rFonts w:hint="eastAsia" w:ascii="MS UI Gothic" w:eastAsia="MS UI Gothic"/>
          <w:spacing w:val="13"/>
          <w:w w:val="80"/>
        </w:rPr>
        <w:t xml:space="preserve">ꎻ </w:t>
      </w:r>
      <w:r>
        <w:rPr>
          <w:spacing w:val="11"/>
        </w:rPr>
        <w:t>必要时</w:t>
      </w:r>
      <w:r>
        <w:rPr>
          <w:rFonts w:hint="eastAsia" w:ascii="MS UI Gothic" w:eastAsia="MS UI Gothic"/>
          <w:w w:val="80"/>
        </w:rPr>
        <w:t>ꎬ</w:t>
      </w:r>
      <w:r>
        <w:rPr>
          <w:spacing w:val="3"/>
        </w:rPr>
        <w:t>调整项目负责人</w:t>
      </w:r>
      <w:r>
        <w:rPr>
          <w:rFonts w:hint="eastAsia" w:ascii="MS UI Gothic" w:eastAsia="MS UI Gothic"/>
          <w:spacing w:val="19"/>
          <w:w w:val="80"/>
        </w:rPr>
        <w:t xml:space="preserve">ꎮ </w:t>
      </w:r>
      <w:r>
        <w:rPr>
          <w:spacing w:val="2"/>
        </w:rPr>
        <w:t>检查情况应当记入企业</w:t>
      </w:r>
      <w:r>
        <w:rPr>
          <w:spacing w:val="3"/>
        </w:rPr>
        <w:t>和项目安全管理档案</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第十七条 项目负责人对本项目安全</w:t>
      </w:r>
      <w:r>
        <w:rPr>
          <w:spacing w:val="3"/>
        </w:rPr>
        <w:t>生产管理全面负责</w:t>
      </w:r>
      <w:r>
        <w:rPr>
          <w:rFonts w:hint="eastAsia" w:ascii="MS UI Gothic" w:eastAsia="MS UI Gothic"/>
          <w:spacing w:val="20"/>
          <w:w w:val="80"/>
        </w:rPr>
        <w:t xml:space="preserve">ꎬ </w:t>
      </w:r>
      <w:r>
        <w:rPr>
          <w:spacing w:val="2"/>
        </w:rPr>
        <w:t>应当建立项目安全生</w:t>
      </w:r>
      <w:r>
        <w:rPr>
          <w:spacing w:val="10"/>
        </w:rPr>
        <w:t>产管理体系</w:t>
      </w:r>
      <w:r>
        <w:rPr>
          <w:rFonts w:hint="eastAsia" w:ascii="MS UI Gothic" w:eastAsia="MS UI Gothic"/>
          <w:spacing w:val="23"/>
          <w:w w:val="80"/>
        </w:rPr>
        <w:t xml:space="preserve">ꎬ </w:t>
      </w:r>
      <w:r>
        <w:rPr>
          <w:spacing w:val="17"/>
        </w:rPr>
        <w:t>明确项目管理人员安全职</w:t>
      </w:r>
      <w:r>
        <w:rPr>
          <w:spacing w:val="3"/>
        </w:rPr>
        <w:t>责</w:t>
      </w:r>
      <w:r>
        <w:rPr>
          <w:rFonts w:hint="eastAsia" w:ascii="MS UI Gothic" w:eastAsia="MS UI Gothic"/>
          <w:spacing w:val="23"/>
          <w:w w:val="80"/>
        </w:rPr>
        <w:t xml:space="preserve">ꎬ </w:t>
      </w:r>
      <w:r>
        <w:rPr>
          <w:spacing w:val="3"/>
        </w:rPr>
        <w:t>落实安全生产管理制度</w:t>
      </w:r>
      <w:r>
        <w:rPr>
          <w:rFonts w:hint="eastAsia" w:ascii="MS UI Gothic" w:eastAsia="MS UI Gothic"/>
          <w:spacing w:val="23"/>
          <w:w w:val="80"/>
        </w:rPr>
        <w:t xml:space="preserve">ꎬ </w:t>
      </w:r>
      <w:r>
        <w:rPr>
          <w:spacing w:val="2"/>
        </w:rPr>
        <w:t>确保项目安</w:t>
      </w:r>
      <w:r>
        <w:rPr>
          <w:spacing w:val="3"/>
        </w:rPr>
        <w:t>全生产费用有效使用</w:t>
      </w:r>
      <w:r>
        <w:rPr>
          <w:rFonts w:hint="eastAsia" w:ascii="MS UI Gothic" w:eastAsia="MS UI Gothic"/>
          <w:w w:val="80"/>
        </w:rPr>
        <w:t>ꎮ</w:t>
      </w:r>
    </w:p>
    <w:p>
      <w:pPr>
        <w:pStyle w:val="6"/>
        <w:spacing w:line="295" w:lineRule="auto"/>
        <w:ind w:right="442"/>
        <w:rPr>
          <w:rFonts w:hint="eastAsia" w:ascii="MS UI Gothic" w:eastAsia="MS UI Gothic"/>
        </w:rPr>
      </w:pPr>
      <w:r>
        <w:t>第十八条 项目负责人应当按规定实施项目安全生产管理</w:t>
      </w:r>
      <w:r>
        <w:rPr>
          <w:rFonts w:hint="eastAsia" w:ascii="MS UI Gothic" w:eastAsia="MS UI Gothic"/>
          <w:w w:val="80"/>
        </w:rPr>
        <w:t xml:space="preserve">ꎬ </w:t>
      </w:r>
      <w:r>
        <w:t>监控危险性较大分部分项工程</w:t>
      </w:r>
      <w:r>
        <w:rPr>
          <w:rFonts w:hint="eastAsia" w:ascii="MS UI Gothic" w:eastAsia="MS UI Gothic"/>
          <w:w w:val="80"/>
        </w:rPr>
        <w:t xml:space="preserve">ꎬ </w:t>
      </w:r>
      <w:r>
        <w:t>及时排查处理施工现场安全事故隐患</w:t>
      </w:r>
      <w:r>
        <w:rPr>
          <w:rFonts w:hint="eastAsia" w:ascii="MS UI Gothic" w:eastAsia="MS UI Gothic"/>
          <w:w w:val="80"/>
        </w:rPr>
        <w:t xml:space="preserve">ꎬ </w:t>
      </w:r>
      <w:r>
        <w:t>隐患排查处理情况应当记入项目安全管理档案</w:t>
      </w:r>
      <w:r>
        <w:rPr>
          <w:rFonts w:hint="eastAsia" w:ascii="MS UI Gothic" w:eastAsia="MS UI Gothic"/>
          <w:w w:val="80"/>
        </w:rPr>
        <w:t xml:space="preserve">ꎻ </w:t>
      </w:r>
      <w:r>
        <w:t>发生事故时</w:t>
      </w:r>
      <w:r>
        <w:rPr>
          <w:rFonts w:hint="eastAsia" w:ascii="MS UI Gothic" w:eastAsia="MS UI Gothic"/>
          <w:w w:val="80"/>
        </w:rPr>
        <w:t xml:space="preserve">ꎬ </w:t>
      </w:r>
      <w:r>
        <w:t>应当按规定及时报告并开展现场救援</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工程项目实行总承包的</w:t>
      </w:r>
      <w:r>
        <w:rPr>
          <w:rFonts w:hint="eastAsia" w:ascii="MS UI Gothic" w:eastAsia="MS UI Gothic"/>
          <w:spacing w:val="15"/>
          <w:w w:val="80"/>
        </w:rPr>
        <w:t xml:space="preserve">ꎬ </w:t>
      </w:r>
      <w:r>
        <w:rPr>
          <w:spacing w:val="2"/>
        </w:rPr>
        <w:t>总承包企业项目负责人应当定期考核分包企业安全生</w:t>
      </w:r>
      <w:r>
        <w:rPr>
          <w:spacing w:val="3"/>
          <w:w w:val="105"/>
        </w:rPr>
        <w:t>产管理情况</w:t>
      </w:r>
      <w:r>
        <w:rPr>
          <w:rFonts w:hint="eastAsia" w:ascii="MS UI Gothic" w:eastAsia="MS UI Gothic"/>
          <w:w w:val="80"/>
        </w:rPr>
        <w:t>ꎮ</w:t>
      </w:r>
    </w:p>
    <w:p>
      <w:pPr>
        <w:pStyle w:val="6"/>
        <w:spacing w:line="295" w:lineRule="auto"/>
        <w:ind w:right="440"/>
        <w:rPr>
          <w:rFonts w:hint="eastAsia" w:ascii="MS UI Gothic" w:eastAsia="MS UI Gothic"/>
        </w:rPr>
      </w:pPr>
      <w:r>
        <w:rPr>
          <w:spacing w:val="2"/>
          <w:w w:val="105"/>
        </w:rPr>
        <w:t>第十九条 企业安全生产管理机构专</w:t>
      </w:r>
      <w:r>
        <w:rPr>
          <w:spacing w:val="2"/>
        </w:rPr>
        <w:t>职安全生产管理人员应当检查在建项目安</w:t>
      </w:r>
      <w:r>
        <w:rPr>
          <w:spacing w:val="4"/>
        </w:rPr>
        <w:t>全生产管理情况</w:t>
      </w:r>
      <w:r>
        <w:rPr>
          <w:rFonts w:hint="eastAsia" w:ascii="MS UI Gothic" w:eastAsia="MS UI Gothic"/>
          <w:spacing w:val="20"/>
          <w:w w:val="80"/>
        </w:rPr>
        <w:t xml:space="preserve">ꎬ </w:t>
      </w:r>
      <w:r>
        <w:rPr>
          <w:spacing w:val="11"/>
        </w:rPr>
        <w:t>重点检查项目负责人</w:t>
      </w:r>
      <w:r>
        <w:rPr>
          <w:rFonts w:hint="eastAsia" w:ascii="MS UI Gothic" w:eastAsia="MS UI Gothic"/>
          <w:w w:val="80"/>
        </w:rPr>
        <w:t>、</w:t>
      </w:r>
      <w:r>
        <w:rPr>
          <w:spacing w:val="3"/>
        </w:rPr>
        <w:t>项目专职安全生产管理人员履责情况</w:t>
      </w:r>
      <w:r>
        <w:rPr>
          <w:rFonts w:hint="eastAsia" w:ascii="MS UI Gothic" w:eastAsia="MS UI Gothic"/>
          <w:spacing w:val="19"/>
          <w:w w:val="80"/>
        </w:rPr>
        <w:t xml:space="preserve">ꎬ </w:t>
      </w:r>
      <w:r>
        <w:t>处</w:t>
      </w:r>
      <w:r>
        <w:rPr>
          <w:spacing w:val="3"/>
        </w:rPr>
        <w:t>理在建项目违规违章行为</w:t>
      </w:r>
      <w:r>
        <w:rPr>
          <w:rFonts w:hint="eastAsia" w:ascii="MS UI Gothic" w:eastAsia="MS UI Gothic"/>
          <w:spacing w:val="19"/>
          <w:w w:val="80"/>
        </w:rPr>
        <w:t xml:space="preserve">ꎬ </w:t>
      </w:r>
      <w:r>
        <w:rPr>
          <w:spacing w:val="2"/>
        </w:rPr>
        <w:t>并记入企业安</w:t>
      </w:r>
      <w:r>
        <w:rPr>
          <w:spacing w:val="3"/>
          <w:w w:val="105"/>
        </w:rPr>
        <w:t>全管理档案</w:t>
      </w:r>
      <w:r>
        <w:rPr>
          <w:rFonts w:hint="eastAsia" w:ascii="MS UI Gothic" w:eastAsia="MS UI Gothic"/>
          <w:w w:val="80"/>
        </w:rPr>
        <w:t>ꎮ</w:t>
      </w:r>
    </w:p>
    <w:p>
      <w:pPr>
        <w:pStyle w:val="6"/>
        <w:spacing w:line="295" w:lineRule="auto"/>
        <w:ind w:right="442"/>
        <w:rPr>
          <w:rFonts w:hint="eastAsia" w:ascii="MS UI Gothic" w:eastAsia="MS UI Gothic"/>
        </w:rPr>
      </w:pPr>
      <w:r>
        <w:t>第二十条 项目专职安全生产管理人员应当每天在施工现场开展安全检查</w:t>
      </w:r>
      <w:r>
        <w:rPr>
          <w:rFonts w:hint="eastAsia" w:ascii="MS UI Gothic" w:eastAsia="MS UI Gothic"/>
          <w:w w:val="80"/>
        </w:rPr>
        <w:t xml:space="preserve">ꎬ </w:t>
      </w:r>
      <w:r>
        <w:t>现场监督危险性较大的分部分项工程安全专项施工方案实施</w:t>
      </w:r>
      <w:r>
        <w:rPr>
          <w:rFonts w:hint="eastAsia" w:ascii="MS UI Gothic" w:eastAsia="MS UI Gothic"/>
          <w:w w:val="80"/>
        </w:rPr>
        <w:t xml:space="preserve">ꎮ </w:t>
      </w:r>
      <w:r>
        <w:t>对检查中发现的安全事故隐患</w:t>
      </w:r>
      <w:r>
        <w:rPr>
          <w:rFonts w:hint="eastAsia" w:ascii="MS UI Gothic" w:eastAsia="MS UI Gothic"/>
          <w:w w:val="80"/>
        </w:rPr>
        <w:t xml:space="preserve">ꎬ </w:t>
      </w:r>
      <w:r>
        <w:t>应当立即处理</w:t>
      </w:r>
      <w:r>
        <w:rPr>
          <w:rFonts w:hint="eastAsia" w:ascii="MS UI Gothic" w:eastAsia="MS UI Gothic"/>
          <w:w w:val="80"/>
        </w:rPr>
        <w:t xml:space="preserve">ꎻ </w:t>
      </w:r>
      <w:r>
        <w:t>不能处理的</w:t>
      </w:r>
      <w:r>
        <w:rPr>
          <w:rFonts w:hint="eastAsia" w:ascii="MS UI Gothic" w:eastAsia="MS UI Gothic"/>
          <w:w w:val="80"/>
        </w:rPr>
        <w:t xml:space="preserve">ꎬ </w:t>
      </w:r>
      <w:r>
        <w:t>应当及时报告项目负责人和企业安全生产管理机构</w:t>
      </w:r>
      <w:r>
        <w:rPr>
          <w:rFonts w:hint="eastAsia" w:ascii="MS UI Gothic" w:eastAsia="MS UI Gothic"/>
          <w:w w:val="80"/>
        </w:rPr>
        <w:t xml:space="preserve">ꎮ </w:t>
      </w:r>
      <w:r>
        <w:t>项目负责人应当及时处理</w:t>
      </w:r>
      <w:r>
        <w:rPr>
          <w:rFonts w:hint="eastAsia" w:ascii="MS UI Gothic" w:eastAsia="MS UI Gothic"/>
          <w:w w:val="80"/>
        </w:rPr>
        <w:t xml:space="preserve">ꎮ </w:t>
      </w:r>
      <w:r>
        <w:t>检查及处理情况应当记入项目安全管理档案</w:t>
      </w:r>
      <w:r>
        <w:rPr>
          <w:rFonts w:hint="eastAsia" w:ascii="MS UI Gothic" w:eastAsia="MS UI Gothic"/>
          <w:w w:val="80"/>
        </w:rPr>
        <w:t>ꎮ</w:t>
      </w:r>
    </w:p>
    <w:p>
      <w:pPr>
        <w:pStyle w:val="6"/>
        <w:spacing w:line="295" w:lineRule="auto"/>
        <w:ind w:right="442"/>
        <w:rPr>
          <w:rFonts w:hint="eastAsia" w:ascii="MS UI Gothic" w:hAnsi="MS UI Gothic" w:eastAsia="MS UI Gothic"/>
        </w:rPr>
      </w:pPr>
      <w:r>
        <w:t>第二十一条 建筑施工企业应当建立安全生产教育培训制度</w:t>
      </w:r>
      <w:r>
        <w:rPr>
          <w:rFonts w:hint="eastAsia" w:ascii="MS UI Gothic" w:hAnsi="MS UI Gothic" w:eastAsia="MS UI Gothic"/>
          <w:w w:val="80"/>
        </w:rPr>
        <w:t xml:space="preserve">ꎬ </w:t>
      </w:r>
      <w:r>
        <w:t>制定年度培训计划</w:t>
      </w:r>
      <w:r>
        <w:rPr>
          <w:rFonts w:hint="eastAsia" w:ascii="MS UI Gothic" w:hAnsi="MS UI Gothic" w:eastAsia="MS UI Gothic"/>
          <w:w w:val="80"/>
        </w:rPr>
        <w:t xml:space="preserve">ꎬ </w:t>
      </w:r>
      <w:r>
        <w:t xml:space="preserve">每年对 </w:t>
      </w:r>
      <w:r>
        <w:rPr>
          <w:rFonts w:hint="eastAsia" w:ascii="MS UI Gothic" w:hAnsi="MS UI Gothic" w:eastAsia="MS UI Gothic"/>
        </w:rPr>
        <w:t xml:space="preserve">“ </w:t>
      </w:r>
      <w:r>
        <w:t>安管人员</w:t>
      </w:r>
      <w:r>
        <w:rPr>
          <w:rFonts w:hint="eastAsia" w:ascii="MS UI Gothic" w:hAnsi="MS UI Gothic" w:eastAsia="MS UI Gothic"/>
        </w:rPr>
        <w:t xml:space="preserve">” </w:t>
      </w:r>
      <w:r>
        <w:t>进行培训和考核</w:t>
      </w:r>
      <w:r>
        <w:rPr>
          <w:rFonts w:hint="eastAsia" w:ascii="MS UI Gothic" w:hAnsi="MS UI Gothic" w:eastAsia="MS UI Gothic"/>
          <w:w w:val="80"/>
        </w:rPr>
        <w:t xml:space="preserve">ꎬ </w:t>
      </w:r>
      <w:r>
        <w:t>考核不合格的</w:t>
      </w:r>
      <w:r>
        <w:rPr>
          <w:rFonts w:hint="eastAsia" w:ascii="MS UI Gothic" w:hAnsi="MS UI Gothic" w:eastAsia="MS UI Gothic"/>
          <w:w w:val="80"/>
        </w:rPr>
        <w:t xml:space="preserve">ꎬ </w:t>
      </w:r>
      <w:r>
        <w:t>不得上岗</w:t>
      </w:r>
      <w:r>
        <w:rPr>
          <w:rFonts w:hint="eastAsia" w:ascii="MS UI Gothic" w:hAnsi="MS UI Gothic" w:eastAsia="MS UI Gothic"/>
          <w:w w:val="80"/>
        </w:rPr>
        <w:t xml:space="preserve">ꎮ </w:t>
      </w:r>
      <w:r>
        <w:t>培训情况应当记入企业安全生产教育培训档案</w:t>
      </w:r>
      <w:r>
        <w:rPr>
          <w:rFonts w:hint="eastAsia" w:ascii="MS UI Gothic" w:hAnsi="MS UI Gothic" w:eastAsia="MS UI Gothic"/>
          <w:w w:val="80"/>
        </w:rPr>
        <w:t>ꎮ</w:t>
      </w:r>
    </w:p>
    <w:p>
      <w:pPr>
        <w:pStyle w:val="6"/>
        <w:spacing w:line="295" w:lineRule="auto"/>
        <w:ind w:right="442"/>
      </w:pPr>
      <w:r>
        <w:rPr>
          <w:w w:val="105"/>
        </w:rPr>
        <w:t>第二十二条 建筑施工企业安全生产</w:t>
      </w:r>
      <w:r>
        <w:t>管理机构和工程项目应当按规定配备相应数量和相关专业的专职安全生产管理人</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４５１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52" o:spid="_x0000_s2352" o:spt="203" style="height:2.15pt;width:398.25pt;" coordsize="7965,43">
            <o:lock v:ext="edit"/>
            <v:line id="_x0000_s2353" o:spid="_x0000_s2353" o:spt="20" style="position:absolute;left:0;top:39;height:0;width:7965;" stroked="t" coordsize="21600,21600">
              <v:path arrowok="t"/>
              <v:fill focussize="0,0"/>
              <v:stroke weight="0.388031496062992pt" color="#231F20"/>
              <v:imagedata o:title=""/>
              <o:lock v:ext="edit"/>
            </v:line>
            <v:line id="_x0000_s2354" o:spid="_x0000_s235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员</w:t>
      </w:r>
      <w:r>
        <w:rPr>
          <w:rFonts w:hint="eastAsia" w:ascii="MS UI Gothic" w:eastAsia="MS UI Gothic"/>
          <w:w w:val="80"/>
        </w:rPr>
        <w:t xml:space="preserve">ꎮ </w:t>
      </w:r>
      <w:r>
        <w:t>危险性较大的分部分项工程施工时</w:t>
      </w:r>
      <w:r>
        <w:rPr>
          <w:rFonts w:hint="eastAsia" w:ascii="MS UI Gothic" w:eastAsia="MS UI Gothic"/>
          <w:w w:val="80"/>
        </w:rPr>
        <w:t>ꎬ</w:t>
      </w:r>
      <w:r>
        <w:t>应当安排专职安全生产管理人员现场监督</w:t>
      </w:r>
      <w:r>
        <w:rPr>
          <w:rFonts w:hint="eastAsia" w:ascii="MS UI Gothic" w:eastAsia="MS UI Gothic"/>
          <w:w w:val="80"/>
        </w:rPr>
        <w:t>ꎮ</w:t>
      </w:r>
    </w:p>
    <w:p>
      <w:pPr>
        <w:pStyle w:val="6"/>
        <w:tabs>
          <w:tab w:val="left" w:pos="2222"/>
        </w:tabs>
        <w:spacing w:before="155"/>
        <w:ind w:left="1384" w:firstLine="0"/>
        <w:jc w:val="left"/>
      </w:pPr>
      <w:r>
        <w:rPr>
          <w:spacing w:val="3"/>
          <w:w w:val="105"/>
        </w:rPr>
        <w:t>第四</w:t>
      </w:r>
      <w:r>
        <w:rPr>
          <w:w w:val="105"/>
        </w:rPr>
        <w:t>章</w:t>
      </w:r>
      <w:r>
        <w:rPr>
          <w:w w:val="105"/>
        </w:rPr>
        <w:tab/>
      </w:r>
      <w:r>
        <w:rPr>
          <w:w w:val="105"/>
        </w:rPr>
        <w:t>监</w:t>
      </w:r>
      <w:r>
        <w:rPr>
          <w:spacing w:val="-34"/>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left="440"/>
        <w:rPr>
          <w:rFonts w:hint="eastAsia" w:ascii="MS UI Gothic" w:hAnsi="MS UI Gothic" w:eastAsia="MS UI Gothic"/>
        </w:rPr>
      </w:pPr>
      <w:r>
        <w:rPr>
          <w:w w:val="105"/>
        </w:rPr>
        <w:t>第二十三条 县级以上人民政府住房</w:t>
      </w:r>
      <w:r>
        <w:t>城乡建设主管部门应当依照有关法律法规</w:t>
      </w:r>
      <w:r>
        <w:rPr>
          <w:w w:val="105"/>
        </w:rPr>
        <w:t>和本规定</w:t>
      </w:r>
      <w:r>
        <w:rPr>
          <w:rFonts w:hint="eastAsia" w:ascii="MS UI Gothic" w:hAnsi="MS UI Gothic" w:eastAsia="MS UI Gothic"/>
          <w:w w:val="80"/>
        </w:rPr>
        <w:t xml:space="preserve">ꎬ </w:t>
      </w:r>
      <w:r>
        <w:rPr>
          <w:w w:val="105"/>
        </w:rPr>
        <w:t xml:space="preserve">对 </w:t>
      </w:r>
      <w:r>
        <w:rPr>
          <w:rFonts w:hint="eastAsia" w:ascii="MS UI Gothic" w:hAnsi="MS UI Gothic" w:eastAsia="MS UI Gothic"/>
          <w:w w:val="105"/>
        </w:rPr>
        <w:t xml:space="preserve">“ </w:t>
      </w:r>
      <w:r>
        <w:rPr>
          <w:w w:val="105"/>
        </w:rPr>
        <w:t>安管人员</w:t>
      </w:r>
      <w:r>
        <w:rPr>
          <w:rFonts w:hint="eastAsia" w:ascii="MS UI Gothic" w:hAnsi="MS UI Gothic" w:eastAsia="MS UI Gothic"/>
          <w:w w:val="105"/>
        </w:rPr>
        <w:t xml:space="preserve">” </w:t>
      </w:r>
      <w:r>
        <w:rPr>
          <w:w w:val="105"/>
        </w:rPr>
        <w:t>持证上岗</w:t>
      </w:r>
      <w:r>
        <w:rPr>
          <w:rFonts w:hint="eastAsia" w:ascii="MS UI Gothic" w:hAnsi="MS UI Gothic" w:eastAsia="MS UI Gothic"/>
          <w:w w:val="80"/>
        </w:rPr>
        <w:t>、</w:t>
      </w:r>
      <w:r>
        <w:t>教育培训和履行职责等情况进行监督</w:t>
      </w:r>
      <w:r>
        <w:rPr>
          <w:w w:val="105"/>
        </w:rPr>
        <w:t>检查</w:t>
      </w:r>
      <w:r>
        <w:rPr>
          <w:rFonts w:hint="eastAsia" w:ascii="MS UI Gothic" w:hAnsi="MS UI Gothic" w:eastAsia="MS UI Gothic"/>
          <w:w w:val="80"/>
        </w:rPr>
        <w:t>ꎮ</w:t>
      </w:r>
    </w:p>
    <w:p>
      <w:pPr>
        <w:pStyle w:val="6"/>
        <w:spacing w:line="295" w:lineRule="auto"/>
        <w:ind w:left="440" w:right="1"/>
        <w:rPr>
          <w:rFonts w:hint="eastAsia" w:ascii="MS UI Gothic" w:eastAsia="MS UI Gothic"/>
        </w:rPr>
      </w:pPr>
      <w:r>
        <w:rPr>
          <w:spacing w:val="4"/>
        </w:rPr>
        <w:t>第二十四条 县级以上人民政府住房</w:t>
      </w:r>
      <w:r>
        <w:rPr>
          <w:spacing w:val="3"/>
        </w:rPr>
        <w:t>城乡建设主管部门在实施监督检查时</w:t>
      </w:r>
      <w:r>
        <w:rPr>
          <w:rFonts w:hint="eastAsia" w:ascii="MS UI Gothic" w:eastAsia="MS UI Gothic"/>
          <w:spacing w:val="21"/>
          <w:w w:val="80"/>
        </w:rPr>
        <w:t xml:space="preserve">ꎬ </w:t>
      </w:r>
      <w:r>
        <w:t>应</w:t>
      </w:r>
      <w:r>
        <w:rPr>
          <w:spacing w:val="3"/>
        </w:rPr>
        <w:t>当有两名以上监督检查人员参加</w:t>
      </w:r>
      <w:r>
        <w:rPr>
          <w:rFonts w:hint="eastAsia" w:ascii="MS UI Gothic" w:eastAsia="MS UI Gothic"/>
          <w:spacing w:val="21"/>
          <w:w w:val="80"/>
        </w:rPr>
        <w:t xml:space="preserve">ꎬ </w:t>
      </w:r>
      <w:r>
        <w:rPr>
          <w:spacing w:val="1"/>
        </w:rPr>
        <w:t>不得妨</w:t>
      </w:r>
      <w:r>
        <w:rPr>
          <w:spacing w:val="3"/>
        </w:rPr>
        <w:t>碍企业正常的生产经营活动</w:t>
      </w:r>
      <w:r>
        <w:rPr>
          <w:rFonts w:hint="eastAsia" w:ascii="MS UI Gothic" w:eastAsia="MS UI Gothic"/>
          <w:spacing w:val="21"/>
          <w:w w:val="80"/>
        </w:rPr>
        <w:t xml:space="preserve">ꎬ </w:t>
      </w:r>
      <w:r>
        <w:rPr>
          <w:spacing w:val="2"/>
        </w:rPr>
        <w:t>不得索取或</w:t>
      </w:r>
      <w:r>
        <w:rPr>
          <w:spacing w:val="3"/>
        </w:rPr>
        <w:t>者收受企业的财物</w:t>
      </w:r>
      <w:r>
        <w:rPr>
          <w:rFonts w:hint="eastAsia" w:ascii="MS UI Gothic" w:eastAsia="MS UI Gothic"/>
          <w:spacing w:val="23"/>
          <w:w w:val="80"/>
        </w:rPr>
        <w:t xml:space="preserve">ꎬ </w:t>
      </w:r>
      <w:r>
        <w:rPr>
          <w:spacing w:val="3"/>
        </w:rPr>
        <w:t>不得谋取其他利益</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rPr>
        <w:t>有关企业和个人对依法进行的监督检</w:t>
      </w:r>
      <w:r>
        <w:rPr>
          <w:spacing w:val="3"/>
        </w:rPr>
        <w:t>查应当协助与配合</w:t>
      </w:r>
      <w:r>
        <w:rPr>
          <w:rFonts w:hint="eastAsia" w:ascii="MS UI Gothic" w:eastAsia="MS UI Gothic"/>
          <w:spacing w:val="23"/>
          <w:w w:val="80"/>
        </w:rPr>
        <w:t xml:space="preserve">ꎬ </w:t>
      </w:r>
      <w:r>
        <w:rPr>
          <w:spacing w:val="3"/>
        </w:rPr>
        <w:t>不得拒绝或者阻挠</w:t>
      </w:r>
      <w:r>
        <w:rPr>
          <w:rFonts w:hint="eastAsia" w:ascii="MS UI Gothic" w:eastAsia="MS UI Gothic"/>
          <w:w w:val="80"/>
        </w:rPr>
        <w:t>ꎮ</w:t>
      </w:r>
    </w:p>
    <w:p>
      <w:pPr>
        <w:pStyle w:val="6"/>
        <w:spacing w:line="295" w:lineRule="auto"/>
        <w:ind w:left="440"/>
        <w:rPr>
          <w:rFonts w:hint="eastAsia" w:ascii="MS UI Gothic" w:hAnsi="MS UI Gothic" w:eastAsia="MS UI Gothic"/>
        </w:rPr>
      </w:pPr>
      <w:r>
        <w:rPr>
          <w:w w:val="105"/>
        </w:rPr>
        <w:t>第二十五条 县级以上人民政府住房</w:t>
      </w:r>
      <w:r>
        <w:t>城乡建设主管部门依法进行监督检查时</w:t>
      </w:r>
      <w:r>
        <w:rPr>
          <w:rFonts w:hint="eastAsia" w:ascii="MS UI Gothic" w:hAnsi="MS UI Gothic" w:eastAsia="MS UI Gothic"/>
          <w:w w:val="80"/>
        </w:rPr>
        <w:t>ꎬ</w:t>
      </w:r>
      <w:r>
        <w:rPr>
          <w:w w:val="105"/>
        </w:rPr>
        <w:t xml:space="preserve">发现 </w:t>
      </w:r>
      <w:r>
        <w:rPr>
          <w:rFonts w:hint="eastAsia" w:ascii="MS UI Gothic" w:hAnsi="MS UI Gothic" w:eastAsia="MS UI Gothic"/>
          <w:w w:val="105"/>
        </w:rPr>
        <w:t xml:space="preserve">“ </w:t>
      </w:r>
      <w:r>
        <w:rPr>
          <w:w w:val="105"/>
        </w:rPr>
        <w:t>安管人员</w:t>
      </w:r>
      <w:r>
        <w:rPr>
          <w:rFonts w:hint="eastAsia" w:ascii="MS UI Gothic" w:hAnsi="MS UI Gothic" w:eastAsia="MS UI Gothic"/>
          <w:w w:val="105"/>
        </w:rPr>
        <w:t xml:space="preserve">” </w:t>
      </w:r>
      <w:r>
        <w:rPr>
          <w:w w:val="105"/>
        </w:rPr>
        <w:t>有违反本规定行为的</w:t>
      </w:r>
      <w:r>
        <w:rPr>
          <w:rFonts w:hint="eastAsia" w:ascii="MS UI Gothic" w:hAnsi="MS UI Gothic" w:eastAsia="MS UI Gothic"/>
          <w:w w:val="80"/>
        </w:rPr>
        <w:t>ꎬ</w:t>
      </w:r>
      <w:r>
        <w:rPr>
          <w:w w:val="105"/>
        </w:rPr>
        <w:t>应当依法查处并将违法事实</w:t>
      </w:r>
      <w:r>
        <w:rPr>
          <w:rFonts w:hint="eastAsia" w:ascii="MS UI Gothic" w:hAnsi="MS UI Gothic" w:eastAsia="MS UI Gothic"/>
          <w:w w:val="80"/>
        </w:rPr>
        <w:t xml:space="preserve">、 </w:t>
      </w:r>
      <w:r>
        <w:rPr>
          <w:w w:val="105"/>
        </w:rPr>
        <w:t>处理结果或者处理建议告知考核机关</w:t>
      </w:r>
      <w:r>
        <w:rPr>
          <w:rFonts w:hint="eastAsia" w:ascii="MS UI Gothic" w:hAnsi="MS UI Gothic" w:eastAsia="MS UI Gothic"/>
          <w:w w:val="80"/>
        </w:rPr>
        <w:t>ꎮ</w:t>
      </w:r>
    </w:p>
    <w:p>
      <w:pPr>
        <w:pStyle w:val="6"/>
        <w:spacing w:line="295" w:lineRule="auto"/>
        <w:ind w:left="440"/>
        <w:rPr>
          <w:rFonts w:hint="eastAsia" w:ascii="MS UI Gothic" w:hAnsi="MS UI Gothic" w:eastAsia="MS UI Gothic"/>
        </w:rPr>
      </w:pPr>
      <w:r>
        <w:t xml:space="preserve">第二十六条 考核机关应当建立本行政区域内 </w:t>
      </w:r>
      <w:r>
        <w:rPr>
          <w:rFonts w:hint="eastAsia" w:ascii="MS UI Gothic" w:hAnsi="MS UI Gothic" w:eastAsia="MS UI Gothic"/>
        </w:rPr>
        <w:t xml:space="preserve">“ </w:t>
      </w:r>
      <w:r>
        <w:t>安管人员</w:t>
      </w:r>
      <w:r>
        <w:rPr>
          <w:rFonts w:hint="eastAsia" w:ascii="MS UI Gothic" w:hAnsi="MS UI Gothic" w:eastAsia="MS UI Gothic"/>
        </w:rPr>
        <w:t xml:space="preserve">” </w:t>
      </w:r>
      <w:r>
        <w:t>的信用档案</w:t>
      </w:r>
      <w:r>
        <w:rPr>
          <w:rFonts w:hint="eastAsia" w:ascii="MS UI Gothic" w:hAnsi="MS UI Gothic" w:eastAsia="MS UI Gothic"/>
          <w:w w:val="80"/>
        </w:rPr>
        <w:t xml:space="preserve">ꎮ </w:t>
      </w:r>
      <w:r>
        <w:t>违法违规行为</w:t>
      </w:r>
      <w:r>
        <w:rPr>
          <w:rFonts w:hint="eastAsia" w:ascii="MS UI Gothic" w:hAnsi="MS UI Gothic" w:eastAsia="MS UI Gothic"/>
          <w:w w:val="80"/>
        </w:rPr>
        <w:t xml:space="preserve">、 </w:t>
      </w:r>
      <w:r>
        <w:t>被投诉举报处理</w:t>
      </w:r>
      <w:r>
        <w:rPr>
          <w:rFonts w:hint="eastAsia" w:ascii="MS UI Gothic" w:hAnsi="MS UI Gothic" w:eastAsia="MS UI Gothic"/>
          <w:w w:val="80"/>
        </w:rPr>
        <w:t xml:space="preserve">、 </w:t>
      </w:r>
      <w:r>
        <w:t>行政处罚等情况应当作为不良行为记入信用档案</w:t>
      </w:r>
      <w:r>
        <w:rPr>
          <w:rFonts w:hint="eastAsia" w:ascii="MS UI Gothic" w:hAnsi="MS UI Gothic" w:eastAsia="MS UI Gothic"/>
          <w:w w:val="80"/>
        </w:rPr>
        <w:t>ꎬ</w:t>
      </w:r>
      <w:r>
        <w:t>并按规定向社会公开</w:t>
      </w:r>
      <w:r>
        <w:rPr>
          <w:rFonts w:hint="eastAsia" w:ascii="MS UI Gothic" w:hAnsi="MS UI Gothic" w:eastAsia="MS UI Gothic"/>
          <w:w w:val="80"/>
        </w:rPr>
        <w:t>ꎮ</w:t>
      </w:r>
    </w:p>
    <w:p>
      <w:pPr>
        <w:pStyle w:val="6"/>
        <w:spacing w:line="295" w:lineRule="auto"/>
        <w:ind w:left="440" w:right="1"/>
        <w:rPr>
          <w:rFonts w:hint="eastAsia" w:ascii="MS UI Gothic" w:hAnsi="MS UI Gothic" w:eastAsia="MS UI Gothic"/>
        </w:rPr>
      </w:pPr>
      <w:r>
        <w:rPr>
          <w:rFonts w:hint="eastAsia" w:ascii="MS UI Gothic" w:hAnsi="MS UI Gothic" w:eastAsia="MS UI Gothic"/>
          <w:w w:val="105"/>
        </w:rPr>
        <w:t xml:space="preserve">“ </w:t>
      </w:r>
      <w:r>
        <w:rPr>
          <w:w w:val="105"/>
        </w:rPr>
        <w:t>安管人员</w:t>
      </w:r>
      <w:r>
        <w:rPr>
          <w:rFonts w:hint="eastAsia" w:ascii="MS UI Gothic" w:hAnsi="MS UI Gothic" w:eastAsia="MS UI Gothic"/>
          <w:w w:val="105"/>
        </w:rPr>
        <w:t xml:space="preserve">” </w:t>
      </w:r>
      <w:r>
        <w:rPr>
          <w:w w:val="105"/>
        </w:rPr>
        <w:t>及其受聘企业应当按规定向考核机关提供相关信息</w:t>
      </w:r>
      <w:r>
        <w:rPr>
          <w:rFonts w:hint="eastAsia" w:ascii="MS UI Gothic" w:hAnsi="MS UI Gothic" w:eastAsia="MS UI Gothic"/>
          <w:w w:val="80"/>
        </w:rPr>
        <w:t>ꎮ</w:t>
      </w:r>
    </w:p>
    <w:p>
      <w:pPr>
        <w:pStyle w:val="6"/>
        <w:tabs>
          <w:tab w:val="left" w:pos="2222"/>
        </w:tabs>
        <w:spacing w:before="138"/>
        <w:ind w:left="1384" w:firstLine="0"/>
        <w:jc w:val="left"/>
      </w:pPr>
      <w:r>
        <w:rPr>
          <w:spacing w:val="3"/>
          <w:w w:val="105"/>
        </w:rPr>
        <w:t>第五</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6" w:line="295" w:lineRule="auto"/>
        <w:ind w:left="440"/>
        <w:rPr>
          <w:rFonts w:hint="eastAsia" w:ascii="MS UI Gothic" w:hAnsi="MS UI Gothic" w:eastAsia="MS UI Gothic"/>
        </w:rPr>
      </w:pPr>
      <w:r>
        <w:rPr>
          <w:spacing w:val="18"/>
        </w:rPr>
        <w:t xml:space="preserve">第二十七条  </w:t>
      </w:r>
      <w:r>
        <w:rPr>
          <w:rFonts w:hint="eastAsia" w:ascii="MS UI Gothic" w:hAnsi="MS UI Gothic" w:eastAsia="MS UI Gothic"/>
          <w:spacing w:val="-13"/>
        </w:rPr>
        <w:t xml:space="preserve">“ </w:t>
      </w:r>
      <w:r>
        <w:rPr>
          <w:spacing w:val="16"/>
        </w:rPr>
        <w:t>安管人员</w:t>
      </w:r>
      <w:r>
        <w:rPr>
          <w:rFonts w:hint="eastAsia" w:ascii="MS UI Gothic" w:hAnsi="MS UI Gothic" w:eastAsia="MS UI Gothic"/>
          <w:spacing w:val="11"/>
        </w:rPr>
        <w:t xml:space="preserve">”  </w:t>
      </w:r>
      <w:r>
        <w:rPr>
          <w:spacing w:val="9"/>
        </w:rPr>
        <w:t>隐瞒有</w:t>
      </w:r>
      <w:r>
        <w:rPr>
          <w:spacing w:val="2"/>
        </w:rPr>
        <w:t>关情况或者提供虚假材料申请安全生产考</w:t>
      </w:r>
      <w:r>
        <w:rPr>
          <w:spacing w:val="3"/>
        </w:rPr>
        <w:t>核的</w:t>
      </w:r>
      <w:r>
        <w:rPr>
          <w:rFonts w:hint="eastAsia" w:ascii="MS UI Gothic" w:hAnsi="MS UI Gothic" w:eastAsia="MS UI Gothic"/>
          <w:spacing w:val="9"/>
          <w:w w:val="80"/>
        </w:rPr>
        <w:t xml:space="preserve">ꎬ </w:t>
      </w:r>
      <w:r>
        <w:rPr>
          <w:spacing w:val="8"/>
        </w:rPr>
        <w:t>考核机关不予考核</w:t>
      </w:r>
      <w:r>
        <w:rPr>
          <w:rFonts w:hint="eastAsia" w:ascii="MS UI Gothic" w:hAnsi="MS UI Gothic" w:eastAsia="MS UI Gothic"/>
          <w:spacing w:val="11"/>
          <w:w w:val="80"/>
        </w:rPr>
        <w:t xml:space="preserve">ꎬ </w:t>
      </w:r>
      <w:r>
        <w:rPr>
          <w:spacing w:val="12"/>
        </w:rPr>
        <w:t>并给予警告</w:t>
      </w:r>
      <w:r>
        <w:rPr>
          <w:rFonts w:hint="eastAsia" w:ascii="MS UI Gothic" w:hAnsi="MS UI Gothic" w:eastAsia="MS UI Gothic"/>
          <w:w w:val="80"/>
        </w:rPr>
        <w:t>ꎻ</w:t>
      </w:r>
      <w:r>
        <w:rPr>
          <w:rFonts w:hint="eastAsia" w:ascii="MS UI Gothic" w:hAnsi="MS UI Gothic" w:eastAsia="MS UI Gothic"/>
          <w:spacing w:val="-20"/>
        </w:rPr>
        <w:t xml:space="preserve">“ </w:t>
      </w:r>
      <w:r>
        <w:rPr>
          <w:spacing w:val="3"/>
        </w:rPr>
        <w:t>安管人员</w:t>
      </w:r>
      <w:r>
        <w:rPr>
          <w:rFonts w:hint="eastAsia" w:ascii="MS UI Gothic" w:hAnsi="MS UI Gothic" w:eastAsia="MS UI Gothic"/>
          <w:spacing w:val="2"/>
        </w:rPr>
        <w:t xml:space="preserve">” </w:t>
      </w:r>
      <w:r>
        <w:rPr>
          <w:rFonts w:hint="eastAsia" w:ascii="MS UI Gothic" w:hAnsi="MS UI Gothic" w:eastAsia="MS UI Gothic"/>
          <w:spacing w:val="6"/>
          <w:w w:val="80"/>
        </w:rPr>
        <w:t xml:space="preserve">１ </w:t>
      </w:r>
      <w:r>
        <w:rPr>
          <w:spacing w:val="3"/>
        </w:rPr>
        <w:t>年内不得再次申请考核</w:t>
      </w:r>
      <w:r>
        <w:rPr>
          <w:rFonts w:hint="eastAsia" w:ascii="MS UI Gothic" w:hAnsi="MS UI Gothic" w:eastAsia="MS UI Gothic"/>
          <w:w w:val="80"/>
        </w:rPr>
        <w:t>ꎮ</w:t>
      </w:r>
    </w:p>
    <w:p>
      <w:pPr>
        <w:pStyle w:val="6"/>
        <w:spacing w:line="295" w:lineRule="auto"/>
        <w:ind w:left="440"/>
        <w:rPr>
          <w:rFonts w:hint="eastAsia" w:ascii="MS UI Gothic" w:hAnsi="MS UI Gothic" w:eastAsia="MS UI Gothic"/>
        </w:rPr>
      </w:pPr>
      <w:r>
        <w:rPr>
          <w:rFonts w:hint="eastAsia" w:ascii="MS UI Gothic" w:hAnsi="MS UI Gothic" w:eastAsia="MS UI Gothic"/>
          <w:spacing w:val="-18"/>
        </w:rPr>
        <w:t xml:space="preserve">“ </w:t>
      </w:r>
      <w:r>
        <w:rPr>
          <w:spacing w:val="4"/>
        </w:rPr>
        <w:t>安管人员</w:t>
      </w:r>
      <w:r>
        <w:rPr>
          <w:rFonts w:hint="eastAsia" w:ascii="MS UI Gothic" w:hAnsi="MS UI Gothic" w:eastAsia="MS UI Gothic"/>
          <w:spacing w:val="22"/>
        </w:rPr>
        <w:t xml:space="preserve">” </w:t>
      </w:r>
      <w:r>
        <w:rPr>
          <w:spacing w:val="7"/>
        </w:rPr>
        <w:t>以欺骗</w:t>
      </w:r>
      <w:r>
        <w:rPr>
          <w:rFonts w:hint="eastAsia" w:ascii="MS UI Gothic" w:hAnsi="MS UI Gothic" w:eastAsia="MS UI Gothic"/>
          <w:spacing w:val="23"/>
          <w:w w:val="80"/>
        </w:rPr>
        <w:t xml:space="preserve">、 </w:t>
      </w:r>
      <w:r>
        <w:rPr>
          <w:spacing w:val="9"/>
        </w:rPr>
        <w:t>贿赂等不正当</w:t>
      </w:r>
      <w:r>
        <w:rPr>
          <w:spacing w:val="3"/>
        </w:rPr>
        <w:t>手段取得安全生产考核合格证书的</w:t>
      </w:r>
      <w:r>
        <w:rPr>
          <w:rFonts w:hint="eastAsia" w:ascii="MS UI Gothic" w:hAnsi="MS UI Gothic" w:eastAsia="MS UI Gothic"/>
          <w:spacing w:val="21"/>
          <w:w w:val="80"/>
        </w:rPr>
        <w:t xml:space="preserve">ꎬ </w:t>
      </w:r>
      <w:r>
        <w:rPr>
          <w:spacing w:val="1"/>
        </w:rPr>
        <w:t>由原</w:t>
      </w:r>
      <w:r>
        <w:rPr>
          <w:spacing w:val="19"/>
        </w:rPr>
        <w:t>考核机关撤销安全生产考核合格证书</w:t>
      </w:r>
      <w:r>
        <w:rPr>
          <w:rFonts w:hint="eastAsia" w:ascii="MS UI Gothic" w:hAnsi="MS UI Gothic" w:eastAsia="MS UI Gothic"/>
          <w:spacing w:val="-15"/>
          <w:w w:val="80"/>
        </w:rPr>
        <w:t>ꎻ</w:t>
      </w:r>
      <w:r>
        <w:rPr>
          <w:rFonts w:hint="eastAsia" w:ascii="MS UI Gothic" w:hAnsi="MS UI Gothic" w:eastAsia="MS UI Gothic"/>
          <w:spacing w:val="-20"/>
        </w:rPr>
        <w:t xml:space="preserve">“ </w:t>
      </w:r>
      <w:r>
        <w:rPr>
          <w:spacing w:val="3"/>
        </w:rPr>
        <w:t>安管人员</w:t>
      </w:r>
      <w:r>
        <w:rPr>
          <w:rFonts w:hint="eastAsia" w:ascii="MS UI Gothic" w:hAnsi="MS UI Gothic" w:eastAsia="MS UI Gothic"/>
          <w:spacing w:val="2"/>
        </w:rPr>
        <w:t xml:space="preserve">” </w:t>
      </w:r>
      <w:r>
        <w:rPr>
          <w:rFonts w:hint="eastAsia" w:ascii="MS UI Gothic" w:hAnsi="MS UI Gothic" w:eastAsia="MS UI Gothic"/>
          <w:spacing w:val="6"/>
          <w:w w:val="80"/>
        </w:rPr>
        <w:t xml:space="preserve">３ </w:t>
      </w:r>
      <w:r>
        <w:rPr>
          <w:spacing w:val="3"/>
        </w:rPr>
        <w:t>年内不得再次申请考核</w:t>
      </w:r>
      <w:r>
        <w:rPr>
          <w:rFonts w:hint="eastAsia" w:ascii="MS UI Gothic" w:hAnsi="MS UI Gothic" w:eastAsia="MS UI Gothic"/>
          <w:w w:val="80"/>
        </w:rPr>
        <w:t>ꎮ</w:t>
      </w:r>
    </w:p>
    <w:p>
      <w:pPr>
        <w:pStyle w:val="6"/>
        <w:spacing w:before="124" w:line="295" w:lineRule="auto"/>
        <w:ind w:left="381" w:right="124"/>
        <w:rPr>
          <w:rFonts w:hint="eastAsia" w:ascii="MS UI Gothic" w:hAnsi="MS UI Gothic" w:eastAsia="MS UI Gothic"/>
        </w:rPr>
      </w:pPr>
      <w:r>
        <w:br w:type="column"/>
      </w:r>
      <w:r>
        <w:rPr>
          <w:spacing w:val="20"/>
          <w:w w:val="95"/>
        </w:rPr>
        <w:t xml:space="preserve">第二十八条   </w:t>
      </w:r>
      <w:r>
        <w:rPr>
          <w:rFonts w:hint="eastAsia" w:ascii="MS UI Gothic" w:hAnsi="MS UI Gothic" w:eastAsia="MS UI Gothic"/>
          <w:spacing w:val="-5"/>
          <w:w w:val="95"/>
        </w:rPr>
        <w:t xml:space="preserve">“ </w:t>
      </w:r>
      <w:r>
        <w:rPr>
          <w:spacing w:val="28"/>
          <w:w w:val="95"/>
        </w:rPr>
        <w:t>安管人员</w:t>
      </w:r>
      <w:r>
        <w:rPr>
          <w:rFonts w:hint="eastAsia" w:ascii="MS UI Gothic" w:hAnsi="MS UI Gothic" w:eastAsia="MS UI Gothic"/>
          <w:spacing w:val="2"/>
          <w:w w:val="95"/>
        </w:rPr>
        <w:t xml:space="preserve">”   </w:t>
      </w:r>
      <w:r>
        <w:rPr>
          <w:spacing w:val="17"/>
          <w:w w:val="95"/>
        </w:rPr>
        <w:t>涂改</w:t>
      </w:r>
      <w:r>
        <w:rPr>
          <w:rFonts w:hint="eastAsia" w:ascii="MS UI Gothic" w:hAnsi="MS UI Gothic" w:eastAsia="MS UI Gothic"/>
          <w:spacing w:val="-12"/>
          <w:w w:val="95"/>
        </w:rPr>
        <w:t>、</w:t>
      </w:r>
      <w:r>
        <w:rPr>
          <w:spacing w:val="3"/>
          <w:w w:val="95"/>
        </w:rPr>
        <w:t>倒卖</w:t>
      </w:r>
      <w:r>
        <w:rPr>
          <w:rFonts w:hint="eastAsia" w:ascii="MS UI Gothic" w:hAnsi="MS UI Gothic" w:eastAsia="MS UI Gothic"/>
          <w:spacing w:val="7"/>
          <w:w w:val="95"/>
        </w:rPr>
        <w:t xml:space="preserve">、  </w:t>
      </w:r>
      <w:r>
        <w:rPr>
          <w:spacing w:val="3"/>
          <w:w w:val="95"/>
        </w:rPr>
        <w:t>出租</w:t>
      </w:r>
      <w:r>
        <w:rPr>
          <w:rFonts w:hint="eastAsia" w:ascii="MS UI Gothic" w:hAnsi="MS UI Gothic" w:eastAsia="MS UI Gothic"/>
          <w:spacing w:val="7"/>
          <w:w w:val="95"/>
        </w:rPr>
        <w:t xml:space="preserve">、  </w:t>
      </w:r>
      <w:r>
        <w:rPr>
          <w:spacing w:val="2"/>
          <w:w w:val="95"/>
        </w:rPr>
        <w:t>出借或者以其他形式非法转</w:t>
      </w:r>
      <w:r>
        <w:rPr>
          <w:spacing w:val="3"/>
          <w:w w:val="95"/>
        </w:rPr>
        <w:t>让安全生产考核合格证书的</w:t>
      </w:r>
      <w:r>
        <w:rPr>
          <w:rFonts w:hint="eastAsia" w:ascii="MS UI Gothic" w:hAnsi="MS UI Gothic" w:eastAsia="MS UI Gothic"/>
          <w:spacing w:val="11"/>
          <w:w w:val="90"/>
        </w:rPr>
        <w:t xml:space="preserve">ꎬ  </w:t>
      </w:r>
      <w:r>
        <w:rPr>
          <w:spacing w:val="2"/>
          <w:w w:val="95"/>
        </w:rPr>
        <w:t xml:space="preserve">由县级以上地方人民政府住房城乡建设主管部门给予  </w:t>
      </w:r>
      <w:r>
        <w:rPr>
          <w:spacing w:val="3"/>
          <w:w w:val="95"/>
        </w:rPr>
        <w:t>警告</w:t>
      </w:r>
      <w:r>
        <w:rPr>
          <w:rFonts w:hint="eastAsia" w:ascii="MS UI Gothic" w:hAnsi="MS UI Gothic" w:eastAsia="MS UI Gothic"/>
          <w:spacing w:val="10"/>
          <w:w w:val="90"/>
        </w:rPr>
        <w:t xml:space="preserve">ꎬ </w:t>
      </w:r>
      <w:r>
        <w:rPr>
          <w:spacing w:val="-7"/>
          <w:w w:val="95"/>
        </w:rPr>
        <w:t xml:space="preserve">并处 </w:t>
      </w:r>
      <w:r>
        <w:rPr>
          <w:rFonts w:hint="eastAsia" w:ascii="MS UI Gothic" w:hAnsi="MS UI Gothic" w:eastAsia="MS UI Gothic"/>
          <w:w w:val="95"/>
        </w:rPr>
        <w:t xml:space="preserve">１０００ </w:t>
      </w:r>
      <w:r>
        <w:rPr>
          <w:spacing w:val="1"/>
          <w:w w:val="95"/>
        </w:rPr>
        <w:t xml:space="preserve">元以上 </w:t>
      </w:r>
      <w:r>
        <w:rPr>
          <w:rFonts w:hint="eastAsia" w:ascii="MS UI Gothic" w:hAnsi="MS UI Gothic" w:eastAsia="MS UI Gothic"/>
          <w:w w:val="95"/>
        </w:rPr>
        <w:t xml:space="preserve">５０００ </w:t>
      </w:r>
      <w:r>
        <w:rPr>
          <w:spacing w:val="18"/>
          <w:w w:val="95"/>
        </w:rPr>
        <w:t>元以下的</w:t>
      </w:r>
      <w:r>
        <w:rPr>
          <w:spacing w:val="3"/>
          <w:w w:val="95"/>
        </w:rPr>
        <w:t>罚款</w:t>
      </w:r>
      <w:r>
        <w:rPr>
          <w:rFonts w:hint="eastAsia" w:ascii="MS UI Gothic" w:hAnsi="MS UI Gothic" w:eastAsia="MS UI Gothic"/>
          <w:w w:val="90"/>
        </w:rPr>
        <w:t>ꎮ</w:t>
      </w:r>
    </w:p>
    <w:p>
      <w:pPr>
        <w:pStyle w:val="6"/>
        <w:spacing w:line="295" w:lineRule="auto"/>
        <w:ind w:left="381" w:right="126"/>
        <w:rPr>
          <w:rFonts w:hint="eastAsia" w:ascii="MS UI Gothic" w:hAnsi="MS UI Gothic" w:eastAsia="MS UI Gothic"/>
        </w:rPr>
      </w:pPr>
      <w:r>
        <w:rPr>
          <w:w w:val="105"/>
        </w:rPr>
        <w:t xml:space="preserve">第二十九条 建筑施工企业未按规定开展 </w:t>
      </w:r>
      <w:r>
        <w:rPr>
          <w:rFonts w:hint="eastAsia" w:ascii="MS UI Gothic" w:hAnsi="MS UI Gothic" w:eastAsia="MS UI Gothic"/>
          <w:w w:val="105"/>
        </w:rPr>
        <w:t xml:space="preserve">“ </w:t>
      </w:r>
      <w:r>
        <w:rPr>
          <w:w w:val="105"/>
        </w:rPr>
        <w:t>安管人员</w:t>
      </w:r>
      <w:r>
        <w:rPr>
          <w:rFonts w:hint="eastAsia" w:ascii="MS UI Gothic" w:hAnsi="MS UI Gothic" w:eastAsia="MS UI Gothic"/>
          <w:w w:val="105"/>
        </w:rPr>
        <w:t xml:space="preserve">” </w:t>
      </w:r>
      <w:r>
        <w:rPr>
          <w:w w:val="105"/>
        </w:rPr>
        <w:t>安全生产教育培训考</w:t>
      </w:r>
      <w:r>
        <w:t>核</w:t>
      </w:r>
      <w:r>
        <w:rPr>
          <w:rFonts w:hint="eastAsia" w:ascii="MS UI Gothic" w:hAnsi="MS UI Gothic" w:eastAsia="MS UI Gothic"/>
          <w:w w:val="80"/>
        </w:rPr>
        <w:t xml:space="preserve">ꎬ </w:t>
      </w:r>
      <w:r>
        <w:t>或者未按规定如实将考核情况记入安全生产教育培训档案的</w:t>
      </w:r>
      <w:r>
        <w:rPr>
          <w:rFonts w:hint="eastAsia" w:ascii="MS UI Gothic" w:hAnsi="MS UI Gothic" w:eastAsia="MS UI Gothic"/>
          <w:w w:val="80"/>
        </w:rPr>
        <w:t xml:space="preserve">ꎬ </w:t>
      </w:r>
      <w:r>
        <w:t>由县级以上地方人民政府住房城乡建设主管部门责令限期</w:t>
      </w:r>
      <w:r>
        <w:rPr>
          <w:w w:val="105"/>
        </w:rPr>
        <w:t>改正</w:t>
      </w:r>
      <w:r>
        <w:rPr>
          <w:rFonts w:hint="eastAsia" w:ascii="MS UI Gothic" w:hAnsi="MS UI Gothic" w:eastAsia="MS UI Gothic"/>
          <w:w w:val="80"/>
        </w:rPr>
        <w:t xml:space="preserve">ꎬ </w:t>
      </w:r>
      <w:r>
        <w:rPr>
          <w:w w:val="105"/>
        </w:rPr>
        <w:t xml:space="preserve">并处 </w:t>
      </w:r>
      <w:r>
        <w:rPr>
          <w:rFonts w:hint="eastAsia" w:ascii="MS UI Gothic" w:hAnsi="MS UI Gothic" w:eastAsia="MS UI Gothic"/>
          <w:w w:val="80"/>
        </w:rPr>
        <w:t xml:space="preserve">２ </w:t>
      </w:r>
      <w:r>
        <w:rPr>
          <w:w w:val="105"/>
        </w:rPr>
        <w:t>万元以下的罚款</w:t>
      </w:r>
      <w:r>
        <w:rPr>
          <w:rFonts w:hint="eastAsia" w:ascii="MS UI Gothic" w:hAnsi="MS UI Gothic" w:eastAsia="MS UI Gothic"/>
          <w:w w:val="80"/>
        </w:rPr>
        <w:t>ꎮ</w:t>
      </w:r>
    </w:p>
    <w:p>
      <w:pPr>
        <w:pStyle w:val="6"/>
        <w:spacing w:line="295" w:lineRule="auto"/>
        <w:ind w:left="381" w:right="126"/>
        <w:rPr>
          <w:rFonts w:hint="eastAsia" w:ascii="MS UI Gothic" w:hAnsi="MS UI Gothic" w:eastAsia="MS UI Gothic"/>
        </w:rPr>
      </w:pPr>
      <w:r>
        <w:rPr>
          <w:spacing w:val="2"/>
          <w:w w:val="105"/>
        </w:rPr>
        <w:t>第三十条 建筑施工企业有下列行为</w:t>
      </w:r>
      <w:r>
        <w:rPr>
          <w:spacing w:val="3"/>
        </w:rPr>
        <w:t>之一的</w:t>
      </w:r>
      <w:r>
        <w:rPr>
          <w:rFonts w:hint="eastAsia" w:ascii="MS UI Gothic" w:hAnsi="MS UI Gothic" w:eastAsia="MS UI Gothic"/>
          <w:spacing w:val="20"/>
          <w:w w:val="80"/>
        </w:rPr>
        <w:t xml:space="preserve">ꎬ </w:t>
      </w:r>
      <w:r>
        <w:rPr>
          <w:spacing w:val="2"/>
        </w:rPr>
        <w:t>由县级以上人民政府住房城乡建</w:t>
      </w:r>
      <w:r>
        <w:rPr>
          <w:spacing w:val="13"/>
        </w:rPr>
        <w:t>设主管部门责令限期改正</w:t>
      </w:r>
      <w:r>
        <w:rPr>
          <w:rFonts w:hint="eastAsia" w:ascii="MS UI Gothic" w:hAnsi="MS UI Gothic" w:eastAsia="MS UI Gothic"/>
          <w:spacing w:val="23"/>
          <w:w w:val="80"/>
        </w:rPr>
        <w:t xml:space="preserve">ꎻ </w:t>
      </w:r>
      <w:r>
        <w:rPr>
          <w:spacing w:val="16"/>
        </w:rPr>
        <w:t>逾期未改正</w:t>
      </w:r>
      <w:r>
        <w:rPr>
          <w:spacing w:val="3"/>
          <w:w w:val="105"/>
        </w:rPr>
        <w:t>的</w:t>
      </w:r>
      <w:r>
        <w:rPr>
          <w:rFonts w:hint="eastAsia" w:ascii="MS UI Gothic" w:hAnsi="MS UI Gothic" w:eastAsia="MS UI Gothic"/>
          <w:spacing w:val="-1"/>
          <w:w w:val="80"/>
        </w:rPr>
        <w:t xml:space="preserve">ꎬ </w:t>
      </w:r>
      <w:r>
        <w:rPr>
          <w:spacing w:val="3"/>
          <w:w w:val="105"/>
        </w:rPr>
        <w:t>责令停业整顿</w:t>
      </w:r>
      <w:r>
        <w:rPr>
          <w:rFonts w:hint="eastAsia" w:ascii="MS UI Gothic" w:hAnsi="MS UI Gothic" w:eastAsia="MS UI Gothic"/>
          <w:w w:val="80"/>
        </w:rPr>
        <w:t xml:space="preserve">ꎬ </w:t>
      </w:r>
      <w:r>
        <w:rPr>
          <w:spacing w:val="-27"/>
          <w:w w:val="105"/>
        </w:rPr>
        <w:t xml:space="preserve">并处 </w:t>
      </w:r>
      <w:r>
        <w:rPr>
          <w:rFonts w:hint="eastAsia" w:ascii="MS UI Gothic" w:hAnsi="MS UI Gothic" w:eastAsia="MS UI Gothic"/>
          <w:spacing w:val="-11"/>
          <w:w w:val="80"/>
        </w:rPr>
        <w:t xml:space="preserve">２ </w:t>
      </w:r>
      <w:r>
        <w:rPr>
          <w:spacing w:val="2"/>
          <w:w w:val="105"/>
        </w:rPr>
        <w:t>万元以下的罚</w:t>
      </w:r>
      <w:r>
        <w:rPr>
          <w:spacing w:val="3"/>
          <w:w w:val="105"/>
        </w:rPr>
        <w:t>款</w:t>
      </w:r>
      <w:r>
        <w:rPr>
          <w:rFonts w:hint="eastAsia" w:ascii="MS UI Gothic" w:hAnsi="MS UI Gothic" w:eastAsia="MS UI Gothic"/>
          <w:spacing w:val="4"/>
          <w:w w:val="80"/>
        </w:rPr>
        <w:t xml:space="preserve">ꎻ </w:t>
      </w:r>
      <w:r>
        <w:rPr>
          <w:spacing w:val="-5"/>
          <w:w w:val="105"/>
        </w:rPr>
        <w:t xml:space="preserve">导致不具备 </w:t>
      </w:r>
      <w:r>
        <w:rPr>
          <w:rFonts w:hint="eastAsia" w:ascii="MS UI Gothic" w:hAnsi="MS UI Gothic" w:eastAsia="MS UI Gothic"/>
          <w:spacing w:val="-18"/>
          <w:w w:val="80"/>
        </w:rPr>
        <w:t xml:space="preserve">« </w:t>
      </w:r>
      <w:r>
        <w:rPr>
          <w:spacing w:val="9"/>
          <w:w w:val="105"/>
        </w:rPr>
        <w:t>安全生产许可证条例</w:t>
      </w:r>
      <w:r>
        <w:rPr>
          <w:rFonts w:hint="eastAsia" w:ascii="MS UI Gothic" w:hAnsi="MS UI Gothic" w:eastAsia="MS UI Gothic"/>
          <w:w w:val="80"/>
        </w:rPr>
        <w:t xml:space="preserve">» </w:t>
      </w:r>
      <w:r>
        <w:rPr>
          <w:spacing w:val="3"/>
        </w:rPr>
        <w:t>规定的安全生产条件的</w:t>
      </w:r>
      <w:r>
        <w:rPr>
          <w:rFonts w:hint="eastAsia" w:ascii="MS UI Gothic" w:hAnsi="MS UI Gothic" w:eastAsia="MS UI Gothic"/>
          <w:spacing w:val="20"/>
          <w:w w:val="80"/>
        </w:rPr>
        <w:t xml:space="preserve">ꎬ </w:t>
      </w:r>
      <w:r>
        <w:rPr>
          <w:spacing w:val="2"/>
        </w:rPr>
        <w:t>应当依法暂扣或</w:t>
      </w:r>
      <w:r>
        <w:rPr>
          <w:spacing w:val="3"/>
          <w:w w:val="105"/>
        </w:rPr>
        <w:t>者吊销安全生产许可证</w:t>
      </w:r>
      <w:r>
        <w:rPr>
          <w:rFonts w:hint="eastAsia" w:ascii="MS UI Gothic" w:hAns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未按规定设立安全生产管理机</w:t>
      </w:r>
      <w:r>
        <w:rPr>
          <w:w w:val="110"/>
        </w:rPr>
        <w:t>构的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未按规定配备专职安全生产管</w:t>
      </w:r>
      <w:r>
        <w:rPr>
          <w:w w:val="110"/>
        </w:rPr>
        <w:t>理人员的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危险性较大的分部分项工程施</w:t>
      </w:r>
      <w:r>
        <w:t>工时未安排专职安全生产管理人员现场监</w:t>
      </w:r>
      <w:r>
        <w:rPr>
          <w:w w:val="105"/>
        </w:rPr>
        <w:t>督的</w:t>
      </w:r>
      <w:r>
        <w:rPr>
          <w:rFonts w:hint="eastAsia" w:ascii="MS UI Gothic" w:eastAsia="MS UI Gothic"/>
          <w:w w:val="80"/>
        </w:rPr>
        <w:t>ꎻ</w:t>
      </w:r>
    </w:p>
    <w:p>
      <w:pPr>
        <w:pStyle w:val="6"/>
        <w:spacing w:line="295" w:lineRule="auto"/>
        <w:ind w:left="381" w:right="126"/>
        <w:rPr>
          <w:rFonts w:hint="eastAsia" w:ascii="MS UI Gothic" w:hAnsi="MS UI Gothic" w:eastAsia="MS UI Gothic"/>
        </w:rPr>
      </w:pPr>
      <w:r>
        <w:rPr>
          <w:rFonts w:hint="eastAsia" w:ascii="MS UI Gothic" w:hAnsi="MS UI Gothic" w:eastAsia="MS UI Gothic"/>
          <w:w w:val="150"/>
        </w:rPr>
        <w:t xml:space="preserve">( </w:t>
      </w:r>
      <w:r>
        <w:rPr>
          <w:w w:val="110"/>
        </w:rPr>
        <w:t>四</w:t>
      </w:r>
      <w:r>
        <w:rPr>
          <w:rFonts w:hint="eastAsia" w:ascii="MS UI Gothic" w:hAnsi="MS UI Gothic" w:eastAsia="MS UI Gothic"/>
          <w:w w:val="150"/>
        </w:rPr>
        <w:t xml:space="preserve">) </w:t>
      </w:r>
      <w:r>
        <w:rPr>
          <w:rFonts w:hint="eastAsia" w:ascii="MS UI Gothic" w:hAnsi="MS UI Gothic" w:eastAsia="MS UI Gothic"/>
          <w:w w:val="110"/>
        </w:rPr>
        <w:t xml:space="preserve">“ </w:t>
      </w:r>
      <w:r>
        <w:rPr>
          <w:w w:val="110"/>
        </w:rPr>
        <w:t>安管人员</w:t>
      </w:r>
      <w:r>
        <w:rPr>
          <w:rFonts w:hint="eastAsia" w:ascii="MS UI Gothic" w:hAnsi="MS UI Gothic" w:eastAsia="MS UI Gothic"/>
          <w:w w:val="110"/>
        </w:rPr>
        <w:t xml:space="preserve">” </w:t>
      </w:r>
      <w:r>
        <w:rPr>
          <w:w w:val="110"/>
        </w:rPr>
        <w:t>未取得安全生产考核合格证书的</w:t>
      </w:r>
      <w:r>
        <w:rPr>
          <w:rFonts w:hint="eastAsia" w:ascii="MS UI Gothic" w:hAnsi="MS UI Gothic" w:eastAsia="MS UI Gothic"/>
          <w:w w:val="80"/>
        </w:rPr>
        <w:t>ꎮ</w:t>
      </w:r>
    </w:p>
    <w:p>
      <w:pPr>
        <w:pStyle w:val="6"/>
        <w:spacing w:line="295" w:lineRule="auto"/>
        <w:ind w:left="381" w:right="126"/>
        <w:rPr>
          <w:rFonts w:hint="eastAsia" w:ascii="MS UI Gothic" w:hAnsi="MS UI Gothic" w:eastAsia="MS UI Gothic"/>
        </w:rPr>
      </w:pPr>
      <w:r>
        <w:rPr>
          <w:w w:val="95"/>
        </w:rPr>
        <w:t xml:space="preserve">第三十一条    </w:t>
      </w:r>
      <w:r>
        <w:rPr>
          <w:rFonts w:hint="eastAsia" w:ascii="MS UI Gothic" w:hAnsi="MS UI Gothic" w:eastAsia="MS UI Gothic"/>
          <w:w w:val="95"/>
        </w:rPr>
        <w:t xml:space="preserve">“ </w:t>
      </w:r>
      <w:r>
        <w:rPr>
          <w:w w:val="95"/>
        </w:rPr>
        <w:t>安管人员</w:t>
      </w:r>
      <w:r>
        <w:rPr>
          <w:rFonts w:hint="eastAsia" w:ascii="MS UI Gothic" w:hAnsi="MS UI Gothic" w:eastAsia="MS UI Gothic"/>
          <w:w w:val="95"/>
        </w:rPr>
        <w:t xml:space="preserve">”   </w:t>
      </w:r>
      <w:r>
        <w:rPr>
          <w:w w:val="95"/>
        </w:rPr>
        <w:t>未按规定办理证书变更的</w:t>
      </w:r>
      <w:r>
        <w:rPr>
          <w:rFonts w:hint="eastAsia" w:ascii="MS UI Gothic" w:hAnsi="MS UI Gothic" w:eastAsia="MS UI Gothic"/>
          <w:w w:val="90"/>
        </w:rPr>
        <w:t xml:space="preserve">ꎬ  </w:t>
      </w:r>
      <w:r>
        <w:rPr>
          <w:w w:val="95"/>
        </w:rPr>
        <w:t>由县级以上地方人民政府住房城乡建设主管部门责令限期改 正</w:t>
      </w:r>
      <w:r>
        <w:rPr>
          <w:rFonts w:hint="eastAsia" w:ascii="MS UI Gothic" w:hAnsi="MS UI Gothic" w:eastAsia="MS UI Gothic"/>
          <w:w w:val="90"/>
        </w:rPr>
        <w:t xml:space="preserve">ꎬ </w:t>
      </w:r>
      <w:r>
        <w:rPr>
          <w:w w:val="95"/>
        </w:rPr>
        <w:t xml:space="preserve">并处 </w:t>
      </w:r>
      <w:r>
        <w:rPr>
          <w:rFonts w:hint="eastAsia" w:ascii="MS UI Gothic" w:hAnsi="MS UI Gothic" w:eastAsia="MS UI Gothic"/>
          <w:w w:val="95"/>
        </w:rPr>
        <w:t xml:space="preserve">１０００ </w:t>
      </w:r>
      <w:r>
        <w:rPr>
          <w:w w:val="95"/>
        </w:rPr>
        <w:t xml:space="preserve">元以上 </w:t>
      </w:r>
      <w:r>
        <w:rPr>
          <w:rFonts w:hint="eastAsia" w:ascii="MS UI Gothic" w:hAnsi="MS UI Gothic" w:eastAsia="MS UI Gothic"/>
          <w:w w:val="95"/>
        </w:rPr>
        <w:t xml:space="preserve">５０００ </w:t>
      </w:r>
      <w:r>
        <w:rPr>
          <w:w w:val="95"/>
        </w:rPr>
        <w:t>元以下的罚款</w:t>
      </w:r>
      <w:r>
        <w:rPr>
          <w:rFonts w:hint="eastAsia" w:ascii="MS UI Gothic" w:hAnsi="MS UI Gothic" w:eastAsia="MS UI Gothic"/>
          <w:w w:val="90"/>
        </w:rPr>
        <w:t>ꎮ</w:t>
      </w:r>
    </w:p>
    <w:p>
      <w:pPr>
        <w:pStyle w:val="6"/>
        <w:spacing w:line="295" w:lineRule="auto"/>
        <w:ind w:left="381" w:right="126"/>
      </w:pPr>
      <w:r>
        <w:t>第三十二条 主要负责人</w:t>
      </w:r>
      <w:r>
        <w:rPr>
          <w:rFonts w:hint="eastAsia" w:ascii="MS UI Gothic" w:hAnsi="MS UI Gothic" w:eastAsia="MS UI Gothic"/>
          <w:w w:val="80"/>
        </w:rPr>
        <w:t xml:space="preserve">、 </w:t>
      </w:r>
      <w:r>
        <w:t>项目负责人未按规定履行安全生产管理职责的</w:t>
      </w:r>
      <w:r>
        <w:rPr>
          <w:rFonts w:hint="eastAsia" w:ascii="MS UI Gothic" w:hAnsi="MS UI Gothic" w:eastAsia="MS UI Gothic"/>
          <w:w w:val="80"/>
        </w:rPr>
        <w:t xml:space="preserve">ꎬ </w:t>
      </w:r>
      <w:r>
        <w:t>由县级以上人民政府住房城乡建设主管部门责令限期改正</w:t>
      </w:r>
      <w:r>
        <w:rPr>
          <w:rFonts w:hint="eastAsia" w:ascii="MS UI Gothic" w:hAnsi="MS UI Gothic" w:eastAsia="MS UI Gothic"/>
          <w:w w:val="80"/>
        </w:rPr>
        <w:t xml:space="preserve">ꎻ </w:t>
      </w:r>
      <w:r>
        <w:t>逾期未改正的</w:t>
      </w:r>
      <w:r>
        <w:rPr>
          <w:rFonts w:hint="eastAsia" w:ascii="MS UI Gothic" w:hAnsi="MS UI Gothic" w:eastAsia="MS UI Gothic"/>
          <w:w w:val="80"/>
        </w:rPr>
        <w:t xml:space="preserve">ꎬ </w:t>
      </w:r>
      <w:r>
        <w:t>责令建筑施工企业停业整顿</w:t>
      </w:r>
      <w:r>
        <w:rPr>
          <w:rFonts w:hint="eastAsia" w:ascii="MS UI Gothic" w:hAnsi="MS UI Gothic" w:eastAsia="MS UI Gothic"/>
          <w:w w:val="80"/>
        </w:rPr>
        <w:t xml:space="preserve">ꎻ </w:t>
      </w:r>
      <w:r>
        <w:t>造成生产安全事故或者其他严重后果的</w:t>
      </w:r>
      <w:r>
        <w:rPr>
          <w:rFonts w:hint="eastAsia" w:ascii="MS UI Gothic" w:hAnsi="MS UI Gothic" w:eastAsia="MS UI Gothic"/>
          <w:w w:val="80"/>
        </w:rPr>
        <w:t xml:space="preserve">ꎬ </w:t>
      </w:r>
      <w:r>
        <w:t xml:space="preserve">按照 </w:t>
      </w:r>
      <w:r>
        <w:rPr>
          <w:rFonts w:hint="eastAsia" w:ascii="MS UI Gothic" w:hAnsi="MS UI Gothic" w:eastAsia="MS UI Gothic"/>
          <w:w w:val="80"/>
        </w:rPr>
        <w:t xml:space="preserve">« </w:t>
      </w:r>
      <w:r>
        <w:t>生产安全事</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４５２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55" o:spid="_x0000_s2355" o:spt="203" style="height:2.15pt;width:398.25pt;" coordsize="7965,43">
            <o:lock v:ext="edit"/>
            <v:line id="_x0000_s2356" o:spid="_x0000_s2356" o:spt="20" style="position:absolute;left:0;top:39;height:0;width:7965;" stroked="t" coordsize="21600,21600">
              <v:path arrowok="t"/>
              <v:fill focussize="0,0"/>
              <v:stroke weight="0.388031496062992pt" color="#231F20"/>
              <v:imagedata o:title=""/>
              <o:lock v:ext="edit"/>
            </v:line>
            <v:line id="_x0000_s2357" o:spid="_x0000_s235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hAnsi="MS UI Gothic" w:eastAsia="MS UI Gothic"/>
        </w:rPr>
      </w:pPr>
      <w:r>
        <w:t>故报告和调查处理条例</w:t>
      </w:r>
      <w:r>
        <w:rPr>
          <w:rFonts w:hint="eastAsia" w:ascii="MS UI Gothic" w:hAnsi="MS UI Gothic" w:eastAsia="MS UI Gothic"/>
          <w:w w:val="80"/>
        </w:rPr>
        <w:t xml:space="preserve">» </w:t>
      </w:r>
      <w:r>
        <w:t>的有关规定</w:t>
      </w:r>
      <w:r>
        <w:rPr>
          <w:rFonts w:hint="eastAsia" w:ascii="MS UI Gothic" w:hAnsi="MS UI Gothic" w:eastAsia="MS UI Gothic"/>
          <w:w w:val="80"/>
        </w:rPr>
        <w:t>ꎬ</w:t>
      </w:r>
      <w:r>
        <w:t>依法暂扣或者吊销安全生产考核合格证书</w:t>
      </w:r>
      <w:r>
        <w:rPr>
          <w:rFonts w:hint="eastAsia" w:ascii="MS UI Gothic" w:hAnsi="MS UI Gothic" w:eastAsia="MS UI Gothic"/>
          <w:w w:val="80"/>
        </w:rPr>
        <w:t xml:space="preserve">ꎻ </w:t>
      </w:r>
      <w:r>
        <w:t>构成犯罪的</w:t>
      </w:r>
      <w:r>
        <w:rPr>
          <w:rFonts w:hint="eastAsia" w:ascii="MS UI Gothic" w:hAnsi="MS UI Gothic" w:eastAsia="MS UI Gothic"/>
          <w:w w:val="80"/>
        </w:rPr>
        <w:t xml:space="preserve">ꎬ </w:t>
      </w:r>
      <w:r>
        <w:t>依法追究刑事责任</w:t>
      </w:r>
      <w:r>
        <w:rPr>
          <w:rFonts w:hint="eastAsia" w:ascii="MS UI Gothic" w:hAnsi="MS UI Gothic" w:eastAsia="MS UI Gothic"/>
          <w:w w:val="80"/>
        </w:rPr>
        <w:t>ꎮ</w:t>
      </w:r>
    </w:p>
    <w:p>
      <w:pPr>
        <w:pStyle w:val="6"/>
        <w:spacing w:line="295" w:lineRule="auto"/>
        <w:ind w:left="118" w:right="39" w:firstLine="425"/>
        <w:rPr>
          <w:rFonts w:hint="eastAsia" w:ascii="MS UI Gothic" w:eastAsia="MS UI Gothic"/>
        </w:rPr>
      </w:pPr>
      <w:r>
        <w:t>主要负责人</w:t>
      </w:r>
      <w:r>
        <w:rPr>
          <w:rFonts w:hint="eastAsia" w:ascii="MS UI Gothic" w:eastAsia="MS UI Gothic"/>
          <w:w w:val="85"/>
        </w:rPr>
        <w:t xml:space="preserve">、 </w:t>
      </w:r>
      <w:r>
        <w:t>项目负责人有前款违法行为</w:t>
      </w:r>
      <w:r>
        <w:rPr>
          <w:rFonts w:hint="eastAsia" w:ascii="MS UI Gothic" w:eastAsia="MS UI Gothic"/>
          <w:w w:val="85"/>
        </w:rPr>
        <w:t xml:space="preserve">ꎬ </w:t>
      </w:r>
      <w:r>
        <w:t>尚不够刑事处罚的</w:t>
      </w:r>
      <w:r>
        <w:rPr>
          <w:rFonts w:hint="eastAsia" w:ascii="MS UI Gothic" w:eastAsia="MS UI Gothic"/>
          <w:w w:val="85"/>
        </w:rPr>
        <w:t xml:space="preserve">ꎬ </w:t>
      </w:r>
      <w:r>
        <w:t xml:space="preserve">处 </w:t>
      </w:r>
      <w:r>
        <w:rPr>
          <w:rFonts w:hint="eastAsia" w:ascii="MS UI Gothic" w:eastAsia="MS UI Gothic"/>
          <w:w w:val="85"/>
        </w:rPr>
        <w:t xml:space="preserve">２ </w:t>
      </w:r>
      <w:r>
        <w:t>万元以上</w:t>
      </w:r>
      <w:r>
        <w:rPr>
          <w:rFonts w:hint="eastAsia" w:ascii="MS UI Gothic" w:eastAsia="MS UI Gothic"/>
          <w:w w:val="85"/>
        </w:rPr>
        <w:t xml:space="preserve">２０ </w:t>
      </w:r>
      <w:r>
        <w:t>万元以下的罚款或者按照管理权限给予撤职处分</w:t>
      </w:r>
      <w:r>
        <w:rPr>
          <w:rFonts w:hint="eastAsia" w:ascii="MS UI Gothic" w:eastAsia="MS UI Gothic"/>
          <w:w w:val="85"/>
        </w:rPr>
        <w:t xml:space="preserve">ꎻ </w:t>
      </w:r>
      <w:r>
        <w:t>自刑罚执行完毕或者受处分之日起</w:t>
      </w:r>
      <w:r>
        <w:rPr>
          <w:rFonts w:hint="eastAsia" w:ascii="MS UI Gothic" w:eastAsia="MS UI Gothic"/>
          <w:w w:val="85"/>
        </w:rPr>
        <w:t xml:space="preserve">ꎬ ５ </w:t>
      </w:r>
      <w:r>
        <w:t>年内不得担任建筑施工企业的主要负责人</w:t>
      </w:r>
      <w:r>
        <w:rPr>
          <w:rFonts w:hint="eastAsia" w:ascii="MS UI Gothic" w:eastAsia="MS UI Gothic"/>
          <w:w w:val="85"/>
        </w:rPr>
        <w:t xml:space="preserve">、 </w:t>
      </w:r>
      <w:r>
        <w:t>项目负责人</w:t>
      </w:r>
      <w:r>
        <w:rPr>
          <w:rFonts w:hint="eastAsia" w:ascii="MS UI Gothic" w:eastAsia="MS UI Gothic"/>
          <w:w w:val="85"/>
        </w:rPr>
        <w:t>ꎮ</w:t>
      </w:r>
    </w:p>
    <w:p>
      <w:pPr>
        <w:pStyle w:val="6"/>
        <w:spacing w:line="295" w:lineRule="auto"/>
        <w:ind w:right="39"/>
        <w:rPr>
          <w:rFonts w:hint="eastAsia" w:ascii="MS UI Gothic" w:hAnsi="MS UI Gothic" w:eastAsia="MS UI Gothic"/>
        </w:rPr>
      </w:pPr>
      <w:r>
        <w:rPr>
          <w:spacing w:val="2"/>
          <w:w w:val="95"/>
        </w:rPr>
        <w:t>第三十三条   专职安全生产管理人员</w:t>
      </w:r>
      <w:r>
        <w:rPr>
          <w:spacing w:val="3"/>
          <w:w w:val="95"/>
        </w:rPr>
        <w:t>未按规定履行安全生产管理职责的</w:t>
      </w:r>
      <w:r>
        <w:rPr>
          <w:rFonts w:hint="eastAsia" w:ascii="MS UI Gothic" w:hAnsi="MS UI Gothic" w:eastAsia="MS UI Gothic"/>
          <w:spacing w:val="15"/>
          <w:w w:val="90"/>
        </w:rPr>
        <w:t xml:space="preserve">ꎬ  </w:t>
      </w:r>
      <w:r>
        <w:rPr>
          <w:spacing w:val="1"/>
          <w:w w:val="95"/>
        </w:rPr>
        <w:t>由县</w:t>
      </w:r>
      <w:r>
        <w:rPr>
          <w:spacing w:val="2"/>
          <w:w w:val="95"/>
        </w:rPr>
        <w:t xml:space="preserve">级以上地方人民政府住房城乡建设主管部  </w:t>
      </w:r>
      <w:r>
        <w:rPr>
          <w:spacing w:val="3"/>
          <w:w w:val="95"/>
        </w:rPr>
        <w:t>门责令限期改正</w:t>
      </w:r>
      <w:r>
        <w:rPr>
          <w:rFonts w:hint="eastAsia" w:ascii="MS UI Gothic" w:hAnsi="MS UI Gothic" w:eastAsia="MS UI Gothic"/>
          <w:spacing w:val="9"/>
          <w:w w:val="90"/>
        </w:rPr>
        <w:t xml:space="preserve">ꎬ </w:t>
      </w:r>
      <w:r>
        <w:rPr>
          <w:spacing w:val="-15"/>
          <w:w w:val="95"/>
        </w:rPr>
        <w:t xml:space="preserve">并处 </w:t>
      </w:r>
      <w:r>
        <w:rPr>
          <w:rFonts w:hint="eastAsia" w:ascii="MS UI Gothic" w:hAnsi="MS UI Gothic" w:eastAsia="MS UI Gothic"/>
          <w:spacing w:val="-3"/>
          <w:w w:val="95"/>
        </w:rPr>
        <w:t xml:space="preserve">１０００ </w:t>
      </w:r>
      <w:r>
        <w:rPr>
          <w:spacing w:val="-9"/>
          <w:w w:val="95"/>
        </w:rPr>
        <w:t xml:space="preserve">元以上 </w:t>
      </w:r>
      <w:r>
        <w:rPr>
          <w:rFonts w:hint="eastAsia" w:ascii="MS UI Gothic" w:hAnsi="MS UI Gothic" w:eastAsia="MS UI Gothic"/>
          <w:w w:val="95"/>
        </w:rPr>
        <w:t xml:space="preserve">５０００ </w:t>
      </w:r>
      <w:r>
        <w:rPr>
          <w:spacing w:val="3"/>
          <w:w w:val="95"/>
        </w:rPr>
        <w:t>元以下的罚款</w:t>
      </w:r>
      <w:r>
        <w:rPr>
          <w:rFonts w:hint="eastAsia" w:ascii="MS UI Gothic" w:hAnsi="MS UI Gothic" w:eastAsia="MS UI Gothic"/>
          <w:spacing w:val="15"/>
          <w:w w:val="90"/>
        </w:rPr>
        <w:t xml:space="preserve">ꎻ  </w:t>
      </w:r>
      <w:r>
        <w:rPr>
          <w:spacing w:val="2"/>
          <w:w w:val="95"/>
        </w:rPr>
        <w:t>造成生产安全事故或者其</w:t>
      </w:r>
      <w:r>
        <w:rPr>
          <w:spacing w:val="8"/>
          <w:w w:val="95"/>
        </w:rPr>
        <w:t>他严重后果的</w:t>
      </w:r>
      <w:r>
        <w:rPr>
          <w:rFonts w:hint="eastAsia" w:ascii="MS UI Gothic" w:hAnsi="MS UI Gothic" w:eastAsia="MS UI Gothic"/>
          <w:spacing w:val="3"/>
          <w:w w:val="90"/>
        </w:rPr>
        <w:t xml:space="preserve">ꎬ </w:t>
      </w:r>
      <w:r>
        <w:rPr>
          <w:spacing w:val="33"/>
          <w:w w:val="95"/>
        </w:rPr>
        <w:t xml:space="preserve">按照 </w:t>
      </w:r>
      <w:r>
        <w:rPr>
          <w:rFonts w:hint="eastAsia" w:ascii="MS UI Gothic" w:hAnsi="MS UI Gothic" w:eastAsia="MS UI Gothic"/>
          <w:spacing w:val="-5"/>
          <w:w w:val="95"/>
        </w:rPr>
        <w:t xml:space="preserve">« </w:t>
      </w:r>
      <w:r>
        <w:rPr>
          <w:spacing w:val="18"/>
          <w:w w:val="95"/>
        </w:rPr>
        <w:t>生产安全事故报</w:t>
      </w:r>
      <w:r>
        <w:rPr>
          <w:spacing w:val="12"/>
          <w:w w:val="95"/>
        </w:rPr>
        <w:t>告和调查处理条例</w:t>
      </w:r>
      <w:r>
        <w:rPr>
          <w:rFonts w:hint="eastAsia" w:ascii="MS UI Gothic" w:hAnsi="MS UI Gothic" w:eastAsia="MS UI Gothic"/>
          <w:spacing w:val="16"/>
          <w:w w:val="95"/>
        </w:rPr>
        <w:t xml:space="preserve">» </w:t>
      </w:r>
      <w:r>
        <w:rPr>
          <w:spacing w:val="17"/>
          <w:w w:val="95"/>
        </w:rPr>
        <w:t>的有关规定</w:t>
      </w:r>
      <w:r>
        <w:rPr>
          <w:rFonts w:hint="eastAsia" w:ascii="MS UI Gothic" w:hAnsi="MS UI Gothic" w:eastAsia="MS UI Gothic"/>
          <w:spacing w:val="4"/>
          <w:w w:val="90"/>
        </w:rPr>
        <w:t xml:space="preserve">ꎬ  </w:t>
      </w:r>
      <w:r>
        <w:rPr>
          <w:spacing w:val="10"/>
          <w:w w:val="95"/>
        </w:rPr>
        <w:t>依法</w:t>
      </w:r>
      <w:r>
        <w:rPr>
          <w:spacing w:val="3"/>
          <w:w w:val="95"/>
        </w:rPr>
        <w:t>暂扣或者吊销安全生产考核合格证书</w:t>
      </w:r>
      <w:r>
        <w:rPr>
          <w:rFonts w:hint="eastAsia" w:ascii="MS UI Gothic" w:hAnsi="MS UI Gothic" w:eastAsia="MS UI Gothic"/>
          <w:spacing w:val="15"/>
          <w:w w:val="90"/>
        </w:rPr>
        <w:t xml:space="preserve">ꎻ  </w:t>
      </w:r>
      <w:r>
        <w:rPr>
          <w:w w:val="95"/>
        </w:rPr>
        <w:t>构</w:t>
      </w:r>
      <w:r>
        <w:rPr>
          <w:spacing w:val="3"/>
          <w:w w:val="95"/>
        </w:rPr>
        <w:t>成犯罪的</w:t>
      </w:r>
      <w:r>
        <w:rPr>
          <w:rFonts w:hint="eastAsia" w:ascii="MS UI Gothic" w:hAnsi="MS UI Gothic" w:eastAsia="MS UI Gothic"/>
          <w:spacing w:val="27"/>
          <w:w w:val="90"/>
        </w:rPr>
        <w:t xml:space="preserve">ꎬ </w:t>
      </w:r>
      <w:r>
        <w:rPr>
          <w:spacing w:val="3"/>
          <w:w w:val="95"/>
        </w:rPr>
        <w:t>依法追究刑事责任</w:t>
      </w:r>
      <w:r>
        <w:rPr>
          <w:rFonts w:hint="eastAsia" w:ascii="MS UI Gothic" w:hAnsi="MS UI Gothic" w:eastAsia="MS UI Gothic"/>
          <w:w w:val="90"/>
        </w:rPr>
        <w:t>ꎮ</w:t>
      </w:r>
    </w:p>
    <w:p>
      <w:pPr>
        <w:pStyle w:val="6"/>
        <w:spacing w:line="295" w:lineRule="auto"/>
        <w:ind w:right="39"/>
      </w:pPr>
      <w:r>
        <w:rPr>
          <w:w w:val="105"/>
        </w:rPr>
        <w:t>第三十四条 县级以上人民政府住房</w:t>
      </w:r>
      <w:r>
        <w:t>城乡建设主管部门及其工作人员</w:t>
      </w:r>
      <w:r>
        <w:rPr>
          <w:rFonts w:hint="eastAsia" w:ascii="MS UI Gothic" w:eastAsia="MS UI Gothic"/>
          <w:w w:val="80"/>
        </w:rPr>
        <w:t xml:space="preserve">ꎬ </w:t>
      </w:r>
      <w:r>
        <w:t>有下列</w:t>
      </w:r>
    </w:p>
    <w:p>
      <w:pPr>
        <w:pStyle w:val="6"/>
        <w:spacing w:before="123" w:line="295" w:lineRule="auto"/>
        <w:ind w:left="118" w:right="442" w:firstLine="0"/>
        <w:rPr>
          <w:rFonts w:hint="eastAsia" w:ascii="MS UI Gothic" w:eastAsia="MS UI Gothic"/>
        </w:rPr>
      </w:pPr>
      <w:r>
        <w:br w:type="column"/>
      </w:r>
      <w:r>
        <w:t>情形之一的</w:t>
      </w:r>
      <w:r>
        <w:rPr>
          <w:rFonts w:hint="eastAsia" w:ascii="MS UI Gothic" w:eastAsia="MS UI Gothic"/>
          <w:w w:val="80"/>
        </w:rPr>
        <w:t xml:space="preserve">ꎬ </w:t>
      </w:r>
      <w:r>
        <w:t>由其上级行政机关或者监察机关责令改正</w:t>
      </w:r>
      <w:r>
        <w:rPr>
          <w:rFonts w:hint="eastAsia" w:ascii="MS UI Gothic" w:eastAsia="MS UI Gothic"/>
          <w:w w:val="80"/>
        </w:rPr>
        <w:t xml:space="preserve">ꎬ </w:t>
      </w:r>
      <w:r>
        <w:t>对直接负责的主管人员和其他直接责任人员依法给予处分</w:t>
      </w:r>
      <w:r>
        <w:rPr>
          <w:rFonts w:hint="eastAsia" w:ascii="MS UI Gothic" w:eastAsia="MS UI Gothic"/>
          <w:w w:val="80"/>
        </w:rPr>
        <w:t xml:space="preserve">ꎻ </w:t>
      </w:r>
      <w:r>
        <w:t>构成犯</w:t>
      </w:r>
      <w:r>
        <w:rPr>
          <w:w w:val="105"/>
        </w:rPr>
        <w:t>罪的</w:t>
      </w:r>
      <w:r>
        <w:rPr>
          <w:rFonts w:hint="eastAsia" w:ascii="MS UI Gothic" w:eastAsia="MS UI Gothic"/>
          <w:w w:val="80"/>
        </w:rPr>
        <w:t xml:space="preserve">ꎬ </w:t>
      </w:r>
      <w:r>
        <w:rPr>
          <w:w w:val="105"/>
        </w:rPr>
        <w:t>依法追究刑事责任</w:t>
      </w:r>
      <w:r>
        <w:rPr>
          <w:rFonts w:hint="eastAsia" w:ascii="MS UI Gothic" w:eastAsia="MS UI Gothic"/>
          <w:w w:val="235"/>
        </w:rPr>
        <w:t>:</w:t>
      </w:r>
    </w:p>
    <w:p>
      <w:pPr>
        <w:pStyle w:val="6"/>
        <w:spacing w:line="295" w:lineRule="auto"/>
        <w:ind w:left="118" w:right="442"/>
        <w:rPr>
          <w:rFonts w:hint="eastAsia" w:ascii="MS UI Gothic" w:hAnsi="MS UI Gothic" w:eastAsia="MS UI Gothic"/>
        </w:rPr>
      </w:pPr>
      <w:r>
        <w:rPr>
          <w:rFonts w:hint="eastAsia" w:ascii="MS UI Gothic" w:hAnsi="MS UI Gothic" w:eastAsia="MS UI Gothic"/>
          <w:spacing w:val="-37"/>
          <w:w w:val="150"/>
        </w:rPr>
        <w:t xml:space="preserve">( </w:t>
      </w:r>
      <w:r>
        <w:rPr>
          <w:spacing w:val="3"/>
          <w:w w:val="105"/>
        </w:rPr>
        <w:t>一</w:t>
      </w:r>
      <w:r>
        <w:rPr>
          <w:rFonts w:hint="eastAsia" w:ascii="MS UI Gothic" w:hAnsi="MS UI Gothic" w:eastAsia="MS UI Gothic"/>
          <w:spacing w:val="10"/>
          <w:w w:val="150"/>
        </w:rPr>
        <w:t xml:space="preserve">) </w:t>
      </w:r>
      <w:r>
        <w:rPr>
          <w:spacing w:val="2"/>
          <w:w w:val="105"/>
        </w:rPr>
        <w:t xml:space="preserve">向不具备法定条件的 </w:t>
      </w:r>
      <w:r>
        <w:rPr>
          <w:rFonts w:hint="eastAsia" w:ascii="MS UI Gothic" w:hAnsi="MS UI Gothic" w:eastAsia="MS UI Gothic"/>
          <w:spacing w:val="-20"/>
          <w:w w:val="105"/>
        </w:rPr>
        <w:t xml:space="preserve">“ </w:t>
      </w:r>
      <w:r>
        <w:rPr>
          <w:spacing w:val="6"/>
          <w:w w:val="105"/>
        </w:rPr>
        <w:t>安管人</w:t>
      </w:r>
      <w:r>
        <w:rPr>
          <w:spacing w:val="3"/>
          <w:w w:val="105"/>
        </w:rPr>
        <w:t>员</w:t>
      </w:r>
      <w:r>
        <w:rPr>
          <w:rFonts w:hint="eastAsia" w:ascii="MS UI Gothic" w:hAnsi="MS UI Gothic" w:eastAsia="MS UI Gothic"/>
          <w:spacing w:val="19"/>
          <w:w w:val="105"/>
        </w:rPr>
        <w:t xml:space="preserve">” </w:t>
      </w:r>
      <w:r>
        <w:rPr>
          <w:spacing w:val="3"/>
          <w:w w:val="105"/>
        </w:rPr>
        <w:t>核发安全生产考核合格证书的</w:t>
      </w:r>
      <w:r>
        <w:rPr>
          <w:rFonts w:hint="eastAsia" w:ascii="MS UI Gothic" w:hAnsi="MS UI Gothic" w:eastAsia="MS UI Gothic"/>
          <w:w w:val="80"/>
        </w:rPr>
        <w:t>ꎻ</w:t>
      </w:r>
    </w:p>
    <w:p>
      <w:pPr>
        <w:pStyle w:val="6"/>
        <w:spacing w:line="295" w:lineRule="auto"/>
        <w:ind w:left="118" w:right="442"/>
        <w:rPr>
          <w:rFonts w:hint="eastAsia" w:ascii="MS UI Gothic" w:hAnsi="MS UI Gothic" w:eastAsia="MS UI Gothic"/>
        </w:rPr>
      </w:pPr>
      <w:r>
        <w:rPr>
          <w:rFonts w:hint="eastAsia" w:ascii="MS UI Gothic" w:hAnsi="MS UI Gothic" w:eastAsia="MS UI Gothic"/>
          <w:spacing w:val="-37"/>
          <w:w w:val="150"/>
        </w:rPr>
        <w:t xml:space="preserve">( </w:t>
      </w:r>
      <w:r>
        <w:rPr>
          <w:spacing w:val="15"/>
          <w:w w:val="105"/>
        </w:rPr>
        <w:t>二</w:t>
      </w:r>
      <w:r>
        <w:rPr>
          <w:rFonts w:hint="eastAsia" w:ascii="MS UI Gothic" w:hAnsi="MS UI Gothic" w:eastAsia="MS UI Gothic"/>
          <w:spacing w:val="18"/>
          <w:w w:val="150"/>
        </w:rPr>
        <w:t xml:space="preserve">) </w:t>
      </w:r>
      <w:r>
        <w:rPr>
          <w:spacing w:val="19"/>
          <w:w w:val="105"/>
        </w:rPr>
        <w:t xml:space="preserve">对符合法定条件的 </w:t>
      </w:r>
      <w:r>
        <w:rPr>
          <w:rFonts w:hint="eastAsia" w:ascii="MS UI Gothic" w:hAnsi="MS UI Gothic" w:eastAsia="MS UI Gothic"/>
          <w:spacing w:val="-16"/>
          <w:w w:val="105"/>
        </w:rPr>
        <w:t xml:space="preserve">“ </w:t>
      </w:r>
      <w:r>
        <w:rPr>
          <w:spacing w:val="14"/>
          <w:w w:val="105"/>
        </w:rPr>
        <w:t>安管人</w:t>
      </w:r>
      <w:r>
        <w:rPr>
          <w:spacing w:val="3"/>
          <w:w w:val="105"/>
        </w:rPr>
        <w:t>员</w:t>
      </w:r>
      <w:r>
        <w:rPr>
          <w:rFonts w:hint="eastAsia" w:ascii="MS UI Gothic" w:hAnsi="MS UI Gothic" w:eastAsia="MS UI Gothic"/>
          <w:w w:val="105"/>
        </w:rPr>
        <w:t xml:space="preserve">” </w:t>
      </w:r>
      <w:r>
        <w:rPr>
          <w:spacing w:val="14"/>
          <w:w w:val="105"/>
        </w:rPr>
        <w:t>不予核发或者不在法定期限内核发</w:t>
      </w:r>
      <w:r>
        <w:rPr>
          <w:spacing w:val="3"/>
          <w:w w:val="105"/>
        </w:rPr>
        <w:t>安全生产考核合格证书的</w:t>
      </w:r>
      <w:r>
        <w:rPr>
          <w:rFonts w:hint="eastAsia" w:ascii="MS UI Gothic" w:hAns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4"/>
          <w:w w:val="150"/>
        </w:rPr>
        <w:t xml:space="preserve">) </w:t>
      </w:r>
      <w:r>
        <w:rPr>
          <w:spacing w:val="5"/>
          <w:w w:val="105"/>
        </w:rPr>
        <w:t>对符合法定条件的申请不予受</w:t>
      </w:r>
      <w:r>
        <w:rPr>
          <w:spacing w:val="3"/>
          <w:w w:val="105"/>
        </w:rPr>
        <w:t>理或者未在法定期限内办理完毕的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spacing w:val="-39"/>
          <w:w w:val="150"/>
        </w:rPr>
        <w:t xml:space="preserve">( </w:t>
      </w:r>
      <w:r>
        <w:rPr>
          <w:spacing w:val="3"/>
          <w:w w:val="105"/>
        </w:rPr>
        <w:t>四</w:t>
      </w:r>
      <w:r>
        <w:rPr>
          <w:rFonts w:hint="eastAsia" w:ascii="MS UI Gothic" w:eastAsia="MS UI Gothic"/>
          <w:spacing w:val="-3"/>
          <w:w w:val="150"/>
        </w:rPr>
        <w:t xml:space="preserve">) </w:t>
      </w:r>
      <w:r>
        <w:rPr>
          <w:spacing w:val="5"/>
          <w:w w:val="105"/>
        </w:rPr>
        <w:t>利用职务上的便利</w:t>
      </w:r>
      <w:r>
        <w:rPr>
          <w:rFonts w:hint="eastAsia" w:ascii="MS UI Gothic" w:eastAsia="MS UI Gothic"/>
          <w:spacing w:val="13"/>
          <w:w w:val="80"/>
        </w:rPr>
        <w:t xml:space="preserve">ꎬ </w:t>
      </w:r>
      <w:r>
        <w:rPr>
          <w:spacing w:val="8"/>
          <w:w w:val="105"/>
        </w:rPr>
        <w:t>索取或者</w:t>
      </w:r>
      <w:r>
        <w:rPr>
          <w:spacing w:val="3"/>
          <w:w w:val="105"/>
        </w:rPr>
        <w:t>收受他人财物或者谋取其他利益的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不依法履行监督管理职责</w:t>
      </w:r>
      <w:r>
        <w:rPr>
          <w:rFonts w:hint="eastAsia" w:ascii="MS UI Gothic" w:eastAsia="MS UI Gothic"/>
          <w:w w:val="80"/>
        </w:rPr>
        <w:t xml:space="preserve">ꎬ </w:t>
      </w:r>
      <w:r>
        <w:rPr>
          <w:w w:val="105"/>
        </w:rPr>
        <w:t>造成严重后果的</w:t>
      </w:r>
      <w:r>
        <w:rPr>
          <w:rFonts w:hint="eastAsia" w:ascii="MS UI Gothic" w:eastAsia="MS UI Gothic"/>
          <w:w w:val="80"/>
        </w:rPr>
        <w:t>ꎮ</w:t>
      </w:r>
    </w:p>
    <w:p>
      <w:pPr>
        <w:pStyle w:val="6"/>
        <w:tabs>
          <w:tab w:val="left" w:pos="2005"/>
          <w:tab w:val="left" w:pos="2633"/>
        </w:tabs>
        <w:spacing w:before="145"/>
        <w:ind w:left="1166" w:firstLine="0"/>
        <w:jc w:val="left"/>
      </w:pPr>
      <w:r>
        <w:rPr>
          <w:spacing w:val="3"/>
          <w:w w:val="105"/>
        </w:rPr>
        <w:t>第六</w:t>
      </w:r>
      <w:r>
        <w:rPr>
          <w:w w:val="105"/>
        </w:rPr>
        <w:t>章</w:t>
      </w:r>
      <w:r>
        <w:rPr>
          <w:w w:val="105"/>
        </w:rPr>
        <w:tab/>
      </w:r>
      <w:r>
        <w:rPr>
          <w:w w:val="105"/>
        </w:rPr>
        <w:t>附</w:t>
      </w:r>
      <w:r>
        <w:rPr>
          <w:w w:val="105"/>
        </w:rPr>
        <w:tab/>
      </w:r>
      <w:r>
        <w:rPr>
          <w:w w:val="105"/>
        </w:rPr>
        <w:t>则</w:t>
      </w:r>
    </w:p>
    <w:p>
      <w:pPr>
        <w:pStyle w:val="6"/>
        <w:spacing w:before="11"/>
        <w:ind w:left="0" w:firstLine="0"/>
        <w:jc w:val="left"/>
        <w:rPr>
          <w:sz w:val="16"/>
        </w:rPr>
      </w:pPr>
    </w:p>
    <w:p>
      <w:pPr>
        <w:pStyle w:val="6"/>
        <w:spacing w:line="295" w:lineRule="auto"/>
        <w:ind w:left="274" w:right="442" w:firstLine="263"/>
        <w:rPr>
          <w:rFonts w:hint="eastAsia" w:ascii="MS UI Gothic" w:eastAsia="MS UI Gothic"/>
        </w:rPr>
      </w:pPr>
      <w:r>
        <w:pict>
          <v:shape id="_x0000_s2358" o:spid="_x0000_s2358" o:spt="202" type="#_x0000_t202" style="position:absolute;left:0pt;margin-left:264.5pt;margin-top:12pt;height:24.35pt;width:5.15pt;mso-position-horizontal-relative:page;z-index:252197888;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第三十五条 本规定自 </w:t>
      </w:r>
      <w:r>
        <w:rPr>
          <w:rFonts w:hint="eastAsia" w:ascii="MS UI Gothic" w:eastAsia="MS UI Gothic"/>
          <w:w w:val="95"/>
        </w:rPr>
        <w:t xml:space="preserve">２０１４ </w:t>
      </w:r>
      <w:r>
        <w:rPr>
          <w:w w:val="95"/>
        </w:rPr>
        <w:t xml:space="preserve">年 </w:t>
      </w:r>
      <w:r>
        <w:rPr>
          <w:rFonts w:hint="eastAsia" w:ascii="MS UI Gothic" w:eastAsia="MS UI Gothic"/>
          <w:w w:val="95"/>
        </w:rPr>
        <w:t xml:space="preserve">９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62"/>
            <w:col w:w="4342"/>
          </w:cols>
        </w:sectPr>
      </w:pPr>
    </w:p>
    <w:p>
      <w:pPr>
        <w:pStyle w:val="6"/>
        <w:spacing w:before="6"/>
        <w:ind w:left="0" w:firstLine="0"/>
        <w:jc w:val="left"/>
        <w:rPr>
          <w:rFonts w:ascii="MS UI Gothic"/>
          <w:sz w:val="16"/>
        </w:rPr>
      </w:pPr>
    </w:p>
    <w:p>
      <w:pPr>
        <w:pStyle w:val="4"/>
        <w:spacing w:before="74"/>
        <w:ind w:right="630"/>
      </w:pPr>
      <w:r>
        <w:t>住房城乡建设部关于修改</w:t>
      </w:r>
    </w:p>
    <w:p>
      <w:pPr>
        <w:spacing w:before="38"/>
        <w:ind w:left="310" w:right="630" w:firstLine="0"/>
        <w:jc w:val="center"/>
        <w:rPr>
          <w:sz w:val="27"/>
        </w:rPr>
      </w:pPr>
      <w:r>
        <w:rPr>
          <w:rFonts w:hint="eastAsia" w:ascii="MS UI Gothic" w:hAnsi="MS UI Gothic" w:eastAsia="MS UI Gothic"/>
          <w:sz w:val="27"/>
        </w:rPr>
        <w:t xml:space="preserve">« </w:t>
      </w:r>
      <w:r>
        <w:rPr>
          <w:sz w:val="27"/>
        </w:rPr>
        <w:t>建筑工程施工许可管理办法</w:t>
      </w:r>
      <w:r>
        <w:rPr>
          <w:rFonts w:hint="eastAsia" w:ascii="MS UI Gothic" w:hAnsi="MS UI Gothic" w:eastAsia="MS UI Gothic"/>
          <w:sz w:val="27"/>
        </w:rPr>
        <w:t xml:space="preserve">» </w:t>
      </w:r>
      <w:r>
        <w:rPr>
          <w:sz w:val="27"/>
        </w:rPr>
        <w:t>的决定</w:t>
      </w:r>
    </w:p>
    <w:p>
      <w:pPr>
        <w:pStyle w:val="6"/>
        <w:spacing w:before="367"/>
        <w:ind w:left="543" w:firstLine="0"/>
        <w:jc w:val="left"/>
        <w:rPr>
          <w:rFonts w:hint="eastAsia" w:ascii="MS UI Gothic" w:hAnsi="MS UI Gothic" w:eastAsia="MS UI Gothic"/>
        </w:rPr>
      </w:pPr>
      <w:r>
        <w:rPr>
          <w:rFonts w:hint="eastAsia" w:ascii="MS UI Gothic" w:hAnsi="MS UI Gothic" w:eastAsia="MS UI Gothic"/>
        </w:rPr>
        <w:t xml:space="preserve">« </w:t>
      </w:r>
      <w:r>
        <w:t xml:space="preserve">住房城乡建设部关于修改 </w:t>
      </w:r>
      <w:r>
        <w:rPr>
          <w:rFonts w:hint="eastAsia" w:ascii="MS UI Gothic" w:hAnsi="MS UI Gothic" w:eastAsia="MS UI Gothic"/>
        </w:rPr>
        <w:t xml:space="preserve">‹ </w:t>
      </w:r>
      <w:r>
        <w:t>建筑工程施工许可管理办法</w:t>
      </w:r>
      <w:r>
        <w:rPr>
          <w:rFonts w:hint="eastAsia" w:ascii="MS UI Gothic" w:hAnsi="MS UI Gothic" w:eastAsia="MS UI Gothic"/>
        </w:rPr>
        <w:t xml:space="preserve">› </w:t>
      </w:r>
      <w:r>
        <w:t>的决定</w:t>
      </w:r>
      <w:r>
        <w:rPr>
          <w:rFonts w:hint="eastAsia" w:ascii="MS UI Gothic" w:hAnsi="MS UI Gothic" w:eastAsia="MS UI Gothic"/>
        </w:rPr>
        <w:t xml:space="preserve">» </w:t>
      </w:r>
      <w:r>
        <w:t xml:space="preserve">已经 </w:t>
      </w:r>
      <w:r>
        <w:rPr>
          <w:rFonts w:hint="eastAsia" w:ascii="MS UI Gothic" w:hAnsi="MS UI Gothic" w:eastAsia="MS UI Gothic"/>
        </w:rPr>
        <w:t xml:space="preserve">２０１８ </w:t>
      </w:r>
      <w:r>
        <w:t xml:space="preserve">年 </w:t>
      </w:r>
      <w:r>
        <w:rPr>
          <w:rFonts w:hint="eastAsia" w:ascii="MS UI Gothic" w:hAnsi="MS UI Gothic" w:eastAsia="MS UI Gothic"/>
        </w:rPr>
        <w:t>９</w:t>
      </w:r>
    </w:p>
    <w:p>
      <w:pPr>
        <w:pStyle w:val="6"/>
        <w:spacing w:before="58"/>
        <w:ind w:firstLine="0"/>
        <w:jc w:val="left"/>
        <w:rPr>
          <w:rFonts w:hint="eastAsia" w:ascii="MS UI Gothic" w:eastAsia="MS UI Gothic"/>
        </w:rPr>
      </w:pPr>
      <w:r>
        <w:t xml:space="preserve">月 </w:t>
      </w:r>
      <w:r>
        <w:rPr>
          <w:rFonts w:hint="eastAsia" w:ascii="MS UI Gothic" w:eastAsia="MS UI Gothic"/>
          <w:w w:val="85"/>
        </w:rPr>
        <w:t xml:space="preserve">１９ </w:t>
      </w:r>
      <w:r>
        <w:t xml:space="preserve">日第 </w:t>
      </w:r>
      <w:r>
        <w:rPr>
          <w:rFonts w:hint="eastAsia" w:ascii="MS UI Gothic" w:eastAsia="MS UI Gothic"/>
          <w:w w:val="85"/>
        </w:rPr>
        <w:t xml:space="preserve">４ </w:t>
      </w:r>
      <w:r>
        <w:t>次部常务会议审议通过</w:t>
      </w:r>
      <w:r>
        <w:rPr>
          <w:rFonts w:hint="eastAsia" w:ascii="MS UI Gothic" w:eastAsia="MS UI Gothic"/>
          <w:w w:val="85"/>
        </w:rPr>
        <w:t xml:space="preserve">ꎬ </w:t>
      </w:r>
      <w:r>
        <w:t>现予发布</w:t>
      </w:r>
      <w:r>
        <w:rPr>
          <w:rFonts w:hint="eastAsia" w:ascii="MS UI Gothic" w:eastAsia="MS UI Gothic"/>
          <w:w w:val="85"/>
        </w:rPr>
        <w:t xml:space="preserve">ꎬ </w:t>
      </w:r>
      <w:r>
        <w:t>自发布之日起施行</w:t>
      </w:r>
      <w:r>
        <w:rPr>
          <w:rFonts w:hint="eastAsia" w:ascii="MS UI Gothic" w:eastAsia="MS UI Gothic"/>
          <w:w w:val="85"/>
        </w:rPr>
        <w:t>ꎮ</w:t>
      </w:r>
    </w:p>
    <w:p>
      <w:pPr>
        <w:pStyle w:val="6"/>
        <w:spacing w:before="6"/>
        <w:ind w:left="0" w:firstLine="0"/>
        <w:jc w:val="left"/>
        <w:rPr>
          <w:rFonts w:ascii="MS UI Gothic"/>
          <w:sz w:val="15"/>
        </w:rPr>
      </w:pPr>
    </w:p>
    <w:p>
      <w:pPr>
        <w:spacing w:after="0"/>
        <w:jc w:val="left"/>
        <w:rPr>
          <w:rFonts w:ascii="MS UI Gothic"/>
          <w:sz w:val="15"/>
        </w:rPr>
        <w:sectPr>
          <w:type w:val="continuous"/>
          <w:pgSz w:w="10500" w:h="14750"/>
          <w:pgMar w:top="1400" w:right="980" w:bottom="280" w:left="980" w:header="720" w:footer="720" w:gutter="0"/>
        </w:sectPr>
      </w:pPr>
    </w:p>
    <w:p>
      <w:pPr>
        <w:pStyle w:val="6"/>
        <w:ind w:left="0" w:firstLine="0"/>
        <w:jc w:val="left"/>
        <w:rPr>
          <w:rFonts w:ascii="MS UI Gothic"/>
          <w:sz w:val="32"/>
        </w:rPr>
      </w:pPr>
    </w:p>
    <w:p>
      <w:pPr>
        <w:pStyle w:val="6"/>
        <w:spacing w:before="8"/>
        <w:ind w:left="0" w:firstLine="0"/>
        <w:jc w:val="left"/>
        <w:rPr>
          <w:rFonts w:ascii="MS UI Gothic"/>
          <w:sz w:val="29"/>
        </w:rPr>
      </w:pPr>
    </w:p>
    <w:p>
      <w:pPr>
        <w:pStyle w:val="4"/>
        <w:spacing w:before="0"/>
        <w:ind w:left="1796" w:right="22"/>
      </w:pPr>
      <w:r>
        <w:t>住房城乡建设部关于修改</w:t>
      </w:r>
    </w:p>
    <w:p>
      <w:pPr>
        <w:spacing w:before="38"/>
        <w:ind w:left="1796" w:right="22" w:firstLine="0"/>
        <w:jc w:val="center"/>
        <w:rPr>
          <w:sz w:val="27"/>
        </w:rPr>
      </w:pPr>
      <w:r>
        <w:rPr>
          <w:rFonts w:hint="eastAsia" w:ascii="MS UI Gothic" w:hAnsi="MS UI Gothic" w:eastAsia="MS UI Gothic"/>
          <w:sz w:val="27"/>
        </w:rPr>
        <w:t xml:space="preserve">« </w:t>
      </w:r>
      <w:r>
        <w:rPr>
          <w:sz w:val="27"/>
        </w:rPr>
        <w:t>建筑工程施工许可管理办法</w:t>
      </w:r>
      <w:r>
        <w:rPr>
          <w:rFonts w:hint="eastAsia" w:ascii="MS UI Gothic" w:hAnsi="MS UI Gothic" w:eastAsia="MS UI Gothic"/>
          <w:sz w:val="27"/>
        </w:rPr>
        <w:t xml:space="preserve">» </w:t>
      </w:r>
      <w:r>
        <w:rPr>
          <w:sz w:val="27"/>
        </w:rPr>
        <w:t>的决定</w:t>
      </w:r>
    </w:p>
    <w:p>
      <w:pPr>
        <w:pStyle w:val="6"/>
        <w:spacing w:before="174"/>
        <w:ind w:left="-2" w:firstLine="0"/>
        <w:jc w:val="left"/>
      </w:pPr>
      <w:r>
        <w:br w:type="column"/>
      </w:r>
      <w:r>
        <w:rPr>
          <w:rFonts w:hint="eastAsia" w:ascii="MS UI Gothic" w:eastAsia="MS UI Gothic"/>
        </w:rPr>
        <w:t xml:space="preserve">２０１８ </w:t>
      </w:r>
      <w:r>
        <w:t xml:space="preserve">年 </w:t>
      </w:r>
      <w:r>
        <w:rPr>
          <w:rFonts w:hint="eastAsia" w:ascii="MS UI Gothic" w:eastAsia="MS UI Gothic"/>
        </w:rPr>
        <w:t xml:space="preserve">９ </w:t>
      </w:r>
      <w:r>
        <w:t xml:space="preserve">月 </w:t>
      </w:r>
      <w:r>
        <w:rPr>
          <w:rFonts w:hint="eastAsia" w:ascii="MS UI Gothic" w:eastAsia="MS UI Gothic"/>
        </w:rPr>
        <w:t xml:space="preserve">２８ </w:t>
      </w:r>
      <w:r>
        <w:t>日</w:t>
      </w:r>
    </w:p>
    <w:p>
      <w:pPr>
        <w:spacing w:after="0"/>
        <w:jc w:val="left"/>
        <w:sectPr>
          <w:type w:val="continuous"/>
          <w:pgSz w:w="10500" w:h="14750"/>
          <w:pgMar w:top="1400" w:right="980" w:bottom="280" w:left="980" w:header="720" w:footer="720" w:gutter="0"/>
          <w:cols w:equalWidth="0" w:num="2">
            <w:col w:w="6434" w:space="40"/>
            <w:col w:w="2066"/>
          </w:cols>
        </w:sectPr>
      </w:pPr>
    </w:p>
    <w:p>
      <w:pPr>
        <w:pStyle w:val="6"/>
        <w:ind w:left="0" w:firstLine="0"/>
        <w:jc w:val="left"/>
        <w:rPr>
          <w:sz w:val="15"/>
        </w:rPr>
      </w:pPr>
    </w:p>
    <w:p>
      <w:pPr>
        <w:spacing w:after="0"/>
        <w:jc w:val="left"/>
        <w:rPr>
          <w:sz w:val="15"/>
        </w:rPr>
        <w:sectPr>
          <w:type w:val="continuous"/>
          <w:pgSz w:w="10500" w:h="14750"/>
          <w:pgMar w:top="1400" w:right="980" w:bottom="280" w:left="980" w:header="720" w:footer="720" w:gutter="0"/>
        </w:sectPr>
      </w:pPr>
    </w:p>
    <w:p>
      <w:pPr>
        <w:pStyle w:val="6"/>
        <w:spacing w:before="174" w:line="300" w:lineRule="auto"/>
        <w:ind w:right="38"/>
        <w:rPr>
          <w:rFonts w:hint="eastAsia" w:ascii="MS UI Gothic" w:hAnsi="MS UI Gothic" w:eastAsia="MS UI Gothic"/>
        </w:rPr>
      </w:pPr>
      <w:r>
        <w:rPr>
          <w:w w:val="105"/>
        </w:rPr>
        <w:t xml:space="preserve">为贯彻落实国务院深化 </w:t>
      </w:r>
      <w:r>
        <w:rPr>
          <w:rFonts w:hint="eastAsia" w:ascii="MS UI Gothic" w:hAnsi="MS UI Gothic" w:eastAsia="MS UI Gothic"/>
          <w:w w:val="105"/>
        </w:rPr>
        <w:t xml:space="preserve">“ </w:t>
      </w:r>
      <w:r>
        <w:rPr>
          <w:w w:val="105"/>
        </w:rPr>
        <w:t>放管服</w:t>
      </w:r>
      <w:r>
        <w:rPr>
          <w:rFonts w:hint="eastAsia" w:ascii="MS UI Gothic" w:hAnsi="MS UI Gothic" w:eastAsia="MS UI Gothic"/>
          <w:w w:val="105"/>
        </w:rPr>
        <w:t xml:space="preserve">” </w:t>
      </w:r>
      <w:r>
        <w:t>改革</w:t>
      </w:r>
      <w:r>
        <w:rPr>
          <w:rFonts w:hint="eastAsia" w:ascii="MS UI Gothic" w:hAnsi="MS UI Gothic" w:eastAsia="MS UI Gothic"/>
          <w:w w:val="80"/>
        </w:rPr>
        <w:t xml:space="preserve">ꎬ </w:t>
      </w:r>
      <w:r>
        <w:t>优化营商环境的要求</w:t>
      </w:r>
      <w:r>
        <w:rPr>
          <w:rFonts w:hint="eastAsia" w:ascii="MS UI Gothic" w:hAnsi="MS UI Gothic" w:eastAsia="MS UI Gothic"/>
          <w:w w:val="80"/>
        </w:rPr>
        <w:t xml:space="preserve">ꎬ </w:t>
      </w:r>
      <w:r>
        <w:t>住房城乡建</w:t>
      </w:r>
      <w:r>
        <w:rPr>
          <w:w w:val="105"/>
        </w:rPr>
        <w:t xml:space="preserve">设部决定对 </w:t>
      </w:r>
      <w:r>
        <w:rPr>
          <w:rFonts w:hint="eastAsia" w:ascii="MS UI Gothic" w:hAnsi="MS UI Gothic" w:eastAsia="MS UI Gothic"/>
          <w:w w:val="80"/>
        </w:rPr>
        <w:t xml:space="preserve">« </w:t>
      </w:r>
      <w:r>
        <w:rPr>
          <w:w w:val="105"/>
        </w:rPr>
        <w:t>建筑工程施工许可管理办法</w:t>
      </w:r>
      <w:r>
        <w:rPr>
          <w:rFonts w:hint="eastAsia" w:ascii="MS UI Gothic" w:hAnsi="MS UI Gothic" w:eastAsia="MS UI Gothic"/>
          <w:w w:val="80"/>
        </w:rPr>
        <w:t xml:space="preserve">» </w:t>
      </w:r>
      <w:r>
        <w:rPr>
          <w:rFonts w:hint="eastAsia" w:ascii="MS UI Gothic" w:hAnsi="MS UI Gothic" w:eastAsia="MS UI Gothic"/>
          <w:w w:val="150"/>
        </w:rPr>
        <w:t xml:space="preserve">( </w:t>
      </w:r>
      <w:r>
        <w:rPr>
          <w:w w:val="105"/>
        </w:rPr>
        <w:t xml:space="preserve">住房城乡建设部令第 </w:t>
      </w:r>
      <w:r>
        <w:rPr>
          <w:rFonts w:hint="eastAsia" w:ascii="MS UI Gothic" w:hAnsi="MS UI Gothic" w:eastAsia="MS UI Gothic"/>
          <w:w w:val="80"/>
        </w:rPr>
        <w:t xml:space="preserve">１８ </w:t>
      </w:r>
      <w:r>
        <w:rPr>
          <w:w w:val="105"/>
        </w:rPr>
        <w:t>号</w:t>
      </w:r>
      <w:r>
        <w:rPr>
          <w:rFonts w:hint="eastAsia" w:ascii="MS UI Gothic" w:hAnsi="MS UI Gothic" w:eastAsia="MS UI Gothic"/>
          <w:w w:val="150"/>
        </w:rPr>
        <w:t xml:space="preserve">) </w:t>
      </w:r>
      <w:r>
        <w:rPr>
          <w:w w:val="105"/>
        </w:rPr>
        <w:t>作如下修改</w:t>
      </w:r>
      <w:r>
        <w:rPr>
          <w:rFonts w:hint="eastAsia" w:ascii="MS UI Gothic" w:hAnsi="MS UI Gothic" w:eastAsia="MS UI Gothic"/>
          <w:w w:val="230"/>
        </w:rPr>
        <w:t>:</w:t>
      </w:r>
    </w:p>
    <w:p>
      <w:pPr>
        <w:pStyle w:val="6"/>
        <w:spacing w:before="4"/>
        <w:ind w:left="543" w:firstLine="0"/>
        <w:rPr>
          <w:rFonts w:hint="eastAsia" w:ascii="MS UI Gothic" w:eastAsia="MS UI Gothic"/>
        </w:rPr>
      </w:pPr>
      <w:r>
        <w:t>一</w:t>
      </w:r>
      <w:r>
        <w:rPr>
          <w:rFonts w:hint="eastAsia" w:ascii="MS UI Gothic" w:eastAsia="MS UI Gothic"/>
        </w:rPr>
        <w:t xml:space="preserve">、 </w:t>
      </w:r>
      <w:r>
        <w:t>删去第四条第一款第七项</w:t>
      </w:r>
      <w:r>
        <w:rPr>
          <w:rFonts w:hint="eastAsia" w:ascii="MS UI Gothic" w:eastAsia="MS UI Gothic"/>
          <w:w w:val="80"/>
        </w:rPr>
        <w:t>ꎮ</w:t>
      </w:r>
    </w:p>
    <w:p>
      <w:pPr>
        <w:pStyle w:val="6"/>
        <w:spacing w:before="174" w:line="300" w:lineRule="auto"/>
        <w:ind w:right="440"/>
        <w:rPr>
          <w:rFonts w:hint="eastAsia" w:ascii="MS UI Gothic" w:hAnsi="MS UI Gothic" w:eastAsia="MS UI Gothic"/>
        </w:rPr>
      </w:pPr>
      <w:r>
        <w:br w:type="column"/>
      </w:r>
      <w:r>
        <w:rPr>
          <w:w w:val="105"/>
        </w:rPr>
        <w:t>二</w:t>
      </w:r>
      <w:r>
        <w:rPr>
          <w:rFonts w:hint="eastAsia" w:ascii="MS UI Gothic" w:hAnsi="MS UI Gothic" w:eastAsia="MS UI Gothic"/>
          <w:w w:val="80"/>
        </w:rPr>
        <w:t xml:space="preserve">、 </w:t>
      </w:r>
      <w:r>
        <w:rPr>
          <w:w w:val="105"/>
        </w:rPr>
        <w:t>将第四条第一款第八项修改为</w:t>
      </w:r>
      <w:r>
        <w:rPr>
          <w:rFonts w:hint="eastAsia" w:ascii="MS UI Gothic" w:hAnsi="MS UI Gothic" w:eastAsia="MS UI Gothic"/>
          <w:w w:val="235"/>
        </w:rPr>
        <w:t xml:space="preserve">: </w:t>
      </w:r>
      <w:r>
        <w:rPr>
          <w:w w:val="105"/>
        </w:rPr>
        <w:t>建设资金已经落实</w:t>
      </w:r>
      <w:r>
        <w:rPr>
          <w:rFonts w:hint="eastAsia" w:ascii="MS UI Gothic" w:hAnsi="MS UI Gothic" w:eastAsia="MS UI Gothic"/>
          <w:w w:val="80"/>
        </w:rPr>
        <w:t xml:space="preserve">ꎮ </w:t>
      </w:r>
      <w:r>
        <w:rPr>
          <w:w w:val="105"/>
        </w:rPr>
        <w:t>建设单位应当提供建设资金已经落实承诺书</w:t>
      </w:r>
      <w:r>
        <w:rPr>
          <w:rFonts w:hint="eastAsia" w:ascii="MS UI Gothic" w:hAnsi="MS UI Gothic" w:eastAsia="MS UI Gothic"/>
          <w:w w:val="105"/>
        </w:rPr>
        <w:t xml:space="preserve">” </w:t>
      </w:r>
      <w:r>
        <w:rPr>
          <w:rFonts w:hint="eastAsia" w:ascii="MS UI Gothic" w:hAnsi="MS UI Gothic" w:eastAsia="MS UI Gothic"/>
          <w:w w:val="80"/>
        </w:rPr>
        <w:t>ꎮ</w:t>
      </w:r>
    </w:p>
    <w:p>
      <w:pPr>
        <w:pStyle w:val="6"/>
        <w:spacing w:before="2" w:line="300" w:lineRule="auto"/>
        <w:ind w:right="440"/>
      </w:pPr>
      <w:r>
        <w:pict>
          <v:shape id="_x0000_s2359" o:spid="_x0000_s2359" o:spt="202" type="#_x0000_t202" style="position:absolute;left:0pt;margin-left:264.8pt;margin-top:-35.7pt;height:24.35pt;width:5.15pt;mso-position-horizontal-relative:page;z-index:-27556454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hAnsi="MS UI Gothic"/>
                    </w:rPr>
                  </w:pPr>
                  <w:r>
                    <w:rPr>
                      <w:rFonts w:ascii="MS UI Gothic" w:hAnsi="MS UI Gothic"/>
                      <w:w w:val="102"/>
                    </w:rPr>
                    <w:t>“</w:t>
                  </w:r>
                </w:p>
              </w:txbxContent>
            </v:textbox>
          </v:shape>
        </w:pict>
      </w:r>
      <w:r>
        <w:pict>
          <v:shape id="_x0000_s2360" o:spid="_x0000_s2360" o:spt="202" type="#_x0000_t202" style="position:absolute;left:0pt;margin-left:264.8pt;margin-top:12.35pt;height:24.35pt;width:5.15pt;mso-position-horizontal-relative:page;z-index:-275563520;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ascii="MS UI Gothic" w:hAnsi="MS UI Gothic"/>
                    </w:rPr>
                  </w:pPr>
                  <w:r>
                    <w:rPr>
                      <w:rFonts w:ascii="MS UI Gothic" w:hAnsi="MS UI Gothic"/>
                      <w:w w:val="102"/>
                    </w:rPr>
                    <w:t>“</w:t>
                  </w:r>
                </w:p>
              </w:txbxContent>
            </v:textbox>
          </v:shape>
        </w:pict>
      </w:r>
      <w:r>
        <w:rPr>
          <w:w w:val="105"/>
        </w:rPr>
        <w:t>三</w:t>
      </w:r>
      <w:r>
        <w:rPr>
          <w:rFonts w:hint="eastAsia" w:ascii="MS UI Gothic" w:hAnsi="MS UI Gothic" w:eastAsia="MS UI Gothic"/>
        </w:rPr>
        <w:t xml:space="preserve">、 </w:t>
      </w:r>
      <w:r>
        <w:rPr>
          <w:w w:val="105"/>
        </w:rPr>
        <w:t>将第五条第一款第三项修改为</w:t>
      </w:r>
      <w:r>
        <w:rPr>
          <w:rFonts w:hint="eastAsia" w:ascii="MS UI Gothic" w:hAnsi="MS UI Gothic" w:eastAsia="MS UI Gothic"/>
          <w:w w:val="235"/>
        </w:rPr>
        <w:t xml:space="preserve">: </w:t>
      </w:r>
      <w:r>
        <w:rPr>
          <w:w w:val="105"/>
        </w:rPr>
        <w:t xml:space="preserve">发证机关在收到建设单位报送的 </w:t>
      </w:r>
      <w:r>
        <w:rPr>
          <w:rFonts w:hint="eastAsia" w:ascii="MS UI Gothic" w:hAnsi="MS UI Gothic" w:eastAsia="MS UI Gothic"/>
        </w:rPr>
        <w:t xml:space="preserve">« </w:t>
      </w:r>
      <w:r>
        <w:rPr>
          <w:w w:val="105"/>
        </w:rPr>
        <w:t>建筑工程施工许可证申请表</w:t>
      </w:r>
      <w:r>
        <w:rPr>
          <w:rFonts w:hint="eastAsia" w:ascii="MS UI Gothic" w:hAnsi="MS UI Gothic" w:eastAsia="MS UI Gothic"/>
        </w:rPr>
        <w:t xml:space="preserve">» </w:t>
      </w:r>
      <w:r>
        <w:rPr>
          <w:w w:val="105"/>
        </w:rPr>
        <w:t>和所附证明文</w:t>
      </w:r>
    </w:p>
    <w:p>
      <w:pPr>
        <w:spacing w:after="0" w:line="300" w:lineRule="auto"/>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４５３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61" o:spid="_x0000_s2361" o:spt="203" style="height:2.15pt;width:398.25pt;" coordsize="7965,43">
            <o:lock v:ext="edit"/>
            <v:line id="_x0000_s2362" o:spid="_x0000_s2362" o:spt="20" style="position:absolute;left:0;top:39;height:0;width:7965;" stroked="t" coordsize="21600,21600">
              <v:path arrowok="t"/>
              <v:fill focussize="0,0"/>
              <v:stroke weight="0.388031496062992pt" color="#231F20"/>
              <v:imagedata o:title=""/>
              <o:lock v:ext="edit"/>
            </v:line>
            <v:line id="_x0000_s2363" o:spid="_x0000_s236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pPr>
      <w:r>
        <w:t>件后</w:t>
      </w:r>
      <w:r>
        <w:rPr>
          <w:rFonts w:hint="eastAsia" w:ascii="MS UI Gothic" w:eastAsia="MS UI Gothic"/>
          <w:w w:val="80"/>
        </w:rPr>
        <w:t xml:space="preserve">ꎬ </w:t>
      </w:r>
      <w:r>
        <w:t>对于符合条件的</w:t>
      </w:r>
      <w:r>
        <w:rPr>
          <w:rFonts w:hint="eastAsia" w:ascii="MS UI Gothic" w:eastAsia="MS UI Gothic"/>
          <w:w w:val="80"/>
        </w:rPr>
        <w:t xml:space="preserve">ꎬ </w:t>
      </w:r>
      <w:r>
        <w:t>应当自收到申请之日起七日内颁发施工许可证</w:t>
      </w:r>
      <w:r>
        <w:rPr>
          <w:rFonts w:hint="eastAsia" w:ascii="MS UI Gothic" w:eastAsia="MS UI Gothic"/>
          <w:w w:val="80"/>
        </w:rPr>
        <w:t xml:space="preserve">ꎻ </w:t>
      </w:r>
      <w:r>
        <w:t>对于证明文件不齐全或者失效的</w:t>
      </w:r>
      <w:r>
        <w:rPr>
          <w:rFonts w:hint="eastAsia" w:ascii="MS UI Gothic" w:eastAsia="MS UI Gothic"/>
          <w:w w:val="80"/>
        </w:rPr>
        <w:t xml:space="preserve">ꎬ </w:t>
      </w:r>
      <w:r>
        <w:t>应当当场或者五日内一次告知建设单位需要补正的全部内容</w:t>
      </w:r>
      <w:r>
        <w:rPr>
          <w:rFonts w:hint="eastAsia" w:ascii="MS UI Gothic" w:eastAsia="MS UI Gothic"/>
          <w:w w:val="80"/>
        </w:rPr>
        <w:t xml:space="preserve">ꎬ </w:t>
      </w:r>
      <w:r>
        <w:t>审批时间可以自证明文件补正齐全后作相应顺延</w:t>
      </w:r>
      <w:r>
        <w:rPr>
          <w:rFonts w:hint="eastAsia" w:ascii="MS UI Gothic" w:eastAsia="MS UI Gothic"/>
          <w:w w:val="80"/>
        </w:rPr>
        <w:t xml:space="preserve">ꎻ </w:t>
      </w:r>
      <w:r>
        <w:t>对于不符合条件的</w:t>
      </w:r>
      <w:r>
        <w:rPr>
          <w:rFonts w:hint="eastAsia" w:ascii="MS UI Gothic" w:eastAsia="MS UI Gothic"/>
          <w:w w:val="80"/>
        </w:rPr>
        <w:t xml:space="preserve">ꎬ </w:t>
      </w:r>
      <w:r>
        <w:t>应当自</w:t>
      </w:r>
    </w:p>
    <w:p>
      <w:pPr>
        <w:pStyle w:val="6"/>
        <w:spacing w:before="124" w:line="295" w:lineRule="auto"/>
        <w:ind w:left="383" w:right="126" w:firstLine="0"/>
        <w:jc w:val="left"/>
        <w:rPr>
          <w:rFonts w:hint="eastAsia" w:ascii="MS UI Gothic" w:hAnsi="MS UI Gothic" w:eastAsia="MS UI Gothic"/>
        </w:rPr>
      </w:pPr>
      <w:r>
        <w:br w:type="column"/>
      </w:r>
      <w:r>
        <w:t>收到申请之日起七日内书面通知建设单位</w:t>
      </w:r>
      <w:r>
        <w:rPr>
          <w:rFonts w:hint="eastAsia" w:ascii="MS UI Gothic" w:hAnsi="MS UI Gothic" w:eastAsia="MS UI Gothic"/>
          <w:w w:val="80"/>
        </w:rPr>
        <w:t xml:space="preserve">ꎬ </w:t>
      </w:r>
      <w:r>
        <w:t>并说明理由</w:t>
      </w:r>
      <w:r>
        <w:rPr>
          <w:rFonts w:hint="eastAsia" w:ascii="MS UI Gothic" w:hAnsi="MS UI Gothic" w:eastAsia="MS UI Gothic"/>
        </w:rPr>
        <w:t xml:space="preserve">” </w:t>
      </w:r>
      <w:r>
        <w:rPr>
          <w:rFonts w:hint="eastAsia" w:ascii="MS UI Gothic" w:hAnsi="MS UI Gothic" w:eastAsia="MS UI Gothic"/>
          <w:w w:val="80"/>
        </w:rPr>
        <w:t>ꎮ</w:t>
      </w:r>
    </w:p>
    <w:p>
      <w:pPr>
        <w:pStyle w:val="6"/>
        <w:spacing w:line="295" w:lineRule="auto"/>
        <w:ind w:left="802" w:right="126" w:firstLine="0"/>
        <w:jc w:val="left"/>
      </w:pPr>
      <w:r>
        <w:t>此外</w:t>
      </w:r>
      <w:r>
        <w:rPr>
          <w:rFonts w:hint="eastAsia" w:ascii="MS UI Gothic" w:hAnsi="MS UI Gothic" w:eastAsia="MS UI Gothic"/>
          <w:w w:val="80"/>
        </w:rPr>
        <w:t xml:space="preserve">ꎬ </w:t>
      </w:r>
      <w:r>
        <w:t>对相关条文顺序作相应调整</w:t>
      </w:r>
      <w:r>
        <w:rPr>
          <w:rFonts w:hint="eastAsia" w:ascii="MS UI Gothic" w:hAnsi="MS UI Gothic" w:eastAsia="MS UI Gothic"/>
          <w:w w:val="80"/>
        </w:rPr>
        <w:t>ꎮ</w:t>
      </w:r>
      <w:r>
        <w:t>本决定自发布之日起施行</w:t>
      </w:r>
      <w:r>
        <w:rPr>
          <w:rFonts w:hint="eastAsia" w:ascii="MS UI Gothic" w:hAnsi="MS UI Gothic" w:eastAsia="MS UI Gothic"/>
          <w:w w:val="80"/>
        </w:rPr>
        <w:t xml:space="preserve">ꎮ </w:t>
      </w:r>
      <w:r>
        <w:rPr>
          <w:rFonts w:hint="eastAsia" w:ascii="MS UI Gothic" w:hAnsi="MS UI Gothic" w:eastAsia="MS UI Gothic"/>
        </w:rPr>
        <w:t xml:space="preserve">« </w:t>
      </w:r>
      <w:r>
        <w:t>建筑工</w:t>
      </w:r>
    </w:p>
    <w:p>
      <w:pPr>
        <w:pStyle w:val="6"/>
        <w:spacing w:line="295" w:lineRule="auto"/>
        <w:ind w:left="383" w:right="126" w:firstLine="0"/>
        <w:jc w:val="left"/>
        <w:rPr>
          <w:rFonts w:hint="eastAsia" w:ascii="MS UI Gothic" w:hAnsi="MS UI Gothic" w:eastAsia="MS UI Gothic"/>
        </w:rPr>
      </w:pPr>
      <w:r>
        <w:t>程施工许可管理办法</w:t>
      </w:r>
      <w:r>
        <w:rPr>
          <w:rFonts w:hint="eastAsia" w:ascii="MS UI Gothic" w:hAnsi="MS UI Gothic" w:eastAsia="MS UI Gothic"/>
          <w:w w:val="80"/>
        </w:rPr>
        <w:t xml:space="preserve">» </w:t>
      </w:r>
      <w:r>
        <w:t>根据本决定作相应修改</w:t>
      </w:r>
      <w:r>
        <w:rPr>
          <w:rFonts w:hint="eastAsia" w:ascii="MS UI Gothic" w:hAnsi="MS UI Gothic" w:eastAsia="MS UI Gothic"/>
          <w:w w:val="80"/>
        </w:rPr>
        <w:t xml:space="preserve">ꎬ </w:t>
      </w:r>
      <w:r>
        <w:t>重新发布</w:t>
      </w:r>
      <w:r>
        <w:rPr>
          <w:rFonts w:hint="eastAsia" w:ascii="MS UI Gothic" w:hAnsi="MS UI Gothic" w:eastAsia="MS UI Gothic"/>
          <w:w w:val="80"/>
        </w:rPr>
        <w:t>ꎮ</w:t>
      </w:r>
    </w:p>
    <w:p>
      <w:pPr>
        <w:spacing w:after="0" w:line="295" w:lineRule="auto"/>
        <w:jc w:val="left"/>
        <w:rPr>
          <w:rFonts w:hint="eastAsia" w:ascii="MS UI Gothic" w:hAns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1"/>
        <w:ind w:left="0" w:firstLine="0"/>
        <w:jc w:val="left"/>
        <w:rPr>
          <w:rFonts w:ascii="MS UI Gothic"/>
          <w:sz w:val="7"/>
        </w:rPr>
      </w:pPr>
    </w:p>
    <w:p>
      <w:pPr>
        <w:pStyle w:val="4"/>
        <w:spacing w:before="195"/>
        <w:ind w:left="286"/>
        <w:rPr>
          <w:rFonts w:hint="eastAsia" w:ascii="Microsoft Yi Baiti" w:eastAsia="Microsoft Yi Baiti"/>
        </w:rPr>
      </w:pPr>
      <w:r>
        <w:t xml:space="preserve">建筑工程施工许可管理办法 </w:t>
      </w:r>
      <w:r>
        <w:rPr>
          <w:rFonts w:hint="eastAsia" w:ascii="Microsoft Yi Baiti" w:eastAsia="Microsoft Yi Baiti"/>
        </w:rPr>
        <w:t>(</w:t>
      </w:r>
      <w:r>
        <w:rPr>
          <w:rFonts w:hint="eastAsia" w:ascii="MS UI Gothic" w:eastAsia="MS UI Gothic"/>
        </w:rPr>
        <w:t xml:space="preserve">２０１８ </w:t>
      </w:r>
      <w:r>
        <w:t>年修正</w:t>
      </w:r>
      <w:r>
        <w:rPr>
          <w:rFonts w:hint="eastAsia" w:ascii="Microsoft Yi Baiti" w:eastAsia="Microsoft Yi Baiti"/>
        </w:rPr>
        <w:t>)</w:t>
      </w:r>
    </w:p>
    <w:p>
      <w:pPr>
        <w:pStyle w:val="6"/>
        <w:spacing w:before="52"/>
        <w:ind w:left="860" w:firstLine="0"/>
        <w:jc w:val="left"/>
      </w:pPr>
      <w:r>
        <w:rPr>
          <w:rFonts w:hint="eastAsia" w:ascii="Microsoft Yi Baiti" w:eastAsia="Microsoft Yi Baiti"/>
          <w:spacing w:val="2"/>
        </w:rPr>
        <w:t>(</w:t>
      </w:r>
      <w:r>
        <w:rPr>
          <w:rFonts w:hint="eastAsia" w:ascii="MS UI Gothic" w:eastAsia="MS UI Gothic"/>
          <w:spacing w:val="-4"/>
        </w:rPr>
        <w:t xml:space="preserve">２０１４ </w:t>
      </w:r>
      <w:r>
        <w:rPr>
          <w:spacing w:val="-36"/>
        </w:rPr>
        <w:t xml:space="preserve">年 </w:t>
      </w:r>
      <w:r>
        <w:rPr>
          <w:rFonts w:hint="eastAsia" w:ascii="MS UI Gothic" w:eastAsia="MS UI Gothic"/>
          <w:spacing w:val="-14"/>
        </w:rPr>
        <w:t xml:space="preserve">６ </w:t>
      </w:r>
      <w:r>
        <w:rPr>
          <w:spacing w:val="-36"/>
        </w:rPr>
        <w:t xml:space="preserve">月 </w:t>
      </w:r>
      <w:r>
        <w:rPr>
          <w:rFonts w:hint="eastAsia" w:ascii="MS UI Gothic" w:eastAsia="MS UI Gothic"/>
          <w:spacing w:val="-10"/>
        </w:rPr>
        <w:t xml:space="preserve">２５ </w:t>
      </w:r>
      <w:r>
        <w:rPr>
          <w:spacing w:val="-5"/>
        </w:rPr>
        <w:t xml:space="preserve">日住房和城乡建设部令第 </w:t>
      </w:r>
      <w:r>
        <w:rPr>
          <w:rFonts w:hint="eastAsia" w:ascii="MS UI Gothic" w:eastAsia="MS UI Gothic"/>
          <w:spacing w:val="-10"/>
        </w:rPr>
        <w:t xml:space="preserve">１８ </w:t>
      </w:r>
      <w:r>
        <w:rPr>
          <w:spacing w:val="-19"/>
        </w:rPr>
        <w:t xml:space="preserve">号发布 根据 </w:t>
      </w:r>
      <w:r>
        <w:rPr>
          <w:rFonts w:hint="eastAsia" w:ascii="MS UI Gothic" w:eastAsia="MS UI Gothic"/>
          <w:spacing w:val="-6"/>
        </w:rPr>
        <w:t xml:space="preserve">２０１８ </w:t>
      </w:r>
      <w:r>
        <w:rPr>
          <w:spacing w:val="-36"/>
        </w:rPr>
        <w:t xml:space="preserve">年 </w:t>
      </w:r>
      <w:r>
        <w:rPr>
          <w:rFonts w:hint="eastAsia" w:ascii="MS UI Gothic" w:eastAsia="MS UI Gothic"/>
          <w:spacing w:val="-14"/>
        </w:rPr>
        <w:t xml:space="preserve">９ </w:t>
      </w:r>
      <w:r>
        <w:rPr>
          <w:spacing w:val="-36"/>
        </w:rPr>
        <w:t xml:space="preserve">月 </w:t>
      </w:r>
      <w:r>
        <w:rPr>
          <w:rFonts w:hint="eastAsia" w:ascii="MS UI Gothic" w:eastAsia="MS UI Gothic"/>
          <w:spacing w:val="-10"/>
        </w:rPr>
        <w:t xml:space="preserve">２８ </w:t>
      </w:r>
      <w:r>
        <w:rPr>
          <w:spacing w:val="2"/>
        </w:rPr>
        <w:t>日住房和</w:t>
      </w:r>
    </w:p>
    <w:p>
      <w:pPr>
        <w:pStyle w:val="6"/>
        <w:spacing w:before="58"/>
        <w:ind w:left="440" w:firstLine="0"/>
        <w:jc w:val="left"/>
        <w:rPr>
          <w:rFonts w:hint="eastAsia" w:ascii="Microsoft Yi Baiti" w:eastAsia="Microsoft Yi Baiti"/>
        </w:rPr>
      </w:pPr>
      <w:r>
        <w:t xml:space="preserve">城乡建设部令第 </w:t>
      </w:r>
      <w:r>
        <w:rPr>
          <w:rFonts w:hint="eastAsia" w:ascii="MS UI Gothic" w:eastAsia="MS UI Gothic"/>
        </w:rPr>
        <w:t xml:space="preserve">４２ </w:t>
      </w:r>
      <w:r>
        <w:t>号修正</w:t>
      </w:r>
      <w:r>
        <w:rPr>
          <w:rFonts w:hint="eastAsia" w:ascii="Microsoft Yi Baiti" w:eastAsia="Microsoft Yi Baiti"/>
        </w:rPr>
        <w:t>)</w:t>
      </w:r>
    </w:p>
    <w:p>
      <w:pPr>
        <w:pStyle w:val="6"/>
        <w:ind w:left="0" w:firstLine="0"/>
        <w:jc w:val="left"/>
        <w:rPr>
          <w:rFonts w:ascii="Microsoft Yi Baiti"/>
          <w:sz w:val="28"/>
        </w:rPr>
      </w:pPr>
    </w:p>
    <w:p>
      <w:pPr>
        <w:spacing w:after="0"/>
        <w:jc w:val="left"/>
        <w:rPr>
          <w:rFonts w:ascii="Microsoft Yi Baiti"/>
          <w:sz w:val="28"/>
        </w:rPr>
        <w:sectPr>
          <w:type w:val="continuous"/>
          <w:pgSz w:w="10500" w:h="14750"/>
          <w:pgMar w:top="1400" w:right="980" w:bottom="280" w:left="980" w:header="720" w:footer="720" w:gutter="0"/>
        </w:sectPr>
      </w:pPr>
    </w:p>
    <w:p>
      <w:pPr>
        <w:pStyle w:val="6"/>
        <w:spacing w:before="85" w:line="292" w:lineRule="auto"/>
        <w:ind w:left="440" w:right="1"/>
        <w:rPr>
          <w:rFonts w:hint="eastAsia" w:ascii="MS UI Gothic" w:hAnsi="MS UI Gothic" w:eastAsia="MS UI Gothic"/>
        </w:rPr>
      </w:pPr>
      <w:r>
        <w:t>第一条 为了加强对建筑活动的监督管理</w:t>
      </w:r>
      <w:r>
        <w:rPr>
          <w:rFonts w:hint="eastAsia" w:ascii="MS UI Gothic" w:hAnsi="MS UI Gothic" w:eastAsia="MS UI Gothic"/>
          <w:w w:val="80"/>
        </w:rPr>
        <w:t xml:space="preserve">ꎬ </w:t>
      </w:r>
      <w:r>
        <w:t>维护建筑市场秩序</w:t>
      </w:r>
      <w:r>
        <w:rPr>
          <w:rFonts w:hint="eastAsia" w:ascii="MS UI Gothic" w:hAnsi="MS UI Gothic" w:eastAsia="MS UI Gothic"/>
          <w:w w:val="80"/>
        </w:rPr>
        <w:t xml:space="preserve">ꎬ </w:t>
      </w:r>
      <w:r>
        <w:t>保证建筑工程的质量和安全</w:t>
      </w:r>
      <w:r>
        <w:rPr>
          <w:rFonts w:hint="eastAsia" w:ascii="MS UI Gothic" w:hAnsi="MS UI Gothic" w:eastAsia="MS UI Gothic"/>
          <w:w w:val="80"/>
        </w:rPr>
        <w:t xml:space="preserve">ꎬ </w:t>
      </w:r>
      <w:r>
        <w:t xml:space="preserve">根据 </w:t>
      </w:r>
      <w:r>
        <w:rPr>
          <w:rFonts w:hint="eastAsia" w:ascii="MS UI Gothic" w:hAnsi="MS UI Gothic" w:eastAsia="MS UI Gothic"/>
        </w:rPr>
        <w:t xml:space="preserve">« </w:t>
      </w:r>
      <w:r>
        <w:t>中华人民共和国建筑法</w:t>
      </w:r>
      <w:r>
        <w:rPr>
          <w:rFonts w:hint="eastAsia" w:ascii="MS UI Gothic" w:hAnsi="MS UI Gothic" w:eastAsia="MS UI Gothic"/>
        </w:rPr>
        <w:t xml:space="preserve">» </w:t>
      </w:r>
      <w:r>
        <w:rPr>
          <w:rFonts w:hint="eastAsia" w:ascii="MS UI Gothic" w:hAnsi="MS UI Gothic" w:eastAsia="MS UI Gothic"/>
          <w:w w:val="80"/>
        </w:rPr>
        <w:t xml:space="preserve">ꎬ </w:t>
      </w:r>
      <w:r>
        <w:t>制定本办法</w:t>
      </w:r>
      <w:r>
        <w:rPr>
          <w:rFonts w:hint="eastAsia" w:ascii="MS UI Gothic" w:hAnsi="MS UI Gothic" w:eastAsia="MS UI Gothic"/>
          <w:w w:val="80"/>
        </w:rPr>
        <w:t>ꎮ</w:t>
      </w:r>
    </w:p>
    <w:p>
      <w:pPr>
        <w:pStyle w:val="6"/>
        <w:spacing w:line="292" w:lineRule="auto"/>
        <w:ind w:left="440"/>
        <w:rPr>
          <w:rFonts w:hint="eastAsia" w:ascii="MS UI Gothic" w:eastAsia="MS UI Gothic"/>
        </w:rPr>
      </w:pPr>
      <w:r>
        <w:rPr>
          <w:w w:val="105"/>
        </w:rPr>
        <w:t>第二条 在中华人民共和国境内从事各类房屋建筑及其附属设施的建造</w:t>
      </w:r>
      <w:r>
        <w:rPr>
          <w:rFonts w:hint="eastAsia" w:ascii="MS UI Gothic" w:eastAsia="MS UI Gothic"/>
          <w:w w:val="80"/>
        </w:rPr>
        <w:t xml:space="preserve">、 </w:t>
      </w:r>
      <w:r>
        <w:rPr>
          <w:w w:val="105"/>
        </w:rPr>
        <w:t>装修装饰和与其配套的线路</w:t>
      </w:r>
      <w:r>
        <w:rPr>
          <w:rFonts w:hint="eastAsia" w:ascii="MS UI Gothic" w:eastAsia="MS UI Gothic"/>
          <w:w w:val="80"/>
        </w:rPr>
        <w:t xml:space="preserve">、 </w:t>
      </w:r>
      <w:r>
        <w:rPr>
          <w:w w:val="105"/>
        </w:rPr>
        <w:t>管道</w:t>
      </w:r>
      <w:r>
        <w:rPr>
          <w:rFonts w:hint="eastAsia" w:ascii="MS UI Gothic" w:eastAsia="MS UI Gothic"/>
          <w:w w:val="80"/>
        </w:rPr>
        <w:t xml:space="preserve">、 </w:t>
      </w:r>
      <w:r>
        <w:rPr>
          <w:w w:val="105"/>
        </w:rPr>
        <w:t>设备的安</w:t>
      </w:r>
      <w:r>
        <w:t>装</w:t>
      </w:r>
      <w:r>
        <w:rPr>
          <w:rFonts w:hint="eastAsia" w:ascii="MS UI Gothic" w:eastAsia="MS UI Gothic"/>
          <w:w w:val="80"/>
        </w:rPr>
        <w:t xml:space="preserve">ꎬ </w:t>
      </w:r>
      <w:r>
        <w:t>以及城镇市政基础设施工程的施工</w:t>
      </w:r>
      <w:r>
        <w:rPr>
          <w:rFonts w:hint="eastAsia" w:ascii="MS UI Gothic" w:eastAsia="MS UI Gothic"/>
          <w:w w:val="80"/>
        </w:rPr>
        <w:t>ꎬ</w:t>
      </w:r>
      <w:r>
        <w:t>建设单位在开工前应当依照本办法的规定</w:t>
      </w:r>
      <w:r>
        <w:rPr>
          <w:rFonts w:hint="eastAsia" w:ascii="MS UI Gothic" w:eastAsia="MS UI Gothic"/>
          <w:w w:val="80"/>
        </w:rPr>
        <w:t xml:space="preserve">ꎬ </w:t>
      </w:r>
      <w:r>
        <w:t>向工程所在地的县级以上地方人民政</w:t>
      </w:r>
      <w:r>
        <w:rPr>
          <w:w w:val="105"/>
        </w:rPr>
        <w:t xml:space="preserve">府住房城乡建设主管部门 </w:t>
      </w:r>
      <w:r>
        <w:rPr>
          <w:rFonts w:hint="eastAsia" w:ascii="MS UI Gothic" w:eastAsia="MS UI Gothic"/>
          <w:w w:val="150"/>
        </w:rPr>
        <w:t xml:space="preserve">( </w:t>
      </w:r>
      <w:r>
        <w:rPr>
          <w:w w:val="105"/>
        </w:rPr>
        <w:t>以下简称发证机关</w:t>
      </w:r>
      <w:r>
        <w:rPr>
          <w:rFonts w:hint="eastAsia" w:ascii="MS UI Gothic" w:eastAsia="MS UI Gothic"/>
          <w:w w:val="150"/>
        </w:rPr>
        <w:t xml:space="preserve">) </w:t>
      </w:r>
      <w:r>
        <w:rPr>
          <w:w w:val="105"/>
        </w:rPr>
        <w:t>申请领取施工许可证</w:t>
      </w:r>
      <w:r>
        <w:rPr>
          <w:rFonts w:hint="eastAsia" w:ascii="MS UI Gothic" w:eastAsia="MS UI Gothic"/>
          <w:w w:val="80"/>
        </w:rPr>
        <w:t>ꎮ</w:t>
      </w:r>
    </w:p>
    <w:p>
      <w:pPr>
        <w:pStyle w:val="6"/>
        <w:spacing w:line="292" w:lineRule="auto"/>
        <w:ind w:left="440"/>
        <w:rPr>
          <w:rFonts w:hint="eastAsia" w:ascii="MS UI Gothic" w:eastAsia="MS UI Gothic"/>
        </w:rPr>
      </w:pPr>
      <w:r>
        <w:rPr>
          <w:spacing w:val="11"/>
          <w:w w:val="95"/>
        </w:rPr>
        <w:t xml:space="preserve">工程投资额在 </w:t>
      </w:r>
      <w:r>
        <w:rPr>
          <w:rFonts w:hint="eastAsia" w:ascii="MS UI Gothic" w:eastAsia="MS UI Gothic"/>
          <w:spacing w:val="10"/>
          <w:w w:val="95"/>
        </w:rPr>
        <w:t xml:space="preserve">３０ </w:t>
      </w:r>
      <w:r>
        <w:rPr>
          <w:spacing w:val="9"/>
          <w:w w:val="95"/>
        </w:rPr>
        <w:t>万元以下或者建筑</w:t>
      </w:r>
      <w:r>
        <w:rPr>
          <w:spacing w:val="-5"/>
          <w:w w:val="95"/>
        </w:rPr>
        <w:t xml:space="preserve">面积在 </w:t>
      </w:r>
      <w:r>
        <w:rPr>
          <w:rFonts w:hint="eastAsia" w:ascii="MS UI Gothic" w:eastAsia="MS UI Gothic"/>
          <w:spacing w:val="5"/>
          <w:w w:val="95"/>
        </w:rPr>
        <w:t xml:space="preserve">３００ </w:t>
      </w:r>
      <w:r>
        <w:rPr>
          <w:spacing w:val="3"/>
          <w:w w:val="95"/>
        </w:rPr>
        <w:t>平方米以下的建筑工程</w:t>
      </w:r>
      <w:r>
        <w:rPr>
          <w:rFonts w:hint="eastAsia" w:ascii="MS UI Gothic" w:eastAsia="MS UI Gothic"/>
          <w:spacing w:val="18"/>
          <w:w w:val="90"/>
        </w:rPr>
        <w:t xml:space="preserve">ꎬ </w:t>
      </w:r>
      <w:r>
        <w:rPr>
          <w:spacing w:val="3"/>
          <w:w w:val="95"/>
        </w:rPr>
        <w:t>可以不申请办理施工许可证</w:t>
      </w:r>
      <w:r>
        <w:rPr>
          <w:rFonts w:hint="eastAsia" w:ascii="MS UI Gothic" w:eastAsia="MS UI Gothic"/>
          <w:spacing w:val="15"/>
          <w:w w:val="90"/>
        </w:rPr>
        <w:t xml:space="preserve">ꎮ </w:t>
      </w:r>
      <w:r>
        <w:rPr>
          <w:spacing w:val="3"/>
          <w:w w:val="95"/>
        </w:rPr>
        <w:t>省</w:t>
      </w:r>
      <w:r>
        <w:rPr>
          <w:rFonts w:hint="eastAsia" w:ascii="MS UI Gothic" w:eastAsia="MS UI Gothic"/>
          <w:spacing w:val="12"/>
          <w:w w:val="95"/>
        </w:rPr>
        <w:t xml:space="preserve">、 </w:t>
      </w:r>
      <w:r>
        <w:rPr>
          <w:spacing w:val="3"/>
          <w:w w:val="95"/>
        </w:rPr>
        <w:t>自治区</w:t>
      </w:r>
      <w:r>
        <w:rPr>
          <w:rFonts w:hint="eastAsia" w:ascii="MS UI Gothic" w:eastAsia="MS UI Gothic"/>
          <w:spacing w:val="8"/>
          <w:w w:val="95"/>
        </w:rPr>
        <w:t xml:space="preserve">、  </w:t>
      </w:r>
      <w:r>
        <w:rPr>
          <w:w w:val="95"/>
        </w:rPr>
        <w:t>直</w:t>
      </w:r>
      <w:r>
        <w:rPr>
          <w:spacing w:val="2"/>
          <w:w w:val="95"/>
        </w:rPr>
        <w:t xml:space="preserve">辖市人民政府住房城乡建设主管部门可以  </w:t>
      </w:r>
      <w:r>
        <w:rPr>
          <w:spacing w:val="5"/>
          <w:w w:val="95"/>
        </w:rPr>
        <w:t>根据当地的实际情况</w:t>
      </w:r>
      <w:r>
        <w:rPr>
          <w:rFonts w:hint="eastAsia" w:ascii="MS UI Gothic" w:eastAsia="MS UI Gothic"/>
          <w:spacing w:val="18"/>
          <w:w w:val="90"/>
        </w:rPr>
        <w:t xml:space="preserve">ꎬ </w:t>
      </w:r>
      <w:r>
        <w:rPr>
          <w:spacing w:val="11"/>
          <w:w w:val="95"/>
        </w:rPr>
        <w:t>对限额进行调整</w:t>
      </w:r>
      <w:r>
        <w:rPr>
          <w:rFonts w:hint="eastAsia" w:ascii="MS UI Gothic" w:eastAsia="MS UI Gothic"/>
          <w:w w:val="90"/>
        </w:rPr>
        <w:t>ꎬ</w:t>
      </w:r>
      <w:r>
        <w:rPr>
          <w:spacing w:val="3"/>
          <w:w w:val="95"/>
        </w:rPr>
        <w:t>并报国务院住房城乡建设主管部门备案</w:t>
      </w:r>
      <w:r>
        <w:rPr>
          <w:rFonts w:hint="eastAsia" w:ascii="MS UI Gothic" w:eastAsia="MS UI Gothic"/>
          <w:w w:val="90"/>
        </w:rPr>
        <w:t>ꎮ</w:t>
      </w:r>
    </w:p>
    <w:p>
      <w:pPr>
        <w:pStyle w:val="6"/>
        <w:spacing w:line="292" w:lineRule="auto"/>
        <w:ind w:left="440" w:right="1"/>
        <w:rPr>
          <w:rFonts w:hint="eastAsia" w:ascii="MS UI Gothic" w:eastAsia="MS UI Gothic"/>
        </w:rPr>
      </w:pPr>
      <w:r>
        <w:t>按照国务院规定的权限和程序批准开工报告的建筑工程</w:t>
      </w:r>
      <w:r>
        <w:rPr>
          <w:rFonts w:hint="eastAsia" w:ascii="MS UI Gothic" w:eastAsia="MS UI Gothic"/>
          <w:w w:val="80"/>
        </w:rPr>
        <w:t xml:space="preserve">ꎬ </w:t>
      </w:r>
      <w:r>
        <w:t>不再领取施工许可证</w:t>
      </w:r>
      <w:r>
        <w:rPr>
          <w:rFonts w:hint="eastAsia" w:ascii="MS UI Gothic" w:eastAsia="MS UI Gothic"/>
          <w:w w:val="80"/>
        </w:rPr>
        <w:t>ꎮ</w:t>
      </w:r>
    </w:p>
    <w:p>
      <w:pPr>
        <w:pStyle w:val="6"/>
        <w:spacing w:line="292" w:lineRule="auto"/>
        <w:ind w:left="440" w:right="1"/>
        <w:rPr>
          <w:rFonts w:hint="eastAsia" w:ascii="MS UI Gothic" w:eastAsia="MS UI Gothic"/>
        </w:rPr>
      </w:pPr>
      <w:r>
        <w:rPr>
          <w:w w:val="105"/>
        </w:rPr>
        <w:t>第三条 本办法规定应当申请领取施</w:t>
      </w:r>
      <w:r>
        <w:t>工许可证的建筑工程未取得施工许可证</w:t>
      </w:r>
      <w:r>
        <w:rPr>
          <w:w w:val="105"/>
        </w:rPr>
        <w:t>的</w:t>
      </w:r>
      <w:r>
        <w:rPr>
          <w:rFonts w:hint="eastAsia" w:ascii="MS UI Gothic" w:eastAsia="MS UI Gothic"/>
          <w:w w:val="80"/>
        </w:rPr>
        <w:t xml:space="preserve">ꎬ </w:t>
      </w:r>
      <w:r>
        <w:rPr>
          <w:w w:val="105"/>
        </w:rPr>
        <w:t>一律不得开工</w:t>
      </w:r>
      <w:r>
        <w:rPr>
          <w:rFonts w:hint="eastAsia" w:ascii="MS UI Gothic" w:eastAsia="MS UI Gothic"/>
          <w:w w:val="80"/>
        </w:rPr>
        <w:t>ꎮ</w:t>
      </w:r>
    </w:p>
    <w:p>
      <w:pPr>
        <w:pStyle w:val="6"/>
        <w:spacing w:line="292" w:lineRule="auto"/>
        <w:ind w:left="440" w:right="1"/>
        <w:rPr>
          <w:rFonts w:hint="eastAsia" w:ascii="MS UI Gothic" w:eastAsia="MS UI Gothic"/>
        </w:rPr>
      </w:pPr>
      <w:r>
        <w:t>任何单位和个人不得将应当申请领取施工许可证的工程项目分解为若干限额以下的工程项目</w:t>
      </w:r>
      <w:r>
        <w:rPr>
          <w:rFonts w:hint="eastAsia" w:ascii="MS UI Gothic" w:eastAsia="MS UI Gothic"/>
          <w:w w:val="80"/>
        </w:rPr>
        <w:t xml:space="preserve">ꎬ </w:t>
      </w:r>
      <w:r>
        <w:t>规避申请领取施工许</w:t>
      </w:r>
      <w:r>
        <w:rPr>
          <w:w w:val="105"/>
        </w:rPr>
        <w:t>可证</w:t>
      </w:r>
      <w:r>
        <w:rPr>
          <w:rFonts w:hint="eastAsia" w:ascii="MS UI Gothic" w:eastAsia="MS UI Gothic"/>
          <w:w w:val="80"/>
        </w:rPr>
        <w:t>ꎮ</w:t>
      </w:r>
    </w:p>
    <w:p>
      <w:pPr>
        <w:pStyle w:val="6"/>
        <w:spacing w:before="85" w:line="292" w:lineRule="auto"/>
        <w:ind w:left="381" w:right="126"/>
        <w:rPr>
          <w:rFonts w:hint="eastAsia" w:ascii="MS UI Gothic" w:eastAsia="MS UI Gothic"/>
        </w:rPr>
      </w:pPr>
      <w:r>
        <w:br w:type="column"/>
      </w:r>
      <w:r>
        <w:rPr>
          <w:w w:val="105"/>
        </w:rPr>
        <w:t>第四条 建设单位申请领取施工许可</w:t>
      </w:r>
      <w:r>
        <w:t>证</w:t>
      </w:r>
      <w:r>
        <w:rPr>
          <w:rFonts w:hint="eastAsia" w:ascii="MS UI Gothic" w:eastAsia="MS UI Gothic"/>
          <w:w w:val="80"/>
        </w:rPr>
        <w:t xml:space="preserve">ꎬ </w:t>
      </w:r>
      <w:r>
        <w:t>应当具备下列条件</w:t>
      </w:r>
      <w:r>
        <w:rPr>
          <w:rFonts w:hint="eastAsia" w:ascii="MS UI Gothic" w:eastAsia="MS UI Gothic"/>
          <w:w w:val="80"/>
        </w:rPr>
        <w:t xml:space="preserve">ꎬ </w:t>
      </w:r>
      <w:r>
        <w:t>并提交相应的证</w:t>
      </w:r>
      <w:r>
        <w:rPr>
          <w:w w:val="105"/>
        </w:rPr>
        <w:t>明文件</w:t>
      </w:r>
      <w:r>
        <w:rPr>
          <w:rFonts w:hint="eastAsia" w:ascii="MS UI Gothic" w:eastAsia="MS UI Gothic"/>
          <w:w w:val="235"/>
        </w:rPr>
        <w:t>:</w:t>
      </w:r>
    </w:p>
    <w:p>
      <w:pPr>
        <w:pStyle w:val="6"/>
        <w:spacing w:line="290"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依法应当办理用地批准手续</w:t>
      </w:r>
      <w:r>
        <w:t>的</w:t>
      </w:r>
      <w:r>
        <w:rPr>
          <w:rFonts w:hint="eastAsia" w:ascii="MS UI Gothic" w:eastAsia="MS UI Gothic"/>
          <w:w w:val="80"/>
        </w:rPr>
        <w:t xml:space="preserve">ꎬ </w:t>
      </w:r>
      <w:r>
        <w:t>已经办理该建筑工程用地批准手续</w:t>
      </w:r>
      <w:r>
        <w:rPr>
          <w:rFonts w:hint="eastAsia" w:ascii="MS UI Gothic" w:eastAsia="MS UI Gothic"/>
          <w:w w:val="80"/>
        </w:rPr>
        <w:t>ꎮ</w:t>
      </w:r>
    </w:p>
    <w:p>
      <w:pPr>
        <w:pStyle w:val="6"/>
        <w:spacing w:before="3" w:line="292"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在城市</w:t>
      </w:r>
      <w:r>
        <w:rPr>
          <w:rFonts w:hint="eastAsia" w:ascii="MS UI Gothic" w:eastAsia="MS UI Gothic"/>
          <w:w w:val="80"/>
        </w:rPr>
        <w:t xml:space="preserve">、 </w:t>
      </w:r>
      <w:r>
        <w:rPr>
          <w:w w:val="105"/>
        </w:rPr>
        <w:t>镇规划区的建筑工程</w:t>
      </w:r>
      <w:r>
        <w:rPr>
          <w:rFonts w:hint="eastAsia" w:ascii="MS UI Gothic" w:eastAsia="MS UI Gothic"/>
          <w:w w:val="80"/>
        </w:rPr>
        <w:t xml:space="preserve">ꎬ </w:t>
      </w:r>
      <w:r>
        <w:rPr>
          <w:w w:val="105"/>
        </w:rPr>
        <w:t>已经取得建设工程规划许可证</w:t>
      </w:r>
      <w:r>
        <w:rPr>
          <w:rFonts w:hint="eastAsia" w:ascii="MS UI Gothic" w:eastAsia="MS UI Gothic"/>
          <w:w w:val="80"/>
        </w:rPr>
        <w:t>ꎮ</w:t>
      </w:r>
    </w:p>
    <w:p>
      <w:pPr>
        <w:pStyle w:val="6"/>
        <w:spacing w:line="292"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施工场地已经基本具备施工条</w:t>
      </w:r>
      <w:r>
        <w:t>件</w:t>
      </w:r>
      <w:r>
        <w:rPr>
          <w:rFonts w:hint="eastAsia" w:ascii="MS UI Gothic" w:eastAsia="MS UI Gothic"/>
          <w:w w:val="80"/>
        </w:rPr>
        <w:t xml:space="preserve">ꎬ </w:t>
      </w:r>
      <w:r>
        <w:t>需要征收房屋的</w:t>
      </w:r>
      <w:r>
        <w:rPr>
          <w:rFonts w:hint="eastAsia" w:ascii="MS UI Gothic" w:eastAsia="MS UI Gothic"/>
          <w:w w:val="80"/>
        </w:rPr>
        <w:t xml:space="preserve">ꎬ </w:t>
      </w:r>
      <w:r>
        <w:t>其进度符合施工</w:t>
      </w:r>
      <w:r>
        <w:rPr>
          <w:w w:val="105"/>
        </w:rPr>
        <w:t>要求</w:t>
      </w:r>
      <w:r>
        <w:rPr>
          <w:rFonts w:hint="eastAsia" w:ascii="MS UI Gothic" w:eastAsia="MS UI Gothic"/>
          <w:w w:val="80"/>
        </w:rPr>
        <w:t>ꎮ</w:t>
      </w:r>
    </w:p>
    <w:p>
      <w:pPr>
        <w:pStyle w:val="6"/>
        <w:spacing w:line="292" w:lineRule="auto"/>
        <w:ind w:left="381"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已经确定施工企业</w:t>
      </w:r>
      <w:r>
        <w:rPr>
          <w:rFonts w:hint="eastAsia" w:ascii="MS UI Gothic" w:eastAsia="MS UI Gothic"/>
          <w:w w:val="80"/>
        </w:rPr>
        <w:t xml:space="preserve">ꎮ </w:t>
      </w:r>
      <w:r>
        <w:rPr>
          <w:w w:val="105"/>
        </w:rPr>
        <w:t>按照规定</w:t>
      </w:r>
      <w:r>
        <w:t>应当招标的工程没有招标</w:t>
      </w:r>
      <w:r>
        <w:rPr>
          <w:rFonts w:hint="eastAsia" w:ascii="MS UI Gothic" w:eastAsia="MS UI Gothic"/>
          <w:w w:val="80"/>
        </w:rPr>
        <w:t xml:space="preserve">ꎬ </w:t>
      </w:r>
      <w:r>
        <w:t>应当公开招标的工程没有公开招标</w:t>
      </w:r>
      <w:r>
        <w:rPr>
          <w:rFonts w:hint="eastAsia" w:ascii="MS UI Gothic" w:eastAsia="MS UI Gothic"/>
          <w:w w:val="80"/>
        </w:rPr>
        <w:t xml:space="preserve">ꎬ </w:t>
      </w:r>
      <w:r>
        <w:t>或者肢解发包工程</w:t>
      </w:r>
      <w:r>
        <w:rPr>
          <w:rFonts w:hint="eastAsia" w:ascii="MS UI Gothic" w:eastAsia="MS UI Gothic"/>
          <w:w w:val="80"/>
        </w:rPr>
        <w:t xml:space="preserve">ꎬ </w:t>
      </w:r>
      <w:r>
        <w:t>以及将工程发包给不具备相应资质条</w:t>
      </w:r>
      <w:r>
        <w:rPr>
          <w:w w:val="105"/>
        </w:rPr>
        <w:t>件的企业的</w:t>
      </w:r>
      <w:r>
        <w:rPr>
          <w:rFonts w:hint="eastAsia" w:ascii="MS UI Gothic" w:eastAsia="MS UI Gothic"/>
          <w:w w:val="80"/>
        </w:rPr>
        <w:t xml:space="preserve">ꎬ </w:t>
      </w:r>
      <w:r>
        <w:rPr>
          <w:w w:val="105"/>
        </w:rPr>
        <w:t>所确定的施工企业无效</w:t>
      </w:r>
      <w:r>
        <w:rPr>
          <w:rFonts w:hint="eastAsia" w:ascii="MS UI Gothic" w:eastAsia="MS UI Gothic"/>
          <w:w w:val="80"/>
        </w:rPr>
        <w:t>ꎮ</w:t>
      </w:r>
    </w:p>
    <w:p>
      <w:pPr>
        <w:pStyle w:val="6"/>
        <w:spacing w:line="290" w:lineRule="auto"/>
        <w:ind w:left="381" w:right="124"/>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有满足施工需要的技术资料</w:t>
      </w:r>
      <w:r>
        <w:rPr>
          <w:rFonts w:hint="eastAsia" w:ascii="MS UI Gothic" w:eastAsia="MS UI Gothic"/>
          <w:w w:val="80"/>
        </w:rPr>
        <w:t>ꎬ</w:t>
      </w:r>
      <w:r>
        <w:rPr>
          <w:w w:val="105"/>
        </w:rPr>
        <w:t>施工图设计文件已按规定审查合格</w:t>
      </w:r>
      <w:r>
        <w:rPr>
          <w:rFonts w:hint="eastAsia" w:ascii="MS UI Gothic" w:eastAsia="MS UI Gothic"/>
          <w:w w:val="80"/>
        </w:rPr>
        <w:t>ꎮ</w:t>
      </w:r>
    </w:p>
    <w:p>
      <w:pPr>
        <w:pStyle w:val="6"/>
        <w:spacing w:line="292"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有保证工程质量和安全的具体</w:t>
      </w:r>
      <w:r>
        <w:t>措施</w:t>
      </w:r>
      <w:r>
        <w:rPr>
          <w:rFonts w:hint="eastAsia" w:ascii="MS UI Gothic" w:eastAsia="MS UI Gothic"/>
          <w:w w:val="80"/>
        </w:rPr>
        <w:t xml:space="preserve">ꎮ </w:t>
      </w:r>
      <w:r>
        <w:t>施工企业编制的施工组织设计中有</w:t>
      </w:r>
      <w:r>
        <w:rPr>
          <w:w w:val="105"/>
        </w:rPr>
        <w:t>根据建筑工程特点制定的相应质量</w:t>
      </w:r>
      <w:r>
        <w:rPr>
          <w:rFonts w:hint="eastAsia" w:ascii="MS UI Gothic" w:eastAsia="MS UI Gothic"/>
          <w:w w:val="80"/>
        </w:rPr>
        <w:t xml:space="preserve">、 </w:t>
      </w:r>
      <w:r>
        <w:rPr>
          <w:w w:val="105"/>
        </w:rPr>
        <w:t>安全</w:t>
      </w:r>
      <w:r>
        <w:t>技术措施</w:t>
      </w:r>
      <w:r>
        <w:rPr>
          <w:rFonts w:hint="eastAsia" w:ascii="MS UI Gothic" w:eastAsia="MS UI Gothic"/>
          <w:w w:val="80"/>
        </w:rPr>
        <w:t xml:space="preserve">ꎮ </w:t>
      </w:r>
      <w:r>
        <w:t>建立工程质量安全责任制并落实到人</w:t>
      </w:r>
      <w:r>
        <w:rPr>
          <w:rFonts w:hint="eastAsia" w:ascii="MS UI Gothic" w:eastAsia="MS UI Gothic"/>
          <w:w w:val="80"/>
        </w:rPr>
        <w:t xml:space="preserve">ꎮ </w:t>
      </w:r>
      <w:r>
        <w:t>专业性较强的工程项目编制了专</w:t>
      </w:r>
      <w:r>
        <w:rPr>
          <w:w w:val="105"/>
        </w:rPr>
        <w:t>项质量</w:t>
      </w:r>
      <w:r>
        <w:rPr>
          <w:rFonts w:hint="eastAsia" w:ascii="MS UI Gothic" w:eastAsia="MS UI Gothic"/>
          <w:w w:val="80"/>
        </w:rPr>
        <w:t xml:space="preserve">、 </w:t>
      </w:r>
      <w:r>
        <w:rPr>
          <w:w w:val="105"/>
        </w:rPr>
        <w:t>安全施工组织设计</w:t>
      </w:r>
      <w:r>
        <w:rPr>
          <w:rFonts w:hint="eastAsia" w:ascii="MS UI Gothic" w:eastAsia="MS UI Gothic"/>
          <w:w w:val="80"/>
        </w:rPr>
        <w:t xml:space="preserve">ꎬ </w:t>
      </w:r>
      <w:r>
        <w:rPr>
          <w:w w:val="105"/>
        </w:rPr>
        <w:t>并按照规定办理了工程质量</w:t>
      </w:r>
      <w:r>
        <w:rPr>
          <w:rFonts w:hint="eastAsia" w:ascii="MS UI Gothic" w:eastAsia="MS UI Gothic"/>
          <w:w w:val="80"/>
        </w:rPr>
        <w:t xml:space="preserve">、 </w:t>
      </w:r>
      <w:r>
        <w:rPr>
          <w:w w:val="105"/>
        </w:rPr>
        <w:t>安全监督手续</w:t>
      </w:r>
      <w:r>
        <w:rPr>
          <w:rFonts w:hint="eastAsia" w:ascii="MS UI Gothic" w:eastAsia="MS UI Gothic"/>
          <w:w w:val="80"/>
        </w:rPr>
        <w:t>ꎮ</w:t>
      </w:r>
    </w:p>
    <w:p>
      <w:pPr>
        <w:pStyle w:val="6"/>
        <w:spacing w:line="290" w:lineRule="auto"/>
        <w:ind w:left="381" w:right="126"/>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建设资金已经落实</w:t>
      </w:r>
      <w:r>
        <w:rPr>
          <w:rFonts w:hint="eastAsia" w:ascii="MS UI Gothic" w:eastAsia="MS UI Gothic"/>
          <w:w w:val="80"/>
        </w:rPr>
        <w:t xml:space="preserve">ꎮ </w:t>
      </w:r>
      <w:r>
        <w:rPr>
          <w:w w:val="105"/>
        </w:rPr>
        <w:t>建设单位应当提供建设资金已经落实承诺书</w:t>
      </w:r>
      <w:r>
        <w:rPr>
          <w:rFonts w:hint="eastAsia" w:ascii="MS UI Gothic" w:eastAsia="MS UI Gothic"/>
          <w:w w:val="80"/>
        </w:rPr>
        <w:t>ꎮ</w:t>
      </w:r>
    </w:p>
    <w:p>
      <w:pPr>
        <w:pStyle w:val="6"/>
        <w:spacing w:line="292" w:lineRule="auto"/>
        <w:ind w:left="381" w:right="126"/>
        <w:rPr>
          <w:rFonts w:hint="eastAsia" w:ascii="MS UI Gothic" w:eastAsia="MS UI Gothic"/>
        </w:rPr>
      </w:pPr>
      <w:r>
        <w:rPr>
          <w:rFonts w:hint="eastAsia" w:ascii="MS UI Gothic" w:eastAsia="MS UI Gothic"/>
          <w:w w:val="150"/>
        </w:rPr>
        <w:t xml:space="preserve">( </w:t>
      </w:r>
      <w:r>
        <w:rPr>
          <w:w w:val="110"/>
        </w:rPr>
        <w:t>八</w:t>
      </w:r>
      <w:r>
        <w:rPr>
          <w:rFonts w:hint="eastAsia" w:ascii="MS UI Gothic" w:eastAsia="MS UI Gothic"/>
          <w:w w:val="150"/>
        </w:rPr>
        <w:t xml:space="preserve">) </w:t>
      </w:r>
      <w:r>
        <w:rPr>
          <w:w w:val="110"/>
        </w:rPr>
        <w:t>法律</w:t>
      </w:r>
      <w:r>
        <w:rPr>
          <w:rFonts w:hint="eastAsia" w:ascii="MS UI Gothic" w:eastAsia="MS UI Gothic"/>
          <w:w w:val="80"/>
        </w:rPr>
        <w:t xml:space="preserve">、 </w:t>
      </w:r>
      <w:r>
        <w:rPr>
          <w:w w:val="110"/>
        </w:rPr>
        <w:t>行政法规规定的其他条件</w:t>
      </w:r>
      <w:r>
        <w:rPr>
          <w:rFonts w:hint="eastAsia" w:ascii="MS UI Gothic" w:eastAsia="MS UI Gothic"/>
          <w:w w:val="80"/>
        </w:rPr>
        <w:t>ꎮ</w:t>
      </w:r>
    </w:p>
    <w:p>
      <w:pPr>
        <w:spacing w:after="0" w:line="292"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４５４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64" o:spid="_x0000_s2364" o:spt="203" style="height:2.15pt;width:398.25pt;" coordsize="7965,43">
            <o:lock v:ext="edit"/>
            <v:line id="_x0000_s2365" o:spid="_x0000_s2365" o:spt="20" style="position:absolute;left:0;top:39;height:0;width:7965;" stroked="t" coordsize="21600,21600">
              <v:path arrowok="t"/>
              <v:fill focussize="0,0"/>
              <v:stroke weight="0.388031496062992pt" color="#231F20"/>
              <v:imagedata o:title=""/>
              <o:lock v:ext="edit"/>
            </v:line>
            <v:line id="_x0000_s2366" o:spid="_x0000_s236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t>县级以上地方人民政府住房城乡建设主管部门不得违反法律法规规定</w:t>
      </w:r>
      <w:r>
        <w:rPr>
          <w:rFonts w:hint="eastAsia" w:ascii="MS UI Gothic" w:eastAsia="MS UI Gothic"/>
          <w:w w:val="80"/>
        </w:rPr>
        <w:t xml:space="preserve">ꎬ </w:t>
      </w:r>
      <w:r>
        <w:t>增设办</w:t>
      </w:r>
      <w:r>
        <w:rPr>
          <w:w w:val="105"/>
        </w:rPr>
        <w:t>理施工许可证的其他条件</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第五条 申请办理施工许可证</w:t>
      </w:r>
      <w:r>
        <w:rPr>
          <w:rFonts w:hint="eastAsia" w:ascii="MS UI Gothic" w:eastAsia="MS UI Gothic"/>
          <w:w w:val="80"/>
        </w:rPr>
        <w:t xml:space="preserve">ꎬ </w:t>
      </w:r>
      <w:r>
        <w:rPr>
          <w:w w:val="105"/>
        </w:rPr>
        <w:t>应当</w:t>
      </w:r>
      <w:r>
        <w:rPr>
          <w:w w:val="110"/>
        </w:rPr>
        <w:t>按照下列程序进行</w:t>
      </w:r>
      <w:r>
        <w:rPr>
          <w:rFonts w:hint="eastAsia" w:ascii="MS UI Gothic" w:eastAsia="MS UI Gothic"/>
          <w:w w:val="235"/>
        </w:rPr>
        <w:t>:</w:t>
      </w:r>
    </w:p>
    <w:p>
      <w:pPr>
        <w:pStyle w:val="6"/>
        <w:spacing w:line="295" w:lineRule="auto"/>
        <w:ind w:right="39"/>
        <w:rPr>
          <w:rFonts w:hint="eastAsia" w:ascii="MS UI Gothic" w:hAnsi="MS UI Gothic" w:eastAsia="MS UI Gothic"/>
        </w:rPr>
      </w:pPr>
      <w:r>
        <w:rPr>
          <w:rFonts w:hint="eastAsia" w:ascii="MS UI Gothic" w:hAnsi="MS UI Gothic" w:eastAsia="MS UI Gothic"/>
          <w:spacing w:val="-37"/>
          <w:w w:val="150"/>
        </w:rPr>
        <w:t xml:space="preserve">( </w:t>
      </w:r>
      <w:r>
        <w:rPr>
          <w:spacing w:val="3"/>
          <w:w w:val="105"/>
        </w:rPr>
        <w:t>一</w:t>
      </w:r>
      <w:r>
        <w:rPr>
          <w:rFonts w:hint="eastAsia" w:ascii="MS UI Gothic" w:hAnsi="MS UI Gothic" w:eastAsia="MS UI Gothic"/>
          <w:spacing w:val="10"/>
          <w:w w:val="150"/>
        </w:rPr>
        <w:t xml:space="preserve">) </w:t>
      </w:r>
      <w:r>
        <w:rPr>
          <w:spacing w:val="2"/>
          <w:w w:val="105"/>
        </w:rPr>
        <w:t xml:space="preserve">建设单位向发证机关领取 </w:t>
      </w:r>
      <w:r>
        <w:rPr>
          <w:rFonts w:hint="eastAsia" w:ascii="MS UI Gothic" w:hAnsi="MS UI Gothic" w:eastAsia="MS UI Gothic"/>
          <w:spacing w:val="-13"/>
          <w:w w:val="80"/>
        </w:rPr>
        <w:t xml:space="preserve">« </w:t>
      </w:r>
      <w:r>
        <w:rPr>
          <w:w w:val="105"/>
        </w:rPr>
        <w:t>建</w:t>
      </w:r>
      <w:r>
        <w:rPr>
          <w:spacing w:val="3"/>
          <w:w w:val="105"/>
        </w:rPr>
        <w:t>筑工程施工许可证申请表</w:t>
      </w:r>
      <w:r>
        <w:rPr>
          <w:rFonts w:hint="eastAsia" w:ascii="MS UI Gothic" w:hAnsi="MS UI Gothic" w:eastAsia="MS UI Gothic"/>
          <w:spacing w:val="-10"/>
          <w:w w:val="80"/>
        </w:rPr>
        <w:t>» ꎮ</w:t>
      </w:r>
    </w:p>
    <w:p>
      <w:pPr>
        <w:pStyle w:val="6"/>
        <w:spacing w:line="295" w:lineRule="auto"/>
        <w:ind w:right="39"/>
        <w:rPr>
          <w:rFonts w:hint="eastAsia" w:ascii="MS UI Gothic" w:hAnsi="MS UI Gothic" w:eastAsia="MS UI Gothic"/>
        </w:rPr>
      </w:pPr>
      <w:r>
        <w:rPr>
          <w:rFonts w:hint="eastAsia" w:ascii="MS UI Gothic" w:hAnsi="MS UI Gothic" w:eastAsia="MS UI Gothic"/>
          <w:spacing w:val="-38"/>
          <w:w w:val="150"/>
        </w:rPr>
        <w:t xml:space="preserve">( </w:t>
      </w:r>
      <w:r>
        <w:rPr>
          <w:spacing w:val="3"/>
          <w:w w:val="105"/>
        </w:rPr>
        <w:t>二</w:t>
      </w:r>
      <w:r>
        <w:rPr>
          <w:rFonts w:hint="eastAsia" w:ascii="MS UI Gothic" w:hAnsi="MS UI Gothic" w:eastAsia="MS UI Gothic"/>
          <w:spacing w:val="3"/>
          <w:w w:val="150"/>
        </w:rPr>
        <w:t xml:space="preserve">) </w:t>
      </w:r>
      <w:r>
        <w:rPr>
          <w:spacing w:val="5"/>
          <w:w w:val="105"/>
        </w:rPr>
        <w:t>建设单位持加盖单位及法定代</w:t>
      </w:r>
      <w:r>
        <w:rPr>
          <w:spacing w:val="-1"/>
          <w:w w:val="105"/>
        </w:rPr>
        <w:t xml:space="preserve">表人印鉴的 </w:t>
      </w:r>
      <w:r>
        <w:rPr>
          <w:rFonts w:hint="eastAsia" w:ascii="MS UI Gothic" w:hAnsi="MS UI Gothic" w:eastAsia="MS UI Gothic"/>
          <w:spacing w:val="-17"/>
          <w:w w:val="80"/>
        </w:rPr>
        <w:t xml:space="preserve">« </w:t>
      </w:r>
      <w:r>
        <w:rPr>
          <w:spacing w:val="15"/>
          <w:w w:val="105"/>
        </w:rPr>
        <w:t>建筑工程施工许可证申请</w:t>
      </w:r>
      <w:r>
        <w:rPr>
          <w:spacing w:val="3"/>
        </w:rPr>
        <w:t>表</w:t>
      </w:r>
      <w:r>
        <w:rPr>
          <w:rFonts w:hint="eastAsia" w:ascii="MS UI Gothic" w:hAnsi="MS UI Gothic" w:eastAsia="MS UI Gothic"/>
          <w:spacing w:val="3"/>
          <w:w w:val="80"/>
        </w:rPr>
        <w:t xml:space="preserve">» ꎬ </w:t>
      </w:r>
      <w:r>
        <w:rPr>
          <w:spacing w:val="22"/>
        </w:rPr>
        <w:t>并附本办法第四条规定的证明文</w:t>
      </w:r>
      <w:r>
        <w:rPr>
          <w:spacing w:val="3"/>
          <w:w w:val="105"/>
        </w:rPr>
        <w:t>件</w:t>
      </w:r>
      <w:r>
        <w:rPr>
          <w:rFonts w:hint="eastAsia" w:ascii="MS UI Gothic" w:hAnsi="MS UI Gothic" w:eastAsia="MS UI Gothic"/>
          <w:spacing w:val="22"/>
          <w:w w:val="80"/>
        </w:rPr>
        <w:t xml:space="preserve">ꎬ </w:t>
      </w:r>
      <w:r>
        <w:rPr>
          <w:spacing w:val="3"/>
          <w:w w:val="105"/>
        </w:rPr>
        <w:t>向发证机关提出申请</w:t>
      </w:r>
      <w:r>
        <w:rPr>
          <w:rFonts w:hint="eastAsia" w:ascii="MS UI Gothic" w:hAnsi="MS UI Gothic" w:eastAsia="MS UI Gothic"/>
          <w:w w:val="80"/>
        </w:rPr>
        <w:t>ꎮ</w:t>
      </w:r>
    </w:p>
    <w:p>
      <w:pPr>
        <w:pStyle w:val="6"/>
        <w:spacing w:line="295" w:lineRule="auto"/>
        <w:ind w:right="38"/>
        <w:rPr>
          <w:rFonts w:hint="eastAsia" w:ascii="MS UI Gothic" w:hAnsi="MS UI Gothic" w:eastAsia="MS UI Gothic"/>
        </w:rPr>
      </w:pPr>
      <w:r>
        <w:rPr>
          <w:rFonts w:hint="eastAsia" w:ascii="MS UI Gothic" w:hAnsi="MS UI Gothic" w:eastAsia="MS UI Gothic"/>
          <w:spacing w:val="-38"/>
          <w:w w:val="150"/>
        </w:rPr>
        <w:t xml:space="preserve">( </w:t>
      </w:r>
      <w:r>
        <w:rPr>
          <w:spacing w:val="3"/>
          <w:w w:val="105"/>
        </w:rPr>
        <w:t>三</w:t>
      </w:r>
      <w:r>
        <w:rPr>
          <w:rFonts w:hint="eastAsia" w:ascii="MS UI Gothic" w:hAnsi="MS UI Gothic" w:eastAsia="MS UI Gothic"/>
          <w:spacing w:val="3"/>
          <w:w w:val="150"/>
        </w:rPr>
        <w:t xml:space="preserve">) </w:t>
      </w:r>
      <w:r>
        <w:rPr>
          <w:spacing w:val="5"/>
          <w:w w:val="105"/>
        </w:rPr>
        <w:t>发证机关在收到建设单位报送</w:t>
      </w:r>
      <w:r>
        <w:rPr>
          <w:spacing w:val="-11"/>
          <w:w w:val="105"/>
        </w:rPr>
        <w:t xml:space="preserve">的 </w:t>
      </w:r>
      <w:r>
        <w:rPr>
          <w:rFonts w:hint="eastAsia" w:ascii="MS UI Gothic" w:hAnsi="MS UI Gothic" w:eastAsia="MS UI Gothic"/>
          <w:spacing w:val="-17"/>
          <w:w w:val="80"/>
        </w:rPr>
        <w:t xml:space="preserve">« </w:t>
      </w:r>
      <w:r>
        <w:rPr>
          <w:spacing w:val="13"/>
          <w:w w:val="105"/>
        </w:rPr>
        <w:t>建筑工程施工许可证申请表</w:t>
      </w:r>
      <w:r>
        <w:rPr>
          <w:rFonts w:hint="eastAsia" w:ascii="MS UI Gothic" w:hAnsi="MS UI Gothic" w:eastAsia="MS UI Gothic"/>
          <w:spacing w:val="1"/>
          <w:w w:val="80"/>
        </w:rPr>
        <w:t xml:space="preserve">» </w:t>
      </w:r>
      <w:r>
        <w:rPr>
          <w:spacing w:val="9"/>
          <w:w w:val="105"/>
        </w:rPr>
        <w:t>和所</w:t>
      </w:r>
      <w:r>
        <w:rPr>
          <w:spacing w:val="3"/>
        </w:rPr>
        <w:t>附证明文件后</w:t>
      </w:r>
      <w:r>
        <w:rPr>
          <w:rFonts w:hint="eastAsia" w:ascii="MS UI Gothic" w:hAnsi="MS UI Gothic" w:eastAsia="MS UI Gothic"/>
          <w:spacing w:val="23"/>
          <w:w w:val="80"/>
        </w:rPr>
        <w:t xml:space="preserve">ꎬ </w:t>
      </w:r>
      <w:r>
        <w:rPr>
          <w:spacing w:val="3"/>
        </w:rPr>
        <w:t>对于符合条件的</w:t>
      </w:r>
      <w:r>
        <w:rPr>
          <w:rFonts w:hint="eastAsia" w:ascii="MS UI Gothic" w:hAnsi="MS UI Gothic" w:eastAsia="MS UI Gothic"/>
          <w:spacing w:val="23"/>
          <w:w w:val="80"/>
        </w:rPr>
        <w:t xml:space="preserve">ꎬ </w:t>
      </w:r>
      <w:r>
        <w:rPr>
          <w:spacing w:val="2"/>
        </w:rPr>
        <w:t>应当自</w:t>
      </w:r>
      <w:r>
        <w:rPr>
          <w:spacing w:val="4"/>
        </w:rPr>
        <w:t>收到申请之日起七日内颁发施工许可证</w:t>
      </w:r>
      <w:r>
        <w:rPr>
          <w:rFonts w:hint="eastAsia" w:ascii="MS UI Gothic" w:hAnsi="MS UI Gothic" w:eastAsia="MS UI Gothic"/>
          <w:w w:val="80"/>
        </w:rPr>
        <w:t>ꎻ</w:t>
      </w:r>
      <w:r>
        <w:rPr>
          <w:spacing w:val="3"/>
        </w:rPr>
        <w:t>对于证明文件不齐全或者失效的</w:t>
      </w:r>
      <w:r>
        <w:rPr>
          <w:rFonts w:hint="eastAsia" w:ascii="MS UI Gothic" w:hAnsi="MS UI Gothic" w:eastAsia="MS UI Gothic"/>
          <w:spacing w:val="21"/>
          <w:w w:val="80"/>
        </w:rPr>
        <w:t xml:space="preserve">ꎬ </w:t>
      </w:r>
      <w:r>
        <w:rPr>
          <w:spacing w:val="1"/>
        </w:rPr>
        <w:t>应当当</w:t>
      </w:r>
      <w:r>
        <w:rPr>
          <w:spacing w:val="2"/>
        </w:rPr>
        <w:t>场或者五日内一次告知建设单位需要补正</w:t>
      </w:r>
      <w:r>
        <w:rPr>
          <w:spacing w:val="3"/>
        </w:rPr>
        <w:t>的全部内容</w:t>
      </w:r>
      <w:r>
        <w:rPr>
          <w:rFonts w:hint="eastAsia" w:ascii="MS UI Gothic" w:hAnsi="MS UI Gothic" w:eastAsia="MS UI Gothic"/>
          <w:spacing w:val="21"/>
          <w:w w:val="80"/>
        </w:rPr>
        <w:t xml:space="preserve">ꎬ </w:t>
      </w:r>
      <w:r>
        <w:rPr>
          <w:spacing w:val="2"/>
        </w:rPr>
        <w:t>审批时间可以自证明文件补</w:t>
      </w:r>
      <w:r>
        <w:rPr>
          <w:spacing w:val="12"/>
        </w:rPr>
        <w:t>正齐全后作相应顺延</w:t>
      </w:r>
      <w:r>
        <w:rPr>
          <w:rFonts w:hint="eastAsia" w:ascii="MS UI Gothic" w:hAnsi="MS UI Gothic" w:eastAsia="MS UI Gothic"/>
          <w:w w:val="80"/>
        </w:rPr>
        <w:t xml:space="preserve">ꎻ </w:t>
      </w:r>
      <w:r>
        <w:rPr>
          <w:spacing w:val="16"/>
        </w:rPr>
        <w:t>对于不符合条件</w:t>
      </w:r>
      <w:r>
        <w:rPr>
          <w:spacing w:val="3"/>
        </w:rPr>
        <w:t>的</w:t>
      </w:r>
      <w:r>
        <w:rPr>
          <w:rFonts w:hint="eastAsia" w:ascii="MS UI Gothic" w:hAnsi="MS UI Gothic" w:eastAsia="MS UI Gothic"/>
          <w:spacing w:val="21"/>
          <w:w w:val="80"/>
        </w:rPr>
        <w:t xml:space="preserve">ꎬ </w:t>
      </w:r>
      <w:r>
        <w:rPr>
          <w:spacing w:val="2"/>
        </w:rPr>
        <w:t>应当自收到申请之日起七日内书面通</w:t>
      </w:r>
      <w:r>
        <w:rPr>
          <w:spacing w:val="3"/>
          <w:w w:val="105"/>
        </w:rPr>
        <w:t>知建设单位</w:t>
      </w:r>
      <w:r>
        <w:rPr>
          <w:rFonts w:hint="eastAsia" w:ascii="MS UI Gothic" w:hAnsi="MS UI Gothic" w:eastAsia="MS UI Gothic"/>
          <w:spacing w:val="22"/>
          <w:w w:val="80"/>
        </w:rPr>
        <w:t xml:space="preserve">ꎬ </w:t>
      </w:r>
      <w:r>
        <w:rPr>
          <w:spacing w:val="3"/>
          <w:w w:val="105"/>
        </w:rPr>
        <w:t>并说明理由</w:t>
      </w:r>
      <w:r>
        <w:rPr>
          <w:rFonts w:hint="eastAsia" w:ascii="MS UI Gothic" w:hAnsi="MS UI Gothic" w:eastAsia="MS UI Gothic"/>
          <w:w w:val="80"/>
        </w:rPr>
        <w:t>ꎮ</w:t>
      </w:r>
    </w:p>
    <w:p>
      <w:pPr>
        <w:pStyle w:val="6"/>
        <w:spacing w:line="295" w:lineRule="auto"/>
        <w:ind w:right="39"/>
        <w:rPr>
          <w:rFonts w:hint="eastAsia" w:ascii="MS UI Gothic" w:eastAsia="MS UI Gothic"/>
        </w:rPr>
      </w:pPr>
      <w:r>
        <w:t>建筑工程在施工过程中</w:t>
      </w:r>
      <w:r>
        <w:rPr>
          <w:rFonts w:hint="eastAsia" w:ascii="MS UI Gothic" w:eastAsia="MS UI Gothic"/>
          <w:w w:val="80"/>
        </w:rPr>
        <w:t xml:space="preserve">ꎬ </w:t>
      </w:r>
      <w:r>
        <w:t>建设单位或者施工单位发生变更的</w:t>
      </w:r>
      <w:r>
        <w:rPr>
          <w:rFonts w:hint="eastAsia" w:ascii="MS UI Gothic" w:eastAsia="MS UI Gothic"/>
          <w:w w:val="80"/>
        </w:rPr>
        <w:t xml:space="preserve">ꎬ </w:t>
      </w:r>
      <w:r>
        <w:t>应当重新申请领取施工许可证</w:t>
      </w:r>
      <w:r>
        <w:rPr>
          <w:rFonts w:hint="eastAsia" w:ascii="MS UI Gothic" w:eastAsia="MS UI Gothic"/>
          <w:w w:val="80"/>
        </w:rPr>
        <w:t>ꎮ</w:t>
      </w:r>
    </w:p>
    <w:p>
      <w:pPr>
        <w:pStyle w:val="6"/>
        <w:spacing w:line="295" w:lineRule="auto"/>
        <w:ind w:right="39"/>
        <w:rPr>
          <w:rFonts w:hint="eastAsia" w:ascii="MS UI Gothic" w:eastAsia="MS UI Gothic"/>
        </w:rPr>
      </w:pPr>
      <w:r>
        <w:t>第六条 建设单位申请领取施工许可证的工程名称</w:t>
      </w:r>
      <w:r>
        <w:rPr>
          <w:rFonts w:hint="eastAsia" w:ascii="MS UI Gothic" w:eastAsia="MS UI Gothic"/>
          <w:w w:val="80"/>
        </w:rPr>
        <w:t xml:space="preserve">、 </w:t>
      </w:r>
      <w:r>
        <w:t>地点</w:t>
      </w:r>
      <w:r>
        <w:rPr>
          <w:rFonts w:hint="eastAsia" w:ascii="MS UI Gothic" w:eastAsia="MS UI Gothic"/>
          <w:w w:val="80"/>
        </w:rPr>
        <w:t xml:space="preserve">、 </w:t>
      </w:r>
      <w:r>
        <w:t>规模</w:t>
      </w:r>
      <w:r>
        <w:rPr>
          <w:rFonts w:hint="eastAsia" w:ascii="MS UI Gothic" w:eastAsia="MS UI Gothic"/>
          <w:w w:val="80"/>
        </w:rPr>
        <w:t xml:space="preserve">ꎬ </w:t>
      </w:r>
      <w:r>
        <w:t>应当符合依法签订的施工承包合同</w:t>
      </w:r>
      <w:r>
        <w:rPr>
          <w:rFonts w:hint="eastAsia" w:ascii="MS UI Gothic" w:eastAsia="MS UI Gothic"/>
          <w:w w:val="80"/>
        </w:rPr>
        <w:t>ꎮ</w:t>
      </w:r>
    </w:p>
    <w:p>
      <w:pPr>
        <w:pStyle w:val="6"/>
        <w:spacing w:line="295" w:lineRule="auto"/>
        <w:ind w:right="39"/>
        <w:rPr>
          <w:rFonts w:hint="eastAsia" w:ascii="MS UI Gothic" w:eastAsia="MS UI Gothic"/>
        </w:rPr>
      </w:pPr>
      <w:r>
        <w:t>施工许可证应当放置在施工现场备查</w:t>
      </w:r>
      <w:r>
        <w:rPr>
          <w:rFonts w:hint="eastAsia" w:ascii="MS UI Gothic" w:eastAsia="MS UI Gothic"/>
          <w:w w:val="80"/>
        </w:rPr>
        <w:t xml:space="preserve">ꎬ </w:t>
      </w:r>
      <w:r>
        <w:t>并按规定在施工现场公开</w:t>
      </w:r>
      <w:r>
        <w:rPr>
          <w:rFonts w:hint="eastAsia" w:ascii="MS UI Gothic" w:eastAsia="MS UI Gothic"/>
          <w:w w:val="80"/>
        </w:rPr>
        <w:t>ꎮ</w:t>
      </w:r>
    </w:p>
    <w:p>
      <w:pPr>
        <w:pStyle w:val="6"/>
        <w:spacing w:line="295" w:lineRule="auto"/>
        <w:ind w:right="39"/>
        <w:rPr>
          <w:rFonts w:hint="eastAsia" w:ascii="MS UI Gothic" w:eastAsia="MS UI Gothic"/>
        </w:rPr>
      </w:pPr>
      <w:r>
        <w:t>第七条  施工许可证不得伪造和涂改</w:t>
      </w:r>
      <w:r>
        <w:rPr>
          <w:rFonts w:hint="eastAsia" w:ascii="MS UI Gothic" w:eastAsia="MS UI Gothic"/>
          <w:w w:val="80"/>
        </w:rPr>
        <w:t>ꎮ</w:t>
      </w:r>
    </w:p>
    <w:p>
      <w:pPr>
        <w:pStyle w:val="6"/>
        <w:spacing w:line="295" w:lineRule="auto"/>
        <w:ind w:right="39"/>
        <w:rPr>
          <w:rFonts w:hint="eastAsia" w:ascii="MS UI Gothic" w:eastAsia="MS UI Gothic"/>
        </w:rPr>
      </w:pPr>
      <w:r>
        <w:t>第八条 建设单位应当自领取施工许可证之日起三个月内开工</w:t>
      </w:r>
      <w:r>
        <w:rPr>
          <w:rFonts w:hint="eastAsia" w:ascii="MS UI Gothic" w:eastAsia="MS UI Gothic"/>
          <w:w w:val="80"/>
        </w:rPr>
        <w:t xml:space="preserve">ꎮ </w:t>
      </w:r>
      <w:r>
        <w:t>因故不能按期开工的</w:t>
      </w:r>
      <w:r>
        <w:rPr>
          <w:rFonts w:hint="eastAsia" w:ascii="MS UI Gothic" w:eastAsia="MS UI Gothic"/>
          <w:w w:val="80"/>
        </w:rPr>
        <w:t xml:space="preserve">ꎬ </w:t>
      </w:r>
      <w:r>
        <w:t>应当在期满前向发证机关申请延期</w:t>
      </w:r>
      <w:r>
        <w:rPr>
          <w:rFonts w:hint="eastAsia" w:ascii="MS UI Gothic" w:eastAsia="MS UI Gothic"/>
          <w:w w:val="80"/>
        </w:rPr>
        <w:t xml:space="preserve">ꎬ </w:t>
      </w:r>
      <w:r>
        <w:t>并说明理由</w:t>
      </w:r>
      <w:r>
        <w:rPr>
          <w:rFonts w:hint="eastAsia" w:ascii="MS UI Gothic" w:eastAsia="MS UI Gothic"/>
          <w:w w:val="80"/>
        </w:rPr>
        <w:t xml:space="preserve">ꎻ </w:t>
      </w:r>
      <w:r>
        <w:t>延期以两次为限</w:t>
      </w:r>
      <w:r>
        <w:rPr>
          <w:rFonts w:hint="eastAsia" w:ascii="MS UI Gothic" w:eastAsia="MS UI Gothic"/>
          <w:w w:val="80"/>
        </w:rPr>
        <w:t xml:space="preserve">ꎬ </w:t>
      </w:r>
      <w:r>
        <w:t>每次不超过三个月</w:t>
      </w:r>
      <w:r>
        <w:rPr>
          <w:rFonts w:hint="eastAsia" w:ascii="MS UI Gothic" w:eastAsia="MS UI Gothic"/>
          <w:w w:val="80"/>
        </w:rPr>
        <w:t xml:space="preserve">ꎮ </w:t>
      </w:r>
      <w:r>
        <w:t>既不开工又不申请延期或者超过延期次数</w:t>
      </w:r>
      <w:r>
        <w:rPr>
          <w:rFonts w:hint="eastAsia" w:ascii="MS UI Gothic" w:eastAsia="MS UI Gothic"/>
          <w:w w:val="80"/>
        </w:rPr>
        <w:t xml:space="preserve">、 </w:t>
      </w:r>
      <w:r>
        <w:t>时限的</w:t>
      </w:r>
      <w:r>
        <w:rPr>
          <w:rFonts w:hint="eastAsia" w:ascii="MS UI Gothic" w:eastAsia="MS UI Gothic"/>
          <w:w w:val="80"/>
        </w:rPr>
        <w:t xml:space="preserve">ꎬ </w:t>
      </w:r>
      <w:r>
        <w:t>施工许可证自行废止</w:t>
      </w:r>
      <w:r>
        <w:rPr>
          <w:rFonts w:hint="eastAsia" w:ascii="MS UI Gothic" w:eastAsia="MS UI Gothic"/>
          <w:w w:val="80"/>
        </w:rPr>
        <w:t>ꎮ</w:t>
      </w:r>
    </w:p>
    <w:p>
      <w:pPr>
        <w:pStyle w:val="6"/>
        <w:tabs>
          <w:tab w:val="left" w:pos="1382"/>
        </w:tabs>
        <w:spacing w:line="251" w:lineRule="exact"/>
        <w:ind w:left="543" w:firstLine="0"/>
        <w:jc w:val="left"/>
      </w:pPr>
      <w:r>
        <w:rPr>
          <w:spacing w:val="3"/>
          <w:w w:val="105"/>
        </w:rPr>
        <w:t>第九</w:t>
      </w:r>
      <w:r>
        <w:rPr>
          <w:w w:val="105"/>
        </w:rPr>
        <w:t>条</w:t>
      </w:r>
      <w:r>
        <w:rPr>
          <w:w w:val="105"/>
        </w:rPr>
        <w:tab/>
      </w:r>
      <w:r>
        <w:rPr>
          <w:spacing w:val="3"/>
        </w:rPr>
        <w:t>在建的建筑工程因故中止</w:t>
      </w:r>
      <w:r>
        <w:t>施</w:t>
      </w:r>
    </w:p>
    <w:p>
      <w:pPr>
        <w:pStyle w:val="6"/>
        <w:spacing w:before="123" w:line="295" w:lineRule="auto"/>
        <w:ind w:right="442" w:firstLine="0"/>
        <w:rPr>
          <w:rFonts w:hint="eastAsia" w:ascii="MS UI Gothic" w:eastAsia="MS UI Gothic"/>
        </w:rPr>
      </w:pPr>
      <w:r>
        <w:br w:type="column"/>
      </w:r>
      <w:r>
        <w:t>工的</w:t>
      </w:r>
      <w:r>
        <w:rPr>
          <w:rFonts w:hint="eastAsia" w:ascii="MS UI Gothic" w:eastAsia="MS UI Gothic"/>
          <w:w w:val="80"/>
        </w:rPr>
        <w:t xml:space="preserve">ꎬ </w:t>
      </w:r>
      <w:r>
        <w:t>建设单位应当自中止施工之日起一个月内向发证机关报告</w:t>
      </w:r>
      <w:r>
        <w:rPr>
          <w:rFonts w:hint="eastAsia" w:ascii="MS UI Gothic" w:eastAsia="MS UI Gothic"/>
          <w:w w:val="80"/>
        </w:rPr>
        <w:t xml:space="preserve">ꎬ </w:t>
      </w:r>
      <w:r>
        <w:t>报告内容包括中止施工的时间</w:t>
      </w:r>
      <w:r>
        <w:rPr>
          <w:rFonts w:hint="eastAsia" w:ascii="MS UI Gothic" w:eastAsia="MS UI Gothic"/>
          <w:w w:val="80"/>
        </w:rPr>
        <w:t xml:space="preserve">、 </w:t>
      </w:r>
      <w:r>
        <w:t>原因</w:t>
      </w:r>
      <w:r>
        <w:rPr>
          <w:rFonts w:hint="eastAsia" w:ascii="MS UI Gothic" w:eastAsia="MS UI Gothic"/>
          <w:w w:val="80"/>
        </w:rPr>
        <w:t xml:space="preserve">、 </w:t>
      </w:r>
      <w:r>
        <w:t>在施部位</w:t>
      </w:r>
      <w:r>
        <w:rPr>
          <w:rFonts w:hint="eastAsia" w:ascii="MS UI Gothic" w:eastAsia="MS UI Gothic"/>
          <w:w w:val="80"/>
        </w:rPr>
        <w:t xml:space="preserve">、 </w:t>
      </w:r>
      <w:r>
        <w:t>维修管理措施等</w:t>
      </w:r>
      <w:r>
        <w:rPr>
          <w:rFonts w:hint="eastAsia" w:ascii="MS UI Gothic" w:eastAsia="MS UI Gothic"/>
          <w:w w:val="80"/>
        </w:rPr>
        <w:t xml:space="preserve">ꎬ </w:t>
      </w:r>
      <w:r>
        <w:t>并按照规定做好建筑工程的维护管理工作</w:t>
      </w:r>
      <w:r>
        <w:rPr>
          <w:rFonts w:hint="eastAsia" w:ascii="MS UI Gothic" w:eastAsia="MS UI Gothic"/>
          <w:w w:val="80"/>
        </w:rPr>
        <w:t>ꎮ</w:t>
      </w:r>
    </w:p>
    <w:p>
      <w:pPr>
        <w:pStyle w:val="6"/>
        <w:spacing w:line="295" w:lineRule="auto"/>
        <w:ind w:right="442"/>
        <w:rPr>
          <w:rFonts w:hint="eastAsia" w:ascii="MS UI Gothic" w:eastAsia="MS UI Gothic"/>
        </w:rPr>
      </w:pPr>
      <w:r>
        <w:t>建筑工程恢复施工时</w:t>
      </w:r>
      <w:r>
        <w:rPr>
          <w:rFonts w:hint="eastAsia" w:ascii="MS UI Gothic" w:eastAsia="MS UI Gothic"/>
          <w:w w:val="80"/>
        </w:rPr>
        <w:t xml:space="preserve">ꎬ </w:t>
      </w:r>
      <w:r>
        <w:t>应当向发证机关报告</w:t>
      </w:r>
      <w:r>
        <w:rPr>
          <w:rFonts w:hint="eastAsia" w:ascii="MS UI Gothic" w:eastAsia="MS UI Gothic"/>
          <w:w w:val="80"/>
        </w:rPr>
        <w:t xml:space="preserve">ꎻ </w:t>
      </w:r>
      <w:r>
        <w:t>中止施工满一年的工程恢复施工前</w:t>
      </w:r>
      <w:r>
        <w:rPr>
          <w:rFonts w:hint="eastAsia" w:ascii="MS UI Gothic" w:eastAsia="MS UI Gothic"/>
          <w:w w:val="80"/>
        </w:rPr>
        <w:t xml:space="preserve">ꎬ </w:t>
      </w:r>
      <w:r>
        <w:t>建设单位应当报发证机关核验施工许可证</w:t>
      </w:r>
      <w:r>
        <w:rPr>
          <w:rFonts w:hint="eastAsia" w:ascii="MS UI Gothic" w:eastAsia="MS UI Gothic"/>
          <w:w w:val="80"/>
        </w:rPr>
        <w:t>ꎮ</w:t>
      </w:r>
    </w:p>
    <w:p>
      <w:pPr>
        <w:pStyle w:val="6"/>
        <w:spacing w:line="295" w:lineRule="auto"/>
        <w:ind w:right="442"/>
        <w:rPr>
          <w:rFonts w:hint="eastAsia" w:ascii="MS UI Gothic" w:eastAsia="MS UI Gothic"/>
        </w:rPr>
      </w:pPr>
      <w:r>
        <w:t>第十条 发证机关应当将办理施工许可证的依据</w:t>
      </w:r>
      <w:r>
        <w:rPr>
          <w:rFonts w:hint="eastAsia" w:ascii="MS UI Gothic" w:eastAsia="MS UI Gothic"/>
          <w:w w:val="80"/>
        </w:rPr>
        <w:t xml:space="preserve">、 </w:t>
      </w:r>
      <w:r>
        <w:t>条件</w:t>
      </w:r>
      <w:r>
        <w:rPr>
          <w:rFonts w:hint="eastAsia" w:ascii="MS UI Gothic" w:eastAsia="MS UI Gothic"/>
          <w:w w:val="80"/>
        </w:rPr>
        <w:t xml:space="preserve">、 </w:t>
      </w:r>
      <w:r>
        <w:t>程序</w:t>
      </w:r>
      <w:r>
        <w:rPr>
          <w:rFonts w:hint="eastAsia" w:ascii="MS UI Gothic" w:eastAsia="MS UI Gothic"/>
          <w:w w:val="80"/>
        </w:rPr>
        <w:t xml:space="preserve">、 </w:t>
      </w:r>
      <w:r>
        <w:t>期限以及需要提交的全部材料和申请表示范文本等</w:t>
      </w:r>
      <w:r>
        <w:rPr>
          <w:rFonts w:hint="eastAsia" w:ascii="MS UI Gothic" w:eastAsia="MS UI Gothic"/>
          <w:w w:val="80"/>
        </w:rPr>
        <w:t xml:space="preserve">ꎬ </w:t>
      </w:r>
      <w:r>
        <w:t>在办公场所和有关网站予以公示</w:t>
      </w:r>
      <w:r>
        <w:rPr>
          <w:rFonts w:hint="eastAsia" w:ascii="MS UI Gothic" w:eastAsia="MS UI Gothic"/>
          <w:w w:val="80"/>
        </w:rPr>
        <w:t>ꎮ</w:t>
      </w:r>
    </w:p>
    <w:p>
      <w:pPr>
        <w:pStyle w:val="6"/>
        <w:spacing w:line="295" w:lineRule="auto"/>
        <w:ind w:right="442"/>
        <w:rPr>
          <w:rFonts w:hint="eastAsia" w:ascii="MS UI Gothic" w:eastAsia="MS UI Gothic"/>
        </w:rPr>
      </w:pPr>
      <w:r>
        <w:t>发证机关作出的施工许可决定</w:t>
      </w:r>
      <w:r>
        <w:rPr>
          <w:rFonts w:hint="eastAsia" w:ascii="MS UI Gothic" w:eastAsia="MS UI Gothic"/>
          <w:w w:val="80"/>
        </w:rPr>
        <w:t xml:space="preserve">ꎬ </w:t>
      </w:r>
      <w:r>
        <w:t>应当予以公开</w:t>
      </w:r>
      <w:r>
        <w:rPr>
          <w:rFonts w:hint="eastAsia" w:ascii="MS UI Gothic" w:eastAsia="MS UI Gothic"/>
          <w:w w:val="80"/>
        </w:rPr>
        <w:t xml:space="preserve">ꎬ </w:t>
      </w:r>
      <w:r>
        <w:t>公众有权查阅</w:t>
      </w:r>
      <w:r>
        <w:rPr>
          <w:rFonts w:hint="eastAsia" w:ascii="MS UI Gothic" w:eastAsia="MS UI Gothic"/>
          <w:w w:val="80"/>
        </w:rPr>
        <w:t>ꎮ</w:t>
      </w:r>
    </w:p>
    <w:p>
      <w:pPr>
        <w:pStyle w:val="6"/>
        <w:spacing w:line="295" w:lineRule="auto"/>
        <w:ind w:right="442"/>
        <w:rPr>
          <w:rFonts w:hint="eastAsia" w:ascii="MS UI Gothic" w:eastAsia="MS UI Gothic"/>
        </w:rPr>
      </w:pPr>
      <w:r>
        <w:t>第十一条 发证机关应当建立颁发施工许可证后的监督检查制度</w:t>
      </w:r>
      <w:r>
        <w:rPr>
          <w:rFonts w:hint="eastAsia" w:ascii="MS UI Gothic" w:eastAsia="MS UI Gothic"/>
          <w:w w:val="80"/>
        </w:rPr>
        <w:t xml:space="preserve">ꎬ </w:t>
      </w:r>
      <w:r>
        <w:t>对取得施工许可证后条件发生变化</w:t>
      </w:r>
      <w:r>
        <w:rPr>
          <w:rFonts w:hint="eastAsia" w:ascii="MS UI Gothic" w:eastAsia="MS UI Gothic"/>
          <w:w w:val="80"/>
        </w:rPr>
        <w:t xml:space="preserve">、 </w:t>
      </w:r>
      <w:r>
        <w:t>延期开工</w:t>
      </w:r>
      <w:r>
        <w:rPr>
          <w:rFonts w:hint="eastAsia" w:ascii="MS UI Gothic" w:eastAsia="MS UI Gothic"/>
          <w:w w:val="80"/>
        </w:rPr>
        <w:t xml:space="preserve">、 </w:t>
      </w:r>
      <w:r>
        <w:t>中止施工等行为进行监督检查</w:t>
      </w:r>
      <w:r>
        <w:rPr>
          <w:rFonts w:hint="eastAsia" w:ascii="MS UI Gothic" w:eastAsia="MS UI Gothic"/>
          <w:w w:val="80"/>
        </w:rPr>
        <w:t xml:space="preserve">ꎬ </w:t>
      </w:r>
      <w:r>
        <w:t>发现违法违规行为及时处理</w:t>
      </w:r>
      <w:r>
        <w:rPr>
          <w:rFonts w:hint="eastAsia" w:ascii="MS UI Gothic" w:eastAsia="MS UI Gothic"/>
          <w:w w:val="80"/>
        </w:rPr>
        <w:t>ꎮ</w:t>
      </w:r>
    </w:p>
    <w:p>
      <w:pPr>
        <w:pStyle w:val="6"/>
        <w:spacing w:line="295" w:lineRule="auto"/>
        <w:ind w:right="442"/>
        <w:rPr>
          <w:rFonts w:hint="eastAsia" w:ascii="MS UI Gothic" w:eastAsia="MS UI Gothic"/>
        </w:rPr>
      </w:pPr>
      <w:r>
        <w:rPr>
          <w:spacing w:val="4"/>
        </w:rPr>
        <w:t>第十二条 对于未取得施工许可证或</w:t>
      </w:r>
      <w:r>
        <w:rPr>
          <w:spacing w:val="2"/>
        </w:rPr>
        <w:t>者为规避办理施工许可证将工程项目分解</w:t>
      </w:r>
      <w:r>
        <w:rPr>
          <w:spacing w:val="3"/>
        </w:rPr>
        <w:t>后擅自施工的</w:t>
      </w:r>
      <w:r>
        <w:rPr>
          <w:rFonts w:hint="eastAsia" w:ascii="MS UI Gothic" w:eastAsia="MS UI Gothic"/>
          <w:spacing w:val="13"/>
          <w:w w:val="85"/>
        </w:rPr>
        <w:t xml:space="preserve">ꎬ </w:t>
      </w:r>
      <w:r>
        <w:rPr>
          <w:spacing w:val="2"/>
        </w:rPr>
        <w:t>由有管辖权的发证机关责</w:t>
      </w:r>
      <w:r>
        <w:rPr>
          <w:spacing w:val="3"/>
        </w:rPr>
        <w:t>令停止施工</w:t>
      </w:r>
      <w:r>
        <w:rPr>
          <w:rFonts w:hint="eastAsia" w:ascii="MS UI Gothic" w:eastAsia="MS UI Gothic"/>
          <w:spacing w:val="17"/>
          <w:w w:val="85"/>
        </w:rPr>
        <w:t xml:space="preserve">ꎬ </w:t>
      </w:r>
      <w:r>
        <w:rPr>
          <w:spacing w:val="3"/>
        </w:rPr>
        <w:t>限期改正</w:t>
      </w:r>
      <w:r>
        <w:rPr>
          <w:rFonts w:hint="eastAsia" w:ascii="MS UI Gothic" w:eastAsia="MS UI Gothic"/>
          <w:spacing w:val="17"/>
          <w:w w:val="85"/>
        </w:rPr>
        <w:t xml:space="preserve">ꎬ </w:t>
      </w:r>
      <w:r>
        <w:rPr>
          <w:spacing w:val="2"/>
        </w:rPr>
        <w:t>对建设单位处工</w:t>
      </w:r>
      <w:r>
        <w:rPr>
          <w:spacing w:val="-4"/>
        </w:rPr>
        <w:t xml:space="preserve">程合同价款 </w:t>
      </w:r>
      <w:r>
        <w:rPr>
          <w:rFonts w:hint="eastAsia" w:ascii="MS UI Gothic" w:eastAsia="MS UI Gothic"/>
          <w:spacing w:val="2"/>
          <w:w w:val="85"/>
        </w:rPr>
        <w:t>１</w:t>
      </w:r>
      <w:r>
        <w:rPr>
          <w:spacing w:val="-20"/>
          <w:w w:val="85"/>
        </w:rPr>
        <w:t xml:space="preserve">％ </w:t>
      </w:r>
      <w:r>
        <w:rPr>
          <w:spacing w:val="-9"/>
        </w:rPr>
        <w:t xml:space="preserve">以上 </w:t>
      </w:r>
      <w:r>
        <w:rPr>
          <w:rFonts w:hint="eastAsia" w:ascii="MS UI Gothic" w:eastAsia="MS UI Gothic"/>
          <w:spacing w:val="2"/>
          <w:w w:val="85"/>
        </w:rPr>
        <w:t>２</w:t>
      </w:r>
      <w:r>
        <w:rPr>
          <w:spacing w:val="-20"/>
          <w:w w:val="85"/>
        </w:rPr>
        <w:t xml:space="preserve">％ </w:t>
      </w:r>
      <w:r>
        <w:rPr>
          <w:spacing w:val="13"/>
        </w:rPr>
        <w:t>以下罚款</w:t>
      </w:r>
      <w:r>
        <w:rPr>
          <w:rFonts w:hint="eastAsia" w:ascii="MS UI Gothic" w:eastAsia="MS UI Gothic"/>
          <w:spacing w:val="23"/>
          <w:w w:val="85"/>
        </w:rPr>
        <w:t xml:space="preserve">ꎻ </w:t>
      </w:r>
      <w:r>
        <w:rPr>
          <w:spacing w:val="8"/>
        </w:rPr>
        <w:t>对施</w:t>
      </w:r>
      <w:r>
        <w:rPr>
          <w:spacing w:val="-9"/>
        </w:rPr>
        <w:t xml:space="preserve">工单位处 </w:t>
      </w:r>
      <w:r>
        <w:rPr>
          <w:rFonts w:hint="eastAsia" w:ascii="MS UI Gothic" w:eastAsia="MS UI Gothic"/>
          <w:spacing w:val="2"/>
          <w:w w:val="85"/>
        </w:rPr>
        <w:t xml:space="preserve">３ </w:t>
      </w:r>
      <w:r>
        <w:rPr>
          <w:spacing w:val="3"/>
        </w:rPr>
        <w:t>万元以下罚款</w:t>
      </w:r>
      <w:r>
        <w:rPr>
          <w:rFonts w:hint="eastAsia" w:ascii="MS UI Gothic" w:eastAsia="MS UI Gothic"/>
          <w:w w:val="85"/>
        </w:rPr>
        <w:t>ꎮ</w:t>
      </w:r>
    </w:p>
    <w:p>
      <w:pPr>
        <w:pStyle w:val="6"/>
        <w:spacing w:line="295" w:lineRule="auto"/>
        <w:ind w:right="440"/>
        <w:rPr>
          <w:rFonts w:hint="eastAsia" w:ascii="MS UI Gothic" w:eastAsia="MS UI Gothic"/>
        </w:rPr>
      </w:pPr>
      <w:r>
        <w:rPr>
          <w:spacing w:val="3"/>
        </w:rPr>
        <w:t>第十三条 建设单位采用欺骗</w:t>
      </w:r>
      <w:r>
        <w:rPr>
          <w:rFonts w:hint="eastAsia" w:ascii="MS UI Gothic" w:eastAsia="MS UI Gothic"/>
          <w:spacing w:val="16"/>
          <w:w w:val="80"/>
        </w:rPr>
        <w:t xml:space="preserve">、 </w:t>
      </w:r>
      <w:r>
        <w:rPr>
          <w:spacing w:val="1"/>
        </w:rPr>
        <w:t>贿赂</w:t>
      </w:r>
      <w:r>
        <w:rPr>
          <w:spacing w:val="3"/>
        </w:rPr>
        <w:t>等不正当手段取得施工许可证的</w:t>
      </w:r>
      <w:r>
        <w:rPr>
          <w:rFonts w:hint="eastAsia" w:ascii="MS UI Gothic" w:eastAsia="MS UI Gothic"/>
          <w:spacing w:val="19"/>
          <w:w w:val="80"/>
        </w:rPr>
        <w:t xml:space="preserve">ꎬ </w:t>
      </w:r>
      <w:r>
        <w:rPr>
          <w:spacing w:val="2"/>
        </w:rPr>
        <w:t>由原发</w:t>
      </w:r>
      <w:r>
        <w:rPr>
          <w:spacing w:val="5"/>
        </w:rPr>
        <w:t>证机关撤销施工许可证</w:t>
      </w:r>
      <w:r>
        <w:rPr>
          <w:rFonts w:hint="eastAsia" w:ascii="MS UI Gothic" w:eastAsia="MS UI Gothic"/>
          <w:spacing w:val="23"/>
          <w:w w:val="80"/>
        </w:rPr>
        <w:t xml:space="preserve">ꎬ </w:t>
      </w:r>
      <w:r>
        <w:rPr>
          <w:spacing w:val="11"/>
        </w:rPr>
        <w:t>责令停止施工</w:t>
      </w:r>
      <w:r>
        <w:rPr>
          <w:rFonts w:hint="eastAsia" w:ascii="MS UI Gothic" w:eastAsia="MS UI Gothic"/>
          <w:w w:val="80"/>
        </w:rPr>
        <w:t>ꎬ</w:t>
      </w:r>
      <w:r>
        <w:rPr>
          <w:spacing w:val="-16"/>
        </w:rPr>
        <w:t xml:space="preserve">并处 </w:t>
      </w:r>
      <w:r>
        <w:rPr>
          <w:rFonts w:hint="eastAsia" w:ascii="MS UI Gothic" w:eastAsia="MS UI Gothic"/>
          <w:spacing w:val="6"/>
          <w:w w:val="80"/>
        </w:rPr>
        <w:t xml:space="preserve">１ </w:t>
      </w:r>
      <w:r>
        <w:rPr>
          <w:spacing w:val="-8"/>
        </w:rPr>
        <w:t xml:space="preserve">万元以上 </w:t>
      </w:r>
      <w:r>
        <w:rPr>
          <w:rFonts w:hint="eastAsia" w:ascii="MS UI Gothic" w:eastAsia="MS UI Gothic"/>
          <w:spacing w:val="6"/>
          <w:w w:val="80"/>
        </w:rPr>
        <w:t xml:space="preserve">３ </w:t>
      </w:r>
      <w:r>
        <w:rPr>
          <w:spacing w:val="3"/>
        </w:rPr>
        <w:t>万元以下罚款</w:t>
      </w:r>
      <w:r>
        <w:rPr>
          <w:rFonts w:hint="eastAsia" w:ascii="MS UI Gothic" w:eastAsia="MS UI Gothic"/>
          <w:spacing w:val="6"/>
          <w:w w:val="80"/>
        </w:rPr>
        <w:t xml:space="preserve">ꎻ </w:t>
      </w:r>
      <w:r>
        <w:rPr>
          <w:spacing w:val="3"/>
        </w:rPr>
        <w:t>构成犯罪的</w:t>
      </w:r>
      <w:r>
        <w:rPr>
          <w:rFonts w:hint="eastAsia" w:ascii="MS UI Gothic" w:eastAsia="MS UI Gothic"/>
          <w:spacing w:val="2"/>
          <w:w w:val="80"/>
        </w:rPr>
        <w:t xml:space="preserve">ꎬ </w:t>
      </w:r>
      <w:r>
        <w:rPr>
          <w:spacing w:val="3"/>
        </w:rPr>
        <w:t>依法追究刑事责任</w:t>
      </w:r>
      <w:r>
        <w:rPr>
          <w:rFonts w:hint="eastAsia" w:ascii="MS UI Gothic" w:eastAsia="MS UI Gothic"/>
          <w:w w:val="80"/>
        </w:rPr>
        <w:t>ꎮ</w:t>
      </w:r>
    </w:p>
    <w:p>
      <w:pPr>
        <w:pStyle w:val="6"/>
        <w:spacing w:line="295" w:lineRule="auto"/>
        <w:ind w:right="442"/>
        <w:rPr>
          <w:rFonts w:hint="eastAsia" w:ascii="MS UI Gothic" w:eastAsia="MS UI Gothic"/>
        </w:rPr>
      </w:pPr>
      <w:r>
        <w:t>第十四条 建设单位隐瞒有关情况或者提供虚假材料申请施工许可证的</w:t>
      </w:r>
      <w:r>
        <w:rPr>
          <w:rFonts w:hint="eastAsia" w:ascii="MS UI Gothic" w:eastAsia="MS UI Gothic"/>
          <w:w w:val="80"/>
        </w:rPr>
        <w:t xml:space="preserve">ꎬ </w:t>
      </w:r>
      <w:r>
        <w:t>发证机关不予受理或者不予许可</w:t>
      </w:r>
      <w:r>
        <w:rPr>
          <w:rFonts w:hint="eastAsia" w:ascii="MS UI Gothic" w:eastAsia="MS UI Gothic"/>
          <w:w w:val="80"/>
        </w:rPr>
        <w:t xml:space="preserve">ꎬ </w:t>
      </w:r>
      <w:r>
        <w:t xml:space="preserve">并处 </w:t>
      </w:r>
      <w:r>
        <w:rPr>
          <w:rFonts w:hint="eastAsia" w:ascii="MS UI Gothic" w:eastAsia="MS UI Gothic"/>
          <w:w w:val="80"/>
        </w:rPr>
        <w:t xml:space="preserve">１ </w:t>
      </w:r>
      <w:r>
        <w:t xml:space="preserve">万元以上 </w:t>
      </w:r>
      <w:r>
        <w:rPr>
          <w:rFonts w:hint="eastAsia" w:ascii="MS UI Gothic" w:eastAsia="MS UI Gothic"/>
          <w:w w:val="80"/>
        </w:rPr>
        <w:t xml:space="preserve">３ </w:t>
      </w:r>
      <w:r>
        <w:t>万元以下罚款</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right="442"/>
      </w:pPr>
      <w:r>
        <w:t>建设单位伪造或者涂改施工许可证的</w:t>
      </w:r>
      <w:r>
        <w:rPr>
          <w:rFonts w:hint="eastAsia" w:ascii="MS UI Gothic" w:eastAsia="MS UI Gothic"/>
          <w:w w:val="80"/>
        </w:rPr>
        <w:t xml:space="preserve">ꎬ </w:t>
      </w:r>
      <w:r>
        <w:t>由发证机关责令停止施工</w:t>
      </w:r>
      <w:r>
        <w:rPr>
          <w:rFonts w:hint="eastAsia" w:ascii="MS UI Gothic" w:eastAsia="MS UI Gothic"/>
          <w:w w:val="80"/>
        </w:rPr>
        <w:t xml:space="preserve">ꎬ </w:t>
      </w:r>
      <w:r>
        <w:t xml:space="preserve">并处 </w:t>
      </w:r>
      <w:r>
        <w:rPr>
          <w:rFonts w:hint="eastAsia" w:ascii="MS UI Gothic" w:eastAsia="MS UI Gothic"/>
        </w:rPr>
        <w:t xml:space="preserve">１ </w:t>
      </w:r>
      <w:r>
        <w:t xml:space="preserve">万元以上 </w:t>
      </w:r>
      <w:r>
        <w:rPr>
          <w:rFonts w:hint="eastAsia" w:ascii="MS UI Gothic" w:eastAsia="MS UI Gothic"/>
        </w:rPr>
        <w:t xml:space="preserve">３ </w:t>
      </w:r>
      <w:r>
        <w:t>万元以下罚款</w:t>
      </w:r>
      <w:r>
        <w:rPr>
          <w:rFonts w:hint="eastAsia" w:ascii="MS UI Gothic" w:eastAsia="MS UI Gothic"/>
          <w:w w:val="80"/>
        </w:rPr>
        <w:t xml:space="preserve">ꎻ </w:t>
      </w:r>
      <w:r>
        <w:t>构成犯罪的</w:t>
      </w:r>
      <w:r>
        <w:rPr>
          <w:rFonts w:hint="eastAsia" w:ascii="MS UI Gothic" w:eastAsia="MS UI Gothic"/>
          <w:w w:val="80"/>
        </w:rPr>
        <w:t xml:space="preserve">ꎬ </w:t>
      </w:r>
      <w:r>
        <w:t>依</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４５５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67" o:spid="_x0000_s2367" o:spt="203" style="height:2.15pt;width:398.25pt;" coordsize="7965,43">
            <o:lock v:ext="edit"/>
            <v:line id="_x0000_s2368" o:spid="_x0000_s2368" o:spt="20" style="position:absolute;left:0;top:39;height:0;width:7965;" stroked="t" coordsize="21600,21600">
              <v:path arrowok="t"/>
              <v:fill focussize="0,0"/>
              <v:stroke weight="0.388031496062992pt" color="#231F20"/>
              <v:imagedata o:title=""/>
              <o:lock v:ext="edit"/>
            </v:line>
            <v:line id="_x0000_s2369" o:spid="_x0000_s236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法追究刑事责任</w:t>
      </w:r>
      <w:r>
        <w:rPr>
          <w:rFonts w:hint="eastAsia" w:ascii="MS UI Gothic" w:eastAsia="MS UI Gothic"/>
          <w:w w:val="80"/>
        </w:rPr>
        <w:t>ꎮ</w:t>
      </w:r>
    </w:p>
    <w:p>
      <w:pPr>
        <w:pStyle w:val="6"/>
        <w:spacing w:before="58" w:line="295" w:lineRule="auto"/>
        <w:ind w:left="435" w:right="1" w:firstLine="425"/>
        <w:rPr>
          <w:rFonts w:hint="eastAsia" w:ascii="MS UI Gothic" w:eastAsia="MS UI Gothic"/>
        </w:rPr>
      </w:pPr>
      <w:r>
        <w:rPr>
          <w:spacing w:val="3"/>
          <w:w w:val="95"/>
        </w:rPr>
        <w:t>第十五条  依照本办法规定</w:t>
      </w:r>
      <w:r>
        <w:rPr>
          <w:rFonts w:hint="eastAsia" w:ascii="MS UI Gothic" w:eastAsia="MS UI Gothic"/>
          <w:spacing w:val="14"/>
          <w:w w:val="90"/>
        </w:rPr>
        <w:t xml:space="preserve">ꎬ  </w:t>
      </w:r>
      <w:r>
        <w:rPr>
          <w:spacing w:val="2"/>
          <w:w w:val="95"/>
        </w:rPr>
        <w:t>给予单</w:t>
      </w:r>
      <w:r>
        <w:rPr>
          <w:spacing w:val="3"/>
          <w:w w:val="95"/>
        </w:rPr>
        <w:t>位罚款处罚的</w:t>
      </w:r>
      <w:r>
        <w:rPr>
          <w:rFonts w:hint="eastAsia" w:ascii="MS UI Gothic" w:eastAsia="MS UI Gothic"/>
          <w:spacing w:val="14"/>
          <w:w w:val="90"/>
        </w:rPr>
        <w:t xml:space="preserve">ꎬ  </w:t>
      </w:r>
      <w:r>
        <w:rPr>
          <w:spacing w:val="2"/>
          <w:w w:val="95"/>
        </w:rPr>
        <w:t>对单位直接负责的主管人</w:t>
      </w:r>
      <w:r>
        <w:rPr>
          <w:spacing w:val="11"/>
          <w:w w:val="95"/>
        </w:rPr>
        <w:t xml:space="preserve">员和其他直接责任人员处单位罚款数额 </w:t>
      </w:r>
      <w:r>
        <w:rPr>
          <w:rFonts w:hint="eastAsia" w:ascii="MS UI Gothic" w:eastAsia="MS UI Gothic"/>
          <w:spacing w:val="2"/>
          <w:w w:val="95"/>
        </w:rPr>
        <w:t>５</w:t>
      </w:r>
      <w:r>
        <w:rPr>
          <w:spacing w:val="-22"/>
          <w:w w:val="95"/>
        </w:rPr>
        <w:t xml:space="preserve">％ 以上 </w:t>
      </w:r>
      <w:r>
        <w:rPr>
          <w:rFonts w:hint="eastAsia" w:ascii="MS UI Gothic" w:eastAsia="MS UI Gothic"/>
          <w:w w:val="95"/>
        </w:rPr>
        <w:t>１０</w:t>
      </w:r>
      <w:r>
        <w:rPr>
          <w:spacing w:val="-10"/>
          <w:w w:val="95"/>
        </w:rPr>
        <w:t>％ 以下罚款</w:t>
      </w:r>
      <w:r>
        <w:rPr>
          <w:rFonts w:hint="eastAsia" w:ascii="MS UI Gothic" w:eastAsia="MS UI Gothic"/>
          <w:w w:val="90"/>
        </w:rPr>
        <w:t>ꎮ</w:t>
      </w:r>
    </w:p>
    <w:p>
      <w:pPr>
        <w:pStyle w:val="6"/>
        <w:spacing w:line="295" w:lineRule="auto"/>
        <w:ind w:left="440" w:right="1"/>
        <w:rPr>
          <w:rFonts w:hint="eastAsia" w:ascii="MS UI Gothic" w:eastAsia="MS UI Gothic"/>
        </w:rPr>
      </w:pPr>
      <w:r>
        <w:t>单位及相关责任人受到处罚的</w:t>
      </w:r>
      <w:r>
        <w:rPr>
          <w:rFonts w:hint="eastAsia" w:ascii="MS UI Gothic" w:eastAsia="MS UI Gothic"/>
          <w:w w:val="80"/>
        </w:rPr>
        <w:t xml:space="preserve">ꎬ </w:t>
      </w:r>
      <w:r>
        <w:t>作为不良行为记录予以通报</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第十六条 发证机关及其工作人员</w:t>
      </w:r>
      <w:r>
        <w:rPr>
          <w:rFonts w:hint="eastAsia" w:ascii="MS UI Gothic" w:eastAsia="MS UI Gothic"/>
          <w:w w:val="80"/>
        </w:rPr>
        <w:t>ꎬ</w:t>
      </w:r>
      <w:r>
        <w:t>违反本办法</w:t>
      </w:r>
      <w:r>
        <w:rPr>
          <w:rFonts w:hint="eastAsia" w:ascii="MS UI Gothic" w:eastAsia="MS UI Gothic"/>
          <w:w w:val="80"/>
        </w:rPr>
        <w:t xml:space="preserve">ꎬ </w:t>
      </w:r>
      <w:r>
        <w:t>有下列情形之一的</w:t>
      </w:r>
      <w:r>
        <w:rPr>
          <w:rFonts w:hint="eastAsia" w:ascii="MS UI Gothic" w:eastAsia="MS UI Gothic"/>
          <w:w w:val="80"/>
        </w:rPr>
        <w:t xml:space="preserve">ꎬ </w:t>
      </w:r>
      <w:r>
        <w:t>由其上级行政机关或者监察机关责令改正</w:t>
      </w:r>
      <w:r>
        <w:rPr>
          <w:rFonts w:hint="eastAsia" w:ascii="MS UI Gothic" w:eastAsia="MS UI Gothic"/>
          <w:w w:val="80"/>
        </w:rPr>
        <w:t xml:space="preserve">ꎻ </w:t>
      </w:r>
      <w:r>
        <w:t>情节严重的</w:t>
      </w:r>
      <w:r>
        <w:rPr>
          <w:rFonts w:hint="eastAsia" w:ascii="MS UI Gothic" w:eastAsia="MS UI Gothic"/>
          <w:w w:val="80"/>
        </w:rPr>
        <w:t xml:space="preserve">ꎬ </w:t>
      </w:r>
      <w:r>
        <w:t>对直接负责的主管人员和其他直</w:t>
      </w:r>
      <w:r>
        <w:rPr>
          <w:w w:val="105"/>
        </w:rPr>
        <w:t>接责任人员</w:t>
      </w:r>
      <w:r>
        <w:rPr>
          <w:rFonts w:hint="eastAsia" w:ascii="MS UI Gothic" w:eastAsia="MS UI Gothic"/>
          <w:w w:val="80"/>
        </w:rPr>
        <w:t xml:space="preserve">ꎬ </w:t>
      </w:r>
      <w:r>
        <w:rPr>
          <w:w w:val="105"/>
        </w:rPr>
        <w:t>依法给予行政处分</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对不符合条件的申请人准予施</w:t>
      </w:r>
      <w:r>
        <w:rPr>
          <w:w w:val="110"/>
        </w:rPr>
        <w:t>工许可的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2"/>
          <w:w w:val="150"/>
        </w:rPr>
        <w:t xml:space="preserve">) </w:t>
      </w:r>
      <w:r>
        <w:rPr>
          <w:spacing w:val="5"/>
          <w:w w:val="105"/>
        </w:rPr>
        <w:t>对符合条件的申请人不予施工</w:t>
      </w:r>
      <w:r>
        <w:rPr>
          <w:spacing w:val="2"/>
        </w:rPr>
        <w:t>许可或者未在法定期限内作出准予许可决</w:t>
      </w:r>
      <w:r>
        <w:rPr>
          <w:spacing w:val="3"/>
          <w:w w:val="105"/>
        </w:rPr>
        <w:t>定的</w:t>
      </w:r>
      <w:r>
        <w:rPr>
          <w:rFonts w:hint="eastAsia" w:ascii="MS UI Gothic" w:eastAsia="MS UI Gothic"/>
          <w:w w:val="80"/>
        </w:rPr>
        <w:t>ꎻ</w:t>
      </w:r>
    </w:p>
    <w:p>
      <w:pPr>
        <w:pStyle w:val="6"/>
        <w:spacing w:line="295" w:lineRule="auto"/>
        <w:ind w:left="440" w:right="1"/>
        <w:jc w:val="left"/>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0"/>
          <w:w w:val="110"/>
        </w:rPr>
        <w:t>对符合条件的申请不予受</w:t>
      </w:r>
      <w:r>
        <w:rPr>
          <w:spacing w:val="3"/>
          <w:w w:val="110"/>
        </w:rPr>
        <w:t>理的</w:t>
      </w:r>
      <w:r>
        <w:rPr>
          <w:rFonts w:hint="eastAsia" w:ascii="MS UI Gothic" w:eastAsia="MS UI Gothic"/>
          <w:w w:val="80"/>
        </w:rPr>
        <w:t>ꎻ</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利用职务上的便利</w:t>
      </w:r>
      <w:r>
        <w:rPr>
          <w:rFonts w:hint="eastAsia" w:ascii="MS UI Gothic" w:eastAsia="MS UI Gothic"/>
          <w:w w:val="80"/>
        </w:rPr>
        <w:t xml:space="preserve">ꎬ </w:t>
      </w:r>
      <w:r>
        <w:rPr>
          <w:w w:val="105"/>
        </w:rPr>
        <w:t>收受他人财物或者谋取其他利益的</w:t>
      </w:r>
      <w:r>
        <w:rPr>
          <w:rFonts w:hint="eastAsia" w:ascii="MS UI Gothic" w:eastAsia="MS UI Gothic"/>
          <w:w w:val="80"/>
        </w:rPr>
        <w:t>ꎻ</w:t>
      </w:r>
    </w:p>
    <w:p>
      <w:pPr>
        <w:pStyle w:val="6"/>
        <w:spacing w:line="295" w:lineRule="auto"/>
        <w:ind w:left="440" w:right="1"/>
        <w:jc w:val="left"/>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不依法履行监督职责或者监督不力</w:t>
      </w:r>
      <w:r>
        <w:rPr>
          <w:rFonts w:hint="eastAsia" w:ascii="MS UI Gothic" w:eastAsia="MS UI Gothic"/>
          <w:w w:val="80"/>
        </w:rPr>
        <w:t xml:space="preserve">ꎬ </w:t>
      </w:r>
      <w:r>
        <w:rPr>
          <w:w w:val="105"/>
        </w:rPr>
        <w:t>造成严重后果的</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rPr>
          <w:w w:val="105"/>
        </w:rPr>
        <w:t>第十七条 建筑工程施工许可证由国</w:t>
      </w:r>
      <w:r>
        <w:t>务院住房城乡建设主管部门制定格式</w:t>
      </w:r>
      <w:r>
        <w:rPr>
          <w:rFonts w:hint="eastAsia" w:ascii="MS UI Gothic" w:eastAsia="MS UI Gothic"/>
          <w:w w:val="80"/>
        </w:rPr>
        <w:t xml:space="preserve">ꎬ </w:t>
      </w:r>
      <w:r>
        <w:t>由</w:t>
      </w:r>
      <w:r>
        <w:rPr>
          <w:w w:val="105"/>
        </w:rPr>
        <w:t>各省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直辖市人民政府住房城乡建设主管部门统一印制</w:t>
      </w:r>
      <w:r>
        <w:rPr>
          <w:rFonts w:hint="eastAsia" w:ascii="MS UI Gothic" w:eastAsia="MS UI Gothic"/>
          <w:w w:val="80"/>
        </w:rPr>
        <w:t>ꎮ</w:t>
      </w:r>
    </w:p>
    <w:p>
      <w:pPr>
        <w:pStyle w:val="6"/>
        <w:spacing w:line="295" w:lineRule="auto"/>
        <w:ind w:left="381" w:right="126"/>
        <w:rPr>
          <w:rFonts w:hint="eastAsia" w:ascii="MS UI Gothic" w:eastAsia="MS UI Gothic"/>
        </w:rPr>
      </w:pPr>
      <w:r>
        <w:t>施工许可证分为正本和副本</w:t>
      </w:r>
      <w:r>
        <w:rPr>
          <w:rFonts w:hint="eastAsia" w:ascii="MS UI Gothic" w:eastAsia="MS UI Gothic"/>
          <w:w w:val="80"/>
        </w:rPr>
        <w:t xml:space="preserve">ꎬ </w:t>
      </w:r>
      <w:r>
        <w:t>正本和副本具有同等法律效力</w:t>
      </w:r>
      <w:r>
        <w:rPr>
          <w:rFonts w:hint="eastAsia" w:ascii="MS UI Gothic" w:eastAsia="MS UI Gothic"/>
          <w:w w:val="80"/>
        </w:rPr>
        <w:t xml:space="preserve">ꎮ </w:t>
      </w:r>
      <w:r>
        <w:t>复印的施工许可证无效</w:t>
      </w:r>
      <w:r>
        <w:rPr>
          <w:rFonts w:hint="eastAsia" w:ascii="MS UI Gothic" w:eastAsia="MS UI Gothic"/>
          <w:w w:val="80"/>
        </w:rPr>
        <w:t>ꎮ</w:t>
      </w:r>
    </w:p>
    <w:p>
      <w:pPr>
        <w:pStyle w:val="6"/>
        <w:spacing w:line="295" w:lineRule="auto"/>
        <w:ind w:left="381" w:right="126"/>
        <w:rPr>
          <w:rFonts w:hint="eastAsia" w:ascii="MS UI Gothic" w:eastAsia="MS UI Gothic"/>
        </w:rPr>
      </w:pPr>
      <w:r>
        <w:t>第十八条 本办法关于施工许可管理的规定适用于其他专业建筑工程</w:t>
      </w:r>
      <w:r>
        <w:rPr>
          <w:rFonts w:hint="eastAsia" w:ascii="MS UI Gothic" w:eastAsia="MS UI Gothic"/>
          <w:w w:val="80"/>
        </w:rPr>
        <w:t xml:space="preserve">ꎮ </w:t>
      </w:r>
      <w:r>
        <w:t>有关法律</w:t>
      </w:r>
      <w:r>
        <w:rPr>
          <w:rFonts w:hint="eastAsia" w:ascii="MS UI Gothic" w:eastAsia="MS UI Gothic"/>
          <w:w w:val="80"/>
        </w:rPr>
        <w:t xml:space="preserve">、 </w:t>
      </w:r>
      <w:r>
        <w:t>行政法规有明确规定的</w:t>
      </w:r>
      <w:r>
        <w:rPr>
          <w:rFonts w:hint="eastAsia" w:ascii="MS UI Gothic" w:eastAsia="MS UI Gothic"/>
          <w:w w:val="80"/>
        </w:rPr>
        <w:t xml:space="preserve">ꎬ </w:t>
      </w:r>
      <w:r>
        <w:t>从其规定</w:t>
      </w:r>
      <w:r>
        <w:rPr>
          <w:rFonts w:hint="eastAsia" w:ascii="MS UI Gothic" w:eastAsia="MS UI Gothic"/>
          <w:w w:val="80"/>
        </w:rPr>
        <w:t>ꎮ</w:t>
      </w:r>
    </w:p>
    <w:p>
      <w:pPr>
        <w:pStyle w:val="6"/>
        <w:spacing w:line="295" w:lineRule="auto"/>
        <w:ind w:left="381" w:right="126"/>
        <w:rPr>
          <w:rFonts w:hint="eastAsia" w:ascii="MS UI Gothic" w:hAnsi="MS UI Gothic" w:eastAsia="MS UI Gothic"/>
        </w:rPr>
      </w:pPr>
      <w:r>
        <w:rPr>
          <w:rFonts w:hint="eastAsia" w:ascii="MS UI Gothic" w:hAnsi="MS UI Gothic" w:eastAsia="MS UI Gothic"/>
        </w:rPr>
        <w:t xml:space="preserve">« </w:t>
      </w:r>
      <w:r>
        <w:t>建筑法</w:t>
      </w:r>
      <w:r>
        <w:rPr>
          <w:rFonts w:hint="eastAsia" w:ascii="MS UI Gothic" w:hAnsi="MS UI Gothic" w:eastAsia="MS UI Gothic"/>
        </w:rPr>
        <w:t xml:space="preserve">» </w:t>
      </w:r>
      <w:r>
        <w:t>第八十三条第三款规定的建筑活动</w:t>
      </w:r>
      <w:r>
        <w:rPr>
          <w:rFonts w:hint="eastAsia" w:ascii="MS UI Gothic" w:hAnsi="MS UI Gothic" w:eastAsia="MS UI Gothic"/>
          <w:w w:val="80"/>
        </w:rPr>
        <w:t xml:space="preserve">ꎬ </w:t>
      </w:r>
      <w:r>
        <w:t>不适用本办法</w:t>
      </w:r>
      <w:r>
        <w:rPr>
          <w:rFonts w:hint="eastAsia" w:ascii="MS UI Gothic" w:hAnsi="MS UI Gothic" w:eastAsia="MS UI Gothic"/>
          <w:w w:val="80"/>
        </w:rPr>
        <w:t>ꎮ</w:t>
      </w:r>
    </w:p>
    <w:p>
      <w:pPr>
        <w:pStyle w:val="6"/>
        <w:spacing w:line="295" w:lineRule="auto"/>
        <w:ind w:left="381" w:right="124"/>
        <w:rPr>
          <w:rFonts w:hint="eastAsia" w:ascii="MS UI Gothic" w:eastAsia="MS UI Gothic"/>
        </w:rPr>
      </w:pPr>
      <w:r>
        <w:t>军事房屋建筑工程施工许可的管理</w:t>
      </w:r>
      <w:r>
        <w:rPr>
          <w:rFonts w:hint="eastAsia" w:ascii="MS UI Gothic" w:eastAsia="MS UI Gothic"/>
          <w:w w:val="80"/>
        </w:rPr>
        <w:t>ꎬ</w:t>
      </w:r>
      <w:r>
        <w:t>按国务院</w:t>
      </w:r>
      <w:r>
        <w:rPr>
          <w:rFonts w:hint="eastAsia" w:ascii="MS UI Gothic" w:eastAsia="MS UI Gothic"/>
          <w:w w:val="80"/>
        </w:rPr>
        <w:t xml:space="preserve">、 </w:t>
      </w:r>
      <w:r>
        <w:t>中央军事委员会制定的办法执行</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第十九条 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直辖市人民</w:t>
      </w:r>
      <w:r>
        <w:t>政府住房城乡建设主管部门可以根据本办</w:t>
      </w:r>
      <w:r>
        <w:rPr>
          <w:w w:val="105"/>
        </w:rPr>
        <w:t>法制定实施细则</w:t>
      </w:r>
      <w:r>
        <w:rPr>
          <w:rFonts w:hint="eastAsia" w:ascii="MS UI Gothic" w:eastAsia="MS UI Gothic"/>
          <w:w w:val="80"/>
        </w:rPr>
        <w:t>ꎮ</w:t>
      </w:r>
    </w:p>
    <w:p>
      <w:pPr>
        <w:pStyle w:val="6"/>
        <w:spacing w:line="295" w:lineRule="auto"/>
        <w:ind w:left="639" w:right="126" w:firstLine="161"/>
      </w:pPr>
      <w:r>
        <w:pict>
          <v:shape id="_x0000_s2370" o:spid="_x0000_s2370" o:spt="202" type="#_x0000_t202" style="position:absolute;left:0pt;margin-left:280.35pt;margin-top:12pt;height:24.35pt;width:10.3pt;mso-position-horizontal-relative:page;z-index:-27555942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２５</w:t>
                  </w:r>
                </w:p>
              </w:txbxContent>
            </v:textbox>
          </v:shape>
        </w:pict>
      </w:r>
      <w:r>
        <w:rPr>
          <w:spacing w:val="12"/>
          <w:w w:val="95"/>
        </w:rPr>
        <w:t xml:space="preserve">第二十条 本办法自 </w:t>
      </w:r>
      <w:r>
        <w:rPr>
          <w:rFonts w:hint="eastAsia" w:ascii="MS UI Gothic" w:eastAsia="MS UI Gothic"/>
          <w:spacing w:val="4"/>
          <w:w w:val="95"/>
        </w:rPr>
        <w:t xml:space="preserve">２０１４ </w:t>
      </w:r>
      <w:r>
        <w:rPr>
          <w:spacing w:val="-12"/>
          <w:w w:val="95"/>
        </w:rPr>
        <w:t xml:space="preserve">年 </w:t>
      </w:r>
      <w:r>
        <w:rPr>
          <w:rFonts w:hint="eastAsia" w:ascii="MS UI Gothic" w:eastAsia="MS UI Gothic"/>
          <w:spacing w:val="7"/>
          <w:w w:val="95"/>
        </w:rPr>
        <w:t xml:space="preserve">１０ </w:t>
      </w:r>
      <w:r>
        <w:rPr>
          <w:spacing w:val="-11"/>
          <w:w w:val="95"/>
        </w:rPr>
        <w:t>月</w:t>
      </w:r>
      <w:r>
        <w:rPr>
          <w:spacing w:val="6"/>
          <w:w w:val="95"/>
        </w:rPr>
        <w:t>日起施行</w:t>
      </w:r>
      <w:r>
        <w:rPr>
          <w:rFonts w:hint="eastAsia" w:ascii="MS UI Gothic" w:eastAsia="MS UI Gothic"/>
          <w:spacing w:val="10"/>
          <w:w w:val="90"/>
        </w:rPr>
        <w:t xml:space="preserve">ꎮ </w:t>
      </w:r>
      <w:r>
        <w:rPr>
          <w:rFonts w:hint="eastAsia" w:ascii="MS UI Gothic" w:eastAsia="MS UI Gothic"/>
          <w:spacing w:val="-2"/>
          <w:w w:val="95"/>
        </w:rPr>
        <w:t xml:space="preserve">１９９９ </w:t>
      </w:r>
      <w:r>
        <w:rPr>
          <w:spacing w:val="-25"/>
          <w:w w:val="95"/>
        </w:rPr>
        <w:t xml:space="preserve">年 </w:t>
      </w:r>
      <w:r>
        <w:rPr>
          <w:rFonts w:hint="eastAsia" w:ascii="MS UI Gothic" w:eastAsia="MS UI Gothic"/>
          <w:spacing w:val="-3"/>
          <w:w w:val="95"/>
        </w:rPr>
        <w:t xml:space="preserve">１０ </w:t>
      </w:r>
      <w:r>
        <w:rPr>
          <w:spacing w:val="-25"/>
          <w:w w:val="95"/>
        </w:rPr>
        <w:t xml:space="preserve">月 </w:t>
      </w:r>
      <w:r>
        <w:rPr>
          <w:rFonts w:hint="eastAsia" w:ascii="MS UI Gothic" w:eastAsia="MS UI Gothic"/>
          <w:spacing w:val="-3"/>
          <w:w w:val="95"/>
        </w:rPr>
        <w:t xml:space="preserve">１５ </w:t>
      </w:r>
      <w:r>
        <w:rPr>
          <w:spacing w:val="11"/>
          <w:w w:val="95"/>
        </w:rPr>
        <w:t>日建设部</w:t>
      </w:r>
    </w:p>
    <w:p>
      <w:pPr>
        <w:pStyle w:val="6"/>
        <w:spacing w:line="295" w:lineRule="auto"/>
        <w:ind w:left="381" w:right="126" w:firstLine="0"/>
        <w:rPr>
          <w:rFonts w:hint="eastAsia" w:ascii="MS UI Gothic" w:hAnsi="MS UI Gothic" w:eastAsia="MS UI Gothic"/>
        </w:rPr>
      </w:pPr>
      <w:r>
        <w:rPr>
          <w:spacing w:val="-17"/>
          <w:w w:val="95"/>
        </w:rPr>
        <w:t xml:space="preserve">令第 </w:t>
      </w:r>
      <w:r>
        <w:rPr>
          <w:rFonts w:hint="eastAsia" w:ascii="MS UI Gothic" w:hAnsi="MS UI Gothic" w:eastAsia="MS UI Gothic"/>
          <w:spacing w:val="-3"/>
          <w:w w:val="95"/>
        </w:rPr>
        <w:t xml:space="preserve">７１ </w:t>
      </w:r>
      <w:r>
        <w:rPr>
          <w:spacing w:val="4"/>
          <w:w w:val="95"/>
        </w:rPr>
        <w:t>号发布</w:t>
      </w:r>
      <w:r>
        <w:rPr>
          <w:rFonts w:hint="eastAsia" w:ascii="MS UI Gothic" w:hAnsi="MS UI Gothic" w:eastAsia="MS UI Gothic"/>
          <w:spacing w:val="4"/>
          <w:w w:val="95"/>
        </w:rPr>
        <w:t xml:space="preserve">、 ２００１ </w:t>
      </w:r>
      <w:r>
        <w:rPr>
          <w:spacing w:val="-22"/>
          <w:w w:val="95"/>
        </w:rPr>
        <w:t xml:space="preserve">年 </w:t>
      </w:r>
      <w:r>
        <w:rPr>
          <w:rFonts w:hint="eastAsia" w:ascii="MS UI Gothic" w:hAnsi="MS UI Gothic" w:eastAsia="MS UI Gothic"/>
          <w:w w:val="95"/>
        </w:rPr>
        <w:t xml:space="preserve">７ </w:t>
      </w:r>
      <w:r>
        <w:rPr>
          <w:spacing w:val="-22"/>
          <w:w w:val="95"/>
        </w:rPr>
        <w:t xml:space="preserve">月 </w:t>
      </w:r>
      <w:r>
        <w:rPr>
          <w:rFonts w:hint="eastAsia" w:ascii="MS UI Gothic" w:hAnsi="MS UI Gothic" w:eastAsia="MS UI Gothic"/>
          <w:w w:val="95"/>
        </w:rPr>
        <w:t xml:space="preserve">４ </w:t>
      </w:r>
      <w:r>
        <w:rPr>
          <w:spacing w:val="8"/>
          <w:w w:val="95"/>
        </w:rPr>
        <w:t>日建设部</w:t>
      </w:r>
      <w:r>
        <w:rPr>
          <w:spacing w:val="-5"/>
          <w:w w:val="95"/>
        </w:rPr>
        <w:t xml:space="preserve">令第 </w:t>
      </w:r>
      <w:r>
        <w:rPr>
          <w:rFonts w:hint="eastAsia" w:ascii="MS UI Gothic" w:hAnsi="MS UI Gothic" w:eastAsia="MS UI Gothic"/>
          <w:spacing w:val="11"/>
          <w:w w:val="95"/>
        </w:rPr>
        <w:t xml:space="preserve">９１ </w:t>
      </w:r>
      <w:r>
        <w:rPr>
          <w:spacing w:val="22"/>
          <w:w w:val="95"/>
        </w:rPr>
        <w:t xml:space="preserve">号修正的 </w:t>
      </w:r>
      <w:r>
        <w:rPr>
          <w:rFonts w:hint="eastAsia" w:ascii="MS UI Gothic" w:hAnsi="MS UI Gothic" w:eastAsia="MS UI Gothic"/>
          <w:spacing w:val="-8"/>
          <w:w w:val="95"/>
        </w:rPr>
        <w:t xml:space="preserve">« </w:t>
      </w:r>
      <w:r>
        <w:rPr>
          <w:spacing w:val="9"/>
          <w:w w:val="95"/>
        </w:rPr>
        <w:t>建筑工程施工许可管</w:t>
      </w:r>
      <w:r>
        <w:rPr>
          <w:spacing w:val="3"/>
          <w:w w:val="95"/>
        </w:rPr>
        <w:t>理办法</w:t>
      </w:r>
      <w:r>
        <w:rPr>
          <w:rFonts w:hint="eastAsia" w:ascii="MS UI Gothic" w:hAnsi="MS UI Gothic" w:eastAsia="MS UI Gothic"/>
          <w:spacing w:val="5"/>
          <w:w w:val="95"/>
        </w:rPr>
        <w:t xml:space="preserve">» </w:t>
      </w:r>
      <w:r>
        <w:rPr>
          <w:spacing w:val="3"/>
          <w:w w:val="95"/>
        </w:rPr>
        <w:t>同时废止</w:t>
      </w:r>
      <w:r>
        <w:rPr>
          <w:rFonts w:hint="eastAsia" w:ascii="MS UI Gothic" w:hAnsi="MS UI Gothic" w:eastAsia="MS UI Gothic"/>
          <w:w w:val="90"/>
        </w:rPr>
        <w:t>ꎮ</w:t>
      </w:r>
    </w:p>
    <w:p>
      <w:pPr>
        <w:spacing w:after="0" w:line="295" w:lineRule="auto"/>
        <w:rPr>
          <w:rFonts w:hint="eastAsia" w:ascii="MS UI Gothic" w:hAns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4"/>
        <w:ind w:left="0" w:firstLine="0"/>
        <w:jc w:val="left"/>
        <w:rPr>
          <w:rFonts w:ascii="MS UI Gothic"/>
          <w:sz w:val="16"/>
        </w:rPr>
      </w:pPr>
    </w:p>
    <w:p>
      <w:pPr>
        <w:pStyle w:val="4"/>
        <w:spacing w:before="74"/>
      </w:pPr>
      <w:r>
        <w:t>中华人民共和国主席令</w:t>
      </w:r>
    </w:p>
    <w:p>
      <w:pPr>
        <w:pStyle w:val="6"/>
        <w:ind w:left="0" w:firstLine="0"/>
        <w:jc w:val="left"/>
        <w:rPr>
          <w:sz w:val="27"/>
        </w:rPr>
      </w:pPr>
    </w:p>
    <w:p>
      <w:pPr>
        <w:pStyle w:val="5"/>
        <w:ind w:left="312"/>
      </w:pPr>
      <w:r>
        <w:rPr>
          <w:w w:val="105"/>
        </w:rPr>
        <w:t>第四号</w:t>
      </w:r>
    </w:p>
    <w:p>
      <w:pPr>
        <w:pStyle w:val="6"/>
        <w:spacing w:before="8"/>
        <w:ind w:left="0" w:firstLine="0"/>
        <w:jc w:val="left"/>
        <w:rPr>
          <w:sz w:val="27"/>
        </w:rPr>
      </w:pPr>
    </w:p>
    <w:p>
      <w:pPr>
        <w:pStyle w:val="6"/>
        <w:spacing w:line="295" w:lineRule="auto"/>
        <w:ind w:left="440" w:right="126"/>
        <w:rPr>
          <w:rFonts w:hint="eastAsia" w:ascii="MS UI Gothic" w:hAnsi="MS UI Gothic" w:eastAsia="MS UI Gothic"/>
        </w:rPr>
      </w:pPr>
      <w:r>
        <w:rPr>
          <w:rFonts w:hint="eastAsia" w:ascii="MS UI Gothic" w:hAnsi="MS UI Gothic" w:eastAsia="MS UI Gothic"/>
          <w:spacing w:val="8"/>
          <w:w w:val="95"/>
        </w:rPr>
        <w:t xml:space="preserve">« </w:t>
      </w:r>
      <w:r>
        <w:rPr>
          <w:spacing w:val="3"/>
          <w:w w:val="95"/>
        </w:rPr>
        <w:t>中华人民共和国特种设备安全法</w:t>
      </w:r>
      <w:r>
        <w:rPr>
          <w:rFonts w:hint="eastAsia" w:ascii="MS UI Gothic" w:hAnsi="MS UI Gothic" w:eastAsia="MS UI Gothic"/>
          <w:spacing w:val="5"/>
          <w:w w:val="95"/>
        </w:rPr>
        <w:t xml:space="preserve">»       </w:t>
      </w:r>
      <w:r>
        <w:rPr>
          <w:spacing w:val="2"/>
          <w:w w:val="95"/>
        </w:rPr>
        <w:t>已由中华人民共和国第十二届全国人民代表大</w:t>
      </w:r>
      <w:r>
        <w:rPr>
          <w:spacing w:val="-2"/>
          <w:w w:val="95"/>
        </w:rPr>
        <w:t xml:space="preserve">会常务委员会第三次会议于 </w:t>
      </w:r>
      <w:r>
        <w:rPr>
          <w:rFonts w:hint="eastAsia" w:ascii="MS UI Gothic" w:hAnsi="MS UI Gothic" w:eastAsia="MS UI Gothic"/>
          <w:w w:val="95"/>
        </w:rPr>
        <w:t xml:space="preserve">２０１３ </w:t>
      </w:r>
      <w:r>
        <w:rPr>
          <w:spacing w:val="-23"/>
          <w:w w:val="95"/>
        </w:rPr>
        <w:t xml:space="preserve">年 </w:t>
      </w:r>
      <w:r>
        <w:rPr>
          <w:rFonts w:hint="eastAsia" w:ascii="MS UI Gothic" w:hAnsi="MS UI Gothic" w:eastAsia="MS UI Gothic"/>
          <w:w w:val="95"/>
        </w:rPr>
        <w:t xml:space="preserve">６ </w:t>
      </w:r>
      <w:r>
        <w:rPr>
          <w:spacing w:val="-23"/>
          <w:w w:val="95"/>
        </w:rPr>
        <w:t xml:space="preserve">月 </w:t>
      </w:r>
      <w:r>
        <w:rPr>
          <w:rFonts w:hint="eastAsia" w:ascii="MS UI Gothic" w:hAnsi="MS UI Gothic" w:eastAsia="MS UI Gothic"/>
          <w:w w:val="95"/>
        </w:rPr>
        <w:t xml:space="preserve">２９ </w:t>
      </w:r>
      <w:r>
        <w:rPr>
          <w:spacing w:val="5"/>
          <w:w w:val="95"/>
        </w:rPr>
        <w:t>日通过</w:t>
      </w:r>
      <w:r>
        <w:rPr>
          <w:rFonts w:hint="eastAsia" w:ascii="MS UI Gothic" w:hAnsi="MS UI Gothic" w:eastAsia="MS UI Gothic"/>
          <w:spacing w:val="22"/>
          <w:w w:val="90"/>
        </w:rPr>
        <w:t xml:space="preserve">ꎬ </w:t>
      </w:r>
      <w:r>
        <w:rPr>
          <w:spacing w:val="6"/>
          <w:w w:val="95"/>
        </w:rPr>
        <w:t>现予公布</w:t>
      </w:r>
      <w:r>
        <w:rPr>
          <w:rFonts w:hint="eastAsia" w:ascii="MS UI Gothic" w:hAnsi="MS UI Gothic" w:eastAsia="MS UI Gothic"/>
          <w:spacing w:val="22"/>
          <w:w w:val="90"/>
        </w:rPr>
        <w:t xml:space="preserve">ꎬ </w:t>
      </w:r>
      <w:r>
        <w:rPr>
          <w:spacing w:val="-23"/>
          <w:w w:val="95"/>
        </w:rPr>
        <w:t xml:space="preserve">自 </w:t>
      </w:r>
      <w:r>
        <w:rPr>
          <w:rFonts w:hint="eastAsia" w:ascii="MS UI Gothic" w:hAnsi="MS UI Gothic" w:eastAsia="MS UI Gothic"/>
          <w:w w:val="95"/>
        </w:rPr>
        <w:t xml:space="preserve">２０１４ </w:t>
      </w:r>
      <w:r>
        <w:rPr>
          <w:spacing w:val="-22"/>
          <w:w w:val="95"/>
        </w:rPr>
        <w:t xml:space="preserve">年 </w:t>
      </w:r>
      <w:r>
        <w:rPr>
          <w:rFonts w:hint="eastAsia" w:ascii="MS UI Gothic" w:hAnsi="MS UI Gothic" w:eastAsia="MS UI Gothic"/>
          <w:spacing w:val="1"/>
          <w:w w:val="95"/>
        </w:rPr>
        <w:t xml:space="preserve">１ </w:t>
      </w:r>
      <w:r>
        <w:rPr>
          <w:spacing w:val="-22"/>
          <w:w w:val="95"/>
        </w:rPr>
        <w:t xml:space="preserve">月 </w:t>
      </w:r>
      <w:r>
        <w:rPr>
          <w:rFonts w:hint="eastAsia" w:ascii="MS UI Gothic" w:hAnsi="MS UI Gothic" w:eastAsia="MS UI Gothic"/>
          <w:w w:val="95"/>
        </w:rPr>
        <w:t xml:space="preserve">１ </w:t>
      </w:r>
      <w:r>
        <w:rPr>
          <w:spacing w:val="4"/>
          <w:w w:val="95"/>
        </w:rPr>
        <w:t>日起</w:t>
      </w:r>
      <w:r>
        <w:rPr>
          <w:spacing w:val="3"/>
          <w:w w:val="95"/>
        </w:rPr>
        <w:t>施行</w:t>
      </w:r>
      <w:r>
        <w:rPr>
          <w:rFonts w:hint="eastAsia" w:ascii="MS UI Gothic" w:hAnsi="MS UI Gothic" w:eastAsia="MS UI Gothic"/>
          <w:w w:val="90"/>
        </w:rPr>
        <w:t>ꎮ</w:t>
      </w:r>
    </w:p>
    <w:p>
      <w:pPr>
        <w:pStyle w:val="6"/>
        <w:tabs>
          <w:tab w:val="left" w:pos="7776"/>
        </w:tabs>
        <w:spacing w:before="312"/>
        <w:ind w:left="5680" w:firstLine="0"/>
        <w:jc w:val="left"/>
      </w:pPr>
      <w:r>
        <w:rPr>
          <w:spacing w:val="3"/>
          <w:w w:val="105"/>
        </w:rPr>
        <w:t>中华人民共和国主</w:t>
      </w:r>
      <w:r>
        <w:rPr>
          <w:w w:val="105"/>
        </w:rPr>
        <w:t>席</w:t>
      </w:r>
      <w:r>
        <w:rPr>
          <w:w w:val="105"/>
        </w:rPr>
        <w:tab/>
      </w:r>
      <w:r>
        <w:rPr>
          <w:spacing w:val="3"/>
        </w:rPr>
        <w:t>习近</w:t>
      </w:r>
      <w:r>
        <w:t>平</w:t>
      </w:r>
    </w:p>
    <w:p>
      <w:pPr>
        <w:pStyle w:val="6"/>
        <w:spacing w:before="58"/>
        <w:ind w:left="0" w:right="126" w:firstLine="0"/>
        <w:jc w:val="right"/>
      </w:pPr>
      <w:r>
        <w:rPr>
          <w:rFonts w:hint="eastAsia" w:ascii="MS UI Gothic" w:eastAsia="MS UI Gothic"/>
          <w:spacing w:val="-7"/>
          <w:w w:val="95"/>
        </w:rPr>
        <w:t xml:space="preserve">２０１３ </w:t>
      </w:r>
      <w:r>
        <w:rPr>
          <w:spacing w:val="-36"/>
          <w:w w:val="95"/>
        </w:rPr>
        <w:t xml:space="preserve">年 </w:t>
      </w:r>
      <w:r>
        <w:rPr>
          <w:rFonts w:hint="eastAsia" w:ascii="MS UI Gothic" w:eastAsia="MS UI Gothic"/>
          <w:spacing w:val="-15"/>
          <w:w w:val="95"/>
        </w:rPr>
        <w:t xml:space="preserve">６ </w:t>
      </w:r>
      <w:r>
        <w:rPr>
          <w:spacing w:val="-36"/>
          <w:w w:val="95"/>
        </w:rPr>
        <w:t xml:space="preserve">月 </w:t>
      </w:r>
      <w:r>
        <w:rPr>
          <w:rFonts w:hint="eastAsia" w:ascii="MS UI Gothic" w:eastAsia="MS UI Gothic"/>
          <w:spacing w:val="-10"/>
          <w:w w:val="95"/>
        </w:rPr>
        <w:t xml:space="preserve">２９ </w:t>
      </w:r>
      <w:r>
        <w:rPr>
          <w:w w:val="95"/>
        </w:rPr>
        <w:t>日</w:t>
      </w:r>
    </w:p>
    <w:p>
      <w:pPr>
        <w:spacing w:after="0"/>
        <w:jc w:val="right"/>
        <w:sectPr>
          <w:type w:val="continuous"/>
          <w:pgSz w:w="10500" w:h="14750"/>
          <w:pgMar w:top="1400" w:right="980" w:bottom="280" w:left="980" w:header="720" w:footer="720" w:gutter="0"/>
        </w:sectPr>
      </w:pPr>
    </w:p>
    <w:p>
      <w:pPr>
        <w:pStyle w:val="6"/>
        <w:spacing w:before="159"/>
        <w:ind w:left="280" w:firstLine="0"/>
        <w:jc w:val="left"/>
        <w:rPr>
          <w:rFonts w:hint="eastAsia" w:ascii="MS UI Gothic" w:eastAsia="MS UI Gothic"/>
        </w:rPr>
      </w:pPr>
      <w:r>
        <w:pict>
          <v:shape id="_x0000_s2371" o:spid="_x0000_s2371" style="position:absolute;left:0pt;margin-left:0pt;margin-top:700.1pt;height:1.75pt;width:398.25pt;mso-position-horizontal-relative:page;z-index:25220505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４５６</w:t>
      </w:r>
    </w:p>
    <w:p>
      <w:pPr>
        <w:spacing w:before="192"/>
        <w:ind w:left="119" w:right="1503" w:firstLine="0"/>
        <w:jc w:val="center"/>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ind w:left="0" w:firstLine="0"/>
        <w:jc w:val="left"/>
        <w:rPr>
          <w:rFonts w:ascii="Microsoft Yi Baiti"/>
          <w:sz w:val="28"/>
        </w:rPr>
      </w:pPr>
    </w:p>
    <w:p>
      <w:pPr>
        <w:pStyle w:val="6"/>
        <w:spacing w:before="8"/>
        <w:ind w:left="0" w:firstLine="0"/>
        <w:jc w:val="left"/>
        <w:rPr>
          <w:rFonts w:ascii="Microsoft Yi Baiti"/>
          <w:sz w:val="30"/>
        </w:rPr>
      </w:pPr>
    </w:p>
    <w:p>
      <w:pPr>
        <w:pStyle w:val="4"/>
        <w:spacing w:before="0"/>
        <w:ind w:left="119" w:right="1512"/>
        <w:rPr>
          <w:rFonts w:hint="eastAsia" w:ascii="Microsoft Yi Baiti" w:eastAsia="Microsoft Yi Baiti"/>
        </w:rPr>
      </w:pPr>
      <w:r>
        <w:t xml:space="preserve">中华人民共和国特种设备安全法 </w:t>
      </w:r>
      <w:r>
        <w:rPr>
          <w:rFonts w:hint="eastAsia" w:ascii="Microsoft Yi Baiti" w:eastAsia="Microsoft Yi Baiti"/>
        </w:rPr>
        <w:t>(</w:t>
      </w:r>
      <w:r>
        <w:rPr>
          <w:rFonts w:hint="eastAsia" w:ascii="MS UI Gothic" w:eastAsia="MS UI Gothic"/>
        </w:rPr>
        <w:t xml:space="preserve">２０１３ </w:t>
      </w:r>
      <w:r>
        <w:t>年修正</w:t>
      </w:r>
      <w:r>
        <w:rPr>
          <w:rFonts w:hint="eastAsia" w:ascii="Microsoft Yi Baiti" w:eastAsia="Microsoft Yi Baiti"/>
        </w:rPr>
        <w:t>)</w:t>
      </w:r>
    </w:p>
    <w:p>
      <w:pPr>
        <w:spacing w:after="0"/>
        <w:rPr>
          <w:rFonts w:hint="eastAsia" w:ascii="Microsoft Yi Baiti" w:eastAsia="Microsoft Yi Baiti"/>
        </w:rPr>
        <w:sectPr>
          <w:pgSz w:w="10500" w:h="14750"/>
          <w:pgMar w:top="960" w:right="980" w:bottom="280" w:left="980" w:header="720" w:footer="720" w:gutter="0"/>
          <w:cols w:equalWidth="0" w:num="2">
            <w:col w:w="1010" w:space="40"/>
            <w:col w:w="7490"/>
          </w:cols>
        </w:sectPr>
      </w:pPr>
    </w:p>
    <w:p>
      <w:pPr>
        <w:pStyle w:val="6"/>
        <w:spacing w:before="7"/>
        <w:ind w:left="0" w:firstLine="0"/>
        <w:jc w:val="left"/>
        <w:rPr>
          <w:rFonts w:ascii="Microsoft Yi Baiti"/>
          <w:sz w:val="18"/>
        </w:rPr>
      </w:pPr>
    </w:p>
    <w:p>
      <w:pPr>
        <w:spacing w:after="0"/>
        <w:jc w:val="left"/>
        <w:rPr>
          <w:rFonts w:ascii="Microsoft Yi Baiti"/>
          <w:sz w:val="18"/>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2" w:lineRule="auto"/>
        <w:ind w:right="39"/>
        <w:rPr>
          <w:rFonts w:hint="eastAsia" w:ascii="MS UI Gothic" w:eastAsia="MS UI Gothic"/>
        </w:rPr>
      </w:pPr>
      <w:r>
        <w:t>第一条  为了加强特种设备安全工作</w:t>
      </w:r>
      <w:r>
        <w:rPr>
          <w:rFonts w:hint="eastAsia" w:ascii="MS UI Gothic" w:eastAsia="MS UI Gothic"/>
          <w:w w:val="80"/>
        </w:rPr>
        <w:t xml:space="preserve">ꎬ </w:t>
      </w:r>
      <w:r>
        <w:t>预防特种设备事故</w:t>
      </w:r>
      <w:r>
        <w:rPr>
          <w:rFonts w:hint="eastAsia" w:ascii="MS UI Gothic" w:eastAsia="MS UI Gothic"/>
          <w:w w:val="80"/>
        </w:rPr>
        <w:t xml:space="preserve">ꎬ </w:t>
      </w:r>
      <w:r>
        <w:t>保障人身和财产安全</w:t>
      </w:r>
      <w:r>
        <w:rPr>
          <w:rFonts w:hint="eastAsia" w:ascii="MS UI Gothic" w:eastAsia="MS UI Gothic"/>
          <w:w w:val="80"/>
        </w:rPr>
        <w:t xml:space="preserve">ꎬ </w:t>
      </w:r>
      <w:r>
        <w:t>促进经济社会发展</w:t>
      </w:r>
      <w:r>
        <w:rPr>
          <w:rFonts w:hint="eastAsia" w:ascii="MS UI Gothic" w:eastAsia="MS UI Gothic"/>
          <w:w w:val="80"/>
        </w:rPr>
        <w:t xml:space="preserve">ꎬ </w:t>
      </w:r>
      <w:r>
        <w:t>制定本法</w:t>
      </w:r>
      <w:r>
        <w:rPr>
          <w:rFonts w:hint="eastAsia" w:ascii="MS UI Gothic" w:eastAsia="MS UI Gothic"/>
          <w:w w:val="80"/>
        </w:rPr>
        <w:t>ꎮ</w:t>
      </w:r>
    </w:p>
    <w:p>
      <w:pPr>
        <w:pStyle w:val="6"/>
        <w:spacing w:line="292" w:lineRule="auto"/>
        <w:ind w:right="38"/>
        <w:rPr>
          <w:rFonts w:hint="eastAsia" w:ascii="MS UI Gothic" w:eastAsia="MS UI Gothic"/>
        </w:rPr>
      </w:pPr>
      <w:r>
        <w:t xml:space="preserve">第二条  特种设备的生产 </w:t>
      </w:r>
      <w:r>
        <w:rPr>
          <w:rFonts w:hint="eastAsia" w:ascii="MS UI Gothic" w:eastAsia="MS UI Gothic"/>
          <w:w w:val="150"/>
        </w:rPr>
        <w:t xml:space="preserve">( </w:t>
      </w:r>
      <w:r>
        <w:t>包括设计</w:t>
      </w:r>
      <w:r>
        <w:rPr>
          <w:rFonts w:hint="eastAsia" w:ascii="MS UI Gothic" w:eastAsia="MS UI Gothic"/>
          <w:w w:val="80"/>
        </w:rPr>
        <w:t xml:space="preserve">、 </w:t>
      </w:r>
      <w:r>
        <w:t>制造</w:t>
      </w:r>
      <w:r>
        <w:rPr>
          <w:rFonts w:hint="eastAsia" w:ascii="MS UI Gothic" w:eastAsia="MS UI Gothic"/>
          <w:w w:val="80"/>
        </w:rPr>
        <w:t xml:space="preserve">、 </w:t>
      </w:r>
      <w:r>
        <w:t>安装</w:t>
      </w:r>
      <w:r>
        <w:rPr>
          <w:rFonts w:hint="eastAsia" w:ascii="MS UI Gothic" w:eastAsia="MS UI Gothic"/>
          <w:w w:val="80"/>
        </w:rPr>
        <w:t xml:space="preserve">、 </w:t>
      </w:r>
      <w:r>
        <w:t>改造</w:t>
      </w:r>
      <w:r>
        <w:rPr>
          <w:rFonts w:hint="eastAsia" w:ascii="MS UI Gothic" w:eastAsia="MS UI Gothic"/>
          <w:w w:val="80"/>
        </w:rPr>
        <w:t xml:space="preserve">、  </w:t>
      </w:r>
      <w:r>
        <w:t>修理</w:t>
      </w:r>
      <w:r>
        <w:rPr>
          <w:rFonts w:hint="eastAsia" w:ascii="MS UI Gothic" w:eastAsia="MS UI Gothic"/>
          <w:w w:val="150"/>
        </w:rPr>
        <w:t>)</w:t>
      </w:r>
      <w:r>
        <w:rPr>
          <w:rFonts w:hint="eastAsia" w:ascii="MS UI Gothic" w:eastAsia="MS UI Gothic"/>
          <w:w w:val="80"/>
        </w:rPr>
        <w:t xml:space="preserve">、  </w:t>
      </w:r>
      <w:r>
        <w:t>经营</w:t>
      </w:r>
      <w:r>
        <w:rPr>
          <w:rFonts w:hint="eastAsia" w:ascii="MS UI Gothic" w:eastAsia="MS UI Gothic"/>
          <w:w w:val="80"/>
        </w:rPr>
        <w:t>、</w:t>
      </w:r>
      <w:r>
        <w:t>使用</w:t>
      </w:r>
      <w:r>
        <w:rPr>
          <w:rFonts w:hint="eastAsia" w:ascii="MS UI Gothic" w:eastAsia="MS UI Gothic"/>
          <w:w w:val="80"/>
        </w:rPr>
        <w:t xml:space="preserve">、 </w:t>
      </w:r>
      <w:r>
        <w:t>检验</w:t>
      </w:r>
      <w:r>
        <w:rPr>
          <w:rFonts w:hint="eastAsia" w:ascii="MS UI Gothic" w:eastAsia="MS UI Gothic"/>
          <w:w w:val="80"/>
        </w:rPr>
        <w:t xml:space="preserve">、 </w:t>
      </w:r>
      <w:r>
        <w:t>检测和特种设备安全的监督管理</w:t>
      </w:r>
      <w:r>
        <w:rPr>
          <w:rFonts w:hint="eastAsia" w:ascii="MS UI Gothic" w:eastAsia="MS UI Gothic"/>
          <w:w w:val="80"/>
        </w:rPr>
        <w:t xml:space="preserve">ꎬ </w:t>
      </w:r>
      <w:r>
        <w:t>适用本法</w:t>
      </w:r>
      <w:r>
        <w:rPr>
          <w:rFonts w:hint="eastAsia" w:ascii="MS UI Gothic" w:eastAsia="MS UI Gothic"/>
          <w:w w:val="80"/>
        </w:rPr>
        <w:t>ꎮ</w:t>
      </w:r>
    </w:p>
    <w:p>
      <w:pPr>
        <w:pStyle w:val="6"/>
        <w:spacing w:line="292" w:lineRule="auto"/>
        <w:ind w:right="38"/>
        <w:rPr>
          <w:rFonts w:hint="eastAsia" w:ascii="MS UI Gothic" w:eastAsia="MS UI Gothic"/>
        </w:rPr>
      </w:pPr>
      <w:r>
        <w:t>本法所称特种设备</w:t>
      </w:r>
      <w:r>
        <w:rPr>
          <w:rFonts w:hint="eastAsia" w:ascii="MS UI Gothic" w:eastAsia="MS UI Gothic"/>
          <w:w w:val="80"/>
        </w:rPr>
        <w:t xml:space="preserve">ꎬ </w:t>
      </w:r>
      <w:r>
        <w:t>是指对人身和财</w:t>
      </w:r>
      <w:r>
        <w:rPr>
          <w:w w:val="105"/>
        </w:rPr>
        <w:t>产安全有较大危险性的锅炉</w:t>
      </w:r>
      <w:r>
        <w:rPr>
          <w:rFonts w:hint="eastAsia" w:ascii="MS UI Gothic" w:eastAsia="MS UI Gothic"/>
          <w:w w:val="80"/>
        </w:rPr>
        <w:t xml:space="preserve">、 </w:t>
      </w:r>
      <w:r>
        <w:rPr>
          <w:w w:val="105"/>
        </w:rPr>
        <w:t>压力容器</w:t>
      </w:r>
      <w:r>
        <w:rPr>
          <w:rFonts w:hint="eastAsia" w:ascii="MS UI Gothic" w:eastAsia="MS UI Gothic"/>
          <w:w w:val="150"/>
        </w:rPr>
        <w:t xml:space="preserve">( </w:t>
      </w:r>
      <w:r>
        <w:rPr>
          <w:w w:val="105"/>
        </w:rPr>
        <w:t>含气瓶</w:t>
      </w:r>
      <w:r>
        <w:rPr>
          <w:rFonts w:hint="eastAsia" w:ascii="MS UI Gothic" w:eastAsia="MS UI Gothic"/>
          <w:w w:val="150"/>
        </w:rPr>
        <w:t>)</w:t>
      </w:r>
      <w:r>
        <w:rPr>
          <w:rFonts w:hint="eastAsia" w:ascii="MS UI Gothic" w:eastAsia="MS UI Gothic"/>
          <w:w w:val="80"/>
        </w:rPr>
        <w:t xml:space="preserve">、 </w:t>
      </w:r>
      <w:r>
        <w:rPr>
          <w:w w:val="105"/>
        </w:rPr>
        <w:t>压力管道</w:t>
      </w:r>
      <w:r>
        <w:rPr>
          <w:rFonts w:hint="eastAsia" w:ascii="MS UI Gothic" w:eastAsia="MS UI Gothic"/>
          <w:w w:val="80"/>
        </w:rPr>
        <w:t xml:space="preserve">、 </w:t>
      </w:r>
      <w:r>
        <w:rPr>
          <w:w w:val="105"/>
        </w:rPr>
        <w:t>电梯</w:t>
      </w:r>
      <w:r>
        <w:rPr>
          <w:rFonts w:hint="eastAsia" w:ascii="MS UI Gothic" w:eastAsia="MS UI Gothic"/>
          <w:w w:val="80"/>
        </w:rPr>
        <w:t xml:space="preserve">、 </w:t>
      </w:r>
      <w:r>
        <w:rPr>
          <w:w w:val="105"/>
        </w:rPr>
        <w:t>起重机械</w:t>
      </w:r>
      <w:r>
        <w:rPr>
          <w:rFonts w:hint="eastAsia" w:ascii="MS UI Gothic" w:eastAsia="MS UI Gothic"/>
          <w:w w:val="80"/>
        </w:rPr>
        <w:t>、</w:t>
      </w:r>
      <w:r>
        <w:rPr>
          <w:w w:val="105"/>
        </w:rPr>
        <w:t>客运索道</w:t>
      </w:r>
      <w:r>
        <w:rPr>
          <w:rFonts w:hint="eastAsia" w:ascii="MS UI Gothic" w:eastAsia="MS UI Gothic"/>
          <w:w w:val="80"/>
        </w:rPr>
        <w:t xml:space="preserve">、 </w:t>
      </w:r>
      <w:r>
        <w:rPr>
          <w:w w:val="105"/>
        </w:rPr>
        <w:t>大型游乐设施</w:t>
      </w:r>
      <w:r>
        <w:rPr>
          <w:rFonts w:hint="eastAsia" w:ascii="MS UI Gothic" w:eastAsia="MS UI Gothic"/>
          <w:w w:val="80"/>
        </w:rPr>
        <w:t xml:space="preserve">、 </w:t>
      </w:r>
      <w:r>
        <w:rPr>
          <w:w w:val="105"/>
        </w:rPr>
        <w:t xml:space="preserve">场 </w:t>
      </w:r>
      <w:r>
        <w:rPr>
          <w:rFonts w:hint="eastAsia" w:ascii="MS UI Gothic" w:eastAsia="MS UI Gothic"/>
          <w:w w:val="150"/>
        </w:rPr>
        <w:t xml:space="preserve">( </w:t>
      </w:r>
      <w:r>
        <w:rPr>
          <w:w w:val="105"/>
        </w:rPr>
        <w:t>厂</w:t>
      </w:r>
      <w:r>
        <w:rPr>
          <w:rFonts w:hint="eastAsia" w:ascii="MS UI Gothic" w:eastAsia="MS UI Gothic"/>
          <w:w w:val="150"/>
        </w:rPr>
        <w:t xml:space="preserve">) </w:t>
      </w:r>
      <w:r>
        <w:rPr>
          <w:w w:val="105"/>
        </w:rPr>
        <w:t>内专用机动车辆</w:t>
      </w:r>
      <w:r>
        <w:rPr>
          <w:rFonts w:hint="eastAsia" w:ascii="MS UI Gothic" w:eastAsia="MS UI Gothic"/>
          <w:w w:val="80"/>
        </w:rPr>
        <w:t xml:space="preserve">ꎬ </w:t>
      </w:r>
      <w:r>
        <w:rPr>
          <w:w w:val="105"/>
        </w:rPr>
        <w:t>以及法律</w:t>
      </w:r>
      <w:r>
        <w:rPr>
          <w:rFonts w:hint="eastAsia" w:ascii="MS UI Gothic" w:eastAsia="MS UI Gothic"/>
          <w:w w:val="80"/>
        </w:rPr>
        <w:t xml:space="preserve">、 </w:t>
      </w:r>
      <w:r>
        <w:rPr>
          <w:w w:val="105"/>
        </w:rPr>
        <w:t>行政法规规定适用本法的其他特种设备</w:t>
      </w:r>
      <w:r>
        <w:rPr>
          <w:rFonts w:hint="eastAsia" w:ascii="MS UI Gothic" w:eastAsia="MS UI Gothic"/>
          <w:w w:val="80"/>
        </w:rPr>
        <w:t>ꎮ</w:t>
      </w:r>
    </w:p>
    <w:p>
      <w:pPr>
        <w:pStyle w:val="6"/>
        <w:spacing w:line="292" w:lineRule="auto"/>
        <w:ind w:right="39"/>
        <w:rPr>
          <w:rFonts w:hint="eastAsia" w:ascii="MS UI Gothic" w:eastAsia="MS UI Gothic"/>
        </w:rPr>
      </w:pPr>
      <w:r>
        <w:t>国家对特种设备实行目录管理</w:t>
      </w:r>
      <w:r>
        <w:rPr>
          <w:rFonts w:hint="eastAsia" w:ascii="MS UI Gothic" w:eastAsia="MS UI Gothic"/>
          <w:w w:val="80"/>
        </w:rPr>
        <w:t xml:space="preserve">ꎮ </w:t>
      </w:r>
      <w:r>
        <w:t>特种设备目录由国务院负责特种设备安全监督管理的部门制定</w:t>
      </w:r>
      <w:r>
        <w:rPr>
          <w:rFonts w:hint="eastAsia" w:ascii="MS UI Gothic" w:eastAsia="MS UI Gothic"/>
          <w:w w:val="80"/>
        </w:rPr>
        <w:t xml:space="preserve">ꎬ </w:t>
      </w:r>
      <w:r>
        <w:t>报国务院批准后执行</w:t>
      </w:r>
      <w:r>
        <w:rPr>
          <w:rFonts w:hint="eastAsia" w:ascii="MS UI Gothic" w:eastAsia="MS UI Gothic"/>
          <w:w w:val="80"/>
        </w:rPr>
        <w:t>ꎮ</w:t>
      </w:r>
    </w:p>
    <w:p>
      <w:pPr>
        <w:pStyle w:val="6"/>
        <w:spacing w:line="292" w:lineRule="auto"/>
        <w:ind w:right="39"/>
        <w:rPr>
          <w:rFonts w:hint="eastAsia" w:ascii="MS UI Gothic" w:eastAsia="MS UI Gothic"/>
        </w:rPr>
      </w:pPr>
      <w:r>
        <w:t>第三条 特种设备安全工作应当坚持安全第一</w:t>
      </w:r>
      <w:r>
        <w:rPr>
          <w:rFonts w:hint="eastAsia" w:ascii="MS UI Gothic" w:eastAsia="MS UI Gothic"/>
          <w:w w:val="80"/>
        </w:rPr>
        <w:t xml:space="preserve">、 </w:t>
      </w:r>
      <w:r>
        <w:t>预防为主</w:t>
      </w:r>
      <w:r>
        <w:rPr>
          <w:rFonts w:hint="eastAsia" w:ascii="MS UI Gothic" w:eastAsia="MS UI Gothic"/>
          <w:w w:val="80"/>
        </w:rPr>
        <w:t xml:space="preserve">、 </w:t>
      </w:r>
      <w:r>
        <w:t>节能环保</w:t>
      </w:r>
      <w:r>
        <w:rPr>
          <w:rFonts w:hint="eastAsia" w:ascii="MS UI Gothic" w:eastAsia="MS UI Gothic"/>
          <w:w w:val="80"/>
        </w:rPr>
        <w:t xml:space="preserve">、 </w:t>
      </w:r>
      <w:r>
        <w:t>综合治理的原则</w:t>
      </w:r>
      <w:r>
        <w:rPr>
          <w:rFonts w:hint="eastAsia" w:ascii="MS UI Gothic" w:eastAsia="MS UI Gothic"/>
          <w:w w:val="80"/>
        </w:rPr>
        <w:t>ꎮ</w:t>
      </w:r>
    </w:p>
    <w:p>
      <w:pPr>
        <w:pStyle w:val="6"/>
        <w:spacing w:line="292" w:lineRule="auto"/>
        <w:ind w:right="39"/>
        <w:rPr>
          <w:rFonts w:hint="eastAsia" w:ascii="MS UI Gothic" w:eastAsia="MS UI Gothic"/>
        </w:rPr>
      </w:pPr>
      <w:r>
        <w:t>第四条 国家对特种设备的生产</w:t>
      </w:r>
      <w:r>
        <w:rPr>
          <w:rFonts w:hint="eastAsia" w:ascii="MS UI Gothic" w:eastAsia="MS UI Gothic"/>
          <w:w w:val="80"/>
        </w:rPr>
        <w:t xml:space="preserve">、 </w:t>
      </w:r>
      <w:r>
        <w:t>经营</w:t>
      </w:r>
      <w:r>
        <w:rPr>
          <w:rFonts w:hint="eastAsia" w:ascii="MS UI Gothic" w:eastAsia="MS UI Gothic"/>
          <w:w w:val="80"/>
        </w:rPr>
        <w:t xml:space="preserve">、 </w:t>
      </w:r>
      <w:r>
        <w:t>使用</w:t>
      </w:r>
      <w:r>
        <w:rPr>
          <w:rFonts w:hint="eastAsia" w:ascii="MS UI Gothic" w:eastAsia="MS UI Gothic"/>
          <w:w w:val="80"/>
        </w:rPr>
        <w:t xml:space="preserve">ꎬ </w:t>
      </w:r>
      <w:r>
        <w:t>实施分类的</w:t>
      </w:r>
      <w:r>
        <w:rPr>
          <w:rFonts w:hint="eastAsia" w:ascii="MS UI Gothic" w:eastAsia="MS UI Gothic"/>
          <w:w w:val="80"/>
        </w:rPr>
        <w:t xml:space="preserve">、 </w:t>
      </w:r>
      <w:r>
        <w:t>全过程的安全监督管理</w:t>
      </w:r>
      <w:r>
        <w:rPr>
          <w:rFonts w:hint="eastAsia" w:ascii="MS UI Gothic" w:eastAsia="MS UI Gothic"/>
          <w:w w:val="80"/>
        </w:rPr>
        <w:t>ꎮ</w:t>
      </w:r>
    </w:p>
    <w:p>
      <w:pPr>
        <w:pStyle w:val="6"/>
        <w:spacing w:line="292" w:lineRule="auto"/>
        <w:ind w:right="39"/>
        <w:rPr>
          <w:rFonts w:hint="eastAsia" w:ascii="MS UI Gothic" w:eastAsia="MS UI Gothic"/>
        </w:rPr>
      </w:pPr>
      <w:r>
        <w:rPr>
          <w:w w:val="105"/>
        </w:rPr>
        <w:t>第五条 国务院负责特种设备安全监</w:t>
      </w:r>
      <w:r>
        <w:t>督管理的部门对全国特种设备安全实施监督管理</w:t>
      </w:r>
      <w:r>
        <w:rPr>
          <w:rFonts w:hint="eastAsia" w:ascii="MS UI Gothic" w:eastAsia="MS UI Gothic"/>
          <w:w w:val="80"/>
        </w:rPr>
        <w:t xml:space="preserve">ꎮ </w:t>
      </w:r>
      <w:r>
        <w:t>县级以上地方各级人民政府负责特种设备安全监督管理的部门对本行政区</w:t>
      </w:r>
      <w:r>
        <w:rPr>
          <w:w w:val="105"/>
        </w:rPr>
        <w:t>域内特种设备安全实施监督管理</w:t>
      </w:r>
      <w:r>
        <w:rPr>
          <w:rFonts w:hint="eastAsia" w:ascii="MS UI Gothic" w:eastAsia="MS UI Gothic"/>
          <w:w w:val="80"/>
        </w:rPr>
        <w:t>ꎮ</w:t>
      </w:r>
    </w:p>
    <w:p>
      <w:pPr>
        <w:pStyle w:val="6"/>
        <w:spacing w:line="292" w:lineRule="auto"/>
        <w:ind w:right="39"/>
        <w:rPr>
          <w:rFonts w:hint="eastAsia" w:ascii="MS UI Gothic" w:eastAsia="MS UI Gothic"/>
        </w:rPr>
      </w:pPr>
      <w:r>
        <w:rPr>
          <w:w w:val="105"/>
        </w:rPr>
        <w:t>第六条 国务院和地方各级人民政府</w:t>
      </w:r>
      <w:r>
        <w:t>应当加强对特种设备安全工作的领导</w:t>
      </w:r>
      <w:r>
        <w:rPr>
          <w:rFonts w:hint="eastAsia" w:ascii="MS UI Gothic" w:eastAsia="MS UI Gothic"/>
          <w:w w:val="80"/>
        </w:rPr>
        <w:t xml:space="preserve">ꎬ </w:t>
      </w:r>
      <w:r>
        <w:t>督</w:t>
      </w:r>
      <w:r>
        <w:rPr>
          <w:w w:val="105"/>
        </w:rPr>
        <w:t>促各有关部门依法履行监督管理职责</w:t>
      </w:r>
      <w:r>
        <w:rPr>
          <w:rFonts w:hint="eastAsia" w:ascii="MS UI Gothic" w:eastAsia="MS UI Gothic"/>
          <w:w w:val="80"/>
        </w:rPr>
        <w:t>ꎮ</w:t>
      </w:r>
    </w:p>
    <w:p>
      <w:pPr>
        <w:pStyle w:val="6"/>
        <w:spacing w:line="292" w:lineRule="auto"/>
        <w:ind w:right="39"/>
        <w:rPr>
          <w:rFonts w:hint="eastAsia" w:ascii="MS UI Gothic" w:eastAsia="MS UI Gothic"/>
        </w:rPr>
      </w:pPr>
      <w:r>
        <w:t>县级以上地方各级人民政府应当建立协调机制</w:t>
      </w:r>
      <w:r>
        <w:rPr>
          <w:rFonts w:hint="eastAsia" w:ascii="MS UI Gothic" w:eastAsia="MS UI Gothic"/>
          <w:w w:val="80"/>
        </w:rPr>
        <w:t xml:space="preserve">ꎬ </w:t>
      </w:r>
      <w:r>
        <w:t>及时协调</w:t>
      </w:r>
      <w:r>
        <w:rPr>
          <w:rFonts w:hint="eastAsia" w:ascii="MS UI Gothic" w:eastAsia="MS UI Gothic"/>
          <w:w w:val="80"/>
        </w:rPr>
        <w:t xml:space="preserve">、 </w:t>
      </w:r>
      <w:r>
        <w:t>解决特种设备安全监督管理中存在的问题</w:t>
      </w:r>
      <w:r>
        <w:rPr>
          <w:rFonts w:hint="eastAsia" w:ascii="MS UI Gothic" w:eastAsia="MS UI Gothic"/>
          <w:w w:val="80"/>
        </w:rPr>
        <w:t>ꎮ</w:t>
      </w:r>
    </w:p>
    <w:p>
      <w:pPr>
        <w:pStyle w:val="6"/>
        <w:tabs>
          <w:tab w:val="left" w:pos="1382"/>
        </w:tabs>
        <w:spacing w:line="256" w:lineRule="exact"/>
        <w:ind w:left="543" w:firstLine="0"/>
        <w:jc w:val="left"/>
      </w:pPr>
      <w:r>
        <w:rPr>
          <w:spacing w:val="3"/>
        </w:rPr>
        <w:t>第七</w:t>
      </w:r>
      <w:r>
        <w:t>条</w:t>
      </w:r>
      <w:r>
        <w:tab/>
      </w:r>
      <w:r>
        <w:rPr>
          <w:spacing w:val="3"/>
        </w:rPr>
        <w:t>特种设备生产</w:t>
      </w:r>
      <w:r>
        <w:rPr>
          <w:rFonts w:hint="eastAsia" w:ascii="MS UI Gothic" w:eastAsia="MS UI Gothic"/>
        </w:rPr>
        <w:t>、</w:t>
      </w:r>
      <w:r>
        <w:rPr>
          <w:rFonts w:hint="eastAsia" w:ascii="MS UI Gothic" w:eastAsia="MS UI Gothic"/>
          <w:spacing w:val="43"/>
        </w:rPr>
        <w:t xml:space="preserve"> </w:t>
      </w:r>
      <w:r>
        <w:rPr>
          <w:spacing w:val="3"/>
        </w:rPr>
        <w:t>经营</w:t>
      </w:r>
      <w:r>
        <w:rPr>
          <w:rFonts w:hint="eastAsia" w:ascii="MS UI Gothic" w:eastAsia="MS UI Gothic"/>
        </w:rPr>
        <w:t>、</w:t>
      </w:r>
      <w:r>
        <w:rPr>
          <w:rFonts w:hint="eastAsia" w:ascii="MS UI Gothic" w:eastAsia="MS UI Gothic"/>
          <w:spacing w:val="44"/>
        </w:rPr>
        <w:t xml:space="preserve"> </w:t>
      </w:r>
      <w:r>
        <w:rPr>
          <w:spacing w:val="3"/>
        </w:rPr>
        <w:t>使</w:t>
      </w:r>
      <w:r>
        <w:t>用</w:t>
      </w:r>
    </w:p>
    <w:p>
      <w:pPr>
        <w:pStyle w:val="6"/>
        <w:spacing w:before="174" w:line="292" w:lineRule="auto"/>
        <w:ind w:right="442" w:firstLine="0"/>
        <w:rPr>
          <w:rFonts w:hint="eastAsia" w:ascii="MS UI Gothic" w:eastAsia="MS UI Gothic"/>
        </w:rPr>
      </w:pPr>
      <w:r>
        <w:br w:type="column"/>
      </w:r>
      <w:r>
        <w:t>单位应当遵守本法和其他有关法律</w:t>
      </w:r>
      <w:r>
        <w:rPr>
          <w:rFonts w:hint="eastAsia" w:ascii="MS UI Gothic" w:eastAsia="MS UI Gothic"/>
          <w:w w:val="80"/>
        </w:rPr>
        <w:t xml:space="preserve">、 </w:t>
      </w:r>
      <w:r>
        <w:t>法规</w:t>
      </w:r>
      <w:r>
        <w:rPr>
          <w:rFonts w:hint="eastAsia" w:ascii="MS UI Gothic" w:eastAsia="MS UI Gothic"/>
          <w:w w:val="80"/>
        </w:rPr>
        <w:t xml:space="preserve">ꎬ </w:t>
      </w:r>
      <w:r>
        <w:t>建立</w:t>
      </w:r>
      <w:r>
        <w:rPr>
          <w:rFonts w:hint="eastAsia" w:ascii="MS UI Gothic" w:eastAsia="MS UI Gothic"/>
          <w:w w:val="80"/>
        </w:rPr>
        <w:t xml:space="preserve">、 </w:t>
      </w:r>
      <w:r>
        <w:t>健全特种设备安全和节能责任制度</w:t>
      </w:r>
      <w:r>
        <w:rPr>
          <w:rFonts w:hint="eastAsia" w:ascii="MS UI Gothic" w:eastAsia="MS UI Gothic"/>
          <w:w w:val="80"/>
        </w:rPr>
        <w:t xml:space="preserve">ꎬ </w:t>
      </w:r>
      <w:r>
        <w:t>加强特种设备安全和节能管理</w:t>
      </w:r>
      <w:r>
        <w:rPr>
          <w:rFonts w:hint="eastAsia" w:ascii="MS UI Gothic" w:eastAsia="MS UI Gothic"/>
          <w:w w:val="80"/>
        </w:rPr>
        <w:t xml:space="preserve">ꎬ </w:t>
      </w:r>
      <w:r>
        <w:t>确保特种设备生产</w:t>
      </w:r>
      <w:r>
        <w:rPr>
          <w:rFonts w:hint="eastAsia" w:ascii="MS UI Gothic" w:eastAsia="MS UI Gothic"/>
          <w:w w:val="80"/>
        </w:rPr>
        <w:t xml:space="preserve">、 </w:t>
      </w:r>
      <w:r>
        <w:t>经营</w:t>
      </w:r>
      <w:r>
        <w:rPr>
          <w:rFonts w:hint="eastAsia" w:ascii="MS UI Gothic" w:eastAsia="MS UI Gothic"/>
          <w:w w:val="80"/>
        </w:rPr>
        <w:t xml:space="preserve">、 </w:t>
      </w:r>
      <w:r>
        <w:t>使用安全</w:t>
      </w:r>
      <w:r>
        <w:rPr>
          <w:rFonts w:hint="eastAsia" w:ascii="MS UI Gothic" w:eastAsia="MS UI Gothic"/>
          <w:w w:val="80"/>
        </w:rPr>
        <w:t xml:space="preserve">ꎬ </w:t>
      </w:r>
      <w:r>
        <w:t>符合节能要求</w:t>
      </w:r>
      <w:r>
        <w:rPr>
          <w:rFonts w:hint="eastAsia" w:ascii="MS UI Gothic" w:eastAsia="MS UI Gothic"/>
          <w:w w:val="80"/>
        </w:rPr>
        <w:t>ꎮ</w:t>
      </w:r>
    </w:p>
    <w:p>
      <w:pPr>
        <w:pStyle w:val="6"/>
        <w:spacing w:before="2" w:line="292" w:lineRule="auto"/>
        <w:ind w:right="442"/>
        <w:rPr>
          <w:rFonts w:hint="eastAsia" w:ascii="MS UI Gothic" w:eastAsia="MS UI Gothic"/>
        </w:rPr>
      </w:pPr>
      <w:r>
        <w:t>第八条 特种设备生产</w:t>
      </w:r>
      <w:r>
        <w:rPr>
          <w:rFonts w:hint="eastAsia" w:ascii="MS UI Gothic" w:eastAsia="MS UI Gothic"/>
          <w:w w:val="80"/>
        </w:rPr>
        <w:t xml:space="preserve">、 </w:t>
      </w:r>
      <w:r>
        <w:t>经营</w:t>
      </w:r>
      <w:r>
        <w:rPr>
          <w:rFonts w:hint="eastAsia" w:ascii="MS UI Gothic" w:eastAsia="MS UI Gothic"/>
          <w:w w:val="80"/>
        </w:rPr>
        <w:t xml:space="preserve">、  </w:t>
      </w:r>
      <w:r>
        <w:t>使用</w:t>
      </w:r>
      <w:r>
        <w:rPr>
          <w:rFonts w:hint="eastAsia" w:ascii="MS UI Gothic" w:eastAsia="MS UI Gothic"/>
          <w:w w:val="80"/>
        </w:rPr>
        <w:t xml:space="preserve">、 </w:t>
      </w:r>
      <w:r>
        <w:t>检验</w:t>
      </w:r>
      <w:r>
        <w:rPr>
          <w:rFonts w:hint="eastAsia" w:ascii="MS UI Gothic" w:eastAsia="MS UI Gothic"/>
          <w:w w:val="80"/>
        </w:rPr>
        <w:t xml:space="preserve">、 </w:t>
      </w:r>
      <w:r>
        <w:t>检测应当遵守有关特种设备安全技术规范及相关标准</w:t>
      </w:r>
      <w:r>
        <w:rPr>
          <w:rFonts w:hint="eastAsia" w:ascii="MS UI Gothic" w:eastAsia="MS UI Gothic"/>
          <w:w w:val="80"/>
        </w:rPr>
        <w:t>ꎮ</w:t>
      </w:r>
    </w:p>
    <w:p>
      <w:pPr>
        <w:pStyle w:val="6"/>
        <w:spacing w:line="292" w:lineRule="auto"/>
        <w:ind w:right="442"/>
        <w:jc w:val="left"/>
        <w:rPr>
          <w:rFonts w:hint="eastAsia" w:ascii="MS UI Gothic" w:eastAsia="MS UI Gothic"/>
        </w:rPr>
      </w:pPr>
      <w:r>
        <w:t>特种设备安全技术规范由国务院负责</w:t>
      </w:r>
      <w:r>
        <w:rPr>
          <w:w w:val="105"/>
        </w:rPr>
        <w:t>特种设备安全监督管理的部门制定</w:t>
      </w:r>
      <w:r>
        <w:rPr>
          <w:rFonts w:hint="eastAsia" w:ascii="MS UI Gothic" w:eastAsia="MS UI Gothic"/>
          <w:w w:val="80"/>
        </w:rPr>
        <w:t>ꎮ</w:t>
      </w:r>
    </w:p>
    <w:p>
      <w:pPr>
        <w:pStyle w:val="6"/>
        <w:spacing w:line="292" w:lineRule="auto"/>
        <w:ind w:right="442"/>
        <w:rPr>
          <w:rFonts w:hint="eastAsia" w:ascii="MS UI Gothic" w:eastAsia="MS UI Gothic"/>
        </w:rPr>
      </w:pPr>
      <w:r>
        <w:t>第九条 特种设备行业协会应当加强行业自律</w:t>
      </w:r>
      <w:r>
        <w:rPr>
          <w:rFonts w:hint="eastAsia" w:ascii="MS UI Gothic" w:eastAsia="MS UI Gothic"/>
          <w:w w:val="80"/>
        </w:rPr>
        <w:t xml:space="preserve">ꎬ </w:t>
      </w:r>
      <w:r>
        <w:t>推进行业诚信体系建设</w:t>
      </w:r>
      <w:r>
        <w:rPr>
          <w:rFonts w:hint="eastAsia" w:ascii="MS UI Gothic" w:eastAsia="MS UI Gothic"/>
          <w:w w:val="80"/>
        </w:rPr>
        <w:t xml:space="preserve">ꎬ </w:t>
      </w:r>
      <w:r>
        <w:t>提高特种设备安全管理水平</w:t>
      </w:r>
      <w:r>
        <w:rPr>
          <w:rFonts w:hint="eastAsia" w:ascii="MS UI Gothic" w:eastAsia="MS UI Gothic"/>
          <w:w w:val="80"/>
        </w:rPr>
        <w:t>ꎮ</w:t>
      </w:r>
    </w:p>
    <w:p>
      <w:pPr>
        <w:pStyle w:val="6"/>
        <w:spacing w:line="292" w:lineRule="auto"/>
        <w:ind w:right="442"/>
        <w:rPr>
          <w:rFonts w:hint="eastAsia" w:ascii="MS UI Gothic" w:eastAsia="MS UI Gothic"/>
        </w:rPr>
      </w:pPr>
      <w:r>
        <w:rPr>
          <w:w w:val="105"/>
        </w:rPr>
        <w:t>第十条 国家支持有关特种设备安全</w:t>
      </w:r>
      <w:r>
        <w:t>的科学技术研究</w:t>
      </w:r>
      <w:r>
        <w:rPr>
          <w:rFonts w:hint="eastAsia" w:ascii="MS UI Gothic" w:eastAsia="MS UI Gothic"/>
          <w:w w:val="80"/>
        </w:rPr>
        <w:t xml:space="preserve">ꎬ </w:t>
      </w:r>
      <w:r>
        <w:t>鼓励先进技术和先进管理方法的推广应用</w:t>
      </w:r>
      <w:r>
        <w:rPr>
          <w:rFonts w:hint="eastAsia" w:ascii="MS UI Gothic" w:eastAsia="MS UI Gothic"/>
          <w:w w:val="80"/>
        </w:rPr>
        <w:t xml:space="preserve">ꎬ </w:t>
      </w:r>
      <w:r>
        <w:t>对做出突出贡献的单</w:t>
      </w:r>
      <w:r>
        <w:rPr>
          <w:w w:val="105"/>
        </w:rPr>
        <w:t>位和个人给予奖励</w:t>
      </w:r>
      <w:r>
        <w:rPr>
          <w:rFonts w:hint="eastAsia" w:ascii="MS UI Gothic" w:eastAsia="MS UI Gothic"/>
          <w:w w:val="80"/>
        </w:rPr>
        <w:t>ꎮ</w:t>
      </w:r>
    </w:p>
    <w:p>
      <w:pPr>
        <w:pStyle w:val="6"/>
        <w:spacing w:line="292" w:lineRule="auto"/>
        <w:ind w:right="442"/>
        <w:rPr>
          <w:rFonts w:hint="eastAsia" w:ascii="MS UI Gothic" w:eastAsia="MS UI Gothic"/>
        </w:rPr>
      </w:pPr>
      <w:r>
        <w:rPr>
          <w:w w:val="105"/>
        </w:rPr>
        <w:t>第十一条 负责特种设备安全监督管</w:t>
      </w:r>
      <w:r>
        <w:t>理的部门应当加强特种设备安全宣传教育</w:t>
      </w:r>
      <w:r>
        <w:rPr>
          <w:rFonts w:hint="eastAsia" w:ascii="MS UI Gothic" w:eastAsia="MS UI Gothic"/>
          <w:w w:val="80"/>
        </w:rPr>
        <w:t xml:space="preserve">ꎬ </w:t>
      </w:r>
      <w:r>
        <w:t>普及特种设备安全知识</w:t>
      </w:r>
      <w:r>
        <w:rPr>
          <w:rFonts w:hint="eastAsia" w:ascii="MS UI Gothic" w:eastAsia="MS UI Gothic"/>
          <w:w w:val="80"/>
        </w:rPr>
        <w:t xml:space="preserve">ꎬ </w:t>
      </w:r>
      <w:r>
        <w:t>增强社会公</w:t>
      </w:r>
      <w:r>
        <w:rPr>
          <w:w w:val="105"/>
        </w:rPr>
        <w:t>众的特种设备安全意识</w:t>
      </w:r>
      <w:r>
        <w:rPr>
          <w:rFonts w:hint="eastAsia" w:ascii="MS UI Gothic" w:eastAsia="MS UI Gothic"/>
          <w:w w:val="80"/>
        </w:rPr>
        <w:t>ꎮ</w:t>
      </w:r>
    </w:p>
    <w:p>
      <w:pPr>
        <w:pStyle w:val="6"/>
        <w:spacing w:line="292" w:lineRule="auto"/>
        <w:ind w:right="442"/>
        <w:rPr>
          <w:rFonts w:hint="eastAsia" w:ascii="MS UI Gothic" w:eastAsia="MS UI Gothic"/>
        </w:rPr>
      </w:pPr>
      <w:r>
        <w:rPr>
          <w:w w:val="105"/>
        </w:rPr>
        <w:t>第十二条 任何单位和个人有权向负</w:t>
      </w:r>
      <w:r>
        <w:t>责特种设备安全监督管理的部门和有关部门举报涉及特种设备安全的违法行为</w:t>
      </w:r>
      <w:r>
        <w:rPr>
          <w:rFonts w:hint="eastAsia" w:ascii="MS UI Gothic" w:eastAsia="MS UI Gothic"/>
          <w:w w:val="80"/>
        </w:rPr>
        <w:t xml:space="preserve">ꎬ </w:t>
      </w:r>
      <w:r>
        <w:t>接</w:t>
      </w:r>
      <w:r>
        <w:rPr>
          <w:w w:val="105"/>
        </w:rPr>
        <w:t>到举报的部门应当及时处理</w:t>
      </w:r>
      <w:r>
        <w:rPr>
          <w:rFonts w:hint="eastAsia" w:ascii="MS UI Gothic" w:eastAsia="MS UI Gothic"/>
          <w:w w:val="80"/>
        </w:rPr>
        <w:t>ꎮ</w:t>
      </w:r>
    </w:p>
    <w:p>
      <w:pPr>
        <w:pStyle w:val="6"/>
        <w:tabs>
          <w:tab w:val="left" w:pos="838"/>
        </w:tabs>
        <w:spacing w:before="153"/>
        <w:ind w:left="0" w:right="318" w:firstLine="0"/>
        <w:jc w:val="center"/>
      </w:pPr>
      <w:r>
        <w:rPr>
          <w:spacing w:val="3"/>
        </w:rPr>
        <w:t>第二</w:t>
      </w:r>
      <w:r>
        <w:t>章</w:t>
      </w:r>
      <w:r>
        <w:tab/>
      </w:r>
      <w:r>
        <w:rPr>
          <w:spacing w:val="3"/>
        </w:rPr>
        <w:t>生产</w:t>
      </w:r>
      <w:r>
        <w:rPr>
          <w:rFonts w:hint="eastAsia" w:ascii="Microsoft Yi Baiti" w:eastAsia="Microsoft Yi Baiti"/>
        </w:rPr>
        <w:t>、</w:t>
      </w:r>
      <w:r>
        <w:rPr>
          <w:rFonts w:hint="eastAsia" w:ascii="Microsoft Yi Baiti" w:eastAsia="Microsoft Yi Baiti"/>
          <w:spacing w:val="14"/>
        </w:rPr>
        <w:t xml:space="preserve"> </w:t>
      </w:r>
      <w:r>
        <w:rPr>
          <w:spacing w:val="3"/>
        </w:rPr>
        <w:t>经营</w:t>
      </w:r>
      <w:r>
        <w:rPr>
          <w:rFonts w:hint="eastAsia" w:ascii="Microsoft Yi Baiti" w:eastAsia="Microsoft Yi Baiti"/>
        </w:rPr>
        <w:t>、</w:t>
      </w:r>
      <w:r>
        <w:rPr>
          <w:rFonts w:hint="eastAsia" w:ascii="Microsoft Yi Baiti" w:eastAsia="Microsoft Yi Baiti"/>
          <w:spacing w:val="14"/>
        </w:rPr>
        <w:t xml:space="preserve"> </w:t>
      </w:r>
      <w:r>
        <w:rPr>
          <w:spacing w:val="3"/>
        </w:rPr>
        <w:t>使</w:t>
      </w:r>
      <w:r>
        <w:t>用</w:t>
      </w:r>
    </w:p>
    <w:p>
      <w:pPr>
        <w:pStyle w:val="6"/>
        <w:spacing w:before="6"/>
        <w:ind w:left="0" w:firstLine="0"/>
        <w:jc w:val="left"/>
        <w:rPr>
          <w:sz w:val="28"/>
        </w:rPr>
      </w:pPr>
    </w:p>
    <w:p>
      <w:pPr>
        <w:pStyle w:val="6"/>
        <w:tabs>
          <w:tab w:val="left" w:pos="838"/>
        </w:tabs>
        <w:ind w:left="0" w:right="318" w:firstLine="0"/>
        <w:jc w:val="center"/>
      </w:pPr>
      <w:r>
        <w:rPr>
          <w:spacing w:val="3"/>
          <w:w w:val="105"/>
        </w:rPr>
        <w:t>第一</w:t>
      </w:r>
      <w:r>
        <w:rPr>
          <w:w w:val="105"/>
        </w:rPr>
        <w:t>节</w:t>
      </w:r>
      <w:r>
        <w:rPr>
          <w:w w:val="105"/>
        </w:rPr>
        <w:tab/>
      </w:r>
      <w:r>
        <w:rPr>
          <w:w w:val="105"/>
        </w:rPr>
        <w:t>一</w:t>
      </w:r>
      <w:r>
        <w:rPr>
          <w:spacing w:val="-33"/>
          <w:w w:val="105"/>
        </w:rPr>
        <w:t xml:space="preserve"> </w:t>
      </w:r>
      <w:r>
        <w:rPr>
          <w:w w:val="105"/>
        </w:rPr>
        <w:t>般</w:t>
      </w:r>
      <w:r>
        <w:rPr>
          <w:spacing w:val="-33"/>
          <w:w w:val="105"/>
        </w:rPr>
        <w:t xml:space="preserve"> </w:t>
      </w:r>
      <w:r>
        <w:rPr>
          <w:w w:val="105"/>
        </w:rPr>
        <w:t>规</w:t>
      </w:r>
      <w:r>
        <w:rPr>
          <w:spacing w:val="-33"/>
          <w:w w:val="105"/>
        </w:rPr>
        <w:t xml:space="preserve"> </w:t>
      </w:r>
      <w:r>
        <w:rPr>
          <w:w w:val="105"/>
        </w:rPr>
        <w:t>定</w:t>
      </w:r>
    </w:p>
    <w:p>
      <w:pPr>
        <w:pStyle w:val="6"/>
        <w:spacing w:before="10"/>
        <w:ind w:left="0" w:firstLine="0"/>
        <w:jc w:val="left"/>
        <w:rPr>
          <w:sz w:val="16"/>
        </w:rPr>
      </w:pPr>
    </w:p>
    <w:p>
      <w:pPr>
        <w:pStyle w:val="6"/>
        <w:spacing w:before="1" w:line="290" w:lineRule="auto"/>
        <w:ind w:right="440"/>
        <w:rPr>
          <w:rFonts w:hint="eastAsia" w:ascii="MS UI Gothic" w:eastAsia="MS UI Gothic"/>
        </w:rPr>
      </w:pPr>
      <w:r>
        <w:t>第十三条 特种设备生产</w:t>
      </w:r>
      <w:r>
        <w:rPr>
          <w:rFonts w:hint="eastAsia" w:ascii="MS UI Gothic" w:eastAsia="MS UI Gothic"/>
          <w:w w:val="80"/>
        </w:rPr>
        <w:t xml:space="preserve">、 </w:t>
      </w:r>
      <w:r>
        <w:t>经营</w:t>
      </w:r>
      <w:r>
        <w:rPr>
          <w:rFonts w:hint="eastAsia" w:ascii="MS UI Gothic" w:eastAsia="MS UI Gothic"/>
          <w:w w:val="80"/>
        </w:rPr>
        <w:t xml:space="preserve">、  </w:t>
      </w:r>
      <w:r>
        <w:t>使用单位及其主要负责人对其生产</w:t>
      </w:r>
      <w:r>
        <w:rPr>
          <w:rFonts w:hint="eastAsia" w:ascii="MS UI Gothic" w:eastAsia="MS UI Gothic"/>
          <w:w w:val="80"/>
        </w:rPr>
        <w:t xml:space="preserve">、 </w:t>
      </w:r>
      <w:r>
        <w:t>经营</w:t>
      </w:r>
      <w:r>
        <w:rPr>
          <w:rFonts w:hint="eastAsia" w:ascii="MS UI Gothic" w:eastAsia="MS UI Gothic"/>
          <w:w w:val="80"/>
        </w:rPr>
        <w:t>、</w:t>
      </w:r>
      <w:r>
        <w:t>使用的特种设备安全负责</w:t>
      </w:r>
      <w:r>
        <w:rPr>
          <w:rFonts w:hint="eastAsia" w:ascii="MS UI Gothic" w:eastAsia="MS UI Gothic"/>
          <w:w w:val="80"/>
        </w:rPr>
        <w:t>ꎮ</w:t>
      </w:r>
    </w:p>
    <w:p>
      <w:pPr>
        <w:pStyle w:val="6"/>
        <w:spacing w:before="5" w:line="292" w:lineRule="auto"/>
        <w:ind w:right="442"/>
        <w:rPr>
          <w:rFonts w:hint="eastAsia" w:ascii="MS UI Gothic" w:eastAsia="MS UI Gothic"/>
        </w:rPr>
      </w:pPr>
      <w:r>
        <w:t>特种设备生产</w:t>
      </w:r>
      <w:r>
        <w:rPr>
          <w:rFonts w:hint="eastAsia" w:ascii="MS UI Gothic" w:eastAsia="MS UI Gothic"/>
          <w:w w:val="80"/>
        </w:rPr>
        <w:t xml:space="preserve">、 </w:t>
      </w:r>
      <w:r>
        <w:t>经营</w:t>
      </w:r>
      <w:r>
        <w:rPr>
          <w:rFonts w:hint="eastAsia" w:ascii="MS UI Gothic" w:eastAsia="MS UI Gothic"/>
          <w:w w:val="80"/>
        </w:rPr>
        <w:t xml:space="preserve">、 </w:t>
      </w:r>
      <w:r>
        <w:t>使用单位应当按照国家有关规定配备特种设备安全管理人员</w:t>
      </w:r>
      <w:r>
        <w:rPr>
          <w:rFonts w:hint="eastAsia" w:ascii="MS UI Gothic" w:eastAsia="MS UI Gothic"/>
          <w:w w:val="80"/>
        </w:rPr>
        <w:t xml:space="preserve">、 </w:t>
      </w:r>
      <w:r>
        <w:t>检测人员和作业人员</w:t>
      </w:r>
      <w:r>
        <w:rPr>
          <w:rFonts w:hint="eastAsia" w:ascii="MS UI Gothic" w:eastAsia="MS UI Gothic"/>
          <w:w w:val="80"/>
        </w:rPr>
        <w:t xml:space="preserve">ꎬ </w:t>
      </w:r>
      <w:r>
        <w:t>并对其进行必要的安全教育和技能培训</w:t>
      </w:r>
      <w:r>
        <w:rPr>
          <w:rFonts w:hint="eastAsia" w:ascii="MS UI Gothic" w:eastAsia="MS UI Gothic"/>
          <w:w w:val="80"/>
        </w:rPr>
        <w:t>ꎮ</w:t>
      </w:r>
    </w:p>
    <w:p>
      <w:pPr>
        <w:spacing w:after="0" w:line="292"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４５７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72" o:spid="_x0000_s2372" o:spt="203" style="height:2.15pt;width:398.25pt;" coordsize="7965,43">
            <o:lock v:ext="edit"/>
            <v:line id="_x0000_s2373" o:spid="_x0000_s2373" o:spt="20" style="position:absolute;left:0;top:39;height:0;width:7965;" stroked="t" coordsize="21600,21600">
              <v:path arrowok="t"/>
              <v:fill focussize="0,0"/>
              <v:stroke weight="0.388031496062992pt" color="#231F20"/>
              <v:imagedata o:title=""/>
              <o:lock v:ext="edit"/>
            </v:line>
            <v:line id="_x0000_s2374" o:spid="_x0000_s237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Pr>
          <w:rFonts w:hint="eastAsia" w:ascii="MS UI Gothic" w:eastAsia="MS UI Gothic"/>
        </w:rPr>
      </w:pPr>
      <w:r>
        <w:t>第十四条  特种设备安全管理人员</w:t>
      </w:r>
      <w:r>
        <w:rPr>
          <w:rFonts w:hint="eastAsia" w:ascii="MS UI Gothic" w:eastAsia="MS UI Gothic"/>
          <w:w w:val="80"/>
        </w:rPr>
        <w:t>、</w:t>
      </w:r>
      <w:r>
        <w:t>检测人员和作业人员应当按照国家有关规定取得相应资格</w:t>
      </w:r>
      <w:r>
        <w:rPr>
          <w:rFonts w:hint="eastAsia" w:ascii="MS UI Gothic" w:eastAsia="MS UI Gothic"/>
          <w:w w:val="80"/>
        </w:rPr>
        <w:t xml:space="preserve">ꎬ </w:t>
      </w:r>
      <w:r>
        <w:t>方可从事相关工作</w:t>
      </w:r>
      <w:r>
        <w:rPr>
          <w:rFonts w:hint="eastAsia" w:ascii="MS UI Gothic" w:eastAsia="MS UI Gothic"/>
          <w:w w:val="80"/>
        </w:rPr>
        <w:t xml:space="preserve">ꎮ </w:t>
      </w:r>
      <w:r>
        <w:t>特种设备安全管理人员</w:t>
      </w:r>
      <w:r>
        <w:rPr>
          <w:rFonts w:hint="eastAsia" w:ascii="MS UI Gothic" w:eastAsia="MS UI Gothic"/>
          <w:w w:val="80"/>
        </w:rPr>
        <w:t xml:space="preserve">、 </w:t>
      </w:r>
      <w:r>
        <w:t>检测人员和作业人员应当严格执行安全技术规范和管理制度</w:t>
      </w:r>
      <w:r>
        <w:rPr>
          <w:rFonts w:hint="eastAsia" w:ascii="MS UI Gothic" w:eastAsia="MS UI Gothic"/>
          <w:w w:val="80"/>
        </w:rPr>
        <w:t xml:space="preserve">ꎬ </w:t>
      </w:r>
      <w:r>
        <w:t>保证特种设备安全</w:t>
      </w:r>
      <w:r>
        <w:rPr>
          <w:rFonts w:hint="eastAsia" w:ascii="MS UI Gothic" w:eastAsia="MS UI Gothic"/>
          <w:w w:val="80"/>
        </w:rPr>
        <w:t>ꎮ</w:t>
      </w:r>
    </w:p>
    <w:p>
      <w:pPr>
        <w:pStyle w:val="6"/>
        <w:spacing w:line="295" w:lineRule="auto"/>
        <w:ind w:left="440" w:right="1"/>
        <w:rPr>
          <w:rFonts w:hint="eastAsia" w:ascii="MS UI Gothic" w:eastAsia="MS UI Gothic"/>
        </w:rPr>
      </w:pPr>
      <w:r>
        <w:t>第十五条 特种设备生产</w:t>
      </w:r>
      <w:r>
        <w:rPr>
          <w:rFonts w:hint="eastAsia" w:ascii="MS UI Gothic" w:eastAsia="MS UI Gothic"/>
          <w:w w:val="80"/>
        </w:rPr>
        <w:t xml:space="preserve">、 </w:t>
      </w:r>
      <w:r>
        <w:t>经营</w:t>
      </w:r>
      <w:r>
        <w:rPr>
          <w:rFonts w:hint="eastAsia" w:ascii="MS UI Gothic" w:eastAsia="MS UI Gothic"/>
          <w:w w:val="80"/>
        </w:rPr>
        <w:t xml:space="preserve">、  </w:t>
      </w:r>
      <w:r>
        <w:t>使用单位对其生产</w:t>
      </w:r>
      <w:r>
        <w:rPr>
          <w:rFonts w:hint="eastAsia" w:ascii="MS UI Gothic" w:eastAsia="MS UI Gothic"/>
          <w:w w:val="80"/>
        </w:rPr>
        <w:t xml:space="preserve">、 </w:t>
      </w:r>
      <w:r>
        <w:t>经营</w:t>
      </w:r>
      <w:r>
        <w:rPr>
          <w:rFonts w:hint="eastAsia" w:ascii="MS UI Gothic" w:eastAsia="MS UI Gothic"/>
          <w:w w:val="80"/>
        </w:rPr>
        <w:t xml:space="preserve">、 </w:t>
      </w:r>
      <w:r>
        <w:t>使用的特种设备应当进行自行检测和维护保养</w:t>
      </w:r>
      <w:r>
        <w:rPr>
          <w:rFonts w:hint="eastAsia" w:ascii="MS UI Gothic" w:eastAsia="MS UI Gothic"/>
          <w:w w:val="80"/>
        </w:rPr>
        <w:t xml:space="preserve">ꎬ </w:t>
      </w:r>
      <w:r>
        <w:t>对国家规定实行检验的特种设备应当及时申报并接受检验</w:t>
      </w:r>
      <w:r>
        <w:rPr>
          <w:rFonts w:hint="eastAsia" w:ascii="MS UI Gothic" w:eastAsia="MS UI Gothic"/>
          <w:w w:val="80"/>
        </w:rPr>
        <w:t>ꎮ</w:t>
      </w:r>
    </w:p>
    <w:p>
      <w:pPr>
        <w:pStyle w:val="6"/>
        <w:spacing w:line="295" w:lineRule="auto"/>
        <w:ind w:left="440"/>
        <w:rPr>
          <w:rFonts w:hint="eastAsia" w:ascii="MS UI Gothic" w:eastAsia="MS UI Gothic"/>
        </w:rPr>
      </w:pPr>
      <w:r>
        <w:t>第十六条 特种设备采用新材料</w:t>
      </w:r>
      <w:r>
        <w:rPr>
          <w:rFonts w:hint="eastAsia" w:ascii="MS UI Gothic" w:eastAsia="MS UI Gothic"/>
          <w:w w:val="80"/>
        </w:rPr>
        <w:t xml:space="preserve">、 </w:t>
      </w:r>
      <w:r>
        <w:t>新技术</w:t>
      </w:r>
      <w:r>
        <w:rPr>
          <w:rFonts w:hint="eastAsia" w:ascii="MS UI Gothic" w:eastAsia="MS UI Gothic"/>
          <w:w w:val="80"/>
        </w:rPr>
        <w:t xml:space="preserve">、 </w:t>
      </w:r>
      <w:r>
        <w:t>新工艺</w:t>
      </w:r>
      <w:r>
        <w:rPr>
          <w:rFonts w:hint="eastAsia" w:ascii="MS UI Gothic" w:eastAsia="MS UI Gothic"/>
          <w:w w:val="80"/>
        </w:rPr>
        <w:t xml:space="preserve">ꎬ </w:t>
      </w:r>
      <w:r>
        <w:t>与安全技术规范的要求不一致</w:t>
      </w:r>
      <w:r>
        <w:rPr>
          <w:rFonts w:hint="eastAsia" w:ascii="MS UI Gothic" w:eastAsia="MS UI Gothic"/>
          <w:w w:val="80"/>
        </w:rPr>
        <w:t xml:space="preserve">ꎬ </w:t>
      </w:r>
      <w:r>
        <w:t>或者安全技术规范未作要求</w:t>
      </w:r>
      <w:r>
        <w:rPr>
          <w:rFonts w:hint="eastAsia" w:ascii="MS UI Gothic" w:eastAsia="MS UI Gothic"/>
          <w:w w:val="80"/>
        </w:rPr>
        <w:t xml:space="preserve">、 </w:t>
      </w:r>
      <w:r>
        <w:t>可能对安全性能有重大影响的</w:t>
      </w:r>
      <w:r>
        <w:rPr>
          <w:rFonts w:hint="eastAsia" w:ascii="MS UI Gothic" w:eastAsia="MS UI Gothic"/>
          <w:w w:val="80"/>
        </w:rPr>
        <w:t xml:space="preserve">ꎬ </w:t>
      </w:r>
      <w:r>
        <w:t>应当向国务院负责特种设备安全监督管理的部门申报</w:t>
      </w:r>
      <w:r>
        <w:rPr>
          <w:rFonts w:hint="eastAsia" w:ascii="MS UI Gothic" w:eastAsia="MS UI Gothic"/>
          <w:w w:val="80"/>
        </w:rPr>
        <w:t>ꎬ</w:t>
      </w:r>
      <w:r>
        <w:t>由国务院负责特种设备安全监督管理的部门及时委托安全技术咨询机构或者相关专业机构进行技术评审</w:t>
      </w:r>
      <w:r>
        <w:rPr>
          <w:rFonts w:hint="eastAsia" w:ascii="MS UI Gothic" w:eastAsia="MS UI Gothic"/>
          <w:w w:val="80"/>
        </w:rPr>
        <w:t xml:space="preserve">ꎬ </w:t>
      </w:r>
      <w:r>
        <w:t>评审结果经国务院负责特种设备安全监督管理的部门批准</w:t>
      </w:r>
      <w:r>
        <w:rPr>
          <w:rFonts w:hint="eastAsia" w:ascii="MS UI Gothic" w:eastAsia="MS UI Gothic"/>
          <w:w w:val="80"/>
        </w:rPr>
        <w:t>ꎬ</w:t>
      </w:r>
      <w:r>
        <w:t>方可投入生产</w:t>
      </w:r>
      <w:r>
        <w:rPr>
          <w:rFonts w:hint="eastAsia" w:ascii="MS UI Gothic" w:eastAsia="MS UI Gothic"/>
          <w:w w:val="80"/>
        </w:rPr>
        <w:t xml:space="preserve">、 </w:t>
      </w:r>
      <w:r>
        <w:t>使用</w:t>
      </w:r>
      <w:r>
        <w:rPr>
          <w:rFonts w:hint="eastAsia" w:ascii="MS UI Gothic" w:eastAsia="MS UI Gothic"/>
          <w:w w:val="80"/>
        </w:rPr>
        <w:t>ꎮ</w:t>
      </w:r>
    </w:p>
    <w:p>
      <w:pPr>
        <w:pStyle w:val="6"/>
        <w:spacing w:line="295" w:lineRule="auto"/>
        <w:ind w:left="440"/>
        <w:rPr>
          <w:rFonts w:hint="eastAsia" w:ascii="MS UI Gothic" w:eastAsia="MS UI Gothic"/>
        </w:rPr>
      </w:pPr>
      <w:r>
        <w:t>国务院负责特种设备安全监督管理的部门应当将允许使用的新材料</w:t>
      </w:r>
      <w:r>
        <w:rPr>
          <w:rFonts w:hint="eastAsia" w:ascii="MS UI Gothic" w:eastAsia="MS UI Gothic"/>
          <w:w w:val="80"/>
        </w:rPr>
        <w:t xml:space="preserve">、 </w:t>
      </w:r>
      <w:r>
        <w:t>新技术</w:t>
      </w:r>
      <w:r>
        <w:rPr>
          <w:rFonts w:hint="eastAsia" w:ascii="MS UI Gothic" w:eastAsia="MS UI Gothic"/>
          <w:w w:val="80"/>
        </w:rPr>
        <w:t>、</w:t>
      </w:r>
      <w:r>
        <w:t>新工艺的有关技术要求</w:t>
      </w:r>
      <w:r>
        <w:rPr>
          <w:rFonts w:hint="eastAsia" w:ascii="MS UI Gothic" w:eastAsia="MS UI Gothic"/>
          <w:w w:val="80"/>
        </w:rPr>
        <w:t xml:space="preserve">ꎬ </w:t>
      </w:r>
      <w:r>
        <w:t>及时纳入安全技术规范</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第十七条 国家鼓励投保特种设备安全责任保险</w:t>
      </w:r>
      <w:r>
        <w:rPr>
          <w:rFonts w:hint="eastAsia" w:ascii="MS UI Gothic" w:eastAsia="MS UI Gothic"/>
          <w:w w:val="80"/>
        </w:rPr>
        <w:t>ꎮ</w:t>
      </w:r>
    </w:p>
    <w:p>
      <w:pPr>
        <w:pStyle w:val="6"/>
        <w:tabs>
          <w:tab w:val="left" w:pos="2327"/>
          <w:tab w:val="left" w:pos="2956"/>
        </w:tabs>
        <w:spacing w:before="136"/>
        <w:ind w:left="1488" w:firstLine="0"/>
        <w:jc w:val="left"/>
      </w:pPr>
      <w:r>
        <w:rPr>
          <w:spacing w:val="3"/>
          <w:w w:val="105"/>
        </w:rPr>
        <w:t>第二</w:t>
      </w:r>
      <w:r>
        <w:rPr>
          <w:w w:val="105"/>
        </w:rPr>
        <w:t>节</w:t>
      </w:r>
      <w:r>
        <w:rPr>
          <w:w w:val="105"/>
        </w:rPr>
        <w:tab/>
      </w:r>
      <w:r>
        <w:rPr>
          <w:w w:val="105"/>
        </w:rPr>
        <w:t>生</w:t>
      </w:r>
      <w:r>
        <w:rPr>
          <w:w w:val="105"/>
        </w:rPr>
        <w:tab/>
      </w:r>
      <w:r>
        <w:rPr>
          <w:w w:val="105"/>
        </w:rPr>
        <w:t>产</w:t>
      </w:r>
    </w:p>
    <w:p>
      <w:pPr>
        <w:pStyle w:val="6"/>
        <w:spacing w:before="10"/>
        <w:ind w:left="0" w:firstLine="0"/>
        <w:jc w:val="left"/>
        <w:rPr>
          <w:sz w:val="16"/>
        </w:rPr>
      </w:pPr>
    </w:p>
    <w:p>
      <w:pPr>
        <w:pStyle w:val="6"/>
        <w:spacing w:line="295" w:lineRule="auto"/>
        <w:ind w:left="440" w:right="1"/>
        <w:rPr>
          <w:rFonts w:hint="eastAsia" w:ascii="MS UI Gothic" w:eastAsia="MS UI Gothic"/>
        </w:rPr>
      </w:pPr>
      <w:r>
        <w:rPr>
          <w:w w:val="105"/>
        </w:rPr>
        <w:t>第十八条 国家按照分类监督管理的</w:t>
      </w:r>
      <w:r>
        <w:t>原则对特种设备生产实行许可制度</w:t>
      </w:r>
      <w:r>
        <w:rPr>
          <w:rFonts w:hint="eastAsia" w:ascii="MS UI Gothic" w:eastAsia="MS UI Gothic"/>
          <w:w w:val="80"/>
        </w:rPr>
        <w:t xml:space="preserve">ꎮ </w:t>
      </w:r>
      <w:r>
        <w:t>特种设备生产单位应当具备下列条件</w:t>
      </w:r>
      <w:r>
        <w:rPr>
          <w:rFonts w:hint="eastAsia" w:ascii="MS UI Gothic" w:eastAsia="MS UI Gothic"/>
          <w:w w:val="80"/>
        </w:rPr>
        <w:t xml:space="preserve">ꎬ </w:t>
      </w:r>
      <w:r>
        <w:t>并经负责特种设备安全监督管理的部门许可</w:t>
      </w:r>
      <w:r>
        <w:rPr>
          <w:rFonts w:hint="eastAsia" w:ascii="MS UI Gothic" w:eastAsia="MS UI Gothic"/>
          <w:w w:val="80"/>
        </w:rPr>
        <w:t xml:space="preserve">ꎬ </w:t>
      </w:r>
      <w:r>
        <w:t>方</w:t>
      </w:r>
      <w:r>
        <w:rPr>
          <w:w w:val="105"/>
        </w:rPr>
        <w:t>可从事生产活动</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15"/>
        </w:rPr>
        <w:t xml:space="preserve">( </w:t>
      </w:r>
      <w:r>
        <w:rPr>
          <w:w w:val="110"/>
        </w:rPr>
        <w:t>一</w:t>
      </w:r>
      <w:r>
        <w:rPr>
          <w:rFonts w:hint="eastAsia" w:ascii="MS UI Gothic" w:eastAsia="MS UI Gothic"/>
          <w:w w:val="115"/>
        </w:rPr>
        <w:t xml:space="preserve">) </w:t>
      </w:r>
      <w:r>
        <w:rPr>
          <w:w w:val="110"/>
        </w:rPr>
        <w:t>有与生产相适应的专业技术人员</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有与生产相适应的设备</w:t>
      </w:r>
      <w:r>
        <w:rPr>
          <w:rFonts w:hint="eastAsia" w:ascii="MS UI Gothic" w:eastAsia="MS UI Gothic"/>
          <w:w w:val="80"/>
        </w:rPr>
        <w:t xml:space="preserve">、 </w:t>
      </w:r>
      <w:r>
        <w:rPr>
          <w:w w:val="105"/>
        </w:rPr>
        <w:t>设施和工作场所</w:t>
      </w:r>
      <w:r>
        <w:rPr>
          <w:rFonts w:hint="eastAsia" w:ascii="MS UI Gothic" w:eastAsia="MS UI Gothic"/>
          <w:w w:val="80"/>
        </w:rPr>
        <w:t>ꎻ</w:t>
      </w:r>
    </w:p>
    <w:p>
      <w:pPr>
        <w:pStyle w:val="6"/>
        <w:spacing w:line="255" w:lineRule="exact"/>
        <w:ind w:left="860" w:firstLine="0"/>
      </w:pPr>
      <w:r>
        <w:rPr>
          <w:rFonts w:hint="eastAsia" w:ascii="MS UI Gothic" w:eastAsia="MS UI Gothic"/>
          <w:spacing w:val="-40"/>
          <w:w w:val="140"/>
        </w:rPr>
        <w:t xml:space="preserve">( </w:t>
      </w:r>
      <w:r>
        <w:rPr>
          <w:spacing w:val="3"/>
          <w:w w:val="110"/>
        </w:rPr>
        <w:t>三</w:t>
      </w:r>
      <w:r>
        <w:rPr>
          <w:rFonts w:hint="eastAsia" w:ascii="MS UI Gothic" w:eastAsia="MS UI Gothic"/>
          <w:spacing w:val="-22"/>
          <w:w w:val="140"/>
        </w:rPr>
        <w:t xml:space="preserve">) </w:t>
      </w:r>
      <w:r>
        <w:rPr>
          <w:spacing w:val="5"/>
          <w:w w:val="110"/>
        </w:rPr>
        <w:t>有健全的质量保证</w:t>
      </w:r>
      <w:r>
        <w:rPr>
          <w:rFonts w:hint="eastAsia" w:ascii="MS UI Gothic" w:eastAsia="MS UI Gothic"/>
          <w:spacing w:val="-12"/>
        </w:rPr>
        <w:t xml:space="preserve">、 </w:t>
      </w:r>
      <w:r>
        <w:rPr>
          <w:spacing w:val="8"/>
          <w:w w:val="110"/>
        </w:rPr>
        <w:t>安全管理</w:t>
      </w:r>
    </w:p>
    <w:p>
      <w:pPr>
        <w:pStyle w:val="6"/>
        <w:spacing w:before="124"/>
        <w:ind w:left="381" w:firstLine="0"/>
        <w:jc w:val="left"/>
        <w:rPr>
          <w:rFonts w:hint="eastAsia" w:ascii="MS UI Gothic" w:eastAsia="MS UI Gothic"/>
        </w:rPr>
      </w:pPr>
      <w:r>
        <w:br w:type="column"/>
      </w:r>
      <w:r>
        <w:t>和岗位责任等制度</w:t>
      </w:r>
      <w:r>
        <w:rPr>
          <w:rFonts w:hint="eastAsia" w:ascii="MS UI Gothic" w:eastAsia="MS UI Gothic"/>
          <w:w w:val="80"/>
        </w:rPr>
        <w:t>ꎮ</w:t>
      </w:r>
    </w:p>
    <w:p>
      <w:pPr>
        <w:pStyle w:val="6"/>
        <w:spacing w:before="58" w:line="295" w:lineRule="auto"/>
        <w:ind w:left="381" w:right="126"/>
        <w:rPr>
          <w:rFonts w:hint="eastAsia" w:ascii="MS UI Gothic" w:eastAsia="MS UI Gothic"/>
        </w:rPr>
      </w:pPr>
      <w:r>
        <w:rPr>
          <w:w w:val="105"/>
        </w:rPr>
        <w:t>第十九条 特种设备生产单位应当保</w:t>
      </w:r>
      <w:r>
        <w:t>证特种设备生产符合安全技术规范及相关标准的要求</w:t>
      </w:r>
      <w:r>
        <w:rPr>
          <w:rFonts w:hint="eastAsia" w:ascii="MS UI Gothic" w:eastAsia="MS UI Gothic"/>
          <w:w w:val="80"/>
        </w:rPr>
        <w:t xml:space="preserve">ꎬ </w:t>
      </w:r>
      <w:r>
        <w:t>对其生产的特种设备的安全性能负责</w:t>
      </w:r>
      <w:r>
        <w:rPr>
          <w:rFonts w:hint="eastAsia" w:ascii="MS UI Gothic" w:eastAsia="MS UI Gothic"/>
          <w:w w:val="80"/>
        </w:rPr>
        <w:t xml:space="preserve">ꎮ </w:t>
      </w:r>
      <w:r>
        <w:t>不得生产不符合安全性能要求和能效指标以及国家明令淘汰的特种</w:t>
      </w:r>
      <w:r>
        <w:rPr>
          <w:w w:val="105"/>
        </w:rPr>
        <w:t>设备</w:t>
      </w:r>
      <w:r>
        <w:rPr>
          <w:rFonts w:hint="eastAsia" w:ascii="MS UI Gothic" w:eastAsia="MS UI Gothic"/>
          <w:w w:val="80"/>
        </w:rPr>
        <w:t>ꎮ</w:t>
      </w:r>
    </w:p>
    <w:p>
      <w:pPr>
        <w:pStyle w:val="6"/>
        <w:spacing w:line="295" w:lineRule="auto"/>
        <w:ind w:left="381" w:right="126"/>
        <w:rPr>
          <w:rFonts w:hint="eastAsia" w:ascii="MS UI Gothic" w:eastAsia="MS UI Gothic"/>
        </w:rPr>
      </w:pPr>
      <w:r>
        <w:t>第二十条 锅炉</w:t>
      </w:r>
      <w:r>
        <w:rPr>
          <w:rFonts w:hint="eastAsia" w:ascii="MS UI Gothic" w:eastAsia="MS UI Gothic"/>
          <w:w w:val="80"/>
        </w:rPr>
        <w:t xml:space="preserve">、 </w:t>
      </w:r>
      <w:r>
        <w:t>气瓶</w:t>
      </w:r>
      <w:r>
        <w:rPr>
          <w:rFonts w:hint="eastAsia" w:ascii="MS UI Gothic" w:eastAsia="MS UI Gothic"/>
          <w:w w:val="80"/>
        </w:rPr>
        <w:t xml:space="preserve">、  </w:t>
      </w:r>
      <w:r>
        <w:t>氧舱</w:t>
      </w:r>
      <w:r>
        <w:rPr>
          <w:rFonts w:hint="eastAsia" w:ascii="MS UI Gothic" w:eastAsia="MS UI Gothic"/>
          <w:w w:val="80"/>
        </w:rPr>
        <w:t xml:space="preserve">、  </w:t>
      </w:r>
      <w:r>
        <w:t>客运索道</w:t>
      </w:r>
      <w:r>
        <w:rPr>
          <w:rFonts w:hint="eastAsia" w:ascii="MS UI Gothic" w:eastAsia="MS UI Gothic"/>
          <w:w w:val="80"/>
        </w:rPr>
        <w:t xml:space="preserve">、 </w:t>
      </w:r>
      <w:r>
        <w:t>大型游乐设施的设计文件</w:t>
      </w:r>
      <w:r>
        <w:rPr>
          <w:rFonts w:hint="eastAsia" w:ascii="MS UI Gothic" w:eastAsia="MS UI Gothic"/>
          <w:w w:val="80"/>
        </w:rPr>
        <w:t xml:space="preserve">ꎬ </w:t>
      </w:r>
      <w:r>
        <w:t>应当经负责特种设备安全监督管理的部门核准的检验机构鉴定</w:t>
      </w:r>
      <w:r>
        <w:rPr>
          <w:rFonts w:hint="eastAsia" w:ascii="MS UI Gothic" w:eastAsia="MS UI Gothic"/>
          <w:w w:val="80"/>
        </w:rPr>
        <w:t xml:space="preserve">ꎬ </w:t>
      </w:r>
      <w:r>
        <w:t>方可用于制造</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特种设备产品</w:t>
      </w:r>
      <w:r>
        <w:rPr>
          <w:rFonts w:hint="eastAsia" w:ascii="MS UI Gothic" w:eastAsia="MS UI Gothic"/>
          <w:w w:val="80"/>
        </w:rPr>
        <w:t xml:space="preserve">、 </w:t>
      </w:r>
      <w:r>
        <w:rPr>
          <w:w w:val="105"/>
        </w:rPr>
        <w:t>部件或者试制的特种设备新产品</w:t>
      </w:r>
      <w:r>
        <w:rPr>
          <w:rFonts w:hint="eastAsia" w:ascii="MS UI Gothic" w:eastAsia="MS UI Gothic"/>
          <w:w w:val="80"/>
        </w:rPr>
        <w:t xml:space="preserve">、 </w:t>
      </w:r>
      <w:r>
        <w:rPr>
          <w:w w:val="105"/>
        </w:rPr>
        <w:t>新部件以及特种设备采用的</w:t>
      </w:r>
      <w:r>
        <w:t>新材料</w:t>
      </w:r>
      <w:r>
        <w:rPr>
          <w:rFonts w:hint="eastAsia" w:ascii="MS UI Gothic" w:eastAsia="MS UI Gothic"/>
          <w:w w:val="80"/>
        </w:rPr>
        <w:t xml:space="preserve">ꎬ </w:t>
      </w:r>
      <w:r>
        <w:t>按照安全技术规范的要求需要通过型式试验进行安全性验证的</w:t>
      </w:r>
      <w:r>
        <w:rPr>
          <w:rFonts w:hint="eastAsia" w:ascii="MS UI Gothic" w:eastAsia="MS UI Gothic"/>
          <w:w w:val="80"/>
        </w:rPr>
        <w:t xml:space="preserve">ꎬ </w:t>
      </w:r>
      <w:r>
        <w:t>应当经负责特种设备安全监督管理的部门核准的检</w:t>
      </w:r>
      <w:r>
        <w:rPr>
          <w:w w:val="105"/>
        </w:rPr>
        <w:t>验机构进行型式试验</w:t>
      </w:r>
      <w:r>
        <w:rPr>
          <w:rFonts w:hint="eastAsia" w:ascii="MS UI Gothic" w:eastAsia="MS UI Gothic"/>
          <w:w w:val="80"/>
        </w:rPr>
        <w:t>ꎮ</w:t>
      </w:r>
    </w:p>
    <w:p>
      <w:pPr>
        <w:pStyle w:val="6"/>
        <w:spacing w:line="295" w:lineRule="auto"/>
        <w:ind w:left="381" w:right="126"/>
        <w:rPr>
          <w:rFonts w:hint="eastAsia" w:ascii="MS UI Gothic" w:eastAsia="MS UI Gothic"/>
        </w:rPr>
      </w:pPr>
      <w:r>
        <w:t>第二十一条 特种设备出厂时</w:t>
      </w:r>
      <w:r>
        <w:rPr>
          <w:rFonts w:hint="eastAsia" w:ascii="MS UI Gothic" w:eastAsia="MS UI Gothic"/>
          <w:w w:val="80"/>
        </w:rPr>
        <w:t xml:space="preserve">ꎬ </w:t>
      </w:r>
      <w:r>
        <w:t>应当随附安全技术规范要求的设计文件</w:t>
      </w:r>
      <w:r>
        <w:rPr>
          <w:rFonts w:hint="eastAsia" w:ascii="MS UI Gothic" w:eastAsia="MS UI Gothic"/>
          <w:w w:val="80"/>
        </w:rPr>
        <w:t xml:space="preserve">、 </w:t>
      </w:r>
      <w:r>
        <w:t>产品质量合格证明</w:t>
      </w:r>
      <w:r>
        <w:rPr>
          <w:rFonts w:hint="eastAsia" w:ascii="MS UI Gothic" w:eastAsia="MS UI Gothic"/>
          <w:w w:val="80"/>
        </w:rPr>
        <w:t xml:space="preserve">、 </w:t>
      </w:r>
      <w:r>
        <w:t>安装及使用维护保养说明</w:t>
      </w:r>
      <w:r>
        <w:rPr>
          <w:rFonts w:hint="eastAsia" w:ascii="MS UI Gothic" w:eastAsia="MS UI Gothic"/>
          <w:w w:val="80"/>
        </w:rPr>
        <w:t xml:space="preserve">、 </w:t>
      </w:r>
      <w:r>
        <w:t>监督检验证明等相关技术资料和文件</w:t>
      </w:r>
      <w:r>
        <w:rPr>
          <w:rFonts w:hint="eastAsia" w:ascii="MS UI Gothic" w:eastAsia="MS UI Gothic"/>
          <w:w w:val="80"/>
        </w:rPr>
        <w:t xml:space="preserve">ꎬ </w:t>
      </w:r>
      <w:r>
        <w:t>并在特种设备显著位置设置产品铭牌</w:t>
      </w:r>
      <w:r>
        <w:rPr>
          <w:rFonts w:hint="eastAsia" w:ascii="MS UI Gothic" w:eastAsia="MS UI Gothic"/>
          <w:w w:val="80"/>
        </w:rPr>
        <w:t xml:space="preserve">、 </w:t>
      </w:r>
      <w:r>
        <w:t>安全警示标志及其说明</w:t>
      </w:r>
      <w:r>
        <w:rPr>
          <w:rFonts w:hint="eastAsia" w:ascii="MS UI Gothic" w:eastAsia="MS UI Gothic"/>
          <w:w w:val="80"/>
        </w:rPr>
        <w:t>ꎮ</w:t>
      </w:r>
    </w:p>
    <w:p>
      <w:pPr>
        <w:pStyle w:val="6"/>
        <w:spacing w:line="295" w:lineRule="auto"/>
        <w:ind w:left="381" w:right="126"/>
        <w:rPr>
          <w:rFonts w:hint="eastAsia" w:ascii="MS UI Gothic" w:eastAsia="MS UI Gothic"/>
        </w:rPr>
      </w:pPr>
      <w:r>
        <w:t>第二十二条 电梯的安装</w:t>
      </w:r>
      <w:r>
        <w:rPr>
          <w:rFonts w:hint="eastAsia" w:ascii="MS UI Gothic" w:eastAsia="MS UI Gothic"/>
          <w:w w:val="80"/>
        </w:rPr>
        <w:t xml:space="preserve">、 </w:t>
      </w:r>
      <w:r>
        <w:t>改造</w:t>
      </w:r>
      <w:r>
        <w:rPr>
          <w:rFonts w:hint="eastAsia" w:ascii="MS UI Gothic" w:eastAsia="MS UI Gothic"/>
          <w:w w:val="80"/>
        </w:rPr>
        <w:t xml:space="preserve">、  </w:t>
      </w:r>
      <w:r>
        <w:t>修理</w:t>
      </w:r>
      <w:r>
        <w:rPr>
          <w:rFonts w:hint="eastAsia" w:ascii="MS UI Gothic" w:eastAsia="MS UI Gothic"/>
          <w:w w:val="80"/>
        </w:rPr>
        <w:t xml:space="preserve">ꎬ </w:t>
      </w:r>
      <w:r>
        <w:t>必须由电梯制造单位或者其委托的依照本法取得相应许可的单位进行</w:t>
      </w:r>
      <w:r>
        <w:rPr>
          <w:rFonts w:hint="eastAsia" w:ascii="MS UI Gothic" w:eastAsia="MS UI Gothic"/>
          <w:w w:val="80"/>
        </w:rPr>
        <w:t xml:space="preserve">ꎮ </w:t>
      </w:r>
      <w:r>
        <w:t>电梯制造单位委托其他单位进行电梯安装</w:t>
      </w:r>
      <w:r>
        <w:rPr>
          <w:rFonts w:hint="eastAsia" w:ascii="MS UI Gothic" w:eastAsia="MS UI Gothic"/>
          <w:w w:val="80"/>
        </w:rPr>
        <w:t xml:space="preserve">、 </w:t>
      </w:r>
      <w:r>
        <w:t>改造</w:t>
      </w:r>
      <w:r>
        <w:rPr>
          <w:rFonts w:hint="eastAsia" w:ascii="MS UI Gothic" w:eastAsia="MS UI Gothic"/>
          <w:w w:val="80"/>
        </w:rPr>
        <w:t xml:space="preserve">、 </w:t>
      </w:r>
      <w:r>
        <w:t>修理的</w:t>
      </w:r>
      <w:r>
        <w:rPr>
          <w:rFonts w:hint="eastAsia" w:ascii="MS UI Gothic" w:eastAsia="MS UI Gothic"/>
          <w:w w:val="80"/>
        </w:rPr>
        <w:t xml:space="preserve">ꎬ </w:t>
      </w:r>
      <w:r>
        <w:t>应当对其安装</w:t>
      </w:r>
      <w:r>
        <w:rPr>
          <w:rFonts w:hint="eastAsia" w:ascii="MS UI Gothic" w:eastAsia="MS UI Gothic"/>
          <w:w w:val="80"/>
        </w:rPr>
        <w:t xml:space="preserve">、 </w:t>
      </w:r>
      <w:r>
        <w:t>改造</w:t>
      </w:r>
      <w:r>
        <w:rPr>
          <w:rFonts w:hint="eastAsia" w:ascii="MS UI Gothic" w:eastAsia="MS UI Gothic"/>
          <w:w w:val="80"/>
        </w:rPr>
        <w:t xml:space="preserve">、  </w:t>
      </w:r>
      <w:r>
        <w:t>修理进行安全指导和监控</w:t>
      </w:r>
      <w:r>
        <w:rPr>
          <w:rFonts w:hint="eastAsia" w:ascii="MS UI Gothic" w:eastAsia="MS UI Gothic"/>
          <w:w w:val="80"/>
        </w:rPr>
        <w:t xml:space="preserve">ꎬ </w:t>
      </w:r>
      <w:r>
        <w:t>并按照安全技术规范的要求进行校验和调试</w:t>
      </w:r>
      <w:r>
        <w:rPr>
          <w:rFonts w:hint="eastAsia" w:ascii="MS UI Gothic" w:eastAsia="MS UI Gothic"/>
          <w:w w:val="80"/>
        </w:rPr>
        <w:t xml:space="preserve">ꎮ </w:t>
      </w:r>
      <w:r>
        <w:t>电梯制造单位对电梯安全性能负责</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第二十三条 特种设备安装</w:t>
      </w:r>
      <w:r>
        <w:rPr>
          <w:rFonts w:hint="eastAsia" w:ascii="MS UI Gothic" w:eastAsia="MS UI Gothic"/>
          <w:w w:val="80"/>
        </w:rPr>
        <w:t xml:space="preserve">、 </w:t>
      </w:r>
      <w:r>
        <w:rPr>
          <w:w w:val="105"/>
        </w:rPr>
        <w:t>改造</w:t>
      </w:r>
      <w:r>
        <w:rPr>
          <w:rFonts w:hint="eastAsia" w:ascii="MS UI Gothic" w:eastAsia="MS UI Gothic"/>
          <w:w w:val="80"/>
        </w:rPr>
        <w:t>、</w:t>
      </w:r>
      <w:r>
        <w:t>修理的施工单位应当在施工前将拟进行的</w:t>
      </w:r>
      <w:r>
        <w:rPr>
          <w:w w:val="105"/>
        </w:rPr>
        <w:t>特种设备安装</w:t>
      </w:r>
      <w:r>
        <w:rPr>
          <w:rFonts w:hint="eastAsia" w:ascii="MS UI Gothic" w:eastAsia="MS UI Gothic"/>
          <w:w w:val="80"/>
        </w:rPr>
        <w:t xml:space="preserve">、 </w:t>
      </w:r>
      <w:r>
        <w:rPr>
          <w:w w:val="105"/>
        </w:rPr>
        <w:t>改造</w:t>
      </w:r>
      <w:r>
        <w:rPr>
          <w:rFonts w:hint="eastAsia" w:ascii="MS UI Gothic" w:eastAsia="MS UI Gothic"/>
          <w:w w:val="80"/>
        </w:rPr>
        <w:t xml:space="preserve">、 </w:t>
      </w:r>
      <w:r>
        <w:rPr>
          <w:w w:val="105"/>
        </w:rPr>
        <w:t>修理情况书面告知</w:t>
      </w:r>
      <w:r>
        <w:t>直辖市或者设区的市级人民政府负责特种</w:t>
      </w:r>
      <w:r>
        <w:rPr>
          <w:w w:val="105"/>
        </w:rPr>
        <w:t>设备安全监督管理的部门</w:t>
      </w:r>
      <w:r>
        <w:rPr>
          <w:rFonts w:hint="eastAsia" w:ascii="MS UI Gothic" w:eastAsia="MS UI Gothic"/>
          <w:w w:val="80"/>
        </w:rPr>
        <w:t>ꎮ</w:t>
      </w:r>
    </w:p>
    <w:p>
      <w:pPr>
        <w:pStyle w:val="6"/>
        <w:spacing w:line="295" w:lineRule="auto"/>
        <w:ind w:left="381" w:right="124"/>
      </w:pPr>
      <w:r>
        <w:t>第二十四条 特种设备安装</w:t>
      </w:r>
      <w:r>
        <w:rPr>
          <w:rFonts w:hint="eastAsia" w:ascii="MS UI Gothic" w:eastAsia="MS UI Gothic"/>
          <w:w w:val="80"/>
        </w:rPr>
        <w:t xml:space="preserve">、 </w:t>
      </w:r>
      <w:r>
        <w:t>改造</w:t>
      </w:r>
      <w:r>
        <w:rPr>
          <w:rFonts w:hint="eastAsia" w:ascii="MS UI Gothic" w:eastAsia="MS UI Gothic"/>
          <w:w w:val="80"/>
        </w:rPr>
        <w:t>、</w:t>
      </w:r>
      <w:r>
        <w:t>修理竣工后</w:t>
      </w:r>
      <w:r>
        <w:rPr>
          <w:rFonts w:hint="eastAsia" w:ascii="MS UI Gothic" w:eastAsia="MS UI Gothic"/>
          <w:w w:val="80"/>
        </w:rPr>
        <w:t xml:space="preserve">ꎬ </w:t>
      </w:r>
      <w:r>
        <w:t>安装</w:t>
      </w:r>
      <w:r>
        <w:rPr>
          <w:rFonts w:hint="eastAsia" w:ascii="MS UI Gothic" w:eastAsia="MS UI Gothic"/>
          <w:w w:val="80"/>
        </w:rPr>
        <w:t xml:space="preserve">、 </w:t>
      </w:r>
      <w:r>
        <w:t>改造</w:t>
      </w:r>
      <w:r>
        <w:rPr>
          <w:rFonts w:hint="eastAsia" w:ascii="MS UI Gothic" w:eastAsia="MS UI Gothic"/>
          <w:w w:val="80"/>
        </w:rPr>
        <w:t xml:space="preserve">、 </w:t>
      </w:r>
      <w:r>
        <w:t>修理的施工单位应当在验收后三十日内将相关技术资料</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４５８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75" o:spid="_x0000_s2375" o:spt="203" style="height:2.15pt;width:398.25pt;" coordsize="7965,43">
            <o:lock v:ext="edit"/>
            <v:line id="_x0000_s2376" o:spid="_x0000_s2376" o:spt="20" style="position:absolute;left:0;top:39;height:0;width:7965;" stroked="t" coordsize="21600,21600">
              <v:path arrowok="t"/>
              <v:fill focussize="0,0"/>
              <v:stroke weight="0.388031496062992pt" color="#231F20"/>
              <v:imagedata o:title=""/>
              <o:lock v:ext="edit"/>
            </v:line>
            <v:line id="_x0000_s2377" o:spid="_x0000_s237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和文件移交特种设备使用单位</w:t>
      </w:r>
      <w:r>
        <w:rPr>
          <w:rFonts w:hint="eastAsia" w:ascii="MS UI Gothic" w:eastAsia="MS UI Gothic"/>
          <w:w w:val="80"/>
        </w:rPr>
        <w:t xml:space="preserve">ꎮ </w:t>
      </w:r>
      <w:r>
        <w:t>特种设备使用单位应当将其存入该特种设备的安全</w:t>
      </w:r>
      <w:r>
        <w:rPr>
          <w:w w:val="105"/>
        </w:rPr>
        <w:t>技术档案</w:t>
      </w:r>
      <w:r>
        <w:rPr>
          <w:rFonts w:hint="eastAsia" w:ascii="MS UI Gothic" w:eastAsia="MS UI Gothic"/>
          <w:w w:val="80"/>
        </w:rPr>
        <w:t>ꎮ</w:t>
      </w:r>
    </w:p>
    <w:p>
      <w:pPr>
        <w:pStyle w:val="6"/>
        <w:spacing w:line="295" w:lineRule="auto"/>
        <w:ind w:right="38"/>
        <w:rPr>
          <w:rFonts w:hint="eastAsia" w:ascii="MS UI Gothic" w:eastAsia="MS UI Gothic"/>
        </w:rPr>
      </w:pPr>
      <w:r>
        <w:t>第二十五条 锅炉</w:t>
      </w:r>
      <w:r>
        <w:rPr>
          <w:rFonts w:hint="eastAsia" w:ascii="MS UI Gothic" w:eastAsia="MS UI Gothic"/>
          <w:w w:val="80"/>
        </w:rPr>
        <w:t xml:space="preserve">、 </w:t>
      </w:r>
      <w:r>
        <w:t>压力容器</w:t>
      </w:r>
      <w:r>
        <w:rPr>
          <w:rFonts w:hint="eastAsia" w:ascii="MS UI Gothic" w:eastAsia="MS UI Gothic"/>
          <w:w w:val="80"/>
        </w:rPr>
        <w:t xml:space="preserve">、  </w:t>
      </w:r>
      <w:r>
        <w:t>压力管道元件等特种设备的制造过程和锅炉</w:t>
      </w:r>
      <w:r>
        <w:rPr>
          <w:rFonts w:hint="eastAsia" w:ascii="MS UI Gothic" w:eastAsia="MS UI Gothic"/>
          <w:w w:val="80"/>
        </w:rPr>
        <w:t>、</w:t>
      </w:r>
      <w:r>
        <w:t>压力容器</w:t>
      </w:r>
      <w:r>
        <w:rPr>
          <w:rFonts w:hint="eastAsia" w:ascii="MS UI Gothic" w:eastAsia="MS UI Gothic"/>
          <w:w w:val="80"/>
        </w:rPr>
        <w:t xml:space="preserve">、 </w:t>
      </w:r>
      <w:r>
        <w:t>压力管道</w:t>
      </w:r>
      <w:r>
        <w:rPr>
          <w:rFonts w:hint="eastAsia" w:ascii="MS UI Gothic" w:eastAsia="MS UI Gothic"/>
          <w:w w:val="80"/>
        </w:rPr>
        <w:t xml:space="preserve">、 </w:t>
      </w:r>
      <w:r>
        <w:t>电梯</w:t>
      </w:r>
      <w:r>
        <w:rPr>
          <w:rFonts w:hint="eastAsia" w:ascii="MS UI Gothic" w:eastAsia="MS UI Gothic"/>
          <w:w w:val="80"/>
        </w:rPr>
        <w:t xml:space="preserve">、 </w:t>
      </w:r>
      <w:r>
        <w:t>起重机械</w:t>
      </w:r>
      <w:r>
        <w:rPr>
          <w:rFonts w:hint="eastAsia" w:ascii="MS UI Gothic" w:eastAsia="MS UI Gothic"/>
          <w:w w:val="80"/>
        </w:rPr>
        <w:t>、</w:t>
      </w:r>
      <w:r>
        <w:t>客运索道</w:t>
      </w:r>
      <w:r>
        <w:rPr>
          <w:rFonts w:hint="eastAsia" w:ascii="MS UI Gothic" w:eastAsia="MS UI Gothic"/>
          <w:w w:val="80"/>
        </w:rPr>
        <w:t xml:space="preserve">、 </w:t>
      </w:r>
      <w:r>
        <w:t>大型游乐设施的安装</w:t>
      </w:r>
      <w:r>
        <w:rPr>
          <w:rFonts w:hint="eastAsia" w:ascii="MS UI Gothic" w:eastAsia="MS UI Gothic"/>
          <w:w w:val="80"/>
        </w:rPr>
        <w:t xml:space="preserve">、 </w:t>
      </w:r>
      <w:r>
        <w:t>改造</w:t>
      </w:r>
      <w:r>
        <w:rPr>
          <w:rFonts w:hint="eastAsia" w:ascii="MS UI Gothic" w:eastAsia="MS UI Gothic"/>
          <w:w w:val="80"/>
        </w:rPr>
        <w:t>、</w:t>
      </w:r>
      <w:r>
        <w:t>重大修理过程</w:t>
      </w:r>
      <w:r>
        <w:rPr>
          <w:rFonts w:hint="eastAsia" w:ascii="MS UI Gothic" w:eastAsia="MS UI Gothic"/>
          <w:w w:val="80"/>
        </w:rPr>
        <w:t xml:space="preserve">ꎬ </w:t>
      </w:r>
      <w:r>
        <w:t>应当经特种设备检验机构按照安全技术规范的要求进行监督检验</w:t>
      </w:r>
      <w:r>
        <w:rPr>
          <w:rFonts w:hint="eastAsia" w:ascii="MS UI Gothic" w:eastAsia="MS UI Gothic"/>
          <w:w w:val="80"/>
        </w:rPr>
        <w:t>ꎻ</w:t>
      </w:r>
      <w:r>
        <w:t>未经监督检验或者监督检验不合格的</w:t>
      </w:r>
      <w:r>
        <w:rPr>
          <w:rFonts w:hint="eastAsia" w:ascii="MS UI Gothic" w:eastAsia="MS UI Gothic"/>
          <w:w w:val="80"/>
        </w:rPr>
        <w:t xml:space="preserve">ꎬ </w:t>
      </w:r>
      <w:r>
        <w:t>不得出厂或者交付使用</w:t>
      </w:r>
      <w:r>
        <w:rPr>
          <w:rFonts w:hint="eastAsia" w:ascii="MS UI Gothic" w:eastAsia="MS UI Gothic"/>
          <w:w w:val="80"/>
        </w:rPr>
        <w:t>ꎮ</w:t>
      </w:r>
    </w:p>
    <w:p>
      <w:pPr>
        <w:pStyle w:val="6"/>
        <w:spacing w:line="295" w:lineRule="auto"/>
        <w:ind w:right="39"/>
        <w:rPr>
          <w:rFonts w:hint="eastAsia" w:ascii="MS UI Gothic" w:eastAsia="MS UI Gothic"/>
        </w:rPr>
      </w:pPr>
      <w:r>
        <w:t>第二十六条 国家建立缺陷特种设备召回制度</w:t>
      </w:r>
      <w:r>
        <w:rPr>
          <w:rFonts w:hint="eastAsia" w:ascii="MS UI Gothic" w:eastAsia="MS UI Gothic"/>
          <w:w w:val="80"/>
        </w:rPr>
        <w:t xml:space="preserve">ꎮ </w:t>
      </w:r>
      <w:r>
        <w:t>因生产原因造成特种设备存在危及安全的同一性缺陷的</w:t>
      </w:r>
      <w:r>
        <w:rPr>
          <w:rFonts w:hint="eastAsia" w:ascii="MS UI Gothic" w:eastAsia="MS UI Gothic"/>
          <w:w w:val="80"/>
        </w:rPr>
        <w:t xml:space="preserve">ꎬ </w:t>
      </w:r>
      <w:r>
        <w:t>特种设备生产单位应当立即停止生产</w:t>
      </w:r>
      <w:r>
        <w:rPr>
          <w:rFonts w:hint="eastAsia" w:ascii="MS UI Gothic" w:eastAsia="MS UI Gothic"/>
          <w:w w:val="80"/>
        </w:rPr>
        <w:t xml:space="preserve">ꎬ </w:t>
      </w:r>
      <w:r>
        <w:t>主动召回</w:t>
      </w:r>
      <w:r>
        <w:rPr>
          <w:rFonts w:hint="eastAsia" w:ascii="MS UI Gothic" w:eastAsia="MS UI Gothic"/>
          <w:w w:val="80"/>
        </w:rPr>
        <w:t>ꎮ</w:t>
      </w:r>
    </w:p>
    <w:p>
      <w:pPr>
        <w:pStyle w:val="6"/>
        <w:spacing w:line="295" w:lineRule="auto"/>
        <w:ind w:right="39"/>
        <w:rPr>
          <w:rFonts w:hint="eastAsia" w:ascii="MS UI Gothic" w:eastAsia="MS UI Gothic"/>
        </w:rPr>
      </w:pPr>
      <w:r>
        <w:t>国务院负责特种设备安全监督管理的部门发现特种设备存在应当召回而未召回的情形时</w:t>
      </w:r>
      <w:r>
        <w:rPr>
          <w:rFonts w:hint="eastAsia" w:ascii="MS UI Gothic" w:eastAsia="MS UI Gothic"/>
          <w:w w:val="80"/>
        </w:rPr>
        <w:t xml:space="preserve">ꎬ </w:t>
      </w:r>
      <w:r>
        <w:t>应当责令特种设备生产单位</w:t>
      </w:r>
      <w:r>
        <w:rPr>
          <w:w w:val="105"/>
        </w:rPr>
        <w:t>召回</w:t>
      </w:r>
      <w:r>
        <w:rPr>
          <w:rFonts w:hint="eastAsia" w:ascii="MS UI Gothic" w:eastAsia="MS UI Gothic"/>
          <w:w w:val="80"/>
        </w:rPr>
        <w:t>ꎮ</w:t>
      </w:r>
    </w:p>
    <w:p>
      <w:pPr>
        <w:pStyle w:val="6"/>
        <w:tabs>
          <w:tab w:val="left" w:pos="2011"/>
          <w:tab w:val="left" w:pos="2639"/>
        </w:tabs>
        <w:spacing w:before="142"/>
        <w:ind w:left="1172" w:firstLine="0"/>
        <w:jc w:val="left"/>
      </w:pPr>
      <w:r>
        <w:rPr>
          <w:spacing w:val="3"/>
          <w:w w:val="105"/>
        </w:rPr>
        <w:t>第三</w:t>
      </w:r>
      <w:r>
        <w:rPr>
          <w:w w:val="105"/>
        </w:rPr>
        <w:t>节</w:t>
      </w:r>
      <w:r>
        <w:rPr>
          <w:w w:val="105"/>
        </w:rPr>
        <w:tab/>
      </w:r>
      <w:r>
        <w:rPr>
          <w:w w:val="105"/>
        </w:rPr>
        <w:t>经</w:t>
      </w:r>
      <w:r>
        <w:rPr>
          <w:w w:val="105"/>
        </w:rPr>
        <w:tab/>
      </w:r>
      <w:r>
        <w:rPr>
          <w:w w:val="105"/>
        </w:rPr>
        <w:t>营</w:t>
      </w:r>
    </w:p>
    <w:p>
      <w:pPr>
        <w:pStyle w:val="6"/>
        <w:spacing w:before="10"/>
        <w:ind w:left="0" w:firstLine="0"/>
        <w:jc w:val="left"/>
        <w:rPr>
          <w:sz w:val="16"/>
        </w:rPr>
      </w:pPr>
    </w:p>
    <w:p>
      <w:pPr>
        <w:pStyle w:val="6"/>
        <w:spacing w:before="1" w:line="295" w:lineRule="auto"/>
        <w:ind w:right="39"/>
        <w:rPr>
          <w:rFonts w:hint="eastAsia" w:ascii="MS UI Gothic" w:eastAsia="MS UI Gothic"/>
        </w:rPr>
      </w:pPr>
      <w:r>
        <w:t>第二十七条 特种设备销售单位销售的特种设备</w:t>
      </w:r>
      <w:r>
        <w:rPr>
          <w:rFonts w:hint="eastAsia" w:ascii="MS UI Gothic" w:eastAsia="MS UI Gothic"/>
          <w:w w:val="80"/>
        </w:rPr>
        <w:t xml:space="preserve">ꎬ </w:t>
      </w:r>
      <w:r>
        <w:t>应当符合安全技术规范及相关标准的要求</w:t>
      </w:r>
      <w:r>
        <w:rPr>
          <w:rFonts w:hint="eastAsia" w:ascii="MS UI Gothic" w:eastAsia="MS UI Gothic"/>
          <w:w w:val="80"/>
        </w:rPr>
        <w:t xml:space="preserve">ꎬ </w:t>
      </w:r>
      <w:r>
        <w:t>其设计文件</w:t>
      </w:r>
      <w:r>
        <w:rPr>
          <w:rFonts w:hint="eastAsia" w:ascii="MS UI Gothic" w:eastAsia="MS UI Gothic"/>
          <w:w w:val="80"/>
        </w:rPr>
        <w:t xml:space="preserve">、 </w:t>
      </w:r>
      <w:r>
        <w:t>产品质量合格证明</w:t>
      </w:r>
      <w:r>
        <w:rPr>
          <w:rFonts w:hint="eastAsia" w:ascii="MS UI Gothic" w:eastAsia="MS UI Gothic"/>
          <w:w w:val="80"/>
        </w:rPr>
        <w:t xml:space="preserve">、 </w:t>
      </w:r>
      <w:r>
        <w:t>安装及使用维护保养说明</w:t>
      </w:r>
      <w:r>
        <w:rPr>
          <w:rFonts w:hint="eastAsia" w:ascii="MS UI Gothic" w:eastAsia="MS UI Gothic"/>
          <w:w w:val="80"/>
        </w:rPr>
        <w:t xml:space="preserve">、 </w:t>
      </w:r>
      <w:r>
        <w:t>监督检验证明等相关技术资料和文件应当齐全</w:t>
      </w:r>
      <w:r>
        <w:rPr>
          <w:rFonts w:hint="eastAsia" w:ascii="MS UI Gothic" w:eastAsia="MS UI Gothic"/>
          <w:w w:val="80"/>
        </w:rPr>
        <w:t>ꎮ</w:t>
      </w:r>
    </w:p>
    <w:p>
      <w:pPr>
        <w:pStyle w:val="6"/>
        <w:spacing w:line="295" w:lineRule="auto"/>
        <w:ind w:right="39"/>
        <w:jc w:val="left"/>
        <w:rPr>
          <w:rFonts w:hint="eastAsia" w:ascii="MS UI Gothic" w:eastAsia="MS UI Gothic"/>
        </w:rPr>
      </w:pPr>
      <w:r>
        <w:t>特种设备销售单位应当建立特种设备</w:t>
      </w:r>
      <w:r>
        <w:rPr>
          <w:w w:val="105"/>
        </w:rPr>
        <w:t>检查验收和销售记录制度</w:t>
      </w:r>
      <w:r>
        <w:rPr>
          <w:rFonts w:hint="eastAsia" w:ascii="MS UI Gothic" w:eastAsia="MS UI Gothic"/>
          <w:w w:val="80"/>
        </w:rPr>
        <w:t>ꎮ</w:t>
      </w:r>
    </w:p>
    <w:p>
      <w:pPr>
        <w:pStyle w:val="6"/>
        <w:spacing w:line="295" w:lineRule="auto"/>
        <w:ind w:right="38"/>
        <w:rPr>
          <w:rFonts w:hint="eastAsia" w:ascii="MS UI Gothic" w:eastAsia="MS UI Gothic"/>
        </w:rPr>
      </w:pPr>
      <w:r>
        <w:t>禁止销售未取得许可生产的特种设备</w:t>
      </w:r>
      <w:r>
        <w:rPr>
          <w:rFonts w:hint="eastAsia" w:ascii="MS UI Gothic" w:eastAsia="MS UI Gothic"/>
          <w:w w:val="80"/>
        </w:rPr>
        <w:t xml:space="preserve">ꎬ </w:t>
      </w:r>
      <w:r>
        <w:t>未经检验和检验不合格的特种设备</w:t>
      </w:r>
      <w:r>
        <w:rPr>
          <w:rFonts w:hint="eastAsia" w:ascii="MS UI Gothic" w:eastAsia="MS UI Gothic"/>
          <w:w w:val="80"/>
        </w:rPr>
        <w:t>ꎬ</w:t>
      </w:r>
      <w:r>
        <w:t>或者国家明令淘汰和已经报废的特种设备</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第二十八条 特种设备出租单位不得</w:t>
      </w:r>
      <w:r>
        <w:t>出租未取得许可生产的特种设备或者国家明令淘汰和已经报废的特种设备</w:t>
      </w:r>
      <w:r>
        <w:rPr>
          <w:rFonts w:hint="eastAsia" w:ascii="MS UI Gothic" w:eastAsia="MS UI Gothic"/>
          <w:w w:val="80"/>
        </w:rPr>
        <w:t xml:space="preserve">ꎬ </w:t>
      </w:r>
      <w:r>
        <w:t>以及未按照安全技术规范的要求进行维护保养和</w:t>
      </w:r>
      <w:r>
        <w:rPr>
          <w:w w:val="105"/>
        </w:rPr>
        <w:t>未经检验或者检验不合格的特种设备</w:t>
      </w:r>
      <w:r>
        <w:rPr>
          <w:rFonts w:hint="eastAsia" w:ascii="MS UI Gothic" w:eastAsia="MS UI Gothic"/>
          <w:w w:val="80"/>
        </w:rPr>
        <w:t>ꎮ</w:t>
      </w:r>
    </w:p>
    <w:p>
      <w:pPr>
        <w:pStyle w:val="6"/>
        <w:tabs>
          <w:tab w:val="left" w:pos="1801"/>
        </w:tabs>
        <w:spacing w:line="252" w:lineRule="exact"/>
        <w:ind w:left="543" w:firstLine="0"/>
        <w:jc w:val="left"/>
      </w:pPr>
      <w:r>
        <w:rPr>
          <w:spacing w:val="3"/>
          <w:w w:val="105"/>
        </w:rPr>
        <w:t>第二十九</w:t>
      </w:r>
      <w:r>
        <w:rPr>
          <w:w w:val="105"/>
        </w:rPr>
        <w:t>条</w:t>
      </w:r>
      <w:r>
        <w:rPr>
          <w:w w:val="105"/>
        </w:rPr>
        <w:tab/>
      </w:r>
      <w:r>
        <w:rPr>
          <w:spacing w:val="3"/>
        </w:rPr>
        <w:t>特种设备在出租期间</w:t>
      </w:r>
      <w:r>
        <w:t>的</w:t>
      </w:r>
    </w:p>
    <w:p>
      <w:pPr>
        <w:pStyle w:val="6"/>
        <w:spacing w:before="123" w:line="295" w:lineRule="auto"/>
        <w:ind w:right="442" w:firstLine="0"/>
        <w:rPr>
          <w:rFonts w:hint="eastAsia" w:ascii="MS UI Gothic" w:eastAsia="MS UI Gothic"/>
        </w:rPr>
      </w:pPr>
      <w:r>
        <w:br w:type="column"/>
      </w:r>
      <w:r>
        <w:t>使用管理和维护保养义务由特种设备出租单位承担</w:t>
      </w:r>
      <w:r>
        <w:rPr>
          <w:rFonts w:hint="eastAsia" w:ascii="MS UI Gothic" w:eastAsia="MS UI Gothic"/>
          <w:w w:val="80"/>
        </w:rPr>
        <w:t xml:space="preserve">ꎬ </w:t>
      </w:r>
      <w:r>
        <w:t>法律另有规定或者当事人另有</w:t>
      </w:r>
      <w:r>
        <w:rPr>
          <w:w w:val="105"/>
        </w:rPr>
        <w:t>约定的除外</w:t>
      </w:r>
      <w:r>
        <w:rPr>
          <w:rFonts w:hint="eastAsia" w:ascii="MS UI Gothic" w:eastAsia="MS UI Gothic"/>
          <w:w w:val="80"/>
        </w:rPr>
        <w:t>ꎮ</w:t>
      </w:r>
    </w:p>
    <w:p>
      <w:pPr>
        <w:pStyle w:val="6"/>
        <w:spacing w:line="295" w:lineRule="auto"/>
        <w:ind w:right="440"/>
        <w:rPr>
          <w:rFonts w:hint="eastAsia" w:ascii="MS UI Gothic" w:eastAsia="MS UI Gothic"/>
        </w:rPr>
      </w:pPr>
      <w:r>
        <w:t>第三十条 进口的特种设备应当符合我国安全技术规范的要求</w:t>
      </w:r>
      <w:r>
        <w:rPr>
          <w:rFonts w:hint="eastAsia" w:ascii="MS UI Gothic" w:eastAsia="MS UI Gothic"/>
          <w:w w:val="80"/>
        </w:rPr>
        <w:t xml:space="preserve">ꎬ </w:t>
      </w:r>
      <w:r>
        <w:t>并经检验合格</w:t>
      </w:r>
      <w:r>
        <w:rPr>
          <w:rFonts w:hint="eastAsia" w:ascii="MS UI Gothic" w:eastAsia="MS UI Gothic"/>
          <w:w w:val="80"/>
        </w:rPr>
        <w:t xml:space="preserve">ꎻ </w:t>
      </w:r>
      <w:r>
        <w:t>需要取得我国特种设备生产许可的</w:t>
      </w:r>
      <w:r>
        <w:rPr>
          <w:rFonts w:hint="eastAsia" w:ascii="MS UI Gothic" w:eastAsia="MS UI Gothic"/>
          <w:w w:val="80"/>
        </w:rPr>
        <w:t>ꎬ</w:t>
      </w:r>
      <w:r>
        <w:t>应当取得许可</w:t>
      </w:r>
      <w:r>
        <w:rPr>
          <w:rFonts w:hint="eastAsia" w:ascii="MS UI Gothic" w:eastAsia="MS UI Gothic"/>
          <w:w w:val="80"/>
        </w:rPr>
        <w:t>ꎮ</w:t>
      </w:r>
    </w:p>
    <w:p>
      <w:pPr>
        <w:pStyle w:val="6"/>
        <w:spacing w:line="295" w:lineRule="auto"/>
        <w:ind w:right="442"/>
        <w:rPr>
          <w:rFonts w:hint="eastAsia" w:ascii="MS UI Gothic" w:eastAsia="MS UI Gothic"/>
        </w:rPr>
      </w:pPr>
      <w:r>
        <w:t>进口特种设备随附的技术资料和文件应当符合本法第二十一条的规定</w:t>
      </w:r>
      <w:r>
        <w:rPr>
          <w:rFonts w:hint="eastAsia" w:ascii="MS UI Gothic" w:eastAsia="MS UI Gothic"/>
          <w:w w:val="80"/>
        </w:rPr>
        <w:t xml:space="preserve">ꎬ </w:t>
      </w:r>
      <w:r>
        <w:t>其安装</w:t>
      </w:r>
      <w:r>
        <w:rPr>
          <w:w w:val="105"/>
        </w:rPr>
        <w:t>及使用维护保养说明</w:t>
      </w:r>
      <w:r>
        <w:rPr>
          <w:rFonts w:hint="eastAsia" w:ascii="MS UI Gothic" w:eastAsia="MS UI Gothic"/>
          <w:w w:val="80"/>
        </w:rPr>
        <w:t xml:space="preserve">、 </w:t>
      </w:r>
      <w:r>
        <w:rPr>
          <w:w w:val="105"/>
        </w:rPr>
        <w:t>产品铭牌</w:t>
      </w:r>
      <w:r>
        <w:rPr>
          <w:rFonts w:hint="eastAsia" w:ascii="MS UI Gothic" w:eastAsia="MS UI Gothic"/>
          <w:w w:val="80"/>
        </w:rPr>
        <w:t xml:space="preserve">、 </w:t>
      </w:r>
      <w:r>
        <w:rPr>
          <w:w w:val="105"/>
        </w:rPr>
        <w:t>安全警示标志及其说明应当采用中文</w:t>
      </w:r>
      <w:r>
        <w:rPr>
          <w:rFonts w:hint="eastAsia" w:ascii="MS UI Gothic" w:eastAsia="MS UI Gothic"/>
          <w:w w:val="80"/>
        </w:rPr>
        <w:t>ꎮ</w:t>
      </w:r>
    </w:p>
    <w:p>
      <w:pPr>
        <w:pStyle w:val="6"/>
        <w:spacing w:line="295" w:lineRule="auto"/>
        <w:ind w:right="442"/>
        <w:rPr>
          <w:rFonts w:hint="eastAsia" w:ascii="MS UI Gothic" w:eastAsia="MS UI Gothic"/>
        </w:rPr>
      </w:pPr>
      <w:r>
        <w:t>特种设备的进出口检验</w:t>
      </w:r>
      <w:r>
        <w:rPr>
          <w:rFonts w:hint="eastAsia" w:ascii="MS UI Gothic" w:eastAsia="MS UI Gothic"/>
          <w:w w:val="80"/>
        </w:rPr>
        <w:t xml:space="preserve">ꎬ </w:t>
      </w:r>
      <w:r>
        <w:t>应当遵守有关进出口商品检验的法律</w:t>
      </w:r>
      <w:r>
        <w:rPr>
          <w:rFonts w:hint="eastAsia" w:ascii="MS UI Gothic" w:eastAsia="MS UI Gothic"/>
          <w:w w:val="80"/>
        </w:rPr>
        <w:t xml:space="preserve">、 </w:t>
      </w:r>
      <w:r>
        <w:t>行政法规</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第三十一条 进口特种设备</w:t>
      </w:r>
      <w:r>
        <w:rPr>
          <w:rFonts w:hint="eastAsia" w:ascii="MS UI Gothic" w:eastAsia="MS UI Gothic"/>
          <w:w w:val="80"/>
        </w:rPr>
        <w:t xml:space="preserve">ꎬ </w:t>
      </w:r>
      <w:r>
        <w:rPr>
          <w:w w:val="105"/>
        </w:rPr>
        <w:t>应当向</w:t>
      </w:r>
      <w:r>
        <w:t>进口地负责特种设备安全监督管理的部门</w:t>
      </w:r>
      <w:r>
        <w:rPr>
          <w:w w:val="105"/>
        </w:rPr>
        <w:t>履行提前告知义务</w:t>
      </w:r>
      <w:r>
        <w:rPr>
          <w:rFonts w:hint="eastAsia" w:ascii="MS UI Gothic" w:eastAsia="MS UI Gothic"/>
          <w:w w:val="80"/>
        </w:rPr>
        <w:t>ꎮ</w:t>
      </w:r>
    </w:p>
    <w:p>
      <w:pPr>
        <w:pStyle w:val="6"/>
        <w:tabs>
          <w:tab w:val="left" w:pos="2011"/>
          <w:tab w:val="left" w:pos="2639"/>
        </w:tabs>
        <w:spacing w:before="145"/>
        <w:ind w:left="1172" w:firstLine="0"/>
        <w:jc w:val="left"/>
      </w:pPr>
      <w:r>
        <w:rPr>
          <w:spacing w:val="3"/>
          <w:w w:val="105"/>
        </w:rPr>
        <w:t>第四</w:t>
      </w:r>
      <w:r>
        <w:rPr>
          <w:w w:val="105"/>
        </w:rPr>
        <w:t>节</w:t>
      </w:r>
      <w:r>
        <w:rPr>
          <w:w w:val="105"/>
        </w:rPr>
        <w:tab/>
      </w:r>
      <w:r>
        <w:rPr>
          <w:w w:val="105"/>
        </w:rPr>
        <w:t>使</w:t>
      </w:r>
      <w:r>
        <w:rPr>
          <w:w w:val="105"/>
        </w:rPr>
        <w:tab/>
      </w:r>
      <w:r>
        <w:rPr>
          <w:w w:val="105"/>
        </w:rPr>
        <w:t>用</w:t>
      </w:r>
    </w:p>
    <w:p>
      <w:pPr>
        <w:pStyle w:val="6"/>
        <w:spacing w:before="10"/>
        <w:ind w:left="0" w:firstLine="0"/>
        <w:jc w:val="left"/>
        <w:rPr>
          <w:sz w:val="16"/>
        </w:rPr>
      </w:pPr>
    </w:p>
    <w:p>
      <w:pPr>
        <w:pStyle w:val="6"/>
        <w:spacing w:line="295" w:lineRule="auto"/>
        <w:ind w:right="442"/>
        <w:rPr>
          <w:rFonts w:hint="eastAsia" w:ascii="MS UI Gothic" w:eastAsia="MS UI Gothic"/>
        </w:rPr>
      </w:pPr>
      <w:r>
        <w:rPr>
          <w:w w:val="105"/>
        </w:rPr>
        <w:t>第三十二条 特种设备使用单位应当</w:t>
      </w:r>
      <w:r>
        <w:t>使用取得许可生产并经检验合格的特种</w:t>
      </w:r>
      <w:r>
        <w:rPr>
          <w:w w:val="105"/>
        </w:rPr>
        <w:t>设备</w:t>
      </w:r>
      <w:r>
        <w:rPr>
          <w:rFonts w:hint="eastAsia" w:ascii="MS UI Gothic" w:eastAsia="MS UI Gothic"/>
          <w:w w:val="80"/>
        </w:rPr>
        <w:t>ꎮ</w:t>
      </w:r>
    </w:p>
    <w:p>
      <w:pPr>
        <w:pStyle w:val="6"/>
        <w:spacing w:line="295" w:lineRule="auto"/>
        <w:ind w:right="442"/>
        <w:jc w:val="left"/>
        <w:rPr>
          <w:rFonts w:hint="eastAsia" w:ascii="MS UI Gothic" w:eastAsia="MS UI Gothic"/>
        </w:rPr>
      </w:pPr>
      <w:r>
        <w:t>禁止使用国家明令淘汰和已经报废的</w:t>
      </w:r>
      <w:r>
        <w:rPr>
          <w:w w:val="105"/>
        </w:rPr>
        <w:t>特种设备</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第三十三条 特种设备使用单位应当</w:t>
      </w:r>
      <w:r>
        <w:t>在特种设备投入使用前或者投入使用后三十日内</w:t>
      </w:r>
      <w:r>
        <w:rPr>
          <w:rFonts w:hint="eastAsia" w:ascii="MS UI Gothic" w:eastAsia="MS UI Gothic"/>
          <w:w w:val="80"/>
        </w:rPr>
        <w:t xml:space="preserve">ꎬ </w:t>
      </w:r>
      <w:r>
        <w:t>向负责特种设备安全监督管理的部门办理使用登记</w:t>
      </w:r>
      <w:r>
        <w:rPr>
          <w:rFonts w:hint="eastAsia" w:ascii="MS UI Gothic" w:eastAsia="MS UI Gothic"/>
          <w:w w:val="80"/>
        </w:rPr>
        <w:t xml:space="preserve">ꎬ </w:t>
      </w:r>
      <w:r>
        <w:t>取得使用登记证书</w:t>
      </w:r>
      <w:r>
        <w:rPr>
          <w:rFonts w:hint="eastAsia" w:ascii="MS UI Gothic" w:eastAsia="MS UI Gothic"/>
          <w:w w:val="80"/>
        </w:rPr>
        <w:t>ꎮ</w:t>
      </w:r>
      <w:r>
        <w:t>登记标志应当置于该特种设备的显著</w:t>
      </w:r>
      <w:r>
        <w:rPr>
          <w:w w:val="105"/>
        </w:rPr>
        <w:t>位置</w:t>
      </w:r>
      <w:r>
        <w:rPr>
          <w:rFonts w:hint="eastAsia" w:ascii="MS UI Gothic" w:eastAsia="MS UI Gothic"/>
          <w:w w:val="80"/>
        </w:rPr>
        <w:t>ꎮ</w:t>
      </w:r>
    </w:p>
    <w:p>
      <w:pPr>
        <w:pStyle w:val="6"/>
        <w:spacing w:line="295" w:lineRule="auto"/>
        <w:ind w:right="442"/>
        <w:rPr>
          <w:rFonts w:hint="eastAsia" w:ascii="MS UI Gothic" w:eastAsia="MS UI Gothic"/>
        </w:rPr>
      </w:pPr>
      <w:r>
        <w:t>第三十四条 特种设备使用单位应当建立岗位责任</w:t>
      </w:r>
      <w:r>
        <w:rPr>
          <w:rFonts w:hint="eastAsia" w:ascii="MS UI Gothic" w:eastAsia="MS UI Gothic"/>
          <w:w w:val="80"/>
        </w:rPr>
        <w:t xml:space="preserve">、 </w:t>
      </w:r>
      <w:r>
        <w:t>隐患治理</w:t>
      </w:r>
      <w:r>
        <w:rPr>
          <w:rFonts w:hint="eastAsia" w:ascii="MS UI Gothic" w:eastAsia="MS UI Gothic"/>
          <w:w w:val="80"/>
        </w:rPr>
        <w:t xml:space="preserve">、 </w:t>
      </w:r>
      <w:r>
        <w:t>应急救援等安全管理制度</w:t>
      </w:r>
      <w:r>
        <w:rPr>
          <w:rFonts w:hint="eastAsia" w:ascii="MS UI Gothic" w:eastAsia="MS UI Gothic"/>
          <w:w w:val="80"/>
        </w:rPr>
        <w:t xml:space="preserve">ꎬ </w:t>
      </w:r>
      <w:r>
        <w:t>制定操作规程</w:t>
      </w:r>
      <w:r>
        <w:rPr>
          <w:rFonts w:hint="eastAsia" w:ascii="MS UI Gothic" w:eastAsia="MS UI Gothic"/>
          <w:w w:val="80"/>
        </w:rPr>
        <w:t xml:space="preserve">ꎬ </w:t>
      </w:r>
      <w:r>
        <w:t>保证特种设备安全运行</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第三十五条 特种设备使用单位应当</w:t>
      </w:r>
      <w:r>
        <w:t>建立特种设备安全技术档案</w:t>
      </w:r>
      <w:r>
        <w:rPr>
          <w:rFonts w:hint="eastAsia" w:ascii="MS UI Gothic" w:eastAsia="MS UI Gothic"/>
          <w:w w:val="80"/>
        </w:rPr>
        <w:t xml:space="preserve">ꎮ </w:t>
      </w:r>
      <w:r>
        <w:t>安全技术档</w:t>
      </w:r>
      <w:r>
        <w:rPr>
          <w:w w:val="105"/>
        </w:rPr>
        <w:t>案应当包括以下内容</w:t>
      </w:r>
      <w:r>
        <w:rPr>
          <w:rFonts w:hint="eastAsia" w:ascii="MS UI Gothic" w:eastAsia="MS UI Gothic"/>
          <w:w w:val="235"/>
        </w:rPr>
        <w:t>:</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特种设备的设计文件</w:t>
      </w:r>
      <w:r>
        <w:rPr>
          <w:rFonts w:hint="eastAsia" w:ascii="MS UI Gothic" w:eastAsia="MS UI Gothic"/>
          <w:w w:val="80"/>
        </w:rPr>
        <w:t xml:space="preserve">、 </w:t>
      </w:r>
      <w:r>
        <w:rPr>
          <w:w w:val="105"/>
        </w:rPr>
        <w:t>产品质量合格证明</w:t>
      </w:r>
      <w:r>
        <w:rPr>
          <w:rFonts w:hint="eastAsia" w:ascii="MS UI Gothic" w:eastAsia="MS UI Gothic"/>
          <w:w w:val="80"/>
        </w:rPr>
        <w:t xml:space="preserve">、 </w:t>
      </w:r>
      <w:r>
        <w:rPr>
          <w:w w:val="105"/>
        </w:rPr>
        <w:t>安装及使用维护保养说明</w:t>
      </w:r>
      <w:r>
        <w:rPr>
          <w:rFonts w:hint="eastAsia" w:ascii="MS UI Gothic" w:eastAsia="MS UI Gothic"/>
          <w:w w:val="80"/>
        </w:rPr>
        <w:t>、</w:t>
      </w:r>
      <w:r>
        <w:rPr>
          <w:w w:val="105"/>
        </w:rPr>
        <w:t>监督检验证明等相关技术资料和文件</w:t>
      </w:r>
      <w:r>
        <w:rPr>
          <w:rFonts w:hint="eastAsia" w:ascii="MS UI Gothic" w:eastAsia="MS UI Gothic"/>
          <w:w w:val="80"/>
        </w:rPr>
        <w:t>ꎻ</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４５９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78" o:spid="_x0000_s2378" o:spt="203" style="height:2.15pt;width:398.25pt;" coordsize="7965,43">
            <o:lock v:ext="edit"/>
            <v:line id="_x0000_s2379" o:spid="_x0000_s2379" o:spt="20" style="position:absolute;left:0;top:39;height:0;width:7965;" stroked="t" coordsize="21600,21600">
              <v:path arrowok="t"/>
              <v:fill focussize="0,0"/>
              <v:stroke weight="0.388031496062992pt" color="#231F20"/>
              <v:imagedata o:title=""/>
              <o:lock v:ext="edit"/>
            </v:line>
            <v:line id="_x0000_s2380" o:spid="_x0000_s238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特种设备的定期检验和定期自</w:t>
      </w:r>
      <w:r>
        <w:rPr>
          <w:w w:val="110"/>
        </w:rPr>
        <w:t>行检查记录</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0"/>
          <w:w w:val="110"/>
        </w:rPr>
        <w:t>特种设备的日常使用状况</w:t>
      </w:r>
      <w:r>
        <w:rPr>
          <w:spacing w:val="3"/>
          <w:w w:val="110"/>
        </w:rPr>
        <w:t>记录</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特种设备及其附属仪器仪表的</w:t>
      </w:r>
      <w:r>
        <w:rPr>
          <w:w w:val="110"/>
        </w:rPr>
        <w:t>维护保养记录</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15"/>
        </w:rPr>
        <w:t xml:space="preserve">( </w:t>
      </w:r>
      <w:r>
        <w:rPr>
          <w:w w:val="110"/>
        </w:rPr>
        <w:t>五</w:t>
      </w:r>
      <w:r>
        <w:rPr>
          <w:rFonts w:hint="eastAsia" w:ascii="MS UI Gothic" w:eastAsia="MS UI Gothic"/>
          <w:w w:val="115"/>
        </w:rPr>
        <w:t xml:space="preserve">) </w:t>
      </w:r>
      <w:r>
        <w:rPr>
          <w:w w:val="110"/>
        </w:rPr>
        <w:t>特种设备的运行故障和事故记录</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第三十六条 电梯</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w:t>
      </w:r>
      <w:r>
        <w:t>游乐设施等为公众提供服务的特种设备的运营使用单位</w:t>
      </w:r>
      <w:r>
        <w:rPr>
          <w:rFonts w:hint="eastAsia" w:ascii="MS UI Gothic" w:eastAsia="MS UI Gothic"/>
          <w:w w:val="80"/>
        </w:rPr>
        <w:t xml:space="preserve">ꎬ </w:t>
      </w:r>
      <w:r>
        <w:t>应当对特种设备的使用安全负责</w:t>
      </w:r>
      <w:r>
        <w:rPr>
          <w:rFonts w:hint="eastAsia" w:ascii="MS UI Gothic" w:eastAsia="MS UI Gothic"/>
          <w:w w:val="80"/>
        </w:rPr>
        <w:t xml:space="preserve">ꎬ </w:t>
      </w:r>
      <w:r>
        <w:t>设置特种设备安全管理机构或者配备专职的特种设备安全管理人员</w:t>
      </w:r>
      <w:r>
        <w:rPr>
          <w:rFonts w:hint="eastAsia" w:ascii="MS UI Gothic" w:eastAsia="MS UI Gothic"/>
          <w:w w:val="80"/>
        </w:rPr>
        <w:t xml:space="preserve">ꎻ </w:t>
      </w:r>
      <w:r>
        <w:t>其他特种设备使用单位</w:t>
      </w:r>
      <w:r>
        <w:rPr>
          <w:rFonts w:hint="eastAsia" w:ascii="MS UI Gothic" w:eastAsia="MS UI Gothic"/>
          <w:w w:val="80"/>
        </w:rPr>
        <w:t xml:space="preserve">ꎬ </w:t>
      </w:r>
      <w:r>
        <w:t>应当根据情况设置特</w:t>
      </w:r>
      <w:r>
        <w:rPr>
          <w:w w:val="105"/>
        </w:rPr>
        <w:t>种设备安全管理机构或者配备专职</w:t>
      </w:r>
      <w:r>
        <w:rPr>
          <w:rFonts w:hint="eastAsia" w:ascii="MS UI Gothic" w:eastAsia="MS UI Gothic"/>
          <w:w w:val="80"/>
        </w:rPr>
        <w:t xml:space="preserve">、 </w:t>
      </w:r>
      <w:r>
        <w:rPr>
          <w:w w:val="105"/>
        </w:rPr>
        <w:t>兼职的特种设备安全管理人员</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第三十七条 特种设备的使用应当具有规定的安全距离</w:t>
      </w:r>
      <w:r>
        <w:rPr>
          <w:rFonts w:hint="eastAsia" w:ascii="MS UI Gothic" w:eastAsia="MS UI Gothic"/>
          <w:w w:val="80"/>
        </w:rPr>
        <w:t xml:space="preserve">、 </w:t>
      </w:r>
      <w:r>
        <w:rPr>
          <w:w w:val="105"/>
        </w:rPr>
        <w:t>安全防护措施</w:t>
      </w:r>
      <w:r>
        <w:rPr>
          <w:rFonts w:hint="eastAsia" w:ascii="MS UI Gothic" w:eastAsia="MS UI Gothic"/>
          <w:w w:val="80"/>
        </w:rPr>
        <w:t>ꎮ</w:t>
      </w:r>
    </w:p>
    <w:p>
      <w:pPr>
        <w:pStyle w:val="6"/>
        <w:spacing w:line="295" w:lineRule="auto"/>
        <w:ind w:left="440" w:right="1"/>
        <w:rPr>
          <w:rFonts w:hint="eastAsia" w:ascii="MS UI Gothic" w:eastAsia="MS UI Gothic"/>
        </w:rPr>
      </w:pPr>
      <w:r>
        <w:t>与特种设备安全相关的建筑物</w:t>
      </w:r>
      <w:r>
        <w:rPr>
          <w:rFonts w:hint="eastAsia" w:ascii="MS UI Gothic" w:eastAsia="MS UI Gothic"/>
          <w:w w:val="80"/>
        </w:rPr>
        <w:t xml:space="preserve">、 </w:t>
      </w:r>
      <w:r>
        <w:t>附属设施</w:t>
      </w:r>
      <w:r>
        <w:rPr>
          <w:rFonts w:hint="eastAsia" w:ascii="MS UI Gothic" w:eastAsia="MS UI Gothic"/>
          <w:w w:val="80"/>
        </w:rPr>
        <w:t xml:space="preserve">ꎬ </w:t>
      </w:r>
      <w:r>
        <w:t>应当符合有关法律</w:t>
      </w:r>
      <w:r>
        <w:rPr>
          <w:rFonts w:hint="eastAsia" w:ascii="MS UI Gothic" w:eastAsia="MS UI Gothic"/>
          <w:w w:val="80"/>
        </w:rPr>
        <w:t xml:space="preserve">、 </w:t>
      </w:r>
      <w:r>
        <w:t>行政法规的规定</w:t>
      </w:r>
      <w:r>
        <w:rPr>
          <w:rFonts w:hint="eastAsia" w:ascii="MS UI Gothic" w:eastAsia="MS UI Gothic"/>
          <w:w w:val="80"/>
        </w:rPr>
        <w:t>ꎮ</w:t>
      </w:r>
    </w:p>
    <w:p>
      <w:pPr>
        <w:pStyle w:val="6"/>
        <w:spacing w:line="295" w:lineRule="auto"/>
        <w:ind w:left="440"/>
        <w:rPr>
          <w:rFonts w:hint="eastAsia" w:ascii="MS UI Gothic" w:eastAsia="MS UI Gothic"/>
        </w:rPr>
      </w:pPr>
      <w:r>
        <w:t>第三十八条 特种设备属于共有的</w:t>
      </w:r>
      <w:r>
        <w:rPr>
          <w:rFonts w:hint="eastAsia" w:ascii="MS UI Gothic" w:eastAsia="MS UI Gothic"/>
          <w:w w:val="80"/>
        </w:rPr>
        <w:t>ꎬ</w:t>
      </w:r>
      <w:r>
        <w:t>共有人可以委托物业服务单位或者其他管理人管理特种设备</w:t>
      </w:r>
      <w:r>
        <w:rPr>
          <w:rFonts w:hint="eastAsia" w:ascii="MS UI Gothic" w:eastAsia="MS UI Gothic"/>
          <w:w w:val="80"/>
        </w:rPr>
        <w:t xml:space="preserve">ꎬ </w:t>
      </w:r>
      <w:r>
        <w:t>受托人履行本法规定的特种设备使用单位的义务</w:t>
      </w:r>
      <w:r>
        <w:rPr>
          <w:rFonts w:hint="eastAsia" w:ascii="MS UI Gothic" w:eastAsia="MS UI Gothic"/>
          <w:w w:val="80"/>
        </w:rPr>
        <w:t xml:space="preserve">ꎬ </w:t>
      </w:r>
      <w:r>
        <w:t>承担相应责任</w:t>
      </w:r>
      <w:r>
        <w:rPr>
          <w:rFonts w:hint="eastAsia" w:ascii="MS UI Gothic" w:eastAsia="MS UI Gothic"/>
          <w:w w:val="80"/>
        </w:rPr>
        <w:t xml:space="preserve">ꎮ </w:t>
      </w:r>
      <w:r>
        <w:t>共有人未委托的</w:t>
      </w:r>
      <w:r>
        <w:rPr>
          <w:rFonts w:hint="eastAsia" w:ascii="MS UI Gothic" w:eastAsia="MS UI Gothic"/>
          <w:w w:val="80"/>
        </w:rPr>
        <w:t xml:space="preserve">ꎬ </w:t>
      </w:r>
      <w:r>
        <w:t>由共有人或者实际管理人履行管理义务</w:t>
      </w:r>
      <w:r>
        <w:rPr>
          <w:rFonts w:hint="eastAsia" w:ascii="MS UI Gothic" w:eastAsia="MS UI Gothic"/>
          <w:w w:val="80"/>
        </w:rPr>
        <w:t xml:space="preserve">ꎬ </w:t>
      </w:r>
      <w:r>
        <w:t>承担相应责任</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第三十九条 特种设备使用单位应当</w:t>
      </w:r>
      <w:r>
        <w:t>对其使用的特种设备进行经常性维护保养</w:t>
      </w:r>
      <w:r>
        <w:rPr>
          <w:w w:val="105"/>
        </w:rPr>
        <w:t>和定期自行检查</w:t>
      </w:r>
      <w:r>
        <w:rPr>
          <w:rFonts w:hint="eastAsia" w:ascii="MS UI Gothic" w:eastAsia="MS UI Gothic"/>
          <w:w w:val="80"/>
        </w:rPr>
        <w:t xml:space="preserve">ꎬ </w:t>
      </w:r>
      <w:r>
        <w:rPr>
          <w:w w:val="105"/>
        </w:rPr>
        <w:t>并作出记录</w:t>
      </w:r>
      <w:r>
        <w:rPr>
          <w:rFonts w:hint="eastAsia" w:ascii="MS UI Gothic" w:eastAsia="MS UI Gothic"/>
          <w:w w:val="80"/>
        </w:rPr>
        <w:t>ꎮ</w:t>
      </w:r>
    </w:p>
    <w:p>
      <w:pPr>
        <w:pStyle w:val="6"/>
        <w:spacing w:line="295" w:lineRule="auto"/>
        <w:ind w:left="440" w:right="1"/>
        <w:rPr>
          <w:rFonts w:hint="eastAsia" w:ascii="MS UI Gothic" w:eastAsia="MS UI Gothic"/>
        </w:rPr>
      </w:pPr>
      <w:r>
        <w:t>特种设备使用单位应当对其使用的特种设备的安全附件</w:t>
      </w:r>
      <w:r>
        <w:rPr>
          <w:rFonts w:hint="eastAsia" w:ascii="MS UI Gothic" w:eastAsia="MS UI Gothic"/>
          <w:w w:val="80"/>
        </w:rPr>
        <w:t xml:space="preserve">、 </w:t>
      </w:r>
      <w:r>
        <w:t>安全保护装置进行定期校验</w:t>
      </w:r>
      <w:r>
        <w:rPr>
          <w:rFonts w:hint="eastAsia" w:ascii="MS UI Gothic" w:eastAsia="MS UI Gothic"/>
          <w:w w:val="80"/>
        </w:rPr>
        <w:t xml:space="preserve">、 </w:t>
      </w:r>
      <w:r>
        <w:t>检修</w:t>
      </w:r>
      <w:r>
        <w:rPr>
          <w:rFonts w:hint="eastAsia" w:ascii="MS UI Gothic" w:eastAsia="MS UI Gothic"/>
          <w:w w:val="80"/>
        </w:rPr>
        <w:t xml:space="preserve">ꎬ </w:t>
      </w:r>
      <w:r>
        <w:t>并作出记录</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第四十条 特种设备使用单位应当按</w:t>
      </w:r>
      <w:r>
        <w:t>照安全技术规范的要求</w:t>
      </w:r>
      <w:r>
        <w:rPr>
          <w:rFonts w:hint="eastAsia" w:ascii="MS UI Gothic" w:eastAsia="MS UI Gothic"/>
          <w:w w:val="80"/>
        </w:rPr>
        <w:t xml:space="preserve">ꎬ </w:t>
      </w:r>
      <w:r>
        <w:t>在检验合格有效期届满前一个月向特种设备检验机构提出</w:t>
      </w:r>
      <w:r>
        <w:rPr>
          <w:w w:val="105"/>
        </w:rPr>
        <w:t>定期检验要求</w:t>
      </w:r>
      <w:r>
        <w:rPr>
          <w:rFonts w:hint="eastAsia" w:ascii="MS UI Gothic" w:eastAsia="MS UI Gothic"/>
          <w:w w:val="80"/>
        </w:rPr>
        <w:t>ꎮ</w:t>
      </w:r>
    </w:p>
    <w:p>
      <w:pPr>
        <w:pStyle w:val="6"/>
        <w:spacing w:line="295" w:lineRule="auto"/>
        <w:ind w:left="440" w:right="1"/>
      </w:pPr>
      <w:r>
        <w:t>特种设备检验机构接到定期检验要求后</w:t>
      </w:r>
      <w:r>
        <w:rPr>
          <w:rFonts w:hint="eastAsia" w:ascii="MS UI Gothic" w:eastAsia="MS UI Gothic"/>
          <w:w w:val="80"/>
        </w:rPr>
        <w:t xml:space="preserve">ꎬ </w:t>
      </w:r>
      <w:r>
        <w:t>应当按照安全技术规范的要求及时进</w:t>
      </w:r>
    </w:p>
    <w:p>
      <w:pPr>
        <w:pStyle w:val="6"/>
        <w:spacing w:before="124" w:line="295" w:lineRule="auto"/>
        <w:ind w:left="381" w:right="126" w:firstLine="0"/>
        <w:rPr>
          <w:rFonts w:hint="eastAsia" w:ascii="MS UI Gothic" w:eastAsia="MS UI Gothic"/>
        </w:rPr>
      </w:pPr>
      <w:r>
        <w:br w:type="column"/>
      </w:r>
      <w:r>
        <w:t>行安全性能检验</w:t>
      </w:r>
      <w:r>
        <w:rPr>
          <w:rFonts w:hint="eastAsia" w:ascii="MS UI Gothic" w:eastAsia="MS UI Gothic"/>
          <w:w w:val="80"/>
        </w:rPr>
        <w:t xml:space="preserve">ꎮ </w:t>
      </w:r>
      <w:r>
        <w:t>特种设备使用单位应当将定期检验标志置于该特种设备的显著位置</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rPr>
        <w:t>未经定期检验或者检验不合格的特种</w:t>
      </w:r>
      <w:r>
        <w:rPr>
          <w:spacing w:val="3"/>
        </w:rPr>
        <w:t>设备</w:t>
      </w:r>
      <w:r>
        <w:rPr>
          <w:rFonts w:hint="eastAsia" w:ascii="MS UI Gothic" w:eastAsia="MS UI Gothic"/>
          <w:spacing w:val="2"/>
          <w:w w:val="80"/>
        </w:rPr>
        <w:t xml:space="preserve">ꎬ </w:t>
      </w:r>
      <w:r>
        <w:rPr>
          <w:spacing w:val="3"/>
        </w:rPr>
        <w:t>不得继续使用</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4"/>
        </w:rPr>
        <w:t>第四十一条 特种设备安全管理人员</w:t>
      </w:r>
      <w:r>
        <w:rPr>
          <w:spacing w:val="11"/>
        </w:rPr>
        <w:t>应当对特种设备使用状况进行经常性检</w:t>
      </w:r>
      <w:r>
        <w:rPr>
          <w:spacing w:val="3"/>
        </w:rPr>
        <w:t>查</w:t>
      </w:r>
      <w:r>
        <w:rPr>
          <w:rFonts w:hint="eastAsia" w:ascii="MS UI Gothic" w:eastAsia="MS UI Gothic"/>
          <w:spacing w:val="22"/>
          <w:w w:val="80"/>
        </w:rPr>
        <w:t xml:space="preserve">ꎬ </w:t>
      </w:r>
      <w:r>
        <w:rPr>
          <w:spacing w:val="15"/>
        </w:rPr>
        <w:t>发现问题应当立即处理</w:t>
      </w:r>
      <w:r>
        <w:rPr>
          <w:rFonts w:hint="eastAsia" w:ascii="MS UI Gothic" w:eastAsia="MS UI Gothic"/>
          <w:spacing w:val="3"/>
          <w:w w:val="80"/>
        </w:rPr>
        <w:t xml:space="preserve">ꎻ </w:t>
      </w:r>
      <w:r>
        <w:rPr>
          <w:spacing w:val="17"/>
        </w:rPr>
        <w:t>情况紧急</w:t>
      </w:r>
      <w:r>
        <w:rPr>
          <w:spacing w:val="3"/>
        </w:rPr>
        <w:t>时</w:t>
      </w:r>
      <w:r>
        <w:rPr>
          <w:rFonts w:hint="eastAsia" w:ascii="MS UI Gothic" w:eastAsia="MS UI Gothic"/>
          <w:spacing w:val="20"/>
          <w:w w:val="80"/>
        </w:rPr>
        <w:t xml:space="preserve">ꎬ </w:t>
      </w:r>
      <w:r>
        <w:rPr>
          <w:spacing w:val="2"/>
        </w:rPr>
        <w:t>可以决定停止使用特种设备并及时报</w:t>
      </w:r>
      <w:r>
        <w:rPr>
          <w:spacing w:val="3"/>
        </w:rPr>
        <w:t>告本单位有关负责人</w:t>
      </w:r>
      <w:r>
        <w:rPr>
          <w:rFonts w:hint="eastAsia" w:ascii="MS UI Gothic" w:eastAsia="MS UI Gothic"/>
          <w:w w:val="80"/>
        </w:rPr>
        <w:t>ꎮ</w:t>
      </w:r>
    </w:p>
    <w:p>
      <w:pPr>
        <w:pStyle w:val="6"/>
        <w:spacing w:line="295" w:lineRule="auto"/>
        <w:ind w:left="381" w:right="126"/>
        <w:rPr>
          <w:rFonts w:hint="eastAsia" w:ascii="MS UI Gothic" w:eastAsia="MS UI Gothic"/>
        </w:rPr>
      </w:pPr>
      <w:r>
        <w:t>特种设备作业人员在作业过程中发现事故隐患或者其他不安全因素</w:t>
      </w:r>
      <w:r>
        <w:rPr>
          <w:rFonts w:hint="eastAsia" w:ascii="MS UI Gothic" w:eastAsia="MS UI Gothic"/>
          <w:w w:val="80"/>
        </w:rPr>
        <w:t xml:space="preserve">ꎬ </w:t>
      </w:r>
      <w:r>
        <w:t>应当立即向特种设备安全管理人员和单位有关负责人报告</w:t>
      </w:r>
      <w:r>
        <w:rPr>
          <w:rFonts w:hint="eastAsia" w:ascii="MS UI Gothic" w:eastAsia="MS UI Gothic"/>
          <w:w w:val="80"/>
        </w:rPr>
        <w:t xml:space="preserve">ꎻ </w:t>
      </w:r>
      <w:r>
        <w:t>特种设备运行不正常时</w:t>
      </w:r>
      <w:r>
        <w:rPr>
          <w:rFonts w:hint="eastAsia" w:ascii="MS UI Gothic" w:eastAsia="MS UI Gothic"/>
          <w:w w:val="80"/>
        </w:rPr>
        <w:t xml:space="preserve">ꎬ </w:t>
      </w:r>
      <w:r>
        <w:t>特种设备作业人员应当按照操作规程采取有效措</w:t>
      </w:r>
      <w:r>
        <w:rPr>
          <w:w w:val="105"/>
        </w:rPr>
        <w:t>施保证安全</w:t>
      </w:r>
      <w:r>
        <w:rPr>
          <w:rFonts w:hint="eastAsia" w:ascii="MS UI Gothic" w:eastAsia="MS UI Gothic"/>
          <w:w w:val="80"/>
        </w:rPr>
        <w:t>ꎮ</w:t>
      </w:r>
    </w:p>
    <w:p>
      <w:pPr>
        <w:pStyle w:val="6"/>
        <w:spacing w:line="295" w:lineRule="auto"/>
        <w:ind w:left="381" w:right="126"/>
        <w:rPr>
          <w:rFonts w:hint="eastAsia" w:ascii="MS UI Gothic" w:eastAsia="MS UI Gothic"/>
        </w:rPr>
      </w:pPr>
      <w:r>
        <w:t>第四十二条 特种设备出现故障或者发生异常情况</w:t>
      </w:r>
      <w:r>
        <w:rPr>
          <w:rFonts w:hint="eastAsia" w:ascii="MS UI Gothic" w:eastAsia="MS UI Gothic"/>
          <w:w w:val="80"/>
        </w:rPr>
        <w:t xml:space="preserve">ꎬ </w:t>
      </w:r>
      <w:r>
        <w:t>特种设备使用单位应当对其进行全面检查</w:t>
      </w:r>
      <w:r>
        <w:rPr>
          <w:rFonts w:hint="eastAsia" w:ascii="MS UI Gothic" w:eastAsia="MS UI Gothic"/>
          <w:w w:val="80"/>
        </w:rPr>
        <w:t xml:space="preserve">ꎬ </w:t>
      </w:r>
      <w:r>
        <w:t>消除事故隐患</w:t>
      </w:r>
      <w:r>
        <w:rPr>
          <w:rFonts w:hint="eastAsia" w:ascii="MS UI Gothic" w:eastAsia="MS UI Gothic"/>
          <w:w w:val="80"/>
        </w:rPr>
        <w:t xml:space="preserve">ꎬ </w:t>
      </w:r>
      <w:r>
        <w:t>方可继续使用</w:t>
      </w:r>
      <w:r>
        <w:rPr>
          <w:rFonts w:hint="eastAsia" w:ascii="MS UI Gothic" w:eastAsia="MS UI Gothic"/>
          <w:w w:val="80"/>
        </w:rPr>
        <w:t>ꎮ</w:t>
      </w:r>
    </w:p>
    <w:p>
      <w:pPr>
        <w:pStyle w:val="6"/>
        <w:spacing w:line="295" w:lineRule="auto"/>
        <w:ind w:left="381" w:right="126"/>
        <w:rPr>
          <w:rFonts w:hint="eastAsia" w:ascii="MS UI Gothic" w:eastAsia="MS UI Gothic"/>
        </w:rPr>
      </w:pPr>
      <w:r>
        <w:t>第四十三条 客运索道</w:t>
      </w:r>
      <w:r>
        <w:rPr>
          <w:rFonts w:hint="eastAsia" w:ascii="MS UI Gothic" w:eastAsia="MS UI Gothic"/>
          <w:w w:val="80"/>
        </w:rPr>
        <w:t xml:space="preserve">、 </w:t>
      </w:r>
      <w:r>
        <w:t>大型游乐设施在每日投入使用前</w:t>
      </w:r>
      <w:r>
        <w:rPr>
          <w:rFonts w:hint="eastAsia" w:ascii="MS UI Gothic" w:eastAsia="MS UI Gothic"/>
          <w:w w:val="80"/>
        </w:rPr>
        <w:t xml:space="preserve">ꎬ </w:t>
      </w:r>
      <w:r>
        <w:t>其运营使用单位应当进行试运行和例行安全检查</w:t>
      </w:r>
      <w:r>
        <w:rPr>
          <w:rFonts w:hint="eastAsia" w:ascii="MS UI Gothic" w:eastAsia="MS UI Gothic"/>
          <w:w w:val="80"/>
        </w:rPr>
        <w:t xml:space="preserve">ꎬ </w:t>
      </w:r>
      <w:r>
        <w:t>并对安全附件和安全保护装置进行检查确认</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电梯</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大型游乐设施的运营使用单位应当将电梯</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大型游乐设施的安全使用说明</w:t>
      </w:r>
      <w:r>
        <w:rPr>
          <w:rFonts w:hint="eastAsia" w:ascii="MS UI Gothic" w:eastAsia="MS UI Gothic"/>
          <w:w w:val="80"/>
        </w:rPr>
        <w:t xml:space="preserve">、 </w:t>
      </w:r>
      <w:r>
        <w:rPr>
          <w:w w:val="105"/>
        </w:rPr>
        <w:t>安全注意事项</w:t>
      </w:r>
      <w:r>
        <w:t>和警示标志置于易于为乘客注意的显著</w:t>
      </w:r>
      <w:r>
        <w:rPr>
          <w:w w:val="105"/>
        </w:rPr>
        <w:t>位置</w:t>
      </w:r>
      <w:r>
        <w:rPr>
          <w:rFonts w:hint="eastAsia" w:ascii="MS UI Gothic" w:eastAsia="MS UI Gothic"/>
          <w:w w:val="80"/>
        </w:rPr>
        <w:t>ꎮ</w:t>
      </w:r>
    </w:p>
    <w:p>
      <w:pPr>
        <w:pStyle w:val="6"/>
        <w:spacing w:line="295" w:lineRule="auto"/>
        <w:ind w:left="381" w:right="124"/>
        <w:rPr>
          <w:rFonts w:hint="eastAsia" w:ascii="MS UI Gothic" w:eastAsia="MS UI Gothic"/>
        </w:rPr>
      </w:pPr>
      <w:r>
        <w:t>公众乘坐或者操作电梯</w:t>
      </w:r>
      <w:r>
        <w:rPr>
          <w:rFonts w:hint="eastAsia" w:ascii="MS UI Gothic" w:eastAsia="MS UI Gothic"/>
          <w:w w:val="80"/>
        </w:rPr>
        <w:t xml:space="preserve">、 </w:t>
      </w:r>
      <w:r>
        <w:t>客运索道</w:t>
      </w:r>
      <w:r>
        <w:rPr>
          <w:rFonts w:hint="eastAsia" w:ascii="MS UI Gothic" w:eastAsia="MS UI Gothic"/>
          <w:w w:val="80"/>
        </w:rPr>
        <w:t>、</w:t>
      </w:r>
      <w:r>
        <w:t>大型游乐设施</w:t>
      </w:r>
      <w:r>
        <w:rPr>
          <w:rFonts w:hint="eastAsia" w:ascii="MS UI Gothic" w:eastAsia="MS UI Gothic"/>
          <w:w w:val="80"/>
        </w:rPr>
        <w:t xml:space="preserve">ꎬ </w:t>
      </w:r>
      <w:r>
        <w:t>应当遵守安全使用说明和安全注意事项的要求</w:t>
      </w:r>
      <w:r>
        <w:rPr>
          <w:rFonts w:hint="eastAsia" w:ascii="MS UI Gothic" w:eastAsia="MS UI Gothic"/>
          <w:w w:val="80"/>
        </w:rPr>
        <w:t xml:space="preserve">ꎬ </w:t>
      </w:r>
      <w:r>
        <w:t>服从有关工作人员的管理和指挥</w:t>
      </w:r>
      <w:r>
        <w:rPr>
          <w:rFonts w:hint="eastAsia" w:ascii="MS UI Gothic" w:eastAsia="MS UI Gothic"/>
          <w:w w:val="80"/>
        </w:rPr>
        <w:t xml:space="preserve">ꎻ </w:t>
      </w:r>
      <w:r>
        <w:t>遇有运行不正常时</w:t>
      </w:r>
      <w:r>
        <w:rPr>
          <w:rFonts w:hint="eastAsia" w:ascii="MS UI Gothic" w:eastAsia="MS UI Gothic"/>
          <w:w w:val="80"/>
        </w:rPr>
        <w:t xml:space="preserve">ꎬ </w:t>
      </w:r>
      <w:r>
        <w:t>应当按照安全指引</w:t>
      </w:r>
      <w:r>
        <w:rPr>
          <w:rFonts w:hint="eastAsia" w:ascii="MS UI Gothic" w:eastAsia="MS UI Gothic"/>
          <w:w w:val="80"/>
        </w:rPr>
        <w:t xml:space="preserve">ꎬ </w:t>
      </w:r>
      <w:r>
        <w:t>有序撤离</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 xml:space="preserve">第四十四条 锅炉使用单位应当按照安全技术规范的要求进行锅炉水 </w:t>
      </w:r>
      <w:r>
        <w:rPr>
          <w:rFonts w:hint="eastAsia" w:ascii="MS UI Gothic" w:eastAsia="MS UI Gothic"/>
          <w:w w:val="150"/>
        </w:rPr>
        <w:t xml:space="preserve">( </w:t>
      </w:r>
      <w:r>
        <w:rPr>
          <w:w w:val="105"/>
        </w:rPr>
        <w:t>介</w:t>
      </w:r>
      <w:r>
        <w:rPr>
          <w:rFonts w:hint="eastAsia" w:ascii="MS UI Gothic" w:eastAsia="MS UI Gothic"/>
          <w:w w:val="150"/>
        </w:rPr>
        <w:t xml:space="preserve">) </w:t>
      </w:r>
      <w:r>
        <w:t>质处理</w:t>
      </w:r>
      <w:r>
        <w:rPr>
          <w:rFonts w:hint="eastAsia" w:ascii="MS UI Gothic" w:eastAsia="MS UI Gothic"/>
          <w:w w:val="80"/>
        </w:rPr>
        <w:t xml:space="preserve">ꎬ </w:t>
      </w:r>
      <w:r>
        <w:t>并接受特种设备检验机构的定期</w:t>
      </w:r>
      <w:r>
        <w:rPr>
          <w:w w:val="105"/>
        </w:rPr>
        <w:t>检验</w:t>
      </w:r>
      <w:r>
        <w:rPr>
          <w:rFonts w:hint="eastAsia" w:ascii="MS UI Gothic" w:eastAsia="MS UI Gothic"/>
          <w:w w:val="80"/>
        </w:rPr>
        <w:t>ꎮ</w:t>
      </w:r>
    </w:p>
    <w:p>
      <w:pPr>
        <w:pStyle w:val="6"/>
        <w:spacing w:line="253" w:lineRule="exact"/>
        <w:ind w:left="800" w:firstLine="0"/>
      </w:pPr>
      <w:r>
        <w:t>从事锅炉清洗</w:t>
      </w:r>
      <w:r>
        <w:rPr>
          <w:rFonts w:hint="eastAsia" w:ascii="MS UI Gothic" w:eastAsia="MS UI Gothic"/>
          <w:w w:val="80"/>
        </w:rPr>
        <w:t xml:space="preserve">ꎬ </w:t>
      </w:r>
      <w:r>
        <w:t>应当按照安全技术规</w:t>
      </w:r>
    </w:p>
    <w:p>
      <w:pPr>
        <w:spacing w:after="0" w:line="253" w:lineRule="exac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４６０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81" o:spid="_x0000_s2381" o:spt="203" style="height:2.15pt;width:398.25pt;" coordsize="7965,43">
            <o:lock v:ext="edit"/>
            <v:line id="_x0000_s2382" o:spid="_x0000_s2382" o:spt="20" style="position:absolute;left:0;top:39;height:0;width:7965;" stroked="t" coordsize="21600,21600">
              <v:path arrowok="t"/>
              <v:fill focussize="0,0"/>
              <v:stroke weight="0.388031496062992pt" color="#231F20"/>
              <v:imagedata o:title=""/>
              <o:lock v:ext="edit"/>
            </v:line>
            <v:line id="_x0000_s2383" o:spid="_x0000_s238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jc w:val="left"/>
        <w:rPr>
          <w:rFonts w:hint="eastAsia" w:ascii="MS UI Gothic" w:eastAsia="MS UI Gothic"/>
        </w:rPr>
      </w:pPr>
      <w:r>
        <w:t>范的要求进行</w:t>
      </w:r>
      <w:r>
        <w:rPr>
          <w:rFonts w:hint="eastAsia" w:ascii="MS UI Gothic" w:eastAsia="MS UI Gothic"/>
          <w:w w:val="80"/>
        </w:rPr>
        <w:t xml:space="preserve">ꎬ </w:t>
      </w:r>
      <w:r>
        <w:t>并接受特种设备检验机构的监督检验</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第四十五条 电梯的维护保养应当由</w:t>
      </w:r>
      <w:r>
        <w:t>电梯制造单位或者依照本法取得许可的安</w:t>
      </w:r>
      <w:r>
        <w:rPr>
          <w:w w:val="105"/>
        </w:rPr>
        <w:t>装</w:t>
      </w:r>
      <w:r>
        <w:rPr>
          <w:rFonts w:hint="eastAsia" w:ascii="MS UI Gothic" w:eastAsia="MS UI Gothic"/>
          <w:w w:val="80"/>
        </w:rPr>
        <w:t xml:space="preserve">、 </w:t>
      </w:r>
      <w:r>
        <w:rPr>
          <w:w w:val="105"/>
        </w:rPr>
        <w:t>改造</w:t>
      </w:r>
      <w:r>
        <w:rPr>
          <w:rFonts w:hint="eastAsia" w:ascii="MS UI Gothic" w:eastAsia="MS UI Gothic"/>
          <w:w w:val="80"/>
        </w:rPr>
        <w:t xml:space="preserve">、 </w:t>
      </w:r>
      <w:r>
        <w:rPr>
          <w:w w:val="105"/>
        </w:rPr>
        <w:t>修理单位进行</w:t>
      </w:r>
      <w:r>
        <w:rPr>
          <w:rFonts w:hint="eastAsia" w:ascii="MS UI Gothic" w:eastAsia="MS UI Gothic"/>
          <w:w w:val="80"/>
        </w:rPr>
        <w:t>ꎮ</w:t>
      </w:r>
    </w:p>
    <w:p>
      <w:pPr>
        <w:pStyle w:val="6"/>
        <w:spacing w:line="295" w:lineRule="auto"/>
        <w:ind w:right="39"/>
        <w:rPr>
          <w:rFonts w:hint="eastAsia" w:ascii="MS UI Gothic" w:eastAsia="MS UI Gothic"/>
        </w:rPr>
      </w:pPr>
      <w:r>
        <w:t>电梯的维护保养单位应当在维护保养中严格执行安全技术规范的要求</w:t>
      </w:r>
      <w:r>
        <w:rPr>
          <w:rFonts w:hint="eastAsia" w:ascii="MS UI Gothic" w:eastAsia="MS UI Gothic"/>
          <w:w w:val="80"/>
        </w:rPr>
        <w:t xml:space="preserve">ꎬ </w:t>
      </w:r>
      <w:r>
        <w:t>保证其维护保养的电梯的安全性能</w:t>
      </w:r>
      <w:r>
        <w:rPr>
          <w:rFonts w:hint="eastAsia" w:ascii="MS UI Gothic" w:eastAsia="MS UI Gothic"/>
          <w:w w:val="80"/>
        </w:rPr>
        <w:t xml:space="preserve">ꎬ </w:t>
      </w:r>
      <w:r>
        <w:t>并负责落实现场安全防护措施</w:t>
      </w:r>
      <w:r>
        <w:rPr>
          <w:rFonts w:hint="eastAsia" w:ascii="MS UI Gothic" w:eastAsia="MS UI Gothic"/>
          <w:w w:val="80"/>
        </w:rPr>
        <w:t xml:space="preserve">ꎬ </w:t>
      </w:r>
      <w:r>
        <w:t>保证施工安全</w:t>
      </w:r>
      <w:r>
        <w:rPr>
          <w:rFonts w:hint="eastAsia" w:ascii="MS UI Gothic" w:eastAsia="MS UI Gothic"/>
          <w:w w:val="80"/>
        </w:rPr>
        <w:t>ꎮ</w:t>
      </w:r>
    </w:p>
    <w:p>
      <w:pPr>
        <w:pStyle w:val="6"/>
        <w:spacing w:line="295" w:lineRule="auto"/>
        <w:ind w:right="39"/>
        <w:rPr>
          <w:rFonts w:hint="eastAsia" w:ascii="MS UI Gothic" w:eastAsia="MS UI Gothic"/>
        </w:rPr>
      </w:pPr>
      <w:r>
        <w:t>电梯的维护保养单位应当对其维护保养的电梯的安全性能负责</w:t>
      </w:r>
      <w:r>
        <w:rPr>
          <w:rFonts w:hint="eastAsia" w:ascii="MS UI Gothic" w:eastAsia="MS UI Gothic"/>
          <w:w w:val="80"/>
        </w:rPr>
        <w:t xml:space="preserve">ꎻ </w:t>
      </w:r>
      <w:r>
        <w:t>接到故障通知后</w:t>
      </w:r>
      <w:r>
        <w:rPr>
          <w:rFonts w:hint="eastAsia" w:ascii="MS UI Gothic" w:eastAsia="MS UI Gothic"/>
          <w:w w:val="80"/>
        </w:rPr>
        <w:t xml:space="preserve">ꎬ </w:t>
      </w:r>
      <w:r>
        <w:t>应当立即赶赴现场</w:t>
      </w:r>
      <w:r>
        <w:rPr>
          <w:rFonts w:hint="eastAsia" w:ascii="MS UI Gothic" w:eastAsia="MS UI Gothic"/>
          <w:w w:val="80"/>
        </w:rPr>
        <w:t xml:space="preserve">ꎬ </w:t>
      </w:r>
      <w:r>
        <w:t>并采取必要的应急救援措施</w:t>
      </w:r>
      <w:r>
        <w:rPr>
          <w:rFonts w:hint="eastAsia" w:ascii="MS UI Gothic" w:eastAsia="MS UI Gothic"/>
          <w:w w:val="80"/>
        </w:rPr>
        <w:t>ꎮ</w:t>
      </w:r>
    </w:p>
    <w:p>
      <w:pPr>
        <w:pStyle w:val="6"/>
        <w:spacing w:line="295" w:lineRule="auto"/>
        <w:ind w:right="39"/>
        <w:rPr>
          <w:rFonts w:hint="eastAsia" w:ascii="MS UI Gothic" w:eastAsia="MS UI Gothic"/>
        </w:rPr>
      </w:pPr>
      <w:r>
        <w:t>第四十六条 电梯投入使用后</w:t>
      </w:r>
      <w:r>
        <w:rPr>
          <w:rFonts w:hint="eastAsia" w:ascii="MS UI Gothic" w:eastAsia="MS UI Gothic"/>
          <w:w w:val="80"/>
        </w:rPr>
        <w:t xml:space="preserve">ꎬ </w:t>
      </w:r>
      <w:r>
        <w:t>电梯制造单位应当对其制造的电梯的安全运行情况进行跟踪调查和了解</w:t>
      </w:r>
      <w:r>
        <w:rPr>
          <w:rFonts w:hint="eastAsia" w:ascii="MS UI Gothic" w:eastAsia="MS UI Gothic"/>
          <w:w w:val="80"/>
        </w:rPr>
        <w:t xml:space="preserve">ꎬ </w:t>
      </w:r>
      <w:r>
        <w:t>对电梯的维护保养单位或者使用单位在维护保养和安全运行方面存在的问题</w:t>
      </w:r>
      <w:r>
        <w:rPr>
          <w:rFonts w:hint="eastAsia" w:ascii="MS UI Gothic" w:eastAsia="MS UI Gothic"/>
          <w:w w:val="80"/>
        </w:rPr>
        <w:t xml:space="preserve">ꎬ </w:t>
      </w:r>
      <w:r>
        <w:t>提出改进建议</w:t>
      </w:r>
      <w:r>
        <w:rPr>
          <w:rFonts w:hint="eastAsia" w:ascii="MS UI Gothic" w:eastAsia="MS UI Gothic"/>
          <w:w w:val="80"/>
        </w:rPr>
        <w:t xml:space="preserve">ꎬ </w:t>
      </w:r>
      <w:r>
        <w:t>并提供必要的技术帮助</w:t>
      </w:r>
      <w:r>
        <w:rPr>
          <w:rFonts w:hint="eastAsia" w:ascii="MS UI Gothic" w:eastAsia="MS UI Gothic"/>
          <w:w w:val="80"/>
        </w:rPr>
        <w:t xml:space="preserve">ꎻ </w:t>
      </w:r>
      <w:r>
        <w:t>发现电梯存在严重事故隐患时</w:t>
      </w:r>
      <w:r>
        <w:rPr>
          <w:rFonts w:hint="eastAsia" w:ascii="MS UI Gothic" w:eastAsia="MS UI Gothic"/>
          <w:w w:val="80"/>
        </w:rPr>
        <w:t xml:space="preserve">ꎬ </w:t>
      </w:r>
      <w:r>
        <w:t>应当及时告知电梯使用单位</w:t>
      </w:r>
      <w:r>
        <w:rPr>
          <w:rFonts w:hint="eastAsia" w:ascii="MS UI Gothic" w:eastAsia="MS UI Gothic"/>
          <w:w w:val="80"/>
        </w:rPr>
        <w:t xml:space="preserve">ꎬ </w:t>
      </w:r>
      <w:r>
        <w:t>并向负责特种设备安全监督管理的部门报告</w:t>
      </w:r>
      <w:r>
        <w:rPr>
          <w:rFonts w:hint="eastAsia" w:ascii="MS UI Gothic" w:eastAsia="MS UI Gothic"/>
          <w:w w:val="80"/>
        </w:rPr>
        <w:t xml:space="preserve">ꎮ </w:t>
      </w:r>
      <w:r>
        <w:t>电梯制造单位对调查和了解的情况</w:t>
      </w:r>
      <w:r>
        <w:rPr>
          <w:rFonts w:hint="eastAsia" w:ascii="MS UI Gothic" w:eastAsia="MS UI Gothic"/>
          <w:w w:val="80"/>
        </w:rPr>
        <w:t xml:space="preserve">ꎬ </w:t>
      </w:r>
      <w:r>
        <w:t>应当作出记录</w:t>
      </w:r>
      <w:r>
        <w:rPr>
          <w:rFonts w:hint="eastAsia" w:ascii="MS UI Gothic" w:eastAsia="MS UI Gothic"/>
          <w:w w:val="80"/>
        </w:rPr>
        <w:t>ꎮ</w:t>
      </w:r>
    </w:p>
    <w:p>
      <w:pPr>
        <w:pStyle w:val="6"/>
        <w:spacing w:line="295" w:lineRule="auto"/>
        <w:ind w:right="39"/>
        <w:rPr>
          <w:rFonts w:hint="eastAsia" w:ascii="MS UI Gothic" w:eastAsia="MS UI Gothic"/>
        </w:rPr>
      </w:pPr>
      <w:r>
        <w:t>第四十七条 特种设备进行改造</w:t>
      </w:r>
      <w:r>
        <w:rPr>
          <w:rFonts w:hint="eastAsia" w:ascii="MS UI Gothic" w:eastAsia="MS UI Gothic"/>
          <w:w w:val="80"/>
        </w:rPr>
        <w:t xml:space="preserve">、 </w:t>
      </w:r>
      <w:r>
        <w:t>修理</w:t>
      </w:r>
      <w:r>
        <w:rPr>
          <w:rFonts w:hint="eastAsia" w:ascii="MS UI Gothic" w:eastAsia="MS UI Gothic"/>
          <w:w w:val="80"/>
        </w:rPr>
        <w:t xml:space="preserve">ꎬ </w:t>
      </w:r>
      <w:r>
        <w:t>按照规定需要变更使用登记的</w:t>
      </w:r>
      <w:r>
        <w:rPr>
          <w:rFonts w:hint="eastAsia" w:ascii="MS UI Gothic" w:eastAsia="MS UI Gothic"/>
          <w:w w:val="80"/>
        </w:rPr>
        <w:t xml:space="preserve">ꎬ </w:t>
      </w:r>
      <w:r>
        <w:t>应当办理变更登记</w:t>
      </w:r>
      <w:r>
        <w:rPr>
          <w:rFonts w:hint="eastAsia" w:ascii="MS UI Gothic" w:eastAsia="MS UI Gothic"/>
          <w:w w:val="80"/>
        </w:rPr>
        <w:t xml:space="preserve">ꎬ </w:t>
      </w:r>
      <w:r>
        <w:t>方可继续使用</w:t>
      </w:r>
      <w:r>
        <w:rPr>
          <w:rFonts w:hint="eastAsia" w:ascii="MS UI Gothic" w:eastAsia="MS UI Gothic"/>
          <w:w w:val="80"/>
        </w:rPr>
        <w:t>ꎮ</w:t>
      </w:r>
    </w:p>
    <w:p>
      <w:pPr>
        <w:pStyle w:val="6"/>
        <w:spacing w:line="295" w:lineRule="auto"/>
        <w:ind w:right="39"/>
        <w:rPr>
          <w:rFonts w:hint="eastAsia" w:ascii="MS UI Gothic" w:eastAsia="MS UI Gothic"/>
        </w:rPr>
      </w:pPr>
      <w:r>
        <w:t>第四十八条 特种设备存在严重事故隐患</w:t>
      </w:r>
      <w:r>
        <w:rPr>
          <w:rFonts w:hint="eastAsia" w:ascii="MS UI Gothic" w:eastAsia="MS UI Gothic"/>
          <w:w w:val="80"/>
        </w:rPr>
        <w:t xml:space="preserve">ꎬ </w:t>
      </w:r>
      <w:r>
        <w:t>无改造</w:t>
      </w:r>
      <w:r>
        <w:rPr>
          <w:rFonts w:hint="eastAsia" w:ascii="MS UI Gothic" w:eastAsia="MS UI Gothic"/>
          <w:w w:val="80"/>
        </w:rPr>
        <w:t xml:space="preserve">、 </w:t>
      </w:r>
      <w:r>
        <w:t>修理价值</w:t>
      </w:r>
      <w:r>
        <w:rPr>
          <w:rFonts w:hint="eastAsia" w:ascii="MS UI Gothic" w:eastAsia="MS UI Gothic"/>
          <w:w w:val="80"/>
        </w:rPr>
        <w:t xml:space="preserve">ꎬ </w:t>
      </w:r>
      <w:r>
        <w:t>或者达到安全技术规范规定的其他报废条件的</w:t>
      </w:r>
      <w:r>
        <w:rPr>
          <w:rFonts w:hint="eastAsia" w:ascii="MS UI Gothic" w:eastAsia="MS UI Gothic"/>
          <w:w w:val="80"/>
        </w:rPr>
        <w:t xml:space="preserve">ꎬ </w:t>
      </w:r>
      <w:r>
        <w:t>特种设备使用单位应当依法履行报废义务</w:t>
      </w:r>
      <w:r>
        <w:rPr>
          <w:rFonts w:hint="eastAsia" w:ascii="MS UI Gothic" w:eastAsia="MS UI Gothic"/>
          <w:w w:val="80"/>
        </w:rPr>
        <w:t xml:space="preserve">ꎬ </w:t>
      </w:r>
      <w:r>
        <w:t>采取必要措施消除该特种设备的使用功能</w:t>
      </w:r>
      <w:r>
        <w:rPr>
          <w:rFonts w:hint="eastAsia" w:ascii="MS UI Gothic" w:eastAsia="MS UI Gothic"/>
          <w:w w:val="80"/>
        </w:rPr>
        <w:t xml:space="preserve">ꎬ </w:t>
      </w:r>
      <w:r>
        <w:t>并向原登记的负责特种设备安全监督管理的部门办理使用登记证书注销手续</w:t>
      </w:r>
      <w:r>
        <w:rPr>
          <w:rFonts w:hint="eastAsia" w:ascii="MS UI Gothic" w:eastAsia="MS UI Gothic"/>
          <w:w w:val="80"/>
        </w:rPr>
        <w:t>ꎮ</w:t>
      </w:r>
    </w:p>
    <w:p>
      <w:pPr>
        <w:pStyle w:val="6"/>
        <w:spacing w:line="295" w:lineRule="auto"/>
        <w:ind w:right="38"/>
      </w:pPr>
      <w:r>
        <w:t>前款规定报废条件以外的特种设备</w:t>
      </w:r>
      <w:r>
        <w:rPr>
          <w:rFonts w:hint="eastAsia" w:ascii="MS UI Gothic" w:eastAsia="MS UI Gothic"/>
          <w:w w:val="80"/>
        </w:rPr>
        <w:t>ꎬ</w:t>
      </w:r>
      <w:r>
        <w:t>达到设计使用年限可以继续使用的</w:t>
      </w:r>
      <w:r>
        <w:rPr>
          <w:rFonts w:hint="eastAsia" w:ascii="MS UI Gothic" w:eastAsia="MS UI Gothic"/>
          <w:w w:val="80"/>
        </w:rPr>
        <w:t xml:space="preserve">ꎬ </w:t>
      </w:r>
      <w:r>
        <w:t>应当按照安全技术规范的要求通过检验或者安全评估</w:t>
      </w:r>
      <w:r>
        <w:rPr>
          <w:rFonts w:hint="eastAsia" w:ascii="MS UI Gothic" w:eastAsia="MS UI Gothic"/>
          <w:w w:val="80"/>
        </w:rPr>
        <w:t xml:space="preserve">ꎬ </w:t>
      </w:r>
      <w:r>
        <w:t>并办理使用登记证书变更</w:t>
      </w:r>
      <w:r>
        <w:rPr>
          <w:rFonts w:hint="eastAsia" w:ascii="MS UI Gothic" w:eastAsia="MS UI Gothic"/>
          <w:w w:val="80"/>
        </w:rPr>
        <w:t xml:space="preserve">ꎬ </w:t>
      </w:r>
      <w:r>
        <w:t>方可继续使用</w:t>
      </w:r>
      <w:r>
        <w:rPr>
          <w:rFonts w:hint="eastAsia" w:ascii="MS UI Gothic" w:eastAsia="MS UI Gothic"/>
          <w:w w:val="80"/>
        </w:rPr>
        <w:t xml:space="preserve">ꎮ </w:t>
      </w:r>
      <w:r>
        <w:t>允许继续使用的</w:t>
      </w:r>
      <w:r>
        <w:rPr>
          <w:rFonts w:hint="eastAsia" w:ascii="MS UI Gothic" w:eastAsia="MS UI Gothic"/>
          <w:w w:val="80"/>
        </w:rPr>
        <w:t xml:space="preserve">ꎬ </w:t>
      </w:r>
      <w:r>
        <w:t>应当采取加强检验</w:t>
      </w:r>
      <w:r>
        <w:rPr>
          <w:rFonts w:hint="eastAsia" w:ascii="MS UI Gothic" w:eastAsia="MS UI Gothic"/>
          <w:w w:val="80"/>
        </w:rPr>
        <w:t xml:space="preserve">、 </w:t>
      </w:r>
      <w:r>
        <w:t>检测和维护保养等措施</w:t>
      </w:r>
      <w:r>
        <w:rPr>
          <w:rFonts w:hint="eastAsia" w:ascii="MS UI Gothic" w:eastAsia="MS UI Gothic"/>
          <w:w w:val="80"/>
        </w:rPr>
        <w:t xml:space="preserve">ꎬ </w:t>
      </w:r>
      <w:r>
        <w:t>确保使</w:t>
      </w:r>
    </w:p>
    <w:p>
      <w:pPr>
        <w:pStyle w:val="6"/>
        <w:spacing w:before="123"/>
        <w:ind w:firstLine="0"/>
        <w:jc w:val="left"/>
        <w:rPr>
          <w:rFonts w:hint="eastAsia" w:ascii="MS UI Gothic" w:eastAsia="MS UI Gothic"/>
        </w:rPr>
      </w:pPr>
      <w:r>
        <w:br w:type="column"/>
      </w:r>
      <w:r>
        <w:t>用安全</w:t>
      </w:r>
      <w:r>
        <w:rPr>
          <w:rFonts w:hint="eastAsia" w:ascii="MS UI Gothic" w:eastAsia="MS UI Gothic"/>
          <w:w w:val="80"/>
        </w:rPr>
        <w:t>ꎮ</w:t>
      </w:r>
    </w:p>
    <w:p>
      <w:pPr>
        <w:pStyle w:val="6"/>
        <w:spacing w:before="58" w:line="295" w:lineRule="auto"/>
        <w:ind w:right="442"/>
        <w:rPr>
          <w:rFonts w:hint="eastAsia" w:ascii="MS UI Gothic" w:eastAsia="MS UI Gothic"/>
        </w:rPr>
      </w:pPr>
      <w:r>
        <w:rPr>
          <w:w w:val="105"/>
        </w:rPr>
        <w:t>第四十九条 移动式压力容器</w:t>
      </w:r>
      <w:r>
        <w:rPr>
          <w:rFonts w:hint="eastAsia" w:ascii="MS UI Gothic" w:eastAsia="MS UI Gothic"/>
          <w:w w:val="80"/>
        </w:rPr>
        <w:t xml:space="preserve">、 </w:t>
      </w:r>
      <w:r>
        <w:rPr>
          <w:w w:val="105"/>
        </w:rPr>
        <w:t>气瓶</w:t>
      </w:r>
      <w:r>
        <w:t>充装单位</w:t>
      </w:r>
      <w:r>
        <w:rPr>
          <w:rFonts w:hint="eastAsia" w:ascii="MS UI Gothic" w:eastAsia="MS UI Gothic"/>
          <w:w w:val="80"/>
        </w:rPr>
        <w:t xml:space="preserve">ꎬ </w:t>
      </w:r>
      <w:r>
        <w:t>应当具备下列条件</w:t>
      </w:r>
      <w:r>
        <w:rPr>
          <w:rFonts w:hint="eastAsia" w:ascii="MS UI Gothic" w:eastAsia="MS UI Gothic"/>
          <w:w w:val="80"/>
        </w:rPr>
        <w:t xml:space="preserve">ꎬ </w:t>
      </w:r>
      <w:r>
        <w:t>并经负责特种设备安全监督管理的部门许可</w:t>
      </w:r>
      <w:r>
        <w:rPr>
          <w:rFonts w:hint="eastAsia" w:ascii="MS UI Gothic" w:eastAsia="MS UI Gothic"/>
          <w:w w:val="80"/>
        </w:rPr>
        <w:t xml:space="preserve">ꎬ </w:t>
      </w:r>
      <w:r>
        <w:t>方可</w:t>
      </w:r>
      <w:r>
        <w:rPr>
          <w:w w:val="105"/>
        </w:rPr>
        <w:t>从事充装活动</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有与充装和管理相适应的管理</w:t>
      </w:r>
      <w:r>
        <w:rPr>
          <w:w w:val="110"/>
        </w:rPr>
        <w:t>人员和技术人员</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有与充装和管理相适应的充装设备</w:t>
      </w:r>
      <w:r>
        <w:rPr>
          <w:rFonts w:hint="eastAsia" w:ascii="MS UI Gothic" w:eastAsia="MS UI Gothic"/>
          <w:w w:val="80"/>
        </w:rPr>
        <w:t xml:space="preserve">、 </w:t>
      </w:r>
      <w:r>
        <w:rPr>
          <w:w w:val="105"/>
        </w:rPr>
        <w:t>检测手段</w:t>
      </w:r>
      <w:r>
        <w:rPr>
          <w:rFonts w:hint="eastAsia" w:ascii="MS UI Gothic" w:eastAsia="MS UI Gothic"/>
          <w:w w:val="80"/>
        </w:rPr>
        <w:t xml:space="preserve">、 </w:t>
      </w:r>
      <w:r>
        <w:rPr>
          <w:w w:val="105"/>
        </w:rPr>
        <w:t>场地厂房</w:t>
      </w:r>
      <w:r>
        <w:rPr>
          <w:rFonts w:hint="eastAsia" w:ascii="MS UI Gothic" w:eastAsia="MS UI Gothic"/>
          <w:w w:val="80"/>
        </w:rPr>
        <w:t xml:space="preserve">、 </w:t>
      </w:r>
      <w:r>
        <w:rPr>
          <w:w w:val="105"/>
        </w:rPr>
        <w:t>器具</w:t>
      </w:r>
      <w:r>
        <w:rPr>
          <w:rFonts w:hint="eastAsia" w:ascii="MS UI Gothic" w:eastAsia="MS UI Gothic"/>
          <w:w w:val="80"/>
        </w:rPr>
        <w:t xml:space="preserve">、 </w:t>
      </w:r>
      <w:r>
        <w:rPr>
          <w:w w:val="105"/>
        </w:rPr>
        <w:t>安全设施</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有健全的充装管理制度</w:t>
      </w:r>
      <w:r>
        <w:rPr>
          <w:rFonts w:hint="eastAsia" w:ascii="MS UI Gothic" w:eastAsia="MS UI Gothic"/>
          <w:w w:val="80"/>
        </w:rPr>
        <w:t xml:space="preserve">、 </w:t>
      </w:r>
      <w:r>
        <w:rPr>
          <w:w w:val="105"/>
        </w:rPr>
        <w:t>责任制度</w:t>
      </w:r>
      <w:r>
        <w:rPr>
          <w:rFonts w:hint="eastAsia" w:ascii="MS UI Gothic" w:eastAsia="MS UI Gothic"/>
          <w:w w:val="80"/>
        </w:rPr>
        <w:t xml:space="preserve">、 </w:t>
      </w:r>
      <w:r>
        <w:rPr>
          <w:w w:val="105"/>
        </w:rPr>
        <w:t>处理措施</w:t>
      </w:r>
      <w:r>
        <w:rPr>
          <w:rFonts w:hint="eastAsia" w:ascii="MS UI Gothic" w:eastAsia="MS UI Gothic"/>
          <w:w w:val="80"/>
        </w:rPr>
        <w:t>ꎮ</w:t>
      </w:r>
    </w:p>
    <w:p>
      <w:pPr>
        <w:pStyle w:val="6"/>
        <w:spacing w:line="295" w:lineRule="auto"/>
        <w:ind w:right="440"/>
        <w:rPr>
          <w:rFonts w:hint="eastAsia" w:ascii="MS UI Gothic" w:eastAsia="MS UI Gothic"/>
        </w:rPr>
      </w:pPr>
      <w:r>
        <w:t>充装单位应当建立充装前后的检查</w:t>
      </w:r>
      <w:r>
        <w:rPr>
          <w:rFonts w:hint="eastAsia" w:ascii="MS UI Gothic" w:eastAsia="MS UI Gothic"/>
          <w:w w:val="80"/>
        </w:rPr>
        <w:t>、</w:t>
      </w:r>
      <w:r>
        <w:t>记录制度</w:t>
      </w:r>
      <w:r>
        <w:rPr>
          <w:rFonts w:hint="eastAsia" w:ascii="MS UI Gothic" w:eastAsia="MS UI Gothic"/>
          <w:w w:val="80"/>
        </w:rPr>
        <w:t xml:space="preserve">ꎬ </w:t>
      </w:r>
      <w:r>
        <w:t>禁止对不符合安全技术规范要</w:t>
      </w:r>
      <w:r>
        <w:rPr>
          <w:w w:val="105"/>
        </w:rPr>
        <w:t>求的移动式压力容器和气瓶进行充装</w:t>
      </w:r>
      <w:r>
        <w:rPr>
          <w:rFonts w:hint="eastAsia" w:ascii="MS UI Gothic" w:eastAsia="MS UI Gothic"/>
          <w:w w:val="80"/>
        </w:rPr>
        <w:t>ꎮ</w:t>
      </w:r>
    </w:p>
    <w:p>
      <w:pPr>
        <w:pStyle w:val="6"/>
        <w:spacing w:line="295" w:lineRule="auto"/>
        <w:ind w:right="442"/>
        <w:rPr>
          <w:rFonts w:hint="eastAsia" w:ascii="MS UI Gothic" w:eastAsia="MS UI Gothic"/>
        </w:rPr>
      </w:pPr>
      <w:r>
        <w:t>气瓶充装单位应当向气体使用者提供符合安全技术规范要求的气瓶</w:t>
      </w:r>
      <w:r>
        <w:rPr>
          <w:rFonts w:hint="eastAsia" w:ascii="MS UI Gothic" w:eastAsia="MS UI Gothic"/>
          <w:w w:val="80"/>
        </w:rPr>
        <w:t xml:space="preserve">ꎬ </w:t>
      </w:r>
      <w:r>
        <w:t>对气体使用者进行气瓶安全使用指导</w:t>
      </w:r>
      <w:r>
        <w:rPr>
          <w:rFonts w:hint="eastAsia" w:ascii="MS UI Gothic" w:eastAsia="MS UI Gothic"/>
          <w:w w:val="80"/>
        </w:rPr>
        <w:t xml:space="preserve">ꎬ </w:t>
      </w:r>
      <w:r>
        <w:t>并按照安全技术规范的要求办理气瓶使用登记</w:t>
      </w:r>
      <w:r>
        <w:rPr>
          <w:rFonts w:hint="eastAsia" w:ascii="MS UI Gothic" w:eastAsia="MS UI Gothic"/>
          <w:w w:val="80"/>
        </w:rPr>
        <w:t xml:space="preserve">ꎬ </w:t>
      </w:r>
      <w:r>
        <w:t>及时申报定期检验</w:t>
      </w:r>
      <w:r>
        <w:rPr>
          <w:rFonts w:hint="eastAsia" w:ascii="MS UI Gothic" w:eastAsia="MS UI Gothic"/>
          <w:w w:val="80"/>
        </w:rPr>
        <w:t>ꎮ</w:t>
      </w:r>
    </w:p>
    <w:p>
      <w:pPr>
        <w:pStyle w:val="6"/>
        <w:tabs>
          <w:tab w:val="left" w:pos="1906"/>
        </w:tabs>
        <w:spacing w:before="142"/>
        <w:ind w:left="1067" w:firstLine="0"/>
        <w:jc w:val="left"/>
      </w:pPr>
      <w:r>
        <w:rPr>
          <w:spacing w:val="3"/>
        </w:rPr>
        <w:t>第三</w:t>
      </w:r>
      <w:r>
        <w:t>章</w:t>
      </w:r>
      <w:r>
        <w:tab/>
      </w:r>
      <w:r>
        <w:rPr>
          <w:spacing w:val="3"/>
        </w:rPr>
        <w:t>检验</w:t>
      </w:r>
      <w:r>
        <w:rPr>
          <w:rFonts w:hint="eastAsia" w:ascii="Microsoft Yi Baiti" w:eastAsia="Microsoft Yi Baiti"/>
        </w:rPr>
        <w:t>、</w:t>
      </w:r>
      <w:r>
        <w:rPr>
          <w:rFonts w:hint="eastAsia" w:ascii="Microsoft Yi Baiti" w:eastAsia="Microsoft Yi Baiti"/>
          <w:spacing w:val="17"/>
        </w:rPr>
        <w:t xml:space="preserve"> </w:t>
      </w:r>
      <w:r>
        <w:rPr>
          <w:spacing w:val="3"/>
        </w:rPr>
        <w:t>检</w:t>
      </w:r>
      <w:r>
        <w:t>测</w:t>
      </w:r>
    </w:p>
    <w:p>
      <w:pPr>
        <w:pStyle w:val="6"/>
        <w:spacing w:before="216" w:line="295" w:lineRule="auto"/>
        <w:ind w:right="442"/>
        <w:rPr>
          <w:rFonts w:hint="eastAsia" w:ascii="MS UI Gothic" w:eastAsia="MS UI Gothic"/>
        </w:rPr>
      </w:pPr>
      <w:r>
        <w:rPr>
          <w:w w:val="105"/>
        </w:rPr>
        <w:t>第五十条 从事本法规定的监督检验</w:t>
      </w:r>
      <w:r>
        <w:rPr>
          <w:rFonts w:hint="eastAsia" w:ascii="MS UI Gothic" w:eastAsia="MS UI Gothic"/>
          <w:w w:val="80"/>
        </w:rPr>
        <w:t xml:space="preserve">、 </w:t>
      </w:r>
      <w:r>
        <w:rPr>
          <w:w w:val="105"/>
        </w:rPr>
        <w:t>定期检验的特种设备检验机构</w:t>
      </w:r>
      <w:r>
        <w:rPr>
          <w:rFonts w:hint="eastAsia" w:ascii="MS UI Gothic" w:eastAsia="MS UI Gothic"/>
          <w:w w:val="80"/>
        </w:rPr>
        <w:t xml:space="preserve">ꎬ </w:t>
      </w:r>
      <w:r>
        <w:rPr>
          <w:w w:val="105"/>
        </w:rPr>
        <w:t>以及为特种设备生产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使用提供检测服</w:t>
      </w:r>
      <w:r>
        <w:t>务的特种设备检测机构</w:t>
      </w:r>
      <w:r>
        <w:rPr>
          <w:rFonts w:hint="eastAsia" w:ascii="MS UI Gothic" w:eastAsia="MS UI Gothic"/>
          <w:w w:val="80"/>
        </w:rPr>
        <w:t xml:space="preserve">ꎬ </w:t>
      </w:r>
      <w:r>
        <w:t>应当具备下列条件</w:t>
      </w:r>
      <w:r>
        <w:rPr>
          <w:rFonts w:hint="eastAsia" w:ascii="MS UI Gothic" w:eastAsia="MS UI Gothic"/>
          <w:w w:val="80"/>
        </w:rPr>
        <w:t xml:space="preserve">ꎬ </w:t>
      </w:r>
      <w:r>
        <w:t>并经负责特种设备安全监督管理的部</w:t>
      </w:r>
      <w:r>
        <w:rPr>
          <w:w w:val="105"/>
        </w:rPr>
        <w:t>门核准</w:t>
      </w:r>
      <w:r>
        <w:rPr>
          <w:rFonts w:hint="eastAsia" w:ascii="MS UI Gothic" w:eastAsia="MS UI Gothic"/>
          <w:w w:val="80"/>
        </w:rPr>
        <w:t xml:space="preserve">ꎬ </w:t>
      </w:r>
      <w:r>
        <w:rPr>
          <w:w w:val="105"/>
        </w:rPr>
        <w:t>方可从事检验</w:t>
      </w:r>
      <w:r>
        <w:rPr>
          <w:rFonts w:hint="eastAsia" w:ascii="MS UI Gothic" w:eastAsia="MS UI Gothic"/>
          <w:w w:val="80"/>
        </w:rPr>
        <w:t xml:space="preserve">、 </w:t>
      </w:r>
      <w:r>
        <w:rPr>
          <w:w w:val="105"/>
        </w:rPr>
        <w:t>检测工作</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有与检验</w:t>
      </w:r>
      <w:r>
        <w:rPr>
          <w:rFonts w:hint="eastAsia" w:ascii="MS UI Gothic" w:eastAsia="MS UI Gothic"/>
          <w:w w:val="80"/>
        </w:rPr>
        <w:t xml:space="preserve">、 </w:t>
      </w:r>
      <w:r>
        <w:rPr>
          <w:w w:val="105"/>
        </w:rPr>
        <w:t>检测工作相适应的检验</w:t>
      </w:r>
      <w:r>
        <w:rPr>
          <w:rFonts w:hint="eastAsia" w:ascii="MS UI Gothic" w:eastAsia="MS UI Gothic"/>
          <w:w w:val="80"/>
        </w:rPr>
        <w:t xml:space="preserve">、 </w:t>
      </w:r>
      <w:r>
        <w:rPr>
          <w:w w:val="105"/>
        </w:rPr>
        <w:t>检测人员</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有与检验</w:t>
      </w:r>
      <w:r>
        <w:rPr>
          <w:rFonts w:hint="eastAsia" w:ascii="MS UI Gothic" w:eastAsia="MS UI Gothic"/>
          <w:w w:val="80"/>
        </w:rPr>
        <w:t xml:space="preserve">、 </w:t>
      </w:r>
      <w:r>
        <w:rPr>
          <w:w w:val="105"/>
        </w:rPr>
        <w:t>检测工作相适应的检验</w:t>
      </w:r>
      <w:r>
        <w:rPr>
          <w:rFonts w:hint="eastAsia" w:ascii="MS UI Gothic" w:eastAsia="MS UI Gothic"/>
          <w:w w:val="80"/>
        </w:rPr>
        <w:t xml:space="preserve">、 </w:t>
      </w:r>
      <w:r>
        <w:rPr>
          <w:w w:val="105"/>
        </w:rPr>
        <w:t>检测仪器和设备</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有健全的检验</w:t>
      </w:r>
      <w:r>
        <w:rPr>
          <w:rFonts w:hint="eastAsia" w:ascii="MS UI Gothic" w:eastAsia="MS UI Gothic"/>
          <w:w w:val="80"/>
        </w:rPr>
        <w:t xml:space="preserve">、 </w:t>
      </w:r>
      <w:r>
        <w:rPr>
          <w:w w:val="105"/>
        </w:rPr>
        <w:t>检测管理制度和责任制度</w:t>
      </w:r>
      <w:r>
        <w:rPr>
          <w:rFonts w:hint="eastAsia" w:ascii="MS UI Gothic" w:eastAsia="MS UI Gothic"/>
          <w:w w:val="80"/>
        </w:rPr>
        <w:t>ꎮ</w:t>
      </w:r>
    </w:p>
    <w:p>
      <w:pPr>
        <w:pStyle w:val="6"/>
        <w:spacing w:line="295" w:lineRule="auto"/>
        <w:ind w:right="442"/>
        <w:rPr>
          <w:rFonts w:hint="eastAsia" w:ascii="MS UI Gothic" w:eastAsia="MS UI Gothic"/>
        </w:rPr>
      </w:pPr>
      <w:r>
        <w:t>第五十一条 特种设备检验</w:t>
      </w:r>
      <w:r>
        <w:rPr>
          <w:rFonts w:hint="eastAsia" w:ascii="MS UI Gothic" w:eastAsia="MS UI Gothic"/>
          <w:w w:val="80"/>
        </w:rPr>
        <w:t xml:space="preserve">、 </w:t>
      </w:r>
      <w:r>
        <w:t>检测机构的检验</w:t>
      </w:r>
      <w:r>
        <w:rPr>
          <w:rFonts w:hint="eastAsia" w:ascii="MS UI Gothic" w:eastAsia="MS UI Gothic"/>
          <w:w w:val="80"/>
        </w:rPr>
        <w:t xml:space="preserve">、 </w:t>
      </w:r>
      <w:r>
        <w:t>检测人员应当经考核</w:t>
      </w:r>
      <w:r>
        <w:rPr>
          <w:rFonts w:hint="eastAsia" w:ascii="MS UI Gothic" w:eastAsia="MS UI Gothic"/>
          <w:w w:val="80"/>
        </w:rPr>
        <w:t xml:space="preserve">ꎬ </w:t>
      </w:r>
      <w:r>
        <w:t>取得检验</w:t>
      </w:r>
      <w:r>
        <w:rPr>
          <w:rFonts w:hint="eastAsia" w:ascii="MS UI Gothic" w:eastAsia="MS UI Gothic"/>
          <w:w w:val="80"/>
        </w:rPr>
        <w:t xml:space="preserve">、 </w:t>
      </w:r>
      <w:r>
        <w:t>检测人员资格</w:t>
      </w:r>
      <w:r>
        <w:rPr>
          <w:rFonts w:hint="eastAsia" w:ascii="MS UI Gothic" w:eastAsia="MS UI Gothic"/>
          <w:w w:val="80"/>
        </w:rPr>
        <w:t xml:space="preserve">ꎬ </w:t>
      </w:r>
      <w:r>
        <w:t>方可从事检验</w:t>
      </w:r>
      <w:r>
        <w:rPr>
          <w:rFonts w:hint="eastAsia" w:ascii="MS UI Gothic" w:eastAsia="MS UI Gothic"/>
          <w:w w:val="80"/>
        </w:rPr>
        <w:t xml:space="preserve">、 </w:t>
      </w:r>
      <w:r>
        <w:t>检测工作</w:t>
      </w:r>
      <w:r>
        <w:rPr>
          <w:rFonts w:hint="eastAsia" w:ascii="MS UI Gothic" w:eastAsia="MS UI Gothic"/>
          <w:w w:val="80"/>
        </w:rPr>
        <w:t>ꎮ</w:t>
      </w:r>
    </w:p>
    <w:p>
      <w:pPr>
        <w:pStyle w:val="6"/>
        <w:spacing w:line="253" w:lineRule="exact"/>
        <w:ind w:left="543" w:firstLine="0"/>
      </w:pPr>
      <w:r>
        <w:t>特种设备检验</w:t>
      </w:r>
      <w:r>
        <w:rPr>
          <w:rFonts w:hint="eastAsia" w:ascii="MS UI Gothic" w:eastAsia="MS UI Gothic"/>
        </w:rPr>
        <w:t xml:space="preserve">、 </w:t>
      </w:r>
      <w:r>
        <w:t>检测机构的检验</w:t>
      </w:r>
      <w:r>
        <w:rPr>
          <w:rFonts w:hint="eastAsia" w:ascii="MS UI Gothic" w:eastAsia="MS UI Gothic"/>
        </w:rPr>
        <w:t xml:space="preserve">、 </w:t>
      </w:r>
      <w:r>
        <w:t>检</w:t>
      </w:r>
    </w:p>
    <w:p>
      <w:pPr>
        <w:spacing w:after="0" w:line="253"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４６１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84" o:spid="_x0000_s2384" o:spt="203" style="height:2.15pt;width:398.25pt;" coordsize="7965,43">
            <o:lock v:ext="edit"/>
            <v:line id="_x0000_s2385" o:spid="_x0000_s2385" o:spt="20" style="position:absolute;left:0;top:39;height:0;width:7965;" stroked="t" coordsize="21600,21600">
              <v:path arrowok="t"/>
              <v:fill focussize="0,0"/>
              <v:stroke weight="0.388031496062992pt" color="#231F20"/>
              <v:imagedata o:title=""/>
              <o:lock v:ext="edit"/>
            </v:line>
            <v:line id="_x0000_s2386" o:spid="_x0000_s2386"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测人员不得同时在两个以上检验</w:t>
      </w:r>
      <w:r>
        <w:rPr>
          <w:rFonts w:hint="eastAsia" w:ascii="MS UI Gothic" w:eastAsia="MS UI Gothic"/>
          <w:w w:val="80"/>
        </w:rPr>
        <w:t xml:space="preserve">、 </w:t>
      </w:r>
      <w:r>
        <w:t>检测机构中执业</w:t>
      </w:r>
      <w:r>
        <w:rPr>
          <w:rFonts w:hint="eastAsia" w:ascii="MS UI Gothic" w:eastAsia="MS UI Gothic"/>
          <w:w w:val="80"/>
        </w:rPr>
        <w:t xml:space="preserve">ꎻ </w:t>
      </w:r>
      <w:r>
        <w:t>变更执业机构的</w:t>
      </w:r>
      <w:r>
        <w:rPr>
          <w:rFonts w:hint="eastAsia" w:ascii="MS UI Gothic" w:eastAsia="MS UI Gothic"/>
          <w:w w:val="80"/>
        </w:rPr>
        <w:t xml:space="preserve">ꎬ </w:t>
      </w:r>
      <w:r>
        <w:t>应当依法办理变更手续</w:t>
      </w:r>
      <w:r>
        <w:rPr>
          <w:rFonts w:hint="eastAsia" w:ascii="MS UI Gothic" w:eastAsia="MS UI Gothic"/>
          <w:w w:val="80"/>
        </w:rPr>
        <w:t>ꎮ</w:t>
      </w:r>
    </w:p>
    <w:p>
      <w:pPr>
        <w:pStyle w:val="6"/>
        <w:spacing w:line="295" w:lineRule="auto"/>
        <w:ind w:left="440" w:right="1"/>
        <w:rPr>
          <w:rFonts w:hint="eastAsia" w:ascii="MS UI Gothic" w:eastAsia="MS UI Gothic"/>
        </w:rPr>
      </w:pPr>
      <w:r>
        <w:t>第五十二条 特种设备检验</w:t>
      </w:r>
      <w:r>
        <w:rPr>
          <w:rFonts w:hint="eastAsia" w:ascii="MS UI Gothic" w:eastAsia="MS UI Gothic"/>
          <w:w w:val="80"/>
        </w:rPr>
        <w:t xml:space="preserve">、 </w:t>
      </w:r>
      <w:r>
        <w:t>检测工作应当遵守法律</w:t>
      </w:r>
      <w:r>
        <w:rPr>
          <w:rFonts w:hint="eastAsia" w:ascii="MS UI Gothic" w:eastAsia="MS UI Gothic"/>
          <w:w w:val="80"/>
        </w:rPr>
        <w:t xml:space="preserve">、 </w:t>
      </w:r>
      <w:r>
        <w:t>行政法规的规定</w:t>
      </w:r>
      <w:r>
        <w:rPr>
          <w:rFonts w:hint="eastAsia" w:ascii="MS UI Gothic" w:eastAsia="MS UI Gothic"/>
          <w:w w:val="80"/>
        </w:rPr>
        <w:t xml:space="preserve">ꎬ </w:t>
      </w:r>
      <w:r>
        <w:t>并按照安全技术规范的要求进行</w:t>
      </w:r>
      <w:r>
        <w:rPr>
          <w:rFonts w:hint="eastAsia" w:ascii="MS UI Gothic" w:eastAsia="MS UI Gothic"/>
          <w:w w:val="80"/>
        </w:rPr>
        <w:t>ꎮ</w:t>
      </w:r>
    </w:p>
    <w:p>
      <w:pPr>
        <w:pStyle w:val="6"/>
        <w:spacing w:line="295" w:lineRule="auto"/>
        <w:ind w:left="440"/>
        <w:rPr>
          <w:rFonts w:hint="eastAsia" w:ascii="MS UI Gothic" w:eastAsia="MS UI Gothic"/>
        </w:rPr>
      </w:pPr>
      <w:r>
        <w:t>特种设备检验</w:t>
      </w:r>
      <w:r>
        <w:rPr>
          <w:rFonts w:hint="eastAsia" w:ascii="MS UI Gothic" w:eastAsia="MS UI Gothic"/>
          <w:w w:val="80"/>
        </w:rPr>
        <w:t xml:space="preserve">、 </w:t>
      </w:r>
      <w:r>
        <w:t>检测机构及其检验</w:t>
      </w:r>
      <w:r>
        <w:rPr>
          <w:rFonts w:hint="eastAsia" w:ascii="MS UI Gothic" w:eastAsia="MS UI Gothic"/>
          <w:w w:val="80"/>
        </w:rPr>
        <w:t>、</w:t>
      </w:r>
      <w:r>
        <w:t>检测人员应当依法为特种设备生产</w:t>
      </w:r>
      <w:r>
        <w:rPr>
          <w:rFonts w:hint="eastAsia" w:ascii="MS UI Gothic" w:eastAsia="MS UI Gothic"/>
          <w:w w:val="80"/>
        </w:rPr>
        <w:t xml:space="preserve">、 </w:t>
      </w:r>
      <w:r>
        <w:t>经营</w:t>
      </w:r>
      <w:r>
        <w:rPr>
          <w:rFonts w:hint="eastAsia" w:ascii="MS UI Gothic" w:eastAsia="MS UI Gothic"/>
          <w:w w:val="80"/>
        </w:rPr>
        <w:t xml:space="preserve">、 </w:t>
      </w:r>
      <w:r>
        <w:t>使用单位提供安全</w:t>
      </w:r>
      <w:r>
        <w:rPr>
          <w:rFonts w:hint="eastAsia" w:ascii="MS UI Gothic" w:eastAsia="MS UI Gothic"/>
          <w:w w:val="80"/>
        </w:rPr>
        <w:t xml:space="preserve">、 </w:t>
      </w:r>
      <w:r>
        <w:t>可靠</w:t>
      </w:r>
      <w:r>
        <w:rPr>
          <w:rFonts w:hint="eastAsia" w:ascii="MS UI Gothic" w:eastAsia="MS UI Gothic"/>
          <w:w w:val="80"/>
        </w:rPr>
        <w:t xml:space="preserve">、 </w:t>
      </w:r>
      <w:r>
        <w:t>便捷</w:t>
      </w:r>
      <w:r>
        <w:rPr>
          <w:rFonts w:hint="eastAsia" w:ascii="MS UI Gothic" w:eastAsia="MS UI Gothic"/>
          <w:w w:val="80"/>
        </w:rPr>
        <w:t xml:space="preserve">、  </w:t>
      </w:r>
      <w:r>
        <w:t>诚信的检验</w:t>
      </w:r>
      <w:r>
        <w:rPr>
          <w:rFonts w:hint="eastAsia" w:ascii="MS UI Gothic" w:eastAsia="MS UI Gothic"/>
          <w:w w:val="80"/>
        </w:rPr>
        <w:t xml:space="preserve">、 </w:t>
      </w:r>
      <w:r>
        <w:t>检测服务</w:t>
      </w:r>
      <w:r>
        <w:rPr>
          <w:rFonts w:hint="eastAsia" w:ascii="MS UI Gothic" w:eastAsia="MS UI Gothic"/>
          <w:w w:val="80"/>
        </w:rPr>
        <w:t>ꎮ</w:t>
      </w:r>
    </w:p>
    <w:p>
      <w:pPr>
        <w:pStyle w:val="6"/>
        <w:spacing w:line="295" w:lineRule="auto"/>
        <w:ind w:left="440"/>
        <w:rPr>
          <w:rFonts w:hint="eastAsia" w:ascii="MS UI Gothic" w:eastAsia="MS UI Gothic"/>
        </w:rPr>
      </w:pPr>
      <w:r>
        <w:t>第五十三条 特种设备检验</w:t>
      </w:r>
      <w:r>
        <w:rPr>
          <w:rFonts w:hint="eastAsia" w:ascii="MS UI Gothic" w:eastAsia="MS UI Gothic"/>
          <w:w w:val="80"/>
        </w:rPr>
        <w:t xml:space="preserve">、 </w:t>
      </w:r>
      <w:r>
        <w:t>检测机构及其检验</w:t>
      </w:r>
      <w:r>
        <w:rPr>
          <w:rFonts w:hint="eastAsia" w:ascii="MS UI Gothic" w:eastAsia="MS UI Gothic"/>
          <w:w w:val="80"/>
        </w:rPr>
        <w:t xml:space="preserve">、 </w:t>
      </w:r>
      <w:r>
        <w:t>检测人员应当客观</w:t>
      </w:r>
      <w:r>
        <w:rPr>
          <w:rFonts w:hint="eastAsia" w:ascii="MS UI Gothic" w:eastAsia="MS UI Gothic"/>
          <w:w w:val="80"/>
        </w:rPr>
        <w:t xml:space="preserve">、 </w:t>
      </w:r>
      <w:r>
        <w:t>公正</w:t>
      </w:r>
      <w:r>
        <w:rPr>
          <w:rFonts w:hint="eastAsia" w:ascii="MS UI Gothic" w:eastAsia="MS UI Gothic"/>
          <w:w w:val="80"/>
        </w:rPr>
        <w:t>、</w:t>
      </w:r>
      <w:r>
        <w:t>及时地出具检验</w:t>
      </w:r>
      <w:r>
        <w:rPr>
          <w:rFonts w:hint="eastAsia" w:ascii="MS UI Gothic" w:eastAsia="MS UI Gothic"/>
          <w:w w:val="80"/>
        </w:rPr>
        <w:t xml:space="preserve">、 </w:t>
      </w:r>
      <w:r>
        <w:t>检测报告</w:t>
      </w:r>
      <w:r>
        <w:rPr>
          <w:rFonts w:hint="eastAsia" w:ascii="MS UI Gothic" w:eastAsia="MS UI Gothic"/>
          <w:w w:val="80"/>
        </w:rPr>
        <w:t xml:space="preserve">ꎬ </w:t>
      </w:r>
      <w:r>
        <w:t>并对检验</w:t>
      </w:r>
      <w:r>
        <w:rPr>
          <w:rFonts w:hint="eastAsia" w:ascii="MS UI Gothic" w:eastAsia="MS UI Gothic"/>
          <w:w w:val="80"/>
        </w:rPr>
        <w:t>、</w:t>
      </w:r>
      <w:r>
        <w:t>检测结果和鉴定结论负责</w:t>
      </w:r>
      <w:r>
        <w:rPr>
          <w:rFonts w:hint="eastAsia" w:ascii="MS UI Gothic" w:eastAsia="MS UI Gothic"/>
          <w:w w:val="80"/>
        </w:rPr>
        <w:t>ꎮ</w:t>
      </w:r>
    </w:p>
    <w:p>
      <w:pPr>
        <w:pStyle w:val="6"/>
        <w:spacing w:line="295" w:lineRule="auto"/>
        <w:ind w:left="440"/>
        <w:rPr>
          <w:rFonts w:hint="eastAsia" w:ascii="MS UI Gothic" w:eastAsia="MS UI Gothic"/>
        </w:rPr>
      </w:pPr>
      <w:r>
        <w:rPr>
          <w:spacing w:val="7"/>
        </w:rPr>
        <w:t>特种设备检验</w:t>
      </w:r>
      <w:r>
        <w:rPr>
          <w:rFonts w:hint="eastAsia" w:ascii="MS UI Gothic" w:eastAsia="MS UI Gothic"/>
          <w:spacing w:val="16"/>
          <w:w w:val="80"/>
        </w:rPr>
        <w:t xml:space="preserve">、 </w:t>
      </w:r>
      <w:r>
        <w:rPr>
          <w:spacing w:val="11"/>
        </w:rPr>
        <w:t>检测机构及其检验</w:t>
      </w:r>
      <w:r>
        <w:rPr>
          <w:rFonts w:hint="eastAsia" w:ascii="MS UI Gothic" w:eastAsia="MS UI Gothic"/>
          <w:w w:val="80"/>
        </w:rPr>
        <w:t>、</w:t>
      </w:r>
      <w:r>
        <w:rPr>
          <w:spacing w:val="3"/>
        </w:rPr>
        <w:t>检测人员在检验</w:t>
      </w:r>
      <w:r>
        <w:rPr>
          <w:rFonts w:hint="eastAsia" w:ascii="MS UI Gothic" w:eastAsia="MS UI Gothic"/>
          <w:spacing w:val="19"/>
          <w:w w:val="80"/>
        </w:rPr>
        <w:t xml:space="preserve">、 </w:t>
      </w:r>
      <w:r>
        <w:rPr>
          <w:spacing w:val="2"/>
        </w:rPr>
        <w:t>检测中发现特种设备存</w:t>
      </w:r>
      <w:r>
        <w:rPr>
          <w:spacing w:val="3"/>
        </w:rPr>
        <w:t>在严重事故隐患时</w:t>
      </w:r>
      <w:r>
        <w:rPr>
          <w:rFonts w:hint="eastAsia" w:ascii="MS UI Gothic" w:eastAsia="MS UI Gothic"/>
          <w:spacing w:val="21"/>
          <w:w w:val="80"/>
        </w:rPr>
        <w:t xml:space="preserve">ꎬ </w:t>
      </w:r>
      <w:r>
        <w:rPr>
          <w:spacing w:val="2"/>
        </w:rPr>
        <w:t>应当及时告知相关单</w:t>
      </w:r>
      <w:r>
        <w:rPr>
          <w:spacing w:val="3"/>
        </w:rPr>
        <w:t>位</w:t>
      </w:r>
      <w:r>
        <w:rPr>
          <w:rFonts w:hint="eastAsia" w:ascii="MS UI Gothic" w:eastAsia="MS UI Gothic"/>
          <w:spacing w:val="21"/>
          <w:w w:val="80"/>
        </w:rPr>
        <w:t xml:space="preserve">ꎬ </w:t>
      </w:r>
      <w:r>
        <w:rPr>
          <w:spacing w:val="2"/>
        </w:rPr>
        <w:t>并立即向负责特种设备安全监督管理</w:t>
      </w:r>
      <w:r>
        <w:rPr>
          <w:spacing w:val="3"/>
        </w:rPr>
        <w:t>的部门报告</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负责特种设备安全监督管理的部门应</w:t>
      </w:r>
      <w:r>
        <w:rPr>
          <w:spacing w:val="12"/>
        </w:rPr>
        <w:t>当组织对特种设备检验</w:t>
      </w:r>
      <w:r>
        <w:rPr>
          <w:rFonts w:hint="eastAsia" w:ascii="MS UI Gothic" w:eastAsia="MS UI Gothic"/>
          <w:w w:val="80"/>
        </w:rPr>
        <w:t xml:space="preserve">、 </w:t>
      </w:r>
      <w:r>
        <w:rPr>
          <w:spacing w:val="15"/>
        </w:rPr>
        <w:t>检测机构的检</w:t>
      </w:r>
      <w:r>
        <w:rPr>
          <w:spacing w:val="3"/>
        </w:rPr>
        <w:t>验</w:t>
      </w:r>
      <w:r>
        <w:rPr>
          <w:rFonts w:hint="eastAsia" w:ascii="MS UI Gothic" w:eastAsia="MS UI Gothic"/>
          <w:spacing w:val="18"/>
          <w:w w:val="80"/>
        </w:rPr>
        <w:t xml:space="preserve">、 </w:t>
      </w:r>
      <w:r>
        <w:rPr>
          <w:spacing w:val="6"/>
        </w:rPr>
        <w:t>检测结果和鉴定结论进行监督抽查</w:t>
      </w:r>
      <w:r>
        <w:rPr>
          <w:rFonts w:hint="eastAsia" w:ascii="MS UI Gothic" w:eastAsia="MS UI Gothic"/>
          <w:w w:val="80"/>
        </w:rPr>
        <w:t>ꎬ</w:t>
      </w:r>
      <w:r>
        <w:rPr>
          <w:spacing w:val="3"/>
        </w:rPr>
        <w:t>但应当防止重复抽查</w:t>
      </w:r>
      <w:r>
        <w:rPr>
          <w:rFonts w:hint="eastAsia" w:ascii="MS UI Gothic" w:eastAsia="MS UI Gothic"/>
          <w:spacing w:val="21"/>
          <w:w w:val="80"/>
        </w:rPr>
        <w:t xml:space="preserve">ꎮ </w:t>
      </w:r>
      <w:r>
        <w:rPr>
          <w:spacing w:val="2"/>
        </w:rPr>
        <w:t>监督抽查结果应当</w:t>
      </w:r>
      <w:r>
        <w:rPr>
          <w:spacing w:val="3"/>
        </w:rPr>
        <w:t>向社会公布</w:t>
      </w:r>
      <w:r>
        <w:rPr>
          <w:rFonts w:hint="eastAsia" w:ascii="MS UI Gothic" w:eastAsia="MS UI Gothic"/>
          <w:w w:val="80"/>
        </w:rPr>
        <w:t>ꎮ</w:t>
      </w:r>
    </w:p>
    <w:p>
      <w:pPr>
        <w:pStyle w:val="6"/>
        <w:spacing w:line="295" w:lineRule="auto"/>
        <w:ind w:left="440"/>
        <w:rPr>
          <w:rFonts w:hint="eastAsia" w:ascii="MS UI Gothic" w:eastAsia="MS UI Gothic"/>
        </w:rPr>
      </w:pPr>
      <w:r>
        <w:t>第五十四条 特种设备生产</w:t>
      </w:r>
      <w:r>
        <w:rPr>
          <w:rFonts w:hint="eastAsia" w:ascii="MS UI Gothic" w:eastAsia="MS UI Gothic"/>
          <w:w w:val="80"/>
        </w:rPr>
        <w:t xml:space="preserve">、 </w:t>
      </w:r>
      <w:r>
        <w:t>经营</w:t>
      </w:r>
      <w:r>
        <w:rPr>
          <w:rFonts w:hint="eastAsia" w:ascii="MS UI Gothic" w:eastAsia="MS UI Gothic"/>
          <w:w w:val="80"/>
        </w:rPr>
        <w:t>、</w:t>
      </w:r>
      <w:r>
        <w:t>使用单位应当按照安全技术规范的要求向特种设备检验</w:t>
      </w:r>
      <w:r>
        <w:rPr>
          <w:rFonts w:hint="eastAsia" w:ascii="MS UI Gothic" w:eastAsia="MS UI Gothic"/>
          <w:w w:val="80"/>
        </w:rPr>
        <w:t xml:space="preserve">、 </w:t>
      </w:r>
      <w:r>
        <w:t>检测机构及其检验</w:t>
      </w:r>
      <w:r>
        <w:rPr>
          <w:rFonts w:hint="eastAsia" w:ascii="MS UI Gothic" w:eastAsia="MS UI Gothic"/>
          <w:w w:val="80"/>
        </w:rPr>
        <w:t xml:space="preserve">、 </w:t>
      </w:r>
      <w:r>
        <w:t>检测人员提供特种设备相关资料和必要的检验</w:t>
      </w:r>
      <w:r>
        <w:rPr>
          <w:rFonts w:hint="eastAsia" w:ascii="MS UI Gothic" w:eastAsia="MS UI Gothic"/>
          <w:w w:val="80"/>
        </w:rPr>
        <w:t xml:space="preserve">、 </w:t>
      </w:r>
      <w:r>
        <w:t>检测条件</w:t>
      </w:r>
      <w:r>
        <w:rPr>
          <w:rFonts w:hint="eastAsia" w:ascii="MS UI Gothic" w:eastAsia="MS UI Gothic"/>
          <w:w w:val="80"/>
        </w:rPr>
        <w:t xml:space="preserve">ꎬ </w:t>
      </w:r>
      <w:r>
        <w:t>并对资料的真实性负责</w:t>
      </w:r>
      <w:r>
        <w:rPr>
          <w:rFonts w:hint="eastAsia" w:ascii="MS UI Gothic" w:eastAsia="MS UI Gothic"/>
          <w:w w:val="80"/>
        </w:rPr>
        <w:t>ꎮ</w:t>
      </w:r>
    </w:p>
    <w:p>
      <w:pPr>
        <w:pStyle w:val="6"/>
        <w:spacing w:line="295" w:lineRule="auto"/>
        <w:ind w:left="440" w:right="1"/>
        <w:rPr>
          <w:rFonts w:hint="eastAsia" w:ascii="MS UI Gothic" w:eastAsia="MS UI Gothic"/>
        </w:rPr>
      </w:pPr>
      <w:r>
        <w:t>第五十五条 特种设备检验</w:t>
      </w:r>
      <w:r>
        <w:rPr>
          <w:rFonts w:hint="eastAsia" w:ascii="MS UI Gothic" w:eastAsia="MS UI Gothic"/>
          <w:w w:val="80"/>
        </w:rPr>
        <w:t xml:space="preserve">、 </w:t>
      </w:r>
      <w:r>
        <w:t>检测机构及其检验</w:t>
      </w:r>
      <w:r>
        <w:rPr>
          <w:rFonts w:hint="eastAsia" w:ascii="MS UI Gothic" w:eastAsia="MS UI Gothic"/>
          <w:w w:val="80"/>
        </w:rPr>
        <w:t xml:space="preserve">、 </w:t>
      </w:r>
      <w:r>
        <w:t>检测人员对检验</w:t>
      </w:r>
      <w:r>
        <w:rPr>
          <w:rFonts w:hint="eastAsia" w:ascii="MS UI Gothic" w:eastAsia="MS UI Gothic"/>
          <w:w w:val="80"/>
        </w:rPr>
        <w:t xml:space="preserve">、 </w:t>
      </w:r>
      <w:r>
        <w:t>检测过程中知悉的商业秘密</w:t>
      </w:r>
      <w:r>
        <w:rPr>
          <w:rFonts w:hint="eastAsia" w:ascii="MS UI Gothic" w:eastAsia="MS UI Gothic"/>
          <w:w w:val="80"/>
        </w:rPr>
        <w:t xml:space="preserve">ꎬ </w:t>
      </w:r>
      <w:r>
        <w:t>负有保密义务</w:t>
      </w:r>
      <w:r>
        <w:rPr>
          <w:rFonts w:hint="eastAsia" w:ascii="MS UI Gothic" w:eastAsia="MS UI Gothic"/>
          <w:w w:val="80"/>
        </w:rPr>
        <w:t>ꎮ</w:t>
      </w:r>
    </w:p>
    <w:p>
      <w:pPr>
        <w:pStyle w:val="6"/>
        <w:spacing w:line="295" w:lineRule="auto"/>
        <w:ind w:left="440"/>
        <w:rPr>
          <w:rFonts w:hint="eastAsia" w:ascii="MS UI Gothic" w:eastAsia="MS UI Gothic"/>
        </w:rPr>
      </w:pPr>
      <w:r>
        <w:t>特种设备检验</w:t>
      </w:r>
      <w:r>
        <w:rPr>
          <w:rFonts w:hint="eastAsia" w:ascii="MS UI Gothic" w:eastAsia="MS UI Gothic"/>
          <w:w w:val="80"/>
        </w:rPr>
        <w:t xml:space="preserve">、 </w:t>
      </w:r>
      <w:r>
        <w:t>检测机构及其检验</w:t>
      </w:r>
      <w:r>
        <w:rPr>
          <w:rFonts w:hint="eastAsia" w:ascii="MS UI Gothic" w:eastAsia="MS UI Gothic"/>
          <w:w w:val="80"/>
        </w:rPr>
        <w:t>、</w:t>
      </w:r>
      <w:r>
        <w:t>检测人员不得从事有关特种设备的生产</w:t>
      </w:r>
      <w:r>
        <w:rPr>
          <w:rFonts w:hint="eastAsia" w:ascii="MS UI Gothic" w:eastAsia="MS UI Gothic"/>
          <w:w w:val="80"/>
        </w:rPr>
        <w:t>、</w:t>
      </w:r>
      <w:r>
        <w:t>经营活动</w:t>
      </w:r>
      <w:r>
        <w:rPr>
          <w:rFonts w:hint="eastAsia" w:ascii="MS UI Gothic" w:eastAsia="MS UI Gothic"/>
          <w:w w:val="80"/>
        </w:rPr>
        <w:t xml:space="preserve">ꎬ </w:t>
      </w:r>
      <w:r>
        <w:t>不得推荐或者监制</w:t>
      </w:r>
      <w:r>
        <w:rPr>
          <w:rFonts w:hint="eastAsia" w:ascii="MS UI Gothic" w:eastAsia="MS UI Gothic"/>
          <w:w w:val="80"/>
        </w:rPr>
        <w:t xml:space="preserve">、 </w:t>
      </w:r>
      <w:r>
        <w:t>监销特种设备</w:t>
      </w:r>
      <w:r>
        <w:rPr>
          <w:rFonts w:hint="eastAsia" w:ascii="MS UI Gothic" w:eastAsia="MS UI Gothic"/>
          <w:w w:val="80"/>
        </w:rPr>
        <w:t>ꎮ</w:t>
      </w:r>
    </w:p>
    <w:p>
      <w:pPr>
        <w:pStyle w:val="6"/>
        <w:spacing w:line="295" w:lineRule="auto"/>
        <w:ind w:left="440" w:right="1"/>
      </w:pPr>
      <w:r>
        <w:rPr>
          <w:w w:val="105"/>
        </w:rPr>
        <w:t>第五十六条 特种设备检验机构及其</w:t>
      </w:r>
      <w:r>
        <w:t>检验人员利用检验工作故意刁难特种设备</w:t>
      </w:r>
      <w:r>
        <w:rPr>
          <w:w w:val="105"/>
        </w:rPr>
        <w:t>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使用单位的</w:t>
      </w:r>
      <w:r>
        <w:rPr>
          <w:rFonts w:hint="eastAsia" w:ascii="MS UI Gothic" w:eastAsia="MS UI Gothic"/>
          <w:w w:val="80"/>
        </w:rPr>
        <w:t xml:space="preserve">ꎬ </w:t>
      </w:r>
      <w:r>
        <w:rPr>
          <w:w w:val="105"/>
        </w:rPr>
        <w:t>特种设备生</w:t>
      </w:r>
    </w:p>
    <w:p>
      <w:pPr>
        <w:pStyle w:val="6"/>
        <w:spacing w:before="124" w:line="295" w:lineRule="auto"/>
        <w:ind w:left="381" w:right="126" w:firstLine="0"/>
        <w:rPr>
          <w:rFonts w:hint="eastAsia" w:ascii="MS UI Gothic" w:eastAsia="MS UI Gothic"/>
        </w:rPr>
      </w:pPr>
      <w:r>
        <w:br w:type="column"/>
      </w:r>
      <w:r>
        <w:t>产</w:t>
      </w:r>
      <w:r>
        <w:rPr>
          <w:rFonts w:hint="eastAsia" w:ascii="MS UI Gothic" w:eastAsia="MS UI Gothic"/>
          <w:w w:val="80"/>
        </w:rPr>
        <w:t xml:space="preserve">、 </w:t>
      </w:r>
      <w:r>
        <w:t>经营</w:t>
      </w:r>
      <w:r>
        <w:rPr>
          <w:rFonts w:hint="eastAsia" w:ascii="MS UI Gothic" w:eastAsia="MS UI Gothic"/>
          <w:w w:val="80"/>
        </w:rPr>
        <w:t xml:space="preserve">、 </w:t>
      </w:r>
      <w:r>
        <w:t>使用单位有权向负责特种设备安全监督管理的部门投诉</w:t>
      </w:r>
      <w:r>
        <w:rPr>
          <w:rFonts w:hint="eastAsia" w:ascii="MS UI Gothic" w:eastAsia="MS UI Gothic"/>
          <w:w w:val="80"/>
        </w:rPr>
        <w:t xml:space="preserve">ꎬ </w:t>
      </w:r>
      <w:r>
        <w:t>接到投诉的部门应当及时进行调查处理</w:t>
      </w:r>
      <w:r>
        <w:rPr>
          <w:rFonts w:hint="eastAsia" w:ascii="MS UI Gothic" w:eastAsia="MS UI Gothic"/>
          <w:w w:val="80"/>
        </w:rPr>
        <w:t>ꎮ</w:t>
      </w:r>
    </w:p>
    <w:p>
      <w:pPr>
        <w:pStyle w:val="6"/>
        <w:tabs>
          <w:tab w:val="left" w:pos="2162"/>
        </w:tabs>
        <w:spacing w:before="155"/>
        <w:ind w:left="1324" w:firstLine="0"/>
        <w:jc w:val="left"/>
      </w:pPr>
      <w:r>
        <w:rPr>
          <w:spacing w:val="3"/>
          <w:w w:val="105"/>
        </w:rPr>
        <w:t>第四</w:t>
      </w:r>
      <w:r>
        <w:rPr>
          <w:w w:val="105"/>
        </w:rPr>
        <w:t>章</w:t>
      </w:r>
      <w:r>
        <w:rPr>
          <w:w w:val="105"/>
        </w:rPr>
        <w:tab/>
      </w:r>
      <w:r>
        <w:rPr>
          <w:w w:val="105"/>
        </w:rPr>
        <w:t>监</w:t>
      </w:r>
      <w:r>
        <w:rPr>
          <w:spacing w:val="-33"/>
          <w:w w:val="105"/>
        </w:rPr>
        <w:t xml:space="preserve"> </w:t>
      </w:r>
      <w:r>
        <w:rPr>
          <w:w w:val="105"/>
        </w:rPr>
        <w:t>督</w:t>
      </w:r>
      <w:r>
        <w:rPr>
          <w:spacing w:val="-33"/>
          <w:w w:val="105"/>
        </w:rPr>
        <w:t xml:space="preserve"> </w:t>
      </w:r>
      <w:r>
        <w:rPr>
          <w:w w:val="105"/>
        </w:rPr>
        <w:t>管</w:t>
      </w:r>
      <w:r>
        <w:rPr>
          <w:spacing w:val="-33"/>
          <w:w w:val="105"/>
        </w:rPr>
        <w:t xml:space="preserve"> </w:t>
      </w:r>
      <w:r>
        <w:rPr>
          <w:w w:val="105"/>
        </w:rPr>
        <w:t>理</w:t>
      </w:r>
    </w:p>
    <w:p>
      <w:pPr>
        <w:pStyle w:val="6"/>
        <w:spacing w:before="215" w:line="295" w:lineRule="auto"/>
        <w:ind w:left="381" w:right="126"/>
        <w:rPr>
          <w:rFonts w:hint="eastAsia" w:ascii="MS UI Gothic" w:eastAsia="MS UI Gothic"/>
        </w:rPr>
      </w:pPr>
      <w:r>
        <w:t>第五十七条 负责特种设备安全监督管理的部门依照本法规定</w:t>
      </w:r>
      <w:r>
        <w:rPr>
          <w:rFonts w:hint="eastAsia" w:ascii="MS UI Gothic" w:eastAsia="MS UI Gothic"/>
          <w:w w:val="80"/>
        </w:rPr>
        <w:t xml:space="preserve">ꎬ </w:t>
      </w:r>
      <w:r>
        <w:t>对特种设备生产</w:t>
      </w:r>
      <w:r>
        <w:rPr>
          <w:rFonts w:hint="eastAsia" w:ascii="MS UI Gothic" w:eastAsia="MS UI Gothic"/>
          <w:w w:val="80"/>
        </w:rPr>
        <w:t xml:space="preserve">、 </w:t>
      </w:r>
      <w:r>
        <w:t>经营</w:t>
      </w:r>
      <w:r>
        <w:rPr>
          <w:rFonts w:hint="eastAsia" w:ascii="MS UI Gothic" w:eastAsia="MS UI Gothic"/>
          <w:w w:val="80"/>
        </w:rPr>
        <w:t xml:space="preserve">、 </w:t>
      </w:r>
      <w:r>
        <w:t>使用单位和检验</w:t>
      </w:r>
      <w:r>
        <w:rPr>
          <w:rFonts w:hint="eastAsia" w:ascii="MS UI Gothic" w:eastAsia="MS UI Gothic"/>
          <w:w w:val="80"/>
        </w:rPr>
        <w:t xml:space="preserve">、 </w:t>
      </w:r>
      <w:r>
        <w:t>检测机构实施监督检查</w:t>
      </w:r>
      <w:r>
        <w:rPr>
          <w:rFonts w:hint="eastAsia" w:ascii="MS UI Gothic" w:eastAsia="MS UI Gothic"/>
          <w:w w:val="80"/>
        </w:rPr>
        <w:t>ꎮ</w:t>
      </w:r>
    </w:p>
    <w:p>
      <w:pPr>
        <w:pStyle w:val="6"/>
        <w:spacing w:line="295" w:lineRule="auto"/>
        <w:ind w:left="381" w:right="126"/>
        <w:rPr>
          <w:rFonts w:hint="eastAsia" w:ascii="MS UI Gothic" w:eastAsia="MS UI Gothic"/>
        </w:rPr>
      </w:pPr>
      <w:r>
        <w:t>负责特种设备安全监督管理的部门应当对学校</w:t>
      </w:r>
      <w:r>
        <w:rPr>
          <w:rFonts w:hint="eastAsia" w:ascii="MS UI Gothic" w:eastAsia="MS UI Gothic"/>
          <w:w w:val="80"/>
        </w:rPr>
        <w:t xml:space="preserve">、 </w:t>
      </w:r>
      <w:r>
        <w:t>幼儿园以及医院</w:t>
      </w:r>
      <w:r>
        <w:rPr>
          <w:rFonts w:hint="eastAsia" w:ascii="MS UI Gothic" w:eastAsia="MS UI Gothic"/>
          <w:w w:val="80"/>
        </w:rPr>
        <w:t xml:space="preserve">、 </w:t>
      </w:r>
      <w:r>
        <w:t>车站</w:t>
      </w:r>
      <w:r>
        <w:rPr>
          <w:rFonts w:hint="eastAsia" w:ascii="MS UI Gothic" w:eastAsia="MS UI Gothic"/>
          <w:w w:val="80"/>
        </w:rPr>
        <w:t xml:space="preserve">、 </w:t>
      </w:r>
      <w:r>
        <w:t>客运码头</w:t>
      </w:r>
      <w:r>
        <w:rPr>
          <w:rFonts w:hint="eastAsia" w:ascii="MS UI Gothic" w:eastAsia="MS UI Gothic"/>
          <w:w w:val="80"/>
        </w:rPr>
        <w:t xml:space="preserve">、 </w:t>
      </w:r>
      <w:r>
        <w:t>商场</w:t>
      </w:r>
      <w:r>
        <w:rPr>
          <w:rFonts w:hint="eastAsia" w:ascii="MS UI Gothic" w:eastAsia="MS UI Gothic"/>
          <w:w w:val="80"/>
        </w:rPr>
        <w:t xml:space="preserve">、 </w:t>
      </w:r>
      <w:r>
        <w:t>体育场馆</w:t>
      </w:r>
      <w:r>
        <w:rPr>
          <w:rFonts w:hint="eastAsia" w:ascii="MS UI Gothic" w:eastAsia="MS UI Gothic"/>
          <w:w w:val="80"/>
        </w:rPr>
        <w:t xml:space="preserve">、 </w:t>
      </w:r>
      <w:r>
        <w:t>展览馆</w:t>
      </w:r>
      <w:r>
        <w:rPr>
          <w:rFonts w:hint="eastAsia" w:ascii="MS UI Gothic" w:eastAsia="MS UI Gothic"/>
          <w:w w:val="80"/>
        </w:rPr>
        <w:t xml:space="preserve">、  </w:t>
      </w:r>
      <w:r>
        <w:t>公园等公众聚集场所的特种设备</w:t>
      </w:r>
      <w:r>
        <w:rPr>
          <w:rFonts w:hint="eastAsia" w:ascii="MS UI Gothic" w:eastAsia="MS UI Gothic"/>
          <w:w w:val="80"/>
        </w:rPr>
        <w:t xml:space="preserve">ꎬ </w:t>
      </w:r>
      <w:r>
        <w:t>实施重点安全监督检查</w:t>
      </w:r>
      <w:r>
        <w:rPr>
          <w:rFonts w:hint="eastAsia" w:ascii="MS UI Gothic" w:eastAsia="MS UI Gothic"/>
          <w:w w:val="80"/>
        </w:rPr>
        <w:t>ꎮ</w:t>
      </w:r>
    </w:p>
    <w:p>
      <w:pPr>
        <w:pStyle w:val="6"/>
        <w:spacing w:line="295" w:lineRule="auto"/>
        <w:ind w:left="381" w:right="126"/>
        <w:rPr>
          <w:rFonts w:hint="eastAsia" w:ascii="MS UI Gothic" w:eastAsia="MS UI Gothic"/>
        </w:rPr>
      </w:pPr>
      <w:r>
        <w:t>第五十八条 负责特种设备安全监督管理的部门实施本法规定的许可工作</w:t>
      </w:r>
      <w:r>
        <w:rPr>
          <w:rFonts w:hint="eastAsia" w:ascii="MS UI Gothic" w:eastAsia="MS UI Gothic"/>
          <w:w w:val="80"/>
        </w:rPr>
        <w:t xml:space="preserve">ꎬ </w:t>
      </w:r>
      <w:r>
        <w:t>应当依照本法和其他有关法律</w:t>
      </w:r>
      <w:r>
        <w:rPr>
          <w:rFonts w:hint="eastAsia" w:ascii="MS UI Gothic" w:eastAsia="MS UI Gothic"/>
          <w:w w:val="80"/>
        </w:rPr>
        <w:t xml:space="preserve">、 </w:t>
      </w:r>
      <w:r>
        <w:t>行政法规规定的条件和程序以及安全技术规范的要求进行审查</w:t>
      </w:r>
      <w:r>
        <w:rPr>
          <w:rFonts w:hint="eastAsia" w:ascii="MS UI Gothic" w:eastAsia="MS UI Gothic"/>
          <w:w w:val="80"/>
        </w:rPr>
        <w:t xml:space="preserve">ꎻ </w:t>
      </w:r>
      <w:r>
        <w:t>不符合规定的</w:t>
      </w:r>
      <w:r>
        <w:rPr>
          <w:rFonts w:hint="eastAsia" w:ascii="MS UI Gothic" w:eastAsia="MS UI Gothic"/>
          <w:w w:val="80"/>
        </w:rPr>
        <w:t xml:space="preserve">ꎬ </w:t>
      </w:r>
      <w:r>
        <w:t>不得许可</w:t>
      </w:r>
      <w:r>
        <w:rPr>
          <w:rFonts w:hint="eastAsia" w:ascii="MS UI Gothic" w:eastAsia="MS UI Gothic"/>
          <w:w w:val="80"/>
        </w:rPr>
        <w:t>ꎮ</w:t>
      </w:r>
    </w:p>
    <w:p>
      <w:pPr>
        <w:pStyle w:val="6"/>
        <w:spacing w:line="295" w:lineRule="auto"/>
        <w:ind w:left="381" w:right="126"/>
        <w:rPr>
          <w:rFonts w:hint="eastAsia" w:ascii="MS UI Gothic" w:eastAsia="MS UI Gothic"/>
        </w:rPr>
      </w:pPr>
      <w:r>
        <w:t>第五十九条 负责特种设备安全监督管理的部门在办理本法规定的许可时</w:t>
      </w:r>
      <w:r>
        <w:rPr>
          <w:rFonts w:hint="eastAsia" w:ascii="MS UI Gothic" w:eastAsia="MS UI Gothic"/>
          <w:w w:val="80"/>
        </w:rPr>
        <w:t xml:space="preserve">ꎬ </w:t>
      </w:r>
      <w:r>
        <w:t>其受理</w:t>
      </w:r>
      <w:r>
        <w:rPr>
          <w:rFonts w:hint="eastAsia" w:ascii="MS UI Gothic" w:eastAsia="MS UI Gothic"/>
          <w:w w:val="80"/>
        </w:rPr>
        <w:t xml:space="preserve">、 </w:t>
      </w:r>
      <w:r>
        <w:t>审查</w:t>
      </w:r>
      <w:r>
        <w:rPr>
          <w:rFonts w:hint="eastAsia" w:ascii="MS UI Gothic" w:eastAsia="MS UI Gothic"/>
          <w:w w:val="80"/>
        </w:rPr>
        <w:t xml:space="preserve">、 </w:t>
      </w:r>
      <w:r>
        <w:t>许可的程序必须公开</w:t>
      </w:r>
      <w:r>
        <w:rPr>
          <w:rFonts w:hint="eastAsia" w:ascii="MS UI Gothic" w:eastAsia="MS UI Gothic"/>
          <w:w w:val="80"/>
        </w:rPr>
        <w:t xml:space="preserve">ꎬ </w:t>
      </w:r>
      <w:r>
        <w:t>并应当自受理申请之日起三十日内</w:t>
      </w:r>
      <w:r>
        <w:rPr>
          <w:rFonts w:hint="eastAsia" w:ascii="MS UI Gothic" w:eastAsia="MS UI Gothic"/>
          <w:w w:val="80"/>
        </w:rPr>
        <w:t xml:space="preserve">ꎬ </w:t>
      </w:r>
      <w:r>
        <w:t>作出许可或者不予许可的决定</w:t>
      </w:r>
      <w:r>
        <w:rPr>
          <w:rFonts w:hint="eastAsia" w:ascii="MS UI Gothic" w:eastAsia="MS UI Gothic"/>
          <w:w w:val="80"/>
        </w:rPr>
        <w:t xml:space="preserve">ꎻ </w:t>
      </w:r>
      <w:r>
        <w:t>不予许可的</w:t>
      </w:r>
      <w:r>
        <w:rPr>
          <w:rFonts w:hint="eastAsia" w:ascii="MS UI Gothic" w:eastAsia="MS UI Gothic"/>
          <w:w w:val="80"/>
        </w:rPr>
        <w:t xml:space="preserve">ꎬ </w:t>
      </w:r>
      <w:r>
        <w:t>应当书面向申请人说明理由</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第六十条 负责特种设备安全监督管</w:t>
      </w:r>
      <w:r>
        <w:t>理的部门对依法办理使用登记的特种设备应当建立完整的监督管理档案和信息查询系统</w:t>
      </w:r>
      <w:r>
        <w:rPr>
          <w:rFonts w:hint="eastAsia" w:ascii="MS UI Gothic" w:eastAsia="MS UI Gothic"/>
          <w:w w:val="80"/>
        </w:rPr>
        <w:t xml:space="preserve">ꎻ </w:t>
      </w:r>
      <w:r>
        <w:t>对达到报废条件的特种设备</w:t>
      </w:r>
      <w:r>
        <w:rPr>
          <w:rFonts w:hint="eastAsia" w:ascii="MS UI Gothic" w:eastAsia="MS UI Gothic"/>
          <w:w w:val="80"/>
        </w:rPr>
        <w:t xml:space="preserve">ꎬ </w:t>
      </w:r>
      <w:r>
        <w:t>应当及时督促特种设备使用单位依法履行报废</w:t>
      </w:r>
      <w:r>
        <w:rPr>
          <w:w w:val="105"/>
        </w:rPr>
        <w:t>义务</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第六十一条 负责特种设备安全监督</w:t>
      </w:r>
      <w:r>
        <w:t>管理的部门在依法履行监督检查职责时</w:t>
      </w:r>
      <w:r>
        <w:rPr>
          <w:rFonts w:hint="eastAsia" w:ascii="MS UI Gothic" w:eastAsia="MS UI Gothic"/>
          <w:w w:val="80"/>
        </w:rPr>
        <w:t>ꎬ</w:t>
      </w:r>
      <w:r>
        <w:rPr>
          <w:w w:val="105"/>
        </w:rPr>
        <w:t>可以行使下列职权</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进入现场进行检查</w:t>
      </w:r>
      <w:r>
        <w:rPr>
          <w:rFonts w:hint="eastAsia" w:ascii="MS UI Gothic" w:eastAsia="MS UI Gothic"/>
          <w:w w:val="80"/>
        </w:rPr>
        <w:t xml:space="preserve">ꎬ </w:t>
      </w:r>
      <w:r>
        <w:rPr>
          <w:w w:val="105"/>
        </w:rPr>
        <w:t>向特种设备生产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使用单位和检验</w:t>
      </w:r>
      <w:r>
        <w:rPr>
          <w:rFonts w:hint="eastAsia" w:ascii="MS UI Gothic" w:eastAsia="MS UI Gothic"/>
          <w:w w:val="80"/>
        </w:rPr>
        <w:t xml:space="preserve">、 </w:t>
      </w:r>
      <w:r>
        <w:rPr>
          <w:w w:val="105"/>
        </w:rPr>
        <w:t>检测机构的主要负责人和其他有关人员调查</w:t>
      </w:r>
      <w:r>
        <w:rPr>
          <w:rFonts w:hint="eastAsia" w:ascii="MS UI Gothic" w:eastAsia="MS UI Gothic"/>
          <w:w w:val="80"/>
        </w:rPr>
        <w:t xml:space="preserve">、 </w:t>
      </w:r>
      <w:r>
        <w:rPr>
          <w:w w:val="105"/>
        </w:rPr>
        <w:t>了解有关情况</w:t>
      </w:r>
      <w:r>
        <w:rPr>
          <w:rFonts w:hint="eastAsia" w:ascii="MS UI Gothic" w:eastAsia="MS UI Gothic"/>
          <w:w w:val="80"/>
        </w:rPr>
        <w:t>ꎻ</w:t>
      </w:r>
    </w:p>
    <w:p>
      <w:pPr>
        <w:pStyle w:val="6"/>
        <w:spacing w:line="253" w:lineRule="exact"/>
        <w:ind w:left="800" w:firstLine="0"/>
      </w:pPr>
      <w:r>
        <w:rPr>
          <w:rFonts w:hint="eastAsia" w:ascii="MS UI Gothic" w:eastAsia="MS UI Gothic"/>
          <w:w w:val="110"/>
        </w:rPr>
        <w:t xml:space="preserve">( </w:t>
      </w:r>
      <w:r>
        <w:rPr>
          <w:w w:val="110"/>
        </w:rPr>
        <w:t>二</w:t>
      </w:r>
      <w:r>
        <w:rPr>
          <w:rFonts w:hint="eastAsia" w:ascii="MS UI Gothic" w:eastAsia="MS UI Gothic"/>
          <w:w w:val="110"/>
        </w:rPr>
        <w:t xml:space="preserve">) </w:t>
      </w:r>
      <w:r>
        <w:rPr>
          <w:w w:val="110"/>
        </w:rPr>
        <w:t>根据举报或者取得的涉嫌违法</w:t>
      </w:r>
    </w:p>
    <w:p>
      <w:pPr>
        <w:spacing w:after="0" w:line="253" w:lineRule="exact"/>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４６２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87" o:spid="_x0000_s2387" o:spt="203" style="height:2.15pt;width:398.25pt;" coordsize="7965,43">
            <o:lock v:ext="edit"/>
            <v:line id="_x0000_s2388" o:spid="_x0000_s2388" o:spt="20" style="position:absolute;left:0;top:39;height:0;width:7965;" stroked="t" coordsize="21600,21600">
              <v:path arrowok="t"/>
              <v:fill focussize="0,0"/>
              <v:stroke weight="0.388031496062992pt" color="#231F20"/>
              <v:imagedata o:title=""/>
              <o:lock v:ext="edit"/>
            </v:line>
            <v:line id="_x0000_s2389" o:spid="_x0000_s238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firstLine="0"/>
        <w:rPr>
          <w:rFonts w:hint="eastAsia" w:ascii="MS UI Gothic" w:eastAsia="MS UI Gothic"/>
        </w:rPr>
      </w:pPr>
      <w:r>
        <w:t>证据</w:t>
      </w:r>
      <w:r>
        <w:rPr>
          <w:rFonts w:hint="eastAsia" w:ascii="MS UI Gothic" w:eastAsia="MS UI Gothic"/>
          <w:w w:val="80"/>
        </w:rPr>
        <w:t xml:space="preserve">ꎬ </w:t>
      </w:r>
      <w:r>
        <w:t>查阅</w:t>
      </w:r>
      <w:r>
        <w:rPr>
          <w:rFonts w:hint="eastAsia" w:ascii="MS UI Gothic" w:eastAsia="MS UI Gothic"/>
        </w:rPr>
        <w:t xml:space="preserve">、 </w:t>
      </w:r>
      <w:r>
        <w:t>复制特种设备生产</w:t>
      </w:r>
      <w:r>
        <w:rPr>
          <w:rFonts w:hint="eastAsia" w:ascii="MS UI Gothic" w:eastAsia="MS UI Gothic"/>
        </w:rPr>
        <w:t xml:space="preserve">、 </w:t>
      </w:r>
      <w:r>
        <w:t>经营</w:t>
      </w:r>
      <w:r>
        <w:rPr>
          <w:rFonts w:hint="eastAsia" w:ascii="MS UI Gothic" w:eastAsia="MS UI Gothic"/>
        </w:rPr>
        <w:t>、</w:t>
      </w:r>
      <w:r>
        <w:t>使用单位和检验</w:t>
      </w:r>
      <w:r>
        <w:rPr>
          <w:rFonts w:hint="eastAsia" w:ascii="MS UI Gothic" w:eastAsia="MS UI Gothic"/>
        </w:rPr>
        <w:t xml:space="preserve">、 </w:t>
      </w:r>
      <w:r>
        <w:t>检测机构的有关合同</w:t>
      </w:r>
      <w:r>
        <w:rPr>
          <w:rFonts w:hint="eastAsia" w:ascii="MS UI Gothic" w:eastAsia="MS UI Gothic"/>
        </w:rPr>
        <w:t>、</w:t>
      </w:r>
      <w:r>
        <w:t>发票</w:t>
      </w:r>
      <w:r>
        <w:rPr>
          <w:rFonts w:hint="eastAsia" w:ascii="MS UI Gothic" w:eastAsia="MS UI Gothic"/>
        </w:rPr>
        <w:t xml:space="preserve">、 </w:t>
      </w:r>
      <w:r>
        <w:t>账簿以及其他有关资料</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对有证据表明不符合安全技术</w:t>
      </w:r>
      <w:r>
        <w:t>规范要求或者存在严重事故隐患的特种设</w:t>
      </w:r>
      <w:r>
        <w:rPr>
          <w:w w:val="105"/>
        </w:rPr>
        <w:t>备实施查封</w:t>
      </w:r>
      <w:r>
        <w:rPr>
          <w:rFonts w:hint="eastAsia" w:ascii="MS UI Gothic" w:eastAsia="MS UI Gothic"/>
          <w:w w:val="80"/>
        </w:rPr>
        <w:t xml:space="preserve">、 </w:t>
      </w:r>
      <w:r>
        <w:rPr>
          <w:w w:val="105"/>
        </w:rPr>
        <w:t>扣押</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对流入市场的达到报废条件或者已经报废的特种设备实施查封</w:t>
      </w:r>
      <w:r>
        <w:rPr>
          <w:rFonts w:hint="eastAsia" w:ascii="MS UI Gothic" w:eastAsia="MS UI Gothic"/>
          <w:w w:val="80"/>
        </w:rPr>
        <w:t xml:space="preserve">、 </w:t>
      </w:r>
      <w:r>
        <w:rPr>
          <w:w w:val="105"/>
        </w:rPr>
        <w:t>扣押</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对违反本法规定的行为作出行</w:t>
      </w:r>
      <w:r>
        <w:rPr>
          <w:w w:val="110"/>
        </w:rPr>
        <w:t>政处罚决定</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第六十二条 负责特种设备安全监督</w:t>
      </w:r>
      <w:r>
        <w:t>管理的部门在依法履行职责过程中</w:t>
      </w:r>
      <w:r>
        <w:rPr>
          <w:rFonts w:hint="eastAsia" w:ascii="MS UI Gothic" w:eastAsia="MS UI Gothic"/>
          <w:w w:val="80"/>
        </w:rPr>
        <w:t xml:space="preserve">ꎬ </w:t>
      </w:r>
      <w:r>
        <w:t>发现违反本法规定和安全技术规范要求的行为或者特种设备存在事故隐患时</w:t>
      </w:r>
      <w:r>
        <w:rPr>
          <w:rFonts w:hint="eastAsia" w:ascii="MS UI Gothic" w:eastAsia="MS UI Gothic"/>
          <w:w w:val="80"/>
        </w:rPr>
        <w:t xml:space="preserve">ꎬ </w:t>
      </w:r>
      <w:r>
        <w:t>应当以书面形式发出特种设备安全监察指令</w:t>
      </w:r>
      <w:r>
        <w:rPr>
          <w:rFonts w:hint="eastAsia" w:ascii="MS UI Gothic" w:eastAsia="MS UI Gothic"/>
          <w:w w:val="80"/>
        </w:rPr>
        <w:t xml:space="preserve">ꎬ </w:t>
      </w:r>
      <w:r>
        <w:t>责令有关单位及时采取措施予以改正或者消除事故隐患</w:t>
      </w:r>
      <w:r>
        <w:rPr>
          <w:rFonts w:hint="eastAsia" w:ascii="MS UI Gothic" w:eastAsia="MS UI Gothic"/>
          <w:w w:val="80"/>
        </w:rPr>
        <w:t xml:space="preserve">ꎮ </w:t>
      </w:r>
      <w:r>
        <w:t>紧急情况下要求有关单位采取紧急处置措施的</w:t>
      </w:r>
      <w:r>
        <w:rPr>
          <w:rFonts w:hint="eastAsia" w:ascii="MS UI Gothic" w:eastAsia="MS UI Gothic"/>
          <w:w w:val="80"/>
        </w:rPr>
        <w:t xml:space="preserve">ꎬ </w:t>
      </w:r>
      <w:r>
        <w:t>应当随后补发特种设备</w:t>
      </w:r>
      <w:r>
        <w:rPr>
          <w:w w:val="105"/>
        </w:rPr>
        <w:t>安全监察指令</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第六十三条 负责特种设备安全监督</w:t>
      </w:r>
      <w:r>
        <w:t>管理的部门在依法履行职责过程中</w:t>
      </w:r>
      <w:r>
        <w:rPr>
          <w:rFonts w:hint="eastAsia" w:ascii="MS UI Gothic" w:eastAsia="MS UI Gothic"/>
          <w:w w:val="80"/>
        </w:rPr>
        <w:t xml:space="preserve">ꎬ </w:t>
      </w:r>
      <w:r>
        <w:t>发现重大违法行为或者特种设备存在严重事故隐患时</w:t>
      </w:r>
      <w:r>
        <w:rPr>
          <w:rFonts w:hint="eastAsia" w:ascii="MS UI Gothic" w:eastAsia="MS UI Gothic"/>
          <w:w w:val="80"/>
        </w:rPr>
        <w:t xml:space="preserve">ꎬ </w:t>
      </w:r>
      <w:r>
        <w:t>应当责令有关单位立即停止违法</w:t>
      </w:r>
      <w:r>
        <w:rPr>
          <w:w w:val="105"/>
        </w:rPr>
        <w:t>行为</w:t>
      </w:r>
      <w:r>
        <w:rPr>
          <w:rFonts w:hint="eastAsia" w:ascii="MS UI Gothic" w:eastAsia="MS UI Gothic"/>
          <w:w w:val="80"/>
        </w:rPr>
        <w:t xml:space="preserve">、 </w:t>
      </w:r>
      <w:r>
        <w:rPr>
          <w:w w:val="105"/>
        </w:rPr>
        <w:t>采取措施消除事故隐患</w:t>
      </w:r>
      <w:r>
        <w:rPr>
          <w:rFonts w:hint="eastAsia" w:ascii="MS UI Gothic" w:eastAsia="MS UI Gothic"/>
          <w:w w:val="80"/>
        </w:rPr>
        <w:t xml:space="preserve">ꎬ </w:t>
      </w:r>
      <w:r>
        <w:rPr>
          <w:w w:val="105"/>
        </w:rPr>
        <w:t>并及时向</w:t>
      </w:r>
      <w:r>
        <w:t>上级负责特种设备安全监督管理的部门报告</w:t>
      </w:r>
      <w:r>
        <w:rPr>
          <w:rFonts w:hint="eastAsia" w:ascii="MS UI Gothic" w:eastAsia="MS UI Gothic"/>
          <w:w w:val="80"/>
        </w:rPr>
        <w:t xml:space="preserve">ꎮ </w:t>
      </w:r>
      <w:r>
        <w:t>接到报告的负责特种设备安全监督管理的部门应当采取必要措施</w:t>
      </w:r>
      <w:r>
        <w:rPr>
          <w:rFonts w:hint="eastAsia" w:ascii="MS UI Gothic" w:eastAsia="MS UI Gothic"/>
          <w:w w:val="80"/>
        </w:rPr>
        <w:t xml:space="preserve">ꎬ </w:t>
      </w:r>
      <w:r>
        <w:t>及时予以</w:t>
      </w:r>
      <w:r>
        <w:rPr>
          <w:w w:val="105"/>
        </w:rPr>
        <w:t>处理</w:t>
      </w:r>
      <w:r>
        <w:rPr>
          <w:rFonts w:hint="eastAsia" w:ascii="MS UI Gothic" w:eastAsia="MS UI Gothic"/>
          <w:w w:val="80"/>
        </w:rPr>
        <w:t>ꎮ</w:t>
      </w:r>
    </w:p>
    <w:p>
      <w:pPr>
        <w:pStyle w:val="6"/>
        <w:spacing w:line="295" w:lineRule="auto"/>
        <w:ind w:right="39"/>
        <w:rPr>
          <w:rFonts w:hint="eastAsia" w:ascii="MS UI Gothic" w:eastAsia="MS UI Gothic"/>
        </w:rPr>
      </w:pPr>
      <w:r>
        <w:t>对违法行为</w:t>
      </w:r>
      <w:r>
        <w:rPr>
          <w:rFonts w:hint="eastAsia" w:ascii="MS UI Gothic" w:eastAsia="MS UI Gothic"/>
          <w:w w:val="80"/>
        </w:rPr>
        <w:t xml:space="preserve">、 </w:t>
      </w:r>
      <w:r>
        <w:t>严重事故隐患的处理需要当地人民政府和有关部门的支持</w:t>
      </w:r>
      <w:r>
        <w:rPr>
          <w:rFonts w:hint="eastAsia" w:ascii="MS UI Gothic" w:eastAsia="MS UI Gothic"/>
          <w:w w:val="80"/>
        </w:rPr>
        <w:t xml:space="preserve">、 </w:t>
      </w:r>
      <w:r>
        <w:t>配合时</w:t>
      </w:r>
      <w:r>
        <w:rPr>
          <w:rFonts w:hint="eastAsia" w:ascii="MS UI Gothic" w:eastAsia="MS UI Gothic"/>
          <w:w w:val="80"/>
        </w:rPr>
        <w:t xml:space="preserve">ꎬ </w:t>
      </w:r>
      <w:r>
        <w:t>负责特种设备安全监督管理的部门应当报告当地人民政府</w:t>
      </w:r>
      <w:r>
        <w:rPr>
          <w:rFonts w:hint="eastAsia" w:ascii="MS UI Gothic" w:eastAsia="MS UI Gothic"/>
          <w:w w:val="80"/>
        </w:rPr>
        <w:t xml:space="preserve">ꎬ </w:t>
      </w:r>
      <w:r>
        <w:t>并通知其他有关部门</w:t>
      </w:r>
      <w:r>
        <w:rPr>
          <w:rFonts w:hint="eastAsia" w:ascii="MS UI Gothic" w:eastAsia="MS UI Gothic"/>
          <w:w w:val="80"/>
        </w:rPr>
        <w:t xml:space="preserve">ꎮ </w:t>
      </w:r>
      <w:r>
        <w:t>当地人民政府和其他有关部门应当采取必要措施</w:t>
      </w:r>
      <w:r>
        <w:rPr>
          <w:rFonts w:hint="eastAsia" w:ascii="MS UI Gothic" w:eastAsia="MS UI Gothic"/>
          <w:w w:val="80"/>
        </w:rPr>
        <w:t xml:space="preserve">ꎬ </w:t>
      </w:r>
      <w:r>
        <w:t>及时予以处理</w:t>
      </w:r>
      <w:r>
        <w:rPr>
          <w:rFonts w:hint="eastAsia" w:ascii="MS UI Gothic" w:eastAsia="MS UI Gothic"/>
          <w:w w:val="80"/>
        </w:rPr>
        <w:t>ꎮ</w:t>
      </w:r>
    </w:p>
    <w:p>
      <w:pPr>
        <w:pStyle w:val="6"/>
        <w:spacing w:line="295" w:lineRule="auto"/>
        <w:ind w:right="39"/>
      </w:pPr>
      <w:r>
        <w:rPr>
          <w:w w:val="105"/>
        </w:rPr>
        <w:t>第六十四条 地方各级人民政府负责</w:t>
      </w:r>
      <w:r>
        <w:t>特种设备安全监督管理的部门不得要求已经依照本法规定在其他地方取得许可的特种设备生产单位重复取得许可</w:t>
      </w:r>
      <w:r>
        <w:rPr>
          <w:rFonts w:hint="eastAsia" w:ascii="MS UI Gothic" w:eastAsia="MS UI Gothic"/>
          <w:w w:val="80"/>
        </w:rPr>
        <w:t xml:space="preserve">ꎬ </w:t>
      </w:r>
      <w:r>
        <w:t>不得要求对已经依照本法规定在其他地方检验合格</w:t>
      </w:r>
    </w:p>
    <w:p>
      <w:pPr>
        <w:pStyle w:val="6"/>
        <w:spacing w:before="123"/>
        <w:ind w:firstLine="0"/>
        <w:jc w:val="left"/>
        <w:rPr>
          <w:rFonts w:hint="eastAsia" w:ascii="MS UI Gothic" w:eastAsia="MS UI Gothic"/>
        </w:rPr>
      </w:pPr>
      <w:r>
        <w:br w:type="column"/>
      </w:r>
      <w:r>
        <w:t>的特种设备重复进行检验</w:t>
      </w:r>
      <w:r>
        <w:rPr>
          <w:rFonts w:hint="eastAsia" w:ascii="MS UI Gothic" w:eastAsia="MS UI Gothic"/>
          <w:w w:val="80"/>
        </w:rPr>
        <w:t>ꎮ</w:t>
      </w:r>
    </w:p>
    <w:p>
      <w:pPr>
        <w:pStyle w:val="6"/>
        <w:spacing w:before="58" w:line="295" w:lineRule="auto"/>
        <w:ind w:right="442"/>
        <w:rPr>
          <w:rFonts w:hint="eastAsia" w:ascii="MS UI Gothic" w:eastAsia="MS UI Gothic"/>
        </w:rPr>
      </w:pPr>
      <w:r>
        <w:t>第六十五条 负责特种设备安全监督管理的部门的安全监察人员应当熟悉相关法律</w:t>
      </w:r>
      <w:r>
        <w:rPr>
          <w:rFonts w:hint="eastAsia" w:ascii="MS UI Gothic" w:eastAsia="MS UI Gothic"/>
          <w:w w:val="80"/>
        </w:rPr>
        <w:t xml:space="preserve">、 </w:t>
      </w:r>
      <w:r>
        <w:t>法规</w:t>
      </w:r>
      <w:r>
        <w:rPr>
          <w:rFonts w:hint="eastAsia" w:ascii="MS UI Gothic" w:eastAsia="MS UI Gothic"/>
          <w:w w:val="80"/>
        </w:rPr>
        <w:t xml:space="preserve">ꎬ </w:t>
      </w:r>
      <w:r>
        <w:t>具有相应的专业知识和工作经验</w:t>
      </w:r>
      <w:r>
        <w:rPr>
          <w:rFonts w:hint="eastAsia" w:ascii="MS UI Gothic" w:eastAsia="MS UI Gothic"/>
          <w:w w:val="80"/>
        </w:rPr>
        <w:t xml:space="preserve">ꎬ </w:t>
      </w:r>
      <w:r>
        <w:t>取得特种设备安全行政执法证件</w:t>
      </w:r>
      <w:r>
        <w:rPr>
          <w:rFonts w:hint="eastAsia" w:ascii="MS UI Gothic" w:eastAsia="MS UI Gothic"/>
          <w:w w:val="80"/>
        </w:rPr>
        <w:t>ꎮ</w:t>
      </w:r>
    </w:p>
    <w:p>
      <w:pPr>
        <w:pStyle w:val="6"/>
        <w:spacing w:line="295" w:lineRule="auto"/>
        <w:ind w:right="442"/>
        <w:rPr>
          <w:rFonts w:hint="eastAsia" w:ascii="MS UI Gothic" w:eastAsia="MS UI Gothic"/>
        </w:rPr>
      </w:pPr>
      <w:r>
        <w:rPr>
          <w:spacing w:val="13"/>
        </w:rPr>
        <w:t>特种设备安全监察人员应当忠于职</w:t>
      </w:r>
      <w:r>
        <w:rPr>
          <w:spacing w:val="3"/>
        </w:rPr>
        <w:t>守</w:t>
      </w:r>
      <w:r>
        <w:rPr>
          <w:rFonts w:hint="eastAsia" w:ascii="MS UI Gothic" w:eastAsia="MS UI Gothic"/>
          <w:spacing w:val="3"/>
          <w:w w:val="80"/>
        </w:rPr>
        <w:t xml:space="preserve">、 </w:t>
      </w:r>
      <w:r>
        <w:rPr>
          <w:spacing w:val="3"/>
        </w:rPr>
        <w:t>坚持原则</w:t>
      </w:r>
      <w:r>
        <w:rPr>
          <w:rFonts w:hint="eastAsia" w:ascii="MS UI Gothic" w:eastAsia="MS UI Gothic"/>
          <w:spacing w:val="4"/>
          <w:w w:val="80"/>
        </w:rPr>
        <w:t xml:space="preserve">、 </w:t>
      </w:r>
      <w:r>
        <w:rPr>
          <w:spacing w:val="3"/>
        </w:rPr>
        <w:t>秉公执法</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负责特种设备安全监督管理的部门实</w:t>
      </w:r>
      <w:r>
        <w:rPr>
          <w:spacing w:val="3"/>
        </w:rPr>
        <w:t>施安全监督检查时</w:t>
      </w:r>
      <w:r>
        <w:rPr>
          <w:rFonts w:hint="eastAsia" w:ascii="MS UI Gothic" w:eastAsia="MS UI Gothic"/>
          <w:spacing w:val="20"/>
          <w:w w:val="80"/>
        </w:rPr>
        <w:t xml:space="preserve">ꎬ </w:t>
      </w:r>
      <w:r>
        <w:rPr>
          <w:spacing w:val="2"/>
        </w:rPr>
        <w:t>应当有二名以上特种</w:t>
      </w:r>
      <w:r>
        <w:rPr>
          <w:spacing w:val="3"/>
        </w:rPr>
        <w:t>设备安全监察人员参加</w:t>
      </w:r>
      <w:r>
        <w:rPr>
          <w:rFonts w:hint="eastAsia" w:ascii="MS UI Gothic" w:eastAsia="MS UI Gothic"/>
          <w:spacing w:val="20"/>
          <w:w w:val="80"/>
        </w:rPr>
        <w:t xml:space="preserve">ꎬ </w:t>
      </w:r>
      <w:r>
        <w:rPr>
          <w:spacing w:val="2"/>
        </w:rPr>
        <w:t>并出示有效的特</w:t>
      </w:r>
      <w:r>
        <w:rPr>
          <w:spacing w:val="3"/>
          <w:w w:val="105"/>
        </w:rPr>
        <w:t>种设备安全行政执法证件</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第六十六条 负责特种设备安全监督管理的部门对特种设备生产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使用单位和检验</w:t>
      </w:r>
      <w:r>
        <w:rPr>
          <w:rFonts w:hint="eastAsia" w:ascii="MS UI Gothic" w:eastAsia="MS UI Gothic"/>
          <w:w w:val="80"/>
        </w:rPr>
        <w:t xml:space="preserve">、 </w:t>
      </w:r>
      <w:r>
        <w:rPr>
          <w:w w:val="105"/>
        </w:rPr>
        <w:t>检测机构实施监督检查</w:t>
      </w:r>
      <w:r>
        <w:rPr>
          <w:rFonts w:hint="eastAsia" w:ascii="MS UI Gothic" w:eastAsia="MS UI Gothic"/>
          <w:w w:val="80"/>
        </w:rPr>
        <w:t xml:space="preserve">ꎬ </w:t>
      </w:r>
      <w:r>
        <w:rPr>
          <w:w w:val="105"/>
        </w:rPr>
        <w:t>应当对每次监督检查的内容</w:t>
      </w:r>
      <w:r>
        <w:rPr>
          <w:rFonts w:hint="eastAsia" w:ascii="MS UI Gothic" w:eastAsia="MS UI Gothic"/>
          <w:w w:val="80"/>
        </w:rPr>
        <w:t xml:space="preserve">、 </w:t>
      </w:r>
      <w:r>
        <w:rPr>
          <w:w w:val="105"/>
        </w:rPr>
        <w:t>发现的问题及</w:t>
      </w:r>
      <w:r>
        <w:t>处理情况作出记录</w:t>
      </w:r>
      <w:r>
        <w:rPr>
          <w:rFonts w:hint="eastAsia" w:ascii="MS UI Gothic" w:eastAsia="MS UI Gothic"/>
          <w:w w:val="80"/>
        </w:rPr>
        <w:t xml:space="preserve">ꎬ </w:t>
      </w:r>
      <w:r>
        <w:t>并由参加监督检查的特种设备安全监察人员和被检查单位的有关负责人签字后归档</w:t>
      </w:r>
      <w:r>
        <w:rPr>
          <w:rFonts w:hint="eastAsia" w:ascii="MS UI Gothic" w:eastAsia="MS UI Gothic"/>
          <w:w w:val="80"/>
        </w:rPr>
        <w:t xml:space="preserve">ꎮ </w:t>
      </w:r>
      <w:r>
        <w:t>被检查单位的有关负责人拒绝签字的</w:t>
      </w:r>
      <w:r>
        <w:rPr>
          <w:rFonts w:hint="eastAsia" w:ascii="MS UI Gothic" w:eastAsia="MS UI Gothic"/>
          <w:w w:val="80"/>
        </w:rPr>
        <w:t xml:space="preserve">ꎬ </w:t>
      </w:r>
      <w:r>
        <w:t>特种设备安全监察人</w:t>
      </w:r>
      <w:r>
        <w:rPr>
          <w:w w:val="105"/>
        </w:rPr>
        <w:t>员应当将情况记录在案</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第六十七条 负责特种设备安全监督</w:t>
      </w:r>
      <w:r>
        <w:t>管理的部门及其工作人员不得推荐或者监</w:t>
      </w:r>
      <w:r>
        <w:rPr>
          <w:w w:val="105"/>
        </w:rPr>
        <w:t>制</w:t>
      </w:r>
      <w:r>
        <w:rPr>
          <w:rFonts w:hint="eastAsia" w:ascii="MS UI Gothic" w:eastAsia="MS UI Gothic"/>
          <w:w w:val="80"/>
        </w:rPr>
        <w:t xml:space="preserve">、 </w:t>
      </w:r>
      <w:r>
        <w:rPr>
          <w:w w:val="105"/>
        </w:rPr>
        <w:t>监销特种设备</w:t>
      </w:r>
      <w:r>
        <w:rPr>
          <w:rFonts w:hint="eastAsia" w:ascii="MS UI Gothic" w:eastAsia="MS UI Gothic"/>
          <w:w w:val="80"/>
        </w:rPr>
        <w:t xml:space="preserve">ꎻ </w:t>
      </w:r>
      <w:r>
        <w:rPr>
          <w:w w:val="105"/>
        </w:rPr>
        <w:t>对履行职责过程中知悉的商业秘密负有保密义务</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第六十八条 国务院负责特种设备安全监督管理的部门和省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w:t>
      </w:r>
      <w:r>
        <w:t>人民政府负责特种设备安全监督管理的部门应当定期向社会公布特种设备安全总体</w:t>
      </w:r>
      <w:r>
        <w:rPr>
          <w:w w:val="105"/>
        </w:rPr>
        <w:t>状况</w:t>
      </w:r>
      <w:r>
        <w:rPr>
          <w:rFonts w:hint="eastAsia" w:ascii="MS UI Gothic" w:eastAsia="MS UI Gothic"/>
          <w:w w:val="80"/>
        </w:rPr>
        <w:t>ꎮ</w:t>
      </w:r>
    </w:p>
    <w:p>
      <w:pPr>
        <w:pStyle w:val="6"/>
        <w:tabs>
          <w:tab w:val="left" w:pos="1277"/>
        </w:tabs>
        <w:spacing w:before="135"/>
        <w:ind w:left="439" w:firstLine="0"/>
        <w:jc w:val="left"/>
      </w:pPr>
      <w:r>
        <w:rPr>
          <w:spacing w:val="3"/>
          <w:w w:val="105"/>
        </w:rPr>
        <w:t>第五</w:t>
      </w:r>
      <w:r>
        <w:rPr>
          <w:w w:val="105"/>
        </w:rPr>
        <w:t>章</w:t>
      </w:r>
      <w:r>
        <w:rPr>
          <w:w w:val="105"/>
        </w:rPr>
        <w:tab/>
      </w:r>
      <w:r>
        <w:rPr>
          <w:spacing w:val="3"/>
          <w:w w:val="105"/>
        </w:rPr>
        <w:t>事故应急救援与调查处</w:t>
      </w:r>
      <w:r>
        <w:rPr>
          <w:w w:val="105"/>
        </w:rPr>
        <w:t>理</w:t>
      </w:r>
    </w:p>
    <w:p>
      <w:pPr>
        <w:pStyle w:val="6"/>
        <w:spacing w:before="216" w:line="295" w:lineRule="auto"/>
        <w:ind w:right="442"/>
        <w:rPr>
          <w:rFonts w:hint="eastAsia" w:ascii="MS UI Gothic" w:eastAsia="MS UI Gothic"/>
        </w:rPr>
      </w:pPr>
      <w:r>
        <w:rPr>
          <w:w w:val="105"/>
        </w:rPr>
        <w:t>第六十九条 国务院负责特种设备安</w:t>
      </w:r>
      <w:r>
        <w:t>全监督管理的部门应当依法组织制定特种设备重特大事故应急预案</w:t>
      </w:r>
      <w:r>
        <w:rPr>
          <w:rFonts w:hint="eastAsia" w:ascii="MS UI Gothic" w:eastAsia="MS UI Gothic"/>
          <w:w w:val="80"/>
        </w:rPr>
        <w:t xml:space="preserve">ꎬ </w:t>
      </w:r>
      <w:r>
        <w:t>报国务院批准</w:t>
      </w:r>
      <w:r>
        <w:rPr>
          <w:w w:val="105"/>
        </w:rPr>
        <w:t>后纳入国家突发事件应急预案体系</w:t>
      </w:r>
      <w:r>
        <w:rPr>
          <w:rFonts w:hint="eastAsia" w:ascii="MS UI Gothic" w:eastAsia="MS UI Gothic"/>
          <w:w w:val="80"/>
        </w:rPr>
        <w:t>ꎮ</w:t>
      </w:r>
    </w:p>
    <w:p>
      <w:pPr>
        <w:pStyle w:val="6"/>
        <w:spacing w:line="295" w:lineRule="auto"/>
        <w:ind w:right="442"/>
      </w:pPr>
      <w:r>
        <w:t>县级以上地方各级人民政府及其负责特种设备安全监督管理的部门应当依法组织制定本行政区域内特种设备事故应急预案</w:t>
      </w:r>
      <w:r>
        <w:rPr>
          <w:rFonts w:hint="eastAsia" w:ascii="MS UI Gothic" w:eastAsia="MS UI Gothic"/>
          <w:w w:val="80"/>
        </w:rPr>
        <w:t xml:space="preserve">ꎬ </w:t>
      </w:r>
      <w:r>
        <w:t>建立或者纳入相应的应急处置与救援</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４６３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90" o:spid="_x0000_s2390" o:spt="203" style="height:2.15pt;width:398.25pt;" coordsize="7965,43">
            <o:lock v:ext="edit"/>
            <v:line id="_x0000_s2391" o:spid="_x0000_s2391" o:spt="20" style="position:absolute;left:0;top:39;height:0;width:7965;" stroked="t" coordsize="21600,21600">
              <v:path arrowok="t"/>
              <v:fill focussize="0,0"/>
              <v:stroke weight="0.388031496062992pt" color="#231F20"/>
              <v:imagedata o:title=""/>
              <o:lock v:ext="edit"/>
            </v:line>
            <v:line id="_x0000_s2392" o:spid="_x0000_s239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rPr>
          <w:spacing w:val="3"/>
          <w:w w:val="85"/>
        </w:rPr>
        <w:t>体系</w:t>
      </w:r>
      <w:r>
        <w:rPr>
          <w:rFonts w:hint="eastAsia" w:ascii="MS UI Gothic" w:eastAsia="MS UI Gothic"/>
          <w:w w:val="80"/>
        </w:rPr>
        <w:t>ꎮ</w:t>
      </w:r>
    </w:p>
    <w:p>
      <w:pPr>
        <w:pStyle w:val="6"/>
        <w:spacing w:before="58" w:line="295" w:lineRule="auto"/>
        <w:ind w:left="440" w:right="1"/>
        <w:rPr>
          <w:rFonts w:hint="eastAsia" w:ascii="MS UI Gothic" w:eastAsia="MS UI Gothic"/>
        </w:rPr>
      </w:pPr>
      <w:r>
        <w:rPr>
          <w:spacing w:val="2"/>
        </w:rPr>
        <w:t>特种设备使用单位应当制定特种设备</w:t>
      </w:r>
      <w:r>
        <w:rPr>
          <w:spacing w:val="26"/>
        </w:rPr>
        <w:t>事故应急专项预案</w:t>
      </w:r>
      <w:r>
        <w:rPr>
          <w:rFonts w:hint="eastAsia" w:ascii="MS UI Gothic" w:eastAsia="MS UI Gothic"/>
          <w:spacing w:val="2"/>
          <w:w w:val="80"/>
        </w:rPr>
        <w:t xml:space="preserve">ꎬ </w:t>
      </w:r>
      <w:r>
        <w:rPr>
          <w:spacing w:val="30"/>
        </w:rPr>
        <w:t>并定期进行应急</w:t>
      </w:r>
      <w:r>
        <w:rPr>
          <w:spacing w:val="3"/>
        </w:rPr>
        <w:t>演练</w:t>
      </w:r>
      <w:r>
        <w:rPr>
          <w:rFonts w:hint="eastAsia" w:ascii="MS UI Gothic" w:eastAsia="MS UI Gothic"/>
          <w:w w:val="80"/>
        </w:rPr>
        <w:t>ꎮ</w:t>
      </w:r>
    </w:p>
    <w:p>
      <w:pPr>
        <w:pStyle w:val="6"/>
        <w:spacing w:line="295" w:lineRule="auto"/>
        <w:ind w:left="440"/>
        <w:rPr>
          <w:rFonts w:hint="eastAsia" w:ascii="MS UI Gothic" w:eastAsia="MS UI Gothic"/>
        </w:rPr>
      </w:pPr>
      <w:r>
        <w:t>第七十条 特种设备发生事故后</w:t>
      </w:r>
      <w:r>
        <w:rPr>
          <w:rFonts w:hint="eastAsia" w:ascii="MS UI Gothic" w:eastAsia="MS UI Gothic"/>
          <w:w w:val="80"/>
        </w:rPr>
        <w:t xml:space="preserve">ꎬ </w:t>
      </w:r>
      <w:r>
        <w:t>事故发生单位应当按照应急预案采取措施</w:t>
      </w:r>
      <w:r>
        <w:rPr>
          <w:rFonts w:hint="eastAsia" w:ascii="MS UI Gothic" w:eastAsia="MS UI Gothic"/>
          <w:w w:val="80"/>
        </w:rPr>
        <w:t>ꎬ</w:t>
      </w:r>
      <w:r>
        <w:t>组织抢救</w:t>
      </w:r>
      <w:r>
        <w:rPr>
          <w:rFonts w:hint="eastAsia" w:ascii="MS UI Gothic" w:eastAsia="MS UI Gothic"/>
          <w:w w:val="80"/>
        </w:rPr>
        <w:t xml:space="preserve">ꎬ </w:t>
      </w:r>
      <w:r>
        <w:t>防止事故扩大</w:t>
      </w:r>
      <w:r>
        <w:rPr>
          <w:rFonts w:hint="eastAsia" w:ascii="MS UI Gothic" w:eastAsia="MS UI Gothic"/>
          <w:w w:val="80"/>
        </w:rPr>
        <w:t xml:space="preserve">ꎬ </w:t>
      </w:r>
      <w:r>
        <w:t>减少人员伤亡和财产损失</w:t>
      </w:r>
      <w:r>
        <w:rPr>
          <w:rFonts w:hint="eastAsia" w:ascii="MS UI Gothic" w:eastAsia="MS UI Gothic"/>
          <w:w w:val="80"/>
        </w:rPr>
        <w:t xml:space="preserve">ꎬ </w:t>
      </w:r>
      <w:r>
        <w:t>保护事故现场和有关证据</w:t>
      </w:r>
      <w:r>
        <w:rPr>
          <w:rFonts w:hint="eastAsia" w:ascii="MS UI Gothic" w:eastAsia="MS UI Gothic"/>
          <w:w w:val="80"/>
        </w:rPr>
        <w:t>ꎬ</w:t>
      </w:r>
      <w:r>
        <w:t>并及时向事故发生地县级以上人民政府负责特种设备安全监督管理的部门和有关部门报告</w:t>
      </w:r>
      <w:r>
        <w:rPr>
          <w:rFonts w:hint="eastAsia" w:ascii="MS UI Gothic" w:eastAsia="MS UI Gothic"/>
          <w:w w:val="80"/>
        </w:rPr>
        <w:t>ꎮ</w:t>
      </w:r>
    </w:p>
    <w:p>
      <w:pPr>
        <w:pStyle w:val="6"/>
        <w:spacing w:line="295" w:lineRule="auto"/>
        <w:ind w:left="440" w:right="1"/>
        <w:rPr>
          <w:rFonts w:hint="eastAsia" w:ascii="MS UI Gothic" w:eastAsia="MS UI Gothic"/>
        </w:rPr>
      </w:pPr>
      <w:r>
        <w:t>县级以上人民政府负责特种设备安全监督管理的部门接到事故报告</w:t>
      </w:r>
      <w:r>
        <w:rPr>
          <w:rFonts w:hint="eastAsia" w:ascii="MS UI Gothic" w:eastAsia="MS UI Gothic"/>
          <w:w w:val="80"/>
        </w:rPr>
        <w:t xml:space="preserve">ꎬ </w:t>
      </w:r>
      <w:r>
        <w:t>应当尽快核实情况</w:t>
      </w:r>
      <w:r>
        <w:rPr>
          <w:rFonts w:hint="eastAsia" w:ascii="MS UI Gothic" w:eastAsia="MS UI Gothic"/>
          <w:w w:val="80"/>
        </w:rPr>
        <w:t xml:space="preserve">ꎬ </w:t>
      </w:r>
      <w:r>
        <w:t>立即向本级人民政府报告</w:t>
      </w:r>
      <w:r>
        <w:rPr>
          <w:rFonts w:hint="eastAsia" w:ascii="MS UI Gothic" w:eastAsia="MS UI Gothic"/>
          <w:w w:val="80"/>
        </w:rPr>
        <w:t xml:space="preserve">ꎬ </w:t>
      </w:r>
      <w:r>
        <w:t>并按照规定逐级上报</w:t>
      </w:r>
      <w:r>
        <w:rPr>
          <w:rFonts w:hint="eastAsia" w:ascii="MS UI Gothic" w:eastAsia="MS UI Gothic"/>
          <w:w w:val="80"/>
        </w:rPr>
        <w:t xml:space="preserve">ꎮ </w:t>
      </w:r>
      <w:r>
        <w:t>必要时</w:t>
      </w:r>
      <w:r>
        <w:rPr>
          <w:rFonts w:hint="eastAsia" w:ascii="MS UI Gothic" w:eastAsia="MS UI Gothic"/>
          <w:w w:val="80"/>
        </w:rPr>
        <w:t xml:space="preserve">ꎬ </w:t>
      </w:r>
      <w:r>
        <w:t>负责特种设备安全监督管理的部门可以越级上报事故情况</w:t>
      </w:r>
      <w:r>
        <w:rPr>
          <w:rFonts w:hint="eastAsia" w:ascii="MS UI Gothic" w:eastAsia="MS UI Gothic"/>
          <w:w w:val="80"/>
        </w:rPr>
        <w:t xml:space="preserve">ꎮ </w:t>
      </w:r>
      <w:r>
        <w:t>对特别重大事故</w:t>
      </w:r>
      <w:r>
        <w:rPr>
          <w:rFonts w:hint="eastAsia" w:ascii="MS UI Gothic" w:eastAsia="MS UI Gothic"/>
          <w:w w:val="80"/>
        </w:rPr>
        <w:t xml:space="preserve">、 </w:t>
      </w:r>
      <w:r>
        <w:t>重大事故</w:t>
      </w:r>
      <w:r>
        <w:rPr>
          <w:rFonts w:hint="eastAsia" w:ascii="MS UI Gothic" w:eastAsia="MS UI Gothic"/>
          <w:w w:val="80"/>
        </w:rPr>
        <w:t xml:space="preserve">ꎬ </w:t>
      </w:r>
      <w:r>
        <w:t>国务院负责特种设备安全监督管理的部门应当立即报告国务院并通报国务院安全生产监督管理部门等有关部门</w:t>
      </w:r>
      <w:r>
        <w:rPr>
          <w:rFonts w:hint="eastAsia" w:ascii="MS UI Gothic" w:eastAsia="MS UI Gothic"/>
          <w:w w:val="80"/>
        </w:rPr>
        <w:t>ꎮ</w:t>
      </w:r>
    </w:p>
    <w:p>
      <w:pPr>
        <w:pStyle w:val="6"/>
        <w:spacing w:line="295" w:lineRule="auto"/>
        <w:ind w:left="440"/>
        <w:rPr>
          <w:rFonts w:hint="eastAsia" w:ascii="MS UI Gothic" w:eastAsia="MS UI Gothic"/>
        </w:rPr>
      </w:pPr>
      <w:r>
        <w:rPr>
          <w:spacing w:val="6"/>
        </w:rPr>
        <w:t>与事故相关的单位和人员不得迟报</w:t>
      </w:r>
      <w:r>
        <w:rPr>
          <w:rFonts w:hint="eastAsia" w:ascii="MS UI Gothic" w:eastAsia="MS UI Gothic"/>
          <w:w w:val="80"/>
        </w:rPr>
        <w:t>、</w:t>
      </w:r>
      <w:r>
        <w:rPr>
          <w:spacing w:val="3"/>
        </w:rPr>
        <w:t>谎报或者瞒报事故情况</w:t>
      </w:r>
      <w:r>
        <w:rPr>
          <w:rFonts w:hint="eastAsia" w:ascii="MS UI Gothic" w:eastAsia="MS UI Gothic"/>
          <w:spacing w:val="11"/>
          <w:w w:val="80"/>
        </w:rPr>
        <w:t xml:space="preserve">ꎬ </w:t>
      </w:r>
      <w:r>
        <w:rPr>
          <w:spacing w:val="3"/>
        </w:rPr>
        <w:t>不得隐匿</w:t>
      </w:r>
      <w:r>
        <w:rPr>
          <w:rFonts w:hint="eastAsia" w:ascii="MS UI Gothic" w:eastAsia="MS UI Gothic"/>
          <w:spacing w:val="11"/>
          <w:w w:val="80"/>
        </w:rPr>
        <w:t xml:space="preserve">、 </w:t>
      </w:r>
      <w:r>
        <w:rPr>
          <w:spacing w:val="1"/>
        </w:rPr>
        <w:t>毁灭</w:t>
      </w:r>
      <w:r>
        <w:rPr>
          <w:spacing w:val="3"/>
        </w:rPr>
        <w:t>有关证据或者故意破坏事故现场</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第七十一条 事故发生地人民政府接</w:t>
      </w:r>
      <w:r>
        <w:rPr>
          <w:spacing w:val="3"/>
        </w:rPr>
        <w:t>到事故报告</w:t>
      </w:r>
      <w:r>
        <w:rPr>
          <w:rFonts w:hint="eastAsia" w:ascii="MS UI Gothic" w:eastAsia="MS UI Gothic"/>
          <w:spacing w:val="23"/>
          <w:w w:val="80"/>
        </w:rPr>
        <w:t xml:space="preserve">ꎬ </w:t>
      </w:r>
      <w:r>
        <w:rPr>
          <w:spacing w:val="3"/>
        </w:rPr>
        <w:t>应当依法启动应急预案</w:t>
      </w:r>
      <w:r>
        <w:rPr>
          <w:rFonts w:hint="eastAsia" w:ascii="MS UI Gothic" w:eastAsia="MS UI Gothic"/>
          <w:spacing w:val="23"/>
          <w:w w:val="80"/>
        </w:rPr>
        <w:t xml:space="preserve">ꎬ </w:t>
      </w:r>
      <w:r>
        <w:t>采</w:t>
      </w:r>
      <w:r>
        <w:rPr>
          <w:spacing w:val="3"/>
        </w:rPr>
        <w:t>取应急处置措施</w:t>
      </w:r>
      <w:r>
        <w:rPr>
          <w:rFonts w:hint="eastAsia" w:ascii="MS UI Gothic" w:eastAsia="MS UI Gothic"/>
          <w:spacing w:val="1"/>
          <w:w w:val="80"/>
        </w:rPr>
        <w:t xml:space="preserve">ꎬ </w:t>
      </w:r>
      <w:r>
        <w:rPr>
          <w:spacing w:val="3"/>
        </w:rPr>
        <w:t>组织应急救援</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第七十二条 特种设备发生特别重大</w:t>
      </w:r>
      <w:r>
        <w:t>事故</w:t>
      </w:r>
      <w:r>
        <w:rPr>
          <w:rFonts w:hint="eastAsia" w:ascii="MS UI Gothic" w:eastAsia="MS UI Gothic"/>
          <w:w w:val="80"/>
        </w:rPr>
        <w:t xml:space="preserve">ꎬ </w:t>
      </w:r>
      <w:r>
        <w:t>由国务院或者国务院授权有关部门</w:t>
      </w:r>
      <w:r>
        <w:rPr>
          <w:w w:val="105"/>
        </w:rPr>
        <w:t>组织事故调查组进行调查</w:t>
      </w:r>
      <w:r>
        <w:rPr>
          <w:rFonts w:hint="eastAsia" w:ascii="MS UI Gothic" w:eastAsia="MS UI Gothic"/>
          <w:w w:val="80"/>
        </w:rPr>
        <w:t>ꎮ</w:t>
      </w:r>
    </w:p>
    <w:p>
      <w:pPr>
        <w:pStyle w:val="6"/>
        <w:spacing w:line="295" w:lineRule="auto"/>
        <w:ind w:left="440" w:right="1"/>
        <w:rPr>
          <w:rFonts w:hint="eastAsia" w:ascii="MS UI Gothic" w:eastAsia="MS UI Gothic"/>
        </w:rPr>
      </w:pPr>
      <w:r>
        <w:t>发生重大事故</w:t>
      </w:r>
      <w:r>
        <w:rPr>
          <w:rFonts w:hint="eastAsia" w:ascii="MS UI Gothic" w:eastAsia="MS UI Gothic"/>
          <w:w w:val="80"/>
        </w:rPr>
        <w:t xml:space="preserve">ꎬ </w:t>
      </w:r>
      <w:r>
        <w:t>由国务院负责特种设备安全监督管理的部门会同有关部门组织</w:t>
      </w:r>
      <w:r>
        <w:rPr>
          <w:w w:val="105"/>
        </w:rPr>
        <w:t>事故调查组进行调查</w:t>
      </w:r>
      <w:r>
        <w:rPr>
          <w:rFonts w:hint="eastAsia" w:ascii="MS UI Gothic" w:eastAsia="MS UI Gothic"/>
          <w:w w:val="80"/>
        </w:rPr>
        <w:t>ꎮ</w:t>
      </w:r>
    </w:p>
    <w:p>
      <w:pPr>
        <w:pStyle w:val="6"/>
        <w:spacing w:line="295" w:lineRule="auto"/>
        <w:ind w:left="440" w:right="1"/>
        <w:rPr>
          <w:rFonts w:hint="eastAsia" w:ascii="MS UI Gothic" w:eastAsia="MS UI Gothic"/>
        </w:rPr>
      </w:pPr>
      <w:r>
        <w:t>发生较大事故</w:t>
      </w:r>
      <w:r>
        <w:rPr>
          <w:rFonts w:hint="eastAsia" w:ascii="MS UI Gothic" w:eastAsia="MS UI Gothic"/>
          <w:w w:val="80"/>
        </w:rPr>
        <w:t xml:space="preserve">ꎬ </w:t>
      </w:r>
      <w:r>
        <w:t>由省</w:t>
      </w:r>
      <w:r>
        <w:rPr>
          <w:rFonts w:hint="eastAsia" w:ascii="MS UI Gothic" w:eastAsia="MS UI Gothic"/>
          <w:w w:val="80"/>
        </w:rPr>
        <w:t xml:space="preserve">、 </w:t>
      </w:r>
      <w:r>
        <w:t>自治区</w:t>
      </w:r>
      <w:r>
        <w:rPr>
          <w:rFonts w:hint="eastAsia" w:ascii="MS UI Gothic" w:eastAsia="MS UI Gothic"/>
          <w:w w:val="80"/>
        </w:rPr>
        <w:t xml:space="preserve">、 </w:t>
      </w:r>
      <w:r>
        <w:t>直辖市人民政府负责特种设备安全监督管理的部门会同有关部门组织事故调查组进行调查</w:t>
      </w:r>
      <w:r>
        <w:rPr>
          <w:rFonts w:hint="eastAsia" w:ascii="MS UI Gothic" w:eastAsia="MS UI Gothic"/>
          <w:w w:val="80"/>
        </w:rPr>
        <w:t>ꎮ</w:t>
      </w:r>
    </w:p>
    <w:p>
      <w:pPr>
        <w:pStyle w:val="6"/>
        <w:spacing w:line="295" w:lineRule="auto"/>
        <w:ind w:left="440" w:right="1"/>
        <w:rPr>
          <w:rFonts w:hint="eastAsia" w:ascii="MS UI Gothic" w:eastAsia="MS UI Gothic"/>
        </w:rPr>
      </w:pPr>
      <w:r>
        <w:t>发生一般事故</w:t>
      </w:r>
      <w:r>
        <w:rPr>
          <w:rFonts w:hint="eastAsia" w:ascii="MS UI Gothic" w:eastAsia="MS UI Gothic"/>
          <w:w w:val="80"/>
        </w:rPr>
        <w:t xml:space="preserve">ꎬ </w:t>
      </w:r>
      <w:r>
        <w:t>由设区的市级人民政府负责特种设备安全监督管理的部门会同</w:t>
      </w:r>
      <w:r>
        <w:rPr>
          <w:w w:val="105"/>
        </w:rPr>
        <w:t>有关部门组织事故调查组进行调查</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t>事故调查组应当依法</w:t>
      </w:r>
      <w:r>
        <w:rPr>
          <w:rFonts w:hint="eastAsia" w:ascii="MS UI Gothic" w:eastAsia="MS UI Gothic"/>
        </w:rPr>
        <w:t xml:space="preserve">、 </w:t>
      </w:r>
      <w:r>
        <w:t>独立</w:t>
      </w:r>
      <w:r>
        <w:rPr>
          <w:rFonts w:hint="eastAsia" w:ascii="MS UI Gothic" w:eastAsia="MS UI Gothic"/>
        </w:rPr>
        <w:t xml:space="preserve">、 </w:t>
      </w:r>
      <w:r>
        <w:t>公正开展调查</w:t>
      </w:r>
      <w:r>
        <w:rPr>
          <w:rFonts w:hint="eastAsia" w:ascii="MS UI Gothic" w:eastAsia="MS UI Gothic"/>
          <w:w w:val="80"/>
        </w:rPr>
        <w:t xml:space="preserve">ꎬ </w:t>
      </w:r>
      <w:r>
        <w:t>提出事故调查报告</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第七十三条 组织事故调查的部门应</w:t>
      </w:r>
      <w:r>
        <w:t>当将事故调查报告报本级人民政府</w:t>
      </w:r>
      <w:r>
        <w:rPr>
          <w:rFonts w:hint="eastAsia" w:ascii="MS UI Gothic" w:eastAsia="MS UI Gothic"/>
          <w:w w:val="80"/>
        </w:rPr>
        <w:t xml:space="preserve">ꎬ </w:t>
      </w:r>
      <w:r>
        <w:t>并报上一级人民政府负责特种设备安全监督管理的部门备案</w:t>
      </w:r>
      <w:r>
        <w:rPr>
          <w:rFonts w:hint="eastAsia" w:ascii="MS UI Gothic" w:eastAsia="MS UI Gothic"/>
          <w:w w:val="80"/>
        </w:rPr>
        <w:t xml:space="preserve">ꎮ </w:t>
      </w:r>
      <w:r>
        <w:t>有关部门和单位应当依照</w:t>
      </w:r>
      <w:r>
        <w:rPr>
          <w:w w:val="105"/>
        </w:rPr>
        <w:t>法律</w:t>
      </w:r>
      <w:r>
        <w:rPr>
          <w:rFonts w:hint="eastAsia" w:ascii="MS UI Gothic" w:eastAsia="MS UI Gothic"/>
          <w:w w:val="80"/>
        </w:rPr>
        <w:t xml:space="preserve">、 </w:t>
      </w:r>
      <w:r>
        <w:rPr>
          <w:w w:val="105"/>
        </w:rPr>
        <w:t>行政法规的规定</w:t>
      </w:r>
      <w:r>
        <w:rPr>
          <w:rFonts w:hint="eastAsia" w:ascii="MS UI Gothic" w:eastAsia="MS UI Gothic"/>
          <w:w w:val="80"/>
        </w:rPr>
        <w:t xml:space="preserve">ꎬ </w:t>
      </w:r>
      <w:r>
        <w:rPr>
          <w:w w:val="105"/>
        </w:rPr>
        <w:t>追究事故责任单位和人员的责任</w:t>
      </w:r>
      <w:r>
        <w:rPr>
          <w:rFonts w:hint="eastAsia" w:ascii="MS UI Gothic" w:eastAsia="MS UI Gothic"/>
          <w:w w:val="80"/>
        </w:rPr>
        <w:t>ꎮ</w:t>
      </w:r>
    </w:p>
    <w:p>
      <w:pPr>
        <w:pStyle w:val="6"/>
        <w:spacing w:line="295" w:lineRule="auto"/>
        <w:ind w:left="381" w:right="126"/>
        <w:rPr>
          <w:rFonts w:hint="eastAsia" w:ascii="MS UI Gothic" w:eastAsia="MS UI Gothic"/>
        </w:rPr>
      </w:pPr>
      <w:r>
        <w:t>事故责任单位应当依法落实整改措施</w:t>
      </w:r>
      <w:r>
        <w:rPr>
          <w:rFonts w:hint="eastAsia" w:ascii="MS UI Gothic" w:eastAsia="MS UI Gothic"/>
          <w:w w:val="80"/>
        </w:rPr>
        <w:t xml:space="preserve">ꎬ </w:t>
      </w:r>
      <w:r>
        <w:t>预防同类事故发生</w:t>
      </w:r>
      <w:r>
        <w:rPr>
          <w:rFonts w:hint="eastAsia" w:ascii="MS UI Gothic" w:eastAsia="MS UI Gothic"/>
          <w:w w:val="80"/>
        </w:rPr>
        <w:t xml:space="preserve">ꎮ </w:t>
      </w:r>
      <w:r>
        <w:t>事故造成损害的</w:t>
      </w:r>
      <w:r>
        <w:rPr>
          <w:rFonts w:hint="eastAsia" w:ascii="MS UI Gothic" w:eastAsia="MS UI Gothic"/>
          <w:w w:val="80"/>
        </w:rPr>
        <w:t xml:space="preserve">ꎬ </w:t>
      </w:r>
      <w:r>
        <w:t>事故责任单位应当依法承担赔偿责任</w:t>
      </w:r>
      <w:r>
        <w:rPr>
          <w:rFonts w:hint="eastAsia" w:ascii="MS UI Gothic" w:eastAsia="MS UI Gothic"/>
          <w:w w:val="80"/>
        </w:rPr>
        <w:t>ꎮ</w:t>
      </w:r>
    </w:p>
    <w:p>
      <w:pPr>
        <w:pStyle w:val="6"/>
        <w:tabs>
          <w:tab w:val="left" w:pos="2162"/>
        </w:tabs>
        <w:spacing w:before="148"/>
        <w:ind w:left="1324" w:firstLine="0"/>
        <w:jc w:val="left"/>
      </w:pPr>
      <w:r>
        <w:rPr>
          <w:spacing w:val="3"/>
          <w:w w:val="105"/>
        </w:rPr>
        <w:t>第六</w:t>
      </w:r>
      <w:r>
        <w:rPr>
          <w:w w:val="105"/>
        </w:rPr>
        <w:t>章</w:t>
      </w:r>
      <w:r>
        <w:rPr>
          <w:w w:val="105"/>
        </w:rPr>
        <w:tab/>
      </w:r>
      <w:r>
        <w:rPr>
          <w:w w:val="105"/>
        </w:rPr>
        <w:t>法</w:t>
      </w:r>
      <w:r>
        <w:rPr>
          <w:spacing w:val="-33"/>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215" w:line="295" w:lineRule="auto"/>
        <w:ind w:left="381" w:right="124"/>
        <w:rPr>
          <w:rFonts w:hint="eastAsia" w:ascii="MS UI Gothic" w:eastAsia="MS UI Gothic"/>
        </w:rPr>
      </w:pPr>
      <w:r>
        <w:t>第七十四条 违反本法规定</w:t>
      </w:r>
      <w:r>
        <w:rPr>
          <w:rFonts w:hint="eastAsia" w:ascii="MS UI Gothic" w:eastAsia="MS UI Gothic"/>
          <w:w w:val="80"/>
        </w:rPr>
        <w:t xml:space="preserve">ꎬ </w:t>
      </w:r>
      <w:r>
        <w:t>未经许可从事特种设备生产活动的</w:t>
      </w:r>
      <w:r>
        <w:rPr>
          <w:rFonts w:hint="eastAsia" w:ascii="MS UI Gothic" w:eastAsia="MS UI Gothic"/>
          <w:w w:val="80"/>
        </w:rPr>
        <w:t xml:space="preserve">ꎬ </w:t>
      </w:r>
      <w:r>
        <w:t>责令停止生产</w:t>
      </w:r>
      <w:r>
        <w:rPr>
          <w:rFonts w:hint="eastAsia" w:ascii="MS UI Gothic" w:eastAsia="MS UI Gothic"/>
          <w:w w:val="80"/>
        </w:rPr>
        <w:t xml:space="preserve">ꎬ </w:t>
      </w:r>
      <w:r>
        <w:t>没收违法制造的特种设备</w:t>
      </w:r>
      <w:r>
        <w:rPr>
          <w:rFonts w:hint="eastAsia" w:ascii="MS UI Gothic" w:eastAsia="MS UI Gothic"/>
          <w:w w:val="80"/>
        </w:rPr>
        <w:t xml:space="preserve">ꎬ </w:t>
      </w:r>
      <w:r>
        <w:t>处十万元以上五十万元以下罚款</w:t>
      </w:r>
      <w:r>
        <w:rPr>
          <w:rFonts w:hint="eastAsia" w:ascii="MS UI Gothic" w:eastAsia="MS UI Gothic"/>
          <w:w w:val="80"/>
        </w:rPr>
        <w:t xml:space="preserve">ꎻ </w:t>
      </w:r>
      <w:r>
        <w:t>有违法所得的</w:t>
      </w:r>
      <w:r>
        <w:rPr>
          <w:rFonts w:hint="eastAsia" w:ascii="MS UI Gothic" w:eastAsia="MS UI Gothic"/>
          <w:w w:val="80"/>
        </w:rPr>
        <w:t>ꎬ</w:t>
      </w:r>
      <w:r>
        <w:t>没收违法所得</w:t>
      </w:r>
      <w:r>
        <w:rPr>
          <w:rFonts w:hint="eastAsia" w:ascii="MS UI Gothic" w:eastAsia="MS UI Gothic"/>
          <w:w w:val="80"/>
        </w:rPr>
        <w:t xml:space="preserve">ꎻ </w:t>
      </w:r>
      <w:r>
        <w:t>已经实施安装</w:t>
      </w:r>
      <w:r>
        <w:rPr>
          <w:rFonts w:hint="eastAsia" w:ascii="MS UI Gothic" w:eastAsia="MS UI Gothic"/>
          <w:w w:val="80"/>
        </w:rPr>
        <w:t xml:space="preserve">、 </w:t>
      </w:r>
      <w:r>
        <w:t>改造</w:t>
      </w:r>
      <w:r>
        <w:rPr>
          <w:rFonts w:hint="eastAsia" w:ascii="MS UI Gothic" w:eastAsia="MS UI Gothic"/>
          <w:w w:val="80"/>
        </w:rPr>
        <w:t xml:space="preserve">、 </w:t>
      </w:r>
      <w:r>
        <w:t>修理的</w:t>
      </w:r>
      <w:r>
        <w:rPr>
          <w:rFonts w:hint="eastAsia" w:ascii="MS UI Gothic" w:eastAsia="MS UI Gothic"/>
          <w:w w:val="80"/>
        </w:rPr>
        <w:t xml:space="preserve">ꎬ </w:t>
      </w:r>
      <w:r>
        <w:t>责令恢复原状或者责令限期由取得许可的单位重新安装</w:t>
      </w:r>
      <w:r>
        <w:rPr>
          <w:rFonts w:hint="eastAsia" w:ascii="MS UI Gothic" w:eastAsia="MS UI Gothic"/>
          <w:w w:val="80"/>
        </w:rPr>
        <w:t xml:space="preserve">、 </w:t>
      </w:r>
      <w:r>
        <w:t>改造</w:t>
      </w:r>
      <w:r>
        <w:rPr>
          <w:rFonts w:hint="eastAsia" w:ascii="MS UI Gothic" w:eastAsia="MS UI Gothic"/>
          <w:w w:val="80"/>
        </w:rPr>
        <w:t xml:space="preserve">、 </w:t>
      </w:r>
      <w:r>
        <w:t>修理</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第七十五条 违反本法规定</w:t>
      </w:r>
      <w:r>
        <w:rPr>
          <w:rFonts w:hint="eastAsia" w:ascii="MS UI Gothic" w:eastAsia="MS UI Gothic"/>
          <w:spacing w:val="7"/>
          <w:w w:val="80"/>
        </w:rPr>
        <w:t xml:space="preserve">ꎬ </w:t>
      </w:r>
      <w:r>
        <w:rPr>
          <w:spacing w:val="2"/>
        </w:rPr>
        <w:t>特种设</w:t>
      </w:r>
      <w:r>
        <w:rPr>
          <w:spacing w:val="12"/>
        </w:rPr>
        <w:t>备的设计文件未经鉴定</w:t>
      </w:r>
      <w:r>
        <w:rPr>
          <w:rFonts w:hint="eastAsia" w:ascii="MS UI Gothic" w:eastAsia="MS UI Gothic"/>
          <w:spacing w:val="23"/>
          <w:w w:val="80"/>
        </w:rPr>
        <w:t xml:space="preserve">ꎬ </w:t>
      </w:r>
      <w:r>
        <w:rPr>
          <w:spacing w:val="15"/>
        </w:rPr>
        <w:t>擅自用于制造</w:t>
      </w:r>
      <w:r>
        <w:rPr>
          <w:spacing w:val="3"/>
        </w:rPr>
        <w:t>的</w:t>
      </w:r>
      <w:r>
        <w:rPr>
          <w:rFonts w:hint="eastAsia" w:ascii="MS UI Gothic" w:eastAsia="MS UI Gothic"/>
          <w:spacing w:val="22"/>
          <w:w w:val="80"/>
        </w:rPr>
        <w:t xml:space="preserve">ꎬ </w:t>
      </w:r>
      <w:r>
        <w:rPr>
          <w:spacing w:val="8"/>
        </w:rPr>
        <w:t>责令改正</w:t>
      </w:r>
      <w:r>
        <w:rPr>
          <w:rFonts w:hint="eastAsia" w:ascii="MS UI Gothic" w:eastAsia="MS UI Gothic"/>
          <w:spacing w:val="3"/>
          <w:w w:val="80"/>
        </w:rPr>
        <w:t xml:space="preserve">ꎬ </w:t>
      </w:r>
      <w:r>
        <w:rPr>
          <w:spacing w:val="20"/>
        </w:rPr>
        <w:t>没收违法制造的特种设</w:t>
      </w:r>
      <w:r>
        <w:rPr>
          <w:spacing w:val="3"/>
        </w:rPr>
        <w:t>备</w:t>
      </w:r>
      <w:r>
        <w:rPr>
          <w:rFonts w:hint="eastAsia" w:ascii="MS UI Gothic" w:eastAsia="MS UI Gothic"/>
          <w:w w:val="80"/>
        </w:rPr>
        <w:t xml:space="preserve">ꎬ </w:t>
      </w:r>
      <w:r>
        <w:rPr>
          <w:spacing w:val="3"/>
        </w:rPr>
        <w:t>处五万元以上五十万元以下罚款</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第七十六条 违反本法规定</w:t>
      </w:r>
      <w:r>
        <w:rPr>
          <w:rFonts w:hint="eastAsia" w:ascii="MS UI Gothic" w:eastAsia="MS UI Gothic"/>
          <w:spacing w:val="7"/>
          <w:w w:val="80"/>
        </w:rPr>
        <w:t xml:space="preserve">ꎬ </w:t>
      </w:r>
      <w:r>
        <w:rPr>
          <w:spacing w:val="2"/>
        </w:rPr>
        <w:t>未进行</w:t>
      </w:r>
      <w:r>
        <w:rPr>
          <w:spacing w:val="3"/>
        </w:rPr>
        <w:t>型式试验的</w:t>
      </w:r>
      <w:r>
        <w:rPr>
          <w:rFonts w:hint="eastAsia" w:ascii="MS UI Gothic" w:eastAsia="MS UI Gothic"/>
          <w:spacing w:val="23"/>
          <w:w w:val="80"/>
        </w:rPr>
        <w:t xml:space="preserve">ꎬ </w:t>
      </w:r>
      <w:r>
        <w:rPr>
          <w:spacing w:val="3"/>
        </w:rPr>
        <w:t>责令限期改正</w:t>
      </w:r>
      <w:r>
        <w:rPr>
          <w:rFonts w:hint="eastAsia" w:ascii="MS UI Gothic" w:eastAsia="MS UI Gothic"/>
          <w:spacing w:val="23"/>
          <w:w w:val="80"/>
        </w:rPr>
        <w:t xml:space="preserve">ꎻ </w:t>
      </w:r>
      <w:r>
        <w:rPr>
          <w:spacing w:val="2"/>
        </w:rPr>
        <w:t>逾期未改正</w:t>
      </w:r>
      <w:r>
        <w:rPr>
          <w:spacing w:val="3"/>
        </w:rPr>
        <w:t>的</w:t>
      </w:r>
      <w:r>
        <w:rPr>
          <w:rFonts w:hint="eastAsia" w:ascii="MS UI Gothic" w:eastAsia="MS UI Gothic"/>
          <w:w w:val="80"/>
        </w:rPr>
        <w:t xml:space="preserve">ꎬ </w:t>
      </w:r>
      <w:r>
        <w:rPr>
          <w:spacing w:val="3"/>
        </w:rPr>
        <w:t>处三万元以上三十万元以下罚款</w:t>
      </w:r>
      <w:r>
        <w:rPr>
          <w:rFonts w:hint="eastAsia" w:ascii="MS UI Gothic" w:eastAsia="MS UI Gothic"/>
          <w:w w:val="80"/>
        </w:rPr>
        <w:t>ꎮ</w:t>
      </w:r>
    </w:p>
    <w:p>
      <w:pPr>
        <w:pStyle w:val="6"/>
        <w:spacing w:line="295" w:lineRule="auto"/>
        <w:ind w:left="381" w:right="126"/>
        <w:rPr>
          <w:rFonts w:hint="eastAsia" w:ascii="MS UI Gothic" w:eastAsia="MS UI Gothic"/>
        </w:rPr>
      </w:pPr>
      <w:r>
        <w:t>第七十七条 违反本法规定</w:t>
      </w:r>
      <w:r>
        <w:rPr>
          <w:rFonts w:hint="eastAsia" w:ascii="MS UI Gothic" w:eastAsia="MS UI Gothic"/>
          <w:w w:val="80"/>
        </w:rPr>
        <w:t xml:space="preserve">ꎬ </w:t>
      </w:r>
      <w:r>
        <w:t>特种设备出厂时</w:t>
      </w:r>
      <w:r>
        <w:rPr>
          <w:rFonts w:hint="eastAsia" w:ascii="MS UI Gothic" w:eastAsia="MS UI Gothic"/>
          <w:w w:val="80"/>
        </w:rPr>
        <w:t xml:space="preserve">ꎬ </w:t>
      </w:r>
      <w:r>
        <w:t>未按照安全技术规范的要求随附相关技术资料和文件的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责令停止制造</w:t>
      </w:r>
      <w:r>
        <w:rPr>
          <w:rFonts w:hint="eastAsia" w:ascii="MS UI Gothic" w:eastAsia="MS UI Gothic"/>
          <w:w w:val="80"/>
        </w:rPr>
        <w:t xml:space="preserve">、 </w:t>
      </w:r>
      <w:r>
        <w:t>销售</w:t>
      </w:r>
      <w:r>
        <w:rPr>
          <w:rFonts w:hint="eastAsia" w:ascii="MS UI Gothic" w:eastAsia="MS UI Gothic"/>
          <w:w w:val="80"/>
        </w:rPr>
        <w:t xml:space="preserve">ꎬ </w:t>
      </w:r>
      <w:r>
        <w:t>处二万元以上二十万元以下罚款</w:t>
      </w:r>
      <w:r>
        <w:rPr>
          <w:rFonts w:hint="eastAsia" w:ascii="MS UI Gothic" w:eastAsia="MS UI Gothic"/>
          <w:w w:val="80"/>
        </w:rPr>
        <w:t xml:space="preserve">ꎻ </w:t>
      </w:r>
      <w:r>
        <w:t>有违法所得的</w:t>
      </w:r>
      <w:r>
        <w:rPr>
          <w:rFonts w:hint="eastAsia" w:ascii="MS UI Gothic" w:eastAsia="MS UI Gothic"/>
          <w:w w:val="80"/>
        </w:rPr>
        <w:t xml:space="preserve">ꎬ </w:t>
      </w:r>
      <w:r>
        <w:t>没收违法所得</w:t>
      </w:r>
      <w:r>
        <w:rPr>
          <w:rFonts w:hint="eastAsia" w:ascii="MS UI Gothic" w:eastAsia="MS UI Gothic"/>
          <w:w w:val="80"/>
        </w:rPr>
        <w:t>ꎮ</w:t>
      </w:r>
    </w:p>
    <w:p>
      <w:pPr>
        <w:pStyle w:val="6"/>
        <w:spacing w:line="295" w:lineRule="auto"/>
        <w:ind w:left="381" w:right="126"/>
      </w:pPr>
      <w:r>
        <w:rPr>
          <w:w w:val="105"/>
        </w:rPr>
        <w:t>第七十八条 违反本法规定</w:t>
      </w:r>
      <w:r>
        <w:rPr>
          <w:rFonts w:hint="eastAsia" w:ascii="MS UI Gothic" w:eastAsia="MS UI Gothic"/>
          <w:w w:val="80"/>
        </w:rPr>
        <w:t xml:space="preserve">ꎬ </w:t>
      </w:r>
      <w:r>
        <w:rPr>
          <w:w w:val="105"/>
        </w:rPr>
        <w:t>特种设备安装</w:t>
      </w:r>
      <w:r>
        <w:rPr>
          <w:rFonts w:hint="eastAsia" w:ascii="MS UI Gothic" w:eastAsia="MS UI Gothic"/>
          <w:w w:val="80"/>
        </w:rPr>
        <w:t xml:space="preserve">、 </w:t>
      </w:r>
      <w:r>
        <w:rPr>
          <w:w w:val="105"/>
        </w:rPr>
        <w:t>改造</w:t>
      </w:r>
      <w:r>
        <w:rPr>
          <w:rFonts w:hint="eastAsia" w:ascii="MS UI Gothic" w:eastAsia="MS UI Gothic"/>
          <w:w w:val="80"/>
        </w:rPr>
        <w:t xml:space="preserve">、 </w:t>
      </w:r>
      <w:r>
        <w:rPr>
          <w:w w:val="105"/>
        </w:rPr>
        <w:t>修理的施工单位在施工前</w:t>
      </w:r>
      <w:r>
        <w:t>未书面告知负责特种设备安全监督管理的部门即行施工的</w:t>
      </w:r>
      <w:r>
        <w:rPr>
          <w:rFonts w:hint="eastAsia" w:ascii="MS UI Gothic" w:eastAsia="MS UI Gothic"/>
          <w:w w:val="80"/>
        </w:rPr>
        <w:t xml:space="preserve">ꎬ </w:t>
      </w:r>
      <w:r>
        <w:t>或者在验收后三十日内未将相关技术资料和文件移交特种设备使</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４６４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93" o:spid="_x0000_s2393" o:spt="203" style="height:2.15pt;width:398.25pt;" coordsize="7965,43">
            <o:lock v:ext="edit"/>
            <v:line id="_x0000_s2394" o:spid="_x0000_s2394" o:spt="20" style="position:absolute;left:0;top:39;height:0;width:7965;" stroked="t" coordsize="21600,21600">
              <v:path arrowok="t"/>
              <v:fill focussize="0,0"/>
              <v:stroke weight="0.388031496062992pt" color="#231F20"/>
              <v:imagedata o:title=""/>
              <o:lock v:ext="edit"/>
            </v:line>
            <v:line id="_x0000_s2395" o:spid="_x0000_s239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用单位的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处一万元以上十万元以下罚款</w:t>
      </w:r>
      <w:r>
        <w:rPr>
          <w:rFonts w:hint="eastAsia" w:ascii="MS UI Gothic" w:eastAsia="MS UI Gothic"/>
          <w:w w:val="80"/>
        </w:rPr>
        <w:t>ꎮ</w:t>
      </w:r>
    </w:p>
    <w:p>
      <w:pPr>
        <w:pStyle w:val="6"/>
        <w:spacing w:line="295" w:lineRule="auto"/>
        <w:ind w:right="39"/>
        <w:rPr>
          <w:rFonts w:hint="eastAsia" w:ascii="MS UI Gothic" w:eastAsia="MS UI Gothic"/>
        </w:rPr>
      </w:pPr>
      <w:r>
        <w:t>第七十九条 违反本法规定</w:t>
      </w:r>
      <w:r>
        <w:rPr>
          <w:rFonts w:hint="eastAsia" w:ascii="MS UI Gothic" w:eastAsia="MS UI Gothic"/>
          <w:w w:val="80"/>
        </w:rPr>
        <w:t xml:space="preserve">ꎬ </w:t>
      </w:r>
      <w:r>
        <w:t>特种设备的制造</w:t>
      </w:r>
      <w:r>
        <w:rPr>
          <w:rFonts w:hint="eastAsia" w:ascii="MS UI Gothic" w:eastAsia="MS UI Gothic"/>
        </w:rPr>
        <w:t xml:space="preserve">、 </w:t>
      </w:r>
      <w:r>
        <w:t>安装</w:t>
      </w:r>
      <w:r>
        <w:rPr>
          <w:rFonts w:hint="eastAsia" w:ascii="MS UI Gothic" w:eastAsia="MS UI Gothic"/>
        </w:rPr>
        <w:t xml:space="preserve">、 </w:t>
      </w:r>
      <w:r>
        <w:t>改造</w:t>
      </w:r>
      <w:r>
        <w:rPr>
          <w:rFonts w:hint="eastAsia" w:ascii="MS UI Gothic" w:eastAsia="MS UI Gothic"/>
        </w:rPr>
        <w:t xml:space="preserve">、 </w:t>
      </w:r>
      <w:r>
        <w:t>重大修理以及锅炉清洗过程</w:t>
      </w:r>
      <w:r>
        <w:rPr>
          <w:rFonts w:hint="eastAsia" w:ascii="MS UI Gothic" w:eastAsia="MS UI Gothic"/>
          <w:w w:val="80"/>
        </w:rPr>
        <w:t xml:space="preserve">ꎬ </w:t>
      </w:r>
      <w:r>
        <w:t>未经监督检验的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处五万元以上二十万元以下罚款</w:t>
      </w:r>
      <w:r>
        <w:rPr>
          <w:rFonts w:hint="eastAsia" w:ascii="MS UI Gothic" w:eastAsia="MS UI Gothic"/>
          <w:w w:val="80"/>
        </w:rPr>
        <w:t xml:space="preserve">ꎻ </w:t>
      </w:r>
      <w:r>
        <w:t>有违法所得的</w:t>
      </w:r>
      <w:r>
        <w:rPr>
          <w:rFonts w:hint="eastAsia" w:ascii="MS UI Gothic" w:eastAsia="MS UI Gothic"/>
          <w:w w:val="80"/>
        </w:rPr>
        <w:t xml:space="preserve">ꎬ </w:t>
      </w:r>
      <w:r>
        <w:t>没收违法所得</w:t>
      </w:r>
      <w:r>
        <w:rPr>
          <w:rFonts w:hint="eastAsia" w:ascii="MS UI Gothic" w:eastAsia="MS UI Gothic"/>
          <w:w w:val="80"/>
        </w:rPr>
        <w:t xml:space="preserve">ꎻ </w:t>
      </w:r>
      <w:r>
        <w:t>情节严重的</w:t>
      </w:r>
      <w:r>
        <w:rPr>
          <w:rFonts w:hint="eastAsia" w:ascii="MS UI Gothic" w:eastAsia="MS UI Gothic"/>
          <w:w w:val="80"/>
        </w:rPr>
        <w:t xml:space="preserve">ꎬ </w:t>
      </w:r>
      <w:r>
        <w:t>吊销生产许可证</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第八十条 违反本法规定</w:t>
      </w:r>
      <w:r>
        <w:rPr>
          <w:rFonts w:hint="eastAsia" w:ascii="MS UI Gothic" w:eastAsia="MS UI Gothic"/>
          <w:w w:val="80"/>
        </w:rPr>
        <w:t xml:space="preserve">ꎬ </w:t>
      </w:r>
      <w:r>
        <w:rPr>
          <w:w w:val="105"/>
        </w:rPr>
        <w:t>电梯制造</w:t>
      </w:r>
      <w:r>
        <w:t>单位有下列情形之一的</w:t>
      </w:r>
      <w:r>
        <w:rPr>
          <w:rFonts w:hint="eastAsia" w:ascii="MS UI Gothic" w:eastAsia="MS UI Gothic"/>
          <w:w w:val="80"/>
        </w:rPr>
        <w:t xml:space="preserve">ꎬ </w:t>
      </w:r>
      <w:r>
        <w:t>责令限期改正</w:t>
      </w:r>
      <w:r>
        <w:rPr>
          <w:rFonts w:hint="eastAsia" w:ascii="MS UI Gothic" w:eastAsia="MS UI Gothic"/>
          <w:w w:val="80"/>
        </w:rPr>
        <w:t>ꎻ</w:t>
      </w:r>
      <w:r>
        <w:t>逾期未改正的</w:t>
      </w:r>
      <w:r>
        <w:rPr>
          <w:rFonts w:hint="eastAsia" w:ascii="MS UI Gothic" w:eastAsia="MS UI Gothic"/>
          <w:w w:val="80"/>
        </w:rPr>
        <w:t xml:space="preserve">ꎬ </w:t>
      </w:r>
      <w:r>
        <w:t>处一万元以上十万元以下</w:t>
      </w:r>
      <w:r>
        <w:rPr>
          <w:w w:val="105"/>
        </w:rPr>
        <w:t>罚款</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未按照安全技术规范的要求对电梯进行校验</w:t>
      </w:r>
      <w:r>
        <w:rPr>
          <w:rFonts w:hint="eastAsia" w:ascii="MS UI Gothic" w:eastAsia="MS UI Gothic"/>
          <w:w w:val="80"/>
        </w:rPr>
        <w:t xml:space="preserve">、 </w:t>
      </w:r>
      <w:r>
        <w:rPr>
          <w:w w:val="105"/>
        </w:rPr>
        <w:t>调试的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对电梯的安全运行情况进行跟</w:t>
      </w:r>
      <w:r>
        <w:t>踪调查和了解时</w:t>
      </w:r>
      <w:r>
        <w:rPr>
          <w:rFonts w:hint="eastAsia" w:ascii="MS UI Gothic" w:eastAsia="MS UI Gothic"/>
          <w:w w:val="80"/>
        </w:rPr>
        <w:t xml:space="preserve">ꎬ </w:t>
      </w:r>
      <w:r>
        <w:t>发现存在严重事故隐患</w:t>
      </w:r>
      <w:r>
        <w:rPr>
          <w:rFonts w:hint="eastAsia" w:ascii="MS UI Gothic" w:eastAsia="MS UI Gothic"/>
          <w:w w:val="80"/>
        </w:rPr>
        <w:t xml:space="preserve">ꎬ </w:t>
      </w:r>
      <w:r>
        <w:t>未及时告知电梯使用单位并向负责特</w:t>
      </w:r>
      <w:r>
        <w:rPr>
          <w:w w:val="105"/>
        </w:rPr>
        <w:t>种设备安全监督管理的部门报告的</w:t>
      </w:r>
      <w:r>
        <w:rPr>
          <w:rFonts w:hint="eastAsia" w:ascii="MS UI Gothic" w:eastAsia="MS UI Gothic"/>
          <w:w w:val="80"/>
        </w:rPr>
        <w:t>ꎮ</w:t>
      </w:r>
    </w:p>
    <w:p>
      <w:pPr>
        <w:pStyle w:val="6"/>
        <w:spacing w:line="295" w:lineRule="auto"/>
        <w:ind w:right="39"/>
        <w:rPr>
          <w:rFonts w:hint="eastAsia" w:ascii="MS UI Gothic" w:eastAsia="MS UI Gothic"/>
        </w:rPr>
      </w:pPr>
      <w:r>
        <w:t>第八十一条 违反本法规定</w:t>
      </w:r>
      <w:r>
        <w:rPr>
          <w:rFonts w:hint="eastAsia" w:ascii="MS UI Gothic" w:eastAsia="MS UI Gothic"/>
          <w:w w:val="80"/>
        </w:rPr>
        <w:t xml:space="preserve">ꎬ </w:t>
      </w:r>
      <w:r>
        <w:t>特种设备生产单位有下列行为之一的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责令停止生产</w:t>
      </w:r>
      <w:r>
        <w:rPr>
          <w:rFonts w:hint="eastAsia" w:ascii="MS UI Gothic" w:eastAsia="MS UI Gothic"/>
          <w:w w:val="80"/>
        </w:rPr>
        <w:t xml:space="preserve">ꎬ </w:t>
      </w:r>
      <w:r>
        <w:t>处五万元以上五十万元以下罚款</w:t>
      </w:r>
      <w:r>
        <w:rPr>
          <w:rFonts w:hint="eastAsia" w:ascii="MS UI Gothic" w:eastAsia="MS UI Gothic"/>
          <w:w w:val="80"/>
        </w:rPr>
        <w:t xml:space="preserve">ꎻ </w:t>
      </w:r>
      <w:r>
        <w:t>情节严重的</w:t>
      </w:r>
      <w:r>
        <w:rPr>
          <w:rFonts w:hint="eastAsia" w:ascii="MS UI Gothic" w:eastAsia="MS UI Gothic"/>
          <w:w w:val="80"/>
        </w:rPr>
        <w:t xml:space="preserve">ꎬ </w:t>
      </w:r>
      <w:r>
        <w:t>吊销生产许可证</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不再具备生产条件</w:t>
      </w:r>
      <w:r>
        <w:rPr>
          <w:rFonts w:hint="eastAsia" w:ascii="MS UI Gothic" w:eastAsia="MS UI Gothic"/>
          <w:w w:val="80"/>
        </w:rPr>
        <w:t xml:space="preserve">、  </w:t>
      </w:r>
      <w:r>
        <w:rPr>
          <w:w w:val="105"/>
        </w:rPr>
        <w:t>生产许可证已经过期或者超出许可范围生产的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明知特种设备存在同一性缺陷</w:t>
      </w:r>
      <w:r>
        <w:rPr>
          <w:rFonts w:hint="eastAsia" w:ascii="MS UI Gothic" w:eastAsia="MS UI Gothic"/>
          <w:w w:val="80"/>
        </w:rPr>
        <w:t xml:space="preserve">ꎬ </w:t>
      </w:r>
      <w:r>
        <w:rPr>
          <w:w w:val="105"/>
        </w:rPr>
        <w:t>未立即停止生产并召回的</w:t>
      </w:r>
      <w:r>
        <w:rPr>
          <w:rFonts w:hint="eastAsia" w:ascii="MS UI Gothic" w:eastAsia="MS UI Gothic"/>
          <w:w w:val="80"/>
        </w:rPr>
        <w:t>ꎮ</w:t>
      </w:r>
    </w:p>
    <w:p>
      <w:pPr>
        <w:pStyle w:val="6"/>
        <w:spacing w:line="295" w:lineRule="auto"/>
        <w:ind w:right="39"/>
        <w:rPr>
          <w:rFonts w:hint="eastAsia" w:ascii="MS UI Gothic" w:eastAsia="MS UI Gothic"/>
        </w:rPr>
      </w:pPr>
      <w:r>
        <w:t>违反本法规定</w:t>
      </w:r>
      <w:r>
        <w:rPr>
          <w:rFonts w:hint="eastAsia" w:ascii="MS UI Gothic" w:eastAsia="MS UI Gothic"/>
          <w:w w:val="80"/>
        </w:rPr>
        <w:t xml:space="preserve">ꎬ </w:t>
      </w:r>
      <w:r>
        <w:t>特种设备生产单位生产</w:t>
      </w:r>
      <w:r>
        <w:rPr>
          <w:rFonts w:hint="eastAsia" w:ascii="MS UI Gothic" w:eastAsia="MS UI Gothic"/>
        </w:rPr>
        <w:t xml:space="preserve">、 </w:t>
      </w:r>
      <w:r>
        <w:t>销售</w:t>
      </w:r>
      <w:r>
        <w:rPr>
          <w:rFonts w:hint="eastAsia" w:ascii="MS UI Gothic" w:eastAsia="MS UI Gothic"/>
        </w:rPr>
        <w:t xml:space="preserve">、 </w:t>
      </w:r>
      <w:r>
        <w:t>交付国家明令淘汰的特种设备的</w:t>
      </w:r>
      <w:r>
        <w:rPr>
          <w:rFonts w:hint="eastAsia" w:ascii="MS UI Gothic" w:eastAsia="MS UI Gothic"/>
          <w:w w:val="80"/>
        </w:rPr>
        <w:t xml:space="preserve">ꎬ </w:t>
      </w:r>
      <w:r>
        <w:t>责令停止生产</w:t>
      </w:r>
      <w:r>
        <w:rPr>
          <w:rFonts w:hint="eastAsia" w:ascii="MS UI Gothic" w:eastAsia="MS UI Gothic"/>
        </w:rPr>
        <w:t xml:space="preserve">、 </w:t>
      </w:r>
      <w:r>
        <w:t>销售</w:t>
      </w:r>
      <w:r>
        <w:rPr>
          <w:rFonts w:hint="eastAsia" w:ascii="MS UI Gothic" w:eastAsia="MS UI Gothic"/>
          <w:w w:val="80"/>
        </w:rPr>
        <w:t xml:space="preserve">ꎬ </w:t>
      </w:r>
      <w:r>
        <w:t>没收违法生产</w:t>
      </w:r>
      <w:r>
        <w:rPr>
          <w:rFonts w:hint="eastAsia" w:ascii="MS UI Gothic" w:eastAsia="MS UI Gothic"/>
        </w:rPr>
        <w:t xml:space="preserve">、 </w:t>
      </w:r>
      <w:r>
        <w:t>销售</w:t>
      </w:r>
      <w:r>
        <w:rPr>
          <w:rFonts w:hint="eastAsia" w:ascii="MS UI Gothic" w:eastAsia="MS UI Gothic"/>
        </w:rPr>
        <w:t xml:space="preserve">、 </w:t>
      </w:r>
      <w:r>
        <w:t>交付的特种设备</w:t>
      </w:r>
      <w:r>
        <w:rPr>
          <w:rFonts w:hint="eastAsia" w:ascii="MS UI Gothic" w:eastAsia="MS UI Gothic"/>
          <w:w w:val="80"/>
        </w:rPr>
        <w:t xml:space="preserve">ꎬ </w:t>
      </w:r>
      <w:r>
        <w:t>处三万元以上三十万元以下罚款</w:t>
      </w:r>
      <w:r>
        <w:rPr>
          <w:rFonts w:hint="eastAsia" w:ascii="MS UI Gothic" w:eastAsia="MS UI Gothic"/>
          <w:w w:val="80"/>
        </w:rPr>
        <w:t xml:space="preserve">ꎻ </w:t>
      </w:r>
      <w:r>
        <w:t>有违法所得的</w:t>
      </w:r>
      <w:r>
        <w:rPr>
          <w:rFonts w:hint="eastAsia" w:ascii="MS UI Gothic" w:eastAsia="MS UI Gothic"/>
          <w:w w:val="80"/>
        </w:rPr>
        <w:t xml:space="preserve">ꎬ </w:t>
      </w:r>
      <w:r>
        <w:t>没收违法所得</w:t>
      </w:r>
      <w:r>
        <w:rPr>
          <w:rFonts w:hint="eastAsia" w:ascii="MS UI Gothic" w:eastAsia="MS UI Gothic"/>
          <w:w w:val="80"/>
        </w:rPr>
        <w:t>ꎮ</w:t>
      </w:r>
    </w:p>
    <w:p>
      <w:pPr>
        <w:pStyle w:val="6"/>
        <w:spacing w:line="295" w:lineRule="auto"/>
        <w:ind w:right="38"/>
        <w:rPr>
          <w:rFonts w:hint="eastAsia" w:ascii="MS UI Gothic" w:eastAsia="MS UI Gothic"/>
        </w:rPr>
      </w:pPr>
      <w:r>
        <w:t>特种设备生产单位涂改</w:t>
      </w:r>
      <w:r>
        <w:rPr>
          <w:rFonts w:hint="eastAsia" w:ascii="MS UI Gothic" w:eastAsia="MS UI Gothic"/>
        </w:rPr>
        <w:t xml:space="preserve">、 </w:t>
      </w:r>
      <w:r>
        <w:t>倒卖</w:t>
      </w:r>
      <w:r>
        <w:rPr>
          <w:rFonts w:hint="eastAsia" w:ascii="MS UI Gothic" w:eastAsia="MS UI Gothic"/>
        </w:rPr>
        <w:t xml:space="preserve">、 </w:t>
      </w:r>
      <w:r>
        <w:t>出租</w:t>
      </w:r>
      <w:r>
        <w:rPr>
          <w:rFonts w:hint="eastAsia" w:ascii="MS UI Gothic" w:eastAsia="MS UI Gothic"/>
        </w:rPr>
        <w:t xml:space="preserve">、 </w:t>
      </w:r>
      <w:r>
        <w:t>出借生产许可证的</w:t>
      </w:r>
      <w:r>
        <w:rPr>
          <w:rFonts w:hint="eastAsia" w:ascii="MS UI Gothic" w:eastAsia="MS UI Gothic"/>
          <w:w w:val="80"/>
        </w:rPr>
        <w:t xml:space="preserve">ꎬ </w:t>
      </w:r>
      <w:r>
        <w:t>责令停止生产</w:t>
      </w:r>
      <w:r>
        <w:rPr>
          <w:rFonts w:hint="eastAsia" w:ascii="MS UI Gothic" w:eastAsia="MS UI Gothic"/>
          <w:w w:val="80"/>
        </w:rPr>
        <w:t>ꎬ</w:t>
      </w:r>
      <w:r>
        <w:t>处五万元以上五十万元以下罚款</w:t>
      </w:r>
      <w:r>
        <w:rPr>
          <w:rFonts w:hint="eastAsia" w:ascii="MS UI Gothic" w:eastAsia="MS UI Gothic"/>
          <w:w w:val="80"/>
        </w:rPr>
        <w:t xml:space="preserve">ꎻ </w:t>
      </w:r>
      <w:r>
        <w:t>情节严重的</w:t>
      </w:r>
      <w:r>
        <w:rPr>
          <w:rFonts w:hint="eastAsia" w:ascii="MS UI Gothic" w:eastAsia="MS UI Gothic"/>
          <w:w w:val="80"/>
        </w:rPr>
        <w:t xml:space="preserve">ꎬ </w:t>
      </w:r>
      <w:r>
        <w:t>吊销生产许可证</w:t>
      </w:r>
      <w:r>
        <w:rPr>
          <w:rFonts w:hint="eastAsia" w:ascii="MS UI Gothic" w:eastAsia="MS UI Gothic"/>
          <w:w w:val="80"/>
        </w:rPr>
        <w:t>ꎮ</w:t>
      </w:r>
    </w:p>
    <w:p>
      <w:pPr>
        <w:pStyle w:val="6"/>
        <w:spacing w:line="295" w:lineRule="auto"/>
        <w:ind w:right="39"/>
      </w:pPr>
      <w:r>
        <w:t>第八十二条 违反本法规定</w:t>
      </w:r>
      <w:r>
        <w:rPr>
          <w:rFonts w:hint="eastAsia" w:ascii="MS UI Gothic" w:eastAsia="MS UI Gothic"/>
          <w:w w:val="80"/>
        </w:rPr>
        <w:t xml:space="preserve">ꎬ </w:t>
      </w:r>
      <w:r>
        <w:t>特种设备经营单位有下列行为之一的</w:t>
      </w:r>
      <w:r>
        <w:rPr>
          <w:rFonts w:hint="eastAsia" w:ascii="MS UI Gothic" w:eastAsia="MS UI Gothic"/>
          <w:w w:val="80"/>
        </w:rPr>
        <w:t xml:space="preserve">ꎬ </w:t>
      </w:r>
      <w:r>
        <w:t>责令停止</w:t>
      </w:r>
    </w:p>
    <w:p>
      <w:pPr>
        <w:pStyle w:val="6"/>
        <w:spacing w:before="123" w:line="295" w:lineRule="auto"/>
        <w:ind w:right="442" w:firstLine="0"/>
        <w:rPr>
          <w:rFonts w:hint="eastAsia" w:ascii="MS UI Gothic" w:eastAsia="MS UI Gothic"/>
        </w:rPr>
      </w:pPr>
      <w:r>
        <w:br w:type="column"/>
      </w:r>
      <w:r>
        <w:t>经营</w:t>
      </w:r>
      <w:r>
        <w:rPr>
          <w:rFonts w:hint="eastAsia" w:ascii="MS UI Gothic" w:eastAsia="MS UI Gothic"/>
          <w:w w:val="80"/>
        </w:rPr>
        <w:t xml:space="preserve">ꎬ </w:t>
      </w:r>
      <w:r>
        <w:t>没收违法经营的特种设备</w:t>
      </w:r>
      <w:r>
        <w:rPr>
          <w:rFonts w:hint="eastAsia" w:ascii="MS UI Gothic" w:eastAsia="MS UI Gothic"/>
          <w:w w:val="80"/>
        </w:rPr>
        <w:t xml:space="preserve">ꎬ </w:t>
      </w:r>
      <w:r>
        <w:t>处三万元以上三十万元以下罚款</w:t>
      </w:r>
      <w:r>
        <w:rPr>
          <w:rFonts w:hint="eastAsia" w:ascii="MS UI Gothic" w:eastAsia="MS UI Gothic"/>
          <w:w w:val="80"/>
        </w:rPr>
        <w:t xml:space="preserve">ꎻ </w:t>
      </w:r>
      <w:r>
        <w:t>有违法所得</w:t>
      </w:r>
      <w:r>
        <w:rPr>
          <w:w w:val="105"/>
        </w:rPr>
        <w:t>的</w:t>
      </w:r>
      <w:r>
        <w:rPr>
          <w:rFonts w:hint="eastAsia" w:ascii="MS UI Gothic" w:eastAsia="MS UI Gothic"/>
          <w:w w:val="80"/>
        </w:rPr>
        <w:t xml:space="preserve">ꎬ </w:t>
      </w:r>
      <w:r>
        <w:rPr>
          <w:w w:val="105"/>
        </w:rPr>
        <w:t>没收违法所得</w:t>
      </w:r>
      <w:r>
        <w:rPr>
          <w:rFonts w:hint="eastAsia" w:ascii="MS UI Gothic" w:eastAsia="MS UI Gothic"/>
          <w:w w:val="235"/>
        </w:rPr>
        <w:t>:</w:t>
      </w:r>
    </w:p>
    <w:p>
      <w:pPr>
        <w:pStyle w:val="6"/>
        <w:spacing w:line="295" w:lineRule="auto"/>
        <w:ind w:right="440"/>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2"/>
          <w:w w:val="150"/>
        </w:rPr>
        <w:t xml:space="preserve">) </w:t>
      </w:r>
      <w:r>
        <w:rPr>
          <w:spacing w:val="12"/>
          <w:w w:val="105"/>
        </w:rPr>
        <w:t>销售</w:t>
      </w:r>
      <w:r>
        <w:rPr>
          <w:rFonts w:hint="eastAsia" w:ascii="MS UI Gothic" w:eastAsia="MS UI Gothic"/>
          <w:spacing w:val="16"/>
          <w:w w:val="80"/>
        </w:rPr>
        <w:t xml:space="preserve">、 </w:t>
      </w:r>
      <w:r>
        <w:rPr>
          <w:spacing w:val="19"/>
          <w:w w:val="105"/>
        </w:rPr>
        <w:t>出租未取得许可生产</w:t>
      </w:r>
      <w:r>
        <w:rPr>
          <w:rFonts w:hint="eastAsia" w:ascii="MS UI Gothic" w:eastAsia="MS UI Gothic"/>
          <w:w w:val="80"/>
        </w:rPr>
        <w:t>ꎬ</w:t>
      </w:r>
      <w:r>
        <w:rPr>
          <w:spacing w:val="3"/>
        </w:rPr>
        <w:t>未经检验或者检验不合格的特种设备的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11"/>
          <w:w w:val="150"/>
        </w:rPr>
        <w:t xml:space="preserve">) </w:t>
      </w:r>
      <w:r>
        <w:rPr>
          <w:spacing w:val="3"/>
          <w:w w:val="105"/>
        </w:rPr>
        <w:t>销售</w:t>
      </w:r>
      <w:r>
        <w:rPr>
          <w:rFonts w:hint="eastAsia" w:ascii="MS UI Gothic" w:eastAsia="MS UI Gothic"/>
          <w:spacing w:val="24"/>
          <w:w w:val="80"/>
        </w:rPr>
        <w:t xml:space="preserve">、 </w:t>
      </w:r>
      <w:r>
        <w:rPr>
          <w:spacing w:val="9"/>
          <w:w w:val="105"/>
        </w:rPr>
        <w:t>出租国家明令淘汰</w:t>
      </w:r>
      <w:r>
        <w:rPr>
          <w:rFonts w:hint="eastAsia" w:ascii="MS UI Gothic" w:eastAsia="MS UI Gothic"/>
          <w:spacing w:val="2"/>
          <w:w w:val="80"/>
        </w:rPr>
        <w:t xml:space="preserve">、 </w:t>
      </w:r>
      <w:r>
        <w:rPr>
          <w:w w:val="105"/>
        </w:rPr>
        <w:t>已</w:t>
      </w:r>
      <w:r>
        <w:rPr>
          <w:spacing w:val="3"/>
        </w:rPr>
        <w:t>经报废的特种设备</w:t>
      </w:r>
      <w:r>
        <w:rPr>
          <w:rFonts w:hint="eastAsia" w:ascii="MS UI Gothic" w:eastAsia="MS UI Gothic"/>
          <w:spacing w:val="20"/>
          <w:w w:val="80"/>
        </w:rPr>
        <w:t xml:space="preserve">ꎬ </w:t>
      </w:r>
      <w:r>
        <w:rPr>
          <w:spacing w:val="2"/>
        </w:rPr>
        <w:t>或者未按照安全技术</w:t>
      </w:r>
      <w:r>
        <w:rPr>
          <w:spacing w:val="3"/>
        </w:rPr>
        <w:t>规范的要求进行维护保养的特种设备的</w:t>
      </w:r>
      <w:r>
        <w:rPr>
          <w:rFonts w:hint="eastAsia" w:ascii="MS UI Gothic" w:eastAsia="MS UI Gothic"/>
          <w:w w:val="80"/>
        </w:rPr>
        <w:t>ꎮ</w:t>
      </w:r>
    </w:p>
    <w:p>
      <w:pPr>
        <w:pStyle w:val="6"/>
        <w:spacing w:line="295" w:lineRule="auto"/>
        <w:ind w:right="442"/>
        <w:rPr>
          <w:rFonts w:hint="eastAsia" w:ascii="MS UI Gothic" w:eastAsia="MS UI Gothic"/>
        </w:rPr>
      </w:pPr>
      <w:r>
        <w:t>违反本法规定</w:t>
      </w:r>
      <w:r>
        <w:rPr>
          <w:rFonts w:hint="eastAsia" w:ascii="MS UI Gothic" w:eastAsia="MS UI Gothic"/>
          <w:w w:val="80"/>
        </w:rPr>
        <w:t xml:space="preserve">ꎬ </w:t>
      </w:r>
      <w:r>
        <w:t>特种设备销售单位未建立检查验收和销售记录制度</w:t>
      </w:r>
      <w:r>
        <w:rPr>
          <w:rFonts w:hint="eastAsia" w:ascii="MS UI Gothic" w:eastAsia="MS UI Gothic"/>
          <w:w w:val="80"/>
        </w:rPr>
        <w:t xml:space="preserve">ꎬ </w:t>
      </w:r>
      <w:r>
        <w:t>或者进口特种设备未履行提前告知义务的</w:t>
      </w:r>
      <w:r>
        <w:rPr>
          <w:rFonts w:hint="eastAsia" w:ascii="MS UI Gothic" w:eastAsia="MS UI Gothic"/>
          <w:w w:val="80"/>
        </w:rPr>
        <w:t xml:space="preserve">ꎬ </w:t>
      </w:r>
      <w:r>
        <w:t>责令改正</w:t>
      </w:r>
      <w:r>
        <w:rPr>
          <w:rFonts w:hint="eastAsia" w:ascii="MS UI Gothic" w:eastAsia="MS UI Gothic"/>
          <w:w w:val="80"/>
        </w:rPr>
        <w:t xml:space="preserve">ꎬ </w:t>
      </w:r>
      <w:r>
        <w:t>处一万元以上十万元以下罚款</w:t>
      </w:r>
      <w:r>
        <w:rPr>
          <w:rFonts w:hint="eastAsia" w:ascii="MS UI Gothic" w:eastAsia="MS UI Gothic"/>
          <w:w w:val="80"/>
        </w:rPr>
        <w:t>ꎮ</w:t>
      </w:r>
    </w:p>
    <w:p>
      <w:pPr>
        <w:pStyle w:val="6"/>
        <w:spacing w:line="295" w:lineRule="auto"/>
        <w:ind w:right="442"/>
        <w:rPr>
          <w:rFonts w:hint="eastAsia" w:ascii="MS UI Gothic" w:eastAsia="MS UI Gothic"/>
        </w:rPr>
      </w:pPr>
      <w:r>
        <w:t>特种设备生产单位销售</w:t>
      </w:r>
      <w:r>
        <w:rPr>
          <w:rFonts w:hint="eastAsia" w:ascii="MS UI Gothic" w:eastAsia="MS UI Gothic"/>
          <w:w w:val="80"/>
        </w:rPr>
        <w:t xml:space="preserve">、 </w:t>
      </w:r>
      <w:r>
        <w:t>交付未经检验或者检验不合格的特种设备的</w:t>
      </w:r>
      <w:r>
        <w:rPr>
          <w:rFonts w:hint="eastAsia" w:ascii="MS UI Gothic" w:eastAsia="MS UI Gothic"/>
          <w:w w:val="80"/>
        </w:rPr>
        <w:t xml:space="preserve">ꎬ </w:t>
      </w:r>
      <w:r>
        <w:t>依照本条第一款规定处罚</w:t>
      </w:r>
      <w:r>
        <w:rPr>
          <w:rFonts w:hint="eastAsia" w:ascii="MS UI Gothic" w:eastAsia="MS UI Gothic"/>
          <w:w w:val="80"/>
        </w:rPr>
        <w:t xml:space="preserve">ꎻ </w:t>
      </w:r>
      <w:r>
        <w:t>情节严重的</w:t>
      </w:r>
      <w:r>
        <w:rPr>
          <w:rFonts w:hint="eastAsia" w:ascii="MS UI Gothic" w:eastAsia="MS UI Gothic"/>
          <w:w w:val="80"/>
        </w:rPr>
        <w:t xml:space="preserve">ꎬ </w:t>
      </w:r>
      <w:r>
        <w:t>吊销生产许可证</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第八十三条 违反本法规定</w:t>
      </w:r>
      <w:r>
        <w:rPr>
          <w:rFonts w:hint="eastAsia" w:ascii="MS UI Gothic" w:eastAsia="MS UI Gothic"/>
          <w:w w:val="80"/>
        </w:rPr>
        <w:t xml:space="preserve">ꎬ </w:t>
      </w:r>
      <w:r>
        <w:rPr>
          <w:w w:val="105"/>
        </w:rPr>
        <w:t>特种设</w:t>
      </w:r>
      <w:r>
        <w:t>备使用单位有下列行为之一的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责令停止使用有关特种设备</w:t>
      </w:r>
      <w:r>
        <w:rPr>
          <w:rFonts w:hint="eastAsia" w:ascii="MS UI Gothic" w:eastAsia="MS UI Gothic"/>
          <w:w w:val="80"/>
        </w:rPr>
        <w:t xml:space="preserve">ꎬ </w:t>
      </w:r>
      <w:r>
        <w:t>处一万元以上十万元以下</w:t>
      </w:r>
      <w:r>
        <w:rPr>
          <w:w w:val="105"/>
        </w:rPr>
        <w:t>罚款</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使用特种设备未按照规定办理</w:t>
      </w:r>
      <w:r>
        <w:rPr>
          <w:w w:val="110"/>
        </w:rPr>
        <w:t>使用登记的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二</w:t>
      </w:r>
      <w:r>
        <w:rPr>
          <w:rFonts w:hint="eastAsia" w:ascii="MS UI Gothic" w:eastAsia="MS UI Gothic"/>
          <w:spacing w:val="4"/>
          <w:w w:val="150"/>
        </w:rPr>
        <w:t xml:space="preserve">) </w:t>
      </w:r>
      <w:r>
        <w:rPr>
          <w:spacing w:val="5"/>
          <w:w w:val="105"/>
        </w:rPr>
        <w:t>未建立特种设备安全技术档案</w:t>
      </w:r>
      <w:r>
        <w:rPr>
          <w:spacing w:val="3"/>
        </w:rPr>
        <w:t>或者安全技术档案不符合规定要求</w:t>
      </w:r>
      <w:r>
        <w:rPr>
          <w:rFonts w:hint="eastAsia" w:ascii="MS UI Gothic" w:eastAsia="MS UI Gothic"/>
          <w:spacing w:val="20"/>
          <w:w w:val="80"/>
        </w:rPr>
        <w:t xml:space="preserve">ꎬ </w:t>
      </w:r>
      <w:r>
        <w:rPr>
          <w:spacing w:val="1"/>
        </w:rPr>
        <w:t>或者</w:t>
      </w:r>
      <w:r>
        <w:rPr>
          <w:spacing w:val="13"/>
          <w:w w:val="105"/>
        </w:rPr>
        <w:t>未依法设置使用登记标志</w:t>
      </w:r>
      <w:r>
        <w:rPr>
          <w:rFonts w:hint="eastAsia" w:ascii="MS UI Gothic" w:eastAsia="MS UI Gothic"/>
          <w:spacing w:val="3"/>
          <w:w w:val="80"/>
        </w:rPr>
        <w:t xml:space="preserve">、 </w:t>
      </w:r>
      <w:r>
        <w:rPr>
          <w:spacing w:val="16"/>
          <w:w w:val="105"/>
        </w:rPr>
        <w:t>定期检验标</w:t>
      </w:r>
      <w:r>
        <w:rPr>
          <w:spacing w:val="3"/>
          <w:w w:val="105"/>
        </w:rPr>
        <w:t>志的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三</w:t>
      </w:r>
      <w:r>
        <w:rPr>
          <w:rFonts w:hint="eastAsia" w:ascii="MS UI Gothic" w:eastAsia="MS UI Gothic"/>
          <w:spacing w:val="4"/>
          <w:w w:val="150"/>
        </w:rPr>
        <w:t xml:space="preserve">) </w:t>
      </w:r>
      <w:r>
        <w:rPr>
          <w:spacing w:val="5"/>
          <w:w w:val="105"/>
        </w:rPr>
        <w:t>未对其使用的特种设备进行经</w:t>
      </w:r>
      <w:r>
        <w:rPr>
          <w:spacing w:val="3"/>
        </w:rPr>
        <w:t>常性维护保养和定期自行检查</w:t>
      </w:r>
      <w:r>
        <w:rPr>
          <w:rFonts w:hint="eastAsia" w:ascii="MS UI Gothic" w:eastAsia="MS UI Gothic"/>
          <w:spacing w:val="20"/>
          <w:w w:val="80"/>
        </w:rPr>
        <w:t xml:space="preserve">ꎬ </w:t>
      </w:r>
      <w:r>
        <w:rPr>
          <w:spacing w:val="2"/>
        </w:rPr>
        <w:t>或者未对</w:t>
      </w:r>
      <w:r>
        <w:rPr>
          <w:spacing w:val="3"/>
          <w:w w:val="105"/>
        </w:rPr>
        <w:t>其使用的特种设备的安全附件</w:t>
      </w:r>
      <w:r>
        <w:rPr>
          <w:rFonts w:hint="eastAsia" w:ascii="MS UI Gothic" w:eastAsia="MS UI Gothic"/>
          <w:spacing w:val="-2"/>
          <w:w w:val="80"/>
        </w:rPr>
        <w:t xml:space="preserve">、 </w:t>
      </w:r>
      <w:r>
        <w:rPr>
          <w:spacing w:val="2"/>
          <w:w w:val="105"/>
        </w:rPr>
        <w:t>安全保护</w:t>
      </w:r>
      <w:r>
        <w:rPr>
          <w:spacing w:val="30"/>
          <w:w w:val="105"/>
        </w:rPr>
        <w:t>装置进行定期校验</w:t>
      </w:r>
      <w:r>
        <w:rPr>
          <w:rFonts w:hint="eastAsia" w:ascii="MS UI Gothic" w:eastAsia="MS UI Gothic"/>
          <w:spacing w:val="12"/>
          <w:w w:val="80"/>
        </w:rPr>
        <w:t xml:space="preserve">、 </w:t>
      </w:r>
      <w:r>
        <w:rPr>
          <w:spacing w:val="21"/>
          <w:w w:val="105"/>
        </w:rPr>
        <w:t>检修</w:t>
      </w:r>
      <w:r>
        <w:rPr>
          <w:rFonts w:hint="eastAsia" w:ascii="MS UI Gothic" w:eastAsia="MS UI Gothic"/>
          <w:spacing w:val="13"/>
          <w:w w:val="80"/>
        </w:rPr>
        <w:t xml:space="preserve">ꎬ </w:t>
      </w:r>
      <w:r>
        <w:rPr>
          <w:spacing w:val="30"/>
          <w:w w:val="105"/>
        </w:rPr>
        <w:t>并作出记</w:t>
      </w:r>
      <w:r>
        <w:rPr>
          <w:spacing w:val="3"/>
          <w:w w:val="105"/>
        </w:rPr>
        <w:t>录的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未按照安全技术规范的要求及</w:t>
      </w:r>
      <w:r>
        <w:rPr>
          <w:w w:val="110"/>
        </w:rPr>
        <w:t>时申报并接受检验的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未按照安全技术规范的要求进</w:t>
      </w:r>
      <w:r>
        <w:rPr>
          <w:w w:val="110"/>
        </w:rPr>
        <w:t xml:space="preserve">行锅炉水 </w:t>
      </w:r>
      <w:r>
        <w:rPr>
          <w:rFonts w:hint="eastAsia" w:ascii="MS UI Gothic" w:eastAsia="MS UI Gothic"/>
          <w:w w:val="150"/>
        </w:rPr>
        <w:t xml:space="preserve">( </w:t>
      </w:r>
      <w:r>
        <w:rPr>
          <w:w w:val="110"/>
        </w:rPr>
        <w:t>介</w:t>
      </w:r>
      <w:r>
        <w:rPr>
          <w:rFonts w:hint="eastAsia" w:ascii="MS UI Gothic" w:eastAsia="MS UI Gothic"/>
          <w:w w:val="150"/>
        </w:rPr>
        <w:t xml:space="preserve">) </w:t>
      </w:r>
      <w:r>
        <w:rPr>
          <w:w w:val="110"/>
        </w:rPr>
        <w:t>质处理的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未制定特种设备事故应急专项</w:t>
      </w:r>
      <w:r>
        <w:rPr>
          <w:w w:val="110"/>
        </w:rPr>
        <w:t>预案的</w:t>
      </w:r>
      <w:r>
        <w:rPr>
          <w:rFonts w:hint="eastAsia" w:ascii="MS UI Gothic" w:eastAsia="MS UI Gothic"/>
          <w:w w:val="80"/>
        </w:rPr>
        <w:t>ꎮ</w:t>
      </w:r>
    </w:p>
    <w:p>
      <w:pPr>
        <w:pStyle w:val="6"/>
        <w:spacing w:line="255" w:lineRule="exact"/>
        <w:ind w:left="543" w:firstLine="0"/>
      </w:pPr>
      <w:r>
        <w:t>第八十四条 违反本法规定</w:t>
      </w:r>
      <w:r>
        <w:rPr>
          <w:rFonts w:hint="eastAsia" w:ascii="MS UI Gothic" w:eastAsia="MS UI Gothic"/>
          <w:w w:val="80"/>
        </w:rPr>
        <w:t xml:space="preserve">ꎬ </w:t>
      </w:r>
      <w:r>
        <w:t>特种设</w:t>
      </w:r>
    </w:p>
    <w:p>
      <w:pPr>
        <w:spacing w:after="0" w:line="255"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４６５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396" o:spid="_x0000_s2396" o:spt="203" style="height:2.15pt;width:398.25pt;" coordsize="7965,43">
            <o:lock v:ext="edit"/>
            <v:line id="_x0000_s2397" o:spid="_x0000_s2397" o:spt="20" style="position:absolute;left:0;top:39;height:0;width:7965;" stroked="t" coordsize="21600,21600">
              <v:path arrowok="t"/>
              <v:fill focussize="0,0"/>
              <v:stroke weight="0.388031496062992pt" color="#231F20"/>
              <v:imagedata o:title=""/>
              <o:lock v:ext="edit"/>
            </v:line>
            <v:line id="_x0000_s2398" o:spid="_x0000_s239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备使用单位有下列行为之一的</w:t>
      </w:r>
      <w:r>
        <w:rPr>
          <w:rFonts w:hint="eastAsia" w:ascii="MS UI Gothic" w:eastAsia="MS UI Gothic"/>
          <w:w w:val="80"/>
        </w:rPr>
        <w:t xml:space="preserve">ꎬ </w:t>
      </w:r>
      <w:r>
        <w:t>责令停止使用有关特种设备</w:t>
      </w:r>
      <w:r>
        <w:rPr>
          <w:rFonts w:hint="eastAsia" w:ascii="MS UI Gothic" w:eastAsia="MS UI Gothic"/>
          <w:w w:val="80"/>
        </w:rPr>
        <w:t xml:space="preserve">ꎬ </w:t>
      </w:r>
      <w:r>
        <w:t>处三万元以上三十万</w:t>
      </w:r>
      <w:r>
        <w:rPr>
          <w:w w:val="105"/>
        </w:rPr>
        <w:t>元以下罚款</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使用未取得许可生产</w:t>
      </w:r>
      <w:r>
        <w:rPr>
          <w:rFonts w:hint="eastAsia" w:ascii="MS UI Gothic" w:eastAsia="MS UI Gothic"/>
          <w:w w:val="80"/>
        </w:rPr>
        <w:t xml:space="preserve">ꎬ </w:t>
      </w:r>
      <w:r>
        <w:rPr>
          <w:w w:val="105"/>
        </w:rPr>
        <w:t>未经检</w:t>
      </w:r>
      <w:r>
        <w:t>验或者检验不合格的特种设备</w:t>
      </w:r>
      <w:r>
        <w:rPr>
          <w:rFonts w:hint="eastAsia" w:ascii="MS UI Gothic" w:eastAsia="MS UI Gothic"/>
          <w:w w:val="80"/>
        </w:rPr>
        <w:t xml:space="preserve">ꎬ </w:t>
      </w:r>
      <w:r>
        <w:t>或者国家</w:t>
      </w:r>
      <w:r>
        <w:rPr>
          <w:w w:val="105"/>
        </w:rPr>
        <w:t>明令淘汰</w:t>
      </w:r>
      <w:r>
        <w:rPr>
          <w:rFonts w:hint="eastAsia" w:ascii="MS UI Gothic" w:eastAsia="MS UI Gothic"/>
          <w:w w:val="80"/>
        </w:rPr>
        <w:t xml:space="preserve">、 </w:t>
      </w:r>
      <w:r>
        <w:rPr>
          <w:w w:val="105"/>
        </w:rPr>
        <w:t>已经报废的特种设备的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特种设备出现故障或者发生异常情况</w:t>
      </w:r>
      <w:r>
        <w:rPr>
          <w:rFonts w:hint="eastAsia" w:ascii="MS UI Gothic" w:eastAsia="MS UI Gothic"/>
          <w:w w:val="80"/>
        </w:rPr>
        <w:t xml:space="preserve">ꎬ </w:t>
      </w:r>
      <w:r>
        <w:rPr>
          <w:w w:val="105"/>
        </w:rPr>
        <w:t>未对其进行全面检查</w:t>
      </w:r>
      <w:r>
        <w:rPr>
          <w:rFonts w:hint="eastAsia" w:ascii="MS UI Gothic" w:eastAsia="MS UI Gothic"/>
          <w:w w:val="80"/>
        </w:rPr>
        <w:t xml:space="preserve">、 </w:t>
      </w:r>
      <w:r>
        <w:rPr>
          <w:w w:val="105"/>
        </w:rPr>
        <w:t>消除事故隐患</w:t>
      </w:r>
      <w:r>
        <w:rPr>
          <w:rFonts w:hint="eastAsia" w:ascii="MS UI Gothic" w:eastAsia="MS UI Gothic"/>
          <w:w w:val="80"/>
        </w:rPr>
        <w:t xml:space="preserve">ꎬ </w:t>
      </w:r>
      <w:r>
        <w:rPr>
          <w:w w:val="105"/>
        </w:rPr>
        <w:t>继续使用的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41"/>
          <w:w w:val="150"/>
        </w:rPr>
        <w:t xml:space="preserve">( </w:t>
      </w:r>
      <w:r>
        <w:rPr>
          <w:spacing w:val="7"/>
          <w:w w:val="105"/>
        </w:rPr>
        <w:t>三</w:t>
      </w:r>
      <w:r>
        <w:rPr>
          <w:rFonts w:hint="eastAsia" w:ascii="MS UI Gothic" w:eastAsia="MS UI Gothic"/>
          <w:spacing w:val="-12"/>
          <w:w w:val="150"/>
        </w:rPr>
        <w:t xml:space="preserve">) </w:t>
      </w:r>
      <w:r>
        <w:rPr>
          <w:spacing w:val="15"/>
          <w:w w:val="105"/>
        </w:rPr>
        <w:t>特种设备存在严重事故隐患</w:t>
      </w:r>
      <w:r>
        <w:rPr>
          <w:rFonts w:hint="eastAsia" w:ascii="MS UI Gothic" w:eastAsia="MS UI Gothic"/>
          <w:spacing w:val="-12"/>
          <w:w w:val="80"/>
        </w:rPr>
        <w:t>ꎬ</w:t>
      </w:r>
      <w:r>
        <w:rPr>
          <w:spacing w:val="3"/>
          <w:w w:val="105"/>
        </w:rPr>
        <w:t>无改造</w:t>
      </w:r>
      <w:r>
        <w:rPr>
          <w:rFonts w:hint="eastAsia" w:ascii="MS UI Gothic" w:eastAsia="MS UI Gothic"/>
          <w:spacing w:val="-2"/>
          <w:w w:val="80"/>
        </w:rPr>
        <w:t xml:space="preserve">、 </w:t>
      </w:r>
      <w:r>
        <w:rPr>
          <w:spacing w:val="3"/>
          <w:w w:val="105"/>
        </w:rPr>
        <w:t>修理价值</w:t>
      </w:r>
      <w:r>
        <w:rPr>
          <w:rFonts w:hint="eastAsia" w:ascii="MS UI Gothic" w:eastAsia="MS UI Gothic"/>
          <w:spacing w:val="-1"/>
          <w:w w:val="80"/>
        </w:rPr>
        <w:t xml:space="preserve">ꎬ </w:t>
      </w:r>
      <w:r>
        <w:rPr>
          <w:spacing w:val="2"/>
          <w:w w:val="105"/>
        </w:rPr>
        <w:t>或者达到安全技术规</w:t>
      </w:r>
      <w:r>
        <w:rPr>
          <w:spacing w:val="3"/>
        </w:rPr>
        <w:t>范规定的其他报废条件</w:t>
      </w:r>
      <w:r>
        <w:rPr>
          <w:rFonts w:hint="eastAsia" w:ascii="MS UI Gothic" w:eastAsia="MS UI Gothic"/>
          <w:spacing w:val="21"/>
          <w:w w:val="80"/>
        </w:rPr>
        <w:t xml:space="preserve">ꎬ </w:t>
      </w:r>
      <w:r>
        <w:rPr>
          <w:spacing w:val="2"/>
        </w:rPr>
        <w:t>未依法履行报废</w:t>
      </w:r>
      <w:r>
        <w:rPr>
          <w:spacing w:val="3"/>
        </w:rPr>
        <w:t>义务</w:t>
      </w:r>
      <w:r>
        <w:rPr>
          <w:rFonts w:hint="eastAsia" w:ascii="MS UI Gothic" w:eastAsia="MS UI Gothic"/>
          <w:spacing w:val="23"/>
          <w:w w:val="80"/>
        </w:rPr>
        <w:t xml:space="preserve">ꎬ </w:t>
      </w:r>
      <w:r>
        <w:rPr>
          <w:spacing w:val="3"/>
        </w:rPr>
        <w:t>并办理使用登记证书注销手续的</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3"/>
          <w:w w:val="105"/>
        </w:rPr>
        <w:t>第八十五条 违反本法规定</w:t>
      </w:r>
      <w:r>
        <w:rPr>
          <w:rFonts w:hint="eastAsia" w:ascii="MS UI Gothic" w:eastAsia="MS UI Gothic"/>
          <w:spacing w:val="10"/>
          <w:w w:val="80"/>
        </w:rPr>
        <w:t xml:space="preserve">ꎬ </w:t>
      </w:r>
      <w:r>
        <w:rPr>
          <w:spacing w:val="2"/>
          <w:w w:val="105"/>
        </w:rPr>
        <w:t>移动式</w:t>
      </w:r>
      <w:r>
        <w:rPr>
          <w:spacing w:val="3"/>
        </w:rPr>
        <w:t>压力容器</w:t>
      </w:r>
      <w:r>
        <w:rPr>
          <w:rFonts w:hint="eastAsia" w:ascii="MS UI Gothic" w:eastAsia="MS UI Gothic"/>
          <w:spacing w:val="20"/>
        </w:rPr>
        <w:t xml:space="preserve">、 </w:t>
      </w:r>
      <w:r>
        <w:rPr>
          <w:spacing w:val="2"/>
        </w:rPr>
        <w:t>气瓶充装单位有下列行为之一</w:t>
      </w:r>
      <w:r>
        <w:rPr>
          <w:spacing w:val="3"/>
        </w:rPr>
        <w:t>的</w:t>
      </w:r>
      <w:r>
        <w:rPr>
          <w:rFonts w:hint="eastAsia" w:ascii="MS UI Gothic" w:eastAsia="MS UI Gothic"/>
          <w:spacing w:val="23"/>
          <w:w w:val="80"/>
        </w:rPr>
        <w:t xml:space="preserve">ꎬ </w:t>
      </w:r>
      <w:r>
        <w:rPr>
          <w:spacing w:val="3"/>
        </w:rPr>
        <w:t>责令改正</w:t>
      </w:r>
      <w:r>
        <w:rPr>
          <w:rFonts w:hint="eastAsia" w:ascii="MS UI Gothic" w:eastAsia="MS UI Gothic"/>
          <w:spacing w:val="23"/>
          <w:w w:val="80"/>
        </w:rPr>
        <w:t xml:space="preserve">ꎬ </w:t>
      </w:r>
      <w:r>
        <w:rPr>
          <w:spacing w:val="2"/>
        </w:rPr>
        <w:t>处二万元以上二十万元以</w:t>
      </w:r>
      <w:r>
        <w:rPr>
          <w:spacing w:val="3"/>
          <w:w w:val="105"/>
        </w:rPr>
        <w:t>下罚款</w:t>
      </w:r>
      <w:r>
        <w:rPr>
          <w:rFonts w:hint="eastAsia" w:ascii="MS UI Gothic" w:eastAsia="MS UI Gothic"/>
          <w:spacing w:val="1"/>
          <w:w w:val="80"/>
        </w:rPr>
        <w:t xml:space="preserve">ꎻ </w:t>
      </w:r>
      <w:r>
        <w:rPr>
          <w:spacing w:val="3"/>
          <w:w w:val="105"/>
        </w:rPr>
        <w:t>情节严重的</w:t>
      </w:r>
      <w:r>
        <w:rPr>
          <w:rFonts w:hint="eastAsia" w:ascii="MS UI Gothic" w:eastAsia="MS UI Gothic"/>
          <w:spacing w:val="1"/>
          <w:w w:val="80"/>
        </w:rPr>
        <w:t xml:space="preserve">ꎬ </w:t>
      </w:r>
      <w:r>
        <w:rPr>
          <w:spacing w:val="3"/>
          <w:w w:val="105"/>
        </w:rPr>
        <w:t>吊销充装许可证</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未按照规定实施充装前后的检查</w:t>
      </w:r>
      <w:r>
        <w:rPr>
          <w:rFonts w:hint="eastAsia" w:ascii="MS UI Gothic" w:eastAsia="MS UI Gothic"/>
          <w:w w:val="80"/>
        </w:rPr>
        <w:t xml:space="preserve">、 </w:t>
      </w:r>
      <w:r>
        <w:rPr>
          <w:w w:val="105"/>
        </w:rPr>
        <w:t>记录制度的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对不符合安全技术规范要求的移动式压力容器和气瓶进行充装的</w:t>
      </w:r>
      <w:r>
        <w:rPr>
          <w:rFonts w:hint="eastAsia" w:ascii="MS UI Gothic" w:eastAsia="MS UI Gothic"/>
          <w:w w:val="80"/>
        </w:rPr>
        <w:t>ꎮ</w:t>
      </w:r>
    </w:p>
    <w:p>
      <w:pPr>
        <w:pStyle w:val="6"/>
        <w:spacing w:line="295" w:lineRule="auto"/>
        <w:ind w:left="440"/>
        <w:rPr>
          <w:rFonts w:hint="eastAsia" w:ascii="MS UI Gothic" w:eastAsia="MS UI Gothic"/>
        </w:rPr>
      </w:pPr>
      <w:r>
        <w:t>违反本法规定</w:t>
      </w:r>
      <w:r>
        <w:rPr>
          <w:rFonts w:hint="eastAsia" w:ascii="MS UI Gothic" w:eastAsia="MS UI Gothic"/>
          <w:w w:val="80"/>
        </w:rPr>
        <w:t xml:space="preserve">ꎬ </w:t>
      </w:r>
      <w:r>
        <w:t>未经许可</w:t>
      </w:r>
      <w:r>
        <w:rPr>
          <w:rFonts w:hint="eastAsia" w:ascii="MS UI Gothic" w:eastAsia="MS UI Gothic"/>
          <w:w w:val="80"/>
        </w:rPr>
        <w:t xml:space="preserve">ꎬ </w:t>
      </w:r>
      <w:r>
        <w:t>擅自从事移动式压力容器或者气瓶充装活动的</w:t>
      </w:r>
      <w:r>
        <w:rPr>
          <w:rFonts w:hint="eastAsia" w:ascii="MS UI Gothic" w:eastAsia="MS UI Gothic"/>
          <w:w w:val="80"/>
        </w:rPr>
        <w:t xml:space="preserve">ꎬ </w:t>
      </w:r>
      <w:r>
        <w:t>予以取缔</w:t>
      </w:r>
      <w:r>
        <w:rPr>
          <w:rFonts w:hint="eastAsia" w:ascii="MS UI Gothic" w:eastAsia="MS UI Gothic"/>
          <w:w w:val="80"/>
        </w:rPr>
        <w:t xml:space="preserve">ꎬ </w:t>
      </w:r>
      <w:r>
        <w:t>没收违法充装的气瓶</w:t>
      </w:r>
      <w:r>
        <w:rPr>
          <w:rFonts w:hint="eastAsia" w:ascii="MS UI Gothic" w:eastAsia="MS UI Gothic"/>
          <w:w w:val="80"/>
        </w:rPr>
        <w:t xml:space="preserve">ꎬ </w:t>
      </w:r>
      <w:r>
        <w:t>处十万元以上五十万元以下罚款</w:t>
      </w:r>
      <w:r>
        <w:rPr>
          <w:rFonts w:hint="eastAsia" w:ascii="MS UI Gothic" w:eastAsia="MS UI Gothic"/>
          <w:w w:val="80"/>
        </w:rPr>
        <w:t xml:space="preserve">ꎻ </w:t>
      </w:r>
      <w:r>
        <w:t>有违法所得的</w:t>
      </w:r>
      <w:r>
        <w:rPr>
          <w:rFonts w:hint="eastAsia" w:ascii="MS UI Gothic" w:eastAsia="MS UI Gothic"/>
          <w:w w:val="80"/>
        </w:rPr>
        <w:t>ꎬ</w:t>
      </w:r>
      <w:r>
        <w:t>没收违法所得</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第八十六条 违反本法规定</w:t>
      </w:r>
      <w:r>
        <w:rPr>
          <w:rFonts w:hint="eastAsia" w:ascii="MS UI Gothic" w:eastAsia="MS UI Gothic"/>
          <w:w w:val="80"/>
        </w:rPr>
        <w:t xml:space="preserve">ꎬ </w:t>
      </w:r>
      <w:r>
        <w:rPr>
          <w:w w:val="105"/>
        </w:rPr>
        <w:t>特种设备生产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使用单位有下列情形之一</w:t>
      </w:r>
      <w:r>
        <w:t>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责令停止使用有关特种设备或者停产停业整</w:t>
      </w:r>
      <w:r>
        <w:rPr>
          <w:w w:val="105"/>
        </w:rPr>
        <w:t>顿</w:t>
      </w:r>
      <w:r>
        <w:rPr>
          <w:rFonts w:hint="eastAsia" w:ascii="MS UI Gothic" w:eastAsia="MS UI Gothic"/>
          <w:w w:val="80"/>
        </w:rPr>
        <w:t xml:space="preserve">ꎬ </w:t>
      </w:r>
      <w:r>
        <w:rPr>
          <w:w w:val="105"/>
        </w:rPr>
        <w:t>处一万元以上五万元以下罚款</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未配备具有相应资格的特种设备安全管理人员</w:t>
      </w:r>
      <w:r>
        <w:rPr>
          <w:rFonts w:hint="eastAsia" w:ascii="MS UI Gothic" w:eastAsia="MS UI Gothic"/>
          <w:w w:val="80"/>
        </w:rPr>
        <w:t xml:space="preserve">、 </w:t>
      </w:r>
      <w:r>
        <w:rPr>
          <w:w w:val="105"/>
        </w:rPr>
        <w:t>检测人员和作业人员的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使用未取得相应资格的人员从事特种设备安全管理</w:t>
      </w:r>
      <w:r>
        <w:rPr>
          <w:rFonts w:hint="eastAsia" w:ascii="MS UI Gothic" w:eastAsia="MS UI Gothic"/>
          <w:w w:val="80"/>
        </w:rPr>
        <w:t xml:space="preserve">、 </w:t>
      </w:r>
      <w:r>
        <w:rPr>
          <w:w w:val="105"/>
        </w:rPr>
        <w:t>检测和作业的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未对特种设备安全管理人员</w:t>
      </w:r>
      <w:r>
        <w:rPr>
          <w:rFonts w:hint="eastAsia" w:ascii="MS UI Gothic" w:eastAsia="MS UI Gothic"/>
          <w:w w:val="80"/>
        </w:rPr>
        <w:t>、</w:t>
      </w:r>
      <w:r>
        <w:t>检测人员和作业人员进行安全教育和技能</w:t>
      </w:r>
      <w:r>
        <w:rPr>
          <w:w w:val="105"/>
        </w:rPr>
        <w:t>培训的</w:t>
      </w:r>
      <w:r>
        <w:rPr>
          <w:rFonts w:hint="eastAsia" w:ascii="MS UI Gothic" w:eastAsia="MS UI Gothic"/>
          <w:w w:val="80"/>
        </w:rPr>
        <w:t>ꎮ</w:t>
      </w:r>
    </w:p>
    <w:p>
      <w:pPr>
        <w:pStyle w:val="6"/>
        <w:spacing w:before="124" w:line="295" w:lineRule="auto"/>
        <w:ind w:left="381" w:right="124"/>
        <w:rPr>
          <w:rFonts w:hint="eastAsia" w:ascii="MS UI Gothic" w:eastAsia="MS UI Gothic"/>
        </w:rPr>
      </w:pPr>
      <w:r>
        <w:br w:type="column"/>
      </w:r>
      <w:r>
        <w:rPr>
          <w:w w:val="105"/>
        </w:rPr>
        <w:t>第八十七条 违反本法规定</w:t>
      </w:r>
      <w:r>
        <w:rPr>
          <w:rFonts w:hint="eastAsia" w:ascii="MS UI Gothic" w:eastAsia="MS UI Gothic"/>
          <w:w w:val="80"/>
        </w:rPr>
        <w:t xml:space="preserve">ꎬ </w:t>
      </w:r>
      <w:r>
        <w:rPr>
          <w:w w:val="105"/>
        </w:rPr>
        <w:t>电梯</w:t>
      </w:r>
      <w:r>
        <w:rPr>
          <w:rFonts w:hint="eastAsia" w:ascii="MS UI Gothic" w:eastAsia="MS UI Gothic"/>
          <w:w w:val="80"/>
        </w:rPr>
        <w:t>、</w:t>
      </w:r>
      <w:r>
        <w:rPr>
          <w:w w:val="105"/>
        </w:rPr>
        <w:t>客运索道</w:t>
      </w:r>
      <w:r>
        <w:rPr>
          <w:rFonts w:hint="eastAsia" w:ascii="MS UI Gothic" w:eastAsia="MS UI Gothic"/>
          <w:w w:val="80"/>
        </w:rPr>
        <w:t xml:space="preserve">、 </w:t>
      </w:r>
      <w:r>
        <w:rPr>
          <w:w w:val="105"/>
        </w:rPr>
        <w:t>大型游乐设施的运营使用单位</w:t>
      </w:r>
      <w:r>
        <w:t>有下列情形之一的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责令停止使用有关特种设备或者停产停业整顿</w:t>
      </w:r>
      <w:r>
        <w:rPr>
          <w:rFonts w:hint="eastAsia" w:ascii="MS UI Gothic" w:eastAsia="MS UI Gothic"/>
          <w:w w:val="80"/>
        </w:rPr>
        <w:t xml:space="preserve">ꎬ </w:t>
      </w:r>
      <w:r>
        <w:t>处二万元以上十万元以</w:t>
      </w:r>
      <w:r>
        <w:rPr>
          <w:w w:val="105"/>
        </w:rPr>
        <w:t>下罚款</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未设置特种设备安全管理机构</w:t>
      </w:r>
      <w:r>
        <w:t>或者配备专职的特种设备安全管理人</w:t>
      </w:r>
      <w:r>
        <w:rPr>
          <w:w w:val="105"/>
        </w:rPr>
        <w:t>员的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客运索道</w:t>
      </w:r>
      <w:r>
        <w:rPr>
          <w:rFonts w:hint="eastAsia" w:ascii="MS UI Gothic" w:eastAsia="MS UI Gothic"/>
          <w:w w:val="80"/>
        </w:rPr>
        <w:t xml:space="preserve">、 </w:t>
      </w:r>
      <w:r>
        <w:rPr>
          <w:w w:val="105"/>
        </w:rPr>
        <w:t>大型游乐设施每日</w:t>
      </w:r>
      <w:r>
        <w:t>投入使用前</w:t>
      </w:r>
      <w:r>
        <w:rPr>
          <w:rFonts w:hint="eastAsia" w:ascii="MS UI Gothic" w:eastAsia="MS UI Gothic"/>
          <w:w w:val="80"/>
        </w:rPr>
        <w:t xml:space="preserve">ꎬ </w:t>
      </w:r>
      <w:r>
        <w:t>未进行试运行和例行安全检查</w:t>
      </w:r>
      <w:r>
        <w:rPr>
          <w:rFonts w:hint="eastAsia" w:ascii="MS UI Gothic" w:eastAsia="MS UI Gothic"/>
          <w:w w:val="80"/>
        </w:rPr>
        <w:t xml:space="preserve">ꎬ </w:t>
      </w:r>
      <w:r>
        <w:t>未对安全附件和安全保护装置进行检</w:t>
      </w:r>
      <w:r>
        <w:rPr>
          <w:w w:val="105"/>
        </w:rPr>
        <w:t>查确认的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未将电梯</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大型游乐设施的安全使用说明</w:t>
      </w:r>
      <w:r>
        <w:rPr>
          <w:rFonts w:hint="eastAsia" w:ascii="MS UI Gothic" w:eastAsia="MS UI Gothic"/>
          <w:w w:val="80"/>
        </w:rPr>
        <w:t xml:space="preserve">、 </w:t>
      </w:r>
      <w:r>
        <w:rPr>
          <w:w w:val="105"/>
        </w:rPr>
        <w:t>安全注意事项和</w:t>
      </w:r>
      <w:r>
        <w:t>警示标志置于易于为乘客注意的显著位</w:t>
      </w:r>
      <w:r>
        <w:rPr>
          <w:w w:val="105"/>
        </w:rPr>
        <w:t>置的</w:t>
      </w:r>
      <w:r>
        <w:rPr>
          <w:rFonts w:hint="eastAsia" w:ascii="MS UI Gothic" w:eastAsia="MS UI Gothic"/>
          <w:w w:val="80"/>
        </w:rPr>
        <w:t>ꎮ</w:t>
      </w:r>
    </w:p>
    <w:p>
      <w:pPr>
        <w:pStyle w:val="6"/>
        <w:spacing w:line="295" w:lineRule="auto"/>
        <w:ind w:left="381" w:right="126"/>
        <w:rPr>
          <w:rFonts w:hint="eastAsia" w:ascii="MS UI Gothic" w:eastAsia="MS UI Gothic"/>
        </w:rPr>
      </w:pPr>
      <w:r>
        <w:t>第八十八条 违反本法规定</w:t>
      </w:r>
      <w:r>
        <w:rPr>
          <w:rFonts w:hint="eastAsia" w:ascii="MS UI Gothic" w:eastAsia="MS UI Gothic"/>
          <w:w w:val="80"/>
        </w:rPr>
        <w:t xml:space="preserve">ꎬ </w:t>
      </w:r>
      <w:r>
        <w:t>未经许可</w:t>
      </w:r>
      <w:r>
        <w:rPr>
          <w:rFonts w:hint="eastAsia" w:ascii="MS UI Gothic" w:eastAsia="MS UI Gothic"/>
          <w:w w:val="80"/>
        </w:rPr>
        <w:t xml:space="preserve">ꎬ </w:t>
      </w:r>
      <w:r>
        <w:t>擅自从事电梯维护保养的</w:t>
      </w:r>
      <w:r>
        <w:rPr>
          <w:rFonts w:hint="eastAsia" w:ascii="MS UI Gothic" w:eastAsia="MS UI Gothic"/>
          <w:w w:val="80"/>
        </w:rPr>
        <w:t xml:space="preserve">ꎬ </w:t>
      </w:r>
      <w:r>
        <w:t>责令停止违法行为</w:t>
      </w:r>
      <w:r>
        <w:rPr>
          <w:rFonts w:hint="eastAsia" w:ascii="MS UI Gothic" w:eastAsia="MS UI Gothic"/>
          <w:w w:val="80"/>
        </w:rPr>
        <w:t xml:space="preserve">ꎬ </w:t>
      </w:r>
      <w:r>
        <w:t>处一万元以上十万元以下罚款</w:t>
      </w:r>
      <w:r>
        <w:rPr>
          <w:rFonts w:hint="eastAsia" w:ascii="MS UI Gothic" w:eastAsia="MS UI Gothic"/>
          <w:w w:val="80"/>
        </w:rPr>
        <w:t xml:space="preserve">ꎻ </w:t>
      </w:r>
      <w:r>
        <w:t>有违法所得的</w:t>
      </w:r>
      <w:r>
        <w:rPr>
          <w:rFonts w:hint="eastAsia" w:ascii="MS UI Gothic" w:eastAsia="MS UI Gothic"/>
          <w:w w:val="80"/>
        </w:rPr>
        <w:t xml:space="preserve">ꎬ </w:t>
      </w:r>
      <w:r>
        <w:t>没收违法所得</w:t>
      </w:r>
      <w:r>
        <w:rPr>
          <w:rFonts w:hint="eastAsia" w:ascii="MS UI Gothic" w:eastAsia="MS UI Gothic"/>
          <w:w w:val="80"/>
        </w:rPr>
        <w:t>ꎮ</w:t>
      </w:r>
    </w:p>
    <w:p>
      <w:pPr>
        <w:pStyle w:val="6"/>
        <w:spacing w:line="295" w:lineRule="auto"/>
        <w:ind w:left="381" w:right="126"/>
        <w:rPr>
          <w:rFonts w:hint="eastAsia" w:ascii="MS UI Gothic" w:eastAsia="MS UI Gothic"/>
        </w:rPr>
      </w:pPr>
      <w:r>
        <w:t>电梯的维护保养单位未按照本法规定以及安全技术规范的要求</w:t>
      </w:r>
      <w:r>
        <w:rPr>
          <w:rFonts w:hint="eastAsia" w:ascii="MS UI Gothic" w:eastAsia="MS UI Gothic"/>
          <w:w w:val="80"/>
        </w:rPr>
        <w:t xml:space="preserve">ꎬ </w:t>
      </w:r>
      <w:r>
        <w:t>进行电梯维护保养的</w:t>
      </w:r>
      <w:r>
        <w:rPr>
          <w:rFonts w:hint="eastAsia" w:ascii="MS UI Gothic" w:eastAsia="MS UI Gothic"/>
          <w:w w:val="80"/>
        </w:rPr>
        <w:t xml:space="preserve">ꎬ </w:t>
      </w:r>
      <w:r>
        <w:t>依照前款规定处罚</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第八十九条 发生特种设备事故</w:t>
      </w:r>
      <w:r>
        <w:rPr>
          <w:rFonts w:hint="eastAsia" w:ascii="MS UI Gothic" w:eastAsia="MS UI Gothic"/>
          <w:w w:val="80"/>
        </w:rPr>
        <w:t xml:space="preserve">ꎬ </w:t>
      </w:r>
      <w:r>
        <w:rPr>
          <w:w w:val="105"/>
        </w:rPr>
        <w:t>有</w:t>
      </w:r>
      <w:r>
        <w:t>下列情形之一的</w:t>
      </w:r>
      <w:r>
        <w:rPr>
          <w:rFonts w:hint="eastAsia" w:ascii="MS UI Gothic" w:eastAsia="MS UI Gothic"/>
          <w:w w:val="80"/>
        </w:rPr>
        <w:t xml:space="preserve">ꎬ </w:t>
      </w:r>
      <w:r>
        <w:t>对单位处五万元以上二十万元以下罚款</w:t>
      </w:r>
      <w:r>
        <w:rPr>
          <w:rFonts w:hint="eastAsia" w:ascii="MS UI Gothic" w:eastAsia="MS UI Gothic"/>
          <w:w w:val="80"/>
        </w:rPr>
        <w:t xml:space="preserve">ꎻ </w:t>
      </w:r>
      <w:r>
        <w:t>对主要负责人处一万元以上五万元以下罚款</w:t>
      </w:r>
      <w:r>
        <w:rPr>
          <w:rFonts w:hint="eastAsia" w:ascii="MS UI Gothic" w:eastAsia="MS UI Gothic"/>
          <w:w w:val="80"/>
        </w:rPr>
        <w:t xml:space="preserve">ꎻ </w:t>
      </w:r>
      <w:r>
        <w:t>主要负责人属于国</w:t>
      </w:r>
      <w:r>
        <w:rPr>
          <w:w w:val="105"/>
        </w:rPr>
        <w:t>家工作人员的</w:t>
      </w:r>
      <w:r>
        <w:rPr>
          <w:rFonts w:hint="eastAsia" w:ascii="MS UI Gothic" w:eastAsia="MS UI Gothic"/>
          <w:w w:val="80"/>
        </w:rPr>
        <w:t xml:space="preserve">ꎬ </w:t>
      </w:r>
      <w:r>
        <w:rPr>
          <w:w w:val="105"/>
        </w:rPr>
        <w:t>并依法给予处分</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发生特种设备事故时</w:t>
      </w:r>
      <w:r>
        <w:rPr>
          <w:rFonts w:hint="eastAsia" w:ascii="MS UI Gothic" w:eastAsia="MS UI Gothic"/>
          <w:w w:val="80"/>
        </w:rPr>
        <w:t xml:space="preserve">ꎬ </w:t>
      </w:r>
      <w:r>
        <w:rPr>
          <w:w w:val="105"/>
        </w:rPr>
        <w:t>不立即</w:t>
      </w:r>
      <w:r>
        <w:t>组织抢救或者在事故调查处理期间擅离职</w:t>
      </w:r>
      <w:r>
        <w:rPr>
          <w:w w:val="105"/>
        </w:rPr>
        <w:t>守或者逃匿的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对特种设备事故迟报</w:t>
      </w:r>
      <w:r>
        <w:rPr>
          <w:rFonts w:hint="eastAsia" w:ascii="MS UI Gothic" w:eastAsia="MS UI Gothic"/>
          <w:w w:val="80"/>
        </w:rPr>
        <w:t xml:space="preserve">、  </w:t>
      </w:r>
      <w:r>
        <w:rPr>
          <w:w w:val="105"/>
        </w:rPr>
        <w:t>谎报或者瞒报的</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第九十条 发生事故</w:t>
      </w:r>
      <w:r>
        <w:rPr>
          <w:rFonts w:hint="eastAsia" w:ascii="MS UI Gothic" w:eastAsia="MS UI Gothic"/>
          <w:w w:val="80"/>
        </w:rPr>
        <w:t xml:space="preserve">ꎬ </w:t>
      </w:r>
      <w:r>
        <w:rPr>
          <w:w w:val="105"/>
        </w:rPr>
        <w:t>对负有责任的</w:t>
      </w:r>
      <w:r>
        <w:t>单位除要求其依法承担相应的赔偿等责任</w:t>
      </w:r>
      <w:r>
        <w:rPr>
          <w:w w:val="105"/>
        </w:rPr>
        <w:t>外</w:t>
      </w:r>
      <w:r>
        <w:rPr>
          <w:rFonts w:hint="eastAsia" w:ascii="MS UI Gothic" w:eastAsia="MS UI Gothic"/>
          <w:w w:val="80"/>
        </w:rPr>
        <w:t xml:space="preserve">ꎬ </w:t>
      </w:r>
      <w:r>
        <w:rPr>
          <w:w w:val="105"/>
        </w:rPr>
        <w:t>依照下列规定处以罚款</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发生一般事故</w:t>
      </w:r>
      <w:r>
        <w:rPr>
          <w:rFonts w:hint="eastAsia" w:ascii="MS UI Gothic" w:eastAsia="MS UI Gothic"/>
          <w:w w:val="80"/>
        </w:rPr>
        <w:t xml:space="preserve">ꎬ </w:t>
      </w:r>
      <w:r>
        <w:rPr>
          <w:w w:val="105"/>
        </w:rPr>
        <w:t>处十万元以上二十万元以下罚款</w:t>
      </w:r>
      <w:r>
        <w:rPr>
          <w:rFonts w:hint="eastAsia" w:ascii="MS UI Gothic" w:eastAsia="MS UI Gothic"/>
          <w:w w:val="80"/>
        </w:rPr>
        <w:t>ꎻ</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４６６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399" o:spid="_x0000_s2399" o:spt="203" style="height:2.15pt;width:398.25pt;" coordsize="7965,43">
            <o:lock v:ext="edit"/>
            <v:line id="_x0000_s2400" o:spid="_x0000_s2400" o:spt="20" style="position:absolute;left:0;top:39;height:0;width:7965;" stroked="t" coordsize="21600,21600">
              <v:path arrowok="t"/>
              <v:fill focussize="0,0"/>
              <v:stroke weight="0.388031496062992pt" color="#231F20"/>
              <v:imagedata o:title=""/>
              <o:lock v:ext="edit"/>
            </v:line>
            <v:line id="_x0000_s2401" o:spid="_x0000_s240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4"/>
          <w:w w:val="150"/>
        </w:rPr>
        <w:t xml:space="preserve">) </w:t>
      </w:r>
      <w:r>
        <w:rPr>
          <w:spacing w:val="5"/>
          <w:w w:val="105"/>
        </w:rPr>
        <w:t>发生较大事故</w:t>
      </w:r>
      <w:r>
        <w:rPr>
          <w:rFonts w:hint="eastAsia" w:ascii="MS UI Gothic" w:eastAsia="MS UI Gothic"/>
          <w:spacing w:val="13"/>
          <w:w w:val="80"/>
        </w:rPr>
        <w:t xml:space="preserve">ꎬ </w:t>
      </w:r>
      <w:r>
        <w:rPr>
          <w:spacing w:val="9"/>
          <w:w w:val="105"/>
        </w:rPr>
        <w:t>处二十万元以</w:t>
      </w:r>
      <w:r>
        <w:rPr>
          <w:spacing w:val="3"/>
          <w:w w:val="105"/>
        </w:rPr>
        <w:t>上五十万元以下罚款</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4"/>
          <w:w w:val="150"/>
        </w:rPr>
        <w:t xml:space="preserve">) </w:t>
      </w:r>
      <w:r>
        <w:rPr>
          <w:spacing w:val="5"/>
          <w:w w:val="105"/>
        </w:rPr>
        <w:t>发生重大事故</w:t>
      </w:r>
      <w:r>
        <w:rPr>
          <w:rFonts w:hint="eastAsia" w:ascii="MS UI Gothic" w:eastAsia="MS UI Gothic"/>
          <w:spacing w:val="13"/>
          <w:w w:val="80"/>
        </w:rPr>
        <w:t xml:space="preserve">ꎬ </w:t>
      </w:r>
      <w:r>
        <w:rPr>
          <w:spacing w:val="9"/>
          <w:w w:val="105"/>
        </w:rPr>
        <w:t>处五十万元以</w:t>
      </w:r>
      <w:r>
        <w:rPr>
          <w:spacing w:val="3"/>
          <w:w w:val="105"/>
        </w:rPr>
        <w:t>上二百万元以下罚款</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第九十一条 对事故发生负有责任的</w:t>
      </w:r>
      <w:r>
        <w:t>单位的主要负责人未依法履行职责或者负有领导责任的</w:t>
      </w:r>
      <w:r>
        <w:rPr>
          <w:rFonts w:hint="eastAsia" w:ascii="MS UI Gothic" w:eastAsia="MS UI Gothic"/>
          <w:w w:val="80"/>
        </w:rPr>
        <w:t xml:space="preserve">ꎬ </w:t>
      </w:r>
      <w:r>
        <w:t>依照下列规定处以罚款</w:t>
      </w:r>
      <w:r>
        <w:rPr>
          <w:rFonts w:hint="eastAsia" w:ascii="MS UI Gothic" w:eastAsia="MS UI Gothic"/>
          <w:w w:val="80"/>
        </w:rPr>
        <w:t>ꎻ</w:t>
      </w:r>
      <w:r>
        <w:rPr>
          <w:w w:val="105"/>
        </w:rPr>
        <w:t>属于国家工作人员的</w:t>
      </w:r>
      <w:r>
        <w:rPr>
          <w:rFonts w:hint="eastAsia" w:ascii="MS UI Gothic" w:eastAsia="MS UI Gothic"/>
          <w:w w:val="80"/>
        </w:rPr>
        <w:t xml:space="preserve">ꎬ </w:t>
      </w:r>
      <w:r>
        <w:rPr>
          <w:w w:val="105"/>
        </w:rPr>
        <w:t>并依法给予处分</w:t>
      </w:r>
      <w:r>
        <w:rPr>
          <w:rFonts w:hint="eastAsia" w:ascii="MS UI Gothic" w:eastAsia="MS UI Gothic"/>
          <w:w w:val="235"/>
        </w:rPr>
        <w:t>:</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一</w:t>
      </w:r>
      <w:r>
        <w:rPr>
          <w:rFonts w:hint="eastAsia" w:ascii="MS UI Gothic" w:eastAsia="MS UI Gothic"/>
          <w:spacing w:val="-4"/>
          <w:w w:val="150"/>
        </w:rPr>
        <w:t xml:space="preserve">) </w:t>
      </w:r>
      <w:r>
        <w:rPr>
          <w:spacing w:val="5"/>
          <w:w w:val="105"/>
        </w:rPr>
        <w:t>发生一般事故</w:t>
      </w:r>
      <w:r>
        <w:rPr>
          <w:rFonts w:hint="eastAsia" w:ascii="MS UI Gothic" w:eastAsia="MS UI Gothic"/>
          <w:spacing w:val="13"/>
          <w:w w:val="80"/>
        </w:rPr>
        <w:t xml:space="preserve">ꎬ </w:t>
      </w:r>
      <w:r>
        <w:rPr>
          <w:spacing w:val="9"/>
          <w:w w:val="105"/>
        </w:rPr>
        <w:t>处上一年年收</w:t>
      </w:r>
      <w:r>
        <w:rPr>
          <w:spacing w:val="3"/>
          <w:w w:val="105"/>
        </w:rPr>
        <w:t>入百分之三十的罚款</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二</w:t>
      </w:r>
      <w:r>
        <w:rPr>
          <w:rFonts w:hint="eastAsia" w:ascii="MS UI Gothic" w:eastAsia="MS UI Gothic"/>
          <w:spacing w:val="-4"/>
          <w:w w:val="150"/>
        </w:rPr>
        <w:t xml:space="preserve">) </w:t>
      </w:r>
      <w:r>
        <w:rPr>
          <w:spacing w:val="5"/>
          <w:w w:val="105"/>
        </w:rPr>
        <w:t>发生较大事故</w:t>
      </w:r>
      <w:r>
        <w:rPr>
          <w:rFonts w:hint="eastAsia" w:ascii="MS UI Gothic" w:eastAsia="MS UI Gothic"/>
          <w:spacing w:val="13"/>
          <w:w w:val="80"/>
        </w:rPr>
        <w:t xml:space="preserve">ꎬ </w:t>
      </w:r>
      <w:r>
        <w:rPr>
          <w:spacing w:val="9"/>
          <w:w w:val="105"/>
        </w:rPr>
        <w:t>处上一年年收</w:t>
      </w:r>
      <w:r>
        <w:rPr>
          <w:spacing w:val="3"/>
          <w:w w:val="105"/>
        </w:rPr>
        <w:t>入百分之四十的罚款</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spacing w:val="-39"/>
          <w:w w:val="150"/>
        </w:rPr>
        <w:t xml:space="preserve">( </w:t>
      </w:r>
      <w:r>
        <w:rPr>
          <w:spacing w:val="3"/>
          <w:w w:val="105"/>
        </w:rPr>
        <w:t>三</w:t>
      </w:r>
      <w:r>
        <w:rPr>
          <w:rFonts w:hint="eastAsia" w:ascii="MS UI Gothic" w:eastAsia="MS UI Gothic"/>
          <w:spacing w:val="-4"/>
          <w:w w:val="150"/>
        </w:rPr>
        <w:t xml:space="preserve">) </w:t>
      </w:r>
      <w:r>
        <w:rPr>
          <w:spacing w:val="5"/>
          <w:w w:val="105"/>
        </w:rPr>
        <w:t>发生重大事故</w:t>
      </w:r>
      <w:r>
        <w:rPr>
          <w:rFonts w:hint="eastAsia" w:ascii="MS UI Gothic" w:eastAsia="MS UI Gothic"/>
          <w:spacing w:val="13"/>
          <w:w w:val="80"/>
        </w:rPr>
        <w:t xml:space="preserve">ꎬ </w:t>
      </w:r>
      <w:r>
        <w:rPr>
          <w:spacing w:val="9"/>
          <w:w w:val="105"/>
        </w:rPr>
        <w:t>处上一年年收</w:t>
      </w:r>
      <w:r>
        <w:rPr>
          <w:spacing w:val="3"/>
          <w:w w:val="105"/>
        </w:rPr>
        <w:t>入百分之六十的罚款</w:t>
      </w:r>
      <w:r>
        <w:rPr>
          <w:rFonts w:hint="eastAsia" w:ascii="MS UI Gothic" w:eastAsia="MS UI Gothic"/>
          <w:w w:val="80"/>
        </w:rPr>
        <w:t>ꎮ</w:t>
      </w:r>
    </w:p>
    <w:p>
      <w:pPr>
        <w:pStyle w:val="6"/>
        <w:spacing w:line="295" w:lineRule="auto"/>
        <w:ind w:right="39"/>
        <w:rPr>
          <w:rFonts w:hint="eastAsia" w:ascii="MS UI Gothic" w:eastAsia="MS UI Gothic"/>
        </w:rPr>
      </w:pPr>
      <w:r>
        <w:t>第九十二条 违反本法规定</w:t>
      </w:r>
      <w:r>
        <w:rPr>
          <w:rFonts w:hint="eastAsia" w:ascii="MS UI Gothic" w:eastAsia="MS UI Gothic"/>
          <w:w w:val="80"/>
        </w:rPr>
        <w:t xml:space="preserve">ꎬ </w:t>
      </w:r>
      <w:r>
        <w:t>特种设备安全管理人员</w:t>
      </w:r>
      <w:r>
        <w:rPr>
          <w:rFonts w:hint="eastAsia" w:ascii="MS UI Gothic" w:eastAsia="MS UI Gothic"/>
          <w:w w:val="80"/>
        </w:rPr>
        <w:t xml:space="preserve">、 </w:t>
      </w:r>
      <w:r>
        <w:t>检测人员和作业人员不履行岗位职责</w:t>
      </w:r>
      <w:r>
        <w:rPr>
          <w:rFonts w:hint="eastAsia" w:ascii="MS UI Gothic" w:eastAsia="MS UI Gothic"/>
          <w:w w:val="80"/>
        </w:rPr>
        <w:t xml:space="preserve">ꎬ </w:t>
      </w:r>
      <w:r>
        <w:t>违反操作规程和有关安全规章制度</w:t>
      </w:r>
      <w:r>
        <w:rPr>
          <w:rFonts w:hint="eastAsia" w:ascii="MS UI Gothic" w:eastAsia="MS UI Gothic"/>
          <w:w w:val="80"/>
        </w:rPr>
        <w:t xml:space="preserve">ꎬ </w:t>
      </w:r>
      <w:r>
        <w:t>造成事故的</w:t>
      </w:r>
      <w:r>
        <w:rPr>
          <w:rFonts w:hint="eastAsia" w:ascii="MS UI Gothic" w:eastAsia="MS UI Gothic"/>
          <w:w w:val="80"/>
        </w:rPr>
        <w:t xml:space="preserve">ꎬ </w:t>
      </w:r>
      <w:r>
        <w:t>吊销相关人员的资格</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第九十三条 违反本法规定</w:t>
      </w:r>
      <w:r>
        <w:rPr>
          <w:rFonts w:hint="eastAsia" w:ascii="MS UI Gothic" w:eastAsia="MS UI Gothic"/>
          <w:w w:val="80"/>
        </w:rPr>
        <w:t xml:space="preserve">ꎬ </w:t>
      </w:r>
      <w:r>
        <w:rPr>
          <w:w w:val="105"/>
        </w:rPr>
        <w:t>特种设备检验</w:t>
      </w:r>
      <w:r>
        <w:rPr>
          <w:rFonts w:hint="eastAsia" w:ascii="MS UI Gothic" w:eastAsia="MS UI Gothic"/>
        </w:rPr>
        <w:t xml:space="preserve">、 </w:t>
      </w:r>
      <w:r>
        <w:rPr>
          <w:w w:val="105"/>
        </w:rPr>
        <w:t>检测机构及其检验</w:t>
      </w:r>
      <w:r>
        <w:rPr>
          <w:rFonts w:hint="eastAsia" w:ascii="MS UI Gothic" w:eastAsia="MS UI Gothic"/>
        </w:rPr>
        <w:t xml:space="preserve">、 </w:t>
      </w:r>
      <w:r>
        <w:rPr>
          <w:w w:val="105"/>
        </w:rPr>
        <w:t>检测人员有</w:t>
      </w:r>
      <w:r>
        <w:t>下列行为之一的</w:t>
      </w:r>
      <w:r>
        <w:rPr>
          <w:rFonts w:hint="eastAsia" w:ascii="MS UI Gothic" w:eastAsia="MS UI Gothic"/>
          <w:w w:val="80"/>
        </w:rPr>
        <w:t xml:space="preserve">ꎬ </w:t>
      </w:r>
      <w:r>
        <w:t>责令改正</w:t>
      </w:r>
      <w:r>
        <w:rPr>
          <w:rFonts w:hint="eastAsia" w:ascii="MS UI Gothic" w:eastAsia="MS UI Gothic"/>
          <w:w w:val="80"/>
        </w:rPr>
        <w:t xml:space="preserve">ꎬ </w:t>
      </w:r>
      <w:r>
        <w:t>对机构处五万元以上二十万元以下罚款</w:t>
      </w:r>
      <w:r>
        <w:rPr>
          <w:rFonts w:hint="eastAsia" w:ascii="MS UI Gothic" w:eastAsia="MS UI Gothic"/>
          <w:w w:val="80"/>
        </w:rPr>
        <w:t xml:space="preserve">ꎬ </w:t>
      </w:r>
      <w:r>
        <w:t>对直接负责的主管人员和其他直接责任人员处五千元以上五万元以下罚款</w:t>
      </w:r>
      <w:r>
        <w:rPr>
          <w:rFonts w:hint="eastAsia" w:ascii="MS UI Gothic" w:eastAsia="MS UI Gothic"/>
          <w:w w:val="80"/>
        </w:rPr>
        <w:t xml:space="preserve">ꎻ </w:t>
      </w:r>
      <w:r>
        <w:t>情节严重的</w:t>
      </w:r>
      <w:r>
        <w:rPr>
          <w:rFonts w:hint="eastAsia" w:ascii="MS UI Gothic" w:eastAsia="MS UI Gothic"/>
          <w:w w:val="80"/>
        </w:rPr>
        <w:t xml:space="preserve">ꎬ </w:t>
      </w:r>
      <w:r>
        <w:t>吊销</w:t>
      </w:r>
      <w:r>
        <w:rPr>
          <w:w w:val="105"/>
        </w:rPr>
        <w:t>机构资质和有关人员的资格</w:t>
      </w:r>
      <w:r>
        <w:rPr>
          <w:rFonts w:hint="eastAsia" w:ascii="MS UI Gothic" w:eastAsia="MS UI Gothic"/>
          <w:w w:val="235"/>
        </w:rPr>
        <w:t>:</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未经核准或者超出核准范围</w:t>
      </w:r>
      <w:r>
        <w:rPr>
          <w:rFonts w:hint="eastAsia" w:ascii="MS UI Gothic" w:eastAsia="MS UI Gothic"/>
          <w:w w:val="80"/>
        </w:rPr>
        <w:t>、</w:t>
      </w:r>
      <w:r>
        <w:rPr>
          <w:w w:val="105"/>
        </w:rPr>
        <w:t>使用未取得相应资格的人员从事检验</w:t>
      </w:r>
      <w:r>
        <w:rPr>
          <w:rFonts w:hint="eastAsia" w:ascii="MS UI Gothic" w:eastAsia="MS UI Gothic"/>
          <w:w w:val="80"/>
        </w:rPr>
        <w:t xml:space="preserve">、 </w:t>
      </w:r>
      <w:r>
        <w:rPr>
          <w:w w:val="105"/>
        </w:rPr>
        <w:t>检测的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未按照安全技术规范的要求进行检验</w:t>
      </w:r>
      <w:r>
        <w:rPr>
          <w:rFonts w:hint="eastAsia" w:ascii="MS UI Gothic" w:eastAsia="MS UI Gothic"/>
          <w:w w:val="80"/>
        </w:rPr>
        <w:t xml:space="preserve">、 </w:t>
      </w:r>
      <w:r>
        <w:rPr>
          <w:w w:val="105"/>
        </w:rPr>
        <w:t>检测的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出具虚假的检验</w:t>
      </w:r>
      <w:r>
        <w:rPr>
          <w:rFonts w:hint="eastAsia" w:ascii="MS UI Gothic" w:eastAsia="MS UI Gothic"/>
          <w:w w:val="80"/>
        </w:rPr>
        <w:t xml:space="preserve">、  </w:t>
      </w:r>
      <w:r>
        <w:rPr>
          <w:w w:val="105"/>
        </w:rPr>
        <w:t>检测结果和鉴定结论或者检验</w:t>
      </w:r>
      <w:r>
        <w:rPr>
          <w:rFonts w:hint="eastAsia" w:ascii="MS UI Gothic" w:eastAsia="MS UI Gothic"/>
          <w:w w:val="80"/>
        </w:rPr>
        <w:t xml:space="preserve">、 </w:t>
      </w:r>
      <w:r>
        <w:rPr>
          <w:w w:val="105"/>
        </w:rPr>
        <w:t>检测结果和鉴定结论严重失实的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发现特种设备存在严重事故隐</w:t>
      </w:r>
      <w:r>
        <w:t>患</w:t>
      </w:r>
      <w:r>
        <w:rPr>
          <w:rFonts w:hint="eastAsia" w:ascii="MS UI Gothic" w:eastAsia="MS UI Gothic"/>
          <w:w w:val="80"/>
        </w:rPr>
        <w:t xml:space="preserve">ꎬ </w:t>
      </w:r>
      <w:r>
        <w:t>未及时告知相关单位</w:t>
      </w:r>
      <w:r>
        <w:rPr>
          <w:rFonts w:hint="eastAsia" w:ascii="MS UI Gothic" w:eastAsia="MS UI Gothic"/>
          <w:w w:val="80"/>
        </w:rPr>
        <w:t xml:space="preserve">ꎬ </w:t>
      </w:r>
      <w:r>
        <w:t>并立即向负责</w:t>
      </w:r>
      <w:r>
        <w:rPr>
          <w:w w:val="105"/>
        </w:rPr>
        <w:t>特种设备安全监督管理的部门报告的</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泄露检验</w:t>
      </w:r>
      <w:r>
        <w:rPr>
          <w:rFonts w:hint="eastAsia" w:ascii="MS UI Gothic" w:eastAsia="MS UI Gothic"/>
          <w:w w:val="80"/>
        </w:rPr>
        <w:t xml:space="preserve">、 </w:t>
      </w:r>
      <w:r>
        <w:rPr>
          <w:w w:val="105"/>
        </w:rPr>
        <w:t>检测过程中知悉的商业秘密的</w:t>
      </w:r>
      <w:r>
        <w:rPr>
          <w:rFonts w:hint="eastAsia" w:ascii="MS UI Gothic" w:eastAsia="MS UI Gothic"/>
          <w:w w:val="80"/>
        </w:rPr>
        <w:t>ꎻ</w:t>
      </w:r>
    </w:p>
    <w:p>
      <w:pPr>
        <w:pStyle w:val="6"/>
        <w:spacing w:before="123" w:line="295" w:lineRule="auto"/>
        <w:ind w:right="442"/>
        <w:rPr>
          <w:rFonts w:hint="eastAsia" w:ascii="MS UI Gothic" w:eastAsia="MS UI Gothic"/>
        </w:rPr>
      </w:pPr>
      <w:r>
        <w:br w:type="column"/>
      </w: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从事有关特种设备的生产</w:t>
      </w:r>
      <w:r>
        <w:rPr>
          <w:rFonts w:hint="eastAsia" w:ascii="MS UI Gothic" w:eastAsia="MS UI Gothic"/>
          <w:w w:val="80"/>
        </w:rPr>
        <w:t xml:space="preserve">、 </w:t>
      </w:r>
      <w:r>
        <w:rPr>
          <w:w w:val="105"/>
        </w:rPr>
        <w:t>经营活动的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41"/>
          <w:w w:val="150"/>
        </w:rPr>
        <w:t xml:space="preserve">( </w:t>
      </w:r>
      <w:r>
        <w:rPr>
          <w:spacing w:val="3"/>
          <w:w w:val="110"/>
        </w:rPr>
        <w:t>七</w:t>
      </w:r>
      <w:r>
        <w:rPr>
          <w:rFonts w:hint="eastAsia" w:ascii="MS UI Gothic" w:eastAsia="MS UI Gothic"/>
          <w:spacing w:val="-10"/>
          <w:w w:val="150"/>
        </w:rPr>
        <w:t xml:space="preserve">) </w:t>
      </w:r>
      <w:r>
        <w:rPr>
          <w:spacing w:val="26"/>
          <w:w w:val="110"/>
        </w:rPr>
        <w:t>推荐或者监制</w:t>
      </w:r>
      <w:r>
        <w:rPr>
          <w:rFonts w:hint="eastAsia" w:ascii="MS UI Gothic" w:eastAsia="MS UI Gothic"/>
          <w:spacing w:val="8"/>
          <w:w w:val="80"/>
        </w:rPr>
        <w:t xml:space="preserve">、 </w:t>
      </w:r>
      <w:r>
        <w:rPr>
          <w:spacing w:val="22"/>
          <w:w w:val="110"/>
        </w:rPr>
        <w:t>监销特种设</w:t>
      </w:r>
      <w:r>
        <w:rPr>
          <w:spacing w:val="3"/>
          <w:w w:val="110"/>
        </w:rPr>
        <w:t>备的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21"/>
          <w:w w:val="105"/>
        </w:rPr>
        <w:t xml:space="preserve">( </w:t>
      </w:r>
      <w:r>
        <w:rPr>
          <w:spacing w:val="3"/>
          <w:w w:val="105"/>
        </w:rPr>
        <w:t>八</w:t>
      </w:r>
      <w:r>
        <w:rPr>
          <w:rFonts w:hint="eastAsia" w:ascii="MS UI Gothic" w:eastAsia="MS UI Gothic"/>
          <w:spacing w:val="5"/>
          <w:w w:val="105"/>
        </w:rPr>
        <w:t xml:space="preserve">) </w:t>
      </w:r>
      <w:r>
        <w:rPr>
          <w:spacing w:val="5"/>
          <w:w w:val="105"/>
        </w:rPr>
        <w:t>利用检验工作故意刁难相关单</w:t>
      </w:r>
      <w:r>
        <w:rPr>
          <w:spacing w:val="3"/>
          <w:w w:val="110"/>
        </w:rPr>
        <w:t>位的</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违反本法规定</w:t>
      </w:r>
      <w:r>
        <w:rPr>
          <w:rFonts w:hint="eastAsia" w:ascii="MS UI Gothic" w:eastAsia="MS UI Gothic"/>
          <w:spacing w:val="8"/>
          <w:w w:val="80"/>
        </w:rPr>
        <w:t xml:space="preserve">ꎬ </w:t>
      </w:r>
      <w:r>
        <w:rPr>
          <w:spacing w:val="3"/>
        </w:rPr>
        <w:t>特种设备检验</w:t>
      </w:r>
      <w:r>
        <w:rPr>
          <w:rFonts w:hint="eastAsia" w:ascii="MS UI Gothic" w:eastAsia="MS UI Gothic"/>
          <w:spacing w:val="8"/>
          <w:w w:val="80"/>
        </w:rPr>
        <w:t xml:space="preserve">、 </w:t>
      </w:r>
      <w:r>
        <w:rPr>
          <w:spacing w:val="1"/>
        </w:rPr>
        <w:t>检测</w:t>
      </w:r>
      <w:r>
        <w:rPr>
          <w:spacing w:val="3"/>
        </w:rPr>
        <w:t>机构的检验</w:t>
      </w:r>
      <w:r>
        <w:rPr>
          <w:rFonts w:hint="eastAsia" w:ascii="MS UI Gothic" w:eastAsia="MS UI Gothic"/>
          <w:spacing w:val="16"/>
          <w:w w:val="80"/>
        </w:rPr>
        <w:t xml:space="preserve">、 </w:t>
      </w:r>
      <w:r>
        <w:rPr>
          <w:spacing w:val="2"/>
        </w:rPr>
        <w:t>检测人员同时在两个以上检</w:t>
      </w:r>
      <w:r>
        <w:rPr>
          <w:spacing w:val="3"/>
        </w:rPr>
        <w:t>验</w:t>
      </w:r>
      <w:r>
        <w:rPr>
          <w:rFonts w:hint="eastAsia" w:ascii="MS UI Gothic" w:eastAsia="MS UI Gothic"/>
          <w:spacing w:val="11"/>
          <w:w w:val="80"/>
        </w:rPr>
        <w:t xml:space="preserve">、 </w:t>
      </w:r>
      <w:r>
        <w:rPr>
          <w:spacing w:val="3"/>
        </w:rPr>
        <w:t>检测机构中执业的</w:t>
      </w:r>
      <w:r>
        <w:rPr>
          <w:rFonts w:hint="eastAsia" w:ascii="MS UI Gothic" w:eastAsia="MS UI Gothic"/>
          <w:spacing w:val="11"/>
          <w:w w:val="80"/>
        </w:rPr>
        <w:t xml:space="preserve">ꎬ </w:t>
      </w:r>
      <w:r>
        <w:rPr>
          <w:spacing w:val="2"/>
        </w:rPr>
        <w:t>处五千元以上五</w:t>
      </w:r>
      <w:r>
        <w:rPr>
          <w:spacing w:val="28"/>
        </w:rPr>
        <w:t>万元以下罚款</w:t>
      </w:r>
      <w:r>
        <w:rPr>
          <w:rFonts w:hint="eastAsia" w:ascii="MS UI Gothic" w:eastAsia="MS UI Gothic"/>
          <w:spacing w:val="8"/>
          <w:w w:val="80"/>
        </w:rPr>
        <w:t xml:space="preserve">ꎻ </w:t>
      </w:r>
      <w:r>
        <w:rPr>
          <w:spacing w:val="32"/>
        </w:rPr>
        <w:t>情节严重的</w:t>
      </w:r>
      <w:r>
        <w:rPr>
          <w:rFonts w:hint="eastAsia" w:ascii="MS UI Gothic" w:eastAsia="MS UI Gothic"/>
          <w:spacing w:val="8"/>
          <w:w w:val="80"/>
        </w:rPr>
        <w:t xml:space="preserve">ꎬ </w:t>
      </w:r>
      <w:r>
        <w:rPr>
          <w:spacing w:val="26"/>
        </w:rPr>
        <w:t>吊销其</w:t>
      </w:r>
      <w:r>
        <w:rPr>
          <w:spacing w:val="3"/>
        </w:rPr>
        <w:t>资格</w:t>
      </w:r>
      <w:r>
        <w:rPr>
          <w:rFonts w:hint="eastAsia" w:ascii="MS UI Gothic" w:eastAsia="MS UI Gothic"/>
          <w:w w:val="80"/>
        </w:rPr>
        <w:t>ꎮ</w:t>
      </w:r>
    </w:p>
    <w:p>
      <w:pPr>
        <w:pStyle w:val="6"/>
        <w:spacing w:line="295" w:lineRule="auto"/>
        <w:ind w:right="442"/>
        <w:rPr>
          <w:rFonts w:hint="eastAsia" w:ascii="MS UI Gothic" w:eastAsia="MS UI Gothic"/>
        </w:rPr>
      </w:pPr>
      <w:r>
        <w:rPr>
          <w:spacing w:val="3"/>
          <w:w w:val="105"/>
        </w:rPr>
        <w:t>第九十四条 违反本法规定</w:t>
      </w:r>
      <w:r>
        <w:rPr>
          <w:rFonts w:hint="eastAsia" w:ascii="MS UI Gothic" w:eastAsia="MS UI Gothic"/>
          <w:spacing w:val="10"/>
          <w:w w:val="80"/>
        </w:rPr>
        <w:t xml:space="preserve">ꎬ </w:t>
      </w:r>
      <w:r>
        <w:rPr>
          <w:spacing w:val="2"/>
          <w:w w:val="105"/>
        </w:rPr>
        <w:t>负责特</w:t>
      </w:r>
      <w:r>
        <w:rPr>
          <w:spacing w:val="2"/>
        </w:rPr>
        <w:t>种设备安全监督管理的部门及其工作人员</w:t>
      </w:r>
      <w:r>
        <w:rPr>
          <w:spacing w:val="12"/>
        </w:rPr>
        <w:t>有下列行为之一的</w:t>
      </w:r>
      <w:r>
        <w:rPr>
          <w:rFonts w:hint="eastAsia" w:ascii="MS UI Gothic" w:eastAsia="MS UI Gothic"/>
          <w:spacing w:val="23"/>
          <w:w w:val="80"/>
        </w:rPr>
        <w:t xml:space="preserve">ꎬ </w:t>
      </w:r>
      <w:r>
        <w:rPr>
          <w:spacing w:val="16"/>
        </w:rPr>
        <w:t>由上级机关责令改</w:t>
      </w:r>
      <w:r>
        <w:rPr>
          <w:spacing w:val="3"/>
        </w:rPr>
        <w:t>正</w:t>
      </w:r>
      <w:r>
        <w:rPr>
          <w:rFonts w:hint="eastAsia" w:ascii="MS UI Gothic" w:eastAsia="MS UI Gothic"/>
          <w:spacing w:val="20"/>
          <w:w w:val="80"/>
        </w:rPr>
        <w:t xml:space="preserve">ꎻ </w:t>
      </w:r>
      <w:r>
        <w:rPr>
          <w:spacing w:val="2"/>
        </w:rPr>
        <w:t>对直接负责的主管人员和其他直接责</w:t>
      </w:r>
      <w:r>
        <w:rPr>
          <w:spacing w:val="3"/>
          <w:w w:val="105"/>
        </w:rPr>
        <w:t>任人员</w:t>
      </w:r>
      <w:r>
        <w:rPr>
          <w:rFonts w:hint="eastAsia" w:ascii="MS UI Gothic" w:eastAsia="MS UI Gothic"/>
          <w:spacing w:val="1"/>
          <w:w w:val="80"/>
        </w:rPr>
        <w:t xml:space="preserve">ꎬ </w:t>
      </w:r>
      <w:r>
        <w:rPr>
          <w:spacing w:val="3"/>
          <w:w w:val="105"/>
        </w:rPr>
        <w:t>依法给予处分</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spacing w:val="-37"/>
          <w:w w:val="150"/>
        </w:rPr>
        <w:t xml:space="preserve">( </w:t>
      </w:r>
      <w:r>
        <w:rPr>
          <w:spacing w:val="3"/>
          <w:w w:val="105"/>
        </w:rPr>
        <w:t>一</w:t>
      </w:r>
      <w:r>
        <w:rPr>
          <w:rFonts w:hint="eastAsia" w:ascii="MS UI Gothic" w:eastAsia="MS UI Gothic"/>
          <w:spacing w:val="9"/>
          <w:w w:val="150"/>
        </w:rPr>
        <w:t xml:space="preserve">) </w:t>
      </w:r>
      <w:r>
        <w:rPr>
          <w:spacing w:val="5"/>
          <w:w w:val="105"/>
        </w:rPr>
        <w:t>未依照法律</w:t>
      </w:r>
      <w:r>
        <w:rPr>
          <w:rFonts w:hint="eastAsia" w:ascii="MS UI Gothic" w:eastAsia="MS UI Gothic"/>
          <w:spacing w:val="23"/>
          <w:w w:val="80"/>
        </w:rPr>
        <w:t xml:space="preserve">、 </w:t>
      </w:r>
      <w:r>
        <w:rPr>
          <w:spacing w:val="9"/>
          <w:w w:val="105"/>
        </w:rPr>
        <w:t>行政法规规定的</w:t>
      </w:r>
      <w:r>
        <w:rPr>
          <w:spacing w:val="3"/>
          <w:w w:val="105"/>
        </w:rPr>
        <w:t>条件</w:t>
      </w:r>
      <w:r>
        <w:rPr>
          <w:rFonts w:hint="eastAsia" w:ascii="MS UI Gothic" w:eastAsia="MS UI Gothic"/>
          <w:spacing w:val="1"/>
          <w:w w:val="80"/>
        </w:rPr>
        <w:t xml:space="preserve">、 </w:t>
      </w:r>
      <w:r>
        <w:rPr>
          <w:spacing w:val="3"/>
          <w:w w:val="105"/>
        </w:rPr>
        <w:t>程序实施许可的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发现未经许可擅自从事特种设备的生产</w:t>
      </w:r>
      <w:r>
        <w:rPr>
          <w:rFonts w:hint="eastAsia" w:ascii="MS UI Gothic" w:eastAsia="MS UI Gothic"/>
          <w:w w:val="80"/>
        </w:rPr>
        <w:t xml:space="preserve">、 </w:t>
      </w:r>
      <w:r>
        <w:rPr>
          <w:w w:val="105"/>
        </w:rPr>
        <w:t>使用或者检验</w:t>
      </w:r>
      <w:r>
        <w:rPr>
          <w:rFonts w:hint="eastAsia" w:ascii="MS UI Gothic" w:eastAsia="MS UI Gothic"/>
          <w:w w:val="80"/>
        </w:rPr>
        <w:t xml:space="preserve">、 </w:t>
      </w:r>
      <w:r>
        <w:rPr>
          <w:w w:val="105"/>
        </w:rPr>
        <w:t>检测活动不予取缔或者不依法予以处理的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发现特种设备生产单位不再具</w:t>
      </w:r>
      <w:r>
        <w:t>备本法规定的条件而不吊销其许可证</w:t>
      </w:r>
      <w:r>
        <w:rPr>
          <w:rFonts w:hint="eastAsia" w:ascii="MS UI Gothic" w:eastAsia="MS UI Gothic"/>
          <w:w w:val="80"/>
        </w:rPr>
        <w:t xml:space="preserve">ꎬ </w:t>
      </w:r>
      <w:r>
        <w:t>或</w:t>
      </w:r>
      <w:r>
        <w:rPr>
          <w:w w:val="105"/>
        </w:rPr>
        <w:t>者发现特种设备生产</w:t>
      </w:r>
      <w:r>
        <w:rPr>
          <w:rFonts w:hint="eastAsia" w:ascii="MS UI Gothic" w:eastAsia="MS UI Gothic"/>
          <w:w w:val="80"/>
        </w:rPr>
        <w:t xml:space="preserve">、 </w:t>
      </w:r>
      <w:r>
        <w:rPr>
          <w:w w:val="105"/>
        </w:rPr>
        <w:t>经营</w:t>
      </w:r>
      <w:r>
        <w:rPr>
          <w:rFonts w:hint="eastAsia" w:ascii="MS UI Gothic" w:eastAsia="MS UI Gothic"/>
          <w:w w:val="80"/>
        </w:rPr>
        <w:t xml:space="preserve">、 </w:t>
      </w:r>
      <w:r>
        <w:rPr>
          <w:w w:val="105"/>
        </w:rPr>
        <w:t>使用违法行为不予查处的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发现特种设备检验</w:t>
      </w:r>
      <w:r>
        <w:rPr>
          <w:rFonts w:hint="eastAsia" w:ascii="MS UI Gothic" w:eastAsia="MS UI Gothic"/>
          <w:w w:val="80"/>
        </w:rPr>
        <w:t xml:space="preserve">、 </w:t>
      </w:r>
      <w:r>
        <w:rPr>
          <w:w w:val="105"/>
        </w:rPr>
        <w:t>检测机构</w:t>
      </w:r>
      <w:r>
        <w:t>不再具备本法规定的条件而不撤销其核</w:t>
      </w:r>
      <w:r>
        <w:rPr>
          <w:w w:val="105"/>
        </w:rPr>
        <w:t>准</w:t>
      </w:r>
      <w:r>
        <w:rPr>
          <w:rFonts w:hint="eastAsia" w:ascii="MS UI Gothic" w:eastAsia="MS UI Gothic"/>
          <w:w w:val="80"/>
        </w:rPr>
        <w:t xml:space="preserve">ꎬ </w:t>
      </w:r>
      <w:r>
        <w:rPr>
          <w:w w:val="105"/>
        </w:rPr>
        <w:t>或者对其出具虚假的检验</w:t>
      </w:r>
      <w:r>
        <w:rPr>
          <w:rFonts w:hint="eastAsia" w:ascii="MS UI Gothic" w:eastAsia="MS UI Gothic"/>
          <w:w w:val="80"/>
        </w:rPr>
        <w:t xml:space="preserve">、 </w:t>
      </w:r>
      <w:r>
        <w:rPr>
          <w:w w:val="105"/>
        </w:rPr>
        <w:t>检测结果和鉴定结论或者检验</w:t>
      </w:r>
      <w:r>
        <w:rPr>
          <w:rFonts w:hint="eastAsia" w:ascii="MS UI Gothic" w:eastAsia="MS UI Gothic"/>
          <w:w w:val="80"/>
        </w:rPr>
        <w:t xml:space="preserve">、 </w:t>
      </w:r>
      <w:r>
        <w:rPr>
          <w:w w:val="105"/>
        </w:rPr>
        <w:t>检测结果和鉴定结论严重失实的行为不予查处的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五</w:t>
      </w:r>
      <w:r>
        <w:rPr>
          <w:rFonts w:hint="eastAsia" w:ascii="MS UI Gothic" w:eastAsia="MS UI Gothic"/>
          <w:spacing w:val="4"/>
          <w:w w:val="150"/>
        </w:rPr>
        <w:t xml:space="preserve">) </w:t>
      </w:r>
      <w:r>
        <w:rPr>
          <w:spacing w:val="5"/>
          <w:w w:val="105"/>
        </w:rPr>
        <w:t>发现违反本法规定和安全技术</w:t>
      </w:r>
      <w:r>
        <w:rPr>
          <w:spacing w:val="2"/>
        </w:rPr>
        <w:t>规范要求的行为或者特种设备存在事故隐</w:t>
      </w:r>
      <w:r>
        <w:rPr>
          <w:spacing w:val="3"/>
          <w:w w:val="105"/>
        </w:rPr>
        <w:t>患</w:t>
      </w:r>
      <w:r>
        <w:rPr>
          <w:rFonts w:hint="eastAsia" w:ascii="MS UI Gothic" w:eastAsia="MS UI Gothic"/>
          <w:w w:val="80"/>
        </w:rPr>
        <w:t xml:space="preserve">ꎬ </w:t>
      </w:r>
      <w:r>
        <w:rPr>
          <w:spacing w:val="3"/>
          <w:w w:val="105"/>
        </w:rPr>
        <w:t>不立即处理的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8"/>
          <w:w w:val="150"/>
        </w:rPr>
        <w:t xml:space="preserve">( </w:t>
      </w:r>
      <w:r>
        <w:rPr>
          <w:spacing w:val="3"/>
          <w:w w:val="105"/>
        </w:rPr>
        <w:t>六</w:t>
      </w:r>
      <w:r>
        <w:rPr>
          <w:rFonts w:hint="eastAsia" w:ascii="MS UI Gothic" w:eastAsia="MS UI Gothic"/>
          <w:spacing w:val="4"/>
          <w:w w:val="150"/>
        </w:rPr>
        <w:t xml:space="preserve">) </w:t>
      </w:r>
      <w:r>
        <w:rPr>
          <w:spacing w:val="5"/>
          <w:w w:val="105"/>
        </w:rPr>
        <w:t>发现重大违法行为或者特种设</w:t>
      </w:r>
      <w:r>
        <w:rPr>
          <w:spacing w:val="3"/>
        </w:rPr>
        <w:t>备存在严重事故隐患</w:t>
      </w:r>
      <w:r>
        <w:rPr>
          <w:rFonts w:hint="eastAsia" w:ascii="MS UI Gothic" w:eastAsia="MS UI Gothic"/>
          <w:spacing w:val="20"/>
          <w:w w:val="80"/>
        </w:rPr>
        <w:t xml:space="preserve">ꎬ </w:t>
      </w:r>
      <w:r>
        <w:rPr>
          <w:spacing w:val="2"/>
        </w:rPr>
        <w:t>未及时向上级负责</w:t>
      </w:r>
      <w:r>
        <w:rPr>
          <w:spacing w:val="3"/>
        </w:rPr>
        <w:t>特种设备安全监督管理的部门报告</w:t>
      </w:r>
      <w:r>
        <w:rPr>
          <w:rFonts w:hint="eastAsia" w:ascii="MS UI Gothic" w:eastAsia="MS UI Gothic"/>
          <w:spacing w:val="20"/>
          <w:w w:val="80"/>
        </w:rPr>
        <w:t xml:space="preserve">ꎬ </w:t>
      </w:r>
      <w:r>
        <w:rPr>
          <w:spacing w:val="1"/>
        </w:rPr>
        <w:t>或者</w:t>
      </w:r>
      <w:r>
        <w:rPr>
          <w:spacing w:val="2"/>
        </w:rPr>
        <w:t>接到报告的负责特种设备安全监督管理的</w:t>
      </w:r>
      <w:r>
        <w:rPr>
          <w:spacing w:val="3"/>
          <w:w w:val="105"/>
        </w:rPr>
        <w:t>部门不立即处理的</w:t>
      </w:r>
      <w:r>
        <w:rPr>
          <w:rFonts w:hint="eastAsia" w:ascii="MS UI Gothic" w:eastAsia="MS UI Gothic"/>
          <w:w w:val="80"/>
        </w:rPr>
        <w:t>ꎻ</w:t>
      </w:r>
    </w:p>
    <w:p>
      <w:pPr>
        <w:pStyle w:val="6"/>
        <w:spacing w:line="252" w:lineRule="exact"/>
        <w:ind w:left="543" w:firstLine="0"/>
      </w:pPr>
      <w:r>
        <w:rPr>
          <w:rFonts w:hint="eastAsia" w:ascii="MS UI Gothic" w:eastAsia="MS UI Gothic"/>
          <w:w w:val="150"/>
        </w:rPr>
        <w:t xml:space="preserve">( </w:t>
      </w:r>
      <w:r>
        <w:rPr>
          <w:w w:val="115"/>
        </w:rPr>
        <w:t>七</w:t>
      </w:r>
      <w:r>
        <w:rPr>
          <w:rFonts w:hint="eastAsia" w:ascii="MS UI Gothic" w:eastAsia="MS UI Gothic"/>
          <w:w w:val="150"/>
        </w:rPr>
        <w:t xml:space="preserve">) </w:t>
      </w:r>
      <w:r>
        <w:rPr>
          <w:w w:val="115"/>
        </w:rPr>
        <w:t>要求已经依照本法规定在其他</w:t>
      </w:r>
    </w:p>
    <w:p>
      <w:pPr>
        <w:spacing w:after="0" w:line="252" w:lineRule="exac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４６７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02" o:spid="_x0000_s2402" o:spt="203" style="height:2.15pt;width:398.25pt;" coordsize="7965,43">
            <o:lock v:ext="edit"/>
            <v:line id="_x0000_s2403" o:spid="_x0000_s2403" o:spt="20" style="position:absolute;left:0;top:39;height:0;width:7965;" stroked="t" coordsize="21600,21600">
              <v:path arrowok="t"/>
              <v:fill focussize="0,0"/>
              <v:stroke weight="0.388031496062992pt" color="#231F20"/>
              <v:imagedata o:title=""/>
              <o:lock v:ext="edit"/>
            </v:line>
            <v:line id="_x0000_s2404" o:spid="_x0000_s240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rPr>
          <w:spacing w:val="2"/>
        </w:rPr>
        <w:t>地方取得许可的特种设备生产单位重复取</w:t>
      </w:r>
      <w:r>
        <w:rPr>
          <w:spacing w:val="3"/>
        </w:rPr>
        <w:t>得许可</w:t>
      </w:r>
      <w:r>
        <w:rPr>
          <w:rFonts w:hint="eastAsia" w:ascii="MS UI Gothic" w:eastAsia="MS UI Gothic"/>
          <w:spacing w:val="21"/>
          <w:w w:val="80"/>
        </w:rPr>
        <w:t xml:space="preserve">ꎬ </w:t>
      </w:r>
      <w:r>
        <w:rPr>
          <w:spacing w:val="2"/>
        </w:rPr>
        <w:t>或者要求对已经依照本法规定在其他地方检验合格的特种设备重复进行检</w:t>
      </w:r>
      <w:r>
        <w:rPr>
          <w:spacing w:val="3"/>
          <w:w w:val="105"/>
        </w:rPr>
        <w:t>验的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41"/>
          <w:w w:val="150"/>
        </w:rPr>
        <w:t xml:space="preserve">( </w:t>
      </w:r>
      <w:r>
        <w:rPr>
          <w:spacing w:val="3"/>
          <w:w w:val="110"/>
        </w:rPr>
        <w:t>八</w:t>
      </w:r>
      <w:r>
        <w:rPr>
          <w:rFonts w:hint="eastAsia" w:ascii="MS UI Gothic" w:eastAsia="MS UI Gothic"/>
          <w:spacing w:val="-11"/>
          <w:w w:val="150"/>
        </w:rPr>
        <w:t xml:space="preserve">) </w:t>
      </w:r>
      <w:r>
        <w:rPr>
          <w:spacing w:val="26"/>
          <w:w w:val="110"/>
        </w:rPr>
        <w:t>推荐或者监制</w:t>
      </w:r>
      <w:r>
        <w:rPr>
          <w:rFonts w:hint="eastAsia" w:ascii="MS UI Gothic" w:eastAsia="MS UI Gothic"/>
          <w:spacing w:val="7"/>
          <w:w w:val="80"/>
        </w:rPr>
        <w:t xml:space="preserve">、 </w:t>
      </w:r>
      <w:r>
        <w:rPr>
          <w:spacing w:val="21"/>
          <w:w w:val="110"/>
        </w:rPr>
        <w:t>监销特种设</w:t>
      </w:r>
      <w:r>
        <w:rPr>
          <w:spacing w:val="3"/>
          <w:w w:val="110"/>
        </w:rPr>
        <w:t>备的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九</w:t>
      </w:r>
      <w:r>
        <w:rPr>
          <w:rFonts w:hint="eastAsia" w:ascii="MS UI Gothic" w:eastAsia="MS UI Gothic"/>
          <w:w w:val="105"/>
        </w:rPr>
        <w:t xml:space="preserve">) </w:t>
      </w:r>
      <w:r>
        <w:rPr>
          <w:w w:val="105"/>
        </w:rPr>
        <w:t>泄露履行职责过程中知悉的商</w:t>
      </w:r>
      <w:r>
        <w:rPr>
          <w:w w:val="110"/>
        </w:rPr>
        <w:t>业秘密的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接到特种设备事故报告未立即</w:t>
      </w:r>
      <w:r>
        <w:t>向本级人民政府报告</w:t>
      </w:r>
      <w:r>
        <w:rPr>
          <w:rFonts w:hint="eastAsia" w:ascii="MS UI Gothic" w:eastAsia="MS UI Gothic"/>
          <w:w w:val="80"/>
        </w:rPr>
        <w:t xml:space="preserve">ꎬ </w:t>
      </w:r>
      <w:r>
        <w:t>并按照规定上</w:t>
      </w:r>
      <w:r>
        <w:rPr>
          <w:w w:val="105"/>
        </w:rPr>
        <w:t>报的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37"/>
          <w:w w:val="150"/>
        </w:rPr>
        <w:t xml:space="preserve">( </w:t>
      </w:r>
      <w:r>
        <w:rPr>
          <w:spacing w:val="3"/>
          <w:w w:val="105"/>
        </w:rPr>
        <w:t>十一</w:t>
      </w:r>
      <w:r>
        <w:rPr>
          <w:rFonts w:hint="eastAsia" w:ascii="MS UI Gothic" w:eastAsia="MS UI Gothic"/>
          <w:spacing w:val="11"/>
          <w:w w:val="150"/>
        </w:rPr>
        <w:t xml:space="preserve">) </w:t>
      </w:r>
      <w:r>
        <w:rPr>
          <w:spacing w:val="3"/>
          <w:w w:val="105"/>
        </w:rPr>
        <w:t>迟报</w:t>
      </w:r>
      <w:r>
        <w:rPr>
          <w:rFonts w:hint="eastAsia" w:ascii="MS UI Gothic" w:eastAsia="MS UI Gothic"/>
          <w:w w:val="80"/>
        </w:rPr>
        <w:t xml:space="preserve">、 </w:t>
      </w:r>
      <w:r>
        <w:rPr>
          <w:spacing w:val="8"/>
          <w:w w:val="105"/>
        </w:rPr>
        <w:t>漏报</w:t>
      </w:r>
      <w:r>
        <w:rPr>
          <w:rFonts w:hint="eastAsia" w:ascii="MS UI Gothic" w:eastAsia="MS UI Gothic"/>
          <w:spacing w:val="2"/>
          <w:w w:val="80"/>
        </w:rPr>
        <w:t xml:space="preserve">、 </w:t>
      </w:r>
      <w:r>
        <w:rPr>
          <w:spacing w:val="10"/>
          <w:w w:val="105"/>
        </w:rPr>
        <w:t>谎报或者瞒报</w:t>
      </w:r>
      <w:r>
        <w:rPr>
          <w:spacing w:val="3"/>
          <w:w w:val="105"/>
        </w:rPr>
        <w:t>事故的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21"/>
          <w:w w:val="105"/>
        </w:rPr>
        <w:t xml:space="preserve">( </w:t>
      </w:r>
      <w:r>
        <w:rPr>
          <w:spacing w:val="3"/>
          <w:w w:val="105"/>
        </w:rPr>
        <w:t>十二</w:t>
      </w:r>
      <w:r>
        <w:rPr>
          <w:rFonts w:hint="eastAsia" w:ascii="MS UI Gothic" w:eastAsia="MS UI Gothic"/>
          <w:spacing w:val="6"/>
          <w:w w:val="105"/>
        </w:rPr>
        <w:t xml:space="preserve">) </w:t>
      </w:r>
      <w:r>
        <w:rPr>
          <w:spacing w:val="6"/>
          <w:w w:val="105"/>
        </w:rPr>
        <w:t>妨碍事故救援或者事故调查</w:t>
      </w:r>
      <w:r>
        <w:rPr>
          <w:spacing w:val="3"/>
          <w:w w:val="110"/>
        </w:rPr>
        <w:t>处理的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50"/>
        </w:rPr>
        <w:t xml:space="preserve">( </w:t>
      </w:r>
      <w:r>
        <w:rPr>
          <w:w w:val="105"/>
        </w:rPr>
        <w:t>十三</w:t>
      </w:r>
      <w:r>
        <w:rPr>
          <w:rFonts w:hint="eastAsia" w:ascii="MS UI Gothic" w:eastAsia="MS UI Gothic"/>
          <w:w w:val="150"/>
        </w:rPr>
        <w:t xml:space="preserve">) </w:t>
      </w:r>
      <w:r>
        <w:rPr>
          <w:w w:val="105"/>
        </w:rPr>
        <w:t>其他滥用职权</w:t>
      </w:r>
      <w:r>
        <w:rPr>
          <w:rFonts w:hint="eastAsia" w:ascii="MS UI Gothic" w:eastAsia="MS UI Gothic"/>
          <w:w w:val="80"/>
        </w:rPr>
        <w:t xml:space="preserve">、 </w:t>
      </w:r>
      <w:r>
        <w:rPr>
          <w:w w:val="105"/>
        </w:rPr>
        <w:t>玩忽职守</w:t>
      </w:r>
      <w:r>
        <w:rPr>
          <w:rFonts w:hint="eastAsia" w:ascii="MS UI Gothic" w:eastAsia="MS UI Gothic"/>
          <w:w w:val="80"/>
        </w:rPr>
        <w:t>、</w:t>
      </w:r>
      <w:r>
        <w:rPr>
          <w:w w:val="105"/>
        </w:rPr>
        <w:t>徇私舞弊的行为</w:t>
      </w:r>
      <w:r>
        <w:rPr>
          <w:rFonts w:hint="eastAsia" w:ascii="MS UI Gothic" w:eastAsia="MS UI Gothic"/>
          <w:w w:val="80"/>
        </w:rPr>
        <w:t>ꎮ</w:t>
      </w:r>
    </w:p>
    <w:p>
      <w:pPr>
        <w:pStyle w:val="6"/>
        <w:spacing w:line="295" w:lineRule="auto"/>
        <w:ind w:left="440" w:right="1"/>
        <w:rPr>
          <w:rFonts w:hint="eastAsia" w:ascii="MS UI Gothic" w:eastAsia="MS UI Gothic"/>
        </w:rPr>
      </w:pPr>
      <w:r>
        <w:t>第九十五条 违反本法规定</w:t>
      </w:r>
      <w:r>
        <w:rPr>
          <w:rFonts w:hint="eastAsia" w:ascii="MS UI Gothic" w:eastAsia="MS UI Gothic"/>
          <w:w w:val="80"/>
        </w:rPr>
        <w:t xml:space="preserve">ꎬ </w:t>
      </w:r>
      <w:r>
        <w:t>特种设备生产</w:t>
      </w:r>
      <w:r>
        <w:rPr>
          <w:rFonts w:hint="eastAsia" w:ascii="MS UI Gothic" w:eastAsia="MS UI Gothic"/>
          <w:w w:val="80"/>
        </w:rPr>
        <w:t xml:space="preserve">、 </w:t>
      </w:r>
      <w:r>
        <w:t>经营</w:t>
      </w:r>
      <w:r>
        <w:rPr>
          <w:rFonts w:hint="eastAsia" w:ascii="MS UI Gothic" w:eastAsia="MS UI Gothic"/>
          <w:w w:val="80"/>
        </w:rPr>
        <w:t xml:space="preserve">、 </w:t>
      </w:r>
      <w:r>
        <w:t>使用单位或者检验</w:t>
      </w:r>
      <w:r>
        <w:rPr>
          <w:rFonts w:hint="eastAsia" w:ascii="MS UI Gothic" w:eastAsia="MS UI Gothic"/>
          <w:w w:val="80"/>
        </w:rPr>
        <w:t xml:space="preserve">、 </w:t>
      </w:r>
      <w:r>
        <w:t>检测机构拒不接受负责特种设备安全监督管理的部门依法实施的监督检查的</w:t>
      </w:r>
      <w:r>
        <w:rPr>
          <w:rFonts w:hint="eastAsia" w:ascii="MS UI Gothic" w:eastAsia="MS UI Gothic"/>
          <w:w w:val="80"/>
        </w:rPr>
        <w:t xml:space="preserve">ꎬ </w:t>
      </w:r>
      <w:r>
        <w:t>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责令停产停业整顿</w:t>
      </w:r>
      <w:r>
        <w:rPr>
          <w:rFonts w:hint="eastAsia" w:ascii="MS UI Gothic" w:eastAsia="MS UI Gothic"/>
          <w:w w:val="80"/>
        </w:rPr>
        <w:t xml:space="preserve">ꎬ </w:t>
      </w:r>
      <w:r>
        <w:t>处二万元以上二十万元以下罚款</w:t>
      </w:r>
      <w:r>
        <w:rPr>
          <w:rFonts w:hint="eastAsia" w:ascii="MS UI Gothic" w:eastAsia="MS UI Gothic"/>
          <w:w w:val="80"/>
        </w:rPr>
        <w:t>ꎮ</w:t>
      </w:r>
    </w:p>
    <w:p>
      <w:pPr>
        <w:pStyle w:val="6"/>
        <w:spacing w:line="295" w:lineRule="auto"/>
        <w:ind w:left="440"/>
        <w:rPr>
          <w:rFonts w:hint="eastAsia" w:ascii="MS UI Gothic" w:eastAsia="MS UI Gothic"/>
        </w:rPr>
      </w:pPr>
      <w:r>
        <w:t>特种设备生产</w:t>
      </w:r>
      <w:r>
        <w:rPr>
          <w:rFonts w:hint="eastAsia" w:ascii="MS UI Gothic" w:eastAsia="MS UI Gothic"/>
          <w:w w:val="80"/>
        </w:rPr>
        <w:t xml:space="preserve">、 </w:t>
      </w:r>
      <w:r>
        <w:t>经营</w:t>
      </w:r>
      <w:r>
        <w:rPr>
          <w:rFonts w:hint="eastAsia" w:ascii="MS UI Gothic" w:eastAsia="MS UI Gothic"/>
          <w:w w:val="80"/>
        </w:rPr>
        <w:t xml:space="preserve">、 </w:t>
      </w:r>
      <w:r>
        <w:t>使用单位擅自动用</w:t>
      </w:r>
      <w:r>
        <w:rPr>
          <w:rFonts w:hint="eastAsia" w:ascii="MS UI Gothic" w:eastAsia="MS UI Gothic"/>
          <w:w w:val="80"/>
        </w:rPr>
        <w:t xml:space="preserve">、 </w:t>
      </w:r>
      <w:r>
        <w:t>调换</w:t>
      </w:r>
      <w:r>
        <w:rPr>
          <w:rFonts w:hint="eastAsia" w:ascii="MS UI Gothic" w:eastAsia="MS UI Gothic"/>
          <w:w w:val="80"/>
        </w:rPr>
        <w:t xml:space="preserve">、 </w:t>
      </w:r>
      <w:r>
        <w:t>转移</w:t>
      </w:r>
      <w:r>
        <w:rPr>
          <w:rFonts w:hint="eastAsia" w:ascii="MS UI Gothic" w:eastAsia="MS UI Gothic"/>
          <w:w w:val="80"/>
        </w:rPr>
        <w:t xml:space="preserve">、 </w:t>
      </w:r>
      <w:r>
        <w:t>损毁被查封</w:t>
      </w:r>
      <w:r>
        <w:rPr>
          <w:rFonts w:hint="eastAsia" w:ascii="MS UI Gothic" w:eastAsia="MS UI Gothic"/>
          <w:w w:val="80"/>
        </w:rPr>
        <w:t xml:space="preserve">、  </w:t>
      </w:r>
      <w:r>
        <w:t>扣押的特种设备或者其主要部件的</w:t>
      </w:r>
      <w:r>
        <w:rPr>
          <w:rFonts w:hint="eastAsia" w:ascii="MS UI Gothic" w:eastAsia="MS UI Gothic"/>
          <w:w w:val="80"/>
        </w:rPr>
        <w:t xml:space="preserve">ꎬ </w:t>
      </w:r>
      <w:r>
        <w:t>责令改正</w:t>
      </w:r>
      <w:r>
        <w:rPr>
          <w:rFonts w:hint="eastAsia" w:ascii="MS UI Gothic" w:eastAsia="MS UI Gothic"/>
          <w:w w:val="80"/>
        </w:rPr>
        <w:t>ꎬ</w:t>
      </w:r>
      <w:r>
        <w:t>处五万元以上二十万元以下罚款</w:t>
      </w:r>
      <w:r>
        <w:rPr>
          <w:rFonts w:hint="eastAsia" w:ascii="MS UI Gothic" w:eastAsia="MS UI Gothic"/>
          <w:w w:val="80"/>
        </w:rPr>
        <w:t xml:space="preserve">ꎻ </w:t>
      </w:r>
      <w:r>
        <w:t>情节严重的</w:t>
      </w:r>
      <w:r>
        <w:rPr>
          <w:rFonts w:hint="eastAsia" w:ascii="MS UI Gothic" w:eastAsia="MS UI Gothic"/>
          <w:w w:val="80"/>
        </w:rPr>
        <w:t xml:space="preserve">ꎬ </w:t>
      </w:r>
      <w:r>
        <w:t>吊销生产许可证</w:t>
      </w:r>
      <w:r>
        <w:rPr>
          <w:rFonts w:hint="eastAsia" w:ascii="MS UI Gothic" w:eastAsia="MS UI Gothic"/>
          <w:w w:val="80"/>
        </w:rPr>
        <w:t xml:space="preserve">ꎬ </w:t>
      </w:r>
      <w:r>
        <w:t>注销特种设备使用登记证书</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t>第九十六条 违反本法规定</w:t>
      </w:r>
      <w:r>
        <w:rPr>
          <w:rFonts w:hint="eastAsia" w:ascii="MS UI Gothic" w:eastAsia="MS UI Gothic"/>
          <w:w w:val="80"/>
        </w:rPr>
        <w:t xml:space="preserve">ꎬ </w:t>
      </w:r>
      <w:r>
        <w:t>被依法吊销许可证的</w:t>
      </w:r>
      <w:r>
        <w:rPr>
          <w:rFonts w:hint="eastAsia" w:ascii="MS UI Gothic" w:eastAsia="MS UI Gothic"/>
          <w:w w:val="80"/>
        </w:rPr>
        <w:t xml:space="preserve">ꎬ </w:t>
      </w:r>
      <w:r>
        <w:t>自吊销许可证之日起三年内</w:t>
      </w:r>
      <w:r>
        <w:rPr>
          <w:rFonts w:hint="eastAsia" w:ascii="MS UI Gothic" w:eastAsia="MS UI Gothic"/>
          <w:w w:val="80"/>
        </w:rPr>
        <w:t xml:space="preserve">ꎬ </w:t>
      </w:r>
      <w:r>
        <w:t>负责特种设备安全监督管理的部门不予受理其新的许可申请</w:t>
      </w:r>
      <w:r>
        <w:rPr>
          <w:rFonts w:hint="eastAsia" w:ascii="MS UI Gothic" w:eastAsia="MS UI Gothic"/>
          <w:w w:val="80"/>
        </w:rPr>
        <w:t>ꎮ</w:t>
      </w:r>
    </w:p>
    <w:p>
      <w:pPr>
        <w:pStyle w:val="6"/>
        <w:spacing w:line="295" w:lineRule="auto"/>
        <w:ind w:left="381" w:right="126"/>
        <w:rPr>
          <w:rFonts w:hint="eastAsia" w:ascii="MS UI Gothic" w:eastAsia="MS UI Gothic"/>
        </w:rPr>
      </w:pPr>
      <w:r>
        <w:t>第九十七条 违反本法规定</w:t>
      </w:r>
      <w:r>
        <w:rPr>
          <w:rFonts w:hint="eastAsia" w:ascii="MS UI Gothic" w:eastAsia="MS UI Gothic"/>
          <w:w w:val="80"/>
        </w:rPr>
        <w:t xml:space="preserve">ꎬ </w:t>
      </w:r>
      <w:r>
        <w:t>造成人身</w:t>
      </w:r>
      <w:r>
        <w:rPr>
          <w:rFonts w:hint="eastAsia" w:ascii="MS UI Gothic" w:eastAsia="MS UI Gothic"/>
        </w:rPr>
        <w:t xml:space="preserve">、 </w:t>
      </w:r>
      <w:r>
        <w:t>财产损害的</w:t>
      </w:r>
      <w:r>
        <w:rPr>
          <w:rFonts w:hint="eastAsia" w:ascii="MS UI Gothic" w:eastAsia="MS UI Gothic"/>
          <w:w w:val="80"/>
        </w:rPr>
        <w:t xml:space="preserve">ꎬ </w:t>
      </w:r>
      <w:r>
        <w:t>依法承担民事责任</w:t>
      </w:r>
      <w:r>
        <w:rPr>
          <w:rFonts w:hint="eastAsia" w:ascii="MS UI Gothic" w:eastAsia="MS UI Gothic"/>
          <w:w w:val="80"/>
        </w:rPr>
        <w:t>ꎮ</w:t>
      </w:r>
    </w:p>
    <w:p>
      <w:pPr>
        <w:pStyle w:val="6"/>
        <w:spacing w:line="295" w:lineRule="auto"/>
        <w:ind w:left="381" w:right="126"/>
        <w:rPr>
          <w:rFonts w:hint="eastAsia" w:ascii="MS UI Gothic" w:eastAsia="MS UI Gothic"/>
        </w:rPr>
      </w:pPr>
      <w:r>
        <w:t>违反本法规定</w:t>
      </w:r>
      <w:r>
        <w:rPr>
          <w:rFonts w:hint="eastAsia" w:ascii="MS UI Gothic" w:eastAsia="MS UI Gothic"/>
          <w:w w:val="80"/>
        </w:rPr>
        <w:t xml:space="preserve">ꎬ </w:t>
      </w:r>
      <w:r>
        <w:t>应当承担民事赔偿责任和缴纳罚款</w:t>
      </w:r>
      <w:r>
        <w:rPr>
          <w:rFonts w:hint="eastAsia" w:ascii="MS UI Gothic" w:eastAsia="MS UI Gothic"/>
          <w:w w:val="80"/>
        </w:rPr>
        <w:t xml:space="preserve">、 </w:t>
      </w:r>
      <w:r>
        <w:t>罚金</w:t>
      </w:r>
      <w:r>
        <w:rPr>
          <w:rFonts w:hint="eastAsia" w:ascii="MS UI Gothic" w:eastAsia="MS UI Gothic"/>
          <w:w w:val="80"/>
        </w:rPr>
        <w:t xml:space="preserve">ꎬ </w:t>
      </w:r>
      <w:r>
        <w:t>其财产不足以同时支付时</w:t>
      </w:r>
      <w:r>
        <w:rPr>
          <w:rFonts w:hint="eastAsia" w:ascii="MS UI Gothic" w:eastAsia="MS UI Gothic"/>
          <w:w w:val="80"/>
        </w:rPr>
        <w:t xml:space="preserve">ꎬ </w:t>
      </w:r>
      <w:r>
        <w:t>先承担民事赔偿责任</w:t>
      </w:r>
      <w:r>
        <w:rPr>
          <w:rFonts w:hint="eastAsia" w:ascii="MS UI Gothic" w:eastAsia="MS UI Gothic"/>
          <w:w w:val="80"/>
        </w:rPr>
        <w:t>ꎮ</w:t>
      </w:r>
    </w:p>
    <w:p>
      <w:pPr>
        <w:pStyle w:val="6"/>
        <w:spacing w:line="295" w:lineRule="auto"/>
        <w:ind w:left="381" w:right="126"/>
        <w:rPr>
          <w:rFonts w:hint="eastAsia" w:ascii="MS UI Gothic" w:eastAsia="MS UI Gothic"/>
        </w:rPr>
      </w:pPr>
      <w:r>
        <w:t>第九十八条 违反本法规定</w:t>
      </w:r>
      <w:r>
        <w:rPr>
          <w:rFonts w:hint="eastAsia" w:ascii="MS UI Gothic" w:eastAsia="MS UI Gothic"/>
          <w:w w:val="80"/>
        </w:rPr>
        <w:t xml:space="preserve">ꎬ </w:t>
      </w:r>
      <w:r>
        <w:t>构成违反治安管理行为的</w:t>
      </w:r>
      <w:r>
        <w:rPr>
          <w:rFonts w:hint="eastAsia" w:ascii="MS UI Gothic" w:eastAsia="MS UI Gothic"/>
          <w:w w:val="80"/>
        </w:rPr>
        <w:t xml:space="preserve">ꎬ </w:t>
      </w:r>
      <w:r>
        <w:t>依法给予治安管理处罚</w:t>
      </w:r>
      <w:r>
        <w:rPr>
          <w:rFonts w:hint="eastAsia" w:ascii="MS UI Gothic" w:eastAsia="MS UI Gothic"/>
          <w:w w:val="80"/>
        </w:rPr>
        <w:t xml:space="preserve">ꎻ </w:t>
      </w:r>
      <w:r>
        <w:t>构成犯罪的</w:t>
      </w:r>
      <w:r>
        <w:rPr>
          <w:rFonts w:hint="eastAsia" w:ascii="MS UI Gothic" w:eastAsia="MS UI Gothic"/>
          <w:w w:val="80"/>
        </w:rPr>
        <w:t xml:space="preserve">ꎬ </w:t>
      </w:r>
      <w:r>
        <w:t>依法追究刑事责任</w:t>
      </w:r>
      <w:r>
        <w:rPr>
          <w:rFonts w:hint="eastAsia" w:ascii="MS UI Gothic" w:eastAsia="MS UI Gothic"/>
          <w:w w:val="80"/>
        </w:rPr>
        <w:t>ꎮ</w:t>
      </w:r>
    </w:p>
    <w:p>
      <w:pPr>
        <w:pStyle w:val="6"/>
        <w:tabs>
          <w:tab w:val="left" w:pos="2267"/>
          <w:tab w:val="left" w:pos="2896"/>
        </w:tabs>
        <w:spacing w:before="148"/>
        <w:ind w:left="1429" w:firstLine="0"/>
        <w:jc w:val="left"/>
      </w:pPr>
      <w:r>
        <w:rPr>
          <w:spacing w:val="3"/>
          <w:w w:val="105"/>
        </w:rPr>
        <w:t>第七</w:t>
      </w:r>
      <w:r>
        <w:rPr>
          <w:w w:val="105"/>
        </w:rPr>
        <w:t>章</w:t>
      </w:r>
      <w:r>
        <w:rPr>
          <w:w w:val="105"/>
        </w:rPr>
        <w:tab/>
      </w:r>
      <w:r>
        <w:rPr>
          <w:w w:val="105"/>
        </w:rPr>
        <w:t>附</w:t>
      </w:r>
      <w:r>
        <w:rPr>
          <w:w w:val="105"/>
        </w:rPr>
        <w:tab/>
      </w:r>
      <w:r>
        <w:rPr>
          <w:w w:val="105"/>
        </w:rPr>
        <w:t>则</w:t>
      </w:r>
    </w:p>
    <w:p>
      <w:pPr>
        <w:pStyle w:val="6"/>
        <w:spacing w:before="215" w:line="295" w:lineRule="auto"/>
        <w:ind w:left="381" w:right="126"/>
        <w:rPr>
          <w:rFonts w:hint="eastAsia" w:ascii="MS UI Gothic" w:eastAsia="MS UI Gothic"/>
        </w:rPr>
      </w:pPr>
      <w:r>
        <w:t>第九十九条 特种设备行政许可</w:t>
      </w:r>
      <w:r>
        <w:rPr>
          <w:rFonts w:hint="eastAsia" w:ascii="MS UI Gothic" w:eastAsia="MS UI Gothic"/>
          <w:w w:val="80"/>
        </w:rPr>
        <w:t xml:space="preserve">、 </w:t>
      </w:r>
      <w:r>
        <w:t>检验的收费</w:t>
      </w:r>
      <w:r>
        <w:rPr>
          <w:rFonts w:hint="eastAsia" w:ascii="MS UI Gothic" w:eastAsia="MS UI Gothic"/>
          <w:w w:val="80"/>
        </w:rPr>
        <w:t xml:space="preserve">ꎬ </w:t>
      </w:r>
      <w:r>
        <w:t>依照法律</w:t>
      </w:r>
      <w:r>
        <w:rPr>
          <w:rFonts w:hint="eastAsia" w:ascii="MS UI Gothic" w:eastAsia="MS UI Gothic"/>
          <w:w w:val="80"/>
        </w:rPr>
        <w:t xml:space="preserve">、 </w:t>
      </w:r>
      <w:r>
        <w:t>行政法规的规定执行</w:t>
      </w:r>
      <w:r>
        <w:rPr>
          <w:rFonts w:hint="eastAsia" w:ascii="MS UI Gothic" w:eastAsia="MS UI Gothic"/>
          <w:w w:val="80"/>
        </w:rPr>
        <w:t>ꎮ</w:t>
      </w:r>
    </w:p>
    <w:p>
      <w:pPr>
        <w:pStyle w:val="6"/>
        <w:spacing w:line="295" w:lineRule="auto"/>
        <w:ind w:left="381" w:right="126"/>
        <w:rPr>
          <w:rFonts w:hint="eastAsia" w:ascii="MS UI Gothic" w:eastAsia="MS UI Gothic"/>
        </w:rPr>
      </w:pPr>
      <w:r>
        <w:t>第一百条 军事装备</w:t>
      </w:r>
      <w:r>
        <w:rPr>
          <w:rFonts w:hint="eastAsia" w:ascii="MS UI Gothic" w:eastAsia="MS UI Gothic"/>
          <w:w w:val="80"/>
        </w:rPr>
        <w:t xml:space="preserve">、 </w:t>
      </w:r>
      <w:r>
        <w:t>核设施</w:t>
      </w:r>
      <w:r>
        <w:rPr>
          <w:rFonts w:hint="eastAsia" w:ascii="MS UI Gothic" w:eastAsia="MS UI Gothic"/>
          <w:w w:val="80"/>
        </w:rPr>
        <w:t xml:space="preserve">、  </w:t>
      </w:r>
      <w:r>
        <w:t>航空航天器使用的特种设备安全的监督管理不适用本法</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铁路机车</w:t>
      </w:r>
      <w:r>
        <w:rPr>
          <w:rFonts w:hint="eastAsia" w:ascii="MS UI Gothic" w:eastAsia="MS UI Gothic"/>
          <w:w w:val="80"/>
        </w:rPr>
        <w:t xml:space="preserve">、 </w:t>
      </w:r>
      <w:r>
        <w:rPr>
          <w:w w:val="105"/>
        </w:rPr>
        <w:t>海上设施和船舶</w:t>
      </w:r>
      <w:r>
        <w:rPr>
          <w:rFonts w:hint="eastAsia" w:ascii="MS UI Gothic" w:eastAsia="MS UI Gothic"/>
          <w:w w:val="80"/>
        </w:rPr>
        <w:t xml:space="preserve">、 </w:t>
      </w:r>
      <w:r>
        <w:rPr>
          <w:w w:val="105"/>
        </w:rPr>
        <w:t>矿山井</w:t>
      </w:r>
      <w:r>
        <w:t>下使用的特种设备以及民用机场专用设备</w:t>
      </w:r>
      <w:r>
        <w:rPr>
          <w:w w:val="105"/>
        </w:rPr>
        <w:t>安全的监督管理</w:t>
      </w:r>
      <w:r>
        <w:rPr>
          <w:rFonts w:hint="eastAsia" w:ascii="MS UI Gothic" w:eastAsia="MS UI Gothic"/>
          <w:w w:val="80"/>
        </w:rPr>
        <w:t xml:space="preserve">ꎬ </w:t>
      </w:r>
      <w:r>
        <w:rPr>
          <w:w w:val="105"/>
        </w:rPr>
        <w:t>房屋建筑工地</w:t>
      </w:r>
      <w:r>
        <w:rPr>
          <w:rFonts w:hint="eastAsia" w:ascii="MS UI Gothic" w:eastAsia="MS UI Gothic"/>
          <w:w w:val="80"/>
        </w:rPr>
        <w:t xml:space="preserve">、 </w:t>
      </w:r>
      <w:r>
        <w:rPr>
          <w:w w:val="105"/>
        </w:rPr>
        <w:t xml:space="preserve">市政工程工地用起重机械和场 </w:t>
      </w:r>
      <w:r>
        <w:rPr>
          <w:rFonts w:hint="eastAsia" w:ascii="MS UI Gothic" w:eastAsia="MS UI Gothic"/>
          <w:w w:val="150"/>
        </w:rPr>
        <w:t xml:space="preserve">( </w:t>
      </w:r>
      <w:r>
        <w:rPr>
          <w:w w:val="105"/>
        </w:rPr>
        <w:t>厂</w:t>
      </w:r>
      <w:r>
        <w:rPr>
          <w:rFonts w:hint="eastAsia" w:ascii="MS UI Gothic" w:eastAsia="MS UI Gothic"/>
          <w:w w:val="150"/>
        </w:rPr>
        <w:t xml:space="preserve">) </w:t>
      </w:r>
      <w:r>
        <w:rPr>
          <w:w w:val="105"/>
        </w:rPr>
        <w:t>内专用机动车辆的安装</w:t>
      </w:r>
      <w:r>
        <w:rPr>
          <w:rFonts w:hint="eastAsia" w:ascii="MS UI Gothic" w:eastAsia="MS UI Gothic"/>
          <w:w w:val="80"/>
        </w:rPr>
        <w:t xml:space="preserve">、 </w:t>
      </w:r>
      <w:r>
        <w:rPr>
          <w:w w:val="105"/>
        </w:rPr>
        <w:t>使用的监督管理</w:t>
      </w:r>
      <w:r>
        <w:rPr>
          <w:rFonts w:hint="eastAsia" w:ascii="MS UI Gothic" w:eastAsia="MS UI Gothic"/>
          <w:w w:val="80"/>
        </w:rPr>
        <w:t xml:space="preserve">ꎬ </w:t>
      </w:r>
      <w:r>
        <w:rPr>
          <w:w w:val="105"/>
        </w:rPr>
        <w:t>由有关</w:t>
      </w:r>
      <w:r>
        <w:t>部门依照本法和其他有关法律的规定</w:t>
      </w:r>
      <w:r>
        <w:rPr>
          <w:w w:val="105"/>
        </w:rPr>
        <w:t>实施</w:t>
      </w:r>
      <w:r>
        <w:rPr>
          <w:rFonts w:hint="eastAsia" w:ascii="MS UI Gothic" w:eastAsia="MS UI Gothic"/>
          <w:w w:val="80"/>
        </w:rPr>
        <w:t>ꎮ</w:t>
      </w:r>
    </w:p>
    <w:p>
      <w:pPr>
        <w:pStyle w:val="6"/>
        <w:spacing w:line="295" w:lineRule="auto"/>
        <w:ind w:left="536" w:right="126" w:firstLine="263"/>
        <w:rPr>
          <w:rFonts w:hint="eastAsia" w:ascii="MS UI Gothic" w:eastAsia="MS UI Gothic"/>
        </w:rPr>
      </w:pPr>
      <w:r>
        <w:pict>
          <v:shape id="_x0000_s2405" o:spid="_x0000_s2405" o:spt="202" type="#_x0000_t202" style="position:absolute;left:0pt;margin-left:280.35pt;margin-top:12pt;height:24.35pt;width:5.15pt;mso-position-horizontal-relative:page;z-index:252217344;mso-width-relative:page;mso-height-relative:page;" filled="f" stroked="f" coordsize="21600,21600">
            <v:path/>
            <v:fill on="f" focussize="0,0"/>
            <v:stroke on="f" joinstyle="miter"/>
            <v:imagedata o:title=""/>
            <o:lock v:ext="edit"/>
            <v:textbox inset="0mm,0mm,0mm,0mm">
              <w:txbxContent>
                <w:p>
                  <w:pPr>
                    <w:pStyle w:val="6"/>
                    <w:spacing w:before="74"/>
                    <w:ind w:left="0" w:firstLine="0"/>
                    <w:jc w:val="left"/>
                    <w:rPr>
                      <w:rFonts w:hint="eastAsia" w:ascii="MS UI Gothic" w:eastAsia="MS UI Gothic"/>
                    </w:rPr>
                  </w:pPr>
                  <w:r>
                    <w:rPr>
                      <w:rFonts w:hint="eastAsia" w:ascii="MS UI Gothic" w:eastAsia="MS UI Gothic"/>
                      <w:w w:val="75"/>
                    </w:rPr>
                    <w:t>１</w:t>
                  </w:r>
                </w:p>
              </w:txbxContent>
            </v:textbox>
          </v:shape>
        </w:pict>
      </w:r>
      <w:r>
        <w:rPr>
          <w:w w:val="95"/>
        </w:rPr>
        <w:t xml:space="preserve">第一百零一条 本法自 </w:t>
      </w:r>
      <w:r>
        <w:rPr>
          <w:rFonts w:hint="eastAsia" w:ascii="MS UI Gothic" w:eastAsia="MS UI Gothic"/>
          <w:w w:val="95"/>
        </w:rPr>
        <w:t xml:space="preserve">２０１４ </w:t>
      </w:r>
      <w:r>
        <w:rPr>
          <w:w w:val="95"/>
        </w:rPr>
        <w:t xml:space="preserve">年 </w:t>
      </w:r>
      <w:r>
        <w:rPr>
          <w:rFonts w:hint="eastAsia" w:ascii="MS UI Gothic" w:eastAsia="MS UI Gothic"/>
          <w:w w:val="95"/>
        </w:rPr>
        <w:t xml:space="preserve">１ </w:t>
      </w:r>
      <w:r>
        <w:rPr>
          <w:w w:val="95"/>
        </w:rPr>
        <w:t>月日起施行</w:t>
      </w:r>
      <w:r>
        <w:rPr>
          <w:rFonts w:hint="eastAsia" w:ascii="MS UI Gothic" w:eastAsia="MS UI Gothic"/>
          <w:w w:val="9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4"/>
        <w:spacing w:before="278"/>
        <w:ind w:left="286"/>
        <w:rPr>
          <w:rFonts w:hint="eastAsia" w:ascii="Microsoft Yi Baiti" w:eastAsia="Microsoft Yi Baiti"/>
        </w:rPr>
      </w:pPr>
      <w:r>
        <w:t xml:space="preserve">特种设备安全监察条例 </w:t>
      </w:r>
      <w:r>
        <w:rPr>
          <w:rFonts w:hint="eastAsia" w:ascii="Microsoft Yi Baiti" w:eastAsia="Microsoft Yi Baiti"/>
        </w:rPr>
        <w:t>(</w:t>
      </w:r>
      <w:r>
        <w:rPr>
          <w:rFonts w:hint="eastAsia" w:ascii="MS UI Gothic" w:eastAsia="MS UI Gothic"/>
        </w:rPr>
        <w:t xml:space="preserve">２００９ </w:t>
      </w:r>
      <w:r>
        <w:t>年修订</w:t>
      </w:r>
      <w:r>
        <w:rPr>
          <w:rFonts w:hint="eastAsia" w:ascii="Microsoft Yi Baiti" w:eastAsia="Microsoft Yi Baiti"/>
        </w:rPr>
        <w:t>)</w:t>
      </w:r>
    </w:p>
    <w:p>
      <w:pPr>
        <w:pStyle w:val="6"/>
        <w:spacing w:before="366"/>
        <w:ind w:left="860" w:firstLine="0"/>
        <w:jc w:val="left"/>
      </w:pPr>
      <w:r>
        <w:rPr>
          <w:rFonts w:hint="eastAsia" w:ascii="Microsoft Yi Baiti" w:eastAsia="Microsoft Yi Baiti"/>
          <w:spacing w:val="2"/>
        </w:rPr>
        <w:t>(</w:t>
      </w:r>
      <w:r>
        <w:rPr>
          <w:rFonts w:hint="eastAsia" w:ascii="MS UI Gothic" w:eastAsia="MS UI Gothic"/>
          <w:spacing w:val="-5"/>
        </w:rPr>
        <w:t xml:space="preserve">２００３ </w:t>
      </w:r>
      <w:r>
        <w:rPr>
          <w:spacing w:val="-36"/>
        </w:rPr>
        <w:t xml:space="preserve">年 </w:t>
      </w:r>
      <w:r>
        <w:rPr>
          <w:rFonts w:hint="eastAsia" w:ascii="MS UI Gothic" w:eastAsia="MS UI Gothic"/>
          <w:spacing w:val="-15"/>
        </w:rPr>
        <w:t xml:space="preserve">３ </w:t>
      </w:r>
      <w:r>
        <w:rPr>
          <w:spacing w:val="-36"/>
        </w:rPr>
        <w:t xml:space="preserve">月 </w:t>
      </w:r>
      <w:r>
        <w:rPr>
          <w:rFonts w:hint="eastAsia" w:ascii="MS UI Gothic" w:eastAsia="MS UI Gothic"/>
          <w:spacing w:val="-10"/>
        </w:rPr>
        <w:t xml:space="preserve">１１ </w:t>
      </w:r>
      <w:r>
        <w:rPr>
          <w:spacing w:val="-4"/>
        </w:rPr>
        <w:t xml:space="preserve">日中华人民共和国国务院令第 </w:t>
      </w:r>
      <w:r>
        <w:rPr>
          <w:rFonts w:hint="eastAsia" w:ascii="MS UI Gothic" w:eastAsia="MS UI Gothic"/>
          <w:spacing w:val="-7"/>
        </w:rPr>
        <w:t xml:space="preserve">３７３ </w:t>
      </w:r>
      <w:r>
        <w:rPr>
          <w:spacing w:val="-15"/>
        </w:rPr>
        <w:t xml:space="preserve">号公布 根据 </w:t>
      </w:r>
      <w:r>
        <w:rPr>
          <w:rFonts w:hint="eastAsia" w:ascii="MS UI Gothic" w:eastAsia="MS UI Gothic"/>
          <w:spacing w:val="-5"/>
        </w:rPr>
        <w:t xml:space="preserve">２００９ </w:t>
      </w:r>
      <w:r>
        <w:rPr>
          <w:spacing w:val="-35"/>
        </w:rPr>
        <w:t xml:space="preserve">年 </w:t>
      </w:r>
      <w:r>
        <w:rPr>
          <w:rFonts w:hint="eastAsia" w:ascii="MS UI Gothic" w:eastAsia="MS UI Gothic"/>
          <w:spacing w:val="-13"/>
        </w:rPr>
        <w:t xml:space="preserve">１ </w:t>
      </w:r>
      <w:r>
        <w:rPr>
          <w:spacing w:val="-35"/>
        </w:rPr>
        <w:t xml:space="preserve">月 </w:t>
      </w:r>
      <w:r>
        <w:rPr>
          <w:rFonts w:hint="eastAsia" w:ascii="MS UI Gothic" w:eastAsia="MS UI Gothic"/>
          <w:spacing w:val="-9"/>
        </w:rPr>
        <w:t xml:space="preserve">２４ </w:t>
      </w:r>
      <w:r>
        <w:t>日</w:t>
      </w:r>
    </w:p>
    <w:p>
      <w:pPr>
        <w:pStyle w:val="6"/>
        <w:spacing w:before="58"/>
        <w:ind w:left="440" w:firstLine="0"/>
        <w:jc w:val="left"/>
        <w:rPr>
          <w:rFonts w:hint="eastAsia" w:ascii="Microsoft Yi Baiti" w:hAnsi="Microsoft Yi Baiti" w:eastAsia="Microsoft Yi Baiti"/>
        </w:rPr>
      </w:pPr>
      <w:r>
        <w:rPr>
          <w:rFonts w:hint="eastAsia" w:ascii="Microsoft Yi Baiti" w:hAnsi="Microsoft Yi Baiti" w:eastAsia="Microsoft Yi Baiti"/>
          <w:spacing w:val="-42"/>
          <w:w w:val="115"/>
        </w:rPr>
        <w:t xml:space="preserve">« </w:t>
      </w:r>
      <w:r>
        <w:rPr>
          <w:spacing w:val="-2"/>
          <w:w w:val="115"/>
        </w:rPr>
        <w:t xml:space="preserve">国务院关于修改 </w:t>
      </w:r>
      <w:r>
        <w:rPr>
          <w:rFonts w:hint="eastAsia" w:ascii="Microsoft Yi Baiti" w:hAnsi="Microsoft Yi Baiti" w:eastAsia="Microsoft Yi Baiti"/>
          <w:spacing w:val="-77"/>
          <w:w w:val="195"/>
        </w:rPr>
        <w:t xml:space="preserve">‹ </w:t>
      </w:r>
      <w:r>
        <w:rPr>
          <w:spacing w:val="3"/>
          <w:w w:val="115"/>
        </w:rPr>
        <w:t>特种设备安全监察条例</w:t>
      </w:r>
      <w:r>
        <w:rPr>
          <w:rFonts w:hint="eastAsia" w:ascii="Microsoft Yi Baiti" w:hAnsi="Microsoft Yi Baiti" w:eastAsia="Microsoft Yi Baiti"/>
          <w:spacing w:val="-34"/>
          <w:w w:val="195"/>
        </w:rPr>
        <w:t xml:space="preserve">› </w:t>
      </w:r>
      <w:r>
        <w:rPr>
          <w:spacing w:val="3"/>
          <w:w w:val="115"/>
        </w:rPr>
        <w:t>的决定</w:t>
      </w:r>
      <w:r>
        <w:rPr>
          <w:rFonts w:hint="eastAsia" w:ascii="Microsoft Yi Baiti" w:hAnsi="Microsoft Yi Baiti" w:eastAsia="Microsoft Yi Baiti"/>
          <w:spacing w:val="2"/>
          <w:w w:val="115"/>
        </w:rPr>
        <w:t xml:space="preserve">» </w:t>
      </w:r>
      <w:r>
        <w:rPr>
          <w:spacing w:val="3"/>
          <w:w w:val="115"/>
        </w:rPr>
        <w:t>修订</w:t>
      </w:r>
      <w:r>
        <w:rPr>
          <w:rFonts w:hint="eastAsia" w:ascii="Microsoft Yi Baiti" w:hAnsi="Microsoft Yi Baiti" w:eastAsia="Microsoft Yi Baiti"/>
          <w:w w:val="115"/>
        </w:rPr>
        <w:t>)</w:t>
      </w:r>
    </w:p>
    <w:p>
      <w:pPr>
        <w:pStyle w:val="6"/>
        <w:spacing w:before="3"/>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327"/>
          <w:tab w:val="left" w:pos="2956"/>
        </w:tabs>
        <w:ind w:left="1488" w:firstLine="0"/>
        <w:jc w:val="left"/>
      </w:pPr>
      <w:r>
        <w:rPr>
          <w:spacing w:val="3"/>
          <w:w w:val="105"/>
        </w:rPr>
        <w:t>第一</w:t>
      </w:r>
      <w:r>
        <w:rPr>
          <w:w w:val="105"/>
        </w:rPr>
        <w:t>章</w:t>
      </w:r>
      <w:r>
        <w:rPr>
          <w:w w:val="105"/>
        </w:rPr>
        <w:tab/>
      </w:r>
      <w:r>
        <w:rPr>
          <w:w w:val="105"/>
        </w:rPr>
        <w:t>总</w:t>
      </w:r>
      <w:r>
        <w:rPr>
          <w:w w:val="105"/>
        </w:rPr>
        <w:tab/>
      </w:r>
      <w:r>
        <w:rPr>
          <w:w w:val="105"/>
        </w:rPr>
        <w:t>则</w:t>
      </w:r>
    </w:p>
    <w:p>
      <w:pPr>
        <w:pStyle w:val="6"/>
        <w:tabs>
          <w:tab w:val="left" w:pos="1698"/>
        </w:tabs>
        <w:spacing w:before="216"/>
        <w:ind w:left="860" w:firstLine="0"/>
        <w:jc w:val="left"/>
      </w:pPr>
      <w:r>
        <w:rPr>
          <w:spacing w:val="3"/>
          <w:w w:val="105"/>
        </w:rPr>
        <w:t>第一</w:t>
      </w:r>
      <w:r>
        <w:rPr>
          <w:w w:val="105"/>
        </w:rPr>
        <w:t>条</w:t>
      </w:r>
      <w:r>
        <w:rPr>
          <w:w w:val="105"/>
        </w:rPr>
        <w:tab/>
      </w:r>
      <w:r>
        <w:rPr>
          <w:spacing w:val="3"/>
        </w:rPr>
        <w:t>为了加强特种设备的安全</w:t>
      </w:r>
      <w:r>
        <w:t>监</w:t>
      </w:r>
    </w:p>
    <w:p>
      <w:pPr>
        <w:pStyle w:val="6"/>
        <w:spacing w:before="175" w:line="295" w:lineRule="auto"/>
        <w:ind w:left="383" w:right="126" w:firstLine="0"/>
        <w:rPr>
          <w:rFonts w:hint="eastAsia" w:ascii="MS UI Gothic" w:eastAsia="MS UI Gothic"/>
        </w:rPr>
      </w:pPr>
      <w:r>
        <w:br w:type="column"/>
      </w:r>
      <w:r>
        <w:t>察</w:t>
      </w:r>
      <w:r>
        <w:rPr>
          <w:rFonts w:hint="eastAsia" w:ascii="MS UI Gothic" w:eastAsia="MS UI Gothic"/>
          <w:w w:val="80"/>
        </w:rPr>
        <w:t xml:space="preserve">ꎬ </w:t>
      </w:r>
      <w:r>
        <w:t>防止和减少事故</w:t>
      </w:r>
      <w:r>
        <w:rPr>
          <w:rFonts w:hint="eastAsia" w:ascii="MS UI Gothic" w:eastAsia="MS UI Gothic"/>
          <w:w w:val="80"/>
        </w:rPr>
        <w:t xml:space="preserve">ꎬ </w:t>
      </w:r>
      <w:r>
        <w:t>保障人民群众生命和财产安全</w:t>
      </w:r>
      <w:r>
        <w:rPr>
          <w:rFonts w:hint="eastAsia" w:ascii="MS UI Gothic" w:eastAsia="MS UI Gothic"/>
          <w:w w:val="80"/>
        </w:rPr>
        <w:t xml:space="preserve">ꎬ </w:t>
      </w:r>
      <w:r>
        <w:t>促进经济发展</w:t>
      </w:r>
      <w:r>
        <w:rPr>
          <w:rFonts w:hint="eastAsia" w:ascii="MS UI Gothic" w:eastAsia="MS UI Gothic"/>
          <w:w w:val="80"/>
        </w:rPr>
        <w:t xml:space="preserve">ꎬ </w:t>
      </w:r>
      <w:r>
        <w:t>制定本条例</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４６８</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406" o:spid="_x0000_s2406" o:spt="203" style="height:2.15pt;width:398.25pt;" coordsize="7965,43">
            <o:lock v:ext="edit"/>
            <v:line id="_x0000_s2407" o:spid="_x0000_s2407" o:spt="20" style="position:absolute;left:0;top:39;height:0;width:7965;" stroked="t" coordsize="21600,21600">
              <v:path arrowok="t"/>
              <v:fill focussize="0,0"/>
              <v:stroke weight="0.388031496062992pt" color="#231F20"/>
              <v:imagedata o:title=""/>
              <o:lock v:ext="edit"/>
            </v:line>
            <v:line id="_x0000_s2408" o:spid="_x0000_s240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8"/>
        <w:rPr>
          <w:rFonts w:hint="eastAsia" w:ascii="MS UI Gothic" w:eastAsia="MS UI Gothic"/>
        </w:rPr>
      </w:pPr>
      <w:r>
        <w:rPr>
          <w:w w:val="105"/>
        </w:rPr>
        <w:t>第二条 本条例所称特种设备是指涉及生命安全</w:t>
      </w:r>
      <w:r>
        <w:rPr>
          <w:rFonts w:hint="eastAsia" w:ascii="MS UI Gothic" w:eastAsia="MS UI Gothic"/>
          <w:w w:val="80"/>
        </w:rPr>
        <w:t xml:space="preserve">、 </w:t>
      </w:r>
      <w:r>
        <w:rPr>
          <w:w w:val="105"/>
        </w:rPr>
        <w:t>危险性较大的锅炉</w:t>
      </w:r>
      <w:r>
        <w:rPr>
          <w:rFonts w:hint="eastAsia" w:ascii="MS UI Gothic" w:eastAsia="MS UI Gothic"/>
          <w:w w:val="80"/>
        </w:rPr>
        <w:t xml:space="preserve">、 </w:t>
      </w:r>
      <w:r>
        <w:rPr>
          <w:w w:val="105"/>
        </w:rPr>
        <w:t xml:space="preserve">压力容器 </w:t>
      </w:r>
      <w:r>
        <w:rPr>
          <w:rFonts w:hint="eastAsia" w:ascii="MS UI Gothic" w:eastAsia="MS UI Gothic"/>
          <w:w w:val="150"/>
        </w:rPr>
        <w:t xml:space="preserve">( </w:t>
      </w:r>
      <w:r>
        <w:rPr>
          <w:w w:val="105"/>
        </w:rPr>
        <w:t>含气瓶</w:t>
      </w:r>
      <w:r>
        <w:rPr>
          <w:rFonts w:hint="eastAsia" w:ascii="MS UI Gothic" w:eastAsia="MS UI Gothic"/>
          <w:w w:val="80"/>
        </w:rPr>
        <w:t xml:space="preserve">ꎬ </w:t>
      </w:r>
      <w:r>
        <w:rPr>
          <w:w w:val="105"/>
        </w:rPr>
        <w:t>下同</w:t>
      </w:r>
      <w:r>
        <w:rPr>
          <w:rFonts w:hint="eastAsia" w:ascii="MS UI Gothic" w:eastAsia="MS UI Gothic"/>
          <w:w w:val="150"/>
        </w:rPr>
        <w:t>)</w:t>
      </w:r>
      <w:r>
        <w:rPr>
          <w:rFonts w:hint="eastAsia" w:ascii="MS UI Gothic" w:eastAsia="MS UI Gothic"/>
          <w:w w:val="80"/>
        </w:rPr>
        <w:t xml:space="preserve">、 </w:t>
      </w:r>
      <w:r>
        <w:rPr>
          <w:w w:val="105"/>
        </w:rPr>
        <w:t>压力管道</w:t>
      </w:r>
      <w:r>
        <w:rPr>
          <w:rFonts w:hint="eastAsia" w:ascii="MS UI Gothic" w:eastAsia="MS UI Gothic"/>
          <w:w w:val="80"/>
        </w:rPr>
        <w:t xml:space="preserve">、 </w:t>
      </w:r>
      <w:r>
        <w:rPr>
          <w:w w:val="105"/>
        </w:rPr>
        <w:t>电梯</w:t>
      </w:r>
      <w:r>
        <w:rPr>
          <w:rFonts w:hint="eastAsia" w:ascii="MS UI Gothic" w:eastAsia="MS UI Gothic"/>
          <w:w w:val="80"/>
        </w:rPr>
        <w:t>、</w:t>
      </w:r>
      <w:r>
        <w:rPr>
          <w:w w:val="105"/>
        </w:rPr>
        <w:t>起重机械</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大型游乐设施和场</w:t>
      </w:r>
      <w:r>
        <w:rPr>
          <w:rFonts w:hint="eastAsia" w:ascii="MS UI Gothic" w:eastAsia="MS UI Gothic"/>
          <w:w w:val="150"/>
        </w:rPr>
        <w:t xml:space="preserve">( </w:t>
      </w:r>
      <w:r>
        <w:rPr>
          <w:w w:val="105"/>
        </w:rPr>
        <w:t>厂</w:t>
      </w:r>
      <w:r>
        <w:rPr>
          <w:rFonts w:hint="eastAsia" w:ascii="MS UI Gothic" w:eastAsia="MS UI Gothic"/>
          <w:w w:val="150"/>
        </w:rPr>
        <w:t xml:space="preserve">) </w:t>
      </w:r>
      <w:r>
        <w:rPr>
          <w:w w:val="105"/>
        </w:rPr>
        <w:t>内专用机动车辆</w:t>
      </w:r>
      <w:r>
        <w:rPr>
          <w:rFonts w:hint="eastAsia" w:ascii="MS UI Gothic" w:eastAsia="MS UI Gothic"/>
          <w:w w:val="80"/>
        </w:rPr>
        <w:t>ꎮ</w:t>
      </w:r>
    </w:p>
    <w:p>
      <w:pPr>
        <w:pStyle w:val="6"/>
        <w:spacing w:line="295" w:lineRule="auto"/>
        <w:ind w:right="39"/>
        <w:rPr>
          <w:rFonts w:hint="eastAsia" w:ascii="MS UI Gothic" w:eastAsia="MS UI Gothic"/>
        </w:rPr>
      </w:pPr>
      <w:r>
        <w:t>前款特种设备的目录由国务院负责特</w:t>
      </w:r>
      <w:r>
        <w:rPr>
          <w:w w:val="105"/>
        </w:rPr>
        <w:t xml:space="preserve">种设备安全监督管理的部门 </w:t>
      </w:r>
      <w:r>
        <w:rPr>
          <w:rFonts w:hint="eastAsia" w:ascii="MS UI Gothic" w:eastAsia="MS UI Gothic"/>
          <w:w w:val="150"/>
        </w:rPr>
        <w:t xml:space="preserve">( </w:t>
      </w:r>
      <w:r>
        <w:rPr>
          <w:w w:val="105"/>
        </w:rPr>
        <w:t>以下简称国务院特种设备安全监督管理部门</w:t>
      </w:r>
      <w:r>
        <w:rPr>
          <w:rFonts w:hint="eastAsia" w:ascii="MS UI Gothic" w:eastAsia="MS UI Gothic"/>
          <w:w w:val="150"/>
        </w:rPr>
        <w:t xml:space="preserve">) </w:t>
      </w:r>
      <w:r>
        <w:rPr>
          <w:w w:val="105"/>
        </w:rPr>
        <w:t>制订</w:t>
      </w:r>
      <w:r>
        <w:rPr>
          <w:rFonts w:hint="eastAsia" w:ascii="MS UI Gothic" w:eastAsia="MS UI Gothic"/>
          <w:w w:val="80"/>
        </w:rPr>
        <w:t xml:space="preserve">ꎬ </w:t>
      </w:r>
      <w:r>
        <w:rPr>
          <w:w w:val="105"/>
        </w:rPr>
        <w:t>报国务院批准后执行</w:t>
      </w:r>
      <w:r>
        <w:rPr>
          <w:rFonts w:hint="eastAsia" w:ascii="MS UI Gothic" w:eastAsia="MS UI Gothic"/>
          <w:w w:val="80"/>
        </w:rPr>
        <w:t>ꎮ</w:t>
      </w:r>
    </w:p>
    <w:p>
      <w:pPr>
        <w:pStyle w:val="6"/>
        <w:spacing w:line="295" w:lineRule="auto"/>
        <w:ind w:right="38"/>
        <w:rPr>
          <w:rFonts w:hint="eastAsia" w:ascii="MS UI Gothic" w:eastAsia="MS UI Gothic"/>
        </w:rPr>
      </w:pPr>
      <w:r>
        <w:t xml:space="preserve">第三条 特种设备的生产 </w:t>
      </w:r>
      <w:r>
        <w:rPr>
          <w:rFonts w:hint="eastAsia" w:ascii="MS UI Gothic" w:eastAsia="MS UI Gothic"/>
          <w:w w:val="150"/>
        </w:rPr>
        <w:t xml:space="preserve">( </w:t>
      </w:r>
      <w:r>
        <w:t>含设计</w:t>
      </w:r>
      <w:r>
        <w:rPr>
          <w:rFonts w:hint="eastAsia" w:ascii="MS UI Gothic" w:eastAsia="MS UI Gothic"/>
          <w:w w:val="80"/>
        </w:rPr>
        <w:t>、</w:t>
      </w:r>
      <w:r>
        <w:t>制造</w:t>
      </w:r>
      <w:r>
        <w:rPr>
          <w:rFonts w:hint="eastAsia" w:ascii="MS UI Gothic" w:eastAsia="MS UI Gothic"/>
          <w:w w:val="80"/>
        </w:rPr>
        <w:t xml:space="preserve">、 </w:t>
      </w:r>
      <w:r>
        <w:t>安装</w:t>
      </w:r>
      <w:r>
        <w:rPr>
          <w:rFonts w:hint="eastAsia" w:ascii="MS UI Gothic" w:eastAsia="MS UI Gothic"/>
          <w:w w:val="80"/>
        </w:rPr>
        <w:t xml:space="preserve">、 </w:t>
      </w:r>
      <w:r>
        <w:t>改造</w:t>
      </w:r>
      <w:r>
        <w:rPr>
          <w:rFonts w:hint="eastAsia" w:ascii="MS UI Gothic" w:eastAsia="MS UI Gothic"/>
          <w:w w:val="80"/>
        </w:rPr>
        <w:t xml:space="preserve">、 </w:t>
      </w:r>
      <w:r>
        <w:t>维修</w:t>
      </w:r>
      <w:r>
        <w:rPr>
          <w:rFonts w:hint="eastAsia" w:ascii="MS UI Gothic" w:eastAsia="MS UI Gothic"/>
          <w:w w:val="80"/>
        </w:rPr>
        <w:t xml:space="preserve">ꎬ  </w:t>
      </w:r>
      <w:r>
        <w:t>下同</w:t>
      </w:r>
      <w:r>
        <w:rPr>
          <w:rFonts w:hint="eastAsia" w:ascii="MS UI Gothic" w:eastAsia="MS UI Gothic"/>
          <w:w w:val="150"/>
        </w:rPr>
        <w:t>)</w:t>
      </w:r>
      <w:r>
        <w:rPr>
          <w:rFonts w:hint="eastAsia" w:ascii="MS UI Gothic" w:eastAsia="MS UI Gothic"/>
          <w:w w:val="80"/>
        </w:rPr>
        <w:t xml:space="preserve">、  </w:t>
      </w:r>
      <w:r>
        <w:t>使用</w:t>
      </w:r>
      <w:r>
        <w:rPr>
          <w:rFonts w:hint="eastAsia" w:ascii="MS UI Gothic" w:eastAsia="MS UI Gothic"/>
          <w:w w:val="80"/>
        </w:rPr>
        <w:t xml:space="preserve">、 </w:t>
      </w:r>
      <w:r>
        <w:t>检验检测及其监督检查</w:t>
      </w:r>
      <w:r>
        <w:rPr>
          <w:rFonts w:hint="eastAsia" w:ascii="MS UI Gothic" w:eastAsia="MS UI Gothic"/>
          <w:w w:val="80"/>
        </w:rPr>
        <w:t xml:space="preserve">ꎬ </w:t>
      </w:r>
      <w:r>
        <w:t>应当遵守本条例</w:t>
      </w:r>
      <w:r>
        <w:rPr>
          <w:rFonts w:hint="eastAsia" w:ascii="MS UI Gothic" w:eastAsia="MS UI Gothic"/>
          <w:w w:val="80"/>
        </w:rPr>
        <w:t xml:space="preserve">ꎬ </w:t>
      </w:r>
      <w:r>
        <w:t>但本条例另有规定的除外</w:t>
      </w:r>
      <w:r>
        <w:rPr>
          <w:rFonts w:hint="eastAsia" w:ascii="MS UI Gothic" w:eastAsia="MS UI Gothic"/>
          <w:w w:val="80"/>
        </w:rPr>
        <w:t>ꎮ</w:t>
      </w:r>
    </w:p>
    <w:p>
      <w:pPr>
        <w:pStyle w:val="6"/>
        <w:spacing w:line="295" w:lineRule="auto"/>
        <w:ind w:right="39"/>
        <w:rPr>
          <w:rFonts w:hint="eastAsia" w:ascii="MS UI Gothic" w:eastAsia="MS UI Gothic"/>
        </w:rPr>
      </w:pPr>
      <w:r>
        <w:t>军事装备</w:t>
      </w:r>
      <w:r>
        <w:rPr>
          <w:rFonts w:hint="eastAsia" w:ascii="MS UI Gothic" w:eastAsia="MS UI Gothic"/>
          <w:w w:val="80"/>
        </w:rPr>
        <w:t xml:space="preserve">、 </w:t>
      </w:r>
      <w:r>
        <w:t>核设施</w:t>
      </w:r>
      <w:r>
        <w:rPr>
          <w:rFonts w:hint="eastAsia" w:ascii="MS UI Gothic" w:eastAsia="MS UI Gothic"/>
          <w:w w:val="80"/>
        </w:rPr>
        <w:t xml:space="preserve">、 </w:t>
      </w:r>
      <w:r>
        <w:t>航空航天器</w:t>
      </w:r>
      <w:r>
        <w:rPr>
          <w:rFonts w:hint="eastAsia" w:ascii="MS UI Gothic" w:eastAsia="MS UI Gothic"/>
          <w:w w:val="80"/>
        </w:rPr>
        <w:t xml:space="preserve">、 </w:t>
      </w:r>
      <w:r>
        <w:t>铁路机车</w:t>
      </w:r>
      <w:r>
        <w:rPr>
          <w:rFonts w:hint="eastAsia" w:ascii="MS UI Gothic" w:eastAsia="MS UI Gothic"/>
          <w:w w:val="80"/>
        </w:rPr>
        <w:t xml:space="preserve">、 </w:t>
      </w:r>
      <w:r>
        <w:t>海上设施和船舶以及矿山井下使用的特种设备</w:t>
      </w:r>
      <w:r>
        <w:rPr>
          <w:rFonts w:hint="eastAsia" w:ascii="MS UI Gothic" w:eastAsia="MS UI Gothic"/>
          <w:w w:val="80"/>
        </w:rPr>
        <w:t xml:space="preserve">、 </w:t>
      </w:r>
      <w:r>
        <w:t>民用机场专用设备的安全监察不适用本条例</w:t>
      </w:r>
      <w:r>
        <w:rPr>
          <w:rFonts w:hint="eastAsia" w:ascii="MS UI Gothic" w:eastAsia="MS UI Gothic"/>
          <w:w w:val="80"/>
        </w:rPr>
        <w:t>ꎮ</w:t>
      </w:r>
    </w:p>
    <w:p>
      <w:pPr>
        <w:pStyle w:val="6"/>
        <w:spacing w:line="295" w:lineRule="auto"/>
        <w:ind w:right="38"/>
        <w:rPr>
          <w:rFonts w:hint="eastAsia" w:ascii="MS UI Gothic" w:eastAsia="MS UI Gothic"/>
        </w:rPr>
      </w:pPr>
      <w:r>
        <w:t>房屋建筑工地和市政工程工地用起重</w:t>
      </w:r>
      <w:r>
        <w:rPr>
          <w:w w:val="105"/>
        </w:rPr>
        <w:t>机械</w:t>
      </w:r>
      <w:r>
        <w:rPr>
          <w:rFonts w:hint="eastAsia" w:ascii="MS UI Gothic" w:eastAsia="MS UI Gothic"/>
          <w:w w:val="80"/>
        </w:rPr>
        <w:t xml:space="preserve">、 </w:t>
      </w:r>
      <w:r>
        <w:rPr>
          <w:w w:val="105"/>
        </w:rPr>
        <w:t xml:space="preserve">场 </w:t>
      </w:r>
      <w:r>
        <w:rPr>
          <w:rFonts w:hint="eastAsia" w:ascii="MS UI Gothic" w:eastAsia="MS UI Gothic"/>
          <w:w w:val="150"/>
        </w:rPr>
        <w:t xml:space="preserve">( </w:t>
      </w:r>
      <w:r>
        <w:rPr>
          <w:w w:val="105"/>
        </w:rPr>
        <w:t>厂</w:t>
      </w:r>
      <w:r>
        <w:rPr>
          <w:rFonts w:hint="eastAsia" w:ascii="MS UI Gothic" w:eastAsia="MS UI Gothic"/>
          <w:w w:val="150"/>
        </w:rPr>
        <w:t xml:space="preserve">) </w:t>
      </w:r>
      <w:r>
        <w:rPr>
          <w:w w:val="105"/>
        </w:rPr>
        <w:t>内专用机动车辆的安装</w:t>
      </w:r>
      <w:r>
        <w:rPr>
          <w:rFonts w:hint="eastAsia" w:ascii="MS UI Gothic" w:eastAsia="MS UI Gothic"/>
          <w:w w:val="80"/>
        </w:rPr>
        <w:t>、</w:t>
      </w:r>
      <w:r>
        <w:t>使用的监督管理</w:t>
      </w:r>
      <w:r>
        <w:rPr>
          <w:rFonts w:hint="eastAsia" w:ascii="MS UI Gothic" w:eastAsia="MS UI Gothic"/>
          <w:w w:val="80"/>
        </w:rPr>
        <w:t xml:space="preserve">ꎬ </w:t>
      </w:r>
      <w:r>
        <w:t>由建设行政主管部门依</w:t>
      </w:r>
      <w:r>
        <w:rPr>
          <w:w w:val="105"/>
        </w:rPr>
        <w:t>照有关法律</w:t>
      </w:r>
      <w:r>
        <w:rPr>
          <w:rFonts w:hint="eastAsia" w:ascii="MS UI Gothic" w:eastAsia="MS UI Gothic"/>
          <w:w w:val="80"/>
        </w:rPr>
        <w:t xml:space="preserve">、 </w:t>
      </w:r>
      <w:r>
        <w:rPr>
          <w:w w:val="105"/>
        </w:rPr>
        <w:t>法规的规定执行</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第四条 国务院特种设备安全监督管</w:t>
      </w:r>
      <w:r>
        <w:rPr>
          <w:spacing w:val="11"/>
        </w:rPr>
        <w:t>理部门负责全国特种设备的安全监察工</w:t>
      </w:r>
      <w:r>
        <w:rPr>
          <w:spacing w:val="3"/>
        </w:rPr>
        <w:t>作</w:t>
      </w:r>
      <w:r>
        <w:rPr>
          <w:rFonts w:hint="eastAsia" w:ascii="MS UI Gothic" w:eastAsia="MS UI Gothic"/>
          <w:spacing w:val="21"/>
          <w:w w:val="80"/>
        </w:rPr>
        <w:t xml:space="preserve">ꎬ </w:t>
      </w:r>
      <w:r>
        <w:rPr>
          <w:spacing w:val="2"/>
        </w:rPr>
        <w:t>县以上地方负责特种设备安全监督管理的部门对本行政区域内特种设备实施安</w:t>
      </w:r>
      <w:r>
        <w:rPr>
          <w:spacing w:val="-5"/>
          <w:w w:val="105"/>
        </w:rPr>
        <w:t xml:space="preserve">全监察 </w:t>
      </w:r>
      <w:r>
        <w:rPr>
          <w:rFonts w:hint="eastAsia" w:ascii="MS UI Gothic" w:eastAsia="MS UI Gothic"/>
          <w:spacing w:val="-37"/>
          <w:w w:val="150"/>
        </w:rPr>
        <w:t xml:space="preserve">( </w:t>
      </w:r>
      <w:r>
        <w:rPr>
          <w:spacing w:val="15"/>
          <w:w w:val="105"/>
        </w:rPr>
        <w:t>以下统称特种设备安全监督管</w:t>
      </w:r>
      <w:r>
        <w:rPr>
          <w:spacing w:val="3"/>
          <w:w w:val="105"/>
        </w:rPr>
        <w:t>理部门</w:t>
      </w:r>
      <w:r>
        <w:rPr>
          <w:rFonts w:hint="eastAsia" w:ascii="MS UI Gothic" w:eastAsia="MS UI Gothic"/>
          <w:spacing w:val="-36"/>
          <w:w w:val="150"/>
        </w:rPr>
        <w:t xml:space="preserve">) </w:t>
      </w:r>
      <w:r>
        <w:rPr>
          <w:rFonts w:hint="eastAsia" w:ascii="MS UI Gothic" w:eastAsia="MS UI Gothic"/>
          <w:w w:val="80"/>
        </w:rPr>
        <w:t>ꎮ</w:t>
      </w:r>
    </w:p>
    <w:p>
      <w:pPr>
        <w:pStyle w:val="6"/>
        <w:spacing w:line="295" w:lineRule="auto"/>
        <w:ind w:right="39"/>
        <w:rPr>
          <w:rFonts w:hint="eastAsia" w:ascii="MS UI Gothic" w:eastAsia="MS UI Gothic"/>
        </w:rPr>
      </w:pPr>
      <w:r>
        <w:t>第五条 特种设备生产</w:t>
      </w:r>
      <w:r>
        <w:rPr>
          <w:rFonts w:hint="eastAsia" w:ascii="MS UI Gothic" w:eastAsia="MS UI Gothic"/>
          <w:w w:val="80"/>
        </w:rPr>
        <w:t xml:space="preserve">、 </w:t>
      </w:r>
      <w:r>
        <w:t>使用单位应当建立健全特种设备安全</w:t>
      </w:r>
      <w:r>
        <w:rPr>
          <w:rFonts w:hint="eastAsia" w:ascii="MS UI Gothic" w:eastAsia="MS UI Gothic"/>
          <w:w w:val="80"/>
        </w:rPr>
        <w:t xml:space="preserve">、 </w:t>
      </w:r>
      <w:r>
        <w:t>节能管理制度和岗位安全</w:t>
      </w:r>
      <w:r>
        <w:rPr>
          <w:rFonts w:hint="eastAsia" w:ascii="MS UI Gothic" w:eastAsia="MS UI Gothic"/>
          <w:w w:val="80"/>
        </w:rPr>
        <w:t xml:space="preserve">、 </w:t>
      </w:r>
      <w:r>
        <w:t>节能责任制度</w:t>
      </w:r>
      <w:r>
        <w:rPr>
          <w:rFonts w:hint="eastAsia" w:ascii="MS UI Gothic" w:eastAsia="MS UI Gothic"/>
          <w:w w:val="80"/>
        </w:rPr>
        <w:t>ꎮ</w:t>
      </w:r>
    </w:p>
    <w:p>
      <w:pPr>
        <w:pStyle w:val="6"/>
        <w:spacing w:line="295" w:lineRule="auto"/>
        <w:ind w:right="39"/>
        <w:rPr>
          <w:rFonts w:hint="eastAsia" w:ascii="MS UI Gothic" w:eastAsia="MS UI Gothic"/>
        </w:rPr>
      </w:pPr>
      <w:r>
        <w:rPr>
          <w:w w:val="105"/>
        </w:rPr>
        <w:t>特种设备生产</w:t>
      </w:r>
      <w:r>
        <w:rPr>
          <w:rFonts w:hint="eastAsia" w:ascii="MS UI Gothic" w:eastAsia="MS UI Gothic"/>
          <w:w w:val="80"/>
        </w:rPr>
        <w:t xml:space="preserve">、 </w:t>
      </w:r>
      <w:r>
        <w:rPr>
          <w:w w:val="105"/>
        </w:rPr>
        <w:t>使用单位的主要负责</w:t>
      </w:r>
      <w:r>
        <w:t>人应当对本单位特种设备的安全和节能全</w:t>
      </w:r>
      <w:r>
        <w:rPr>
          <w:w w:val="105"/>
        </w:rPr>
        <w:t>面负责</w:t>
      </w:r>
      <w:r>
        <w:rPr>
          <w:rFonts w:hint="eastAsia" w:ascii="MS UI Gothic" w:eastAsia="MS UI Gothic"/>
          <w:w w:val="80"/>
        </w:rPr>
        <w:t>ꎮ</w:t>
      </w:r>
    </w:p>
    <w:p>
      <w:pPr>
        <w:pStyle w:val="6"/>
        <w:spacing w:line="295" w:lineRule="auto"/>
        <w:ind w:right="39"/>
        <w:rPr>
          <w:rFonts w:hint="eastAsia" w:ascii="MS UI Gothic" w:eastAsia="MS UI Gothic"/>
        </w:rPr>
      </w:pPr>
      <w:r>
        <w:rPr>
          <w:w w:val="105"/>
        </w:rPr>
        <w:t>特种设备生产</w:t>
      </w:r>
      <w:r>
        <w:rPr>
          <w:rFonts w:hint="eastAsia" w:ascii="MS UI Gothic" w:eastAsia="MS UI Gothic"/>
          <w:w w:val="80"/>
        </w:rPr>
        <w:t xml:space="preserve">、 </w:t>
      </w:r>
      <w:r>
        <w:rPr>
          <w:w w:val="105"/>
        </w:rPr>
        <w:t>使用单位和特种设备</w:t>
      </w:r>
      <w:r>
        <w:t>检验检测机构</w:t>
      </w:r>
      <w:r>
        <w:rPr>
          <w:rFonts w:hint="eastAsia" w:ascii="MS UI Gothic" w:eastAsia="MS UI Gothic"/>
          <w:w w:val="80"/>
        </w:rPr>
        <w:t xml:space="preserve">ꎬ </w:t>
      </w:r>
      <w:r>
        <w:t>应当接受特种设备安全监督管理部门依法进行的特种设备安全</w:t>
      </w:r>
      <w:r>
        <w:rPr>
          <w:w w:val="105"/>
        </w:rPr>
        <w:t>监察</w:t>
      </w:r>
      <w:r>
        <w:rPr>
          <w:rFonts w:hint="eastAsia" w:ascii="MS UI Gothic" w:eastAsia="MS UI Gothic"/>
          <w:w w:val="80"/>
        </w:rPr>
        <w:t>ꎮ</w:t>
      </w:r>
    </w:p>
    <w:p>
      <w:pPr>
        <w:pStyle w:val="6"/>
        <w:spacing w:line="295" w:lineRule="auto"/>
        <w:ind w:right="38"/>
        <w:rPr>
          <w:rFonts w:hint="eastAsia" w:ascii="MS UI Gothic" w:eastAsia="MS UI Gothic"/>
        </w:rPr>
      </w:pPr>
      <w:r>
        <w:t>第六条 特种设备检验检测机构</w:t>
      </w:r>
      <w:r>
        <w:rPr>
          <w:rFonts w:hint="eastAsia" w:ascii="MS UI Gothic" w:eastAsia="MS UI Gothic"/>
          <w:w w:val="80"/>
        </w:rPr>
        <w:t xml:space="preserve">ꎬ </w:t>
      </w:r>
      <w:r>
        <w:t>应当依照本条例规定</w:t>
      </w:r>
      <w:r>
        <w:rPr>
          <w:rFonts w:hint="eastAsia" w:ascii="MS UI Gothic" w:eastAsia="MS UI Gothic"/>
          <w:w w:val="80"/>
        </w:rPr>
        <w:t xml:space="preserve">ꎬ </w:t>
      </w:r>
      <w:r>
        <w:t>进行检验检测工作</w:t>
      </w:r>
      <w:r>
        <w:rPr>
          <w:rFonts w:hint="eastAsia" w:ascii="MS UI Gothic" w:eastAsia="MS UI Gothic"/>
          <w:w w:val="80"/>
        </w:rPr>
        <w:t>ꎬ</w:t>
      </w:r>
    </w:p>
    <w:p>
      <w:pPr>
        <w:pStyle w:val="6"/>
        <w:spacing w:before="123" w:line="295" w:lineRule="auto"/>
        <w:ind w:right="442" w:firstLine="0"/>
        <w:rPr>
          <w:rFonts w:hint="eastAsia" w:ascii="MS UI Gothic" w:eastAsia="MS UI Gothic"/>
        </w:rPr>
      </w:pPr>
      <w:r>
        <w:br w:type="column"/>
      </w:r>
      <w:r>
        <w:rPr>
          <w:spacing w:val="12"/>
        </w:rPr>
        <w:t>对其检验检测结果</w:t>
      </w:r>
      <w:r>
        <w:rPr>
          <w:rFonts w:hint="eastAsia" w:ascii="MS UI Gothic" w:eastAsia="MS UI Gothic"/>
          <w:spacing w:val="22"/>
          <w:w w:val="80"/>
        </w:rPr>
        <w:t xml:space="preserve">、 </w:t>
      </w:r>
      <w:r>
        <w:rPr>
          <w:spacing w:val="16"/>
        </w:rPr>
        <w:t>鉴定结论承担法律</w:t>
      </w:r>
      <w:r>
        <w:rPr>
          <w:spacing w:val="3"/>
        </w:rPr>
        <w:t>责任</w:t>
      </w:r>
      <w:r>
        <w:rPr>
          <w:rFonts w:hint="eastAsia" w:ascii="MS UI Gothic" w:eastAsia="MS UI Gothic"/>
          <w:w w:val="80"/>
        </w:rPr>
        <w:t>ꎮ</w:t>
      </w:r>
    </w:p>
    <w:p>
      <w:pPr>
        <w:pStyle w:val="6"/>
        <w:spacing w:line="295" w:lineRule="auto"/>
        <w:ind w:right="440"/>
        <w:rPr>
          <w:rFonts w:hint="eastAsia" w:ascii="MS UI Gothic" w:eastAsia="MS UI Gothic"/>
        </w:rPr>
      </w:pPr>
      <w:r>
        <w:rPr>
          <w:spacing w:val="2"/>
          <w:w w:val="105"/>
        </w:rPr>
        <w:t>第七条 县级以上地方人民政府应当</w:t>
      </w:r>
      <w:r>
        <w:rPr>
          <w:spacing w:val="3"/>
          <w:w w:val="105"/>
        </w:rPr>
        <w:t>督促</w:t>
      </w:r>
      <w:r>
        <w:rPr>
          <w:rFonts w:hint="eastAsia" w:ascii="MS UI Gothic" w:eastAsia="MS UI Gothic"/>
          <w:spacing w:val="-2"/>
          <w:w w:val="80"/>
        </w:rPr>
        <w:t xml:space="preserve">、 </w:t>
      </w:r>
      <w:r>
        <w:rPr>
          <w:spacing w:val="2"/>
          <w:w w:val="105"/>
        </w:rPr>
        <w:t>支持特种设备安全监督管理部门依</w:t>
      </w:r>
      <w:r>
        <w:rPr>
          <w:spacing w:val="3"/>
        </w:rPr>
        <w:t>法履行安全监察职责</w:t>
      </w:r>
      <w:r>
        <w:rPr>
          <w:rFonts w:hint="eastAsia" w:ascii="MS UI Gothic" w:eastAsia="MS UI Gothic"/>
          <w:spacing w:val="19"/>
          <w:w w:val="80"/>
        </w:rPr>
        <w:t xml:space="preserve">ꎬ </w:t>
      </w:r>
      <w:r>
        <w:rPr>
          <w:spacing w:val="2"/>
        </w:rPr>
        <w:t>对特种设备安全监</w:t>
      </w:r>
      <w:r>
        <w:rPr>
          <w:spacing w:val="33"/>
        </w:rPr>
        <w:t>察中存在的重大问题及时予以协调</w:t>
      </w:r>
      <w:r>
        <w:rPr>
          <w:rFonts w:hint="eastAsia" w:ascii="MS UI Gothic" w:eastAsia="MS UI Gothic"/>
          <w:w w:val="80"/>
        </w:rPr>
        <w:t>、</w:t>
      </w:r>
      <w:r>
        <w:rPr>
          <w:spacing w:val="3"/>
          <w:w w:val="105"/>
        </w:rPr>
        <w:t>解决</w:t>
      </w:r>
      <w:r>
        <w:rPr>
          <w:rFonts w:hint="eastAsia" w:ascii="MS UI Gothic" w:eastAsia="MS UI Gothic"/>
          <w:w w:val="80"/>
        </w:rPr>
        <w:t>ꎮ</w:t>
      </w:r>
    </w:p>
    <w:p>
      <w:pPr>
        <w:pStyle w:val="6"/>
        <w:spacing w:line="295" w:lineRule="auto"/>
        <w:ind w:right="442"/>
        <w:rPr>
          <w:rFonts w:hint="eastAsia" w:ascii="MS UI Gothic" w:eastAsia="MS UI Gothic"/>
        </w:rPr>
      </w:pPr>
      <w:r>
        <w:t>第八条 国家鼓励推行科学的管理方法</w:t>
      </w:r>
      <w:r>
        <w:rPr>
          <w:rFonts w:hint="eastAsia" w:ascii="MS UI Gothic" w:eastAsia="MS UI Gothic"/>
          <w:w w:val="80"/>
        </w:rPr>
        <w:t xml:space="preserve">ꎬ </w:t>
      </w:r>
      <w:r>
        <w:t>采用先进技术</w:t>
      </w:r>
      <w:r>
        <w:rPr>
          <w:rFonts w:hint="eastAsia" w:ascii="MS UI Gothic" w:eastAsia="MS UI Gothic"/>
          <w:w w:val="80"/>
        </w:rPr>
        <w:t xml:space="preserve">ꎬ </w:t>
      </w:r>
      <w:r>
        <w:t>提高特种设备安全性能和管理水平</w:t>
      </w:r>
      <w:r>
        <w:rPr>
          <w:rFonts w:hint="eastAsia" w:ascii="MS UI Gothic" w:eastAsia="MS UI Gothic"/>
          <w:w w:val="80"/>
        </w:rPr>
        <w:t xml:space="preserve">ꎬ </w:t>
      </w:r>
      <w:r>
        <w:t>增强特种设备生产</w:t>
      </w:r>
      <w:r>
        <w:rPr>
          <w:rFonts w:hint="eastAsia" w:ascii="MS UI Gothic" w:eastAsia="MS UI Gothic"/>
          <w:w w:val="80"/>
        </w:rPr>
        <w:t xml:space="preserve">、 </w:t>
      </w:r>
      <w:r>
        <w:t>使用单位防范事故的能力</w:t>
      </w:r>
      <w:r>
        <w:rPr>
          <w:rFonts w:hint="eastAsia" w:ascii="MS UI Gothic" w:eastAsia="MS UI Gothic"/>
          <w:w w:val="80"/>
        </w:rPr>
        <w:t xml:space="preserve">ꎬ </w:t>
      </w:r>
      <w:r>
        <w:t>对取得显著成绩的单位和个人</w:t>
      </w:r>
      <w:r>
        <w:rPr>
          <w:rFonts w:hint="eastAsia" w:ascii="MS UI Gothic" w:eastAsia="MS UI Gothic"/>
          <w:w w:val="80"/>
        </w:rPr>
        <w:t xml:space="preserve">ꎬ </w:t>
      </w:r>
      <w:r>
        <w:t>给予奖励</w:t>
      </w:r>
      <w:r>
        <w:rPr>
          <w:rFonts w:hint="eastAsia" w:ascii="MS UI Gothic" w:eastAsia="MS UI Gothic"/>
          <w:w w:val="80"/>
        </w:rPr>
        <w:t>ꎮ</w:t>
      </w:r>
    </w:p>
    <w:p>
      <w:pPr>
        <w:pStyle w:val="6"/>
        <w:spacing w:line="295" w:lineRule="auto"/>
        <w:ind w:right="440"/>
        <w:rPr>
          <w:rFonts w:hint="eastAsia" w:ascii="MS UI Gothic" w:eastAsia="MS UI Gothic"/>
        </w:rPr>
      </w:pPr>
      <w:r>
        <w:t>国家鼓励特种设备节能技术的研究</w:t>
      </w:r>
      <w:r>
        <w:rPr>
          <w:rFonts w:hint="eastAsia" w:ascii="MS UI Gothic" w:eastAsia="MS UI Gothic"/>
          <w:w w:val="80"/>
        </w:rPr>
        <w:t>、</w:t>
      </w:r>
      <w:r>
        <w:t>开发</w:t>
      </w:r>
      <w:r>
        <w:rPr>
          <w:rFonts w:hint="eastAsia" w:ascii="MS UI Gothic" w:eastAsia="MS UI Gothic"/>
          <w:w w:val="80"/>
        </w:rPr>
        <w:t xml:space="preserve">、 </w:t>
      </w:r>
      <w:r>
        <w:t>示范和推广</w:t>
      </w:r>
      <w:r>
        <w:rPr>
          <w:rFonts w:hint="eastAsia" w:ascii="MS UI Gothic" w:eastAsia="MS UI Gothic"/>
          <w:w w:val="80"/>
        </w:rPr>
        <w:t xml:space="preserve">ꎬ </w:t>
      </w:r>
      <w:r>
        <w:t>促进特种设备节能技术创新和应用</w:t>
      </w:r>
      <w:r>
        <w:rPr>
          <w:rFonts w:hint="eastAsia" w:ascii="MS UI Gothic" w:eastAsia="MS UI Gothic"/>
          <w:w w:val="80"/>
        </w:rPr>
        <w:t>ꎮ</w:t>
      </w:r>
    </w:p>
    <w:p>
      <w:pPr>
        <w:pStyle w:val="6"/>
        <w:spacing w:line="295" w:lineRule="auto"/>
        <w:ind w:right="442"/>
        <w:rPr>
          <w:rFonts w:hint="eastAsia" w:ascii="MS UI Gothic" w:eastAsia="MS UI Gothic"/>
        </w:rPr>
      </w:pPr>
      <w:r>
        <w:t>特种设备生产</w:t>
      </w:r>
      <w:r>
        <w:rPr>
          <w:rFonts w:hint="eastAsia" w:ascii="MS UI Gothic" w:eastAsia="MS UI Gothic"/>
          <w:w w:val="80"/>
        </w:rPr>
        <w:t xml:space="preserve">、 </w:t>
      </w:r>
      <w:r>
        <w:t>使用单位和特种设备检验检测机构</w:t>
      </w:r>
      <w:r>
        <w:rPr>
          <w:rFonts w:hint="eastAsia" w:ascii="MS UI Gothic" w:eastAsia="MS UI Gothic"/>
          <w:w w:val="80"/>
        </w:rPr>
        <w:t xml:space="preserve">ꎬ </w:t>
      </w:r>
      <w:r>
        <w:t>应当保证必要的安全和节能投入</w:t>
      </w:r>
      <w:r>
        <w:rPr>
          <w:rFonts w:hint="eastAsia" w:ascii="MS UI Gothic" w:eastAsia="MS UI Gothic"/>
          <w:w w:val="80"/>
        </w:rPr>
        <w:t>ꎮ</w:t>
      </w:r>
    </w:p>
    <w:p>
      <w:pPr>
        <w:pStyle w:val="6"/>
        <w:spacing w:line="295" w:lineRule="auto"/>
        <w:ind w:right="442"/>
        <w:rPr>
          <w:rFonts w:hint="eastAsia" w:ascii="MS UI Gothic" w:eastAsia="MS UI Gothic"/>
        </w:rPr>
      </w:pPr>
      <w:r>
        <w:t>国家鼓励实行特种设备责任保险制度</w:t>
      </w:r>
      <w:r>
        <w:rPr>
          <w:rFonts w:hint="eastAsia" w:ascii="MS UI Gothic" w:eastAsia="MS UI Gothic"/>
          <w:w w:val="80"/>
        </w:rPr>
        <w:t xml:space="preserve">ꎬ </w:t>
      </w:r>
      <w:r>
        <w:t>提高事故赔付能力</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第九条 任何单位和个人对违反本条</w:t>
      </w:r>
      <w:r>
        <w:t>例规定的行为</w:t>
      </w:r>
      <w:r>
        <w:rPr>
          <w:rFonts w:hint="eastAsia" w:ascii="MS UI Gothic" w:eastAsia="MS UI Gothic"/>
          <w:w w:val="80"/>
        </w:rPr>
        <w:t xml:space="preserve">ꎬ </w:t>
      </w:r>
      <w:r>
        <w:t>有权向特种设备安全监督</w:t>
      </w:r>
      <w:r>
        <w:rPr>
          <w:w w:val="105"/>
        </w:rPr>
        <w:t>管理部门和行政监察等有关部门举报</w:t>
      </w:r>
      <w:r>
        <w:rPr>
          <w:rFonts w:hint="eastAsia" w:ascii="MS UI Gothic" w:eastAsia="MS UI Gothic"/>
          <w:w w:val="80"/>
        </w:rPr>
        <w:t>ꎮ</w:t>
      </w:r>
    </w:p>
    <w:p>
      <w:pPr>
        <w:pStyle w:val="6"/>
        <w:spacing w:line="295" w:lineRule="auto"/>
        <w:ind w:right="442"/>
        <w:rPr>
          <w:rFonts w:hint="eastAsia" w:ascii="MS UI Gothic" w:eastAsia="MS UI Gothic"/>
        </w:rPr>
      </w:pPr>
      <w:r>
        <w:t>特种设备安全监督管理部门应当建立特种设备安全监察举报制度</w:t>
      </w:r>
      <w:r>
        <w:rPr>
          <w:rFonts w:hint="eastAsia" w:ascii="MS UI Gothic" w:eastAsia="MS UI Gothic"/>
          <w:w w:val="80"/>
        </w:rPr>
        <w:t xml:space="preserve">ꎬ </w:t>
      </w:r>
      <w:r>
        <w:t>公布举报电话</w:t>
      </w:r>
      <w:r>
        <w:rPr>
          <w:rFonts w:hint="eastAsia" w:ascii="MS UI Gothic" w:eastAsia="MS UI Gothic"/>
          <w:w w:val="80"/>
        </w:rPr>
        <w:t xml:space="preserve">、 </w:t>
      </w:r>
      <w:r>
        <w:t>信箱或者电子邮件地址</w:t>
      </w:r>
      <w:r>
        <w:rPr>
          <w:rFonts w:hint="eastAsia" w:ascii="MS UI Gothic" w:eastAsia="MS UI Gothic"/>
          <w:w w:val="80"/>
        </w:rPr>
        <w:t xml:space="preserve">ꎬ </w:t>
      </w:r>
      <w:r>
        <w:t>受理对特种设备生产</w:t>
      </w:r>
      <w:r>
        <w:rPr>
          <w:rFonts w:hint="eastAsia" w:ascii="MS UI Gothic" w:eastAsia="MS UI Gothic"/>
          <w:w w:val="80"/>
        </w:rPr>
        <w:t xml:space="preserve">、 </w:t>
      </w:r>
      <w:r>
        <w:t>使用和检验检测违法行为的举报</w:t>
      </w:r>
      <w:r>
        <w:rPr>
          <w:rFonts w:hint="eastAsia" w:ascii="MS UI Gothic" w:eastAsia="MS UI Gothic"/>
          <w:w w:val="80"/>
        </w:rPr>
        <w:t xml:space="preserve">ꎬ </w:t>
      </w:r>
      <w:r>
        <w:t>并及时予以处理</w:t>
      </w:r>
      <w:r>
        <w:rPr>
          <w:rFonts w:hint="eastAsia" w:ascii="MS UI Gothic" w:eastAsia="MS UI Gothic"/>
          <w:w w:val="80"/>
        </w:rPr>
        <w:t>ꎮ</w:t>
      </w:r>
    </w:p>
    <w:p>
      <w:pPr>
        <w:pStyle w:val="6"/>
        <w:spacing w:line="295" w:lineRule="auto"/>
        <w:ind w:right="442"/>
        <w:rPr>
          <w:rFonts w:hint="eastAsia" w:ascii="MS UI Gothic" w:eastAsia="MS UI Gothic"/>
        </w:rPr>
      </w:pPr>
      <w:r>
        <w:t>特种设备安全监督管理部门和行政监察等有关部门应当为举报人保密</w:t>
      </w:r>
      <w:r>
        <w:rPr>
          <w:rFonts w:hint="eastAsia" w:ascii="MS UI Gothic" w:eastAsia="MS UI Gothic"/>
          <w:w w:val="80"/>
        </w:rPr>
        <w:t xml:space="preserve">ꎬ </w:t>
      </w:r>
      <w:r>
        <w:t>并按照</w:t>
      </w:r>
      <w:r>
        <w:rPr>
          <w:w w:val="105"/>
        </w:rPr>
        <w:t>国家有关规定给予奖励</w:t>
      </w:r>
      <w:r>
        <w:rPr>
          <w:rFonts w:hint="eastAsia" w:ascii="MS UI Gothic" w:eastAsia="MS UI Gothic"/>
          <w:w w:val="80"/>
        </w:rPr>
        <w:t>ꎮ</w:t>
      </w:r>
    </w:p>
    <w:p>
      <w:pPr>
        <w:pStyle w:val="6"/>
        <w:tabs>
          <w:tab w:val="left" w:pos="1696"/>
        </w:tabs>
        <w:spacing w:before="133"/>
        <w:ind w:left="858" w:firstLine="0"/>
        <w:jc w:val="left"/>
      </w:pPr>
      <w:r>
        <w:rPr>
          <w:spacing w:val="3"/>
          <w:w w:val="105"/>
        </w:rPr>
        <w:t>第二</w:t>
      </w:r>
      <w:r>
        <w:rPr>
          <w:w w:val="105"/>
        </w:rPr>
        <w:t>章</w:t>
      </w:r>
      <w:r>
        <w:rPr>
          <w:w w:val="105"/>
        </w:rPr>
        <w:tab/>
      </w:r>
      <w:r>
        <w:rPr>
          <w:spacing w:val="3"/>
          <w:w w:val="105"/>
        </w:rPr>
        <w:t>特种设备的生</w:t>
      </w:r>
      <w:r>
        <w:rPr>
          <w:w w:val="105"/>
        </w:rPr>
        <w:t>产</w:t>
      </w:r>
    </w:p>
    <w:p>
      <w:pPr>
        <w:pStyle w:val="6"/>
        <w:spacing w:before="215" w:line="295" w:lineRule="auto"/>
        <w:ind w:right="442"/>
        <w:rPr>
          <w:rFonts w:hint="eastAsia" w:ascii="MS UI Gothic" w:eastAsia="MS UI Gothic"/>
        </w:rPr>
      </w:pPr>
      <w:r>
        <w:rPr>
          <w:w w:val="105"/>
        </w:rPr>
        <w:t>第十条 特种设备生产单位</w:t>
      </w:r>
      <w:r>
        <w:rPr>
          <w:rFonts w:hint="eastAsia" w:ascii="MS UI Gothic" w:eastAsia="MS UI Gothic"/>
          <w:w w:val="80"/>
        </w:rPr>
        <w:t xml:space="preserve">ꎬ </w:t>
      </w:r>
      <w:r>
        <w:rPr>
          <w:w w:val="105"/>
        </w:rPr>
        <w:t>应当依</w:t>
      </w:r>
      <w:r>
        <w:t xml:space="preserve">照本条例规定以及国务院特种设备安全监督管理部门制订并公布的安全技术规范 </w:t>
      </w:r>
      <w:r>
        <w:rPr>
          <w:rFonts w:hint="eastAsia" w:ascii="MS UI Gothic" w:eastAsia="MS UI Gothic"/>
          <w:w w:val="150"/>
        </w:rPr>
        <w:t xml:space="preserve">( </w:t>
      </w:r>
      <w:r>
        <w:rPr>
          <w:w w:val="105"/>
        </w:rPr>
        <w:t>以下简称安全技术规范</w:t>
      </w:r>
      <w:r>
        <w:rPr>
          <w:rFonts w:hint="eastAsia" w:ascii="MS UI Gothic" w:eastAsia="MS UI Gothic"/>
          <w:w w:val="150"/>
        </w:rPr>
        <w:t xml:space="preserve">) </w:t>
      </w:r>
      <w:r>
        <w:rPr>
          <w:w w:val="105"/>
        </w:rPr>
        <w:t>的要求</w:t>
      </w:r>
      <w:r>
        <w:rPr>
          <w:rFonts w:hint="eastAsia" w:ascii="MS UI Gothic" w:eastAsia="MS UI Gothic"/>
          <w:w w:val="80"/>
        </w:rPr>
        <w:t xml:space="preserve">ꎬ </w:t>
      </w:r>
      <w:r>
        <w:rPr>
          <w:w w:val="105"/>
        </w:rPr>
        <w:t>进行生产活动</w:t>
      </w:r>
      <w:r>
        <w:rPr>
          <w:rFonts w:hint="eastAsia" w:ascii="MS UI Gothic" w:eastAsia="MS UI Gothic"/>
          <w:w w:val="80"/>
        </w:rPr>
        <w:t>ꎮ</w:t>
      </w:r>
    </w:p>
    <w:p>
      <w:pPr>
        <w:pStyle w:val="6"/>
        <w:spacing w:line="252" w:lineRule="exact"/>
        <w:ind w:left="543" w:firstLine="0"/>
        <w:jc w:val="left"/>
      </w:pPr>
      <w:r>
        <w:rPr>
          <w:w w:val="105"/>
        </w:rPr>
        <w:t>特种设备生产单位对其生产的特种设</w:t>
      </w:r>
    </w:p>
    <w:p>
      <w:pPr>
        <w:spacing w:after="0" w:line="252"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４６９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09" o:spid="_x0000_s2409" o:spt="203" style="height:2.15pt;width:398.25pt;" coordsize="7965,43">
            <o:lock v:ext="edit"/>
            <v:line id="_x0000_s2410" o:spid="_x0000_s2410" o:spt="20" style="position:absolute;left:0;top:39;height:0;width:7965;" stroked="t" coordsize="21600,21600">
              <v:path arrowok="t"/>
              <v:fill focussize="0,0"/>
              <v:stroke weight="0.388031496062992pt" color="#231F20"/>
              <v:imagedata o:title=""/>
              <o:lock v:ext="edit"/>
            </v:line>
            <v:line id="_x0000_s2411" o:spid="_x0000_s241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t>备的安全性能和能效指标负责</w:t>
      </w:r>
      <w:r>
        <w:rPr>
          <w:rFonts w:hint="eastAsia" w:ascii="MS UI Gothic" w:eastAsia="MS UI Gothic"/>
          <w:w w:val="80"/>
        </w:rPr>
        <w:t xml:space="preserve">ꎬ </w:t>
      </w:r>
      <w:r>
        <w:t>不得生产不符合安全性能要求和能效指标的特种设备</w:t>
      </w:r>
      <w:r>
        <w:rPr>
          <w:rFonts w:hint="eastAsia" w:ascii="MS UI Gothic" w:eastAsia="MS UI Gothic"/>
          <w:w w:val="80"/>
        </w:rPr>
        <w:t xml:space="preserve">ꎬ </w:t>
      </w:r>
      <w:r>
        <w:t>不得生产国家产业政策明令淘汰的特种设备</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第十一条 压力容器的设计单位应当</w:t>
      </w:r>
      <w:r>
        <w:t>经国务院特种设备安全监督管理部门许</w:t>
      </w:r>
      <w:r>
        <w:rPr>
          <w:w w:val="105"/>
        </w:rPr>
        <w:t>可</w:t>
      </w:r>
      <w:r>
        <w:rPr>
          <w:rFonts w:hint="eastAsia" w:ascii="MS UI Gothic" w:eastAsia="MS UI Gothic"/>
          <w:w w:val="80"/>
        </w:rPr>
        <w:t xml:space="preserve">ꎬ </w:t>
      </w:r>
      <w:r>
        <w:rPr>
          <w:w w:val="105"/>
        </w:rPr>
        <w:t>方可从事压力容器的设计活动</w:t>
      </w:r>
      <w:r>
        <w:rPr>
          <w:rFonts w:hint="eastAsia" w:ascii="MS UI Gothic" w:eastAsia="MS UI Gothic"/>
          <w:w w:val="80"/>
        </w:rPr>
        <w:t>ꎮ</w:t>
      </w:r>
    </w:p>
    <w:p>
      <w:pPr>
        <w:pStyle w:val="6"/>
        <w:spacing w:line="295" w:lineRule="auto"/>
        <w:ind w:left="440"/>
        <w:jc w:val="left"/>
        <w:rPr>
          <w:rFonts w:hint="eastAsia" w:ascii="MS UI Gothic" w:eastAsia="MS UI Gothic"/>
        </w:rPr>
      </w:pPr>
      <w:r>
        <w:t>压力容器的设计单位应当具备下列</w:t>
      </w:r>
      <w:r>
        <w:rPr>
          <w:w w:val="115"/>
        </w:rPr>
        <w:t>条件</w:t>
      </w:r>
      <w:r>
        <w:rPr>
          <w:rFonts w:hint="eastAsia" w:ascii="MS UI Gothic" w:eastAsia="MS UI Gothic"/>
          <w:w w:val="235"/>
        </w:rPr>
        <w:t>:</w:t>
      </w:r>
    </w:p>
    <w:p>
      <w:pPr>
        <w:pStyle w:val="6"/>
        <w:spacing w:line="295" w:lineRule="auto"/>
        <w:ind w:left="440"/>
        <w:jc w:val="left"/>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有与压力容器设计相适应的设计人员</w:t>
      </w:r>
      <w:r>
        <w:rPr>
          <w:rFonts w:hint="eastAsia" w:ascii="MS UI Gothic" w:eastAsia="MS UI Gothic"/>
          <w:w w:val="80"/>
        </w:rPr>
        <w:t xml:space="preserve">、 </w:t>
      </w:r>
      <w:r>
        <w:rPr>
          <w:w w:val="105"/>
        </w:rPr>
        <w:t>设计审核人员</w:t>
      </w:r>
      <w:r>
        <w:rPr>
          <w:rFonts w:hint="eastAsia" w:ascii="MS UI Gothic" w:eastAsia="MS UI Gothic"/>
          <w:w w:val="80"/>
        </w:rPr>
        <w:t>ꎻ</w:t>
      </w:r>
    </w:p>
    <w:p>
      <w:pPr>
        <w:pStyle w:val="6"/>
        <w:spacing w:line="295" w:lineRule="auto"/>
        <w:ind w:left="440"/>
        <w:jc w:val="left"/>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有与压力容器设计相适应的场</w:t>
      </w:r>
      <w:r>
        <w:rPr>
          <w:w w:val="110"/>
        </w:rPr>
        <w:t>所和设备</w:t>
      </w:r>
      <w:r>
        <w:rPr>
          <w:rFonts w:hint="eastAsia" w:ascii="MS UI Gothic" w:eastAsia="MS UI Gothic"/>
          <w:w w:val="80"/>
        </w:rPr>
        <w:t>ꎻ</w:t>
      </w:r>
    </w:p>
    <w:p>
      <w:pPr>
        <w:pStyle w:val="6"/>
        <w:spacing w:line="255" w:lineRule="exact"/>
        <w:ind w:left="860" w:firstLine="0"/>
        <w:jc w:val="left"/>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有与压力容器设计相适应的健</w:t>
      </w:r>
    </w:p>
    <w:p>
      <w:pPr>
        <w:pStyle w:val="6"/>
        <w:spacing w:before="49" w:line="240" w:lineRule="exact"/>
        <w:ind w:left="440" w:firstLine="0"/>
        <w:jc w:val="left"/>
        <w:rPr>
          <w:rFonts w:hint="eastAsia" w:ascii="MS UI Gothic" w:eastAsia="MS UI Gothic"/>
        </w:rPr>
      </w:pPr>
      <w:r>
        <w:t>全的管理制度和责任制度</w:t>
      </w:r>
      <w:r>
        <w:rPr>
          <w:rFonts w:hint="eastAsia" w:ascii="MS UI Gothic" w:eastAsia="MS UI Gothic"/>
          <w:w w:val="80"/>
        </w:rPr>
        <w:t>ꎮ</w:t>
      </w:r>
    </w:p>
    <w:p>
      <w:pPr>
        <w:pStyle w:val="6"/>
        <w:spacing w:before="124"/>
        <w:ind w:left="383" w:firstLine="0"/>
        <w:jc w:val="left"/>
        <w:rPr>
          <w:rFonts w:hint="eastAsia" w:ascii="MS UI Gothic" w:eastAsia="MS UI Gothic"/>
        </w:rPr>
      </w:pPr>
      <w:r>
        <w:br w:type="column"/>
      </w:r>
      <w:r>
        <w:t>造相适应的生产条件和检测手段</w:t>
      </w:r>
      <w:r>
        <w:rPr>
          <w:rFonts w:hint="eastAsia" w:ascii="MS UI Gothic" w:eastAsia="MS UI Gothic"/>
          <w:w w:val="80"/>
        </w:rPr>
        <w:t>ꎻ</w:t>
      </w:r>
    </w:p>
    <w:p>
      <w:pPr>
        <w:pStyle w:val="6"/>
        <w:spacing w:before="58" w:line="295" w:lineRule="auto"/>
        <w:ind w:left="383" w:right="126"/>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有健全的质量管理制度和责任</w:t>
      </w:r>
      <w:r>
        <w:rPr>
          <w:w w:val="110"/>
        </w:rPr>
        <w:t>制度</w:t>
      </w:r>
      <w:r>
        <w:rPr>
          <w:rFonts w:hint="eastAsia" w:ascii="MS UI Gothic" w:eastAsia="MS UI Gothic"/>
          <w:w w:val="80"/>
        </w:rPr>
        <w:t>ꎮ</w:t>
      </w:r>
    </w:p>
    <w:p>
      <w:pPr>
        <w:pStyle w:val="6"/>
        <w:spacing w:line="295" w:lineRule="auto"/>
        <w:ind w:left="383" w:right="126"/>
        <w:rPr>
          <w:rFonts w:hint="eastAsia" w:ascii="MS UI Gothic" w:eastAsia="MS UI Gothic"/>
        </w:rPr>
      </w:pPr>
      <w:r>
        <w:t>第十五条 特种设备出厂时</w:t>
      </w:r>
      <w:r>
        <w:rPr>
          <w:rFonts w:hint="eastAsia" w:ascii="MS UI Gothic" w:eastAsia="MS UI Gothic"/>
          <w:w w:val="80"/>
        </w:rPr>
        <w:t xml:space="preserve">ꎬ </w:t>
      </w:r>
      <w:r>
        <w:t>应当附有安全技术规范要求的设计文件</w:t>
      </w:r>
      <w:r>
        <w:rPr>
          <w:rFonts w:hint="eastAsia" w:ascii="MS UI Gothic" w:eastAsia="MS UI Gothic"/>
          <w:w w:val="80"/>
        </w:rPr>
        <w:t xml:space="preserve">、 </w:t>
      </w:r>
      <w:r>
        <w:t>产品质量合格证明</w:t>
      </w:r>
      <w:r>
        <w:rPr>
          <w:rFonts w:hint="eastAsia" w:ascii="MS UI Gothic" w:eastAsia="MS UI Gothic"/>
          <w:w w:val="80"/>
        </w:rPr>
        <w:t xml:space="preserve">、 </w:t>
      </w:r>
      <w:r>
        <w:t>安装及使用维修说明</w:t>
      </w:r>
      <w:r>
        <w:rPr>
          <w:rFonts w:hint="eastAsia" w:ascii="MS UI Gothic" w:eastAsia="MS UI Gothic"/>
          <w:w w:val="80"/>
        </w:rPr>
        <w:t xml:space="preserve">、 </w:t>
      </w:r>
      <w:r>
        <w:t>监督检验证明等文件</w:t>
      </w:r>
      <w:r>
        <w:rPr>
          <w:rFonts w:hint="eastAsia" w:ascii="MS UI Gothic" w:eastAsia="MS UI Gothic"/>
          <w:w w:val="80"/>
        </w:rPr>
        <w:t>ꎮ</w:t>
      </w:r>
    </w:p>
    <w:p>
      <w:pPr>
        <w:pStyle w:val="6"/>
        <w:spacing w:line="295" w:lineRule="auto"/>
        <w:ind w:left="383" w:right="124"/>
        <w:rPr>
          <w:rFonts w:hint="eastAsia" w:ascii="MS UI Gothic" w:eastAsia="MS UI Gothic"/>
        </w:rPr>
      </w:pPr>
      <w:r>
        <w:rPr>
          <w:w w:val="105"/>
        </w:rPr>
        <w:t>第十六条 锅炉</w:t>
      </w:r>
      <w:r>
        <w:rPr>
          <w:rFonts w:hint="eastAsia" w:ascii="MS UI Gothic" w:eastAsia="MS UI Gothic"/>
          <w:w w:val="80"/>
        </w:rPr>
        <w:t xml:space="preserve">、 </w:t>
      </w:r>
      <w:r>
        <w:rPr>
          <w:w w:val="105"/>
        </w:rPr>
        <w:t>压力容器</w:t>
      </w:r>
      <w:r>
        <w:rPr>
          <w:rFonts w:hint="eastAsia" w:ascii="MS UI Gothic" w:eastAsia="MS UI Gothic"/>
          <w:w w:val="80"/>
        </w:rPr>
        <w:t xml:space="preserve">、 </w:t>
      </w:r>
      <w:r>
        <w:rPr>
          <w:w w:val="105"/>
        </w:rPr>
        <w:t>电梯</w:t>
      </w:r>
      <w:r>
        <w:rPr>
          <w:rFonts w:hint="eastAsia" w:ascii="MS UI Gothic" w:eastAsia="MS UI Gothic"/>
          <w:w w:val="80"/>
        </w:rPr>
        <w:t>、</w:t>
      </w:r>
      <w:r>
        <w:rPr>
          <w:w w:val="105"/>
        </w:rPr>
        <w:t>起重机械</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大型游乐设施</w:t>
      </w:r>
      <w:r>
        <w:rPr>
          <w:rFonts w:hint="eastAsia" w:ascii="MS UI Gothic" w:eastAsia="MS UI Gothic"/>
          <w:w w:val="80"/>
        </w:rPr>
        <w:t xml:space="preserve">、 </w:t>
      </w:r>
      <w:r>
        <w:rPr>
          <w:w w:val="105"/>
        </w:rPr>
        <w:t>场</w:t>
      </w:r>
      <w:r>
        <w:rPr>
          <w:rFonts w:hint="eastAsia" w:ascii="MS UI Gothic" w:eastAsia="MS UI Gothic"/>
          <w:w w:val="150"/>
        </w:rPr>
        <w:t xml:space="preserve">( </w:t>
      </w:r>
      <w:r>
        <w:rPr>
          <w:w w:val="105"/>
        </w:rPr>
        <w:t>厂</w:t>
      </w:r>
      <w:r>
        <w:rPr>
          <w:rFonts w:hint="eastAsia" w:ascii="MS UI Gothic" w:eastAsia="MS UI Gothic"/>
          <w:w w:val="150"/>
        </w:rPr>
        <w:t xml:space="preserve">) </w:t>
      </w:r>
      <w:r>
        <w:rPr>
          <w:w w:val="105"/>
        </w:rPr>
        <w:t>内专用机动车辆的维修单位</w:t>
      </w:r>
      <w:r>
        <w:rPr>
          <w:rFonts w:hint="eastAsia" w:ascii="MS UI Gothic" w:eastAsia="MS UI Gothic"/>
          <w:w w:val="80"/>
        </w:rPr>
        <w:t xml:space="preserve">ꎬ </w:t>
      </w:r>
      <w:r>
        <w:rPr>
          <w:w w:val="105"/>
        </w:rPr>
        <w:t>应当</w:t>
      </w:r>
      <w:r>
        <w:t>有与特种设备维修相适应的专业技术人员和技术工人以及必要的检测手段</w:t>
      </w:r>
      <w:r>
        <w:rPr>
          <w:rFonts w:hint="eastAsia" w:ascii="MS UI Gothic" w:eastAsia="MS UI Gothic"/>
          <w:w w:val="80"/>
        </w:rPr>
        <w:t xml:space="preserve">ꎬ </w:t>
      </w:r>
      <w:r>
        <w:t>并经</w:t>
      </w:r>
      <w:r>
        <w:rPr>
          <w:w w:val="105"/>
        </w:rPr>
        <w:t>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直辖市特种设备安全监督管</w:t>
      </w:r>
      <w:r>
        <w:t>理部门许可</w:t>
      </w:r>
      <w:r>
        <w:rPr>
          <w:rFonts w:hint="eastAsia" w:ascii="MS UI Gothic" w:eastAsia="MS UI Gothic"/>
          <w:w w:val="80"/>
        </w:rPr>
        <w:t xml:space="preserve">ꎬ </w:t>
      </w:r>
      <w:r>
        <w:t>方可从事相应的维修活动</w:t>
      </w:r>
      <w:r>
        <w:rPr>
          <w:rFonts w:hint="eastAsia" w:ascii="MS UI Gothic" w:eastAsia="MS UI Gothic"/>
          <w:w w:val="80"/>
        </w:rPr>
        <w:t>ꎮ</w:t>
      </w:r>
    </w:p>
    <w:p>
      <w:pPr>
        <w:pStyle w:val="6"/>
        <w:spacing w:line="235" w:lineRule="exact"/>
        <w:ind w:left="802" w:firstLine="0"/>
      </w:pPr>
      <w:r>
        <w:t>第十七条 锅炉</w:t>
      </w:r>
      <w:r>
        <w:rPr>
          <w:rFonts w:hint="eastAsia" w:ascii="MS UI Gothic" w:eastAsia="MS UI Gothic"/>
        </w:rPr>
        <w:t xml:space="preserve">、 </w:t>
      </w:r>
      <w:r>
        <w:t>压力容器</w:t>
      </w:r>
      <w:r>
        <w:rPr>
          <w:rFonts w:hint="eastAsia" w:ascii="MS UI Gothic" w:eastAsia="MS UI Gothic"/>
        </w:rPr>
        <w:t xml:space="preserve">、 </w:t>
      </w:r>
      <w:r>
        <w:t>起重机</w:t>
      </w:r>
    </w:p>
    <w:p>
      <w:pPr>
        <w:spacing w:after="0" w:line="235" w:lineRule="exact"/>
        <w:sectPr>
          <w:type w:val="continuous"/>
          <w:pgSz w:w="10500" w:h="14750"/>
          <w:pgMar w:top="1400" w:right="980" w:bottom="280" w:left="980" w:header="720" w:footer="720" w:gutter="0"/>
          <w:cols w:equalWidth="0" w:num="2">
            <w:col w:w="4210" w:space="40"/>
            <w:col w:w="4290"/>
          </w:cols>
        </w:sectPr>
      </w:pPr>
    </w:p>
    <w:p>
      <w:pPr>
        <w:pStyle w:val="6"/>
        <w:tabs>
          <w:tab w:val="left" w:pos="1047"/>
        </w:tabs>
        <w:spacing w:before="70"/>
        <w:ind w:left="0" w:firstLine="0"/>
        <w:jc w:val="right"/>
      </w:pPr>
      <w:r>
        <w:rPr>
          <w:spacing w:val="3"/>
        </w:rPr>
        <w:t>第十二</w:t>
      </w:r>
      <w:r>
        <w:t>条</w:t>
      </w:r>
      <w:r>
        <w:tab/>
      </w:r>
      <w:r>
        <w:rPr>
          <w:spacing w:val="3"/>
        </w:rPr>
        <w:t>锅炉</w:t>
      </w:r>
      <w:r>
        <w:rPr>
          <w:rFonts w:hint="eastAsia" w:ascii="MS UI Gothic" w:eastAsia="MS UI Gothic"/>
        </w:rPr>
        <w:t xml:space="preserve">、 </w:t>
      </w:r>
      <w:r>
        <w:rPr>
          <w:rFonts w:hint="eastAsia" w:ascii="MS UI Gothic" w:eastAsia="MS UI Gothic"/>
          <w:spacing w:val="11"/>
        </w:rPr>
        <w:t xml:space="preserve"> </w:t>
      </w:r>
      <w:r>
        <w:rPr>
          <w:spacing w:val="3"/>
        </w:rPr>
        <w:t>压力容器中的气</w:t>
      </w:r>
      <w:r>
        <w:t>瓶</w:t>
      </w:r>
    </w:p>
    <w:p>
      <w:pPr>
        <w:pStyle w:val="6"/>
        <w:spacing w:before="58" w:line="240" w:lineRule="exact"/>
        <w:ind w:left="0" w:firstLine="0"/>
        <w:jc w:val="right"/>
      </w:pPr>
      <w:r>
        <w:rPr>
          <w:rFonts w:hint="eastAsia" w:ascii="MS UI Gothic" w:eastAsia="MS UI Gothic"/>
          <w:spacing w:val="-24"/>
          <w:w w:val="105"/>
        </w:rPr>
        <w:t xml:space="preserve">( </w:t>
      </w:r>
      <w:r>
        <w:rPr>
          <w:spacing w:val="12"/>
          <w:w w:val="105"/>
        </w:rPr>
        <w:t>以下简称气瓶</w:t>
      </w:r>
      <w:r>
        <w:rPr>
          <w:rFonts w:hint="eastAsia" w:ascii="MS UI Gothic" w:eastAsia="MS UI Gothic"/>
          <w:spacing w:val="21"/>
          <w:w w:val="105"/>
        </w:rPr>
        <w:t>)</w:t>
      </w:r>
      <w:r>
        <w:rPr>
          <w:rFonts w:hint="eastAsia" w:ascii="MS UI Gothic" w:eastAsia="MS UI Gothic"/>
          <w:spacing w:val="18"/>
        </w:rPr>
        <w:t xml:space="preserve">、 </w:t>
      </w:r>
      <w:r>
        <w:rPr>
          <w:spacing w:val="16"/>
          <w:w w:val="105"/>
        </w:rPr>
        <w:t>氧舱和客运索道</w:t>
      </w:r>
      <w:r>
        <w:rPr>
          <w:rFonts w:hint="eastAsia" w:ascii="MS UI Gothic" w:eastAsia="MS UI Gothic"/>
          <w:spacing w:val="17"/>
        </w:rPr>
        <w:t xml:space="preserve">、 </w:t>
      </w:r>
      <w:r>
        <w:rPr>
          <w:w w:val="105"/>
        </w:rPr>
        <w:t>大</w:t>
      </w:r>
    </w:p>
    <w:p>
      <w:pPr>
        <w:pStyle w:val="6"/>
        <w:spacing w:before="16" w:line="310" w:lineRule="atLeast"/>
        <w:ind w:left="383" w:right="126" w:firstLine="0"/>
        <w:jc w:val="left"/>
      </w:pPr>
      <w:r>
        <w:br w:type="column"/>
      </w:r>
      <w:r>
        <w:rPr>
          <w:w w:val="105"/>
        </w:rPr>
        <w:t>械</w:t>
      </w:r>
      <w:r>
        <w:rPr>
          <w:rFonts w:hint="eastAsia" w:ascii="MS UI Gothic" w:eastAsia="MS UI Gothic"/>
        </w:rPr>
        <w:t xml:space="preserve">、 </w:t>
      </w:r>
      <w:r>
        <w:rPr>
          <w:w w:val="105"/>
        </w:rPr>
        <w:t>客运索道</w:t>
      </w:r>
      <w:r>
        <w:rPr>
          <w:rFonts w:hint="eastAsia" w:ascii="MS UI Gothic" w:eastAsia="MS UI Gothic"/>
        </w:rPr>
        <w:t xml:space="preserve">、 </w:t>
      </w:r>
      <w:r>
        <w:rPr>
          <w:w w:val="105"/>
        </w:rPr>
        <w:t>大型游乐设施的安装</w:t>
      </w:r>
      <w:r>
        <w:rPr>
          <w:rFonts w:hint="eastAsia" w:ascii="MS UI Gothic" w:eastAsia="MS UI Gothic"/>
        </w:rPr>
        <w:t xml:space="preserve">、 </w:t>
      </w:r>
      <w:r>
        <w:rPr>
          <w:w w:val="105"/>
        </w:rPr>
        <w:t>改造</w:t>
      </w:r>
      <w:r>
        <w:rPr>
          <w:rFonts w:hint="eastAsia" w:ascii="MS UI Gothic" w:eastAsia="MS UI Gothic"/>
        </w:rPr>
        <w:t xml:space="preserve">、 </w:t>
      </w:r>
      <w:r>
        <w:rPr>
          <w:w w:val="105"/>
        </w:rPr>
        <w:t xml:space="preserve">维修以及场 </w:t>
      </w:r>
      <w:r>
        <w:rPr>
          <w:rFonts w:hint="eastAsia" w:ascii="MS UI Gothic" w:eastAsia="MS UI Gothic"/>
          <w:w w:val="150"/>
        </w:rPr>
        <w:t xml:space="preserve">( </w:t>
      </w:r>
      <w:r>
        <w:rPr>
          <w:w w:val="105"/>
        </w:rPr>
        <w:t>厂</w:t>
      </w:r>
      <w:r>
        <w:rPr>
          <w:rFonts w:hint="eastAsia" w:ascii="MS UI Gothic" w:eastAsia="MS UI Gothic"/>
          <w:w w:val="150"/>
        </w:rPr>
        <w:t xml:space="preserve">) </w:t>
      </w:r>
      <w:r>
        <w:rPr>
          <w:w w:val="105"/>
        </w:rPr>
        <w:t>内专用机动车辆</w:t>
      </w:r>
    </w:p>
    <w:p>
      <w:pPr>
        <w:spacing w:after="0" w:line="310" w:lineRule="atLeast"/>
        <w:jc w:val="left"/>
        <w:sectPr>
          <w:type w:val="continuous"/>
          <w:pgSz w:w="10500" w:h="14750"/>
          <w:pgMar w:top="1400" w:right="980" w:bottom="280" w:left="980" w:header="720" w:footer="720" w:gutter="0"/>
          <w:cols w:equalWidth="0" w:num="2">
            <w:col w:w="4210" w:space="40"/>
            <w:col w:w="4290"/>
          </w:cols>
        </w:sectPr>
      </w:pPr>
    </w:p>
    <w:p>
      <w:pPr>
        <w:pStyle w:val="6"/>
        <w:spacing w:before="62" w:line="295" w:lineRule="auto"/>
        <w:ind w:left="440" w:right="1" w:firstLine="0"/>
        <w:rPr>
          <w:rFonts w:hint="eastAsia" w:ascii="MS UI Gothic" w:eastAsia="MS UI Gothic"/>
        </w:rPr>
      </w:pPr>
      <w:r>
        <w:t>型游乐设施以及高耗能特种设备的设计文件</w:t>
      </w:r>
      <w:r>
        <w:rPr>
          <w:rFonts w:hint="eastAsia" w:ascii="MS UI Gothic" w:eastAsia="MS UI Gothic"/>
          <w:w w:val="80"/>
        </w:rPr>
        <w:t xml:space="preserve">ꎬ </w:t>
      </w:r>
      <w:r>
        <w:t>应当经国务院特种设备安全监督管理部门核准的检验检测机构鉴定</w:t>
      </w:r>
      <w:r>
        <w:rPr>
          <w:rFonts w:hint="eastAsia" w:ascii="MS UI Gothic" w:eastAsia="MS UI Gothic"/>
          <w:w w:val="80"/>
        </w:rPr>
        <w:t xml:space="preserve">ꎬ </w:t>
      </w:r>
      <w:r>
        <w:t>方可用于制造</w:t>
      </w:r>
      <w:r>
        <w:rPr>
          <w:rFonts w:hint="eastAsia" w:ascii="MS UI Gothic" w:eastAsia="MS UI Gothic"/>
          <w:w w:val="80"/>
        </w:rPr>
        <w:t>ꎮ</w:t>
      </w:r>
    </w:p>
    <w:p>
      <w:pPr>
        <w:pStyle w:val="6"/>
        <w:spacing w:line="295" w:lineRule="auto"/>
        <w:ind w:left="440"/>
        <w:rPr>
          <w:rFonts w:hint="eastAsia" w:ascii="MS UI Gothic" w:eastAsia="MS UI Gothic"/>
        </w:rPr>
      </w:pPr>
      <w:r>
        <w:t>第十三条  按照安全技术规范的要求</w:t>
      </w:r>
      <w:r>
        <w:rPr>
          <w:rFonts w:hint="eastAsia" w:ascii="MS UI Gothic" w:eastAsia="MS UI Gothic"/>
          <w:w w:val="80"/>
        </w:rPr>
        <w:t xml:space="preserve">ꎬ </w:t>
      </w:r>
      <w:r>
        <w:t>应当进行型式试验的特种设备产品</w:t>
      </w:r>
      <w:r>
        <w:rPr>
          <w:rFonts w:hint="eastAsia" w:ascii="MS UI Gothic" w:eastAsia="MS UI Gothic"/>
          <w:w w:val="80"/>
        </w:rPr>
        <w:t>、</w:t>
      </w:r>
      <w:r>
        <w:t>部件或者试制特种设备新产品</w:t>
      </w:r>
      <w:r>
        <w:rPr>
          <w:rFonts w:hint="eastAsia" w:ascii="MS UI Gothic" w:eastAsia="MS UI Gothic"/>
          <w:w w:val="80"/>
        </w:rPr>
        <w:t xml:space="preserve">、 </w:t>
      </w:r>
      <w:r>
        <w:t>新部件</w:t>
      </w:r>
      <w:r>
        <w:rPr>
          <w:rFonts w:hint="eastAsia" w:ascii="MS UI Gothic" w:eastAsia="MS UI Gothic"/>
          <w:w w:val="80"/>
        </w:rPr>
        <w:t>、</w:t>
      </w:r>
      <w:r>
        <w:t>新材料</w:t>
      </w:r>
      <w:r>
        <w:rPr>
          <w:rFonts w:hint="eastAsia" w:ascii="MS UI Gothic" w:eastAsia="MS UI Gothic"/>
          <w:w w:val="80"/>
        </w:rPr>
        <w:t xml:space="preserve">ꎬ </w:t>
      </w:r>
      <w:r>
        <w:t>必须进行型式试验和能效测试</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第十四条 锅炉</w:t>
      </w:r>
      <w:r>
        <w:rPr>
          <w:rFonts w:hint="eastAsia" w:ascii="MS UI Gothic" w:eastAsia="MS UI Gothic"/>
          <w:w w:val="80"/>
        </w:rPr>
        <w:t xml:space="preserve">、 </w:t>
      </w:r>
      <w:r>
        <w:rPr>
          <w:w w:val="105"/>
        </w:rPr>
        <w:t>压力容器</w:t>
      </w:r>
      <w:r>
        <w:rPr>
          <w:rFonts w:hint="eastAsia" w:ascii="MS UI Gothic" w:eastAsia="MS UI Gothic"/>
          <w:w w:val="80"/>
        </w:rPr>
        <w:t xml:space="preserve">、 </w:t>
      </w:r>
      <w:r>
        <w:rPr>
          <w:w w:val="105"/>
        </w:rPr>
        <w:t>电梯</w:t>
      </w:r>
      <w:r>
        <w:rPr>
          <w:rFonts w:hint="eastAsia" w:ascii="MS UI Gothic" w:eastAsia="MS UI Gothic"/>
          <w:w w:val="80"/>
        </w:rPr>
        <w:t>、</w:t>
      </w:r>
      <w:r>
        <w:rPr>
          <w:w w:val="105"/>
        </w:rPr>
        <w:t>起重机械</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大型游乐设施及其安全附件</w:t>
      </w:r>
      <w:r>
        <w:rPr>
          <w:rFonts w:hint="eastAsia" w:ascii="MS UI Gothic" w:eastAsia="MS UI Gothic"/>
          <w:w w:val="80"/>
        </w:rPr>
        <w:t xml:space="preserve">、 </w:t>
      </w:r>
      <w:r>
        <w:rPr>
          <w:w w:val="105"/>
        </w:rPr>
        <w:t>安全保护装置的制造</w:t>
      </w:r>
      <w:r>
        <w:rPr>
          <w:rFonts w:hint="eastAsia" w:ascii="MS UI Gothic" w:eastAsia="MS UI Gothic"/>
          <w:w w:val="80"/>
        </w:rPr>
        <w:t xml:space="preserve">、 </w:t>
      </w:r>
      <w:r>
        <w:rPr>
          <w:w w:val="105"/>
        </w:rPr>
        <w:t>安装</w:t>
      </w:r>
      <w:r>
        <w:rPr>
          <w:rFonts w:hint="eastAsia" w:ascii="MS UI Gothic" w:eastAsia="MS UI Gothic"/>
          <w:w w:val="80"/>
        </w:rPr>
        <w:t>、</w:t>
      </w:r>
      <w:r>
        <w:rPr>
          <w:w w:val="105"/>
        </w:rPr>
        <w:t>改造单位</w:t>
      </w:r>
      <w:r>
        <w:rPr>
          <w:rFonts w:hint="eastAsia" w:ascii="MS UI Gothic" w:eastAsia="MS UI Gothic"/>
          <w:w w:val="80"/>
        </w:rPr>
        <w:t xml:space="preserve">ꎬ </w:t>
      </w:r>
      <w:r>
        <w:rPr>
          <w:w w:val="105"/>
        </w:rPr>
        <w:t>以及压力管道用管子</w:t>
      </w:r>
      <w:r>
        <w:rPr>
          <w:rFonts w:hint="eastAsia" w:ascii="MS UI Gothic" w:eastAsia="MS UI Gothic"/>
          <w:w w:val="80"/>
        </w:rPr>
        <w:t xml:space="preserve">、 </w:t>
      </w:r>
      <w:r>
        <w:rPr>
          <w:w w:val="105"/>
        </w:rPr>
        <w:t>管件</w:t>
      </w:r>
      <w:r>
        <w:rPr>
          <w:rFonts w:hint="eastAsia" w:ascii="MS UI Gothic" w:eastAsia="MS UI Gothic"/>
          <w:w w:val="80"/>
        </w:rPr>
        <w:t>、</w:t>
      </w:r>
      <w:r>
        <w:rPr>
          <w:w w:val="105"/>
        </w:rPr>
        <w:t>阀门</w:t>
      </w:r>
      <w:r>
        <w:rPr>
          <w:rFonts w:hint="eastAsia" w:ascii="MS UI Gothic" w:eastAsia="MS UI Gothic"/>
          <w:w w:val="80"/>
        </w:rPr>
        <w:t xml:space="preserve">、 </w:t>
      </w:r>
      <w:r>
        <w:rPr>
          <w:w w:val="105"/>
        </w:rPr>
        <w:t>法兰</w:t>
      </w:r>
      <w:r>
        <w:rPr>
          <w:rFonts w:hint="eastAsia" w:ascii="MS UI Gothic" w:eastAsia="MS UI Gothic"/>
          <w:w w:val="80"/>
        </w:rPr>
        <w:t xml:space="preserve">、 </w:t>
      </w:r>
      <w:r>
        <w:rPr>
          <w:w w:val="105"/>
        </w:rPr>
        <w:t>补偿器</w:t>
      </w:r>
      <w:r>
        <w:rPr>
          <w:rFonts w:hint="eastAsia" w:ascii="MS UI Gothic" w:eastAsia="MS UI Gothic"/>
          <w:w w:val="80"/>
        </w:rPr>
        <w:t xml:space="preserve">、 </w:t>
      </w:r>
      <w:r>
        <w:rPr>
          <w:w w:val="105"/>
        </w:rPr>
        <w:t xml:space="preserve">安全保护装置等 </w:t>
      </w:r>
      <w:r>
        <w:rPr>
          <w:rFonts w:hint="eastAsia" w:ascii="MS UI Gothic" w:eastAsia="MS UI Gothic"/>
          <w:w w:val="150"/>
        </w:rPr>
        <w:t xml:space="preserve">( </w:t>
      </w:r>
      <w:r>
        <w:rPr>
          <w:w w:val="105"/>
        </w:rPr>
        <w:t>以下简称压力管道元件</w:t>
      </w:r>
      <w:r>
        <w:rPr>
          <w:rFonts w:hint="eastAsia" w:ascii="MS UI Gothic" w:eastAsia="MS UI Gothic"/>
          <w:w w:val="150"/>
        </w:rPr>
        <w:t xml:space="preserve">) </w:t>
      </w:r>
      <w:r>
        <w:rPr>
          <w:w w:val="105"/>
        </w:rPr>
        <w:t xml:space="preserve">的制造单位和场 </w:t>
      </w:r>
      <w:r>
        <w:rPr>
          <w:rFonts w:hint="eastAsia" w:ascii="MS UI Gothic" w:eastAsia="MS UI Gothic"/>
          <w:w w:val="150"/>
        </w:rPr>
        <w:t xml:space="preserve">( </w:t>
      </w:r>
      <w:r>
        <w:rPr>
          <w:w w:val="105"/>
        </w:rPr>
        <w:t>厂</w:t>
      </w:r>
      <w:r>
        <w:rPr>
          <w:rFonts w:hint="eastAsia" w:ascii="MS UI Gothic" w:eastAsia="MS UI Gothic"/>
          <w:w w:val="150"/>
        </w:rPr>
        <w:t xml:space="preserve">) </w:t>
      </w:r>
      <w:r>
        <w:rPr>
          <w:w w:val="105"/>
        </w:rPr>
        <w:t>内专用机动车辆的制造</w:t>
      </w:r>
      <w:r>
        <w:rPr>
          <w:rFonts w:hint="eastAsia" w:ascii="MS UI Gothic" w:eastAsia="MS UI Gothic"/>
          <w:w w:val="80"/>
        </w:rPr>
        <w:t xml:space="preserve">、 </w:t>
      </w:r>
      <w:r>
        <w:rPr>
          <w:w w:val="105"/>
        </w:rPr>
        <w:t>改造</w:t>
      </w:r>
      <w:r>
        <w:t>单位</w:t>
      </w:r>
      <w:r>
        <w:rPr>
          <w:rFonts w:hint="eastAsia" w:ascii="MS UI Gothic" w:eastAsia="MS UI Gothic"/>
          <w:w w:val="80"/>
        </w:rPr>
        <w:t xml:space="preserve">ꎬ </w:t>
      </w:r>
      <w:r>
        <w:t>应当经国务院特种设备安全监督管</w:t>
      </w:r>
      <w:r>
        <w:rPr>
          <w:w w:val="105"/>
        </w:rPr>
        <w:t>理部门许可</w:t>
      </w:r>
      <w:r>
        <w:rPr>
          <w:rFonts w:hint="eastAsia" w:ascii="MS UI Gothic" w:eastAsia="MS UI Gothic"/>
          <w:w w:val="80"/>
        </w:rPr>
        <w:t xml:space="preserve">ꎬ </w:t>
      </w:r>
      <w:r>
        <w:rPr>
          <w:w w:val="105"/>
        </w:rPr>
        <w:t>方可从事相应的活动</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前款特种设备的制造</w:t>
      </w:r>
      <w:r>
        <w:rPr>
          <w:rFonts w:hint="eastAsia" w:ascii="MS UI Gothic" w:eastAsia="MS UI Gothic"/>
        </w:rPr>
        <w:t xml:space="preserve">、 </w:t>
      </w:r>
      <w:r>
        <w:rPr>
          <w:w w:val="105"/>
        </w:rPr>
        <w:t>安装</w:t>
      </w:r>
      <w:r>
        <w:rPr>
          <w:rFonts w:hint="eastAsia" w:ascii="MS UI Gothic" w:eastAsia="MS UI Gothic"/>
        </w:rPr>
        <w:t xml:space="preserve">、 </w:t>
      </w:r>
      <w:r>
        <w:rPr>
          <w:w w:val="105"/>
        </w:rPr>
        <w:t>改造单</w:t>
      </w:r>
      <w:r>
        <w:rPr>
          <w:w w:val="110"/>
        </w:rPr>
        <w:t>位应当具备下列条件</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有与特种设备制造</w:t>
      </w:r>
      <w:r>
        <w:rPr>
          <w:rFonts w:hint="eastAsia" w:ascii="MS UI Gothic" w:eastAsia="MS UI Gothic"/>
          <w:w w:val="80"/>
        </w:rPr>
        <w:t xml:space="preserve">、 </w:t>
      </w:r>
      <w:r>
        <w:rPr>
          <w:w w:val="105"/>
        </w:rPr>
        <w:t>安装</w:t>
      </w:r>
      <w:r>
        <w:rPr>
          <w:rFonts w:hint="eastAsia" w:ascii="MS UI Gothic" w:eastAsia="MS UI Gothic"/>
          <w:w w:val="80"/>
        </w:rPr>
        <w:t xml:space="preserve">、 </w:t>
      </w:r>
      <w:r>
        <w:rPr>
          <w:w w:val="105"/>
        </w:rPr>
        <w:t>改造相适应的专业技术人员和技术工人</w:t>
      </w:r>
      <w:r>
        <w:rPr>
          <w:rFonts w:hint="eastAsia" w:ascii="MS UI Gothic" w:eastAsia="MS UI Gothic"/>
          <w:w w:val="80"/>
        </w:rPr>
        <w:t>ꎻ</w:t>
      </w:r>
    </w:p>
    <w:p>
      <w:pPr>
        <w:pStyle w:val="6"/>
        <w:spacing w:line="255" w:lineRule="exact"/>
        <w:ind w:left="860" w:firstLine="0"/>
      </w:pPr>
      <w:r>
        <w:rPr>
          <w:rFonts w:hint="eastAsia" w:ascii="MS UI Gothic" w:eastAsia="MS UI Gothic"/>
          <w:spacing w:val="-41"/>
          <w:w w:val="150"/>
        </w:rPr>
        <w:t xml:space="preserve">( </w:t>
      </w:r>
      <w:r>
        <w:rPr>
          <w:spacing w:val="3"/>
          <w:w w:val="110"/>
        </w:rPr>
        <w:t>二</w:t>
      </w:r>
      <w:r>
        <w:rPr>
          <w:rFonts w:hint="eastAsia" w:ascii="MS UI Gothic" w:eastAsia="MS UI Gothic"/>
          <w:spacing w:val="-17"/>
          <w:w w:val="150"/>
        </w:rPr>
        <w:t xml:space="preserve">) </w:t>
      </w:r>
      <w:r>
        <w:rPr>
          <w:spacing w:val="7"/>
          <w:w w:val="110"/>
        </w:rPr>
        <w:t>有与特种设备制造</w:t>
      </w:r>
      <w:r>
        <w:rPr>
          <w:rFonts w:hint="eastAsia" w:ascii="MS UI Gothic" w:eastAsia="MS UI Gothic"/>
          <w:spacing w:val="-5"/>
        </w:rPr>
        <w:t xml:space="preserve">、 </w:t>
      </w:r>
      <w:r>
        <w:rPr>
          <w:spacing w:val="8"/>
          <w:w w:val="110"/>
        </w:rPr>
        <w:t>安装</w:t>
      </w:r>
      <w:r>
        <w:rPr>
          <w:rFonts w:hint="eastAsia" w:ascii="MS UI Gothic" w:eastAsia="MS UI Gothic"/>
          <w:spacing w:val="-5"/>
        </w:rPr>
        <w:t xml:space="preserve">、 </w:t>
      </w:r>
      <w:r>
        <w:rPr>
          <w:w w:val="110"/>
        </w:rPr>
        <w:t>改</w:t>
      </w:r>
    </w:p>
    <w:p>
      <w:pPr>
        <w:pStyle w:val="6"/>
        <w:spacing w:before="62" w:line="295" w:lineRule="auto"/>
        <w:ind w:left="381" w:right="126" w:firstLine="0"/>
        <w:rPr>
          <w:rFonts w:hint="eastAsia" w:ascii="MS UI Gothic" w:eastAsia="MS UI Gothic"/>
        </w:rPr>
      </w:pPr>
      <w:r>
        <w:br w:type="column"/>
      </w:r>
      <w:r>
        <w:t>的改造</w:t>
      </w:r>
      <w:r>
        <w:rPr>
          <w:rFonts w:hint="eastAsia" w:ascii="MS UI Gothic" w:eastAsia="MS UI Gothic"/>
        </w:rPr>
        <w:t xml:space="preserve">、 </w:t>
      </w:r>
      <w:r>
        <w:t>维修</w:t>
      </w:r>
      <w:r>
        <w:rPr>
          <w:rFonts w:hint="eastAsia" w:ascii="MS UI Gothic" w:eastAsia="MS UI Gothic"/>
          <w:w w:val="80"/>
        </w:rPr>
        <w:t xml:space="preserve">ꎬ </w:t>
      </w:r>
      <w:r>
        <w:t>必须由依照本条例取得许可的单位进行</w:t>
      </w:r>
      <w:r>
        <w:rPr>
          <w:rFonts w:hint="eastAsia" w:ascii="MS UI Gothic" w:eastAsia="MS UI Gothic"/>
          <w:w w:val="80"/>
        </w:rPr>
        <w:t>ꎮ</w:t>
      </w:r>
    </w:p>
    <w:p>
      <w:pPr>
        <w:pStyle w:val="6"/>
        <w:spacing w:line="295" w:lineRule="auto"/>
        <w:ind w:left="381" w:right="126"/>
        <w:rPr>
          <w:rFonts w:hint="eastAsia" w:ascii="MS UI Gothic" w:eastAsia="MS UI Gothic"/>
        </w:rPr>
      </w:pPr>
      <w:r>
        <w:t>电梯的安装</w:t>
      </w:r>
      <w:r>
        <w:rPr>
          <w:rFonts w:hint="eastAsia" w:ascii="MS UI Gothic" w:eastAsia="MS UI Gothic"/>
          <w:w w:val="80"/>
        </w:rPr>
        <w:t xml:space="preserve">、 </w:t>
      </w:r>
      <w:r>
        <w:t>改造</w:t>
      </w:r>
      <w:r>
        <w:rPr>
          <w:rFonts w:hint="eastAsia" w:ascii="MS UI Gothic" w:eastAsia="MS UI Gothic"/>
          <w:w w:val="80"/>
        </w:rPr>
        <w:t xml:space="preserve">、 </w:t>
      </w:r>
      <w:r>
        <w:t>维修</w:t>
      </w:r>
      <w:r>
        <w:rPr>
          <w:rFonts w:hint="eastAsia" w:ascii="MS UI Gothic" w:eastAsia="MS UI Gothic"/>
          <w:w w:val="80"/>
        </w:rPr>
        <w:t xml:space="preserve">ꎬ </w:t>
      </w:r>
      <w:r>
        <w:t>必须由电梯制造单位或者其通过合同委托</w:t>
      </w:r>
      <w:r>
        <w:rPr>
          <w:rFonts w:hint="eastAsia" w:ascii="MS UI Gothic" w:eastAsia="MS UI Gothic"/>
          <w:w w:val="80"/>
        </w:rPr>
        <w:t xml:space="preserve">、 </w:t>
      </w:r>
      <w:r>
        <w:t>同意的依照本条例取得许可的单位进行</w:t>
      </w:r>
      <w:r>
        <w:rPr>
          <w:rFonts w:hint="eastAsia" w:ascii="MS UI Gothic" w:eastAsia="MS UI Gothic"/>
          <w:w w:val="80"/>
        </w:rPr>
        <w:t xml:space="preserve">ꎮ </w:t>
      </w:r>
      <w:r>
        <w:t>电梯制造单位对电梯质量以及安全运行涉及的质量问题负责</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3"/>
        </w:rPr>
        <w:t>特种设备安装</w:t>
      </w:r>
      <w:r>
        <w:rPr>
          <w:rFonts w:hint="eastAsia" w:ascii="MS UI Gothic" w:eastAsia="MS UI Gothic"/>
          <w:spacing w:val="20"/>
          <w:w w:val="80"/>
        </w:rPr>
        <w:t xml:space="preserve">、 </w:t>
      </w:r>
      <w:r>
        <w:rPr>
          <w:spacing w:val="3"/>
        </w:rPr>
        <w:t>改造</w:t>
      </w:r>
      <w:r>
        <w:rPr>
          <w:rFonts w:hint="eastAsia" w:ascii="MS UI Gothic" w:eastAsia="MS UI Gothic"/>
          <w:spacing w:val="20"/>
          <w:w w:val="80"/>
        </w:rPr>
        <w:t xml:space="preserve">、 </w:t>
      </w:r>
      <w:r>
        <w:rPr>
          <w:spacing w:val="2"/>
        </w:rPr>
        <w:t>维修的施工单</w:t>
      </w:r>
      <w:r>
        <w:rPr>
          <w:spacing w:val="11"/>
        </w:rPr>
        <w:t>位应当在施工前将拟进行的特种设备安</w:t>
      </w:r>
      <w:r>
        <w:rPr>
          <w:spacing w:val="3"/>
        </w:rPr>
        <w:t>装</w:t>
      </w:r>
      <w:r>
        <w:rPr>
          <w:rFonts w:hint="eastAsia" w:ascii="MS UI Gothic" w:eastAsia="MS UI Gothic"/>
          <w:spacing w:val="22"/>
          <w:w w:val="80"/>
        </w:rPr>
        <w:t xml:space="preserve">、 </w:t>
      </w:r>
      <w:r>
        <w:rPr>
          <w:spacing w:val="3"/>
        </w:rPr>
        <w:t>改造</w:t>
      </w:r>
      <w:r>
        <w:rPr>
          <w:rFonts w:hint="eastAsia" w:ascii="MS UI Gothic" w:eastAsia="MS UI Gothic"/>
          <w:spacing w:val="23"/>
          <w:w w:val="80"/>
        </w:rPr>
        <w:t xml:space="preserve">、 </w:t>
      </w:r>
      <w:r>
        <w:rPr>
          <w:spacing w:val="2"/>
        </w:rPr>
        <w:t>维修情况书面告知直辖市或者</w:t>
      </w:r>
      <w:r>
        <w:rPr>
          <w:spacing w:val="4"/>
        </w:rPr>
        <w:t>设区的市的特种设备安全监督管理部门</w:t>
      </w:r>
      <w:r>
        <w:rPr>
          <w:rFonts w:hint="eastAsia" w:ascii="MS UI Gothic" w:eastAsia="MS UI Gothic"/>
          <w:w w:val="80"/>
        </w:rPr>
        <w:t>ꎬ</w:t>
      </w:r>
      <w:r>
        <w:rPr>
          <w:spacing w:val="3"/>
        </w:rPr>
        <w:t>告知后即可施工</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4"/>
        </w:rPr>
        <w:t>第十八条 电梯井道的土建工程必须</w:t>
      </w:r>
      <w:r>
        <w:rPr>
          <w:spacing w:val="3"/>
        </w:rPr>
        <w:t>符合建筑工程质量要求</w:t>
      </w:r>
      <w:r>
        <w:rPr>
          <w:rFonts w:hint="eastAsia" w:ascii="MS UI Gothic" w:eastAsia="MS UI Gothic"/>
          <w:spacing w:val="19"/>
          <w:w w:val="80"/>
        </w:rPr>
        <w:t xml:space="preserve">ꎮ </w:t>
      </w:r>
      <w:r>
        <w:rPr>
          <w:spacing w:val="2"/>
        </w:rPr>
        <w:t>电梯安装施工过</w:t>
      </w:r>
      <w:r>
        <w:rPr>
          <w:spacing w:val="3"/>
        </w:rPr>
        <w:t>程中</w:t>
      </w:r>
      <w:r>
        <w:rPr>
          <w:rFonts w:hint="eastAsia" w:ascii="MS UI Gothic" w:eastAsia="MS UI Gothic"/>
          <w:spacing w:val="19"/>
          <w:w w:val="80"/>
        </w:rPr>
        <w:t xml:space="preserve">ꎬ </w:t>
      </w:r>
      <w:r>
        <w:rPr>
          <w:spacing w:val="2"/>
        </w:rPr>
        <w:t>电梯安装单位应当遵守施工现场的</w:t>
      </w:r>
      <w:r>
        <w:rPr>
          <w:spacing w:val="3"/>
        </w:rPr>
        <w:t>安全生产要求</w:t>
      </w:r>
      <w:r>
        <w:rPr>
          <w:rFonts w:hint="eastAsia" w:ascii="MS UI Gothic" w:eastAsia="MS UI Gothic"/>
          <w:spacing w:val="22"/>
          <w:w w:val="80"/>
        </w:rPr>
        <w:t xml:space="preserve">ꎬ </w:t>
      </w:r>
      <w:r>
        <w:rPr>
          <w:spacing w:val="12"/>
        </w:rPr>
        <w:t>落实现场安全防护措施</w:t>
      </w:r>
      <w:r>
        <w:rPr>
          <w:rFonts w:hint="eastAsia" w:ascii="MS UI Gothic" w:eastAsia="MS UI Gothic"/>
          <w:w w:val="80"/>
        </w:rPr>
        <w:t>ꎮ</w:t>
      </w:r>
      <w:r>
        <w:rPr>
          <w:spacing w:val="3"/>
        </w:rPr>
        <w:t>电梯安装施工过程中</w:t>
      </w:r>
      <w:r>
        <w:rPr>
          <w:rFonts w:hint="eastAsia" w:ascii="MS UI Gothic" w:eastAsia="MS UI Gothic"/>
          <w:spacing w:val="19"/>
          <w:w w:val="80"/>
        </w:rPr>
        <w:t xml:space="preserve">ꎬ </w:t>
      </w:r>
      <w:r>
        <w:rPr>
          <w:spacing w:val="2"/>
        </w:rPr>
        <w:t>施工现场的安全生</w:t>
      </w:r>
      <w:r>
        <w:rPr>
          <w:spacing w:val="3"/>
        </w:rPr>
        <w:t>产监督</w:t>
      </w:r>
      <w:r>
        <w:rPr>
          <w:rFonts w:hint="eastAsia" w:ascii="MS UI Gothic" w:eastAsia="MS UI Gothic"/>
          <w:spacing w:val="11"/>
          <w:w w:val="80"/>
        </w:rPr>
        <w:t xml:space="preserve">ꎬ </w:t>
      </w:r>
      <w:r>
        <w:rPr>
          <w:spacing w:val="3"/>
        </w:rPr>
        <w:t>由有关部门依照有关法律</w:t>
      </w:r>
      <w:r>
        <w:rPr>
          <w:rFonts w:hint="eastAsia" w:ascii="MS UI Gothic" w:eastAsia="MS UI Gothic"/>
          <w:spacing w:val="11"/>
          <w:w w:val="80"/>
        </w:rPr>
        <w:t xml:space="preserve">、 </w:t>
      </w:r>
      <w:r>
        <w:rPr>
          <w:spacing w:val="1"/>
        </w:rPr>
        <w:t>行政</w:t>
      </w:r>
      <w:r>
        <w:rPr>
          <w:spacing w:val="3"/>
        </w:rPr>
        <w:t>法规的规定执行</w:t>
      </w:r>
      <w:r>
        <w:rPr>
          <w:rFonts w:hint="eastAsia" w:ascii="MS UI Gothic" w:eastAsia="MS UI Gothic"/>
          <w:w w:val="80"/>
        </w:rPr>
        <w:t>ꎮ</w:t>
      </w:r>
    </w:p>
    <w:p>
      <w:pPr>
        <w:pStyle w:val="6"/>
        <w:spacing w:line="295" w:lineRule="auto"/>
        <w:ind w:left="381" w:right="126"/>
      </w:pPr>
      <w:r>
        <w:t>电梯安装施工过程中</w:t>
      </w:r>
      <w:r>
        <w:rPr>
          <w:rFonts w:hint="eastAsia" w:ascii="MS UI Gothic" w:eastAsia="MS UI Gothic"/>
          <w:w w:val="80"/>
        </w:rPr>
        <w:t xml:space="preserve">ꎬ </w:t>
      </w:r>
      <w:r>
        <w:t>电梯安装单位应当服从建筑施工总承包单位对施工现场的安全生产管理</w:t>
      </w:r>
      <w:r>
        <w:rPr>
          <w:rFonts w:hint="eastAsia" w:ascii="MS UI Gothic" w:eastAsia="MS UI Gothic"/>
          <w:w w:val="80"/>
        </w:rPr>
        <w:t xml:space="preserve">ꎬ </w:t>
      </w:r>
      <w:r>
        <w:t>并订立合同</w:t>
      </w:r>
      <w:r>
        <w:rPr>
          <w:rFonts w:hint="eastAsia" w:ascii="MS UI Gothic" w:eastAsia="MS UI Gothic"/>
          <w:w w:val="80"/>
        </w:rPr>
        <w:t xml:space="preserve">ꎬ </w:t>
      </w:r>
      <w:r>
        <w:t>明确各自</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2412" o:spid="_x0000_s2412" style="position:absolute;left:0pt;margin-left:0pt;margin-top:700.1pt;height:1.75pt;width:398.25pt;mso-position-horizontal-relative:page;z-index:252220416;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４７０</w:t>
      </w:r>
    </w:p>
    <w:p>
      <w:pPr>
        <w:pStyle w:val="6"/>
        <w:spacing w:before="297" w:line="240" w:lineRule="exact"/>
        <w:ind w:firstLine="0"/>
        <w:jc w:val="left"/>
        <w:rPr>
          <w:rFonts w:hint="eastAsia" w:ascii="MS UI Gothic" w:eastAsia="MS UI Gothic"/>
        </w:rPr>
      </w:pPr>
      <w:r>
        <w:t>的安全责任</w:t>
      </w:r>
      <w:r>
        <w:rPr>
          <w:rFonts w:hint="eastAsia" w:asci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pStyle w:val="6"/>
        <w:spacing w:before="5"/>
        <w:ind w:left="0" w:firstLine="0"/>
        <w:jc w:val="left"/>
        <w:rPr>
          <w:rFonts w:ascii="Microsoft Yi Baiti"/>
          <w:sz w:val="29"/>
        </w:rPr>
      </w:pPr>
    </w:p>
    <w:p>
      <w:pPr>
        <w:pStyle w:val="6"/>
        <w:spacing w:line="240" w:lineRule="exact"/>
        <w:ind w:left="1933" w:right="2140" w:firstLine="0"/>
        <w:jc w:val="center"/>
        <w:rPr>
          <w:rFonts w:hint="eastAsia" w:ascii="MS UI Gothic" w:eastAsia="MS UI Gothic"/>
        </w:rPr>
      </w:pPr>
      <w:r>
        <w:t>制度</w:t>
      </w:r>
      <w:r>
        <w:rPr>
          <w:rFonts w:hint="eastAsia" w:ascii="MS UI Gothic" w:eastAsia="MS UI Gothic"/>
        </w:rPr>
        <w:t xml:space="preserve">、 </w:t>
      </w:r>
      <w:r>
        <w:t>紧急处理措施</w:t>
      </w:r>
      <w:r>
        <w:rPr>
          <w:rFonts w:hint="eastAsia" w:ascii="MS UI Gothic" w:eastAsia="MS UI Gothic"/>
          <w:w w:val="80"/>
        </w:rPr>
        <w:t>ꎮ</w:t>
      </w:r>
    </w:p>
    <w:p>
      <w:pPr>
        <w:spacing w:after="0" w:line="240" w:lineRule="exact"/>
        <w:jc w:val="center"/>
        <w:rPr>
          <w:rFonts w:hint="eastAsia" w:ascii="MS UI Gothic" w:eastAsia="MS UI Gothic"/>
        </w:rPr>
        <w:sectPr>
          <w:pgSz w:w="10500" w:h="14750"/>
          <w:pgMar w:top="960" w:right="980" w:bottom="280" w:left="980" w:header="720" w:footer="720" w:gutter="0"/>
          <w:cols w:equalWidth="0" w:num="2">
            <w:col w:w="1316" w:space="986"/>
            <w:col w:w="6238"/>
          </w:cols>
        </w:sectPr>
      </w:pPr>
    </w:p>
    <w:p>
      <w:pPr>
        <w:pStyle w:val="6"/>
        <w:spacing w:before="74" w:line="295" w:lineRule="auto"/>
        <w:ind w:right="38"/>
        <w:rPr>
          <w:rFonts w:hint="eastAsia" w:ascii="MS UI Gothic" w:eastAsia="MS UI Gothic"/>
        </w:rPr>
      </w:pPr>
      <w:r>
        <w:t>第十九条 电梯的制造</w:t>
      </w:r>
      <w:r>
        <w:rPr>
          <w:rFonts w:hint="eastAsia" w:ascii="MS UI Gothic" w:eastAsia="MS UI Gothic"/>
          <w:w w:val="80"/>
        </w:rPr>
        <w:t xml:space="preserve">、 </w:t>
      </w:r>
      <w:r>
        <w:t>安装</w:t>
      </w:r>
      <w:r>
        <w:rPr>
          <w:rFonts w:hint="eastAsia" w:ascii="MS UI Gothic" w:eastAsia="MS UI Gothic"/>
          <w:w w:val="80"/>
        </w:rPr>
        <w:t xml:space="preserve">、  </w:t>
      </w:r>
      <w:r>
        <w:t>改造和维修活动</w:t>
      </w:r>
      <w:r>
        <w:rPr>
          <w:rFonts w:hint="eastAsia" w:ascii="MS UI Gothic" w:eastAsia="MS UI Gothic"/>
          <w:w w:val="80"/>
        </w:rPr>
        <w:t xml:space="preserve">ꎬ </w:t>
      </w:r>
      <w:r>
        <w:t>必须严格遵守安全技术规范的要求</w:t>
      </w:r>
      <w:r>
        <w:rPr>
          <w:rFonts w:hint="eastAsia" w:ascii="MS UI Gothic" w:eastAsia="MS UI Gothic"/>
          <w:w w:val="80"/>
        </w:rPr>
        <w:t xml:space="preserve">ꎮ </w:t>
      </w:r>
      <w:r>
        <w:t>电梯制造单位委托或者同意其他单位进行电梯安装</w:t>
      </w:r>
      <w:r>
        <w:rPr>
          <w:rFonts w:hint="eastAsia" w:ascii="MS UI Gothic" w:eastAsia="MS UI Gothic"/>
          <w:w w:val="80"/>
        </w:rPr>
        <w:t xml:space="preserve">、 </w:t>
      </w:r>
      <w:r>
        <w:t>改造</w:t>
      </w:r>
      <w:r>
        <w:rPr>
          <w:rFonts w:hint="eastAsia" w:ascii="MS UI Gothic" w:eastAsia="MS UI Gothic"/>
          <w:w w:val="80"/>
        </w:rPr>
        <w:t xml:space="preserve">、 </w:t>
      </w:r>
      <w:r>
        <w:t>维修活动的</w:t>
      </w:r>
      <w:r>
        <w:rPr>
          <w:rFonts w:hint="eastAsia" w:ascii="MS UI Gothic" w:eastAsia="MS UI Gothic"/>
          <w:w w:val="80"/>
        </w:rPr>
        <w:t>ꎬ</w:t>
      </w:r>
      <w:r>
        <w:t>应当对其安装</w:t>
      </w:r>
      <w:r>
        <w:rPr>
          <w:rFonts w:hint="eastAsia" w:ascii="MS UI Gothic" w:eastAsia="MS UI Gothic"/>
          <w:w w:val="80"/>
        </w:rPr>
        <w:t xml:space="preserve">、 </w:t>
      </w:r>
      <w:r>
        <w:t>改造</w:t>
      </w:r>
      <w:r>
        <w:rPr>
          <w:rFonts w:hint="eastAsia" w:ascii="MS UI Gothic" w:eastAsia="MS UI Gothic"/>
          <w:w w:val="80"/>
        </w:rPr>
        <w:t xml:space="preserve">、 </w:t>
      </w:r>
      <w:r>
        <w:t>维修活动进行安全指导和监控</w:t>
      </w:r>
      <w:r>
        <w:rPr>
          <w:rFonts w:hint="eastAsia" w:ascii="MS UI Gothic" w:eastAsia="MS UI Gothic"/>
          <w:w w:val="80"/>
        </w:rPr>
        <w:t xml:space="preserve">ꎮ </w:t>
      </w:r>
      <w:r>
        <w:t>电梯的安装</w:t>
      </w:r>
      <w:r>
        <w:rPr>
          <w:rFonts w:hint="eastAsia" w:ascii="MS UI Gothic" w:eastAsia="MS UI Gothic"/>
          <w:w w:val="80"/>
        </w:rPr>
        <w:t xml:space="preserve">、 </w:t>
      </w:r>
      <w:r>
        <w:t>改造</w:t>
      </w:r>
      <w:r>
        <w:rPr>
          <w:rFonts w:hint="eastAsia" w:ascii="MS UI Gothic" w:eastAsia="MS UI Gothic"/>
          <w:w w:val="80"/>
        </w:rPr>
        <w:t xml:space="preserve">、 </w:t>
      </w:r>
      <w:r>
        <w:t>维修活动结束后</w:t>
      </w:r>
      <w:r>
        <w:rPr>
          <w:rFonts w:hint="eastAsia" w:ascii="MS UI Gothic" w:eastAsia="MS UI Gothic"/>
          <w:w w:val="80"/>
        </w:rPr>
        <w:t xml:space="preserve">ꎬ </w:t>
      </w:r>
      <w:r>
        <w:t>电梯制造单位应当按照安全技术规范的要求对电梯进行校验和调试</w:t>
      </w:r>
      <w:r>
        <w:rPr>
          <w:rFonts w:hint="eastAsia" w:ascii="MS UI Gothic" w:eastAsia="MS UI Gothic"/>
          <w:w w:val="80"/>
        </w:rPr>
        <w:t xml:space="preserve">ꎬ </w:t>
      </w:r>
      <w:r>
        <w:t>并对校验和调试的结果负责</w:t>
      </w:r>
      <w:r>
        <w:rPr>
          <w:rFonts w:hint="eastAsia" w:ascii="MS UI Gothic" w:eastAsia="MS UI Gothic"/>
          <w:w w:val="80"/>
        </w:rPr>
        <w:t>ꎮ</w:t>
      </w:r>
    </w:p>
    <w:p>
      <w:pPr>
        <w:pStyle w:val="6"/>
        <w:spacing w:line="295" w:lineRule="auto"/>
        <w:ind w:right="38"/>
        <w:rPr>
          <w:rFonts w:hint="eastAsia" w:ascii="MS UI Gothic" w:eastAsia="MS UI Gothic"/>
        </w:rPr>
      </w:pPr>
      <w:r>
        <w:t>第二十条 锅炉</w:t>
      </w:r>
      <w:r>
        <w:rPr>
          <w:rFonts w:hint="eastAsia" w:ascii="MS UI Gothic" w:eastAsia="MS UI Gothic"/>
          <w:w w:val="80"/>
        </w:rPr>
        <w:t xml:space="preserve">、 </w:t>
      </w:r>
      <w:r>
        <w:t>压力容器</w:t>
      </w:r>
      <w:r>
        <w:rPr>
          <w:rFonts w:hint="eastAsia" w:ascii="MS UI Gothic" w:eastAsia="MS UI Gothic"/>
          <w:w w:val="80"/>
        </w:rPr>
        <w:t xml:space="preserve">、  </w:t>
      </w:r>
      <w:r>
        <w:t>电梯</w:t>
      </w:r>
      <w:r>
        <w:rPr>
          <w:rFonts w:hint="eastAsia" w:ascii="MS UI Gothic" w:eastAsia="MS UI Gothic"/>
          <w:w w:val="80"/>
        </w:rPr>
        <w:t>、</w:t>
      </w:r>
      <w:r>
        <w:t>起重机械</w:t>
      </w:r>
      <w:r>
        <w:rPr>
          <w:rFonts w:hint="eastAsia" w:ascii="MS UI Gothic" w:eastAsia="MS UI Gothic"/>
          <w:w w:val="80"/>
        </w:rPr>
        <w:t xml:space="preserve">、 </w:t>
      </w:r>
      <w:r>
        <w:t>客运索道</w:t>
      </w:r>
      <w:r>
        <w:rPr>
          <w:rFonts w:hint="eastAsia" w:ascii="MS UI Gothic" w:eastAsia="MS UI Gothic"/>
          <w:w w:val="80"/>
        </w:rPr>
        <w:t xml:space="preserve">、 </w:t>
      </w:r>
      <w:r>
        <w:t>大型游乐设施的安装</w:t>
      </w:r>
      <w:r>
        <w:rPr>
          <w:rFonts w:hint="eastAsia" w:ascii="MS UI Gothic" w:eastAsia="MS UI Gothic"/>
          <w:w w:val="80"/>
        </w:rPr>
        <w:t xml:space="preserve">、 </w:t>
      </w:r>
      <w:r>
        <w:t>改造</w:t>
      </w:r>
      <w:r>
        <w:rPr>
          <w:rFonts w:hint="eastAsia" w:ascii="MS UI Gothic" w:eastAsia="MS UI Gothic"/>
          <w:w w:val="80"/>
        </w:rPr>
        <w:t xml:space="preserve">、 </w:t>
      </w:r>
      <w:r>
        <w:t xml:space="preserve">维修以及场 </w:t>
      </w:r>
      <w:r>
        <w:rPr>
          <w:rFonts w:hint="eastAsia" w:ascii="MS UI Gothic" w:eastAsia="MS UI Gothic"/>
          <w:w w:val="145"/>
        </w:rPr>
        <w:t xml:space="preserve">( </w:t>
      </w:r>
      <w:r>
        <w:t>厂</w:t>
      </w:r>
      <w:r>
        <w:rPr>
          <w:rFonts w:hint="eastAsia" w:ascii="MS UI Gothic" w:eastAsia="MS UI Gothic"/>
          <w:w w:val="145"/>
        </w:rPr>
        <w:t xml:space="preserve">) </w:t>
      </w:r>
      <w:r>
        <w:t>内专用机动车辆的改造</w:t>
      </w:r>
      <w:r>
        <w:rPr>
          <w:rFonts w:hint="eastAsia" w:ascii="MS UI Gothic" w:eastAsia="MS UI Gothic"/>
          <w:w w:val="80"/>
        </w:rPr>
        <w:t xml:space="preserve">、 </w:t>
      </w:r>
      <w:r>
        <w:t>维修竣工后</w:t>
      </w:r>
      <w:r>
        <w:rPr>
          <w:rFonts w:hint="eastAsia" w:ascii="MS UI Gothic" w:eastAsia="MS UI Gothic"/>
          <w:w w:val="80"/>
        </w:rPr>
        <w:t xml:space="preserve">ꎬ </w:t>
      </w:r>
      <w:r>
        <w:t>安装</w:t>
      </w:r>
      <w:r>
        <w:rPr>
          <w:rFonts w:hint="eastAsia" w:ascii="MS UI Gothic" w:eastAsia="MS UI Gothic"/>
          <w:w w:val="80"/>
        </w:rPr>
        <w:t xml:space="preserve">、 </w:t>
      </w:r>
      <w:r>
        <w:t>改造</w:t>
      </w:r>
      <w:r>
        <w:rPr>
          <w:rFonts w:hint="eastAsia" w:ascii="MS UI Gothic" w:eastAsia="MS UI Gothic"/>
          <w:w w:val="80"/>
        </w:rPr>
        <w:t xml:space="preserve">、 </w:t>
      </w:r>
      <w:r>
        <w:t xml:space="preserve">维修的施工单位应当在验收后 </w:t>
      </w:r>
      <w:r>
        <w:rPr>
          <w:rFonts w:hint="eastAsia" w:ascii="MS UI Gothic" w:eastAsia="MS UI Gothic"/>
          <w:w w:val="80"/>
        </w:rPr>
        <w:t xml:space="preserve">３０ </w:t>
      </w:r>
      <w:r>
        <w:t>日内将有关技术资料移交使用单位</w:t>
      </w:r>
      <w:r>
        <w:rPr>
          <w:rFonts w:hint="eastAsia" w:ascii="MS UI Gothic" w:eastAsia="MS UI Gothic"/>
          <w:w w:val="80"/>
        </w:rPr>
        <w:t xml:space="preserve">ꎬ </w:t>
      </w:r>
      <w:r>
        <w:t>高耗能特种设备还应当按照安全技术规范的要求提交能效测试报告</w:t>
      </w:r>
      <w:r>
        <w:rPr>
          <w:rFonts w:hint="eastAsia" w:ascii="MS UI Gothic" w:eastAsia="MS UI Gothic"/>
          <w:w w:val="80"/>
        </w:rPr>
        <w:t xml:space="preserve">ꎮ </w:t>
      </w:r>
      <w:r>
        <w:t>使用单位应当将其存入该特种设备的安全技术档案</w:t>
      </w:r>
      <w:r>
        <w:rPr>
          <w:rFonts w:hint="eastAsia" w:ascii="MS UI Gothic" w:eastAsia="MS UI Gothic"/>
          <w:w w:val="80"/>
        </w:rPr>
        <w:t>ꎮ</w:t>
      </w:r>
    </w:p>
    <w:p>
      <w:pPr>
        <w:pStyle w:val="6"/>
        <w:spacing w:line="295" w:lineRule="auto"/>
        <w:ind w:right="38"/>
        <w:rPr>
          <w:rFonts w:hint="eastAsia" w:ascii="MS UI Gothic" w:eastAsia="MS UI Gothic"/>
        </w:rPr>
      </w:pPr>
      <w:r>
        <w:t>第二十一条 锅炉</w:t>
      </w:r>
      <w:r>
        <w:rPr>
          <w:rFonts w:hint="eastAsia" w:ascii="MS UI Gothic" w:eastAsia="MS UI Gothic"/>
          <w:w w:val="80"/>
        </w:rPr>
        <w:t xml:space="preserve">、 </w:t>
      </w:r>
      <w:r>
        <w:t>压力容器</w:t>
      </w:r>
      <w:r>
        <w:rPr>
          <w:rFonts w:hint="eastAsia" w:ascii="MS UI Gothic" w:eastAsia="MS UI Gothic"/>
          <w:w w:val="80"/>
        </w:rPr>
        <w:t xml:space="preserve">、  </w:t>
      </w:r>
      <w:r>
        <w:t>压力管道元件</w:t>
      </w:r>
      <w:r>
        <w:rPr>
          <w:rFonts w:hint="eastAsia" w:ascii="MS UI Gothic" w:eastAsia="MS UI Gothic"/>
          <w:w w:val="80"/>
        </w:rPr>
        <w:t xml:space="preserve">、 </w:t>
      </w:r>
      <w:r>
        <w:t>起重机械</w:t>
      </w:r>
      <w:r>
        <w:rPr>
          <w:rFonts w:hint="eastAsia" w:ascii="MS UI Gothic" w:eastAsia="MS UI Gothic"/>
          <w:w w:val="80"/>
        </w:rPr>
        <w:t xml:space="preserve">、 </w:t>
      </w:r>
      <w:r>
        <w:t>大型游乐设施的制造过程和锅炉</w:t>
      </w:r>
      <w:r>
        <w:rPr>
          <w:rFonts w:hint="eastAsia" w:ascii="MS UI Gothic" w:eastAsia="MS UI Gothic"/>
          <w:w w:val="80"/>
        </w:rPr>
        <w:t xml:space="preserve">、 </w:t>
      </w:r>
      <w:r>
        <w:t>压力容器</w:t>
      </w:r>
      <w:r>
        <w:rPr>
          <w:rFonts w:hint="eastAsia" w:ascii="MS UI Gothic" w:eastAsia="MS UI Gothic"/>
          <w:w w:val="80"/>
        </w:rPr>
        <w:t xml:space="preserve">、 </w:t>
      </w:r>
      <w:r>
        <w:t>电梯</w:t>
      </w:r>
      <w:r>
        <w:rPr>
          <w:rFonts w:hint="eastAsia" w:ascii="MS UI Gothic" w:eastAsia="MS UI Gothic"/>
          <w:w w:val="80"/>
        </w:rPr>
        <w:t xml:space="preserve">、 </w:t>
      </w:r>
      <w:r>
        <w:t>起重机械</w:t>
      </w:r>
      <w:r>
        <w:rPr>
          <w:rFonts w:hint="eastAsia" w:ascii="MS UI Gothic" w:eastAsia="MS UI Gothic"/>
          <w:w w:val="80"/>
        </w:rPr>
        <w:t xml:space="preserve">、 </w:t>
      </w:r>
      <w:r>
        <w:t>客运索道</w:t>
      </w:r>
      <w:r>
        <w:rPr>
          <w:rFonts w:hint="eastAsia" w:ascii="MS UI Gothic" w:eastAsia="MS UI Gothic"/>
          <w:w w:val="80"/>
        </w:rPr>
        <w:t xml:space="preserve">、 </w:t>
      </w:r>
      <w:r>
        <w:t>大型游乐设施的安装</w:t>
      </w:r>
      <w:r>
        <w:rPr>
          <w:rFonts w:hint="eastAsia" w:ascii="MS UI Gothic" w:eastAsia="MS UI Gothic"/>
          <w:w w:val="80"/>
        </w:rPr>
        <w:t xml:space="preserve">、 </w:t>
      </w:r>
      <w:r>
        <w:t>改造</w:t>
      </w:r>
      <w:r>
        <w:rPr>
          <w:rFonts w:hint="eastAsia" w:ascii="MS UI Gothic" w:eastAsia="MS UI Gothic"/>
          <w:w w:val="80"/>
        </w:rPr>
        <w:t xml:space="preserve">、 </w:t>
      </w:r>
      <w:r>
        <w:t>重大维修过程</w:t>
      </w:r>
      <w:r>
        <w:rPr>
          <w:rFonts w:hint="eastAsia" w:ascii="MS UI Gothic" w:eastAsia="MS UI Gothic"/>
          <w:w w:val="80"/>
        </w:rPr>
        <w:t xml:space="preserve">ꎬ </w:t>
      </w:r>
      <w:r>
        <w:t>必须经国务院特种设备安全监督管理部门核准的检验检测机构按照安全技术规范的要求进行监督检验</w:t>
      </w:r>
      <w:r>
        <w:rPr>
          <w:rFonts w:hint="eastAsia" w:ascii="MS UI Gothic" w:eastAsia="MS UI Gothic"/>
          <w:w w:val="80"/>
        </w:rPr>
        <w:t>ꎻ</w:t>
      </w:r>
      <w:r>
        <w:t>未经监督检验合格的不得出厂或者交付使用</w:t>
      </w:r>
      <w:r>
        <w:rPr>
          <w:rFonts w:hint="eastAsia" w:ascii="MS UI Gothic" w:eastAsia="MS UI Gothic"/>
          <w:w w:val="80"/>
        </w:rPr>
        <w:t>ꎮ</w:t>
      </w:r>
    </w:p>
    <w:p>
      <w:pPr>
        <w:pStyle w:val="6"/>
        <w:spacing w:line="295" w:lineRule="auto"/>
        <w:ind w:right="39"/>
        <w:rPr>
          <w:rFonts w:hint="eastAsia" w:ascii="MS UI Gothic" w:eastAsia="MS UI Gothic"/>
        </w:rPr>
      </w:pPr>
      <w:r>
        <w:t>第二十二条 移动式压力容器</w:t>
      </w:r>
      <w:r>
        <w:rPr>
          <w:rFonts w:hint="eastAsia" w:ascii="MS UI Gothic" w:eastAsia="MS UI Gothic"/>
          <w:w w:val="80"/>
        </w:rPr>
        <w:t xml:space="preserve">、 </w:t>
      </w:r>
      <w:r>
        <w:t>气瓶充装单位应当经省</w:t>
      </w:r>
      <w:r>
        <w:rPr>
          <w:rFonts w:hint="eastAsia" w:ascii="MS UI Gothic" w:eastAsia="MS UI Gothic"/>
          <w:w w:val="80"/>
        </w:rPr>
        <w:t xml:space="preserve">、 </w:t>
      </w:r>
      <w:r>
        <w:t>自治区</w:t>
      </w:r>
      <w:r>
        <w:rPr>
          <w:rFonts w:hint="eastAsia" w:ascii="MS UI Gothic" w:eastAsia="MS UI Gothic"/>
          <w:w w:val="80"/>
        </w:rPr>
        <w:t xml:space="preserve">、 </w:t>
      </w:r>
      <w:r>
        <w:t>直辖市的特种设备安全监督管理部门许可</w:t>
      </w:r>
      <w:r>
        <w:rPr>
          <w:rFonts w:hint="eastAsia" w:ascii="MS UI Gothic" w:eastAsia="MS UI Gothic"/>
          <w:w w:val="80"/>
        </w:rPr>
        <w:t xml:space="preserve">ꎬ </w:t>
      </w:r>
      <w:r>
        <w:t>方可从事充装活动</w:t>
      </w:r>
      <w:r>
        <w:rPr>
          <w:rFonts w:hint="eastAsia" w:ascii="MS UI Gothic" w:eastAsia="MS UI Gothic"/>
          <w:w w:val="80"/>
        </w:rPr>
        <w:t>ꎮ</w:t>
      </w:r>
    </w:p>
    <w:p>
      <w:pPr>
        <w:pStyle w:val="6"/>
        <w:spacing w:line="253" w:lineRule="exact"/>
        <w:ind w:left="543" w:firstLine="0"/>
        <w:jc w:val="left"/>
        <w:rPr>
          <w:rFonts w:hint="eastAsia" w:ascii="MS UI Gothic" w:eastAsia="MS UI Gothic"/>
        </w:rPr>
      </w:pPr>
      <w:r>
        <w:rPr>
          <w:w w:val="115"/>
        </w:rPr>
        <w:t>充装单位应当具备下列条件</w:t>
      </w:r>
      <w:r>
        <w:rPr>
          <w:rFonts w:hint="eastAsia" w:ascii="MS UI Gothic" w:eastAsia="MS UI Gothic"/>
          <w:w w:val="235"/>
        </w:rPr>
        <w:t>:</w:t>
      </w:r>
    </w:p>
    <w:p>
      <w:pPr>
        <w:pStyle w:val="6"/>
        <w:spacing w:before="37" w:line="295" w:lineRule="auto"/>
        <w:ind w:right="39"/>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有与充装和管理相适应的管理</w:t>
      </w:r>
      <w:r>
        <w:rPr>
          <w:w w:val="110"/>
        </w:rPr>
        <w:t>人员和技术人员</w:t>
      </w:r>
      <w:r>
        <w:rPr>
          <w:rFonts w:hint="eastAsia" w:ascii="MS UI Gothic" w:eastAsia="MS UI Gothic"/>
          <w:w w:val="80"/>
        </w:rPr>
        <w:t>ꎻ</w:t>
      </w:r>
    </w:p>
    <w:p>
      <w:pPr>
        <w:pStyle w:val="6"/>
        <w:spacing w:line="295" w:lineRule="auto"/>
        <w:ind w:right="39"/>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有与充装和管理相适应的充装设备</w:t>
      </w:r>
      <w:r>
        <w:rPr>
          <w:rFonts w:hint="eastAsia" w:ascii="MS UI Gothic" w:eastAsia="MS UI Gothic"/>
          <w:w w:val="80"/>
        </w:rPr>
        <w:t xml:space="preserve">、 </w:t>
      </w:r>
      <w:r>
        <w:rPr>
          <w:w w:val="105"/>
        </w:rPr>
        <w:t>检测手段</w:t>
      </w:r>
      <w:r>
        <w:rPr>
          <w:rFonts w:hint="eastAsia" w:ascii="MS UI Gothic" w:eastAsia="MS UI Gothic"/>
          <w:w w:val="80"/>
        </w:rPr>
        <w:t xml:space="preserve">、 </w:t>
      </w:r>
      <w:r>
        <w:rPr>
          <w:w w:val="105"/>
        </w:rPr>
        <w:t>场地厂房</w:t>
      </w:r>
      <w:r>
        <w:rPr>
          <w:rFonts w:hint="eastAsia" w:ascii="MS UI Gothic" w:eastAsia="MS UI Gothic"/>
          <w:w w:val="80"/>
        </w:rPr>
        <w:t xml:space="preserve">、 </w:t>
      </w:r>
      <w:r>
        <w:rPr>
          <w:w w:val="105"/>
        </w:rPr>
        <w:t>器具</w:t>
      </w:r>
      <w:r>
        <w:rPr>
          <w:rFonts w:hint="eastAsia" w:ascii="MS UI Gothic" w:eastAsia="MS UI Gothic"/>
          <w:w w:val="80"/>
        </w:rPr>
        <w:t xml:space="preserve">、 </w:t>
      </w:r>
      <w:r>
        <w:rPr>
          <w:w w:val="105"/>
        </w:rPr>
        <w:t>安全设施</w:t>
      </w:r>
      <w:r>
        <w:rPr>
          <w:rFonts w:hint="eastAsia" w:ascii="MS UI Gothic" w:eastAsia="MS UI Gothic"/>
          <w:w w:val="80"/>
        </w:rPr>
        <w:t>ꎻ</w:t>
      </w:r>
    </w:p>
    <w:p>
      <w:pPr>
        <w:pStyle w:val="6"/>
        <w:spacing w:line="254" w:lineRule="exact"/>
        <w:ind w:left="543" w:firstLine="0"/>
      </w:pPr>
      <w:r>
        <w:rPr>
          <w:rFonts w:hint="eastAsia" w:ascii="MS UI Gothic" w:eastAsia="MS UI Gothic"/>
          <w:spacing w:val="-42"/>
          <w:w w:val="150"/>
        </w:rPr>
        <w:t xml:space="preserve">( </w:t>
      </w:r>
      <w:r>
        <w:rPr>
          <w:spacing w:val="3"/>
          <w:w w:val="110"/>
        </w:rPr>
        <w:t>三</w:t>
      </w:r>
      <w:r>
        <w:rPr>
          <w:rFonts w:hint="eastAsia" w:ascii="MS UI Gothic" w:eastAsia="MS UI Gothic"/>
          <w:spacing w:val="-22"/>
          <w:w w:val="150"/>
        </w:rPr>
        <w:t xml:space="preserve">) </w:t>
      </w:r>
      <w:r>
        <w:rPr>
          <w:spacing w:val="5"/>
          <w:w w:val="110"/>
        </w:rPr>
        <w:t>有健全的充装管理制度</w:t>
      </w:r>
      <w:r>
        <w:rPr>
          <w:rFonts w:hint="eastAsia" w:ascii="MS UI Gothic" w:eastAsia="MS UI Gothic"/>
          <w:spacing w:val="-9"/>
        </w:rPr>
        <w:t xml:space="preserve">、 </w:t>
      </w:r>
      <w:r>
        <w:rPr>
          <w:spacing w:val="5"/>
          <w:w w:val="110"/>
        </w:rPr>
        <w:t>责任</w:t>
      </w:r>
    </w:p>
    <w:p>
      <w:pPr>
        <w:pStyle w:val="6"/>
        <w:spacing w:before="74" w:line="295" w:lineRule="auto"/>
        <w:ind w:right="442"/>
        <w:rPr>
          <w:rFonts w:hint="eastAsia" w:ascii="MS UI Gothic" w:eastAsia="MS UI Gothic"/>
        </w:rPr>
      </w:pPr>
      <w:r>
        <w:br w:type="column"/>
      </w:r>
      <w:r>
        <w:t>气瓶充装单位应当向气体使用者提供符合安全技术规范要求的气瓶</w:t>
      </w:r>
      <w:r>
        <w:rPr>
          <w:rFonts w:hint="eastAsia" w:ascii="MS UI Gothic" w:eastAsia="MS UI Gothic"/>
          <w:w w:val="80"/>
        </w:rPr>
        <w:t xml:space="preserve">ꎬ </w:t>
      </w:r>
      <w:r>
        <w:t>对使用者进行气瓶安全使用指导</w:t>
      </w:r>
      <w:r>
        <w:rPr>
          <w:rFonts w:hint="eastAsia" w:ascii="MS UI Gothic" w:eastAsia="MS UI Gothic"/>
          <w:w w:val="80"/>
        </w:rPr>
        <w:t xml:space="preserve">ꎬ </w:t>
      </w:r>
      <w:r>
        <w:t>并按照安全技术规范的要求办理气瓶使用登记</w:t>
      </w:r>
      <w:r>
        <w:rPr>
          <w:rFonts w:hint="eastAsia" w:ascii="MS UI Gothic" w:eastAsia="MS UI Gothic"/>
          <w:w w:val="80"/>
        </w:rPr>
        <w:t xml:space="preserve">ꎬ </w:t>
      </w:r>
      <w:r>
        <w:t>提出气瓶的定期检验要求</w:t>
      </w:r>
      <w:r>
        <w:rPr>
          <w:rFonts w:hint="eastAsia" w:ascii="MS UI Gothic" w:eastAsia="MS UI Gothic"/>
          <w:w w:val="80"/>
        </w:rPr>
        <w:t>ꎮ</w:t>
      </w:r>
    </w:p>
    <w:p>
      <w:pPr>
        <w:pStyle w:val="6"/>
        <w:tabs>
          <w:tab w:val="left" w:pos="1696"/>
        </w:tabs>
        <w:spacing w:before="153"/>
        <w:ind w:left="858" w:firstLine="0"/>
        <w:jc w:val="left"/>
      </w:pPr>
      <w:r>
        <w:rPr>
          <w:spacing w:val="3"/>
          <w:w w:val="105"/>
        </w:rPr>
        <w:t>第三</w:t>
      </w:r>
      <w:r>
        <w:rPr>
          <w:w w:val="105"/>
        </w:rPr>
        <w:t>章</w:t>
      </w:r>
      <w:r>
        <w:rPr>
          <w:w w:val="105"/>
        </w:rPr>
        <w:tab/>
      </w:r>
      <w:r>
        <w:rPr>
          <w:spacing w:val="3"/>
          <w:w w:val="105"/>
        </w:rPr>
        <w:t>特种设备的使</w:t>
      </w:r>
      <w:r>
        <w:rPr>
          <w:w w:val="105"/>
        </w:rPr>
        <w:t>用</w:t>
      </w:r>
    </w:p>
    <w:p>
      <w:pPr>
        <w:pStyle w:val="6"/>
        <w:spacing w:before="11"/>
        <w:ind w:left="0" w:firstLine="0"/>
        <w:jc w:val="left"/>
        <w:rPr>
          <w:sz w:val="16"/>
        </w:rPr>
      </w:pPr>
    </w:p>
    <w:p>
      <w:pPr>
        <w:pStyle w:val="6"/>
        <w:spacing w:line="295" w:lineRule="auto"/>
        <w:ind w:right="442"/>
        <w:rPr>
          <w:rFonts w:hint="eastAsia" w:ascii="MS UI Gothic" w:eastAsia="MS UI Gothic"/>
        </w:rPr>
      </w:pPr>
      <w:r>
        <w:t>第二十三条 特种设备使用单位</w:t>
      </w:r>
      <w:r>
        <w:rPr>
          <w:rFonts w:hint="eastAsia" w:ascii="MS UI Gothic" w:eastAsia="MS UI Gothic"/>
          <w:w w:val="80"/>
        </w:rPr>
        <w:t xml:space="preserve">ꎬ </w:t>
      </w:r>
      <w:r>
        <w:t>应当严格执行本条例和有关安全生产的法律</w:t>
      </w:r>
      <w:r>
        <w:rPr>
          <w:rFonts w:hint="eastAsia" w:ascii="MS UI Gothic" w:eastAsia="MS UI Gothic"/>
          <w:w w:val="80"/>
        </w:rPr>
        <w:t xml:space="preserve">、 </w:t>
      </w:r>
      <w:r>
        <w:t>行政法规的规定</w:t>
      </w:r>
      <w:r>
        <w:rPr>
          <w:rFonts w:hint="eastAsia" w:ascii="MS UI Gothic" w:eastAsia="MS UI Gothic"/>
          <w:w w:val="80"/>
        </w:rPr>
        <w:t xml:space="preserve">ꎬ </w:t>
      </w:r>
      <w:r>
        <w:t>保证特种设备的安全使用</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第二十四条 特种设备使用单位应当</w:t>
      </w:r>
      <w:r>
        <w:t>使用符合安全技术规范要求的特种设备</w:t>
      </w:r>
      <w:r>
        <w:rPr>
          <w:rFonts w:hint="eastAsia" w:ascii="MS UI Gothic" w:eastAsia="MS UI Gothic"/>
          <w:w w:val="80"/>
        </w:rPr>
        <w:t>ꎮ</w:t>
      </w:r>
      <w:r>
        <w:t>特种设备投入使用前</w:t>
      </w:r>
      <w:r>
        <w:rPr>
          <w:rFonts w:hint="eastAsia" w:ascii="MS UI Gothic" w:eastAsia="MS UI Gothic"/>
          <w:w w:val="80"/>
        </w:rPr>
        <w:t xml:space="preserve">ꎬ </w:t>
      </w:r>
      <w:r>
        <w:t>使用单位应当核对其是否附有本条例第十五条规定的相关</w:t>
      </w:r>
      <w:r>
        <w:rPr>
          <w:w w:val="105"/>
        </w:rPr>
        <w:t>文件</w:t>
      </w:r>
      <w:r>
        <w:rPr>
          <w:rFonts w:hint="eastAsia" w:ascii="MS UI Gothic" w:eastAsia="MS UI Gothic"/>
          <w:w w:val="80"/>
        </w:rPr>
        <w:t>ꎮ</w:t>
      </w:r>
    </w:p>
    <w:p>
      <w:pPr>
        <w:pStyle w:val="6"/>
        <w:spacing w:line="295" w:lineRule="auto"/>
        <w:ind w:right="442"/>
        <w:rPr>
          <w:rFonts w:hint="eastAsia" w:ascii="MS UI Gothic" w:eastAsia="MS UI Gothic"/>
        </w:rPr>
      </w:pPr>
      <w:r>
        <w:t xml:space="preserve">第二十五条 特种设备在投入使用前或者投入使用后 </w:t>
      </w:r>
      <w:r>
        <w:rPr>
          <w:rFonts w:hint="eastAsia" w:ascii="MS UI Gothic" w:eastAsia="MS UI Gothic"/>
          <w:w w:val="85"/>
        </w:rPr>
        <w:t xml:space="preserve">３０ </w:t>
      </w:r>
      <w:r>
        <w:t>日内</w:t>
      </w:r>
      <w:r>
        <w:rPr>
          <w:rFonts w:hint="eastAsia" w:ascii="MS UI Gothic" w:eastAsia="MS UI Gothic"/>
          <w:w w:val="85"/>
        </w:rPr>
        <w:t xml:space="preserve">ꎬ </w:t>
      </w:r>
      <w:r>
        <w:t>特种设备使用单位应当向直辖市或者设区的市的特种设备安全监督管理部门登记</w:t>
      </w:r>
      <w:r>
        <w:rPr>
          <w:rFonts w:hint="eastAsia" w:ascii="MS UI Gothic" w:eastAsia="MS UI Gothic"/>
          <w:w w:val="85"/>
        </w:rPr>
        <w:t xml:space="preserve">ꎮ </w:t>
      </w:r>
      <w:r>
        <w:t>登记标志应当置于或者附着于该特种设备的显著位置</w:t>
      </w:r>
      <w:r>
        <w:rPr>
          <w:rFonts w:hint="eastAsia" w:ascii="MS UI Gothic" w:eastAsia="MS UI Gothic"/>
          <w:w w:val="85"/>
        </w:rPr>
        <w:t>ꎮ</w:t>
      </w:r>
    </w:p>
    <w:p>
      <w:pPr>
        <w:pStyle w:val="6"/>
        <w:spacing w:line="295" w:lineRule="auto"/>
        <w:ind w:right="442"/>
        <w:rPr>
          <w:rFonts w:hint="eastAsia" w:ascii="MS UI Gothic" w:eastAsia="MS UI Gothic"/>
        </w:rPr>
      </w:pPr>
      <w:r>
        <w:rPr>
          <w:w w:val="105"/>
        </w:rPr>
        <w:t>第二十六条 特种设备使用单位应当</w:t>
      </w:r>
      <w:r>
        <w:t>建立特种设备安全技术档案</w:t>
      </w:r>
      <w:r>
        <w:rPr>
          <w:rFonts w:hint="eastAsia" w:ascii="MS UI Gothic" w:eastAsia="MS UI Gothic"/>
          <w:w w:val="80"/>
        </w:rPr>
        <w:t xml:space="preserve">ꎮ </w:t>
      </w:r>
      <w:r>
        <w:t>安全技术档</w:t>
      </w:r>
      <w:r>
        <w:rPr>
          <w:w w:val="105"/>
        </w:rPr>
        <w:t>案应当包括以下内容</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特种设备的设计文件</w:t>
      </w:r>
      <w:r>
        <w:rPr>
          <w:rFonts w:hint="eastAsia" w:ascii="MS UI Gothic" w:eastAsia="MS UI Gothic"/>
          <w:w w:val="80"/>
        </w:rPr>
        <w:t xml:space="preserve">、 </w:t>
      </w:r>
      <w:r>
        <w:rPr>
          <w:w w:val="105"/>
        </w:rPr>
        <w:t>制造单位</w:t>
      </w:r>
      <w:r>
        <w:rPr>
          <w:rFonts w:hint="eastAsia" w:ascii="MS UI Gothic" w:eastAsia="MS UI Gothic"/>
          <w:w w:val="80"/>
        </w:rPr>
        <w:t xml:space="preserve">、 </w:t>
      </w:r>
      <w:r>
        <w:rPr>
          <w:w w:val="105"/>
        </w:rPr>
        <w:t>产品质量合格证明</w:t>
      </w:r>
      <w:r>
        <w:rPr>
          <w:rFonts w:hint="eastAsia" w:ascii="MS UI Gothic" w:eastAsia="MS UI Gothic"/>
          <w:w w:val="80"/>
        </w:rPr>
        <w:t xml:space="preserve">、 </w:t>
      </w:r>
      <w:r>
        <w:rPr>
          <w:w w:val="105"/>
        </w:rPr>
        <w:t>使用维护说明等文件以及安装技术文件和资料</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特种设备的定期检验和定期自</w:t>
      </w:r>
      <w:r>
        <w:rPr>
          <w:w w:val="110"/>
        </w:rPr>
        <w:t>行检查的记录</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三</w:t>
      </w:r>
      <w:r>
        <w:rPr>
          <w:rFonts w:hint="eastAsia" w:ascii="MS UI Gothic" w:eastAsia="MS UI Gothic"/>
          <w:spacing w:val="-13"/>
          <w:w w:val="130"/>
        </w:rPr>
        <w:t xml:space="preserve">) </w:t>
      </w:r>
      <w:r>
        <w:rPr>
          <w:spacing w:val="41"/>
          <w:w w:val="110"/>
        </w:rPr>
        <w:t>特种设备的日常使用状况</w:t>
      </w:r>
      <w:r>
        <w:rPr>
          <w:spacing w:val="3"/>
          <w:w w:val="110"/>
        </w:rPr>
        <w:t>记录</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特种设备及其安全附件</w:t>
      </w:r>
      <w:r>
        <w:rPr>
          <w:rFonts w:hint="eastAsia" w:ascii="MS UI Gothic" w:eastAsia="MS UI Gothic"/>
          <w:w w:val="80"/>
        </w:rPr>
        <w:t xml:space="preserve">、 </w:t>
      </w:r>
      <w:r>
        <w:rPr>
          <w:w w:val="105"/>
        </w:rPr>
        <w:t>安全保护装置</w:t>
      </w:r>
      <w:r>
        <w:rPr>
          <w:rFonts w:hint="eastAsia" w:ascii="MS UI Gothic" w:eastAsia="MS UI Gothic"/>
          <w:w w:val="80"/>
        </w:rPr>
        <w:t xml:space="preserve">、 </w:t>
      </w:r>
      <w:r>
        <w:rPr>
          <w:w w:val="105"/>
        </w:rPr>
        <w:t>测量调控装置及有关附属仪器仪表的日常维护保养记录</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spacing w:val="-36"/>
          <w:w w:val="130"/>
        </w:rPr>
        <w:t xml:space="preserve">( </w:t>
      </w:r>
      <w:r>
        <w:rPr>
          <w:spacing w:val="29"/>
          <w:w w:val="110"/>
        </w:rPr>
        <w:t>五</w:t>
      </w:r>
      <w:r>
        <w:rPr>
          <w:rFonts w:hint="eastAsia" w:ascii="MS UI Gothic" w:eastAsia="MS UI Gothic"/>
          <w:spacing w:val="-13"/>
          <w:w w:val="130"/>
        </w:rPr>
        <w:t xml:space="preserve">) </w:t>
      </w:r>
      <w:r>
        <w:rPr>
          <w:spacing w:val="41"/>
          <w:w w:val="110"/>
        </w:rPr>
        <w:t>特种设备运行故障和事故</w:t>
      </w:r>
      <w:r>
        <w:rPr>
          <w:spacing w:val="3"/>
          <w:w w:val="110"/>
        </w:rPr>
        <w:t>记录</w:t>
      </w:r>
      <w:r>
        <w:rPr>
          <w:rFonts w:hint="eastAsia" w:ascii="MS UI Gothic" w:eastAsia="MS UI Gothic"/>
          <w:w w:val="80"/>
        </w:rPr>
        <w:t>ꎻ</w:t>
      </w:r>
    </w:p>
    <w:p>
      <w:pPr>
        <w:pStyle w:val="6"/>
        <w:spacing w:line="295" w:lineRule="auto"/>
        <w:ind w:right="442"/>
      </w:pPr>
      <w:r>
        <w:rPr>
          <w:rFonts w:hint="eastAsia" w:ascii="MS UI Gothic" w:eastAsia="MS UI Gothic"/>
          <w:w w:val="105"/>
        </w:rPr>
        <w:t xml:space="preserve">( </w:t>
      </w:r>
      <w:r>
        <w:rPr>
          <w:w w:val="105"/>
        </w:rPr>
        <w:t>六</w:t>
      </w:r>
      <w:r>
        <w:rPr>
          <w:rFonts w:hint="eastAsia" w:ascii="MS UI Gothic" w:eastAsia="MS UI Gothic"/>
          <w:w w:val="105"/>
        </w:rPr>
        <w:t xml:space="preserve">) </w:t>
      </w:r>
      <w:r>
        <w:rPr>
          <w:w w:val="105"/>
        </w:rPr>
        <w:t>高耗能特种设备的能效测试报</w:t>
      </w:r>
      <w:r>
        <w:t>告</w:t>
      </w:r>
      <w:r>
        <w:rPr>
          <w:rFonts w:hint="eastAsia" w:ascii="MS UI Gothic" w:eastAsia="MS UI Gothic"/>
        </w:rPr>
        <w:t xml:space="preserve">、 </w:t>
      </w:r>
      <w:r>
        <w:t>能耗状况记录以及节能改造技术</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４７１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13" o:spid="_x0000_s2413" o:spt="203" style="height:2.15pt;width:398.25pt;" coordsize="7965,43">
            <o:lock v:ext="edit"/>
            <v:line id="_x0000_s2414" o:spid="_x0000_s2414" o:spt="20" style="position:absolute;left:0;top:39;height:0;width:7965;" stroked="t" coordsize="21600,21600">
              <v:path arrowok="t"/>
              <v:fill focussize="0,0"/>
              <v:stroke weight="0.388031496062992pt" color="#231F20"/>
              <v:imagedata o:title=""/>
              <o:lock v:ext="edit"/>
            </v:line>
            <v:line id="_x0000_s2415" o:spid="_x0000_s241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ind w:left="440" w:firstLine="0"/>
        <w:jc w:val="left"/>
        <w:rPr>
          <w:rFonts w:hint="eastAsia" w:ascii="MS UI Gothic" w:eastAsia="MS UI Gothic"/>
        </w:rPr>
      </w:pPr>
      <w:r>
        <w:t>资料</w:t>
      </w:r>
      <w:r>
        <w:rPr>
          <w:rFonts w:hint="eastAsia" w:ascii="MS UI Gothic" w:eastAsia="MS UI Gothic"/>
          <w:w w:val="80"/>
        </w:rPr>
        <w:t>ꎮ</w:t>
      </w:r>
    </w:p>
    <w:p>
      <w:pPr>
        <w:pStyle w:val="6"/>
        <w:spacing w:before="58" w:line="295" w:lineRule="auto"/>
        <w:ind w:left="440" w:right="1"/>
        <w:rPr>
          <w:rFonts w:hint="eastAsia" w:ascii="MS UI Gothic" w:eastAsia="MS UI Gothic"/>
        </w:rPr>
      </w:pPr>
      <w:r>
        <w:rPr>
          <w:w w:val="105"/>
        </w:rPr>
        <w:t>第二十七条 特种设备使用单位应当</w:t>
      </w:r>
      <w:r>
        <w:t>对在用特种设备进行经常性日常维护保</w:t>
      </w:r>
      <w:r>
        <w:rPr>
          <w:w w:val="105"/>
        </w:rPr>
        <w:t>养</w:t>
      </w:r>
      <w:r>
        <w:rPr>
          <w:rFonts w:hint="eastAsia" w:ascii="MS UI Gothic" w:eastAsia="MS UI Gothic"/>
          <w:w w:val="80"/>
        </w:rPr>
        <w:t xml:space="preserve">ꎬ </w:t>
      </w:r>
      <w:r>
        <w:rPr>
          <w:w w:val="105"/>
        </w:rPr>
        <w:t>并定期自行检查</w:t>
      </w:r>
      <w:r>
        <w:rPr>
          <w:rFonts w:hint="eastAsia" w:ascii="MS UI Gothic" w:eastAsia="MS UI Gothic"/>
          <w:w w:val="80"/>
        </w:rPr>
        <w:t>ꎮ</w:t>
      </w:r>
    </w:p>
    <w:p>
      <w:pPr>
        <w:pStyle w:val="6"/>
        <w:spacing w:line="295" w:lineRule="auto"/>
        <w:ind w:left="440" w:right="1"/>
        <w:rPr>
          <w:rFonts w:hint="eastAsia" w:ascii="MS UI Gothic" w:eastAsia="MS UI Gothic"/>
        </w:rPr>
      </w:pPr>
      <w:r>
        <w:t>特种设备使用单位对在用特种设备应当至少每月进行一次自行检查</w:t>
      </w:r>
      <w:r>
        <w:rPr>
          <w:rFonts w:hint="eastAsia" w:ascii="MS UI Gothic" w:eastAsia="MS UI Gothic"/>
          <w:w w:val="80"/>
        </w:rPr>
        <w:t xml:space="preserve">ꎬ </w:t>
      </w:r>
      <w:r>
        <w:t>并作出记录</w:t>
      </w:r>
      <w:r>
        <w:rPr>
          <w:rFonts w:hint="eastAsia" w:ascii="MS UI Gothic" w:eastAsia="MS UI Gothic"/>
          <w:w w:val="80"/>
        </w:rPr>
        <w:t xml:space="preserve">ꎮ </w:t>
      </w:r>
      <w:r>
        <w:t>特种设备使用单位在对在用特种设备进行自行检查和日常维护保养时发现异常</w:t>
      </w:r>
      <w:r>
        <w:rPr>
          <w:w w:val="105"/>
        </w:rPr>
        <w:t>情况的</w:t>
      </w:r>
      <w:r>
        <w:rPr>
          <w:rFonts w:hint="eastAsia" w:ascii="MS UI Gothic" w:eastAsia="MS UI Gothic"/>
          <w:w w:val="80"/>
        </w:rPr>
        <w:t xml:space="preserve">ꎬ </w:t>
      </w:r>
      <w:r>
        <w:rPr>
          <w:w w:val="105"/>
        </w:rPr>
        <w:t>应当及时处理</w:t>
      </w:r>
      <w:r>
        <w:rPr>
          <w:rFonts w:hint="eastAsia" w:ascii="MS UI Gothic" w:eastAsia="MS UI Gothic"/>
          <w:w w:val="80"/>
        </w:rPr>
        <w:t>ꎮ</w:t>
      </w:r>
    </w:p>
    <w:p>
      <w:pPr>
        <w:pStyle w:val="6"/>
        <w:spacing w:line="295" w:lineRule="auto"/>
        <w:ind w:left="440"/>
        <w:rPr>
          <w:rFonts w:hint="eastAsia" w:ascii="MS UI Gothic" w:eastAsia="MS UI Gothic"/>
        </w:rPr>
      </w:pPr>
      <w:r>
        <w:t>特种设备使用单位应当对在用特种设备的安全附件</w:t>
      </w:r>
      <w:r>
        <w:rPr>
          <w:rFonts w:hint="eastAsia" w:ascii="MS UI Gothic" w:eastAsia="MS UI Gothic"/>
          <w:w w:val="80"/>
        </w:rPr>
        <w:t xml:space="preserve">、 </w:t>
      </w:r>
      <w:r>
        <w:t>安全保护装置</w:t>
      </w:r>
      <w:r>
        <w:rPr>
          <w:rFonts w:hint="eastAsia" w:ascii="MS UI Gothic" w:eastAsia="MS UI Gothic"/>
          <w:w w:val="80"/>
        </w:rPr>
        <w:t xml:space="preserve">、 </w:t>
      </w:r>
      <w:r>
        <w:t>测量调控装置及有关附属仪器仪表进行定期校验</w:t>
      </w:r>
      <w:r>
        <w:rPr>
          <w:rFonts w:hint="eastAsia" w:ascii="MS UI Gothic" w:eastAsia="MS UI Gothic"/>
          <w:w w:val="80"/>
        </w:rPr>
        <w:t>、</w:t>
      </w:r>
      <w:r>
        <w:t>检修</w:t>
      </w:r>
      <w:r>
        <w:rPr>
          <w:rFonts w:hint="eastAsia" w:ascii="MS UI Gothic" w:eastAsia="MS UI Gothic"/>
          <w:w w:val="80"/>
        </w:rPr>
        <w:t xml:space="preserve">ꎬ </w:t>
      </w:r>
      <w:r>
        <w:t>并作出记录</w:t>
      </w:r>
      <w:r>
        <w:rPr>
          <w:rFonts w:hint="eastAsia" w:ascii="MS UI Gothic" w:eastAsia="MS UI Gothic"/>
          <w:w w:val="80"/>
        </w:rPr>
        <w:t>ꎮ</w:t>
      </w:r>
    </w:p>
    <w:p>
      <w:pPr>
        <w:pStyle w:val="6"/>
        <w:spacing w:line="295" w:lineRule="auto"/>
        <w:ind w:left="440" w:right="1"/>
        <w:rPr>
          <w:rFonts w:hint="eastAsia" w:ascii="MS UI Gothic" w:eastAsia="MS UI Gothic"/>
        </w:rPr>
      </w:pPr>
      <w:r>
        <w:t>锅炉使用单位应当按照安全技术规范</w:t>
      </w:r>
      <w:r>
        <w:rPr>
          <w:w w:val="105"/>
        </w:rPr>
        <w:t xml:space="preserve">的要求进行锅炉水 </w:t>
      </w:r>
      <w:r>
        <w:rPr>
          <w:rFonts w:hint="eastAsia" w:ascii="MS UI Gothic" w:eastAsia="MS UI Gothic"/>
          <w:w w:val="150"/>
        </w:rPr>
        <w:t xml:space="preserve">( </w:t>
      </w:r>
      <w:r>
        <w:rPr>
          <w:w w:val="105"/>
        </w:rPr>
        <w:t>介</w:t>
      </w:r>
      <w:r>
        <w:rPr>
          <w:rFonts w:hint="eastAsia" w:ascii="MS UI Gothic" w:eastAsia="MS UI Gothic"/>
          <w:w w:val="150"/>
        </w:rPr>
        <w:t xml:space="preserve">) </w:t>
      </w:r>
      <w:r>
        <w:rPr>
          <w:w w:val="105"/>
        </w:rPr>
        <w:t>质处理</w:t>
      </w:r>
      <w:r>
        <w:rPr>
          <w:rFonts w:hint="eastAsia" w:ascii="MS UI Gothic" w:eastAsia="MS UI Gothic"/>
          <w:w w:val="80"/>
        </w:rPr>
        <w:t xml:space="preserve">ꎬ </w:t>
      </w:r>
      <w:r>
        <w:rPr>
          <w:w w:val="105"/>
        </w:rPr>
        <w:t xml:space="preserve">并接受特种设备检验检测机构实施的水 </w:t>
      </w:r>
      <w:r>
        <w:rPr>
          <w:rFonts w:hint="eastAsia" w:ascii="MS UI Gothic" w:eastAsia="MS UI Gothic"/>
          <w:w w:val="150"/>
        </w:rPr>
        <w:t xml:space="preserve">( </w:t>
      </w:r>
      <w:r>
        <w:rPr>
          <w:w w:val="105"/>
        </w:rPr>
        <w:t>介</w:t>
      </w:r>
      <w:r>
        <w:rPr>
          <w:rFonts w:hint="eastAsia" w:ascii="MS UI Gothic" w:eastAsia="MS UI Gothic"/>
          <w:w w:val="150"/>
        </w:rPr>
        <w:t xml:space="preserve">) </w:t>
      </w:r>
      <w:r>
        <w:rPr>
          <w:w w:val="105"/>
        </w:rPr>
        <w:t>质处理定期检验</w:t>
      </w:r>
      <w:r>
        <w:rPr>
          <w:rFonts w:hint="eastAsia" w:ascii="MS UI Gothic" w:eastAsia="MS UI Gothic"/>
          <w:w w:val="80"/>
        </w:rPr>
        <w:t>ꎮ</w:t>
      </w:r>
    </w:p>
    <w:p>
      <w:pPr>
        <w:pStyle w:val="6"/>
        <w:spacing w:line="295" w:lineRule="auto"/>
        <w:ind w:left="440" w:right="1"/>
        <w:rPr>
          <w:rFonts w:hint="eastAsia" w:ascii="MS UI Gothic" w:eastAsia="MS UI Gothic"/>
        </w:rPr>
      </w:pPr>
      <w:r>
        <w:t>从事锅炉清洗的单位</w:t>
      </w:r>
      <w:r>
        <w:rPr>
          <w:rFonts w:hint="eastAsia" w:ascii="MS UI Gothic" w:eastAsia="MS UI Gothic"/>
          <w:w w:val="80"/>
        </w:rPr>
        <w:t xml:space="preserve">ꎬ </w:t>
      </w:r>
      <w:r>
        <w:t>应当按照安全技术规范的要求进行锅炉清洗</w:t>
      </w:r>
      <w:r>
        <w:rPr>
          <w:rFonts w:hint="eastAsia" w:ascii="MS UI Gothic" w:eastAsia="MS UI Gothic"/>
          <w:w w:val="80"/>
        </w:rPr>
        <w:t xml:space="preserve">ꎬ </w:t>
      </w:r>
      <w:r>
        <w:t>并接受特种设备检验检测机构实施的锅炉清洗过程监督检验</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2"/>
          <w:w w:val="105"/>
        </w:rPr>
        <w:t>第二十八条 特种设备使用单位应当</w:t>
      </w:r>
      <w:r>
        <w:rPr>
          <w:spacing w:val="3"/>
        </w:rPr>
        <w:t>按照安全技术规范的定期检验要求</w:t>
      </w:r>
      <w:r>
        <w:rPr>
          <w:rFonts w:hint="eastAsia" w:ascii="MS UI Gothic" w:eastAsia="MS UI Gothic"/>
          <w:spacing w:val="21"/>
          <w:w w:val="80"/>
        </w:rPr>
        <w:t xml:space="preserve">ꎬ </w:t>
      </w:r>
      <w:r>
        <w:rPr>
          <w:spacing w:val="1"/>
        </w:rPr>
        <w:t>在安</w:t>
      </w:r>
      <w:r>
        <w:rPr>
          <w:spacing w:val="-7"/>
          <w:w w:val="105"/>
        </w:rPr>
        <w:t xml:space="preserve">全检验合格有效期届满前 </w:t>
      </w:r>
      <w:r>
        <w:rPr>
          <w:rFonts w:hint="eastAsia" w:ascii="MS UI Gothic" w:eastAsia="MS UI Gothic"/>
          <w:spacing w:val="-14"/>
          <w:w w:val="80"/>
        </w:rPr>
        <w:t xml:space="preserve">１ </w:t>
      </w:r>
      <w:r>
        <w:rPr>
          <w:spacing w:val="2"/>
          <w:w w:val="105"/>
        </w:rPr>
        <w:t>个月向特种设</w:t>
      </w:r>
      <w:r>
        <w:rPr>
          <w:spacing w:val="3"/>
          <w:w w:val="105"/>
        </w:rPr>
        <w:t>备检验检测机构提出定期检验要求</w:t>
      </w:r>
      <w:r>
        <w:rPr>
          <w:rFonts w:hint="eastAsia" w:ascii="MS UI Gothic" w:eastAsia="MS UI Gothic"/>
          <w:w w:val="80"/>
        </w:rPr>
        <w:t>ꎮ</w:t>
      </w:r>
    </w:p>
    <w:p>
      <w:pPr>
        <w:pStyle w:val="6"/>
        <w:spacing w:line="295" w:lineRule="auto"/>
        <w:ind w:left="440"/>
        <w:rPr>
          <w:rFonts w:hint="eastAsia" w:ascii="MS UI Gothic" w:eastAsia="MS UI Gothic"/>
        </w:rPr>
      </w:pPr>
      <w:r>
        <w:t>检验检测机构接到定期检验要求后</w:t>
      </w:r>
      <w:r>
        <w:rPr>
          <w:rFonts w:hint="eastAsia" w:ascii="MS UI Gothic" w:eastAsia="MS UI Gothic"/>
          <w:w w:val="80"/>
        </w:rPr>
        <w:t>ꎬ</w:t>
      </w:r>
      <w:r>
        <w:t>应当按照安全技术规范的要求及时进行安</w:t>
      </w:r>
      <w:r>
        <w:rPr>
          <w:w w:val="105"/>
        </w:rPr>
        <w:t>全性能检验和能效测试</w:t>
      </w:r>
      <w:r>
        <w:rPr>
          <w:rFonts w:hint="eastAsia" w:ascii="MS UI Gothic" w:eastAsia="MS UI Gothic"/>
          <w:w w:val="80"/>
        </w:rPr>
        <w:t>ꎮ</w:t>
      </w:r>
    </w:p>
    <w:p>
      <w:pPr>
        <w:pStyle w:val="6"/>
        <w:spacing w:line="295" w:lineRule="auto"/>
        <w:ind w:left="440" w:right="1"/>
        <w:rPr>
          <w:rFonts w:hint="eastAsia" w:ascii="MS UI Gothic" w:eastAsia="MS UI Gothic"/>
        </w:rPr>
      </w:pPr>
      <w:r>
        <w:t>未经定期检验或者检验不合格的特种设备</w:t>
      </w:r>
      <w:r>
        <w:rPr>
          <w:rFonts w:hint="eastAsia" w:ascii="MS UI Gothic" w:eastAsia="MS UI Gothic"/>
          <w:w w:val="80"/>
        </w:rPr>
        <w:t xml:space="preserve">ꎬ </w:t>
      </w:r>
      <w:r>
        <w:t>不得继续使用</w:t>
      </w:r>
      <w:r>
        <w:rPr>
          <w:rFonts w:hint="eastAsia" w:ascii="MS UI Gothic" w:eastAsia="MS UI Gothic"/>
          <w:w w:val="80"/>
        </w:rPr>
        <w:t>ꎮ</w:t>
      </w:r>
    </w:p>
    <w:p>
      <w:pPr>
        <w:pStyle w:val="6"/>
        <w:spacing w:line="295" w:lineRule="auto"/>
        <w:ind w:left="440" w:right="1"/>
        <w:rPr>
          <w:rFonts w:hint="eastAsia" w:ascii="MS UI Gothic" w:eastAsia="MS UI Gothic"/>
        </w:rPr>
      </w:pPr>
      <w:r>
        <w:t>第二十九条 特种设备出现故障或者发生异常情况</w:t>
      </w:r>
      <w:r>
        <w:rPr>
          <w:rFonts w:hint="eastAsia" w:ascii="MS UI Gothic" w:eastAsia="MS UI Gothic"/>
          <w:w w:val="80"/>
        </w:rPr>
        <w:t xml:space="preserve">ꎬ </w:t>
      </w:r>
      <w:r>
        <w:t>使用单位应当对其进行全面检查</w:t>
      </w:r>
      <w:r>
        <w:rPr>
          <w:rFonts w:hint="eastAsia" w:ascii="MS UI Gothic" w:eastAsia="MS UI Gothic"/>
          <w:w w:val="80"/>
        </w:rPr>
        <w:t xml:space="preserve">ꎬ </w:t>
      </w:r>
      <w:r>
        <w:t>消除事故隐患后</w:t>
      </w:r>
      <w:r>
        <w:rPr>
          <w:rFonts w:hint="eastAsia" w:ascii="MS UI Gothic" w:eastAsia="MS UI Gothic"/>
          <w:w w:val="80"/>
        </w:rPr>
        <w:t xml:space="preserve">ꎬ </w:t>
      </w:r>
      <w:r>
        <w:t>方可重新投入使用</w:t>
      </w:r>
      <w:r>
        <w:rPr>
          <w:rFonts w:hint="eastAsia" w:ascii="MS UI Gothic" w:eastAsia="MS UI Gothic"/>
          <w:w w:val="80"/>
        </w:rPr>
        <w:t>ꎮ</w:t>
      </w:r>
    </w:p>
    <w:p>
      <w:pPr>
        <w:pStyle w:val="6"/>
        <w:spacing w:line="295" w:lineRule="auto"/>
        <w:ind w:left="440" w:right="1"/>
        <w:rPr>
          <w:rFonts w:hint="eastAsia" w:ascii="MS UI Gothic" w:eastAsia="MS UI Gothic"/>
        </w:rPr>
      </w:pPr>
      <w:r>
        <w:t>特种设备不符合能效指标的</w:t>
      </w:r>
      <w:r>
        <w:rPr>
          <w:rFonts w:hint="eastAsia" w:ascii="MS UI Gothic" w:eastAsia="MS UI Gothic"/>
          <w:w w:val="80"/>
        </w:rPr>
        <w:t xml:space="preserve">ꎬ </w:t>
      </w:r>
      <w:r>
        <w:t>特种设备使用单位应当采取相应措施进行整改</w:t>
      </w:r>
      <w:r>
        <w:rPr>
          <w:rFonts w:hint="eastAsia" w:ascii="MS UI Gothic" w:eastAsia="MS UI Gothic"/>
          <w:w w:val="80"/>
        </w:rPr>
        <w:t>ꎮ</w:t>
      </w:r>
    </w:p>
    <w:p>
      <w:pPr>
        <w:pStyle w:val="6"/>
        <w:spacing w:line="295" w:lineRule="auto"/>
        <w:ind w:left="440" w:right="1"/>
      </w:pPr>
      <w:r>
        <w:t>第三十条 特种设备存在严重事故隐患</w:t>
      </w:r>
      <w:r>
        <w:rPr>
          <w:rFonts w:hint="eastAsia" w:ascii="MS UI Gothic" w:eastAsia="MS UI Gothic"/>
          <w:w w:val="80"/>
        </w:rPr>
        <w:t xml:space="preserve">ꎬ </w:t>
      </w:r>
      <w:r>
        <w:t>无改造</w:t>
      </w:r>
      <w:r>
        <w:rPr>
          <w:rFonts w:hint="eastAsia" w:ascii="MS UI Gothic" w:eastAsia="MS UI Gothic"/>
          <w:w w:val="80"/>
        </w:rPr>
        <w:t xml:space="preserve">、 </w:t>
      </w:r>
      <w:r>
        <w:t>维修价值</w:t>
      </w:r>
      <w:r>
        <w:rPr>
          <w:rFonts w:hint="eastAsia" w:ascii="MS UI Gothic" w:eastAsia="MS UI Gothic"/>
          <w:w w:val="80"/>
        </w:rPr>
        <w:t xml:space="preserve">ꎬ </w:t>
      </w:r>
      <w:r>
        <w:t>或者超过安全技术规范规定使用年限</w:t>
      </w:r>
      <w:r>
        <w:rPr>
          <w:rFonts w:hint="eastAsia" w:ascii="MS UI Gothic" w:eastAsia="MS UI Gothic"/>
          <w:w w:val="80"/>
        </w:rPr>
        <w:t xml:space="preserve">ꎬ </w:t>
      </w:r>
      <w:r>
        <w:t>特种设备使用单位</w:t>
      </w:r>
    </w:p>
    <w:p>
      <w:pPr>
        <w:pStyle w:val="6"/>
        <w:spacing w:before="124" w:line="295" w:lineRule="auto"/>
        <w:ind w:left="381" w:right="126" w:firstLine="0"/>
        <w:jc w:val="left"/>
        <w:rPr>
          <w:rFonts w:hint="eastAsia" w:ascii="MS UI Gothic" w:eastAsia="MS UI Gothic"/>
        </w:rPr>
      </w:pPr>
      <w:r>
        <w:br w:type="column"/>
      </w:r>
      <w:r>
        <w:t>应当及时予以报废</w:t>
      </w:r>
      <w:r>
        <w:rPr>
          <w:rFonts w:hint="eastAsia" w:ascii="MS UI Gothic" w:eastAsia="MS UI Gothic"/>
          <w:w w:val="80"/>
        </w:rPr>
        <w:t xml:space="preserve">ꎬ </w:t>
      </w:r>
      <w:r>
        <w:t>并应当向原登记的特种设备安全监督管理部门办理注销</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第三十一条 电梯的日常维护保养必须由依照本条例取得许可的安装</w:t>
      </w:r>
      <w:r>
        <w:rPr>
          <w:rFonts w:hint="eastAsia" w:ascii="MS UI Gothic" w:eastAsia="MS UI Gothic"/>
          <w:w w:val="80"/>
        </w:rPr>
        <w:t xml:space="preserve">、 </w:t>
      </w:r>
      <w:r>
        <w:rPr>
          <w:w w:val="105"/>
        </w:rPr>
        <w:t>改造</w:t>
      </w:r>
      <w:r>
        <w:rPr>
          <w:rFonts w:hint="eastAsia" w:ascii="MS UI Gothic" w:eastAsia="MS UI Gothic"/>
          <w:w w:val="80"/>
        </w:rPr>
        <w:t>、</w:t>
      </w:r>
      <w:r>
        <w:rPr>
          <w:w w:val="105"/>
        </w:rPr>
        <w:t>维修单位或者电梯制造单位进行</w:t>
      </w:r>
      <w:r>
        <w:rPr>
          <w:rFonts w:hint="eastAsia" w:ascii="MS UI Gothic" w:eastAsia="MS UI Gothic"/>
          <w:w w:val="80"/>
        </w:rPr>
        <w:t>ꎮ</w:t>
      </w:r>
    </w:p>
    <w:p>
      <w:pPr>
        <w:pStyle w:val="6"/>
        <w:spacing w:line="295" w:lineRule="auto"/>
        <w:ind w:left="381" w:right="124"/>
        <w:rPr>
          <w:rFonts w:hint="eastAsia" w:ascii="MS UI Gothic" w:eastAsia="MS UI Gothic"/>
        </w:rPr>
      </w:pPr>
      <w:r>
        <w:t xml:space="preserve">电梯应当至少每 </w:t>
      </w:r>
      <w:r>
        <w:rPr>
          <w:rFonts w:hint="eastAsia" w:ascii="MS UI Gothic" w:eastAsia="MS UI Gothic"/>
          <w:w w:val="85"/>
        </w:rPr>
        <w:t xml:space="preserve">１５ </w:t>
      </w:r>
      <w:r>
        <w:t>日进行一次清洁</w:t>
      </w:r>
      <w:r>
        <w:rPr>
          <w:rFonts w:hint="eastAsia" w:ascii="MS UI Gothic" w:eastAsia="MS UI Gothic"/>
          <w:w w:val="85"/>
        </w:rPr>
        <w:t>、</w:t>
      </w:r>
      <w:r>
        <w:t>润滑</w:t>
      </w:r>
      <w:r>
        <w:rPr>
          <w:rFonts w:hint="eastAsia" w:ascii="MS UI Gothic" w:eastAsia="MS UI Gothic"/>
          <w:w w:val="85"/>
        </w:rPr>
        <w:t xml:space="preserve">、 </w:t>
      </w:r>
      <w:r>
        <w:t>调整和检查</w:t>
      </w:r>
      <w:r>
        <w:rPr>
          <w:rFonts w:hint="eastAsia" w:ascii="MS UI Gothic" w:eastAsia="MS UI Gothic"/>
          <w:w w:val="85"/>
        </w:rPr>
        <w:t>ꎮ</w:t>
      </w:r>
    </w:p>
    <w:p>
      <w:pPr>
        <w:pStyle w:val="6"/>
        <w:spacing w:line="295" w:lineRule="auto"/>
        <w:ind w:left="381" w:right="126"/>
        <w:rPr>
          <w:rFonts w:hint="eastAsia" w:ascii="MS UI Gothic" w:eastAsia="MS UI Gothic"/>
        </w:rPr>
      </w:pPr>
      <w:r>
        <w:t>第三十二条 电梯的日常维护保养单位应当在维护保养中严格执行国家安全技术规范的要求</w:t>
      </w:r>
      <w:r>
        <w:rPr>
          <w:rFonts w:hint="eastAsia" w:ascii="MS UI Gothic" w:eastAsia="MS UI Gothic"/>
          <w:w w:val="80"/>
        </w:rPr>
        <w:t xml:space="preserve">ꎬ </w:t>
      </w:r>
      <w:r>
        <w:t>保证其维护保养的电梯的安全技术性能</w:t>
      </w:r>
      <w:r>
        <w:rPr>
          <w:rFonts w:hint="eastAsia" w:ascii="MS UI Gothic" w:eastAsia="MS UI Gothic"/>
          <w:w w:val="80"/>
        </w:rPr>
        <w:t xml:space="preserve">ꎬ </w:t>
      </w:r>
      <w:r>
        <w:t>并负责落实现场安全防护措施</w:t>
      </w:r>
      <w:r>
        <w:rPr>
          <w:rFonts w:hint="eastAsia" w:ascii="MS UI Gothic" w:eastAsia="MS UI Gothic"/>
          <w:w w:val="80"/>
        </w:rPr>
        <w:t xml:space="preserve">ꎬ </w:t>
      </w:r>
      <w:r>
        <w:t>保证施工安全</w:t>
      </w:r>
      <w:r>
        <w:rPr>
          <w:rFonts w:hint="eastAsia" w:ascii="MS UI Gothic" w:eastAsia="MS UI Gothic"/>
          <w:w w:val="80"/>
        </w:rPr>
        <w:t>ꎮ</w:t>
      </w:r>
    </w:p>
    <w:p>
      <w:pPr>
        <w:pStyle w:val="6"/>
        <w:spacing w:line="295" w:lineRule="auto"/>
        <w:ind w:left="381" w:right="126"/>
        <w:rPr>
          <w:rFonts w:hint="eastAsia" w:ascii="MS UI Gothic" w:eastAsia="MS UI Gothic"/>
        </w:rPr>
      </w:pPr>
      <w:r>
        <w:t>电梯的日常维护保养单位</w:t>
      </w:r>
      <w:r>
        <w:rPr>
          <w:rFonts w:hint="eastAsia" w:ascii="MS UI Gothic" w:eastAsia="MS UI Gothic"/>
          <w:w w:val="80"/>
        </w:rPr>
        <w:t xml:space="preserve">ꎬ </w:t>
      </w:r>
      <w:r>
        <w:t>应当对其维护保养的电梯的安全性能负责</w:t>
      </w:r>
      <w:r>
        <w:rPr>
          <w:rFonts w:hint="eastAsia" w:ascii="MS UI Gothic" w:eastAsia="MS UI Gothic"/>
          <w:w w:val="80"/>
        </w:rPr>
        <w:t xml:space="preserve">ꎮ </w:t>
      </w:r>
      <w:r>
        <w:t>接到故障通知后</w:t>
      </w:r>
      <w:r>
        <w:rPr>
          <w:rFonts w:hint="eastAsia" w:ascii="MS UI Gothic" w:eastAsia="MS UI Gothic"/>
          <w:w w:val="80"/>
        </w:rPr>
        <w:t xml:space="preserve">ꎬ </w:t>
      </w:r>
      <w:r>
        <w:t>应当立即赶赴现场</w:t>
      </w:r>
      <w:r>
        <w:rPr>
          <w:rFonts w:hint="eastAsia" w:ascii="MS UI Gothic" w:eastAsia="MS UI Gothic"/>
          <w:w w:val="80"/>
        </w:rPr>
        <w:t xml:space="preserve">ꎬ </w:t>
      </w:r>
      <w:r>
        <w:t>并采取必要的应急救援措施</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第三十三条 电梯</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w:t>
      </w:r>
      <w:r>
        <w:t>游乐设施等为公众提供服务的特种设备运营使用单位</w:t>
      </w:r>
      <w:r>
        <w:rPr>
          <w:rFonts w:hint="eastAsia" w:ascii="MS UI Gothic" w:eastAsia="MS UI Gothic"/>
          <w:w w:val="80"/>
        </w:rPr>
        <w:t xml:space="preserve">ꎬ </w:t>
      </w:r>
      <w:r>
        <w:t>应当设置特种设备安全管理机构或者配备专职的安全管理人员</w:t>
      </w:r>
      <w:r>
        <w:rPr>
          <w:rFonts w:hint="eastAsia" w:ascii="MS UI Gothic" w:eastAsia="MS UI Gothic"/>
          <w:w w:val="80"/>
        </w:rPr>
        <w:t xml:space="preserve">ꎻ </w:t>
      </w:r>
      <w:r>
        <w:t>其他特种设备使用单位</w:t>
      </w:r>
      <w:r>
        <w:rPr>
          <w:rFonts w:hint="eastAsia" w:ascii="MS UI Gothic" w:eastAsia="MS UI Gothic"/>
          <w:w w:val="80"/>
        </w:rPr>
        <w:t xml:space="preserve">ꎬ </w:t>
      </w:r>
      <w:r>
        <w:t>应当根据情况设置特</w:t>
      </w:r>
      <w:r>
        <w:rPr>
          <w:w w:val="105"/>
        </w:rPr>
        <w:t>种设备安全管理机构或者配备专职</w:t>
      </w:r>
      <w:r>
        <w:rPr>
          <w:rFonts w:hint="eastAsia" w:ascii="MS UI Gothic" w:eastAsia="MS UI Gothic"/>
          <w:w w:val="80"/>
        </w:rPr>
        <w:t xml:space="preserve">、 </w:t>
      </w:r>
      <w:r>
        <w:rPr>
          <w:w w:val="105"/>
        </w:rPr>
        <w:t>兼职的安全管理人员</w:t>
      </w:r>
      <w:r>
        <w:rPr>
          <w:rFonts w:hint="eastAsia" w:ascii="MS UI Gothic" w:eastAsia="MS UI Gothic"/>
          <w:w w:val="80"/>
        </w:rPr>
        <w:t>ꎮ</w:t>
      </w:r>
    </w:p>
    <w:p>
      <w:pPr>
        <w:pStyle w:val="6"/>
        <w:spacing w:line="295" w:lineRule="auto"/>
        <w:ind w:left="381" w:right="126"/>
        <w:rPr>
          <w:rFonts w:hint="eastAsia" w:ascii="MS UI Gothic" w:eastAsia="MS UI Gothic"/>
        </w:rPr>
      </w:pPr>
      <w:r>
        <w:t>特种设备的安全管理人员应当对特种设备使用状况进行经常性检查</w:t>
      </w:r>
      <w:r>
        <w:rPr>
          <w:rFonts w:hint="eastAsia" w:ascii="MS UI Gothic" w:eastAsia="MS UI Gothic"/>
          <w:w w:val="80"/>
        </w:rPr>
        <w:t xml:space="preserve">ꎬ </w:t>
      </w:r>
      <w:r>
        <w:t>发现问题的应当立即处理</w:t>
      </w:r>
      <w:r>
        <w:rPr>
          <w:rFonts w:hint="eastAsia" w:ascii="MS UI Gothic" w:eastAsia="MS UI Gothic"/>
          <w:w w:val="80"/>
        </w:rPr>
        <w:t xml:space="preserve">ꎻ </w:t>
      </w:r>
      <w:r>
        <w:t>情况紧急时</w:t>
      </w:r>
      <w:r>
        <w:rPr>
          <w:rFonts w:hint="eastAsia" w:ascii="MS UI Gothic" w:eastAsia="MS UI Gothic"/>
          <w:w w:val="80"/>
        </w:rPr>
        <w:t xml:space="preserve">ꎬ </w:t>
      </w:r>
      <w:r>
        <w:t>可以决定停止使用特种设备并及时报告本单位有关负责人</w:t>
      </w:r>
      <w:r>
        <w:rPr>
          <w:rFonts w:hint="eastAsia" w:ascii="MS UI Gothic" w:eastAsia="MS UI Gothic"/>
          <w:w w:val="80"/>
        </w:rPr>
        <w:t>ꎮ</w:t>
      </w:r>
    </w:p>
    <w:p>
      <w:pPr>
        <w:pStyle w:val="6"/>
        <w:spacing w:line="295" w:lineRule="auto"/>
        <w:ind w:left="381" w:right="126"/>
        <w:rPr>
          <w:rFonts w:hint="eastAsia" w:ascii="MS UI Gothic" w:eastAsia="MS UI Gothic"/>
        </w:rPr>
      </w:pPr>
      <w:r>
        <w:t>第三十四条 客运索道</w:t>
      </w:r>
      <w:r>
        <w:rPr>
          <w:rFonts w:hint="eastAsia" w:ascii="MS UI Gothic" w:eastAsia="MS UI Gothic"/>
          <w:w w:val="80"/>
        </w:rPr>
        <w:t xml:space="preserve">、 </w:t>
      </w:r>
      <w:r>
        <w:t>大型游乐设施的运营使用单位在客运索道</w:t>
      </w:r>
      <w:r>
        <w:rPr>
          <w:rFonts w:hint="eastAsia" w:ascii="MS UI Gothic" w:eastAsia="MS UI Gothic"/>
          <w:w w:val="80"/>
        </w:rPr>
        <w:t xml:space="preserve">、 </w:t>
      </w:r>
      <w:r>
        <w:t>大型游乐设施每日投入使用前</w:t>
      </w:r>
      <w:r>
        <w:rPr>
          <w:rFonts w:hint="eastAsia" w:ascii="MS UI Gothic" w:eastAsia="MS UI Gothic"/>
          <w:w w:val="80"/>
        </w:rPr>
        <w:t xml:space="preserve">ꎬ </w:t>
      </w:r>
      <w:r>
        <w:t>应当进行试运行和例行安全检查</w:t>
      </w:r>
      <w:r>
        <w:rPr>
          <w:rFonts w:hint="eastAsia" w:ascii="MS UI Gothic" w:eastAsia="MS UI Gothic"/>
          <w:w w:val="80"/>
        </w:rPr>
        <w:t xml:space="preserve">ꎬ </w:t>
      </w:r>
      <w:r>
        <w:t>并对安全装置进行检查确认</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电梯</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大型游乐设施的运营使用单位应当将电梯</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w:t>
      </w:r>
      <w:r>
        <w:t>游乐设施的安全注意事项和警示标志置于</w:t>
      </w:r>
      <w:r>
        <w:rPr>
          <w:w w:val="105"/>
        </w:rPr>
        <w:t>易于为乘客注意的显著位置</w:t>
      </w:r>
      <w:r>
        <w:rPr>
          <w:rFonts w:hint="eastAsia" w:ascii="MS UI Gothic" w:eastAsia="MS UI Gothic"/>
          <w:w w:val="80"/>
        </w:rPr>
        <w:t>ꎮ</w:t>
      </w:r>
    </w:p>
    <w:p>
      <w:pPr>
        <w:pStyle w:val="6"/>
        <w:spacing w:line="295" w:lineRule="auto"/>
        <w:ind w:left="381" w:right="126"/>
      </w:pPr>
      <w:r>
        <w:t>第三十五条 客运索道</w:t>
      </w:r>
      <w:r>
        <w:rPr>
          <w:rFonts w:hint="eastAsia" w:ascii="MS UI Gothic" w:eastAsia="MS UI Gothic"/>
        </w:rPr>
        <w:t xml:space="preserve">、 </w:t>
      </w:r>
      <w:r>
        <w:t>大型游乐设施的运营使用单位的主要负责人应当熟悉</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４７２</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416" o:spid="_x0000_s2416" o:spt="203" style="height:2.15pt;width:398.25pt;" coordsize="7965,43">
            <o:lock v:ext="edit"/>
            <v:line id="_x0000_s2417" o:spid="_x0000_s2417" o:spt="20" style="position:absolute;left:0;top:39;height:0;width:7965;" stroked="t" coordsize="21600,21600">
              <v:path arrowok="t"/>
              <v:fill focussize="0,0"/>
              <v:stroke weight="0.388031496062992pt" color="#231F20"/>
              <v:imagedata o:title=""/>
              <o:lock v:ext="edit"/>
            </v:line>
            <v:line id="_x0000_s2418" o:spid="_x0000_s2418"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firstLine="0"/>
        <w:rPr>
          <w:rFonts w:hint="eastAsia" w:ascii="MS UI Gothic" w:eastAsia="MS UI Gothic"/>
        </w:rPr>
      </w:pPr>
      <w:r>
        <w:t>客运索道</w:t>
      </w:r>
      <w:r>
        <w:rPr>
          <w:rFonts w:hint="eastAsia" w:ascii="MS UI Gothic" w:eastAsia="MS UI Gothic"/>
          <w:w w:val="80"/>
        </w:rPr>
        <w:t xml:space="preserve">、 </w:t>
      </w:r>
      <w:r>
        <w:t>大型游乐设施的相关安全知识</w:t>
      </w:r>
      <w:r>
        <w:rPr>
          <w:rFonts w:hint="eastAsia" w:ascii="MS UI Gothic" w:eastAsia="MS UI Gothic"/>
          <w:w w:val="80"/>
        </w:rPr>
        <w:t xml:space="preserve">ꎬ </w:t>
      </w:r>
      <w:r>
        <w:t>并全面负责客运索道</w:t>
      </w:r>
      <w:r>
        <w:rPr>
          <w:rFonts w:hint="eastAsia" w:ascii="MS UI Gothic" w:eastAsia="MS UI Gothic"/>
          <w:w w:val="80"/>
        </w:rPr>
        <w:t xml:space="preserve">、 </w:t>
      </w:r>
      <w:r>
        <w:t>大型游乐设施的安全使用</w:t>
      </w:r>
      <w:r>
        <w:rPr>
          <w:rFonts w:hint="eastAsia" w:ascii="MS UI Gothic" w:eastAsia="MS UI Gothic"/>
          <w:w w:val="80"/>
        </w:rPr>
        <w:t>ꎮ</w:t>
      </w:r>
    </w:p>
    <w:p>
      <w:pPr>
        <w:pStyle w:val="6"/>
        <w:spacing w:line="295" w:lineRule="auto"/>
        <w:ind w:right="39"/>
        <w:rPr>
          <w:rFonts w:hint="eastAsia" w:ascii="MS UI Gothic" w:eastAsia="MS UI Gothic"/>
        </w:rPr>
      </w:pPr>
      <w:r>
        <w:t>客运索道</w:t>
      </w:r>
      <w:r>
        <w:rPr>
          <w:rFonts w:hint="eastAsia" w:ascii="MS UI Gothic" w:eastAsia="MS UI Gothic"/>
          <w:w w:val="80"/>
        </w:rPr>
        <w:t xml:space="preserve">、 </w:t>
      </w:r>
      <w:r>
        <w:t>大型游乐设施的运营使用单位的主要负责人至少应当每月召开一次会议</w:t>
      </w:r>
      <w:r>
        <w:rPr>
          <w:rFonts w:hint="eastAsia" w:ascii="MS UI Gothic" w:eastAsia="MS UI Gothic"/>
          <w:w w:val="80"/>
        </w:rPr>
        <w:t xml:space="preserve">ꎬ </w:t>
      </w:r>
      <w:r>
        <w:t>督促</w:t>
      </w:r>
      <w:r>
        <w:rPr>
          <w:rFonts w:hint="eastAsia" w:ascii="MS UI Gothic" w:eastAsia="MS UI Gothic"/>
          <w:w w:val="80"/>
        </w:rPr>
        <w:t xml:space="preserve">、 </w:t>
      </w:r>
      <w:r>
        <w:t>检查客运索道</w:t>
      </w:r>
      <w:r>
        <w:rPr>
          <w:rFonts w:hint="eastAsia" w:ascii="MS UI Gothic" w:eastAsia="MS UI Gothic"/>
          <w:w w:val="80"/>
        </w:rPr>
        <w:t xml:space="preserve">、 </w:t>
      </w:r>
      <w:r>
        <w:t>大型游乐设施的安全使用工作</w:t>
      </w:r>
      <w:r>
        <w:rPr>
          <w:rFonts w:hint="eastAsia" w:ascii="MS UI Gothic" w:eastAsia="MS UI Gothic"/>
          <w:w w:val="80"/>
        </w:rPr>
        <w:t>ꎮ</w:t>
      </w:r>
    </w:p>
    <w:p>
      <w:pPr>
        <w:pStyle w:val="6"/>
        <w:spacing w:line="295" w:lineRule="auto"/>
        <w:ind w:right="39"/>
        <w:rPr>
          <w:rFonts w:hint="eastAsia" w:ascii="MS UI Gothic" w:eastAsia="MS UI Gothic"/>
        </w:rPr>
      </w:pPr>
      <w:r>
        <w:t>客运索道</w:t>
      </w:r>
      <w:r>
        <w:rPr>
          <w:rFonts w:hint="eastAsia" w:ascii="MS UI Gothic" w:eastAsia="MS UI Gothic"/>
          <w:w w:val="80"/>
        </w:rPr>
        <w:t xml:space="preserve">、 </w:t>
      </w:r>
      <w:r>
        <w:t>大型游乐设施的运营使用单位</w:t>
      </w:r>
      <w:r>
        <w:rPr>
          <w:rFonts w:hint="eastAsia" w:ascii="MS UI Gothic" w:eastAsia="MS UI Gothic"/>
          <w:w w:val="80"/>
        </w:rPr>
        <w:t xml:space="preserve">ꎬ </w:t>
      </w:r>
      <w:r>
        <w:t>应当结合本单位的实际情况</w:t>
      </w:r>
      <w:r>
        <w:rPr>
          <w:rFonts w:hint="eastAsia" w:ascii="MS UI Gothic" w:eastAsia="MS UI Gothic"/>
          <w:w w:val="80"/>
        </w:rPr>
        <w:t xml:space="preserve">ꎬ </w:t>
      </w:r>
      <w:r>
        <w:t>配备相应数量的营救装备和急救物品</w:t>
      </w:r>
      <w:r>
        <w:rPr>
          <w:rFonts w:hint="eastAsia" w:ascii="MS UI Gothic" w:eastAsia="MS UI Gothic"/>
          <w:w w:val="80"/>
        </w:rPr>
        <w:t>ꎮ</w:t>
      </w:r>
    </w:p>
    <w:p>
      <w:pPr>
        <w:pStyle w:val="6"/>
        <w:spacing w:line="295" w:lineRule="auto"/>
        <w:ind w:right="39"/>
        <w:rPr>
          <w:rFonts w:hint="eastAsia" w:ascii="MS UI Gothic" w:eastAsia="MS UI Gothic"/>
        </w:rPr>
      </w:pPr>
      <w:r>
        <w:t>第三十六条 电梯</w:t>
      </w:r>
      <w:r>
        <w:rPr>
          <w:rFonts w:hint="eastAsia" w:ascii="MS UI Gothic" w:eastAsia="MS UI Gothic"/>
          <w:w w:val="80"/>
        </w:rPr>
        <w:t xml:space="preserve">、 </w:t>
      </w:r>
      <w:r>
        <w:t>客运索道</w:t>
      </w:r>
      <w:r>
        <w:rPr>
          <w:rFonts w:hint="eastAsia" w:ascii="MS UI Gothic" w:eastAsia="MS UI Gothic"/>
          <w:w w:val="80"/>
        </w:rPr>
        <w:t xml:space="preserve">、  </w:t>
      </w:r>
      <w:r>
        <w:t>大型游乐设施的乘客应当遵守使用安全注意事项的要求</w:t>
      </w:r>
      <w:r>
        <w:rPr>
          <w:rFonts w:hint="eastAsia" w:ascii="MS UI Gothic" w:eastAsia="MS UI Gothic"/>
          <w:w w:val="80"/>
        </w:rPr>
        <w:t xml:space="preserve">ꎬ </w:t>
      </w:r>
      <w:r>
        <w:t>服从有关工作人员的指挥</w:t>
      </w:r>
      <w:r>
        <w:rPr>
          <w:rFonts w:hint="eastAsia" w:ascii="MS UI Gothic" w:eastAsia="MS UI Gothic"/>
          <w:w w:val="80"/>
        </w:rPr>
        <w:t>ꎮ</w:t>
      </w:r>
    </w:p>
    <w:p>
      <w:pPr>
        <w:pStyle w:val="6"/>
        <w:spacing w:line="295" w:lineRule="auto"/>
        <w:ind w:right="39"/>
        <w:rPr>
          <w:rFonts w:hint="eastAsia" w:ascii="MS UI Gothic" w:eastAsia="MS UI Gothic"/>
        </w:rPr>
      </w:pPr>
      <w:r>
        <w:t>第三十七条 电梯投入使用后</w:t>
      </w:r>
      <w:r>
        <w:rPr>
          <w:rFonts w:hint="eastAsia" w:ascii="MS UI Gothic" w:eastAsia="MS UI Gothic"/>
          <w:w w:val="80"/>
        </w:rPr>
        <w:t xml:space="preserve">ꎬ </w:t>
      </w:r>
      <w:r>
        <w:t>电梯制造单位应当对其制造的电梯的安全运行情况进行跟踪调查和了解</w:t>
      </w:r>
      <w:r>
        <w:rPr>
          <w:rFonts w:hint="eastAsia" w:ascii="MS UI Gothic" w:eastAsia="MS UI Gothic"/>
          <w:w w:val="80"/>
        </w:rPr>
        <w:t xml:space="preserve">ꎬ </w:t>
      </w:r>
      <w:r>
        <w:t>对电梯的日常维护保养单位或者电梯的使用单位在安全运行方面存在的问题</w:t>
      </w:r>
      <w:r>
        <w:rPr>
          <w:rFonts w:hint="eastAsia" w:ascii="MS UI Gothic" w:eastAsia="MS UI Gothic"/>
          <w:w w:val="80"/>
        </w:rPr>
        <w:t xml:space="preserve">ꎬ </w:t>
      </w:r>
      <w:r>
        <w:t>提出改进建议</w:t>
      </w:r>
      <w:r>
        <w:rPr>
          <w:rFonts w:hint="eastAsia" w:ascii="MS UI Gothic" w:eastAsia="MS UI Gothic"/>
          <w:w w:val="80"/>
        </w:rPr>
        <w:t xml:space="preserve">ꎬ </w:t>
      </w:r>
      <w:r>
        <w:t>并提供必要的技术帮助</w:t>
      </w:r>
      <w:r>
        <w:rPr>
          <w:rFonts w:hint="eastAsia" w:ascii="MS UI Gothic" w:eastAsia="MS UI Gothic"/>
          <w:w w:val="80"/>
        </w:rPr>
        <w:t xml:space="preserve">ꎮ </w:t>
      </w:r>
      <w:r>
        <w:t>发现电梯存在严重事故隐患的</w:t>
      </w:r>
      <w:r>
        <w:rPr>
          <w:rFonts w:hint="eastAsia" w:ascii="MS UI Gothic" w:eastAsia="MS UI Gothic"/>
          <w:w w:val="80"/>
        </w:rPr>
        <w:t xml:space="preserve">ꎬ </w:t>
      </w:r>
      <w:r>
        <w:t>应当及时向特种设备安全监督管理部门报告</w:t>
      </w:r>
      <w:r>
        <w:rPr>
          <w:rFonts w:hint="eastAsia" w:ascii="MS UI Gothic" w:eastAsia="MS UI Gothic"/>
          <w:w w:val="80"/>
        </w:rPr>
        <w:t xml:space="preserve">ꎮ </w:t>
      </w:r>
      <w:r>
        <w:t>电梯制造单位对调查和了解的情况</w:t>
      </w:r>
      <w:r>
        <w:rPr>
          <w:rFonts w:hint="eastAsia" w:ascii="MS UI Gothic" w:eastAsia="MS UI Gothic"/>
          <w:w w:val="80"/>
        </w:rPr>
        <w:t xml:space="preserve">ꎬ </w:t>
      </w:r>
      <w:r>
        <w:t>应当作出记录</w:t>
      </w:r>
      <w:r>
        <w:rPr>
          <w:rFonts w:hint="eastAsia" w:ascii="MS UI Gothic" w:eastAsia="MS UI Gothic"/>
          <w:w w:val="80"/>
        </w:rPr>
        <w:t>ꎮ</w:t>
      </w:r>
    </w:p>
    <w:p>
      <w:pPr>
        <w:pStyle w:val="6"/>
        <w:spacing w:line="295" w:lineRule="auto"/>
        <w:ind w:right="39"/>
        <w:rPr>
          <w:rFonts w:hint="eastAsia" w:ascii="MS UI Gothic" w:eastAsia="MS UI Gothic"/>
        </w:rPr>
      </w:pPr>
      <w:r>
        <w:rPr>
          <w:spacing w:val="14"/>
          <w:w w:val="105"/>
        </w:rPr>
        <w:t>第三十八条 锅炉</w:t>
      </w:r>
      <w:r>
        <w:rPr>
          <w:rFonts w:hint="eastAsia" w:ascii="MS UI Gothic" w:eastAsia="MS UI Gothic"/>
          <w:spacing w:val="4"/>
          <w:w w:val="80"/>
        </w:rPr>
        <w:t xml:space="preserve">、 </w:t>
      </w:r>
      <w:r>
        <w:rPr>
          <w:spacing w:val="18"/>
          <w:w w:val="105"/>
        </w:rPr>
        <w:t>压力容器</w:t>
      </w:r>
      <w:r>
        <w:rPr>
          <w:rFonts w:hint="eastAsia" w:ascii="MS UI Gothic" w:eastAsia="MS UI Gothic"/>
          <w:spacing w:val="2"/>
          <w:w w:val="80"/>
        </w:rPr>
        <w:t xml:space="preserve">、  </w:t>
      </w:r>
      <w:r>
        <w:rPr>
          <w:spacing w:val="-11"/>
          <w:w w:val="105"/>
        </w:rPr>
        <w:t>电</w:t>
      </w:r>
      <w:r>
        <w:rPr>
          <w:spacing w:val="3"/>
          <w:w w:val="105"/>
        </w:rPr>
        <w:t>梯</w:t>
      </w:r>
      <w:r>
        <w:rPr>
          <w:rFonts w:hint="eastAsia" w:ascii="MS UI Gothic" w:eastAsia="MS UI Gothic"/>
          <w:spacing w:val="18"/>
          <w:w w:val="80"/>
        </w:rPr>
        <w:t xml:space="preserve">、 </w:t>
      </w:r>
      <w:r>
        <w:rPr>
          <w:spacing w:val="13"/>
          <w:w w:val="105"/>
        </w:rPr>
        <w:t>起重机械</w:t>
      </w:r>
      <w:r>
        <w:rPr>
          <w:rFonts w:hint="eastAsia" w:ascii="MS UI Gothic" w:eastAsia="MS UI Gothic"/>
          <w:spacing w:val="22"/>
          <w:w w:val="80"/>
        </w:rPr>
        <w:t xml:space="preserve">、 </w:t>
      </w:r>
      <w:r>
        <w:rPr>
          <w:spacing w:val="18"/>
          <w:w w:val="105"/>
        </w:rPr>
        <w:t>客运索道</w:t>
      </w:r>
      <w:r>
        <w:rPr>
          <w:rFonts w:hint="eastAsia" w:ascii="MS UI Gothic" w:eastAsia="MS UI Gothic"/>
          <w:spacing w:val="23"/>
          <w:w w:val="80"/>
        </w:rPr>
        <w:t xml:space="preserve">、 </w:t>
      </w:r>
      <w:r>
        <w:rPr>
          <w:spacing w:val="20"/>
          <w:w w:val="105"/>
        </w:rPr>
        <w:t>大型游乐设</w:t>
      </w:r>
      <w:r>
        <w:rPr>
          <w:spacing w:val="3"/>
          <w:w w:val="105"/>
        </w:rPr>
        <w:t>施</w:t>
      </w:r>
      <w:r>
        <w:rPr>
          <w:rFonts w:hint="eastAsia" w:ascii="MS UI Gothic" w:eastAsia="MS UI Gothic"/>
          <w:spacing w:val="23"/>
          <w:w w:val="80"/>
        </w:rPr>
        <w:t xml:space="preserve">、 </w:t>
      </w:r>
      <w:r>
        <w:rPr>
          <w:spacing w:val="-5"/>
          <w:w w:val="105"/>
        </w:rPr>
        <w:t xml:space="preserve">场 </w:t>
      </w:r>
      <w:r>
        <w:rPr>
          <w:rFonts w:hint="eastAsia" w:ascii="MS UI Gothic" w:eastAsia="MS UI Gothic"/>
          <w:spacing w:val="-37"/>
          <w:w w:val="150"/>
        </w:rPr>
        <w:t xml:space="preserve">( </w:t>
      </w:r>
      <w:r>
        <w:rPr>
          <w:spacing w:val="7"/>
          <w:w w:val="105"/>
        </w:rPr>
        <w:t>厂</w:t>
      </w:r>
      <w:r>
        <w:rPr>
          <w:rFonts w:hint="eastAsia" w:ascii="MS UI Gothic" w:eastAsia="MS UI Gothic"/>
          <w:spacing w:val="16"/>
          <w:w w:val="150"/>
        </w:rPr>
        <w:t xml:space="preserve">) </w:t>
      </w:r>
      <w:r>
        <w:rPr>
          <w:spacing w:val="17"/>
          <w:w w:val="105"/>
        </w:rPr>
        <w:t>内专用机动车辆的作业人</w:t>
      </w:r>
      <w:r>
        <w:rPr>
          <w:spacing w:val="5"/>
          <w:w w:val="105"/>
        </w:rPr>
        <w:t xml:space="preserve">员及其相关管理人员 </w:t>
      </w:r>
      <w:r>
        <w:rPr>
          <w:rFonts w:hint="eastAsia" w:ascii="MS UI Gothic" w:eastAsia="MS UI Gothic"/>
          <w:spacing w:val="-37"/>
          <w:w w:val="150"/>
        </w:rPr>
        <w:t xml:space="preserve">( </w:t>
      </w:r>
      <w:r>
        <w:rPr>
          <w:spacing w:val="14"/>
          <w:w w:val="105"/>
        </w:rPr>
        <w:t>以下统称特种设</w:t>
      </w:r>
      <w:r>
        <w:rPr>
          <w:spacing w:val="3"/>
          <w:w w:val="105"/>
        </w:rPr>
        <w:t>备作业人员</w:t>
      </w:r>
      <w:r>
        <w:rPr>
          <w:rFonts w:hint="eastAsia" w:ascii="MS UI Gothic" w:eastAsia="MS UI Gothic"/>
          <w:spacing w:val="-35"/>
          <w:w w:val="125"/>
        </w:rPr>
        <w:t xml:space="preserve">) </w:t>
      </w:r>
      <w:r>
        <w:rPr>
          <w:rFonts w:hint="eastAsia" w:ascii="MS UI Gothic" w:eastAsia="MS UI Gothic"/>
          <w:spacing w:val="-6"/>
          <w:w w:val="80"/>
        </w:rPr>
        <w:t xml:space="preserve">ꎬ </w:t>
      </w:r>
      <w:r>
        <w:rPr>
          <w:spacing w:val="10"/>
          <w:w w:val="105"/>
        </w:rPr>
        <w:t>应当按照国家有关规定经</w:t>
      </w:r>
      <w:r>
        <w:rPr>
          <w:spacing w:val="3"/>
        </w:rPr>
        <w:t>特种设备安全监督管理部门考核合格</w:t>
      </w:r>
      <w:r>
        <w:rPr>
          <w:rFonts w:hint="eastAsia" w:ascii="MS UI Gothic" w:eastAsia="MS UI Gothic"/>
          <w:spacing w:val="21"/>
          <w:w w:val="80"/>
        </w:rPr>
        <w:t xml:space="preserve">ꎬ </w:t>
      </w:r>
      <w:r>
        <w:t>取</w:t>
      </w:r>
      <w:r>
        <w:rPr>
          <w:spacing w:val="3"/>
        </w:rPr>
        <w:t>得国家统一格式的特种作业人员证书</w:t>
      </w:r>
      <w:r>
        <w:rPr>
          <w:rFonts w:hint="eastAsia" w:ascii="MS UI Gothic" w:eastAsia="MS UI Gothic"/>
          <w:spacing w:val="21"/>
          <w:w w:val="80"/>
        </w:rPr>
        <w:t xml:space="preserve">ꎬ </w:t>
      </w:r>
      <w:r>
        <w:t>方</w:t>
      </w:r>
      <w:r>
        <w:rPr>
          <w:spacing w:val="3"/>
          <w:w w:val="105"/>
        </w:rPr>
        <w:t>可从事相应的作业或者管理工作</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第三十九条 特种设备使用单位应当</w:t>
      </w:r>
      <w:r>
        <w:t>对特种设备作业人员进行特种设备安全</w:t>
      </w:r>
      <w:r>
        <w:rPr>
          <w:rFonts w:hint="eastAsia" w:ascii="MS UI Gothic" w:eastAsia="MS UI Gothic"/>
          <w:w w:val="80"/>
        </w:rPr>
        <w:t>、</w:t>
      </w:r>
      <w:r>
        <w:t>节能教育和培训</w:t>
      </w:r>
      <w:r>
        <w:rPr>
          <w:rFonts w:hint="eastAsia" w:ascii="MS UI Gothic" w:eastAsia="MS UI Gothic"/>
          <w:w w:val="80"/>
        </w:rPr>
        <w:t xml:space="preserve">ꎬ </w:t>
      </w:r>
      <w:r>
        <w:t>保证特种设备作业人员</w:t>
      </w:r>
      <w:r>
        <w:rPr>
          <w:w w:val="105"/>
        </w:rPr>
        <w:t>具备必要的特种设备安全</w:t>
      </w:r>
      <w:r>
        <w:rPr>
          <w:rFonts w:hint="eastAsia" w:ascii="MS UI Gothic" w:eastAsia="MS UI Gothic"/>
          <w:w w:val="80"/>
        </w:rPr>
        <w:t xml:space="preserve">、 </w:t>
      </w:r>
      <w:r>
        <w:rPr>
          <w:w w:val="105"/>
        </w:rPr>
        <w:t>节能知识</w:t>
      </w:r>
      <w:r>
        <w:rPr>
          <w:rFonts w:hint="eastAsia" w:ascii="MS UI Gothic" w:eastAsia="MS UI Gothic"/>
          <w:w w:val="80"/>
        </w:rPr>
        <w:t>ꎮ</w:t>
      </w:r>
    </w:p>
    <w:p>
      <w:pPr>
        <w:pStyle w:val="6"/>
        <w:spacing w:line="295" w:lineRule="auto"/>
        <w:ind w:right="39"/>
        <w:rPr>
          <w:rFonts w:hint="eastAsia" w:ascii="MS UI Gothic" w:eastAsia="MS UI Gothic"/>
        </w:rPr>
      </w:pPr>
      <w:r>
        <w:t>特种设备作业人员在作业中应当严格执行特种设备的操作规程和有关的安全规</w:t>
      </w:r>
      <w:r>
        <w:rPr>
          <w:w w:val="105"/>
        </w:rPr>
        <w:t>章制度</w:t>
      </w:r>
      <w:r>
        <w:rPr>
          <w:rFonts w:hint="eastAsia" w:ascii="MS UI Gothic" w:eastAsia="MS UI Gothic"/>
          <w:w w:val="80"/>
        </w:rPr>
        <w:t>ꎮ</w:t>
      </w:r>
    </w:p>
    <w:p>
      <w:pPr>
        <w:pStyle w:val="6"/>
        <w:spacing w:line="295" w:lineRule="auto"/>
        <w:ind w:right="39"/>
      </w:pPr>
      <w:r>
        <w:rPr>
          <w:w w:val="105"/>
        </w:rPr>
        <w:t>第四十条 特种设备作业人员在作业</w:t>
      </w:r>
      <w:r>
        <w:t>过程中发现事故隐患或者其他不安全因</w:t>
      </w:r>
    </w:p>
    <w:p>
      <w:pPr>
        <w:pStyle w:val="6"/>
        <w:spacing w:before="123" w:line="295" w:lineRule="auto"/>
        <w:ind w:right="442" w:firstLine="0"/>
        <w:jc w:val="left"/>
        <w:rPr>
          <w:rFonts w:hint="eastAsia" w:ascii="MS UI Gothic" w:eastAsia="MS UI Gothic"/>
        </w:rPr>
      </w:pPr>
      <w:r>
        <w:br w:type="column"/>
      </w:r>
      <w:r>
        <w:t>素</w:t>
      </w:r>
      <w:r>
        <w:rPr>
          <w:rFonts w:hint="eastAsia" w:ascii="MS UI Gothic" w:eastAsia="MS UI Gothic"/>
          <w:w w:val="80"/>
        </w:rPr>
        <w:t xml:space="preserve">ꎬ </w:t>
      </w:r>
      <w:r>
        <w:t>应当立即向现场安全管理人员和单位有关负责人报告</w:t>
      </w:r>
      <w:r>
        <w:rPr>
          <w:rFonts w:hint="eastAsia" w:ascii="MS UI Gothic" w:eastAsia="MS UI Gothic"/>
          <w:w w:val="80"/>
        </w:rPr>
        <w:t>ꎮ</w:t>
      </w:r>
    </w:p>
    <w:p>
      <w:pPr>
        <w:pStyle w:val="6"/>
        <w:tabs>
          <w:tab w:val="left" w:pos="1906"/>
        </w:tabs>
        <w:spacing w:before="156"/>
        <w:ind w:left="1067" w:firstLine="0"/>
        <w:jc w:val="left"/>
      </w:pPr>
      <w:r>
        <w:rPr>
          <w:spacing w:val="3"/>
          <w:w w:val="105"/>
        </w:rPr>
        <w:t>第四</w:t>
      </w:r>
      <w:r>
        <w:rPr>
          <w:w w:val="105"/>
        </w:rPr>
        <w:t>章</w:t>
      </w:r>
      <w:r>
        <w:rPr>
          <w:w w:val="105"/>
        </w:rPr>
        <w:tab/>
      </w:r>
      <w:r>
        <w:rPr>
          <w:w w:val="105"/>
        </w:rPr>
        <w:t>检</w:t>
      </w:r>
      <w:r>
        <w:rPr>
          <w:spacing w:val="-33"/>
          <w:w w:val="105"/>
        </w:rPr>
        <w:t xml:space="preserve"> </w:t>
      </w:r>
      <w:r>
        <w:rPr>
          <w:w w:val="105"/>
        </w:rPr>
        <w:t>验</w:t>
      </w:r>
      <w:r>
        <w:rPr>
          <w:spacing w:val="-33"/>
          <w:w w:val="105"/>
        </w:rPr>
        <w:t xml:space="preserve"> </w:t>
      </w:r>
      <w:r>
        <w:rPr>
          <w:w w:val="105"/>
        </w:rPr>
        <w:t>检</w:t>
      </w:r>
      <w:r>
        <w:rPr>
          <w:spacing w:val="-33"/>
          <w:w w:val="105"/>
        </w:rPr>
        <w:t xml:space="preserve"> </w:t>
      </w:r>
      <w:r>
        <w:rPr>
          <w:w w:val="105"/>
        </w:rPr>
        <w:t>测</w:t>
      </w:r>
    </w:p>
    <w:p>
      <w:pPr>
        <w:pStyle w:val="6"/>
        <w:spacing w:before="215" w:line="295" w:lineRule="auto"/>
        <w:ind w:right="442"/>
        <w:rPr>
          <w:rFonts w:hint="eastAsia" w:ascii="MS UI Gothic" w:eastAsia="MS UI Gothic"/>
        </w:rPr>
      </w:pPr>
      <w:r>
        <w:rPr>
          <w:w w:val="105"/>
        </w:rPr>
        <w:t>第四十一条 从事本条例规定的监督检验</w:t>
      </w:r>
      <w:r>
        <w:rPr>
          <w:rFonts w:hint="eastAsia" w:ascii="MS UI Gothic" w:eastAsia="MS UI Gothic"/>
          <w:w w:val="80"/>
        </w:rPr>
        <w:t xml:space="preserve">、 </w:t>
      </w:r>
      <w:r>
        <w:rPr>
          <w:w w:val="105"/>
        </w:rPr>
        <w:t>定期检验</w:t>
      </w:r>
      <w:r>
        <w:rPr>
          <w:rFonts w:hint="eastAsia" w:ascii="MS UI Gothic" w:eastAsia="MS UI Gothic"/>
          <w:w w:val="80"/>
        </w:rPr>
        <w:t xml:space="preserve">、 </w:t>
      </w:r>
      <w:r>
        <w:rPr>
          <w:w w:val="105"/>
        </w:rPr>
        <w:t>型式试验以及专门为特种设备生产</w:t>
      </w:r>
      <w:r>
        <w:rPr>
          <w:rFonts w:hint="eastAsia" w:ascii="MS UI Gothic" w:eastAsia="MS UI Gothic"/>
          <w:w w:val="80"/>
        </w:rPr>
        <w:t xml:space="preserve">、 </w:t>
      </w:r>
      <w:r>
        <w:rPr>
          <w:w w:val="105"/>
        </w:rPr>
        <w:t>使用</w:t>
      </w:r>
      <w:r>
        <w:rPr>
          <w:rFonts w:hint="eastAsia" w:ascii="MS UI Gothic" w:eastAsia="MS UI Gothic"/>
          <w:w w:val="80"/>
        </w:rPr>
        <w:t xml:space="preserve">、 </w:t>
      </w:r>
      <w:r>
        <w:rPr>
          <w:w w:val="105"/>
        </w:rPr>
        <w:t>检验检测提供无损检</w:t>
      </w:r>
      <w:r>
        <w:t>测服务的特种设备检验检测机构</w:t>
      </w:r>
      <w:r>
        <w:rPr>
          <w:rFonts w:hint="eastAsia" w:ascii="MS UI Gothic" w:eastAsia="MS UI Gothic"/>
          <w:w w:val="80"/>
        </w:rPr>
        <w:t xml:space="preserve">ꎬ </w:t>
      </w:r>
      <w:r>
        <w:t>应当经国务院特种设备安全监督管理部门核准</w:t>
      </w:r>
      <w:r>
        <w:rPr>
          <w:rFonts w:hint="eastAsia" w:ascii="MS UI Gothic" w:eastAsia="MS UI Gothic"/>
          <w:w w:val="80"/>
        </w:rPr>
        <w:t>ꎮ</w:t>
      </w:r>
    </w:p>
    <w:p>
      <w:pPr>
        <w:pStyle w:val="6"/>
        <w:spacing w:line="295" w:lineRule="auto"/>
        <w:ind w:right="442"/>
        <w:rPr>
          <w:rFonts w:hint="eastAsia" w:ascii="MS UI Gothic" w:eastAsia="MS UI Gothic"/>
        </w:rPr>
      </w:pPr>
      <w:r>
        <w:rPr>
          <w:spacing w:val="2"/>
        </w:rPr>
        <w:t>特种设备使用单位设立的特种设备检</w:t>
      </w:r>
      <w:r>
        <w:rPr>
          <w:spacing w:val="3"/>
        </w:rPr>
        <w:t>验检测机构</w:t>
      </w:r>
      <w:r>
        <w:rPr>
          <w:rFonts w:hint="eastAsia" w:ascii="MS UI Gothic" w:eastAsia="MS UI Gothic"/>
          <w:spacing w:val="20"/>
          <w:w w:val="80"/>
        </w:rPr>
        <w:t xml:space="preserve">ꎬ </w:t>
      </w:r>
      <w:r>
        <w:rPr>
          <w:spacing w:val="2"/>
        </w:rPr>
        <w:t>经国务院特种设备安全监督</w:t>
      </w:r>
      <w:r>
        <w:rPr>
          <w:spacing w:val="3"/>
        </w:rPr>
        <w:t>管理部门核准</w:t>
      </w:r>
      <w:r>
        <w:rPr>
          <w:rFonts w:hint="eastAsia" w:ascii="MS UI Gothic" w:eastAsia="MS UI Gothic"/>
          <w:spacing w:val="20"/>
          <w:w w:val="80"/>
        </w:rPr>
        <w:t xml:space="preserve">ꎬ </w:t>
      </w:r>
      <w:r>
        <w:rPr>
          <w:spacing w:val="2"/>
        </w:rPr>
        <w:t>负责本单位核准范围内的</w:t>
      </w:r>
      <w:r>
        <w:rPr>
          <w:spacing w:val="3"/>
          <w:w w:val="105"/>
        </w:rPr>
        <w:t>特种设备定期检验工作</w:t>
      </w:r>
      <w:r>
        <w:rPr>
          <w:rFonts w:hint="eastAsia" w:ascii="MS UI Gothic" w:eastAsia="MS UI Gothic"/>
          <w:w w:val="80"/>
        </w:rPr>
        <w:t>ꎮ</w:t>
      </w:r>
    </w:p>
    <w:p>
      <w:pPr>
        <w:pStyle w:val="6"/>
        <w:spacing w:line="295" w:lineRule="auto"/>
        <w:ind w:right="442"/>
        <w:rPr>
          <w:rFonts w:hint="eastAsia" w:ascii="MS UI Gothic" w:eastAsia="MS UI Gothic"/>
        </w:rPr>
      </w:pPr>
      <w:r>
        <w:rPr>
          <w:spacing w:val="18"/>
          <w:w w:val="105"/>
        </w:rPr>
        <w:t>第四十二条 特种设备检验检测机</w:t>
      </w:r>
      <w:r>
        <w:rPr>
          <w:spacing w:val="3"/>
          <w:w w:val="110"/>
        </w:rPr>
        <w:t>构</w:t>
      </w:r>
      <w:r>
        <w:rPr>
          <w:rFonts w:hint="eastAsia" w:ascii="MS UI Gothic" w:eastAsia="MS UI Gothic"/>
          <w:spacing w:val="23"/>
          <w:w w:val="80"/>
        </w:rPr>
        <w:t xml:space="preserve">ꎬ </w:t>
      </w:r>
      <w:r>
        <w:rPr>
          <w:spacing w:val="3"/>
          <w:w w:val="110"/>
        </w:rPr>
        <w:t>应当具备下列条件</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一</w:t>
      </w:r>
      <w:r>
        <w:rPr>
          <w:rFonts w:hint="eastAsia" w:ascii="MS UI Gothic" w:eastAsia="MS UI Gothic"/>
          <w:w w:val="105"/>
        </w:rPr>
        <w:t xml:space="preserve">) </w:t>
      </w:r>
      <w:r>
        <w:rPr>
          <w:w w:val="105"/>
        </w:rPr>
        <w:t>有与所从事的检验检测工作相</w:t>
      </w:r>
      <w:r>
        <w:rPr>
          <w:w w:val="110"/>
        </w:rPr>
        <w:t>适应的检验检测人员</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有与所从事的检验检测工作相适应的检验检测仪器和设备</w:t>
      </w:r>
      <w:r>
        <w:rPr>
          <w:rFonts w:hint="eastAsia" w:ascii="MS UI Gothic" w:eastAsia="MS UI Gothic"/>
          <w:w w:val="80"/>
        </w:rPr>
        <w:t>ꎻ</w:t>
      </w:r>
    </w:p>
    <w:p>
      <w:pPr>
        <w:pStyle w:val="6"/>
        <w:spacing w:line="295" w:lineRule="auto"/>
        <w:ind w:right="440"/>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有健全的检验检测管理制度</w:t>
      </w:r>
      <w:r>
        <w:rPr>
          <w:rFonts w:hint="eastAsia" w:ascii="MS UI Gothic" w:eastAsia="MS UI Gothic"/>
          <w:w w:val="80"/>
        </w:rPr>
        <w:t>、</w:t>
      </w:r>
      <w:r>
        <w:rPr>
          <w:w w:val="105"/>
        </w:rPr>
        <w:t>检验检测责任制度</w:t>
      </w:r>
      <w:r>
        <w:rPr>
          <w:rFonts w:hint="eastAsia" w:ascii="MS UI Gothic" w:eastAsia="MS UI Gothic"/>
          <w:w w:val="80"/>
        </w:rPr>
        <w:t>ꎮ</w:t>
      </w:r>
    </w:p>
    <w:p>
      <w:pPr>
        <w:pStyle w:val="6"/>
        <w:spacing w:line="295" w:lineRule="auto"/>
        <w:ind w:right="440"/>
        <w:rPr>
          <w:rFonts w:hint="eastAsia" w:ascii="MS UI Gothic" w:eastAsia="MS UI Gothic"/>
        </w:rPr>
      </w:pPr>
      <w:r>
        <w:rPr>
          <w:w w:val="105"/>
        </w:rPr>
        <w:t>第四十三条 特种设备的监督检验</w:t>
      </w:r>
      <w:r>
        <w:rPr>
          <w:rFonts w:hint="eastAsia" w:ascii="MS UI Gothic" w:eastAsia="MS UI Gothic"/>
          <w:w w:val="80"/>
        </w:rPr>
        <w:t>、</w:t>
      </w:r>
      <w:r>
        <w:rPr>
          <w:w w:val="105"/>
        </w:rPr>
        <w:t>定期检验</w:t>
      </w:r>
      <w:r>
        <w:rPr>
          <w:rFonts w:hint="eastAsia" w:ascii="MS UI Gothic" w:eastAsia="MS UI Gothic"/>
          <w:w w:val="80"/>
        </w:rPr>
        <w:t xml:space="preserve">、 </w:t>
      </w:r>
      <w:r>
        <w:rPr>
          <w:w w:val="105"/>
        </w:rPr>
        <w:t>型式试验和无损检测应当由依</w:t>
      </w:r>
      <w:r>
        <w:t>照本条例经核准的特种设备检验检测机构</w:t>
      </w:r>
      <w:r>
        <w:rPr>
          <w:w w:val="105"/>
        </w:rPr>
        <w:t>进行</w:t>
      </w:r>
      <w:r>
        <w:rPr>
          <w:rFonts w:hint="eastAsia" w:ascii="MS UI Gothic" w:eastAsia="MS UI Gothic"/>
          <w:w w:val="80"/>
        </w:rPr>
        <w:t>ꎮ</w:t>
      </w:r>
    </w:p>
    <w:p>
      <w:pPr>
        <w:pStyle w:val="6"/>
        <w:spacing w:line="295" w:lineRule="auto"/>
        <w:ind w:right="442"/>
        <w:jc w:val="left"/>
        <w:rPr>
          <w:rFonts w:hint="eastAsia" w:ascii="MS UI Gothic" w:eastAsia="MS UI Gothic"/>
        </w:rPr>
      </w:pPr>
      <w:r>
        <w:t>特种设备检验检测工作应当符合安全</w:t>
      </w:r>
      <w:r>
        <w:rPr>
          <w:w w:val="105"/>
        </w:rPr>
        <w:t>技术规范的要求</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第四十四条 从事本条例规定的监督检验</w:t>
      </w:r>
      <w:r>
        <w:rPr>
          <w:rFonts w:hint="eastAsia" w:ascii="MS UI Gothic" w:eastAsia="MS UI Gothic"/>
          <w:w w:val="80"/>
        </w:rPr>
        <w:t xml:space="preserve">、 </w:t>
      </w:r>
      <w:r>
        <w:rPr>
          <w:w w:val="105"/>
        </w:rPr>
        <w:t>定期检验</w:t>
      </w:r>
      <w:r>
        <w:rPr>
          <w:rFonts w:hint="eastAsia" w:ascii="MS UI Gothic" w:eastAsia="MS UI Gothic"/>
          <w:w w:val="80"/>
        </w:rPr>
        <w:t xml:space="preserve">、 </w:t>
      </w:r>
      <w:r>
        <w:rPr>
          <w:w w:val="105"/>
        </w:rPr>
        <w:t>型式试验和无损检测的</w:t>
      </w:r>
      <w:r>
        <w:t>特种设备检验检测人员应当经国务院特种设备安全监督管理部门组织考核合格</w:t>
      </w:r>
      <w:r>
        <w:rPr>
          <w:rFonts w:hint="eastAsia" w:ascii="MS UI Gothic" w:eastAsia="MS UI Gothic"/>
          <w:w w:val="80"/>
        </w:rPr>
        <w:t xml:space="preserve">ꎬ </w:t>
      </w:r>
      <w:r>
        <w:t>取得检验检测人员证书</w:t>
      </w:r>
      <w:r>
        <w:rPr>
          <w:rFonts w:hint="eastAsia" w:ascii="MS UI Gothic" w:eastAsia="MS UI Gothic"/>
          <w:w w:val="80"/>
        </w:rPr>
        <w:t xml:space="preserve">ꎬ </w:t>
      </w:r>
      <w:r>
        <w:t>方可从事检验检测</w:t>
      </w:r>
      <w:r>
        <w:rPr>
          <w:w w:val="105"/>
        </w:rPr>
        <w:t>工作</w:t>
      </w:r>
      <w:r>
        <w:rPr>
          <w:rFonts w:hint="eastAsia" w:ascii="MS UI Gothic" w:eastAsia="MS UI Gothic"/>
          <w:w w:val="80"/>
        </w:rPr>
        <w:t>ꎮ</w:t>
      </w:r>
    </w:p>
    <w:p>
      <w:pPr>
        <w:pStyle w:val="6"/>
        <w:spacing w:line="295" w:lineRule="auto"/>
        <w:ind w:right="442"/>
        <w:rPr>
          <w:rFonts w:hint="eastAsia" w:ascii="MS UI Gothic" w:eastAsia="MS UI Gothic"/>
        </w:rPr>
      </w:pPr>
      <w:r>
        <w:t>检验检测人员从事检验检测工作</w:t>
      </w:r>
      <w:r>
        <w:rPr>
          <w:rFonts w:hint="eastAsia" w:ascii="MS UI Gothic" w:eastAsia="MS UI Gothic"/>
          <w:w w:val="80"/>
        </w:rPr>
        <w:t xml:space="preserve">ꎬ </w:t>
      </w:r>
      <w:r>
        <w:t>必须在特种设备检验检测机构执业</w:t>
      </w:r>
      <w:r>
        <w:rPr>
          <w:rFonts w:hint="eastAsia" w:ascii="MS UI Gothic" w:eastAsia="MS UI Gothic"/>
          <w:w w:val="80"/>
        </w:rPr>
        <w:t xml:space="preserve">ꎬ </w:t>
      </w:r>
      <w:r>
        <w:t>但不得同时在两个以上检验检测机构中执业</w:t>
      </w:r>
      <w:r>
        <w:rPr>
          <w:rFonts w:hint="eastAsia" w:ascii="MS UI Gothic" w:eastAsia="MS UI Gothic"/>
          <w:w w:val="80"/>
        </w:rPr>
        <w:t>ꎮ</w:t>
      </w:r>
    </w:p>
    <w:p>
      <w:pPr>
        <w:pStyle w:val="6"/>
        <w:spacing w:line="295" w:lineRule="auto"/>
        <w:ind w:right="440"/>
      </w:pPr>
      <w:r>
        <w:rPr>
          <w:w w:val="105"/>
        </w:rPr>
        <w:t>第四十五条 特种设备检验检测机构</w:t>
      </w:r>
      <w:r>
        <w:t>和检验检测人员进行特种设备检验检测</w:t>
      </w:r>
      <w:r>
        <w:rPr>
          <w:rFonts w:hint="eastAsia" w:ascii="MS UI Gothic" w:eastAsia="MS UI Gothic"/>
          <w:w w:val="80"/>
        </w:rPr>
        <w:t>ꎬ</w:t>
      </w:r>
      <w:r>
        <w:t>应当遵循诚信原则和方便企业的原则</w:t>
      </w:r>
      <w:r>
        <w:rPr>
          <w:rFonts w:hint="eastAsia" w:ascii="MS UI Gothic" w:eastAsia="MS UI Gothic"/>
          <w:w w:val="80"/>
        </w:rPr>
        <w:t xml:space="preserve">ꎬ </w:t>
      </w:r>
      <w:r>
        <w:t>为</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４７３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19" o:spid="_x0000_s2419" o:spt="203" style="height:2.15pt;width:398.25pt;" coordsize="7965,43">
            <o:lock v:ext="edit"/>
            <v:line id="_x0000_s2420" o:spid="_x0000_s2420" o:spt="20" style="position:absolute;left:0;top:39;height:0;width:7965;" stroked="t" coordsize="21600,21600">
              <v:path arrowok="t"/>
              <v:fill focussize="0,0"/>
              <v:stroke weight="0.388031496062992pt" color="#231F20"/>
              <v:imagedata o:title=""/>
              <o:lock v:ext="edit"/>
            </v:line>
            <v:line id="_x0000_s2421" o:spid="_x0000_s2421"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jc w:val="left"/>
        <w:rPr>
          <w:rFonts w:hint="eastAsia" w:ascii="MS UI Gothic" w:eastAsia="MS UI Gothic"/>
        </w:rPr>
      </w:pPr>
      <w:r>
        <w:t>特种设备生产</w:t>
      </w:r>
      <w:r>
        <w:rPr>
          <w:rFonts w:hint="eastAsia" w:ascii="MS UI Gothic" w:eastAsia="MS UI Gothic"/>
          <w:w w:val="80"/>
        </w:rPr>
        <w:t xml:space="preserve">、 </w:t>
      </w:r>
      <w:r>
        <w:t>使用单位提供可靠</w:t>
      </w:r>
      <w:r>
        <w:rPr>
          <w:rFonts w:hint="eastAsia" w:ascii="MS UI Gothic" w:eastAsia="MS UI Gothic"/>
          <w:w w:val="80"/>
        </w:rPr>
        <w:t xml:space="preserve">、 </w:t>
      </w:r>
      <w:r>
        <w:t>便捷的检验检测服务</w:t>
      </w:r>
      <w:r>
        <w:rPr>
          <w:rFonts w:hint="eastAsia" w:ascii="MS UI Gothic" w:eastAsia="MS UI Gothic"/>
          <w:w w:val="80"/>
        </w:rPr>
        <w:t>ꎮ</w:t>
      </w:r>
    </w:p>
    <w:p>
      <w:pPr>
        <w:pStyle w:val="6"/>
        <w:spacing w:line="295" w:lineRule="auto"/>
        <w:ind w:left="440"/>
        <w:rPr>
          <w:rFonts w:hint="eastAsia" w:ascii="MS UI Gothic" w:eastAsia="MS UI Gothic"/>
        </w:rPr>
      </w:pPr>
      <w:r>
        <w:t>特种设备检验检测机构和检验检测人员对涉及的被检验检测单位的商业秘密</w:t>
      </w:r>
      <w:r>
        <w:rPr>
          <w:rFonts w:hint="eastAsia" w:ascii="MS UI Gothic" w:eastAsia="MS UI Gothic"/>
          <w:w w:val="80"/>
        </w:rPr>
        <w:t>ꎬ</w:t>
      </w:r>
      <w:r>
        <w:rPr>
          <w:w w:val="105"/>
        </w:rPr>
        <w:t>负有保密义务</w:t>
      </w:r>
      <w:r>
        <w:rPr>
          <w:rFonts w:hint="eastAsia" w:ascii="MS UI Gothic" w:eastAsia="MS UI Gothic"/>
          <w:w w:val="80"/>
        </w:rPr>
        <w:t>ꎮ</w:t>
      </w:r>
    </w:p>
    <w:p>
      <w:pPr>
        <w:pStyle w:val="6"/>
        <w:spacing w:line="295" w:lineRule="auto"/>
        <w:ind w:left="440"/>
        <w:rPr>
          <w:rFonts w:hint="eastAsia" w:ascii="MS UI Gothic" w:eastAsia="MS UI Gothic"/>
        </w:rPr>
      </w:pPr>
      <w:r>
        <w:t>第四十六条 特种设备检验检测机构和检验检测人员应当客观</w:t>
      </w:r>
      <w:r>
        <w:rPr>
          <w:rFonts w:hint="eastAsia" w:ascii="MS UI Gothic" w:eastAsia="MS UI Gothic"/>
          <w:w w:val="80"/>
        </w:rPr>
        <w:t xml:space="preserve">、 </w:t>
      </w:r>
      <w:r>
        <w:t>公正</w:t>
      </w:r>
      <w:r>
        <w:rPr>
          <w:rFonts w:hint="eastAsia" w:ascii="MS UI Gothic" w:eastAsia="MS UI Gothic"/>
          <w:w w:val="80"/>
        </w:rPr>
        <w:t xml:space="preserve">、 </w:t>
      </w:r>
      <w:r>
        <w:t>及时地出具检验检测结果</w:t>
      </w:r>
      <w:r>
        <w:rPr>
          <w:rFonts w:hint="eastAsia" w:ascii="MS UI Gothic" w:eastAsia="MS UI Gothic"/>
          <w:w w:val="80"/>
        </w:rPr>
        <w:t xml:space="preserve">、 </w:t>
      </w:r>
      <w:r>
        <w:t>鉴定结论</w:t>
      </w:r>
      <w:r>
        <w:rPr>
          <w:rFonts w:hint="eastAsia" w:ascii="MS UI Gothic" w:eastAsia="MS UI Gothic"/>
          <w:w w:val="80"/>
        </w:rPr>
        <w:t xml:space="preserve">ꎮ </w:t>
      </w:r>
      <w:r>
        <w:t>检验检测结果</w:t>
      </w:r>
      <w:r>
        <w:rPr>
          <w:rFonts w:hint="eastAsia" w:ascii="MS UI Gothic" w:eastAsia="MS UI Gothic"/>
          <w:w w:val="80"/>
        </w:rPr>
        <w:t xml:space="preserve">、 </w:t>
      </w:r>
      <w:r>
        <w:t>鉴定结论经检验检测人员签字后</w:t>
      </w:r>
      <w:r>
        <w:rPr>
          <w:rFonts w:hint="eastAsia" w:ascii="MS UI Gothic" w:eastAsia="MS UI Gothic"/>
          <w:w w:val="80"/>
        </w:rPr>
        <w:t>ꎬ</w:t>
      </w:r>
      <w:r>
        <w:t>由检验检测机构负责人签署</w:t>
      </w:r>
      <w:r>
        <w:rPr>
          <w:rFonts w:hint="eastAsia" w:ascii="MS UI Gothic" w:eastAsia="MS UI Gothic"/>
          <w:w w:val="80"/>
        </w:rPr>
        <w:t>ꎮ</w:t>
      </w:r>
    </w:p>
    <w:p>
      <w:pPr>
        <w:pStyle w:val="6"/>
        <w:spacing w:line="295" w:lineRule="auto"/>
        <w:ind w:left="440" w:right="1"/>
        <w:rPr>
          <w:rFonts w:hint="eastAsia" w:ascii="MS UI Gothic" w:eastAsia="MS UI Gothic"/>
        </w:rPr>
      </w:pPr>
      <w:r>
        <w:t>特种设备检验检测机构和检验检测人</w:t>
      </w:r>
      <w:r>
        <w:rPr>
          <w:w w:val="105"/>
        </w:rPr>
        <w:t>员对检验检测结果</w:t>
      </w:r>
      <w:r>
        <w:rPr>
          <w:rFonts w:hint="eastAsia" w:ascii="MS UI Gothic" w:eastAsia="MS UI Gothic"/>
          <w:w w:val="80"/>
        </w:rPr>
        <w:t xml:space="preserve">、 </w:t>
      </w:r>
      <w:r>
        <w:rPr>
          <w:w w:val="105"/>
        </w:rPr>
        <w:t>鉴定结论负责</w:t>
      </w:r>
      <w:r>
        <w:rPr>
          <w:rFonts w:hint="eastAsia" w:ascii="MS UI Gothic" w:eastAsia="MS UI Gothic"/>
          <w:w w:val="80"/>
        </w:rPr>
        <w:t>ꎮ</w:t>
      </w:r>
    </w:p>
    <w:p>
      <w:pPr>
        <w:pStyle w:val="6"/>
        <w:spacing w:line="295" w:lineRule="auto"/>
        <w:ind w:left="440" w:right="1"/>
        <w:rPr>
          <w:rFonts w:hint="eastAsia" w:ascii="MS UI Gothic" w:eastAsia="MS UI Gothic"/>
        </w:rPr>
      </w:pPr>
      <w:r>
        <w:t>国务院特种设备安全监督管理部门应当组织对特种设备检验检测机构的检验检</w:t>
      </w:r>
      <w:r>
        <w:rPr>
          <w:w w:val="105"/>
        </w:rPr>
        <w:t>测结果</w:t>
      </w:r>
      <w:r>
        <w:rPr>
          <w:rFonts w:hint="eastAsia" w:ascii="MS UI Gothic" w:eastAsia="MS UI Gothic"/>
          <w:w w:val="80"/>
        </w:rPr>
        <w:t xml:space="preserve">、 </w:t>
      </w:r>
      <w:r>
        <w:rPr>
          <w:w w:val="105"/>
        </w:rPr>
        <w:t>鉴定结论进行监督抽查</w:t>
      </w:r>
      <w:r>
        <w:rPr>
          <w:rFonts w:hint="eastAsia" w:ascii="MS UI Gothic" w:eastAsia="MS UI Gothic"/>
          <w:w w:val="80"/>
        </w:rPr>
        <w:t xml:space="preserve">ꎮ </w:t>
      </w:r>
      <w:r>
        <w:rPr>
          <w:w w:val="105"/>
        </w:rPr>
        <w:t>县以上</w:t>
      </w:r>
      <w:r>
        <w:t>地方负责特种设备安全监督管理的部门在本行政区域内也可以组织监督抽查</w:t>
      </w:r>
      <w:r>
        <w:rPr>
          <w:rFonts w:hint="eastAsia" w:ascii="MS UI Gothic" w:eastAsia="MS UI Gothic"/>
          <w:w w:val="80"/>
        </w:rPr>
        <w:t xml:space="preserve">ꎬ </w:t>
      </w:r>
      <w:r>
        <w:t>但是要防止重复抽查</w:t>
      </w:r>
      <w:r>
        <w:rPr>
          <w:rFonts w:hint="eastAsia" w:ascii="MS UI Gothic" w:eastAsia="MS UI Gothic"/>
          <w:w w:val="80"/>
        </w:rPr>
        <w:t xml:space="preserve">ꎮ </w:t>
      </w:r>
      <w:r>
        <w:t>监督抽查结果应当向社</w:t>
      </w:r>
      <w:r>
        <w:rPr>
          <w:w w:val="105"/>
        </w:rPr>
        <w:t>会公布</w:t>
      </w:r>
      <w:r>
        <w:rPr>
          <w:rFonts w:hint="eastAsia" w:ascii="MS UI Gothic" w:eastAsia="MS UI Gothic"/>
          <w:w w:val="80"/>
        </w:rPr>
        <w:t>ꎮ</w:t>
      </w:r>
    </w:p>
    <w:p>
      <w:pPr>
        <w:pStyle w:val="6"/>
        <w:spacing w:line="295" w:lineRule="auto"/>
        <w:ind w:left="440"/>
        <w:rPr>
          <w:rFonts w:hint="eastAsia" w:ascii="MS UI Gothic" w:eastAsia="MS UI Gothic"/>
        </w:rPr>
      </w:pPr>
      <w:r>
        <w:t>第四十七条 特种设备检验检测机构和检验检测人员不得从事特种设备的生产</w:t>
      </w:r>
      <w:r>
        <w:rPr>
          <w:rFonts w:hint="eastAsia" w:ascii="MS UI Gothic" w:eastAsia="MS UI Gothic"/>
          <w:w w:val="80"/>
        </w:rPr>
        <w:t xml:space="preserve">、 </w:t>
      </w:r>
      <w:r>
        <w:t>销售</w:t>
      </w:r>
      <w:r>
        <w:rPr>
          <w:rFonts w:hint="eastAsia" w:ascii="MS UI Gothic" w:eastAsia="MS UI Gothic"/>
          <w:w w:val="80"/>
        </w:rPr>
        <w:t xml:space="preserve">ꎬ </w:t>
      </w:r>
      <w:r>
        <w:t>不得以其名义推荐或者监制</w:t>
      </w:r>
      <w:r>
        <w:rPr>
          <w:rFonts w:hint="eastAsia" w:ascii="MS UI Gothic" w:eastAsia="MS UI Gothic"/>
          <w:w w:val="80"/>
        </w:rPr>
        <w:t>、</w:t>
      </w:r>
      <w:r>
        <w:t>监销特种设备</w:t>
      </w:r>
      <w:r>
        <w:rPr>
          <w:rFonts w:hint="eastAsia" w:ascii="MS UI Gothic" w:eastAsia="MS UI Gothic"/>
          <w:w w:val="80"/>
        </w:rPr>
        <w:t>ꎮ</w:t>
      </w:r>
    </w:p>
    <w:p>
      <w:pPr>
        <w:pStyle w:val="6"/>
        <w:spacing w:line="295" w:lineRule="auto"/>
        <w:ind w:left="440" w:right="1"/>
        <w:rPr>
          <w:rFonts w:hint="eastAsia" w:ascii="MS UI Gothic" w:eastAsia="MS UI Gothic"/>
        </w:rPr>
      </w:pPr>
      <w:r>
        <w:t>第四十八条 特种设备检验检测机构进行特种设备检验检测</w:t>
      </w:r>
      <w:r>
        <w:rPr>
          <w:rFonts w:hint="eastAsia" w:ascii="MS UI Gothic" w:eastAsia="MS UI Gothic"/>
          <w:w w:val="80"/>
        </w:rPr>
        <w:t xml:space="preserve">ꎬ </w:t>
      </w:r>
      <w:r>
        <w:t>发现严重事故隐患或者能耗严重超标的</w:t>
      </w:r>
      <w:r>
        <w:rPr>
          <w:rFonts w:hint="eastAsia" w:ascii="MS UI Gothic" w:eastAsia="MS UI Gothic"/>
          <w:w w:val="80"/>
        </w:rPr>
        <w:t xml:space="preserve">ꎬ </w:t>
      </w:r>
      <w:r>
        <w:t>应当及时告知特种设备使用单位</w:t>
      </w:r>
      <w:r>
        <w:rPr>
          <w:rFonts w:hint="eastAsia" w:ascii="MS UI Gothic" w:eastAsia="MS UI Gothic"/>
          <w:w w:val="80"/>
        </w:rPr>
        <w:t xml:space="preserve">ꎬ </w:t>
      </w:r>
      <w:r>
        <w:t>并立即向特种设备安全监督管理部门报告</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第四十九条 特种设备检验检测机构</w:t>
      </w:r>
      <w:r>
        <w:t>和检验检测人员利用检验检测工作故意刁</w:t>
      </w:r>
      <w:r>
        <w:rPr>
          <w:w w:val="105"/>
        </w:rPr>
        <w:t>难特种设备生产</w:t>
      </w:r>
      <w:r>
        <w:rPr>
          <w:rFonts w:hint="eastAsia" w:ascii="MS UI Gothic" w:eastAsia="MS UI Gothic"/>
          <w:w w:val="80"/>
        </w:rPr>
        <w:t xml:space="preserve">、 </w:t>
      </w:r>
      <w:r>
        <w:rPr>
          <w:w w:val="105"/>
        </w:rPr>
        <w:t>使用单位</w:t>
      </w:r>
      <w:r>
        <w:rPr>
          <w:rFonts w:hint="eastAsia" w:ascii="MS UI Gothic" w:eastAsia="MS UI Gothic"/>
          <w:w w:val="80"/>
        </w:rPr>
        <w:t xml:space="preserve">ꎬ </w:t>
      </w:r>
      <w:r>
        <w:rPr>
          <w:w w:val="105"/>
        </w:rPr>
        <w:t>特种设备生产</w:t>
      </w:r>
      <w:r>
        <w:rPr>
          <w:rFonts w:hint="eastAsia" w:ascii="MS UI Gothic" w:eastAsia="MS UI Gothic"/>
          <w:w w:val="80"/>
        </w:rPr>
        <w:t xml:space="preserve">、 </w:t>
      </w:r>
      <w:r>
        <w:rPr>
          <w:w w:val="105"/>
        </w:rPr>
        <w:t>使用单位有权向特种设备安全监督管</w:t>
      </w:r>
      <w:r>
        <w:t>理部门投诉</w:t>
      </w:r>
      <w:r>
        <w:rPr>
          <w:rFonts w:hint="eastAsia" w:ascii="MS UI Gothic" w:eastAsia="MS UI Gothic"/>
          <w:w w:val="80"/>
        </w:rPr>
        <w:t xml:space="preserve">ꎬ </w:t>
      </w:r>
      <w:r>
        <w:t>接到投诉的特种设备安全监</w:t>
      </w:r>
      <w:r>
        <w:rPr>
          <w:w w:val="105"/>
        </w:rPr>
        <w:t>督管理部门应当及时进行调查处理</w:t>
      </w:r>
      <w:r>
        <w:rPr>
          <w:rFonts w:hint="eastAsia" w:ascii="MS UI Gothic" w:eastAsia="MS UI Gothic"/>
          <w:w w:val="80"/>
        </w:rPr>
        <w:t>ꎮ</w:t>
      </w:r>
    </w:p>
    <w:p>
      <w:pPr>
        <w:pStyle w:val="6"/>
        <w:tabs>
          <w:tab w:val="left" w:pos="2222"/>
        </w:tabs>
        <w:spacing w:before="130"/>
        <w:ind w:left="1384" w:firstLine="0"/>
        <w:jc w:val="left"/>
      </w:pPr>
      <w:r>
        <w:rPr>
          <w:spacing w:val="3"/>
          <w:w w:val="105"/>
        </w:rPr>
        <w:t>第五</w:t>
      </w:r>
      <w:r>
        <w:rPr>
          <w:w w:val="105"/>
        </w:rPr>
        <w:t>章</w:t>
      </w:r>
      <w:r>
        <w:rPr>
          <w:w w:val="105"/>
        </w:rPr>
        <w:tab/>
      </w:r>
      <w:r>
        <w:rPr>
          <w:w w:val="105"/>
        </w:rPr>
        <w:t>监</w:t>
      </w:r>
      <w:r>
        <w:rPr>
          <w:spacing w:val="-34"/>
          <w:w w:val="105"/>
        </w:rPr>
        <w:t xml:space="preserve"> </w:t>
      </w:r>
      <w:r>
        <w:rPr>
          <w:w w:val="105"/>
        </w:rPr>
        <w:t>督</w:t>
      </w:r>
      <w:r>
        <w:rPr>
          <w:spacing w:val="-33"/>
          <w:w w:val="105"/>
        </w:rPr>
        <w:t xml:space="preserve"> </w:t>
      </w:r>
      <w:r>
        <w:rPr>
          <w:w w:val="105"/>
        </w:rPr>
        <w:t>检</w:t>
      </w:r>
      <w:r>
        <w:rPr>
          <w:spacing w:val="-33"/>
          <w:w w:val="105"/>
        </w:rPr>
        <w:t xml:space="preserve"> </w:t>
      </w:r>
      <w:r>
        <w:rPr>
          <w:w w:val="105"/>
        </w:rPr>
        <w:t>查</w:t>
      </w:r>
    </w:p>
    <w:p>
      <w:pPr>
        <w:pStyle w:val="6"/>
        <w:spacing w:before="216" w:line="295" w:lineRule="auto"/>
        <w:ind w:left="440" w:right="1"/>
        <w:rPr>
          <w:rFonts w:hint="eastAsia" w:ascii="MS UI Gothic" w:eastAsia="MS UI Gothic"/>
        </w:rPr>
      </w:pPr>
      <w:r>
        <w:rPr>
          <w:w w:val="105"/>
        </w:rPr>
        <w:t>第五十条 特种设备安全监督管理部门依照本条例规定</w:t>
      </w:r>
      <w:r>
        <w:rPr>
          <w:rFonts w:hint="eastAsia" w:ascii="MS UI Gothic" w:eastAsia="MS UI Gothic"/>
          <w:w w:val="80"/>
        </w:rPr>
        <w:t xml:space="preserve">ꎬ </w:t>
      </w:r>
      <w:r>
        <w:rPr>
          <w:w w:val="105"/>
        </w:rPr>
        <w:t>对特种设备生产</w:t>
      </w:r>
      <w:r>
        <w:rPr>
          <w:rFonts w:hint="eastAsia" w:ascii="MS UI Gothic" w:eastAsia="MS UI Gothic"/>
          <w:w w:val="80"/>
        </w:rPr>
        <w:t xml:space="preserve">、 </w:t>
      </w:r>
      <w:r>
        <w:rPr>
          <w:w w:val="105"/>
        </w:rPr>
        <w:t>使用单位和检验检测机构实施安全监察</w:t>
      </w:r>
      <w:r>
        <w:rPr>
          <w:rFonts w:hint="eastAsia" w:ascii="MS UI Gothic" w:eastAsia="MS UI Gothic"/>
          <w:w w:val="80"/>
        </w:rPr>
        <w:t>ꎮ</w:t>
      </w:r>
    </w:p>
    <w:p>
      <w:pPr>
        <w:pStyle w:val="6"/>
        <w:spacing w:before="124" w:line="295" w:lineRule="auto"/>
        <w:ind w:left="381" w:right="126"/>
        <w:rPr>
          <w:rFonts w:hint="eastAsia" w:ascii="MS UI Gothic" w:eastAsia="MS UI Gothic"/>
        </w:rPr>
      </w:pPr>
      <w:r>
        <w:br w:type="column"/>
      </w:r>
      <w:r>
        <w:t>对学校</w:t>
      </w:r>
      <w:r>
        <w:rPr>
          <w:rFonts w:hint="eastAsia" w:ascii="MS UI Gothic" w:eastAsia="MS UI Gothic"/>
          <w:w w:val="80"/>
        </w:rPr>
        <w:t xml:space="preserve">、 </w:t>
      </w:r>
      <w:r>
        <w:t>幼儿园以及车站</w:t>
      </w:r>
      <w:r>
        <w:rPr>
          <w:rFonts w:hint="eastAsia" w:ascii="MS UI Gothic" w:eastAsia="MS UI Gothic"/>
          <w:w w:val="80"/>
        </w:rPr>
        <w:t xml:space="preserve">、  </w:t>
      </w:r>
      <w:r>
        <w:t>客运码头</w:t>
      </w:r>
      <w:r>
        <w:rPr>
          <w:rFonts w:hint="eastAsia" w:ascii="MS UI Gothic" w:eastAsia="MS UI Gothic"/>
          <w:w w:val="80"/>
        </w:rPr>
        <w:t xml:space="preserve">、 </w:t>
      </w:r>
      <w:r>
        <w:t>商场</w:t>
      </w:r>
      <w:r>
        <w:rPr>
          <w:rFonts w:hint="eastAsia" w:ascii="MS UI Gothic" w:eastAsia="MS UI Gothic"/>
          <w:w w:val="80"/>
        </w:rPr>
        <w:t xml:space="preserve">、 </w:t>
      </w:r>
      <w:r>
        <w:t>体育场馆</w:t>
      </w:r>
      <w:r>
        <w:rPr>
          <w:rFonts w:hint="eastAsia" w:ascii="MS UI Gothic" w:eastAsia="MS UI Gothic"/>
          <w:w w:val="80"/>
        </w:rPr>
        <w:t xml:space="preserve">、 </w:t>
      </w:r>
      <w:r>
        <w:t>展览馆</w:t>
      </w:r>
      <w:r>
        <w:rPr>
          <w:rFonts w:hint="eastAsia" w:ascii="MS UI Gothic" w:eastAsia="MS UI Gothic"/>
          <w:w w:val="80"/>
        </w:rPr>
        <w:t xml:space="preserve">、  </w:t>
      </w:r>
      <w:r>
        <w:t>公园等公众聚集场所的特种设备</w:t>
      </w:r>
      <w:r>
        <w:rPr>
          <w:rFonts w:hint="eastAsia" w:ascii="MS UI Gothic" w:eastAsia="MS UI Gothic"/>
          <w:w w:val="80"/>
        </w:rPr>
        <w:t xml:space="preserve">ꎬ </w:t>
      </w:r>
      <w:r>
        <w:t>特种设备安全监督管理部门应当实施重点安全监察</w:t>
      </w:r>
      <w:r>
        <w:rPr>
          <w:rFonts w:hint="eastAsia" w:ascii="MS UI Gothic" w:eastAsia="MS UI Gothic"/>
          <w:w w:val="80"/>
        </w:rPr>
        <w:t>ꎮ</w:t>
      </w:r>
    </w:p>
    <w:p>
      <w:pPr>
        <w:pStyle w:val="6"/>
        <w:spacing w:line="295" w:lineRule="auto"/>
        <w:ind w:left="381" w:right="124"/>
        <w:rPr>
          <w:rFonts w:hint="eastAsia" w:ascii="MS UI Gothic" w:eastAsia="MS UI Gothic"/>
        </w:rPr>
      </w:pPr>
      <w:r>
        <w:rPr>
          <w:w w:val="105"/>
        </w:rPr>
        <w:t>第五十一条 特种设备安全监督管理</w:t>
      </w:r>
      <w:r>
        <w:t>部门根据举报或者取得的涉嫌违法证据</w:t>
      </w:r>
      <w:r>
        <w:rPr>
          <w:rFonts w:hint="eastAsia" w:ascii="MS UI Gothic" w:eastAsia="MS UI Gothic"/>
          <w:w w:val="80"/>
        </w:rPr>
        <w:t>ꎬ</w:t>
      </w:r>
      <w:r>
        <w:t>对涉嫌违反本条例规定的行为进行查处</w:t>
      </w:r>
      <w:r>
        <w:rPr>
          <w:w w:val="105"/>
        </w:rPr>
        <w:t>时</w:t>
      </w:r>
      <w:r>
        <w:rPr>
          <w:rFonts w:hint="eastAsia" w:ascii="MS UI Gothic" w:eastAsia="MS UI Gothic"/>
          <w:w w:val="80"/>
        </w:rPr>
        <w:t xml:space="preserve">ꎬ </w:t>
      </w:r>
      <w:r>
        <w:rPr>
          <w:w w:val="105"/>
        </w:rPr>
        <w:t>可以行使下列职权</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向特种设备生产</w:t>
      </w:r>
      <w:r>
        <w:rPr>
          <w:rFonts w:hint="eastAsia" w:ascii="MS UI Gothic" w:eastAsia="MS UI Gothic"/>
          <w:w w:val="80"/>
        </w:rPr>
        <w:t xml:space="preserve">、  </w:t>
      </w:r>
      <w:r>
        <w:rPr>
          <w:w w:val="105"/>
        </w:rPr>
        <w:t>使用单位和检验检测机构的法定代表人</w:t>
      </w:r>
      <w:r>
        <w:rPr>
          <w:rFonts w:hint="eastAsia" w:ascii="MS UI Gothic" w:eastAsia="MS UI Gothic"/>
          <w:w w:val="80"/>
        </w:rPr>
        <w:t xml:space="preserve">、 </w:t>
      </w:r>
      <w:r>
        <w:rPr>
          <w:w w:val="105"/>
        </w:rPr>
        <w:t>主要负责人和其他有关人员调查</w:t>
      </w:r>
      <w:r>
        <w:rPr>
          <w:rFonts w:hint="eastAsia" w:ascii="MS UI Gothic" w:eastAsia="MS UI Gothic"/>
          <w:w w:val="80"/>
        </w:rPr>
        <w:t xml:space="preserve">、 </w:t>
      </w:r>
      <w:r>
        <w:rPr>
          <w:w w:val="105"/>
        </w:rPr>
        <w:t>了解与涉嫌从事违反本条例的生产</w:t>
      </w:r>
      <w:r>
        <w:rPr>
          <w:rFonts w:hint="eastAsia" w:ascii="MS UI Gothic" w:eastAsia="MS UI Gothic"/>
          <w:w w:val="80"/>
        </w:rPr>
        <w:t xml:space="preserve">、 </w:t>
      </w:r>
      <w:r>
        <w:rPr>
          <w:w w:val="105"/>
        </w:rPr>
        <w:t>使用</w:t>
      </w:r>
      <w:r>
        <w:rPr>
          <w:rFonts w:hint="eastAsia" w:ascii="MS UI Gothic" w:eastAsia="MS UI Gothic"/>
          <w:w w:val="80"/>
        </w:rPr>
        <w:t xml:space="preserve">、 </w:t>
      </w:r>
      <w:r>
        <w:rPr>
          <w:w w:val="105"/>
        </w:rPr>
        <w:t>检验检测有关的情况</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查阅</w:t>
      </w:r>
      <w:r>
        <w:rPr>
          <w:rFonts w:hint="eastAsia" w:ascii="MS UI Gothic" w:eastAsia="MS UI Gothic"/>
          <w:w w:val="80"/>
        </w:rPr>
        <w:t xml:space="preserve">、 </w:t>
      </w:r>
      <w:r>
        <w:rPr>
          <w:w w:val="105"/>
        </w:rPr>
        <w:t>复制特种设备生产</w:t>
      </w:r>
      <w:r>
        <w:rPr>
          <w:rFonts w:hint="eastAsia" w:ascii="MS UI Gothic" w:eastAsia="MS UI Gothic"/>
          <w:w w:val="80"/>
        </w:rPr>
        <w:t xml:space="preserve">、 </w:t>
      </w:r>
      <w:r>
        <w:rPr>
          <w:w w:val="105"/>
        </w:rPr>
        <w:t>使用单位和检验检测机构的有关合同</w:t>
      </w:r>
      <w:r>
        <w:rPr>
          <w:rFonts w:hint="eastAsia" w:ascii="MS UI Gothic" w:eastAsia="MS UI Gothic"/>
          <w:w w:val="80"/>
        </w:rPr>
        <w:t xml:space="preserve">、 </w:t>
      </w:r>
      <w:r>
        <w:rPr>
          <w:w w:val="105"/>
        </w:rPr>
        <w:t>发票</w:t>
      </w:r>
      <w:r>
        <w:rPr>
          <w:rFonts w:hint="eastAsia" w:ascii="MS UI Gothic" w:eastAsia="MS UI Gothic"/>
          <w:w w:val="80"/>
        </w:rPr>
        <w:t xml:space="preserve">、 </w:t>
      </w:r>
      <w:r>
        <w:rPr>
          <w:w w:val="105"/>
        </w:rPr>
        <w:t>账簿以及其他有关资料</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对有证据表明不符合安全技术规范要求的或者有其他严重事故隐患</w:t>
      </w:r>
      <w:r>
        <w:rPr>
          <w:rFonts w:hint="eastAsia" w:ascii="MS UI Gothic" w:eastAsia="MS UI Gothic"/>
          <w:w w:val="80"/>
        </w:rPr>
        <w:t xml:space="preserve">、 </w:t>
      </w:r>
      <w:r>
        <w:rPr>
          <w:w w:val="105"/>
        </w:rPr>
        <w:t>能</w:t>
      </w:r>
      <w:r>
        <w:t>耗严重超标的特种设备</w:t>
      </w:r>
      <w:r>
        <w:rPr>
          <w:rFonts w:hint="eastAsia" w:ascii="MS UI Gothic" w:eastAsia="MS UI Gothic"/>
          <w:w w:val="80"/>
        </w:rPr>
        <w:t xml:space="preserve">ꎬ </w:t>
      </w:r>
      <w:r>
        <w:t>予以查封或者</w:t>
      </w:r>
      <w:r>
        <w:rPr>
          <w:w w:val="105"/>
        </w:rPr>
        <w:t>扣押</w:t>
      </w:r>
      <w:r>
        <w:rPr>
          <w:rFonts w:hint="eastAsia" w:ascii="MS UI Gothic" w:eastAsia="MS UI Gothic"/>
          <w:w w:val="80"/>
        </w:rPr>
        <w:t>ꎮ</w:t>
      </w:r>
    </w:p>
    <w:p>
      <w:pPr>
        <w:pStyle w:val="6"/>
        <w:spacing w:line="295" w:lineRule="auto"/>
        <w:ind w:left="381" w:right="126"/>
        <w:rPr>
          <w:rFonts w:hint="eastAsia" w:ascii="MS UI Gothic" w:eastAsia="MS UI Gothic"/>
        </w:rPr>
      </w:pPr>
      <w:r>
        <w:t>第五十二条 依照本条例规定实施许可</w:t>
      </w:r>
      <w:r>
        <w:rPr>
          <w:rFonts w:hint="eastAsia" w:ascii="MS UI Gothic" w:eastAsia="MS UI Gothic"/>
          <w:w w:val="80"/>
        </w:rPr>
        <w:t xml:space="preserve">、 </w:t>
      </w:r>
      <w:r>
        <w:t>核准</w:t>
      </w:r>
      <w:r>
        <w:rPr>
          <w:rFonts w:hint="eastAsia" w:ascii="MS UI Gothic" w:eastAsia="MS UI Gothic"/>
          <w:w w:val="80"/>
        </w:rPr>
        <w:t xml:space="preserve">、 </w:t>
      </w:r>
      <w:r>
        <w:t>登记的特种设备安全监督管理部门</w:t>
      </w:r>
      <w:r>
        <w:rPr>
          <w:rFonts w:hint="eastAsia" w:ascii="MS UI Gothic" w:eastAsia="MS UI Gothic"/>
          <w:w w:val="80"/>
        </w:rPr>
        <w:t xml:space="preserve">ꎬ </w:t>
      </w:r>
      <w:r>
        <w:t>应当严格依照本条例规定条件和安全技术规范要求对有关事项进行审查</w:t>
      </w:r>
      <w:r>
        <w:rPr>
          <w:rFonts w:hint="eastAsia" w:ascii="MS UI Gothic" w:eastAsia="MS UI Gothic"/>
          <w:w w:val="80"/>
        </w:rPr>
        <w:t xml:space="preserve">ꎻ </w:t>
      </w:r>
      <w:r>
        <w:t>不符合本条例规定条件和安全技术规范要求的</w:t>
      </w:r>
      <w:r>
        <w:rPr>
          <w:rFonts w:hint="eastAsia" w:ascii="MS UI Gothic" w:eastAsia="MS UI Gothic"/>
          <w:w w:val="80"/>
        </w:rPr>
        <w:t xml:space="preserve">ꎬ </w:t>
      </w:r>
      <w:r>
        <w:t>不得许可</w:t>
      </w:r>
      <w:r>
        <w:rPr>
          <w:rFonts w:hint="eastAsia" w:ascii="MS UI Gothic" w:eastAsia="MS UI Gothic"/>
          <w:w w:val="80"/>
        </w:rPr>
        <w:t xml:space="preserve">、 </w:t>
      </w:r>
      <w:r>
        <w:t>核准</w:t>
      </w:r>
      <w:r>
        <w:rPr>
          <w:rFonts w:hint="eastAsia" w:ascii="MS UI Gothic" w:eastAsia="MS UI Gothic"/>
          <w:w w:val="80"/>
        </w:rPr>
        <w:t xml:space="preserve">、 </w:t>
      </w:r>
      <w:r>
        <w:t>登记</w:t>
      </w:r>
      <w:r>
        <w:rPr>
          <w:rFonts w:hint="eastAsia" w:ascii="MS UI Gothic" w:eastAsia="MS UI Gothic"/>
          <w:w w:val="80"/>
        </w:rPr>
        <w:t xml:space="preserve">ꎻ </w:t>
      </w:r>
      <w:r>
        <w:t>在申请办理许可</w:t>
      </w:r>
      <w:r>
        <w:rPr>
          <w:rFonts w:hint="eastAsia" w:ascii="MS UI Gothic" w:eastAsia="MS UI Gothic"/>
          <w:w w:val="80"/>
        </w:rPr>
        <w:t xml:space="preserve">、 </w:t>
      </w:r>
      <w:r>
        <w:t>核准期间</w:t>
      </w:r>
      <w:r>
        <w:rPr>
          <w:rFonts w:hint="eastAsia" w:ascii="MS UI Gothic" w:eastAsia="MS UI Gothic"/>
          <w:w w:val="80"/>
        </w:rPr>
        <w:t xml:space="preserve">ꎬ </w:t>
      </w:r>
      <w:r>
        <w:t>特种设备安全监督管理部门发现申请人未经许可从事特种设备相应活动或者伪造许可</w:t>
      </w:r>
      <w:r>
        <w:rPr>
          <w:rFonts w:hint="eastAsia" w:ascii="MS UI Gothic" w:eastAsia="MS UI Gothic"/>
          <w:w w:val="80"/>
        </w:rPr>
        <w:t xml:space="preserve">、 </w:t>
      </w:r>
      <w:r>
        <w:t>核准证书的</w:t>
      </w:r>
      <w:r>
        <w:rPr>
          <w:rFonts w:hint="eastAsia" w:ascii="MS UI Gothic" w:eastAsia="MS UI Gothic"/>
          <w:w w:val="80"/>
        </w:rPr>
        <w:t xml:space="preserve">ꎬ </w:t>
      </w:r>
      <w:r>
        <w:t>不予受理或者不予许可</w:t>
      </w:r>
      <w:r>
        <w:rPr>
          <w:rFonts w:hint="eastAsia" w:ascii="MS UI Gothic" w:eastAsia="MS UI Gothic"/>
          <w:w w:val="80"/>
        </w:rPr>
        <w:t xml:space="preserve">、 </w:t>
      </w:r>
      <w:r>
        <w:t>核准</w:t>
      </w:r>
      <w:r>
        <w:rPr>
          <w:rFonts w:hint="eastAsia" w:ascii="MS UI Gothic" w:eastAsia="MS UI Gothic"/>
          <w:w w:val="80"/>
        </w:rPr>
        <w:t xml:space="preserve">ꎬ </w:t>
      </w:r>
      <w:r>
        <w:t xml:space="preserve">并在 </w:t>
      </w:r>
      <w:r>
        <w:rPr>
          <w:rFonts w:hint="eastAsia" w:ascii="MS UI Gothic" w:eastAsia="MS UI Gothic"/>
          <w:w w:val="80"/>
        </w:rPr>
        <w:t xml:space="preserve">１ </w:t>
      </w:r>
      <w:r>
        <w:t>年内不再受理其新的许可</w:t>
      </w:r>
      <w:r>
        <w:rPr>
          <w:rFonts w:hint="eastAsia" w:ascii="MS UI Gothic" w:eastAsia="MS UI Gothic"/>
          <w:w w:val="80"/>
        </w:rPr>
        <w:t xml:space="preserve">、 </w:t>
      </w:r>
      <w:r>
        <w:t>核准申请</w:t>
      </w:r>
      <w:r>
        <w:rPr>
          <w:rFonts w:hint="eastAsia" w:ascii="MS UI Gothic" w:eastAsia="MS UI Gothic"/>
          <w:w w:val="80"/>
        </w:rPr>
        <w:t>ꎮ</w:t>
      </w:r>
    </w:p>
    <w:p>
      <w:pPr>
        <w:pStyle w:val="6"/>
        <w:spacing w:line="295" w:lineRule="auto"/>
        <w:ind w:left="381" w:right="126"/>
        <w:rPr>
          <w:rFonts w:hint="eastAsia" w:ascii="MS UI Gothic" w:eastAsia="MS UI Gothic"/>
        </w:rPr>
      </w:pPr>
      <w:r>
        <w:t>未依法取得许可</w:t>
      </w:r>
      <w:r>
        <w:rPr>
          <w:rFonts w:hint="eastAsia" w:ascii="MS UI Gothic" w:eastAsia="MS UI Gothic"/>
          <w:w w:val="80"/>
        </w:rPr>
        <w:t xml:space="preserve">、 </w:t>
      </w:r>
      <w:r>
        <w:t>核准</w:t>
      </w:r>
      <w:r>
        <w:rPr>
          <w:rFonts w:hint="eastAsia" w:ascii="MS UI Gothic" w:eastAsia="MS UI Gothic"/>
          <w:w w:val="80"/>
        </w:rPr>
        <w:t xml:space="preserve">、 </w:t>
      </w:r>
      <w:r>
        <w:t>登记的单位擅自从事特种设备的生产</w:t>
      </w:r>
      <w:r>
        <w:rPr>
          <w:rFonts w:hint="eastAsia" w:ascii="MS UI Gothic" w:eastAsia="MS UI Gothic"/>
          <w:w w:val="80"/>
        </w:rPr>
        <w:t xml:space="preserve">、 </w:t>
      </w:r>
      <w:r>
        <w:t>使用或者检验检测活动的</w:t>
      </w:r>
      <w:r>
        <w:rPr>
          <w:rFonts w:hint="eastAsia" w:ascii="MS UI Gothic" w:eastAsia="MS UI Gothic"/>
          <w:w w:val="80"/>
        </w:rPr>
        <w:t xml:space="preserve">ꎬ </w:t>
      </w:r>
      <w:r>
        <w:t>特种设备安全监督管理部门应当依法予以处理</w:t>
      </w:r>
      <w:r>
        <w:rPr>
          <w:rFonts w:hint="eastAsia" w:ascii="MS UI Gothic" w:eastAsia="MS UI Gothic"/>
          <w:w w:val="80"/>
        </w:rPr>
        <w:t>ꎮ</w:t>
      </w:r>
    </w:p>
    <w:p>
      <w:pPr>
        <w:pStyle w:val="6"/>
        <w:spacing w:line="295" w:lineRule="auto"/>
        <w:ind w:left="381" w:right="126"/>
        <w:rPr>
          <w:rFonts w:hint="eastAsia" w:ascii="MS UI Gothic" w:eastAsia="MS UI Gothic"/>
        </w:rPr>
      </w:pPr>
      <w:r>
        <w:t>违反本条例规定</w:t>
      </w:r>
      <w:r>
        <w:rPr>
          <w:rFonts w:hint="eastAsia" w:ascii="MS UI Gothic" w:eastAsia="MS UI Gothic"/>
          <w:w w:val="80"/>
        </w:rPr>
        <w:t xml:space="preserve">ꎬ </w:t>
      </w:r>
      <w:r>
        <w:t>被依法撤销许可的</w:t>
      </w:r>
      <w:r>
        <w:rPr>
          <w:rFonts w:hint="eastAsia" w:ascii="MS UI Gothic" w:eastAsia="MS UI Gothic"/>
          <w:w w:val="80"/>
        </w:rPr>
        <w:t xml:space="preserve">ꎬ </w:t>
      </w:r>
      <w:r>
        <w:t xml:space="preserve">自撤销许可之日起 </w:t>
      </w:r>
      <w:r>
        <w:rPr>
          <w:rFonts w:hint="eastAsia" w:ascii="MS UI Gothic" w:eastAsia="MS UI Gothic"/>
          <w:w w:val="80"/>
        </w:rPr>
        <w:t xml:space="preserve">３ </w:t>
      </w:r>
      <w:r>
        <w:t>年内</w:t>
      </w:r>
      <w:r>
        <w:rPr>
          <w:rFonts w:hint="eastAsia" w:ascii="MS UI Gothic" w:eastAsia="MS UI Gothic"/>
          <w:w w:val="80"/>
        </w:rPr>
        <w:t xml:space="preserve">ꎬ </w:t>
      </w:r>
      <w:r>
        <w:t>特种设备安全监督管理部门不予受理其新的许可申请</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４７４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422" o:spid="_x0000_s2422" o:spt="203" style="height:2.15pt;width:398.25pt;" coordsize="7965,43">
            <o:lock v:ext="edit"/>
            <v:line id="_x0000_s2423" o:spid="_x0000_s2423" o:spt="20" style="position:absolute;left:0;top:39;height:0;width:7965;" stroked="t" coordsize="21600,21600">
              <v:path arrowok="t"/>
              <v:fill focussize="0,0"/>
              <v:stroke weight="0.388031496062992pt" color="#231F20"/>
              <v:imagedata o:title=""/>
              <o:lock v:ext="edit"/>
            </v:line>
            <v:line id="_x0000_s2424" o:spid="_x0000_s2424"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t>第五十三条 特种设备安全监督管理部门在办理本条例规定的有关行政审批事项时</w:t>
      </w:r>
      <w:r>
        <w:rPr>
          <w:rFonts w:hint="eastAsia" w:ascii="MS UI Gothic" w:eastAsia="MS UI Gothic"/>
          <w:w w:val="85"/>
        </w:rPr>
        <w:t xml:space="preserve">ꎬ </w:t>
      </w:r>
      <w:r>
        <w:t>其受理</w:t>
      </w:r>
      <w:r>
        <w:rPr>
          <w:rFonts w:hint="eastAsia" w:ascii="MS UI Gothic" w:eastAsia="MS UI Gothic"/>
          <w:w w:val="85"/>
        </w:rPr>
        <w:t xml:space="preserve">、 </w:t>
      </w:r>
      <w:r>
        <w:t>审查</w:t>
      </w:r>
      <w:r>
        <w:rPr>
          <w:rFonts w:hint="eastAsia" w:ascii="MS UI Gothic" w:eastAsia="MS UI Gothic"/>
          <w:w w:val="85"/>
        </w:rPr>
        <w:t xml:space="preserve">、 </w:t>
      </w:r>
      <w:r>
        <w:t>许可</w:t>
      </w:r>
      <w:r>
        <w:rPr>
          <w:rFonts w:hint="eastAsia" w:ascii="MS UI Gothic" w:eastAsia="MS UI Gothic"/>
          <w:w w:val="85"/>
        </w:rPr>
        <w:t xml:space="preserve">、 </w:t>
      </w:r>
      <w:r>
        <w:t>核准的程序必须公开</w:t>
      </w:r>
      <w:r>
        <w:rPr>
          <w:rFonts w:hint="eastAsia" w:ascii="MS UI Gothic" w:eastAsia="MS UI Gothic"/>
          <w:w w:val="85"/>
        </w:rPr>
        <w:t xml:space="preserve">ꎬ </w:t>
      </w:r>
      <w:r>
        <w:t xml:space="preserve">并应当自受理申请之日起 </w:t>
      </w:r>
      <w:r>
        <w:rPr>
          <w:rFonts w:hint="eastAsia" w:ascii="MS UI Gothic" w:eastAsia="MS UI Gothic"/>
          <w:w w:val="85"/>
        </w:rPr>
        <w:t xml:space="preserve">３０ </w:t>
      </w:r>
      <w:r>
        <w:t>日内</w:t>
      </w:r>
      <w:r>
        <w:rPr>
          <w:rFonts w:hint="eastAsia" w:ascii="MS UI Gothic" w:eastAsia="MS UI Gothic"/>
          <w:w w:val="85"/>
        </w:rPr>
        <w:t xml:space="preserve">ꎬ </w:t>
      </w:r>
      <w:r>
        <w:t>作出许可</w:t>
      </w:r>
      <w:r>
        <w:rPr>
          <w:rFonts w:hint="eastAsia" w:ascii="MS UI Gothic" w:eastAsia="MS UI Gothic"/>
          <w:w w:val="85"/>
        </w:rPr>
        <w:t xml:space="preserve">、 </w:t>
      </w:r>
      <w:r>
        <w:t>核准或者不予许可</w:t>
      </w:r>
      <w:r>
        <w:rPr>
          <w:rFonts w:hint="eastAsia" w:ascii="MS UI Gothic" w:eastAsia="MS UI Gothic"/>
          <w:w w:val="85"/>
        </w:rPr>
        <w:t xml:space="preserve">、 </w:t>
      </w:r>
      <w:r>
        <w:t>核准的决定</w:t>
      </w:r>
      <w:r>
        <w:rPr>
          <w:rFonts w:hint="eastAsia" w:ascii="MS UI Gothic" w:eastAsia="MS UI Gothic"/>
          <w:w w:val="85"/>
        </w:rPr>
        <w:t xml:space="preserve">ꎻ </w:t>
      </w:r>
      <w:r>
        <w:t>不予许可</w:t>
      </w:r>
      <w:r>
        <w:rPr>
          <w:rFonts w:hint="eastAsia" w:ascii="MS UI Gothic" w:eastAsia="MS UI Gothic"/>
          <w:w w:val="85"/>
        </w:rPr>
        <w:t xml:space="preserve">、 </w:t>
      </w:r>
      <w:r>
        <w:t>核准的</w:t>
      </w:r>
      <w:r>
        <w:rPr>
          <w:rFonts w:hint="eastAsia" w:ascii="MS UI Gothic" w:eastAsia="MS UI Gothic"/>
          <w:w w:val="85"/>
        </w:rPr>
        <w:t xml:space="preserve">ꎬ </w:t>
      </w:r>
      <w:r>
        <w:t>应当书面向申请人说明理由</w:t>
      </w:r>
      <w:r>
        <w:rPr>
          <w:rFonts w:hint="eastAsia" w:ascii="MS UI Gothic" w:eastAsia="MS UI Gothic"/>
          <w:w w:val="85"/>
        </w:rPr>
        <w:t>ꎮ</w:t>
      </w:r>
    </w:p>
    <w:p>
      <w:pPr>
        <w:pStyle w:val="6"/>
        <w:spacing w:line="295" w:lineRule="auto"/>
        <w:ind w:right="39"/>
        <w:rPr>
          <w:rFonts w:hint="eastAsia" w:ascii="MS UI Gothic" w:eastAsia="MS UI Gothic"/>
        </w:rPr>
      </w:pPr>
      <w:r>
        <w:rPr>
          <w:w w:val="105"/>
        </w:rPr>
        <w:t>第五十四条 地方各级特种设备安全</w:t>
      </w:r>
      <w:r>
        <w:t>监督管理部门不得以任何形式进行地方保护和地区封锁</w:t>
      </w:r>
      <w:r>
        <w:rPr>
          <w:rFonts w:hint="eastAsia" w:ascii="MS UI Gothic" w:eastAsia="MS UI Gothic"/>
          <w:w w:val="80"/>
        </w:rPr>
        <w:t xml:space="preserve">ꎬ </w:t>
      </w:r>
      <w:r>
        <w:t>不得对已经依照本条例规定在其他地方取得许可的特种设备生产单位重复进行许可</w:t>
      </w:r>
      <w:r>
        <w:rPr>
          <w:rFonts w:hint="eastAsia" w:ascii="MS UI Gothic" w:eastAsia="MS UI Gothic"/>
          <w:w w:val="80"/>
        </w:rPr>
        <w:t xml:space="preserve">ꎬ </w:t>
      </w:r>
      <w:r>
        <w:t>也不得要求对依照本条例规定在其他地方检验检测合格的特种设</w:t>
      </w:r>
      <w:r>
        <w:rPr>
          <w:w w:val="105"/>
        </w:rPr>
        <w:t>备</w:t>
      </w:r>
      <w:r>
        <w:rPr>
          <w:rFonts w:hint="eastAsia" w:ascii="MS UI Gothic" w:eastAsia="MS UI Gothic"/>
          <w:w w:val="80"/>
        </w:rPr>
        <w:t xml:space="preserve">ꎬ </w:t>
      </w:r>
      <w:r>
        <w:rPr>
          <w:w w:val="105"/>
        </w:rPr>
        <w:t>重复进行检验检测</w:t>
      </w:r>
      <w:r>
        <w:rPr>
          <w:rFonts w:hint="eastAsia" w:ascii="MS UI Gothic" w:eastAsia="MS UI Gothic"/>
          <w:w w:val="80"/>
        </w:rPr>
        <w:t>ꎮ</w:t>
      </w:r>
    </w:p>
    <w:p>
      <w:pPr>
        <w:pStyle w:val="6"/>
        <w:spacing w:line="295" w:lineRule="auto"/>
        <w:ind w:right="38"/>
        <w:rPr>
          <w:rFonts w:hint="eastAsia" w:ascii="MS UI Gothic" w:eastAsia="MS UI Gothic"/>
        </w:rPr>
      </w:pPr>
      <w:r>
        <w:rPr>
          <w:spacing w:val="2"/>
          <w:w w:val="105"/>
        </w:rPr>
        <w:t>第五十五条 特种设备安全监督管理</w:t>
      </w:r>
      <w:r>
        <w:rPr>
          <w:spacing w:val="5"/>
          <w:w w:val="105"/>
        </w:rPr>
        <w:t xml:space="preserve">部门的安全监察人员 </w:t>
      </w:r>
      <w:r>
        <w:rPr>
          <w:rFonts w:hint="eastAsia" w:ascii="MS UI Gothic" w:eastAsia="MS UI Gothic"/>
          <w:spacing w:val="-37"/>
          <w:w w:val="150"/>
        </w:rPr>
        <w:t xml:space="preserve">( </w:t>
      </w:r>
      <w:r>
        <w:rPr>
          <w:spacing w:val="14"/>
          <w:w w:val="105"/>
        </w:rPr>
        <w:t>以下简称特种设</w:t>
      </w:r>
      <w:r>
        <w:rPr>
          <w:spacing w:val="20"/>
          <w:w w:val="105"/>
        </w:rPr>
        <w:t>备安全监察人员</w:t>
      </w:r>
      <w:r>
        <w:rPr>
          <w:rFonts w:hint="eastAsia" w:ascii="MS UI Gothic" w:eastAsia="MS UI Gothic"/>
          <w:spacing w:val="-1"/>
          <w:w w:val="150"/>
        </w:rPr>
        <w:t xml:space="preserve">) </w:t>
      </w:r>
      <w:r>
        <w:rPr>
          <w:spacing w:val="22"/>
          <w:w w:val="105"/>
        </w:rPr>
        <w:t>应当熟悉相关法律</w:t>
      </w:r>
      <w:r>
        <w:rPr>
          <w:rFonts w:hint="eastAsia" w:ascii="MS UI Gothic" w:eastAsia="MS UI Gothic"/>
          <w:spacing w:val="-12"/>
          <w:w w:val="80"/>
        </w:rPr>
        <w:t>、</w:t>
      </w:r>
      <w:r>
        <w:rPr>
          <w:spacing w:val="3"/>
          <w:w w:val="105"/>
        </w:rPr>
        <w:t>法规</w:t>
      </w:r>
      <w:r>
        <w:rPr>
          <w:rFonts w:hint="eastAsia" w:ascii="MS UI Gothic" w:eastAsia="MS UI Gothic"/>
          <w:spacing w:val="-1"/>
          <w:w w:val="80"/>
        </w:rPr>
        <w:t xml:space="preserve">、 </w:t>
      </w:r>
      <w:r>
        <w:rPr>
          <w:spacing w:val="3"/>
          <w:w w:val="105"/>
        </w:rPr>
        <w:t>规章和安全技术规范</w:t>
      </w:r>
      <w:r>
        <w:rPr>
          <w:rFonts w:hint="eastAsia" w:ascii="MS UI Gothic" w:eastAsia="MS UI Gothic"/>
          <w:spacing w:val="-1"/>
          <w:w w:val="80"/>
        </w:rPr>
        <w:t xml:space="preserve">ꎬ </w:t>
      </w:r>
      <w:r>
        <w:rPr>
          <w:spacing w:val="2"/>
          <w:w w:val="105"/>
        </w:rPr>
        <w:t>具有相应的</w:t>
      </w:r>
      <w:r>
        <w:rPr>
          <w:spacing w:val="3"/>
        </w:rPr>
        <w:t>专业知识和工作经验</w:t>
      </w:r>
      <w:r>
        <w:rPr>
          <w:rFonts w:hint="eastAsia" w:ascii="MS UI Gothic" w:eastAsia="MS UI Gothic"/>
          <w:spacing w:val="21"/>
          <w:w w:val="80"/>
        </w:rPr>
        <w:t xml:space="preserve">ꎬ </w:t>
      </w:r>
      <w:r>
        <w:rPr>
          <w:spacing w:val="2"/>
        </w:rPr>
        <w:t>并经国务院特种设</w:t>
      </w:r>
      <w:r>
        <w:rPr>
          <w:spacing w:val="3"/>
        </w:rPr>
        <w:t>备安全监督管理部门考核</w:t>
      </w:r>
      <w:r>
        <w:rPr>
          <w:rFonts w:hint="eastAsia" w:ascii="MS UI Gothic" w:eastAsia="MS UI Gothic"/>
          <w:spacing w:val="21"/>
          <w:w w:val="80"/>
        </w:rPr>
        <w:t xml:space="preserve">ꎬ </w:t>
      </w:r>
      <w:r>
        <w:rPr>
          <w:spacing w:val="2"/>
        </w:rPr>
        <w:t>取得特种设备</w:t>
      </w:r>
      <w:r>
        <w:rPr>
          <w:spacing w:val="3"/>
          <w:w w:val="105"/>
        </w:rPr>
        <w:t>安全监察人员证书</w:t>
      </w:r>
      <w:r>
        <w:rPr>
          <w:rFonts w:hint="eastAsia" w:ascii="MS UI Gothic" w:eastAsia="MS UI Gothic"/>
          <w:w w:val="80"/>
        </w:rPr>
        <w:t>ꎮ</w:t>
      </w:r>
    </w:p>
    <w:p>
      <w:pPr>
        <w:pStyle w:val="6"/>
        <w:spacing w:line="295" w:lineRule="auto"/>
        <w:ind w:right="39"/>
        <w:rPr>
          <w:rFonts w:hint="eastAsia" w:ascii="MS UI Gothic" w:eastAsia="MS UI Gothic"/>
        </w:rPr>
      </w:pPr>
      <w:r>
        <w:t>特种设备安全监察人员应当忠于职守</w:t>
      </w:r>
      <w:r>
        <w:rPr>
          <w:rFonts w:hint="eastAsia" w:ascii="MS UI Gothic" w:eastAsia="MS UI Gothic"/>
          <w:w w:val="80"/>
        </w:rPr>
        <w:t xml:space="preserve">、 </w:t>
      </w:r>
      <w:r>
        <w:t>坚持原则</w:t>
      </w:r>
      <w:r>
        <w:rPr>
          <w:rFonts w:hint="eastAsia" w:ascii="MS UI Gothic" w:eastAsia="MS UI Gothic"/>
          <w:w w:val="80"/>
        </w:rPr>
        <w:t xml:space="preserve">、 </w:t>
      </w:r>
      <w:r>
        <w:t>秉公执法</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第五十六条 特种设备安全监督管理部门对特种设备生产</w:t>
      </w:r>
      <w:r>
        <w:rPr>
          <w:rFonts w:hint="eastAsia" w:ascii="MS UI Gothic" w:eastAsia="MS UI Gothic"/>
          <w:w w:val="80"/>
        </w:rPr>
        <w:t xml:space="preserve">、 </w:t>
      </w:r>
      <w:r>
        <w:rPr>
          <w:w w:val="105"/>
        </w:rPr>
        <w:t>使用单位和检验检</w:t>
      </w:r>
      <w:r>
        <w:t>测机构实施安全监察时</w:t>
      </w:r>
      <w:r>
        <w:rPr>
          <w:rFonts w:hint="eastAsia" w:ascii="MS UI Gothic" w:eastAsia="MS UI Gothic"/>
          <w:w w:val="80"/>
        </w:rPr>
        <w:t xml:space="preserve">ꎬ </w:t>
      </w:r>
      <w:r>
        <w:t>应当有两名以上特种设备安全监察人员参加</w:t>
      </w:r>
      <w:r>
        <w:rPr>
          <w:rFonts w:hint="eastAsia" w:ascii="MS UI Gothic" w:eastAsia="MS UI Gothic"/>
          <w:w w:val="80"/>
        </w:rPr>
        <w:t xml:space="preserve">ꎬ </w:t>
      </w:r>
      <w:r>
        <w:t>并出示有效</w:t>
      </w:r>
      <w:r>
        <w:rPr>
          <w:w w:val="105"/>
        </w:rPr>
        <w:t>的特种设备安全监察人员证件</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第五十七条 特种设备安全监督管理部门对特种设备生产</w:t>
      </w:r>
      <w:r>
        <w:rPr>
          <w:rFonts w:hint="eastAsia" w:ascii="MS UI Gothic" w:eastAsia="MS UI Gothic"/>
          <w:w w:val="80"/>
        </w:rPr>
        <w:t xml:space="preserve">、 </w:t>
      </w:r>
      <w:r>
        <w:rPr>
          <w:w w:val="105"/>
        </w:rPr>
        <w:t>使用单位和检验检</w:t>
      </w:r>
      <w:r>
        <w:t>测机构实施安全监察</w:t>
      </w:r>
      <w:r>
        <w:rPr>
          <w:rFonts w:hint="eastAsia" w:ascii="MS UI Gothic" w:eastAsia="MS UI Gothic"/>
          <w:w w:val="80"/>
        </w:rPr>
        <w:t xml:space="preserve">ꎬ </w:t>
      </w:r>
      <w:r>
        <w:t>应当对每次安全监</w:t>
      </w:r>
      <w:r>
        <w:rPr>
          <w:w w:val="105"/>
        </w:rPr>
        <w:t>察的内容</w:t>
      </w:r>
      <w:r>
        <w:rPr>
          <w:rFonts w:hint="eastAsia" w:ascii="MS UI Gothic" w:eastAsia="MS UI Gothic"/>
          <w:w w:val="80"/>
        </w:rPr>
        <w:t xml:space="preserve">、 </w:t>
      </w:r>
      <w:r>
        <w:rPr>
          <w:w w:val="105"/>
        </w:rPr>
        <w:t>发现的问题及处理情况</w:t>
      </w:r>
      <w:r>
        <w:rPr>
          <w:rFonts w:hint="eastAsia" w:ascii="MS UI Gothic" w:eastAsia="MS UI Gothic"/>
          <w:w w:val="80"/>
        </w:rPr>
        <w:t xml:space="preserve">ꎬ </w:t>
      </w:r>
      <w:r>
        <w:rPr>
          <w:w w:val="105"/>
        </w:rPr>
        <w:t>作出</w:t>
      </w:r>
      <w:r>
        <w:t>记录</w:t>
      </w:r>
      <w:r>
        <w:rPr>
          <w:rFonts w:hint="eastAsia" w:ascii="MS UI Gothic" w:eastAsia="MS UI Gothic"/>
          <w:w w:val="80"/>
        </w:rPr>
        <w:t xml:space="preserve">ꎬ </w:t>
      </w:r>
      <w:r>
        <w:t>并由参加安全监察的特种设备安全监察人员和被检查单位的有关负责人签字后归档</w:t>
      </w:r>
      <w:r>
        <w:rPr>
          <w:rFonts w:hint="eastAsia" w:ascii="MS UI Gothic" w:eastAsia="MS UI Gothic"/>
          <w:w w:val="80"/>
        </w:rPr>
        <w:t xml:space="preserve">ꎮ </w:t>
      </w:r>
      <w:r>
        <w:t>被检查单位的有关负责人拒绝签字的</w:t>
      </w:r>
      <w:r>
        <w:rPr>
          <w:rFonts w:hint="eastAsia" w:ascii="MS UI Gothic" w:eastAsia="MS UI Gothic"/>
          <w:w w:val="80"/>
        </w:rPr>
        <w:t xml:space="preserve">ꎬ </w:t>
      </w:r>
      <w:r>
        <w:t>特种设备安全监察人员应当将情况</w:t>
      </w:r>
      <w:r>
        <w:rPr>
          <w:w w:val="105"/>
        </w:rPr>
        <w:t>记录在案</w:t>
      </w:r>
      <w:r>
        <w:rPr>
          <w:rFonts w:hint="eastAsia" w:ascii="MS UI Gothic" w:eastAsia="MS UI Gothic"/>
          <w:w w:val="80"/>
        </w:rPr>
        <w:t>ꎮ</w:t>
      </w:r>
    </w:p>
    <w:p>
      <w:pPr>
        <w:pStyle w:val="6"/>
        <w:spacing w:line="295" w:lineRule="auto"/>
        <w:ind w:right="39"/>
      </w:pPr>
      <w:r>
        <w:t>第五十八条 特种设备安全监督管理部门对特种设备生产</w:t>
      </w:r>
      <w:r>
        <w:rPr>
          <w:rFonts w:hint="eastAsia" w:ascii="MS UI Gothic" w:eastAsia="MS UI Gothic"/>
        </w:rPr>
        <w:t xml:space="preserve">、 </w:t>
      </w:r>
      <w:r>
        <w:t>使用单位和检验检</w:t>
      </w:r>
    </w:p>
    <w:p>
      <w:pPr>
        <w:pStyle w:val="6"/>
        <w:spacing w:before="123" w:line="295" w:lineRule="auto"/>
        <w:ind w:right="442" w:firstLine="0"/>
        <w:rPr>
          <w:rFonts w:hint="eastAsia" w:ascii="MS UI Gothic" w:eastAsia="MS UI Gothic"/>
        </w:rPr>
      </w:pPr>
      <w:r>
        <w:br w:type="column"/>
      </w:r>
      <w:r>
        <w:t>测机构进行安全监察时</w:t>
      </w:r>
      <w:r>
        <w:rPr>
          <w:rFonts w:hint="eastAsia" w:ascii="MS UI Gothic" w:eastAsia="MS UI Gothic"/>
          <w:w w:val="80"/>
        </w:rPr>
        <w:t xml:space="preserve">ꎬ </w:t>
      </w:r>
      <w:r>
        <w:t>发现有违反本条例规定和安全技术规范要求的行为或者在用的特种设备存在事故隐患</w:t>
      </w:r>
      <w:r>
        <w:rPr>
          <w:rFonts w:hint="eastAsia" w:ascii="MS UI Gothic" w:eastAsia="MS UI Gothic"/>
          <w:w w:val="80"/>
        </w:rPr>
        <w:t xml:space="preserve">、 </w:t>
      </w:r>
      <w:r>
        <w:t>不符合能效指标的</w:t>
      </w:r>
      <w:r>
        <w:rPr>
          <w:rFonts w:hint="eastAsia" w:ascii="MS UI Gothic" w:eastAsia="MS UI Gothic"/>
          <w:w w:val="80"/>
        </w:rPr>
        <w:t xml:space="preserve">ꎬ </w:t>
      </w:r>
      <w:r>
        <w:t>应当以书面形式发出特种设备安全监察指令</w:t>
      </w:r>
      <w:r>
        <w:rPr>
          <w:rFonts w:hint="eastAsia" w:ascii="MS UI Gothic" w:eastAsia="MS UI Gothic"/>
          <w:w w:val="80"/>
        </w:rPr>
        <w:t xml:space="preserve">ꎬ </w:t>
      </w:r>
      <w:r>
        <w:t>责令有关单位及时采取措施</w:t>
      </w:r>
      <w:r>
        <w:rPr>
          <w:rFonts w:hint="eastAsia" w:ascii="MS UI Gothic" w:eastAsia="MS UI Gothic"/>
          <w:w w:val="80"/>
        </w:rPr>
        <w:t xml:space="preserve">ꎬ </w:t>
      </w:r>
      <w:r>
        <w:t>予以改正或者消除事故隐患</w:t>
      </w:r>
      <w:r>
        <w:rPr>
          <w:rFonts w:hint="eastAsia" w:ascii="MS UI Gothic" w:eastAsia="MS UI Gothic"/>
          <w:w w:val="80"/>
        </w:rPr>
        <w:t xml:space="preserve">ꎮ </w:t>
      </w:r>
      <w:r>
        <w:t>紧急情况下需要采取紧急处置措施的</w:t>
      </w:r>
      <w:r>
        <w:rPr>
          <w:rFonts w:hint="eastAsia" w:ascii="MS UI Gothic" w:eastAsia="MS UI Gothic"/>
          <w:w w:val="80"/>
        </w:rPr>
        <w:t xml:space="preserve">ꎬ </w:t>
      </w:r>
      <w:r>
        <w:t>应当随后补发书面通知</w:t>
      </w:r>
      <w:r>
        <w:rPr>
          <w:rFonts w:hint="eastAsia" w:ascii="MS UI Gothic" w:eastAsia="MS UI Gothic"/>
          <w:w w:val="80"/>
        </w:rPr>
        <w:t>ꎮ</w:t>
      </w:r>
    </w:p>
    <w:p>
      <w:pPr>
        <w:pStyle w:val="6"/>
        <w:spacing w:line="295" w:lineRule="auto"/>
        <w:ind w:right="442"/>
        <w:rPr>
          <w:rFonts w:hint="eastAsia" w:ascii="MS UI Gothic" w:eastAsia="MS UI Gothic"/>
        </w:rPr>
      </w:pPr>
      <w:r>
        <w:t>第五十九条 特种设备安全监督管理部门对特种设备生产</w:t>
      </w:r>
      <w:r>
        <w:rPr>
          <w:rFonts w:hint="eastAsia" w:ascii="MS UI Gothic" w:eastAsia="MS UI Gothic"/>
          <w:w w:val="80"/>
        </w:rPr>
        <w:t xml:space="preserve">、 </w:t>
      </w:r>
      <w:r>
        <w:t>使用单位和检验检测机构进行安全监察</w:t>
      </w:r>
      <w:r>
        <w:rPr>
          <w:rFonts w:hint="eastAsia" w:ascii="MS UI Gothic" w:eastAsia="MS UI Gothic"/>
          <w:w w:val="80"/>
        </w:rPr>
        <w:t xml:space="preserve">ꎬ </w:t>
      </w:r>
      <w:r>
        <w:t>发现重大违法行为或者严重事故隐患时</w:t>
      </w:r>
      <w:r>
        <w:rPr>
          <w:rFonts w:hint="eastAsia" w:ascii="MS UI Gothic" w:eastAsia="MS UI Gothic"/>
          <w:w w:val="80"/>
        </w:rPr>
        <w:t xml:space="preserve">ꎬ </w:t>
      </w:r>
      <w:r>
        <w:t>应当在采取必要措施的同时</w:t>
      </w:r>
      <w:r>
        <w:rPr>
          <w:rFonts w:hint="eastAsia" w:ascii="MS UI Gothic" w:eastAsia="MS UI Gothic"/>
          <w:w w:val="80"/>
        </w:rPr>
        <w:t xml:space="preserve">ꎬ </w:t>
      </w:r>
      <w:r>
        <w:t>及时向上级特种设备安全监督管理部门报告</w:t>
      </w:r>
      <w:r>
        <w:rPr>
          <w:rFonts w:hint="eastAsia" w:ascii="MS UI Gothic" w:eastAsia="MS UI Gothic"/>
          <w:w w:val="80"/>
        </w:rPr>
        <w:t xml:space="preserve">ꎮ </w:t>
      </w:r>
      <w:r>
        <w:t>接到报告的特种设备安全监督管理部门应当采取必要措施</w:t>
      </w:r>
      <w:r>
        <w:rPr>
          <w:rFonts w:hint="eastAsia" w:ascii="MS UI Gothic" w:eastAsia="MS UI Gothic"/>
          <w:w w:val="80"/>
        </w:rPr>
        <w:t xml:space="preserve">ꎬ </w:t>
      </w:r>
      <w:r>
        <w:t>及时予以处理</w:t>
      </w:r>
      <w:r>
        <w:rPr>
          <w:rFonts w:hint="eastAsia" w:ascii="MS UI Gothic" w:eastAsia="MS UI Gothic"/>
          <w:w w:val="80"/>
        </w:rPr>
        <w:t>ꎮ</w:t>
      </w:r>
    </w:p>
    <w:p>
      <w:pPr>
        <w:pStyle w:val="6"/>
        <w:spacing w:line="295" w:lineRule="auto"/>
        <w:ind w:right="442"/>
        <w:rPr>
          <w:rFonts w:hint="eastAsia" w:ascii="MS UI Gothic" w:eastAsia="MS UI Gothic"/>
        </w:rPr>
      </w:pPr>
      <w:r>
        <w:t>对违法行为</w:t>
      </w:r>
      <w:r>
        <w:rPr>
          <w:rFonts w:hint="eastAsia" w:ascii="MS UI Gothic" w:eastAsia="MS UI Gothic"/>
          <w:w w:val="80"/>
        </w:rPr>
        <w:t xml:space="preserve">、 </w:t>
      </w:r>
      <w:r>
        <w:t>严重事故隐患或者不符合能效指标的处理需要当地人民政府和有关部门的支持</w:t>
      </w:r>
      <w:r>
        <w:rPr>
          <w:rFonts w:hint="eastAsia" w:ascii="MS UI Gothic" w:eastAsia="MS UI Gothic"/>
          <w:w w:val="80"/>
        </w:rPr>
        <w:t xml:space="preserve">、 </w:t>
      </w:r>
      <w:r>
        <w:t>配合时</w:t>
      </w:r>
      <w:r>
        <w:rPr>
          <w:rFonts w:hint="eastAsia" w:ascii="MS UI Gothic" w:eastAsia="MS UI Gothic"/>
          <w:w w:val="80"/>
        </w:rPr>
        <w:t xml:space="preserve">ꎬ </w:t>
      </w:r>
      <w:r>
        <w:t>特种设备安全监督管理部门应当报告当地人民政府</w:t>
      </w:r>
      <w:r>
        <w:rPr>
          <w:rFonts w:hint="eastAsia" w:ascii="MS UI Gothic" w:eastAsia="MS UI Gothic"/>
          <w:w w:val="80"/>
        </w:rPr>
        <w:t xml:space="preserve">ꎬ </w:t>
      </w:r>
      <w:r>
        <w:t>并通知其他有关部门</w:t>
      </w:r>
      <w:r>
        <w:rPr>
          <w:rFonts w:hint="eastAsia" w:ascii="MS UI Gothic" w:eastAsia="MS UI Gothic"/>
          <w:w w:val="80"/>
        </w:rPr>
        <w:t xml:space="preserve">ꎮ </w:t>
      </w:r>
      <w:r>
        <w:t>当地人民政府和其他有关部门应当采取必要措施</w:t>
      </w:r>
      <w:r>
        <w:rPr>
          <w:rFonts w:hint="eastAsia" w:ascii="MS UI Gothic" w:eastAsia="MS UI Gothic"/>
          <w:w w:val="80"/>
        </w:rPr>
        <w:t xml:space="preserve">ꎬ </w:t>
      </w:r>
      <w:r>
        <w:t>及时予以处理</w:t>
      </w:r>
      <w:r>
        <w:rPr>
          <w:rFonts w:hint="eastAsia" w:ascii="MS UI Gothic" w:eastAsia="MS UI Gothic"/>
          <w:w w:val="80"/>
        </w:rPr>
        <w:t>ꎮ</w:t>
      </w:r>
    </w:p>
    <w:p>
      <w:pPr>
        <w:pStyle w:val="6"/>
        <w:spacing w:line="295" w:lineRule="auto"/>
        <w:ind w:right="442"/>
        <w:rPr>
          <w:rFonts w:hint="eastAsia" w:ascii="MS UI Gothic" w:eastAsia="MS UI Gothic"/>
        </w:rPr>
      </w:pPr>
      <w:r>
        <w:rPr>
          <w:w w:val="105"/>
        </w:rPr>
        <w:t>第六十条 国务院特种设备安全监督管理部门和省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直辖市特种设备</w:t>
      </w:r>
      <w:r>
        <w:t>安全监督管理部门应当定期向社会公布特</w:t>
      </w:r>
      <w:r>
        <w:rPr>
          <w:w w:val="105"/>
        </w:rPr>
        <w:t>种设备安全以及能效状况</w:t>
      </w:r>
      <w:r>
        <w:rPr>
          <w:rFonts w:hint="eastAsia" w:ascii="MS UI Gothic" w:eastAsia="MS UI Gothic"/>
          <w:w w:val="80"/>
        </w:rPr>
        <w:t>ꎮ</w:t>
      </w:r>
    </w:p>
    <w:p>
      <w:pPr>
        <w:pStyle w:val="6"/>
        <w:spacing w:line="295" w:lineRule="auto"/>
        <w:ind w:right="442"/>
        <w:jc w:val="left"/>
        <w:rPr>
          <w:rFonts w:hint="eastAsia" w:ascii="MS UI Gothic" w:eastAsia="MS UI Gothic"/>
        </w:rPr>
      </w:pPr>
      <w:r>
        <w:t>公布特种设备安全以及能效状况</w:t>
      </w:r>
      <w:r>
        <w:rPr>
          <w:rFonts w:hint="eastAsia" w:ascii="MS UI Gothic" w:eastAsia="MS UI Gothic"/>
          <w:w w:val="80"/>
        </w:rPr>
        <w:t xml:space="preserve">ꎬ </w:t>
      </w:r>
      <w:r>
        <w:t>应</w:t>
      </w:r>
      <w:r>
        <w:rPr>
          <w:w w:val="110"/>
        </w:rPr>
        <w:t>当包括下列内容</w:t>
      </w:r>
      <w:r>
        <w:rPr>
          <w:rFonts w:hint="eastAsia" w:ascii="MS UI Gothic" w:eastAsia="MS UI Gothic"/>
          <w:w w:val="235"/>
        </w:rPr>
        <w:t>:</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一</w:t>
      </w:r>
      <w:r>
        <w:rPr>
          <w:rFonts w:hint="eastAsia" w:ascii="MS UI Gothic" w:eastAsia="MS UI Gothic"/>
          <w:w w:val="150"/>
        </w:rPr>
        <w:t xml:space="preserve">) </w:t>
      </w:r>
      <w:r>
        <w:rPr>
          <w:w w:val="110"/>
        </w:rPr>
        <w:t>特种设备质量安全状况</w:t>
      </w:r>
      <w:r>
        <w:rPr>
          <w:rFonts w:hint="eastAsia" w:ascii="MS UI Gothic" w:eastAsia="MS UI Gothic"/>
          <w:w w:val="80"/>
        </w:rPr>
        <w:t>ꎻ</w:t>
      </w:r>
    </w:p>
    <w:p>
      <w:pPr>
        <w:pStyle w:val="6"/>
        <w:spacing w:before="37" w:line="295" w:lineRule="auto"/>
        <w:ind w:right="440"/>
        <w:jc w:val="left"/>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特种设备事故的情况</w:t>
      </w:r>
      <w:r>
        <w:rPr>
          <w:rFonts w:hint="eastAsia" w:ascii="MS UI Gothic" w:eastAsia="MS UI Gothic"/>
          <w:w w:val="80"/>
        </w:rPr>
        <w:t xml:space="preserve">、 </w:t>
      </w:r>
      <w:r>
        <w:rPr>
          <w:w w:val="105"/>
        </w:rPr>
        <w:t>特点</w:t>
      </w:r>
      <w:r>
        <w:rPr>
          <w:rFonts w:hint="eastAsia" w:ascii="MS UI Gothic" w:eastAsia="MS UI Gothic"/>
          <w:w w:val="80"/>
        </w:rPr>
        <w:t>、</w:t>
      </w:r>
      <w:r>
        <w:rPr>
          <w:w w:val="105"/>
        </w:rPr>
        <w:t>原因分析</w:t>
      </w:r>
      <w:r>
        <w:rPr>
          <w:rFonts w:hint="eastAsia" w:ascii="MS UI Gothic" w:eastAsia="MS UI Gothic"/>
          <w:w w:val="80"/>
        </w:rPr>
        <w:t xml:space="preserve">、 </w:t>
      </w:r>
      <w:r>
        <w:rPr>
          <w:w w:val="105"/>
        </w:rPr>
        <w:t>防范对策</w:t>
      </w:r>
      <w:r>
        <w:rPr>
          <w:rFonts w:hint="eastAsia" w:ascii="MS UI Gothic" w:eastAsia="MS UI Gothic"/>
          <w:w w:val="80"/>
        </w:rPr>
        <w:t>ꎻ</w:t>
      </w:r>
    </w:p>
    <w:p>
      <w:pPr>
        <w:pStyle w:val="6"/>
        <w:spacing w:line="255" w:lineRule="exact"/>
        <w:ind w:left="543" w:firstLine="0"/>
        <w:jc w:val="left"/>
        <w:rPr>
          <w:rFonts w:hint="eastAsia" w:ascii="MS UI Gothic" w:eastAsia="MS UI Gothic"/>
        </w:rPr>
      </w:pPr>
      <w:r>
        <w:rPr>
          <w:rFonts w:hint="eastAsia" w:ascii="MS UI Gothic" w:eastAsia="MS UI Gothic"/>
          <w:w w:val="150"/>
        </w:rPr>
        <w:t xml:space="preserve">( </w:t>
      </w:r>
      <w:r>
        <w:rPr>
          <w:w w:val="110"/>
        </w:rPr>
        <w:t>三</w:t>
      </w:r>
      <w:r>
        <w:rPr>
          <w:rFonts w:hint="eastAsia" w:ascii="MS UI Gothic" w:eastAsia="MS UI Gothic"/>
          <w:w w:val="150"/>
        </w:rPr>
        <w:t xml:space="preserve">) </w:t>
      </w:r>
      <w:r>
        <w:rPr>
          <w:w w:val="110"/>
        </w:rPr>
        <w:t>特种设备能效状况</w:t>
      </w:r>
      <w:r>
        <w:rPr>
          <w:rFonts w:hint="eastAsia" w:ascii="MS UI Gothic" w:eastAsia="MS UI Gothic"/>
          <w:w w:val="80"/>
        </w:rPr>
        <w:t>ꎻ</w:t>
      </w:r>
    </w:p>
    <w:p>
      <w:pPr>
        <w:pStyle w:val="6"/>
        <w:spacing w:before="58"/>
        <w:ind w:left="543" w:firstLine="0"/>
        <w:jc w:val="left"/>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其他需要公布的情况</w:t>
      </w:r>
      <w:r>
        <w:rPr>
          <w:rFonts w:hint="eastAsia" w:ascii="MS UI Gothic" w:eastAsia="MS UI Gothic"/>
          <w:w w:val="80"/>
        </w:rPr>
        <w:t>ꎮ</w:t>
      </w:r>
    </w:p>
    <w:p>
      <w:pPr>
        <w:pStyle w:val="6"/>
        <w:tabs>
          <w:tab w:val="left" w:pos="1487"/>
        </w:tabs>
        <w:spacing w:before="215"/>
        <w:ind w:left="648" w:firstLine="0"/>
        <w:jc w:val="left"/>
      </w:pPr>
      <w:r>
        <w:rPr>
          <w:spacing w:val="3"/>
          <w:w w:val="105"/>
        </w:rPr>
        <w:t>第六</w:t>
      </w:r>
      <w:r>
        <w:rPr>
          <w:w w:val="105"/>
        </w:rPr>
        <w:t>章</w:t>
      </w:r>
      <w:r>
        <w:rPr>
          <w:w w:val="105"/>
        </w:rPr>
        <w:tab/>
      </w:r>
      <w:r>
        <w:rPr>
          <w:spacing w:val="3"/>
          <w:w w:val="105"/>
        </w:rPr>
        <w:t>事故预防和调查处</w:t>
      </w:r>
      <w:r>
        <w:rPr>
          <w:w w:val="105"/>
        </w:rPr>
        <w:t>理</w:t>
      </w:r>
    </w:p>
    <w:p>
      <w:pPr>
        <w:pStyle w:val="6"/>
        <w:tabs>
          <w:tab w:val="left" w:pos="1801"/>
        </w:tabs>
        <w:spacing w:before="216" w:line="295" w:lineRule="auto"/>
        <w:ind w:right="442"/>
        <w:jc w:val="left"/>
        <w:rPr>
          <w:rFonts w:hint="eastAsia" w:ascii="MS UI Gothic" w:eastAsia="MS UI Gothic"/>
        </w:rPr>
      </w:pPr>
      <w:r>
        <w:rPr>
          <w:spacing w:val="3"/>
          <w:w w:val="110"/>
        </w:rPr>
        <w:t>第六十一</w:t>
      </w:r>
      <w:r>
        <w:rPr>
          <w:w w:val="110"/>
        </w:rPr>
        <w:t>条</w:t>
      </w:r>
      <w:r>
        <w:rPr>
          <w:w w:val="110"/>
        </w:rPr>
        <w:tab/>
      </w:r>
      <w:r>
        <w:rPr>
          <w:spacing w:val="3"/>
        </w:rPr>
        <w:t>有下列情形之一的</w:t>
      </w:r>
      <w:r>
        <w:rPr>
          <w:rFonts w:hint="eastAsia" w:ascii="MS UI Gothic" w:eastAsia="MS UI Gothic"/>
          <w:w w:val="80"/>
        </w:rPr>
        <w:t>ꎬ</w:t>
      </w:r>
      <w:r>
        <w:rPr>
          <w:rFonts w:hint="eastAsia" w:ascii="MS UI Gothic" w:eastAsia="MS UI Gothic"/>
          <w:spacing w:val="3"/>
          <w:w w:val="80"/>
        </w:rPr>
        <w:t xml:space="preserve"> </w:t>
      </w:r>
      <w:r>
        <w:t>为</w:t>
      </w:r>
      <w:r>
        <w:rPr>
          <w:spacing w:val="3"/>
          <w:w w:val="110"/>
        </w:rPr>
        <w:t>特别重大事故</w:t>
      </w:r>
      <w:r>
        <w:rPr>
          <w:rFonts w:hint="eastAsia" w:ascii="MS UI Gothic" w:eastAsia="MS UI Gothic"/>
          <w:w w:val="235"/>
        </w:rPr>
        <w:t>:</w:t>
      </w:r>
    </w:p>
    <w:p>
      <w:pPr>
        <w:pStyle w:val="6"/>
        <w:spacing w:line="255" w:lineRule="exact"/>
        <w:ind w:left="543" w:firstLine="0"/>
        <w:jc w:val="left"/>
      </w:pPr>
      <w:r>
        <w:rPr>
          <w:rFonts w:hint="eastAsia" w:ascii="MS UI Gothic" w:eastAsia="MS UI Gothic"/>
          <w:w w:val="145"/>
        </w:rPr>
        <w:t xml:space="preserve">( </w:t>
      </w:r>
      <w:r>
        <w:rPr>
          <w:w w:val="110"/>
        </w:rPr>
        <w:t>一</w:t>
      </w:r>
      <w:r>
        <w:rPr>
          <w:rFonts w:hint="eastAsia" w:ascii="MS UI Gothic" w:eastAsia="MS UI Gothic"/>
          <w:w w:val="145"/>
        </w:rPr>
        <w:t xml:space="preserve">) </w:t>
      </w:r>
      <w:r>
        <w:rPr>
          <w:w w:val="110"/>
        </w:rPr>
        <w:t xml:space="preserve">特种设备事故造成 </w:t>
      </w:r>
      <w:r>
        <w:rPr>
          <w:rFonts w:hint="eastAsia" w:ascii="MS UI Gothic" w:eastAsia="MS UI Gothic"/>
          <w:w w:val="95"/>
        </w:rPr>
        <w:t xml:space="preserve">３０ </w:t>
      </w:r>
      <w:r>
        <w:rPr>
          <w:w w:val="110"/>
        </w:rPr>
        <w:t>人以上</w:t>
      </w:r>
    </w:p>
    <w:p>
      <w:pPr>
        <w:spacing w:after="0" w:line="255" w:lineRule="exact"/>
        <w:jc w:val="left"/>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４７５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25" o:spid="_x0000_s2425" o:spt="203" style="height:2.15pt;width:398.25pt;" coordsize="7965,43">
            <o:lock v:ext="edit"/>
            <v:line id="_x0000_s2426" o:spid="_x0000_s2426" o:spt="20" style="position:absolute;left:0;top:39;height:0;width:7965;" stroked="t" coordsize="21600,21600">
              <v:path arrowok="t"/>
              <v:fill focussize="0,0"/>
              <v:stroke weight="0.388031496062992pt" color="#231F20"/>
              <v:imagedata o:title=""/>
              <o:lock v:ext="edit"/>
            </v:line>
            <v:line id="_x0000_s2427" o:spid="_x0000_s2427"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rPr>
          <w:spacing w:val="3"/>
        </w:rPr>
        <w:t>死亡</w:t>
      </w:r>
      <w:r>
        <w:rPr>
          <w:rFonts w:hint="eastAsia" w:ascii="MS UI Gothic" w:eastAsia="MS UI Gothic"/>
          <w:spacing w:val="3"/>
          <w:w w:val="85"/>
        </w:rPr>
        <w:t xml:space="preserve">ꎬ </w:t>
      </w:r>
      <w:r>
        <w:rPr>
          <w:spacing w:val="-6"/>
        </w:rPr>
        <w:t xml:space="preserve">或者 </w:t>
      </w:r>
      <w:r>
        <w:rPr>
          <w:rFonts w:hint="eastAsia" w:ascii="MS UI Gothic" w:eastAsia="MS UI Gothic"/>
          <w:spacing w:val="5"/>
          <w:w w:val="85"/>
        </w:rPr>
        <w:t xml:space="preserve">１００ </w:t>
      </w:r>
      <w:r>
        <w:rPr>
          <w:spacing w:val="14"/>
        </w:rPr>
        <w:t xml:space="preserve">人以上重伤 </w:t>
      </w:r>
      <w:r>
        <w:rPr>
          <w:rFonts w:hint="eastAsia" w:ascii="MS UI Gothic" w:eastAsia="MS UI Gothic"/>
          <w:spacing w:val="-28"/>
          <w:w w:val="140"/>
        </w:rPr>
        <w:t xml:space="preserve">( </w:t>
      </w:r>
      <w:r>
        <w:rPr>
          <w:spacing w:val="13"/>
        </w:rPr>
        <w:t>包括急性</w:t>
      </w:r>
      <w:r>
        <w:rPr>
          <w:spacing w:val="3"/>
        </w:rPr>
        <w:t>工业中毒</w:t>
      </w:r>
      <w:r>
        <w:rPr>
          <w:rFonts w:hint="eastAsia" w:ascii="MS UI Gothic" w:eastAsia="MS UI Gothic"/>
          <w:spacing w:val="21"/>
          <w:w w:val="85"/>
        </w:rPr>
        <w:t xml:space="preserve">ꎬ </w:t>
      </w:r>
      <w:r>
        <w:rPr>
          <w:spacing w:val="9"/>
        </w:rPr>
        <w:t>下同</w:t>
      </w:r>
      <w:r>
        <w:rPr>
          <w:rFonts w:hint="eastAsia" w:ascii="MS UI Gothic" w:eastAsia="MS UI Gothic"/>
          <w:spacing w:val="-34"/>
          <w:w w:val="140"/>
        </w:rPr>
        <w:t xml:space="preserve">) </w:t>
      </w:r>
      <w:r>
        <w:rPr>
          <w:rFonts w:hint="eastAsia" w:ascii="MS UI Gothic" w:eastAsia="MS UI Gothic"/>
          <w:spacing w:val="22"/>
          <w:w w:val="85"/>
        </w:rPr>
        <w:t xml:space="preserve">ꎬ </w:t>
      </w:r>
      <w:r>
        <w:rPr>
          <w:spacing w:val="-13"/>
        </w:rPr>
        <w:t xml:space="preserve">或者 </w:t>
      </w:r>
      <w:r>
        <w:rPr>
          <w:rFonts w:hint="eastAsia" w:ascii="MS UI Gothic" w:eastAsia="MS UI Gothic"/>
          <w:spacing w:val="3"/>
          <w:w w:val="85"/>
        </w:rPr>
        <w:t xml:space="preserve">１ </w:t>
      </w:r>
      <w:r>
        <w:rPr>
          <w:spacing w:val="9"/>
        </w:rPr>
        <w:t>亿元以上直接</w:t>
      </w:r>
      <w:r>
        <w:rPr>
          <w:spacing w:val="3"/>
        </w:rPr>
        <w:t>经济损失的</w:t>
      </w:r>
      <w:r>
        <w:rPr>
          <w:rFonts w:hint="eastAsia" w:ascii="MS UI Gothic" w:eastAsia="MS UI Gothic"/>
          <w:w w:val="85"/>
        </w:rPr>
        <w:t>ꎻ</w:t>
      </w:r>
    </w:p>
    <w:p>
      <w:pPr>
        <w:pStyle w:val="6"/>
        <w:spacing w:line="254" w:lineRule="exact"/>
        <w:ind w:left="860" w:firstLine="0"/>
        <w:rPr>
          <w:rFonts w:hint="eastAsia" w:ascii="MS UI Gothic" w:eastAsia="MS UI Gothic"/>
        </w:rPr>
      </w:pPr>
      <w:r>
        <w:rPr>
          <w:rFonts w:hint="eastAsia" w:ascii="MS UI Gothic" w:eastAsia="MS UI Gothic"/>
          <w:w w:val="140"/>
        </w:rPr>
        <w:t xml:space="preserve">( </w:t>
      </w:r>
      <w:r>
        <w:rPr>
          <w:w w:val="110"/>
        </w:rPr>
        <w:t>二</w:t>
      </w:r>
      <w:r>
        <w:rPr>
          <w:rFonts w:hint="eastAsia" w:ascii="MS UI Gothic" w:eastAsia="MS UI Gothic"/>
          <w:w w:val="140"/>
        </w:rPr>
        <w:t xml:space="preserve">) </w:t>
      </w:r>
      <w:r>
        <w:rPr>
          <w:rFonts w:hint="eastAsia" w:ascii="MS UI Gothic" w:eastAsia="MS UI Gothic"/>
          <w:w w:val="85"/>
        </w:rPr>
        <w:t xml:space="preserve">６００ </w:t>
      </w:r>
      <w:r>
        <w:rPr>
          <w:w w:val="110"/>
        </w:rPr>
        <w:t>兆瓦以上锅炉爆炸的</w:t>
      </w:r>
      <w:r>
        <w:rPr>
          <w:rFonts w:hint="eastAsia" w:ascii="MS UI Gothic" w:eastAsia="MS UI Gothic"/>
          <w:w w:val="85"/>
        </w:rPr>
        <w:t>ꎻ</w:t>
      </w:r>
    </w:p>
    <w:p>
      <w:pPr>
        <w:pStyle w:val="6"/>
        <w:spacing w:before="58" w:line="295" w:lineRule="auto"/>
        <w:ind w:left="440"/>
        <w:rPr>
          <w:rFonts w:hint="eastAsia" w:ascii="MS UI Gothic" w:eastAsia="MS UI Gothic"/>
        </w:rPr>
      </w:pPr>
      <w:r>
        <w:rPr>
          <w:rFonts w:hint="eastAsia" w:ascii="MS UI Gothic" w:eastAsia="MS UI Gothic"/>
          <w:w w:val="145"/>
        </w:rPr>
        <w:t xml:space="preserve">( </w:t>
      </w:r>
      <w:r>
        <w:t>三</w:t>
      </w:r>
      <w:r>
        <w:rPr>
          <w:rFonts w:hint="eastAsia" w:ascii="MS UI Gothic" w:eastAsia="MS UI Gothic"/>
          <w:w w:val="145"/>
        </w:rPr>
        <w:t xml:space="preserve">) </w:t>
      </w:r>
      <w:r>
        <w:t>压力容器</w:t>
      </w:r>
      <w:r>
        <w:rPr>
          <w:rFonts w:hint="eastAsia" w:ascii="MS UI Gothic" w:eastAsia="MS UI Gothic"/>
          <w:w w:val="80"/>
        </w:rPr>
        <w:t xml:space="preserve">、 </w:t>
      </w:r>
      <w:r>
        <w:t>压力管道有毒介质泄漏</w:t>
      </w:r>
      <w:r>
        <w:rPr>
          <w:rFonts w:hint="eastAsia" w:ascii="MS UI Gothic" w:eastAsia="MS UI Gothic"/>
          <w:w w:val="80"/>
        </w:rPr>
        <w:t xml:space="preserve">ꎬ </w:t>
      </w:r>
      <w:r>
        <w:t xml:space="preserve">造成 </w:t>
      </w:r>
      <w:r>
        <w:rPr>
          <w:rFonts w:hint="eastAsia" w:ascii="MS UI Gothic" w:eastAsia="MS UI Gothic"/>
          <w:w w:val="80"/>
        </w:rPr>
        <w:t xml:space="preserve">１５ </w:t>
      </w:r>
      <w:r>
        <w:t>万人以上转移的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w w:val="140"/>
        </w:rPr>
        <w:t xml:space="preserve">( </w:t>
      </w:r>
      <w:r>
        <w:rPr>
          <w:w w:val="105"/>
        </w:rPr>
        <w:t>四</w:t>
      </w:r>
      <w:r>
        <w:rPr>
          <w:rFonts w:hint="eastAsia" w:ascii="MS UI Gothic" w:eastAsia="MS UI Gothic"/>
          <w:w w:val="140"/>
        </w:rPr>
        <w:t xml:space="preserve">) </w:t>
      </w:r>
      <w:r>
        <w:rPr>
          <w:w w:val="105"/>
        </w:rPr>
        <w:t>客运索道</w:t>
      </w:r>
      <w:r>
        <w:rPr>
          <w:rFonts w:hint="eastAsia" w:ascii="MS UI Gothic" w:eastAsia="MS UI Gothic"/>
          <w:w w:val="85"/>
        </w:rPr>
        <w:t xml:space="preserve">、 </w:t>
      </w:r>
      <w:r>
        <w:rPr>
          <w:w w:val="105"/>
        </w:rPr>
        <w:t xml:space="preserve">大型游乐设施高空滞留 </w:t>
      </w:r>
      <w:r>
        <w:rPr>
          <w:rFonts w:hint="eastAsia" w:ascii="MS UI Gothic" w:eastAsia="MS UI Gothic"/>
          <w:w w:val="85"/>
        </w:rPr>
        <w:t xml:space="preserve">１００ </w:t>
      </w:r>
      <w:r>
        <w:rPr>
          <w:w w:val="105"/>
        </w:rPr>
        <w:t xml:space="preserve">人以上并且时间在 </w:t>
      </w:r>
      <w:r>
        <w:rPr>
          <w:rFonts w:hint="eastAsia" w:ascii="MS UI Gothic" w:eastAsia="MS UI Gothic"/>
          <w:w w:val="85"/>
        </w:rPr>
        <w:t xml:space="preserve">４８ </w:t>
      </w:r>
      <w:r>
        <w:rPr>
          <w:w w:val="105"/>
        </w:rPr>
        <w:t>小时以上的</w:t>
      </w:r>
      <w:r>
        <w:rPr>
          <w:rFonts w:hint="eastAsia" w:ascii="MS UI Gothic" w:eastAsia="MS UI Gothic"/>
          <w:w w:val="85"/>
        </w:rPr>
        <w:t>ꎮ</w:t>
      </w:r>
    </w:p>
    <w:p>
      <w:pPr>
        <w:pStyle w:val="6"/>
        <w:spacing w:line="254" w:lineRule="exact"/>
        <w:ind w:left="860" w:firstLine="0"/>
      </w:pPr>
      <w:r>
        <w:t>第六十二条 有下列情形之一的</w:t>
      </w:r>
      <w:r>
        <w:rPr>
          <w:rFonts w:hint="eastAsia" w:ascii="MS UI Gothic" w:eastAsia="MS UI Gothic"/>
          <w:w w:val="80"/>
        </w:rPr>
        <w:t xml:space="preserve">ꎬ </w:t>
      </w:r>
      <w:r>
        <w:t>为</w:t>
      </w:r>
    </w:p>
    <w:p>
      <w:pPr>
        <w:pStyle w:val="6"/>
        <w:spacing w:before="57" w:line="240" w:lineRule="exact"/>
        <w:ind w:left="440" w:firstLine="0"/>
        <w:jc w:val="left"/>
        <w:rPr>
          <w:rFonts w:hint="eastAsia" w:ascii="MS UI Gothic" w:eastAsia="MS UI Gothic"/>
        </w:rPr>
      </w:pPr>
      <w:r>
        <w:rPr>
          <w:w w:val="115"/>
        </w:rPr>
        <w:t>重大事故</w:t>
      </w:r>
      <w:r>
        <w:rPr>
          <w:rFonts w:hint="eastAsia" w:ascii="MS UI Gothic" w:eastAsia="MS UI Gothic"/>
          <w:w w:val="235"/>
        </w:rPr>
        <w:t>:</w:t>
      </w:r>
    </w:p>
    <w:p>
      <w:pPr>
        <w:pStyle w:val="6"/>
        <w:spacing w:before="124" w:line="295" w:lineRule="auto"/>
        <w:ind w:left="383" w:right="126"/>
        <w:rPr>
          <w:rFonts w:hint="eastAsia" w:ascii="MS UI Gothic" w:eastAsia="MS UI Gothic"/>
        </w:rPr>
      </w:pPr>
      <w:r>
        <w:br w:type="column"/>
      </w:r>
      <w:r>
        <w:rPr>
          <w:rFonts w:hint="eastAsia" w:ascii="MS UI Gothic" w:eastAsia="MS UI Gothic"/>
          <w:w w:val="140"/>
        </w:rPr>
        <w:t xml:space="preserve">( </w:t>
      </w:r>
      <w:r>
        <w:rPr>
          <w:w w:val="95"/>
        </w:rPr>
        <w:t>一</w:t>
      </w:r>
      <w:r>
        <w:rPr>
          <w:rFonts w:hint="eastAsia" w:ascii="MS UI Gothic" w:eastAsia="MS UI Gothic"/>
          <w:w w:val="140"/>
        </w:rPr>
        <w:t xml:space="preserve">) </w:t>
      </w:r>
      <w:r>
        <w:rPr>
          <w:w w:val="95"/>
        </w:rPr>
        <w:t xml:space="preserve">特种设备事故造成 </w:t>
      </w:r>
      <w:r>
        <w:rPr>
          <w:rFonts w:hint="eastAsia" w:ascii="MS UI Gothic" w:eastAsia="MS UI Gothic"/>
          <w:w w:val="95"/>
        </w:rPr>
        <w:t xml:space="preserve">３ </w:t>
      </w:r>
      <w:r>
        <w:rPr>
          <w:w w:val="95"/>
        </w:rPr>
        <w:t>人以下死亡</w:t>
      </w:r>
      <w:r>
        <w:rPr>
          <w:rFonts w:hint="eastAsia" w:ascii="MS UI Gothic" w:eastAsia="MS UI Gothic"/>
          <w:w w:val="85"/>
        </w:rPr>
        <w:t xml:space="preserve">ꎬ </w:t>
      </w:r>
      <w:r>
        <w:rPr>
          <w:w w:val="95"/>
        </w:rPr>
        <w:t xml:space="preserve">或者 </w:t>
      </w:r>
      <w:r>
        <w:rPr>
          <w:rFonts w:hint="eastAsia" w:ascii="MS UI Gothic" w:eastAsia="MS UI Gothic"/>
          <w:w w:val="95"/>
        </w:rPr>
        <w:t xml:space="preserve">１０ </w:t>
      </w:r>
      <w:r>
        <w:rPr>
          <w:w w:val="95"/>
        </w:rPr>
        <w:t>人以下重伤</w:t>
      </w:r>
      <w:r>
        <w:rPr>
          <w:rFonts w:hint="eastAsia" w:ascii="MS UI Gothic" w:eastAsia="MS UI Gothic"/>
          <w:w w:val="85"/>
        </w:rPr>
        <w:t xml:space="preserve">ꎬ </w:t>
      </w:r>
      <w:r>
        <w:rPr>
          <w:w w:val="95"/>
        </w:rPr>
        <w:t xml:space="preserve">或者 </w:t>
      </w:r>
      <w:r>
        <w:rPr>
          <w:rFonts w:hint="eastAsia" w:ascii="MS UI Gothic" w:eastAsia="MS UI Gothic"/>
          <w:w w:val="95"/>
        </w:rPr>
        <w:t xml:space="preserve">１ </w:t>
      </w:r>
      <w:r>
        <w:rPr>
          <w:w w:val="95"/>
        </w:rPr>
        <w:t xml:space="preserve">万元以上 </w:t>
      </w:r>
      <w:r>
        <w:rPr>
          <w:rFonts w:hint="eastAsia" w:ascii="MS UI Gothic" w:eastAsia="MS UI Gothic"/>
          <w:w w:val="95"/>
        </w:rPr>
        <w:t xml:space="preserve">１０００ </w:t>
      </w:r>
      <w:r>
        <w:rPr>
          <w:w w:val="95"/>
        </w:rPr>
        <w:t>万元以下直接经济损失的</w:t>
      </w:r>
      <w:r>
        <w:rPr>
          <w:rFonts w:hint="eastAsia" w:ascii="MS UI Gothic" w:eastAsia="MS UI Gothic"/>
          <w:w w:val="85"/>
        </w:rPr>
        <w:t>ꎻ</w:t>
      </w:r>
    </w:p>
    <w:p>
      <w:pPr>
        <w:pStyle w:val="6"/>
        <w:spacing w:line="295" w:lineRule="auto"/>
        <w:ind w:left="383" w:right="126"/>
        <w:rPr>
          <w:rFonts w:hint="eastAsia" w:ascii="MS UI Gothic" w:eastAsia="MS UI Gothic"/>
        </w:rPr>
      </w:pPr>
      <w:r>
        <w:rPr>
          <w:rFonts w:hint="eastAsia" w:ascii="MS UI Gothic" w:eastAsia="MS UI Gothic"/>
          <w:spacing w:val="-29"/>
          <w:w w:val="140"/>
        </w:rPr>
        <w:t xml:space="preserve">( </w:t>
      </w:r>
      <w:r>
        <w:rPr>
          <w:spacing w:val="3"/>
        </w:rPr>
        <w:t>二</w:t>
      </w:r>
      <w:r>
        <w:rPr>
          <w:rFonts w:hint="eastAsia" w:ascii="MS UI Gothic" w:eastAsia="MS UI Gothic"/>
          <w:w w:val="140"/>
        </w:rPr>
        <w:t xml:space="preserve">) </w:t>
      </w:r>
      <w:r>
        <w:rPr>
          <w:spacing w:val="5"/>
        </w:rPr>
        <w:t>压力容器</w:t>
      </w:r>
      <w:r>
        <w:rPr>
          <w:rFonts w:hint="eastAsia" w:ascii="MS UI Gothic" w:eastAsia="MS UI Gothic"/>
          <w:spacing w:val="22"/>
          <w:w w:val="85"/>
        </w:rPr>
        <w:t xml:space="preserve">、 </w:t>
      </w:r>
      <w:r>
        <w:rPr>
          <w:spacing w:val="8"/>
        </w:rPr>
        <w:t>压力管道有毒介质</w:t>
      </w:r>
      <w:r>
        <w:rPr>
          <w:spacing w:val="5"/>
        </w:rPr>
        <w:t>泄漏</w:t>
      </w:r>
      <w:r>
        <w:rPr>
          <w:rFonts w:hint="eastAsia" w:ascii="MS UI Gothic" w:eastAsia="MS UI Gothic"/>
          <w:spacing w:val="5"/>
          <w:w w:val="85"/>
        </w:rPr>
        <w:t xml:space="preserve">ꎬ </w:t>
      </w:r>
      <w:r>
        <w:rPr>
          <w:spacing w:val="6"/>
        </w:rPr>
        <w:t xml:space="preserve">造成 </w:t>
      </w:r>
      <w:r>
        <w:rPr>
          <w:rFonts w:hint="eastAsia" w:ascii="MS UI Gothic" w:eastAsia="MS UI Gothic"/>
          <w:spacing w:val="10"/>
          <w:w w:val="85"/>
        </w:rPr>
        <w:t xml:space="preserve">５００ </w:t>
      </w:r>
      <w:r>
        <w:rPr>
          <w:spacing w:val="14"/>
        </w:rPr>
        <w:t xml:space="preserve">人以上 </w:t>
      </w:r>
      <w:r>
        <w:rPr>
          <w:rFonts w:hint="eastAsia" w:ascii="MS UI Gothic" w:eastAsia="MS UI Gothic"/>
          <w:spacing w:val="19"/>
          <w:w w:val="85"/>
        </w:rPr>
        <w:t xml:space="preserve">１ </w:t>
      </w:r>
      <w:r>
        <w:rPr>
          <w:spacing w:val="28"/>
        </w:rPr>
        <w:t>万人以下转</w:t>
      </w:r>
      <w:r>
        <w:rPr>
          <w:spacing w:val="3"/>
        </w:rPr>
        <w:t>移的</w:t>
      </w:r>
      <w:r>
        <w:rPr>
          <w:rFonts w:hint="eastAsia" w:ascii="MS UI Gothic" w:eastAsia="MS UI Gothic"/>
          <w:w w:val="85"/>
        </w:rPr>
        <w:t>ꎻ</w:t>
      </w:r>
    </w:p>
    <w:p>
      <w:pPr>
        <w:pStyle w:val="6"/>
        <w:spacing w:line="295" w:lineRule="auto"/>
        <w:ind w:left="383" w:right="126"/>
        <w:rPr>
          <w:rFonts w:hint="eastAsia" w:ascii="MS UI Gothic" w:eastAsia="MS UI Gothic"/>
        </w:rPr>
      </w:pPr>
      <w:r>
        <w:rPr>
          <w:rFonts w:hint="eastAsia" w:ascii="MS UI Gothic" w:eastAsia="MS UI Gothic"/>
          <w:spacing w:val="-40"/>
          <w:w w:val="150"/>
        </w:rPr>
        <w:t xml:space="preserve">( </w:t>
      </w:r>
      <w:r>
        <w:rPr>
          <w:spacing w:val="15"/>
          <w:w w:val="110"/>
        </w:rPr>
        <w:t>三</w:t>
      </w:r>
      <w:r>
        <w:rPr>
          <w:rFonts w:hint="eastAsia" w:ascii="MS UI Gothic" w:eastAsia="MS UI Gothic"/>
          <w:spacing w:val="-7"/>
          <w:w w:val="150"/>
        </w:rPr>
        <w:t xml:space="preserve">) </w:t>
      </w:r>
      <w:r>
        <w:rPr>
          <w:spacing w:val="11"/>
          <w:w w:val="110"/>
        </w:rPr>
        <w:t xml:space="preserve">电梯轿厢滞留人员 </w:t>
      </w:r>
      <w:r>
        <w:rPr>
          <w:rFonts w:hint="eastAsia" w:ascii="MS UI Gothic" w:eastAsia="MS UI Gothic"/>
          <w:w w:val="80"/>
        </w:rPr>
        <w:t xml:space="preserve">２ </w:t>
      </w:r>
      <w:r>
        <w:rPr>
          <w:spacing w:val="13"/>
          <w:w w:val="110"/>
        </w:rPr>
        <w:t>小时以</w:t>
      </w:r>
      <w:r>
        <w:rPr>
          <w:spacing w:val="3"/>
          <w:w w:val="110"/>
        </w:rPr>
        <w:t>上的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05"/>
        </w:rPr>
        <w:t xml:space="preserve">( </w:t>
      </w:r>
      <w:r>
        <w:rPr>
          <w:w w:val="105"/>
        </w:rPr>
        <w:t>四</w:t>
      </w:r>
      <w:r>
        <w:rPr>
          <w:rFonts w:hint="eastAsia" w:ascii="MS UI Gothic" w:eastAsia="MS UI Gothic"/>
          <w:w w:val="105"/>
        </w:rPr>
        <w:t xml:space="preserve">) </w:t>
      </w:r>
      <w:r>
        <w:rPr>
          <w:w w:val="105"/>
        </w:rPr>
        <w:t>起重机械主要受力结构件折断</w:t>
      </w:r>
      <w:r>
        <w:rPr>
          <w:w w:val="110"/>
        </w:rPr>
        <w:t>或者起升机构坠落的</w:t>
      </w:r>
      <w:r>
        <w:rPr>
          <w:rFonts w:hint="eastAsia" w:ascii="MS UI Gothic" w:eastAsia="MS UI Gothic"/>
          <w:w w:val="80"/>
        </w:rPr>
        <w:t>ꎻ</w:t>
      </w:r>
    </w:p>
    <w:p>
      <w:pPr>
        <w:pStyle w:val="6"/>
        <w:spacing w:line="238" w:lineRule="exact"/>
        <w:ind w:left="802" w:firstLine="0"/>
      </w:pPr>
      <w:r>
        <w:rPr>
          <w:rFonts w:hint="eastAsia" w:ascii="MS UI Gothic" w:eastAsia="MS UI Gothic"/>
          <w:w w:val="145"/>
        </w:rPr>
        <w:t>(</w:t>
      </w:r>
      <w:r>
        <w:t>五</w:t>
      </w:r>
      <w:r>
        <w:rPr>
          <w:rFonts w:hint="eastAsia" w:ascii="MS UI Gothic" w:eastAsia="MS UI Gothic"/>
          <w:w w:val="145"/>
        </w:rPr>
        <w:t xml:space="preserve">) </w:t>
      </w:r>
      <w:r>
        <w:t xml:space="preserve">客运索道高空滞留人员 </w:t>
      </w:r>
      <w:r>
        <w:rPr>
          <w:rFonts w:hint="eastAsia" w:ascii="MS UI Gothic" w:eastAsia="MS UI Gothic"/>
        </w:rPr>
        <w:t xml:space="preserve">３ ５ </w:t>
      </w:r>
      <w:r>
        <w:t>小</w:t>
      </w:r>
    </w:p>
    <w:p>
      <w:pPr>
        <w:spacing w:after="0" w:line="238" w:lineRule="exact"/>
        <w:sectPr>
          <w:type w:val="continuous"/>
          <w:pgSz w:w="10500" w:h="14750"/>
          <w:pgMar w:top="1400" w:right="980" w:bottom="280" w:left="980" w:header="720" w:footer="720" w:gutter="0"/>
          <w:cols w:equalWidth="0" w:num="2">
            <w:col w:w="4210" w:space="40"/>
            <w:col w:w="4290"/>
          </w:cols>
        </w:sectPr>
      </w:pPr>
    </w:p>
    <w:p>
      <w:pPr>
        <w:pStyle w:val="6"/>
        <w:spacing w:before="68"/>
        <w:ind w:left="0" w:firstLine="0"/>
        <w:jc w:val="right"/>
      </w:pPr>
      <w:r>
        <w:rPr>
          <w:rFonts w:hint="eastAsia" w:ascii="MS UI Gothic" w:eastAsia="MS UI Gothic"/>
          <w:spacing w:val="-41"/>
          <w:w w:val="145"/>
        </w:rPr>
        <w:t xml:space="preserve">( </w:t>
      </w:r>
      <w:r>
        <w:rPr>
          <w:spacing w:val="3"/>
          <w:w w:val="110"/>
        </w:rPr>
        <w:t>一</w:t>
      </w:r>
      <w:r>
        <w:rPr>
          <w:rFonts w:hint="eastAsia" w:ascii="MS UI Gothic" w:eastAsia="MS UI Gothic"/>
          <w:spacing w:val="-22"/>
          <w:w w:val="145"/>
        </w:rPr>
        <w:t xml:space="preserve">) </w:t>
      </w:r>
      <w:r>
        <w:rPr>
          <w:spacing w:val="2"/>
          <w:w w:val="110"/>
        </w:rPr>
        <w:t xml:space="preserve">特种设备事故造成 </w:t>
      </w:r>
      <w:r>
        <w:rPr>
          <w:rFonts w:hint="eastAsia" w:ascii="MS UI Gothic" w:eastAsia="MS UI Gothic"/>
          <w:spacing w:val="-11"/>
          <w:w w:val="95"/>
        </w:rPr>
        <w:t xml:space="preserve">１０ </w:t>
      </w:r>
      <w:r>
        <w:rPr>
          <w:spacing w:val="12"/>
          <w:w w:val="110"/>
        </w:rPr>
        <w:t>人以上</w:t>
      </w:r>
    </w:p>
    <w:p>
      <w:pPr>
        <w:pStyle w:val="6"/>
        <w:spacing w:before="58" w:line="240" w:lineRule="exact"/>
        <w:ind w:left="0" w:firstLine="0"/>
        <w:jc w:val="right"/>
      </w:pPr>
      <w:r>
        <w:rPr>
          <w:rFonts w:hint="eastAsia" w:ascii="MS UI Gothic" w:eastAsia="MS UI Gothic"/>
          <w:spacing w:val="-4"/>
          <w:w w:val="95"/>
        </w:rPr>
        <w:t xml:space="preserve">３０ </w:t>
      </w:r>
      <w:r>
        <w:rPr>
          <w:spacing w:val="3"/>
          <w:w w:val="95"/>
        </w:rPr>
        <w:t>人以下死亡</w:t>
      </w:r>
      <w:r>
        <w:rPr>
          <w:rFonts w:hint="eastAsia" w:ascii="MS UI Gothic" w:eastAsia="MS UI Gothic"/>
          <w:spacing w:val="17"/>
          <w:w w:val="90"/>
        </w:rPr>
        <w:t xml:space="preserve">ꎬ </w:t>
      </w:r>
      <w:r>
        <w:rPr>
          <w:spacing w:val="-14"/>
          <w:w w:val="95"/>
        </w:rPr>
        <w:t xml:space="preserve">或者 </w:t>
      </w:r>
      <w:r>
        <w:rPr>
          <w:rFonts w:hint="eastAsia" w:ascii="MS UI Gothic" w:eastAsia="MS UI Gothic"/>
          <w:spacing w:val="-2"/>
          <w:w w:val="95"/>
        </w:rPr>
        <w:t xml:space="preserve">５０ </w:t>
      </w:r>
      <w:r>
        <w:rPr>
          <w:spacing w:val="-7"/>
          <w:w w:val="95"/>
        </w:rPr>
        <w:t xml:space="preserve">人以上 </w:t>
      </w:r>
      <w:r>
        <w:rPr>
          <w:rFonts w:hint="eastAsia" w:ascii="MS UI Gothic" w:eastAsia="MS UI Gothic"/>
          <w:spacing w:val="-2"/>
          <w:w w:val="95"/>
        </w:rPr>
        <w:t xml:space="preserve">１００ </w:t>
      </w:r>
      <w:r>
        <w:rPr>
          <w:spacing w:val="5"/>
          <w:w w:val="95"/>
        </w:rPr>
        <w:t>人以</w:t>
      </w:r>
    </w:p>
    <w:p>
      <w:pPr>
        <w:pStyle w:val="6"/>
        <w:spacing w:before="68"/>
        <w:ind w:left="383" w:firstLine="0"/>
        <w:jc w:val="left"/>
        <w:rPr>
          <w:rFonts w:hint="eastAsia" w:ascii="MS UI Gothic" w:eastAsia="MS UI Gothic"/>
        </w:rPr>
      </w:pPr>
      <w:r>
        <w:br w:type="column"/>
      </w:r>
      <w:r>
        <w:t xml:space="preserve">时以上 </w:t>
      </w:r>
      <w:r>
        <w:rPr>
          <w:rFonts w:hint="eastAsia" w:ascii="MS UI Gothic" w:eastAsia="MS UI Gothic"/>
          <w:w w:val="85"/>
        </w:rPr>
        <w:t xml:space="preserve">１２ </w:t>
      </w:r>
      <w:r>
        <w:t>小时以下的</w:t>
      </w:r>
      <w:r>
        <w:rPr>
          <w:rFonts w:hint="eastAsia" w:ascii="MS UI Gothic" w:eastAsia="MS UI Gothic"/>
          <w:w w:val="85"/>
        </w:rPr>
        <w:t>ꎻ</w:t>
      </w:r>
    </w:p>
    <w:p>
      <w:pPr>
        <w:pStyle w:val="6"/>
        <w:spacing w:before="58" w:line="240" w:lineRule="exact"/>
        <w:ind w:left="802" w:firstLine="0"/>
        <w:jc w:val="left"/>
        <w:rPr>
          <w:rFonts w:hint="eastAsia" w:ascii="MS UI Gothic" w:eastAsia="MS UI Gothic"/>
        </w:rPr>
      </w:pPr>
      <w:r>
        <w:rPr>
          <w:rFonts w:hint="eastAsia" w:ascii="MS UI Gothic" w:eastAsia="MS UI Gothic"/>
          <w:w w:val="150"/>
        </w:rPr>
        <w:t xml:space="preserve">( </w:t>
      </w:r>
      <w:r>
        <w:rPr>
          <w:w w:val="110"/>
        </w:rPr>
        <w:t>六</w:t>
      </w:r>
      <w:r>
        <w:rPr>
          <w:rFonts w:hint="eastAsia" w:ascii="MS UI Gothic" w:eastAsia="MS UI Gothic"/>
          <w:w w:val="150"/>
        </w:rPr>
        <w:t xml:space="preserve">) </w:t>
      </w:r>
      <w:r>
        <w:rPr>
          <w:w w:val="110"/>
        </w:rPr>
        <w:t xml:space="preserve">大型游乐设施高空滞留人员 </w:t>
      </w:r>
      <w:r>
        <w:rPr>
          <w:rFonts w:hint="eastAsia" w:ascii="MS UI Gothic" w:eastAsia="MS UI Gothic"/>
        </w:rPr>
        <w:t>１</w:t>
      </w:r>
    </w:p>
    <w:p>
      <w:pPr>
        <w:spacing w:after="0" w:line="240" w:lineRule="exact"/>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74" w:line="295" w:lineRule="auto"/>
        <w:ind w:left="440" w:firstLine="0"/>
        <w:rPr>
          <w:rFonts w:hint="eastAsia" w:ascii="MS UI Gothic" w:eastAsia="MS UI Gothic"/>
        </w:rPr>
      </w:pPr>
      <w:r>
        <w:rPr>
          <w:w w:val="95"/>
        </w:rPr>
        <w:t>下重伤</w:t>
      </w:r>
      <w:r>
        <w:rPr>
          <w:rFonts w:hint="eastAsia" w:ascii="MS UI Gothic" w:eastAsia="MS UI Gothic"/>
          <w:w w:val="90"/>
        </w:rPr>
        <w:t xml:space="preserve">ꎬ </w:t>
      </w:r>
      <w:r>
        <w:rPr>
          <w:w w:val="95"/>
        </w:rPr>
        <w:t xml:space="preserve">或者 </w:t>
      </w:r>
      <w:r>
        <w:rPr>
          <w:rFonts w:hint="eastAsia" w:ascii="MS UI Gothic" w:eastAsia="MS UI Gothic"/>
          <w:w w:val="95"/>
        </w:rPr>
        <w:t xml:space="preserve">５０００ </w:t>
      </w:r>
      <w:r>
        <w:rPr>
          <w:w w:val="95"/>
        </w:rPr>
        <w:t xml:space="preserve">万元以上 </w:t>
      </w:r>
      <w:r>
        <w:rPr>
          <w:rFonts w:hint="eastAsia" w:ascii="MS UI Gothic" w:eastAsia="MS UI Gothic"/>
          <w:w w:val="95"/>
        </w:rPr>
        <w:t xml:space="preserve">１ </w:t>
      </w:r>
      <w:r>
        <w:rPr>
          <w:w w:val="95"/>
        </w:rPr>
        <w:t>亿元以下直接经济损失的</w:t>
      </w:r>
      <w:r>
        <w:rPr>
          <w:rFonts w:hint="eastAsia" w:ascii="MS UI Gothic" w:eastAsia="MS UI Gothic"/>
          <w:w w:val="90"/>
        </w:rPr>
        <w:t>ꎻ</w:t>
      </w:r>
    </w:p>
    <w:p>
      <w:pPr>
        <w:pStyle w:val="6"/>
        <w:spacing w:line="255" w:lineRule="exact"/>
        <w:ind w:left="860" w:firstLine="0"/>
      </w:pPr>
      <w:r>
        <w:rPr>
          <w:rFonts w:hint="eastAsia" w:ascii="MS UI Gothic" w:eastAsia="MS UI Gothic"/>
          <w:w w:val="105"/>
        </w:rPr>
        <w:t xml:space="preserve">( </w:t>
      </w:r>
      <w:r>
        <w:rPr>
          <w:w w:val="105"/>
        </w:rPr>
        <w:t>二</w:t>
      </w:r>
      <w:r>
        <w:rPr>
          <w:rFonts w:hint="eastAsia" w:ascii="MS UI Gothic" w:eastAsia="MS UI Gothic"/>
          <w:w w:val="105"/>
        </w:rPr>
        <w:t xml:space="preserve">) </w:t>
      </w:r>
      <w:r>
        <w:rPr>
          <w:rFonts w:hint="eastAsia" w:ascii="MS UI Gothic" w:eastAsia="MS UI Gothic"/>
          <w:w w:val="95"/>
        </w:rPr>
        <w:t xml:space="preserve">６００ </w:t>
      </w:r>
      <w:r>
        <w:rPr>
          <w:w w:val="105"/>
        </w:rPr>
        <w:t>兆瓦以上锅炉因安全故障</w:t>
      </w:r>
    </w:p>
    <w:p>
      <w:pPr>
        <w:pStyle w:val="6"/>
        <w:spacing w:before="59"/>
        <w:ind w:left="440" w:firstLine="0"/>
        <w:rPr>
          <w:rFonts w:hint="eastAsia" w:ascii="MS UI Gothic" w:eastAsia="MS UI Gothic"/>
        </w:rPr>
      </w:pPr>
      <w:r>
        <w:rPr>
          <w:w w:val="95"/>
        </w:rPr>
        <w:t xml:space="preserve">中断运行 </w:t>
      </w:r>
      <w:r>
        <w:rPr>
          <w:rFonts w:hint="eastAsia" w:ascii="MS UI Gothic" w:eastAsia="MS UI Gothic"/>
          <w:w w:val="95"/>
        </w:rPr>
        <w:t xml:space="preserve">２４０ </w:t>
      </w:r>
      <w:r>
        <w:rPr>
          <w:w w:val="95"/>
        </w:rPr>
        <w:t>小时以上的</w:t>
      </w:r>
      <w:r>
        <w:rPr>
          <w:rFonts w:hint="eastAsia" w:ascii="MS UI Gothic" w:eastAsia="MS UI Gothic"/>
          <w:w w:val="90"/>
        </w:rPr>
        <w:t>ꎻ</w:t>
      </w:r>
    </w:p>
    <w:p>
      <w:pPr>
        <w:pStyle w:val="6"/>
        <w:spacing w:before="58" w:line="295" w:lineRule="auto"/>
        <w:ind w:left="440"/>
        <w:rPr>
          <w:rFonts w:hint="eastAsia" w:ascii="MS UI Gothic" w:eastAsia="MS UI Gothic"/>
        </w:rPr>
      </w:pPr>
      <w:r>
        <w:rPr>
          <w:rFonts w:hint="eastAsia" w:ascii="MS UI Gothic" w:eastAsia="MS UI Gothic"/>
          <w:w w:val="145"/>
        </w:rPr>
        <w:t xml:space="preserve">( </w:t>
      </w:r>
      <w:r>
        <w:t>三</w:t>
      </w:r>
      <w:r>
        <w:rPr>
          <w:rFonts w:hint="eastAsia" w:ascii="MS UI Gothic" w:eastAsia="MS UI Gothic"/>
          <w:w w:val="145"/>
        </w:rPr>
        <w:t xml:space="preserve">) </w:t>
      </w:r>
      <w:r>
        <w:t>压力容器</w:t>
      </w:r>
      <w:r>
        <w:rPr>
          <w:rFonts w:hint="eastAsia" w:ascii="MS UI Gothic" w:eastAsia="MS UI Gothic"/>
          <w:w w:val="80"/>
        </w:rPr>
        <w:t xml:space="preserve">、 </w:t>
      </w:r>
      <w:r>
        <w:t>压力管道有毒介质泄漏</w:t>
      </w:r>
      <w:r>
        <w:rPr>
          <w:rFonts w:hint="eastAsia" w:ascii="MS UI Gothic" w:eastAsia="MS UI Gothic"/>
          <w:w w:val="80"/>
        </w:rPr>
        <w:t xml:space="preserve">ꎬ </w:t>
      </w:r>
      <w:r>
        <w:t xml:space="preserve">造成 </w:t>
      </w:r>
      <w:r>
        <w:rPr>
          <w:rFonts w:hint="eastAsia" w:ascii="MS UI Gothic" w:eastAsia="MS UI Gothic"/>
          <w:w w:val="80"/>
        </w:rPr>
        <w:t xml:space="preserve">５ </w:t>
      </w:r>
      <w:r>
        <w:t xml:space="preserve">万人以上 </w:t>
      </w:r>
      <w:r>
        <w:rPr>
          <w:rFonts w:hint="eastAsia" w:ascii="MS UI Gothic" w:eastAsia="MS UI Gothic"/>
          <w:w w:val="80"/>
        </w:rPr>
        <w:t xml:space="preserve">１５ </w:t>
      </w:r>
      <w:r>
        <w:t>万人以下转移的</w:t>
      </w:r>
      <w:r>
        <w:rPr>
          <w:rFonts w:hint="eastAsia" w:ascii="MS UI Gothic" w:eastAsia="MS UI Gothic"/>
          <w:w w:val="80"/>
        </w:rPr>
        <w:t>ꎻ</w:t>
      </w:r>
    </w:p>
    <w:p>
      <w:pPr>
        <w:pStyle w:val="6"/>
        <w:spacing w:line="295" w:lineRule="auto"/>
        <w:ind w:left="440"/>
      </w:pPr>
      <w:r>
        <w:rPr>
          <w:rFonts w:hint="eastAsia" w:ascii="MS UI Gothic" w:eastAsia="MS UI Gothic"/>
          <w:w w:val="140"/>
        </w:rPr>
        <w:t xml:space="preserve">( </w:t>
      </w:r>
      <w:r>
        <w:rPr>
          <w:w w:val="105"/>
        </w:rPr>
        <w:t>四</w:t>
      </w:r>
      <w:r>
        <w:rPr>
          <w:rFonts w:hint="eastAsia" w:ascii="MS UI Gothic" w:eastAsia="MS UI Gothic"/>
          <w:w w:val="140"/>
        </w:rPr>
        <w:t xml:space="preserve">) </w:t>
      </w:r>
      <w:r>
        <w:rPr>
          <w:w w:val="105"/>
        </w:rPr>
        <w:t>客运索道</w:t>
      </w:r>
      <w:r>
        <w:rPr>
          <w:rFonts w:hint="eastAsia" w:ascii="MS UI Gothic" w:eastAsia="MS UI Gothic"/>
          <w:w w:val="95"/>
        </w:rPr>
        <w:t xml:space="preserve">、 </w:t>
      </w:r>
      <w:r>
        <w:rPr>
          <w:w w:val="105"/>
        </w:rPr>
        <w:t>大型游乐设施高空</w:t>
      </w:r>
      <w:r>
        <w:t xml:space="preserve">滞留 </w:t>
      </w:r>
      <w:r>
        <w:rPr>
          <w:rFonts w:hint="eastAsia" w:ascii="MS UI Gothic" w:eastAsia="MS UI Gothic"/>
          <w:w w:val="95"/>
        </w:rPr>
        <w:t xml:space="preserve">１００ </w:t>
      </w:r>
      <w:r>
        <w:t xml:space="preserve">人以上并且时间在 </w:t>
      </w:r>
      <w:r>
        <w:rPr>
          <w:rFonts w:hint="eastAsia" w:ascii="MS UI Gothic" w:eastAsia="MS UI Gothic"/>
          <w:w w:val="95"/>
        </w:rPr>
        <w:t xml:space="preserve">２４ </w:t>
      </w:r>
      <w:r>
        <w:t>小时以上</w:t>
      </w:r>
    </w:p>
    <w:p>
      <w:pPr>
        <w:pStyle w:val="6"/>
        <w:spacing w:line="255" w:lineRule="exact"/>
        <w:ind w:left="435" w:firstLine="0"/>
        <w:rPr>
          <w:rFonts w:hint="eastAsia" w:ascii="MS UI Gothic" w:eastAsia="MS UI Gothic"/>
        </w:rPr>
      </w:pPr>
      <w:r>
        <w:rPr>
          <w:rFonts w:hint="eastAsia" w:ascii="MS UI Gothic" w:eastAsia="MS UI Gothic"/>
          <w:w w:val="85"/>
        </w:rPr>
        <w:t xml:space="preserve">４８ </w:t>
      </w:r>
      <w:r>
        <w:t>小时以下的</w:t>
      </w:r>
      <w:r>
        <w:rPr>
          <w:rFonts w:hint="eastAsia" w:ascii="MS UI Gothic" w:eastAsia="MS UI Gothic"/>
          <w:w w:val="85"/>
        </w:rPr>
        <w:t>ꎮ</w:t>
      </w:r>
    </w:p>
    <w:p>
      <w:pPr>
        <w:pStyle w:val="6"/>
        <w:spacing w:before="55" w:line="295" w:lineRule="auto"/>
        <w:ind w:left="440"/>
        <w:rPr>
          <w:rFonts w:hint="eastAsia" w:ascii="MS UI Gothic" w:eastAsia="MS UI Gothic"/>
        </w:rPr>
      </w:pPr>
      <w:r>
        <w:rPr>
          <w:w w:val="105"/>
        </w:rPr>
        <w:t>第六十三条 有下列情形之一的</w:t>
      </w:r>
      <w:r>
        <w:rPr>
          <w:rFonts w:hint="eastAsia" w:ascii="MS UI Gothic" w:eastAsia="MS UI Gothic"/>
          <w:w w:val="80"/>
        </w:rPr>
        <w:t xml:space="preserve">ꎬ </w:t>
      </w:r>
      <w:r>
        <w:rPr>
          <w:w w:val="105"/>
        </w:rPr>
        <w:t>为</w:t>
      </w:r>
      <w:r>
        <w:rPr>
          <w:w w:val="110"/>
        </w:rPr>
        <w:t>较大事故</w:t>
      </w:r>
      <w:r>
        <w:rPr>
          <w:rFonts w:hint="eastAsia" w:ascii="MS UI Gothic" w:eastAsia="MS UI Gothic"/>
          <w:w w:val="235"/>
        </w:rPr>
        <w:t>:</w:t>
      </w:r>
    </w:p>
    <w:p>
      <w:pPr>
        <w:pStyle w:val="6"/>
        <w:spacing w:line="255" w:lineRule="exact"/>
        <w:ind w:left="860" w:firstLine="0"/>
        <w:rPr>
          <w:rFonts w:hint="eastAsia" w:ascii="MS UI Gothic" w:eastAsia="MS UI Gothic"/>
        </w:rPr>
      </w:pPr>
      <w:r>
        <w:rPr>
          <w:rFonts w:hint="eastAsia" w:ascii="MS UI Gothic" w:eastAsia="MS UI Gothic"/>
          <w:spacing w:val="-36"/>
          <w:w w:val="130"/>
        </w:rPr>
        <w:t xml:space="preserve">( </w:t>
      </w:r>
      <w:r>
        <w:rPr>
          <w:spacing w:val="3"/>
          <w:w w:val="110"/>
        </w:rPr>
        <w:t>一</w:t>
      </w:r>
      <w:r>
        <w:rPr>
          <w:rFonts w:hint="eastAsia" w:ascii="MS UI Gothic" w:eastAsia="MS UI Gothic"/>
          <w:spacing w:val="-18"/>
          <w:w w:val="130"/>
        </w:rPr>
        <w:t xml:space="preserve">) </w:t>
      </w:r>
      <w:r>
        <w:rPr>
          <w:spacing w:val="-9"/>
          <w:w w:val="110"/>
        </w:rPr>
        <w:t xml:space="preserve">特种设备事故造成 </w:t>
      </w:r>
      <w:r>
        <w:rPr>
          <w:rFonts w:hint="eastAsia" w:ascii="MS UI Gothic" w:eastAsia="MS UI Gothic"/>
          <w:spacing w:val="-18"/>
          <w:w w:val="95"/>
        </w:rPr>
        <w:t xml:space="preserve">３ </w:t>
      </w:r>
      <w:r>
        <w:rPr>
          <w:spacing w:val="-20"/>
          <w:w w:val="110"/>
        </w:rPr>
        <w:t xml:space="preserve">人以上 </w:t>
      </w:r>
      <w:r>
        <w:rPr>
          <w:rFonts w:hint="eastAsia" w:ascii="MS UI Gothic" w:eastAsia="MS UI Gothic"/>
          <w:w w:val="95"/>
        </w:rPr>
        <w:t>１０</w:t>
      </w:r>
    </w:p>
    <w:p>
      <w:pPr>
        <w:pStyle w:val="6"/>
        <w:spacing w:before="59"/>
        <w:ind w:left="440" w:firstLine="0"/>
      </w:pPr>
      <w:r>
        <w:rPr>
          <w:spacing w:val="3"/>
        </w:rPr>
        <w:t>人以下死亡</w:t>
      </w:r>
      <w:r>
        <w:rPr>
          <w:rFonts w:hint="eastAsia" w:ascii="MS UI Gothic" w:eastAsia="MS UI Gothic"/>
          <w:spacing w:val="20"/>
          <w:w w:val="85"/>
        </w:rPr>
        <w:t xml:space="preserve">ꎬ </w:t>
      </w:r>
      <w:r>
        <w:rPr>
          <w:spacing w:val="-18"/>
        </w:rPr>
        <w:t xml:space="preserve">或者 </w:t>
      </w:r>
      <w:r>
        <w:rPr>
          <w:rFonts w:hint="eastAsia" w:ascii="MS UI Gothic" w:eastAsia="MS UI Gothic"/>
          <w:spacing w:val="-1"/>
          <w:w w:val="85"/>
        </w:rPr>
        <w:t xml:space="preserve">１０ </w:t>
      </w:r>
      <w:r>
        <w:rPr>
          <w:spacing w:val="-13"/>
        </w:rPr>
        <w:t xml:space="preserve">人以上 </w:t>
      </w:r>
      <w:r>
        <w:rPr>
          <w:rFonts w:hint="eastAsia" w:ascii="MS UI Gothic" w:eastAsia="MS UI Gothic"/>
          <w:spacing w:val="-1"/>
          <w:w w:val="85"/>
        </w:rPr>
        <w:t xml:space="preserve">５０ </w:t>
      </w:r>
      <w:r>
        <w:rPr>
          <w:spacing w:val="3"/>
        </w:rPr>
        <w:t>人以下重</w:t>
      </w:r>
    </w:p>
    <w:p>
      <w:pPr>
        <w:pStyle w:val="6"/>
        <w:spacing w:before="58" w:line="295" w:lineRule="auto"/>
        <w:ind w:left="440" w:firstLine="0"/>
        <w:rPr>
          <w:rFonts w:hint="eastAsia" w:ascii="MS UI Gothic" w:eastAsia="MS UI Gothic"/>
        </w:rPr>
      </w:pPr>
      <w:r>
        <w:rPr>
          <w:spacing w:val="3"/>
          <w:w w:val="95"/>
        </w:rPr>
        <w:t>伤</w:t>
      </w:r>
      <w:r>
        <w:rPr>
          <w:rFonts w:hint="eastAsia" w:ascii="MS UI Gothic" w:eastAsia="MS UI Gothic"/>
          <w:spacing w:val="8"/>
          <w:w w:val="90"/>
        </w:rPr>
        <w:t xml:space="preserve">ꎬ </w:t>
      </w:r>
      <w:r>
        <w:rPr>
          <w:spacing w:val="-20"/>
          <w:w w:val="95"/>
        </w:rPr>
        <w:t xml:space="preserve">或者 </w:t>
      </w:r>
      <w:r>
        <w:rPr>
          <w:rFonts w:hint="eastAsia" w:ascii="MS UI Gothic" w:eastAsia="MS UI Gothic"/>
          <w:spacing w:val="-4"/>
          <w:w w:val="95"/>
        </w:rPr>
        <w:t xml:space="preserve">１０００ </w:t>
      </w:r>
      <w:r>
        <w:rPr>
          <w:spacing w:val="-11"/>
          <w:w w:val="95"/>
        </w:rPr>
        <w:t xml:space="preserve">万元以上 </w:t>
      </w:r>
      <w:r>
        <w:rPr>
          <w:rFonts w:hint="eastAsia" w:ascii="MS UI Gothic" w:eastAsia="MS UI Gothic"/>
          <w:spacing w:val="-4"/>
          <w:w w:val="95"/>
        </w:rPr>
        <w:t xml:space="preserve">５０００ </w:t>
      </w:r>
      <w:r>
        <w:rPr>
          <w:spacing w:val="5"/>
          <w:w w:val="95"/>
        </w:rPr>
        <w:t>万元以下直</w:t>
      </w:r>
      <w:r>
        <w:rPr>
          <w:spacing w:val="3"/>
          <w:w w:val="95"/>
        </w:rPr>
        <w:t>接经济损失的</w:t>
      </w:r>
      <w:r>
        <w:rPr>
          <w:rFonts w:hint="eastAsia" w:ascii="MS UI Gothic" w:eastAsia="MS UI Gothic"/>
          <w:w w:val="90"/>
        </w:rPr>
        <w:t>ꎻ</w:t>
      </w:r>
    </w:p>
    <w:p>
      <w:pPr>
        <w:pStyle w:val="6"/>
        <w:spacing w:line="295" w:lineRule="auto"/>
        <w:ind w:left="440"/>
        <w:rPr>
          <w:rFonts w:hint="eastAsia" w:ascii="MS UI Gothic" w:eastAsia="MS UI Gothic"/>
        </w:rPr>
      </w:pPr>
      <w:r>
        <w:rPr>
          <w:rFonts w:hint="eastAsia" w:ascii="MS UI Gothic" w:eastAsia="MS UI Gothic"/>
          <w:spacing w:val="-37"/>
          <w:w w:val="150"/>
        </w:rPr>
        <w:t xml:space="preserve">( </w:t>
      </w:r>
      <w:r>
        <w:rPr>
          <w:spacing w:val="3"/>
          <w:w w:val="105"/>
        </w:rPr>
        <w:t>二</w:t>
      </w:r>
      <w:r>
        <w:rPr>
          <w:rFonts w:hint="eastAsia" w:ascii="MS UI Gothic" w:eastAsia="MS UI Gothic"/>
          <w:spacing w:val="11"/>
          <w:w w:val="150"/>
        </w:rPr>
        <w:t xml:space="preserve">) </w:t>
      </w:r>
      <w:r>
        <w:rPr>
          <w:spacing w:val="3"/>
          <w:w w:val="105"/>
        </w:rPr>
        <w:t>锅炉</w:t>
      </w:r>
      <w:r>
        <w:rPr>
          <w:rFonts w:hint="eastAsia" w:ascii="MS UI Gothic" w:eastAsia="MS UI Gothic"/>
          <w:spacing w:val="23"/>
          <w:w w:val="80"/>
        </w:rPr>
        <w:t xml:space="preserve">、 </w:t>
      </w:r>
      <w:r>
        <w:rPr>
          <w:spacing w:val="8"/>
          <w:w w:val="105"/>
        </w:rPr>
        <w:t>压力容器</w:t>
      </w:r>
      <w:r>
        <w:rPr>
          <w:rFonts w:hint="eastAsia" w:ascii="MS UI Gothic" w:eastAsia="MS UI Gothic"/>
          <w:spacing w:val="2"/>
          <w:w w:val="80"/>
        </w:rPr>
        <w:t xml:space="preserve">、 </w:t>
      </w:r>
      <w:r>
        <w:rPr>
          <w:spacing w:val="10"/>
          <w:w w:val="105"/>
        </w:rPr>
        <w:t>压力管道爆</w:t>
      </w:r>
      <w:r>
        <w:rPr>
          <w:spacing w:val="3"/>
          <w:w w:val="105"/>
        </w:rPr>
        <w:t>炸的</w:t>
      </w:r>
      <w:r>
        <w:rPr>
          <w:rFonts w:hint="eastAsia" w:ascii="MS UI Gothic" w:eastAsia="MS UI Gothic"/>
          <w:w w:val="80"/>
        </w:rPr>
        <w:t>ꎻ</w:t>
      </w:r>
    </w:p>
    <w:p>
      <w:pPr>
        <w:pStyle w:val="6"/>
        <w:spacing w:line="295" w:lineRule="auto"/>
        <w:ind w:left="440"/>
        <w:rPr>
          <w:rFonts w:hint="eastAsia" w:ascii="MS UI Gothic" w:eastAsia="MS UI Gothic"/>
        </w:rPr>
      </w:pPr>
      <w:r>
        <w:rPr>
          <w:rFonts w:hint="eastAsia" w:ascii="MS UI Gothic" w:eastAsia="MS UI Gothic"/>
          <w:spacing w:val="-37"/>
          <w:w w:val="150"/>
        </w:rPr>
        <w:t xml:space="preserve">( </w:t>
      </w:r>
      <w:r>
        <w:rPr>
          <w:spacing w:val="3"/>
          <w:w w:val="105"/>
        </w:rPr>
        <w:t>三</w:t>
      </w:r>
      <w:r>
        <w:rPr>
          <w:rFonts w:hint="eastAsia" w:ascii="MS UI Gothic" w:eastAsia="MS UI Gothic"/>
          <w:spacing w:val="9"/>
          <w:w w:val="150"/>
        </w:rPr>
        <w:t xml:space="preserve">) </w:t>
      </w:r>
      <w:r>
        <w:rPr>
          <w:spacing w:val="5"/>
          <w:w w:val="105"/>
        </w:rPr>
        <w:t>压力容器</w:t>
      </w:r>
      <w:r>
        <w:rPr>
          <w:rFonts w:hint="eastAsia" w:ascii="MS UI Gothic" w:eastAsia="MS UI Gothic"/>
          <w:spacing w:val="23"/>
          <w:w w:val="80"/>
        </w:rPr>
        <w:t xml:space="preserve">、 </w:t>
      </w:r>
      <w:r>
        <w:rPr>
          <w:spacing w:val="8"/>
          <w:w w:val="105"/>
        </w:rPr>
        <w:t>压力管道有毒介质</w:t>
      </w:r>
      <w:r>
        <w:rPr>
          <w:spacing w:val="4"/>
          <w:w w:val="105"/>
        </w:rPr>
        <w:t>泄漏</w:t>
      </w:r>
      <w:r>
        <w:rPr>
          <w:rFonts w:hint="eastAsia" w:ascii="MS UI Gothic" w:eastAsia="MS UI Gothic"/>
          <w:spacing w:val="22"/>
          <w:w w:val="80"/>
        </w:rPr>
        <w:t xml:space="preserve">ꎬ </w:t>
      </w:r>
      <w:r>
        <w:rPr>
          <w:spacing w:val="-2"/>
          <w:w w:val="105"/>
        </w:rPr>
        <w:t xml:space="preserve">造成 </w:t>
      </w:r>
      <w:r>
        <w:rPr>
          <w:rFonts w:hint="eastAsia" w:ascii="MS UI Gothic" w:eastAsia="MS UI Gothic"/>
          <w:spacing w:val="12"/>
          <w:w w:val="80"/>
        </w:rPr>
        <w:t xml:space="preserve">１ </w:t>
      </w:r>
      <w:r>
        <w:rPr>
          <w:spacing w:val="11"/>
          <w:w w:val="105"/>
        </w:rPr>
        <w:t xml:space="preserve">万人以上 </w:t>
      </w:r>
      <w:r>
        <w:rPr>
          <w:rFonts w:hint="eastAsia" w:ascii="MS UI Gothic" w:eastAsia="MS UI Gothic"/>
          <w:spacing w:val="13"/>
          <w:w w:val="80"/>
        </w:rPr>
        <w:t xml:space="preserve">５ </w:t>
      </w:r>
      <w:r>
        <w:rPr>
          <w:spacing w:val="27"/>
          <w:w w:val="105"/>
        </w:rPr>
        <w:t>万人以下转</w:t>
      </w:r>
      <w:r>
        <w:rPr>
          <w:spacing w:val="3"/>
          <w:w w:val="105"/>
        </w:rPr>
        <w:t>移的</w:t>
      </w:r>
      <w:r>
        <w:rPr>
          <w:rFonts w:hint="eastAsia" w:ascii="MS UI Gothic" w:eastAsia="MS UI Gothic"/>
          <w:w w:val="80"/>
        </w:rPr>
        <w:t>ꎻ</w:t>
      </w:r>
    </w:p>
    <w:p>
      <w:pPr>
        <w:pStyle w:val="6"/>
        <w:spacing w:line="254" w:lineRule="exact"/>
        <w:ind w:left="860" w:firstLine="0"/>
        <w:rPr>
          <w:rFonts w:hint="eastAsia" w:ascii="MS UI Gothic" w:eastAsia="MS UI Gothic"/>
        </w:rPr>
      </w:pPr>
      <w:r>
        <w:rPr>
          <w:rFonts w:hint="eastAsia" w:ascii="MS UI Gothic" w:eastAsia="MS UI Gothic"/>
          <w:w w:val="150"/>
        </w:rPr>
        <w:t xml:space="preserve">( </w:t>
      </w:r>
      <w:r>
        <w:rPr>
          <w:w w:val="110"/>
        </w:rPr>
        <w:t>四</w:t>
      </w:r>
      <w:r>
        <w:rPr>
          <w:rFonts w:hint="eastAsia" w:ascii="MS UI Gothic" w:eastAsia="MS UI Gothic"/>
          <w:w w:val="150"/>
        </w:rPr>
        <w:t xml:space="preserve">) </w:t>
      </w:r>
      <w:r>
        <w:rPr>
          <w:w w:val="110"/>
        </w:rPr>
        <w:t>起重机械整体倾覆的</w:t>
      </w:r>
      <w:r>
        <w:rPr>
          <w:rFonts w:hint="eastAsia" w:ascii="MS UI Gothic" w:eastAsia="MS UI Gothic"/>
          <w:w w:val="80"/>
        </w:rPr>
        <w:t>ꎻ</w:t>
      </w:r>
    </w:p>
    <w:p>
      <w:pPr>
        <w:pStyle w:val="6"/>
        <w:spacing w:before="55" w:line="295" w:lineRule="auto"/>
        <w:ind w:left="440"/>
        <w:rPr>
          <w:rFonts w:hint="eastAsia" w:ascii="MS UI Gothic" w:eastAsia="MS UI Gothic"/>
        </w:rPr>
      </w:pPr>
      <w:r>
        <w:rPr>
          <w:rFonts w:hint="eastAsia" w:ascii="MS UI Gothic" w:eastAsia="MS UI Gothic"/>
          <w:w w:val="145"/>
        </w:rPr>
        <w:t xml:space="preserve">( </w:t>
      </w:r>
      <w:r>
        <w:rPr>
          <w:w w:val="105"/>
        </w:rPr>
        <w:t>五</w:t>
      </w:r>
      <w:r>
        <w:rPr>
          <w:rFonts w:hint="eastAsia" w:ascii="MS UI Gothic" w:eastAsia="MS UI Gothic"/>
          <w:w w:val="145"/>
        </w:rPr>
        <w:t xml:space="preserve">) </w:t>
      </w:r>
      <w:r>
        <w:rPr>
          <w:w w:val="105"/>
        </w:rPr>
        <w:t>客运索道</w:t>
      </w:r>
      <w:r>
        <w:rPr>
          <w:rFonts w:hint="eastAsia" w:ascii="MS UI Gothic" w:eastAsia="MS UI Gothic"/>
          <w:w w:val="85"/>
        </w:rPr>
        <w:t xml:space="preserve">、 </w:t>
      </w:r>
      <w:r>
        <w:rPr>
          <w:w w:val="105"/>
        </w:rPr>
        <w:t xml:space="preserve">大型游乐设施高空滞留人员 </w:t>
      </w:r>
      <w:r>
        <w:rPr>
          <w:rFonts w:hint="eastAsia" w:ascii="MS UI Gothic" w:eastAsia="MS UI Gothic"/>
          <w:w w:val="85"/>
        </w:rPr>
        <w:t xml:space="preserve">１２ </w:t>
      </w:r>
      <w:r>
        <w:rPr>
          <w:w w:val="105"/>
        </w:rPr>
        <w:t>小时以上的</w:t>
      </w:r>
      <w:r>
        <w:rPr>
          <w:rFonts w:hint="eastAsia" w:ascii="MS UI Gothic" w:eastAsia="MS UI Gothic"/>
          <w:w w:val="85"/>
        </w:rPr>
        <w:t>ꎮ</w:t>
      </w:r>
    </w:p>
    <w:p>
      <w:pPr>
        <w:pStyle w:val="6"/>
        <w:spacing w:line="295" w:lineRule="auto"/>
        <w:ind w:left="440"/>
        <w:rPr>
          <w:rFonts w:hint="eastAsia" w:ascii="MS UI Gothic" w:eastAsia="MS UI Gothic"/>
        </w:rPr>
      </w:pPr>
      <w:r>
        <w:rPr>
          <w:w w:val="105"/>
        </w:rPr>
        <w:t>第六十四条 有下列情形之一的</w:t>
      </w:r>
      <w:r>
        <w:rPr>
          <w:rFonts w:hint="eastAsia" w:ascii="MS UI Gothic" w:eastAsia="MS UI Gothic"/>
          <w:w w:val="80"/>
        </w:rPr>
        <w:t xml:space="preserve">ꎬ </w:t>
      </w:r>
      <w:r>
        <w:rPr>
          <w:w w:val="105"/>
        </w:rPr>
        <w:t>为</w:t>
      </w:r>
      <w:r>
        <w:rPr>
          <w:w w:val="110"/>
        </w:rPr>
        <w:t>一般事故</w:t>
      </w:r>
      <w:r>
        <w:rPr>
          <w:rFonts w:hint="eastAsia" w:ascii="MS UI Gothic" w:eastAsia="MS UI Gothic"/>
          <w:w w:val="235"/>
        </w:rPr>
        <w:t>:</w:t>
      </w:r>
    </w:p>
    <w:p>
      <w:pPr>
        <w:pStyle w:val="6"/>
        <w:spacing w:before="74"/>
        <w:ind w:left="383" w:firstLine="0"/>
        <w:jc w:val="left"/>
        <w:rPr>
          <w:rFonts w:hint="eastAsia" w:ascii="MS UI Gothic" w:eastAsia="MS UI Gothic"/>
        </w:rPr>
      </w:pPr>
      <w:r>
        <w:br w:type="column"/>
      </w:r>
      <w:r>
        <w:t xml:space="preserve">小时以上 </w:t>
      </w:r>
      <w:r>
        <w:rPr>
          <w:rFonts w:hint="eastAsia" w:ascii="MS UI Gothic" w:eastAsia="MS UI Gothic"/>
          <w:w w:val="85"/>
        </w:rPr>
        <w:t xml:space="preserve">１２ </w:t>
      </w:r>
      <w:r>
        <w:t>小时以下的</w:t>
      </w:r>
      <w:r>
        <w:rPr>
          <w:rFonts w:hint="eastAsia" w:ascii="MS UI Gothic" w:eastAsia="MS UI Gothic"/>
          <w:w w:val="85"/>
        </w:rPr>
        <w:t>ꎮ</w:t>
      </w:r>
    </w:p>
    <w:p>
      <w:pPr>
        <w:pStyle w:val="6"/>
        <w:spacing w:before="59" w:line="295" w:lineRule="auto"/>
        <w:ind w:left="383" w:right="126"/>
        <w:rPr>
          <w:rFonts w:hint="eastAsia" w:ascii="MS UI Gothic" w:eastAsia="MS UI Gothic"/>
        </w:rPr>
      </w:pPr>
      <w:r>
        <w:t>除前款规定外</w:t>
      </w:r>
      <w:r>
        <w:rPr>
          <w:rFonts w:hint="eastAsia" w:ascii="MS UI Gothic" w:eastAsia="MS UI Gothic"/>
          <w:w w:val="80"/>
        </w:rPr>
        <w:t xml:space="preserve">ꎬ </w:t>
      </w:r>
      <w:r>
        <w:t>国务院特种设备安全监督管理部门可以对一般事故的其他情形</w:t>
      </w:r>
      <w:r>
        <w:rPr>
          <w:w w:val="105"/>
        </w:rPr>
        <w:t>做出补充规定</w:t>
      </w:r>
      <w:r>
        <w:rPr>
          <w:rFonts w:hint="eastAsia" w:ascii="MS UI Gothic" w:eastAsia="MS UI Gothic"/>
          <w:w w:val="80"/>
        </w:rPr>
        <w:t>ꎮ</w:t>
      </w:r>
    </w:p>
    <w:p>
      <w:pPr>
        <w:pStyle w:val="6"/>
        <w:spacing w:line="295" w:lineRule="auto"/>
        <w:ind w:left="383" w:right="124"/>
        <w:rPr>
          <w:rFonts w:hint="eastAsia" w:ascii="MS UI Gothic" w:eastAsia="MS UI Gothic"/>
        </w:rPr>
      </w:pPr>
      <w:r>
        <w:rPr>
          <w:w w:val="105"/>
        </w:rPr>
        <w:t>第六十五条 特种设备安全监督管理</w:t>
      </w:r>
      <w:r>
        <w:t>部门应当制定特种设备应急预案</w:t>
      </w:r>
      <w:r>
        <w:rPr>
          <w:rFonts w:hint="eastAsia" w:ascii="MS UI Gothic" w:eastAsia="MS UI Gothic"/>
          <w:w w:val="80"/>
        </w:rPr>
        <w:t xml:space="preserve">ꎮ </w:t>
      </w:r>
      <w:r>
        <w:t>特种设备使用单位应当制定事故应急专项预案</w:t>
      </w:r>
      <w:r>
        <w:rPr>
          <w:rFonts w:hint="eastAsia" w:ascii="MS UI Gothic" w:eastAsia="MS UI Gothic"/>
          <w:w w:val="80"/>
        </w:rPr>
        <w:t>ꎬ</w:t>
      </w:r>
      <w:r>
        <w:rPr>
          <w:w w:val="105"/>
        </w:rPr>
        <w:t>并定期进行事故应急演练</w:t>
      </w:r>
      <w:r>
        <w:rPr>
          <w:rFonts w:hint="eastAsia" w:ascii="MS UI Gothic" w:eastAsia="MS UI Gothic"/>
          <w:w w:val="80"/>
        </w:rPr>
        <w:t>ꎮ</w:t>
      </w:r>
    </w:p>
    <w:p>
      <w:pPr>
        <w:pStyle w:val="6"/>
        <w:spacing w:line="295" w:lineRule="auto"/>
        <w:ind w:left="383" w:right="126"/>
        <w:rPr>
          <w:rFonts w:hint="eastAsia" w:ascii="MS UI Gothic" w:eastAsia="MS UI Gothic"/>
        </w:rPr>
      </w:pPr>
      <w:r>
        <w:t>压力容器</w:t>
      </w:r>
      <w:r>
        <w:rPr>
          <w:rFonts w:hint="eastAsia" w:ascii="MS UI Gothic" w:eastAsia="MS UI Gothic"/>
          <w:w w:val="80"/>
        </w:rPr>
        <w:t xml:space="preserve">、 </w:t>
      </w:r>
      <w:r>
        <w:t>压力管道发生爆炸或者泄漏</w:t>
      </w:r>
      <w:r>
        <w:rPr>
          <w:rFonts w:hint="eastAsia" w:ascii="MS UI Gothic" w:eastAsia="MS UI Gothic"/>
          <w:w w:val="80"/>
        </w:rPr>
        <w:t xml:space="preserve">ꎬ </w:t>
      </w:r>
      <w:r>
        <w:t>在抢险救援时应当区分介质特性</w:t>
      </w:r>
      <w:r>
        <w:rPr>
          <w:rFonts w:hint="eastAsia" w:ascii="MS UI Gothic" w:eastAsia="MS UI Gothic"/>
          <w:w w:val="80"/>
        </w:rPr>
        <w:t xml:space="preserve">ꎬ </w:t>
      </w:r>
      <w:r>
        <w:t>严格按照相关预案规定程序处理</w:t>
      </w:r>
      <w:r>
        <w:rPr>
          <w:rFonts w:hint="eastAsia" w:ascii="MS UI Gothic" w:eastAsia="MS UI Gothic"/>
          <w:w w:val="80"/>
        </w:rPr>
        <w:t xml:space="preserve">ꎬ </w:t>
      </w:r>
      <w:r>
        <w:t>防止二次爆炸</w:t>
      </w:r>
      <w:r>
        <w:rPr>
          <w:rFonts w:hint="eastAsia" w:ascii="MS UI Gothic" w:eastAsia="MS UI Gothic"/>
          <w:w w:val="80"/>
        </w:rPr>
        <w:t>ꎮ</w:t>
      </w:r>
    </w:p>
    <w:p>
      <w:pPr>
        <w:pStyle w:val="6"/>
        <w:spacing w:line="295" w:lineRule="auto"/>
        <w:ind w:left="383" w:right="124"/>
        <w:rPr>
          <w:rFonts w:hint="eastAsia" w:ascii="MS UI Gothic" w:eastAsia="MS UI Gothic"/>
        </w:rPr>
      </w:pPr>
      <w:r>
        <w:t>第六十六条 特种设备事故发生后</w:t>
      </w:r>
      <w:r>
        <w:rPr>
          <w:rFonts w:hint="eastAsia" w:ascii="MS UI Gothic" w:eastAsia="MS UI Gothic"/>
          <w:w w:val="80"/>
        </w:rPr>
        <w:t>ꎬ</w:t>
      </w:r>
      <w:r>
        <w:t>事故发生单位应当立即启动事故应急预案</w:t>
      </w:r>
      <w:r>
        <w:rPr>
          <w:rFonts w:hint="eastAsia" w:ascii="MS UI Gothic" w:eastAsia="MS UI Gothic"/>
          <w:w w:val="80"/>
        </w:rPr>
        <w:t xml:space="preserve">ꎬ </w:t>
      </w:r>
      <w:r>
        <w:t>组织抢救</w:t>
      </w:r>
      <w:r>
        <w:rPr>
          <w:rFonts w:hint="eastAsia" w:ascii="MS UI Gothic" w:eastAsia="MS UI Gothic"/>
          <w:w w:val="80"/>
        </w:rPr>
        <w:t xml:space="preserve">ꎬ </w:t>
      </w:r>
      <w:r>
        <w:t>防止事故扩大</w:t>
      </w:r>
      <w:r>
        <w:rPr>
          <w:rFonts w:hint="eastAsia" w:ascii="MS UI Gothic" w:eastAsia="MS UI Gothic"/>
          <w:w w:val="80"/>
        </w:rPr>
        <w:t xml:space="preserve">ꎬ </w:t>
      </w:r>
      <w:r>
        <w:t>减少人员伤亡和财产损失</w:t>
      </w:r>
      <w:r>
        <w:rPr>
          <w:rFonts w:hint="eastAsia" w:ascii="MS UI Gothic" w:eastAsia="MS UI Gothic"/>
          <w:w w:val="80"/>
        </w:rPr>
        <w:t xml:space="preserve">ꎬ </w:t>
      </w:r>
      <w:r>
        <w:t>并及时向事故发生地县以上特种设备安全监督管理部门和有关部门报告</w:t>
      </w:r>
      <w:r>
        <w:rPr>
          <w:rFonts w:hint="eastAsia" w:ascii="MS UI Gothic" w:eastAsia="MS UI Gothic"/>
          <w:w w:val="80"/>
        </w:rPr>
        <w:t>ꎮ</w:t>
      </w:r>
    </w:p>
    <w:p>
      <w:pPr>
        <w:pStyle w:val="6"/>
        <w:spacing w:line="295" w:lineRule="auto"/>
        <w:ind w:left="383" w:right="126"/>
        <w:rPr>
          <w:rFonts w:hint="eastAsia" w:ascii="MS UI Gothic" w:eastAsia="MS UI Gothic"/>
        </w:rPr>
      </w:pPr>
      <w:r>
        <w:t>县以上特种设备安全监督管理部门接到事故报告</w:t>
      </w:r>
      <w:r>
        <w:rPr>
          <w:rFonts w:hint="eastAsia" w:ascii="MS UI Gothic" w:eastAsia="MS UI Gothic"/>
          <w:w w:val="80"/>
        </w:rPr>
        <w:t xml:space="preserve">ꎬ </w:t>
      </w:r>
      <w:r>
        <w:t>应当尽快核实有关情况</w:t>
      </w:r>
      <w:r>
        <w:rPr>
          <w:rFonts w:hint="eastAsia" w:ascii="MS UI Gothic" w:eastAsia="MS UI Gothic"/>
          <w:w w:val="80"/>
        </w:rPr>
        <w:t xml:space="preserve">ꎬ </w:t>
      </w:r>
      <w:r>
        <w:t>立即向所在地人民政府报告</w:t>
      </w:r>
      <w:r>
        <w:rPr>
          <w:rFonts w:hint="eastAsia" w:ascii="MS UI Gothic" w:eastAsia="MS UI Gothic"/>
          <w:w w:val="80"/>
        </w:rPr>
        <w:t xml:space="preserve">ꎬ </w:t>
      </w:r>
      <w:r>
        <w:t>并逐级上报事故情况</w:t>
      </w:r>
      <w:r>
        <w:rPr>
          <w:rFonts w:hint="eastAsia" w:ascii="MS UI Gothic" w:eastAsia="MS UI Gothic"/>
          <w:w w:val="80"/>
        </w:rPr>
        <w:t xml:space="preserve">ꎮ </w:t>
      </w:r>
      <w:r>
        <w:t>必要时</w:t>
      </w:r>
      <w:r>
        <w:rPr>
          <w:rFonts w:hint="eastAsia" w:ascii="MS UI Gothic" w:eastAsia="MS UI Gothic"/>
          <w:w w:val="80"/>
        </w:rPr>
        <w:t xml:space="preserve">ꎬ </w:t>
      </w:r>
      <w:r>
        <w:t>特种设备安全监督管理部门可以越级上报事故情况</w:t>
      </w:r>
      <w:r>
        <w:rPr>
          <w:rFonts w:hint="eastAsia" w:ascii="MS UI Gothic" w:eastAsia="MS UI Gothic"/>
          <w:w w:val="80"/>
        </w:rPr>
        <w:t xml:space="preserve">ꎮ </w:t>
      </w:r>
      <w:r>
        <w:t>对特别重大事故</w:t>
      </w:r>
      <w:r>
        <w:rPr>
          <w:rFonts w:hint="eastAsia" w:ascii="MS UI Gothic" w:eastAsia="MS UI Gothic"/>
          <w:w w:val="80"/>
        </w:rPr>
        <w:t xml:space="preserve">、 </w:t>
      </w:r>
      <w:r>
        <w:t>重大事故</w:t>
      </w:r>
      <w:r>
        <w:rPr>
          <w:rFonts w:hint="eastAsia" w:ascii="MS UI Gothic" w:eastAsia="MS UI Gothic"/>
          <w:w w:val="80"/>
        </w:rPr>
        <w:t xml:space="preserve">ꎬ </w:t>
      </w:r>
      <w:r>
        <w:t>国务院特种设备安全监督管理部门应当立即报告国务院并通报国务院安全生产监督管理部门等有关部门</w:t>
      </w:r>
      <w:r>
        <w:rPr>
          <w:rFonts w:hint="eastAsia" w:ascii="MS UI Gothic" w:eastAsia="MS UI Gothic"/>
          <w:w w:val="80"/>
        </w:rPr>
        <w:t>ꎮ</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４７６</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428" o:spid="_x0000_s2428" o:spt="203" style="height:2.15pt;width:398.25pt;" coordsize="7965,43">
            <o:lock v:ext="edit"/>
            <v:line id="_x0000_s2429" o:spid="_x0000_s2429" o:spt="20" style="position:absolute;left:0;top:39;height:0;width:7965;" stroked="t" coordsize="21600,21600">
              <v:path arrowok="t"/>
              <v:fill focussize="0,0"/>
              <v:stroke weight="0.388031496062992pt" color="#231F20"/>
              <v:imagedata o:title=""/>
              <o:lock v:ext="edit"/>
            </v:line>
            <v:line id="_x0000_s2430" o:spid="_x0000_s2430"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right="39"/>
        <w:rPr>
          <w:rFonts w:hint="eastAsia" w:ascii="MS UI Gothic" w:eastAsia="MS UI Gothic"/>
        </w:rPr>
      </w:pPr>
      <w:r>
        <w:rPr>
          <w:w w:val="105"/>
        </w:rPr>
        <w:t>第六十七条 特别重大事故由国务院</w:t>
      </w:r>
      <w:r>
        <w:t>或者国务院授权有关部门组织事故调查组</w:t>
      </w:r>
      <w:r>
        <w:rPr>
          <w:w w:val="105"/>
        </w:rPr>
        <w:t>进行调查</w:t>
      </w:r>
      <w:r>
        <w:rPr>
          <w:rFonts w:hint="eastAsia" w:ascii="MS UI Gothic" w:eastAsia="MS UI Gothic"/>
          <w:w w:val="80"/>
        </w:rPr>
        <w:t>ꎮ</w:t>
      </w:r>
    </w:p>
    <w:p>
      <w:pPr>
        <w:pStyle w:val="6"/>
        <w:spacing w:line="295" w:lineRule="auto"/>
        <w:ind w:right="39"/>
        <w:rPr>
          <w:rFonts w:hint="eastAsia" w:ascii="MS UI Gothic" w:eastAsia="MS UI Gothic"/>
        </w:rPr>
      </w:pPr>
      <w:r>
        <w:t>重大事故由国务院特种设备安全监督管理部门会同有关部门组织事故调查组进</w:t>
      </w:r>
      <w:r>
        <w:rPr>
          <w:w w:val="105"/>
        </w:rPr>
        <w:t>行调查</w:t>
      </w:r>
      <w:r>
        <w:rPr>
          <w:rFonts w:hint="eastAsia" w:ascii="MS UI Gothic" w:eastAsia="MS UI Gothic"/>
          <w:w w:val="80"/>
        </w:rPr>
        <w:t>ꎮ</w:t>
      </w:r>
    </w:p>
    <w:p>
      <w:pPr>
        <w:pStyle w:val="6"/>
        <w:spacing w:line="295" w:lineRule="auto"/>
        <w:ind w:right="39"/>
        <w:rPr>
          <w:rFonts w:hint="eastAsia" w:ascii="MS UI Gothic" w:eastAsia="MS UI Gothic"/>
        </w:rPr>
      </w:pPr>
      <w:r>
        <w:rPr>
          <w:w w:val="105"/>
        </w:rPr>
        <w:t>较大事故由省</w:t>
      </w:r>
      <w:r>
        <w:rPr>
          <w:rFonts w:hint="eastAsia" w:ascii="MS UI Gothic" w:eastAsia="MS UI Gothic"/>
          <w:w w:val="80"/>
        </w:rPr>
        <w:t xml:space="preserve">、 </w:t>
      </w:r>
      <w:r>
        <w:rPr>
          <w:w w:val="105"/>
        </w:rPr>
        <w:t>自治区</w:t>
      </w:r>
      <w:r>
        <w:rPr>
          <w:rFonts w:hint="eastAsia" w:ascii="MS UI Gothic" w:eastAsia="MS UI Gothic"/>
          <w:w w:val="80"/>
        </w:rPr>
        <w:t xml:space="preserve">、 </w:t>
      </w:r>
      <w:r>
        <w:rPr>
          <w:w w:val="105"/>
        </w:rPr>
        <w:t>直辖市特种</w:t>
      </w:r>
      <w:r>
        <w:t>设备安全监督管理部门会同有关部门组织</w:t>
      </w:r>
      <w:r>
        <w:rPr>
          <w:w w:val="105"/>
        </w:rPr>
        <w:t>事故调查组进行调查</w:t>
      </w:r>
      <w:r>
        <w:rPr>
          <w:rFonts w:hint="eastAsia" w:ascii="MS UI Gothic" w:eastAsia="MS UI Gothic"/>
          <w:w w:val="80"/>
        </w:rPr>
        <w:t>ꎮ</w:t>
      </w:r>
    </w:p>
    <w:p>
      <w:pPr>
        <w:pStyle w:val="6"/>
        <w:spacing w:line="295" w:lineRule="auto"/>
        <w:ind w:right="39"/>
        <w:rPr>
          <w:rFonts w:hint="eastAsia" w:ascii="MS UI Gothic" w:eastAsia="MS UI Gothic"/>
        </w:rPr>
      </w:pPr>
      <w:r>
        <w:t>一般事故由设区的市的特种设备安全监督管理部门会同有关部门组织事故调查</w:t>
      </w:r>
      <w:r>
        <w:rPr>
          <w:w w:val="105"/>
        </w:rPr>
        <w:t>组进行调查</w:t>
      </w:r>
      <w:r>
        <w:rPr>
          <w:rFonts w:hint="eastAsia" w:ascii="MS UI Gothic" w:eastAsia="MS UI Gothic"/>
          <w:w w:val="80"/>
        </w:rPr>
        <w:t>ꎮ</w:t>
      </w:r>
    </w:p>
    <w:p>
      <w:pPr>
        <w:pStyle w:val="6"/>
        <w:spacing w:line="295" w:lineRule="auto"/>
        <w:ind w:right="39"/>
        <w:rPr>
          <w:rFonts w:hint="eastAsia" w:ascii="MS UI Gothic" w:eastAsia="MS UI Gothic"/>
        </w:rPr>
      </w:pPr>
      <w:r>
        <w:rPr>
          <w:spacing w:val="2"/>
          <w:w w:val="105"/>
        </w:rPr>
        <w:t>第六十八条 事故调查报告应当由负</w:t>
      </w:r>
      <w:r>
        <w:rPr>
          <w:spacing w:val="2"/>
        </w:rPr>
        <w:t>责组织事故调查的特种设备安全监督管理</w:t>
      </w:r>
      <w:r>
        <w:rPr>
          <w:spacing w:val="3"/>
        </w:rPr>
        <w:t>部门的所在地人民政府批复</w:t>
      </w:r>
      <w:r>
        <w:rPr>
          <w:rFonts w:hint="eastAsia" w:ascii="MS UI Gothic" w:eastAsia="MS UI Gothic"/>
          <w:spacing w:val="21"/>
          <w:w w:val="80"/>
        </w:rPr>
        <w:t xml:space="preserve">ꎬ </w:t>
      </w:r>
      <w:r>
        <w:rPr>
          <w:spacing w:val="2"/>
        </w:rPr>
        <w:t>并报上一级</w:t>
      </w:r>
      <w:r>
        <w:rPr>
          <w:spacing w:val="3"/>
          <w:w w:val="105"/>
        </w:rPr>
        <w:t>特种设备安全监督管理部门备案</w:t>
      </w:r>
      <w:r>
        <w:rPr>
          <w:rFonts w:hint="eastAsia" w:ascii="MS UI Gothic" w:eastAsia="MS UI Gothic"/>
          <w:w w:val="80"/>
        </w:rPr>
        <w:t>ꎮ</w:t>
      </w:r>
    </w:p>
    <w:p>
      <w:pPr>
        <w:pStyle w:val="6"/>
        <w:spacing w:line="295" w:lineRule="auto"/>
        <w:ind w:right="38"/>
        <w:rPr>
          <w:rFonts w:hint="eastAsia" w:ascii="MS UI Gothic" w:eastAsia="MS UI Gothic"/>
        </w:rPr>
      </w:pPr>
      <w:r>
        <w:rPr>
          <w:spacing w:val="7"/>
        </w:rPr>
        <w:t>有关机关应当按照批复</w:t>
      </w:r>
      <w:r>
        <w:rPr>
          <w:rFonts w:hint="eastAsia" w:ascii="MS UI Gothic" w:eastAsia="MS UI Gothic"/>
          <w:spacing w:val="15"/>
          <w:w w:val="80"/>
        </w:rPr>
        <w:t xml:space="preserve">ꎬ </w:t>
      </w:r>
      <w:r>
        <w:rPr>
          <w:spacing w:val="11"/>
        </w:rPr>
        <w:t>依照法律</w:t>
      </w:r>
      <w:r>
        <w:rPr>
          <w:rFonts w:hint="eastAsia" w:ascii="MS UI Gothic" w:eastAsia="MS UI Gothic"/>
          <w:w w:val="80"/>
        </w:rPr>
        <w:t>、</w:t>
      </w:r>
      <w:r>
        <w:rPr>
          <w:spacing w:val="3"/>
        </w:rPr>
        <w:t>行政法规规定的权限和程序</w:t>
      </w:r>
      <w:r>
        <w:rPr>
          <w:rFonts w:hint="eastAsia" w:ascii="MS UI Gothic" w:eastAsia="MS UI Gothic"/>
          <w:spacing w:val="21"/>
          <w:w w:val="80"/>
        </w:rPr>
        <w:t xml:space="preserve">ꎬ </w:t>
      </w:r>
      <w:r>
        <w:rPr>
          <w:spacing w:val="2"/>
        </w:rPr>
        <w:t>对事故责任</w:t>
      </w:r>
      <w:r>
        <w:rPr>
          <w:spacing w:val="3"/>
        </w:rPr>
        <w:t>单位和有关人员进行行政处罚</w:t>
      </w:r>
      <w:r>
        <w:rPr>
          <w:rFonts w:hint="eastAsia" w:ascii="MS UI Gothic" w:eastAsia="MS UI Gothic"/>
          <w:spacing w:val="21"/>
          <w:w w:val="80"/>
        </w:rPr>
        <w:t xml:space="preserve">ꎬ </w:t>
      </w:r>
      <w:r>
        <w:rPr>
          <w:spacing w:val="2"/>
        </w:rPr>
        <w:t>对负有事</w:t>
      </w:r>
      <w:r>
        <w:rPr>
          <w:spacing w:val="3"/>
        </w:rPr>
        <w:t>故责任的国家工作人员进行处分</w:t>
      </w:r>
      <w:r>
        <w:rPr>
          <w:rFonts w:hint="eastAsia" w:ascii="MS UI Gothic" w:eastAsia="MS UI Gothic"/>
          <w:w w:val="80"/>
        </w:rPr>
        <w:t>ꎮ</w:t>
      </w:r>
    </w:p>
    <w:p>
      <w:pPr>
        <w:pStyle w:val="6"/>
        <w:spacing w:line="295" w:lineRule="auto"/>
        <w:ind w:right="38"/>
        <w:rPr>
          <w:rFonts w:hint="eastAsia" w:ascii="MS UI Gothic" w:eastAsia="MS UI Gothic"/>
        </w:rPr>
      </w:pPr>
      <w:r>
        <w:rPr>
          <w:w w:val="105"/>
        </w:rPr>
        <w:t>第六十九条 特种设备安全监督管理</w:t>
      </w:r>
      <w:r>
        <w:t>部门应当在有关地方人民政府的领导下</w:t>
      </w:r>
      <w:r>
        <w:rPr>
          <w:rFonts w:hint="eastAsia" w:ascii="MS UI Gothic" w:eastAsia="MS UI Gothic"/>
          <w:w w:val="80"/>
        </w:rPr>
        <w:t>ꎬ</w:t>
      </w:r>
      <w:r>
        <w:rPr>
          <w:w w:val="105"/>
        </w:rPr>
        <w:t>组织开展特种设备事故调查处理工作</w:t>
      </w:r>
      <w:r>
        <w:rPr>
          <w:rFonts w:hint="eastAsia" w:ascii="MS UI Gothic" w:eastAsia="MS UI Gothic"/>
          <w:w w:val="80"/>
        </w:rPr>
        <w:t>ꎮ</w:t>
      </w:r>
    </w:p>
    <w:p>
      <w:pPr>
        <w:pStyle w:val="6"/>
        <w:spacing w:line="295" w:lineRule="auto"/>
        <w:ind w:right="39"/>
        <w:rPr>
          <w:rFonts w:hint="eastAsia" w:ascii="MS UI Gothic" w:eastAsia="MS UI Gothic"/>
        </w:rPr>
      </w:pPr>
      <w:r>
        <w:rPr>
          <w:w w:val="105"/>
        </w:rPr>
        <w:t>有关地方人民政府应当支持</w:t>
      </w:r>
      <w:r>
        <w:rPr>
          <w:rFonts w:hint="eastAsia" w:ascii="MS UI Gothic" w:eastAsia="MS UI Gothic"/>
          <w:w w:val="80"/>
        </w:rPr>
        <w:t xml:space="preserve">、 </w:t>
      </w:r>
      <w:r>
        <w:rPr>
          <w:w w:val="105"/>
        </w:rPr>
        <w:t>配合上</w:t>
      </w:r>
      <w:r>
        <w:t>级人民政府或者特种设备安全监督管理部门的事故调查处理工作</w:t>
      </w:r>
      <w:r>
        <w:rPr>
          <w:rFonts w:hint="eastAsia" w:ascii="MS UI Gothic" w:eastAsia="MS UI Gothic"/>
          <w:w w:val="80"/>
        </w:rPr>
        <w:t xml:space="preserve">ꎬ </w:t>
      </w:r>
      <w:r>
        <w:t>并提供必要的便</w:t>
      </w:r>
      <w:r>
        <w:rPr>
          <w:w w:val="105"/>
        </w:rPr>
        <w:t>利条件</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第七十条 特种设备安全监督管理部</w:t>
      </w:r>
      <w:r>
        <w:t>门应当对发生事故的原因进行分析</w:t>
      </w:r>
      <w:r>
        <w:rPr>
          <w:rFonts w:hint="eastAsia" w:ascii="MS UI Gothic" w:eastAsia="MS UI Gothic"/>
          <w:w w:val="80"/>
        </w:rPr>
        <w:t xml:space="preserve">ꎬ </w:t>
      </w:r>
      <w:r>
        <w:t>并根</w:t>
      </w:r>
      <w:r>
        <w:rPr>
          <w:w w:val="105"/>
        </w:rPr>
        <w:t>据特种设备的管理和技术特点</w:t>
      </w:r>
      <w:r>
        <w:rPr>
          <w:rFonts w:hint="eastAsia" w:ascii="MS UI Gothic" w:eastAsia="MS UI Gothic"/>
          <w:w w:val="80"/>
        </w:rPr>
        <w:t xml:space="preserve">、 </w:t>
      </w:r>
      <w:r>
        <w:rPr>
          <w:w w:val="105"/>
        </w:rPr>
        <w:t>事故情况</w:t>
      </w:r>
      <w:r>
        <w:t>对相关安全技术规范进行评估</w:t>
      </w:r>
      <w:r>
        <w:rPr>
          <w:rFonts w:hint="eastAsia" w:ascii="MS UI Gothic" w:eastAsia="MS UI Gothic"/>
          <w:w w:val="80"/>
        </w:rPr>
        <w:t xml:space="preserve">ꎻ </w:t>
      </w:r>
      <w:r>
        <w:t>需要制定或者修订相关安全技术规范的</w:t>
      </w:r>
      <w:r>
        <w:rPr>
          <w:rFonts w:hint="eastAsia" w:ascii="MS UI Gothic" w:eastAsia="MS UI Gothic"/>
          <w:w w:val="80"/>
        </w:rPr>
        <w:t xml:space="preserve">ꎬ </w:t>
      </w:r>
      <w:r>
        <w:t>应当及时</w:t>
      </w:r>
      <w:r>
        <w:rPr>
          <w:w w:val="105"/>
        </w:rPr>
        <w:t>制定或者修订</w:t>
      </w:r>
      <w:r>
        <w:rPr>
          <w:rFonts w:hint="eastAsia" w:ascii="MS UI Gothic" w:eastAsia="MS UI Gothic"/>
          <w:w w:val="80"/>
        </w:rPr>
        <w:t>ꎮ</w:t>
      </w:r>
    </w:p>
    <w:p>
      <w:pPr>
        <w:pStyle w:val="6"/>
        <w:spacing w:line="295" w:lineRule="auto"/>
        <w:ind w:right="57"/>
        <w:rPr>
          <w:rFonts w:hint="eastAsia" w:ascii="MS UI Gothic" w:hAnsi="MS UI Gothic" w:eastAsia="MS UI Gothic"/>
        </w:rPr>
      </w:pPr>
      <w:r>
        <w:t xml:space="preserve">第七十一条 本章所称的 </w:t>
      </w:r>
      <w:r>
        <w:rPr>
          <w:rFonts w:hint="eastAsia" w:ascii="MS UI Gothic" w:hAnsi="MS UI Gothic" w:eastAsia="MS UI Gothic"/>
        </w:rPr>
        <w:t xml:space="preserve">“ </w:t>
      </w:r>
      <w:r>
        <w:t>以上</w:t>
      </w:r>
      <w:r>
        <w:rPr>
          <w:rFonts w:hint="eastAsia" w:ascii="MS UI Gothic" w:hAnsi="MS UI Gothic" w:eastAsia="MS UI Gothic"/>
        </w:rPr>
        <w:t xml:space="preserve">” </w:t>
      </w:r>
      <w:r>
        <w:t>包括本数</w:t>
      </w:r>
      <w:r>
        <w:rPr>
          <w:rFonts w:hint="eastAsia" w:ascii="MS UI Gothic" w:hAnsi="MS UI Gothic" w:eastAsia="MS UI Gothic"/>
          <w:w w:val="80"/>
        </w:rPr>
        <w:t xml:space="preserve">ꎬ </w:t>
      </w:r>
      <w:r>
        <w:t xml:space="preserve">所称的 </w:t>
      </w:r>
      <w:r>
        <w:rPr>
          <w:rFonts w:hint="eastAsia" w:ascii="MS UI Gothic" w:hAnsi="MS UI Gothic" w:eastAsia="MS UI Gothic"/>
        </w:rPr>
        <w:t xml:space="preserve">“ </w:t>
      </w:r>
      <w:r>
        <w:t>以下</w:t>
      </w:r>
      <w:r>
        <w:rPr>
          <w:rFonts w:hint="eastAsia" w:ascii="MS UI Gothic" w:hAnsi="MS UI Gothic" w:eastAsia="MS UI Gothic"/>
        </w:rPr>
        <w:t xml:space="preserve">” </w:t>
      </w:r>
      <w:r>
        <w:t>不包括本数</w:t>
      </w:r>
      <w:r>
        <w:rPr>
          <w:rFonts w:hint="eastAsia" w:ascii="MS UI Gothic" w:hAnsi="MS UI Gothic" w:eastAsia="MS UI Gothic"/>
          <w:w w:val="80"/>
        </w:rPr>
        <w:t>ꎮ</w:t>
      </w:r>
    </w:p>
    <w:p>
      <w:pPr>
        <w:pStyle w:val="6"/>
        <w:tabs>
          <w:tab w:val="left" w:pos="1906"/>
        </w:tabs>
        <w:spacing w:before="129"/>
        <w:ind w:left="1067" w:firstLine="0"/>
        <w:jc w:val="left"/>
      </w:pPr>
      <w:r>
        <w:rPr>
          <w:spacing w:val="3"/>
          <w:w w:val="105"/>
        </w:rPr>
        <w:t>第七</w:t>
      </w:r>
      <w:r>
        <w:rPr>
          <w:w w:val="105"/>
        </w:rPr>
        <w:t>章</w:t>
      </w:r>
      <w:r>
        <w:rPr>
          <w:w w:val="105"/>
        </w:rPr>
        <w:tab/>
      </w:r>
      <w:r>
        <w:rPr>
          <w:w w:val="105"/>
        </w:rPr>
        <w:t>法</w:t>
      </w:r>
      <w:r>
        <w:rPr>
          <w:spacing w:val="-34"/>
          <w:w w:val="105"/>
        </w:rPr>
        <w:t xml:space="preserve"> </w:t>
      </w:r>
      <w:r>
        <w:rPr>
          <w:w w:val="105"/>
        </w:rPr>
        <w:t>律</w:t>
      </w:r>
      <w:r>
        <w:rPr>
          <w:spacing w:val="-33"/>
          <w:w w:val="105"/>
        </w:rPr>
        <w:t xml:space="preserve"> </w:t>
      </w:r>
      <w:r>
        <w:rPr>
          <w:w w:val="105"/>
        </w:rPr>
        <w:t>责</w:t>
      </w:r>
      <w:r>
        <w:rPr>
          <w:spacing w:val="-33"/>
          <w:w w:val="105"/>
        </w:rPr>
        <w:t xml:space="preserve"> </w:t>
      </w:r>
      <w:r>
        <w:rPr>
          <w:w w:val="105"/>
        </w:rPr>
        <w:t>任</w:t>
      </w:r>
    </w:p>
    <w:p>
      <w:pPr>
        <w:pStyle w:val="6"/>
        <w:spacing w:before="11"/>
        <w:ind w:left="0" w:firstLine="0"/>
        <w:jc w:val="left"/>
        <w:rPr>
          <w:sz w:val="16"/>
        </w:rPr>
      </w:pPr>
    </w:p>
    <w:p>
      <w:pPr>
        <w:pStyle w:val="6"/>
        <w:spacing w:line="295" w:lineRule="auto"/>
        <w:ind w:right="39"/>
      </w:pPr>
      <w:r>
        <w:t>第七十二条 未经许可</w:t>
      </w:r>
      <w:r>
        <w:rPr>
          <w:rFonts w:hint="eastAsia" w:ascii="MS UI Gothic" w:eastAsia="MS UI Gothic"/>
          <w:w w:val="80"/>
        </w:rPr>
        <w:t xml:space="preserve">ꎬ </w:t>
      </w:r>
      <w:r>
        <w:t>擅自从事压力容器设计活动的</w:t>
      </w:r>
      <w:r>
        <w:rPr>
          <w:rFonts w:hint="eastAsia" w:ascii="MS UI Gothic" w:eastAsia="MS UI Gothic"/>
          <w:w w:val="80"/>
        </w:rPr>
        <w:t xml:space="preserve">ꎬ </w:t>
      </w:r>
      <w:r>
        <w:t>由特种设备安全监督</w:t>
      </w:r>
    </w:p>
    <w:p>
      <w:pPr>
        <w:pStyle w:val="6"/>
        <w:spacing w:before="123" w:line="295" w:lineRule="auto"/>
        <w:ind w:left="130" w:right="442" w:firstLine="0"/>
        <w:rPr>
          <w:rFonts w:hint="eastAsia" w:ascii="MS UI Gothic" w:eastAsia="MS UI Gothic"/>
        </w:rPr>
      </w:pPr>
      <w:r>
        <w:br w:type="column"/>
      </w:r>
      <w:r>
        <w:t>管理部门予以取缔</w:t>
      </w:r>
      <w:r>
        <w:rPr>
          <w:rFonts w:hint="eastAsia" w:ascii="MS UI Gothic" w:eastAsia="MS UI Gothic"/>
          <w:w w:val="85"/>
        </w:rPr>
        <w:t xml:space="preserve">ꎬ </w:t>
      </w:r>
      <w:r>
        <w:t xml:space="preserve">处 </w:t>
      </w:r>
      <w:r>
        <w:rPr>
          <w:rFonts w:hint="eastAsia" w:ascii="MS UI Gothic" w:eastAsia="MS UI Gothic"/>
          <w:w w:val="85"/>
        </w:rPr>
        <w:t xml:space="preserve">５ </w:t>
      </w:r>
      <w:r>
        <w:t xml:space="preserve">万元以上 </w:t>
      </w:r>
      <w:r>
        <w:rPr>
          <w:rFonts w:hint="eastAsia" w:ascii="MS UI Gothic" w:eastAsia="MS UI Gothic"/>
          <w:w w:val="85"/>
        </w:rPr>
        <w:t xml:space="preserve">２０ </w:t>
      </w:r>
      <w:r>
        <w:t>万元以下罚款</w:t>
      </w:r>
      <w:r>
        <w:rPr>
          <w:rFonts w:hint="eastAsia" w:ascii="MS UI Gothic" w:eastAsia="MS UI Gothic"/>
          <w:w w:val="85"/>
        </w:rPr>
        <w:t xml:space="preserve">ꎻ </w:t>
      </w:r>
      <w:r>
        <w:t>有违法所得的</w:t>
      </w:r>
      <w:r>
        <w:rPr>
          <w:rFonts w:hint="eastAsia" w:ascii="MS UI Gothic" w:eastAsia="MS UI Gothic"/>
          <w:w w:val="85"/>
        </w:rPr>
        <w:t xml:space="preserve">ꎬ </w:t>
      </w:r>
      <w:r>
        <w:t>没收违法所得</w:t>
      </w:r>
      <w:r>
        <w:rPr>
          <w:rFonts w:hint="eastAsia" w:ascii="MS UI Gothic" w:eastAsia="MS UI Gothic"/>
          <w:w w:val="85"/>
        </w:rPr>
        <w:t xml:space="preserve">ꎻ </w:t>
      </w:r>
      <w:r>
        <w:t>触犯刑律的</w:t>
      </w:r>
      <w:r>
        <w:rPr>
          <w:rFonts w:hint="eastAsia" w:ascii="MS UI Gothic" w:eastAsia="MS UI Gothic"/>
          <w:w w:val="85"/>
        </w:rPr>
        <w:t xml:space="preserve">ꎬ </w:t>
      </w:r>
      <w:r>
        <w:t>对负有责任的主管人员和其他直接责任人员依照刑法关于非法经营罪或者其他罪的规定</w:t>
      </w:r>
      <w:r>
        <w:rPr>
          <w:rFonts w:hint="eastAsia" w:ascii="MS UI Gothic" w:eastAsia="MS UI Gothic"/>
          <w:w w:val="85"/>
        </w:rPr>
        <w:t xml:space="preserve">ꎬ </w:t>
      </w:r>
      <w:r>
        <w:t>依法追究刑事责任</w:t>
      </w:r>
      <w:r>
        <w:rPr>
          <w:rFonts w:hint="eastAsia" w:ascii="MS UI Gothic" w:eastAsia="MS UI Gothic"/>
          <w:w w:val="85"/>
        </w:rPr>
        <w:t>ꎮ</w:t>
      </w:r>
    </w:p>
    <w:p>
      <w:pPr>
        <w:pStyle w:val="6"/>
        <w:spacing w:line="295" w:lineRule="auto"/>
        <w:ind w:left="130" w:right="440"/>
        <w:rPr>
          <w:rFonts w:hint="eastAsia" w:ascii="MS UI Gothic" w:eastAsia="MS UI Gothic"/>
        </w:rPr>
      </w:pPr>
      <w:r>
        <w:t>第七十三条 锅炉</w:t>
      </w:r>
      <w:r>
        <w:rPr>
          <w:rFonts w:hint="eastAsia" w:ascii="MS UI Gothic" w:eastAsia="MS UI Gothic"/>
          <w:w w:val="85"/>
        </w:rPr>
        <w:t xml:space="preserve">、 </w:t>
      </w:r>
      <w:r>
        <w:t>气瓶</w:t>
      </w:r>
      <w:r>
        <w:rPr>
          <w:rFonts w:hint="eastAsia" w:ascii="MS UI Gothic" w:eastAsia="MS UI Gothic"/>
          <w:w w:val="85"/>
        </w:rPr>
        <w:t xml:space="preserve">、  </w:t>
      </w:r>
      <w:r>
        <w:t>氧舱和客运索道</w:t>
      </w:r>
      <w:r>
        <w:rPr>
          <w:rFonts w:hint="eastAsia" w:ascii="MS UI Gothic" w:eastAsia="MS UI Gothic"/>
          <w:w w:val="85"/>
        </w:rPr>
        <w:t xml:space="preserve">、 </w:t>
      </w:r>
      <w:r>
        <w:t>大型游乐设施以及高耗能特种设备的设计文件</w:t>
      </w:r>
      <w:r>
        <w:rPr>
          <w:rFonts w:hint="eastAsia" w:ascii="MS UI Gothic" w:eastAsia="MS UI Gothic"/>
          <w:w w:val="85"/>
        </w:rPr>
        <w:t xml:space="preserve">ꎬ </w:t>
      </w:r>
      <w:r>
        <w:t>未经国务院特种设备安全监督管理部门核准的检验检测机构鉴定</w:t>
      </w:r>
      <w:r>
        <w:rPr>
          <w:rFonts w:hint="eastAsia" w:ascii="MS UI Gothic" w:eastAsia="MS UI Gothic"/>
          <w:w w:val="85"/>
        </w:rPr>
        <w:t>ꎬ</w:t>
      </w:r>
      <w:r>
        <w:t>擅自用于制造的</w:t>
      </w:r>
      <w:r>
        <w:rPr>
          <w:rFonts w:hint="eastAsia" w:ascii="MS UI Gothic" w:eastAsia="MS UI Gothic"/>
          <w:w w:val="85"/>
        </w:rPr>
        <w:t xml:space="preserve">ꎬ </w:t>
      </w:r>
      <w:r>
        <w:t>由特种设备安全监督管理部门责令改正</w:t>
      </w:r>
      <w:r>
        <w:rPr>
          <w:rFonts w:hint="eastAsia" w:ascii="MS UI Gothic" w:eastAsia="MS UI Gothic"/>
          <w:w w:val="85"/>
        </w:rPr>
        <w:t xml:space="preserve">ꎬ </w:t>
      </w:r>
      <w:r>
        <w:t>没收非法制造的产品</w:t>
      </w:r>
      <w:r>
        <w:rPr>
          <w:rFonts w:hint="eastAsia" w:ascii="MS UI Gothic" w:eastAsia="MS UI Gothic"/>
          <w:w w:val="85"/>
        </w:rPr>
        <w:t>ꎬ</w:t>
      </w:r>
      <w:r>
        <w:t xml:space="preserve">处 </w:t>
      </w:r>
      <w:r>
        <w:rPr>
          <w:rFonts w:hint="eastAsia" w:ascii="MS UI Gothic" w:eastAsia="MS UI Gothic"/>
          <w:w w:val="85"/>
        </w:rPr>
        <w:t xml:space="preserve">５ </w:t>
      </w:r>
      <w:r>
        <w:t xml:space="preserve">万元以上 </w:t>
      </w:r>
      <w:r>
        <w:rPr>
          <w:rFonts w:hint="eastAsia" w:ascii="MS UI Gothic" w:eastAsia="MS UI Gothic"/>
          <w:w w:val="85"/>
        </w:rPr>
        <w:t xml:space="preserve">２０ </w:t>
      </w:r>
      <w:r>
        <w:t>万元以下罚款</w:t>
      </w:r>
      <w:r>
        <w:rPr>
          <w:rFonts w:hint="eastAsia" w:ascii="MS UI Gothic" w:eastAsia="MS UI Gothic"/>
          <w:w w:val="85"/>
        </w:rPr>
        <w:t xml:space="preserve">ꎻ </w:t>
      </w:r>
      <w:r>
        <w:t>触犯刑律的</w:t>
      </w:r>
      <w:r>
        <w:rPr>
          <w:rFonts w:hint="eastAsia" w:ascii="MS UI Gothic" w:eastAsia="MS UI Gothic"/>
          <w:w w:val="85"/>
        </w:rPr>
        <w:t xml:space="preserve">ꎬ </w:t>
      </w:r>
      <w:r>
        <w:t>对负有责任的主管人员和其他直接责任人员依照刑法关于生产</w:t>
      </w:r>
      <w:r>
        <w:rPr>
          <w:rFonts w:hint="eastAsia" w:ascii="MS UI Gothic" w:eastAsia="MS UI Gothic"/>
          <w:w w:val="85"/>
        </w:rPr>
        <w:t xml:space="preserve">、 </w:t>
      </w:r>
      <w:r>
        <w:t>销售伪劣产品罪</w:t>
      </w:r>
      <w:r>
        <w:rPr>
          <w:rFonts w:hint="eastAsia" w:ascii="MS UI Gothic" w:eastAsia="MS UI Gothic"/>
          <w:w w:val="85"/>
        </w:rPr>
        <w:t xml:space="preserve">、 </w:t>
      </w:r>
      <w:r>
        <w:t>非法经营罪或者其他罪的规定</w:t>
      </w:r>
      <w:r>
        <w:rPr>
          <w:rFonts w:hint="eastAsia" w:ascii="MS UI Gothic" w:eastAsia="MS UI Gothic"/>
          <w:w w:val="85"/>
        </w:rPr>
        <w:t xml:space="preserve">ꎬ </w:t>
      </w:r>
      <w:r>
        <w:t>依法追究刑事责任</w:t>
      </w:r>
      <w:r>
        <w:rPr>
          <w:rFonts w:hint="eastAsia" w:ascii="MS UI Gothic" w:eastAsia="MS UI Gothic"/>
          <w:w w:val="85"/>
        </w:rPr>
        <w:t>ꎮ</w:t>
      </w:r>
    </w:p>
    <w:p>
      <w:pPr>
        <w:pStyle w:val="6"/>
        <w:spacing w:line="295" w:lineRule="auto"/>
        <w:ind w:left="130" w:right="442"/>
        <w:rPr>
          <w:rFonts w:hint="eastAsia" w:ascii="MS UI Gothic" w:eastAsia="MS UI Gothic"/>
        </w:rPr>
      </w:pPr>
      <w:r>
        <w:t>第七十四条 按照安全技术规范的要求应当进行型式试验的特种设备产品</w:t>
      </w:r>
      <w:r>
        <w:rPr>
          <w:rFonts w:hint="eastAsia" w:ascii="MS UI Gothic" w:eastAsia="MS UI Gothic"/>
        </w:rPr>
        <w:t xml:space="preserve">、 </w:t>
      </w:r>
      <w:r>
        <w:t>部件或者试制特种设备新产品</w:t>
      </w:r>
      <w:r>
        <w:rPr>
          <w:rFonts w:hint="eastAsia" w:ascii="MS UI Gothic" w:eastAsia="MS UI Gothic"/>
        </w:rPr>
        <w:t xml:space="preserve">、 </w:t>
      </w:r>
      <w:r>
        <w:t>新部件</w:t>
      </w:r>
      <w:r>
        <w:rPr>
          <w:rFonts w:hint="eastAsia" w:ascii="MS UI Gothic" w:eastAsia="MS UI Gothic"/>
          <w:w w:val="85"/>
        </w:rPr>
        <w:t xml:space="preserve">ꎬ  </w:t>
      </w:r>
      <w:r>
        <w:t>未进行整机或者部件型式试验的</w:t>
      </w:r>
      <w:r>
        <w:rPr>
          <w:rFonts w:hint="eastAsia" w:ascii="MS UI Gothic" w:eastAsia="MS UI Gothic"/>
          <w:w w:val="85"/>
        </w:rPr>
        <w:t xml:space="preserve">ꎬ </w:t>
      </w:r>
      <w:r>
        <w:t>由特种设备安全监督管理部门责令限期改正</w:t>
      </w:r>
      <w:r>
        <w:rPr>
          <w:rFonts w:hint="eastAsia" w:ascii="MS UI Gothic" w:eastAsia="MS UI Gothic"/>
          <w:w w:val="85"/>
        </w:rPr>
        <w:t xml:space="preserve">ꎻ </w:t>
      </w:r>
      <w:r>
        <w:t>逾期未改正的</w:t>
      </w:r>
      <w:r>
        <w:rPr>
          <w:rFonts w:hint="eastAsia" w:ascii="MS UI Gothic" w:eastAsia="MS UI Gothic"/>
          <w:w w:val="85"/>
        </w:rPr>
        <w:t xml:space="preserve">ꎬ </w:t>
      </w:r>
      <w:r>
        <w:t xml:space="preserve">处 </w:t>
      </w:r>
      <w:r>
        <w:rPr>
          <w:rFonts w:hint="eastAsia" w:ascii="MS UI Gothic" w:eastAsia="MS UI Gothic"/>
        </w:rPr>
        <w:t xml:space="preserve">２ </w:t>
      </w:r>
      <w:r>
        <w:t xml:space="preserve">万元以上 </w:t>
      </w:r>
      <w:r>
        <w:rPr>
          <w:rFonts w:hint="eastAsia" w:ascii="MS UI Gothic" w:eastAsia="MS UI Gothic"/>
          <w:w w:val="85"/>
        </w:rPr>
        <w:t xml:space="preserve">１０ </w:t>
      </w:r>
      <w:r>
        <w:t>万元以下罚款</w:t>
      </w:r>
      <w:r>
        <w:rPr>
          <w:rFonts w:hint="eastAsia" w:ascii="MS UI Gothic" w:eastAsia="MS UI Gothic"/>
          <w:w w:val="85"/>
        </w:rPr>
        <w:t>ꎮ</w:t>
      </w:r>
    </w:p>
    <w:p>
      <w:pPr>
        <w:pStyle w:val="6"/>
        <w:spacing w:line="295" w:lineRule="auto"/>
        <w:ind w:right="442" w:firstLine="425"/>
        <w:rPr>
          <w:rFonts w:hint="eastAsia" w:ascii="MS UI Gothic" w:eastAsia="MS UI Gothic"/>
        </w:rPr>
      </w:pPr>
      <w:r>
        <w:t>第七十五条 未经许可</w:t>
      </w:r>
      <w:r>
        <w:rPr>
          <w:rFonts w:hint="eastAsia" w:ascii="MS UI Gothic" w:eastAsia="MS UI Gothic"/>
          <w:w w:val="80"/>
        </w:rPr>
        <w:t xml:space="preserve">ꎬ </w:t>
      </w:r>
      <w:r>
        <w:t>擅自从事锅炉</w:t>
      </w:r>
      <w:r>
        <w:rPr>
          <w:rFonts w:hint="eastAsia" w:ascii="MS UI Gothic" w:eastAsia="MS UI Gothic"/>
          <w:w w:val="80"/>
        </w:rPr>
        <w:t xml:space="preserve">、 </w:t>
      </w:r>
      <w:r>
        <w:t>压力容器</w:t>
      </w:r>
      <w:r>
        <w:rPr>
          <w:rFonts w:hint="eastAsia" w:ascii="MS UI Gothic" w:eastAsia="MS UI Gothic"/>
          <w:w w:val="80"/>
        </w:rPr>
        <w:t xml:space="preserve">、 </w:t>
      </w:r>
      <w:r>
        <w:t>电梯</w:t>
      </w:r>
      <w:r>
        <w:rPr>
          <w:rFonts w:hint="eastAsia" w:ascii="MS UI Gothic" w:eastAsia="MS UI Gothic"/>
          <w:w w:val="80"/>
        </w:rPr>
        <w:t xml:space="preserve">、 </w:t>
      </w:r>
      <w:r>
        <w:t>起重机械</w:t>
      </w:r>
      <w:r>
        <w:rPr>
          <w:rFonts w:hint="eastAsia" w:ascii="MS UI Gothic" w:eastAsia="MS UI Gothic"/>
          <w:w w:val="80"/>
        </w:rPr>
        <w:t xml:space="preserve">、  </w:t>
      </w:r>
      <w:r>
        <w:t>客运索道</w:t>
      </w:r>
      <w:r>
        <w:rPr>
          <w:rFonts w:hint="eastAsia" w:ascii="MS UI Gothic" w:eastAsia="MS UI Gothic"/>
          <w:w w:val="80"/>
        </w:rPr>
        <w:t xml:space="preserve">、 </w:t>
      </w:r>
      <w:r>
        <w:t>大型游乐设施</w:t>
      </w:r>
      <w:r>
        <w:rPr>
          <w:rFonts w:hint="eastAsia" w:ascii="MS UI Gothic" w:eastAsia="MS UI Gothic"/>
          <w:w w:val="80"/>
        </w:rPr>
        <w:t xml:space="preserve">、 </w:t>
      </w:r>
      <w:r>
        <w:t xml:space="preserve">场 </w:t>
      </w:r>
      <w:r>
        <w:rPr>
          <w:rFonts w:hint="eastAsia" w:ascii="MS UI Gothic" w:eastAsia="MS UI Gothic"/>
          <w:w w:val="145"/>
        </w:rPr>
        <w:t xml:space="preserve">( </w:t>
      </w:r>
      <w:r>
        <w:t>厂</w:t>
      </w:r>
      <w:r>
        <w:rPr>
          <w:rFonts w:hint="eastAsia" w:ascii="MS UI Gothic" w:eastAsia="MS UI Gothic"/>
          <w:w w:val="145"/>
        </w:rPr>
        <w:t xml:space="preserve">) </w:t>
      </w:r>
      <w:r>
        <w:t>内专用机动车辆及其安全附件</w:t>
      </w:r>
      <w:r>
        <w:rPr>
          <w:rFonts w:hint="eastAsia" w:ascii="MS UI Gothic" w:eastAsia="MS UI Gothic"/>
          <w:w w:val="80"/>
        </w:rPr>
        <w:t xml:space="preserve">、 </w:t>
      </w:r>
      <w:r>
        <w:t>安全保护装置的制造</w:t>
      </w:r>
      <w:r>
        <w:rPr>
          <w:rFonts w:hint="eastAsia" w:ascii="MS UI Gothic" w:eastAsia="MS UI Gothic"/>
          <w:w w:val="80"/>
        </w:rPr>
        <w:t xml:space="preserve">、 </w:t>
      </w:r>
      <w:r>
        <w:t>安装</w:t>
      </w:r>
      <w:r>
        <w:rPr>
          <w:rFonts w:hint="eastAsia" w:ascii="MS UI Gothic" w:eastAsia="MS UI Gothic"/>
          <w:w w:val="80"/>
        </w:rPr>
        <w:t xml:space="preserve">、 </w:t>
      </w:r>
      <w:r>
        <w:t>改造以及压力管道元件的制造活动的</w:t>
      </w:r>
      <w:r>
        <w:rPr>
          <w:rFonts w:hint="eastAsia" w:ascii="MS UI Gothic" w:eastAsia="MS UI Gothic"/>
          <w:w w:val="80"/>
        </w:rPr>
        <w:t xml:space="preserve">ꎬ </w:t>
      </w:r>
      <w:r>
        <w:t>由特种设备安全监督管理部门予以取缔</w:t>
      </w:r>
      <w:r>
        <w:rPr>
          <w:rFonts w:hint="eastAsia" w:ascii="MS UI Gothic" w:eastAsia="MS UI Gothic"/>
          <w:w w:val="80"/>
        </w:rPr>
        <w:t xml:space="preserve">ꎬ </w:t>
      </w:r>
      <w:r>
        <w:t>没收非法制造的产品</w:t>
      </w:r>
      <w:r>
        <w:rPr>
          <w:rFonts w:hint="eastAsia" w:ascii="MS UI Gothic" w:eastAsia="MS UI Gothic"/>
          <w:w w:val="80"/>
        </w:rPr>
        <w:t xml:space="preserve">ꎬ </w:t>
      </w:r>
      <w:r>
        <w:t>已经实施安装</w:t>
      </w:r>
      <w:r>
        <w:rPr>
          <w:rFonts w:hint="eastAsia" w:ascii="MS UI Gothic" w:eastAsia="MS UI Gothic"/>
          <w:w w:val="80"/>
        </w:rPr>
        <w:t xml:space="preserve">、 </w:t>
      </w:r>
      <w:r>
        <w:t>改造的</w:t>
      </w:r>
      <w:r>
        <w:rPr>
          <w:rFonts w:hint="eastAsia" w:ascii="MS UI Gothic" w:eastAsia="MS UI Gothic"/>
          <w:w w:val="80"/>
        </w:rPr>
        <w:t xml:space="preserve">ꎬ </w:t>
      </w:r>
      <w:r>
        <w:t>责令恢复原状或者责令限期由取得许可的单位重新安装</w:t>
      </w:r>
      <w:r>
        <w:rPr>
          <w:rFonts w:hint="eastAsia" w:ascii="MS UI Gothic" w:eastAsia="MS UI Gothic"/>
          <w:w w:val="80"/>
        </w:rPr>
        <w:t xml:space="preserve">、 </w:t>
      </w:r>
      <w:r>
        <w:t>改造</w:t>
      </w:r>
      <w:r>
        <w:rPr>
          <w:rFonts w:hint="eastAsia" w:ascii="MS UI Gothic" w:eastAsia="MS UI Gothic"/>
          <w:w w:val="80"/>
        </w:rPr>
        <w:t xml:space="preserve">ꎬ </w:t>
      </w:r>
      <w:r>
        <w:t>处</w:t>
      </w:r>
      <w:r>
        <w:rPr>
          <w:rFonts w:hint="eastAsia" w:ascii="MS UI Gothic" w:eastAsia="MS UI Gothic"/>
          <w:w w:val="80"/>
        </w:rPr>
        <w:t xml:space="preserve">１０ </w:t>
      </w:r>
      <w:r>
        <w:t xml:space="preserve">万元以上 </w:t>
      </w:r>
      <w:r>
        <w:rPr>
          <w:rFonts w:hint="eastAsia" w:ascii="MS UI Gothic" w:eastAsia="MS UI Gothic"/>
          <w:w w:val="80"/>
        </w:rPr>
        <w:t xml:space="preserve">５０ </w:t>
      </w:r>
      <w:r>
        <w:t>万元以下罚款</w:t>
      </w:r>
      <w:r>
        <w:rPr>
          <w:rFonts w:hint="eastAsia" w:ascii="MS UI Gothic" w:eastAsia="MS UI Gothic"/>
          <w:w w:val="80"/>
        </w:rPr>
        <w:t xml:space="preserve">ꎻ </w:t>
      </w:r>
      <w:r>
        <w:t>触犯刑律的</w:t>
      </w:r>
      <w:r>
        <w:rPr>
          <w:rFonts w:hint="eastAsia" w:ascii="MS UI Gothic" w:eastAsia="MS UI Gothic"/>
          <w:w w:val="80"/>
        </w:rPr>
        <w:t xml:space="preserve">ꎬ </w:t>
      </w:r>
      <w:r>
        <w:t>对负有责任的主管人员和其他直接责任人员依照刑法关于生产</w:t>
      </w:r>
      <w:r>
        <w:rPr>
          <w:rFonts w:hint="eastAsia" w:ascii="MS UI Gothic" w:eastAsia="MS UI Gothic"/>
          <w:w w:val="80"/>
        </w:rPr>
        <w:t xml:space="preserve">、 </w:t>
      </w:r>
      <w:r>
        <w:t>销售伪劣产品罪</w:t>
      </w:r>
      <w:r>
        <w:rPr>
          <w:rFonts w:hint="eastAsia" w:ascii="MS UI Gothic" w:eastAsia="MS UI Gothic"/>
          <w:w w:val="80"/>
        </w:rPr>
        <w:t xml:space="preserve">、 </w:t>
      </w:r>
      <w:r>
        <w:t>非法经营罪</w:t>
      </w:r>
      <w:r>
        <w:rPr>
          <w:rFonts w:hint="eastAsia" w:ascii="MS UI Gothic" w:eastAsia="MS UI Gothic"/>
          <w:w w:val="80"/>
        </w:rPr>
        <w:t xml:space="preserve">、 </w:t>
      </w:r>
      <w:r>
        <w:t>重大责任事故罪或者其他罪的规定</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45" w:lineRule="exact"/>
        <w:ind w:left="549" w:firstLine="0"/>
      </w:pPr>
      <w:r>
        <w:t>第七十六条 特种设备出厂时</w:t>
      </w:r>
      <w:r>
        <w:rPr>
          <w:rFonts w:hint="eastAsia" w:ascii="MS UI Gothic" w:eastAsia="MS UI Gothic"/>
          <w:w w:val="80"/>
        </w:rPr>
        <w:t xml:space="preserve">ꎬ </w:t>
      </w:r>
      <w:r>
        <w:t>未按</w:t>
      </w:r>
    </w:p>
    <w:p>
      <w:pPr>
        <w:spacing w:after="0" w:line="245" w:lineRule="exact"/>
        <w:sectPr>
          <w:type w:val="continuous"/>
          <w:pgSz w:w="10500" w:h="14750"/>
          <w:pgMar w:top="1400" w:right="980" w:bottom="280" w:left="980" w:header="720" w:footer="720" w:gutter="0"/>
          <w:cols w:equalWidth="0" w:num="2">
            <w:col w:w="3936" w:space="250"/>
            <w:col w:w="4354"/>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４７７</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31" o:spid="_x0000_s2431" o:spt="203" style="height:2.15pt;width:398.25pt;" coordsize="7965,43">
            <o:lock v:ext="edit"/>
            <v:line id="_x0000_s2432" o:spid="_x0000_s2432" o:spt="20" style="position:absolute;left:0;top:39;height:0;width:7965;" stroked="t" coordsize="21600,21600">
              <v:path arrowok="t"/>
              <v:fill focussize="0,0"/>
              <v:stroke weight="0.388031496062992pt" color="#231F20"/>
              <v:imagedata o:title=""/>
              <o:lock v:ext="edit"/>
            </v:line>
            <v:line id="_x0000_s2433" o:spid="_x0000_s2433"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rPr>
          <w:rFonts w:hint="eastAsia" w:ascii="MS UI Gothic" w:eastAsia="MS UI Gothic"/>
        </w:rPr>
      </w:pPr>
      <w:r>
        <w:rPr>
          <w:w w:val="95"/>
        </w:rPr>
        <w:t>照安全技术规范的要求附有设计文件</w:t>
      </w:r>
      <w:r>
        <w:rPr>
          <w:rFonts w:hint="eastAsia" w:ascii="MS UI Gothic" w:eastAsia="MS UI Gothic"/>
          <w:w w:val="95"/>
        </w:rPr>
        <w:t xml:space="preserve">、   </w:t>
      </w:r>
      <w:r>
        <w:rPr>
          <w:w w:val="95"/>
        </w:rPr>
        <w:t>产品质量合格证明</w:t>
      </w:r>
      <w:r>
        <w:rPr>
          <w:rFonts w:hint="eastAsia" w:ascii="MS UI Gothic" w:eastAsia="MS UI Gothic"/>
          <w:w w:val="95"/>
        </w:rPr>
        <w:t xml:space="preserve">、   </w:t>
      </w:r>
      <w:r>
        <w:rPr>
          <w:w w:val="95"/>
        </w:rPr>
        <w:t>安装及使用维修说明</w:t>
      </w:r>
      <w:r>
        <w:rPr>
          <w:rFonts w:hint="eastAsia" w:ascii="MS UI Gothic" w:eastAsia="MS UI Gothic"/>
          <w:w w:val="95"/>
        </w:rPr>
        <w:t>、</w:t>
      </w:r>
      <w:r>
        <w:rPr>
          <w:w w:val="95"/>
        </w:rPr>
        <w:t>监督检验证明等文件的</w:t>
      </w:r>
      <w:r>
        <w:rPr>
          <w:rFonts w:hint="eastAsia" w:ascii="MS UI Gothic" w:eastAsia="MS UI Gothic"/>
          <w:w w:val="90"/>
        </w:rPr>
        <w:t xml:space="preserve">ꎬ  </w:t>
      </w:r>
      <w:r>
        <w:rPr>
          <w:w w:val="95"/>
        </w:rPr>
        <w:t>由特种设备安全监督管理部门责令改正</w:t>
      </w:r>
      <w:r>
        <w:rPr>
          <w:rFonts w:hint="eastAsia" w:ascii="MS UI Gothic" w:eastAsia="MS UI Gothic"/>
          <w:w w:val="90"/>
        </w:rPr>
        <w:t xml:space="preserve">ꎻ </w:t>
      </w:r>
      <w:r>
        <w:rPr>
          <w:w w:val="95"/>
        </w:rPr>
        <w:t>情节严重的</w:t>
      </w:r>
      <w:r>
        <w:rPr>
          <w:rFonts w:hint="eastAsia" w:ascii="MS UI Gothic" w:eastAsia="MS UI Gothic"/>
          <w:w w:val="90"/>
        </w:rPr>
        <w:t xml:space="preserve">ꎬ </w:t>
      </w:r>
      <w:r>
        <w:rPr>
          <w:w w:val="95"/>
        </w:rPr>
        <w:t>责令停止生产</w:t>
      </w:r>
      <w:r>
        <w:rPr>
          <w:rFonts w:hint="eastAsia" w:ascii="MS UI Gothic" w:eastAsia="MS UI Gothic"/>
          <w:w w:val="95"/>
        </w:rPr>
        <w:t xml:space="preserve">、 </w:t>
      </w:r>
      <w:r>
        <w:rPr>
          <w:w w:val="95"/>
        </w:rPr>
        <w:t>销售</w:t>
      </w:r>
      <w:r>
        <w:rPr>
          <w:rFonts w:hint="eastAsia" w:ascii="MS UI Gothic" w:eastAsia="MS UI Gothic"/>
          <w:w w:val="90"/>
        </w:rPr>
        <w:t xml:space="preserve">ꎬ </w:t>
      </w:r>
      <w:r>
        <w:rPr>
          <w:w w:val="95"/>
        </w:rPr>
        <w:t>处违法生产</w:t>
      </w:r>
      <w:r>
        <w:rPr>
          <w:rFonts w:hint="eastAsia" w:ascii="MS UI Gothic" w:eastAsia="MS UI Gothic"/>
          <w:w w:val="95"/>
        </w:rPr>
        <w:t xml:space="preserve">、  </w:t>
      </w:r>
      <w:r>
        <w:rPr>
          <w:w w:val="95"/>
        </w:rPr>
        <w:t xml:space="preserve">销售货值金额 </w:t>
      </w:r>
      <w:r>
        <w:rPr>
          <w:rFonts w:hint="eastAsia" w:ascii="MS UI Gothic" w:eastAsia="MS UI Gothic"/>
          <w:w w:val="95"/>
        </w:rPr>
        <w:t>３０</w:t>
      </w:r>
      <w:r>
        <w:rPr>
          <w:w w:val="95"/>
        </w:rPr>
        <w:t>％ 以下罚款</w:t>
      </w:r>
      <w:r>
        <w:rPr>
          <w:rFonts w:hint="eastAsia" w:ascii="MS UI Gothic" w:eastAsia="MS UI Gothic"/>
          <w:w w:val="90"/>
        </w:rPr>
        <w:t xml:space="preserve">ꎻ </w:t>
      </w:r>
      <w:r>
        <w:rPr>
          <w:w w:val="95"/>
        </w:rPr>
        <w:t>有违法所得的</w:t>
      </w:r>
      <w:r>
        <w:rPr>
          <w:rFonts w:hint="eastAsia" w:ascii="MS UI Gothic" w:eastAsia="MS UI Gothic"/>
          <w:w w:val="90"/>
        </w:rPr>
        <w:t>ꎬ</w:t>
      </w:r>
      <w:r>
        <w:rPr>
          <w:w w:val="95"/>
        </w:rPr>
        <w:t>没收违法所得</w:t>
      </w:r>
      <w:r>
        <w:rPr>
          <w:rFonts w:hint="eastAsia" w:ascii="MS UI Gothic" w:eastAsia="MS UI Gothic"/>
          <w:w w:val="90"/>
        </w:rPr>
        <w:t>ꎮ</w:t>
      </w:r>
    </w:p>
    <w:p>
      <w:pPr>
        <w:pStyle w:val="6"/>
        <w:spacing w:line="295" w:lineRule="auto"/>
        <w:ind w:left="440" w:right="1"/>
        <w:rPr>
          <w:rFonts w:hint="eastAsia" w:ascii="MS UI Gothic" w:eastAsia="MS UI Gothic"/>
        </w:rPr>
      </w:pPr>
      <w:r>
        <w:t>第七十七条 未经许可</w:t>
      </w:r>
      <w:r>
        <w:rPr>
          <w:rFonts w:hint="eastAsia" w:ascii="MS UI Gothic" w:eastAsia="MS UI Gothic"/>
          <w:w w:val="80"/>
        </w:rPr>
        <w:t xml:space="preserve">ꎬ </w:t>
      </w:r>
      <w:r>
        <w:t>擅自从事锅炉</w:t>
      </w:r>
      <w:r>
        <w:rPr>
          <w:rFonts w:hint="eastAsia" w:ascii="MS UI Gothic" w:eastAsia="MS UI Gothic"/>
          <w:w w:val="80"/>
        </w:rPr>
        <w:t xml:space="preserve">、 </w:t>
      </w:r>
      <w:r>
        <w:t>压力容器</w:t>
      </w:r>
      <w:r>
        <w:rPr>
          <w:rFonts w:hint="eastAsia" w:ascii="MS UI Gothic" w:eastAsia="MS UI Gothic"/>
          <w:w w:val="80"/>
        </w:rPr>
        <w:t xml:space="preserve">、 </w:t>
      </w:r>
      <w:r>
        <w:t>电梯</w:t>
      </w:r>
      <w:r>
        <w:rPr>
          <w:rFonts w:hint="eastAsia" w:ascii="MS UI Gothic" w:eastAsia="MS UI Gothic"/>
          <w:w w:val="80"/>
        </w:rPr>
        <w:t xml:space="preserve">、 </w:t>
      </w:r>
      <w:r>
        <w:t>起重机械</w:t>
      </w:r>
      <w:r>
        <w:rPr>
          <w:rFonts w:hint="eastAsia" w:ascii="MS UI Gothic" w:eastAsia="MS UI Gothic"/>
          <w:w w:val="80"/>
        </w:rPr>
        <w:t xml:space="preserve">、  </w:t>
      </w:r>
      <w:r>
        <w:t>客运索道</w:t>
      </w:r>
      <w:r>
        <w:rPr>
          <w:rFonts w:hint="eastAsia" w:ascii="MS UI Gothic" w:eastAsia="MS UI Gothic"/>
          <w:w w:val="80"/>
        </w:rPr>
        <w:t xml:space="preserve">、 </w:t>
      </w:r>
      <w:r>
        <w:t>大型游乐设施</w:t>
      </w:r>
      <w:r>
        <w:rPr>
          <w:rFonts w:hint="eastAsia" w:ascii="MS UI Gothic" w:eastAsia="MS UI Gothic"/>
          <w:w w:val="80"/>
        </w:rPr>
        <w:t xml:space="preserve">、 </w:t>
      </w:r>
      <w:r>
        <w:t xml:space="preserve">场 </w:t>
      </w:r>
      <w:r>
        <w:rPr>
          <w:rFonts w:hint="eastAsia" w:ascii="MS UI Gothic" w:eastAsia="MS UI Gothic"/>
          <w:w w:val="150"/>
        </w:rPr>
        <w:t xml:space="preserve">( </w:t>
      </w:r>
      <w:r>
        <w:t>厂</w:t>
      </w:r>
      <w:r>
        <w:rPr>
          <w:rFonts w:hint="eastAsia" w:ascii="MS UI Gothic" w:eastAsia="MS UI Gothic"/>
          <w:w w:val="150"/>
        </w:rPr>
        <w:t xml:space="preserve">) </w:t>
      </w:r>
      <w:r>
        <w:t>内专用机动车辆的维修或者日常维护保养的</w:t>
      </w:r>
      <w:r>
        <w:rPr>
          <w:rFonts w:hint="eastAsia" w:ascii="MS UI Gothic" w:eastAsia="MS UI Gothic"/>
          <w:w w:val="80"/>
        </w:rPr>
        <w:t xml:space="preserve">ꎬ </w:t>
      </w:r>
      <w:r>
        <w:t>由特种设备安全监督管理部门予以取缔</w:t>
      </w:r>
      <w:r>
        <w:rPr>
          <w:rFonts w:hint="eastAsia" w:ascii="MS UI Gothic" w:eastAsia="MS UI Gothic"/>
          <w:w w:val="80"/>
        </w:rPr>
        <w:t xml:space="preserve">ꎬ </w:t>
      </w:r>
      <w:r>
        <w:t xml:space="preserve">处 </w:t>
      </w:r>
      <w:r>
        <w:rPr>
          <w:rFonts w:hint="eastAsia" w:ascii="MS UI Gothic" w:eastAsia="MS UI Gothic"/>
          <w:w w:val="80"/>
        </w:rPr>
        <w:t xml:space="preserve">１ </w:t>
      </w:r>
      <w:r>
        <w:t xml:space="preserve">万元以上 </w:t>
      </w:r>
      <w:r>
        <w:rPr>
          <w:rFonts w:hint="eastAsia" w:ascii="MS UI Gothic" w:eastAsia="MS UI Gothic"/>
          <w:w w:val="80"/>
        </w:rPr>
        <w:t xml:space="preserve">５ </w:t>
      </w:r>
      <w:r>
        <w:t>万元以下罚款</w:t>
      </w:r>
      <w:r>
        <w:rPr>
          <w:rFonts w:hint="eastAsia" w:ascii="MS UI Gothic" w:eastAsia="MS UI Gothic"/>
          <w:w w:val="80"/>
        </w:rPr>
        <w:t xml:space="preserve">ꎻ </w:t>
      </w:r>
      <w:r>
        <w:t>有违法所得的</w:t>
      </w:r>
      <w:r>
        <w:rPr>
          <w:rFonts w:hint="eastAsia" w:ascii="MS UI Gothic" w:eastAsia="MS UI Gothic"/>
          <w:w w:val="80"/>
        </w:rPr>
        <w:t xml:space="preserve">ꎬ </w:t>
      </w:r>
      <w:r>
        <w:t>没收违法所得</w:t>
      </w:r>
      <w:r>
        <w:rPr>
          <w:rFonts w:hint="eastAsia" w:ascii="MS UI Gothic" w:eastAsia="MS UI Gothic"/>
          <w:w w:val="80"/>
        </w:rPr>
        <w:t xml:space="preserve">ꎻ </w:t>
      </w:r>
      <w:r>
        <w:t>触犯刑律的</w:t>
      </w:r>
      <w:r>
        <w:rPr>
          <w:rFonts w:hint="eastAsia" w:ascii="MS UI Gothic" w:eastAsia="MS UI Gothic"/>
          <w:w w:val="80"/>
        </w:rPr>
        <w:t xml:space="preserve">ꎬ </w:t>
      </w:r>
      <w:r>
        <w:t>对负有责任的主管人员和其他直接责任人员依照刑法关于非法经营罪</w:t>
      </w:r>
      <w:r>
        <w:rPr>
          <w:rFonts w:hint="eastAsia" w:ascii="MS UI Gothic" w:eastAsia="MS UI Gothic"/>
          <w:w w:val="80"/>
        </w:rPr>
        <w:t xml:space="preserve">、 </w:t>
      </w:r>
      <w:r>
        <w:t>重大责任事故罪或者其他罪的规定</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440"/>
        <w:rPr>
          <w:rFonts w:hint="eastAsia" w:ascii="MS UI Gothic" w:eastAsia="MS UI Gothic"/>
        </w:rPr>
      </w:pPr>
      <w:r>
        <w:rPr>
          <w:spacing w:val="14"/>
          <w:w w:val="95"/>
        </w:rPr>
        <w:t>第七十八条  锅炉</w:t>
      </w:r>
      <w:r>
        <w:rPr>
          <w:rFonts w:hint="eastAsia" w:ascii="MS UI Gothic" w:eastAsia="MS UI Gothic"/>
          <w:spacing w:val="11"/>
          <w:w w:val="95"/>
        </w:rPr>
        <w:t xml:space="preserve">、  </w:t>
      </w:r>
      <w:r>
        <w:rPr>
          <w:spacing w:val="18"/>
          <w:w w:val="95"/>
        </w:rPr>
        <w:t>压力容器</w:t>
      </w:r>
      <w:r>
        <w:rPr>
          <w:rFonts w:hint="eastAsia" w:ascii="MS UI Gothic" w:eastAsia="MS UI Gothic"/>
          <w:spacing w:val="11"/>
          <w:w w:val="95"/>
        </w:rPr>
        <w:t xml:space="preserve">、  </w:t>
      </w:r>
      <w:r>
        <w:rPr>
          <w:spacing w:val="-12"/>
          <w:w w:val="95"/>
        </w:rPr>
        <w:t>电</w:t>
      </w:r>
      <w:r>
        <w:rPr>
          <w:spacing w:val="3"/>
          <w:w w:val="95"/>
        </w:rPr>
        <w:t>梯</w:t>
      </w:r>
      <w:r>
        <w:rPr>
          <w:rFonts w:hint="eastAsia" w:ascii="MS UI Gothic" w:eastAsia="MS UI Gothic"/>
          <w:spacing w:val="21"/>
          <w:w w:val="95"/>
        </w:rPr>
        <w:t xml:space="preserve">、 </w:t>
      </w:r>
      <w:r>
        <w:rPr>
          <w:spacing w:val="3"/>
          <w:w w:val="95"/>
        </w:rPr>
        <w:t>起重机械</w:t>
      </w:r>
      <w:r>
        <w:rPr>
          <w:rFonts w:hint="eastAsia" w:ascii="MS UI Gothic" w:eastAsia="MS UI Gothic"/>
          <w:spacing w:val="21"/>
          <w:w w:val="95"/>
        </w:rPr>
        <w:t xml:space="preserve">、 </w:t>
      </w:r>
      <w:r>
        <w:rPr>
          <w:spacing w:val="3"/>
          <w:w w:val="95"/>
        </w:rPr>
        <w:t>客运索道</w:t>
      </w:r>
      <w:r>
        <w:rPr>
          <w:rFonts w:hint="eastAsia" w:ascii="MS UI Gothic" w:eastAsia="MS UI Gothic"/>
          <w:spacing w:val="14"/>
          <w:w w:val="95"/>
        </w:rPr>
        <w:t xml:space="preserve">、  </w:t>
      </w:r>
      <w:r>
        <w:rPr>
          <w:spacing w:val="2"/>
          <w:w w:val="95"/>
        </w:rPr>
        <w:t>大型游乐设施</w:t>
      </w:r>
      <w:r>
        <w:rPr>
          <w:spacing w:val="3"/>
          <w:w w:val="95"/>
        </w:rPr>
        <w:t>的安装</w:t>
      </w:r>
      <w:r>
        <w:rPr>
          <w:rFonts w:hint="eastAsia" w:ascii="MS UI Gothic" w:eastAsia="MS UI Gothic"/>
          <w:spacing w:val="8"/>
          <w:w w:val="95"/>
        </w:rPr>
        <w:t xml:space="preserve">、  </w:t>
      </w:r>
      <w:r>
        <w:rPr>
          <w:spacing w:val="12"/>
          <w:w w:val="95"/>
        </w:rPr>
        <w:t>改造</w:t>
      </w:r>
      <w:r>
        <w:rPr>
          <w:rFonts w:hint="eastAsia" w:ascii="MS UI Gothic" w:eastAsia="MS UI Gothic"/>
          <w:spacing w:val="9"/>
          <w:w w:val="95"/>
        </w:rPr>
        <w:t xml:space="preserve">、   </w:t>
      </w:r>
      <w:r>
        <w:rPr>
          <w:spacing w:val="20"/>
          <w:w w:val="95"/>
        </w:rPr>
        <w:t xml:space="preserve">维修的施工单位以及场 </w:t>
      </w:r>
      <w:r>
        <w:rPr>
          <w:rFonts w:hint="eastAsia" w:ascii="MS UI Gothic" w:eastAsia="MS UI Gothic"/>
          <w:spacing w:val="-15"/>
          <w:w w:val="140"/>
        </w:rPr>
        <w:t xml:space="preserve">( </w:t>
      </w:r>
      <w:r>
        <w:rPr>
          <w:spacing w:val="3"/>
          <w:w w:val="95"/>
        </w:rPr>
        <w:t>厂</w:t>
      </w:r>
      <w:r>
        <w:rPr>
          <w:rFonts w:hint="eastAsia" w:ascii="MS UI Gothic" w:eastAsia="MS UI Gothic"/>
          <w:spacing w:val="37"/>
          <w:w w:val="140"/>
        </w:rPr>
        <w:t xml:space="preserve">) </w:t>
      </w:r>
      <w:r>
        <w:rPr>
          <w:spacing w:val="22"/>
          <w:w w:val="95"/>
        </w:rPr>
        <w:t>内专用机动车辆的改造</w:t>
      </w:r>
      <w:r>
        <w:rPr>
          <w:rFonts w:hint="eastAsia" w:ascii="MS UI Gothic" w:eastAsia="MS UI Gothic"/>
          <w:spacing w:val="14"/>
          <w:w w:val="95"/>
        </w:rPr>
        <w:t xml:space="preserve">、  </w:t>
      </w:r>
      <w:r>
        <w:rPr>
          <w:spacing w:val="14"/>
          <w:w w:val="95"/>
        </w:rPr>
        <w:t>维修单</w:t>
      </w:r>
      <w:r>
        <w:rPr>
          <w:spacing w:val="3"/>
          <w:w w:val="95"/>
        </w:rPr>
        <w:t>位</w:t>
      </w:r>
      <w:r>
        <w:rPr>
          <w:rFonts w:hint="eastAsia" w:ascii="MS UI Gothic" w:eastAsia="MS UI Gothic"/>
          <w:spacing w:val="4"/>
          <w:w w:val="85"/>
        </w:rPr>
        <w:t xml:space="preserve">ꎬ  </w:t>
      </w:r>
      <w:r>
        <w:rPr>
          <w:spacing w:val="14"/>
          <w:w w:val="95"/>
        </w:rPr>
        <w:t>在施工前未将拟进行的特种设备安</w:t>
      </w:r>
      <w:r>
        <w:rPr>
          <w:spacing w:val="3"/>
          <w:w w:val="95"/>
        </w:rPr>
        <w:t>装</w:t>
      </w:r>
      <w:r>
        <w:rPr>
          <w:rFonts w:hint="eastAsia" w:ascii="MS UI Gothic" w:eastAsia="MS UI Gothic"/>
          <w:spacing w:val="8"/>
          <w:w w:val="95"/>
        </w:rPr>
        <w:t xml:space="preserve">、  </w:t>
      </w:r>
      <w:r>
        <w:rPr>
          <w:spacing w:val="3"/>
          <w:w w:val="95"/>
        </w:rPr>
        <w:t>改造</w:t>
      </w:r>
      <w:r>
        <w:rPr>
          <w:rFonts w:hint="eastAsia" w:ascii="MS UI Gothic" w:eastAsia="MS UI Gothic"/>
          <w:spacing w:val="9"/>
          <w:w w:val="95"/>
        </w:rPr>
        <w:t xml:space="preserve">、  </w:t>
      </w:r>
      <w:r>
        <w:rPr>
          <w:spacing w:val="2"/>
          <w:w w:val="95"/>
        </w:rPr>
        <w:t>维修情况书面告知直辖市或者设区的市的特种设备安全监督管理部门即  行施工的</w:t>
      </w:r>
      <w:r>
        <w:rPr>
          <w:rFonts w:hint="eastAsia" w:ascii="MS UI Gothic" w:eastAsia="MS UI Gothic"/>
          <w:spacing w:val="25"/>
          <w:w w:val="85"/>
        </w:rPr>
        <w:t xml:space="preserve">ꎬ </w:t>
      </w:r>
      <w:r>
        <w:rPr>
          <w:spacing w:val="7"/>
          <w:w w:val="95"/>
        </w:rPr>
        <w:t xml:space="preserve">或者在验收后 </w:t>
      </w:r>
      <w:r>
        <w:rPr>
          <w:rFonts w:hint="eastAsia" w:ascii="MS UI Gothic" w:eastAsia="MS UI Gothic"/>
          <w:spacing w:val="14"/>
          <w:w w:val="95"/>
        </w:rPr>
        <w:t xml:space="preserve">３０ </w:t>
      </w:r>
      <w:r>
        <w:rPr>
          <w:spacing w:val="10"/>
          <w:w w:val="95"/>
        </w:rPr>
        <w:t>日内未将有</w:t>
      </w:r>
      <w:r>
        <w:rPr>
          <w:spacing w:val="6"/>
          <w:w w:val="95"/>
        </w:rPr>
        <w:t>关技术资料移交锅炉</w:t>
      </w:r>
      <w:r>
        <w:rPr>
          <w:rFonts w:hint="eastAsia" w:ascii="MS UI Gothic" w:eastAsia="MS UI Gothic"/>
          <w:spacing w:val="6"/>
          <w:w w:val="95"/>
        </w:rPr>
        <w:t xml:space="preserve">、  </w:t>
      </w:r>
      <w:r>
        <w:rPr>
          <w:spacing w:val="12"/>
          <w:w w:val="95"/>
        </w:rPr>
        <w:t>压力容器</w:t>
      </w:r>
      <w:r>
        <w:rPr>
          <w:rFonts w:hint="eastAsia" w:ascii="MS UI Gothic" w:eastAsia="MS UI Gothic"/>
          <w:spacing w:val="6"/>
          <w:w w:val="95"/>
        </w:rPr>
        <w:t xml:space="preserve">、  </w:t>
      </w:r>
      <w:r>
        <w:rPr>
          <w:spacing w:val="9"/>
          <w:w w:val="95"/>
        </w:rPr>
        <w:t>电梯</w:t>
      </w:r>
      <w:r>
        <w:rPr>
          <w:rFonts w:hint="eastAsia" w:ascii="MS UI Gothic" w:eastAsia="MS UI Gothic"/>
          <w:w w:val="95"/>
        </w:rPr>
        <w:t>、</w:t>
      </w:r>
      <w:r>
        <w:rPr>
          <w:spacing w:val="3"/>
          <w:w w:val="95"/>
        </w:rPr>
        <w:t>起重机械</w:t>
      </w:r>
      <w:r>
        <w:rPr>
          <w:rFonts w:hint="eastAsia" w:ascii="MS UI Gothic" w:eastAsia="MS UI Gothic"/>
          <w:spacing w:val="8"/>
          <w:w w:val="95"/>
        </w:rPr>
        <w:t xml:space="preserve">、  </w:t>
      </w:r>
      <w:r>
        <w:rPr>
          <w:spacing w:val="3"/>
          <w:w w:val="95"/>
        </w:rPr>
        <w:t>客运索道</w:t>
      </w:r>
      <w:r>
        <w:rPr>
          <w:rFonts w:hint="eastAsia" w:ascii="MS UI Gothic" w:eastAsia="MS UI Gothic"/>
          <w:spacing w:val="9"/>
          <w:w w:val="95"/>
        </w:rPr>
        <w:t xml:space="preserve">、  </w:t>
      </w:r>
      <w:r>
        <w:rPr>
          <w:spacing w:val="2"/>
          <w:w w:val="95"/>
        </w:rPr>
        <w:t>大型游乐设施的使</w:t>
      </w:r>
      <w:r>
        <w:rPr>
          <w:spacing w:val="3"/>
          <w:w w:val="95"/>
        </w:rPr>
        <w:t>用单位的</w:t>
      </w:r>
      <w:r>
        <w:rPr>
          <w:rFonts w:hint="eastAsia" w:ascii="MS UI Gothic" w:eastAsia="MS UI Gothic"/>
          <w:spacing w:val="4"/>
          <w:w w:val="85"/>
        </w:rPr>
        <w:t xml:space="preserve">ꎬ   </w:t>
      </w:r>
      <w:r>
        <w:rPr>
          <w:spacing w:val="2"/>
          <w:w w:val="95"/>
        </w:rPr>
        <w:t>由特种设备安全监督管理部门</w:t>
      </w:r>
      <w:r>
        <w:rPr>
          <w:spacing w:val="10"/>
          <w:w w:val="95"/>
        </w:rPr>
        <w:t>责令限期改正</w:t>
      </w:r>
      <w:r>
        <w:rPr>
          <w:rFonts w:hint="eastAsia" w:ascii="MS UI Gothic" w:eastAsia="MS UI Gothic"/>
          <w:spacing w:val="24"/>
          <w:w w:val="85"/>
        </w:rPr>
        <w:t xml:space="preserve">ꎻ </w:t>
      </w:r>
      <w:r>
        <w:rPr>
          <w:spacing w:val="16"/>
          <w:w w:val="95"/>
        </w:rPr>
        <w:t>逾期未改正的</w:t>
      </w:r>
      <w:r>
        <w:rPr>
          <w:rFonts w:hint="eastAsia" w:ascii="MS UI Gothic" w:eastAsia="MS UI Gothic"/>
          <w:w w:val="85"/>
        </w:rPr>
        <w:t xml:space="preserve">ꎬ  </w:t>
      </w:r>
      <w:r>
        <w:rPr>
          <w:spacing w:val="-17"/>
          <w:w w:val="95"/>
        </w:rPr>
        <w:t xml:space="preserve">处 </w:t>
      </w:r>
      <w:r>
        <w:rPr>
          <w:rFonts w:hint="eastAsia" w:ascii="MS UI Gothic" w:eastAsia="MS UI Gothic"/>
          <w:w w:val="95"/>
        </w:rPr>
        <w:t xml:space="preserve">２０００ </w:t>
      </w:r>
      <w:r>
        <w:rPr>
          <w:spacing w:val="-11"/>
          <w:w w:val="95"/>
        </w:rPr>
        <w:t xml:space="preserve">元以上 </w:t>
      </w:r>
      <w:r>
        <w:rPr>
          <w:rFonts w:hint="eastAsia" w:ascii="MS UI Gothic" w:eastAsia="MS UI Gothic"/>
          <w:spacing w:val="1"/>
          <w:w w:val="95"/>
        </w:rPr>
        <w:t xml:space="preserve">１ </w:t>
      </w:r>
      <w:r>
        <w:rPr>
          <w:spacing w:val="3"/>
          <w:w w:val="95"/>
        </w:rPr>
        <w:t>万元以下罚款</w:t>
      </w:r>
      <w:r>
        <w:rPr>
          <w:rFonts w:hint="eastAsia" w:ascii="MS UI Gothic" w:eastAsia="MS UI Gothic"/>
          <w:w w:val="85"/>
        </w:rPr>
        <w:t>ꎮ</w:t>
      </w:r>
    </w:p>
    <w:p>
      <w:pPr>
        <w:pStyle w:val="6"/>
        <w:spacing w:line="295" w:lineRule="auto"/>
        <w:ind w:left="440"/>
      </w:pPr>
      <w:r>
        <w:t>第七十九条 锅炉</w:t>
      </w:r>
      <w:r>
        <w:rPr>
          <w:rFonts w:hint="eastAsia" w:ascii="MS UI Gothic" w:eastAsia="MS UI Gothic"/>
          <w:w w:val="80"/>
        </w:rPr>
        <w:t xml:space="preserve">、 </w:t>
      </w:r>
      <w:r>
        <w:t>压力容器</w:t>
      </w:r>
      <w:r>
        <w:rPr>
          <w:rFonts w:hint="eastAsia" w:ascii="MS UI Gothic" w:eastAsia="MS UI Gothic"/>
          <w:w w:val="80"/>
        </w:rPr>
        <w:t xml:space="preserve">、  </w:t>
      </w:r>
      <w:r>
        <w:t>压力管道元件</w:t>
      </w:r>
      <w:r>
        <w:rPr>
          <w:rFonts w:hint="eastAsia" w:ascii="MS UI Gothic" w:eastAsia="MS UI Gothic"/>
          <w:w w:val="80"/>
        </w:rPr>
        <w:t xml:space="preserve">、 </w:t>
      </w:r>
      <w:r>
        <w:t>起重机械</w:t>
      </w:r>
      <w:r>
        <w:rPr>
          <w:rFonts w:hint="eastAsia" w:ascii="MS UI Gothic" w:eastAsia="MS UI Gothic"/>
          <w:w w:val="80"/>
        </w:rPr>
        <w:t xml:space="preserve">、 </w:t>
      </w:r>
      <w:r>
        <w:t>大型游乐设施的制造过程和锅炉</w:t>
      </w:r>
      <w:r>
        <w:rPr>
          <w:rFonts w:hint="eastAsia" w:ascii="MS UI Gothic" w:eastAsia="MS UI Gothic"/>
          <w:w w:val="80"/>
        </w:rPr>
        <w:t xml:space="preserve">、 </w:t>
      </w:r>
      <w:r>
        <w:t>压力容器</w:t>
      </w:r>
      <w:r>
        <w:rPr>
          <w:rFonts w:hint="eastAsia" w:ascii="MS UI Gothic" w:eastAsia="MS UI Gothic"/>
          <w:w w:val="80"/>
        </w:rPr>
        <w:t xml:space="preserve">、 </w:t>
      </w:r>
      <w:r>
        <w:t>电梯</w:t>
      </w:r>
      <w:r>
        <w:rPr>
          <w:rFonts w:hint="eastAsia" w:ascii="MS UI Gothic" w:eastAsia="MS UI Gothic"/>
          <w:w w:val="80"/>
        </w:rPr>
        <w:t xml:space="preserve">、 </w:t>
      </w:r>
      <w:r>
        <w:t>起重机械</w:t>
      </w:r>
      <w:r>
        <w:rPr>
          <w:rFonts w:hint="eastAsia" w:ascii="MS UI Gothic" w:eastAsia="MS UI Gothic"/>
          <w:w w:val="80"/>
        </w:rPr>
        <w:t xml:space="preserve">、 </w:t>
      </w:r>
      <w:r>
        <w:t>客运索道</w:t>
      </w:r>
      <w:r>
        <w:rPr>
          <w:rFonts w:hint="eastAsia" w:ascii="MS UI Gothic" w:eastAsia="MS UI Gothic"/>
          <w:w w:val="80"/>
        </w:rPr>
        <w:t xml:space="preserve">、 </w:t>
      </w:r>
      <w:r>
        <w:t>大型游乐设施的安装</w:t>
      </w:r>
      <w:r>
        <w:rPr>
          <w:rFonts w:hint="eastAsia" w:ascii="MS UI Gothic" w:eastAsia="MS UI Gothic"/>
          <w:w w:val="80"/>
        </w:rPr>
        <w:t xml:space="preserve">、 </w:t>
      </w:r>
      <w:r>
        <w:t>改造</w:t>
      </w:r>
      <w:r>
        <w:rPr>
          <w:rFonts w:hint="eastAsia" w:ascii="MS UI Gothic" w:eastAsia="MS UI Gothic"/>
          <w:w w:val="80"/>
        </w:rPr>
        <w:t xml:space="preserve">、 </w:t>
      </w:r>
      <w:r>
        <w:t>重大维修过程</w:t>
      </w:r>
      <w:r>
        <w:rPr>
          <w:rFonts w:hint="eastAsia" w:ascii="MS UI Gothic" w:eastAsia="MS UI Gothic"/>
          <w:w w:val="80"/>
        </w:rPr>
        <w:t xml:space="preserve">ꎬ </w:t>
      </w:r>
      <w:r>
        <w:t>以及锅炉清洗过程</w:t>
      </w:r>
      <w:r>
        <w:rPr>
          <w:rFonts w:hint="eastAsia" w:ascii="MS UI Gothic" w:eastAsia="MS UI Gothic"/>
          <w:w w:val="80"/>
        </w:rPr>
        <w:t>ꎬ</w:t>
      </w:r>
      <w:r>
        <w:t>未经国务院特种设备安全监督管理部门核准的检验检测机构按照安全技术规范的要求进行监督检验的</w:t>
      </w:r>
      <w:r>
        <w:rPr>
          <w:rFonts w:hint="eastAsia" w:ascii="MS UI Gothic" w:eastAsia="MS UI Gothic"/>
          <w:w w:val="80"/>
        </w:rPr>
        <w:t xml:space="preserve">ꎬ </w:t>
      </w:r>
      <w:r>
        <w:t>由特种设备安全监督管理部门责令改正</w:t>
      </w:r>
      <w:r>
        <w:rPr>
          <w:rFonts w:hint="eastAsia" w:ascii="MS UI Gothic" w:eastAsia="MS UI Gothic"/>
          <w:w w:val="80"/>
        </w:rPr>
        <w:t xml:space="preserve">ꎬ </w:t>
      </w:r>
      <w:r>
        <w:t>已经出厂的</w:t>
      </w:r>
      <w:r>
        <w:rPr>
          <w:rFonts w:hint="eastAsia" w:ascii="MS UI Gothic" w:eastAsia="MS UI Gothic"/>
          <w:w w:val="80"/>
        </w:rPr>
        <w:t xml:space="preserve">ꎬ </w:t>
      </w:r>
      <w:r>
        <w:t>没收违</w:t>
      </w:r>
    </w:p>
    <w:p>
      <w:pPr>
        <w:pStyle w:val="6"/>
        <w:spacing w:before="124" w:line="295" w:lineRule="auto"/>
        <w:ind w:left="381" w:right="126" w:firstLine="0"/>
        <w:rPr>
          <w:rFonts w:hint="eastAsia" w:ascii="MS UI Gothic" w:eastAsia="MS UI Gothic"/>
        </w:rPr>
      </w:pPr>
      <w:r>
        <w:br w:type="column"/>
      </w:r>
      <w:r>
        <w:t>法生产</w:t>
      </w:r>
      <w:r>
        <w:rPr>
          <w:rFonts w:hint="eastAsia" w:ascii="MS UI Gothic" w:eastAsia="MS UI Gothic"/>
          <w:w w:val="85"/>
        </w:rPr>
        <w:t xml:space="preserve">、 </w:t>
      </w:r>
      <w:r>
        <w:t>销售的产品</w:t>
      </w:r>
      <w:r>
        <w:rPr>
          <w:rFonts w:hint="eastAsia" w:ascii="MS UI Gothic" w:eastAsia="MS UI Gothic"/>
          <w:w w:val="85"/>
        </w:rPr>
        <w:t xml:space="preserve">ꎬ </w:t>
      </w:r>
      <w:r>
        <w:t>已经实施安装</w:t>
      </w:r>
      <w:r>
        <w:rPr>
          <w:rFonts w:hint="eastAsia" w:ascii="MS UI Gothic" w:eastAsia="MS UI Gothic"/>
          <w:w w:val="85"/>
        </w:rPr>
        <w:t xml:space="preserve">、 </w:t>
      </w:r>
      <w:r>
        <w:t>改造</w:t>
      </w:r>
      <w:r>
        <w:rPr>
          <w:rFonts w:hint="eastAsia" w:ascii="MS UI Gothic" w:eastAsia="MS UI Gothic"/>
          <w:w w:val="85"/>
        </w:rPr>
        <w:t xml:space="preserve">、 </w:t>
      </w:r>
      <w:r>
        <w:t>重大维修或者清洗的</w:t>
      </w:r>
      <w:r>
        <w:rPr>
          <w:rFonts w:hint="eastAsia" w:ascii="MS UI Gothic" w:eastAsia="MS UI Gothic"/>
          <w:w w:val="85"/>
        </w:rPr>
        <w:t xml:space="preserve">ꎬ </w:t>
      </w:r>
      <w:r>
        <w:t>责令限期进行监督检验</w:t>
      </w:r>
      <w:r>
        <w:rPr>
          <w:rFonts w:hint="eastAsia" w:ascii="MS UI Gothic" w:eastAsia="MS UI Gothic"/>
          <w:w w:val="85"/>
        </w:rPr>
        <w:t xml:space="preserve">ꎬ </w:t>
      </w:r>
      <w:r>
        <w:t xml:space="preserve">处 </w:t>
      </w:r>
      <w:r>
        <w:rPr>
          <w:rFonts w:hint="eastAsia" w:ascii="MS UI Gothic" w:eastAsia="MS UI Gothic"/>
          <w:w w:val="85"/>
        </w:rPr>
        <w:t xml:space="preserve">５ </w:t>
      </w:r>
      <w:r>
        <w:t xml:space="preserve">万元以上 </w:t>
      </w:r>
      <w:r>
        <w:rPr>
          <w:rFonts w:hint="eastAsia" w:ascii="MS UI Gothic" w:eastAsia="MS UI Gothic"/>
          <w:w w:val="85"/>
        </w:rPr>
        <w:t xml:space="preserve">２０ </w:t>
      </w:r>
      <w:r>
        <w:t>万元以下罚款</w:t>
      </w:r>
      <w:r>
        <w:rPr>
          <w:rFonts w:hint="eastAsia" w:ascii="MS UI Gothic" w:eastAsia="MS UI Gothic"/>
          <w:w w:val="85"/>
        </w:rPr>
        <w:t xml:space="preserve">ꎻ </w:t>
      </w:r>
      <w:r>
        <w:t>有违法所得的</w:t>
      </w:r>
      <w:r>
        <w:rPr>
          <w:rFonts w:hint="eastAsia" w:ascii="MS UI Gothic" w:eastAsia="MS UI Gothic"/>
          <w:w w:val="85"/>
        </w:rPr>
        <w:t xml:space="preserve">ꎬ </w:t>
      </w:r>
      <w:r>
        <w:t>没收违法所得</w:t>
      </w:r>
      <w:r>
        <w:rPr>
          <w:rFonts w:hint="eastAsia" w:ascii="MS UI Gothic" w:eastAsia="MS UI Gothic"/>
          <w:w w:val="85"/>
        </w:rPr>
        <w:t xml:space="preserve">ꎻ </w:t>
      </w:r>
      <w:r>
        <w:t>情节严重的</w:t>
      </w:r>
      <w:r>
        <w:rPr>
          <w:rFonts w:hint="eastAsia" w:ascii="MS UI Gothic" w:eastAsia="MS UI Gothic"/>
          <w:w w:val="85"/>
        </w:rPr>
        <w:t xml:space="preserve">ꎬ </w:t>
      </w:r>
      <w:r>
        <w:t>撤销制造</w:t>
      </w:r>
      <w:r>
        <w:rPr>
          <w:rFonts w:hint="eastAsia" w:ascii="MS UI Gothic" w:eastAsia="MS UI Gothic"/>
          <w:w w:val="85"/>
        </w:rPr>
        <w:t xml:space="preserve">、 </w:t>
      </w:r>
      <w:r>
        <w:t>安装</w:t>
      </w:r>
      <w:r>
        <w:rPr>
          <w:rFonts w:hint="eastAsia" w:ascii="MS UI Gothic" w:eastAsia="MS UI Gothic"/>
          <w:w w:val="85"/>
        </w:rPr>
        <w:t xml:space="preserve">、 </w:t>
      </w:r>
      <w:r>
        <w:t>改造或者维修单位已经取得的许可</w:t>
      </w:r>
      <w:r>
        <w:rPr>
          <w:rFonts w:hint="eastAsia" w:ascii="MS UI Gothic" w:eastAsia="MS UI Gothic"/>
          <w:w w:val="85"/>
        </w:rPr>
        <w:t xml:space="preserve">ꎬ </w:t>
      </w:r>
      <w:r>
        <w:t>并由工商行政管理部门吊销其营业执照</w:t>
      </w:r>
      <w:r>
        <w:rPr>
          <w:rFonts w:hint="eastAsia" w:ascii="MS UI Gothic" w:eastAsia="MS UI Gothic"/>
          <w:w w:val="85"/>
        </w:rPr>
        <w:t xml:space="preserve">ꎻ </w:t>
      </w:r>
      <w:r>
        <w:t>触犯刑律的</w:t>
      </w:r>
      <w:r>
        <w:rPr>
          <w:rFonts w:hint="eastAsia" w:ascii="MS UI Gothic" w:eastAsia="MS UI Gothic"/>
          <w:w w:val="85"/>
        </w:rPr>
        <w:t xml:space="preserve">ꎬ </w:t>
      </w:r>
      <w:r>
        <w:t>对负有责任的主管人员和其他直接责任人员依照刑法关于生产</w:t>
      </w:r>
      <w:r>
        <w:rPr>
          <w:rFonts w:hint="eastAsia" w:ascii="MS UI Gothic" w:eastAsia="MS UI Gothic"/>
          <w:w w:val="85"/>
        </w:rPr>
        <w:t xml:space="preserve">、 </w:t>
      </w:r>
      <w:r>
        <w:t>销售伪劣产品罪或者其他罪的规定</w:t>
      </w:r>
      <w:r>
        <w:rPr>
          <w:rFonts w:hint="eastAsia" w:ascii="MS UI Gothic" w:eastAsia="MS UI Gothic"/>
          <w:w w:val="85"/>
        </w:rPr>
        <w:t xml:space="preserve">ꎬ </w:t>
      </w:r>
      <w:r>
        <w:t>依法追究刑事责任</w:t>
      </w:r>
      <w:r>
        <w:rPr>
          <w:rFonts w:hint="eastAsia" w:ascii="MS UI Gothic" w:eastAsia="MS UI Gothic"/>
          <w:w w:val="85"/>
        </w:rPr>
        <w:t>ꎮ</w:t>
      </w:r>
    </w:p>
    <w:p>
      <w:pPr>
        <w:pStyle w:val="6"/>
        <w:spacing w:line="295" w:lineRule="auto"/>
        <w:ind w:left="381" w:right="124"/>
        <w:rPr>
          <w:rFonts w:hint="eastAsia" w:ascii="MS UI Gothic" w:eastAsia="MS UI Gothic"/>
        </w:rPr>
      </w:pPr>
      <w:r>
        <w:rPr>
          <w:spacing w:val="3"/>
        </w:rPr>
        <w:t>第八十条 未经许可</w:t>
      </w:r>
      <w:r>
        <w:rPr>
          <w:rFonts w:hint="eastAsia" w:ascii="MS UI Gothic" w:eastAsia="MS UI Gothic"/>
          <w:spacing w:val="3"/>
          <w:w w:val="85"/>
        </w:rPr>
        <w:t xml:space="preserve">ꎬ </w:t>
      </w:r>
      <w:r>
        <w:rPr>
          <w:spacing w:val="2"/>
        </w:rPr>
        <w:t>擅自从事移动</w:t>
      </w:r>
      <w:r>
        <w:rPr>
          <w:spacing w:val="3"/>
        </w:rPr>
        <w:t>式压力容器或者气瓶充装活动的</w:t>
      </w:r>
      <w:r>
        <w:rPr>
          <w:rFonts w:hint="eastAsia" w:ascii="MS UI Gothic" w:eastAsia="MS UI Gothic"/>
          <w:spacing w:val="12"/>
          <w:w w:val="85"/>
        </w:rPr>
        <w:t xml:space="preserve">ꎬ </w:t>
      </w:r>
      <w:r>
        <w:rPr>
          <w:spacing w:val="2"/>
        </w:rPr>
        <w:t>由特种</w:t>
      </w:r>
      <w:r>
        <w:rPr>
          <w:spacing w:val="3"/>
        </w:rPr>
        <w:t>设备安全监督管理部门予以取缔</w:t>
      </w:r>
      <w:r>
        <w:rPr>
          <w:rFonts w:hint="eastAsia" w:ascii="MS UI Gothic" w:eastAsia="MS UI Gothic"/>
          <w:spacing w:val="12"/>
          <w:w w:val="85"/>
        </w:rPr>
        <w:t xml:space="preserve">ꎬ </w:t>
      </w:r>
      <w:r>
        <w:rPr>
          <w:spacing w:val="2"/>
        </w:rPr>
        <w:t>没收违</w:t>
      </w:r>
      <w:r>
        <w:rPr>
          <w:spacing w:val="3"/>
        </w:rPr>
        <w:t>法充装的气瓶</w:t>
      </w:r>
      <w:r>
        <w:rPr>
          <w:rFonts w:hint="eastAsia" w:ascii="MS UI Gothic" w:eastAsia="MS UI Gothic"/>
          <w:spacing w:val="20"/>
          <w:w w:val="85"/>
        </w:rPr>
        <w:t xml:space="preserve">ꎬ </w:t>
      </w:r>
      <w:r>
        <w:rPr>
          <w:spacing w:val="-28"/>
        </w:rPr>
        <w:t xml:space="preserve">处 </w:t>
      </w:r>
      <w:r>
        <w:rPr>
          <w:rFonts w:hint="eastAsia" w:ascii="MS UI Gothic" w:eastAsia="MS UI Gothic"/>
          <w:spacing w:val="-1"/>
          <w:w w:val="85"/>
        </w:rPr>
        <w:t xml:space="preserve">１０ </w:t>
      </w:r>
      <w:r>
        <w:rPr>
          <w:spacing w:val="-10"/>
        </w:rPr>
        <w:t xml:space="preserve">万元以上 </w:t>
      </w:r>
      <w:r>
        <w:rPr>
          <w:rFonts w:hint="eastAsia" w:ascii="MS UI Gothic" w:eastAsia="MS UI Gothic"/>
          <w:w w:val="85"/>
        </w:rPr>
        <w:t xml:space="preserve">５０ </w:t>
      </w:r>
      <w:r>
        <w:rPr>
          <w:spacing w:val="4"/>
        </w:rPr>
        <w:t>万元以</w:t>
      </w:r>
      <w:r>
        <w:rPr>
          <w:spacing w:val="3"/>
        </w:rPr>
        <w:t>下罚款</w:t>
      </w:r>
      <w:r>
        <w:rPr>
          <w:rFonts w:hint="eastAsia" w:ascii="MS UI Gothic" w:eastAsia="MS UI Gothic"/>
          <w:spacing w:val="1"/>
          <w:w w:val="85"/>
        </w:rPr>
        <w:t xml:space="preserve">ꎻ </w:t>
      </w:r>
      <w:r>
        <w:rPr>
          <w:spacing w:val="8"/>
        </w:rPr>
        <w:t>有违法所得的</w:t>
      </w:r>
      <w:r>
        <w:rPr>
          <w:rFonts w:hint="eastAsia" w:ascii="MS UI Gothic" w:eastAsia="MS UI Gothic"/>
          <w:spacing w:val="4"/>
          <w:w w:val="85"/>
        </w:rPr>
        <w:t xml:space="preserve">ꎬ </w:t>
      </w:r>
      <w:r>
        <w:rPr>
          <w:spacing w:val="13"/>
        </w:rPr>
        <w:t>没收违法所得</w:t>
      </w:r>
      <w:r>
        <w:rPr>
          <w:rFonts w:hint="eastAsia" w:ascii="MS UI Gothic" w:eastAsia="MS UI Gothic"/>
          <w:w w:val="85"/>
        </w:rPr>
        <w:t>ꎻ</w:t>
      </w:r>
      <w:r>
        <w:rPr>
          <w:spacing w:val="3"/>
        </w:rPr>
        <w:t>触犯刑律的</w:t>
      </w:r>
      <w:r>
        <w:rPr>
          <w:rFonts w:hint="eastAsia" w:ascii="MS UI Gothic" w:eastAsia="MS UI Gothic"/>
          <w:spacing w:val="12"/>
          <w:w w:val="85"/>
        </w:rPr>
        <w:t xml:space="preserve">ꎬ </w:t>
      </w:r>
      <w:r>
        <w:rPr>
          <w:spacing w:val="2"/>
        </w:rPr>
        <w:t>对负有责任的主管人员和其他直接责任人员依照刑法关于非法经营罪</w:t>
      </w:r>
      <w:r>
        <w:rPr>
          <w:spacing w:val="3"/>
        </w:rPr>
        <w:t>或者其他罪的规定</w:t>
      </w:r>
      <w:r>
        <w:rPr>
          <w:rFonts w:hint="eastAsia" w:ascii="MS UI Gothic" w:eastAsia="MS UI Gothic"/>
          <w:spacing w:val="17"/>
          <w:w w:val="85"/>
        </w:rPr>
        <w:t xml:space="preserve">ꎬ </w:t>
      </w:r>
      <w:r>
        <w:rPr>
          <w:spacing w:val="3"/>
        </w:rPr>
        <w:t>依法追究刑事责任</w:t>
      </w:r>
      <w:r>
        <w:rPr>
          <w:rFonts w:hint="eastAsia" w:ascii="MS UI Gothic" w:eastAsia="MS UI Gothic"/>
          <w:w w:val="85"/>
        </w:rPr>
        <w:t>ꎮ</w:t>
      </w:r>
    </w:p>
    <w:p>
      <w:pPr>
        <w:pStyle w:val="6"/>
        <w:spacing w:line="295" w:lineRule="auto"/>
        <w:ind w:left="381" w:right="124"/>
        <w:rPr>
          <w:rFonts w:hint="eastAsia" w:ascii="MS UI Gothic" w:eastAsia="MS UI Gothic"/>
        </w:rPr>
      </w:pPr>
      <w:r>
        <w:t>移动式压力容器</w:t>
      </w:r>
      <w:r>
        <w:rPr>
          <w:rFonts w:hint="eastAsia" w:ascii="MS UI Gothic" w:eastAsia="MS UI Gothic"/>
          <w:w w:val="85"/>
        </w:rPr>
        <w:t xml:space="preserve">、 </w:t>
      </w:r>
      <w:r>
        <w:t>气瓶充装单位未按照安全技术规范的要求进行充装活动的</w:t>
      </w:r>
      <w:r>
        <w:rPr>
          <w:rFonts w:hint="eastAsia" w:ascii="MS UI Gothic" w:eastAsia="MS UI Gothic"/>
          <w:w w:val="85"/>
        </w:rPr>
        <w:t>ꎬ</w:t>
      </w:r>
      <w:r>
        <w:t>由特种设备安全监督管理部门责令改正</w:t>
      </w:r>
      <w:r>
        <w:rPr>
          <w:rFonts w:hint="eastAsia" w:ascii="MS UI Gothic" w:eastAsia="MS UI Gothic"/>
          <w:w w:val="85"/>
        </w:rPr>
        <w:t>ꎬ</w:t>
      </w:r>
      <w:r>
        <w:t xml:space="preserve">处 </w:t>
      </w:r>
      <w:r>
        <w:rPr>
          <w:rFonts w:hint="eastAsia" w:ascii="MS UI Gothic" w:eastAsia="MS UI Gothic"/>
          <w:w w:val="85"/>
        </w:rPr>
        <w:t xml:space="preserve">２ </w:t>
      </w:r>
      <w:r>
        <w:t xml:space="preserve">万元以上 </w:t>
      </w:r>
      <w:r>
        <w:rPr>
          <w:rFonts w:hint="eastAsia" w:ascii="MS UI Gothic" w:eastAsia="MS UI Gothic"/>
          <w:w w:val="85"/>
        </w:rPr>
        <w:t xml:space="preserve">１０ </w:t>
      </w:r>
      <w:r>
        <w:t>万元以下罚款</w:t>
      </w:r>
      <w:r>
        <w:rPr>
          <w:rFonts w:hint="eastAsia" w:ascii="MS UI Gothic" w:eastAsia="MS UI Gothic"/>
          <w:w w:val="85"/>
        </w:rPr>
        <w:t xml:space="preserve">ꎻ </w:t>
      </w:r>
      <w:r>
        <w:t>情节严重的</w:t>
      </w:r>
      <w:r>
        <w:rPr>
          <w:rFonts w:hint="eastAsia" w:ascii="MS UI Gothic" w:eastAsia="MS UI Gothic"/>
          <w:w w:val="85"/>
        </w:rPr>
        <w:t xml:space="preserve">ꎬ </w:t>
      </w:r>
      <w:r>
        <w:t>撤销其充装资格</w:t>
      </w:r>
      <w:r>
        <w:rPr>
          <w:rFonts w:hint="eastAsia" w:ascii="MS UI Gothic" w:eastAsia="MS UI Gothic"/>
          <w:w w:val="85"/>
        </w:rPr>
        <w:t>ꎮ</w:t>
      </w:r>
    </w:p>
    <w:p>
      <w:pPr>
        <w:pStyle w:val="6"/>
        <w:spacing w:line="295" w:lineRule="auto"/>
        <w:ind w:left="381" w:right="126"/>
        <w:rPr>
          <w:rFonts w:hint="eastAsia" w:ascii="MS UI Gothic" w:eastAsia="MS UI Gothic"/>
        </w:rPr>
      </w:pPr>
      <w:r>
        <w:rPr>
          <w:w w:val="105"/>
        </w:rPr>
        <w:t>第八十一条 电梯制造单位有下列情</w:t>
      </w:r>
      <w:r>
        <w:t>形之一的</w:t>
      </w:r>
      <w:r>
        <w:rPr>
          <w:rFonts w:hint="eastAsia" w:ascii="MS UI Gothic" w:eastAsia="MS UI Gothic"/>
          <w:w w:val="80"/>
        </w:rPr>
        <w:t xml:space="preserve">ꎬ </w:t>
      </w:r>
      <w:r>
        <w:t>由特种设备安全监督管理部门责令限期改正</w:t>
      </w:r>
      <w:r>
        <w:rPr>
          <w:rFonts w:hint="eastAsia" w:ascii="MS UI Gothic" w:eastAsia="MS UI Gothic"/>
          <w:w w:val="80"/>
        </w:rPr>
        <w:t xml:space="preserve">ꎻ </w:t>
      </w:r>
      <w:r>
        <w:t>逾期未改正的</w:t>
      </w:r>
      <w:r>
        <w:rPr>
          <w:rFonts w:hint="eastAsia" w:ascii="MS UI Gothic" w:eastAsia="MS UI Gothic"/>
          <w:w w:val="80"/>
        </w:rPr>
        <w:t xml:space="preserve">ꎬ </w:t>
      </w:r>
      <w:r>
        <w:t>予以通报</w:t>
      </w:r>
      <w:r>
        <w:rPr>
          <w:w w:val="105"/>
        </w:rPr>
        <w:t>批评</w:t>
      </w:r>
      <w:r>
        <w:rPr>
          <w:rFonts w:hint="eastAsia" w:ascii="MS UI Gothic" w:eastAsia="MS UI Gothic"/>
          <w:w w:val="235"/>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未依照本条例第十九条的规定对电梯进行校验</w:t>
      </w:r>
      <w:r>
        <w:rPr>
          <w:rFonts w:hint="eastAsia" w:ascii="MS UI Gothic" w:eastAsia="MS UI Gothic"/>
          <w:w w:val="80"/>
        </w:rPr>
        <w:t xml:space="preserve">、 </w:t>
      </w:r>
      <w:r>
        <w:rPr>
          <w:w w:val="105"/>
        </w:rPr>
        <w:t>调试的</w:t>
      </w:r>
      <w:r>
        <w:rPr>
          <w:rFonts w:hint="eastAsia" w:ascii="MS UI Gothic" w:eastAsia="MS UI Gothic"/>
          <w:w w:val="80"/>
        </w:rPr>
        <w:t>ꎻ</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对电梯的安全运行情况进行跟</w:t>
      </w:r>
      <w:r>
        <w:t>踪调查和了解时</w:t>
      </w:r>
      <w:r>
        <w:rPr>
          <w:rFonts w:hint="eastAsia" w:ascii="MS UI Gothic" w:eastAsia="MS UI Gothic"/>
          <w:w w:val="80"/>
        </w:rPr>
        <w:t xml:space="preserve">ꎬ </w:t>
      </w:r>
      <w:r>
        <w:t>发现存在严重事故隐患</w:t>
      </w:r>
      <w:r>
        <w:rPr>
          <w:rFonts w:hint="eastAsia" w:ascii="MS UI Gothic" w:eastAsia="MS UI Gothic"/>
          <w:w w:val="80"/>
        </w:rPr>
        <w:t xml:space="preserve">ꎬ </w:t>
      </w:r>
      <w:r>
        <w:t>未及时向特种设备安全监督管理部门</w:t>
      </w:r>
      <w:r>
        <w:rPr>
          <w:w w:val="105"/>
        </w:rPr>
        <w:t>报告的</w:t>
      </w:r>
      <w:r>
        <w:rPr>
          <w:rFonts w:hint="eastAsia" w:ascii="MS UI Gothic" w:eastAsia="MS UI Gothic"/>
          <w:w w:val="80"/>
        </w:rPr>
        <w:t>ꎮ</w:t>
      </w:r>
    </w:p>
    <w:p>
      <w:pPr>
        <w:pStyle w:val="6"/>
        <w:spacing w:line="295" w:lineRule="auto"/>
        <w:ind w:left="381" w:right="126"/>
        <w:rPr>
          <w:rFonts w:hint="eastAsia" w:ascii="MS UI Gothic" w:eastAsia="MS UI Gothic"/>
        </w:rPr>
      </w:pPr>
      <w:r>
        <w:t>第八十二条 已经取得许可</w:t>
      </w:r>
      <w:r>
        <w:rPr>
          <w:rFonts w:hint="eastAsia" w:ascii="MS UI Gothic" w:eastAsia="MS UI Gothic"/>
          <w:w w:val="80"/>
        </w:rPr>
        <w:t xml:space="preserve">、 </w:t>
      </w:r>
      <w:r>
        <w:t>核准的特种设备生产单位</w:t>
      </w:r>
      <w:r>
        <w:rPr>
          <w:rFonts w:hint="eastAsia" w:ascii="MS UI Gothic" w:eastAsia="MS UI Gothic"/>
          <w:w w:val="80"/>
        </w:rPr>
        <w:t xml:space="preserve">、 </w:t>
      </w:r>
      <w:r>
        <w:t>检验检测机构有下列行为之一的</w:t>
      </w:r>
      <w:r>
        <w:rPr>
          <w:rFonts w:hint="eastAsia" w:ascii="MS UI Gothic" w:eastAsia="MS UI Gothic"/>
          <w:w w:val="80"/>
        </w:rPr>
        <w:t xml:space="preserve">ꎬ </w:t>
      </w:r>
      <w:r>
        <w:t>由特种设备安全监督管理部门责令改正</w:t>
      </w:r>
      <w:r>
        <w:rPr>
          <w:rFonts w:hint="eastAsia" w:ascii="MS UI Gothic" w:eastAsia="MS UI Gothic"/>
          <w:w w:val="80"/>
        </w:rPr>
        <w:t xml:space="preserve">ꎬ </w:t>
      </w:r>
      <w:r>
        <w:t xml:space="preserve">处 </w:t>
      </w:r>
      <w:r>
        <w:rPr>
          <w:rFonts w:hint="eastAsia" w:ascii="MS UI Gothic" w:eastAsia="MS UI Gothic"/>
          <w:w w:val="80"/>
        </w:rPr>
        <w:t xml:space="preserve">２ </w:t>
      </w:r>
      <w:r>
        <w:t xml:space="preserve">万元以上 </w:t>
      </w:r>
      <w:r>
        <w:rPr>
          <w:rFonts w:hint="eastAsia" w:ascii="MS UI Gothic" w:eastAsia="MS UI Gothic"/>
          <w:w w:val="80"/>
        </w:rPr>
        <w:t xml:space="preserve">１０ </w:t>
      </w:r>
      <w:r>
        <w:t>万元以下罚款</w:t>
      </w:r>
      <w:r>
        <w:rPr>
          <w:rFonts w:hint="eastAsia" w:ascii="MS UI Gothic" w:eastAsia="MS UI Gothic"/>
          <w:w w:val="80"/>
        </w:rPr>
        <w:t xml:space="preserve">ꎻ </w:t>
      </w:r>
      <w:r>
        <w:t>情节严重的</w:t>
      </w:r>
      <w:r>
        <w:rPr>
          <w:rFonts w:hint="eastAsia" w:ascii="MS UI Gothic" w:eastAsia="MS UI Gothic"/>
          <w:w w:val="80"/>
        </w:rPr>
        <w:t xml:space="preserve">ꎬ </w:t>
      </w:r>
      <w:r>
        <w:t>撤销其相应资格</w:t>
      </w:r>
      <w:r>
        <w:rPr>
          <w:rFonts w:hint="eastAsia" w:ascii="MS UI Gothic" w:eastAsia="MS UI Gothic"/>
          <w:w w:val="230"/>
        </w:rPr>
        <w:t>:</w:t>
      </w:r>
    </w:p>
    <w:p>
      <w:pPr>
        <w:pStyle w:val="6"/>
        <w:spacing w:line="252" w:lineRule="exact"/>
        <w:ind w:left="800" w:firstLine="0"/>
      </w:pPr>
      <w:r>
        <w:rPr>
          <w:rFonts w:hint="eastAsia" w:ascii="MS UI Gothic" w:eastAsia="MS UI Gothic"/>
          <w:w w:val="110"/>
        </w:rPr>
        <w:t xml:space="preserve">( </w:t>
      </w:r>
      <w:r>
        <w:rPr>
          <w:w w:val="110"/>
        </w:rPr>
        <w:t>一</w:t>
      </w:r>
      <w:r>
        <w:rPr>
          <w:rFonts w:hint="eastAsia" w:ascii="MS UI Gothic" w:eastAsia="MS UI Gothic"/>
          <w:w w:val="110"/>
        </w:rPr>
        <w:t xml:space="preserve">) </w:t>
      </w:r>
      <w:r>
        <w:rPr>
          <w:w w:val="110"/>
        </w:rPr>
        <w:t>未按照安全技术规范的要求办</w:t>
      </w:r>
    </w:p>
    <w:p>
      <w:pPr>
        <w:spacing w:after="0" w:line="252" w:lineRule="exact"/>
        <w:sectPr>
          <w:type w:val="continuous"/>
          <w:pgSz w:w="10500" w:h="14750"/>
          <w:pgMar w:top="1400" w:right="980" w:bottom="280" w:left="980" w:header="720" w:footer="720" w:gutter="0"/>
          <w:cols w:equalWidth="0" w:num="2">
            <w:col w:w="4212" w:space="40"/>
            <w:col w:w="4288"/>
          </w:cols>
        </w:sectPr>
      </w:pPr>
    </w:p>
    <w:p>
      <w:pPr>
        <w:tabs>
          <w:tab w:val="left" w:pos="2426"/>
        </w:tabs>
        <w:spacing w:before="162"/>
        <w:ind w:left="280" w:right="0" w:firstLine="0"/>
        <w:jc w:val="left"/>
        <w:rPr>
          <w:rFonts w:hint="eastAsia" w:ascii="Microsoft Yi Baiti" w:eastAsia="Microsoft Yi Baiti"/>
          <w:sz w:val="17"/>
        </w:rPr>
      </w:pPr>
      <w:r>
        <w:pict>
          <v:group id="_x0000_s2434" o:spid="_x0000_s2434" o:spt="203" style="position:absolute;left:0pt;margin-left:55.1pt;margin-top:23.85pt;height:2.15pt;width:398.25pt;mso-position-horizontal-relative:page;mso-wrap-distance-bottom:0pt;mso-wrap-distance-top:0pt;z-index:-251087872;mso-width-relative:page;mso-height-relative:page;" coordorigin="1103,477" coordsize="7965,43">
            <o:lock v:ext="edit"/>
            <v:line id="_x0000_s2435" o:spid="_x0000_s2435" o:spt="20" style="position:absolute;left:1103;top:516;height:0;width:7964;" stroked="t" coordsize="21600,21600">
              <v:path arrowok="t"/>
              <v:fill focussize="0,0"/>
              <v:stroke weight="0.388031496062992pt" color="#231F20"/>
              <v:imagedata o:title=""/>
              <o:lock v:ext="edit"/>
            </v:line>
            <v:line id="_x0000_s2436" o:spid="_x0000_s2436" o:spt="20" style="position:absolute;left:1103;top:481;height:0;width:7964;" stroked="t" coordsize="21600,21600">
              <v:path arrowok="t"/>
              <v:fill focussize="0,0"/>
              <v:stroke weight="0.388031496062992pt" color="#231F20"/>
              <v:imagedata o:title=""/>
              <o:lock v:ext="edit"/>
            </v:line>
            <w10:wrap type="topAndBottom"/>
          </v:group>
        </w:pict>
      </w:r>
      <w:r>
        <w:rPr>
          <w:rFonts w:hint="eastAsia" w:ascii="MS UI Gothic" w:eastAsia="MS UI Gothic"/>
          <w:spacing w:val="1"/>
          <w:w w:val="75"/>
          <w:sz w:val="20"/>
        </w:rPr>
        <w:t>４７８</w:t>
      </w:r>
      <w:r>
        <w:rPr>
          <w:rFonts w:hint="eastAsia" w:ascii="MS UI Gothic" w:eastAsia="MS UI Gothic"/>
          <w:sz w:val="20"/>
        </w:rPr>
        <w:tab/>
      </w:r>
      <w:r>
        <w:rPr>
          <w:spacing w:val="2"/>
          <w:w w:val="103"/>
          <w:sz w:val="17"/>
        </w:rPr>
        <w:t>应急管理法律法规及相关规章全书</w:t>
      </w:r>
      <w:r>
        <w:rPr>
          <w:spacing w:val="8"/>
          <w:sz w:val="17"/>
        </w:rPr>
        <w:t xml:space="preserve"> </w:t>
      </w:r>
      <w:r>
        <w:rPr>
          <w:rFonts w:hint="eastAsia" w:ascii="Microsoft Yi Baiti" w:eastAsia="Microsoft Yi Baiti"/>
          <w:spacing w:val="14"/>
          <w:w w:val="102"/>
          <w:sz w:val="17"/>
        </w:rPr>
        <w:t>(</w:t>
      </w:r>
      <w:r>
        <w:rPr>
          <w:spacing w:val="-1"/>
          <w:w w:val="51"/>
          <w:sz w:val="17"/>
        </w:rPr>
        <w:t>２０２０</w:t>
      </w:r>
      <w:r>
        <w:rPr>
          <w:rFonts w:hint="eastAsia" w:ascii="Microsoft Yi Baiti" w:eastAsia="Microsoft Yi Baiti"/>
          <w:w w:val="102"/>
          <w:sz w:val="17"/>
        </w:rPr>
        <w:t>)</w:t>
      </w:r>
    </w:p>
    <w:p>
      <w:pPr>
        <w:pStyle w:val="6"/>
        <w:tabs>
          <w:tab w:val="left" w:pos="4735"/>
        </w:tabs>
        <w:spacing w:before="163" w:line="240" w:lineRule="exact"/>
        <w:ind w:firstLine="0"/>
        <w:jc w:val="left"/>
      </w:pPr>
      <w:r>
        <w:rPr>
          <w:spacing w:val="3"/>
        </w:rPr>
        <w:t>理许可证变更手续的</w:t>
      </w:r>
      <w:r>
        <w:rPr>
          <w:rFonts w:hint="eastAsia" w:ascii="MS UI Gothic" w:eastAsia="MS UI Gothic"/>
          <w:w w:val="80"/>
        </w:rPr>
        <w:t>ꎻ</w:t>
      </w:r>
      <w:r>
        <w:rPr>
          <w:rFonts w:hint="eastAsia" w:ascii="MS UI Gothic" w:eastAsia="MS UI Gothic"/>
          <w:w w:val="80"/>
        </w:rPr>
        <w:tab/>
      </w:r>
      <w:r>
        <w:rPr>
          <w:rFonts w:hint="eastAsia" w:ascii="MS UI Gothic" w:eastAsia="MS UI Gothic"/>
          <w:w w:val="150"/>
        </w:rPr>
        <w:t>(</w:t>
      </w:r>
      <w:r>
        <w:rPr>
          <w:rFonts w:hint="eastAsia" w:ascii="MS UI Gothic" w:eastAsia="MS UI Gothic"/>
          <w:spacing w:val="-77"/>
          <w:w w:val="150"/>
        </w:rPr>
        <w:t xml:space="preserve"> </w:t>
      </w:r>
      <w:r>
        <w:rPr>
          <w:spacing w:val="3"/>
          <w:w w:val="110"/>
        </w:rPr>
        <w:t>九</w:t>
      </w:r>
      <w:r>
        <w:rPr>
          <w:rFonts w:hint="eastAsia" w:ascii="MS UI Gothic" w:eastAsia="MS UI Gothic"/>
          <w:w w:val="150"/>
        </w:rPr>
        <w:t>)</w:t>
      </w:r>
      <w:r>
        <w:rPr>
          <w:rFonts w:hint="eastAsia" w:ascii="MS UI Gothic" w:eastAsia="MS UI Gothic"/>
          <w:spacing w:val="-2"/>
          <w:w w:val="150"/>
        </w:rPr>
        <w:t xml:space="preserve"> </w:t>
      </w:r>
      <w:r>
        <w:rPr>
          <w:spacing w:val="3"/>
          <w:w w:val="110"/>
        </w:rPr>
        <w:t>未按</w:t>
      </w:r>
      <w:r>
        <w:rPr>
          <w:spacing w:val="9"/>
          <w:w w:val="110"/>
        </w:rPr>
        <w:t>照安全技术规</w:t>
      </w:r>
      <w:r>
        <w:rPr>
          <w:spacing w:val="11"/>
          <w:w w:val="110"/>
        </w:rPr>
        <w:t>范要求进</w:t>
      </w:r>
      <w:r>
        <w:rPr>
          <w:w w:val="110"/>
        </w:rPr>
        <w:t>行</w:t>
      </w:r>
    </w:p>
    <w:p>
      <w:pPr>
        <w:spacing w:after="0" w:line="240" w:lineRule="exact"/>
        <w:jc w:val="left"/>
        <w:sectPr>
          <w:pgSz w:w="10500" w:h="14750"/>
          <w:pgMar w:top="960" w:right="980" w:bottom="280" w:left="980" w:header="720" w:footer="720" w:gutter="0"/>
        </w:sectPr>
      </w:pPr>
    </w:p>
    <w:p>
      <w:pPr>
        <w:pStyle w:val="6"/>
        <w:spacing w:before="74"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不再符合本条例规定或者安全</w:t>
      </w:r>
      <w:r>
        <w:t>技术规范要求的条件</w:t>
      </w:r>
      <w:r>
        <w:rPr>
          <w:rFonts w:hint="eastAsia" w:ascii="MS UI Gothic" w:eastAsia="MS UI Gothic"/>
          <w:w w:val="80"/>
        </w:rPr>
        <w:t xml:space="preserve">ꎬ </w:t>
      </w:r>
      <w:r>
        <w:t>继续从事特种设备</w:t>
      </w:r>
      <w:r>
        <w:rPr>
          <w:w w:val="105"/>
        </w:rPr>
        <w:t>生产</w:t>
      </w:r>
      <w:r>
        <w:rPr>
          <w:rFonts w:hint="eastAsia" w:ascii="MS UI Gothic" w:eastAsia="MS UI Gothic"/>
          <w:w w:val="80"/>
        </w:rPr>
        <w:t xml:space="preserve">、 </w:t>
      </w:r>
      <w:r>
        <w:rPr>
          <w:w w:val="105"/>
        </w:rPr>
        <w:t>检验检测的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未依照本条例规定或者安全技术规范要求进行特种设备生产</w:t>
      </w:r>
      <w:r>
        <w:rPr>
          <w:rFonts w:hint="eastAsia" w:ascii="MS UI Gothic" w:eastAsia="MS UI Gothic"/>
          <w:w w:val="80"/>
        </w:rPr>
        <w:t xml:space="preserve">、 </w:t>
      </w:r>
      <w:r>
        <w:rPr>
          <w:w w:val="105"/>
        </w:rPr>
        <w:t>检验检测的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伪造</w:t>
      </w:r>
      <w:r>
        <w:rPr>
          <w:rFonts w:hint="eastAsia" w:ascii="MS UI Gothic" w:eastAsia="MS UI Gothic"/>
          <w:w w:val="80"/>
        </w:rPr>
        <w:t xml:space="preserve">、 </w:t>
      </w:r>
      <w:r>
        <w:rPr>
          <w:w w:val="105"/>
        </w:rPr>
        <w:t>变造</w:t>
      </w:r>
      <w:r>
        <w:rPr>
          <w:rFonts w:hint="eastAsia" w:ascii="MS UI Gothic" w:eastAsia="MS UI Gothic"/>
          <w:w w:val="80"/>
        </w:rPr>
        <w:t xml:space="preserve">、 </w:t>
      </w:r>
      <w:r>
        <w:rPr>
          <w:w w:val="105"/>
        </w:rPr>
        <w:t>出租</w:t>
      </w:r>
      <w:r>
        <w:rPr>
          <w:rFonts w:hint="eastAsia" w:ascii="MS UI Gothic" w:eastAsia="MS UI Gothic"/>
          <w:w w:val="80"/>
        </w:rPr>
        <w:t xml:space="preserve">、 </w:t>
      </w:r>
      <w:r>
        <w:rPr>
          <w:w w:val="105"/>
        </w:rPr>
        <w:t>出借</w:t>
      </w:r>
      <w:r>
        <w:rPr>
          <w:rFonts w:hint="eastAsia" w:ascii="MS UI Gothic" w:eastAsia="MS UI Gothic"/>
          <w:w w:val="80"/>
        </w:rPr>
        <w:t xml:space="preserve">、 </w:t>
      </w:r>
      <w:r>
        <w:rPr>
          <w:w w:val="105"/>
        </w:rPr>
        <w:t>转让许可证书或者监督检验报告的</w:t>
      </w:r>
      <w:r>
        <w:rPr>
          <w:rFonts w:hint="eastAsia" w:ascii="MS UI Gothic" w:eastAsia="MS UI Gothic"/>
          <w:w w:val="80"/>
        </w:rPr>
        <w:t>ꎮ</w:t>
      </w:r>
    </w:p>
    <w:p>
      <w:pPr>
        <w:pStyle w:val="6"/>
        <w:spacing w:line="295" w:lineRule="auto"/>
        <w:ind w:left="118" w:right="38" w:firstLine="425"/>
        <w:rPr>
          <w:rFonts w:hint="eastAsia" w:ascii="MS UI Gothic" w:eastAsia="MS UI Gothic"/>
        </w:rPr>
      </w:pPr>
      <w:r>
        <w:rPr>
          <w:spacing w:val="4"/>
        </w:rPr>
        <w:t>第八十三条 特种设备使用单位有下</w:t>
      </w:r>
      <w:r>
        <w:rPr>
          <w:spacing w:val="3"/>
        </w:rPr>
        <w:t>列情形之一的</w:t>
      </w:r>
      <w:r>
        <w:rPr>
          <w:rFonts w:hint="eastAsia" w:ascii="MS UI Gothic" w:eastAsia="MS UI Gothic"/>
          <w:spacing w:val="13"/>
          <w:w w:val="85"/>
        </w:rPr>
        <w:t xml:space="preserve">ꎬ </w:t>
      </w:r>
      <w:r>
        <w:rPr>
          <w:spacing w:val="2"/>
        </w:rPr>
        <w:t>由特种设备安全监督管理</w:t>
      </w:r>
      <w:r>
        <w:rPr>
          <w:spacing w:val="12"/>
        </w:rPr>
        <w:t>部门责令限期改正</w:t>
      </w:r>
      <w:r>
        <w:rPr>
          <w:rFonts w:hint="eastAsia" w:ascii="MS UI Gothic" w:eastAsia="MS UI Gothic"/>
          <w:spacing w:val="21"/>
          <w:w w:val="85"/>
        </w:rPr>
        <w:t xml:space="preserve">ꎻ </w:t>
      </w:r>
      <w:r>
        <w:rPr>
          <w:spacing w:val="19"/>
        </w:rPr>
        <w:t>逾期未改正的</w:t>
      </w:r>
      <w:r>
        <w:rPr>
          <w:rFonts w:hint="eastAsia" w:ascii="MS UI Gothic" w:eastAsia="MS UI Gothic"/>
          <w:spacing w:val="21"/>
          <w:w w:val="85"/>
        </w:rPr>
        <w:t xml:space="preserve">ꎬ </w:t>
      </w:r>
      <w:r>
        <w:t>处</w:t>
      </w:r>
      <w:r>
        <w:rPr>
          <w:rFonts w:hint="eastAsia" w:ascii="MS UI Gothic" w:eastAsia="MS UI Gothic"/>
          <w:w w:val="85"/>
        </w:rPr>
        <w:t xml:space="preserve">２０００ </w:t>
      </w:r>
      <w:r>
        <w:rPr>
          <w:spacing w:val="-5"/>
        </w:rPr>
        <w:t xml:space="preserve">元以上 </w:t>
      </w:r>
      <w:r>
        <w:rPr>
          <w:rFonts w:hint="eastAsia" w:ascii="MS UI Gothic" w:eastAsia="MS UI Gothic"/>
          <w:spacing w:val="4"/>
          <w:w w:val="85"/>
        </w:rPr>
        <w:t xml:space="preserve">２ </w:t>
      </w:r>
      <w:r>
        <w:rPr>
          <w:spacing w:val="13"/>
        </w:rPr>
        <w:t>万元以下罚款</w:t>
      </w:r>
      <w:r>
        <w:rPr>
          <w:rFonts w:hint="eastAsia" w:ascii="MS UI Gothic" w:eastAsia="MS UI Gothic"/>
          <w:spacing w:val="20"/>
          <w:w w:val="85"/>
        </w:rPr>
        <w:t xml:space="preserve">ꎻ </w:t>
      </w:r>
      <w:r>
        <w:rPr>
          <w:spacing w:val="12"/>
        </w:rPr>
        <w:t>情节严重</w:t>
      </w:r>
      <w:r>
        <w:rPr>
          <w:spacing w:val="3"/>
        </w:rPr>
        <w:t>的</w:t>
      </w:r>
      <w:r>
        <w:rPr>
          <w:rFonts w:hint="eastAsia" w:ascii="MS UI Gothic" w:eastAsia="MS UI Gothic"/>
          <w:spacing w:val="4"/>
          <w:w w:val="85"/>
        </w:rPr>
        <w:t xml:space="preserve">ꎬ </w:t>
      </w:r>
      <w:r>
        <w:rPr>
          <w:spacing w:val="3"/>
        </w:rPr>
        <w:t>责令停止使用或者停产停业整顿</w:t>
      </w:r>
      <w:r>
        <w:rPr>
          <w:rFonts w:hint="eastAsia" w:ascii="MS UI Gothic" w:eastAsia="MS UI Gothic"/>
          <w:w w:val="225"/>
        </w:rPr>
        <w:t>:</w:t>
      </w:r>
    </w:p>
    <w:p>
      <w:pPr>
        <w:pStyle w:val="6"/>
        <w:spacing w:line="295" w:lineRule="auto"/>
        <w:ind w:right="38"/>
        <w:rPr>
          <w:rFonts w:hint="eastAsia" w:ascii="MS UI Gothic" w:eastAsia="MS UI Gothic"/>
        </w:rPr>
      </w:pPr>
      <w:r>
        <w:rPr>
          <w:rFonts w:hint="eastAsia" w:ascii="MS UI Gothic" w:eastAsia="MS UI Gothic"/>
          <w:spacing w:val="-27"/>
          <w:w w:val="145"/>
        </w:rPr>
        <w:t xml:space="preserve">( </w:t>
      </w:r>
      <w:r>
        <w:rPr>
          <w:spacing w:val="3"/>
        </w:rPr>
        <w:t>一</w:t>
      </w:r>
      <w:r>
        <w:rPr>
          <w:rFonts w:hint="eastAsia" w:ascii="MS UI Gothic" w:eastAsia="MS UI Gothic"/>
          <w:spacing w:val="17"/>
          <w:w w:val="145"/>
        </w:rPr>
        <w:t xml:space="preserve">) </w:t>
      </w:r>
      <w:r>
        <w:rPr>
          <w:spacing w:val="5"/>
        </w:rPr>
        <w:t>特种设备投入使用前或者投入</w:t>
      </w:r>
      <w:r>
        <w:rPr>
          <w:spacing w:val="-11"/>
        </w:rPr>
        <w:t xml:space="preserve">使用后 </w:t>
      </w:r>
      <w:r>
        <w:rPr>
          <w:rFonts w:hint="eastAsia" w:ascii="MS UI Gothic" w:eastAsia="MS UI Gothic"/>
          <w:spacing w:val="5"/>
          <w:w w:val="80"/>
        </w:rPr>
        <w:t xml:space="preserve">３０ </w:t>
      </w:r>
      <w:r>
        <w:rPr>
          <w:spacing w:val="8"/>
        </w:rPr>
        <w:t>日内</w:t>
      </w:r>
      <w:r>
        <w:rPr>
          <w:rFonts w:hint="eastAsia" w:ascii="MS UI Gothic" w:eastAsia="MS UI Gothic"/>
          <w:spacing w:val="12"/>
          <w:w w:val="80"/>
        </w:rPr>
        <w:t xml:space="preserve">ꎬ </w:t>
      </w:r>
      <w:r>
        <w:rPr>
          <w:spacing w:val="11"/>
        </w:rPr>
        <w:t>未向特种设备安全监督</w:t>
      </w:r>
      <w:r>
        <w:rPr>
          <w:spacing w:val="3"/>
        </w:rPr>
        <w:t>管理部门登记</w:t>
      </w:r>
      <w:r>
        <w:rPr>
          <w:rFonts w:hint="eastAsia" w:ascii="MS UI Gothic" w:eastAsia="MS UI Gothic"/>
          <w:w w:val="80"/>
        </w:rPr>
        <w:t xml:space="preserve">ꎬ </w:t>
      </w:r>
      <w:r>
        <w:rPr>
          <w:spacing w:val="3"/>
        </w:rPr>
        <w:t>擅自将其投入使用的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未依照本条例第二十六条的规定</w:t>
      </w:r>
      <w:r>
        <w:rPr>
          <w:rFonts w:hint="eastAsia" w:ascii="MS UI Gothic" w:eastAsia="MS UI Gothic"/>
          <w:w w:val="80"/>
        </w:rPr>
        <w:t xml:space="preserve">ꎬ </w:t>
      </w:r>
      <w:r>
        <w:rPr>
          <w:w w:val="105"/>
        </w:rPr>
        <w:t>建立特种设备安全技术档案的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未依照本条例第二十七条的规</w:t>
      </w:r>
      <w:r>
        <w:t>定</w:t>
      </w:r>
      <w:r>
        <w:rPr>
          <w:rFonts w:hint="eastAsia" w:ascii="MS UI Gothic" w:eastAsia="MS UI Gothic"/>
          <w:w w:val="80"/>
        </w:rPr>
        <w:t xml:space="preserve">ꎬ </w:t>
      </w:r>
      <w:r>
        <w:t>对在用特种设备进行经常性日常维护保养和定期自行检查的</w:t>
      </w:r>
      <w:r>
        <w:rPr>
          <w:rFonts w:hint="eastAsia" w:ascii="MS UI Gothic" w:eastAsia="MS UI Gothic"/>
          <w:w w:val="80"/>
        </w:rPr>
        <w:t xml:space="preserve">ꎬ </w:t>
      </w:r>
      <w:r>
        <w:t>或者对在用特种</w:t>
      </w:r>
      <w:r>
        <w:rPr>
          <w:w w:val="105"/>
        </w:rPr>
        <w:t>设备的安全附件</w:t>
      </w:r>
      <w:r>
        <w:rPr>
          <w:rFonts w:hint="eastAsia" w:ascii="MS UI Gothic" w:eastAsia="MS UI Gothic"/>
          <w:w w:val="80"/>
        </w:rPr>
        <w:t xml:space="preserve">、 </w:t>
      </w:r>
      <w:r>
        <w:rPr>
          <w:w w:val="105"/>
        </w:rPr>
        <w:t>安全保护装置</w:t>
      </w:r>
      <w:r>
        <w:rPr>
          <w:rFonts w:hint="eastAsia" w:ascii="MS UI Gothic" w:eastAsia="MS UI Gothic"/>
          <w:w w:val="80"/>
        </w:rPr>
        <w:t xml:space="preserve">、 </w:t>
      </w:r>
      <w:r>
        <w:rPr>
          <w:w w:val="105"/>
        </w:rPr>
        <w:t>测量调</w:t>
      </w:r>
      <w:r>
        <w:t>控装置及有关附属仪器仪表进行定期校</w:t>
      </w:r>
      <w:r>
        <w:rPr>
          <w:w w:val="105"/>
        </w:rPr>
        <w:t>验</w:t>
      </w:r>
      <w:r>
        <w:rPr>
          <w:rFonts w:hint="eastAsia" w:ascii="MS UI Gothic" w:eastAsia="MS UI Gothic"/>
          <w:w w:val="80"/>
        </w:rPr>
        <w:t xml:space="preserve">、 </w:t>
      </w:r>
      <w:r>
        <w:rPr>
          <w:w w:val="105"/>
        </w:rPr>
        <w:t>检修</w:t>
      </w:r>
      <w:r>
        <w:rPr>
          <w:rFonts w:hint="eastAsia" w:ascii="MS UI Gothic" w:eastAsia="MS UI Gothic"/>
          <w:w w:val="80"/>
        </w:rPr>
        <w:t xml:space="preserve">ꎬ </w:t>
      </w:r>
      <w:r>
        <w:rPr>
          <w:w w:val="105"/>
        </w:rPr>
        <w:t>并作出记录的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未按照安全技术规范的定期检</w:t>
      </w:r>
      <w:r>
        <w:t>验要求</w:t>
      </w:r>
      <w:r>
        <w:rPr>
          <w:rFonts w:hint="eastAsia" w:ascii="MS UI Gothic" w:eastAsia="MS UI Gothic"/>
          <w:w w:val="80"/>
        </w:rPr>
        <w:t xml:space="preserve">ꎬ </w:t>
      </w:r>
      <w:r>
        <w:t xml:space="preserve">在安全检验合格有效期届满前 </w:t>
      </w:r>
      <w:r>
        <w:rPr>
          <w:rFonts w:hint="eastAsia" w:ascii="MS UI Gothic" w:eastAsia="MS UI Gothic"/>
          <w:w w:val="80"/>
        </w:rPr>
        <w:t xml:space="preserve">１ </w:t>
      </w:r>
      <w:r>
        <w:t>个月向特种设备检验检测机构提出定期检</w:t>
      </w:r>
      <w:r>
        <w:rPr>
          <w:w w:val="105"/>
        </w:rPr>
        <w:t>验要求的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使用未经定期检验或者检验不</w:t>
      </w:r>
      <w:r>
        <w:rPr>
          <w:w w:val="110"/>
        </w:rPr>
        <w:t>合格的特种设备的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特种设备出现故障或者发生异常情况</w:t>
      </w:r>
      <w:r>
        <w:rPr>
          <w:rFonts w:hint="eastAsia" w:ascii="MS UI Gothic" w:eastAsia="MS UI Gothic"/>
          <w:w w:val="80"/>
        </w:rPr>
        <w:t xml:space="preserve">ꎬ </w:t>
      </w:r>
      <w:r>
        <w:rPr>
          <w:w w:val="105"/>
        </w:rPr>
        <w:t>未对其进行全面检查</w:t>
      </w:r>
      <w:r>
        <w:rPr>
          <w:rFonts w:hint="eastAsia" w:ascii="MS UI Gothic" w:eastAsia="MS UI Gothic"/>
          <w:w w:val="80"/>
        </w:rPr>
        <w:t xml:space="preserve">、 </w:t>
      </w:r>
      <w:r>
        <w:rPr>
          <w:w w:val="105"/>
        </w:rPr>
        <w:t>消除事故隐患</w:t>
      </w:r>
      <w:r>
        <w:rPr>
          <w:rFonts w:hint="eastAsia" w:ascii="MS UI Gothic" w:eastAsia="MS UI Gothic"/>
          <w:w w:val="80"/>
        </w:rPr>
        <w:t xml:space="preserve">ꎬ </w:t>
      </w:r>
      <w:r>
        <w:rPr>
          <w:w w:val="105"/>
        </w:rPr>
        <w:t>继续投入使用的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05"/>
        </w:rPr>
        <w:t xml:space="preserve">( </w:t>
      </w:r>
      <w:r>
        <w:rPr>
          <w:w w:val="105"/>
        </w:rPr>
        <w:t>七</w:t>
      </w:r>
      <w:r>
        <w:rPr>
          <w:rFonts w:hint="eastAsia" w:ascii="MS UI Gothic" w:eastAsia="MS UI Gothic"/>
          <w:w w:val="105"/>
        </w:rPr>
        <w:t xml:space="preserve">) </w:t>
      </w:r>
      <w:r>
        <w:rPr>
          <w:w w:val="105"/>
        </w:rPr>
        <w:t>未制定特种设备事故应急专项</w:t>
      </w:r>
      <w:r>
        <w:rPr>
          <w:w w:val="110"/>
        </w:rPr>
        <w:t>预案的</w:t>
      </w:r>
      <w:r>
        <w:rPr>
          <w:rFonts w:hint="eastAsia" w:ascii="MS UI Gothic" w:eastAsia="MS UI Gothic"/>
          <w:w w:val="80"/>
        </w:rPr>
        <w:t>ꎻ</w:t>
      </w:r>
    </w:p>
    <w:p>
      <w:pPr>
        <w:pStyle w:val="6"/>
        <w:spacing w:line="295" w:lineRule="auto"/>
        <w:ind w:right="38"/>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未依照本条例第三十一条第二款的规定</w:t>
      </w:r>
      <w:r>
        <w:rPr>
          <w:rFonts w:hint="eastAsia" w:ascii="MS UI Gothic" w:eastAsia="MS UI Gothic"/>
          <w:w w:val="80"/>
        </w:rPr>
        <w:t xml:space="preserve">ꎬ </w:t>
      </w:r>
      <w:r>
        <w:rPr>
          <w:w w:val="105"/>
        </w:rPr>
        <w:t>对电梯进行清洁</w:t>
      </w:r>
      <w:r>
        <w:rPr>
          <w:rFonts w:hint="eastAsia" w:ascii="MS UI Gothic" w:eastAsia="MS UI Gothic"/>
          <w:w w:val="80"/>
        </w:rPr>
        <w:t xml:space="preserve">、 </w:t>
      </w:r>
      <w:r>
        <w:rPr>
          <w:w w:val="105"/>
        </w:rPr>
        <w:t>润滑</w:t>
      </w:r>
      <w:r>
        <w:rPr>
          <w:rFonts w:hint="eastAsia" w:ascii="MS UI Gothic" w:eastAsia="MS UI Gothic"/>
          <w:w w:val="80"/>
        </w:rPr>
        <w:t xml:space="preserve">、 </w:t>
      </w:r>
      <w:r>
        <w:rPr>
          <w:w w:val="105"/>
        </w:rPr>
        <w:t>调整和检查的</w:t>
      </w:r>
      <w:r>
        <w:rPr>
          <w:rFonts w:hint="eastAsia" w:ascii="MS UI Gothic" w:eastAsia="MS UI Gothic"/>
          <w:w w:val="80"/>
        </w:rPr>
        <w:t>ꎻ</w:t>
      </w:r>
    </w:p>
    <w:p>
      <w:pPr>
        <w:pStyle w:val="6"/>
        <w:spacing w:before="74"/>
        <w:ind w:firstLine="0"/>
        <w:jc w:val="left"/>
        <w:rPr>
          <w:rFonts w:hint="eastAsia" w:ascii="MS UI Gothic" w:eastAsia="MS UI Gothic"/>
        </w:rPr>
      </w:pPr>
      <w:r>
        <w:br w:type="column"/>
      </w:r>
      <w:r>
        <w:rPr>
          <w:w w:val="110"/>
        </w:rPr>
        <w:t xml:space="preserve">锅炉水 </w:t>
      </w:r>
      <w:r>
        <w:rPr>
          <w:rFonts w:hint="eastAsia" w:ascii="MS UI Gothic" w:eastAsia="MS UI Gothic"/>
          <w:w w:val="150"/>
        </w:rPr>
        <w:t xml:space="preserve">( </w:t>
      </w:r>
      <w:r>
        <w:rPr>
          <w:w w:val="110"/>
        </w:rPr>
        <w:t>介</w:t>
      </w:r>
      <w:r>
        <w:rPr>
          <w:rFonts w:hint="eastAsia" w:ascii="MS UI Gothic" w:eastAsia="MS UI Gothic"/>
          <w:w w:val="150"/>
        </w:rPr>
        <w:t xml:space="preserve">) </w:t>
      </w:r>
      <w:r>
        <w:rPr>
          <w:w w:val="110"/>
        </w:rPr>
        <w:t>质处理的</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w w:val="150"/>
        </w:rPr>
        <w:t xml:space="preserve">( </w:t>
      </w:r>
      <w:r>
        <w:rPr>
          <w:w w:val="105"/>
        </w:rPr>
        <w:t>十</w:t>
      </w:r>
      <w:r>
        <w:rPr>
          <w:rFonts w:hint="eastAsia" w:ascii="MS UI Gothic" w:eastAsia="MS UI Gothic"/>
          <w:w w:val="150"/>
        </w:rPr>
        <w:t xml:space="preserve">) </w:t>
      </w:r>
      <w:r>
        <w:rPr>
          <w:w w:val="105"/>
        </w:rPr>
        <w:t>特种设备不符合能效指标</w:t>
      </w:r>
      <w:r>
        <w:rPr>
          <w:rFonts w:hint="eastAsia" w:ascii="MS UI Gothic" w:eastAsia="MS UI Gothic"/>
          <w:w w:val="80"/>
        </w:rPr>
        <w:t xml:space="preserve">ꎬ </w:t>
      </w:r>
      <w:r>
        <w:rPr>
          <w:w w:val="105"/>
        </w:rPr>
        <w:t>未及时采取相应措施进行整改的</w:t>
      </w:r>
      <w:r>
        <w:rPr>
          <w:rFonts w:hint="eastAsia" w:ascii="MS UI Gothic" w:eastAsia="MS UI Gothic"/>
          <w:w w:val="80"/>
        </w:rPr>
        <w:t>ꎮ</w:t>
      </w:r>
    </w:p>
    <w:p>
      <w:pPr>
        <w:pStyle w:val="6"/>
        <w:spacing w:line="295" w:lineRule="auto"/>
        <w:ind w:left="118" w:right="442" w:firstLine="425"/>
        <w:rPr>
          <w:rFonts w:hint="eastAsia" w:ascii="MS UI Gothic" w:eastAsia="MS UI Gothic"/>
        </w:rPr>
      </w:pPr>
      <w:r>
        <w:t>特种设备使用单位使用未取得生产许可的单位生产的特种设备或者将非承压锅炉</w:t>
      </w:r>
      <w:r>
        <w:rPr>
          <w:rFonts w:hint="eastAsia" w:ascii="MS UI Gothic" w:eastAsia="MS UI Gothic"/>
        </w:rPr>
        <w:t xml:space="preserve">、 </w:t>
      </w:r>
      <w:r>
        <w:t>非压力容器作为承压锅炉</w:t>
      </w:r>
      <w:r>
        <w:rPr>
          <w:rFonts w:hint="eastAsia" w:ascii="MS UI Gothic" w:eastAsia="MS UI Gothic"/>
        </w:rPr>
        <w:t xml:space="preserve">、 </w:t>
      </w:r>
      <w:r>
        <w:t>压力容器使用的</w:t>
      </w:r>
      <w:r>
        <w:rPr>
          <w:rFonts w:hint="eastAsia" w:ascii="MS UI Gothic" w:eastAsia="MS UI Gothic"/>
          <w:w w:val="85"/>
        </w:rPr>
        <w:t xml:space="preserve">ꎬ </w:t>
      </w:r>
      <w:r>
        <w:t>由特种设备安全监督管理部门责令停止使用</w:t>
      </w:r>
      <w:r>
        <w:rPr>
          <w:rFonts w:hint="eastAsia" w:ascii="MS UI Gothic" w:eastAsia="MS UI Gothic"/>
          <w:w w:val="85"/>
        </w:rPr>
        <w:t xml:space="preserve">ꎬ </w:t>
      </w:r>
      <w:r>
        <w:t>予以没收</w:t>
      </w:r>
      <w:r>
        <w:rPr>
          <w:rFonts w:hint="eastAsia" w:ascii="MS UI Gothic" w:eastAsia="MS UI Gothic"/>
          <w:w w:val="85"/>
        </w:rPr>
        <w:t xml:space="preserve">ꎬ </w:t>
      </w:r>
      <w:r>
        <w:t xml:space="preserve">处 </w:t>
      </w:r>
      <w:r>
        <w:rPr>
          <w:rFonts w:hint="eastAsia" w:ascii="MS UI Gothic" w:eastAsia="MS UI Gothic"/>
        </w:rPr>
        <w:t xml:space="preserve">２ </w:t>
      </w:r>
      <w:r>
        <w:t>万元以上</w:t>
      </w:r>
      <w:r>
        <w:rPr>
          <w:rFonts w:hint="eastAsia" w:ascii="MS UI Gothic" w:eastAsia="MS UI Gothic"/>
          <w:w w:val="85"/>
        </w:rPr>
        <w:t xml:space="preserve">１０ </w:t>
      </w:r>
      <w:r>
        <w:t>万元以下罚款</w:t>
      </w:r>
      <w:r>
        <w:rPr>
          <w:rFonts w:hint="eastAsia" w:ascii="MS UI Gothic" w:eastAsia="MS UI Gothic"/>
          <w:w w:val="85"/>
        </w:rPr>
        <w:t>ꎮ</w:t>
      </w:r>
    </w:p>
    <w:p>
      <w:pPr>
        <w:pStyle w:val="6"/>
        <w:spacing w:line="295" w:lineRule="auto"/>
        <w:ind w:right="442"/>
        <w:rPr>
          <w:rFonts w:hint="eastAsia" w:ascii="MS UI Gothic" w:eastAsia="MS UI Gothic"/>
        </w:rPr>
      </w:pPr>
      <w:r>
        <w:t>第八十四条 特种设备存在严重事故隐患</w:t>
      </w:r>
      <w:r>
        <w:rPr>
          <w:rFonts w:hint="eastAsia" w:ascii="MS UI Gothic" w:eastAsia="MS UI Gothic"/>
          <w:w w:val="85"/>
        </w:rPr>
        <w:t xml:space="preserve">ꎬ </w:t>
      </w:r>
      <w:r>
        <w:t>无改造</w:t>
      </w:r>
      <w:r>
        <w:rPr>
          <w:rFonts w:hint="eastAsia" w:ascii="MS UI Gothic" w:eastAsia="MS UI Gothic"/>
        </w:rPr>
        <w:t xml:space="preserve">、 </w:t>
      </w:r>
      <w:r>
        <w:t>维修价值</w:t>
      </w:r>
      <w:r>
        <w:rPr>
          <w:rFonts w:hint="eastAsia" w:ascii="MS UI Gothic" w:eastAsia="MS UI Gothic"/>
          <w:w w:val="85"/>
        </w:rPr>
        <w:t xml:space="preserve">ꎬ </w:t>
      </w:r>
      <w:r>
        <w:t>或者超过安全技术规范规定的使用年限</w:t>
      </w:r>
      <w:r>
        <w:rPr>
          <w:rFonts w:hint="eastAsia" w:ascii="MS UI Gothic" w:eastAsia="MS UI Gothic"/>
          <w:w w:val="85"/>
        </w:rPr>
        <w:t xml:space="preserve">ꎬ </w:t>
      </w:r>
      <w:r>
        <w:t>特种设备使用单位未予以报废</w:t>
      </w:r>
      <w:r>
        <w:rPr>
          <w:rFonts w:hint="eastAsia" w:ascii="MS UI Gothic" w:eastAsia="MS UI Gothic"/>
          <w:w w:val="85"/>
        </w:rPr>
        <w:t xml:space="preserve">ꎬ </w:t>
      </w:r>
      <w:r>
        <w:t>并向原登记的特种设备安全监督管理部门办理注销的</w:t>
      </w:r>
      <w:r>
        <w:rPr>
          <w:rFonts w:hint="eastAsia" w:ascii="MS UI Gothic" w:eastAsia="MS UI Gothic"/>
          <w:w w:val="85"/>
        </w:rPr>
        <w:t xml:space="preserve">ꎬ </w:t>
      </w:r>
      <w:r>
        <w:t>由特种设备安全监督管理部门责令限期改正</w:t>
      </w:r>
      <w:r>
        <w:rPr>
          <w:rFonts w:hint="eastAsia" w:ascii="MS UI Gothic" w:eastAsia="MS UI Gothic"/>
          <w:w w:val="85"/>
        </w:rPr>
        <w:t xml:space="preserve">ꎻ </w:t>
      </w:r>
      <w:r>
        <w:t>逾期未改正的</w:t>
      </w:r>
      <w:r>
        <w:rPr>
          <w:rFonts w:hint="eastAsia" w:ascii="MS UI Gothic" w:eastAsia="MS UI Gothic"/>
          <w:w w:val="85"/>
        </w:rPr>
        <w:t xml:space="preserve">ꎬ </w:t>
      </w:r>
      <w:r>
        <w:t xml:space="preserve">处 </w:t>
      </w:r>
      <w:r>
        <w:rPr>
          <w:rFonts w:hint="eastAsia" w:ascii="MS UI Gothic" w:eastAsia="MS UI Gothic"/>
        </w:rPr>
        <w:t xml:space="preserve">５ </w:t>
      </w:r>
      <w:r>
        <w:t xml:space="preserve">万元以上 </w:t>
      </w:r>
      <w:r>
        <w:rPr>
          <w:rFonts w:hint="eastAsia" w:ascii="MS UI Gothic" w:eastAsia="MS UI Gothic"/>
          <w:w w:val="85"/>
        </w:rPr>
        <w:t xml:space="preserve">２０ </w:t>
      </w:r>
      <w:r>
        <w:t>万元以下罚款</w:t>
      </w:r>
      <w:r>
        <w:rPr>
          <w:rFonts w:hint="eastAsia" w:ascii="MS UI Gothic" w:eastAsia="MS UI Gothic"/>
          <w:w w:val="85"/>
        </w:rPr>
        <w:t>ꎮ</w:t>
      </w:r>
    </w:p>
    <w:p>
      <w:pPr>
        <w:pStyle w:val="6"/>
        <w:spacing w:line="295" w:lineRule="auto"/>
        <w:ind w:right="442"/>
        <w:rPr>
          <w:rFonts w:hint="eastAsia" w:ascii="MS UI Gothic" w:eastAsia="MS UI Gothic"/>
        </w:rPr>
      </w:pPr>
      <w:r>
        <w:rPr>
          <w:spacing w:val="10"/>
          <w:w w:val="105"/>
        </w:rPr>
        <w:t>第八十五条 电梯</w:t>
      </w:r>
      <w:r>
        <w:rPr>
          <w:rFonts w:hint="eastAsia" w:ascii="MS UI Gothic" w:eastAsia="MS UI Gothic"/>
          <w:spacing w:val="21"/>
          <w:w w:val="80"/>
        </w:rPr>
        <w:t xml:space="preserve">、 </w:t>
      </w:r>
      <w:r>
        <w:rPr>
          <w:spacing w:val="3"/>
          <w:w w:val="105"/>
        </w:rPr>
        <w:t>客运索道</w:t>
      </w:r>
      <w:r>
        <w:rPr>
          <w:rFonts w:hint="eastAsia" w:ascii="MS UI Gothic" w:eastAsia="MS UI Gothic"/>
          <w:spacing w:val="21"/>
          <w:w w:val="80"/>
        </w:rPr>
        <w:t xml:space="preserve">、 </w:t>
      </w:r>
      <w:r>
        <w:rPr>
          <w:spacing w:val="1"/>
          <w:w w:val="105"/>
        </w:rPr>
        <w:t>大型</w:t>
      </w:r>
      <w:r>
        <w:rPr>
          <w:spacing w:val="2"/>
        </w:rPr>
        <w:t>游乐设施的运营使用单位有下列情形之一</w:t>
      </w:r>
      <w:r>
        <w:rPr>
          <w:spacing w:val="3"/>
        </w:rPr>
        <w:t>的</w:t>
      </w:r>
      <w:r>
        <w:rPr>
          <w:rFonts w:hint="eastAsia" w:ascii="MS UI Gothic" w:eastAsia="MS UI Gothic"/>
          <w:spacing w:val="20"/>
          <w:w w:val="80"/>
        </w:rPr>
        <w:t xml:space="preserve">ꎬ </w:t>
      </w:r>
      <w:r>
        <w:rPr>
          <w:spacing w:val="2"/>
        </w:rPr>
        <w:t>由特种设备安全监督管理部门责令限</w:t>
      </w:r>
      <w:r>
        <w:rPr>
          <w:spacing w:val="3"/>
        </w:rPr>
        <w:t>期改正</w:t>
      </w:r>
      <w:r>
        <w:rPr>
          <w:rFonts w:hint="eastAsia" w:ascii="MS UI Gothic" w:eastAsia="MS UI Gothic"/>
          <w:spacing w:val="23"/>
          <w:w w:val="80"/>
        </w:rPr>
        <w:t xml:space="preserve">ꎻ </w:t>
      </w:r>
      <w:r>
        <w:rPr>
          <w:spacing w:val="3"/>
        </w:rPr>
        <w:t>逾期未改正的</w:t>
      </w:r>
      <w:r>
        <w:rPr>
          <w:rFonts w:hint="eastAsia" w:ascii="MS UI Gothic" w:eastAsia="MS UI Gothic"/>
          <w:spacing w:val="23"/>
          <w:w w:val="80"/>
        </w:rPr>
        <w:t xml:space="preserve">ꎬ </w:t>
      </w:r>
      <w:r>
        <w:rPr>
          <w:spacing w:val="2"/>
        </w:rPr>
        <w:t>责令停止使用或</w:t>
      </w:r>
      <w:r>
        <w:rPr>
          <w:spacing w:val="3"/>
          <w:w w:val="105"/>
        </w:rPr>
        <w:t>者停产停业整顿</w:t>
      </w:r>
      <w:r>
        <w:rPr>
          <w:rFonts w:hint="eastAsia" w:ascii="MS UI Gothic" w:eastAsia="MS UI Gothic"/>
          <w:spacing w:val="8"/>
          <w:w w:val="80"/>
        </w:rPr>
        <w:t xml:space="preserve">ꎬ </w:t>
      </w:r>
      <w:r>
        <w:rPr>
          <w:spacing w:val="-38"/>
          <w:w w:val="105"/>
        </w:rPr>
        <w:t xml:space="preserve">处 </w:t>
      </w:r>
      <w:r>
        <w:rPr>
          <w:rFonts w:hint="eastAsia" w:ascii="MS UI Gothic" w:eastAsia="MS UI Gothic"/>
          <w:spacing w:val="-7"/>
          <w:w w:val="80"/>
        </w:rPr>
        <w:t xml:space="preserve">１ </w:t>
      </w:r>
      <w:r>
        <w:rPr>
          <w:spacing w:val="-14"/>
          <w:w w:val="105"/>
        </w:rPr>
        <w:t xml:space="preserve">万元以上 </w:t>
      </w:r>
      <w:r>
        <w:rPr>
          <w:rFonts w:hint="eastAsia" w:ascii="MS UI Gothic" w:eastAsia="MS UI Gothic"/>
          <w:spacing w:val="-7"/>
          <w:w w:val="80"/>
        </w:rPr>
        <w:t xml:space="preserve">５ </w:t>
      </w:r>
      <w:r>
        <w:rPr>
          <w:spacing w:val="3"/>
          <w:w w:val="105"/>
        </w:rPr>
        <w:t>万元以下罚款</w:t>
      </w:r>
      <w:r>
        <w:rPr>
          <w:rFonts w:hint="eastAsia" w:ascii="MS UI Gothic" w:eastAsia="MS UI Gothic"/>
          <w:w w:val="23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客运索道</w:t>
      </w:r>
      <w:r>
        <w:rPr>
          <w:rFonts w:hint="eastAsia" w:ascii="MS UI Gothic" w:eastAsia="MS UI Gothic"/>
          <w:w w:val="80"/>
        </w:rPr>
        <w:t xml:space="preserve">、 </w:t>
      </w:r>
      <w:r>
        <w:rPr>
          <w:w w:val="105"/>
        </w:rPr>
        <w:t>大型游乐设施每日</w:t>
      </w:r>
      <w:r>
        <w:t>投入使用前</w:t>
      </w:r>
      <w:r>
        <w:rPr>
          <w:rFonts w:hint="eastAsia" w:ascii="MS UI Gothic" w:eastAsia="MS UI Gothic"/>
          <w:w w:val="80"/>
        </w:rPr>
        <w:t xml:space="preserve">ꎬ </w:t>
      </w:r>
      <w:r>
        <w:t>未进行试运行和例行安全检</w:t>
      </w:r>
      <w:r>
        <w:rPr>
          <w:w w:val="105"/>
        </w:rPr>
        <w:t>查</w:t>
      </w:r>
      <w:r>
        <w:rPr>
          <w:rFonts w:hint="eastAsia" w:ascii="MS UI Gothic" w:eastAsia="MS UI Gothic"/>
          <w:w w:val="80"/>
        </w:rPr>
        <w:t xml:space="preserve">ꎬ </w:t>
      </w:r>
      <w:r>
        <w:rPr>
          <w:w w:val="105"/>
        </w:rPr>
        <w:t>并对安全装置进行检查确认的</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未将电梯</w:t>
      </w:r>
      <w:r>
        <w:rPr>
          <w:rFonts w:hint="eastAsia" w:ascii="MS UI Gothic" w:eastAsia="MS UI Gothic"/>
          <w:w w:val="80"/>
        </w:rPr>
        <w:t xml:space="preserve">、 </w:t>
      </w:r>
      <w:r>
        <w:rPr>
          <w:w w:val="105"/>
        </w:rPr>
        <w:t>客运索道</w:t>
      </w:r>
      <w:r>
        <w:rPr>
          <w:rFonts w:hint="eastAsia" w:ascii="MS UI Gothic" w:eastAsia="MS UI Gothic"/>
          <w:w w:val="80"/>
        </w:rPr>
        <w:t xml:space="preserve">、 </w:t>
      </w:r>
      <w:r>
        <w:rPr>
          <w:w w:val="105"/>
        </w:rPr>
        <w:t>大型游</w:t>
      </w:r>
      <w:r>
        <w:t>乐设施的安全注意事项和警示标志置于易</w:t>
      </w:r>
      <w:r>
        <w:rPr>
          <w:w w:val="105"/>
        </w:rPr>
        <w:t>于为乘客注意的显著位置的</w:t>
      </w:r>
      <w:r>
        <w:rPr>
          <w:rFonts w:hint="eastAsia" w:ascii="MS UI Gothic" w:eastAsia="MS UI Gothic"/>
          <w:w w:val="80"/>
        </w:rPr>
        <w:t>ꎮ</w:t>
      </w:r>
    </w:p>
    <w:p>
      <w:pPr>
        <w:pStyle w:val="6"/>
        <w:spacing w:line="295" w:lineRule="auto"/>
        <w:ind w:right="442"/>
        <w:rPr>
          <w:rFonts w:hint="eastAsia" w:ascii="MS UI Gothic" w:eastAsia="MS UI Gothic"/>
        </w:rPr>
      </w:pPr>
      <w:r>
        <w:t>第八十六条 特种设备使用单位有下列情形之一的</w:t>
      </w:r>
      <w:r>
        <w:rPr>
          <w:rFonts w:hint="eastAsia" w:ascii="MS UI Gothic" w:eastAsia="MS UI Gothic"/>
          <w:w w:val="85"/>
        </w:rPr>
        <w:t xml:space="preserve">ꎬ </w:t>
      </w:r>
      <w:r>
        <w:t>由特种设备安全监督管理部门责令限期改正</w:t>
      </w:r>
      <w:r>
        <w:rPr>
          <w:rFonts w:hint="eastAsia" w:ascii="MS UI Gothic" w:eastAsia="MS UI Gothic"/>
          <w:w w:val="85"/>
        </w:rPr>
        <w:t xml:space="preserve">ꎻ </w:t>
      </w:r>
      <w:r>
        <w:t>逾期未改正的</w:t>
      </w:r>
      <w:r>
        <w:rPr>
          <w:rFonts w:hint="eastAsia" w:ascii="MS UI Gothic" w:eastAsia="MS UI Gothic"/>
          <w:w w:val="85"/>
        </w:rPr>
        <w:t xml:space="preserve">ꎬ </w:t>
      </w:r>
      <w:r>
        <w:t>责令停止使用或者停产停业整顿</w:t>
      </w:r>
      <w:r>
        <w:rPr>
          <w:rFonts w:hint="eastAsia" w:ascii="MS UI Gothic" w:eastAsia="MS UI Gothic"/>
          <w:w w:val="85"/>
        </w:rPr>
        <w:t xml:space="preserve">ꎬ </w:t>
      </w:r>
      <w:r>
        <w:t xml:space="preserve">处 </w:t>
      </w:r>
      <w:r>
        <w:rPr>
          <w:rFonts w:hint="eastAsia" w:ascii="MS UI Gothic" w:eastAsia="MS UI Gothic"/>
          <w:w w:val="85"/>
        </w:rPr>
        <w:t xml:space="preserve">２０００ </w:t>
      </w:r>
      <w:r>
        <w:t xml:space="preserve">元以上 </w:t>
      </w:r>
      <w:r>
        <w:rPr>
          <w:rFonts w:hint="eastAsia" w:ascii="MS UI Gothic" w:eastAsia="MS UI Gothic"/>
          <w:w w:val="85"/>
        </w:rPr>
        <w:t xml:space="preserve">２ </w:t>
      </w:r>
      <w:r>
        <w:t>万元以下罚款</w:t>
      </w:r>
      <w:r>
        <w:rPr>
          <w:rFonts w:hint="eastAsia" w:ascii="MS UI Gothic" w:eastAsia="MS UI Gothic"/>
          <w:w w:val="225"/>
        </w:rPr>
        <w:t>:</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未依照本条例规定设置特种设备安全管理机构或者配备专职</w:t>
      </w:r>
      <w:r>
        <w:rPr>
          <w:rFonts w:hint="eastAsia" w:ascii="MS UI Gothic" w:eastAsia="MS UI Gothic"/>
          <w:w w:val="80"/>
        </w:rPr>
        <w:t xml:space="preserve">、 </w:t>
      </w:r>
      <w:r>
        <w:rPr>
          <w:w w:val="105"/>
        </w:rPr>
        <w:t>兼职的安全管理人员的</w:t>
      </w:r>
      <w:r>
        <w:rPr>
          <w:rFonts w:hint="eastAsia" w:ascii="MS UI Gothic" w:eastAsia="MS UI Gothic"/>
          <w:w w:val="80"/>
        </w:rPr>
        <w:t>ꎻ</w:t>
      </w:r>
    </w:p>
    <w:p>
      <w:pPr>
        <w:pStyle w:val="6"/>
        <w:spacing w:line="254" w:lineRule="exact"/>
        <w:ind w:left="543" w:firstLine="0"/>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从事特种设备作业的人员</w:t>
      </w:r>
      <w:r>
        <w:rPr>
          <w:rFonts w:hint="eastAsia" w:ascii="MS UI Gothic" w:eastAsia="MS UI Gothic"/>
          <w:w w:val="80"/>
        </w:rPr>
        <w:t xml:space="preserve">ꎬ </w:t>
      </w:r>
      <w:r>
        <w:rPr>
          <w:w w:val="110"/>
        </w:rPr>
        <w:t>未</w:t>
      </w:r>
    </w:p>
    <w:p>
      <w:pPr>
        <w:spacing w:after="0" w:line="254" w:lineRule="exac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４７９</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37" o:spid="_x0000_s2437" o:spt="203" style="height:2.15pt;width:398.25pt;" coordsize="7965,43">
            <o:lock v:ext="edit"/>
            <v:line id="_x0000_s2438" o:spid="_x0000_s2438" o:spt="20" style="position:absolute;left:0;top:39;height:0;width:7965;" stroked="t" coordsize="21600,21600">
              <v:path arrowok="t"/>
              <v:fill focussize="0,0"/>
              <v:stroke weight="0.388031496062992pt" color="#231F20"/>
              <v:imagedata o:title=""/>
              <o:lock v:ext="edit"/>
            </v:line>
            <v:line id="_x0000_s2439" o:spid="_x0000_s243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取得相应特种作业人员证书</w:t>
      </w:r>
      <w:r>
        <w:rPr>
          <w:rFonts w:hint="eastAsia" w:ascii="MS UI Gothic" w:eastAsia="MS UI Gothic"/>
          <w:w w:val="80"/>
        </w:rPr>
        <w:t xml:space="preserve">ꎬ </w:t>
      </w:r>
      <w:r>
        <w:t>上岗作业的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未对特种设备作业人员进行特</w:t>
      </w:r>
      <w:r>
        <w:rPr>
          <w:w w:val="110"/>
        </w:rPr>
        <w:t>种设备安全教育和培训的</w:t>
      </w:r>
      <w:r>
        <w:rPr>
          <w:rFonts w:hint="eastAsia" w:ascii="MS UI Gothic" w:eastAsia="MS UI Gothic"/>
          <w:w w:val="80"/>
        </w:rPr>
        <w:t>ꎮ</w:t>
      </w:r>
    </w:p>
    <w:p>
      <w:pPr>
        <w:pStyle w:val="6"/>
        <w:spacing w:line="295" w:lineRule="auto"/>
        <w:ind w:left="440" w:right="1"/>
        <w:rPr>
          <w:rFonts w:hint="eastAsia" w:ascii="MS UI Gothic" w:eastAsia="MS UI Gothic"/>
        </w:rPr>
      </w:pPr>
      <w:r>
        <w:t>第八十七条 发生特种设备事故</w:t>
      </w:r>
      <w:r>
        <w:rPr>
          <w:rFonts w:hint="eastAsia" w:ascii="MS UI Gothic" w:eastAsia="MS UI Gothic"/>
          <w:w w:val="80"/>
        </w:rPr>
        <w:t xml:space="preserve">ꎬ </w:t>
      </w:r>
      <w:r>
        <w:t>有下列情形之一的</w:t>
      </w:r>
      <w:r>
        <w:rPr>
          <w:rFonts w:hint="eastAsia" w:ascii="MS UI Gothic" w:eastAsia="MS UI Gothic"/>
          <w:w w:val="80"/>
        </w:rPr>
        <w:t xml:space="preserve">ꎬ </w:t>
      </w:r>
      <w:r>
        <w:t>对单位</w:t>
      </w:r>
      <w:r>
        <w:rPr>
          <w:rFonts w:hint="eastAsia" w:ascii="MS UI Gothic" w:eastAsia="MS UI Gothic"/>
          <w:w w:val="80"/>
        </w:rPr>
        <w:t xml:space="preserve">ꎬ </w:t>
      </w:r>
      <w:r>
        <w:t xml:space="preserve">由特种设备安全监督管理部门处 </w:t>
      </w:r>
      <w:r>
        <w:rPr>
          <w:rFonts w:hint="eastAsia" w:ascii="MS UI Gothic" w:eastAsia="MS UI Gothic"/>
          <w:w w:val="80"/>
        </w:rPr>
        <w:t xml:space="preserve">５ </w:t>
      </w:r>
      <w:r>
        <w:t xml:space="preserve">万元以上 </w:t>
      </w:r>
      <w:r>
        <w:rPr>
          <w:rFonts w:hint="eastAsia" w:ascii="MS UI Gothic" w:eastAsia="MS UI Gothic"/>
          <w:w w:val="80"/>
        </w:rPr>
        <w:t xml:space="preserve">２０ </w:t>
      </w:r>
      <w:r>
        <w:t>万元以下罚款</w:t>
      </w:r>
      <w:r>
        <w:rPr>
          <w:rFonts w:hint="eastAsia" w:ascii="MS UI Gothic" w:eastAsia="MS UI Gothic"/>
          <w:w w:val="80"/>
        </w:rPr>
        <w:t xml:space="preserve">ꎻ </w:t>
      </w:r>
      <w:r>
        <w:t>对主要负责人</w:t>
      </w:r>
      <w:r>
        <w:rPr>
          <w:rFonts w:hint="eastAsia" w:ascii="MS UI Gothic" w:eastAsia="MS UI Gothic"/>
          <w:w w:val="80"/>
        </w:rPr>
        <w:t xml:space="preserve">ꎬ </w:t>
      </w:r>
      <w:r>
        <w:t xml:space="preserve">由特种设备安全监督管理部门处 </w:t>
      </w:r>
      <w:r>
        <w:rPr>
          <w:rFonts w:hint="eastAsia" w:ascii="MS UI Gothic" w:eastAsia="MS UI Gothic"/>
          <w:w w:val="80"/>
        </w:rPr>
        <w:t xml:space="preserve">４０００ </w:t>
      </w:r>
      <w:r>
        <w:t xml:space="preserve">元以上 </w:t>
      </w:r>
      <w:r>
        <w:rPr>
          <w:rFonts w:hint="eastAsia" w:ascii="MS UI Gothic" w:eastAsia="MS UI Gothic"/>
          <w:w w:val="80"/>
        </w:rPr>
        <w:t xml:space="preserve">２ </w:t>
      </w:r>
      <w:r>
        <w:t>万元以下罚款</w:t>
      </w:r>
      <w:r>
        <w:rPr>
          <w:rFonts w:hint="eastAsia" w:ascii="MS UI Gothic" w:eastAsia="MS UI Gothic"/>
          <w:w w:val="80"/>
        </w:rPr>
        <w:t xml:space="preserve">ꎻ </w:t>
      </w:r>
      <w:r>
        <w:t>属于国家工作人员的</w:t>
      </w:r>
      <w:r>
        <w:rPr>
          <w:rFonts w:hint="eastAsia" w:ascii="MS UI Gothic" w:eastAsia="MS UI Gothic"/>
          <w:w w:val="80"/>
        </w:rPr>
        <w:t xml:space="preserve">ꎬ </w:t>
      </w:r>
      <w:r>
        <w:t>依法给予处分</w:t>
      </w:r>
      <w:r>
        <w:rPr>
          <w:rFonts w:hint="eastAsia" w:ascii="MS UI Gothic" w:eastAsia="MS UI Gothic"/>
          <w:w w:val="80"/>
        </w:rPr>
        <w:t xml:space="preserve">ꎻ </w:t>
      </w:r>
      <w:r>
        <w:t>触犯刑律的</w:t>
      </w:r>
      <w:r>
        <w:rPr>
          <w:rFonts w:hint="eastAsia" w:ascii="MS UI Gothic" w:eastAsia="MS UI Gothic"/>
          <w:w w:val="80"/>
        </w:rPr>
        <w:t xml:space="preserve">ꎬ </w:t>
      </w:r>
      <w:r>
        <w:t>依照刑法关于重大责任事故罪或者其他罪的规定</w:t>
      </w:r>
      <w:r>
        <w:rPr>
          <w:rFonts w:hint="eastAsia" w:ascii="MS UI Gothic" w:eastAsia="MS UI Gothic"/>
          <w:w w:val="80"/>
        </w:rPr>
        <w:t xml:space="preserve">ꎬ </w:t>
      </w:r>
      <w:r>
        <w:t>依法追究刑事责任</w:t>
      </w:r>
      <w:r>
        <w:rPr>
          <w:rFonts w:hint="eastAsia" w:ascii="MS UI Gothic" w:eastAsia="MS UI Gothic"/>
          <w:w w:val="225"/>
        </w:rPr>
        <w:t>:</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特种设备使用单位的主要负责</w:t>
      </w:r>
      <w:r>
        <w:t>人在本单位发生特种设备事故时</w:t>
      </w:r>
      <w:r>
        <w:rPr>
          <w:rFonts w:hint="eastAsia" w:ascii="MS UI Gothic" w:eastAsia="MS UI Gothic"/>
          <w:w w:val="80"/>
        </w:rPr>
        <w:t xml:space="preserve">ꎬ </w:t>
      </w:r>
      <w:r>
        <w:t>不立即组织抢救或者在事故调查处理期间擅离职</w:t>
      </w:r>
      <w:r>
        <w:rPr>
          <w:w w:val="105"/>
        </w:rPr>
        <w:t>守或者逃匿的</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特种设备使用单位的主要负责人对特种设备事故隐瞒不报</w:t>
      </w:r>
      <w:r>
        <w:rPr>
          <w:rFonts w:hint="eastAsia" w:ascii="MS UI Gothic" w:eastAsia="MS UI Gothic"/>
          <w:w w:val="80"/>
        </w:rPr>
        <w:t xml:space="preserve">、 </w:t>
      </w:r>
      <w:r>
        <w:rPr>
          <w:w w:val="105"/>
        </w:rPr>
        <w:t>谎报或者拖延不报的</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第八十八条 对事故发生负有责任的</w:t>
      </w:r>
      <w:r>
        <w:t>单位</w:t>
      </w:r>
      <w:r>
        <w:rPr>
          <w:rFonts w:hint="eastAsia" w:ascii="MS UI Gothic" w:eastAsia="MS UI Gothic"/>
          <w:w w:val="80"/>
        </w:rPr>
        <w:t xml:space="preserve">ꎬ </w:t>
      </w:r>
      <w:r>
        <w:t>由特种设备安全监督管理部门依照</w:t>
      </w:r>
      <w:r>
        <w:rPr>
          <w:w w:val="105"/>
        </w:rPr>
        <w:t>下列规定处以罚款</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spacing w:val="19"/>
          <w:w w:val="145"/>
        </w:rPr>
        <w:t>(</w:t>
      </w:r>
      <w:r>
        <w:rPr>
          <w:spacing w:val="3"/>
        </w:rPr>
        <w:t>一</w:t>
      </w:r>
      <w:r>
        <w:rPr>
          <w:rFonts w:hint="eastAsia" w:ascii="MS UI Gothic" w:eastAsia="MS UI Gothic"/>
          <w:spacing w:val="22"/>
          <w:w w:val="145"/>
        </w:rPr>
        <w:t xml:space="preserve">) </w:t>
      </w:r>
      <w:r>
        <w:rPr>
          <w:spacing w:val="18"/>
        </w:rPr>
        <w:t>发生一般事故的</w:t>
      </w:r>
      <w:r>
        <w:rPr>
          <w:rFonts w:hint="eastAsia" w:ascii="MS UI Gothic" w:eastAsia="MS UI Gothic"/>
          <w:spacing w:val="13"/>
          <w:w w:val="80"/>
        </w:rPr>
        <w:t xml:space="preserve">ꎬ </w:t>
      </w:r>
      <w:r>
        <w:rPr>
          <w:spacing w:val="-13"/>
        </w:rPr>
        <w:t xml:space="preserve">处 </w:t>
      </w:r>
      <w:r>
        <w:rPr>
          <w:rFonts w:hint="eastAsia" w:ascii="MS UI Gothic" w:eastAsia="MS UI Gothic"/>
          <w:spacing w:val="11"/>
          <w:w w:val="80"/>
        </w:rPr>
        <w:t xml:space="preserve">１０ </w:t>
      </w:r>
      <w:r>
        <w:rPr>
          <w:spacing w:val="4"/>
        </w:rPr>
        <w:t>万元</w:t>
      </w:r>
      <w:r>
        <w:rPr>
          <w:spacing w:val="-17"/>
        </w:rPr>
        <w:t xml:space="preserve">以上 </w:t>
      </w:r>
      <w:r>
        <w:rPr>
          <w:rFonts w:hint="eastAsia" w:ascii="MS UI Gothic" w:eastAsia="MS UI Gothic"/>
          <w:spacing w:val="2"/>
          <w:w w:val="80"/>
        </w:rPr>
        <w:t xml:space="preserve">２０ </w:t>
      </w:r>
      <w:r>
        <w:rPr>
          <w:spacing w:val="3"/>
        </w:rPr>
        <w:t>万元以下罚款</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spacing w:val="19"/>
          <w:w w:val="145"/>
        </w:rPr>
        <w:t>(</w:t>
      </w:r>
      <w:r>
        <w:rPr>
          <w:spacing w:val="3"/>
        </w:rPr>
        <w:t>二</w:t>
      </w:r>
      <w:r>
        <w:rPr>
          <w:rFonts w:hint="eastAsia" w:ascii="MS UI Gothic" w:eastAsia="MS UI Gothic"/>
          <w:spacing w:val="22"/>
          <w:w w:val="145"/>
        </w:rPr>
        <w:t xml:space="preserve">) </w:t>
      </w:r>
      <w:r>
        <w:rPr>
          <w:spacing w:val="18"/>
        </w:rPr>
        <w:t>发生较大事故的</w:t>
      </w:r>
      <w:r>
        <w:rPr>
          <w:rFonts w:hint="eastAsia" w:ascii="MS UI Gothic" w:eastAsia="MS UI Gothic"/>
          <w:spacing w:val="13"/>
          <w:w w:val="80"/>
        </w:rPr>
        <w:t xml:space="preserve">ꎬ </w:t>
      </w:r>
      <w:r>
        <w:rPr>
          <w:spacing w:val="-13"/>
        </w:rPr>
        <w:t xml:space="preserve">处 </w:t>
      </w:r>
      <w:r>
        <w:rPr>
          <w:rFonts w:hint="eastAsia" w:ascii="MS UI Gothic" w:eastAsia="MS UI Gothic"/>
          <w:spacing w:val="11"/>
          <w:w w:val="80"/>
        </w:rPr>
        <w:t xml:space="preserve">２０ </w:t>
      </w:r>
      <w:r>
        <w:rPr>
          <w:spacing w:val="4"/>
        </w:rPr>
        <w:t>万元</w:t>
      </w:r>
      <w:r>
        <w:rPr>
          <w:spacing w:val="-17"/>
        </w:rPr>
        <w:t xml:space="preserve">以上 </w:t>
      </w:r>
      <w:r>
        <w:rPr>
          <w:rFonts w:hint="eastAsia" w:ascii="MS UI Gothic" w:eastAsia="MS UI Gothic"/>
          <w:spacing w:val="2"/>
          <w:w w:val="80"/>
        </w:rPr>
        <w:t xml:space="preserve">５０ </w:t>
      </w:r>
      <w:r>
        <w:rPr>
          <w:spacing w:val="3"/>
        </w:rPr>
        <w:t>万元以下罚款</w:t>
      </w:r>
      <w:r>
        <w:rPr>
          <w:rFonts w:hint="eastAsia" w:ascii="MS UI Gothic" w:eastAsia="MS UI Gothic"/>
          <w:w w:val="80"/>
        </w:rPr>
        <w:t>ꎻ</w:t>
      </w:r>
    </w:p>
    <w:p>
      <w:pPr>
        <w:pStyle w:val="6"/>
        <w:spacing w:line="295" w:lineRule="auto"/>
        <w:ind w:left="440" w:right="1"/>
        <w:rPr>
          <w:rFonts w:hint="eastAsia" w:ascii="MS UI Gothic" w:eastAsia="MS UI Gothic"/>
        </w:rPr>
      </w:pPr>
      <w:r>
        <w:rPr>
          <w:rFonts w:hint="eastAsia" w:ascii="MS UI Gothic" w:eastAsia="MS UI Gothic"/>
          <w:w w:val="140"/>
        </w:rPr>
        <w:t>(</w:t>
      </w:r>
      <w:r>
        <w:t>三</w:t>
      </w:r>
      <w:r>
        <w:rPr>
          <w:rFonts w:hint="eastAsia" w:ascii="MS UI Gothic" w:eastAsia="MS UI Gothic"/>
          <w:w w:val="140"/>
        </w:rPr>
        <w:t xml:space="preserve">) </w:t>
      </w:r>
      <w:r>
        <w:t>发生重大事故的</w:t>
      </w:r>
      <w:r>
        <w:rPr>
          <w:rFonts w:hint="eastAsia" w:ascii="MS UI Gothic" w:eastAsia="MS UI Gothic"/>
          <w:w w:val="85"/>
        </w:rPr>
        <w:t xml:space="preserve">ꎬ </w:t>
      </w:r>
      <w:r>
        <w:t xml:space="preserve">处 </w:t>
      </w:r>
      <w:r>
        <w:rPr>
          <w:rFonts w:hint="eastAsia" w:ascii="MS UI Gothic" w:eastAsia="MS UI Gothic"/>
          <w:w w:val="85"/>
        </w:rPr>
        <w:t xml:space="preserve">５０ </w:t>
      </w:r>
      <w:r>
        <w:t xml:space="preserve">万元以上 </w:t>
      </w:r>
      <w:r>
        <w:rPr>
          <w:rFonts w:hint="eastAsia" w:ascii="MS UI Gothic" w:eastAsia="MS UI Gothic"/>
          <w:w w:val="85"/>
        </w:rPr>
        <w:t xml:space="preserve">２００ </w:t>
      </w:r>
      <w:r>
        <w:t>万元以下罚款</w:t>
      </w:r>
      <w:r>
        <w:rPr>
          <w:rFonts w:hint="eastAsia" w:ascii="MS UI Gothic" w:eastAsia="MS UI Gothic"/>
          <w:w w:val="85"/>
        </w:rPr>
        <w:t>ꎮ</w:t>
      </w:r>
    </w:p>
    <w:p>
      <w:pPr>
        <w:pStyle w:val="6"/>
        <w:spacing w:line="295" w:lineRule="auto"/>
        <w:ind w:left="440"/>
        <w:rPr>
          <w:rFonts w:hint="eastAsia" w:ascii="MS UI Gothic" w:eastAsia="MS UI Gothic"/>
        </w:rPr>
      </w:pPr>
      <w:r>
        <w:rPr>
          <w:w w:val="105"/>
        </w:rPr>
        <w:t>第八十九条 对事故发生负有责任的</w:t>
      </w:r>
      <w:r>
        <w:t>单位的主要负责人未依法履行职责</w:t>
      </w:r>
      <w:r>
        <w:rPr>
          <w:rFonts w:hint="eastAsia" w:ascii="MS UI Gothic" w:eastAsia="MS UI Gothic"/>
          <w:w w:val="80"/>
        </w:rPr>
        <w:t xml:space="preserve">ꎬ </w:t>
      </w:r>
      <w:r>
        <w:t>导致事故发生的</w:t>
      </w:r>
      <w:r>
        <w:rPr>
          <w:rFonts w:hint="eastAsia" w:ascii="MS UI Gothic" w:eastAsia="MS UI Gothic"/>
          <w:w w:val="80"/>
        </w:rPr>
        <w:t xml:space="preserve">ꎬ </w:t>
      </w:r>
      <w:r>
        <w:t>由特种设备安全监督管理部门依照下列规定处以罚款</w:t>
      </w:r>
      <w:r>
        <w:rPr>
          <w:rFonts w:hint="eastAsia" w:ascii="MS UI Gothic" w:eastAsia="MS UI Gothic"/>
          <w:w w:val="80"/>
        </w:rPr>
        <w:t xml:space="preserve">ꎻ </w:t>
      </w:r>
      <w:r>
        <w:t>属于国家工作人员的</w:t>
      </w:r>
      <w:r>
        <w:rPr>
          <w:rFonts w:hint="eastAsia" w:ascii="MS UI Gothic" w:eastAsia="MS UI Gothic"/>
          <w:w w:val="80"/>
        </w:rPr>
        <w:t xml:space="preserve">ꎬ </w:t>
      </w:r>
      <w:r>
        <w:t>并依法给予处分</w:t>
      </w:r>
      <w:r>
        <w:rPr>
          <w:rFonts w:hint="eastAsia" w:ascii="MS UI Gothic" w:eastAsia="MS UI Gothic"/>
          <w:w w:val="80"/>
        </w:rPr>
        <w:t xml:space="preserve">ꎻ </w:t>
      </w:r>
      <w:r>
        <w:t>触犯刑律的</w:t>
      </w:r>
      <w:r>
        <w:rPr>
          <w:rFonts w:hint="eastAsia" w:ascii="MS UI Gothic" w:eastAsia="MS UI Gothic"/>
          <w:w w:val="80"/>
        </w:rPr>
        <w:t>ꎬ</w:t>
      </w:r>
      <w:r>
        <w:t>依照刑法关于重大责任事故罪或者其他罪</w:t>
      </w:r>
      <w:r>
        <w:rPr>
          <w:w w:val="105"/>
        </w:rPr>
        <w:t>的规定</w:t>
      </w:r>
      <w:r>
        <w:rPr>
          <w:rFonts w:hint="eastAsia" w:ascii="MS UI Gothic" w:eastAsia="MS UI Gothic"/>
          <w:w w:val="80"/>
        </w:rPr>
        <w:t xml:space="preserve">ꎬ </w:t>
      </w:r>
      <w:r>
        <w:rPr>
          <w:w w:val="105"/>
        </w:rPr>
        <w:t>依法追究刑事责任</w:t>
      </w:r>
      <w:r>
        <w:rPr>
          <w:rFonts w:hint="eastAsia" w:ascii="MS UI Gothic" w:eastAsia="MS UI Gothic"/>
          <w:w w:val="235"/>
        </w:rPr>
        <w:t>:</w:t>
      </w:r>
    </w:p>
    <w:p>
      <w:pPr>
        <w:pStyle w:val="6"/>
        <w:spacing w:line="295" w:lineRule="auto"/>
        <w:ind w:left="440" w:right="1"/>
        <w:rPr>
          <w:rFonts w:hint="eastAsia" w:ascii="MS UI Gothic" w:eastAsia="MS UI Gothic"/>
        </w:rPr>
      </w:pPr>
      <w:r>
        <w:rPr>
          <w:rFonts w:hint="eastAsia" w:ascii="MS UI Gothic" w:eastAsia="MS UI Gothic"/>
          <w:w w:val="140"/>
        </w:rPr>
        <w:t xml:space="preserve">( </w:t>
      </w:r>
      <w:r>
        <w:rPr>
          <w:w w:val="105"/>
        </w:rPr>
        <w:t>一</w:t>
      </w:r>
      <w:r>
        <w:rPr>
          <w:rFonts w:hint="eastAsia" w:ascii="MS UI Gothic" w:eastAsia="MS UI Gothic"/>
          <w:w w:val="140"/>
        </w:rPr>
        <w:t xml:space="preserve">) </w:t>
      </w:r>
      <w:r>
        <w:rPr>
          <w:w w:val="105"/>
        </w:rPr>
        <w:t>发生一般事故的</w:t>
      </w:r>
      <w:r>
        <w:rPr>
          <w:rFonts w:hint="eastAsia" w:ascii="MS UI Gothic" w:eastAsia="MS UI Gothic"/>
          <w:w w:val="85"/>
        </w:rPr>
        <w:t xml:space="preserve">ꎬ </w:t>
      </w:r>
      <w:r>
        <w:rPr>
          <w:w w:val="105"/>
        </w:rPr>
        <w:t xml:space="preserve">处上一年年收入 </w:t>
      </w:r>
      <w:r>
        <w:rPr>
          <w:rFonts w:hint="eastAsia" w:ascii="MS UI Gothic" w:eastAsia="MS UI Gothic"/>
          <w:w w:val="85"/>
        </w:rPr>
        <w:t>３０</w:t>
      </w:r>
      <w:r>
        <w:rPr>
          <w:w w:val="85"/>
        </w:rPr>
        <w:t xml:space="preserve">％ </w:t>
      </w:r>
      <w:r>
        <w:rPr>
          <w:w w:val="105"/>
        </w:rPr>
        <w:t>的罚款</w:t>
      </w:r>
      <w:r>
        <w:rPr>
          <w:rFonts w:hint="eastAsia" w:ascii="MS UI Gothic" w:eastAsia="MS UI Gothic"/>
          <w:w w:val="85"/>
        </w:rPr>
        <w:t>ꎻ</w:t>
      </w:r>
    </w:p>
    <w:p>
      <w:pPr>
        <w:pStyle w:val="6"/>
        <w:spacing w:line="255" w:lineRule="exact"/>
        <w:ind w:left="860" w:firstLine="0"/>
      </w:pPr>
      <w:r>
        <w:rPr>
          <w:rFonts w:hint="eastAsia" w:ascii="MS UI Gothic" w:eastAsia="MS UI Gothic"/>
          <w:w w:val="115"/>
        </w:rPr>
        <w:t xml:space="preserve">( </w:t>
      </w:r>
      <w:r>
        <w:rPr>
          <w:w w:val="110"/>
        </w:rPr>
        <w:t>二</w:t>
      </w:r>
      <w:r>
        <w:rPr>
          <w:rFonts w:hint="eastAsia" w:ascii="MS UI Gothic" w:eastAsia="MS UI Gothic"/>
          <w:w w:val="115"/>
        </w:rPr>
        <w:t xml:space="preserve">) </w:t>
      </w:r>
      <w:r>
        <w:rPr>
          <w:w w:val="110"/>
        </w:rPr>
        <w:t>发生较大事故的</w:t>
      </w:r>
      <w:r>
        <w:rPr>
          <w:rFonts w:hint="eastAsia" w:ascii="MS UI Gothic" w:eastAsia="MS UI Gothic"/>
          <w:w w:val="80"/>
        </w:rPr>
        <w:t xml:space="preserve">ꎬ </w:t>
      </w:r>
      <w:r>
        <w:rPr>
          <w:w w:val="110"/>
        </w:rPr>
        <w:t>处上一年年</w:t>
      </w:r>
    </w:p>
    <w:p>
      <w:pPr>
        <w:pStyle w:val="6"/>
        <w:spacing w:before="124"/>
        <w:ind w:left="381" w:firstLine="0"/>
        <w:rPr>
          <w:rFonts w:hint="eastAsia" w:ascii="MS UI Gothic" w:eastAsia="MS UI Gothic"/>
        </w:rPr>
      </w:pPr>
      <w:r>
        <w:br w:type="column"/>
      </w:r>
      <w:r>
        <w:rPr>
          <w:spacing w:val="-16"/>
          <w:w w:val="90"/>
        </w:rPr>
        <w:t xml:space="preserve">收入 </w:t>
      </w:r>
      <w:r>
        <w:rPr>
          <w:rFonts w:hint="eastAsia" w:ascii="MS UI Gothic" w:eastAsia="MS UI Gothic"/>
          <w:w w:val="90"/>
        </w:rPr>
        <w:t>４０</w:t>
      </w:r>
      <w:r>
        <w:rPr>
          <w:spacing w:val="-12"/>
          <w:w w:val="90"/>
        </w:rPr>
        <w:t>％ 的罚款</w:t>
      </w:r>
      <w:r>
        <w:rPr>
          <w:rFonts w:hint="eastAsia" w:ascii="MS UI Gothic" w:eastAsia="MS UI Gothic"/>
          <w:w w:val="90"/>
        </w:rPr>
        <w:t>ꎻ</w:t>
      </w:r>
    </w:p>
    <w:p>
      <w:pPr>
        <w:pStyle w:val="6"/>
        <w:spacing w:before="58" w:line="295" w:lineRule="auto"/>
        <w:ind w:left="381" w:right="126"/>
        <w:rPr>
          <w:rFonts w:hint="eastAsia" w:ascii="MS UI Gothic" w:eastAsia="MS UI Gothic"/>
        </w:rPr>
      </w:pPr>
      <w:r>
        <w:rPr>
          <w:rFonts w:hint="eastAsia" w:ascii="MS UI Gothic" w:eastAsia="MS UI Gothic"/>
          <w:spacing w:val="-36"/>
          <w:w w:val="140"/>
        </w:rPr>
        <w:t xml:space="preserve">( </w:t>
      </w:r>
      <w:r>
        <w:rPr>
          <w:spacing w:val="3"/>
          <w:w w:val="105"/>
        </w:rPr>
        <w:t>三</w:t>
      </w:r>
      <w:r>
        <w:rPr>
          <w:rFonts w:hint="eastAsia" w:ascii="MS UI Gothic" w:eastAsia="MS UI Gothic"/>
          <w:w w:val="140"/>
        </w:rPr>
        <w:t xml:space="preserve">) </w:t>
      </w:r>
      <w:r>
        <w:rPr>
          <w:spacing w:val="5"/>
          <w:w w:val="105"/>
        </w:rPr>
        <w:t>发生重大事故的</w:t>
      </w:r>
      <w:r>
        <w:rPr>
          <w:rFonts w:hint="eastAsia" w:ascii="MS UI Gothic" w:eastAsia="MS UI Gothic"/>
          <w:spacing w:val="12"/>
          <w:w w:val="85"/>
        </w:rPr>
        <w:t xml:space="preserve">ꎬ </w:t>
      </w:r>
      <w:r>
        <w:rPr>
          <w:spacing w:val="8"/>
          <w:w w:val="105"/>
        </w:rPr>
        <w:t>处上一年年</w:t>
      </w:r>
      <w:r>
        <w:rPr>
          <w:spacing w:val="-19"/>
          <w:w w:val="105"/>
        </w:rPr>
        <w:t xml:space="preserve">收入 </w:t>
      </w:r>
      <w:r>
        <w:rPr>
          <w:rFonts w:hint="eastAsia" w:ascii="MS UI Gothic" w:eastAsia="MS UI Gothic"/>
          <w:w w:val="85"/>
        </w:rPr>
        <w:t>６０</w:t>
      </w:r>
      <w:r>
        <w:rPr>
          <w:spacing w:val="-26"/>
          <w:w w:val="85"/>
        </w:rPr>
        <w:t xml:space="preserve">％ </w:t>
      </w:r>
      <w:r>
        <w:rPr>
          <w:spacing w:val="3"/>
          <w:w w:val="105"/>
        </w:rPr>
        <w:t>的罚款</w:t>
      </w:r>
      <w:r>
        <w:rPr>
          <w:rFonts w:hint="eastAsia" w:ascii="MS UI Gothic" w:eastAsia="MS UI Gothic"/>
          <w:w w:val="85"/>
        </w:rPr>
        <w:t>ꎮ</w:t>
      </w:r>
    </w:p>
    <w:p>
      <w:pPr>
        <w:pStyle w:val="6"/>
        <w:spacing w:line="295" w:lineRule="auto"/>
        <w:ind w:left="381" w:right="126"/>
        <w:rPr>
          <w:rFonts w:hint="eastAsia" w:ascii="MS UI Gothic" w:eastAsia="MS UI Gothic"/>
        </w:rPr>
      </w:pPr>
      <w:r>
        <w:t>第九十条 特种设备作业人员违反特种设备的操作规程和有关的安全规章制度操作</w:t>
      </w:r>
      <w:r>
        <w:rPr>
          <w:rFonts w:hint="eastAsia" w:ascii="MS UI Gothic" w:eastAsia="MS UI Gothic"/>
          <w:w w:val="80"/>
        </w:rPr>
        <w:t xml:space="preserve">ꎬ </w:t>
      </w:r>
      <w:r>
        <w:t>或者在作业过程中发现事故隐患或者其他不安全因素</w:t>
      </w:r>
      <w:r>
        <w:rPr>
          <w:rFonts w:hint="eastAsia" w:ascii="MS UI Gothic" w:eastAsia="MS UI Gothic"/>
          <w:w w:val="80"/>
        </w:rPr>
        <w:t xml:space="preserve">ꎬ </w:t>
      </w:r>
      <w:r>
        <w:t>未立即向现场安全管理人员和单位有关负责人报告的</w:t>
      </w:r>
      <w:r>
        <w:rPr>
          <w:rFonts w:hint="eastAsia" w:ascii="MS UI Gothic" w:eastAsia="MS UI Gothic"/>
          <w:w w:val="80"/>
        </w:rPr>
        <w:t xml:space="preserve">ꎬ </w:t>
      </w:r>
      <w:r>
        <w:t>由特种设备使用单位给予批评教育</w:t>
      </w:r>
      <w:r>
        <w:rPr>
          <w:rFonts w:hint="eastAsia" w:ascii="MS UI Gothic" w:eastAsia="MS UI Gothic"/>
          <w:w w:val="80"/>
        </w:rPr>
        <w:t xml:space="preserve">、 </w:t>
      </w:r>
      <w:r>
        <w:t>处分</w:t>
      </w:r>
      <w:r>
        <w:rPr>
          <w:rFonts w:hint="eastAsia" w:ascii="MS UI Gothic" w:eastAsia="MS UI Gothic"/>
          <w:w w:val="80"/>
        </w:rPr>
        <w:t xml:space="preserve">ꎻ </w:t>
      </w:r>
      <w:r>
        <w:t>情节严重的</w:t>
      </w:r>
      <w:r>
        <w:rPr>
          <w:rFonts w:hint="eastAsia" w:ascii="MS UI Gothic" w:eastAsia="MS UI Gothic"/>
          <w:w w:val="80"/>
        </w:rPr>
        <w:t xml:space="preserve">ꎬ </w:t>
      </w:r>
      <w:r>
        <w:t>撤销特种设备作业人员资格</w:t>
      </w:r>
      <w:r>
        <w:rPr>
          <w:rFonts w:hint="eastAsia" w:ascii="MS UI Gothic" w:eastAsia="MS UI Gothic"/>
          <w:w w:val="80"/>
        </w:rPr>
        <w:t xml:space="preserve">ꎻ </w:t>
      </w:r>
      <w:r>
        <w:t>触犯刑律的</w:t>
      </w:r>
      <w:r>
        <w:rPr>
          <w:rFonts w:hint="eastAsia" w:ascii="MS UI Gothic" w:eastAsia="MS UI Gothic"/>
          <w:w w:val="80"/>
        </w:rPr>
        <w:t xml:space="preserve">ꎬ </w:t>
      </w:r>
      <w:r>
        <w:t>依照刑法关于重大责任事故罪或者其他罪的规定</w:t>
      </w:r>
      <w:r>
        <w:rPr>
          <w:rFonts w:hint="eastAsia" w:ascii="MS UI Gothic" w:eastAsia="MS UI Gothic"/>
          <w:w w:val="80"/>
        </w:rPr>
        <w:t xml:space="preserve">ꎬ </w:t>
      </w:r>
      <w:r>
        <w:t>依法追究刑事责任</w:t>
      </w:r>
      <w:r>
        <w:rPr>
          <w:rFonts w:hint="eastAsia" w:ascii="MS UI Gothic" w:eastAsia="MS UI Gothic"/>
          <w:w w:val="80"/>
        </w:rPr>
        <w:t>ꎮ</w:t>
      </w:r>
    </w:p>
    <w:p>
      <w:pPr>
        <w:pStyle w:val="6"/>
        <w:spacing w:line="295" w:lineRule="auto"/>
        <w:ind w:left="375" w:right="126" w:firstLine="425"/>
        <w:rPr>
          <w:rFonts w:hint="eastAsia" w:ascii="MS UI Gothic" w:eastAsia="MS UI Gothic"/>
        </w:rPr>
      </w:pPr>
      <w:r>
        <w:t>第九十一条 未经核准</w:t>
      </w:r>
      <w:r>
        <w:rPr>
          <w:rFonts w:hint="eastAsia" w:ascii="MS UI Gothic" w:eastAsia="MS UI Gothic"/>
          <w:w w:val="85"/>
        </w:rPr>
        <w:t xml:space="preserve">ꎬ </w:t>
      </w:r>
      <w:r>
        <w:t>擅自从事本条例所规定的监督检验</w:t>
      </w:r>
      <w:r>
        <w:rPr>
          <w:rFonts w:hint="eastAsia" w:ascii="MS UI Gothic" w:eastAsia="MS UI Gothic"/>
        </w:rPr>
        <w:t xml:space="preserve">、 </w:t>
      </w:r>
      <w:r>
        <w:t>定期检验</w:t>
      </w:r>
      <w:r>
        <w:rPr>
          <w:rFonts w:hint="eastAsia" w:ascii="MS UI Gothic" w:eastAsia="MS UI Gothic"/>
        </w:rPr>
        <w:t xml:space="preserve">、 </w:t>
      </w:r>
      <w:r>
        <w:t>型式试验以及无损检测等检验检测活动的</w:t>
      </w:r>
      <w:r>
        <w:rPr>
          <w:rFonts w:hint="eastAsia" w:ascii="MS UI Gothic" w:eastAsia="MS UI Gothic"/>
          <w:w w:val="85"/>
        </w:rPr>
        <w:t xml:space="preserve">ꎬ </w:t>
      </w:r>
      <w:r>
        <w:t>由特种设备安全监督管理部门予以取缔</w:t>
      </w:r>
      <w:r>
        <w:rPr>
          <w:rFonts w:hint="eastAsia" w:ascii="MS UI Gothic" w:eastAsia="MS UI Gothic"/>
          <w:w w:val="85"/>
        </w:rPr>
        <w:t xml:space="preserve">ꎬ </w:t>
      </w:r>
      <w:r>
        <w:t>处</w:t>
      </w:r>
      <w:r>
        <w:rPr>
          <w:rFonts w:hint="eastAsia" w:ascii="MS UI Gothic" w:eastAsia="MS UI Gothic"/>
        </w:rPr>
        <w:t xml:space="preserve">５ </w:t>
      </w:r>
      <w:r>
        <w:t xml:space="preserve">万元以上 </w:t>
      </w:r>
      <w:r>
        <w:rPr>
          <w:rFonts w:hint="eastAsia" w:ascii="MS UI Gothic" w:eastAsia="MS UI Gothic"/>
          <w:w w:val="85"/>
        </w:rPr>
        <w:t xml:space="preserve">２０ </w:t>
      </w:r>
      <w:r>
        <w:t>万元以下罚款</w:t>
      </w:r>
      <w:r>
        <w:rPr>
          <w:rFonts w:hint="eastAsia" w:ascii="MS UI Gothic" w:eastAsia="MS UI Gothic"/>
          <w:w w:val="85"/>
        </w:rPr>
        <w:t xml:space="preserve">ꎻ </w:t>
      </w:r>
      <w:r>
        <w:t>有违法所得的</w:t>
      </w:r>
      <w:r>
        <w:rPr>
          <w:rFonts w:hint="eastAsia" w:ascii="MS UI Gothic" w:eastAsia="MS UI Gothic"/>
          <w:w w:val="85"/>
        </w:rPr>
        <w:t xml:space="preserve">ꎬ </w:t>
      </w:r>
      <w:r>
        <w:t>没收违法所得</w:t>
      </w:r>
      <w:r>
        <w:rPr>
          <w:rFonts w:hint="eastAsia" w:ascii="MS UI Gothic" w:eastAsia="MS UI Gothic"/>
          <w:w w:val="85"/>
        </w:rPr>
        <w:t xml:space="preserve">ꎻ </w:t>
      </w:r>
      <w:r>
        <w:t>触犯刑律的</w:t>
      </w:r>
      <w:r>
        <w:rPr>
          <w:rFonts w:hint="eastAsia" w:ascii="MS UI Gothic" w:eastAsia="MS UI Gothic"/>
          <w:w w:val="85"/>
        </w:rPr>
        <w:t xml:space="preserve">ꎬ </w:t>
      </w:r>
      <w:r>
        <w:t>对负有责任的主管人员和其他直接责任人员依照刑法关于非法经营罪或者其他罪的规定</w:t>
      </w:r>
      <w:r>
        <w:rPr>
          <w:rFonts w:hint="eastAsia" w:ascii="MS UI Gothic" w:eastAsia="MS UI Gothic"/>
          <w:w w:val="85"/>
        </w:rPr>
        <w:t xml:space="preserve">ꎬ </w:t>
      </w:r>
      <w:r>
        <w:t>依法追究刑事责任</w:t>
      </w:r>
      <w:r>
        <w:rPr>
          <w:rFonts w:hint="eastAsia" w:ascii="MS UI Gothic" w:eastAsia="MS UI Gothic"/>
          <w:w w:val="85"/>
        </w:rPr>
        <w:t>ꎮ</w:t>
      </w:r>
    </w:p>
    <w:p>
      <w:pPr>
        <w:pStyle w:val="6"/>
        <w:spacing w:line="295" w:lineRule="auto"/>
        <w:ind w:left="381" w:right="126"/>
        <w:rPr>
          <w:rFonts w:hint="eastAsia" w:ascii="MS UI Gothic" w:eastAsia="MS UI Gothic"/>
        </w:rPr>
      </w:pPr>
      <w:r>
        <w:t>第九十二条  特种设备检验检测机构</w:t>
      </w:r>
      <w:r>
        <w:rPr>
          <w:rFonts w:hint="eastAsia" w:ascii="MS UI Gothic" w:eastAsia="MS UI Gothic"/>
          <w:w w:val="80"/>
        </w:rPr>
        <w:t xml:space="preserve">ꎬ </w:t>
      </w:r>
      <w:r>
        <w:t>有下列情形之一的</w:t>
      </w:r>
      <w:r>
        <w:rPr>
          <w:rFonts w:hint="eastAsia" w:ascii="MS UI Gothic" w:eastAsia="MS UI Gothic"/>
          <w:w w:val="80"/>
        </w:rPr>
        <w:t xml:space="preserve">ꎬ </w:t>
      </w:r>
      <w:r>
        <w:t xml:space="preserve">由特种设备安全监督管理部门处 </w:t>
      </w:r>
      <w:r>
        <w:rPr>
          <w:rFonts w:hint="eastAsia" w:ascii="MS UI Gothic" w:eastAsia="MS UI Gothic"/>
          <w:w w:val="80"/>
        </w:rPr>
        <w:t xml:space="preserve">２ </w:t>
      </w:r>
      <w:r>
        <w:t xml:space="preserve">万元以上 </w:t>
      </w:r>
      <w:r>
        <w:rPr>
          <w:rFonts w:hint="eastAsia" w:ascii="MS UI Gothic" w:eastAsia="MS UI Gothic"/>
          <w:w w:val="80"/>
        </w:rPr>
        <w:t xml:space="preserve">１０ </w:t>
      </w:r>
      <w:r>
        <w:t>万元以下罚款</w:t>
      </w:r>
      <w:r>
        <w:rPr>
          <w:rFonts w:hint="eastAsia" w:ascii="MS UI Gothic" w:eastAsia="MS UI Gothic"/>
          <w:w w:val="80"/>
        </w:rPr>
        <w:t xml:space="preserve">ꎻ </w:t>
      </w:r>
      <w:r>
        <w:t>情节严重的</w:t>
      </w:r>
      <w:r>
        <w:rPr>
          <w:rFonts w:hint="eastAsia" w:ascii="MS UI Gothic" w:eastAsia="MS UI Gothic"/>
          <w:w w:val="80"/>
        </w:rPr>
        <w:t xml:space="preserve">ꎬ </w:t>
      </w:r>
      <w:r>
        <w:t>撤销其检验检测资格</w:t>
      </w:r>
      <w:r>
        <w:rPr>
          <w:rFonts w:hint="eastAsia" w:ascii="MS UI Gothic" w:eastAsia="MS UI Gothic"/>
          <w:w w:val="230"/>
        </w:rPr>
        <w:t>:</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聘用未经特种设备安全监督管</w:t>
      </w:r>
      <w:r>
        <w:t>理部门组织考核合格并取得检验检测人员证书的人员</w:t>
      </w:r>
      <w:r>
        <w:rPr>
          <w:rFonts w:hint="eastAsia" w:ascii="MS UI Gothic" w:eastAsia="MS UI Gothic"/>
          <w:w w:val="80"/>
        </w:rPr>
        <w:t xml:space="preserve">ꎬ </w:t>
      </w:r>
      <w:r>
        <w:t>从事相关检验检测工作的</w:t>
      </w:r>
      <w:r>
        <w:rPr>
          <w:rFonts w:hint="eastAsia" w:ascii="MS UI Gothic" w:eastAsia="MS UI Gothic"/>
          <w:w w:val="80"/>
        </w:rPr>
        <w:t>ꎻ</w:t>
      </w:r>
    </w:p>
    <w:p>
      <w:pPr>
        <w:pStyle w:val="6"/>
        <w:spacing w:line="295" w:lineRule="auto"/>
        <w:ind w:left="381" w:right="124"/>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在进行特种设备检验检测中</w:t>
      </w:r>
      <w:r>
        <w:rPr>
          <w:rFonts w:hint="eastAsia" w:ascii="MS UI Gothic" w:eastAsia="MS UI Gothic"/>
          <w:w w:val="80"/>
        </w:rPr>
        <w:t>ꎬ</w:t>
      </w:r>
      <w:r>
        <w:t>发现严重事故隐患或者能耗严重超标</w:t>
      </w:r>
      <w:r>
        <w:rPr>
          <w:rFonts w:hint="eastAsia" w:ascii="MS UI Gothic" w:eastAsia="MS UI Gothic"/>
          <w:w w:val="80"/>
        </w:rPr>
        <w:t xml:space="preserve">ꎬ </w:t>
      </w:r>
      <w:r>
        <w:t>未及时告知特种设备使用单位</w:t>
      </w:r>
      <w:r>
        <w:rPr>
          <w:rFonts w:hint="eastAsia" w:ascii="MS UI Gothic" w:eastAsia="MS UI Gothic"/>
          <w:w w:val="80"/>
        </w:rPr>
        <w:t xml:space="preserve">ꎬ </w:t>
      </w:r>
      <w:r>
        <w:t>并立即向特</w:t>
      </w:r>
      <w:r>
        <w:rPr>
          <w:w w:val="105"/>
        </w:rPr>
        <w:t>种设备安全监督管理部门报告的</w:t>
      </w:r>
      <w:r>
        <w:rPr>
          <w:rFonts w:hint="eastAsia" w:ascii="MS UI Gothic" w:eastAsia="MS UI Gothic"/>
          <w:w w:val="80"/>
        </w:rPr>
        <w:t>ꎮ</w:t>
      </w:r>
    </w:p>
    <w:p>
      <w:pPr>
        <w:pStyle w:val="6"/>
        <w:spacing w:line="295" w:lineRule="auto"/>
        <w:ind w:left="381" w:right="124"/>
        <w:rPr>
          <w:rFonts w:hint="eastAsia" w:ascii="MS UI Gothic" w:eastAsia="MS UI Gothic"/>
        </w:rPr>
      </w:pPr>
      <w:r>
        <w:t>第九十三条 特种设备检验检测机构和检验检测人员</w:t>
      </w:r>
      <w:r>
        <w:rPr>
          <w:rFonts w:hint="eastAsia" w:ascii="MS UI Gothic" w:eastAsia="MS UI Gothic"/>
          <w:w w:val="85"/>
        </w:rPr>
        <w:t xml:space="preserve">ꎬ </w:t>
      </w:r>
      <w:r>
        <w:t>出具虚假的检验检测结果</w:t>
      </w:r>
      <w:r>
        <w:rPr>
          <w:rFonts w:hint="eastAsia" w:ascii="MS UI Gothic" w:eastAsia="MS UI Gothic"/>
          <w:w w:val="85"/>
        </w:rPr>
        <w:t xml:space="preserve">、 </w:t>
      </w:r>
      <w:r>
        <w:t>鉴定结论或者检验检测结果</w:t>
      </w:r>
      <w:r>
        <w:rPr>
          <w:rFonts w:hint="eastAsia" w:ascii="MS UI Gothic" w:eastAsia="MS UI Gothic"/>
          <w:w w:val="85"/>
        </w:rPr>
        <w:t xml:space="preserve">、 </w:t>
      </w:r>
      <w:r>
        <w:t>鉴定结论严重失实的</w:t>
      </w:r>
      <w:r>
        <w:rPr>
          <w:rFonts w:hint="eastAsia" w:ascii="MS UI Gothic" w:eastAsia="MS UI Gothic"/>
          <w:w w:val="85"/>
        </w:rPr>
        <w:t xml:space="preserve">ꎬ </w:t>
      </w:r>
      <w:r>
        <w:t>由特种设备安全监督管理部门对检验检测机构没收违法所得</w:t>
      </w:r>
      <w:r>
        <w:rPr>
          <w:rFonts w:hint="eastAsia" w:ascii="MS UI Gothic" w:eastAsia="MS UI Gothic"/>
          <w:w w:val="85"/>
        </w:rPr>
        <w:t xml:space="preserve">ꎬ </w:t>
      </w:r>
      <w:r>
        <w:t xml:space="preserve">处 </w:t>
      </w:r>
      <w:r>
        <w:rPr>
          <w:rFonts w:hint="eastAsia" w:ascii="MS UI Gothic" w:eastAsia="MS UI Gothic"/>
          <w:w w:val="85"/>
        </w:rPr>
        <w:t xml:space="preserve">５ </w:t>
      </w:r>
      <w:r>
        <w:t xml:space="preserve">万元以上 </w:t>
      </w:r>
      <w:r>
        <w:rPr>
          <w:rFonts w:hint="eastAsia" w:ascii="MS UI Gothic" w:eastAsia="MS UI Gothic"/>
          <w:w w:val="85"/>
        </w:rPr>
        <w:t xml:space="preserve">２０ </w:t>
      </w:r>
      <w:r>
        <w:t>万元以下罚款</w:t>
      </w:r>
      <w:r>
        <w:rPr>
          <w:rFonts w:hint="eastAsia" w:ascii="MS UI Gothic" w:eastAsia="MS UI Gothic"/>
          <w:w w:val="85"/>
        </w:rPr>
        <w:t xml:space="preserve">ꎬ </w:t>
      </w:r>
      <w:r>
        <w:t>情节严重的</w:t>
      </w:r>
      <w:r>
        <w:rPr>
          <w:rFonts w:hint="eastAsia" w:ascii="MS UI Gothic" w:eastAsia="MS UI Gothic"/>
          <w:w w:val="85"/>
        </w:rPr>
        <w:t>ꎬ</w:t>
      </w:r>
    </w:p>
    <w:p>
      <w:pPr>
        <w:spacing w:after="0" w:line="295" w:lineRule="auto"/>
        <w:rPr>
          <w:rFonts w:hint="eastAsia" w:ascii="MS UI Gothic" w:eastAsia="MS UI Gothic"/>
        </w:rPr>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４８０</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440" o:spid="_x0000_s2440" o:spt="203" style="height:2.15pt;width:398.25pt;" coordsize="7965,43">
            <o:lock v:ext="edit"/>
            <v:line id="_x0000_s2441" o:spid="_x0000_s2441" o:spt="20" style="position:absolute;left:0;top:39;height:0;width:7965;" stroked="t" coordsize="21600,21600">
              <v:path arrowok="t"/>
              <v:fill focussize="0,0"/>
              <v:stroke weight="0.388031496062992pt" color="#231F20"/>
              <v:imagedata o:title=""/>
              <o:lock v:ext="edit"/>
            </v:line>
            <v:line id="_x0000_s2442" o:spid="_x0000_s244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123" w:line="295" w:lineRule="auto"/>
        <w:ind w:left="118" w:right="38" w:firstLine="5"/>
        <w:rPr>
          <w:rFonts w:hint="eastAsia" w:ascii="MS UI Gothic" w:eastAsia="MS UI Gothic"/>
        </w:rPr>
      </w:pPr>
      <w:r>
        <w:rPr>
          <w:spacing w:val="3"/>
          <w:w w:val="95"/>
        </w:rPr>
        <w:t>撤销其检验检测资格</w:t>
      </w:r>
      <w:r>
        <w:rPr>
          <w:rFonts w:hint="eastAsia" w:ascii="MS UI Gothic" w:eastAsia="MS UI Gothic"/>
          <w:spacing w:val="22"/>
          <w:w w:val="90"/>
        </w:rPr>
        <w:t xml:space="preserve">ꎻ </w:t>
      </w:r>
      <w:r>
        <w:rPr>
          <w:spacing w:val="2"/>
          <w:w w:val="95"/>
        </w:rPr>
        <w:t>对检验检测人员处</w:t>
      </w:r>
      <w:r>
        <w:rPr>
          <w:rFonts w:hint="eastAsia" w:ascii="MS UI Gothic" w:eastAsia="MS UI Gothic"/>
          <w:spacing w:val="2"/>
          <w:w w:val="95"/>
        </w:rPr>
        <w:t xml:space="preserve">５０００ </w:t>
      </w:r>
      <w:r>
        <w:rPr>
          <w:spacing w:val="-1"/>
          <w:w w:val="95"/>
        </w:rPr>
        <w:t xml:space="preserve">元以上 </w:t>
      </w:r>
      <w:r>
        <w:rPr>
          <w:rFonts w:hint="eastAsia" w:ascii="MS UI Gothic" w:eastAsia="MS UI Gothic"/>
          <w:spacing w:val="7"/>
          <w:w w:val="95"/>
        </w:rPr>
        <w:t xml:space="preserve">５ </w:t>
      </w:r>
      <w:r>
        <w:rPr>
          <w:spacing w:val="13"/>
          <w:w w:val="95"/>
        </w:rPr>
        <w:t>万元以下罚款</w:t>
      </w:r>
      <w:r>
        <w:rPr>
          <w:rFonts w:hint="eastAsia" w:ascii="MS UI Gothic" w:eastAsia="MS UI Gothic"/>
          <w:w w:val="90"/>
        </w:rPr>
        <w:t xml:space="preserve">ꎬ </w:t>
      </w:r>
      <w:r>
        <w:rPr>
          <w:spacing w:val="12"/>
          <w:w w:val="95"/>
        </w:rPr>
        <w:t>情节严重</w:t>
      </w:r>
      <w:r>
        <w:rPr>
          <w:spacing w:val="3"/>
          <w:w w:val="95"/>
        </w:rPr>
        <w:t>的</w:t>
      </w:r>
      <w:r>
        <w:rPr>
          <w:rFonts w:hint="eastAsia" w:ascii="MS UI Gothic" w:eastAsia="MS UI Gothic"/>
          <w:spacing w:val="26"/>
          <w:w w:val="90"/>
        </w:rPr>
        <w:t xml:space="preserve">ꎬ </w:t>
      </w:r>
      <w:r>
        <w:rPr>
          <w:spacing w:val="7"/>
          <w:w w:val="95"/>
        </w:rPr>
        <w:t>撤销其检验检测资格</w:t>
      </w:r>
      <w:r>
        <w:rPr>
          <w:rFonts w:hint="eastAsia" w:ascii="MS UI Gothic" w:eastAsia="MS UI Gothic"/>
          <w:spacing w:val="3"/>
          <w:w w:val="90"/>
        </w:rPr>
        <w:t xml:space="preserve">ꎬ </w:t>
      </w:r>
      <w:r>
        <w:rPr>
          <w:spacing w:val="12"/>
          <w:w w:val="95"/>
        </w:rPr>
        <w:t>触犯刑律的</w:t>
      </w:r>
      <w:r>
        <w:rPr>
          <w:rFonts w:hint="eastAsia" w:ascii="MS UI Gothic" w:eastAsia="MS UI Gothic"/>
          <w:w w:val="90"/>
        </w:rPr>
        <w:t>ꎬ</w:t>
      </w:r>
      <w:r>
        <w:rPr>
          <w:spacing w:val="2"/>
          <w:w w:val="95"/>
        </w:rPr>
        <w:t xml:space="preserve">依照刑法关于中介组织人员提供虚假证明  </w:t>
      </w:r>
      <w:r>
        <w:rPr>
          <w:spacing w:val="3"/>
          <w:w w:val="95"/>
        </w:rPr>
        <w:t>文件罪</w:t>
      </w:r>
      <w:r>
        <w:rPr>
          <w:rFonts w:hint="eastAsia" w:ascii="MS UI Gothic" w:eastAsia="MS UI Gothic"/>
          <w:spacing w:val="3"/>
          <w:w w:val="95"/>
        </w:rPr>
        <w:t xml:space="preserve">、   </w:t>
      </w:r>
      <w:r>
        <w:rPr>
          <w:spacing w:val="2"/>
          <w:w w:val="95"/>
        </w:rPr>
        <w:t>中介组织人员出具证明文件重大</w:t>
      </w:r>
      <w:r>
        <w:rPr>
          <w:spacing w:val="3"/>
          <w:w w:val="95"/>
        </w:rPr>
        <w:t>失实罪或者其他罪的规定</w:t>
      </w:r>
      <w:r>
        <w:rPr>
          <w:rFonts w:hint="eastAsia" w:ascii="MS UI Gothic" w:eastAsia="MS UI Gothic"/>
          <w:spacing w:val="12"/>
          <w:w w:val="90"/>
        </w:rPr>
        <w:t xml:space="preserve">ꎬ  </w:t>
      </w:r>
      <w:r>
        <w:rPr>
          <w:spacing w:val="2"/>
          <w:w w:val="95"/>
        </w:rPr>
        <w:t>依法追究刑事</w:t>
      </w:r>
      <w:r>
        <w:rPr>
          <w:spacing w:val="3"/>
          <w:w w:val="95"/>
        </w:rPr>
        <w:t>责任</w:t>
      </w:r>
      <w:r>
        <w:rPr>
          <w:rFonts w:hint="eastAsia" w:ascii="MS UI Gothic" w:eastAsia="MS UI Gothic"/>
          <w:w w:val="90"/>
        </w:rPr>
        <w:t>ꎮ</w:t>
      </w:r>
    </w:p>
    <w:p>
      <w:pPr>
        <w:pStyle w:val="6"/>
        <w:spacing w:line="295" w:lineRule="auto"/>
        <w:ind w:right="38"/>
        <w:rPr>
          <w:rFonts w:hint="eastAsia" w:ascii="MS UI Gothic" w:eastAsia="MS UI Gothic"/>
        </w:rPr>
      </w:pPr>
      <w:r>
        <w:t>特种设备检验检测机构和检验检测人员</w:t>
      </w:r>
      <w:r>
        <w:rPr>
          <w:rFonts w:hint="eastAsia" w:ascii="MS UI Gothic" w:eastAsia="MS UI Gothic"/>
          <w:w w:val="80"/>
        </w:rPr>
        <w:t xml:space="preserve">ꎬ </w:t>
      </w:r>
      <w:r>
        <w:t>出具虚假的检验检测结果</w:t>
      </w:r>
      <w:r>
        <w:rPr>
          <w:rFonts w:hint="eastAsia" w:ascii="MS UI Gothic" w:eastAsia="MS UI Gothic"/>
          <w:w w:val="80"/>
        </w:rPr>
        <w:t xml:space="preserve">、 </w:t>
      </w:r>
      <w:r>
        <w:t>鉴定结论或者检验检测结果</w:t>
      </w:r>
      <w:r>
        <w:rPr>
          <w:rFonts w:hint="eastAsia" w:ascii="MS UI Gothic" w:eastAsia="MS UI Gothic"/>
          <w:w w:val="80"/>
        </w:rPr>
        <w:t xml:space="preserve">、 </w:t>
      </w:r>
      <w:r>
        <w:t>鉴定结论严重失实</w:t>
      </w:r>
      <w:r>
        <w:rPr>
          <w:rFonts w:hint="eastAsia" w:ascii="MS UI Gothic" w:eastAsia="MS UI Gothic"/>
          <w:w w:val="80"/>
        </w:rPr>
        <w:t>ꎬ</w:t>
      </w:r>
      <w:r>
        <w:t>造成损害的</w:t>
      </w:r>
      <w:r>
        <w:rPr>
          <w:rFonts w:hint="eastAsia" w:ascii="MS UI Gothic" w:eastAsia="MS UI Gothic"/>
          <w:w w:val="80"/>
        </w:rPr>
        <w:t xml:space="preserve">ꎬ </w:t>
      </w:r>
      <w:r>
        <w:t>应当承担赔偿责任</w:t>
      </w:r>
      <w:r>
        <w:rPr>
          <w:rFonts w:hint="eastAsia" w:ascii="MS UI Gothic" w:eastAsia="MS UI Gothic"/>
          <w:w w:val="80"/>
        </w:rPr>
        <w:t>ꎮ</w:t>
      </w:r>
    </w:p>
    <w:p>
      <w:pPr>
        <w:pStyle w:val="6"/>
        <w:spacing w:line="295" w:lineRule="auto"/>
        <w:ind w:right="38"/>
        <w:rPr>
          <w:rFonts w:hint="eastAsia" w:ascii="MS UI Gothic" w:eastAsia="MS UI Gothic"/>
        </w:rPr>
      </w:pPr>
      <w:r>
        <w:t>第九十四条 特种设备检验检测机构或者检验检测人员从事特种设备的生产</w:t>
      </w:r>
      <w:r>
        <w:rPr>
          <w:rFonts w:hint="eastAsia" w:ascii="MS UI Gothic" w:eastAsia="MS UI Gothic"/>
          <w:w w:val="85"/>
        </w:rPr>
        <w:t>、</w:t>
      </w:r>
      <w:r>
        <w:t>销售</w:t>
      </w:r>
      <w:r>
        <w:rPr>
          <w:rFonts w:hint="eastAsia" w:ascii="MS UI Gothic" w:eastAsia="MS UI Gothic"/>
          <w:w w:val="85"/>
        </w:rPr>
        <w:t xml:space="preserve">ꎬ </w:t>
      </w:r>
      <w:r>
        <w:t>或者以其名义推荐或者监制</w:t>
      </w:r>
      <w:r>
        <w:rPr>
          <w:rFonts w:hint="eastAsia" w:ascii="MS UI Gothic" w:eastAsia="MS UI Gothic"/>
          <w:w w:val="85"/>
        </w:rPr>
        <w:t xml:space="preserve">、 </w:t>
      </w:r>
      <w:r>
        <w:t>监销特种设备的</w:t>
      </w:r>
      <w:r>
        <w:rPr>
          <w:rFonts w:hint="eastAsia" w:ascii="MS UI Gothic" w:eastAsia="MS UI Gothic"/>
          <w:w w:val="85"/>
        </w:rPr>
        <w:t xml:space="preserve">ꎬ </w:t>
      </w:r>
      <w:r>
        <w:t>由特种设备安全监督管理部门撤销特种设备检验检测机构和检验检测人员的资格</w:t>
      </w:r>
      <w:r>
        <w:rPr>
          <w:rFonts w:hint="eastAsia" w:ascii="MS UI Gothic" w:eastAsia="MS UI Gothic"/>
          <w:w w:val="85"/>
        </w:rPr>
        <w:t xml:space="preserve">ꎬ </w:t>
      </w:r>
      <w:r>
        <w:t xml:space="preserve">处 </w:t>
      </w:r>
      <w:r>
        <w:rPr>
          <w:rFonts w:hint="eastAsia" w:ascii="MS UI Gothic" w:eastAsia="MS UI Gothic"/>
          <w:w w:val="85"/>
        </w:rPr>
        <w:t xml:space="preserve">５ </w:t>
      </w:r>
      <w:r>
        <w:t xml:space="preserve">万元以上 </w:t>
      </w:r>
      <w:r>
        <w:rPr>
          <w:rFonts w:hint="eastAsia" w:ascii="MS UI Gothic" w:eastAsia="MS UI Gothic"/>
          <w:w w:val="85"/>
        </w:rPr>
        <w:t xml:space="preserve">２０ </w:t>
      </w:r>
      <w:r>
        <w:t>万元以下罚款</w:t>
      </w:r>
      <w:r>
        <w:rPr>
          <w:rFonts w:hint="eastAsia" w:ascii="MS UI Gothic" w:eastAsia="MS UI Gothic"/>
          <w:w w:val="85"/>
        </w:rPr>
        <w:t xml:space="preserve">ꎻ </w:t>
      </w:r>
      <w:r>
        <w:t>有违法所得的</w:t>
      </w:r>
      <w:r>
        <w:rPr>
          <w:rFonts w:hint="eastAsia" w:ascii="MS UI Gothic" w:eastAsia="MS UI Gothic"/>
          <w:w w:val="85"/>
        </w:rPr>
        <w:t xml:space="preserve">ꎬ </w:t>
      </w:r>
      <w:r>
        <w:t>没收违法所得</w:t>
      </w:r>
      <w:r>
        <w:rPr>
          <w:rFonts w:hint="eastAsia" w:ascii="MS UI Gothic" w:eastAsia="MS UI Gothic"/>
          <w:w w:val="85"/>
        </w:rPr>
        <w:t>ꎮ</w:t>
      </w:r>
    </w:p>
    <w:p>
      <w:pPr>
        <w:pStyle w:val="6"/>
        <w:spacing w:line="295" w:lineRule="auto"/>
        <w:ind w:right="39"/>
        <w:rPr>
          <w:rFonts w:hint="eastAsia" w:ascii="MS UI Gothic" w:eastAsia="MS UI Gothic"/>
        </w:rPr>
      </w:pPr>
      <w:r>
        <w:t>第九十五条 特种设备检验检测机构和检验检测人员利用检验检测工作故意刁难特种设备生产</w:t>
      </w:r>
      <w:r>
        <w:rPr>
          <w:rFonts w:hint="eastAsia" w:ascii="MS UI Gothic" w:eastAsia="MS UI Gothic"/>
          <w:w w:val="80"/>
        </w:rPr>
        <w:t xml:space="preserve">、 </w:t>
      </w:r>
      <w:r>
        <w:t>使用单位</w:t>
      </w:r>
      <w:r>
        <w:rPr>
          <w:rFonts w:hint="eastAsia" w:ascii="MS UI Gothic" w:eastAsia="MS UI Gothic"/>
          <w:w w:val="80"/>
        </w:rPr>
        <w:t xml:space="preserve">ꎬ </w:t>
      </w:r>
      <w:r>
        <w:t>由特种设备安全监督管理部门责令改正</w:t>
      </w:r>
      <w:r>
        <w:rPr>
          <w:rFonts w:hint="eastAsia" w:ascii="MS UI Gothic" w:eastAsia="MS UI Gothic"/>
          <w:w w:val="80"/>
        </w:rPr>
        <w:t xml:space="preserve">ꎻ </w:t>
      </w:r>
      <w:r>
        <w:t>拒不改正的</w:t>
      </w:r>
      <w:r>
        <w:rPr>
          <w:rFonts w:hint="eastAsia" w:ascii="MS UI Gothic" w:eastAsia="MS UI Gothic"/>
          <w:w w:val="80"/>
        </w:rPr>
        <w:t xml:space="preserve">ꎬ </w:t>
      </w:r>
      <w:r>
        <w:t>撤销其检验检测资格</w:t>
      </w:r>
      <w:r>
        <w:rPr>
          <w:rFonts w:hint="eastAsia" w:ascii="MS UI Gothic" w:eastAsia="MS UI Gothic"/>
          <w:w w:val="80"/>
        </w:rPr>
        <w:t>ꎮ</w:t>
      </w:r>
    </w:p>
    <w:p>
      <w:pPr>
        <w:pStyle w:val="6"/>
        <w:spacing w:line="295" w:lineRule="auto"/>
        <w:ind w:right="38"/>
        <w:rPr>
          <w:rFonts w:hint="eastAsia" w:ascii="MS UI Gothic" w:eastAsia="MS UI Gothic"/>
        </w:rPr>
      </w:pPr>
      <w:r>
        <w:t>第九十六条 检验检测人员</w:t>
      </w:r>
      <w:r>
        <w:rPr>
          <w:rFonts w:hint="eastAsia" w:ascii="MS UI Gothic" w:eastAsia="MS UI Gothic"/>
          <w:w w:val="80"/>
        </w:rPr>
        <w:t xml:space="preserve">ꎬ </w:t>
      </w:r>
      <w:r>
        <w:t>从事检验检测工作</w:t>
      </w:r>
      <w:r>
        <w:rPr>
          <w:rFonts w:hint="eastAsia" w:ascii="MS UI Gothic" w:eastAsia="MS UI Gothic"/>
          <w:w w:val="80"/>
        </w:rPr>
        <w:t xml:space="preserve">ꎬ </w:t>
      </w:r>
      <w:r>
        <w:t>不在特种设备检验检测机构执业或者同时在两个以上检验检测机构中执业的</w:t>
      </w:r>
      <w:r>
        <w:rPr>
          <w:rFonts w:hint="eastAsia" w:ascii="MS UI Gothic" w:eastAsia="MS UI Gothic"/>
          <w:w w:val="80"/>
        </w:rPr>
        <w:t xml:space="preserve">ꎬ </w:t>
      </w:r>
      <w:r>
        <w:t>由特种设备安全监督管理部门责令改正</w:t>
      </w:r>
      <w:r>
        <w:rPr>
          <w:rFonts w:hint="eastAsia" w:ascii="MS UI Gothic" w:eastAsia="MS UI Gothic"/>
          <w:w w:val="80"/>
        </w:rPr>
        <w:t xml:space="preserve">ꎬ </w:t>
      </w:r>
      <w:r>
        <w:t>情节严重的</w:t>
      </w:r>
      <w:r>
        <w:rPr>
          <w:rFonts w:hint="eastAsia" w:ascii="MS UI Gothic" w:eastAsia="MS UI Gothic"/>
          <w:w w:val="80"/>
        </w:rPr>
        <w:t xml:space="preserve">ꎬ </w:t>
      </w:r>
      <w:r>
        <w:t xml:space="preserve">给予停止执业 </w:t>
      </w:r>
      <w:r>
        <w:rPr>
          <w:rFonts w:hint="eastAsia" w:ascii="MS UI Gothic" w:eastAsia="MS UI Gothic"/>
          <w:w w:val="80"/>
        </w:rPr>
        <w:t xml:space="preserve">６ </w:t>
      </w:r>
      <w:r>
        <w:t xml:space="preserve">个月以上 </w:t>
      </w:r>
      <w:r>
        <w:rPr>
          <w:rFonts w:hint="eastAsia" w:ascii="MS UI Gothic" w:eastAsia="MS UI Gothic"/>
          <w:w w:val="80"/>
        </w:rPr>
        <w:t xml:space="preserve">２ </w:t>
      </w:r>
      <w:r>
        <w:t>年以下的处罚</w:t>
      </w:r>
      <w:r>
        <w:rPr>
          <w:rFonts w:hint="eastAsia" w:ascii="MS UI Gothic" w:eastAsia="MS UI Gothic"/>
          <w:w w:val="80"/>
        </w:rPr>
        <w:t xml:space="preserve">ꎻ  </w:t>
      </w:r>
      <w:r>
        <w:t>有违法所得的</w:t>
      </w:r>
      <w:r>
        <w:rPr>
          <w:rFonts w:hint="eastAsia" w:ascii="MS UI Gothic" w:eastAsia="MS UI Gothic"/>
          <w:w w:val="80"/>
        </w:rPr>
        <w:t>ꎬ</w:t>
      </w:r>
      <w:r>
        <w:t>没收违法所得</w:t>
      </w:r>
      <w:r>
        <w:rPr>
          <w:rFonts w:hint="eastAsia" w:ascii="MS UI Gothic" w:eastAsia="MS UI Gothic"/>
          <w:w w:val="80"/>
        </w:rPr>
        <w:t>ꎮ</w:t>
      </w:r>
    </w:p>
    <w:p>
      <w:pPr>
        <w:pStyle w:val="6"/>
        <w:spacing w:line="295" w:lineRule="auto"/>
        <w:ind w:right="39"/>
        <w:rPr>
          <w:rFonts w:hint="eastAsia" w:ascii="MS UI Gothic" w:eastAsia="MS UI Gothic"/>
        </w:rPr>
      </w:pPr>
      <w:r>
        <w:rPr>
          <w:w w:val="105"/>
        </w:rPr>
        <w:t>第九十七条 特种设备安全监督管理</w:t>
      </w:r>
      <w:r>
        <w:t>部门及其特种设备安全监察人员</w:t>
      </w:r>
      <w:r>
        <w:rPr>
          <w:rFonts w:hint="eastAsia" w:ascii="MS UI Gothic" w:eastAsia="MS UI Gothic"/>
          <w:w w:val="80"/>
        </w:rPr>
        <w:t xml:space="preserve">ꎬ </w:t>
      </w:r>
      <w:r>
        <w:t>有下列违法行为之一的</w:t>
      </w:r>
      <w:r>
        <w:rPr>
          <w:rFonts w:hint="eastAsia" w:ascii="MS UI Gothic" w:eastAsia="MS UI Gothic"/>
          <w:w w:val="80"/>
        </w:rPr>
        <w:t xml:space="preserve">ꎬ </w:t>
      </w:r>
      <w:r>
        <w:t>对直接负责的主管人员和其他直接责任人员</w:t>
      </w:r>
      <w:r>
        <w:rPr>
          <w:rFonts w:hint="eastAsia" w:ascii="MS UI Gothic" w:eastAsia="MS UI Gothic"/>
          <w:w w:val="80"/>
        </w:rPr>
        <w:t xml:space="preserve">ꎬ </w:t>
      </w:r>
      <w:r>
        <w:t>依法给予降级或者撤职的处分</w:t>
      </w:r>
      <w:r>
        <w:rPr>
          <w:rFonts w:hint="eastAsia" w:ascii="MS UI Gothic" w:eastAsia="MS UI Gothic"/>
          <w:w w:val="80"/>
        </w:rPr>
        <w:t xml:space="preserve">ꎻ </w:t>
      </w:r>
      <w:r>
        <w:t>触犯刑律的</w:t>
      </w:r>
      <w:r>
        <w:rPr>
          <w:rFonts w:hint="eastAsia" w:ascii="MS UI Gothic" w:eastAsia="MS UI Gothic"/>
          <w:w w:val="80"/>
        </w:rPr>
        <w:t xml:space="preserve">ꎬ </w:t>
      </w:r>
      <w:r>
        <w:t>依照刑法关于</w:t>
      </w:r>
      <w:r>
        <w:rPr>
          <w:w w:val="105"/>
        </w:rPr>
        <w:t>受贿罪</w:t>
      </w:r>
      <w:r>
        <w:rPr>
          <w:rFonts w:hint="eastAsia" w:ascii="MS UI Gothic" w:eastAsia="MS UI Gothic"/>
        </w:rPr>
        <w:t xml:space="preserve">、 </w:t>
      </w:r>
      <w:r>
        <w:rPr>
          <w:w w:val="105"/>
        </w:rPr>
        <w:t>滥用职权罪</w:t>
      </w:r>
      <w:r>
        <w:rPr>
          <w:rFonts w:hint="eastAsia" w:ascii="MS UI Gothic" w:eastAsia="MS UI Gothic"/>
        </w:rPr>
        <w:t xml:space="preserve">、 </w:t>
      </w:r>
      <w:r>
        <w:rPr>
          <w:w w:val="105"/>
        </w:rPr>
        <w:t>玩忽职守罪或者其他罪的规定</w:t>
      </w:r>
      <w:r>
        <w:rPr>
          <w:rFonts w:hint="eastAsia" w:ascii="MS UI Gothic" w:eastAsia="MS UI Gothic"/>
          <w:w w:val="80"/>
        </w:rPr>
        <w:t xml:space="preserve">ꎬ </w:t>
      </w:r>
      <w:r>
        <w:rPr>
          <w:w w:val="105"/>
        </w:rPr>
        <w:t>依法追究刑事责任</w:t>
      </w:r>
      <w:r>
        <w:rPr>
          <w:rFonts w:hint="eastAsia" w:ascii="MS UI Gothic" w:eastAsia="MS UI Gothic"/>
          <w:w w:val="235"/>
        </w:rPr>
        <w:t>:</w:t>
      </w:r>
    </w:p>
    <w:p>
      <w:pPr>
        <w:pStyle w:val="6"/>
        <w:spacing w:line="295" w:lineRule="auto"/>
        <w:ind w:right="39"/>
      </w:pPr>
      <w:r>
        <w:rPr>
          <w:rFonts w:hint="eastAsia" w:ascii="MS UI Gothic" w:eastAsia="MS UI Gothic"/>
          <w:w w:val="150"/>
        </w:rPr>
        <w:t xml:space="preserve">( </w:t>
      </w:r>
      <w:r>
        <w:rPr>
          <w:w w:val="105"/>
        </w:rPr>
        <w:t>一</w:t>
      </w:r>
      <w:r>
        <w:rPr>
          <w:rFonts w:hint="eastAsia" w:ascii="MS UI Gothic" w:eastAsia="MS UI Gothic"/>
          <w:w w:val="150"/>
        </w:rPr>
        <w:t xml:space="preserve">) </w:t>
      </w:r>
      <w:r>
        <w:rPr>
          <w:w w:val="105"/>
        </w:rPr>
        <w:t>不按照本条例规定的条件和安全技术规范要求</w:t>
      </w:r>
      <w:r>
        <w:rPr>
          <w:rFonts w:hint="eastAsia" w:ascii="MS UI Gothic" w:eastAsia="MS UI Gothic"/>
          <w:w w:val="80"/>
        </w:rPr>
        <w:t xml:space="preserve">ꎬ </w:t>
      </w:r>
      <w:r>
        <w:rPr>
          <w:w w:val="105"/>
        </w:rPr>
        <w:t>实施许可</w:t>
      </w:r>
      <w:r>
        <w:rPr>
          <w:rFonts w:hint="eastAsia" w:ascii="MS UI Gothic" w:eastAsia="MS UI Gothic"/>
          <w:w w:val="80"/>
        </w:rPr>
        <w:t xml:space="preserve">、 </w:t>
      </w:r>
      <w:r>
        <w:rPr>
          <w:w w:val="105"/>
        </w:rPr>
        <w:t>核准</w:t>
      </w:r>
      <w:r>
        <w:rPr>
          <w:rFonts w:hint="eastAsia" w:ascii="MS UI Gothic" w:eastAsia="MS UI Gothic"/>
          <w:w w:val="80"/>
        </w:rPr>
        <w:t xml:space="preserve">、 </w:t>
      </w:r>
      <w:r>
        <w:rPr>
          <w:w w:val="105"/>
        </w:rPr>
        <w:t>登</w:t>
      </w:r>
    </w:p>
    <w:p>
      <w:pPr>
        <w:spacing w:before="123"/>
        <w:ind w:left="118" w:right="0" w:firstLine="0"/>
        <w:jc w:val="left"/>
        <w:rPr>
          <w:rFonts w:hint="eastAsia" w:ascii="MS UI Gothic" w:eastAsia="MS UI Gothic"/>
          <w:sz w:val="20"/>
        </w:rPr>
      </w:pPr>
      <w:r>
        <w:br w:type="column"/>
      </w:r>
      <w:r>
        <w:rPr>
          <w:sz w:val="20"/>
        </w:rPr>
        <w:t>记的</w:t>
      </w:r>
      <w:r>
        <w:rPr>
          <w:rFonts w:hint="eastAsia" w:ascii="MS UI Gothic" w:eastAsia="MS UI Gothic"/>
          <w:w w:val="80"/>
          <w:sz w:val="20"/>
        </w:rPr>
        <w:t>ꎻ</w:t>
      </w:r>
    </w:p>
    <w:p>
      <w:pPr>
        <w:pStyle w:val="6"/>
        <w:spacing w:before="58" w:line="295" w:lineRule="auto"/>
        <w:ind w:left="118"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发现未经许可</w:t>
      </w:r>
      <w:r>
        <w:rPr>
          <w:rFonts w:hint="eastAsia" w:ascii="MS UI Gothic" w:eastAsia="MS UI Gothic"/>
          <w:w w:val="80"/>
        </w:rPr>
        <w:t xml:space="preserve">、 </w:t>
      </w:r>
      <w:r>
        <w:rPr>
          <w:w w:val="105"/>
        </w:rPr>
        <w:t>核准</w:t>
      </w:r>
      <w:r>
        <w:rPr>
          <w:rFonts w:hint="eastAsia" w:ascii="MS UI Gothic" w:eastAsia="MS UI Gothic"/>
          <w:w w:val="80"/>
        </w:rPr>
        <w:t xml:space="preserve">、 </w:t>
      </w:r>
      <w:r>
        <w:rPr>
          <w:w w:val="105"/>
        </w:rPr>
        <w:t>登记擅自从事特种设备的生产</w:t>
      </w:r>
      <w:r>
        <w:rPr>
          <w:rFonts w:hint="eastAsia" w:ascii="MS UI Gothic" w:eastAsia="MS UI Gothic"/>
          <w:w w:val="80"/>
        </w:rPr>
        <w:t xml:space="preserve">、 </w:t>
      </w:r>
      <w:r>
        <w:rPr>
          <w:w w:val="105"/>
        </w:rPr>
        <w:t>使用或者检验检</w:t>
      </w:r>
      <w:r>
        <w:t>测活动不予取缔或者不依法予以处理的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发现特种设备生产</w:t>
      </w:r>
      <w:r>
        <w:rPr>
          <w:rFonts w:hint="eastAsia" w:ascii="MS UI Gothic" w:eastAsia="MS UI Gothic"/>
          <w:w w:val="80"/>
        </w:rPr>
        <w:t xml:space="preserve">、 </w:t>
      </w:r>
      <w:r>
        <w:rPr>
          <w:w w:val="105"/>
        </w:rPr>
        <w:t>使用单位</w:t>
      </w:r>
      <w:r>
        <w:t>不再具备本条例规定的条件而不撤销其原</w:t>
      </w:r>
      <w:r>
        <w:rPr>
          <w:w w:val="105"/>
        </w:rPr>
        <w:t>许可</w:t>
      </w:r>
      <w:r>
        <w:rPr>
          <w:rFonts w:hint="eastAsia" w:ascii="MS UI Gothic" w:eastAsia="MS UI Gothic"/>
          <w:w w:val="80"/>
        </w:rPr>
        <w:t xml:space="preserve">ꎬ </w:t>
      </w:r>
      <w:r>
        <w:rPr>
          <w:w w:val="105"/>
        </w:rPr>
        <w:t>或者发现特种设备生产</w:t>
      </w:r>
      <w:r>
        <w:rPr>
          <w:rFonts w:hint="eastAsia" w:ascii="MS UI Gothic" w:eastAsia="MS UI Gothic"/>
          <w:w w:val="80"/>
        </w:rPr>
        <w:t xml:space="preserve">、 </w:t>
      </w:r>
      <w:r>
        <w:rPr>
          <w:w w:val="105"/>
        </w:rPr>
        <w:t>使用违法行为不予查处的</w:t>
      </w:r>
      <w:r>
        <w:rPr>
          <w:rFonts w:hint="eastAsia" w:ascii="MS UI Gothic" w:eastAsia="MS UI Gothic"/>
          <w:w w:val="80"/>
        </w:rPr>
        <w:t>ꎻ</w:t>
      </w:r>
    </w:p>
    <w:p>
      <w:pPr>
        <w:pStyle w:val="6"/>
        <w:spacing w:line="295" w:lineRule="auto"/>
        <w:ind w:left="118" w:right="440"/>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发现特种设备检验检测机构不</w:t>
      </w:r>
      <w:r>
        <w:t>再具备本条例规定的条件而不撤销其原核准</w:t>
      </w:r>
      <w:r>
        <w:rPr>
          <w:rFonts w:hint="eastAsia" w:ascii="MS UI Gothic" w:eastAsia="MS UI Gothic"/>
          <w:w w:val="80"/>
        </w:rPr>
        <w:t xml:space="preserve">ꎬ </w:t>
      </w:r>
      <w:r>
        <w:t>或者对其出具虚假的检验检测结果</w:t>
      </w:r>
      <w:r>
        <w:rPr>
          <w:rFonts w:hint="eastAsia" w:ascii="MS UI Gothic" w:eastAsia="MS UI Gothic"/>
          <w:w w:val="80"/>
        </w:rPr>
        <w:t>、</w:t>
      </w:r>
      <w:r>
        <w:rPr>
          <w:w w:val="105"/>
        </w:rPr>
        <w:t>鉴定结论或者检验检测结果</w:t>
      </w:r>
      <w:r>
        <w:rPr>
          <w:rFonts w:hint="eastAsia" w:ascii="MS UI Gothic" w:eastAsia="MS UI Gothic"/>
          <w:w w:val="80"/>
        </w:rPr>
        <w:t xml:space="preserve">、 </w:t>
      </w:r>
      <w:r>
        <w:rPr>
          <w:w w:val="105"/>
        </w:rPr>
        <w:t>鉴定结论严重失实的行为不予查处的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五</w:t>
      </w:r>
      <w:r>
        <w:rPr>
          <w:rFonts w:hint="eastAsia" w:ascii="MS UI Gothic" w:eastAsia="MS UI Gothic"/>
          <w:w w:val="150"/>
        </w:rPr>
        <w:t xml:space="preserve">) </w:t>
      </w:r>
      <w:r>
        <w:rPr>
          <w:w w:val="105"/>
        </w:rPr>
        <w:t>对依照本条例规定在其他地方</w:t>
      </w:r>
      <w:r>
        <w:t>取得许可的特种设备生产单位重复进行许可</w:t>
      </w:r>
      <w:r>
        <w:rPr>
          <w:rFonts w:hint="eastAsia" w:ascii="MS UI Gothic" w:eastAsia="MS UI Gothic"/>
          <w:w w:val="80"/>
        </w:rPr>
        <w:t xml:space="preserve">ꎬ </w:t>
      </w:r>
      <w:r>
        <w:t>或者对依照本条例规定在其他地方检验检测合格的特种设备</w:t>
      </w:r>
      <w:r>
        <w:rPr>
          <w:rFonts w:hint="eastAsia" w:ascii="MS UI Gothic" w:eastAsia="MS UI Gothic"/>
          <w:w w:val="80"/>
        </w:rPr>
        <w:t xml:space="preserve">ꎬ </w:t>
      </w:r>
      <w:r>
        <w:t>重复进行检验检</w:t>
      </w:r>
      <w:r>
        <w:rPr>
          <w:w w:val="105"/>
        </w:rPr>
        <w:t>测的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发现有违反本条例和安全技术</w:t>
      </w:r>
      <w:r>
        <w:t>规范的行为或者在用的特种设备存在严重</w:t>
      </w:r>
      <w:r>
        <w:rPr>
          <w:w w:val="105"/>
        </w:rPr>
        <w:t>事故隐患</w:t>
      </w:r>
      <w:r>
        <w:rPr>
          <w:rFonts w:hint="eastAsia" w:ascii="MS UI Gothic" w:eastAsia="MS UI Gothic"/>
          <w:w w:val="80"/>
        </w:rPr>
        <w:t xml:space="preserve">ꎬ </w:t>
      </w:r>
      <w:r>
        <w:rPr>
          <w:w w:val="105"/>
        </w:rPr>
        <w:t>不立即处理的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w w:val="150"/>
        </w:rPr>
        <w:t xml:space="preserve">( </w:t>
      </w:r>
      <w:r>
        <w:rPr>
          <w:w w:val="105"/>
        </w:rPr>
        <w:t>七</w:t>
      </w:r>
      <w:r>
        <w:rPr>
          <w:rFonts w:hint="eastAsia" w:ascii="MS UI Gothic" w:eastAsia="MS UI Gothic"/>
          <w:w w:val="150"/>
        </w:rPr>
        <w:t xml:space="preserve">) </w:t>
      </w:r>
      <w:r>
        <w:rPr>
          <w:w w:val="105"/>
        </w:rPr>
        <w:t>发现重大的违法行为或者严重</w:t>
      </w:r>
      <w:r>
        <w:t>事故隐患</w:t>
      </w:r>
      <w:r>
        <w:rPr>
          <w:rFonts w:hint="eastAsia" w:ascii="MS UI Gothic" w:eastAsia="MS UI Gothic"/>
          <w:w w:val="80"/>
        </w:rPr>
        <w:t xml:space="preserve">ꎬ </w:t>
      </w:r>
      <w:r>
        <w:t>未及时向上级特种设备安全监督管理部门报告</w:t>
      </w:r>
      <w:r>
        <w:rPr>
          <w:rFonts w:hint="eastAsia" w:ascii="MS UI Gothic" w:eastAsia="MS UI Gothic"/>
          <w:w w:val="80"/>
        </w:rPr>
        <w:t xml:space="preserve">ꎬ </w:t>
      </w:r>
      <w:r>
        <w:t>或者接到报告的特种设</w:t>
      </w:r>
      <w:r>
        <w:rPr>
          <w:w w:val="105"/>
        </w:rPr>
        <w:t>备安全监督管理部门不立即处理的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spacing w:val="-37"/>
          <w:w w:val="150"/>
        </w:rPr>
        <w:t xml:space="preserve">( </w:t>
      </w:r>
      <w:r>
        <w:rPr>
          <w:spacing w:val="3"/>
          <w:w w:val="105"/>
        </w:rPr>
        <w:t>八</w:t>
      </w:r>
      <w:r>
        <w:rPr>
          <w:rFonts w:hint="eastAsia" w:ascii="MS UI Gothic" w:eastAsia="MS UI Gothic"/>
          <w:spacing w:val="11"/>
          <w:w w:val="150"/>
        </w:rPr>
        <w:t xml:space="preserve">) </w:t>
      </w:r>
      <w:r>
        <w:rPr>
          <w:spacing w:val="3"/>
          <w:w w:val="105"/>
        </w:rPr>
        <w:t>迟报</w:t>
      </w:r>
      <w:r>
        <w:rPr>
          <w:rFonts w:hint="eastAsia" w:ascii="MS UI Gothic" w:eastAsia="MS UI Gothic"/>
          <w:spacing w:val="24"/>
          <w:w w:val="80"/>
        </w:rPr>
        <w:t xml:space="preserve">、 </w:t>
      </w:r>
      <w:r>
        <w:rPr>
          <w:spacing w:val="4"/>
          <w:w w:val="105"/>
        </w:rPr>
        <w:t>漏报</w:t>
      </w:r>
      <w:r>
        <w:rPr>
          <w:rFonts w:hint="eastAsia" w:ascii="MS UI Gothic" w:eastAsia="MS UI Gothic"/>
          <w:spacing w:val="2"/>
          <w:w w:val="80"/>
        </w:rPr>
        <w:t xml:space="preserve">、 </w:t>
      </w:r>
      <w:r>
        <w:rPr>
          <w:spacing w:val="11"/>
          <w:w w:val="105"/>
        </w:rPr>
        <w:t>瞒报或者谎报事</w:t>
      </w:r>
      <w:r>
        <w:rPr>
          <w:spacing w:val="3"/>
          <w:w w:val="105"/>
        </w:rPr>
        <w:t>故的</w:t>
      </w:r>
      <w:r>
        <w:rPr>
          <w:rFonts w:hint="eastAsia" w:ascii="MS UI Gothic" w:eastAsia="MS UI Gothic"/>
          <w:w w:val="80"/>
        </w:rPr>
        <w:t>ꎻ</w:t>
      </w:r>
    </w:p>
    <w:p>
      <w:pPr>
        <w:pStyle w:val="6"/>
        <w:spacing w:line="295" w:lineRule="auto"/>
        <w:ind w:left="118" w:right="442"/>
        <w:rPr>
          <w:rFonts w:hint="eastAsia" w:ascii="MS UI Gothic" w:eastAsia="MS UI Gothic"/>
        </w:rPr>
      </w:pPr>
      <w:r>
        <w:rPr>
          <w:rFonts w:hint="eastAsia" w:ascii="MS UI Gothic" w:eastAsia="MS UI Gothic"/>
          <w:spacing w:val="-21"/>
          <w:w w:val="105"/>
        </w:rPr>
        <w:t xml:space="preserve">( </w:t>
      </w:r>
      <w:r>
        <w:rPr>
          <w:spacing w:val="3"/>
          <w:w w:val="105"/>
        </w:rPr>
        <w:t>九</w:t>
      </w:r>
      <w:r>
        <w:rPr>
          <w:rFonts w:hint="eastAsia" w:ascii="MS UI Gothic" w:eastAsia="MS UI Gothic"/>
          <w:spacing w:val="5"/>
          <w:w w:val="105"/>
        </w:rPr>
        <w:t xml:space="preserve">) </w:t>
      </w:r>
      <w:r>
        <w:rPr>
          <w:spacing w:val="5"/>
          <w:w w:val="105"/>
        </w:rPr>
        <w:t>妨碍事故救援或者事故调查处</w:t>
      </w:r>
      <w:r>
        <w:rPr>
          <w:spacing w:val="3"/>
          <w:w w:val="110"/>
        </w:rPr>
        <w:t>理的</w:t>
      </w:r>
      <w:r>
        <w:rPr>
          <w:rFonts w:hint="eastAsia" w:ascii="MS UI Gothic" w:eastAsia="MS UI Gothic"/>
          <w:w w:val="80"/>
        </w:rPr>
        <w:t>ꎮ</w:t>
      </w:r>
    </w:p>
    <w:p>
      <w:pPr>
        <w:pStyle w:val="6"/>
        <w:spacing w:line="295" w:lineRule="auto"/>
        <w:ind w:left="118" w:right="442"/>
        <w:rPr>
          <w:rFonts w:hint="eastAsia" w:ascii="MS UI Gothic" w:eastAsia="MS UI Gothic"/>
        </w:rPr>
      </w:pPr>
      <w:r>
        <w:t>第九十八条 特种设备的生产</w:t>
      </w:r>
      <w:r>
        <w:rPr>
          <w:rFonts w:hint="eastAsia" w:ascii="MS UI Gothic" w:eastAsia="MS UI Gothic"/>
          <w:w w:val="85"/>
        </w:rPr>
        <w:t xml:space="preserve">、 </w:t>
      </w:r>
      <w:r>
        <w:t>使用单位或者检验检测机构</w:t>
      </w:r>
      <w:r>
        <w:rPr>
          <w:rFonts w:hint="eastAsia" w:ascii="MS UI Gothic" w:eastAsia="MS UI Gothic"/>
          <w:w w:val="85"/>
        </w:rPr>
        <w:t xml:space="preserve">ꎬ </w:t>
      </w:r>
      <w:r>
        <w:t>拒不接受特种设备安全监督管理部门依法实施的安全监察的</w:t>
      </w:r>
      <w:r>
        <w:rPr>
          <w:rFonts w:hint="eastAsia" w:ascii="MS UI Gothic" w:eastAsia="MS UI Gothic"/>
          <w:w w:val="85"/>
        </w:rPr>
        <w:t xml:space="preserve">ꎬ </w:t>
      </w:r>
      <w:r>
        <w:t>由特种设备安全监督管理部门责令限期改正</w:t>
      </w:r>
      <w:r>
        <w:rPr>
          <w:rFonts w:hint="eastAsia" w:ascii="MS UI Gothic" w:eastAsia="MS UI Gothic"/>
          <w:w w:val="85"/>
        </w:rPr>
        <w:t xml:space="preserve">ꎻ </w:t>
      </w:r>
      <w:r>
        <w:t>逾期未改正的</w:t>
      </w:r>
      <w:r>
        <w:rPr>
          <w:rFonts w:hint="eastAsia" w:ascii="MS UI Gothic" w:eastAsia="MS UI Gothic"/>
          <w:w w:val="85"/>
        </w:rPr>
        <w:t xml:space="preserve">ꎬ </w:t>
      </w:r>
      <w:r>
        <w:t>责令停产停业整顿</w:t>
      </w:r>
      <w:r>
        <w:rPr>
          <w:rFonts w:hint="eastAsia" w:ascii="MS UI Gothic" w:eastAsia="MS UI Gothic"/>
          <w:w w:val="85"/>
        </w:rPr>
        <w:t xml:space="preserve">ꎬ </w:t>
      </w:r>
      <w:r>
        <w:t xml:space="preserve">处 </w:t>
      </w:r>
      <w:r>
        <w:rPr>
          <w:rFonts w:hint="eastAsia" w:ascii="MS UI Gothic" w:eastAsia="MS UI Gothic"/>
          <w:w w:val="85"/>
        </w:rPr>
        <w:t xml:space="preserve">２ </w:t>
      </w:r>
      <w:r>
        <w:t xml:space="preserve">万元以上 </w:t>
      </w:r>
      <w:r>
        <w:rPr>
          <w:rFonts w:hint="eastAsia" w:ascii="MS UI Gothic" w:eastAsia="MS UI Gothic"/>
          <w:w w:val="85"/>
        </w:rPr>
        <w:t xml:space="preserve">１０ </w:t>
      </w:r>
      <w:r>
        <w:t>万元以下罚款</w:t>
      </w:r>
      <w:r>
        <w:rPr>
          <w:rFonts w:hint="eastAsia" w:ascii="MS UI Gothic" w:eastAsia="MS UI Gothic"/>
          <w:w w:val="85"/>
        </w:rPr>
        <w:t xml:space="preserve">ꎻ </w:t>
      </w:r>
      <w:r>
        <w:t>触犯刑律的</w:t>
      </w:r>
      <w:r>
        <w:rPr>
          <w:rFonts w:hint="eastAsia" w:ascii="MS UI Gothic" w:eastAsia="MS UI Gothic"/>
          <w:w w:val="85"/>
        </w:rPr>
        <w:t xml:space="preserve">ꎬ </w:t>
      </w:r>
      <w:r>
        <w:t>依照刑法关于妨害公务罪或者其他罪的规定</w:t>
      </w:r>
      <w:r>
        <w:rPr>
          <w:rFonts w:hint="eastAsia" w:ascii="MS UI Gothic" w:eastAsia="MS UI Gothic"/>
          <w:w w:val="85"/>
        </w:rPr>
        <w:t xml:space="preserve">ꎬ </w:t>
      </w:r>
      <w:r>
        <w:t>依法追究刑事责任</w:t>
      </w:r>
      <w:r>
        <w:rPr>
          <w:rFonts w:hint="eastAsia" w:ascii="MS UI Gothic" w:eastAsia="MS UI Gothic"/>
          <w:w w:val="85"/>
        </w:rPr>
        <w:t>ꎮ</w:t>
      </w:r>
    </w:p>
    <w:p>
      <w:pPr>
        <w:pStyle w:val="6"/>
        <w:spacing w:line="295" w:lineRule="auto"/>
        <w:ind w:left="118" w:right="440"/>
      </w:pPr>
      <w:r>
        <w:t>特种设备生产</w:t>
      </w:r>
      <w:r>
        <w:rPr>
          <w:rFonts w:hint="eastAsia" w:ascii="MS UI Gothic" w:eastAsia="MS UI Gothic"/>
        </w:rPr>
        <w:t xml:space="preserve">、 </w:t>
      </w:r>
      <w:r>
        <w:t>使用单位擅自动用</w:t>
      </w:r>
      <w:r>
        <w:rPr>
          <w:rFonts w:hint="eastAsia" w:ascii="MS UI Gothic" w:eastAsia="MS UI Gothic"/>
        </w:rPr>
        <w:t>、</w:t>
      </w:r>
      <w:r>
        <w:t>调换</w:t>
      </w:r>
      <w:r>
        <w:rPr>
          <w:rFonts w:hint="eastAsia" w:ascii="MS UI Gothic" w:eastAsia="MS UI Gothic"/>
        </w:rPr>
        <w:t xml:space="preserve">、 </w:t>
      </w:r>
      <w:r>
        <w:t>转移</w:t>
      </w:r>
      <w:r>
        <w:rPr>
          <w:rFonts w:hint="eastAsia" w:ascii="MS UI Gothic" w:eastAsia="MS UI Gothic"/>
        </w:rPr>
        <w:t xml:space="preserve">、 </w:t>
      </w:r>
      <w:r>
        <w:t>损毁被查封</w:t>
      </w:r>
      <w:r>
        <w:rPr>
          <w:rFonts w:hint="eastAsia" w:ascii="MS UI Gothic" w:eastAsia="MS UI Gothic"/>
        </w:rPr>
        <w:t xml:space="preserve">、 </w:t>
      </w:r>
      <w:r>
        <w:t>扣押的特种设</w:t>
      </w:r>
    </w:p>
    <w:p>
      <w:pPr>
        <w:spacing w:after="0" w:line="295" w:lineRule="auto"/>
        <w:sectPr>
          <w:type w:val="continuous"/>
          <w:pgSz w:w="10500" w:h="14750"/>
          <w:pgMar w:top="1400" w:right="980" w:bottom="280" w:left="980" w:header="720" w:footer="720" w:gutter="0"/>
          <w:cols w:equalWidth="0" w:num="2">
            <w:col w:w="3936" w:space="262"/>
            <w:col w:w="4342"/>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４８１</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43" o:spid="_x0000_s2443" o:spt="203" style="height:2.15pt;width:398.25pt;" coordsize="7965,43">
            <o:lock v:ext="edit"/>
            <v:line id="_x0000_s2444" o:spid="_x0000_s2444" o:spt="20" style="position:absolute;left:0;top:39;height:0;width:7965;" stroked="t" coordsize="21600,21600">
              <v:path arrowok="t"/>
              <v:fill focussize="0,0"/>
              <v:stroke weight="0.388031496062992pt" color="#231F20"/>
              <v:imagedata o:title=""/>
              <o:lock v:ext="edit"/>
            </v:line>
            <v:line id="_x0000_s2445" o:spid="_x0000_s244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t>备或者其主要部件的</w:t>
      </w:r>
      <w:r>
        <w:rPr>
          <w:rFonts w:hint="eastAsia" w:ascii="MS UI Gothic" w:eastAsia="MS UI Gothic"/>
          <w:w w:val="85"/>
        </w:rPr>
        <w:t xml:space="preserve">ꎬ </w:t>
      </w:r>
      <w:r>
        <w:t>由特种设备安全监督管理部门责令改正</w:t>
      </w:r>
      <w:r>
        <w:rPr>
          <w:rFonts w:hint="eastAsia" w:ascii="MS UI Gothic" w:eastAsia="MS UI Gothic"/>
          <w:w w:val="85"/>
        </w:rPr>
        <w:t xml:space="preserve">ꎬ </w:t>
      </w:r>
      <w:r>
        <w:t xml:space="preserve">处 </w:t>
      </w:r>
      <w:r>
        <w:rPr>
          <w:rFonts w:hint="eastAsia" w:ascii="MS UI Gothic" w:eastAsia="MS UI Gothic"/>
          <w:w w:val="85"/>
        </w:rPr>
        <w:t xml:space="preserve">５ </w:t>
      </w:r>
      <w:r>
        <w:t xml:space="preserve">万元以上 </w:t>
      </w:r>
      <w:r>
        <w:rPr>
          <w:rFonts w:hint="eastAsia" w:ascii="MS UI Gothic" w:eastAsia="MS UI Gothic"/>
          <w:w w:val="85"/>
        </w:rPr>
        <w:t xml:space="preserve">２０ </w:t>
      </w:r>
      <w:r>
        <w:t>万元以下罚款</w:t>
      </w:r>
      <w:r>
        <w:rPr>
          <w:rFonts w:hint="eastAsia" w:ascii="MS UI Gothic" w:eastAsia="MS UI Gothic"/>
          <w:w w:val="85"/>
        </w:rPr>
        <w:t xml:space="preserve">ꎻ </w:t>
      </w:r>
      <w:r>
        <w:t>情节严重的</w:t>
      </w:r>
      <w:r>
        <w:rPr>
          <w:rFonts w:hint="eastAsia" w:ascii="MS UI Gothic" w:eastAsia="MS UI Gothic"/>
          <w:w w:val="85"/>
        </w:rPr>
        <w:t xml:space="preserve">ꎬ </w:t>
      </w:r>
      <w:r>
        <w:t>撤销其相应资格</w:t>
      </w:r>
      <w:r>
        <w:rPr>
          <w:rFonts w:hint="eastAsia" w:ascii="MS UI Gothic" w:eastAsia="MS UI Gothic"/>
          <w:w w:val="85"/>
        </w:rPr>
        <w:t>ꎮ</w:t>
      </w:r>
    </w:p>
    <w:p>
      <w:pPr>
        <w:pStyle w:val="6"/>
        <w:tabs>
          <w:tab w:val="left" w:pos="2327"/>
          <w:tab w:val="left" w:pos="2956"/>
        </w:tabs>
        <w:spacing w:before="154"/>
        <w:ind w:left="1488" w:firstLine="0"/>
        <w:jc w:val="left"/>
      </w:pPr>
      <w:r>
        <w:rPr>
          <w:spacing w:val="3"/>
          <w:w w:val="105"/>
        </w:rPr>
        <w:t>第八</w:t>
      </w:r>
      <w:r>
        <w:rPr>
          <w:w w:val="105"/>
        </w:rPr>
        <w:t>章</w:t>
      </w:r>
      <w:r>
        <w:rPr>
          <w:w w:val="105"/>
        </w:rPr>
        <w:tab/>
      </w:r>
      <w:r>
        <w:rPr>
          <w:w w:val="105"/>
        </w:rPr>
        <w:t>附</w:t>
      </w:r>
      <w:r>
        <w:rPr>
          <w:w w:val="105"/>
        </w:rPr>
        <w:tab/>
      </w:r>
      <w:r>
        <w:rPr>
          <w:w w:val="105"/>
        </w:rPr>
        <w:t>则</w:t>
      </w:r>
    </w:p>
    <w:p>
      <w:pPr>
        <w:pStyle w:val="6"/>
        <w:spacing w:before="215" w:line="295" w:lineRule="auto"/>
        <w:ind w:left="440" w:right="1"/>
        <w:rPr>
          <w:rFonts w:hint="eastAsia" w:ascii="MS UI Gothic" w:eastAsia="MS UI Gothic"/>
        </w:rPr>
      </w:pPr>
      <w:r>
        <w:rPr>
          <w:w w:val="105"/>
        </w:rPr>
        <w:t>第九十九条 本条例下列用语的含</w:t>
      </w:r>
      <w:r>
        <w:rPr>
          <w:w w:val="115"/>
        </w:rPr>
        <w:t>义是</w:t>
      </w:r>
      <w:r>
        <w:rPr>
          <w:rFonts w:hint="eastAsia" w:ascii="MS UI Gothic" w:eastAsia="MS UI Gothic"/>
          <w:w w:val="235"/>
        </w:rPr>
        <w:t>:</w:t>
      </w:r>
    </w:p>
    <w:p>
      <w:pPr>
        <w:pStyle w:val="6"/>
        <w:spacing w:line="295" w:lineRule="auto"/>
        <w:ind w:left="435" w:right="1" w:firstLine="425"/>
        <w:rPr>
          <w:rFonts w:hint="eastAsia" w:ascii="MS UI Gothic" w:eastAsia="MS UI Gothic"/>
        </w:rPr>
      </w:pPr>
      <w:r>
        <w:rPr>
          <w:rFonts w:hint="eastAsia" w:ascii="MS UI Gothic" w:eastAsia="MS UI Gothic"/>
          <w:spacing w:val="-32"/>
          <w:w w:val="140"/>
        </w:rPr>
        <w:t xml:space="preserve">( </w:t>
      </w:r>
      <w:r>
        <w:rPr>
          <w:spacing w:val="3"/>
        </w:rPr>
        <w:t>一</w:t>
      </w:r>
      <w:r>
        <w:rPr>
          <w:rFonts w:hint="eastAsia" w:ascii="MS UI Gothic" w:eastAsia="MS UI Gothic"/>
          <w:spacing w:val="21"/>
          <w:w w:val="140"/>
        </w:rPr>
        <w:t xml:space="preserve">) </w:t>
      </w:r>
      <w:r>
        <w:rPr>
          <w:spacing w:val="3"/>
        </w:rPr>
        <w:t>锅炉</w:t>
      </w:r>
      <w:r>
        <w:rPr>
          <w:rFonts w:hint="eastAsia" w:ascii="MS UI Gothic" w:eastAsia="MS UI Gothic"/>
          <w:spacing w:val="2"/>
          <w:w w:val="85"/>
        </w:rPr>
        <w:t xml:space="preserve">ꎬ </w:t>
      </w:r>
      <w:r>
        <w:rPr>
          <w:spacing w:val="9"/>
        </w:rPr>
        <w:t>是指利用各种燃料</w:t>
      </w:r>
      <w:r>
        <w:rPr>
          <w:rFonts w:hint="eastAsia" w:ascii="MS UI Gothic" w:eastAsia="MS UI Gothic"/>
          <w:spacing w:val="26"/>
        </w:rPr>
        <w:t xml:space="preserve">、 </w:t>
      </w:r>
      <w:r>
        <w:t>电</w:t>
      </w:r>
      <w:r>
        <w:rPr>
          <w:spacing w:val="3"/>
        </w:rPr>
        <w:t>或者其他能源</w:t>
      </w:r>
      <w:r>
        <w:rPr>
          <w:rFonts w:hint="eastAsia" w:ascii="MS UI Gothic" w:eastAsia="MS UI Gothic"/>
          <w:spacing w:val="13"/>
          <w:w w:val="85"/>
        </w:rPr>
        <w:t xml:space="preserve">ꎬ </w:t>
      </w:r>
      <w:r>
        <w:rPr>
          <w:spacing w:val="2"/>
        </w:rPr>
        <w:t>将所盛装的液体加热到一</w:t>
      </w:r>
      <w:r>
        <w:rPr>
          <w:spacing w:val="3"/>
        </w:rPr>
        <w:t>定的参数</w:t>
      </w:r>
      <w:r>
        <w:rPr>
          <w:rFonts w:hint="eastAsia" w:ascii="MS UI Gothic" w:eastAsia="MS UI Gothic"/>
          <w:spacing w:val="17"/>
          <w:w w:val="85"/>
        </w:rPr>
        <w:t xml:space="preserve">ꎬ </w:t>
      </w:r>
      <w:r>
        <w:rPr>
          <w:spacing w:val="3"/>
        </w:rPr>
        <w:t>并对外输出热能的设备</w:t>
      </w:r>
      <w:r>
        <w:rPr>
          <w:rFonts w:hint="eastAsia" w:ascii="MS UI Gothic" w:eastAsia="MS UI Gothic"/>
          <w:spacing w:val="17"/>
          <w:w w:val="85"/>
        </w:rPr>
        <w:t xml:space="preserve">ꎬ </w:t>
      </w:r>
      <w:r>
        <w:rPr>
          <w:spacing w:val="1"/>
        </w:rPr>
        <w:t>其范</w:t>
      </w:r>
      <w:r>
        <w:rPr>
          <w:spacing w:val="3"/>
        </w:rPr>
        <w:t xml:space="preserve">围规定为容积大于或者等于 </w:t>
      </w:r>
      <w:r>
        <w:rPr>
          <w:rFonts w:hint="eastAsia" w:ascii="MS UI Gothic" w:eastAsia="MS UI Gothic"/>
          <w:spacing w:val="7"/>
        </w:rPr>
        <w:t xml:space="preserve">３０ Ｌ </w:t>
      </w:r>
      <w:r>
        <w:rPr>
          <w:spacing w:val="8"/>
        </w:rPr>
        <w:t>的承压</w:t>
      </w:r>
      <w:r>
        <w:rPr>
          <w:spacing w:val="-12"/>
        </w:rPr>
        <w:t>蒸汽 锅 炉</w:t>
      </w:r>
      <w:r>
        <w:rPr>
          <w:rFonts w:hint="eastAsia" w:ascii="MS UI Gothic" w:eastAsia="MS UI Gothic"/>
          <w:spacing w:val="19"/>
          <w:w w:val="85"/>
        </w:rPr>
        <w:t xml:space="preserve">ꎻ </w:t>
      </w:r>
      <w:r>
        <w:rPr>
          <w:spacing w:val="-25"/>
        </w:rPr>
        <w:t>出 口 水 压 大 于 或 者 等 于</w:t>
      </w:r>
      <w:r>
        <w:rPr>
          <w:rFonts w:hint="eastAsia" w:ascii="MS UI Gothic" w:eastAsia="MS UI Gothic"/>
          <w:spacing w:val="-25"/>
        </w:rPr>
        <w:t>０</w:t>
      </w:r>
      <w:r>
        <w:rPr>
          <w:rFonts w:hint="eastAsia" w:ascii="MS UI Gothic" w:eastAsia="MS UI Gothic"/>
          <w:spacing w:val="-7"/>
        </w:rPr>
        <w:t xml:space="preserve"> １ ＭＰ</w:t>
      </w:r>
      <w:r>
        <w:rPr>
          <w:rFonts w:hint="eastAsia" w:ascii="MS UI Gothic" w:eastAsia="MS UI Gothic"/>
          <w:spacing w:val="2"/>
        </w:rPr>
        <w:t>ａ</w:t>
      </w:r>
      <w:r>
        <w:rPr>
          <w:rFonts w:hint="eastAsia" w:ascii="MS UI Gothic" w:eastAsia="MS UI Gothic"/>
          <w:spacing w:val="16"/>
        </w:rPr>
        <w:t xml:space="preserve"> </w:t>
      </w:r>
      <w:r>
        <w:rPr>
          <w:rFonts w:hint="eastAsia" w:ascii="MS UI Gothic" w:eastAsia="MS UI Gothic"/>
          <w:spacing w:val="-35"/>
          <w:w w:val="140"/>
        </w:rPr>
        <w:t xml:space="preserve">( </w:t>
      </w:r>
      <w:r>
        <w:rPr>
          <w:spacing w:val="9"/>
        </w:rPr>
        <w:t>表压</w:t>
      </w:r>
      <w:r>
        <w:rPr>
          <w:rFonts w:hint="eastAsia" w:ascii="MS UI Gothic" w:eastAsia="MS UI Gothic"/>
          <w:spacing w:val="-36"/>
          <w:w w:val="140"/>
        </w:rPr>
        <w:t xml:space="preserve">) </w:t>
      </w:r>
      <w:r>
        <w:rPr>
          <w:rFonts w:hint="eastAsia" w:ascii="MS UI Gothic" w:eastAsia="MS UI Gothic"/>
          <w:spacing w:val="15"/>
          <w:w w:val="85"/>
        </w:rPr>
        <w:t xml:space="preserve">ꎬ </w:t>
      </w:r>
      <w:r>
        <w:rPr>
          <w:spacing w:val="15"/>
        </w:rPr>
        <w:t>且额定功率大于或者</w:t>
      </w:r>
      <w:r>
        <w:rPr>
          <w:spacing w:val="-22"/>
        </w:rPr>
        <w:t xml:space="preserve">等于 </w:t>
      </w:r>
      <w:r>
        <w:rPr>
          <w:rFonts w:hint="eastAsia" w:ascii="MS UI Gothic" w:eastAsia="MS UI Gothic"/>
        </w:rPr>
        <w:t>０</w:t>
      </w:r>
      <w:r>
        <w:rPr>
          <w:rFonts w:hint="eastAsia" w:ascii="MS UI Gothic" w:eastAsia="MS UI Gothic"/>
          <w:spacing w:val="-11"/>
        </w:rPr>
        <w:t xml:space="preserve"> １ ＭＷ </w:t>
      </w:r>
      <w:r>
        <w:rPr>
          <w:spacing w:val="3"/>
        </w:rPr>
        <w:t>的承压热水锅炉</w:t>
      </w:r>
      <w:r>
        <w:rPr>
          <w:rFonts w:hint="eastAsia" w:ascii="MS UI Gothic" w:eastAsia="MS UI Gothic"/>
          <w:spacing w:val="11"/>
          <w:w w:val="85"/>
        </w:rPr>
        <w:t xml:space="preserve">ꎻ </w:t>
      </w:r>
      <w:r>
        <w:rPr>
          <w:spacing w:val="5"/>
        </w:rPr>
        <w:t>有机热载</w:t>
      </w:r>
      <w:r>
        <w:rPr>
          <w:spacing w:val="3"/>
        </w:rPr>
        <w:t>体锅炉</w:t>
      </w:r>
      <w:r>
        <w:rPr>
          <w:rFonts w:hint="eastAsia" w:ascii="MS UI Gothic" w:eastAsia="MS UI Gothic"/>
          <w:w w:val="85"/>
        </w:rPr>
        <w:t>ꎮ</w:t>
      </w:r>
    </w:p>
    <w:p>
      <w:pPr>
        <w:pStyle w:val="6"/>
        <w:spacing w:line="295" w:lineRule="auto"/>
        <w:ind w:left="435" w:firstLine="425"/>
        <w:rPr>
          <w:rFonts w:hint="eastAsia" w:ascii="MS UI Gothic" w:hAnsi="MS UI Gothic" w:eastAsia="MS UI Gothic"/>
        </w:rPr>
      </w:pPr>
      <w:r>
        <w:rPr>
          <w:rFonts w:hint="eastAsia" w:ascii="MS UI Gothic" w:hAnsi="MS UI Gothic" w:eastAsia="MS UI Gothic"/>
          <w:spacing w:val="-31"/>
          <w:w w:val="140"/>
        </w:rPr>
        <w:t xml:space="preserve">( </w:t>
      </w:r>
      <w:r>
        <w:rPr>
          <w:spacing w:val="3"/>
        </w:rPr>
        <w:t>二</w:t>
      </w:r>
      <w:r>
        <w:rPr>
          <w:rFonts w:hint="eastAsia" w:ascii="MS UI Gothic" w:hAnsi="MS UI Gothic" w:eastAsia="MS UI Gothic"/>
          <w:spacing w:val="27"/>
          <w:w w:val="140"/>
        </w:rPr>
        <w:t xml:space="preserve">) </w:t>
      </w:r>
      <w:r>
        <w:rPr>
          <w:spacing w:val="5"/>
        </w:rPr>
        <w:t>压力容器</w:t>
      </w:r>
      <w:r>
        <w:rPr>
          <w:rFonts w:hint="eastAsia" w:ascii="MS UI Gothic" w:hAnsi="MS UI Gothic" w:eastAsia="MS UI Gothic"/>
          <w:spacing w:val="7"/>
          <w:w w:val="90"/>
        </w:rPr>
        <w:t xml:space="preserve">ꎬ </w:t>
      </w:r>
      <w:r>
        <w:rPr>
          <w:spacing w:val="8"/>
        </w:rPr>
        <w:t>是指盛装气体或者</w:t>
      </w:r>
      <w:r>
        <w:rPr>
          <w:spacing w:val="3"/>
        </w:rPr>
        <w:t>液体</w:t>
      </w:r>
      <w:r>
        <w:rPr>
          <w:rFonts w:hint="eastAsia" w:ascii="MS UI Gothic" w:hAnsi="MS UI Gothic" w:eastAsia="MS UI Gothic"/>
          <w:spacing w:val="11"/>
          <w:w w:val="90"/>
        </w:rPr>
        <w:t xml:space="preserve">ꎬ </w:t>
      </w:r>
      <w:r>
        <w:rPr>
          <w:spacing w:val="3"/>
        </w:rPr>
        <w:t>承载一定压力的密闭设备</w:t>
      </w:r>
      <w:r>
        <w:rPr>
          <w:rFonts w:hint="eastAsia" w:ascii="MS UI Gothic" w:hAnsi="MS UI Gothic" w:eastAsia="MS UI Gothic"/>
          <w:spacing w:val="11"/>
          <w:w w:val="90"/>
        </w:rPr>
        <w:t xml:space="preserve">ꎬ </w:t>
      </w:r>
      <w:r>
        <w:rPr>
          <w:spacing w:val="2"/>
        </w:rPr>
        <w:t>其范围</w:t>
      </w:r>
      <w:r>
        <w:rPr>
          <w:spacing w:val="28"/>
        </w:rPr>
        <w:t>规定为最高工作压力大于或者 等 于</w:t>
      </w:r>
      <w:r>
        <w:rPr>
          <w:rFonts w:hint="eastAsia" w:ascii="MS UI Gothic" w:hAnsi="MS UI Gothic" w:eastAsia="MS UI Gothic"/>
          <w:spacing w:val="28"/>
        </w:rPr>
        <w:t>０</w:t>
      </w:r>
      <w:r>
        <w:rPr>
          <w:rFonts w:hint="eastAsia" w:ascii="MS UI Gothic" w:hAnsi="MS UI Gothic" w:eastAsia="MS UI Gothic"/>
          <w:spacing w:val="-8"/>
        </w:rPr>
        <w:t xml:space="preserve"> １ ＭＰ</w:t>
      </w:r>
      <w:r>
        <w:rPr>
          <w:rFonts w:hint="eastAsia" w:ascii="MS UI Gothic" w:hAnsi="MS UI Gothic" w:eastAsia="MS UI Gothic"/>
          <w:spacing w:val="2"/>
        </w:rPr>
        <w:t>ａ</w:t>
      </w:r>
      <w:r>
        <w:rPr>
          <w:rFonts w:hint="eastAsia" w:ascii="MS UI Gothic" w:hAnsi="MS UI Gothic" w:eastAsia="MS UI Gothic"/>
          <w:spacing w:val="13"/>
        </w:rPr>
        <w:t xml:space="preserve"> </w:t>
      </w:r>
      <w:r>
        <w:rPr>
          <w:rFonts w:hint="eastAsia" w:ascii="MS UI Gothic" w:hAnsi="MS UI Gothic" w:eastAsia="MS UI Gothic"/>
          <w:spacing w:val="-36"/>
          <w:w w:val="140"/>
        </w:rPr>
        <w:t xml:space="preserve">( </w:t>
      </w:r>
      <w:r>
        <w:rPr>
          <w:spacing w:val="9"/>
        </w:rPr>
        <w:t>表压</w:t>
      </w:r>
      <w:r>
        <w:rPr>
          <w:rFonts w:hint="eastAsia" w:ascii="MS UI Gothic" w:hAnsi="MS UI Gothic" w:eastAsia="MS UI Gothic"/>
          <w:spacing w:val="-36"/>
          <w:w w:val="140"/>
        </w:rPr>
        <w:t xml:space="preserve">) </w:t>
      </w:r>
      <w:r>
        <w:rPr>
          <w:rFonts w:hint="eastAsia" w:ascii="MS UI Gothic" w:hAnsi="MS UI Gothic" w:eastAsia="MS UI Gothic"/>
          <w:spacing w:val="11"/>
          <w:w w:val="90"/>
        </w:rPr>
        <w:t xml:space="preserve">ꎬ </w:t>
      </w:r>
      <w:r>
        <w:rPr>
          <w:spacing w:val="16"/>
        </w:rPr>
        <w:t>且压力与容积的乘积</w:t>
      </w:r>
      <w:r>
        <w:rPr>
          <w:spacing w:val="2"/>
          <w:w w:val="102"/>
        </w:rPr>
        <w:t>大于或者等于</w:t>
      </w:r>
      <w:r>
        <w:rPr>
          <w:spacing w:val="-44"/>
        </w:rPr>
        <w:t xml:space="preserve"> </w:t>
      </w:r>
      <w:r>
        <w:rPr>
          <w:rFonts w:hint="eastAsia" w:ascii="MS UI Gothic" w:hAnsi="MS UI Gothic" w:eastAsia="MS UI Gothic"/>
          <w:w w:val="75"/>
        </w:rPr>
        <w:t>２</w:t>
      </w:r>
      <w:r>
        <w:rPr>
          <w:rFonts w:hint="eastAsia" w:ascii="MS UI Gothic" w:hAnsi="MS UI Gothic" w:eastAsia="MS UI Gothic"/>
          <w:spacing w:val="-10"/>
        </w:rPr>
        <w:t xml:space="preserve"> </w:t>
      </w:r>
      <w:r>
        <w:rPr>
          <w:rFonts w:hint="eastAsia" w:ascii="MS UI Gothic" w:hAnsi="MS UI Gothic" w:eastAsia="MS UI Gothic"/>
          <w:w w:val="75"/>
        </w:rPr>
        <w:t>５</w:t>
      </w:r>
      <w:r>
        <w:rPr>
          <w:rFonts w:hint="eastAsia" w:ascii="MS UI Gothic" w:hAnsi="MS UI Gothic" w:eastAsia="MS UI Gothic"/>
          <w:spacing w:val="20"/>
        </w:rPr>
        <w:t xml:space="preserve"> </w:t>
      </w:r>
      <w:r>
        <w:rPr>
          <w:rFonts w:hint="eastAsia" w:ascii="MS UI Gothic" w:hAnsi="MS UI Gothic" w:eastAsia="MS UI Gothic"/>
          <w:spacing w:val="-1"/>
          <w:w w:val="85"/>
        </w:rPr>
        <w:t>Ｍ</w:t>
      </w:r>
      <w:r>
        <w:rPr>
          <w:rFonts w:hint="eastAsia" w:ascii="MS UI Gothic" w:hAnsi="MS UI Gothic" w:eastAsia="MS UI Gothic"/>
          <w:spacing w:val="9"/>
          <w:w w:val="80"/>
        </w:rPr>
        <w:t>Ｐ</w:t>
      </w:r>
      <w:r>
        <w:rPr>
          <w:rFonts w:hint="eastAsia" w:ascii="MS UI Gothic" w:hAnsi="MS UI Gothic" w:eastAsia="MS UI Gothic"/>
          <w:spacing w:val="11"/>
          <w:w w:val="79"/>
        </w:rPr>
        <w:t>ａ</w:t>
      </w:r>
      <w:r>
        <w:rPr>
          <w:rFonts w:hint="eastAsia" w:ascii="MS UI Gothic" w:hAnsi="MS UI Gothic" w:eastAsia="MS UI Gothic"/>
          <w:w w:val="90"/>
        </w:rPr>
        <w:t>Ｌ</w:t>
      </w:r>
      <w:r>
        <w:rPr>
          <w:rFonts w:hint="eastAsia" w:ascii="MS UI Gothic" w:hAnsi="MS UI Gothic" w:eastAsia="MS UI Gothic"/>
          <w:spacing w:val="3"/>
        </w:rPr>
        <w:t xml:space="preserve"> </w:t>
      </w:r>
      <w:r>
        <w:rPr>
          <w:spacing w:val="8"/>
          <w:w w:val="102"/>
        </w:rPr>
        <w:t>的气体</w:t>
      </w:r>
      <w:r>
        <w:rPr>
          <w:rFonts w:hint="eastAsia" w:ascii="MS UI Gothic" w:hAnsi="MS UI Gothic" w:eastAsia="MS UI Gothic"/>
          <w:w w:val="77"/>
        </w:rPr>
        <w:t>、</w:t>
      </w:r>
      <w:r>
        <w:rPr>
          <w:rFonts w:hint="eastAsia" w:ascii="MS UI Gothic" w:hAnsi="MS UI Gothic" w:eastAsia="MS UI Gothic"/>
          <w:spacing w:val="-5"/>
        </w:rPr>
        <w:t xml:space="preserve">  </w:t>
      </w:r>
      <w:r>
        <w:rPr>
          <w:spacing w:val="5"/>
          <w:w w:val="102"/>
        </w:rPr>
        <w:t>液化</w:t>
      </w:r>
      <w:r>
        <w:rPr>
          <w:spacing w:val="2"/>
        </w:rPr>
        <w:t>气体和最高工作温度高于或者等于标准沸</w:t>
      </w:r>
      <w:r>
        <w:rPr>
          <w:spacing w:val="3"/>
        </w:rPr>
        <w:t>点的液体的固定式容器和移动式容器</w:t>
      </w:r>
      <w:r>
        <w:rPr>
          <w:rFonts w:hint="eastAsia" w:ascii="MS UI Gothic" w:hAnsi="MS UI Gothic" w:eastAsia="MS UI Gothic"/>
          <w:spacing w:val="6"/>
          <w:w w:val="90"/>
        </w:rPr>
        <w:t xml:space="preserve">ꎻ </w:t>
      </w:r>
      <w:r>
        <w:t>盛</w:t>
      </w:r>
      <w:r>
        <w:rPr>
          <w:spacing w:val="9"/>
        </w:rPr>
        <w:t xml:space="preserve">装公称工作压力大于或者等于 </w:t>
      </w:r>
      <w:r>
        <w:rPr>
          <w:rFonts w:hint="eastAsia" w:ascii="MS UI Gothic" w:hAnsi="MS UI Gothic" w:eastAsia="MS UI Gothic"/>
        </w:rPr>
        <w:t>０</w:t>
      </w:r>
      <w:r>
        <w:rPr>
          <w:rFonts w:hint="eastAsia" w:ascii="MS UI Gothic" w:hAnsi="MS UI Gothic" w:eastAsia="MS UI Gothic"/>
          <w:spacing w:val="-4"/>
        </w:rPr>
        <w:t xml:space="preserve"> ２ ＭＰ</w:t>
      </w:r>
      <w:r>
        <w:rPr>
          <w:rFonts w:hint="eastAsia" w:ascii="MS UI Gothic" w:hAnsi="MS UI Gothic" w:eastAsia="MS UI Gothic"/>
          <w:spacing w:val="2"/>
        </w:rPr>
        <w:t xml:space="preserve">ａ </w:t>
      </w:r>
      <w:r>
        <w:rPr>
          <w:rFonts w:hint="eastAsia" w:ascii="MS UI Gothic" w:hAnsi="MS UI Gothic" w:eastAsia="MS UI Gothic"/>
          <w:spacing w:val="-30"/>
          <w:w w:val="140"/>
        </w:rPr>
        <w:t xml:space="preserve">( </w:t>
      </w:r>
      <w:r>
        <w:rPr>
          <w:spacing w:val="7"/>
        </w:rPr>
        <w:t>表压</w:t>
      </w:r>
      <w:r>
        <w:rPr>
          <w:rFonts w:hint="eastAsia" w:ascii="MS UI Gothic" w:hAnsi="MS UI Gothic" w:eastAsia="MS UI Gothic"/>
          <w:spacing w:val="-30"/>
          <w:w w:val="140"/>
        </w:rPr>
        <w:t xml:space="preserve">) </w:t>
      </w:r>
      <w:r>
        <w:rPr>
          <w:rFonts w:hint="eastAsia" w:ascii="MS UI Gothic" w:hAnsi="MS UI Gothic" w:eastAsia="MS UI Gothic"/>
          <w:spacing w:val="16"/>
          <w:w w:val="90"/>
        </w:rPr>
        <w:t xml:space="preserve">ꎬ </w:t>
      </w:r>
      <w:r>
        <w:rPr>
          <w:spacing w:val="13"/>
        </w:rPr>
        <w:t>且压力与容积的乘积大于或者</w:t>
      </w:r>
      <w:r>
        <w:rPr>
          <w:spacing w:val="1"/>
          <w:w w:val="102"/>
        </w:rPr>
        <w:t>等于</w:t>
      </w:r>
      <w:r>
        <w:rPr>
          <w:spacing w:val="-50"/>
        </w:rPr>
        <w:t xml:space="preserve"> </w:t>
      </w:r>
      <w:r>
        <w:rPr>
          <w:rFonts w:hint="eastAsia" w:ascii="MS UI Gothic" w:hAnsi="MS UI Gothic" w:eastAsia="MS UI Gothic"/>
          <w:w w:val="75"/>
        </w:rPr>
        <w:t>１</w:t>
      </w:r>
      <w:r>
        <w:rPr>
          <w:rFonts w:hint="eastAsia" w:ascii="MS UI Gothic" w:hAnsi="MS UI Gothic" w:eastAsia="MS UI Gothic"/>
          <w:spacing w:val="-10"/>
        </w:rPr>
        <w:t xml:space="preserve"> </w:t>
      </w:r>
      <w:r>
        <w:rPr>
          <w:rFonts w:hint="eastAsia" w:ascii="MS UI Gothic" w:hAnsi="MS UI Gothic" w:eastAsia="MS UI Gothic"/>
          <w:w w:val="75"/>
        </w:rPr>
        <w:t>０</w:t>
      </w:r>
      <w:r>
        <w:rPr>
          <w:rFonts w:hint="eastAsia" w:ascii="MS UI Gothic" w:hAnsi="MS UI Gothic" w:eastAsia="MS UI Gothic"/>
          <w:spacing w:val="14"/>
        </w:rPr>
        <w:t xml:space="preserve"> </w:t>
      </w:r>
      <w:r>
        <w:rPr>
          <w:rFonts w:hint="eastAsia" w:ascii="MS UI Gothic" w:hAnsi="MS UI Gothic" w:eastAsia="MS UI Gothic"/>
          <w:spacing w:val="-1"/>
          <w:w w:val="85"/>
        </w:rPr>
        <w:t>Ｍ</w:t>
      </w:r>
      <w:r>
        <w:rPr>
          <w:rFonts w:hint="eastAsia" w:ascii="MS UI Gothic" w:hAnsi="MS UI Gothic" w:eastAsia="MS UI Gothic"/>
          <w:spacing w:val="9"/>
          <w:w w:val="80"/>
        </w:rPr>
        <w:t>Ｐ</w:t>
      </w:r>
      <w:r>
        <w:rPr>
          <w:rFonts w:hint="eastAsia" w:ascii="MS UI Gothic" w:hAnsi="MS UI Gothic" w:eastAsia="MS UI Gothic"/>
          <w:spacing w:val="5"/>
          <w:w w:val="79"/>
        </w:rPr>
        <w:t>ａ</w:t>
      </w:r>
      <w:r>
        <w:rPr>
          <w:rFonts w:hint="eastAsia" w:ascii="MS UI Gothic" w:hAnsi="MS UI Gothic" w:eastAsia="MS UI Gothic"/>
          <w:w w:val="90"/>
        </w:rPr>
        <w:t>Ｌ</w:t>
      </w:r>
      <w:r>
        <w:rPr>
          <w:rFonts w:hint="eastAsia" w:ascii="MS UI Gothic" w:hAnsi="MS UI Gothic" w:eastAsia="MS UI Gothic"/>
          <w:spacing w:val="1"/>
        </w:rPr>
        <w:t xml:space="preserve"> </w:t>
      </w:r>
      <w:r>
        <w:rPr>
          <w:spacing w:val="7"/>
          <w:w w:val="102"/>
        </w:rPr>
        <w:t>的气体</w:t>
      </w:r>
      <w:r>
        <w:rPr>
          <w:rFonts w:hint="eastAsia" w:ascii="MS UI Gothic" w:hAnsi="MS UI Gothic" w:eastAsia="MS UI Gothic"/>
          <w:w w:val="77"/>
        </w:rPr>
        <w:t>、</w:t>
      </w:r>
      <w:r>
        <w:rPr>
          <w:rFonts w:hint="eastAsia" w:ascii="MS UI Gothic" w:hAnsi="MS UI Gothic" w:eastAsia="MS UI Gothic"/>
          <w:spacing w:val="-5"/>
        </w:rPr>
        <w:t xml:space="preserve">  </w:t>
      </w:r>
      <w:r>
        <w:rPr>
          <w:spacing w:val="9"/>
          <w:w w:val="102"/>
        </w:rPr>
        <w:t>液化气体和标</w:t>
      </w:r>
      <w:r>
        <w:rPr>
          <w:spacing w:val="2"/>
        </w:rPr>
        <w:t xml:space="preserve">准沸点等于或者低于 </w:t>
      </w:r>
      <w:r>
        <w:rPr>
          <w:rFonts w:hint="eastAsia" w:ascii="MS UI Gothic" w:hAnsi="MS UI Gothic" w:eastAsia="MS UI Gothic"/>
          <w:spacing w:val="-7"/>
        </w:rPr>
        <w:t xml:space="preserve">６０ ℃ </w:t>
      </w:r>
      <w:r>
        <w:rPr>
          <w:spacing w:val="15"/>
        </w:rPr>
        <w:t>液体的气瓶</w:t>
      </w:r>
      <w:r>
        <w:rPr>
          <w:rFonts w:hint="eastAsia" w:ascii="MS UI Gothic" w:hAnsi="MS UI Gothic" w:eastAsia="MS UI Gothic"/>
          <w:w w:val="90"/>
        </w:rPr>
        <w:t>ꎻ</w:t>
      </w:r>
      <w:r>
        <w:rPr>
          <w:spacing w:val="3"/>
        </w:rPr>
        <w:t>氧舱等</w:t>
      </w:r>
      <w:r>
        <w:rPr>
          <w:rFonts w:hint="eastAsia" w:ascii="MS UI Gothic" w:hAnsi="MS UI Gothic" w:eastAsia="MS UI Gothic"/>
          <w:w w:val="90"/>
        </w:rPr>
        <w:t>ꎮ</w:t>
      </w:r>
    </w:p>
    <w:p>
      <w:pPr>
        <w:pStyle w:val="6"/>
        <w:spacing w:line="295" w:lineRule="auto"/>
        <w:ind w:left="435" w:firstLine="425"/>
        <w:rPr>
          <w:rFonts w:hint="eastAsia" w:ascii="MS UI Gothic" w:eastAsia="MS UI Gothic"/>
        </w:rPr>
      </w:pPr>
      <w:r>
        <w:rPr>
          <w:rFonts w:hint="eastAsia" w:ascii="MS UI Gothic" w:eastAsia="MS UI Gothic"/>
          <w:spacing w:val="-31"/>
          <w:w w:val="140"/>
        </w:rPr>
        <w:t xml:space="preserve">( </w:t>
      </w:r>
      <w:r>
        <w:rPr>
          <w:spacing w:val="3"/>
        </w:rPr>
        <w:t>三</w:t>
      </w:r>
      <w:r>
        <w:rPr>
          <w:rFonts w:hint="eastAsia" w:ascii="MS UI Gothic" w:eastAsia="MS UI Gothic"/>
          <w:spacing w:val="30"/>
          <w:w w:val="140"/>
        </w:rPr>
        <w:t xml:space="preserve">) </w:t>
      </w:r>
      <w:r>
        <w:rPr>
          <w:spacing w:val="5"/>
        </w:rPr>
        <w:t>压力管道</w:t>
      </w:r>
      <w:r>
        <w:rPr>
          <w:rFonts w:hint="eastAsia" w:ascii="MS UI Gothic" w:eastAsia="MS UI Gothic"/>
          <w:spacing w:val="11"/>
          <w:w w:val="85"/>
        </w:rPr>
        <w:t xml:space="preserve">ꎬ </w:t>
      </w:r>
      <w:r>
        <w:rPr>
          <w:spacing w:val="8"/>
        </w:rPr>
        <w:t>是指利用一定的压</w:t>
      </w:r>
      <w:r>
        <w:rPr>
          <w:spacing w:val="3"/>
        </w:rPr>
        <w:t>力</w:t>
      </w:r>
      <w:r>
        <w:rPr>
          <w:rFonts w:hint="eastAsia" w:ascii="MS UI Gothic" w:eastAsia="MS UI Gothic"/>
          <w:spacing w:val="8"/>
          <w:w w:val="85"/>
        </w:rPr>
        <w:t xml:space="preserve">ꎬ </w:t>
      </w:r>
      <w:r>
        <w:rPr>
          <w:spacing w:val="6"/>
        </w:rPr>
        <w:t>用于输送气体或者液体的管状设备</w:t>
      </w:r>
      <w:r>
        <w:rPr>
          <w:rFonts w:hint="eastAsia" w:ascii="MS UI Gothic" w:eastAsia="MS UI Gothic"/>
          <w:w w:val="85"/>
        </w:rPr>
        <w:t>ꎬ</w:t>
      </w:r>
      <w:r>
        <w:rPr>
          <w:spacing w:val="2"/>
        </w:rPr>
        <w:t>其范围规定为最高工作压力大于或者等于</w:t>
      </w:r>
      <w:r>
        <w:rPr>
          <w:rFonts w:hint="eastAsia" w:ascii="MS UI Gothic" w:eastAsia="MS UI Gothic"/>
          <w:spacing w:val="2"/>
        </w:rPr>
        <w:t>０</w:t>
      </w:r>
      <w:r>
        <w:rPr>
          <w:rFonts w:hint="eastAsia" w:ascii="MS UI Gothic" w:eastAsia="MS UI Gothic"/>
          <w:spacing w:val="-5"/>
        </w:rPr>
        <w:t xml:space="preserve"> １ ＭＰ</w:t>
      </w:r>
      <w:r>
        <w:rPr>
          <w:rFonts w:hint="eastAsia" w:ascii="MS UI Gothic" w:eastAsia="MS UI Gothic"/>
          <w:spacing w:val="2"/>
        </w:rPr>
        <w:t xml:space="preserve">ａ </w:t>
      </w:r>
      <w:r>
        <w:rPr>
          <w:rFonts w:hint="eastAsia" w:ascii="MS UI Gothic" w:eastAsia="MS UI Gothic"/>
          <w:spacing w:val="-35"/>
          <w:w w:val="140"/>
        </w:rPr>
        <w:t xml:space="preserve">( </w:t>
      </w:r>
      <w:r>
        <w:rPr>
          <w:spacing w:val="3"/>
        </w:rPr>
        <w:t>表压</w:t>
      </w:r>
      <w:r>
        <w:rPr>
          <w:rFonts w:hint="eastAsia" w:ascii="MS UI Gothic" w:eastAsia="MS UI Gothic"/>
          <w:spacing w:val="8"/>
          <w:w w:val="140"/>
        </w:rPr>
        <w:t xml:space="preserve">) </w:t>
      </w:r>
      <w:r>
        <w:rPr>
          <w:spacing w:val="7"/>
        </w:rPr>
        <w:t>的气体</w:t>
      </w:r>
      <w:r>
        <w:rPr>
          <w:rFonts w:hint="eastAsia" w:ascii="MS UI Gothic" w:eastAsia="MS UI Gothic"/>
          <w:spacing w:val="14"/>
        </w:rPr>
        <w:t xml:space="preserve">、 </w:t>
      </w:r>
      <w:r>
        <w:rPr>
          <w:spacing w:val="7"/>
        </w:rPr>
        <w:t>液化气体</w:t>
      </w:r>
      <w:r>
        <w:rPr>
          <w:rFonts w:hint="eastAsia" w:ascii="MS UI Gothic" w:eastAsia="MS UI Gothic"/>
          <w:spacing w:val="14"/>
        </w:rPr>
        <w:t xml:space="preserve">、 </w:t>
      </w:r>
      <w:r>
        <w:t>蒸</w:t>
      </w:r>
      <w:r>
        <w:rPr>
          <w:spacing w:val="15"/>
        </w:rPr>
        <w:t>汽介质或者可燃</w:t>
      </w:r>
      <w:r>
        <w:rPr>
          <w:rFonts w:hint="eastAsia" w:ascii="MS UI Gothic" w:eastAsia="MS UI Gothic"/>
          <w:spacing w:val="26"/>
        </w:rPr>
        <w:t xml:space="preserve">、 </w:t>
      </w:r>
      <w:r>
        <w:rPr>
          <w:spacing w:val="13"/>
        </w:rPr>
        <w:t>易爆</w:t>
      </w:r>
      <w:r>
        <w:rPr>
          <w:rFonts w:hint="eastAsia" w:ascii="MS UI Gothic" w:eastAsia="MS UI Gothic"/>
          <w:spacing w:val="27"/>
        </w:rPr>
        <w:t xml:space="preserve">、 </w:t>
      </w:r>
      <w:r>
        <w:rPr>
          <w:spacing w:val="14"/>
        </w:rPr>
        <w:t>有毒</w:t>
      </w:r>
      <w:r>
        <w:rPr>
          <w:rFonts w:hint="eastAsia" w:ascii="MS UI Gothic" w:eastAsia="MS UI Gothic"/>
          <w:spacing w:val="28"/>
        </w:rPr>
        <w:t xml:space="preserve">、 </w:t>
      </w:r>
      <w:r>
        <w:rPr>
          <w:spacing w:val="16"/>
        </w:rPr>
        <w:t>有腐蚀</w:t>
      </w:r>
      <w:r>
        <w:rPr>
          <w:spacing w:val="3"/>
        </w:rPr>
        <w:t>性</w:t>
      </w:r>
      <w:r>
        <w:rPr>
          <w:rFonts w:hint="eastAsia" w:ascii="MS UI Gothic" w:eastAsia="MS UI Gothic"/>
          <w:spacing w:val="19"/>
        </w:rPr>
        <w:t xml:space="preserve">、 </w:t>
      </w:r>
      <w:r>
        <w:rPr>
          <w:spacing w:val="2"/>
        </w:rPr>
        <w:t>最高工作温度高于或者等于标准沸点</w:t>
      </w:r>
      <w:r>
        <w:rPr>
          <w:spacing w:val="5"/>
        </w:rPr>
        <w:t>的液体介质</w:t>
      </w:r>
      <w:r>
        <w:rPr>
          <w:rFonts w:hint="eastAsia" w:ascii="MS UI Gothic" w:eastAsia="MS UI Gothic"/>
          <w:spacing w:val="10"/>
          <w:w w:val="85"/>
        </w:rPr>
        <w:t xml:space="preserve">ꎬ </w:t>
      </w:r>
      <w:r>
        <w:rPr>
          <w:spacing w:val="4"/>
        </w:rPr>
        <w:t xml:space="preserve">且公称直径大于 </w:t>
      </w:r>
      <w:r>
        <w:rPr>
          <w:rFonts w:hint="eastAsia" w:ascii="MS UI Gothic" w:eastAsia="MS UI Gothic"/>
          <w:spacing w:val="-1"/>
        </w:rPr>
        <w:t xml:space="preserve">２５ </w:t>
      </w:r>
      <w:r>
        <w:rPr>
          <w:rFonts w:hint="eastAsia" w:ascii="MS UI Gothic" w:eastAsia="MS UI Gothic"/>
        </w:rPr>
        <w:t xml:space="preserve">ｍｍ </w:t>
      </w:r>
      <w:r>
        <w:t>的</w:t>
      </w:r>
      <w:r>
        <w:rPr>
          <w:spacing w:val="3"/>
        </w:rPr>
        <w:t>管道</w:t>
      </w:r>
      <w:r>
        <w:rPr>
          <w:rFonts w:hint="eastAsia" w:ascii="MS UI Gothic" w:eastAsia="MS UI Gothic"/>
          <w:w w:val="85"/>
        </w:rPr>
        <w:t>ꎮ</w:t>
      </w:r>
    </w:p>
    <w:p>
      <w:pPr>
        <w:pStyle w:val="6"/>
        <w:spacing w:line="295" w:lineRule="auto"/>
        <w:ind w:left="440" w:right="1"/>
      </w:pPr>
      <w:r>
        <w:rPr>
          <w:rFonts w:hint="eastAsia" w:ascii="MS UI Gothic" w:eastAsia="MS UI Gothic"/>
          <w:spacing w:val="-40"/>
          <w:w w:val="150"/>
        </w:rPr>
        <w:t xml:space="preserve">( </w:t>
      </w:r>
      <w:r>
        <w:rPr>
          <w:spacing w:val="3"/>
          <w:w w:val="105"/>
        </w:rPr>
        <w:t>四</w:t>
      </w:r>
      <w:r>
        <w:rPr>
          <w:rFonts w:hint="eastAsia" w:ascii="MS UI Gothic" w:eastAsia="MS UI Gothic"/>
          <w:spacing w:val="-7"/>
          <w:w w:val="150"/>
        </w:rPr>
        <w:t xml:space="preserve">) </w:t>
      </w:r>
      <w:r>
        <w:rPr>
          <w:spacing w:val="3"/>
          <w:w w:val="105"/>
        </w:rPr>
        <w:t>电梯</w:t>
      </w:r>
      <w:r>
        <w:rPr>
          <w:rFonts w:hint="eastAsia" w:ascii="MS UI Gothic" w:eastAsia="MS UI Gothic"/>
          <w:spacing w:val="8"/>
          <w:w w:val="80"/>
        </w:rPr>
        <w:t xml:space="preserve">ꎬ </w:t>
      </w:r>
      <w:r>
        <w:rPr>
          <w:spacing w:val="8"/>
          <w:w w:val="105"/>
        </w:rPr>
        <w:t>是指动力驱动</w:t>
      </w:r>
      <w:r>
        <w:rPr>
          <w:rFonts w:hint="eastAsia" w:ascii="MS UI Gothic" w:eastAsia="MS UI Gothic"/>
          <w:spacing w:val="10"/>
          <w:w w:val="80"/>
        </w:rPr>
        <w:t xml:space="preserve">ꎬ </w:t>
      </w:r>
      <w:r>
        <w:rPr>
          <w:spacing w:val="8"/>
          <w:w w:val="105"/>
        </w:rPr>
        <w:t>利用沿</w:t>
      </w:r>
      <w:r>
        <w:rPr>
          <w:spacing w:val="2"/>
        </w:rPr>
        <w:t>刚性导轨运行的箱体或者沿固定线路运行</w:t>
      </w:r>
      <w:r>
        <w:rPr>
          <w:spacing w:val="-9"/>
          <w:w w:val="105"/>
        </w:rPr>
        <w:t xml:space="preserve">的梯级 </w:t>
      </w:r>
      <w:r>
        <w:rPr>
          <w:rFonts w:hint="eastAsia" w:ascii="MS UI Gothic" w:eastAsia="MS UI Gothic"/>
          <w:spacing w:val="-39"/>
          <w:w w:val="150"/>
        </w:rPr>
        <w:t xml:space="preserve">( </w:t>
      </w:r>
      <w:r>
        <w:rPr>
          <w:spacing w:val="6"/>
          <w:w w:val="105"/>
        </w:rPr>
        <w:t>踏步</w:t>
      </w:r>
      <w:r>
        <w:rPr>
          <w:rFonts w:hint="eastAsia" w:ascii="MS UI Gothic" w:eastAsia="MS UI Gothic"/>
          <w:spacing w:val="-39"/>
          <w:w w:val="150"/>
        </w:rPr>
        <w:t xml:space="preserve">) </w:t>
      </w:r>
      <w:r>
        <w:rPr>
          <w:rFonts w:hint="eastAsia" w:ascii="MS UI Gothic" w:eastAsia="MS UI Gothic"/>
          <w:spacing w:val="10"/>
          <w:w w:val="80"/>
        </w:rPr>
        <w:t xml:space="preserve">ꎬ </w:t>
      </w:r>
      <w:r>
        <w:rPr>
          <w:spacing w:val="8"/>
          <w:w w:val="105"/>
        </w:rPr>
        <w:t>进行升降或者平行运送</w:t>
      </w:r>
    </w:p>
    <w:p>
      <w:pPr>
        <w:pStyle w:val="6"/>
        <w:spacing w:before="124" w:line="295" w:lineRule="auto"/>
        <w:ind w:left="381" w:right="144" w:firstLine="0"/>
        <w:rPr>
          <w:rFonts w:hint="eastAsia" w:ascii="MS UI Gothic" w:eastAsia="MS UI Gothic"/>
        </w:rPr>
      </w:pPr>
      <w:r>
        <w:br w:type="column"/>
      </w:r>
      <w:r>
        <w:rPr>
          <w:spacing w:val="3"/>
          <w:w w:val="105"/>
        </w:rPr>
        <w:t>人</w:t>
      </w:r>
      <w:r>
        <w:rPr>
          <w:rFonts w:hint="eastAsia" w:ascii="MS UI Gothic" w:eastAsia="MS UI Gothic"/>
          <w:spacing w:val="16"/>
          <w:w w:val="80"/>
        </w:rPr>
        <w:t xml:space="preserve">、 </w:t>
      </w:r>
      <w:r>
        <w:rPr>
          <w:spacing w:val="23"/>
          <w:w w:val="105"/>
        </w:rPr>
        <w:t>货物的机电设备</w:t>
      </w:r>
      <w:r>
        <w:rPr>
          <w:rFonts w:hint="eastAsia" w:ascii="MS UI Gothic" w:eastAsia="MS UI Gothic"/>
          <w:spacing w:val="23"/>
          <w:w w:val="80"/>
        </w:rPr>
        <w:t xml:space="preserve">ꎬ </w:t>
      </w:r>
      <w:r>
        <w:rPr>
          <w:spacing w:val="14"/>
          <w:w w:val="105"/>
        </w:rPr>
        <w:t xml:space="preserve">包括载人 </w:t>
      </w:r>
      <w:r>
        <w:rPr>
          <w:rFonts w:hint="eastAsia" w:ascii="MS UI Gothic" w:eastAsia="MS UI Gothic"/>
          <w:spacing w:val="-31"/>
          <w:w w:val="150"/>
        </w:rPr>
        <w:t xml:space="preserve">( </w:t>
      </w:r>
      <w:r>
        <w:rPr>
          <w:spacing w:val="21"/>
          <w:w w:val="105"/>
        </w:rPr>
        <w:t>货</w:t>
      </w:r>
      <w:r>
        <w:rPr>
          <w:rFonts w:hint="eastAsia" w:ascii="MS UI Gothic" w:eastAsia="MS UI Gothic"/>
          <w:spacing w:val="-12"/>
          <w:w w:val="150"/>
        </w:rPr>
        <w:t xml:space="preserve">) </w:t>
      </w:r>
      <w:r>
        <w:rPr>
          <w:spacing w:val="3"/>
          <w:w w:val="105"/>
        </w:rPr>
        <w:t>电梯</w:t>
      </w:r>
      <w:r>
        <w:rPr>
          <w:rFonts w:hint="eastAsia" w:ascii="MS UI Gothic" w:eastAsia="MS UI Gothic"/>
          <w:spacing w:val="22"/>
          <w:w w:val="80"/>
        </w:rPr>
        <w:t xml:space="preserve">、 </w:t>
      </w:r>
      <w:r>
        <w:rPr>
          <w:spacing w:val="3"/>
          <w:w w:val="105"/>
        </w:rPr>
        <w:t>自动扶梯</w:t>
      </w:r>
      <w:r>
        <w:rPr>
          <w:rFonts w:hint="eastAsia" w:ascii="MS UI Gothic" w:eastAsia="MS UI Gothic"/>
          <w:spacing w:val="22"/>
          <w:w w:val="80"/>
        </w:rPr>
        <w:t xml:space="preserve">、 </w:t>
      </w:r>
      <w:r>
        <w:rPr>
          <w:spacing w:val="3"/>
          <w:w w:val="105"/>
        </w:rPr>
        <w:t>自动人行道等</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45"/>
        </w:rPr>
        <w:t xml:space="preserve">( </w:t>
      </w:r>
      <w:r>
        <w:t>五</w:t>
      </w:r>
      <w:r>
        <w:rPr>
          <w:rFonts w:hint="eastAsia" w:ascii="MS UI Gothic" w:eastAsia="MS UI Gothic"/>
          <w:w w:val="145"/>
        </w:rPr>
        <w:t xml:space="preserve">) </w:t>
      </w:r>
      <w:r>
        <w:t>起重机械</w:t>
      </w:r>
      <w:r>
        <w:rPr>
          <w:rFonts w:hint="eastAsia" w:ascii="MS UI Gothic" w:eastAsia="MS UI Gothic"/>
          <w:w w:val="80"/>
        </w:rPr>
        <w:t xml:space="preserve">ꎬ </w:t>
      </w:r>
      <w:r>
        <w:t>是指用于垂直升降或者垂直升降并水平移动重物的机电设备</w:t>
      </w:r>
      <w:r>
        <w:rPr>
          <w:rFonts w:hint="eastAsia" w:ascii="MS UI Gothic" w:eastAsia="MS UI Gothic"/>
          <w:w w:val="80"/>
        </w:rPr>
        <w:t xml:space="preserve">ꎬ </w:t>
      </w:r>
      <w:r>
        <w:t xml:space="preserve">其范围规定为额定起重量大于或者等于 </w:t>
      </w:r>
      <w:r>
        <w:rPr>
          <w:rFonts w:hint="eastAsia" w:ascii="MS UI Gothic" w:eastAsia="MS UI Gothic"/>
        </w:rPr>
        <w:t xml:space="preserve">０ ５ ｔ </w:t>
      </w:r>
      <w:r>
        <w:t>的升降机</w:t>
      </w:r>
      <w:r>
        <w:rPr>
          <w:rFonts w:hint="eastAsia" w:ascii="MS UI Gothic" w:eastAsia="MS UI Gothic"/>
          <w:w w:val="80"/>
        </w:rPr>
        <w:t xml:space="preserve">ꎻ </w:t>
      </w:r>
      <w:r>
        <w:t xml:space="preserve">额定起重量大于或者等于 </w:t>
      </w:r>
      <w:r>
        <w:rPr>
          <w:rFonts w:hint="eastAsia" w:ascii="MS UI Gothic" w:eastAsia="MS UI Gothic"/>
        </w:rPr>
        <w:t>１ ｔ</w:t>
      </w:r>
      <w:r>
        <w:rPr>
          <w:rFonts w:hint="eastAsia" w:ascii="MS UI Gothic" w:eastAsia="MS UI Gothic"/>
          <w:w w:val="80"/>
        </w:rPr>
        <w:t xml:space="preserve">ꎬ </w:t>
      </w:r>
      <w:r>
        <w:t xml:space="preserve">且提升高度大于或者等于 </w:t>
      </w:r>
      <w:r>
        <w:rPr>
          <w:rFonts w:hint="eastAsia" w:ascii="MS UI Gothic" w:eastAsia="MS UI Gothic"/>
        </w:rPr>
        <w:t xml:space="preserve">２ ｍ </w:t>
      </w:r>
      <w:r>
        <w:t>的起重机和承重形式固定的电动葫芦等</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六</w:t>
      </w:r>
      <w:r>
        <w:rPr>
          <w:rFonts w:hint="eastAsia" w:ascii="MS UI Gothic" w:eastAsia="MS UI Gothic"/>
          <w:w w:val="150"/>
        </w:rPr>
        <w:t xml:space="preserve">) </w:t>
      </w:r>
      <w:r>
        <w:rPr>
          <w:w w:val="105"/>
        </w:rPr>
        <w:t>客运索道</w:t>
      </w:r>
      <w:r>
        <w:rPr>
          <w:rFonts w:hint="eastAsia" w:ascii="MS UI Gothic" w:eastAsia="MS UI Gothic"/>
          <w:w w:val="80"/>
        </w:rPr>
        <w:t xml:space="preserve">ꎬ </w:t>
      </w:r>
      <w:r>
        <w:rPr>
          <w:w w:val="105"/>
        </w:rPr>
        <w:t>是指动力驱动</w:t>
      </w:r>
      <w:r>
        <w:rPr>
          <w:rFonts w:hint="eastAsia" w:ascii="MS UI Gothic" w:eastAsia="MS UI Gothic"/>
          <w:w w:val="80"/>
        </w:rPr>
        <w:t xml:space="preserve">ꎬ </w:t>
      </w:r>
      <w:r>
        <w:rPr>
          <w:w w:val="105"/>
        </w:rPr>
        <w:t>利</w:t>
      </w:r>
      <w:r>
        <w:t>用柔性绳索牵引箱体等运载工具运送人员</w:t>
      </w:r>
      <w:r>
        <w:rPr>
          <w:w w:val="105"/>
        </w:rPr>
        <w:t>的机电设备</w:t>
      </w:r>
      <w:r>
        <w:rPr>
          <w:rFonts w:hint="eastAsia" w:ascii="MS UI Gothic" w:eastAsia="MS UI Gothic"/>
          <w:w w:val="80"/>
        </w:rPr>
        <w:t xml:space="preserve">ꎬ </w:t>
      </w:r>
      <w:r>
        <w:rPr>
          <w:w w:val="105"/>
        </w:rPr>
        <w:t>包括客运架空索道</w:t>
      </w:r>
      <w:r>
        <w:rPr>
          <w:rFonts w:hint="eastAsia" w:ascii="MS UI Gothic" w:eastAsia="MS UI Gothic"/>
          <w:w w:val="80"/>
        </w:rPr>
        <w:t xml:space="preserve">、 </w:t>
      </w:r>
      <w:r>
        <w:rPr>
          <w:w w:val="105"/>
        </w:rPr>
        <w:t>客运缆车</w:t>
      </w:r>
      <w:r>
        <w:rPr>
          <w:rFonts w:hint="eastAsia" w:ascii="MS UI Gothic" w:eastAsia="MS UI Gothic"/>
          <w:w w:val="80"/>
        </w:rPr>
        <w:t xml:space="preserve">、 </w:t>
      </w:r>
      <w:r>
        <w:rPr>
          <w:w w:val="105"/>
        </w:rPr>
        <w:t>客运拖牵索道等</w:t>
      </w:r>
      <w:r>
        <w:rPr>
          <w:rFonts w:hint="eastAsia" w:ascii="MS UI Gothic" w:eastAsia="MS UI Gothic"/>
          <w:w w:val="80"/>
        </w:rPr>
        <w:t>ꎮ</w:t>
      </w:r>
    </w:p>
    <w:p>
      <w:pPr>
        <w:pStyle w:val="6"/>
        <w:spacing w:line="295" w:lineRule="auto"/>
        <w:ind w:left="375" w:right="126" w:firstLine="425"/>
        <w:rPr>
          <w:rFonts w:hint="eastAsia" w:ascii="MS UI Gothic" w:eastAsia="MS UI Gothic"/>
        </w:rPr>
      </w:pPr>
      <w:r>
        <w:rPr>
          <w:rFonts w:hint="eastAsia" w:ascii="MS UI Gothic" w:eastAsia="MS UI Gothic"/>
          <w:spacing w:val="-34"/>
          <w:w w:val="150"/>
        </w:rPr>
        <w:t xml:space="preserve">( </w:t>
      </w:r>
      <w:r>
        <w:rPr>
          <w:spacing w:val="3"/>
        </w:rPr>
        <w:t>七</w:t>
      </w:r>
      <w:r>
        <w:rPr>
          <w:rFonts w:hint="eastAsia" w:ascii="MS UI Gothic" w:eastAsia="MS UI Gothic"/>
          <w:spacing w:val="26"/>
          <w:w w:val="150"/>
        </w:rPr>
        <w:t xml:space="preserve">) </w:t>
      </w:r>
      <w:r>
        <w:rPr>
          <w:spacing w:val="5"/>
        </w:rPr>
        <w:t>大型游乐设施</w:t>
      </w:r>
      <w:r>
        <w:rPr>
          <w:rFonts w:hint="eastAsia" w:ascii="MS UI Gothic" w:eastAsia="MS UI Gothic"/>
          <w:spacing w:val="15"/>
          <w:w w:val="80"/>
        </w:rPr>
        <w:t xml:space="preserve">ꎬ </w:t>
      </w:r>
      <w:r>
        <w:rPr>
          <w:spacing w:val="9"/>
        </w:rPr>
        <w:t>是指用于经营</w:t>
      </w:r>
      <w:r>
        <w:rPr>
          <w:spacing w:val="3"/>
        </w:rPr>
        <w:t>目的</w:t>
      </w:r>
      <w:r>
        <w:rPr>
          <w:rFonts w:hint="eastAsia" w:ascii="MS UI Gothic" w:eastAsia="MS UI Gothic"/>
          <w:spacing w:val="23"/>
          <w:w w:val="80"/>
        </w:rPr>
        <w:t xml:space="preserve">ꎬ </w:t>
      </w:r>
      <w:r>
        <w:rPr>
          <w:spacing w:val="3"/>
        </w:rPr>
        <w:t>承载乘客游乐的设施</w:t>
      </w:r>
      <w:r>
        <w:rPr>
          <w:rFonts w:hint="eastAsia" w:ascii="MS UI Gothic" w:eastAsia="MS UI Gothic"/>
          <w:spacing w:val="23"/>
          <w:w w:val="80"/>
        </w:rPr>
        <w:t xml:space="preserve">ꎬ </w:t>
      </w:r>
      <w:r>
        <w:rPr>
          <w:spacing w:val="2"/>
        </w:rPr>
        <w:t>其范围规定</w:t>
      </w:r>
      <w:r>
        <w:rPr>
          <w:spacing w:val="24"/>
        </w:rPr>
        <w:t xml:space="preserve">为设计最大运行线速度大于或者等于 </w:t>
      </w:r>
      <w:r>
        <w:rPr>
          <w:rFonts w:hint="eastAsia" w:ascii="MS UI Gothic" w:eastAsia="MS UI Gothic"/>
          <w:spacing w:val="21"/>
          <w:w w:val="80"/>
        </w:rPr>
        <w:t xml:space="preserve">２ </w:t>
      </w:r>
      <w:r>
        <w:rPr>
          <w:rFonts w:hint="eastAsia" w:ascii="MS UI Gothic" w:eastAsia="MS UI Gothic"/>
          <w:w w:val="80"/>
        </w:rPr>
        <w:t>ｍ</w:t>
      </w:r>
      <w:r>
        <w:rPr>
          <w:rFonts w:hint="eastAsia" w:ascii="MS UI Gothic" w:eastAsia="MS UI Gothic"/>
          <w:spacing w:val="-21"/>
          <w:w w:val="80"/>
        </w:rPr>
        <w:t xml:space="preserve"> </w:t>
      </w:r>
      <w:r>
        <w:rPr>
          <w:rFonts w:hint="eastAsia" w:ascii="MS UI Gothic" w:eastAsia="MS UI Gothic"/>
          <w:w w:val="65"/>
        </w:rPr>
        <w:t>/</w:t>
      </w:r>
      <w:r>
        <w:rPr>
          <w:rFonts w:hint="eastAsia" w:ascii="MS UI Gothic" w:eastAsia="MS UI Gothic"/>
          <w:spacing w:val="1"/>
          <w:w w:val="65"/>
        </w:rPr>
        <w:t xml:space="preserve"> </w:t>
      </w:r>
      <w:r>
        <w:rPr>
          <w:rFonts w:hint="eastAsia" w:ascii="MS UI Gothic" w:eastAsia="MS UI Gothic"/>
          <w:spacing w:val="3"/>
          <w:w w:val="80"/>
        </w:rPr>
        <w:t>ｓ</w:t>
      </w:r>
      <w:r>
        <w:rPr>
          <w:rFonts w:hint="eastAsia" w:ascii="MS UI Gothic" w:eastAsia="MS UI Gothic"/>
          <w:spacing w:val="23"/>
          <w:w w:val="80"/>
        </w:rPr>
        <w:t xml:space="preserve">ꎬ </w:t>
      </w:r>
      <w:r>
        <w:rPr>
          <w:spacing w:val="8"/>
        </w:rPr>
        <w:t>或者运行高度距地面高于或者等</w:t>
      </w:r>
      <w:r>
        <w:rPr>
          <w:spacing w:val="-22"/>
        </w:rPr>
        <w:t xml:space="preserve">于 </w:t>
      </w:r>
      <w:r>
        <w:rPr>
          <w:rFonts w:hint="eastAsia" w:ascii="MS UI Gothic" w:eastAsia="MS UI Gothic"/>
          <w:spacing w:val="13"/>
          <w:w w:val="80"/>
        </w:rPr>
        <w:t xml:space="preserve">２ </w:t>
      </w:r>
      <w:r>
        <w:rPr>
          <w:rFonts w:hint="eastAsia" w:ascii="MS UI Gothic" w:eastAsia="MS UI Gothic"/>
          <w:w w:val="80"/>
        </w:rPr>
        <w:t>ｍ</w:t>
      </w:r>
      <w:r>
        <w:rPr>
          <w:rFonts w:hint="eastAsia" w:ascii="MS UI Gothic" w:eastAsia="MS UI Gothic"/>
          <w:spacing w:val="8"/>
          <w:w w:val="80"/>
        </w:rPr>
        <w:t xml:space="preserve"> </w:t>
      </w:r>
      <w:r>
        <w:rPr>
          <w:spacing w:val="3"/>
        </w:rPr>
        <w:t>的载人大型游乐设施</w:t>
      </w:r>
      <w:r>
        <w:rPr>
          <w:rFonts w:hint="eastAsia" w:ascii="MS UI Gothic" w:eastAsia="MS UI Gothic"/>
          <w:w w:val="80"/>
        </w:rPr>
        <w:t>ꎮ</w:t>
      </w:r>
    </w:p>
    <w:p>
      <w:pPr>
        <w:pStyle w:val="6"/>
        <w:spacing w:line="295" w:lineRule="auto"/>
        <w:ind w:left="381" w:right="126"/>
        <w:rPr>
          <w:rFonts w:hint="eastAsia" w:ascii="MS UI Gothic" w:eastAsia="MS UI Gothic"/>
        </w:rPr>
      </w:pPr>
      <w:r>
        <w:rPr>
          <w:rFonts w:hint="eastAsia" w:ascii="MS UI Gothic" w:eastAsia="MS UI Gothic"/>
          <w:w w:val="150"/>
        </w:rPr>
        <w:t xml:space="preserve">( </w:t>
      </w:r>
      <w:r>
        <w:rPr>
          <w:w w:val="105"/>
        </w:rPr>
        <w:t>八</w:t>
      </w:r>
      <w:r>
        <w:rPr>
          <w:rFonts w:hint="eastAsia" w:ascii="MS UI Gothic" w:eastAsia="MS UI Gothic"/>
          <w:w w:val="150"/>
        </w:rPr>
        <w:t xml:space="preserve">) </w:t>
      </w:r>
      <w:r>
        <w:rPr>
          <w:w w:val="105"/>
        </w:rPr>
        <w:t xml:space="preserve">场 </w:t>
      </w:r>
      <w:r>
        <w:rPr>
          <w:rFonts w:hint="eastAsia" w:ascii="MS UI Gothic" w:eastAsia="MS UI Gothic"/>
          <w:w w:val="150"/>
        </w:rPr>
        <w:t xml:space="preserve">( </w:t>
      </w:r>
      <w:r>
        <w:rPr>
          <w:w w:val="105"/>
        </w:rPr>
        <w:t>厂</w:t>
      </w:r>
      <w:r>
        <w:rPr>
          <w:rFonts w:hint="eastAsia" w:ascii="MS UI Gothic" w:eastAsia="MS UI Gothic"/>
          <w:w w:val="150"/>
        </w:rPr>
        <w:t xml:space="preserve">) </w:t>
      </w:r>
      <w:r>
        <w:rPr>
          <w:w w:val="105"/>
        </w:rPr>
        <w:t>内专用机动车辆</w:t>
      </w:r>
      <w:r>
        <w:rPr>
          <w:rFonts w:hint="eastAsia" w:ascii="MS UI Gothic" w:eastAsia="MS UI Gothic"/>
          <w:w w:val="80"/>
        </w:rPr>
        <w:t xml:space="preserve">ꎬ </w:t>
      </w:r>
      <w:r>
        <w:rPr>
          <w:w w:val="105"/>
        </w:rPr>
        <w:t>是指除道路交通</w:t>
      </w:r>
      <w:r>
        <w:rPr>
          <w:rFonts w:hint="eastAsia" w:ascii="MS UI Gothic" w:eastAsia="MS UI Gothic"/>
          <w:w w:val="80"/>
        </w:rPr>
        <w:t xml:space="preserve">、 </w:t>
      </w:r>
      <w:r>
        <w:rPr>
          <w:w w:val="105"/>
        </w:rPr>
        <w:t>农用车辆以外仅在工厂厂区</w:t>
      </w:r>
      <w:r>
        <w:rPr>
          <w:rFonts w:hint="eastAsia" w:ascii="MS UI Gothic" w:eastAsia="MS UI Gothic"/>
          <w:w w:val="80"/>
        </w:rPr>
        <w:t xml:space="preserve">、 </w:t>
      </w:r>
      <w:r>
        <w:rPr>
          <w:w w:val="105"/>
        </w:rPr>
        <w:t>旅游景区</w:t>
      </w:r>
      <w:r>
        <w:rPr>
          <w:rFonts w:hint="eastAsia" w:ascii="MS UI Gothic" w:eastAsia="MS UI Gothic"/>
          <w:w w:val="80"/>
        </w:rPr>
        <w:t xml:space="preserve">、 </w:t>
      </w:r>
      <w:r>
        <w:rPr>
          <w:w w:val="105"/>
        </w:rPr>
        <w:t>游乐场所等特定区域使用的专用机动车辆</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特种设备包括其所用的材料</w:t>
      </w:r>
      <w:r>
        <w:rPr>
          <w:rFonts w:hint="eastAsia" w:ascii="MS UI Gothic" w:eastAsia="MS UI Gothic"/>
          <w:w w:val="80"/>
        </w:rPr>
        <w:t xml:space="preserve">、 </w:t>
      </w:r>
      <w:r>
        <w:rPr>
          <w:w w:val="105"/>
        </w:rPr>
        <w:t>附属的安全附件</w:t>
      </w:r>
      <w:r>
        <w:rPr>
          <w:rFonts w:hint="eastAsia" w:ascii="MS UI Gothic" w:eastAsia="MS UI Gothic"/>
          <w:w w:val="80"/>
        </w:rPr>
        <w:t xml:space="preserve">、 </w:t>
      </w:r>
      <w:r>
        <w:rPr>
          <w:w w:val="105"/>
        </w:rPr>
        <w:t>安全保护装置和与安全保护装置相关的设施</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3"/>
        </w:rPr>
        <w:t>第一百条 压力管道设计</w:t>
      </w:r>
      <w:r>
        <w:rPr>
          <w:rFonts w:hint="eastAsia" w:ascii="MS UI Gothic" w:eastAsia="MS UI Gothic"/>
          <w:spacing w:val="12"/>
          <w:w w:val="80"/>
        </w:rPr>
        <w:t xml:space="preserve">、 </w:t>
      </w:r>
      <w:r>
        <w:rPr>
          <w:spacing w:val="3"/>
        </w:rPr>
        <w:t>安装</w:t>
      </w:r>
      <w:r>
        <w:rPr>
          <w:rFonts w:hint="eastAsia" w:ascii="MS UI Gothic" w:eastAsia="MS UI Gothic"/>
          <w:spacing w:val="8"/>
          <w:w w:val="80"/>
        </w:rPr>
        <w:t xml:space="preserve">、  </w:t>
      </w:r>
      <w:r>
        <w:t>使</w:t>
      </w:r>
      <w:r>
        <w:rPr>
          <w:spacing w:val="24"/>
        </w:rPr>
        <w:t>用的安全监督管理办法由国务院另行</w:t>
      </w:r>
      <w:r>
        <w:rPr>
          <w:spacing w:val="3"/>
        </w:rPr>
        <w:t>制定</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第一百零一条 国务院特种设备安全</w:t>
      </w:r>
      <w:r>
        <w:rPr>
          <w:spacing w:val="3"/>
          <w:w w:val="105"/>
        </w:rPr>
        <w:t>监督管理部门可以授权省</w:t>
      </w:r>
      <w:r>
        <w:rPr>
          <w:rFonts w:hint="eastAsia" w:ascii="MS UI Gothic" w:eastAsia="MS UI Gothic"/>
          <w:spacing w:val="11"/>
          <w:w w:val="80"/>
        </w:rPr>
        <w:t xml:space="preserve">、 </w:t>
      </w:r>
      <w:r>
        <w:rPr>
          <w:spacing w:val="3"/>
          <w:w w:val="105"/>
        </w:rPr>
        <w:t>自治区</w:t>
      </w:r>
      <w:r>
        <w:rPr>
          <w:rFonts w:hint="eastAsia" w:ascii="MS UI Gothic" w:eastAsia="MS UI Gothic"/>
          <w:spacing w:val="12"/>
          <w:w w:val="80"/>
        </w:rPr>
        <w:t xml:space="preserve">、 </w:t>
      </w:r>
      <w:r>
        <w:rPr>
          <w:spacing w:val="1"/>
          <w:w w:val="105"/>
        </w:rPr>
        <w:t>直辖</w:t>
      </w:r>
      <w:r>
        <w:rPr>
          <w:spacing w:val="2"/>
        </w:rPr>
        <w:t>市特种设备安全监督管理部门负责本条例</w:t>
      </w:r>
      <w:r>
        <w:rPr>
          <w:spacing w:val="3"/>
        </w:rPr>
        <w:t>规定的特种设备行政许可工作</w:t>
      </w:r>
      <w:r>
        <w:rPr>
          <w:rFonts w:hint="eastAsia" w:ascii="MS UI Gothic" w:eastAsia="MS UI Gothic"/>
          <w:spacing w:val="20"/>
          <w:w w:val="80"/>
        </w:rPr>
        <w:t xml:space="preserve">ꎬ </w:t>
      </w:r>
      <w:r>
        <w:rPr>
          <w:spacing w:val="2"/>
        </w:rPr>
        <w:t>具体办法</w:t>
      </w:r>
      <w:r>
        <w:rPr>
          <w:spacing w:val="24"/>
        </w:rPr>
        <w:t>由国务院特种设备安全监督管理部门</w:t>
      </w:r>
      <w:r>
        <w:rPr>
          <w:spacing w:val="3"/>
          <w:w w:val="105"/>
        </w:rPr>
        <w:t>制定</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3"/>
        </w:rPr>
        <w:t>第一百零二条  特种设备行政许可</w:t>
      </w:r>
      <w:r>
        <w:rPr>
          <w:rFonts w:hint="eastAsia" w:ascii="MS UI Gothic" w:eastAsia="MS UI Gothic"/>
          <w:w w:val="80"/>
        </w:rPr>
        <w:t>、</w:t>
      </w:r>
      <w:r>
        <w:rPr>
          <w:spacing w:val="8"/>
        </w:rPr>
        <w:t>检验检测</w:t>
      </w:r>
      <w:r>
        <w:rPr>
          <w:rFonts w:hint="eastAsia" w:ascii="MS UI Gothic" w:eastAsia="MS UI Gothic"/>
          <w:spacing w:val="23"/>
          <w:w w:val="80"/>
        </w:rPr>
        <w:t xml:space="preserve">ꎬ </w:t>
      </w:r>
      <w:r>
        <w:rPr>
          <w:spacing w:val="17"/>
        </w:rPr>
        <w:t>应当按照国家有关规定收取</w:t>
      </w:r>
      <w:r>
        <w:rPr>
          <w:spacing w:val="3"/>
        </w:rPr>
        <w:t>费用</w:t>
      </w:r>
      <w:r>
        <w:rPr>
          <w:rFonts w:hint="eastAsia" w:ascii="MS UI Gothic" w:eastAsia="MS UI Gothic"/>
          <w:w w:val="80"/>
        </w:rPr>
        <w:t>ꎮ</w:t>
      </w:r>
    </w:p>
    <w:p>
      <w:pPr>
        <w:pStyle w:val="6"/>
        <w:spacing w:line="254" w:lineRule="exact"/>
        <w:ind w:left="800" w:firstLine="0"/>
        <w:rPr>
          <w:rFonts w:hint="eastAsia" w:ascii="MS UI Gothic" w:eastAsia="MS UI Gothic"/>
        </w:rPr>
      </w:pPr>
      <w:r>
        <w:rPr>
          <w:spacing w:val="9"/>
        </w:rPr>
        <w:t xml:space="preserve">第一百零三条 本条例自 </w:t>
      </w:r>
      <w:r>
        <w:rPr>
          <w:rFonts w:hint="eastAsia" w:ascii="MS UI Gothic" w:eastAsia="MS UI Gothic"/>
          <w:spacing w:val="-1"/>
        </w:rPr>
        <w:t xml:space="preserve">２００３ </w:t>
      </w:r>
      <w:r>
        <w:rPr>
          <w:spacing w:val="-25"/>
        </w:rPr>
        <w:t xml:space="preserve">年 </w:t>
      </w:r>
      <w:r>
        <w:rPr>
          <w:rFonts w:hint="eastAsia" w:ascii="MS UI Gothic" w:eastAsia="MS UI Gothic"/>
        </w:rPr>
        <w:t>６</w:t>
      </w:r>
    </w:p>
    <w:p>
      <w:pPr>
        <w:pStyle w:val="6"/>
        <w:spacing w:before="32" w:line="295" w:lineRule="auto"/>
        <w:ind w:left="381" w:right="126" w:firstLine="0"/>
      </w:pPr>
      <w:r>
        <w:rPr>
          <w:spacing w:val="-27"/>
          <w:w w:val="95"/>
        </w:rPr>
        <w:t xml:space="preserve">月 </w:t>
      </w:r>
      <w:r>
        <w:rPr>
          <w:rFonts w:hint="eastAsia" w:ascii="MS UI Gothic" w:hAnsi="MS UI Gothic" w:eastAsia="MS UI Gothic"/>
          <w:spacing w:val="-2"/>
          <w:w w:val="95"/>
        </w:rPr>
        <w:t xml:space="preserve">１ </w:t>
      </w:r>
      <w:r>
        <w:rPr>
          <w:spacing w:val="12"/>
          <w:w w:val="95"/>
        </w:rPr>
        <w:t>日起施行</w:t>
      </w:r>
      <w:r>
        <w:rPr>
          <w:rFonts w:hint="eastAsia" w:ascii="MS UI Gothic" w:hAnsi="MS UI Gothic" w:eastAsia="MS UI Gothic"/>
          <w:spacing w:val="18"/>
          <w:w w:val="90"/>
        </w:rPr>
        <w:t xml:space="preserve">ꎮ </w:t>
      </w:r>
      <w:r>
        <w:rPr>
          <w:rFonts w:hint="eastAsia" w:ascii="MS UI Gothic" w:hAnsi="MS UI Gothic" w:eastAsia="MS UI Gothic"/>
          <w:w w:val="95"/>
        </w:rPr>
        <w:t xml:space="preserve">１９８２ </w:t>
      </w:r>
      <w:r>
        <w:rPr>
          <w:spacing w:val="-20"/>
          <w:w w:val="95"/>
        </w:rPr>
        <w:t xml:space="preserve">年 </w:t>
      </w:r>
      <w:r>
        <w:rPr>
          <w:rFonts w:hint="eastAsia" w:ascii="MS UI Gothic" w:hAnsi="MS UI Gothic" w:eastAsia="MS UI Gothic"/>
          <w:spacing w:val="2"/>
          <w:w w:val="95"/>
        </w:rPr>
        <w:t xml:space="preserve">２ </w:t>
      </w:r>
      <w:r>
        <w:rPr>
          <w:spacing w:val="-21"/>
          <w:w w:val="95"/>
        </w:rPr>
        <w:t xml:space="preserve">月 </w:t>
      </w:r>
      <w:r>
        <w:rPr>
          <w:rFonts w:hint="eastAsia" w:ascii="MS UI Gothic" w:hAnsi="MS UI Gothic" w:eastAsia="MS UI Gothic"/>
          <w:spacing w:val="3"/>
          <w:w w:val="95"/>
        </w:rPr>
        <w:t xml:space="preserve">６ </w:t>
      </w:r>
      <w:r>
        <w:rPr>
          <w:spacing w:val="12"/>
          <w:w w:val="95"/>
        </w:rPr>
        <w:t>日国务院</w:t>
      </w:r>
      <w:r>
        <w:rPr>
          <w:spacing w:val="3"/>
          <w:w w:val="95"/>
        </w:rPr>
        <w:t xml:space="preserve">发布的   </w:t>
      </w:r>
      <w:r>
        <w:rPr>
          <w:rFonts w:hint="eastAsia" w:ascii="MS UI Gothic" w:hAnsi="MS UI Gothic" w:eastAsia="MS UI Gothic"/>
          <w:spacing w:val="8"/>
          <w:w w:val="95"/>
        </w:rPr>
        <w:t xml:space="preserve">« </w:t>
      </w:r>
      <w:r>
        <w:rPr>
          <w:spacing w:val="15"/>
          <w:w w:val="95"/>
        </w:rPr>
        <w:t>锅炉压力容器安全监察暂行条</w:t>
      </w:r>
    </w:p>
    <w:p>
      <w:pPr>
        <w:spacing w:after="0" w:line="295" w:lineRule="auto"/>
        <w:sectPr>
          <w:type w:val="continuous"/>
          <w:pgSz w:w="10500" w:h="14750"/>
          <w:pgMar w:top="1400" w:right="980" w:bottom="280" w:left="980" w:header="720" w:footer="720" w:gutter="0"/>
          <w:cols w:equalWidth="0" w:num="2">
            <w:col w:w="4212" w:space="40"/>
            <w:col w:w="4288"/>
          </w:cols>
        </w:sectPr>
      </w:pPr>
    </w:p>
    <w:p>
      <w:pPr>
        <w:pStyle w:val="6"/>
        <w:spacing w:before="159"/>
        <w:ind w:left="280" w:firstLine="0"/>
        <w:jc w:val="left"/>
        <w:rPr>
          <w:rFonts w:hint="eastAsia" w:ascii="MS UI Gothic" w:eastAsia="MS UI Gothic"/>
        </w:rPr>
      </w:pPr>
      <w:r>
        <w:pict>
          <v:shape id="_x0000_s2446" o:spid="_x0000_s2446" style="position:absolute;left:0pt;margin-left:0pt;margin-top:700.1pt;height:1.75pt;width:398.25pt;mso-position-horizontal-relative:page;z-index:252232704;mso-width-relative:page;mso-height-relative:page;" filled="f" stroked="t" coordorigin="0,14002" coordsize="7965,35" path="m1103,516l9067,516m1103,481l9067,481e">
            <v:path arrowok="t"/>
            <v:fill on="f" focussize="0,0"/>
            <v:stroke weight="0.388031496062992pt" color="#231F20"/>
            <v:imagedata o:title=""/>
            <o:lock v:ext="edit"/>
          </v:shape>
        </w:pict>
      </w:r>
      <w:r>
        <w:rPr>
          <w:rFonts w:hint="eastAsia" w:ascii="MS UI Gothic" w:eastAsia="MS UI Gothic"/>
          <w:spacing w:val="1"/>
          <w:w w:val="75"/>
        </w:rPr>
        <w:t>４８２</w:t>
      </w:r>
    </w:p>
    <w:p>
      <w:pPr>
        <w:pStyle w:val="6"/>
        <w:spacing w:before="297"/>
        <w:ind w:firstLine="0"/>
        <w:jc w:val="left"/>
        <w:rPr>
          <w:rFonts w:hint="eastAsia" w:ascii="MS UI Gothic" w:hAnsi="MS UI Gothic" w:eastAsia="MS UI Gothic"/>
        </w:rPr>
      </w:pPr>
      <w:r>
        <w:t>例</w:t>
      </w:r>
      <w:r>
        <w:rPr>
          <w:rFonts w:hint="eastAsia" w:ascii="MS UI Gothic" w:hAnsi="MS UI Gothic" w:eastAsia="MS UI Gothic"/>
        </w:rPr>
        <w:t xml:space="preserve">» </w:t>
      </w:r>
      <w:r>
        <w:t>同时废止</w:t>
      </w:r>
      <w:r>
        <w:rPr>
          <w:rFonts w:hint="eastAsia" w:ascii="MS UI Gothic" w:hAnsi="MS UI Gothic" w:eastAsia="MS UI Gothic"/>
          <w:w w:val="80"/>
        </w:rPr>
        <w:t>ꎮ</w:t>
      </w:r>
    </w:p>
    <w:p>
      <w:pPr>
        <w:spacing w:before="192"/>
        <w:ind w:left="124"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545" w:space="757"/>
            <w:col w:w="6238"/>
          </w:cols>
        </w:sectPr>
      </w:pPr>
    </w:p>
    <w:p>
      <w:pPr>
        <w:pStyle w:val="6"/>
        <w:ind w:left="0" w:firstLine="0"/>
        <w:jc w:val="left"/>
        <w:rPr>
          <w:rFonts w:ascii="Microsoft Yi Baiti"/>
          <w:sz w:val="16"/>
        </w:rPr>
      </w:pPr>
    </w:p>
    <w:p>
      <w:pPr>
        <w:pStyle w:val="4"/>
        <w:spacing w:before="195"/>
        <w:ind w:right="654"/>
        <w:rPr>
          <w:rFonts w:hint="eastAsia" w:ascii="Microsoft Yi Baiti" w:eastAsia="Microsoft Yi Baiti"/>
        </w:rPr>
      </w:pPr>
      <w:r>
        <w:t xml:space="preserve">农业机械安全监督管理条例 </w:t>
      </w:r>
      <w:r>
        <w:rPr>
          <w:rFonts w:hint="eastAsia" w:ascii="Microsoft Yi Baiti" w:eastAsia="Microsoft Yi Baiti"/>
        </w:rPr>
        <w:t>(</w:t>
      </w:r>
      <w:r>
        <w:rPr>
          <w:rFonts w:hint="eastAsia" w:ascii="MS UI Gothic" w:eastAsia="MS UI Gothic"/>
        </w:rPr>
        <w:t xml:space="preserve">２０１９ </w:t>
      </w:r>
      <w:r>
        <w:t>年修订</w:t>
      </w:r>
      <w:r>
        <w:rPr>
          <w:rFonts w:hint="eastAsia" w:ascii="Microsoft Yi Baiti" w:eastAsia="Microsoft Yi Baiti"/>
        </w:rPr>
        <w:t>)</w:t>
      </w:r>
    </w:p>
    <w:p>
      <w:pPr>
        <w:pStyle w:val="6"/>
        <w:spacing w:before="366"/>
        <w:ind w:left="0" w:right="442" w:firstLine="0"/>
        <w:jc w:val="right"/>
      </w:pPr>
      <w:r>
        <w:rPr>
          <w:rFonts w:hint="eastAsia" w:ascii="Microsoft Yi Baiti" w:eastAsia="Microsoft Yi Baiti"/>
          <w:spacing w:val="2"/>
        </w:rPr>
        <w:t>(</w:t>
      </w:r>
      <w:r>
        <w:rPr>
          <w:rFonts w:hint="eastAsia" w:ascii="MS UI Gothic" w:eastAsia="MS UI Gothic"/>
          <w:spacing w:val="-6"/>
        </w:rPr>
        <w:t xml:space="preserve">２００９ </w:t>
      </w:r>
      <w:r>
        <w:rPr>
          <w:spacing w:val="-40"/>
        </w:rPr>
        <w:t xml:space="preserve">年 </w:t>
      </w:r>
      <w:r>
        <w:rPr>
          <w:rFonts w:hint="eastAsia" w:ascii="MS UI Gothic" w:eastAsia="MS UI Gothic"/>
          <w:spacing w:val="-18"/>
        </w:rPr>
        <w:t xml:space="preserve">９ </w:t>
      </w:r>
      <w:r>
        <w:rPr>
          <w:spacing w:val="-40"/>
        </w:rPr>
        <w:t xml:space="preserve">月 </w:t>
      </w:r>
      <w:r>
        <w:rPr>
          <w:rFonts w:hint="eastAsia" w:ascii="MS UI Gothic" w:eastAsia="MS UI Gothic"/>
          <w:spacing w:val="-13"/>
        </w:rPr>
        <w:t xml:space="preserve">１７ </w:t>
      </w:r>
      <w:r>
        <w:rPr>
          <w:spacing w:val="-10"/>
        </w:rPr>
        <w:t xml:space="preserve">日国务院令第 </w:t>
      </w:r>
      <w:r>
        <w:rPr>
          <w:rFonts w:hint="eastAsia" w:ascii="MS UI Gothic" w:eastAsia="MS UI Gothic"/>
          <w:spacing w:val="-9"/>
        </w:rPr>
        <w:t xml:space="preserve">５６３ </w:t>
      </w:r>
      <w:r>
        <w:rPr>
          <w:spacing w:val="-21"/>
        </w:rPr>
        <w:t xml:space="preserve">号发布 根据 </w:t>
      </w:r>
      <w:r>
        <w:rPr>
          <w:rFonts w:hint="eastAsia" w:ascii="MS UI Gothic" w:eastAsia="MS UI Gothic"/>
          <w:spacing w:val="-8"/>
        </w:rPr>
        <w:t xml:space="preserve">２０１６ </w:t>
      </w:r>
      <w:r>
        <w:rPr>
          <w:spacing w:val="-40"/>
        </w:rPr>
        <w:t xml:space="preserve">年 </w:t>
      </w:r>
      <w:r>
        <w:rPr>
          <w:rFonts w:hint="eastAsia" w:ascii="MS UI Gothic" w:eastAsia="MS UI Gothic"/>
          <w:spacing w:val="-18"/>
        </w:rPr>
        <w:t xml:space="preserve">２ </w:t>
      </w:r>
      <w:r>
        <w:rPr>
          <w:spacing w:val="-40"/>
        </w:rPr>
        <w:t xml:space="preserve">月 </w:t>
      </w:r>
      <w:r>
        <w:rPr>
          <w:rFonts w:hint="eastAsia" w:ascii="MS UI Gothic" w:eastAsia="MS UI Gothic"/>
          <w:spacing w:val="-19"/>
        </w:rPr>
        <w:t xml:space="preserve">６ </w:t>
      </w:r>
      <w:r>
        <w:rPr>
          <w:spacing w:val="-10"/>
        </w:rPr>
        <w:t xml:space="preserve">日国务院令第 </w:t>
      </w:r>
      <w:r>
        <w:rPr>
          <w:rFonts w:hint="eastAsia" w:ascii="MS UI Gothic" w:eastAsia="MS UI Gothic"/>
          <w:spacing w:val="-10"/>
        </w:rPr>
        <w:t xml:space="preserve">６６６ </w:t>
      </w:r>
      <w:r>
        <w:t>号</w:t>
      </w:r>
    </w:p>
    <w:p>
      <w:pPr>
        <w:pStyle w:val="6"/>
        <w:spacing w:before="58"/>
        <w:ind w:left="0" w:right="442" w:firstLine="0"/>
        <w:jc w:val="right"/>
      </w:pPr>
      <w:r>
        <w:rPr>
          <w:rFonts w:hint="eastAsia" w:ascii="Microsoft Yi Baiti" w:hAnsi="Microsoft Yi Baiti" w:eastAsia="Microsoft Yi Baiti"/>
          <w:spacing w:val="-35"/>
        </w:rPr>
        <w:t xml:space="preserve">« </w:t>
      </w:r>
      <w:r>
        <w:rPr>
          <w:spacing w:val="3"/>
        </w:rPr>
        <w:t>国务院关于修改部分行政法规的决定</w:t>
      </w:r>
      <w:r>
        <w:rPr>
          <w:rFonts w:hint="eastAsia" w:ascii="Microsoft Yi Baiti" w:hAnsi="Microsoft Yi Baiti" w:eastAsia="Microsoft Yi Baiti"/>
          <w:spacing w:val="13"/>
        </w:rPr>
        <w:t xml:space="preserve">» </w:t>
      </w:r>
      <w:r>
        <w:rPr>
          <w:spacing w:val="-11"/>
        </w:rPr>
        <w:t xml:space="preserve">修订 依据 </w:t>
      </w:r>
      <w:r>
        <w:rPr>
          <w:rFonts w:hint="eastAsia" w:ascii="MS UI Gothic" w:hAnsi="MS UI Gothic" w:eastAsia="MS UI Gothic"/>
          <w:spacing w:val="-1"/>
        </w:rPr>
        <w:t xml:space="preserve">２０１９ </w:t>
      </w:r>
      <w:r>
        <w:rPr>
          <w:spacing w:val="-25"/>
        </w:rPr>
        <w:t xml:space="preserve">年 </w:t>
      </w:r>
      <w:r>
        <w:rPr>
          <w:rFonts w:hint="eastAsia" w:ascii="MS UI Gothic" w:hAnsi="MS UI Gothic" w:eastAsia="MS UI Gothic"/>
          <w:spacing w:val="-2"/>
        </w:rPr>
        <w:t xml:space="preserve">３ </w:t>
      </w:r>
      <w:r>
        <w:rPr>
          <w:spacing w:val="-25"/>
        </w:rPr>
        <w:t xml:space="preserve">月 </w:t>
      </w:r>
      <w:r>
        <w:rPr>
          <w:rFonts w:hint="eastAsia" w:ascii="MS UI Gothic" w:hAnsi="MS UI Gothic" w:eastAsia="MS UI Gothic"/>
          <w:spacing w:val="-2"/>
        </w:rPr>
        <w:t xml:space="preserve">２ </w:t>
      </w:r>
      <w:r>
        <w:rPr>
          <w:spacing w:val="-1"/>
        </w:rPr>
        <w:t xml:space="preserve">日国务院令第 </w:t>
      </w:r>
      <w:r>
        <w:rPr>
          <w:rFonts w:hint="eastAsia" w:ascii="MS UI Gothic" w:hAnsi="MS UI Gothic" w:eastAsia="MS UI Gothic"/>
          <w:spacing w:val="-1"/>
        </w:rPr>
        <w:t xml:space="preserve">７０９ </w:t>
      </w:r>
      <w:r>
        <w:t>号</w:t>
      </w:r>
    </w:p>
    <w:p>
      <w:pPr>
        <w:pStyle w:val="6"/>
        <w:spacing w:before="59"/>
        <w:ind w:firstLine="0"/>
        <w:jc w:val="left"/>
        <w:rPr>
          <w:rFonts w:hint="eastAsia" w:ascii="Microsoft Yi Baiti" w:hAnsi="Microsoft Yi Baiti" w:eastAsia="Microsoft Yi Baiti"/>
        </w:rPr>
      </w:pPr>
      <w:r>
        <w:rPr>
          <w:rFonts w:hint="eastAsia" w:ascii="Microsoft Yi Baiti" w:hAnsi="Microsoft Yi Baiti" w:eastAsia="Microsoft Yi Baiti"/>
          <w:w w:val="110"/>
        </w:rPr>
        <w:t xml:space="preserve">« </w:t>
      </w:r>
      <w:r>
        <w:rPr>
          <w:w w:val="110"/>
        </w:rPr>
        <w:t>国务院关于修改部分行政法规的决定</w:t>
      </w:r>
      <w:r>
        <w:rPr>
          <w:rFonts w:hint="eastAsia" w:ascii="Microsoft Yi Baiti" w:hAnsi="Microsoft Yi Baiti" w:eastAsia="Microsoft Yi Baiti"/>
          <w:w w:val="110"/>
        </w:rPr>
        <w:t xml:space="preserve">» </w:t>
      </w:r>
      <w:r>
        <w:rPr>
          <w:w w:val="110"/>
        </w:rPr>
        <w:t>修订</w:t>
      </w:r>
      <w:r>
        <w:rPr>
          <w:rFonts w:hint="eastAsia" w:ascii="Microsoft Yi Baiti" w:hAnsi="Microsoft Yi Baiti" w:eastAsia="Microsoft Yi Baiti"/>
          <w:w w:val="110"/>
        </w:rPr>
        <w:t>)</w:t>
      </w:r>
    </w:p>
    <w:p>
      <w:pPr>
        <w:pStyle w:val="6"/>
        <w:spacing w:before="2"/>
        <w:ind w:left="0" w:firstLine="0"/>
        <w:jc w:val="left"/>
        <w:rPr>
          <w:rFonts w:ascii="Microsoft Yi Baiti"/>
          <w:sz w:val="19"/>
        </w:rPr>
      </w:pPr>
    </w:p>
    <w:p>
      <w:pPr>
        <w:spacing w:after="0"/>
        <w:jc w:val="left"/>
        <w:rPr>
          <w:rFonts w:ascii="Microsoft Yi Baiti"/>
          <w:sz w:val="19"/>
        </w:rPr>
        <w:sectPr>
          <w:type w:val="continuous"/>
          <w:pgSz w:w="10500" w:h="14750"/>
          <w:pgMar w:top="1400" w:right="980" w:bottom="280" w:left="980" w:header="720" w:footer="720" w:gutter="0"/>
        </w:sectPr>
      </w:pPr>
    </w:p>
    <w:p>
      <w:pPr>
        <w:pStyle w:val="6"/>
        <w:spacing w:before="3"/>
        <w:ind w:left="0" w:firstLine="0"/>
        <w:jc w:val="left"/>
        <w:rPr>
          <w:rFonts w:ascii="Microsoft Yi Baiti"/>
          <w:sz w:val="32"/>
        </w:rPr>
      </w:pPr>
    </w:p>
    <w:p>
      <w:pPr>
        <w:pStyle w:val="6"/>
        <w:tabs>
          <w:tab w:val="left" w:pos="2011"/>
          <w:tab w:val="left" w:pos="2639"/>
        </w:tabs>
        <w:spacing w:before="1"/>
        <w:ind w:left="1172" w:firstLine="0"/>
        <w:jc w:val="left"/>
      </w:pPr>
      <w:r>
        <w:rPr>
          <w:spacing w:val="3"/>
          <w:w w:val="105"/>
        </w:rPr>
        <w:t>第一</w:t>
      </w:r>
      <w:r>
        <w:rPr>
          <w:w w:val="105"/>
        </w:rPr>
        <w:t>章</w:t>
      </w:r>
      <w:r>
        <w:rPr>
          <w:w w:val="105"/>
        </w:rPr>
        <w:tab/>
      </w:r>
      <w:r>
        <w:rPr>
          <w:w w:val="105"/>
        </w:rPr>
        <w:t>总</w:t>
      </w:r>
      <w:r>
        <w:rPr>
          <w:w w:val="105"/>
        </w:rPr>
        <w:tab/>
      </w:r>
      <w:r>
        <w:rPr>
          <w:w w:val="105"/>
        </w:rPr>
        <w:t>则</w:t>
      </w:r>
    </w:p>
    <w:p>
      <w:pPr>
        <w:pStyle w:val="6"/>
        <w:spacing w:before="215" w:line="292" w:lineRule="auto"/>
        <w:ind w:right="38"/>
        <w:rPr>
          <w:rFonts w:hint="eastAsia" w:ascii="MS UI Gothic" w:eastAsia="MS UI Gothic"/>
        </w:rPr>
      </w:pPr>
      <w:r>
        <w:t>第一条 为了加强农业机械安全监督管理</w:t>
      </w:r>
      <w:r>
        <w:rPr>
          <w:rFonts w:hint="eastAsia" w:ascii="MS UI Gothic" w:eastAsia="MS UI Gothic"/>
          <w:w w:val="80"/>
        </w:rPr>
        <w:t xml:space="preserve">ꎬ </w:t>
      </w:r>
      <w:r>
        <w:t>预防和减少农业机械事故</w:t>
      </w:r>
      <w:r>
        <w:rPr>
          <w:rFonts w:hint="eastAsia" w:ascii="MS UI Gothic" w:eastAsia="MS UI Gothic"/>
          <w:w w:val="80"/>
        </w:rPr>
        <w:t xml:space="preserve">ꎬ </w:t>
      </w:r>
      <w:r>
        <w:t>保障人民生命和财产安全</w:t>
      </w:r>
      <w:r>
        <w:rPr>
          <w:rFonts w:hint="eastAsia" w:ascii="MS UI Gothic" w:eastAsia="MS UI Gothic"/>
          <w:w w:val="80"/>
        </w:rPr>
        <w:t xml:space="preserve">ꎬ </w:t>
      </w:r>
      <w:r>
        <w:t>制定本条例</w:t>
      </w:r>
      <w:r>
        <w:rPr>
          <w:rFonts w:hint="eastAsia" w:ascii="MS UI Gothic" w:eastAsia="MS UI Gothic"/>
          <w:w w:val="80"/>
        </w:rPr>
        <w:t>ꎮ</w:t>
      </w:r>
    </w:p>
    <w:p>
      <w:pPr>
        <w:pStyle w:val="6"/>
        <w:spacing w:line="292" w:lineRule="auto"/>
        <w:ind w:right="38"/>
        <w:rPr>
          <w:rFonts w:hint="eastAsia" w:ascii="MS UI Gothic" w:eastAsia="MS UI Gothic"/>
        </w:rPr>
      </w:pPr>
      <w:r>
        <w:t>第二条 在中华人民共和国境内从事农业机械的生产</w:t>
      </w:r>
      <w:r>
        <w:rPr>
          <w:rFonts w:hint="eastAsia" w:ascii="MS UI Gothic" w:eastAsia="MS UI Gothic"/>
          <w:w w:val="80"/>
        </w:rPr>
        <w:t xml:space="preserve">、 </w:t>
      </w:r>
      <w:r>
        <w:t>销售</w:t>
      </w:r>
      <w:r>
        <w:rPr>
          <w:rFonts w:hint="eastAsia" w:ascii="MS UI Gothic" w:eastAsia="MS UI Gothic"/>
          <w:w w:val="80"/>
        </w:rPr>
        <w:t xml:space="preserve">、 </w:t>
      </w:r>
      <w:r>
        <w:t>维修</w:t>
      </w:r>
      <w:r>
        <w:rPr>
          <w:rFonts w:hint="eastAsia" w:ascii="MS UI Gothic" w:eastAsia="MS UI Gothic"/>
          <w:w w:val="80"/>
        </w:rPr>
        <w:t xml:space="preserve">、 </w:t>
      </w:r>
      <w:r>
        <w:t>使用操作以及安全监督管理等活动</w:t>
      </w:r>
      <w:r>
        <w:rPr>
          <w:rFonts w:hint="eastAsia" w:ascii="MS UI Gothic" w:eastAsia="MS UI Gothic"/>
          <w:w w:val="80"/>
        </w:rPr>
        <w:t xml:space="preserve">ꎬ </w:t>
      </w:r>
      <w:r>
        <w:t>应当遵守本条例</w:t>
      </w:r>
      <w:r>
        <w:rPr>
          <w:rFonts w:hint="eastAsia" w:ascii="MS UI Gothic" w:eastAsia="MS UI Gothic"/>
          <w:w w:val="80"/>
        </w:rPr>
        <w:t>ꎮ</w:t>
      </w:r>
    </w:p>
    <w:p>
      <w:pPr>
        <w:pStyle w:val="6"/>
        <w:spacing w:line="292" w:lineRule="auto"/>
        <w:ind w:right="38"/>
        <w:rPr>
          <w:rFonts w:hint="eastAsia" w:ascii="MS UI Gothic" w:eastAsia="MS UI Gothic"/>
        </w:rPr>
      </w:pPr>
      <w:r>
        <w:t>本条例所称农业机械</w:t>
      </w:r>
      <w:r>
        <w:rPr>
          <w:rFonts w:hint="eastAsia" w:ascii="MS UI Gothic" w:eastAsia="MS UI Gothic"/>
          <w:w w:val="80"/>
        </w:rPr>
        <w:t xml:space="preserve">ꎬ </w:t>
      </w:r>
      <w:r>
        <w:t>是指用于农业生产及其产品初加工等相关农事活动的机械</w:t>
      </w:r>
      <w:r>
        <w:rPr>
          <w:rFonts w:hint="eastAsia" w:ascii="MS UI Gothic" w:eastAsia="MS UI Gothic"/>
          <w:w w:val="80"/>
        </w:rPr>
        <w:t xml:space="preserve">、 </w:t>
      </w:r>
      <w:r>
        <w:t>设备</w:t>
      </w:r>
      <w:r>
        <w:rPr>
          <w:rFonts w:hint="eastAsia" w:ascii="MS UI Gothic" w:eastAsia="MS UI Gothic"/>
          <w:w w:val="80"/>
        </w:rPr>
        <w:t>ꎮ</w:t>
      </w:r>
    </w:p>
    <w:p>
      <w:pPr>
        <w:pStyle w:val="6"/>
        <w:spacing w:line="292" w:lineRule="auto"/>
        <w:ind w:right="38"/>
        <w:rPr>
          <w:rFonts w:hint="eastAsia" w:ascii="MS UI Gothic" w:eastAsia="MS UI Gothic"/>
        </w:rPr>
      </w:pPr>
      <w:r>
        <w:t>第三条 农业机械安全监督管理应当遵循以人为本</w:t>
      </w:r>
      <w:r>
        <w:rPr>
          <w:rFonts w:hint="eastAsia" w:ascii="MS UI Gothic" w:eastAsia="MS UI Gothic"/>
          <w:w w:val="80"/>
        </w:rPr>
        <w:t xml:space="preserve">、 </w:t>
      </w:r>
      <w:r>
        <w:t>预防事故</w:t>
      </w:r>
      <w:r>
        <w:rPr>
          <w:rFonts w:hint="eastAsia" w:ascii="MS UI Gothic" w:eastAsia="MS UI Gothic"/>
          <w:w w:val="80"/>
        </w:rPr>
        <w:t xml:space="preserve">、 </w:t>
      </w:r>
      <w:r>
        <w:t>保障安全</w:t>
      </w:r>
      <w:r>
        <w:rPr>
          <w:rFonts w:hint="eastAsia" w:ascii="MS UI Gothic" w:eastAsia="MS UI Gothic"/>
          <w:w w:val="80"/>
        </w:rPr>
        <w:t xml:space="preserve">、 </w:t>
      </w:r>
      <w:r>
        <w:t>促进发展的原则</w:t>
      </w:r>
      <w:r>
        <w:rPr>
          <w:rFonts w:hint="eastAsia" w:ascii="MS UI Gothic" w:eastAsia="MS UI Gothic"/>
          <w:w w:val="80"/>
        </w:rPr>
        <w:t>ꎮ</w:t>
      </w:r>
    </w:p>
    <w:p>
      <w:pPr>
        <w:pStyle w:val="6"/>
        <w:spacing w:line="292" w:lineRule="auto"/>
        <w:ind w:right="38"/>
        <w:rPr>
          <w:rFonts w:hint="eastAsia" w:ascii="MS UI Gothic" w:eastAsia="MS UI Gothic"/>
        </w:rPr>
      </w:pPr>
      <w:r>
        <w:t>第四条 县级以上人民政府应当加强对农业机械安全监督管理工作的领导</w:t>
      </w:r>
      <w:r>
        <w:rPr>
          <w:rFonts w:hint="eastAsia" w:ascii="MS UI Gothic" w:eastAsia="MS UI Gothic"/>
          <w:w w:val="80"/>
        </w:rPr>
        <w:t xml:space="preserve">ꎬ </w:t>
      </w:r>
      <w:r>
        <w:t>完善农业机械安全监督管理体系</w:t>
      </w:r>
      <w:r>
        <w:rPr>
          <w:rFonts w:hint="eastAsia" w:ascii="MS UI Gothic" w:eastAsia="MS UI Gothic"/>
          <w:w w:val="80"/>
        </w:rPr>
        <w:t xml:space="preserve">ꎬ </w:t>
      </w:r>
      <w:r>
        <w:t>增加对农民购买农业机械的补贴</w:t>
      </w:r>
      <w:r>
        <w:rPr>
          <w:rFonts w:hint="eastAsia" w:ascii="MS UI Gothic" w:eastAsia="MS UI Gothic"/>
          <w:w w:val="80"/>
        </w:rPr>
        <w:t xml:space="preserve">ꎬ </w:t>
      </w:r>
      <w:r>
        <w:t>保障农业机械安全的财政投入</w:t>
      </w:r>
      <w:r>
        <w:rPr>
          <w:rFonts w:hint="eastAsia" w:ascii="MS UI Gothic" w:eastAsia="MS UI Gothic"/>
          <w:w w:val="80"/>
        </w:rPr>
        <w:t xml:space="preserve">ꎬ </w:t>
      </w:r>
      <w:r>
        <w:t>建立健全农业机械安全生产责任制</w:t>
      </w:r>
      <w:r>
        <w:rPr>
          <w:rFonts w:hint="eastAsia" w:ascii="MS UI Gothic" w:eastAsia="MS UI Gothic"/>
          <w:w w:val="80"/>
        </w:rPr>
        <w:t>ꎮ</w:t>
      </w:r>
    </w:p>
    <w:p>
      <w:pPr>
        <w:pStyle w:val="6"/>
        <w:spacing w:line="292" w:lineRule="auto"/>
        <w:ind w:right="38"/>
        <w:rPr>
          <w:rFonts w:hint="eastAsia" w:ascii="MS UI Gothic" w:eastAsia="MS UI Gothic"/>
        </w:rPr>
      </w:pPr>
      <w:r>
        <w:rPr>
          <w:w w:val="105"/>
        </w:rPr>
        <w:t>第五条 国务院有关部门和地方各级人民政府</w:t>
      </w:r>
      <w:r>
        <w:rPr>
          <w:rFonts w:hint="eastAsia" w:ascii="MS UI Gothic" w:eastAsia="MS UI Gothic"/>
          <w:w w:val="80"/>
        </w:rPr>
        <w:t xml:space="preserve">、 </w:t>
      </w:r>
      <w:r>
        <w:rPr>
          <w:w w:val="105"/>
        </w:rPr>
        <w:t>有关部门应当加强农业机械安全法律</w:t>
      </w:r>
      <w:r>
        <w:rPr>
          <w:rFonts w:hint="eastAsia" w:ascii="MS UI Gothic" w:eastAsia="MS UI Gothic"/>
          <w:w w:val="80"/>
        </w:rPr>
        <w:t xml:space="preserve">、 </w:t>
      </w:r>
      <w:r>
        <w:rPr>
          <w:w w:val="105"/>
        </w:rPr>
        <w:t>法规</w:t>
      </w:r>
      <w:r>
        <w:rPr>
          <w:rFonts w:hint="eastAsia" w:ascii="MS UI Gothic" w:eastAsia="MS UI Gothic"/>
          <w:w w:val="80"/>
        </w:rPr>
        <w:t xml:space="preserve">、 </w:t>
      </w:r>
      <w:r>
        <w:rPr>
          <w:w w:val="105"/>
        </w:rPr>
        <w:t>标准和知识的宣传教育</w:t>
      </w:r>
      <w:r>
        <w:rPr>
          <w:rFonts w:hint="eastAsia" w:ascii="MS UI Gothic" w:eastAsia="MS UI Gothic"/>
          <w:w w:val="80"/>
        </w:rPr>
        <w:t>ꎮ</w:t>
      </w:r>
    </w:p>
    <w:p>
      <w:pPr>
        <w:pStyle w:val="6"/>
        <w:spacing w:line="292" w:lineRule="auto"/>
        <w:ind w:right="38"/>
        <w:rPr>
          <w:rFonts w:hint="eastAsia" w:ascii="MS UI Gothic" w:eastAsia="MS UI Gothic"/>
        </w:rPr>
      </w:pPr>
      <w:r>
        <w:rPr>
          <w:w w:val="105"/>
        </w:rPr>
        <w:t>农业生产经营组织</w:t>
      </w:r>
      <w:r>
        <w:rPr>
          <w:rFonts w:hint="eastAsia" w:ascii="MS UI Gothic" w:eastAsia="MS UI Gothic"/>
          <w:w w:val="80"/>
        </w:rPr>
        <w:t xml:space="preserve">、 </w:t>
      </w:r>
      <w:r>
        <w:rPr>
          <w:w w:val="105"/>
        </w:rPr>
        <w:t>农业机械所有人</w:t>
      </w:r>
      <w:r>
        <w:t>应当对农业机械操作人员及相关人员进行农业机械安全使用教育</w:t>
      </w:r>
      <w:r>
        <w:rPr>
          <w:rFonts w:hint="eastAsia" w:ascii="MS UI Gothic" w:eastAsia="MS UI Gothic"/>
          <w:w w:val="80"/>
        </w:rPr>
        <w:t xml:space="preserve">ꎬ </w:t>
      </w:r>
      <w:r>
        <w:t>提高其安全</w:t>
      </w:r>
      <w:r>
        <w:rPr>
          <w:w w:val="105"/>
        </w:rPr>
        <w:t>意识</w:t>
      </w:r>
      <w:r>
        <w:rPr>
          <w:rFonts w:hint="eastAsia" w:ascii="MS UI Gothic" w:eastAsia="MS UI Gothic"/>
          <w:w w:val="80"/>
        </w:rPr>
        <w:t>ꎮ</w:t>
      </w:r>
    </w:p>
    <w:p>
      <w:pPr>
        <w:pStyle w:val="6"/>
        <w:spacing w:line="292" w:lineRule="auto"/>
        <w:ind w:right="38"/>
      </w:pPr>
      <w:r>
        <w:t>第六条  国家鼓励和支持开发</w:t>
      </w:r>
      <w:r>
        <w:rPr>
          <w:rFonts w:hint="eastAsia" w:ascii="MS UI Gothic" w:eastAsia="MS UI Gothic"/>
          <w:w w:val="80"/>
        </w:rPr>
        <w:t xml:space="preserve">、  </w:t>
      </w:r>
      <w:r>
        <w:t>生产</w:t>
      </w:r>
      <w:r>
        <w:rPr>
          <w:rFonts w:hint="eastAsia" w:ascii="MS UI Gothic" w:eastAsia="MS UI Gothic"/>
          <w:w w:val="80"/>
        </w:rPr>
        <w:t xml:space="preserve">、 </w:t>
      </w:r>
      <w:r>
        <w:t>推广</w:t>
      </w:r>
      <w:r>
        <w:rPr>
          <w:rFonts w:hint="eastAsia" w:ascii="MS UI Gothic" w:eastAsia="MS UI Gothic"/>
          <w:w w:val="80"/>
        </w:rPr>
        <w:t xml:space="preserve">、 </w:t>
      </w:r>
      <w:r>
        <w:t>应用先进适用</w:t>
      </w:r>
      <w:r>
        <w:rPr>
          <w:rFonts w:hint="eastAsia" w:ascii="MS UI Gothic" w:eastAsia="MS UI Gothic"/>
          <w:w w:val="80"/>
        </w:rPr>
        <w:t xml:space="preserve">、 </w:t>
      </w:r>
      <w:r>
        <w:t>安全可靠</w:t>
      </w:r>
      <w:r>
        <w:rPr>
          <w:rFonts w:hint="eastAsia" w:ascii="MS UI Gothic" w:eastAsia="MS UI Gothic"/>
          <w:w w:val="80"/>
        </w:rPr>
        <w:t xml:space="preserve">、  </w:t>
      </w:r>
      <w:r>
        <w:t>节能环保的农业机械</w:t>
      </w:r>
      <w:r>
        <w:rPr>
          <w:rFonts w:hint="eastAsia" w:ascii="MS UI Gothic" w:eastAsia="MS UI Gothic"/>
          <w:w w:val="80"/>
        </w:rPr>
        <w:t xml:space="preserve">ꎬ </w:t>
      </w:r>
      <w:r>
        <w:t>建立健全农业机械安</w:t>
      </w:r>
    </w:p>
    <w:p>
      <w:pPr>
        <w:pStyle w:val="6"/>
        <w:spacing w:before="175"/>
        <w:ind w:firstLine="0"/>
        <w:jc w:val="left"/>
        <w:rPr>
          <w:rFonts w:hint="eastAsia" w:ascii="MS UI Gothic" w:eastAsia="MS UI Gothic"/>
        </w:rPr>
      </w:pPr>
      <w:r>
        <w:br w:type="column"/>
      </w:r>
      <w:r>
        <w:t>全技术标准和安全操作规程</w:t>
      </w:r>
      <w:r>
        <w:rPr>
          <w:rFonts w:hint="eastAsia" w:ascii="MS UI Gothic" w:eastAsia="MS UI Gothic"/>
          <w:w w:val="80"/>
        </w:rPr>
        <w:t>ꎮ</w:t>
      </w:r>
    </w:p>
    <w:p>
      <w:pPr>
        <w:pStyle w:val="6"/>
        <w:spacing w:before="56" w:line="292" w:lineRule="auto"/>
        <w:ind w:right="442"/>
        <w:rPr>
          <w:rFonts w:hint="eastAsia" w:ascii="MS UI Gothic" w:eastAsia="MS UI Gothic"/>
        </w:rPr>
      </w:pPr>
      <w:r>
        <w:rPr>
          <w:w w:val="105"/>
        </w:rPr>
        <w:t>第七条 国家鼓励农业机械操作人员</w:t>
      </w:r>
      <w:r>
        <w:rPr>
          <w:rFonts w:hint="eastAsia" w:ascii="MS UI Gothic" w:eastAsia="MS UI Gothic"/>
          <w:w w:val="80"/>
        </w:rPr>
        <w:t xml:space="preserve">、 </w:t>
      </w:r>
      <w:r>
        <w:rPr>
          <w:w w:val="105"/>
        </w:rPr>
        <w:t>维修技术人员参加职业技能培训和依</w:t>
      </w:r>
      <w:r>
        <w:t>法成立安全互助组织</w:t>
      </w:r>
      <w:r>
        <w:rPr>
          <w:rFonts w:hint="eastAsia" w:ascii="MS UI Gothic" w:eastAsia="MS UI Gothic"/>
          <w:w w:val="80"/>
        </w:rPr>
        <w:t xml:space="preserve">ꎬ </w:t>
      </w:r>
      <w:r>
        <w:t>提高农业机械安全</w:t>
      </w:r>
      <w:r>
        <w:rPr>
          <w:w w:val="105"/>
        </w:rPr>
        <w:t>操作水平</w:t>
      </w:r>
      <w:r>
        <w:rPr>
          <w:rFonts w:hint="eastAsia" w:ascii="MS UI Gothic" w:eastAsia="MS UI Gothic"/>
          <w:w w:val="80"/>
        </w:rPr>
        <w:t>ꎮ</w:t>
      </w:r>
    </w:p>
    <w:p>
      <w:pPr>
        <w:pStyle w:val="6"/>
        <w:spacing w:line="292" w:lineRule="auto"/>
        <w:ind w:right="442"/>
        <w:rPr>
          <w:rFonts w:hint="eastAsia" w:ascii="MS UI Gothic" w:eastAsia="MS UI Gothic"/>
        </w:rPr>
      </w:pPr>
      <w:r>
        <w:rPr>
          <w:w w:val="105"/>
        </w:rPr>
        <w:t>第八条 国家建立落后农业机械淘汰</w:t>
      </w:r>
      <w:r>
        <w:t>制度和危及人身财产安全的农业机械报废制度</w:t>
      </w:r>
      <w:r>
        <w:rPr>
          <w:rFonts w:hint="eastAsia" w:ascii="MS UI Gothic" w:eastAsia="MS UI Gothic"/>
          <w:w w:val="80"/>
        </w:rPr>
        <w:t xml:space="preserve">ꎬ </w:t>
      </w:r>
      <w:r>
        <w:t>并对淘汰和报废的农业机械依法实</w:t>
      </w:r>
      <w:r>
        <w:rPr>
          <w:w w:val="105"/>
        </w:rPr>
        <w:t>行回收</w:t>
      </w:r>
      <w:r>
        <w:rPr>
          <w:rFonts w:hint="eastAsia" w:ascii="MS UI Gothic" w:eastAsia="MS UI Gothic"/>
          <w:w w:val="80"/>
        </w:rPr>
        <w:t>ꎮ</w:t>
      </w:r>
    </w:p>
    <w:p>
      <w:pPr>
        <w:pStyle w:val="6"/>
        <w:spacing w:line="292" w:lineRule="auto"/>
        <w:ind w:right="442"/>
        <w:rPr>
          <w:rFonts w:hint="eastAsia" w:ascii="MS UI Gothic" w:eastAsia="MS UI Gothic"/>
        </w:rPr>
      </w:pPr>
      <w:r>
        <w:rPr>
          <w:w w:val="105"/>
        </w:rPr>
        <w:t>第九条 国务院农业机械化主管部门</w:t>
      </w:r>
      <w:r>
        <w:rPr>
          <w:rFonts w:hint="eastAsia" w:ascii="MS UI Gothic" w:eastAsia="MS UI Gothic"/>
          <w:w w:val="80"/>
        </w:rPr>
        <w:t xml:space="preserve">、 </w:t>
      </w:r>
      <w:r>
        <w:rPr>
          <w:w w:val="105"/>
        </w:rPr>
        <w:t>工业主管部门</w:t>
      </w:r>
      <w:r>
        <w:rPr>
          <w:rFonts w:hint="eastAsia" w:ascii="MS UI Gothic" w:eastAsia="MS UI Gothic"/>
          <w:w w:val="80"/>
        </w:rPr>
        <w:t xml:space="preserve">、 </w:t>
      </w:r>
      <w:r>
        <w:rPr>
          <w:w w:val="105"/>
        </w:rPr>
        <w:t>市场监督管理部门等</w:t>
      </w:r>
      <w:r>
        <w:t>有关部门依照本条例和国务院规定的职</w:t>
      </w:r>
      <w:r>
        <w:rPr>
          <w:w w:val="105"/>
        </w:rPr>
        <w:t>责</w:t>
      </w:r>
      <w:r>
        <w:rPr>
          <w:rFonts w:hint="eastAsia" w:ascii="MS UI Gothic" w:eastAsia="MS UI Gothic"/>
          <w:w w:val="80"/>
        </w:rPr>
        <w:t xml:space="preserve">ꎬ </w:t>
      </w:r>
      <w:r>
        <w:rPr>
          <w:w w:val="105"/>
        </w:rPr>
        <w:t>负责农业机械安全监督管理工作</w:t>
      </w:r>
      <w:r>
        <w:rPr>
          <w:rFonts w:hint="eastAsia" w:ascii="MS UI Gothic" w:eastAsia="MS UI Gothic"/>
          <w:w w:val="80"/>
        </w:rPr>
        <w:t>ꎮ</w:t>
      </w:r>
    </w:p>
    <w:p>
      <w:pPr>
        <w:pStyle w:val="6"/>
        <w:spacing w:line="292" w:lineRule="auto"/>
        <w:ind w:right="442"/>
        <w:rPr>
          <w:rFonts w:hint="eastAsia" w:ascii="MS UI Gothic" w:eastAsia="MS UI Gothic"/>
        </w:rPr>
      </w:pPr>
      <w:r>
        <w:t>县级以上地方人民政府农业机械化主</w:t>
      </w:r>
      <w:r>
        <w:rPr>
          <w:w w:val="105"/>
        </w:rPr>
        <w:t>管部门</w:t>
      </w:r>
      <w:r>
        <w:rPr>
          <w:rFonts w:hint="eastAsia" w:ascii="MS UI Gothic" w:eastAsia="MS UI Gothic"/>
          <w:w w:val="80"/>
        </w:rPr>
        <w:t xml:space="preserve">、 </w:t>
      </w:r>
      <w:r>
        <w:rPr>
          <w:w w:val="105"/>
        </w:rPr>
        <w:t>工业主管部门和市场监督管理部</w:t>
      </w:r>
      <w:r>
        <w:t>门等有关部门按照各自职责</w:t>
      </w:r>
      <w:r>
        <w:rPr>
          <w:rFonts w:hint="eastAsia" w:ascii="MS UI Gothic" w:eastAsia="MS UI Gothic"/>
          <w:w w:val="80"/>
        </w:rPr>
        <w:t xml:space="preserve">ꎬ </w:t>
      </w:r>
      <w:r>
        <w:t>负责本行政</w:t>
      </w:r>
      <w:r>
        <w:rPr>
          <w:w w:val="105"/>
        </w:rPr>
        <w:t>区域的农业机械安全监督管理工作</w:t>
      </w:r>
      <w:r>
        <w:rPr>
          <w:rFonts w:hint="eastAsia" w:ascii="MS UI Gothic" w:eastAsia="MS UI Gothic"/>
          <w:w w:val="80"/>
        </w:rPr>
        <w:t>ꎮ</w:t>
      </w:r>
    </w:p>
    <w:p>
      <w:pPr>
        <w:pStyle w:val="6"/>
        <w:tabs>
          <w:tab w:val="left" w:pos="1591"/>
        </w:tabs>
        <w:spacing w:before="147"/>
        <w:ind w:left="753" w:firstLine="0"/>
        <w:jc w:val="left"/>
      </w:pPr>
      <w:r>
        <w:rPr>
          <w:spacing w:val="3"/>
        </w:rPr>
        <w:t>第二</w:t>
      </w:r>
      <w:r>
        <w:t>章</w:t>
      </w:r>
      <w:r>
        <w:tab/>
      </w:r>
      <w:r>
        <w:rPr>
          <w:spacing w:val="3"/>
        </w:rPr>
        <w:t>生产</w:t>
      </w:r>
      <w:r>
        <w:rPr>
          <w:rFonts w:hint="eastAsia" w:ascii="Microsoft Yi Baiti" w:eastAsia="Microsoft Yi Baiti"/>
        </w:rPr>
        <w:t>、</w:t>
      </w:r>
      <w:r>
        <w:rPr>
          <w:rFonts w:hint="eastAsia" w:ascii="Microsoft Yi Baiti" w:eastAsia="Microsoft Yi Baiti"/>
          <w:spacing w:val="18"/>
        </w:rPr>
        <w:t xml:space="preserve"> </w:t>
      </w:r>
      <w:r>
        <w:rPr>
          <w:spacing w:val="3"/>
        </w:rPr>
        <w:t>销售和维</w:t>
      </w:r>
      <w:r>
        <w:t>修</w:t>
      </w:r>
    </w:p>
    <w:p>
      <w:pPr>
        <w:pStyle w:val="6"/>
        <w:spacing w:before="215" w:line="290" w:lineRule="auto"/>
        <w:ind w:right="442"/>
        <w:rPr>
          <w:rFonts w:hint="eastAsia" w:ascii="MS UI Gothic" w:eastAsia="MS UI Gothic"/>
        </w:rPr>
      </w:pPr>
      <w:r>
        <w:rPr>
          <w:w w:val="105"/>
        </w:rPr>
        <w:t>第十条 国务院工业主管部门负责制</w:t>
      </w:r>
      <w:r>
        <w:t>定并组织实施农业机械工业产业政策和有</w:t>
      </w:r>
      <w:r>
        <w:rPr>
          <w:w w:val="105"/>
        </w:rPr>
        <w:t>关规划</w:t>
      </w:r>
      <w:r>
        <w:rPr>
          <w:rFonts w:hint="eastAsia" w:ascii="MS UI Gothic" w:eastAsia="MS UI Gothic"/>
          <w:w w:val="80"/>
        </w:rPr>
        <w:t>ꎮ</w:t>
      </w:r>
    </w:p>
    <w:p>
      <w:pPr>
        <w:pStyle w:val="6"/>
        <w:spacing w:before="3" w:line="292" w:lineRule="auto"/>
        <w:ind w:right="442"/>
        <w:rPr>
          <w:rFonts w:hint="eastAsia" w:ascii="MS UI Gothic" w:eastAsia="MS UI Gothic"/>
        </w:rPr>
      </w:pPr>
      <w:r>
        <w:t>国务院标准化主管部门负责制定发布农业机械安全技术国家标准</w:t>
      </w:r>
      <w:r>
        <w:rPr>
          <w:rFonts w:hint="eastAsia" w:ascii="MS UI Gothic" w:eastAsia="MS UI Gothic"/>
          <w:w w:val="80"/>
        </w:rPr>
        <w:t xml:space="preserve">ꎬ </w:t>
      </w:r>
      <w:r>
        <w:t>并根据实际情况及时修订</w:t>
      </w:r>
      <w:r>
        <w:rPr>
          <w:rFonts w:hint="eastAsia" w:ascii="MS UI Gothic" w:eastAsia="MS UI Gothic"/>
          <w:w w:val="80"/>
        </w:rPr>
        <w:t xml:space="preserve">ꎮ </w:t>
      </w:r>
      <w:r>
        <w:t>农业机械安全技术标准是</w:t>
      </w:r>
      <w:r>
        <w:rPr>
          <w:w w:val="105"/>
        </w:rPr>
        <w:t>强制执行的标准</w:t>
      </w:r>
      <w:r>
        <w:rPr>
          <w:rFonts w:hint="eastAsia" w:ascii="MS UI Gothic" w:eastAsia="MS UI Gothic"/>
          <w:w w:val="80"/>
        </w:rPr>
        <w:t>ꎮ</w:t>
      </w:r>
    </w:p>
    <w:p>
      <w:pPr>
        <w:pStyle w:val="6"/>
        <w:spacing w:line="292" w:lineRule="auto"/>
        <w:ind w:right="442"/>
        <w:rPr>
          <w:rFonts w:hint="eastAsia" w:ascii="MS UI Gothic" w:eastAsia="MS UI Gothic"/>
        </w:rPr>
      </w:pPr>
      <w:r>
        <w:rPr>
          <w:w w:val="105"/>
        </w:rPr>
        <w:t>第十一条 农业机械生产者应当依据</w:t>
      </w:r>
      <w:r>
        <w:t>农业机械工业产业政策和有关规划</w:t>
      </w:r>
      <w:r>
        <w:rPr>
          <w:rFonts w:hint="eastAsia" w:ascii="MS UI Gothic" w:eastAsia="MS UI Gothic"/>
          <w:w w:val="80"/>
        </w:rPr>
        <w:t xml:space="preserve">ꎬ </w:t>
      </w:r>
      <w:r>
        <w:t>按照农业机械安全技术标准组织生产</w:t>
      </w:r>
      <w:r>
        <w:rPr>
          <w:rFonts w:hint="eastAsia" w:ascii="MS UI Gothic" w:eastAsia="MS UI Gothic"/>
          <w:w w:val="80"/>
        </w:rPr>
        <w:t xml:space="preserve">ꎬ </w:t>
      </w:r>
      <w:r>
        <w:t>并建立</w:t>
      </w:r>
      <w:r>
        <w:rPr>
          <w:w w:val="105"/>
        </w:rPr>
        <w:t>健全质量保障控制体系</w:t>
      </w:r>
      <w:r>
        <w:rPr>
          <w:rFonts w:hint="eastAsia" w:ascii="MS UI Gothic" w:eastAsia="MS UI Gothic"/>
          <w:w w:val="80"/>
        </w:rPr>
        <w:t>ꎮ</w:t>
      </w:r>
    </w:p>
    <w:p>
      <w:pPr>
        <w:pStyle w:val="6"/>
        <w:spacing w:line="256" w:lineRule="exact"/>
        <w:ind w:left="543" w:firstLine="0"/>
        <w:jc w:val="left"/>
      </w:pPr>
      <w:r>
        <w:rPr>
          <w:w w:val="105"/>
        </w:rPr>
        <w:t>对依法实行工业产品生产许可证管理</w:t>
      </w:r>
    </w:p>
    <w:p>
      <w:pPr>
        <w:spacing w:after="0" w:line="256" w:lineRule="exact"/>
        <w:jc w:val="left"/>
        <w:sectPr>
          <w:type w:val="continuous"/>
          <w:pgSz w:w="10500" w:h="14750"/>
          <w:pgMar w:top="1400" w:right="980" w:bottom="280" w:left="980" w:header="720" w:footer="720" w:gutter="0"/>
          <w:cols w:equalWidth="0" w:num="2">
            <w:col w:w="3934" w:space="258"/>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４８３</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47" o:spid="_x0000_s2447" o:spt="203" style="height:2.15pt;width:398.25pt;" coordsize="7965,43">
            <o:lock v:ext="edit"/>
            <v:line id="_x0000_s2448" o:spid="_x0000_s2448" o:spt="20" style="position:absolute;left:0;top:39;height:0;width:7965;" stroked="t" coordsize="21600,21600">
              <v:path arrowok="t"/>
              <v:fill focussize="0,0"/>
              <v:stroke weight="0.388031496062992pt" color="#231F20"/>
              <v:imagedata o:title=""/>
              <o:lock v:ext="edit"/>
            </v:line>
            <v:line id="_x0000_s2449" o:spid="_x0000_s2449"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firstLine="0"/>
        <w:jc w:val="left"/>
        <w:rPr>
          <w:rFonts w:hint="eastAsia" w:ascii="MS UI Gothic" w:eastAsia="MS UI Gothic"/>
        </w:rPr>
      </w:pPr>
      <w:r>
        <w:rPr>
          <w:spacing w:val="10"/>
        </w:rPr>
        <w:t>的农业机械</w:t>
      </w:r>
      <w:r>
        <w:rPr>
          <w:rFonts w:hint="eastAsia" w:ascii="MS UI Gothic" w:eastAsia="MS UI Gothic"/>
          <w:spacing w:val="24"/>
          <w:w w:val="80"/>
        </w:rPr>
        <w:t xml:space="preserve">ꎬ </w:t>
      </w:r>
      <w:r>
        <w:rPr>
          <w:spacing w:val="16"/>
        </w:rPr>
        <w:t>其生产者应当取得相应资</w:t>
      </w:r>
      <w:r>
        <w:rPr>
          <w:spacing w:val="3"/>
        </w:rPr>
        <w:t>质</w:t>
      </w:r>
      <w:r>
        <w:rPr>
          <w:rFonts w:hint="eastAsia" w:ascii="MS UI Gothic" w:eastAsia="MS UI Gothic"/>
          <w:spacing w:val="23"/>
          <w:w w:val="80"/>
        </w:rPr>
        <w:t xml:space="preserve">ꎬ </w:t>
      </w:r>
      <w:r>
        <w:rPr>
          <w:spacing w:val="3"/>
        </w:rPr>
        <w:t>并按照许可的范围和条件组织生产</w:t>
      </w:r>
      <w:r>
        <w:rPr>
          <w:rFonts w:hint="eastAsia" w:ascii="MS UI Gothic" w:eastAsia="MS UI Gothic"/>
          <w:w w:val="80"/>
        </w:rPr>
        <w:t>ꎮ</w:t>
      </w:r>
    </w:p>
    <w:p>
      <w:pPr>
        <w:pStyle w:val="6"/>
        <w:spacing w:line="295" w:lineRule="auto"/>
        <w:ind w:left="440"/>
        <w:rPr>
          <w:rFonts w:hint="eastAsia" w:ascii="MS UI Gothic" w:eastAsia="MS UI Gothic"/>
        </w:rPr>
      </w:pPr>
      <w:r>
        <w:rPr>
          <w:spacing w:val="2"/>
          <w:w w:val="105"/>
        </w:rPr>
        <w:t>第十二条 农业机械生产者应当按照</w:t>
      </w:r>
      <w:r>
        <w:rPr>
          <w:spacing w:val="2"/>
        </w:rPr>
        <w:t>农业机械安全技术标准对生产的农业机械</w:t>
      </w:r>
      <w:r>
        <w:rPr>
          <w:spacing w:val="3"/>
        </w:rPr>
        <w:t>进行检验</w:t>
      </w:r>
      <w:r>
        <w:rPr>
          <w:rFonts w:hint="eastAsia" w:ascii="MS UI Gothic" w:eastAsia="MS UI Gothic"/>
          <w:spacing w:val="21"/>
          <w:w w:val="80"/>
        </w:rPr>
        <w:t xml:space="preserve">ꎻ </w:t>
      </w:r>
      <w:r>
        <w:rPr>
          <w:spacing w:val="2"/>
        </w:rPr>
        <w:t>农业机械经检验合格并附具详尽的安全操作说明书和标注安全警示标志</w:t>
      </w:r>
      <w:r>
        <w:rPr>
          <w:spacing w:val="3"/>
        </w:rPr>
        <w:t>后</w:t>
      </w:r>
      <w:r>
        <w:rPr>
          <w:rFonts w:hint="eastAsia" w:ascii="MS UI Gothic" w:eastAsia="MS UI Gothic"/>
          <w:spacing w:val="23"/>
          <w:w w:val="80"/>
        </w:rPr>
        <w:t xml:space="preserve">ꎬ </w:t>
      </w:r>
      <w:r>
        <w:rPr>
          <w:spacing w:val="3"/>
        </w:rPr>
        <w:t>方可出厂销售</w:t>
      </w:r>
      <w:r>
        <w:rPr>
          <w:rFonts w:hint="eastAsia" w:ascii="MS UI Gothic" w:eastAsia="MS UI Gothic"/>
          <w:spacing w:val="23"/>
          <w:w w:val="80"/>
        </w:rPr>
        <w:t xml:space="preserve">ꎻ </w:t>
      </w:r>
      <w:r>
        <w:rPr>
          <w:spacing w:val="2"/>
        </w:rPr>
        <w:t>依法必须进行认证的</w:t>
      </w:r>
      <w:r>
        <w:rPr>
          <w:spacing w:val="3"/>
        </w:rPr>
        <w:t>农业机械</w:t>
      </w:r>
      <w:r>
        <w:rPr>
          <w:rFonts w:hint="eastAsia" w:ascii="MS UI Gothic" w:eastAsia="MS UI Gothic"/>
          <w:spacing w:val="23"/>
          <w:w w:val="80"/>
        </w:rPr>
        <w:t xml:space="preserve">ꎬ </w:t>
      </w:r>
      <w:r>
        <w:rPr>
          <w:spacing w:val="3"/>
        </w:rPr>
        <w:t>在出厂前应当标注认证标志</w:t>
      </w:r>
      <w:r>
        <w:rPr>
          <w:rFonts w:hint="eastAsia" w:ascii="MS UI Gothic" w:eastAsia="MS UI Gothic"/>
          <w:w w:val="80"/>
        </w:rPr>
        <w:t>ꎮ</w:t>
      </w:r>
    </w:p>
    <w:p>
      <w:pPr>
        <w:pStyle w:val="6"/>
        <w:spacing w:line="295" w:lineRule="auto"/>
        <w:ind w:left="440"/>
        <w:rPr>
          <w:rFonts w:hint="eastAsia" w:ascii="MS UI Gothic" w:eastAsia="MS UI Gothic"/>
        </w:rPr>
      </w:pPr>
      <w:r>
        <w:t>上道路行驶的拖拉机</w:t>
      </w:r>
      <w:r>
        <w:rPr>
          <w:rFonts w:hint="eastAsia" w:ascii="MS UI Gothic" w:eastAsia="MS UI Gothic"/>
          <w:w w:val="80"/>
        </w:rPr>
        <w:t xml:space="preserve">ꎬ </w:t>
      </w:r>
      <w:r>
        <w:t>依法必须经过认证的</w:t>
      </w:r>
      <w:r>
        <w:rPr>
          <w:rFonts w:hint="eastAsia" w:ascii="MS UI Gothic" w:eastAsia="MS UI Gothic"/>
          <w:w w:val="80"/>
        </w:rPr>
        <w:t xml:space="preserve">ꎬ </w:t>
      </w:r>
      <w:r>
        <w:t>在出厂前应当标注认证标志</w:t>
      </w:r>
      <w:r>
        <w:rPr>
          <w:rFonts w:hint="eastAsia" w:ascii="MS UI Gothic" w:eastAsia="MS UI Gothic"/>
          <w:w w:val="80"/>
        </w:rPr>
        <w:t xml:space="preserve">ꎬ </w:t>
      </w:r>
      <w:r>
        <w:t>并符合机动车国家安全技术标准</w:t>
      </w:r>
      <w:r>
        <w:rPr>
          <w:rFonts w:hint="eastAsia" w:ascii="MS UI Gothic" w:eastAsia="MS UI Gothic"/>
          <w:w w:val="80"/>
        </w:rPr>
        <w:t>ꎮ</w:t>
      </w:r>
    </w:p>
    <w:p>
      <w:pPr>
        <w:pStyle w:val="6"/>
        <w:spacing w:line="295" w:lineRule="auto"/>
        <w:ind w:left="435" w:firstLine="425"/>
        <w:rPr>
          <w:rFonts w:hint="eastAsia" w:ascii="MS UI Gothic" w:eastAsia="MS UI Gothic"/>
        </w:rPr>
      </w:pPr>
      <w:r>
        <w:t>农业机械生产者应当建立产品出厂记录制度</w:t>
      </w:r>
      <w:r>
        <w:rPr>
          <w:rFonts w:hint="eastAsia" w:ascii="MS UI Gothic" w:eastAsia="MS UI Gothic"/>
          <w:w w:val="80"/>
        </w:rPr>
        <w:t xml:space="preserve">ꎬ </w:t>
      </w:r>
      <w:r>
        <w:t>如实记录农业机械的名称</w:t>
      </w:r>
      <w:r>
        <w:rPr>
          <w:rFonts w:hint="eastAsia" w:ascii="MS UI Gothic" w:eastAsia="MS UI Gothic"/>
          <w:w w:val="80"/>
        </w:rPr>
        <w:t xml:space="preserve">、 </w:t>
      </w:r>
      <w:r>
        <w:t>规格</w:t>
      </w:r>
      <w:r>
        <w:rPr>
          <w:rFonts w:hint="eastAsia" w:ascii="MS UI Gothic" w:eastAsia="MS UI Gothic"/>
          <w:w w:val="80"/>
        </w:rPr>
        <w:t xml:space="preserve">、 </w:t>
      </w:r>
      <w:r>
        <w:t>数量</w:t>
      </w:r>
      <w:r>
        <w:rPr>
          <w:rFonts w:hint="eastAsia" w:ascii="MS UI Gothic" w:eastAsia="MS UI Gothic"/>
          <w:w w:val="80"/>
        </w:rPr>
        <w:t xml:space="preserve">、 </w:t>
      </w:r>
      <w:r>
        <w:t>生产日期</w:t>
      </w:r>
      <w:r>
        <w:rPr>
          <w:rFonts w:hint="eastAsia" w:ascii="MS UI Gothic" w:eastAsia="MS UI Gothic"/>
          <w:w w:val="80"/>
        </w:rPr>
        <w:t xml:space="preserve">、 </w:t>
      </w:r>
      <w:r>
        <w:t>生产批号</w:t>
      </w:r>
      <w:r>
        <w:rPr>
          <w:rFonts w:hint="eastAsia" w:ascii="MS UI Gothic" w:eastAsia="MS UI Gothic"/>
          <w:w w:val="80"/>
        </w:rPr>
        <w:t xml:space="preserve">、  </w:t>
      </w:r>
      <w:r>
        <w:t>检验合格证号</w:t>
      </w:r>
      <w:r>
        <w:rPr>
          <w:rFonts w:hint="eastAsia" w:ascii="MS UI Gothic" w:eastAsia="MS UI Gothic"/>
          <w:w w:val="80"/>
        </w:rPr>
        <w:t xml:space="preserve">、 </w:t>
      </w:r>
      <w:r>
        <w:t>购货者名称及联系方式</w:t>
      </w:r>
      <w:r>
        <w:rPr>
          <w:rFonts w:hint="eastAsia" w:ascii="MS UI Gothic" w:eastAsia="MS UI Gothic"/>
          <w:w w:val="80"/>
        </w:rPr>
        <w:t xml:space="preserve">、 </w:t>
      </w:r>
      <w:r>
        <w:t>销售日期等内容</w:t>
      </w:r>
      <w:r>
        <w:rPr>
          <w:rFonts w:hint="eastAsia" w:ascii="MS UI Gothic" w:eastAsia="MS UI Gothic"/>
          <w:w w:val="80"/>
        </w:rPr>
        <w:t xml:space="preserve">ꎮ  </w:t>
      </w:r>
      <w:r>
        <w:t>出厂记录保存期限不得少于</w:t>
      </w:r>
      <w:r>
        <w:rPr>
          <w:rFonts w:hint="eastAsia" w:ascii="MS UI Gothic" w:eastAsia="MS UI Gothic"/>
          <w:w w:val="80"/>
        </w:rPr>
        <w:t xml:space="preserve">３ </w:t>
      </w:r>
      <w:r>
        <w:t>年</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第十三条 进口的农业机械应当符合</w:t>
      </w:r>
      <w:r>
        <w:t>我国农业机械安全技术标准</w:t>
      </w:r>
      <w:r>
        <w:rPr>
          <w:rFonts w:hint="eastAsia" w:ascii="MS UI Gothic" w:eastAsia="MS UI Gothic"/>
          <w:w w:val="80"/>
        </w:rPr>
        <w:t xml:space="preserve">ꎬ </w:t>
      </w:r>
      <w:r>
        <w:t>并依法由出入境检验检疫机构检验合格</w:t>
      </w:r>
      <w:r>
        <w:rPr>
          <w:rFonts w:hint="eastAsia" w:ascii="MS UI Gothic" w:eastAsia="MS UI Gothic"/>
          <w:w w:val="80"/>
        </w:rPr>
        <w:t xml:space="preserve">ꎮ </w:t>
      </w:r>
      <w:r>
        <w:t>依法必须进行认证的农业机械</w:t>
      </w:r>
      <w:r>
        <w:rPr>
          <w:rFonts w:hint="eastAsia" w:ascii="MS UI Gothic" w:eastAsia="MS UI Gothic"/>
          <w:w w:val="80"/>
        </w:rPr>
        <w:t xml:space="preserve">ꎬ </w:t>
      </w:r>
      <w:r>
        <w:t>还应当由出入境检验</w:t>
      </w:r>
      <w:r>
        <w:rPr>
          <w:w w:val="105"/>
        </w:rPr>
        <w:t>检疫机构进行入境验证</w:t>
      </w:r>
      <w:r>
        <w:rPr>
          <w:rFonts w:hint="eastAsia" w:ascii="MS UI Gothic" w:eastAsia="MS UI Gothic"/>
          <w:w w:val="80"/>
        </w:rPr>
        <w:t>ꎮ</w:t>
      </w:r>
    </w:p>
    <w:p>
      <w:pPr>
        <w:pStyle w:val="6"/>
        <w:spacing w:line="295" w:lineRule="auto"/>
        <w:ind w:left="440"/>
        <w:rPr>
          <w:rFonts w:hint="eastAsia" w:ascii="MS UI Gothic" w:eastAsia="MS UI Gothic"/>
        </w:rPr>
      </w:pPr>
      <w:r>
        <w:rPr>
          <w:w w:val="105"/>
        </w:rPr>
        <w:t>第十四条 农业机械销售者对购进的</w:t>
      </w:r>
      <w:r>
        <w:t>农业机械应当查验产品合格证明</w:t>
      </w:r>
      <w:r>
        <w:rPr>
          <w:rFonts w:hint="eastAsia" w:ascii="MS UI Gothic" w:eastAsia="MS UI Gothic"/>
          <w:w w:val="80"/>
        </w:rPr>
        <w:t xml:space="preserve">ꎮ </w:t>
      </w:r>
      <w:r>
        <w:t>对依法</w:t>
      </w:r>
      <w:r>
        <w:rPr>
          <w:w w:val="105"/>
        </w:rPr>
        <w:t>实行工业产品生产许可证管理</w:t>
      </w:r>
      <w:r>
        <w:rPr>
          <w:rFonts w:hint="eastAsia" w:ascii="MS UI Gothic" w:eastAsia="MS UI Gothic"/>
          <w:w w:val="80"/>
        </w:rPr>
        <w:t xml:space="preserve">、 </w:t>
      </w:r>
      <w:r>
        <w:rPr>
          <w:w w:val="105"/>
        </w:rPr>
        <w:t>依法必须</w:t>
      </w:r>
      <w:r>
        <w:t>进行认证的农业机械</w:t>
      </w:r>
      <w:r>
        <w:rPr>
          <w:rFonts w:hint="eastAsia" w:ascii="MS UI Gothic" w:eastAsia="MS UI Gothic"/>
          <w:w w:val="80"/>
        </w:rPr>
        <w:t xml:space="preserve">ꎬ </w:t>
      </w:r>
      <w:r>
        <w:t>还应当验明相应的</w:t>
      </w:r>
      <w:r>
        <w:rPr>
          <w:w w:val="105"/>
        </w:rPr>
        <w:t>证明文件或者标志</w:t>
      </w:r>
      <w:r>
        <w:rPr>
          <w:rFonts w:hint="eastAsia" w:ascii="MS UI Gothic" w:eastAsia="MS UI Gothic"/>
          <w:w w:val="80"/>
        </w:rPr>
        <w:t>ꎮ</w:t>
      </w:r>
    </w:p>
    <w:p>
      <w:pPr>
        <w:pStyle w:val="6"/>
        <w:spacing w:line="295" w:lineRule="auto"/>
        <w:ind w:left="435" w:firstLine="425"/>
        <w:rPr>
          <w:rFonts w:hint="eastAsia" w:ascii="MS UI Gothic" w:eastAsia="MS UI Gothic"/>
        </w:rPr>
      </w:pPr>
      <w:r>
        <w:t>农业机械销售者应当建立销售记录制度</w:t>
      </w:r>
      <w:r>
        <w:rPr>
          <w:rFonts w:hint="eastAsia" w:ascii="MS UI Gothic" w:eastAsia="MS UI Gothic"/>
          <w:w w:val="80"/>
        </w:rPr>
        <w:t xml:space="preserve">ꎬ </w:t>
      </w:r>
      <w:r>
        <w:t>如实记录农业机械的名称</w:t>
      </w:r>
      <w:r>
        <w:rPr>
          <w:rFonts w:hint="eastAsia" w:ascii="MS UI Gothic" w:eastAsia="MS UI Gothic"/>
          <w:w w:val="80"/>
        </w:rPr>
        <w:t xml:space="preserve">、 </w:t>
      </w:r>
      <w:r>
        <w:t>规格</w:t>
      </w:r>
      <w:r>
        <w:rPr>
          <w:rFonts w:hint="eastAsia" w:ascii="MS UI Gothic" w:eastAsia="MS UI Gothic"/>
          <w:w w:val="80"/>
        </w:rPr>
        <w:t xml:space="preserve">、 </w:t>
      </w:r>
      <w:r>
        <w:t>生产批号</w:t>
      </w:r>
      <w:r>
        <w:rPr>
          <w:rFonts w:hint="eastAsia" w:ascii="MS UI Gothic" w:eastAsia="MS UI Gothic"/>
          <w:w w:val="80"/>
        </w:rPr>
        <w:t xml:space="preserve">、 </w:t>
      </w:r>
      <w:r>
        <w:t>供货者名称及联系方式</w:t>
      </w:r>
      <w:r>
        <w:rPr>
          <w:rFonts w:hint="eastAsia" w:ascii="MS UI Gothic" w:eastAsia="MS UI Gothic"/>
          <w:w w:val="80"/>
        </w:rPr>
        <w:t xml:space="preserve">、 </w:t>
      </w:r>
      <w:r>
        <w:t>销售流向等内容</w:t>
      </w:r>
      <w:r>
        <w:rPr>
          <w:rFonts w:hint="eastAsia" w:ascii="MS UI Gothic" w:eastAsia="MS UI Gothic"/>
          <w:w w:val="80"/>
        </w:rPr>
        <w:t xml:space="preserve">ꎮ  </w:t>
      </w:r>
      <w:r>
        <w:t>销售记录保存期限不得少于</w:t>
      </w:r>
      <w:r>
        <w:rPr>
          <w:rFonts w:hint="eastAsia" w:ascii="MS UI Gothic" w:eastAsia="MS UI Gothic"/>
          <w:w w:val="80"/>
        </w:rPr>
        <w:t xml:space="preserve">３ </w:t>
      </w:r>
      <w:r>
        <w:t>年</w:t>
      </w:r>
      <w:r>
        <w:rPr>
          <w:rFonts w:hint="eastAsia" w:ascii="MS UI Gothic" w:eastAsia="MS UI Gothic"/>
          <w:w w:val="80"/>
        </w:rPr>
        <w:t>ꎮ</w:t>
      </w:r>
    </w:p>
    <w:p>
      <w:pPr>
        <w:pStyle w:val="6"/>
        <w:spacing w:line="295" w:lineRule="auto"/>
        <w:ind w:left="440"/>
        <w:rPr>
          <w:rFonts w:hint="eastAsia" w:ascii="MS UI Gothic" w:eastAsia="MS UI Gothic"/>
        </w:rPr>
      </w:pPr>
      <w:r>
        <w:t>农业机械销售者应当向购买者说明农业机械操作方法和安全注意事项</w:t>
      </w:r>
      <w:r>
        <w:rPr>
          <w:rFonts w:hint="eastAsia" w:ascii="MS UI Gothic" w:eastAsia="MS UI Gothic"/>
          <w:w w:val="80"/>
        </w:rPr>
        <w:t xml:space="preserve">ꎬ </w:t>
      </w:r>
      <w:r>
        <w:t>并依法</w:t>
      </w:r>
      <w:r>
        <w:rPr>
          <w:w w:val="105"/>
        </w:rPr>
        <w:t>开具销售发票</w:t>
      </w:r>
      <w:r>
        <w:rPr>
          <w:rFonts w:hint="eastAsia" w:ascii="MS UI Gothic" w:eastAsia="MS UI Gothic"/>
          <w:w w:val="80"/>
        </w:rPr>
        <w:t>ꎮ</w:t>
      </w:r>
    </w:p>
    <w:p>
      <w:pPr>
        <w:pStyle w:val="6"/>
        <w:spacing w:line="295" w:lineRule="auto"/>
        <w:ind w:left="440"/>
        <w:rPr>
          <w:rFonts w:hint="eastAsia" w:ascii="MS UI Gothic" w:eastAsia="MS UI Gothic"/>
        </w:rPr>
      </w:pPr>
      <w:r>
        <w:t>第十五条 农业机械生产者</w:t>
      </w:r>
      <w:r>
        <w:rPr>
          <w:rFonts w:hint="eastAsia" w:ascii="MS UI Gothic" w:eastAsia="MS UI Gothic"/>
          <w:w w:val="80"/>
        </w:rPr>
        <w:t xml:space="preserve">、 </w:t>
      </w:r>
      <w:r>
        <w:t>销售者应当建立健全农业机械销售服务体系</w:t>
      </w:r>
      <w:r>
        <w:rPr>
          <w:rFonts w:hint="eastAsia" w:ascii="MS UI Gothic" w:eastAsia="MS UI Gothic"/>
          <w:w w:val="80"/>
        </w:rPr>
        <w:t xml:space="preserve">ꎬ </w:t>
      </w:r>
      <w:r>
        <w:t>依法承担产品质量责任</w:t>
      </w:r>
      <w:r>
        <w:rPr>
          <w:rFonts w:hint="eastAsia" w:ascii="MS UI Gothic" w:eastAsia="MS UI Gothic"/>
          <w:w w:val="80"/>
        </w:rPr>
        <w:t>ꎮ</w:t>
      </w:r>
    </w:p>
    <w:p>
      <w:pPr>
        <w:pStyle w:val="6"/>
        <w:spacing w:line="254" w:lineRule="exact"/>
        <w:ind w:left="860" w:firstLine="0"/>
      </w:pPr>
      <w:r>
        <w:t>第十六条 农业机械生产者</w:t>
      </w:r>
      <w:r>
        <w:rPr>
          <w:rFonts w:hint="eastAsia" w:ascii="MS UI Gothic" w:eastAsia="MS UI Gothic"/>
        </w:rPr>
        <w:t xml:space="preserve">、 </w:t>
      </w:r>
      <w:r>
        <w:t>销售者</w:t>
      </w:r>
    </w:p>
    <w:p>
      <w:pPr>
        <w:pStyle w:val="6"/>
        <w:spacing w:before="124" w:line="295" w:lineRule="auto"/>
        <w:ind w:left="383" w:right="124" w:firstLine="0"/>
        <w:rPr>
          <w:rFonts w:hint="eastAsia" w:ascii="MS UI Gothic" w:eastAsia="MS UI Gothic"/>
        </w:rPr>
      </w:pPr>
      <w:r>
        <w:br w:type="column"/>
      </w:r>
      <w:r>
        <w:t>发现其生产</w:t>
      </w:r>
      <w:r>
        <w:rPr>
          <w:rFonts w:hint="eastAsia" w:ascii="MS UI Gothic" w:eastAsia="MS UI Gothic"/>
          <w:w w:val="80"/>
        </w:rPr>
        <w:t xml:space="preserve">、 </w:t>
      </w:r>
      <w:r>
        <w:t>销售的农业机械存在设计</w:t>
      </w:r>
      <w:r>
        <w:rPr>
          <w:rFonts w:hint="eastAsia" w:ascii="MS UI Gothic" w:eastAsia="MS UI Gothic"/>
          <w:w w:val="80"/>
        </w:rPr>
        <w:t>、</w:t>
      </w:r>
      <w:r>
        <w:t>制造等缺陷</w:t>
      </w:r>
      <w:r>
        <w:rPr>
          <w:rFonts w:hint="eastAsia" w:ascii="MS UI Gothic" w:eastAsia="MS UI Gothic"/>
          <w:w w:val="80"/>
        </w:rPr>
        <w:t xml:space="preserve">ꎬ </w:t>
      </w:r>
      <w:r>
        <w:t>可能对人身财产安全造成损害的</w:t>
      </w:r>
      <w:r>
        <w:rPr>
          <w:rFonts w:hint="eastAsia" w:ascii="MS UI Gothic" w:eastAsia="MS UI Gothic"/>
          <w:w w:val="80"/>
        </w:rPr>
        <w:t xml:space="preserve">ꎬ </w:t>
      </w:r>
      <w:r>
        <w:t>应当立即停止生产</w:t>
      </w:r>
      <w:r>
        <w:rPr>
          <w:rFonts w:hint="eastAsia" w:ascii="MS UI Gothic" w:eastAsia="MS UI Gothic"/>
          <w:w w:val="80"/>
        </w:rPr>
        <w:t xml:space="preserve">、 </w:t>
      </w:r>
      <w:r>
        <w:t>销售</w:t>
      </w:r>
      <w:r>
        <w:rPr>
          <w:rFonts w:hint="eastAsia" w:ascii="MS UI Gothic" w:eastAsia="MS UI Gothic"/>
          <w:w w:val="80"/>
        </w:rPr>
        <w:t xml:space="preserve">ꎬ </w:t>
      </w:r>
      <w:r>
        <w:t>及时报告当地市场监督管理部门</w:t>
      </w:r>
      <w:r>
        <w:rPr>
          <w:rFonts w:hint="eastAsia" w:ascii="MS UI Gothic" w:eastAsia="MS UI Gothic"/>
          <w:w w:val="80"/>
        </w:rPr>
        <w:t xml:space="preserve">ꎬ </w:t>
      </w:r>
      <w:r>
        <w:t>通知农业机械使用者停止使用</w:t>
      </w:r>
      <w:r>
        <w:rPr>
          <w:rFonts w:hint="eastAsia" w:ascii="MS UI Gothic" w:eastAsia="MS UI Gothic"/>
          <w:w w:val="80"/>
        </w:rPr>
        <w:t xml:space="preserve">ꎮ </w:t>
      </w:r>
      <w:r>
        <w:t>农业机械生产者应当及时召回存在设计</w:t>
      </w:r>
      <w:r>
        <w:rPr>
          <w:rFonts w:hint="eastAsia" w:ascii="MS UI Gothic" w:eastAsia="MS UI Gothic"/>
          <w:w w:val="80"/>
        </w:rPr>
        <w:t xml:space="preserve">、 </w:t>
      </w:r>
      <w:r>
        <w:t>制造等缺陷的农业机械</w:t>
      </w:r>
      <w:r>
        <w:rPr>
          <w:rFonts w:hint="eastAsia" w:ascii="MS UI Gothic" w:eastAsia="MS UI Gothic"/>
          <w:w w:val="80"/>
        </w:rPr>
        <w:t>ꎮ</w:t>
      </w:r>
    </w:p>
    <w:p>
      <w:pPr>
        <w:pStyle w:val="6"/>
        <w:spacing w:line="295" w:lineRule="auto"/>
        <w:ind w:left="383" w:right="124"/>
        <w:rPr>
          <w:rFonts w:hint="eastAsia" w:ascii="MS UI Gothic" w:eastAsia="MS UI Gothic"/>
        </w:rPr>
      </w:pPr>
      <w:r>
        <w:t>农业机械生产者</w:t>
      </w:r>
      <w:r>
        <w:rPr>
          <w:rFonts w:hint="eastAsia" w:ascii="MS UI Gothic" w:eastAsia="MS UI Gothic"/>
          <w:w w:val="80"/>
        </w:rPr>
        <w:t xml:space="preserve">、 </w:t>
      </w:r>
      <w:r>
        <w:t>销售者不履行本条第一款义务的</w:t>
      </w:r>
      <w:r>
        <w:rPr>
          <w:rFonts w:hint="eastAsia" w:ascii="MS UI Gothic" w:eastAsia="MS UI Gothic"/>
          <w:w w:val="80"/>
        </w:rPr>
        <w:t xml:space="preserve">ꎬ </w:t>
      </w:r>
      <w:r>
        <w:t>质量监督部门</w:t>
      </w:r>
      <w:r>
        <w:rPr>
          <w:rFonts w:hint="eastAsia" w:ascii="MS UI Gothic" w:eastAsia="MS UI Gothic"/>
          <w:w w:val="80"/>
        </w:rPr>
        <w:t xml:space="preserve">、 </w:t>
      </w:r>
      <w:r>
        <w:t>工商行政管理部门可以责令生产者召回农业机械</w:t>
      </w:r>
      <w:r>
        <w:rPr>
          <w:rFonts w:hint="eastAsia" w:ascii="MS UI Gothic" w:eastAsia="MS UI Gothic"/>
          <w:w w:val="80"/>
        </w:rPr>
        <w:t>ꎬ</w:t>
      </w:r>
      <w:r>
        <w:t>责令销售者停止销售农业机械</w:t>
      </w:r>
      <w:r>
        <w:rPr>
          <w:rFonts w:hint="eastAsia" w:ascii="MS UI Gothic" w:eastAsia="MS UI Gothic"/>
          <w:w w:val="80"/>
        </w:rPr>
        <w:t>ꎮ</w:t>
      </w:r>
    </w:p>
    <w:p>
      <w:pPr>
        <w:pStyle w:val="6"/>
        <w:spacing w:line="295" w:lineRule="auto"/>
        <w:ind w:left="383" w:right="126"/>
        <w:rPr>
          <w:rFonts w:hint="eastAsia" w:ascii="MS UI Gothic" w:eastAsia="MS UI Gothic"/>
        </w:rPr>
      </w:pPr>
      <w:r>
        <w:rPr>
          <w:spacing w:val="7"/>
          <w:w w:val="105"/>
        </w:rPr>
        <w:t>第十七条 禁止生产</w:t>
      </w:r>
      <w:r>
        <w:rPr>
          <w:rFonts w:hint="eastAsia" w:ascii="MS UI Gothic" w:eastAsia="MS UI Gothic"/>
          <w:spacing w:val="8"/>
        </w:rPr>
        <w:t xml:space="preserve">、 </w:t>
      </w:r>
      <w:r>
        <w:rPr>
          <w:spacing w:val="2"/>
          <w:w w:val="105"/>
        </w:rPr>
        <w:t>销售下列农业</w:t>
      </w:r>
      <w:r>
        <w:rPr>
          <w:spacing w:val="3"/>
          <w:w w:val="110"/>
        </w:rPr>
        <w:t>机械</w:t>
      </w:r>
      <w:r>
        <w:rPr>
          <w:rFonts w:hint="eastAsia" w:ascii="MS UI Gothic" w:eastAsia="MS UI Gothic"/>
          <w:w w:val="235"/>
        </w:rPr>
        <w:t>:</w:t>
      </w:r>
    </w:p>
    <w:p>
      <w:pPr>
        <w:pStyle w:val="6"/>
        <w:spacing w:line="295" w:lineRule="auto"/>
        <w:ind w:left="383" w:right="126"/>
        <w:rPr>
          <w:rFonts w:hint="eastAsia" w:ascii="MS UI Gothic" w:eastAsia="MS UI Gothic"/>
        </w:rPr>
      </w:pPr>
      <w:r>
        <w:rPr>
          <w:rFonts w:hint="eastAsia" w:ascii="MS UI Gothic" w:eastAsia="MS UI Gothic"/>
          <w:spacing w:val="-34"/>
          <w:w w:val="120"/>
        </w:rPr>
        <w:t xml:space="preserve">( </w:t>
      </w:r>
      <w:r>
        <w:rPr>
          <w:spacing w:val="5"/>
          <w:w w:val="110"/>
        </w:rPr>
        <w:t>一</w:t>
      </w:r>
      <w:r>
        <w:rPr>
          <w:rFonts w:hint="eastAsia" w:ascii="MS UI Gothic" w:eastAsia="MS UI Gothic"/>
          <w:spacing w:val="-13"/>
          <w:w w:val="120"/>
        </w:rPr>
        <w:t xml:space="preserve">) </w:t>
      </w:r>
      <w:r>
        <w:rPr>
          <w:spacing w:val="23"/>
          <w:w w:val="110"/>
        </w:rPr>
        <w:t>不符合农业机械安全技术标</w:t>
      </w:r>
      <w:r>
        <w:rPr>
          <w:spacing w:val="3"/>
          <w:w w:val="110"/>
        </w:rPr>
        <w:t>准的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05"/>
        </w:rPr>
        <w:t xml:space="preserve">( </w:t>
      </w:r>
      <w:r>
        <w:rPr>
          <w:w w:val="105"/>
        </w:rPr>
        <w:t>二</w:t>
      </w:r>
      <w:r>
        <w:rPr>
          <w:rFonts w:hint="eastAsia" w:ascii="MS UI Gothic" w:eastAsia="MS UI Gothic"/>
          <w:w w:val="105"/>
        </w:rPr>
        <w:t xml:space="preserve">) </w:t>
      </w:r>
      <w:r>
        <w:rPr>
          <w:w w:val="105"/>
        </w:rPr>
        <w:t>依法实行工业产品生产许可证</w:t>
      </w:r>
      <w:r>
        <w:rPr>
          <w:w w:val="110"/>
        </w:rPr>
        <w:t>管理而未取得许可证的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20"/>
        </w:rPr>
        <w:t xml:space="preserve">( </w:t>
      </w:r>
      <w:r>
        <w:rPr>
          <w:w w:val="110"/>
        </w:rPr>
        <w:t>三</w:t>
      </w:r>
      <w:r>
        <w:rPr>
          <w:rFonts w:hint="eastAsia" w:ascii="MS UI Gothic" w:eastAsia="MS UI Gothic"/>
          <w:w w:val="120"/>
        </w:rPr>
        <w:t xml:space="preserve">) </w:t>
      </w:r>
      <w:r>
        <w:rPr>
          <w:w w:val="110"/>
        </w:rPr>
        <w:t>依法必须进行认证而未经认证的</w:t>
      </w:r>
      <w:r>
        <w:rPr>
          <w:rFonts w:hint="eastAsia" w:ascii="MS UI Gothic" w:eastAsia="MS UI Gothic"/>
          <w:w w:val="80"/>
        </w:rPr>
        <w:t>ꎻ</w:t>
      </w:r>
    </w:p>
    <w:p>
      <w:pPr>
        <w:pStyle w:val="6"/>
        <w:spacing w:line="295" w:lineRule="auto"/>
        <w:ind w:left="383" w:right="126"/>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利用残次零配件或者报废农业机械的发动机</w:t>
      </w:r>
      <w:r>
        <w:rPr>
          <w:rFonts w:hint="eastAsia" w:ascii="MS UI Gothic" w:eastAsia="MS UI Gothic"/>
          <w:w w:val="80"/>
        </w:rPr>
        <w:t xml:space="preserve">、 </w:t>
      </w:r>
      <w:r>
        <w:rPr>
          <w:w w:val="105"/>
        </w:rPr>
        <w:t>方向机</w:t>
      </w:r>
      <w:r>
        <w:rPr>
          <w:rFonts w:hint="eastAsia" w:ascii="MS UI Gothic" w:eastAsia="MS UI Gothic"/>
          <w:w w:val="80"/>
        </w:rPr>
        <w:t xml:space="preserve">、 </w:t>
      </w:r>
      <w:r>
        <w:rPr>
          <w:w w:val="105"/>
        </w:rPr>
        <w:t>变速器</w:t>
      </w:r>
      <w:r>
        <w:rPr>
          <w:rFonts w:hint="eastAsia" w:ascii="MS UI Gothic" w:eastAsia="MS UI Gothic"/>
          <w:w w:val="80"/>
        </w:rPr>
        <w:t xml:space="preserve">、 </w:t>
      </w:r>
      <w:r>
        <w:rPr>
          <w:w w:val="105"/>
        </w:rPr>
        <w:t>车架等部件拼装的</w:t>
      </w:r>
      <w:r>
        <w:rPr>
          <w:rFonts w:hint="eastAsia" w:ascii="MS UI Gothic" w:eastAsia="MS UI Gothic"/>
          <w:w w:val="80"/>
        </w:rPr>
        <w:t>ꎻ</w:t>
      </w:r>
    </w:p>
    <w:p>
      <w:pPr>
        <w:pStyle w:val="6"/>
        <w:spacing w:line="254" w:lineRule="exact"/>
        <w:ind w:left="802" w:firstLine="0"/>
        <w:rPr>
          <w:rFonts w:hint="eastAsia" w:ascii="MS UI Gothic" w:eastAsia="MS UI Gothic"/>
        </w:rPr>
      </w:pPr>
      <w:r>
        <w:rPr>
          <w:rFonts w:hint="eastAsia" w:ascii="MS UI Gothic" w:eastAsia="MS UI Gothic"/>
          <w:w w:val="150"/>
        </w:rPr>
        <w:t xml:space="preserve">( </w:t>
      </w:r>
      <w:r>
        <w:rPr>
          <w:w w:val="110"/>
        </w:rPr>
        <w:t>五</w:t>
      </w:r>
      <w:r>
        <w:rPr>
          <w:rFonts w:hint="eastAsia" w:ascii="MS UI Gothic" w:eastAsia="MS UI Gothic"/>
          <w:w w:val="150"/>
        </w:rPr>
        <w:t xml:space="preserve">) </w:t>
      </w:r>
      <w:r>
        <w:rPr>
          <w:w w:val="110"/>
        </w:rPr>
        <w:t>国家明令淘汰的</w:t>
      </w:r>
      <w:r>
        <w:rPr>
          <w:rFonts w:hint="eastAsia" w:ascii="MS UI Gothic" w:eastAsia="MS UI Gothic"/>
          <w:w w:val="80"/>
        </w:rPr>
        <w:t>ꎮ</w:t>
      </w:r>
    </w:p>
    <w:p>
      <w:pPr>
        <w:pStyle w:val="6"/>
        <w:spacing w:before="43" w:line="295" w:lineRule="auto"/>
        <w:ind w:left="383" w:right="124"/>
        <w:rPr>
          <w:rFonts w:hint="eastAsia" w:ascii="MS UI Gothic" w:eastAsia="MS UI Gothic"/>
        </w:rPr>
      </w:pPr>
      <w:r>
        <w:t>第十八条 从事农业机械维修经营</w:t>
      </w:r>
      <w:r>
        <w:rPr>
          <w:rFonts w:hint="eastAsia" w:ascii="MS UI Gothic" w:eastAsia="MS UI Gothic"/>
          <w:w w:val="80"/>
        </w:rPr>
        <w:t>ꎬ</w:t>
      </w:r>
      <w:r>
        <w:t>应当有必要的维修场地</w:t>
      </w:r>
      <w:r>
        <w:rPr>
          <w:rFonts w:hint="eastAsia" w:ascii="MS UI Gothic" w:eastAsia="MS UI Gothic"/>
          <w:w w:val="80"/>
        </w:rPr>
        <w:t xml:space="preserve">ꎬ </w:t>
      </w:r>
      <w:r>
        <w:t>有必要的维修设施</w:t>
      </w:r>
      <w:r>
        <w:rPr>
          <w:rFonts w:hint="eastAsia" w:ascii="MS UI Gothic" w:eastAsia="MS UI Gothic"/>
          <w:w w:val="80"/>
        </w:rPr>
        <w:t xml:space="preserve">、 </w:t>
      </w:r>
      <w:r>
        <w:t>设备和检测仪器</w:t>
      </w:r>
      <w:r>
        <w:rPr>
          <w:rFonts w:hint="eastAsia" w:ascii="MS UI Gothic" w:eastAsia="MS UI Gothic"/>
          <w:w w:val="80"/>
        </w:rPr>
        <w:t xml:space="preserve">ꎬ </w:t>
      </w:r>
      <w:r>
        <w:t>有相应的维修技术人员</w:t>
      </w:r>
      <w:r>
        <w:rPr>
          <w:rFonts w:hint="eastAsia" w:ascii="MS UI Gothic" w:eastAsia="MS UI Gothic"/>
          <w:w w:val="80"/>
        </w:rPr>
        <w:t xml:space="preserve">ꎬ </w:t>
      </w:r>
      <w:r>
        <w:t>有安全防护和环境保护措施</w:t>
      </w:r>
      <w:r>
        <w:rPr>
          <w:rFonts w:hint="eastAsia" w:ascii="MS UI Gothic" w:eastAsia="MS UI Gothic"/>
          <w:w w:val="80"/>
        </w:rPr>
        <w:t>ꎮ</w:t>
      </w:r>
    </w:p>
    <w:p>
      <w:pPr>
        <w:pStyle w:val="6"/>
        <w:spacing w:line="295" w:lineRule="auto"/>
        <w:ind w:left="383" w:right="126"/>
        <w:rPr>
          <w:rFonts w:hint="eastAsia" w:ascii="MS UI Gothic" w:eastAsia="MS UI Gothic"/>
        </w:rPr>
      </w:pPr>
      <w:r>
        <w:rPr>
          <w:w w:val="105"/>
        </w:rPr>
        <w:t>第十九条 农业机械维修经营者应当</w:t>
      </w:r>
      <w:r>
        <w:t>遵守国家有关维修质量安全技术规范和维</w:t>
      </w:r>
      <w:r>
        <w:rPr>
          <w:w w:val="105"/>
        </w:rPr>
        <w:t>修质量保证期的规定</w:t>
      </w:r>
      <w:r>
        <w:rPr>
          <w:rFonts w:hint="eastAsia" w:ascii="MS UI Gothic" w:eastAsia="MS UI Gothic"/>
          <w:w w:val="80"/>
        </w:rPr>
        <w:t xml:space="preserve">ꎬ </w:t>
      </w:r>
      <w:r>
        <w:rPr>
          <w:w w:val="105"/>
        </w:rPr>
        <w:t>确保维修质量</w:t>
      </w:r>
      <w:r>
        <w:rPr>
          <w:rFonts w:hint="eastAsia" w:ascii="MS UI Gothic" w:eastAsia="MS UI Gothic"/>
          <w:w w:val="80"/>
        </w:rPr>
        <w:t>ꎮ</w:t>
      </w:r>
    </w:p>
    <w:p>
      <w:pPr>
        <w:pStyle w:val="6"/>
        <w:spacing w:line="295" w:lineRule="auto"/>
        <w:ind w:left="802" w:right="126" w:firstLine="0"/>
        <w:jc w:val="left"/>
      </w:pPr>
      <w:r>
        <w:rPr>
          <w:w w:val="105"/>
        </w:rPr>
        <w:t>从事农业机械维修不得有下列行为</w:t>
      </w:r>
      <w:r>
        <w:rPr>
          <w:rFonts w:hint="eastAsia" w:ascii="MS UI Gothic" w:eastAsia="MS UI Gothic"/>
          <w:w w:val="105"/>
        </w:rPr>
        <w:t xml:space="preserve">: ( </w:t>
      </w:r>
      <w:r>
        <w:rPr>
          <w:w w:val="105"/>
        </w:rPr>
        <w:t>一</w:t>
      </w:r>
      <w:r>
        <w:rPr>
          <w:rFonts w:hint="eastAsia" w:ascii="MS UI Gothic" w:eastAsia="MS UI Gothic"/>
          <w:w w:val="105"/>
        </w:rPr>
        <w:t xml:space="preserve">) </w:t>
      </w:r>
      <w:r>
        <w:rPr>
          <w:w w:val="105"/>
        </w:rPr>
        <w:t>使用不符合农业机械安全技术</w:t>
      </w:r>
    </w:p>
    <w:p>
      <w:pPr>
        <w:pStyle w:val="6"/>
        <w:spacing w:line="255" w:lineRule="exact"/>
        <w:ind w:left="383" w:firstLine="0"/>
        <w:jc w:val="left"/>
        <w:rPr>
          <w:rFonts w:hint="eastAsia" w:ascii="MS UI Gothic" w:eastAsia="MS UI Gothic"/>
        </w:rPr>
      </w:pPr>
      <w:r>
        <w:t>标准的零配件</w:t>
      </w:r>
      <w:r>
        <w:rPr>
          <w:rFonts w:hint="eastAsia" w:ascii="MS UI Gothic" w:eastAsia="MS UI Gothic"/>
          <w:w w:val="80"/>
        </w:rPr>
        <w:t>ꎻ</w:t>
      </w:r>
    </w:p>
    <w:p>
      <w:pPr>
        <w:pStyle w:val="6"/>
        <w:spacing w:before="53"/>
        <w:ind w:left="802" w:firstLine="0"/>
        <w:jc w:val="left"/>
        <w:rPr>
          <w:rFonts w:hint="eastAsia" w:ascii="MS UI Gothic" w:eastAsia="MS UI Gothic"/>
        </w:rPr>
      </w:pPr>
      <w:r>
        <w:rPr>
          <w:rFonts w:hint="eastAsia" w:ascii="MS UI Gothic" w:eastAsia="MS UI Gothic"/>
          <w:w w:val="150"/>
        </w:rPr>
        <w:t xml:space="preserve">( </w:t>
      </w:r>
      <w:r>
        <w:rPr>
          <w:w w:val="110"/>
        </w:rPr>
        <w:t>二</w:t>
      </w:r>
      <w:r>
        <w:rPr>
          <w:rFonts w:hint="eastAsia" w:ascii="MS UI Gothic" w:eastAsia="MS UI Gothic"/>
          <w:w w:val="150"/>
        </w:rPr>
        <w:t xml:space="preserve">) </w:t>
      </w:r>
      <w:r>
        <w:rPr>
          <w:w w:val="110"/>
        </w:rPr>
        <w:t>拼装</w:t>
      </w:r>
      <w:r>
        <w:rPr>
          <w:rFonts w:hint="eastAsia" w:ascii="MS UI Gothic" w:eastAsia="MS UI Gothic"/>
          <w:w w:val="80"/>
        </w:rPr>
        <w:t xml:space="preserve">、 </w:t>
      </w:r>
      <w:r>
        <w:rPr>
          <w:w w:val="110"/>
        </w:rPr>
        <w:t>改装农业机械整机</w:t>
      </w:r>
      <w:r>
        <w:rPr>
          <w:rFonts w:hint="eastAsia" w:ascii="MS UI Gothic" w:eastAsia="MS UI Gothic"/>
          <w:w w:val="80"/>
        </w:rPr>
        <w:t>ꎻ</w:t>
      </w:r>
    </w:p>
    <w:p>
      <w:pPr>
        <w:pStyle w:val="6"/>
        <w:spacing w:before="58" w:line="295" w:lineRule="auto"/>
        <w:ind w:left="383" w:right="126"/>
        <w:jc w:val="left"/>
        <w:rPr>
          <w:rFonts w:hint="eastAsia" w:ascii="MS UI Gothic" w:eastAsia="MS UI Gothic"/>
        </w:rPr>
      </w:pPr>
      <w:r>
        <w:rPr>
          <w:rFonts w:hint="eastAsia" w:ascii="MS UI Gothic" w:eastAsia="MS UI Gothic"/>
          <w:w w:val="105"/>
        </w:rPr>
        <w:t xml:space="preserve">( </w:t>
      </w:r>
      <w:r>
        <w:rPr>
          <w:w w:val="105"/>
        </w:rPr>
        <w:t>三</w:t>
      </w:r>
      <w:r>
        <w:rPr>
          <w:rFonts w:hint="eastAsia" w:ascii="MS UI Gothic" w:eastAsia="MS UI Gothic"/>
          <w:w w:val="105"/>
        </w:rPr>
        <w:t xml:space="preserve">) </w:t>
      </w:r>
      <w:r>
        <w:rPr>
          <w:w w:val="105"/>
        </w:rPr>
        <w:t>承揽维修已经达到报废条件的</w:t>
      </w:r>
      <w:r>
        <w:rPr>
          <w:w w:val="110"/>
        </w:rPr>
        <w:t>农业机械</w:t>
      </w:r>
      <w:r>
        <w:rPr>
          <w:rFonts w:hint="eastAsia" w:ascii="MS UI Gothic" w:eastAsia="MS UI Gothic"/>
          <w:w w:val="80"/>
        </w:rPr>
        <w:t>ꎻ</w:t>
      </w:r>
    </w:p>
    <w:p>
      <w:pPr>
        <w:pStyle w:val="6"/>
        <w:spacing w:line="295" w:lineRule="auto"/>
        <w:ind w:left="383" w:right="126"/>
        <w:jc w:val="left"/>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法律</w:t>
      </w:r>
      <w:r>
        <w:rPr>
          <w:rFonts w:hint="eastAsia" w:ascii="MS UI Gothic" w:eastAsia="MS UI Gothic"/>
          <w:w w:val="80"/>
        </w:rPr>
        <w:t xml:space="preserve">、 </w:t>
      </w:r>
      <w:r>
        <w:rPr>
          <w:w w:val="105"/>
        </w:rPr>
        <w:t>法规和国务院农业机械化主管部门规定的其他禁止性行为</w:t>
      </w:r>
      <w:r>
        <w:rPr>
          <w:rFonts w:hint="eastAsia" w:ascii="MS UI Gothic" w:eastAsia="MS UI Gothic"/>
          <w:w w:val="80"/>
        </w:rPr>
        <w:t>ꎮ</w:t>
      </w:r>
    </w:p>
    <w:p>
      <w:pPr>
        <w:spacing w:after="0" w:line="295" w:lineRule="auto"/>
        <w:jc w:val="left"/>
        <w:rPr>
          <w:rFonts w:hint="eastAsia" w:ascii="MS UI Gothic" w:eastAsia="MS UI Gothic"/>
        </w:rPr>
        <w:sectPr>
          <w:type w:val="continuous"/>
          <w:pgSz w:w="10500" w:h="14750"/>
          <w:pgMar w:top="1400" w:right="980" w:bottom="280" w:left="980" w:header="720" w:footer="720" w:gutter="0"/>
          <w:cols w:equalWidth="0" w:num="2">
            <w:col w:w="4210" w:space="40"/>
            <w:col w:w="4290"/>
          </w:cols>
        </w:sectPr>
      </w:pPr>
    </w:p>
    <w:p>
      <w:pPr>
        <w:pStyle w:val="6"/>
        <w:spacing w:before="159"/>
        <w:ind w:left="280" w:firstLine="0"/>
        <w:jc w:val="left"/>
        <w:rPr>
          <w:rFonts w:hint="eastAsia" w:ascii="MS UI Gothic" w:eastAsia="MS UI Gothic"/>
        </w:rPr>
      </w:pPr>
      <w:r>
        <w:rPr>
          <w:rFonts w:hint="eastAsia" w:ascii="MS UI Gothic" w:eastAsia="MS UI Gothic"/>
          <w:spacing w:val="1"/>
          <w:w w:val="75"/>
        </w:rPr>
        <w:t>４８４</w:t>
      </w:r>
    </w:p>
    <w:p>
      <w:pPr>
        <w:spacing w:before="192"/>
        <w:ind w:left="280" w:right="0" w:firstLine="0"/>
        <w:jc w:val="left"/>
        <w:rPr>
          <w:rFonts w:hint="eastAsia" w:ascii="Microsoft Yi Baiti" w:eastAsia="Microsoft Yi Baiti"/>
          <w:sz w:val="17"/>
        </w:rPr>
      </w:pPr>
      <w:r>
        <w:br w:type="column"/>
      </w:r>
      <w:r>
        <w:rPr>
          <w:sz w:val="17"/>
        </w:rPr>
        <w:t xml:space="preserve">应急管理法律法规及相关规章全书 </w:t>
      </w:r>
      <w:r>
        <w:rPr>
          <w:rFonts w:hint="eastAsia" w:ascii="Microsoft Yi Baiti" w:eastAsia="Microsoft Yi Baiti"/>
          <w:w w:val="95"/>
          <w:sz w:val="17"/>
        </w:rPr>
        <w:t>(</w:t>
      </w:r>
      <w:r>
        <w:rPr>
          <w:w w:val="95"/>
          <w:sz w:val="17"/>
        </w:rPr>
        <w:t>２０２０</w:t>
      </w:r>
      <w:r>
        <w:rPr>
          <w:rFonts w:hint="eastAsia" w:ascii="Microsoft Yi Baiti" w:eastAsia="Microsoft Yi Baiti"/>
          <w:w w:val="95"/>
          <w:sz w:val="17"/>
        </w:rPr>
        <w:t>)</w:t>
      </w:r>
    </w:p>
    <w:p>
      <w:pPr>
        <w:spacing w:after="0"/>
        <w:jc w:val="left"/>
        <w:rPr>
          <w:rFonts w:hint="eastAsia" w:ascii="Microsoft Yi Baiti" w:eastAsia="Microsoft Yi Baiti"/>
          <w:sz w:val="17"/>
        </w:rPr>
        <w:sectPr>
          <w:pgSz w:w="10500" w:h="14750"/>
          <w:pgMar w:top="960" w:right="980" w:bottom="280" w:left="980" w:header="720" w:footer="720" w:gutter="0"/>
          <w:cols w:equalWidth="0" w:num="2">
            <w:col w:w="1050" w:space="1096"/>
            <w:col w:w="6394"/>
          </w:cols>
        </w:sectPr>
      </w:pPr>
    </w:p>
    <w:p>
      <w:pPr>
        <w:pStyle w:val="6"/>
        <w:spacing w:before="1"/>
        <w:ind w:left="0" w:firstLine="0"/>
        <w:jc w:val="left"/>
        <w:rPr>
          <w:rFonts w:ascii="Microsoft Yi Baiti"/>
          <w:sz w:val="6"/>
        </w:rPr>
      </w:pPr>
    </w:p>
    <w:p>
      <w:pPr>
        <w:pStyle w:val="6"/>
        <w:spacing w:line="42" w:lineRule="exact"/>
        <w:ind w:left="118" w:firstLine="0"/>
        <w:jc w:val="left"/>
        <w:rPr>
          <w:rFonts w:ascii="Microsoft Yi Baiti"/>
          <w:sz w:val="4"/>
        </w:rPr>
      </w:pPr>
      <w:r>
        <w:rPr>
          <w:rFonts w:ascii="Microsoft Yi Baiti"/>
          <w:position w:val="0"/>
          <w:sz w:val="4"/>
        </w:rPr>
        <w:pict>
          <v:group id="_x0000_s2450" o:spid="_x0000_s2450" o:spt="203" style="height:2.15pt;width:398.25pt;" coordsize="7965,43">
            <o:lock v:ext="edit"/>
            <v:line id="_x0000_s2451" o:spid="_x0000_s2451" o:spt="20" style="position:absolute;left:0;top:39;height:0;width:7965;" stroked="t" coordsize="21600,21600">
              <v:path arrowok="t"/>
              <v:fill focussize="0,0"/>
              <v:stroke weight="0.388031496062992pt" color="#231F20"/>
              <v:imagedata o:title=""/>
              <o:lock v:ext="edit"/>
            </v:line>
            <v:line id="_x0000_s2452" o:spid="_x0000_s2452"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8"/>
        <w:ind w:left="0" w:firstLine="0"/>
        <w:jc w:val="left"/>
        <w:rPr>
          <w:rFonts w:ascii="Microsoft Yi Baiti"/>
          <w:sz w:val="6"/>
        </w:rPr>
      </w:pPr>
    </w:p>
    <w:p>
      <w:pPr>
        <w:spacing w:after="0"/>
        <w:jc w:val="left"/>
        <w:rPr>
          <w:rFonts w:ascii="Microsoft Yi Baiti"/>
          <w:sz w:val="6"/>
        </w:rPr>
        <w:sectPr>
          <w:type w:val="continuous"/>
          <w:pgSz w:w="10500" w:h="14750"/>
          <w:pgMar w:top="1400" w:right="980" w:bottom="280" w:left="980" w:header="720" w:footer="720" w:gutter="0"/>
        </w:sectPr>
      </w:pPr>
    </w:p>
    <w:p>
      <w:pPr>
        <w:pStyle w:val="6"/>
        <w:spacing w:before="3"/>
        <w:ind w:left="0" w:firstLine="0"/>
        <w:jc w:val="left"/>
        <w:rPr>
          <w:rFonts w:ascii="Microsoft Yi Baiti"/>
          <w:sz w:val="27"/>
        </w:rPr>
      </w:pPr>
    </w:p>
    <w:p>
      <w:pPr>
        <w:pStyle w:val="6"/>
        <w:tabs>
          <w:tab w:val="left" w:pos="1906"/>
        </w:tabs>
        <w:ind w:left="1067" w:firstLine="0"/>
        <w:jc w:val="left"/>
      </w:pPr>
      <w:r>
        <w:rPr>
          <w:spacing w:val="3"/>
          <w:w w:val="105"/>
        </w:rPr>
        <w:t>第三</w:t>
      </w:r>
      <w:r>
        <w:rPr>
          <w:w w:val="105"/>
        </w:rPr>
        <w:t>章</w:t>
      </w:r>
      <w:r>
        <w:rPr>
          <w:w w:val="105"/>
        </w:rPr>
        <w:tab/>
      </w:r>
      <w:r>
        <w:rPr>
          <w:w w:val="105"/>
        </w:rPr>
        <w:t>使</w:t>
      </w:r>
      <w:r>
        <w:rPr>
          <w:spacing w:val="-34"/>
          <w:w w:val="105"/>
        </w:rPr>
        <w:t xml:space="preserve"> </w:t>
      </w:r>
      <w:r>
        <w:rPr>
          <w:w w:val="105"/>
        </w:rPr>
        <w:t>用</w:t>
      </w:r>
      <w:r>
        <w:rPr>
          <w:spacing w:val="-33"/>
          <w:w w:val="105"/>
        </w:rPr>
        <w:t xml:space="preserve"> </w:t>
      </w:r>
      <w:r>
        <w:rPr>
          <w:w w:val="105"/>
        </w:rPr>
        <w:t>操</w:t>
      </w:r>
      <w:r>
        <w:rPr>
          <w:spacing w:val="-33"/>
          <w:w w:val="105"/>
        </w:rPr>
        <w:t xml:space="preserve"> </w:t>
      </w:r>
      <w:r>
        <w:rPr>
          <w:w w:val="105"/>
        </w:rPr>
        <w:t>作</w:t>
      </w:r>
    </w:p>
    <w:p>
      <w:pPr>
        <w:pStyle w:val="6"/>
        <w:spacing w:before="215" w:line="295" w:lineRule="auto"/>
        <w:ind w:right="39"/>
        <w:rPr>
          <w:rFonts w:hint="eastAsia" w:ascii="MS UI Gothic" w:eastAsia="MS UI Gothic"/>
        </w:rPr>
      </w:pPr>
      <w:r>
        <w:rPr>
          <w:spacing w:val="2"/>
          <w:w w:val="105"/>
        </w:rPr>
        <w:t>第二十条 农业机械操作人员可以参</w:t>
      </w:r>
      <w:r>
        <w:rPr>
          <w:spacing w:val="3"/>
        </w:rPr>
        <w:t>加农业机械操作人员的技能培训</w:t>
      </w:r>
      <w:r>
        <w:rPr>
          <w:rFonts w:hint="eastAsia" w:ascii="MS UI Gothic" w:eastAsia="MS UI Gothic"/>
          <w:spacing w:val="21"/>
          <w:w w:val="80"/>
        </w:rPr>
        <w:t xml:space="preserve">ꎬ </w:t>
      </w:r>
      <w:r>
        <w:rPr>
          <w:spacing w:val="1"/>
        </w:rPr>
        <w:t>可以向</w:t>
      </w:r>
      <w:r>
        <w:rPr>
          <w:spacing w:val="3"/>
          <w:w w:val="105"/>
        </w:rPr>
        <w:t>有关农业机械化主管部门</w:t>
      </w:r>
      <w:r>
        <w:rPr>
          <w:rFonts w:hint="eastAsia" w:ascii="MS UI Gothic" w:eastAsia="MS UI Gothic"/>
          <w:spacing w:val="-4"/>
          <w:w w:val="80"/>
        </w:rPr>
        <w:t xml:space="preserve">、 </w:t>
      </w:r>
      <w:r>
        <w:rPr>
          <w:spacing w:val="2"/>
          <w:w w:val="105"/>
        </w:rPr>
        <w:t>人力资源和社</w:t>
      </w:r>
      <w:r>
        <w:rPr>
          <w:spacing w:val="3"/>
        </w:rPr>
        <w:t>会保障部门申请职业技能鉴定</w:t>
      </w:r>
      <w:r>
        <w:rPr>
          <w:rFonts w:hint="eastAsia" w:ascii="MS UI Gothic" w:eastAsia="MS UI Gothic"/>
          <w:spacing w:val="21"/>
          <w:w w:val="80"/>
        </w:rPr>
        <w:t xml:space="preserve">ꎬ </w:t>
      </w:r>
      <w:r>
        <w:rPr>
          <w:spacing w:val="2"/>
        </w:rPr>
        <w:t>获取相应</w:t>
      </w:r>
      <w:r>
        <w:rPr>
          <w:spacing w:val="3"/>
          <w:w w:val="105"/>
        </w:rPr>
        <w:t>等级的国家职业资格证书</w:t>
      </w:r>
      <w:r>
        <w:rPr>
          <w:rFonts w:hint="eastAsia" w:ascii="MS UI Gothic" w:eastAsia="MS UI Gothic"/>
          <w:w w:val="80"/>
        </w:rPr>
        <w:t>ꎮ</w:t>
      </w:r>
    </w:p>
    <w:p>
      <w:pPr>
        <w:pStyle w:val="6"/>
        <w:spacing w:line="295" w:lineRule="auto"/>
        <w:ind w:right="38"/>
        <w:rPr>
          <w:rFonts w:hint="eastAsia" w:ascii="MS UI Gothic" w:eastAsia="MS UI Gothic"/>
        </w:rPr>
      </w:pPr>
      <w:r>
        <w:rPr>
          <w:spacing w:val="7"/>
        </w:rPr>
        <w:t>第二十一条 拖拉机</w:t>
      </w:r>
      <w:r>
        <w:rPr>
          <w:rFonts w:hint="eastAsia" w:ascii="MS UI Gothic" w:eastAsia="MS UI Gothic"/>
          <w:spacing w:val="16"/>
          <w:w w:val="80"/>
        </w:rPr>
        <w:t xml:space="preserve">、 </w:t>
      </w:r>
      <w:r>
        <w:rPr>
          <w:spacing w:val="2"/>
        </w:rPr>
        <w:t>联合收割机投</w:t>
      </w:r>
      <w:r>
        <w:rPr>
          <w:spacing w:val="3"/>
        </w:rPr>
        <w:t>入使用前</w:t>
      </w:r>
      <w:r>
        <w:rPr>
          <w:rFonts w:hint="eastAsia" w:ascii="MS UI Gothic" w:eastAsia="MS UI Gothic"/>
          <w:spacing w:val="21"/>
          <w:w w:val="80"/>
        </w:rPr>
        <w:t xml:space="preserve">ꎬ </w:t>
      </w:r>
      <w:r>
        <w:rPr>
          <w:spacing w:val="2"/>
        </w:rPr>
        <w:t>其所有人应当按照国务院农业</w:t>
      </w:r>
      <w:r>
        <w:rPr>
          <w:spacing w:val="3"/>
        </w:rPr>
        <w:t>机械化主管部门的规定</w:t>
      </w:r>
      <w:r>
        <w:rPr>
          <w:rFonts w:hint="eastAsia" w:ascii="MS UI Gothic" w:eastAsia="MS UI Gothic"/>
          <w:spacing w:val="21"/>
          <w:w w:val="80"/>
        </w:rPr>
        <w:t xml:space="preserve">ꎬ </w:t>
      </w:r>
      <w:r>
        <w:rPr>
          <w:spacing w:val="2"/>
        </w:rPr>
        <w:t>持本人身份证明</w:t>
      </w:r>
      <w:r>
        <w:rPr>
          <w:spacing w:val="3"/>
        </w:rPr>
        <w:t>和机具来源证明</w:t>
      </w:r>
      <w:r>
        <w:rPr>
          <w:rFonts w:hint="eastAsia" w:ascii="MS UI Gothic" w:eastAsia="MS UI Gothic"/>
          <w:spacing w:val="21"/>
          <w:w w:val="80"/>
        </w:rPr>
        <w:t xml:space="preserve">ꎬ </w:t>
      </w:r>
      <w:r>
        <w:rPr>
          <w:spacing w:val="2"/>
        </w:rPr>
        <w:t>向所在地县级人民政府</w:t>
      </w:r>
      <w:r>
        <w:rPr>
          <w:spacing w:val="5"/>
        </w:rPr>
        <w:t>农业机械化主管部门申请登记</w:t>
      </w:r>
      <w:r>
        <w:rPr>
          <w:rFonts w:hint="eastAsia" w:ascii="MS UI Gothic" w:eastAsia="MS UI Gothic"/>
          <w:spacing w:val="21"/>
          <w:w w:val="80"/>
        </w:rPr>
        <w:t xml:space="preserve">ꎮ </w:t>
      </w:r>
      <w:r>
        <w:rPr>
          <w:spacing w:val="9"/>
        </w:rPr>
        <w:t>拖拉机</w:t>
      </w:r>
      <w:r>
        <w:rPr>
          <w:rFonts w:hint="eastAsia" w:ascii="MS UI Gothic" w:eastAsia="MS UI Gothic"/>
          <w:w w:val="80"/>
        </w:rPr>
        <w:t>、</w:t>
      </w:r>
      <w:r>
        <w:rPr>
          <w:spacing w:val="3"/>
        </w:rPr>
        <w:t>联合收割机经安全检验合格的</w:t>
      </w:r>
      <w:r>
        <w:rPr>
          <w:rFonts w:hint="eastAsia" w:ascii="MS UI Gothic" w:eastAsia="MS UI Gothic"/>
          <w:spacing w:val="21"/>
          <w:w w:val="80"/>
        </w:rPr>
        <w:t xml:space="preserve">ꎬ </w:t>
      </w:r>
      <w:r>
        <w:rPr>
          <w:spacing w:val="2"/>
        </w:rPr>
        <w:t>农业机械</w:t>
      </w:r>
      <w:r>
        <w:rPr>
          <w:spacing w:val="-1"/>
        </w:rPr>
        <w:t xml:space="preserve">化主管部门应当在 </w:t>
      </w:r>
      <w:r>
        <w:rPr>
          <w:rFonts w:hint="eastAsia" w:ascii="MS UI Gothic" w:eastAsia="MS UI Gothic"/>
          <w:spacing w:val="1"/>
          <w:w w:val="80"/>
        </w:rPr>
        <w:t xml:space="preserve">２ </w:t>
      </w:r>
      <w:r>
        <w:rPr>
          <w:spacing w:val="2"/>
        </w:rPr>
        <w:t>个工作日内予以登记</w:t>
      </w:r>
      <w:r>
        <w:rPr>
          <w:spacing w:val="3"/>
        </w:rPr>
        <w:t>并核发相应的证书和牌照</w:t>
      </w:r>
      <w:r>
        <w:rPr>
          <w:rFonts w:hint="eastAsia" w:ascii="MS UI Gothic" w:eastAsia="MS UI Gothic"/>
          <w:w w:val="80"/>
        </w:rPr>
        <w:t>ꎮ</w:t>
      </w:r>
    </w:p>
    <w:p>
      <w:pPr>
        <w:pStyle w:val="6"/>
        <w:spacing w:line="295" w:lineRule="auto"/>
        <w:ind w:right="39"/>
        <w:rPr>
          <w:rFonts w:hint="eastAsia" w:ascii="MS UI Gothic" w:eastAsia="MS UI Gothic"/>
        </w:rPr>
      </w:pPr>
      <w:r>
        <w:rPr>
          <w:w w:val="105"/>
        </w:rPr>
        <w:t>拖拉机</w:t>
      </w:r>
      <w:r>
        <w:rPr>
          <w:rFonts w:hint="eastAsia" w:ascii="MS UI Gothic" w:eastAsia="MS UI Gothic"/>
          <w:w w:val="80"/>
        </w:rPr>
        <w:t xml:space="preserve">、 </w:t>
      </w:r>
      <w:r>
        <w:rPr>
          <w:w w:val="105"/>
        </w:rPr>
        <w:t>联合收割机使用期间登记事</w:t>
      </w:r>
      <w:r>
        <w:t>项发生变更的</w:t>
      </w:r>
      <w:r>
        <w:rPr>
          <w:rFonts w:hint="eastAsia" w:ascii="MS UI Gothic" w:eastAsia="MS UI Gothic"/>
          <w:w w:val="80"/>
        </w:rPr>
        <w:t xml:space="preserve">ꎬ </w:t>
      </w:r>
      <w:r>
        <w:t>其所有人应当按照国务院农业机械化主管部门的规定申请变更</w:t>
      </w:r>
      <w:r>
        <w:rPr>
          <w:w w:val="105"/>
        </w:rPr>
        <w:t>登记</w:t>
      </w:r>
      <w:r>
        <w:rPr>
          <w:rFonts w:hint="eastAsia" w:ascii="MS UI Gothic" w:eastAsia="MS UI Gothic"/>
          <w:w w:val="80"/>
        </w:rPr>
        <w:t>ꎮ</w:t>
      </w:r>
    </w:p>
    <w:p>
      <w:pPr>
        <w:pStyle w:val="6"/>
        <w:spacing w:line="295" w:lineRule="auto"/>
        <w:ind w:right="39"/>
        <w:rPr>
          <w:rFonts w:hint="eastAsia" w:ascii="MS UI Gothic" w:eastAsia="MS UI Gothic"/>
        </w:rPr>
      </w:pPr>
      <w:r>
        <w:t>第二十二条 拖拉机</w:t>
      </w:r>
      <w:r>
        <w:rPr>
          <w:rFonts w:hint="eastAsia" w:ascii="MS UI Gothic" w:eastAsia="MS UI Gothic"/>
          <w:w w:val="80"/>
        </w:rPr>
        <w:t xml:space="preserve">、 </w:t>
      </w:r>
      <w:r>
        <w:t>联合收割机操作人员经过培训后</w:t>
      </w:r>
      <w:r>
        <w:rPr>
          <w:rFonts w:hint="eastAsia" w:ascii="MS UI Gothic" w:eastAsia="MS UI Gothic"/>
          <w:w w:val="80"/>
        </w:rPr>
        <w:t xml:space="preserve">ꎬ </w:t>
      </w:r>
      <w:r>
        <w:t>应当按照国务院农业机械化主管部门的规定</w:t>
      </w:r>
      <w:r>
        <w:rPr>
          <w:rFonts w:hint="eastAsia" w:ascii="MS UI Gothic" w:eastAsia="MS UI Gothic"/>
          <w:w w:val="80"/>
        </w:rPr>
        <w:t xml:space="preserve">ꎬ </w:t>
      </w:r>
      <w:r>
        <w:t>参加县级人民政府农业机械化主管部门组织的考试</w:t>
      </w:r>
      <w:r>
        <w:rPr>
          <w:rFonts w:hint="eastAsia" w:ascii="MS UI Gothic" w:eastAsia="MS UI Gothic"/>
          <w:w w:val="80"/>
        </w:rPr>
        <w:t xml:space="preserve">ꎮ </w:t>
      </w:r>
      <w:r>
        <w:t>考试合格的</w:t>
      </w:r>
      <w:r>
        <w:rPr>
          <w:rFonts w:hint="eastAsia" w:ascii="MS UI Gothic" w:eastAsia="MS UI Gothic"/>
          <w:w w:val="80"/>
        </w:rPr>
        <w:t xml:space="preserve">ꎬ </w:t>
      </w:r>
      <w:r>
        <w:t xml:space="preserve">农业机械化主管部门应当在 </w:t>
      </w:r>
      <w:r>
        <w:rPr>
          <w:rFonts w:hint="eastAsia" w:ascii="MS UI Gothic" w:eastAsia="MS UI Gothic"/>
          <w:w w:val="80"/>
        </w:rPr>
        <w:t xml:space="preserve">２ </w:t>
      </w:r>
      <w:r>
        <w:t>个工作日内核发相应的操作证件</w:t>
      </w:r>
      <w:r>
        <w:rPr>
          <w:rFonts w:hint="eastAsia" w:ascii="MS UI Gothic" w:eastAsia="MS UI Gothic"/>
          <w:w w:val="80"/>
        </w:rPr>
        <w:t>ꎮ</w:t>
      </w:r>
    </w:p>
    <w:p>
      <w:pPr>
        <w:pStyle w:val="6"/>
        <w:spacing w:line="295" w:lineRule="auto"/>
        <w:ind w:right="38"/>
        <w:rPr>
          <w:rFonts w:hint="eastAsia" w:ascii="MS UI Gothic" w:eastAsia="MS UI Gothic"/>
        </w:rPr>
      </w:pPr>
      <w:r>
        <w:t>拖拉机</w:t>
      </w:r>
      <w:r>
        <w:rPr>
          <w:rFonts w:hint="eastAsia" w:ascii="MS UI Gothic" w:eastAsia="MS UI Gothic"/>
        </w:rPr>
        <w:t xml:space="preserve">、 </w:t>
      </w:r>
      <w:r>
        <w:t xml:space="preserve">联合收割机操作证件有效期为 </w:t>
      </w:r>
      <w:r>
        <w:rPr>
          <w:rFonts w:hint="eastAsia" w:ascii="MS UI Gothic" w:eastAsia="MS UI Gothic"/>
        </w:rPr>
        <w:t xml:space="preserve">６ </w:t>
      </w:r>
      <w:r>
        <w:t>年</w:t>
      </w:r>
      <w:r>
        <w:rPr>
          <w:rFonts w:hint="eastAsia" w:ascii="MS UI Gothic" w:eastAsia="MS UI Gothic"/>
          <w:w w:val="85"/>
        </w:rPr>
        <w:t xml:space="preserve">ꎻ </w:t>
      </w:r>
      <w:r>
        <w:t>有效期满</w:t>
      </w:r>
      <w:r>
        <w:rPr>
          <w:rFonts w:hint="eastAsia" w:ascii="MS UI Gothic" w:eastAsia="MS UI Gothic"/>
          <w:w w:val="85"/>
        </w:rPr>
        <w:t xml:space="preserve">ꎬ </w:t>
      </w:r>
      <w:r>
        <w:t>拖拉机</w:t>
      </w:r>
      <w:r>
        <w:rPr>
          <w:rFonts w:hint="eastAsia" w:ascii="MS UI Gothic" w:eastAsia="MS UI Gothic"/>
        </w:rPr>
        <w:t xml:space="preserve">、 </w:t>
      </w:r>
      <w:r>
        <w:t>联合收割机操作人员可以向原发证机关申请续展</w:t>
      </w:r>
      <w:r>
        <w:rPr>
          <w:rFonts w:hint="eastAsia" w:ascii="MS UI Gothic" w:eastAsia="MS UI Gothic"/>
          <w:w w:val="85"/>
        </w:rPr>
        <w:t xml:space="preserve">ꎮ </w:t>
      </w:r>
      <w:r>
        <w:t xml:space="preserve">未满 </w:t>
      </w:r>
      <w:r>
        <w:rPr>
          <w:rFonts w:hint="eastAsia" w:ascii="MS UI Gothic" w:eastAsia="MS UI Gothic"/>
          <w:w w:val="85"/>
        </w:rPr>
        <w:t xml:space="preserve">１８ </w:t>
      </w:r>
      <w:r>
        <w:t>周岁不得操作拖拉机</w:t>
      </w:r>
      <w:r>
        <w:rPr>
          <w:rFonts w:hint="eastAsia" w:ascii="MS UI Gothic" w:eastAsia="MS UI Gothic"/>
        </w:rPr>
        <w:t xml:space="preserve">、 </w:t>
      </w:r>
      <w:r>
        <w:t>联合收割机</w:t>
      </w:r>
      <w:r>
        <w:rPr>
          <w:rFonts w:hint="eastAsia" w:ascii="MS UI Gothic" w:eastAsia="MS UI Gothic"/>
          <w:w w:val="85"/>
        </w:rPr>
        <w:t>ꎮ</w:t>
      </w:r>
      <w:r>
        <w:t xml:space="preserve">操作人员年满 </w:t>
      </w:r>
      <w:r>
        <w:rPr>
          <w:rFonts w:hint="eastAsia" w:ascii="MS UI Gothic" w:eastAsia="MS UI Gothic"/>
          <w:w w:val="85"/>
        </w:rPr>
        <w:t xml:space="preserve">７０ </w:t>
      </w:r>
      <w:r>
        <w:t>周岁的</w:t>
      </w:r>
      <w:r>
        <w:rPr>
          <w:rFonts w:hint="eastAsia" w:ascii="MS UI Gothic" w:eastAsia="MS UI Gothic"/>
          <w:w w:val="85"/>
        </w:rPr>
        <w:t xml:space="preserve">ꎬ </w:t>
      </w:r>
      <w:r>
        <w:t>县级人民政府农业机械化主管部门应当注销其操作证件</w:t>
      </w:r>
      <w:r>
        <w:rPr>
          <w:rFonts w:hint="eastAsia" w:ascii="MS UI Gothic" w:eastAsia="MS UI Gothic"/>
          <w:w w:val="85"/>
        </w:rPr>
        <w:t>ꎮ</w:t>
      </w:r>
    </w:p>
    <w:p>
      <w:pPr>
        <w:pStyle w:val="6"/>
        <w:spacing w:line="295" w:lineRule="auto"/>
        <w:ind w:right="39"/>
        <w:rPr>
          <w:rFonts w:hint="eastAsia" w:ascii="MS UI Gothic" w:eastAsia="MS UI Gothic"/>
        </w:rPr>
      </w:pPr>
      <w:r>
        <w:t>第二十三条 拖拉机</w:t>
      </w:r>
      <w:r>
        <w:rPr>
          <w:rFonts w:hint="eastAsia" w:ascii="MS UI Gothic" w:eastAsia="MS UI Gothic"/>
          <w:w w:val="80"/>
        </w:rPr>
        <w:t xml:space="preserve">、 </w:t>
      </w:r>
      <w:r>
        <w:t>联合收割机应当悬挂牌照</w:t>
      </w:r>
      <w:r>
        <w:rPr>
          <w:rFonts w:hint="eastAsia" w:ascii="MS UI Gothic" w:eastAsia="MS UI Gothic"/>
          <w:w w:val="80"/>
        </w:rPr>
        <w:t xml:space="preserve">ꎮ </w:t>
      </w:r>
      <w:r>
        <w:t>拖拉机上道路行驶</w:t>
      </w:r>
      <w:r>
        <w:rPr>
          <w:rFonts w:hint="eastAsia" w:ascii="MS UI Gothic" w:eastAsia="MS UI Gothic"/>
          <w:w w:val="80"/>
        </w:rPr>
        <w:t xml:space="preserve">ꎬ </w:t>
      </w:r>
      <w:r>
        <w:t>联合收割机因转场作业</w:t>
      </w:r>
      <w:r>
        <w:rPr>
          <w:rFonts w:hint="eastAsia" w:ascii="MS UI Gothic" w:eastAsia="MS UI Gothic"/>
          <w:w w:val="80"/>
        </w:rPr>
        <w:t xml:space="preserve">、 </w:t>
      </w:r>
      <w:r>
        <w:t>维修</w:t>
      </w:r>
      <w:r>
        <w:rPr>
          <w:rFonts w:hint="eastAsia" w:ascii="MS UI Gothic" w:eastAsia="MS UI Gothic"/>
          <w:w w:val="80"/>
        </w:rPr>
        <w:t xml:space="preserve">、 </w:t>
      </w:r>
      <w:r>
        <w:t>安全检验等需要转移的</w:t>
      </w:r>
      <w:r>
        <w:rPr>
          <w:rFonts w:hint="eastAsia" w:ascii="MS UI Gothic" w:eastAsia="MS UI Gothic"/>
          <w:w w:val="80"/>
        </w:rPr>
        <w:t xml:space="preserve">ꎬ </w:t>
      </w:r>
      <w:r>
        <w:t>其操作人员应当携带操作证件</w:t>
      </w:r>
      <w:r>
        <w:rPr>
          <w:rFonts w:hint="eastAsia" w:ascii="MS UI Gothic" w:eastAsia="MS UI Gothic"/>
          <w:w w:val="80"/>
        </w:rPr>
        <w:t>ꎮ</w:t>
      </w:r>
    </w:p>
    <w:p>
      <w:pPr>
        <w:pStyle w:val="6"/>
        <w:spacing w:line="295" w:lineRule="auto"/>
        <w:ind w:right="39"/>
        <w:rPr>
          <w:rFonts w:hint="eastAsia" w:ascii="MS UI Gothic" w:eastAsia="MS UI Gothic"/>
        </w:rPr>
      </w:pPr>
      <w:r>
        <w:t>拖拉机</w:t>
      </w:r>
      <w:r>
        <w:rPr>
          <w:rFonts w:hint="eastAsia" w:ascii="MS UI Gothic" w:eastAsia="MS UI Gothic"/>
        </w:rPr>
        <w:t xml:space="preserve">、 </w:t>
      </w:r>
      <w:r>
        <w:t>联合收割机操作人员不得有</w:t>
      </w:r>
      <w:r>
        <w:rPr>
          <w:w w:val="110"/>
        </w:rPr>
        <w:t>下列行为</w:t>
      </w:r>
      <w:r>
        <w:rPr>
          <w:rFonts w:hint="eastAsia" w:ascii="MS UI Gothic" w:eastAsia="MS UI Gothic"/>
          <w:w w:val="235"/>
        </w:rPr>
        <w:t>:</w:t>
      </w:r>
    </w:p>
    <w:p>
      <w:pPr>
        <w:pStyle w:val="6"/>
        <w:spacing w:line="255" w:lineRule="exact"/>
        <w:ind w:left="543" w:firstLine="0"/>
      </w:pPr>
      <w:r>
        <w:rPr>
          <w:rFonts w:hint="eastAsia" w:ascii="MS UI Gothic" w:eastAsia="MS UI Gothic"/>
          <w:w w:val="110"/>
        </w:rPr>
        <w:t xml:space="preserve">( </w:t>
      </w:r>
      <w:r>
        <w:rPr>
          <w:w w:val="110"/>
        </w:rPr>
        <w:t>一</w:t>
      </w:r>
      <w:r>
        <w:rPr>
          <w:rFonts w:hint="eastAsia" w:ascii="MS UI Gothic" w:eastAsia="MS UI Gothic"/>
          <w:w w:val="110"/>
        </w:rPr>
        <w:t xml:space="preserve">) </w:t>
      </w:r>
      <w:r>
        <w:rPr>
          <w:w w:val="110"/>
        </w:rPr>
        <w:t>操作与本人操作证件规定不相</w:t>
      </w:r>
    </w:p>
    <w:p>
      <w:pPr>
        <w:pStyle w:val="6"/>
        <w:spacing w:before="123"/>
        <w:ind w:firstLine="0"/>
        <w:rPr>
          <w:rFonts w:hint="eastAsia" w:ascii="MS UI Gothic" w:eastAsia="MS UI Gothic"/>
        </w:rPr>
      </w:pPr>
      <w:r>
        <w:br w:type="column"/>
      </w:r>
      <w:r>
        <w:t>符的拖拉机</w:t>
      </w:r>
      <w:r>
        <w:rPr>
          <w:rFonts w:hint="eastAsia" w:ascii="MS UI Gothic" w:eastAsia="MS UI Gothic"/>
        </w:rPr>
        <w:t xml:space="preserve">、 </w:t>
      </w:r>
      <w:r>
        <w:t>联合收割机</w:t>
      </w:r>
      <w:r>
        <w:rPr>
          <w:rFonts w:hint="eastAsia" w:ascii="MS UI Gothic" w:eastAsia="MS UI Gothic"/>
          <w:w w:val="80"/>
        </w:rPr>
        <w:t>ꎻ</w:t>
      </w:r>
    </w:p>
    <w:p>
      <w:pPr>
        <w:pStyle w:val="6"/>
        <w:spacing w:before="58" w:line="295" w:lineRule="auto"/>
        <w:ind w:right="442"/>
        <w:rPr>
          <w:rFonts w:hint="eastAsia" w:ascii="MS UI Gothic" w:eastAsia="MS UI Gothic"/>
        </w:rPr>
      </w:pPr>
      <w:r>
        <w:rPr>
          <w:rFonts w:hint="eastAsia" w:ascii="MS UI Gothic" w:eastAsia="MS UI Gothic"/>
          <w:w w:val="150"/>
        </w:rPr>
        <w:t xml:space="preserve">( </w:t>
      </w:r>
      <w:r>
        <w:rPr>
          <w:w w:val="105"/>
        </w:rPr>
        <w:t>二</w:t>
      </w:r>
      <w:r>
        <w:rPr>
          <w:rFonts w:hint="eastAsia" w:ascii="MS UI Gothic" w:eastAsia="MS UI Gothic"/>
          <w:w w:val="150"/>
        </w:rPr>
        <w:t xml:space="preserve">) </w:t>
      </w:r>
      <w:r>
        <w:rPr>
          <w:w w:val="105"/>
        </w:rPr>
        <w:t>操作未按照规定登记</w:t>
      </w:r>
      <w:r>
        <w:rPr>
          <w:rFonts w:hint="eastAsia" w:ascii="MS UI Gothic" w:eastAsia="MS UI Gothic"/>
          <w:w w:val="80"/>
        </w:rPr>
        <w:t xml:space="preserve">、 </w:t>
      </w:r>
      <w:r>
        <w:rPr>
          <w:w w:val="105"/>
        </w:rPr>
        <w:t>检验或者检验不合格</w:t>
      </w:r>
      <w:r>
        <w:rPr>
          <w:rFonts w:hint="eastAsia" w:ascii="MS UI Gothic" w:eastAsia="MS UI Gothic"/>
          <w:w w:val="80"/>
        </w:rPr>
        <w:t xml:space="preserve">、 </w:t>
      </w:r>
      <w:r>
        <w:rPr>
          <w:w w:val="105"/>
        </w:rPr>
        <w:t>安全设施不全</w:t>
      </w:r>
      <w:r>
        <w:rPr>
          <w:rFonts w:hint="eastAsia" w:ascii="MS UI Gothic" w:eastAsia="MS UI Gothic"/>
          <w:w w:val="80"/>
        </w:rPr>
        <w:t xml:space="preserve">、 </w:t>
      </w:r>
      <w:r>
        <w:rPr>
          <w:w w:val="105"/>
        </w:rPr>
        <w:t>机件失效的拖拉机</w:t>
      </w:r>
      <w:r>
        <w:rPr>
          <w:rFonts w:hint="eastAsia" w:ascii="MS UI Gothic" w:eastAsia="MS UI Gothic"/>
          <w:w w:val="80"/>
        </w:rPr>
        <w:t xml:space="preserve">、 </w:t>
      </w:r>
      <w:r>
        <w:rPr>
          <w:w w:val="105"/>
        </w:rPr>
        <w:t>联合收割机</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三</w:t>
      </w:r>
      <w:r>
        <w:rPr>
          <w:rFonts w:hint="eastAsia" w:ascii="MS UI Gothic" w:eastAsia="MS UI Gothic"/>
          <w:w w:val="150"/>
        </w:rPr>
        <w:t xml:space="preserve">) </w:t>
      </w:r>
      <w:r>
        <w:rPr>
          <w:w w:val="105"/>
        </w:rPr>
        <w:t>使用国家管制的精神药品</w:t>
      </w:r>
      <w:r>
        <w:rPr>
          <w:rFonts w:hint="eastAsia" w:ascii="MS UI Gothic" w:eastAsia="MS UI Gothic"/>
          <w:w w:val="80"/>
        </w:rPr>
        <w:t xml:space="preserve">、 </w:t>
      </w:r>
      <w:r>
        <w:rPr>
          <w:w w:val="105"/>
        </w:rPr>
        <w:t>麻醉品后操作拖拉机</w:t>
      </w:r>
      <w:r>
        <w:rPr>
          <w:rFonts w:hint="eastAsia" w:ascii="MS UI Gothic" w:eastAsia="MS UI Gothic"/>
          <w:w w:val="80"/>
        </w:rPr>
        <w:t xml:space="preserve">、 </w:t>
      </w:r>
      <w:r>
        <w:rPr>
          <w:w w:val="105"/>
        </w:rPr>
        <w:t>联合收割机</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50"/>
        </w:rPr>
        <w:t xml:space="preserve">( </w:t>
      </w:r>
      <w:r>
        <w:rPr>
          <w:w w:val="105"/>
        </w:rPr>
        <w:t>四</w:t>
      </w:r>
      <w:r>
        <w:rPr>
          <w:rFonts w:hint="eastAsia" w:ascii="MS UI Gothic" w:eastAsia="MS UI Gothic"/>
          <w:w w:val="150"/>
        </w:rPr>
        <w:t xml:space="preserve">) </w:t>
      </w:r>
      <w:r>
        <w:rPr>
          <w:w w:val="105"/>
        </w:rPr>
        <w:t>患有妨碍安全操作的疾病操作拖拉机</w:t>
      </w:r>
      <w:r>
        <w:rPr>
          <w:rFonts w:hint="eastAsia" w:ascii="MS UI Gothic" w:eastAsia="MS UI Gothic"/>
          <w:w w:val="80"/>
        </w:rPr>
        <w:t xml:space="preserve">、 </w:t>
      </w:r>
      <w:r>
        <w:rPr>
          <w:w w:val="105"/>
        </w:rPr>
        <w:t>联合收割机</w:t>
      </w:r>
      <w:r>
        <w:rPr>
          <w:rFonts w:hint="eastAsia" w:ascii="MS UI Gothic" w:eastAsia="MS UI Gothic"/>
          <w:w w:val="80"/>
        </w:rPr>
        <w:t>ꎻ</w:t>
      </w:r>
    </w:p>
    <w:p>
      <w:pPr>
        <w:pStyle w:val="6"/>
        <w:spacing w:line="295" w:lineRule="auto"/>
        <w:ind w:right="442"/>
        <w:rPr>
          <w:rFonts w:hint="eastAsia" w:ascii="MS UI Gothic" w:eastAsia="MS UI Gothic"/>
        </w:rPr>
      </w:pPr>
      <w:r>
        <w:rPr>
          <w:rFonts w:hint="eastAsia" w:ascii="MS UI Gothic" w:eastAsia="MS UI Gothic"/>
          <w:w w:val="105"/>
        </w:rPr>
        <w:t xml:space="preserve">( </w:t>
      </w:r>
      <w:r>
        <w:rPr>
          <w:w w:val="105"/>
        </w:rPr>
        <w:t>五</w:t>
      </w:r>
      <w:r>
        <w:rPr>
          <w:rFonts w:hint="eastAsia" w:ascii="MS UI Gothic" w:eastAsia="MS UI Gothic"/>
          <w:w w:val="105"/>
        </w:rPr>
        <w:t xml:space="preserve">) </w:t>
      </w:r>
      <w:r>
        <w:rPr>
          <w:w w:val="105"/>
        </w:rPr>
        <w:t>国务院农业机械化主管部门规</w:t>
      </w:r>
      <w:r>
        <w:rPr>
          <w:w w:val="110"/>
        </w:rPr>
        <w:t>定的其他禁止行为</w:t>
      </w:r>
      <w:r>
        <w:rPr>
          <w:rFonts w:hint="eastAsia" w:ascii="MS UI Gothic" w:eastAsia="MS UI Gothic"/>
          <w:w w:val="80"/>
        </w:rPr>
        <w:t>ꎮ</w:t>
      </w:r>
    </w:p>
    <w:p>
      <w:pPr>
        <w:pStyle w:val="6"/>
        <w:spacing w:line="295" w:lineRule="auto"/>
        <w:ind w:right="442"/>
        <w:rPr>
          <w:rFonts w:hint="eastAsia" w:ascii="MS UI Gothic" w:eastAsia="MS UI Gothic"/>
        </w:rPr>
      </w:pPr>
      <w:r>
        <w:t>禁止使用拖拉机</w:t>
      </w:r>
      <w:r>
        <w:rPr>
          <w:rFonts w:hint="eastAsia" w:ascii="MS UI Gothic" w:eastAsia="MS UI Gothic"/>
          <w:w w:val="80"/>
        </w:rPr>
        <w:t xml:space="preserve">、 </w:t>
      </w:r>
      <w:r>
        <w:t>联合收割机违反规定载人</w:t>
      </w:r>
      <w:r>
        <w:rPr>
          <w:rFonts w:hint="eastAsia" w:ascii="MS UI Gothic" w:eastAsia="MS UI Gothic"/>
          <w:w w:val="80"/>
        </w:rPr>
        <w:t>ꎮ</w:t>
      </w:r>
    </w:p>
    <w:p>
      <w:pPr>
        <w:pStyle w:val="6"/>
        <w:spacing w:line="295" w:lineRule="auto"/>
        <w:ind w:right="442"/>
        <w:rPr>
          <w:rFonts w:hint="eastAsia" w:ascii="MS UI Gothic" w:eastAsia="MS UI Gothic"/>
        </w:rPr>
      </w:pPr>
      <w:r>
        <w:t>第二十四条 农业机械操作人员作业前</w:t>
      </w:r>
      <w:r>
        <w:rPr>
          <w:rFonts w:hint="eastAsia" w:ascii="MS UI Gothic" w:eastAsia="MS UI Gothic"/>
          <w:w w:val="80"/>
        </w:rPr>
        <w:t xml:space="preserve">ꎬ </w:t>
      </w:r>
      <w:r>
        <w:t>应当对农业机械进行安全查验</w:t>
      </w:r>
      <w:r>
        <w:rPr>
          <w:rFonts w:hint="eastAsia" w:ascii="MS UI Gothic" w:eastAsia="MS UI Gothic"/>
          <w:w w:val="80"/>
        </w:rPr>
        <w:t xml:space="preserve">ꎻ </w:t>
      </w:r>
      <w:r>
        <w:t>作业时</w:t>
      </w:r>
      <w:r>
        <w:rPr>
          <w:rFonts w:hint="eastAsia" w:ascii="MS UI Gothic" w:eastAsia="MS UI Gothic"/>
          <w:w w:val="80"/>
        </w:rPr>
        <w:t xml:space="preserve">ꎬ </w:t>
      </w:r>
      <w:r>
        <w:t>应当遵守国务院农业机械化主管部门和省</w:t>
      </w:r>
      <w:r>
        <w:rPr>
          <w:rFonts w:hint="eastAsia" w:ascii="MS UI Gothic" w:eastAsia="MS UI Gothic"/>
          <w:w w:val="80"/>
        </w:rPr>
        <w:t xml:space="preserve">、 </w:t>
      </w:r>
      <w:r>
        <w:t>自治区</w:t>
      </w:r>
      <w:r>
        <w:rPr>
          <w:rFonts w:hint="eastAsia" w:ascii="MS UI Gothic" w:eastAsia="MS UI Gothic"/>
          <w:w w:val="80"/>
        </w:rPr>
        <w:t xml:space="preserve">、 </w:t>
      </w:r>
      <w:r>
        <w:t>直辖市人民政府农业机械化主管部门制定的安全操作规程</w:t>
      </w:r>
      <w:r>
        <w:rPr>
          <w:rFonts w:hint="eastAsia" w:ascii="MS UI Gothic" w:eastAsia="MS UI Gothic"/>
          <w:w w:val="80"/>
        </w:rPr>
        <w:t>ꎮ</w:t>
      </w:r>
    </w:p>
    <w:p>
      <w:pPr>
        <w:pStyle w:val="6"/>
        <w:tabs>
          <w:tab w:val="left" w:pos="1906"/>
        </w:tabs>
        <w:spacing w:before="145"/>
        <w:ind w:left="1067" w:firstLine="0"/>
        <w:jc w:val="left"/>
      </w:pPr>
      <w:r>
        <w:rPr>
          <w:spacing w:val="3"/>
          <w:w w:val="105"/>
        </w:rPr>
        <w:t>第四</w:t>
      </w:r>
      <w:r>
        <w:rPr>
          <w:w w:val="105"/>
        </w:rPr>
        <w:t>章</w:t>
      </w:r>
      <w:r>
        <w:rPr>
          <w:w w:val="105"/>
        </w:rPr>
        <w:tab/>
      </w:r>
      <w:r>
        <w:rPr>
          <w:w w:val="105"/>
        </w:rPr>
        <w:t>事</w:t>
      </w:r>
      <w:r>
        <w:rPr>
          <w:spacing w:val="-33"/>
          <w:w w:val="105"/>
        </w:rPr>
        <w:t xml:space="preserve"> </w:t>
      </w:r>
      <w:r>
        <w:rPr>
          <w:w w:val="105"/>
        </w:rPr>
        <w:t>故</w:t>
      </w:r>
      <w:r>
        <w:rPr>
          <w:spacing w:val="-33"/>
          <w:w w:val="105"/>
        </w:rPr>
        <w:t xml:space="preserve"> </w:t>
      </w:r>
      <w:r>
        <w:rPr>
          <w:w w:val="105"/>
        </w:rPr>
        <w:t>处</w:t>
      </w:r>
      <w:r>
        <w:rPr>
          <w:spacing w:val="-33"/>
          <w:w w:val="105"/>
        </w:rPr>
        <w:t xml:space="preserve"> </w:t>
      </w:r>
      <w:r>
        <w:rPr>
          <w:w w:val="105"/>
        </w:rPr>
        <w:t>理</w:t>
      </w:r>
    </w:p>
    <w:p>
      <w:pPr>
        <w:pStyle w:val="6"/>
        <w:spacing w:before="215" w:line="295" w:lineRule="auto"/>
        <w:ind w:right="442"/>
        <w:rPr>
          <w:rFonts w:hint="eastAsia" w:ascii="MS UI Gothic" w:eastAsia="MS UI Gothic"/>
        </w:rPr>
      </w:pPr>
      <w:r>
        <w:rPr>
          <w:spacing w:val="2"/>
          <w:w w:val="105"/>
        </w:rPr>
        <w:t>第二十五条 县级以上地方人民政府</w:t>
      </w:r>
      <w:r>
        <w:rPr>
          <w:spacing w:val="2"/>
        </w:rPr>
        <w:t>农业机械化主管部门负责农业机械事故责</w:t>
      </w:r>
      <w:r>
        <w:rPr>
          <w:spacing w:val="3"/>
          <w:w w:val="105"/>
        </w:rPr>
        <w:t>任的认定和调解处理</w:t>
      </w:r>
      <w:r>
        <w:rPr>
          <w:rFonts w:hint="eastAsia" w:ascii="MS UI Gothic" w:eastAsia="MS UI Gothic"/>
          <w:w w:val="80"/>
        </w:rPr>
        <w:t>ꎮ</w:t>
      </w:r>
    </w:p>
    <w:p>
      <w:pPr>
        <w:pStyle w:val="6"/>
        <w:spacing w:line="295" w:lineRule="auto"/>
        <w:ind w:right="442"/>
        <w:rPr>
          <w:rFonts w:hint="eastAsia" w:ascii="MS UI Gothic" w:eastAsia="MS UI Gothic"/>
        </w:rPr>
      </w:pPr>
      <w:r>
        <w:rPr>
          <w:spacing w:val="3"/>
        </w:rPr>
        <w:t>本条例所称农业机械事故</w:t>
      </w:r>
      <w:r>
        <w:rPr>
          <w:rFonts w:hint="eastAsia" w:ascii="MS UI Gothic" w:eastAsia="MS UI Gothic"/>
          <w:spacing w:val="15"/>
          <w:w w:val="80"/>
        </w:rPr>
        <w:t xml:space="preserve">ꎬ </w:t>
      </w:r>
      <w:r>
        <w:rPr>
          <w:spacing w:val="2"/>
        </w:rPr>
        <w:t>是指农业机械在作业或者转移等过程中造成人身伤</w:t>
      </w:r>
      <w:r>
        <w:rPr>
          <w:spacing w:val="3"/>
        </w:rPr>
        <w:t>亡</w:t>
      </w:r>
      <w:r>
        <w:rPr>
          <w:rFonts w:hint="eastAsia" w:ascii="MS UI Gothic" w:eastAsia="MS UI Gothic"/>
          <w:spacing w:val="3"/>
          <w:w w:val="80"/>
        </w:rPr>
        <w:t xml:space="preserve">、 </w:t>
      </w:r>
      <w:r>
        <w:rPr>
          <w:spacing w:val="3"/>
        </w:rPr>
        <w:t>财产损失的事件</w:t>
      </w:r>
      <w:r>
        <w:rPr>
          <w:rFonts w:hint="eastAsia" w:ascii="MS UI Gothic" w:eastAsia="MS UI Gothic"/>
          <w:w w:val="80"/>
        </w:rPr>
        <w:t>ꎮ</w:t>
      </w:r>
    </w:p>
    <w:p>
      <w:pPr>
        <w:pStyle w:val="6"/>
        <w:spacing w:line="295" w:lineRule="auto"/>
        <w:ind w:right="440"/>
        <w:rPr>
          <w:rFonts w:hint="eastAsia" w:ascii="MS UI Gothic" w:eastAsia="MS UI Gothic"/>
        </w:rPr>
      </w:pPr>
      <w:r>
        <w:t>农业机械在道路上发生的交通事故</w:t>
      </w:r>
      <w:r>
        <w:rPr>
          <w:rFonts w:hint="eastAsia" w:ascii="MS UI Gothic" w:eastAsia="MS UI Gothic"/>
          <w:w w:val="80"/>
        </w:rPr>
        <w:t>ꎬ</w:t>
      </w:r>
      <w:r>
        <w:t>由公安机关交通管理部门依照道路交通安全法律</w:t>
      </w:r>
      <w:r>
        <w:rPr>
          <w:rFonts w:hint="eastAsia" w:ascii="MS UI Gothic" w:eastAsia="MS UI Gothic"/>
          <w:w w:val="80"/>
        </w:rPr>
        <w:t xml:space="preserve">、 </w:t>
      </w:r>
      <w:r>
        <w:t>法规处理</w:t>
      </w:r>
      <w:r>
        <w:rPr>
          <w:rFonts w:hint="eastAsia" w:ascii="MS UI Gothic" w:eastAsia="MS UI Gothic"/>
          <w:w w:val="80"/>
        </w:rPr>
        <w:t xml:space="preserve">ꎻ </w:t>
      </w:r>
      <w:r>
        <w:t>拖拉机在道路以外通行时发生的事故</w:t>
      </w:r>
      <w:r>
        <w:rPr>
          <w:rFonts w:hint="eastAsia" w:ascii="MS UI Gothic" w:eastAsia="MS UI Gothic"/>
          <w:w w:val="80"/>
        </w:rPr>
        <w:t xml:space="preserve">ꎬ </w:t>
      </w:r>
      <w:r>
        <w:t>公安机关交通管理部门接到报案的</w:t>
      </w:r>
      <w:r>
        <w:rPr>
          <w:rFonts w:hint="eastAsia" w:ascii="MS UI Gothic" w:eastAsia="MS UI Gothic"/>
          <w:w w:val="80"/>
        </w:rPr>
        <w:t xml:space="preserve">ꎬ </w:t>
      </w:r>
      <w:r>
        <w:t>参照道路交通安全法律</w:t>
      </w:r>
      <w:r>
        <w:rPr>
          <w:rFonts w:hint="eastAsia" w:ascii="MS UI Gothic" w:eastAsia="MS UI Gothic"/>
          <w:w w:val="80"/>
        </w:rPr>
        <w:t xml:space="preserve">、 </w:t>
      </w:r>
      <w:r>
        <w:t>法规处理</w:t>
      </w:r>
      <w:r>
        <w:rPr>
          <w:rFonts w:hint="eastAsia" w:ascii="MS UI Gothic" w:eastAsia="MS UI Gothic"/>
          <w:w w:val="80"/>
        </w:rPr>
        <w:t xml:space="preserve">ꎮ </w:t>
      </w:r>
      <w:r>
        <w:t>农业机械事故造成公路及其附属设施损坏的</w:t>
      </w:r>
      <w:r>
        <w:rPr>
          <w:rFonts w:hint="eastAsia" w:ascii="MS UI Gothic" w:eastAsia="MS UI Gothic"/>
          <w:w w:val="80"/>
        </w:rPr>
        <w:t xml:space="preserve">ꎬ </w:t>
      </w:r>
      <w:r>
        <w:t>由交通主管部门依照公路法律</w:t>
      </w:r>
      <w:r>
        <w:rPr>
          <w:rFonts w:hint="eastAsia" w:ascii="MS UI Gothic" w:eastAsia="MS UI Gothic"/>
          <w:w w:val="80"/>
        </w:rPr>
        <w:t xml:space="preserve">、 </w:t>
      </w:r>
      <w:r>
        <w:t>法规处理</w:t>
      </w:r>
      <w:r>
        <w:rPr>
          <w:rFonts w:hint="eastAsia" w:ascii="MS UI Gothic" w:eastAsia="MS UI Gothic"/>
          <w:w w:val="80"/>
        </w:rPr>
        <w:t>ꎮ</w:t>
      </w:r>
    </w:p>
    <w:p>
      <w:pPr>
        <w:pStyle w:val="6"/>
        <w:spacing w:line="295" w:lineRule="auto"/>
        <w:ind w:right="440"/>
      </w:pPr>
      <w:r>
        <w:t>第二十六条 在道路以外发生的农业机械事故</w:t>
      </w:r>
      <w:r>
        <w:rPr>
          <w:rFonts w:hint="eastAsia" w:ascii="MS UI Gothic" w:eastAsia="MS UI Gothic"/>
          <w:w w:val="80"/>
        </w:rPr>
        <w:t xml:space="preserve">ꎬ </w:t>
      </w:r>
      <w:r>
        <w:t>操作人员和现场其他人员应当立即停止作业或者停止农业机械的转移</w:t>
      </w:r>
      <w:r>
        <w:rPr>
          <w:rFonts w:hint="eastAsia" w:ascii="MS UI Gothic" w:eastAsia="MS UI Gothic"/>
          <w:w w:val="80"/>
        </w:rPr>
        <w:t>ꎬ</w:t>
      </w:r>
      <w:r>
        <w:t>保护现场</w:t>
      </w:r>
      <w:r>
        <w:rPr>
          <w:rFonts w:hint="eastAsia" w:ascii="MS UI Gothic" w:eastAsia="MS UI Gothic"/>
          <w:w w:val="80"/>
        </w:rPr>
        <w:t xml:space="preserve">ꎬ </w:t>
      </w:r>
      <w:r>
        <w:t>造成人员伤害的</w:t>
      </w:r>
      <w:r>
        <w:rPr>
          <w:rFonts w:hint="eastAsia" w:ascii="MS UI Gothic" w:eastAsia="MS UI Gothic"/>
          <w:w w:val="80"/>
        </w:rPr>
        <w:t xml:space="preserve">ꎬ </w:t>
      </w:r>
      <w:r>
        <w:t>应当向事故发生地农业机械化主管部门报告</w:t>
      </w:r>
      <w:r>
        <w:rPr>
          <w:rFonts w:hint="eastAsia" w:ascii="MS UI Gothic" w:eastAsia="MS UI Gothic"/>
          <w:w w:val="80"/>
        </w:rPr>
        <w:t xml:space="preserve">ꎻ </w:t>
      </w:r>
      <w:r>
        <w:t>造成人员死亡的</w:t>
      </w:r>
      <w:r>
        <w:rPr>
          <w:rFonts w:hint="eastAsia" w:ascii="MS UI Gothic" w:eastAsia="MS UI Gothic"/>
          <w:w w:val="80"/>
        </w:rPr>
        <w:t xml:space="preserve">ꎬ </w:t>
      </w:r>
      <w:r>
        <w:t>还应当向事故发生地公安机关</w:t>
      </w:r>
    </w:p>
    <w:p>
      <w:pPr>
        <w:spacing w:after="0" w:line="295" w:lineRule="auto"/>
        <w:sectPr>
          <w:type w:val="continuous"/>
          <w:pgSz w:w="10500" w:h="14750"/>
          <w:pgMar w:top="1400" w:right="980" w:bottom="280" w:left="980" w:header="720" w:footer="720" w:gutter="0"/>
          <w:cols w:equalWidth="0" w:num="2">
            <w:col w:w="3936" w:space="256"/>
            <w:col w:w="4348"/>
          </w:cols>
        </w:sectPr>
      </w:pPr>
    </w:p>
    <w:p>
      <w:pPr>
        <w:spacing w:before="192"/>
        <w:ind w:left="0" w:right="0" w:firstLine="0"/>
        <w:jc w:val="right"/>
        <w:rPr>
          <w:sz w:val="17"/>
        </w:rPr>
      </w:pPr>
      <w:r>
        <w:rPr>
          <w:sz w:val="17"/>
        </w:rPr>
        <w:t>四</w:t>
      </w:r>
      <w:r>
        <w:rPr>
          <w:rFonts w:hint="eastAsia" w:ascii="Microsoft Yi Baiti" w:eastAsia="Microsoft Yi Baiti"/>
          <w:sz w:val="17"/>
        </w:rPr>
        <w:t xml:space="preserve">、 </w:t>
      </w:r>
      <w:r>
        <w:rPr>
          <w:sz w:val="17"/>
        </w:rPr>
        <w:t>安 全 生 产 法</w:t>
      </w:r>
    </w:p>
    <w:p>
      <w:pPr>
        <w:pStyle w:val="6"/>
        <w:spacing w:before="159"/>
        <w:ind w:left="0" w:right="285" w:firstLine="0"/>
        <w:jc w:val="right"/>
        <w:rPr>
          <w:rFonts w:hint="eastAsia" w:ascii="MS UI Gothic" w:eastAsia="MS UI Gothic"/>
        </w:rPr>
      </w:pPr>
      <w:r>
        <w:br w:type="column"/>
      </w:r>
      <w:r>
        <w:rPr>
          <w:rFonts w:hint="eastAsia" w:ascii="MS UI Gothic" w:eastAsia="MS UI Gothic"/>
          <w:spacing w:val="1"/>
          <w:w w:val="75"/>
        </w:rPr>
        <w:t>４８５</w:t>
      </w:r>
    </w:p>
    <w:p>
      <w:pPr>
        <w:spacing w:after="0"/>
        <w:jc w:val="right"/>
        <w:rPr>
          <w:rFonts w:hint="eastAsia" w:ascii="MS UI Gothic" w:eastAsia="MS UI Gothic"/>
        </w:rPr>
        <w:sectPr>
          <w:pgSz w:w="10500" w:h="14750"/>
          <w:pgMar w:top="960" w:right="980" w:bottom="280" w:left="980" w:header="720" w:footer="720" w:gutter="0"/>
          <w:cols w:equalWidth="0" w:num="2">
            <w:col w:w="5140" w:space="40"/>
            <w:col w:w="3360"/>
          </w:cols>
        </w:sectPr>
      </w:pPr>
    </w:p>
    <w:p>
      <w:pPr>
        <w:pStyle w:val="6"/>
        <w:spacing w:before="11"/>
        <w:ind w:left="0" w:firstLine="0"/>
        <w:jc w:val="left"/>
        <w:rPr>
          <w:rFonts w:ascii="MS UI Gothic"/>
          <w:sz w:val="4"/>
        </w:rPr>
      </w:pPr>
    </w:p>
    <w:p>
      <w:pPr>
        <w:pStyle w:val="6"/>
        <w:spacing w:line="42" w:lineRule="exact"/>
        <w:ind w:left="435" w:firstLine="0"/>
        <w:jc w:val="left"/>
        <w:rPr>
          <w:rFonts w:ascii="MS UI Gothic"/>
          <w:sz w:val="4"/>
        </w:rPr>
      </w:pPr>
      <w:r>
        <w:rPr>
          <w:rFonts w:ascii="MS UI Gothic"/>
          <w:position w:val="0"/>
          <w:sz w:val="4"/>
        </w:rPr>
        <w:pict>
          <v:group id="_x0000_s2453" o:spid="_x0000_s2453" o:spt="203" style="height:2.15pt;width:398.25pt;" coordsize="7965,43">
            <o:lock v:ext="edit"/>
            <v:line id="_x0000_s2454" o:spid="_x0000_s2454" o:spt="20" style="position:absolute;left:0;top:39;height:0;width:7965;" stroked="t" coordsize="21600,21600">
              <v:path arrowok="t"/>
              <v:fill focussize="0,0"/>
              <v:stroke weight="0.388031496062992pt" color="#231F20"/>
              <v:imagedata o:title=""/>
              <o:lock v:ext="edit"/>
            </v:line>
            <v:line id="_x0000_s2455" o:spid="_x0000_s2455" o:spt="20" style="position:absolute;left:0;top:4;height:0;width:7965;" stroked="t" coordsize="21600,21600">
              <v:path arrowok="t"/>
              <v:fill focussize="0,0"/>
              <v:stroke weight="0.388031496062992pt" color="#231F20"/>
              <v:imagedata o:title=""/>
              <o:lock v:ext="edit"/>
            </v:line>
            <w10:wrap type="none"/>
            <w10:anchorlock/>
          </v:group>
        </w:pict>
      </w:r>
    </w:p>
    <w:p>
      <w:pPr>
        <w:pStyle w:val="6"/>
        <w:spacing w:before="5"/>
        <w:ind w:left="0" w:firstLine="0"/>
        <w:jc w:val="left"/>
        <w:rPr>
          <w:rFonts w:ascii="MS UI Gothic"/>
          <w:sz w:val="5"/>
        </w:rPr>
      </w:pPr>
    </w:p>
    <w:p>
      <w:pPr>
        <w:spacing w:after="0"/>
        <w:jc w:val="left"/>
        <w:rPr>
          <w:rFonts w:ascii="MS UI Gothic"/>
          <w:sz w:val="5"/>
        </w:rPr>
        <w:sectPr>
          <w:type w:val="continuous"/>
          <w:pgSz w:w="10500" w:h="14750"/>
          <w:pgMar w:top="1400" w:right="980" w:bottom="280" w:left="980" w:header="720" w:footer="720" w:gutter="0"/>
        </w:sectPr>
      </w:pPr>
    </w:p>
    <w:p>
      <w:pPr>
        <w:pStyle w:val="6"/>
        <w:spacing w:before="124" w:line="295" w:lineRule="auto"/>
        <w:ind w:left="440" w:right="1" w:firstLine="0"/>
        <w:rPr>
          <w:rFonts w:hint="eastAsia" w:ascii="MS UI Gothic" w:eastAsia="MS UI Gothic"/>
        </w:rPr>
      </w:pPr>
      <w:r>
        <w:rPr>
          <w:spacing w:val="3"/>
        </w:rPr>
        <w:t>报告</w:t>
      </w:r>
      <w:r>
        <w:rPr>
          <w:rFonts w:hint="eastAsia" w:ascii="MS UI Gothic" w:eastAsia="MS UI Gothic"/>
          <w:spacing w:val="23"/>
          <w:w w:val="80"/>
        </w:rPr>
        <w:t xml:space="preserve">ꎮ </w:t>
      </w:r>
      <w:r>
        <w:rPr>
          <w:spacing w:val="3"/>
        </w:rPr>
        <w:t>造成人身伤害的</w:t>
      </w:r>
      <w:r>
        <w:rPr>
          <w:rFonts w:hint="eastAsia" w:ascii="MS UI Gothic" w:eastAsia="MS UI Gothic"/>
          <w:spacing w:val="23"/>
          <w:w w:val="80"/>
        </w:rPr>
        <w:t xml:space="preserve">ꎬ </w:t>
      </w:r>
      <w:r>
        <w:rPr>
          <w:spacing w:val="2"/>
        </w:rPr>
        <w:t>应当立即采取措</w:t>
      </w:r>
      <w:r>
        <w:rPr>
          <w:spacing w:val="3"/>
        </w:rPr>
        <w:t>施</w:t>
      </w:r>
      <w:r>
        <w:rPr>
          <w:rFonts w:hint="eastAsia" w:ascii="MS UI Gothic" w:eastAsia="MS UI Gothic"/>
          <w:spacing w:val="23"/>
          <w:w w:val="80"/>
        </w:rPr>
        <w:t xml:space="preserve">ꎬ </w:t>
      </w:r>
      <w:r>
        <w:rPr>
          <w:spacing w:val="3"/>
        </w:rPr>
        <w:t>抢救受伤人员</w:t>
      </w:r>
      <w:r>
        <w:rPr>
          <w:rFonts w:hint="eastAsia" w:ascii="MS UI Gothic" w:eastAsia="MS UI Gothic"/>
          <w:spacing w:val="23"/>
          <w:w w:val="80"/>
        </w:rPr>
        <w:t xml:space="preserve">ꎮ </w:t>
      </w:r>
      <w:r>
        <w:rPr>
          <w:spacing w:val="2"/>
        </w:rPr>
        <w:t>因抢救受伤人员变动</w:t>
      </w:r>
      <w:r>
        <w:rPr>
          <w:spacing w:val="3"/>
        </w:rPr>
        <w:t>现场的</w:t>
      </w:r>
      <w:r>
        <w:rPr>
          <w:rFonts w:hint="eastAsia" w:ascii="MS UI Gothic" w:eastAsia="MS UI Gothic"/>
          <w:spacing w:val="2"/>
          <w:w w:val="80"/>
        </w:rPr>
        <w:t xml:space="preserve">ꎬ </w:t>
      </w:r>
      <w:r>
        <w:rPr>
          <w:spacing w:val="3"/>
        </w:rPr>
        <w:t>应当标明位置</w:t>
      </w:r>
      <w:r>
        <w:rPr>
          <w:rFonts w:hint="eastAsia" w:ascii="MS UI Gothic" w:eastAsia="MS UI Gothic"/>
          <w:w w:val="80"/>
        </w:rPr>
        <w:t>ꎮ</w:t>
      </w:r>
    </w:p>
    <w:p>
      <w:pPr>
        <w:pStyle w:val="6"/>
        <w:spacing w:line="295" w:lineRule="auto"/>
        <w:ind w:left="440"/>
        <w:rPr>
          <w:rFonts w:hint="eastAsia" w:ascii="MS UI Gothic" w:eastAsia="MS UI Gothic"/>
        </w:rPr>
      </w:pPr>
      <w:r>
        <w:rPr>
          <w:spacing w:val="2"/>
        </w:rPr>
        <w:t>接到报告的农业机械化主管部门和公</w:t>
      </w:r>
      <w:r>
        <w:rPr>
          <w:spacing w:val="4"/>
        </w:rPr>
        <w:t>安机关应当立即派人赶赴现场进行勘验</w:t>
      </w:r>
      <w:r>
        <w:rPr>
          <w:rFonts w:hint="eastAsia" w:ascii="MS UI Gothic" w:eastAsia="MS UI Gothic"/>
          <w:w w:val="80"/>
        </w:rPr>
        <w:t>、</w:t>
      </w:r>
      <w:r>
        <w:rPr>
          <w:spacing w:val="3"/>
        </w:rPr>
        <w:t>检查</w:t>
      </w:r>
      <w:r>
        <w:rPr>
          <w:rFonts w:hint="eastAsia" w:ascii="MS UI Gothic" w:eastAsia="MS UI Gothic"/>
          <w:spacing w:val="15"/>
          <w:w w:val="80"/>
        </w:rPr>
        <w:t xml:space="preserve">ꎬ </w:t>
      </w:r>
      <w:r>
        <w:rPr>
          <w:spacing w:val="3"/>
        </w:rPr>
        <w:t>收集证据</w:t>
      </w:r>
      <w:r>
        <w:rPr>
          <w:rFonts w:hint="eastAsia" w:ascii="MS UI Gothic" w:eastAsia="MS UI Gothic"/>
          <w:spacing w:val="15"/>
          <w:w w:val="80"/>
        </w:rPr>
        <w:t xml:space="preserve">ꎬ </w:t>
      </w:r>
      <w:r>
        <w:rPr>
          <w:spacing w:val="3"/>
        </w:rPr>
        <w:t>组织抢救受伤人员</w:t>
      </w:r>
      <w:r>
        <w:rPr>
          <w:rFonts w:hint="eastAsia" w:ascii="MS UI Gothic" w:eastAsia="MS UI Gothic"/>
          <w:spacing w:val="15"/>
          <w:w w:val="80"/>
        </w:rPr>
        <w:t xml:space="preserve">ꎬ </w:t>
      </w:r>
      <w:r>
        <w:t>尽</w:t>
      </w:r>
      <w:r>
        <w:rPr>
          <w:spacing w:val="3"/>
        </w:rPr>
        <w:t>快恢复正常的生产秩序</w:t>
      </w:r>
      <w:r>
        <w:rPr>
          <w:rFonts w:hint="eastAsia" w:ascii="MS UI Gothic" w:eastAsia="MS UI Gothic"/>
          <w:w w:val="80"/>
        </w:rPr>
        <w:t>ꎮ</w:t>
      </w:r>
    </w:p>
    <w:p>
      <w:pPr>
        <w:pStyle w:val="6"/>
        <w:spacing w:line="295" w:lineRule="auto"/>
        <w:ind w:left="440" w:right="1"/>
        <w:rPr>
          <w:rFonts w:hint="eastAsia" w:ascii="MS UI Gothic" w:eastAsia="MS UI Gothic"/>
        </w:rPr>
      </w:pPr>
      <w:r>
        <w:t>第二十七条 对经过现场勘验</w:t>
      </w:r>
      <w:r>
        <w:rPr>
          <w:rFonts w:hint="eastAsia" w:ascii="MS UI Gothic" w:eastAsia="MS UI Gothic"/>
        </w:rPr>
        <w:t xml:space="preserve">、 </w:t>
      </w:r>
      <w:r>
        <w:t>检查的农业机械事故</w:t>
      </w:r>
      <w:r>
        <w:rPr>
          <w:rFonts w:hint="eastAsia" w:ascii="MS UI Gothic" w:eastAsia="MS UI Gothic"/>
          <w:w w:val="85"/>
        </w:rPr>
        <w:t xml:space="preserve">ꎬ </w:t>
      </w:r>
      <w:r>
        <w:t xml:space="preserve">农业机械化主管部门应当在 </w:t>
      </w:r>
      <w:r>
        <w:rPr>
          <w:rFonts w:hint="eastAsia" w:ascii="MS UI Gothic" w:eastAsia="MS UI Gothic"/>
          <w:w w:val="85"/>
        </w:rPr>
        <w:t xml:space="preserve">１０ </w:t>
      </w:r>
      <w:r>
        <w:t>个工作日内制作完成农业机械事故认定书</w:t>
      </w:r>
      <w:r>
        <w:rPr>
          <w:rFonts w:hint="eastAsia" w:ascii="MS UI Gothic" w:eastAsia="MS UI Gothic"/>
          <w:w w:val="85"/>
        </w:rPr>
        <w:t xml:space="preserve">ꎻ </w:t>
      </w:r>
      <w:r>
        <w:t>需要进行农业机械鉴定的</w:t>
      </w:r>
      <w:r>
        <w:rPr>
          <w:rFonts w:hint="eastAsia" w:ascii="MS UI Gothic" w:eastAsia="MS UI Gothic"/>
          <w:w w:val="85"/>
        </w:rPr>
        <w:t xml:space="preserve">ꎬ </w:t>
      </w:r>
      <w:r>
        <w:t xml:space="preserve">应当自收到农业机械鉴定机构出具的鉴定结论之日起 </w:t>
      </w:r>
      <w:r>
        <w:rPr>
          <w:rFonts w:hint="eastAsia" w:ascii="MS UI Gothic" w:eastAsia="MS UI Gothic"/>
        </w:rPr>
        <w:t xml:space="preserve">５ </w:t>
      </w:r>
      <w:r>
        <w:t>个工作日内制作农业机械事故认定书</w:t>
      </w:r>
      <w:r>
        <w:rPr>
          <w:rFonts w:hint="eastAsia" w:ascii="MS UI Gothic" w:eastAsia="MS UI Gothic"/>
          <w:w w:val="85"/>
        </w:rPr>
        <w:t>ꎮ</w:t>
      </w:r>
    </w:p>
    <w:p>
      <w:pPr>
        <w:pStyle w:val="6"/>
        <w:spacing w:line="295" w:lineRule="auto"/>
        <w:ind w:left="440" w:right="1"/>
        <w:rPr>
          <w:rFonts w:hint="eastAsia" w:ascii="MS UI Gothic" w:eastAsia="MS UI Gothic"/>
        </w:rPr>
      </w:pPr>
      <w:r>
        <w:t>农业机械事故认定书应当载明农业机</w:t>
      </w:r>
      <w:r>
        <w:rPr>
          <w:w w:val="105"/>
        </w:rPr>
        <w:t>械事故的基本事实</w:t>
      </w:r>
      <w:r>
        <w:rPr>
          <w:rFonts w:hint="eastAsia" w:ascii="MS UI Gothic" w:eastAsia="MS UI Gothic"/>
          <w:w w:val="80"/>
        </w:rPr>
        <w:t xml:space="preserve">、 </w:t>
      </w:r>
      <w:r>
        <w:rPr>
          <w:w w:val="105"/>
        </w:rPr>
        <w:t>成因和当事人的责</w:t>
      </w:r>
      <w:r>
        <w:t>任</w:t>
      </w:r>
      <w:r>
        <w:rPr>
          <w:rFonts w:hint="eastAsia" w:ascii="MS UI Gothic" w:eastAsia="MS UI Gothic"/>
          <w:w w:val="80"/>
        </w:rPr>
        <w:t xml:space="preserve">ꎬ </w:t>
      </w:r>
      <w:r>
        <w:t>并在制作完成农业机械事故认定书之</w:t>
      </w:r>
      <w:r>
        <w:rPr>
          <w:w w:val="105"/>
        </w:rPr>
        <w:t xml:space="preserve">日起 </w:t>
      </w:r>
      <w:r>
        <w:rPr>
          <w:rFonts w:hint="eastAsia" w:ascii="MS UI Gothic" w:eastAsia="MS UI Gothic"/>
          <w:w w:val="80"/>
        </w:rPr>
        <w:t xml:space="preserve">３ </w:t>
      </w:r>
      <w:r>
        <w:rPr>
          <w:w w:val="105"/>
        </w:rPr>
        <w:t>个工作日内送达当事人</w:t>
      </w:r>
      <w:r>
        <w:rPr>
          <w:rFonts w:hint="eastAsia" w:ascii="MS UI Gothic" w:eastAsia="MS UI Gothic"/>
          <w:w w:val="80"/>
        </w:rPr>
        <w:t>ꎮ</w:t>
      </w:r>
    </w:p>
    <w:p>
      <w:pPr>
        <w:pStyle w:val="6"/>
        <w:spacing w:line="295" w:lineRule="auto"/>
        <w:ind w:left="440" w:right="1"/>
        <w:rPr>
          <w:rFonts w:hint="eastAsia" w:ascii="MS UI Gothic" w:eastAsia="MS UI Gothic"/>
        </w:rPr>
      </w:pPr>
      <w:r>
        <w:rPr>
          <w:spacing w:val="4"/>
        </w:rPr>
        <w:t>第二十八条 当事人对农业机械事故</w:t>
      </w:r>
      <w:r>
        <w:rPr>
          <w:spacing w:val="3"/>
        </w:rPr>
        <w:t>损害赔偿有争议</w:t>
      </w:r>
      <w:r>
        <w:rPr>
          <w:rFonts w:hint="eastAsia" w:ascii="MS UI Gothic" w:eastAsia="MS UI Gothic"/>
          <w:spacing w:val="17"/>
          <w:w w:val="85"/>
        </w:rPr>
        <w:t xml:space="preserve">ꎬ </w:t>
      </w:r>
      <w:r>
        <w:rPr>
          <w:spacing w:val="3"/>
        </w:rPr>
        <w:t>请求调解的</w:t>
      </w:r>
      <w:r>
        <w:rPr>
          <w:rFonts w:hint="eastAsia" w:ascii="MS UI Gothic" w:eastAsia="MS UI Gothic"/>
          <w:spacing w:val="17"/>
          <w:w w:val="85"/>
        </w:rPr>
        <w:t xml:space="preserve">ꎬ </w:t>
      </w:r>
      <w:r>
        <w:rPr>
          <w:spacing w:val="2"/>
        </w:rPr>
        <w:t xml:space="preserve">应当自收到事故认定书之日起 </w:t>
      </w:r>
      <w:r>
        <w:rPr>
          <w:rFonts w:hint="eastAsia" w:ascii="MS UI Gothic" w:eastAsia="MS UI Gothic"/>
          <w:spacing w:val="15"/>
          <w:w w:val="85"/>
        </w:rPr>
        <w:t xml:space="preserve">１０ </w:t>
      </w:r>
      <w:r>
        <w:rPr>
          <w:spacing w:val="11"/>
        </w:rPr>
        <w:t>个工作日内向农</w:t>
      </w:r>
      <w:r>
        <w:rPr>
          <w:spacing w:val="3"/>
        </w:rPr>
        <w:t>业机械化主管部门书面提出调解申请</w:t>
      </w:r>
      <w:r>
        <w:rPr>
          <w:rFonts w:hint="eastAsia" w:ascii="MS UI Gothic" w:eastAsia="MS UI Gothic"/>
          <w:w w:val="85"/>
        </w:rPr>
        <w:t>ꎮ</w:t>
      </w:r>
    </w:p>
    <w:p>
      <w:pPr>
        <w:pStyle w:val="6"/>
        <w:spacing w:line="295" w:lineRule="auto"/>
        <w:ind w:left="440" w:right="1"/>
        <w:rPr>
          <w:rFonts w:hint="eastAsia" w:ascii="MS UI Gothic" w:eastAsia="MS UI Gothic"/>
        </w:rPr>
      </w:pPr>
      <w:r>
        <w:rPr>
          <w:spacing w:val="3"/>
        </w:rPr>
        <w:t>调解达成协议的</w:t>
      </w:r>
      <w:r>
        <w:rPr>
          <w:rFonts w:hint="eastAsia" w:ascii="MS UI Gothic" w:eastAsia="MS UI Gothic"/>
          <w:spacing w:val="16"/>
          <w:w w:val="80"/>
        </w:rPr>
        <w:t xml:space="preserve">ꎬ </w:t>
      </w:r>
      <w:r>
        <w:rPr>
          <w:spacing w:val="2"/>
        </w:rPr>
        <w:t>农业机械化主管部</w:t>
      </w:r>
      <w:r>
        <w:rPr>
          <w:spacing w:val="3"/>
        </w:rPr>
        <w:t>门应当制作调解书送交各方当事人</w:t>
      </w:r>
      <w:r>
        <w:rPr>
          <w:rFonts w:hint="eastAsia" w:ascii="MS UI Gothic" w:eastAsia="MS UI Gothic"/>
          <w:spacing w:val="21"/>
          <w:w w:val="80"/>
        </w:rPr>
        <w:t xml:space="preserve">ꎮ </w:t>
      </w:r>
      <w:r>
        <w:rPr>
          <w:spacing w:val="1"/>
        </w:rPr>
        <w:t>调解</w:t>
      </w:r>
      <w:r>
        <w:rPr>
          <w:spacing w:val="3"/>
        </w:rPr>
        <w:t>书经各方当事人共同签字后生效</w:t>
      </w:r>
      <w:r>
        <w:rPr>
          <w:rFonts w:hint="eastAsia" w:ascii="MS UI Gothic" w:eastAsia="MS UI Gothic"/>
          <w:spacing w:val="21"/>
          <w:w w:val="80"/>
        </w:rPr>
        <w:t xml:space="preserve">ꎮ </w:t>
      </w:r>
      <w:r>
        <w:rPr>
          <w:spacing w:val="1"/>
        </w:rPr>
        <w:t>调解不</w:t>
      </w:r>
      <w:r>
        <w:rPr>
          <w:spacing w:val="2"/>
        </w:rPr>
        <w:t>能达成协议或者当事人向人民法院提起诉</w:t>
      </w:r>
      <w:r>
        <w:rPr>
          <w:spacing w:val="3"/>
        </w:rPr>
        <w:t>讼的</w:t>
      </w:r>
      <w:r>
        <w:rPr>
          <w:rFonts w:hint="eastAsia" w:ascii="MS UI Gothic" w:eastAsia="MS UI Gothic"/>
          <w:spacing w:val="21"/>
          <w:w w:val="80"/>
        </w:rPr>
        <w:t xml:space="preserve">ꎬ </w:t>
      </w:r>
      <w:r>
        <w:rPr>
          <w:spacing w:val="2"/>
        </w:rPr>
        <w:t>农业机械化主管部门应当终止调解</w:t>
      </w:r>
      <w:r>
        <w:rPr>
          <w:spacing w:val="3"/>
        </w:rPr>
        <w:t>并书面通知当事人</w:t>
      </w:r>
      <w:r>
        <w:rPr>
          <w:rFonts w:hint="eastAsia" w:ascii="MS UI Gothic" w:eastAsia="MS UI Gothic"/>
          <w:spacing w:val="21"/>
          <w:w w:val="80"/>
        </w:rPr>
        <w:t xml:space="preserve">ꎮ </w:t>
      </w:r>
      <w:r>
        <w:rPr>
          <w:spacing w:val="2"/>
        </w:rPr>
        <w:t>调解达成协议后当事</w:t>
      </w:r>
      <w:r>
        <w:rPr>
          <w:spacing w:val="3"/>
        </w:rPr>
        <w:t>人反悔的</w:t>
      </w:r>
      <w:r>
        <w:rPr>
          <w:rFonts w:hint="eastAsia" w:ascii="MS UI Gothic" w:eastAsia="MS UI Gothic"/>
          <w:w w:val="80"/>
        </w:rPr>
        <w:t xml:space="preserve">ꎬ </w:t>
      </w:r>
      <w:r>
        <w:rPr>
          <w:spacing w:val="3"/>
        </w:rPr>
        <w:t>可以向人民法院提起诉讼</w:t>
      </w:r>
      <w:r>
        <w:rPr>
          <w:rFonts w:hint="eastAsia" w:ascii="MS UI Gothic" w:eastAsia="MS UI Gothic"/>
          <w:w w:val="80"/>
        </w:rPr>
        <w:t>ꎮ</w:t>
      </w:r>
    </w:p>
    <w:p>
      <w:pPr>
        <w:pStyle w:val="6"/>
        <w:spacing w:line="295" w:lineRule="auto"/>
        <w:ind w:left="440" w:right="1"/>
        <w:rPr>
          <w:rFonts w:hint="eastAsia" w:ascii="MS UI Gothic" w:eastAsia="MS UI Gothic"/>
        </w:rPr>
      </w:pPr>
      <w:r>
        <w:rPr>
          <w:w w:val="105"/>
        </w:rPr>
        <w:t>第二十九条 农业机械化主管部门应</w:t>
      </w:r>
      <w:r>
        <w:t>当为当事人处理农业机械事故损害赔偿等后续事宜提供帮助和便利</w:t>
      </w:r>
      <w:r>
        <w:rPr>
          <w:rFonts w:hint="eastAsia" w:ascii="MS UI Gothic" w:eastAsia="MS UI Gothic"/>
          <w:w w:val="80"/>
        </w:rPr>
        <w:t xml:space="preserve">ꎮ </w:t>
      </w:r>
      <w:r>
        <w:t>因农业机械产品质量原因导致事故的</w:t>
      </w:r>
      <w:r>
        <w:rPr>
          <w:rFonts w:hint="eastAsia" w:ascii="MS UI Gothic" w:eastAsia="MS UI Gothic"/>
          <w:w w:val="80"/>
        </w:rPr>
        <w:t xml:space="preserve">ꎬ </w:t>
      </w:r>
      <w:r>
        <w:t>农业机械化主管</w:t>
      </w:r>
      <w:r>
        <w:rPr>
          <w:w w:val="105"/>
        </w:rPr>
        <w:t>部门应当依法出具有关证明材料</w:t>
      </w:r>
      <w:r>
        <w:rPr>
          <w:rFonts w:hint="eastAsia" w:ascii="MS UI Gothic" w:eastAsia="MS UI Gothic"/>
          <w:w w:val="80"/>
        </w:rPr>
        <w:t>ꎮ</w:t>
      </w:r>
    </w:p>
    <w:p>
      <w:pPr>
        <w:pStyle w:val="6"/>
        <w:spacing w:line="295" w:lineRule="auto"/>
        <w:ind w:left="440" w:right="1"/>
        <w:rPr>
          <w:rFonts w:hint="eastAsia" w:ascii="MS UI Gothic" w:eastAsia="MS UI Gothic"/>
        </w:rPr>
      </w:pPr>
      <w:r>
        <w:t>农业机械化主管部门应当定期将农业机械事故统计情况及说明材料报送上级农业机械化主管部门并抄送同级安全生产监</w:t>
      </w:r>
      <w:r>
        <w:rPr>
          <w:w w:val="105"/>
        </w:rPr>
        <w:t>督管理部门</w:t>
      </w:r>
      <w:r>
        <w:rPr>
          <w:rFonts w:hint="eastAsia" w:ascii="MS UI Gothic" w:eastAsia="MS UI Gothic"/>
          <w:w w:val="80"/>
        </w:rPr>
        <w:t>ꎮ</w:t>
      </w:r>
    </w:p>
    <w:p>
      <w:pPr>
        <w:pStyle w:val="6"/>
        <w:spacing w:line="253" w:lineRule="exact"/>
        <w:ind w:left="860" w:firstLine="0"/>
        <w:jc w:val="left"/>
        <w:rPr>
          <w:rFonts w:hint="eastAsia" w:ascii="MS UI Gothic" w:eastAsia="MS UI Gothic"/>
        </w:rPr>
      </w:pPr>
      <w:r>
        <w:t>农业机械事故构成生产安全事故的</w:t>
      </w:r>
      <w:r>
        <w:rPr>
          <w:rFonts w:hint="eastAsia" w:ascii="MS UI Gothic" w:eastAsia="MS UI Gothic"/>
          <w:w w:val="80"/>
        </w:rPr>
        <w:t>ꎬ</w:t>
      </w:r>
    </w:p>
    <w:p>
      <w:pPr>
        <w:pStyle w:val="6"/>
        <w:spacing w:before="124" w:line="295" w:lineRule="auto"/>
        <w:ind w:left="381" w:right="126" w:firstLine="0"/>
        <w:jc w:val="left"/>
        <w:rPr>
          <w:rFonts w:hint="eastAsia" w:ascii="MS UI Gothic" w:eastAsia="MS UI Gothic"/>
        </w:rPr>
      </w:pPr>
      <w:r>
        <w:br w:type="column"/>
      </w:r>
      <w:r>
        <w:t>应当依照相关法律</w:t>
      </w:r>
      <w:r>
        <w:rPr>
          <w:rFonts w:hint="eastAsia" w:ascii="MS UI Gothic" w:eastAsia="MS UI Gothic"/>
          <w:w w:val="80"/>
        </w:rPr>
        <w:t xml:space="preserve">、 </w:t>
      </w:r>
      <w:r>
        <w:t>行政法规的规定调查处理并追究责任</w:t>
      </w:r>
      <w:r>
        <w:rPr>
          <w:rFonts w:hint="eastAsia" w:ascii="MS UI Gothic" w:eastAsia="MS UI Gothic"/>
          <w:w w:val="80"/>
        </w:rPr>
        <w:t>ꎮ</w:t>
      </w:r>
    </w:p>
    <w:p>
      <w:pPr>
        <w:pStyle w:val="6"/>
        <w:tabs>
          <w:tab w:val="left" w:pos="2162"/>
        </w:tabs>
        <w:spacing w:before="156"/>
        <w:ind w:left="1324" w:firstLine="0"/>
        <w:jc w:val="left"/>
      </w:pPr>
      <w:r>
        <w:rPr>
          <w:spacing w:val="3"/>
          <w:w w:val="105"/>
        </w:rPr>
        <w:t>第五</w:t>
      </w:r>
      <w:r>
        <w:rPr>
          <w:w w:val="105"/>
        </w:rPr>
        <w:t>章</w:t>
      </w:r>
      <w:r>
        <w:rPr>
          <w:w w:val="105"/>
        </w:rPr>
        <w:tab/>
      </w:r>
      <w:r>
        <w:rPr>
          <w:spacing w:val="3"/>
        </w:rPr>
        <w:t>服务与监</w:t>
      </w:r>
      <w:r>
        <w:t>督</w:t>
      </w:r>
    </w:p>
    <w:p>
      <w:pPr>
        <w:pStyle w:val="6"/>
        <w:spacing w:before="215" w:line="295" w:lineRule="auto"/>
        <w:ind w:left="381" w:right="126"/>
        <w:rPr>
          <w:rFonts w:hint="eastAsia" w:ascii="MS UI Gothic" w:eastAsia="MS UI Gothic"/>
        </w:rPr>
      </w:pPr>
      <w:r>
        <w:rPr>
          <w:spacing w:val="2"/>
          <w:w w:val="105"/>
        </w:rPr>
        <w:t>第三十条 县级以上地方人民政府农</w:t>
      </w:r>
      <w:r>
        <w:rPr>
          <w:spacing w:val="2"/>
        </w:rPr>
        <w:t>业机械化主管部门应当定期对危及人身财</w:t>
      </w:r>
      <w:r>
        <w:rPr>
          <w:spacing w:val="11"/>
        </w:rPr>
        <w:t>产安全的农业机械进行免费实地安全检</w:t>
      </w:r>
      <w:r>
        <w:rPr>
          <w:spacing w:val="3"/>
        </w:rPr>
        <w:t>验</w:t>
      </w:r>
      <w:r>
        <w:rPr>
          <w:rFonts w:hint="eastAsia" w:ascii="MS UI Gothic" w:eastAsia="MS UI Gothic"/>
          <w:spacing w:val="20"/>
          <w:w w:val="80"/>
        </w:rPr>
        <w:t xml:space="preserve">ꎮ </w:t>
      </w:r>
      <w:r>
        <w:rPr>
          <w:spacing w:val="2"/>
        </w:rPr>
        <w:t>但是道路交通安全法律对拖拉机的安</w:t>
      </w:r>
      <w:r>
        <w:rPr>
          <w:spacing w:val="3"/>
          <w:w w:val="105"/>
        </w:rPr>
        <w:t>全检验另有规定的</w:t>
      </w:r>
      <w:r>
        <w:rPr>
          <w:rFonts w:hint="eastAsia" w:ascii="MS UI Gothic" w:eastAsia="MS UI Gothic"/>
          <w:spacing w:val="20"/>
          <w:w w:val="80"/>
        </w:rPr>
        <w:t xml:space="preserve">ꎬ </w:t>
      </w:r>
      <w:r>
        <w:rPr>
          <w:spacing w:val="3"/>
          <w:w w:val="105"/>
        </w:rPr>
        <w:t>从其规定</w:t>
      </w:r>
      <w:r>
        <w:rPr>
          <w:rFonts w:hint="eastAsia" w:ascii="MS UI Gothic" w:eastAsia="MS UI Gothic"/>
          <w:w w:val="80"/>
        </w:rPr>
        <w:t>ꎮ</w:t>
      </w:r>
    </w:p>
    <w:p>
      <w:pPr>
        <w:pStyle w:val="6"/>
        <w:spacing w:line="295" w:lineRule="auto"/>
        <w:ind w:left="381" w:right="126"/>
        <w:rPr>
          <w:rFonts w:hint="eastAsia" w:ascii="MS UI Gothic" w:eastAsia="MS UI Gothic"/>
        </w:rPr>
      </w:pPr>
      <w:r>
        <w:t>拖拉机</w:t>
      </w:r>
      <w:r>
        <w:rPr>
          <w:rFonts w:hint="eastAsia" w:ascii="MS UI Gothic" w:eastAsia="MS UI Gothic"/>
        </w:rPr>
        <w:t xml:space="preserve">、 </w:t>
      </w:r>
      <w:r>
        <w:t xml:space="preserve">联合收割机的安全检验为每年 </w:t>
      </w:r>
      <w:r>
        <w:rPr>
          <w:rFonts w:hint="eastAsia" w:ascii="MS UI Gothic" w:eastAsia="MS UI Gothic"/>
        </w:rPr>
        <w:t xml:space="preserve">１ </w:t>
      </w:r>
      <w:r>
        <w:t>次</w:t>
      </w:r>
      <w:r>
        <w:rPr>
          <w:rFonts w:hint="eastAsia" w:ascii="MS UI Gothic" w:eastAsia="MS UI Gothic"/>
          <w:w w:val="80"/>
        </w:rPr>
        <w:t>ꎮ</w:t>
      </w:r>
    </w:p>
    <w:p>
      <w:pPr>
        <w:pStyle w:val="6"/>
        <w:spacing w:line="295" w:lineRule="auto"/>
        <w:ind w:left="381" w:right="126"/>
        <w:jc w:val="left"/>
        <w:rPr>
          <w:rFonts w:hint="eastAsia" w:ascii="MS UI Gothic" w:eastAsia="MS UI Gothic"/>
        </w:rPr>
      </w:pPr>
      <w:r>
        <w:t>实施安全技术检验的机构应当对检验</w:t>
      </w:r>
      <w:r>
        <w:rPr>
          <w:w w:val="105"/>
        </w:rPr>
        <w:t>结果承担法律责任</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第三十一条 农业机械化主管部门在</w:t>
      </w:r>
      <w:r>
        <w:t>安全检验中发现农业机械存在事故隐患的</w:t>
      </w:r>
      <w:r>
        <w:rPr>
          <w:rFonts w:hint="eastAsia" w:ascii="MS UI Gothic" w:eastAsia="MS UI Gothic"/>
          <w:w w:val="80"/>
        </w:rPr>
        <w:t xml:space="preserve">ꎬ </w:t>
      </w:r>
      <w:r>
        <w:t>应当告知其所有人停止使用并及时排</w:t>
      </w:r>
      <w:r>
        <w:rPr>
          <w:w w:val="105"/>
        </w:rPr>
        <w:t>除隐患</w:t>
      </w:r>
      <w:r>
        <w:rPr>
          <w:rFonts w:hint="eastAsia" w:ascii="MS UI Gothic" w:eastAsia="MS UI Gothic"/>
          <w:w w:val="80"/>
        </w:rPr>
        <w:t>ꎮ</w:t>
      </w:r>
    </w:p>
    <w:p>
      <w:pPr>
        <w:pStyle w:val="6"/>
        <w:spacing w:line="295" w:lineRule="auto"/>
        <w:ind w:left="381" w:right="126"/>
        <w:rPr>
          <w:rFonts w:hint="eastAsia" w:ascii="MS UI Gothic" w:eastAsia="MS UI Gothic"/>
        </w:rPr>
      </w:pPr>
      <w:r>
        <w:t>实施安全检验的农业机械化主管部门应当对安全检验情况进行汇总</w:t>
      </w:r>
      <w:r>
        <w:rPr>
          <w:rFonts w:hint="eastAsia" w:ascii="MS UI Gothic" w:eastAsia="MS UI Gothic"/>
          <w:w w:val="80"/>
        </w:rPr>
        <w:t xml:space="preserve">ꎬ </w:t>
      </w:r>
      <w:r>
        <w:t>建立农业</w:t>
      </w:r>
      <w:r>
        <w:rPr>
          <w:w w:val="105"/>
        </w:rPr>
        <w:t>机械安全监督管理档案</w:t>
      </w:r>
      <w:r>
        <w:rPr>
          <w:rFonts w:hint="eastAsia" w:ascii="MS UI Gothic" w:eastAsia="MS UI Gothic"/>
          <w:w w:val="80"/>
        </w:rPr>
        <w:t>ꎮ</w:t>
      </w:r>
    </w:p>
    <w:p>
      <w:pPr>
        <w:pStyle w:val="6"/>
        <w:spacing w:line="295" w:lineRule="auto"/>
        <w:ind w:left="381" w:right="124"/>
        <w:rPr>
          <w:rFonts w:hint="eastAsia" w:ascii="MS UI Gothic" w:eastAsia="MS UI Gothic"/>
        </w:rPr>
      </w:pPr>
      <w:r>
        <w:rPr>
          <w:spacing w:val="2"/>
          <w:w w:val="105"/>
        </w:rPr>
        <w:t>第三十二条 联合收割机跨行政区域</w:t>
      </w:r>
      <w:r>
        <w:rPr>
          <w:spacing w:val="3"/>
        </w:rPr>
        <w:t>作业前</w:t>
      </w:r>
      <w:r>
        <w:rPr>
          <w:rFonts w:hint="eastAsia" w:ascii="MS UI Gothic" w:eastAsia="MS UI Gothic"/>
          <w:spacing w:val="19"/>
          <w:w w:val="80"/>
        </w:rPr>
        <w:t xml:space="preserve">ꎬ </w:t>
      </w:r>
      <w:r>
        <w:rPr>
          <w:spacing w:val="2"/>
        </w:rPr>
        <w:t>当地县级人民政府农业机械化主</w:t>
      </w:r>
      <w:r>
        <w:rPr>
          <w:spacing w:val="3"/>
        </w:rPr>
        <w:t>管部门应当会同有关部门</w:t>
      </w:r>
      <w:r>
        <w:rPr>
          <w:rFonts w:hint="eastAsia" w:ascii="MS UI Gothic" w:eastAsia="MS UI Gothic"/>
          <w:spacing w:val="19"/>
          <w:w w:val="80"/>
        </w:rPr>
        <w:t xml:space="preserve">ꎬ </w:t>
      </w:r>
      <w:r>
        <w:rPr>
          <w:spacing w:val="2"/>
        </w:rPr>
        <w:t>对跨行政区域</w:t>
      </w:r>
      <w:r>
        <w:rPr>
          <w:spacing w:val="4"/>
        </w:rPr>
        <w:t>作业的联合收割机进行必要的安全检查</w:t>
      </w:r>
      <w:r>
        <w:rPr>
          <w:rFonts w:hint="eastAsia" w:ascii="MS UI Gothic" w:eastAsia="MS UI Gothic"/>
          <w:w w:val="80"/>
        </w:rPr>
        <w:t>ꎬ</w:t>
      </w:r>
      <w:r>
        <w:rPr>
          <w:spacing w:val="3"/>
          <w:w w:val="105"/>
        </w:rPr>
        <w:t>并对操作人员进行安全教育</w:t>
      </w:r>
      <w:r>
        <w:rPr>
          <w:rFonts w:hint="eastAsia" w:ascii="MS UI Gothic" w:eastAsia="MS UI Gothic"/>
          <w:w w:val="80"/>
        </w:rPr>
        <w:t>ꎮ</w:t>
      </w:r>
    </w:p>
    <w:p>
      <w:pPr>
        <w:pStyle w:val="6"/>
        <w:spacing w:line="295" w:lineRule="auto"/>
        <w:ind w:left="381" w:right="126"/>
        <w:rPr>
          <w:rFonts w:hint="eastAsia" w:ascii="MS UI Gothic" w:eastAsia="MS UI Gothic"/>
        </w:rPr>
      </w:pPr>
      <w:r>
        <w:rPr>
          <w:spacing w:val="2"/>
          <w:w w:val="105"/>
        </w:rPr>
        <w:t>第三十三条 国务院农业机械化主管</w:t>
      </w:r>
      <w:r>
        <w:rPr>
          <w:spacing w:val="2"/>
        </w:rPr>
        <w:t>部门应当定期对农业机械安全使用状况进</w:t>
      </w:r>
      <w:r>
        <w:rPr>
          <w:spacing w:val="3"/>
          <w:w w:val="105"/>
        </w:rPr>
        <w:t>行分析评估</w:t>
      </w:r>
      <w:r>
        <w:rPr>
          <w:rFonts w:hint="eastAsia" w:ascii="MS UI Gothic" w:eastAsia="MS UI Gothic"/>
          <w:spacing w:val="21"/>
          <w:w w:val="80"/>
        </w:rPr>
        <w:t xml:space="preserve">ꎬ </w:t>
      </w:r>
      <w:r>
        <w:rPr>
          <w:spacing w:val="3"/>
          <w:w w:val="105"/>
        </w:rPr>
        <w:t>发布相关信息</w:t>
      </w:r>
      <w:r>
        <w:rPr>
          <w:rFonts w:hint="eastAsia" w:ascii="MS UI Gothic" w:eastAsia="MS UI Gothic"/>
          <w:w w:val="80"/>
        </w:rPr>
        <w:t>ꎮ</w:t>
      </w:r>
    </w:p>
    <w:p>
      <w:pPr>
        <w:pStyle w:val="6"/>
        <w:spacing w:line="295" w:lineRule="auto"/>
        <w:ind w:left="381" w:right="126"/>
        <w:rPr>
          <w:rFonts w:hint="eastAsia" w:ascii="MS UI Gothic" w:eastAsia="MS UI Gothic"/>
        </w:rPr>
      </w:pPr>
      <w:r>
        <w:rPr>
          <w:w w:val="105"/>
        </w:rPr>
        <w:t>第三十四条 国务院工业主管部门应</w:t>
      </w:r>
      <w:r>
        <w:t>当定期对农业机械生产行业运行态势进行</w:t>
      </w:r>
      <w:r>
        <w:rPr>
          <w:w w:val="105"/>
        </w:rPr>
        <w:t>监测和分析</w:t>
      </w:r>
      <w:r>
        <w:rPr>
          <w:rFonts w:hint="eastAsia" w:ascii="MS UI Gothic" w:eastAsia="MS UI Gothic"/>
          <w:w w:val="80"/>
        </w:rPr>
        <w:t xml:space="preserve">ꎬ </w:t>
      </w:r>
      <w:r>
        <w:rPr>
          <w:w w:val="105"/>
        </w:rPr>
        <w:t>并按照先进适用</w:t>
      </w:r>
      <w:r>
        <w:rPr>
          <w:rFonts w:hint="eastAsia" w:ascii="MS UI Gothic" w:eastAsia="MS UI Gothic"/>
          <w:w w:val="80"/>
        </w:rPr>
        <w:t xml:space="preserve">、 </w:t>
      </w:r>
      <w:r>
        <w:rPr>
          <w:w w:val="105"/>
        </w:rPr>
        <w:t>安全可靠</w:t>
      </w:r>
      <w:r>
        <w:rPr>
          <w:rFonts w:hint="eastAsia" w:ascii="MS UI Gothic" w:eastAsia="MS UI Gothic"/>
          <w:w w:val="80"/>
        </w:rPr>
        <w:t xml:space="preserve">、 </w:t>
      </w:r>
      <w:r>
        <w:rPr>
          <w:w w:val="105"/>
        </w:rPr>
        <w:t>节能环保的要求</w:t>
      </w:r>
      <w:r>
        <w:rPr>
          <w:rFonts w:hint="eastAsia" w:ascii="MS UI Gothic" w:eastAsia="MS UI Gothic"/>
          <w:w w:val="80"/>
        </w:rPr>
        <w:t xml:space="preserve">ꎬ </w:t>
      </w:r>
      <w:r>
        <w:rPr>
          <w:w w:val="105"/>
        </w:rPr>
        <w:t>会同国务院农业机械化主管部门</w:t>
      </w:r>
      <w:r>
        <w:rPr>
          <w:rFonts w:hint="eastAsia" w:ascii="MS UI Gothic" w:eastAsia="MS UI Gothic"/>
          <w:w w:val="80"/>
        </w:rPr>
        <w:t xml:space="preserve">、 </w:t>
      </w:r>
      <w:r>
        <w:rPr>
          <w:w w:val="105"/>
        </w:rPr>
        <w:t>市场监督管理部门等有关部门制定</w:t>
      </w:r>
      <w:r>
        <w:rPr>
          <w:rFonts w:hint="eastAsia" w:ascii="MS UI Gothic" w:eastAsia="MS UI Gothic"/>
          <w:w w:val="80"/>
        </w:rPr>
        <w:t xml:space="preserve">、 </w:t>
      </w:r>
      <w:r>
        <w:rPr>
          <w:w w:val="105"/>
        </w:rPr>
        <w:t>公布国家明令淘汰的农业机械产品目录</w:t>
      </w:r>
      <w:r>
        <w:rPr>
          <w:rFonts w:hint="eastAsia" w:ascii="MS UI Gothic" w:eastAsia="MS UI Gothic"/>
          <w:w w:val="80"/>
        </w:rPr>
        <w:t>ꎮ</w:t>
      </w:r>
    </w:p>
    <w:p>
      <w:pPr>
        <w:pStyle w:val="6"/>
        <w:spacing w:line="295" w:lineRule="auto"/>
        <w:ind w:left="381" w:right="124"/>
      </w:pPr>
      <w:r>
        <w:rPr>
          <w:w w:val="105"/>
        </w:rPr>
        <w:t>第三十五条 危及人身财产安全的农</w:t>
      </w:r>
      <w:r>
        <w:t>业机械达到报废条件的</w:t>
      </w:r>
      <w:r>
        <w:rPr>
          <w:rFonts w:hint="eastAsia" w:ascii="MS UI Gothic" w:eastAsia="MS UI Gothic"/>
          <w:w w:val="80"/>
        </w:rPr>
        <w:t xml:space="preserve">ꎬ </w:t>
      </w:r>
      <w:r>
        <w:t>应当停止使用</w:t>
      </w:r>
      <w:r>
        <w:rPr>
          <w:rFonts w:hint="eastAsia" w:ascii="MS UI Gothic" w:eastAsia="MS UI Gothic"/>
          <w:w w:val="80"/>
        </w:rPr>
        <w:t>ꎬ</w:t>
      </w:r>
      <w:r>
        <w:t>予以报废</w:t>
      </w:r>
      <w:r>
        <w:rPr>
          <w:rFonts w:hint="eastAsia" w:ascii="MS UI Gothic" w:eastAsia="MS UI Gothic"/>
          <w:w w:val="80"/>
        </w:rPr>
        <w:t xml:space="preserve">ꎮ </w:t>
      </w:r>
      <w:r>
        <w:t>农业机械的报废条件由国务院农业机械化主管部门会同国务院市场监督</w:t>
      </w:r>
    </w:p>
    <w:sectPr>
      <w:type w:val="continuous"/>
      <w:pgSz w:w="10500" w:h="14750"/>
      <w:pgMar w:top="1400" w:right="980" w:bottom="280" w:left="980" w:header="720" w:footer="720" w:gutter="0"/>
      <w:cols w:equalWidth="0" w:num="2">
        <w:col w:w="4212" w:space="40"/>
        <w:col w:w="428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S UI Gothic">
    <w:panose1 w:val="020B0600070205080204"/>
    <w:charset w:val="80"/>
    <w:family w:val="swiss"/>
    <w:pitch w:val="default"/>
    <w:sig w:usb0="E00002FF" w:usb1="6AC7FDFB" w:usb2="08000012" w:usb3="00000000" w:csb0="4002009F" w:csb1="DFD70000"/>
  </w:font>
  <w:font w:name="Microsoft Yi Baiti">
    <w:panose1 w:val="03000500000000000000"/>
    <w:charset w:val="00"/>
    <w:family w:val="script"/>
    <w:pitch w:val="default"/>
    <w:sig w:usb0="80000003" w:usb1="00010402" w:usb2="00080002"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19BE0FE7"/>
    <w:rsid w:val="62D23C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153"/>
      <w:ind w:left="310"/>
      <w:jc w:val="center"/>
      <w:outlineLvl w:val="1"/>
    </w:pPr>
    <w:rPr>
      <w:rFonts w:ascii="宋体" w:hAnsi="宋体" w:eastAsia="宋体" w:cs="宋体"/>
      <w:sz w:val="39"/>
      <w:szCs w:val="39"/>
      <w:lang w:val="zh-CN" w:eastAsia="zh-CN" w:bidi="zh-CN"/>
    </w:rPr>
  </w:style>
  <w:style w:type="paragraph" w:styleId="3">
    <w:name w:val="heading 2"/>
    <w:basedOn w:val="1"/>
    <w:next w:val="1"/>
    <w:qFormat/>
    <w:uiPriority w:val="1"/>
    <w:pPr>
      <w:ind w:left="2" w:right="194"/>
      <w:jc w:val="center"/>
      <w:outlineLvl w:val="2"/>
    </w:pPr>
    <w:rPr>
      <w:rFonts w:ascii="宋体" w:hAnsi="宋体" w:eastAsia="宋体" w:cs="宋体"/>
      <w:sz w:val="29"/>
      <w:szCs w:val="29"/>
      <w:lang w:val="zh-CN" w:eastAsia="zh-CN" w:bidi="zh-CN"/>
    </w:rPr>
  </w:style>
  <w:style w:type="paragraph" w:styleId="4">
    <w:name w:val="heading 3"/>
    <w:basedOn w:val="1"/>
    <w:next w:val="1"/>
    <w:qFormat/>
    <w:uiPriority w:val="1"/>
    <w:pPr>
      <w:spacing w:before="359"/>
      <w:ind w:left="310"/>
      <w:jc w:val="center"/>
      <w:outlineLvl w:val="3"/>
    </w:pPr>
    <w:rPr>
      <w:rFonts w:ascii="宋体" w:hAnsi="宋体" w:eastAsia="宋体" w:cs="宋体"/>
      <w:sz w:val="27"/>
      <w:szCs w:val="27"/>
      <w:lang w:val="zh-CN" w:eastAsia="zh-CN" w:bidi="zh-CN"/>
    </w:rPr>
  </w:style>
  <w:style w:type="paragraph" w:styleId="5">
    <w:name w:val="heading 4"/>
    <w:basedOn w:val="1"/>
    <w:next w:val="1"/>
    <w:qFormat/>
    <w:uiPriority w:val="1"/>
    <w:pPr>
      <w:ind w:left="310"/>
      <w:jc w:val="center"/>
      <w:outlineLvl w:val="4"/>
    </w:pPr>
    <w:rPr>
      <w:rFonts w:ascii="宋体" w:hAnsi="宋体" w:eastAsia="宋体" w:cs="宋体"/>
      <w:sz w:val="23"/>
      <w:szCs w:val="23"/>
      <w:lang w:val="zh-CN" w:eastAsia="zh-CN" w:bidi="zh-CN"/>
    </w:rPr>
  </w:style>
  <w:style w:type="character" w:default="1" w:styleId="8">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pPr>
      <w:ind w:left="124" w:firstLine="419"/>
      <w:jc w:val="both"/>
    </w:pPr>
    <w:rPr>
      <w:rFonts w:ascii="宋体" w:hAnsi="宋体" w:eastAsia="宋体" w:cs="宋体"/>
      <w:sz w:val="20"/>
      <w:szCs w:val="20"/>
      <w:lang w:val="zh-CN" w:eastAsia="zh-CN" w:bidi="zh-CN"/>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rPr>
      <w:lang w:val="zh-CN" w:eastAsia="zh-CN" w:bidi="zh-CN"/>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6"/>
    <customShpInfo spid="_x0000_s1029"/>
    <customShpInfo spid="_x0000_s1030"/>
    <customShpInfo spid="_x0000_s1028"/>
    <customShpInfo spid="_x0000_s1032"/>
    <customShpInfo spid="_x0000_s1033"/>
    <customShpInfo spid="_x0000_s1031"/>
    <customShpInfo spid="_x0000_s1035"/>
    <customShpInfo spid="_x0000_s1036"/>
    <customShpInfo spid="_x0000_s1034"/>
    <customShpInfo spid="_x0000_s1038"/>
    <customShpInfo spid="_x0000_s1039"/>
    <customShpInfo spid="_x0000_s1037"/>
    <customShpInfo spid="_x0000_s1041"/>
    <customShpInfo spid="_x0000_s1042"/>
    <customShpInfo spid="_x0000_s1040"/>
    <customShpInfo spid="_x0000_s1044"/>
    <customShpInfo spid="_x0000_s1045"/>
    <customShpInfo spid="_x0000_s1043"/>
    <customShpInfo spid="_x0000_s1047"/>
    <customShpInfo spid="_x0000_s1048"/>
    <customShpInfo spid="_x0000_s1046"/>
    <customShpInfo spid="_x0000_s1050"/>
    <customShpInfo spid="_x0000_s1051"/>
    <customShpInfo spid="_x0000_s1049"/>
    <customShpInfo spid="_x0000_s1053"/>
    <customShpInfo spid="_x0000_s1054"/>
    <customShpInfo spid="_x0000_s1052"/>
    <customShpInfo spid="_x0000_s1056"/>
    <customShpInfo spid="_x0000_s1057"/>
    <customShpInfo spid="_x0000_s1055"/>
    <customShpInfo spid="_x0000_s1059"/>
    <customShpInfo spid="_x0000_s1060"/>
    <customShpInfo spid="_x0000_s1058"/>
    <customShpInfo spid="_x0000_s1062"/>
    <customShpInfo spid="_x0000_s1063"/>
    <customShpInfo spid="_x0000_s1061"/>
    <customShpInfo spid="_x0000_s1064"/>
    <customShpInfo spid="_x0000_s1066"/>
    <customShpInfo spid="_x0000_s1067"/>
    <customShpInfo spid="_x0000_s1065"/>
    <customShpInfo spid="_x0000_s1069"/>
    <customShpInfo spid="_x0000_s1070"/>
    <customShpInfo spid="_x0000_s1068"/>
    <customShpInfo spid="_x0000_s1072"/>
    <customShpInfo spid="_x0000_s1073"/>
    <customShpInfo spid="_x0000_s1071"/>
    <customShpInfo spid="_x0000_s1075"/>
    <customShpInfo spid="_x0000_s1076"/>
    <customShpInfo spid="_x0000_s1074"/>
    <customShpInfo spid="_x0000_s1077"/>
    <customShpInfo spid="_x0000_s1079"/>
    <customShpInfo spid="_x0000_s1080"/>
    <customShpInfo spid="_x0000_s1078"/>
    <customShpInfo spid="_x0000_s1082"/>
    <customShpInfo spid="_x0000_s1083"/>
    <customShpInfo spid="_x0000_s1081"/>
    <customShpInfo spid="_x0000_s1084"/>
    <customShpInfo spid="_x0000_s1086"/>
    <customShpInfo spid="_x0000_s1087"/>
    <customShpInfo spid="_x0000_s1085"/>
    <customShpInfo spid="_x0000_s1089"/>
    <customShpInfo spid="_x0000_s1090"/>
    <customShpInfo spid="_x0000_s1088"/>
    <customShpInfo spid="_x0000_s1091"/>
    <customShpInfo spid="_x0000_s1093"/>
    <customShpInfo spid="_x0000_s1094"/>
    <customShpInfo spid="_x0000_s1092"/>
    <customShpInfo spid="_x0000_s1096"/>
    <customShpInfo spid="_x0000_s1097"/>
    <customShpInfo spid="_x0000_s1095"/>
    <customShpInfo spid="_x0000_s1098"/>
    <customShpInfo spid="_x0000_s1100"/>
    <customShpInfo spid="_x0000_s1101"/>
    <customShpInfo spid="_x0000_s1099"/>
    <customShpInfo spid="_x0000_s1102"/>
    <customShpInfo spid="_x0000_s1104"/>
    <customShpInfo spid="_x0000_s1105"/>
    <customShpInfo spid="_x0000_s1103"/>
    <customShpInfo spid="_x0000_s1107"/>
    <customShpInfo spid="_x0000_s1108"/>
    <customShpInfo spid="_x0000_s1106"/>
    <customShpInfo spid="_x0000_s1110"/>
    <customShpInfo spid="_x0000_s1111"/>
    <customShpInfo spid="_x0000_s1109"/>
    <customShpInfo spid="_x0000_s1112"/>
    <customShpInfo spid="_x0000_s1114"/>
    <customShpInfo spid="_x0000_s1115"/>
    <customShpInfo spid="_x0000_s1113"/>
    <customShpInfo spid="_x0000_s1117"/>
    <customShpInfo spid="_x0000_s1118"/>
    <customShpInfo spid="_x0000_s1116"/>
    <customShpInfo spid="_x0000_s1120"/>
    <customShpInfo spid="_x0000_s1121"/>
    <customShpInfo spid="_x0000_s1119"/>
    <customShpInfo spid="_x0000_s1123"/>
    <customShpInfo spid="_x0000_s1124"/>
    <customShpInfo spid="_x0000_s1122"/>
    <customShpInfo spid="_x0000_s1126"/>
    <customShpInfo spid="_x0000_s1127"/>
    <customShpInfo spid="_x0000_s1125"/>
    <customShpInfo spid="_x0000_s1129"/>
    <customShpInfo spid="_x0000_s1130"/>
    <customShpInfo spid="_x0000_s1128"/>
    <customShpInfo spid="_x0000_s1132"/>
    <customShpInfo spid="_x0000_s1133"/>
    <customShpInfo spid="_x0000_s1131"/>
    <customShpInfo spid="_x0000_s1135"/>
    <customShpInfo spid="_x0000_s1136"/>
    <customShpInfo spid="_x0000_s1134"/>
    <customShpInfo spid="_x0000_s1138"/>
    <customShpInfo spid="_x0000_s1139"/>
    <customShpInfo spid="_x0000_s1137"/>
    <customShpInfo spid="_x0000_s1141"/>
    <customShpInfo spid="_x0000_s1142"/>
    <customShpInfo spid="_x0000_s1140"/>
    <customShpInfo spid="_x0000_s1144"/>
    <customShpInfo spid="_x0000_s1145"/>
    <customShpInfo spid="_x0000_s1143"/>
    <customShpInfo spid="_x0000_s1147"/>
    <customShpInfo spid="_x0000_s1148"/>
    <customShpInfo spid="_x0000_s1146"/>
    <customShpInfo spid="_x0000_s1150"/>
    <customShpInfo spid="_x0000_s1151"/>
    <customShpInfo spid="_x0000_s1149"/>
    <customShpInfo spid="_x0000_s1152"/>
    <customShpInfo spid="_x0000_s1154"/>
    <customShpInfo spid="_x0000_s1155"/>
    <customShpInfo spid="_x0000_s1153"/>
    <customShpInfo spid="_x0000_s1157"/>
    <customShpInfo spid="_x0000_s1158"/>
    <customShpInfo spid="_x0000_s1156"/>
    <customShpInfo spid="_x0000_s1160"/>
    <customShpInfo spid="_x0000_s1161"/>
    <customShpInfo spid="_x0000_s1159"/>
    <customShpInfo spid="_x0000_s1163"/>
    <customShpInfo spid="_x0000_s1164"/>
    <customShpInfo spid="_x0000_s1162"/>
    <customShpInfo spid="_x0000_s1166"/>
    <customShpInfo spid="_x0000_s1167"/>
    <customShpInfo spid="_x0000_s1165"/>
    <customShpInfo spid="_x0000_s1169"/>
    <customShpInfo spid="_x0000_s1170"/>
    <customShpInfo spid="_x0000_s1168"/>
    <customShpInfo spid="_x0000_s1172"/>
    <customShpInfo spid="_x0000_s1173"/>
    <customShpInfo spid="_x0000_s1171"/>
    <customShpInfo spid="_x0000_s1175"/>
    <customShpInfo spid="_x0000_s1176"/>
    <customShpInfo spid="_x0000_s1174"/>
    <customShpInfo spid="_x0000_s1178"/>
    <customShpInfo spid="_x0000_s1179"/>
    <customShpInfo spid="_x0000_s1177"/>
    <customShpInfo spid="_x0000_s1181"/>
    <customShpInfo spid="_x0000_s1182"/>
    <customShpInfo spid="_x0000_s1180"/>
    <customShpInfo spid="_x0000_s1184"/>
    <customShpInfo spid="_x0000_s1185"/>
    <customShpInfo spid="_x0000_s1183"/>
    <customShpInfo spid="_x0000_s1186"/>
    <customShpInfo spid="_x0000_s1188"/>
    <customShpInfo spid="_x0000_s1189"/>
    <customShpInfo spid="_x0000_s1187"/>
    <customShpInfo spid="_x0000_s1191"/>
    <customShpInfo spid="_x0000_s1192"/>
    <customShpInfo spid="_x0000_s1190"/>
    <customShpInfo spid="_x0000_s1193"/>
    <customShpInfo spid="_x0000_s1195"/>
    <customShpInfo spid="_x0000_s1196"/>
    <customShpInfo spid="_x0000_s1194"/>
    <customShpInfo spid="_x0000_s1198"/>
    <customShpInfo spid="_x0000_s1199"/>
    <customShpInfo spid="_x0000_s1197"/>
    <customShpInfo spid="_x0000_s1200"/>
    <customShpInfo spid="_x0000_s1202"/>
    <customShpInfo spid="_x0000_s1203"/>
    <customShpInfo spid="_x0000_s1201"/>
    <customShpInfo spid="_x0000_s1205"/>
    <customShpInfo spid="_x0000_s1206"/>
    <customShpInfo spid="_x0000_s1204"/>
    <customShpInfo spid="_x0000_s1208"/>
    <customShpInfo spid="_x0000_s1209"/>
    <customShpInfo spid="_x0000_s1207"/>
    <customShpInfo spid="_x0000_s1211"/>
    <customShpInfo spid="_x0000_s1212"/>
    <customShpInfo spid="_x0000_s1210"/>
    <customShpInfo spid="_x0000_s1214"/>
    <customShpInfo spid="_x0000_s1215"/>
    <customShpInfo spid="_x0000_s1213"/>
    <customShpInfo spid="_x0000_s1217"/>
    <customShpInfo spid="_x0000_s1218"/>
    <customShpInfo spid="_x0000_s1216"/>
    <customShpInfo spid="_x0000_s1220"/>
    <customShpInfo spid="_x0000_s1221"/>
    <customShpInfo spid="_x0000_s1219"/>
    <customShpInfo spid="_x0000_s1223"/>
    <customShpInfo spid="_x0000_s1224"/>
    <customShpInfo spid="_x0000_s1222"/>
    <customShpInfo spid="_x0000_s1226"/>
    <customShpInfo spid="_x0000_s1227"/>
    <customShpInfo spid="_x0000_s1225"/>
    <customShpInfo spid="_x0000_s1229"/>
    <customShpInfo spid="_x0000_s1230"/>
    <customShpInfo spid="_x0000_s1228"/>
    <customShpInfo spid="_x0000_s1232"/>
    <customShpInfo spid="_x0000_s1233"/>
    <customShpInfo spid="_x0000_s1231"/>
    <customShpInfo spid="_x0000_s1235"/>
    <customShpInfo spid="_x0000_s1236"/>
    <customShpInfo spid="_x0000_s1234"/>
    <customShpInfo spid="_x0000_s1238"/>
    <customShpInfo spid="_x0000_s1239"/>
    <customShpInfo spid="_x0000_s1237"/>
    <customShpInfo spid="_x0000_s1241"/>
    <customShpInfo spid="_x0000_s1242"/>
    <customShpInfo spid="_x0000_s1240"/>
    <customShpInfo spid="_x0000_s1243"/>
    <customShpInfo spid="_x0000_s1244"/>
    <customShpInfo spid="_x0000_s1245"/>
    <customShpInfo spid="_x0000_s1247"/>
    <customShpInfo spid="_x0000_s1248"/>
    <customShpInfo spid="_x0000_s1246"/>
    <customShpInfo spid="_x0000_s1250"/>
    <customShpInfo spid="_x0000_s1251"/>
    <customShpInfo spid="_x0000_s1249"/>
    <customShpInfo spid="_x0000_s1253"/>
    <customShpInfo spid="_x0000_s1254"/>
    <customShpInfo spid="_x0000_s1252"/>
    <customShpInfo spid="_x0000_s1256"/>
    <customShpInfo spid="_x0000_s1257"/>
    <customShpInfo spid="_x0000_s1255"/>
    <customShpInfo spid="_x0000_s1259"/>
    <customShpInfo spid="_x0000_s1260"/>
    <customShpInfo spid="_x0000_s1258"/>
    <customShpInfo spid="_x0000_s1262"/>
    <customShpInfo spid="_x0000_s1263"/>
    <customShpInfo spid="_x0000_s1261"/>
    <customShpInfo spid="_x0000_s1265"/>
    <customShpInfo spid="_x0000_s1266"/>
    <customShpInfo spid="_x0000_s1264"/>
    <customShpInfo spid="_x0000_s1267"/>
    <customShpInfo spid="_x0000_s1268"/>
    <customShpInfo spid="_x0000_s1270"/>
    <customShpInfo spid="_x0000_s1271"/>
    <customShpInfo spid="_x0000_s1269"/>
    <customShpInfo spid="_x0000_s1273"/>
    <customShpInfo spid="_x0000_s1274"/>
    <customShpInfo spid="_x0000_s1272"/>
    <customShpInfo spid="_x0000_s1276"/>
    <customShpInfo spid="_x0000_s1277"/>
    <customShpInfo spid="_x0000_s1275"/>
    <customShpInfo spid="_x0000_s1279"/>
    <customShpInfo spid="_x0000_s1280"/>
    <customShpInfo spid="_x0000_s1278"/>
    <customShpInfo spid="_x0000_s1282"/>
    <customShpInfo spid="_x0000_s1283"/>
    <customShpInfo spid="_x0000_s1281"/>
    <customShpInfo spid="_x0000_s1284"/>
    <customShpInfo spid="_x0000_s1286"/>
    <customShpInfo spid="_x0000_s1287"/>
    <customShpInfo spid="_x0000_s1285"/>
    <customShpInfo spid="_x0000_s1289"/>
    <customShpInfo spid="_x0000_s1290"/>
    <customShpInfo spid="_x0000_s1288"/>
    <customShpInfo spid="_x0000_s1292"/>
    <customShpInfo spid="_x0000_s1293"/>
    <customShpInfo spid="_x0000_s1291"/>
    <customShpInfo spid="_x0000_s1294"/>
    <customShpInfo spid="_x0000_s1296"/>
    <customShpInfo spid="_x0000_s1297"/>
    <customShpInfo spid="_x0000_s1295"/>
    <customShpInfo spid="_x0000_s1298"/>
    <customShpInfo spid="_x0000_s1300"/>
    <customShpInfo spid="_x0000_s1301"/>
    <customShpInfo spid="_x0000_s1299"/>
    <customShpInfo spid="_x0000_s1303"/>
    <customShpInfo spid="_x0000_s1304"/>
    <customShpInfo spid="_x0000_s1302"/>
    <customShpInfo spid="_x0000_s1306"/>
    <customShpInfo spid="_x0000_s1307"/>
    <customShpInfo spid="_x0000_s1305"/>
    <customShpInfo spid="_x0000_s1308"/>
    <customShpInfo spid="_x0000_s1310"/>
    <customShpInfo spid="_x0000_s1311"/>
    <customShpInfo spid="_x0000_s1309"/>
    <customShpInfo spid="_x0000_s1313"/>
    <customShpInfo spid="_x0000_s1314"/>
    <customShpInfo spid="_x0000_s1312"/>
    <customShpInfo spid="_x0000_s1316"/>
    <customShpInfo spid="_x0000_s1317"/>
    <customShpInfo spid="_x0000_s1315"/>
    <customShpInfo spid="_x0000_s1319"/>
    <customShpInfo spid="_x0000_s1320"/>
    <customShpInfo spid="_x0000_s1318"/>
    <customShpInfo spid="_x0000_s1321"/>
    <customShpInfo spid="_x0000_s1323"/>
    <customShpInfo spid="_x0000_s1324"/>
    <customShpInfo spid="_x0000_s1322"/>
    <customShpInfo spid="_x0000_s1326"/>
    <customShpInfo spid="_x0000_s1327"/>
    <customShpInfo spid="_x0000_s1325"/>
    <customShpInfo spid="_x0000_s1329"/>
    <customShpInfo spid="_x0000_s1330"/>
    <customShpInfo spid="_x0000_s1328"/>
    <customShpInfo spid="_x0000_s1332"/>
    <customShpInfo spid="_x0000_s1333"/>
    <customShpInfo spid="_x0000_s1331"/>
    <customShpInfo spid="_x0000_s1335"/>
    <customShpInfo spid="_x0000_s1336"/>
    <customShpInfo spid="_x0000_s1334"/>
    <customShpInfo spid="_x0000_s1337"/>
    <customShpInfo spid="_x0000_s1339"/>
    <customShpInfo spid="_x0000_s1340"/>
    <customShpInfo spid="_x0000_s1338"/>
    <customShpInfo spid="_x0000_s1342"/>
    <customShpInfo spid="_x0000_s1343"/>
    <customShpInfo spid="_x0000_s1341"/>
    <customShpInfo spid="_x0000_s1345"/>
    <customShpInfo spid="_x0000_s1346"/>
    <customShpInfo spid="_x0000_s1344"/>
    <customShpInfo spid="_x0000_s1347"/>
    <customShpInfo spid="_x0000_s1349"/>
    <customShpInfo spid="_x0000_s1350"/>
    <customShpInfo spid="_x0000_s1348"/>
    <customShpInfo spid="_x0000_s1351"/>
    <customShpInfo spid="_x0000_s1353"/>
    <customShpInfo spid="_x0000_s1354"/>
    <customShpInfo spid="_x0000_s1352"/>
    <customShpInfo spid="_x0000_s1356"/>
    <customShpInfo spid="_x0000_s1357"/>
    <customShpInfo spid="_x0000_s1355"/>
    <customShpInfo spid="_x0000_s1358"/>
    <customShpInfo spid="_x0000_s1360"/>
    <customShpInfo spid="_x0000_s1361"/>
    <customShpInfo spid="_x0000_s1359"/>
    <customShpInfo spid="_x0000_s1362"/>
    <customShpInfo spid="_x0000_s1363"/>
    <customShpInfo spid="_x0000_s1365"/>
    <customShpInfo spid="_x0000_s1366"/>
    <customShpInfo spid="_x0000_s1364"/>
    <customShpInfo spid="_x0000_s1368"/>
    <customShpInfo spid="_x0000_s1369"/>
    <customShpInfo spid="_x0000_s1367"/>
    <customShpInfo spid="_x0000_s1371"/>
    <customShpInfo spid="_x0000_s1372"/>
    <customShpInfo spid="_x0000_s1370"/>
    <customShpInfo spid="_x0000_s1373"/>
    <customShpInfo spid="_x0000_s1374"/>
    <customShpInfo spid="_x0000_s1375"/>
    <customShpInfo spid="_x0000_s1377"/>
    <customShpInfo spid="_x0000_s1378"/>
    <customShpInfo spid="_x0000_s1376"/>
    <customShpInfo spid="_x0000_s1380"/>
    <customShpInfo spid="_x0000_s1381"/>
    <customShpInfo spid="_x0000_s1379"/>
    <customShpInfo spid="_x0000_s1383"/>
    <customShpInfo spid="_x0000_s1384"/>
    <customShpInfo spid="_x0000_s1382"/>
    <customShpInfo spid="_x0000_s1385"/>
    <customShpInfo spid="_x0000_s1386"/>
    <customShpInfo spid="_x0000_s1388"/>
    <customShpInfo spid="_x0000_s1389"/>
    <customShpInfo spid="_x0000_s1387"/>
    <customShpInfo spid="_x0000_s1391"/>
    <customShpInfo spid="_x0000_s1392"/>
    <customShpInfo spid="_x0000_s1390"/>
    <customShpInfo spid="_x0000_s1394"/>
    <customShpInfo spid="_x0000_s1395"/>
    <customShpInfo spid="_x0000_s1393"/>
    <customShpInfo spid="_x0000_s1396"/>
    <customShpInfo spid="_x0000_s1398"/>
    <customShpInfo spid="_x0000_s1399"/>
    <customShpInfo spid="_x0000_s1397"/>
    <customShpInfo spid="_x0000_s1401"/>
    <customShpInfo spid="_x0000_s1402"/>
    <customShpInfo spid="_x0000_s1400"/>
    <customShpInfo spid="_x0000_s1404"/>
    <customShpInfo spid="_x0000_s1405"/>
    <customShpInfo spid="_x0000_s1403"/>
    <customShpInfo spid="_x0000_s1407"/>
    <customShpInfo spid="_x0000_s1408"/>
    <customShpInfo spid="_x0000_s1406"/>
    <customShpInfo spid="_x0000_s1410"/>
    <customShpInfo spid="_x0000_s1411"/>
    <customShpInfo spid="_x0000_s1409"/>
    <customShpInfo spid="_x0000_s1413"/>
    <customShpInfo spid="_x0000_s1414"/>
    <customShpInfo spid="_x0000_s1412"/>
    <customShpInfo spid="_x0000_s1416"/>
    <customShpInfo spid="_x0000_s1417"/>
    <customShpInfo spid="_x0000_s1415"/>
    <customShpInfo spid="_x0000_s1418"/>
    <customShpInfo spid="_x0000_s1420"/>
    <customShpInfo spid="_x0000_s1421"/>
    <customShpInfo spid="_x0000_s1419"/>
    <customShpInfo spid="_x0000_s1423"/>
    <customShpInfo spid="_x0000_s1424"/>
    <customShpInfo spid="_x0000_s1422"/>
    <customShpInfo spid="_x0000_s1426"/>
    <customShpInfo spid="_x0000_s1427"/>
    <customShpInfo spid="_x0000_s1425"/>
    <customShpInfo spid="_x0000_s1429"/>
    <customShpInfo spid="_x0000_s1430"/>
    <customShpInfo spid="_x0000_s1428"/>
    <customShpInfo spid="_x0000_s1432"/>
    <customShpInfo spid="_x0000_s1433"/>
    <customShpInfo spid="_x0000_s1431"/>
    <customShpInfo spid="_x0000_s1435"/>
    <customShpInfo spid="_x0000_s1436"/>
    <customShpInfo spid="_x0000_s1434"/>
    <customShpInfo spid="_x0000_s1438"/>
    <customShpInfo spid="_x0000_s1439"/>
    <customShpInfo spid="_x0000_s1437"/>
    <customShpInfo spid="_x0000_s1441"/>
    <customShpInfo spid="_x0000_s1442"/>
    <customShpInfo spid="_x0000_s1440"/>
    <customShpInfo spid="_x0000_s1444"/>
    <customShpInfo spid="_x0000_s1445"/>
    <customShpInfo spid="_x0000_s1443"/>
    <customShpInfo spid="_x0000_s1447"/>
    <customShpInfo spid="_x0000_s1448"/>
    <customShpInfo spid="_x0000_s1446"/>
    <customShpInfo spid="_x0000_s1450"/>
    <customShpInfo spid="_x0000_s1451"/>
    <customShpInfo spid="_x0000_s1449"/>
    <customShpInfo spid="_x0000_s1452"/>
    <customShpInfo spid="_x0000_s1454"/>
    <customShpInfo spid="_x0000_s1455"/>
    <customShpInfo spid="_x0000_s1453"/>
    <customShpInfo spid="_x0000_s1457"/>
    <customShpInfo spid="_x0000_s1458"/>
    <customShpInfo spid="_x0000_s1456"/>
    <customShpInfo spid="_x0000_s1460"/>
    <customShpInfo spid="_x0000_s1461"/>
    <customShpInfo spid="_x0000_s1459"/>
    <customShpInfo spid="_x0000_s1463"/>
    <customShpInfo spid="_x0000_s1464"/>
    <customShpInfo spid="_x0000_s1462"/>
    <customShpInfo spid="_x0000_s1465"/>
    <customShpInfo spid="_x0000_s1467"/>
    <customShpInfo spid="_x0000_s1468"/>
    <customShpInfo spid="_x0000_s1466"/>
    <customShpInfo spid="_x0000_s1470"/>
    <customShpInfo spid="_x0000_s1471"/>
    <customShpInfo spid="_x0000_s1469"/>
    <customShpInfo spid="_x0000_s1473"/>
    <customShpInfo spid="_x0000_s1474"/>
    <customShpInfo spid="_x0000_s1472"/>
    <customShpInfo spid="_x0000_s1476"/>
    <customShpInfo spid="_x0000_s1477"/>
    <customShpInfo spid="_x0000_s1475"/>
    <customShpInfo spid="_x0000_s1479"/>
    <customShpInfo spid="_x0000_s1480"/>
    <customShpInfo spid="_x0000_s1478"/>
    <customShpInfo spid="_x0000_s1482"/>
    <customShpInfo spid="_x0000_s1483"/>
    <customShpInfo spid="_x0000_s1481"/>
    <customShpInfo spid="_x0000_s1485"/>
    <customShpInfo spid="_x0000_s1486"/>
    <customShpInfo spid="_x0000_s1484"/>
    <customShpInfo spid="_x0000_s1488"/>
    <customShpInfo spid="_x0000_s1489"/>
    <customShpInfo spid="_x0000_s1487"/>
    <customShpInfo spid="_x0000_s1490"/>
    <customShpInfo spid="_x0000_s1492"/>
    <customShpInfo spid="_x0000_s1493"/>
    <customShpInfo spid="_x0000_s1491"/>
    <customShpInfo spid="_x0000_s1495"/>
    <customShpInfo spid="_x0000_s1496"/>
    <customShpInfo spid="_x0000_s1494"/>
    <customShpInfo spid="_x0000_s1498"/>
    <customShpInfo spid="_x0000_s1499"/>
    <customShpInfo spid="_x0000_s1497"/>
    <customShpInfo spid="_x0000_s1501"/>
    <customShpInfo spid="_x0000_s1502"/>
    <customShpInfo spid="_x0000_s1500"/>
    <customShpInfo spid="_x0000_s1504"/>
    <customShpInfo spid="_x0000_s1505"/>
    <customShpInfo spid="_x0000_s1503"/>
    <customShpInfo spid="_x0000_s1506"/>
    <customShpInfo spid="_x0000_s1508"/>
    <customShpInfo spid="_x0000_s1509"/>
    <customShpInfo spid="_x0000_s1507"/>
    <customShpInfo spid="_x0000_s1511"/>
    <customShpInfo spid="_x0000_s1512"/>
    <customShpInfo spid="_x0000_s1510"/>
    <customShpInfo spid="_x0000_s1514"/>
    <customShpInfo spid="_x0000_s1515"/>
    <customShpInfo spid="_x0000_s1513"/>
    <customShpInfo spid="_x0000_s1517"/>
    <customShpInfo spid="_x0000_s1518"/>
    <customShpInfo spid="_x0000_s1516"/>
    <customShpInfo spid="_x0000_s1520"/>
    <customShpInfo spid="_x0000_s1521"/>
    <customShpInfo spid="_x0000_s1519"/>
    <customShpInfo spid="_x0000_s1522"/>
    <customShpInfo spid="_x0000_s1523"/>
    <customShpInfo spid="_x0000_s1525"/>
    <customShpInfo spid="_x0000_s1526"/>
    <customShpInfo spid="_x0000_s1524"/>
    <customShpInfo spid="_x0000_s1528"/>
    <customShpInfo spid="_x0000_s1529"/>
    <customShpInfo spid="_x0000_s1527"/>
    <customShpInfo spid="_x0000_s1530"/>
    <customShpInfo spid="_x0000_s1531"/>
    <customShpInfo spid="_x0000_s1532"/>
    <customShpInfo spid="_x0000_s1533"/>
    <customShpInfo spid="_x0000_s1534"/>
    <customShpInfo spid="_x0000_s1536"/>
    <customShpInfo spid="_x0000_s1537"/>
    <customShpInfo spid="_x0000_s1535"/>
    <customShpInfo spid="_x0000_s1539"/>
    <customShpInfo spid="_x0000_s1540"/>
    <customShpInfo spid="_x0000_s1538"/>
    <customShpInfo spid="_x0000_s1542"/>
    <customShpInfo spid="_x0000_s1543"/>
    <customShpInfo spid="_x0000_s1541"/>
    <customShpInfo spid="_x0000_s1545"/>
    <customShpInfo spid="_x0000_s1546"/>
    <customShpInfo spid="_x0000_s1544"/>
    <customShpInfo spid="_x0000_s1548"/>
    <customShpInfo spid="_x0000_s1549"/>
    <customShpInfo spid="_x0000_s1547"/>
    <customShpInfo spid="_x0000_s1551"/>
    <customShpInfo spid="_x0000_s1552"/>
    <customShpInfo spid="_x0000_s1550"/>
    <customShpInfo spid="_x0000_s1554"/>
    <customShpInfo spid="_x0000_s1555"/>
    <customShpInfo spid="_x0000_s1553"/>
    <customShpInfo spid="_x0000_s1557"/>
    <customShpInfo spid="_x0000_s1558"/>
    <customShpInfo spid="_x0000_s1556"/>
    <customShpInfo spid="_x0000_s1559"/>
    <customShpInfo spid="_x0000_s1560"/>
    <customShpInfo spid="_x0000_s1562"/>
    <customShpInfo spid="_x0000_s1563"/>
    <customShpInfo spid="_x0000_s1561"/>
    <customShpInfo spid="_x0000_s1564"/>
    <customShpInfo spid="_x0000_s1566"/>
    <customShpInfo spid="_x0000_s1567"/>
    <customShpInfo spid="_x0000_s1565"/>
    <customShpInfo spid="_x0000_s1569"/>
    <customShpInfo spid="_x0000_s1570"/>
    <customShpInfo spid="_x0000_s1568"/>
    <customShpInfo spid="_x0000_s1571"/>
    <customShpInfo spid="_x0000_s1573"/>
    <customShpInfo spid="_x0000_s1574"/>
    <customShpInfo spid="_x0000_s1572"/>
    <customShpInfo spid="_x0000_s1575"/>
    <customShpInfo spid="_x0000_s1577"/>
    <customShpInfo spid="_x0000_s1578"/>
    <customShpInfo spid="_x0000_s1576"/>
    <customShpInfo spid="_x0000_s1579"/>
    <customShpInfo spid="_x0000_s1581"/>
    <customShpInfo spid="_x0000_s1582"/>
    <customShpInfo spid="_x0000_s1580"/>
    <customShpInfo spid="_x0000_s1584"/>
    <customShpInfo spid="_x0000_s1585"/>
    <customShpInfo spid="_x0000_s1583"/>
    <customShpInfo spid="_x0000_s1587"/>
    <customShpInfo spid="_x0000_s1588"/>
    <customShpInfo spid="_x0000_s1586"/>
    <customShpInfo spid="_x0000_s1590"/>
    <customShpInfo spid="_x0000_s1591"/>
    <customShpInfo spid="_x0000_s1589"/>
    <customShpInfo spid="_x0000_s1593"/>
    <customShpInfo spid="_x0000_s1594"/>
    <customShpInfo spid="_x0000_s1592"/>
    <customShpInfo spid="_x0000_s1596"/>
    <customShpInfo spid="_x0000_s1597"/>
    <customShpInfo spid="_x0000_s1595"/>
    <customShpInfo spid="_x0000_s1599"/>
    <customShpInfo spid="_x0000_s1600"/>
    <customShpInfo spid="_x0000_s1598"/>
    <customShpInfo spid="_x0000_s1601"/>
    <customShpInfo spid="_x0000_s1603"/>
    <customShpInfo spid="_x0000_s1604"/>
    <customShpInfo spid="_x0000_s1602"/>
    <customShpInfo spid="_x0000_s1606"/>
    <customShpInfo spid="_x0000_s1607"/>
    <customShpInfo spid="_x0000_s1605"/>
    <customShpInfo spid="_x0000_s1608"/>
    <customShpInfo spid="_x0000_s1610"/>
    <customShpInfo spid="_x0000_s1611"/>
    <customShpInfo spid="_x0000_s1609"/>
    <customShpInfo spid="_x0000_s1613"/>
    <customShpInfo spid="_x0000_s1614"/>
    <customShpInfo spid="_x0000_s1612"/>
    <customShpInfo spid="_x0000_s1616"/>
    <customShpInfo spid="_x0000_s1617"/>
    <customShpInfo spid="_x0000_s1615"/>
    <customShpInfo spid="_x0000_s1618"/>
    <customShpInfo spid="_x0000_s1620"/>
    <customShpInfo spid="_x0000_s1621"/>
    <customShpInfo spid="_x0000_s1619"/>
    <customShpInfo spid="_x0000_s1623"/>
    <customShpInfo spid="_x0000_s1624"/>
    <customShpInfo spid="_x0000_s1622"/>
    <customShpInfo spid="_x0000_s1626"/>
    <customShpInfo spid="_x0000_s1627"/>
    <customShpInfo spid="_x0000_s1625"/>
    <customShpInfo spid="_x0000_s1629"/>
    <customShpInfo spid="_x0000_s1630"/>
    <customShpInfo spid="_x0000_s1628"/>
    <customShpInfo spid="_x0000_s1632"/>
    <customShpInfo spid="_x0000_s1633"/>
    <customShpInfo spid="_x0000_s1631"/>
    <customShpInfo spid="_x0000_s1634"/>
    <customShpInfo spid="_x0000_s1636"/>
    <customShpInfo spid="_x0000_s1637"/>
    <customShpInfo spid="_x0000_s1635"/>
    <customShpInfo spid="_x0000_s1639"/>
    <customShpInfo spid="_x0000_s1640"/>
    <customShpInfo spid="_x0000_s1638"/>
    <customShpInfo spid="_x0000_s1642"/>
    <customShpInfo spid="_x0000_s1643"/>
    <customShpInfo spid="_x0000_s1641"/>
    <customShpInfo spid="_x0000_s1645"/>
    <customShpInfo spid="_x0000_s1646"/>
    <customShpInfo spid="_x0000_s1644"/>
    <customShpInfo spid="_x0000_s1648"/>
    <customShpInfo spid="_x0000_s1649"/>
    <customShpInfo spid="_x0000_s1647"/>
    <customShpInfo spid="_x0000_s1651"/>
    <customShpInfo spid="_x0000_s1652"/>
    <customShpInfo spid="_x0000_s1650"/>
    <customShpInfo spid="_x0000_s1653"/>
    <customShpInfo spid="_x0000_s1654"/>
    <customShpInfo spid="_x0000_s1656"/>
    <customShpInfo spid="_x0000_s1657"/>
    <customShpInfo spid="_x0000_s1655"/>
    <customShpInfo spid="_x0000_s1659"/>
    <customShpInfo spid="_x0000_s1660"/>
    <customShpInfo spid="_x0000_s1658"/>
    <customShpInfo spid="_x0000_s1662"/>
    <customShpInfo spid="_x0000_s1663"/>
    <customShpInfo spid="_x0000_s1661"/>
    <customShpInfo spid="_x0000_s1665"/>
    <customShpInfo spid="_x0000_s1666"/>
    <customShpInfo spid="_x0000_s1664"/>
    <customShpInfo spid="_x0000_s1668"/>
    <customShpInfo spid="_x0000_s1669"/>
    <customShpInfo spid="_x0000_s1667"/>
    <customShpInfo spid="_x0000_s1670"/>
    <customShpInfo spid="_x0000_s1672"/>
    <customShpInfo spid="_x0000_s1673"/>
    <customShpInfo spid="_x0000_s1671"/>
    <customShpInfo spid="_x0000_s1675"/>
    <customShpInfo spid="_x0000_s1676"/>
    <customShpInfo spid="_x0000_s1674"/>
    <customShpInfo spid="_x0000_s1678"/>
    <customShpInfo spid="_x0000_s1679"/>
    <customShpInfo spid="_x0000_s1677"/>
    <customShpInfo spid="_x0000_s1681"/>
    <customShpInfo spid="_x0000_s1682"/>
    <customShpInfo spid="_x0000_s1680"/>
    <customShpInfo spid="_x0000_s1684"/>
    <customShpInfo spid="_x0000_s1685"/>
    <customShpInfo spid="_x0000_s1683"/>
    <customShpInfo spid="_x0000_s1686"/>
    <customShpInfo spid="_x0000_s1688"/>
    <customShpInfo spid="_x0000_s1689"/>
    <customShpInfo spid="_x0000_s1687"/>
    <customShpInfo spid="_x0000_s1691"/>
    <customShpInfo spid="_x0000_s1692"/>
    <customShpInfo spid="_x0000_s1690"/>
    <customShpInfo spid="_x0000_s1694"/>
    <customShpInfo spid="_x0000_s1695"/>
    <customShpInfo spid="_x0000_s1693"/>
    <customShpInfo spid="_x0000_s1697"/>
    <customShpInfo spid="_x0000_s1698"/>
    <customShpInfo spid="_x0000_s1696"/>
    <customShpInfo spid="_x0000_s1700"/>
    <customShpInfo spid="_x0000_s1701"/>
    <customShpInfo spid="_x0000_s1699"/>
    <customShpInfo spid="_x0000_s1703"/>
    <customShpInfo spid="_x0000_s1704"/>
    <customShpInfo spid="_x0000_s1702"/>
    <customShpInfo spid="_x0000_s1706"/>
    <customShpInfo spid="_x0000_s1707"/>
    <customShpInfo spid="_x0000_s1705"/>
    <customShpInfo spid="_x0000_s1709"/>
    <customShpInfo spid="_x0000_s1710"/>
    <customShpInfo spid="_x0000_s1708"/>
    <customShpInfo spid="_x0000_s1712"/>
    <customShpInfo spid="_x0000_s1713"/>
    <customShpInfo spid="_x0000_s1711"/>
    <customShpInfo spid="_x0000_s1715"/>
    <customShpInfo spid="_x0000_s1716"/>
    <customShpInfo spid="_x0000_s1714"/>
    <customShpInfo spid="_x0000_s1718"/>
    <customShpInfo spid="_x0000_s1719"/>
    <customShpInfo spid="_x0000_s1717"/>
    <customShpInfo spid="_x0000_s1721"/>
    <customShpInfo spid="_x0000_s1722"/>
    <customShpInfo spid="_x0000_s1720"/>
    <customShpInfo spid="_x0000_s1723"/>
    <customShpInfo spid="_x0000_s1725"/>
    <customShpInfo spid="_x0000_s1726"/>
    <customShpInfo spid="_x0000_s1724"/>
    <customShpInfo spid="_x0000_s1728"/>
    <customShpInfo spid="_x0000_s1729"/>
    <customShpInfo spid="_x0000_s1727"/>
    <customShpInfo spid="_x0000_s1731"/>
    <customShpInfo spid="_x0000_s1732"/>
    <customShpInfo spid="_x0000_s1730"/>
    <customShpInfo spid="_x0000_s1734"/>
    <customShpInfo spid="_x0000_s1735"/>
    <customShpInfo spid="_x0000_s1733"/>
    <customShpInfo spid="_x0000_s1737"/>
    <customShpInfo spid="_x0000_s1738"/>
    <customShpInfo spid="_x0000_s1736"/>
    <customShpInfo spid="_x0000_s1740"/>
    <customShpInfo spid="_x0000_s1741"/>
    <customShpInfo spid="_x0000_s1739"/>
    <customShpInfo spid="_x0000_s1743"/>
    <customShpInfo spid="_x0000_s1744"/>
    <customShpInfo spid="_x0000_s1742"/>
    <customShpInfo spid="_x0000_s1745"/>
    <customShpInfo spid="_x0000_s1746"/>
    <customShpInfo spid="_x0000_s1748"/>
    <customShpInfo spid="_x0000_s1749"/>
    <customShpInfo spid="_x0000_s1747"/>
    <customShpInfo spid="_x0000_s1750"/>
    <customShpInfo spid="_x0000_s1751"/>
    <customShpInfo spid="_x0000_s1753"/>
    <customShpInfo spid="_x0000_s1754"/>
    <customShpInfo spid="_x0000_s1752"/>
    <customShpInfo spid="_x0000_s1756"/>
    <customShpInfo spid="_x0000_s1757"/>
    <customShpInfo spid="_x0000_s1755"/>
    <customShpInfo spid="_x0000_s1758"/>
    <customShpInfo spid="_x0000_s1759"/>
    <customShpInfo spid="_x0000_s1761"/>
    <customShpInfo spid="_x0000_s1762"/>
    <customShpInfo spid="_x0000_s1760"/>
    <customShpInfo spid="_x0000_s1764"/>
    <customShpInfo spid="_x0000_s1765"/>
    <customShpInfo spid="_x0000_s1763"/>
    <customShpInfo spid="_x0000_s1766"/>
    <customShpInfo spid="_x0000_s1768"/>
    <customShpInfo spid="_x0000_s1769"/>
    <customShpInfo spid="_x0000_s1767"/>
    <customShpInfo spid="_x0000_s1770"/>
    <customShpInfo spid="_x0000_s1771"/>
    <customShpInfo spid="_x0000_s1773"/>
    <customShpInfo spid="_x0000_s1774"/>
    <customShpInfo spid="_x0000_s1772"/>
    <customShpInfo spid="_x0000_s1776"/>
    <customShpInfo spid="_x0000_s1777"/>
    <customShpInfo spid="_x0000_s1775"/>
    <customShpInfo spid="_x0000_s1779"/>
    <customShpInfo spid="_x0000_s1780"/>
    <customShpInfo spid="_x0000_s1778"/>
    <customShpInfo spid="_x0000_s1782"/>
    <customShpInfo spid="_x0000_s1783"/>
    <customShpInfo spid="_x0000_s1781"/>
    <customShpInfo spid="_x0000_s1784"/>
    <customShpInfo spid="_x0000_s1786"/>
    <customShpInfo spid="_x0000_s1787"/>
    <customShpInfo spid="_x0000_s1785"/>
    <customShpInfo spid="_x0000_s1789"/>
    <customShpInfo spid="_x0000_s1790"/>
    <customShpInfo spid="_x0000_s1788"/>
    <customShpInfo spid="_x0000_s1792"/>
    <customShpInfo spid="_x0000_s1793"/>
    <customShpInfo spid="_x0000_s1791"/>
    <customShpInfo spid="_x0000_s1795"/>
    <customShpInfo spid="_x0000_s1796"/>
    <customShpInfo spid="_x0000_s1794"/>
    <customShpInfo spid="_x0000_s1798"/>
    <customShpInfo spid="_x0000_s1799"/>
    <customShpInfo spid="_x0000_s1797"/>
    <customShpInfo spid="_x0000_s1801"/>
    <customShpInfo spid="_x0000_s1802"/>
    <customShpInfo spid="_x0000_s1800"/>
    <customShpInfo spid="_x0000_s1804"/>
    <customShpInfo spid="_x0000_s1805"/>
    <customShpInfo spid="_x0000_s1803"/>
    <customShpInfo spid="_x0000_s1807"/>
    <customShpInfo spid="_x0000_s1808"/>
    <customShpInfo spid="_x0000_s1806"/>
    <customShpInfo spid="_x0000_s1810"/>
    <customShpInfo spid="_x0000_s1811"/>
    <customShpInfo spid="_x0000_s1809"/>
    <customShpInfo spid="_x0000_s1813"/>
    <customShpInfo spid="_x0000_s1814"/>
    <customShpInfo spid="_x0000_s1812"/>
    <customShpInfo spid="_x0000_s1816"/>
    <customShpInfo spid="_x0000_s1817"/>
    <customShpInfo spid="_x0000_s1815"/>
    <customShpInfo spid="_x0000_s1819"/>
    <customShpInfo spid="_x0000_s1820"/>
    <customShpInfo spid="_x0000_s1818"/>
    <customShpInfo spid="_x0000_s1822"/>
    <customShpInfo spid="_x0000_s1823"/>
    <customShpInfo spid="_x0000_s1821"/>
    <customShpInfo spid="_x0000_s1825"/>
    <customShpInfo spid="_x0000_s1826"/>
    <customShpInfo spid="_x0000_s1824"/>
    <customShpInfo spid="_x0000_s1828"/>
    <customShpInfo spid="_x0000_s1829"/>
    <customShpInfo spid="_x0000_s1827"/>
    <customShpInfo spid="_x0000_s1831"/>
    <customShpInfo spid="_x0000_s1832"/>
    <customShpInfo spid="_x0000_s1830"/>
    <customShpInfo spid="_x0000_s1834"/>
    <customShpInfo spid="_x0000_s1835"/>
    <customShpInfo spid="_x0000_s1833"/>
    <customShpInfo spid="_x0000_s1837"/>
    <customShpInfo spid="_x0000_s1838"/>
    <customShpInfo spid="_x0000_s1836"/>
    <customShpInfo spid="_x0000_s1840"/>
    <customShpInfo spid="_x0000_s1841"/>
    <customShpInfo spid="_x0000_s1839"/>
    <customShpInfo spid="_x0000_s1842"/>
    <customShpInfo spid="_x0000_s1843"/>
    <customShpInfo spid="_x0000_s1844"/>
    <customShpInfo spid="_x0000_s1846"/>
    <customShpInfo spid="_x0000_s1847"/>
    <customShpInfo spid="_x0000_s1845"/>
    <customShpInfo spid="_x0000_s1849"/>
    <customShpInfo spid="_x0000_s1850"/>
    <customShpInfo spid="_x0000_s1848"/>
    <customShpInfo spid="_x0000_s1851"/>
    <customShpInfo spid="_x0000_s1853"/>
    <customShpInfo spid="_x0000_s1854"/>
    <customShpInfo spid="_x0000_s1852"/>
    <customShpInfo spid="_x0000_s1856"/>
    <customShpInfo spid="_x0000_s1857"/>
    <customShpInfo spid="_x0000_s1855"/>
    <customShpInfo spid="_x0000_s1859"/>
    <customShpInfo spid="_x0000_s1860"/>
    <customShpInfo spid="_x0000_s1858"/>
    <customShpInfo spid="_x0000_s1862"/>
    <customShpInfo spid="_x0000_s1863"/>
    <customShpInfo spid="_x0000_s1861"/>
    <customShpInfo spid="_x0000_s1864"/>
    <customShpInfo spid="_x0000_s1866"/>
    <customShpInfo spid="_x0000_s1867"/>
    <customShpInfo spid="_x0000_s1865"/>
    <customShpInfo spid="_x0000_s1868"/>
    <customShpInfo spid="_x0000_s1870"/>
    <customShpInfo spid="_x0000_s1871"/>
    <customShpInfo spid="_x0000_s1869"/>
    <customShpInfo spid="_x0000_s1873"/>
    <customShpInfo spid="_x0000_s1874"/>
    <customShpInfo spid="_x0000_s1872"/>
    <customShpInfo spid="_x0000_s1876"/>
    <customShpInfo spid="_x0000_s1877"/>
    <customShpInfo spid="_x0000_s1875"/>
    <customShpInfo spid="_x0000_s1879"/>
    <customShpInfo spid="_x0000_s1880"/>
    <customShpInfo spid="_x0000_s1878"/>
    <customShpInfo spid="_x0000_s1882"/>
    <customShpInfo spid="_x0000_s1883"/>
    <customShpInfo spid="_x0000_s1881"/>
    <customShpInfo spid="_x0000_s1884"/>
    <customShpInfo spid="_x0000_s1886"/>
    <customShpInfo spid="_x0000_s1887"/>
    <customShpInfo spid="_x0000_s1885"/>
    <customShpInfo spid="_x0000_s1888"/>
    <customShpInfo spid="_x0000_s1889"/>
    <customShpInfo spid="_x0000_s1891"/>
    <customShpInfo spid="_x0000_s1892"/>
    <customShpInfo spid="_x0000_s1890"/>
    <customShpInfo spid="_x0000_s1894"/>
    <customShpInfo spid="_x0000_s1895"/>
    <customShpInfo spid="_x0000_s1893"/>
    <customShpInfo spid="_x0000_s1897"/>
    <customShpInfo spid="_x0000_s1898"/>
    <customShpInfo spid="_x0000_s1896"/>
    <customShpInfo spid="_x0000_s1900"/>
    <customShpInfo spid="_x0000_s1901"/>
    <customShpInfo spid="_x0000_s1899"/>
    <customShpInfo spid="_x0000_s1903"/>
    <customShpInfo spid="_x0000_s1904"/>
    <customShpInfo spid="_x0000_s1902"/>
    <customShpInfo spid="_x0000_s1905"/>
    <customShpInfo spid="_x0000_s1907"/>
    <customShpInfo spid="_x0000_s1908"/>
    <customShpInfo spid="_x0000_s1906"/>
    <customShpInfo spid="_x0000_s1909"/>
    <customShpInfo spid="_x0000_s1911"/>
    <customShpInfo spid="_x0000_s1912"/>
    <customShpInfo spid="_x0000_s1910"/>
    <customShpInfo spid="_x0000_s1914"/>
    <customShpInfo spid="_x0000_s1915"/>
    <customShpInfo spid="_x0000_s1913"/>
    <customShpInfo spid="_x0000_s1917"/>
    <customShpInfo spid="_x0000_s1918"/>
    <customShpInfo spid="_x0000_s1916"/>
    <customShpInfo spid="_x0000_s1920"/>
    <customShpInfo spid="_x0000_s1921"/>
    <customShpInfo spid="_x0000_s1919"/>
    <customShpInfo spid="_x0000_s1923"/>
    <customShpInfo spid="_x0000_s1924"/>
    <customShpInfo spid="_x0000_s1922"/>
    <customShpInfo spid="_x0000_s1926"/>
    <customShpInfo spid="_x0000_s1927"/>
    <customShpInfo spid="_x0000_s1925"/>
    <customShpInfo spid="_x0000_s1929"/>
    <customShpInfo spid="_x0000_s1930"/>
    <customShpInfo spid="_x0000_s1928"/>
    <customShpInfo spid="_x0000_s1931"/>
    <customShpInfo spid="_x0000_s1932"/>
    <customShpInfo spid="_x0000_s1934"/>
    <customShpInfo spid="_x0000_s1935"/>
    <customShpInfo spid="_x0000_s1933"/>
    <customShpInfo spid="_x0000_s1936"/>
    <customShpInfo spid="_x0000_s1937"/>
    <customShpInfo spid="_x0000_s1938"/>
    <customShpInfo spid="_x0000_s1940"/>
    <customShpInfo spid="_x0000_s1941"/>
    <customShpInfo spid="_x0000_s1939"/>
    <customShpInfo spid="_x0000_s1943"/>
    <customShpInfo spid="_x0000_s1944"/>
    <customShpInfo spid="_x0000_s1942"/>
    <customShpInfo spid="_x0000_s1945"/>
    <customShpInfo spid="_x0000_s1946"/>
    <customShpInfo spid="_x0000_s1948"/>
    <customShpInfo spid="_x0000_s1949"/>
    <customShpInfo spid="_x0000_s1947"/>
    <customShpInfo spid="_x0000_s1951"/>
    <customShpInfo spid="_x0000_s1952"/>
    <customShpInfo spid="_x0000_s1950"/>
    <customShpInfo spid="_x0000_s1954"/>
    <customShpInfo spid="_x0000_s1955"/>
    <customShpInfo spid="_x0000_s1953"/>
    <customShpInfo spid="_x0000_s1957"/>
    <customShpInfo spid="_x0000_s1958"/>
    <customShpInfo spid="_x0000_s1956"/>
    <customShpInfo spid="_x0000_s1960"/>
    <customShpInfo spid="_x0000_s1961"/>
    <customShpInfo spid="_x0000_s1959"/>
    <customShpInfo spid="_x0000_s1963"/>
    <customShpInfo spid="_x0000_s1964"/>
    <customShpInfo spid="_x0000_s1962"/>
    <customShpInfo spid="_x0000_s1966"/>
    <customShpInfo spid="_x0000_s1967"/>
    <customShpInfo spid="_x0000_s1965"/>
    <customShpInfo spid="_x0000_s1969"/>
    <customShpInfo spid="_x0000_s1970"/>
    <customShpInfo spid="_x0000_s1968"/>
    <customShpInfo spid="_x0000_s1972"/>
    <customShpInfo spid="_x0000_s1973"/>
    <customShpInfo spid="_x0000_s1971"/>
    <customShpInfo spid="_x0000_s1974"/>
    <customShpInfo spid="_x0000_s1976"/>
    <customShpInfo spid="_x0000_s1977"/>
    <customShpInfo spid="_x0000_s1975"/>
    <customShpInfo spid="_x0000_s1979"/>
    <customShpInfo spid="_x0000_s1980"/>
    <customShpInfo spid="_x0000_s1978"/>
    <customShpInfo spid="_x0000_s1982"/>
    <customShpInfo spid="_x0000_s1983"/>
    <customShpInfo spid="_x0000_s1981"/>
    <customShpInfo spid="_x0000_s1984"/>
    <customShpInfo spid="_x0000_s1986"/>
    <customShpInfo spid="_x0000_s1987"/>
    <customShpInfo spid="_x0000_s1985"/>
    <customShpInfo spid="_x0000_s1989"/>
    <customShpInfo spid="_x0000_s1990"/>
    <customShpInfo spid="_x0000_s1988"/>
    <customShpInfo spid="_x0000_s1992"/>
    <customShpInfo spid="_x0000_s1993"/>
    <customShpInfo spid="_x0000_s1991"/>
    <customShpInfo spid="_x0000_s1995"/>
    <customShpInfo spid="_x0000_s1996"/>
    <customShpInfo spid="_x0000_s1994"/>
    <customShpInfo spid="_x0000_s1998"/>
    <customShpInfo spid="_x0000_s1999"/>
    <customShpInfo spid="_x0000_s1997"/>
    <customShpInfo spid="_x0000_s2000"/>
    <customShpInfo spid="_x0000_s2002"/>
    <customShpInfo spid="_x0000_s2003"/>
    <customShpInfo spid="_x0000_s2001"/>
    <customShpInfo spid="_x0000_s2005"/>
    <customShpInfo spid="_x0000_s2006"/>
    <customShpInfo spid="_x0000_s2004"/>
    <customShpInfo spid="_x0000_s2007"/>
    <customShpInfo spid="_x0000_s2008"/>
    <customShpInfo spid="_x0000_s2010"/>
    <customShpInfo spid="_x0000_s2011"/>
    <customShpInfo spid="_x0000_s2009"/>
    <customShpInfo spid="_x0000_s2012"/>
    <customShpInfo spid="_x0000_s2014"/>
    <customShpInfo spid="_x0000_s2015"/>
    <customShpInfo spid="_x0000_s2013"/>
    <customShpInfo spid="_x0000_s2017"/>
    <customShpInfo spid="_x0000_s2018"/>
    <customShpInfo spid="_x0000_s2016"/>
    <customShpInfo spid="_x0000_s2019"/>
    <customShpInfo spid="_x0000_s2020"/>
    <customShpInfo spid="_x0000_s2022"/>
    <customShpInfo spid="_x0000_s2023"/>
    <customShpInfo spid="_x0000_s2021"/>
    <customShpInfo spid="_x0000_s2025"/>
    <customShpInfo spid="_x0000_s2026"/>
    <customShpInfo spid="_x0000_s2024"/>
    <customShpInfo spid="_x0000_s2027"/>
    <customShpInfo spid="_x0000_s2029"/>
    <customShpInfo spid="_x0000_s2030"/>
    <customShpInfo spid="_x0000_s2028"/>
    <customShpInfo spid="_x0000_s2031"/>
    <customShpInfo spid="_x0000_s2032"/>
    <customShpInfo spid="_x0000_s2034"/>
    <customShpInfo spid="_x0000_s2035"/>
    <customShpInfo spid="_x0000_s2033"/>
    <customShpInfo spid="_x0000_s2037"/>
    <customShpInfo spid="_x0000_s2038"/>
    <customShpInfo spid="_x0000_s2036"/>
    <customShpInfo spid="_x0000_s2040"/>
    <customShpInfo spid="_x0000_s2041"/>
    <customShpInfo spid="_x0000_s2039"/>
    <customShpInfo spid="_x0000_s2043"/>
    <customShpInfo spid="_x0000_s2044"/>
    <customShpInfo spid="_x0000_s2042"/>
    <customShpInfo spid="_x0000_s2046"/>
    <customShpInfo spid="_x0000_s2047"/>
    <customShpInfo spid="_x0000_s2045"/>
    <customShpInfo spid="_x0000_s2049"/>
    <customShpInfo spid="_x0000_s2050"/>
    <customShpInfo spid="_x0000_s2048"/>
    <customShpInfo spid="_x0000_s2052"/>
    <customShpInfo spid="_x0000_s2053"/>
    <customShpInfo spid="_x0000_s2051"/>
    <customShpInfo spid="_x0000_s2055"/>
    <customShpInfo spid="_x0000_s2056"/>
    <customShpInfo spid="_x0000_s2054"/>
    <customShpInfo spid="_x0000_s2057"/>
    <customShpInfo spid="_x0000_s2059"/>
    <customShpInfo spid="_x0000_s2060"/>
    <customShpInfo spid="_x0000_s2058"/>
    <customShpInfo spid="_x0000_s2062"/>
    <customShpInfo spid="_x0000_s2063"/>
    <customShpInfo spid="_x0000_s2061"/>
    <customShpInfo spid="_x0000_s2065"/>
    <customShpInfo spid="_x0000_s2066"/>
    <customShpInfo spid="_x0000_s2064"/>
    <customShpInfo spid="_x0000_s2068"/>
    <customShpInfo spid="_x0000_s2069"/>
    <customShpInfo spid="_x0000_s2067"/>
    <customShpInfo spid="_x0000_s2070"/>
    <customShpInfo spid="_x0000_s2072"/>
    <customShpInfo spid="_x0000_s2073"/>
    <customShpInfo spid="_x0000_s2071"/>
    <customShpInfo spid="_x0000_s2075"/>
    <customShpInfo spid="_x0000_s2076"/>
    <customShpInfo spid="_x0000_s2074"/>
    <customShpInfo spid="_x0000_s2078"/>
    <customShpInfo spid="_x0000_s2079"/>
    <customShpInfo spid="_x0000_s2077"/>
    <customShpInfo spid="_x0000_s2081"/>
    <customShpInfo spid="_x0000_s2082"/>
    <customShpInfo spid="_x0000_s2080"/>
    <customShpInfo spid="_x0000_s2084"/>
    <customShpInfo spid="_x0000_s2085"/>
    <customShpInfo spid="_x0000_s2083"/>
    <customShpInfo spid="_x0000_s2087"/>
    <customShpInfo spid="_x0000_s2088"/>
    <customShpInfo spid="_x0000_s2086"/>
    <customShpInfo spid="_x0000_s2090"/>
    <customShpInfo spid="_x0000_s2091"/>
    <customShpInfo spid="_x0000_s2089"/>
    <customShpInfo spid="_x0000_s2093"/>
    <customShpInfo spid="_x0000_s2094"/>
    <customShpInfo spid="_x0000_s2092"/>
    <customShpInfo spid="_x0000_s2095"/>
    <customShpInfo spid="_x0000_s2097"/>
    <customShpInfo spid="_x0000_s2098"/>
    <customShpInfo spid="_x0000_s2096"/>
    <customShpInfo spid="_x0000_s2099"/>
    <customShpInfo spid="_x0000_s2101"/>
    <customShpInfo spid="_x0000_s2102"/>
    <customShpInfo spid="_x0000_s2100"/>
    <customShpInfo spid="_x0000_s2104"/>
    <customShpInfo spid="_x0000_s2105"/>
    <customShpInfo spid="_x0000_s2103"/>
    <customShpInfo spid="_x0000_s2107"/>
    <customShpInfo spid="_x0000_s2108"/>
    <customShpInfo spid="_x0000_s2106"/>
    <customShpInfo spid="_x0000_s2110"/>
    <customShpInfo spid="_x0000_s2111"/>
    <customShpInfo spid="_x0000_s2109"/>
    <customShpInfo spid="_x0000_s2113"/>
    <customShpInfo spid="_x0000_s2114"/>
    <customShpInfo spid="_x0000_s2112"/>
    <customShpInfo spid="_x0000_s2116"/>
    <customShpInfo spid="_x0000_s2117"/>
    <customShpInfo spid="_x0000_s2115"/>
    <customShpInfo spid="_x0000_s2118"/>
    <customShpInfo spid="_x0000_s2119"/>
    <customShpInfo spid="_x0000_s2120"/>
    <customShpInfo spid="_x0000_s2122"/>
    <customShpInfo spid="_x0000_s2123"/>
    <customShpInfo spid="_x0000_s2121"/>
    <customShpInfo spid="_x0000_s2124"/>
    <customShpInfo spid="_x0000_s2126"/>
    <customShpInfo spid="_x0000_s2127"/>
    <customShpInfo spid="_x0000_s2125"/>
    <customShpInfo spid="_x0000_s2129"/>
    <customShpInfo spid="_x0000_s2130"/>
    <customShpInfo spid="_x0000_s2128"/>
    <customShpInfo spid="_x0000_s2132"/>
    <customShpInfo spid="_x0000_s2133"/>
    <customShpInfo spid="_x0000_s2131"/>
    <customShpInfo spid="_x0000_s2135"/>
    <customShpInfo spid="_x0000_s2136"/>
    <customShpInfo spid="_x0000_s2134"/>
    <customShpInfo spid="_x0000_s2138"/>
    <customShpInfo spid="_x0000_s2139"/>
    <customShpInfo spid="_x0000_s2137"/>
    <customShpInfo spid="_x0000_s2141"/>
    <customShpInfo spid="_x0000_s2142"/>
    <customShpInfo spid="_x0000_s2140"/>
    <customShpInfo spid="_x0000_s2144"/>
    <customShpInfo spid="_x0000_s2145"/>
    <customShpInfo spid="_x0000_s2143"/>
    <customShpInfo spid="_x0000_s2146"/>
    <customShpInfo spid="_x0000_s2148"/>
    <customShpInfo spid="_x0000_s2149"/>
    <customShpInfo spid="_x0000_s2147"/>
    <customShpInfo spid="_x0000_s2151"/>
    <customShpInfo spid="_x0000_s2152"/>
    <customShpInfo spid="_x0000_s2150"/>
    <customShpInfo spid="_x0000_s2153"/>
    <customShpInfo spid="_x0000_s2154"/>
    <customShpInfo spid="_x0000_s2156"/>
    <customShpInfo spid="_x0000_s2157"/>
    <customShpInfo spid="_x0000_s2155"/>
    <customShpInfo spid="_x0000_s2159"/>
    <customShpInfo spid="_x0000_s2160"/>
    <customShpInfo spid="_x0000_s2158"/>
    <customShpInfo spid="_x0000_s2162"/>
    <customShpInfo spid="_x0000_s2163"/>
    <customShpInfo spid="_x0000_s2161"/>
    <customShpInfo spid="_x0000_s2165"/>
    <customShpInfo spid="_x0000_s2166"/>
    <customShpInfo spid="_x0000_s2164"/>
    <customShpInfo spid="_x0000_s2168"/>
    <customShpInfo spid="_x0000_s2169"/>
    <customShpInfo spid="_x0000_s2167"/>
    <customShpInfo spid="_x0000_s2171"/>
    <customShpInfo spid="_x0000_s2172"/>
    <customShpInfo spid="_x0000_s2170"/>
    <customShpInfo spid="_x0000_s2174"/>
    <customShpInfo spid="_x0000_s2175"/>
    <customShpInfo spid="_x0000_s2173"/>
    <customShpInfo spid="_x0000_s2176"/>
    <customShpInfo spid="_x0000_s2178"/>
    <customShpInfo spid="_x0000_s2179"/>
    <customShpInfo spid="_x0000_s2177"/>
    <customShpInfo spid="_x0000_s2181"/>
    <customShpInfo spid="_x0000_s2182"/>
    <customShpInfo spid="_x0000_s2180"/>
    <customShpInfo spid="_x0000_s2184"/>
    <customShpInfo spid="_x0000_s2185"/>
    <customShpInfo spid="_x0000_s2183"/>
    <customShpInfo spid="_x0000_s2187"/>
    <customShpInfo spid="_x0000_s2188"/>
    <customShpInfo spid="_x0000_s2186"/>
    <customShpInfo spid="_x0000_s2190"/>
    <customShpInfo spid="_x0000_s2191"/>
    <customShpInfo spid="_x0000_s2189"/>
    <customShpInfo spid="_x0000_s2193"/>
    <customShpInfo spid="_x0000_s2194"/>
    <customShpInfo spid="_x0000_s2192"/>
    <customShpInfo spid="_x0000_s2196"/>
    <customShpInfo spid="_x0000_s2197"/>
    <customShpInfo spid="_x0000_s2195"/>
    <customShpInfo spid="_x0000_s2198"/>
    <customShpInfo spid="_x0000_s2200"/>
    <customShpInfo spid="_x0000_s2201"/>
    <customShpInfo spid="_x0000_s2199"/>
    <customShpInfo spid="_x0000_s2203"/>
    <customShpInfo spid="_x0000_s2204"/>
    <customShpInfo spid="_x0000_s2202"/>
    <customShpInfo spid="_x0000_s2205"/>
    <customShpInfo spid="_x0000_s2207"/>
    <customShpInfo spid="_x0000_s2208"/>
    <customShpInfo spid="_x0000_s2206"/>
    <customShpInfo spid="_x0000_s2210"/>
    <customShpInfo spid="_x0000_s2211"/>
    <customShpInfo spid="_x0000_s2209"/>
    <customShpInfo spid="_x0000_s2213"/>
    <customShpInfo spid="_x0000_s2214"/>
    <customShpInfo spid="_x0000_s2212"/>
    <customShpInfo spid="_x0000_s2216"/>
    <customShpInfo spid="_x0000_s2217"/>
    <customShpInfo spid="_x0000_s2215"/>
    <customShpInfo spid="_x0000_s2219"/>
    <customShpInfo spid="_x0000_s2220"/>
    <customShpInfo spid="_x0000_s2218"/>
    <customShpInfo spid="_x0000_s2222"/>
    <customShpInfo spid="_x0000_s2223"/>
    <customShpInfo spid="_x0000_s2221"/>
    <customShpInfo spid="_x0000_s2225"/>
    <customShpInfo spid="_x0000_s2226"/>
    <customShpInfo spid="_x0000_s2224"/>
    <customShpInfo spid="_x0000_s2227"/>
    <customShpInfo spid="_x0000_s2229"/>
    <customShpInfo spid="_x0000_s2230"/>
    <customShpInfo spid="_x0000_s2228"/>
    <customShpInfo spid="_x0000_s2232"/>
    <customShpInfo spid="_x0000_s2233"/>
    <customShpInfo spid="_x0000_s2231"/>
    <customShpInfo spid="_x0000_s2235"/>
    <customShpInfo spid="_x0000_s2236"/>
    <customShpInfo spid="_x0000_s2234"/>
    <customShpInfo spid="_x0000_s2238"/>
    <customShpInfo spid="_x0000_s2239"/>
    <customShpInfo spid="_x0000_s2237"/>
    <customShpInfo spid="_x0000_s2241"/>
    <customShpInfo spid="_x0000_s2242"/>
    <customShpInfo spid="_x0000_s2240"/>
    <customShpInfo spid="_x0000_s2243"/>
    <customShpInfo spid="_x0000_s2245"/>
    <customShpInfo spid="_x0000_s2246"/>
    <customShpInfo spid="_x0000_s2244"/>
    <customShpInfo spid="_x0000_s2248"/>
    <customShpInfo spid="_x0000_s2249"/>
    <customShpInfo spid="_x0000_s2247"/>
    <customShpInfo spid="_x0000_s2251"/>
    <customShpInfo spid="_x0000_s2252"/>
    <customShpInfo spid="_x0000_s2250"/>
    <customShpInfo spid="_x0000_s2253"/>
    <customShpInfo spid="_x0000_s2254"/>
    <customShpInfo spid="_x0000_s2256"/>
    <customShpInfo spid="_x0000_s2257"/>
    <customShpInfo spid="_x0000_s2255"/>
    <customShpInfo spid="_x0000_s2259"/>
    <customShpInfo spid="_x0000_s2260"/>
    <customShpInfo spid="_x0000_s2258"/>
    <customShpInfo spid="_x0000_s2262"/>
    <customShpInfo spid="_x0000_s2263"/>
    <customShpInfo spid="_x0000_s2261"/>
    <customShpInfo spid="_x0000_s2264"/>
    <customShpInfo spid="_x0000_s2266"/>
    <customShpInfo spid="_x0000_s2267"/>
    <customShpInfo spid="_x0000_s2265"/>
    <customShpInfo spid="_x0000_s2269"/>
    <customShpInfo spid="_x0000_s2270"/>
    <customShpInfo spid="_x0000_s2268"/>
    <customShpInfo spid="_x0000_s2271"/>
    <customShpInfo spid="_x0000_s2272"/>
    <customShpInfo spid="_x0000_s2274"/>
    <customShpInfo spid="_x0000_s2275"/>
    <customShpInfo spid="_x0000_s2273"/>
    <customShpInfo spid="_x0000_s2277"/>
    <customShpInfo spid="_x0000_s2278"/>
    <customShpInfo spid="_x0000_s2276"/>
    <customShpInfo spid="_x0000_s2280"/>
    <customShpInfo spid="_x0000_s2281"/>
    <customShpInfo spid="_x0000_s2279"/>
    <customShpInfo spid="_x0000_s2283"/>
    <customShpInfo spid="_x0000_s2284"/>
    <customShpInfo spid="_x0000_s2282"/>
    <customShpInfo spid="_x0000_s2286"/>
    <customShpInfo spid="_x0000_s2287"/>
    <customShpInfo spid="_x0000_s2285"/>
    <customShpInfo spid="_x0000_s2289"/>
    <customShpInfo spid="_x0000_s2290"/>
    <customShpInfo spid="_x0000_s2288"/>
    <customShpInfo spid="_x0000_s2292"/>
    <customShpInfo spid="_x0000_s2293"/>
    <customShpInfo spid="_x0000_s2291"/>
    <customShpInfo spid="_x0000_s2295"/>
    <customShpInfo spid="_x0000_s2296"/>
    <customShpInfo spid="_x0000_s2294"/>
    <customShpInfo spid="_x0000_s2298"/>
    <customShpInfo spid="_x0000_s2299"/>
    <customShpInfo spid="_x0000_s2297"/>
    <customShpInfo spid="_x0000_s2301"/>
    <customShpInfo spid="_x0000_s2302"/>
    <customShpInfo spid="_x0000_s2300"/>
    <customShpInfo spid="_x0000_s2304"/>
    <customShpInfo spid="_x0000_s2305"/>
    <customShpInfo spid="_x0000_s2303"/>
    <customShpInfo spid="_x0000_s2307"/>
    <customShpInfo spid="_x0000_s2308"/>
    <customShpInfo spid="_x0000_s2306"/>
    <customShpInfo spid="_x0000_s2310"/>
    <customShpInfo spid="_x0000_s2311"/>
    <customShpInfo spid="_x0000_s2309"/>
    <customShpInfo spid="_x0000_s2313"/>
    <customShpInfo spid="_x0000_s2314"/>
    <customShpInfo spid="_x0000_s2312"/>
    <customShpInfo spid="_x0000_s2316"/>
    <customShpInfo spid="_x0000_s2317"/>
    <customShpInfo spid="_x0000_s2315"/>
    <customShpInfo spid="_x0000_s2319"/>
    <customShpInfo spid="_x0000_s2320"/>
    <customShpInfo spid="_x0000_s2318"/>
    <customShpInfo spid="_x0000_s2321"/>
    <customShpInfo spid="_x0000_s2323"/>
    <customShpInfo spid="_x0000_s2324"/>
    <customShpInfo spid="_x0000_s2322"/>
    <customShpInfo spid="_x0000_s2326"/>
    <customShpInfo spid="_x0000_s2327"/>
    <customShpInfo spid="_x0000_s2325"/>
    <customShpInfo spid="_x0000_s2329"/>
    <customShpInfo spid="_x0000_s2330"/>
    <customShpInfo spid="_x0000_s2328"/>
    <customShpInfo spid="_x0000_s2332"/>
    <customShpInfo spid="_x0000_s2333"/>
    <customShpInfo spid="_x0000_s2331"/>
    <customShpInfo spid="_x0000_s2335"/>
    <customShpInfo spid="_x0000_s2336"/>
    <customShpInfo spid="_x0000_s2334"/>
    <customShpInfo spid="_x0000_s2338"/>
    <customShpInfo spid="_x0000_s2339"/>
    <customShpInfo spid="_x0000_s2337"/>
    <customShpInfo spid="_x0000_s2341"/>
    <customShpInfo spid="_x0000_s2342"/>
    <customShpInfo spid="_x0000_s2340"/>
    <customShpInfo spid="_x0000_s2343"/>
    <customShpInfo spid="_x0000_s2345"/>
    <customShpInfo spid="_x0000_s2346"/>
    <customShpInfo spid="_x0000_s2344"/>
    <customShpInfo spid="_x0000_s2347"/>
    <customShpInfo spid="_x0000_s2348"/>
    <customShpInfo spid="_x0000_s2350"/>
    <customShpInfo spid="_x0000_s2351"/>
    <customShpInfo spid="_x0000_s2349"/>
    <customShpInfo spid="_x0000_s2353"/>
    <customShpInfo spid="_x0000_s2354"/>
    <customShpInfo spid="_x0000_s2352"/>
    <customShpInfo spid="_x0000_s2356"/>
    <customShpInfo spid="_x0000_s2357"/>
    <customShpInfo spid="_x0000_s2355"/>
    <customShpInfo spid="_x0000_s2358"/>
    <customShpInfo spid="_x0000_s2359"/>
    <customShpInfo spid="_x0000_s2360"/>
    <customShpInfo spid="_x0000_s2362"/>
    <customShpInfo spid="_x0000_s2363"/>
    <customShpInfo spid="_x0000_s2361"/>
    <customShpInfo spid="_x0000_s2365"/>
    <customShpInfo spid="_x0000_s2366"/>
    <customShpInfo spid="_x0000_s2364"/>
    <customShpInfo spid="_x0000_s2368"/>
    <customShpInfo spid="_x0000_s2369"/>
    <customShpInfo spid="_x0000_s2367"/>
    <customShpInfo spid="_x0000_s2370"/>
    <customShpInfo spid="_x0000_s2371"/>
    <customShpInfo spid="_x0000_s2373"/>
    <customShpInfo spid="_x0000_s2374"/>
    <customShpInfo spid="_x0000_s2372"/>
    <customShpInfo spid="_x0000_s2376"/>
    <customShpInfo spid="_x0000_s2377"/>
    <customShpInfo spid="_x0000_s2375"/>
    <customShpInfo spid="_x0000_s2379"/>
    <customShpInfo spid="_x0000_s2380"/>
    <customShpInfo spid="_x0000_s2378"/>
    <customShpInfo spid="_x0000_s2382"/>
    <customShpInfo spid="_x0000_s2383"/>
    <customShpInfo spid="_x0000_s2381"/>
    <customShpInfo spid="_x0000_s2385"/>
    <customShpInfo spid="_x0000_s2386"/>
    <customShpInfo spid="_x0000_s2384"/>
    <customShpInfo spid="_x0000_s2388"/>
    <customShpInfo spid="_x0000_s2389"/>
    <customShpInfo spid="_x0000_s2387"/>
    <customShpInfo spid="_x0000_s2391"/>
    <customShpInfo spid="_x0000_s2392"/>
    <customShpInfo spid="_x0000_s2390"/>
    <customShpInfo spid="_x0000_s2394"/>
    <customShpInfo spid="_x0000_s2395"/>
    <customShpInfo spid="_x0000_s2393"/>
    <customShpInfo spid="_x0000_s2397"/>
    <customShpInfo spid="_x0000_s2398"/>
    <customShpInfo spid="_x0000_s2396"/>
    <customShpInfo spid="_x0000_s2400"/>
    <customShpInfo spid="_x0000_s2401"/>
    <customShpInfo spid="_x0000_s2399"/>
    <customShpInfo spid="_x0000_s2403"/>
    <customShpInfo spid="_x0000_s2404"/>
    <customShpInfo spid="_x0000_s2402"/>
    <customShpInfo spid="_x0000_s2405"/>
    <customShpInfo spid="_x0000_s2407"/>
    <customShpInfo spid="_x0000_s2408"/>
    <customShpInfo spid="_x0000_s2406"/>
    <customShpInfo spid="_x0000_s2410"/>
    <customShpInfo spid="_x0000_s2411"/>
    <customShpInfo spid="_x0000_s2409"/>
    <customShpInfo spid="_x0000_s2412"/>
    <customShpInfo spid="_x0000_s2414"/>
    <customShpInfo spid="_x0000_s2415"/>
    <customShpInfo spid="_x0000_s2413"/>
    <customShpInfo spid="_x0000_s2417"/>
    <customShpInfo spid="_x0000_s2418"/>
    <customShpInfo spid="_x0000_s2416"/>
    <customShpInfo spid="_x0000_s2420"/>
    <customShpInfo spid="_x0000_s2421"/>
    <customShpInfo spid="_x0000_s2419"/>
    <customShpInfo spid="_x0000_s2423"/>
    <customShpInfo spid="_x0000_s2424"/>
    <customShpInfo spid="_x0000_s2422"/>
    <customShpInfo spid="_x0000_s2426"/>
    <customShpInfo spid="_x0000_s2427"/>
    <customShpInfo spid="_x0000_s2425"/>
    <customShpInfo spid="_x0000_s2429"/>
    <customShpInfo spid="_x0000_s2430"/>
    <customShpInfo spid="_x0000_s2428"/>
    <customShpInfo spid="_x0000_s2432"/>
    <customShpInfo spid="_x0000_s2433"/>
    <customShpInfo spid="_x0000_s2431"/>
    <customShpInfo spid="_x0000_s2435"/>
    <customShpInfo spid="_x0000_s2436"/>
    <customShpInfo spid="_x0000_s2434"/>
    <customShpInfo spid="_x0000_s2438"/>
    <customShpInfo spid="_x0000_s2439"/>
    <customShpInfo spid="_x0000_s2437"/>
    <customShpInfo spid="_x0000_s2441"/>
    <customShpInfo spid="_x0000_s2442"/>
    <customShpInfo spid="_x0000_s2440"/>
    <customShpInfo spid="_x0000_s2444"/>
    <customShpInfo spid="_x0000_s2445"/>
    <customShpInfo spid="_x0000_s2443"/>
    <customShpInfo spid="_x0000_s2446"/>
    <customShpInfo spid="_x0000_s2448"/>
    <customShpInfo spid="_x0000_s2449"/>
    <customShpInfo spid="_x0000_s2447"/>
    <customShpInfo spid="_x0000_s2451"/>
    <customShpInfo spid="_x0000_s2452"/>
    <customShpInfo spid="_x0000_s2450"/>
    <customShpInfo spid="_x0000_s2454"/>
    <customShpInfo spid="_x0000_s2455"/>
    <customShpInfo spid="_x0000_s24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2020-07-15T09:40:00Z</dcterms:created>
  <dc:creator>HP</dc:creator>
  <cp:lastModifiedBy>小松鼠</cp:lastModifiedBy>
  <dcterms:modified xsi:type="dcterms:W3CDTF">2020-07-16T02:45:58Z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